
<file path=[Content_Types].xml><?xml version="1.0" encoding="utf-8"?>
<Types xmlns="http://schemas.openxmlformats.org/package/2006/content-types">
  <Default Extension="bin" ContentType="application/vnd.openxmlformats-officedocument.oleObject"/>
  <Default Extension="gif" ContentType="image/gif"/>
  <Default Extension="jp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7.xml" ContentType="application/vnd.openxmlformats-officedocument.themeOverride+xml"/>
  <Override PartName="/word/charts/chart8.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charts/chart15.xml" ContentType="application/vnd.openxmlformats-officedocument.drawingml.chart+xml"/>
  <Override PartName="/word/charts/chart16.xml" ContentType="application/vnd.openxmlformats-officedocument.drawingml.chart+xml"/>
  <Override PartName="/word/theme/themeOverride15.xml" ContentType="application/vnd.openxmlformats-officedocument.themeOverride+xml"/>
  <Override PartName="/word/charts/chart17.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16.xml" ContentType="application/vnd.openxmlformats-officedocument.themeOverride+xml"/>
  <Override PartName="/word/drawings/drawing1.xml" ContentType="application/vnd.openxmlformats-officedocument.drawingml.chartshapes+xml"/>
  <Override PartName="/word/charts/chart18.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17.xml" ContentType="application/vnd.openxmlformats-officedocument.themeOverride+xml"/>
  <Override PartName="/word/drawings/drawing2.xml" ContentType="application/vnd.openxmlformats-officedocument.drawingml.chartshapes+xml"/>
  <Override PartName="/word/charts/chart19.xml" ContentType="application/vnd.openxmlformats-officedocument.drawingml.chart+xml"/>
  <Override PartName="/word/theme/themeOverride18.xml" ContentType="application/vnd.openxmlformats-officedocument.themeOverride+xml"/>
  <Override PartName="/word/charts/chart20.xml" ContentType="application/vnd.openxmlformats-officedocument.drawingml.chart+xml"/>
  <Override PartName="/word/theme/themeOverride19.xml" ContentType="application/vnd.openxmlformats-officedocument.themeOverride+xml"/>
  <Override PartName="/word/charts/chart21.xml" ContentType="application/vnd.openxmlformats-officedocument.drawingml.chart+xml"/>
  <Override PartName="/word/theme/themeOverride20.xml" ContentType="application/vnd.openxmlformats-officedocument.themeOverride+xml"/>
  <Override PartName="/word/charts/chart22.xml" ContentType="application/vnd.openxmlformats-officedocument.drawingml.chart+xml"/>
  <Override PartName="/word/theme/themeOverride21.xml" ContentType="application/vnd.openxmlformats-officedocument.themeOverride+xml"/>
  <Override PartName="/word/charts/chart23.xml" ContentType="application/vnd.openxmlformats-officedocument.drawingml.chart+xml"/>
  <Override PartName="/word/theme/themeOverride22.xml" ContentType="application/vnd.openxmlformats-officedocument.themeOverride+xml"/>
  <Override PartName="/word/charts/chart24.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23.xml" ContentType="application/vnd.openxmlformats-officedocument.themeOverride+xml"/>
  <Override PartName="/word/charts/chart25.xml" ContentType="application/vnd.openxmlformats-officedocument.drawingml.chart+xml"/>
  <Override PartName="/word/theme/themeOverride24.xml" ContentType="application/vnd.openxmlformats-officedocument.themeOverride+xml"/>
  <Override PartName="/word/charts/chart26.xml" ContentType="application/vnd.openxmlformats-officedocument.drawingml.chart+xml"/>
  <Override PartName="/word/theme/themeOverride25.xml" ContentType="application/vnd.openxmlformats-officedocument.themeOverride+xml"/>
  <Override PartName="/word/charts/chart27.xml" ContentType="application/vnd.openxmlformats-officedocument.drawingml.chart+xml"/>
  <Override PartName="/word/theme/themeOverride26.xml" ContentType="application/vnd.openxmlformats-officedocument.themeOverride+xml"/>
  <Override PartName="/word/charts/chart28.xml" ContentType="application/vnd.openxmlformats-officedocument.drawingml.chart+xml"/>
  <Override PartName="/word/theme/themeOverride27.xml" ContentType="application/vnd.openxmlformats-officedocument.themeOverride+xml"/>
  <Override PartName="/word/charts/chart29.xml" ContentType="application/vnd.openxmlformats-officedocument.drawingml.chart+xml"/>
  <Override PartName="/word/theme/themeOverride28.xml" ContentType="application/vnd.openxmlformats-officedocument.themeOverride+xml"/>
  <Override PartName="/word/charts/chart30.xml" ContentType="application/vnd.openxmlformats-officedocument.drawingml.chart+xml"/>
  <Override PartName="/word/theme/themeOverride29.xml" ContentType="application/vnd.openxmlformats-officedocument.themeOverride+xml"/>
  <Override PartName="/word/charts/chart31.xml" ContentType="application/vnd.openxmlformats-officedocument.drawingml.chart+xml"/>
  <Override PartName="/word/theme/themeOverride30.xml" ContentType="application/vnd.openxmlformats-officedocument.themeOverride+xml"/>
  <Override PartName="/word/charts/chart32.xml" ContentType="application/vnd.openxmlformats-officedocument.drawingml.chart+xml"/>
  <Override PartName="/word/theme/themeOverride31.xml" ContentType="application/vnd.openxmlformats-officedocument.themeOverride+xml"/>
  <Override PartName="/word/charts/chart33.xml" ContentType="application/vnd.openxmlformats-officedocument.drawingml.chart+xml"/>
  <Override PartName="/word/theme/themeOverride32.xml" ContentType="application/vnd.openxmlformats-officedocument.themeOverride+xml"/>
  <Override PartName="/word/charts/chart34.xml" ContentType="application/vnd.openxmlformats-officedocument.drawingml.chart+xml"/>
  <Override PartName="/word/theme/themeOverride33.xml" ContentType="application/vnd.openxmlformats-officedocument.themeOverride+xml"/>
  <Override PartName="/word/charts/chart35.xml" ContentType="application/vnd.openxmlformats-officedocument.drawingml.chart+xml"/>
  <Override PartName="/word/theme/themeOverride34.xml" ContentType="application/vnd.openxmlformats-officedocument.themeOverride+xml"/>
  <Override PartName="/word/charts/chart36.xml" ContentType="application/vnd.openxmlformats-officedocument.drawingml.chart+xml"/>
  <Override PartName="/word/theme/themeOverride35.xml" ContentType="application/vnd.openxmlformats-officedocument.themeOverride+xml"/>
  <Override PartName="/word/charts/chart37.xml" ContentType="application/vnd.openxmlformats-officedocument.drawingml.chart+xml"/>
  <Override PartName="/word/theme/themeOverride36.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Theme="minorHAnsi" w:hAnsiTheme="minorHAnsi"/>
          <w:sz w:val="32"/>
        </w:rPr>
        <w:id w:val="1927531553"/>
        <w:docPartObj>
          <w:docPartGallery w:val="Cover Pages"/>
          <w:docPartUnique/>
        </w:docPartObj>
      </w:sdtPr>
      <w:sdtEndPr>
        <w:rPr>
          <w:rFonts w:ascii="Times New Roman" w:hAnsi="Times New Roman"/>
          <w:bCs/>
          <w:color w:val="FF0000"/>
          <w:sz w:val="52"/>
          <w:szCs w:val="52"/>
          <w:lang w:val="bg-BG"/>
        </w:rPr>
      </w:sdtEndPr>
      <w:sdtContent>
        <w:p w14:paraId="027EB3FA" w14:textId="77777777" w:rsidR="00DA5814" w:rsidRPr="00B10684" w:rsidRDefault="00ED42F8" w:rsidP="00DE1058">
          <w:pPr>
            <w:ind w:hanging="851"/>
            <w:rPr>
              <w:rFonts w:asciiTheme="minorHAnsi" w:hAnsiTheme="minorHAnsi"/>
              <w:sz w:val="32"/>
            </w:rPr>
          </w:pPr>
          <w:r w:rsidRPr="00B10684">
            <w:rPr>
              <w:rFonts w:asciiTheme="minorHAnsi" w:hAnsiTheme="minorHAnsi"/>
              <w:b/>
              <w:noProof/>
            </w:rPr>
            <mc:AlternateContent>
              <mc:Choice Requires="wpg">
                <w:drawing>
                  <wp:anchor distT="0" distB="0" distL="114300" distR="114300" simplePos="0" relativeHeight="251655168" behindDoc="0" locked="0" layoutInCell="1" allowOverlap="1" wp14:anchorId="36C9396E" wp14:editId="60ACFB83">
                    <wp:simplePos x="0" y="0"/>
                    <wp:positionH relativeFrom="page">
                      <wp:posOffset>2867559</wp:posOffset>
                    </wp:positionH>
                    <wp:positionV relativeFrom="page">
                      <wp:align>top</wp:align>
                    </wp:positionV>
                    <wp:extent cx="4780915" cy="10058400"/>
                    <wp:effectExtent l="0" t="0" r="635" b="0"/>
                    <wp:wrapNone/>
                    <wp:docPr id="453" name="Group 453"/>
                    <wp:cNvGraphicFramePr/>
                    <a:graphic xmlns:a="http://schemas.openxmlformats.org/drawingml/2006/main">
                      <a:graphicData uri="http://schemas.microsoft.com/office/word/2010/wordprocessingGroup">
                        <wpg:wgp>
                          <wpg:cNvGrpSpPr/>
                          <wpg:grpSpPr>
                            <a:xfrm>
                              <a:off x="0" y="0"/>
                              <a:ext cx="4780915" cy="10058400"/>
                              <a:chOff x="-482802" y="0"/>
                              <a:chExt cx="3596357" cy="10058400"/>
                            </a:xfrm>
                          </wpg:grpSpPr>
                          <wps:wsp>
                            <wps:cNvPr id="459" name="Rectangle 459" descr="Light vertical"/>
                            <wps:cNvSpPr>
                              <a:spLocks noChangeArrowheads="1"/>
                            </wps:cNvSpPr>
                            <wps:spPr bwMode="auto">
                              <a:xfrm>
                                <a:off x="0" y="0"/>
                                <a:ext cx="138545" cy="10058400"/>
                              </a:xfrm>
                              <a:prstGeom prst="rect">
                                <a:avLst/>
                              </a:prstGeom>
                              <a:pattFill prst="dkVert">
                                <a:fgClr>
                                  <a:schemeClr val="accent6">
                                    <a:lumMod val="60000"/>
                                    <a:lumOff val="40000"/>
                                    <a:alpha val="80000"/>
                                  </a:schemeClr>
                                </a:fgClr>
                                <a:bgClr>
                                  <a:schemeClr val="bg1">
                                    <a:alpha val="80000"/>
                                  </a:scheme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60" name="Rectangle 460"/>
                            <wps:cNvSpPr>
                              <a:spLocks noChangeArrowheads="1"/>
                            </wps:cNvSpPr>
                            <wps:spPr bwMode="auto">
                              <a:xfrm>
                                <a:off x="124691" y="0"/>
                                <a:ext cx="2971800" cy="10058400"/>
                              </a:xfrm>
                              <a:prstGeom prst="rect">
                                <a:avLst/>
                              </a:prstGeom>
                              <a:solidFill>
                                <a:srgbClr val="339933"/>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461" name="Rectangle 461"/>
                            <wps:cNvSpPr>
                              <a:spLocks noChangeArrowheads="1"/>
                            </wps:cNvSpPr>
                            <wps:spPr bwMode="auto">
                              <a:xfrm>
                                <a:off x="138525" y="0"/>
                                <a:ext cx="2975030" cy="2377440"/>
                              </a:xfrm>
                              <a:prstGeom prst="rect">
                                <a:avLst/>
                              </a:prstGeom>
                              <a:solidFill>
                                <a:srgbClr val="339933">
                                  <a:alpha val="80000"/>
                                </a:srgbClr>
                              </a:solid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FF" w:themeColor="background1"/>
                                      <w:sz w:val="96"/>
                                      <w:szCs w:val="96"/>
                                    </w:rPr>
                                    <w:alias w:val="Year"/>
                                    <w:id w:val="1012341074"/>
                                    <w:dataBinding w:prefixMappings="xmlns:ns0='http://schemas.microsoft.com/office/2006/coverPageProps'" w:xpath="/ns0:CoverPageProperties[1]/ns0:PublishDate[1]" w:storeItemID="{55AF091B-3C7A-41E3-B477-F2FDAA23CFDA}"/>
                                    <w:date w:fullDate="2025-01-01T00:00:00Z">
                                      <w:dateFormat w:val="yyyy"/>
                                      <w:lid w:val="en-US"/>
                                      <w:storeMappedDataAs w:val="dateTime"/>
                                      <w:calendar w:val="gregorian"/>
                                    </w:date>
                                  </w:sdtPr>
                                  <w:sdtEndPr/>
                                  <w:sdtContent>
                                    <w:p w14:paraId="62776249" w14:textId="77777777" w:rsidR="00211D64" w:rsidRDefault="00211D64">
                                      <w:pPr>
                                        <w:pStyle w:val="NoSpacing"/>
                                        <w:rPr>
                                          <w:color w:val="FFFFFF" w:themeColor="background1"/>
                                          <w:sz w:val="96"/>
                                          <w:szCs w:val="96"/>
                                        </w:rPr>
                                      </w:pPr>
                                      <w:r>
                                        <w:rPr>
                                          <w:color w:val="FFFFFF" w:themeColor="background1"/>
                                          <w:sz w:val="96"/>
                                          <w:szCs w:val="96"/>
                                          <w:lang w:val="en-US"/>
                                        </w:rPr>
                                        <w:t>2025</w:t>
                                      </w:r>
                                    </w:p>
                                  </w:sdtContent>
                                </w:sdt>
                              </w:txbxContent>
                            </wps:txbx>
                            <wps:bodyPr rot="0" vert="horz" wrap="square" lIns="365760" tIns="182880" rIns="182880" bIns="182880" anchor="b" anchorCtr="0" upright="1">
                              <a:noAutofit/>
                            </wps:bodyPr>
                          </wps:wsp>
                          <wps:wsp>
                            <wps:cNvPr id="462" name="Rectangle 9"/>
                            <wps:cNvSpPr>
                              <a:spLocks noChangeArrowheads="1"/>
                            </wps:cNvSpPr>
                            <wps:spPr bwMode="auto">
                              <a:xfrm>
                                <a:off x="-482802" y="7187850"/>
                                <a:ext cx="3479434" cy="283337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14:paraId="10575AFB" w14:textId="77777777" w:rsidR="00211D64" w:rsidRPr="00B10684" w:rsidRDefault="00211D64" w:rsidP="00DE1058">
                                  <w:pPr>
                                    <w:pStyle w:val="NoSpacing"/>
                                    <w:spacing w:line="360" w:lineRule="auto"/>
                                    <w:jc w:val="right"/>
                                    <w:rPr>
                                      <w:b/>
                                      <w:color w:val="FFFFFF" w:themeColor="background1"/>
                                      <w:sz w:val="40"/>
                                      <w:lang w:val="en-US"/>
                                    </w:rPr>
                                  </w:pPr>
                                  <w:r w:rsidRPr="00B10684">
                                    <w:rPr>
                                      <w:b/>
                                      <w:color w:val="FFFFFF" w:themeColor="background1"/>
                                      <w:sz w:val="40"/>
                                    </w:rPr>
                                    <w:t>АГРАРЕН ДОКЛАД</w:t>
                                  </w:r>
                                  <w:r w:rsidRPr="00B10684">
                                    <w:rPr>
                                      <w:b/>
                                      <w:color w:val="FFFFFF" w:themeColor="background1"/>
                                      <w:sz w:val="40"/>
                                      <w:lang w:val="en-US"/>
                                    </w:rPr>
                                    <w:t xml:space="preserve"> `2025</w:t>
                                  </w:r>
                                </w:p>
                              </w:txbxContent>
                            </wps:txbx>
                            <wps:bodyPr rot="0" vert="horz" wrap="square" lIns="365760" tIns="182880" rIns="182880" bIns="182880" anchor="b" anchorCtr="0" upright="1">
                              <a:noAutofit/>
                            </wps:bodyPr>
                          </wps:wsp>
                        </wpg:wgp>
                      </a:graphicData>
                    </a:graphic>
                    <wp14:sizeRelH relativeFrom="page">
                      <wp14:pctWidth>0</wp14:pctWidth>
                    </wp14:sizeRelH>
                    <wp14:sizeRelV relativeFrom="page">
                      <wp14:pctHeight>100000</wp14:pctHeight>
                    </wp14:sizeRelV>
                  </wp:anchor>
                </w:drawing>
              </mc:Choice>
              <mc:Fallback>
                <w:pict>
                  <v:group w14:anchorId="36C9396E" id="Group 453" o:spid="_x0000_s1026" style="position:absolute;margin-left:225.8pt;margin-top:0;width:376.45pt;height:11in;z-index:251655168;mso-height-percent:1000;mso-position-horizontal-relative:page;mso-position-vertical:top;mso-position-vertical-relative:page;mso-height-percent:1000" coordorigin="-4828" coordsize="35963,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">
                    <v:rect id="Rectangle 459" o:spid="_x0000_s1027" alt="Light vertical" style="position:absolute;width:1385;height:100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" fillcolor="#949494 [1945]" stroked="f" strokecolor="white" strokeweight="1pt">
                      <v:fill r:id="rId9" o:title="" opacity="52428f" color2="white [3212]" o:opacity2="52428f" type="pattern"/>
                      <v:shadow color="#d8d8d8" offset="3pt,3pt"/>
                    </v:rect>
                    <v:rect id="Rectangle 460" o:spid="_x0000_s1028" style="position:absolute;left:1246;width:29718;height:100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" fillcolor="#393" stroked="f" strokecolor="#d8d8d8"/>
                    <v:rect id="Rectangle 461" o:spid="_x0000_s1029" style="position:absolute;left:1385;width:29750;height:2377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" fillcolor="#393" stroked="f" strokecolor="white" strokeweight="1pt">
                      <v:fill opacity="52428f"/>
                      <v:shadow color="#d8d8d8" offset="3pt,3pt"/>
                      <v:textbox inset="28.8pt,14.4pt,14.4pt,14.4pt">
                        <w:txbxContent>
                          <w:sdt>
                            <w:sdtPr>
                              <w:rPr>
                                <w:color w:val="FFFFFF" w:themeColor="background1"/>
                                <w:sz w:val="96"/>
                                <w:szCs w:val="96"/>
                              </w:rPr>
                              <w:alias w:val="Year"/>
                              <w:id w:val="1012341074"/>
                              <w:dataBinding w:prefixMappings="xmlns:ns0='http://schemas.microsoft.com/office/2006/coverPageProps'" w:xpath="/ns0:CoverPageProperties[1]/ns0:PublishDate[1]" w:storeItemID="{55AF091B-3C7A-41E3-B477-F2FDAA23CFDA}"/>
                              <w:date w:fullDate="2025-01-01T00:00:00Z">
                                <w:dateFormat w:val="yyyy"/>
                                <w:lid w:val="en-US"/>
                                <w:storeMappedDataAs w:val="dateTime"/>
                                <w:calendar w:val="gregorian"/>
                              </w:date>
                            </w:sdtPr>
                            <w:sdtEndPr/>
                            <w:sdtContent>
                              <w:p w14:paraId="62776249" w14:textId="77777777" w:rsidR="00211D64" w:rsidRDefault="00211D64">
                                <w:pPr>
                                  <w:pStyle w:val="NoSpacing"/>
                                  <w:rPr>
                                    <w:color w:val="FFFFFF" w:themeColor="background1"/>
                                    <w:sz w:val="96"/>
                                    <w:szCs w:val="96"/>
                                  </w:rPr>
                                </w:pPr>
                                <w:r>
                                  <w:rPr>
                                    <w:color w:val="FFFFFF" w:themeColor="background1"/>
                                    <w:sz w:val="96"/>
                                    <w:szCs w:val="96"/>
                                    <w:lang w:val="en-US"/>
                                  </w:rPr>
                                  <w:t>2025</w:t>
                                </w:r>
                              </w:p>
                            </w:sdtContent>
                          </w:sdt>
                        </w:txbxContent>
                      </v:textbox>
                    </v:rect>
                    <v:rect id="Rectangle 9" o:spid="_x0000_s1030" style="position:absolute;left:-4828;top:71878;width:34794;height:2833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" filled="f" stroked="f" strokecolor="white" strokeweight="1pt">
                      <v:fill opacity="52428f"/>
                      <v:shadow color="#d8d8d8" offset="3pt,3pt"/>
                      <v:textbox inset="28.8pt,14.4pt,14.4pt,14.4pt">
                        <w:txbxContent>
                          <w:p w14:paraId="10575AFB" w14:textId="77777777" w:rsidR="00211D64" w:rsidRPr="00B10684" w:rsidRDefault="00211D64" w:rsidP="00DE1058">
                            <w:pPr>
                              <w:pStyle w:val="NoSpacing"/>
                              <w:spacing w:line="360" w:lineRule="auto"/>
                              <w:jc w:val="right"/>
                              <w:rPr>
                                <w:b/>
                                <w:color w:val="FFFFFF" w:themeColor="background1"/>
                                <w:sz w:val="40"/>
                                <w:lang w:val="en-US"/>
                              </w:rPr>
                            </w:pPr>
                            <w:r w:rsidRPr="00B10684">
                              <w:rPr>
                                <w:b/>
                                <w:color w:val="FFFFFF" w:themeColor="background1"/>
                                <w:sz w:val="40"/>
                              </w:rPr>
                              <w:t>АГРАРЕН ДОКЛАД</w:t>
                            </w:r>
                            <w:r w:rsidRPr="00B10684">
                              <w:rPr>
                                <w:b/>
                                <w:color w:val="FFFFFF" w:themeColor="background1"/>
                                <w:sz w:val="40"/>
                                <w:lang w:val="en-US"/>
                              </w:rPr>
                              <w:t xml:space="preserve"> `2025</w:t>
                            </w:r>
                          </w:p>
                        </w:txbxContent>
                      </v:textbox>
                    </v:rect>
                    <w10:wrap anchorx="page" anchory="page"/>
                  </v:group>
                </w:pict>
              </mc:Fallback>
            </mc:AlternateContent>
          </w:r>
          <w:r w:rsidR="00DA5814" w:rsidRPr="00B10684">
            <w:rPr>
              <w:rFonts w:asciiTheme="minorHAnsi" w:hAnsiTheme="minorHAnsi"/>
              <w:b/>
              <w:lang w:val="bg-BG"/>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МИНИСТЕРСТВО НА ЗЕМЕДЕЛИЕТО И ХРАНИТЕ</w:t>
          </w:r>
        </w:p>
        <w:p w14:paraId="51CB3FD5" w14:textId="77777777" w:rsidR="00ED42F8" w:rsidRPr="00B10684" w:rsidRDefault="00ED42F8" w:rsidP="000A6059">
          <w:pPr>
            <w:ind w:hanging="426"/>
            <w:rPr>
              <w:rFonts w:asciiTheme="minorHAnsi" w:hAnsiTheme="minorHAnsi"/>
              <w:color w:val="FF0000"/>
              <w:lang w:val="bg-BG"/>
            </w:rPr>
          </w:pPr>
        </w:p>
        <w:p w14:paraId="7D5CA931" w14:textId="77777777" w:rsidR="00365460" w:rsidRDefault="00365460">
          <w:pPr>
            <w:spacing w:after="200" w:line="276" w:lineRule="auto"/>
            <w:rPr>
              <w:noProof/>
              <w:color w:val="FF0000"/>
            </w:rPr>
          </w:pPr>
        </w:p>
        <w:p w14:paraId="66D3B356" w14:textId="77777777" w:rsidR="00365460" w:rsidRDefault="00365460">
          <w:pPr>
            <w:spacing w:after="200" w:line="276" w:lineRule="auto"/>
            <w:rPr>
              <w:noProof/>
              <w:color w:val="FF0000"/>
            </w:rPr>
          </w:pPr>
        </w:p>
        <w:p w14:paraId="6293D1DE" w14:textId="77777777" w:rsidR="00365460" w:rsidRDefault="00365460">
          <w:pPr>
            <w:spacing w:after="200" w:line="276" w:lineRule="auto"/>
            <w:rPr>
              <w:noProof/>
              <w:color w:val="FF0000"/>
            </w:rPr>
          </w:pPr>
        </w:p>
        <w:p w14:paraId="5BE71381" w14:textId="77777777" w:rsidR="00365460" w:rsidRDefault="00365460">
          <w:pPr>
            <w:spacing w:after="200" w:line="276" w:lineRule="auto"/>
            <w:rPr>
              <w:noProof/>
              <w:color w:val="FF0000"/>
            </w:rPr>
          </w:pPr>
        </w:p>
        <w:p w14:paraId="4AE41E3E" w14:textId="77777777" w:rsidR="00365460" w:rsidRDefault="00365460">
          <w:pPr>
            <w:spacing w:after="200" w:line="276" w:lineRule="auto"/>
            <w:rPr>
              <w:noProof/>
              <w:color w:val="FF0000"/>
            </w:rPr>
          </w:pPr>
          <w:r w:rsidRPr="00B10684">
            <w:rPr>
              <w:noProof/>
              <w:color w:val="FF0000"/>
            </w:rPr>
            <mc:AlternateContent>
              <mc:Choice Requires="wps">
                <w:drawing>
                  <wp:anchor distT="0" distB="0" distL="114300" distR="114300" simplePos="0" relativeHeight="251658240" behindDoc="0" locked="0" layoutInCell="0" allowOverlap="1" wp14:anchorId="6739C686" wp14:editId="2E81FF23">
                    <wp:simplePos x="0" y="0"/>
                    <wp:positionH relativeFrom="page">
                      <wp:align>left</wp:align>
                    </wp:positionH>
                    <mc:AlternateContent>
                      <mc:Choice Requires="wp14">
                        <wp:positionV relativeFrom="page">
                          <wp14:pctPosVOffset>25000</wp14:pctPosVOffset>
                        </wp:positionV>
                      </mc:Choice>
                      <mc:Fallback>
                        <wp:positionV relativeFrom="page">
                          <wp:posOffset>2673350</wp:posOffset>
                        </wp:positionV>
                      </mc:Fallback>
                    </mc:AlternateContent>
                    <wp:extent cx="6349594" cy="2447925"/>
                    <wp:effectExtent l="0" t="0" r="0" b="9525"/>
                    <wp:wrapSquare wrapText="bothSides"/>
                    <wp:docPr id="463"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49594" cy="2447925"/>
                            </a:xfrm>
                            <a:prstGeom prst="rect">
                              <a:avLst/>
                            </a:prstGeom>
                            <a:solidFill>
                              <a:srgbClr val="99CC00"/>
                            </a:solidFill>
                            <a:ln w="19050">
                              <a:noFill/>
                              <a:miter lim="800000"/>
                              <a:headEnd/>
                              <a:tailEnd/>
                            </a:ln>
                          </wps:spPr>
                          <wps:txbx>
                            <w:txbxContent>
                              <w:sdt>
                                <w:sdtPr>
                                  <w:rPr>
                                    <w:color w:val="FFFFFF" w:themeColor="background1"/>
                                    <w:sz w:val="72"/>
                                    <w:szCs w:val="72"/>
                                  </w:rPr>
                                  <w:alias w:val="Title"/>
                                  <w:id w:val="-1704864950"/>
                                  <w:dataBinding w:prefixMappings="xmlns:ns0='http://schemas.openxmlformats.org/package/2006/metadata/core-properties' xmlns:ns1='http://purl.org/dc/elements/1.1/'" w:xpath="/ns0:coreProperties[1]/ns1:title[1]" w:storeItemID="{6C3C8BC8-F283-45AE-878A-BAB7291924A1}"/>
                                  <w:text/>
                                </w:sdtPr>
                                <w:sdtEndPr/>
                                <w:sdtContent>
                                  <w:p w14:paraId="6A97531C" w14:textId="77777777" w:rsidR="00211D64" w:rsidRDefault="00211D64" w:rsidP="00AF137D">
                                    <w:pPr>
                                      <w:pStyle w:val="NoSpacing"/>
                                      <w:jc w:val="right"/>
                                      <w:rPr>
                                        <w:color w:val="FFFFFF" w:themeColor="background1"/>
                                        <w:sz w:val="72"/>
                                        <w:szCs w:val="72"/>
                                      </w:rPr>
                                    </w:pPr>
                                    <w:r w:rsidRPr="00AF137D">
                                      <w:rPr>
                                        <w:color w:val="FFFFFF" w:themeColor="background1"/>
                                        <w:sz w:val="72"/>
                                        <w:szCs w:val="72"/>
                                      </w:rPr>
                                      <w:t>ГОДИШЕН ДОКЛАД ЗА СЪСТОЯНИЕТО И РАЗВИТИЕТО НА ЗЕМЕДЕЛИЕТО</w:t>
                                    </w:r>
                                  </w:p>
                                </w:sdtContent>
                              </w:sdt>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739C686" id="Rectangle 16" o:spid="_x0000_s1031" style="position:absolute;margin-left:0;margin-top:0;width:499.95pt;height:192.75pt;z-index:251658240;visibility:visible;mso-wrap-style:square;mso-width-percent:0;mso-height-percent:0;mso-top-percent:250;mso-wrap-distance-left:9pt;mso-wrap-distance-top:0;mso-wrap-distance-right:9pt;mso-wrap-distance-bottom:0;mso-position-horizontal:left;mso-position-horizontal-relative:page;mso-position-vertical-relative:page;mso-width-percent:0;mso-height-percent:0;mso-top-percent:2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" o:allowincell="f" fillcolor="#9c0" stroked="f" strokeweight="1.5pt">
                    <v:textbox inset="14.4pt,,14.4pt">
                      <w:txbxContent>
                        <w:sdt>
                          <w:sdtPr>
                            <w:rPr>
                              <w:color w:val="FFFFFF" w:themeColor="background1"/>
                              <w:sz w:val="72"/>
                              <w:szCs w:val="72"/>
                            </w:rPr>
                            <w:alias w:val="Title"/>
                            <w:id w:val="-1704864950"/>
                            <w:dataBinding w:prefixMappings="xmlns:ns0='http://schemas.openxmlformats.org/package/2006/metadata/core-properties' xmlns:ns1='http://purl.org/dc/elements/1.1/'" w:xpath="/ns0:coreProperties[1]/ns1:title[1]" w:storeItemID="{6C3C8BC8-F283-45AE-878A-BAB7291924A1}"/>
                            <w:text/>
                          </w:sdtPr>
                          <w:sdtEndPr/>
                          <w:sdtContent>
                            <w:p w14:paraId="6A97531C" w14:textId="77777777" w:rsidR="00211D64" w:rsidRDefault="00211D64" w:rsidP="00AF137D">
                              <w:pPr>
                                <w:pStyle w:val="NoSpacing"/>
                                <w:jc w:val="right"/>
                                <w:rPr>
                                  <w:color w:val="FFFFFF" w:themeColor="background1"/>
                                  <w:sz w:val="72"/>
                                  <w:szCs w:val="72"/>
                                </w:rPr>
                              </w:pPr>
                              <w:r w:rsidRPr="00AF137D">
                                <w:rPr>
                                  <w:color w:val="FFFFFF" w:themeColor="background1"/>
                                  <w:sz w:val="72"/>
                                  <w:szCs w:val="72"/>
                                </w:rPr>
                                <w:t>ГОДИШЕН ДОКЛАД ЗА СЪСТОЯНИЕТО И РАЗВИТИЕТО НА ЗЕМЕДЕЛИЕТО</w:t>
                              </w:r>
                            </w:p>
                          </w:sdtContent>
                        </w:sdt>
                      </w:txbxContent>
                    </v:textbox>
                    <w10:wrap type="square" anchorx="page" anchory="page"/>
                  </v:rect>
                </w:pict>
              </mc:Fallback>
            </mc:AlternateContent>
          </w:r>
        </w:p>
        <w:p w14:paraId="2C691D52" w14:textId="77777777" w:rsidR="00365460" w:rsidRDefault="00365460">
          <w:pPr>
            <w:spacing w:after="200" w:line="276" w:lineRule="auto"/>
            <w:rPr>
              <w:noProof/>
              <w:color w:val="FF0000"/>
            </w:rPr>
          </w:pPr>
        </w:p>
        <w:p w14:paraId="5796A2BD" w14:textId="77777777" w:rsidR="00365460" w:rsidRDefault="00365460">
          <w:pPr>
            <w:spacing w:after="200" w:line="276" w:lineRule="auto"/>
            <w:rPr>
              <w:noProof/>
              <w:color w:val="FF0000"/>
            </w:rPr>
          </w:pPr>
        </w:p>
        <w:p w14:paraId="48EDFF3B" w14:textId="77777777" w:rsidR="00365460" w:rsidRDefault="00365460">
          <w:pPr>
            <w:spacing w:after="200" w:line="276" w:lineRule="auto"/>
            <w:rPr>
              <w:noProof/>
              <w:color w:val="FF0000"/>
            </w:rPr>
          </w:pPr>
        </w:p>
        <w:p w14:paraId="6D655AB7" w14:textId="77777777" w:rsidR="00365460" w:rsidRDefault="00365460">
          <w:pPr>
            <w:spacing w:after="200" w:line="276" w:lineRule="auto"/>
            <w:rPr>
              <w:noProof/>
              <w:color w:val="FF0000"/>
            </w:rPr>
          </w:pPr>
        </w:p>
        <w:p w14:paraId="645607FA" w14:textId="77777777" w:rsidR="00365460" w:rsidRDefault="00365460">
          <w:pPr>
            <w:spacing w:after="200" w:line="276" w:lineRule="auto"/>
            <w:rPr>
              <w:noProof/>
              <w:color w:val="FF0000"/>
            </w:rPr>
          </w:pPr>
        </w:p>
        <w:p w14:paraId="537CF86E" w14:textId="77777777" w:rsidR="00365460" w:rsidRDefault="00365460">
          <w:pPr>
            <w:spacing w:after="200" w:line="276" w:lineRule="auto"/>
            <w:rPr>
              <w:noProof/>
              <w:color w:val="FF0000"/>
            </w:rPr>
          </w:pPr>
        </w:p>
        <w:p w14:paraId="7C538267" w14:textId="77777777" w:rsidR="00365460" w:rsidRDefault="00365460">
          <w:pPr>
            <w:spacing w:after="200" w:line="276" w:lineRule="auto"/>
            <w:rPr>
              <w:noProof/>
              <w:color w:val="FF0000"/>
            </w:rPr>
          </w:pPr>
        </w:p>
        <w:p w14:paraId="2ABE9F95" w14:textId="77777777" w:rsidR="00365460" w:rsidRDefault="00365460">
          <w:pPr>
            <w:spacing w:after="200" w:line="276" w:lineRule="auto"/>
            <w:rPr>
              <w:noProof/>
              <w:color w:val="FF0000"/>
            </w:rPr>
          </w:pPr>
          <w:r>
            <w:rPr>
              <w:noProof/>
              <w:color w:val="FF0000"/>
            </w:rPr>
            <w:drawing>
              <wp:anchor distT="0" distB="0" distL="114300" distR="114300" simplePos="0" relativeHeight="251660288" behindDoc="0" locked="0" layoutInCell="1" allowOverlap="1" wp14:anchorId="4C25B03D" wp14:editId="5CE6FBC9">
                <wp:simplePos x="0" y="0"/>
                <wp:positionH relativeFrom="column">
                  <wp:posOffset>1017905</wp:posOffset>
                </wp:positionH>
                <wp:positionV relativeFrom="paragraph">
                  <wp:posOffset>158115</wp:posOffset>
                </wp:positionV>
                <wp:extent cx="5743575" cy="3554095"/>
                <wp:effectExtent l="0" t="0" r="9525" b="825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_15331790_40_0.jpg"/>
                        <pic:cNvPicPr/>
                      </pic:nvPicPr>
                      <pic:blipFill>
                        <a:blip r:embed="rId10">
                          <a:extLst>
                            <a:ext uri="{28A0092B-C50C-407E-A947-70E740481C1C}">
                              <a14:useLocalDpi xmlns:a14="http://schemas.microsoft.com/office/drawing/2010/main" val="0"/>
                            </a:ext>
                          </a:extLst>
                        </a:blip>
                        <a:stretch>
                          <a:fillRect/>
                        </a:stretch>
                      </pic:blipFill>
                      <pic:spPr>
                        <a:xfrm>
                          <a:off x="0" y="0"/>
                          <a:ext cx="5743575" cy="3554095"/>
                        </a:xfrm>
                        <a:prstGeom prst="rect">
                          <a:avLst/>
                        </a:prstGeom>
                      </pic:spPr>
                    </pic:pic>
                  </a:graphicData>
                </a:graphic>
                <wp14:sizeRelH relativeFrom="margin">
                  <wp14:pctWidth>0</wp14:pctWidth>
                </wp14:sizeRelH>
              </wp:anchor>
            </w:drawing>
          </w:r>
        </w:p>
        <w:p w14:paraId="6DFCDBD6" w14:textId="77777777" w:rsidR="00ED42F8" w:rsidRPr="00B10684" w:rsidRDefault="00ED42F8">
          <w:pPr>
            <w:spacing w:after="200" w:line="276" w:lineRule="auto"/>
            <w:rPr>
              <w:b/>
              <w:color w:val="FF0000"/>
              <w:sz w:val="52"/>
              <w:szCs w:val="52"/>
              <w:lang w:val="bg-BG"/>
            </w:rPr>
          </w:pPr>
          <w:r w:rsidRPr="00B10684">
            <w:rPr>
              <w:bCs/>
              <w:color w:val="FF0000"/>
              <w:sz w:val="52"/>
              <w:szCs w:val="52"/>
              <w:lang w:val="bg-BG"/>
            </w:rPr>
            <w:br w:type="page"/>
          </w:r>
        </w:p>
      </w:sdtContent>
    </w:sdt>
    <w:sdt>
      <w:sdtPr>
        <w:rPr>
          <w:rFonts w:ascii="Arial Narrow" w:eastAsia="Calibri" w:hAnsi="Arial Narrow" w:cs="Times New Roman"/>
          <w:b w:val="0"/>
          <w:bCs w:val="0"/>
          <w:color w:val="auto"/>
          <w:sz w:val="20"/>
          <w:szCs w:val="20"/>
          <w:lang w:val="bg-BG" w:eastAsia="en-US"/>
        </w:rPr>
        <w:id w:val="1289239819"/>
        <w:docPartObj>
          <w:docPartGallery w:val="Table of Contents"/>
          <w:docPartUnique/>
        </w:docPartObj>
      </w:sdtPr>
      <w:sdtEndPr>
        <w:rPr>
          <w:rFonts w:eastAsia="Times New Roman"/>
          <w:noProof/>
          <w:color w:val="FF0000"/>
        </w:rPr>
      </w:sdtEndPr>
      <w:sdtContent>
        <w:p w14:paraId="188A903D" w14:textId="77777777" w:rsidR="00222948" w:rsidRPr="00EE4557" w:rsidRDefault="000819FD">
          <w:pPr>
            <w:pStyle w:val="TOCHeading"/>
            <w:rPr>
              <w:rFonts w:ascii="Arial Narrow" w:hAnsi="Arial Narrow"/>
              <w:b w:val="0"/>
              <w:color w:val="auto"/>
              <w:sz w:val="20"/>
              <w:szCs w:val="20"/>
              <w:lang w:val="bg-BG"/>
            </w:rPr>
          </w:pPr>
          <w:r w:rsidRPr="00EE4557">
            <w:rPr>
              <w:rFonts w:ascii="Arial Narrow" w:hAnsi="Arial Narrow"/>
              <w:b w:val="0"/>
              <w:color w:val="auto"/>
              <w:sz w:val="20"/>
              <w:szCs w:val="20"/>
              <w:lang w:val="bg-BG"/>
            </w:rPr>
            <w:t>Съдържание</w:t>
          </w:r>
        </w:p>
        <w:p w14:paraId="16CC326E" w14:textId="77777777" w:rsidR="00EE4557" w:rsidRPr="00EE4557" w:rsidRDefault="00222948">
          <w:pPr>
            <w:pStyle w:val="TOC1"/>
            <w:rPr>
              <w:rFonts w:ascii="Arial Narrow" w:eastAsiaTheme="minorEastAsia" w:hAnsi="Arial Narrow" w:cstheme="minorBidi"/>
              <w:noProof/>
              <w:sz w:val="20"/>
              <w:szCs w:val="20"/>
            </w:rPr>
          </w:pPr>
          <w:r w:rsidRPr="00EE4557">
            <w:rPr>
              <w:rFonts w:ascii="Arial Narrow" w:hAnsi="Arial Narrow"/>
              <w:color w:val="FF0000"/>
              <w:sz w:val="20"/>
              <w:szCs w:val="20"/>
              <w:lang w:val="bg-BG"/>
            </w:rPr>
            <w:fldChar w:fldCharType="begin"/>
          </w:r>
          <w:r w:rsidRPr="00EE4557">
            <w:rPr>
              <w:rFonts w:ascii="Arial Narrow" w:hAnsi="Arial Narrow"/>
              <w:color w:val="FF0000"/>
              <w:sz w:val="20"/>
              <w:szCs w:val="20"/>
              <w:lang w:val="bg-BG"/>
            </w:rPr>
            <w:instrText xml:space="preserve"> TOC \o "1-3" \h \z \u </w:instrText>
          </w:r>
          <w:r w:rsidRPr="00EE4557">
            <w:rPr>
              <w:rFonts w:ascii="Arial Narrow" w:hAnsi="Arial Narrow"/>
              <w:color w:val="FF0000"/>
              <w:sz w:val="20"/>
              <w:szCs w:val="20"/>
              <w:lang w:val="bg-BG"/>
            </w:rPr>
            <w:fldChar w:fldCharType="separate"/>
          </w:r>
          <w:hyperlink w:anchor="_Toc210747517" w:history="1">
            <w:r w:rsidR="00EE4557" w:rsidRPr="00EE4557">
              <w:rPr>
                <w:rStyle w:val="Hyperlink"/>
                <w:rFonts w:ascii="Arial Narrow" w:hAnsi="Arial Narrow"/>
                <w:noProof/>
                <w:sz w:val="20"/>
                <w:szCs w:val="20"/>
                <w:lang w:val="bg-BG"/>
              </w:rPr>
              <w:t>Списък на използваните съкращения</w:t>
            </w:r>
            <w:r w:rsidR="00EE4557" w:rsidRPr="00EE4557">
              <w:rPr>
                <w:rFonts w:ascii="Arial Narrow" w:hAnsi="Arial Narrow"/>
                <w:noProof/>
                <w:webHidden/>
                <w:sz w:val="20"/>
                <w:szCs w:val="20"/>
              </w:rPr>
              <w:tab/>
            </w:r>
            <w:r w:rsidR="00EE4557" w:rsidRPr="00EE4557">
              <w:rPr>
                <w:rFonts w:ascii="Arial Narrow" w:hAnsi="Arial Narrow"/>
                <w:noProof/>
                <w:webHidden/>
                <w:sz w:val="20"/>
                <w:szCs w:val="20"/>
              </w:rPr>
              <w:fldChar w:fldCharType="begin"/>
            </w:r>
            <w:r w:rsidR="00EE4557" w:rsidRPr="00EE4557">
              <w:rPr>
                <w:rFonts w:ascii="Arial Narrow" w:hAnsi="Arial Narrow"/>
                <w:noProof/>
                <w:webHidden/>
                <w:sz w:val="20"/>
                <w:szCs w:val="20"/>
              </w:rPr>
              <w:instrText xml:space="preserve"> PAGEREF _Toc210747517 \h </w:instrText>
            </w:r>
            <w:r w:rsidR="00EE4557" w:rsidRPr="00EE4557">
              <w:rPr>
                <w:rFonts w:ascii="Arial Narrow" w:hAnsi="Arial Narrow"/>
                <w:noProof/>
                <w:webHidden/>
                <w:sz w:val="20"/>
                <w:szCs w:val="20"/>
              </w:rPr>
            </w:r>
            <w:r w:rsidR="00EE4557" w:rsidRPr="00EE4557">
              <w:rPr>
                <w:rFonts w:ascii="Arial Narrow" w:hAnsi="Arial Narrow"/>
                <w:noProof/>
                <w:webHidden/>
                <w:sz w:val="20"/>
                <w:szCs w:val="20"/>
              </w:rPr>
              <w:fldChar w:fldCharType="separate"/>
            </w:r>
            <w:r w:rsidR="00211D64">
              <w:rPr>
                <w:rFonts w:ascii="Arial Narrow" w:hAnsi="Arial Narrow"/>
                <w:noProof/>
                <w:webHidden/>
                <w:sz w:val="20"/>
                <w:szCs w:val="20"/>
              </w:rPr>
              <w:t>6</w:t>
            </w:r>
            <w:r w:rsidR="00EE4557" w:rsidRPr="00EE4557">
              <w:rPr>
                <w:rFonts w:ascii="Arial Narrow" w:hAnsi="Arial Narrow"/>
                <w:noProof/>
                <w:webHidden/>
                <w:sz w:val="20"/>
                <w:szCs w:val="20"/>
              </w:rPr>
              <w:fldChar w:fldCharType="end"/>
            </w:r>
          </w:hyperlink>
        </w:p>
        <w:p w14:paraId="32B75744" w14:textId="77777777" w:rsidR="00EE4557" w:rsidRPr="00EE4557" w:rsidRDefault="00816B15">
          <w:pPr>
            <w:pStyle w:val="TOC1"/>
            <w:rPr>
              <w:rFonts w:ascii="Arial Narrow" w:eastAsiaTheme="minorEastAsia" w:hAnsi="Arial Narrow" w:cstheme="minorBidi"/>
              <w:noProof/>
              <w:sz w:val="20"/>
              <w:szCs w:val="20"/>
            </w:rPr>
          </w:pPr>
          <w:hyperlink w:anchor="_Toc210747518" w:history="1">
            <w:r w:rsidR="00EE4557" w:rsidRPr="00EE4557">
              <w:rPr>
                <w:rStyle w:val="Hyperlink"/>
                <w:rFonts w:ascii="Arial Narrow" w:hAnsi="Arial Narrow"/>
                <w:noProof/>
                <w:sz w:val="20"/>
                <w:szCs w:val="20"/>
                <w:lang w:val="bg-BG"/>
              </w:rPr>
              <w:t>РАЗДЕЛ А</w:t>
            </w:r>
            <w:r w:rsidR="00EE4557" w:rsidRPr="00EE4557">
              <w:rPr>
                <w:rFonts w:ascii="Arial Narrow" w:hAnsi="Arial Narrow"/>
                <w:noProof/>
                <w:webHidden/>
                <w:sz w:val="20"/>
                <w:szCs w:val="20"/>
              </w:rPr>
              <w:tab/>
            </w:r>
            <w:r w:rsidR="00EE4557" w:rsidRPr="00EE4557">
              <w:rPr>
                <w:rFonts w:ascii="Arial Narrow" w:hAnsi="Arial Narrow"/>
                <w:noProof/>
                <w:webHidden/>
                <w:sz w:val="20"/>
                <w:szCs w:val="20"/>
              </w:rPr>
              <w:fldChar w:fldCharType="begin"/>
            </w:r>
            <w:r w:rsidR="00EE4557" w:rsidRPr="00EE4557">
              <w:rPr>
                <w:rFonts w:ascii="Arial Narrow" w:hAnsi="Arial Narrow"/>
                <w:noProof/>
                <w:webHidden/>
                <w:sz w:val="20"/>
                <w:szCs w:val="20"/>
              </w:rPr>
              <w:instrText xml:space="preserve"> PAGEREF _Toc210747518 \h </w:instrText>
            </w:r>
            <w:r w:rsidR="00EE4557" w:rsidRPr="00EE4557">
              <w:rPr>
                <w:rFonts w:ascii="Arial Narrow" w:hAnsi="Arial Narrow"/>
                <w:noProof/>
                <w:webHidden/>
                <w:sz w:val="20"/>
                <w:szCs w:val="20"/>
              </w:rPr>
            </w:r>
            <w:r w:rsidR="00EE4557" w:rsidRPr="00EE4557">
              <w:rPr>
                <w:rFonts w:ascii="Arial Narrow" w:hAnsi="Arial Narrow"/>
                <w:noProof/>
                <w:webHidden/>
                <w:sz w:val="20"/>
                <w:szCs w:val="20"/>
              </w:rPr>
              <w:fldChar w:fldCharType="separate"/>
            </w:r>
            <w:r w:rsidR="00211D64">
              <w:rPr>
                <w:rFonts w:ascii="Arial Narrow" w:hAnsi="Arial Narrow"/>
                <w:noProof/>
                <w:webHidden/>
                <w:sz w:val="20"/>
                <w:szCs w:val="20"/>
              </w:rPr>
              <w:t>10</w:t>
            </w:r>
            <w:r w:rsidR="00EE4557" w:rsidRPr="00EE4557">
              <w:rPr>
                <w:rFonts w:ascii="Arial Narrow" w:hAnsi="Arial Narrow"/>
                <w:noProof/>
                <w:webHidden/>
                <w:sz w:val="20"/>
                <w:szCs w:val="20"/>
              </w:rPr>
              <w:fldChar w:fldCharType="end"/>
            </w:r>
          </w:hyperlink>
        </w:p>
        <w:p w14:paraId="3E9B931C" w14:textId="77777777" w:rsidR="00EE4557" w:rsidRPr="00EE4557" w:rsidRDefault="00816B15">
          <w:pPr>
            <w:pStyle w:val="TOC1"/>
            <w:rPr>
              <w:rFonts w:ascii="Arial Narrow" w:eastAsiaTheme="minorEastAsia" w:hAnsi="Arial Narrow" w:cstheme="minorBidi"/>
              <w:noProof/>
              <w:sz w:val="20"/>
              <w:szCs w:val="20"/>
            </w:rPr>
          </w:pPr>
          <w:hyperlink w:anchor="_Toc210747519" w:history="1">
            <w:r w:rsidR="00EE4557" w:rsidRPr="00EE4557">
              <w:rPr>
                <w:rStyle w:val="Hyperlink"/>
                <w:rFonts w:ascii="Arial Narrow" w:eastAsia="SimSun" w:hAnsi="Arial Narrow"/>
                <w:bCs/>
                <w:noProof/>
                <w:sz w:val="20"/>
                <w:szCs w:val="20"/>
                <w:lang w:val="bg-BG"/>
              </w:rPr>
              <w:t>I.</w:t>
            </w:r>
            <w:r w:rsidR="00EE4557" w:rsidRPr="00EE4557">
              <w:rPr>
                <w:rFonts w:ascii="Arial Narrow" w:eastAsiaTheme="minorEastAsia" w:hAnsi="Arial Narrow" w:cstheme="minorBidi"/>
                <w:noProof/>
                <w:sz w:val="20"/>
                <w:szCs w:val="20"/>
              </w:rPr>
              <w:tab/>
            </w:r>
            <w:r w:rsidR="00EE4557" w:rsidRPr="00EE4557">
              <w:rPr>
                <w:rStyle w:val="Hyperlink"/>
                <w:rFonts w:ascii="Arial Narrow" w:eastAsia="SimSun" w:hAnsi="Arial Narrow"/>
                <w:bCs/>
                <w:noProof/>
                <w:sz w:val="20"/>
                <w:szCs w:val="20"/>
                <w:lang w:val="bg-BG"/>
              </w:rPr>
              <w:t>СЪСТОЯНИЕ И РАЗВИТИЕ НА НАЦИОНАЛНАТА ИКОНОМИКА. МАКРОИКОНОМИЧЕСКА РАМКА. МЯСТО НА АГРАРНИЯ ОТРАСЪЛ В НАЦИОНАЛНАТА ИКОНОМИКА</w:t>
            </w:r>
            <w:r w:rsidR="00EE4557" w:rsidRPr="00EE4557">
              <w:rPr>
                <w:rFonts w:ascii="Arial Narrow" w:hAnsi="Arial Narrow"/>
                <w:noProof/>
                <w:webHidden/>
                <w:sz w:val="20"/>
                <w:szCs w:val="20"/>
              </w:rPr>
              <w:tab/>
            </w:r>
            <w:r w:rsidR="00EE4557" w:rsidRPr="00EE4557">
              <w:rPr>
                <w:rFonts w:ascii="Arial Narrow" w:hAnsi="Arial Narrow"/>
                <w:noProof/>
                <w:webHidden/>
                <w:sz w:val="20"/>
                <w:szCs w:val="20"/>
              </w:rPr>
              <w:fldChar w:fldCharType="begin"/>
            </w:r>
            <w:r w:rsidR="00EE4557" w:rsidRPr="00EE4557">
              <w:rPr>
                <w:rFonts w:ascii="Arial Narrow" w:hAnsi="Arial Narrow"/>
                <w:noProof/>
                <w:webHidden/>
                <w:sz w:val="20"/>
                <w:szCs w:val="20"/>
              </w:rPr>
              <w:instrText xml:space="preserve"> PAGEREF _Toc210747519 \h </w:instrText>
            </w:r>
            <w:r w:rsidR="00EE4557" w:rsidRPr="00EE4557">
              <w:rPr>
                <w:rFonts w:ascii="Arial Narrow" w:hAnsi="Arial Narrow"/>
                <w:noProof/>
                <w:webHidden/>
                <w:sz w:val="20"/>
                <w:szCs w:val="20"/>
              </w:rPr>
            </w:r>
            <w:r w:rsidR="00EE4557" w:rsidRPr="00EE4557">
              <w:rPr>
                <w:rFonts w:ascii="Arial Narrow" w:hAnsi="Arial Narrow"/>
                <w:noProof/>
                <w:webHidden/>
                <w:sz w:val="20"/>
                <w:szCs w:val="20"/>
              </w:rPr>
              <w:fldChar w:fldCharType="separate"/>
            </w:r>
            <w:r w:rsidR="00211D64">
              <w:rPr>
                <w:rFonts w:ascii="Arial Narrow" w:hAnsi="Arial Narrow"/>
                <w:noProof/>
                <w:webHidden/>
                <w:sz w:val="20"/>
                <w:szCs w:val="20"/>
              </w:rPr>
              <w:t>10</w:t>
            </w:r>
            <w:r w:rsidR="00EE4557" w:rsidRPr="00EE4557">
              <w:rPr>
                <w:rFonts w:ascii="Arial Narrow" w:hAnsi="Arial Narrow"/>
                <w:noProof/>
                <w:webHidden/>
                <w:sz w:val="20"/>
                <w:szCs w:val="20"/>
              </w:rPr>
              <w:fldChar w:fldCharType="end"/>
            </w:r>
          </w:hyperlink>
        </w:p>
        <w:p w14:paraId="716776FB" w14:textId="77777777" w:rsidR="00EE4557" w:rsidRPr="00EE4557" w:rsidRDefault="00816B15">
          <w:pPr>
            <w:pStyle w:val="TOC1"/>
            <w:rPr>
              <w:rFonts w:ascii="Arial Narrow" w:eastAsiaTheme="minorEastAsia" w:hAnsi="Arial Narrow" w:cstheme="minorBidi"/>
              <w:noProof/>
              <w:sz w:val="20"/>
              <w:szCs w:val="20"/>
            </w:rPr>
          </w:pPr>
          <w:hyperlink w:anchor="_Toc210747520" w:history="1">
            <w:r w:rsidR="00EE4557" w:rsidRPr="00EE4557">
              <w:rPr>
                <w:rStyle w:val="Hyperlink"/>
                <w:rFonts w:ascii="Arial Narrow" w:eastAsia="SimSun" w:hAnsi="Arial Narrow"/>
                <w:bCs/>
                <w:noProof/>
                <w:sz w:val="20"/>
                <w:szCs w:val="20"/>
                <w:lang w:val="bg-BG"/>
              </w:rPr>
              <w:t>ІІ. РАЗВИТИЕ НА АГРАРНИЯ ОТРАСЪЛ ПРЕЗ 202</w:t>
            </w:r>
            <w:r w:rsidR="00EE4557" w:rsidRPr="00EE4557">
              <w:rPr>
                <w:rStyle w:val="Hyperlink"/>
                <w:rFonts w:ascii="Arial Narrow" w:eastAsia="SimSun" w:hAnsi="Arial Narrow"/>
                <w:bCs/>
                <w:noProof/>
                <w:sz w:val="20"/>
                <w:szCs w:val="20"/>
              </w:rPr>
              <w:t>4</w:t>
            </w:r>
            <w:r w:rsidR="00EE4557" w:rsidRPr="00EE4557">
              <w:rPr>
                <w:rStyle w:val="Hyperlink"/>
                <w:rFonts w:ascii="Arial Narrow" w:eastAsia="SimSun" w:hAnsi="Arial Narrow"/>
                <w:bCs/>
                <w:noProof/>
                <w:sz w:val="20"/>
                <w:szCs w:val="20"/>
                <w:lang w:val="bg-BG"/>
              </w:rPr>
              <w:t xml:space="preserve"> Г. И ПРОГНОЗИ ЗА 2025 Г.</w:t>
            </w:r>
            <w:r w:rsidR="00EE4557" w:rsidRPr="00EE4557">
              <w:rPr>
                <w:rFonts w:ascii="Arial Narrow" w:hAnsi="Arial Narrow"/>
                <w:noProof/>
                <w:webHidden/>
                <w:sz w:val="20"/>
                <w:szCs w:val="20"/>
              </w:rPr>
              <w:tab/>
            </w:r>
            <w:r w:rsidR="00EE4557" w:rsidRPr="00EE4557">
              <w:rPr>
                <w:rFonts w:ascii="Arial Narrow" w:hAnsi="Arial Narrow"/>
                <w:noProof/>
                <w:webHidden/>
                <w:sz w:val="20"/>
                <w:szCs w:val="20"/>
              </w:rPr>
              <w:fldChar w:fldCharType="begin"/>
            </w:r>
            <w:r w:rsidR="00EE4557" w:rsidRPr="00EE4557">
              <w:rPr>
                <w:rFonts w:ascii="Arial Narrow" w:hAnsi="Arial Narrow"/>
                <w:noProof/>
                <w:webHidden/>
                <w:sz w:val="20"/>
                <w:szCs w:val="20"/>
              </w:rPr>
              <w:instrText xml:space="preserve"> PAGEREF _Toc210747520 \h </w:instrText>
            </w:r>
            <w:r w:rsidR="00EE4557" w:rsidRPr="00EE4557">
              <w:rPr>
                <w:rFonts w:ascii="Arial Narrow" w:hAnsi="Arial Narrow"/>
                <w:noProof/>
                <w:webHidden/>
                <w:sz w:val="20"/>
                <w:szCs w:val="20"/>
              </w:rPr>
            </w:r>
            <w:r w:rsidR="00EE4557" w:rsidRPr="00EE4557">
              <w:rPr>
                <w:rFonts w:ascii="Arial Narrow" w:hAnsi="Arial Narrow"/>
                <w:noProof/>
                <w:webHidden/>
                <w:sz w:val="20"/>
                <w:szCs w:val="20"/>
              </w:rPr>
              <w:fldChar w:fldCharType="separate"/>
            </w:r>
            <w:r w:rsidR="00211D64">
              <w:rPr>
                <w:rFonts w:ascii="Arial Narrow" w:hAnsi="Arial Narrow"/>
                <w:noProof/>
                <w:webHidden/>
                <w:sz w:val="20"/>
                <w:szCs w:val="20"/>
              </w:rPr>
              <w:t>14</w:t>
            </w:r>
            <w:r w:rsidR="00EE4557" w:rsidRPr="00EE4557">
              <w:rPr>
                <w:rFonts w:ascii="Arial Narrow" w:hAnsi="Arial Narrow"/>
                <w:noProof/>
                <w:webHidden/>
                <w:sz w:val="20"/>
                <w:szCs w:val="20"/>
              </w:rPr>
              <w:fldChar w:fldCharType="end"/>
            </w:r>
          </w:hyperlink>
        </w:p>
        <w:p w14:paraId="294C64E9" w14:textId="77777777" w:rsidR="00EE4557" w:rsidRPr="00EE4557" w:rsidRDefault="00816B15">
          <w:pPr>
            <w:pStyle w:val="TOC1"/>
            <w:rPr>
              <w:rFonts w:ascii="Arial Narrow" w:eastAsiaTheme="minorEastAsia" w:hAnsi="Arial Narrow" w:cstheme="minorBidi"/>
              <w:noProof/>
              <w:sz w:val="20"/>
              <w:szCs w:val="20"/>
            </w:rPr>
          </w:pPr>
          <w:hyperlink w:anchor="_Toc210747521" w:history="1">
            <w:r w:rsidR="00EE4557" w:rsidRPr="00EE4557">
              <w:rPr>
                <w:rStyle w:val="Hyperlink"/>
                <w:rFonts w:ascii="Arial Narrow" w:hAnsi="Arial Narrow"/>
                <w:noProof/>
                <w:sz w:val="20"/>
                <w:szCs w:val="20"/>
                <w:lang w:val="bg-BG"/>
              </w:rPr>
              <w:t>1.</w:t>
            </w:r>
            <w:r w:rsidR="00EE4557" w:rsidRPr="00EE4557">
              <w:rPr>
                <w:rFonts w:ascii="Arial Narrow" w:eastAsiaTheme="minorEastAsia" w:hAnsi="Arial Narrow" w:cstheme="minorBidi"/>
                <w:noProof/>
                <w:sz w:val="20"/>
                <w:szCs w:val="20"/>
              </w:rPr>
              <w:tab/>
            </w:r>
            <w:r w:rsidR="00EE4557" w:rsidRPr="00EE4557">
              <w:rPr>
                <w:rStyle w:val="Hyperlink"/>
                <w:rFonts w:ascii="Arial Narrow" w:hAnsi="Arial Narrow"/>
                <w:noProof/>
                <w:sz w:val="20"/>
                <w:szCs w:val="20"/>
                <w:lang w:val="bg-BG"/>
              </w:rPr>
              <w:t>Използване на земеделската земя и структури в земеделието</w:t>
            </w:r>
            <w:r w:rsidR="00EE4557" w:rsidRPr="00EE4557">
              <w:rPr>
                <w:rFonts w:ascii="Arial Narrow" w:hAnsi="Arial Narrow"/>
                <w:noProof/>
                <w:webHidden/>
                <w:sz w:val="20"/>
                <w:szCs w:val="20"/>
              </w:rPr>
              <w:tab/>
            </w:r>
            <w:r w:rsidR="00EE4557" w:rsidRPr="00EE4557">
              <w:rPr>
                <w:rFonts w:ascii="Arial Narrow" w:hAnsi="Arial Narrow"/>
                <w:noProof/>
                <w:webHidden/>
                <w:sz w:val="20"/>
                <w:szCs w:val="20"/>
              </w:rPr>
              <w:fldChar w:fldCharType="begin"/>
            </w:r>
            <w:r w:rsidR="00EE4557" w:rsidRPr="00EE4557">
              <w:rPr>
                <w:rFonts w:ascii="Arial Narrow" w:hAnsi="Arial Narrow"/>
                <w:noProof/>
                <w:webHidden/>
                <w:sz w:val="20"/>
                <w:szCs w:val="20"/>
              </w:rPr>
              <w:instrText xml:space="preserve"> PAGEREF _Toc210747521 \h </w:instrText>
            </w:r>
            <w:r w:rsidR="00EE4557" w:rsidRPr="00EE4557">
              <w:rPr>
                <w:rFonts w:ascii="Arial Narrow" w:hAnsi="Arial Narrow"/>
                <w:noProof/>
                <w:webHidden/>
                <w:sz w:val="20"/>
                <w:szCs w:val="20"/>
              </w:rPr>
            </w:r>
            <w:r w:rsidR="00EE4557" w:rsidRPr="00EE4557">
              <w:rPr>
                <w:rFonts w:ascii="Arial Narrow" w:hAnsi="Arial Narrow"/>
                <w:noProof/>
                <w:webHidden/>
                <w:sz w:val="20"/>
                <w:szCs w:val="20"/>
              </w:rPr>
              <w:fldChar w:fldCharType="separate"/>
            </w:r>
            <w:r w:rsidR="00211D64">
              <w:rPr>
                <w:rFonts w:ascii="Arial Narrow" w:hAnsi="Arial Narrow"/>
                <w:noProof/>
                <w:webHidden/>
                <w:sz w:val="20"/>
                <w:szCs w:val="20"/>
              </w:rPr>
              <w:t>14</w:t>
            </w:r>
            <w:r w:rsidR="00EE4557" w:rsidRPr="00EE4557">
              <w:rPr>
                <w:rFonts w:ascii="Arial Narrow" w:hAnsi="Arial Narrow"/>
                <w:noProof/>
                <w:webHidden/>
                <w:sz w:val="20"/>
                <w:szCs w:val="20"/>
              </w:rPr>
              <w:fldChar w:fldCharType="end"/>
            </w:r>
          </w:hyperlink>
        </w:p>
        <w:p w14:paraId="72C7FD82" w14:textId="77777777" w:rsidR="00EE4557" w:rsidRPr="00EE4557" w:rsidRDefault="00816B15">
          <w:pPr>
            <w:pStyle w:val="TOC1"/>
            <w:rPr>
              <w:rFonts w:ascii="Arial Narrow" w:eastAsiaTheme="minorEastAsia" w:hAnsi="Arial Narrow" w:cstheme="minorBidi"/>
              <w:noProof/>
              <w:sz w:val="20"/>
              <w:szCs w:val="20"/>
            </w:rPr>
          </w:pPr>
          <w:hyperlink w:anchor="_Toc210747522" w:history="1">
            <w:r w:rsidR="00EE4557" w:rsidRPr="00EE4557">
              <w:rPr>
                <w:rStyle w:val="Hyperlink"/>
                <w:rFonts w:ascii="Arial Narrow" w:hAnsi="Arial Narrow"/>
                <w:noProof/>
                <w:sz w:val="20"/>
                <w:szCs w:val="20"/>
                <w:lang w:val="bg-BG"/>
              </w:rPr>
              <w:t>1.1.</w:t>
            </w:r>
            <w:r w:rsidR="00EE4557" w:rsidRPr="00EE4557">
              <w:rPr>
                <w:rFonts w:ascii="Arial Narrow" w:eastAsiaTheme="minorEastAsia" w:hAnsi="Arial Narrow" w:cstheme="minorBidi"/>
                <w:noProof/>
                <w:sz w:val="20"/>
                <w:szCs w:val="20"/>
              </w:rPr>
              <w:tab/>
            </w:r>
            <w:r w:rsidR="00EE4557" w:rsidRPr="00EE4557">
              <w:rPr>
                <w:rStyle w:val="Hyperlink"/>
                <w:rFonts w:ascii="Arial Narrow" w:hAnsi="Arial Narrow"/>
                <w:noProof/>
                <w:sz w:val="20"/>
                <w:szCs w:val="20"/>
                <w:lang w:val="bg-BG"/>
              </w:rPr>
              <w:t>Използване на площите със селскостопанско предназначение</w:t>
            </w:r>
            <w:r w:rsidR="00EE4557" w:rsidRPr="00EE4557">
              <w:rPr>
                <w:rFonts w:ascii="Arial Narrow" w:hAnsi="Arial Narrow"/>
                <w:noProof/>
                <w:webHidden/>
                <w:sz w:val="20"/>
                <w:szCs w:val="20"/>
              </w:rPr>
              <w:tab/>
            </w:r>
            <w:r w:rsidR="00EE4557" w:rsidRPr="00EE4557">
              <w:rPr>
                <w:rFonts w:ascii="Arial Narrow" w:hAnsi="Arial Narrow"/>
                <w:noProof/>
                <w:webHidden/>
                <w:sz w:val="20"/>
                <w:szCs w:val="20"/>
              </w:rPr>
              <w:fldChar w:fldCharType="begin"/>
            </w:r>
            <w:r w:rsidR="00EE4557" w:rsidRPr="00EE4557">
              <w:rPr>
                <w:rFonts w:ascii="Arial Narrow" w:hAnsi="Arial Narrow"/>
                <w:noProof/>
                <w:webHidden/>
                <w:sz w:val="20"/>
                <w:szCs w:val="20"/>
              </w:rPr>
              <w:instrText xml:space="preserve"> PAGEREF _Toc210747522 \h </w:instrText>
            </w:r>
            <w:r w:rsidR="00EE4557" w:rsidRPr="00EE4557">
              <w:rPr>
                <w:rFonts w:ascii="Arial Narrow" w:hAnsi="Arial Narrow"/>
                <w:noProof/>
                <w:webHidden/>
                <w:sz w:val="20"/>
                <w:szCs w:val="20"/>
              </w:rPr>
            </w:r>
            <w:r w:rsidR="00EE4557" w:rsidRPr="00EE4557">
              <w:rPr>
                <w:rFonts w:ascii="Arial Narrow" w:hAnsi="Arial Narrow"/>
                <w:noProof/>
                <w:webHidden/>
                <w:sz w:val="20"/>
                <w:szCs w:val="20"/>
              </w:rPr>
              <w:fldChar w:fldCharType="separate"/>
            </w:r>
            <w:r w:rsidR="00211D64">
              <w:rPr>
                <w:rFonts w:ascii="Arial Narrow" w:hAnsi="Arial Narrow"/>
                <w:noProof/>
                <w:webHidden/>
                <w:sz w:val="20"/>
                <w:szCs w:val="20"/>
              </w:rPr>
              <w:t>14</w:t>
            </w:r>
            <w:r w:rsidR="00EE4557" w:rsidRPr="00EE4557">
              <w:rPr>
                <w:rFonts w:ascii="Arial Narrow" w:hAnsi="Arial Narrow"/>
                <w:noProof/>
                <w:webHidden/>
                <w:sz w:val="20"/>
                <w:szCs w:val="20"/>
              </w:rPr>
              <w:fldChar w:fldCharType="end"/>
            </w:r>
          </w:hyperlink>
        </w:p>
        <w:p w14:paraId="7D554D46" w14:textId="77777777" w:rsidR="00EE4557" w:rsidRPr="00EE4557" w:rsidRDefault="00816B15">
          <w:pPr>
            <w:pStyle w:val="TOC1"/>
            <w:rPr>
              <w:rFonts w:ascii="Arial Narrow" w:eastAsiaTheme="minorEastAsia" w:hAnsi="Arial Narrow" w:cstheme="minorBidi"/>
              <w:noProof/>
              <w:sz w:val="20"/>
              <w:szCs w:val="20"/>
            </w:rPr>
          </w:pPr>
          <w:hyperlink w:anchor="_Toc210747523" w:history="1">
            <w:r w:rsidR="00EE4557" w:rsidRPr="00EE4557">
              <w:rPr>
                <w:rStyle w:val="Hyperlink"/>
                <w:rFonts w:ascii="Arial Narrow" w:hAnsi="Arial Narrow"/>
                <w:bCs/>
                <w:noProof/>
                <w:sz w:val="20"/>
                <w:szCs w:val="20"/>
                <w:lang w:val="bg-BG"/>
              </w:rPr>
              <w:t>1.2.</w:t>
            </w:r>
            <w:r w:rsidR="00EE4557" w:rsidRPr="00EE4557">
              <w:rPr>
                <w:rFonts w:ascii="Arial Narrow" w:eastAsiaTheme="minorEastAsia" w:hAnsi="Arial Narrow" w:cstheme="minorBidi"/>
                <w:noProof/>
                <w:sz w:val="20"/>
                <w:szCs w:val="20"/>
              </w:rPr>
              <w:tab/>
            </w:r>
            <w:r w:rsidR="00EE4557" w:rsidRPr="00EE4557">
              <w:rPr>
                <w:rStyle w:val="Hyperlink"/>
                <w:rFonts w:ascii="Arial Narrow" w:hAnsi="Arial Narrow"/>
                <w:noProof/>
                <w:sz w:val="20"/>
                <w:szCs w:val="20"/>
                <w:lang w:val="bg-BG"/>
              </w:rPr>
              <w:t>Използване на земеделските парцели</w:t>
            </w:r>
            <w:r w:rsidR="00EE4557" w:rsidRPr="00EE4557">
              <w:rPr>
                <w:rFonts w:ascii="Arial Narrow" w:hAnsi="Arial Narrow"/>
                <w:noProof/>
                <w:webHidden/>
                <w:sz w:val="20"/>
                <w:szCs w:val="20"/>
              </w:rPr>
              <w:tab/>
            </w:r>
            <w:r w:rsidR="00EE4557" w:rsidRPr="00EE4557">
              <w:rPr>
                <w:rFonts w:ascii="Arial Narrow" w:hAnsi="Arial Narrow"/>
                <w:noProof/>
                <w:webHidden/>
                <w:sz w:val="20"/>
                <w:szCs w:val="20"/>
              </w:rPr>
              <w:fldChar w:fldCharType="begin"/>
            </w:r>
            <w:r w:rsidR="00EE4557" w:rsidRPr="00EE4557">
              <w:rPr>
                <w:rFonts w:ascii="Arial Narrow" w:hAnsi="Arial Narrow"/>
                <w:noProof/>
                <w:webHidden/>
                <w:sz w:val="20"/>
                <w:szCs w:val="20"/>
              </w:rPr>
              <w:instrText xml:space="preserve"> PAGEREF _Toc210747523 \h </w:instrText>
            </w:r>
            <w:r w:rsidR="00EE4557" w:rsidRPr="00EE4557">
              <w:rPr>
                <w:rFonts w:ascii="Arial Narrow" w:hAnsi="Arial Narrow"/>
                <w:noProof/>
                <w:webHidden/>
                <w:sz w:val="20"/>
                <w:szCs w:val="20"/>
              </w:rPr>
            </w:r>
            <w:r w:rsidR="00EE4557" w:rsidRPr="00EE4557">
              <w:rPr>
                <w:rFonts w:ascii="Arial Narrow" w:hAnsi="Arial Narrow"/>
                <w:noProof/>
                <w:webHidden/>
                <w:sz w:val="20"/>
                <w:szCs w:val="20"/>
              </w:rPr>
              <w:fldChar w:fldCharType="separate"/>
            </w:r>
            <w:r w:rsidR="00211D64">
              <w:rPr>
                <w:rFonts w:ascii="Arial Narrow" w:hAnsi="Arial Narrow"/>
                <w:noProof/>
                <w:webHidden/>
                <w:sz w:val="20"/>
                <w:szCs w:val="20"/>
              </w:rPr>
              <w:t>15</w:t>
            </w:r>
            <w:r w:rsidR="00EE4557" w:rsidRPr="00EE4557">
              <w:rPr>
                <w:rFonts w:ascii="Arial Narrow" w:hAnsi="Arial Narrow"/>
                <w:noProof/>
                <w:webHidden/>
                <w:sz w:val="20"/>
                <w:szCs w:val="20"/>
              </w:rPr>
              <w:fldChar w:fldCharType="end"/>
            </w:r>
          </w:hyperlink>
        </w:p>
        <w:p w14:paraId="4C8269BE" w14:textId="77777777" w:rsidR="00EE4557" w:rsidRPr="00EE4557" w:rsidRDefault="00816B15">
          <w:pPr>
            <w:pStyle w:val="TOC1"/>
            <w:rPr>
              <w:rFonts w:ascii="Arial Narrow" w:eastAsiaTheme="minorEastAsia" w:hAnsi="Arial Narrow" w:cstheme="minorBidi"/>
              <w:noProof/>
              <w:sz w:val="20"/>
              <w:szCs w:val="20"/>
            </w:rPr>
          </w:pPr>
          <w:hyperlink w:anchor="_Toc210747524" w:history="1">
            <w:r w:rsidR="00EE4557" w:rsidRPr="00EE4557">
              <w:rPr>
                <w:rStyle w:val="Hyperlink"/>
                <w:rFonts w:ascii="Arial Narrow" w:hAnsi="Arial Narrow"/>
                <w:noProof/>
                <w:sz w:val="20"/>
                <w:szCs w:val="20"/>
              </w:rPr>
              <w:t>1.2.1.</w:t>
            </w:r>
            <w:r w:rsidR="00EE4557" w:rsidRPr="00EE4557">
              <w:rPr>
                <w:rStyle w:val="Hyperlink"/>
                <w:rFonts w:ascii="Arial Narrow" w:hAnsi="Arial Narrow"/>
                <w:noProof/>
                <w:sz w:val="20"/>
                <w:szCs w:val="20"/>
                <w:lang w:val="bg-BG"/>
              </w:rPr>
              <w:t xml:space="preserve"> Система за идентификация на земеделските парцели</w:t>
            </w:r>
            <w:r w:rsidR="00EE4557" w:rsidRPr="00EE4557">
              <w:rPr>
                <w:rFonts w:ascii="Arial Narrow" w:hAnsi="Arial Narrow"/>
                <w:noProof/>
                <w:webHidden/>
                <w:sz w:val="20"/>
                <w:szCs w:val="20"/>
              </w:rPr>
              <w:tab/>
            </w:r>
            <w:r w:rsidR="00EE4557" w:rsidRPr="00EE4557">
              <w:rPr>
                <w:rFonts w:ascii="Arial Narrow" w:hAnsi="Arial Narrow"/>
                <w:noProof/>
                <w:webHidden/>
                <w:sz w:val="20"/>
                <w:szCs w:val="20"/>
              </w:rPr>
              <w:fldChar w:fldCharType="begin"/>
            </w:r>
            <w:r w:rsidR="00EE4557" w:rsidRPr="00EE4557">
              <w:rPr>
                <w:rFonts w:ascii="Arial Narrow" w:hAnsi="Arial Narrow"/>
                <w:noProof/>
                <w:webHidden/>
                <w:sz w:val="20"/>
                <w:szCs w:val="20"/>
              </w:rPr>
              <w:instrText xml:space="preserve"> PAGEREF _Toc210747524 \h </w:instrText>
            </w:r>
            <w:r w:rsidR="00EE4557" w:rsidRPr="00EE4557">
              <w:rPr>
                <w:rFonts w:ascii="Arial Narrow" w:hAnsi="Arial Narrow"/>
                <w:noProof/>
                <w:webHidden/>
                <w:sz w:val="20"/>
                <w:szCs w:val="20"/>
              </w:rPr>
            </w:r>
            <w:r w:rsidR="00EE4557" w:rsidRPr="00EE4557">
              <w:rPr>
                <w:rFonts w:ascii="Arial Narrow" w:hAnsi="Arial Narrow"/>
                <w:noProof/>
                <w:webHidden/>
                <w:sz w:val="20"/>
                <w:szCs w:val="20"/>
              </w:rPr>
              <w:fldChar w:fldCharType="separate"/>
            </w:r>
            <w:r w:rsidR="00211D64">
              <w:rPr>
                <w:rFonts w:ascii="Arial Narrow" w:hAnsi="Arial Narrow"/>
                <w:noProof/>
                <w:webHidden/>
                <w:sz w:val="20"/>
                <w:szCs w:val="20"/>
              </w:rPr>
              <w:t>15</w:t>
            </w:r>
            <w:r w:rsidR="00EE4557" w:rsidRPr="00EE4557">
              <w:rPr>
                <w:rFonts w:ascii="Arial Narrow" w:hAnsi="Arial Narrow"/>
                <w:noProof/>
                <w:webHidden/>
                <w:sz w:val="20"/>
                <w:szCs w:val="20"/>
              </w:rPr>
              <w:fldChar w:fldCharType="end"/>
            </w:r>
          </w:hyperlink>
        </w:p>
        <w:p w14:paraId="421F8CD8" w14:textId="77777777" w:rsidR="00EE4557" w:rsidRPr="00EE4557" w:rsidRDefault="00816B15">
          <w:pPr>
            <w:pStyle w:val="TOC1"/>
            <w:rPr>
              <w:rFonts w:ascii="Arial Narrow" w:eastAsiaTheme="minorEastAsia" w:hAnsi="Arial Narrow" w:cstheme="minorBidi"/>
              <w:noProof/>
              <w:sz w:val="20"/>
              <w:szCs w:val="20"/>
            </w:rPr>
          </w:pPr>
          <w:hyperlink w:anchor="_Toc210747525" w:history="1">
            <w:r w:rsidR="00EE4557" w:rsidRPr="00EE4557">
              <w:rPr>
                <w:rStyle w:val="Hyperlink"/>
                <w:rFonts w:ascii="Arial Narrow" w:hAnsi="Arial Narrow"/>
                <w:noProof/>
                <w:sz w:val="20"/>
                <w:szCs w:val="20"/>
                <w:lang w:val="bg-BG"/>
              </w:rPr>
              <w:t>1.3.</w:t>
            </w:r>
            <w:r w:rsidR="00EE4557" w:rsidRPr="00EE4557">
              <w:rPr>
                <w:rFonts w:ascii="Arial Narrow" w:eastAsiaTheme="minorEastAsia" w:hAnsi="Arial Narrow" w:cstheme="minorBidi"/>
                <w:noProof/>
                <w:sz w:val="20"/>
                <w:szCs w:val="20"/>
              </w:rPr>
              <w:tab/>
            </w:r>
            <w:r w:rsidR="00EE4557" w:rsidRPr="00EE4557">
              <w:rPr>
                <w:rStyle w:val="Hyperlink"/>
                <w:rFonts w:ascii="Arial Narrow" w:hAnsi="Arial Narrow"/>
                <w:noProof/>
                <w:sz w:val="20"/>
                <w:szCs w:val="20"/>
                <w:lang w:val="bg-BG"/>
              </w:rPr>
              <w:t>Регистрация на земеделски стопани</w:t>
            </w:r>
            <w:r w:rsidR="00EE4557" w:rsidRPr="00EE4557">
              <w:rPr>
                <w:rFonts w:ascii="Arial Narrow" w:hAnsi="Arial Narrow"/>
                <w:noProof/>
                <w:webHidden/>
                <w:sz w:val="20"/>
                <w:szCs w:val="20"/>
              </w:rPr>
              <w:tab/>
            </w:r>
            <w:r w:rsidR="00EE4557" w:rsidRPr="00EE4557">
              <w:rPr>
                <w:rFonts w:ascii="Arial Narrow" w:hAnsi="Arial Narrow"/>
                <w:noProof/>
                <w:webHidden/>
                <w:sz w:val="20"/>
                <w:szCs w:val="20"/>
              </w:rPr>
              <w:fldChar w:fldCharType="begin"/>
            </w:r>
            <w:r w:rsidR="00EE4557" w:rsidRPr="00EE4557">
              <w:rPr>
                <w:rFonts w:ascii="Arial Narrow" w:hAnsi="Arial Narrow"/>
                <w:noProof/>
                <w:webHidden/>
                <w:sz w:val="20"/>
                <w:szCs w:val="20"/>
              </w:rPr>
              <w:instrText xml:space="preserve"> PAGEREF _Toc210747525 \h </w:instrText>
            </w:r>
            <w:r w:rsidR="00EE4557" w:rsidRPr="00EE4557">
              <w:rPr>
                <w:rFonts w:ascii="Arial Narrow" w:hAnsi="Arial Narrow"/>
                <w:noProof/>
                <w:webHidden/>
                <w:sz w:val="20"/>
                <w:szCs w:val="20"/>
              </w:rPr>
            </w:r>
            <w:r w:rsidR="00EE4557" w:rsidRPr="00EE4557">
              <w:rPr>
                <w:rFonts w:ascii="Arial Narrow" w:hAnsi="Arial Narrow"/>
                <w:noProof/>
                <w:webHidden/>
                <w:sz w:val="20"/>
                <w:szCs w:val="20"/>
              </w:rPr>
              <w:fldChar w:fldCharType="separate"/>
            </w:r>
            <w:r w:rsidR="00211D64">
              <w:rPr>
                <w:rFonts w:ascii="Arial Narrow" w:hAnsi="Arial Narrow"/>
                <w:noProof/>
                <w:webHidden/>
                <w:sz w:val="20"/>
                <w:szCs w:val="20"/>
              </w:rPr>
              <w:t>16</w:t>
            </w:r>
            <w:r w:rsidR="00EE4557" w:rsidRPr="00EE4557">
              <w:rPr>
                <w:rFonts w:ascii="Arial Narrow" w:hAnsi="Arial Narrow"/>
                <w:noProof/>
                <w:webHidden/>
                <w:sz w:val="20"/>
                <w:szCs w:val="20"/>
              </w:rPr>
              <w:fldChar w:fldCharType="end"/>
            </w:r>
          </w:hyperlink>
        </w:p>
        <w:p w14:paraId="4F6B06BF" w14:textId="77777777" w:rsidR="00EE4557" w:rsidRPr="00EE4557" w:rsidRDefault="00816B15">
          <w:pPr>
            <w:pStyle w:val="TOC1"/>
            <w:rPr>
              <w:rFonts w:ascii="Arial Narrow" w:eastAsiaTheme="minorEastAsia" w:hAnsi="Arial Narrow" w:cstheme="minorBidi"/>
              <w:noProof/>
              <w:sz w:val="20"/>
              <w:szCs w:val="20"/>
            </w:rPr>
          </w:pPr>
          <w:hyperlink w:anchor="_Toc210747526" w:history="1">
            <w:r w:rsidR="00EE4557" w:rsidRPr="00EE4557">
              <w:rPr>
                <w:rStyle w:val="Hyperlink"/>
                <w:rFonts w:ascii="Arial Narrow" w:hAnsi="Arial Narrow"/>
                <w:noProof/>
                <w:sz w:val="20"/>
                <w:szCs w:val="20"/>
                <w:lang w:val="bg-BG" w:eastAsia="bg-BG"/>
              </w:rPr>
              <w:t>1.4.</w:t>
            </w:r>
            <w:r w:rsidR="00EE4557" w:rsidRPr="00EE4557">
              <w:rPr>
                <w:rFonts w:ascii="Arial Narrow" w:eastAsiaTheme="minorEastAsia" w:hAnsi="Arial Narrow" w:cstheme="minorBidi"/>
                <w:noProof/>
                <w:sz w:val="20"/>
                <w:szCs w:val="20"/>
              </w:rPr>
              <w:tab/>
            </w:r>
            <w:r w:rsidR="00EE4557" w:rsidRPr="00EE4557">
              <w:rPr>
                <w:rStyle w:val="Hyperlink"/>
                <w:rFonts w:ascii="Arial Narrow" w:hAnsi="Arial Narrow"/>
                <w:noProof/>
                <w:sz w:val="20"/>
                <w:szCs w:val="20"/>
                <w:lang w:val="bg-BG"/>
              </w:rPr>
              <w:t>Участие на Държавния поземлен фонд в поземлените отношения в България</w:t>
            </w:r>
            <w:r w:rsidR="00EE4557" w:rsidRPr="00EE4557">
              <w:rPr>
                <w:rFonts w:ascii="Arial Narrow" w:hAnsi="Arial Narrow"/>
                <w:noProof/>
                <w:webHidden/>
                <w:sz w:val="20"/>
                <w:szCs w:val="20"/>
              </w:rPr>
              <w:tab/>
            </w:r>
            <w:r w:rsidR="00EE4557" w:rsidRPr="00EE4557">
              <w:rPr>
                <w:rFonts w:ascii="Arial Narrow" w:hAnsi="Arial Narrow"/>
                <w:noProof/>
                <w:webHidden/>
                <w:sz w:val="20"/>
                <w:szCs w:val="20"/>
              </w:rPr>
              <w:fldChar w:fldCharType="begin"/>
            </w:r>
            <w:r w:rsidR="00EE4557" w:rsidRPr="00EE4557">
              <w:rPr>
                <w:rFonts w:ascii="Arial Narrow" w:hAnsi="Arial Narrow"/>
                <w:noProof/>
                <w:webHidden/>
                <w:sz w:val="20"/>
                <w:szCs w:val="20"/>
              </w:rPr>
              <w:instrText xml:space="preserve"> PAGEREF _Toc210747526 \h </w:instrText>
            </w:r>
            <w:r w:rsidR="00EE4557" w:rsidRPr="00EE4557">
              <w:rPr>
                <w:rFonts w:ascii="Arial Narrow" w:hAnsi="Arial Narrow"/>
                <w:noProof/>
                <w:webHidden/>
                <w:sz w:val="20"/>
                <w:szCs w:val="20"/>
              </w:rPr>
            </w:r>
            <w:r w:rsidR="00EE4557" w:rsidRPr="00EE4557">
              <w:rPr>
                <w:rFonts w:ascii="Arial Narrow" w:hAnsi="Arial Narrow"/>
                <w:noProof/>
                <w:webHidden/>
                <w:sz w:val="20"/>
                <w:szCs w:val="20"/>
              </w:rPr>
              <w:fldChar w:fldCharType="separate"/>
            </w:r>
            <w:r w:rsidR="00211D64">
              <w:rPr>
                <w:rFonts w:ascii="Arial Narrow" w:hAnsi="Arial Narrow"/>
                <w:noProof/>
                <w:webHidden/>
                <w:sz w:val="20"/>
                <w:szCs w:val="20"/>
              </w:rPr>
              <w:t>16</w:t>
            </w:r>
            <w:r w:rsidR="00EE4557" w:rsidRPr="00EE4557">
              <w:rPr>
                <w:rFonts w:ascii="Arial Narrow" w:hAnsi="Arial Narrow"/>
                <w:noProof/>
                <w:webHidden/>
                <w:sz w:val="20"/>
                <w:szCs w:val="20"/>
              </w:rPr>
              <w:fldChar w:fldCharType="end"/>
            </w:r>
          </w:hyperlink>
        </w:p>
        <w:p w14:paraId="57EEA3C7" w14:textId="77777777" w:rsidR="00EE4557" w:rsidRPr="00EE4557" w:rsidRDefault="00816B15">
          <w:pPr>
            <w:pStyle w:val="TOC1"/>
            <w:rPr>
              <w:rFonts w:ascii="Arial Narrow" w:eastAsiaTheme="minorEastAsia" w:hAnsi="Arial Narrow" w:cstheme="minorBidi"/>
              <w:noProof/>
              <w:sz w:val="20"/>
              <w:szCs w:val="20"/>
            </w:rPr>
          </w:pPr>
          <w:hyperlink w:anchor="_Toc210747527" w:history="1">
            <w:r w:rsidR="00EE4557" w:rsidRPr="00EE4557">
              <w:rPr>
                <w:rStyle w:val="Hyperlink"/>
                <w:rFonts w:ascii="Arial Narrow" w:hAnsi="Arial Narrow"/>
                <w:noProof/>
                <w:sz w:val="20"/>
                <w:szCs w:val="20"/>
              </w:rPr>
              <w:t>1.4.1.</w:t>
            </w:r>
            <w:r w:rsidR="00EE4557" w:rsidRPr="00EE4557">
              <w:rPr>
                <w:rFonts w:ascii="Arial Narrow" w:eastAsiaTheme="minorEastAsia" w:hAnsi="Arial Narrow" w:cstheme="minorBidi"/>
                <w:noProof/>
                <w:sz w:val="20"/>
                <w:szCs w:val="20"/>
              </w:rPr>
              <w:tab/>
            </w:r>
            <w:r w:rsidR="00EE4557" w:rsidRPr="00EE4557">
              <w:rPr>
                <w:rStyle w:val="Hyperlink"/>
                <w:rFonts w:ascii="Arial Narrow" w:hAnsi="Arial Narrow"/>
                <w:noProof/>
                <w:sz w:val="20"/>
                <w:szCs w:val="20"/>
                <w:lang w:val="bg-BG"/>
              </w:rPr>
              <w:t>Предоставяне на имоти от Държавния поземлен фонд под наем или аренда</w:t>
            </w:r>
            <w:r w:rsidR="00EE4557" w:rsidRPr="00EE4557">
              <w:rPr>
                <w:rFonts w:ascii="Arial Narrow" w:hAnsi="Arial Narrow"/>
                <w:noProof/>
                <w:webHidden/>
                <w:sz w:val="20"/>
                <w:szCs w:val="20"/>
              </w:rPr>
              <w:tab/>
            </w:r>
            <w:r w:rsidR="00EE4557" w:rsidRPr="00EE4557">
              <w:rPr>
                <w:rFonts w:ascii="Arial Narrow" w:hAnsi="Arial Narrow"/>
                <w:noProof/>
                <w:webHidden/>
                <w:sz w:val="20"/>
                <w:szCs w:val="20"/>
              </w:rPr>
              <w:fldChar w:fldCharType="begin"/>
            </w:r>
            <w:r w:rsidR="00EE4557" w:rsidRPr="00EE4557">
              <w:rPr>
                <w:rFonts w:ascii="Arial Narrow" w:hAnsi="Arial Narrow"/>
                <w:noProof/>
                <w:webHidden/>
                <w:sz w:val="20"/>
                <w:szCs w:val="20"/>
              </w:rPr>
              <w:instrText xml:space="preserve"> PAGEREF _Toc210747527 \h </w:instrText>
            </w:r>
            <w:r w:rsidR="00EE4557" w:rsidRPr="00EE4557">
              <w:rPr>
                <w:rFonts w:ascii="Arial Narrow" w:hAnsi="Arial Narrow"/>
                <w:noProof/>
                <w:webHidden/>
                <w:sz w:val="20"/>
                <w:szCs w:val="20"/>
              </w:rPr>
            </w:r>
            <w:r w:rsidR="00EE4557" w:rsidRPr="00EE4557">
              <w:rPr>
                <w:rFonts w:ascii="Arial Narrow" w:hAnsi="Arial Narrow"/>
                <w:noProof/>
                <w:webHidden/>
                <w:sz w:val="20"/>
                <w:szCs w:val="20"/>
              </w:rPr>
              <w:fldChar w:fldCharType="separate"/>
            </w:r>
            <w:r w:rsidR="00211D64">
              <w:rPr>
                <w:rFonts w:ascii="Arial Narrow" w:hAnsi="Arial Narrow"/>
                <w:noProof/>
                <w:webHidden/>
                <w:sz w:val="20"/>
                <w:szCs w:val="20"/>
              </w:rPr>
              <w:t>16</w:t>
            </w:r>
            <w:r w:rsidR="00EE4557" w:rsidRPr="00EE4557">
              <w:rPr>
                <w:rFonts w:ascii="Arial Narrow" w:hAnsi="Arial Narrow"/>
                <w:noProof/>
                <w:webHidden/>
                <w:sz w:val="20"/>
                <w:szCs w:val="20"/>
              </w:rPr>
              <w:fldChar w:fldCharType="end"/>
            </w:r>
          </w:hyperlink>
        </w:p>
        <w:p w14:paraId="790DF3B0" w14:textId="77777777" w:rsidR="00EE4557" w:rsidRPr="00EE4557" w:rsidRDefault="00816B15">
          <w:pPr>
            <w:pStyle w:val="TOC1"/>
            <w:rPr>
              <w:rFonts w:ascii="Arial Narrow" w:eastAsiaTheme="minorEastAsia" w:hAnsi="Arial Narrow" w:cstheme="minorBidi"/>
              <w:noProof/>
              <w:sz w:val="20"/>
              <w:szCs w:val="20"/>
            </w:rPr>
          </w:pPr>
          <w:hyperlink w:anchor="_Toc210747528" w:history="1">
            <w:r w:rsidR="00EE4557" w:rsidRPr="00EE4557">
              <w:rPr>
                <w:rStyle w:val="Hyperlink"/>
                <w:rFonts w:ascii="Arial Narrow" w:hAnsi="Arial Narrow"/>
                <w:noProof/>
                <w:sz w:val="20"/>
                <w:szCs w:val="20"/>
                <w:lang w:val="bg-BG"/>
              </w:rPr>
              <w:t>1.4.2.</w:t>
            </w:r>
            <w:r w:rsidR="00EE4557" w:rsidRPr="00EE4557">
              <w:rPr>
                <w:rFonts w:ascii="Arial Narrow" w:eastAsiaTheme="minorEastAsia" w:hAnsi="Arial Narrow" w:cstheme="minorBidi"/>
                <w:noProof/>
                <w:sz w:val="20"/>
                <w:szCs w:val="20"/>
              </w:rPr>
              <w:tab/>
            </w:r>
            <w:r w:rsidR="00EE4557" w:rsidRPr="00EE4557">
              <w:rPr>
                <w:rStyle w:val="Hyperlink"/>
                <w:rFonts w:ascii="Arial Narrow" w:hAnsi="Arial Narrow"/>
                <w:noProof/>
                <w:sz w:val="20"/>
                <w:szCs w:val="20"/>
                <w:lang w:val="bg-BG"/>
              </w:rPr>
              <w:t>Разпределение на пасища, мери и ливади от държавен и общински поземлен фонд по</w:t>
            </w:r>
            <w:r w:rsidR="00EE4557" w:rsidRPr="00EE4557">
              <w:rPr>
                <w:rStyle w:val="Hyperlink"/>
                <w:rFonts w:ascii="Arial Narrow" w:hAnsi="Arial Narrow"/>
                <w:noProof/>
                <w:sz w:val="20"/>
                <w:szCs w:val="20"/>
              </w:rPr>
              <w:t xml:space="preserve"> </w:t>
            </w:r>
            <w:r w:rsidR="00EE4557" w:rsidRPr="00EE4557">
              <w:rPr>
                <w:rStyle w:val="Hyperlink"/>
                <w:rFonts w:ascii="Arial Narrow" w:hAnsi="Arial Narrow"/>
                <w:noProof/>
                <w:sz w:val="20"/>
                <w:szCs w:val="20"/>
                <w:lang w:val="bg-BG"/>
              </w:rPr>
              <w:t>реда на чл. 37 и от ЗСПЗЗ</w:t>
            </w:r>
            <w:r w:rsidR="00EE4557" w:rsidRPr="00EE4557">
              <w:rPr>
                <w:rFonts w:ascii="Arial Narrow" w:hAnsi="Arial Narrow"/>
                <w:noProof/>
                <w:webHidden/>
                <w:sz w:val="20"/>
                <w:szCs w:val="20"/>
              </w:rPr>
              <w:tab/>
            </w:r>
            <w:r w:rsidR="00EE4557" w:rsidRPr="00EE4557">
              <w:rPr>
                <w:rFonts w:ascii="Arial Narrow" w:hAnsi="Arial Narrow"/>
                <w:noProof/>
                <w:webHidden/>
                <w:sz w:val="20"/>
                <w:szCs w:val="20"/>
              </w:rPr>
              <w:fldChar w:fldCharType="begin"/>
            </w:r>
            <w:r w:rsidR="00EE4557" w:rsidRPr="00EE4557">
              <w:rPr>
                <w:rFonts w:ascii="Arial Narrow" w:hAnsi="Arial Narrow"/>
                <w:noProof/>
                <w:webHidden/>
                <w:sz w:val="20"/>
                <w:szCs w:val="20"/>
              </w:rPr>
              <w:instrText xml:space="preserve"> PAGEREF _Toc210747528 \h </w:instrText>
            </w:r>
            <w:r w:rsidR="00EE4557" w:rsidRPr="00EE4557">
              <w:rPr>
                <w:rFonts w:ascii="Arial Narrow" w:hAnsi="Arial Narrow"/>
                <w:noProof/>
                <w:webHidden/>
                <w:sz w:val="20"/>
                <w:szCs w:val="20"/>
              </w:rPr>
            </w:r>
            <w:r w:rsidR="00EE4557" w:rsidRPr="00EE4557">
              <w:rPr>
                <w:rFonts w:ascii="Arial Narrow" w:hAnsi="Arial Narrow"/>
                <w:noProof/>
                <w:webHidden/>
                <w:sz w:val="20"/>
                <w:szCs w:val="20"/>
              </w:rPr>
              <w:fldChar w:fldCharType="separate"/>
            </w:r>
            <w:r w:rsidR="00211D64">
              <w:rPr>
                <w:rFonts w:ascii="Arial Narrow" w:hAnsi="Arial Narrow"/>
                <w:noProof/>
                <w:webHidden/>
                <w:sz w:val="20"/>
                <w:szCs w:val="20"/>
              </w:rPr>
              <w:t>17</w:t>
            </w:r>
            <w:r w:rsidR="00EE4557" w:rsidRPr="00EE4557">
              <w:rPr>
                <w:rFonts w:ascii="Arial Narrow" w:hAnsi="Arial Narrow"/>
                <w:noProof/>
                <w:webHidden/>
                <w:sz w:val="20"/>
                <w:szCs w:val="20"/>
              </w:rPr>
              <w:fldChar w:fldCharType="end"/>
            </w:r>
          </w:hyperlink>
        </w:p>
        <w:p w14:paraId="274AA472" w14:textId="77777777" w:rsidR="00EE4557" w:rsidRPr="00EE4557" w:rsidRDefault="00816B15">
          <w:pPr>
            <w:pStyle w:val="TOC1"/>
            <w:rPr>
              <w:rFonts w:ascii="Arial Narrow" w:eastAsiaTheme="minorEastAsia" w:hAnsi="Arial Narrow" w:cstheme="minorBidi"/>
              <w:noProof/>
              <w:sz w:val="20"/>
              <w:szCs w:val="20"/>
            </w:rPr>
          </w:pPr>
          <w:hyperlink w:anchor="_Toc210747529" w:history="1">
            <w:r w:rsidR="00EE4557" w:rsidRPr="00EE4557">
              <w:rPr>
                <w:rStyle w:val="Hyperlink"/>
                <w:rFonts w:ascii="Arial Narrow" w:hAnsi="Arial Narrow"/>
                <w:bCs/>
                <w:noProof/>
                <w:sz w:val="20"/>
                <w:szCs w:val="20"/>
                <w:lang w:val="bg-BG"/>
              </w:rPr>
              <w:t>1.4.3.</w:t>
            </w:r>
            <w:r w:rsidR="00EE4557" w:rsidRPr="00EE4557">
              <w:rPr>
                <w:rFonts w:ascii="Arial Narrow" w:eastAsiaTheme="minorEastAsia" w:hAnsi="Arial Narrow" w:cstheme="minorBidi"/>
                <w:noProof/>
                <w:sz w:val="20"/>
                <w:szCs w:val="20"/>
              </w:rPr>
              <w:tab/>
            </w:r>
            <w:r w:rsidR="00EE4557" w:rsidRPr="00EE4557">
              <w:rPr>
                <w:rStyle w:val="Hyperlink"/>
                <w:rFonts w:ascii="Arial Narrow" w:hAnsi="Arial Narrow"/>
                <w:noProof/>
                <w:sz w:val="20"/>
                <w:szCs w:val="20"/>
                <w:lang w:val="bg-BG"/>
              </w:rPr>
              <w:t>Учредяване на ограничени вещни права върху земи от ДПФ</w:t>
            </w:r>
            <w:r w:rsidR="00EE4557" w:rsidRPr="00EE4557">
              <w:rPr>
                <w:rFonts w:ascii="Arial Narrow" w:hAnsi="Arial Narrow"/>
                <w:noProof/>
                <w:webHidden/>
                <w:sz w:val="20"/>
                <w:szCs w:val="20"/>
              </w:rPr>
              <w:tab/>
            </w:r>
            <w:r w:rsidR="00EE4557" w:rsidRPr="00EE4557">
              <w:rPr>
                <w:rFonts w:ascii="Arial Narrow" w:hAnsi="Arial Narrow"/>
                <w:noProof/>
                <w:webHidden/>
                <w:sz w:val="20"/>
                <w:szCs w:val="20"/>
              </w:rPr>
              <w:fldChar w:fldCharType="begin"/>
            </w:r>
            <w:r w:rsidR="00EE4557" w:rsidRPr="00EE4557">
              <w:rPr>
                <w:rFonts w:ascii="Arial Narrow" w:hAnsi="Arial Narrow"/>
                <w:noProof/>
                <w:webHidden/>
                <w:sz w:val="20"/>
                <w:szCs w:val="20"/>
              </w:rPr>
              <w:instrText xml:space="preserve"> PAGEREF _Toc210747529 \h </w:instrText>
            </w:r>
            <w:r w:rsidR="00EE4557" w:rsidRPr="00EE4557">
              <w:rPr>
                <w:rFonts w:ascii="Arial Narrow" w:hAnsi="Arial Narrow"/>
                <w:noProof/>
                <w:webHidden/>
                <w:sz w:val="20"/>
                <w:szCs w:val="20"/>
              </w:rPr>
            </w:r>
            <w:r w:rsidR="00EE4557" w:rsidRPr="00EE4557">
              <w:rPr>
                <w:rFonts w:ascii="Arial Narrow" w:hAnsi="Arial Narrow"/>
                <w:noProof/>
                <w:webHidden/>
                <w:sz w:val="20"/>
                <w:szCs w:val="20"/>
              </w:rPr>
              <w:fldChar w:fldCharType="separate"/>
            </w:r>
            <w:r w:rsidR="00211D64">
              <w:rPr>
                <w:rFonts w:ascii="Arial Narrow" w:hAnsi="Arial Narrow"/>
                <w:noProof/>
                <w:webHidden/>
                <w:sz w:val="20"/>
                <w:szCs w:val="20"/>
              </w:rPr>
              <w:t>17</w:t>
            </w:r>
            <w:r w:rsidR="00EE4557" w:rsidRPr="00EE4557">
              <w:rPr>
                <w:rFonts w:ascii="Arial Narrow" w:hAnsi="Arial Narrow"/>
                <w:noProof/>
                <w:webHidden/>
                <w:sz w:val="20"/>
                <w:szCs w:val="20"/>
              </w:rPr>
              <w:fldChar w:fldCharType="end"/>
            </w:r>
          </w:hyperlink>
        </w:p>
        <w:p w14:paraId="7593667A" w14:textId="77777777" w:rsidR="00EE4557" w:rsidRPr="00EE4557" w:rsidRDefault="00816B15">
          <w:pPr>
            <w:pStyle w:val="TOC1"/>
            <w:rPr>
              <w:rFonts w:ascii="Arial Narrow" w:eastAsiaTheme="minorEastAsia" w:hAnsi="Arial Narrow" w:cstheme="minorBidi"/>
              <w:noProof/>
              <w:sz w:val="20"/>
              <w:szCs w:val="20"/>
            </w:rPr>
          </w:pPr>
          <w:hyperlink w:anchor="_Toc210747530" w:history="1">
            <w:r w:rsidR="00EE4557" w:rsidRPr="00EE4557">
              <w:rPr>
                <w:rStyle w:val="Hyperlink"/>
                <w:rFonts w:ascii="Arial Narrow" w:hAnsi="Arial Narrow"/>
                <w:noProof/>
                <w:sz w:val="20"/>
                <w:szCs w:val="20"/>
                <w:lang w:val="bg-BG"/>
              </w:rPr>
              <w:t>1.5.</w:t>
            </w:r>
            <w:r w:rsidR="00EE4557" w:rsidRPr="00EE4557">
              <w:rPr>
                <w:rFonts w:ascii="Arial Narrow" w:eastAsiaTheme="minorEastAsia" w:hAnsi="Arial Narrow" w:cstheme="minorBidi"/>
                <w:noProof/>
                <w:sz w:val="20"/>
                <w:szCs w:val="20"/>
              </w:rPr>
              <w:tab/>
            </w:r>
            <w:r w:rsidR="00EE4557" w:rsidRPr="00EE4557">
              <w:rPr>
                <w:rStyle w:val="Hyperlink"/>
                <w:rFonts w:ascii="Arial Narrow" w:hAnsi="Arial Narrow"/>
                <w:noProof/>
                <w:sz w:val="20"/>
                <w:szCs w:val="20"/>
                <w:lang w:val="bg-BG"/>
              </w:rPr>
              <w:t>Дейности по предаване на регистрирани правни основания за ползване на земеделски площи</w:t>
            </w:r>
            <w:r w:rsidR="00EE4557" w:rsidRPr="00EE4557">
              <w:rPr>
                <w:rFonts w:ascii="Arial Narrow" w:hAnsi="Arial Narrow"/>
                <w:noProof/>
                <w:webHidden/>
                <w:sz w:val="20"/>
                <w:szCs w:val="20"/>
              </w:rPr>
              <w:tab/>
            </w:r>
            <w:r w:rsidR="00EE4557" w:rsidRPr="00EE4557">
              <w:rPr>
                <w:rFonts w:ascii="Arial Narrow" w:hAnsi="Arial Narrow"/>
                <w:noProof/>
                <w:webHidden/>
                <w:sz w:val="20"/>
                <w:szCs w:val="20"/>
              </w:rPr>
              <w:fldChar w:fldCharType="begin"/>
            </w:r>
            <w:r w:rsidR="00EE4557" w:rsidRPr="00EE4557">
              <w:rPr>
                <w:rFonts w:ascii="Arial Narrow" w:hAnsi="Arial Narrow"/>
                <w:noProof/>
                <w:webHidden/>
                <w:sz w:val="20"/>
                <w:szCs w:val="20"/>
              </w:rPr>
              <w:instrText xml:space="preserve"> PAGEREF _Toc210747530 \h </w:instrText>
            </w:r>
            <w:r w:rsidR="00EE4557" w:rsidRPr="00EE4557">
              <w:rPr>
                <w:rFonts w:ascii="Arial Narrow" w:hAnsi="Arial Narrow"/>
                <w:noProof/>
                <w:webHidden/>
                <w:sz w:val="20"/>
                <w:szCs w:val="20"/>
              </w:rPr>
            </w:r>
            <w:r w:rsidR="00EE4557" w:rsidRPr="00EE4557">
              <w:rPr>
                <w:rFonts w:ascii="Arial Narrow" w:hAnsi="Arial Narrow"/>
                <w:noProof/>
                <w:webHidden/>
                <w:sz w:val="20"/>
                <w:szCs w:val="20"/>
              </w:rPr>
              <w:fldChar w:fldCharType="separate"/>
            </w:r>
            <w:r w:rsidR="00211D64">
              <w:rPr>
                <w:rFonts w:ascii="Arial Narrow" w:hAnsi="Arial Narrow"/>
                <w:noProof/>
                <w:webHidden/>
                <w:sz w:val="20"/>
                <w:szCs w:val="20"/>
              </w:rPr>
              <w:t>17</w:t>
            </w:r>
            <w:r w:rsidR="00EE4557" w:rsidRPr="00EE4557">
              <w:rPr>
                <w:rFonts w:ascii="Arial Narrow" w:hAnsi="Arial Narrow"/>
                <w:noProof/>
                <w:webHidden/>
                <w:sz w:val="20"/>
                <w:szCs w:val="20"/>
              </w:rPr>
              <w:fldChar w:fldCharType="end"/>
            </w:r>
          </w:hyperlink>
        </w:p>
        <w:p w14:paraId="32CF57F3" w14:textId="77777777" w:rsidR="00EE4557" w:rsidRPr="00EE4557" w:rsidRDefault="00816B15">
          <w:pPr>
            <w:pStyle w:val="TOC1"/>
            <w:rPr>
              <w:rFonts w:ascii="Arial Narrow" w:eastAsiaTheme="minorEastAsia" w:hAnsi="Arial Narrow" w:cstheme="minorBidi"/>
              <w:noProof/>
              <w:sz w:val="20"/>
              <w:szCs w:val="20"/>
            </w:rPr>
          </w:pPr>
          <w:hyperlink w:anchor="_Toc210747531" w:history="1">
            <w:r w:rsidR="00EE4557" w:rsidRPr="00EE4557">
              <w:rPr>
                <w:rStyle w:val="Hyperlink"/>
                <w:rFonts w:ascii="Arial Narrow" w:hAnsi="Arial Narrow"/>
                <w:noProof/>
                <w:sz w:val="20"/>
                <w:szCs w:val="20"/>
                <w:lang w:val="bg-BG"/>
              </w:rPr>
              <w:t>1.6.</w:t>
            </w:r>
            <w:r w:rsidR="00EE4557" w:rsidRPr="00EE4557">
              <w:rPr>
                <w:rFonts w:ascii="Arial Narrow" w:eastAsiaTheme="minorEastAsia" w:hAnsi="Arial Narrow" w:cstheme="minorBidi"/>
                <w:noProof/>
                <w:sz w:val="20"/>
                <w:szCs w:val="20"/>
              </w:rPr>
              <w:tab/>
            </w:r>
            <w:r w:rsidR="00EE4557" w:rsidRPr="00EE4557">
              <w:rPr>
                <w:rStyle w:val="Hyperlink"/>
                <w:rFonts w:ascii="Arial Narrow" w:hAnsi="Arial Narrow"/>
                <w:noProof/>
                <w:sz w:val="20"/>
                <w:szCs w:val="20"/>
                <w:lang w:val="bg-BG"/>
              </w:rPr>
              <w:t>Дейности по опазване на земеделските земи</w:t>
            </w:r>
            <w:r w:rsidR="00EE4557" w:rsidRPr="00EE4557">
              <w:rPr>
                <w:rFonts w:ascii="Arial Narrow" w:hAnsi="Arial Narrow"/>
                <w:noProof/>
                <w:webHidden/>
                <w:sz w:val="20"/>
                <w:szCs w:val="20"/>
              </w:rPr>
              <w:tab/>
            </w:r>
            <w:r w:rsidR="00EE4557" w:rsidRPr="00EE4557">
              <w:rPr>
                <w:rFonts w:ascii="Arial Narrow" w:hAnsi="Arial Narrow"/>
                <w:noProof/>
                <w:webHidden/>
                <w:sz w:val="20"/>
                <w:szCs w:val="20"/>
              </w:rPr>
              <w:fldChar w:fldCharType="begin"/>
            </w:r>
            <w:r w:rsidR="00EE4557" w:rsidRPr="00EE4557">
              <w:rPr>
                <w:rFonts w:ascii="Arial Narrow" w:hAnsi="Arial Narrow"/>
                <w:noProof/>
                <w:webHidden/>
                <w:sz w:val="20"/>
                <w:szCs w:val="20"/>
              </w:rPr>
              <w:instrText xml:space="preserve"> PAGEREF _Toc210747531 \h </w:instrText>
            </w:r>
            <w:r w:rsidR="00EE4557" w:rsidRPr="00EE4557">
              <w:rPr>
                <w:rFonts w:ascii="Arial Narrow" w:hAnsi="Arial Narrow"/>
                <w:noProof/>
                <w:webHidden/>
                <w:sz w:val="20"/>
                <w:szCs w:val="20"/>
              </w:rPr>
            </w:r>
            <w:r w:rsidR="00EE4557" w:rsidRPr="00EE4557">
              <w:rPr>
                <w:rFonts w:ascii="Arial Narrow" w:hAnsi="Arial Narrow"/>
                <w:noProof/>
                <w:webHidden/>
                <w:sz w:val="20"/>
                <w:szCs w:val="20"/>
              </w:rPr>
              <w:fldChar w:fldCharType="separate"/>
            </w:r>
            <w:r w:rsidR="00211D64">
              <w:rPr>
                <w:rFonts w:ascii="Arial Narrow" w:hAnsi="Arial Narrow"/>
                <w:noProof/>
                <w:webHidden/>
                <w:sz w:val="20"/>
                <w:szCs w:val="20"/>
              </w:rPr>
              <w:t>17</w:t>
            </w:r>
            <w:r w:rsidR="00EE4557" w:rsidRPr="00EE4557">
              <w:rPr>
                <w:rFonts w:ascii="Arial Narrow" w:hAnsi="Arial Narrow"/>
                <w:noProof/>
                <w:webHidden/>
                <w:sz w:val="20"/>
                <w:szCs w:val="20"/>
              </w:rPr>
              <w:fldChar w:fldCharType="end"/>
            </w:r>
          </w:hyperlink>
        </w:p>
        <w:p w14:paraId="576DC20B" w14:textId="77777777" w:rsidR="00EE4557" w:rsidRPr="00EE4557" w:rsidRDefault="00816B15">
          <w:pPr>
            <w:pStyle w:val="TOC1"/>
            <w:rPr>
              <w:rFonts w:ascii="Arial Narrow" w:eastAsiaTheme="minorEastAsia" w:hAnsi="Arial Narrow" w:cstheme="minorBidi"/>
              <w:noProof/>
              <w:sz w:val="20"/>
              <w:szCs w:val="20"/>
            </w:rPr>
          </w:pPr>
          <w:hyperlink w:anchor="_Toc210747532" w:history="1">
            <w:r w:rsidR="00EE4557" w:rsidRPr="00EE4557">
              <w:rPr>
                <w:rStyle w:val="Hyperlink"/>
                <w:rFonts w:ascii="Arial Narrow" w:hAnsi="Arial Narrow"/>
                <w:noProof/>
                <w:sz w:val="20"/>
                <w:szCs w:val="20"/>
                <w:lang w:val="bg-BG"/>
              </w:rPr>
              <w:t>2.</w:t>
            </w:r>
            <w:r w:rsidR="00EE4557" w:rsidRPr="00EE4557">
              <w:rPr>
                <w:rFonts w:ascii="Arial Narrow" w:eastAsiaTheme="minorEastAsia" w:hAnsi="Arial Narrow" w:cstheme="minorBidi"/>
                <w:noProof/>
                <w:sz w:val="20"/>
                <w:szCs w:val="20"/>
              </w:rPr>
              <w:tab/>
            </w:r>
            <w:r w:rsidR="00EE4557" w:rsidRPr="00EE4557">
              <w:rPr>
                <w:rStyle w:val="Hyperlink"/>
                <w:rFonts w:ascii="Arial Narrow" w:hAnsi="Arial Narrow"/>
                <w:noProof/>
                <w:sz w:val="20"/>
                <w:szCs w:val="20"/>
                <w:lang w:val="bg-BG"/>
              </w:rPr>
              <w:t>Икономически и производствени резултати през 202</w:t>
            </w:r>
            <w:r w:rsidR="00EE4557" w:rsidRPr="00EE4557">
              <w:rPr>
                <w:rStyle w:val="Hyperlink"/>
                <w:rFonts w:ascii="Arial Narrow" w:hAnsi="Arial Narrow"/>
                <w:noProof/>
                <w:sz w:val="20"/>
                <w:szCs w:val="20"/>
              </w:rPr>
              <w:t>4</w:t>
            </w:r>
            <w:r w:rsidR="00EE4557" w:rsidRPr="00EE4557">
              <w:rPr>
                <w:rStyle w:val="Hyperlink"/>
                <w:rFonts w:ascii="Arial Narrow" w:hAnsi="Arial Narrow"/>
                <w:noProof/>
                <w:sz w:val="20"/>
                <w:szCs w:val="20"/>
                <w:lang w:val="bg-BG"/>
              </w:rPr>
              <w:t xml:space="preserve"> г. и прогнозни данни за 202</w:t>
            </w:r>
            <w:r w:rsidR="00EE4557" w:rsidRPr="00EE4557">
              <w:rPr>
                <w:rStyle w:val="Hyperlink"/>
                <w:rFonts w:ascii="Arial Narrow" w:hAnsi="Arial Narrow"/>
                <w:noProof/>
                <w:sz w:val="20"/>
                <w:szCs w:val="20"/>
              </w:rPr>
              <w:t>5</w:t>
            </w:r>
            <w:r w:rsidR="00EE4557" w:rsidRPr="00EE4557">
              <w:rPr>
                <w:rStyle w:val="Hyperlink"/>
                <w:rFonts w:ascii="Arial Narrow" w:hAnsi="Arial Narrow"/>
                <w:noProof/>
                <w:sz w:val="20"/>
                <w:szCs w:val="20"/>
                <w:lang w:val="bg-BG"/>
              </w:rPr>
              <w:t xml:space="preserve"> г.</w:t>
            </w:r>
            <w:r w:rsidR="00EE4557" w:rsidRPr="00EE4557">
              <w:rPr>
                <w:rFonts w:ascii="Arial Narrow" w:hAnsi="Arial Narrow"/>
                <w:noProof/>
                <w:webHidden/>
                <w:sz w:val="20"/>
                <w:szCs w:val="20"/>
              </w:rPr>
              <w:tab/>
            </w:r>
            <w:r w:rsidR="00EE4557" w:rsidRPr="00EE4557">
              <w:rPr>
                <w:rFonts w:ascii="Arial Narrow" w:hAnsi="Arial Narrow"/>
                <w:noProof/>
                <w:webHidden/>
                <w:sz w:val="20"/>
                <w:szCs w:val="20"/>
              </w:rPr>
              <w:fldChar w:fldCharType="begin"/>
            </w:r>
            <w:r w:rsidR="00EE4557" w:rsidRPr="00EE4557">
              <w:rPr>
                <w:rFonts w:ascii="Arial Narrow" w:hAnsi="Arial Narrow"/>
                <w:noProof/>
                <w:webHidden/>
                <w:sz w:val="20"/>
                <w:szCs w:val="20"/>
              </w:rPr>
              <w:instrText xml:space="preserve"> PAGEREF _Toc210747532 \h </w:instrText>
            </w:r>
            <w:r w:rsidR="00EE4557" w:rsidRPr="00EE4557">
              <w:rPr>
                <w:rFonts w:ascii="Arial Narrow" w:hAnsi="Arial Narrow"/>
                <w:noProof/>
                <w:webHidden/>
                <w:sz w:val="20"/>
                <w:szCs w:val="20"/>
              </w:rPr>
            </w:r>
            <w:r w:rsidR="00EE4557" w:rsidRPr="00EE4557">
              <w:rPr>
                <w:rFonts w:ascii="Arial Narrow" w:hAnsi="Arial Narrow"/>
                <w:noProof/>
                <w:webHidden/>
                <w:sz w:val="20"/>
                <w:szCs w:val="20"/>
              </w:rPr>
              <w:fldChar w:fldCharType="separate"/>
            </w:r>
            <w:r w:rsidR="00211D64">
              <w:rPr>
                <w:rFonts w:ascii="Arial Narrow" w:hAnsi="Arial Narrow"/>
                <w:noProof/>
                <w:webHidden/>
                <w:sz w:val="20"/>
                <w:szCs w:val="20"/>
              </w:rPr>
              <w:t>18</w:t>
            </w:r>
            <w:r w:rsidR="00EE4557" w:rsidRPr="00EE4557">
              <w:rPr>
                <w:rFonts w:ascii="Arial Narrow" w:hAnsi="Arial Narrow"/>
                <w:noProof/>
                <w:webHidden/>
                <w:sz w:val="20"/>
                <w:szCs w:val="20"/>
              </w:rPr>
              <w:fldChar w:fldCharType="end"/>
            </w:r>
          </w:hyperlink>
        </w:p>
        <w:p w14:paraId="28BA05C0" w14:textId="77777777" w:rsidR="00EE4557" w:rsidRPr="00EE4557" w:rsidRDefault="00816B15">
          <w:pPr>
            <w:pStyle w:val="TOC1"/>
            <w:rPr>
              <w:rFonts w:ascii="Arial Narrow" w:eastAsiaTheme="minorEastAsia" w:hAnsi="Arial Narrow" w:cstheme="minorBidi"/>
              <w:noProof/>
              <w:sz w:val="20"/>
              <w:szCs w:val="20"/>
            </w:rPr>
          </w:pPr>
          <w:hyperlink w:anchor="_Toc210747533" w:history="1">
            <w:r w:rsidR="00EE4557" w:rsidRPr="00EE4557">
              <w:rPr>
                <w:rStyle w:val="Hyperlink"/>
                <w:rFonts w:ascii="Arial Narrow" w:hAnsi="Arial Narrow"/>
                <w:noProof/>
                <w:sz w:val="20"/>
                <w:szCs w:val="20"/>
                <w:lang w:val="bg-BG" w:eastAsia="bg-BG"/>
              </w:rPr>
              <w:t>2.1.</w:t>
            </w:r>
            <w:r w:rsidR="00EE4557" w:rsidRPr="00EE4557">
              <w:rPr>
                <w:rFonts w:ascii="Arial Narrow" w:eastAsiaTheme="minorEastAsia" w:hAnsi="Arial Narrow" w:cstheme="minorBidi"/>
                <w:noProof/>
                <w:sz w:val="20"/>
                <w:szCs w:val="20"/>
              </w:rPr>
              <w:tab/>
            </w:r>
            <w:r w:rsidR="00EE4557" w:rsidRPr="00EE4557">
              <w:rPr>
                <w:rStyle w:val="Hyperlink"/>
                <w:rFonts w:ascii="Arial Narrow" w:hAnsi="Arial Narrow"/>
                <w:noProof/>
                <w:sz w:val="20"/>
                <w:szCs w:val="20"/>
                <w:lang w:val="bg-BG" w:eastAsia="bg-BG"/>
              </w:rPr>
              <w:t>Икономически сметки за селското стопанство за 202</w:t>
            </w:r>
            <w:r w:rsidR="00EE4557" w:rsidRPr="00EE4557">
              <w:rPr>
                <w:rStyle w:val="Hyperlink"/>
                <w:rFonts w:ascii="Arial Narrow" w:hAnsi="Arial Narrow"/>
                <w:noProof/>
                <w:sz w:val="20"/>
                <w:szCs w:val="20"/>
                <w:lang w:eastAsia="bg-BG"/>
              </w:rPr>
              <w:t>4</w:t>
            </w:r>
            <w:r w:rsidR="00EE4557" w:rsidRPr="00EE4557">
              <w:rPr>
                <w:rStyle w:val="Hyperlink"/>
                <w:rFonts w:ascii="Arial Narrow" w:hAnsi="Arial Narrow"/>
                <w:noProof/>
                <w:sz w:val="20"/>
                <w:szCs w:val="20"/>
                <w:lang w:val="bg-BG" w:eastAsia="bg-BG"/>
              </w:rPr>
              <w:t xml:space="preserve"> г.</w:t>
            </w:r>
            <w:r w:rsidR="00EE4557" w:rsidRPr="00EE4557">
              <w:rPr>
                <w:rFonts w:ascii="Arial Narrow" w:hAnsi="Arial Narrow"/>
                <w:noProof/>
                <w:webHidden/>
                <w:sz w:val="20"/>
                <w:szCs w:val="20"/>
              </w:rPr>
              <w:tab/>
            </w:r>
            <w:r w:rsidR="00EE4557" w:rsidRPr="00EE4557">
              <w:rPr>
                <w:rFonts w:ascii="Arial Narrow" w:hAnsi="Arial Narrow"/>
                <w:noProof/>
                <w:webHidden/>
                <w:sz w:val="20"/>
                <w:szCs w:val="20"/>
              </w:rPr>
              <w:fldChar w:fldCharType="begin"/>
            </w:r>
            <w:r w:rsidR="00EE4557" w:rsidRPr="00EE4557">
              <w:rPr>
                <w:rFonts w:ascii="Arial Narrow" w:hAnsi="Arial Narrow"/>
                <w:noProof/>
                <w:webHidden/>
                <w:sz w:val="20"/>
                <w:szCs w:val="20"/>
              </w:rPr>
              <w:instrText xml:space="preserve"> PAGEREF _Toc210747533 \h </w:instrText>
            </w:r>
            <w:r w:rsidR="00EE4557" w:rsidRPr="00EE4557">
              <w:rPr>
                <w:rFonts w:ascii="Arial Narrow" w:hAnsi="Arial Narrow"/>
                <w:noProof/>
                <w:webHidden/>
                <w:sz w:val="20"/>
                <w:szCs w:val="20"/>
              </w:rPr>
            </w:r>
            <w:r w:rsidR="00EE4557" w:rsidRPr="00EE4557">
              <w:rPr>
                <w:rFonts w:ascii="Arial Narrow" w:hAnsi="Arial Narrow"/>
                <w:noProof/>
                <w:webHidden/>
                <w:sz w:val="20"/>
                <w:szCs w:val="20"/>
              </w:rPr>
              <w:fldChar w:fldCharType="separate"/>
            </w:r>
            <w:r w:rsidR="00211D64">
              <w:rPr>
                <w:rFonts w:ascii="Arial Narrow" w:hAnsi="Arial Narrow"/>
                <w:noProof/>
                <w:webHidden/>
                <w:sz w:val="20"/>
                <w:szCs w:val="20"/>
              </w:rPr>
              <w:t>18</w:t>
            </w:r>
            <w:r w:rsidR="00EE4557" w:rsidRPr="00EE4557">
              <w:rPr>
                <w:rFonts w:ascii="Arial Narrow" w:hAnsi="Arial Narrow"/>
                <w:noProof/>
                <w:webHidden/>
                <w:sz w:val="20"/>
                <w:szCs w:val="20"/>
              </w:rPr>
              <w:fldChar w:fldCharType="end"/>
            </w:r>
          </w:hyperlink>
        </w:p>
        <w:p w14:paraId="037B63DB" w14:textId="77777777" w:rsidR="00EE4557" w:rsidRPr="00EE4557" w:rsidRDefault="00816B15">
          <w:pPr>
            <w:pStyle w:val="TOC1"/>
            <w:rPr>
              <w:rFonts w:ascii="Arial Narrow" w:eastAsiaTheme="minorEastAsia" w:hAnsi="Arial Narrow" w:cstheme="minorBidi"/>
              <w:noProof/>
              <w:sz w:val="20"/>
              <w:szCs w:val="20"/>
            </w:rPr>
          </w:pPr>
          <w:hyperlink w:anchor="_Toc210747534" w:history="1">
            <w:r w:rsidR="00EE4557" w:rsidRPr="00EE4557">
              <w:rPr>
                <w:rStyle w:val="Hyperlink"/>
                <w:rFonts w:ascii="Arial Narrow" w:hAnsi="Arial Narrow"/>
                <w:noProof/>
                <w:sz w:val="20"/>
                <w:szCs w:val="20"/>
                <w:lang w:val="bg-BG"/>
              </w:rPr>
              <w:t>2.1.1.</w:t>
            </w:r>
            <w:r w:rsidR="00EE4557" w:rsidRPr="00EE4557">
              <w:rPr>
                <w:rFonts w:ascii="Arial Narrow" w:eastAsiaTheme="minorEastAsia" w:hAnsi="Arial Narrow" w:cstheme="minorBidi"/>
                <w:noProof/>
                <w:sz w:val="20"/>
                <w:szCs w:val="20"/>
              </w:rPr>
              <w:tab/>
            </w:r>
            <w:r w:rsidR="00EE4557" w:rsidRPr="00EE4557">
              <w:rPr>
                <w:rStyle w:val="Hyperlink"/>
                <w:rFonts w:ascii="Arial Narrow" w:hAnsi="Arial Narrow"/>
                <w:noProof/>
                <w:sz w:val="20"/>
                <w:szCs w:val="20"/>
                <w:lang w:val="bg-BG" w:eastAsia="bg-BG"/>
              </w:rPr>
              <w:t>Стойност</w:t>
            </w:r>
            <w:r w:rsidR="00EE4557" w:rsidRPr="00EE4557">
              <w:rPr>
                <w:rStyle w:val="Hyperlink"/>
                <w:rFonts w:ascii="Arial Narrow" w:hAnsi="Arial Narrow"/>
                <w:noProof/>
                <w:sz w:val="20"/>
                <w:szCs w:val="20"/>
                <w:lang w:val="bg-BG"/>
              </w:rPr>
              <w:t xml:space="preserve"> на брутната продукция от отрасъл „Селско стопанство“</w:t>
            </w:r>
            <w:r w:rsidR="00EE4557" w:rsidRPr="00EE4557">
              <w:rPr>
                <w:rFonts w:ascii="Arial Narrow" w:hAnsi="Arial Narrow"/>
                <w:noProof/>
                <w:webHidden/>
                <w:sz w:val="20"/>
                <w:szCs w:val="20"/>
              </w:rPr>
              <w:tab/>
            </w:r>
            <w:r w:rsidR="00EE4557" w:rsidRPr="00EE4557">
              <w:rPr>
                <w:rFonts w:ascii="Arial Narrow" w:hAnsi="Arial Narrow"/>
                <w:noProof/>
                <w:webHidden/>
                <w:sz w:val="20"/>
                <w:szCs w:val="20"/>
              </w:rPr>
              <w:fldChar w:fldCharType="begin"/>
            </w:r>
            <w:r w:rsidR="00EE4557" w:rsidRPr="00EE4557">
              <w:rPr>
                <w:rFonts w:ascii="Arial Narrow" w:hAnsi="Arial Narrow"/>
                <w:noProof/>
                <w:webHidden/>
                <w:sz w:val="20"/>
                <w:szCs w:val="20"/>
              </w:rPr>
              <w:instrText xml:space="preserve"> PAGEREF _Toc210747534 \h </w:instrText>
            </w:r>
            <w:r w:rsidR="00EE4557" w:rsidRPr="00EE4557">
              <w:rPr>
                <w:rFonts w:ascii="Arial Narrow" w:hAnsi="Arial Narrow"/>
                <w:noProof/>
                <w:webHidden/>
                <w:sz w:val="20"/>
                <w:szCs w:val="20"/>
              </w:rPr>
            </w:r>
            <w:r w:rsidR="00EE4557" w:rsidRPr="00EE4557">
              <w:rPr>
                <w:rFonts w:ascii="Arial Narrow" w:hAnsi="Arial Narrow"/>
                <w:noProof/>
                <w:webHidden/>
                <w:sz w:val="20"/>
                <w:szCs w:val="20"/>
              </w:rPr>
              <w:fldChar w:fldCharType="separate"/>
            </w:r>
            <w:r w:rsidR="00211D64">
              <w:rPr>
                <w:rFonts w:ascii="Arial Narrow" w:hAnsi="Arial Narrow"/>
                <w:noProof/>
                <w:webHidden/>
                <w:sz w:val="20"/>
                <w:szCs w:val="20"/>
              </w:rPr>
              <w:t>18</w:t>
            </w:r>
            <w:r w:rsidR="00EE4557" w:rsidRPr="00EE4557">
              <w:rPr>
                <w:rFonts w:ascii="Arial Narrow" w:hAnsi="Arial Narrow"/>
                <w:noProof/>
                <w:webHidden/>
                <w:sz w:val="20"/>
                <w:szCs w:val="20"/>
              </w:rPr>
              <w:fldChar w:fldCharType="end"/>
            </w:r>
          </w:hyperlink>
        </w:p>
        <w:p w14:paraId="2FB27884" w14:textId="77777777" w:rsidR="00EE4557" w:rsidRPr="00EE4557" w:rsidRDefault="00816B15">
          <w:pPr>
            <w:pStyle w:val="TOC1"/>
            <w:rPr>
              <w:rFonts w:ascii="Arial Narrow" w:eastAsiaTheme="minorEastAsia" w:hAnsi="Arial Narrow" w:cstheme="minorBidi"/>
              <w:noProof/>
              <w:sz w:val="20"/>
              <w:szCs w:val="20"/>
            </w:rPr>
          </w:pPr>
          <w:hyperlink w:anchor="_Toc210747535" w:history="1">
            <w:r w:rsidR="00EE4557" w:rsidRPr="00EE4557">
              <w:rPr>
                <w:rStyle w:val="Hyperlink"/>
                <w:rFonts w:ascii="Arial Narrow" w:hAnsi="Arial Narrow"/>
                <w:noProof/>
                <w:sz w:val="20"/>
                <w:szCs w:val="20"/>
                <w:lang w:val="bg-BG"/>
              </w:rPr>
              <w:t>2.1.2.</w:t>
            </w:r>
            <w:r w:rsidR="00EE4557" w:rsidRPr="00EE4557">
              <w:rPr>
                <w:rFonts w:ascii="Arial Narrow" w:eastAsiaTheme="minorEastAsia" w:hAnsi="Arial Narrow" w:cstheme="minorBidi"/>
                <w:noProof/>
                <w:sz w:val="20"/>
                <w:szCs w:val="20"/>
              </w:rPr>
              <w:tab/>
            </w:r>
            <w:r w:rsidR="00EE4557" w:rsidRPr="00EE4557">
              <w:rPr>
                <w:rStyle w:val="Hyperlink"/>
                <w:rFonts w:ascii="Arial Narrow" w:hAnsi="Arial Narrow"/>
                <w:noProof/>
                <w:sz w:val="20"/>
                <w:szCs w:val="20"/>
                <w:lang w:val="bg-BG" w:eastAsia="bg-BG"/>
              </w:rPr>
              <w:t>Стойност</w:t>
            </w:r>
            <w:r w:rsidR="00EE4557" w:rsidRPr="00EE4557">
              <w:rPr>
                <w:rStyle w:val="Hyperlink"/>
                <w:rFonts w:ascii="Arial Narrow" w:hAnsi="Arial Narrow"/>
                <w:noProof/>
                <w:sz w:val="20"/>
                <w:szCs w:val="20"/>
                <w:lang w:val="bg-BG"/>
              </w:rPr>
              <w:t xml:space="preserve"> на крайната продукция</w:t>
            </w:r>
            <w:r w:rsidR="00EE4557" w:rsidRPr="00EE4557">
              <w:rPr>
                <w:rFonts w:ascii="Arial Narrow" w:hAnsi="Arial Narrow"/>
                <w:noProof/>
                <w:webHidden/>
                <w:sz w:val="20"/>
                <w:szCs w:val="20"/>
              </w:rPr>
              <w:tab/>
            </w:r>
            <w:r w:rsidR="00EE4557" w:rsidRPr="00EE4557">
              <w:rPr>
                <w:rFonts w:ascii="Arial Narrow" w:hAnsi="Arial Narrow"/>
                <w:noProof/>
                <w:webHidden/>
                <w:sz w:val="20"/>
                <w:szCs w:val="20"/>
              </w:rPr>
              <w:fldChar w:fldCharType="begin"/>
            </w:r>
            <w:r w:rsidR="00EE4557" w:rsidRPr="00EE4557">
              <w:rPr>
                <w:rFonts w:ascii="Arial Narrow" w:hAnsi="Arial Narrow"/>
                <w:noProof/>
                <w:webHidden/>
                <w:sz w:val="20"/>
                <w:szCs w:val="20"/>
              </w:rPr>
              <w:instrText xml:space="preserve"> PAGEREF _Toc210747535 \h </w:instrText>
            </w:r>
            <w:r w:rsidR="00EE4557" w:rsidRPr="00EE4557">
              <w:rPr>
                <w:rFonts w:ascii="Arial Narrow" w:hAnsi="Arial Narrow"/>
                <w:noProof/>
                <w:webHidden/>
                <w:sz w:val="20"/>
                <w:szCs w:val="20"/>
              </w:rPr>
            </w:r>
            <w:r w:rsidR="00EE4557" w:rsidRPr="00EE4557">
              <w:rPr>
                <w:rFonts w:ascii="Arial Narrow" w:hAnsi="Arial Narrow"/>
                <w:noProof/>
                <w:webHidden/>
                <w:sz w:val="20"/>
                <w:szCs w:val="20"/>
              </w:rPr>
              <w:fldChar w:fldCharType="separate"/>
            </w:r>
            <w:r w:rsidR="00211D64">
              <w:rPr>
                <w:rFonts w:ascii="Arial Narrow" w:hAnsi="Arial Narrow"/>
                <w:noProof/>
                <w:webHidden/>
                <w:sz w:val="20"/>
                <w:szCs w:val="20"/>
              </w:rPr>
              <w:t>20</w:t>
            </w:r>
            <w:r w:rsidR="00EE4557" w:rsidRPr="00EE4557">
              <w:rPr>
                <w:rFonts w:ascii="Arial Narrow" w:hAnsi="Arial Narrow"/>
                <w:noProof/>
                <w:webHidden/>
                <w:sz w:val="20"/>
                <w:szCs w:val="20"/>
              </w:rPr>
              <w:fldChar w:fldCharType="end"/>
            </w:r>
          </w:hyperlink>
        </w:p>
        <w:p w14:paraId="6CC61D04" w14:textId="77777777" w:rsidR="00EE4557" w:rsidRPr="00EE4557" w:rsidRDefault="00816B15">
          <w:pPr>
            <w:pStyle w:val="TOC1"/>
            <w:rPr>
              <w:rFonts w:ascii="Arial Narrow" w:eastAsiaTheme="minorEastAsia" w:hAnsi="Arial Narrow" w:cstheme="minorBidi"/>
              <w:noProof/>
              <w:sz w:val="20"/>
              <w:szCs w:val="20"/>
            </w:rPr>
          </w:pPr>
          <w:hyperlink w:anchor="_Toc210747536" w:history="1">
            <w:r w:rsidR="00EE4557" w:rsidRPr="00EE4557">
              <w:rPr>
                <w:rStyle w:val="Hyperlink"/>
                <w:rFonts w:ascii="Arial Narrow" w:hAnsi="Arial Narrow"/>
                <w:noProof/>
                <w:sz w:val="20"/>
                <w:szCs w:val="20"/>
                <w:lang w:val="bg-BG"/>
              </w:rPr>
              <w:t>2.1.3.</w:t>
            </w:r>
            <w:r w:rsidR="00EE4557" w:rsidRPr="00EE4557">
              <w:rPr>
                <w:rFonts w:ascii="Arial Narrow" w:eastAsiaTheme="minorEastAsia" w:hAnsi="Arial Narrow" w:cstheme="minorBidi"/>
                <w:noProof/>
                <w:sz w:val="20"/>
                <w:szCs w:val="20"/>
              </w:rPr>
              <w:tab/>
            </w:r>
            <w:r w:rsidR="00EE4557" w:rsidRPr="00EE4557">
              <w:rPr>
                <w:rStyle w:val="Hyperlink"/>
                <w:rFonts w:ascii="Arial Narrow" w:hAnsi="Arial Narrow"/>
                <w:noProof/>
                <w:sz w:val="20"/>
                <w:szCs w:val="20"/>
                <w:lang w:val="bg-BG" w:eastAsia="bg-BG"/>
              </w:rPr>
              <w:t>Междинно</w:t>
            </w:r>
            <w:r w:rsidR="00EE4557" w:rsidRPr="00EE4557">
              <w:rPr>
                <w:rStyle w:val="Hyperlink"/>
                <w:rFonts w:ascii="Arial Narrow" w:hAnsi="Arial Narrow"/>
                <w:noProof/>
                <w:sz w:val="20"/>
                <w:szCs w:val="20"/>
                <w:lang w:val="bg-BG"/>
              </w:rPr>
              <w:t xml:space="preserve"> потребление</w:t>
            </w:r>
            <w:r w:rsidR="00EE4557" w:rsidRPr="00EE4557">
              <w:rPr>
                <w:rFonts w:ascii="Arial Narrow" w:hAnsi="Arial Narrow"/>
                <w:noProof/>
                <w:webHidden/>
                <w:sz w:val="20"/>
                <w:szCs w:val="20"/>
              </w:rPr>
              <w:tab/>
            </w:r>
            <w:r w:rsidR="00EE4557" w:rsidRPr="00EE4557">
              <w:rPr>
                <w:rFonts w:ascii="Arial Narrow" w:hAnsi="Arial Narrow"/>
                <w:noProof/>
                <w:webHidden/>
                <w:sz w:val="20"/>
                <w:szCs w:val="20"/>
              </w:rPr>
              <w:fldChar w:fldCharType="begin"/>
            </w:r>
            <w:r w:rsidR="00EE4557" w:rsidRPr="00EE4557">
              <w:rPr>
                <w:rFonts w:ascii="Arial Narrow" w:hAnsi="Arial Narrow"/>
                <w:noProof/>
                <w:webHidden/>
                <w:sz w:val="20"/>
                <w:szCs w:val="20"/>
              </w:rPr>
              <w:instrText xml:space="preserve"> PAGEREF _Toc210747536 \h </w:instrText>
            </w:r>
            <w:r w:rsidR="00EE4557" w:rsidRPr="00EE4557">
              <w:rPr>
                <w:rFonts w:ascii="Arial Narrow" w:hAnsi="Arial Narrow"/>
                <w:noProof/>
                <w:webHidden/>
                <w:sz w:val="20"/>
                <w:szCs w:val="20"/>
              </w:rPr>
            </w:r>
            <w:r w:rsidR="00EE4557" w:rsidRPr="00EE4557">
              <w:rPr>
                <w:rFonts w:ascii="Arial Narrow" w:hAnsi="Arial Narrow"/>
                <w:noProof/>
                <w:webHidden/>
                <w:sz w:val="20"/>
                <w:szCs w:val="20"/>
              </w:rPr>
              <w:fldChar w:fldCharType="separate"/>
            </w:r>
            <w:r w:rsidR="00211D64">
              <w:rPr>
                <w:rFonts w:ascii="Arial Narrow" w:hAnsi="Arial Narrow"/>
                <w:noProof/>
                <w:webHidden/>
                <w:sz w:val="20"/>
                <w:szCs w:val="20"/>
              </w:rPr>
              <w:t>21</w:t>
            </w:r>
            <w:r w:rsidR="00EE4557" w:rsidRPr="00EE4557">
              <w:rPr>
                <w:rFonts w:ascii="Arial Narrow" w:hAnsi="Arial Narrow"/>
                <w:noProof/>
                <w:webHidden/>
                <w:sz w:val="20"/>
                <w:szCs w:val="20"/>
              </w:rPr>
              <w:fldChar w:fldCharType="end"/>
            </w:r>
          </w:hyperlink>
        </w:p>
        <w:p w14:paraId="07542415" w14:textId="77777777" w:rsidR="00EE4557" w:rsidRPr="00EE4557" w:rsidRDefault="00816B15">
          <w:pPr>
            <w:pStyle w:val="TOC1"/>
            <w:rPr>
              <w:rFonts w:ascii="Arial Narrow" w:eastAsiaTheme="minorEastAsia" w:hAnsi="Arial Narrow" w:cstheme="minorBidi"/>
              <w:noProof/>
              <w:sz w:val="20"/>
              <w:szCs w:val="20"/>
            </w:rPr>
          </w:pPr>
          <w:hyperlink w:anchor="_Toc210747537" w:history="1">
            <w:r w:rsidR="00EE4557" w:rsidRPr="00EE4557">
              <w:rPr>
                <w:rStyle w:val="Hyperlink"/>
                <w:rFonts w:ascii="Arial Narrow" w:hAnsi="Arial Narrow"/>
                <w:noProof/>
                <w:sz w:val="20"/>
                <w:szCs w:val="20"/>
                <w:lang w:val="bg-BG"/>
              </w:rPr>
              <w:t>2.1.4.</w:t>
            </w:r>
            <w:r w:rsidR="00EE4557" w:rsidRPr="00EE4557">
              <w:rPr>
                <w:rFonts w:ascii="Arial Narrow" w:eastAsiaTheme="minorEastAsia" w:hAnsi="Arial Narrow" w:cstheme="minorBidi"/>
                <w:noProof/>
                <w:sz w:val="20"/>
                <w:szCs w:val="20"/>
              </w:rPr>
              <w:tab/>
            </w:r>
            <w:r w:rsidR="00EE4557" w:rsidRPr="00EE4557">
              <w:rPr>
                <w:rStyle w:val="Hyperlink"/>
                <w:rFonts w:ascii="Arial Narrow" w:hAnsi="Arial Narrow"/>
                <w:noProof/>
                <w:sz w:val="20"/>
                <w:szCs w:val="20"/>
                <w:lang w:val="bg-BG"/>
              </w:rPr>
              <w:t>Брутна добавена стойност</w:t>
            </w:r>
            <w:r w:rsidR="00EE4557" w:rsidRPr="00EE4557">
              <w:rPr>
                <w:rFonts w:ascii="Arial Narrow" w:hAnsi="Arial Narrow"/>
                <w:noProof/>
                <w:webHidden/>
                <w:sz w:val="20"/>
                <w:szCs w:val="20"/>
              </w:rPr>
              <w:tab/>
            </w:r>
            <w:r w:rsidR="00EE4557" w:rsidRPr="00EE4557">
              <w:rPr>
                <w:rFonts w:ascii="Arial Narrow" w:hAnsi="Arial Narrow"/>
                <w:noProof/>
                <w:webHidden/>
                <w:sz w:val="20"/>
                <w:szCs w:val="20"/>
              </w:rPr>
              <w:fldChar w:fldCharType="begin"/>
            </w:r>
            <w:r w:rsidR="00EE4557" w:rsidRPr="00EE4557">
              <w:rPr>
                <w:rFonts w:ascii="Arial Narrow" w:hAnsi="Arial Narrow"/>
                <w:noProof/>
                <w:webHidden/>
                <w:sz w:val="20"/>
                <w:szCs w:val="20"/>
              </w:rPr>
              <w:instrText xml:space="preserve"> PAGEREF _Toc210747537 \h </w:instrText>
            </w:r>
            <w:r w:rsidR="00EE4557" w:rsidRPr="00EE4557">
              <w:rPr>
                <w:rFonts w:ascii="Arial Narrow" w:hAnsi="Arial Narrow"/>
                <w:noProof/>
                <w:webHidden/>
                <w:sz w:val="20"/>
                <w:szCs w:val="20"/>
              </w:rPr>
            </w:r>
            <w:r w:rsidR="00EE4557" w:rsidRPr="00EE4557">
              <w:rPr>
                <w:rFonts w:ascii="Arial Narrow" w:hAnsi="Arial Narrow"/>
                <w:noProof/>
                <w:webHidden/>
                <w:sz w:val="20"/>
                <w:szCs w:val="20"/>
              </w:rPr>
              <w:fldChar w:fldCharType="separate"/>
            </w:r>
            <w:r w:rsidR="00211D64">
              <w:rPr>
                <w:rFonts w:ascii="Arial Narrow" w:hAnsi="Arial Narrow"/>
                <w:noProof/>
                <w:webHidden/>
                <w:sz w:val="20"/>
                <w:szCs w:val="20"/>
              </w:rPr>
              <w:t>22</w:t>
            </w:r>
            <w:r w:rsidR="00EE4557" w:rsidRPr="00EE4557">
              <w:rPr>
                <w:rFonts w:ascii="Arial Narrow" w:hAnsi="Arial Narrow"/>
                <w:noProof/>
                <w:webHidden/>
                <w:sz w:val="20"/>
                <w:szCs w:val="20"/>
              </w:rPr>
              <w:fldChar w:fldCharType="end"/>
            </w:r>
          </w:hyperlink>
        </w:p>
        <w:p w14:paraId="41F8F665" w14:textId="77777777" w:rsidR="00EE4557" w:rsidRPr="00EE4557" w:rsidRDefault="00816B15">
          <w:pPr>
            <w:pStyle w:val="TOC1"/>
            <w:rPr>
              <w:rFonts w:ascii="Arial Narrow" w:eastAsiaTheme="minorEastAsia" w:hAnsi="Arial Narrow" w:cstheme="minorBidi"/>
              <w:noProof/>
              <w:sz w:val="20"/>
              <w:szCs w:val="20"/>
            </w:rPr>
          </w:pPr>
          <w:hyperlink w:anchor="_Toc210747538" w:history="1">
            <w:r w:rsidR="00EE4557" w:rsidRPr="00EE4557">
              <w:rPr>
                <w:rStyle w:val="Hyperlink"/>
                <w:rFonts w:ascii="Arial Narrow" w:hAnsi="Arial Narrow" w:cs="ArialNarrow"/>
                <w:noProof/>
                <w:sz w:val="20"/>
                <w:szCs w:val="20"/>
                <w:lang w:val="bg-BG"/>
              </w:rPr>
              <w:t>2.1.5.</w:t>
            </w:r>
            <w:r w:rsidR="00EE4557" w:rsidRPr="00EE4557">
              <w:rPr>
                <w:rFonts w:ascii="Arial Narrow" w:eastAsiaTheme="minorEastAsia" w:hAnsi="Arial Narrow" w:cstheme="minorBidi"/>
                <w:noProof/>
                <w:sz w:val="20"/>
                <w:szCs w:val="20"/>
              </w:rPr>
              <w:tab/>
            </w:r>
            <w:r w:rsidR="00EE4557" w:rsidRPr="00EE4557">
              <w:rPr>
                <w:rStyle w:val="Hyperlink"/>
                <w:rFonts w:ascii="Arial Narrow" w:hAnsi="Arial Narrow" w:cs="ArialNarrow"/>
                <w:noProof/>
                <w:sz w:val="20"/>
                <w:szCs w:val="20"/>
                <w:lang w:val="bg-BG"/>
              </w:rPr>
              <w:t>Предприемачески доход</w:t>
            </w:r>
            <w:r w:rsidR="00EE4557" w:rsidRPr="00EE4557">
              <w:rPr>
                <w:rFonts w:ascii="Arial Narrow" w:hAnsi="Arial Narrow"/>
                <w:noProof/>
                <w:webHidden/>
                <w:sz w:val="20"/>
                <w:szCs w:val="20"/>
              </w:rPr>
              <w:tab/>
            </w:r>
            <w:r w:rsidR="00EE4557" w:rsidRPr="00EE4557">
              <w:rPr>
                <w:rFonts w:ascii="Arial Narrow" w:hAnsi="Arial Narrow"/>
                <w:noProof/>
                <w:webHidden/>
                <w:sz w:val="20"/>
                <w:szCs w:val="20"/>
              </w:rPr>
              <w:fldChar w:fldCharType="begin"/>
            </w:r>
            <w:r w:rsidR="00EE4557" w:rsidRPr="00EE4557">
              <w:rPr>
                <w:rFonts w:ascii="Arial Narrow" w:hAnsi="Arial Narrow"/>
                <w:noProof/>
                <w:webHidden/>
                <w:sz w:val="20"/>
                <w:szCs w:val="20"/>
              </w:rPr>
              <w:instrText xml:space="preserve"> PAGEREF _Toc210747538 \h </w:instrText>
            </w:r>
            <w:r w:rsidR="00EE4557" w:rsidRPr="00EE4557">
              <w:rPr>
                <w:rFonts w:ascii="Arial Narrow" w:hAnsi="Arial Narrow"/>
                <w:noProof/>
                <w:webHidden/>
                <w:sz w:val="20"/>
                <w:szCs w:val="20"/>
              </w:rPr>
            </w:r>
            <w:r w:rsidR="00EE4557" w:rsidRPr="00EE4557">
              <w:rPr>
                <w:rFonts w:ascii="Arial Narrow" w:hAnsi="Arial Narrow"/>
                <w:noProof/>
                <w:webHidden/>
                <w:sz w:val="20"/>
                <w:szCs w:val="20"/>
              </w:rPr>
              <w:fldChar w:fldCharType="separate"/>
            </w:r>
            <w:r w:rsidR="00211D64">
              <w:rPr>
                <w:rFonts w:ascii="Arial Narrow" w:hAnsi="Arial Narrow"/>
                <w:noProof/>
                <w:webHidden/>
                <w:sz w:val="20"/>
                <w:szCs w:val="20"/>
              </w:rPr>
              <w:t>22</w:t>
            </w:r>
            <w:r w:rsidR="00EE4557" w:rsidRPr="00EE4557">
              <w:rPr>
                <w:rFonts w:ascii="Arial Narrow" w:hAnsi="Arial Narrow"/>
                <w:noProof/>
                <w:webHidden/>
                <w:sz w:val="20"/>
                <w:szCs w:val="20"/>
              </w:rPr>
              <w:fldChar w:fldCharType="end"/>
            </w:r>
          </w:hyperlink>
        </w:p>
        <w:p w14:paraId="07116673" w14:textId="77777777" w:rsidR="00EE4557" w:rsidRPr="00EE4557" w:rsidRDefault="00816B15">
          <w:pPr>
            <w:pStyle w:val="TOC1"/>
            <w:rPr>
              <w:rFonts w:ascii="Arial Narrow" w:eastAsiaTheme="minorEastAsia" w:hAnsi="Arial Narrow" w:cstheme="minorBidi"/>
              <w:noProof/>
              <w:sz w:val="20"/>
              <w:szCs w:val="20"/>
            </w:rPr>
          </w:pPr>
          <w:hyperlink w:anchor="_Toc210747539" w:history="1">
            <w:r w:rsidR="00EE4557" w:rsidRPr="00EE4557">
              <w:rPr>
                <w:rStyle w:val="Hyperlink"/>
                <w:rFonts w:ascii="Arial Narrow" w:hAnsi="Arial Narrow"/>
                <w:noProof/>
                <w:sz w:val="20"/>
                <w:szCs w:val="20"/>
                <w:lang w:val="bg-BG" w:eastAsia="bg-BG"/>
              </w:rPr>
              <w:t>2.2.</w:t>
            </w:r>
            <w:r w:rsidR="00EE4557" w:rsidRPr="00EE4557">
              <w:rPr>
                <w:rFonts w:ascii="Arial Narrow" w:eastAsiaTheme="minorEastAsia" w:hAnsi="Arial Narrow" w:cstheme="minorBidi"/>
                <w:noProof/>
                <w:sz w:val="20"/>
                <w:szCs w:val="20"/>
              </w:rPr>
              <w:tab/>
            </w:r>
            <w:r w:rsidR="00EE4557" w:rsidRPr="00EE4557">
              <w:rPr>
                <w:rStyle w:val="Hyperlink"/>
                <w:rFonts w:ascii="Arial Narrow" w:hAnsi="Arial Narrow"/>
                <w:noProof/>
                <w:sz w:val="20"/>
                <w:szCs w:val="20"/>
                <w:lang w:val="bg-BG" w:eastAsia="bg-BG"/>
              </w:rPr>
              <w:t>Производствени резултати в растениевъдството</w:t>
            </w:r>
            <w:r w:rsidR="00EE4557" w:rsidRPr="00EE4557">
              <w:rPr>
                <w:rFonts w:ascii="Arial Narrow" w:hAnsi="Arial Narrow"/>
                <w:noProof/>
                <w:webHidden/>
                <w:sz w:val="20"/>
                <w:szCs w:val="20"/>
              </w:rPr>
              <w:tab/>
            </w:r>
            <w:r w:rsidR="00EE4557" w:rsidRPr="00EE4557">
              <w:rPr>
                <w:rFonts w:ascii="Arial Narrow" w:hAnsi="Arial Narrow"/>
                <w:noProof/>
                <w:webHidden/>
                <w:sz w:val="20"/>
                <w:szCs w:val="20"/>
              </w:rPr>
              <w:fldChar w:fldCharType="begin"/>
            </w:r>
            <w:r w:rsidR="00EE4557" w:rsidRPr="00EE4557">
              <w:rPr>
                <w:rFonts w:ascii="Arial Narrow" w:hAnsi="Arial Narrow"/>
                <w:noProof/>
                <w:webHidden/>
                <w:sz w:val="20"/>
                <w:szCs w:val="20"/>
              </w:rPr>
              <w:instrText xml:space="preserve"> PAGEREF _Toc210747539 \h </w:instrText>
            </w:r>
            <w:r w:rsidR="00EE4557" w:rsidRPr="00EE4557">
              <w:rPr>
                <w:rFonts w:ascii="Arial Narrow" w:hAnsi="Arial Narrow"/>
                <w:noProof/>
                <w:webHidden/>
                <w:sz w:val="20"/>
                <w:szCs w:val="20"/>
              </w:rPr>
            </w:r>
            <w:r w:rsidR="00EE4557" w:rsidRPr="00EE4557">
              <w:rPr>
                <w:rFonts w:ascii="Arial Narrow" w:hAnsi="Arial Narrow"/>
                <w:noProof/>
                <w:webHidden/>
                <w:sz w:val="20"/>
                <w:szCs w:val="20"/>
              </w:rPr>
              <w:fldChar w:fldCharType="separate"/>
            </w:r>
            <w:r w:rsidR="00211D64">
              <w:rPr>
                <w:rFonts w:ascii="Arial Narrow" w:hAnsi="Arial Narrow"/>
                <w:noProof/>
                <w:webHidden/>
                <w:sz w:val="20"/>
                <w:szCs w:val="20"/>
              </w:rPr>
              <w:t>22</w:t>
            </w:r>
            <w:r w:rsidR="00EE4557" w:rsidRPr="00EE4557">
              <w:rPr>
                <w:rFonts w:ascii="Arial Narrow" w:hAnsi="Arial Narrow"/>
                <w:noProof/>
                <w:webHidden/>
                <w:sz w:val="20"/>
                <w:szCs w:val="20"/>
              </w:rPr>
              <w:fldChar w:fldCharType="end"/>
            </w:r>
          </w:hyperlink>
        </w:p>
        <w:p w14:paraId="4193F084" w14:textId="77777777" w:rsidR="00EE4557" w:rsidRPr="00EE4557" w:rsidRDefault="00816B15">
          <w:pPr>
            <w:pStyle w:val="TOC1"/>
            <w:rPr>
              <w:rFonts w:ascii="Arial Narrow" w:eastAsiaTheme="minorEastAsia" w:hAnsi="Arial Narrow" w:cstheme="minorBidi"/>
              <w:noProof/>
              <w:sz w:val="20"/>
              <w:szCs w:val="20"/>
            </w:rPr>
          </w:pPr>
          <w:hyperlink w:anchor="_Toc210747540" w:history="1">
            <w:r w:rsidR="00EE4557" w:rsidRPr="00EE4557">
              <w:rPr>
                <w:rStyle w:val="Hyperlink"/>
                <w:rFonts w:ascii="Arial Narrow" w:hAnsi="Arial Narrow"/>
                <w:noProof/>
                <w:sz w:val="20"/>
                <w:szCs w:val="20"/>
              </w:rPr>
              <w:t>2.2.1.</w:t>
            </w:r>
            <w:r w:rsidR="00EE4557" w:rsidRPr="00EE4557">
              <w:rPr>
                <w:rFonts w:ascii="Arial Narrow" w:eastAsiaTheme="minorEastAsia" w:hAnsi="Arial Narrow" w:cstheme="minorBidi"/>
                <w:noProof/>
                <w:sz w:val="20"/>
                <w:szCs w:val="20"/>
              </w:rPr>
              <w:tab/>
            </w:r>
            <w:r w:rsidR="00EE4557" w:rsidRPr="00EE4557">
              <w:rPr>
                <w:rStyle w:val="Hyperlink"/>
                <w:rFonts w:ascii="Arial Narrow" w:hAnsi="Arial Narrow"/>
                <w:noProof/>
                <w:sz w:val="20"/>
                <w:szCs w:val="20"/>
              </w:rPr>
              <w:t>Зърнопроизводство</w:t>
            </w:r>
            <w:r w:rsidR="00EE4557" w:rsidRPr="00EE4557">
              <w:rPr>
                <w:rFonts w:ascii="Arial Narrow" w:hAnsi="Arial Narrow"/>
                <w:noProof/>
                <w:webHidden/>
                <w:sz w:val="20"/>
                <w:szCs w:val="20"/>
              </w:rPr>
              <w:tab/>
            </w:r>
            <w:r w:rsidR="00EE4557" w:rsidRPr="00EE4557">
              <w:rPr>
                <w:rFonts w:ascii="Arial Narrow" w:hAnsi="Arial Narrow"/>
                <w:noProof/>
                <w:webHidden/>
                <w:sz w:val="20"/>
                <w:szCs w:val="20"/>
              </w:rPr>
              <w:fldChar w:fldCharType="begin"/>
            </w:r>
            <w:r w:rsidR="00EE4557" w:rsidRPr="00EE4557">
              <w:rPr>
                <w:rFonts w:ascii="Arial Narrow" w:hAnsi="Arial Narrow"/>
                <w:noProof/>
                <w:webHidden/>
                <w:sz w:val="20"/>
                <w:szCs w:val="20"/>
              </w:rPr>
              <w:instrText xml:space="preserve"> PAGEREF _Toc210747540 \h </w:instrText>
            </w:r>
            <w:r w:rsidR="00EE4557" w:rsidRPr="00EE4557">
              <w:rPr>
                <w:rFonts w:ascii="Arial Narrow" w:hAnsi="Arial Narrow"/>
                <w:noProof/>
                <w:webHidden/>
                <w:sz w:val="20"/>
                <w:szCs w:val="20"/>
              </w:rPr>
            </w:r>
            <w:r w:rsidR="00EE4557" w:rsidRPr="00EE4557">
              <w:rPr>
                <w:rFonts w:ascii="Arial Narrow" w:hAnsi="Arial Narrow"/>
                <w:noProof/>
                <w:webHidden/>
                <w:sz w:val="20"/>
                <w:szCs w:val="20"/>
              </w:rPr>
              <w:fldChar w:fldCharType="separate"/>
            </w:r>
            <w:r w:rsidR="00211D64">
              <w:rPr>
                <w:rFonts w:ascii="Arial Narrow" w:hAnsi="Arial Narrow"/>
                <w:noProof/>
                <w:webHidden/>
                <w:sz w:val="20"/>
                <w:szCs w:val="20"/>
              </w:rPr>
              <w:t>24</w:t>
            </w:r>
            <w:r w:rsidR="00EE4557" w:rsidRPr="00EE4557">
              <w:rPr>
                <w:rFonts w:ascii="Arial Narrow" w:hAnsi="Arial Narrow"/>
                <w:noProof/>
                <w:webHidden/>
                <w:sz w:val="20"/>
                <w:szCs w:val="20"/>
              </w:rPr>
              <w:fldChar w:fldCharType="end"/>
            </w:r>
          </w:hyperlink>
        </w:p>
        <w:p w14:paraId="637ECE45" w14:textId="77777777" w:rsidR="00EE4557" w:rsidRPr="00EE4557" w:rsidRDefault="00816B15">
          <w:pPr>
            <w:pStyle w:val="TOC1"/>
            <w:rPr>
              <w:rFonts w:ascii="Arial Narrow" w:eastAsiaTheme="minorEastAsia" w:hAnsi="Arial Narrow" w:cstheme="minorBidi"/>
              <w:noProof/>
              <w:sz w:val="20"/>
              <w:szCs w:val="20"/>
            </w:rPr>
          </w:pPr>
          <w:hyperlink w:anchor="_Toc210747541" w:history="1">
            <w:r w:rsidR="00EE4557" w:rsidRPr="00EE4557">
              <w:rPr>
                <w:rStyle w:val="Hyperlink"/>
                <w:rFonts w:ascii="Arial Narrow" w:hAnsi="Arial Narrow"/>
                <w:noProof/>
                <w:sz w:val="20"/>
                <w:szCs w:val="20"/>
              </w:rPr>
              <w:t>2.2.2.</w:t>
            </w:r>
            <w:r w:rsidR="00EE4557" w:rsidRPr="00EE4557">
              <w:rPr>
                <w:rFonts w:ascii="Arial Narrow" w:eastAsiaTheme="minorEastAsia" w:hAnsi="Arial Narrow" w:cstheme="minorBidi"/>
                <w:noProof/>
                <w:sz w:val="20"/>
                <w:szCs w:val="20"/>
              </w:rPr>
              <w:tab/>
            </w:r>
            <w:r w:rsidR="00EE4557" w:rsidRPr="00EE4557">
              <w:rPr>
                <w:rStyle w:val="Hyperlink"/>
                <w:rFonts w:ascii="Arial Narrow" w:hAnsi="Arial Narrow"/>
                <w:noProof/>
                <w:sz w:val="20"/>
                <w:szCs w:val="20"/>
              </w:rPr>
              <w:t>Маслодайни култури</w:t>
            </w:r>
            <w:r w:rsidR="00EE4557" w:rsidRPr="00EE4557">
              <w:rPr>
                <w:rFonts w:ascii="Arial Narrow" w:hAnsi="Arial Narrow"/>
                <w:noProof/>
                <w:webHidden/>
                <w:sz w:val="20"/>
                <w:szCs w:val="20"/>
              </w:rPr>
              <w:tab/>
            </w:r>
            <w:r w:rsidR="00EE4557" w:rsidRPr="00EE4557">
              <w:rPr>
                <w:rFonts w:ascii="Arial Narrow" w:hAnsi="Arial Narrow"/>
                <w:noProof/>
                <w:webHidden/>
                <w:sz w:val="20"/>
                <w:szCs w:val="20"/>
              </w:rPr>
              <w:fldChar w:fldCharType="begin"/>
            </w:r>
            <w:r w:rsidR="00EE4557" w:rsidRPr="00EE4557">
              <w:rPr>
                <w:rFonts w:ascii="Arial Narrow" w:hAnsi="Arial Narrow"/>
                <w:noProof/>
                <w:webHidden/>
                <w:sz w:val="20"/>
                <w:szCs w:val="20"/>
              </w:rPr>
              <w:instrText xml:space="preserve"> PAGEREF _Toc210747541 \h </w:instrText>
            </w:r>
            <w:r w:rsidR="00EE4557" w:rsidRPr="00EE4557">
              <w:rPr>
                <w:rFonts w:ascii="Arial Narrow" w:hAnsi="Arial Narrow"/>
                <w:noProof/>
                <w:webHidden/>
                <w:sz w:val="20"/>
                <w:szCs w:val="20"/>
              </w:rPr>
            </w:r>
            <w:r w:rsidR="00EE4557" w:rsidRPr="00EE4557">
              <w:rPr>
                <w:rFonts w:ascii="Arial Narrow" w:hAnsi="Arial Narrow"/>
                <w:noProof/>
                <w:webHidden/>
                <w:sz w:val="20"/>
                <w:szCs w:val="20"/>
              </w:rPr>
              <w:fldChar w:fldCharType="separate"/>
            </w:r>
            <w:r w:rsidR="00211D64">
              <w:rPr>
                <w:rFonts w:ascii="Arial Narrow" w:hAnsi="Arial Narrow"/>
                <w:noProof/>
                <w:webHidden/>
                <w:sz w:val="20"/>
                <w:szCs w:val="20"/>
              </w:rPr>
              <w:t>25</w:t>
            </w:r>
            <w:r w:rsidR="00EE4557" w:rsidRPr="00EE4557">
              <w:rPr>
                <w:rFonts w:ascii="Arial Narrow" w:hAnsi="Arial Narrow"/>
                <w:noProof/>
                <w:webHidden/>
                <w:sz w:val="20"/>
                <w:szCs w:val="20"/>
              </w:rPr>
              <w:fldChar w:fldCharType="end"/>
            </w:r>
          </w:hyperlink>
        </w:p>
        <w:p w14:paraId="12BC1080" w14:textId="77777777" w:rsidR="00EE4557" w:rsidRPr="00EE4557" w:rsidRDefault="00816B15">
          <w:pPr>
            <w:pStyle w:val="TOC1"/>
            <w:rPr>
              <w:rFonts w:ascii="Arial Narrow" w:eastAsiaTheme="minorEastAsia" w:hAnsi="Arial Narrow" w:cstheme="minorBidi"/>
              <w:noProof/>
              <w:sz w:val="20"/>
              <w:szCs w:val="20"/>
            </w:rPr>
          </w:pPr>
          <w:hyperlink w:anchor="_Toc210747542" w:history="1">
            <w:r w:rsidR="00EE4557" w:rsidRPr="00EE4557">
              <w:rPr>
                <w:rStyle w:val="Hyperlink"/>
                <w:rFonts w:ascii="Arial Narrow" w:hAnsi="Arial Narrow"/>
                <w:noProof/>
                <w:sz w:val="20"/>
                <w:szCs w:val="20"/>
                <w:lang w:val="bg-BG"/>
              </w:rPr>
              <w:t>2.2.3.</w:t>
            </w:r>
            <w:r w:rsidR="00EE4557" w:rsidRPr="00EE4557">
              <w:rPr>
                <w:rFonts w:ascii="Arial Narrow" w:eastAsiaTheme="minorEastAsia" w:hAnsi="Arial Narrow" w:cstheme="minorBidi"/>
                <w:noProof/>
                <w:sz w:val="20"/>
                <w:szCs w:val="20"/>
              </w:rPr>
              <w:tab/>
            </w:r>
            <w:r w:rsidR="00EE4557" w:rsidRPr="00EE4557">
              <w:rPr>
                <w:rStyle w:val="Hyperlink"/>
                <w:rFonts w:ascii="Arial Narrow" w:hAnsi="Arial Narrow"/>
                <w:noProof/>
                <w:sz w:val="20"/>
                <w:szCs w:val="20"/>
                <w:lang w:val="bg-BG"/>
              </w:rPr>
              <w:t>Мониторинг на пазара на зърно</w:t>
            </w:r>
            <w:r w:rsidR="00EE4557" w:rsidRPr="00EE4557">
              <w:rPr>
                <w:rFonts w:ascii="Arial Narrow" w:hAnsi="Arial Narrow"/>
                <w:noProof/>
                <w:webHidden/>
                <w:sz w:val="20"/>
                <w:szCs w:val="20"/>
              </w:rPr>
              <w:tab/>
            </w:r>
            <w:r w:rsidR="00EE4557" w:rsidRPr="00EE4557">
              <w:rPr>
                <w:rFonts w:ascii="Arial Narrow" w:hAnsi="Arial Narrow"/>
                <w:noProof/>
                <w:webHidden/>
                <w:sz w:val="20"/>
                <w:szCs w:val="20"/>
              </w:rPr>
              <w:fldChar w:fldCharType="begin"/>
            </w:r>
            <w:r w:rsidR="00EE4557" w:rsidRPr="00EE4557">
              <w:rPr>
                <w:rFonts w:ascii="Arial Narrow" w:hAnsi="Arial Narrow"/>
                <w:noProof/>
                <w:webHidden/>
                <w:sz w:val="20"/>
                <w:szCs w:val="20"/>
              </w:rPr>
              <w:instrText xml:space="preserve"> PAGEREF _Toc210747542 \h </w:instrText>
            </w:r>
            <w:r w:rsidR="00EE4557" w:rsidRPr="00EE4557">
              <w:rPr>
                <w:rFonts w:ascii="Arial Narrow" w:hAnsi="Arial Narrow"/>
                <w:noProof/>
                <w:webHidden/>
                <w:sz w:val="20"/>
                <w:szCs w:val="20"/>
              </w:rPr>
            </w:r>
            <w:r w:rsidR="00EE4557" w:rsidRPr="00EE4557">
              <w:rPr>
                <w:rFonts w:ascii="Arial Narrow" w:hAnsi="Arial Narrow"/>
                <w:noProof/>
                <w:webHidden/>
                <w:sz w:val="20"/>
                <w:szCs w:val="20"/>
              </w:rPr>
              <w:fldChar w:fldCharType="separate"/>
            </w:r>
            <w:r w:rsidR="00211D64">
              <w:rPr>
                <w:rFonts w:ascii="Arial Narrow" w:hAnsi="Arial Narrow"/>
                <w:noProof/>
                <w:webHidden/>
                <w:sz w:val="20"/>
                <w:szCs w:val="20"/>
              </w:rPr>
              <w:t>26</w:t>
            </w:r>
            <w:r w:rsidR="00EE4557" w:rsidRPr="00EE4557">
              <w:rPr>
                <w:rFonts w:ascii="Arial Narrow" w:hAnsi="Arial Narrow"/>
                <w:noProof/>
                <w:webHidden/>
                <w:sz w:val="20"/>
                <w:szCs w:val="20"/>
              </w:rPr>
              <w:fldChar w:fldCharType="end"/>
            </w:r>
          </w:hyperlink>
        </w:p>
        <w:p w14:paraId="53D1B366" w14:textId="77777777" w:rsidR="00EE4557" w:rsidRPr="00EE4557" w:rsidRDefault="00816B15">
          <w:pPr>
            <w:pStyle w:val="TOC1"/>
            <w:rPr>
              <w:rFonts w:ascii="Arial Narrow" w:eastAsiaTheme="minorEastAsia" w:hAnsi="Arial Narrow" w:cstheme="minorBidi"/>
              <w:noProof/>
              <w:sz w:val="20"/>
              <w:szCs w:val="20"/>
            </w:rPr>
          </w:pPr>
          <w:hyperlink w:anchor="_Toc210747543" w:history="1">
            <w:r w:rsidR="00EE4557" w:rsidRPr="00EE4557">
              <w:rPr>
                <w:rStyle w:val="Hyperlink"/>
                <w:rFonts w:ascii="Arial Narrow" w:hAnsi="Arial Narrow"/>
                <w:noProof/>
                <w:sz w:val="20"/>
                <w:szCs w:val="20"/>
                <w:lang w:val="bg-BG"/>
              </w:rPr>
              <w:t>2.2.4.</w:t>
            </w:r>
            <w:r w:rsidR="00EE4557" w:rsidRPr="00EE4557">
              <w:rPr>
                <w:rFonts w:ascii="Arial Narrow" w:eastAsiaTheme="minorEastAsia" w:hAnsi="Arial Narrow" w:cstheme="minorBidi"/>
                <w:noProof/>
                <w:sz w:val="20"/>
                <w:szCs w:val="20"/>
              </w:rPr>
              <w:tab/>
            </w:r>
            <w:r w:rsidR="00EE4557" w:rsidRPr="00EE4557">
              <w:rPr>
                <w:rStyle w:val="Hyperlink"/>
                <w:rFonts w:ascii="Arial Narrow" w:hAnsi="Arial Narrow"/>
                <w:noProof/>
                <w:sz w:val="20"/>
                <w:szCs w:val="20"/>
                <w:lang w:val="bg-BG"/>
              </w:rPr>
              <w:t>Окачествяване на реколта `2024</w:t>
            </w:r>
            <w:r w:rsidR="00EE4557" w:rsidRPr="00EE4557">
              <w:rPr>
                <w:rFonts w:ascii="Arial Narrow" w:hAnsi="Arial Narrow"/>
                <w:noProof/>
                <w:webHidden/>
                <w:sz w:val="20"/>
                <w:szCs w:val="20"/>
              </w:rPr>
              <w:tab/>
            </w:r>
            <w:r w:rsidR="00EE4557" w:rsidRPr="00EE4557">
              <w:rPr>
                <w:rFonts w:ascii="Arial Narrow" w:hAnsi="Arial Narrow"/>
                <w:noProof/>
                <w:webHidden/>
                <w:sz w:val="20"/>
                <w:szCs w:val="20"/>
              </w:rPr>
              <w:fldChar w:fldCharType="begin"/>
            </w:r>
            <w:r w:rsidR="00EE4557" w:rsidRPr="00EE4557">
              <w:rPr>
                <w:rFonts w:ascii="Arial Narrow" w:hAnsi="Arial Narrow"/>
                <w:noProof/>
                <w:webHidden/>
                <w:sz w:val="20"/>
                <w:szCs w:val="20"/>
              </w:rPr>
              <w:instrText xml:space="preserve"> PAGEREF _Toc210747543 \h </w:instrText>
            </w:r>
            <w:r w:rsidR="00EE4557" w:rsidRPr="00EE4557">
              <w:rPr>
                <w:rFonts w:ascii="Arial Narrow" w:hAnsi="Arial Narrow"/>
                <w:noProof/>
                <w:webHidden/>
                <w:sz w:val="20"/>
                <w:szCs w:val="20"/>
              </w:rPr>
            </w:r>
            <w:r w:rsidR="00EE4557" w:rsidRPr="00EE4557">
              <w:rPr>
                <w:rFonts w:ascii="Arial Narrow" w:hAnsi="Arial Narrow"/>
                <w:noProof/>
                <w:webHidden/>
                <w:sz w:val="20"/>
                <w:szCs w:val="20"/>
              </w:rPr>
              <w:fldChar w:fldCharType="separate"/>
            </w:r>
            <w:r w:rsidR="00211D64">
              <w:rPr>
                <w:rFonts w:ascii="Arial Narrow" w:hAnsi="Arial Narrow"/>
                <w:noProof/>
                <w:webHidden/>
                <w:sz w:val="20"/>
                <w:szCs w:val="20"/>
              </w:rPr>
              <w:t>26</w:t>
            </w:r>
            <w:r w:rsidR="00EE4557" w:rsidRPr="00EE4557">
              <w:rPr>
                <w:rFonts w:ascii="Arial Narrow" w:hAnsi="Arial Narrow"/>
                <w:noProof/>
                <w:webHidden/>
                <w:sz w:val="20"/>
                <w:szCs w:val="20"/>
              </w:rPr>
              <w:fldChar w:fldCharType="end"/>
            </w:r>
          </w:hyperlink>
        </w:p>
        <w:p w14:paraId="2EDC3309" w14:textId="77777777" w:rsidR="00EE4557" w:rsidRPr="00EE4557" w:rsidRDefault="00816B15">
          <w:pPr>
            <w:pStyle w:val="TOC1"/>
            <w:rPr>
              <w:rFonts w:ascii="Arial Narrow" w:eastAsiaTheme="minorEastAsia" w:hAnsi="Arial Narrow" w:cstheme="minorBidi"/>
              <w:noProof/>
              <w:sz w:val="20"/>
              <w:szCs w:val="20"/>
            </w:rPr>
          </w:pPr>
          <w:hyperlink w:anchor="_Toc210747544" w:history="1">
            <w:r w:rsidR="00EE4557" w:rsidRPr="00EE4557">
              <w:rPr>
                <w:rStyle w:val="Hyperlink"/>
                <w:rFonts w:ascii="Arial Narrow" w:hAnsi="Arial Narrow"/>
                <w:noProof/>
                <w:sz w:val="20"/>
                <w:szCs w:val="20"/>
                <w:lang w:val="bg-BG" w:eastAsia="bg-BG"/>
              </w:rPr>
              <w:t>2.2.5.</w:t>
            </w:r>
            <w:r w:rsidR="00EE4557" w:rsidRPr="00EE4557">
              <w:rPr>
                <w:rFonts w:ascii="Arial Narrow" w:eastAsiaTheme="minorEastAsia" w:hAnsi="Arial Narrow" w:cstheme="minorBidi"/>
                <w:noProof/>
                <w:sz w:val="20"/>
                <w:szCs w:val="20"/>
              </w:rPr>
              <w:tab/>
            </w:r>
            <w:r w:rsidR="00EE4557" w:rsidRPr="00EE4557">
              <w:rPr>
                <w:rStyle w:val="Hyperlink"/>
                <w:rFonts w:ascii="Arial Narrow" w:hAnsi="Arial Narrow"/>
                <w:noProof/>
                <w:sz w:val="20"/>
                <w:szCs w:val="20"/>
                <w:lang w:val="bg-BG" w:eastAsia="bg-BG"/>
              </w:rPr>
              <w:t>Технически култури</w:t>
            </w:r>
            <w:r w:rsidR="00EE4557" w:rsidRPr="00EE4557">
              <w:rPr>
                <w:rFonts w:ascii="Arial Narrow" w:hAnsi="Arial Narrow"/>
                <w:noProof/>
                <w:webHidden/>
                <w:sz w:val="20"/>
                <w:szCs w:val="20"/>
              </w:rPr>
              <w:tab/>
            </w:r>
            <w:r w:rsidR="00EE4557" w:rsidRPr="00EE4557">
              <w:rPr>
                <w:rFonts w:ascii="Arial Narrow" w:hAnsi="Arial Narrow"/>
                <w:noProof/>
                <w:webHidden/>
                <w:sz w:val="20"/>
                <w:szCs w:val="20"/>
              </w:rPr>
              <w:fldChar w:fldCharType="begin"/>
            </w:r>
            <w:r w:rsidR="00EE4557" w:rsidRPr="00EE4557">
              <w:rPr>
                <w:rFonts w:ascii="Arial Narrow" w:hAnsi="Arial Narrow"/>
                <w:noProof/>
                <w:webHidden/>
                <w:sz w:val="20"/>
                <w:szCs w:val="20"/>
              </w:rPr>
              <w:instrText xml:space="preserve"> PAGEREF _Toc210747544 \h </w:instrText>
            </w:r>
            <w:r w:rsidR="00EE4557" w:rsidRPr="00EE4557">
              <w:rPr>
                <w:rFonts w:ascii="Arial Narrow" w:hAnsi="Arial Narrow"/>
                <w:noProof/>
                <w:webHidden/>
                <w:sz w:val="20"/>
                <w:szCs w:val="20"/>
              </w:rPr>
            </w:r>
            <w:r w:rsidR="00EE4557" w:rsidRPr="00EE4557">
              <w:rPr>
                <w:rFonts w:ascii="Arial Narrow" w:hAnsi="Arial Narrow"/>
                <w:noProof/>
                <w:webHidden/>
                <w:sz w:val="20"/>
                <w:szCs w:val="20"/>
              </w:rPr>
              <w:fldChar w:fldCharType="separate"/>
            </w:r>
            <w:r w:rsidR="00211D64">
              <w:rPr>
                <w:rFonts w:ascii="Arial Narrow" w:hAnsi="Arial Narrow"/>
                <w:noProof/>
                <w:webHidden/>
                <w:sz w:val="20"/>
                <w:szCs w:val="20"/>
              </w:rPr>
              <w:t>28</w:t>
            </w:r>
            <w:r w:rsidR="00EE4557" w:rsidRPr="00EE4557">
              <w:rPr>
                <w:rFonts w:ascii="Arial Narrow" w:hAnsi="Arial Narrow"/>
                <w:noProof/>
                <w:webHidden/>
                <w:sz w:val="20"/>
                <w:szCs w:val="20"/>
              </w:rPr>
              <w:fldChar w:fldCharType="end"/>
            </w:r>
          </w:hyperlink>
        </w:p>
        <w:p w14:paraId="509EB816" w14:textId="77777777" w:rsidR="00EE4557" w:rsidRPr="00EE4557" w:rsidRDefault="00816B15">
          <w:pPr>
            <w:pStyle w:val="TOC1"/>
            <w:rPr>
              <w:rFonts w:ascii="Arial Narrow" w:eastAsiaTheme="minorEastAsia" w:hAnsi="Arial Narrow" w:cstheme="minorBidi"/>
              <w:noProof/>
              <w:sz w:val="20"/>
              <w:szCs w:val="20"/>
            </w:rPr>
          </w:pPr>
          <w:hyperlink w:anchor="_Toc210747545" w:history="1">
            <w:r w:rsidR="00EE4557" w:rsidRPr="00EE4557">
              <w:rPr>
                <w:rStyle w:val="Hyperlink"/>
                <w:rFonts w:ascii="Arial Narrow" w:hAnsi="Arial Narrow"/>
                <w:noProof/>
                <w:sz w:val="20"/>
                <w:szCs w:val="20"/>
                <w:lang w:val="bg-BG" w:eastAsia="bg-BG"/>
              </w:rPr>
              <w:t>2.2.6.</w:t>
            </w:r>
            <w:r w:rsidR="00EE4557" w:rsidRPr="00EE4557">
              <w:rPr>
                <w:rFonts w:ascii="Arial Narrow" w:eastAsiaTheme="minorEastAsia" w:hAnsi="Arial Narrow" w:cstheme="minorBidi"/>
                <w:noProof/>
                <w:sz w:val="20"/>
                <w:szCs w:val="20"/>
              </w:rPr>
              <w:tab/>
            </w:r>
            <w:r w:rsidR="00EE4557" w:rsidRPr="00EE4557">
              <w:rPr>
                <w:rStyle w:val="Hyperlink"/>
                <w:rFonts w:ascii="Arial Narrow" w:hAnsi="Arial Narrow"/>
                <w:noProof/>
                <w:sz w:val="20"/>
                <w:szCs w:val="20"/>
                <w:lang w:val="bg-BG" w:eastAsia="bg-BG"/>
              </w:rPr>
              <w:t>Медицински и ароматни култури</w:t>
            </w:r>
            <w:r w:rsidR="00EE4557" w:rsidRPr="00EE4557">
              <w:rPr>
                <w:rFonts w:ascii="Arial Narrow" w:hAnsi="Arial Narrow"/>
                <w:noProof/>
                <w:webHidden/>
                <w:sz w:val="20"/>
                <w:szCs w:val="20"/>
              </w:rPr>
              <w:tab/>
            </w:r>
            <w:r w:rsidR="00EE4557" w:rsidRPr="00EE4557">
              <w:rPr>
                <w:rFonts w:ascii="Arial Narrow" w:hAnsi="Arial Narrow"/>
                <w:noProof/>
                <w:webHidden/>
                <w:sz w:val="20"/>
                <w:szCs w:val="20"/>
              </w:rPr>
              <w:fldChar w:fldCharType="begin"/>
            </w:r>
            <w:r w:rsidR="00EE4557" w:rsidRPr="00EE4557">
              <w:rPr>
                <w:rFonts w:ascii="Arial Narrow" w:hAnsi="Arial Narrow"/>
                <w:noProof/>
                <w:webHidden/>
                <w:sz w:val="20"/>
                <w:szCs w:val="20"/>
              </w:rPr>
              <w:instrText xml:space="preserve"> PAGEREF _Toc210747545 \h </w:instrText>
            </w:r>
            <w:r w:rsidR="00EE4557" w:rsidRPr="00EE4557">
              <w:rPr>
                <w:rFonts w:ascii="Arial Narrow" w:hAnsi="Arial Narrow"/>
                <w:noProof/>
                <w:webHidden/>
                <w:sz w:val="20"/>
                <w:szCs w:val="20"/>
              </w:rPr>
            </w:r>
            <w:r w:rsidR="00EE4557" w:rsidRPr="00EE4557">
              <w:rPr>
                <w:rFonts w:ascii="Arial Narrow" w:hAnsi="Arial Narrow"/>
                <w:noProof/>
                <w:webHidden/>
                <w:sz w:val="20"/>
                <w:szCs w:val="20"/>
              </w:rPr>
              <w:fldChar w:fldCharType="separate"/>
            </w:r>
            <w:r w:rsidR="00211D64">
              <w:rPr>
                <w:rFonts w:ascii="Arial Narrow" w:hAnsi="Arial Narrow"/>
                <w:noProof/>
                <w:webHidden/>
                <w:sz w:val="20"/>
                <w:szCs w:val="20"/>
              </w:rPr>
              <w:t>28</w:t>
            </w:r>
            <w:r w:rsidR="00EE4557" w:rsidRPr="00EE4557">
              <w:rPr>
                <w:rFonts w:ascii="Arial Narrow" w:hAnsi="Arial Narrow"/>
                <w:noProof/>
                <w:webHidden/>
                <w:sz w:val="20"/>
                <w:szCs w:val="20"/>
              </w:rPr>
              <w:fldChar w:fldCharType="end"/>
            </w:r>
          </w:hyperlink>
        </w:p>
        <w:p w14:paraId="7408F955" w14:textId="77777777" w:rsidR="00EE4557" w:rsidRPr="00EE4557" w:rsidRDefault="00816B15">
          <w:pPr>
            <w:pStyle w:val="TOC1"/>
            <w:rPr>
              <w:rFonts w:ascii="Arial Narrow" w:eastAsiaTheme="minorEastAsia" w:hAnsi="Arial Narrow" w:cstheme="minorBidi"/>
              <w:noProof/>
              <w:sz w:val="20"/>
              <w:szCs w:val="20"/>
            </w:rPr>
          </w:pPr>
          <w:hyperlink w:anchor="_Toc210747546" w:history="1">
            <w:r w:rsidR="00EE4557" w:rsidRPr="00EE4557">
              <w:rPr>
                <w:rStyle w:val="Hyperlink"/>
                <w:rFonts w:ascii="Arial Narrow" w:hAnsi="Arial Narrow"/>
                <w:noProof/>
                <w:sz w:val="20"/>
                <w:szCs w:val="20"/>
                <w:lang w:val="bg-BG" w:eastAsia="bg-BG"/>
              </w:rPr>
              <w:t>2.2.7.</w:t>
            </w:r>
            <w:r w:rsidR="00EE4557" w:rsidRPr="00EE4557">
              <w:rPr>
                <w:rFonts w:ascii="Arial Narrow" w:eastAsiaTheme="minorEastAsia" w:hAnsi="Arial Narrow" w:cstheme="minorBidi"/>
                <w:noProof/>
                <w:sz w:val="20"/>
                <w:szCs w:val="20"/>
              </w:rPr>
              <w:tab/>
            </w:r>
            <w:r w:rsidR="00EE4557" w:rsidRPr="00EE4557">
              <w:rPr>
                <w:rStyle w:val="Hyperlink"/>
                <w:rFonts w:ascii="Arial Narrow" w:hAnsi="Arial Narrow"/>
                <w:noProof/>
                <w:sz w:val="20"/>
                <w:szCs w:val="20"/>
                <w:lang w:val="bg-BG" w:eastAsia="bg-BG"/>
              </w:rPr>
              <w:t>Плодове</w:t>
            </w:r>
            <w:r w:rsidR="00EE4557" w:rsidRPr="00EE4557">
              <w:rPr>
                <w:rFonts w:ascii="Arial Narrow" w:hAnsi="Arial Narrow"/>
                <w:noProof/>
                <w:webHidden/>
                <w:sz w:val="20"/>
                <w:szCs w:val="20"/>
              </w:rPr>
              <w:tab/>
            </w:r>
            <w:r w:rsidR="00EE4557" w:rsidRPr="00EE4557">
              <w:rPr>
                <w:rFonts w:ascii="Arial Narrow" w:hAnsi="Arial Narrow"/>
                <w:noProof/>
                <w:webHidden/>
                <w:sz w:val="20"/>
                <w:szCs w:val="20"/>
              </w:rPr>
              <w:fldChar w:fldCharType="begin"/>
            </w:r>
            <w:r w:rsidR="00EE4557" w:rsidRPr="00EE4557">
              <w:rPr>
                <w:rFonts w:ascii="Arial Narrow" w:hAnsi="Arial Narrow"/>
                <w:noProof/>
                <w:webHidden/>
                <w:sz w:val="20"/>
                <w:szCs w:val="20"/>
              </w:rPr>
              <w:instrText xml:space="preserve"> PAGEREF _Toc210747546 \h </w:instrText>
            </w:r>
            <w:r w:rsidR="00EE4557" w:rsidRPr="00EE4557">
              <w:rPr>
                <w:rFonts w:ascii="Arial Narrow" w:hAnsi="Arial Narrow"/>
                <w:noProof/>
                <w:webHidden/>
                <w:sz w:val="20"/>
                <w:szCs w:val="20"/>
              </w:rPr>
            </w:r>
            <w:r w:rsidR="00EE4557" w:rsidRPr="00EE4557">
              <w:rPr>
                <w:rFonts w:ascii="Arial Narrow" w:hAnsi="Arial Narrow"/>
                <w:noProof/>
                <w:webHidden/>
                <w:sz w:val="20"/>
                <w:szCs w:val="20"/>
              </w:rPr>
              <w:fldChar w:fldCharType="separate"/>
            </w:r>
            <w:r w:rsidR="00211D64">
              <w:rPr>
                <w:rFonts w:ascii="Arial Narrow" w:hAnsi="Arial Narrow"/>
                <w:noProof/>
                <w:webHidden/>
                <w:sz w:val="20"/>
                <w:szCs w:val="20"/>
              </w:rPr>
              <w:t>29</w:t>
            </w:r>
            <w:r w:rsidR="00EE4557" w:rsidRPr="00EE4557">
              <w:rPr>
                <w:rFonts w:ascii="Arial Narrow" w:hAnsi="Arial Narrow"/>
                <w:noProof/>
                <w:webHidden/>
                <w:sz w:val="20"/>
                <w:szCs w:val="20"/>
              </w:rPr>
              <w:fldChar w:fldCharType="end"/>
            </w:r>
          </w:hyperlink>
        </w:p>
        <w:p w14:paraId="17522DD0" w14:textId="77777777" w:rsidR="00EE4557" w:rsidRPr="00EE4557" w:rsidRDefault="00816B15">
          <w:pPr>
            <w:pStyle w:val="TOC1"/>
            <w:rPr>
              <w:rFonts w:ascii="Arial Narrow" w:eastAsiaTheme="minorEastAsia" w:hAnsi="Arial Narrow" w:cstheme="minorBidi"/>
              <w:noProof/>
              <w:sz w:val="20"/>
              <w:szCs w:val="20"/>
            </w:rPr>
          </w:pPr>
          <w:hyperlink w:anchor="_Toc210747547" w:history="1">
            <w:r w:rsidR="00EE4557" w:rsidRPr="00EE4557">
              <w:rPr>
                <w:rStyle w:val="Hyperlink"/>
                <w:rFonts w:ascii="Arial Narrow" w:hAnsi="Arial Narrow"/>
                <w:noProof/>
                <w:sz w:val="20"/>
                <w:szCs w:val="20"/>
                <w:lang w:val="bg-BG" w:eastAsia="bg-BG"/>
              </w:rPr>
              <w:t>2.2.8.</w:t>
            </w:r>
            <w:r w:rsidR="00EE4557" w:rsidRPr="00EE4557">
              <w:rPr>
                <w:rFonts w:ascii="Arial Narrow" w:eastAsiaTheme="minorEastAsia" w:hAnsi="Arial Narrow" w:cstheme="minorBidi"/>
                <w:noProof/>
                <w:sz w:val="20"/>
                <w:szCs w:val="20"/>
              </w:rPr>
              <w:tab/>
            </w:r>
            <w:r w:rsidR="00EE4557" w:rsidRPr="00EE4557">
              <w:rPr>
                <w:rStyle w:val="Hyperlink"/>
                <w:rFonts w:ascii="Arial Narrow" w:hAnsi="Arial Narrow"/>
                <w:noProof/>
                <w:sz w:val="20"/>
                <w:szCs w:val="20"/>
                <w:lang w:val="bg-BG" w:eastAsia="bg-BG"/>
              </w:rPr>
              <w:t>Зеленчуци</w:t>
            </w:r>
            <w:r w:rsidR="00EE4557" w:rsidRPr="00EE4557">
              <w:rPr>
                <w:rFonts w:ascii="Arial Narrow" w:hAnsi="Arial Narrow"/>
                <w:noProof/>
                <w:webHidden/>
                <w:sz w:val="20"/>
                <w:szCs w:val="20"/>
              </w:rPr>
              <w:tab/>
            </w:r>
            <w:r w:rsidR="00EE4557" w:rsidRPr="00EE4557">
              <w:rPr>
                <w:rFonts w:ascii="Arial Narrow" w:hAnsi="Arial Narrow"/>
                <w:noProof/>
                <w:webHidden/>
                <w:sz w:val="20"/>
                <w:szCs w:val="20"/>
              </w:rPr>
              <w:fldChar w:fldCharType="begin"/>
            </w:r>
            <w:r w:rsidR="00EE4557" w:rsidRPr="00EE4557">
              <w:rPr>
                <w:rFonts w:ascii="Arial Narrow" w:hAnsi="Arial Narrow"/>
                <w:noProof/>
                <w:webHidden/>
                <w:sz w:val="20"/>
                <w:szCs w:val="20"/>
              </w:rPr>
              <w:instrText xml:space="preserve"> PAGEREF _Toc210747547 \h </w:instrText>
            </w:r>
            <w:r w:rsidR="00EE4557" w:rsidRPr="00EE4557">
              <w:rPr>
                <w:rFonts w:ascii="Arial Narrow" w:hAnsi="Arial Narrow"/>
                <w:noProof/>
                <w:webHidden/>
                <w:sz w:val="20"/>
                <w:szCs w:val="20"/>
              </w:rPr>
            </w:r>
            <w:r w:rsidR="00EE4557" w:rsidRPr="00EE4557">
              <w:rPr>
                <w:rFonts w:ascii="Arial Narrow" w:hAnsi="Arial Narrow"/>
                <w:noProof/>
                <w:webHidden/>
                <w:sz w:val="20"/>
                <w:szCs w:val="20"/>
              </w:rPr>
              <w:fldChar w:fldCharType="separate"/>
            </w:r>
            <w:r w:rsidR="00211D64">
              <w:rPr>
                <w:rFonts w:ascii="Arial Narrow" w:hAnsi="Arial Narrow"/>
                <w:noProof/>
                <w:webHidden/>
                <w:sz w:val="20"/>
                <w:szCs w:val="20"/>
              </w:rPr>
              <w:t>30</w:t>
            </w:r>
            <w:r w:rsidR="00EE4557" w:rsidRPr="00EE4557">
              <w:rPr>
                <w:rFonts w:ascii="Arial Narrow" w:hAnsi="Arial Narrow"/>
                <w:noProof/>
                <w:webHidden/>
                <w:sz w:val="20"/>
                <w:szCs w:val="20"/>
              </w:rPr>
              <w:fldChar w:fldCharType="end"/>
            </w:r>
          </w:hyperlink>
        </w:p>
        <w:p w14:paraId="46B448D2" w14:textId="77777777" w:rsidR="00EE4557" w:rsidRPr="00EE4557" w:rsidRDefault="00816B15">
          <w:pPr>
            <w:pStyle w:val="TOC1"/>
            <w:rPr>
              <w:rFonts w:ascii="Arial Narrow" w:eastAsiaTheme="minorEastAsia" w:hAnsi="Arial Narrow" w:cstheme="minorBidi"/>
              <w:noProof/>
              <w:sz w:val="20"/>
              <w:szCs w:val="20"/>
            </w:rPr>
          </w:pPr>
          <w:hyperlink w:anchor="_Toc210747548" w:history="1">
            <w:r w:rsidR="00EE4557" w:rsidRPr="00EE4557">
              <w:rPr>
                <w:rStyle w:val="Hyperlink"/>
                <w:rFonts w:ascii="Arial Narrow" w:hAnsi="Arial Narrow"/>
                <w:bCs/>
                <w:noProof/>
                <w:sz w:val="20"/>
                <w:szCs w:val="20"/>
                <w:lang w:val="bg-BG" w:eastAsia="bg-BG"/>
              </w:rPr>
              <w:t>2.2.9.</w:t>
            </w:r>
            <w:r w:rsidR="00EE4557" w:rsidRPr="00EE4557">
              <w:rPr>
                <w:rFonts w:ascii="Arial Narrow" w:eastAsiaTheme="minorEastAsia" w:hAnsi="Arial Narrow" w:cstheme="minorBidi"/>
                <w:noProof/>
                <w:sz w:val="20"/>
                <w:szCs w:val="20"/>
              </w:rPr>
              <w:tab/>
            </w:r>
            <w:r w:rsidR="00EE4557" w:rsidRPr="00EE4557">
              <w:rPr>
                <w:rStyle w:val="Hyperlink"/>
                <w:rFonts w:ascii="Arial Narrow" w:hAnsi="Arial Narrow"/>
                <w:bCs/>
                <w:noProof/>
                <w:sz w:val="20"/>
                <w:szCs w:val="20"/>
                <w:lang w:val="bg-BG" w:eastAsia="bg-BG"/>
              </w:rPr>
              <w:t>Прогнозни данни за производството на основни зърнени и маслодайни култури от реколта `202</w:t>
            </w:r>
            <w:r w:rsidR="00EE4557" w:rsidRPr="00EE4557">
              <w:rPr>
                <w:rStyle w:val="Hyperlink"/>
                <w:rFonts w:ascii="Arial Narrow" w:hAnsi="Arial Narrow"/>
                <w:bCs/>
                <w:noProof/>
                <w:sz w:val="20"/>
                <w:szCs w:val="20"/>
                <w:lang w:eastAsia="bg-BG"/>
              </w:rPr>
              <w:t>5</w:t>
            </w:r>
            <w:r w:rsidR="00EE4557" w:rsidRPr="00EE4557">
              <w:rPr>
                <w:rFonts w:ascii="Arial Narrow" w:hAnsi="Arial Narrow"/>
                <w:noProof/>
                <w:webHidden/>
                <w:sz w:val="20"/>
                <w:szCs w:val="20"/>
              </w:rPr>
              <w:tab/>
            </w:r>
            <w:r w:rsidR="00EE4557" w:rsidRPr="00EE4557">
              <w:rPr>
                <w:rFonts w:ascii="Arial Narrow" w:hAnsi="Arial Narrow"/>
                <w:noProof/>
                <w:webHidden/>
                <w:sz w:val="20"/>
                <w:szCs w:val="20"/>
              </w:rPr>
              <w:fldChar w:fldCharType="begin"/>
            </w:r>
            <w:r w:rsidR="00EE4557" w:rsidRPr="00EE4557">
              <w:rPr>
                <w:rFonts w:ascii="Arial Narrow" w:hAnsi="Arial Narrow"/>
                <w:noProof/>
                <w:webHidden/>
                <w:sz w:val="20"/>
                <w:szCs w:val="20"/>
              </w:rPr>
              <w:instrText xml:space="preserve"> PAGEREF _Toc210747548 \h </w:instrText>
            </w:r>
            <w:r w:rsidR="00EE4557" w:rsidRPr="00EE4557">
              <w:rPr>
                <w:rFonts w:ascii="Arial Narrow" w:hAnsi="Arial Narrow"/>
                <w:noProof/>
                <w:webHidden/>
                <w:sz w:val="20"/>
                <w:szCs w:val="20"/>
              </w:rPr>
            </w:r>
            <w:r w:rsidR="00EE4557" w:rsidRPr="00EE4557">
              <w:rPr>
                <w:rFonts w:ascii="Arial Narrow" w:hAnsi="Arial Narrow"/>
                <w:noProof/>
                <w:webHidden/>
                <w:sz w:val="20"/>
                <w:szCs w:val="20"/>
              </w:rPr>
              <w:fldChar w:fldCharType="separate"/>
            </w:r>
            <w:r w:rsidR="00211D64">
              <w:rPr>
                <w:rFonts w:ascii="Arial Narrow" w:hAnsi="Arial Narrow"/>
                <w:noProof/>
                <w:webHidden/>
                <w:sz w:val="20"/>
                <w:szCs w:val="20"/>
              </w:rPr>
              <w:t>33</w:t>
            </w:r>
            <w:r w:rsidR="00EE4557" w:rsidRPr="00EE4557">
              <w:rPr>
                <w:rFonts w:ascii="Arial Narrow" w:hAnsi="Arial Narrow"/>
                <w:noProof/>
                <w:webHidden/>
                <w:sz w:val="20"/>
                <w:szCs w:val="20"/>
              </w:rPr>
              <w:fldChar w:fldCharType="end"/>
            </w:r>
          </w:hyperlink>
        </w:p>
        <w:p w14:paraId="0D5A8C57" w14:textId="77777777" w:rsidR="00EE4557" w:rsidRPr="00EE4557" w:rsidRDefault="00816B15">
          <w:pPr>
            <w:pStyle w:val="TOC1"/>
            <w:rPr>
              <w:rFonts w:ascii="Arial Narrow" w:eastAsiaTheme="minorEastAsia" w:hAnsi="Arial Narrow" w:cstheme="minorBidi"/>
              <w:noProof/>
              <w:sz w:val="20"/>
              <w:szCs w:val="20"/>
            </w:rPr>
          </w:pPr>
          <w:hyperlink w:anchor="_Toc210747549" w:history="1">
            <w:r w:rsidR="00EE4557" w:rsidRPr="00EE4557">
              <w:rPr>
                <w:rStyle w:val="Hyperlink"/>
                <w:rFonts w:ascii="Arial Narrow" w:hAnsi="Arial Narrow"/>
                <w:noProof/>
                <w:sz w:val="20"/>
                <w:szCs w:val="20"/>
                <w:lang w:val="bg-BG" w:eastAsia="bg-BG"/>
              </w:rPr>
              <w:t>2.3.</w:t>
            </w:r>
            <w:r w:rsidR="00EE4557" w:rsidRPr="00EE4557">
              <w:rPr>
                <w:rFonts w:ascii="Arial Narrow" w:eastAsiaTheme="minorEastAsia" w:hAnsi="Arial Narrow" w:cstheme="minorBidi"/>
                <w:noProof/>
                <w:sz w:val="20"/>
                <w:szCs w:val="20"/>
              </w:rPr>
              <w:tab/>
            </w:r>
            <w:r w:rsidR="00EE4557" w:rsidRPr="00EE4557">
              <w:rPr>
                <w:rStyle w:val="Hyperlink"/>
                <w:rFonts w:ascii="Arial Narrow" w:hAnsi="Arial Narrow"/>
                <w:noProof/>
                <w:sz w:val="20"/>
                <w:szCs w:val="20"/>
                <w:lang w:val="bg-BG" w:eastAsia="bg-BG"/>
              </w:rPr>
              <w:t>Производствени резултати в животновъдството</w:t>
            </w:r>
            <w:r w:rsidR="00EE4557" w:rsidRPr="00EE4557">
              <w:rPr>
                <w:rFonts w:ascii="Arial Narrow" w:hAnsi="Arial Narrow"/>
                <w:noProof/>
                <w:webHidden/>
                <w:sz w:val="20"/>
                <w:szCs w:val="20"/>
              </w:rPr>
              <w:tab/>
            </w:r>
            <w:r w:rsidR="00EE4557" w:rsidRPr="00EE4557">
              <w:rPr>
                <w:rFonts w:ascii="Arial Narrow" w:hAnsi="Arial Narrow"/>
                <w:noProof/>
                <w:webHidden/>
                <w:sz w:val="20"/>
                <w:szCs w:val="20"/>
              </w:rPr>
              <w:fldChar w:fldCharType="begin"/>
            </w:r>
            <w:r w:rsidR="00EE4557" w:rsidRPr="00EE4557">
              <w:rPr>
                <w:rFonts w:ascii="Arial Narrow" w:hAnsi="Arial Narrow"/>
                <w:noProof/>
                <w:webHidden/>
                <w:sz w:val="20"/>
                <w:szCs w:val="20"/>
              </w:rPr>
              <w:instrText xml:space="preserve"> PAGEREF _Toc210747549 \h </w:instrText>
            </w:r>
            <w:r w:rsidR="00EE4557" w:rsidRPr="00EE4557">
              <w:rPr>
                <w:rFonts w:ascii="Arial Narrow" w:hAnsi="Arial Narrow"/>
                <w:noProof/>
                <w:webHidden/>
                <w:sz w:val="20"/>
                <w:szCs w:val="20"/>
              </w:rPr>
            </w:r>
            <w:r w:rsidR="00EE4557" w:rsidRPr="00EE4557">
              <w:rPr>
                <w:rFonts w:ascii="Arial Narrow" w:hAnsi="Arial Narrow"/>
                <w:noProof/>
                <w:webHidden/>
                <w:sz w:val="20"/>
                <w:szCs w:val="20"/>
              </w:rPr>
              <w:fldChar w:fldCharType="separate"/>
            </w:r>
            <w:r w:rsidR="00211D64">
              <w:rPr>
                <w:rFonts w:ascii="Arial Narrow" w:hAnsi="Arial Narrow"/>
                <w:noProof/>
                <w:webHidden/>
                <w:sz w:val="20"/>
                <w:szCs w:val="20"/>
              </w:rPr>
              <w:t>34</w:t>
            </w:r>
            <w:r w:rsidR="00EE4557" w:rsidRPr="00EE4557">
              <w:rPr>
                <w:rFonts w:ascii="Arial Narrow" w:hAnsi="Arial Narrow"/>
                <w:noProof/>
                <w:webHidden/>
                <w:sz w:val="20"/>
                <w:szCs w:val="20"/>
              </w:rPr>
              <w:fldChar w:fldCharType="end"/>
            </w:r>
          </w:hyperlink>
        </w:p>
        <w:p w14:paraId="65C6963B" w14:textId="77777777" w:rsidR="00EE4557" w:rsidRPr="00EE4557" w:rsidRDefault="00816B15">
          <w:pPr>
            <w:pStyle w:val="TOC1"/>
            <w:rPr>
              <w:rFonts w:ascii="Arial Narrow" w:eastAsiaTheme="minorEastAsia" w:hAnsi="Arial Narrow" w:cstheme="minorBidi"/>
              <w:noProof/>
              <w:sz w:val="20"/>
              <w:szCs w:val="20"/>
            </w:rPr>
          </w:pPr>
          <w:hyperlink w:anchor="_Toc210747550" w:history="1">
            <w:r w:rsidR="00EE4557" w:rsidRPr="00EE4557">
              <w:rPr>
                <w:rStyle w:val="Hyperlink"/>
                <w:rFonts w:ascii="Arial Narrow" w:hAnsi="Arial Narrow"/>
                <w:noProof/>
                <w:sz w:val="20"/>
                <w:szCs w:val="20"/>
                <w:lang w:val="bg-BG" w:eastAsia="bg-BG"/>
              </w:rPr>
              <w:t>2.3.1.</w:t>
            </w:r>
            <w:r w:rsidR="00EE4557" w:rsidRPr="00EE4557">
              <w:rPr>
                <w:rFonts w:ascii="Arial Narrow" w:eastAsiaTheme="minorEastAsia" w:hAnsi="Arial Narrow" w:cstheme="minorBidi"/>
                <w:noProof/>
                <w:sz w:val="20"/>
                <w:szCs w:val="20"/>
              </w:rPr>
              <w:tab/>
            </w:r>
            <w:r w:rsidR="00EE4557" w:rsidRPr="00EE4557">
              <w:rPr>
                <w:rStyle w:val="Hyperlink"/>
                <w:rFonts w:ascii="Arial Narrow" w:hAnsi="Arial Narrow"/>
                <w:noProof/>
                <w:sz w:val="20"/>
                <w:szCs w:val="20"/>
                <w:lang w:val="bg-BG" w:eastAsia="bg-BG"/>
              </w:rPr>
              <w:t>Говедовъдство</w:t>
            </w:r>
            <w:r w:rsidR="00EE4557" w:rsidRPr="00EE4557">
              <w:rPr>
                <w:rStyle w:val="Hyperlink"/>
                <w:rFonts w:ascii="Arial Narrow" w:hAnsi="Arial Narrow"/>
                <w:noProof/>
                <w:sz w:val="20"/>
                <w:szCs w:val="20"/>
                <w:lang w:eastAsia="bg-BG"/>
              </w:rPr>
              <w:t xml:space="preserve"> </w:t>
            </w:r>
            <w:r w:rsidR="00EE4557" w:rsidRPr="00EE4557">
              <w:rPr>
                <w:rStyle w:val="Hyperlink"/>
                <w:rFonts w:ascii="Arial Narrow" w:hAnsi="Arial Narrow"/>
                <w:noProof/>
                <w:sz w:val="20"/>
                <w:szCs w:val="20"/>
                <w:lang w:val="bg-BG" w:eastAsia="bg-BG"/>
              </w:rPr>
              <w:t>и биволовъдство</w:t>
            </w:r>
            <w:r w:rsidR="00EE4557" w:rsidRPr="00EE4557">
              <w:rPr>
                <w:rFonts w:ascii="Arial Narrow" w:hAnsi="Arial Narrow"/>
                <w:noProof/>
                <w:webHidden/>
                <w:sz w:val="20"/>
                <w:szCs w:val="20"/>
              </w:rPr>
              <w:tab/>
            </w:r>
            <w:r w:rsidR="00EE4557" w:rsidRPr="00EE4557">
              <w:rPr>
                <w:rFonts w:ascii="Arial Narrow" w:hAnsi="Arial Narrow"/>
                <w:noProof/>
                <w:webHidden/>
                <w:sz w:val="20"/>
                <w:szCs w:val="20"/>
              </w:rPr>
              <w:fldChar w:fldCharType="begin"/>
            </w:r>
            <w:r w:rsidR="00EE4557" w:rsidRPr="00EE4557">
              <w:rPr>
                <w:rFonts w:ascii="Arial Narrow" w:hAnsi="Arial Narrow"/>
                <w:noProof/>
                <w:webHidden/>
                <w:sz w:val="20"/>
                <w:szCs w:val="20"/>
              </w:rPr>
              <w:instrText xml:space="preserve"> PAGEREF _Toc210747550 \h </w:instrText>
            </w:r>
            <w:r w:rsidR="00EE4557" w:rsidRPr="00EE4557">
              <w:rPr>
                <w:rFonts w:ascii="Arial Narrow" w:hAnsi="Arial Narrow"/>
                <w:noProof/>
                <w:webHidden/>
                <w:sz w:val="20"/>
                <w:szCs w:val="20"/>
              </w:rPr>
            </w:r>
            <w:r w:rsidR="00EE4557" w:rsidRPr="00EE4557">
              <w:rPr>
                <w:rFonts w:ascii="Arial Narrow" w:hAnsi="Arial Narrow"/>
                <w:noProof/>
                <w:webHidden/>
                <w:sz w:val="20"/>
                <w:szCs w:val="20"/>
              </w:rPr>
              <w:fldChar w:fldCharType="separate"/>
            </w:r>
            <w:r w:rsidR="00211D64">
              <w:rPr>
                <w:rFonts w:ascii="Arial Narrow" w:hAnsi="Arial Narrow"/>
                <w:noProof/>
                <w:webHidden/>
                <w:sz w:val="20"/>
                <w:szCs w:val="20"/>
              </w:rPr>
              <w:t>37</w:t>
            </w:r>
            <w:r w:rsidR="00EE4557" w:rsidRPr="00EE4557">
              <w:rPr>
                <w:rFonts w:ascii="Arial Narrow" w:hAnsi="Arial Narrow"/>
                <w:noProof/>
                <w:webHidden/>
                <w:sz w:val="20"/>
                <w:szCs w:val="20"/>
              </w:rPr>
              <w:fldChar w:fldCharType="end"/>
            </w:r>
          </w:hyperlink>
        </w:p>
        <w:p w14:paraId="0E7E5138" w14:textId="77777777" w:rsidR="00EE4557" w:rsidRPr="00EE4557" w:rsidRDefault="00816B15">
          <w:pPr>
            <w:pStyle w:val="TOC1"/>
            <w:rPr>
              <w:rFonts w:ascii="Arial Narrow" w:eastAsiaTheme="minorEastAsia" w:hAnsi="Arial Narrow" w:cstheme="minorBidi"/>
              <w:noProof/>
              <w:sz w:val="20"/>
              <w:szCs w:val="20"/>
            </w:rPr>
          </w:pPr>
          <w:hyperlink w:anchor="_Toc210747551" w:history="1">
            <w:r w:rsidR="00EE4557" w:rsidRPr="00EE4557">
              <w:rPr>
                <w:rStyle w:val="Hyperlink"/>
                <w:rFonts w:ascii="Arial Narrow" w:eastAsia="Calibri" w:hAnsi="Arial Narrow" w:cs="Arial"/>
                <w:bCs/>
                <w:noProof/>
                <w:sz w:val="20"/>
                <w:szCs w:val="20"/>
                <w:lang w:val="bg-BG"/>
              </w:rPr>
              <w:t>2.3.2.</w:t>
            </w:r>
            <w:r w:rsidR="00EE4557" w:rsidRPr="00EE4557">
              <w:rPr>
                <w:rFonts w:ascii="Arial Narrow" w:eastAsiaTheme="minorEastAsia" w:hAnsi="Arial Narrow" w:cstheme="minorBidi"/>
                <w:noProof/>
                <w:sz w:val="20"/>
                <w:szCs w:val="20"/>
              </w:rPr>
              <w:tab/>
            </w:r>
            <w:r w:rsidR="00EE4557" w:rsidRPr="00EE4557">
              <w:rPr>
                <w:rStyle w:val="Hyperlink"/>
                <w:rFonts w:ascii="Arial Narrow" w:eastAsia="Calibri" w:hAnsi="Arial Narrow" w:cs="Arial"/>
                <w:bCs/>
                <w:noProof/>
                <w:sz w:val="20"/>
                <w:szCs w:val="20"/>
                <w:lang w:val="bg-BG"/>
              </w:rPr>
              <w:t>Овцевъдство и козевъдство</w:t>
            </w:r>
            <w:r w:rsidR="00EE4557" w:rsidRPr="00EE4557">
              <w:rPr>
                <w:rFonts w:ascii="Arial Narrow" w:hAnsi="Arial Narrow"/>
                <w:noProof/>
                <w:webHidden/>
                <w:sz w:val="20"/>
                <w:szCs w:val="20"/>
              </w:rPr>
              <w:tab/>
            </w:r>
            <w:r w:rsidR="00EE4557" w:rsidRPr="00EE4557">
              <w:rPr>
                <w:rFonts w:ascii="Arial Narrow" w:hAnsi="Arial Narrow"/>
                <w:noProof/>
                <w:webHidden/>
                <w:sz w:val="20"/>
                <w:szCs w:val="20"/>
              </w:rPr>
              <w:fldChar w:fldCharType="begin"/>
            </w:r>
            <w:r w:rsidR="00EE4557" w:rsidRPr="00EE4557">
              <w:rPr>
                <w:rFonts w:ascii="Arial Narrow" w:hAnsi="Arial Narrow"/>
                <w:noProof/>
                <w:webHidden/>
                <w:sz w:val="20"/>
                <w:szCs w:val="20"/>
              </w:rPr>
              <w:instrText xml:space="preserve"> PAGEREF _Toc210747551 \h </w:instrText>
            </w:r>
            <w:r w:rsidR="00EE4557" w:rsidRPr="00EE4557">
              <w:rPr>
                <w:rFonts w:ascii="Arial Narrow" w:hAnsi="Arial Narrow"/>
                <w:noProof/>
                <w:webHidden/>
                <w:sz w:val="20"/>
                <w:szCs w:val="20"/>
              </w:rPr>
            </w:r>
            <w:r w:rsidR="00EE4557" w:rsidRPr="00EE4557">
              <w:rPr>
                <w:rFonts w:ascii="Arial Narrow" w:hAnsi="Arial Narrow"/>
                <w:noProof/>
                <w:webHidden/>
                <w:sz w:val="20"/>
                <w:szCs w:val="20"/>
              </w:rPr>
              <w:fldChar w:fldCharType="separate"/>
            </w:r>
            <w:r w:rsidR="00211D64">
              <w:rPr>
                <w:rFonts w:ascii="Arial Narrow" w:hAnsi="Arial Narrow"/>
                <w:noProof/>
                <w:webHidden/>
                <w:sz w:val="20"/>
                <w:szCs w:val="20"/>
              </w:rPr>
              <w:t>40</w:t>
            </w:r>
            <w:r w:rsidR="00EE4557" w:rsidRPr="00EE4557">
              <w:rPr>
                <w:rFonts w:ascii="Arial Narrow" w:hAnsi="Arial Narrow"/>
                <w:noProof/>
                <w:webHidden/>
                <w:sz w:val="20"/>
                <w:szCs w:val="20"/>
              </w:rPr>
              <w:fldChar w:fldCharType="end"/>
            </w:r>
          </w:hyperlink>
        </w:p>
        <w:p w14:paraId="1EFE8785" w14:textId="77777777" w:rsidR="00EE4557" w:rsidRPr="00EE4557" w:rsidRDefault="00816B15">
          <w:pPr>
            <w:pStyle w:val="TOC1"/>
            <w:rPr>
              <w:rFonts w:ascii="Arial Narrow" w:eastAsiaTheme="minorEastAsia" w:hAnsi="Arial Narrow" w:cstheme="minorBidi"/>
              <w:noProof/>
              <w:sz w:val="20"/>
              <w:szCs w:val="20"/>
            </w:rPr>
          </w:pPr>
          <w:hyperlink w:anchor="_Toc210747552" w:history="1">
            <w:r w:rsidR="00EE4557" w:rsidRPr="00EE4557">
              <w:rPr>
                <w:rStyle w:val="Hyperlink"/>
                <w:rFonts w:ascii="Arial Narrow" w:hAnsi="Arial Narrow"/>
                <w:bCs/>
                <w:noProof/>
                <w:sz w:val="20"/>
                <w:szCs w:val="20"/>
                <w:lang w:val="bg-BG"/>
              </w:rPr>
              <w:t>2.3.3.</w:t>
            </w:r>
            <w:r w:rsidR="00EE4557" w:rsidRPr="00EE4557">
              <w:rPr>
                <w:rFonts w:ascii="Arial Narrow" w:eastAsiaTheme="minorEastAsia" w:hAnsi="Arial Narrow" w:cstheme="minorBidi"/>
                <w:noProof/>
                <w:sz w:val="20"/>
                <w:szCs w:val="20"/>
              </w:rPr>
              <w:tab/>
            </w:r>
            <w:r w:rsidR="00EE4557" w:rsidRPr="00EE4557">
              <w:rPr>
                <w:rStyle w:val="Hyperlink"/>
                <w:rFonts w:ascii="Arial Narrow" w:hAnsi="Arial Narrow"/>
                <w:bCs/>
                <w:noProof/>
                <w:sz w:val="20"/>
                <w:szCs w:val="20"/>
                <w:lang w:val="bg-BG"/>
              </w:rPr>
              <w:t>Свиневъдство</w:t>
            </w:r>
            <w:r w:rsidR="00EE4557" w:rsidRPr="00EE4557">
              <w:rPr>
                <w:rFonts w:ascii="Arial Narrow" w:hAnsi="Arial Narrow"/>
                <w:noProof/>
                <w:webHidden/>
                <w:sz w:val="20"/>
                <w:szCs w:val="20"/>
              </w:rPr>
              <w:tab/>
            </w:r>
            <w:r w:rsidR="00EE4557" w:rsidRPr="00EE4557">
              <w:rPr>
                <w:rFonts w:ascii="Arial Narrow" w:hAnsi="Arial Narrow"/>
                <w:noProof/>
                <w:webHidden/>
                <w:sz w:val="20"/>
                <w:szCs w:val="20"/>
              </w:rPr>
              <w:fldChar w:fldCharType="begin"/>
            </w:r>
            <w:r w:rsidR="00EE4557" w:rsidRPr="00EE4557">
              <w:rPr>
                <w:rFonts w:ascii="Arial Narrow" w:hAnsi="Arial Narrow"/>
                <w:noProof/>
                <w:webHidden/>
                <w:sz w:val="20"/>
                <w:szCs w:val="20"/>
              </w:rPr>
              <w:instrText xml:space="preserve"> PAGEREF _Toc210747552 \h </w:instrText>
            </w:r>
            <w:r w:rsidR="00EE4557" w:rsidRPr="00EE4557">
              <w:rPr>
                <w:rFonts w:ascii="Arial Narrow" w:hAnsi="Arial Narrow"/>
                <w:noProof/>
                <w:webHidden/>
                <w:sz w:val="20"/>
                <w:szCs w:val="20"/>
              </w:rPr>
            </w:r>
            <w:r w:rsidR="00EE4557" w:rsidRPr="00EE4557">
              <w:rPr>
                <w:rFonts w:ascii="Arial Narrow" w:hAnsi="Arial Narrow"/>
                <w:noProof/>
                <w:webHidden/>
                <w:sz w:val="20"/>
                <w:szCs w:val="20"/>
              </w:rPr>
              <w:fldChar w:fldCharType="separate"/>
            </w:r>
            <w:r w:rsidR="00211D64">
              <w:rPr>
                <w:rFonts w:ascii="Arial Narrow" w:hAnsi="Arial Narrow"/>
                <w:noProof/>
                <w:webHidden/>
                <w:sz w:val="20"/>
                <w:szCs w:val="20"/>
              </w:rPr>
              <w:t>41</w:t>
            </w:r>
            <w:r w:rsidR="00EE4557" w:rsidRPr="00EE4557">
              <w:rPr>
                <w:rFonts w:ascii="Arial Narrow" w:hAnsi="Arial Narrow"/>
                <w:noProof/>
                <w:webHidden/>
                <w:sz w:val="20"/>
                <w:szCs w:val="20"/>
              </w:rPr>
              <w:fldChar w:fldCharType="end"/>
            </w:r>
          </w:hyperlink>
        </w:p>
        <w:p w14:paraId="25A1B94F" w14:textId="77777777" w:rsidR="00EE4557" w:rsidRPr="00EE4557" w:rsidRDefault="00816B15">
          <w:pPr>
            <w:pStyle w:val="TOC1"/>
            <w:rPr>
              <w:rFonts w:ascii="Arial Narrow" w:eastAsiaTheme="minorEastAsia" w:hAnsi="Arial Narrow" w:cstheme="minorBidi"/>
              <w:noProof/>
              <w:sz w:val="20"/>
              <w:szCs w:val="20"/>
            </w:rPr>
          </w:pPr>
          <w:hyperlink w:anchor="_Toc210747553" w:history="1">
            <w:r w:rsidR="00EE4557" w:rsidRPr="00EE4557">
              <w:rPr>
                <w:rStyle w:val="Hyperlink"/>
                <w:rFonts w:ascii="Arial Narrow" w:hAnsi="Arial Narrow"/>
                <w:bCs/>
                <w:noProof/>
                <w:sz w:val="20"/>
                <w:szCs w:val="20"/>
                <w:lang w:val="bg-BG"/>
              </w:rPr>
              <w:t>2.3.4.</w:t>
            </w:r>
            <w:r w:rsidR="00EE4557" w:rsidRPr="00EE4557">
              <w:rPr>
                <w:rFonts w:ascii="Arial Narrow" w:eastAsiaTheme="minorEastAsia" w:hAnsi="Arial Narrow" w:cstheme="minorBidi"/>
                <w:noProof/>
                <w:sz w:val="20"/>
                <w:szCs w:val="20"/>
              </w:rPr>
              <w:tab/>
            </w:r>
            <w:r w:rsidR="00EE4557" w:rsidRPr="00EE4557">
              <w:rPr>
                <w:rStyle w:val="Hyperlink"/>
                <w:rFonts w:ascii="Arial Narrow" w:hAnsi="Arial Narrow"/>
                <w:bCs/>
                <w:noProof/>
                <w:sz w:val="20"/>
                <w:szCs w:val="20"/>
                <w:lang w:val="bg-BG"/>
              </w:rPr>
              <w:t>К</w:t>
            </w:r>
            <w:r w:rsidR="00EE4557" w:rsidRPr="00EE4557">
              <w:rPr>
                <w:rStyle w:val="Hyperlink"/>
                <w:rFonts w:ascii="Arial Narrow" w:hAnsi="Arial Narrow" w:cs="ArialNarrow-Bold"/>
                <w:bCs/>
                <w:noProof/>
                <w:sz w:val="20"/>
                <w:szCs w:val="20"/>
                <w:lang w:val="bg-BG"/>
              </w:rPr>
              <w:t>оневъдство</w:t>
            </w:r>
            <w:r w:rsidR="00EE4557" w:rsidRPr="00EE4557">
              <w:rPr>
                <w:rFonts w:ascii="Arial Narrow" w:hAnsi="Arial Narrow"/>
                <w:noProof/>
                <w:webHidden/>
                <w:sz w:val="20"/>
                <w:szCs w:val="20"/>
              </w:rPr>
              <w:tab/>
            </w:r>
            <w:r w:rsidR="00EE4557" w:rsidRPr="00EE4557">
              <w:rPr>
                <w:rFonts w:ascii="Arial Narrow" w:hAnsi="Arial Narrow"/>
                <w:noProof/>
                <w:webHidden/>
                <w:sz w:val="20"/>
                <w:szCs w:val="20"/>
              </w:rPr>
              <w:fldChar w:fldCharType="begin"/>
            </w:r>
            <w:r w:rsidR="00EE4557" w:rsidRPr="00EE4557">
              <w:rPr>
                <w:rFonts w:ascii="Arial Narrow" w:hAnsi="Arial Narrow"/>
                <w:noProof/>
                <w:webHidden/>
                <w:sz w:val="20"/>
                <w:szCs w:val="20"/>
              </w:rPr>
              <w:instrText xml:space="preserve"> PAGEREF _Toc210747553 \h </w:instrText>
            </w:r>
            <w:r w:rsidR="00EE4557" w:rsidRPr="00EE4557">
              <w:rPr>
                <w:rFonts w:ascii="Arial Narrow" w:hAnsi="Arial Narrow"/>
                <w:noProof/>
                <w:webHidden/>
                <w:sz w:val="20"/>
                <w:szCs w:val="20"/>
              </w:rPr>
            </w:r>
            <w:r w:rsidR="00EE4557" w:rsidRPr="00EE4557">
              <w:rPr>
                <w:rFonts w:ascii="Arial Narrow" w:hAnsi="Arial Narrow"/>
                <w:noProof/>
                <w:webHidden/>
                <w:sz w:val="20"/>
                <w:szCs w:val="20"/>
              </w:rPr>
              <w:fldChar w:fldCharType="separate"/>
            </w:r>
            <w:r w:rsidR="00211D64">
              <w:rPr>
                <w:rFonts w:ascii="Arial Narrow" w:hAnsi="Arial Narrow"/>
                <w:noProof/>
                <w:webHidden/>
                <w:sz w:val="20"/>
                <w:szCs w:val="20"/>
              </w:rPr>
              <w:t>43</w:t>
            </w:r>
            <w:r w:rsidR="00EE4557" w:rsidRPr="00EE4557">
              <w:rPr>
                <w:rFonts w:ascii="Arial Narrow" w:hAnsi="Arial Narrow"/>
                <w:noProof/>
                <w:webHidden/>
                <w:sz w:val="20"/>
                <w:szCs w:val="20"/>
              </w:rPr>
              <w:fldChar w:fldCharType="end"/>
            </w:r>
          </w:hyperlink>
        </w:p>
        <w:p w14:paraId="484EC3D2" w14:textId="77777777" w:rsidR="00EE4557" w:rsidRPr="00EE4557" w:rsidRDefault="00816B15">
          <w:pPr>
            <w:pStyle w:val="TOC1"/>
            <w:rPr>
              <w:rFonts w:ascii="Arial Narrow" w:eastAsiaTheme="minorEastAsia" w:hAnsi="Arial Narrow" w:cstheme="minorBidi"/>
              <w:noProof/>
              <w:sz w:val="20"/>
              <w:szCs w:val="20"/>
            </w:rPr>
          </w:pPr>
          <w:hyperlink w:anchor="_Toc210747554" w:history="1">
            <w:r w:rsidR="00EE4557" w:rsidRPr="00EE4557">
              <w:rPr>
                <w:rStyle w:val="Hyperlink"/>
                <w:rFonts w:ascii="Arial Narrow" w:hAnsi="Arial Narrow"/>
                <w:bCs/>
                <w:noProof/>
                <w:sz w:val="20"/>
                <w:szCs w:val="20"/>
                <w:lang w:val="bg-BG"/>
              </w:rPr>
              <w:t>2.3.5.</w:t>
            </w:r>
            <w:r w:rsidR="00EE4557" w:rsidRPr="00EE4557">
              <w:rPr>
                <w:rFonts w:ascii="Arial Narrow" w:eastAsiaTheme="minorEastAsia" w:hAnsi="Arial Narrow" w:cstheme="minorBidi"/>
                <w:noProof/>
                <w:sz w:val="20"/>
                <w:szCs w:val="20"/>
              </w:rPr>
              <w:tab/>
            </w:r>
            <w:r w:rsidR="00EE4557" w:rsidRPr="00EE4557">
              <w:rPr>
                <w:rStyle w:val="Hyperlink"/>
                <w:rFonts w:ascii="Arial Narrow" w:hAnsi="Arial Narrow"/>
                <w:bCs/>
                <w:noProof/>
                <w:sz w:val="20"/>
                <w:szCs w:val="20"/>
                <w:lang w:val="bg-BG"/>
              </w:rPr>
              <w:t>Птицевъдство</w:t>
            </w:r>
            <w:r w:rsidR="00EE4557" w:rsidRPr="00EE4557">
              <w:rPr>
                <w:rFonts w:ascii="Arial Narrow" w:hAnsi="Arial Narrow"/>
                <w:noProof/>
                <w:webHidden/>
                <w:sz w:val="20"/>
                <w:szCs w:val="20"/>
              </w:rPr>
              <w:tab/>
            </w:r>
            <w:r w:rsidR="00EE4557" w:rsidRPr="00EE4557">
              <w:rPr>
                <w:rFonts w:ascii="Arial Narrow" w:hAnsi="Arial Narrow"/>
                <w:noProof/>
                <w:webHidden/>
                <w:sz w:val="20"/>
                <w:szCs w:val="20"/>
              </w:rPr>
              <w:fldChar w:fldCharType="begin"/>
            </w:r>
            <w:r w:rsidR="00EE4557" w:rsidRPr="00EE4557">
              <w:rPr>
                <w:rFonts w:ascii="Arial Narrow" w:hAnsi="Arial Narrow"/>
                <w:noProof/>
                <w:webHidden/>
                <w:sz w:val="20"/>
                <w:szCs w:val="20"/>
              </w:rPr>
              <w:instrText xml:space="preserve"> PAGEREF _Toc210747554 \h </w:instrText>
            </w:r>
            <w:r w:rsidR="00EE4557" w:rsidRPr="00EE4557">
              <w:rPr>
                <w:rFonts w:ascii="Arial Narrow" w:hAnsi="Arial Narrow"/>
                <w:noProof/>
                <w:webHidden/>
                <w:sz w:val="20"/>
                <w:szCs w:val="20"/>
              </w:rPr>
            </w:r>
            <w:r w:rsidR="00EE4557" w:rsidRPr="00EE4557">
              <w:rPr>
                <w:rFonts w:ascii="Arial Narrow" w:hAnsi="Arial Narrow"/>
                <w:noProof/>
                <w:webHidden/>
                <w:sz w:val="20"/>
                <w:szCs w:val="20"/>
              </w:rPr>
              <w:fldChar w:fldCharType="separate"/>
            </w:r>
            <w:r w:rsidR="00211D64">
              <w:rPr>
                <w:rFonts w:ascii="Arial Narrow" w:hAnsi="Arial Narrow"/>
                <w:noProof/>
                <w:webHidden/>
                <w:sz w:val="20"/>
                <w:szCs w:val="20"/>
              </w:rPr>
              <w:t>44</w:t>
            </w:r>
            <w:r w:rsidR="00EE4557" w:rsidRPr="00EE4557">
              <w:rPr>
                <w:rFonts w:ascii="Arial Narrow" w:hAnsi="Arial Narrow"/>
                <w:noProof/>
                <w:webHidden/>
                <w:sz w:val="20"/>
                <w:szCs w:val="20"/>
              </w:rPr>
              <w:fldChar w:fldCharType="end"/>
            </w:r>
          </w:hyperlink>
        </w:p>
        <w:p w14:paraId="10BB2B01" w14:textId="77777777" w:rsidR="00EE4557" w:rsidRPr="00EE4557" w:rsidRDefault="00816B15">
          <w:pPr>
            <w:pStyle w:val="TOC1"/>
            <w:rPr>
              <w:rFonts w:ascii="Arial Narrow" w:eastAsiaTheme="minorEastAsia" w:hAnsi="Arial Narrow" w:cstheme="minorBidi"/>
              <w:noProof/>
              <w:sz w:val="20"/>
              <w:szCs w:val="20"/>
            </w:rPr>
          </w:pPr>
          <w:hyperlink w:anchor="_Toc210747555" w:history="1">
            <w:r w:rsidR="00EE4557" w:rsidRPr="00EE4557">
              <w:rPr>
                <w:rStyle w:val="Hyperlink"/>
                <w:rFonts w:ascii="Arial Narrow" w:hAnsi="Arial Narrow"/>
                <w:noProof/>
                <w:sz w:val="20"/>
                <w:szCs w:val="20"/>
                <w:lang w:val="bg-BG"/>
              </w:rPr>
              <w:t>2.3.6.</w:t>
            </w:r>
            <w:r w:rsidR="00EE4557" w:rsidRPr="00EE4557">
              <w:rPr>
                <w:rFonts w:ascii="Arial Narrow" w:eastAsiaTheme="minorEastAsia" w:hAnsi="Arial Narrow" w:cstheme="minorBidi"/>
                <w:noProof/>
                <w:sz w:val="20"/>
                <w:szCs w:val="20"/>
              </w:rPr>
              <w:tab/>
            </w:r>
            <w:r w:rsidR="00EE4557" w:rsidRPr="00EE4557">
              <w:rPr>
                <w:rStyle w:val="Hyperlink"/>
                <w:rFonts w:ascii="Arial Narrow" w:hAnsi="Arial Narrow" w:cs="ArialNarrow-Bold"/>
                <w:bCs/>
                <w:noProof/>
                <w:sz w:val="20"/>
                <w:szCs w:val="20"/>
                <w:lang w:val="bg-BG"/>
              </w:rPr>
              <w:t>Пчеларство</w:t>
            </w:r>
            <w:r w:rsidR="00EE4557" w:rsidRPr="00EE4557">
              <w:rPr>
                <w:rFonts w:ascii="Arial Narrow" w:hAnsi="Arial Narrow"/>
                <w:noProof/>
                <w:webHidden/>
                <w:sz w:val="20"/>
                <w:szCs w:val="20"/>
              </w:rPr>
              <w:tab/>
            </w:r>
            <w:r w:rsidR="00EE4557" w:rsidRPr="00EE4557">
              <w:rPr>
                <w:rFonts w:ascii="Arial Narrow" w:hAnsi="Arial Narrow"/>
                <w:noProof/>
                <w:webHidden/>
                <w:sz w:val="20"/>
                <w:szCs w:val="20"/>
              </w:rPr>
              <w:fldChar w:fldCharType="begin"/>
            </w:r>
            <w:r w:rsidR="00EE4557" w:rsidRPr="00EE4557">
              <w:rPr>
                <w:rFonts w:ascii="Arial Narrow" w:hAnsi="Arial Narrow"/>
                <w:noProof/>
                <w:webHidden/>
                <w:sz w:val="20"/>
                <w:szCs w:val="20"/>
              </w:rPr>
              <w:instrText xml:space="preserve"> PAGEREF _Toc210747555 \h </w:instrText>
            </w:r>
            <w:r w:rsidR="00EE4557" w:rsidRPr="00EE4557">
              <w:rPr>
                <w:rFonts w:ascii="Arial Narrow" w:hAnsi="Arial Narrow"/>
                <w:noProof/>
                <w:webHidden/>
                <w:sz w:val="20"/>
                <w:szCs w:val="20"/>
              </w:rPr>
            </w:r>
            <w:r w:rsidR="00EE4557" w:rsidRPr="00EE4557">
              <w:rPr>
                <w:rFonts w:ascii="Arial Narrow" w:hAnsi="Arial Narrow"/>
                <w:noProof/>
                <w:webHidden/>
                <w:sz w:val="20"/>
                <w:szCs w:val="20"/>
              </w:rPr>
              <w:fldChar w:fldCharType="separate"/>
            </w:r>
            <w:r w:rsidR="00211D64">
              <w:rPr>
                <w:rFonts w:ascii="Arial Narrow" w:hAnsi="Arial Narrow"/>
                <w:noProof/>
                <w:webHidden/>
                <w:sz w:val="20"/>
                <w:szCs w:val="20"/>
              </w:rPr>
              <w:t>46</w:t>
            </w:r>
            <w:r w:rsidR="00EE4557" w:rsidRPr="00EE4557">
              <w:rPr>
                <w:rFonts w:ascii="Arial Narrow" w:hAnsi="Arial Narrow"/>
                <w:noProof/>
                <w:webHidden/>
                <w:sz w:val="20"/>
                <w:szCs w:val="20"/>
              </w:rPr>
              <w:fldChar w:fldCharType="end"/>
            </w:r>
          </w:hyperlink>
        </w:p>
        <w:p w14:paraId="776D856D" w14:textId="77777777" w:rsidR="00EE4557" w:rsidRPr="00EE4557" w:rsidRDefault="00816B15">
          <w:pPr>
            <w:pStyle w:val="TOC1"/>
            <w:rPr>
              <w:rFonts w:ascii="Arial Narrow" w:eastAsiaTheme="minorEastAsia" w:hAnsi="Arial Narrow" w:cstheme="minorBidi"/>
              <w:noProof/>
              <w:sz w:val="20"/>
              <w:szCs w:val="20"/>
            </w:rPr>
          </w:pPr>
          <w:hyperlink w:anchor="_Toc210747556" w:history="1">
            <w:r w:rsidR="00EE4557" w:rsidRPr="00EE4557">
              <w:rPr>
                <w:rStyle w:val="Hyperlink"/>
                <w:rFonts w:ascii="Arial Narrow" w:hAnsi="Arial Narrow"/>
                <w:noProof/>
                <w:sz w:val="20"/>
                <w:szCs w:val="20"/>
                <w:lang w:val="bg-BG"/>
              </w:rPr>
              <w:t>2.3.7.</w:t>
            </w:r>
            <w:r w:rsidR="00EE4557" w:rsidRPr="00EE4557">
              <w:rPr>
                <w:rFonts w:ascii="Arial Narrow" w:eastAsiaTheme="minorEastAsia" w:hAnsi="Arial Narrow" w:cstheme="minorBidi"/>
                <w:noProof/>
                <w:sz w:val="20"/>
                <w:szCs w:val="20"/>
              </w:rPr>
              <w:tab/>
            </w:r>
            <w:r w:rsidR="00EE4557" w:rsidRPr="00EE4557">
              <w:rPr>
                <w:rStyle w:val="Hyperlink"/>
                <w:rFonts w:ascii="Arial Narrow" w:hAnsi="Arial Narrow"/>
                <w:noProof/>
                <w:sz w:val="20"/>
                <w:szCs w:val="20"/>
                <w:lang w:val="bg-BG"/>
              </w:rPr>
              <w:t>Зайцевъдство</w:t>
            </w:r>
            <w:r w:rsidR="00EE4557" w:rsidRPr="00EE4557">
              <w:rPr>
                <w:rFonts w:ascii="Arial Narrow" w:hAnsi="Arial Narrow"/>
                <w:noProof/>
                <w:webHidden/>
                <w:sz w:val="20"/>
                <w:szCs w:val="20"/>
              </w:rPr>
              <w:tab/>
            </w:r>
            <w:r w:rsidR="00EE4557" w:rsidRPr="00EE4557">
              <w:rPr>
                <w:rFonts w:ascii="Arial Narrow" w:hAnsi="Arial Narrow"/>
                <w:noProof/>
                <w:webHidden/>
                <w:sz w:val="20"/>
                <w:szCs w:val="20"/>
              </w:rPr>
              <w:fldChar w:fldCharType="begin"/>
            </w:r>
            <w:r w:rsidR="00EE4557" w:rsidRPr="00EE4557">
              <w:rPr>
                <w:rFonts w:ascii="Arial Narrow" w:hAnsi="Arial Narrow"/>
                <w:noProof/>
                <w:webHidden/>
                <w:sz w:val="20"/>
                <w:szCs w:val="20"/>
              </w:rPr>
              <w:instrText xml:space="preserve"> PAGEREF _Toc210747556 \h </w:instrText>
            </w:r>
            <w:r w:rsidR="00EE4557" w:rsidRPr="00EE4557">
              <w:rPr>
                <w:rFonts w:ascii="Arial Narrow" w:hAnsi="Arial Narrow"/>
                <w:noProof/>
                <w:webHidden/>
                <w:sz w:val="20"/>
                <w:szCs w:val="20"/>
              </w:rPr>
            </w:r>
            <w:r w:rsidR="00EE4557" w:rsidRPr="00EE4557">
              <w:rPr>
                <w:rFonts w:ascii="Arial Narrow" w:hAnsi="Arial Narrow"/>
                <w:noProof/>
                <w:webHidden/>
                <w:sz w:val="20"/>
                <w:szCs w:val="20"/>
              </w:rPr>
              <w:fldChar w:fldCharType="separate"/>
            </w:r>
            <w:r w:rsidR="00211D64">
              <w:rPr>
                <w:rFonts w:ascii="Arial Narrow" w:hAnsi="Arial Narrow"/>
                <w:noProof/>
                <w:webHidden/>
                <w:sz w:val="20"/>
                <w:szCs w:val="20"/>
              </w:rPr>
              <w:t>48</w:t>
            </w:r>
            <w:r w:rsidR="00EE4557" w:rsidRPr="00EE4557">
              <w:rPr>
                <w:rFonts w:ascii="Arial Narrow" w:hAnsi="Arial Narrow"/>
                <w:noProof/>
                <w:webHidden/>
                <w:sz w:val="20"/>
                <w:szCs w:val="20"/>
              </w:rPr>
              <w:fldChar w:fldCharType="end"/>
            </w:r>
          </w:hyperlink>
        </w:p>
        <w:p w14:paraId="3FA48C0D" w14:textId="77777777" w:rsidR="00EE4557" w:rsidRPr="00EE4557" w:rsidRDefault="00816B15">
          <w:pPr>
            <w:pStyle w:val="TOC1"/>
            <w:rPr>
              <w:rFonts w:ascii="Arial Narrow" w:eastAsiaTheme="minorEastAsia" w:hAnsi="Arial Narrow" w:cstheme="minorBidi"/>
              <w:noProof/>
              <w:sz w:val="20"/>
              <w:szCs w:val="20"/>
            </w:rPr>
          </w:pPr>
          <w:hyperlink w:anchor="_Toc210747557" w:history="1">
            <w:r w:rsidR="00EE4557" w:rsidRPr="00EE4557">
              <w:rPr>
                <w:rStyle w:val="Hyperlink"/>
                <w:rFonts w:ascii="Arial Narrow" w:hAnsi="Arial Narrow"/>
                <w:noProof/>
                <w:sz w:val="20"/>
                <w:szCs w:val="20"/>
                <w:lang w:val="bg-BG" w:eastAsia="bg-BG"/>
              </w:rPr>
              <w:t>2.4.</w:t>
            </w:r>
            <w:r w:rsidR="00EE4557" w:rsidRPr="00EE4557">
              <w:rPr>
                <w:rFonts w:ascii="Arial Narrow" w:eastAsiaTheme="minorEastAsia" w:hAnsi="Arial Narrow" w:cstheme="minorBidi"/>
                <w:noProof/>
                <w:sz w:val="20"/>
                <w:szCs w:val="20"/>
              </w:rPr>
              <w:tab/>
            </w:r>
            <w:r w:rsidR="00EE4557" w:rsidRPr="00EE4557">
              <w:rPr>
                <w:rStyle w:val="Hyperlink"/>
                <w:rFonts w:ascii="Arial Narrow" w:hAnsi="Arial Narrow"/>
                <w:noProof/>
                <w:sz w:val="20"/>
                <w:szCs w:val="20"/>
                <w:lang w:val="bg-BG"/>
              </w:rPr>
              <w:t>Състояние на биологичното производство в България през 2024 г.</w:t>
            </w:r>
            <w:r w:rsidR="00EE4557" w:rsidRPr="00EE4557">
              <w:rPr>
                <w:rFonts w:ascii="Arial Narrow" w:hAnsi="Arial Narrow"/>
                <w:noProof/>
                <w:webHidden/>
                <w:sz w:val="20"/>
                <w:szCs w:val="20"/>
              </w:rPr>
              <w:tab/>
            </w:r>
            <w:r w:rsidR="00EE4557" w:rsidRPr="00EE4557">
              <w:rPr>
                <w:rFonts w:ascii="Arial Narrow" w:hAnsi="Arial Narrow"/>
                <w:noProof/>
                <w:webHidden/>
                <w:sz w:val="20"/>
                <w:szCs w:val="20"/>
              </w:rPr>
              <w:fldChar w:fldCharType="begin"/>
            </w:r>
            <w:r w:rsidR="00EE4557" w:rsidRPr="00EE4557">
              <w:rPr>
                <w:rFonts w:ascii="Arial Narrow" w:hAnsi="Arial Narrow"/>
                <w:noProof/>
                <w:webHidden/>
                <w:sz w:val="20"/>
                <w:szCs w:val="20"/>
              </w:rPr>
              <w:instrText xml:space="preserve"> PAGEREF _Toc210747557 \h </w:instrText>
            </w:r>
            <w:r w:rsidR="00EE4557" w:rsidRPr="00EE4557">
              <w:rPr>
                <w:rFonts w:ascii="Arial Narrow" w:hAnsi="Arial Narrow"/>
                <w:noProof/>
                <w:webHidden/>
                <w:sz w:val="20"/>
                <w:szCs w:val="20"/>
              </w:rPr>
            </w:r>
            <w:r w:rsidR="00EE4557" w:rsidRPr="00EE4557">
              <w:rPr>
                <w:rFonts w:ascii="Arial Narrow" w:hAnsi="Arial Narrow"/>
                <w:noProof/>
                <w:webHidden/>
                <w:sz w:val="20"/>
                <w:szCs w:val="20"/>
              </w:rPr>
              <w:fldChar w:fldCharType="separate"/>
            </w:r>
            <w:r w:rsidR="00211D64">
              <w:rPr>
                <w:rFonts w:ascii="Arial Narrow" w:hAnsi="Arial Narrow"/>
                <w:noProof/>
                <w:webHidden/>
                <w:sz w:val="20"/>
                <w:szCs w:val="20"/>
              </w:rPr>
              <w:t>48</w:t>
            </w:r>
            <w:r w:rsidR="00EE4557" w:rsidRPr="00EE4557">
              <w:rPr>
                <w:rFonts w:ascii="Arial Narrow" w:hAnsi="Arial Narrow"/>
                <w:noProof/>
                <w:webHidden/>
                <w:sz w:val="20"/>
                <w:szCs w:val="20"/>
              </w:rPr>
              <w:fldChar w:fldCharType="end"/>
            </w:r>
          </w:hyperlink>
        </w:p>
        <w:p w14:paraId="269DA677" w14:textId="77777777" w:rsidR="00EE4557" w:rsidRPr="00EE4557" w:rsidRDefault="00816B15">
          <w:pPr>
            <w:pStyle w:val="TOC1"/>
            <w:rPr>
              <w:rFonts w:ascii="Arial Narrow" w:eastAsiaTheme="minorEastAsia" w:hAnsi="Arial Narrow" w:cstheme="minorBidi"/>
              <w:noProof/>
              <w:sz w:val="20"/>
              <w:szCs w:val="20"/>
            </w:rPr>
          </w:pPr>
          <w:hyperlink w:anchor="_Toc210747558" w:history="1">
            <w:r w:rsidR="00EE4557" w:rsidRPr="00EE4557">
              <w:rPr>
                <w:rStyle w:val="Hyperlink"/>
                <w:rFonts w:ascii="Arial Narrow" w:hAnsi="Arial Narrow"/>
                <w:noProof/>
                <w:sz w:val="20"/>
                <w:szCs w:val="20"/>
                <w:lang w:val="bg-BG" w:eastAsia="bg-BG"/>
              </w:rPr>
              <w:t>2.4.1.</w:t>
            </w:r>
            <w:r w:rsidR="00EE4557" w:rsidRPr="00EE4557">
              <w:rPr>
                <w:rFonts w:ascii="Arial Narrow" w:eastAsiaTheme="minorEastAsia" w:hAnsi="Arial Narrow" w:cstheme="minorBidi"/>
                <w:noProof/>
                <w:sz w:val="20"/>
                <w:szCs w:val="20"/>
              </w:rPr>
              <w:tab/>
            </w:r>
            <w:r w:rsidR="00EE4557" w:rsidRPr="00EE4557">
              <w:rPr>
                <w:rStyle w:val="Hyperlink"/>
                <w:rFonts w:ascii="Arial Narrow" w:hAnsi="Arial Narrow"/>
                <w:noProof/>
                <w:sz w:val="20"/>
                <w:szCs w:val="20"/>
                <w:lang w:val="bg-BG" w:eastAsia="bg-BG"/>
              </w:rPr>
              <w:t>Оператори в система на контрол</w:t>
            </w:r>
            <w:r w:rsidR="00EE4557" w:rsidRPr="00EE4557">
              <w:rPr>
                <w:rFonts w:ascii="Arial Narrow" w:hAnsi="Arial Narrow"/>
                <w:noProof/>
                <w:webHidden/>
                <w:sz w:val="20"/>
                <w:szCs w:val="20"/>
              </w:rPr>
              <w:tab/>
            </w:r>
            <w:r w:rsidR="00EE4557" w:rsidRPr="00EE4557">
              <w:rPr>
                <w:rFonts w:ascii="Arial Narrow" w:hAnsi="Arial Narrow"/>
                <w:noProof/>
                <w:webHidden/>
                <w:sz w:val="20"/>
                <w:szCs w:val="20"/>
              </w:rPr>
              <w:fldChar w:fldCharType="begin"/>
            </w:r>
            <w:r w:rsidR="00EE4557" w:rsidRPr="00EE4557">
              <w:rPr>
                <w:rFonts w:ascii="Arial Narrow" w:hAnsi="Arial Narrow"/>
                <w:noProof/>
                <w:webHidden/>
                <w:sz w:val="20"/>
                <w:szCs w:val="20"/>
              </w:rPr>
              <w:instrText xml:space="preserve"> PAGEREF _Toc210747558 \h </w:instrText>
            </w:r>
            <w:r w:rsidR="00EE4557" w:rsidRPr="00EE4557">
              <w:rPr>
                <w:rFonts w:ascii="Arial Narrow" w:hAnsi="Arial Narrow"/>
                <w:noProof/>
                <w:webHidden/>
                <w:sz w:val="20"/>
                <w:szCs w:val="20"/>
              </w:rPr>
            </w:r>
            <w:r w:rsidR="00EE4557" w:rsidRPr="00EE4557">
              <w:rPr>
                <w:rFonts w:ascii="Arial Narrow" w:hAnsi="Arial Narrow"/>
                <w:noProof/>
                <w:webHidden/>
                <w:sz w:val="20"/>
                <w:szCs w:val="20"/>
              </w:rPr>
              <w:fldChar w:fldCharType="separate"/>
            </w:r>
            <w:r w:rsidR="00211D64">
              <w:rPr>
                <w:rFonts w:ascii="Arial Narrow" w:hAnsi="Arial Narrow"/>
                <w:noProof/>
                <w:webHidden/>
                <w:sz w:val="20"/>
                <w:szCs w:val="20"/>
              </w:rPr>
              <w:t>48</w:t>
            </w:r>
            <w:r w:rsidR="00EE4557" w:rsidRPr="00EE4557">
              <w:rPr>
                <w:rFonts w:ascii="Arial Narrow" w:hAnsi="Arial Narrow"/>
                <w:noProof/>
                <w:webHidden/>
                <w:sz w:val="20"/>
                <w:szCs w:val="20"/>
              </w:rPr>
              <w:fldChar w:fldCharType="end"/>
            </w:r>
          </w:hyperlink>
        </w:p>
        <w:p w14:paraId="0907F19C" w14:textId="77777777" w:rsidR="00EE4557" w:rsidRPr="00EE4557" w:rsidRDefault="00816B15">
          <w:pPr>
            <w:pStyle w:val="TOC1"/>
            <w:rPr>
              <w:rFonts w:ascii="Arial Narrow" w:eastAsiaTheme="minorEastAsia" w:hAnsi="Arial Narrow" w:cstheme="minorBidi"/>
              <w:noProof/>
              <w:sz w:val="20"/>
              <w:szCs w:val="20"/>
            </w:rPr>
          </w:pPr>
          <w:hyperlink w:anchor="_Toc210747559" w:history="1">
            <w:r w:rsidR="00EE4557" w:rsidRPr="00EE4557">
              <w:rPr>
                <w:rStyle w:val="Hyperlink"/>
                <w:rFonts w:ascii="Arial Narrow" w:hAnsi="Arial Narrow"/>
                <w:noProof/>
                <w:sz w:val="20"/>
                <w:szCs w:val="20"/>
                <w:lang w:val="bg-BG"/>
              </w:rPr>
              <w:t>2.4.2.</w:t>
            </w:r>
            <w:r w:rsidR="00EE4557" w:rsidRPr="00EE4557">
              <w:rPr>
                <w:rFonts w:ascii="Arial Narrow" w:eastAsiaTheme="minorEastAsia" w:hAnsi="Arial Narrow" w:cstheme="minorBidi"/>
                <w:noProof/>
                <w:sz w:val="20"/>
                <w:szCs w:val="20"/>
              </w:rPr>
              <w:tab/>
            </w:r>
            <w:r w:rsidR="00EE4557" w:rsidRPr="00EE4557">
              <w:rPr>
                <w:rStyle w:val="Hyperlink"/>
                <w:rFonts w:ascii="Arial Narrow" w:hAnsi="Arial Narrow"/>
                <w:noProof/>
                <w:sz w:val="20"/>
                <w:szCs w:val="20"/>
                <w:lang w:val="bg-BG"/>
              </w:rPr>
              <w:t>Биологично растениевъдство</w:t>
            </w:r>
            <w:r w:rsidR="00EE4557" w:rsidRPr="00EE4557">
              <w:rPr>
                <w:rFonts w:ascii="Arial Narrow" w:hAnsi="Arial Narrow"/>
                <w:noProof/>
                <w:webHidden/>
                <w:sz w:val="20"/>
                <w:szCs w:val="20"/>
              </w:rPr>
              <w:tab/>
            </w:r>
            <w:r w:rsidR="00EE4557" w:rsidRPr="00EE4557">
              <w:rPr>
                <w:rFonts w:ascii="Arial Narrow" w:hAnsi="Arial Narrow"/>
                <w:noProof/>
                <w:webHidden/>
                <w:sz w:val="20"/>
                <w:szCs w:val="20"/>
              </w:rPr>
              <w:fldChar w:fldCharType="begin"/>
            </w:r>
            <w:r w:rsidR="00EE4557" w:rsidRPr="00EE4557">
              <w:rPr>
                <w:rFonts w:ascii="Arial Narrow" w:hAnsi="Arial Narrow"/>
                <w:noProof/>
                <w:webHidden/>
                <w:sz w:val="20"/>
                <w:szCs w:val="20"/>
              </w:rPr>
              <w:instrText xml:space="preserve"> PAGEREF _Toc210747559 \h </w:instrText>
            </w:r>
            <w:r w:rsidR="00EE4557" w:rsidRPr="00EE4557">
              <w:rPr>
                <w:rFonts w:ascii="Arial Narrow" w:hAnsi="Arial Narrow"/>
                <w:noProof/>
                <w:webHidden/>
                <w:sz w:val="20"/>
                <w:szCs w:val="20"/>
              </w:rPr>
            </w:r>
            <w:r w:rsidR="00EE4557" w:rsidRPr="00EE4557">
              <w:rPr>
                <w:rFonts w:ascii="Arial Narrow" w:hAnsi="Arial Narrow"/>
                <w:noProof/>
                <w:webHidden/>
                <w:sz w:val="20"/>
                <w:szCs w:val="20"/>
              </w:rPr>
              <w:fldChar w:fldCharType="separate"/>
            </w:r>
            <w:r w:rsidR="00211D64">
              <w:rPr>
                <w:rFonts w:ascii="Arial Narrow" w:hAnsi="Arial Narrow"/>
                <w:noProof/>
                <w:webHidden/>
                <w:sz w:val="20"/>
                <w:szCs w:val="20"/>
              </w:rPr>
              <w:t>49</w:t>
            </w:r>
            <w:r w:rsidR="00EE4557" w:rsidRPr="00EE4557">
              <w:rPr>
                <w:rFonts w:ascii="Arial Narrow" w:hAnsi="Arial Narrow"/>
                <w:noProof/>
                <w:webHidden/>
                <w:sz w:val="20"/>
                <w:szCs w:val="20"/>
              </w:rPr>
              <w:fldChar w:fldCharType="end"/>
            </w:r>
          </w:hyperlink>
        </w:p>
        <w:p w14:paraId="10CCA100" w14:textId="77777777" w:rsidR="00EE4557" w:rsidRPr="00EE4557" w:rsidRDefault="00816B15">
          <w:pPr>
            <w:pStyle w:val="TOC1"/>
            <w:rPr>
              <w:rFonts w:ascii="Arial Narrow" w:eastAsiaTheme="minorEastAsia" w:hAnsi="Arial Narrow" w:cstheme="minorBidi"/>
              <w:noProof/>
              <w:sz w:val="20"/>
              <w:szCs w:val="20"/>
            </w:rPr>
          </w:pPr>
          <w:hyperlink w:anchor="_Toc210747560" w:history="1">
            <w:r w:rsidR="00EE4557" w:rsidRPr="00EE4557">
              <w:rPr>
                <w:rStyle w:val="Hyperlink"/>
                <w:rFonts w:ascii="Arial Narrow" w:hAnsi="Arial Narrow"/>
                <w:noProof/>
                <w:sz w:val="20"/>
                <w:szCs w:val="20"/>
                <w:lang w:val="bg-BG"/>
              </w:rPr>
              <w:t>2.4.3.</w:t>
            </w:r>
            <w:r w:rsidR="00EE4557" w:rsidRPr="00EE4557">
              <w:rPr>
                <w:rFonts w:ascii="Arial Narrow" w:eastAsiaTheme="minorEastAsia" w:hAnsi="Arial Narrow" w:cstheme="minorBidi"/>
                <w:noProof/>
                <w:sz w:val="20"/>
                <w:szCs w:val="20"/>
              </w:rPr>
              <w:tab/>
            </w:r>
            <w:r w:rsidR="00EE4557" w:rsidRPr="00EE4557">
              <w:rPr>
                <w:rStyle w:val="Hyperlink"/>
                <w:rFonts w:ascii="Arial Narrow" w:hAnsi="Arial Narrow"/>
                <w:noProof/>
                <w:sz w:val="20"/>
                <w:szCs w:val="20"/>
                <w:lang w:val="bg-BG"/>
              </w:rPr>
              <w:t>Биологично животновъдство</w:t>
            </w:r>
            <w:r w:rsidR="00EE4557" w:rsidRPr="00EE4557">
              <w:rPr>
                <w:rFonts w:ascii="Arial Narrow" w:hAnsi="Arial Narrow"/>
                <w:noProof/>
                <w:webHidden/>
                <w:sz w:val="20"/>
                <w:szCs w:val="20"/>
              </w:rPr>
              <w:tab/>
            </w:r>
            <w:r w:rsidR="00EE4557" w:rsidRPr="00EE4557">
              <w:rPr>
                <w:rFonts w:ascii="Arial Narrow" w:hAnsi="Arial Narrow"/>
                <w:noProof/>
                <w:webHidden/>
                <w:sz w:val="20"/>
                <w:szCs w:val="20"/>
              </w:rPr>
              <w:fldChar w:fldCharType="begin"/>
            </w:r>
            <w:r w:rsidR="00EE4557" w:rsidRPr="00EE4557">
              <w:rPr>
                <w:rFonts w:ascii="Arial Narrow" w:hAnsi="Arial Narrow"/>
                <w:noProof/>
                <w:webHidden/>
                <w:sz w:val="20"/>
                <w:szCs w:val="20"/>
              </w:rPr>
              <w:instrText xml:space="preserve"> PAGEREF _Toc210747560 \h </w:instrText>
            </w:r>
            <w:r w:rsidR="00EE4557" w:rsidRPr="00EE4557">
              <w:rPr>
                <w:rFonts w:ascii="Arial Narrow" w:hAnsi="Arial Narrow"/>
                <w:noProof/>
                <w:webHidden/>
                <w:sz w:val="20"/>
                <w:szCs w:val="20"/>
              </w:rPr>
            </w:r>
            <w:r w:rsidR="00EE4557" w:rsidRPr="00EE4557">
              <w:rPr>
                <w:rFonts w:ascii="Arial Narrow" w:hAnsi="Arial Narrow"/>
                <w:noProof/>
                <w:webHidden/>
                <w:sz w:val="20"/>
                <w:szCs w:val="20"/>
              </w:rPr>
              <w:fldChar w:fldCharType="separate"/>
            </w:r>
            <w:r w:rsidR="00211D64">
              <w:rPr>
                <w:rFonts w:ascii="Arial Narrow" w:hAnsi="Arial Narrow"/>
                <w:noProof/>
                <w:webHidden/>
                <w:sz w:val="20"/>
                <w:szCs w:val="20"/>
              </w:rPr>
              <w:t>50</w:t>
            </w:r>
            <w:r w:rsidR="00EE4557" w:rsidRPr="00EE4557">
              <w:rPr>
                <w:rFonts w:ascii="Arial Narrow" w:hAnsi="Arial Narrow"/>
                <w:noProof/>
                <w:webHidden/>
                <w:sz w:val="20"/>
                <w:szCs w:val="20"/>
              </w:rPr>
              <w:fldChar w:fldCharType="end"/>
            </w:r>
          </w:hyperlink>
        </w:p>
        <w:p w14:paraId="154940BD" w14:textId="77777777" w:rsidR="00EE4557" w:rsidRPr="00EE4557" w:rsidRDefault="00816B15">
          <w:pPr>
            <w:pStyle w:val="TOC1"/>
            <w:rPr>
              <w:rFonts w:ascii="Arial Narrow" w:eastAsiaTheme="minorEastAsia" w:hAnsi="Arial Narrow" w:cstheme="minorBidi"/>
              <w:noProof/>
              <w:sz w:val="20"/>
              <w:szCs w:val="20"/>
            </w:rPr>
          </w:pPr>
          <w:hyperlink w:anchor="_Toc210747561" w:history="1">
            <w:r w:rsidR="00EE4557" w:rsidRPr="00EE4557">
              <w:rPr>
                <w:rStyle w:val="Hyperlink"/>
                <w:rFonts w:ascii="Arial Narrow" w:hAnsi="Arial Narrow"/>
                <w:noProof/>
                <w:sz w:val="20"/>
                <w:szCs w:val="20"/>
                <w:lang w:val="bg-BG"/>
              </w:rPr>
              <w:t>2.4.4.</w:t>
            </w:r>
            <w:r w:rsidR="00EE4557" w:rsidRPr="00EE4557">
              <w:rPr>
                <w:rFonts w:ascii="Arial Narrow" w:eastAsiaTheme="minorEastAsia" w:hAnsi="Arial Narrow" w:cstheme="minorBidi"/>
                <w:noProof/>
                <w:sz w:val="20"/>
                <w:szCs w:val="20"/>
              </w:rPr>
              <w:tab/>
            </w:r>
            <w:r w:rsidR="00EE4557" w:rsidRPr="00EE4557">
              <w:rPr>
                <w:rStyle w:val="Hyperlink"/>
                <w:rFonts w:ascii="Arial Narrow" w:hAnsi="Arial Narrow"/>
                <w:noProof/>
                <w:sz w:val="20"/>
                <w:szCs w:val="20"/>
                <w:lang w:val="bg-BG"/>
              </w:rPr>
              <w:t>Пазар на биологични продукти</w:t>
            </w:r>
            <w:r w:rsidR="00EE4557" w:rsidRPr="00EE4557">
              <w:rPr>
                <w:rFonts w:ascii="Arial Narrow" w:hAnsi="Arial Narrow"/>
                <w:noProof/>
                <w:webHidden/>
                <w:sz w:val="20"/>
                <w:szCs w:val="20"/>
              </w:rPr>
              <w:tab/>
            </w:r>
            <w:r w:rsidR="00EE4557" w:rsidRPr="00EE4557">
              <w:rPr>
                <w:rFonts w:ascii="Arial Narrow" w:hAnsi="Arial Narrow"/>
                <w:noProof/>
                <w:webHidden/>
                <w:sz w:val="20"/>
                <w:szCs w:val="20"/>
              </w:rPr>
              <w:fldChar w:fldCharType="begin"/>
            </w:r>
            <w:r w:rsidR="00EE4557" w:rsidRPr="00EE4557">
              <w:rPr>
                <w:rFonts w:ascii="Arial Narrow" w:hAnsi="Arial Narrow"/>
                <w:noProof/>
                <w:webHidden/>
                <w:sz w:val="20"/>
                <w:szCs w:val="20"/>
              </w:rPr>
              <w:instrText xml:space="preserve"> PAGEREF _Toc210747561 \h </w:instrText>
            </w:r>
            <w:r w:rsidR="00EE4557" w:rsidRPr="00EE4557">
              <w:rPr>
                <w:rFonts w:ascii="Arial Narrow" w:hAnsi="Arial Narrow"/>
                <w:noProof/>
                <w:webHidden/>
                <w:sz w:val="20"/>
                <w:szCs w:val="20"/>
              </w:rPr>
            </w:r>
            <w:r w:rsidR="00EE4557" w:rsidRPr="00EE4557">
              <w:rPr>
                <w:rFonts w:ascii="Arial Narrow" w:hAnsi="Arial Narrow"/>
                <w:noProof/>
                <w:webHidden/>
                <w:sz w:val="20"/>
                <w:szCs w:val="20"/>
              </w:rPr>
              <w:fldChar w:fldCharType="separate"/>
            </w:r>
            <w:r w:rsidR="00211D64">
              <w:rPr>
                <w:rFonts w:ascii="Arial Narrow" w:hAnsi="Arial Narrow"/>
                <w:noProof/>
                <w:webHidden/>
                <w:sz w:val="20"/>
                <w:szCs w:val="20"/>
              </w:rPr>
              <w:t>50</w:t>
            </w:r>
            <w:r w:rsidR="00EE4557" w:rsidRPr="00EE4557">
              <w:rPr>
                <w:rFonts w:ascii="Arial Narrow" w:hAnsi="Arial Narrow"/>
                <w:noProof/>
                <w:webHidden/>
                <w:sz w:val="20"/>
                <w:szCs w:val="20"/>
              </w:rPr>
              <w:fldChar w:fldCharType="end"/>
            </w:r>
          </w:hyperlink>
        </w:p>
        <w:p w14:paraId="36454DEE" w14:textId="77777777" w:rsidR="00EE4557" w:rsidRPr="00EE4557" w:rsidRDefault="00816B15">
          <w:pPr>
            <w:pStyle w:val="TOC1"/>
            <w:rPr>
              <w:rFonts w:ascii="Arial Narrow" w:eastAsiaTheme="minorEastAsia" w:hAnsi="Arial Narrow" w:cstheme="minorBidi"/>
              <w:noProof/>
              <w:sz w:val="20"/>
              <w:szCs w:val="20"/>
            </w:rPr>
          </w:pPr>
          <w:hyperlink w:anchor="_Toc210747562" w:history="1">
            <w:r w:rsidR="00EE4557" w:rsidRPr="00EE4557">
              <w:rPr>
                <w:rStyle w:val="Hyperlink"/>
                <w:rFonts w:ascii="Arial Narrow" w:hAnsi="Arial Narrow" w:cs="Arial"/>
                <w:bCs/>
                <w:noProof/>
                <w:kern w:val="32"/>
                <w:sz w:val="20"/>
                <w:szCs w:val="20"/>
                <w:lang w:val="bg-BG"/>
              </w:rPr>
              <w:t>2.5.</w:t>
            </w:r>
            <w:r w:rsidR="00EE4557" w:rsidRPr="00EE4557">
              <w:rPr>
                <w:rFonts w:ascii="Arial Narrow" w:eastAsiaTheme="minorEastAsia" w:hAnsi="Arial Narrow" w:cstheme="minorBidi"/>
                <w:noProof/>
                <w:sz w:val="20"/>
                <w:szCs w:val="20"/>
              </w:rPr>
              <w:tab/>
            </w:r>
            <w:r w:rsidR="00EE4557" w:rsidRPr="00EE4557">
              <w:rPr>
                <w:rStyle w:val="Hyperlink"/>
                <w:rFonts w:ascii="Arial Narrow" w:hAnsi="Arial Narrow" w:cs="Arial"/>
                <w:bCs/>
                <w:noProof/>
                <w:kern w:val="32"/>
                <w:sz w:val="20"/>
                <w:szCs w:val="20"/>
                <w:lang w:val="bg-BG"/>
              </w:rPr>
              <w:t>Лозарство и винопроизводство</w:t>
            </w:r>
            <w:r w:rsidR="00EE4557" w:rsidRPr="00EE4557">
              <w:rPr>
                <w:rFonts w:ascii="Arial Narrow" w:hAnsi="Arial Narrow"/>
                <w:noProof/>
                <w:webHidden/>
                <w:sz w:val="20"/>
                <w:szCs w:val="20"/>
              </w:rPr>
              <w:tab/>
            </w:r>
            <w:r w:rsidR="00EE4557" w:rsidRPr="00EE4557">
              <w:rPr>
                <w:rFonts w:ascii="Arial Narrow" w:hAnsi="Arial Narrow"/>
                <w:noProof/>
                <w:webHidden/>
                <w:sz w:val="20"/>
                <w:szCs w:val="20"/>
              </w:rPr>
              <w:fldChar w:fldCharType="begin"/>
            </w:r>
            <w:r w:rsidR="00EE4557" w:rsidRPr="00EE4557">
              <w:rPr>
                <w:rFonts w:ascii="Arial Narrow" w:hAnsi="Arial Narrow"/>
                <w:noProof/>
                <w:webHidden/>
                <w:sz w:val="20"/>
                <w:szCs w:val="20"/>
              </w:rPr>
              <w:instrText xml:space="preserve"> PAGEREF _Toc210747562 \h </w:instrText>
            </w:r>
            <w:r w:rsidR="00EE4557" w:rsidRPr="00EE4557">
              <w:rPr>
                <w:rFonts w:ascii="Arial Narrow" w:hAnsi="Arial Narrow"/>
                <w:noProof/>
                <w:webHidden/>
                <w:sz w:val="20"/>
                <w:szCs w:val="20"/>
              </w:rPr>
            </w:r>
            <w:r w:rsidR="00EE4557" w:rsidRPr="00EE4557">
              <w:rPr>
                <w:rFonts w:ascii="Arial Narrow" w:hAnsi="Arial Narrow"/>
                <w:noProof/>
                <w:webHidden/>
                <w:sz w:val="20"/>
                <w:szCs w:val="20"/>
              </w:rPr>
              <w:fldChar w:fldCharType="separate"/>
            </w:r>
            <w:r w:rsidR="00211D64">
              <w:rPr>
                <w:rFonts w:ascii="Arial Narrow" w:hAnsi="Arial Narrow"/>
                <w:noProof/>
                <w:webHidden/>
                <w:sz w:val="20"/>
                <w:szCs w:val="20"/>
              </w:rPr>
              <w:t>51</w:t>
            </w:r>
            <w:r w:rsidR="00EE4557" w:rsidRPr="00EE4557">
              <w:rPr>
                <w:rFonts w:ascii="Arial Narrow" w:hAnsi="Arial Narrow"/>
                <w:noProof/>
                <w:webHidden/>
                <w:sz w:val="20"/>
                <w:szCs w:val="20"/>
              </w:rPr>
              <w:fldChar w:fldCharType="end"/>
            </w:r>
          </w:hyperlink>
        </w:p>
        <w:p w14:paraId="1BCB70F0" w14:textId="77777777" w:rsidR="00EE4557" w:rsidRPr="00EE4557" w:rsidRDefault="00816B15">
          <w:pPr>
            <w:pStyle w:val="TOC1"/>
            <w:rPr>
              <w:rFonts w:ascii="Arial Narrow" w:eastAsiaTheme="minorEastAsia" w:hAnsi="Arial Narrow" w:cstheme="minorBidi"/>
              <w:noProof/>
              <w:sz w:val="20"/>
              <w:szCs w:val="20"/>
            </w:rPr>
          </w:pPr>
          <w:hyperlink w:anchor="_Toc210747563" w:history="1">
            <w:r w:rsidR="00EE4557" w:rsidRPr="00EE4557">
              <w:rPr>
                <w:rStyle w:val="Hyperlink"/>
                <w:rFonts w:ascii="Arial Narrow" w:hAnsi="Arial Narrow"/>
                <w:noProof/>
                <w:sz w:val="20"/>
                <w:szCs w:val="20"/>
                <w:lang w:val="bg-BG"/>
              </w:rPr>
              <w:t>2.5.1.</w:t>
            </w:r>
            <w:r w:rsidR="00EE4557" w:rsidRPr="00EE4557">
              <w:rPr>
                <w:rFonts w:ascii="Arial Narrow" w:eastAsiaTheme="minorEastAsia" w:hAnsi="Arial Narrow" w:cstheme="minorBidi"/>
                <w:noProof/>
                <w:sz w:val="20"/>
                <w:szCs w:val="20"/>
              </w:rPr>
              <w:tab/>
            </w:r>
            <w:r w:rsidR="00EE4557" w:rsidRPr="00EE4557">
              <w:rPr>
                <w:rStyle w:val="Hyperlink"/>
                <w:rFonts w:ascii="Arial Narrow" w:hAnsi="Arial Narrow"/>
                <w:noProof/>
                <w:sz w:val="20"/>
                <w:szCs w:val="20"/>
                <w:lang w:val="bg-BG"/>
              </w:rPr>
              <w:t>Производство на грозде</w:t>
            </w:r>
            <w:r w:rsidR="00EE4557" w:rsidRPr="00EE4557">
              <w:rPr>
                <w:rFonts w:ascii="Arial Narrow" w:hAnsi="Arial Narrow"/>
                <w:noProof/>
                <w:webHidden/>
                <w:sz w:val="20"/>
                <w:szCs w:val="20"/>
              </w:rPr>
              <w:tab/>
            </w:r>
            <w:r w:rsidR="00EE4557" w:rsidRPr="00EE4557">
              <w:rPr>
                <w:rFonts w:ascii="Arial Narrow" w:hAnsi="Arial Narrow"/>
                <w:noProof/>
                <w:webHidden/>
                <w:sz w:val="20"/>
                <w:szCs w:val="20"/>
              </w:rPr>
              <w:fldChar w:fldCharType="begin"/>
            </w:r>
            <w:r w:rsidR="00EE4557" w:rsidRPr="00EE4557">
              <w:rPr>
                <w:rFonts w:ascii="Arial Narrow" w:hAnsi="Arial Narrow"/>
                <w:noProof/>
                <w:webHidden/>
                <w:sz w:val="20"/>
                <w:szCs w:val="20"/>
              </w:rPr>
              <w:instrText xml:space="preserve"> PAGEREF _Toc210747563 \h </w:instrText>
            </w:r>
            <w:r w:rsidR="00EE4557" w:rsidRPr="00EE4557">
              <w:rPr>
                <w:rFonts w:ascii="Arial Narrow" w:hAnsi="Arial Narrow"/>
                <w:noProof/>
                <w:webHidden/>
                <w:sz w:val="20"/>
                <w:szCs w:val="20"/>
              </w:rPr>
            </w:r>
            <w:r w:rsidR="00EE4557" w:rsidRPr="00EE4557">
              <w:rPr>
                <w:rFonts w:ascii="Arial Narrow" w:hAnsi="Arial Narrow"/>
                <w:noProof/>
                <w:webHidden/>
                <w:sz w:val="20"/>
                <w:szCs w:val="20"/>
              </w:rPr>
              <w:fldChar w:fldCharType="separate"/>
            </w:r>
            <w:r w:rsidR="00211D64">
              <w:rPr>
                <w:rFonts w:ascii="Arial Narrow" w:hAnsi="Arial Narrow"/>
                <w:noProof/>
                <w:webHidden/>
                <w:sz w:val="20"/>
                <w:szCs w:val="20"/>
              </w:rPr>
              <w:t>51</w:t>
            </w:r>
            <w:r w:rsidR="00EE4557" w:rsidRPr="00EE4557">
              <w:rPr>
                <w:rFonts w:ascii="Arial Narrow" w:hAnsi="Arial Narrow"/>
                <w:noProof/>
                <w:webHidden/>
                <w:sz w:val="20"/>
                <w:szCs w:val="20"/>
              </w:rPr>
              <w:fldChar w:fldCharType="end"/>
            </w:r>
          </w:hyperlink>
        </w:p>
        <w:p w14:paraId="66B879FB" w14:textId="77777777" w:rsidR="00EE4557" w:rsidRPr="00EE4557" w:rsidRDefault="00816B15">
          <w:pPr>
            <w:pStyle w:val="TOC1"/>
            <w:rPr>
              <w:rFonts w:ascii="Arial Narrow" w:eastAsiaTheme="minorEastAsia" w:hAnsi="Arial Narrow" w:cstheme="minorBidi"/>
              <w:noProof/>
              <w:sz w:val="20"/>
              <w:szCs w:val="20"/>
            </w:rPr>
          </w:pPr>
          <w:hyperlink w:anchor="_Toc210747564" w:history="1">
            <w:r w:rsidR="00EE4557" w:rsidRPr="00EE4557">
              <w:rPr>
                <w:rStyle w:val="Hyperlink"/>
                <w:rFonts w:ascii="Arial Narrow" w:hAnsi="Arial Narrow"/>
                <w:bCs/>
                <w:noProof/>
                <w:sz w:val="20"/>
                <w:szCs w:val="20"/>
              </w:rPr>
              <w:t>2.5.2.</w:t>
            </w:r>
            <w:r w:rsidR="00EE4557" w:rsidRPr="00EE4557">
              <w:rPr>
                <w:rFonts w:ascii="Arial Narrow" w:eastAsiaTheme="minorEastAsia" w:hAnsi="Arial Narrow" w:cstheme="minorBidi"/>
                <w:noProof/>
                <w:sz w:val="20"/>
                <w:szCs w:val="20"/>
              </w:rPr>
              <w:tab/>
            </w:r>
            <w:r w:rsidR="00EE4557" w:rsidRPr="00EE4557">
              <w:rPr>
                <w:rStyle w:val="Hyperlink"/>
                <w:rFonts w:ascii="Arial Narrow" w:hAnsi="Arial Narrow" w:cs="ArialNarrow"/>
                <w:noProof/>
                <w:sz w:val="20"/>
                <w:szCs w:val="20"/>
                <w:lang w:val="bg-BG"/>
              </w:rPr>
              <w:t>Винопроизводство</w:t>
            </w:r>
            <w:r w:rsidR="00EE4557" w:rsidRPr="00EE4557">
              <w:rPr>
                <w:rFonts w:ascii="Arial Narrow" w:hAnsi="Arial Narrow"/>
                <w:noProof/>
                <w:webHidden/>
                <w:sz w:val="20"/>
                <w:szCs w:val="20"/>
              </w:rPr>
              <w:tab/>
            </w:r>
            <w:r w:rsidR="00EE4557" w:rsidRPr="00EE4557">
              <w:rPr>
                <w:rFonts w:ascii="Arial Narrow" w:hAnsi="Arial Narrow"/>
                <w:noProof/>
                <w:webHidden/>
                <w:sz w:val="20"/>
                <w:szCs w:val="20"/>
              </w:rPr>
              <w:fldChar w:fldCharType="begin"/>
            </w:r>
            <w:r w:rsidR="00EE4557" w:rsidRPr="00EE4557">
              <w:rPr>
                <w:rFonts w:ascii="Arial Narrow" w:hAnsi="Arial Narrow"/>
                <w:noProof/>
                <w:webHidden/>
                <w:sz w:val="20"/>
                <w:szCs w:val="20"/>
              </w:rPr>
              <w:instrText xml:space="preserve"> PAGEREF _Toc210747564 \h </w:instrText>
            </w:r>
            <w:r w:rsidR="00EE4557" w:rsidRPr="00EE4557">
              <w:rPr>
                <w:rFonts w:ascii="Arial Narrow" w:hAnsi="Arial Narrow"/>
                <w:noProof/>
                <w:webHidden/>
                <w:sz w:val="20"/>
                <w:szCs w:val="20"/>
              </w:rPr>
            </w:r>
            <w:r w:rsidR="00EE4557" w:rsidRPr="00EE4557">
              <w:rPr>
                <w:rFonts w:ascii="Arial Narrow" w:hAnsi="Arial Narrow"/>
                <w:noProof/>
                <w:webHidden/>
                <w:sz w:val="20"/>
                <w:szCs w:val="20"/>
              </w:rPr>
              <w:fldChar w:fldCharType="separate"/>
            </w:r>
            <w:r w:rsidR="00211D64">
              <w:rPr>
                <w:rFonts w:ascii="Arial Narrow" w:hAnsi="Arial Narrow"/>
                <w:noProof/>
                <w:webHidden/>
                <w:sz w:val="20"/>
                <w:szCs w:val="20"/>
              </w:rPr>
              <w:t>54</w:t>
            </w:r>
            <w:r w:rsidR="00EE4557" w:rsidRPr="00EE4557">
              <w:rPr>
                <w:rFonts w:ascii="Arial Narrow" w:hAnsi="Arial Narrow"/>
                <w:noProof/>
                <w:webHidden/>
                <w:sz w:val="20"/>
                <w:szCs w:val="20"/>
              </w:rPr>
              <w:fldChar w:fldCharType="end"/>
            </w:r>
          </w:hyperlink>
        </w:p>
        <w:p w14:paraId="4E2C875F" w14:textId="77777777" w:rsidR="00EE4557" w:rsidRPr="00EE4557" w:rsidRDefault="00816B15">
          <w:pPr>
            <w:pStyle w:val="TOC1"/>
            <w:rPr>
              <w:rFonts w:ascii="Arial Narrow" w:eastAsiaTheme="minorEastAsia" w:hAnsi="Arial Narrow" w:cstheme="minorBidi"/>
              <w:noProof/>
              <w:sz w:val="20"/>
              <w:szCs w:val="20"/>
            </w:rPr>
          </w:pPr>
          <w:hyperlink w:anchor="_Toc210747565" w:history="1">
            <w:r w:rsidR="00EE4557" w:rsidRPr="00EE4557">
              <w:rPr>
                <w:rStyle w:val="Hyperlink"/>
                <w:rFonts w:ascii="Arial Narrow" w:hAnsi="Arial Narrow" w:cs="TimesNewRoman"/>
                <w:noProof/>
                <w:sz w:val="20"/>
                <w:szCs w:val="20"/>
                <w:lang w:val="bg-BG"/>
              </w:rPr>
              <w:t>2.5.3.</w:t>
            </w:r>
            <w:r w:rsidR="00EE4557" w:rsidRPr="00EE4557">
              <w:rPr>
                <w:rFonts w:ascii="Arial Narrow" w:eastAsiaTheme="minorEastAsia" w:hAnsi="Arial Narrow" w:cstheme="minorBidi"/>
                <w:noProof/>
                <w:sz w:val="20"/>
                <w:szCs w:val="20"/>
              </w:rPr>
              <w:tab/>
            </w:r>
            <w:r w:rsidR="00EE4557" w:rsidRPr="00EE4557">
              <w:rPr>
                <w:rStyle w:val="Hyperlink"/>
                <w:rFonts w:ascii="Arial Narrow" w:hAnsi="Arial Narrow" w:cs="TimesNewRoman"/>
                <w:noProof/>
                <w:sz w:val="20"/>
                <w:szCs w:val="20"/>
                <w:lang w:val="bg-BG"/>
              </w:rPr>
              <w:t>Износ и внос на вино</w:t>
            </w:r>
            <w:r w:rsidR="00EE4557" w:rsidRPr="00EE4557">
              <w:rPr>
                <w:rFonts w:ascii="Arial Narrow" w:hAnsi="Arial Narrow"/>
                <w:noProof/>
                <w:webHidden/>
                <w:sz w:val="20"/>
                <w:szCs w:val="20"/>
              </w:rPr>
              <w:tab/>
            </w:r>
            <w:r w:rsidR="00EE4557" w:rsidRPr="00EE4557">
              <w:rPr>
                <w:rFonts w:ascii="Arial Narrow" w:hAnsi="Arial Narrow"/>
                <w:noProof/>
                <w:webHidden/>
                <w:sz w:val="20"/>
                <w:szCs w:val="20"/>
              </w:rPr>
              <w:fldChar w:fldCharType="begin"/>
            </w:r>
            <w:r w:rsidR="00EE4557" w:rsidRPr="00EE4557">
              <w:rPr>
                <w:rFonts w:ascii="Arial Narrow" w:hAnsi="Arial Narrow"/>
                <w:noProof/>
                <w:webHidden/>
                <w:sz w:val="20"/>
                <w:szCs w:val="20"/>
              </w:rPr>
              <w:instrText xml:space="preserve"> PAGEREF _Toc210747565 \h </w:instrText>
            </w:r>
            <w:r w:rsidR="00EE4557" w:rsidRPr="00EE4557">
              <w:rPr>
                <w:rFonts w:ascii="Arial Narrow" w:hAnsi="Arial Narrow"/>
                <w:noProof/>
                <w:webHidden/>
                <w:sz w:val="20"/>
                <w:szCs w:val="20"/>
              </w:rPr>
            </w:r>
            <w:r w:rsidR="00EE4557" w:rsidRPr="00EE4557">
              <w:rPr>
                <w:rFonts w:ascii="Arial Narrow" w:hAnsi="Arial Narrow"/>
                <w:noProof/>
                <w:webHidden/>
                <w:sz w:val="20"/>
                <w:szCs w:val="20"/>
              </w:rPr>
              <w:fldChar w:fldCharType="separate"/>
            </w:r>
            <w:r w:rsidR="00211D64">
              <w:rPr>
                <w:rFonts w:ascii="Arial Narrow" w:hAnsi="Arial Narrow"/>
                <w:noProof/>
                <w:webHidden/>
                <w:sz w:val="20"/>
                <w:szCs w:val="20"/>
              </w:rPr>
              <w:t>54</w:t>
            </w:r>
            <w:r w:rsidR="00EE4557" w:rsidRPr="00EE4557">
              <w:rPr>
                <w:rFonts w:ascii="Arial Narrow" w:hAnsi="Arial Narrow"/>
                <w:noProof/>
                <w:webHidden/>
                <w:sz w:val="20"/>
                <w:szCs w:val="20"/>
              </w:rPr>
              <w:fldChar w:fldCharType="end"/>
            </w:r>
          </w:hyperlink>
        </w:p>
        <w:p w14:paraId="1D5224A6" w14:textId="77777777" w:rsidR="00EE4557" w:rsidRPr="00EE4557" w:rsidRDefault="00816B15">
          <w:pPr>
            <w:pStyle w:val="TOC1"/>
            <w:rPr>
              <w:rFonts w:ascii="Arial Narrow" w:eastAsiaTheme="minorEastAsia" w:hAnsi="Arial Narrow" w:cstheme="minorBidi"/>
              <w:noProof/>
              <w:sz w:val="20"/>
              <w:szCs w:val="20"/>
            </w:rPr>
          </w:pPr>
          <w:hyperlink w:anchor="_Toc210747566" w:history="1">
            <w:r w:rsidR="00EE4557" w:rsidRPr="00EE4557">
              <w:rPr>
                <w:rStyle w:val="Hyperlink"/>
                <w:rFonts w:ascii="Arial Narrow" w:hAnsi="Arial Narrow"/>
                <w:noProof/>
                <w:sz w:val="20"/>
                <w:szCs w:val="20"/>
                <w:lang w:val="bg-BG"/>
              </w:rPr>
              <w:t>III.</w:t>
            </w:r>
            <w:r w:rsidR="00EE4557" w:rsidRPr="00EE4557">
              <w:rPr>
                <w:rFonts w:ascii="Arial Narrow" w:eastAsiaTheme="minorEastAsia" w:hAnsi="Arial Narrow" w:cstheme="minorBidi"/>
                <w:noProof/>
                <w:sz w:val="20"/>
                <w:szCs w:val="20"/>
              </w:rPr>
              <w:tab/>
            </w:r>
            <w:r w:rsidR="00EE4557" w:rsidRPr="00EE4557">
              <w:rPr>
                <w:rStyle w:val="Hyperlink"/>
                <w:rFonts w:ascii="Arial Narrow" w:hAnsi="Arial Narrow"/>
                <w:noProof/>
                <w:sz w:val="20"/>
                <w:szCs w:val="20"/>
                <w:lang w:val="bg-BG"/>
              </w:rPr>
              <w:t>ТЪРГОВИЯ СЪС СЕЛСКОСТОПАНСКИ СТОКИ</w:t>
            </w:r>
            <w:r w:rsidR="00EE4557" w:rsidRPr="00EE4557">
              <w:rPr>
                <w:rFonts w:ascii="Arial Narrow" w:hAnsi="Arial Narrow"/>
                <w:noProof/>
                <w:webHidden/>
                <w:sz w:val="20"/>
                <w:szCs w:val="20"/>
              </w:rPr>
              <w:tab/>
            </w:r>
            <w:r w:rsidR="00EE4557" w:rsidRPr="00EE4557">
              <w:rPr>
                <w:rFonts w:ascii="Arial Narrow" w:hAnsi="Arial Narrow"/>
                <w:noProof/>
                <w:webHidden/>
                <w:sz w:val="20"/>
                <w:szCs w:val="20"/>
              </w:rPr>
              <w:fldChar w:fldCharType="begin"/>
            </w:r>
            <w:r w:rsidR="00EE4557" w:rsidRPr="00EE4557">
              <w:rPr>
                <w:rFonts w:ascii="Arial Narrow" w:hAnsi="Arial Narrow"/>
                <w:noProof/>
                <w:webHidden/>
                <w:sz w:val="20"/>
                <w:szCs w:val="20"/>
              </w:rPr>
              <w:instrText xml:space="preserve"> PAGEREF _Toc210747566 \h </w:instrText>
            </w:r>
            <w:r w:rsidR="00EE4557" w:rsidRPr="00EE4557">
              <w:rPr>
                <w:rFonts w:ascii="Arial Narrow" w:hAnsi="Arial Narrow"/>
                <w:noProof/>
                <w:webHidden/>
                <w:sz w:val="20"/>
                <w:szCs w:val="20"/>
              </w:rPr>
            </w:r>
            <w:r w:rsidR="00EE4557" w:rsidRPr="00EE4557">
              <w:rPr>
                <w:rFonts w:ascii="Arial Narrow" w:hAnsi="Arial Narrow"/>
                <w:noProof/>
                <w:webHidden/>
                <w:sz w:val="20"/>
                <w:szCs w:val="20"/>
              </w:rPr>
              <w:fldChar w:fldCharType="separate"/>
            </w:r>
            <w:r w:rsidR="00211D64">
              <w:rPr>
                <w:rFonts w:ascii="Arial Narrow" w:hAnsi="Arial Narrow"/>
                <w:noProof/>
                <w:webHidden/>
                <w:sz w:val="20"/>
                <w:szCs w:val="20"/>
              </w:rPr>
              <w:t>58</w:t>
            </w:r>
            <w:r w:rsidR="00EE4557" w:rsidRPr="00EE4557">
              <w:rPr>
                <w:rFonts w:ascii="Arial Narrow" w:hAnsi="Arial Narrow"/>
                <w:noProof/>
                <w:webHidden/>
                <w:sz w:val="20"/>
                <w:szCs w:val="20"/>
              </w:rPr>
              <w:fldChar w:fldCharType="end"/>
            </w:r>
          </w:hyperlink>
        </w:p>
        <w:p w14:paraId="7354C5AD" w14:textId="77777777" w:rsidR="00EE4557" w:rsidRPr="00EE4557" w:rsidRDefault="00816B15">
          <w:pPr>
            <w:pStyle w:val="TOC1"/>
            <w:rPr>
              <w:rFonts w:ascii="Arial Narrow" w:eastAsiaTheme="minorEastAsia" w:hAnsi="Arial Narrow" w:cstheme="minorBidi"/>
              <w:noProof/>
              <w:sz w:val="20"/>
              <w:szCs w:val="20"/>
            </w:rPr>
          </w:pPr>
          <w:hyperlink w:anchor="_Toc210747567" w:history="1">
            <w:r w:rsidR="00EE4557" w:rsidRPr="00EE4557">
              <w:rPr>
                <w:rStyle w:val="Hyperlink"/>
                <w:rFonts w:ascii="Arial Narrow" w:hAnsi="Arial Narrow"/>
                <w:noProof/>
                <w:sz w:val="20"/>
                <w:szCs w:val="20"/>
                <w:lang w:val="bg-BG"/>
              </w:rPr>
              <w:t>1.</w:t>
            </w:r>
            <w:r w:rsidR="00EE4557" w:rsidRPr="00EE4557">
              <w:rPr>
                <w:rFonts w:ascii="Arial Narrow" w:eastAsiaTheme="minorEastAsia" w:hAnsi="Arial Narrow" w:cstheme="minorBidi"/>
                <w:noProof/>
                <w:sz w:val="20"/>
                <w:szCs w:val="20"/>
              </w:rPr>
              <w:tab/>
            </w:r>
            <w:r w:rsidR="00EE4557" w:rsidRPr="00EE4557">
              <w:rPr>
                <w:rStyle w:val="Hyperlink"/>
                <w:rFonts w:ascii="Arial Narrow" w:hAnsi="Arial Narrow"/>
                <w:noProof/>
                <w:sz w:val="20"/>
                <w:szCs w:val="20"/>
                <w:lang w:val="bg-BG"/>
              </w:rPr>
              <w:t>Основни търговски индикатори</w:t>
            </w:r>
            <w:r w:rsidR="00EE4557" w:rsidRPr="00EE4557">
              <w:rPr>
                <w:rFonts w:ascii="Arial Narrow" w:hAnsi="Arial Narrow"/>
                <w:noProof/>
                <w:webHidden/>
                <w:sz w:val="20"/>
                <w:szCs w:val="20"/>
              </w:rPr>
              <w:tab/>
            </w:r>
            <w:r w:rsidR="00EE4557" w:rsidRPr="00EE4557">
              <w:rPr>
                <w:rFonts w:ascii="Arial Narrow" w:hAnsi="Arial Narrow"/>
                <w:noProof/>
                <w:webHidden/>
                <w:sz w:val="20"/>
                <w:szCs w:val="20"/>
              </w:rPr>
              <w:fldChar w:fldCharType="begin"/>
            </w:r>
            <w:r w:rsidR="00EE4557" w:rsidRPr="00EE4557">
              <w:rPr>
                <w:rFonts w:ascii="Arial Narrow" w:hAnsi="Arial Narrow"/>
                <w:noProof/>
                <w:webHidden/>
                <w:sz w:val="20"/>
                <w:szCs w:val="20"/>
              </w:rPr>
              <w:instrText xml:space="preserve"> PAGEREF _Toc210747567 \h </w:instrText>
            </w:r>
            <w:r w:rsidR="00EE4557" w:rsidRPr="00EE4557">
              <w:rPr>
                <w:rFonts w:ascii="Arial Narrow" w:hAnsi="Arial Narrow"/>
                <w:noProof/>
                <w:webHidden/>
                <w:sz w:val="20"/>
                <w:szCs w:val="20"/>
              </w:rPr>
            </w:r>
            <w:r w:rsidR="00EE4557" w:rsidRPr="00EE4557">
              <w:rPr>
                <w:rFonts w:ascii="Arial Narrow" w:hAnsi="Arial Narrow"/>
                <w:noProof/>
                <w:webHidden/>
                <w:sz w:val="20"/>
                <w:szCs w:val="20"/>
              </w:rPr>
              <w:fldChar w:fldCharType="separate"/>
            </w:r>
            <w:r w:rsidR="00211D64">
              <w:rPr>
                <w:rFonts w:ascii="Arial Narrow" w:hAnsi="Arial Narrow"/>
                <w:noProof/>
                <w:webHidden/>
                <w:sz w:val="20"/>
                <w:szCs w:val="20"/>
              </w:rPr>
              <w:t>58</w:t>
            </w:r>
            <w:r w:rsidR="00EE4557" w:rsidRPr="00EE4557">
              <w:rPr>
                <w:rFonts w:ascii="Arial Narrow" w:hAnsi="Arial Narrow"/>
                <w:noProof/>
                <w:webHidden/>
                <w:sz w:val="20"/>
                <w:szCs w:val="20"/>
              </w:rPr>
              <w:fldChar w:fldCharType="end"/>
            </w:r>
          </w:hyperlink>
        </w:p>
        <w:p w14:paraId="163061BB" w14:textId="77777777" w:rsidR="00EE4557" w:rsidRPr="00EE4557" w:rsidRDefault="00816B15">
          <w:pPr>
            <w:pStyle w:val="TOC1"/>
            <w:rPr>
              <w:rFonts w:ascii="Arial Narrow" w:eastAsiaTheme="minorEastAsia" w:hAnsi="Arial Narrow" w:cstheme="minorBidi"/>
              <w:noProof/>
              <w:sz w:val="20"/>
              <w:szCs w:val="20"/>
            </w:rPr>
          </w:pPr>
          <w:hyperlink w:anchor="_Toc210747568" w:history="1">
            <w:r w:rsidR="00EE4557" w:rsidRPr="00EE4557">
              <w:rPr>
                <w:rStyle w:val="Hyperlink"/>
                <w:rFonts w:ascii="Arial Narrow" w:eastAsia="SimSun" w:hAnsi="Arial Narrow" w:cs="Arial Narrow"/>
                <w:noProof/>
                <w:sz w:val="20"/>
                <w:szCs w:val="20"/>
                <w:lang w:val="bg-BG"/>
              </w:rPr>
              <w:t>2.</w:t>
            </w:r>
            <w:r w:rsidR="00EE4557" w:rsidRPr="00EE4557">
              <w:rPr>
                <w:rFonts w:ascii="Arial Narrow" w:eastAsiaTheme="minorEastAsia" w:hAnsi="Arial Narrow" w:cstheme="minorBidi"/>
                <w:noProof/>
                <w:sz w:val="20"/>
                <w:szCs w:val="20"/>
              </w:rPr>
              <w:tab/>
            </w:r>
            <w:r w:rsidR="00EE4557" w:rsidRPr="00EE4557">
              <w:rPr>
                <w:rStyle w:val="Hyperlink"/>
                <w:rFonts w:ascii="Arial Narrow" w:eastAsia="SimSun" w:hAnsi="Arial Narrow"/>
                <w:noProof/>
                <w:sz w:val="20"/>
                <w:szCs w:val="20"/>
                <w:lang w:val="bg-BG"/>
              </w:rPr>
              <w:t>Структура</w:t>
            </w:r>
            <w:r w:rsidR="00EE4557" w:rsidRPr="00EE4557">
              <w:rPr>
                <w:rStyle w:val="Hyperlink"/>
                <w:rFonts w:ascii="Arial Narrow" w:eastAsia="SimSun" w:hAnsi="Arial Narrow" w:cs="Arial Narrow"/>
                <w:noProof/>
                <w:sz w:val="20"/>
                <w:szCs w:val="20"/>
                <w:lang w:val="bg-BG"/>
              </w:rPr>
              <w:t xml:space="preserve"> на аграрната търговия на България по страни</w:t>
            </w:r>
            <w:r w:rsidR="00EE4557" w:rsidRPr="00EE4557">
              <w:rPr>
                <w:rFonts w:ascii="Arial Narrow" w:hAnsi="Arial Narrow"/>
                <w:noProof/>
                <w:webHidden/>
                <w:sz w:val="20"/>
                <w:szCs w:val="20"/>
              </w:rPr>
              <w:tab/>
            </w:r>
            <w:r w:rsidR="00EE4557" w:rsidRPr="00EE4557">
              <w:rPr>
                <w:rFonts w:ascii="Arial Narrow" w:hAnsi="Arial Narrow"/>
                <w:noProof/>
                <w:webHidden/>
                <w:sz w:val="20"/>
                <w:szCs w:val="20"/>
              </w:rPr>
              <w:fldChar w:fldCharType="begin"/>
            </w:r>
            <w:r w:rsidR="00EE4557" w:rsidRPr="00EE4557">
              <w:rPr>
                <w:rFonts w:ascii="Arial Narrow" w:hAnsi="Arial Narrow"/>
                <w:noProof/>
                <w:webHidden/>
                <w:sz w:val="20"/>
                <w:szCs w:val="20"/>
              </w:rPr>
              <w:instrText xml:space="preserve"> PAGEREF _Toc210747568 \h </w:instrText>
            </w:r>
            <w:r w:rsidR="00EE4557" w:rsidRPr="00EE4557">
              <w:rPr>
                <w:rFonts w:ascii="Arial Narrow" w:hAnsi="Arial Narrow"/>
                <w:noProof/>
                <w:webHidden/>
                <w:sz w:val="20"/>
                <w:szCs w:val="20"/>
              </w:rPr>
            </w:r>
            <w:r w:rsidR="00EE4557" w:rsidRPr="00EE4557">
              <w:rPr>
                <w:rFonts w:ascii="Arial Narrow" w:hAnsi="Arial Narrow"/>
                <w:noProof/>
                <w:webHidden/>
                <w:sz w:val="20"/>
                <w:szCs w:val="20"/>
              </w:rPr>
              <w:fldChar w:fldCharType="separate"/>
            </w:r>
            <w:r w:rsidR="00211D64">
              <w:rPr>
                <w:rFonts w:ascii="Arial Narrow" w:hAnsi="Arial Narrow"/>
                <w:noProof/>
                <w:webHidden/>
                <w:sz w:val="20"/>
                <w:szCs w:val="20"/>
              </w:rPr>
              <w:t>59</w:t>
            </w:r>
            <w:r w:rsidR="00EE4557" w:rsidRPr="00EE4557">
              <w:rPr>
                <w:rFonts w:ascii="Arial Narrow" w:hAnsi="Arial Narrow"/>
                <w:noProof/>
                <w:webHidden/>
                <w:sz w:val="20"/>
                <w:szCs w:val="20"/>
              </w:rPr>
              <w:fldChar w:fldCharType="end"/>
            </w:r>
          </w:hyperlink>
        </w:p>
        <w:p w14:paraId="5921FB5A" w14:textId="77777777" w:rsidR="00EE4557" w:rsidRPr="00EE4557" w:rsidRDefault="00816B15">
          <w:pPr>
            <w:pStyle w:val="TOC1"/>
            <w:rPr>
              <w:rFonts w:ascii="Arial Narrow" w:eastAsiaTheme="minorEastAsia" w:hAnsi="Arial Narrow" w:cstheme="minorBidi"/>
              <w:noProof/>
              <w:sz w:val="20"/>
              <w:szCs w:val="20"/>
            </w:rPr>
          </w:pPr>
          <w:hyperlink w:anchor="_Toc210747569" w:history="1">
            <w:r w:rsidR="00EE4557" w:rsidRPr="00EE4557">
              <w:rPr>
                <w:rStyle w:val="Hyperlink"/>
                <w:rFonts w:ascii="Arial Narrow" w:eastAsia="SimSun" w:hAnsi="Arial Narrow" w:cs="Arial Narrow"/>
                <w:noProof/>
                <w:sz w:val="20"/>
                <w:szCs w:val="20"/>
                <w:lang w:val="bg-BG"/>
              </w:rPr>
              <w:t>2.1.</w:t>
            </w:r>
            <w:r w:rsidR="00EE4557" w:rsidRPr="00EE4557">
              <w:rPr>
                <w:rFonts w:ascii="Arial Narrow" w:eastAsiaTheme="minorEastAsia" w:hAnsi="Arial Narrow" w:cstheme="minorBidi"/>
                <w:noProof/>
                <w:sz w:val="20"/>
                <w:szCs w:val="20"/>
              </w:rPr>
              <w:tab/>
            </w:r>
            <w:r w:rsidR="00EE4557" w:rsidRPr="00EE4557">
              <w:rPr>
                <w:rStyle w:val="Hyperlink"/>
                <w:rFonts w:ascii="Arial Narrow" w:eastAsia="SimSun" w:hAnsi="Arial Narrow" w:cs="Arial Narrow"/>
                <w:noProof/>
                <w:sz w:val="20"/>
                <w:szCs w:val="20"/>
                <w:lang w:val="bg-BG"/>
              </w:rPr>
              <w:t>Износ по страни</w:t>
            </w:r>
            <w:r w:rsidR="00EE4557" w:rsidRPr="00EE4557">
              <w:rPr>
                <w:rFonts w:ascii="Arial Narrow" w:hAnsi="Arial Narrow"/>
                <w:noProof/>
                <w:webHidden/>
                <w:sz w:val="20"/>
                <w:szCs w:val="20"/>
              </w:rPr>
              <w:tab/>
            </w:r>
            <w:r w:rsidR="00EE4557" w:rsidRPr="00EE4557">
              <w:rPr>
                <w:rFonts w:ascii="Arial Narrow" w:hAnsi="Arial Narrow"/>
                <w:noProof/>
                <w:webHidden/>
                <w:sz w:val="20"/>
                <w:szCs w:val="20"/>
              </w:rPr>
              <w:fldChar w:fldCharType="begin"/>
            </w:r>
            <w:r w:rsidR="00EE4557" w:rsidRPr="00EE4557">
              <w:rPr>
                <w:rFonts w:ascii="Arial Narrow" w:hAnsi="Arial Narrow"/>
                <w:noProof/>
                <w:webHidden/>
                <w:sz w:val="20"/>
                <w:szCs w:val="20"/>
              </w:rPr>
              <w:instrText xml:space="preserve"> PAGEREF _Toc210747569 \h </w:instrText>
            </w:r>
            <w:r w:rsidR="00EE4557" w:rsidRPr="00EE4557">
              <w:rPr>
                <w:rFonts w:ascii="Arial Narrow" w:hAnsi="Arial Narrow"/>
                <w:noProof/>
                <w:webHidden/>
                <w:sz w:val="20"/>
                <w:szCs w:val="20"/>
              </w:rPr>
            </w:r>
            <w:r w:rsidR="00EE4557" w:rsidRPr="00EE4557">
              <w:rPr>
                <w:rFonts w:ascii="Arial Narrow" w:hAnsi="Arial Narrow"/>
                <w:noProof/>
                <w:webHidden/>
                <w:sz w:val="20"/>
                <w:szCs w:val="20"/>
              </w:rPr>
              <w:fldChar w:fldCharType="separate"/>
            </w:r>
            <w:r w:rsidR="00211D64">
              <w:rPr>
                <w:rFonts w:ascii="Arial Narrow" w:hAnsi="Arial Narrow"/>
                <w:noProof/>
                <w:webHidden/>
                <w:sz w:val="20"/>
                <w:szCs w:val="20"/>
              </w:rPr>
              <w:t>60</w:t>
            </w:r>
            <w:r w:rsidR="00EE4557" w:rsidRPr="00EE4557">
              <w:rPr>
                <w:rFonts w:ascii="Arial Narrow" w:hAnsi="Arial Narrow"/>
                <w:noProof/>
                <w:webHidden/>
                <w:sz w:val="20"/>
                <w:szCs w:val="20"/>
              </w:rPr>
              <w:fldChar w:fldCharType="end"/>
            </w:r>
          </w:hyperlink>
        </w:p>
        <w:p w14:paraId="07B4A349" w14:textId="77777777" w:rsidR="00EE4557" w:rsidRPr="00EE4557" w:rsidRDefault="00816B15">
          <w:pPr>
            <w:pStyle w:val="TOC1"/>
            <w:rPr>
              <w:rFonts w:ascii="Arial Narrow" w:eastAsiaTheme="minorEastAsia" w:hAnsi="Arial Narrow" w:cstheme="minorBidi"/>
              <w:noProof/>
              <w:sz w:val="20"/>
              <w:szCs w:val="20"/>
            </w:rPr>
          </w:pPr>
          <w:hyperlink w:anchor="_Toc210747570" w:history="1">
            <w:r w:rsidR="00EE4557" w:rsidRPr="00EE4557">
              <w:rPr>
                <w:rStyle w:val="Hyperlink"/>
                <w:rFonts w:ascii="Arial Narrow" w:eastAsia="SimSun" w:hAnsi="Arial Narrow"/>
                <w:noProof/>
                <w:sz w:val="20"/>
                <w:szCs w:val="20"/>
                <w:lang w:val="bg-BG"/>
              </w:rPr>
              <w:t>2.2.</w:t>
            </w:r>
            <w:r w:rsidR="00EE4557" w:rsidRPr="00EE4557">
              <w:rPr>
                <w:rFonts w:ascii="Arial Narrow" w:eastAsiaTheme="minorEastAsia" w:hAnsi="Arial Narrow" w:cstheme="minorBidi"/>
                <w:noProof/>
                <w:sz w:val="20"/>
                <w:szCs w:val="20"/>
              </w:rPr>
              <w:tab/>
            </w:r>
            <w:r w:rsidR="00EE4557" w:rsidRPr="00EE4557">
              <w:rPr>
                <w:rStyle w:val="Hyperlink"/>
                <w:rFonts w:ascii="Arial Narrow" w:eastAsia="SimSun" w:hAnsi="Arial Narrow" w:cs="Arial Narrow"/>
                <w:noProof/>
                <w:sz w:val="20"/>
                <w:szCs w:val="20"/>
                <w:lang w:val="bg-BG"/>
              </w:rPr>
              <w:t>Внос</w:t>
            </w:r>
            <w:r w:rsidR="00EE4557" w:rsidRPr="00EE4557">
              <w:rPr>
                <w:rStyle w:val="Hyperlink"/>
                <w:rFonts w:ascii="Arial Narrow" w:eastAsia="SimSun" w:hAnsi="Arial Narrow"/>
                <w:noProof/>
                <w:sz w:val="20"/>
                <w:szCs w:val="20"/>
                <w:lang w:val="bg-BG"/>
              </w:rPr>
              <w:t xml:space="preserve"> по страни</w:t>
            </w:r>
            <w:r w:rsidR="00EE4557" w:rsidRPr="00EE4557">
              <w:rPr>
                <w:rFonts w:ascii="Arial Narrow" w:hAnsi="Arial Narrow"/>
                <w:noProof/>
                <w:webHidden/>
                <w:sz w:val="20"/>
                <w:szCs w:val="20"/>
              </w:rPr>
              <w:tab/>
            </w:r>
            <w:r w:rsidR="00EE4557" w:rsidRPr="00EE4557">
              <w:rPr>
                <w:rFonts w:ascii="Arial Narrow" w:hAnsi="Arial Narrow"/>
                <w:noProof/>
                <w:webHidden/>
                <w:sz w:val="20"/>
                <w:szCs w:val="20"/>
              </w:rPr>
              <w:fldChar w:fldCharType="begin"/>
            </w:r>
            <w:r w:rsidR="00EE4557" w:rsidRPr="00EE4557">
              <w:rPr>
                <w:rFonts w:ascii="Arial Narrow" w:hAnsi="Arial Narrow"/>
                <w:noProof/>
                <w:webHidden/>
                <w:sz w:val="20"/>
                <w:szCs w:val="20"/>
              </w:rPr>
              <w:instrText xml:space="preserve"> PAGEREF _Toc210747570 \h </w:instrText>
            </w:r>
            <w:r w:rsidR="00EE4557" w:rsidRPr="00EE4557">
              <w:rPr>
                <w:rFonts w:ascii="Arial Narrow" w:hAnsi="Arial Narrow"/>
                <w:noProof/>
                <w:webHidden/>
                <w:sz w:val="20"/>
                <w:szCs w:val="20"/>
              </w:rPr>
            </w:r>
            <w:r w:rsidR="00EE4557" w:rsidRPr="00EE4557">
              <w:rPr>
                <w:rFonts w:ascii="Arial Narrow" w:hAnsi="Arial Narrow"/>
                <w:noProof/>
                <w:webHidden/>
                <w:sz w:val="20"/>
                <w:szCs w:val="20"/>
              </w:rPr>
              <w:fldChar w:fldCharType="separate"/>
            </w:r>
            <w:r w:rsidR="00211D64">
              <w:rPr>
                <w:rFonts w:ascii="Arial Narrow" w:hAnsi="Arial Narrow"/>
                <w:noProof/>
                <w:webHidden/>
                <w:sz w:val="20"/>
                <w:szCs w:val="20"/>
              </w:rPr>
              <w:t>61</w:t>
            </w:r>
            <w:r w:rsidR="00EE4557" w:rsidRPr="00EE4557">
              <w:rPr>
                <w:rFonts w:ascii="Arial Narrow" w:hAnsi="Arial Narrow"/>
                <w:noProof/>
                <w:webHidden/>
                <w:sz w:val="20"/>
                <w:szCs w:val="20"/>
              </w:rPr>
              <w:fldChar w:fldCharType="end"/>
            </w:r>
          </w:hyperlink>
        </w:p>
        <w:p w14:paraId="37E8D71A" w14:textId="77777777" w:rsidR="00EE4557" w:rsidRPr="00EE4557" w:rsidRDefault="00816B15">
          <w:pPr>
            <w:pStyle w:val="TOC1"/>
            <w:rPr>
              <w:rFonts w:ascii="Arial Narrow" w:eastAsiaTheme="minorEastAsia" w:hAnsi="Arial Narrow" w:cstheme="minorBidi"/>
              <w:noProof/>
              <w:sz w:val="20"/>
              <w:szCs w:val="20"/>
            </w:rPr>
          </w:pPr>
          <w:hyperlink w:anchor="_Toc210747571" w:history="1">
            <w:r w:rsidR="00EE4557" w:rsidRPr="00EE4557">
              <w:rPr>
                <w:rStyle w:val="Hyperlink"/>
                <w:rFonts w:ascii="Arial Narrow" w:eastAsia="SimSun" w:hAnsi="Arial Narrow"/>
                <w:noProof/>
                <w:sz w:val="20"/>
                <w:szCs w:val="20"/>
                <w:lang w:val="bg-BG"/>
              </w:rPr>
              <w:t>3.</w:t>
            </w:r>
            <w:r w:rsidR="00EE4557" w:rsidRPr="00EE4557">
              <w:rPr>
                <w:rFonts w:ascii="Arial Narrow" w:eastAsiaTheme="minorEastAsia" w:hAnsi="Arial Narrow" w:cstheme="minorBidi"/>
                <w:noProof/>
                <w:sz w:val="20"/>
                <w:szCs w:val="20"/>
              </w:rPr>
              <w:tab/>
            </w:r>
            <w:r w:rsidR="00EE4557" w:rsidRPr="00EE4557">
              <w:rPr>
                <w:rStyle w:val="Hyperlink"/>
                <w:rFonts w:ascii="Arial Narrow" w:eastAsia="SimSun" w:hAnsi="Arial Narrow"/>
                <w:bCs/>
                <w:noProof/>
                <w:sz w:val="20"/>
                <w:szCs w:val="20"/>
                <w:lang w:val="bg-BG"/>
              </w:rPr>
              <w:t>Структура</w:t>
            </w:r>
            <w:r w:rsidR="00EE4557" w:rsidRPr="00EE4557">
              <w:rPr>
                <w:rStyle w:val="Hyperlink"/>
                <w:rFonts w:ascii="Arial Narrow" w:eastAsia="SimSun" w:hAnsi="Arial Narrow"/>
                <w:noProof/>
                <w:sz w:val="20"/>
                <w:szCs w:val="20"/>
                <w:lang w:val="bg-BG"/>
              </w:rPr>
              <w:t xml:space="preserve"> на аграрната търговия на България по продукти</w:t>
            </w:r>
            <w:r w:rsidR="00EE4557" w:rsidRPr="00EE4557">
              <w:rPr>
                <w:rFonts w:ascii="Arial Narrow" w:hAnsi="Arial Narrow"/>
                <w:noProof/>
                <w:webHidden/>
                <w:sz w:val="20"/>
                <w:szCs w:val="20"/>
              </w:rPr>
              <w:tab/>
            </w:r>
            <w:r w:rsidR="00EE4557" w:rsidRPr="00EE4557">
              <w:rPr>
                <w:rFonts w:ascii="Arial Narrow" w:hAnsi="Arial Narrow"/>
                <w:noProof/>
                <w:webHidden/>
                <w:sz w:val="20"/>
                <w:szCs w:val="20"/>
              </w:rPr>
              <w:fldChar w:fldCharType="begin"/>
            </w:r>
            <w:r w:rsidR="00EE4557" w:rsidRPr="00EE4557">
              <w:rPr>
                <w:rFonts w:ascii="Arial Narrow" w:hAnsi="Arial Narrow"/>
                <w:noProof/>
                <w:webHidden/>
                <w:sz w:val="20"/>
                <w:szCs w:val="20"/>
              </w:rPr>
              <w:instrText xml:space="preserve"> PAGEREF _Toc210747571 \h </w:instrText>
            </w:r>
            <w:r w:rsidR="00EE4557" w:rsidRPr="00EE4557">
              <w:rPr>
                <w:rFonts w:ascii="Arial Narrow" w:hAnsi="Arial Narrow"/>
                <w:noProof/>
                <w:webHidden/>
                <w:sz w:val="20"/>
                <w:szCs w:val="20"/>
              </w:rPr>
            </w:r>
            <w:r w:rsidR="00EE4557" w:rsidRPr="00EE4557">
              <w:rPr>
                <w:rFonts w:ascii="Arial Narrow" w:hAnsi="Arial Narrow"/>
                <w:noProof/>
                <w:webHidden/>
                <w:sz w:val="20"/>
                <w:szCs w:val="20"/>
              </w:rPr>
              <w:fldChar w:fldCharType="separate"/>
            </w:r>
            <w:r w:rsidR="00211D64">
              <w:rPr>
                <w:rFonts w:ascii="Arial Narrow" w:hAnsi="Arial Narrow"/>
                <w:noProof/>
                <w:webHidden/>
                <w:sz w:val="20"/>
                <w:szCs w:val="20"/>
              </w:rPr>
              <w:t>63</w:t>
            </w:r>
            <w:r w:rsidR="00EE4557" w:rsidRPr="00EE4557">
              <w:rPr>
                <w:rFonts w:ascii="Arial Narrow" w:hAnsi="Arial Narrow"/>
                <w:noProof/>
                <w:webHidden/>
                <w:sz w:val="20"/>
                <w:szCs w:val="20"/>
              </w:rPr>
              <w:fldChar w:fldCharType="end"/>
            </w:r>
          </w:hyperlink>
        </w:p>
        <w:p w14:paraId="7A90C108" w14:textId="77777777" w:rsidR="00EE4557" w:rsidRPr="00EE4557" w:rsidRDefault="00816B15">
          <w:pPr>
            <w:pStyle w:val="TOC1"/>
            <w:rPr>
              <w:rFonts w:ascii="Arial Narrow" w:eastAsiaTheme="minorEastAsia" w:hAnsi="Arial Narrow" w:cstheme="minorBidi"/>
              <w:noProof/>
              <w:sz w:val="20"/>
              <w:szCs w:val="20"/>
            </w:rPr>
          </w:pPr>
          <w:hyperlink w:anchor="_Toc210747572" w:history="1">
            <w:r w:rsidR="00EE4557" w:rsidRPr="00EE4557">
              <w:rPr>
                <w:rStyle w:val="Hyperlink"/>
                <w:rFonts w:ascii="Arial Narrow" w:hAnsi="Arial Narrow"/>
                <w:noProof/>
                <w:sz w:val="20"/>
                <w:szCs w:val="20"/>
                <w:lang w:val="bg-BG"/>
              </w:rPr>
              <w:t>3.1.</w:t>
            </w:r>
            <w:r w:rsidR="00EE4557" w:rsidRPr="00EE4557">
              <w:rPr>
                <w:rFonts w:ascii="Arial Narrow" w:eastAsiaTheme="minorEastAsia" w:hAnsi="Arial Narrow" w:cstheme="minorBidi"/>
                <w:noProof/>
                <w:sz w:val="20"/>
                <w:szCs w:val="20"/>
              </w:rPr>
              <w:tab/>
            </w:r>
            <w:r w:rsidR="00EE4557" w:rsidRPr="00EE4557">
              <w:rPr>
                <w:rStyle w:val="Hyperlink"/>
                <w:rFonts w:ascii="Arial Narrow" w:hAnsi="Arial Narrow"/>
                <w:noProof/>
                <w:sz w:val="20"/>
                <w:szCs w:val="20"/>
                <w:lang w:val="bg-BG"/>
              </w:rPr>
              <w:t>Износ по продукти</w:t>
            </w:r>
            <w:r w:rsidR="00EE4557" w:rsidRPr="00EE4557">
              <w:rPr>
                <w:rFonts w:ascii="Arial Narrow" w:hAnsi="Arial Narrow"/>
                <w:noProof/>
                <w:webHidden/>
                <w:sz w:val="20"/>
                <w:szCs w:val="20"/>
              </w:rPr>
              <w:tab/>
            </w:r>
            <w:r w:rsidR="00EE4557" w:rsidRPr="00EE4557">
              <w:rPr>
                <w:rFonts w:ascii="Arial Narrow" w:hAnsi="Arial Narrow"/>
                <w:noProof/>
                <w:webHidden/>
                <w:sz w:val="20"/>
                <w:szCs w:val="20"/>
              </w:rPr>
              <w:fldChar w:fldCharType="begin"/>
            </w:r>
            <w:r w:rsidR="00EE4557" w:rsidRPr="00EE4557">
              <w:rPr>
                <w:rFonts w:ascii="Arial Narrow" w:hAnsi="Arial Narrow"/>
                <w:noProof/>
                <w:webHidden/>
                <w:sz w:val="20"/>
                <w:szCs w:val="20"/>
              </w:rPr>
              <w:instrText xml:space="preserve"> PAGEREF _Toc210747572 \h </w:instrText>
            </w:r>
            <w:r w:rsidR="00EE4557" w:rsidRPr="00EE4557">
              <w:rPr>
                <w:rFonts w:ascii="Arial Narrow" w:hAnsi="Arial Narrow"/>
                <w:noProof/>
                <w:webHidden/>
                <w:sz w:val="20"/>
                <w:szCs w:val="20"/>
              </w:rPr>
            </w:r>
            <w:r w:rsidR="00EE4557" w:rsidRPr="00EE4557">
              <w:rPr>
                <w:rFonts w:ascii="Arial Narrow" w:hAnsi="Arial Narrow"/>
                <w:noProof/>
                <w:webHidden/>
                <w:sz w:val="20"/>
                <w:szCs w:val="20"/>
              </w:rPr>
              <w:fldChar w:fldCharType="separate"/>
            </w:r>
            <w:r w:rsidR="00211D64">
              <w:rPr>
                <w:rFonts w:ascii="Arial Narrow" w:hAnsi="Arial Narrow"/>
                <w:noProof/>
                <w:webHidden/>
                <w:sz w:val="20"/>
                <w:szCs w:val="20"/>
              </w:rPr>
              <w:t>63</w:t>
            </w:r>
            <w:r w:rsidR="00EE4557" w:rsidRPr="00EE4557">
              <w:rPr>
                <w:rFonts w:ascii="Arial Narrow" w:hAnsi="Arial Narrow"/>
                <w:noProof/>
                <w:webHidden/>
                <w:sz w:val="20"/>
                <w:szCs w:val="20"/>
              </w:rPr>
              <w:fldChar w:fldCharType="end"/>
            </w:r>
          </w:hyperlink>
        </w:p>
        <w:p w14:paraId="1E4A3FC7" w14:textId="77777777" w:rsidR="00EE4557" w:rsidRPr="00EE4557" w:rsidRDefault="00816B15">
          <w:pPr>
            <w:pStyle w:val="TOC1"/>
            <w:rPr>
              <w:rFonts w:ascii="Arial Narrow" w:eastAsiaTheme="minorEastAsia" w:hAnsi="Arial Narrow" w:cstheme="minorBidi"/>
              <w:noProof/>
              <w:sz w:val="20"/>
              <w:szCs w:val="20"/>
            </w:rPr>
          </w:pPr>
          <w:hyperlink w:anchor="_Toc210747573" w:history="1">
            <w:r w:rsidR="00EE4557" w:rsidRPr="00EE4557">
              <w:rPr>
                <w:rStyle w:val="Hyperlink"/>
                <w:rFonts w:ascii="Arial Narrow" w:hAnsi="Arial Narrow"/>
                <w:noProof/>
                <w:sz w:val="20"/>
                <w:szCs w:val="20"/>
                <w:lang w:val="bg-BG"/>
              </w:rPr>
              <w:t>3.2.</w:t>
            </w:r>
            <w:r w:rsidR="00EE4557" w:rsidRPr="00EE4557">
              <w:rPr>
                <w:rFonts w:ascii="Arial Narrow" w:eastAsiaTheme="minorEastAsia" w:hAnsi="Arial Narrow" w:cstheme="minorBidi"/>
                <w:noProof/>
                <w:sz w:val="20"/>
                <w:szCs w:val="20"/>
              </w:rPr>
              <w:tab/>
            </w:r>
            <w:r w:rsidR="00EE4557" w:rsidRPr="00EE4557">
              <w:rPr>
                <w:rStyle w:val="Hyperlink"/>
                <w:rFonts w:ascii="Arial Narrow" w:hAnsi="Arial Narrow"/>
                <w:noProof/>
                <w:sz w:val="20"/>
                <w:szCs w:val="20"/>
                <w:lang w:val="bg-BG"/>
              </w:rPr>
              <w:t>Внос по продукти</w:t>
            </w:r>
            <w:r w:rsidR="00EE4557" w:rsidRPr="00EE4557">
              <w:rPr>
                <w:rFonts w:ascii="Arial Narrow" w:hAnsi="Arial Narrow"/>
                <w:noProof/>
                <w:webHidden/>
                <w:sz w:val="20"/>
                <w:szCs w:val="20"/>
              </w:rPr>
              <w:tab/>
            </w:r>
            <w:r w:rsidR="00EE4557" w:rsidRPr="00EE4557">
              <w:rPr>
                <w:rFonts w:ascii="Arial Narrow" w:hAnsi="Arial Narrow"/>
                <w:noProof/>
                <w:webHidden/>
                <w:sz w:val="20"/>
                <w:szCs w:val="20"/>
              </w:rPr>
              <w:fldChar w:fldCharType="begin"/>
            </w:r>
            <w:r w:rsidR="00EE4557" w:rsidRPr="00EE4557">
              <w:rPr>
                <w:rFonts w:ascii="Arial Narrow" w:hAnsi="Arial Narrow"/>
                <w:noProof/>
                <w:webHidden/>
                <w:sz w:val="20"/>
                <w:szCs w:val="20"/>
              </w:rPr>
              <w:instrText xml:space="preserve"> PAGEREF _Toc210747573 \h </w:instrText>
            </w:r>
            <w:r w:rsidR="00EE4557" w:rsidRPr="00EE4557">
              <w:rPr>
                <w:rFonts w:ascii="Arial Narrow" w:hAnsi="Arial Narrow"/>
                <w:noProof/>
                <w:webHidden/>
                <w:sz w:val="20"/>
                <w:szCs w:val="20"/>
              </w:rPr>
            </w:r>
            <w:r w:rsidR="00EE4557" w:rsidRPr="00EE4557">
              <w:rPr>
                <w:rFonts w:ascii="Arial Narrow" w:hAnsi="Arial Narrow"/>
                <w:noProof/>
                <w:webHidden/>
                <w:sz w:val="20"/>
                <w:szCs w:val="20"/>
              </w:rPr>
              <w:fldChar w:fldCharType="separate"/>
            </w:r>
            <w:r w:rsidR="00211D64">
              <w:rPr>
                <w:rFonts w:ascii="Arial Narrow" w:hAnsi="Arial Narrow"/>
                <w:noProof/>
                <w:webHidden/>
                <w:sz w:val="20"/>
                <w:szCs w:val="20"/>
              </w:rPr>
              <w:t>65</w:t>
            </w:r>
            <w:r w:rsidR="00EE4557" w:rsidRPr="00EE4557">
              <w:rPr>
                <w:rFonts w:ascii="Arial Narrow" w:hAnsi="Arial Narrow"/>
                <w:noProof/>
                <w:webHidden/>
                <w:sz w:val="20"/>
                <w:szCs w:val="20"/>
              </w:rPr>
              <w:fldChar w:fldCharType="end"/>
            </w:r>
          </w:hyperlink>
        </w:p>
        <w:p w14:paraId="217D701D" w14:textId="77777777" w:rsidR="00EE4557" w:rsidRPr="00EE4557" w:rsidRDefault="00816B15">
          <w:pPr>
            <w:pStyle w:val="TOC1"/>
            <w:rPr>
              <w:rFonts w:ascii="Arial Narrow" w:eastAsiaTheme="minorEastAsia" w:hAnsi="Arial Narrow" w:cstheme="minorBidi"/>
              <w:noProof/>
              <w:sz w:val="20"/>
              <w:szCs w:val="20"/>
            </w:rPr>
          </w:pPr>
          <w:hyperlink w:anchor="_Toc210747574" w:history="1">
            <w:r w:rsidR="00EE4557" w:rsidRPr="00EE4557">
              <w:rPr>
                <w:rStyle w:val="Hyperlink"/>
                <w:rFonts w:ascii="Arial Narrow" w:eastAsia="SimSun" w:hAnsi="Arial Narrow"/>
                <w:bCs/>
                <w:noProof/>
                <w:sz w:val="20"/>
                <w:szCs w:val="20"/>
                <w:lang w:val="bg-BG"/>
              </w:rPr>
              <w:t>4.</w:t>
            </w:r>
            <w:r w:rsidR="00EE4557" w:rsidRPr="00EE4557">
              <w:rPr>
                <w:rFonts w:ascii="Arial Narrow" w:eastAsiaTheme="minorEastAsia" w:hAnsi="Arial Narrow" w:cstheme="minorBidi"/>
                <w:noProof/>
                <w:sz w:val="20"/>
                <w:szCs w:val="20"/>
              </w:rPr>
              <w:tab/>
            </w:r>
            <w:r w:rsidR="00EE4557" w:rsidRPr="00EE4557">
              <w:rPr>
                <w:rStyle w:val="Hyperlink"/>
                <w:rFonts w:ascii="Arial Narrow" w:eastAsia="SimSun" w:hAnsi="Arial Narrow"/>
                <w:bCs/>
                <w:noProof/>
                <w:sz w:val="20"/>
                <w:szCs w:val="20"/>
                <w:lang w:val="bg-BG"/>
              </w:rPr>
              <w:t>Развитие на външната търговия със селскостопански стоки през 2025 г.</w:t>
            </w:r>
            <w:r w:rsidR="00EE4557" w:rsidRPr="00EE4557">
              <w:rPr>
                <w:rFonts w:ascii="Arial Narrow" w:hAnsi="Arial Narrow"/>
                <w:noProof/>
                <w:webHidden/>
                <w:sz w:val="20"/>
                <w:szCs w:val="20"/>
              </w:rPr>
              <w:tab/>
            </w:r>
            <w:r w:rsidR="00EE4557" w:rsidRPr="00EE4557">
              <w:rPr>
                <w:rFonts w:ascii="Arial Narrow" w:hAnsi="Arial Narrow"/>
                <w:noProof/>
                <w:webHidden/>
                <w:sz w:val="20"/>
                <w:szCs w:val="20"/>
              </w:rPr>
              <w:fldChar w:fldCharType="begin"/>
            </w:r>
            <w:r w:rsidR="00EE4557" w:rsidRPr="00EE4557">
              <w:rPr>
                <w:rFonts w:ascii="Arial Narrow" w:hAnsi="Arial Narrow"/>
                <w:noProof/>
                <w:webHidden/>
                <w:sz w:val="20"/>
                <w:szCs w:val="20"/>
              </w:rPr>
              <w:instrText xml:space="preserve"> PAGEREF _Toc210747574 \h </w:instrText>
            </w:r>
            <w:r w:rsidR="00EE4557" w:rsidRPr="00EE4557">
              <w:rPr>
                <w:rFonts w:ascii="Arial Narrow" w:hAnsi="Arial Narrow"/>
                <w:noProof/>
                <w:webHidden/>
                <w:sz w:val="20"/>
                <w:szCs w:val="20"/>
              </w:rPr>
            </w:r>
            <w:r w:rsidR="00EE4557" w:rsidRPr="00EE4557">
              <w:rPr>
                <w:rFonts w:ascii="Arial Narrow" w:hAnsi="Arial Narrow"/>
                <w:noProof/>
                <w:webHidden/>
                <w:sz w:val="20"/>
                <w:szCs w:val="20"/>
              </w:rPr>
              <w:fldChar w:fldCharType="separate"/>
            </w:r>
            <w:r w:rsidR="00211D64">
              <w:rPr>
                <w:rFonts w:ascii="Arial Narrow" w:hAnsi="Arial Narrow"/>
                <w:noProof/>
                <w:webHidden/>
                <w:sz w:val="20"/>
                <w:szCs w:val="20"/>
              </w:rPr>
              <w:t>67</w:t>
            </w:r>
            <w:r w:rsidR="00EE4557" w:rsidRPr="00EE4557">
              <w:rPr>
                <w:rFonts w:ascii="Arial Narrow" w:hAnsi="Arial Narrow"/>
                <w:noProof/>
                <w:webHidden/>
                <w:sz w:val="20"/>
                <w:szCs w:val="20"/>
              </w:rPr>
              <w:fldChar w:fldCharType="end"/>
            </w:r>
          </w:hyperlink>
        </w:p>
        <w:p w14:paraId="6442D290" w14:textId="77777777" w:rsidR="00EE4557" w:rsidRPr="00EE4557" w:rsidRDefault="00816B15">
          <w:pPr>
            <w:pStyle w:val="TOC1"/>
            <w:rPr>
              <w:rFonts w:ascii="Arial Narrow" w:eastAsiaTheme="minorEastAsia" w:hAnsi="Arial Narrow" w:cstheme="minorBidi"/>
              <w:noProof/>
              <w:sz w:val="20"/>
              <w:szCs w:val="20"/>
            </w:rPr>
          </w:pPr>
          <w:hyperlink w:anchor="_Toc210747575" w:history="1">
            <w:r w:rsidR="00EE4557" w:rsidRPr="00EE4557">
              <w:rPr>
                <w:rStyle w:val="Hyperlink"/>
                <w:rFonts w:ascii="Arial Narrow" w:eastAsia="SimSun" w:hAnsi="Arial Narrow"/>
                <w:bCs/>
                <w:noProof/>
                <w:sz w:val="20"/>
                <w:szCs w:val="20"/>
                <w:lang w:val="bg-BG"/>
              </w:rPr>
              <w:t>5.</w:t>
            </w:r>
            <w:r w:rsidR="00EE4557" w:rsidRPr="00EE4557">
              <w:rPr>
                <w:rFonts w:ascii="Arial Narrow" w:eastAsiaTheme="minorEastAsia" w:hAnsi="Arial Narrow" w:cstheme="minorBidi"/>
                <w:noProof/>
                <w:sz w:val="20"/>
                <w:szCs w:val="20"/>
              </w:rPr>
              <w:tab/>
            </w:r>
            <w:r w:rsidR="00EE4557" w:rsidRPr="00EE4557">
              <w:rPr>
                <w:rStyle w:val="Hyperlink"/>
                <w:rFonts w:ascii="Arial Narrow" w:eastAsia="SimSun" w:hAnsi="Arial Narrow"/>
                <w:bCs/>
                <w:noProof/>
                <w:sz w:val="20"/>
                <w:szCs w:val="20"/>
                <w:lang w:val="bg-BG"/>
              </w:rPr>
              <w:t>Дейности по подкрепа на износа на земеделска продукция</w:t>
            </w:r>
            <w:r w:rsidR="00EE4557" w:rsidRPr="00EE4557">
              <w:rPr>
                <w:rFonts w:ascii="Arial Narrow" w:hAnsi="Arial Narrow"/>
                <w:noProof/>
                <w:webHidden/>
                <w:sz w:val="20"/>
                <w:szCs w:val="20"/>
              </w:rPr>
              <w:tab/>
            </w:r>
            <w:r w:rsidR="00EE4557" w:rsidRPr="00EE4557">
              <w:rPr>
                <w:rFonts w:ascii="Arial Narrow" w:hAnsi="Arial Narrow"/>
                <w:noProof/>
                <w:webHidden/>
                <w:sz w:val="20"/>
                <w:szCs w:val="20"/>
              </w:rPr>
              <w:fldChar w:fldCharType="begin"/>
            </w:r>
            <w:r w:rsidR="00EE4557" w:rsidRPr="00EE4557">
              <w:rPr>
                <w:rFonts w:ascii="Arial Narrow" w:hAnsi="Arial Narrow"/>
                <w:noProof/>
                <w:webHidden/>
                <w:sz w:val="20"/>
                <w:szCs w:val="20"/>
              </w:rPr>
              <w:instrText xml:space="preserve"> PAGEREF _Toc210747575 \h </w:instrText>
            </w:r>
            <w:r w:rsidR="00EE4557" w:rsidRPr="00EE4557">
              <w:rPr>
                <w:rFonts w:ascii="Arial Narrow" w:hAnsi="Arial Narrow"/>
                <w:noProof/>
                <w:webHidden/>
                <w:sz w:val="20"/>
                <w:szCs w:val="20"/>
              </w:rPr>
            </w:r>
            <w:r w:rsidR="00EE4557" w:rsidRPr="00EE4557">
              <w:rPr>
                <w:rFonts w:ascii="Arial Narrow" w:hAnsi="Arial Narrow"/>
                <w:noProof/>
                <w:webHidden/>
                <w:sz w:val="20"/>
                <w:szCs w:val="20"/>
              </w:rPr>
              <w:fldChar w:fldCharType="separate"/>
            </w:r>
            <w:r w:rsidR="00211D64">
              <w:rPr>
                <w:rFonts w:ascii="Arial Narrow" w:hAnsi="Arial Narrow"/>
                <w:noProof/>
                <w:webHidden/>
                <w:sz w:val="20"/>
                <w:szCs w:val="20"/>
              </w:rPr>
              <w:t>67</w:t>
            </w:r>
            <w:r w:rsidR="00EE4557" w:rsidRPr="00EE4557">
              <w:rPr>
                <w:rFonts w:ascii="Arial Narrow" w:hAnsi="Arial Narrow"/>
                <w:noProof/>
                <w:webHidden/>
                <w:sz w:val="20"/>
                <w:szCs w:val="20"/>
              </w:rPr>
              <w:fldChar w:fldCharType="end"/>
            </w:r>
          </w:hyperlink>
        </w:p>
        <w:p w14:paraId="7294C9D5" w14:textId="77777777" w:rsidR="00EE4557" w:rsidRPr="00EE4557" w:rsidRDefault="00816B15">
          <w:pPr>
            <w:pStyle w:val="TOC1"/>
            <w:rPr>
              <w:rFonts w:ascii="Arial Narrow" w:eastAsiaTheme="minorEastAsia" w:hAnsi="Arial Narrow" w:cstheme="minorBidi"/>
              <w:noProof/>
              <w:sz w:val="20"/>
              <w:szCs w:val="20"/>
            </w:rPr>
          </w:pPr>
          <w:hyperlink w:anchor="_Toc210747576" w:history="1">
            <w:r w:rsidR="00EE4557" w:rsidRPr="00EE4557">
              <w:rPr>
                <w:rStyle w:val="Hyperlink"/>
                <w:rFonts w:ascii="Arial Narrow" w:hAnsi="Arial Narrow"/>
                <w:noProof/>
                <w:sz w:val="20"/>
                <w:szCs w:val="20"/>
                <w:lang w:val="bg-BG" w:eastAsia="bg-BG"/>
              </w:rPr>
              <w:t>IV.</w:t>
            </w:r>
            <w:r w:rsidR="00EE4557" w:rsidRPr="00EE4557">
              <w:rPr>
                <w:rFonts w:ascii="Arial Narrow" w:eastAsiaTheme="minorEastAsia" w:hAnsi="Arial Narrow" w:cstheme="minorBidi"/>
                <w:noProof/>
                <w:sz w:val="20"/>
                <w:szCs w:val="20"/>
              </w:rPr>
              <w:tab/>
            </w:r>
            <w:r w:rsidR="00EE4557" w:rsidRPr="00EE4557">
              <w:rPr>
                <w:rStyle w:val="Hyperlink"/>
                <w:rFonts w:ascii="Arial Narrow" w:hAnsi="Arial Narrow"/>
                <w:noProof/>
                <w:sz w:val="20"/>
                <w:szCs w:val="20"/>
                <w:lang w:val="bg-BG" w:eastAsia="bg-BG"/>
              </w:rPr>
              <w:t>ПОДПОМАГАНЕ НА АГРАРНИЯ ОТРАСЪЛ</w:t>
            </w:r>
            <w:r w:rsidR="00EE4557" w:rsidRPr="00EE4557">
              <w:rPr>
                <w:rFonts w:ascii="Arial Narrow" w:hAnsi="Arial Narrow"/>
                <w:noProof/>
                <w:webHidden/>
                <w:sz w:val="20"/>
                <w:szCs w:val="20"/>
              </w:rPr>
              <w:tab/>
            </w:r>
            <w:r w:rsidR="00EE4557" w:rsidRPr="00EE4557">
              <w:rPr>
                <w:rFonts w:ascii="Arial Narrow" w:hAnsi="Arial Narrow"/>
                <w:noProof/>
                <w:webHidden/>
                <w:sz w:val="20"/>
                <w:szCs w:val="20"/>
              </w:rPr>
              <w:fldChar w:fldCharType="begin"/>
            </w:r>
            <w:r w:rsidR="00EE4557" w:rsidRPr="00EE4557">
              <w:rPr>
                <w:rFonts w:ascii="Arial Narrow" w:hAnsi="Arial Narrow"/>
                <w:noProof/>
                <w:webHidden/>
                <w:sz w:val="20"/>
                <w:szCs w:val="20"/>
              </w:rPr>
              <w:instrText xml:space="preserve"> PAGEREF _Toc210747576 \h </w:instrText>
            </w:r>
            <w:r w:rsidR="00EE4557" w:rsidRPr="00EE4557">
              <w:rPr>
                <w:rFonts w:ascii="Arial Narrow" w:hAnsi="Arial Narrow"/>
                <w:noProof/>
                <w:webHidden/>
                <w:sz w:val="20"/>
                <w:szCs w:val="20"/>
              </w:rPr>
            </w:r>
            <w:r w:rsidR="00EE4557" w:rsidRPr="00EE4557">
              <w:rPr>
                <w:rFonts w:ascii="Arial Narrow" w:hAnsi="Arial Narrow"/>
                <w:noProof/>
                <w:webHidden/>
                <w:sz w:val="20"/>
                <w:szCs w:val="20"/>
              </w:rPr>
              <w:fldChar w:fldCharType="separate"/>
            </w:r>
            <w:r w:rsidR="00211D64">
              <w:rPr>
                <w:rFonts w:ascii="Arial Narrow" w:hAnsi="Arial Narrow"/>
                <w:noProof/>
                <w:webHidden/>
                <w:sz w:val="20"/>
                <w:szCs w:val="20"/>
              </w:rPr>
              <w:t>68</w:t>
            </w:r>
            <w:r w:rsidR="00EE4557" w:rsidRPr="00EE4557">
              <w:rPr>
                <w:rFonts w:ascii="Arial Narrow" w:hAnsi="Arial Narrow"/>
                <w:noProof/>
                <w:webHidden/>
                <w:sz w:val="20"/>
                <w:szCs w:val="20"/>
              </w:rPr>
              <w:fldChar w:fldCharType="end"/>
            </w:r>
          </w:hyperlink>
        </w:p>
        <w:p w14:paraId="510FE351" w14:textId="77777777" w:rsidR="00EE4557" w:rsidRPr="00EE4557" w:rsidRDefault="00816B15">
          <w:pPr>
            <w:pStyle w:val="TOC1"/>
            <w:rPr>
              <w:rFonts w:ascii="Arial Narrow" w:eastAsiaTheme="minorEastAsia" w:hAnsi="Arial Narrow" w:cstheme="minorBidi"/>
              <w:noProof/>
              <w:sz w:val="20"/>
              <w:szCs w:val="20"/>
            </w:rPr>
          </w:pPr>
          <w:hyperlink w:anchor="_Toc210747577" w:history="1">
            <w:r w:rsidR="00EE4557" w:rsidRPr="00EE4557">
              <w:rPr>
                <w:rStyle w:val="Hyperlink"/>
                <w:rFonts w:ascii="Arial Narrow" w:hAnsi="Arial Narrow"/>
                <w:bCs/>
                <w:noProof/>
                <w:sz w:val="20"/>
                <w:szCs w:val="20"/>
                <w:lang w:val="bg-BG" w:eastAsia="bg-BG"/>
              </w:rPr>
              <w:t>1.</w:t>
            </w:r>
            <w:r w:rsidR="00EE4557" w:rsidRPr="00EE4557">
              <w:rPr>
                <w:rFonts w:ascii="Arial Narrow" w:eastAsiaTheme="minorEastAsia" w:hAnsi="Arial Narrow" w:cstheme="minorBidi"/>
                <w:noProof/>
                <w:sz w:val="20"/>
                <w:szCs w:val="20"/>
              </w:rPr>
              <w:tab/>
            </w:r>
            <w:r w:rsidR="00EE4557" w:rsidRPr="00EE4557">
              <w:rPr>
                <w:rStyle w:val="Hyperlink"/>
                <w:rFonts w:ascii="Arial Narrow" w:hAnsi="Arial Narrow"/>
                <w:bCs/>
                <w:noProof/>
                <w:sz w:val="20"/>
                <w:szCs w:val="20"/>
                <w:lang w:val="bg-BG" w:eastAsia="bg-BG"/>
              </w:rPr>
              <w:t>Подпомагане по първи стълб на ОСП</w:t>
            </w:r>
            <w:r w:rsidR="00EE4557" w:rsidRPr="00EE4557">
              <w:rPr>
                <w:rFonts w:ascii="Arial Narrow" w:hAnsi="Arial Narrow"/>
                <w:noProof/>
                <w:webHidden/>
                <w:sz w:val="20"/>
                <w:szCs w:val="20"/>
              </w:rPr>
              <w:tab/>
            </w:r>
            <w:r w:rsidR="00EE4557" w:rsidRPr="00EE4557">
              <w:rPr>
                <w:rFonts w:ascii="Arial Narrow" w:hAnsi="Arial Narrow"/>
                <w:noProof/>
                <w:webHidden/>
                <w:sz w:val="20"/>
                <w:szCs w:val="20"/>
              </w:rPr>
              <w:fldChar w:fldCharType="begin"/>
            </w:r>
            <w:r w:rsidR="00EE4557" w:rsidRPr="00EE4557">
              <w:rPr>
                <w:rFonts w:ascii="Arial Narrow" w:hAnsi="Arial Narrow"/>
                <w:noProof/>
                <w:webHidden/>
                <w:sz w:val="20"/>
                <w:szCs w:val="20"/>
              </w:rPr>
              <w:instrText xml:space="preserve"> PAGEREF _Toc210747577 \h </w:instrText>
            </w:r>
            <w:r w:rsidR="00EE4557" w:rsidRPr="00EE4557">
              <w:rPr>
                <w:rFonts w:ascii="Arial Narrow" w:hAnsi="Arial Narrow"/>
                <w:noProof/>
                <w:webHidden/>
                <w:sz w:val="20"/>
                <w:szCs w:val="20"/>
              </w:rPr>
            </w:r>
            <w:r w:rsidR="00EE4557" w:rsidRPr="00EE4557">
              <w:rPr>
                <w:rFonts w:ascii="Arial Narrow" w:hAnsi="Arial Narrow"/>
                <w:noProof/>
                <w:webHidden/>
                <w:sz w:val="20"/>
                <w:szCs w:val="20"/>
              </w:rPr>
              <w:fldChar w:fldCharType="separate"/>
            </w:r>
            <w:r w:rsidR="00211D64">
              <w:rPr>
                <w:rFonts w:ascii="Arial Narrow" w:hAnsi="Arial Narrow"/>
                <w:noProof/>
                <w:webHidden/>
                <w:sz w:val="20"/>
                <w:szCs w:val="20"/>
              </w:rPr>
              <w:t>68</w:t>
            </w:r>
            <w:r w:rsidR="00EE4557" w:rsidRPr="00EE4557">
              <w:rPr>
                <w:rFonts w:ascii="Arial Narrow" w:hAnsi="Arial Narrow"/>
                <w:noProof/>
                <w:webHidden/>
                <w:sz w:val="20"/>
                <w:szCs w:val="20"/>
              </w:rPr>
              <w:fldChar w:fldCharType="end"/>
            </w:r>
          </w:hyperlink>
        </w:p>
        <w:p w14:paraId="69908CD7" w14:textId="77777777" w:rsidR="00EE4557" w:rsidRPr="00EE4557" w:rsidRDefault="00816B15">
          <w:pPr>
            <w:pStyle w:val="TOC1"/>
            <w:rPr>
              <w:rFonts w:ascii="Arial Narrow" w:eastAsiaTheme="minorEastAsia" w:hAnsi="Arial Narrow" w:cstheme="minorBidi"/>
              <w:noProof/>
              <w:sz w:val="20"/>
              <w:szCs w:val="20"/>
            </w:rPr>
          </w:pPr>
          <w:hyperlink w:anchor="_Toc210747578" w:history="1">
            <w:r w:rsidR="00EE4557" w:rsidRPr="00EE4557">
              <w:rPr>
                <w:rStyle w:val="Hyperlink"/>
                <w:rFonts w:ascii="Arial Narrow" w:hAnsi="Arial Narrow"/>
                <w:bCs/>
                <w:noProof/>
                <w:sz w:val="20"/>
                <w:szCs w:val="20"/>
                <w:lang w:val="bg-BG" w:eastAsia="bg-BG"/>
              </w:rPr>
              <w:t>1.1.</w:t>
            </w:r>
            <w:r w:rsidR="00EE4557" w:rsidRPr="00EE4557">
              <w:rPr>
                <w:rFonts w:ascii="Arial Narrow" w:eastAsiaTheme="minorEastAsia" w:hAnsi="Arial Narrow" w:cstheme="minorBidi"/>
                <w:noProof/>
                <w:sz w:val="20"/>
                <w:szCs w:val="20"/>
              </w:rPr>
              <w:tab/>
            </w:r>
            <w:r w:rsidR="00EE4557" w:rsidRPr="00EE4557">
              <w:rPr>
                <w:rStyle w:val="Hyperlink"/>
                <w:rFonts w:ascii="Arial Narrow" w:hAnsi="Arial Narrow"/>
                <w:bCs/>
                <w:noProof/>
                <w:sz w:val="20"/>
                <w:szCs w:val="20"/>
                <w:lang w:val="bg-BG" w:eastAsia="bg-BG"/>
              </w:rPr>
              <w:t>Директни плащания на площ, преходна национална помощ и обвързано с производството подпомагане</w:t>
            </w:r>
            <w:r w:rsidR="00EE4557" w:rsidRPr="00EE4557">
              <w:rPr>
                <w:rFonts w:ascii="Arial Narrow" w:hAnsi="Arial Narrow"/>
                <w:noProof/>
                <w:webHidden/>
                <w:sz w:val="20"/>
                <w:szCs w:val="20"/>
              </w:rPr>
              <w:tab/>
            </w:r>
            <w:r w:rsidR="00EE4557" w:rsidRPr="00EE4557">
              <w:rPr>
                <w:rFonts w:ascii="Arial Narrow" w:hAnsi="Arial Narrow"/>
                <w:noProof/>
                <w:webHidden/>
                <w:sz w:val="20"/>
                <w:szCs w:val="20"/>
              </w:rPr>
              <w:fldChar w:fldCharType="begin"/>
            </w:r>
            <w:r w:rsidR="00EE4557" w:rsidRPr="00EE4557">
              <w:rPr>
                <w:rFonts w:ascii="Arial Narrow" w:hAnsi="Arial Narrow"/>
                <w:noProof/>
                <w:webHidden/>
                <w:sz w:val="20"/>
                <w:szCs w:val="20"/>
              </w:rPr>
              <w:instrText xml:space="preserve"> PAGEREF _Toc210747578 \h </w:instrText>
            </w:r>
            <w:r w:rsidR="00EE4557" w:rsidRPr="00EE4557">
              <w:rPr>
                <w:rFonts w:ascii="Arial Narrow" w:hAnsi="Arial Narrow"/>
                <w:noProof/>
                <w:webHidden/>
                <w:sz w:val="20"/>
                <w:szCs w:val="20"/>
              </w:rPr>
            </w:r>
            <w:r w:rsidR="00EE4557" w:rsidRPr="00EE4557">
              <w:rPr>
                <w:rFonts w:ascii="Arial Narrow" w:hAnsi="Arial Narrow"/>
                <w:noProof/>
                <w:webHidden/>
                <w:sz w:val="20"/>
                <w:szCs w:val="20"/>
              </w:rPr>
              <w:fldChar w:fldCharType="separate"/>
            </w:r>
            <w:r w:rsidR="00211D64">
              <w:rPr>
                <w:rFonts w:ascii="Arial Narrow" w:hAnsi="Arial Narrow"/>
                <w:noProof/>
                <w:webHidden/>
                <w:sz w:val="20"/>
                <w:szCs w:val="20"/>
              </w:rPr>
              <w:t>68</w:t>
            </w:r>
            <w:r w:rsidR="00EE4557" w:rsidRPr="00EE4557">
              <w:rPr>
                <w:rFonts w:ascii="Arial Narrow" w:hAnsi="Arial Narrow"/>
                <w:noProof/>
                <w:webHidden/>
                <w:sz w:val="20"/>
                <w:szCs w:val="20"/>
              </w:rPr>
              <w:fldChar w:fldCharType="end"/>
            </w:r>
          </w:hyperlink>
        </w:p>
        <w:p w14:paraId="6977FBF4" w14:textId="77777777" w:rsidR="00EE4557" w:rsidRPr="00EE4557" w:rsidRDefault="00816B15">
          <w:pPr>
            <w:pStyle w:val="TOC1"/>
            <w:rPr>
              <w:rFonts w:ascii="Arial Narrow" w:eastAsiaTheme="minorEastAsia" w:hAnsi="Arial Narrow" w:cstheme="minorBidi"/>
              <w:noProof/>
              <w:sz w:val="20"/>
              <w:szCs w:val="20"/>
            </w:rPr>
          </w:pPr>
          <w:hyperlink w:anchor="_Toc210747579" w:history="1">
            <w:r w:rsidR="00EE4557" w:rsidRPr="00EE4557">
              <w:rPr>
                <w:rStyle w:val="Hyperlink"/>
                <w:rFonts w:ascii="Arial Narrow" w:hAnsi="Arial Narrow"/>
                <w:bCs/>
                <w:noProof/>
                <w:sz w:val="20"/>
                <w:szCs w:val="20"/>
                <w:lang w:val="bg-BG" w:eastAsia="bg-BG"/>
              </w:rPr>
              <w:t>1.2.</w:t>
            </w:r>
            <w:r w:rsidR="00EE4557" w:rsidRPr="00EE4557">
              <w:rPr>
                <w:rFonts w:ascii="Arial Narrow" w:eastAsiaTheme="minorEastAsia" w:hAnsi="Arial Narrow" w:cstheme="minorBidi"/>
                <w:noProof/>
                <w:sz w:val="20"/>
                <w:szCs w:val="20"/>
              </w:rPr>
              <w:tab/>
            </w:r>
            <w:r w:rsidR="00EE4557" w:rsidRPr="00EE4557">
              <w:rPr>
                <w:rStyle w:val="Hyperlink"/>
                <w:rFonts w:ascii="Arial Narrow" w:hAnsi="Arial Narrow"/>
                <w:bCs/>
                <w:noProof/>
                <w:sz w:val="20"/>
                <w:szCs w:val="20"/>
                <w:lang w:val="bg-BG" w:eastAsia="bg-BG"/>
              </w:rPr>
              <w:t>Механизми за пазарна подкрепа</w:t>
            </w:r>
            <w:r w:rsidR="00EE4557" w:rsidRPr="00EE4557">
              <w:rPr>
                <w:rFonts w:ascii="Arial Narrow" w:hAnsi="Arial Narrow"/>
                <w:noProof/>
                <w:webHidden/>
                <w:sz w:val="20"/>
                <w:szCs w:val="20"/>
              </w:rPr>
              <w:tab/>
            </w:r>
            <w:r w:rsidR="00EE4557" w:rsidRPr="00EE4557">
              <w:rPr>
                <w:rFonts w:ascii="Arial Narrow" w:hAnsi="Arial Narrow"/>
                <w:noProof/>
                <w:webHidden/>
                <w:sz w:val="20"/>
                <w:szCs w:val="20"/>
              </w:rPr>
              <w:fldChar w:fldCharType="begin"/>
            </w:r>
            <w:r w:rsidR="00EE4557" w:rsidRPr="00EE4557">
              <w:rPr>
                <w:rFonts w:ascii="Arial Narrow" w:hAnsi="Arial Narrow"/>
                <w:noProof/>
                <w:webHidden/>
                <w:sz w:val="20"/>
                <w:szCs w:val="20"/>
              </w:rPr>
              <w:instrText xml:space="preserve"> PAGEREF _Toc210747579 \h </w:instrText>
            </w:r>
            <w:r w:rsidR="00EE4557" w:rsidRPr="00EE4557">
              <w:rPr>
                <w:rFonts w:ascii="Arial Narrow" w:hAnsi="Arial Narrow"/>
                <w:noProof/>
                <w:webHidden/>
                <w:sz w:val="20"/>
                <w:szCs w:val="20"/>
              </w:rPr>
            </w:r>
            <w:r w:rsidR="00EE4557" w:rsidRPr="00EE4557">
              <w:rPr>
                <w:rFonts w:ascii="Arial Narrow" w:hAnsi="Arial Narrow"/>
                <w:noProof/>
                <w:webHidden/>
                <w:sz w:val="20"/>
                <w:szCs w:val="20"/>
              </w:rPr>
              <w:fldChar w:fldCharType="separate"/>
            </w:r>
            <w:r w:rsidR="00211D64">
              <w:rPr>
                <w:rFonts w:ascii="Arial Narrow" w:hAnsi="Arial Narrow"/>
                <w:noProof/>
                <w:webHidden/>
                <w:sz w:val="20"/>
                <w:szCs w:val="20"/>
              </w:rPr>
              <w:t>79</w:t>
            </w:r>
            <w:r w:rsidR="00EE4557" w:rsidRPr="00EE4557">
              <w:rPr>
                <w:rFonts w:ascii="Arial Narrow" w:hAnsi="Arial Narrow"/>
                <w:noProof/>
                <w:webHidden/>
                <w:sz w:val="20"/>
                <w:szCs w:val="20"/>
              </w:rPr>
              <w:fldChar w:fldCharType="end"/>
            </w:r>
          </w:hyperlink>
        </w:p>
        <w:p w14:paraId="3B09B667" w14:textId="77777777" w:rsidR="00EE4557" w:rsidRPr="00EE4557" w:rsidRDefault="00816B15">
          <w:pPr>
            <w:pStyle w:val="TOC1"/>
            <w:rPr>
              <w:rFonts w:ascii="Arial Narrow" w:eastAsiaTheme="minorEastAsia" w:hAnsi="Arial Narrow" w:cstheme="minorBidi"/>
              <w:noProof/>
              <w:sz w:val="20"/>
              <w:szCs w:val="20"/>
            </w:rPr>
          </w:pPr>
          <w:hyperlink w:anchor="_Toc210747580" w:history="1">
            <w:r w:rsidR="00EE4557" w:rsidRPr="00EE4557">
              <w:rPr>
                <w:rStyle w:val="Hyperlink"/>
                <w:rFonts w:ascii="Arial Narrow" w:eastAsia="Calibri" w:hAnsi="Arial Narrow"/>
                <w:noProof/>
                <w:sz w:val="20"/>
                <w:szCs w:val="20"/>
              </w:rPr>
              <w:t>1.2.1.</w:t>
            </w:r>
            <w:r w:rsidR="00EE4557" w:rsidRPr="00EE4557">
              <w:rPr>
                <w:rFonts w:ascii="Arial Narrow" w:eastAsiaTheme="minorEastAsia" w:hAnsi="Arial Narrow" w:cstheme="minorBidi"/>
                <w:noProof/>
                <w:sz w:val="20"/>
                <w:szCs w:val="20"/>
              </w:rPr>
              <w:tab/>
            </w:r>
            <w:r w:rsidR="00EE4557" w:rsidRPr="00EE4557">
              <w:rPr>
                <w:rStyle w:val="Hyperlink"/>
                <w:rFonts w:ascii="Arial Narrow" w:eastAsia="Calibri" w:hAnsi="Arial Narrow"/>
                <w:noProof/>
                <w:sz w:val="20"/>
                <w:szCs w:val="20"/>
              </w:rPr>
              <w:t>Договорни отношения в сектора на млякото</w:t>
            </w:r>
            <w:r w:rsidR="00EE4557" w:rsidRPr="00EE4557">
              <w:rPr>
                <w:rFonts w:ascii="Arial Narrow" w:hAnsi="Arial Narrow"/>
                <w:noProof/>
                <w:webHidden/>
                <w:sz w:val="20"/>
                <w:szCs w:val="20"/>
              </w:rPr>
              <w:tab/>
            </w:r>
            <w:r w:rsidR="00EE4557" w:rsidRPr="00EE4557">
              <w:rPr>
                <w:rFonts w:ascii="Arial Narrow" w:hAnsi="Arial Narrow"/>
                <w:noProof/>
                <w:webHidden/>
                <w:sz w:val="20"/>
                <w:szCs w:val="20"/>
              </w:rPr>
              <w:fldChar w:fldCharType="begin"/>
            </w:r>
            <w:r w:rsidR="00EE4557" w:rsidRPr="00EE4557">
              <w:rPr>
                <w:rFonts w:ascii="Arial Narrow" w:hAnsi="Arial Narrow"/>
                <w:noProof/>
                <w:webHidden/>
                <w:sz w:val="20"/>
                <w:szCs w:val="20"/>
              </w:rPr>
              <w:instrText xml:space="preserve"> PAGEREF _Toc210747580 \h </w:instrText>
            </w:r>
            <w:r w:rsidR="00EE4557" w:rsidRPr="00EE4557">
              <w:rPr>
                <w:rFonts w:ascii="Arial Narrow" w:hAnsi="Arial Narrow"/>
                <w:noProof/>
                <w:webHidden/>
                <w:sz w:val="20"/>
                <w:szCs w:val="20"/>
              </w:rPr>
            </w:r>
            <w:r w:rsidR="00EE4557" w:rsidRPr="00EE4557">
              <w:rPr>
                <w:rFonts w:ascii="Arial Narrow" w:hAnsi="Arial Narrow"/>
                <w:noProof/>
                <w:webHidden/>
                <w:sz w:val="20"/>
                <w:szCs w:val="20"/>
              </w:rPr>
              <w:fldChar w:fldCharType="separate"/>
            </w:r>
            <w:r w:rsidR="00211D64">
              <w:rPr>
                <w:rFonts w:ascii="Arial Narrow" w:hAnsi="Arial Narrow"/>
                <w:noProof/>
                <w:webHidden/>
                <w:sz w:val="20"/>
                <w:szCs w:val="20"/>
              </w:rPr>
              <w:t>79</w:t>
            </w:r>
            <w:r w:rsidR="00EE4557" w:rsidRPr="00EE4557">
              <w:rPr>
                <w:rFonts w:ascii="Arial Narrow" w:hAnsi="Arial Narrow"/>
                <w:noProof/>
                <w:webHidden/>
                <w:sz w:val="20"/>
                <w:szCs w:val="20"/>
              </w:rPr>
              <w:fldChar w:fldCharType="end"/>
            </w:r>
          </w:hyperlink>
        </w:p>
        <w:p w14:paraId="7EA7636F" w14:textId="77777777" w:rsidR="00EE4557" w:rsidRPr="00EE4557" w:rsidRDefault="00816B15">
          <w:pPr>
            <w:pStyle w:val="TOC1"/>
            <w:rPr>
              <w:rFonts w:ascii="Arial Narrow" w:eastAsiaTheme="minorEastAsia" w:hAnsi="Arial Narrow" w:cstheme="minorBidi"/>
              <w:noProof/>
              <w:sz w:val="20"/>
              <w:szCs w:val="20"/>
            </w:rPr>
          </w:pPr>
          <w:hyperlink w:anchor="_Toc210747581" w:history="1">
            <w:r w:rsidR="00EE4557" w:rsidRPr="00EE4557">
              <w:rPr>
                <w:rStyle w:val="Hyperlink"/>
                <w:rFonts w:ascii="Arial Narrow" w:hAnsi="Arial Narrow"/>
                <w:noProof/>
                <w:sz w:val="20"/>
                <w:szCs w:val="20"/>
              </w:rPr>
              <w:t>1.2.2.</w:t>
            </w:r>
            <w:r w:rsidR="00EE4557" w:rsidRPr="00EE4557">
              <w:rPr>
                <w:rFonts w:ascii="Arial Narrow" w:eastAsiaTheme="minorEastAsia" w:hAnsi="Arial Narrow" w:cstheme="minorBidi"/>
                <w:noProof/>
                <w:sz w:val="20"/>
                <w:szCs w:val="20"/>
              </w:rPr>
              <w:tab/>
            </w:r>
            <w:r w:rsidR="00EE4557" w:rsidRPr="00EE4557">
              <w:rPr>
                <w:rStyle w:val="Hyperlink"/>
                <w:rFonts w:ascii="Arial Narrow" w:hAnsi="Arial Narrow"/>
                <w:noProof/>
                <w:sz w:val="20"/>
                <w:szCs w:val="20"/>
              </w:rPr>
              <w:t>Оперативни програми</w:t>
            </w:r>
            <w:r w:rsidR="00EE4557" w:rsidRPr="00EE4557">
              <w:rPr>
                <w:rFonts w:ascii="Arial Narrow" w:hAnsi="Arial Narrow"/>
                <w:noProof/>
                <w:webHidden/>
                <w:sz w:val="20"/>
                <w:szCs w:val="20"/>
              </w:rPr>
              <w:tab/>
            </w:r>
            <w:r w:rsidR="00EE4557" w:rsidRPr="00EE4557">
              <w:rPr>
                <w:rFonts w:ascii="Arial Narrow" w:hAnsi="Arial Narrow"/>
                <w:noProof/>
                <w:webHidden/>
                <w:sz w:val="20"/>
                <w:szCs w:val="20"/>
              </w:rPr>
              <w:fldChar w:fldCharType="begin"/>
            </w:r>
            <w:r w:rsidR="00EE4557" w:rsidRPr="00EE4557">
              <w:rPr>
                <w:rFonts w:ascii="Arial Narrow" w:hAnsi="Arial Narrow"/>
                <w:noProof/>
                <w:webHidden/>
                <w:sz w:val="20"/>
                <w:szCs w:val="20"/>
              </w:rPr>
              <w:instrText xml:space="preserve"> PAGEREF _Toc210747581 \h </w:instrText>
            </w:r>
            <w:r w:rsidR="00EE4557" w:rsidRPr="00EE4557">
              <w:rPr>
                <w:rFonts w:ascii="Arial Narrow" w:hAnsi="Arial Narrow"/>
                <w:noProof/>
                <w:webHidden/>
                <w:sz w:val="20"/>
                <w:szCs w:val="20"/>
              </w:rPr>
            </w:r>
            <w:r w:rsidR="00EE4557" w:rsidRPr="00EE4557">
              <w:rPr>
                <w:rFonts w:ascii="Arial Narrow" w:hAnsi="Arial Narrow"/>
                <w:noProof/>
                <w:webHidden/>
                <w:sz w:val="20"/>
                <w:szCs w:val="20"/>
              </w:rPr>
              <w:fldChar w:fldCharType="separate"/>
            </w:r>
            <w:r w:rsidR="00211D64">
              <w:rPr>
                <w:rFonts w:ascii="Arial Narrow" w:hAnsi="Arial Narrow"/>
                <w:noProof/>
                <w:webHidden/>
                <w:sz w:val="20"/>
                <w:szCs w:val="20"/>
              </w:rPr>
              <w:t>80</w:t>
            </w:r>
            <w:r w:rsidR="00EE4557" w:rsidRPr="00EE4557">
              <w:rPr>
                <w:rFonts w:ascii="Arial Narrow" w:hAnsi="Arial Narrow"/>
                <w:noProof/>
                <w:webHidden/>
                <w:sz w:val="20"/>
                <w:szCs w:val="20"/>
              </w:rPr>
              <w:fldChar w:fldCharType="end"/>
            </w:r>
          </w:hyperlink>
        </w:p>
        <w:p w14:paraId="769E873E" w14:textId="77777777" w:rsidR="00EE4557" w:rsidRPr="00EE4557" w:rsidRDefault="00816B15">
          <w:pPr>
            <w:pStyle w:val="TOC1"/>
            <w:rPr>
              <w:rFonts w:ascii="Arial Narrow" w:eastAsiaTheme="minorEastAsia" w:hAnsi="Arial Narrow" w:cstheme="minorBidi"/>
              <w:noProof/>
              <w:sz w:val="20"/>
              <w:szCs w:val="20"/>
            </w:rPr>
          </w:pPr>
          <w:hyperlink w:anchor="_Toc210747582" w:history="1">
            <w:r w:rsidR="00EE4557" w:rsidRPr="00EE4557">
              <w:rPr>
                <w:rStyle w:val="Hyperlink"/>
                <w:rFonts w:ascii="Arial Narrow" w:hAnsi="Arial Narrow"/>
                <w:noProof/>
                <w:sz w:val="20"/>
                <w:szCs w:val="20"/>
              </w:rPr>
              <w:t>1.2.3.</w:t>
            </w:r>
            <w:r w:rsidR="00EE4557" w:rsidRPr="00EE4557">
              <w:rPr>
                <w:rFonts w:ascii="Arial Narrow" w:eastAsiaTheme="minorEastAsia" w:hAnsi="Arial Narrow" w:cstheme="minorBidi"/>
                <w:noProof/>
                <w:sz w:val="20"/>
                <w:szCs w:val="20"/>
              </w:rPr>
              <w:tab/>
            </w:r>
            <w:r w:rsidR="00EE4557" w:rsidRPr="00EE4557">
              <w:rPr>
                <w:rStyle w:val="Hyperlink"/>
                <w:rFonts w:ascii="Arial Narrow" w:hAnsi="Arial Narrow"/>
                <w:noProof/>
                <w:sz w:val="20"/>
                <w:szCs w:val="20"/>
              </w:rPr>
              <w:t>Организации и групи на производители</w:t>
            </w:r>
            <w:r w:rsidR="00EE4557" w:rsidRPr="00EE4557">
              <w:rPr>
                <w:rFonts w:ascii="Arial Narrow" w:hAnsi="Arial Narrow"/>
                <w:noProof/>
                <w:webHidden/>
                <w:sz w:val="20"/>
                <w:szCs w:val="20"/>
              </w:rPr>
              <w:tab/>
            </w:r>
            <w:r w:rsidR="00EE4557" w:rsidRPr="00EE4557">
              <w:rPr>
                <w:rFonts w:ascii="Arial Narrow" w:hAnsi="Arial Narrow"/>
                <w:noProof/>
                <w:webHidden/>
                <w:sz w:val="20"/>
                <w:szCs w:val="20"/>
              </w:rPr>
              <w:fldChar w:fldCharType="begin"/>
            </w:r>
            <w:r w:rsidR="00EE4557" w:rsidRPr="00EE4557">
              <w:rPr>
                <w:rFonts w:ascii="Arial Narrow" w:hAnsi="Arial Narrow"/>
                <w:noProof/>
                <w:webHidden/>
                <w:sz w:val="20"/>
                <w:szCs w:val="20"/>
              </w:rPr>
              <w:instrText xml:space="preserve"> PAGEREF _Toc210747582 \h </w:instrText>
            </w:r>
            <w:r w:rsidR="00EE4557" w:rsidRPr="00EE4557">
              <w:rPr>
                <w:rFonts w:ascii="Arial Narrow" w:hAnsi="Arial Narrow"/>
                <w:noProof/>
                <w:webHidden/>
                <w:sz w:val="20"/>
                <w:szCs w:val="20"/>
              </w:rPr>
            </w:r>
            <w:r w:rsidR="00EE4557" w:rsidRPr="00EE4557">
              <w:rPr>
                <w:rFonts w:ascii="Arial Narrow" w:hAnsi="Arial Narrow"/>
                <w:noProof/>
                <w:webHidden/>
                <w:sz w:val="20"/>
                <w:szCs w:val="20"/>
              </w:rPr>
              <w:fldChar w:fldCharType="separate"/>
            </w:r>
            <w:r w:rsidR="00211D64">
              <w:rPr>
                <w:rFonts w:ascii="Arial Narrow" w:hAnsi="Arial Narrow"/>
                <w:noProof/>
                <w:webHidden/>
                <w:sz w:val="20"/>
                <w:szCs w:val="20"/>
              </w:rPr>
              <w:t>82</w:t>
            </w:r>
            <w:r w:rsidR="00EE4557" w:rsidRPr="00EE4557">
              <w:rPr>
                <w:rFonts w:ascii="Arial Narrow" w:hAnsi="Arial Narrow"/>
                <w:noProof/>
                <w:webHidden/>
                <w:sz w:val="20"/>
                <w:szCs w:val="20"/>
              </w:rPr>
              <w:fldChar w:fldCharType="end"/>
            </w:r>
          </w:hyperlink>
        </w:p>
        <w:p w14:paraId="3AB74159" w14:textId="77777777" w:rsidR="00EE4557" w:rsidRPr="00EE4557" w:rsidRDefault="00816B15">
          <w:pPr>
            <w:pStyle w:val="TOC1"/>
            <w:rPr>
              <w:rFonts w:ascii="Arial Narrow" w:eastAsiaTheme="minorEastAsia" w:hAnsi="Arial Narrow" w:cstheme="minorBidi"/>
              <w:noProof/>
              <w:sz w:val="20"/>
              <w:szCs w:val="20"/>
            </w:rPr>
          </w:pPr>
          <w:hyperlink w:anchor="_Toc210747583" w:history="1">
            <w:r w:rsidR="00EE4557" w:rsidRPr="00EE4557">
              <w:rPr>
                <w:rStyle w:val="Hyperlink"/>
                <w:rFonts w:ascii="Arial Narrow" w:hAnsi="Arial Narrow"/>
                <w:noProof/>
                <w:sz w:val="20"/>
                <w:szCs w:val="20"/>
              </w:rPr>
              <w:t>1.2.4.</w:t>
            </w:r>
            <w:r w:rsidR="00EE4557" w:rsidRPr="00EE4557">
              <w:rPr>
                <w:rFonts w:ascii="Arial Narrow" w:eastAsiaTheme="minorEastAsia" w:hAnsi="Arial Narrow" w:cstheme="minorBidi"/>
                <w:noProof/>
                <w:sz w:val="20"/>
                <w:szCs w:val="20"/>
              </w:rPr>
              <w:tab/>
            </w:r>
            <w:r w:rsidR="00EE4557" w:rsidRPr="00EE4557">
              <w:rPr>
                <w:rStyle w:val="Hyperlink"/>
                <w:rFonts w:ascii="Arial Narrow" w:hAnsi="Arial Narrow"/>
                <w:noProof/>
                <w:sz w:val="20"/>
                <w:szCs w:val="20"/>
              </w:rPr>
              <w:t>Схема за предлагане на плодове, зеленчуци, мляко и млечни продукти в детските градини и училищата в България (схема „Училищен плод“ и схема „Училищно мляко“)</w:t>
            </w:r>
            <w:r w:rsidR="00EE4557" w:rsidRPr="00EE4557">
              <w:rPr>
                <w:rFonts w:ascii="Arial Narrow" w:hAnsi="Arial Narrow"/>
                <w:noProof/>
                <w:webHidden/>
                <w:sz w:val="20"/>
                <w:szCs w:val="20"/>
              </w:rPr>
              <w:tab/>
            </w:r>
            <w:r w:rsidR="00EE4557" w:rsidRPr="00EE4557">
              <w:rPr>
                <w:rFonts w:ascii="Arial Narrow" w:hAnsi="Arial Narrow"/>
                <w:noProof/>
                <w:webHidden/>
                <w:sz w:val="20"/>
                <w:szCs w:val="20"/>
              </w:rPr>
              <w:fldChar w:fldCharType="begin"/>
            </w:r>
            <w:r w:rsidR="00EE4557" w:rsidRPr="00EE4557">
              <w:rPr>
                <w:rFonts w:ascii="Arial Narrow" w:hAnsi="Arial Narrow"/>
                <w:noProof/>
                <w:webHidden/>
                <w:sz w:val="20"/>
                <w:szCs w:val="20"/>
              </w:rPr>
              <w:instrText xml:space="preserve"> PAGEREF _Toc210747583 \h </w:instrText>
            </w:r>
            <w:r w:rsidR="00EE4557" w:rsidRPr="00EE4557">
              <w:rPr>
                <w:rFonts w:ascii="Arial Narrow" w:hAnsi="Arial Narrow"/>
                <w:noProof/>
                <w:webHidden/>
                <w:sz w:val="20"/>
                <w:szCs w:val="20"/>
              </w:rPr>
            </w:r>
            <w:r w:rsidR="00EE4557" w:rsidRPr="00EE4557">
              <w:rPr>
                <w:rFonts w:ascii="Arial Narrow" w:hAnsi="Arial Narrow"/>
                <w:noProof/>
                <w:webHidden/>
                <w:sz w:val="20"/>
                <w:szCs w:val="20"/>
              </w:rPr>
              <w:fldChar w:fldCharType="separate"/>
            </w:r>
            <w:r w:rsidR="00211D64">
              <w:rPr>
                <w:rFonts w:ascii="Arial Narrow" w:hAnsi="Arial Narrow"/>
                <w:noProof/>
                <w:webHidden/>
                <w:sz w:val="20"/>
                <w:szCs w:val="20"/>
              </w:rPr>
              <w:t>82</w:t>
            </w:r>
            <w:r w:rsidR="00EE4557" w:rsidRPr="00EE4557">
              <w:rPr>
                <w:rFonts w:ascii="Arial Narrow" w:hAnsi="Arial Narrow"/>
                <w:noProof/>
                <w:webHidden/>
                <w:sz w:val="20"/>
                <w:szCs w:val="20"/>
              </w:rPr>
              <w:fldChar w:fldCharType="end"/>
            </w:r>
          </w:hyperlink>
        </w:p>
        <w:p w14:paraId="2352B57F" w14:textId="77777777" w:rsidR="00EE4557" w:rsidRPr="00EE4557" w:rsidRDefault="00816B15">
          <w:pPr>
            <w:pStyle w:val="TOC1"/>
            <w:rPr>
              <w:rFonts w:ascii="Arial Narrow" w:eastAsiaTheme="minorEastAsia" w:hAnsi="Arial Narrow" w:cstheme="minorBidi"/>
              <w:noProof/>
              <w:sz w:val="20"/>
              <w:szCs w:val="20"/>
            </w:rPr>
          </w:pPr>
          <w:hyperlink w:anchor="_Toc210747584" w:history="1">
            <w:r w:rsidR="00EE4557" w:rsidRPr="00EE4557">
              <w:rPr>
                <w:rStyle w:val="Hyperlink"/>
                <w:rFonts w:ascii="Arial Narrow" w:hAnsi="Arial Narrow"/>
                <w:noProof/>
                <w:sz w:val="20"/>
                <w:szCs w:val="20"/>
              </w:rPr>
              <w:t>1.2.5.</w:t>
            </w:r>
            <w:r w:rsidR="00EE4557" w:rsidRPr="00EE4557">
              <w:rPr>
                <w:rFonts w:ascii="Arial Narrow" w:eastAsiaTheme="minorEastAsia" w:hAnsi="Arial Narrow" w:cstheme="minorBidi"/>
                <w:noProof/>
                <w:sz w:val="20"/>
                <w:szCs w:val="20"/>
              </w:rPr>
              <w:tab/>
            </w:r>
            <w:r w:rsidR="00EE4557" w:rsidRPr="00EE4557">
              <w:rPr>
                <w:rStyle w:val="Hyperlink"/>
                <w:rFonts w:ascii="Arial Narrow" w:hAnsi="Arial Narrow"/>
                <w:noProof/>
                <w:sz w:val="20"/>
                <w:szCs w:val="20"/>
              </w:rPr>
              <w:t>Сектор „Пчеларство“</w:t>
            </w:r>
            <w:r w:rsidR="00EE4557" w:rsidRPr="00EE4557">
              <w:rPr>
                <w:rFonts w:ascii="Arial Narrow" w:hAnsi="Arial Narrow"/>
                <w:noProof/>
                <w:webHidden/>
                <w:sz w:val="20"/>
                <w:szCs w:val="20"/>
              </w:rPr>
              <w:tab/>
            </w:r>
            <w:r w:rsidR="00EE4557" w:rsidRPr="00EE4557">
              <w:rPr>
                <w:rFonts w:ascii="Arial Narrow" w:hAnsi="Arial Narrow"/>
                <w:noProof/>
                <w:webHidden/>
                <w:sz w:val="20"/>
                <w:szCs w:val="20"/>
              </w:rPr>
              <w:fldChar w:fldCharType="begin"/>
            </w:r>
            <w:r w:rsidR="00EE4557" w:rsidRPr="00EE4557">
              <w:rPr>
                <w:rFonts w:ascii="Arial Narrow" w:hAnsi="Arial Narrow"/>
                <w:noProof/>
                <w:webHidden/>
                <w:sz w:val="20"/>
                <w:szCs w:val="20"/>
              </w:rPr>
              <w:instrText xml:space="preserve"> PAGEREF _Toc210747584 \h </w:instrText>
            </w:r>
            <w:r w:rsidR="00EE4557" w:rsidRPr="00EE4557">
              <w:rPr>
                <w:rFonts w:ascii="Arial Narrow" w:hAnsi="Arial Narrow"/>
                <w:noProof/>
                <w:webHidden/>
                <w:sz w:val="20"/>
                <w:szCs w:val="20"/>
              </w:rPr>
            </w:r>
            <w:r w:rsidR="00EE4557" w:rsidRPr="00EE4557">
              <w:rPr>
                <w:rFonts w:ascii="Arial Narrow" w:hAnsi="Arial Narrow"/>
                <w:noProof/>
                <w:webHidden/>
                <w:sz w:val="20"/>
                <w:szCs w:val="20"/>
              </w:rPr>
              <w:fldChar w:fldCharType="separate"/>
            </w:r>
            <w:r w:rsidR="00211D64">
              <w:rPr>
                <w:rFonts w:ascii="Arial Narrow" w:hAnsi="Arial Narrow"/>
                <w:noProof/>
                <w:webHidden/>
                <w:sz w:val="20"/>
                <w:szCs w:val="20"/>
              </w:rPr>
              <w:t>83</w:t>
            </w:r>
            <w:r w:rsidR="00EE4557" w:rsidRPr="00EE4557">
              <w:rPr>
                <w:rFonts w:ascii="Arial Narrow" w:hAnsi="Arial Narrow"/>
                <w:noProof/>
                <w:webHidden/>
                <w:sz w:val="20"/>
                <w:szCs w:val="20"/>
              </w:rPr>
              <w:fldChar w:fldCharType="end"/>
            </w:r>
          </w:hyperlink>
        </w:p>
        <w:p w14:paraId="37098B86" w14:textId="77777777" w:rsidR="00EE4557" w:rsidRPr="00EE4557" w:rsidRDefault="00816B15">
          <w:pPr>
            <w:pStyle w:val="TOC1"/>
            <w:rPr>
              <w:rFonts w:ascii="Arial Narrow" w:eastAsiaTheme="minorEastAsia" w:hAnsi="Arial Narrow" w:cstheme="minorBidi"/>
              <w:noProof/>
              <w:sz w:val="20"/>
              <w:szCs w:val="20"/>
            </w:rPr>
          </w:pPr>
          <w:hyperlink w:anchor="_Toc210747585" w:history="1">
            <w:r w:rsidR="00EE4557" w:rsidRPr="00EE4557">
              <w:rPr>
                <w:rStyle w:val="Hyperlink"/>
                <w:rFonts w:ascii="Arial Narrow" w:hAnsi="Arial Narrow"/>
                <w:noProof/>
                <w:sz w:val="20"/>
                <w:szCs w:val="20"/>
              </w:rPr>
              <w:t>1.2.6.</w:t>
            </w:r>
            <w:r w:rsidR="00EE4557" w:rsidRPr="00EE4557">
              <w:rPr>
                <w:rFonts w:ascii="Arial Narrow" w:eastAsiaTheme="minorEastAsia" w:hAnsi="Arial Narrow" w:cstheme="minorBidi"/>
                <w:noProof/>
                <w:sz w:val="20"/>
                <w:szCs w:val="20"/>
              </w:rPr>
              <w:tab/>
            </w:r>
            <w:r w:rsidR="00EE4557" w:rsidRPr="00EE4557">
              <w:rPr>
                <w:rStyle w:val="Hyperlink"/>
                <w:rFonts w:ascii="Arial Narrow" w:hAnsi="Arial Narrow"/>
                <w:noProof/>
                <w:sz w:val="20"/>
                <w:szCs w:val="20"/>
              </w:rPr>
              <w:t>Сектор „Вино“</w:t>
            </w:r>
            <w:r w:rsidR="00EE4557" w:rsidRPr="00EE4557">
              <w:rPr>
                <w:rFonts w:ascii="Arial Narrow" w:hAnsi="Arial Narrow"/>
                <w:noProof/>
                <w:webHidden/>
                <w:sz w:val="20"/>
                <w:szCs w:val="20"/>
              </w:rPr>
              <w:tab/>
            </w:r>
            <w:r w:rsidR="00EE4557" w:rsidRPr="00EE4557">
              <w:rPr>
                <w:rFonts w:ascii="Arial Narrow" w:hAnsi="Arial Narrow"/>
                <w:noProof/>
                <w:webHidden/>
                <w:sz w:val="20"/>
                <w:szCs w:val="20"/>
              </w:rPr>
              <w:fldChar w:fldCharType="begin"/>
            </w:r>
            <w:r w:rsidR="00EE4557" w:rsidRPr="00EE4557">
              <w:rPr>
                <w:rFonts w:ascii="Arial Narrow" w:hAnsi="Arial Narrow"/>
                <w:noProof/>
                <w:webHidden/>
                <w:sz w:val="20"/>
                <w:szCs w:val="20"/>
              </w:rPr>
              <w:instrText xml:space="preserve"> PAGEREF _Toc210747585 \h </w:instrText>
            </w:r>
            <w:r w:rsidR="00EE4557" w:rsidRPr="00EE4557">
              <w:rPr>
                <w:rFonts w:ascii="Arial Narrow" w:hAnsi="Arial Narrow"/>
                <w:noProof/>
                <w:webHidden/>
                <w:sz w:val="20"/>
                <w:szCs w:val="20"/>
              </w:rPr>
            </w:r>
            <w:r w:rsidR="00EE4557" w:rsidRPr="00EE4557">
              <w:rPr>
                <w:rFonts w:ascii="Arial Narrow" w:hAnsi="Arial Narrow"/>
                <w:noProof/>
                <w:webHidden/>
                <w:sz w:val="20"/>
                <w:szCs w:val="20"/>
              </w:rPr>
              <w:fldChar w:fldCharType="separate"/>
            </w:r>
            <w:r w:rsidR="00211D64">
              <w:rPr>
                <w:rFonts w:ascii="Arial Narrow" w:hAnsi="Arial Narrow"/>
                <w:noProof/>
                <w:webHidden/>
                <w:sz w:val="20"/>
                <w:szCs w:val="20"/>
              </w:rPr>
              <w:t>83</w:t>
            </w:r>
            <w:r w:rsidR="00EE4557" w:rsidRPr="00EE4557">
              <w:rPr>
                <w:rFonts w:ascii="Arial Narrow" w:hAnsi="Arial Narrow"/>
                <w:noProof/>
                <w:webHidden/>
                <w:sz w:val="20"/>
                <w:szCs w:val="20"/>
              </w:rPr>
              <w:fldChar w:fldCharType="end"/>
            </w:r>
          </w:hyperlink>
        </w:p>
        <w:p w14:paraId="043A6AFA" w14:textId="77777777" w:rsidR="00EE4557" w:rsidRPr="00EE4557" w:rsidRDefault="00816B15">
          <w:pPr>
            <w:pStyle w:val="TOC1"/>
            <w:rPr>
              <w:rFonts w:ascii="Arial Narrow" w:eastAsiaTheme="minorEastAsia" w:hAnsi="Arial Narrow" w:cstheme="minorBidi"/>
              <w:noProof/>
              <w:sz w:val="20"/>
              <w:szCs w:val="20"/>
            </w:rPr>
          </w:pPr>
          <w:hyperlink w:anchor="_Toc210747586" w:history="1">
            <w:r w:rsidR="00EE4557" w:rsidRPr="00EE4557">
              <w:rPr>
                <w:rStyle w:val="Hyperlink"/>
                <w:rFonts w:ascii="Arial Narrow" w:hAnsi="Arial Narrow"/>
                <w:noProof/>
                <w:sz w:val="20"/>
                <w:szCs w:val="20"/>
              </w:rPr>
              <w:t>1.2.7.</w:t>
            </w:r>
            <w:r w:rsidR="00EE4557" w:rsidRPr="00EE4557">
              <w:rPr>
                <w:rFonts w:ascii="Arial Narrow" w:eastAsiaTheme="minorEastAsia" w:hAnsi="Arial Narrow" w:cstheme="minorBidi"/>
                <w:noProof/>
                <w:sz w:val="20"/>
                <w:szCs w:val="20"/>
              </w:rPr>
              <w:tab/>
            </w:r>
            <w:r w:rsidR="00EE4557" w:rsidRPr="00EE4557">
              <w:rPr>
                <w:rStyle w:val="Hyperlink"/>
                <w:rFonts w:ascii="Arial Narrow" w:hAnsi="Arial Narrow"/>
                <w:noProof/>
                <w:sz w:val="20"/>
                <w:szCs w:val="20"/>
              </w:rPr>
              <w:t>Публична интервенция и частно складиране</w:t>
            </w:r>
            <w:r w:rsidR="00EE4557" w:rsidRPr="00EE4557">
              <w:rPr>
                <w:rFonts w:ascii="Arial Narrow" w:hAnsi="Arial Narrow"/>
                <w:noProof/>
                <w:webHidden/>
                <w:sz w:val="20"/>
                <w:szCs w:val="20"/>
              </w:rPr>
              <w:tab/>
            </w:r>
            <w:r w:rsidR="00EE4557" w:rsidRPr="00EE4557">
              <w:rPr>
                <w:rFonts w:ascii="Arial Narrow" w:hAnsi="Arial Narrow"/>
                <w:noProof/>
                <w:webHidden/>
                <w:sz w:val="20"/>
                <w:szCs w:val="20"/>
              </w:rPr>
              <w:fldChar w:fldCharType="begin"/>
            </w:r>
            <w:r w:rsidR="00EE4557" w:rsidRPr="00EE4557">
              <w:rPr>
                <w:rFonts w:ascii="Arial Narrow" w:hAnsi="Arial Narrow"/>
                <w:noProof/>
                <w:webHidden/>
                <w:sz w:val="20"/>
                <w:szCs w:val="20"/>
              </w:rPr>
              <w:instrText xml:space="preserve"> PAGEREF _Toc210747586 \h </w:instrText>
            </w:r>
            <w:r w:rsidR="00EE4557" w:rsidRPr="00EE4557">
              <w:rPr>
                <w:rFonts w:ascii="Arial Narrow" w:hAnsi="Arial Narrow"/>
                <w:noProof/>
                <w:webHidden/>
                <w:sz w:val="20"/>
                <w:szCs w:val="20"/>
              </w:rPr>
            </w:r>
            <w:r w:rsidR="00EE4557" w:rsidRPr="00EE4557">
              <w:rPr>
                <w:rFonts w:ascii="Arial Narrow" w:hAnsi="Arial Narrow"/>
                <w:noProof/>
                <w:webHidden/>
                <w:sz w:val="20"/>
                <w:szCs w:val="20"/>
              </w:rPr>
              <w:fldChar w:fldCharType="separate"/>
            </w:r>
            <w:r w:rsidR="00211D64">
              <w:rPr>
                <w:rFonts w:ascii="Arial Narrow" w:hAnsi="Arial Narrow"/>
                <w:noProof/>
                <w:webHidden/>
                <w:sz w:val="20"/>
                <w:szCs w:val="20"/>
              </w:rPr>
              <w:t>87</w:t>
            </w:r>
            <w:r w:rsidR="00EE4557" w:rsidRPr="00EE4557">
              <w:rPr>
                <w:rFonts w:ascii="Arial Narrow" w:hAnsi="Arial Narrow"/>
                <w:noProof/>
                <w:webHidden/>
                <w:sz w:val="20"/>
                <w:szCs w:val="20"/>
              </w:rPr>
              <w:fldChar w:fldCharType="end"/>
            </w:r>
          </w:hyperlink>
        </w:p>
        <w:p w14:paraId="50269D62" w14:textId="77777777" w:rsidR="00EE4557" w:rsidRPr="00EE4557" w:rsidRDefault="00816B15">
          <w:pPr>
            <w:pStyle w:val="TOC1"/>
            <w:rPr>
              <w:rFonts w:ascii="Arial Narrow" w:eastAsiaTheme="minorEastAsia" w:hAnsi="Arial Narrow" w:cstheme="minorBidi"/>
              <w:noProof/>
              <w:sz w:val="20"/>
              <w:szCs w:val="20"/>
            </w:rPr>
          </w:pPr>
          <w:hyperlink w:anchor="_Toc210747587" w:history="1">
            <w:r w:rsidR="00EE4557" w:rsidRPr="00EE4557">
              <w:rPr>
                <w:rStyle w:val="Hyperlink"/>
                <w:rFonts w:ascii="Arial Narrow" w:hAnsi="Arial Narrow"/>
                <w:noProof/>
                <w:sz w:val="20"/>
                <w:szCs w:val="20"/>
              </w:rPr>
              <w:t>1.2.8.</w:t>
            </w:r>
            <w:r w:rsidR="00EE4557" w:rsidRPr="00EE4557">
              <w:rPr>
                <w:rFonts w:ascii="Arial Narrow" w:eastAsiaTheme="minorEastAsia" w:hAnsi="Arial Narrow" w:cstheme="minorBidi"/>
                <w:noProof/>
                <w:sz w:val="20"/>
                <w:szCs w:val="20"/>
              </w:rPr>
              <w:tab/>
            </w:r>
            <w:r w:rsidR="00EE4557" w:rsidRPr="00EE4557">
              <w:rPr>
                <w:rStyle w:val="Hyperlink"/>
                <w:rFonts w:ascii="Arial Narrow" w:hAnsi="Arial Narrow"/>
                <w:noProof/>
                <w:sz w:val="20"/>
                <w:szCs w:val="20"/>
              </w:rPr>
              <w:t>Сектор „Захар“</w:t>
            </w:r>
            <w:r w:rsidR="00EE4557" w:rsidRPr="00EE4557">
              <w:rPr>
                <w:rFonts w:ascii="Arial Narrow" w:hAnsi="Arial Narrow"/>
                <w:noProof/>
                <w:webHidden/>
                <w:sz w:val="20"/>
                <w:szCs w:val="20"/>
              </w:rPr>
              <w:tab/>
            </w:r>
            <w:r w:rsidR="00EE4557" w:rsidRPr="00EE4557">
              <w:rPr>
                <w:rFonts w:ascii="Arial Narrow" w:hAnsi="Arial Narrow"/>
                <w:noProof/>
                <w:webHidden/>
                <w:sz w:val="20"/>
                <w:szCs w:val="20"/>
              </w:rPr>
              <w:fldChar w:fldCharType="begin"/>
            </w:r>
            <w:r w:rsidR="00EE4557" w:rsidRPr="00EE4557">
              <w:rPr>
                <w:rFonts w:ascii="Arial Narrow" w:hAnsi="Arial Narrow"/>
                <w:noProof/>
                <w:webHidden/>
                <w:sz w:val="20"/>
                <w:szCs w:val="20"/>
              </w:rPr>
              <w:instrText xml:space="preserve"> PAGEREF _Toc210747587 \h </w:instrText>
            </w:r>
            <w:r w:rsidR="00EE4557" w:rsidRPr="00EE4557">
              <w:rPr>
                <w:rFonts w:ascii="Arial Narrow" w:hAnsi="Arial Narrow"/>
                <w:noProof/>
                <w:webHidden/>
                <w:sz w:val="20"/>
                <w:szCs w:val="20"/>
              </w:rPr>
            </w:r>
            <w:r w:rsidR="00EE4557" w:rsidRPr="00EE4557">
              <w:rPr>
                <w:rFonts w:ascii="Arial Narrow" w:hAnsi="Arial Narrow"/>
                <w:noProof/>
                <w:webHidden/>
                <w:sz w:val="20"/>
                <w:szCs w:val="20"/>
              </w:rPr>
              <w:fldChar w:fldCharType="separate"/>
            </w:r>
            <w:r w:rsidR="00211D64">
              <w:rPr>
                <w:rFonts w:ascii="Arial Narrow" w:hAnsi="Arial Narrow"/>
                <w:noProof/>
                <w:webHidden/>
                <w:sz w:val="20"/>
                <w:szCs w:val="20"/>
              </w:rPr>
              <w:t>87</w:t>
            </w:r>
            <w:r w:rsidR="00EE4557" w:rsidRPr="00EE4557">
              <w:rPr>
                <w:rFonts w:ascii="Arial Narrow" w:hAnsi="Arial Narrow"/>
                <w:noProof/>
                <w:webHidden/>
                <w:sz w:val="20"/>
                <w:szCs w:val="20"/>
              </w:rPr>
              <w:fldChar w:fldCharType="end"/>
            </w:r>
          </w:hyperlink>
        </w:p>
        <w:p w14:paraId="7470AB04" w14:textId="77777777" w:rsidR="00EE4557" w:rsidRPr="00EE4557" w:rsidRDefault="00816B15">
          <w:pPr>
            <w:pStyle w:val="TOC1"/>
            <w:rPr>
              <w:rFonts w:ascii="Arial Narrow" w:eastAsiaTheme="minorEastAsia" w:hAnsi="Arial Narrow" w:cstheme="minorBidi"/>
              <w:noProof/>
              <w:sz w:val="20"/>
              <w:szCs w:val="20"/>
            </w:rPr>
          </w:pPr>
          <w:hyperlink w:anchor="_Toc210747588" w:history="1">
            <w:r w:rsidR="00EE4557" w:rsidRPr="00EE4557">
              <w:rPr>
                <w:rStyle w:val="Hyperlink"/>
                <w:rFonts w:ascii="Arial Narrow" w:hAnsi="Arial Narrow"/>
                <w:noProof/>
                <w:sz w:val="20"/>
                <w:szCs w:val="20"/>
              </w:rPr>
              <w:t>1.2.9.</w:t>
            </w:r>
            <w:r w:rsidR="00EE4557" w:rsidRPr="00EE4557">
              <w:rPr>
                <w:rFonts w:ascii="Arial Narrow" w:eastAsiaTheme="minorEastAsia" w:hAnsi="Arial Narrow" w:cstheme="minorBidi"/>
                <w:noProof/>
                <w:sz w:val="20"/>
                <w:szCs w:val="20"/>
              </w:rPr>
              <w:tab/>
            </w:r>
            <w:r w:rsidR="00EE4557" w:rsidRPr="00EE4557">
              <w:rPr>
                <w:rStyle w:val="Hyperlink"/>
                <w:rFonts w:ascii="Arial Narrow" w:hAnsi="Arial Narrow"/>
                <w:noProof/>
                <w:sz w:val="20"/>
                <w:szCs w:val="20"/>
              </w:rPr>
              <w:t>Промоционални програми</w:t>
            </w:r>
            <w:r w:rsidR="00EE4557" w:rsidRPr="00EE4557">
              <w:rPr>
                <w:rFonts w:ascii="Arial Narrow" w:hAnsi="Arial Narrow"/>
                <w:noProof/>
                <w:webHidden/>
                <w:sz w:val="20"/>
                <w:szCs w:val="20"/>
              </w:rPr>
              <w:tab/>
            </w:r>
            <w:r w:rsidR="00EE4557" w:rsidRPr="00EE4557">
              <w:rPr>
                <w:rFonts w:ascii="Arial Narrow" w:hAnsi="Arial Narrow"/>
                <w:noProof/>
                <w:webHidden/>
                <w:sz w:val="20"/>
                <w:szCs w:val="20"/>
              </w:rPr>
              <w:fldChar w:fldCharType="begin"/>
            </w:r>
            <w:r w:rsidR="00EE4557" w:rsidRPr="00EE4557">
              <w:rPr>
                <w:rFonts w:ascii="Arial Narrow" w:hAnsi="Arial Narrow"/>
                <w:noProof/>
                <w:webHidden/>
                <w:sz w:val="20"/>
                <w:szCs w:val="20"/>
              </w:rPr>
              <w:instrText xml:space="preserve"> PAGEREF _Toc210747588 \h </w:instrText>
            </w:r>
            <w:r w:rsidR="00EE4557" w:rsidRPr="00EE4557">
              <w:rPr>
                <w:rFonts w:ascii="Arial Narrow" w:hAnsi="Arial Narrow"/>
                <w:noProof/>
                <w:webHidden/>
                <w:sz w:val="20"/>
                <w:szCs w:val="20"/>
              </w:rPr>
            </w:r>
            <w:r w:rsidR="00EE4557" w:rsidRPr="00EE4557">
              <w:rPr>
                <w:rFonts w:ascii="Arial Narrow" w:hAnsi="Arial Narrow"/>
                <w:noProof/>
                <w:webHidden/>
                <w:sz w:val="20"/>
                <w:szCs w:val="20"/>
              </w:rPr>
              <w:fldChar w:fldCharType="separate"/>
            </w:r>
            <w:r w:rsidR="00211D64">
              <w:rPr>
                <w:rFonts w:ascii="Arial Narrow" w:hAnsi="Arial Narrow"/>
                <w:noProof/>
                <w:webHidden/>
                <w:sz w:val="20"/>
                <w:szCs w:val="20"/>
              </w:rPr>
              <w:t>87</w:t>
            </w:r>
            <w:r w:rsidR="00EE4557" w:rsidRPr="00EE4557">
              <w:rPr>
                <w:rFonts w:ascii="Arial Narrow" w:hAnsi="Arial Narrow"/>
                <w:noProof/>
                <w:webHidden/>
                <w:sz w:val="20"/>
                <w:szCs w:val="20"/>
              </w:rPr>
              <w:fldChar w:fldCharType="end"/>
            </w:r>
          </w:hyperlink>
        </w:p>
        <w:p w14:paraId="215DA04E" w14:textId="77777777" w:rsidR="00EE4557" w:rsidRPr="00EE4557" w:rsidRDefault="00816B15">
          <w:pPr>
            <w:pStyle w:val="TOC1"/>
            <w:rPr>
              <w:rFonts w:ascii="Arial Narrow" w:eastAsiaTheme="minorEastAsia" w:hAnsi="Arial Narrow" w:cstheme="minorBidi"/>
              <w:noProof/>
              <w:sz w:val="20"/>
              <w:szCs w:val="20"/>
            </w:rPr>
          </w:pPr>
          <w:hyperlink w:anchor="_Toc210747589" w:history="1">
            <w:r w:rsidR="00EE4557" w:rsidRPr="00EE4557">
              <w:rPr>
                <w:rStyle w:val="Hyperlink"/>
                <w:rFonts w:ascii="Arial Narrow" w:hAnsi="Arial Narrow"/>
                <w:bCs/>
                <w:noProof/>
                <w:sz w:val="20"/>
                <w:szCs w:val="20"/>
              </w:rPr>
              <w:t>1.2.10.</w:t>
            </w:r>
            <w:r w:rsidR="00EE4557" w:rsidRPr="00EE4557">
              <w:rPr>
                <w:rFonts w:ascii="Arial Narrow" w:eastAsiaTheme="minorEastAsia" w:hAnsi="Arial Narrow" w:cstheme="minorBidi"/>
                <w:noProof/>
                <w:sz w:val="20"/>
                <w:szCs w:val="20"/>
              </w:rPr>
              <w:tab/>
            </w:r>
            <w:r w:rsidR="00EE4557" w:rsidRPr="00EE4557">
              <w:rPr>
                <w:rStyle w:val="Hyperlink"/>
                <w:rFonts w:ascii="Arial Narrow" w:hAnsi="Arial Narrow"/>
                <w:noProof/>
                <w:sz w:val="20"/>
                <w:szCs w:val="20"/>
              </w:rPr>
              <w:t>Политика на качество</w:t>
            </w:r>
            <w:r w:rsidR="00EE4557" w:rsidRPr="00EE4557">
              <w:rPr>
                <w:rFonts w:ascii="Arial Narrow" w:hAnsi="Arial Narrow"/>
                <w:noProof/>
                <w:webHidden/>
                <w:sz w:val="20"/>
                <w:szCs w:val="20"/>
              </w:rPr>
              <w:tab/>
            </w:r>
            <w:r w:rsidR="00EE4557" w:rsidRPr="00EE4557">
              <w:rPr>
                <w:rFonts w:ascii="Arial Narrow" w:hAnsi="Arial Narrow"/>
                <w:noProof/>
                <w:webHidden/>
                <w:sz w:val="20"/>
                <w:szCs w:val="20"/>
              </w:rPr>
              <w:fldChar w:fldCharType="begin"/>
            </w:r>
            <w:r w:rsidR="00EE4557" w:rsidRPr="00EE4557">
              <w:rPr>
                <w:rFonts w:ascii="Arial Narrow" w:hAnsi="Arial Narrow"/>
                <w:noProof/>
                <w:webHidden/>
                <w:sz w:val="20"/>
                <w:szCs w:val="20"/>
              </w:rPr>
              <w:instrText xml:space="preserve"> PAGEREF _Toc210747589 \h </w:instrText>
            </w:r>
            <w:r w:rsidR="00EE4557" w:rsidRPr="00EE4557">
              <w:rPr>
                <w:rFonts w:ascii="Arial Narrow" w:hAnsi="Arial Narrow"/>
                <w:noProof/>
                <w:webHidden/>
                <w:sz w:val="20"/>
                <w:szCs w:val="20"/>
              </w:rPr>
            </w:r>
            <w:r w:rsidR="00EE4557" w:rsidRPr="00EE4557">
              <w:rPr>
                <w:rFonts w:ascii="Arial Narrow" w:hAnsi="Arial Narrow"/>
                <w:noProof/>
                <w:webHidden/>
                <w:sz w:val="20"/>
                <w:szCs w:val="20"/>
              </w:rPr>
              <w:fldChar w:fldCharType="separate"/>
            </w:r>
            <w:r w:rsidR="00211D64">
              <w:rPr>
                <w:rFonts w:ascii="Arial Narrow" w:hAnsi="Arial Narrow"/>
                <w:noProof/>
                <w:webHidden/>
                <w:sz w:val="20"/>
                <w:szCs w:val="20"/>
              </w:rPr>
              <w:t>87</w:t>
            </w:r>
            <w:r w:rsidR="00EE4557" w:rsidRPr="00EE4557">
              <w:rPr>
                <w:rFonts w:ascii="Arial Narrow" w:hAnsi="Arial Narrow"/>
                <w:noProof/>
                <w:webHidden/>
                <w:sz w:val="20"/>
                <w:szCs w:val="20"/>
              </w:rPr>
              <w:fldChar w:fldCharType="end"/>
            </w:r>
          </w:hyperlink>
        </w:p>
        <w:p w14:paraId="1FDBA0E3" w14:textId="77777777" w:rsidR="00EE4557" w:rsidRPr="00EE4557" w:rsidRDefault="00816B15">
          <w:pPr>
            <w:pStyle w:val="TOC1"/>
            <w:rPr>
              <w:rFonts w:ascii="Arial Narrow" w:eastAsiaTheme="minorEastAsia" w:hAnsi="Arial Narrow" w:cstheme="minorBidi"/>
              <w:noProof/>
              <w:sz w:val="20"/>
              <w:szCs w:val="20"/>
            </w:rPr>
          </w:pPr>
          <w:hyperlink w:anchor="_Toc210747590" w:history="1">
            <w:r w:rsidR="00EE4557" w:rsidRPr="00EE4557">
              <w:rPr>
                <w:rStyle w:val="Hyperlink"/>
                <w:rFonts w:ascii="Arial Narrow" w:hAnsi="Arial Narrow"/>
                <w:noProof/>
                <w:sz w:val="20"/>
                <w:szCs w:val="20"/>
              </w:rPr>
              <w:t>1.2.11.</w:t>
            </w:r>
            <w:r w:rsidR="00EE4557" w:rsidRPr="00EE4557">
              <w:rPr>
                <w:rFonts w:ascii="Arial Narrow" w:eastAsiaTheme="minorEastAsia" w:hAnsi="Arial Narrow" w:cstheme="minorBidi"/>
                <w:noProof/>
                <w:sz w:val="20"/>
                <w:szCs w:val="20"/>
              </w:rPr>
              <w:tab/>
            </w:r>
            <w:r w:rsidR="00EE4557" w:rsidRPr="00EE4557">
              <w:rPr>
                <w:rStyle w:val="Hyperlink"/>
                <w:rFonts w:ascii="Arial Narrow" w:hAnsi="Arial Narrow"/>
                <w:noProof/>
                <w:sz w:val="20"/>
                <w:szCs w:val="20"/>
              </w:rPr>
              <w:t>Схема „Временни извънредни мерки“</w:t>
            </w:r>
            <w:r w:rsidR="00EE4557" w:rsidRPr="00EE4557">
              <w:rPr>
                <w:rFonts w:ascii="Arial Narrow" w:hAnsi="Arial Narrow"/>
                <w:noProof/>
                <w:webHidden/>
                <w:sz w:val="20"/>
                <w:szCs w:val="20"/>
              </w:rPr>
              <w:tab/>
            </w:r>
            <w:r w:rsidR="00EE4557" w:rsidRPr="00EE4557">
              <w:rPr>
                <w:rFonts w:ascii="Arial Narrow" w:hAnsi="Arial Narrow"/>
                <w:noProof/>
                <w:webHidden/>
                <w:sz w:val="20"/>
                <w:szCs w:val="20"/>
              </w:rPr>
              <w:fldChar w:fldCharType="begin"/>
            </w:r>
            <w:r w:rsidR="00EE4557" w:rsidRPr="00EE4557">
              <w:rPr>
                <w:rFonts w:ascii="Arial Narrow" w:hAnsi="Arial Narrow"/>
                <w:noProof/>
                <w:webHidden/>
                <w:sz w:val="20"/>
                <w:szCs w:val="20"/>
              </w:rPr>
              <w:instrText xml:space="preserve"> PAGEREF _Toc210747590 \h </w:instrText>
            </w:r>
            <w:r w:rsidR="00EE4557" w:rsidRPr="00EE4557">
              <w:rPr>
                <w:rFonts w:ascii="Arial Narrow" w:hAnsi="Arial Narrow"/>
                <w:noProof/>
                <w:webHidden/>
                <w:sz w:val="20"/>
                <w:szCs w:val="20"/>
              </w:rPr>
            </w:r>
            <w:r w:rsidR="00EE4557" w:rsidRPr="00EE4557">
              <w:rPr>
                <w:rFonts w:ascii="Arial Narrow" w:hAnsi="Arial Narrow"/>
                <w:noProof/>
                <w:webHidden/>
                <w:sz w:val="20"/>
                <w:szCs w:val="20"/>
              </w:rPr>
              <w:fldChar w:fldCharType="separate"/>
            </w:r>
            <w:r w:rsidR="00211D64">
              <w:rPr>
                <w:rFonts w:ascii="Arial Narrow" w:hAnsi="Arial Narrow"/>
                <w:noProof/>
                <w:webHidden/>
                <w:sz w:val="20"/>
                <w:szCs w:val="20"/>
              </w:rPr>
              <w:t>88</w:t>
            </w:r>
            <w:r w:rsidR="00EE4557" w:rsidRPr="00EE4557">
              <w:rPr>
                <w:rFonts w:ascii="Arial Narrow" w:hAnsi="Arial Narrow"/>
                <w:noProof/>
                <w:webHidden/>
                <w:sz w:val="20"/>
                <w:szCs w:val="20"/>
              </w:rPr>
              <w:fldChar w:fldCharType="end"/>
            </w:r>
          </w:hyperlink>
        </w:p>
        <w:p w14:paraId="47B7E20E" w14:textId="77777777" w:rsidR="00EE4557" w:rsidRPr="00EE4557" w:rsidRDefault="00816B15">
          <w:pPr>
            <w:pStyle w:val="TOC1"/>
            <w:rPr>
              <w:rFonts w:ascii="Arial Narrow" w:eastAsiaTheme="minorEastAsia" w:hAnsi="Arial Narrow" w:cstheme="minorBidi"/>
              <w:noProof/>
              <w:sz w:val="20"/>
              <w:szCs w:val="20"/>
            </w:rPr>
          </w:pPr>
          <w:hyperlink w:anchor="_Toc210747591" w:history="1">
            <w:r w:rsidR="00EE4557" w:rsidRPr="00EE4557">
              <w:rPr>
                <w:rStyle w:val="Hyperlink"/>
                <w:rFonts w:ascii="Arial Narrow" w:hAnsi="Arial Narrow"/>
                <w:bCs/>
                <w:noProof/>
                <w:sz w:val="20"/>
                <w:szCs w:val="20"/>
              </w:rPr>
              <w:t>1.2.12.</w:t>
            </w:r>
            <w:r w:rsidR="00EE4557" w:rsidRPr="00EE4557">
              <w:rPr>
                <w:rFonts w:ascii="Arial Narrow" w:eastAsiaTheme="minorEastAsia" w:hAnsi="Arial Narrow" w:cstheme="minorBidi"/>
                <w:noProof/>
                <w:sz w:val="20"/>
                <w:szCs w:val="20"/>
              </w:rPr>
              <w:tab/>
            </w:r>
            <w:r w:rsidR="00EE4557" w:rsidRPr="00EE4557">
              <w:rPr>
                <w:rStyle w:val="Hyperlink"/>
                <w:rFonts w:ascii="Arial Narrow" w:hAnsi="Arial Narrow"/>
                <w:bCs/>
                <w:noProof/>
                <w:sz w:val="20"/>
                <w:szCs w:val="20"/>
              </w:rPr>
              <w:t>Лицензиране на износа</w:t>
            </w:r>
            <w:r w:rsidR="00EE4557" w:rsidRPr="00EE4557">
              <w:rPr>
                <w:rFonts w:ascii="Arial Narrow" w:hAnsi="Arial Narrow"/>
                <w:noProof/>
                <w:webHidden/>
                <w:sz w:val="20"/>
                <w:szCs w:val="20"/>
              </w:rPr>
              <w:tab/>
            </w:r>
            <w:r w:rsidR="00EE4557" w:rsidRPr="00EE4557">
              <w:rPr>
                <w:rFonts w:ascii="Arial Narrow" w:hAnsi="Arial Narrow"/>
                <w:noProof/>
                <w:webHidden/>
                <w:sz w:val="20"/>
                <w:szCs w:val="20"/>
              </w:rPr>
              <w:fldChar w:fldCharType="begin"/>
            </w:r>
            <w:r w:rsidR="00EE4557" w:rsidRPr="00EE4557">
              <w:rPr>
                <w:rFonts w:ascii="Arial Narrow" w:hAnsi="Arial Narrow"/>
                <w:noProof/>
                <w:webHidden/>
                <w:sz w:val="20"/>
                <w:szCs w:val="20"/>
              </w:rPr>
              <w:instrText xml:space="preserve"> PAGEREF _Toc210747591 \h </w:instrText>
            </w:r>
            <w:r w:rsidR="00EE4557" w:rsidRPr="00EE4557">
              <w:rPr>
                <w:rFonts w:ascii="Arial Narrow" w:hAnsi="Arial Narrow"/>
                <w:noProof/>
                <w:webHidden/>
                <w:sz w:val="20"/>
                <w:szCs w:val="20"/>
              </w:rPr>
            </w:r>
            <w:r w:rsidR="00EE4557" w:rsidRPr="00EE4557">
              <w:rPr>
                <w:rFonts w:ascii="Arial Narrow" w:hAnsi="Arial Narrow"/>
                <w:noProof/>
                <w:webHidden/>
                <w:sz w:val="20"/>
                <w:szCs w:val="20"/>
              </w:rPr>
              <w:fldChar w:fldCharType="separate"/>
            </w:r>
            <w:r w:rsidR="00211D64">
              <w:rPr>
                <w:rFonts w:ascii="Arial Narrow" w:hAnsi="Arial Narrow"/>
                <w:noProof/>
                <w:webHidden/>
                <w:sz w:val="20"/>
                <w:szCs w:val="20"/>
              </w:rPr>
              <w:t>88</w:t>
            </w:r>
            <w:r w:rsidR="00EE4557" w:rsidRPr="00EE4557">
              <w:rPr>
                <w:rFonts w:ascii="Arial Narrow" w:hAnsi="Arial Narrow"/>
                <w:noProof/>
                <w:webHidden/>
                <w:sz w:val="20"/>
                <w:szCs w:val="20"/>
              </w:rPr>
              <w:fldChar w:fldCharType="end"/>
            </w:r>
          </w:hyperlink>
        </w:p>
        <w:p w14:paraId="746818C3" w14:textId="77777777" w:rsidR="00EE4557" w:rsidRPr="00EE4557" w:rsidRDefault="00816B15">
          <w:pPr>
            <w:pStyle w:val="TOC1"/>
            <w:rPr>
              <w:rFonts w:ascii="Arial Narrow" w:eastAsiaTheme="minorEastAsia" w:hAnsi="Arial Narrow" w:cstheme="minorBidi"/>
              <w:noProof/>
              <w:sz w:val="20"/>
              <w:szCs w:val="20"/>
            </w:rPr>
          </w:pPr>
          <w:hyperlink w:anchor="_Toc210747592" w:history="1">
            <w:r w:rsidR="00EE4557" w:rsidRPr="00EE4557">
              <w:rPr>
                <w:rStyle w:val="Hyperlink"/>
                <w:rFonts w:ascii="Arial Narrow" w:hAnsi="Arial Narrow"/>
                <w:bCs/>
                <w:noProof/>
                <w:sz w:val="20"/>
                <w:szCs w:val="20"/>
              </w:rPr>
              <w:t>1.2.13.</w:t>
            </w:r>
            <w:r w:rsidR="00EE4557" w:rsidRPr="00EE4557">
              <w:rPr>
                <w:rFonts w:ascii="Arial Narrow" w:eastAsiaTheme="minorEastAsia" w:hAnsi="Arial Narrow" w:cstheme="minorBidi"/>
                <w:noProof/>
                <w:sz w:val="20"/>
                <w:szCs w:val="20"/>
              </w:rPr>
              <w:tab/>
            </w:r>
            <w:r w:rsidR="00EE4557" w:rsidRPr="00EE4557">
              <w:rPr>
                <w:rStyle w:val="Hyperlink"/>
                <w:rFonts w:ascii="Arial Narrow" w:hAnsi="Arial Narrow"/>
                <w:bCs/>
                <w:noProof/>
                <w:sz w:val="20"/>
                <w:szCs w:val="20"/>
              </w:rPr>
              <w:t>Лицензиране на вноса на земеделски продукти от трети страни</w:t>
            </w:r>
            <w:r w:rsidR="00EE4557" w:rsidRPr="00EE4557">
              <w:rPr>
                <w:rFonts w:ascii="Arial Narrow" w:hAnsi="Arial Narrow"/>
                <w:noProof/>
                <w:webHidden/>
                <w:sz w:val="20"/>
                <w:szCs w:val="20"/>
              </w:rPr>
              <w:tab/>
            </w:r>
            <w:r w:rsidR="00EE4557" w:rsidRPr="00EE4557">
              <w:rPr>
                <w:rFonts w:ascii="Arial Narrow" w:hAnsi="Arial Narrow"/>
                <w:noProof/>
                <w:webHidden/>
                <w:sz w:val="20"/>
                <w:szCs w:val="20"/>
              </w:rPr>
              <w:fldChar w:fldCharType="begin"/>
            </w:r>
            <w:r w:rsidR="00EE4557" w:rsidRPr="00EE4557">
              <w:rPr>
                <w:rFonts w:ascii="Arial Narrow" w:hAnsi="Arial Narrow"/>
                <w:noProof/>
                <w:webHidden/>
                <w:sz w:val="20"/>
                <w:szCs w:val="20"/>
              </w:rPr>
              <w:instrText xml:space="preserve"> PAGEREF _Toc210747592 \h </w:instrText>
            </w:r>
            <w:r w:rsidR="00EE4557" w:rsidRPr="00EE4557">
              <w:rPr>
                <w:rFonts w:ascii="Arial Narrow" w:hAnsi="Arial Narrow"/>
                <w:noProof/>
                <w:webHidden/>
                <w:sz w:val="20"/>
                <w:szCs w:val="20"/>
              </w:rPr>
            </w:r>
            <w:r w:rsidR="00EE4557" w:rsidRPr="00EE4557">
              <w:rPr>
                <w:rFonts w:ascii="Arial Narrow" w:hAnsi="Arial Narrow"/>
                <w:noProof/>
                <w:webHidden/>
                <w:sz w:val="20"/>
                <w:szCs w:val="20"/>
              </w:rPr>
              <w:fldChar w:fldCharType="separate"/>
            </w:r>
            <w:r w:rsidR="00211D64">
              <w:rPr>
                <w:rFonts w:ascii="Arial Narrow" w:hAnsi="Arial Narrow"/>
                <w:noProof/>
                <w:webHidden/>
                <w:sz w:val="20"/>
                <w:szCs w:val="20"/>
              </w:rPr>
              <w:t>89</w:t>
            </w:r>
            <w:r w:rsidR="00EE4557" w:rsidRPr="00EE4557">
              <w:rPr>
                <w:rFonts w:ascii="Arial Narrow" w:hAnsi="Arial Narrow"/>
                <w:noProof/>
                <w:webHidden/>
                <w:sz w:val="20"/>
                <w:szCs w:val="20"/>
              </w:rPr>
              <w:fldChar w:fldCharType="end"/>
            </w:r>
          </w:hyperlink>
        </w:p>
        <w:p w14:paraId="588ADD56" w14:textId="77777777" w:rsidR="00EE4557" w:rsidRPr="00EE4557" w:rsidRDefault="00816B15">
          <w:pPr>
            <w:pStyle w:val="TOC1"/>
            <w:rPr>
              <w:rFonts w:ascii="Arial Narrow" w:eastAsiaTheme="minorEastAsia" w:hAnsi="Arial Narrow" w:cstheme="minorBidi"/>
              <w:noProof/>
              <w:sz w:val="20"/>
              <w:szCs w:val="20"/>
            </w:rPr>
          </w:pPr>
          <w:hyperlink w:anchor="_Toc210747593" w:history="1">
            <w:r w:rsidR="00EE4557" w:rsidRPr="00EE4557">
              <w:rPr>
                <w:rStyle w:val="Hyperlink"/>
                <w:rFonts w:ascii="Arial Narrow" w:hAnsi="Arial Narrow"/>
                <w:noProof/>
                <w:sz w:val="20"/>
                <w:szCs w:val="20"/>
                <w:lang w:val="bg-BG"/>
              </w:rPr>
              <w:t>2.</w:t>
            </w:r>
            <w:r w:rsidR="00EE4557" w:rsidRPr="00EE4557">
              <w:rPr>
                <w:rFonts w:ascii="Arial Narrow" w:eastAsiaTheme="minorEastAsia" w:hAnsi="Arial Narrow" w:cstheme="minorBidi"/>
                <w:noProof/>
                <w:sz w:val="20"/>
                <w:szCs w:val="20"/>
              </w:rPr>
              <w:tab/>
            </w:r>
            <w:r w:rsidR="00EE4557" w:rsidRPr="00EE4557">
              <w:rPr>
                <w:rStyle w:val="Hyperlink"/>
                <w:rFonts w:ascii="Arial Narrow" w:hAnsi="Arial Narrow"/>
                <w:noProof/>
                <w:sz w:val="20"/>
                <w:szCs w:val="20"/>
                <w:lang w:val="bg-BG"/>
              </w:rPr>
              <w:t>Подпомагане по Втори стълб на ОСП</w:t>
            </w:r>
            <w:r w:rsidR="00EE4557" w:rsidRPr="00EE4557">
              <w:rPr>
                <w:rFonts w:ascii="Arial Narrow" w:hAnsi="Arial Narrow"/>
                <w:noProof/>
                <w:webHidden/>
                <w:sz w:val="20"/>
                <w:szCs w:val="20"/>
              </w:rPr>
              <w:tab/>
            </w:r>
            <w:r w:rsidR="00EE4557" w:rsidRPr="00EE4557">
              <w:rPr>
                <w:rFonts w:ascii="Arial Narrow" w:hAnsi="Arial Narrow"/>
                <w:noProof/>
                <w:webHidden/>
                <w:sz w:val="20"/>
                <w:szCs w:val="20"/>
              </w:rPr>
              <w:fldChar w:fldCharType="begin"/>
            </w:r>
            <w:r w:rsidR="00EE4557" w:rsidRPr="00EE4557">
              <w:rPr>
                <w:rFonts w:ascii="Arial Narrow" w:hAnsi="Arial Narrow"/>
                <w:noProof/>
                <w:webHidden/>
                <w:sz w:val="20"/>
                <w:szCs w:val="20"/>
              </w:rPr>
              <w:instrText xml:space="preserve"> PAGEREF _Toc210747593 \h </w:instrText>
            </w:r>
            <w:r w:rsidR="00EE4557" w:rsidRPr="00EE4557">
              <w:rPr>
                <w:rFonts w:ascii="Arial Narrow" w:hAnsi="Arial Narrow"/>
                <w:noProof/>
                <w:webHidden/>
                <w:sz w:val="20"/>
                <w:szCs w:val="20"/>
              </w:rPr>
            </w:r>
            <w:r w:rsidR="00EE4557" w:rsidRPr="00EE4557">
              <w:rPr>
                <w:rFonts w:ascii="Arial Narrow" w:hAnsi="Arial Narrow"/>
                <w:noProof/>
                <w:webHidden/>
                <w:sz w:val="20"/>
                <w:szCs w:val="20"/>
              </w:rPr>
              <w:fldChar w:fldCharType="separate"/>
            </w:r>
            <w:r w:rsidR="00211D64">
              <w:rPr>
                <w:rFonts w:ascii="Arial Narrow" w:hAnsi="Arial Narrow"/>
                <w:noProof/>
                <w:webHidden/>
                <w:sz w:val="20"/>
                <w:szCs w:val="20"/>
              </w:rPr>
              <w:t>89</w:t>
            </w:r>
            <w:r w:rsidR="00EE4557" w:rsidRPr="00EE4557">
              <w:rPr>
                <w:rFonts w:ascii="Arial Narrow" w:hAnsi="Arial Narrow"/>
                <w:noProof/>
                <w:webHidden/>
                <w:sz w:val="20"/>
                <w:szCs w:val="20"/>
              </w:rPr>
              <w:fldChar w:fldCharType="end"/>
            </w:r>
          </w:hyperlink>
        </w:p>
        <w:p w14:paraId="625A06AE" w14:textId="77777777" w:rsidR="00EE4557" w:rsidRPr="00EE4557" w:rsidRDefault="00816B15">
          <w:pPr>
            <w:pStyle w:val="TOC1"/>
            <w:rPr>
              <w:rFonts w:ascii="Arial Narrow" w:eastAsiaTheme="minorEastAsia" w:hAnsi="Arial Narrow" w:cstheme="minorBidi"/>
              <w:noProof/>
              <w:sz w:val="20"/>
              <w:szCs w:val="20"/>
            </w:rPr>
          </w:pPr>
          <w:hyperlink w:anchor="_Toc210747594" w:history="1">
            <w:r w:rsidR="00EE4557" w:rsidRPr="00EE4557">
              <w:rPr>
                <w:rStyle w:val="Hyperlink"/>
                <w:rFonts w:ascii="Arial Narrow" w:hAnsi="Arial Narrow"/>
                <w:bCs/>
                <w:noProof/>
                <w:sz w:val="20"/>
                <w:szCs w:val="20"/>
              </w:rPr>
              <w:t>3.</w:t>
            </w:r>
            <w:r w:rsidR="00EE4557" w:rsidRPr="00EE4557">
              <w:rPr>
                <w:rFonts w:ascii="Arial Narrow" w:eastAsiaTheme="minorEastAsia" w:hAnsi="Arial Narrow" w:cstheme="minorBidi"/>
                <w:noProof/>
                <w:sz w:val="20"/>
                <w:szCs w:val="20"/>
              </w:rPr>
              <w:tab/>
            </w:r>
            <w:r w:rsidR="00EE4557" w:rsidRPr="00EE4557">
              <w:rPr>
                <w:rStyle w:val="Hyperlink"/>
                <w:rFonts w:ascii="Arial Narrow" w:hAnsi="Arial Narrow"/>
                <w:bCs/>
                <w:noProof/>
                <w:sz w:val="20"/>
                <w:szCs w:val="20"/>
              </w:rPr>
              <w:t>Национален план за възстановяване и устойчивост</w:t>
            </w:r>
            <w:r w:rsidR="00EE4557" w:rsidRPr="00EE4557">
              <w:rPr>
                <w:rFonts w:ascii="Arial Narrow" w:hAnsi="Arial Narrow"/>
                <w:noProof/>
                <w:webHidden/>
                <w:sz w:val="20"/>
                <w:szCs w:val="20"/>
              </w:rPr>
              <w:tab/>
            </w:r>
            <w:r w:rsidR="00EE4557" w:rsidRPr="00EE4557">
              <w:rPr>
                <w:rFonts w:ascii="Arial Narrow" w:hAnsi="Arial Narrow"/>
                <w:noProof/>
                <w:webHidden/>
                <w:sz w:val="20"/>
                <w:szCs w:val="20"/>
              </w:rPr>
              <w:fldChar w:fldCharType="begin"/>
            </w:r>
            <w:r w:rsidR="00EE4557" w:rsidRPr="00EE4557">
              <w:rPr>
                <w:rFonts w:ascii="Arial Narrow" w:hAnsi="Arial Narrow"/>
                <w:noProof/>
                <w:webHidden/>
                <w:sz w:val="20"/>
                <w:szCs w:val="20"/>
              </w:rPr>
              <w:instrText xml:space="preserve"> PAGEREF _Toc210747594 \h </w:instrText>
            </w:r>
            <w:r w:rsidR="00EE4557" w:rsidRPr="00EE4557">
              <w:rPr>
                <w:rFonts w:ascii="Arial Narrow" w:hAnsi="Arial Narrow"/>
                <w:noProof/>
                <w:webHidden/>
                <w:sz w:val="20"/>
                <w:szCs w:val="20"/>
              </w:rPr>
            </w:r>
            <w:r w:rsidR="00EE4557" w:rsidRPr="00EE4557">
              <w:rPr>
                <w:rFonts w:ascii="Arial Narrow" w:hAnsi="Arial Narrow"/>
                <w:noProof/>
                <w:webHidden/>
                <w:sz w:val="20"/>
                <w:szCs w:val="20"/>
              </w:rPr>
              <w:fldChar w:fldCharType="separate"/>
            </w:r>
            <w:r w:rsidR="00211D64">
              <w:rPr>
                <w:rFonts w:ascii="Arial Narrow" w:hAnsi="Arial Narrow"/>
                <w:noProof/>
                <w:webHidden/>
                <w:sz w:val="20"/>
                <w:szCs w:val="20"/>
              </w:rPr>
              <w:t>110</w:t>
            </w:r>
            <w:r w:rsidR="00EE4557" w:rsidRPr="00EE4557">
              <w:rPr>
                <w:rFonts w:ascii="Arial Narrow" w:hAnsi="Arial Narrow"/>
                <w:noProof/>
                <w:webHidden/>
                <w:sz w:val="20"/>
                <w:szCs w:val="20"/>
              </w:rPr>
              <w:fldChar w:fldCharType="end"/>
            </w:r>
          </w:hyperlink>
        </w:p>
        <w:p w14:paraId="32BF2444" w14:textId="77777777" w:rsidR="00EE4557" w:rsidRPr="00EE4557" w:rsidRDefault="00816B15">
          <w:pPr>
            <w:pStyle w:val="TOC1"/>
            <w:rPr>
              <w:rFonts w:ascii="Arial Narrow" w:eastAsiaTheme="minorEastAsia" w:hAnsi="Arial Narrow" w:cstheme="minorBidi"/>
              <w:noProof/>
              <w:sz w:val="20"/>
              <w:szCs w:val="20"/>
            </w:rPr>
          </w:pPr>
          <w:hyperlink w:anchor="_Toc210747595" w:history="1">
            <w:r w:rsidR="00EE4557" w:rsidRPr="00EE4557">
              <w:rPr>
                <w:rStyle w:val="Hyperlink"/>
                <w:rFonts w:ascii="Arial Narrow" w:hAnsi="Arial Narrow"/>
                <w:noProof/>
                <w:sz w:val="20"/>
                <w:szCs w:val="20"/>
                <w:lang w:val="bg-BG" w:eastAsia="bg-BG"/>
              </w:rPr>
              <w:t>4.</w:t>
            </w:r>
            <w:r w:rsidR="00EE4557" w:rsidRPr="00EE4557">
              <w:rPr>
                <w:rFonts w:ascii="Arial Narrow" w:eastAsiaTheme="minorEastAsia" w:hAnsi="Arial Narrow" w:cstheme="minorBidi"/>
                <w:noProof/>
                <w:sz w:val="20"/>
                <w:szCs w:val="20"/>
              </w:rPr>
              <w:tab/>
            </w:r>
            <w:r w:rsidR="00EE4557" w:rsidRPr="00EE4557">
              <w:rPr>
                <w:rStyle w:val="Hyperlink"/>
                <w:rFonts w:ascii="Arial Narrow" w:hAnsi="Arial Narrow"/>
                <w:noProof/>
                <w:sz w:val="20"/>
                <w:szCs w:val="20"/>
                <w:lang w:val="bg-BG" w:eastAsia="bg-BG"/>
              </w:rPr>
              <w:t>Допълнително държавно подпомагане</w:t>
            </w:r>
            <w:r w:rsidR="00EE4557" w:rsidRPr="00EE4557">
              <w:rPr>
                <w:rFonts w:ascii="Arial Narrow" w:hAnsi="Arial Narrow"/>
                <w:noProof/>
                <w:webHidden/>
                <w:sz w:val="20"/>
                <w:szCs w:val="20"/>
              </w:rPr>
              <w:tab/>
            </w:r>
            <w:r w:rsidR="00EE4557" w:rsidRPr="00EE4557">
              <w:rPr>
                <w:rFonts w:ascii="Arial Narrow" w:hAnsi="Arial Narrow"/>
                <w:noProof/>
                <w:webHidden/>
                <w:sz w:val="20"/>
                <w:szCs w:val="20"/>
              </w:rPr>
              <w:fldChar w:fldCharType="begin"/>
            </w:r>
            <w:r w:rsidR="00EE4557" w:rsidRPr="00EE4557">
              <w:rPr>
                <w:rFonts w:ascii="Arial Narrow" w:hAnsi="Arial Narrow"/>
                <w:noProof/>
                <w:webHidden/>
                <w:sz w:val="20"/>
                <w:szCs w:val="20"/>
              </w:rPr>
              <w:instrText xml:space="preserve"> PAGEREF _Toc210747595 \h </w:instrText>
            </w:r>
            <w:r w:rsidR="00EE4557" w:rsidRPr="00EE4557">
              <w:rPr>
                <w:rFonts w:ascii="Arial Narrow" w:hAnsi="Arial Narrow"/>
                <w:noProof/>
                <w:webHidden/>
                <w:sz w:val="20"/>
                <w:szCs w:val="20"/>
              </w:rPr>
            </w:r>
            <w:r w:rsidR="00EE4557" w:rsidRPr="00EE4557">
              <w:rPr>
                <w:rFonts w:ascii="Arial Narrow" w:hAnsi="Arial Narrow"/>
                <w:noProof/>
                <w:webHidden/>
                <w:sz w:val="20"/>
                <w:szCs w:val="20"/>
              </w:rPr>
              <w:fldChar w:fldCharType="separate"/>
            </w:r>
            <w:r w:rsidR="00211D64">
              <w:rPr>
                <w:rFonts w:ascii="Arial Narrow" w:hAnsi="Arial Narrow"/>
                <w:noProof/>
                <w:webHidden/>
                <w:sz w:val="20"/>
                <w:szCs w:val="20"/>
              </w:rPr>
              <w:t>112</w:t>
            </w:r>
            <w:r w:rsidR="00EE4557" w:rsidRPr="00EE4557">
              <w:rPr>
                <w:rFonts w:ascii="Arial Narrow" w:hAnsi="Arial Narrow"/>
                <w:noProof/>
                <w:webHidden/>
                <w:sz w:val="20"/>
                <w:szCs w:val="20"/>
              </w:rPr>
              <w:fldChar w:fldCharType="end"/>
            </w:r>
          </w:hyperlink>
        </w:p>
        <w:p w14:paraId="69DF237C" w14:textId="77777777" w:rsidR="00EE4557" w:rsidRPr="00EE4557" w:rsidRDefault="00816B15">
          <w:pPr>
            <w:pStyle w:val="TOC1"/>
            <w:rPr>
              <w:rFonts w:ascii="Arial Narrow" w:eastAsiaTheme="minorEastAsia" w:hAnsi="Arial Narrow" w:cstheme="minorBidi"/>
              <w:noProof/>
              <w:sz w:val="20"/>
              <w:szCs w:val="20"/>
            </w:rPr>
          </w:pPr>
          <w:hyperlink w:anchor="_Toc210747596" w:history="1">
            <w:r w:rsidR="00EE4557" w:rsidRPr="00EE4557">
              <w:rPr>
                <w:rStyle w:val="Hyperlink"/>
                <w:rFonts w:ascii="Arial Narrow" w:hAnsi="Arial Narrow"/>
                <w:noProof/>
                <w:sz w:val="20"/>
                <w:szCs w:val="20"/>
                <w:lang w:val="bg-BG" w:eastAsia="bg-BG"/>
              </w:rPr>
              <w:t>4.1.</w:t>
            </w:r>
            <w:r w:rsidR="00EE4557" w:rsidRPr="00EE4557">
              <w:rPr>
                <w:rFonts w:ascii="Arial Narrow" w:eastAsiaTheme="minorEastAsia" w:hAnsi="Arial Narrow" w:cstheme="minorBidi"/>
                <w:noProof/>
                <w:sz w:val="20"/>
                <w:szCs w:val="20"/>
              </w:rPr>
              <w:tab/>
            </w:r>
            <w:r w:rsidR="00EE4557" w:rsidRPr="00EE4557">
              <w:rPr>
                <w:rStyle w:val="Hyperlink"/>
                <w:rFonts w:ascii="Arial Narrow" w:hAnsi="Arial Narrow"/>
                <w:noProof/>
                <w:sz w:val="20"/>
                <w:szCs w:val="20"/>
                <w:lang w:val="bg-BG" w:eastAsia="bg-BG"/>
              </w:rPr>
              <w:t>Държавни помощи в земеделието</w:t>
            </w:r>
            <w:r w:rsidR="00EE4557" w:rsidRPr="00EE4557">
              <w:rPr>
                <w:rFonts w:ascii="Arial Narrow" w:hAnsi="Arial Narrow"/>
                <w:noProof/>
                <w:webHidden/>
                <w:sz w:val="20"/>
                <w:szCs w:val="20"/>
              </w:rPr>
              <w:tab/>
            </w:r>
            <w:r w:rsidR="00EE4557" w:rsidRPr="00EE4557">
              <w:rPr>
                <w:rFonts w:ascii="Arial Narrow" w:hAnsi="Arial Narrow"/>
                <w:noProof/>
                <w:webHidden/>
                <w:sz w:val="20"/>
                <w:szCs w:val="20"/>
              </w:rPr>
              <w:fldChar w:fldCharType="begin"/>
            </w:r>
            <w:r w:rsidR="00EE4557" w:rsidRPr="00EE4557">
              <w:rPr>
                <w:rFonts w:ascii="Arial Narrow" w:hAnsi="Arial Narrow"/>
                <w:noProof/>
                <w:webHidden/>
                <w:sz w:val="20"/>
                <w:szCs w:val="20"/>
              </w:rPr>
              <w:instrText xml:space="preserve"> PAGEREF _Toc210747596 \h </w:instrText>
            </w:r>
            <w:r w:rsidR="00EE4557" w:rsidRPr="00EE4557">
              <w:rPr>
                <w:rFonts w:ascii="Arial Narrow" w:hAnsi="Arial Narrow"/>
                <w:noProof/>
                <w:webHidden/>
                <w:sz w:val="20"/>
                <w:szCs w:val="20"/>
              </w:rPr>
            </w:r>
            <w:r w:rsidR="00EE4557" w:rsidRPr="00EE4557">
              <w:rPr>
                <w:rFonts w:ascii="Arial Narrow" w:hAnsi="Arial Narrow"/>
                <w:noProof/>
                <w:webHidden/>
                <w:sz w:val="20"/>
                <w:szCs w:val="20"/>
              </w:rPr>
              <w:fldChar w:fldCharType="separate"/>
            </w:r>
            <w:r w:rsidR="00211D64">
              <w:rPr>
                <w:rFonts w:ascii="Arial Narrow" w:hAnsi="Arial Narrow"/>
                <w:noProof/>
                <w:webHidden/>
                <w:sz w:val="20"/>
                <w:szCs w:val="20"/>
              </w:rPr>
              <w:t>112</w:t>
            </w:r>
            <w:r w:rsidR="00EE4557" w:rsidRPr="00EE4557">
              <w:rPr>
                <w:rFonts w:ascii="Arial Narrow" w:hAnsi="Arial Narrow"/>
                <w:noProof/>
                <w:webHidden/>
                <w:sz w:val="20"/>
                <w:szCs w:val="20"/>
              </w:rPr>
              <w:fldChar w:fldCharType="end"/>
            </w:r>
          </w:hyperlink>
        </w:p>
        <w:p w14:paraId="306143A2" w14:textId="77777777" w:rsidR="00EE4557" w:rsidRPr="00EE4557" w:rsidRDefault="00816B15">
          <w:pPr>
            <w:pStyle w:val="TOC1"/>
            <w:rPr>
              <w:rFonts w:ascii="Arial Narrow" w:eastAsiaTheme="minorEastAsia" w:hAnsi="Arial Narrow" w:cstheme="minorBidi"/>
              <w:noProof/>
              <w:sz w:val="20"/>
              <w:szCs w:val="20"/>
            </w:rPr>
          </w:pPr>
          <w:hyperlink w:anchor="_Toc210747597" w:history="1">
            <w:r w:rsidR="00EE4557" w:rsidRPr="00EE4557">
              <w:rPr>
                <w:rStyle w:val="Hyperlink"/>
                <w:rFonts w:ascii="Arial Narrow" w:hAnsi="Arial Narrow"/>
                <w:noProof/>
                <w:sz w:val="20"/>
                <w:szCs w:val="20"/>
                <w:lang w:val="bg-BG" w:eastAsia="bg-BG"/>
              </w:rPr>
              <w:t>4.2.</w:t>
            </w:r>
            <w:r w:rsidR="00EE4557" w:rsidRPr="00EE4557">
              <w:rPr>
                <w:rFonts w:ascii="Arial Narrow" w:eastAsiaTheme="minorEastAsia" w:hAnsi="Arial Narrow" w:cstheme="minorBidi"/>
                <w:noProof/>
                <w:sz w:val="20"/>
                <w:szCs w:val="20"/>
              </w:rPr>
              <w:tab/>
            </w:r>
            <w:r w:rsidR="00EE4557" w:rsidRPr="00EE4557">
              <w:rPr>
                <w:rStyle w:val="Hyperlink"/>
                <w:rFonts w:ascii="Arial Narrow" w:hAnsi="Arial Narrow"/>
                <w:noProof/>
                <w:sz w:val="20"/>
                <w:szCs w:val="20"/>
                <w:lang w:val="bg-BG" w:eastAsia="bg-BG"/>
              </w:rPr>
              <w:t>Краткосрочно кредитиране</w:t>
            </w:r>
            <w:r w:rsidR="00EE4557" w:rsidRPr="00EE4557">
              <w:rPr>
                <w:rFonts w:ascii="Arial Narrow" w:hAnsi="Arial Narrow"/>
                <w:noProof/>
                <w:webHidden/>
                <w:sz w:val="20"/>
                <w:szCs w:val="20"/>
              </w:rPr>
              <w:tab/>
            </w:r>
            <w:r w:rsidR="00EE4557" w:rsidRPr="00EE4557">
              <w:rPr>
                <w:rFonts w:ascii="Arial Narrow" w:hAnsi="Arial Narrow"/>
                <w:noProof/>
                <w:webHidden/>
                <w:sz w:val="20"/>
                <w:szCs w:val="20"/>
              </w:rPr>
              <w:fldChar w:fldCharType="begin"/>
            </w:r>
            <w:r w:rsidR="00EE4557" w:rsidRPr="00EE4557">
              <w:rPr>
                <w:rFonts w:ascii="Arial Narrow" w:hAnsi="Arial Narrow"/>
                <w:noProof/>
                <w:webHidden/>
                <w:sz w:val="20"/>
                <w:szCs w:val="20"/>
              </w:rPr>
              <w:instrText xml:space="preserve"> PAGEREF _Toc210747597 \h </w:instrText>
            </w:r>
            <w:r w:rsidR="00EE4557" w:rsidRPr="00EE4557">
              <w:rPr>
                <w:rFonts w:ascii="Arial Narrow" w:hAnsi="Arial Narrow"/>
                <w:noProof/>
                <w:webHidden/>
                <w:sz w:val="20"/>
                <w:szCs w:val="20"/>
              </w:rPr>
            </w:r>
            <w:r w:rsidR="00EE4557" w:rsidRPr="00EE4557">
              <w:rPr>
                <w:rFonts w:ascii="Arial Narrow" w:hAnsi="Arial Narrow"/>
                <w:noProof/>
                <w:webHidden/>
                <w:sz w:val="20"/>
                <w:szCs w:val="20"/>
              </w:rPr>
              <w:fldChar w:fldCharType="separate"/>
            </w:r>
            <w:r w:rsidR="00211D64">
              <w:rPr>
                <w:rFonts w:ascii="Arial Narrow" w:hAnsi="Arial Narrow"/>
                <w:noProof/>
                <w:webHidden/>
                <w:sz w:val="20"/>
                <w:szCs w:val="20"/>
              </w:rPr>
              <w:t>115</w:t>
            </w:r>
            <w:r w:rsidR="00EE4557" w:rsidRPr="00EE4557">
              <w:rPr>
                <w:rFonts w:ascii="Arial Narrow" w:hAnsi="Arial Narrow"/>
                <w:noProof/>
                <w:webHidden/>
                <w:sz w:val="20"/>
                <w:szCs w:val="20"/>
              </w:rPr>
              <w:fldChar w:fldCharType="end"/>
            </w:r>
          </w:hyperlink>
        </w:p>
        <w:p w14:paraId="1E6C73CC" w14:textId="77777777" w:rsidR="00EE4557" w:rsidRPr="00EE4557" w:rsidRDefault="00816B15">
          <w:pPr>
            <w:pStyle w:val="TOC1"/>
            <w:rPr>
              <w:rFonts w:ascii="Arial Narrow" w:eastAsiaTheme="minorEastAsia" w:hAnsi="Arial Narrow" w:cstheme="minorBidi"/>
              <w:noProof/>
              <w:sz w:val="20"/>
              <w:szCs w:val="20"/>
            </w:rPr>
          </w:pPr>
          <w:hyperlink w:anchor="_Toc210747598" w:history="1">
            <w:r w:rsidR="00EE4557" w:rsidRPr="00EE4557">
              <w:rPr>
                <w:rStyle w:val="Hyperlink"/>
                <w:rFonts w:ascii="Arial Narrow" w:hAnsi="Arial Narrow"/>
                <w:noProof/>
                <w:sz w:val="20"/>
                <w:szCs w:val="20"/>
                <w:lang w:val="bg-BG" w:eastAsia="bg-BG"/>
              </w:rPr>
              <w:t>4.3.</w:t>
            </w:r>
            <w:r w:rsidR="00EE4557" w:rsidRPr="00EE4557">
              <w:rPr>
                <w:rFonts w:ascii="Arial Narrow" w:eastAsiaTheme="minorEastAsia" w:hAnsi="Arial Narrow" w:cstheme="minorBidi"/>
                <w:noProof/>
                <w:sz w:val="20"/>
                <w:szCs w:val="20"/>
              </w:rPr>
              <w:tab/>
            </w:r>
            <w:r w:rsidR="00EE4557" w:rsidRPr="00EE4557">
              <w:rPr>
                <w:rStyle w:val="Hyperlink"/>
                <w:rFonts w:ascii="Arial Narrow" w:hAnsi="Arial Narrow"/>
                <w:noProof/>
                <w:sz w:val="20"/>
                <w:szCs w:val="20"/>
                <w:lang w:val="bg-BG" w:eastAsia="bg-BG"/>
              </w:rPr>
              <w:t>Инвестиционни кредитни схеми на ДФЗ</w:t>
            </w:r>
            <w:r w:rsidR="00EE4557" w:rsidRPr="00EE4557">
              <w:rPr>
                <w:rFonts w:ascii="Arial Narrow" w:hAnsi="Arial Narrow"/>
                <w:noProof/>
                <w:webHidden/>
                <w:sz w:val="20"/>
                <w:szCs w:val="20"/>
              </w:rPr>
              <w:tab/>
            </w:r>
            <w:r w:rsidR="00EE4557" w:rsidRPr="00EE4557">
              <w:rPr>
                <w:rFonts w:ascii="Arial Narrow" w:hAnsi="Arial Narrow"/>
                <w:noProof/>
                <w:webHidden/>
                <w:sz w:val="20"/>
                <w:szCs w:val="20"/>
              </w:rPr>
              <w:fldChar w:fldCharType="begin"/>
            </w:r>
            <w:r w:rsidR="00EE4557" w:rsidRPr="00EE4557">
              <w:rPr>
                <w:rFonts w:ascii="Arial Narrow" w:hAnsi="Arial Narrow"/>
                <w:noProof/>
                <w:webHidden/>
                <w:sz w:val="20"/>
                <w:szCs w:val="20"/>
              </w:rPr>
              <w:instrText xml:space="preserve"> PAGEREF _Toc210747598 \h </w:instrText>
            </w:r>
            <w:r w:rsidR="00EE4557" w:rsidRPr="00EE4557">
              <w:rPr>
                <w:rFonts w:ascii="Arial Narrow" w:hAnsi="Arial Narrow"/>
                <w:noProof/>
                <w:webHidden/>
                <w:sz w:val="20"/>
                <w:szCs w:val="20"/>
              </w:rPr>
            </w:r>
            <w:r w:rsidR="00EE4557" w:rsidRPr="00EE4557">
              <w:rPr>
                <w:rFonts w:ascii="Arial Narrow" w:hAnsi="Arial Narrow"/>
                <w:noProof/>
                <w:webHidden/>
                <w:sz w:val="20"/>
                <w:szCs w:val="20"/>
              </w:rPr>
              <w:fldChar w:fldCharType="separate"/>
            </w:r>
            <w:r w:rsidR="00211D64">
              <w:rPr>
                <w:rFonts w:ascii="Arial Narrow" w:hAnsi="Arial Narrow"/>
                <w:noProof/>
                <w:webHidden/>
                <w:sz w:val="20"/>
                <w:szCs w:val="20"/>
              </w:rPr>
              <w:t>115</w:t>
            </w:r>
            <w:r w:rsidR="00EE4557" w:rsidRPr="00EE4557">
              <w:rPr>
                <w:rFonts w:ascii="Arial Narrow" w:hAnsi="Arial Narrow"/>
                <w:noProof/>
                <w:webHidden/>
                <w:sz w:val="20"/>
                <w:szCs w:val="20"/>
              </w:rPr>
              <w:fldChar w:fldCharType="end"/>
            </w:r>
          </w:hyperlink>
        </w:p>
        <w:p w14:paraId="41A319B3" w14:textId="77777777" w:rsidR="00EE4557" w:rsidRPr="00EE4557" w:rsidRDefault="00816B15">
          <w:pPr>
            <w:pStyle w:val="TOC1"/>
            <w:rPr>
              <w:rFonts w:ascii="Arial Narrow" w:eastAsiaTheme="minorEastAsia" w:hAnsi="Arial Narrow" w:cstheme="minorBidi"/>
              <w:noProof/>
              <w:sz w:val="20"/>
              <w:szCs w:val="20"/>
            </w:rPr>
          </w:pPr>
          <w:hyperlink w:anchor="_Toc210747599" w:history="1">
            <w:r w:rsidR="00EE4557" w:rsidRPr="00EE4557">
              <w:rPr>
                <w:rStyle w:val="Hyperlink"/>
                <w:rFonts w:ascii="Arial Narrow" w:hAnsi="Arial Narrow"/>
                <w:noProof/>
                <w:sz w:val="20"/>
                <w:szCs w:val="20"/>
                <w:lang w:val="bg-BG"/>
              </w:rPr>
              <w:t>V.</w:t>
            </w:r>
            <w:r w:rsidR="00EE4557" w:rsidRPr="00EE4557">
              <w:rPr>
                <w:rFonts w:ascii="Arial Narrow" w:eastAsiaTheme="minorEastAsia" w:hAnsi="Arial Narrow" w:cstheme="minorBidi"/>
                <w:noProof/>
                <w:sz w:val="20"/>
                <w:szCs w:val="20"/>
              </w:rPr>
              <w:tab/>
            </w:r>
            <w:r w:rsidR="00EE4557" w:rsidRPr="00EE4557">
              <w:rPr>
                <w:rStyle w:val="Hyperlink"/>
                <w:rFonts w:ascii="Arial Narrow" w:hAnsi="Arial Narrow"/>
                <w:noProof/>
                <w:sz w:val="20"/>
                <w:szCs w:val="20"/>
                <w:lang w:val="bg-BG"/>
              </w:rPr>
              <w:t>ДЕЙНОСТИ, СВЪРЗАНИ СЪС ЗЕМЕДЕЛСКОТО ПРОИЗВОДСТВО</w:t>
            </w:r>
            <w:r w:rsidR="00EE4557" w:rsidRPr="00EE4557">
              <w:rPr>
                <w:rFonts w:ascii="Arial Narrow" w:hAnsi="Arial Narrow"/>
                <w:noProof/>
                <w:webHidden/>
                <w:sz w:val="20"/>
                <w:szCs w:val="20"/>
              </w:rPr>
              <w:tab/>
            </w:r>
            <w:r w:rsidR="00EE4557" w:rsidRPr="00EE4557">
              <w:rPr>
                <w:rFonts w:ascii="Arial Narrow" w:hAnsi="Arial Narrow"/>
                <w:noProof/>
                <w:webHidden/>
                <w:sz w:val="20"/>
                <w:szCs w:val="20"/>
              </w:rPr>
              <w:fldChar w:fldCharType="begin"/>
            </w:r>
            <w:r w:rsidR="00EE4557" w:rsidRPr="00EE4557">
              <w:rPr>
                <w:rFonts w:ascii="Arial Narrow" w:hAnsi="Arial Narrow"/>
                <w:noProof/>
                <w:webHidden/>
                <w:sz w:val="20"/>
                <w:szCs w:val="20"/>
              </w:rPr>
              <w:instrText xml:space="preserve"> PAGEREF _Toc210747599 \h </w:instrText>
            </w:r>
            <w:r w:rsidR="00EE4557" w:rsidRPr="00EE4557">
              <w:rPr>
                <w:rFonts w:ascii="Arial Narrow" w:hAnsi="Arial Narrow"/>
                <w:noProof/>
                <w:webHidden/>
                <w:sz w:val="20"/>
                <w:szCs w:val="20"/>
              </w:rPr>
            </w:r>
            <w:r w:rsidR="00EE4557" w:rsidRPr="00EE4557">
              <w:rPr>
                <w:rFonts w:ascii="Arial Narrow" w:hAnsi="Arial Narrow"/>
                <w:noProof/>
                <w:webHidden/>
                <w:sz w:val="20"/>
                <w:szCs w:val="20"/>
              </w:rPr>
              <w:fldChar w:fldCharType="separate"/>
            </w:r>
            <w:r w:rsidR="00211D64">
              <w:rPr>
                <w:rFonts w:ascii="Arial Narrow" w:hAnsi="Arial Narrow"/>
                <w:noProof/>
                <w:webHidden/>
                <w:sz w:val="20"/>
                <w:szCs w:val="20"/>
              </w:rPr>
              <w:t>117</w:t>
            </w:r>
            <w:r w:rsidR="00EE4557" w:rsidRPr="00EE4557">
              <w:rPr>
                <w:rFonts w:ascii="Arial Narrow" w:hAnsi="Arial Narrow"/>
                <w:noProof/>
                <w:webHidden/>
                <w:sz w:val="20"/>
                <w:szCs w:val="20"/>
              </w:rPr>
              <w:fldChar w:fldCharType="end"/>
            </w:r>
          </w:hyperlink>
        </w:p>
        <w:p w14:paraId="291DB189" w14:textId="77777777" w:rsidR="00EE4557" w:rsidRPr="00EE4557" w:rsidRDefault="00816B15">
          <w:pPr>
            <w:pStyle w:val="TOC1"/>
            <w:rPr>
              <w:rFonts w:ascii="Arial Narrow" w:eastAsiaTheme="minorEastAsia" w:hAnsi="Arial Narrow" w:cstheme="minorBidi"/>
              <w:noProof/>
              <w:sz w:val="20"/>
              <w:szCs w:val="20"/>
            </w:rPr>
          </w:pPr>
          <w:hyperlink w:anchor="_Toc210747600" w:history="1">
            <w:r w:rsidR="00EE4557" w:rsidRPr="00EE4557">
              <w:rPr>
                <w:rStyle w:val="Hyperlink"/>
                <w:rFonts w:ascii="Arial Narrow" w:eastAsia="Calibri" w:hAnsi="Arial Narrow" w:cs="Arial"/>
                <w:noProof/>
                <w:sz w:val="20"/>
                <w:szCs w:val="20"/>
                <w:lang w:val="bg-BG"/>
              </w:rPr>
              <w:t>1.</w:t>
            </w:r>
            <w:r w:rsidR="00EE4557" w:rsidRPr="00EE4557">
              <w:rPr>
                <w:rFonts w:ascii="Arial Narrow" w:eastAsiaTheme="minorEastAsia" w:hAnsi="Arial Narrow" w:cstheme="minorBidi"/>
                <w:noProof/>
                <w:sz w:val="20"/>
                <w:szCs w:val="20"/>
              </w:rPr>
              <w:tab/>
            </w:r>
            <w:r w:rsidR="00EE4557" w:rsidRPr="00EE4557">
              <w:rPr>
                <w:rStyle w:val="Hyperlink"/>
                <w:rFonts w:ascii="Arial Narrow" w:hAnsi="Arial Narrow" w:cs="Arial"/>
                <w:noProof/>
                <w:sz w:val="20"/>
                <w:szCs w:val="20"/>
                <w:lang w:val="bg-BG"/>
              </w:rPr>
              <w:t>Контрол на земеделска и горска техника</w:t>
            </w:r>
            <w:r w:rsidR="00EE4557" w:rsidRPr="00EE4557">
              <w:rPr>
                <w:rFonts w:ascii="Arial Narrow" w:hAnsi="Arial Narrow"/>
                <w:noProof/>
                <w:webHidden/>
                <w:sz w:val="20"/>
                <w:szCs w:val="20"/>
              </w:rPr>
              <w:tab/>
            </w:r>
            <w:r w:rsidR="00EE4557" w:rsidRPr="00EE4557">
              <w:rPr>
                <w:rFonts w:ascii="Arial Narrow" w:hAnsi="Arial Narrow"/>
                <w:noProof/>
                <w:webHidden/>
                <w:sz w:val="20"/>
                <w:szCs w:val="20"/>
              </w:rPr>
              <w:fldChar w:fldCharType="begin"/>
            </w:r>
            <w:r w:rsidR="00EE4557" w:rsidRPr="00EE4557">
              <w:rPr>
                <w:rFonts w:ascii="Arial Narrow" w:hAnsi="Arial Narrow"/>
                <w:noProof/>
                <w:webHidden/>
                <w:sz w:val="20"/>
                <w:szCs w:val="20"/>
              </w:rPr>
              <w:instrText xml:space="preserve"> PAGEREF _Toc210747600 \h </w:instrText>
            </w:r>
            <w:r w:rsidR="00EE4557" w:rsidRPr="00EE4557">
              <w:rPr>
                <w:rFonts w:ascii="Arial Narrow" w:hAnsi="Arial Narrow"/>
                <w:noProof/>
                <w:webHidden/>
                <w:sz w:val="20"/>
                <w:szCs w:val="20"/>
              </w:rPr>
            </w:r>
            <w:r w:rsidR="00EE4557" w:rsidRPr="00EE4557">
              <w:rPr>
                <w:rFonts w:ascii="Arial Narrow" w:hAnsi="Arial Narrow"/>
                <w:noProof/>
                <w:webHidden/>
                <w:sz w:val="20"/>
                <w:szCs w:val="20"/>
              </w:rPr>
              <w:fldChar w:fldCharType="separate"/>
            </w:r>
            <w:r w:rsidR="00211D64">
              <w:rPr>
                <w:rFonts w:ascii="Arial Narrow" w:hAnsi="Arial Narrow"/>
                <w:noProof/>
                <w:webHidden/>
                <w:sz w:val="20"/>
                <w:szCs w:val="20"/>
              </w:rPr>
              <w:t>117</w:t>
            </w:r>
            <w:r w:rsidR="00EE4557" w:rsidRPr="00EE4557">
              <w:rPr>
                <w:rFonts w:ascii="Arial Narrow" w:hAnsi="Arial Narrow"/>
                <w:noProof/>
                <w:webHidden/>
                <w:sz w:val="20"/>
                <w:szCs w:val="20"/>
              </w:rPr>
              <w:fldChar w:fldCharType="end"/>
            </w:r>
          </w:hyperlink>
        </w:p>
        <w:p w14:paraId="73308F83" w14:textId="77777777" w:rsidR="00EE4557" w:rsidRPr="00EE4557" w:rsidRDefault="00816B15">
          <w:pPr>
            <w:pStyle w:val="TOC1"/>
            <w:rPr>
              <w:rFonts w:ascii="Arial Narrow" w:eastAsiaTheme="minorEastAsia" w:hAnsi="Arial Narrow" w:cstheme="minorBidi"/>
              <w:noProof/>
              <w:sz w:val="20"/>
              <w:szCs w:val="20"/>
            </w:rPr>
          </w:pPr>
          <w:hyperlink w:anchor="_Toc210747601" w:history="1">
            <w:r w:rsidR="00EE4557" w:rsidRPr="00EE4557">
              <w:rPr>
                <w:rStyle w:val="Hyperlink"/>
                <w:rFonts w:ascii="Arial Narrow" w:hAnsi="Arial Narrow" w:cs="Arial"/>
                <w:noProof/>
                <w:sz w:val="20"/>
                <w:szCs w:val="20"/>
                <w:lang w:val="bg-BG"/>
              </w:rPr>
              <w:t>1.1.</w:t>
            </w:r>
            <w:r w:rsidR="00EE4557" w:rsidRPr="00EE4557">
              <w:rPr>
                <w:rFonts w:ascii="Arial Narrow" w:eastAsiaTheme="minorEastAsia" w:hAnsi="Arial Narrow" w:cstheme="minorBidi"/>
                <w:noProof/>
                <w:sz w:val="20"/>
                <w:szCs w:val="20"/>
              </w:rPr>
              <w:tab/>
            </w:r>
            <w:r w:rsidR="00EE4557" w:rsidRPr="00EE4557">
              <w:rPr>
                <w:rStyle w:val="Hyperlink"/>
                <w:rFonts w:ascii="Arial Narrow" w:hAnsi="Arial Narrow" w:cs="Arial"/>
                <w:noProof/>
                <w:sz w:val="20"/>
                <w:szCs w:val="20"/>
                <w:lang w:val="bg-BG"/>
              </w:rPr>
              <w:t>Регистрация на земеделска и горска техника</w:t>
            </w:r>
            <w:r w:rsidR="00EE4557" w:rsidRPr="00EE4557">
              <w:rPr>
                <w:rFonts w:ascii="Arial Narrow" w:hAnsi="Arial Narrow"/>
                <w:noProof/>
                <w:webHidden/>
                <w:sz w:val="20"/>
                <w:szCs w:val="20"/>
              </w:rPr>
              <w:tab/>
            </w:r>
            <w:r w:rsidR="00EE4557" w:rsidRPr="00EE4557">
              <w:rPr>
                <w:rFonts w:ascii="Arial Narrow" w:hAnsi="Arial Narrow"/>
                <w:noProof/>
                <w:webHidden/>
                <w:sz w:val="20"/>
                <w:szCs w:val="20"/>
              </w:rPr>
              <w:fldChar w:fldCharType="begin"/>
            </w:r>
            <w:r w:rsidR="00EE4557" w:rsidRPr="00EE4557">
              <w:rPr>
                <w:rFonts w:ascii="Arial Narrow" w:hAnsi="Arial Narrow"/>
                <w:noProof/>
                <w:webHidden/>
                <w:sz w:val="20"/>
                <w:szCs w:val="20"/>
              </w:rPr>
              <w:instrText xml:space="preserve"> PAGEREF _Toc210747601 \h </w:instrText>
            </w:r>
            <w:r w:rsidR="00EE4557" w:rsidRPr="00EE4557">
              <w:rPr>
                <w:rFonts w:ascii="Arial Narrow" w:hAnsi="Arial Narrow"/>
                <w:noProof/>
                <w:webHidden/>
                <w:sz w:val="20"/>
                <w:szCs w:val="20"/>
              </w:rPr>
            </w:r>
            <w:r w:rsidR="00EE4557" w:rsidRPr="00EE4557">
              <w:rPr>
                <w:rFonts w:ascii="Arial Narrow" w:hAnsi="Arial Narrow"/>
                <w:noProof/>
                <w:webHidden/>
                <w:sz w:val="20"/>
                <w:szCs w:val="20"/>
              </w:rPr>
              <w:fldChar w:fldCharType="separate"/>
            </w:r>
            <w:r w:rsidR="00211D64">
              <w:rPr>
                <w:rFonts w:ascii="Arial Narrow" w:hAnsi="Arial Narrow"/>
                <w:noProof/>
                <w:webHidden/>
                <w:sz w:val="20"/>
                <w:szCs w:val="20"/>
              </w:rPr>
              <w:t>117</w:t>
            </w:r>
            <w:r w:rsidR="00EE4557" w:rsidRPr="00EE4557">
              <w:rPr>
                <w:rFonts w:ascii="Arial Narrow" w:hAnsi="Arial Narrow"/>
                <w:noProof/>
                <w:webHidden/>
                <w:sz w:val="20"/>
                <w:szCs w:val="20"/>
              </w:rPr>
              <w:fldChar w:fldCharType="end"/>
            </w:r>
          </w:hyperlink>
        </w:p>
        <w:p w14:paraId="28FE7E04" w14:textId="77777777" w:rsidR="00EE4557" w:rsidRPr="00EE4557" w:rsidRDefault="00816B15">
          <w:pPr>
            <w:pStyle w:val="TOC1"/>
            <w:rPr>
              <w:rFonts w:ascii="Arial Narrow" w:eastAsiaTheme="minorEastAsia" w:hAnsi="Arial Narrow" w:cstheme="minorBidi"/>
              <w:noProof/>
              <w:sz w:val="20"/>
              <w:szCs w:val="20"/>
            </w:rPr>
          </w:pPr>
          <w:hyperlink w:anchor="_Toc210747602" w:history="1">
            <w:r w:rsidR="00EE4557" w:rsidRPr="00EE4557">
              <w:rPr>
                <w:rStyle w:val="Hyperlink"/>
                <w:rFonts w:ascii="Arial Narrow" w:hAnsi="Arial Narrow" w:cs="Arial"/>
                <w:noProof/>
                <w:sz w:val="20"/>
                <w:szCs w:val="20"/>
                <w:lang w:val="bg-BG"/>
              </w:rPr>
              <w:t>1.2.</w:t>
            </w:r>
            <w:r w:rsidR="00EE4557" w:rsidRPr="00EE4557">
              <w:rPr>
                <w:rFonts w:ascii="Arial Narrow" w:eastAsiaTheme="minorEastAsia" w:hAnsi="Arial Narrow" w:cstheme="minorBidi"/>
                <w:noProof/>
                <w:sz w:val="20"/>
                <w:szCs w:val="20"/>
              </w:rPr>
              <w:tab/>
            </w:r>
            <w:r w:rsidR="00EE4557" w:rsidRPr="00EE4557">
              <w:rPr>
                <w:rStyle w:val="Hyperlink"/>
                <w:rFonts w:ascii="Arial Narrow" w:hAnsi="Arial Narrow" w:cs="Arial"/>
                <w:noProof/>
                <w:sz w:val="20"/>
                <w:szCs w:val="20"/>
                <w:lang w:val="bg-BG"/>
              </w:rPr>
              <w:t>Технически преглед на техниката</w:t>
            </w:r>
            <w:r w:rsidR="00EE4557" w:rsidRPr="00EE4557">
              <w:rPr>
                <w:rFonts w:ascii="Arial Narrow" w:hAnsi="Arial Narrow"/>
                <w:noProof/>
                <w:webHidden/>
                <w:sz w:val="20"/>
                <w:szCs w:val="20"/>
              </w:rPr>
              <w:tab/>
            </w:r>
            <w:r w:rsidR="00EE4557" w:rsidRPr="00EE4557">
              <w:rPr>
                <w:rFonts w:ascii="Arial Narrow" w:hAnsi="Arial Narrow"/>
                <w:noProof/>
                <w:webHidden/>
                <w:sz w:val="20"/>
                <w:szCs w:val="20"/>
              </w:rPr>
              <w:fldChar w:fldCharType="begin"/>
            </w:r>
            <w:r w:rsidR="00EE4557" w:rsidRPr="00EE4557">
              <w:rPr>
                <w:rFonts w:ascii="Arial Narrow" w:hAnsi="Arial Narrow"/>
                <w:noProof/>
                <w:webHidden/>
                <w:sz w:val="20"/>
                <w:szCs w:val="20"/>
              </w:rPr>
              <w:instrText xml:space="preserve"> PAGEREF _Toc210747602 \h </w:instrText>
            </w:r>
            <w:r w:rsidR="00EE4557" w:rsidRPr="00EE4557">
              <w:rPr>
                <w:rFonts w:ascii="Arial Narrow" w:hAnsi="Arial Narrow"/>
                <w:noProof/>
                <w:webHidden/>
                <w:sz w:val="20"/>
                <w:szCs w:val="20"/>
              </w:rPr>
            </w:r>
            <w:r w:rsidR="00EE4557" w:rsidRPr="00EE4557">
              <w:rPr>
                <w:rFonts w:ascii="Arial Narrow" w:hAnsi="Arial Narrow"/>
                <w:noProof/>
                <w:webHidden/>
                <w:sz w:val="20"/>
                <w:szCs w:val="20"/>
              </w:rPr>
              <w:fldChar w:fldCharType="separate"/>
            </w:r>
            <w:r w:rsidR="00211D64">
              <w:rPr>
                <w:rFonts w:ascii="Arial Narrow" w:hAnsi="Arial Narrow"/>
                <w:noProof/>
                <w:webHidden/>
                <w:sz w:val="20"/>
                <w:szCs w:val="20"/>
              </w:rPr>
              <w:t>118</w:t>
            </w:r>
            <w:r w:rsidR="00EE4557" w:rsidRPr="00EE4557">
              <w:rPr>
                <w:rFonts w:ascii="Arial Narrow" w:hAnsi="Arial Narrow"/>
                <w:noProof/>
                <w:webHidden/>
                <w:sz w:val="20"/>
                <w:szCs w:val="20"/>
              </w:rPr>
              <w:fldChar w:fldCharType="end"/>
            </w:r>
          </w:hyperlink>
        </w:p>
        <w:p w14:paraId="463528CF" w14:textId="77777777" w:rsidR="00EE4557" w:rsidRPr="00EE4557" w:rsidRDefault="00816B15">
          <w:pPr>
            <w:pStyle w:val="TOC1"/>
            <w:rPr>
              <w:rFonts w:ascii="Arial Narrow" w:eastAsiaTheme="minorEastAsia" w:hAnsi="Arial Narrow" w:cstheme="minorBidi"/>
              <w:noProof/>
              <w:sz w:val="20"/>
              <w:szCs w:val="20"/>
            </w:rPr>
          </w:pPr>
          <w:hyperlink w:anchor="_Toc210747603" w:history="1">
            <w:r w:rsidR="00EE4557" w:rsidRPr="00EE4557">
              <w:rPr>
                <w:rStyle w:val="Hyperlink"/>
                <w:rFonts w:ascii="Arial Narrow" w:eastAsia="Calibri" w:hAnsi="Arial Narrow" w:cs="Arial"/>
                <w:noProof/>
                <w:sz w:val="20"/>
                <w:szCs w:val="20"/>
                <w:lang w:val="bg-BG"/>
              </w:rPr>
              <w:t>1.3.</w:t>
            </w:r>
            <w:r w:rsidR="00EE4557" w:rsidRPr="00EE4557">
              <w:rPr>
                <w:rFonts w:ascii="Arial Narrow" w:eastAsiaTheme="minorEastAsia" w:hAnsi="Arial Narrow" w:cstheme="minorBidi"/>
                <w:noProof/>
                <w:sz w:val="20"/>
                <w:szCs w:val="20"/>
              </w:rPr>
              <w:tab/>
            </w:r>
            <w:r w:rsidR="00EE4557" w:rsidRPr="00EE4557">
              <w:rPr>
                <w:rStyle w:val="Hyperlink"/>
                <w:rFonts w:ascii="Arial Narrow" w:eastAsia="Calibri" w:hAnsi="Arial Narrow" w:cs="Arial"/>
                <w:noProof/>
                <w:sz w:val="20"/>
                <w:szCs w:val="20"/>
                <w:lang w:val="bg-BG"/>
              </w:rPr>
              <w:t>Правоспособност за работа с техника и издаване на свидетелства</w:t>
            </w:r>
            <w:r w:rsidR="00EE4557" w:rsidRPr="00EE4557">
              <w:rPr>
                <w:rFonts w:ascii="Arial Narrow" w:hAnsi="Arial Narrow"/>
                <w:noProof/>
                <w:webHidden/>
                <w:sz w:val="20"/>
                <w:szCs w:val="20"/>
              </w:rPr>
              <w:tab/>
            </w:r>
            <w:r w:rsidR="00EE4557" w:rsidRPr="00EE4557">
              <w:rPr>
                <w:rFonts w:ascii="Arial Narrow" w:hAnsi="Arial Narrow"/>
                <w:noProof/>
                <w:webHidden/>
                <w:sz w:val="20"/>
                <w:szCs w:val="20"/>
              </w:rPr>
              <w:fldChar w:fldCharType="begin"/>
            </w:r>
            <w:r w:rsidR="00EE4557" w:rsidRPr="00EE4557">
              <w:rPr>
                <w:rFonts w:ascii="Arial Narrow" w:hAnsi="Arial Narrow"/>
                <w:noProof/>
                <w:webHidden/>
                <w:sz w:val="20"/>
                <w:szCs w:val="20"/>
              </w:rPr>
              <w:instrText xml:space="preserve"> PAGEREF _Toc210747603 \h </w:instrText>
            </w:r>
            <w:r w:rsidR="00EE4557" w:rsidRPr="00EE4557">
              <w:rPr>
                <w:rFonts w:ascii="Arial Narrow" w:hAnsi="Arial Narrow"/>
                <w:noProof/>
                <w:webHidden/>
                <w:sz w:val="20"/>
                <w:szCs w:val="20"/>
              </w:rPr>
            </w:r>
            <w:r w:rsidR="00EE4557" w:rsidRPr="00EE4557">
              <w:rPr>
                <w:rFonts w:ascii="Arial Narrow" w:hAnsi="Arial Narrow"/>
                <w:noProof/>
                <w:webHidden/>
                <w:sz w:val="20"/>
                <w:szCs w:val="20"/>
              </w:rPr>
              <w:fldChar w:fldCharType="separate"/>
            </w:r>
            <w:r w:rsidR="00211D64">
              <w:rPr>
                <w:rFonts w:ascii="Arial Narrow" w:hAnsi="Arial Narrow"/>
                <w:noProof/>
                <w:webHidden/>
                <w:sz w:val="20"/>
                <w:szCs w:val="20"/>
              </w:rPr>
              <w:t>118</w:t>
            </w:r>
            <w:r w:rsidR="00EE4557" w:rsidRPr="00EE4557">
              <w:rPr>
                <w:rFonts w:ascii="Arial Narrow" w:hAnsi="Arial Narrow"/>
                <w:noProof/>
                <w:webHidden/>
                <w:sz w:val="20"/>
                <w:szCs w:val="20"/>
              </w:rPr>
              <w:fldChar w:fldCharType="end"/>
            </w:r>
          </w:hyperlink>
        </w:p>
        <w:p w14:paraId="006B6060" w14:textId="77777777" w:rsidR="00EE4557" w:rsidRPr="00EE4557" w:rsidRDefault="00816B15">
          <w:pPr>
            <w:pStyle w:val="TOC1"/>
            <w:rPr>
              <w:rFonts w:ascii="Arial Narrow" w:eastAsiaTheme="minorEastAsia" w:hAnsi="Arial Narrow" w:cstheme="minorBidi"/>
              <w:noProof/>
              <w:sz w:val="20"/>
              <w:szCs w:val="20"/>
            </w:rPr>
          </w:pPr>
          <w:hyperlink w:anchor="_Toc210747604" w:history="1">
            <w:r w:rsidR="00EE4557" w:rsidRPr="00EE4557">
              <w:rPr>
                <w:rStyle w:val="Hyperlink"/>
                <w:rFonts w:ascii="Arial Narrow" w:eastAsia="Calibri" w:hAnsi="Arial Narrow" w:cs="Arial"/>
                <w:noProof/>
                <w:sz w:val="20"/>
                <w:szCs w:val="20"/>
                <w:lang w:val="bg-BG"/>
              </w:rPr>
              <w:t>1.4.</w:t>
            </w:r>
            <w:r w:rsidR="00EE4557" w:rsidRPr="00EE4557">
              <w:rPr>
                <w:rFonts w:ascii="Arial Narrow" w:eastAsiaTheme="minorEastAsia" w:hAnsi="Arial Narrow" w:cstheme="minorBidi"/>
                <w:noProof/>
                <w:sz w:val="20"/>
                <w:szCs w:val="20"/>
              </w:rPr>
              <w:tab/>
            </w:r>
            <w:r w:rsidR="00EE4557" w:rsidRPr="00EE4557">
              <w:rPr>
                <w:rStyle w:val="Hyperlink"/>
                <w:rFonts w:ascii="Arial Narrow" w:eastAsia="Calibri" w:hAnsi="Arial Narrow" w:cs="Arial"/>
                <w:noProof/>
                <w:sz w:val="20"/>
                <w:szCs w:val="20"/>
                <w:lang w:val="bg-BG"/>
              </w:rPr>
              <w:t>Изпитване и сертифициране на употребявана земеделска и горска техника</w:t>
            </w:r>
            <w:r w:rsidR="00EE4557" w:rsidRPr="00EE4557">
              <w:rPr>
                <w:rFonts w:ascii="Arial Narrow" w:hAnsi="Arial Narrow"/>
                <w:noProof/>
                <w:webHidden/>
                <w:sz w:val="20"/>
                <w:szCs w:val="20"/>
              </w:rPr>
              <w:tab/>
            </w:r>
            <w:r w:rsidR="00EE4557" w:rsidRPr="00EE4557">
              <w:rPr>
                <w:rFonts w:ascii="Arial Narrow" w:hAnsi="Arial Narrow"/>
                <w:noProof/>
                <w:webHidden/>
                <w:sz w:val="20"/>
                <w:szCs w:val="20"/>
              </w:rPr>
              <w:fldChar w:fldCharType="begin"/>
            </w:r>
            <w:r w:rsidR="00EE4557" w:rsidRPr="00EE4557">
              <w:rPr>
                <w:rFonts w:ascii="Arial Narrow" w:hAnsi="Arial Narrow"/>
                <w:noProof/>
                <w:webHidden/>
                <w:sz w:val="20"/>
                <w:szCs w:val="20"/>
              </w:rPr>
              <w:instrText xml:space="preserve"> PAGEREF _Toc210747604 \h </w:instrText>
            </w:r>
            <w:r w:rsidR="00EE4557" w:rsidRPr="00EE4557">
              <w:rPr>
                <w:rFonts w:ascii="Arial Narrow" w:hAnsi="Arial Narrow"/>
                <w:noProof/>
                <w:webHidden/>
                <w:sz w:val="20"/>
                <w:szCs w:val="20"/>
              </w:rPr>
            </w:r>
            <w:r w:rsidR="00EE4557" w:rsidRPr="00EE4557">
              <w:rPr>
                <w:rFonts w:ascii="Arial Narrow" w:hAnsi="Arial Narrow"/>
                <w:noProof/>
                <w:webHidden/>
                <w:sz w:val="20"/>
                <w:szCs w:val="20"/>
              </w:rPr>
              <w:fldChar w:fldCharType="separate"/>
            </w:r>
            <w:r w:rsidR="00211D64">
              <w:rPr>
                <w:rFonts w:ascii="Arial Narrow" w:hAnsi="Arial Narrow"/>
                <w:noProof/>
                <w:webHidden/>
                <w:sz w:val="20"/>
                <w:szCs w:val="20"/>
              </w:rPr>
              <w:t>119</w:t>
            </w:r>
            <w:r w:rsidR="00EE4557" w:rsidRPr="00EE4557">
              <w:rPr>
                <w:rFonts w:ascii="Arial Narrow" w:hAnsi="Arial Narrow"/>
                <w:noProof/>
                <w:webHidden/>
                <w:sz w:val="20"/>
                <w:szCs w:val="20"/>
              </w:rPr>
              <w:fldChar w:fldCharType="end"/>
            </w:r>
          </w:hyperlink>
        </w:p>
        <w:p w14:paraId="325CE7D1" w14:textId="77777777" w:rsidR="00EE4557" w:rsidRPr="00EE4557" w:rsidRDefault="00816B15">
          <w:pPr>
            <w:pStyle w:val="TOC1"/>
            <w:rPr>
              <w:rFonts w:ascii="Arial Narrow" w:eastAsiaTheme="minorEastAsia" w:hAnsi="Arial Narrow" w:cstheme="minorBidi"/>
              <w:noProof/>
              <w:sz w:val="20"/>
              <w:szCs w:val="20"/>
            </w:rPr>
          </w:pPr>
          <w:hyperlink w:anchor="_Toc210747605" w:history="1">
            <w:r w:rsidR="00EE4557" w:rsidRPr="00EE4557">
              <w:rPr>
                <w:rStyle w:val="Hyperlink"/>
                <w:rFonts w:ascii="Arial Narrow" w:eastAsia="Calibri" w:hAnsi="Arial Narrow" w:cs="Arial"/>
                <w:bCs/>
                <w:noProof/>
                <w:sz w:val="20"/>
                <w:szCs w:val="20"/>
                <w:lang w:val="bg-BG"/>
              </w:rPr>
              <w:t>2.</w:t>
            </w:r>
            <w:r w:rsidR="00EE4557" w:rsidRPr="00EE4557">
              <w:rPr>
                <w:rFonts w:ascii="Arial Narrow" w:eastAsiaTheme="minorEastAsia" w:hAnsi="Arial Narrow" w:cstheme="minorBidi"/>
                <w:noProof/>
                <w:sz w:val="20"/>
                <w:szCs w:val="20"/>
              </w:rPr>
              <w:tab/>
            </w:r>
            <w:r w:rsidR="00EE4557" w:rsidRPr="00EE4557">
              <w:rPr>
                <w:rStyle w:val="Hyperlink"/>
                <w:rFonts w:ascii="Arial Narrow" w:hAnsi="Arial Narrow" w:cs="Arial"/>
                <w:bCs/>
                <w:noProof/>
                <w:sz w:val="20"/>
                <w:szCs w:val="20"/>
                <w:lang w:val="bg-BG"/>
              </w:rPr>
              <w:t>Хидромелиорации</w:t>
            </w:r>
            <w:r w:rsidR="00EE4557" w:rsidRPr="00EE4557">
              <w:rPr>
                <w:rFonts w:ascii="Arial Narrow" w:hAnsi="Arial Narrow"/>
                <w:noProof/>
                <w:webHidden/>
                <w:sz w:val="20"/>
                <w:szCs w:val="20"/>
              </w:rPr>
              <w:tab/>
            </w:r>
            <w:r w:rsidR="00EE4557" w:rsidRPr="00EE4557">
              <w:rPr>
                <w:rFonts w:ascii="Arial Narrow" w:hAnsi="Arial Narrow"/>
                <w:noProof/>
                <w:webHidden/>
                <w:sz w:val="20"/>
                <w:szCs w:val="20"/>
              </w:rPr>
              <w:fldChar w:fldCharType="begin"/>
            </w:r>
            <w:r w:rsidR="00EE4557" w:rsidRPr="00EE4557">
              <w:rPr>
                <w:rFonts w:ascii="Arial Narrow" w:hAnsi="Arial Narrow"/>
                <w:noProof/>
                <w:webHidden/>
                <w:sz w:val="20"/>
                <w:szCs w:val="20"/>
              </w:rPr>
              <w:instrText xml:space="preserve"> PAGEREF _Toc210747605 \h </w:instrText>
            </w:r>
            <w:r w:rsidR="00EE4557" w:rsidRPr="00EE4557">
              <w:rPr>
                <w:rFonts w:ascii="Arial Narrow" w:hAnsi="Arial Narrow"/>
                <w:noProof/>
                <w:webHidden/>
                <w:sz w:val="20"/>
                <w:szCs w:val="20"/>
              </w:rPr>
            </w:r>
            <w:r w:rsidR="00EE4557" w:rsidRPr="00EE4557">
              <w:rPr>
                <w:rFonts w:ascii="Arial Narrow" w:hAnsi="Arial Narrow"/>
                <w:noProof/>
                <w:webHidden/>
                <w:sz w:val="20"/>
                <w:szCs w:val="20"/>
              </w:rPr>
              <w:fldChar w:fldCharType="separate"/>
            </w:r>
            <w:r w:rsidR="00211D64">
              <w:rPr>
                <w:rFonts w:ascii="Arial Narrow" w:hAnsi="Arial Narrow"/>
                <w:noProof/>
                <w:webHidden/>
                <w:sz w:val="20"/>
                <w:szCs w:val="20"/>
              </w:rPr>
              <w:t>119</w:t>
            </w:r>
            <w:r w:rsidR="00EE4557" w:rsidRPr="00EE4557">
              <w:rPr>
                <w:rFonts w:ascii="Arial Narrow" w:hAnsi="Arial Narrow"/>
                <w:noProof/>
                <w:webHidden/>
                <w:sz w:val="20"/>
                <w:szCs w:val="20"/>
              </w:rPr>
              <w:fldChar w:fldCharType="end"/>
            </w:r>
          </w:hyperlink>
        </w:p>
        <w:p w14:paraId="31360575" w14:textId="77777777" w:rsidR="00EE4557" w:rsidRPr="00EE4557" w:rsidRDefault="00816B15">
          <w:pPr>
            <w:pStyle w:val="TOC1"/>
            <w:rPr>
              <w:rFonts w:ascii="Arial Narrow" w:eastAsiaTheme="minorEastAsia" w:hAnsi="Arial Narrow" w:cstheme="minorBidi"/>
              <w:noProof/>
              <w:sz w:val="20"/>
              <w:szCs w:val="20"/>
            </w:rPr>
          </w:pPr>
          <w:hyperlink w:anchor="_Toc210747606" w:history="1">
            <w:r w:rsidR="00EE4557" w:rsidRPr="00EE4557">
              <w:rPr>
                <w:rStyle w:val="Hyperlink"/>
                <w:rFonts w:ascii="Arial Narrow" w:hAnsi="Arial Narrow" w:cs="Arial"/>
                <w:noProof/>
                <w:sz w:val="20"/>
                <w:szCs w:val="20"/>
                <w:lang w:val="bg-BG"/>
              </w:rPr>
              <w:t>2.1.</w:t>
            </w:r>
            <w:r w:rsidR="00EE4557" w:rsidRPr="00EE4557">
              <w:rPr>
                <w:rFonts w:ascii="Arial Narrow" w:eastAsiaTheme="minorEastAsia" w:hAnsi="Arial Narrow" w:cstheme="minorBidi"/>
                <w:noProof/>
                <w:sz w:val="20"/>
                <w:szCs w:val="20"/>
              </w:rPr>
              <w:tab/>
            </w:r>
            <w:r w:rsidR="00EE4557" w:rsidRPr="00EE4557">
              <w:rPr>
                <w:rStyle w:val="Hyperlink"/>
                <w:rFonts w:ascii="Arial Narrow" w:hAnsi="Arial Narrow" w:cs="Arial"/>
                <w:noProof/>
                <w:sz w:val="20"/>
                <w:szCs w:val="20"/>
                <w:lang w:val="bg-BG"/>
              </w:rPr>
              <w:t>Обекти за предпазване от вредното въздействие на водите</w:t>
            </w:r>
            <w:r w:rsidR="00EE4557" w:rsidRPr="00EE4557">
              <w:rPr>
                <w:rFonts w:ascii="Arial Narrow" w:hAnsi="Arial Narrow"/>
                <w:noProof/>
                <w:webHidden/>
                <w:sz w:val="20"/>
                <w:szCs w:val="20"/>
              </w:rPr>
              <w:tab/>
            </w:r>
            <w:r w:rsidR="00EE4557" w:rsidRPr="00EE4557">
              <w:rPr>
                <w:rFonts w:ascii="Arial Narrow" w:hAnsi="Arial Narrow"/>
                <w:noProof/>
                <w:webHidden/>
                <w:sz w:val="20"/>
                <w:szCs w:val="20"/>
              </w:rPr>
              <w:fldChar w:fldCharType="begin"/>
            </w:r>
            <w:r w:rsidR="00EE4557" w:rsidRPr="00EE4557">
              <w:rPr>
                <w:rFonts w:ascii="Arial Narrow" w:hAnsi="Arial Narrow"/>
                <w:noProof/>
                <w:webHidden/>
                <w:sz w:val="20"/>
                <w:szCs w:val="20"/>
              </w:rPr>
              <w:instrText xml:space="preserve"> PAGEREF _Toc210747606 \h </w:instrText>
            </w:r>
            <w:r w:rsidR="00EE4557" w:rsidRPr="00EE4557">
              <w:rPr>
                <w:rFonts w:ascii="Arial Narrow" w:hAnsi="Arial Narrow"/>
                <w:noProof/>
                <w:webHidden/>
                <w:sz w:val="20"/>
                <w:szCs w:val="20"/>
              </w:rPr>
            </w:r>
            <w:r w:rsidR="00EE4557" w:rsidRPr="00EE4557">
              <w:rPr>
                <w:rFonts w:ascii="Arial Narrow" w:hAnsi="Arial Narrow"/>
                <w:noProof/>
                <w:webHidden/>
                <w:sz w:val="20"/>
                <w:szCs w:val="20"/>
              </w:rPr>
              <w:fldChar w:fldCharType="separate"/>
            </w:r>
            <w:r w:rsidR="00211D64">
              <w:rPr>
                <w:rFonts w:ascii="Arial Narrow" w:hAnsi="Arial Narrow"/>
                <w:noProof/>
                <w:webHidden/>
                <w:sz w:val="20"/>
                <w:szCs w:val="20"/>
              </w:rPr>
              <w:t>119</w:t>
            </w:r>
            <w:r w:rsidR="00EE4557" w:rsidRPr="00EE4557">
              <w:rPr>
                <w:rFonts w:ascii="Arial Narrow" w:hAnsi="Arial Narrow"/>
                <w:noProof/>
                <w:webHidden/>
                <w:sz w:val="20"/>
                <w:szCs w:val="20"/>
              </w:rPr>
              <w:fldChar w:fldCharType="end"/>
            </w:r>
          </w:hyperlink>
        </w:p>
        <w:p w14:paraId="007C3841" w14:textId="77777777" w:rsidR="00EE4557" w:rsidRPr="00EE4557" w:rsidRDefault="00816B15">
          <w:pPr>
            <w:pStyle w:val="TOC1"/>
            <w:rPr>
              <w:rFonts w:ascii="Arial Narrow" w:eastAsiaTheme="minorEastAsia" w:hAnsi="Arial Narrow" w:cstheme="minorBidi"/>
              <w:noProof/>
              <w:sz w:val="20"/>
              <w:szCs w:val="20"/>
            </w:rPr>
          </w:pPr>
          <w:hyperlink w:anchor="_Toc210747607" w:history="1">
            <w:r w:rsidR="00EE4557" w:rsidRPr="00EE4557">
              <w:rPr>
                <w:rStyle w:val="Hyperlink"/>
                <w:rFonts w:ascii="Arial Narrow" w:hAnsi="Arial Narrow"/>
                <w:bCs/>
                <w:noProof/>
                <w:sz w:val="20"/>
                <w:szCs w:val="20"/>
                <w:lang w:val="bg-BG" w:eastAsia="bg-BG"/>
              </w:rPr>
              <w:t>2.2.</w:t>
            </w:r>
            <w:r w:rsidR="00EE4557" w:rsidRPr="00EE4557">
              <w:rPr>
                <w:rFonts w:ascii="Arial Narrow" w:eastAsiaTheme="minorEastAsia" w:hAnsi="Arial Narrow" w:cstheme="minorBidi"/>
                <w:noProof/>
                <w:sz w:val="20"/>
                <w:szCs w:val="20"/>
              </w:rPr>
              <w:tab/>
            </w:r>
            <w:r w:rsidR="00EE4557" w:rsidRPr="00EE4557">
              <w:rPr>
                <w:rStyle w:val="Hyperlink"/>
                <w:rFonts w:ascii="Arial Narrow" w:hAnsi="Arial Narrow"/>
                <w:bCs/>
                <w:noProof/>
                <w:sz w:val="20"/>
                <w:szCs w:val="20"/>
                <w:lang w:val="bg-BG" w:eastAsia="bg-BG"/>
              </w:rPr>
              <w:t>Напояване</w:t>
            </w:r>
            <w:r w:rsidR="00EE4557" w:rsidRPr="00EE4557">
              <w:rPr>
                <w:rFonts w:ascii="Arial Narrow" w:hAnsi="Arial Narrow"/>
                <w:noProof/>
                <w:webHidden/>
                <w:sz w:val="20"/>
                <w:szCs w:val="20"/>
              </w:rPr>
              <w:tab/>
            </w:r>
            <w:r w:rsidR="00EE4557" w:rsidRPr="00EE4557">
              <w:rPr>
                <w:rFonts w:ascii="Arial Narrow" w:hAnsi="Arial Narrow"/>
                <w:noProof/>
                <w:webHidden/>
                <w:sz w:val="20"/>
                <w:szCs w:val="20"/>
              </w:rPr>
              <w:fldChar w:fldCharType="begin"/>
            </w:r>
            <w:r w:rsidR="00EE4557" w:rsidRPr="00EE4557">
              <w:rPr>
                <w:rFonts w:ascii="Arial Narrow" w:hAnsi="Arial Narrow"/>
                <w:noProof/>
                <w:webHidden/>
                <w:sz w:val="20"/>
                <w:szCs w:val="20"/>
              </w:rPr>
              <w:instrText xml:space="preserve"> PAGEREF _Toc210747607 \h </w:instrText>
            </w:r>
            <w:r w:rsidR="00EE4557" w:rsidRPr="00EE4557">
              <w:rPr>
                <w:rFonts w:ascii="Arial Narrow" w:hAnsi="Arial Narrow"/>
                <w:noProof/>
                <w:webHidden/>
                <w:sz w:val="20"/>
                <w:szCs w:val="20"/>
              </w:rPr>
            </w:r>
            <w:r w:rsidR="00EE4557" w:rsidRPr="00EE4557">
              <w:rPr>
                <w:rFonts w:ascii="Arial Narrow" w:hAnsi="Arial Narrow"/>
                <w:noProof/>
                <w:webHidden/>
                <w:sz w:val="20"/>
                <w:szCs w:val="20"/>
              </w:rPr>
              <w:fldChar w:fldCharType="separate"/>
            </w:r>
            <w:r w:rsidR="00211D64">
              <w:rPr>
                <w:rFonts w:ascii="Arial Narrow" w:hAnsi="Arial Narrow"/>
                <w:noProof/>
                <w:webHidden/>
                <w:sz w:val="20"/>
                <w:szCs w:val="20"/>
              </w:rPr>
              <w:t>120</w:t>
            </w:r>
            <w:r w:rsidR="00EE4557" w:rsidRPr="00EE4557">
              <w:rPr>
                <w:rFonts w:ascii="Arial Narrow" w:hAnsi="Arial Narrow"/>
                <w:noProof/>
                <w:webHidden/>
                <w:sz w:val="20"/>
                <w:szCs w:val="20"/>
              </w:rPr>
              <w:fldChar w:fldCharType="end"/>
            </w:r>
          </w:hyperlink>
        </w:p>
        <w:p w14:paraId="3886D02C" w14:textId="77777777" w:rsidR="00EE4557" w:rsidRPr="00EE4557" w:rsidRDefault="00816B15">
          <w:pPr>
            <w:pStyle w:val="TOC1"/>
            <w:rPr>
              <w:rFonts w:ascii="Arial Narrow" w:eastAsiaTheme="minorEastAsia" w:hAnsi="Arial Narrow" w:cstheme="minorBidi"/>
              <w:noProof/>
              <w:sz w:val="20"/>
              <w:szCs w:val="20"/>
            </w:rPr>
          </w:pPr>
          <w:hyperlink w:anchor="_Toc210747608" w:history="1">
            <w:r w:rsidR="00EE4557" w:rsidRPr="00EE4557">
              <w:rPr>
                <w:rStyle w:val="Hyperlink"/>
                <w:rFonts w:ascii="Arial Narrow" w:hAnsi="Arial Narrow" w:cs="Arial"/>
                <w:noProof/>
                <w:sz w:val="20"/>
                <w:szCs w:val="20"/>
                <w:lang w:val="bg-BG"/>
              </w:rPr>
              <w:t>2.3.</w:t>
            </w:r>
            <w:r w:rsidR="00EE4557" w:rsidRPr="00EE4557">
              <w:rPr>
                <w:rFonts w:ascii="Arial Narrow" w:eastAsiaTheme="minorEastAsia" w:hAnsi="Arial Narrow" w:cstheme="minorBidi"/>
                <w:noProof/>
                <w:sz w:val="20"/>
                <w:szCs w:val="20"/>
              </w:rPr>
              <w:tab/>
            </w:r>
            <w:r w:rsidR="00EE4557" w:rsidRPr="00EE4557">
              <w:rPr>
                <w:rStyle w:val="Hyperlink"/>
                <w:rFonts w:ascii="Arial Narrow" w:hAnsi="Arial Narrow" w:cs="Arial"/>
                <w:noProof/>
                <w:sz w:val="20"/>
                <w:szCs w:val="20"/>
                <w:lang w:val="bg-BG"/>
              </w:rPr>
              <w:t>Подкрепа за инвестиции в хидромелиоративна инфраструктура</w:t>
            </w:r>
            <w:r w:rsidR="00EE4557" w:rsidRPr="00EE4557">
              <w:rPr>
                <w:rFonts w:ascii="Arial Narrow" w:hAnsi="Arial Narrow"/>
                <w:noProof/>
                <w:webHidden/>
                <w:sz w:val="20"/>
                <w:szCs w:val="20"/>
              </w:rPr>
              <w:tab/>
            </w:r>
            <w:r w:rsidR="00EE4557" w:rsidRPr="00EE4557">
              <w:rPr>
                <w:rFonts w:ascii="Arial Narrow" w:hAnsi="Arial Narrow"/>
                <w:noProof/>
                <w:webHidden/>
                <w:sz w:val="20"/>
                <w:szCs w:val="20"/>
              </w:rPr>
              <w:fldChar w:fldCharType="begin"/>
            </w:r>
            <w:r w:rsidR="00EE4557" w:rsidRPr="00EE4557">
              <w:rPr>
                <w:rFonts w:ascii="Arial Narrow" w:hAnsi="Arial Narrow"/>
                <w:noProof/>
                <w:webHidden/>
                <w:sz w:val="20"/>
                <w:szCs w:val="20"/>
              </w:rPr>
              <w:instrText xml:space="preserve"> PAGEREF _Toc210747608 \h </w:instrText>
            </w:r>
            <w:r w:rsidR="00EE4557" w:rsidRPr="00EE4557">
              <w:rPr>
                <w:rFonts w:ascii="Arial Narrow" w:hAnsi="Arial Narrow"/>
                <w:noProof/>
                <w:webHidden/>
                <w:sz w:val="20"/>
                <w:szCs w:val="20"/>
              </w:rPr>
            </w:r>
            <w:r w:rsidR="00EE4557" w:rsidRPr="00EE4557">
              <w:rPr>
                <w:rFonts w:ascii="Arial Narrow" w:hAnsi="Arial Narrow"/>
                <w:noProof/>
                <w:webHidden/>
                <w:sz w:val="20"/>
                <w:szCs w:val="20"/>
              </w:rPr>
              <w:fldChar w:fldCharType="separate"/>
            </w:r>
            <w:r w:rsidR="00211D64">
              <w:rPr>
                <w:rFonts w:ascii="Arial Narrow" w:hAnsi="Arial Narrow"/>
                <w:noProof/>
                <w:webHidden/>
                <w:sz w:val="20"/>
                <w:szCs w:val="20"/>
              </w:rPr>
              <w:t>121</w:t>
            </w:r>
            <w:r w:rsidR="00EE4557" w:rsidRPr="00EE4557">
              <w:rPr>
                <w:rFonts w:ascii="Arial Narrow" w:hAnsi="Arial Narrow"/>
                <w:noProof/>
                <w:webHidden/>
                <w:sz w:val="20"/>
                <w:szCs w:val="20"/>
              </w:rPr>
              <w:fldChar w:fldCharType="end"/>
            </w:r>
          </w:hyperlink>
        </w:p>
        <w:p w14:paraId="26ECECCF" w14:textId="77777777" w:rsidR="00EE4557" w:rsidRPr="00EE4557" w:rsidRDefault="00816B15">
          <w:pPr>
            <w:pStyle w:val="TOC1"/>
            <w:rPr>
              <w:rFonts w:ascii="Arial Narrow" w:eastAsiaTheme="minorEastAsia" w:hAnsi="Arial Narrow" w:cstheme="minorBidi"/>
              <w:noProof/>
              <w:sz w:val="20"/>
              <w:szCs w:val="20"/>
            </w:rPr>
          </w:pPr>
          <w:hyperlink w:anchor="_Toc210747609" w:history="1">
            <w:r w:rsidR="00EE4557" w:rsidRPr="00EE4557">
              <w:rPr>
                <w:rStyle w:val="Hyperlink"/>
                <w:rFonts w:ascii="Arial Narrow" w:eastAsia="Calibri" w:hAnsi="Arial Narrow" w:cs="Arial"/>
                <w:bCs/>
                <w:noProof/>
                <w:sz w:val="20"/>
                <w:szCs w:val="20"/>
                <w:lang w:val="bg-BG"/>
              </w:rPr>
              <w:t>3.</w:t>
            </w:r>
            <w:r w:rsidR="00EE4557" w:rsidRPr="00EE4557">
              <w:rPr>
                <w:rFonts w:ascii="Arial Narrow" w:eastAsiaTheme="minorEastAsia" w:hAnsi="Arial Narrow" w:cstheme="minorBidi"/>
                <w:noProof/>
                <w:sz w:val="20"/>
                <w:szCs w:val="20"/>
              </w:rPr>
              <w:tab/>
            </w:r>
            <w:r w:rsidR="00EE4557" w:rsidRPr="00EE4557">
              <w:rPr>
                <w:rStyle w:val="Hyperlink"/>
                <w:rFonts w:ascii="Arial Narrow" w:eastAsia="Calibri" w:hAnsi="Arial Narrow" w:cs="Arial"/>
                <w:bCs/>
                <w:noProof/>
                <w:sz w:val="20"/>
                <w:szCs w:val="20"/>
                <w:lang w:val="bg-BG"/>
              </w:rPr>
              <w:t>Растителна защита и фитосанитарен контрол</w:t>
            </w:r>
            <w:r w:rsidR="00EE4557" w:rsidRPr="00EE4557">
              <w:rPr>
                <w:rFonts w:ascii="Arial Narrow" w:hAnsi="Arial Narrow"/>
                <w:noProof/>
                <w:webHidden/>
                <w:sz w:val="20"/>
                <w:szCs w:val="20"/>
              </w:rPr>
              <w:tab/>
            </w:r>
            <w:r w:rsidR="00EE4557" w:rsidRPr="00EE4557">
              <w:rPr>
                <w:rFonts w:ascii="Arial Narrow" w:hAnsi="Arial Narrow"/>
                <w:noProof/>
                <w:webHidden/>
                <w:sz w:val="20"/>
                <w:szCs w:val="20"/>
              </w:rPr>
              <w:fldChar w:fldCharType="begin"/>
            </w:r>
            <w:r w:rsidR="00EE4557" w:rsidRPr="00EE4557">
              <w:rPr>
                <w:rFonts w:ascii="Arial Narrow" w:hAnsi="Arial Narrow"/>
                <w:noProof/>
                <w:webHidden/>
                <w:sz w:val="20"/>
                <w:szCs w:val="20"/>
              </w:rPr>
              <w:instrText xml:space="preserve"> PAGEREF _Toc210747609 \h </w:instrText>
            </w:r>
            <w:r w:rsidR="00EE4557" w:rsidRPr="00EE4557">
              <w:rPr>
                <w:rFonts w:ascii="Arial Narrow" w:hAnsi="Arial Narrow"/>
                <w:noProof/>
                <w:webHidden/>
                <w:sz w:val="20"/>
                <w:szCs w:val="20"/>
              </w:rPr>
            </w:r>
            <w:r w:rsidR="00EE4557" w:rsidRPr="00EE4557">
              <w:rPr>
                <w:rFonts w:ascii="Arial Narrow" w:hAnsi="Arial Narrow"/>
                <w:noProof/>
                <w:webHidden/>
                <w:sz w:val="20"/>
                <w:szCs w:val="20"/>
              </w:rPr>
              <w:fldChar w:fldCharType="separate"/>
            </w:r>
            <w:r w:rsidR="00211D64">
              <w:rPr>
                <w:rFonts w:ascii="Arial Narrow" w:hAnsi="Arial Narrow"/>
                <w:noProof/>
                <w:webHidden/>
                <w:sz w:val="20"/>
                <w:szCs w:val="20"/>
              </w:rPr>
              <w:t>122</w:t>
            </w:r>
            <w:r w:rsidR="00EE4557" w:rsidRPr="00EE4557">
              <w:rPr>
                <w:rFonts w:ascii="Arial Narrow" w:hAnsi="Arial Narrow"/>
                <w:noProof/>
                <w:webHidden/>
                <w:sz w:val="20"/>
                <w:szCs w:val="20"/>
              </w:rPr>
              <w:fldChar w:fldCharType="end"/>
            </w:r>
          </w:hyperlink>
        </w:p>
        <w:p w14:paraId="6A458D19" w14:textId="77777777" w:rsidR="00EE4557" w:rsidRPr="00EE4557" w:rsidRDefault="00816B15">
          <w:pPr>
            <w:pStyle w:val="TOC1"/>
            <w:rPr>
              <w:rFonts w:ascii="Arial Narrow" w:eastAsiaTheme="minorEastAsia" w:hAnsi="Arial Narrow" w:cstheme="minorBidi"/>
              <w:noProof/>
              <w:sz w:val="20"/>
              <w:szCs w:val="20"/>
            </w:rPr>
          </w:pPr>
          <w:hyperlink w:anchor="_Toc210747610" w:history="1">
            <w:r w:rsidR="00EE4557" w:rsidRPr="00EE4557">
              <w:rPr>
                <w:rStyle w:val="Hyperlink"/>
                <w:rFonts w:ascii="Arial Narrow" w:hAnsi="Arial Narrow"/>
                <w:noProof/>
                <w:sz w:val="20"/>
                <w:szCs w:val="20"/>
                <w:lang w:val="bg-BG"/>
              </w:rPr>
              <w:t>3.1.</w:t>
            </w:r>
            <w:r w:rsidR="00EE4557" w:rsidRPr="00EE4557">
              <w:rPr>
                <w:rFonts w:ascii="Arial Narrow" w:eastAsiaTheme="minorEastAsia" w:hAnsi="Arial Narrow" w:cstheme="minorBidi"/>
                <w:noProof/>
                <w:sz w:val="20"/>
                <w:szCs w:val="20"/>
              </w:rPr>
              <w:tab/>
            </w:r>
            <w:r w:rsidR="00EE4557" w:rsidRPr="00EE4557">
              <w:rPr>
                <w:rStyle w:val="Hyperlink"/>
                <w:rFonts w:ascii="Arial Narrow" w:hAnsi="Arial Narrow"/>
                <w:noProof/>
                <w:sz w:val="20"/>
                <w:szCs w:val="20"/>
                <w:lang w:val="bg-BG"/>
              </w:rPr>
              <w:t>Наблюдение върху развитието на икономически важни вредители и растителна защита</w:t>
            </w:r>
            <w:r w:rsidR="00EE4557" w:rsidRPr="00EE4557">
              <w:rPr>
                <w:rFonts w:ascii="Arial Narrow" w:hAnsi="Arial Narrow"/>
                <w:noProof/>
                <w:webHidden/>
                <w:sz w:val="20"/>
                <w:szCs w:val="20"/>
              </w:rPr>
              <w:tab/>
            </w:r>
            <w:r w:rsidR="00EE4557" w:rsidRPr="00EE4557">
              <w:rPr>
                <w:rFonts w:ascii="Arial Narrow" w:hAnsi="Arial Narrow"/>
                <w:noProof/>
                <w:webHidden/>
                <w:sz w:val="20"/>
                <w:szCs w:val="20"/>
              </w:rPr>
              <w:fldChar w:fldCharType="begin"/>
            </w:r>
            <w:r w:rsidR="00EE4557" w:rsidRPr="00EE4557">
              <w:rPr>
                <w:rFonts w:ascii="Arial Narrow" w:hAnsi="Arial Narrow"/>
                <w:noProof/>
                <w:webHidden/>
                <w:sz w:val="20"/>
                <w:szCs w:val="20"/>
              </w:rPr>
              <w:instrText xml:space="preserve"> PAGEREF _Toc210747610 \h </w:instrText>
            </w:r>
            <w:r w:rsidR="00EE4557" w:rsidRPr="00EE4557">
              <w:rPr>
                <w:rFonts w:ascii="Arial Narrow" w:hAnsi="Arial Narrow"/>
                <w:noProof/>
                <w:webHidden/>
                <w:sz w:val="20"/>
                <w:szCs w:val="20"/>
              </w:rPr>
            </w:r>
            <w:r w:rsidR="00EE4557" w:rsidRPr="00EE4557">
              <w:rPr>
                <w:rFonts w:ascii="Arial Narrow" w:hAnsi="Arial Narrow"/>
                <w:noProof/>
                <w:webHidden/>
                <w:sz w:val="20"/>
                <w:szCs w:val="20"/>
              </w:rPr>
              <w:fldChar w:fldCharType="separate"/>
            </w:r>
            <w:r w:rsidR="00211D64">
              <w:rPr>
                <w:rFonts w:ascii="Arial Narrow" w:hAnsi="Arial Narrow"/>
                <w:noProof/>
                <w:webHidden/>
                <w:sz w:val="20"/>
                <w:szCs w:val="20"/>
              </w:rPr>
              <w:t>122</w:t>
            </w:r>
            <w:r w:rsidR="00EE4557" w:rsidRPr="00EE4557">
              <w:rPr>
                <w:rFonts w:ascii="Arial Narrow" w:hAnsi="Arial Narrow"/>
                <w:noProof/>
                <w:webHidden/>
                <w:sz w:val="20"/>
                <w:szCs w:val="20"/>
              </w:rPr>
              <w:fldChar w:fldCharType="end"/>
            </w:r>
          </w:hyperlink>
        </w:p>
        <w:p w14:paraId="0942F85D" w14:textId="77777777" w:rsidR="00EE4557" w:rsidRPr="00EE4557" w:rsidRDefault="00816B15">
          <w:pPr>
            <w:pStyle w:val="TOC1"/>
            <w:rPr>
              <w:rFonts w:ascii="Arial Narrow" w:eastAsiaTheme="minorEastAsia" w:hAnsi="Arial Narrow" w:cstheme="minorBidi"/>
              <w:noProof/>
              <w:sz w:val="20"/>
              <w:szCs w:val="20"/>
            </w:rPr>
          </w:pPr>
          <w:hyperlink w:anchor="_Toc210747611" w:history="1">
            <w:r w:rsidR="00EE4557" w:rsidRPr="00EE4557">
              <w:rPr>
                <w:rStyle w:val="Hyperlink"/>
                <w:rFonts w:ascii="Arial Narrow" w:hAnsi="Arial Narrow"/>
                <w:noProof/>
                <w:sz w:val="20"/>
                <w:szCs w:val="20"/>
                <w:lang w:val="bg-BG"/>
              </w:rPr>
              <w:t>3.2.</w:t>
            </w:r>
            <w:r w:rsidR="00EE4557" w:rsidRPr="00EE4557">
              <w:rPr>
                <w:rFonts w:ascii="Arial Narrow" w:eastAsiaTheme="minorEastAsia" w:hAnsi="Arial Narrow" w:cstheme="minorBidi"/>
                <w:noProof/>
                <w:sz w:val="20"/>
                <w:szCs w:val="20"/>
              </w:rPr>
              <w:tab/>
            </w:r>
            <w:r w:rsidR="00EE4557" w:rsidRPr="00EE4557">
              <w:rPr>
                <w:rStyle w:val="Hyperlink"/>
                <w:rFonts w:ascii="Arial Narrow" w:hAnsi="Arial Narrow"/>
                <w:noProof/>
                <w:sz w:val="20"/>
                <w:szCs w:val="20"/>
                <w:lang w:val="bg-BG"/>
              </w:rPr>
              <w:t>Растителна защита</w:t>
            </w:r>
            <w:r w:rsidR="00EE4557" w:rsidRPr="00EE4557">
              <w:rPr>
                <w:rFonts w:ascii="Arial Narrow" w:hAnsi="Arial Narrow"/>
                <w:noProof/>
                <w:webHidden/>
                <w:sz w:val="20"/>
                <w:szCs w:val="20"/>
              </w:rPr>
              <w:tab/>
            </w:r>
            <w:r w:rsidR="00EE4557" w:rsidRPr="00EE4557">
              <w:rPr>
                <w:rFonts w:ascii="Arial Narrow" w:hAnsi="Arial Narrow"/>
                <w:noProof/>
                <w:webHidden/>
                <w:sz w:val="20"/>
                <w:szCs w:val="20"/>
              </w:rPr>
              <w:fldChar w:fldCharType="begin"/>
            </w:r>
            <w:r w:rsidR="00EE4557" w:rsidRPr="00EE4557">
              <w:rPr>
                <w:rFonts w:ascii="Arial Narrow" w:hAnsi="Arial Narrow"/>
                <w:noProof/>
                <w:webHidden/>
                <w:sz w:val="20"/>
                <w:szCs w:val="20"/>
              </w:rPr>
              <w:instrText xml:space="preserve"> PAGEREF _Toc210747611 \h </w:instrText>
            </w:r>
            <w:r w:rsidR="00EE4557" w:rsidRPr="00EE4557">
              <w:rPr>
                <w:rFonts w:ascii="Arial Narrow" w:hAnsi="Arial Narrow"/>
                <w:noProof/>
                <w:webHidden/>
                <w:sz w:val="20"/>
                <w:szCs w:val="20"/>
              </w:rPr>
            </w:r>
            <w:r w:rsidR="00EE4557" w:rsidRPr="00EE4557">
              <w:rPr>
                <w:rFonts w:ascii="Arial Narrow" w:hAnsi="Arial Narrow"/>
                <w:noProof/>
                <w:webHidden/>
                <w:sz w:val="20"/>
                <w:szCs w:val="20"/>
              </w:rPr>
              <w:fldChar w:fldCharType="separate"/>
            </w:r>
            <w:r w:rsidR="00211D64">
              <w:rPr>
                <w:rFonts w:ascii="Arial Narrow" w:hAnsi="Arial Narrow"/>
                <w:noProof/>
                <w:webHidden/>
                <w:sz w:val="20"/>
                <w:szCs w:val="20"/>
              </w:rPr>
              <w:t>122</w:t>
            </w:r>
            <w:r w:rsidR="00EE4557" w:rsidRPr="00EE4557">
              <w:rPr>
                <w:rFonts w:ascii="Arial Narrow" w:hAnsi="Arial Narrow"/>
                <w:noProof/>
                <w:webHidden/>
                <w:sz w:val="20"/>
                <w:szCs w:val="20"/>
              </w:rPr>
              <w:fldChar w:fldCharType="end"/>
            </w:r>
          </w:hyperlink>
        </w:p>
        <w:p w14:paraId="693EBA0F" w14:textId="77777777" w:rsidR="00EE4557" w:rsidRPr="00EE4557" w:rsidRDefault="00816B15">
          <w:pPr>
            <w:pStyle w:val="TOC1"/>
            <w:rPr>
              <w:rFonts w:ascii="Arial Narrow" w:eastAsiaTheme="minorEastAsia" w:hAnsi="Arial Narrow" w:cstheme="minorBidi"/>
              <w:noProof/>
              <w:sz w:val="20"/>
              <w:szCs w:val="20"/>
            </w:rPr>
          </w:pPr>
          <w:hyperlink w:anchor="_Toc210747612" w:history="1">
            <w:r w:rsidR="00EE4557" w:rsidRPr="00EE4557">
              <w:rPr>
                <w:rStyle w:val="Hyperlink"/>
                <w:rFonts w:ascii="Arial Narrow" w:hAnsi="Arial Narrow"/>
                <w:noProof/>
                <w:sz w:val="20"/>
                <w:szCs w:val="20"/>
                <w:lang w:val="bg-BG"/>
              </w:rPr>
              <w:t>3.3.</w:t>
            </w:r>
            <w:r w:rsidR="00EE4557" w:rsidRPr="00EE4557">
              <w:rPr>
                <w:rFonts w:ascii="Arial Narrow" w:eastAsiaTheme="minorEastAsia" w:hAnsi="Arial Narrow" w:cstheme="minorBidi"/>
                <w:noProof/>
                <w:sz w:val="20"/>
                <w:szCs w:val="20"/>
              </w:rPr>
              <w:tab/>
            </w:r>
            <w:r w:rsidR="00EE4557" w:rsidRPr="00EE4557">
              <w:rPr>
                <w:rStyle w:val="Hyperlink"/>
                <w:rFonts w:ascii="Arial Narrow" w:hAnsi="Arial Narrow"/>
                <w:noProof/>
                <w:sz w:val="20"/>
                <w:szCs w:val="20"/>
                <w:lang w:val="bg-BG"/>
              </w:rPr>
              <w:t>Фитосанитарен контрол</w:t>
            </w:r>
            <w:r w:rsidR="00EE4557" w:rsidRPr="00EE4557">
              <w:rPr>
                <w:rFonts w:ascii="Arial Narrow" w:hAnsi="Arial Narrow"/>
                <w:noProof/>
                <w:webHidden/>
                <w:sz w:val="20"/>
                <w:szCs w:val="20"/>
              </w:rPr>
              <w:tab/>
            </w:r>
            <w:r w:rsidR="00EE4557" w:rsidRPr="00EE4557">
              <w:rPr>
                <w:rFonts w:ascii="Arial Narrow" w:hAnsi="Arial Narrow"/>
                <w:noProof/>
                <w:webHidden/>
                <w:sz w:val="20"/>
                <w:szCs w:val="20"/>
              </w:rPr>
              <w:fldChar w:fldCharType="begin"/>
            </w:r>
            <w:r w:rsidR="00EE4557" w:rsidRPr="00EE4557">
              <w:rPr>
                <w:rFonts w:ascii="Arial Narrow" w:hAnsi="Arial Narrow"/>
                <w:noProof/>
                <w:webHidden/>
                <w:sz w:val="20"/>
                <w:szCs w:val="20"/>
              </w:rPr>
              <w:instrText xml:space="preserve"> PAGEREF _Toc210747612 \h </w:instrText>
            </w:r>
            <w:r w:rsidR="00EE4557" w:rsidRPr="00EE4557">
              <w:rPr>
                <w:rFonts w:ascii="Arial Narrow" w:hAnsi="Arial Narrow"/>
                <w:noProof/>
                <w:webHidden/>
                <w:sz w:val="20"/>
                <w:szCs w:val="20"/>
              </w:rPr>
            </w:r>
            <w:r w:rsidR="00EE4557" w:rsidRPr="00EE4557">
              <w:rPr>
                <w:rFonts w:ascii="Arial Narrow" w:hAnsi="Arial Narrow"/>
                <w:noProof/>
                <w:webHidden/>
                <w:sz w:val="20"/>
                <w:szCs w:val="20"/>
              </w:rPr>
              <w:fldChar w:fldCharType="separate"/>
            </w:r>
            <w:r w:rsidR="00211D64">
              <w:rPr>
                <w:rFonts w:ascii="Arial Narrow" w:hAnsi="Arial Narrow"/>
                <w:noProof/>
                <w:webHidden/>
                <w:sz w:val="20"/>
                <w:szCs w:val="20"/>
              </w:rPr>
              <w:t>127</w:t>
            </w:r>
            <w:r w:rsidR="00EE4557" w:rsidRPr="00EE4557">
              <w:rPr>
                <w:rFonts w:ascii="Arial Narrow" w:hAnsi="Arial Narrow"/>
                <w:noProof/>
                <w:webHidden/>
                <w:sz w:val="20"/>
                <w:szCs w:val="20"/>
              </w:rPr>
              <w:fldChar w:fldCharType="end"/>
            </w:r>
          </w:hyperlink>
        </w:p>
        <w:p w14:paraId="2674CD15" w14:textId="77777777" w:rsidR="00EE4557" w:rsidRPr="00EE4557" w:rsidRDefault="00816B15">
          <w:pPr>
            <w:pStyle w:val="TOC1"/>
            <w:rPr>
              <w:rFonts w:ascii="Arial Narrow" w:eastAsiaTheme="minorEastAsia" w:hAnsi="Arial Narrow" w:cstheme="minorBidi"/>
              <w:noProof/>
              <w:sz w:val="20"/>
              <w:szCs w:val="20"/>
            </w:rPr>
          </w:pPr>
          <w:hyperlink w:anchor="_Toc210747613" w:history="1">
            <w:r w:rsidR="00EE4557" w:rsidRPr="00EE4557">
              <w:rPr>
                <w:rStyle w:val="Hyperlink"/>
                <w:rFonts w:ascii="Arial Narrow" w:hAnsi="Arial Narrow"/>
                <w:iCs/>
                <w:noProof/>
                <w:sz w:val="20"/>
                <w:szCs w:val="20"/>
                <w:lang w:val="bg-BG"/>
              </w:rPr>
              <w:t>3.3.1.</w:t>
            </w:r>
            <w:r w:rsidR="00EE4557" w:rsidRPr="00EE4557">
              <w:rPr>
                <w:rFonts w:ascii="Arial Narrow" w:eastAsiaTheme="minorEastAsia" w:hAnsi="Arial Narrow" w:cstheme="minorBidi"/>
                <w:noProof/>
                <w:sz w:val="20"/>
                <w:szCs w:val="20"/>
              </w:rPr>
              <w:tab/>
            </w:r>
            <w:r w:rsidR="00EE4557" w:rsidRPr="00EE4557">
              <w:rPr>
                <w:rStyle w:val="Hyperlink"/>
                <w:rFonts w:ascii="Arial Narrow" w:hAnsi="Arial Narrow"/>
                <w:iCs/>
                <w:noProof/>
                <w:sz w:val="20"/>
                <w:szCs w:val="20"/>
                <w:lang w:val="bg-BG"/>
              </w:rPr>
              <w:t>Контрол при производството на територията на България и движение на растения, растителни продукти и други обекти в ЕС</w:t>
            </w:r>
            <w:r w:rsidR="00EE4557" w:rsidRPr="00EE4557">
              <w:rPr>
                <w:rFonts w:ascii="Arial Narrow" w:hAnsi="Arial Narrow"/>
                <w:noProof/>
                <w:webHidden/>
                <w:sz w:val="20"/>
                <w:szCs w:val="20"/>
              </w:rPr>
              <w:tab/>
            </w:r>
            <w:r w:rsidR="00EE4557" w:rsidRPr="00EE4557">
              <w:rPr>
                <w:rFonts w:ascii="Arial Narrow" w:hAnsi="Arial Narrow"/>
                <w:noProof/>
                <w:webHidden/>
                <w:sz w:val="20"/>
                <w:szCs w:val="20"/>
              </w:rPr>
              <w:fldChar w:fldCharType="begin"/>
            </w:r>
            <w:r w:rsidR="00EE4557" w:rsidRPr="00EE4557">
              <w:rPr>
                <w:rFonts w:ascii="Arial Narrow" w:hAnsi="Arial Narrow"/>
                <w:noProof/>
                <w:webHidden/>
                <w:sz w:val="20"/>
                <w:szCs w:val="20"/>
              </w:rPr>
              <w:instrText xml:space="preserve"> PAGEREF _Toc210747613 \h </w:instrText>
            </w:r>
            <w:r w:rsidR="00EE4557" w:rsidRPr="00EE4557">
              <w:rPr>
                <w:rFonts w:ascii="Arial Narrow" w:hAnsi="Arial Narrow"/>
                <w:noProof/>
                <w:webHidden/>
                <w:sz w:val="20"/>
                <w:szCs w:val="20"/>
              </w:rPr>
            </w:r>
            <w:r w:rsidR="00EE4557" w:rsidRPr="00EE4557">
              <w:rPr>
                <w:rFonts w:ascii="Arial Narrow" w:hAnsi="Arial Narrow"/>
                <w:noProof/>
                <w:webHidden/>
                <w:sz w:val="20"/>
                <w:szCs w:val="20"/>
              </w:rPr>
              <w:fldChar w:fldCharType="separate"/>
            </w:r>
            <w:r w:rsidR="00211D64">
              <w:rPr>
                <w:rFonts w:ascii="Arial Narrow" w:hAnsi="Arial Narrow"/>
                <w:noProof/>
                <w:webHidden/>
                <w:sz w:val="20"/>
                <w:szCs w:val="20"/>
              </w:rPr>
              <w:t>128</w:t>
            </w:r>
            <w:r w:rsidR="00EE4557" w:rsidRPr="00EE4557">
              <w:rPr>
                <w:rFonts w:ascii="Arial Narrow" w:hAnsi="Arial Narrow"/>
                <w:noProof/>
                <w:webHidden/>
                <w:sz w:val="20"/>
                <w:szCs w:val="20"/>
              </w:rPr>
              <w:fldChar w:fldCharType="end"/>
            </w:r>
          </w:hyperlink>
        </w:p>
        <w:p w14:paraId="69EC6D3A" w14:textId="77777777" w:rsidR="00EE4557" w:rsidRPr="00EE4557" w:rsidRDefault="00816B15">
          <w:pPr>
            <w:pStyle w:val="TOC1"/>
            <w:rPr>
              <w:rFonts w:ascii="Arial Narrow" w:eastAsiaTheme="minorEastAsia" w:hAnsi="Arial Narrow" w:cstheme="minorBidi"/>
              <w:noProof/>
              <w:sz w:val="20"/>
              <w:szCs w:val="20"/>
            </w:rPr>
          </w:pPr>
          <w:hyperlink w:anchor="_Toc210747614" w:history="1">
            <w:r w:rsidR="00EE4557" w:rsidRPr="00EE4557">
              <w:rPr>
                <w:rStyle w:val="Hyperlink"/>
                <w:rFonts w:ascii="Arial Narrow" w:hAnsi="Arial Narrow"/>
                <w:iCs/>
                <w:noProof/>
                <w:sz w:val="20"/>
                <w:szCs w:val="20"/>
                <w:lang w:val="bg-BG"/>
              </w:rPr>
              <w:t>3.3.2.</w:t>
            </w:r>
            <w:r w:rsidR="00EE4557" w:rsidRPr="00EE4557">
              <w:rPr>
                <w:rFonts w:ascii="Arial Narrow" w:eastAsiaTheme="minorEastAsia" w:hAnsi="Arial Narrow" w:cstheme="minorBidi"/>
                <w:noProof/>
                <w:sz w:val="20"/>
                <w:szCs w:val="20"/>
              </w:rPr>
              <w:tab/>
            </w:r>
            <w:r w:rsidR="00EE4557" w:rsidRPr="00EE4557">
              <w:rPr>
                <w:rStyle w:val="Hyperlink"/>
                <w:rFonts w:ascii="Arial Narrow" w:hAnsi="Arial Narrow"/>
                <w:iCs/>
                <w:noProof/>
                <w:sz w:val="20"/>
                <w:szCs w:val="20"/>
                <w:lang w:val="bg-BG"/>
              </w:rPr>
              <w:t>Фитосанитарен контрол при износ</w:t>
            </w:r>
            <w:r w:rsidR="00EE4557" w:rsidRPr="00EE4557">
              <w:rPr>
                <w:rFonts w:ascii="Arial Narrow" w:hAnsi="Arial Narrow"/>
                <w:noProof/>
                <w:webHidden/>
                <w:sz w:val="20"/>
                <w:szCs w:val="20"/>
              </w:rPr>
              <w:tab/>
            </w:r>
            <w:r w:rsidR="00EE4557" w:rsidRPr="00EE4557">
              <w:rPr>
                <w:rFonts w:ascii="Arial Narrow" w:hAnsi="Arial Narrow"/>
                <w:noProof/>
                <w:webHidden/>
                <w:sz w:val="20"/>
                <w:szCs w:val="20"/>
              </w:rPr>
              <w:fldChar w:fldCharType="begin"/>
            </w:r>
            <w:r w:rsidR="00EE4557" w:rsidRPr="00EE4557">
              <w:rPr>
                <w:rFonts w:ascii="Arial Narrow" w:hAnsi="Arial Narrow"/>
                <w:noProof/>
                <w:webHidden/>
                <w:sz w:val="20"/>
                <w:szCs w:val="20"/>
              </w:rPr>
              <w:instrText xml:space="preserve"> PAGEREF _Toc210747614 \h </w:instrText>
            </w:r>
            <w:r w:rsidR="00EE4557" w:rsidRPr="00EE4557">
              <w:rPr>
                <w:rFonts w:ascii="Arial Narrow" w:hAnsi="Arial Narrow"/>
                <w:noProof/>
                <w:webHidden/>
                <w:sz w:val="20"/>
                <w:szCs w:val="20"/>
              </w:rPr>
            </w:r>
            <w:r w:rsidR="00EE4557" w:rsidRPr="00EE4557">
              <w:rPr>
                <w:rFonts w:ascii="Arial Narrow" w:hAnsi="Arial Narrow"/>
                <w:noProof/>
                <w:webHidden/>
                <w:sz w:val="20"/>
                <w:szCs w:val="20"/>
              </w:rPr>
              <w:fldChar w:fldCharType="separate"/>
            </w:r>
            <w:r w:rsidR="00211D64">
              <w:rPr>
                <w:rFonts w:ascii="Arial Narrow" w:hAnsi="Arial Narrow"/>
                <w:noProof/>
                <w:webHidden/>
                <w:sz w:val="20"/>
                <w:szCs w:val="20"/>
              </w:rPr>
              <w:t>129</w:t>
            </w:r>
            <w:r w:rsidR="00EE4557" w:rsidRPr="00EE4557">
              <w:rPr>
                <w:rFonts w:ascii="Arial Narrow" w:hAnsi="Arial Narrow"/>
                <w:noProof/>
                <w:webHidden/>
                <w:sz w:val="20"/>
                <w:szCs w:val="20"/>
              </w:rPr>
              <w:fldChar w:fldCharType="end"/>
            </w:r>
          </w:hyperlink>
        </w:p>
        <w:p w14:paraId="2E2738AA" w14:textId="77777777" w:rsidR="00EE4557" w:rsidRPr="00EE4557" w:rsidRDefault="00816B15">
          <w:pPr>
            <w:pStyle w:val="TOC1"/>
            <w:rPr>
              <w:rFonts w:ascii="Arial Narrow" w:eastAsiaTheme="minorEastAsia" w:hAnsi="Arial Narrow" w:cstheme="minorBidi"/>
              <w:noProof/>
              <w:sz w:val="20"/>
              <w:szCs w:val="20"/>
            </w:rPr>
          </w:pPr>
          <w:hyperlink w:anchor="_Toc210747615" w:history="1">
            <w:r w:rsidR="00EE4557" w:rsidRPr="00EE4557">
              <w:rPr>
                <w:rStyle w:val="Hyperlink"/>
                <w:rFonts w:ascii="Arial Narrow" w:hAnsi="Arial Narrow"/>
                <w:iCs/>
                <w:noProof/>
                <w:sz w:val="20"/>
                <w:szCs w:val="20"/>
                <w:lang w:val="bg-BG"/>
              </w:rPr>
              <w:t>3.3.3.</w:t>
            </w:r>
            <w:r w:rsidR="00EE4557" w:rsidRPr="00EE4557">
              <w:rPr>
                <w:rFonts w:ascii="Arial Narrow" w:eastAsiaTheme="minorEastAsia" w:hAnsi="Arial Narrow" w:cstheme="minorBidi"/>
                <w:noProof/>
                <w:sz w:val="20"/>
                <w:szCs w:val="20"/>
              </w:rPr>
              <w:tab/>
            </w:r>
            <w:r w:rsidR="00EE4557" w:rsidRPr="00EE4557">
              <w:rPr>
                <w:rStyle w:val="Hyperlink"/>
                <w:rFonts w:ascii="Arial Narrow" w:hAnsi="Arial Narrow"/>
                <w:iCs/>
                <w:noProof/>
                <w:sz w:val="20"/>
                <w:szCs w:val="20"/>
                <w:lang w:val="bg-BG"/>
              </w:rPr>
              <w:t>Фитосанитарен контрол при внос</w:t>
            </w:r>
            <w:r w:rsidR="00EE4557" w:rsidRPr="00EE4557">
              <w:rPr>
                <w:rFonts w:ascii="Arial Narrow" w:hAnsi="Arial Narrow"/>
                <w:noProof/>
                <w:webHidden/>
                <w:sz w:val="20"/>
                <w:szCs w:val="20"/>
              </w:rPr>
              <w:tab/>
            </w:r>
            <w:r w:rsidR="00EE4557" w:rsidRPr="00EE4557">
              <w:rPr>
                <w:rFonts w:ascii="Arial Narrow" w:hAnsi="Arial Narrow"/>
                <w:noProof/>
                <w:webHidden/>
                <w:sz w:val="20"/>
                <w:szCs w:val="20"/>
              </w:rPr>
              <w:fldChar w:fldCharType="begin"/>
            </w:r>
            <w:r w:rsidR="00EE4557" w:rsidRPr="00EE4557">
              <w:rPr>
                <w:rFonts w:ascii="Arial Narrow" w:hAnsi="Arial Narrow"/>
                <w:noProof/>
                <w:webHidden/>
                <w:sz w:val="20"/>
                <w:szCs w:val="20"/>
              </w:rPr>
              <w:instrText xml:space="preserve"> PAGEREF _Toc210747615 \h </w:instrText>
            </w:r>
            <w:r w:rsidR="00EE4557" w:rsidRPr="00EE4557">
              <w:rPr>
                <w:rFonts w:ascii="Arial Narrow" w:hAnsi="Arial Narrow"/>
                <w:noProof/>
                <w:webHidden/>
                <w:sz w:val="20"/>
                <w:szCs w:val="20"/>
              </w:rPr>
            </w:r>
            <w:r w:rsidR="00EE4557" w:rsidRPr="00EE4557">
              <w:rPr>
                <w:rFonts w:ascii="Arial Narrow" w:hAnsi="Arial Narrow"/>
                <w:noProof/>
                <w:webHidden/>
                <w:sz w:val="20"/>
                <w:szCs w:val="20"/>
              </w:rPr>
              <w:fldChar w:fldCharType="separate"/>
            </w:r>
            <w:r w:rsidR="00211D64">
              <w:rPr>
                <w:rFonts w:ascii="Arial Narrow" w:hAnsi="Arial Narrow"/>
                <w:noProof/>
                <w:webHidden/>
                <w:sz w:val="20"/>
                <w:szCs w:val="20"/>
              </w:rPr>
              <w:t>129</w:t>
            </w:r>
            <w:r w:rsidR="00EE4557" w:rsidRPr="00EE4557">
              <w:rPr>
                <w:rFonts w:ascii="Arial Narrow" w:hAnsi="Arial Narrow"/>
                <w:noProof/>
                <w:webHidden/>
                <w:sz w:val="20"/>
                <w:szCs w:val="20"/>
              </w:rPr>
              <w:fldChar w:fldCharType="end"/>
            </w:r>
          </w:hyperlink>
        </w:p>
        <w:p w14:paraId="31B5AF7F" w14:textId="77777777" w:rsidR="00EE4557" w:rsidRPr="00EE4557" w:rsidRDefault="00816B15">
          <w:pPr>
            <w:pStyle w:val="TOC1"/>
            <w:rPr>
              <w:rFonts w:ascii="Arial Narrow" w:eastAsiaTheme="minorEastAsia" w:hAnsi="Arial Narrow" w:cstheme="minorBidi"/>
              <w:noProof/>
              <w:sz w:val="20"/>
              <w:szCs w:val="20"/>
            </w:rPr>
          </w:pPr>
          <w:hyperlink w:anchor="_Toc210747616" w:history="1">
            <w:r w:rsidR="00EE4557" w:rsidRPr="00EE4557">
              <w:rPr>
                <w:rStyle w:val="Hyperlink"/>
                <w:rFonts w:ascii="Arial Narrow" w:hAnsi="Arial Narrow"/>
                <w:iCs/>
                <w:noProof/>
                <w:sz w:val="20"/>
                <w:szCs w:val="20"/>
                <w:lang w:val="bg-BG"/>
              </w:rPr>
              <w:t>3.4.</w:t>
            </w:r>
            <w:r w:rsidR="00EE4557" w:rsidRPr="00EE4557">
              <w:rPr>
                <w:rFonts w:ascii="Arial Narrow" w:eastAsiaTheme="minorEastAsia" w:hAnsi="Arial Narrow" w:cstheme="minorBidi"/>
                <w:noProof/>
                <w:sz w:val="20"/>
                <w:szCs w:val="20"/>
              </w:rPr>
              <w:tab/>
            </w:r>
            <w:r w:rsidR="00EE4557" w:rsidRPr="00EE4557">
              <w:rPr>
                <w:rStyle w:val="Hyperlink"/>
                <w:rFonts w:ascii="Arial Narrow" w:hAnsi="Arial Narrow"/>
                <w:iCs/>
                <w:noProof/>
                <w:sz w:val="20"/>
                <w:szCs w:val="20"/>
                <w:lang w:val="bg-BG"/>
              </w:rPr>
              <w:t>Контрол на продукти за растителна защита и торове</w:t>
            </w:r>
            <w:r w:rsidR="00EE4557" w:rsidRPr="00EE4557">
              <w:rPr>
                <w:rFonts w:ascii="Arial Narrow" w:hAnsi="Arial Narrow"/>
                <w:noProof/>
                <w:webHidden/>
                <w:sz w:val="20"/>
                <w:szCs w:val="20"/>
              </w:rPr>
              <w:tab/>
            </w:r>
            <w:r w:rsidR="00EE4557" w:rsidRPr="00EE4557">
              <w:rPr>
                <w:rFonts w:ascii="Arial Narrow" w:hAnsi="Arial Narrow"/>
                <w:noProof/>
                <w:webHidden/>
                <w:sz w:val="20"/>
                <w:szCs w:val="20"/>
              </w:rPr>
              <w:fldChar w:fldCharType="begin"/>
            </w:r>
            <w:r w:rsidR="00EE4557" w:rsidRPr="00EE4557">
              <w:rPr>
                <w:rFonts w:ascii="Arial Narrow" w:hAnsi="Arial Narrow"/>
                <w:noProof/>
                <w:webHidden/>
                <w:sz w:val="20"/>
                <w:szCs w:val="20"/>
              </w:rPr>
              <w:instrText xml:space="preserve"> PAGEREF _Toc210747616 \h </w:instrText>
            </w:r>
            <w:r w:rsidR="00EE4557" w:rsidRPr="00EE4557">
              <w:rPr>
                <w:rFonts w:ascii="Arial Narrow" w:hAnsi="Arial Narrow"/>
                <w:noProof/>
                <w:webHidden/>
                <w:sz w:val="20"/>
                <w:szCs w:val="20"/>
              </w:rPr>
            </w:r>
            <w:r w:rsidR="00EE4557" w:rsidRPr="00EE4557">
              <w:rPr>
                <w:rFonts w:ascii="Arial Narrow" w:hAnsi="Arial Narrow"/>
                <w:noProof/>
                <w:webHidden/>
                <w:sz w:val="20"/>
                <w:szCs w:val="20"/>
              </w:rPr>
              <w:fldChar w:fldCharType="separate"/>
            </w:r>
            <w:r w:rsidR="00211D64">
              <w:rPr>
                <w:rFonts w:ascii="Arial Narrow" w:hAnsi="Arial Narrow"/>
                <w:noProof/>
                <w:webHidden/>
                <w:sz w:val="20"/>
                <w:szCs w:val="20"/>
              </w:rPr>
              <w:t>129</w:t>
            </w:r>
            <w:r w:rsidR="00EE4557" w:rsidRPr="00EE4557">
              <w:rPr>
                <w:rFonts w:ascii="Arial Narrow" w:hAnsi="Arial Narrow"/>
                <w:noProof/>
                <w:webHidden/>
                <w:sz w:val="20"/>
                <w:szCs w:val="20"/>
              </w:rPr>
              <w:fldChar w:fldCharType="end"/>
            </w:r>
          </w:hyperlink>
        </w:p>
        <w:p w14:paraId="221A5788" w14:textId="77777777" w:rsidR="00EE4557" w:rsidRPr="00EE4557" w:rsidRDefault="00816B15">
          <w:pPr>
            <w:pStyle w:val="TOC1"/>
            <w:rPr>
              <w:rFonts w:ascii="Arial Narrow" w:eastAsiaTheme="minorEastAsia" w:hAnsi="Arial Narrow" w:cstheme="minorBidi"/>
              <w:noProof/>
              <w:sz w:val="20"/>
              <w:szCs w:val="20"/>
            </w:rPr>
          </w:pPr>
          <w:hyperlink w:anchor="_Toc210747617" w:history="1">
            <w:r w:rsidR="00EE4557" w:rsidRPr="00EE4557">
              <w:rPr>
                <w:rStyle w:val="Hyperlink"/>
                <w:rFonts w:ascii="Arial Narrow" w:hAnsi="Arial Narrow"/>
                <w:iCs/>
                <w:noProof/>
                <w:sz w:val="20"/>
                <w:szCs w:val="20"/>
                <w:lang w:val="bg-BG"/>
              </w:rPr>
              <w:t>3.4.1.</w:t>
            </w:r>
            <w:r w:rsidR="00EE4557" w:rsidRPr="00EE4557">
              <w:rPr>
                <w:rFonts w:ascii="Arial Narrow" w:eastAsiaTheme="minorEastAsia" w:hAnsi="Arial Narrow" w:cstheme="minorBidi"/>
                <w:noProof/>
                <w:sz w:val="20"/>
                <w:szCs w:val="20"/>
              </w:rPr>
              <w:tab/>
            </w:r>
            <w:r w:rsidR="00EE4557" w:rsidRPr="00EE4557">
              <w:rPr>
                <w:rStyle w:val="Hyperlink"/>
                <w:rFonts w:ascii="Arial Narrow" w:hAnsi="Arial Narrow"/>
                <w:iCs/>
                <w:noProof/>
                <w:sz w:val="20"/>
                <w:szCs w:val="20"/>
                <w:lang w:val="bg-BG"/>
              </w:rPr>
              <w:t>Резултати от контролната дейност върху предлагането на пазара на ПРЗ</w:t>
            </w:r>
            <w:r w:rsidR="00EE4557" w:rsidRPr="00EE4557">
              <w:rPr>
                <w:rFonts w:ascii="Arial Narrow" w:hAnsi="Arial Narrow"/>
                <w:noProof/>
                <w:webHidden/>
                <w:sz w:val="20"/>
                <w:szCs w:val="20"/>
              </w:rPr>
              <w:tab/>
            </w:r>
            <w:r w:rsidR="00EE4557" w:rsidRPr="00EE4557">
              <w:rPr>
                <w:rFonts w:ascii="Arial Narrow" w:hAnsi="Arial Narrow"/>
                <w:noProof/>
                <w:webHidden/>
                <w:sz w:val="20"/>
                <w:szCs w:val="20"/>
              </w:rPr>
              <w:fldChar w:fldCharType="begin"/>
            </w:r>
            <w:r w:rsidR="00EE4557" w:rsidRPr="00EE4557">
              <w:rPr>
                <w:rFonts w:ascii="Arial Narrow" w:hAnsi="Arial Narrow"/>
                <w:noProof/>
                <w:webHidden/>
                <w:sz w:val="20"/>
                <w:szCs w:val="20"/>
              </w:rPr>
              <w:instrText xml:space="preserve"> PAGEREF _Toc210747617 \h </w:instrText>
            </w:r>
            <w:r w:rsidR="00EE4557" w:rsidRPr="00EE4557">
              <w:rPr>
                <w:rFonts w:ascii="Arial Narrow" w:hAnsi="Arial Narrow"/>
                <w:noProof/>
                <w:webHidden/>
                <w:sz w:val="20"/>
                <w:szCs w:val="20"/>
              </w:rPr>
            </w:r>
            <w:r w:rsidR="00EE4557" w:rsidRPr="00EE4557">
              <w:rPr>
                <w:rFonts w:ascii="Arial Narrow" w:hAnsi="Arial Narrow"/>
                <w:noProof/>
                <w:webHidden/>
                <w:sz w:val="20"/>
                <w:szCs w:val="20"/>
              </w:rPr>
              <w:fldChar w:fldCharType="separate"/>
            </w:r>
            <w:r w:rsidR="00211D64">
              <w:rPr>
                <w:rFonts w:ascii="Arial Narrow" w:hAnsi="Arial Narrow"/>
                <w:noProof/>
                <w:webHidden/>
                <w:sz w:val="20"/>
                <w:szCs w:val="20"/>
              </w:rPr>
              <w:t>130</w:t>
            </w:r>
            <w:r w:rsidR="00EE4557" w:rsidRPr="00EE4557">
              <w:rPr>
                <w:rFonts w:ascii="Arial Narrow" w:hAnsi="Arial Narrow"/>
                <w:noProof/>
                <w:webHidden/>
                <w:sz w:val="20"/>
                <w:szCs w:val="20"/>
              </w:rPr>
              <w:fldChar w:fldCharType="end"/>
            </w:r>
          </w:hyperlink>
        </w:p>
        <w:p w14:paraId="679CBF51" w14:textId="77777777" w:rsidR="00EE4557" w:rsidRPr="00EE4557" w:rsidRDefault="00816B15">
          <w:pPr>
            <w:pStyle w:val="TOC1"/>
            <w:rPr>
              <w:rFonts w:ascii="Arial Narrow" w:eastAsiaTheme="minorEastAsia" w:hAnsi="Arial Narrow" w:cstheme="minorBidi"/>
              <w:noProof/>
              <w:sz w:val="20"/>
              <w:szCs w:val="20"/>
            </w:rPr>
          </w:pPr>
          <w:hyperlink w:anchor="_Toc210747618" w:history="1">
            <w:r w:rsidR="00EE4557" w:rsidRPr="00EE4557">
              <w:rPr>
                <w:rStyle w:val="Hyperlink"/>
                <w:rFonts w:ascii="Arial Narrow" w:hAnsi="Arial Narrow"/>
                <w:iCs/>
                <w:noProof/>
                <w:sz w:val="20"/>
                <w:szCs w:val="20"/>
                <w:lang w:val="bg-BG"/>
              </w:rPr>
              <w:t>3.4.2.</w:t>
            </w:r>
            <w:r w:rsidR="00EE4557" w:rsidRPr="00EE4557">
              <w:rPr>
                <w:rFonts w:ascii="Arial Narrow" w:eastAsiaTheme="minorEastAsia" w:hAnsi="Arial Narrow" w:cstheme="minorBidi"/>
                <w:noProof/>
                <w:sz w:val="20"/>
                <w:szCs w:val="20"/>
              </w:rPr>
              <w:tab/>
            </w:r>
            <w:r w:rsidR="00EE4557" w:rsidRPr="00EE4557">
              <w:rPr>
                <w:rStyle w:val="Hyperlink"/>
                <w:rFonts w:ascii="Arial Narrow" w:hAnsi="Arial Narrow"/>
                <w:iCs/>
                <w:noProof/>
                <w:sz w:val="20"/>
                <w:szCs w:val="20"/>
                <w:lang w:val="bg-BG"/>
              </w:rPr>
              <w:t>Резултати от контролната дейност върху употребата на ПРЗ</w:t>
            </w:r>
            <w:r w:rsidR="00EE4557" w:rsidRPr="00EE4557">
              <w:rPr>
                <w:rFonts w:ascii="Arial Narrow" w:hAnsi="Arial Narrow"/>
                <w:noProof/>
                <w:webHidden/>
                <w:sz w:val="20"/>
                <w:szCs w:val="20"/>
              </w:rPr>
              <w:tab/>
            </w:r>
            <w:r w:rsidR="00EE4557" w:rsidRPr="00EE4557">
              <w:rPr>
                <w:rFonts w:ascii="Arial Narrow" w:hAnsi="Arial Narrow"/>
                <w:noProof/>
                <w:webHidden/>
                <w:sz w:val="20"/>
                <w:szCs w:val="20"/>
              </w:rPr>
              <w:fldChar w:fldCharType="begin"/>
            </w:r>
            <w:r w:rsidR="00EE4557" w:rsidRPr="00EE4557">
              <w:rPr>
                <w:rFonts w:ascii="Arial Narrow" w:hAnsi="Arial Narrow"/>
                <w:noProof/>
                <w:webHidden/>
                <w:sz w:val="20"/>
                <w:szCs w:val="20"/>
              </w:rPr>
              <w:instrText xml:space="preserve"> PAGEREF _Toc210747618 \h </w:instrText>
            </w:r>
            <w:r w:rsidR="00EE4557" w:rsidRPr="00EE4557">
              <w:rPr>
                <w:rFonts w:ascii="Arial Narrow" w:hAnsi="Arial Narrow"/>
                <w:noProof/>
                <w:webHidden/>
                <w:sz w:val="20"/>
                <w:szCs w:val="20"/>
              </w:rPr>
            </w:r>
            <w:r w:rsidR="00EE4557" w:rsidRPr="00EE4557">
              <w:rPr>
                <w:rFonts w:ascii="Arial Narrow" w:hAnsi="Arial Narrow"/>
                <w:noProof/>
                <w:webHidden/>
                <w:sz w:val="20"/>
                <w:szCs w:val="20"/>
              </w:rPr>
              <w:fldChar w:fldCharType="separate"/>
            </w:r>
            <w:r w:rsidR="00211D64">
              <w:rPr>
                <w:rFonts w:ascii="Arial Narrow" w:hAnsi="Arial Narrow"/>
                <w:noProof/>
                <w:webHidden/>
                <w:sz w:val="20"/>
                <w:szCs w:val="20"/>
              </w:rPr>
              <w:t>130</w:t>
            </w:r>
            <w:r w:rsidR="00EE4557" w:rsidRPr="00EE4557">
              <w:rPr>
                <w:rFonts w:ascii="Arial Narrow" w:hAnsi="Arial Narrow"/>
                <w:noProof/>
                <w:webHidden/>
                <w:sz w:val="20"/>
                <w:szCs w:val="20"/>
              </w:rPr>
              <w:fldChar w:fldCharType="end"/>
            </w:r>
          </w:hyperlink>
        </w:p>
        <w:p w14:paraId="03646823" w14:textId="77777777" w:rsidR="00EE4557" w:rsidRPr="00EE4557" w:rsidRDefault="00816B15">
          <w:pPr>
            <w:pStyle w:val="TOC1"/>
            <w:rPr>
              <w:rFonts w:ascii="Arial Narrow" w:eastAsiaTheme="minorEastAsia" w:hAnsi="Arial Narrow" w:cstheme="minorBidi"/>
              <w:noProof/>
              <w:sz w:val="20"/>
              <w:szCs w:val="20"/>
            </w:rPr>
          </w:pPr>
          <w:hyperlink w:anchor="_Toc210747619" w:history="1">
            <w:r w:rsidR="00EE4557" w:rsidRPr="00EE4557">
              <w:rPr>
                <w:rStyle w:val="Hyperlink"/>
                <w:rFonts w:ascii="Arial Narrow" w:hAnsi="Arial Narrow"/>
                <w:iCs/>
                <w:noProof/>
                <w:sz w:val="20"/>
                <w:szCs w:val="20"/>
                <w:lang w:val="bg-BG"/>
              </w:rPr>
              <w:t>3.4.3.</w:t>
            </w:r>
            <w:r w:rsidR="00EE4557" w:rsidRPr="00EE4557">
              <w:rPr>
                <w:rFonts w:ascii="Arial Narrow" w:eastAsiaTheme="minorEastAsia" w:hAnsi="Arial Narrow" w:cstheme="minorBidi"/>
                <w:noProof/>
                <w:sz w:val="20"/>
                <w:szCs w:val="20"/>
              </w:rPr>
              <w:tab/>
            </w:r>
            <w:r w:rsidR="00EE4557" w:rsidRPr="00EE4557">
              <w:rPr>
                <w:rStyle w:val="Hyperlink"/>
                <w:rFonts w:ascii="Arial Narrow" w:hAnsi="Arial Narrow"/>
                <w:iCs/>
                <w:noProof/>
                <w:sz w:val="20"/>
                <w:szCs w:val="20"/>
                <w:lang w:val="bg-BG"/>
              </w:rPr>
              <w:t>Анализ на резултатите от проведения контрол на пазара и употребата на ПРЗ през  2024 г.</w:t>
            </w:r>
            <w:r w:rsidR="00EE4557" w:rsidRPr="00EE4557">
              <w:rPr>
                <w:rFonts w:ascii="Arial Narrow" w:hAnsi="Arial Narrow"/>
                <w:noProof/>
                <w:webHidden/>
                <w:sz w:val="20"/>
                <w:szCs w:val="20"/>
              </w:rPr>
              <w:tab/>
            </w:r>
            <w:r w:rsidR="00EE4557" w:rsidRPr="00EE4557">
              <w:rPr>
                <w:rFonts w:ascii="Arial Narrow" w:hAnsi="Arial Narrow"/>
                <w:noProof/>
                <w:webHidden/>
                <w:sz w:val="20"/>
                <w:szCs w:val="20"/>
              </w:rPr>
              <w:fldChar w:fldCharType="begin"/>
            </w:r>
            <w:r w:rsidR="00EE4557" w:rsidRPr="00EE4557">
              <w:rPr>
                <w:rFonts w:ascii="Arial Narrow" w:hAnsi="Arial Narrow"/>
                <w:noProof/>
                <w:webHidden/>
                <w:sz w:val="20"/>
                <w:szCs w:val="20"/>
              </w:rPr>
              <w:instrText xml:space="preserve"> PAGEREF _Toc210747619 \h </w:instrText>
            </w:r>
            <w:r w:rsidR="00EE4557" w:rsidRPr="00EE4557">
              <w:rPr>
                <w:rFonts w:ascii="Arial Narrow" w:hAnsi="Arial Narrow"/>
                <w:noProof/>
                <w:webHidden/>
                <w:sz w:val="20"/>
                <w:szCs w:val="20"/>
              </w:rPr>
            </w:r>
            <w:r w:rsidR="00EE4557" w:rsidRPr="00EE4557">
              <w:rPr>
                <w:rFonts w:ascii="Arial Narrow" w:hAnsi="Arial Narrow"/>
                <w:noProof/>
                <w:webHidden/>
                <w:sz w:val="20"/>
                <w:szCs w:val="20"/>
              </w:rPr>
              <w:fldChar w:fldCharType="separate"/>
            </w:r>
            <w:r w:rsidR="00211D64">
              <w:rPr>
                <w:rFonts w:ascii="Arial Narrow" w:hAnsi="Arial Narrow"/>
                <w:noProof/>
                <w:webHidden/>
                <w:sz w:val="20"/>
                <w:szCs w:val="20"/>
              </w:rPr>
              <w:t>132</w:t>
            </w:r>
            <w:r w:rsidR="00EE4557" w:rsidRPr="00EE4557">
              <w:rPr>
                <w:rFonts w:ascii="Arial Narrow" w:hAnsi="Arial Narrow"/>
                <w:noProof/>
                <w:webHidden/>
                <w:sz w:val="20"/>
                <w:szCs w:val="20"/>
              </w:rPr>
              <w:fldChar w:fldCharType="end"/>
            </w:r>
          </w:hyperlink>
        </w:p>
        <w:p w14:paraId="3DFBB4CC" w14:textId="77777777" w:rsidR="00EE4557" w:rsidRPr="00EE4557" w:rsidRDefault="00816B15">
          <w:pPr>
            <w:pStyle w:val="TOC1"/>
            <w:rPr>
              <w:rFonts w:ascii="Arial Narrow" w:eastAsiaTheme="minorEastAsia" w:hAnsi="Arial Narrow" w:cstheme="minorBidi"/>
              <w:noProof/>
              <w:sz w:val="20"/>
              <w:szCs w:val="20"/>
            </w:rPr>
          </w:pPr>
          <w:hyperlink w:anchor="_Toc210747620" w:history="1">
            <w:r w:rsidR="00EE4557" w:rsidRPr="00EE4557">
              <w:rPr>
                <w:rStyle w:val="Hyperlink"/>
                <w:rFonts w:ascii="Arial Narrow" w:eastAsia="Calibri" w:hAnsi="Arial Narrow" w:cs="Arial"/>
                <w:bCs/>
                <w:noProof/>
                <w:sz w:val="20"/>
                <w:szCs w:val="20"/>
                <w:lang w:val="bg-BG" w:eastAsia="bg-BG"/>
              </w:rPr>
              <w:t>4.</w:t>
            </w:r>
            <w:r w:rsidR="00EE4557" w:rsidRPr="00EE4557">
              <w:rPr>
                <w:rFonts w:ascii="Arial Narrow" w:eastAsiaTheme="minorEastAsia" w:hAnsi="Arial Narrow" w:cstheme="minorBidi"/>
                <w:noProof/>
                <w:sz w:val="20"/>
                <w:szCs w:val="20"/>
              </w:rPr>
              <w:tab/>
            </w:r>
            <w:r w:rsidR="00EE4557" w:rsidRPr="00EE4557">
              <w:rPr>
                <w:rStyle w:val="Hyperlink"/>
                <w:rFonts w:ascii="Arial Narrow" w:hAnsi="Arial Narrow"/>
                <w:bCs/>
                <w:noProof/>
                <w:sz w:val="20"/>
                <w:szCs w:val="20"/>
                <w:lang w:val="bg-BG" w:eastAsia="bg-BG"/>
              </w:rPr>
              <w:t>Торове</w:t>
            </w:r>
            <w:r w:rsidR="00EE4557" w:rsidRPr="00EE4557">
              <w:rPr>
                <w:rFonts w:ascii="Arial Narrow" w:hAnsi="Arial Narrow"/>
                <w:noProof/>
                <w:webHidden/>
                <w:sz w:val="20"/>
                <w:szCs w:val="20"/>
              </w:rPr>
              <w:tab/>
            </w:r>
            <w:r w:rsidR="00EE4557" w:rsidRPr="00EE4557">
              <w:rPr>
                <w:rFonts w:ascii="Arial Narrow" w:hAnsi="Arial Narrow"/>
                <w:noProof/>
                <w:webHidden/>
                <w:sz w:val="20"/>
                <w:szCs w:val="20"/>
              </w:rPr>
              <w:fldChar w:fldCharType="begin"/>
            </w:r>
            <w:r w:rsidR="00EE4557" w:rsidRPr="00EE4557">
              <w:rPr>
                <w:rFonts w:ascii="Arial Narrow" w:hAnsi="Arial Narrow"/>
                <w:noProof/>
                <w:webHidden/>
                <w:sz w:val="20"/>
                <w:szCs w:val="20"/>
              </w:rPr>
              <w:instrText xml:space="preserve"> PAGEREF _Toc210747620 \h </w:instrText>
            </w:r>
            <w:r w:rsidR="00EE4557" w:rsidRPr="00EE4557">
              <w:rPr>
                <w:rFonts w:ascii="Arial Narrow" w:hAnsi="Arial Narrow"/>
                <w:noProof/>
                <w:webHidden/>
                <w:sz w:val="20"/>
                <w:szCs w:val="20"/>
              </w:rPr>
            </w:r>
            <w:r w:rsidR="00EE4557" w:rsidRPr="00EE4557">
              <w:rPr>
                <w:rFonts w:ascii="Arial Narrow" w:hAnsi="Arial Narrow"/>
                <w:noProof/>
                <w:webHidden/>
                <w:sz w:val="20"/>
                <w:szCs w:val="20"/>
              </w:rPr>
              <w:fldChar w:fldCharType="separate"/>
            </w:r>
            <w:r w:rsidR="00211D64">
              <w:rPr>
                <w:rFonts w:ascii="Arial Narrow" w:hAnsi="Arial Narrow"/>
                <w:noProof/>
                <w:webHidden/>
                <w:sz w:val="20"/>
                <w:szCs w:val="20"/>
              </w:rPr>
              <w:t>133</w:t>
            </w:r>
            <w:r w:rsidR="00EE4557" w:rsidRPr="00EE4557">
              <w:rPr>
                <w:rFonts w:ascii="Arial Narrow" w:hAnsi="Arial Narrow"/>
                <w:noProof/>
                <w:webHidden/>
                <w:sz w:val="20"/>
                <w:szCs w:val="20"/>
              </w:rPr>
              <w:fldChar w:fldCharType="end"/>
            </w:r>
          </w:hyperlink>
        </w:p>
        <w:p w14:paraId="7C53C4C8" w14:textId="77777777" w:rsidR="00EE4557" w:rsidRPr="00EE4557" w:rsidRDefault="00816B15">
          <w:pPr>
            <w:pStyle w:val="TOC1"/>
            <w:rPr>
              <w:rFonts w:ascii="Arial Narrow" w:eastAsiaTheme="minorEastAsia" w:hAnsi="Arial Narrow" w:cstheme="minorBidi"/>
              <w:noProof/>
              <w:sz w:val="20"/>
              <w:szCs w:val="20"/>
            </w:rPr>
          </w:pPr>
          <w:hyperlink w:anchor="_Toc210747621" w:history="1">
            <w:r w:rsidR="00EE4557" w:rsidRPr="00EE4557">
              <w:rPr>
                <w:rStyle w:val="Hyperlink"/>
                <w:rFonts w:ascii="Arial Narrow" w:hAnsi="Arial Narrow"/>
                <w:noProof/>
                <w:sz w:val="20"/>
                <w:szCs w:val="20"/>
                <w:lang w:val="bg-BG" w:eastAsia="bg-BG"/>
              </w:rPr>
              <w:t>4.1.</w:t>
            </w:r>
            <w:r w:rsidR="00EE4557" w:rsidRPr="00EE4557">
              <w:rPr>
                <w:rFonts w:ascii="Arial Narrow" w:eastAsiaTheme="minorEastAsia" w:hAnsi="Arial Narrow" w:cstheme="minorBidi"/>
                <w:noProof/>
                <w:sz w:val="20"/>
                <w:szCs w:val="20"/>
              </w:rPr>
              <w:tab/>
            </w:r>
            <w:r w:rsidR="00EE4557" w:rsidRPr="00EE4557">
              <w:rPr>
                <w:rStyle w:val="Hyperlink"/>
                <w:rFonts w:ascii="Arial Narrow" w:hAnsi="Arial Narrow"/>
                <w:iCs/>
                <w:noProof/>
                <w:sz w:val="20"/>
                <w:szCs w:val="20"/>
                <w:lang w:val="bg-BG" w:eastAsia="bg-BG"/>
              </w:rPr>
              <w:t>Регистрация</w:t>
            </w:r>
            <w:r w:rsidR="00EE4557" w:rsidRPr="00EE4557">
              <w:rPr>
                <w:rStyle w:val="Hyperlink"/>
                <w:rFonts w:ascii="Arial Narrow" w:hAnsi="Arial Narrow"/>
                <w:noProof/>
                <w:sz w:val="20"/>
                <w:szCs w:val="20"/>
                <w:lang w:val="bg-BG" w:eastAsia="bg-BG"/>
              </w:rPr>
              <w:t xml:space="preserve"> на торове</w:t>
            </w:r>
            <w:r w:rsidR="00EE4557" w:rsidRPr="00EE4557">
              <w:rPr>
                <w:rFonts w:ascii="Arial Narrow" w:hAnsi="Arial Narrow"/>
                <w:noProof/>
                <w:webHidden/>
                <w:sz w:val="20"/>
                <w:szCs w:val="20"/>
              </w:rPr>
              <w:tab/>
            </w:r>
            <w:r w:rsidR="00EE4557" w:rsidRPr="00EE4557">
              <w:rPr>
                <w:rFonts w:ascii="Arial Narrow" w:hAnsi="Arial Narrow"/>
                <w:noProof/>
                <w:webHidden/>
                <w:sz w:val="20"/>
                <w:szCs w:val="20"/>
              </w:rPr>
              <w:fldChar w:fldCharType="begin"/>
            </w:r>
            <w:r w:rsidR="00EE4557" w:rsidRPr="00EE4557">
              <w:rPr>
                <w:rFonts w:ascii="Arial Narrow" w:hAnsi="Arial Narrow"/>
                <w:noProof/>
                <w:webHidden/>
                <w:sz w:val="20"/>
                <w:szCs w:val="20"/>
              </w:rPr>
              <w:instrText xml:space="preserve"> PAGEREF _Toc210747621 \h </w:instrText>
            </w:r>
            <w:r w:rsidR="00EE4557" w:rsidRPr="00EE4557">
              <w:rPr>
                <w:rFonts w:ascii="Arial Narrow" w:hAnsi="Arial Narrow"/>
                <w:noProof/>
                <w:webHidden/>
                <w:sz w:val="20"/>
                <w:szCs w:val="20"/>
              </w:rPr>
            </w:r>
            <w:r w:rsidR="00EE4557" w:rsidRPr="00EE4557">
              <w:rPr>
                <w:rFonts w:ascii="Arial Narrow" w:hAnsi="Arial Narrow"/>
                <w:noProof/>
                <w:webHidden/>
                <w:sz w:val="20"/>
                <w:szCs w:val="20"/>
              </w:rPr>
              <w:fldChar w:fldCharType="separate"/>
            </w:r>
            <w:r w:rsidR="00211D64">
              <w:rPr>
                <w:rFonts w:ascii="Arial Narrow" w:hAnsi="Arial Narrow"/>
                <w:noProof/>
                <w:webHidden/>
                <w:sz w:val="20"/>
                <w:szCs w:val="20"/>
              </w:rPr>
              <w:t>133</w:t>
            </w:r>
            <w:r w:rsidR="00EE4557" w:rsidRPr="00EE4557">
              <w:rPr>
                <w:rFonts w:ascii="Arial Narrow" w:hAnsi="Arial Narrow"/>
                <w:noProof/>
                <w:webHidden/>
                <w:sz w:val="20"/>
                <w:szCs w:val="20"/>
              </w:rPr>
              <w:fldChar w:fldCharType="end"/>
            </w:r>
          </w:hyperlink>
        </w:p>
        <w:p w14:paraId="34B12238" w14:textId="77777777" w:rsidR="00EE4557" w:rsidRPr="00EE4557" w:rsidRDefault="00816B15">
          <w:pPr>
            <w:pStyle w:val="TOC1"/>
            <w:rPr>
              <w:rFonts w:ascii="Arial Narrow" w:eastAsiaTheme="minorEastAsia" w:hAnsi="Arial Narrow" w:cstheme="minorBidi"/>
              <w:noProof/>
              <w:sz w:val="20"/>
              <w:szCs w:val="20"/>
            </w:rPr>
          </w:pPr>
          <w:hyperlink w:anchor="_Toc210747622" w:history="1">
            <w:r w:rsidR="00EE4557" w:rsidRPr="00EE4557">
              <w:rPr>
                <w:rStyle w:val="Hyperlink"/>
                <w:rFonts w:ascii="Arial Narrow" w:hAnsi="Arial Narrow"/>
                <w:iCs/>
                <w:noProof/>
                <w:sz w:val="20"/>
                <w:szCs w:val="20"/>
                <w:lang w:val="bg-BG" w:eastAsia="bg-BG"/>
              </w:rPr>
              <w:t>4.2.</w:t>
            </w:r>
            <w:r w:rsidR="00EE4557" w:rsidRPr="00EE4557">
              <w:rPr>
                <w:rFonts w:ascii="Arial Narrow" w:eastAsiaTheme="minorEastAsia" w:hAnsi="Arial Narrow" w:cstheme="minorBidi"/>
                <w:noProof/>
                <w:sz w:val="20"/>
                <w:szCs w:val="20"/>
              </w:rPr>
              <w:tab/>
            </w:r>
            <w:r w:rsidR="00EE4557" w:rsidRPr="00EE4557">
              <w:rPr>
                <w:rStyle w:val="Hyperlink"/>
                <w:rFonts w:ascii="Arial Narrow" w:hAnsi="Arial Narrow"/>
                <w:iCs/>
                <w:noProof/>
                <w:sz w:val="20"/>
                <w:szCs w:val="20"/>
                <w:lang w:val="bg-BG" w:eastAsia="bg-BG"/>
              </w:rPr>
              <w:t>Контрол на торовете при предлагането им на пазара</w:t>
            </w:r>
            <w:r w:rsidR="00EE4557" w:rsidRPr="00EE4557">
              <w:rPr>
                <w:rFonts w:ascii="Arial Narrow" w:hAnsi="Arial Narrow"/>
                <w:noProof/>
                <w:webHidden/>
                <w:sz w:val="20"/>
                <w:szCs w:val="20"/>
              </w:rPr>
              <w:tab/>
            </w:r>
            <w:r w:rsidR="00EE4557" w:rsidRPr="00EE4557">
              <w:rPr>
                <w:rFonts w:ascii="Arial Narrow" w:hAnsi="Arial Narrow"/>
                <w:noProof/>
                <w:webHidden/>
                <w:sz w:val="20"/>
                <w:szCs w:val="20"/>
              </w:rPr>
              <w:fldChar w:fldCharType="begin"/>
            </w:r>
            <w:r w:rsidR="00EE4557" w:rsidRPr="00EE4557">
              <w:rPr>
                <w:rFonts w:ascii="Arial Narrow" w:hAnsi="Arial Narrow"/>
                <w:noProof/>
                <w:webHidden/>
                <w:sz w:val="20"/>
                <w:szCs w:val="20"/>
              </w:rPr>
              <w:instrText xml:space="preserve"> PAGEREF _Toc210747622 \h </w:instrText>
            </w:r>
            <w:r w:rsidR="00EE4557" w:rsidRPr="00EE4557">
              <w:rPr>
                <w:rFonts w:ascii="Arial Narrow" w:hAnsi="Arial Narrow"/>
                <w:noProof/>
                <w:webHidden/>
                <w:sz w:val="20"/>
                <w:szCs w:val="20"/>
              </w:rPr>
            </w:r>
            <w:r w:rsidR="00EE4557" w:rsidRPr="00EE4557">
              <w:rPr>
                <w:rFonts w:ascii="Arial Narrow" w:hAnsi="Arial Narrow"/>
                <w:noProof/>
                <w:webHidden/>
                <w:sz w:val="20"/>
                <w:szCs w:val="20"/>
              </w:rPr>
              <w:fldChar w:fldCharType="separate"/>
            </w:r>
            <w:r w:rsidR="00211D64">
              <w:rPr>
                <w:rFonts w:ascii="Arial Narrow" w:hAnsi="Arial Narrow"/>
                <w:noProof/>
                <w:webHidden/>
                <w:sz w:val="20"/>
                <w:szCs w:val="20"/>
              </w:rPr>
              <w:t>133</w:t>
            </w:r>
            <w:r w:rsidR="00EE4557" w:rsidRPr="00EE4557">
              <w:rPr>
                <w:rFonts w:ascii="Arial Narrow" w:hAnsi="Arial Narrow"/>
                <w:noProof/>
                <w:webHidden/>
                <w:sz w:val="20"/>
                <w:szCs w:val="20"/>
              </w:rPr>
              <w:fldChar w:fldCharType="end"/>
            </w:r>
          </w:hyperlink>
        </w:p>
        <w:p w14:paraId="0A7A9809" w14:textId="77777777" w:rsidR="00EE4557" w:rsidRPr="00EE4557" w:rsidRDefault="00816B15">
          <w:pPr>
            <w:pStyle w:val="TOC1"/>
            <w:rPr>
              <w:rFonts w:ascii="Arial Narrow" w:eastAsiaTheme="minorEastAsia" w:hAnsi="Arial Narrow" w:cstheme="minorBidi"/>
              <w:noProof/>
              <w:sz w:val="20"/>
              <w:szCs w:val="20"/>
            </w:rPr>
          </w:pPr>
          <w:hyperlink w:anchor="_Toc210747623" w:history="1">
            <w:r w:rsidR="00EE4557" w:rsidRPr="00EE4557">
              <w:rPr>
                <w:rStyle w:val="Hyperlink"/>
                <w:rFonts w:ascii="Arial Narrow" w:hAnsi="Arial Narrow"/>
                <w:noProof/>
                <w:sz w:val="20"/>
                <w:szCs w:val="20"/>
                <w:lang w:val="bg-BG"/>
              </w:rPr>
              <w:t>5.</w:t>
            </w:r>
            <w:r w:rsidR="00EE4557" w:rsidRPr="00EE4557">
              <w:rPr>
                <w:rFonts w:ascii="Arial Narrow" w:eastAsiaTheme="minorEastAsia" w:hAnsi="Arial Narrow" w:cstheme="minorBidi"/>
                <w:noProof/>
                <w:sz w:val="20"/>
                <w:szCs w:val="20"/>
              </w:rPr>
              <w:tab/>
            </w:r>
            <w:r w:rsidR="00EE4557" w:rsidRPr="00EE4557">
              <w:rPr>
                <w:rStyle w:val="Hyperlink"/>
                <w:rFonts w:ascii="Arial Narrow" w:hAnsi="Arial Narrow"/>
                <w:noProof/>
                <w:sz w:val="20"/>
                <w:szCs w:val="20"/>
                <w:lang w:val="bg-BG"/>
              </w:rPr>
              <w:t>Сортоизпитване, апробация и семеконтрол</w:t>
            </w:r>
            <w:r w:rsidR="00EE4557" w:rsidRPr="00EE4557">
              <w:rPr>
                <w:rFonts w:ascii="Arial Narrow" w:hAnsi="Arial Narrow"/>
                <w:noProof/>
                <w:webHidden/>
                <w:sz w:val="20"/>
                <w:szCs w:val="20"/>
              </w:rPr>
              <w:tab/>
            </w:r>
            <w:r w:rsidR="00EE4557" w:rsidRPr="00EE4557">
              <w:rPr>
                <w:rFonts w:ascii="Arial Narrow" w:hAnsi="Arial Narrow"/>
                <w:noProof/>
                <w:webHidden/>
                <w:sz w:val="20"/>
                <w:szCs w:val="20"/>
              </w:rPr>
              <w:fldChar w:fldCharType="begin"/>
            </w:r>
            <w:r w:rsidR="00EE4557" w:rsidRPr="00EE4557">
              <w:rPr>
                <w:rFonts w:ascii="Arial Narrow" w:hAnsi="Arial Narrow"/>
                <w:noProof/>
                <w:webHidden/>
                <w:sz w:val="20"/>
                <w:szCs w:val="20"/>
              </w:rPr>
              <w:instrText xml:space="preserve"> PAGEREF _Toc210747623 \h </w:instrText>
            </w:r>
            <w:r w:rsidR="00EE4557" w:rsidRPr="00EE4557">
              <w:rPr>
                <w:rFonts w:ascii="Arial Narrow" w:hAnsi="Arial Narrow"/>
                <w:noProof/>
                <w:webHidden/>
                <w:sz w:val="20"/>
                <w:szCs w:val="20"/>
              </w:rPr>
            </w:r>
            <w:r w:rsidR="00EE4557" w:rsidRPr="00EE4557">
              <w:rPr>
                <w:rFonts w:ascii="Arial Narrow" w:hAnsi="Arial Narrow"/>
                <w:noProof/>
                <w:webHidden/>
                <w:sz w:val="20"/>
                <w:szCs w:val="20"/>
              </w:rPr>
              <w:fldChar w:fldCharType="separate"/>
            </w:r>
            <w:r w:rsidR="00211D64">
              <w:rPr>
                <w:rFonts w:ascii="Arial Narrow" w:hAnsi="Arial Narrow"/>
                <w:noProof/>
                <w:webHidden/>
                <w:sz w:val="20"/>
                <w:szCs w:val="20"/>
              </w:rPr>
              <w:t>134</w:t>
            </w:r>
            <w:r w:rsidR="00EE4557" w:rsidRPr="00EE4557">
              <w:rPr>
                <w:rFonts w:ascii="Arial Narrow" w:hAnsi="Arial Narrow"/>
                <w:noProof/>
                <w:webHidden/>
                <w:sz w:val="20"/>
                <w:szCs w:val="20"/>
              </w:rPr>
              <w:fldChar w:fldCharType="end"/>
            </w:r>
          </w:hyperlink>
        </w:p>
        <w:p w14:paraId="1C275502" w14:textId="77777777" w:rsidR="00EE4557" w:rsidRPr="00EE4557" w:rsidRDefault="00816B15">
          <w:pPr>
            <w:pStyle w:val="TOC1"/>
            <w:rPr>
              <w:rFonts w:ascii="Arial Narrow" w:eastAsiaTheme="minorEastAsia" w:hAnsi="Arial Narrow" w:cstheme="minorBidi"/>
              <w:noProof/>
              <w:sz w:val="20"/>
              <w:szCs w:val="20"/>
            </w:rPr>
          </w:pPr>
          <w:hyperlink w:anchor="_Toc210747624" w:history="1">
            <w:r w:rsidR="00EE4557" w:rsidRPr="00EE4557">
              <w:rPr>
                <w:rStyle w:val="Hyperlink"/>
                <w:rFonts w:ascii="Arial Narrow" w:hAnsi="Arial Narrow"/>
                <w:noProof/>
                <w:sz w:val="20"/>
                <w:szCs w:val="20"/>
                <w:lang w:val="bg-BG"/>
              </w:rPr>
              <w:t>6.</w:t>
            </w:r>
            <w:r w:rsidR="00EE4557" w:rsidRPr="00EE4557">
              <w:rPr>
                <w:rFonts w:ascii="Arial Narrow" w:eastAsiaTheme="minorEastAsia" w:hAnsi="Arial Narrow" w:cstheme="minorBidi"/>
                <w:noProof/>
                <w:sz w:val="20"/>
                <w:szCs w:val="20"/>
              </w:rPr>
              <w:tab/>
            </w:r>
            <w:r w:rsidR="00EE4557" w:rsidRPr="00EE4557">
              <w:rPr>
                <w:rStyle w:val="Hyperlink"/>
                <w:rFonts w:ascii="Arial Narrow" w:hAnsi="Arial Narrow"/>
                <w:noProof/>
                <w:sz w:val="20"/>
                <w:szCs w:val="20"/>
                <w:lang w:val="bg-BG"/>
              </w:rPr>
              <w:t>Безопасност по хранителната верига</w:t>
            </w:r>
            <w:r w:rsidR="00EE4557" w:rsidRPr="00EE4557">
              <w:rPr>
                <w:rFonts w:ascii="Arial Narrow" w:hAnsi="Arial Narrow"/>
                <w:noProof/>
                <w:webHidden/>
                <w:sz w:val="20"/>
                <w:szCs w:val="20"/>
              </w:rPr>
              <w:tab/>
            </w:r>
            <w:r w:rsidR="00EE4557" w:rsidRPr="00EE4557">
              <w:rPr>
                <w:rFonts w:ascii="Arial Narrow" w:hAnsi="Arial Narrow"/>
                <w:noProof/>
                <w:webHidden/>
                <w:sz w:val="20"/>
                <w:szCs w:val="20"/>
              </w:rPr>
              <w:fldChar w:fldCharType="begin"/>
            </w:r>
            <w:r w:rsidR="00EE4557" w:rsidRPr="00EE4557">
              <w:rPr>
                <w:rFonts w:ascii="Arial Narrow" w:hAnsi="Arial Narrow"/>
                <w:noProof/>
                <w:webHidden/>
                <w:sz w:val="20"/>
                <w:szCs w:val="20"/>
              </w:rPr>
              <w:instrText xml:space="preserve"> PAGEREF _Toc210747624 \h </w:instrText>
            </w:r>
            <w:r w:rsidR="00EE4557" w:rsidRPr="00EE4557">
              <w:rPr>
                <w:rFonts w:ascii="Arial Narrow" w:hAnsi="Arial Narrow"/>
                <w:noProof/>
                <w:webHidden/>
                <w:sz w:val="20"/>
                <w:szCs w:val="20"/>
              </w:rPr>
            </w:r>
            <w:r w:rsidR="00EE4557" w:rsidRPr="00EE4557">
              <w:rPr>
                <w:rFonts w:ascii="Arial Narrow" w:hAnsi="Arial Narrow"/>
                <w:noProof/>
                <w:webHidden/>
                <w:sz w:val="20"/>
                <w:szCs w:val="20"/>
              </w:rPr>
              <w:fldChar w:fldCharType="separate"/>
            </w:r>
            <w:r w:rsidR="00211D64">
              <w:rPr>
                <w:rFonts w:ascii="Arial Narrow" w:hAnsi="Arial Narrow"/>
                <w:noProof/>
                <w:webHidden/>
                <w:sz w:val="20"/>
                <w:szCs w:val="20"/>
              </w:rPr>
              <w:t>138</w:t>
            </w:r>
            <w:r w:rsidR="00EE4557" w:rsidRPr="00EE4557">
              <w:rPr>
                <w:rFonts w:ascii="Arial Narrow" w:hAnsi="Arial Narrow"/>
                <w:noProof/>
                <w:webHidden/>
                <w:sz w:val="20"/>
                <w:szCs w:val="20"/>
              </w:rPr>
              <w:fldChar w:fldCharType="end"/>
            </w:r>
          </w:hyperlink>
        </w:p>
        <w:p w14:paraId="2BF4E8FF" w14:textId="77777777" w:rsidR="00EE4557" w:rsidRPr="00EE4557" w:rsidRDefault="00816B15">
          <w:pPr>
            <w:pStyle w:val="TOC1"/>
            <w:rPr>
              <w:rFonts w:ascii="Arial Narrow" w:eastAsiaTheme="minorEastAsia" w:hAnsi="Arial Narrow" w:cstheme="minorBidi"/>
              <w:noProof/>
              <w:sz w:val="20"/>
              <w:szCs w:val="20"/>
            </w:rPr>
          </w:pPr>
          <w:hyperlink w:anchor="_Toc210747625" w:history="1">
            <w:r w:rsidR="00EE4557" w:rsidRPr="00EE4557">
              <w:rPr>
                <w:rStyle w:val="Hyperlink"/>
                <w:rFonts w:ascii="Arial Narrow" w:hAnsi="Arial Narrow"/>
                <w:noProof/>
                <w:sz w:val="20"/>
                <w:szCs w:val="20"/>
                <w:lang w:val="bg-BG"/>
              </w:rPr>
              <w:t>6.1.</w:t>
            </w:r>
            <w:r w:rsidR="00EE4557" w:rsidRPr="00EE4557">
              <w:rPr>
                <w:rFonts w:ascii="Arial Narrow" w:eastAsiaTheme="minorEastAsia" w:hAnsi="Arial Narrow" w:cstheme="minorBidi"/>
                <w:noProof/>
                <w:sz w:val="20"/>
                <w:szCs w:val="20"/>
              </w:rPr>
              <w:tab/>
            </w:r>
            <w:r w:rsidR="00EE4557" w:rsidRPr="00EE4557">
              <w:rPr>
                <w:rStyle w:val="Hyperlink"/>
                <w:rFonts w:ascii="Arial Narrow" w:hAnsi="Arial Narrow"/>
                <w:noProof/>
                <w:sz w:val="20"/>
                <w:szCs w:val="20"/>
                <w:lang w:val="bg-BG"/>
              </w:rPr>
              <w:t>Здравеопазване и хуманно отношение към животните.</w:t>
            </w:r>
            <w:r w:rsidR="00EE4557" w:rsidRPr="00EE4557">
              <w:rPr>
                <w:rFonts w:ascii="Arial Narrow" w:hAnsi="Arial Narrow"/>
                <w:noProof/>
                <w:webHidden/>
                <w:sz w:val="20"/>
                <w:szCs w:val="20"/>
              </w:rPr>
              <w:tab/>
            </w:r>
            <w:r w:rsidR="00EE4557" w:rsidRPr="00EE4557">
              <w:rPr>
                <w:rFonts w:ascii="Arial Narrow" w:hAnsi="Arial Narrow"/>
                <w:noProof/>
                <w:webHidden/>
                <w:sz w:val="20"/>
                <w:szCs w:val="20"/>
              </w:rPr>
              <w:fldChar w:fldCharType="begin"/>
            </w:r>
            <w:r w:rsidR="00EE4557" w:rsidRPr="00EE4557">
              <w:rPr>
                <w:rFonts w:ascii="Arial Narrow" w:hAnsi="Arial Narrow"/>
                <w:noProof/>
                <w:webHidden/>
                <w:sz w:val="20"/>
                <w:szCs w:val="20"/>
              </w:rPr>
              <w:instrText xml:space="preserve"> PAGEREF _Toc210747625 \h </w:instrText>
            </w:r>
            <w:r w:rsidR="00EE4557" w:rsidRPr="00EE4557">
              <w:rPr>
                <w:rFonts w:ascii="Arial Narrow" w:hAnsi="Arial Narrow"/>
                <w:noProof/>
                <w:webHidden/>
                <w:sz w:val="20"/>
                <w:szCs w:val="20"/>
              </w:rPr>
            </w:r>
            <w:r w:rsidR="00EE4557" w:rsidRPr="00EE4557">
              <w:rPr>
                <w:rFonts w:ascii="Arial Narrow" w:hAnsi="Arial Narrow"/>
                <w:noProof/>
                <w:webHidden/>
                <w:sz w:val="20"/>
                <w:szCs w:val="20"/>
              </w:rPr>
              <w:fldChar w:fldCharType="separate"/>
            </w:r>
            <w:r w:rsidR="00211D64">
              <w:rPr>
                <w:rFonts w:ascii="Arial Narrow" w:hAnsi="Arial Narrow"/>
                <w:noProof/>
                <w:webHidden/>
                <w:sz w:val="20"/>
                <w:szCs w:val="20"/>
              </w:rPr>
              <w:t>138</w:t>
            </w:r>
            <w:r w:rsidR="00EE4557" w:rsidRPr="00EE4557">
              <w:rPr>
                <w:rFonts w:ascii="Arial Narrow" w:hAnsi="Arial Narrow"/>
                <w:noProof/>
                <w:webHidden/>
                <w:sz w:val="20"/>
                <w:szCs w:val="20"/>
              </w:rPr>
              <w:fldChar w:fldCharType="end"/>
            </w:r>
          </w:hyperlink>
        </w:p>
        <w:p w14:paraId="6D9B4C1C" w14:textId="77777777" w:rsidR="00EE4557" w:rsidRPr="00EE4557" w:rsidRDefault="00816B15">
          <w:pPr>
            <w:pStyle w:val="TOC1"/>
            <w:rPr>
              <w:rFonts w:ascii="Arial Narrow" w:eastAsiaTheme="minorEastAsia" w:hAnsi="Arial Narrow" w:cstheme="minorBidi"/>
              <w:noProof/>
              <w:sz w:val="20"/>
              <w:szCs w:val="20"/>
            </w:rPr>
          </w:pPr>
          <w:hyperlink w:anchor="_Toc210747626" w:history="1">
            <w:r w:rsidR="00EE4557" w:rsidRPr="00EE4557">
              <w:rPr>
                <w:rStyle w:val="Hyperlink"/>
                <w:rFonts w:ascii="Arial Narrow" w:hAnsi="Arial Narrow"/>
                <w:noProof/>
                <w:sz w:val="20"/>
                <w:szCs w:val="20"/>
                <w:lang w:val="bg-BG"/>
              </w:rPr>
              <w:t>6.2.</w:t>
            </w:r>
            <w:r w:rsidR="00EE4557" w:rsidRPr="00EE4557">
              <w:rPr>
                <w:rFonts w:ascii="Arial Narrow" w:eastAsiaTheme="minorEastAsia" w:hAnsi="Arial Narrow" w:cstheme="minorBidi"/>
                <w:noProof/>
                <w:sz w:val="20"/>
                <w:szCs w:val="20"/>
              </w:rPr>
              <w:tab/>
            </w:r>
            <w:r w:rsidR="00EE4557" w:rsidRPr="00EE4557">
              <w:rPr>
                <w:rStyle w:val="Hyperlink"/>
                <w:rFonts w:ascii="Arial Narrow" w:hAnsi="Arial Narrow"/>
                <w:noProof/>
                <w:sz w:val="20"/>
                <w:szCs w:val="20"/>
                <w:lang w:val="bg-BG"/>
              </w:rPr>
              <w:t>Идентификация на животните и ветеринарномедицинска дейност</w:t>
            </w:r>
            <w:r w:rsidR="00EE4557" w:rsidRPr="00EE4557">
              <w:rPr>
                <w:rFonts w:ascii="Arial Narrow" w:hAnsi="Arial Narrow"/>
                <w:noProof/>
                <w:webHidden/>
                <w:sz w:val="20"/>
                <w:szCs w:val="20"/>
              </w:rPr>
              <w:tab/>
            </w:r>
            <w:r w:rsidR="00EE4557" w:rsidRPr="00EE4557">
              <w:rPr>
                <w:rFonts w:ascii="Arial Narrow" w:hAnsi="Arial Narrow"/>
                <w:noProof/>
                <w:webHidden/>
                <w:sz w:val="20"/>
                <w:szCs w:val="20"/>
              </w:rPr>
              <w:fldChar w:fldCharType="begin"/>
            </w:r>
            <w:r w:rsidR="00EE4557" w:rsidRPr="00EE4557">
              <w:rPr>
                <w:rFonts w:ascii="Arial Narrow" w:hAnsi="Arial Narrow"/>
                <w:noProof/>
                <w:webHidden/>
                <w:sz w:val="20"/>
                <w:szCs w:val="20"/>
              </w:rPr>
              <w:instrText xml:space="preserve"> PAGEREF _Toc210747626 \h </w:instrText>
            </w:r>
            <w:r w:rsidR="00EE4557" w:rsidRPr="00EE4557">
              <w:rPr>
                <w:rFonts w:ascii="Arial Narrow" w:hAnsi="Arial Narrow"/>
                <w:noProof/>
                <w:webHidden/>
                <w:sz w:val="20"/>
                <w:szCs w:val="20"/>
              </w:rPr>
            </w:r>
            <w:r w:rsidR="00EE4557" w:rsidRPr="00EE4557">
              <w:rPr>
                <w:rFonts w:ascii="Arial Narrow" w:hAnsi="Arial Narrow"/>
                <w:noProof/>
                <w:webHidden/>
                <w:sz w:val="20"/>
                <w:szCs w:val="20"/>
              </w:rPr>
              <w:fldChar w:fldCharType="separate"/>
            </w:r>
            <w:r w:rsidR="00211D64">
              <w:rPr>
                <w:rFonts w:ascii="Arial Narrow" w:hAnsi="Arial Narrow"/>
                <w:noProof/>
                <w:webHidden/>
                <w:sz w:val="20"/>
                <w:szCs w:val="20"/>
              </w:rPr>
              <w:t>142</w:t>
            </w:r>
            <w:r w:rsidR="00EE4557" w:rsidRPr="00EE4557">
              <w:rPr>
                <w:rFonts w:ascii="Arial Narrow" w:hAnsi="Arial Narrow"/>
                <w:noProof/>
                <w:webHidden/>
                <w:sz w:val="20"/>
                <w:szCs w:val="20"/>
              </w:rPr>
              <w:fldChar w:fldCharType="end"/>
            </w:r>
          </w:hyperlink>
        </w:p>
        <w:p w14:paraId="79C3C754" w14:textId="77777777" w:rsidR="00EE4557" w:rsidRPr="00EE4557" w:rsidRDefault="00816B15">
          <w:pPr>
            <w:pStyle w:val="TOC1"/>
            <w:rPr>
              <w:rFonts w:ascii="Arial Narrow" w:eastAsiaTheme="minorEastAsia" w:hAnsi="Arial Narrow" w:cstheme="minorBidi"/>
              <w:noProof/>
              <w:sz w:val="20"/>
              <w:szCs w:val="20"/>
            </w:rPr>
          </w:pPr>
          <w:hyperlink w:anchor="_Toc210747627" w:history="1">
            <w:r w:rsidR="00EE4557" w:rsidRPr="00EE4557">
              <w:rPr>
                <w:rStyle w:val="Hyperlink"/>
                <w:rFonts w:ascii="Arial Narrow" w:hAnsi="Arial Narrow"/>
                <w:bCs/>
                <w:noProof/>
                <w:sz w:val="20"/>
                <w:szCs w:val="20"/>
                <w:lang w:val="bg-BG"/>
              </w:rPr>
              <w:t>6.3.</w:t>
            </w:r>
            <w:r w:rsidR="00EE4557" w:rsidRPr="00EE4557">
              <w:rPr>
                <w:rFonts w:ascii="Arial Narrow" w:eastAsiaTheme="minorEastAsia" w:hAnsi="Arial Narrow" w:cstheme="minorBidi"/>
                <w:noProof/>
                <w:sz w:val="20"/>
                <w:szCs w:val="20"/>
              </w:rPr>
              <w:tab/>
            </w:r>
            <w:r w:rsidR="00EE4557" w:rsidRPr="00EE4557">
              <w:rPr>
                <w:rStyle w:val="Hyperlink"/>
                <w:rFonts w:ascii="Arial Narrow" w:hAnsi="Arial Narrow"/>
                <w:noProof/>
                <w:sz w:val="20"/>
                <w:szCs w:val="20"/>
                <w:lang w:val="bg-BG"/>
              </w:rPr>
              <w:t>Контрол на храните</w:t>
            </w:r>
            <w:r w:rsidR="00EE4557" w:rsidRPr="00EE4557">
              <w:rPr>
                <w:rFonts w:ascii="Arial Narrow" w:hAnsi="Arial Narrow"/>
                <w:noProof/>
                <w:webHidden/>
                <w:sz w:val="20"/>
                <w:szCs w:val="20"/>
              </w:rPr>
              <w:tab/>
            </w:r>
            <w:r w:rsidR="00EE4557" w:rsidRPr="00EE4557">
              <w:rPr>
                <w:rFonts w:ascii="Arial Narrow" w:hAnsi="Arial Narrow"/>
                <w:noProof/>
                <w:webHidden/>
                <w:sz w:val="20"/>
                <w:szCs w:val="20"/>
              </w:rPr>
              <w:fldChar w:fldCharType="begin"/>
            </w:r>
            <w:r w:rsidR="00EE4557" w:rsidRPr="00EE4557">
              <w:rPr>
                <w:rFonts w:ascii="Arial Narrow" w:hAnsi="Arial Narrow"/>
                <w:noProof/>
                <w:webHidden/>
                <w:sz w:val="20"/>
                <w:szCs w:val="20"/>
              </w:rPr>
              <w:instrText xml:space="preserve"> PAGEREF _Toc210747627 \h </w:instrText>
            </w:r>
            <w:r w:rsidR="00EE4557" w:rsidRPr="00EE4557">
              <w:rPr>
                <w:rFonts w:ascii="Arial Narrow" w:hAnsi="Arial Narrow"/>
                <w:noProof/>
                <w:webHidden/>
                <w:sz w:val="20"/>
                <w:szCs w:val="20"/>
              </w:rPr>
            </w:r>
            <w:r w:rsidR="00EE4557" w:rsidRPr="00EE4557">
              <w:rPr>
                <w:rFonts w:ascii="Arial Narrow" w:hAnsi="Arial Narrow"/>
                <w:noProof/>
                <w:webHidden/>
                <w:sz w:val="20"/>
                <w:szCs w:val="20"/>
              </w:rPr>
              <w:fldChar w:fldCharType="separate"/>
            </w:r>
            <w:r w:rsidR="00211D64">
              <w:rPr>
                <w:rFonts w:ascii="Arial Narrow" w:hAnsi="Arial Narrow"/>
                <w:noProof/>
                <w:webHidden/>
                <w:sz w:val="20"/>
                <w:szCs w:val="20"/>
              </w:rPr>
              <w:t>146</w:t>
            </w:r>
            <w:r w:rsidR="00EE4557" w:rsidRPr="00EE4557">
              <w:rPr>
                <w:rFonts w:ascii="Arial Narrow" w:hAnsi="Arial Narrow"/>
                <w:noProof/>
                <w:webHidden/>
                <w:sz w:val="20"/>
                <w:szCs w:val="20"/>
              </w:rPr>
              <w:fldChar w:fldCharType="end"/>
            </w:r>
          </w:hyperlink>
        </w:p>
        <w:p w14:paraId="66C2D6C7" w14:textId="77777777" w:rsidR="00EE4557" w:rsidRPr="00EE4557" w:rsidRDefault="00816B15">
          <w:pPr>
            <w:pStyle w:val="TOC1"/>
            <w:rPr>
              <w:rFonts w:ascii="Arial Narrow" w:eastAsiaTheme="minorEastAsia" w:hAnsi="Arial Narrow" w:cstheme="minorBidi"/>
              <w:noProof/>
              <w:sz w:val="20"/>
              <w:szCs w:val="20"/>
            </w:rPr>
          </w:pPr>
          <w:hyperlink w:anchor="_Toc210747628" w:history="1">
            <w:r w:rsidR="00EE4557" w:rsidRPr="00EE4557">
              <w:rPr>
                <w:rStyle w:val="Hyperlink"/>
                <w:rFonts w:ascii="Arial Narrow" w:hAnsi="Arial Narrow"/>
                <w:bCs/>
                <w:noProof/>
                <w:sz w:val="20"/>
                <w:szCs w:val="20"/>
              </w:rPr>
              <w:t>6.3.1.</w:t>
            </w:r>
            <w:r w:rsidR="00EE4557" w:rsidRPr="00EE4557">
              <w:rPr>
                <w:rFonts w:ascii="Arial Narrow" w:eastAsiaTheme="minorEastAsia" w:hAnsi="Arial Narrow" w:cstheme="minorBidi"/>
                <w:noProof/>
                <w:sz w:val="20"/>
                <w:szCs w:val="20"/>
              </w:rPr>
              <w:tab/>
            </w:r>
            <w:r w:rsidR="00EE4557" w:rsidRPr="00EE4557">
              <w:rPr>
                <w:rStyle w:val="Hyperlink"/>
                <w:rFonts w:ascii="Arial Narrow" w:hAnsi="Arial Narrow"/>
                <w:bCs/>
                <w:noProof/>
                <w:sz w:val="20"/>
                <w:szCs w:val="20"/>
              </w:rPr>
              <w:t>Мрежа за предупреждение и сътрудничество (ACN) (ACN=RASFF+AAC+ FFN+PHN+AHW+PAN))</w:t>
            </w:r>
            <w:r w:rsidR="00EE4557" w:rsidRPr="00EE4557">
              <w:rPr>
                <w:rFonts w:ascii="Arial Narrow" w:hAnsi="Arial Narrow"/>
                <w:noProof/>
                <w:webHidden/>
                <w:sz w:val="20"/>
                <w:szCs w:val="20"/>
              </w:rPr>
              <w:tab/>
            </w:r>
            <w:r w:rsidR="00EE4557" w:rsidRPr="00EE4557">
              <w:rPr>
                <w:rFonts w:ascii="Arial Narrow" w:hAnsi="Arial Narrow"/>
                <w:noProof/>
                <w:webHidden/>
                <w:sz w:val="20"/>
                <w:szCs w:val="20"/>
              </w:rPr>
              <w:fldChar w:fldCharType="begin"/>
            </w:r>
            <w:r w:rsidR="00EE4557" w:rsidRPr="00EE4557">
              <w:rPr>
                <w:rFonts w:ascii="Arial Narrow" w:hAnsi="Arial Narrow"/>
                <w:noProof/>
                <w:webHidden/>
                <w:sz w:val="20"/>
                <w:szCs w:val="20"/>
              </w:rPr>
              <w:instrText xml:space="preserve"> PAGEREF _Toc210747628 \h </w:instrText>
            </w:r>
            <w:r w:rsidR="00EE4557" w:rsidRPr="00EE4557">
              <w:rPr>
                <w:rFonts w:ascii="Arial Narrow" w:hAnsi="Arial Narrow"/>
                <w:noProof/>
                <w:webHidden/>
                <w:sz w:val="20"/>
                <w:szCs w:val="20"/>
              </w:rPr>
            </w:r>
            <w:r w:rsidR="00EE4557" w:rsidRPr="00EE4557">
              <w:rPr>
                <w:rFonts w:ascii="Arial Narrow" w:hAnsi="Arial Narrow"/>
                <w:noProof/>
                <w:webHidden/>
                <w:sz w:val="20"/>
                <w:szCs w:val="20"/>
              </w:rPr>
              <w:fldChar w:fldCharType="separate"/>
            </w:r>
            <w:r w:rsidR="00211D64">
              <w:rPr>
                <w:rFonts w:ascii="Arial Narrow" w:hAnsi="Arial Narrow"/>
                <w:noProof/>
                <w:webHidden/>
                <w:sz w:val="20"/>
                <w:szCs w:val="20"/>
              </w:rPr>
              <w:t>152</w:t>
            </w:r>
            <w:r w:rsidR="00EE4557" w:rsidRPr="00EE4557">
              <w:rPr>
                <w:rFonts w:ascii="Arial Narrow" w:hAnsi="Arial Narrow"/>
                <w:noProof/>
                <w:webHidden/>
                <w:sz w:val="20"/>
                <w:szCs w:val="20"/>
              </w:rPr>
              <w:fldChar w:fldCharType="end"/>
            </w:r>
          </w:hyperlink>
        </w:p>
        <w:p w14:paraId="5BB67479" w14:textId="77777777" w:rsidR="00EE4557" w:rsidRPr="00EE4557" w:rsidRDefault="00816B15">
          <w:pPr>
            <w:pStyle w:val="TOC1"/>
            <w:rPr>
              <w:rFonts w:ascii="Arial Narrow" w:eastAsiaTheme="minorEastAsia" w:hAnsi="Arial Narrow" w:cstheme="minorBidi"/>
              <w:noProof/>
              <w:sz w:val="20"/>
              <w:szCs w:val="20"/>
            </w:rPr>
          </w:pPr>
          <w:hyperlink w:anchor="_Toc210747629" w:history="1">
            <w:r w:rsidR="00EE4557" w:rsidRPr="00EE4557">
              <w:rPr>
                <w:rStyle w:val="Hyperlink"/>
                <w:rFonts w:ascii="Arial Narrow" w:hAnsi="Arial Narrow"/>
                <w:bCs/>
                <w:noProof/>
                <w:sz w:val="20"/>
                <w:szCs w:val="20"/>
                <w:lang w:val="bg-BG"/>
              </w:rPr>
              <w:t>6.3.2.</w:t>
            </w:r>
            <w:r w:rsidR="00EE4557" w:rsidRPr="00EE4557">
              <w:rPr>
                <w:rFonts w:ascii="Arial Narrow" w:eastAsiaTheme="minorEastAsia" w:hAnsi="Arial Narrow" w:cstheme="minorBidi"/>
                <w:noProof/>
                <w:sz w:val="20"/>
                <w:szCs w:val="20"/>
              </w:rPr>
              <w:tab/>
            </w:r>
            <w:r w:rsidR="00EE4557" w:rsidRPr="00EE4557">
              <w:rPr>
                <w:rStyle w:val="Hyperlink"/>
                <w:rFonts w:ascii="Arial Narrow" w:hAnsi="Arial Narrow"/>
                <w:bCs/>
                <w:noProof/>
                <w:sz w:val="20"/>
                <w:szCs w:val="20"/>
                <w:lang w:val="bg-BG" w:eastAsia="bg-BG"/>
              </w:rPr>
              <w:t xml:space="preserve">Контрол на ветеринарните лекарствени продукти, </w:t>
            </w:r>
            <w:r w:rsidR="00EE4557" w:rsidRPr="00EE4557">
              <w:rPr>
                <w:rStyle w:val="Hyperlink"/>
                <w:rFonts w:ascii="Arial Narrow" w:hAnsi="Arial Narrow"/>
                <w:bCs/>
                <w:noProof/>
                <w:sz w:val="20"/>
                <w:szCs w:val="20"/>
                <w:lang w:val="bg-BG"/>
              </w:rPr>
              <w:t>фуражи</w:t>
            </w:r>
            <w:r w:rsidR="00EE4557" w:rsidRPr="00EE4557">
              <w:rPr>
                <w:rStyle w:val="Hyperlink"/>
                <w:rFonts w:ascii="Arial Narrow" w:eastAsia="Calibri" w:hAnsi="Arial Narrow"/>
                <w:noProof/>
                <w:sz w:val="20"/>
                <w:szCs w:val="20"/>
              </w:rPr>
              <w:t xml:space="preserve"> </w:t>
            </w:r>
            <w:r w:rsidR="00EE4557" w:rsidRPr="00EE4557">
              <w:rPr>
                <w:rStyle w:val="Hyperlink"/>
                <w:rFonts w:ascii="Arial Narrow" w:hAnsi="Arial Narrow"/>
                <w:bCs/>
                <w:noProof/>
                <w:sz w:val="20"/>
                <w:szCs w:val="20"/>
                <w:lang w:val="bg-BG"/>
              </w:rPr>
              <w:t>и странични животински продукти, граничен контрол</w:t>
            </w:r>
            <w:r w:rsidR="00EE4557" w:rsidRPr="00EE4557">
              <w:rPr>
                <w:rFonts w:ascii="Arial Narrow" w:hAnsi="Arial Narrow"/>
                <w:noProof/>
                <w:webHidden/>
                <w:sz w:val="20"/>
                <w:szCs w:val="20"/>
              </w:rPr>
              <w:tab/>
            </w:r>
            <w:r w:rsidR="00EE4557" w:rsidRPr="00EE4557">
              <w:rPr>
                <w:rFonts w:ascii="Arial Narrow" w:hAnsi="Arial Narrow"/>
                <w:noProof/>
                <w:webHidden/>
                <w:sz w:val="20"/>
                <w:szCs w:val="20"/>
              </w:rPr>
              <w:fldChar w:fldCharType="begin"/>
            </w:r>
            <w:r w:rsidR="00EE4557" w:rsidRPr="00EE4557">
              <w:rPr>
                <w:rFonts w:ascii="Arial Narrow" w:hAnsi="Arial Narrow"/>
                <w:noProof/>
                <w:webHidden/>
                <w:sz w:val="20"/>
                <w:szCs w:val="20"/>
              </w:rPr>
              <w:instrText xml:space="preserve"> PAGEREF _Toc210747629 \h </w:instrText>
            </w:r>
            <w:r w:rsidR="00EE4557" w:rsidRPr="00EE4557">
              <w:rPr>
                <w:rFonts w:ascii="Arial Narrow" w:hAnsi="Arial Narrow"/>
                <w:noProof/>
                <w:webHidden/>
                <w:sz w:val="20"/>
                <w:szCs w:val="20"/>
              </w:rPr>
            </w:r>
            <w:r w:rsidR="00EE4557" w:rsidRPr="00EE4557">
              <w:rPr>
                <w:rFonts w:ascii="Arial Narrow" w:hAnsi="Arial Narrow"/>
                <w:noProof/>
                <w:webHidden/>
                <w:sz w:val="20"/>
                <w:szCs w:val="20"/>
              </w:rPr>
              <w:fldChar w:fldCharType="separate"/>
            </w:r>
            <w:r w:rsidR="00211D64">
              <w:rPr>
                <w:rFonts w:ascii="Arial Narrow" w:hAnsi="Arial Narrow"/>
                <w:noProof/>
                <w:webHidden/>
                <w:sz w:val="20"/>
                <w:szCs w:val="20"/>
              </w:rPr>
              <w:t>157</w:t>
            </w:r>
            <w:r w:rsidR="00EE4557" w:rsidRPr="00EE4557">
              <w:rPr>
                <w:rFonts w:ascii="Arial Narrow" w:hAnsi="Arial Narrow"/>
                <w:noProof/>
                <w:webHidden/>
                <w:sz w:val="20"/>
                <w:szCs w:val="20"/>
              </w:rPr>
              <w:fldChar w:fldCharType="end"/>
            </w:r>
          </w:hyperlink>
        </w:p>
        <w:p w14:paraId="019F1A2E" w14:textId="77777777" w:rsidR="00EE4557" w:rsidRPr="00EE4557" w:rsidRDefault="00816B15">
          <w:pPr>
            <w:pStyle w:val="TOC1"/>
            <w:rPr>
              <w:rFonts w:ascii="Arial Narrow" w:eastAsiaTheme="minorEastAsia" w:hAnsi="Arial Narrow" w:cstheme="minorBidi"/>
              <w:noProof/>
              <w:sz w:val="20"/>
              <w:szCs w:val="20"/>
            </w:rPr>
          </w:pPr>
          <w:hyperlink w:anchor="_Toc210747630" w:history="1">
            <w:r w:rsidR="00EE4557" w:rsidRPr="00EE4557">
              <w:rPr>
                <w:rStyle w:val="Hyperlink"/>
                <w:rFonts w:ascii="Arial Narrow" w:hAnsi="Arial Narrow"/>
                <w:bCs/>
                <w:noProof/>
                <w:sz w:val="20"/>
                <w:szCs w:val="20"/>
                <w:lang w:val="bg-BG" w:eastAsia="bg-BG"/>
              </w:rPr>
              <w:t>6.3.2.1.</w:t>
            </w:r>
            <w:r w:rsidR="00EE4557" w:rsidRPr="00EE4557">
              <w:rPr>
                <w:rFonts w:ascii="Arial Narrow" w:eastAsiaTheme="minorEastAsia" w:hAnsi="Arial Narrow" w:cstheme="minorBidi"/>
                <w:noProof/>
                <w:sz w:val="20"/>
                <w:szCs w:val="20"/>
              </w:rPr>
              <w:tab/>
            </w:r>
            <w:r w:rsidR="00EE4557" w:rsidRPr="00EE4557">
              <w:rPr>
                <w:rStyle w:val="Hyperlink"/>
                <w:rFonts w:ascii="Arial Narrow" w:hAnsi="Arial Narrow"/>
                <w:bCs/>
                <w:noProof/>
                <w:sz w:val="20"/>
                <w:szCs w:val="20"/>
                <w:lang w:val="bg-BG" w:eastAsia="bg-BG"/>
              </w:rPr>
              <w:t>Контрол на ветеринарни лекарствени продукти</w:t>
            </w:r>
            <w:r w:rsidR="00EE4557" w:rsidRPr="00EE4557">
              <w:rPr>
                <w:rFonts w:ascii="Arial Narrow" w:hAnsi="Arial Narrow"/>
                <w:noProof/>
                <w:webHidden/>
                <w:sz w:val="20"/>
                <w:szCs w:val="20"/>
              </w:rPr>
              <w:tab/>
            </w:r>
            <w:r w:rsidR="00EE4557" w:rsidRPr="00EE4557">
              <w:rPr>
                <w:rFonts w:ascii="Arial Narrow" w:hAnsi="Arial Narrow"/>
                <w:noProof/>
                <w:webHidden/>
                <w:sz w:val="20"/>
                <w:szCs w:val="20"/>
              </w:rPr>
              <w:fldChar w:fldCharType="begin"/>
            </w:r>
            <w:r w:rsidR="00EE4557" w:rsidRPr="00EE4557">
              <w:rPr>
                <w:rFonts w:ascii="Arial Narrow" w:hAnsi="Arial Narrow"/>
                <w:noProof/>
                <w:webHidden/>
                <w:sz w:val="20"/>
                <w:szCs w:val="20"/>
              </w:rPr>
              <w:instrText xml:space="preserve"> PAGEREF _Toc210747630 \h </w:instrText>
            </w:r>
            <w:r w:rsidR="00EE4557" w:rsidRPr="00EE4557">
              <w:rPr>
                <w:rFonts w:ascii="Arial Narrow" w:hAnsi="Arial Narrow"/>
                <w:noProof/>
                <w:webHidden/>
                <w:sz w:val="20"/>
                <w:szCs w:val="20"/>
              </w:rPr>
            </w:r>
            <w:r w:rsidR="00EE4557" w:rsidRPr="00EE4557">
              <w:rPr>
                <w:rFonts w:ascii="Arial Narrow" w:hAnsi="Arial Narrow"/>
                <w:noProof/>
                <w:webHidden/>
                <w:sz w:val="20"/>
                <w:szCs w:val="20"/>
              </w:rPr>
              <w:fldChar w:fldCharType="separate"/>
            </w:r>
            <w:r w:rsidR="00211D64">
              <w:rPr>
                <w:rFonts w:ascii="Arial Narrow" w:hAnsi="Arial Narrow"/>
                <w:noProof/>
                <w:webHidden/>
                <w:sz w:val="20"/>
                <w:szCs w:val="20"/>
              </w:rPr>
              <w:t>157</w:t>
            </w:r>
            <w:r w:rsidR="00EE4557" w:rsidRPr="00EE4557">
              <w:rPr>
                <w:rFonts w:ascii="Arial Narrow" w:hAnsi="Arial Narrow"/>
                <w:noProof/>
                <w:webHidden/>
                <w:sz w:val="20"/>
                <w:szCs w:val="20"/>
              </w:rPr>
              <w:fldChar w:fldCharType="end"/>
            </w:r>
          </w:hyperlink>
        </w:p>
        <w:p w14:paraId="4FBC107B" w14:textId="77777777" w:rsidR="00EE4557" w:rsidRPr="00EE4557" w:rsidRDefault="00816B15">
          <w:pPr>
            <w:pStyle w:val="TOC1"/>
            <w:rPr>
              <w:rFonts w:ascii="Arial Narrow" w:eastAsiaTheme="minorEastAsia" w:hAnsi="Arial Narrow" w:cstheme="minorBidi"/>
              <w:noProof/>
              <w:sz w:val="20"/>
              <w:szCs w:val="20"/>
            </w:rPr>
          </w:pPr>
          <w:hyperlink w:anchor="_Toc210747631" w:history="1">
            <w:r w:rsidR="00EE4557" w:rsidRPr="00EE4557">
              <w:rPr>
                <w:rStyle w:val="Hyperlink"/>
                <w:rFonts w:ascii="Arial Narrow" w:hAnsi="Arial Narrow"/>
                <w:bCs/>
                <w:noProof/>
                <w:sz w:val="20"/>
                <w:szCs w:val="20"/>
                <w:lang w:val="bg-BG" w:eastAsia="bg-BG"/>
              </w:rPr>
              <w:t>6.3.2.2.</w:t>
            </w:r>
            <w:r w:rsidR="00EE4557" w:rsidRPr="00EE4557">
              <w:rPr>
                <w:rFonts w:ascii="Arial Narrow" w:eastAsiaTheme="minorEastAsia" w:hAnsi="Arial Narrow" w:cstheme="minorBidi"/>
                <w:noProof/>
                <w:sz w:val="20"/>
                <w:szCs w:val="20"/>
              </w:rPr>
              <w:tab/>
            </w:r>
            <w:r w:rsidR="00EE4557" w:rsidRPr="00EE4557">
              <w:rPr>
                <w:rStyle w:val="Hyperlink"/>
                <w:rFonts w:ascii="Arial Narrow" w:hAnsi="Arial Narrow"/>
                <w:bCs/>
                <w:noProof/>
                <w:sz w:val="20"/>
                <w:szCs w:val="20"/>
                <w:lang w:val="bg-BG" w:eastAsia="bg-BG"/>
              </w:rPr>
              <w:t>Граничен контрол</w:t>
            </w:r>
            <w:r w:rsidR="00EE4557" w:rsidRPr="00EE4557">
              <w:rPr>
                <w:rFonts w:ascii="Arial Narrow" w:hAnsi="Arial Narrow"/>
                <w:noProof/>
                <w:webHidden/>
                <w:sz w:val="20"/>
                <w:szCs w:val="20"/>
              </w:rPr>
              <w:tab/>
            </w:r>
            <w:r w:rsidR="00EE4557" w:rsidRPr="00EE4557">
              <w:rPr>
                <w:rFonts w:ascii="Arial Narrow" w:hAnsi="Arial Narrow"/>
                <w:noProof/>
                <w:webHidden/>
                <w:sz w:val="20"/>
                <w:szCs w:val="20"/>
              </w:rPr>
              <w:fldChar w:fldCharType="begin"/>
            </w:r>
            <w:r w:rsidR="00EE4557" w:rsidRPr="00EE4557">
              <w:rPr>
                <w:rFonts w:ascii="Arial Narrow" w:hAnsi="Arial Narrow"/>
                <w:noProof/>
                <w:webHidden/>
                <w:sz w:val="20"/>
                <w:szCs w:val="20"/>
              </w:rPr>
              <w:instrText xml:space="preserve"> PAGEREF _Toc210747631 \h </w:instrText>
            </w:r>
            <w:r w:rsidR="00EE4557" w:rsidRPr="00EE4557">
              <w:rPr>
                <w:rFonts w:ascii="Arial Narrow" w:hAnsi="Arial Narrow"/>
                <w:noProof/>
                <w:webHidden/>
                <w:sz w:val="20"/>
                <w:szCs w:val="20"/>
              </w:rPr>
            </w:r>
            <w:r w:rsidR="00EE4557" w:rsidRPr="00EE4557">
              <w:rPr>
                <w:rFonts w:ascii="Arial Narrow" w:hAnsi="Arial Narrow"/>
                <w:noProof/>
                <w:webHidden/>
                <w:sz w:val="20"/>
                <w:szCs w:val="20"/>
              </w:rPr>
              <w:fldChar w:fldCharType="separate"/>
            </w:r>
            <w:r w:rsidR="00211D64">
              <w:rPr>
                <w:rFonts w:ascii="Arial Narrow" w:hAnsi="Arial Narrow"/>
                <w:noProof/>
                <w:webHidden/>
                <w:sz w:val="20"/>
                <w:szCs w:val="20"/>
              </w:rPr>
              <w:t>159</w:t>
            </w:r>
            <w:r w:rsidR="00EE4557" w:rsidRPr="00EE4557">
              <w:rPr>
                <w:rFonts w:ascii="Arial Narrow" w:hAnsi="Arial Narrow"/>
                <w:noProof/>
                <w:webHidden/>
                <w:sz w:val="20"/>
                <w:szCs w:val="20"/>
              </w:rPr>
              <w:fldChar w:fldCharType="end"/>
            </w:r>
          </w:hyperlink>
        </w:p>
        <w:p w14:paraId="7CD11A3E" w14:textId="77777777" w:rsidR="00EE4557" w:rsidRPr="00EE4557" w:rsidRDefault="00816B15">
          <w:pPr>
            <w:pStyle w:val="TOC1"/>
            <w:rPr>
              <w:rFonts w:ascii="Arial Narrow" w:eastAsiaTheme="minorEastAsia" w:hAnsi="Arial Narrow" w:cstheme="minorBidi"/>
              <w:noProof/>
              <w:sz w:val="20"/>
              <w:szCs w:val="20"/>
            </w:rPr>
          </w:pPr>
          <w:hyperlink w:anchor="_Toc210747632" w:history="1">
            <w:r w:rsidR="00EE4557" w:rsidRPr="00EE4557">
              <w:rPr>
                <w:rStyle w:val="Hyperlink"/>
                <w:rFonts w:ascii="Arial Narrow" w:hAnsi="Arial Narrow"/>
                <w:bCs/>
                <w:noProof/>
                <w:sz w:val="20"/>
                <w:szCs w:val="20"/>
                <w:lang w:val="bg-BG"/>
              </w:rPr>
              <w:t>6.3.2.3.</w:t>
            </w:r>
            <w:r w:rsidR="00EE4557" w:rsidRPr="00EE4557">
              <w:rPr>
                <w:rFonts w:ascii="Arial Narrow" w:eastAsiaTheme="minorEastAsia" w:hAnsi="Arial Narrow" w:cstheme="minorBidi"/>
                <w:noProof/>
                <w:sz w:val="20"/>
                <w:szCs w:val="20"/>
              </w:rPr>
              <w:tab/>
            </w:r>
            <w:r w:rsidR="00EE4557" w:rsidRPr="00EE4557">
              <w:rPr>
                <w:rStyle w:val="Hyperlink"/>
                <w:rFonts w:ascii="Arial Narrow" w:hAnsi="Arial Narrow"/>
                <w:bCs/>
                <w:noProof/>
                <w:sz w:val="20"/>
                <w:szCs w:val="20"/>
                <w:lang w:val="bg-BG"/>
              </w:rPr>
              <w:t>Контрол на фуражите и страничните животински продукти</w:t>
            </w:r>
            <w:r w:rsidR="00EE4557" w:rsidRPr="00EE4557">
              <w:rPr>
                <w:rFonts w:ascii="Arial Narrow" w:hAnsi="Arial Narrow"/>
                <w:noProof/>
                <w:webHidden/>
                <w:sz w:val="20"/>
                <w:szCs w:val="20"/>
              </w:rPr>
              <w:tab/>
            </w:r>
            <w:r w:rsidR="00EE4557" w:rsidRPr="00EE4557">
              <w:rPr>
                <w:rFonts w:ascii="Arial Narrow" w:hAnsi="Arial Narrow"/>
                <w:noProof/>
                <w:webHidden/>
                <w:sz w:val="20"/>
                <w:szCs w:val="20"/>
              </w:rPr>
              <w:fldChar w:fldCharType="begin"/>
            </w:r>
            <w:r w:rsidR="00EE4557" w:rsidRPr="00EE4557">
              <w:rPr>
                <w:rFonts w:ascii="Arial Narrow" w:hAnsi="Arial Narrow"/>
                <w:noProof/>
                <w:webHidden/>
                <w:sz w:val="20"/>
                <w:szCs w:val="20"/>
              </w:rPr>
              <w:instrText xml:space="preserve"> PAGEREF _Toc210747632 \h </w:instrText>
            </w:r>
            <w:r w:rsidR="00EE4557" w:rsidRPr="00EE4557">
              <w:rPr>
                <w:rFonts w:ascii="Arial Narrow" w:hAnsi="Arial Narrow"/>
                <w:noProof/>
                <w:webHidden/>
                <w:sz w:val="20"/>
                <w:szCs w:val="20"/>
              </w:rPr>
            </w:r>
            <w:r w:rsidR="00EE4557" w:rsidRPr="00EE4557">
              <w:rPr>
                <w:rFonts w:ascii="Arial Narrow" w:hAnsi="Arial Narrow"/>
                <w:noProof/>
                <w:webHidden/>
                <w:sz w:val="20"/>
                <w:szCs w:val="20"/>
              </w:rPr>
              <w:fldChar w:fldCharType="separate"/>
            </w:r>
            <w:r w:rsidR="00211D64">
              <w:rPr>
                <w:rFonts w:ascii="Arial Narrow" w:hAnsi="Arial Narrow"/>
                <w:noProof/>
                <w:webHidden/>
                <w:sz w:val="20"/>
                <w:szCs w:val="20"/>
              </w:rPr>
              <w:t>159</w:t>
            </w:r>
            <w:r w:rsidR="00EE4557" w:rsidRPr="00EE4557">
              <w:rPr>
                <w:rFonts w:ascii="Arial Narrow" w:hAnsi="Arial Narrow"/>
                <w:noProof/>
                <w:webHidden/>
                <w:sz w:val="20"/>
                <w:szCs w:val="20"/>
              </w:rPr>
              <w:fldChar w:fldCharType="end"/>
            </w:r>
          </w:hyperlink>
        </w:p>
        <w:p w14:paraId="7CE8C6D6" w14:textId="77777777" w:rsidR="00EE4557" w:rsidRPr="00EE4557" w:rsidRDefault="00816B15">
          <w:pPr>
            <w:pStyle w:val="TOC1"/>
            <w:rPr>
              <w:rFonts w:ascii="Arial Narrow" w:eastAsiaTheme="minorEastAsia" w:hAnsi="Arial Narrow" w:cstheme="minorBidi"/>
              <w:noProof/>
              <w:sz w:val="20"/>
              <w:szCs w:val="20"/>
            </w:rPr>
          </w:pPr>
          <w:hyperlink w:anchor="_Toc210747633" w:history="1">
            <w:r w:rsidR="00EE4557" w:rsidRPr="00EE4557">
              <w:rPr>
                <w:rStyle w:val="Hyperlink"/>
                <w:rFonts w:ascii="Arial Narrow" w:hAnsi="Arial Narrow"/>
                <w:noProof/>
                <w:sz w:val="20"/>
                <w:szCs w:val="20"/>
                <w:lang w:val="bg-BG"/>
              </w:rPr>
              <w:t>6.4.</w:t>
            </w:r>
            <w:r w:rsidR="00EE4557" w:rsidRPr="00EE4557">
              <w:rPr>
                <w:rFonts w:ascii="Arial Narrow" w:eastAsiaTheme="minorEastAsia" w:hAnsi="Arial Narrow" w:cstheme="minorBidi"/>
                <w:noProof/>
                <w:sz w:val="20"/>
                <w:szCs w:val="20"/>
              </w:rPr>
              <w:tab/>
            </w:r>
            <w:r w:rsidR="00EE4557" w:rsidRPr="00EE4557">
              <w:rPr>
                <w:rStyle w:val="Hyperlink"/>
                <w:rFonts w:ascii="Arial Narrow" w:hAnsi="Arial Narrow"/>
                <w:noProof/>
                <w:sz w:val="20"/>
                <w:szCs w:val="20"/>
                <w:lang w:val="bg-BG"/>
              </w:rPr>
              <w:t>Анализ на рисковете по хранителната верига</w:t>
            </w:r>
            <w:r w:rsidR="00EE4557" w:rsidRPr="00EE4557">
              <w:rPr>
                <w:rFonts w:ascii="Arial Narrow" w:hAnsi="Arial Narrow"/>
                <w:noProof/>
                <w:webHidden/>
                <w:sz w:val="20"/>
                <w:szCs w:val="20"/>
              </w:rPr>
              <w:tab/>
            </w:r>
            <w:r w:rsidR="00EE4557" w:rsidRPr="00EE4557">
              <w:rPr>
                <w:rFonts w:ascii="Arial Narrow" w:hAnsi="Arial Narrow"/>
                <w:noProof/>
                <w:webHidden/>
                <w:sz w:val="20"/>
                <w:szCs w:val="20"/>
              </w:rPr>
              <w:fldChar w:fldCharType="begin"/>
            </w:r>
            <w:r w:rsidR="00EE4557" w:rsidRPr="00EE4557">
              <w:rPr>
                <w:rFonts w:ascii="Arial Narrow" w:hAnsi="Arial Narrow"/>
                <w:noProof/>
                <w:webHidden/>
                <w:sz w:val="20"/>
                <w:szCs w:val="20"/>
              </w:rPr>
              <w:instrText xml:space="preserve"> PAGEREF _Toc210747633 \h </w:instrText>
            </w:r>
            <w:r w:rsidR="00EE4557" w:rsidRPr="00EE4557">
              <w:rPr>
                <w:rFonts w:ascii="Arial Narrow" w:hAnsi="Arial Narrow"/>
                <w:noProof/>
                <w:webHidden/>
                <w:sz w:val="20"/>
                <w:szCs w:val="20"/>
              </w:rPr>
            </w:r>
            <w:r w:rsidR="00EE4557" w:rsidRPr="00EE4557">
              <w:rPr>
                <w:rFonts w:ascii="Arial Narrow" w:hAnsi="Arial Narrow"/>
                <w:noProof/>
                <w:webHidden/>
                <w:sz w:val="20"/>
                <w:szCs w:val="20"/>
              </w:rPr>
              <w:fldChar w:fldCharType="separate"/>
            </w:r>
            <w:r w:rsidR="00211D64">
              <w:rPr>
                <w:rFonts w:ascii="Arial Narrow" w:hAnsi="Arial Narrow"/>
                <w:noProof/>
                <w:webHidden/>
                <w:sz w:val="20"/>
                <w:szCs w:val="20"/>
              </w:rPr>
              <w:t>169</w:t>
            </w:r>
            <w:r w:rsidR="00EE4557" w:rsidRPr="00EE4557">
              <w:rPr>
                <w:rFonts w:ascii="Arial Narrow" w:hAnsi="Arial Narrow"/>
                <w:noProof/>
                <w:webHidden/>
                <w:sz w:val="20"/>
                <w:szCs w:val="20"/>
              </w:rPr>
              <w:fldChar w:fldCharType="end"/>
            </w:r>
          </w:hyperlink>
        </w:p>
        <w:p w14:paraId="09210BF0" w14:textId="77777777" w:rsidR="00EE4557" w:rsidRPr="00EE4557" w:rsidRDefault="00816B15">
          <w:pPr>
            <w:pStyle w:val="TOC1"/>
            <w:rPr>
              <w:rFonts w:ascii="Arial Narrow" w:eastAsiaTheme="minorEastAsia" w:hAnsi="Arial Narrow" w:cstheme="minorBidi"/>
              <w:noProof/>
              <w:sz w:val="20"/>
              <w:szCs w:val="20"/>
            </w:rPr>
          </w:pPr>
          <w:hyperlink w:anchor="_Toc210747634" w:history="1">
            <w:r w:rsidR="00EE4557" w:rsidRPr="00EE4557">
              <w:rPr>
                <w:rStyle w:val="Hyperlink"/>
                <w:rFonts w:ascii="Arial Narrow" w:hAnsi="Arial Narrow"/>
                <w:noProof/>
                <w:sz w:val="20"/>
                <w:szCs w:val="20"/>
                <w:lang w:val="bg-BG"/>
              </w:rPr>
              <w:t>6.5.</w:t>
            </w:r>
            <w:r w:rsidR="00EE4557" w:rsidRPr="00EE4557">
              <w:rPr>
                <w:rFonts w:ascii="Arial Narrow" w:eastAsiaTheme="minorEastAsia" w:hAnsi="Arial Narrow" w:cstheme="minorBidi"/>
                <w:noProof/>
                <w:sz w:val="20"/>
                <w:szCs w:val="20"/>
              </w:rPr>
              <w:tab/>
            </w:r>
            <w:r w:rsidR="00EE4557" w:rsidRPr="00EE4557">
              <w:rPr>
                <w:rStyle w:val="Hyperlink"/>
                <w:rFonts w:ascii="Arial Narrow" w:hAnsi="Arial Narrow"/>
                <w:noProof/>
                <w:sz w:val="20"/>
                <w:szCs w:val="20"/>
                <w:lang w:val="bg-BG" w:eastAsia="bg-BG"/>
              </w:rPr>
              <w:t xml:space="preserve">Нормативни </w:t>
            </w:r>
            <w:r w:rsidR="00EE4557" w:rsidRPr="00EE4557">
              <w:rPr>
                <w:rStyle w:val="Hyperlink"/>
                <w:rFonts w:ascii="Arial Narrow" w:hAnsi="Arial Narrow"/>
                <w:noProof/>
                <w:sz w:val="20"/>
                <w:szCs w:val="20"/>
                <w:lang w:val="bg-BG"/>
              </w:rPr>
              <w:t>промени и стратегически документи в областта на безопасността по хранителната верига</w:t>
            </w:r>
            <w:r w:rsidR="00EE4557" w:rsidRPr="00EE4557">
              <w:rPr>
                <w:rFonts w:ascii="Arial Narrow" w:hAnsi="Arial Narrow"/>
                <w:noProof/>
                <w:webHidden/>
                <w:sz w:val="20"/>
                <w:szCs w:val="20"/>
              </w:rPr>
              <w:tab/>
            </w:r>
            <w:r w:rsidR="00EE4557" w:rsidRPr="00EE4557">
              <w:rPr>
                <w:rFonts w:ascii="Arial Narrow" w:hAnsi="Arial Narrow"/>
                <w:noProof/>
                <w:webHidden/>
                <w:sz w:val="20"/>
                <w:szCs w:val="20"/>
              </w:rPr>
              <w:fldChar w:fldCharType="begin"/>
            </w:r>
            <w:r w:rsidR="00EE4557" w:rsidRPr="00EE4557">
              <w:rPr>
                <w:rFonts w:ascii="Arial Narrow" w:hAnsi="Arial Narrow"/>
                <w:noProof/>
                <w:webHidden/>
                <w:sz w:val="20"/>
                <w:szCs w:val="20"/>
              </w:rPr>
              <w:instrText xml:space="preserve"> PAGEREF _Toc210747634 \h </w:instrText>
            </w:r>
            <w:r w:rsidR="00EE4557" w:rsidRPr="00EE4557">
              <w:rPr>
                <w:rFonts w:ascii="Arial Narrow" w:hAnsi="Arial Narrow"/>
                <w:noProof/>
                <w:webHidden/>
                <w:sz w:val="20"/>
                <w:szCs w:val="20"/>
              </w:rPr>
            </w:r>
            <w:r w:rsidR="00EE4557" w:rsidRPr="00EE4557">
              <w:rPr>
                <w:rFonts w:ascii="Arial Narrow" w:hAnsi="Arial Narrow"/>
                <w:noProof/>
                <w:webHidden/>
                <w:sz w:val="20"/>
                <w:szCs w:val="20"/>
              </w:rPr>
              <w:fldChar w:fldCharType="separate"/>
            </w:r>
            <w:r w:rsidR="00211D64">
              <w:rPr>
                <w:rFonts w:ascii="Arial Narrow" w:hAnsi="Arial Narrow"/>
                <w:noProof/>
                <w:webHidden/>
                <w:sz w:val="20"/>
                <w:szCs w:val="20"/>
              </w:rPr>
              <w:t>175</w:t>
            </w:r>
            <w:r w:rsidR="00EE4557" w:rsidRPr="00EE4557">
              <w:rPr>
                <w:rFonts w:ascii="Arial Narrow" w:hAnsi="Arial Narrow"/>
                <w:noProof/>
                <w:webHidden/>
                <w:sz w:val="20"/>
                <w:szCs w:val="20"/>
              </w:rPr>
              <w:fldChar w:fldCharType="end"/>
            </w:r>
          </w:hyperlink>
        </w:p>
        <w:p w14:paraId="53D3A3F8" w14:textId="77777777" w:rsidR="00EE4557" w:rsidRPr="00EE4557" w:rsidRDefault="00816B15">
          <w:pPr>
            <w:pStyle w:val="TOC1"/>
            <w:rPr>
              <w:rFonts w:ascii="Arial Narrow" w:eastAsiaTheme="minorEastAsia" w:hAnsi="Arial Narrow" w:cstheme="minorBidi"/>
              <w:noProof/>
              <w:sz w:val="20"/>
              <w:szCs w:val="20"/>
            </w:rPr>
          </w:pPr>
          <w:hyperlink w:anchor="_Toc210747635" w:history="1">
            <w:r w:rsidR="00EE4557" w:rsidRPr="00EE4557">
              <w:rPr>
                <w:rStyle w:val="Hyperlink"/>
                <w:rFonts w:ascii="Arial Narrow" w:hAnsi="Arial Narrow"/>
                <w:noProof/>
                <w:sz w:val="20"/>
                <w:szCs w:val="20"/>
                <w:lang w:val="bg-BG"/>
              </w:rPr>
              <w:t>7.</w:t>
            </w:r>
            <w:r w:rsidR="00EE4557" w:rsidRPr="00EE4557">
              <w:rPr>
                <w:rFonts w:ascii="Arial Narrow" w:eastAsiaTheme="minorEastAsia" w:hAnsi="Arial Narrow" w:cstheme="minorBidi"/>
                <w:noProof/>
                <w:sz w:val="20"/>
                <w:szCs w:val="20"/>
              </w:rPr>
              <w:tab/>
            </w:r>
            <w:r w:rsidR="00EE4557" w:rsidRPr="00EE4557">
              <w:rPr>
                <w:rStyle w:val="Hyperlink"/>
                <w:rFonts w:ascii="Arial Narrow" w:hAnsi="Arial Narrow"/>
                <w:noProof/>
                <w:sz w:val="20"/>
                <w:szCs w:val="20"/>
                <w:lang w:val="bg-BG"/>
              </w:rPr>
              <w:t>Селекция и репродукция в животновъдството</w:t>
            </w:r>
            <w:r w:rsidR="00EE4557" w:rsidRPr="00EE4557">
              <w:rPr>
                <w:rFonts w:ascii="Arial Narrow" w:hAnsi="Arial Narrow"/>
                <w:noProof/>
                <w:webHidden/>
                <w:sz w:val="20"/>
                <w:szCs w:val="20"/>
              </w:rPr>
              <w:tab/>
            </w:r>
            <w:r w:rsidR="00EE4557" w:rsidRPr="00EE4557">
              <w:rPr>
                <w:rFonts w:ascii="Arial Narrow" w:hAnsi="Arial Narrow"/>
                <w:noProof/>
                <w:webHidden/>
                <w:sz w:val="20"/>
                <w:szCs w:val="20"/>
              </w:rPr>
              <w:fldChar w:fldCharType="begin"/>
            </w:r>
            <w:r w:rsidR="00EE4557" w:rsidRPr="00EE4557">
              <w:rPr>
                <w:rFonts w:ascii="Arial Narrow" w:hAnsi="Arial Narrow"/>
                <w:noProof/>
                <w:webHidden/>
                <w:sz w:val="20"/>
                <w:szCs w:val="20"/>
              </w:rPr>
              <w:instrText xml:space="preserve"> PAGEREF _Toc210747635 \h </w:instrText>
            </w:r>
            <w:r w:rsidR="00EE4557" w:rsidRPr="00EE4557">
              <w:rPr>
                <w:rFonts w:ascii="Arial Narrow" w:hAnsi="Arial Narrow"/>
                <w:noProof/>
                <w:webHidden/>
                <w:sz w:val="20"/>
                <w:szCs w:val="20"/>
              </w:rPr>
            </w:r>
            <w:r w:rsidR="00EE4557" w:rsidRPr="00EE4557">
              <w:rPr>
                <w:rFonts w:ascii="Arial Narrow" w:hAnsi="Arial Narrow"/>
                <w:noProof/>
                <w:webHidden/>
                <w:sz w:val="20"/>
                <w:szCs w:val="20"/>
              </w:rPr>
              <w:fldChar w:fldCharType="separate"/>
            </w:r>
            <w:r w:rsidR="00211D64">
              <w:rPr>
                <w:rFonts w:ascii="Arial Narrow" w:hAnsi="Arial Narrow"/>
                <w:noProof/>
                <w:webHidden/>
                <w:sz w:val="20"/>
                <w:szCs w:val="20"/>
              </w:rPr>
              <w:t>177</w:t>
            </w:r>
            <w:r w:rsidR="00EE4557" w:rsidRPr="00EE4557">
              <w:rPr>
                <w:rFonts w:ascii="Arial Narrow" w:hAnsi="Arial Narrow"/>
                <w:noProof/>
                <w:webHidden/>
                <w:sz w:val="20"/>
                <w:szCs w:val="20"/>
              </w:rPr>
              <w:fldChar w:fldCharType="end"/>
            </w:r>
          </w:hyperlink>
        </w:p>
        <w:p w14:paraId="79463A41" w14:textId="77777777" w:rsidR="00EE4557" w:rsidRPr="00EE4557" w:rsidRDefault="00816B15">
          <w:pPr>
            <w:pStyle w:val="TOC1"/>
            <w:rPr>
              <w:rFonts w:ascii="Arial Narrow" w:eastAsiaTheme="minorEastAsia" w:hAnsi="Arial Narrow" w:cstheme="minorBidi"/>
              <w:noProof/>
              <w:sz w:val="20"/>
              <w:szCs w:val="20"/>
            </w:rPr>
          </w:pPr>
          <w:hyperlink w:anchor="_Toc210747636" w:history="1">
            <w:r w:rsidR="00EE4557" w:rsidRPr="00EE4557">
              <w:rPr>
                <w:rStyle w:val="Hyperlink"/>
                <w:rFonts w:ascii="Arial Narrow" w:hAnsi="Arial Narrow"/>
                <w:noProof/>
                <w:sz w:val="20"/>
                <w:szCs w:val="20"/>
                <w:lang w:val="bg-BG"/>
              </w:rPr>
              <w:t>7.1.</w:t>
            </w:r>
            <w:r w:rsidR="00EE4557" w:rsidRPr="00EE4557">
              <w:rPr>
                <w:rFonts w:ascii="Arial Narrow" w:eastAsiaTheme="minorEastAsia" w:hAnsi="Arial Narrow" w:cstheme="minorBidi"/>
                <w:noProof/>
                <w:sz w:val="20"/>
                <w:szCs w:val="20"/>
              </w:rPr>
              <w:tab/>
            </w:r>
            <w:r w:rsidR="00EE4557" w:rsidRPr="00EE4557">
              <w:rPr>
                <w:rStyle w:val="Hyperlink"/>
                <w:rFonts w:ascii="Arial Narrow" w:hAnsi="Arial Narrow"/>
                <w:noProof/>
                <w:sz w:val="20"/>
                <w:szCs w:val="20"/>
                <w:lang w:val="bg-BG"/>
              </w:rPr>
              <w:t>Управление на националните генетични ресурси в животновъдството</w:t>
            </w:r>
            <w:r w:rsidR="00EE4557" w:rsidRPr="00EE4557">
              <w:rPr>
                <w:rFonts w:ascii="Arial Narrow" w:hAnsi="Arial Narrow"/>
                <w:noProof/>
                <w:webHidden/>
                <w:sz w:val="20"/>
                <w:szCs w:val="20"/>
              </w:rPr>
              <w:tab/>
            </w:r>
            <w:r w:rsidR="00EE4557" w:rsidRPr="00EE4557">
              <w:rPr>
                <w:rFonts w:ascii="Arial Narrow" w:hAnsi="Arial Narrow"/>
                <w:noProof/>
                <w:webHidden/>
                <w:sz w:val="20"/>
                <w:szCs w:val="20"/>
              </w:rPr>
              <w:fldChar w:fldCharType="begin"/>
            </w:r>
            <w:r w:rsidR="00EE4557" w:rsidRPr="00EE4557">
              <w:rPr>
                <w:rFonts w:ascii="Arial Narrow" w:hAnsi="Arial Narrow"/>
                <w:noProof/>
                <w:webHidden/>
                <w:sz w:val="20"/>
                <w:szCs w:val="20"/>
              </w:rPr>
              <w:instrText xml:space="preserve"> PAGEREF _Toc210747636 \h </w:instrText>
            </w:r>
            <w:r w:rsidR="00EE4557" w:rsidRPr="00EE4557">
              <w:rPr>
                <w:rFonts w:ascii="Arial Narrow" w:hAnsi="Arial Narrow"/>
                <w:noProof/>
                <w:webHidden/>
                <w:sz w:val="20"/>
                <w:szCs w:val="20"/>
              </w:rPr>
            </w:r>
            <w:r w:rsidR="00EE4557" w:rsidRPr="00EE4557">
              <w:rPr>
                <w:rFonts w:ascii="Arial Narrow" w:hAnsi="Arial Narrow"/>
                <w:noProof/>
                <w:webHidden/>
                <w:sz w:val="20"/>
                <w:szCs w:val="20"/>
              </w:rPr>
              <w:fldChar w:fldCharType="separate"/>
            </w:r>
            <w:r w:rsidR="00211D64">
              <w:rPr>
                <w:rFonts w:ascii="Arial Narrow" w:hAnsi="Arial Narrow"/>
                <w:noProof/>
                <w:webHidden/>
                <w:sz w:val="20"/>
                <w:szCs w:val="20"/>
              </w:rPr>
              <w:t>177</w:t>
            </w:r>
            <w:r w:rsidR="00EE4557" w:rsidRPr="00EE4557">
              <w:rPr>
                <w:rFonts w:ascii="Arial Narrow" w:hAnsi="Arial Narrow"/>
                <w:noProof/>
                <w:webHidden/>
                <w:sz w:val="20"/>
                <w:szCs w:val="20"/>
              </w:rPr>
              <w:fldChar w:fldCharType="end"/>
            </w:r>
          </w:hyperlink>
        </w:p>
        <w:p w14:paraId="1635D5AA" w14:textId="77777777" w:rsidR="00EE4557" w:rsidRPr="00EE4557" w:rsidRDefault="00816B15">
          <w:pPr>
            <w:pStyle w:val="TOC1"/>
            <w:rPr>
              <w:rFonts w:ascii="Arial Narrow" w:eastAsiaTheme="minorEastAsia" w:hAnsi="Arial Narrow" w:cstheme="minorBidi"/>
              <w:noProof/>
              <w:sz w:val="20"/>
              <w:szCs w:val="20"/>
            </w:rPr>
          </w:pPr>
          <w:hyperlink w:anchor="_Toc210747637" w:history="1">
            <w:r w:rsidR="00EE4557" w:rsidRPr="00EE4557">
              <w:rPr>
                <w:rStyle w:val="Hyperlink"/>
                <w:rFonts w:ascii="Arial Narrow" w:eastAsia="Calibri" w:hAnsi="Arial Narrow"/>
                <w:noProof/>
                <w:sz w:val="20"/>
                <w:szCs w:val="20"/>
                <w:lang w:val="bg-BG"/>
              </w:rPr>
              <w:t>7.2.</w:t>
            </w:r>
            <w:r w:rsidR="00EE4557" w:rsidRPr="00EE4557">
              <w:rPr>
                <w:rFonts w:ascii="Arial Narrow" w:eastAsiaTheme="minorEastAsia" w:hAnsi="Arial Narrow" w:cstheme="minorBidi"/>
                <w:noProof/>
                <w:sz w:val="20"/>
                <w:szCs w:val="20"/>
              </w:rPr>
              <w:tab/>
            </w:r>
            <w:r w:rsidR="00EE4557" w:rsidRPr="00EE4557">
              <w:rPr>
                <w:rStyle w:val="Hyperlink"/>
                <w:rFonts w:ascii="Arial Narrow" w:eastAsia="Calibri" w:hAnsi="Arial Narrow"/>
                <w:noProof/>
                <w:sz w:val="20"/>
                <w:szCs w:val="20"/>
                <w:lang w:val="bg-BG"/>
              </w:rPr>
              <w:t>Контрол и координация на развъдната дейност</w:t>
            </w:r>
            <w:r w:rsidR="00EE4557" w:rsidRPr="00EE4557">
              <w:rPr>
                <w:rFonts w:ascii="Arial Narrow" w:hAnsi="Arial Narrow"/>
                <w:noProof/>
                <w:webHidden/>
                <w:sz w:val="20"/>
                <w:szCs w:val="20"/>
              </w:rPr>
              <w:tab/>
            </w:r>
            <w:r w:rsidR="00EE4557" w:rsidRPr="00EE4557">
              <w:rPr>
                <w:rFonts w:ascii="Arial Narrow" w:hAnsi="Arial Narrow"/>
                <w:noProof/>
                <w:webHidden/>
                <w:sz w:val="20"/>
                <w:szCs w:val="20"/>
              </w:rPr>
              <w:fldChar w:fldCharType="begin"/>
            </w:r>
            <w:r w:rsidR="00EE4557" w:rsidRPr="00EE4557">
              <w:rPr>
                <w:rFonts w:ascii="Arial Narrow" w:hAnsi="Arial Narrow"/>
                <w:noProof/>
                <w:webHidden/>
                <w:sz w:val="20"/>
                <w:szCs w:val="20"/>
              </w:rPr>
              <w:instrText xml:space="preserve"> PAGEREF _Toc210747637 \h </w:instrText>
            </w:r>
            <w:r w:rsidR="00EE4557" w:rsidRPr="00EE4557">
              <w:rPr>
                <w:rFonts w:ascii="Arial Narrow" w:hAnsi="Arial Narrow"/>
                <w:noProof/>
                <w:webHidden/>
                <w:sz w:val="20"/>
                <w:szCs w:val="20"/>
              </w:rPr>
            </w:r>
            <w:r w:rsidR="00EE4557" w:rsidRPr="00EE4557">
              <w:rPr>
                <w:rFonts w:ascii="Arial Narrow" w:hAnsi="Arial Narrow"/>
                <w:noProof/>
                <w:webHidden/>
                <w:sz w:val="20"/>
                <w:szCs w:val="20"/>
              </w:rPr>
              <w:fldChar w:fldCharType="separate"/>
            </w:r>
            <w:r w:rsidR="00211D64">
              <w:rPr>
                <w:rFonts w:ascii="Arial Narrow" w:hAnsi="Arial Narrow"/>
                <w:noProof/>
                <w:webHidden/>
                <w:sz w:val="20"/>
                <w:szCs w:val="20"/>
              </w:rPr>
              <w:t>180</w:t>
            </w:r>
            <w:r w:rsidR="00EE4557" w:rsidRPr="00EE4557">
              <w:rPr>
                <w:rFonts w:ascii="Arial Narrow" w:hAnsi="Arial Narrow"/>
                <w:noProof/>
                <w:webHidden/>
                <w:sz w:val="20"/>
                <w:szCs w:val="20"/>
              </w:rPr>
              <w:fldChar w:fldCharType="end"/>
            </w:r>
          </w:hyperlink>
        </w:p>
        <w:p w14:paraId="2A528C96" w14:textId="77777777" w:rsidR="00EE4557" w:rsidRPr="00EE4557" w:rsidRDefault="00816B15">
          <w:pPr>
            <w:pStyle w:val="TOC1"/>
            <w:rPr>
              <w:rFonts w:ascii="Arial Narrow" w:eastAsiaTheme="minorEastAsia" w:hAnsi="Arial Narrow" w:cstheme="minorBidi"/>
              <w:noProof/>
              <w:sz w:val="20"/>
              <w:szCs w:val="20"/>
            </w:rPr>
          </w:pPr>
          <w:hyperlink w:anchor="_Toc210747638" w:history="1">
            <w:r w:rsidR="00EE4557" w:rsidRPr="00EE4557">
              <w:rPr>
                <w:rStyle w:val="Hyperlink"/>
                <w:rFonts w:ascii="Arial Narrow" w:eastAsiaTheme="minorHAnsi" w:hAnsi="Arial Narrow"/>
                <w:noProof/>
                <w:sz w:val="20"/>
                <w:szCs w:val="20"/>
                <w:lang w:val="bg-BG"/>
              </w:rPr>
              <w:t>8.</w:t>
            </w:r>
            <w:r w:rsidR="00EE4557" w:rsidRPr="00EE4557">
              <w:rPr>
                <w:rFonts w:ascii="Arial Narrow" w:eastAsiaTheme="minorEastAsia" w:hAnsi="Arial Narrow" w:cstheme="minorBidi"/>
                <w:noProof/>
                <w:sz w:val="20"/>
                <w:szCs w:val="20"/>
              </w:rPr>
              <w:tab/>
            </w:r>
            <w:r w:rsidR="00EE4557" w:rsidRPr="00EE4557">
              <w:rPr>
                <w:rStyle w:val="Hyperlink"/>
                <w:rFonts w:ascii="Arial Narrow" w:eastAsiaTheme="minorHAnsi" w:hAnsi="Arial Narrow"/>
                <w:noProof/>
                <w:sz w:val="20"/>
                <w:szCs w:val="20"/>
                <w:lang w:val="bg-BG"/>
              </w:rPr>
              <w:t>Селскостопанска наука, обучение и съветническа дейност</w:t>
            </w:r>
            <w:r w:rsidR="00EE4557" w:rsidRPr="00EE4557">
              <w:rPr>
                <w:rFonts w:ascii="Arial Narrow" w:hAnsi="Arial Narrow"/>
                <w:noProof/>
                <w:webHidden/>
                <w:sz w:val="20"/>
                <w:szCs w:val="20"/>
              </w:rPr>
              <w:tab/>
            </w:r>
            <w:r w:rsidR="00EE4557" w:rsidRPr="00EE4557">
              <w:rPr>
                <w:rFonts w:ascii="Arial Narrow" w:hAnsi="Arial Narrow"/>
                <w:noProof/>
                <w:webHidden/>
                <w:sz w:val="20"/>
                <w:szCs w:val="20"/>
              </w:rPr>
              <w:fldChar w:fldCharType="begin"/>
            </w:r>
            <w:r w:rsidR="00EE4557" w:rsidRPr="00EE4557">
              <w:rPr>
                <w:rFonts w:ascii="Arial Narrow" w:hAnsi="Arial Narrow"/>
                <w:noProof/>
                <w:webHidden/>
                <w:sz w:val="20"/>
                <w:szCs w:val="20"/>
              </w:rPr>
              <w:instrText xml:space="preserve"> PAGEREF _Toc210747638 \h </w:instrText>
            </w:r>
            <w:r w:rsidR="00EE4557" w:rsidRPr="00EE4557">
              <w:rPr>
                <w:rFonts w:ascii="Arial Narrow" w:hAnsi="Arial Narrow"/>
                <w:noProof/>
                <w:webHidden/>
                <w:sz w:val="20"/>
                <w:szCs w:val="20"/>
              </w:rPr>
            </w:r>
            <w:r w:rsidR="00EE4557" w:rsidRPr="00EE4557">
              <w:rPr>
                <w:rFonts w:ascii="Arial Narrow" w:hAnsi="Arial Narrow"/>
                <w:noProof/>
                <w:webHidden/>
                <w:sz w:val="20"/>
                <w:szCs w:val="20"/>
              </w:rPr>
              <w:fldChar w:fldCharType="separate"/>
            </w:r>
            <w:r w:rsidR="00211D64">
              <w:rPr>
                <w:rFonts w:ascii="Arial Narrow" w:hAnsi="Arial Narrow"/>
                <w:noProof/>
                <w:webHidden/>
                <w:sz w:val="20"/>
                <w:szCs w:val="20"/>
              </w:rPr>
              <w:t>182</w:t>
            </w:r>
            <w:r w:rsidR="00EE4557" w:rsidRPr="00EE4557">
              <w:rPr>
                <w:rFonts w:ascii="Arial Narrow" w:hAnsi="Arial Narrow"/>
                <w:noProof/>
                <w:webHidden/>
                <w:sz w:val="20"/>
                <w:szCs w:val="20"/>
              </w:rPr>
              <w:fldChar w:fldCharType="end"/>
            </w:r>
          </w:hyperlink>
        </w:p>
        <w:p w14:paraId="3BE82851" w14:textId="77777777" w:rsidR="00EE4557" w:rsidRPr="00EE4557" w:rsidRDefault="00816B15">
          <w:pPr>
            <w:pStyle w:val="TOC1"/>
            <w:rPr>
              <w:rFonts w:ascii="Arial Narrow" w:eastAsiaTheme="minorEastAsia" w:hAnsi="Arial Narrow" w:cstheme="minorBidi"/>
              <w:noProof/>
              <w:sz w:val="20"/>
              <w:szCs w:val="20"/>
            </w:rPr>
          </w:pPr>
          <w:hyperlink w:anchor="_Toc210747639" w:history="1">
            <w:r w:rsidR="00EE4557" w:rsidRPr="00EE4557">
              <w:rPr>
                <w:rStyle w:val="Hyperlink"/>
                <w:rFonts w:ascii="Arial Narrow" w:hAnsi="Arial Narrow"/>
                <w:noProof/>
                <w:sz w:val="20"/>
                <w:szCs w:val="20"/>
                <w:lang w:val="bg-BG"/>
              </w:rPr>
              <w:t>8.1.</w:t>
            </w:r>
            <w:r w:rsidR="00EE4557" w:rsidRPr="00EE4557">
              <w:rPr>
                <w:rFonts w:ascii="Arial Narrow" w:eastAsiaTheme="minorEastAsia" w:hAnsi="Arial Narrow" w:cstheme="minorBidi"/>
                <w:noProof/>
                <w:sz w:val="20"/>
                <w:szCs w:val="20"/>
              </w:rPr>
              <w:tab/>
            </w:r>
            <w:r w:rsidR="00EE4557" w:rsidRPr="00EE4557">
              <w:rPr>
                <w:rStyle w:val="Hyperlink"/>
                <w:rFonts w:ascii="Arial Narrow" w:hAnsi="Arial Narrow"/>
                <w:noProof/>
                <w:sz w:val="20"/>
                <w:szCs w:val="20"/>
                <w:lang w:val="bg-BG"/>
              </w:rPr>
              <w:t>Научноизследователска дейност и научно обслужване в селското стопанство, осъществявани от Селскостопанска академия</w:t>
            </w:r>
            <w:r w:rsidR="00EE4557" w:rsidRPr="00EE4557">
              <w:rPr>
                <w:rFonts w:ascii="Arial Narrow" w:hAnsi="Arial Narrow"/>
                <w:noProof/>
                <w:webHidden/>
                <w:sz w:val="20"/>
                <w:szCs w:val="20"/>
              </w:rPr>
              <w:tab/>
            </w:r>
            <w:r w:rsidR="00EE4557" w:rsidRPr="00EE4557">
              <w:rPr>
                <w:rFonts w:ascii="Arial Narrow" w:hAnsi="Arial Narrow"/>
                <w:noProof/>
                <w:webHidden/>
                <w:sz w:val="20"/>
                <w:szCs w:val="20"/>
              </w:rPr>
              <w:fldChar w:fldCharType="begin"/>
            </w:r>
            <w:r w:rsidR="00EE4557" w:rsidRPr="00EE4557">
              <w:rPr>
                <w:rFonts w:ascii="Arial Narrow" w:hAnsi="Arial Narrow"/>
                <w:noProof/>
                <w:webHidden/>
                <w:sz w:val="20"/>
                <w:szCs w:val="20"/>
              </w:rPr>
              <w:instrText xml:space="preserve"> PAGEREF _Toc210747639 \h </w:instrText>
            </w:r>
            <w:r w:rsidR="00EE4557" w:rsidRPr="00EE4557">
              <w:rPr>
                <w:rFonts w:ascii="Arial Narrow" w:hAnsi="Arial Narrow"/>
                <w:noProof/>
                <w:webHidden/>
                <w:sz w:val="20"/>
                <w:szCs w:val="20"/>
              </w:rPr>
            </w:r>
            <w:r w:rsidR="00EE4557" w:rsidRPr="00EE4557">
              <w:rPr>
                <w:rFonts w:ascii="Arial Narrow" w:hAnsi="Arial Narrow"/>
                <w:noProof/>
                <w:webHidden/>
                <w:sz w:val="20"/>
                <w:szCs w:val="20"/>
              </w:rPr>
              <w:fldChar w:fldCharType="separate"/>
            </w:r>
            <w:r w:rsidR="00211D64">
              <w:rPr>
                <w:rFonts w:ascii="Arial Narrow" w:hAnsi="Arial Narrow"/>
                <w:noProof/>
                <w:webHidden/>
                <w:sz w:val="20"/>
                <w:szCs w:val="20"/>
              </w:rPr>
              <w:t>182</w:t>
            </w:r>
            <w:r w:rsidR="00EE4557" w:rsidRPr="00EE4557">
              <w:rPr>
                <w:rFonts w:ascii="Arial Narrow" w:hAnsi="Arial Narrow"/>
                <w:noProof/>
                <w:webHidden/>
                <w:sz w:val="20"/>
                <w:szCs w:val="20"/>
              </w:rPr>
              <w:fldChar w:fldCharType="end"/>
            </w:r>
          </w:hyperlink>
        </w:p>
        <w:p w14:paraId="545F6C63" w14:textId="77777777" w:rsidR="00EE4557" w:rsidRPr="00EE4557" w:rsidRDefault="00816B15">
          <w:pPr>
            <w:pStyle w:val="TOC1"/>
            <w:rPr>
              <w:rFonts w:ascii="Arial Narrow" w:eastAsiaTheme="minorEastAsia" w:hAnsi="Arial Narrow" w:cstheme="minorBidi"/>
              <w:noProof/>
              <w:sz w:val="20"/>
              <w:szCs w:val="20"/>
            </w:rPr>
          </w:pPr>
          <w:hyperlink w:anchor="_Toc210747640" w:history="1">
            <w:r w:rsidR="00EE4557" w:rsidRPr="00EE4557">
              <w:rPr>
                <w:rStyle w:val="Hyperlink"/>
                <w:rFonts w:ascii="Arial Narrow" w:hAnsi="Arial Narrow"/>
                <w:noProof/>
                <w:sz w:val="20"/>
                <w:szCs w:val="20"/>
                <w:lang w:val="bg-BG"/>
              </w:rPr>
              <w:t>8.1.1.</w:t>
            </w:r>
            <w:r w:rsidR="00EE4557" w:rsidRPr="00EE4557">
              <w:rPr>
                <w:rFonts w:ascii="Arial Narrow" w:eastAsiaTheme="minorEastAsia" w:hAnsi="Arial Narrow" w:cstheme="minorBidi"/>
                <w:noProof/>
                <w:sz w:val="20"/>
                <w:szCs w:val="20"/>
              </w:rPr>
              <w:tab/>
            </w:r>
            <w:r w:rsidR="00EE4557" w:rsidRPr="00EE4557">
              <w:rPr>
                <w:rStyle w:val="Hyperlink"/>
                <w:rFonts w:ascii="Arial Narrow" w:hAnsi="Arial Narrow"/>
                <w:noProof/>
                <w:sz w:val="20"/>
                <w:szCs w:val="20"/>
                <w:lang w:val="bg-BG"/>
              </w:rPr>
              <w:t xml:space="preserve">Основни приоритети на научните изследвания в </w:t>
            </w:r>
            <w:r w:rsidR="00EE4557" w:rsidRPr="00EE4557">
              <w:rPr>
                <w:rStyle w:val="Hyperlink"/>
                <w:rFonts w:ascii="Arial Narrow" w:eastAsia="Calibri" w:hAnsi="Arial Narrow"/>
                <w:noProof/>
                <w:sz w:val="20"/>
                <w:szCs w:val="20"/>
                <w:lang w:val="bg-BG"/>
              </w:rPr>
              <w:t>Селскостопанска академия</w:t>
            </w:r>
            <w:r w:rsidR="00EE4557" w:rsidRPr="00EE4557">
              <w:rPr>
                <w:rFonts w:ascii="Arial Narrow" w:hAnsi="Arial Narrow"/>
                <w:noProof/>
                <w:webHidden/>
                <w:sz w:val="20"/>
                <w:szCs w:val="20"/>
              </w:rPr>
              <w:tab/>
            </w:r>
            <w:r w:rsidR="00EE4557" w:rsidRPr="00EE4557">
              <w:rPr>
                <w:rFonts w:ascii="Arial Narrow" w:hAnsi="Arial Narrow"/>
                <w:noProof/>
                <w:webHidden/>
                <w:sz w:val="20"/>
                <w:szCs w:val="20"/>
              </w:rPr>
              <w:fldChar w:fldCharType="begin"/>
            </w:r>
            <w:r w:rsidR="00EE4557" w:rsidRPr="00EE4557">
              <w:rPr>
                <w:rFonts w:ascii="Arial Narrow" w:hAnsi="Arial Narrow"/>
                <w:noProof/>
                <w:webHidden/>
                <w:sz w:val="20"/>
                <w:szCs w:val="20"/>
              </w:rPr>
              <w:instrText xml:space="preserve"> PAGEREF _Toc210747640 \h </w:instrText>
            </w:r>
            <w:r w:rsidR="00EE4557" w:rsidRPr="00EE4557">
              <w:rPr>
                <w:rFonts w:ascii="Arial Narrow" w:hAnsi="Arial Narrow"/>
                <w:noProof/>
                <w:webHidden/>
                <w:sz w:val="20"/>
                <w:szCs w:val="20"/>
              </w:rPr>
            </w:r>
            <w:r w:rsidR="00EE4557" w:rsidRPr="00EE4557">
              <w:rPr>
                <w:rFonts w:ascii="Arial Narrow" w:hAnsi="Arial Narrow"/>
                <w:noProof/>
                <w:webHidden/>
                <w:sz w:val="20"/>
                <w:szCs w:val="20"/>
              </w:rPr>
              <w:fldChar w:fldCharType="separate"/>
            </w:r>
            <w:r w:rsidR="00211D64">
              <w:rPr>
                <w:rFonts w:ascii="Arial Narrow" w:hAnsi="Arial Narrow"/>
                <w:noProof/>
                <w:webHidden/>
                <w:sz w:val="20"/>
                <w:szCs w:val="20"/>
              </w:rPr>
              <w:t>182</w:t>
            </w:r>
            <w:r w:rsidR="00EE4557" w:rsidRPr="00EE4557">
              <w:rPr>
                <w:rFonts w:ascii="Arial Narrow" w:hAnsi="Arial Narrow"/>
                <w:noProof/>
                <w:webHidden/>
                <w:sz w:val="20"/>
                <w:szCs w:val="20"/>
              </w:rPr>
              <w:fldChar w:fldCharType="end"/>
            </w:r>
          </w:hyperlink>
        </w:p>
        <w:p w14:paraId="6BCDFE4F" w14:textId="77777777" w:rsidR="00EE4557" w:rsidRPr="00EE4557" w:rsidRDefault="00816B15">
          <w:pPr>
            <w:pStyle w:val="TOC1"/>
            <w:rPr>
              <w:rFonts w:ascii="Arial Narrow" w:eastAsiaTheme="minorEastAsia" w:hAnsi="Arial Narrow" w:cstheme="minorBidi"/>
              <w:noProof/>
              <w:sz w:val="20"/>
              <w:szCs w:val="20"/>
            </w:rPr>
          </w:pPr>
          <w:hyperlink w:anchor="_Toc210747641" w:history="1">
            <w:r w:rsidR="00EE4557" w:rsidRPr="00EE4557">
              <w:rPr>
                <w:rStyle w:val="Hyperlink"/>
                <w:rFonts w:ascii="Arial Narrow" w:eastAsiaTheme="minorHAnsi" w:hAnsi="Arial Narrow"/>
                <w:noProof/>
                <w:sz w:val="20"/>
                <w:szCs w:val="20"/>
                <w:lang w:val="bg-BG"/>
              </w:rPr>
              <w:t>8.1.2.</w:t>
            </w:r>
            <w:r w:rsidR="00EE4557" w:rsidRPr="00EE4557">
              <w:rPr>
                <w:rFonts w:ascii="Arial Narrow" w:eastAsiaTheme="minorEastAsia" w:hAnsi="Arial Narrow" w:cstheme="minorBidi"/>
                <w:noProof/>
                <w:sz w:val="20"/>
                <w:szCs w:val="20"/>
              </w:rPr>
              <w:tab/>
            </w:r>
            <w:r w:rsidR="00EE4557" w:rsidRPr="00EE4557">
              <w:rPr>
                <w:rStyle w:val="Hyperlink"/>
                <w:rFonts w:ascii="Arial Narrow" w:eastAsiaTheme="minorHAnsi" w:hAnsi="Arial Narrow"/>
                <w:noProof/>
                <w:sz w:val="20"/>
                <w:szCs w:val="20"/>
                <w:lang w:val="bg-BG"/>
              </w:rPr>
              <w:t>Създадени и внедрени в производството научни продукти</w:t>
            </w:r>
            <w:r w:rsidR="00EE4557" w:rsidRPr="00EE4557">
              <w:rPr>
                <w:rFonts w:ascii="Arial Narrow" w:hAnsi="Arial Narrow"/>
                <w:noProof/>
                <w:webHidden/>
                <w:sz w:val="20"/>
                <w:szCs w:val="20"/>
              </w:rPr>
              <w:tab/>
            </w:r>
            <w:r w:rsidR="00EE4557" w:rsidRPr="00EE4557">
              <w:rPr>
                <w:rFonts w:ascii="Arial Narrow" w:hAnsi="Arial Narrow"/>
                <w:noProof/>
                <w:webHidden/>
                <w:sz w:val="20"/>
                <w:szCs w:val="20"/>
              </w:rPr>
              <w:fldChar w:fldCharType="begin"/>
            </w:r>
            <w:r w:rsidR="00EE4557" w:rsidRPr="00EE4557">
              <w:rPr>
                <w:rFonts w:ascii="Arial Narrow" w:hAnsi="Arial Narrow"/>
                <w:noProof/>
                <w:webHidden/>
                <w:sz w:val="20"/>
                <w:szCs w:val="20"/>
              </w:rPr>
              <w:instrText xml:space="preserve"> PAGEREF _Toc210747641 \h </w:instrText>
            </w:r>
            <w:r w:rsidR="00EE4557" w:rsidRPr="00EE4557">
              <w:rPr>
                <w:rFonts w:ascii="Arial Narrow" w:hAnsi="Arial Narrow"/>
                <w:noProof/>
                <w:webHidden/>
                <w:sz w:val="20"/>
                <w:szCs w:val="20"/>
              </w:rPr>
            </w:r>
            <w:r w:rsidR="00EE4557" w:rsidRPr="00EE4557">
              <w:rPr>
                <w:rFonts w:ascii="Arial Narrow" w:hAnsi="Arial Narrow"/>
                <w:noProof/>
                <w:webHidden/>
                <w:sz w:val="20"/>
                <w:szCs w:val="20"/>
              </w:rPr>
              <w:fldChar w:fldCharType="separate"/>
            </w:r>
            <w:r w:rsidR="00211D64">
              <w:rPr>
                <w:rFonts w:ascii="Arial Narrow" w:hAnsi="Arial Narrow"/>
                <w:noProof/>
                <w:webHidden/>
                <w:sz w:val="20"/>
                <w:szCs w:val="20"/>
              </w:rPr>
              <w:t>184</w:t>
            </w:r>
            <w:r w:rsidR="00EE4557" w:rsidRPr="00EE4557">
              <w:rPr>
                <w:rFonts w:ascii="Arial Narrow" w:hAnsi="Arial Narrow"/>
                <w:noProof/>
                <w:webHidden/>
                <w:sz w:val="20"/>
                <w:szCs w:val="20"/>
              </w:rPr>
              <w:fldChar w:fldCharType="end"/>
            </w:r>
          </w:hyperlink>
        </w:p>
        <w:p w14:paraId="58A20F90" w14:textId="77777777" w:rsidR="00EE4557" w:rsidRPr="00EE4557" w:rsidRDefault="00816B15">
          <w:pPr>
            <w:pStyle w:val="TOC1"/>
            <w:rPr>
              <w:rFonts w:ascii="Arial Narrow" w:eastAsiaTheme="minorEastAsia" w:hAnsi="Arial Narrow" w:cstheme="minorBidi"/>
              <w:noProof/>
              <w:sz w:val="20"/>
              <w:szCs w:val="20"/>
            </w:rPr>
          </w:pPr>
          <w:hyperlink w:anchor="_Toc210747642" w:history="1">
            <w:r w:rsidR="00EE4557" w:rsidRPr="00EE4557">
              <w:rPr>
                <w:rStyle w:val="Hyperlink"/>
                <w:rFonts w:ascii="Arial Narrow" w:eastAsiaTheme="minorHAnsi" w:hAnsi="Arial Narrow"/>
                <w:noProof/>
                <w:sz w:val="20"/>
                <w:szCs w:val="20"/>
                <w:lang w:val="bg-BG"/>
              </w:rPr>
              <w:t>8.1.3.</w:t>
            </w:r>
            <w:r w:rsidR="00EE4557" w:rsidRPr="00EE4557">
              <w:rPr>
                <w:rFonts w:ascii="Arial Narrow" w:eastAsiaTheme="minorEastAsia" w:hAnsi="Arial Narrow" w:cstheme="minorBidi"/>
                <w:noProof/>
                <w:sz w:val="20"/>
                <w:szCs w:val="20"/>
              </w:rPr>
              <w:tab/>
            </w:r>
            <w:r w:rsidR="00EE4557" w:rsidRPr="00EE4557">
              <w:rPr>
                <w:rStyle w:val="Hyperlink"/>
                <w:rFonts w:ascii="Arial Narrow" w:eastAsiaTheme="minorHAnsi" w:hAnsi="Arial Narrow"/>
                <w:noProof/>
                <w:sz w:val="20"/>
                <w:szCs w:val="20"/>
                <w:lang w:val="bg-BG"/>
              </w:rPr>
              <w:t>Трансфер на знания и научни продукти</w:t>
            </w:r>
            <w:r w:rsidR="00EE4557" w:rsidRPr="00EE4557">
              <w:rPr>
                <w:rFonts w:ascii="Arial Narrow" w:hAnsi="Arial Narrow"/>
                <w:noProof/>
                <w:webHidden/>
                <w:sz w:val="20"/>
                <w:szCs w:val="20"/>
              </w:rPr>
              <w:tab/>
            </w:r>
            <w:r w:rsidR="00EE4557" w:rsidRPr="00EE4557">
              <w:rPr>
                <w:rFonts w:ascii="Arial Narrow" w:hAnsi="Arial Narrow"/>
                <w:noProof/>
                <w:webHidden/>
                <w:sz w:val="20"/>
                <w:szCs w:val="20"/>
              </w:rPr>
              <w:fldChar w:fldCharType="begin"/>
            </w:r>
            <w:r w:rsidR="00EE4557" w:rsidRPr="00EE4557">
              <w:rPr>
                <w:rFonts w:ascii="Arial Narrow" w:hAnsi="Arial Narrow"/>
                <w:noProof/>
                <w:webHidden/>
                <w:sz w:val="20"/>
                <w:szCs w:val="20"/>
              </w:rPr>
              <w:instrText xml:space="preserve"> PAGEREF _Toc210747642 \h </w:instrText>
            </w:r>
            <w:r w:rsidR="00EE4557" w:rsidRPr="00EE4557">
              <w:rPr>
                <w:rFonts w:ascii="Arial Narrow" w:hAnsi="Arial Narrow"/>
                <w:noProof/>
                <w:webHidden/>
                <w:sz w:val="20"/>
                <w:szCs w:val="20"/>
              </w:rPr>
            </w:r>
            <w:r w:rsidR="00EE4557" w:rsidRPr="00EE4557">
              <w:rPr>
                <w:rFonts w:ascii="Arial Narrow" w:hAnsi="Arial Narrow"/>
                <w:noProof/>
                <w:webHidden/>
                <w:sz w:val="20"/>
                <w:szCs w:val="20"/>
              </w:rPr>
              <w:fldChar w:fldCharType="separate"/>
            </w:r>
            <w:r w:rsidR="00211D64">
              <w:rPr>
                <w:rFonts w:ascii="Arial Narrow" w:hAnsi="Arial Narrow"/>
                <w:noProof/>
                <w:webHidden/>
                <w:sz w:val="20"/>
                <w:szCs w:val="20"/>
              </w:rPr>
              <w:t>185</w:t>
            </w:r>
            <w:r w:rsidR="00EE4557" w:rsidRPr="00EE4557">
              <w:rPr>
                <w:rFonts w:ascii="Arial Narrow" w:hAnsi="Arial Narrow"/>
                <w:noProof/>
                <w:webHidden/>
                <w:sz w:val="20"/>
                <w:szCs w:val="20"/>
              </w:rPr>
              <w:fldChar w:fldCharType="end"/>
            </w:r>
          </w:hyperlink>
        </w:p>
        <w:p w14:paraId="5C3BF2AF" w14:textId="77777777" w:rsidR="00EE4557" w:rsidRPr="00EE4557" w:rsidRDefault="00816B15">
          <w:pPr>
            <w:pStyle w:val="TOC1"/>
            <w:rPr>
              <w:rFonts w:ascii="Arial Narrow" w:eastAsiaTheme="minorEastAsia" w:hAnsi="Arial Narrow" w:cstheme="minorBidi"/>
              <w:noProof/>
              <w:sz w:val="20"/>
              <w:szCs w:val="20"/>
            </w:rPr>
          </w:pPr>
          <w:hyperlink w:anchor="_Toc210747643" w:history="1">
            <w:r w:rsidR="00EE4557" w:rsidRPr="00EE4557">
              <w:rPr>
                <w:rStyle w:val="Hyperlink"/>
                <w:rFonts w:ascii="Arial Narrow" w:eastAsiaTheme="minorHAnsi" w:hAnsi="Arial Narrow"/>
                <w:noProof/>
                <w:sz w:val="20"/>
                <w:szCs w:val="20"/>
                <w:lang w:val="bg-BG"/>
              </w:rPr>
              <w:t>8.1.4.</w:t>
            </w:r>
            <w:r w:rsidR="00EE4557" w:rsidRPr="00EE4557">
              <w:rPr>
                <w:rFonts w:ascii="Arial Narrow" w:eastAsiaTheme="minorEastAsia" w:hAnsi="Arial Narrow" w:cstheme="minorBidi"/>
                <w:noProof/>
                <w:sz w:val="20"/>
                <w:szCs w:val="20"/>
              </w:rPr>
              <w:tab/>
            </w:r>
            <w:r w:rsidR="00EE4557" w:rsidRPr="00EE4557">
              <w:rPr>
                <w:rStyle w:val="Hyperlink"/>
                <w:rFonts w:ascii="Arial Narrow" w:eastAsiaTheme="minorHAnsi" w:hAnsi="Arial Narrow"/>
                <w:noProof/>
                <w:sz w:val="20"/>
                <w:szCs w:val="20"/>
                <w:lang w:val="bg-BG"/>
              </w:rPr>
              <w:t>Квалификационна структура на учените и обучение на докторанти</w:t>
            </w:r>
            <w:r w:rsidR="00EE4557" w:rsidRPr="00EE4557">
              <w:rPr>
                <w:rFonts w:ascii="Arial Narrow" w:hAnsi="Arial Narrow"/>
                <w:noProof/>
                <w:webHidden/>
                <w:sz w:val="20"/>
                <w:szCs w:val="20"/>
              </w:rPr>
              <w:tab/>
            </w:r>
            <w:r w:rsidR="00EE4557" w:rsidRPr="00EE4557">
              <w:rPr>
                <w:rFonts w:ascii="Arial Narrow" w:hAnsi="Arial Narrow"/>
                <w:noProof/>
                <w:webHidden/>
                <w:sz w:val="20"/>
                <w:szCs w:val="20"/>
              </w:rPr>
              <w:fldChar w:fldCharType="begin"/>
            </w:r>
            <w:r w:rsidR="00EE4557" w:rsidRPr="00EE4557">
              <w:rPr>
                <w:rFonts w:ascii="Arial Narrow" w:hAnsi="Arial Narrow"/>
                <w:noProof/>
                <w:webHidden/>
                <w:sz w:val="20"/>
                <w:szCs w:val="20"/>
              </w:rPr>
              <w:instrText xml:space="preserve"> PAGEREF _Toc210747643 \h </w:instrText>
            </w:r>
            <w:r w:rsidR="00EE4557" w:rsidRPr="00EE4557">
              <w:rPr>
                <w:rFonts w:ascii="Arial Narrow" w:hAnsi="Arial Narrow"/>
                <w:noProof/>
                <w:webHidden/>
                <w:sz w:val="20"/>
                <w:szCs w:val="20"/>
              </w:rPr>
            </w:r>
            <w:r w:rsidR="00EE4557" w:rsidRPr="00EE4557">
              <w:rPr>
                <w:rFonts w:ascii="Arial Narrow" w:hAnsi="Arial Narrow"/>
                <w:noProof/>
                <w:webHidden/>
                <w:sz w:val="20"/>
                <w:szCs w:val="20"/>
              </w:rPr>
              <w:fldChar w:fldCharType="separate"/>
            </w:r>
            <w:r w:rsidR="00211D64">
              <w:rPr>
                <w:rFonts w:ascii="Arial Narrow" w:hAnsi="Arial Narrow"/>
                <w:noProof/>
                <w:webHidden/>
                <w:sz w:val="20"/>
                <w:szCs w:val="20"/>
              </w:rPr>
              <w:t>186</w:t>
            </w:r>
            <w:r w:rsidR="00EE4557" w:rsidRPr="00EE4557">
              <w:rPr>
                <w:rFonts w:ascii="Arial Narrow" w:hAnsi="Arial Narrow"/>
                <w:noProof/>
                <w:webHidden/>
                <w:sz w:val="20"/>
                <w:szCs w:val="20"/>
              </w:rPr>
              <w:fldChar w:fldCharType="end"/>
            </w:r>
          </w:hyperlink>
        </w:p>
        <w:p w14:paraId="02DA0895" w14:textId="77777777" w:rsidR="00EE4557" w:rsidRPr="00EE4557" w:rsidRDefault="00816B15">
          <w:pPr>
            <w:pStyle w:val="TOC1"/>
            <w:rPr>
              <w:rFonts w:ascii="Arial Narrow" w:eastAsiaTheme="minorEastAsia" w:hAnsi="Arial Narrow" w:cstheme="minorBidi"/>
              <w:noProof/>
              <w:sz w:val="20"/>
              <w:szCs w:val="20"/>
            </w:rPr>
          </w:pPr>
          <w:hyperlink w:anchor="_Toc210747644" w:history="1">
            <w:r w:rsidR="00EE4557" w:rsidRPr="00EE4557">
              <w:rPr>
                <w:rStyle w:val="Hyperlink"/>
                <w:rFonts w:ascii="Arial Narrow" w:eastAsiaTheme="minorHAnsi" w:hAnsi="Arial Narrow"/>
                <w:noProof/>
                <w:sz w:val="20"/>
                <w:szCs w:val="20"/>
                <w:lang w:val="bg-BG"/>
              </w:rPr>
              <w:t>8.1.5.</w:t>
            </w:r>
            <w:r w:rsidR="00EE4557" w:rsidRPr="00EE4557">
              <w:rPr>
                <w:rFonts w:ascii="Arial Narrow" w:eastAsiaTheme="minorEastAsia" w:hAnsi="Arial Narrow" w:cstheme="minorBidi"/>
                <w:noProof/>
                <w:sz w:val="20"/>
                <w:szCs w:val="20"/>
              </w:rPr>
              <w:tab/>
            </w:r>
            <w:r w:rsidR="00EE4557" w:rsidRPr="00EE4557">
              <w:rPr>
                <w:rStyle w:val="Hyperlink"/>
                <w:rFonts w:ascii="Arial Narrow" w:hAnsi="Arial Narrow"/>
                <w:noProof/>
                <w:sz w:val="20"/>
                <w:szCs w:val="20"/>
                <w:lang w:val="bg-BG"/>
              </w:rPr>
              <w:t>Наукометрични резултати  и специализирана научна периодика</w:t>
            </w:r>
            <w:r w:rsidR="00EE4557" w:rsidRPr="00EE4557">
              <w:rPr>
                <w:rFonts w:ascii="Arial Narrow" w:hAnsi="Arial Narrow"/>
                <w:noProof/>
                <w:webHidden/>
                <w:sz w:val="20"/>
                <w:szCs w:val="20"/>
              </w:rPr>
              <w:tab/>
            </w:r>
            <w:r w:rsidR="00EE4557" w:rsidRPr="00EE4557">
              <w:rPr>
                <w:rFonts w:ascii="Arial Narrow" w:hAnsi="Arial Narrow"/>
                <w:noProof/>
                <w:webHidden/>
                <w:sz w:val="20"/>
                <w:szCs w:val="20"/>
              </w:rPr>
              <w:fldChar w:fldCharType="begin"/>
            </w:r>
            <w:r w:rsidR="00EE4557" w:rsidRPr="00EE4557">
              <w:rPr>
                <w:rFonts w:ascii="Arial Narrow" w:hAnsi="Arial Narrow"/>
                <w:noProof/>
                <w:webHidden/>
                <w:sz w:val="20"/>
                <w:szCs w:val="20"/>
              </w:rPr>
              <w:instrText xml:space="preserve"> PAGEREF _Toc210747644 \h </w:instrText>
            </w:r>
            <w:r w:rsidR="00EE4557" w:rsidRPr="00EE4557">
              <w:rPr>
                <w:rFonts w:ascii="Arial Narrow" w:hAnsi="Arial Narrow"/>
                <w:noProof/>
                <w:webHidden/>
                <w:sz w:val="20"/>
                <w:szCs w:val="20"/>
              </w:rPr>
            </w:r>
            <w:r w:rsidR="00EE4557" w:rsidRPr="00EE4557">
              <w:rPr>
                <w:rFonts w:ascii="Arial Narrow" w:hAnsi="Arial Narrow"/>
                <w:noProof/>
                <w:webHidden/>
                <w:sz w:val="20"/>
                <w:szCs w:val="20"/>
              </w:rPr>
              <w:fldChar w:fldCharType="separate"/>
            </w:r>
            <w:r w:rsidR="00211D64">
              <w:rPr>
                <w:rFonts w:ascii="Arial Narrow" w:hAnsi="Arial Narrow"/>
                <w:noProof/>
                <w:webHidden/>
                <w:sz w:val="20"/>
                <w:szCs w:val="20"/>
              </w:rPr>
              <w:t>186</w:t>
            </w:r>
            <w:r w:rsidR="00EE4557" w:rsidRPr="00EE4557">
              <w:rPr>
                <w:rFonts w:ascii="Arial Narrow" w:hAnsi="Arial Narrow"/>
                <w:noProof/>
                <w:webHidden/>
                <w:sz w:val="20"/>
                <w:szCs w:val="20"/>
              </w:rPr>
              <w:fldChar w:fldCharType="end"/>
            </w:r>
          </w:hyperlink>
        </w:p>
        <w:p w14:paraId="0187E9EA" w14:textId="77777777" w:rsidR="00EE4557" w:rsidRPr="00EE4557" w:rsidRDefault="00816B15">
          <w:pPr>
            <w:pStyle w:val="TOC1"/>
            <w:rPr>
              <w:rFonts w:ascii="Arial Narrow" w:eastAsiaTheme="minorEastAsia" w:hAnsi="Arial Narrow" w:cstheme="minorBidi"/>
              <w:noProof/>
              <w:sz w:val="20"/>
              <w:szCs w:val="20"/>
            </w:rPr>
          </w:pPr>
          <w:hyperlink w:anchor="_Toc210747645" w:history="1">
            <w:r w:rsidR="00EE4557" w:rsidRPr="00EE4557">
              <w:rPr>
                <w:rStyle w:val="Hyperlink"/>
                <w:rFonts w:ascii="Arial Narrow" w:eastAsiaTheme="minorHAnsi" w:hAnsi="Arial Narrow"/>
                <w:noProof/>
                <w:sz w:val="20"/>
                <w:szCs w:val="20"/>
                <w:lang w:val="bg-BG"/>
              </w:rPr>
              <w:t>8.2.</w:t>
            </w:r>
            <w:r w:rsidR="00EE4557" w:rsidRPr="00EE4557">
              <w:rPr>
                <w:rFonts w:ascii="Arial Narrow" w:eastAsiaTheme="minorEastAsia" w:hAnsi="Arial Narrow" w:cstheme="minorBidi"/>
                <w:noProof/>
                <w:sz w:val="20"/>
                <w:szCs w:val="20"/>
              </w:rPr>
              <w:tab/>
            </w:r>
            <w:r w:rsidR="00EE4557" w:rsidRPr="00EE4557">
              <w:rPr>
                <w:rStyle w:val="Hyperlink"/>
                <w:rFonts w:ascii="Arial Narrow" w:eastAsiaTheme="minorHAnsi" w:hAnsi="Arial Narrow"/>
                <w:noProof/>
                <w:sz w:val="20"/>
                <w:szCs w:val="20"/>
                <w:lang w:val="bg-BG"/>
              </w:rPr>
              <w:t>Съветническа дейност</w:t>
            </w:r>
            <w:r w:rsidR="00EE4557" w:rsidRPr="00EE4557">
              <w:rPr>
                <w:rFonts w:ascii="Arial Narrow" w:hAnsi="Arial Narrow"/>
                <w:noProof/>
                <w:webHidden/>
                <w:sz w:val="20"/>
                <w:szCs w:val="20"/>
              </w:rPr>
              <w:tab/>
            </w:r>
            <w:r w:rsidR="00EE4557" w:rsidRPr="00EE4557">
              <w:rPr>
                <w:rFonts w:ascii="Arial Narrow" w:hAnsi="Arial Narrow"/>
                <w:noProof/>
                <w:webHidden/>
                <w:sz w:val="20"/>
                <w:szCs w:val="20"/>
              </w:rPr>
              <w:fldChar w:fldCharType="begin"/>
            </w:r>
            <w:r w:rsidR="00EE4557" w:rsidRPr="00EE4557">
              <w:rPr>
                <w:rFonts w:ascii="Arial Narrow" w:hAnsi="Arial Narrow"/>
                <w:noProof/>
                <w:webHidden/>
                <w:sz w:val="20"/>
                <w:szCs w:val="20"/>
              </w:rPr>
              <w:instrText xml:space="preserve"> PAGEREF _Toc210747645 \h </w:instrText>
            </w:r>
            <w:r w:rsidR="00EE4557" w:rsidRPr="00EE4557">
              <w:rPr>
                <w:rFonts w:ascii="Arial Narrow" w:hAnsi="Arial Narrow"/>
                <w:noProof/>
                <w:webHidden/>
                <w:sz w:val="20"/>
                <w:szCs w:val="20"/>
              </w:rPr>
            </w:r>
            <w:r w:rsidR="00EE4557" w:rsidRPr="00EE4557">
              <w:rPr>
                <w:rFonts w:ascii="Arial Narrow" w:hAnsi="Arial Narrow"/>
                <w:noProof/>
                <w:webHidden/>
                <w:sz w:val="20"/>
                <w:szCs w:val="20"/>
              </w:rPr>
              <w:fldChar w:fldCharType="separate"/>
            </w:r>
            <w:r w:rsidR="00211D64">
              <w:rPr>
                <w:rFonts w:ascii="Arial Narrow" w:hAnsi="Arial Narrow"/>
                <w:noProof/>
                <w:webHidden/>
                <w:sz w:val="20"/>
                <w:szCs w:val="20"/>
              </w:rPr>
              <w:t>187</w:t>
            </w:r>
            <w:r w:rsidR="00EE4557" w:rsidRPr="00EE4557">
              <w:rPr>
                <w:rFonts w:ascii="Arial Narrow" w:hAnsi="Arial Narrow"/>
                <w:noProof/>
                <w:webHidden/>
                <w:sz w:val="20"/>
                <w:szCs w:val="20"/>
              </w:rPr>
              <w:fldChar w:fldCharType="end"/>
            </w:r>
          </w:hyperlink>
        </w:p>
        <w:p w14:paraId="562568CF" w14:textId="77777777" w:rsidR="00EE4557" w:rsidRPr="00EE4557" w:rsidRDefault="00816B15">
          <w:pPr>
            <w:pStyle w:val="TOC1"/>
            <w:rPr>
              <w:rFonts w:ascii="Arial Narrow" w:eastAsiaTheme="minorEastAsia" w:hAnsi="Arial Narrow" w:cstheme="minorBidi"/>
              <w:noProof/>
              <w:sz w:val="20"/>
              <w:szCs w:val="20"/>
            </w:rPr>
          </w:pPr>
          <w:hyperlink w:anchor="_Toc210747646" w:history="1">
            <w:r w:rsidR="00EE4557" w:rsidRPr="00EE4557">
              <w:rPr>
                <w:rStyle w:val="Hyperlink"/>
                <w:rFonts w:ascii="Arial Narrow" w:hAnsi="Arial Narrow"/>
                <w:noProof/>
                <w:sz w:val="20"/>
                <w:szCs w:val="20"/>
                <w:lang w:val="bg-BG"/>
              </w:rPr>
              <w:t>8.2.1.</w:t>
            </w:r>
            <w:r w:rsidR="00EE4557" w:rsidRPr="00EE4557">
              <w:rPr>
                <w:rFonts w:ascii="Arial Narrow" w:eastAsiaTheme="minorEastAsia" w:hAnsi="Arial Narrow" w:cstheme="minorBidi"/>
                <w:noProof/>
                <w:sz w:val="20"/>
                <w:szCs w:val="20"/>
              </w:rPr>
              <w:tab/>
            </w:r>
            <w:r w:rsidR="00EE4557" w:rsidRPr="00EE4557">
              <w:rPr>
                <w:rStyle w:val="Hyperlink"/>
                <w:rFonts w:ascii="Arial Narrow" w:hAnsi="Arial Narrow"/>
                <w:noProof/>
                <w:sz w:val="20"/>
                <w:szCs w:val="20"/>
                <w:lang w:val="bg-BG"/>
              </w:rPr>
              <w:t>Професионални обучения</w:t>
            </w:r>
            <w:r w:rsidR="00EE4557" w:rsidRPr="00EE4557">
              <w:rPr>
                <w:rFonts w:ascii="Arial Narrow" w:hAnsi="Arial Narrow"/>
                <w:noProof/>
                <w:webHidden/>
                <w:sz w:val="20"/>
                <w:szCs w:val="20"/>
              </w:rPr>
              <w:tab/>
            </w:r>
            <w:r w:rsidR="00EE4557" w:rsidRPr="00EE4557">
              <w:rPr>
                <w:rFonts w:ascii="Arial Narrow" w:hAnsi="Arial Narrow"/>
                <w:noProof/>
                <w:webHidden/>
                <w:sz w:val="20"/>
                <w:szCs w:val="20"/>
              </w:rPr>
              <w:fldChar w:fldCharType="begin"/>
            </w:r>
            <w:r w:rsidR="00EE4557" w:rsidRPr="00EE4557">
              <w:rPr>
                <w:rFonts w:ascii="Arial Narrow" w:hAnsi="Arial Narrow"/>
                <w:noProof/>
                <w:webHidden/>
                <w:sz w:val="20"/>
                <w:szCs w:val="20"/>
              </w:rPr>
              <w:instrText xml:space="preserve"> PAGEREF _Toc210747646 \h </w:instrText>
            </w:r>
            <w:r w:rsidR="00EE4557" w:rsidRPr="00EE4557">
              <w:rPr>
                <w:rFonts w:ascii="Arial Narrow" w:hAnsi="Arial Narrow"/>
                <w:noProof/>
                <w:webHidden/>
                <w:sz w:val="20"/>
                <w:szCs w:val="20"/>
              </w:rPr>
            </w:r>
            <w:r w:rsidR="00EE4557" w:rsidRPr="00EE4557">
              <w:rPr>
                <w:rFonts w:ascii="Arial Narrow" w:hAnsi="Arial Narrow"/>
                <w:noProof/>
                <w:webHidden/>
                <w:sz w:val="20"/>
                <w:szCs w:val="20"/>
              </w:rPr>
              <w:fldChar w:fldCharType="separate"/>
            </w:r>
            <w:r w:rsidR="00211D64">
              <w:rPr>
                <w:rFonts w:ascii="Arial Narrow" w:hAnsi="Arial Narrow"/>
                <w:noProof/>
                <w:webHidden/>
                <w:sz w:val="20"/>
                <w:szCs w:val="20"/>
              </w:rPr>
              <w:t>189</w:t>
            </w:r>
            <w:r w:rsidR="00EE4557" w:rsidRPr="00EE4557">
              <w:rPr>
                <w:rFonts w:ascii="Arial Narrow" w:hAnsi="Arial Narrow"/>
                <w:noProof/>
                <w:webHidden/>
                <w:sz w:val="20"/>
                <w:szCs w:val="20"/>
              </w:rPr>
              <w:fldChar w:fldCharType="end"/>
            </w:r>
          </w:hyperlink>
        </w:p>
        <w:p w14:paraId="7432C3E0" w14:textId="77777777" w:rsidR="00EE4557" w:rsidRPr="00EE4557" w:rsidRDefault="00816B15">
          <w:pPr>
            <w:pStyle w:val="TOC1"/>
            <w:rPr>
              <w:rFonts w:ascii="Arial Narrow" w:eastAsiaTheme="minorEastAsia" w:hAnsi="Arial Narrow" w:cstheme="minorBidi"/>
              <w:noProof/>
              <w:sz w:val="20"/>
              <w:szCs w:val="20"/>
            </w:rPr>
          </w:pPr>
          <w:hyperlink w:anchor="_Toc210747647" w:history="1">
            <w:r w:rsidR="00EE4557" w:rsidRPr="00EE4557">
              <w:rPr>
                <w:rStyle w:val="Hyperlink"/>
                <w:rFonts w:ascii="Arial Narrow" w:hAnsi="Arial Narrow"/>
                <w:noProof/>
                <w:sz w:val="20"/>
                <w:szCs w:val="20"/>
                <w:lang w:val="bg-BG"/>
              </w:rPr>
              <w:t>8.2.2.</w:t>
            </w:r>
            <w:r w:rsidR="00EE4557" w:rsidRPr="00EE4557">
              <w:rPr>
                <w:rFonts w:ascii="Arial Narrow" w:eastAsiaTheme="minorEastAsia" w:hAnsi="Arial Narrow" w:cstheme="minorBidi"/>
                <w:noProof/>
                <w:sz w:val="20"/>
                <w:szCs w:val="20"/>
              </w:rPr>
              <w:tab/>
            </w:r>
            <w:r w:rsidR="00EE4557" w:rsidRPr="00EE4557">
              <w:rPr>
                <w:rStyle w:val="Hyperlink"/>
                <w:rFonts w:ascii="Arial Narrow" w:hAnsi="Arial Narrow"/>
                <w:noProof/>
                <w:sz w:val="20"/>
                <w:szCs w:val="20"/>
                <w:lang w:val="bg-BG"/>
              </w:rPr>
              <w:t>Подобряване на връзката „научни изследвания - съвети в земеделието - земеделски бизнес”</w:t>
            </w:r>
            <w:r w:rsidR="00EE4557" w:rsidRPr="00EE4557">
              <w:rPr>
                <w:rFonts w:ascii="Arial Narrow" w:hAnsi="Arial Narrow"/>
                <w:noProof/>
                <w:webHidden/>
                <w:sz w:val="20"/>
                <w:szCs w:val="20"/>
              </w:rPr>
              <w:tab/>
            </w:r>
            <w:r w:rsidR="00EE4557" w:rsidRPr="00EE4557">
              <w:rPr>
                <w:rFonts w:ascii="Arial Narrow" w:hAnsi="Arial Narrow"/>
                <w:noProof/>
                <w:webHidden/>
                <w:sz w:val="20"/>
                <w:szCs w:val="20"/>
              </w:rPr>
              <w:fldChar w:fldCharType="begin"/>
            </w:r>
            <w:r w:rsidR="00EE4557" w:rsidRPr="00EE4557">
              <w:rPr>
                <w:rFonts w:ascii="Arial Narrow" w:hAnsi="Arial Narrow"/>
                <w:noProof/>
                <w:webHidden/>
                <w:sz w:val="20"/>
                <w:szCs w:val="20"/>
              </w:rPr>
              <w:instrText xml:space="preserve"> PAGEREF _Toc210747647 \h </w:instrText>
            </w:r>
            <w:r w:rsidR="00EE4557" w:rsidRPr="00EE4557">
              <w:rPr>
                <w:rFonts w:ascii="Arial Narrow" w:hAnsi="Arial Narrow"/>
                <w:noProof/>
                <w:webHidden/>
                <w:sz w:val="20"/>
                <w:szCs w:val="20"/>
              </w:rPr>
            </w:r>
            <w:r w:rsidR="00EE4557" w:rsidRPr="00EE4557">
              <w:rPr>
                <w:rFonts w:ascii="Arial Narrow" w:hAnsi="Arial Narrow"/>
                <w:noProof/>
                <w:webHidden/>
                <w:sz w:val="20"/>
                <w:szCs w:val="20"/>
              </w:rPr>
              <w:fldChar w:fldCharType="separate"/>
            </w:r>
            <w:r w:rsidR="00211D64">
              <w:rPr>
                <w:rFonts w:ascii="Arial Narrow" w:hAnsi="Arial Narrow"/>
                <w:noProof/>
                <w:webHidden/>
                <w:sz w:val="20"/>
                <w:szCs w:val="20"/>
              </w:rPr>
              <w:t>189</w:t>
            </w:r>
            <w:r w:rsidR="00EE4557" w:rsidRPr="00EE4557">
              <w:rPr>
                <w:rFonts w:ascii="Arial Narrow" w:hAnsi="Arial Narrow"/>
                <w:noProof/>
                <w:webHidden/>
                <w:sz w:val="20"/>
                <w:szCs w:val="20"/>
              </w:rPr>
              <w:fldChar w:fldCharType="end"/>
            </w:r>
          </w:hyperlink>
        </w:p>
        <w:p w14:paraId="5A91710B" w14:textId="77777777" w:rsidR="00EE4557" w:rsidRPr="00EE4557" w:rsidRDefault="00816B15">
          <w:pPr>
            <w:pStyle w:val="TOC1"/>
            <w:rPr>
              <w:rFonts w:ascii="Arial Narrow" w:eastAsiaTheme="minorEastAsia" w:hAnsi="Arial Narrow" w:cstheme="minorBidi"/>
              <w:noProof/>
              <w:sz w:val="20"/>
              <w:szCs w:val="20"/>
            </w:rPr>
          </w:pPr>
          <w:hyperlink w:anchor="_Toc210747648" w:history="1">
            <w:r w:rsidR="00EE4557" w:rsidRPr="00EE4557">
              <w:rPr>
                <w:rStyle w:val="Hyperlink"/>
                <w:rFonts w:ascii="Arial Narrow" w:hAnsi="Arial Narrow"/>
                <w:bCs/>
                <w:noProof/>
                <w:sz w:val="20"/>
                <w:szCs w:val="20"/>
                <w:lang w:val="bg-BG" w:eastAsia="bg-BG"/>
              </w:rPr>
              <w:t>8.2.3.</w:t>
            </w:r>
            <w:r w:rsidR="00EE4557" w:rsidRPr="00EE4557">
              <w:rPr>
                <w:rFonts w:ascii="Arial Narrow" w:eastAsiaTheme="minorEastAsia" w:hAnsi="Arial Narrow" w:cstheme="minorBidi"/>
                <w:noProof/>
                <w:sz w:val="20"/>
                <w:szCs w:val="20"/>
              </w:rPr>
              <w:tab/>
            </w:r>
            <w:r w:rsidR="00EE4557" w:rsidRPr="00EE4557">
              <w:rPr>
                <w:rStyle w:val="Hyperlink"/>
                <w:rFonts w:ascii="Arial Narrow" w:hAnsi="Arial Narrow"/>
                <w:bCs/>
                <w:noProof/>
                <w:sz w:val="20"/>
                <w:szCs w:val="20"/>
                <w:lang w:val="bg-BG" w:eastAsia="bg-BG"/>
              </w:rPr>
              <w:t>Информационно осигуряване</w:t>
            </w:r>
            <w:r w:rsidR="00EE4557" w:rsidRPr="00EE4557">
              <w:rPr>
                <w:rFonts w:ascii="Arial Narrow" w:hAnsi="Arial Narrow"/>
                <w:noProof/>
                <w:webHidden/>
                <w:sz w:val="20"/>
                <w:szCs w:val="20"/>
              </w:rPr>
              <w:tab/>
            </w:r>
            <w:r w:rsidR="00EE4557" w:rsidRPr="00EE4557">
              <w:rPr>
                <w:rFonts w:ascii="Arial Narrow" w:hAnsi="Arial Narrow"/>
                <w:noProof/>
                <w:webHidden/>
                <w:sz w:val="20"/>
                <w:szCs w:val="20"/>
              </w:rPr>
              <w:fldChar w:fldCharType="begin"/>
            </w:r>
            <w:r w:rsidR="00EE4557" w:rsidRPr="00EE4557">
              <w:rPr>
                <w:rFonts w:ascii="Arial Narrow" w:hAnsi="Arial Narrow"/>
                <w:noProof/>
                <w:webHidden/>
                <w:sz w:val="20"/>
                <w:szCs w:val="20"/>
              </w:rPr>
              <w:instrText xml:space="preserve"> PAGEREF _Toc210747648 \h </w:instrText>
            </w:r>
            <w:r w:rsidR="00EE4557" w:rsidRPr="00EE4557">
              <w:rPr>
                <w:rFonts w:ascii="Arial Narrow" w:hAnsi="Arial Narrow"/>
                <w:noProof/>
                <w:webHidden/>
                <w:sz w:val="20"/>
                <w:szCs w:val="20"/>
              </w:rPr>
            </w:r>
            <w:r w:rsidR="00EE4557" w:rsidRPr="00EE4557">
              <w:rPr>
                <w:rFonts w:ascii="Arial Narrow" w:hAnsi="Arial Narrow"/>
                <w:noProof/>
                <w:webHidden/>
                <w:sz w:val="20"/>
                <w:szCs w:val="20"/>
              </w:rPr>
              <w:fldChar w:fldCharType="separate"/>
            </w:r>
            <w:r w:rsidR="00211D64">
              <w:rPr>
                <w:rFonts w:ascii="Arial Narrow" w:hAnsi="Arial Narrow"/>
                <w:noProof/>
                <w:webHidden/>
                <w:sz w:val="20"/>
                <w:szCs w:val="20"/>
              </w:rPr>
              <w:t>190</w:t>
            </w:r>
            <w:r w:rsidR="00EE4557" w:rsidRPr="00EE4557">
              <w:rPr>
                <w:rFonts w:ascii="Arial Narrow" w:hAnsi="Arial Narrow"/>
                <w:noProof/>
                <w:webHidden/>
                <w:sz w:val="20"/>
                <w:szCs w:val="20"/>
              </w:rPr>
              <w:fldChar w:fldCharType="end"/>
            </w:r>
          </w:hyperlink>
        </w:p>
        <w:p w14:paraId="18AA98D4" w14:textId="77777777" w:rsidR="00EE4557" w:rsidRPr="00EE4557" w:rsidRDefault="00816B15">
          <w:pPr>
            <w:pStyle w:val="TOC1"/>
            <w:rPr>
              <w:rFonts w:ascii="Arial Narrow" w:eastAsiaTheme="minorEastAsia" w:hAnsi="Arial Narrow" w:cstheme="minorBidi"/>
              <w:noProof/>
              <w:sz w:val="20"/>
              <w:szCs w:val="20"/>
            </w:rPr>
          </w:pPr>
          <w:hyperlink w:anchor="_Toc210747649" w:history="1">
            <w:r w:rsidR="00EE4557" w:rsidRPr="00EE4557">
              <w:rPr>
                <w:rStyle w:val="Hyperlink"/>
                <w:rFonts w:ascii="Arial Narrow" w:hAnsi="Arial Narrow"/>
                <w:bCs/>
                <w:noProof/>
                <w:sz w:val="20"/>
                <w:szCs w:val="20"/>
                <w:lang w:val="bg-BG" w:eastAsia="bg-BG"/>
              </w:rPr>
              <w:t>8.2.4.</w:t>
            </w:r>
            <w:r w:rsidR="00EE4557" w:rsidRPr="00EE4557">
              <w:rPr>
                <w:rFonts w:ascii="Arial Narrow" w:eastAsiaTheme="minorEastAsia" w:hAnsi="Arial Narrow" w:cstheme="minorBidi"/>
                <w:noProof/>
                <w:sz w:val="20"/>
                <w:szCs w:val="20"/>
              </w:rPr>
              <w:tab/>
            </w:r>
            <w:r w:rsidR="00EE4557" w:rsidRPr="00EE4557">
              <w:rPr>
                <w:rStyle w:val="Hyperlink"/>
                <w:rFonts w:ascii="Arial Narrow" w:hAnsi="Arial Narrow"/>
                <w:bCs/>
                <w:noProof/>
                <w:sz w:val="20"/>
                <w:szCs w:val="20"/>
                <w:lang w:val="bg-BG" w:eastAsia="bg-BG"/>
              </w:rPr>
              <w:t>Агрохимични анализи</w:t>
            </w:r>
            <w:r w:rsidR="00EE4557" w:rsidRPr="00EE4557">
              <w:rPr>
                <w:rFonts w:ascii="Arial Narrow" w:hAnsi="Arial Narrow"/>
                <w:noProof/>
                <w:webHidden/>
                <w:sz w:val="20"/>
                <w:szCs w:val="20"/>
              </w:rPr>
              <w:tab/>
            </w:r>
            <w:r w:rsidR="00EE4557" w:rsidRPr="00EE4557">
              <w:rPr>
                <w:rFonts w:ascii="Arial Narrow" w:hAnsi="Arial Narrow"/>
                <w:noProof/>
                <w:webHidden/>
                <w:sz w:val="20"/>
                <w:szCs w:val="20"/>
              </w:rPr>
              <w:fldChar w:fldCharType="begin"/>
            </w:r>
            <w:r w:rsidR="00EE4557" w:rsidRPr="00EE4557">
              <w:rPr>
                <w:rFonts w:ascii="Arial Narrow" w:hAnsi="Arial Narrow"/>
                <w:noProof/>
                <w:webHidden/>
                <w:sz w:val="20"/>
                <w:szCs w:val="20"/>
              </w:rPr>
              <w:instrText xml:space="preserve"> PAGEREF _Toc210747649 \h </w:instrText>
            </w:r>
            <w:r w:rsidR="00EE4557" w:rsidRPr="00EE4557">
              <w:rPr>
                <w:rFonts w:ascii="Arial Narrow" w:hAnsi="Arial Narrow"/>
                <w:noProof/>
                <w:webHidden/>
                <w:sz w:val="20"/>
                <w:szCs w:val="20"/>
              </w:rPr>
            </w:r>
            <w:r w:rsidR="00EE4557" w:rsidRPr="00EE4557">
              <w:rPr>
                <w:rFonts w:ascii="Arial Narrow" w:hAnsi="Arial Narrow"/>
                <w:noProof/>
                <w:webHidden/>
                <w:sz w:val="20"/>
                <w:szCs w:val="20"/>
              </w:rPr>
              <w:fldChar w:fldCharType="separate"/>
            </w:r>
            <w:r w:rsidR="00211D64">
              <w:rPr>
                <w:rFonts w:ascii="Arial Narrow" w:hAnsi="Arial Narrow"/>
                <w:noProof/>
                <w:webHidden/>
                <w:sz w:val="20"/>
                <w:szCs w:val="20"/>
              </w:rPr>
              <w:t>190</w:t>
            </w:r>
            <w:r w:rsidR="00EE4557" w:rsidRPr="00EE4557">
              <w:rPr>
                <w:rFonts w:ascii="Arial Narrow" w:hAnsi="Arial Narrow"/>
                <w:noProof/>
                <w:webHidden/>
                <w:sz w:val="20"/>
                <w:szCs w:val="20"/>
              </w:rPr>
              <w:fldChar w:fldCharType="end"/>
            </w:r>
          </w:hyperlink>
        </w:p>
        <w:p w14:paraId="63B5AAB8" w14:textId="77777777" w:rsidR="00EE4557" w:rsidRPr="00EE4557" w:rsidRDefault="00816B15">
          <w:pPr>
            <w:pStyle w:val="TOC1"/>
            <w:rPr>
              <w:rFonts w:ascii="Arial Narrow" w:eastAsiaTheme="minorEastAsia" w:hAnsi="Arial Narrow" w:cstheme="minorBidi"/>
              <w:noProof/>
              <w:sz w:val="20"/>
              <w:szCs w:val="20"/>
            </w:rPr>
          </w:pPr>
          <w:hyperlink w:anchor="_Toc210747650" w:history="1">
            <w:r w:rsidR="00EE4557" w:rsidRPr="00EE4557">
              <w:rPr>
                <w:rStyle w:val="Hyperlink"/>
                <w:rFonts w:ascii="Arial Narrow" w:hAnsi="Arial Narrow"/>
                <w:bCs/>
                <w:noProof/>
                <w:sz w:val="20"/>
                <w:szCs w:val="20"/>
                <w:lang w:val="bg-BG"/>
              </w:rPr>
              <w:t>8.2.5.</w:t>
            </w:r>
            <w:r w:rsidR="00EE4557" w:rsidRPr="00EE4557">
              <w:rPr>
                <w:rFonts w:ascii="Arial Narrow" w:eastAsiaTheme="minorEastAsia" w:hAnsi="Arial Narrow" w:cstheme="minorBidi"/>
                <w:noProof/>
                <w:sz w:val="20"/>
                <w:szCs w:val="20"/>
              </w:rPr>
              <w:tab/>
            </w:r>
            <w:r w:rsidR="00EE4557" w:rsidRPr="00EE4557">
              <w:rPr>
                <w:rStyle w:val="Hyperlink"/>
                <w:rFonts w:ascii="Arial Narrow" w:hAnsi="Arial Narrow"/>
                <w:bCs/>
                <w:noProof/>
                <w:sz w:val="20"/>
                <w:szCs w:val="20"/>
                <w:lang w:val="bg-BG"/>
              </w:rPr>
              <w:t>Дейности по подмярка 2.1.2 „Консултантски услуги за малки земеделски стопанства”</w:t>
            </w:r>
            <w:r w:rsidR="00EE4557" w:rsidRPr="00EE4557">
              <w:rPr>
                <w:rFonts w:ascii="Arial Narrow" w:hAnsi="Arial Narrow"/>
                <w:noProof/>
                <w:webHidden/>
                <w:sz w:val="20"/>
                <w:szCs w:val="20"/>
              </w:rPr>
              <w:tab/>
            </w:r>
            <w:r w:rsidR="00EE4557" w:rsidRPr="00EE4557">
              <w:rPr>
                <w:rFonts w:ascii="Arial Narrow" w:hAnsi="Arial Narrow"/>
                <w:noProof/>
                <w:webHidden/>
                <w:sz w:val="20"/>
                <w:szCs w:val="20"/>
              </w:rPr>
              <w:fldChar w:fldCharType="begin"/>
            </w:r>
            <w:r w:rsidR="00EE4557" w:rsidRPr="00EE4557">
              <w:rPr>
                <w:rFonts w:ascii="Arial Narrow" w:hAnsi="Arial Narrow"/>
                <w:noProof/>
                <w:webHidden/>
                <w:sz w:val="20"/>
                <w:szCs w:val="20"/>
              </w:rPr>
              <w:instrText xml:space="preserve"> PAGEREF _Toc210747650 \h </w:instrText>
            </w:r>
            <w:r w:rsidR="00EE4557" w:rsidRPr="00EE4557">
              <w:rPr>
                <w:rFonts w:ascii="Arial Narrow" w:hAnsi="Arial Narrow"/>
                <w:noProof/>
                <w:webHidden/>
                <w:sz w:val="20"/>
                <w:szCs w:val="20"/>
              </w:rPr>
            </w:r>
            <w:r w:rsidR="00EE4557" w:rsidRPr="00EE4557">
              <w:rPr>
                <w:rFonts w:ascii="Arial Narrow" w:hAnsi="Arial Narrow"/>
                <w:noProof/>
                <w:webHidden/>
                <w:sz w:val="20"/>
                <w:szCs w:val="20"/>
              </w:rPr>
              <w:fldChar w:fldCharType="separate"/>
            </w:r>
            <w:r w:rsidR="00211D64">
              <w:rPr>
                <w:rFonts w:ascii="Arial Narrow" w:hAnsi="Arial Narrow"/>
                <w:noProof/>
                <w:webHidden/>
                <w:sz w:val="20"/>
                <w:szCs w:val="20"/>
              </w:rPr>
              <w:t>190</w:t>
            </w:r>
            <w:r w:rsidR="00EE4557" w:rsidRPr="00EE4557">
              <w:rPr>
                <w:rFonts w:ascii="Arial Narrow" w:hAnsi="Arial Narrow"/>
                <w:noProof/>
                <w:webHidden/>
                <w:sz w:val="20"/>
                <w:szCs w:val="20"/>
              </w:rPr>
              <w:fldChar w:fldCharType="end"/>
            </w:r>
          </w:hyperlink>
        </w:p>
        <w:p w14:paraId="4B634D67" w14:textId="77777777" w:rsidR="00EE4557" w:rsidRPr="00EE4557" w:rsidRDefault="00816B15">
          <w:pPr>
            <w:pStyle w:val="TOC1"/>
            <w:rPr>
              <w:rFonts w:ascii="Arial Narrow" w:eastAsiaTheme="minorEastAsia" w:hAnsi="Arial Narrow" w:cstheme="minorBidi"/>
              <w:noProof/>
              <w:sz w:val="20"/>
              <w:szCs w:val="20"/>
            </w:rPr>
          </w:pPr>
          <w:hyperlink w:anchor="_Toc210747651" w:history="1">
            <w:r w:rsidR="00EE4557" w:rsidRPr="00EE4557">
              <w:rPr>
                <w:rStyle w:val="Hyperlink"/>
                <w:rFonts w:ascii="Arial Narrow" w:hAnsi="Arial Narrow"/>
                <w:noProof/>
                <w:sz w:val="20"/>
                <w:szCs w:val="20"/>
                <w:lang w:val="bg-BG" w:eastAsia="bg-BG"/>
              </w:rPr>
              <w:t>8.2.6.</w:t>
            </w:r>
            <w:r w:rsidR="00EE4557" w:rsidRPr="00EE4557">
              <w:rPr>
                <w:rFonts w:ascii="Arial Narrow" w:eastAsiaTheme="minorEastAsia" w:hAnsi="Arial Narrow" w:cstheme="minorBidi"/>
                <w:noProof/>
                <w:sz w:val="20"/>
                <w:szCs w:val="20"/>
              </w:rPr>
              <w:tab/>
            </w:r>
            <w:r w:rsidR="00EE4557" w:rsidRPr="00EE4557">
              <w:rPr>
                <w:rStyle w:val="Hyperlink"/>
                <w:rFonts w:ascii="Arial Narrow" w:eastAsia="Calibri" w:hAnsi="Arial Narrow"/>
                <w:noProof/>
                <w:sz w:val="20"/>
                <w:szCs w:val="20"/>
              </w:rPr>
              <w:t>Дейности по подмярка 2.2 „Създаване на консултантски услуги“</w:t>
            </w:r>
            <w:r w:rsidR="00EE4557" w:rsidRPr="00EE4557">
              <w:rPr>
                <w:rFonts w:ascii="Arial Narrow" w:hAnsi="Arial Narrow"/>
                <w:noProof/>
                <w:webHidden/>
                <w:sz w:val="20"/>
                <w:szCs w:val="20"/>
              </w:rPr>
              <w:tab/>
            </w:r>
            <w:r w:rsidR="00EE4557" w:rsidRPr="00EE4557">
              <w:rPr>
                <w:rFonts w:ascii="Arial Narrow" w:hAnsi="Arial Narrow"/>
                <w:noProof/>
                <w:webHidden/>
                <w:sz w:val="20"/>
                <w:szCs w:val="20"/>
              </w:rPr>
              <w:fldChar w:fldCharType="begin"/>
            </w:r>
            <w:r w:rsidR="00EE4557" w:rsidRPr="00EE4557">
              <w:rPr>
                <w:rFonts w:ascii="Arial Narrow" w:hAnsi="Arial Narrow"/>
                <w:noProof/>
                <w:webHidden/>
                <w:sz w:val="20"/>
                <w:szCs w:val="20"/>
              </w:rPr>
              <w:instrText xml:space="preserve"> PAGEREF _Toc210747651 \h </w:instrText>
            </w:r>
            <w:r w:rsidR="00EE4557" w:rsidRPr="00EE4557">
              <w:rPr>
                <w:rFonts w:ascii="Arial Narrow" w:hAnsi="Arial Narrow"/>
                <w:noProof/>
                <w:webHidden/>
                <w:sz w:val="20"/>
                <w:szCs w:val="20"/>
              </w:rPr>
            </w:r>
            <w:r w:rsidR="00EE4557" w:rsidRPr="00EE4557">
              <w:rPr>
                <w:rFonts w:ascii="Arial Narrow" w:hAnsi="Arial Narrow"/>
                <w:noProof/>
                <w:webHidden/>
                <w:sz w:val="20"/>
                <w:szCs w:val="20"/>
              </w:rPr>
              <w:fldChar w:fldCharType="separate"/>
            </w:r>
            <w:r w:rsidR="00211D64">
              <w:rPr>
                <w:rFonts w:ascii="Arial Narrow" w:hAnsi="Arial Narrow"/>
                <w:noProof/>
                <w:webHidden/>
                <w:sz w:val="20"/>
                <w:szCs w:val="20"/>
              </w:rPr>
              <w:t>191</w:t>
            </w:r>
            <w:r w:rsidR="00EE4557" w:rsidRPr="00EE4557">
              <w:rPr>
                <w:rFonts w:ascii="Arial Narrow" w:hAnsi="Arial Narrow"/>
                <w:noProof/>
                <w:webHidden/>
                <w:sz w:val="20"/>
                <w:szCs w:val="20"/>
              </w:rPr>
              <w:fldChar w:fldCharType="end"/>
            </w:r>
          </w:hyperlink>
        </w:p>
        <w:p w14:paraId="3B9D4C39" w14:textId="77777777" w:rsidR="00EE4557" w:rsidRPr="00EE4557" w:rsidRDefault="00816B15">
          <w:pPr>
            <w:pStyle w:val="TOC1"/>
            <w:rPr>
              <w:rFonts w:ascii="Arial Narrow" w:eastAsiaTheme="minorEastAsia" w:hAnsi="Arial Narrow" w:cstheme="minorBidi"/>
              <w:noProof/>
              <w:sz w:val="20"/>
              <w:szCs w:val="20"/>
            </w:rPr>
          </w:pPr>
          <w:hyperlink w:anchor="_Toc210747652" w:history="1">
            <w:r w:rsidR="00EE4557" w:rsidRPr="00EE4557">
              <w:rPr>
                <w:rStyle w:val="Hyperlink"/>
                <w:rFonts w:ascii="Arial Narrow" w:hAnsi="Arial Narrow"/>
                <w:noProof/>
                <w:sz w:val="20"/>
                <w:szCs w:val="20"/>
                <w:lang w:val="bg-BG"/>
              </w:rPr>
              <w:t>8.2.7.</w:t>
            </w:r>
            <w:r w:rsidR="00EE4557" w:rsidRPr="00EE4557">
              <w:rPr>
                <w:rFonts w:ascii="Arial Narrow" w:eastAsiaTheme="minorEastAsia" w:hAnsi="Arial Narrow" w:cstheme="minorBidi"/>
                <w:noProof/>
                <w:sz w:val="20"/>
                <w:szCs w:val="20"/>
              </w:rPr>
              <w:tab/>
            </w:r>
            <w:r w:rsidR="00EE4557" w:rsidRPr="00EE4557">
              <w:rPr>
                <w:rStyle w:val="Hyperlink"/>
                <w:rFonts w:ascii="Arial Narrow" w:hAnsi="Arial Narrow"/>
                <w:noProof/>
                <w:sz w:val="20"/>
                <w:szCs w:val="20"/>
                <w:lang w:val="bg-BG"/>
              </w:rPr>
              <w:t>Дейности на НССЗ по интервенция I.И.1. "Консултантски услуги и повишаване на консултантския капацитет" от СПРЗСР 2023-2027</w:t>
            </w:r>
            <w:r w:rsidR="00EE4557" w:rsidRPr="00EE4557">
              <w:rPr>
                <w:rFonts w:ascii="Arial Narrow" w:hAnsi="Arial Narrow"/>
                <w:noProof/>
                <w:webHidden/>
                <w:sz w:val="20"/>
                <w:szCs w:val="20"/>
              </w:rPr>
              <w:tab/>
            </w:r>
            <w:r w:rsidR="00EE4557" w:rsidRPr="00EE4557">
              <w:rPr>
                <w:rFonts w:ascii="Arial Narrow" w:hAnsi="Arial Narrow"/>
                <w:noProof/>
                <w:webHidden/>
                <w:sz w:val="20"/>
                <w:szCs w:val="20"/>
              </w:rPr>
              <w:fldChar w:fldCharType="begin"/>
            </w:r>
            <w:r w:rsidR="00EE4557" w:rsidRPr="00EE4557">
              <w:rPr>
                <w:rFonts w:ascii="Arial Narrow" w:hAnsi="Arial Narrow"/>
                <w:noProof/>
                <w:webHidden/>
                <w:sz w:val="20"/>
                <w:szCs w:val="20"/>
              </w:rPr>
              <w:instrText xml:space="preserve"> PAGEREF _Toc210747652 \h </w:instrText>
            </w:r>
            <w:r w:rsidR="00EE4557" w:rsidRPr="00EE4557">
              <w:rPr>
                <w:rFonts w:ascii="Arial Narrow" w:hAnsi="Arial Narrow"/>
                <w:noProof/>
                <w:webHidden/>
                <w:sz w:val="20"/>
                <w:szCs w:val="20"/>
              </w:rPr>
            </w:r>
            <w:r w:rsidR="00EE4557" w:rsidRPr="00EE4557">
              <w:rPr>
                <w:rFonts w:ascii="Arial Narrow" w:hAnsi="Arial Narrow"/>
                <w:noProof/>
                <w:webHidden/>
                <w:sz w:val="20"/>
                <w:szCs w:val="20"/>
              </w:rPr>
              <w:fldChar w:fldCharType="separate"/>
            </w:r>
            <w:r w:rsidR="00211D64">
              <w:rPr>
                <w:rFonts w:ascii="Arial Narrow" w:hAnsi="Arial Narrow"/>
                <w:noProof/>
                <w:webHidden/>
                <w:sz w:val="20"/>
                <w:szCs w:val="20"/>
              </w:rPr>
              <w:t>191</w:t>
            </w:r>
            <w:r w:rsidR="00EE4557" w:rsidRPr="00EE4557">
              <w:rPr>
                <w:rFonts w:ascii="Arial Narrow" w:hAnsi="Arial Narrow"/>
                <w:noProof/>
                <w:webHidden/>
                <w:sz w:val="20"/>
                <w:szCs w:val="20"/>
              </w:rPr>
              <w:fldChar w:fldCharType="end"/>
            </w:r>
          </w:hyperlink>
        </w:p>
        <w:p w14:paraId="1C81FE73" w14:textId="77777777" w:rsidR="00EE4557" w:rsidRPr="00EE4557" w:rsidRDefault="00816B15">
          <w:pPr>
            <w:pStyle w:val="TOC1"/>
            <w:rPr>
              <w:rFonts w:ascii="Arial Narrow" w:eastAsiaTheme="minorEastAsia" w:hAnsi="Arial Narrow" w:cstheme="minorBidi"/>
              <w:noProof/>
              <w:sz w:val="20"/>
              <w:szCs w:val="20"/>
            </w:rPr>
          </w:pPr>
          <w:hyperlink w:anchor="_Toc210747653" w:history="1">
            <w:r w:rsidR="00EE4557" w:rsidRPr="00EE4557">
              <w:rPr>
                <w:rStyle w:val="Hyperlink"/>
                <w:rFonts w:ascii="Arial Narrow" w:hAnsi="Arial Narrow"/>
                <w:noProof/>
                <w:sz w:val="20"/>
                <w:szCs w:val="20"/>
                <w:lang w:val="bg-BG" w:eastAsia="bg-BG"/>
              </w:rPr>
              <w:t>8.2.8.</w:t>
            </w:r>
            <w:r w:rsidR="00EE4557" w:rsidRPr="00EE4557">
              <w:rPr>
                <w:rFonts w:ascii="Arial Narrow" w:eastAsiaTheme="minorEastAsia" w:hAnsi="Arial Narrow" w:cstheme="minorBidi"/>
                <w:noProof/>
                <w:sz w:val="20"/>
                <w:szCs w:val="20"/>
              </w:rPr>
              <w:tab/>
            </w:r>
            <w:r w:rsidR="00EE4557" w:rsidRPr="00EE4557">
              <w:rPr>
                <w:rStyle w:val="Hyperlink"/>
                <w:rFonts w:ascii="Arial Narrow" w:hAnsi="Arial Narrow"/>
                <w:noProof/>
                <w:sz w:val="20"/>
                <w:szCs w:val="20"/>
                <w:lang w:val="bg-BG" w:eastAsia="bg-BG"/>
              </w:rPr>
              <w:t>Обща селскостопанска политика 2023-2027 г.</w:t>
            </w:r>
            <w:r w:rsidR="00EE4557" w:rsidRPr="00EE4557">
              <w:rPr>
                <w:rFonts w:ascii="Arial Narrow" w:hAnsi="Arial Narrow"/>
                <w:noProof/>
                <w:webHidden/>
                <w:sz w:val="20"/>
                <w:szCs w:val="20"/>
              </w:rPr>
              <w:tab/>
            </w:r>
            <w:r w:rsidR="00EE4557" w:rsidRPr="00EE4557">
              <w:rPr>
                <w:rFonts w:ascii="Arial Narrow" w:hAnsi="Arial Narrow"/>
                <w:noProof/>
                <w:webHidden/>
                <w:sz w:val="20"/>
                <w:szCs w:val="20"/>
              </w:rPr>
              <w:fldChar w:fldCharType="begin"/>
            </w:r>
            <w:r w:rsidR="00EE4557" w:rsidRPr="00EE4557">
              <w:rPr>
                <w:rFonts w:ascii="Arial Narrow" w:hAnsi="Arial Narrow"/>
                <w:noProof/>
                <w:webHidden/>
                <w:sz w:val="20"/>
                <w:szCs w:val="20"/>
              </w:rPr>
              <w:instrText xml:space="preserve"> PAGEREF _Toc210747653 \h </w:instrText>
            </w:r>
            <w:r w:rsidR="00EE4557" w:rsidRPr="00EE4557">
              <w:rPr>
                <w:rFonts w:ascii="Arial Narrow" w:hAnsi="Arial Narrow"/>
                <w:noProof/>
                <w:webHidden/>
                <w:sz w:val="20"/>
                <w:szCs w:val="20"/>
              </w:rPr>
            </w:r>
            <w:r w:rsidR="00EE4557" w:rsidRPr="00EE4557">
              <w:rPr>
                <w:rFonts w:ascii="Arial Narrow" w:hAnsi="Arial Narrow"/>
                <w:noProof/>
                <w:webHidden/>
                <w:sz w:val="20"/>
                <w:szCs w:val="20"/>
              </w:rPr>
              <w:fldChar w:fldCharType="separate"/>
            </w:r>
            <w:r w:rsidR="00211D64">
              <w:rPr>
                <w:rFonts w:ascii="Arial Narrow" w:hAnsi="Arial Narrow"/>
                <w:noProof/>
                <w:webHidden/>
                <w:sz w:val="20"/>
                <w:szCs w:val="20"/>
              </w:rPr>
              <w:t>192</w:t>
            </w:r>
            <w:r w:rsidR="00EE4557" w:rsidRPr="00EE4557">
              <w:rPr>
                <w:rFonts w:ascii="Arial Narrow" w:hAnsi="Arial Narrow"/>
                <w:noProof/>
                <w:webHidden/>
                <w:sz w:val="20"/>
                <w:szCs w:val="20"/>
              </w:rPr>
              <w:fldChar w:fldCharType="end"/>
            </w:r>
          </w:hyperlink>
        </w:p>
        <w:p w14:paraId="420B5027" w14:textId="77777777" w:rsidR="00EE4557" w:rsidRPr="00EE4557" w:rsidRDefault="00816B15">
          <w:pPr>
            <w:pStyle w:val="TOC1"/>
            <w:rPr>
              <w:rFonts w:ascii="Arial Narrow" w:eastAsiaTheme="minorEastAsia" w:hAnsi="Arial Narrow" w:cstheme="minorBidi"/>
              <w:noProof/>
              <w:sz w:val="20"/>
              <w:szCs w:val="20"/>
            </w:rPr>
          </w:pPr>
          <w:hyperlink w:anchor="_Toc210747654" w:history="1">
            <w:r w:rsidR="00EE4557" w:rsidRPr="00EE4557">
              <w:rPr>
                <w:rStyle w:val="Hyperlink"/>
                <w:rFonts w:ascii="Arial Narrow" w:hAnsi="Arial Narrow"/>
                <w:noProof/>
                <w:sz w:val="20"/>
                <w:szCs w:val="20"/>
                <w:lang w:val="bg-BG" w:eastAsia="bg-BG"/>
              </w:rPr>
              <w:t>8.2.9.</w:t>
            </w:r>
            <w:r w:rsidR="00EE4557" w:rsidRPr="00EE4557">
              <w:rPr>
                <w:rFonts w:ascii="Arial Narrow" w:eastAsiaTheme="minorEastAsia" w:hAnsi="Arial Narrow" w:cstheme="minorBidi"/>
                <w:noProof/>
                <w:sz w:val="20"/>
                <w:szCs w:val="20"/>
              </w:rPr>
              <w:tab/>
            </w:r>
            <w:r w:rsidR="00EE4557" w:rsidRPr="00EE4557">
              <w:rPr>
                <w:rStyle w:val="Hyperlink"/>
                <w:rFonts w:ascii="Arial Narrow" w:hAnsi="Arial Narrow"/>
                <w:noProof/>
                <w:sz w:val="20"/>
                <w:szCs w:val="20"/>
                <w:lang w:val="bg-BG" w:eastAsia="bg-BG"/>
              </w:rPr>
              <w:t>Международна дейност</w:t>
            </w:r>
            <w:r w:rsidR="00EE4557" w:rsidRPr="00EE4557">
              <w:rPr>
                <w:rFonts w:ascii="Arial Narrow" w:hAnsi="Arial Narrow"/>
                <w:noProof/>
                <w:webHidden/>
                <w:sz w:val="20"/>
                <w:szCs w:val="20"/>
              </w:rPr>
              <w:tab/>
            </w:r>
            <w:r w:rsidR="00EE4557" w:rsidRPr="00EE4557">
              <w:rPr>
                <w:rFonts w:ascii="Arial Narrow" w:hAnsi="Arial Narrow"/>
                <w:noProof/>
                <w:webHidden/>
                <w:sz w:val="20"/>
                <w:szCs w:val="20"/>
              </w:rPr>
              <w:fldChar w:fldCharType="begin"/>
            </w:r>
            <w:r w:rsidR="00EE4557" w:rsidRPr="00EE4557">
              <w:rPr>
                <w:rFonts w:ascii="Arial Narrow" w:hAnsi="Arial Narrow"/>
                <w:noProof/>
                <w:webHidden/>
                <w:sz w:val="20"/>
                <w:szCs w:val="20"/>
              </w:rPr>
              <w:instrText xml:space="preserve"> PAGEREF _Toc210747654 \h </w:instrText>
            </w:r>
            <w:r w:rsidR="00EE4557" w:rsidRPr="00EE4557">
              <w:rPr>
                <w:rFonts w:ascii="Arial Narrow" w:hAnsi="Arial Narrow"/>
                <w:noProof/>
                <w:webHidden/>
                <w:sz w:val="20"/>
                <w:szCs w:val="20"/>
              </w:rPr>
            </w:r>
            <w:r w:rsidR="00EE4557" w:rsidRPr="00EE4557">
              <w:rPr>
                <w:rFonts w:ascii="Arial Narrow" w:hAnsi="Arial Narrow"/>
                <w:noProof/>
                <w:webHidden/>
                <w:sz w:val="20"/>
                <w:szCs w:val="20"/>
              </w:rPr>
              <w:fldChar w:fldCharType="separate"/>
            </w:r>
            <w:r w:rsidR="00211D64">
              <w:rPr>
                <w:rFonts w:ascii="Arial Narrow" w:hAnsi="Arial Narrow"/>
                <w:noProof/>
                <w:webHidden/>
                <w:sz w:val="20"/>
                <w:szCs w:val="20"/>
              </w:rPr>
              <w:t>192</w:t>
            </w:r>
            <w:r w:rsidR="00EE4557" w:rsidRPr="00EE4557">
              <w:rPr>
                <w:rFonts w:ascii="Arial Narrow" w:hAnsi="Arial Narrow"/>
                <w:noProof/>
                <w:webHidden/>
                <w:sz w:val="20"/>
                <w:szCs w:val="20"/>
              </w:rPr>
              <w:fldChar w:fldCharType="end"/>
            </w:r>
          </w:hyperlink>
        </w:p>
        <w:p w14:paraId="470EC1DB" w14:textId="77777777" w:rsidR="00EE4557" w:rsidRPr="00EE4557" w:rsidRDefault="00816B15">
          <w:pPr>
            <w:pStyle w:val="TOC1"/>
            <w:rPr>
              <w:rFonts w:ascii="Arial Narrow" w:eastAsiaTheme="minorEastAsia" w:hAnsi="Arial Narrow" w:cstheme="minorBidi"/>
              <w:noProof/>
              <w:sz w:val="20"/>
              <w:szCs w:val="20"/>
            </w:rPr>
          </w:pPr>
          <w:hyperlink w:anchor="_Toc210747655" w:history="1">
            <w:r w:rsidR="00EE4557" w:rsidRPr="00EE4557">
              <w:rPr>
                <w:rStyle w:val="Hyperlink"/>
                <w:rFonts w:ascii="Arial Narrow" w:eastAsiaTheme="minorHAnsi" w:hAnsi="Arial Narrow"/>
                <w:noProof/>
                <w:sz w:val="20"/>
                <w:szCs w:val="20"/>
                <w:lang w:val="bg-BG"/>
              </w:rPr>
              <w:t>9.</w:t>
            </w:r>
            <w:r w:rsidR="00EE4557" w:rsidRPr="00EE4557">
              <w:rPr>
                <w:rFonts w:ascii="Arial Narrow" w:eastAsiaTheme="minorEastAsia" w:hAnsi="Arial Narrow" w:cstheme="minorBidi"/>
                <w:noProof/>
                <w:sz w:val="20"/>
                <w:szCs w:val="20"/>
              </w:rPr>
              <w:tab/>
            </w:r>
            <w:r w:rsidR="00EE4557" w:rsidRPr="00EE4557">
              <w:rPr>
                <w:rStyle w:val="Hyperlink"/>
                <w:rFonts w:ascii="Arial Narrow" w:eastAsiaTheme="minorHAnsi" w:hAnsi="Arial Narrow"/>
                <w:noProof/>
                <w:sz w:val="20"/>
                <w:szCs w:val="20"/>
                <w:lang w:val="bg-BG"/>
              </w:rPr>
              <w:t>Борба с градушките</w:t>
            </w:r>
            <w:r w:rsidR="00EE4557" w:rsidRPr="00EE4557">
              <w:rPr>
                <w:rFonts w:ascii="Arial Narrow" w:hAnsi="Arial Narrow"/>
                <w:noProof/>
                <w:webHidden/>
                <w:sz w:val="20"/>
                <w:szCs w:val="20"/>
              </w:rPr>
              <w:tab/>
            </w:r>
            <w:r w:rsidR="00EE4557" w:rsidRPr="00EE4557">
              <w:rPr>
                <w:rFonts w:ascii="Arial Narrow" w:hAnsi="Arial Narrow"/>
                <w:noProof/>
                <w:webHidden/>
                <w:sz w:val="20"/>
                <w:szCs w:val="20"/>
              </w:rPr>
              <w:fldChar w:fldCharType="begin"/>
            </w:r>
            <w:r w:rsidR="00EE4557" w:rsidRPr="00EE4557">
              <w:rPr>
                <w:rFonts w:ascii="Arial Narrow" w:hAnsi="Arial Narrow"/>
                <w:noProof/>
                <w:webHidden/>
                <w:sz w:val="20"/>
                <w:szCs w:val="20"/>
              </w:rPr>
              <w:instrText xml:space="preserve"> PAGEREF _Toc210747655 \h </w:instrText>
            </w:r>
            <w:r w:rsidR="00EE4557" w:rsidRPr="00EE4557">
              <w:rPr>
                <w:rFonts w:ascii="Arial Narrow" w:hAnsi="Arial Narrow"/>
                <w:noProof/>
                <w:webHidden/>
                <w:sz w:val="20"/>
                <w:szCs w:val="20"/>
              </w:rPr>
            </w:r>
            <w:r w:rsidR="00EE4557" w:rsidRPr="00EE4557">
              <w:rPr>
                <w:rFonts w:ascii="Arial Narrow" w:hAnsi="Arial Narrow"/>
                <w:noProof/>
                <w:webHidden/>
                <w:sz w:val="20"/>
                <w:szCs w:val="20"/>
              </w:rPr>
              <w:fldChar w:fldCharType="separate"/>
            </w:r>
            <w:r w:rsidR="00211D64">
              <w:rPr>
                <w:rFonts w:ascii="Arial Narrow" w:hAnsi="Arial Narrow"/>
                <w:noProof/>
                <w:webHidden/>
                <w:sz w:val="20"/>
                <w:szCs w:val="20"/>
              </w:rPr>
              <w:t>193</w:t>
            </w:r>
            <w:r w:rsidR="00EE4557" w:rsidRPr="00EE4557">
              <w:rPr>
                <w:rFonts w:ascii="Arial Narrow" w:hAnsi="Arial Narrow"/>
                <w:noProof/>
                <w:webHidden/>
                <w:sz w:val="20"/>
                <w:szCs w:val="20"/>
              </w:rPr>
              <w:fldChar w:fldCharType="end"/>
            </w:r>
          </w:hyperlink>
        </w:p>
        <w:p w14:paraId="1C2FD8A9" w14:textId="77777777" w:rsidR="00EE4557" w:rsidRPr="00EE4557" w:rsidRDefault="00816B15">
          <w:pPr>
            <w:pStyle w:val="TOC1"/>
            <w:rPr>
              <w:rFonts w:ascii="Arial Narrow" w:eastAsiaTheme="minorEastAsia" w:hAnsi="Arial Narrow" w:cstheme="minorBidi"/>
              <w:noProof/>
              <w:sz w:val="20"/>
              <w:szCs w:val="20"/>
            </w:rPr>
          </w:pPr>
          <w:hyperlink w:anchor="_Toc210747656" w:history="1">
            <w:r w:rsidR="00EE4557" w:rsidRPr="00EE4557">
              <w:rPr>
                <w:rStyle w:val="Hyperlink"/>
                <w:rFonts w:ascii="Arial Narrow" w:hAnsi="Arial Narrow"/>
                <w:noProof/>
                <w:sz w:val="20"/>
                <w:szCs w:val="20"/>
                <w:lang w:val="bg-BG" w:eastAsia="bg-BG"/>
              </w:rPr>
              <w:t>9.1.</w:t>
            </w:r>
            <w:r w:rsidR="00EE4557" w:rsidRPr="00EE4557">
              <w:rPr>
                <w:rFonts w:ascii="Arial Narrow" w:eastAsiaTheme="minorEastAsia" w:hAnsi="Arial Narrow" w:cstheme="minorBidi"/>
                <w:noProof/>
                <w:sz w:val="20"/>
                <w:szCs w:val="20"/>
              </w:rPr>
              <w:tab/>
            </w:r>
            <w:r w:rsidR="00EE4557" w:rsidRPr="00EE4557">
              <w:rPr>
                <w:rStyle w:val="Hyperlink"/>
                <w:rFonts w:ascii="Arial Narrow" w:eastAsiaTheme="minorHAnsi" w:hAnsi="Arial Narrow"/>
                <w:noProof/>
                <w:sz w:val="20"/>
                <w:szCs w:val="20"/>
                <w:lang w:val="bg-BG"/>
              </w:rPr>
              <w:t>Активни</w:t>
            </w:r>
            <w:r w:rsidR="00EE4557" w:rsidRPr="00EE4557">
              <w:rPr>
                <w:rStyle w:val="Hyperlink"/>
                <w:rFonts w:ascii="Arial Narrow" w:hAnsi="Arial Narrow"/>
                <w:noProof/>
                <w:sz w:val="20"/>
                <w:szCs w:val="20"/>
                <w:lang w:val="bg-BG" w:eastAsia="bg-BG"/>
              </w:rPr>
              <w:t xml:space="preserve"> въздействия с ракетен способ</w:t>
            </w:r>
            <w:r w:rsidR="00EE4557" w:rsidRPr="00EE4557">
              <w:rPr>
                <w:rFonts w:ascii="Arial Narrow" w:hAnsi="Arial Narrow"/>
                <w:noProof/>
                <w:webHidden/>
                <w:sz w:val="20"/>
                <w:szCs w:val="20"/>
              </w:rPr>
              <w:tab/>
            </w:r>
            <w:r w:rsidR="00EE4557" w:rsidRPr="00EE4557">
              <w:rPr>
                <w:rFonts w:ascii="Arial Narrow" w:hAnsi="Arial Narrow"/>
                <w:noProof/>
                <w:webHidden/>
                <w:sz w:val="20"/>
                <w:szCs w:val="20"/>
              </w:rPr>
              <w:fldChar w:fldCharType="begin"/>
            </w:r>
            <w:r w:rsidR="00EE4557" w:rsidRPr="00EE4557">
              <w:rPr>
                <w:rFonts w:ascii="Arial Narrow" w:hAnsi="Arial Narrow"/>
                <w:noProof/>
                <w:webHidden/>
                <w:sz w:val="20"/>
                <w:szCs w:val="20"/>
              </w:rPr>
              <w:instrText xml:space="preserve"> PAGEREF _Toc210747656 \h </w:instrText>
            </w:r>
            <w:r w:rsidR="00EE4557" w:rsidRPr="00EE4557">
              <w:rPr>
                <w:rFonts w:ascii="Arial Narrow" w:hAnsi="Arial Narrow"/>
                <w:noProof/>
                <w:webHidden/>
                <w:sz w:val="20"/>
                <w:szCs w:val="20"/>
              </w:rPr>
            </w:r>
            <w:r w:rsidR="00EE4557" w:rsidRPr="00EE4557">
              <w:rPr>
                <w:rFonts w:ascii="Arial Narrow" w:hAnsi="Arial Narrow"/>
                <w:noProof/>
                <w:webHidden/>
                <w:sz w:val="20"/>
                <w:szCs w:val="20"/>
              </w:rPr>
              <w:fldChar w:fldCharType="separate"/>
            </w:r>
            <w:r w:rsidR="00211D64">
              <w:rPr>
                <w:rFonts w:ascii="Arial Narrow" w:hAnsi="Arial Narrow"/>
                <w:noProof/>
                <w:webHidden/>
                <w:sz w:val="20"/>
                <w:szCs w:val="20"/>
              </w:rPr>
              <w:t>194</w:t>
            </w:r>
            <w:r w:rsidR="00EE4557" w:rsidRPr="00EE4557">
              <w:rPr>
                <w:rFonts w:ascii="Arial Narrow" w:hAnsi="Arial Narrow"/>
                <w:noProof/>
                <w:webHidden/>
                <w:sz w:val="20"/>
                <w:szCs w:val="20"/>
              </w:rPr>
              <w:fldChar w:fldCharType="end"/>
            </w:r>
          </w:hyperlink>
        </w:p>
        <w:p w14:paraId="729786A9" w14:textId="77777777" w:rsidR="00EE4557" w:rsidRPr="00EE4557" w:rsidRDefault="00816B15">
          <w:pPr>
            <w:pStyle w:val="TOC1"/>
            <w:rPr>
              <w:rFonts w:ascii="Arial Narrow" w:eastAsiaTheme="minorEastAsia" w:hAnsi="Arial Narrow" w:cstheme="minorBidi"/>
              <w:noProof/>
              <w:sz w:val="20"/>
              <w:szCs w:val="20"/>
            </w:rPr>
          </w:pPr>
          <w:hyperlink w:anchor="_Toc210747657" w:history="1">
            <w:r w:rsidR="00EE4557" w:rsidRPr="00EE4557">
              <w:rPr>
                <w:rStyle w:val="Hyperlink"/>
                <w:rFonts w:ascii="Arial Narrow" w:hAnsi="Arial Narrow"/>
                <w:bCs/>
                <w:noProof/>
                <w:sz w:val="20"/>
                <w:szCs w:val="20"/>
                <w:lang w:val="bg-BG" w:eastAsia="bg-BG"/>
              </w:rPr>
              <w:t>9.2.</w:t>
            </w:r>
            <w:r w:rsidR="00EE4557" w:rsidRPr="00EE4557">
              <w:rPr>
                <w:rFonts w:ascii="Arial Narrow" w:eastAsiaTheme="minorEastAsia" w:hAnsi="Arial Narrow" w:cstheme="minorBidi"/>
                <w:noProof/>
                <w:sz w:val="20"/>
                <w:szCs w:val="20"/>
              </w:rPr>
              <w:tab/>
            </w:r>
            <w:r w:rsidR="00EE4557" w:rsidRPr="00EE4557">
              <w:rPr>
                <w:rStyle w:val="Hyperlink"/>
                <w:rFonts w:ascii="Arial Narrow" w:hAnsi="Arial Narrow"/>
                <w:bCs/>
                <w:noProof/>
                <w:sz w:val="20"/>
                <w:szCs w:val="20"/>
                <w:lang w:val="bg-BG" w:eastAsia="bg-BG"/>
              </w:rPr>
              <w:t>Активни въздействия със самолетен способ</w:t>
            </w:r>
            <w:r w:rsidR="00EE4557" w:rsidRPr="00EE4557">
              <w:rPr>
                <w:rFonts w:ascii="Arial Narrow" w:hAnsi="Arial Narrow"/>
                <w:noProof/>
                <w:webHidden/>
                <w:sz w:val="20"/>
                <w:szCs w:val="20"/>
              </w:rPr>
              <w:tab/>
            </w:r>
            <w:r w:rsidR="00EE4557" w:rsidRPr="00EE4557">
              <w:rPr>
                <w:rFonts w:ascii="Arial Narrow" w:hAnsi="Arial Narrow"/>
                <w:noProof/>
                <w:webHidden/>
                <w:sz w:val="20"/>
                <w:szCs w:val="20"/>
              </w:rPr>
              <w:fldChar w:fldCharType="begin"/>
            </w:r>
            <w:r w:rsidR="00EE4557" w:rsidRPr="00EE4557">
              <w:rPr>
                <w:rFonts w:ascii="Arial Narrow" w:hAnsi="Arial Narrow"/>
                <w:noProof/>
                <w:webHidden/>
                <w:sz w:val="20"/>
                <w:szCs w:val="20"/>
              </w:rPr>
              <w:instrText xml:space="preserve"> PAGEREF _Toc210747657 \h </w:instrText>
            </w:r>
            <w:r w:rsidR="00EE4557" w:rsidRPr="00EE4557">
              <w:rPr>
                <w:rFonts w:ascii="Arial Narrow" w:hAnsi="Arial Narrow"/>
                <w:noProof/>
                <w:webHidden/>
                <w:sz w:val="20"/>
                <w:szCs w:val="20"/>
              </w:rPr>
            </w:r>
            <w:r w:rsidR="00EE4557" w:rsidRPr="00EE4557">
              <w:rPr>
                <w:rFonts w:ascii="Arial Narrow" w:hAnsi="Arial Narrow"/>
                <w:noProof/>
                <w:webHidden/>
                <w:sz w:val="20"/>
                <w:szCs w:val="20"/>
              </w:rPr>
              <w:fldChar w:fldCharType="separate"/>
            </w:r>
            <w:r w:rsidR="00211D64">
              <w:rPr>
                <w:rFonts w:ascii="Arial Narrow" w:hAnsi="Arial Narrow"/>
                <w:noProof/>
                <w:webHidden/>
                <w:sz w:val="20"/>
                <w:szCs w:val="20"/>
              </w:rPr>
              <w:t>196</w:t>
            </w:r>
            <w:r w:rsidR="00EE4557" w:rsidRPr="00EE4557">
              <w:rPr>
                <w:rFonts w:ascii="Arial Narrow" w:hAnsi="Arial Narrow"/>
                <w:noProof/>
                <w:webHidden/>
                <w:sz w:val="20"/>
                <w:szCs w:val="20"/>
              </w:rPr>
              <w:fldChar w:fldCharType="end"/>
            </w:r>
          </w:hyperlink>
        </w:p>
        <w:p w14:paraId="3A15F53C" w14:textId="77777777" w:rsidR="00EE4557" w:rsidRPr="00EE4557" w:rsidRDefault="00816B15">
          <w:pPr>
            <w:pStyle w:val="TOC1"/>
            <w:rPr>
              <w:rFonts w:ascii="Arial Narrow" w:eastAsiaTheme="minorEastAsia" w:hAnsi="Arial Narrow" w:cstheme="minorBidi"/>
              <w:noProof/>
              <w:sz w:val="20"/>
              <w:szCs w:val="20"/>
            </w:rPr>
          </w:pPr>
          <w:hyperlink w:anchor="_Toc210747658" w:history="1">
            <w:r w:rsidR="00EE4557" w:rsidRPr="00EE4557">
              <w:rPr>
                <w:rStyle w:val="Hyperlink"/>
                <w:rFonts w:ascii="Arial Narrow" w:eastAsiaTheme="minorHAnsi" w:hAnsi="Arial Narrow"/>
                <w:noProof/>
                <w:sz w:val="20"/>
                <w:szCs w:val="20"/>
                <w:lang w:val="bg-BG"/>
              </w:rPr>
              <w:t>10.</w:t>
            </w:r>
            <w:r w:rsidR="00EE4557" w:rsidRPr="00EE4557">
              <w:rPr>
                <w:rFonts w:ascii="Arial Narrow" w:eastAsiaTheme="minorEastAsia" w:hAnsi="Arial Narrow" w:cstheme="minorBidi"/>
                <w:noProof/>
                <w:sz w:val="20"/>
                <w:szCs w:val="20"/>
              </w:rPr>
              <w:tab/>
            </w:r>
            <w:r w:rsidR="00EE4557" w:rsidRPr="00EE4557">
              <w:rPr>
                <w:rStyle w:val="Hyperlink"/>
                <w:rFonts w:ascii="Arial Narrow" w:eastAsiaTheme="minorHAnsi" w:hAnsi="Arial Narrow"/>
                <w:noProof/>
                <w:sz w:val="20"/>
                <w:szCs w:val="20"/>
                <w:lang w:val="bg-BG"/>
              </w:rPr>
              <w:t>Намаляване на регулаторната и административна тежест за бизнеса</w:t>
            </w:r>
            <w:r w:rsidR="00EE4557" w:rsidRPr="00EE4557">
              <w:rPr>
                <w:rFonts w:ascii="Arial Narrow" w:hAnsi="Arial Narrow"/>
                <w:noProof/>
                <w:webHidden/>
                <w:sz w:val="20"/>
                <w:szCs w:val="20"/>
              </w:rPr>
              <w:tab/>
            </w:r>
            <w:r w:rsidR="00EE4557" w:rsidRPr="00EE4557">
              <w:rPr>
                <w:rFonts w:ascii="Arial Narrow" w:hAnsi="Arial Narrow"/>
                <w:noProof/>
                <w:webHidden/>
                <w:sz w:val="20"/>
                <w:szCs w:val="20"/>
              </w:rPr>
              <w:fldChar w:fldCharType="begin"/>
            </w:r>
            <w:r w:rsidR="00EE4557" w:rsidRPr="00EE4557">
              <w:rPr>
                <w:rFonts w:ascii="Arial Narrow" w:hAnsi="Arial Narrow"/>
                <w:noProof/>
                <w:webHidden/>
                <w:sz w:val="20"/>
                <w:szCs w:val="20"/>
              </w:rPr>
              <w:instrText xml:space="preserve"> PAGEREF _Toc210747658 \h </w:instrText>
            </w:r>
            <w:r w:rsidR="00EE4557" w:rsidRPr="00EE4557">
              <w:rPr>
                <w:rFonts w:ascii="Arial Narrow" w:hAnsi="Arial Narrow"/>
                <w:noProof/>
                <w:webHidden/>
                <w:sz w:val="20"/>
                <w:szCs w:val="20"/>
              </w:rPr>
            </w:r>
            <w:r w:rsidR="00EE4557" w:rsidRPr="00EE4557">
              <w:rPr>
                <w:rFonts w:ascii="Arial Narrow" w:hAnsi="Arial Narrow"/>
                <w:noProof/>
                <w:webHidden/>
                <w:sz w:val="20"/>
                <w:szCs w:val="20"/>
              </w:rPr>
              <w:fldChar w:fldCharType="separate"/>
            </w:r>
            <w:r w:rsidR="00211D64">
              <w:rPr>
                <w:rFonts w:ascii="Arial Narrow" w:hAnsi="Arial Narrow"/>
                <w:noProof/>
                <w:webHidden/>
                <w:sz w:val="20"/>
                <w:szCs w:val="20"/>
              </w:rPr>
              <w:t>198</w:t>
            </w:r>
            <w:r w:rsidR="00EE4557" w:rsidRPr="00EE4557">
              <w:rPr>
                <w:rFonts w:ascii="Arial Narrow" w:hAnsi="Arial Narrow"/>
                <w:noProof/>
                <w:webHidden/>
                <w:sz w:val="20"/>
                <w:szCs w:val="20"/>
              </w:rPr>
              <w:fldChar w:fldCharType="end"/>
            </w:r>
          </w:hyperlink>
        </w:p>
        <w:p w14:paraId="776DD1BD" w14:textId="77777777" w:rsidR="00EE4557" w:rsidRPr="00EE4557" w:rsidRDefault="00816B15">
          <w:pPr>
            <w:pStyle w:val="TOC1"/>
            <w:rPr>
              <w:rFonts w:ascii="Arial Narrow" w:eastAsiaTheme="minorEastAsia" w:hAnsi="Arial Narrow" w:cstheme="minorBidi"/>
              <w:noProof/>
              <w:sz w:val="20"/>
              <w:szCs w:val="20"/>
            </w:rPr>
          </w:pPr>
          <w:hyperlink w:anchor="_Toc210747659" w:history="1">
            <w:r w:rsidR="00EE4557" w:rsidRPr="00EE4557">
              <w:rPr>
                <w:rStyle w:val="Hyperlink"/>
                <w:rFonts w:ascii="Arial Narrow" w:eastAsia="Calibri" w:hAnsi="Arial Narrow"/>
                <w:noProof/>
                <w:sz w:val="20"/>
                <w:szCs w:val="20"/>
                <w:lang w:val="bg-BG"/>
              </w:rPr>
              <w:t>10.1.</w:t>
            </w:r>
            <w:r w:rsidR="00EE4557" w:rsidRPr="00EE4557">
              <w:rPr>
                <w:rFonts w:ascii="Arial Narrow" w:eastAsiaTheme="minorEastAsia" w:hAnsi="Arial Narrow" w:cstheme="minorBidi"/>
                <w:noProof/>
                <w:sz w:val="20"/>
                <w:szCs w:val="20"/>
              </w:rPr>
              <w:tab/>
            </w:r>
            <w:r w:rsidR="00EE4557" w:rsidRPr="00EE4557">
              <w:rPr>
                <w:rStyle w:val="Hyperlink"/>
                <w:rFonts w:ascii="Arial Narrow" w:eastAsia="Calibri" w:hAnsi="Arial Narrow"/>
                <w:noProof/>
                <w:sz w:val="20"/>
                <w:szCs w:val="20"/>
                <w:lang w:val="bg-BG"/>
              </w:rPr>
              <w:t>Прилагани регулаторни режими в системата на МЗХ</w:t>
            </w:r>
            <w:r w:rsidR="00EE4557" w:rsidRPr="00EE4557">
              <w:rPr>
                <w:rFonts w:ascii="Arial Narrow" w:hAnsi="Arial Narrow"/>
                <w:noProof/>
                <w:webHidden/>
                <w:sz w:val="20"/>
                <w:szCs w:val="20"/>
              </w:rPr>
              <w:tab/>
            </w:r>
            <w:r w:rsidR="00EE4557" w:rsidRPr="00EE4557">
              <w:rPr>
                <w:rFonts w:ascii="Arial Narrow" w:hAnsi="Arial Narrow"/>
                <w:noProof/>
                <w:webHidden/>
                <w:sz w:val="20"/>
                <w:szCs w:val="20"/>
              </w:rPr>
              <w:fldChar w:fldCharType="begin"/>
            </w:r>
            <w:r w:rsidR="00EE4557" w:rsidRPr="00EE4557">
              <w:rPr>
                <w:rFonts w:ascii="Arial Narrow" w:hAnsi="Arial Narrow"/>
                <w:noProof/>
                <w:webHidden/>
                <w:sz w:val="20"/>
                <w:szCs w:val="20"/>
              </w:rPr>
              <w:instrText xml:space="preserve"> PAGEREF _Toc210747659 \h </w:instrText>
            </w:r>
            <w:r w:rsidR="00EE4557" w:rsidRPr="00EE4557">
              <w:rPr>
                <w:rFonts w:ascii="Arial Narrow" w:hAnsi="Arial Narrow"/>
                <w:noProof/>
                <w:webHidden/>
                <w:sz w:val="20"/>
                <w:szCs w:val="20"/>
              </w:rPr>
            </w:r>
            <w:r w:rsidR="00EE4557" w:rsidRPr="00EE4557">
              <w:rPr>
                <w:rFonts w:ascii="Arial Narrow" w:hAnsi="Arial Narrow"/>
                <w:noProof/>
                <w:webHidden/>
                <w:sz w:val="20"/>
                <w:szCs w:val="20"/>
              </w:rPr>
              <w:fldChar w:fldCharType="separate"/>
            </w:r>
            <w:r w:rsidR="00211D64">
              <w:rPr>
                <w:rFonts w:ascii="Arial Narrow" w:hAnsi="Arial Narrow"/>
                <w:noProof/>
                <w:webHidden/>
                <w:sz w:val="20"/>
                <w:szCs w:val="20"/>
              </w:rPr>
              <w:t>198</w:t>
            </w:r>
            <w:r w:rsidR="00EE4557" w:rsidRPr="00EE4557">
              <w:rPr>
                <w:rFonts w:ascii="Arial Narrow" w:hAnsi="Arial Narrow"/>
                <w:noProof/>
                <w:webHidden/>
                <w:sz w:val="20"/>
                <w:szCs w:val="20"/>
              </w:rPr>
              <w:fldChar w:fldCharType="end"/>
            </w:r>
          </w:hyperlink>
        </w:p>
        <w:p w14:paraId="4B1442C9" w14:textId="77777777" w:rsidR="00EE4557" w:rsidRPr="00EE4557" w:rsidRDefault="00816B15">
          <w:pPr>
            <w:pStyle w:val="TOC1"/>
            <w:rPr>
              <w:rFonts w:ascii="Arial Narrow" w:eastAsiaTheme="minorEastAsia" w:hAnsi="Arial Narrow" w:cstheme="minorBidi"/>
              <w:noProof/>
              <w:sz w:val="20"/>
              <w:szCs w:val="20"/>
            </w:rPr>
          </w:pPr>
          <w:hyperlink w:anchor="_Toc210747660" w:history="1">
            <w:r w:rsidR="00EE4557" w:rsidRPr="00EE4557">
              <w:rPr>
                <w:rStyle w:val="Hyperlink"/>
                <w:rFonts w:ascii="Arial Narrow" w:eastAsia="Calibri" w:hAnsi="Arial Narrow"/>
                <w:noProof/>
                <w:sz w:val="20"/>
                <w:szCs w:val="20"/>
                <w:lang w:val="bg-BG"/>
              </w:rPr>
              <w:t>10.2.</w:t>
            </w:r>
            <w:r w:rsidR="00EE4557" w:rsidRPr="00EE4557">
              <w:rPr>
                <w:rFonts w:ascii="Arial Narrow" w:eastAsiaTheme="minorEastAsia" w:hAnsi="Arial Narrow" w:cstheme="minorBidi"/>
                <w:noProof/>
                <w:sz w:val="20"/>
                <w:szCs w:val="20"/>
              </w:rPr>
              <w:tab/>
            </w:r>
            <w:r w:rsidR="00EE4557" w:rsidRPr="00EE4557">
              <w:rPr>
                <w:rStyle w:val="Hyperlink"/>
                <w:rFonts w:ascii="Arial Narrow" w:eastAsia="Calibri" w:hAnsi="Arial Narrow"/>
                <w:noProof/>
                <w:sz w:val="20"/>
                <w:szCs w:val="20"/>
                <w:lang w:val="bg-BG"/>
              </w:rPr>
              <w:t>Предприети през 2024 г. мерки за намаляване на регулаторната и административната тежест за бизнеса</w:t>
            </w:r>
            <w:r w:rsidR="00EE4557" w:rsidRPr="00EE4557">
              <w:rPr>
                <w:rFonts w:ascii="Arial Narrow" w:hAnsi="Arial Narrow"/>
                <w:noProof/>
                <w:webHidden/>
                <w:sz w:val="20"/>
                <w:szCs w:val="20"/>
              </w:rPr>
              <w:tab/>
            </w:r>
            <w:r w:rsidR="00EE4557" w:rsidRPr="00EE4557">
              <w:rPr>
                <w:rFonts w:ascii="Arial Narrow" w:hAnsi="Arial Narrow"/>
                <w:noProof/>
                <w:webHidden/>
                <w:sz w:val="20"/>
                <w:szCs w:val="20"/>
              </w:rPr>
              <w:fldChar w:fldCharType="begin"/>
            </w:r>
            <w:r w:rsidR="00EE4557" w:rsidRPr="00EE4557">
              <w:rPr>
                <w:rFonts w:ascii="Arial Narrow" w:hAnsi="Arial Narrow"/>
                <w:noProof/>
                <w:webHidden/>
                <w:sz w:val="20"/>
                <w:szCs w:val="20"/>
              </w:rPr>
              <w:instrText xml:space="preserve"> PAGEREF _Toc210747660 \h </w:instrText>
            </w:r>
            <w:r w:rsidR="00EE4557" w:rsidRPr="00EE4557">
              <w:rPr>
                <w:rFonts w:ascii="Arial Narrow" w:hAnsi="Arial Narrow"/>
                <w:noProof/>
                <w:webHidden/>
                <w:sz w:val="20"/>
                <w:szCs w:val="20"/>
              </w:rPr>
            </w:r>
            <w:r w:rsidR="00EE4557" w:rsidRPr="00EE4557">
              <w:rPr>
                <w:rFonts w:ascii="Arial Narrow" w:hAnsi="Arial Narrow"/>
                <w:noProof/>
                <w:webHidden/>
                <w:sz w:val="20"/>
                <w:szCs w:val="20"/>
              </w:rPr>
              <w:fldChar w:fldCharType="separate"/>
            </w:r>
            <w:r w:rsidR="00211D64">
              <w:rPr>
                <w:rFonts w:ascii="Arial Narrow" w:hAnsi="Arial Narrow"/>
                <w:noProof/>
                <w:webHidden/>
                <w:sz w:val="20"/>
                <w:szCs w:val="20"/>
              </w:rPr>
              <w:t>199</w:t>
            </w:r>
            <w:r w:rsidR="00EE4557" w:rsidRPr="00EE4557">
              <w:rPr>
                <w:rFonts w:ascii="Arial Narrow" w:hAnsi="Arial Narrow"/>
                <w:noProof/>
                <w:webHidden/>
                <w:sz w:val="20"/>
                <w:szCs w:val="20"/>
              </w:rPr>
              <w:fldChar w:fldCharType="end"/>
            </w:r>
          </w:hyperlink>
        </w:p>
        <w:p w14:paraId="6352EE10" w14:textId="77777777" w:rsidR="00EE4557" w:rsidRPr="00EE4557" w:rsidRDefault="00816B15">
          <w:pPr>
            <w:pStyle w:val="TOC1"/>
            <w:rPr>
              <w:rFonts w:ascii="Arial Narrow" w:eastAsiaTheme="minorEastAsia" w:hAnsi="Arial Narrow" w:cstheme="minorBidi"/>
              <w:noProof/>
              <w:sz w:val="20"/>
              <w:szCs w:val="20"/>
            </w:rPr>
          </w:pPr>
          <w:hyperlink w:anchor="_Toc210747661" w:history="1">
            <w:r w:rsidR="00EE4557" w:rsidRPr="00EE4557">
              <w:rPr>
                <w:rStyle w:val="Hyperlink"/>
                <w:rFonts w:ascii="Arial Narrow" w:eastAsiaTheme="minorHAnsi" w:hAnsi="Arial Narrow"/>
                <w:noProof/>
                <w:sz w:val="20"/>
                <w:szCs w:val="20"/>
                <w:lang w:val="bg-BG"/>
              </w:rPr>
              <w:t>11.</w:t>
            </w:r>
            <w:r w:rsidR="00EE4557" w:rsidRPr="00EE4557">
              <w:rPr>
                <w:rFonts w:ascii="Arial Narrow" w:eastAsiaTheme="minorEastAsia" w:hAnsi="Arial Narrow" w:cstheme="minorBidi"/>
                <w:noProof/>
                <w:sz w:val="20"/>
                <w:szCs w:val="20"/>
              </w:rPr>
              <w:tab/>
            </w:r>
            <w:r w:rsidR="00EE4557" w:rsidRPr="00EE4557">
              <w:rPr>
                <w:rStyle w:val="Hyperlink"/>
                <w:rFonts w:ascii="Arial Narrow" w:eastAsiaTheme="minorHAnsi" w:hAnsi="Arial Narrow"/>
                <w:noProof/>
                <w:sz w:val="20"/>
                <w:szCs w:val="20"/>
                <w:lang w:val="bg-BG"/>
              </w:rPr>
              <w:t>Управление на рисковете и кризите в земеделието</w:t>
            </w:r>
            <w:r w:rsidR="00EE4557" w:rsidRPr="00EE4557">
              <w:rPr>
                <w:rFonts w:ascii="Arial Narrow" w:hAnsi="Arial Narrow"/>
                <w:noProof/>
                <w:webHidden/>
                <w:sz w:val="20"/>
                <w:szCs w:val="20"/>
              </w:rPr>
              <w:tab/>
            </w:r>
            <w:r w:rsidR="00EE4557" w:rsidRPr="00EE4557">
              <w:rPr>
                <w:rFonts w:ascii="Arial Narrow" w:hAnsi="Arial Narrow"/>
                <w:noProof/>
                <w:webHidden/>
                <w:sz w:val="20"/>
                <w:szCs w:val="20"/>
              </w:rPr>
              <w:fldChar w:fldCharType="begin"/>
            </w:r>
            <w:r w:rsidR="00EE4557" w:rsidRPr="00EE4557">
              <w:rPr>
                <w:rFonts w:ascii="Arial Narrow" w:hAnsi="Arial Narrow"/>
                <w:noProof/>
                <w:webHidden/>
                <w:sz w:val="20"/>
                <w:szCs w:val="20"/>
              </w:rPr>
              <w:instrText xml:space="preserve"> PAGEREF _Toc210747661 \h </w:instrText>
            </w:r>
            <w:r w:rsidR="00EE4557" w:rsidRPr="00EE4557">
              <w:rPr>
                <w:rFonts w:ascii="Arial Narrow" w:hAnsi="Arial Narrow"/>
                <w:noProof/>
                <w:webHidden/>
                <w:sz w:val="20"/>
                <w:szCs w:val="20"/>
              </w:rPr>
            </w:r>
            <w:r w:rsidR="00EE4557" w:rsidRPr="00EE4557">
              <w:rPr>
                <w:rFonts w:ascii="Arial Narrow" w:hAnsi="Arial Narrow"/>
                <w:noProof/>
                <w:webHidden/>
                <w:sz w:val="20"/>
                <w:szCs w:val="20"/>
              </w:rPr>
              <w:fldChar w:fldCharType="separate"/>
            </w:r>
            <w:r w:rsidR="00211D64">
              <w:rPr>
                <w:rFonts w:ascii="Arial Narrow" w:hAnsi="Arial Narrow"/>
                <w:noProof/>
                <w:webHidden/>
                <w:sz w:val="20"/>
                <w:szCs w:val="20"/>
              </w:rPr>
              <w:t>199</w:t>
            </w:r>
            <w:r w:rsidR="00EE4557" w:rsidRPr="00EE4557">
              <w:rPr>
                <w:rFonts w:ascii="Arial Narrow" w:hAnsi="Arial Narrow"/>
                <w:noProof/>
                <w:webHidden/>
                <w:sz w:val="20"/>
                <w:szCs w:val="20"/>
              </w:rPr>
              <w:fldChar w:fldCharType="end"/>
            </w:r>
          </w:hyperlink>
        </w:p>
        <w:p w14:paraId="7F83BBDE" w14:textId="77777777" w:rsidR="00EE4557" w:rsidRPr="00EE4557" w:rsidRDefault="00816B15">
          <w:pPr>
            <w:pStyle w:val="TOC1"/>
            <w:rPr>
              <w:rFonts w:ascii="Arial Narrow" w:eastAsiaTheme="minorEastAsia" w:hAnsi="Arial Narrow" w:cstheme="minorBidi"/>
              <w:noProof/>
              <w:sz w:val="20"/>
              <w:szCs w:val="20"/>
            </w:rPr>
          </w:pPr>
          <w:hyperlink w:anchor="_Toc210747662" w:history="1">
            <w:r w:rsidR="00EE4557" w:rsidRPr="00EE4557">
              <w:rPr>
                <w:rStyle w:val="Hyperlink"/>
                <w:rFonts w:ascii="Arial Narrow" w:hAnsi="Arial Narrow"/>
                <w:noProof/>
                <w:sz w:val="20"/>
                <w:szCs w:val="20"/>
                <w:lang w:val="bg-BG"/>
              </w:rPr>
              <w:t>11.1.</w:t>
            </w:r>
            <w:r w:rsidR="00EE4557" w:rsidRPr="00EE4557">
              <w:rPr>
                <w:rFonts w:ascii="Arial Narrow" w:eastAsiaTheme="minorEastAsia" w:hAnsi="Arial Narrow" w:cstheme="minorBidi"/>
                <w:noProof/>
                <w:sz w:val="20"/>
                <w:szCs w:val="20"/>
              </w:rPr>
              <w:tab/>
            </w:r>
            <w:r w:rsidR="00EE4557" w:rsidRPr="00EE4557">
              <w:rPr>
                <w:rStyle w:val="Hyperlink"/>
                <w:rFonts w:ascii="Arial Narrow" w:hAnsi="Arial Narrow"/>
                <w:noProof/>
                <w:sz w:val="20"/>
                <w:szCs w:val="20"/>
                <w:lang w:val="bg-BG"/>
              </w:rPr>
              <w:t>Санитарни рискове</w:t>
            </w:r>
            <w:r w:rsidR="00EE4557" w:rsidRPr="00EE4557">
              <w:rPr>
                <w:rFonts w:ascii="Arial Narrow" w:hAnsi="Arial Narrow"/>
                <w:noProof/>
                <w:webHidden/>
                <w:sz w:val="20"/>
                <w:szCs w:val="20"/>
              </w:rPr>
              <w:tab/>
            </w:r>
            <w:r w:rsidR="00EE4557" w:rsidRPr="00EE4557">
              <w:rPr>
                <w:rFonts w:ascii="Arial Narrow" w:hAnsi="Arial Narrow"/>
                <w:noProof/>
                <w:webHidden/>
                <w:sz w:val="20"/>
                <w:szCs w:val="20"/>
              </w:rPr>
              <w:fldChar w:fldCharType="begin"/>
            </w:r>
            <w:r w:rsidR="00EE4557" w:rsidRPr="00EE4557">
              <w:rPr>
                <w:rFonts w:ascii="Arial Narrow" w:hAnsi="Arial Narrow"/>
                <w:noProof/>
                <w:webHidden/>
                <w:sz w:val="20"/>
                <w:szCs w:val="20"/>
              </w:rPr>
              <w:instrText xml:space="preserve"> PAGEREF _Toc210747662 \h </w:instrText>
            </w:r>
            <w:r w:rsidR="00EE4557" w:rsidRPr="00EE4557">
              <w:rPr>
                <w:rFonts w:ascii="Arial Narrow" w:hAnsi="Arial Narrow"/>
                <w:noProof/>
                <w:webHidden/>
                <w:sz w:val="20"/>
                <w:szCs w:val="20"/>
              </w:rPr>
            </w:r>
            <w:r w:rsidR="00EE4557" w:rsidRPr="00EE4557">
              <w:rPr>
                <w:rFonts w:ascii="Arial Narrow" w:hAnsi="Arial Narrow"/>
                <w:noProof/>
                <w:webHidden/>
                <w:sz w:val="20"/>
                <w:szCs w:val="20"/>
              </w:rPr>
              <w:fldChar w:fldCharType="separate"/>
            </w:r>
            <w:r w:rsidR="00211D64">
              <w:rPr>
                <w:rFonts w:ascii="Arial Narrow" w:hAnsi="Arial Narrow"/>
                <w:noProof/>
                <w:webHidden/>
                <w:sz w:val="20"/>
                <w:szCs w:val="20"/>
              </w:rPr>
              <w:t>200</w:t>
            </w:r>
            <w:r w:rsidR="00EE4557" w:rsidRPr="00EE4557">
              <w:rPr>
                <w:rFonts w:ascii="Arial Narrow" w:hAnsi="Arial Narrow"/>
                <w:noProof/>
                <w:webHidden/>
                <w:sz w:val="20"/>
                <w:szCs w:val="20"/>
              </w:rPr>
              <w:fldChar w:fldCharType="end"/>
            </w:r>
          </w:hyperlink>
        </w:p>
        <w:p w14:paraId="7BCB2E9A" w14:textId="77777777" w:rsidR="00EE4557" w:rsidRPr="00EE4557" w:rsidRDefault="00816B15">
          <w:pPr>
            <w:pStyle w:val="TOC1"/>
            <w:rPr>
              <w:rFonts w:ascii="Arial Narrow" w:eastAsiaTheme="minorEastAsia" w:hAnsi="Arial Narrow" w:cstheme="minorBidi"/>
              <w:noProof/>
              <w:sz w:val="20"/>
              <w:szCs w:val="20"/>
            </w:rPr>
          </w:pPr>
          <w:hyperlink w:anchor="_Toc210747663" w:history="1">
            <w:r w:rsidR="00EE4557" w:rsidRPr="00EE4557">
              <w:rPr>
                <w:rStyle w:val="Hyperlink"/>
                <w:rFonts w:ascii="Arial Narrow" w:hAnsi="Arial Narrow"/>
                <w:noProof/>
                <w:sz w:val="20"/>
                <w:szCs w:val="20"/>
              </w:rPr>
              <w:t>11.2.</w:t>
            </w:r>
            <w:r w:rsidR="00EE4557" w:rsidRPr="00EE4557">
              <w:rPr>
                <w:rFonts w:ascii="Arial Narrow" w:eastAsiaTheme="minorEastAsia" w:hAnsi="Arial Narrow" w:cstheme="minorBidi"/>
                <w:noProof/>
                <w:sz w:val="20"/>
                <w:szCs w:val="20"/>
              </w:rPr>
              <w:tab/>
            </w:r>
            <w:r w:rsidR="00EE4557" w:rsidRPr="00EE4557">
              <w:rPr>
                <w:rStyle w:val="Hyperlink"/>
                <w:rFonts w:ascii="Arial Narrow" w:hAnsi="Arial Narrow"/>
                <w:noProof/>
                <w:sz w:val="20"/>
                <w:szCs w:val="20"/>
                <w:lang w:val="bg-BG"/>
              </w:rPr>
              <w:t>Природо-климатични рискове</w:t>
            </w:r>
            <w:r w:rsidR="00EE4557" w:rsidRPr="00EE4557">
              <w:rPr>
                <w:rFonts w:ascii="Arial Narrow" w:hAnsi="Arial Narrow"/>
                <w:noProof/>
                <w:webHidden/>
                <w:sz w:val="20"/>
                <w:szCs w:val="20"/>
              </w:rPr>
              <w:tab/>
            </w:r>
            <w:r w:rsidR="00EE4557" w:rsidRPr="00EE4557">
              <w:rPr>
                <w:rFonts w:ascii="Arial Narrow" w:hAnsi="Arial Narrow"/>
                <w:noProof/>
                <w:webHidden/>
                <w:sz w:val="20"/>
                <w:szCs w:val="20"/>
              </w:rPr>
              <w:fldChar w:fldCharType="begin"/>
            </w:r>
            <w:r w:rsidR="00EE4557" w:rsidRPr="00EE4557">
              <w:rPr>
                <w:rFonts w:ascii="Arial Narrow" w:hAnsi="Arial Narrow"/>
                <w:noProof/>
                <w:webHidden/>
                <w:sz w:val="20"/>
                <w:szCs w:val="20"/>
              </w:rPr>
              <w:instrText xml:space="preserve"> PAGEREF _Toc210747663 \h </w:instrText>
            </w:r>
            <w:r w:rsidR="00EE4557" w:rsidRPr="00EE4557">
              <w:rPr>
                <w:rFonts w:ascii="Arial Narrow" w:hAnsi="Arial Narrow"/>
                <w:noProof/>
                <w:webHidden/>
                <w:sz w:val="20"/>
                <w:szCs w:val="20"/>
              </w:rPr>
            </w:r>
            <w:r w:rsidR="00EE4557" w:rsidRPr="00EE4557">
              <w:rPr>
                <w:rFonts w:ascii="Arial Narrow" w:hAnsi="Arial Narrow"/>
                <w:noProof/>
                <w:webHidden/>
                <w:sz w:val="20"/>
                <w:szCs w:val="20"/>
              </w:rPr>
              <w:fldChar w:fldCharType="separate"/>
            </w:r>
            <w:r w:rsidR="00211D64">
              <w:rPr>
                <w:rFonts w:ascii="Arial Narrow" w:hAnsi="Arial Narrow"/>
                <w:noProof/>
                <w:webHidden/>
                <w:sz w:val="20"/>
                <w:szCs w:val="20"/>
              </w:rPr>
              <w:t>201</w:t>
            </w:r>
            <w:r w:rsidR="00EE4557" w:rsidRPr="00EE4557">
              <w:rPr>
                <w:rFonts w:ascii="Arial Narrow" w:hAnsi="Arial Narrow"/>
                <w:noProof/>
                <w:webHidden/>
                <w:sz w:val="20"/>
                <w:szCs w:val="20"/>
              </w:rPr>
              <w:fldChar w:fldCharType="end"/>
            </w:r>
          </w:hyperlink>
        </w:p>
        <w:p w14:paraId="3CC7CCFF" w14:textId="77777777" w:rsidR="00EE4557" w:rsidRPr="00EE4557" w:rsidRDefault="00816B15">
          <w:pPr>
            <w:pStyle w:val="TOC1"/>
            <w:rPr>
              <w:rFonts w:ascii="Arial Narrow" w:eastAsiaTheme="minorEastAsia" w:hAnsi="Arial Narrow" w:cstheme="minorBidi"/>
              <w:noProof/>
              <w:sz w:val="20"/>
              <w:szCs w:val="20"/>
            </w:rPr>
          </w:pPr>
          <w:hyperlink w:anchor="_Toc210747664" w:history="1">
            <w:r w:rsidR="00EE4557" w:rsidRPr="00EE4557">
              <w:rPr>
                <w:rStyle w:val="Hyperlink"/>
                <w:rFonts w:ascii="Arial Narrow" w:hAnsi="Arial Narrow"/>
                <w:noProof/>
                <w:sz w:val="20"/>
                <w:szCs w:val="20"/>
              </w:rPr>
              <w:t>11.3.</w:t>
            </w:r>
            <w:r w:rsidR="00EE4557" w:rsidRPr="00EE4557">
              <w:rPr>
                <w:rFonts w:ascii="Arial Narrow" w:eastAsiaTheme="minorEastAsia" w:hAnsi="Arial Narrow" w:cstheme="minorBidi"/>
                <w:noProof/>
                <w:sz w:val="20"/>
                <w:szCs w:val="20"/>
              </w:rPr>
              <w:tab/>
            </w:r>
            <w:r w:rsidR="00EE4557" w:rsidRPr="00EE4557">
              <w:rPr>
                <w:rStyle w:val="Hyperlink"/>
                <w:rFonts w:ascii="Arial Narrow" w:hAnsi="Arial Narrow"/>
                <w:noProof/>
                <w:sz w:val="20"/>
                <w:szCs w:val="20"/>
                <w:lang w:val="bg-BG"/>
              </w:rPr>
              <w:t>Икономически рискове</w:t>
            </w:r>
            <w:r w:rsidR="00EE4557" w:rsidRPr="00EE4557">
              <w:rPr>
                <w:rFonts w:ascii="Arial Narrow" w:hAnsi="Arial Narrow"/>
                <w:noProof/>
                <w:webHidden/>
                <w:sz w:val="20"/>
                <w:szCs w:val="20"/>
              </w:rPr>
              <w:tab/>
            </w:r>
            <w:r w:rsidR="00EE4557" w:rsidRPr="00EE4557">
              <w:rPr>
                <w:rFonts w:ascii="Arial Narrow" w:hAnsi="Arial Narrow"/>
                <w:noProof/>
                <w:webHidden/>
                <w:sz w:val="20"/>
                <w:szCs w:val="20"/>
              </w:rPr>
              <w:fldChar w:fldCharType="begin"/>
            </w:r>
            <w:r w:rsidR="00EE4557" w:rsidRPr="00EE4557">
              <w:rPr>
                <w:rFonts w:ascii="Arial Narrow" w:hAnsi="Arial Narrow"/>
                <w:noProof/>
                <w:webHidden/>
                <w:sz w:val="20"/>
                <w:szCs w:val="20"/>
              </w:rPr>
              <w:instrText xml:space="preserve"> PAGEREF _Toc210747664 \h </w:instrText>
            </w:r>
            <w:r w:rsidR="00EE4557" w:rsidRPr="00EE4557">
              <w:rPr>
                <w:rFonts w:ascii="Arial Narrow" w:hAnsi="Arial Narrow"/>
                <w:noProof/>
                <w:webHidden/>
                <w:sz w:val="20"/>
                <w:szCs w:val="20"/>
              </w:rPr>
            </w:r>
            <w:r w:rsidR="00EE4557" w:rsidRPr="00EE4557">
              <w:rPr>
                <w:rFonts w:ascii="Arial Narrow" w:hAnsi="Arial Narrow"/>
                <w:noProof/>
                <w:webHidden/>
                <w:sz w:val="20"/>
                <w:szCs w:val="20"/>
              </w:rPr>
              <w:fldChar w:fldCharType="separate"/>
            </w:r>
            <w:r w:rsidR="00211D64">
              <w:rPr>
                <w:rFonts w:ascii="Arial Narrow" w:hAnsi="Arial Narrow"/>
                <w:noProof/>
                <w:webHidden/>
                <w:sz w:val="20"/>
                <w:szCs w:val="20"/>
              </w:rPr>
              <w:t>201</w:t>
            </w:r>
            <w:r w:rsidR="00EE4557" w:rsidRPr="00EE4557">
              <w:rPr>
                <w:rFonts w:ascii="Arial Narrow" w:hAnsi="Arial Narrow"/>
                <w:noProof/>
                <w:webHidden/>
                <w:sz w:val="20"/>
                <w:szCs w:val="20"/>
              </w:rPr>
              <w:fldChar w:fldCharType="end"/>
            </w:r>
          </w:hyperlink>
        </w:p>
        <w:p w14:paraId="581020A3" w14:textId="77777777" w:rsidR="00EE4557" w:rsidRPr="00EE4557" w:rsidRDefault="00816B15">
          <w:pPr>
            <w:pStyle w:val="TOC1"/>
            <w:rPr>
              <w:rFonts w:ascii="Arial Narrow" w:eastAsiaTheme="minorEastAsia" w:hAnsi="Arial Narrow" w:cstheme="minorBidi"/>
              <w:noProof/>
              <w:sz w:val="20"/>
              <w:szCs w:val="20"/>
            </w:rPr>
          </w:pPr>
          <w:hyperlink w:anchor="_Toc210747665" w:history="1">
            <w:r w:rsidR="00EE4557" w:rsidRPr="00EE4557">
              <w:rPr>
                <w:rStyle w:val="Hyperlink"/>
                <w:rFonts w:ascii="Arial Narrow" w:hAnsi="Arial Narrow"/>
                <w:noProof/>
                <w:sz w:val="20"/>
                <w:szCs w:val="20"/>
                <w:lang w:val="bg-BG"/>
              </w:rPr>
              <w:t>11.4.</w:t>
            </w:r>
            <w:r w:rsidR="00EE4557" w:rsidRPr="00EE4557">
              <w:rPr>
                <w:rFonts w:ascii="Arial Narrow" w:eastAsiaTheme="minorEastAsia" w:hAnsi="Arial Narrow" w:cstheme="minorBidi"/>
                <w:noProof/>
                <w:sz w:val="20"/>
                <w:szCs w:val="20"/>
              </w:rPr>
              <w:tab/>
            </w:r>
            <w:r w:rsidR="00EE4557" w:rsidRPr="00EE4557">
              <w:rPr>
                <w:rStyle w:val="Hyperlink"/>
                <w:rFonts w:ascii="Arial Narrow" w:hAnsi="Arial Narrow"/>
                <w:noProof/>
                <w:sz w:val="20"/>
                <w:szCs w:val="20"/>
                <w:lang w:val="bg-BG"/>
              </w:rPr>
              <w:t>Мерки за управление на кризите в земеделието</w:t>
            </w:r>
            <w:r w:rsidR="00EE4557" w:rsidRPr="00EE4557">
              <w:rPr>
                <w:rFonts w:ascii="Arial Narrow" w:hAnsi="Arial Narrow"/>
                <w:noProof/>
                <w:webHidden/>
                <w:sz w:val="20"/>
                <w:szCs w:val="20"/>
              </w:rPr>
              <w:tab/>
            </w:r>
            <w:r w:rsidR="00EE4557" w:rsidRPr="00EE4557">
              <w:rPr>
                <w:rFonts w:ascii="Arial Narrow" w:hAnsi="Arial Narrow"/>
                <w:noProof/>
                <w:webHidden/>
                <w:sz w:val="20"/>
                <w:szCs w:val="20"/>
              </w:rPr>
              <w:fldChar w:fldCharType="begin"/>
            </w:r>
            <w:r w:rsidR="00EE4557" w:rsidRPr="00EE4557">
              <w:rPr>
                <w:rFonts w:ascii="Arial Narrow" w:hAnsi="Arial Narrow"/>
                <w:noProof/>
                <w:webHidden/>
                <w:sz w:val="20"/>
                <w:szCs w:val="20"/>
              </w:rPr>
              <w:instrText xml:space="preserve"> PAGEREF _Toc210747665 \h </w:instrText>
            </w:r>
            <w:r w:rsidR="00EE4557" w:rsidRPr="00EE4557">
              <w:rPr>
                <w:rFonts w:ascii="Arial Narrow" w:hAnsi="Arial Narrow"/>
                <w:noProof/>
                <w:webHidden/>
                <w:sz w:val="20"/>
                <w:szCs w:val="20"/>
              </w:rPr>
            </w:r>
            <w:r w:rsidR="00EE4557" w:rsidRPr="00EE4557">
              <w:rPr>
                <w:rFonts w:ascii="Arial Narrow" w:hAnsi="Arial Narrow"/>
                <w:noProof/>
                <w:webHidden/>
                <w:sz w:val="20"/>
                <w:szCs w:val="20"/>
              </w:rPr>
              <w:fldChar w:fldCharType="separate"/>
            </w:r>
            <w:r w:rsidR="00211D64">
              <w:rPr>
                <w:rFonts w:ascii="Arial Narrow" w:hAnsi="Arial Narrow"/>
                <w:noProof/>
                <w:webHidden/>
                <w:sz w:val="20"/>
                <w:szCs w:val="20"/>
              </w:rPr>
              <w:t>203</w:t>
            </w:r>
            <w:r w:rsidR="00EE4557" w:rsidRPr="00EE4557">
              <w:rPr>
                <w:rFonts w:ascii="Arial Narrow" w:hAnsi="Arial Narrow"/>
                <w:noProof/>
                <w:webHidden/>
                <w:sz w:val="20"/>
                <w:szCs w:val="20"/>
              </w:rPr>
              <w:fldChar w:fldCharType="end"/>
            </w:r>
          </w:hyperlink>
        </w:p>
        <w:p w14:paraId="7DC0EA6C" w14:textId="77777777" w:rsidR="00EE4557" w:rsidRPr="00EE4557" w:rsidRDefault="00816B15">
          <w:pPr>
            <w:pStyle w:val="TOC1"/>
            <w:rPr>
              <w:rFonts w:ascii="Arial Narrow" w:eastAsiaTheme="minorEastAsia" w:hAnsi="Arial Narrow" w:cstheme="minorBidi"/>
              <w:noProof/>
              <w:sz w:val="20"/>
              <w:szCs w:val="20"/>
            </w:rPr>
          </w:pPr>
          <w:hyperlink w:anchor="_Toc210747666" w:history="1">
            <w:r w:rsidR="00EE4557" w:rsidRPr="00EE4557">
              <w:rPr>
                <w:rStyle w:val="Hyperlink"/>
                <w:rFonts w:ascii="Arial Narrow" w:hAnsi="Arial Narrow"/>
                <w:noProof/>
                <w:sz w:val="20"/>
                <w:szCs w:val="20"/>
                <w:lang w:val="bg-BG"/>
              </w:rPr>
              <w:t>VI.</w:t>
            </w:r>
            <w:r w:rsidR="00EE4557" w:rsidRPr="00EE4557">
              <w:rPr>
                <w:rFonts w:ascii="Arial Narrow" w:eastAsiaTheme="minorEastAsia" w:hAnsi="Arial Narrow" w:cstheme="minorBidi"/>
                <w:noProof/>
                <w:sz w:val="20"/>
                <w:szCs w:val="20"/>
              </w:rPr>
              <w:tab/>
            </w:r>
            <w:r w:rsidR="00EE4557" w:rsidRPr="00EE4557">
              <w:rPr>
                <w:rStyle w:val="Hyperlink"/>
                <w:rFonts w:ascii="Arial Narrow" w:hAnsi="Arial Narrow"/>
                <w:noProof/>
                <w:sz w:val="20"/>
                <w:szCs w:val="20"/>
                <w:lang w:val="bg-BG"/>
              </w:rPr>
              <w:t>ГОРСКО СТОПАНСТВО</w:t>
            </w:r>
            <w:r w:rsidR="00EE4557" w:rsidRPr="00EE4557">
              <w:rPr>
                <w:rFonts w:ascii="Arial Narrow" w:hAnsi="Arial Narrow"/>
                <w:noProof/>
                <w:webHidden/>
                <w:sz w:val="20"/>
                <w:szCs w:val="20"/>
              </w:rPr>
              <w:tab/>
            </w:r>
            <w:r w:rsidR="00EE4557" w:rsidRPr="00EE4557">
              <w:rPr>
                <w:rFonts w:ascii="Arial Narrow" w:hAnsi="Arial Narrow"/>
                <w:noProof/>
                <w:webHidden/>
                <w:sz w:val="20"/>
                <w:szCs w:val="20"/>
              </w:rPr>
              <w:fldChar w:fldCharType="begin"/>
            </w:r>
            <w:r w:rsidR="00EE4557" w:rsidRPr="00EE4557">
              <w:rPr>
                <w:rFonts w:ascii="Arial Narrow" w:hAnsi="Arial Narrow"/>
                <w:noProof/>
                <w:webHidden/>
                <w:sz w:val="20"/>
                <w:szCs w:val="20"/>
              </w:rPr>
              <w:instrText xml:space="preserve"> PAGEREF _Toc210747666 \h </w:instrText>
            </w:r>
            <w:r w:rsidR="00EE4557" w:rsidRPr="00EE4557">
              <w:rPr>
                <w:rFonts w:ascii="Arial Narrow" w:hAnsi="Arial Narrow"/>
                <w:noProof/>
                <w:webHidden/>
                <w:sz w:val="20"/>
                <w:szCs w:val="20"/>
              </w:rPr>
            </w:r>
            <w:r w:rsidR="00EE4557" w:rsidRPr="00EE4557">
              <w:rPr>
                <w:rFonts w:ascii="Arial Narrow" w:hAnsi="Arial Narrow"/>
                <w:noProof/>
                <w:webHidden/>
                <w:sz w:val="20"/>
                <w:szCs w:val="20"/>
              </w:rPr>
              <w:fldChar w:fldCharType="separate"/>
            </w:r>
            <w:r w:rsidR="00211D64">
              <w:rPr>
                <w:rFonts w:ascii="Arial Narrow" w:hAnsi="Arial Narrow"/>
                <w:noProof/>
                <w:webHidden/>
                <w:sz w:val="20"/>
                <w:szCs w:val="20"/>
              </w:rPr>
              <w:t>204</w:t>
            </w:r>
            <w:r w:rsidR="00EE4557" w:rsidRPr="00EE4557">
              <w:rPr>
                <w:rFonts w:ascii="Arial Narrow" w:hAnsi="Arial Narrow"/>
                <w:noProof/>
                <w:webHidden/>
                <w:sz w:val="20"/>
                <w:szCs w:val="20"/>
              </w:rPr>
              <w:fldChar w:fldCharType="end"/>
            </w:r>
          </w:hyperlink>
        </w:p>
        <w:p w14:paraId="6CEE2FF0" w14:textId="77777777" w:rsidR="00EE4557" w:rsidRPr="00EE4557" w:rsidRDefault="00816B15">
          <w:pPr>
            <w:pStyle w:val="TOC1"/>
            <w:rPr>
              <w:rFonts w:ascii="Arial Narrow" w:eastAsiaTheme="minorEastAsia" w:hAnsi="Arial Narrow" w:cstheme="minorBidi"/>
              <w:noProof/>
              <w:sz w:val="20"/>
              <w:szCs w:val="20"/>
            </w:rPr>
          </w:pPr>
          <w:hyperlink w:anchor="_Toc210747667" w:history="1">
            <w:r w:rsidR="00EE4557" w:rsidRPr="00EE4557">
              <w:rPr>
                <w:rStyle w:val="Hyperlink"/>
                <w:rFonts w:ascii="Arial Narrow" w:hAnsi="Arial Narrow"/>
                <w:noProof/>
                <w:sz w:val="20"/>
                <w:szCs w:val="20"/>
                <w:lang w:val="bg-BG" w:eastAsia="bg-BG"/>
              </w:rPr>
              <w:t>1.</w:t>
            </w:r>
            <w:r w:rsidR="00EE4557" w:rsidRPr="00EE4557">
              <w:rPr>
                <w:rFonts w:ascii="Arial Narrow" w:eastAsiaTheme="minorEastAsia" w:hAnsi="Arial Narrow" w:cstheme="minorBidi"/>
                <w:noProof/>
                <w:sz w:val="20"/>
                <w:szCs w:val="20"/>
              </w:rPr>
              <w:tab/>
            </w:r>
            <w:r w:rsidR="00EE4557" w:rsidRPr="00EE4557">
              <w:rPr>
                <w:rStyle w:val="Hyperlink"/>
                <w:rFonts w:ascii="Arial Narrow" w:hAnsi="Arial Narrow"/>
                <w:noProof/>
                <w:sz w:val="20"/>
                <w:szCs w:val="20"/>
                <w:lang w:val="bg-BG" w:eastAsia="bg-BG"/>
              </w:rPr>
              <w:t>Характеристика на горските територии</w:t>
            </w:r>
            <w:r w:rsidR="00EE4557" w:rsidRPr="00EE4557">
              <w:rPr>
                <w:rFonts w:ascii="Arial Narrow" w:hAnsi="Arial Narrow"/>
                <w:noProof/>
                <w:webHidden/>
                <w:sz w:val="20"/>
                <w:szCs w:val="20"/>
              </w:rPr>
              <w:tab/>
            </w:r>
            <w:r w:rsidR="00EE4557" w:rsidRPr="00EE4557">
              <w:rPr>
                <w:rFonts w:ascii="Arial Narrow" w:hAnsi="Arial Narrow"/>
                <w:noProof/>
                <w:webHidden/>
                <w:sz w:val="20"/>
                <w:szCs w:val="20"/>
              </w:rPr>
              <w:fldChar w:fldCharType="begin"/>
            </w:r>
            <w:r w:rsidR="00EE4557" w:rsidRPr="00EE4557">
              <w:rPr>
                <w:rFonts w:ascii="Arial Narrow" w:hAnsi="Arial Narrow"/>
                <w:noProof/>
                <w:webHidden/>
                <w:sz w:val="20"/>
                <w:szCs w:val="20"/>
              </w:rPr>
              <w:instrText xml:space="preserve"> PAGEREF _Toc210747667 \h </w:instrText>
            </w:r>
            <w:r w:rsidR="00EE4557" w:rsidRPr="00EE4557">
              <w:rPr>
                <w:rFonts w:ascii="Arial Narrow" w:hAnsi="Arial Narrow"/>
                <w:noProof/>
                <w:webHidden/>
                <w:sz w:val="20"/>
                <w:szCs w:val="20"/>
              </w:rPr>
            </w:r>
            <w:r w:rsidR="00EE4557" w:rsidRPr="00EE4557">
              <w:rPr>
                <w:rFonts w:ascii="Arial Narrow" w:hAnsi="Arial Narrow"/>
                <w:noProof/>
                <w:webHidden/>
                <w:sz w:val="20"/>
                <w:szCs w:val="20"/>
              </w:rPr>
              <w:fldChar w:fldCharType="separate"/>
            </w:r>
            <w:r w:rsidR="00211D64">
              <w:rPr>
                <w:rFonts w:ascii="Arial Narrow" w:hAnsi="Arial Narrow"/>
                <w:noProof/>
                <w:webHidden/>
                <w:sz w:val="20"/>
                <w:szCs w:val="20"/>
              </w:rPr>
              <w:t>204</w:t>
            </w:r>
            <w:r w:rsidR="00EE4557" w:rsidRPr="00EE4557">
              <w:rPr>
                <w:rFonts w:ascii="Arial Narrow" w:hAnsi="Arial Narrow"/>
                <w:noProof/>
                <w:webHidden/>
                <w:sz w:val="20"/>
                <w:szCs w:val="20"/>
              </w:rPr>
              <w:fldChar w:fldCharType="end"/>
            </w:r>
          </w:hyperlink>
        </w:p>
        <w:p w14:paraId="08B1EA06" w14:textId="77777777" w:rsidR="00EE4557" w:rsidRPr="00EE4557" w:rsidRDefault="00816B15">
          <w:pPr>
            <w:pStyle w:val="TOC1"/>
            <w:rPr>
              <w:rFonts w:ascii="Arial Narrow" w:eastAsiaTheme="minorEastAsia" w:hAnsi="Arial Narrow" w:cstheme="minorBidi"/>
              <w:noProof/>
              <w:sz w:val="20"/>
              <w:szCs w:val="20"/>
            </w:rPr>
          </w:pPr>
          <w:hyperlink w:anchor="_Toc210747668" w:history="1">
            <w:r w:rsidR="00EE4557" w:rsidRPr="00EE4557">
              <w:rPr>
                <w:rStyle w:val="Hyperlink"/>
                <w:rFonts w:ascii="Arial Narrow" w:hAnsi="Arial Narrow"/>
                <w:noProof/>
                <w:sz w:val="20"/>
                <w:szCs w:val="20"/>
                <w:lang w:val="bg-BG" w:eastAsia="bg-BG"/>
              </w:rPr>
              <w:t>2.</w:t>
            </w:r>
            <w:r w:rsidR="00EE4557" w:rsidRPr="00EE4557">
              <w:rPr>
                <w:rFonts w:ascii="Arial Narrow" w:eastAsiaTheme="minorEastAsia" w:hAnsi="Arial Narrow" w:cstheme="minorBidi"/>
                <w:noProof/>
                <w:sz w:val="20"/>
                <w:szCs w:val="20"/>
              </w:rPr>
              <w:tab/>
            </w:r>
            <w:r w:rsidR="00EE4557" w:rsidRPr="00EE4557">
              <w:rPr>
                <w:rStyle w:val="Hyperlink"/>
                <w:rFonts w:ascii="Arial Narrow" w:hAnsi="Arial Narrow"/>
                <w:noProof/>
                <w:sz w:val="20"/>
                <w:szCs w:val="20"/>
                <w:lang w:val="bg-BG" w:eastAsia="bg-BG"/>
              </w:rPr>
              <w:t>Промени в горските територии</w:t>
            </w:r>
            <w:r w:rsidR="00EE4557" w:rsidRPr="00EE4557">
              <w:rPr>
                <w:rFonts w:ascii="Arial Narrow" w:hAnsi="Arial Narrow"/>
                <w:noProof/>
                <w:webHidden/>
                <w:sz w:val="20"/>
                <w:szCs w:val="20"/>
              </w:rPr>
              <w:tab/>
            </w:r>
            <w:r w:rsidR="00EE4557" w:rsidRPr="00EE4557">
              <w:rPr>
                <w:rFonts w:ascii="Arial Narrow" w:hAnsi="Arial Narrow"/>
                <w:noProof/>
                <w:webHidden/>
                <w:sz w:val="20"/>
                <w:szCs w:val="20"/>
              </w:rPr>
              <w:fldChar w:fldCharType="begin"/>
            </w:r>
            <w:r w:rsidR="00EE4557" w:rsidRPr="00EE4557">
              <w:rPr>
                <w:rFonts w:ascii="Arial Narrow" w:hAnsi="Arial Narrow"/>
                <w:noProof/>
                <w:webHidden/>
                <w:sz w:val="20"/>
                <w:szCs w:val="20"/>
              </w:rPr>
              <w:instrText xml:space="preserve"> PAGEREF _Toc210747668 \h </w:instrText>
            </w:r>
            <w:r w:rsidR="00EE4557" w:rsidRPr="00EE4557">
              <w:rPr>
                <w:rFonts w:ascii="Arial Narrow" w:hAnsi="Arial Narrow"/>
                <w:noProof/>
                <w:webHidden/>
                <w:sz w:val="20"/>
                <w:szCs w:val="20"/>
              </w:rPr>
            </w:r>
            <w:r w:rsidR="00EE4557" w:rsidRPr="00EE4557">
              <w:rPr>
                <w:rFonts w:ascii="Arial Narrow" w:hAnsi="Arial Narrow"/>
                <w:noProof/>
                <w:webHidden/>
                <w:sz w:val="20"/>
                <w:szCs w:val="20"/>
              </w:rPr>
              <w:fldChar w:fldCharType="separate"/>
            </w:r>
            <w:r w:rsidR="00211D64">
              <w:rPr>
                <w:rFonts w:ascii="Arial Narrow" w:hAnsi="Arial Narrow"/>
                <w:noProof/>
                <w:webHidden/>
                <w:sz w:val="20"/>
                <w:szCs w:val="20"/>
              </w:rPr>
              <w:t>206</w:t>
            </w:r>
            <w:r w:rsidR="00EE4557" w:rsidRPr="00EE4557">
              <w:rPr>
                <w:rFonts w:ascii="Arial Narrow" w:hAnsi="Arial Narrow"/>
                <w:noProof/>
                <w:webHidden/>
                <w:sz w:val="20"/>
                <w:szCs w:val="20"/>
              </w:rPr>
              <w:fldChar w:fldCharType="end"/>
            </w:r>
          </w:hyperlink>
        </w:p>
        <w:p w14:paraId="2C6BA7F2" w14:textId="77777777" w:rsidR="00EE4557" w:rsidRPr="00EE4557" w:rsidRDefault="00816B15">
          <w:pPr>
            <w:pStyle w:val="TOC1"/>
            <w:rPr>
              <w:rFonts w:ascii="Arial Narrow" w:eastAsiaTheme="minorEastAsia" w:hAnsi="Arial Narrow" w:cstheme="minorBidi"/>
              <w:noProof/>
              <w:sz w:val="20"/>
              <w:szCs w:val="20"/>
            </w:rPr>
          </w:pPr>
          <w:hyperlink w:anchor="_Toc210747669" w:history="1">
            <w:r w:rsidR="00EE4557" w:rsidRPr="00EE4557">
              <w:rPr>
                <w:rStyle w:val="Hyperlink"/>
                <w:rFonts w:ascii="Arial Narrow" w:hAnsi="Arial Narrow"/>
                <w:noProof/>
                <w:sz w:val="20"/>
                <w:szCs w:val="20"/>
                <w:lang w:val="bg-BG" w:eastAsia="bg-BG"/>
              </w:rPr>
              <w:t>3.</w:t>
            </w:r>
            <w:r w:rsidR="00EE4557" w:rsidRPr="00EE4557">
              <w:rPr>
                <w:rFonts w:ascii="Arial Narrow" w:eastAsiaTheme="minorEastAsia" w:hAnsi="Arial Narrow" w:cstheme="minorBidi"/>
                <w:noProof/>
                <w:sz w:val="20"/>
                <w:szCs w:val="20"/>
              </w:rPr>
              <w:tab/>
            </w:r>
            <w:r w:rsidR="00EE4557" w:rsidRPr="00EE4557">
              <w:rPr>
                <w:rStyle w:val="Hyperlink"/>
                <w:rFonts w:ascii="Arial Narrow" w:hAnsi="Arial Narrow"/>
                <w:noProof/>
                <w:sz w:val="20"/>
                <w:szCs w:val="20"/>
                <w:lang w:val="bg-BG" w:eastAsia="bg-BG"/>
              </w:rPr>
              <w:t>Стопанисване на горските територии</w:t>
            </w:r>
            <w:r w:rsidR="00EE4557" w:rsidRPr="00EE4557">
              <w:rPr>
                <w:rFonts w:ascii="Arial Narrow" w:hAnsi="Arial Narrow"/>
                <w:noProof/>
                <w:webHidden/>
                <w:sz w:val="20"/>
                <w:szCs w:val="20"/>
              </w:rPr>
              <w:tab/>
            </w:r>
            <w:r w:rsidR="00EE4557" w:rsidRPr="00EE4557">
              <w:rPr>
                <w:rFonts w:ascii="Arial Narrow" w:hAnsi="Arial Narrow"/>
                <w:noProof/>
                <w:webHidden/>
                <w:sz w:val="20"/>
                <w:szCs w:val="20"/>
              </w:rPr>
              <w:fldChar w:fldCharType="begin"/>
            </w:r>
            <w:r w:rsidR="00EE4557" w:rsidRPr="00EE4557">
              <w:rPr>
                <w:rFonts w:ascii="Arial Narrow" w:hAnsi="Arial Narrow"/>
                <w:noProof/>
                <w:webHidden/>
                <w:sz w:val="20"/>
                <w:szCs w:val="20"/>
              </w:rPr>
              <w:instrText xml:space="preserve"> PAGEREF _Toc210747669 \h </w:instrText>
            </w:r>
            <w:r w:rsidR="00EE4557" w:rsidRPr="00EE4557">
              <w:rPr>
                <w:rFonts w:ascii="Arial Narrow" w:hAnsi="Arial Narrow"/>
                <w:noProof/>
                <w:webHidden/>
                <w:sz w:val="20"/>
                <w:szCs w:val="20"/>
              </w:rPr>
            </w:r>
            <w:r w:rsidR="00EE4557" w:rsidRPr="00EE4557">
              <w:rPr>
                <w:rFonts w:ascii="Arial Narrow" w:hAnsi="Arial Narrow"/>
                <w:noProof/>
                <w:webHidden/>
                <w:sz w:val="20"/>
                <w:szCs w:val="20"/>
              </w:rPr>
              <w:fldChar w:fldCharType="separate"/>
            </w:r>
            <w:r w:rsidR="00211D64">
              <w:rPr>
                <w:rFonts w:ascii="Arial Narrow" w:hAnsi="Arial Narrow"/>
                <w:noProof/>
                <w:webHidden/>
                <w:sz w:val="20"/>
                <w:szCs w:val="20"/>
              </w:rPr>
              <w:t>206</w:t>
            </w:r>
            <w:r w:rsidR="00EE4557" w:rsidRPr="00EE4557">
              <w:rPr>
                <w:rFonts w:ascii="Arial Narrow" w:hAnsi="Arial Narrow"/>
                <w:noProof/>
                <w:webHidden/>
                <w:sz w:val="20"/>
                <w:szCs w:val="20"/>
              </w:rPr>
              <w:fldChar w:fldCharType="end"/>
            </w:r>
          </w:hyperlink>
        </w:p>
        <w:p w14:paraId="3916B87F" w14:textId="77777777" w:rsidR="00EE4557" w:rsidRPr="00EE4557" w:rsidRDefault="00816B15">
          <w:pPr>
            <w:pStyle w:val="TOC1"/>
            <w:rPr>
              <w:rFonts w:ascii="Arial Narrow" w:eastAsiaTheme="minorEastAsia" w:hAnsi="Arial Narrow" w:cstheme="minorBidi"/>
              <w:noProof/>
              <w:sz w:val="20"/>
              <w:szCs w:val="20"/>
            </w:rPr>
          </w:pPr>
          <w:hyperlink w:anchor="_Toc210747670" w:history="1">
            <w:r w:rsidR="00EE4557" w:rsidRPr="00EE4557">
              <w:rPr>
                <w:rStyle w:val="Hyperlink"/>
                <w:rFonts w:ascii="Arial Narrow" w:hAnsi="Arial Narrow" w:cs="TimesNewRomanUnicode,Italic"/>
                <w:iCs/>
                <w:noProof/>
                <w:sz w:val="20"/>
                <w:szCs w:val="20"/>
                <w:lang w:val="bg-BG" w:eastAsia="bg-BG"/>
              </w:rPr>
              <w:t>3.1.</w:t>
            </w:r>
            <w:r w:rsidR="00EE4557" w:rsidRPr="00EE4557">
              <w:rPr>
                <w:rFonts w:ascii="Arial Narrow" w:eastAsiaTheme="minorEastAsia" w:hAnsi="Arial Narrow" w:cstheme="minorBidi"/>
                <w:noProof/>
                <w:sz w:val="20"/>
                <w:szCs w:val="20"/>
              </w:rPr>
              <w:tab/>
            </w:r>
            <w:r w:rsidR="00EE4557" w:rsidRPr="00EE4557">
              <w:rPr>
                <w:rStyle w:val="Hyperlink"/>
                <w:rFonts w:ascii="Arial Narrow" w:hAnsi="Arial Narrow" w:cs="TimesNewRomanUnicode,Italic"/>
                <w:iCs/>
                <w:noProof/>
                <w:sz w:val="20"/>
                <w:szCs w:val="20"/>
                <w:lang w:val="bg-BG" w:eastAsia="bg-BG"/>
              </w:rPr>
              <w:t>Залесяване и защита срещу ерозия и порои</w:t>
            </w:r>
            <w:r w:rsidR="00EE4557" w:rsidRPr="00EE4557">
              <w:rPr>
                <w:rFonts w:ascii="Arial Narrow" w:hAnsi="Arial Narrow"/>
                <w:noProof/>
                <w:webHidden/>
                <w:sz w:val="20"/>
                <w:szCs w:val="20"/>
              </w:rPr>
              <w:tab/>
            </w:r>
            <w:r w:rsidR="00EE4557" w:rsidRPr="00EE4557">
              <w:rPr>
                <w:rFonts w:ascii="Arial Narrow" w:hAnsi="Arial Narrow"/>
                <w:noProof/>
                <w:webHidden/>
                <w:sz w:val="20"/>
                <w:szCs w:val="20"/>
              </w:rPr>
              <w:fldChar w:fldCharType="begin"/>
            </w:r>
            <w:r w:rsidR="00EE4557" w:rsidRPr="00EE4557">
              <w:rPr>
                <w:rFonts w:ascii="Arial Narrow" w:hAnsi="Arial Narrow"/>
                <w:noProof/>
                <w:webHidden/>
                <w:sz w:val="20"/>
                <w:szCs w:val="20"/>
              </w:rPr>
              <w:instrText xml:space="preserve"> PAGEREF _Toc210747670 \h </w:instrText>
            </w:r>
            <w:r w:rsidR="00EE4557" w:rsidRPr="00EE4557">
              <w:rPr>
                <w:rFonts w:ascii="Arial Narrow" w:hAnsi="Arial Narrow"/>
                <w:noProof/>
                <w:webHidden/>
                <w:sz w:val="20"/>
                <w:szCs w:val="20"/>
              </w:rPr>
            </w:r>
            <w:r w:rsidR="00EE4557" w:rsidRPr="00EE4557">
              <w:rPr>
                <w:rFonts w:ascii="Arial Narrow" w:hAnsi="Arial Narrow"/>
                <w:noProof/>
                <w:webHidden/>
                <w:sz w:val="20"/>
                <w:szCs w:val="20"/>
              </w:rPr>
              <w:fldChar w:fldCharType="separate"/>
            </w:r>
            <w:r w:rsidR="00211D64">
              <w:rPr>
                <w:rFonts w:ascii="Arial Narrow" w:hAnsi="Arial Narrow"/>
                <w:noProof/>
                <w:webHidden/>
                <w:sz w:val="20"/>
                <w:szCs w:val="20"/>
              </w:rPr>
              <w:t>207</w:t>
            </w:r>
            <w:r w:rsidR="00EE4557" w:rsidRPr="00EE4557">
              <w:rPr>
                <w:rFonts w:ascii="Arial Narrow" w:hAnsi="Arial Narrow"/>
                <w:noProof/>
                <w:webHidden/>
                <w:sz w:val="20"/>
                <w:szCs w:val="20"/>
              </w:rPr>
              <w:fldChar w:fldCharType="end"/>
            </w:r>
          </w:hyperlink>
        </w:p>
        <w:p w14:paraId="37B0A1DA" w14:textId="77777777" w:rsidR="00EE4557" w:rsidRPr="00EE4557" w:rsidRDefault="00816B15">
          <w:pPr>
            <w:pStyle w:val="TOC1"/>
            <w:rPr>
              <w:rFonts w:ascii="Arial Narrow" w:eastAsiaTheme="minorEastAsia" w:hAnsi="Arial Narrow" w:cstheme="minorBidi"/>
              <w:noProof/>
              <w:sz w:val="20"/>
              <w:szCs w:val="20"/>
            </w:rPr>
          </w:pPr>
          <w:hyperlink w:anchor="_Toc210747671" w:history="1">
            <w:r w:rsidR="00EE4557" w:rsidRPr="00EE4557">
              <w:rPr>
                <w:rStyle w:val="Hyperlink"/>
                <w:rFonts w:ascii="Arial Narrow" w:hAnsi="Arial Narrow" w:cs="TimesNewRomanUnicode,Italic"/>
                <w:iCs/>
                <w:noProof/>
                <w:sz w:val="20"/>
                <w:szCs w:val="20"/>
                <w:lang w:val="bg-BG" w:eastAsia="bg-BG"/>
              </w:rPr>
              <w:t>3.2.</w:t>
            </w:r>
            <w:r w:rsidR="00EE4557" w:rsidRPr="00EE4557">
              <w:rPr>
                <w:rFonts w:ascii="Arial Narrow" w:eastAsiaTheme="minorEastAsia" w:hAnsi="Arial Narrow" w:cstheme="minorBidi"/>
                <w:noProof/>
                <w:sz w:val="20"/>
                <w:szCs w:val="20"/>
              </w:rPr>
              <w:tab/>
            </w:r>
            <w:r w:rsidR="00EE4557" w:rsidRPr="00EE4557">
              <w:rPr>
                <w:rStyle w:val="Hyperlink"/>
                <w:rFonts w:ascii="Arial Narrow" w:hAnsi="Arial Narrow" w:cs="TimesNewRomanUnicode,Italic"/>
                <w:iCs/>
                <w:noProof/>
                <w:sz w:val="20"/>
                <w:szCs w:val="20"/>
                <w:lang w:val="bg-BG" w:eastAsia="bg-BG"/>
              </w:rPr>
              <w:t>Провеждане на сечи в горите</w:t>
            </w:r>
            <w:r w:rsidR="00EE4557" w:rsidRPr="00EE4557">
              <w:rPr>
                <w:rFonts w:ascii="Arial Narrow" w:hAnsi="Arial Narrow"/>
                <w:noProof/>
                <w:webHidden/>
                <w:sz w:val="20"/>
                <w:szCs w:val="20"/>
              </w:rPr>
              <w:tab/>
            </w:r>
            <w:r w:rsidR="00EE4557" w:rsidRPr="00EE4557">
              <w:rPr>
                <w:rFonts w:ascii="Arial Narrow" w:hAnsi="Arial Narrow"/>
                <w:noProof/>
                <w:webHidden/>
                <w:sz w:val="20"/>
                <w:szCs w:val="20"/>
              </w:rPr>
              <w:fldChar w:fldCharType="begin"/>
            </w:r>
            <w:r w:rsidR="00EE4557" w:rsidRPr="00EE4557">
              <w:rPr>
                <w:rFonts w:ascii="Arial Narrow" w:hAnsi="Arial Narrow"/>
                <w:noProof/>
                <w:webHidden/>
                <w:sz w:val="20"/>
                <w:szCs w:val="20"/>
              </w:rPr>
              <w:instrText xml:space="preserve"> PAGEREF _Toc210747671 \h </w:instrText>
            </w:r>
            <w:r w:rsidR="00EE4557" w:rsidRPr="00EE4557">
              <w:rPr>
                <w:rFonts w:ascii="Arial Narrow" w:hAnsi="Arial Narrow"/>
                <w:noProof/>
                <w:webHidden/>
                <w:sz w:val="20"/>
                <w:szCs w:val="20"/>
              </w:rPr>
            </w:r>
            <w:r w:rsidR="00EE4557" w:rsidRPr="00EE4557">
              <w:rPr>
                <w:rFonts w:ascii="Arial Narrow" w:hAnsi="Arial Narrow"/>
                <w:noProof/>
                <w:webHidden/>
                <w:sz w:val="20"/>
                <w:szCs w:val="20"/>
              </w:rPr>
              <w:fldChar w:fldCharType="separate"/>
            </w:r>
            <w:r w:rsidR="00211D64">
              <w:rPr>
                <w:rFonts w:ascii="Arial Narrow" w:hAnsi="Arial Narrow"/>
                <w:noProof/>
                <w:webHidden/>
                <w:sz w:val="20"/>
                <w:szCs w:val="20"/>
              </w:rPr>
              <w:t>208</w:t>
            </w:r>
            <w:r w:rsidR="00EE4557" w:rsidRPr="00EE4557">
              <w:rPr>
                <w:rFonts w:ascii="Arial Narrow" w:hAnsi="Arial Narrow"/>
                <w:noProof/>
                <w:webHidden/>
                <w:sz w:val="20"/>
                <w:szCs w:val="20"/>
              </w:rPr>
              <w:fldChar w:fldCharType="end"/>
            </w:r>
          </w:hyperlink>
        </w:p>
        <w:p w14:paraId="0E3DE723" w14:textId="77777777" w:rsidR="00EE4557" w:rsidRPr="00EE4557" w:rsidRDefault="00816B15">
          <w:pPr>
            <w:pStyle w:val="TOC1"/>
            <w:rPr>
              <w:rFonts w:ascii="Arial Narrow" w:eastAsiaTheme="minorEastAsia" w:hAnsi="Arial Narrow" w:cstheme="minorBidi"/>
              <w:noProof/>
              <w:sz w:val="20"/>
              <w:szCs w:val="20"/>
            </w:rPr>
          </w:pPr>
          <w:hyperlink w:anchor="_Toc210747672" w:history="1">
            <w:r w:rsidR="00EE4557" w:rsidRPr="00EE4557">
              <w:rPr>
                <w:rStyle w:val="Hyperlink"/>
                <w:rFonts w:ascii="Arial Narrow" w:hAnsi="Arial Narrow"/>
                <w:noProof/>
                <w:sz w:val="20"/>
                <w:szCs w:val="20"/>
                <w:lang w:val="bg-BG" w:eastAsia="bg-BG"/>
              </w:rPr>
              <w:t>4.</w:t>
            </w:r>
            <w:r w:rsidR="00EE4557" w:rsidRPr="00EE4557">
              <w:rPr>
                <w:rFonts w:ascii="Arial Narrow" w:eastAsiaTheme="minorEastAsia" w:hAnsi="Arial Narrow" w:cstheme="minorBidi"/>
                <w:noProof/>
                <w:sz w:val="20"/>
                <w:szCs w:val="20"/>
              </w:rPr>
              <w:tab/>
            </w:r>
            <w:r w:rsidR="00EE4557" w:rsidRPr="00EE4557">
              <w:rPr>
                <w:rStyle w:val="Hyperlink"/>
                <w:rFonts w:ascii="Arial Narrow" w:hAnsi="Arial Narrow"/>
                <w:noProof/>
                <w:sz w:val="20"/>
                <w:szCs w:val="20"/>
                <w:lang w:val="bg-BG" w:eastAsia="bg-BG"/>
              </w:rPr>
              <w:t>Ползване на дървесина и на недървесни горски продукти</w:t>
            </w:r>
            <w:r w:rsidR="00EE4557" w:rsidRPr="00EE4557">
              <w:rPr>
                <w:rFonts w:ascii="Arial Narrow" w:hAnsi="Arial Narrow"/>
                <w:noProof/>
                <w:webHidden/>
                <w:sz w:val="20"/>
                <w:szCs w:val="20"/>
              </w:rPr>
              <w:tab/>
            </w:r>
            <w:r w:rsidR="00EE4557" w:rsidRPr="00EE4557">
              <w:rPr>
                <w:rFonts w:ascii="Arial Narrow" w:hAnsi="Arial Narrow"/>
                <w:noProof/>
                <w:webHidden/>
                <w:sz w:val="20"/>
                <w:szCs w:val="20"/>
              </w:rPr>
              <w:fldChar w:fldCharType="begin"/>
            </w:r>
            <w:r w:rsidR="00EE4557" w:rsidRPr="00EE4557">
              <w:rPr>
                <w:rFonts w:ascii="Arial Narrow" w:hAnsi="Arial Narrow"/>
                <w:noProof/>
                <w:webHidden/>
                <w:sz w:val="20"/>
                <w:szCs w:val="20"/>
              </w:rPr>
              <w:instrText xml:space="preserve"> PAGEREF _Toc210747672 \h </w:instrText>
            </w:r>
            <w:r w:rsidR="00EE4557" w:rsidRPr="00EE4557">
              <w:rPr>
                <w:rFonts w:ascii="Arial Narrow" w:hAnsi="Arial Narrow"/>
                <w:noProof/>
                <w:webHidden/>
                <w:sz w:val="20"/>
                <w:szCs w:val="20"/>
              </w:rPr>
            </w:r>
            <w:r w:rsidR="00EE4557" w:rsidRPr="00EE4557">
              <w:rPr>
                <w:rFonts w:ascii="Arial Narrow" w:hAnsi="Arial Narrow"/>
                <w:noProof/>
                <w:webHidden/>
                <w:sz w:val="20"/>
                <w:szCs w:val="20"/>
              </w:rPr>
              <w:fldChar w:fldCharType="separate"/>
            </w:r>
            <w:r w:rsidR="00211D64">
              <w:rPr>
                <w:rFonts w:ascii="Arial Narrow" w:hAnsi="Arial Narrow"/>
                <w:noProof/>
                <w:webHidden/>
                <w:sz w:val="20"/>
                <w:szCs w:val="20"/>
              </w:rPr>
              <w:t>209</w:t>
            </w:r>
            <w:r w:rsidR="00EE4557" w:rsidRPr="00EE4557">
              <w:rPr>
                <w:rFonts w:ascii="Arial Narrow" w:hAnsi="Arial Narrow"/>
                <w:noProof/>
                <w:webHidden/>
                <w:sz w:val="20"/>
                <w:szCs w:val="20"/>
              </w:rPr>
              <w:fldChar w:fldCharType="end"/>
            </w:r>
          </w:hyperlink>
        </w:p>
        <w:p w14:paraId="77D8F35E" w14:textId="77777777" w:rsidR="00EE4557" w:rsidRPr="00EE4557" w:rsidRDefault="00816B15">
          <w:pPr>
            <w:pStyle w:val="TOC1"/>
            <w:rPr>
              <w:rFonts w:ascii="Arial Narrow" w:eastAsiaTheme="minorEastAsia" w:hAnsi="Arial Narrow" w:cstheme="minorBidi"/>
              <w:noProof/>
              <w:sz w:val="20"/>
              <w:szCs w:val="20"/>
            </w:rPr>
          </w:pPr>
          <w:hyperlink w:anchor="_Toc210747673" w:history="1">
            <w:r w:rsidR="00EE4557" w:rsidRPr="00EE4557">
              <w:rPr>
                <w:rStyle w:val="Hyperlink"/>
                <w:rFonts w:ascii="Arial Narrow" w:hAnsi="Arial Narrow" w:cs="TimesNewRomanUnicode,Italic"/>
                <w:iCs/>
                <w:noProof/>
                <w:sz w:val="20"/>
                <w:szCs w:val="20"/>
                <w:lang w:val="bg-BG" w:eastAsia="bg-BG"/>
              </w:rPr>
              <w:t>4.1.</w:t>
            </w:r>
            <w:r w:rsidR="00EE4557" w:rsidRPr="00EE4557">
              <w:rPr>
                <w:rFonts w:ascii="Arial Narrow" w:eastAsiaTheme="minorEastAsia" w:hAnsi="Arial Narrow" w:cstheme="minorBidi"/>
                <w:noProof/>
                <w:sz w:val="20"/>
                <w:szCs w:val="20"/>
              </w:rPr>
              <w:tab/>
            </w:r>
            <w:r w:rsidR="00EE4557" w:rsidRPr="00EE4557">
              <w:rPr>
                <w:rStyle w:val="Hyperlink"/>
                <w:rFonts w:ascii="Arial Narrow" w:hAnsi="Arial Narrow" w:cs="TimesNewRomanUnicode,Italic"/>
                <w:iCs/>
                <w:noProof/>
                <w:sz w:val="20"/>
                <w:szCs w:val="20"/>
                <w:lang w:val="bg-BG" w:eastAsia="bg-BG"/>
              </w:rPr>
              <w:t>Ползване на дървесина</w:t>
            </w:r>
            <w:r w:rsidR="00EE4557" w:rsidRPr="00EE4557">
              <w:rPr>
                <w:rFonts w:ascii="Arial Narrow" w:hAnsi="Arial Narrow"/>
                <w:noProof/>
                <w:webHidden/>
                <w:sz w:val="20"/>
                <w:szCs w:val="20"/>
              </w:rPr>
              <w:tab/>
            </w:r>
            <w:r w:rsidR="00EE4557" w:rsidRPr="00EE4557">
              <w:rPr>
                <w:rFonts w:ascii="Arial Narrow" w:hAnsi="Arial Narrow"/>
                <w:noProof/>
                <w:webHidden/>
                <w:sz w:val="20"/>
                <w:szCs w:val="20"/>
              </w:rPr>
              <w:fldChar w:fldCharType="begin"/>
            </w:r>
            <w:r w:rsidR="00EE4557" w:rsidRPr="00EE4557">
              <w:rPr>
                <w:rFonts w:ascii="Arial Narrow" w:hAnsi="Arial Narrow"/>
                <w:noProof/>
                <w:webHidden/>
                <w:sz w:val="20"/>
                <w:szCs w:val="20"/>
              </w:rPr>
              <w:instrText xml:space="preserve"> PAGEREF _Toc210747673 \h </w:instrText>
            </w:r>
            <w:r w:rsidR="00EE4557" w:rsidRPr="00EE4557">
              <w:rPr>
                <w:rFonts w:ascii="Arial Narrow" w:hAnsi="Arial Narrow"/>
                <w:noProof/>
                <w:webHidden/>
                <w:sz w:val="20"/>
                <w:szCs w:val="20"/>
              </w:rPr>
            </w:r>
            <w:r w:rsidR="00EE4557" w:rsidRPr="00EE4557">
              <w:rPr>
                <w:rFonts w:ascii="Arial Narrow" w:hAnsi="Arial Narrow"/>
                <w:noProof/>
                <w:webHidden/>
                <w:sz w:val="20"/>
                <w:szCs w:val="20"/>
              </w:rPr>
              <w:fldChar w:fldCharType="separate"/>
            </w:r>
            <w:r w:rsidR="00211D64">
              <w:rPr>
                <w:rFonts w:ascii="Arial Narrow" w:hAnsi="Arial Narrow"/>
                <w:noProof/>
                <w:webHidden/>
                <w:sz w:val="20"/>
                <w:szCs w:val="20"/>
              </w:rPr>
              <w:t>209</w:t>
            </w:r>
            <w:r w:rsidR="00EE4557" w:rsidRPr="00EE4557">
              <w:rPr>
                <w:rFonts w:ascii="Arial Narrow" w:hAnsi="Arial Narrow"/>
                <w:noProof/>
                <w:webHidden/>
                <w:sz w:val="20"/>
                <w:szCs w:val="20"/>
              </w:rPr>
              <w:fldChar w:fldCharType="end"/>
            </w:r>
          </w:hyperlink>
        </w:p>
        <w:p w14:paraId="58FD4C31" w14:textId="77777777" w:rsidR="00EE4557" w:rsidRPr="00EE4557" w:rsidRDefault="00816B15">
          <w:pPr>
            <w:pStyle w:val="TOC1"/>
            <w:rPr>
              <w:rFonts w:ascii="Arial Narrow" w:eastAsiaTheme="minorEastAsia" w:hAnsi="Arial Narrow" w:cstheme="minorBidi"/>
              <w:noProof/>
              <w:sz w:val="20"/>
              <w:szCs w:val="20"/>
            </w:rPr>
          </w:pPr>
          <w:hyperlink w:anchor="_Toc210747674" w:history="1">
            <w:r w:rsidR="00EE4557" w:rsidRPr="00EE4557">
              <w:rPr>
                <w:rStyle w:val="Hyperlink"/>
                <w:rFonts w:ascii="Arial Narrow" w:hAnsi="Arial Narrow" w:cs="TimesNewRomanUnicode,Italic"/>
                <w:iCs/>
                <w:noProof/>
                <w:sz w:val="20"/>
                <w:szCs w:val="20"/>
                <w:lang w:val="bg-BG" w:eastAsia="bg-BG"/>
              </w:rPr>
              <w:t>4.2.</w:t>
            </w:r>
            <w:r w:rsidR="00EE4557" w:rsidRPr="00EE4557">
              <w:rPr>
                <w:rFonts w:ascii="Arial Narrow" w:eastAsiaTheme="minorEastAsia" w:hAnsi="Arial Narrow" w:cstheme="minorBidi"/>
                <w:noProof/>
                <w:sz w:val="20"/>
                <w:szCs w:val="20"/>
              </w:rPr>
              <w:tab/>
            </w:r>
            <w:r w:rsidR="00EE4557" w:rsidRPr="00EE4557">
              <w:rPr>
                <w:rStyle w:val="Hyperlink"/>
                <w:rFonts w:ascii="Arial Narrow" w:hAnsi="Arial Narrow" w:cs="TimesNewRomanUnicode,Italic"/>
                <w:iCs/>
                <w:noProof/>
                <w:sz w:val="20"/>
                <w:szCs w:val="20"/>
                <w:lang w:val="bg-BG" w:eastAsia="bg-BG"/>
              </w:rPr>
              <w:t>Странични дейности и ползване на недървесни горски продукти</w:t>
            </w:r>
            <w:r w:rsidR="00EE4557" w:rsidRPr="00EE4557">
              <w:rPr>
                <w:rFonts w:ascii="Arial Narrow" w:hAnsi="Arial Narrow"/>
                <w:noProof/>
                <w:webHidden/>
                <w:sz w:val="20"/>
                <w:szCs w:val="20"/>
              </w:rPr>
              <w:tab/>
            </w:r>
            <w:r w:rsidR="00EE4557" w:rsidRPr="00EE4557">
              <w:rPr>
                <w:rFonts w:ascii="Arial Narrow" w:hAnsi="Arial Narrow"/>
                <w:noProof/>
                <w:webHidden/>
                <w:sz w:val="20"/>
                <w:szCs w:val="20"/>
              </w:rPr>
              <w:fldChar w:fldCharType="begin"/>
            </w:r>
            <w:r w:rsidR="00EE4557" w:rsidRPr="00EE4557">
              <w:rPr>
                <w:rFonts w:ascii="Arial Narrow" w:hAnsi="Arial Narrow"/>
                <w:noProof/>
                <w:webHidden/>
                <w:sz w:val="20"/>
                <w:szCs w:val="20"/>
              </w:rPr>
              <w:instrText xml:space="preserve"> PAGEREF _Toc210747674 \h </w:instrText>
            </w:r>
            <w:r w:rsidR="00EE4557" w:rsidRPr="00EE4557">
              <w:rPr>
                <w:rFonts w:ascii="Arial Narrow" w:hAnsi="Arial Narrow"/>
                <w:noProof/>
                <w:webHidden/>
                <w:sz w:val="20"/>
                <w:szCs w:val="20"/>
              </w:rPr>
            </w:r>
            <w:r w:rsidR="00EE4557" w:rsidRPr="00EE4557">
              <w:rPr>
                <w:rFonts w:ascii="Arial Narrow" w:hAnsi="Arial Narrow"/>
                <w:noProof/>
                <w:webHidden/>
                <w:sz w:val="20"/>
                <w:szCs w:val="20"/>
              </w:rPr>
              <w:fldChar w:fldCharType="separate"/>
            </w:r>
            <w:r w:rsidR="00211D64">
              <w:rPr>
                <w:rFonts w:ascii="Arial Narrow" w:hAnsi="Arial Narrow"/>
                <w:noProof/>
                <w:webHidden/>
                <w:sz w:val="20"/>
                <w:szCs w:val="20"/>
              </w:rPr>
              <w:t>211</w:t>
            </w:r>
            <w:r w:rsidR="00EE4557" w:rsidRPr="00EE4557">
              <w:rPr>
                <w:rFonts w:ascii="Arial Narrow" w:hAnsi="Arial Narrow"/>
                <w:noProof/>
                <w:webHidden/>
                <w:sz w:val="20"/>
                <w:szCs w:val="20"/>
              </w:rPr>
              <w:fldChar w:fldCharType="end"/>
            </w:r>
          </w:hyperlink>
        </w:p>
        <w:p w14:paraId="0860D523" w14:textId="77777777" w:rsidR="00EE4557" w:rsidRPr="00EE4557" w:rsidRDefault="00816B15">
          <w:pPr>
            <w:pStyle w:val="TOC1"/>
            <w:rPr>
              <w:rFonts w:ascii="Arial Narrow" w:eastAsiaTheme="minorEastAsia" w:hAnsi="Arial Narrow" w:cstheme="minorBidi"/>
              <w:noProof/>
              <w:sz w:val="20"/>
              <w:szCs w:val="20"/>
            </w:rPr>
          </w:pPr>
          <w:hyperlink w:anchor="_Toc210747675" w:history="1">
            <w:r w:rsidR="00EE4557" w:rsidRPr="00EE4557">
              <w:rPr>
                <w:rStyle w:val="Hyperlink"/>
                <w:rFonts w:ascii="Arial Narrow" w:hAnsi="Arial Narrow" w:cs="Arial"/>
                <w:noProof/>
                <w:sz w:val="20"/>
                <w:szCs w:val="20"/>
                <w:lang w:val="bg-BG" w:eastAsia="bg-BG"/>
              </w:rPr>
              <w:t>5.</w:t>
            </w:r>
            <w:r w:rsidR="00EE4557" w:rsidRPr="00EE4557">
              <w:rPr>
                <w:rFonts w:ascii="Arial Narrow" w:eastAsiaTheme="minorEastAsia" w:hAnsi="Arial Narrow" w:cstheme="minorBidi"/>
                <w:noProof/>
                <w:sz w:val="20"/>
                <w:szCs w:val="20"/>
              </w:rPr>
              <w:tab/>
            </w:r>
            <w:r w:rsidR="00EE4557" w:rsidRPr="00EE4557">
              <w:rPr>
                <w:rStyle w:val="Hyperlink"/>
                <w:rFonts w:ascii="Arial Narrow" w:hAnsi="Arial Narrow" w:cs="Arial"/>
                <w:noProof/>
                <w:sz w:val="20"/>
                <w:szCs w:val="20"/>
                <w:lang w:val="bg-BG" w:eastAsia="bg-BG"/>
              </w:rPr>
              <w:t>Защита на горските територии</w:t>
            </w:r>
            <w:r w:rsidR="00EE4557" w:rsidRPr="00EE4557">
              <w:rPr>
                <w:rFonts w:ascii="Arial Narrow" w:hAnsi="Arial Narrow"/>
                <w:noProof/>
                <w:webHidden/>
                <w:sz w:val="20"/>
                <w:szCs w:val="20"/>
              </w:rPr>
              <w:tab/>
            </w:r>
            <w:r w:rsidR="00EE4557" w:rsidRPr="00EE4557">
              <w:rPr>
                <w:rFonts w:ascii="Arial Narrow" w:hAnsi="Arial Narrow"/>
                <w:noProof/>
                <w:webHidden/>
                <w:sz w:val="20"/>
                <w:szCs w:val="20"/>
              </w:rPr>
              <w:fldChar w:fldCharType="begin"/>
            </w:r>
            <w:r w:rsidR="00EE4557" w:rsidRPr="00EE4557">
              <w:rPr>
                <w:rFonts w:ascii="Arial Narrow" w:hAnsi="Arial Narrow"/>
                <w:noProof/>
                <w:webHidden/>
                <w:sz w:val="20"/>
                <w:szCs w:val="20"/>
              </w:rPr>
              <w:instrText xml:space="preserve"> PAGEREF _Toc210747675 \h </w:instrText>
            </w:r>
            <w:r w:rsidR="00EE4557" w:rsidRPr="00EE4557">
              <w:rPr>
                <w:rFonts w:ascii="Arial Narrow" w:hAnsi="Arial Narrow"/>
                <w:noProof/>
                <w:webHidden/>
                <w:sz w:val="20"/>
                <w:szCs w:val="20"/>
              </w:rPr>
            </w:r>
            <w:r w:rsidR="00EE4557" w:rsidRPr="00EE4557">
              <w:rPr>
                <w:rFonts w:ascii="Arial Narrow" w:hAnsi="Arial Narrow"/>
                <w:noProof/>
                <w:webHidden/>
                <w:sz w:val="20"/>
                <w:szCs w:val="20"/>
              </w:rPr>
              <w:fldChar w:fldCharType="separate"/>
            </w:r>
            <w:r w:rsidR="00211D64">
              <w:rPr>
                <w:rFonts w:ascii="Arial Narrow" w:hAnsi="Arial Narrow"/>
                <w:noProof/>
                <w:webHidden/>
                <w:sz w:val="20"/>
                <w:szCs w:val="20"/>
              </w:rPr>
              <w:t>211</w:t>
            </w:r>
            <w:r w:rsidR="00EE4557" w:rsidRPr="00EE4557">
              <w:rPr>
                <w:rFonts w:ascii="Arial Narrow" w:hAnsi="Arial Narrow"/>
                <w:noProof/>
                <w:webHidden/>
                <w:sz w:val="20"/>
                <w:szCs w:val="20"/>
              </w:rPr>
              <w:fldChar w:fldCharType="end"/>
            </w:r>
          </w:hyperlink>
        </w:p>
        <w:p w14:paraId="05DD5152" w14:textId="77777777" w:rsidR="00EE4557" w:rsidRPr="00EE4557" w:rsidRDefault="00816B15">
          <w:pPr>
            <w:pStyle w:val="TOC1"/>
            <w:rPr>
              <w:rFonts w:ascii="Arial Narrow" w:eastAsiaTheme="minorEastAsia" w:hAnsi="Arial Narrow" w:cstheme="minorBidi"/>
              <w:noProof/>
              <w:sz w:val="20"/>
              <w:szCs w:val="20"/>
            </w:rPr>
          </w:pPr>
          <w:hyperlink w:anchor="_Toc210747676" w:history="1">
            <w:r w:rsidR="00EE4557" w:rsidRPr="00EE4557">
              <w:rPr>
                <w:rStyle w:val="Hyperlink"/>
                <w:rFonts w:ascii="Arial Narrow" w:hAnsi="Arial Narrow" w:cs="Arial"/>
                <w:noProof/>
                <w:sz w:val="20"/>
                <w:szCs w:val="20"/>
                <w:lang w:val="bg-BG" w:eastAsia="bg-BG"/>
              </w:rPr>
              <w:t>5.1.</w:t>
            </w:r>
            <w:r w:rsidR="00EE4557" w:rsidRPr="00EE4557">
              <w:rPr>
                <w:rFonts w:ascii="Arial Narrow" w:eastAsiaTheme="minorEastAsia" w:hAnsi="Arial Narrow" w:cstheme="minorBidi"/>
                <w:noProof/>
                <w:sz w:val="20"/>
                <w:szCs w:val="20"/>
              </w:rPr>
              <w:tab/>
            </w:r>
            <w:r w:rsidR="00EE4557" w:rsidRPr="00EE4557">
              <w:rPr>
                <w:rStyle w:val="Hyperlink"/>
                <w:rFonts w:ascii="Arial Narrow" w:hAnsi="Arial Narrow" w:cs="Arial"/>
                <w:noProof/>
                <w:sz w:val="20"/>
                <w:szCs w:val="20"/>
                <w:lang w:val="bg-BG" w:eastAsia="bg-BG"/>
              </w:rPr>
              <w:t>Защита на горските територии от болести, вредители и други повреди</w:t>
            </w:r>
            <w:r w:rsidR="00EE4557" w:rsidRPr="00EE4557">
              <w:rPr>
                <w:rFonts w:ascii="Arial Narrow" w:hAnsi="Arial Narrow"/>
                <w:noProof/>
                <w:webHidden/>
                <w:sz w:val="20"/>
                <w:szCs w:val="20"/>
              </w:rPr>
              <w:tab/>
            </w:r>
            <w:r w:rsidR="00EE4557" w:rsidRPr="00EE4557">
              <w:rPr>
                <w:rFonts w:ascii="Arial Narrow" w:hAnsi="Arial Narrow"/>
                <w:noProof/>
                <w:webHidden/>
                <w:sz w:val="20"/>
                <w:szCs w:val="20"/>
              </w:rPr>
              <w:fldChar w:fldCharType="begin"/>
            </w:r>
            <w:r w:rsidR="00EE4557" w:rsidRPr="00EE4557">
              <w:rPr>
                <w:rFonts w:ascii="Arial Narrow" w:hAnsi="Arial Narrow"/>
                <w:noProof/>
                <w:webHidden/>
                <w:sz w:val="20"/>
                <w:szCs w:val="20"/>
              </w:rPr>
              <w:instrText xml:space="preserve"> PAGEREF _Toc210747676 \h </w:instrText>
            </w:r>
            <w:r w:rsidR="00EE4557" w:rsidRPr="00EE4557">
              <w:rPr>
                <w:rFonts w:ascii="Arial Narrow" w:hAnsi="Arial Narrow"/>
                <w:noProof/>
                <w:webHidden/>
                <w:sz w:val="20"/>
                <w:szCs w:val="20"/>
              </w:rPr>
            </w:r>
            <w:r w:rsidR="00EE4557" w:rsidRPr="00EE4557">
              <w:rPr>
                <w:rFonts w:ascii="Arial Narrow" w:hAnsi="Arial Narrow"/>
                <w:noProof/>
                <w:webHidden/>
                <w:sz w:val="20"/>
                <w:szCs w:val="20"/>
              </w:rPr>
              <w:fldChar w:fldCharType="separate"/>
            </w:r>
            <w:r w:rsidR="00211D64">
              <w:rPr>
                <w:rFonts w:ascii="Arial Narrow" w:hAnsi="Arial Narrow"/>
                <w:noProof/>
                <w:webHidden/>
                <w:sz w:val="20"/>
                <w:szCs w:val="20"/>
              </w:rPr>
              <w:t>211</w:t>
            </w:r>
            <w:r w:rsidR="00EE4557" w:rsidRPr="00EE4557">
              <w:rPr>
                <w:rFonts w:ascii="Arial Narrow" w:hAnsi="Arial Narrow"/>
                <w:noProof/>
                <w:webHidden/>
                <w:sz w:val="20"/>
                <w:szCs w:val="20"/>
              </w:rPr>
              <w:fldChar w:fldCharType="end"/>
            </w:r>
          </w:hyperlink>
        </w:p>
        <w:p w14:paraId="168573B5" w14:textId="77777777" w:rsidR="00EE4557" w:rsidRPr="00EE4557" w:rsidRDefault="00816B15">
          <w:pPr>
            <w:pStyle w:val="TOC1"/>
            <w:rPr>
              <w:rFonts w:ascii="Arial Narrow" w:eastAsiaTheme="minorEastAsia" w:hAnsi="Arial Narrow" w:cstheme="minorBidi"/>
              <w:noProof/>
              <w:sz w:val="20"/>
              <w:szCs w:val="20"/>
            </w:rPr>
          </w:pPr>
          <w:hyperlink w:anchor="_Toc210747677" w:history="1">
            <w:r w:rsidR="00EE4557" w:rsidRPr="00EE4557">
              <w:rPr>
                <w:rStyle w:val="Hyperlink"/>
                <w:rFonts w:ascii="Arial Narrow" w:hAnsi="Arial Narrow" w:cs="TimesNewRomanUnicode,Italic"/>
                <w:iCs/>
                <w:noProof/>
                <w:sz w:val="20"/>
                <w:szCs w:val="20"/>
                <w:lang w:val="bg-BG" w:eastAsia="bg-BG"/>
              </w:rPr>
              <w:t>5.2.</w:t>
            </w:r>
            <w:r w:rsidR="00EE4557" w:rsidRPr="00EE4557">
              <w:rPr>
                <w:rFonts w:ascii="Arial Narrow" w:eastAsiaTheme="minorEastAsia" w:hAnsi="Arial Narrow" w:cstheme="minorBidi"/>
                <w:noProof/>
                <w:sz w:val="20"/>
                <w:szCs w:val="20"/>
              </w:rPr>
              <w:tab/>
            </w:r>
            <w:r w:rsidR="00EE4557" w:rsidRPr="00EE4557">
              <w:rPr>
                <w:rStyle w:val="Hyperlink"/>
                <w:rFonts w:ascii="Arial Narrow" w:hAnsi="Arial Narrow" w:cs="TimesNewRomanUnicode,Italic"/>
                <w:iCs/>
                <w:noProof/>
                <w:sz w:val="20"/>
                <w:szCs w:val="20"/>
                <w:lang w:val="bg-BG" w:eastAsia="bg-BG"/>
              </w:rPr>
              <w:t>Защита на горите от пожари</w:t>
            </w:r>
            <w:r w:rsidR="00EE4557" w:rsidRPr="00EE4557">
              <w:rPr>
                <w:rFonts w:ascii="Arial Narrow" w:hAnsi="Arial Narrow"/>
                <w:noProof/>
                <w:webHidden/>
                <w:sz w:val="20"/>
                <w:szCs w:val="20"/>
              </w:rPr>
              <w:tab/>
            </w:r>
            <w:r w:rsidR="00EE4557" w:rsidRPr="00EE4557">
              <w:rPr>
                <w:rFonts w:ascii="Arial Narrow" w:hAnsi="Arial Narrow"/>
                <w:noProof/>
                <w:webHidden/>
                <w:sz w:val="20"/>
                <w:szCs w:val="20"/>
              </w:rPr>
              <w:fldChar w:fldCharType="begin"/>
            </w:r>
            <w:r w:rsidR="00EE4557" w:rsidRPr="00EE4557">
              <w:rPr>
                <w:rFonts w:ascii="Arial Narrow" w:hAnsi="Arial Narrow"/>
                <w:noProof/>
                <w:webHidden/>
                <w:sz w:val="20"/>
                <w:szCs w:val="20"/>
              </w:rPr>
              <w:instrText xml:space="preserve"> PAGEREF _Toc210747677 \h </w:instrText>
            </w:r>
            <w:r w:rsidR="00EE4557" w:rsidRPr="00EE4557">
              <w:rPr>
                <w:rFonts w:ascii="Arial Narrow" w:hAnsi="Arial Narrow"/>
                <w:noProof/>
                <w:webHidden/>
                <w:sz w:val="20"/>
                <w:szCs w:val="20"/>
              </w:rPr>
            </w:r>
            <w:r w:rsidR="00EE4557" w:rsidRPr="00EE4557">
              <w:rPr>
                <w:rFonts w:ascii="Arial Narrow" w:hAnsi="Arial Narrow"/>
                <w:noProof/>
                <w:webHidden/>
                <w:sz w:val="20"/>
                <w:szCs w:val="20"/>
              </w:rPr>
              <w:fldChar w:fldCharType="separate"/>
            </w:r>
            <w:r w:rsidR="00211D64">
              <w:rPr>
                <w:rFonts w:ascii="Arial Narrow" w:hAnsi="Arial Narrow"/>
                <w:noProof/>
                <w:webHidden/>
                <w:sz w:val="20"/>
                <w:szCs w:val="20"/>
              </w:rPr>
              <w:t>212</w:t>
            </w:r>
            <w:r w:rsidR="00EE4557" w:rsidRPr="00EE4557">
              <w:rPr>
                <w:rFonts w:ascii="Arial Narrow" w:hAnsi="Arial Narrow"/>
                <w:noProof/>
                <w:webHidden/>
                <w:sz w:val="20"/>
                <w:szCs w:val="20"/>
              </w:rPr>
              <w:fldChar w:fldCharType="end"/>
            </w:r>
          </w:hyperlink>
        </w:p>
        <w:p w14:paraId="18B4B415" w14:textId="77777777" w:rsidR="00EE4557" w:rsidRPr="00EE4557" w:rsidRDefault="00816B15">
          <w:pPr>
            <w:pStyle w:val="TOC1"/>
            <w:rPr>
              <w:rFonts w:ascii="Arial Narrow" w:eastAsiaTheme="minorEastAsia" w:hAnsi="Arial Narrow" w:cstheme="minorBidi"/>
              <w:noProof/>
              <w:sz w:val="20"/>
              <w:szCs w:val="20"/>
            </w:rPr>
          </w:pPr>
          <w:hyperlink w:anchor="_Toc210747678" w:history="1">
            <w:r w:rsidR="00EE4557" w:rsidRPr="00EE4557">
              <w:rPr>
                <w:rStyle w:val="Hyperlink"/>
                <w:rFonts w:ascii="Arial Narrow" w:hAnsi="Arial Narrow"/>
                <w:noProof/>
                <w:sz w:val="20"/>
                <w:szCs w:val="20"/>
                <w:lang w:val="bg-BG" w:eastAsia="bg-BG"/>
              </w:rPr>
              <w:t>6.</w:t>
            </w:r>
            <w:r w:rsidR="00EE4557" w:rsidRPr="00EE4557">
              <w:rPr>
                <w:rFonts w:ascii="Arial Narrow" w:eastAsiaTheme="minorEastAsia" w:hAnsi="Arial Narrow" w:cstheme="minorBidi"/>
                <w:noProof/>
                <w:sz w:val="20"/>
                <w:szCs w:val="20"/>
              </w:rPr>
              <w:tab/>
            </w:r>
            <w:r w:rsidR="00EE4557" w:rsidRPr="00EE4557">
              <w:rPr>
                <w:rStyle w:val="Hyperlink"/>
                <w:rFonts w:ascii="Arial Narrow" w:hAnsi="Arial Narrow"/>
                <w:noProof/>
                <w:sz w:val="20"/>
                <w:szCs w:val="20"/>
                <w:lang w:val="bg-BG" w:eastAsia="bg-BG"/>
              </w:rPr>
              <w:t>Защитени територии</w:t>
            </w:r>
            <w:r w:rsidR="00EE4557" w:rsidRPr="00EE4557">
              <w:rPr>
                <w:rFonts w:ascii="Arial Narrow" w:hAnsi="Arial Narrow"/>
                <w:noProof/>
                <w:webHidden/>
                <w:sz w:val="20"/>
                <w:szCs w:val="20"/>
              </w:rPr>
              <w:tab/>
            </w:r>
            <w:r w:rsidR="00EE4557" w:rsidRPr="00EE4557">
              <w:rPr>
                <w:rFonts w:ascii="Arial Narrow" w:hAnsi="Arial Narrow"/>
                <w:noProof/>
                <w:webHidden/>
                <w:sz w:val="20"/>
                <w:szCs w:val="20"/>
              </w:rPr>
              <w:fldChar w:fldCharType="begin"/>
            </w:r>
            <w:r w:rsidR="00EE4557" w:rsidRPr="00EE4557">
              <w:rPr>
                <w:rFonts w:ascii="Arial Narrow" w:hAnsi="Arial Narrow"/>
                <w:noProof/>
                <w:webHidden/>
                <w:sz w:val="20"/>
                <w:szCs w:val="20"/>
              </w:rPr>
              <w:instrText xml:space="preserve"> PAGEREF _Toc210747678 \h </w:instrText>
            </w:r>
            <w:r w:rsidR="00EE4557" w:rsidRPr="00EE4557">
              <w:rPr>
                <w:rFonts w:ascii="Arial Narrow" w:hAnsi="Arial Narrow"/>
                <w:noProof/>
                <w:webHidden/>
                <w:sz w:val="20"/>
                <w:szCs w:val="20"/>
              </w:rPr>
            </w:r>
            <w:r w:rsidR="00EE4557" w:rsidRPr="00EE4557">
              <w:rPr>
                <w:rFonts w:ascii="Arial Narrow" w:hAnsi="Arial Narrow"/>
                <w:noProof/>
                <w:webHidden/>
                <w:sz w:val="20"/>
                <w:szCs w:val="20"/>
              </w:rPr>
              <w:fldChar w:fldCharType="separate"/>
            </w:r>
            <w:r w:rsidR="00211D64">
              <w:rPr>
                <w:rFonts w:ascii="Arial Narrow" w:hAnsi="Arial Narrow"/>
                <w:noProof/>
                <w:webHidden/>
                <w:sz w:val="20"/>
                <w:szCs w:val="20"/>
              </w:rPr>
              <w:t>212</w:t>
            </w:r>
            <w:r w:rsidR="00EE4557" w:rsidRPr="00EE4557">
              <w:rPr>
                <w:rFonts w:ascii="Arial Narrow" w:hAnsi="Arial Narrow"/>
                <w:noProof/>
                <w:webHidden/>
                <w:sz w:val="20"/>
                <w:szCs w:val="20"/>
              </w:rPr>
              <w:fldChar w:fldCharType="end"/>
            </w:r>
          </w:hyperlink>
        </w:p>
        <w:p w14:paraId="676D4E7C" w14:textId="77777777" w:rsidR="00EE4557" w:rsidRPr="00EE4557" w:rsidRDefault="00816B15">
          <w:pPr>
            <w:pStyle w:val="TOC1"/>
            <w:rPr>
              <w:rFonts w:ascii="Arial Narrow" w:eastAsiaTheme="minorEastAsia" w:hAnsi="Arial Narrow" w:cstheme="minorBidi"/>
              <w:noProof/>
              <w:sz w:val="20"/>
              <w:szCs w:val="20"/>
            </w:rPr>
          </w:pPr>
          <w:hyperlink w:anchor="_Toc210747679" w:history="1">
            <w:r w:rsidR="00EE4557" w:rsidRPr="00EE4557">
              <w:rPr>
                <w:rStyle w:val="Hyperlink"/>
                <w:rFonts w:ascii="Arial Narrow" w:hAnsi="Arial Narrow"/>
                <w:noProof/>
                <w:sz w:val="20"/>
                <w:szCs w:val="20"/>
                <w:lang w:val="bg-BG" w:eastAsia="bg-BG"/>
              </w:rPr>
              <w:t>7.</w:t>
            </w:r>
            <w:r w:rsidR="00EE4557" w:rsidRPr="00EE4557">
              <w:rPr>
                <w:rFonts w:ascii="Arial Narrow" w:eastAsiaTheme="minorEastAsia" w:hAnsi="Arial Narrow" w:cstheme="minorBidi"/>
                <w:noProof/>
                <w:sz w:val="20"/>
                <w:szCs w:val="20"/>
              </w:rPr>
              <w:tab/>
            </w:r>
            <w:r w:rsidR="00EE4557" w:rsidRPr="00EE4557">
              <w:rPr>
                <w:rStyle w:val="Hyperlink"/>
                <w:rFonts w:ascii="Arial Narrow" w:hAnsi="Arial Narrow"/>
                <w:noProof/>
                <w:sz w:val="20"/>
                <w:szCs w:val="20"/>
                <w:lang w:val="bg-BG" w:eastAsia="bg-BG"/>
              </w:rPr>
              <w:t>Горска сертификация</w:t>
            </w:r>
            <w:r w:rsidR="00EE4557" w:rsidRPr="00EE4557">
              <w:rPr>
                <w:rFonts w:ascii="Arial Narrow" w:hAnsi="Arial Narrow"/>
                <w:noProof/>
                <w:webHidden/>
                <w:sz w:val="20"/>
                <w:szCs w:val="20"/>
              </w:rPr>
              <w:tab/>
            </w:r>
            <w:r w:rsidR="00EE4557" w:rsidRPr="00EE4557">
              <w:rPr>
                <w:rFonts w:ascii="Arial Narrow" w:hAnsi="Arial Narrow"/>
                <w:noProof/>
                <w:webHidden/>
                <w:sz w:val="20"/>
                <w:szCs w:val="20"/>
              </w:rPr>
              <w:fldChar w:fldCharType="begin"/>
            </w:r>
            <w:r w:rsidR="00EE4557" w:rsidRPr="00EE4557">
              <w:rPr>
                <w:rFonts w:ascii="Arial Narrow" w:hAnsi="Arial Narrow"/>
                <w:noProof/>
                <w:webHidden/>
                <w:sz w:val="20"/>
                <w:szCs w:val="20"/>
              </w:rPr>
              <w:instrText xml:space="preserve"> PAGEREF _Toc210747679 \h </w:instrText>
            </w:r>
            <w:r w:rsidR="00EE4557" w:rsidRPr="00EE4557">
              <w:rPr>
                <w:rFonts w:ascii="Arial Narrow" w:hAnsi="Arial Narrow"/>
                <w:noProof/>
                <w:webHidden/>
                <w:sz w:val="20"/>
                <w:szCs w:val="20"/>
              </w:rPr>
            </w:r>
            <w:r w:rsidR="00EE4557" w:rsidRPr="00EE4557">
              <w:rPr>
                <w:rFonts w:ascii="Arial Narrow" w:hAnsi="Arial Narrow"/>
                <w:noProof/>
                <w:webHidden/>
                <w:sz w:val="20"/>
                <w:szCs w:val="20"/>
              </w:rPr>
              <w:fldChar w:fldCharType="separate"/>
            </w:r>
            <w:r w:rsidR="00211D64">
              <w:rPr>
                <w:rFonts w:ascii="Arial Narrow" w:hAnsi="Arial Narrow"/>
                <w:noProof/>
                <w:webHidden/>
                <w:sz w:val="20"/>
                <w:szCs w:val="20"/>
              </w:rPr>
              <w:t>216</w:t>
            </w:r>
            <w:r w:rsidR="00EE4557" w:rsidRPr="00EE4557">
              <w:rPr>
                <w:rFonts w:ascii="Arial Narrow" w:hAnsi="Arial Narrow"/>
                <w:noProof/>
                <w:webHidden/>
                <w:sz w:val="20"/>
                <w:szCs w:val="20"/>
              </w:rPr>
              <w:fldChar w:fldCharType="end"/>
            </w:r>
          </w:hyperlink>
        </w:p>
        <w:p w14:paraId="6768E87A" w14:textId="77777777" w:rsidR="00EE4557" w:rsidRPr="00EE4557" w:rsidRDefault="00816B15">
          <w:pPr>
            <w:pStyle w:val="TOC1"/>
            <w:rPr>
              <w:rFonts w:ascii="Arial Narrow" w:eastAsiaTheme="minorEastAsia" w:hAnsi="Arial Narrow" w:cstheme="minorBidi"/>
              <w:noProof/>
              <w:sz w:val="20"/>
              <w:szCs w:val="20"/>
            </w:rPr>
          </w:pPr>
          <w:hyperlink w:anchor="_Toc210747680" w:history="1">
            <w:r w:rsidR="00EE4557" w:rsidRPr="00EE4557">
              <w:rPr>
                <w:rStyle w:val="Hyperlink"/>
                <w:rFonts w:ascii="Arial Narrow" w:hAnsi="Arial Narrow"/>
                <w:noProof/>
                <w:sz w:val="20"/>
                <w:szCs w:val="20"/>
                <w:lang w:val="bg-BG" w:eastAsia="bg-BG"/>
              </w:rPr>
              <w:t>8.</w:t>
            </w:r>
            <w:r w:rsidR="00EE4557" w:rsidRPr="00EE4557">
              <w:rPr>
                <w:rFonts w:ascii="Arial Narrow" w:eastAsiaTheme="minorEastAsia" w:hAnsi="Arial Narrow" w:cstheme="minorBidi"/>
                <w:noProof/>
                <w:sz w:val="20"/>
                <w:szCs w:val="20"/>
              </w:rPr>
              <w:tab/>
            </w:r>
            <w:r w:rsidR="00EE4557" w:rsidRPr="00EE4557">
              <w:rPr>
                <w:rStyle w:val="Hyperlink"/>
                <w:rFonts w:ascii="Arial Narrow" w:hAnsi="Arial Narrow"/>
                <w:noProof/>
                <w:sz w:val="20"/>
                <w:szCs w:val="20"/>
                <w:lang w:val="bg-BG" w:eastAsia="bg-BG"/>
              </w:rPr>
              <w:t>Инвентаризация и планиране в горските територии</w:t>
            </w:r>
            <w:r w:rsidR="00EE4557" w:rsidRPr="00EE4557">
              <w:rPr>
                <w:rFonts w:ascii="Arial Narrow" w:hAnsi="Arial Narrow"/>
                <w:noProof/>
                <w:webHidden/>
                <w:sz w:val="20"/>
                <w:szCs w:val="20"/>
              </w:rPr>
              <w:tab/>
            </w:r>
            <w:r w:rsidR="00EE4557" w:rsidRPr="00EE4557">
              <w:rPr>
                <w:rFonts w:ascii="Arial Narrow" w:hAnsi="Arial Narrow"/>
                <w:noProof/>
                <w:webHidden/>
                <w:sz w:val="20"/>
                <w:szCs w:val="20"/>
              </w:rPr>
              <w:fldChar w:fldCharType="begin"/>
            </w:r>
            <w:r w:rsidR="00EE4557" w:rsidRPr="00EE4557">
              <w:rPr>
                <w:rFonts w:ascii="Arial Narrow" w:hAnsi="Arial Narrow"/>
                <w:noProof/>
                <w:webHidden/>
                <w:sz w:val="20"/>
                <w:szCs w:val="20"/>
              </w:rPr>
              <w:instrText xml:space="preserve"> PAGEREF _Toc210747680 \h </w:instrText>
            </w:r>
            <w:r w:rsidR="00EE4557" w:rsidRPr="00EE4557">
              <w:rPr>
                <w:rFonts w:ascii="Arial Narrow" w:hAnsi="Arial Narrow"/>
                <w:noProof/>
                <w:webHidden/>
                <w:sz w:val="20"/>
                <w:szCs w:val="20"/>
              </w:rPr>
            </w:r>
            <w:r w:rsidR="00EE4557" w:rsidRPr="00EE4557">
              <w:rPr>
                <w:rFonts w:ascii="Arial Narrow" w:hAnsi="Arial Narrow"/>
                <w:noProof/>
                <w:webHidden/>
                <w:sz w:val="20"/>
                <w:szCs w:val="20"/>
              </w:rPr>
              <w:fldChar w:fldCharType="separate"/>
            </w:r>
            <w:r w:rsidR="00211D64">
              <w:rPr>
                <w:rFonts w:ascii="Arial Narrow" w:hAnsi="Arial Narrow"/>
                <w:noProof/>
                <w:webHidden/>
                <w:sz w:val="20"/>
                <w:szCs w:val="20"/>
              </w:rPr>
              <w:t>216</w:t>
            </w:r>
            <w:r w:rsidR="00EE4557" w:rsidRPr="00EE4557">
              <w:rPr>
                <w:rFonts w:ascii="Arial Narrow" w:hAnsi="Arial Narrow"/>
                <w:noProof/>
                <w:webHidden/>
                <w:sz w:val="20"/>
                <w:szCs w:val="20"/>
              </w:rPr>
              <w:fldChar w:fldCharType="end"/>
            </w:r>
          </w:hyperlink>
        </w:p>
        <w:p w14:paraId="3EAB6CB5" w14:textId="77777777" w:rsidR="00EE4557" w:rsidRPr="00EE4557" w:rsidRDefault="00816B15">
          <w:pPr>
            <w:pStyle w:val="TOC1"/>
            <w:rPr>
              <w:rFonts w:ascii="Arial Narrow" w:eastAsiaTheme="minorEastAsia" w:hAnsi="Arial Narrow" w:cstheme="minorBidi"/>
              <w:noProof/>
              <w:sz w:val="20"/>
              <w:szCs w:val="20"/>
            </w:rPr>
          </w:pPr>
          <w:hyperlink w:anchor="_Toc210747681" w:history="1">
            <w:r w:rsidR="00EE4557" w:rsidRPr="00EE4557">
              <w:rPr>
                <w:rStyle w:val="Hyperlink"/>
                <w:rFonts w:ascii="Arial Narrow" w:hAnsi="Arial Narrow"/>
                <w:noProof/>
                <w:sz w:val="20"/>
                <w:szCs w:val="20"/>
                <w:lang w:val="bg-BG" w:eastAsia="bg-BG"/>
              </w:rPr>
              <w:t>9.</w:t>
            </w:r>
            <w:r w:rsidR="00EE4557" w:rsidRPr="00EE4557">
              <w:rPr>
                <w:rFonts w:ascii="Arial Narrow" w:eastAsiaTheme="minorEastAsia" w:hAnsi="Arial Narrow" w:cstheme="minorBidi"/>
                <w:noProof/>
                <w:sz w:val="20"/>
                <w:szCs w:val="20"/>
              </w:rPr>
              <w:tab/>
            </w:r>
            <w:r w:rsidR="00EE4557" w:rsidRPr="00EE4557">
              <w:rPr>
                <w:rStyle w:val="Hyperlink"/>
                <w:rFonts w:ascii="Arial Narrow" w:hAnsi="Arial Narrow"/>
                <w:noProof/>
                <w:sz w:val="20"/>
                <w:szCs w:val="20"/>
                <w:lang w:val="bg-BG" w:eastAsia="bg-BG"/>
              </w:rPr>
              <w:t>Ловно стопанство</w:t>
            </w:r>
            <w:r w:rsidR="00EE4557" w:rsidRPr="00EE4557">
              <w:rPr>
                <w:rFonts w:ascii="Arial Narrow" w:hAnsi="Arial Narrow"/>
                <w:noProof/>
                <w:webHidden/>
                <w:sz w:val="20"/>
                <w:szCs w:val="20"/>
              </w:rPr>
              <w:tab/>
            </w:r>
            <w:r w:rsidR="00EE4557" w:rsidRPr="00EE4557">
              <w:rPr>
                <w:rFonts w:ascii="Arial Narrow" w:hAnsi="Arial Narrow"/>
                <w:noProof/>
                <w:webHidden/>
                <w:sz w:val="20"/>
                <w:szCs w:val="20"/>
              </w:rPr>
              <w:fldChar w:fldCharType="begin"/>
            </w:r>
            <w:r w:rsidR="00EE4557" w:rsidRPr="00EE4557">
              <w:rPr>
                <w:rFonts w:ascii="Arial Narrow" w:hAnsi="Arial Narrow"/>
                <w:noProof/>
                <w:webHidden/>
                <w:sz w:val="20"/>
                <w:szCs w:val="20"/>
              </w:rPr>
              <w:instrText xml:space="preserve"> PAGEREF _Toc210747681 \h </w:instrText>
            </w:r>
            <w:r w:rsidR="00EE4557" w:rsidRPr="00EE4557">
              <w:rPr>
                <w:rFonts w:ascii="Arial Narrow" w:hAnsi="Arial Narrow"/>
                <w:noProof/>
                <w:webHidden/>
                <w:sz w:val="20"/>
                <w:szCs w:val="20"/>
              </w:rPr>
            </w:r>
            <w:r w:rsidR="00EE4557" w:rsidRPr="00EE4557">
              <w:rPr>
                <w:rFonts w:ascii="Arial Narrow" w:hAnsi="Arial Narrow"/>
                <w:noProof/>
                <w:webHidden/>
                <w:sz w:val="20"/>
                <w:szCs w:val="20"/>
              </w:rPr>
              <w:fldChar w:fldCharType="separate"/>
            </w:r>
            <w:r w:rsidR="00211D64">
              <w:rPr>
                <w:rFonts w:ascii="Arial Narrow" w:hAnsi="Arial Narrow"/>
                <w:noProof/>
                <w:webHidden/>
                <w:sz w:val="20"/>
                <w:szCs w:val="20"/>
              </w:rPr>
              <w:t>218</w:t>
            </w:r>
            <w:r w:rsidR="00EE4557" w:rsidRPr="00EE4557">
              <w:rPr>
                <w:rFonts w:ascii="Arial Narrow" w:hAnsi="Arial Narrow"/>
                <w:noProof/>
                <w:webHidden/>
                <w:sz w:val="20"/>
                <w:szCs w:val="20"/>
              </w:rPr>
              <w:fldChar w:fldCharType="end"/>
            </w:r>
          </w:hyperlink>
        </w:p>
        <w:p w14:paraId="5176342B" w14:textId="77777777" w:rsidR="00EE4557" w:rsidRPr="00EE4557" w:rsidRDefault="00816B15">
          <w:pPr>
            <w:pStyle w:val="TOC1"/>
            <w:rPr>
              <w:rFonts w:ascii="Arial Narrow" w:eastAsiaTheme="minorEastAsia" w:hAnsi="Arial Narrow" w:cstheme="minorBidi"/>
              <w:noProof/>
              <w:sz w:val="20"/>
              <w:szCs w:val="20"/>
            </w:rPr>
          </w:pPr>
          <w:hyperlink w:anchor="_Toc210747682" w:history="1">
            <w:r w:rsidR="00EE4557" w:rsidRPr="00EE4557">
              <w:rPr>
                <w:rStyle w:val="Hyperlink"/>
                <w:rFonts w:ascii="Arial Narrow" w:hAnsi="Arial Narrow"/>
                <w:noProof/>
                <w:sz w:val="20"/>
                <w:szCs w:val="20"/>
                <w:lang w:val="bg-BG" w:eastAsia="bg-BG"/>
              </w:rPr>
              <w:t>10.</w:t>
            </w:r>
            <w:r w:rsidR="00EE4557" w:rsidRPr="00EE4557">
              <w:rPr>
                <w:rFonts w:ascii="Arial Narrow" w:eastAsiaTheme="minorEastAsia" w:hAnsi="Arial Narrow" w:cstheme="minorBidi"/>
                <w:noProof/>
                <w:sz w:val="20"/>
                <w:szCs w:val="20"/>
              </w:rPr>
              <w:tab/>
            </w:r>
            <w:r w:rsidR="00EE4557" w:rsidRPr="00EE4557">
              <w:rPr>
                <w:rStyle w:val="Hyperlink"/>
                <w:rFonts w:ascii="Arial Narrow" w:hAnsi="Arial Narrow"/>
                <w:noProof/>
                <w:sz w:val="20"/>
                <w:szCs w:val="20"/>
                <w:lang w:val="bg-BG" w:eastAsia="bg-BG"/>
              </w:rPr>
              <w:t>Опазване на горските територии и контрол</w:t>
            </w:r>
            <w:r w:rsidR="00EE4557" w:rsidRPr="00EE4557">
              <w:rPr>
                <w:rFonts w:ascii="Arial Narrow" w:hAnsi="Arial Narrow"/>
                <w:noProof/>
                <w:webHidden/>
                <w:sz w:val="20"/>
                <w:szCs w:val="20"/>
              </w:rPr>
              <w:tab/>
            </w:r>
            <w:r w:rsidR="00EE4557" w:rsidRPr="00EE4557">
              <w:rPr>
                <w:rFonts w:ascii="Arial Narrow" w:hAnsi="Arial Narrow"/>
                <w:noProof/>
                <w:webHidden/>
                <w:sz w:val="20"/>
                <w:szCs w:val="20"/>
              </w:rPr>
              <w:fldChar w:fldCharType="begin"/>
            </w:r>
            <w:r w:rsidR="00EE4557" w:rsidRPr="00EE4557">
              <w:rPr>
                <w:rFonts w:ascii="Arial Narrow" w:hAnsi="Arial Narrow"/>
                <w:noProof/>
                <w:webHidden/>
                <w:sz w:val="20"/>
                <w:szCs w:val="20"/>
              </w:rPr>
              <w:instrText xml:space="preserve"> PAGEREF _Toc210747682 \h </w:instrText>
            </w:r>
            <w:r w:rsidR="00EE4557" w:rsidRPr="00EE4557">
              <w:rPr>
                <w:rFonts w:ascii="Arial Narrow" w:hAnsi="Arial Narrow"/>
                <w:noProof/>
                <w:webHidden/>
                <w:sz w:val="20"/>
                <w:szCs w:val="20"/>
              </w:rPr>
            </w:r>
            <w:r w:rsidR="00EE4557" w:rsidRPr="00EE4557">
              <w:rPr>
                <w:rFonts w:ascii="Arial Narrow" w:hAnsi="Arial Narrow"/>
                <w:noProof/>
                <w:webHidden/>
                <w:sz w:val="20"/>
                <w:szCs w:val="20"/>
              </w:rPr>
              <w:fldChar w:fldCharType="separate"/>
            </w:r>
            <w:r w:rsidR="00211D64">
              <w:rPr>
                <w:rFonts w:ascii="Arial Narrow" w:hAnsi="Arial Narrow"/>
                <w:noProof/>
                <w:webHidden/>
                <w:sz w:val="20"/>
                <w:szCs w:val="20"/>
              </w:rPr>
              <w:t>220</w:t>
            </w:r>
            <w:r w:rsidR="00EE4557" w:rsidRPr="00EE4557">
              <w:rPr>
                <w:rFonts w:ascii="Arial Narrow" w:hAnsi="Arial Narrow"/>
                <w:noProof/>
                <w:webHidden/>
                <w:sz w:val="20"/>
                <w:szCs w:val="20"/>
              </w:rPr>
              <w:fldChar w:fldCharType="end"/>
            </w:r>
          </w:hyperlink>
        </w:p>
        <w:p w14:paraId="3EBC3C59" w14:textId="77777777" w:rsidR="00EE4557" w:rsidRPr="00EE4557" w:rsidRDefault="00816B15">
          <w:pPr>
            <w:pStyle w:val="TOC1"/>
            <w:rPr>
              <w:rFonts w:ascii="Arial Narrow" w:eastAsiaTheme="minorEastAsia" w:hAnsi="Arial Narrow" w:cstheme="minorBidi"/>
              <w:noProof/>
              <w:sz w:val="20"/>
              <w:szCs w:val="20"/>
            </w:rPr>
          </w:pPr>
          <w:hyperlink w:anchor="_Toc210747683" w:history="1">
            <w:r w:rsidR="00EE4557" w:rsidRPr="00EE4557">
              <w:rPr>
                <w:rStyle w:val="Hyperlink"/>
                <w:rFonts w:ascii="Arial Narrow" w:hAnsi="Arial Narrow" w:cs="Arial"/>
                <w:noProof/>
                <w:sz w:val="20"/>
                <w:szCs w:val="20"/>
                <w:lang w:val="bg-BG" w:eastAsia="bg-BG"/>
              </w:rPr>
              <w:t>11.</w:t>
            </w:r>
            <w:r w:rsidR="00EE4557" w:rsidRPr="00EE4557">
              <w:rPr>
                <w:rFonts w:ascii="Arial Narrow" w:eastAsiaTheme="minorEastAsia" w:hAnsi="Arial Narrow" w:cstheme="minorBidi"/>
                <w:noProof/>
                <w:sz w:val="20"/>
                <w:szCs w:val="20"/>
              </w:rPr>
              <w:tab/>
            </w:r>
            <w:r w:rsidR="00EE4557" w:rsidRPr="00EE4557">
              <w:rPr>
                <w:rStyle w:val="Hyperlink"/>
                <w:rFonts w:ascii="Arial Narrow" w:hAnsi="Arial Narrow" w:cs="Arial"/>
                <w:noProof/>
                <w:sz w:val="20"/>
                <w:szCs w:val="20"/>
                <w:lang w:val="bg-BG" w:eastAsia="bg-BG"/>
              </w:rPr>
              <w:t>Стратегическо планиране, усъвършенстване на нормативната база и международни дейности</w:t>
            </w:r>
            <w:r w:rsidR="00EE4557" w:rsidRPr="00EE4557">
              <w:rPr>
                <w:rFonts w:ascii="Arial Narrow" w:hAnsi="Arial Narrow"/>
                <w:noProof/>
                <w:webHidden/>
                <w:sz w:val="20"/>
                <w:szCs w:val="20"/>
              </w:rPr>
              <w:tab/>
            </w:r>
            <w:r w:rsidR="00EE4557" w:rsidRPr="00EE4557">
              <w:rPr>
                <w:rFonts w:ascii="Arial Narrow" w:hAnsi="Arial Narrow"/>
                <w:noProof/>
                <w:webHidden/>
                <w:sz w:val="20"/>
                <w:szCs w:val="20"/>
              </w:rPr>
              <w:fldChar w:fldCharType="begin"/>
            </w:r>
            <w:r w:rsidR="00EE4557" w:rsidRPr="00EE4557">
              <w:rPr>
                <w:rFonts w:ascii="Arial Narrow" w:hAnsi="Arial Narrow"/>
                <w:noProof/>
                <w:webHidden/>
                <w:sz w:val="20"/>
                <w:szCs w:val="20"/>
              </w:rPr>
              <w:instrText xml:space="preserve"> PAGEREF _Toc210747683 \h </w:instrText>
            </w:r>
            <w:r w:rsidR="00EE4557" w:rsidRPr="00EE4557">
              <w:rPr>
                <w:rFonts w:ascii="Arial Narrow" w:hAnsi="Arial Narrow"/>
                <w:noProof/>
                <w:webHidden/>
                <w:sz w:val="20"/>
                <w:szCs w:val="20"/>
              </w:rPr>
            </w:r>
            <w:r w:rsidR="00EE4557" w:rsidRPr="00EE4557">
              <w:rPr>
                <w:rFonts w:ascii="Arial Narrow" w:hAnsi="Arial Narrow"/>
                <w:noProof/>
                <w:webHidden/>
                <w:sz w:val="20"/>
                <w:szCs w:val="20"/>
              </w:rPr>
              <w:fldChar w:fldCharType="separate"/>
            </w:r>
            <w:r w:rsidR="00211D64">
              <w:rPr>
                <w:rFonts w:ascii="Arial Narrow" w:hAnsi="Arial Narrow"/>
                <w:noProof/>
                <w:webHidden/>
                <w:sz w:val="20"/>
                <w:szCs w:val="20"/>
              </w:rPr>
              <w:t>221</w:t>
            </w:r>
            <w:r w:rsidR="00EE4557" w:rsidRPr="00EE4557">
              <w:rPr>
                <w:rFonts w:ascii="Arial Narrow" w:hAnsi="Arial Narrow"/>
                <w:noProof/>
                <w:webHidden/>
                <w:sz w:val="20"/>
                <w:szCs w:val="20"/>
              </w:rPr>
              <w:fldChar w:fldCharType="end"/>
            </w:r>
          </w:hyperlink>
        </w:p>
        <w:p w14:paraId="5663FD4B" w14:textId="77777777" w:rsidR="00EE4557" w:rsidRPr="00EE4557" w:rsidRDefault="00816B15">
          <w:pPr>
            <w:pStyle w:val="TOC1"/>
            <w:rPr>
              <w:rFonts w:ascii="Arial Narrow" w:eastAsiaTheme="minorEastAsia" w:hAnsi="Arial Narrow" w:cstheme="minorBidi"/>
              <w:noProof/>
              <w:sz w:val="20"/>
              <w:szCs w:val="20"/>
            </w:rPr>
          </w:pPr>
          <w:hyperlink w:anchor="_Toc210747684" w:history="1">
            <w:r w:rsidR="00EE4557" w:rsidRPr="00EE4557">
              <w:rPr>
                <w:rStyle w:val="Hyperlink"/>
                <w:rFonts w:ascii="Arial Narrow" w:hAnsi="Arial Narrow" w:cs="Arial"/>
                <w:noProof/>
                <w:sz w:val="20"/>
                <w:szCs w:val="20"/>
                <w:lang w:val="bg-BG" w:eastAsia="bg-BG"/>
              </w:rPr>
              <w:t>12.</w:t>
            </w:r>
            <w:r w:rsidR="00EE4557" w:rsidRPr="00EE4557">
              <w:rPr>
                <w:rFonts w:ascii="Arial Narrow" w:eastAsiaTheme="minorEastAsia" w:hAnsi="Arial Narrow" w:cstheme="minorBidi"/>
                <w:noProof/>
                <w:sz w:val="20"/>
                <w:szCs w:val="20"/>
              </w:rPr>
              <w:tab/>
            </w:r>
            <w:r w:rsidR="00EE4557" w:rsidRPr="00EE4557">
              <w:rPr>
                <w:rStyle w:val="Hyperlink"/>
                <w:rFonts w:ascii="Arial Narrow" w:hAnsi="Arial Narrow" w:cs="Arial"/>
                <w:noProof/>
                <w:sz w:val="20"/>
                <w:szCs w:val="20"/>
                <w:lang w:val="bg-BG" w:eastAsia="bg-BG"/>
              </w:rPr>
              <w:t>Финансиране и инвестиции в горските територии</w:t>
            </w:r>
            <w:r w:rsidR="00EE4557" w:rsidRPr="00EE4557">
              <w:rPr>
                <w:rFonts w:ascii="Arial Narrow" w:hAnsi="Arial Narrow"/>
                <w:noProof/>
                <w:webHidden/>
                <w:sz w:val="20"/>
                <w:szCs w:val="20"/>
              </w:rPr>
              <w:tab/>
            </w:r>
            <w:r w:rsidR="00EE4557" w:rsidRPr="00EE4557">
              <w:rPr>
                <w:rFonts w:ascii="Arial Narrow" w:hAnsi="Arial Narrow"/>
                <w:noProof/>
                <w:webHidden/>
                <w:sz w:val="20"/>
                <w:szCs w:val="20"/>
              </w:rPr>
              <w:fldChar w:fldCharType="begin"/>
            </w:r>
            <w:r w:rsidR="00EE4557" w:rsidRPr="00EE4557">
              <w:rPr>
                <w:rFonts w:ascii="Arial Narrow" w:hAnsi="Arial Narrow"/>
                <w:noProof/>
                <w:webHidden/>
                <w:sz w:val="20"/>
                <w:szCs w:val="20"/>
              </w:rPr>
              <w:instrText xml:space="preserve"> PAGEREF _Toc210747684 \h </w:instrText>
            </w:r>
            <w:r w:rsidR="00EE4557" w:rsidRPr="00EE4557">
              <w:rPr>
                <w:rFonts w:ascii="Arial Narrow" w:hAnsi="Arial Narrow"/>
                <w:noProof/>
                <w:webHidden/>
                <w:sz w:val="20"/>
                <w:szCs w:val="20"/>
              </w:rPr>
            </w:r>
            <w:r w:rsidR="00EE4557" w:rsidRPr="00EE4557">
              <w:rPr>
                <w:rFonts w:ascii="Arial Narrow" w:hAnsi="Arial Narrow"/>
                <w:noProof/>
                <w:webHidden/>
                <w:sz w:val="20"/>
                <w:szCs w:val="20"/>
              </w:rPr>
              <w:fldChar w:fldCharType="separate"/>
            </w:r>
            <w:r w:rsidR="00211D64">
              <w:rPr>
                <w:rFonts w:ascii="Arial Narrow" w:hAnsi="Arial Narrow"/>
                <w:noProof/>
                <w:webHidden/>
                <w:sz w:val="20"/>
                <w:szCs w:val="20"/>
              </w:rPr>
              <w:t>222</w:t>
            </w:r>
            <w:r w:rsidR="00EE4557" w:rsidRPr="00EE4557">
              <w:rPr>
                <w:rFonts w:ascii="Arial Narrow" w:hAnsi="Arial Narrow"/>
                <w:noProof/>
                <w:webHidden/>
                <w:sz w:val="20"/>
                <w:szCs w:val="20"/>
              </w:rPr>
              <w:fldChar w:fldCharType="end"/>
            </w:r>
          </w:hyperlink>
        </w:p>
        <w:p w14:paraId="54F913B7" w14:textId="77777777" w:rsidR="00EE4557" w:rsidRPr="00EE4557" w:rsidRDefault="00816B15">
          <w:pPr>
            <w:pStyle w:val="TOC1"/>
            <w:rPr>
              <w:rFonts w:ascii="Arial Narrow" w:eastAsiaTheme="minorEastAsia" w:hAnsi="Arial Narrow" w:cstheme="minorBidi"/>
              <w:noProof/>
              <w:sz w:val="20"/>
              <w:szCs w:val="20"/>
            </w:rPr>
          </w:pPr>
          <w:hyperlink w:anchor="_Toc210747685" w:history="1">
            <w:r w:rsidR="00EE4557" w:rsidRPr="00EE4557">
              <w:rPr>
                <w:rStyle w:val="Hyperlink"/>
                <w:rFonts w:ascii="Arial Narrow" w:hAnsi="Arial Narrow" w:cs="Arial"/>
                <w:noProof/>
                <w:sz w:val="20"/>
                <w:szCs w:val="20"/>
                <w:lang w:val="bg-BG" w:eastAsia="bg-BG"/>
              </w:rPr>
              <w:t>12.1.</w:t>
            </w:r>
            <w:r w:rsidR="00EE4557" w:rsidRPr="00EE4557">
              <w:rPr>
                <w:rFonts w:ascii="Arial Narrow" w:eastAsiaTheme="minorEastAsia" w:hAnsi="Arial Narrow" w:cstheme="minorBidi"/>
                <w:noProof/>
                <w:sz w:val="20"/>
                <w:szCs w:val="20"/>
              </w:rPr>
              <w:tab/>
            </w:r>
            <w:r w:rsidR="00EE4557" w:rsidRPr="00EE4557">
              <w:rPr>
                <w:rStyle w:val="Hyperlink"/>
                <w:rFonts w:ascii="Arial Narrow" w:hAnsi="Arial Narrow" w:cs="Arial"/>
                <w:noProof/>
                <w:sz w:val="20"/>
                <w:szCs w:val="20"/>
                <w:lang w:val="bg-BG" w:eastAsia="bg-BG"/>
              </w:rPr>
              <w:t>Изпълнителна агенция по горите</w:t>
            </w:r>
            <w:r w:rsidR="00EE4557" w:rsidRPr="00EE4557">
              <w:rPr>
                <w:rFonts w:ascii="Arial Narrow" w:hAnsi="Arial Narrow"/>
                <w:noProof/>
                <w:webHidden/>
                <w:sz w:val="20"/>
                <w:szCs w:val="20"/>
              </w:rPr>
              <w:tab/>
            </w:r>
            <w:r w:rsidR="00EE4557" w:rsidRPr="00EE4557">
              <w:rPr>
                <w:rFonts w:ascii="Arial Narrow" w:hAnsi="Arial Narrow"/>
                <w:noProof/>
                <w:webHidden/>
                <w:sz w:val="20"/>
                <w:szCs w:val="20"/>
              </w:rPr>
              <w:fldChar w:fldCharType="begin"/>
            </w:r>
            <w:r w:rsidR="00EE4557" w:rsidRPr="00EE4557">
              <w:rPr>
                <w:rFonts w:ascii="Arial Narrow" w:hAnsi="Arial Narrow"/>
                <w:noProof/>
                <w:webHidden/>
                <w:sz w:val="20"/>
                <w:szCs w:val="20"/>
              </w:rPr>
              <w:instrText xml:space="preserve"> PAGEREF _Toc210747685 \h </w:instrText>
            </w:r>
            <w:r w:rsidR="00EE4557" w:rsidRPr="00EE4557">
              <w:rPr>
                <w:rFonts w:ascii="Arial Narrow" w:hAnsi="Arial Narrow"/>
                <w:noProof/>
                <w:webHidden/>
                <w:sz w:val="20"/>
                <w:szCs w:val="20"/>
              </w:rPr>
            </w:r>
            <w:r w:rsidR="00EE4557" w:rsidRPr="00EE4557">
              <w:rPr>
                <w:rFonts w:ascii="Arial Narrow" w:hAnsi="Arial Narrow"/>
                <w:noProof/>
                <w:webHidden/>
                <w:sz w:val="20"/>
                <w:szCs w:val="20"/>
              </w:rPr>
              <w:fldChar w:fldCharType="separate"/>
            </w:r>
            <w:r w:rsidR="00211D64">
              <w:rPr>
                <w:rFonts w:ascii="Arial Narrow" w:hAnsi="Arial Narrow"/>
                <w:noProof/>
                <w:webHidden/>
                <w:sz w:val="20"/>
                <w:szCs w:val="20"/>
              </w:rPr>
              <w:t>222</w:t>
            </w:r>
            <w:r w:rsidR="00EE4557" w:rsidRPr="00EE4557">
              <w:rPr>
                <w:rFonts w:ascii="Arial Narrow" w:hAnsi="Arial Narrow"/>
                <w:noProof/>
                <w:webHidden/>
                <w:sz w:val="20"/>
                <w:szCs w:val="20"/>
              </w:rPr>
              <w:fldChar w:fldCharType="end"/>
            </w:r>
          </w:hyperlink>
        </w:p>
        <w:p w14:paraId="72763BC7" w14:textId="77777777" w:rsidR="00EE4557" w:rsidRPr="00EE4557" w:rsidRDefault="00816B15">
          <w:pPr>
            <w:pStyle w:val="TOC1"/>
            <w:rPr>
              <w:rFonts w:ascii="Arial Narrow" w:eastAsiaTheme="minorEastAsia" w:hAnsi="Arial Narrow" w:cstheme="minorBidi"/>
              <w:noProof/>
              <w:sz w:val="20"/>
              <w:szCs w:val="20"/>
            </w:rPr>
          </w:pPr>
          <w:hyperlink w:anchor="_Toc210747686" w:history="1">
            <w:r w:rsidR="00EE4557" w:rsidRPr="00EE4557">
              <w:rPr>
                <w:rStyle w:val="Hyperlink"/>
                <w:rFonts w:ascii="Arial Narrow" w:hAnsi="Arial Narrow" w:cs="Arial"/>
                <w:noProof/>
                <w:sz w:val="20"/>
                <w:szCs w:val="20"/>
                <w:lang w:val="bg-BG" w:eastAsia="bg-BG"/>
              </w:rPr>
              <w:t>12.2.</w:t>
            </w:r>
            <w:r w:rsidR="00EE4557" w:rsidRPr="00EE4557">
              <w:rPr>
                <w:rFonts w:ascii="Arial Narrow" w:eastAsiaTheme="minorEastAsia" w:hAnsi="Arial Narrow" w:cstheme="minorBidi"/>
                <w:noProof/>
                <w:sz w:val="20"/>
                <w:szCs w:val="20"/>
              </w:rPr>
              <w:tab/>
            </w:r>
            <w:r w:rsidR="00EE4557" w:rsidRPr="00EE4557">
              <w:rPr>
                <w:rStyle w:val="Hyperlink"/>
                <w:rFonts w:ascii="Arial Narrow" w:hAnsi="Arial Narrow" w:cs="Arial"/>
                <w:noProof/>
                <w:sz w:val="20"/>
                <w:szCs w:val="20"/>
                <w:lang w:val="bg-BG" w:eastAsia="bg-BG"/>
              </w:rPr>
              <w:t>Държавни горски предприятия</w:t>
            </w:r>
            <w:r w:rsidR="00EE4557" w:rsidRPr="00EE4557">
              <w:rPr>
                <w:rFonts w:ascii="Arial Narrow" w:hAnsi="Arial Narrow"/>
                <w:noProof/>
                <w:webHidden/>
                <w:sz w:val="20"/>
                <w:szCs w:val="20"/>
              </w:rPr>
              <w:tab/>
            </w:r>
            <w:r w:rsidR="00EE4557" w:rsidRPr="00EE4557">
              <w:rPr>
                <w:rFonts w:ascii="Arial Narrow" w:hAnsi="Arial Narrow"/>
                <w:noProof/>
                <w:webHidden/>
                <w:sz w:val="20"/>
                <w:szCs w:val="20"/>
              </w:rPr>
              <w:fldChar w:fldCharType="begin"/>
            </w:r>
            <w:r w:rsidR="00EE4557" w:rsidRPr="00EE4557">
              <w:rPr>
                <w:rFonts w:ascii="Arial Narrow" w:hAnsi="Arial Narrow"/>
                <w:noProof/>
                <w:webHidden/>
                <w:sz w:val="20"/>
                <w:szCs w:val="20"/>
              </w:rPr>
              <w:instrText xml:space="preserve"> PAGEREF _Toc210747686 \h </w:instrText>
            </w:r>
            <w:r w:rsidR="00EE4557" w:rsidRPr="00EE4557">
              <w:rPr>
                <w:rFonts w:ascii="Arial Narrow" w:hAnsi="Arial Narrow"/>
                <w:noProof/>
                <w:webHidden/>
                <w:sz w:val="20"/>
                <w:szCs w:val="20"/>
              </w:rPr>
            </w:r>
            <w:r w:rsidR="00EE4557" w:rsidRPr="00EE4557">
              <w:rPr>
                <w:rFonts w:ascii="Arial Narrow" w:hAnsi="Arial Narrow"/>
                <w:noProof/>
                <w:webHidden/>
                <w:sz w:val="20"/>
                <w:szCs w:val="20"/>
              </w:rPr>
              <w:fldChar w:fldCharType="separate"/>
            </w:r>
            <w:r w:rsidR="00211D64">
              <w:rPr>
                <w:rFonts w:ascii="Arial Narrow" w:hAnsi="Arial Narrow"/>
                <w:noProof/>
                <w:webHidden/>
                <w:sz w:val="20"/>
                <w:szCs w:val="20"/>
              </w:rPr>
              <w:t>223</w:t>
            </w:r>
            <w:r w:rsidR="00EE4557" w:rsidRPr="00EE4557">
              <w:rPr>
                <w:rFonts w:ascii="Arial Narrow" w:hAnsi="Arial Narrow"/>
                <w:noProof/>
                <w:webHidden/>
                <w:sz w:val="20"/>
                <w:szCs w:val="20"/>
              </w:rPr>
              <w:fldChar w:fldCharType="end"/>
            </w:r>
          </w:hyperlink>
        </w:p>
        <w:p w14:paraId="3CE03B80" w14:textId="77777777" w:rsidR="00EE4557" w:rsidRPr="00EE4557" w:rsidRDefault="00816B15">
          <w:pPr>
            <w:pStyle w:val="TOC1"/>
            <w:rPr>
              <w:rFonts w:ascii="Arial Narrow" w:eastAsiaTheme="minorEastAsia" w:hAnsi="Arial Narrow" w:cstheme="minorBidi"/>
              <w:noProof/>
              <w:sz w:val="20"/>
              <w:szCs w:val="20"/>
            </w:rPr>
          </w:pPr>
          <w:hyperlink w:anchor="_Toc210747687" w:history="1">
            <w:r w:rsidR="00EE4557" w:rsidRPr="00EE4557">
              <w:rPr>
                <w:rStyle w:val="Hyperlink"/>
                <w:rFonts w:ascii="Arial Narrow" w:hAnsi="Arial Narrow" w:cs="TimesNewRomanUnicode,Bold,Itali"/>
                <w:bCs/>
                <w:iCs/>
                <w:noProof/>
                <w:sz w:val="20"/>
                <w:szCs w:val="20"/>
                <w:lang w:val="bg-BG" w:eastAsia="bg-BG"/>
              </w:rPr>
              <w:t>13.</w:t>
            </w:r>
            <w:r w:rsidR="00EE4557" w:rsidRPr="00EE4557">
              <w:rPr>
                <w:rFonts w:ascii="Arial Narrow" w:eastAsiaTheme="minorEastAsia" w:hAnsi="Arial Narrow" w:cstheme="minorBidi"/>
                <w:noProof/>
                <w:sz w:val="20"/>
                <w:szCs w:val="20"/>
              </w:rPr>
              <w:tab/>
            </w:r>
            <w:r w:rsidR="00EE4557" w:rsidRPr="00EE4557">
              <w:rPr>
                <w:rStyle w:val="Hyperlink"/>
                <w:rFonts w:ascii="Arial Narrow" w:hAnsi="Arial Narrow" w:cs="TimesNewRomanUnicode,Bold,Itali"/>
                <w:bCs/>
                <w:iCs/>
                <w:noProof/>
                <w:sz w:val="20"/>
                <w:szCs w:val="20"/>
                <w:lang w:val="bg-BG" w:eastAsia="bg-BG"/>
              </w:rPr>
              <w:t>Административно обслужване</w:t>
            </w:r>
            <w:r w:rsidR="00EE4557" w:rsidRPr="00EE4557">
              <w:rPr>
                <w:rFonts w:ascii="Arial Narrow" w:hAnsi="Arial Narrow"/>
                <w:noProof/>
                <w:webHidden/>
                <w:sz w:val="20"/>
                <w:szCs w:val="20"/>
              </w:rPr>
              <w:tab/>
            </w:r>
            <w:r w:rsidR="00EE4557" w:rsidRPr="00EE4557">
              <w:rPr>
                <w:rFonts w:ascii="Arial Narrow" w:hAnsi="Arial Narrow"/>
                <w:noProof/>
                <w:webHidden/>
                <w:sz w:val="20"/>
                <w:szCs w:val="20"/>
              </w:rPr>
              <w:fldChar w:fldCharType="begin"/>
            </w:r>
            <w:r w:rsidR="00EE4557" w:rsidRPr="00EE4557">
              <w:rPr>
                <w:rFonts w:ascii="Arial Narrow" w:hAnsi="Arial Narrow"/>
                <w:noProof/>
                <w:webHidden/>
                <w:sz w:val="20"/>
                <w:szCs w:val="20"/>
              </w:rPr>
              <w:instrText xml:space="preserve"> PAGEREF _Toc210747687 \h </w:instrText>
            </w:r>
            <w:r w:rsidR="00EE4557" w:rsidRPr="00EE4557">
              <w:rPr>
                <w:rFonts w:ascii="Arial Narrow" w:hAnsi="Arial Narrow"/>
                <w:noProof/>
                <w:webHidden/>
                <w:sz w:val="20"/>
                <w:szCs w:val="20"/>
              </w:rPr>
            </w:r>
            <w:r w:rsidR="00EE4557" w:rsidRPr="00EE4557">
              <w:rPr>
                <w:rFonts w:ascii="Arial Narrow" w:hAnsi="Arial Narrow"/>
                <w:noProof/>
                <w:webHidden/>
                <w:sz w:val="20"/>
                <w:szCs w:val="20"/>
              </w:rPr>
              <w:fldChar w:fldCharType="separate"/>
            </w:r>
            <w:r w:rsidR="00211D64">
              <w:rPr>
                <w:rFonts w:ascii="Arial Narrow" w:hAnsi="Arial Narrow"/>
                <w:noProof/>
                <w:webHidden/>
                <w:sz w:val="20"/>
                <w:szCs w:val="20"/>
              </w:rPr>
              <w:t>223</w:t>
            </w:r>
            <w:r w:rsidR="00EE4557" w:rsidRPr="00EE4557">
              <w:rPr>
                <w:rFonts w:ascii="Arial Narrow" w:hAnsi="Arial Narrow"/>
                <w:noProof/>
                <w:webHidden/>
                <w:sz w:val="20"/>
                <w:szCs w:val="20"/>
              </w:rPr>
              <w:fldChar w:fldCharType="end"/>
            </w:r>
          </w:hyperlink>
        </w:p>
        <w:p w14:paraId="0157813C" w14:textId="77777777" w:rsidR="00EE4557" w:rsidRPr="00EE4557" w:rsidRDefault="00816B15">
          <w:pPr>
            <w:pStyle w:val="TOC1"/>
            <w:rPr>
              <w:rFonts w:ascii="Arial Narrow" w:eastAsiaTheme="minorEastAsia" w:hAnsi="Arial Narrow" w:cstheme="minorBidi"/>
              <w:noProof/>
              <w:sz w:val="20"/>
              <w:szCs w:val="20"/>
            </w:rPr>
          </w:pPr>
          <w:hyperlink w:anchor="_Toc210747688" w:history="1">
            <w:r w:rsidR="00EE4557" w:rsidRPr="00EE4557">
              <w:rPr>
                <w:rStyle w:val="Hyperlink"/>
                <w:rFonts w:ascii="Arial Narrow" w:hAnsi="Arial Narrow"/>
                <w:noProof/>
                <w:sz w:val="20"/>
                <w:szCs w:val="20"/>
                <w:lang w:eastAsia="bg-BG"/>
              </w:rPr>
              <w:t>VII.</w:t>
            </w:r>
            <w:r w:rsidR="00EE4557" w:rsidRPr="00EE4557">
              <w:rPr>
                <w:rFonts w:ascii="Arial Narrow" w:eastAsiaTheme="minorEastAsia" w:hAnsi="Arial Narrow" w:cstheme="minorBidi"/>
                <w:noProof/>
                <w:sz w:val="20"/>
                <w:szCs w:val="20"/>
              </w:rPr>
              <w:tab/>
            </w:r>
            <w:r w:rsidR="00EE4557" w:rsidRPr="00EE4557">
              <w:rPr>
                <w:rStyle w:val="Hyperlink"/>
                <w:rFonts w:ascii="Arial Narrow" w:hAnsi="Arial Narrow"/>
                <w:noProof/>
                <w:sz w:val="20"/>
                <w:szCs w:val="20"/>
                <w:lang w:val="bg-BG" w:eastAsia="bg-BG"/>
              </w:rPr>
              <w:t>РИБАРСТВО И АКВАКУЛТУРИ</w:t>
            </w:r>
            <w:r w:rsidR="00EE4557" w:rsidRPr="00EE4557">
              <w:rPr>
                <w:rFonts w:ascii="Arial Narrow" w:hAnsi="Arial Narrow"/>
                <w:noProof/>
                <w:webHidden/>
                <w:sz w:val="20"/>
                <w:szCs w:val="20"/>
              </w:rPr>
              <w:tab/>
            </w:r>
            <w:r w:rsidR="00EE4557" w:rsidRPr="00EE4557">
              <w:rPr>
                <w:rFonts w:ascii="Arial Narrow" w:hAnsi="Arial Narrow"/>
                <w:noProof/>
                <w:webHidden/>
                <w:sz w:val="20"/>
                <w:szCs w:val="20"/>
              </w:rPr>
              <w:fldChar w:fldCharType="begin"/>
            </w:r>
            <w:r w:rsidR="00EE4557" w:rsidRPr="00EE4557">
              <w:rPr>
                <w:rFonts w:ascii="Arial Narrow" w:hAnsi="Arial Narrow"/>
                <w:noProof/>
                <w:webHidden/>
                <w:sz w:val="20"/>
                <w:szCs w:val="20"/>
              </w:rPr>
              <w:instrText xml:space="preserve"> PAGEREF _Toc210747688 \h </w:instrText>
            </w:r>
            <w:r w:rsidR="00EE4557" w:rsidRPr="00EE4557">
              <w:rPr>
                <w:rFonts w:ascii="Arial Narrow" w:hAnsi="Arial Narrow"/>
                <w:noProof/>
                <w:webHidden/>
                <w:sz w:val="20"/>
                <w:szCs w:val="20"/>
              </w:rPr>
            </w:r>
            <w:r w:rsidR="00EE4557" w:rsidRPr="00EE4557">
              <w:rPr>
                <w:rFonts w:ascii="Arial Narrow" w:hAnsi="Arial Narrow"/>
                <w:noProof/>
                <w:webHidden/>
                <w:sz w:val="20"/>
                <w:szCs w:val="20"/>
              </w:rPr>
              <w:fldChar w:fldCharType="separate"/>
            </w:r>
            <w:r w:rsidR="00211D64">
              <w:rPr>
                <w:rFonts w:ascii="Arial Narrow" w:hAnsi="Arial Narrow"/>
                <w:noProof/>
                <w:webHidden/>
                <w:sz w:val="20"/>
                <w:szCs w:val="20"/>
              </w:rPr>
              <w:t>223</w:t>
            </w:r>
            <w:r w:rsidR="00EE4557" w:rsidRPr="00EE4557">
              <w:rPr>
                <w:rFonts w:ascii="Arial Narrow" w:hAnsi="Arial Narrow"/>
                <w:noProof/>
                <w:webHidden/>
                <w:sz w:val="20"/>
                <w:szCs w:val="20"/>
              </w:rPr>
              <w:fldChar w:fldCharType="end"/>
            </w:r>
          </w:hyperlink>
        </w:p>
        <w:p w14:paraId="15058536" w14:textId="77777777" w:rsidR="00EE4557" w:rsidRPr="00EE4557" w:rsidRDefault="00816B15">
          <w:pPr>
            <w:pStyle w:val="TOC1"/>
            <w:rPr>
              <w:rFonts w:ascii="Arial Narrow" w:eastAsiaTheme="minorEastAsia" w:hAnsi="Arial Narrow" w:cstheme="minorBidi"/>
              <w:noProof/>
              <w:sz w:val="20"/>
              <w:szCs w:val="20"/>
            </w:rPr>
          </w:pPr>
          <w:hyperlink w:anchor="_Toc210747689" w:history="1">
            <w:r w:rsidR="00EE4557" w:rsidRPr="00EE4557">
              <w:rPr>
                <w:rStyle w:val="Hyperlink"/>
                <w:rFonts w:ascii="Arial Narrow" w:hAnsi="Arial Narrow" w:cs="TimesNewRomanUnicode,Bold,Itali"/>
                <w:bCs/>
                <w:iCs/>
                <w:noProof/>
                <w:sz w:val="20"/>
                <w:szCs w:val="20"/>
                <w:lang w:val="bg-BG" w:eastAsia="bg-BG"/>
              </w:rPr>
              <w:t>1.</w:t>
            </w:r>
            <w:r w:rsidR="00EE4557" w:rsidRPr="00EE4557">
              <w:rPr>
                <w:rFonts w:ascii="Arial Narrow" w:eastAsiaTheme="minorEastAsia" w:hAnsi="Arial Narrow" w:cstheme="minorBidi"/>
                <w:noProof/>
                <w:sz w:val="20"/>
                <w:szCs w:val="20"/>
              </w:rPr>
              <w:tab/>
            </w:r>
            <w:r w:rsidR="00EE4557" w:rsidRPr="00EE4557">
              <w:rPr>
                <w:rStyle w:val="Hyperlink"/>
                <w:rFonts w:ascii="Arial Narrow" w:hAnsi="Arial Narrow" w:cs="TimesNewRomanUnicode,Bold,Itali"/>
                <w:bCs/>
                <w:iCs/>
                <w:noProof/>
                <w:sz w:val="20"/>
                <w:szCs w:val="20"/>
                <w:lang w:val="bg-BG" w:eastAsia="bg-BG"/>
              </w:rPr>
              <w:t>Улов и производство на риба и други водни организми</w:t>
            </w:r>
            <w:r w:rsidR="00EE4557" w:rsidRPr="00EE4557">
              <w:rPr>
                <w:rFonts w:ascii="Arial Narrow" w:hAnsi="Arial Narrow"/>
                <w:noProof/>
                <w:webHidden/>
                <w:sz w:val="20"/>
                <w:szCs w:val="20"/>
              </w:rPr>
              <w:tab/>
            </w:r>
            <w:r w:rsidR="00EE4557" w:rsidRPr="00EE4557">
              <w:rPr>
                <w:rFonts w:ascii="Arial Narrow" w:hAnsi="Arial Narrow"/>
                <w:noProof/>
                <w:webHidden/>
                <w:sz w:val="20"/>
                <w:szCs w:val="20"/>
              </w:rPr>
              <w:fldChar w:fldCharType="begin"/>
            </w:r>
            <w:r w:rsidR="00EE4557" w:rsidRPr="00EE4557">
              <w:rPr>
                <w:rFonts w:ascii="Arial Narrow" w:hAnsi="Arial Narrow"/>
                <w:noProof/>
                <w:webHidden/>
                <w:sz w:val="20"/>
                <w:szCs w:val="20"/>
              </w:rPr>
              <w:instrText xml:space="preserve"> PAGEREF _Toc210747689 \h </w:instrText>
            </w:r>
            <w:r w:rsidR="00EE4557" w:rsidRPr="00EE4557">
              <w:rPr>
                <w:rFonts w:ascii="Arial Narrow" w:hAnsi="Arial Narrow"/>
                <w:noProof/>
                <w:webHidden/>
                <w:sz w:val="20"/>
                <w:szCs w:val="20"/>
              </w:rPr>
            </w:r>
            <w:r w:rsidR="00EE4557" w:rsidRPr="00EE4557">
              <w:rPr>
                <w:rFonts w:ascii="Arial Narrow" w:hAnsi="Arial Narrow"/>
                <w:noProof/>
                <w:webHidden/>
                <w:sz w:val="20"/>
                <w:szCs w:val="20"/>
              </w:rPr>
              <w:fldChar w:fldCharType="separate"/>
            </w:r>
            <w:r w:rsidR="00211D64">
              <w:rPr>
                <w:rFonts w:ascii="Arial Narrow" w:hAnsi="Arial Narrow"/>
                <w:noProof/>
                <w:webHidden/>
                <w:sz w:val="20"/>
                <w:szCs w:val="20"/>
              </w:rPr>
              <w:t>223</w:t>
            </w:r>
            <w:r w:rsidR="00EE4557" w:rsidRPr="00EE4557">
              <w:rPr>
                <w:rFonts w:ascii="Arial Narrow" w:hAnsi="Arial Narrow"/>
                <w:noProof/>
                <w:webHidden/>
                <w:sz w:val="20"/>
                <w:szCs w:val="20"/>
              </w:rPr>
              <w:fldChar w:fldCharType="end"/>
            </w:r>
          </w:hyperlink>
        </w:p>
        <w:p w14:paraId="0FD414C1" w14:textId="77777777" w:rsidR="00EE4557" w:rsidRPr="00EE4557" w:rsidRDefault="00816B15">
          <w:pPr>
            <w:pStyle w:val="TOC1"/>
            <w:rPr>
              <w:rFonts w:ascii="Arial Narrow" w:eastAsiaTheme="minorEastAsia" w:hAnsi="Arial Narrow" w:cstheme="minorBidi"/>
              <w:noProof/>
              <w:sz w:val="20"/>
              <w:szCs w:val="20"/>
            </w:rPr>
          </w:pPr>
          <w:hyperlink w:anchor="_Toc210747690" w:history="1">
            <w:r w:rsidR="00EE4557" w:rsidRPr="00EE4557">
              <w:rPr>
                <w:rStyle w:val="Hyperlink"/>
                <w:rFonts w:ascii="Arial Narrow" w:hAnsi="Arial Narrow"/>
                <w:noProof/>
                <w:sz w:val="20"/>
                <w:szCs w:val="20"/>
                <w:lang w:val="bg-BG" w:eastAsia="bg-BG"/>
              </w:rPr>
              <w:t>2.</w:t>
            </w:r>
            <w:r w:rsidR="00EE4557" w:rsidRPr="00EE4557">
              <w:rPr>
                <w:rFonts w:ascii="Arial Narrow" w:eastAsiaTheme="minorEastAsia" w:hAnsi="Arial Narrow" w:cstheme="minorBidi"/>
                <w:noProof/>
                <w:sz w:val="20"/>
                <w:szCs w:val="20"/>
              </w:rPr>
              <w:tab/>
            </w:r>
            <w:r w:rsidR="00EE4557" w:rsidRPr="00EE4557">
              <w:rPr>
                <w:rStyle w:val="Hyperlink"/>
                <w:rFonts w:ascii="Arial Narrow" w:hAnsi="Arial Narrow"/>
                <w:noProof/>
                <w:sz w:val="20"/>
                <w:szCs w:val="20"/>
                <w:lang w:val="bg-BG" w:eastAsia="bg-BG"/>
              </w:rPr>
              <w:t>Внос и износ на риба и рибни продукти</w:t>
            </w:r>
            <w:r w:rsidR="00EE4557" w:rsidRPr="00EE4557">
              <w:rPr>
                <w:rFonts w:ascii="Arial Narrow" w:hAnsi="Arial Narrow"/>
                <w:noProof/>
                <w:webHidden/>
                <w:sz w:val="20"/>
                <w:szCs w:val="20"/>
              </w:rPr>
              <w:tab/>
            </w:r>
            <w:r w:rsidR="00EE4557" w:rsidRPr="00EE4557">
              <w:rPr>
                <w:rFonts w:ascii="Arial Narrow" w:hAnsi="Arial Narrow"/>
                <w:noProof/>
                <w:webHidden/>
                <w:sz w:val="20"/>
                <w:szCs w:val="20"/>
              </w:rPr>
              <w:fldChar w:fldCharType="begin"/>
            </w:r>
            <w:r w:rsidR="00EE4557" w:rsidRPr="00EE4557">
              <w:rPr>
                <w:rFonts w:ascii="Arial Narrow" w:hAnsi="Arial Narrow"/>
                <w:noProof/>
                <w:webHidden/>
                <w:sz w:val="20"/>
                <w:szCs w:val="20"/>
              </w:rPr>
              <w:instrText xml:space="preserve"> PAGEREF _Toc210747690 \h </w:instrText>
            </w:r>
            <w:r w:rsidR="00EE4557" w:rsidRPr="00EE4557">
              <w:rPr>
                <w:rFonts w:ascii="Arial Narrow" w:hAnsi="Arial Narrow"/>
                <w:noProof/>
                <w:webHidden/>
                <w:sz w:val="20"/>
                <w:szCs w:val="20"/>
              </w:rPr>
            </w:r>
            <w:r w:rsidR="00EE4557" w:rsidRPr="00EE4557">
              <w:rPr>
                <w:rFonts w:ascii="Arial Narrow" w:hAnsi="Arial Narrow"/>
                <w:noProof/>
                <w:webHidden/>
                <w:sz w:val="20"/>
                <w:szCs w:val="20"/>
              </w:rPr>
              <w:fldChar w:fldCharType="separate"/>
            </w:r>
            <w:r w:rsidR="00211D64">
              <w:rPr>
                <w:rFonts w:ascii="Arial Narrow" w:hAnsi="Arial Narrow"/>
                <w:noProof/>
                <w:webHidden/>
                <w:sz w:val="20"/>
                <w:szCs w:val="20"/>
              </w:rPr>
              <w:t>229</w:t>
            </w:r>
            <w:r w:rsidR="00EE4557" w:rsidRPr="00EE4557">
              <w:rPr>
                <w:rFonts w:ascii="Arial Narrow" w:hAnsi="Arial Narrow"/>
                <w:noProof/>
                <w:webHidden/>
                <w:sz w:val="20"/>
                <w:szCs w:val="20"/>
              </w:rPr>
              <w:fldChar w:fldCharType="end"/>
            </w:r>
          </w:hyperlink>
        </w:p>
        <w:p w14:paraId="562CEE91" w14:textId="77777777" w:rsidR="00EE4557" w:rsidRPr="00EE4557" w:rsidRDefault="00816B15">
          <w:pPr>
            <w:pStyle w:val="TOC1"/>
            <w:rPr>
              <w:rFonts w:ascii="Arial Narrow" w:eastAsiaTheme="minorEastAsia" w:hAnsi="Arial Narrow" w:cstheme="minorBidi"/>
              <w:noProof/>
              <w:sz w:val="20"/>
              <w:szCs w:val="20"/>
            </w:rPr>
          </w:pPr>
          <w:hyperlink w:anchor="_Toc210747691" w:history="1">
            <w:r w:rsidR="00EE4557" w:rsidRPr="00EE4557">
              <w:rPr>
                <w:rStyle w:val="Hyperlink"/>
                <w:rFonts w:ascii="Arial Narrow" w:hAnsi="Arial Narrow" w:cs="TimesNewRomanUnicode,Bold,Itali"/>
                <w:bCs/>
                <w:iCs/>
                <w:noProof/>
                <w:sz w:val="20"/>
                <w:szCs w:val="20"/>
                <w:lang w:val="bg-BG" w:eastAsia="bg-BG"/>
              </w:rPr>
              <w:t>3.</w:t>
            </w:r>
            <w:r w:rsidR="00EE4557" w:rsidRPr="00EE4557">
              <w:rPr>
                <w:rFonts w:ascii="Arial Narrow" w:eastAsiaTheme="minorEastAsia" w:hAnsi="Arial Narrow" w:cstheme="minorBidi"/>
                <w:noProof/>
                <w:sz w:val="20"/>
                <w:szCs w:val="20"/>
              </w:rPr>
              <w:tab/>
            </w:r>
            <w:r w:rsidR="00EE4557" w:rsidRPr="00EE4557">
              <w:rPr>
                <w:rStyle w:val="Hyperlink"/>
                <w:rFonts w:ascii="Arial Narrow" w:hAnsi="Arial Narrow" w:cs="TimesNewRomanUnicode,Bold,Itali"/>
                <w:bCs/>
                <w:iCs/>
                <w:noProof/>
                <w:sz w:val="20"/>
                <w:szCs w:val="20"/>
                <w:lang w:val="bg-BG" w:eastAsia="bg-BG"/>
              </w:rPr>
              <w:t>Програма за морско дело и рибарство 2014 – 2020 г. и Програма за морско дело, рибарство и аквакултури 2021 – 2027 г.</w:t>
            </w:r>
            <w:r w:rsidR="00EE4557" w:rsidRPr="00EE4557">
              <w:rPr>
                <w:rFonts w:ascii="Arial Narrow" w:hAnsi="Arial Narrow"/>
                <w:noProof/>
                <w:webHidden/>
                <w:sz w:val="20"/>
                <w:szCs w:val="20"/>
              </w:rPr>
              <w:tab/>
            </w:r>
            <w:r w:rsidR="00EE4557">
              <w:rPr>
                <w:rFonts w:ascii="Arial Narrow" w:hAnsi="Arial Narrow"/>
                <w:noProof/>
                <w:webHidden/>
                <w:sz w:val="20"/>
                <w:szCs w:val="20"/>
              </w:rPr>
              <w:tab/>
            </w:r>
            <w:r w:rsidR="00EE4557" w:rsidRPr="00EE4557">
              <w:rPr>
                <w:rFonts w:ascii="Arial Narrow" w:hAnsi="Arial Narrow"/>
                <w:noProof/>
                <w:webHidden/>
                <w:sz w:val="20"/>
                <w:szCs w:val="20"/>
              </w:rPr>
              <w:fldChar w:fldCharType="begin"/>
            </w:r>
            <w:r w:rsidR="00EE4557" w:rsidRPr="00EE4557">
              <w:rPr>
                <w:rFonts w:ascii="Arial Narrow" w:hAnsi="Arial Narrow"/>
                <w:noProof/>
                <w:webHidden/>
                <w:sz w:val="20"/>
                <w:szCs w:val="20"/>
              </w:rPr>
              <w:instrText xml:space="preserve"> PAGEREF _Toc210747691 \h </w:instrText>
            </w:r>
            <w:r w:rsidR="00EE4557" w:rsidRPr="00EE4557">
              <w:rPr>
                <w:rFonts w:ascii="Arial Narrow" w:hAnsi="Arial Narrow"/>
                <w:noProof/>
                <w:webHidden/>
                <w:sz w:val="20"/>
                <w:szCs w:val="20"/>
              </w:rPr>
            </w:r>
            <w:r w:rsidR="00EE4557" w:rsidRPr="00EE4557">
              <w:rPr>
                <w:rFonts w:ascii="Arial Narrow" w:hAnsi="Arial Narrow"/>
                <w:noProof/>
                <w:webHidden/>
                <w:sz w:val="20"/>
                <w:szCs w:val="20"/>
              </w:rPr>
              <w:fldChar w:fldCharType="separate"/>
            </w:r>
            <w:r w:rsidR="00211D64">
              <w:rPr>
                <w:rFonts w:ascii="Arial Narrow" w:hAnsi="Arial Narrow"/>
                <w:noProof/>
                <w:webHidden/>
                <w:sz w:val="20"/>
                <w:szCs w:val="20"/>
              </w:rPr>
              <w:t>232</w:t>
            </w:r>
            <w:r w:rsidR="00EE4557" w:rsidRPr="00EE4557">
              <w:rPr>
                <w:rFonts w:ascii="Arial Narrow" w:hAnsi="Arial Narrow"/>
                <w:noProof/>
                <w:webHidden/>
                <w:sz w:val="20"/>
                <w:szCs w:val="20"/>
              </w:rPr>
              <w:fldChar w:fldCharType="end"/>
            </w:r>
          </w:hyperlink>
        </w:p>
        <w:p w14:paraId="14C90696" w14:textId="77777777" w:rsidR="00EE4557" w:rsidRPr="00EE4557" w:rsidRDefault="00816B15">
          <w:pPr>
            <w:pStyle w:val="TOC1"/>
            <w:rPr>
              <w:rFonts w:ascii="Arial Narrow" w:eastAsiaTheme="minorEastAsia" w:hAnsi="Arial Narrow" w:cstheme="minorBidi"/>
              <w:noProof/>
              <w:sz w:val="20"/>
              <w:szCs w:val="20"/>
            </w:rPr>
          </w:pPr>
          <w:hyperlink w:anchor="_Toc210747692" w:history="1">
            <w:r w:rsidR="00EE4557" w:rsidRPr="00EE4557">
              <w:rPr>
                <w:rStyle w:val="Hyperlink"/>
                <w:rFonts w:ascii="Arial Narrow" w:hAnsi="Arial Narrow"/>
                <w:noProof/>
                <w:sz w:val="20"/>
                <w:szCs w:val="20"/>
                <w:lang w:val="bg-BG" w:eastAsia="bg-BG"/>
              </w:rPr>
              <w:t>3.1. Програма за морско дело и рибарство 2014 - 2020 г. (ПМДР)</w:t>
            </w:r>
            <w:r w:rsidR="00EE4557" w:rsidRPr="00EE4557">
              <w:rPr>
                <w:rFonts w:ascii="Arial Narrow" w:hAnsi="Arial Narrow"/>
                <w:noProof/>
                <w:webHidden/>
                <w:sz w:val="20"/>
                <w:szCs w:val="20"/>
              </w:rPr>
              <w:tab/>
            </w:r>
            <w:r w:rsidR="00EE4557" w:rsidRPr="00EE4557">
              <w:rPr>
                <w:rFonts w:ascii="Arial Narrow" w:hAnsi="Arial Narrow"/>
                <w:noProof/>
                <w:webHidden/>
                <w:sz w:val="20"/>
                <w:szCs w:val="20"/>
              </w:rPr>
              <w:fldChar w:fldCharType="begin"/>
            </w:r>
            <w:r w:rsidR="00EE4557" w:rsidRPr="00EE4557">
              <w:rPr>
                <w:rFonts w:ascii="Arial Narrow" w:hAnsi="Arial Narrow"/>
                <w:noProof/>
                <w:webHidden/>
                <w:sz w:val="20"/>
                <w:szCs w:val="20"/>
              </w:rPr>
              <w:instrText xml:space="preserve"> PAGEREF _Toc210747692 \h </w:instrText>
            </w:r>
            <w:r w:rsidR="00EE4557" w:rsidRPr="00EE4557">
              <w:rPr>
                <w:rFonts w:ascii="Arial Narrow" w:hAnsi="Arial Narrow"/>
                <w:noProof/>
                <w:webHidden/>
                <w:sz w:val="20"/>
                <w:szCs w:val="20"/>
              </w:rPr>
            </w:r>
            <w:r w:rsidR="00EE4557" w:rsidRPr="00EE4557">
              <w:rPr>
                <w:rFonts w:ascii="Arial Narrow" w:hAnsi="Arial Narrow"/>
                <w:noProof/>
                <w:webHidden/>
                <w:sz w:val="20"/>
                <w:szCs w:val="20"/>
              </w:rPr>
              <w:fldChar w:fldCharType="separate"/>
            </w:r>
            <w:r w:rsidR="00211D64">
              <w:rPr>
                <w:rFonts w:ascii="Arial Narrow" w:hAnsi="Arial Narrow"/>
                <w:noProof/>
                <w:webHidden/>
                <w:sz w:val="20"/>
                <w:szCs w:val="20"/>
              </w:rPr>
              <w:t>232</w:t>
            </w:r>
            <w:r w:rsidR="00EE4557" w:rsidRPr="00EE4557">
              <w:rPr>
                <w:rFonts w:ascii="Arial Narrow" w:hAnsi="Arial Narrow"/>
                <w:noProof/>
                <w:webHidden/>
                <w:sz w:val="20"/>
                <w:szCs w:val="20"/>
              </w:rPr>
              <w:fldChar w:fldCharType="end"/>
            </w:r>
          </w:hyperlink>
        </w:p>
        <w:p w14:paraId="7F0E5273" w14:textId="77777777" w:rsidR="00EE4557" w:rsidRPr="00EE4557" w:rsidRDefault="00816B15">
          <w:pPr>
            <w:pStyle w:val="TOC1"/>
            <w:rPr>
              <w:rFonts w:ascii="Arial Narrow" w:eastAsiaTheme="minorEastAsia" w:hAnsi="Arial Narrow" w:cstheme="minorBidi"/>
              <w:noProof/>
              <w:sz w:val="20"/>
              <w:szCs w:val="20"/>
            </w:rPr>
          </w:pPr>
          <w:hyperlink w:anchor="_Toc210747693" w:history="1">
            <w:r w:rsidR="00EE4557" w:rsidRPr="00EE4557">
              <w:rPr>
                <w:rStyle w:val="Hyperlink"/>
                <w:rFonts w:ascii="Arial Narrow" w:hAnsi="Arial Narrow"/>
                <w:noProof/>
                <w:sz w:val="20"/>
                <w:szCs w:val="20"/>
                <w:lang w:val="bg-BG" w:eastAsia="bg-BG"/>
              </w:rPr>
              <w:t>3.2.</w:t>
            </w:r>
            <w:r w:rsidR="00EE4557" w:rsidRPr="00EE4557">
              <w:rPr>
                <w:rFonts w:ascii="Arial Narrow" w:eastAsiaTheme="minorEastAsia" w:hAnsi="Arial Narrow" w:cstheme="minorBidi"/>
                <w:noProof/>
                <w:sz w:val="20"/>
                <w:szCs w:val="20"/>
              </w:rPr>
              <w:tab/>
            </w:r>
            <w:r w:rsidR="00EE4557" w:rsidRPr="00EE4557">
              <w:rPr>
                <w:rStyle w:val="Hyperlink"/>
                <w:rFonts w:ascii="Arial Narrow" w:hAnsi="Arial Narrow"/>
                <w:noProof/>
                <w:sz w:val="20"/>
                <w:szCs w:val="20"/>
                <w:lang w:val="bg-BG" w:eastAsia="bg-BG"/>
              </w:rPr>
              <w:t>Програма за морско дело, рибарство и аквакултури 2021 - 2027 г. (ПМДРА)</w:t>
            </w:r>
            <w:r w:rsidR="00EE4557" w:rsidRPr="00EE4557">
              <w:rPr>
                <w:rFonts w:ascii="Arial Narrow" w:hAnsi="Arial Narrow"/>
                <w:noProof/>
                <w:webHidden/>
                <w:sz w:val="20"/>
                <w:szCs w:val="20"/>
              </w:rPr>
              <w:tab/>
            </w:r>
            <w:r w:rsidR="00EE4557" w:rsidRPr="00EE4557">
              <w:rPr>
                <w:rFonts w:ascii="Arial Narrow" w:hAnsi="Arial Narrow"/>
                <w:noProof/>
                <w:webHidden/>
                <w:sz w:val="20"/>
                <w:szCs w:val="20"/>
              </w:rPr>
              <w:fldChar w:fldCharType="begin"/>
            </w:r>
            <w:r w:rsidR="00EE4557" w:rsidRPr="00EE4557">
              <w:rPr>
                <w:rFonts w:ascii="Arial Narrow" w:hAnsi="Arial Narrow"/>
                <w:noProof/>
                <w:webHidden/>
                <w:sz w:val="20"/>
                <w:szCs w:val="20"/>
              </w:rPr>
              <w:instrText xml:space="preserve"> PAGEREF _Toc210747693 \h </w:instrText>
            </w:r>
            <w:r w:rsidR="00EE4557" w:rsidRPr="00EE4557">
              <w:rPr>
                <w:rFonts w:ascii="Arial Narrow" w:hAnsi="Arial Narrow"/>
                <w:noProof/>
                <w:webHidden/>
                <w:sz w:val="20"/>
                <w:szCs w:val="20"/>
              </w:rPr>
            </w:r>
            <w:r w:rsidR="00EE4557" w:rsidRPr="00EE4557">
              <w:rPr>
                <w:rFonts w:ascii="Arial Narrow" w:hAnsi="Arial Narrow"/>
                <w:noProof/>
                <w:webHidden/>
                <w:sz w:val="20"/>
                <w:szCs w:val="20"/>
              </w:rPr>
              <w:fldChar w:fldCharType="separate"/>
            </w:r>
            <w:r w:rsidR="00211D64">
              <w:rPr>
                <w:rFonts w:ascii="Arial Narrow" w:hAnsi="Arial Narrow"/>
                <w:noProof/>
                <w:webHidden/>
                <w:sz w:val="20"/>
                <w:szCs w:val="20"/>
              </w:rPr>
              <w:t>238</w:t>
            </w:r>
            <w:r w:rsidR="00EE4557" w:rsidRPr="00EE4557">
              <w:rPr>
                <w:rFonts w:ascii="Arial Narrow" w:hAnsi="Arial Narrow"/>
                <w:noProof/>
                <w:webHidden/>
                <w:sz w:val="20"/>
                <w:szCs w:val="20"/>
              </w:rPr>
              <w:fldChar w:fldCharType="end"/>
            </w:r>
          </w:hyperlink>
        </w:p>
        <w:p w14:paraId="637DFB30" w14:textId="77777777" w:rsidR="00EE4557" w:rsidRPr="00EE4557" w:rsidRDefault="00816B15">
          <w:pPr>
            <w:pStyle w:val="TOC1"/>
            <w:rPr>
              <w:rFonts w:ascii="Arial Narrow" w:eastAsiaTheme="minorEastAsia" w:hAnsi="Arial Narrow" w:cstheme="minorBidi"/>
              <w:noProof/>
              <w:sz w:val="20"/>
              <w:szCs w:val="20"/>
            </w:rPr>
          </w:pPr>
          <w:hyperlink w:anchor="_Toc210747694" w:history="1">
            <w:r w:rsidR="00EE4557" w:rsidRPr="00EE4557">
              <w:rPr>
                <w:rStyle w:val="Hyperlink"/>
                <w:rFonts w:ascii="Arial Narrow" w:hAnsi="Arial Narrow"/>
                <w:noProof/>
                <w:sz w:val="20"/>
                <w:szCs w:val="20"/>
                <w:lang w:val="bg-BG"/>
              </w:rPr>
              <w:t>4.</w:t>
            </w:r>
            <w:r w:rsidR="00EE4557" w:rsidRPr="00EE4557">
              <w:rPr>
                <w:rFonts w:ascii="Arial Narrow" w:eastAsiaTheme="minorEastAsia" w:hAnsi="Arial Narrow" w:cstheme="minorBidi"/>
                <w:noProof/>
                <w:sz w:val="20"/>
                <w:szCs w:val="20"/>
              </w:rPr>
              <w:tab/>
            </w:r>
            <w:r w:rsidR="00EE4557" w:rsidRPr="00EE4557">
              <w:rPr>
                <w:rStyle w:val="Hyperlink"/>
                <w:rFonts w:ascii="Arial Narrow" w:hAnsi="Arial Narrow"/>
                <w:noProof/>
                <w:sz w:val="20"/>
                <w:szCs w:val="20"/>
                <w:lang w:val="bg-BG"/>
              </w:rPr>
              <w:t>Обща политика в областта на рибарството</w:t>
            </w:r>
            <w:r w:rsidR="00EE4557" w:rsidRPr="00EE4557">
              <w:rPr>
                <w:rFonts w:ascii="Arial Narrow" w:hAnsi="Arial Narrow"/>
                <w:noProof/>
                <w:webHidden/>
                <w:sz w:val="20"/>
                <w:szCs w:val="20"/>
              </w:rPr>
              <w:tab/>
            </w:r>
            <w:r w:rsidR="00EE4557" w:rsidRPr="00EE4557">
              <w:rPr>
                <w:rFonts w:ascii="Arial Narrow" w:hAnsi="Arial Narrow"/>
                <w:noProof/>
                <w:webHidden/>
                <w:sz w:val="20"/>
                <w:szCs w:val="20"/>
              </w:rPr>
              <w:fldChar w:fldCharType="begin"/>
            </w:r>
            <w:r w:rsidR="00EE4557" w:rsidRPr="00EE4557">
              <w:rPr>
                <w:rFonts w:ascii="Arial Narrow" w:hAnsi="Arial Narrow"/>
                <w:noProof/>
                <w:webHidden/>
                <w:sz w:val="20"/>
                <w:szCs w:val="20"/>
              </w:rPr>
              <w:instrText xml:space="preserve"> PAGEREF _Toc210747694 \h </w:instrText>
            </w:r>
            <w:r w:rsidR="00EE4557" w:rsidRPr="00EE4557">
              <w:rPr>
                <w:rFonts w:ascii="Arial Narrow" w:hAnsi="Arial Narrow"/>
                <w:noProof/>
                <w:webHidden/>
                <w:sz w:val="20"/>
                <w:szCs w:val="20"/>
              </w:rPr>
            </w:r>
            <w:r w:rsidR="00EE4557" w:rsidRPr="00EE4557">
              <w:rPr>
                <w:rFonts w:ascii="Arial Narrow" w:hAnsi="Arial Narrow"/>
                <w:noProof/>
                <w:webHidden/>
                <w:sz w:val="20"/>
                <w:szCs w:val="20"/>
              </w:rPr>
              <w:fldChar w:fldCharType="separate"/>
            </w:r>
            <w:r w:rsidR="00211D64">
              <w:rPr>
                <w:rFonts w:ascii="Arial Narrow" w:hAnsi="Arial Narrow"/>
                <w:noProof/>
                <w:webHidden/>
                <w:sz w:val="20"/>
                <w:szCs w:val="20"/>
              </w:rPr>
              <w:t>243</w:t>
            </w:r>
            <w:r w:rsidR="00EE4557" w:rsidRPr="00EE4557">
              <w:rPr>
                <w:rFonts w:ascii="Arial Narrow" w:hAnsi="Arial Narrow"/>
                <w:noProof/>
                <w:webHidden/>
                <w:sz w:val="20"/>
                <w:szCs w:val="20"/>
              </w:rPr>
              <w:fldChar w:fldCharType="end"/>
            </w:r>
          </w:hyperlink>
        </w:p>
        <w:p w14:paraId="731A528D" w14:textId="77777777" w:rsidR="00EE4557" w:rsidRPr="00EE4557" w:rsidRDefault="00816B15">
          <w:pPr>
            <w:pStyle w:val="TOC1"/>
            <w:rPr>
              <w:rFonts w:ascii="Arial Narrow" w:eastAsiaTheme="minorEastAsia" w:hAnsi="Arial Narrow" w:cstheme="minorBidi"/>
              <w:noProof/>
              <w:sz w:val="20"/>
              <w:szCs w:val="20"/>
            </w:rPr>
          </w:pPr>
          <w:hyperlink w:anchor="_Toc210747695" w:history="1">
            <w:r w:rsidR="00EE4557" w:rsidRPr="00EE4557">
              <w:rPr>
                <w:rStyle w:val="Hyperlink"/>
                <w:rFonts w:ascii="Arial Narrow" w:hAnsi="Arial Narrow"/>
                <w:noProof/>
                <w:sz w:val="20"/>
                <w:szCs w:val="20"/>
              </w:rPr>
              <w:t xml:space="preserve">VIII. </w:t>
            </w:r>
            <w:r w:rsidR="00EE4557" w:rsidRPr="00EE4557">
              <w:rPr>
                <w:rFonts w:ascii="Arial Narrow" w:eastAsiaTheme="minorEastAsia" w:hAnsi="Arial Narrow" w:cstheme="minorBidi"/>
                <w:noProof/>
                <w:sz w:val="20"/>
                <w:szCs w:val="20"/>
              </w:rPr>
              <w:tab/>
            </w:r>
            <w:r w:rsidR="00EE4557" w:rsidRPr="00EE4557">
              <w:rPr>
                <w:rStyle w:val="Hyperlink"/>
                <w:rFonts w:ascii="Arial Narrow" w:hAnsi="Arial Narrow"/>
                <w:noProof/>
                <w:sz w:val="20"/>
                <w:szCs w:val="20"/>
                <w:lang w:val="bg-BG"/>
              </w:rPr>
              <w:t>НАПРЕДЪК В ИЗПЪЛНЕНИЕТО НА ДОКУМЕНТИ В ОБЛАСТТА НА АГРАРНАТА ПОЛИТИКА ОТ НАЦИОНАЛНАТА СТРАТЕГИЧЕСКА РАМКА ПРЕЗ 202</w:t>
            </w:r>
            <w:r w:rsidR="00EE4557" w:rsidRPr="00EE4557">
              <w:rPr>
                <w:rStyle w:val="Hyperlink"/>
                <w:rFonts w:ascii="Arial Narrow" w:hAnsi="Arial Narrow"/>
                <w:noProof/>
                <w:sz w:val="20"/>
                <w:szCs w:val="20"/>
              </w:rPr>
              <w:t>4</w:t>
            </w:r>
            <w:r w:rsidR="00EE4557" w:rsidRPr="00EE4557">
              <w:rPr>
                <w:rStyle w:val="Hyperlink"/>
                <w:rFonts w:ascii="Arial Narrow" w:hAnsi="Arial Narrow"/>
                <w:noProof/>
                <w:sz w:val="20"/>
                <w:szCs w:val="20"/>
                <w:lang w:val="bg-BG"/>
              </w:rPr>
              <w:t xml:space="preserve"> Г.</w:t>
            </w:r>
            <w:r w:rsidR="00EE4557" w:rsidRPr="00EE4557">
              <w:rPr>
                <w:rFonts w:ascii="Arial Narrow" w:hAnsi="Arial Narrow"/>
                <w:noProof/>
                <w:webHidden/>
                <w:sz w:val="20"/>
                <w:szCs w:val="20"/>
              </w:rPr>
              <w:tab/>
            </w:r>
            <w:r w:rsidR="00EE4557" w:rsidRPr="00EE4557">
              <w:rPr>
                <w:rFonts w:ascii="Arial Narrow" w:hAnsi="Arial Narrow"/>
                <w:noProof/>
                <w:webHidden/>
                <w:sz w:val="20"/>
                <w:szCs w:val="20"/>
              </w:rPr>
              <w:fldChar w:fldCharType="begin"/>
            </w:r>
            <w:r w:rsidR="00EE4557" w:rsidRPr="00EE4557">
              <w:rPr>
                <w:rFonts w:ascii="Arial Narrow" w:hAnsi="Arial Narrow"/>
                <w:noProof/>
                <w:webHidden/>
                <w:sz w:val="20"/>
                <w:szCs w:val="20"/>
              </w:rPr>
              <w:instrText xml:space="preserve"> PAGEREF _Toc210747695 \h </w:instrText>
            </w:r>
            <w:r w:rsidR="00EE4557" w:rsidRPr="00EE4557">
              <w:rPr>
                <w:rFonts w:ascii="Arial Narrow" w:hAnsi="Arial Narrow"/>
                <w:noProof/>
                <w:webHidden/>
                <w:sz w:val="20"/>
                <w:szCs w:val="20"/>
              </w:rPr>
            </w:r>
            <w:r w:rsidR="00EE4557" w:rsidRPr="00EE4557">
              <w:rPr>
                <w:rFonts w:ascii="Arial Narrow" w:hAnsi="Arial Narrow"/>
                <w:noProof/>
                <w:webHidden/>
                <w:sz w:val="20"/>
                <w:szCs w:val="20"/>
              </w:rPr>
              <w:fldChar w:fldCharType="separate"/>
            </w:r>
            <w:r w:rsidR="00211D64">
              <w:rPr>
                <w:rFonts w:ascii="Arial Narrow" w:hAnsi="Arial Narrow"/>
                <w:noProof/>
                <w:webHidden/>
                <w:sz w:val="20"/>
                <w:szCs w:val="20"/>
              </w:rPr>
              <w:t>246</w:t>
            </w:r>
            <w:r w:rsidR="00EE4557" w:rsidRPr="00EE4557">
              <w:rPr>
                <w:rFonts w:ascii="Arial Narrow" w:hAnsi="Arial Narrow"/>
                <w:noProof/>
                <w:webHidden/>
                <w:sz w:val="20"/>
                <w:szCs w:val="20"/>
              </w:rPr>
              <w:fldChar w:fldCharType="end"/>
            </w:r>
          </w:hyperlink>
        </w:p>
        <w:p w14:paraId="53DDDD90" w14:textId="77777777" w:rsidR="00EE4557" w:rsidRPr="00EE4557" w:rsidRDefault="00816B15">
          <w:pPr>
            <w:pStyle w:val="TOC1"/>
            <w:rPr>
              <w:rFonts w:ascii="Arial Narrow" w:eastAsiaTheme="minorEastAsia" w:hAnsi="Arial Narrow" w:cstheme="minorBidi"/>
              <w:noProof/>
              <w:sz w:val="20"/>
              <w:szCs w:val="20"/>
            </w:rPr>
          </w:pPr>
          <w:hyperlink w:anchor="_Toc210747696" w:history="1">
            <w:r w:rsidR="00EE4557" w:rsidRPr="00EE4557">
              <w:rPr>
                <w:rStyle w:val="Hyperlink"/>
                <w:rFonts w:ascii="Arial Narrow" w:hAnsi="Arial Narrow"/>
                <w:bCs/>
                <w:noProof/>
                <w:sz w:val="20"/>
                <w:szCs w:val="20"/>
                <w:lang w:val="bg-BG" w:eastAsia="bg-BG"/>
              </w:rPr>
              <w:t>РАЗДЕЛ Б</w:t>
            </w:r>
            <w:r w:rsidR="00EE4557" w:rsidRPr="00EE4557">
              <w:rPr>
                <w:rFonts w:ascii="Arial Narrow" w:hAnsi="Arial Narrow"/>
                <w:noProof/>
                <w:webHidden/>
                <w:sz w:val="20"/>
                <w:szCs w:val="20"/>
              </w:rPr>
              <w:tab/>
            </w:r>
            <w:r w:rsidR="00EE4557" w:rsidRPr="00EE4557">
              <w:rPr>
                <w:rFonts w:ascii="Arial Narrow" w:hAnsi="Arial Narrow"/>
                <w:noProof/>
                <w:webHidden/>
                <w:sz w:val="20"/>
                <w:szCs w:val="20"/>
              </w:rPr>
              <w:fldChar w:fldCharType="begin"/>
            </w:r>
            <w:r w:rsidR="00EE4557" w:rsidRPr="00EE4557">
              <w:rPr>
                <w:rFonts w:ascii="Arial Narrow" w:hAnsi="Arial Narrow"/>
                <w:noProof/>
                <w:webHidden/>
                <w:sz w:val="20"/>
                <w:szCs w:val="20"/>
              </w:rPr>
              <w:instrText xml:space="preserve"> PAGEREF _Toc210747696 \h </w:instrText>
            </w:r>
            <w:r w:rsidR="00EE4557" w:rsidRPr="00EE4557">
              <w:rPr>
                <w:rFonts w:ascii="Arial Narrow" w:hAnsi="Arial Narrow"/>
                <w:noProof/>
                <w:webHidden/>
                <w:sz w:val="20"/>
                <w:szCs w:val="20"/>
              </w:rPr>
            </w:r>
            <w:r w:rsidR="00EE4557" w:rsidRPr="00EE4557">
              <w:rPr>
                <w:rFonts w:ascii="Arial Narrow" w:hAnsi="Arial Narrow"/>
                <w:noProof/>
                <w:webHidden/>
                <w:sz w:val="20"/>
                <w:szCs w:val="20"/>
              </w:rPr>
              <w:fldChar w:fldCharType="separate"/>
            </w:r>
            <w:r w:rsidR="00211D64">
              <w:rPr>
                <w:rFonts w:ascii="Arial Narrow" w:hAnsi="Arial Narrow"/>
                <w:noProof/>
                <w:webHidden/>
                <w:sz w:val="20"/>
                <w:szCs w:val="20"/>
              </w:rPr>
              <w:t>250</w:t>
            </w:r>
            <w:r w:rsidR="00EE4557" w:rsidRPr="00EE4557">
              <w:rPr>
                <w:rFonts w:ascii="Arial Narrow" w:hAnsi="Arial Narrow"/>
                <w:noProof/>
                <w:webHidden/>
                <w:sz w:val="20"/>
                <w:szCs w:val="20"/>
              </w:rPr>
              <w:fldChar w:fldCharType="end"/>
            </w:r>
          </w:hyperlink>
        </w:p>
        <w:p w14:paraId="0189BE59" w14:textId="77777777" w:rsidR="00EE4557" w:rsidRPr="00EE4557" w:rsidRDefault="00816B15">
          <w:pPr>
            <w:pStyle w:val="TOC1"/>
            <w:rPr>
              <w:rFonts w:ascii="Arial Narrow" w:eastAsiaTheme="minorEastAsia" w:hAnsi="Arial Narrow" w:cstheme="minorBidi"/>
              <w:noProof/>
              <w:sz w:val="20"/>
              <w:szCs w:val="20"/>
            </w:rPr>
          </w:pPr>
          <w:hyperlink w:anchor="_Toc210747697" w:history="1">
            <w:r w:rsidR="00EE4557" w:rsidRPr="00EE4557">
              <w:rPr>
                <w:rStyle w:val="Hyperlink"/>
                <w:rFonts w:ascii="Arial Narrow" w:hAnsi="Arial Narrow"/>
                <w:noProof/>
                <w:sz w:val="20"/>
                <w:szCs w:val="20"/>
                <w:lang w:val="bg-BG"/>
              </w:rPr>
              <w:t>ПРИЛОЖЕНИЯ</w:t>
            </w:r>
            <w:r w:rsidR="00EE4557" w:rsidRPr="00EE4557">
              <w:rPr>
                <w:rFonts w:ascii="Arial Narrow" w:hAnsi="Arial Narrow"/>
                <w:noProof/>
                <w:webHidden/>
                <w:sz w:val="20"/>
                <w:szCs w:val="20"/>
              </w:rPr>
              <w:tab/>
            </w:r>
            <w:r w:rsidR="00EE4557" w:rsidRPr="00EE4557">
              <w:rPr>
                <w:rFonts w:ascii="Arial Narrow" w:hAnsi="Arial Narrow"/>
                <w:noProof/>
                <w:webHidden/>
                <w:sz w:val="20"/>
                <w:szCs w:val="20"/>
              </w:rPr>
              <w:fldChar w:fldCharType="begin"/>
            </w:r>
            <w:r w:rsidR="00EE4557" w:rsidRPr="00EE4557">
              <w:rPr>
                <w:rFonts w:ascii="Arial Narrow" w:hAnsi="Arial Narrow"/>
                <w:noProof/>
                <w:webHidden/>
                <w:sz w:val="20"/>
                <w:szCs w:val="20"/>
              </w:rPr>
              <w:instrText xml:space="preserve"> PAGEREF _Toc210747697 \h </w:instrText>
            </w:r>
            <w:r w:rsidR="00EE4557" w:rsidRPr="00EE4557">
              <w:rPr>
                <w:rFonts w:ascii="Arial Narrow" w:hAnsi="Arial Narrow"/>
                <w:noProof/>
                <w:webHidden/>
                <w:sz w:val="20"/>
                <w:szCs w:val="20"/>
              </w:rPr>
            </w:r>
            <w:r w:rsidR="00EE4557" w:rsidRPr="00EE4557">
              <w:rPr>
                <w:rFonts w:ascii="Arial Narrow" w:hAnsi="Arial Narrow"/>
                <w:noProof/>
                <w:webHidden/>
                <w:sz w:val="20"/>
                <w:szCs w:val="20"/>
              </w:rPr>
              <w:fldChar w:fldCharType="separate"/>
            </w:r>
            <w:r w:rsidR="00211D64">
              <w:rPr>
                <w:rFonts w:ascii="Arial Narrow" w:hAnsi="Arial Narrow"/>
                <w:noProof/>
                <w:webHidden/>
                <w:sz w:val="20"/>
                <w:szCs w:val="20"/>
              </w:rPr>
              <w:t>256</w:t>
            </w:r>
            <w:r w:rsidR="00EE4557" w:rsidRPr="00EE4557">
              <w:rPr>
                <w:rFonts w:ascii="Arial Narrow" w:hAnsi="Arial Narrow"/>
                <w:noProof/>
                <w:webHidden/>
                <w:sz w:val="20"/>
                <w:szCs w:val="20"/>
              </w:rPr>
              <w:fldChar w:fldCharType="end"/>
            </w:r>
          </w:hyperlink>
        </w:p>
        <w:p w14:paraId="1C58186D" w14:textId="77777777" w:rsidR="00222948" w:rsidRPr="00B10684" w:rsidRDefault="00222948" w:rsidP="00E54D0F">
          <w:pPr>
            <w:pStyle w:val="TOC1"/>
            <w:rPr>
              <w:rFonts w:ascii="Arial Narrow" w:hAnsi="Arial Narrow"/>
              <w:color w:val="FF0000"/>
              <w:sz w:val="20"/>
              <w:szCs w:val="20"/>
              <w:lang w:val="bg-BG"/>
            </w:rPr>
          </w:pPr>
          <w:r w:rsidRPr="00EE4557">
            <w:rPr>
              <w:rFonts w:ascii="Arial Narrow" w:hAnsi="Arial Narrow"/>
              <w:bCs/>
              <w:noProof/>
              <w:color w:val="FF0000"/>
              <w:sz w:val="20"/>
              <w:szCs w:val="20"/>
              <w:lang w:val="bg-BG"/>
            </w:rPr>
            <w:fldChar w:fldCharType="end"/>
          </w:r>
        </w:p>
      </w:sdtContent>
    </w:sdt>
    <w:p w14:paraId="7AADDAFF" w14:textId="77777777" w:rsidR="008A6F1C" w:rsidRPr="005B64EF" w:rsidRDefault="00222948" w:rsidP="008A6F1C">
      <w:pPr>
        <w:pStyle w:val="Heading1"/>
        <w:pageBreakBefore/>
        <w:spacing w:before="0" w:after="240"/>
        <w:jc w:val="center"/>
        <w:rPr>
          <w:rFonts w:ascii="Arial Narrow" w:hAnsi="Arial Narrow"/>
          <w:color w:val="auto"/>
          <w:sz w:val="24"/>
          <w:szCs w:val="24"/>
          <w:lang w:val="bg-BG"/>
        </w:rPr>
      </w:pPr>
      <w:bookmarkStart w:id="0" w:name="_Toc210747517"/>
      <w:r w:rsidRPr="005B64EF">
        <w:rPr>
          <w:rFonts w:ascii="Arial Narrow" w:hAnsi="Arial Narrow"/>
          <w:color w:val="auto"/>
          <w:sz w:val="24"/>
          <w:szCs w:val="24"/>
          <w:lang w:val="bg-BG"/>
        </w:rPr>
        <w:lastRenderedPageBreak/>
        <w:t>Списък на използваните съкращения</w:t>
      </w:r>
      <w:bookmarkEnd w:id="0"/>
    </w:p>
    <w:tbl>
      <w:tblPr>
        <w:tblStyle w:val="TableGrid30"/>
        <w:tblW w:w="9776" w:type="dxa"/>
        <w:tblLook w:val="04A0" w:firstRow="1" w:lastRow="0" w:firstColumn="1" w:lastColumn="0" w:noHBand="0" w:noVBand="1"/>
      </w:tblPr>
      <w:tblGrid>
        <w:gridCol w:w="1980"/>
        <w:gridCol w:w="7796"/>
      </w:tblGrid>
      <w:tr w:rsidR="008A6F1C" w:rsidRPr="00C57ABA" w14:paraId="15702D5C" w14:textId="77777777" w:rsidTr="005B64EF">
        <w:trPr>
          <w:trHeight w:val="2"/>
        </w:trPr>
        <w:tc>
          <w:tcPr>
            <w:tcW w:w="1980" w:type="dxa"/>
            <w:shd w:val="clear" w:color="auto" w:fill="auto"/>
            <w:noWrap/>
            <w:vAlign w:val="center"/>
            <w:hideMark/>
          </w:tcPr>
          <w:p w14:paraId="7AB76653" w14:textId="77777777" w:rsidR="008A6F1C" w:rsidRPr="00C57ABA" w:rsidRDefault="008A6F1C" w:rsidP="005B64EF">
            <w:pPr>
              <w:rPr>
                <w:rFonts w:ascii="Arial Narrow" w:eastAsiaTheme="minorEastAsia" w:hAnsi="Arial Narrow"/>
              </w:rPr>
            </w:pPr>
            <w:r w:rsidRPr="00C57ABA">
              <w:rPr>
                <w:rFonts w:ascii="Arial Narrow" w:hAnsi="Arial Narrow"/>
              </w:rPr>
              <w:t>АДПБФП</w:t>
            </w:r>
          </w:p>
        </w:tc>
        <w:tc>
          <w:tcPr>
            <w:tcW w:w="7796" w:type="dxa"/>
            <w:shd w:val="clear" w:color="auto" w:fill="auto"/>
            <w:noWrap/>
            <w:vAlign w:val="center"/>
            <w:hideMark/>
          </w:tcPr>
          <w:p w14:paraId="68DD8625" w14:textId="77777777" w:rsidR="008A6F1C" w:rsidRPr="00C57ABA" w:rsidRDefault="008A6F1C" w:rsidP="005B64EF">
            <w:pPr>
              <w:rPr>
                <w:rFonts w:ascii="Arial Narrow" w:eastAsiaTheme="minorEastAsia" w:hAnsi="Arial Narrow"/>
              </w:rPr>
            </w:pPr>
            <w:r w:rsidRPr="00C57ABA">
              <w:rPr>
                <w:rFonts w:ascii="Arial Narrow" w:eastAsiaTheme="minorEastAsia" w:hAnsi="Arial Narrow"/>
              </w:rPr>
              <w:t>Административни договори за предоставяне на безвъзмездна финансова помощ</w:t>
            </w:r>
          </w:p>
        </w:tc>
      </w:tr>
      <w:tr w:rsidR="008A6F1C" w:rsidRPr="00C57ABA" w14:paraId="1082E293" w14:textId="77777777" w:rsidTr="005B64EF">
        <w:trPr>
          <w:trHeight w:val="2"/>
        </w:trPr>
        <w:tc>
          <w:tcPr>
            <w:tcW w:w="1980" w:type="dxa"/>
            <w:shd w:val="clear" w:color="auto" w:fill="auto"/>
            <w:noWrap/>
            <w:vAlign w:val="center"/>
          </w:tcPr>
          <w:p w14:paraId="0B88D5D4" w14:textId="77777777" w:rsidR="008A6F1C" w:rsidRPr="00C57ABA" w:rsidRDefault="008A6F1C" w:rsidP="005B64EF">
            <w:pPr>
              <w:rPr>
                <w:rFonts w:ascii="Arial Narrow" w:eastAsiaTheme="minorEastAsia" w:hAnsi="Arial Narrow"/>
              </w:rPr>
            </w:pPr>
            <w:r w:rsidRPr="00C57ABA">
              <w:rPr>
                <w:rFonts w:ascii="Arial Narrow" w:eastAsiaTheme="minorEastAsia" w:hAnsi="Arial Narrow"/>
              </w:rPr>
              <w:t>АЕП</w:t>
            </w:r>
          </w:p>
        </w:tc>
        <w:tc>
          <w:tcPr>
            <w:tcW w:w="7796" w:type="dxa"/>
            <w:shd w:val="clear" w:color="auto" w:fill="auto"/>
            <w:noWrap/>
            <w:vAlign w:val="center"/>
          </w:tcPr>
          <w:p w14:paraId="1B7FCA5C" w14:textId="77777777" w:rsidR="008A6F1C" w:rsidRPr="00C57ABA" w:rsidRDefault="008A6F1C" w:rsidP="005B64EF">
            <w:pPr>
              <w:rPr>
                <w:rFonts w:ascii="Arial Narrow" w:eastAsiaTheme="minorEastAsia" w:hAnsi="Arial Narrow"/>
              </w:rPr>
            </w:pPr>
            <w:r w:rsidRPr="00C57ABA">
              <w:rPr>
                <w:rFonts w:ascii="Arial Narrow" w:eastAsiaTheme="minorEastAsia" w:hAnsi="Arial Narrow"/>
              </w:rPr>
              <w:t xml:space="preserve">Агроекологични плащания </w:t>
            </w:r>
          </w:p>
        </w:tc>
      </w:tr>
      <w:tr w:rsidR="008A6F1C" w:rsidRPr="00C57ABA" w14:paraId="080CA008" w14:textId="77777777" w:rsidTr="005B64EF">
        <w:trPr>
          <w:trHeight w:val="2"/>
        </w:trPr>
        <w:tc>
          <w:tcPr>
            <w:tcW w:w="1980" w:type="dxa"/>
            <w:shd w:val="clear" w:color="auto" w:fill="auto"/>
            <w:noWrap/>
            <w:vAlign w:val="center"/>
            <w:hideMark/>
          </w:tcPr>
          <w:p w14:paraId="083AC8E5" w14:textId="77777777" w:rsidR="008A6F1C" w:rsidRPr="00C57ABA" w:rsidRDefault="008A6F1C" w:rsidP="005B64EF">
            <w:pPr>
              <w:rPr>
                <w:rFonts w:ascii="Arial Narrow" w:eastAsiaTheme="minorEastAsia" w:hAnsi="Arial Narrow"/>
              </w:rPr>
            </w:pPr>
            <w:r w:rsidRPr="00C57ABA">
              <w:rPr>
                <w:rFonts w:ascii="Arial Narrow" w:eastAsiaTheme="minorEastAsia" w:hAnsi="Arial Narrow"/>
              </w:rPr>
              <w:t>АПС</w:t>
            </w:r>
          </w:p>
        </w:tc>
        <w:tc>
          <w:tcPr>
            <w:tcW w:w="7796" w:type="dxa"/>
            <w:shd w:val="clear" w:color="auto" w:fill="auto"/>
            <w:noWrap/>
            <w:vAlign w:val="center"/>
            <w:hideMark/>
          </w:tcPr>
          <w:p w14:paraId="5239A21A" w14:textId="77777777" w:rsidR="008A6F1C" w:rsidRPr="00C57ABA" w:rsidRDefault="008A6F1C" w:rsidP="005B64EF">
            <w:pPr>
              <w:rPr>
                <w:rFonts w:ascii="Arial Narrow" w:eastAsiaTheme="minorEastAsia" w:hAnsi="Arial Narrow"/>
              </w:rPr>
            </w:pPr>
            <w:r w:rsidRPr="00C57ABA">
              <w:rPr>
                <w:rFonts w:ascii="Arial Narrow" w:eastAsiaTheme="minorEastAsia" w:hAnsi="Arial Narrow"/>
              </w:rPr>
              <w:t xml:space="preserve">Система за административна помощ и сътрудничество </w:t>
            </w:r>
          </w:p>
        </w:tc>
      </w:tr>
      <w:tr w:rsidR="008A6F1C" w:rsidRPr="00C57ABA" w14:paraId="422C7446" w14:textId="77777777" w:rsidTr="005B64EF">
        <w:trPr>
          <w:trHeight w:val="2"/>
        </w:trPr>
        <w:tc>
          <w:tcPr>
            <w:tcW w:w="1980" w:type="dxa"/>
            <w:shd w:val="clear" w:color="auto" w:fill="auto"/>
            <w:vAlign w:val="center"/>
          </w:tcPr>
          <w:p w14:paraId="67640B8D" w14:textId="77777777" w:rsidR="008A6F1C" w:rsidRPr="00C57ABA" w:rsidRDefault="008A6F1C" w:rsidP="005B64EF">
            <w:pPr>
              <w:rPr>
                <w:rFonts w:ascii="Arial Narrow" w:eastAsiaTheme="minorEastAsia" w:hAnsi="Arial Narrow"/>
              </w:rPr>
            </w:pPr>
            <w:r w:rsidRPr="00C57ABA">
              <w:rPr>
                <w:rFonts w:ascii="Arial Narrow" w:eastAsiaTheme="minorEastAsia" w:hAnsi="Arial Narrow"/>
              </w:rPr>
              <w:t>АУАН</w:t>
            </w:r>
          </w:p>
        </w:tc>
        <w:tc>
          <w:tcPr>
            <w:tcW w:w="7796" w:type="dxa"/>
            <w:shd w:val="clear" w:color="auto" w:fill="auto"/>
            <w:vAlign w:val="center"/>
          </w:tcPr>
          <w:p w14:paraId="041C065B" w14:textId="77777777" w:rsidR="008A6F1C" w:rsidRPr="00C57ABA" w:rsidRDefault="008A6F1C" w:rsidP="005B64EF">
            <w:pPr>
              <w:rPr>
                <w:rFonts w:ascii="Arial Narrow" w:eastAsiaTheme="minorEastAsia" w:hAnsi="Arial Narrow"/>
              </w:rPr>
            </w:pPr>
            <w:r w:rsidRPr="00C57ABA">
              <w:rPr>
                <w:rFonts w:ascii="Arial Narrow" w:hAnsi="Arial Narrow"/>
              </w:rPr>
              <w:t>Акт за установяване на административно нарушение</w:t>
            </w:r>
          </w:p>
        </w:tc>
      </w:tr>
      <w:tr w:rsidR="008A6F1C" w:rsidRPr="00C57ABA" w14:paraId="45D1DE47" w14:textId="77777777" w:rsidTr="005B64EF">
        <w:trPr>
          <w:trHeight w:val="2"/>
        </w:trPr>
        <w:tc>
          <w:tcPr>
            <w:tcW w:w="1980" w:type="dxa"/>
            <w:shd w:val="clear" w:color="auto" w:fill="auto"/>
            <w:vAlign w:val="center"/>
            <w:hideMark/>
          </w:tcPr>
          <w:p w14:paraId="3E758981" w14:textId="77777777" w:rsidR="008A6F1C" w:rsidRPr="00C57ABA" w:rsidRDefault="008A6F1C" w:rsidP="005B64EF">
            <w:pPr>
              <w:rPr>
                <w:rFonts w:ascii="Arial Narrow" w:eastAsiaTheme="minorEastAsia" w:hAnsi="Arial Narrow"/>
              </w:rPr>
            </w:pPr>
            <w:r w:rsidRPr="00C57ABA">
              <w:rPr>
                <w:rFonts w:ascii="Arial Narrow" w:eastAsiaTheme="minorEastAsia" w:hAnsi="Arial Narrow"/>
              </w:rPr>
              <w:t>БАБХ</w:t>
            </w:r>
          </w:p>
        </w:tc>
        <w:tc>
          <w:tcPr>
            <w:tcW w:w="7796" w:type="dxa"/>
            <w:shd w:val="clear" w:color="auto" w:fill="auto"/>
            <w:vAlign w:val="center"/>
            <w:hideMark/>
          </w:tcPr>
          <w:p w14:paraId="3E28FF2B" w14:textId="77777777" w:rsidR="008A6F1C" w:rsidRPr="00C57ABA" w:rsidRDefault="008A6F1C" w:rsidP="005B64EF">
            <w:pPr>
              <w:rPr>
                <w:rFonts w:ascii="Arial Narrow" w:eastAsiaTheme="minorEastAsia" w:hAnsi="Arial Narrow"/>
              </w:rPr>
            </w:pPr>
            <w:r w:rsidRPr="00C57ABA">
              <w:rPr>
                <w:rFonts w:ascii="Arial Narrow" w:eastAsiaTheme="minorEastAsia" w:hAnsi="Arial Narrow"/>
              </w:rPr>
              <w:t>Българска агенция по безопасност на храните</w:t>
            </w:r>
          </w:p>
        </w:tc>
      </w:tr>
      <w:tr w:rsidR="008A6F1C" w:rsidRPr="00C57ABA" w14:paraId="0071681D" w14:textId="77777777" w:rsidTr="005B64EF">
        <w:trPr>
          <w:trHeight w:val="2"/>
        </w:trPr>
        <w:tc>
          <w:tcPr>
            <w:tcW w:w="1980" w:type="dxa"/>
            <w:shd w:val="clear" w:color="auto" w:fill="auto"/>
            <w:vAlign w:val="center"/>
            <w:hideMark/>
          </w:tcPr>
          <w:p w14:paraId="1F49127A" w14:textId="77777777" w:rsidR="008A6F1C" w:rsidRPr="00C57ABA" w:rsidRDefault="008A6F1C" w:rsidP="005B64EF">
            <w:pPr>
              <w:rPr>
                <w:rFonts w:ascii="Arial Narrow" w:eastAsiaTheme="minorEastAsia" w:hAnsi="Arial Narrow"/>
              </w:rPr>
            </w:pPr>
            <w:r w:rsidRPr="00C57ABA">
              <w:rPr>
                <w:rFonts w:ascii="Arial Narrow" w:eastAsiaTheme="minorEastAsia" w:hAnsi="Arial Narrow"/>
              </w:rPr>
              <w:t xml:space="preserve">БАНСИК </w:t>
            </w:r>
          </w:p>
        </w:tc>
        <w:tc>
          <w:tcPr>
            <w:tcW w:w="7796" w:type="dxa"/>
            <w:shd w:val="clear" w:color="auto" w:fill="auto"/>
            <w:vAlign w:val="center"/>
            <w:hideMark/>
          </w:tcPr>
          <w:p w14:paraId="51568D23" w14:textId="77777777" w:rsidR="008A6F1C" w:rsidRPr="00C57ABA" w:rsidRDefault="008A6F1C" w:rsidP="005B64EF">
            <w:pPr>
              <w:rPr>
                <w:rFonts w:ascii="Arial Narrow" w:eastAsiaTheme="minorEastAsia" w:hAnsi="Arial Narrow"/>
              </w:rPr>
            </w:pPr>
            <w:r w:rsidRPr="00C57ABA">
              <w:rPr>
                <w:rFonts w:ascii="Arial Narrow" w:eastAsiaTheme="minorEastAsia" w:hAnsi="Arial Narrow"/>
              </w:rPr>
              <w:t>Българска анкета за наблюдение на селскостопанската и икономическа конюнктура</w:t>
            </w:r>
          </w:p>
        </w:tc>
      </w:tr>
      <w:tr w:rsidR="008A6F1C" w:rsidRPr="00C57ABA" w14:paraId="20DF1BE9" w14:textId="77777777" w:rsidTr="005B64EF">
        <w:trPr>
          <w:trHeight w:val="2"/>
        </w:trPr>
        <w:tc>
          <w:tcPr>
            <w:tcW w:w="1980" w:type="dxa"/>
            <w:shd w:val="clear" w:color="auto" w:fill="auto"/>
            <w:vAlign w:val="center"/>
            <w:hideMark/>
          </w:tcPr>
          <w:p w14:paraId="19B3BF55" w14:textId="77777777" w:rsidR="008A6F1C" w:rsidRPr="00C57ABA" w:rsidRDefault="008A6F1C" w:rsidP="005B64EF">
            <w:pPr>
              <w:rPr>
                <w:rFonts w:ascii="Arial Narrow" w:eastAsiaTheme="minorEastAsia" w:hAnsi="Arial Narrow"/>
              </w:rPr>
            </w:pPr>
            <w:r w:rsidRPr="00C57ABA">
              <w:rPr>
                <w:rFonts w:ascii="Arial Narrow" w:eastAsiaTheme="minorEastAsia" w:hAnsi="Arial Narrow"/>
              </w:rPr>
              <w:t>БВП</w:t>
            </w:r>
          </w:p>
        </w:tc>
        <w:tc>
          <w:tcPr>
            <w:tcW w:w="7796" w:type="dxa"/>
            <w:shd w:val="clear" w:color="auto" w:fill="auto"/>
            <w:vAlign w:val="center"/>
            <w:hideMark/>
          </w:tcPr>
          <w:p w14:paraId="1FBFEC76" w14:textId="77777777" w:rsidR="008A6F1C" w:rsidRPr="00C57ABA" w:rsidRDefault="008A6F1C" w:rsidP="005B64EF">
            <w:pPr>
              <w:rPr>
                <w:rFonts w:ascii="Arial Narrow" w:eastAsiaTheme="minorEastAsia" w:hAnsi="Arial Narrow"/>
              </w:rPr>
            </w:pPr>
            <w:r w:rsidRPr="00C57ABA">
              <w:rPr>
                <w:rFonts w:ascii="Arial Narrow" w:eastAsiaTheme="minorEastAsia" w:hAnsi="Arial Narrow"/>
              </w:rPr>
              <w:t xml:space="preserve">Брутен вътрешен продукт </w:t>
            </w:r>
          </w:p>
        </w:tc>
      </w:tr>
      <w:tr w:rsidR="008A6F1C" w:rsidRPr="00C57ABA" w14:paraId="419564BB" w14:textId="77777777" w:rsidTr="005B64EF">
        <w:trPr>
          <w:trHeight w:val="2"/>
        </w:trPr>
        <w:tc>
          <w:tcPr>
            <w:tcW w:w="1980" w:type="dxa"/>
            <w:shd w:val="clear" w:color="auto" w:fill="auto"/>
            <w:vAlign w:val="center"/>
            <w:hideMark/>
          </w:tcPr>
          <w:p w14:paraId="2A3E7BD8" w14:textId="77777777" w:rsidR="008A6F1C" w:rsidRPr="00C57ABA" w:rsidRDefault="008A6F1C" w:rsidP="005B64EF">
            <w:pPr>
              <w:rPr>
                <w:rFonts w:ascii="Arial Narrow" w:eastAsiaTheme="minorEastAsia" w:hAnsi="Arial Narrow"/>
              </w:rPr>
            </w:pPr>
            <w:r w:rsidRPr="00C57ABA">
              <w:rPr>
                <w:rFonts w:ascii="Arial Narrow" w:eastAsiaTheme="minorEastAsia" w:hAnsi="Arial Narrow"/>
              </w:rPr>
              <w:t>БДС</w:t>
            </w:r>
          </w:p>
        </w:tc>
        <w:tc>
          <w:tcPr>
            <w:tcW w:w="7796" w:type="dxa"/>
            <w:shd w:val="clear" w:color="auto" w:fill="auto"/>
            <w:vAlign w:val="center"/>
            <w:hideMark/>
          </w:tcPr>
          <w:p w14:paraId="3A21E686" w14:textId="77777777" w:rsidR="008A6F1C" w:rsidRPr="00C57ABA" w:rsidRDefault="008A6F1C" w:rsidP="005B64EF">
            <w:pPr>
              <w:rPr>
                <w:rFonts w:ascii="Arial Narrow" w:eastAsiaTheme="minorEastAsia" w:hAnsi="Arial Narrow"/>
              </w:rPr>
            </w:pPr>
            <w:r w:rsidRPr="00C57ABA">
              <w:rPr>
                <w:rFonts w:ascii="Arial Narrow" w:eastAsiaTheme="minorEastAsia" w:hAnsi="Arial Narrow"/>
              </w:rPr>
              <w:t xml:space="preserve">Брутна добавена стойност </w:t>
            </w:r>
          </w:p>
        </w:tc>
      </w:tr>
      <w:tr w:rsidR="008A6F1C" w:rsidRPr="00C57ABA" w14:paraId="36B6E4E0" w14:textId="77777777" w:rsidTr="005B64EF">
        <w:trPr>
          <w:trHeight w:val="2"/>
        </w:trPr>
        <w:tc>
          <w:tcPr>
            <w:tcW w:w="1980" w:type="dxa"/>
            <w:shd w:val="clear" w:color="auto" w:fill="auto"/>
            <w:vAlign w:val="center"/>
            <w:hideMark/>
          </w:tcPr>
          <w:p w14:paraId="1B462504" w14:textId="77777777" w:rsidR="008A6F1C" w:rsidRPr="00C57ABA" w:rsidRDefault="008A6F1C" w:rsidP="005B64EF">
            <w:pPr>
              <w:rPr>
                <w:rFonts w:ascii="Arial Narrow" w:eastAsiaTheme="minorEastAsia" w:hAnsi="Arial Narrow"/>
              </w:rPr>
            </w:pPr>
            <w:r w:rsidRPr="00C57ABA">
              <w:rPr>
                <w:rFonts w:ascii="Arial Narrow" w:eastAsiaTheme="minorEastAsia" w:hAnsi="Arial Narrow"/>
              </w:rPr>
              <w:t>БДС</w:t>
            </w:r>
          </w:p>
        </w:tc>
        <w:tc>
          <w:tcPr>
            <w:tcW w:w="7796" w:type="dxa"/>
            <w:shd w:val="clear" w:color="auto" w:fill="auto"/>
            <w:vAlign w:val="center"/>
            <w:hideMark/>
          </w:tcPr>
          <w:p w14:paraId="6D06BE14" w14:textId="77777777" w:rsidR="008A6F1C" w:rsidRPr="00C57ABA" w:rsidRDefault="008A6F1C" w:rsidP="005B64EF">
            <w:pPr>
              <w:rPr>
                <w:rFonts w:ascii="Arial Narrow" w:eastAsiaTheme="minorEastAsia" w:hAnsi="Arial Narrow"/>
              </w:rPr>
            </w:pPr>
            <w:r w:rsidRPr="00C57ABA">
              <w:rPr>
                <w:rFonts w:ascii="Arial Narrow" w:eastAsiaTheme="minorEastAsia" w:hAnsi="Arial Narrow"/>
              </w:rPr>
              <w:t xml:space="preserve">Български държавен стандарт </w:t>
            </w:r>
          </w:p>
        </w:tc>
      </w:tr>
      <w:tr w:rsidR="00845719" w:rsidRPr="00C57ABA" w14:paraId="6B41CEBD" w14:textId="77777777" w:rsidTr="005B64EF">
        <w:trPr>
          <w:trHeight w:val="2"/>
        </w:trPr>
        <w:tc>
          <w:tcPr>
            <w:tcW w:w="1980" w:type="dxa"/>
            <w:shd w:val="clear" w:color="auto" w:fill="auto"/>
            <w:vAlign w:val="center"/>
          </w:tcPr>
          <w:p w14:paraId="21773686" w14:textId="77777777" w:rsidR="00845719" w:rsidRPr="00845719" w:rsidRDefault="00845719" w:rsidP="00845719">
            <w:pPr>
              <w:rPr>
                <w:rFonts w:ascii="Arial Narrow" w:eastAsiaTheme="minorEastAsia" w:hAnsi="Arial Narrow"/>
                <w:lang w:val="bg-BG"/>
              </w:rPr>
            </w:pPr>
            <w:r>
              <w:rPr>
                <w:rFonts w:ascii="Arial Narrow" w:eastAsiaTheme="minorEastAsia" w:hAnsi="Arial Narrow"/>
                <w:lang w:val="bg-BG"/>
              </w:rPr>
              <w:t>Биволи</w:t>
            </w:r>
          </w:p>
        </w:tc>
        <w:tc>
          <w:tcPr>
            <w:tcW w:w="7796" w:type="dxa"/>
            <w:shd w:val="clear" w:color="auto" w:fill="auto"/>
            <w:vAlign w:val="center"/>
          </w:tcPr>
          <w:p w14:paraId="757381A7" w14:textId="77777777" w:rsidR="00845719" w:rsidRPr="00C57ABA" w:rsidRDefault="00845719" w:rsidP="00845719">
            <w:pPr>
              <w:rPr>
                <w:rFonts w:ascii="Arial Narrow" w:eastAsiaTheme="minorEastAsia" w:hAnsi="Arial Narrow"/>
              </w:rPr>
            </w:pPr>
            <w:r w:rsidRPr="00C57ABA">
              <w:rPr>
                <w:rFonts w:ascii="Arial Narrow" w:eastAsiaTheme="minorEastAsia" w:hAnsi="Arial Narrow"/>
              </w:rPr>
              <w:t>Обвързано с производството подпомагане за биволи</w:t>
            </w:r>
          </w:p>
        </w:tc>
      </w:tr>
      <w:tr w:rsidR="00845719" w:rsidRPr="00C57ABA" w14:paraId="7982D789" w14:textId="77777777" w:rsidTr="005B64EF">
        <w:trPr>
          <w:trHeight w:val="2"/>
        </w:trPr>
        <w:tc>
          <w:tcPr>
            <w:tcW w:w="1980" w:type="dxa"/>
            <w:shd w:val="clear" w:color="auto" w:fill="auto"/>
            <w:vAlign w:val="center"/>
            <w:hideMark/>
          </w:tcPr>
          <w:p w14:paraId="56A5183A" w14:textId="77777777" w:rsidR="00845719" w:rsidRPr="00C57ABA" w:rsidRDefault="00845719" w:rsidP="00845719">
            <w:pPr>
              <w:rPr>
                <w:rFonts w:ascii="Arial Narrow" w:eastAsiaTheme="minorEastAsia" w:hAnsi="Arial Narrow"/>
              </w:rPr>
            </w:pPr>
            <w:r w:rsidRPr="00C57ABA">
              <w:rPr>
                <w:rFonts w:ascii="Arial Narrow" w:eastAsiaTheme="minorEastAsia" w:hAnsi="Arial Narrow"/>
              </w:rPr>
              <w:t>БНБ</w:t>
            </w:r>
          </w:p>
        </w:tc>
        <w:tc>
          <w:tcPr>
            <w:tcW w:w="7796" w:type="dxa"/>
            <w:shd w:val="clear" w:color="auto" w:fill="auto"/>
            <w:vAlign w:val="center"/>
            <w:hideMark/>
          </w:tcPr>
          <w:p w14:paraId="169F54BF" w14:textId="77777777" w:rsidR="00845719" w:rsidRPr="00C57ABA" w:rsidRDefault="00845719" w:rsidP="00845719">
            <w:pPr>
              <w:rPr>
                <w:rFonts w:ascii="Arial Narrow" w:eastAsiaTheme="minorEastAsia" w:hAnsi="Arial Narrow"/>
              </w:rPr>
            </w:pPr>
            <w:r w:rsidRPr="00C57ABA">
              <w:rPr>
                <w:rFonts w:ascii="Arial Narrow" w:eastAsiaTheme="minorEastAsia" w:hAnsi="Arial Narrow"/>
              </w:rPr>
              <w:t>Българска народна банка</w:t>
            </w:r>
          </w:p>
        </w:tc>
      </w:tr>
      <w:tr w:rsidR="00845719" w:rsidRPr="00C57ABA" w14:paraId="7F70C79C" w14:textId="77777777" w:rsidTr="005B64EF">
        <w:trPr>
          <w:trHeight w:val="2"/>
        </w:trPr>
        <w:tc>
          <w:tcPr>
            <w:tcW w:w="1980" w:type="dxa"/>
            <w:shd w:val="clear" w:color="auto" w:fill="auto"/>
            <w:vAlign w:val="center"/>
            <w:hideMark/>
          </w:tcPr>
          <w:p w14:paraId="2B938CCB" w14:textId="77777777" w:rsidR="00845719" w:rsidRPr="00C57ABA" w:rsidRDefault="00845719" w:rsidP="00845719">
            <w:pPr>
              <w:rPr>
                <w:rFonts w:ascii="Arial Narrow" w:eastAsiaTheme="minorEastAsia" w:hAnsi="Arial Narrow"/>
              </w:rPr>
            </w:pPr>
            <w:r w:rsidRPr="00C57ABA">
              <w:rPr>
                <w:rFonts w:ascii="Arial Narrow" w:eastAsiaTheme="minorEastAsia" w:hAnsi="Arial Narrow"/>
              </w:rPr>
              <w:t>БСК</w:t>
            </w:r>
          </w:p>
        </w:tc>
        <w:tc>
          <w:tcPr>
            <w:tcW w:w="7796" w:type="dxa"/>
            <w:shd w:val="clear" w:color="auto" w:fill="auto"/>
            <w:vAlign w:val="center"/>
            <w:hideMark/>
          </w:tcPr>
          <w:p w14:paraId="568D227C" w14:textId="77777777" w:rsidR="00845719" w:rsidRPr="00C57ABA" w:rsidRDefault="00845719" w:rsidP="00845719">
            <w:pPr>
              <w:rPr>
                <w:rFonts w:ascii="Arial Narrow" w:eastAsiaTheme="minorEastAsia" w:hAnsi="Arial Narrow"/>
              </w:rPr>
            </w:pPr>
            <w:r w:rsidRPr="00C57ABA">
              <w:rPr>
                <w:rFonts w:ascii="Arial Narrow" w:eastAsiaTheme="minorEastAsia" w:hAnsi="Arial Narrow"/>
              </w:rPr>
              <w:t xml:space="preserve">Биологични и стопански качества </w:t>
            </w:r>
          </w:p>
        </w:tc>
      </w:tr>
      <w:tr w:rsidR="00845719" w:rsidRPr="00C57ABA" w14:paraId="6F5D0C74" w14:textId="77777777" w:rsidTr="005B64EF">
        <w:trPr>
          <w:trHeight w:val="2"/>
        </w:trPr>
        <w:tc>
          <w:tcPr>
            <w:tcW w:w="1980" w:type="dxa"/>
            <w:shd w:val="clear" w:color="auto" w:fill="auto"/>
            <w:vAlign w:val="center"/>
            <w:hideMark/>
          </w:tcPr>
          <w:p w14:paraId="24A6A056" w14:textId="77777777" w:rsidR="00845719" w:rsidRPr="00C57ABA" w:rsidRDefault="00845719" w:rsidP="00845719">
            <w:pPr>
              <w:rPr>
                <w:rFonts w:ascii="Arial Narrow" w:eastAsiaTheme="minorEastAsia" w:hAnsi="Arial Narrow"/>
              </w:rPr>
            </w:pPr>
            <w:r w:rsidRPr="00C57ABA">
              <w:rPr>
                <w:rFonts w:ascii="Arial Narrow" w:eastAsiaTheme="minorEastAsia" w:hAnsi="Arial Narrow"/>
              </w:rPr>
              <w:t>БЧК</w:t>
            </w:r>
          </w:p>
        </w:tc>
        <w:tc>
          <w:tcPr>
            <w:tcW w:w="7796" w:type="dxa"/>
            <w:shd w:val="clear" w:color="auto" w:fill="auto"/>
            <w:vAlign w:val="center"/>
            <w:hideMark/>
          </w:tcPr>
          <w:p w14:paraId="2761D60A" w14:textId="77777777" w:rsidR="00845719" w:rsidRPr="00C57ABA" w:rsidRDefault="00845719" w:rsidP="00845719">
            <w:pPr>
              <w:rPr>
                <w:rFonts w:ascii="Arial Narrow" w:eastAsiaTheme="minorEastAsia" w:hAnsi="Arial Narrow"/>
              </w:rPr>
            </w:pPr>
            <w:r w:rsidRPr="00C57ABA">
              <w:rPr>
                <w:rFonts w:ascii="Arial Narrow" w:eastAsiaTheme="minorEastAsia" w:hAnsi="Arial Narrow"/>
              </w:rPr>
              <w:t>Български червен кръст</w:t>
            </w:r>
          </w:p>
        </w:tc>
      </w:tr>
      <w:tr w:rsidR="00845719" w:rsidRPr="00C57ABA" w14:paraId="5D410B07" w14:textId="77777777" w:rsidTr="005B64EF">
        <w:trPr>
          <w:trHeight w:val="2"/>
        </w:trPr>
        <w:tc>
          <w:tcPr>
            <w:tcW w:w="1980" w:type="dxa"/>
            <w:shd w:val="clear" w:color="auto" w:fill="auto"/>
            <w:vAlign w:val="center"/>
          </w:tcPr>
          <w:p w14:paraId="5FB3C1A3" w14:textId="77777777" w:rsidR="00845719" w:rsidRPr="00C57ABA" w:rsidRDefault="00845719" w:rsidP="00845719">
            <w:pPr>
              <w:rPr>
                <w:rFonts w:ascii="Arial Narrow" w:eastAsiaTheme="minorEastAsia" w:hAnsi="Arial Narrow"/>
              </w:rPr>
            </w:pPr>
            <w:r w:rsidRPr="00C57ABA">
              <w:rPr>
                <w:rFonts w:ascii="Arial Narrow" w:eastAsiaTheme="minorEastAsia" w:hAnsi="Arial Narrow"/>
              </w:rPr>
              <w:t>БФП</w:t>
            </w:r>
          </w:p>
        </w:tc>
        <w:tc>
          <w:tcPr>
            <w:tcW w:w="7796" w:type="dxa"/>
            <w:shd w:val="clear" w:color="auto" w:fill="auto"/>
            <w:vAlign w:val="center"/>
          </w:tcPr>
          <w:p w14:paraId="0E188207" w14:textId="77777777" w:rsidR="00845719" w:rsidRPr="00C57ABA" w:rsidRDefault="00845719" w:rsidP="00845719">
            <w:pPr>
              <w:rPr>
                <w:rFonts w:ascii="Arial Narrow" w:eastAsiaTheme="minorEastAsia" w:hAnsi="Arial Narrow"/>
              </w:rPr>
            </w:pPr>
            <w:r w:rsidRPr="00C57ABA">
              <w:rPr>
                <w:rFonts w:ascii="Arial Narrow" w:eastAsiaTheme="minorEastAsia" w:hAnsi="Arial Narrow"/>
              </w:rPr>
              <w:t>Безвъзмездна финансова помощ</w:t>
            </w:r>
          </w:p>
        </w:tc>
      </w:tr>
      <w:tr w:rsidR="00845719" w:rsidRPr="00C57ABA" w14:paraId="269023BA" w14:textId="77777777" w:rsidTr="005B64EF">
        <w:trPr>
          <w:trHeight w:val="2"/>
        </w:trPr>
        <w:tc>
          <w:tcPr>
            <w:tcW w:w="1980" w:type="dxa"/>
            <w:shd w:val="clear" w:color="auto" w:fill="auto"/>
            <w:vAlign w:val="center"/>
            <w:hideMark/>
          </w:tcPr>
          <w:p w14:paraId="2350E622" w14:textId="77777777" w:rsidR="00845719" w:rsidRPr="00C57ABA" w:rsidRDefault="00845719" w:rsidP="00845719">
            <w:pPr>
              <w:rPr>
                <w:rFonts w:ascii="Arial Narrow" w:eastAsiaTheme="minorEastAsia" w:hAnsi="Arial Narrow"/>
              </w:rPr>
            </w:pPr>
            <w:r w:rsidRPr="00C57ABA">
              <w:rPr>
                <w:rFonts w:ascii="Arial Narrow" w:eastAsiaTheme="minorEastAsia" w:hAnsi="Arial Narrow"/>
              </w:rPr>
              <w:t xml:space="preserve">ВЕИ </w:t>
            </w:r>
          </w:p>
        </w:tc>
        <w:tc>
          <w:tcPr>
            <w:tcW w:w="7796" w:type="dxa"/>
            <w:shd w:val="clear" w:color="auto" w:fill="auto"/>
            <w:vAlign w:val="center"/>
            <w:hideMark/>
          </w:tcPr>
          <w:p w14:paraId="719970FA" w14:textId="77777777" w:rsidR="00845719" w:rsidRPr="00C57ABA" w:rsidRDefault="00845719" w:rsidP="00845719">
            <w:pPr>
              <w:rPr>
                <w:rFonts w:ascii="Arial Narrow" w:eastAsiaTheme="minorEastAsia" w:hAnsi="Arial Narrow"/>
              </w:rPr>
            </w:pPr>
            <w:r w:rsidRPr="00C57ABA">
              <w:rPr>
                <w:rFonts w:ascii="Arial Narrow" w:eastAsiaTheme="minorEastAsia" w:hAnsi="Arial Narrow"/>
              </w:rPr>
              <w:t>Възобновяеми енергийни източници</w:t>
            </w:r>
          </w:p>
        </w:tc>
      </w:tr>
      <w:tr w:rsidR="00845719" w:rsidRPr="00C57ABA" w14:paraId="04954FB1" w14:textId="77777777" w:rsidTr="005B64EF">
        <w:trPr>
          <w:trHeight w:val="2"/>
        </w:trPr>
        <w:tc>
          <w:tcPr>
            <w:tcW w:w="1980" w:type="dxa"/>
            <w:shd w:val="clear" w:color="auto" w:fill="auto"/>
            <w:vAlign w:val="center"/>
            <w:hideMark/>
          </w:tcPr>
          <w:p w14:paraId="02B7689F" w14:textId="77777777" w:rsidR="00845719" w:rsidRPr="00C57ABA" w:rsidRDefault="00EC1FE6" w:rsidP="00EC1FE6">
            <w:pPr>
              <w:rPr>
                <w:rFonts w:ascii="Arial Narrow" w:eastAsiaTheme="minorEastAsia" w:hAnsi="Arial Narrow"/>
              </w:rPr>
            </w:pPr>
            <w:r w:rsidRPr="00C57ABA">
              <w:rPr>
                <w:rFonts w:ascii="Arial Narrow" w:eastAsiaTheme="minorEastAsia" w:hAnsi="Arial Narrow"/>
              </w:rPr>
              <w:t>В</w:t>
            </w:r>
            <w:r>
              <w:rPr>
                <w:rFonts w:ascii="Arial Narrow" w:eastAsiaTheme="minorEastAsia" w:hAnsi="Arial Narrow"/>
                <w:lang w:val="bg-BG"/>
              </w:rPr>
              <w:t>Л</w:t>
            </w:r>
            <w:r w:rsidRPr="00C57ABA">
              <w:rPr>
                <w:rFonts w:ascii="Arial Narrow" w:eastAsiaTheme="minorEastAsia" w:hAnsi="Arial Narrow"/>
              </w:rPr>
              <w:t>П</w:t>
            </w:r>
          </w:p>
        </w:tc>
        <w:tc>
          <w:tcPr>
            <w:tcW w:w="7796" w:type="dxa"/>
            <w:shd w:val="clear" w:color="auto" w:fill="auto"/>
            <w:vAlign w:val="center"/>
            <w:hideMark/>
          </w:tcPr>
          <w:p w14:paraId="51354B44" w14:textId="77777777" w:rsidR="00845719" w:rsidRPr="00C57ABA" w:rsidRDefault="00845719" w:rsidP="00EC1FE6">
            <w:pPr>
              <w:rPr>
                <w:rFonts w:ascii="Arial Narrow" w:eastAsiaTheme="minorEastAsia" w:hAnsi="Arial Narrow"/>
              </w:rPr>
            </w:pPr>
            <w:r w:rsidRPr="00C57ABA">
              <w:rPr>
                <w:rFonts w:ascii="Arial Narrow" w:eastAsiaTheme="minorEastAsia" w:hAnsi="Arial Narrow"/>
              </w:rPr>
              <w:t>Ветеринарн</w:t>
            </w:r>
            <w:r w:rsidR="00EC1FE6">
              <w:rPr>
                <w:rFonts w:ascii="Arial Narrow" w:eastAsiaTheme="minorEastAsia" w:hAnsi="Arial Narrow"/>
                <w:lang w:val="bg-BG"/>
              </w:rPr>
              <w:t>и  лекарствени</w:t>
            </w:r>
            <w:r w:rsidRPr="00C57ABA">
              <w:rPr>
                <w:rFonts w:ascii="Arial Narrow" w:eastAsiaTheme="minorEastAsia" w:hAnsi="Arial Narrow"/>
              </w:rPr>
              <w:t xml:space="preserve"> продукти </w:t>
            </w:r>
          </w:p>
        </w:tc>
      </w:tr>
      <w:tr w:rsidR="00845719" w:rsidRPr="00C57ABA" w14:paraId="7CFFF086" w14:textId="77777777" w:rsidTr="005B64EF">
        <w:trPr>
          <w:trHeight w:val="2"/>
        </w:trPr>
        <w:tc>
          <w:tcPr>
            <w:tcW w:w="1980" w:type="dxa"/>
            <w:shd w:val="clear" w:color="auto" w:fill="auto"/>
            <w:noWrap/>
            <w:vAlign w:val="center"/>
            <w:hideMark/>
          </w:tcPr>
          <w:p w14:paraId="6F1EF790" w14:textId="77777777" w:rsidR="00845719" w:rsidRPr="00C57ABA" w:rsidRDefault="00845719" w:rsidP="00845719">
            <w:pPr>
              <w:rPr>
                <w:rFonts w:ascii="Arial Narrow" w:eastAsiaTheme="minorEastAsia" w:hAnsi="Arial Narrow"/>
              </w:rPr>
            </w:pPr>
            <w:r w:rsidRPr="00C57ABA">
              <w:rPr>
                <w:rFonts w:ascii="Arial Narrow" w:eastAsiaTheme="minorEastAsia" w:hAnsi="Arial Narrow"/>
              </w:rPr>
              <w:t>ВОК</w:t>
            </w:r>
          </w:p>
        </w:tc>
        <w:tc>
          <w:tcPr>
            <w:tcW w:w="7796" w:type="dxa"/>
            <w:shd w:val="clear" w:color="auto" w:fill="auto"/>
            <w:noWrap/>
            <w:vAlign w:val="center"/>
            <w:hideMark/>
          </w:tcPr>
          <w:p w14:paraId="120C4D58" w14:textId="77777777" w:rsidR="00845719" w:rsidRPr="00C57ABA" w:rsidRDefault="00845719" w:rsidP="00845719">
            <w:pPr>
              <w:rPr>
                <w:rFonts w:ascii="Arial Narrow" w:eastAsiaTheme="minorEastAsia" w:hAnsi="Arial Narrow"/>
              </w:rPr>
            </w:pPr>
            <w:r w:rsidRPr="00C57ABA">
              <w:rPr>
                <w:rFonts w:ascii="Arial Narrow" w:eastAsiaTheme="minorEastAsia" w:hAnsi="Arial Narrow"/>
              </w:rPr>
              <w:t>Главна дирекция “Верификация на официалния контрол”</w:t>
            </w:r>
          </w:p>
        </w:tc>
      </w:tr>
      <w:tr w:rsidR="00845719" w:rsidRPr="00C57ABA" w14:paraId="29454FEA" w14:textId="77777777" w:rsidTr="005B64EF">
        <w:trPr>
          <w:trHeight w:val="2"/>
        </w:trPr>
        <w:tc>
          <w:tcPr>
            <w:tcW w:w="1980" w:type="dxa"/>
            <w:shd w:val="clear" w:color="auto" w:fill="auto"/>
            <w:noWrap/>
            <w:vAlign w:val="center"/>
            <w:hideMark/>
          </w:tcPr>
          <w:p w14:paraId="01BB306E" w14:textId="77777777" w:rsidR="00845719" w:rsidRPr="00C57ABA" w:rsidRDefault="00845719" w:rsidP="00845719">
            <w:pPr>
              <w:rPr>
                <w:rFonts w:ascii="Arial Narrow" w:eastAsiaTheme="minorEastAsia" w:hAnsi="Arial Narrow"/>
              </w:rPr>
            </w:pPr>
            <w:r w:rsidRPr="00C57ABA">
              <w:rPr>
                <w:rFonts w:ascii="Arial Narrow" w:eastAsiaTheme="minorEastAsia" w:hAnsi="Arial Narrow"/>
              </w:rPr>
              <w:t>ВОМР</w:t>
            </w:r>
          </w:p>
        </w:tc>
        <w:tc>
          <w:tcPr>
            <w:tcW w:w="7796" w:type="dxa"/>
            <w:shd w:val="clear" w:color="auto" w:fill="auto"/>
            <w:noWrap/>
            <w:vAlign w:val="center"/>
            <w:hideMark/>
          </w:tcPr>
          <w:p w14:paraId="053DA73C" w14:textId="77777777" w:rsidR="00845719" w:rsidRPr="00C57ABA" w:rsidRDefault="00845719" w:rsidP="00845719">
            <w:pPr>
              <w:rPr>
                <w:rFonts w:ascii="Arial Narrow" w:eastAsiaTheme="minorEastAsia" w:hAnsi="Arial Narrow"/>
              </w:rPr>
            </w:pPr>
            <w:r w:rsidRPr="00C57ABA">
              <w:rPr>
                <w:rFonts w:ascii="Arial Narrow" w:eastAsiaTheme="minorEastAsia" w:hAnsi="Arial Narrow"/>
              </w:rPr>
              <w:t xml:space="preserve">Водено от общностите местно развитие </w:t>
            </w:r>
          </w:p>
        </w:tc>
      </w:tr>
      <w:tr w:rsidR="00845719" w:rsidRPr="00C57ABA" w14:paraId="3AC992A8" w14:textId="77777777" w:rsidTr="005B64EF">
        <w:trPr>
          <w:trHeight w:val="2"/>
        </w:trPr>
        <w:tc>
          <w:tcPr>
            <w:tcW w:w="1980" w:type="dxa"/>
            <w:shd w:val="clear" w:color="auto" w:fill="auto"/>
            <w:noWrap/>
            <w:vAlign w:val="center"/>
            <w:hideMark/>
          </w:tcPr>
          <w:p w14:paraId="6317876F" w14:textId="77777777" w:rsidR="00845719" w:rsidRPr="00C57ABA" w:rsidRDefault="00845719" w:rsidP="00845719">
            <w:pPr>
              <w:rPr>
                <w:rFonts w:ascii="Arial Narrow" w:eastAsiaTheme="minorEastAsia" w:hAnsi="Arial Narrow"/>
              </w:rPr>
            </w:pPr>
            <w:r w:rsidRPr="00C57ABA">
              <w:rPr>
                <w:rFonts w:ascii="Arial Narrow" w:eastAsiaTheme="minorEastAsia" w:hAnsi="Arial Narrow"/>
              </w:rPr>
              <w:t>ВПС</w:t>
            </w:r>
          </w:p>
        </w:tc>
        <w:tc>
          <w:tcPr>
            <w:tcW w:w="7796" w:type="dxa"/>
            <w:shd w:val="clear" w:color="auto" w:fill="auto"/>
            <w:noWrap/>
            <w:vAlign w:val="center"/>
            <w:hideMark/>
          </w:tcPr>
          <w:p w14:paraId="18B38A33" w14:textId="77777777" w:rsidR="00845719" w:rsidRPr="00C57ABA" w:rsidRDefault="00845719" w:rsidP="00845719">
            <w:pPr>
              <w:rPr>
                <w:rFonts w:ascii="Arial Narrow" w:eastAsiaTheme="minorEastAsia" w:hAnsi="Arial Narrow"/>
              </w:rPr>
            </w:pPr>
            <w:r w:rsidRPr="00C57ABA">
              <w:rPr>
                <w:rFonts w:ascii="Arial Narrow" w:eastAsiaTheme="minorEastAsia" w:hAnsi="Arial Narrow"/>
              </w:rPr>
              <w:t xml:space="preserve">Възстановяване и поддържане на затревени площи с висока природна стойност </w:t>
            </w:r>
          </w:p>
        </w:tc>
      </w:tr>
      <w:tr w:rsidR="00845719" w:rsidRPr="00C57ABA" w14:paraId="3B537855" w14:textId="77777777" w:rsidTr="005B64EF">
        <w:trPr>
          <w:trHeight w:val="2"/>
        </w:trPr>
        <w:tc>
          <w:tcPr>
            <w:tcW w:w="1980" w:type="dxa"/>
            <w:shd w:val="clear" w:color="auto" w:fill="auto"/>
            <w:vAlign w:val="center"/>
          </w:tcPr>
          <w:p w14:paraId="620BFF7C" w14:textId="77777777" w:rsidR="00845719" w:rsidRPr="00C57ABA" w:rsidRDefault="00845719" w:rsidP="00845719">
            <w:pPr>
              <w:rPr>
                <w:rFonts w:ascii="Arial Narrow" w:eastAsiaTheme="minorEastAsia" w:hAnsi="Arial Narrow"/>
              </w:rPr>
            </w:pPr>
            <w:r w:rsidRPr="00C57ABA">
              <w:rPr>
                <w:rFonts w:ascii="Arial Narrow" w:eastAsiaTheme="minorEastAsia" w:hAnsi="Arial Narrow"/>
              </w:rPr>
              <w:t>Г-пл</w:t>
            </w:r>
          </w:p>
        </w:tc>
        <w:tc>
          <w:tcPr>
            <w:tcW w:w="7796" w:type="dxa"/>
            <w:shd w:val="clear" w:color="auto" w:fill="auto"/>
            <w:vAlign w:val="center"/>
          </w:tcPr>
          <w:p w14:paraId="01552AB1" w14:textId="77777777" w:rsidR="00845719" w:rsidRPr="00C57ABA" w:rsidRDefault="00845719" w:rsidP="00845719">
            <w:pPr>
              <w:rPr>
                <w:rFonts w:ascii="Arial Narrow" w:eastAsiaTheme="minorEastAsia" w:hAnsi="Arial Narrow"/>
              </w:rPr>
            </w:pPr>
            <w:r w:rsidRPr="00C57ABA">
              <w:rPr>
                <w:rFonts w:ascii="Arial Narrow" w:eastAsiaTheme="minorEastAsia" w:hAnsi="Arial Narrow"/>
              </w:rPr>
              <w:t xml:space="preserve">Обвързано с производството подпомагане за говеда в планински райони </w:t>
            </w:r>
          </w:p>
        </w:tc>
      </w:tr>
      <w:tr w:rsidR="00845719" w:rsidRPr="00C57ABA" w14:paraId="7A88815F" w14:textId="77777777" w:rsidTr="005B64EF">
        <w:trPr>
          <w:trHeight w:val="2"/>
        </w:trPr>
        <w:tc>
          <w:tcPr>
            <w:tcW w:w="1980" w:type="dxa"/>
            <w:shd w:val="clear" w:color="auto" w:fill="auto"/>
            <w:vAlign w:val="center"/>
            <w:hideMark/>
          </w:tcPr>
          <w:p w14:paraId="0C3C18EB" w14:textId="77777777" w:rsidR="00845719" w:rsidRPr="00C57ABA" w:rsidRDefault="00845719" w:rsidP="00845719">
            <w:pPr>
              <w:rPr>
                <w:rFonts w:ascii="Arial Narrow" w:eastAsiaTheme="minorEastAsia" w:hAnsi="Arial Narrow"/>
              </w:rPr>
            </w:pPr>
            <w:r w:rsidRPr="00C57ABA">
              <w:rPr>
                <w:rFonts w:ascii="Arial Narrow" w:eastAsiaTheme="minorEastAsia" w:hAnsi="Arial Narrow"/>
              </w:rPr>
              <w:t>ГИП</w:t>
            </w:r>
          </w:p>
        </w:tc>
        <w:tc>
          <w:tcPr>
            <w:tcW w:w="7796" w:type="dxa"/>
            <w:shd w:val="clear" w:color="auto" w:fill="auto"/>
            <w:vAlign w:val="center"/>
            <w:hideMark/>
          </w:tcPr>
          <w:p w14:paraId="7894AB9C" w14:textId="77777777" w:rsidR="00845719" w:rsidRPr="00C57ABA" w:rsidRDefault="00845719" w:rsidP="00845719">
            <w:pPr>
              <w:rPr>
                <w:rFonts w:ascii="Arial Narrow" w:eastAsiaTheme="minorEastAsia" w:hAnsi="Arial Narrow"/>
              </w:rPr>
            </w:pPr>
            <w:r w:rsidRPr="00C57ABA">
              <w:rPr>
                <w:rFonts w:ascii="Arial Narrow" w:eastAsiaTheme="minorEastAsia" w:hAnsi="Arial Narrow"/>
              </w:rPr>
              <w:t>Гранични инспекционни пунктове</w:t>
            </w:r>
          </w:p>
        </w:tc>
      </w:tr>
      <w:tr w:rsidR="00845719" w:rsidRPr="00C57ABA" w14:paraId="749E48CA" w14:textId="77777777" w:rsidTr="005B64EF">
        <w:trPr>
          <w:trHeight w:val="2"/>
        </w:trPr>
        <w:tc>
          <w:tcPr>
            <w:tcW w:w="1980" w:type="dxa"/>
            <w:shd w:val="clear" w:color="auto" w:fill="auto"/>
            <w:vAlign w:val="center"/>
            <w:hideMark/>
          </w:tcPr>
          <w:p w14:paraId="61D80389" w14:textId="77777777" w:rsidR="00845719" w:rsidRPr="00C57ABA" w:rsidRDefault="00845719" w:rsidP="00845719">
            <w:pPr>
              <w:rPr>
                <w:rFonts w:ascii="Arial Narrow" w:eastAsiaTheme="minorEastAsia" w:hAnsi="Arial Narrow"/>
              </w:rPr>
            </w:pPr>
            <w:r w:rsidRPr="00C57ABA">
              <w:rPr>
                <w:rFonts w:ascii="Arial Narrow" w:eastAsiaTheme="minorEastAsia" w:hAnsi="Arial Narrow"/>
              </w:rPr>
              <w:t>ГКПП</w:t>
            </w:r>
          </w:p>
        </w:tc>
        <w:tc>
          <w:tcPr>
            <w:tcW w:w="7796" w:type="dxa"/>
            <w:shd w:val="clear" w:color="auto" w:fill="auto"/>
            <w:vAlign w:val="center"/>
            <w:hideMark/>
          </w:tcPr>
          <w:p w14:paraId="370C7982" w14:textId="77777777" w:rsidR="00845719" w:rsidRPr="00C57ABA" w:rsidRDefault="00845719" w:rsidP="00845719">
            <w:pPr>
              <w:rPr>
                <w:rFonts w:ascii="Arial Narrow" w:eastAsiaTheme="minorEastAsia" w:hAnsi="Arial Narrow"/>
              </w:rPr>
            </w:pPr>
            <w:r w:rsidRPr="00C57ABA">
              <w:rPr>
                <w:rFonts w:ascii="Arial Narrow" w:eastAsiaTheme="minorEastAsia" w:hAnsi="Arial Narrow"/>
              </w:rPr>
              <w:t>Гранични контролно-пропускателни пунктове</w:t>
            </w:r>
          </w:p>
        </w:tc>
      </w:tr>
      <w:tr w:rsidR="00845719" w:rsidRPr="00C57ABA" w14:paraId="6716826E" w14:textId="77777777" w:rsidTr="005B64EF">
        <w:trPr>
          <w:trHeight w:val="2"/>
        </w:trPr>
        <w:tc>
          <w:tcPr>
            <w:tcW w:w="1980" w:type="dxa"/>
            <w:shd w:val="clear" w:color="auto" w:fill="auto"/>
            <w:vAlign w:val="center"/>
            <w:hideMark/>
          </w:tcPr>
          <w:p w14:paraId="775B620B" w14:textId="77777777" w:rsidR="00845719" w:rsidRPr="00C57ABA" w:rsidRDefault="00845719" w:rsidP="00845719">
            <w:pPr>
              <w:rPr>
                <w:rFonts w:ascii="Arial Narrow" w:eastAsiaTheme="minorEastAsia" w:hAnsi="Arial Narrow"/>
              </w:rPr>
            </w:pPr>
            <w:r w:rsidRPr="00C57ABA">
              <w:rPr>
                <w:rFonts w:ascii="Arial Narrow" w:eastAsiaTheme="minorEastAsia" w:hAnsi="Arial Narrow"/>
              </w:rPr>
              <w:t>ГМО</w:t>
            </w:r>
          </w:p>
        </w:tc>
        <w:tc>
          <w:tcPr>
            <w:tcW w:w="7796" w:type="dxa"/>
            <w:shd w:val="clear" w:color="auto" w:fill="auto"/>
            <w:vAlign w:val="center"/>
            <w:hideMark/>
          </w:tcPr>
          <w:p w14:paraId="07CD3929" w14:textId="77777777" w:rsidR="00845719" w:rsidRPr="00C57ABA" w:rsidRDefault="00845719" w:rsidP="00845719">
            <w:pPr>
              <w:rPr>
                <w:rFonts w:ascii="Arial Narrow" w:eastAsiaTheme="minorEastAsia" w:hAnsi="Arial Narrow"/>
              </w:rPr>
            </w:pPr>
            <w:r w:rsidRPr="00C57ABA">
              <w:rPr>
                <w:rFonts w:ascii="Arial Narrow" w:eastAsiaTheme="minorEastAsia" w:hAnsi="Arial Narrow"/>
              </w:rPr>
              <w:t>Генетично модифициран организъм</w:t>
            </w:r>
          </w:p>
        </w:tc>
      </w:tr>
      <w:tr w:rsidR="00845719" w:rsidRPr="00C57ABA" w14:paraId="0FD778DB" w14:textId="77777777" w:rsidTr="005B64EF">
        <w:trPr>
          <w:trHeight w:val="2"/>
        </w:trPr>
        <w:tc>
          <w:tcPr>
            <w:tcW w:w="1980" w:type="dxa"/>
            <w:shd w:val="clear" w:color="auto" w:fill="auto"/>
            <w:vAlign w:val="center"/>
          </w:tcPr>
          <w:p w14:paraId="65969A10" w14:textId="77777777" w:rsidR="00845719" w:rsidRPr="00C57ABA" w:rsidRDefault="00845719" w:rsidP="00845719">
            <w:pPr>
              <w:rPr>
                <w:rFonts w:ascii="Arial Narrow" w:eastAsiaTheme="minorEastAsia" w:hAnsi="Arial Narrow"/>
              </w:rPr>
            </w:pPr>
            <w:r w:rsidRPr="00C57ABA">
              <w:rPr>
                <w:rFonts w:ascii="Arial Narrow" w:eastAsiaTheme="minorEastAsia" w:hAnsi="Arial Narrow"/>
              </w:rPr>
              <w:t>ГП</w:t>
            </w:r>
          </w:p>
        </w:tc>
        <w:tc>
          <w:tcPr>
            <w:tcW w:w="7796" w:type="dxa"/>
            <w:shd w:val="clear" w:color="auto" w:fill="auto"/>
            <w:vAlign w:val="center"/>
          </w:tcPr>
          <w:p w14:paraId="5DA14B6D" w14:textId="77777777" w:rsidR="00845719" w:rsidRPr="00C57ABA" w:rsidRDefault="00845719" w:rsidP="00845719">
            <w:pPr>
              <w:rPr>
                <w:rFonts w:ascii="Arial Narrow" w:eastAsiaTheme="minorEastAsia" w:hAnsi="Arial Narrow"/>
              </w:rPr>
            </w:pPr>
            <w:r w:rsidRPr="00C57ABA">
              <w:rPr>
                <w:rFonts w:ascii="Arial Narrow" w:eastAsiaTheme="minorEastAsia" w:hAnsi="Arial Narrow"/>
              </w:rPr>
              <w:t>Групи производители</w:t>
            </w:r>
          </w:p>
        </w:tc>
      </w:tr>
      <w:tr w:rsidR="00845719" w:rsidRPr="00C57ABA" w14:paraId="04696FFA" w14:textId="77777777" w:rsidTr="005B64EF">
        <w:trPr>
          <w:trHeight w:val="2"/>
        </w:trPr>
        <w:tc>
          <w:tcPr>
            <w:tcW w:w="1980" w:type="dxa"/>
            <w:shd w:val="clear" w:color="auto" w:fill="auto"/>
            <w:vAlign w:val="center"/>
            <w:hideMark/>
          </w:tcPr>
          <w:p w14:paraId="58441E62" w14:textId="77777777" w:rsidR="00845719" w:rsidRPr="00C57ABA" w:rsidRDefault="00845719" w:rsidP="00845719">
            <w:pPr>
              <w:rPr>
                <w:rFonts w:ascii="Arial Narrow" w:eastAsiaTheme="minorEastAsia" w:hAnsi="Arial Narrow"/>
              </w:rPr>
            </w:pPr>
            <w:r w:rsidRPr="00C57ABA">
              <w:rPr>
                <w:rFonts w:ascii="Arial Narrow" w:eastAsiaTheme="minorEastAsia" w:hAnsi="Arial Narrow"/>
              </w:rPr>
              <w:t>ГРМ</w:t>
            </w:r>
          </w:p>
        </w:tc>
        <w:tc>
          <w:tcPr>
            <w:tcW w:w="7796" w:type="dxa"/>
            <w:shd w:val="clear" w:color="auto" w:fill="auto"/>
            <w:vAlign w:val="center"/>
            <w:hideMark/>
          </w:tcPr>
          <w:p w14:paraId="484E719D" w14:textId="77777777" w:rsidR="00845719" w:rsidRPr="00C57ABA" w:rsidRDefault="00845719" w:rsidP="00845719">
            <w:pPr>
              <w:rPr>
                <w:rFonts w:ascii="Arial Narrow" w:eastAsiaTheme="minorEastAsia" w:hAnsi="Arial Narrow"/>
              </w:rPr>
            </w:pPr>
            <w:r w:rsidRPr="00C57ABA">
              <w:rPr>
                <w:rFonts w:ascii="Arial Narrow" w:eastAsiaTheme="minorEastAsia" w:hAnsi="Arial Narrow"/>
              </w:rPr>
              <w:t>Горски репродуктивни материали</w:t>
            </w:r>
          </w:p>
        </w:tc>
      </w:tr>
      <w:tr w:rsidR="00845719" w:rsidRPr="00C57ABA" w14:paraId="360C26A7" w14:textId="77777777" w:rsidTr="005B64EF">
        <w:trPr>
          <w:trHeight w:val="2"/>
        </w:trPr>
        <w:tc>
          <w:tcPr>
            <w:tcW w:w="1980" w:type="dxa"/>
            <w:shd w:val="clear" w:color="auto" w:fill="auto"/>
            <w:vAlign w:val="center"/>
            <w:hideMark/>
          </w:tcPr>
          <w:p w14:paraId="5BF9786D" w14:textId="77777777" w:rsidR="00845719" w:rsidRPr="00C57ABA" w:rsidRDefault="00845719" w:rsidP="00845719">
            <w:pPr>
              <w:rPr>
                <w:rFonts w:ascii="Arial Narrow" w:eastAsiaTheme="minorEastAsia" w:hAnsi="Arial Narrow"/>
              </w:rPr>
            </w:pPr>
            <w:r w:rsidRPr="00C57ABA">
              <w:rPr>
                <w:rFonts w:ascii="Arial Narrow" w:eastAsiaTheme="minorEastAsia" w:hAnsi="Arial Narrow"/>
              </w:rPr>
              <w:t>ГСПП</w:t>
            </w:r>
          </w:p>
        </w:tc>
        <w:tc>
          <w:tcPr>
            <w:tcW w:w="7796" w:type="dxa"/>
            <w:shd w:val="clear" w:color="auto" w:fill="auto"/>
            <w:vAlign w:val="center"/>
            <w:hideMark/>
          </w:tcPr>
          <w:p w14:paraId="0C8DC6B1" w14:textId="77777777" w:rsidR="00845719" w:rsidRPr="00C57ABA" w:rsidRDefault="00845719" w:rsidP="00845719">
            <w:pPr>
              <w:rPr>
                <w:rFonts w:ascii="Arial Narrow" w:eastAsiaTheme="minorEastAsia" w:hAnsi="Arial Narrow"/>
              </w:rPr>
            </w:pPr>
            <w:r w:rsidRPr="00C57ABA">
              <w:rPr>
                <w:rFonts w:ascii="Arial Narrow" w:eastAsiaTheme="minorEastAsia" w:hAnsi="Arial Narrow"/>
              </w:rPr>
              <w:t>Горскостопански планове и програми</w:t>
            </w:r>
          </w:p>
        </w:tc>
      </w:tr>
      <w:tr w:rsidR="00845719" w:rsidRPr="00C57ABA" w14:paraId="4F09C772" w14:textId="77777777" w:rsidTr="005B64EF">
        <w:trPr>
          <w:trHeight w:val="2"/>
        </w:trPr>
        <w:tc>
          <w:tcPr>
            <w:tcW w:w="1980" w:type="dxa"/>
            <w:shd w:val="clear" w:color="auto" w:fill="auto"/>
            <w:noWrap/>
            <w:vAlign w:val="center"/>
            <w:hideMark/>
          </w:tcPr>
          <w:p w14:paraId="0B33B0E9" w14:textId="77777777" w:rsidR="00845719" w:rsidRPr="00C57ABA" w:rsidRDefault="00845719" w:rsidP="00845719">
            <w:pPr>
              <w:rPr>
                <w:rFonts w:ascii="Arial Narrow" w:eastAsiaTheme="minorEastAsia" w:hAnsi="Arial Narrow"/>
              </w:rPr>
            </w:pPr>
            <w:r w:rsidRPr="00C57ABA">
              <w:rPr>
                <w:rFonts w:ascii="Arial Narrow" w:eastAsiaTheme="minorEastAsia" w:hAnsi="Arial Narrow"/>
              </w:rPr>
              <w:t>ДВ</w:t>
            </w:r>
          </w:p>
        </w:tc>
        <w:tc>
          <w:tcPr>
            <w:tcW w:w="7796" w:type="dxa"/>
            <w:shd w:val="clear" w:color="auto" w:fill="auto"/>
            <w:noWrap/>
            <w:vAlign w:val="center"/>
            <w:hideMark/>
          </w:tcPr>
          <w:p w14:paraId="59167EC2" w14:textId="77777777" w:rsidR="00845719" w:rsidRPr="00C57ABA" w:rsidRDefault="00845719" w:rsidP="00845719">
            <w:pPr>
              <w:rPr>
                <w:rFonts w:ascii="Arial Narrow" w:eastAsiaTheme="minorEastAsia" w:hAnsi="Arial Narrow"/>
              </w:rPr>
            </w:pPr>
            <w:r w:rsidRPr="00C57ABA">
              <w:rPr>
                <w:rFonts w:ascii="Arial Narrow" w:eastAsiaTheme="minorEastAsia" w:hAnsi="Arial Narrow"/>
              </w:rPr>
              <w:t>Държавен вестник</w:t>
            </w:r>
          </w:p>
        </w:tc>
      </w:tr>
      <w:tr w:rsidR="00845719" w:rsidRPr="00C57ABA" w14:paraId="5B80585C" w14:textId="77777777" w:rsidTr="005B64EF">
        <w:trPr>
          <w:trHeight w:val="2"/>
        </w:trPr>
        <w:tc>
          <w:tcPr>
            <w:tcW w:w="1980" w:type="dxa"/>
            <w:shd w:val="clear" w:color="auto" w:fill="auto"/>
            <w:vAlign w:val="center"/>
            <w:hideMark/>
          </w:tcPr>
          <w:p w14:paraId="45353AA1" w14:textId="77777777" w:rsidR="00845719" w:rsidRPr="00C57ABA" w:rsidRDefault="00845719" w:rsidP="00845719">
            <w:pPr>
              <w:rPr>
                <w:rFonts w:ascii="Arial Narrow" w:eastAsiaTheme="minorEastAsia" w:hAnsi="Arial Narrow"/>
              </w:rPr>
            </w:pPr>
            <w:r w:rsidRPr="00C57ABA">
              <w:rPr>
                <w:rFonts w:ascii="Arial Narrow" w:eastAsiaTheme="minorEastAsia" w:hAnsi="Arial Narrow"/>
              </w:rPr>
              <w:t>ДГС</w:t>
            </w:r>
          </w:p>
        </w:tc>
        <w:tc>
          <w:tcPr>
            <w:tcW w:w="7796" w:type="dxa"/>
            <w:shd w:val="clear" w:color="auto" w:fill="auto"/>
            <w:vAlign w:val="center"/>
            <w:hideMark/>
          </w:tcPr>
          <w:p w14:paraId="261700A4" w14:textId="77777777" w:rsidR="00845719" w:rsidRPr="00C57ABA" w:rsidRDefault="00845719" w:rsidP="00845719">
            <w:pPr>
              <w:rPr>
                <w:rFonts w:ascii="Arial Narrow" w:eastAsiaTheme="minorEastAsia" w:hAnsi="Arial Narrow"/>
              </w:rPr>
            </w:pPr>
            <w:r w:rsidRPr="00C57ABA">
              <w:rPr>
                <w:rFonts w:ascii="Arial Narrow" w:eastAsiaTheme="minorEastAsia" w:hAnsi="Arial Narrow"/>
              </w:rPr>
              <w:t>Държавни горски стопанства</w:t>
            </w:r>
          </w:p>
        </w:tc>
      </w:tr>
      <w:tr w:rsidR="00845719" w:rsidRPr="00C57ABA" w14:paraId="0997EDB7" w14:textId="77777777" w:rsidTr="005B64EF">
        <w:trPr>
          <w:trHeight w:val="2"/>
        </w:trPr>
        <w:tc>
          <w:tcPr>
            <w:tcW w:w="1980" w:type="dxa"/>
            <w:shd w:val="clear" w:color="auto" w:fill="auto"/>
            <w:vAlign w:val="center"/>
            <w:hideMark/>
          </w:tcPr>
          <w:p w14:paraId="65CAB7E2" w14:textId="77777777" w:rsidR="00845719" w:rsidRPr="00C57ABA" w:rsidRDefault="00845719" w:rsidP="00845719">
            <w:pPr>
              <w:rPr>
                <w:rFonts w:ascii="Arial Narrow" w:eastAsiaTheme="minorEastAsia" w:hAnsi="Arial Narrow"/>
              </w:rPr>
            </w:pPr>
            <w:r w:rsidRPr="00C57ABA">
              <w:rPr>
                <w:rFonts w:ascii="Arial Narrow" w:eastAsiaTheme="minorEastAsia" w:hAnsi="Arial Narrow"/>
              </w:rPr>
              <w:t>ДДС</w:t>
            </w:r>
          </w:p>
        </w:tc>
        <w:tc>
          <w:tcPr>
            <w:tcW w:w="7796" w:type="dxa"/>
            <w:shd w:val="clear" w:color="auto" w:fill="auto"/>
            <w:vAlign w:val="center"/>
            <w:hideMark/>
          </w:tcPr>
          <w:p w14:paraId="2CFD399C" w14:textId="77777777" w:rsidR="00845719" w:rsidRPr="00C57ABA" w:rsidRDefault="00845719" w:rsidP="00845719">
            <w:pPr>
              <w:rPr>
                <w:rFonts w:ascii="Arial Narrow" w:eastAsiaTheme="minorEastAsia" w:hAnsi="Arial Narrow"/>
              </w:rPr>
            </w:pPr>
            <w:r w:rsidRPr="00C57ABA">
              <w:rPr>
                <w:rFonts w:ascii="Arial Narrow" w:eastAsiaTheme="minorEastAsia" w:hAnsi="Arial Narrow"/>
              </w:rPr>
              <w:t>Данък добавена стойност</w:t>
            </w:r>
          </w:p>
        </w:tc>
      </w:tr>
      <w:tr w:rsidR="00845719" w:rsidRPr="00C57ABA" w14:paraId="7714BC4A" w14:textId="77777777" w:rsidTr="005B64EF">
        <w:trPr>
          <w:trHeight w:val="2"/>
        </w:trPr>
        <w:tc>
          <w:tcPr>
            <w:tcW w:w="1980" w:type="dxa"/>
            <w:shd w:val="clear" w:color="auto" w:fill="auto"/>
            <w:noWrap/>
            <w:vAlign w:val="center"/>
            <w:hideMark/>
          </w:tcPr>
          <w:p w14:paraId="2487495E" w14:textId="77777777" w:rsidR="00845719" w:rsidRPr="00845719" w:rsidRDefault="00845719" w:rsidP="00845719">
            <w:pPr>
              <w:rPr>
                <w:rFonts w:ascii="Arial Narrow" w:eastAsiaTheme="minorEastAsia" w:hAnsi="Arial Narrow"/>
              </w:rPr>
            </w:pPr>
            <w:r w:rsidRPr="00845719">
              <w:rPr>
                <w:rFonts w:ascii="Arial Narrow" w:eastAsiaTheme="minorEastAsia" w:hAnsi="Arial Narrow"/>
              </w:rPr>
              <w:t>ДЗС</w:t>
            </w:r>
          </w:p>
        </w:tc>
        <w:tc>
          <w:tcPr>
            <w:tcW w:w="7796" w:type="dxa"/>
            <w:shd w:val="clear" w:color="auto" w:fill="auto"/>
            <w:noWrap/>
            <w:vAlign w:val="center"/>
            <w:hideMark/>
          </w:tcPr>
          <w:p w14:paraId="7516645A" w14:textId="77777777" w:rsidR="00845719" w:rsidRPr="00C57ABA" w:rsidRDefault="00845719" w:rsidP="00845719">
            <w:pPr>
              <w:rPr>
                <w:rFonts w:ascii="Arial Narrow" w:eastAsiaTheme="minorEastAsia" w:hAnsi="Arial Narrow"/>
              </w:rPr>
            </w:pPr>
            <w:r w:rsidRPr="00C57ABA">
              <w:rPr>
                <w:rFonts w:ascii="Arial Narrow" w:eastAsiaTheme="minorEastAsia" w:hAnsi="Arial Narrow"/>
              </w:rPr>
              <w:t>Плащане за малки земеделски стопани</w:t>
            </w:r>
          </w:p>
        </w:tc>
      </w:tr>
      <w:tr w:rsidR="00845719" w:rsidRPr="00C57ABA" w14:paraId="5763B847" w14:textId="77777777" w:rsidTr="005B64EF">
        <w:trPr>
          <w:trHeight w:val="2"/>
        </w:trPr>
        <w:tc>
          <w:tcPr>
            <w:tcW w:w="1980" w:type="dxa"/>
            <w:shd w:val="clear" w:color="auto" w:fill="auto"/>
            <w:vAlign w:val="center"/>
            <w:hideMark/>
          </w:tcPr>
          <w:p w14:paraId="71885CCA" w14:textId="77777777" w:rsidR="00845719" w:rsidRPr="00C57ABA" w:rsidRDefault="00845719" w:rsidP="00845719">
            <w:pPr>
              <w:rPr>
                <w:rFonts w:ascii="Arial Narrow" w:eastAsiaTheme="minorEastAsia" w:hAnsi="Arial Narrow"/>
              </w:rPr>
            </w:pPr>
            <w:r w:rsidRPr="00C57ABA">
              <w:rPr>
                <w:rFonts w:ascii="Arial Narrow" w:eastAsiaTheme="minorEastAsia" w:hAnsi="Arial Narrow"/>
              </w:rPr>
              <w:t>ДЛС</w:t>
            </w:r>
          </w:p>
        </w:tc>
        <w:tc>
          <w:tcPr>
            <w:tcW w:w="7796" w:type="dxa"/>
            <w:shd w:val="clear" w:color="auto" w:fill="auto"/>
            <w:vAlign w:val="center"/>
            <w:hideMark/>
          </w:tcPr>
          <w:p w14:paraId="175C9F9B" w14:textId="77777777" w:rsidR="00845719" w:rsidRPr="00C57ABA" w:rsidRDefault="00845719" w:rsidP="00845719">
            <w:pPr>
              <w:rPr>
                <w:rFonts w:ascii="Arial Narrow" w:eastAsiaTheme="minorEastAsia" w:hAnsi="Arial Narrow"/>
              </w:rPr>
            </w:pPr>
            <w:r w:rsidRPr="00C57ABA">
              <w:rPr>
                <w:rFonts w:ascii="Arial Narrow" w:eastAsiaTheme="minorEastAsia" w:hAnsi="Arial Narrow"/>
              </w:rPr>
              <w:t>Държавни ловни стопанства</w:t>
            </w:r>
          </w:p>
        </w:tc>
      </w:tr>
      <w:tr w:rsidR="00845719" w:rsidRPr="00C57ABA" w14:paraId="58B70BCD" w14:textId="77777777" w:rsidTr="005B64EF">
        <w:trPr>
          <w:trHeight w:val="2"/>
        </w:trPr>
        <w:tc>
          <w:tcPr>
            <w:tcW w:w="1980" w:type="dxa"/>
            <w:shd w:val="clear" w:color="auto" w:fill="auto"/>
            <w:vAlign w:val="center"/>
            <w:hideMark/>
          </w:tcPr>
          <w:p w14:paraId="27A153C3" w14:textId="77777777" w:rsidR="00845719" w:rsidRPr="00C57ABA" w:rsidRDefault="00845719" w:rsidP="00845719">
            <w:pPr>
              <w:rPr>
                <w:rFonts w:ascii="Arial Narrow" w:eastAsiaTheme="minorEastAsia" w:hAnsi="Arial Narrow"/>
              </w:rPr>
            </w:pPr>
            <w:r w:rsidRPr="00C57ABA">
              <w:rPr>
                <w:rFonts w:ascii="Arial Narrow" w:eastAsiaTheme="minorEastAsia" w:hAnsi="Arial Narrow"/>
              </w:rPr>
              <w:t>ДП</w:t>
            </w:r>
          </w:p>
        </w:tc>
        <w:tc>
          <w:tcPr>
            <w:tcW w:w="7796" w:type="dxa"/>
            <w:shd w:val="clear" w:color="auto" w:fill="auto"/>
            <w:vAlign w:val="center"/>
            <w:hideMark/>
          </w:tcPr>
          <w:p w14:paraId="73171CC1" w14:textId="77777777" w:rsidR="00845719" w:rsidRPr="00C57ABA" w:rsidRDefault="00845719" w:rsidP="00845719">
            <w:pPr>
              <w:rPr>
                <w:rFonts w:ascii="Arial Narrow" w:eastAsiaTheme="minorEastAsia" w:hAnsi="Arial Narrow"/>
              </w:rPr>
            </w:pPr>
            <w:r w:rsidRPr="00C57ABA">
              <w:rPr>
                <w:rFonts w:ascii="Arial Narrow" w:eastAsiaTheme="minorEastAsia" w:hAnsi="Arial Narrow"/>
              </w:rPr>
              <w:t xml:space="preserve">Държавно предприятие </w:t>
            </w:r>
          </w:p>
        </w:tc>
      </w:tr>
      <w:tr w:rsidR="00845719" w:rsidRPr="00C57ABA" w14:paraId="4CBAAB52" w14:textId="77777777" w:rsidTr="005B64EF">
        <w:trPr>
          <w:trHeight w:val="2"/>
        </w:trPr>
        <w:tc>
          <w:tcPr>
            <w:tcW w:w="1980" w:type="dxa"/>
            <w:shd w:val="clear" w:color="auto" w:fill="auto"/>
            <w:vAlign w:val="center"/>
          </w:tcPr>
          <w:p w14:paraId="014CA2B3" w14:textId="77777777" w:rsidR="00845719" w:rsidRPr="00C57ABA" w:rsidRDefault="00845719" w:rsidP="00845719">
            <w:pPr>
              <w:rPr>
                <w:rFonts w:ascii="Arial Narrow" w:eastAsiaTheme="minorEastAsia" w:hAnsi="Arial Narrow"/>
              </w:rPr>
            </w:pPr>
            <w:r w:rsidRPr="00C57ABA">
              <w:rPr>
                <w:rFonts w:ascii="Arial Narrow" w:eastAsiaTheme="minorEastAsia" w:hAnsi="Arial Narrow"/>
              </w:rPr>
              <w:t>ДПЖ-ПЛ</w:t>
            </w:r>
          </w:p>
        </w:tc>
        <w:tc>
          <w:tcPr>
            <w:tcW w:w="7796" w:type="dxa"/>
            <w:shd w:val="clear" w:color="auto" w:fill="auto"/>
            <w:vAlign w:val="center"/>
          </w:tcPr>
          <w:p w14:paraId="740A5DBA" w14:textId="77777777" w:rsidR="00845719" w:rsidRPr="00C57ABA" w:rsidRDefault="00845719" w:rsidP="00845719">
            <w:pPr>
              <w:rPr>
                <w:rFonts w:ascii="Arial Narrow" w:eastAsiaTheme="minorEastAsia" w:hAnsi="Arial Narrow"/>
              </w:rPr>
            </w:pPr>
            <w:r w:rsidRPr="00C57ABA">
              <w:rPr>
                <w:rFonts w:ascii="Arial Narrow" w:eastAsiaTheme="minorEastAsia" w:hAnsi="Arial Narrow"/>
              </w:rPr>
              <w:t>Обвързано с производството подпомагане за овце и кози в планински райони</w:t>
            </w:r>
          </w:p>
        </w:tc>
      </w:tr>
      <w:tr w:rsidR="00845719" w:rsidRPr="00C57ABA" w14:paraId="41A3FB6A" w14:textId="77777777" w:rsidTr="005B64EF">
        <w:trPr>
          <w:trHeight w:val="2"/>
        </w:trPr>
        <w:tc>
          <w:tcPr>
            <w:tcW w:w="1980" w:type="dxa"/>
            <w:shd w:val="clear" w:color="auto" w:fill="auto"/>
            <w:vAlign w:val="center"/>
          </w:tcPr>
          <w:p w14:paraId="304B4CD2" w14:textId="77777777" w:rsidR="00845719" w:rsidRPr="00C57ABA" w:rsidRDefault="00845719" w:rsidP="00845719">
            <w:pPr>
              <w:rPr>
                <w:rFonts w:ascii="Arial Narrow" w:eastAsiaTheme="minorEastAsia" w:hAnsi="Arial Narrow"/>
              </w:rPr>
            </w:pPr>
            <w:r w:rsidRPr="00C57ABA">
              <w:rPr>
                <w:rFonts w:ascii="Arial Narrow" w:eastAsiaTheme="minorEastAsia" w:hAnsi="Arial Narrow"/>
              </w:rPr>
              <w:t>ДП-ОПДУ</w:t>
            </w:r>
          </w:p>
        </w:tc>
        <w:tc>
          <w:tcPr>
            <w:tcW w:w="7796" w:type="dxa"/>
            <w:shd w:val="clear" w:color="auto" w:fill="auto"/>
            <w:vAlign w:val="center"/>
          </w:tcPr>
          <w:p w14:paraId="53CEDA92" w14:textId="77777777" w:rsidR="00845719" w:rsidRPr="00C57ABA" w:rsidRDefault="00845719" w:rsidP="00845719">
            <w:pPr>
              <w:rPr>
                <w:rFonts w:ascii="Arial Narrow" w:eastAsiaTheme="minorEastAsia" w:hAnsi="Arial Narrow"/>
              </w:rPr>
            </w:pPr>
            <w:r w:rsidRPr="00C57ABA">
              <w:rPr>
                <w:rFonts w:ascii="Arial Narrow" w:eastAsiaTheme="minorEastAsia" w:hAnsi="Arial Narrow"/>
              </w:rPr>
              <w:t>Допълнително преразпределително подпомагане на доходите за устойчивост</w:t>
            </w:r>
          </w:p>
        </w:tc>
      </w:tr>
      <w:tr w:rsidR="00845719" w:rsidRPr="00C57ABA" w14:paraId="78B86B54" w14:textId="77777777" w:rsidTr="005B64EF">
        <w:trPr>
          <w:trHeight w:val="2"/>
        </w:trPr>
        <w:tc>
          <w:tcPr>
            <w:tcW w:w="1980" w:type="dxa"/>
            <w:shd w:val="clear" w:color="auto" w:fill="auto"/>
            <w:vAlign w:val="center"/>
            <w:hideMark/>
          </w:tcPr>
          <w:p w14:paraId="4AF0EC52" w14:textId="77777777" w:rsidR="00845719" w:rsidRPr="00C57ABA" w:rsidRDefault="00845719" w:rsidP="00845719">
            <w:pPr>
              <w:rPr>
                <w:rFonts w:ascii="Arial Narrow" w:eastAsiaTheme="minorEastAsia" w:hAnsi="Arial Narrow"/>
              </w:rPr>
            </w:pPr>
            <w:r w:rsidRPr="00C57ABA">
              <w:rPr>
                <w:rFonts w:ascii="Arial Narrow" w:eastAsiaTheme="minorEastAsia" w:hAnsi="Arial Narrow"/>
              </w:rPr>
              <w:t>ДПФ</w:t>
            </w:r>
          </w:p>
        </w:tc>
        <w:tc>
          <w:tcPr>
            <w:tcW w:w="7796" w:type="dxa"/>
            <w:shd w:val="clear" w:color="auto" w:fill="auto"/>
            <w:vAlign w:val="center"/>
            <w:hideMark/>
          </w:tcPr>
          <w:p w14:paraId="17A6E553" w14:textId="77777777" w:rsidR="00845719" w:rsidRPr="00C57ABA" w:rsidRDefault="00845719" w:rsidP="00845719">
            <w:pPr>
              <w:rPr>
                <w:rFonts w:ascii="Arial Narrow" w:eastAsiaTheme="minorEastAsia" w:hAnsi="Arial Narrow"/>
              </w:rPr>
            </w:pPr>
            <w:r w:rsidRPr="00C57ABA">
              <w:rPr>
                <w:rFonts w:ascii="Arial Narrow" w:eastAsiaTheme="minorEastAsia" w:hAnsi="Arial Narrow"/>
              </w:rPr>
              <w:t xml:space="preserve">Държавен поземлен фонд </w:t>
            </w:r>
          </w:p>
        </w:tc>
      </w:tr>
      <w:tr w:rsidR="00845719" w:rsidRPr="00C57ABA" w14:paraId="67ED780D" w14:textId="77777777" w:rsidTr="005B64EF">
        <w:trPr>
          <w:trHeight w:val="2"/>
        </w:trPr>
        <w:tc>
          <w:tcPr>
            <w:tcW w:w="1980" w:type="dxa"/>
            <w:shd w:val="clear" w:color="auto" w:fill="auto"/>
            <w:vAlign w:val="center"/>
          </w:tcPr>
          <w:p w14:paraId="55FA6EF9" w14:textId="77777777" w:rsidR="00845719" w:rsidRPr="00C57ABA" w:rsidRDefault="00845719" w:rsidP="00845719">
            <w:pPr>
              <w:rPr>
                <w:rFonts w:ascii="Arial Narrow" w:eastAsiaTheme="minorEastAsia" w:hAnsi="Arial Narrow"/>
              </w:rPr>
            </w:pPr>
            <w:r w:rsidRPr="00C57ABA">
              <w:rPr>
                <w:rFonts w:ascii="Arial Narrow" w:eastAsiaTheme="minorEastAsia" w:hAnsi="Arial Narrow"/>
              </w:rPr>
              <w:t>ДПЖ-ЗП</w:t>
            </w:r>
          </w:p>
        </w:tc>
        <w:tc>
          <w:tcPr>
            <w:tcW w:w="7796" w:type="dxa"/>
            <w:shd w:val="clear" w:color="auto" w:fill="auto"/>
            <w:vAlign w:val="center"/>
          </w:tcPr>
          <w:p w14:paraId="0380313C" w14:textId="77777777" w:rsidR="00845719" w:rsidRPr="00C57ABA" w:rsidRDefault="00845719" w:rsidP="00845719">
            <w:pPr>
              <w:rPr>
                <w:rFonts w:ascii="Arial Narrow" w:eastAsiaTheme="minorEastAsia" w:hAnsi="Arial Narrow"/>
              </w:rPr>
            </w:pPr>
            <w:r w:rsidRPr="00C57ABA">
              <w:rPr>
                <w:rFonts w:ascii="Arial Narrow" w:eastAsiaTheme="minorEastAsia" w:hAnsi="Arial Narrow"/>
              </w:rPr>
              <w:t>Обвързано с производството подпомагане за овце и кози от застрашени от изчезване породи</w:t>
            </w:r>
          </w:p>
        </w:tc>
      </w:tr>
      <w:tr w:rsidR="00845719" w:rsidRPr="00C57ABA" w14:paraId="326B6224" w14:textId="77777777" w:rsidTr="005B64EF">
        <w:trPr>
          <w:trHeight w:val="2"/>
        </w:trPr>
        <w:tc>
          <w:tcPr>
            <w:tcW w:w="1980" w:type="dxa"/>
            <w:shd w:val="clear" w:color="auto" w:fill="auto"/>
            <w:vAlign w:val="center"/>
          </w:tcPr>
          <w:p w14:paraId="1C237FD7" w14:textId="77777777" w:rsidR="00845719" w:rsidRPr="00C57ABA" w:rsidRDefault="00845719" w:rsidP="00845719">
            <w:pPr>
              <w:rPr>
                <w:rFonts w:ascii="Arial Narrow" w:eastAsiaTheme="minorEastAsia" w:hAnsi="Arial Narrow"/>
              </w:rPr>
            </w:pPr>
            <w:r w:rsidRPr="00C57ABA">
              <w:rPr>
                <w:rFonts w:ascii="Arial Narrow" w:eastAsiaTheme="minorEastAsia" w:hAnsi="Arial Narrow"/>
              </w:rPr>
              <w:t>ДПЖ-РП</w:t>
            </w:r>
          </w:p>
        </w:tc>
        <w:tc>
          <w:tcPr>
            <w:tcW w:w="7796" w:type="dxa"/>
            <w:shd w:val="clear" w:color="auto" w:fill="auto"/>
            <w:vAlign w:val="center"/>
          </w:tcPr>
          <w:p w14:paraId="18EC0AEA" w14:textId="77777777" w:rsidR="00845719" w:rsidRPr="00C57ABA" w:rsidRDefault="00845719" w:rsidP="00845719">
            <w:pPr>
              <w:rPr>
                <w:rFonts w:ascii="Arial Narrow" w:eastAsiaTheme="minorEastAsia" w:hAnsi="Arial Narrow"/>
              </w:rPr>
            </w:pPr>
            <w:r w:rsidRPr="00C57ABA">
              <w:rPr>
                <w:rFonts w:ascii="Arial Narrow" w:eastAsiaTheme="minorEastAsia" w:hAnsi="Arial Narrow"/>
              </w:rPr>
              <w:t>Обвързано с производството подпомагане за овце и кози, включени в развъдни програми</w:t>
            </w:r>
          </w:p>
        </w:tc>
      </w:tr>
      <w:tr w:rsidR="00845719" w:rsidRPr="00C57ABA" w14:paraId="4340F043" w14:textId="77777777" w:rsidTr="005B64EF">
        <w:trPr>
          <w:trHeight w:val="2"/>
        </w:trPr>
        <w:tc>
          <w:tcPr>
            <w:tcW w:w="1980" w:type="dxa"/>
            <w:shd w:val="clear" w:color="auto" w:fill="auto"/>
            <w:vAlign w:val="center"/>
            <w:hideMark/>
          </w:tcPr>
          <w:p w14:paraId="5CA0BC38" w14:textId="77777777" w:rsidR="00845719" w:rsidRPr="00C57ABA" w:rsidRDefault="00845719" w:rsidP="00845719">
            <w:pPr>
              <w:rPr>
                <w:rFonts w:ascii="Arial Narrow" w:eastAsiaTheme="minorEastAsia" w:hAnsi="Arial Narrow"/>
              </w:rPr>
            </w:pPr>
            <w:r w:rsidRPr="00C57ABA">
              <w:rPr>
                <w:rFonts w:ascii="Arial Narrow" w:eastAsiaTheme="minorEastAsia" w:hAnsi="Arial Narrow"/>
              </w:rPr>
              <w:t>ДФ3/ДФ „Земеделие”</w:t>
            </w:r>
          </w:p>
        </w:tc>
        <w:tc>
          <w:tcPr>
            <w:tcW w:w="7796" w:type="dxa"/>
            <w:shd w:val="clear" w:color="auto" w:fill="auto"/>
            <w:vAlign w:val="center"/>
            <w:hideMark/>
          </w:tcPr>
          <w:p w14:paraId="1D619294" w14:textId="77777777" w:rsidR="00845719" w:rsidRPr="00C57ABA" w:rsidRDefault="00845719" w:rsidP="00845719">
            <w:pPr>
              <w:rPr>
                <w:rFonts w:ascii="Arial Narrow" w:eastAsiaTheme="minorEastAsia" w:hAnsi="Arial Narrow"/>
              </w:rPr>
            </w:pPr>
            <w:r w:rsidRPr="00C57ABA">
              <w:rPr>
                <w:rFonts w:ascii="Arial Narrow" w:eastAsiaTheme="minorEastAsia" w:hAnsi="Arial Narrow"/>
              </w:rPr>
              <w:t>Държавен фонд „Земеделие”</w:t>
            </w:r>
          </w:p>
        </w:tc>
      </w:tr>
      <w:tr w:rsidR="00845719" w:rsidRPr="00C57ABA" w14:paraId="074D4166" w14:textId="77777777" w:rsidTr="005B64EF">
        <w:trPr>
          <w:trHeight w:val="2"/>
        </w:trPr>
        <w:tc>
          <w:tcPr>
            <w:tcW w:w="1980" w:type="dxa"/>
            <w:shd w:val="clear" w:color="auto" w:fill="auto"/>
            <w:vAlign w:val="center"/>
            <w:hideMark/>
          </w:tcPr>
          <w:p w14:paraId="2D4E1288" w14:textId="77777777" w:rsidR="00845719" w:rsidRPr="00C57ABA" w:rsidRDefault="00845719" w:rsidP="00845719">
            <w:pPr>
              <w:rPr>
                <w:rFonts w:ascii="Arial Narrow" w:eastAsiaTheme="minorEastAsia" w:hAnsi="Arial Narrow"/>
              </w:rPr>
            </w:pPr>
            <w:r w:rsidRPr="00C57ABA">
              <w:rPr>
                <w:rFonts w:ascii="Arial Narrow" w:eastAsiaTheme="minorEastAsia" w:hAnsi="Arial Narrow"/>
              </w:rPr>
              <w:t>ДФЗ-РА</w:t>
            </w:r>
          </w:p>
        </w:tc>
        <w:tc>
          <w:tcPr>
            <w:tcW w:w="7796" w:type="dxa"/>
            <w:shd w:val="clear" w:color="auto" w:fill="auto"/>
            <w:vAlign w:val="center"/>
            <w:hideMark/>
          </w:tcPr>
          <w:p w14:paraId="2729BD3B" w14:textId="77777777" w:rsidR="00845719" w:rsidRPr="00C57ABA" w:rsidRDefault="00845719" w:rsidP="00845719">
            <w:pPr>
              <w:rPr>
                <w:rFonts w:ascii="Arial Narrow" w:eastAsiaTheme="minorEastAsia" w:hAnsi="Arial Narrow"/>
              </w:rPr>
            </w:pPr>
            <w:r w:rsidRPr="00C57ABA">
              <w:rPr>
                <w:rFonts w:ascii="Arial Narrow" w:eastAsiaTheme="minorEastAsia" w:hAnsi="Arial Narrow"/>
              </w:rPr>
              <w:t xml:space="preserve">Държавен фонд „Земеделие” – Разплащателна агенция </w:t>
            </w:r>
          </w:p>
        </w:tc>
      </w:tr>
      <w:tr w:rsidR="00845719" w:rsidRPr="00C57ABA" w14:paraId="51F0ABA6" w14:textId="77777777" w:rsidTr="005B64EF">
        <w:trPr>
          <w:trHeight w:val="2"/>
        </w:trPr>
        <w:tc>
          <w:tcPr>
            <w:tcW w:w="1980" w:type="dxa"/>
            <w:shd w:val="clear" w:color="auto" w:fill="auto"/>
            <w:vAlign w:val="center"/>
            <w:hideMark/>
          </w:tcPr>
          <w:p w14:paraId="39D2AC0A" w14:textId="77777777" w:rsidR="00845719" w:rsidRPr="00C57ABA" w:rsidRDefault="00845719" w:rsidP="00845719">
            <w:pPr>
              <w:rPr>
                <w:rFonts w:ascii="Arial Narrow" w:eastAsiaTheme="minorEastAsia" w:hAnsi="Arial Narrow"/>
              </w:rPr>
            </w:pPr>
            <w:r w:rsidRPr="00C57ABA">
              <w:rPr>
                <w:rFonts w:ascii="Arial Narrow" w:eastAsiaTheme="minorEastAsia" w:hAnsi="Arial Narrow"/>
              </w:rPr>
              <w:t>ЕАСТ</w:t>
            </w:r>
          </w:p>
        </w:tc>
        <w:tc>
          <w:tcPr>
            <w:tcW w:w="7796" w:type="dxa"/>
            <w:shd w:val="clear" w:color="auto" w:fill="auto"/>
            <w:vAlign w:val="center"/>
            <w:hideMark/>
          </w:tcPr>
          <w:p w14:paraId="621EC822" w14:textId="77777777" w:rsidR="00845719" w:rsidRPr="00C57ABA" w:rsidRDefault="00845719" w:rsidP="00845719">
            <w:pPr>
              <w:rPr>
                <w:rFonts w:ascii="Arial Narrow" w:eastAsiaTheme="minorEastAsia" w:hAnsi="Arial Narrow"/>
              </w:rPr>
            </w:pPr>
            <w:r w:rsidRPr="00C57ABA">
              <w:rPr>
                <w:rFonts w:ascii="Arial Narrow" w:eastAsiaTheme="minorEastAsia" w:hAnsi="Arial Narrow"/>
              </w:rPr>
              <w:t xml:space="preserve">Европейска асоциация за свободна търговия </w:t>
            </w:r>
          </w:p>
        </w:tc>
      </w:tr>
      <w:tr w:rsidR="00845719" w:rsidRPr="00C57ABA" w14:paraId="4B2E85CD" w14:textId="77777777" w:rsidTr="005B64EF">
        <w:trPr>
          <w:trHeight w:val="2"/>
        </w:trPr>
        <w:tc>
          <w:tcPr>
            <w:tcW w:w="1980" w:type="dxa"/>
            <w:shd w:val="clear" w:color="auto" w:fill="auto"/>
            <w:vAlign w:val="center"/>
            <w:hideMark/>
          </w:tcPr>
          <w:p w14:paraId="18F5DD58" w14:textId="77777777" w:rsidR="00845719" w:rsidRPr="00C57ABA" w:rsidRDefault="00845719" w:rsidP="00845719">
            <w:pPr>
              <w:rPr>
                <w:rFonts w:ascii="Arial Narrow" w:eastAsiaTheme="minorEastAsia" w:hAnsi="Arial Narrow"/>
              </w:rPr>
            </w:pPr>
            <w:r w:rsidRPr="00C57ABA">
              <w:rPr>
                <w:rFonts w:ascii="Arial Narrow" w:eastAsiaTheme="minorEastAsia" w:hAnsi="Arial Narrow"/>
              </w:rPr>
              <w:t>ЕЗФРСР</w:t>
            </w:r>
          </w:p>
        </w:tc>
        <w:tc>
          <w:tcPr>
            <w:tcW w:w="7796" w:type="dxa"/>
            <w:shd w:val="clear" w:color="auto" w:fill="auto"/>
            <w:vAlign w:val="center"/>
            <w:hideMark/>
          </w:tcPr>
          <w:p w14:paraId="2B392ADF" w14:textId="77777777" w:rsidR="00845719" w:rsidRPr="00C57ABA" w:rsidRDefault="00845719" w:rsidP="00845719">
            <w:pPr>
              <w:rPr>
                <w:rFonts w:ascii="Arial Narrow" w:eastAsiaTheme="minorEastAsia" w:hAnsi="Arial Narrow"/>
              </w:rPr>
            </w:pPr>
            <w:r w:rsidRPr="00C57ABA">
              <w:rPr>
                <w:rFonts w:ascii="Arial Narrow" w:eastAsiaTheme="minorEastAsia" w:hAnsi="Arial Narrow"/>
              </w:rPr>
              <w:t xml:space="preserve">Европейски земеделски фонд за развитие на селските райони </w:t>
            </w:r>
          </w:p>
        </w:tc>
      </w:tr>
      <w:tr w:rsidR="00845719" w:rsidRPr="00C57ABA" w14:paraId="56F1CB05" w14:textId="77777777" w:rsidTr="005B64EF">
        <w:trPr>
          <w:trHeight w:val="2"/>
        </w:trPr>
        <w:tc>
          <w:tcPr>
            <w:tcW w:w="1980" w:type="dxa"/>
            <w:shd w:val="clear" w:color="auto" w:fill="auto"/>
            <w:vAlign w:val="center"/>
            <w:hideMark/>
          </w:tcPr>
          <w:p w14:paraId="52CFECAD" w14:textId="77777777" w:rsidR="00845719" w:rsidRPr="00C57ABA" w:rsidRDefault="00845719" w:rsidP="00845719">
            <w:pPr>
              <w:rPr>
                <w:rFonts w:ascii="Arial Narrow" w:eastAsiaTheme="minorEastAsia" w:hAnsi="Arial Narrow"/>
              </w:rPr>
            </w:pPr>
            <w:r w:rsidRPr="00C57ABA">
              <w:rPr>
                <w:rFonts w:ascii="Arial Narrow" w:eastAsiaTheme="minorEastAsia" w:hAnsi="Arial Narrow"/>
              </w:rPr>
              <w:t>ЕК</w:t>
            </w:r>
          </w:p>
        </w:tc>
        <w:tc>
          <w:tcPr>
            <w:tcW w:w="7796" w:type="dxa"/>
            <w:shd w:val="clear" w:color="auto" w:fill="auto"/>
            <w:vAlign w:val="center"/>
            <w:hideMark/>
          </w:tcPr>
          <w:p w14:paraId="0DB79592" w14:textId="77777777" w:rsidR="00845719" w:rsidRPr="00C57ABA" w:rsidRDefault="00845719" w:rsidP="00845719">
            <w:pPr>
              <w:rPr>
                <w:rFonts w:ascii="Arial Narrow" w:eastAsiaTheme="minorEastAsia" w:hAnsi="Arial Narrow"/>
              </w:rPr>
            </w:pPr>
            <w:r w:rsidRPr="00C57ABA">
              <w:rPr>
                <w:rFonts w:ascii="Arial Narrow" w:eastAsiaTheme="minorEastAsia" w:hAnsi="Arial Narrow"/>
              </w:rPr>
              <w:t>Европейска комисия</w:t>
            </w:r>
          </w:p>
        </w:tc>
      </w:tr>
      <w:tr w:rsidR="00845719" w:rsidRPr="00C57ABA" w14:paraId="5D0ED15F" w14:textId="77777777" w:rsidTr="005B64EF">
        <w:trPr>
          <w:trHeight w:val="2"/>
        </w:trPr>
        <w:tc>
          <w:tcPr>
            <w:tcW w:w="1980" w:type="dxa"/>
            <w:shd w:val="clear" w:color="auto" w:fill="auto"/>
            <w:vAlign w:val="center"/>
          </w:tcPr>
          <w:p w14:paraId="15065583" w14:textId="77777777" w:rsidR="00845719" w:rsidRPr="00C57ABA" w:rsidRDefault="00845719" w:rsidP="00845719">
            <w:pPr>
              <w:rPr>
                <w:rFonts w:ascii="Arial Narrow" w:eastAsiaTheme="minorEastAsia" w:hAnsi="Arial Narrow"/>
              </w:rPr>
            </w:pPr>
            <w:r w:rsidRPr="00C57ABA">
              <w:rPr>
                <w:rFonts w:ascii="Arial Narrow" w:hAnsi="Arial Narrow"/>
              </w:rPr>
              <w:t>Еко-БЖ</w:t>
            </w:r>
          </w:p>
        </w:tc>
        <w:tc>
          <w:tcPr>
            <w:tcW w:w="7796" w:type="dxa"/>
            <w:shd w:val="clear" w:color="auto" w:fill="auto"/>
            <w:vAlign w:val="center"/>
          </w:tcPr>
          <w:p w14:paraId="2F0B3C23" w14:textId="77777777" w:rsidR="00845719" w:rsidRPr="00C57ABA" w:rsidRDefault="00845719" w:rsidP="00845719">
            <w:pPr>
              <w:overflowPunct w:val="0"/>
              <w:autoSpaceDE w:val="0"/>
              <w:autoSpaceDN w:val="0"/>
              <w:adjustRightInd w:val="0"/>
              <w:textAlignment w:val="baseline"/>
              <w:rPr>
                <w:rFonts w:ascii="Arial Narrow" w:eastAsiaTheme="minorEastAsia" w:hAnsi="Arial Narrow"/>
              </w:rPr>
            </w:pPr>
            <w:r w:rsidRPr="00C57ABA">
              <w:rPr>
                <w:rFonts w:ascii="Arial Narrow" w:hAnsi="Arial Narrow"/>
              </w:rPr>
              <w:t xml:space="preserve">Еко схема за биологично земеделие (селскостопански животни) </w:t>
            </w:r>
          </w:p>
        </w:tc>
      </w:tr>
      <w:tr w:rsidR="00845719" w:rsidRPr="00C57ABA" w14:paraId="06C06E78" w14:textId="77777777" w:rsidTr="005B64EF">
        <w:trPr>
          <w:trHeight w:val="2"/>
        </w:trPr>
        <w:tc>
          <w:tcPr>
            <w:tcW w:w="1980" w:type="dxa"/>
            <w:shd w:val="clear" w:color="auto" w:fill="auto"/>
            <w:vAlign w:val="center"/>
          </w:tcPr>
          <w:p w14:paraId="1C830E5E" w14:textId="77777777" w:rsidR="00845719" w:rsidRPr="00C57ABA" w:rsidRDefault="00845719" w:rsidP="00845719">
            <w:pPr>
              <w:rPr>
                <w:rFonts w:ascii="Arial Narrow" w:eastAsiaTheme="minorEastAsia" w:hAnsi="Arial Narrow"/>
              </w:rPr>
            </w:pPr>
            <w:r w:rsidRPr="00C57ABA">
              <w:rPr>
                <w:rFonts w:ascii="Arial Narrow" w:eastAsiaTheme="minorEastAsia" w:hAnsi="Arial Narrow"/>
              </w:rPr>
              <w:t>Еко-БРЕИ</w:t>
            </w:r>
          </w:p>
        </w:tc>
        <w:tc>
          <w:tcPr>
            <w:tcW w:w="7796" w:type="dxa"/>
            <w:shd w:val="clear" w:color="auto" w:fill="auto"/>
            <w:vAlign w:val="center"/>
          </w:tcPr>
          <w:p w14:paraId="6ACAF25B" w14:textId="77777777" w:rsidR="00845719" w:rsidRPr="00C57ABA" w:rsidRDefault="00845719" w:rsidP="00845719">
            <w:pPr>
              <w:rPr>
                <w:rFonts w:ascii="Arial Narrow" w:eastAsiaTheme="minorEastAsia" w:hAnsi="Arial Narrow"/>
              </w:rPr>
            </w:pPr>
            <w:r w:rsidRPr="00C57ABA">
              <w:rPr>
                <w:rFonts w:ascii="Arial Narrow" w:eastAsiaTheme="minorEastAsia" w:hAnsi="Arial Narrow"/>
              </w:rPr>
              <w:t>Еко схема за поддържане и подобряване на биологичното разнообразие и екологичната инфраструктура</w:t>
            </w:r>
          </w:p>
        </w:tc>
      </w:tr>
      <w:tr w:rsidR="00845719" w:rsidRPr="00C57ABA" w14:paraId="2D009293" w14:textId="77777777" w:rsidTr="005B64EF">
        <w:trPr>
          <w:trHeight w:val="2"/>
        </w:trPr>
        <w:tc>
          <w:tcPr>
            <w:tcW w:w="1980" w:type="dxa"/>
            <w:shd w:val="clear" w:color="auto" w:fill="auto"/>
            <w:vAlign w:val="center"/>
          </w:tcPr>
          <w:p w14:paraId="1F5AAA2B" w14:textId="77777777" w:rsidR="00845719" w:rsidRPr="00C57ABA" w:rsidRDefault="00845719" w:rsidP="00845719">
            <w:pPr>
              <w:rPr>
                <w:rFonts w:ascii="Arial Narrow" w:eastAsiaTheme="minorEastAsia" w:hAnsi="Arial Narrow"/>
              </w:rPr>
            </w:pPr>
            <w:r w:rsidRPr="00C57ABA">
              <w:rPr>
                <w:rFonts w:ascii="Arial Narrow" w:eastAsiaTheme="minorEastAsia" w:hAnsi="Arial Narrow"/>
              </w:rPr>
              <w:lastRenderedPageBreak/>
              <w:t>Еко- ГТ</w:t>
            </w:r>
          </w:p>
        </w:tc>
        <w:tc>
          <w:tcPr>
            <w:tcW w:w="7796" w:type="dxa"/>
            <w:shd w:val="clear" w:color="auto" w:fill="auto"/>
            <w:vAlign w:val="center"/>
          </w:tcPr>
          <w:p w14:paraId="743EEC6A" w14:textId="77777777" w:rsidR="00845719" w:rsidRPr="00C57ABA" w:rsidRDefault="00845719" w:rsidP="00845719">
            <w:pPr>
              <w:rPr>
                <w:rFonts w:ascii="Arial Narrow" w:eastAsiaTheme="minorEastAsia" w:hAnsi="Arial Narrow"/>
              </w:rPr>
            </w:pPr>
            <w:r w:rsidRPr="00C57ABA">
              <w:rPr>
                <w:rFonts w:ascii="Arial Narrow" w:eastAsiaTheme="minorEastAsia" w:hAnsi="Arial Narrow"/>
              </w:rPr>
              <w:t xml:space="preserve">Еко схема за поддържане и подобряване на биоразнообразието в горски екосистеми </w:t>
            </w:r>
          </w:p>
        </w:tc>
      </w:tr>
      <w:tr w:rsidR="00845719" w:rsidRPr="00C57ABA" w14:paraId="632C2E32" w14:textId="77777777" w:rsidTr="005B64EF">
        <w:trPr>
          <w:trHeight w:val="2"/>
        </w:trPr>
        <w:tc>
          <w:tcPr>
            <w:tcW w:w="1980" w:type="dxa"/>
            <w:shd w:val="clear" w:color="auto" w:fill="auto"/>
            <w:vAlign w:val="center"/>
          </w:tcPr>
          <w:p w14:paraId="0A03D2D2" w14:textId="77777777" w:rsidR="00845719" w:rsidRPr="00C57ABA" w:rsidRDefault="00845719" w:rsidP="00845719">
            <w:pPr>
              <w:rPr>
                <w:rFonts w:ascii="Arial Narrow" w:eastAsiaTheme="minorEastAsia" w:hAnsi="Arial Narrow"/>
              </w:rPr>
            </w:pPr>
            <w:r w:rsidRPr="00C57ABA">
              <w:rPr>
                <w:rFonts w:ascii="Arial Narrow" w:eastAsiaTheme="minorEastAsia" w:hAnsi="Arial Narrow"/>
              </w:rPr>
              <w:t>Еко-ЗВПП</w:t>
            </w:r>
          </w:p>
        </w:tc>
        <w:tc>
          <w:tcPr>
            <w:tcW w:w="7796" w:type="dxa"/>
            <w:shd w:val="clear" w:color="auto" w:fill="auto"/>
            <w:vAlign w:val="center"/>
          </w:tcPr>
          <w:p w14:paraId="4FBB655B" w14:textId="77777777" w:rsidR="00845719" w:rsidRPr="00C57ABA" w:rsidRDefault="00845719" w:rsidP="00845719">
            <w:pPr>
              <w:rPr>
                <w:rFonts w:ascii="Arial Narrow" w:eastAsiaTheme="minorEastAsia" w:hAnsi="Arial Narrow"/>
              </w:rPr>
            </w:pPr>
            <w:r w:rsidRPr="00C57ABA">
              <w:rPr>
                <w:rFonts w:ascii="Arial Narrow" w:eastAsiaTheme="minorEastAsia" w:hAnsi="Arial Narrow"/>
              </w:rPr>
              <w:t>Еко схема за запазване и възстановяване на почвения потенциал – насърчаване на зелено торене и органично наторяване</w:t>
            </w:r>
          </w:p>
        </w:tc>
      </w:tr>
      <w:tr w:rsidR="00845719" w:rsidRPr="00C57ABA" w14:paraId="73A911E7" w14:textId="77777777" w:rsidTr="005B64EF">
        <w:trPr>
          <w:trHeight w:val="2"/>
        </w:trPr>
        <w:tc>
          <w:tcPr>
            <w:tcW w:w="1980" w:type="dxa"/>
            <w:shd w:val="clear" w:color="auto" w:fill="auto"/>
            <w:vAlign w:val="center"/>
          </w:tcPr>
          <w:p w14:paraId="30F521B6" w14:textId="77777777" w:rsidR="00845719" w:rsidRPr="00C57ABA" w:rsidRDefault="00845719" w:rsidP="00845719">
            <w:pPr>
              <w:rPr>
                <w:rFonts w:ascii="Arial Narrow" w:eastAsiaTheme="minorEastAsia" w:hAnsi="Arial Narrow"/>
              </w:rPr>
            </w:pPr>
            <w:r w:rsidRPr="00C57ABA">
              <w:rPr>
                <w:rFonts w:ascii="Arial Narrow" w:eastAsiaTheme="minorEastAsia" w:hAnsi="Arial Narrow"/>
              </w:rPr>
              <w:t>Еко-НИП</w:t>
            </w:r>
          </w:p>
        </w:tc>
        <w:tc>
          <w:tcPr>
            <w:tcW w:w="7796" w:type="dxa"/>
            <w:shd w:val="clear" w:color="auto" w:fill="auto"/>
            <w:vAlign w:val="center"/>
          </w:tcPr>
          <w:p w14:paraId="471B0C06" w14:textId="77777777" w:rsidR="00845719" w:rsidRPr="00C57ABA" w:rsidRDefault="00845719" w:rsidP="00845719">
            <w:pPr>
              <w:rPr>
                <w:rFonts w:ascii="Arial Narrow" w:eastAsiaTheme="minorEastAsia" w:hAnsi="Arial Narrow"/>
              </w:rPr>
            </w:pPr>
            <w:r w:rsidRPr="00C57ABA">
              <w:rPr>
                <w:rFonts w:ascii="Arial Narrow" w:eastAsiaTheme="minorEastAsia" w:hAnsi="Arial Narrow"/>
              </w:rPr>
              <w:t>Еко схема за намаляване използването на пестициди</w:t>
            </w:r>
          </w:p>
        </w:tc>
      </w:tr>
      <w:tr w:rsidR="00845719" w:rsidRPr="00C57ABA" w14:paraId="4D424432" w14:textId="77777777" w:rsidTr="005B64EF">
        <w:trPr>
          <w:trHeight w:val="2"/>
        </w:trPr>
        <w:tc>
          <w:tcPr>
            <w:tcW w:w="1980" w:type="dxa"/>
            <w:shd w:val="clear" w:color="auto" w:fill="auto"/>
            <w:vAlign w:val="center"/>
          </w:tcPr>
          <w:p w14:paraId="3820AEF3" w14:textId="77777777" w:rsidR="00845719" w:rsidRPr="00C57ABA" w:rsidRDefault="00845719" w:rsidP="00845719">
            <w:pPr>
              <w:rPr>
                <w:rFonts w:ascii="Arial Narrow" w:eastAsiaTheme="minorEastAsia" w:hAnsi="Arial Narrow"/>
              </w:rPr>
            </w:pPr>
            <w:r w:rsidRPr="00C57ABA">
              <w:rPr>
                <w:rFonts w:ascii="Arial Narrow" w:eastAsiaTheme="minorEastAsia" w:hAnsi="Arial Narrow"/>
              </w:rPr>
              <w:t>Еко-ПЗП</w:t>
            </w:r>
          </w:p>
        </w:tc>
        <w:tc>
          <w:tcPr>
            <w:tcW w:w="7796" w:type="dxa"/>
            <w:shd w:val="clear" w:color="auto" w:fill="auto"/>
            <w:vAlign w:val="center"/>
          </w:tcPr>
          <w:p w14:paraId="58E466A2" w14:textId="77777777" w:rsidR="00845719" w:rsidRPr="00C57ABA" w:rsidRDefault="00845719" w:rsidP="00845719">
            <w:pPr>
              <w:rPr>
                <w:rFonts w:ascii="Arial Narrow" w:eastAsiaTheme="minorEastAsia" w:hAnsi="Arial Narrow"/>
              </w:rPr>
            </w:pPr>
            <w:r w:rsidRPr="00C57ABA">
              <w:rPr>
                <w:rFonts w:ascii="Arial Narrow" w:eastAsiaTheme="minorEastAsia" w:hAnsi="Arial Narrow"/>
              </w:rPr>
              <w:t>Еко схема за екстензивно поддържане на постоянно затревените площи</w:t>
            </w:r>
          </w:p>
        </w:tc>
      </w:tr>
      <w:tr w:rsidR="00845719" w:rsidRPr="00C57ABA" w14:paraId="07635742" w14:textId="77777777" w:rsidTr="005B64EF">
        <w:trPr>
          <w:trHeight w:val="2"/>
        </w:trPr>
        <w:tc>
          <w:tcPr>
            <w:tcW w:w="1980" w:type="dxa"/>
            <w:shd w:val="clear" w:color="auto" w:fill="auto"/>
            <w:vAlign w:val="center"/>
          </w:tcPr>
          <w:p w14:paraId="023F08DC" w14:textId="77777777" w:rsidR="00845719" w:rsidRPr="00C57ABA" w:rsidRDefault="00845719" w:rsidP="00845719">
            <w:pPr>
              <w:rPr>
                <w:rFonts w:ascii="Arial Narrow" w:eastAsiaTheme="minorEastAsia" w:hAnsi="Arial Narrow"/>
              </w:rPr>
            </w:pPr>
            <w:r w:rsidRPr="00C57ABA">
              <w:rPr>
                <w:rFonts w:ascii="Arial Narrow" w:hAnsi="Arial Narrow"/>
              </w:rPr>
              <w:t>Еко-РОК</w:t>
            </w:r>
          </w:p>
        </w:tc>
        <w:tc>
          <w:tcPr>
            <w:tcW w:w="7796" w:type="dxa"/>
            <w:shd w:val="clear" w:color="auto" w:fill="auto"/>
            <w:vAlign w:val="center"/>
          </w:tcPr>
          <w:p w14:paraId="47439977" w14:textId="77777777" w:rsidR="00845719" w:rsidRPr="00C57ABA" w:rsidRDefault="00845719" w:rsidP="00845719">
            <w:pPr>
              <w:overflowPunct w:val="0"/>
              <w:autoSpaceDE w:val="0"/>
              <w:autoSpaceDN w:val="0"/>
              <w:adjustRightInd w:val="0"/>
              <w:textAlignment w:val="baseline"/>
              <w:rPr>
                <w:rFonts w:ascii="Arial Narrow" w:hAnsi="Arial Narrow"/>
              </w:rPr>
            </w:pPr>
            <w:r w:rsidRPr="00C57ABA">
              <w:rPr>
                <w:rFonts w:ascii="Arial Narrow" w:hAnsi="Arial Narrow"/>
              </w:rPr>
              <w:t>Еко схема за разнообразяване на отглежданите култури</w:t>
            </w:r>
          </w:p>
        </w:tc>
      </w:tr>
      <w:tr w:rsidR="00845719" w:rsidRPr="00C57ABA" w14:paraId="05E2D04C" w14:textId="77777777" w:rsidTr="005B64EF">
        <w:trPr>
          <w:trHeight w:val="2"/>
        </w:trPr>
        <w:tc>
          <w:tcPr>
            <w:tcW w:w="1980" w:type="dxa"/>
            <w:shd w:val="clear" w:color="auto" w:fill="auto"/>
            <w:vAlign w:val="center"/>
          </w:tcPr>
          <w:p w14:paraId="09172E1C" w14:textId="77777777" w:rsidR="00845719" w:rsidRPr="00C57ABA" w:rsidRDefault="00845719" w:rsidP="00845719">
            <w:pPr>
              <w:rPr>
                <w:rFonts w:ascii="Arial Narrow" w:eastAsiaTheme="minorEastAsia" w:hAnsi="Arial Narrow"/>
              </w:rPr>
            </w:pPr>
            <w:r w:rsidRPr="00C57ABA">
              <w:rPr>
                <w:rFonts w:ascii="Arial Narrow" w:eastAsiaTheme="minorEastAsia" w:hAnsi="Arial Narrow"/>
              </w:rPr>
              <w:t>Еко-ТН</w:t>
            </w:r>
          </w:p>
        </w:tc>
        <w:tc>
          <w:tcPr>
            <w:tcW w:w="7796" w:type="dxa"/>
            <w:shd w:val="clear" w:color="auto" w:fill="auto"/>
            <w:vAlign w:val="center"/>
          </w:tcPr>
          <w:p w14:paraId="5950A550" w14:textId="77777777" w:rsidR="00845719" w:rsidRPr="00C57ABA" w:rsidRDefault="00845719" w:rsidP="00845719">
            <w:pPr>
              <w:rPr>
                <w:rFonts w:ascii="Arial Narrow" w:eastAsiaTheme="minorEastAsia" w:hAnsi="Arial Narrow"/>
              </w:rPr>
            </w:pPr>
            <w:r w:rsidRPr="00C57ABA">
              <w:rPr>
                <w:rFonts w:ascii="Arial Narrow" w:eastAsiaTheme="minorEastAsia" w:hAnsi="Arial Narrow"/>
              </w:rPr>
              <w:t xml:space="preserve">Еко схема за екологично поддържане на трайните насаждения </w:t>
            </w:r>
          </w:p>
        </w:tc>
      </w:tr>
      <w:tr w:rsidR="00845719" w:rsidRPr="00C57ABA" w14:paraId="288FB1D3" w14:textId="77777777" w:rsidTr="005B64EF">
        <w:trPr>
          <w:trHeight w:val="6"/>
        </w:trPr>
        <w:tc>
          <w:tcPr>
            <w:tcW w:w="1980" w:type="dxa"/>
            <w:shd w:val="clear" w:color="auto" w:fill="auto"/>
            <w:vAlign w:val="center"/>
            <w:hideMark/>
          </w:tcPr>
          <w:p w14:paraId="695DAC1A" w14:textId="77777777" w:rsidR="00845719" w:rsidRPr="00C57ABA" w:rsidRDefault="00845719" w:rsidP="00594E82">
            <w:pPr>
              <w:rPr>
                <w:rFonts w:ascii="Arial Narrow" w:eastAsiaTheme="minorEastAsia" w:hAnsi="Arial Narrow"/>
              </w:rPr>
            </w:pPr>
            <w:r w:rsidRPr="00C57ABA">
              <w:rPr>
                <w:rFonts w:ascii="Arial Narrow" w:eastAsiaTheme="minorEastAsia" w:hAnsi="Arial Narrow"/>
              </w:rPr>
              <w:t>МНП</w:t>
            </w:r>
            <w:r w:rsidR="00594E82" w:rsidRPr="00C57ABA">
              <w:rPr>
                <w:rFonts w:ascii="Arial Narrow" w:eastAsiaTheme="minorEastAsia" w:hAnsi="Arial Narrow"/>
              </w:rPr>
              <w:t>К</w:t>
            </w:r>
          </w:p>
        </w:tc>
        <w:tc>
          <w:tcPr>
            <w:tcW w:w="7796" w:type="dxa"/>
            <w:shd w:val="clear" w:color="auto" w:fill="auto"/>
            <w:vAlign w:val="center"/>
            <w:hideMark/>
          </w:tcPr>
          <w:p w14:paraId="49A06000" w14:textId="77777777" w:rsidR="00845719" w:rsidRPr="004E30CA" w:rsidRDefault="00FD4FCF" w:rsidP="00FD4FCF">
            <w:pPr>
              <w:rPr>
                <w:rFonts w:ascii="Arial Narrow" w:eastAsiaTheme="minorEastAsia" w:hAnsi="Arial Narrow"/>
                <w:lang w:val="bg-BG"/>
              </w:rPr>
            </w:pPr>
            <w:r>
              <w:rPr>
                <w:rFonts w:ascii="Arial Narrow" w:eastAsiaTheme="minorEastAsia" w:hAnsi="Arial Narrow"/>
                <w:lang w:val="bg-BG"/>
              </w:rPr>
              <w:t>М</w:t>
            </w:r>
            <w:r w:rsidR="00845719" w:rsidRPr="00C57ABA">
              <w:rPr>
                <w:rFonts w:ascii="Arial Narrow" w:eastAsiaTheme="minorEastAsia" w:hAnsi="Arial Narrow"/>
              </w:rPr>
              <w:t xml:space="preserve">ногогодишен национален план за </w:t>
            </w:r>
            <w:r>
              <w:rPr>
                <w:rFonts w:ascii="Arial Narrow" w:eastAsiaTheme="minorEastAsia" w:hAnsi="Arial Narrow"/>
                <w:lang w:val="bg-BG"/>
              </w:rPr>
              <w:t>контрол на Република България</w:t>
            </w:r>
          </w:p>
        </w:tc>
      </w:tr>
      <w:tr w:rsidR="00845719" w:rsidRPr="00C57ABA" w14:paraId="497B4F1A" w14:textId="77777777" w:rsidTr="005B64EF">
        <w:trPr>
          <w:trHeight w:val="2"/>
        </w:trPr>
        <w:tc>
          <w:tcPr>
            <w:tcW w:w="1980" w:type="dxa"/>
            <w:shd w:val="clear" w:color="auto" w:fill="auto"/>
            <w:noWrap/>
            <w:vAlign w:val="center"/>
          </w:tcPr>
          <w:p w14:paraId="2BA5AC9E" w14:textId="77777777" w:rsidR="00845719" w:rsidRPr="00C57ABA" w:rsidRDefault="00845719" w:rsidP="00845719">
            <w:pPr>
              <w:rPr>
                <w:rFonts w:ascii="Arial Narrow" w:eastAsiaTheme="minorEastAsia" w:hAnsi="Arial Narrow"/>
              </w:rPr>
            </w:pPr>
            <w:r w:rsidRPr="00C57ABA">
              <w:rPr>
                <w:rFonts w:ascii="Arial Narrow" w:eastAsiaTheme="minorEastAsia" w:hAnsi="Arial Narrow"/>
              </w:rPr>
              <w:t>ЕИСЗ</w:t>
            </w:r>
          </w:p>
        </w:tc>
        <w:tc>
          <w:tcPr>
            <w:tcW w:w="7796" w:type="dxa"/>
            <w:shd w:val="clear" w:color="auto" w:fill="auto"/>
            <w:noWrap/>
            <w:vAlign w:val="center"/>
          </w:tcPr>
          <w:p w14:paraId="0DDBEF63" w14:textId="77777777" w:rsidR="00845719" w:rsidRPr="00C57ABA" w:rsidRDefault="00845719" w:rsidP="00845719">
            <w:pPr>
              <w:rPr>
                <w:rFonts w:ascii="Arial Narrow" w:eastAsiaTheme="minorEastAsia" w:hAnsi="Arial Narrow"/>
              </w:rPr>
            </w:pPr>
            <w:r w:rsidRPr="00C57ABA">
              <w:rPr>
                <w:rFonts w:ascii="Arial Narrow" w:eastAsiaTheme="minorEastAsia" w:hAnsi="Arial Narrow"/>
              </w:rPr>
              <w:t>Електронна информационна система в земеделието</w:t>
            </w:r>
          </w:p>
        </w:tc>
      </w:tr>
      <w:tr w:rsidR="00845719" w:rsidRPr="00C57ABA" w14:paraId="57E18DB7" w14:textId="77777777" w:rsidTr="005B64EF">
        <w:trPr>
          <w:trHeight w:val="2"/>
        </w:trPr>
        <w:tc>
          <w:tcPr>
            <w:tcW w:w="1980" w:type="dxa"/>
            <w:shd w:val="clear" w:color="auto" w:fill="auto"/>
            <w:noWrap/>
            <w:vAlign w:val="center"/>
            <w:hideMark/>
          </w:tcPr>
          <w:p w14:paraId="1A9683BF" w14:textId="77777777" w:rsidR="00845719" w:rsidRPr="00C57ABA" w:rsidRDefault="00845719" w:rsidP="00845719">
            <w:pPr>
              <w:rPr>
                <w:rFonts w:ascii="Arial Narrow" w:eastAsiaTheme="minorEastAsia" w:hAnsi="Arial Narrow"/>
              </w:rPr>
            </w:pPr>
            <w:r w:rsidRPr="00C57ABA">
              <w:rPr>
                <w:rFonts w:ascii="Arial Narrow" w:eastAsiaTheme="minorEastAsia" w:hAnsi="Arial Narrow"/>
              </w:rPr>
              <w:t>ЕОБХ</w:t>
            </w:r>
          </w:p>
        </w:tc>
        <w:tc>
          <w:tcPr>
            <w:tcW w:w="7796" w:type="dxa"/>
            <w:shd w:val="clear" w:color="auto" w:fill="auto"/>
            <w:noWrap/>
            <w:vAlign w:val="center"/>
            <w:hideMark/>
          </w:tcPr>
          <w:p w14:paraId="1B48EE10" w14:textId="77777777" w:rsidR="00845719" w:rsidRPr="00C57ABA" w:rsidRDefault="00845719" w:rsidP="00845719">
            <w:pPr>
              <w:rPr>
                <w:rFonts w:ascii="Arial Narrow" w:eastAsiaTheme="minorEastAsia" w:hAnsi="Arial Narrow"/>
              </w:rPr>
            </w:pPr>
            <w:r w:rsidRPr="00C57ABA">
              <w:rPr>
                <w:rFonts w:ascii="Arial Narrow" w:eastAsiaTheme="minorEastAsia" w:hAnsi="Arial Narrow"/>
              </w:rPr>
              <w:t xml:space="preserve">Европейски орган по безопасност на храните </w:t>
            </w:r>
          </w:p>
        </w:tc>
      </w:tr>
      <w:tr w:rsidR="00845719" w:rsidRPr="00C57ABA" w14:paraId="124243CB" w14:textId="77777777" w:rsidTr="005B64EF">
        <w:trPr>
          <w:trHeight w:val="2"/>
        </w:trPr>
        <w:tc>
          <w:tcPr>
            <w:tcW w:w="1980" w:type="dxa"/>
            <w:shd w:val="clear" w:color="auto" w:fill="auto"/>
            <w:vAlign w:val="center"/>
            <w:hideMark/>
          </w:tcPr>
          <w:p w14:paraId="03067E46" w14:textId="77777777" w:rsidR="00845719" w:rsidRPr="00C57ABA" w:rsidRDefault="00845719" w:rsidP="00845719">
            <w:pPr>
              <w:rPr>
                <w:rFonts w:ascii="Arial Narrow" w:eastAsiaTheme="minorEastAsia" w:hAnsi="Arial Narrow"/>
              </w:rPr>
            </w:pPr>
            <w:r w:rsidRPr="00C57ABA">
              <w:rPr>
                <w:rFonts w:ascii="Arial Narrow" w:eastAsiaTheme="minorEastAsia" w:hAnsi="Arial Narrow"/>
              </w:rPr>
              <w:t>ЕПИВ</w:t>
            </w:r>
          </w:p>
        </w:tc>
        <w:tc>
          <w:tcPr>
            <w:tcW w:w="7796" w:type="dxa"/>
            <w:shd w:val="clear" w:color="auto" w:fill="auto"/>
            <w:vAlign w:val="center"/>
            <w:hideMark/>
          </w:tcPr>
          <w:p w14:paraId="2B270046" w14:textId="77777777" w:rsidR="00845719" w:rsidRPr="00C57ABA" w:rsidRDefault="00845719" w:rsidP="00845719">
            <w:pPr>
              <w:rPr>
                <w:rFonts w:ascii="Arial Narrow" w:eastAsiaTheme="minorEastAsia" w:hAnsi="Arial Narrow"/>
              </w:rPr>
            </w:pPr>
            <w:r w:rsidRPr="00C57ABA">
              <w:rPr>
                <w:rFonts w:ascii="Arial Narrow" w:eastAsiaTheme="minorEastAsia" w:hAnsi="Arial Narrow"/>
              </w:rPr>
              <w:t xml:space="preserve">Европейски план за икономическо възстановяване </w:t>
            </w:r>
          </w:p>
        </w:tc>
      </w:tr>
      <w:tr w:rsidR="00845719" w:rsidRPr="00C57ABA" w14:paraId="14755FAA" w14:textId="77777777" w:rsidTr="005B64EF">
        <w:trPr>
          <w:trHeight w:val="2"/>
        </w:trPr>
        <w:tc>
          <w:tcPr>
            <w:tcW w:w="1980" w:type="dxa"/>
            <w:shd w:val="clear" w:color="auto" w:fill="auto"/>
            <w:vAlign w:val="center"/>
            <w:hideMark/>
          </w:tcPr>
          <w:p w14:paraId="132F7C5E" w14:textId="77777777" w:rsidR="00845719" w:rsidRPr="00C57ABA" w:rsidRDefault="00845719" w:rsidP="00845719">
            <w:pPr>
              <w:rPr>
                <w:rFonts w:ascii="Arial Narrow" w:eastAsiaTheme="minorEastAsia" w:hAnsi="Arial Narrow"/>
              </w:rPr>
            </w:pPr>
            <w:r w:rsidRPr="00C57ABA">
              <w:rPr>
                <w:rFonts w:ascii="Arial Narrow" w:eastAsiaTheme="minorEastAsia" w:hAnsi="Arial Narrow"/>
              </w:rPr>
              <w:t>ЕС</w:t>
            </w:r>
          </w:p>
        </w:tc>
        <w:tc>
          <w:tcPr>
            <w:tcW w:w="7796" w:type="dxa"/>
            <w:shd w:val="clear" w:color="auto" w:fill="auto"/>
            <w:vAlign w:val="center"/>
            <w:hideMark/>
          </w:tcPr>
          <w:p w14:paraId="1FC2EFC7" w14:textId="77777777" w:rsidR="00845719" w:rsidRPr="00C57ABA" w:rsidRDefault="00845719" w:rsidP="00845719">
            <w:pPr>
              <w:rPr>
                <w:rFonts w:ascii="Arial Narrow" w:eastAsiaTheme="minorEastAsia" w:hAnsi="Arial Narrow"/>
              </w:rPr>
            </w:pPr>
            <w:r w:rsidRPr="00C57ABA">
              <w:rPr>
                <w:rFonts w:ascii="Arial Narrow" w:eastAsiaTheme="minorEastAsia" w:hAnsi="Arial Narrow"/>
              </w:rPr>
              <w:t>Европейски съюз</w:t>
            </w:r>
          </w:p>
        </w:tc>
      </w:tr>
      <w:tr w:rsidR="00845719" w:rsidRPr="00C57ABA" w14:paraId="7F9DB22C" w14:textId="77777777" w:rsidTr="005B64EF">
        <w:trPr>
          <w:trHeight w:val="2"/>
        </w:trPr>
        <w:tc>
          <w:tcPr>
            <w:tcW w:w="1980" w:type="dxa"/>
            <w:shd w:val="clear" w:color="auto" w:fill="auto"/>
            <w:vAlign w:val="center"/>
            <w:hideMark/>
          </w:tcPr>
          <w:p w14:paraId="75E3C356" w14:textId="77777777" w:rsidR="00845719" w:rsidRPr="00C57ABA" w:rsidRDefault="00845719" w:rsidP="00845719">
            <w:pPr>
              <w:rPr>
                <w:rFonts w:ascii="Arial Narrow" w:eastAsiaTheme="minorEastAsia" w:hAnsi="Arial Narrow"/>
              </w:rPr>
            </w:pPr>
            <w:r w:rsidRPr="00C57ABA">
              <w:rPr>
                <w:rFonts w:ascii="Arial Narrow" w:eastAsiaTheme="minorEastAsia" w:hAnsi="Arial Narrow"/>
              </w:rPr>
              <w:t>ЕСФ</w:t>
            </w:r>
          </w:p>
        </w:tc>
        <w:tc>
          <w:tcPr>
            <w:tcW w:w="7796" w:type="dxa"/>
            <w:shd w:val="clear" w:color="auto" w:fill="auto"/>
            <w:vAlign w:val="center"/>
            <w:hideMark/>
          </w:tcPr>
          <w:p w14:paraId="3DC9BE7E" w14:textId="77777777" w:rsidR="00845719" w:rsidRPr="00C57ABA" w:rsidRDefault="00845719" w:rsidP="00845719">
            <w:pPr>
              <w:rPr>
                <w:rFonts w:ascii="Arial Narrow" w:eastAsiaTheme="minorEastAsia" w:hAnsi="Arial Narrow"/>
              </w:rPr>
            </w:pPr>
            <w:r w:rsidRPr="00C57ABA">
              <w:rPr>
                <w:rFonts w:ascii="Arial Narrow" w:eastAsiaTheme="minorEastAsia" w:hAnsi="Arial Narrow"/>
              </w:rPr>
              <w:t>Европейски социален фонд</w:t>
            </w:r>
          </w:p>
        </w:tc>
      </w:tr>
      <w:tr w:rsidR="00845719" w:rsidRPr="00C57ABA" w14:paraId="5C8321E5" w14:textId="77777777" w:rsidTr="005B64EF">
        <w:trPr>
          <w:trHeight w:val="2"/>
        </w:trPr>
        <w:tc>
          <w:tcPr>
            <w:tcW w:w="1980" w:type="dxa"/>
            <w:shd w:val="clear" w:color="auto" w:fill="auto"/>
            <w:vAlign w:val="center"/>
            <w:hideMark/>
          </w:tcPr>
          <w:p w14:paraId="5FC95059" w14:textId="77777777" w:rsidR="00845719" w:rsidRPr="00C57ABA" w:rsidRDefault="00845719" w:rsidP="00845719">
            <w:pPr>
              <w:rPr>
                <w:rFonts w:ascii="Arial Narrow" w:eastAsiaTheme="minorEastAsia" w:hAnsi="Arial Narrow"/>
              </w:rPr>
            </w:pPr>
            <w:r w:rsidRPr="00C57ABA">
              <w:rPr>
                <w:rFonts w:ascii="Arial Narrow" w:eastAsiaTheme="minorEastAsia" w:hAnsi="Arial Narrow"/>
              </w:rPr>
              <w:t>ЕФГЗ</w:t>
            </w:r>
          </w:p>
        </w:tc>
        <w:tc>
          <w:tcPr>
            <w:tcW w:w="7796" w:type="dxa"/>
            <w:shd w:val="clear" w:color="auto" w:fill="auto"/>
            <w:vAlign w:val="center"/>
            <w:hideMark/>
          </w:tcPr>
          <w:p w14:paraId="491C44AB" w14:textId="77777777" w:rsidR="00845719" w:rsidRPr="00C57ABA" w:rsidRDefault="00845719" w:rsidP="00845719">
            <w:pPr>
              <w:rPr>
                <w:rFonts w:ascii="Arial Narrow" w:eastAsiaTheme="minorEastAsia" w:hAnsi="Arial Narrow"/>
              </w:rPr>
            </w:pPr>
            <w:r w:rsidRPr="00C57ABA">
              <w:rPr>
                <w:rFonts w:ascii="Arial Narrow" w:eastAsiaTheme="minorEastAsia" w:hAnsi="Arial Narrow"/>
              </w:rPr>
              <w:t>Европейски фонд за гарантиране на земеделието</w:t>
            </w:r>
          </w:p>
        </w:tc>
      </w:tr>
      <w:tr w:rsidR="00845719" w:rsidRPr="00C57ABA" w14:paraId="7768E0C2" w14:textId="77777777" w:rsidTr="005B64EF">
        <w:trPr>
          <w:trHeight w:val="2"/>
        </w:trPr>
        <w:tc>
          <w:tcPr>
            <w:tcW w:w="1980" w:type="dxa"/>
            <w:shd w:val="clear" w:color="auto" w:fill="auto"/>
            <w:noWrap/>
            <w:vAlign w:val="center"/>
            <w:hideMark/>
          </w:tcPr>
          <w:p w14:paraId="2DB83CDD" w14:textId="77777777" w:rsidR="00845719" w:rsidRPr="00C57ABA" w:rsidRDefault="00845719" w:rsidP="00845719">
            <w:pPr>
              <w:rPr>
                <w:rFonts w:ascii="Arial Narrow" w:eastAsiaTheme="minorEastAsia" w:hAnsi="Arial Narrow"/>
              </w:rPr>
            </w:pPr>
            <w:r w:rsidRPr="00C57ABA">
              <w:rPr>
                <w:rFonts w:ascii="Arial Narrow" w:eastAsiaTheme="minorEastAsia" w:hAnsi="Arial Narrow"/>
              </w:rPr>
              <w:t>ЕФМДР</w:t>
            </w:r>
          </w:p>
        </w:tc>
        <w:tc>
          <w:tcPr>
            <w:tcW w:w="7796" w:type="dxa"/>
            <w:shd w:val="clear" w:color="auto" w:fill="auto"/>
            <w:noWrap/>
            <w:vAlign w:val="center"/>
            <w:hideMark/>
          </w:tcPr>
          <w:p w14:paraId="1003A8A1" w14:textId="77777777" w:rsidR="00845719" w:rsidRPr="00C57ABA" w:rsidRDefault="00845719" w:rsidP="00845719">
            <w:pPr>
              <w:rPr>
                <w:rFonts w:ascii="Arial Narrow" w:eastAsiaTheme="minorEastAsia" w:hAnsi="Arial Narrow"/>
              </w:rPr>
            </w:pPr>
            <w:r w:rsidRPr="00C57ABA">
              <w:rPr>
                <w:rFonts w:ascii="Arial Narrow" w:eastAsiaTheme="minorEastAsia" w:hAnsi="Arial Narrow"/>
              </w:rPr>
              <w:t>Европейски фонд за морско дело и рибарство</w:t>
            </w:r>
          </w:p>
        </w:tc>
      </w:tr>
      <w:tr w:rsidR="00845719" w:rsidRPr="00C57ABA" w14:paraId="4AC14C24" w14:textId="77777777" w:rsidTr="005B64EF">
        <w:trPr>
          <w:trHeight w:val="2"/>
        </w:trPr>
        <w:tc>
          <w:tcPr>
            <w:tcW w:w="1980" w:type="dxa"/>
            <w:shd w:val="clear" w:color="auto" w:fill="auto"/>
            <w:vAlign w:val="center"/>
            <w:hideMark/>
          </w:tcPr>
          <w:p w14:paraId="0D835C21" w14:textId="77777777" w:rsidR="00845719" w:rsidRPr="00C57ABA" w:rsidRDefault="00845719" w:rsidP="00845719">
            <w:pPr>
              <w:rPr>
                <w:rFonts w:ascii="Arial Narrow" w:eastAsiaTheme="minorEastAsia" w:hAnsi="Arial Narrow"/>
              </w:rPr>
            </w:pPr>
            <w:r w:rsidRPr="00C57ABA">
              <w:rPr>
                <w:rFonts w:ascii="Arial Narrow" w:eastAsiaTheme="minorEastAsia" w:hAnsi="Arial Narrow"/>
              </w:rPr>
              <w:t>ЕФР</w:t>
            </w:r>
          </w:p>
        </w:tc>
        <w:tc>
          <w:tcPr>
            <w:tcW w:w="7796" w:type="dxa"/>
            <w:shd w:val="clear" w:color="auto" w:fill="auto"/>
            <w:vAlign w:val="center"/>
            <w:hideMark/>
          </w:tcPr>
          <w:p w14:paraId="037215F7" w14:textId="77777777" w:rsidR="00845719" w:rsidRPr="00C57ABA" w:rsidRDefault="00845719" w:rsidP="00845719">
            <w:pPr>
              <w:rPr>
                <w:rFonts w:ascii="Arial Narrow" w:eastAsiaTheme="minorEastAsia" w:hAnsi="Arial Narrow"/>
              </w:rPr>
            </w:pPr>
            <w:r w:rsidRPr="00C57ABA">
              <w:rPr>
                <w:rFonts w:ascii="Arial Narrow" w:eastAsiaTheme="minorEastAsia" w:hAnsi="Arial Narrow"/>
              </w:rPr>
              <w:t>Европейски фонд по рибарство</w:t>
            </w:r>
          </w:p>
        </w:tc>
      </w:tr>
      <w:tr w:rsidR="00845719" w:rsidRPr="00C57ABA" w14:paraId="758DEBFD" w14:textId="77777777" w:rsidTr="005B64EF">
        <w:trPr>
          <w:trHeight w:val="2"/>
        </w:trPr>
        <w:tc>
          <w:tcPr>
            <w:tcW w:w="1980" w:type="dxa"/>
            <w:shd w:val="clear" w:color="auto" w:fill="auto"/>
            <w:vAlign w:val="center"/>
            <w:hideMark/>
          </w:tcPr>
          <w:p w14:paraId="7492EFBF" w14:textId="77777777" w:rsidR="00845719" w:rsidRPr="00C57ABA" w:rsidRDefault="00845719" w:rsidP="00845719">
            <w:pPr>
              <w:rPr>
                <w:rFonts w:ascii="Arial Narrow" w:eastAsiaTheme="minorEastAsia" w:hAnsi="Arial Narrow"/>
              </w:rPr>
            </w:pPr>
            <w:r w:rsidRPr="00C57ABA">
              <w:rPr>
                <w:rFonts w:ascii="Arial Narrow" w:eastAsiaTheme="minorEastAsia" w:hAnsi="Arial Narrow"/>
              </w:rPr>
              <w:t>ЕФРР</w:t>
            </w:r>
          </w:p>
        </w:tc>
        <w:tc>
          <w:tcPr>
            <w:tcW w:w="7796" w:type="dxa"/>
            <w:shd w:val="clear" w:color="auto" w:fill="auto"/>
            <w:vAlign w:val="center"/>
            <w:hideMark/>
          </w:tcPr>
          <w:p w14:paraId="44045717" w14:textId="77777777" w:rsidR="00845719" w:rsidRPr="00C57ABA" w:rsidRDefault="00845719" w:rsidP="00845719">
            <w:pPr>
              <w:rPr>
                <w:rFonts w:ascii="Arial Narrow" w:eastAsiaTheme="minorEastAsia" w:hAnsi="Arial Narrow"/>
              </w:rPr>
            </w:pPr>
            <w:r w:rsidRPr="00C57ABA">
              <w:rPr>
                <w:rFonts w:ascii="Arial Narrow" w:eastAsiaTheme="minorEastAsia" w:hAnsi="Arial Narrow"/>
              </w:rPr>
              <w:t xml:space="preserve">Европейски фонд за регионално развитие </w:t>
            </w:r>
          </w:p>
        </w:tc>
      </w:tr>
      <w:tr w:rsidR="00845719" w:rsidRPr="00C57ABA" w14:paraId="37E19C4C" w14:textId="77777777" w:rsidTr="005B64EF">
        <w:trPr>
          <w:trHeight w:val="2"/>
        </w:trPr>
        <w:tc>
          <w:tcPr>
            <w:tcW w:w="1980" w:type="dxa"/>
            <w:shd w:val="clear" w:color="auto" w:fill="auto"/>
            <w:vAlign w:val="center"/>
            <w:hideMark/>
          </w:tcPr>
          <w:p w14:paraId="60A3328F" w14:textId="77777777" w:rsidR="00845719" w:rsidRPr="00C57ABA" w:rsidRDefault="00845719" w:rsidP="00845719">
            <w:pPr>
              <w:rPr>
                <w:rFonts w:ascii="Arial Narrow" w:eastAsiaTheme="minorEastAsia" w:hAnsi="Arial Narrow"/>
              </w:rPr>
            </w:pPr>
            <w:r w:rsidRPr="00C57ABA">
              <w:rPr>
                <w:rFonts w:ascii="Arial Narrow" w:eastAsiaTheme="minorEastAsia" w:hAnsi="Arial Narrow"/>
              </w:rPr>
              <w:t>ЗГМО</w:t>
            </w:r>
          </w:p>
        </w:tc>
        <w:tc>
          <w:tcPr>
            <w:tcW w:w="7796" w:type="dxa"/>
            <w:shd w:val="clear" w:color="auto" w:fill="auto"/>
            <w:vAlign w:val="center"/>
            <w:hideMark/>
          </w:tcPr>
          <w:p w14:paraId="6FD77648" w14:textId="77777777" w:rsidR="00845719" w:rsidRPr="00C57ABA" w:rsidRDefault="00845719" w:rsidP="00845719">
            <w:pPr>
              <w:rPr>
                <w:rFonts w:ascii="Arial Narrow" w:eastAsiaTheme="minorEastAsia" w:hAnsi="Arial Narrow"/>
              </w:rPr>
            </w:pPr>
            <w:r w:rsidRPr="00C57ABA">
              <w:rPr>
                <w:rFonts w:ascii="Arial Narrow" w:eastAsiaTheme="minorEastAsia" w:hAnsi="Arial Narrow"/>
              </w:rPr>
              <w:t>Закон за генетично модифицираните организми</w:t>
            </w:r>
          </w:p>
        </w:tc>
      </w:tr>
      <w:tr w:rsidR="00845719" w:rsidRPr="00C57ABA" w14:paraId="167FC889" w14:textId="77777777" w:rsidTr="005B64EF">
        <w:trPr>
          <w:trHeight w:val="2"/>
        </w:trPr>
        <w:tc>
          <w:tcPr>
            <w:tcW w:w="1980" w:type="dxa"/>
            <w:shd w:val="clear" w:color="auto" w:fill="auto"/>
            <w:vAlign w:val="center"/>
            <w:hideMark/>
          </w:tcPr>
          <w:p w14:paraId="6535D810" w14:textId="77777777" w:rsidR="00845719" w:rsidRPr="00C57ABA" w:rsidRDefault="00845719" w:rsidP="00845719">
            <w:pPr>
              <w:rPr>
                <w:rFonts w:ascii="Arial Narrow" w:eastAsiaTheme="minorEastAsia" w:hAnsi="Arial Narrow"/>
              </w:rPr>
            </w:pPr>
            <w:r w:rsidRPr="00C57ABA">
              <w:rPr>
                <w:rFonts w:ascii="Arial Narrow" w:eastAsiaTheme="minorEastAsia" w:hAnsi="Arial Narrow"/>
              </w:rPr>
              <w:t>ЗГТ</w:t>
            </w:r>
          </w:p>
        </w:tc>
        <w:tc>
          <w:tcPr>
            <w:tcW w:w="7796" w:type="dxa"/>
            <w:shd w:val="clear" w:color="auto" w:fill="auto"/>
            <w:vAlign w:val="center"/>
            <w:hideMark/>
          </w:tcPr>
          <w:p w14:paraId="5DAED074" w14:textId="77777777" w:rsidR="00845719" w:rsidRPr="00C57ABA" w:rsidRDefault="00845719" w:rsidP="00845719">
            <w:pPr>
              <w:rPr>
                <w:rFonts w:ascii="Arial Narrow" w:eastAsiaTheme="minorEastAsia" w:hAnsi="Arial Narrow"/>
              </w:rPr>
            </w:pPr>
            <w:r w:rsidRPr="00C57ABA">
              <w:rPr>
                <w:rFonts w:ascii="Arial Narrow" w:eastAsiaTheme="minorEastAsia" w:hAnsi="Arial Narrow"/>
              </w:rPr>
              <w:t xml:space="preserve">Земеделска и горска техника </w:t>
            </w:r>
          </w:p>
        </w:tc>
      </w:tr>
      <w:tr w:rsidR="00845719" w:rsidRPr="00C57ABA" w14:paraId="6A32E62C" w14:textId="77777777" w:rsidTr="005B64EF">
        <w:trPr>
          <w:trHeight w:val="2"/>
        </w:trPr>
        <w:tc>
          <w:tcPr>
            <w:tcW w:w="1980" w:type="dxa"/>
            <w:shd w:val="clear" w:color="auto" w:fill="auto"/>
            <w:vAlign w:val="center"/>
            <w:hideMark/>
          </w:tcPr>
          <w:p w14:paraId="3F3CF3CE" w14:textId="77777777" w:rsidR="00845719" w:rsidRPr="00C57ABA" w:rsidRDefault="00845719" w:rsidP="00845719">
            <w:pPr>
              <w:rPr>
                <w:rFonts w:ascii="Arial Narrow" w:eastAsiaTheme="minorEastAsia" w:hAnsi="Arial Narrow"/>
              </w:rPr>
            </w:pPr>
            <w:r w:rsidRPr="00C57ABA">
              <w:rPr>
                <w:rFonts w:ascii="Arial Narrow" w:eastAsiaTheme="minorEastAsia" w:hAnsi="Arial Narrow"/>
              </w:rPr>
              <w:t>ЗГУ</w:t>
            </w:r>
          </w:p>
        </w:tc>
        <w:tc>
          <w:tcPr>
            <w:tcW w:w="7796" w:type="dxa"/>
            <w:shd w:val="clear" w:color="auto" w:fill="auto"/>
            <w:vAlign w:val="center"/>
            <w:hideMark/>
          </w:tcPr>
          <w:p w14:paraId="2061FCFB" w14:textId="77777777" w:rsidR="00845719" w:rsidRPr="00C57ABA" w:rsidRDefault="00845719" w:rsidP="00845719">
            <w:pPr>
              <w:rPr>
                <w:rFonts w:ascii="Arial Narrow" w:eastAsiaTheme="minorEastAsia" w:hAnsi="Arial Narrow"/>
              </w:rPr>
            </w:pPr>
            <w:r w:rsidRPr="00C57ABA">
              <w:rPr>
                <w:rFonts w:ascii="Arial Narrow" w:eastAsiaTheme="minorEastAsia" w:hAnsi="Arial Narrow"/>
              </w:rPr>
              <w:t xml:space="preserve">Защитено географско указание </w:t>
            </w:r>
          </w:p>
        </w:tc>
      </w:tr>
      <w:tr w:rsidR="00845719" w:rsidRPr="00C57ABA" w14:paraId="13B65CA8" w14:textId="77777777" w:rsidTr="005B64EF">
        <w:trPr>
          <w:trHeight w:val="2"/>
        </w:trPr>
        <w:tc>
          <w:tcPr>
            <w:tcW w:w="1980" w:type="dxa"/>
            <w:shd w:val="clear" w:color="auto" w:fill="auto"/>
            <w:noWrap/>
            <w:vAlign w:val="center"/>
          </w:tcPr>
          <w:p w14:paraId="3DB520A4" w14:textId="77777777" w:rsidR="00845719" w:rsidRPr="00C57ABA" w:rsidRDefault="00845719" w:rsidP="00845719">
            <w:pPr>
              <w:rPr>
                <w:rFonts w:ascii="Arial Narrow" w:eastAsiaTheme="minorEastAsia" w:hAnsi="Arial Narrow"/>
              </w:rPr>
            </w:pPr>
            <w:r w:rsidRPr="00C57ABA">
              <w:rPr>
                <w:rFonts w:ascii="Arial Narrow" w:eastAsiaTheme="minorEastAsia" w:hAnsi="Arial Narrow"/>
              </w:rPr>
              <w:t>ЗУИ</w:t>
            </w:r>
          </w:p>
        </w:tc>
        <w:tc>
          <w:tcPr>
            <w:tcW w:w="7796" w:type="dxa"/>
            <w:shd w:val="clear" w:color="auto" w:fill="auto"/>
            <w:noWrap/>
            <w:vAlign w:val="center"/>
          </w:tcPr>
          <w:p w14:paraId="68B21AAD" w14:textId="77777777" w:rsidR="00845719" w:rsidRPr="00C57ABA" w:rsidRDefault="00845719" w:rsidP="00845719">
            <w:pPr>
              <w:rPr>
                <w:rFonts w:ascii="Arial Narrow" w:eastAsiaTheme="minorEastAsia" w:hAnsi="Arial Narrow"/>
              </w:rPr>
            </w:pPr>
            <w:r w:rsidRPr="00C57ABA">
              <w:rPr>
                <w:rFonts w:ascii="Arial Narrow" w:eastAsiaTheme="minorEastAsia" w:hAnsi="Arial Narrow"/>
              </w:rPr>
              <w:t xml:space="preserve">Законоустановени изисквания за управление </w:t>
            </w:r>
          </w:p>
        </w:tc>
      </w:tr>
      <w:tr w:rsidR="00845719" w:rsidRPr="00C57ABA" w14:paraId="3D2C385E" w14:textId="77777777" w:rsidTr="005B64EF">
        <w:trPr>
          <w:trHeight w:val="2"/>
        </w:trPr>
        <w:tc>
          <w:tcPr>
            <w:tcW w:w="1980" w:type="dxa"/>
            <w:shd w:val="clear" w:color="auto" w:fill="auto"/>
            <w:noWrap/>
            <w:vAlign w:val="center"/>
            <w:hideMark/>
          </w:tcPr>
          <w:p w14:paraId="560D4B88" w14:textId="77777777" w:rsidR="00845719" w:rsidRPr="00C57ABA" w:rsidRDefault="00845719" w:rsidP="00845719">
            <w:pPr>
              <w:rPr>
                <w:rFonts w:ascii="Arial Narrow" w:eastAsiaTheme="minorEastAsia" w:hAnsi="Arial Narrow"/>
              </w:rPr>
            </w:pPr>
            <w:r w:rsidRPr="00C57ABA">
              <w:rPr>
                <w:rFonts w:ascii="Arial Narrow" w:eastAsiaTheme="minorEastAsia" w:hAnsi="Arial Narrow"/>
              </w:rPr>
              <w:t>ЗНД</w:t>
            </w:r>
          </w:p>
        </w:tc>
        <w:tc>
          <w:tcPr>
            <w:tcW w:w="7796" w:type="dxa"/>
            <w:shd w:val="clear" w:color="auto" w:fill="auto"/>
            <w:noWrap/>
            <w:vAlign w:val="center"/>
            <w:hideMark/>
          </w:tcPr>
          <w:p w14:paraId="57178A94" w14:textId="77777777" w:rsidR="00845719" w:rsidRPr="00C57ABA" w:rsidRDefault="00845719" w:rsidP="00845719">
            <w:pPr>
              <w:rPr>
                <w:rFonts w:ascii="Arial Narrow" w:eastAsiaTheme="minorEastAsia" w:hAnsi="Arial Narrow"/>
              </w:rPr>
            </w:pPr>
            <w:r w:rsidRPr="00C57ABA">
              <w:rPr>
                <w:rFonts w:ascii="Arial Narrow" w:eastAsiaTheme="minorEastAsia" w:hAnsi="Arial Narrow"/>
              </w:rPr>
              <w:t xml:space="preserve">Заразен нодуларен дерматит </w:t>
            </w:r>
          </w:p>
        </w:tc>
      </w:tr>
      <w:tr w:rsidR="00845719" w:rsidRPr="00C57ABA" w14:paraId="2105DB93" w14:textId="77777777" w:rsidTr="005B64EF">
        <w:trPr>
          <w:trHeight w:val="2"/>
        </w:trPr>
        <w:tc>
          <w:tcPr>
            <w:tcW w:w="1980" w:type="dxa"/>
            <w:shd w:val="clear" w:color="auto" w:fill="auto"/>
            <w:vAlign w:val="center"/>
            <w:hideMark/>
          </w:tcPr>
          <w:p w14:paraId="647B3780" w14:textId="77777777" w:rsidR="00845719" w:rsidRPr="00C57ABA" w:rsidRDefault="00845719" w:rsidP="00845719">
            <w:pPr>
              <w:rPr>
                <w:rFonts w:ascii="Arial Narrow" w:eastAsiaTheme="minorEastAsia" w:hAnsi="Arial Narrow"/>
              </w:rPr>
            </w:pPr>
            <w:r w:rsidRPr="00C57ABA">
              <w:rPr>
                <w:rFonts w:ascii="Arial Narrow" w:eastAsiaTheme="minorEastAsia" w:hAnsi="Arial Narrow"/>
              </w:rPr>
              <w:t>ЗНП</w:t>
            </w:r>
          </w:p>
        </w:tc>
        <w:tc>
          <w:tcPr>
            <w:tcW w:w="7796" w:type="dxa"/>
            <w:shd w:val="clear" w:color="auto" w:fill="auto"/>
            <w:vAlign w:val="center"/>
            <w:hideMark/>
          </w:tcPr>
          <w:p w14:paraId="660D2308" w14:textId="77777777" w:rsidR="00845719" w:rsidRPr="00C57ABA" w:rsidRDefault="00845719" w:rsidP="00845719">
            <w:pPr>
              <w:rPr>
                <w:rFonts w:ascii="Arial Narrow" w:eastAsiaTheme="minorEastAsia" w:hAnsi="Arial Narrow"/>
              </w:rPr>
            </w:pPr>
            <w:r w:rsidRPr="00C57ABA">
              <w:rPr>
                <w:rFonts w:ascii="Arial Narrow" w:eastAsiaTheme="minorEastAsia" w:hAnsi="Arial Narrow"/>
              </w:rPr>
              <w:t xml:space="preserve">Защитено наименование за произход </w:t>
            </w:r>
          </w:p>
        </w:tc>
      </w:tr>
      <w:tr w:rsidR="00845719" w:rsidRPr="00C57ABA" w14:paraId="5F6FE6E2" w14:textId="77777777" w:rsidTr="005B64EF">
        <w:trPr>
          <w:trHeight w:val="2"/>
        </w:trPr>
        <w:tc>
          <w:tcPr>
            <w:tcW w:w="1980" w:type="dxa"/>
            <w:shd w:val="clear" w:color="auto" w:fill="auto"/>
            <w:vAlign w:val="center"/>
            <w:hideMark/>
          </w:tcPr>
          <w:p w14:paraId="78C55EEE" w14:textId="77777777" w:rsidR="00845719" w:rsidRPr="00C57ABA" w:rsidRDefault="00845719" w:rsidP="00845719">
            <w:pPr>
              <w:rPr>
                <w:rFonts w:ascii="Arial Narrow" w:eastAsiaTheme="minorEastAsia" w:hAnsi="Arial Narrow"/>
              </w:rPr>
            </w:pPr>
            <w:r w:rsidRPr="00C57ABA">
              <w:rPr>
                <w:rFonts w:ascii="Arial Narrow" w:eastAsiaTheme="minorEastAsia" w:hAnsi="Arial Narrow"/>
              </w:rPr>
              <w:t>ЗППМ</w:t>
            </w:r>
          </w:p>
        </w:tc>
        <w:tc>
          <w:tcPr>
            <w:tcW w:w="7796" w:type="dxa"/>
            <w:shd w:val="clear" w:color="auto" w:fill="auto"/>
            <w:vAlign w:val="center"/>
            <w:hideMark/>
          </w:tcPr>
          <w:p w14:paraId="46D7CA12" w14:textId="77777777" w:rsidR="00845719" w:rsidRPr="00C57ABA" w:rsidRDefault="00845719" w:rsidP="00845719">
            <w:pPr>
              <w:rPr>
                <w:rFonts w:ascii="Arial Narrow" w:eastAsiaTheme="minorEastAsia" w:hAnsi="Arial Narrow"/>
              </w:rPr>
            </w:pPr>
            <w:r w:rsidRPr="00C57ABA">
              <w:rPr>
                <w:rFonts w:ascii="Arial Narrow" w:eastAsiaTheme="minorEastAsia" w:hAnsi="Arial Narrow"/>
              </w:rPr>
              <w:t>Закон за посевния и посадъчен материал</w:t>
            </w:r>
          </w:p>
        </w:tc>
      </w:tr>
      <w:tr w:rsidR="00845719" w:rsidRPr="00C57ABA" w14:paraId="61BC5737" w14:textId="77777777" w:rsidTr="005B64EF">
        <w:trPr>
          <w:trHeight w:val="2"/>
        </w:trPr>
        <w:tc>
          <w:tcPr>
            <w:tcW w:w="1980" w:type="dxa"/>
            <w:shd w:val="clear" w:color="auto" w:fill="auto"/>
            <w:vAlign w:val="center"/>
            <w:hideMark/>
          </w:tcPr>
          <w:p w14:paraId="62F95DD7" w14:textId="77777777" w:rsidR="00845719" w:rsidRPr="00C57ABA" w:rsidRDefault="00845719" w:rsidP="00845719">
            <w:pPr>
              <w:rPr>
                <w:rFonts w:ascii="Arial Narrow" w:eastAsiaTheme="minorEastAsia" w:hAnsi="Arial Narrow"/>
              </w:rPr>
            </w:pPr>
            <w:r w:rsidRPr="00C57ABA">
              <w:rPr>
                <w:rFonts w:ascii="Arial Narrow" w:eastAsiaTheme="minorEastAsia" w:hAnsi="Arial Narrow"/>
              </w:rPr>
              <w:t>ЗСПЗЗ</w:t>
            </w:r>
          </w:p>
        </w:tc>
        <w:tc>
          <w:tcPr>
            <w:tcW w:w="7796" w:type="dxa"/>
            <w:shd w:val="clear" w:color="auto" w:fill="auto"/>
            <w:vAlign w:val="center"/>
            <w:hideMark/>
          </w:tcPr>
          <w:p w14:paraId="1391F6F9" w14:textId="77777777" w:rsidR="00845719" w:rsidRPr="00C57ABA" w:rsidRDefault="00845719" w:rsidP="00845719">
            <w:pPr>
              <w:rPr>
                <w:rFonts w:ascii="Arial Narrow" w:eastAsiaTheme="minorEastAsia" w:hAnsi="Arial Narrow"/>
              </w:rPr>
            </w:pPr>
            <w:r w:rsidRPr="00C57ABA">
              <w:rPr>
                <w:rFonts w:ascii="Arial Narrow" w:eastAsiaTheme="minorEastAsia" w:hAnsi="Arial Narrow"/>
              </w:rPr>
              <w:t xml:space="preserve">Закон за собствеността и ползването на земеделските земи </w:t>
            </w:r>
          </w:p>
        </w:tc>
      </w:tr>
      <w:tr w:rsidR="00845719" w:rsidRPr="00C57ABA" w14:paraId="7FBA1045" w14:textId="77777777" w:rsidTr="005B64EF">
        <w:trPr>
          <w:trHeight w:val="2"/>
        </w:trPr>
        <w:tc>
          <w:tcPr>
            <w:tcW w:w="1980" w:type="dxa"/>
            <w:shd w:val="clear" w:color="auto" w:fill="auto"/>
            <w:vAlign w:val="center"/>
          </w:tcPr>
          <w:p w14:paraId="116AD1FE" w14:textId="77777777" w:rsidR="00845719" w:rsidRPr="00C57ABA" w:rsidRDefault="00845719" w:rsidP="00845719">
            <w:pPr>
              <w:rPr>
                <w:rFonts w:ascii="Arial Narrow" w:eastAsiaTheme="minorEastAsia" w:hAnsi="Arial Narrow"/>
              </w:rPr>
            </w:pPr>
            <w:r w:rsidRPr="00C57ABA">
              <w:rPr>
                <w:rFonts w:ascii="Arial Narrow" w:eastAsiaTheme="minorEastAsia" w:hAnsi="Arial Narrow"/>
              </w:rPr>
              <w:t>ЗПООПЗПЕС</w:t>
            </w:r>
          </w:p>
        </w:tc>
        <w:tc>
          <w:tcPr>
            <w:tcW w:w="7796" w:type="dxa"/>
            <w:shd w:val="clear" w:color="auto" w:fill="auto"/>
            <w:vAlign w:val="center"/>
          </w:tcPr>
          <w:p w14:paraId="4A06BE29" w14:textId="77777777" w:rsidR="00845719" w:rsidRPr="00C57ABA" w:rsidRDefault="00845719" w:rsidP="00845719">
            <w:pPr>
              <w:rPr>
                <w:rFonts w:ascii="Arial Narrow" w:eastAsiaTheme="minorEastAsia" w:hAnsi="Arial Narrow"/>
              </w:rPr>
            </w:pPr>
            <w:r w:rsidRPr="00C57ABA">
              <w:rPr>
                <w:rFonts w:ascii="Arial Narrow" w:eastAsiaTheme="minorEastAsia" w:hAnsi="Arial Narrow"/>
              </w:rPr>
              <w:t xml:space="preserve">Закон за прилагане на Общата организация на пазарите на земеделски продукти на Европейския съюз </w:t>
            </w:r>
          </w:p>
        </w:tc>
      </w:tr>
      <w:tr w:rsidR="00845719" w:rsidRPr="00C57ABA" w14:paraId="5B5E727F" w14:textId="77777777" w:rsidTr="005B64EF">
        <w:trPr>
          <w:trHeight w:val="2"/>
        </w:trPr>
        <w:tc>
          <w:tcPr>
            <w:tcW w:w="1980" w:type="dxa"/>
            <w:shd w:val="clear" w:color="auto" w:fill="auto"/>
            <w:vAlign w:val="center"/>
            <w:hideMark/>
          </w:tcPr>
          <w:p w14:paraId="200F1E0E" w14:textId="77777777" w:rsidR="00845719" w:rsidRPr="00C57ABA" w:rsidRDefault="00845719" w:rsidP="00845719">
            <w:pPr>
              <w:rPr>
                <w:rFonts w:ascii="Arial Narrow" w:eastAsiaTheme="minorEastAsia" w:hAnsi="Arial Narrow"/>
              </w:rPr>
            </w:pPr>
            <w:r w:rsidRPr="00C57ABA">
              <w:rPr>
                <w:rFonts w:ascii="Arial Narrow" w:eastAsiaTheme="minorEastAsia" w:hAnsi="Arial Narrow"/>
              </w:rPr>
              <w:t>ИАГ</w:t>
            </w:r>
          </w:p>
        </w:tc>
        <w:tc>
          <w:tcPr>
            <w:tcW w:w="7796" w:type="dxa"/>
            <w:shd w:val="clear" w:color="auto" w:fill="auto"/>
            <w:vAlign w:val="center"/>
            <w:hideMark/>
          </w:tcPr>
          <w:p w14:paraId="7F00C3A4" w14:textId="77777777" w:rsidR="00845719" w:rsidRPr="00C57ABA" w:rsidRDefault="00845719" w:rsidP="00845719">
            <w:pPr>
              <w:rPr>
                <w:rFonts w:ascii="Arial Narrow" w:eastAsiaTheme="minorEastAsia" w:hAnsi="Arial Narrow"/>
              </w:rPr>
            </w:pPr>
            <w:r w:rsidRPr="00C57ABA">
              <w:rPr>
                <w:rFonts w:ascii="Arial Narrow" w:eastAsiaTheme="minorEastAsia" w:hAnsi="Arial Narrow"/>
              </w:rPr>
              <w:t xml:space="preserve">Изпълнителна агенция по горите </w:t>
            </w:r>
          </w:p>
        </w:tc>
      </w:tr>
      <w:tr w:rsidR="00845719" w:rsidRPr="00C57ABA" w14:paraId="758AAA2B" w14:textId="77777777" w:rsidTr="005B64EF">
        <w:trPr>
          <w:trHeight w:val="2"/>
        </w:trPr>
        <w:tc>
          <w:tcPr>
            <w:tcW w:w="1980" w:type="dxa"/>
            <w:shd w:val="clear" w:color="auto" w:fill="auto"/>
            <w:vAlign w:val="center"/>
            <w:hideMark/>
          </w:tcPr>
          <w:p w14:paraId="515B5F28" w14:textId="77777777" w:rsidR="00845719" w:rsidRPr="00C57ABA" w:rsidRDefault="00845719" w:rsidP="00845719">
            <w:pPr>
              <w:rPr>
                <w:rFonts w:ascii="Arial Narrow" w:eastAsiaTheme="minorEastAsia" w:hAnsi="Arial Narrow"/>
              </w:rPr>
            </w:pPr>
            <w:r w:rsidRPr="00C57ABA">
              <w:rPr>
                <w:rFonts w:ascii="Arial Narrow" w:eastAsiaTheme="minorEastAsia" w:hAnsi="Arial Narrow"/>
              </w:rPr>
              <w:t>ИАЛВ</w:t>
            </w:r>
          </w:p>
        </w:tc>
        <w:tc>
          <w:tcPr>
            <w:tcW w:w="7796" w:type="dxa"/>
            <w:shd w:val="clear" w:color="auto" w:fill="auto"/>
            <w:vAlign w:val="center"/>
            <w:hideMark/>
          </w:tcPr>
          <w:p w14:paraId="395E6663" w14:textId="77777777" w:rsidR="00845719" w:rsidRPr="00C57ABA" w:rsidRDefault="00845719" w:rsidP="00845719">
            <w:pPr>
              <w:rPr>
                <w:rFonts w:ascii="Arial Narrow" w:eastAsiaTheme="minorEastAsia" w:hAnsi="Arial Narrow"/>
              </w:rPr>
            </w:pPr>
            <w:r w:rsidRPr="00C57ABA">
              <w:rPr>
                <w:rFonts w:ascii="Arial Narrow" w:eastAsiaTheme="minorEastAsia" w:hAnsi="Arial Narrow"/>
              </w:rPr>
              <w:t>Изпълнителна агенция по лозата и виното</w:t>
            </w:r>
          </w:p>
        </w:tc>
      </w:tr>
      <w:tr w:rsidR="00845719" w:rsidRPr="00C57ABA" w14:paraId="3EDBCB80" w14:textId="77777777" w:rsidTr="005B64EF">
        <w:trPr>
          <w:trHeight w:val="2"/>
        </w:trPr>
        <w:tc>
          <w:tcPr>
            <w:tcW w:w="1980" w:type="dxa"/>
            <w:shd w:val="clear" w:color="auto" w:fill="auto"/>
            <w:vAlign w:val="center"/>
            <w:hideMark/>
          </w:tcPr>
          <w:p w14:paraId="63AF3B64" w14:textId="77777777" w:rsidR="00845719" w:rsidRPr="00C57ABA" w:rsidRDefault="00845719" w:rsidP="00845719">
            <w:pPr>
              <w:rPr>
                <w:rFonts w:ascii="Arial Narrow" w:eastAsiaTheme="minorEastAsia" w:hAnsi="Arial Narrow"/>
              </w:rPr>
            </w:pPr>
            <w:r w:rsidRPr="00C57ABA">
              <w:rPr>
                <w:rFonts w:ascii="Arial Narrow" w:eastAsiaTheme="minorEastAsia" w:hAnsi="Arial Narrow"/>
              </w:rPr>
              <w:t>ИАРА</w:t>
            </w:r>
          </w:p>
        </w:tc>
        <w:tc>
          <w:tcPr>
            <w:tcW w:w="7796" w:type="dxa"/>
            <w:shd w:val="clear" w:color="auto" w:fill="auto"/>
            <w:vAlign w:val="center"/>
            <w:hideMark/>
          </w:tcPr>
          <w:p w14:paraId="54864A43" w14:textId="77777777" w:rsidR="00845719" w:rsidRPr="00C57ABA" w:rsidRDefault="00845719" w:rsidP="00845719">
            <w:pPr>
              <w:rPr>
                <w:rFonts w:ascii="Arial Narrow" w:eastAsiaTheme="minorEastAsia" w:hAnsi="Arial Narrow"/>
              </w:rPr>
            </w:pPr>
            <w:r w:rsidRPr="00C57ABA">
              <w:rPr>
                <w:rFonts w:ascii="Arial Narrow" w:eastAsiaTheme="minorEastAsia" w:hAnsi="Arial Narrow"/>
              </w:rPr>
              <w:t xml:space="preserve">Изпълнителна агенция по рибарство и аквакултури </w:t>
            </w:r>
          </w:p>
        </w:tc>
      </w:tr>
      <w:tr w:rsidR="00845719" w:rsidRPr="00C57ABA" w14:paraId="2D6048E5" w14:textId="77777777" w:rsidTr="005B64EF">
        <w:trPr>
          <w:trHeight w:val="2"/>
        </w:trPr>
        <w:tc>
          <w:tcPr>
            <w:tcW w:w="1980" w:type="dxa"/>
            <w:shd w:val="clear" w:color="auto" w:fill="auto"/>
            <w:vAlign w:val="center"/>
            <w:hideMark/>
          </w:tcPr>
          <w:p w14:paraId="111ABB34" w14:textId="77777777" w:rsidR="00845719" w:rsidRPr="00C57ABA" w:rsidRDefault="00845719" w:rsidP="00845719">
            <w:pPr>
              <w:rPr>
                <w:rFonts w:ascii="Arial Narrow" w:eastAsiaTheme="minorEastAsia" w:hAnsi="Arial Narrow"/>
              </w:rPr>
            </w:pPr>
            <w:r w:rsidRPr="00C57ABA">
              <w:rPr>
                <w:rFonts w:ascii="Arial Narrow" w:eastAsiaTheme="minorEastAsia" w:hAnsi="Arial Narrow"/>
              </w:rPr>
              <w:t>ИАСАС</w:t>
            </w:r>
          </w:p>
        </w:tc>
        <w:tc>
          <w:tcPr>
            <w:tcW w:w="7796" w:type="dxa"/>
            <w:shd w:val="clear" w:color="auto" w:fill="auto"/>
            <w:vAlign w:val="center"/>
            <w:hideMark/>
          </w:tcPr>
          <w:p w14:paraId="498C7B3A" w14:textId="77777777" w:rsidR="00845719" w:rsidRPr="00C57ABA" w:rsidRDefault="00845719" w:rsidP="00845719">
            <w:pPr>
              <w:rPr>
                <w:rFonts w:ascii="Arial Narrow" w:eastAsiaTheme="minorEastAsia" w:hAnsi="Arial Narrow"/>
              </w:rPr>
            </w:pPr>
            <w:r w:rsidRPr="00C57ABA">
              <w:rPr>
                <w:rFonts w:ascii="Arial Narrow" w:eastAsiaTheme="minorEastAsia" w:hAnsi="Arial Narrow"/>
              </w:rPr>
              <w:t xml:space="preserve">Изпълнителна агенция по сортоизпитване, апробация и семеконтрол </w:t>
            </w:r>
          </w:p>
        </w:tc>
      </w:tr>
      <w:tr w:rsidR="00845719" w:rsidRPr="00C57ABA" w14:paraId="20F60DB5" w14:textId="77777777" w:rsidTr="005B64EF">
        <w:trPr>
          <w:trHeight w:val="2"/>
        </w:trPr>
        <w:tc>
          <w:tcPr>
            <w:tcW w:w="1980" w:type="dxa"/>
            <w:shd w:val="clear" w:color="auto" w:fill="auto"/>
            <w:vAlign w:val="center"/>
            <w:hideMark/>
          </w:tcPr>
          <w:p w14:paraId="61D95773" w14:textId="77777777" w:rsidR="00845719" w:rsidRPr="00C57ABA" w:rsidRDefault="00845719" w:rsidP="00845719">
            <w:pPr>
              <w:rPr>
                <w:rFonts w:ascii="Arial Narrow" w:eastAsiaTheme="minorEastAsia" w:hAnsi="Arial Narrow"/>
              </w:rPr>
            </w:pPr>
            <w:r w:rsidRPr="00C57ABA">
              <w:rPr>
                <w:rFonts w:ascii="Arial Narrow" w:eastAsiaTheme="minorEastAsia" w:hAnsi="Arial Narrow"/>
              </w:rPr>
              <w:t>ИАСРЖ</w:t>
            </w:r>
          </w:p>
        </w:tc>
        <w:tc>
          <w:tcPr>
            <w:tcW w:w="7796" w:type="dxa"/>
            <w:shd w:val="clear" w:color="auto" w:fill="auto"/>
            <w:vAlign w:val="center"/>
            <w:hideMark/>
          </w:tcPr>
          <w:p w14:paraId="69FCC3F2" w14:textId="77777777" w:rsidR="00845719" w:rsidRPr="00C57ABA" w:rsidRDefault="00845719" w:rsidP="00845719">
            <w:pPr>
              <w:rPr>
                <w:rFonts w:ascii="Arial Narrow" w:eastAsiaTheme="minorEastAsia" w:hAnsi="Arial Narrow"/>
              </w:rPr>
            </w:pPr>
            <w:r w:rsidRPr="00C57ABA">
              <w:rPr>
                <w:rFonts w:ascii="Arial Narrow" w:eastAsiaTheme="minorEastAsia" w:hAnsi="Arial Narrow"/>
              </w:rPr>
              <w:t xml:space="preserve">Изпълнителна агенция по селекция и репродукция в животновъдството </w:t>
            </w:r>
          </w:p>
        </w:tc>
      </w:tr>
      <w:tr w:rsidR="00845719" w:rsidRPr="00C57ABA" w14:paraId="33891EE4" w14:textId="77777777" w:rsidTr="005B64EF">
        <w:trPr>
          <w:trHeight w:val="2"/>
        </w:trPr>
        <w:tc>
          <w:tcPr>
            <w:tcW w:w="1980" w:type="dxa"/>
            <w:shd w:val="clear" w:color="auto" w:fill="auto"/>
            <w:vAlign w:val="center"/>
          </w:tcPr>
          <w:p w14:paraId="1A7896B9" w14:textId="77777777" w:rsidR="00845719" w:rsidRPr="00C57ABA" w:rsidRDefault="00845719" w:rsidP="00845719">
            <w:pPr>
              <w:rPr>
                <w:rFonts w:ascii="Arial Narrow" w:eastAsiaTheme="minorEastAsia" w:hAnsi="Arial Narrow"/>
              </w:rPr>
            </w:pPr>
            <w:r w:rsidRPr="00C57ABA">
              <w:rPr>
                <w:rFonts w:ascii="Arial Narrow" w:hAnsi="Arial Narrow"/>
              </w:rPr>
              <w:t>ИЗ-ДККП</w:t>
            </w:r>
          </w:p>
        </w:tc>
        <w:tc>
          <w:tcPr>
            <w:tcW w:w="7796" w:type="dxa"/>
            <w:shd w:val="clear" w:color="auto" w:fill="auto"/>
            <w:vAlign w:val="center"/>
          </w:tcPr>
          <w:p w14:paraId="1F3AF301" w14:textId="77777777" w:rsidR="00845719" w:rsidRPr="00C57ABA" w:rsidRDefault="00845719" w:rsidP="00845719">
            <w:pPr>
              <w:overflowPunct w:val="0"/>
              <w:autoSpaceDE w:val="0"/>
              <w:autoSpaceDN w:val="0"/>
              <w:adjustRightInd w:val="0"/>
              <w:textAlignment w:val="baseline"/>
              <w:rPr>
                <w:rFonts w:ascii="Arial Narrow" w:hAnsi="Arial Narrow"/>
              </w:rPr>
            </w:pPr>
            <w:r w:rsidRPr="00C57ABA">
              <w:rPr>
                <w:rFonts w:ascii="Arial Narrow" w:hAnsi="Arial Narrow"/>
              </w:rPr>
              <w:t>Обвързано с производството подпомагане на доходите за зеленчуци (домати, краставици, корнишони и патладжани)</w:t>
            </w:r>
          </w:p>
        </w:tc>
      </w:tr>
      <w:tr w:rsidR="00845719" w:rsidRPr="00C57ABA" w14:paraId="48F7B287" w14:textId="77777777" w:rsidTr="005B64EF">
        <w:trPr>
          <w:trHeight w:val="2"/>
        </w:trPr>
        <w:tc>
          <w:tcPr>
            <w:tcW w:w="1980" w:type="dxa"/>
            <w:shd w:val="clear" w:color="auto" w:fill="auto"/>
            <w:vAlign w:val="center"/>
          </w:tcPr>
          <w:p w14:paraId="2E72ED24" w14:textId="77777777" w:rsidR="00845719" w:rsidRPr="00C57ABA" w:rsidRDefault="00845719" w:rsidP="00845719">
            <w:pPr>
              <w:rPr>
                <w:rFonts w:ascii="Arial Narrow" w:eastAsiaTheme="minorEastAsia" w:hAnsi="Arial Narrow"/>
              </w:rPr>
            </w:pPr>
            <w:r w:rsidRPr="00C57ABA">
              <w:rPr>
                <w:rFonts w:ascii="Arial Narrow" w:eastAsiaTheme="minorEastAsia" w:hAnsi="Arial Narrow"/>
              </w:rPr>
              <w:t>ИЗ-КЛЧ</w:t>
            </w:r>
          </w:p>
        </w:tc>
        <w:tc>
          <w:tcPr>
            <w:tcW w:w="7796" w:type="dxa"/>
            <w:shd w:val="clear" w:color="auto" w:fill="auto"/>
            <w:vAlign w:val="center"/>
          </w:tcPr>
          <w:p w14:paraId="0A004F87" w14:textId="77777777" w:rsidR="00845719" w:rsidRPr="00C57ABA" w:rsidRDefault="00845719" w:rsidP="00845719">
            <w:pPr>
              <w:rPr>
                <w:rFonts w:ascii="Arial Narrow" w:eastAsiaTheme="minorEastAsia" w:hAnsi="Arial Narrow"/>
              </w:rPr>
            </w:pPr>
            <w:r w:rsidRPr="00C57ABA">
              <w:rPr>
                <w:rFonts w:ascii="Arial Narrow" w:eastAsiaTheme="minorEastAsia" w:hAnsi="Arial Narrow"/>
              </w:rPr>
              <w:t>Обвързано с производството подпомагане на доходите за зеленчуци (лук и чесън) и картофи за нишесте</w:t>
            </w:r>
          </w:p>
        </w:tc>
      </w:tr>
      <w:tr w:rsidR="00845719" w:rsidRPr="00C57ABA" w14:paraId="027D693B" w14:textId="77777777" w:rsidTr="005B64EF">
        <w:trPr>
          <w:trHeight w:val="2"/>
        </w:trPr>
        <w:tc>
          <w:tcPr>
            <w:tcW w:w="1980" w:type="dxa"/>
            <w:shd w:val="clear" w:color="auto" w:fill="auto"/>
            <w:vAlign w:val="center"/>
          </w:tcPr>
          <w:p w14:paraId="6188BFA1" w14:textId="77777777" w:rsidR="00845719" w:rsidRPr="00C57ABA" w:rsidRDefault="00845719" w:rsidP="00845719">
            <w:pPr>
              <w:rPr>
                <w:rFonts w:ascii="Arial Narrow" w:eastAsiaTheme="minorEastAsia" w:hAnsi="Arial Narrow"/>
              </w:rPr>
            </w:pPr>
            <w:r w:rsidRPr="00C57ABA">
              <w:rPr>
                <w:rFonts w:ascii="Arial Narrow" w:hAnsi="Arial Narrow"/>
              </w:rPr>
              <w:t>ИЗ-МЗДП</w:t>
            </w:r>
          </w:p>
        </w:tc>
        <w:tc>
          <w:tcPr>
            <w:tcW w:w="7796" w:type="dxa"/>
            <w:shd w:val="clear" w:color="auto" w:fill="auto"/>
            <w:vAlign w:val="center"/>
          </w:tcPr>
          <w:p w14:paraId="562C747B" w14:textId="77777777" w:rsidR="00845719" w:rsidRPr="00C57ABA" w:rsidRDefault="00845719" w:rsidP="00845719">
            <w:pPr>
              <w:overflowPunct w:val="0"/>
              <w:autoSpaceDE w:val="0"/>
              <w:autoSpaceDN w:val="0"/>
              <w:adjustRightInd w:val="0"/>
              <w:textAlignment w:val="baseline"/>
              <w:rPr>
                <w:rFonts w:ascii="Arial Narrow" w:hAnsi="Arial Narrow"/>
              </w:rPr>
            </w:pPr>
            <w:r w:rsidRPr="00C57ABA">
              <w:rPr>
                <w:rFonts w:ascii="Arial Narrow" w:hAnsi="Arial Narrow"/>
              </w:rPr>
              <w:t>Обвързано с производството подпомагане на доходите за зеленчуци (моркови, зеле, дини и пъпеши)</w:t>
            </w:r>
          </w:p>
        </w:tc>
      </w:tr>
      <w:tr w:rsidR="00845719" w:rsidRPr="00C57ABA" w14:paraId="08BD584D" w14:textId="77777777" w:rsidTr="005B64EF">
        <w:trPr>
          <w:trHeight w:val="2"/>
        </w:trPr>
        <w:tc>
          <w:tcPr>
            <w:tcW w:w="1980" w:type="dxa"/>
            <w:shd w:val="clear" w:color="auto" w:fill="auto"/>
            <w:vAlign w:val="center"/>
          </w:tcPr>
          <w:p w14:paraId="203AA80B" w14:textId="77777777" w:rsidR="00845719" w:rsidRPr="00C57ABA" w:rsidRDefault="00845719" w:rsidP="00845719">
            <w:pPr>
              <w:rPr>
                <w:rFonts w:ascii="Arial Narrow" w:eastAsiaTheme="minorEastAsia" w:hAnsi="Arial Narrow"/>
              </w:rPr>
            </w:pPr>
            <w:r w:rsidRPr="00C57ABA">
              <w:rPr>
                <w:rFonts w:ascii="Arial Narrow" w:eastAsiaTheme="minorEastAsia" w:hAnsi="Arial Narrow"/>
              </w:rPr>
              <w:t>ИОП</w:t>
            </w:r>
          </w:p>
        </w:tc>
        <w:tc>
          <w:tcPr>
            <w:tcW w:w="7796" w:type="dxa"/>
            <w:shd w:val="clear" w:color="auto" w:fill="auto"/>
            <w:vAlign w:val="center"/>
          </w:tcPr>
          <w:p w14:paraId="054D7CE7" w14:textId="77777777" w:rsidR="00845719" w:rsidRPr="00C57ABA" w:rsidRDefault="00845719" w:rsidP="00845719">
            <w:pPr>
              <w:rPr>
                <w:rFonts w:ascii="Arial Narrow" w:eastAsiaTheme="minorEastAsia" w:hAnsi="Arial Narrow"/>
              </w:rPr>
            </w:pPr>
            <w:r w:rsidRPr="00C57ABA">
              <w:rPr>
                <w:rFonts w:ascii="Arial Narrow" w:eastAsiaTheme="minorEastAsia" w:hAnsi="Arial Narrow"/>
              </w:rPr>
              <w:t>Обвързано с производството подпомагане на доходите за оранжерийно производство</w:t>
            </w:r>
          </w:p>
        </w:tc>
      </w:tr>
      <w:tr w:rsidR="00845719" w:rsidRPr="00C57ABA" w14:paraId="48D0A8C9" w14:textId="77777777" w:rsidTr="005B64EF">
        <w:trPr>
          <w:trHeight w:val="2"/>
        </w:trPr>
        <w:tc>
          <w:tcPr>
            <w:tcW w:w="1980" w:type="dxa"/>
            <w:shd w:val="clear" w:color="auto" w:fill="auto"/>
            <w:vAlign w:val="center"/>
          </w:tcPr>
          <w:p w14:paraId="62F14628" w14:textId="77777777" w:rsidR="00845719" w:rsidRPr="00C57ABA" w:rsidRDefault="00845719" w:rsidP="00845719">
            <w:pPr>
              <w:rPr>
                <w:rFonts w:ascii="Arial Narrow" w:eastAsiaTheme="minorEastAsia" w:hAnsi="Arial Narrow"/>
              </w:rPr>
            </w:pPr>
            <w:r w:rsidRPr="00C57ABA">
              <w:rPr>
                <w:rFonts w:ascii="Arial Narrow" w:eastAsiaTheme="minorEastAsia" w:hAnsi="Arial Narrow"/>
              </w:rPr>
              <w:t>ИЗ-П</w:t>
            </w:r>
          </w:p>
        </w:tc>
        <w:tc>
          <w:tcPr>
            <w:tcW w:w="7796" w:type="dxa"/>
            <w:shd w:val="clear" w:color="auto" w:fill="auto"/>
            <w:vAlign w:val="center"/>
          </w:tcPr>
          <w:p w14:paraId="5D1D519C" w14:textId="77777777" w:rsidR="00845719" w:rsidRPr="00C57ABA" w:rsidRDefault="00845719" w:rsidP="00845719">
            <w:pPr>
              <w:rPr>
                <w:rFonts w:ascii="Arial Narrow" w:eastAsiaTheme="minorEastAsia" w:hAnsi="Arial Narrow"/>
              </w:rPr>
            </w:pPr>
            <w:r w:rsidRPr="00C57ABA">
              <w:rPr>
                <w:rFonts w:ascii="Arial Narrow" w:eastAsiaTheme="minorEastAsia" w:hAnsi="Arial Narrow"/>
              </w:rPr>
              <w:t>Обвързано с производството подпомагане на доходите за зеленчуци (пипер)</w:t>
            </w:r>
          </w:p>
        </w:tc>
      </w:tr>
      <w:tr w:rsidR="00845719" w:rsidRPr="00C57ABA" w14:paraId="32292C9B" w14:textId="77777777" w:rsidTr="005B64EF">
        <w:trPr>
          <w:trHeight w:val="2"/>
        </w:trPr>
        <w:tc>
          <w:tcPr>
            <w:tcW w:w="1980" w:type="dxa"/>
            <w:shd w:val="clear" w:color="auto" w:fill="auto"/>
            <w:vAlign w:val="center"/>
            <w:hideMark/>
          </w:tcPr>
          <w:p w14:paraId="07E7FC11" w14:textId="77777777" w:rsidR="00845719" w:rsidRPr="00C57ABA" w:rsidRDefault="00845719" w:rsidP="00845719">
            <w:pPr>
              <w:rPr>
                <w:rFonts w:ascii="Arial Narrow" w:eastAsiaTheme="minorEastAsia" w:hAnsi="Arial Narrow"/>
              </w:rPr>
            </w:pPr>
            <w:r w:rsidRPr="00C57ABA">
              <w:rPr>
                <w:rFonts w:ascii="Arial Narrow" w:eastAsiaTheme="minorEastAsia" w:hAnsi="Arial Narrow"/>
              </w:rPr>
              <w:t>ИЗП</w:t>
            </w:r>
          </w:p>
        </w:tc>
        <w:tc>
          <w:tcPr>
            <w:tcW w:w="7796" w:type="dxa"/>
            <w:shd w:val="clear" w:color="auto" w:fill="auto"/>
            <w:vAlign w:val="center"/>
            <w:hideMark/>
          </w:tcPr>
          <w:p w14:paraId="69BDD1DE" w14:textId="77777777" w:rsidR="00845719" w:rsidRPr="00C57ABA" w:rsidRDefault="00845719" w:rsidP="00845719">
            <w:pPr>
              <w:rPr>
                <w:rFonts w:ascii="Arial Narrow" w:eastAsiaTheme="minorEastAsia" w:hAnsi="Arial Narrow"/>
              </w:rPr>
            </w:pPr>
            <w:r w:rsidRPr="00C57ABA">
              <w:rPr>
                <w:rFonts w:ascii="Arial Narrow" w:eastAsiaTheme="minorEastAsia" w:hAnsi="Arial Narrow"/>
              </w:rPr>
              <w:t>Използвана земеделска площ</w:t>
            </w:r>
          </w:p>
        </w:tc>
      </w:tr>
      <w:tr w:rsidR="00845719" w:rsidRPr="00C57ABA" w14:paraId="67BD96BD" w14:textId="77777777" w:rsidTr="005B64EF">
        <w:trPr>
          <w:trHeight w:val="2"/>
        </w:trPr>
        <w:tc>
          <w:tcPr>
            <w:tcW w:w="1980" w:type="dxa"/>
            <w:shd w:val="clear" w:color="auto" w:fill="auto"/>
            <w:vAlign w:val="center"/>
          </w:tcPr>
          <w:p w14:paraId="70A112EB" w14:textId="77777777" w:rsidR="00845719" w:rsidRPr="00C57ABA" w:rsidRDefault="00845719" w:rsidP="00845719">
            <w:pPr>
              <w:rPr>
                <w:rFonts w:ascii="Arial Narrow" w:eastAsiaTheme="minorEastAsia" w:hAnsi="Arial Narrow"/>
              </w:rPr>
            </w:pPr>
            <w:r w:rsidRPr="00C57ABA">
              <w:rPr>
                <w:rFonts w:ascii="Arial Narrow" w:eastAsiaTheme="minorEastAsia" w:hAnsi="Arial Narrow"/>
              </w:rPr>
              <w:t>ИЗП-пл</w:t>
            </w:r>
          </w:p>
        </w:tc>
        <w:tc>
          <w:tcPr>
            <w:tcW w:w="7796" w:type="dxa"/>
            <w:shd w:val="clear" w:color="auto" w:fill="auto"/>
            <w:vAlign w:val="center"/>
          </w:tcPr>
          <w:p w14:paraId="6E5FAEB0" w14:textId="77777777" w:rsidR="00845719" w:rsidRPr="00C57ABA" w:rsidRDefault="00845719" w:rsidP="00845719">
            <w:pPr>
              <w:rPr>
                <w:rFonts w:ascii="Arial Narrow" w:eastAsiaTheme="minorEastAsia" w:hAnsi="Arial Narrow"/>
              </w:rPr>
            </w:pPr>
            <w:r w:rsidRPr="00C57ABA">
              <w:rPr>
                <w:rFonts w:ascii="Arial Narrow" w:eastAsiaTheme="minorEastAsia" w:hAnsi="Arial Narrow"/>
              </w:rPr>
              <w:t xml:space="preserve">Обвързано с производството подпомагане на доходите за плодове и зеленчуци в планинските райони </w:t>
            </w:r>
          </w:p>
        </w:tc>
      </w:tr>
      <w:tr w:rsidR="00845719" w:rsidRPr="00C57ABA" w14:paraId="728235F7" w14:textId="77777777" w:rsidTr="005B64EF">
        <w:trPr>
          <w:trHeight w:val="2"/>
        </w:trPr>
        <w:tc>
          <w:tcPr>
            <w:tcW w:w="1980" w:type="dxa"/>
            <w:shd w:val="clear" w:color="auto" w:fill="auto"/>
            <w:noWrap/>
            <w:vAlign w:val="center"/>
            <w:hideMark/>
          </w:tcPr>
          <w:p w14:paraId="6F4CB3CA" w14:textId="77777777" w:rsidR="00845719" w:rsidRPr="00C57ABA" w:rsidRDefault="00845719" w:rsidP="00845719">
            <w:pPr>
              <w:rPr>
                <w:rFonts w:ascii="Arial Narrow" w:eastAsiaTheme="minorEastAsia" w:hAnsi="Arial Narrow"/>
              </w:rPr>
            </w:pPr>
            <w:r w:rsidRPr="00C57ABA">
              <w:rPr>
                <w:rFonts w:ascii="Arial Narrow" w:eastAsiaTheme="minorEastAsia" w:hAnsi="Arial Narrow"/>
              </w:rPr>
              <w:t>ИИС</w:t>
            </w:r>
          </w:p>
        </w:tc>
        <w:tc>
          <w:tcPr>
            <w:tcW w:w="7796" w:type="dxa"/>
            <w:shd w:val="clear" w:color="auto" w:fill="auto"/>
            <w:noWrap/>
            <w:vAlign w:val="center"/>
            <w:hideMark/>
          </w:tcPr>
          <w:p w14:paraId="6C9A3222" w14:textId="77777777" w:rsidR="00845719" w:rsidRPr="00C57ABA" w:rsidRDefault="00845719" w:rsidP="00845719">
            <w:pPr>
              <w:rPr>
                <w:rFonts w:ascii="Arial Narrow" w:eastAsiaTheme="minorEastAsia" w:hAnsi="Arial Narrow"/>
              </w:rPr>
            </w:pPr>
            <w:r w:rsidRPr="00C57ABA">
              <w:rPr>
                <w:rFonts w:ascii="Arial Narrow" w:eastAsiaTheme="minorEastAsia" w:hAnsi="Arial Narrow"/>
              </w:rPr>
              <w:t>Интегрирана информационна система на БАБХ</w:t>
            </w:r>
          </w:p>
        </w:tc>
      </w:tr>
      <w:tr w:rsidR="00845719" w:rsidRPr="00C57ABA" w14:paraId="1DF62013" w14:textId="77777777" w:rsidTr="005B64EF">
        <w:trPr>
          <w:trHeight w:val="2"/>
        </w:trPr>
        <w:tc>
          <w:tcPr>
            <w:tcW w:w="1980" w:type="dxa"/>
            <w:shd w:val="clear" w:color="auto" w:fill="auto"/>
            <w:vAlign w:val="center"/>
          </w:tcPr>
          <w:p w14:paraId="085D2910" w14:textId="77777777" w:rsidR="00845719" w:rsidRPr="00C57ABA" w:rsidRDefault="00845719" w:rsidP="00845719">
            <w:pPr>
              <w:rPr>
                <w:rFonts w:ascii="Arial Narrow" w:eastAsiaTheme="minorEastAsia" w:hAnsi="Arial Narrow"/>
              </w:rPr>
            </w:pPr>
            <w:r w:rsidRPr="00C57ABA">
              <w:rPr>
                <w:rFonts w:ascii="Arial Narrow" w:hAnsi="Arial Narrow"/>
              </w:rPr>
              <w:t>ИП</w:t>
            </w:r>
          </w:p>
        </w:tc>
        <w:tc>
          <w:tcPr>
            <w:tcW w:w="7796" w:type="dxa"/>
            <w:shd w:val="clear" w:color="auto" w:fill="auto"/>
            <w:vAlign w:val="center"/>
          </w:tcPr>
          <w:p w14:paraId="78FD06AD" w14:textId="77777777" w:rsidR="00845719" w:rsidRPr="00C57ABA" w:rsidRDefault="00845719" w:rsidP="00845719">
            <w:pPr>
              <w:overflowPunct w:val="0"/>
              <w:autoSpaceDE w:val="0"/>
              <w:autoSpaceDN w:val="0"/>
              <w:adjustRightInd w:val="0"/>
              <w:textAlignment w:val="baseline"/>
              <w:rPr>
                <w:rFonts w:ascii="Arial Narrow" w:hAnsi="Arial Narrow"/>
              </w:rPr>
            </w:pPr>
            <w:r w:rsidRPr="00C57ABA">
              <w:rPr>
                <w:rFonts w:ascii="Arial Narrow" w:hAnsi="Arial Narrow"/>
              </w:rPr>
              <w:t>Обвързано с производството подпомагане на доходите за плодове</w:t>
            </w:r>
          </w:p>
        </w:tc>
      </w:tr>
      <w:tr w:rsidR="00845719" w:rsidRPr="00C57ABA" w14:paraId="525ABC38" w14:textId="77777777" w:rsidTr="005B64EF">
        <w:trPr>
          <w:trHeight w:val="2"/>
        </w:trPr>
        <w:tc>
          <w:tcPr>
            <w:tcW w:w="1980" w:type="dxa"/>
            <w:shd w:val="clear" w:color="auto" w:fill="auto"/>
            <w:vAlign w:val="center"/>
          </w:tcPr>
          <w:p w14:paraId="06392AE2" w14:textId="77777777" w:rsidR="00845719" w:rsidRPr="00C57ABA" w:rsidRDefault="00845719" w:rsidP="00845719">
            <w:pPr>
              <w:rPr>
                <w:rFonts w:ascii="Arial Narrow" w:eastAsiaTheme="minorEastAsia" w:hAnsi="Arial Narrow"/>
              </w:rPr>
            </w:pPr>
            <w:r w:rsidRPr="00C57ABA">
              <w:rPr>
                <w:rFonts w:ascii="Arial Narrow" w:hAnsi="Arial Narrow"/>
              </w:rPr>
              <w:t>ИП-Н</w:t>
            </w:r>
          </w:p>
        </w:tc>
        <w:tc>
          <w:tcPr>
            <w:tcW w:w="7796" w:type="dxa"/>
            <w:shd w:val="clear" w:color="auto" w:fill="auto"/>
            <w:vAlign w:val="center"/>
          </w:tcPr>
          <w:p w14:paraId="5A2ED97F" w14:textId="77777777" w:rsidR="00845719" w:rsidRPr="00C57ABA" w:rsidRDefault="00845719" w:rsidP="00845719">
            <w:pPr>
              <w:overflowPunct w:val="0"/>
              <w:autoSpaceDE w:val="0"/>
              <w:autoSpaceDN w:val="0"/>
              <w:adjustRightInd w:val="0"/>
              <w:textAlignment w:val="baseline"/>
              <w:rPr>
                <w:rFonts w:ascii="Arial Narrow" w:hAnsi="Arial Narrow"/>
              </w:rPr>
            </w:pPr>
            <w:r w:rsidRPr="00C57ABA">
              <w:rPr>
                <w:rFonts w:ascii="Arial Narrow" w:hAnsi="Arial Narrow"/>
              </w:rPr>
              <w:t>Обвързано с производството подпомагане на доходите за плодови насаждения до встъпването им в плододаване</w:t>
            </w:r>
          </w:p>
        </w:tc>
      </w:tr>
      <w:tr w:rsidR="00845719" w:rsidRPr="00C57ABA" w14:paraId="3FD20CC0" w14:textId="77777777" w:rsidTr="005B64EF">
        <w:trPr>
          <w:trHeight w:val="2"/>
        </w:trPr>
        <w:tc>
          <w:tcPr>
            <w:tcW w:w="1980" w:type="dxa"/>
            <w:shd w:val="clear" w:color="auto" w:fill="auto"/>
            <w:vAlign w:val="center"/>
            <w:hideMark/>
          </w:tcPr>
          <w:p w14:paraId="7DF39D70" w14:textId="77777777" w:rsidR="00845719" w:rsidRPr="00C57ABA" w:rsidRDefault="00845719" w:rsidP="00845719">
            <w:pPr>
              <w:rPr>
                <w:rFonts w:ascii="Arial Narrow" w:eastAsiaTheme="minorEastAsia" w:hAnsi="Arial Narrow"/>
              </w:rPr>
            </w:pPr>
            <w:r w:rsidRPr="00C57ABA">
              <w:rPr>
                <w:rFonts w:ascii="Arial Narrow" w:eastAsiaTheme="minorEastAsia" w:hAnsi="Arial Narrow"/>
              </w:rPr>
              <w:t>ИСАК</w:t>
            </w:r>
          </w:p>
        </w:tc>
        <w:tc>
          <w:tcPr>
            <w:tcW w:w="7796" w:type="dxa"/>
            <w:shd w:val="clear" w:color="auto" w:fill="auto"/>
            <w:vAlign w:val="center"/>
            <w:hideMark/>
          </w:tcPr>
          <w:p w14:paraId="05EBBD83" w14:textId="77777777" w:rsidR="00845719" w:rsidRPr="00C57ABA" w:rsidRDefault="00845719" w:rsidP="00845719">
            <w:pPr>
              <w:rPr>
                <w:rFonts w:ascii="Arial Narrow" w:eastAsiaTheme="minorEastAsia" w:hAnsi="Arial Narrow"/>
              </w:rPr>
            </w:pPr>
            <w:r w:rsidRPr="00C57ABA">
              <w:rPr>
                <w:rFonts w:ascii="Arial Narrow" w:eastAsiaTheme="minorEastAsia" w:hAnsi="Arial Narrow"/>
              </w:rPr>
              <w:t xml:space="preserve">Интегрирана система за администриране и контрол </w:t>
            </w:r>
          </w:p>
        </w:tc>
      </w:tr>
      <w:tr w:rsidR="00845719" w:rsidRPr="00C57ABA" w14:paraId="5E34E1BF" w14:textId="77777777" w:rsidTr="005B64EF">
        <w:trPr>
          <w:trHeight w:val="2"/>
        </w:trPr>
        <w:tc>
          <w:tcPr>
            <w:tcW w:w="1980" w:type="dxa"/>
            <w:shd w:val="clear" w:color="auto" w:fill="auto"/>
            <w:vAlign w:val="center"/>
          </w:tcPr>
          <w:p w14:paraId="78400A7F" w14:textId="77777777" w:rsidR="00845719" w:rsidRPr="00C57ABA" w:rsidRDefault="00845719" w:rsidP="00845719">
            <w:pPr>
              <w:rPr>
                <w:rFonts w:ascii="Arial Narrow" w:eastAsiaTheme="minorEastAsia" w:hAnsi="Arial Narrow"/>
              </w:rPr>
            </w:pPr>
            <w:r w:rsidRPr="00C57ABA">
              <w:rPr>
                <w:rFonts w:ascii="Arial Narrow" w:eastAsiaTheme="minorEastAsia" w:hAnsi="Arial Narrow"/>
              </w:rPr>
              <w:t>ИПК</w:t>
            </w:r>
          </w:p>
        </w:tc>
        <w:tc>
          <w:tcPr>
            <w:tcW w:w="7796" w:type="dxa"/>
            <w:shd w:val="clear" w:color="auto" w:fill="auto"/>
            <w:vAlign w:val="center"/>
          </w:tcPr>
          <w:p w14:paraId="4BDFA7CB" w14:textId="77777777" w:rsidR="00845719" w:rsidRPr="00C57ABA" w:rsidRDefault="00845719" w:rsidP="00845719">
            <w:pPr>
              <w:rPr>
                <w:rFonts w:ascii="Arial Narrow" w:eastAsiaTheme="minorEastAsia" w:hAnsi="Arial Narrow"/>
              </w:rPr>
            </w:pPr>
            <w:r w:rsidRPr="00C57ABA">
              <w:rPr>
                <w:rFonts w:ascii="Arial Narrow" w:eastAsiaTheme="minorEastAsia" w:hAnsi="Arial Narrow"/>
              </w:rPr>
              <w:t>Обвързано с производството подпомагане на доходите за протеинови култури</w:t>
            </w:r>
          </w:p>
        </w:tc>
      </w:tr>
      <w:tr w:rsidR="006A05D6" w:rsidRPr="00C57ABA" w14:paraId="4FC71662" w14:textId="77777777" w:rsidTr="005B64EF">
        <w:trPr>
          <w:trHeight w:val="2"/>
        </w:trPr>
        <w:tc>
          <w:tcPr>
            <w:tcW w:w="1980" w:type="dxa"/>
            <w:shd w:val="clear" w:color="auto" w:fill="auto"/>
            <w:vAlign w:val="center"/>
          </w:tcPr>
          <w:p w14:paraId="2DC555C6" w14:textId="77777777" w:rsidR="006A05D6" w:rsidRPr="00CD44F3" w:rsidRDefault="006A05D6" w:rsidP="00845719">
            <w:pPr>
              <w:rPr>
                <w:rFonts w:ascii="Arial Narrow" w:eastAsiaTheme="minorEastAsia" w:hAnsi="Arial Narrow"/>
                <w:lang w:val="bg-BG"/>
              </w:rPr>
            </w:pPr>
            <w:r>
              <w:rPr>
                <w:rFonts w:ascii="Arial Narrow" w:eastAsiaTheme="minorEastAsia" w:hAnsi="Arial Narrow"/>
                <w:lang w:val="bg-BG"/>
              </w:rPr>
              <w:t>ИПЦ</w:t>
            </w:r>
          </w:p>
        </w:tc>
        <w:tc>
          <w:tcPr>
            <w:tcW w:w="7796" w:type="dxa"/>
            <w:shd w:val="clear" w:color="auto" w:fill="auto"/>
            <w:vAlign w:val="center"/>
          </w:tcPr>
          <w:p w14:paraId="06784A4D" w14:textId="77777777" w:rsidR="006A05D6" w:rsidRPr="00CD44F3" w:rsidRDefault="006A05D6" w:rsidP="00845719">
            <w:pPr>
              <w:rPr>
                <w:rFonts w:ascii="Arial Narrow" w:eastAsiaTheme="minorEastAsia" w:hAnsi="Arial Narrow"/>
                <w:lang w:val="bg-BG"/>
              </w:rPr>
            </w:pPr>
            <w:r>
              <w:rPr>
                <w:rFonts w:ascii="Arial Narrow" w:eastAsiaTheme="minorEastAsia" w:hAnsi="Arial Narrow"/>
                <w:lang w:val="bg-BG"/>
              </w:rPr>
              <w:t>Индекс на потребителските цени</w:t>
            </w:r>
          </w:p>
        </w:tc>
      </w:tr>
      <w:tr w:rsidR="00845719" w:rsidRPr="00C57ABA" w14:paraId="3659C850" w14:textId="77777777" w:rsidTr="005B64EF">
        <w:trPr>
          <w:trHeight w:val="2"/>
        </w:trPr>
        <w:tc>
          <w:tcPr>
            <w:tcW w:w="1980" w:type="dxa"/>
            <w:shd w:val="clear" w:color="auto" w:fill="auto"/>
            <w:vAlign w:val="center"/>
          </w:tcPr>
          <w:p w14:paraId="23B2801A" w14:textId="77777777" w:rsidR="00845719" w:rsidRPr="00C57ABA" w:rsidRDefault="00845719" w:rsidP="00845719">
            <w:pPr>
              <w:rPr>
                <w:rFonts w:ascii="Arial Narrow" w:eastAsiaTheme="minorEastAsia" w:hAnsi="Arial Narrow"/>
              </w:rPr>
            </w:pPr>
            <w:r w:rsidRPr="00C57ABA">
              <w:rPr>
                <w:rFonts w:ascii="Arial Narrow" w:eastAsiaTheme="minorEastAsia" w:hAnsi="Arial Narrow"/>
              </w:rPr>
              <w:lastRenderedPageBreak/>
              <w:t>ИСУН 2020</w:t>
            </w:r>
          </w:p>
        </w:tc>
        <w:tc>
          <w:tcPr>
            <w:tcW w:w="7796" w:type="dxa"/>
            <w:shd w:val="clear" w:color="auto" w:fill="auto"/>
            <w:vAlign w:val="center"/>
          </w:tcPr>
          <w:p w14:paraId="11E91866" w14:textId="77777777" w:rsidR="00845719" w:rsidRPr="00C57ABA" w:rsidRDefault="00845719" w:rsidP="00845719">
            <w:pPr>
              <w:rPr>
                <w:rFonts w:ascii="Arial Narrow" w:eastAsiaTheme="minorEastAsia" w:hAnsi="Arial Narrow"/>
              </w:rPr>
            </w:pPr>
            <w:r w:rsidRPr="00C57ABA">
              <w:rPr>
                <w:rFonts w:ascii="Arial Narrow" w:eastAsiaTheme="minorEastAsia" w:hAnsi="Arial Narrow"/>
              </w:rPr>
              <w:t xml:space="preserve">Информационна система за управление и наблюдение на средствата </w:t>
            </w:r>
            <w:r w:rsidRPr="00B735CA">
              <w:rPr>
                <w:rFonts w:ascii="Arial Narrow" w:eastAsiaTheme="minorEastAsia" w:hAnsi="Arial Narrow"/>
              </w:rPr>
              <w:t>от ЕС в</w:t>
            </w:r>
            <w:r>
              <w:rPr>
                <w:rFonts w:ascii="Arial Narrow" w:eastAsiaTheme="minorEastAsia" w:hAnsi="Arial Narrow"/>
              </w:rPr>
              <w:t xml:space="preserve"> </w:t>
            </w:r>
            <w:r w:rsidRPr="00C57ABA">
              <w:rPr>
                <w:rFonts w:ascii="Arial Narrow" w:eastAsiaTheme="minorEastAsia" w:hAnsi="Arial Narrow"/>
              </w:rPr>
              <w:t>България 2020</w:t>
            </w:r>
          </w:p>
        </w:tc>
      </w:tr>
      <w:tr w:rsidR="00845719" w:rsidRPr="00C57ABA" w14:paraId="0DC2B7CA" w14:textId="77777777" w:rsidTr="005B64EF">
        <w:trPr>
          <w:trHeight w:val="2"/>
        </w:trPr>
        <w:tc>
          <w:tcPr>
            <w:tcW w:w="1980" w:type="dxa"/>
            <w:shd w:val="clear" w:color="auto" w:fill="auto"/>
            <w:vAlign w:val="center"/>
          </w:tcPr>
          <w:p w14:paraId="2D6674F0" w14:textId="77777777" w:rsidR="00845719" w:rsidRPr="00C57ABA" w:rsidRDefault="00845719" w:rsidP="00845719">
            <w:pPr>
              <w:rPr>
                <w:rFonts w:ascii="Arial Narrow" w:eastAsiaTheme="minorEastAsia" w:hAnsi="Arial Narrow"/>
              </w:rPr>
            </w:pPr>
            <w:r w:rsidRPr="00C57ABA">
              <w:rPr>
                <w:rFonts w:ascii="Arial Narrow" w:eastAsiaTheme="minorEastAsia" w:hAnsi="Arial Narrow"/>
              </w:rPr>
              <w:t>К-ЗП</w:t>
            </w:r>
          </w:p>
        </w:tc>
        <w:tc>
          <w:tcPr>
            <w:tcW w:w="7796" w:type="dxa"/>
            <w:shd w:val="clear" w:color="auto" w:fill="auto"/>
            <w:vAlign w:val="center"/>
          </w:tcPr>
          <w:p w14:paraId="4EA0E6CA" w14:textId="77777777" w:rsidR="00845719" w:rsidRPr="00C57ABA" w:rsidRDefault="00845719" w:rsidP="00845719">
            <w:pPr>
              <w:rPr>
                <w:rFonts w:ascii="Arial Narrow" w:eastAsiaTheme="minorEastAsia" w:hAnsi="Arial Narrow"/>
              </w:rPr>
            </w:pPr>
            <w:r w:rsidRPr="00C57ABA">
              <w:rPr>
                <w:rFonts w:ascii="Arial Narrow" w:eastAsiaTheme="minorEastAsia" w:hAnsi="Arial Narrow"/>
              </w:rPr>
              <w:t xml:space="preserve">Обвързано с производството подпомагане за крави от застрашени от изчезване породи </w:t>
            </w:r>
          </w:p>
        </w:tc>
      </w:tr>
      <w:tr w:rsidR="00845719" w:rsidRPr="00C57ABA" w14:paraId="7552524E" w14:textId="77777777" w:rsidTr="005B64EF">
        <w:trPr>
          <w:trHeight w:val="2"/>
        </w:trPr>
        <w:tc>
          <w:tcPr>
            <w:tcW w:w="1980" w:type="dxa"/>
            <w:shd w:val="clear" w:color="auto" w:fill="auto"/>
            <w:vAlign w:val="center"/>
            <w:hideMark/>
          </w:tcPr>
          <w:p w14:paraId="02118326" w14:textId="77777777" w:rsidR="00845719" w:rsidRPr="00C57ABA" w:rsidRDefault="00845719" w:rsidP="00845719">
            <w:pPr>
              <w:rPr>
                <w:rFonts w:ascii="Arial Narrow" w:eastAsiaTheme="minorEastAsia" w:hAnsi="Arial Narrow"/>
              </w:rPr>
            </w:pPr>
            <w:r w:rsidRPr="00C57ABA">
              <w:rPr>
                <w:rFonts w:ascii="Arial Narrow" w:eastAsiaTheme="minorEastAsia" w:hAnsi="Arial Narrow"/>
              </w:rPr>
              <w:t>КАТ</w:t>
            </w:r>
          </w:p>
        </w:tc>
        <w:tc>
          <w:tcPr>
            <w:tcW w:w="7796" w:type="dxa"/>
            <w:shd w:val="clear" w:color="auto" w:fill="auto"/>
            <w:vAlign w:val="center"/>
            <w:hideMark/>
          </w:tcPr>
          <w:p w14:paraId="74E0F635" w14:textId="77777777" w:rsidR="00845719" w:rsidRPr="00C57ABA" w:rsidRDefault="00845719" w:rsidP="00845719">
            <w:pPr>
              <w:rPr>
                <w:rFonts w:ascii="Arial Narrow" w:eastAsiaTheme="minorEastAsia" w:hAnsi="Arial Narrow"/>
              </w:rPr>
            </w:pPr>
            <w:r w:rsidRPr="00C57ABA">
              <w:rPr>
                <w:rFonts w:ascii="Arial Narrow" w:eastAsiaTheme="minorEastAsia" w:hAnsi="Arial Narrow"/>
              </w:rPr>
              <w:t>Контрол на автомобилния транспорт</w:t>
            </w:r>
          </w:p>
        </w:tc>
      </w:tr>
      <w:tr w:rsidR="00845719" w:rsidRPr="00C57ABA" w14:paraId="2412F4F9" w14:textId="77777777" w:rsidTr="005B64EF">
        <w:trPr>
          <w:trHeight w:val="2"/>
        </w:trPr>
        <w:tc>
          <w:tcPr>
            <w:tcW w:w="1980" w:type="dxa"/>
            <w:shd w:val="clear" w:color="auto" w:fill="auto"/>
            <w:vAlign w:val="center"/>
          </w:tcPr>
          <w:p w14:paraId="722C5F43" w14:textId="77777777" w:rsidR="00845719" w:rsidRPr="00C57ABA" w:rsidRDefault="00845719" w:rsidP="00845719">
            <w:pPr>
              <w:rPr>
                <w:rFonts w:ascii="Arial Narrow" w:eastAsiaTheme="minorEastAsia" w:hAnsi="Arial Narrow"/>
              </w:rPr>
            </w:pPr>
            <w:r w:rsidRPr="00C57ABA">
              <w:rPr>
                <w:rFonts w:ascii="Arial Narrow" w:eastAsiaTheme="minorEastAsia" w:hAnsi="Arial Narrow"/>
              </w:rPr>
              <w:t>КП</w:t>
            </w:r>
          </w:p>
        </w:tc>
        <w:tc>
          <w:tcPr>
            <w:tcW w:w="7796" w:type="dxa"/>
            <w:shd w:val="clear" w:color="auto" w:fill="auto"/>
            <w:vAlign w:val="center"/>
          </w:tcPr>
          <w:p w14:paraId="2B4F80F5" w14:textId="77777777" w:rsidR="00845719" w:rsidRPr="00C57ABA" w:rsidRDefault="00845719" w:rsidP="00845719">
            <w:pPr>
              <w:rPr>
                <w:rFonts w:ascii="Arial Narrow" w:eastAsiaTheme="minorEastAsia" w:hAnsi="Arial Narrow"/>
              </w:rPr>
            </w:pPr>
            <w:r w:rsidRPr="00C57ABA">
              <w:rPr>
                <w:rFonts w:ascii="Arial Narrow" w:eastAsiaTheme="minorEastAsia" w:hAnsi="Arial Narrow"/>
              </w:rPr>
              <w:t>Консултантски пакети</w:t>
            </w:r>
          </w:p>
        </w:tc>
      </w:tr>
      <w:tr w:rsidR="00845719" w:rsidRPr="00C57ABA" w14:paraId="26D8C464" w14:textId="77777777" w:rsidTr="005B64EF">
        <w:trPr>
          <w:trHeight w:val="144"/>
        </w:trPr>
        <w:tc>
          <w:tcPr>
            <w:tcW w:w="1980" w:type="dxa"/>
            <w:shd w:val="clear" w:color="auto" w:fill="auto"/>
            <w:vAlign w:val="center"/>
          </w:tcPr>
          <w:p w14:paraId="064CB041" w14:textId="77777777" w:rsidR="00845719" w:rsidRPr="00C57ABA" w:rsidRDefault="00845719" w:rsidP="00845719">
            <w:pPr>
              <w:rPr>
                <w:rFonts w:ascii="Arial Narrow" w:eastAsiaTheme="minorEastAsia" w:hAnsi="Arial Narrow"/>
              </w:rPr>
            </w:pPr>
            <w:r w:rsidRPr="00C57ABA">
              <w:rPr>
                <w:rFonts w:ascii="Arial Narrow" w:eastAsiaTheme="minorEastAsia" w:hAnsi="Arial Narrow"/>
              </w:rPr>
              <w:t>КН</w:t>
            </w:r>
          </w:p>
        </w:tc>
        <w:tc>
          <w:tcPr>
            <w:tcW w:w="7796" w:type="dxa"/>
            <w:shd w:val="clear" w:color="auto" w:fill="auto"/>
            <w:vAlign w:val="center"/>
          </w:tcPr>
          <w:p w14:paraId="47125F24" w14:textId="77777777" w:rsidR="00845719" w:rsidRPr="00C57ABA" w:rsidRDefault="00845719" w:rsidP="00845719">
            <w:pPr>
              <w:rPr>
                <w:rFonts w:ascii="Arial Narrow" w:eastAsiaTheme="minorEastAsia" w:hAnsi="Arial Narrow"/>
              </w:rPr>
            </w:pPr>
            <w:r w:rsidRPr="00C57ABA">
              <w:rPr>
                <w:rFonts w:ascii="Arial Narrow" w:eastAsiaTheme="minorEastAsia" w:hAnsi="Arial Narrow"/>
              </w:rPr>
              <w:t>Комбинирана номенклатура</w:t>
            </w:r>
          </w:p>
        </w:tc>
      </w:tr>
      <w:tr w:rsidR="00845719" w:rsidRPr="00C57ABA" w14:paraId="356FF3E2" w14:textId="77777777" w:rsidTr="005B64EF">
        <w:trPr>
          <w:trHeight w:val="2"/>
        </w:trPr>
        <w:tc>
          <w:tcPr>
            <w:tcW w:w="1980" w:type="dxa"/>
            <w:shd w:val="clear" w:color="auto" w:fill="auto"/>
            <w:vAlign w:val="center"/>
          </w:tcPr>
          <w:p w14:paraId="64F301C6" w14:textId="77777777" w:rsidR="00845719" w:rsidRPr="00C57ABA" w:rsidRDefault="00845719" w:rsidP="00845719">
            <w:pPr>
              <w:rPr>
                <w:rFonts w:ascii="Arial Narrow" w:eastAsiaTheme="minorEastAsia" w:hAnsi="Arial Narrow"/>
              </w:rPr>
            </w:pPr>
            <w:r w:rsidRPr="00C57ABA">
              <w:rPr>
                <w:rFonts w:ascii="Arial Narrow" w:eastAsiaTheme="minorEastAsia" w:hAnsi="Arial Narrow"/>
              </w:rPr>
              <w:t xml:space="preserve">КН на ПРСР 2014-2020 г. </w:t>
            </w:r>
          </w:p>
        </w:tc>
        <w:tc>
          <w:tcPr>
            <w:tcW w:w="7796" w:type="dxa"/>
            <w:shd w:val="clear" w:color="auto" w:fill="auto"/>
            <w:vAlign w:val="center"/>
          </w:tcPr>
          <w:p w14:paraId="5997F3C7" w14:textId="77777777" w:rsidR="00845719" w:rsidRPr="00C57ABA" w:rsidRDefault="00845719" w:rsidP="00845719">
            <w:pPr>
              <w:rPr>
                <w:rFonts w:ascii="Arial Narrow" w:eastAsiaTheme="minorEastAsia" w:hAnsi="Arial Narrow"/>
              </w:rPr>
            </w:pPr>
            <w:r w:rsidRPr="00C57ABA">
              <w:rPr>
                <w:rFonts w:ascii="Arial Narrow" w:eastAsiaTheme="minorEastAsia" w:hAnsi="Arial Narrow"/>
              </w:rPr>
              <w:t>Комитет за наблюдение на Програмата за развитие на селските райони 2014-2020 г.</w:t>
            </w:r>
          </w:p>
        </w:tc>
      </w:tr>
      <w:tr w:rsidR="00845719" w:rsidRPr="00C57ABA" w14:paraId="7550AD4A" w14:textId="77777777" w:rsidTr="005B64EF">
        <w:trPr>
          <w:trHeight w:val="2"/>
        </w:trPr>
        <w:tc>
          <w:tcPr>
            <w:tcW w:w="1980" w:type="dxa"/>
            <w:shd w:val="clear" w:color="auto" w:fill="auto"/>
            <w:vAlign w:val="center"/>
            <w:hideMark/>
          </w:tcPr>
          <w:p w14:paraId="22EBEFBB" w14:textId="77777777" w:rsidR="00845719" w:rsidRPr="00C57ABA" w:rsidRDefault="00845719" w:rsidP="00845719">
            <w:pPr>
              <w:rPr>
                <w:rFonts w:ascii="Arial Narrow" w:eastAsiaTheme="minorEastAsia" w:hAnsi="Arial Narrow"/>
              </w:rPr>
            </w:pPr>
            <w:r w:rsidRPr="00C57ABA">
              <w:rPr>
                <w:rFonts w:ascii="Arial Narrow" w:eastAsiaTheme="minorEastAsia" w:hAnsi="Arial Narrow"/>
              </w:rPr>
              <w:t>МВР</w:t>
            </w:r>
          </w:p>
        </w:tc>
        <w:tc>
          <w:tcPr>
            <w:tcW w:w="7796" w:type="dxa"/>
            <w:shd w:val="clear" w:color="auto" w:fill="auto"/>
            <w:vAlign w:val="center"/>
            <w:hideMark/>
          </w:tcPr>
          <w:p w14:paraId="5058AF7A" w14:textId="77777777" w:rsidR="00845719" w:rsidRPr="00C57ABA" w:rsidRDefault="00845719" w:rsidP="00845719">
            <w:pPr>
              <w:rPr>
                <w:rFonts w:ascii="Arial Narrow" w:eastAsiaTheme="minorEastAsia" w:hAnsi="Arial Narrow"/>
              </w:rPr>
            </w:pPr>
            <w:r w:rsidRPr="00C57ABA">
              <w:rPr>
                <w:rFonts w:ascii="Arial Narrow" w:eastAsiaTheme="minorEastAsia" w:hAnsi="Arial Narrow"/>
              </w:rPr>
              <w:t>Министерство на вътрешните работи</w:t>
            </w:r>
          </w:p>
        </w:tc>
      </w:tr>
      <w:tr w:rsidR="00845719" w:rsidRPr="00C57ABA" w14:paraId="10C9C7FC" w14:textId="77777777" w:rsidTr="005B64EF">
        <w:trPr>
          <w:trHeight w:val="2"/>
        </w:trPr>
        <w:tc>
          <w:tcPr>
            <w:tcW w:w="1980" w:type="dxa"/>
            <w:shd w:val="clear" w:color="auto" w:fill="auto"/>
            <w:noWrap/>
            <w:vAlign w:val="center"/>
          </w:tcPr>
          <w:p w14:paraId="3314E526" w14:textId="77777777" w:rsidR="00845719" w:rsidRPr="00C57ABA" w:rsidRDefault="00845719" w:rsidP="00845719">
            <w:pPr>
              <w:rPr>
                <w:rFonts w:ascii="Arial Narrow" w:eastAsiaTheme="minorEastAsia" w:hAnsi="Arial Narrow"/>
              </w:rPr>
            </w:pPr>
            <w:r w:rsidRPr="00C57ABA">
              <w:rPr>
                <w:rFonts w:ascii="Arial Narrow" w:eastAsiaTheme="minorEastAsia" w:hAnsi="Arial Narrow"/>
              </w:rPr>
              <w:t>МВУ</w:t>
            </w:r>
          </w:p>
        </w:tc>
        <w:tc>
          <w:tcPr>
            <w:tcW w:w="7796" w:type="dxa"/>
            <w:shd w:val="clear" w:color="auto" w:fill="auto"/>
            <w:noWrap/>
            <w:vAlign w:val="center"/>
          </w:tcPr>
          <w:p w14:paraId="43A7A09F" w14:textId="77777777" w:rsidR="00845719" w:rsidRPr="00C57ABA" w:rsidRDefault="00845719" w:rsidP="00845719">
            <w:pPr>
              <w:rPr>
                <w:rFonts w:ascii="Arial Narrow" w:eastAsiaTheme="minorEastAsia" w:hAnsi="Arial Narrow"/>
              </w:rPr>
            </w:pPr>
            <w:r w:rsidRPr="00C57ABA">
              <w:rPr>
                <w:rFonts w:ascii="Arial Narrow" w:eastAsiaTheme="minorEastAsia" w:hAnsi="Arial Narrow"/>
              </w:rPr>
              <w:t>Механизъм за възстановяване и устойчивост</w:t>
            </w:r>
          </w:p>
        </w:tc>
      </w:tr>
      <w:tr w:rsidR="00845719" w:rsidRPr="00C57ABA" w14:paraId="09511067" w14:textId="77777777" w:rsidTr="005B64EF">
        <w:trPr>
          <w:trHeight w:val="2"/>
        </w:trPr>
        <w:tc>
          <w:tcPr>
            <w:tcW w:w="1980" w:type="dxa"/>
            <w:shd w:val="clear" w:color="auto" w:fill="auto"/>
            <w:noWrap/>
            <w:vAlign w:val="center"/>
            <w:hideMark/>
          </w:tcPr>
          <w:p w14:paraId="2809C852" w14:textId="77777777" w:rsidR="00845719" w:rsidRPr="00F61C4B" w:rsidRDefault="00845719" w:rsidP="00845719">
            <w:pPr>
              <w:rPr>
                <w:rFonts w:ascii="Arial Narrow" w:eastAsiaTheme="minorEastAsia" w:hAnsi="Arial Narrow"/>
                <w:highlight w:val="yellow"/>
              </w:rPr>
            </w:pPr>
            <w:r w:rsidRPr="005B64EF">
              <w:rPr>
                <w:rFonts w:ascii="Arial Narrow" w:eastAsiaTheme="minorEastAsia" w:hAnsi="Arial Narrow"/>
              </w:rPr>
              <w:t>МЗС</w:t>
            </w:r>
          </w:p>
        </w:tc>
        <w:tc>
          <w:tcPr>
            <w:tcW w:w="7796" w:type="dxa"/>
            <w:shd w:val="clear" w:color="auto" w:fill="auto"/>
            <w:noWrap/>
            <w:vAlign w:val="center"/>
            <w:hideMark/>
          </w:tcPr>
          <w:p w14:paraId="1A56A6FE" w14:textId="77777777" w:rsidR="00845719" w:rsidRPr="00C57ABA" w:rsidRDefault="00845719" w:rsidP="00845719">
            <w:pPr>
              <w:rPr>
                <w:rFonts w:ascii="Arial Narrow" w:eastAsiaTheme="minorEastAsia" w:hAnsi="Arial Narrow"/>
              </w:rPr>
            </w:pPr>
            <w:r w:rsidRPr="00C57ABA">
              <w:rPr>
                <w:rFonts w:ascii="Arial Narrow" w:eastAsiaTheme="minorEastAsia" w:hAnsi="Arial Narrow"/>
              </w:rPr>
              <w:t>Допълнително подпомагане на доходите за млади земеделски стопани</w:t>
            </w:r>
          </w:p>
        </w:tc>
      </w:tr>
      <w:tr w:rsidR="00845719" w:rsidRPr="00C57ABA" w14:paraId="4082F0B3" w14:textId="77777777" w:rsidTr="005B64EF">
        <w:trPr>
          <w:trHeight w:val="2"/>
        </w:trPr>
        <w:tc>
          <w:tcPr>
            <w:tcW w:w="1980" w:type="dxa"/>
            <w:shd w:val="clear" w:color="auto" w:fill="auto"/>
            <w:noWrap/>
            <w:vAlign w:val="center"/>
          </w:tcPr>
          <w:p w14:paraId="05EF06C1" w14:textId="77777777" w:rsidR="00845719" w:rsidRPr="00C57ABA" w:rsidRDefault="00845719" w:rsidP="00845719">
            <w:pPr>
              <w:rPr>
                <w:rFonts w:ascii="Arial Narrow" w:eastAsiaTheme="minorEastAsia" w:hAnsi="Arial Narrow"/>
              </w:rPr>
            </w:pPr>
            <w:r w:rsidRPr="00C57ABA">
              <w:rPr>
                <w:rFonts w:ascii="Arial Narrow" w:hAnsi="Arial Narrow"/>
              </w:rPr>
              <w:t>МеК</w:t>
            </w:r>
          </w:p>
        </w:tc>
        <w:tc>
          <w:tcPr>
            <w:tcW w:w="7796" w:type="dxa"/>
            <w:shd w:val="clear" w:color="auto" w:fill="auto"/>
            <w:noWrap/>
            <w:vAlign w:val="center"/>
          </w:tcPr>
          <w:p w14:paraId="3DE2CA98" w14:textId="77777777" w:rsidR="00845719" w:rsidRPr="00C57ABA" w:rsidRDefault="00845719" w:rsidP="00845719">
            <w:pPr>
              <w:overflowPunct w:val="0"/>
              <w:autoSpaceDE w:val="0"/>
              <w:autoSpaceDN w:val="0"/>
              <w:adjustRightInd w:val="0"/>
              <w:textAlignment w:val="baseline"/>
              <w:rPr>
                <w:rFonts w:ascii="Arial Narrow" w:hAnsi="Arial Narrow"/>
              </w:rPr>
            </w:pPr>
            <w:r w:rsidRPr="00C57ABA">
              <w:rPr>
                <w:rFonts w:ascii="Arial Narrow" w:hAnsi="Arial Narrow"/>
              </w:rPr>
              <w:t xml:space="preserve">Обвързано с производството подпомагане за месодайни крави </w:t>
            </w:r>
          </w:p>
        </w:tc>
      </w:tr>
      <w:tr w:rsidR="00845719" w:rsidRPr="00C57ABA" w14:paraId="04744138" w14:textId="77777777" w:rsidTr="005B64EF">
        <w:trPr>
          <w:trHeight w:val="2"/>
        </w:trPr>
        <w:tc>
          <w:tcPr>
            <w:tcW w:w="1980" w:type="dxa"/>
            <w:shd w:val="clear" w:color="auto" w:fill="auto"/>
            <w:noWrap/>
            <w:vAlign w:val="center"/>
          </w:tcPr>
          <w:p w14:paraId="7A58E7CD" w14:textId="77777777" w:rsidR="00845719" w:rsidRPr="00C57ABA" w:rsidRDefault="00845719" w:rsidP="00845719">
            <w:pPr>
              <w:rPr>
                <w:rFonts w:ascii="Arial Narrow" w:eastAsiaTheme="minorEastAsia" w:hAnsi="Arial Narrow"/>
              </w:rPr>
            </w:pPr>
            <w:r w:rsidRPr="00C57ABA">
              <w:rPr>
                <w:rFonts w:ascii="Arial Narrow" w:hAnsi="Arial Narrow"/>
              </w:rPr>
              <w:t>МеК-РП</w:t>
            </w:r>
          </w:p>
        </w:tc>
        <w:tc>
          <w:tcPr>
            <w:tcW w:w="7796" w:type="dxa"/>
            <w:shd w:val="clear" w:color="auto" w:fill="auto"/>
            <w:noWrap/>
            <w:vAlign w:val="center"/>
          </w:tcPr>
          <w:p w14:paraId="3FC1AF70" w14:textId="77777777" w:rsidR="00845719" w:rsidRPr="00C57ABA" w:rsidRDefault="00845719" w:rsidP="00845719">
            <w:pPr>
              <w:overflowPunct w:val="0"/>
              <w:autoSpaceDE w:val="0"/>
              <w:autoSpaceDN w:val="0"/>
              <w:adjustRightInd w:val="0"/>
              <w:textAlignment w:val="baseline"/>
              <w:rPr>
                <w:rFonts w:ascii="Arial Narrow" w:hAnsi="Arial Narrow"/>
              </w:rPr>
            </w:pPr>
            <w:r w:rsidRPr="00C57ABA">
              <w:rPr>
                <w:rFonts w:ascii="Arial Narrow" w:hAnsi="Arial Narrow"/>
              </w:rPr>
              <w:t xml:space="preserve">Обвързано с производството подпомагане за месодайни крави, включени в развъдни програми </w:t>
            </w:r>
          </w:p>
        </w:tc>
      </w:tr>
      <w:tr w:rsidR="00845719" w:rsidRPr="00C57ABA" w14:paraId="2B099EF2" w14:textId="77777777" w:rsidTr="005B64EF">
        <w:trPr>
          <w:trHeight w:val="2"/>
        </w:trPr>
        <w:tc>
          <w:tcPr>
            <w:tcW w:w="1980" w:type="dxa"/>
            <w:shd w:val="clear" w:color="auto" w:fill="auto"/>
            <w:noWrap/>
            <w:vAlign w:val="center"/>
          </w:tcPr>
          <w:p w14:paraId="7AF6B989" w14:textId="77777777" w:rsidR="00845719" w:rsidRPr="00C57ABA" w:rsidRDefault="00845719" w:rsidP="00845719">
            <w:pPr>
              <w:rPr>
                <w:rFonts w:ascii="Arial Narrow" w:eastAsiaTheme="minorEastAsia" w:hAnsi="Arial Narrow"/>
              </w:rPr>
            </w:pPr>
            <w:r w:rsidRPr="00C57ABA">
              <w:rPr>
                <w:rFonts w:ascii="Arial Narrow" w:eastAsiaTheme="minorEastAsia" w:hAnsi="Arial Narrow"/>
              </w:rPr>
              <w:t>МЛК</w:t>
            </w:r>
          </w:p>
        </w:tc>
        <w:tc>
          <w:tcPr>
            <w:tcW w:w="7796" w:type="dxa"/>
            <w:shd w:val="clear" w:color="auto" w:fill="auto"/>
            <w:noWrap/>
            <w:vAlign w:val="center"/>
          </w:tcPr>
          <w:p w14:paraId="6638C5D0" w14:textId="77777777" w:rsidR="00845719" w:rsidRPr="00C57ABA" w:rsidRDefault="00845719" w:rsidP="00845719">
            <w:pPr>
              <w:overflowPunct w:val="0"/>
              <w:autoSpaceDE w:val="0"/>
              <w:autoSpaceDN w:val="0"/>
              <w:adjustRightInd w:val="0"/>
              <w:textAlignment w:val="baseline"/>
              <w:rPr>
                <w:rFonts w:ascii="Arial Narrow" w:eastAsiaTheme="minorEastAsia" w:hAnsi="Arial Narrow"/>
              </w:rPr>
            </w:pPr>
            <w:r w:rsidRPr="00C57ABA">
              <w:rPr>
                <w:rFonts w:ascii="Arial Narrow" w:hAnsi="Arial Narrow"/>
              </w:rPr>
              <w:t xml:space="preserve">Обвързано с производството подпомагане за млечни крави </w:t>
            </w:r>
          </w:p>
        </w:tc>
      </w:tr>
      <w:tr w:rsidR="00845719" w:rsidRPr="00C57ABA" w14:paraId="6DBE5ABA" w14:textId="77777777" w:rsidTr="005B64EF">
        <w:trPr>
          <w:trHeight w:val="2"/>
        </w:trPr>
        <w:tc>
          <w:tcPr>
            <w:tcW w:w="1980" w:type="dxa"/>
            <w:shd w:val="clear" w:color="auto" w:fill="auto"/>
            <w:noWrap/>
            <w:vAlign w:val="center"/>
          </w:tcPr>
          <w:p w14:paraId="2B237059" w14:textId="77777777" w:rsidR="00845719" w:rsidRPr="00C57ABA" w:rsidRDefault="00845719" w:rsidP="00845719">
            <w:pPr>
              <w:rPr>
                <w:rFonts w:ascii="Arial Narrow" w:eastAsiaTheme="minorEastAsia" w:hAnsi="Arial Narrow"/>
              </w:rPr>
            </w:pPr>
            <w:r w:rsidRPr="00C57ABA">
              <w:rPr>
                <w:rFonts w:ascii="Arial Narrow" w:hAnsi="Arial Narrow"/>
              </w:rPr>
              <w:t>МлК-РП</w:t>
            </w:r>
          </w:p>
        </w:tc>
        <w:tc>
          <w:tcPr>
            <w:tcW w:w="7796" w:type="dxa"/>
            <w:shd w:val="clear" w:color="auto" w:fill="auto"/>
            <w:noWrap/>
            <w:vAlign w:val="center"/>
          </w:tcPr>
          <w:p w14:paraId="0999D649" w14:textId="77777777" w:rsidR="00845719" w:rsidRPr="00C57ABA" w:rsidRDefault="00845719" w:rsidP="00845719">
            <w:pPr>
              <w:overflowPunct w:val="0"/>
              <w:autoSpaceDE w:val="0"/>
              <w:autoSpaceDN w:val="0"/>
              <w:adjustRightInd w:val="0"/>
              <w:textAlignment w:val="baseline"/>
              <w:rPr>
                <w:rFonts w:ascii="Arial Narrow" w:hAnsi="Arial Narrow"/>
              </w:rPr>
            </w:pPr>
            <w:r w:rsidRPr="00C57ABA">
              <w:rPr>
                <w:rFonts w:ascii="Arial Narrow" w:hAnsi="Arial Narrow"/>
              </w:rPr>
              <w:t xml:space="preserve">Обвързано с производството подпомагане за млечни крави, включени в развъдни програми </w:t>
            </w:r>
          </w:p>
        </w:tc>
      </w:tr>
      <w:tr w:rsidR="00845719" w:rsidRPr="00C57ABA" w14:paraId="30B9D9C9" w14:textId="77777777" w:rsidTr="005B64EF">
        <w:trPr>
          <w:trHeight w:val="2"/>
        </w:trPr>
        <w:tc>
          <w:tcPr>
            <w:tcW w:w="1980" w:type="dxa"/>
            <w:shd w:val="clear" w:color="auto" w:fill="auto"/>
            <w:vAlign w:val="center"/>
            <w:hideMark/>
          </w:tcPr>
          <w:p w14:paraId="3AAB71DB" w14:textId="77777777" w:rsidR="00845719" w:rsidRPr="00C57ABA" w:rsidRDefault="00845719" w:rsidP="00845719">
            <w:pPr>
              <w:rPr>
                <w:rFonts w:ascii="Arial Narrow" w:eastAsiaTheme="minorEastAsia" w:hAnsi="Arial Narrow"/>
              </w:rPr>
            </w:pPr>
            <w:r w:rsidRPr="00C57ABA">
              <w:rPr>
                <w:rFonts w:ascii="Arial Narrow" w:eastAsiaTheme="minorEastAsia" w:hAnsi="Arial Narrow"/>
              </w:rPr>
              <w:t>МЗХ</w:t>
            </w:r>
          </w:p>
        </w:tc>
        <w:tc>
          <w:tcPr>
            <w:tcW w:w="7796" w:type="dxa"/>
            <w:shd w:val="clear" w:color="auto" w:fill="auto"/>
            <w:vAlign w:val="center"/>
            <w:hideMark/>
          </w:tcPr>
          <w:p w14:paraId="5E3BA1C5" w14:textId="77777777" w:rsidR="00845719" w:rsidRPr="00C57ABA" w:rsidRDefault="00845719" w:rsidP="00845719">
            <w:pPr>
              <w:rPr>
                <w:rFonts w:ascii="Arial Narrow" w:eastAsiaTheme="minorEastAsia" w:hAnsi="Arial Narrow"/>
              </w:rPr>
            </w:pPr>
            <w:r w:rsidRPr="00C57ABA">
              <w:rPr>
                <w:rFonts w:ascii="Arial Narrow" w:eastAsiaTheme="minorEastAsia" w:hAnsi="Arial Narrow"/>
              </w:rPr>
              <w:t>Министерство на земеделието и храните</w:t>
            </w:r>
          </w:p>
        </w:tc>
      </w:tr>
      <w:tr w:rsidR="00845719" w:rsidRPr="00C57ABA" w14:paraId="1448D28A" w14:textId="77777777" w:rsidTr="005B64EF">
        <w:trPr>
          <w:trHeight w:val="2"/>
        </w:trPr>
        <w:tc>
          <w:tcPr>
            <w:tcW w:w="1980" w:type="dxa"/>
            <w:shd w:val="clear" w:color="auto" w:fill="auto"/>
            <w:vAlign w:val="center"/>
            <w:hideMark/>
          </w:tcPr>
          <w:p w14:paraId="64E4B7FA" w14:textId="77777777" w:rsidR="00845719" w:rsidRPr="00C57ABA" w:rsidRDefault="00845719" w:rsidP="00845719">
            <w:pPr>
              <w:rPr>
                <w:rFonts w:ascii="Arial Narrow" w:eastAsiaTheme="minorEastAsia" w:hAnsi="Arial Narrow"/>
              </w:rPr>
            </w:pPr>
            <w:r w:rsidRPr="00C57ABA">
              <w:rPr>
                <w:rFonts w:ascii="Arial Narrow" w:eastAsiaTheme="minorEastAsia" w:hAnsi="Arial Narrow"/>
              </w:rPr>
              <w:t>МИГ</w:t>
            </w:r>
          </w:p>
        </w:tc>
        <w:tc>
          <w:tcPr>
            <w:tcW w:w="7796" w:type="dxa"/>
            <w:shd w:val="clear" w:color="auto" w:fill="auto"/>
            <w:vAlign w:val="center"/>
            <w:hideMark/>
          </w:tcPr>
          <w:p w14:paraId="3572E85C" w14:textId="77777777" w:rsidR="00845719" w:rsidRPr="00C57ABA" w:rsidRDefault="00845719" w:rsidP="00845719">
            <w:pPr>
              <w:rPr>
                <w:rFonts w:ascii="Arial Narrow" w:eastAsiaTheme="minorEastAsia" w:hAnsi="Arial Narrow"/>
              </w:rPr>
            </w:pPr>
            <w:r w:rsidRPr="00C57ABA">
              <w:rPr>
                <w:rFonts w:ascii="Arial Narrow" w:eastAsiaTheme="minorEastAsia" w:hAnsi="Arial Narrow"/>
              </w:rPr>
              <w:t>Местни инициативни групи</w:t>
            </w:r>
          </w:p>
        </w:tc>
      </w:tr>
      <w:tr w:rsidR="00845719" w:rsidRPr="00C57ABA" w14:paraId="7F3FC8FE" w14:textId="77777777" w:rsidTr="005B64EF">
        <w:trPr>
          <w:trHeight w:val="2"/>
        </w:trPr>
        <w:tc>
          <w:tcPr>
            <w:tcW w:w="1980" w:type="dxa"/>
            <w:shd w:val="clear" w:color="auto" w:fill="auto"/>
            <w:vAlign w:val="center"/>
            <w:hideMark/>
          </w:tcPr>
          <w:p w14:paraId="48C1A5B0" w14:textId="77777777" w:rsidR="00845719" w:rsidRPr="00C57ABA" w:rsidRDefault="00845719" w:rsidP="00845719">
            <w:pPr>
              <w:rPr>
                <w:rFonts w:ascii="Arial Narrow" w:eastAsiaTheme="minorEastAsia" w:hAnsi="Arial Narrow"/>
              </w:rPr>
            </w:pPr>
            <w:r w:rsidRPr="00C57ABA">
              <w:rPr>
                <w:rFonts w:ascii="Arial Narrow" w:eastAsiaTheme="minorEastAsia" w:hAnsi="Arial Narrow"/>
              </w:rPr>
              <w:t>МИРГ</w:t>
            </w:r>
          </w:p>
        </w:tc>
        <w:tc>
          <w:tcPr>
            <w:tcW w:w="7796" w:type="dxa"/>
            <w:shd w:val="clear" w:color="auto" w:fill="auto"/>
            <w:vAlign w:val="center"/>
            <w:hideMark/>
          </w:tcPr>
          <w:p w14:paraId="47FE3B8F" w14:textId="77777777" w:rsidR="00845719" w:rsidRPr="00C57ABA" w:rsidRDefault="00845719" w:rsidP="00845719">
            <w:pPr>
              <w:rPr>
                <w:rFonts w:ascii="Arial Narrow" w:eastAsiaTheme="minorEastAsia" w:hAnsi="Arial Narrow"/>
              </w:rPr>
            </w:pPr>
            <w:r w:rsidRPr="00C57ABA">
              <w:rPr>
                <w:rFonts w:ascii="Arial Narrow" w:eastAsiaTheme="minorEastAsia" w:hAnsi="Arial Narrow"/>
              </w:rPr>
              <w:t>Местни инициативни рибарски групи</w:t>
            </w:r>
          </w:p>
        </w:tc>
      </w:tr>
      <w:tr w:rsidR="00845719" w:rsidRPr="00C57ABA" w14:paraId="5B2A9EB0" w14:textId="77777777" w:rsidTr="005B64EF">
        <w:trPr>
          <w:trHeight w:val="2"/>
        </w:trPr>
        <w:tc>
          <w:tcPr>
            <w:tcW w:w="1980" w:type="dxa"/>
            <w:shd w:val="clear" w:color="auto" w:fill="auto"/>
            <w:vAlign w:val="center"/>
            <w:hideMark/>
          </w:tcPr>
          <w:p w14:paraId="4D0EB5A1" w14:textId="77777777" w:rsidR="00845719" w:rsidRPr="00C57ABA" w:rsidRDefault="00845719" w:rsidP="00845719">
            <w:pPr>
              <w:rPr>
                <w:rFonts w:ascii="Arial Narrow" w:eastAsiaTheme="minorEastAsia" w:hAnsi="Arial Narrow"/>
              </w:rPr>
            </w:pPr>
            <w:r w:rsidRPr="00C57ABA">
              <w:rPr>
                <w:rFonts w:ascii="Arial Narrow" w:eastAsiaTheme="minorEastAsia" w:hAnsi="Arial Narrow"/>
              </w:rPr>
              <w:t>МОСВ</w:t>
            </w:r>
          </w:p>
        </w:tc>
        <w:tc>
          <w:tcPr>
            <w:tcW w:w="7796" w:type="dxa"/>
            <w:shd w:val="clear" w:color="auto" w:fill="auto"/>
            <w:vAlign w:val="center"/>
            <w:hideMark/>
          </w:tcPr>
          <w:p w14:paraId="485AB6FB" w14:textId="77777777" w:rsidR="00845719" w:rsidRPr="00C57ABA" w:rsidRDefault="00845719" w:rsidP="00845719">
            <w:pPr>
              <w:rPr>
                <w:rFonts w:ascii="Arial Narrow" w:eastAsiaTheme="minorEastAsia" w:hAnsi="Arial Narrow"/>
              </w:rPr>
            </w:pPr>
            <w:r w:rsidRPr="00C57ABA">
              <w:rPr>
                <w:rFonts w:ascii="Arial Narrow" w:eastAsiaTheme="minorEastAsia" w:hAnsi="Arial Narrow"/>
              </w:rPr>
              <w:t>Министерство на околната среда и водите</w:t>
            </w:r>
          </w:p>
        </w:tc>
      </w:tr>
      <w:tr w:rsidR="00845719" w:rsidRPr="00C57ABA" w14:paraId="27D53EE0" w14:textId="77777777" w:rsidTr="005B64EF">
        <w:trPr>
          <w:trHeight w:val="2"/>
        </w:trPr>
        <w:tc>
          <w:tcPr>
            <w:tcW w:w="1980" w:type="dxa"/>
            <w:shd w:val="clear" w:color="auto" w:fill="auto"/>
            <w:vAlign w:val="center"/>
            <w:hideMark/>
          </w:tcPr>
          <w:p w14:paraId="0D16A82C" w14:textId="77777777" w:rsidR="00845719" w:rsidRPr="00C57ABA" w:rsidRDefault="00845719" w:rsidP="00845719">
            <w:pPr>
              <w:rPr>
                <w:rFonts w:ascii="Arial Narrow" w:eastAsiaTheme="minorEastAsia" w:hAnsi="Arial Narrow"/>
              </w:rPr>
            </w:pPr>
            <w:r w:rsidRPr="00C57ABA">
              <w:rPr>
                <w:rFonts w:ascii="Arial Narrow" w:eastAsiaTheme="minorEastAsia" w:hAnsi="Arial Narrow"/>
              </w:rPr>
              <w:t>НАП</w:t>
            </w:r>
          </w:p>
        </w:tc>
        <w:tc>
          <w:tcPr>
            <w:tcW w:w="7796" w:type="dxa"/>
            <w:shd w:val="clear" w:color="auto" w:fill="auto"/>
            <w:vAlign w:val="center"/>
            <w:hideMark/>
          </w:tcPr>
          <w:p w14:paraId="393E587B" w14:textId="77777777" w:rsidR="00845719" w:rsidRPr="00C57ABA" w:rsidRDefault="00845719" w:rsidP="00845719">
            <w:pPr>
              <w:rPr>
                <w:rFonts w:ascii="Arial Narrow" w:eastAsiaTheme="minorEastAsia" w:hAnsi="Arial Narrow"/>
              </w:rPr>
            </w:pPr>
            <w:r w:rsidRPr="00C57ABA">
              <w:rPr>
                <w:rFonts w:ascii="Arial Narrow" w:eastAsiaTheme="minorEastAsia" w:hAnsi="Arial Narrow"/>
              </w:rPr>
              <w:t>Национална агенция за приходите</w:t>
            </w:r>
          </w:p>
        </w:tc>
      </w:tr>
      <w:tr w:rsidR="00845719" w:rsidRPr="00C57ABA" w14:paraId="65A349C1" w14:textId="77777777" w:rsidTr="005B64EF">
        <w:trPr>
          <w:trHeight w:val="2"/>
        </w:trPr>
        <w:tc>
          <w:tcPr>
            <w:tcW w:w="1980" w:type="dxa"/>
            <w:shd w:val="clear" w:color="auto" w:fill="auto"/>
            <w:vAlign w:val="center"/>
            <w:hideMark/>
          </w:tcPr>
          <w:p w14:paraId="3AD9E933" w14:textId="77777777" w:rsidR="00845719" w:rsidRPr="00C57ABA" w:rsidRDefault="00845719" w:rsidP="00845719">
            <w:pPr>
              <w:rPr>
                <w:rFonts w:ascii="Arial Narrow" w:eastAsiaTheme="minorEastAsia" w:hAnsi="Arial Narrow"/>
              </w:rPr>
            </w:pPr>
            <w:r w:rsidRPr="00C57ABA">
              <w:rPr>
                <w:rFonts w:ascii="Arial Narrow" w:eastAsiaTheme="minorEastAsia" w:hAnsi="Arial Narrow"/>
              </w:rPr>
              <w:t>НАССР</w:t>
            </w:r>
          </w:p>
        </w:tc>
        <w:tc>
          <w:tcPr>
            <w:tcW w:w="7796" w:type="dxa"/>
            <w:shd w:val="clear" w:color="auto" w:fill="auto"/>
            <w:vAlign w:val="center"/>
            <w:hideMark/>
          </w:tcPr>
          <w:p w14:paraId="54D40A7D" w14:textId="77777777" w:rsidR="00845719" w:rsidRPr="00C57ABA" w:rsidRDefault="00845719" w:rsidP="00845719">
            <w:pPr>
              <w:rPr>
                <w:rFonts w:ascii="Arial Narrow" w:eastAsiaTheme="minorEastAsia" w:hAnsi="Arial Narrow"/>
              </w:rPr>
            </w:pPr>
            <w:r w:rsidRPr="00C57ABA">
              <w:rPr>
                <w:rFonts w:ascii="Arial Narrow" w:eastAsiaTheme="minorEastAsia" w:hAnsi="Arial Narrow"/>
              </w:rPr>
              <w:t>Анализ на опасностите и контрол на критичните точки</w:t>
            </w:r>
          </w:p>
        </w:tc>
      </w:tr>
      <w:tr w:rsidR="00845719" w:rsidRPr="00C57ABA" w14:paraId="0DE8B1F0" w14:textId="77777777" w:rsidTr="005B64EF">
        <w:trPr>
          <w:trHeight w:val="2"/>
        </w:trPr>
        <w:tc>
          <w:tcPr>
            <w:tcW w:w="1980" w:type="dxa"/>
            <w:shd w:val="clear" w:color="auto" w:fill="auto"/>
            <w:vAlign w:val="center"/>
            <w:hideMark/>
          </w:tcPr>
          <w:p w14:paraId="445163FA" w14:textId="77777777" w:rsidR="00845719" w:rsidRPr="00C57ABA" w:rsidRDefault="00845719" w:rsidP="00845719">
            <w:pPr>
              <w:rPr>
                <w:rFonts w:ascii="Arial Narrow" w:eastAsiaTheme="minorEastAsia" w:hAnsi="Arial Narrow"/>
              </w:rPr>
            </w:pPr>
            <w:r w:rsidRPr="00C57ABA">
              <w:rPr>
                <w:rFonts w:ascii="Arial Narrow" w:eastAsiaTheme="minorEastAsia" w:hAnsi="Arial Narrow"/>
              </w:rPr>
              <w:t>НБ</w:t>
            </w:r>
          </w:p>
        </w:tc>
        <w:tc>
          <w:tcPr>
            <w:tcW w:w="7796" w:type="dxa"/>
            <w:shd w:val="clear" w:color="auto" w:fill="auto"/>
            <w:vAlign w:val="center"/>
            <w:hideMark/>
          </w:tcPr>
          <w:p w14:paraId="0175591F" w14:textId="77777777" w:rsidR="00845719" w:rsidRPr="00C57ABA" w:rsidRDefault="00845719" w:rsidP="00845719">
            <w:pPr>
              <w:rPr>
                <w:rFonts w:ascii="Arial Narrow" w:eastAsiaTheme="minorEastAsia" w:hAnsi="Arial Narrow"/>
              </w:rPr>
            </w:pPr>
            <w:r w:rsidRPr="00C57ABA">
              <w:rPr>
                <w:rFonts w:ascii="Arial Narrow" w:eastAsiaTheme="minorEastAsia" w:hAnsi="Arial Narrow"/>
              </w:rPr>
              <w:t>Национален бюджет</w:t>
            </w:r>
          </w:p>
        </w:tc>
      </w:tr>
      <w:tr w:rsidR="00845719" w:rsidRPr="00C57ABA" w14:paraId="2CA60FCC" w14:textId="77777777" w:rsidTr="005B64EF">
        <w:trPr>
          <w:trHeight w:val="2"/>
        </w:trPr>
        <w:tc>
          <w:tcPr>
            <w:tcW w:w="1980" w:type="dxa"/>
            <w:shd w:val="clear" w:color="auto" w:fill="auto"/>
            <w:noWrap/>
            <w:vAlign w:val="center"/>
            <w:hideMark/>
          </w:tcPr>
          <w:p w14:paraId="32FEF618" w14:textId="77777777" w:rsidR="00845719" w:rsidRPr="00C57ABA" w:rsidRDefault="00845719" w:rsidP="00845719">
            <w:pPr>
              <w:rPr>
                <w:rFonts w:ascii="Arial Narrow" w:eastAsiaTheme="minorEastAsia" w:hAnsi="Arial Narrow"/>
              </w:rPr>
            </w:pPr>
            <w:r w:rsidRPr="00C57ABA">
              <w:rPr>
                <w:rFonts w:ascii="Arial Narrow" w:eastAsiaTheme="minorEastAsia" w:hAnsi="Arial Narrow"/>
              </w:rPr>
              <w:t>НГФ</w:t>
            </w:r>
          </w:p>
        </w:tc>
        <w:tc>
          <w:tcPr>
            <w:tcW w:w="7796" w:type="dxa"/>
            <w:shd w:val="clear" w:color="auto" w:fill="auto"/>
            <w:noWrap/>
            <w:vAlign w:val="center"/>
            <w:hideMark/>
          </w:tcPr>
          <w:p w14:paraId="7A33B4A5" w14:textId="77777777" w:rsidR="00845719" w:rsidRPr="00C57ABA" w:rsidRDefault="00845719" w:rsidP="00845719">
            <w:pPr>
              <w:rPr>
                <w:rFonts w:ascii="Arial Narrow" w:eastAsiaTheme="minorEastAsia" w:hAnsi="Arial Narrow"/>
              </w:rPr>
            </w:pPr>
            <w:r w:rsidRPr="00C57ABA">
              <w:rPr>
                <w:rFonts w:ascii="Arial Narrow" w:eastAsiaTheme="minorEastAsia" w:hAnsi="Arial Narrow"/>
              </w:rPr>
              <w:t>Национален гаранционен фонд</w:t>
            </w:r>
          </w:p>
        </w:tc>
      </w:tr>
      <w:tr w:rsidR="00845719" w:rsidRPr="00C57ABA" w14:paraId="1104F071" w14:textId="77777777" w:rsidTr="005B64EF">
        <w:trPr>
          <w:trHeight w:val="2"/>
        </w:trPr>
        <w:tc>
          <w:tcPr>
            <w:tcW w:w="1980" w:type="dxa"/>
            <w:shd w:val="clear" w:color="auto" w:fill="auto"/>
            <w:vAlign w:val="center"/>
            <w:hideMark/>
          </w:tcPr>
          <w:p w14:paraId="79B8CBEA" w14:textId="77777777" w:rsidR="00845719" w:rsidRPr="00C57ABA" w:rsidRDefault="00845719" w:rsidP="00845719">
            <w:pPr>
              <w:rPr>
                <w:rFonts w:ascii="Arial Narrow" w:eastAsiaTheme="minorEastAsia" w:hAnsi="Arial Narrow"/>
              </w:rPr>
            </w:pPr>
            <w:r w:rsidRPr="00C57ABA">
              <w:rPr>
                <w:rFonts w:ascii="Arial Narrow" w:eastAsiaTheme="minorEastAsia" w:hAnsi="Arial Narrow"/>
              </w:rPr>
              <w:t>НДНИВМИ</w:t>
            </w:r>
          </w:p>
        </w:tc>
        <w:tc>
          <w:tcPr>
            <w:tcW w:w="7796" w:type="dxa"/>
            <w:shd w:val="clear" w:color="auto" w:fill="auto"/>
            <w:vAlign w:val="center"/>
            <w:hideMark/>
          </w:tcPr>
          <w:p w14:paraId="4173C2CC" w14:textId="77777777" w:rsidR="00845719" w:rsidRPr="00C57ABA" w:rsidRDefault="00845719" w:rsidP="00845719">
            <w:pPr>
              <w:rPr>
                <w:rFonts w:ascii="Arial Narrow" w:eastAsiaTheme="minorEastAsia" w:hAnsi="Arial Narrow"/>
              </w:rPr>
            </w:pPr>
            <w:r w:rsidRPr="00C57ABA">
              <w:rPr>
                <w:rFonts w:ascii="Arial Narrow" w:eastAsiaTheme="minorEastAsia" w:hAnsi="Arial Narrow"/>
              </w:rPr>
              <w:t>Национален диагностичен научноизследователски ветеринарномедицински институт</w:t>
            </w:r>
          </w:p>
        </w:tc>
      </w:tr>
      <w:tr w:rsidR="00845719" w:rsidRPr="00C57ABA" w14:paraId="37F06DBC" w14:textId="77777777" w:rsidTr="005B64EF">
        <w:trPr>
          <w:trHeight w:val="2"/>
        </w:trPr>
        <w:tc>
          <w:tcPr>
            <w:tcW w:w="1980" w:type="dxa"/>
            <w:shd w:val="clear" w:color="auto" w:fill="auto"/>
            <w:vAlign w:val="center"/>
            <w:hideMark/>
          </w:tcPr>
          <w:p w14:paraId="0588DAD9" w14:textId="77777777" w:rsidR="00845719" w:rsidRPr="00C57ABA" w:rsidRDefault="00845719" w:rsidP="00845719">
            <w:pPr>
              <w:rPr>
                <w:rFonts w:ascii="Arial Narrow" w:eastAsiaTheme="minorEastAsia" w:hAnsi="Arial Narrow"/>
              </w:rPr>
            </w:pPr>
            <w:r w:rsidRPr="00C57ABA">
              <w:rPr>
                <w:rFonts w:ascii="Arial Narrow" w:eastAsiaTheme="minorEastAsia" w:hAnsi="Arial Narrow"/>
              </w:rPr>
              <w:t>НМП</w:t>
            </w:r>
          </w:p>
        </w:tc>
        <w:tc>
          <w:tcPr>
            <w:tcW w:w="7796" w:type="dxa"/>
            <w:shd w:val="clear" w:color="auto" w:fill="auto"/>
            <w:vAlign w:val="center"/>
            <w:hideMark/>
          </w:tcPr>
          <w:p w14:paraId="6E40685B" w14:textId="77777777" w:rsidR="00845719" w:rsidRPr="00C57ABA" w:rsidRDefault="00845719" w:rsidP="00845719">
            <w:pPr>
              <w:rPr>
                <w:rFonts w:ascii="Arial Narrow" w:eastAsiaTheme="minorEastAsia" w:hAnsi="Arial Narrow"/>
              </w:rPr>
            </w:pPr>
            <w:r w:rsidRPr="00C57ABA">
              <w:rPr>
                <w:rFonts w:ascii="Arial Narrow" w:eastAsiaTheme="minorEastAsia" w:hAnsi="Arial Narrow"/>
              </w:rPr>
              <w:t>Национална мониторингова програма за контрол на остатъци от пестициди в и върху храни от растителен произход</w:t>
            </w:r>
          </w:p>
        </w:tc>
      </w:tr>
      <w:tr w:rsidR="00845719" w:rsidRPr="00C57ABA" w14:paraId="3ABB029A" w14:textId="77777777" w:rsidTr="005B64EF">
        <w:trPr>
          <w:trHeight w:val="56"/>
        </w:trPr>
        <w:tc>
          <w:tcPr>
            <w:tcW w:w="1980" w:type="dxa"/>
            <w:shd w:val="clear" w:color="auto" w:fill="auto"/>
            <w:vAlign w:val="center"/>
            <w:hideMark/>
          </w:tcPr>
          <w:p w14:paraId="1DAE96BF" w14:textId="77777777" w:rsidR="00845719" w:rsidRPr="00C57ABA" w:rsidRDefault="00845719" w:rsidP="00845719">
            <w:pPr>
              <w:rPr>
                <w:rFonts w:ascii="Arial Narrow" w:eastAsiaTheme="minorEastAsia" w:hAnsi="Arial Narrow"/>
              </w:rPr>
            </w:pPr>
            <w:r w:rsidRPr="00C57ABA">
              <w:rPr>
                <w:rFonts w:ascii="Arial Narrow" w:eastAsiaTheme="minorEastAsia" w:hAnsi="Arial Narrow"/>
              </w:rPr>
              <w:t>НМПКО</w:t>
            </w:r>
          </w:p>
        </w:tc>
        <w:tc>
          <w:tcPr>
            <w:tcW w:w="7796" w:type="dxa"/>
            <w:shd w:val="clear" w:color="auto" w:fill="auto"/>
            <w:vAlign w:val="center"/>
            <w:hideMark/>
          </w:tcPr>
          <w:p w14:paraId="4DD9E1DF" w14:textId="77777777" w:rsidR="00845719" w:rsidRPr="00C57ABA" w:rsidRDefault="00845719" w:rsidP="00845719">
            <w:pPr>
              <w:rPr>
                <w:rFonts w:ascii="Arial Narrow" w:eastAsiaTheme="minorEastAsia" w:hAnsi="Arial Narrow"/>
              </w:rPr>
            </w:pPr>
            <w:r w:rsidRPr="00C57ABA">
              <w:rPr>
                <w:rFonts w:ascii="Arial Narrow" w:eastAsiaTheme="minorEastAsia" w:hAnsi="Arial Narrow"/>
              </w:rPr>
              <w:t xml:space="preserve">Национална мониторингова програма за контрол на остатъци </w:t>
            </w:r>
          </w:p>
        </w:tc>
      </w:tr>
      <w:tr w:rsidR="00845719" w:rsidRPr="00C57ABA" w14:paraId="74EFB6E2" w14:textId="77777777" w:rsidTr="005B64EF">
        <w:trPr>
          <w:trHeight w:val="423"/>
        </w:trPr>
        <w:tc>
          <w:tcPr>
            <w:tcW w:w="1980" w:type="dxa"/>
            <w:shd w:val="clear" w:color="auto" w:fill="auto"/>
            <w:noWrap/>
            <w:vAlign w:val="center"/>
          </w:tcPr>
          <w:p w14:paraId="335F9893" w14:textId="77777777" w:rsidR="00845719" w:rsidRPr="00C57ABA" w:rsidRDefault="00845719" w:rsidP="00845719">
            <w:pPr>
              <w:rPr>
                <w:rFonts w:ascii="Arial Narrow" w:eastAsiaTheme="minorEastAsia" w:hAnsi="Arial Narrow"/>
              </w:rPr>
            </w:pPr>
            <w:r w:rsidRPr="00C57ABA">
              <w:rPr>
                <w:rFonts w:ascii="Arial Narrow" w:eastAsiaTheme="minorEastAsia" w:hAnsi="Arial Narrow"/>
              </w:rPr>
              <w:t>НП</w:t>
            </w:r>
          </w:p>
        </w:tc>
        <w:tc>
          <w:tcPr>
            <w:tcW w:w="7796" w:type="dxa"/>
            <w:shd w:val="clear" w:color="auto" w:fill="auto"/>
            <w:noWrap/>
            <w:vAlign w:val="center"/>
          </w:tcPr>
          <w:p w14:paraId="756D15F1" w14:textId="77777777" w:rsidR="00845719" w:rsidRPr="00C57ABA" w:rsidRDefault="00845719" w:rsidP="00845719">
            <w:pPr>
              <w:rPr>
                <w:rFonts w:ascii="Arial Narrow" w:eastAsiaTheme="minorEastAsia" w:hAnsi="Arial Narrow"/>
              </w:rPr>
            </w:pPr>
            <w:r w:rsidRPr="00C57ABA">
              <w:rPr>
                <w:rFonts w:ascii="Arial Narrow" w:eastAsiaTheme="minorEastAsia" w:hAnsi="Arial Narrow"/>
              </w:rPr>
              <w:t>Наказателно постановление</w:t>
            </w:r>
          </w:p>
        </w:tc>
      </w:tr>
      <w:tr w:rsidR="00845719" w:rsidRPr="00C57ABA" w14:paraId="33388BBB" w14:textId="77777777" w:rsidTr="005B64EF">
        <w:trPr>
          <w:trHeight w:val="2"/>
        </w:trPr>
        <w:tc>
          <w:tcPr>
            <w:tcW w:w="1980" w:type="dxa"/>
            <w:shd w:val="clear" w:color="auto" w:fill="auto"/>
            <w:noWrap/>
            <w:vAlign w:val="center"/>
          </w:tcPr>
          <w:p w14:paraId="2B47F184" w14:textId="77777777" w:rsidR="00845719" w:rsidRPr="00B735CA" w:rsidRDefault="00845719" w:rsidP="00845719">
            <w:pPr>
              <w:rPr>
                <w:rFonts w:ascii="Arial Narrow" w:eastAsiaTheme="minorEastAsia" w:hAnsi="Arial Narrow"/>
              </w:rPr>
            </w:pPr>
            <w:r w:rsidRPr="00B735CA">
              <w:rPr>
                <w:rFonts w:ascii="Arial Narrow" w:eastAsiaTheme="minorEastAsia" w:hAnsi="Arial Narrow"/>
              </w:rPr>
              <w:t>НПВУ</w:t>
            </w:r>
          </w:p>
        </w:tc>
        <w:tc>
          <w:tcPr>
            <w:tcW w:w="7796" w:type="dxa"/>
            <w:shd w:val="clear" w:color="auto" w:fill="auto"/>
            <w:noWrap/>
            <w:vAlign w:val="center"/>
          </w:tcPr>
          <w:p w14:paraId="020920B6" w14:textId="77777777" w:rsidR="00845719" w:rsidRPr="00B735CA" w:rsidRDefault="00845719" w:rsidP="00845719">
            <w:pPr>
              <w:rPr>
                <w:rFonts w:ascii="Arial Narrow" w:eastAsiaTheme="minorEastAsia" w:hAnsi="Arial Narrow"/>
              </w:rPr>
            </w:pPr>
            <w:r w:rsidRPr="00B735CA">
              <w:rPr>
                <w:rFonts w:ascii="Arial Narrow" w:eastAsiaTheme="minorEastAsia" w:hAnsi="Arial Narrow"/>
              </w:rPr>
              <w:t>Национален план за възстановяване и устойчивост на Република България</w:t>
            </w:r>
          </w:p>
        </w:tc>
      </w:tr>
      <w:tr w:rsidR="00845719" w:rsidRPr="00C57ABA" w14:paraId="67DB7E5A" w14:textId="77777777" w:rsidTr="005B64EF">
        <w:trPr>
          <w:trHeight w:val="2"/>
        </w:trPr>
        <w:tc>
          <w:tcPr>
            <w:tcW w:w="1980" w:type="dxa"/>
            <w:shd w:val="clear" w:color="auto" w:fill="auto"/>
            <w:noWrap/>
            <w:vAlign w:val="center"/>
            <w:hideMark/>
          </w:tcPr>
          <w:p w14:paraId="1B5565D2" w14:textId="77777777" w:rsidR="00845719" w:rsidRPr="00B735CA" w:rsidRDefault="00845719" w:rsidP="00845719">
            <w:pPr>
              <w:rPr>
                <w:rFonts w:ascii="Arial Narrow" w:eastAsiaTheme="minorEastAsia" w:hAnsi="Arial Narrow"/>
              </w:rPr>
            </w:pPr>
            <w:r w:rsidRPr="00B735CA">
              <w:rPr>
                <w:rFonts w:ascii="Arial Narrow" w:eastAsiaTheme="minorEastAsia" w:hAnsi="Arial Narrow"/>
              </w:rPr>
              <w:t>НПКГМХ</w:t>
            </w:r>
          </w:p>
        </w:tc>
        <w:tc>
          <w:tcPr>
            <w:tcW w:w="7796" w:type="dxa"/>
            <w:shd w:val="clear" w:color="auto" w:fill="auto"/>
            <w:noWrap/>
            <w:vAlign w:val="center"/>
            <w:hideMark/>
          </w:tcPr>
          <w:p w14:paraId="362FEE73" w14:textId="77777777" w:rsidR="00845719" w:rsidRPr="00B735CA" w:rsidRDefault="00845719" w:rsidP="00845719">
            <w:pPr>
              <w:rPr>
                <w:rFonts w:ascii="Arial Narrow" w:eastAsiaTheme="minorEastAsia" w:hAnsi="Arial Narrow"/>
              </w:rPr>
            </w:pPr>
            <w:r w:rsidRPr="00B735CA">
              <w:rPr>
                <w:rFonts w:ascii="Arial Narrow" w:eastAsiaTheme="minorEastAsia" w:hAnsi="Arial Narrow"/>
              </w:rPr>
              <w:t>Национална програма за контрол на генетично модифицирани храни</w:t>
            </w:r>
          </w:p>
        </w:tc>
      </w:tr>
      <w:tr w:rsidR="00845719" w:rsidRPr="00C57ABA" w14:paraId="1600F1CD" w14:textId="77777777" w:rsidTr="005B64EF">
        <w:trPr>
          <w:trHeight w:val="2"/>
        </w:trPr>
        <w:tc>
          <w:tcPr>
            <w:tcW w:w="1980" w:type="dxa"/>
            <w:shd w:val="clear" w:color="auto" w:fill="auto"/>
            <w:vAlign w:val="center"/>
            <w:hideMark/>
          </w:tcPr>
          <w:p w14:paraId="6A8B34F5" w14:textId="77777777" w:rsidR="00845719" w:rsidRPr="00B735CA" w:rsidRDefault="00845719" w:rsidP="00845719">
            <w:pPr>
              <w:rPr>
                <w:rFonts w:ascii="Arial Narrow" w:eastAsiaTheme="minorEastAsia" w:hAnsi="Arial Narrow"/>
              </w:rPr>
            </w:pPr>
            <w:r w:rsidRPr="00B735CA">
              <w:rPr>
                <w:rFonts w:ascii="Arial Narrow" w:eastAsiaTheme="minorEastAsia" w:hAnsi="Arial Narrow"/>
              </w:rPr>
              <w:t>НПКОП</w:t>
            </w:r>
          </w:p>
        </w:tc>
        <w:tc>
          <w:tcPr>
            <w:tcW w:w="7796" w:type="dxa"/>
            <w:shd w:val="clear" w:color="auto" w:fill="auto"/>
            <w:vAlign w:val="center"/>
            <w:hideMark/>
          </w:tcPr>
          <w:p w14:paraId="797B9B47" w14:textId="77777777" w:rsidR="00845719" w:rsidRPr="00B735CA" w:rsidRDefault="00845719" w:rsidP="00845719">
            <w:pPr>
              <w:rPr>
                <w:rFonts w:ascii="Arial Narrow" w:eastAsiaTheme="minorEastAsia" w:hAnsi="Arial Narrow"/>
              </w:rPr>
            </w:pPr>
            <w:r w:rsidRPr="00B735CA">
              <w:rPr>
                <w:rFonts w:ascii="Arial Narrow" w:eastAsiaTheme="minorEastAsia" w:hAnsi="Arial Narrow"/>
              </w:rPr>
              <w:t xml:space="preserve">Национална програма за контрол на остатъци от пестициди в и върху храни </w:t>
            </w:r>
          </w:p>
        </w:tc>
      </w:tr>
      <w:tr w:rsidR="00845719" w:rsidRPr="00C57ABA" w14:paraId="77B79939" w14:textId="77777777" w:rsidTr="005B64EF">
        <w:trPr>
          <w:trHeight w:val="2"/>
        </w:trPr>
        <w:tc>
          <w:tcPr>
            <w:tcW w:w="1980" w:type="dxa"/>
            <w:shd w:val="clear" w:color="auto" w:fill="auto"/>
            <w:vAlign w:val="center"/>
            <w:hideMark/>
          </w:tcPr>
          <w:p w14:paraId="3D48F474" w14:textId="77777777" w:rsidR="00845719" w:rsidRPr="00B735CA" w:rsidRDefault="00845719" w:rsidP="00845719">
            <w:pPr>
              <w:rPr>
                <w:rFonts w:ascii="Arial Narrow" w:eastAsiaTheme="minorEastAsia" w:hAnsi="Arial Narrow"/>
              </w:rPr>
            </w:pPr>
            <w:r w:rsidRPr="00B735CA">
              <w:rPr>
                <w:rFonts w:ascii="Arial Narrow" w:eastAsiaTheme="minorEastAsia" w:hAnsi="Arial Narrow"/>
              </w:rPr>
              <w:t>НПП</w:t>
            </w:r>
          </w:p>
        </w:tc>
        <w:tc>
          <w:tcPr>
            <w:tcW w:w="7796" w:type="dxa"/>
            <w:shd w:val="clear" w:color="auto" w:fill="auto"/>
            <w:vAlign w:val="center"/>
            <w:hideMark/>
          </w:tcPr>
          <w:p w14:paraId="32D6DBB6" w14:textId="77777777" w:rsidR="00845719" w:rsidRPr="00B735CA" w:rsidRDefault="00845719" w:rsidP="00845719">
            <w:pPr>
              <w:rPr>
                <w:rFonts w:ascii="Arial Narrow" w:eastAsiaTheme="minorEastAsia" w:hAnsi="Arial Narrow"/>
              </w:rPr>
            </w:pPr>
            <w:r w:rsidRPr="00B735CA">
              <w:rPr>
                <w:rFonts w:ascii="Arial Narrow" w:eastAsiaTheme="minorEastAsia" w:hAnsi="Arial Narrow"/>
              </w:rPr>
              <w:t>Национална програма по пчеларство</w:t>
            </w:r>
          </w:p>
        </w:tc>
      </w:tr>
      <w:tr w:rsidR="00845719" w:rsidRPr="00C57ABA" w14:paraId="20EF3396" w14:textId="77777777" w:rsidTr="005B64EF">
        <w:trPr>
          <w:trHeight w:val="2"/>
        </w:trPr>
        <w:tc>
          <w:tcPr>
            <w:tcW w:w="1980" w:type="dxa"/>
            <w:shd w:val="clear" w:color="auto" w:fill="auto"/>
            <w:vAlign w:val="center"/>
          </w:tcPr>
          <w:p w14:paraId="597E242E" w14:textId="77777777" w:rsidR="00845719" w:rsidRPr="00B735CA" w:rsidRDefault="00845719" w:rsidP="00845719">
            <w:pPr>
              <w:rPr>
                <w:rFonts w:ascii="Arial Narrow" w:eastAsiaTheme="minorEastAsia" w:hAnsi="Arial Narrow"/>
              </w:rPr>
            </w:pPr>
            <w:r w:rsidRPr="00B735CA">
              <w:rPr>
                <w:rFonts w:ascii="Arial Narrow" w:eastAsiaTheme="minorEastAsia" w:hAnsi="Arial Narrow"/>
              </w:rPr>
              <w:t>НР-1</w:t>
            </w:r>
          </w:p>
        </w:tc>
        <w:tc>
          <w:tcPr>
            <w:tcW w:w="7796" w:type="dxa"/>
            <w:shd w:val="clear" w:color="auto" w:fill="auto"/>
            <w:vAlign w:val="center"/>
          </w:tcPr>
          <w:p w14:paraId="573ED7F2" w14:textId="77777777" w:rsidR="00845719" w:rsidRPr="00B735CA" w:rsidRDefault="00845719" w:rsidP="00845719">
            <w:pPr>
              <w:rPr>
                <w:rFonts w:ascii="Arial Narrow" w:eastAsiaTheme="minorEastAsia" w:hAnsi="Arial Narrow"/>
              </w:rPr>
            </w:pPr>
            <w:r w:rsidRPr="00B735CA">
              <w:rPr>
                <w:rFonts w:ascii="Arial Narrow" w:hAnsi="Arial Narrow"/>
                <w:bCs/>
              </w:rPr>
              <w:t>Плащания за планински райони</w:t>
            </w:r>
          </w:p>
        </w:tc>
      </w:tr>
      <w:tr w:rsidR="00845719" w:rsidRPr="00C57ABA" w14:paraId="4EB18161" w14:textId="77777777" w:rsidTr="005B64EF">
        <w:trPr>
          <w:trHeight w:val="2"/>
        </w:trPr>
        <w:tc>
          <w:tcPr>
            <w:tcW w:w="1980" w:type="dxa"/>
            <w:shd w:val="clear" w:color="auto" w:fill="auto"/>
            <w:vAlign w:val="center"/>
          </w:tcPr>
          <w:p w14:paraId="139ABEB6" w14:textId="77777777" w:rsidR="00845719" w:rsidRPr="00B735CA" w:rsidRDefault="00845719" w:rsidP="00845719">
            <w:pPr>
              <w:rPr>
                <w:rFonts w:ascii="Arial Narrow" w:eastAsiaTheme="minorEastAsia" w:hAnsi="Arial Narrow"/>
              </w:rPr>
            </w:pPr>
            <w:r w:rsidRPr="00B735CA">
              <w:rPr>
                <w:rFonts w:ascii="Arial Narrow" w:eastAsiaTheme="minorEastAsia" w:hAnsi="Arial Narrow"/>
              </w:rPr>
              <w:t>НР-2</w:t>
            </w:r>
          </w:p>
        </w:tc>
        <w:tc>
          <w:tcPr>
            <w:tcW w:w="7796" w:type="dxa"/>
            <w:shd w:val="clear" w:color="auto" w:fill="auto"/>
            <w:vAlign w:val="center"/>
          </w:tcPr>
          <w:p w14:paraId="32930EF4" w14:textId="77777777" w:rsidR="00845719" w:rsidRPr="00B735CA" w:rsidRDefault="00845719" w:rsidP="00845719">
            <w:pPr>
              <w:rPr>
                <w:rFonts w:ascii="Arial Narrow" w:eastAsiaTheme="minorEastAsia" w:hAnsi="Arial Narrow"/>
              </w:rPr>
            </w:pPr>
            <w:r w:rsidRPr="00B735CA">
              <w:rPr>
                <w:rFonts w:ascii="Arial Narrow" w:hAnsi="Arial Narrow"/>
                <w:bCs/>
              </w:rPr>
              <w:t xml:space="preserve">Плащания за райони, различни от планинските райони, със съществени природни ограничения </w:t>
            </w:r>
          </w:p>
        </w:tc>
      </w:tr>
      <w:tr w:rsidR="00845719" w:rsidRPr="00C57ABA" w14:paraId="5CF9986F" w14:textId="77777777" w:rsidTr="005B64EF">
        <w:trPr>
          <w:trHeight w:val="2"/>
        </w:trPr>
        <w:tc>
          <w:tcPr>
            <w:tcW w:w="1980" w:type="dxa"/>
            <w:shd w:val="clear" w:color="auto" w:fill="auto"/>
            <w:vAlign w:val="center"/>
          </w:tcPr>
          <w:p w14:paraId="0ABD3ECF" w14:textId="77777777" w:rsidR="00845719" w:rsidRPr="00B735CA" w:rsidRDefault="00845719" w:rsidP="00845719">
            <w:pPr>
              <w:rPr>
                <w:rFonts w:ascii="Arial Narrow" w:eastAsiaTheme="minorEastAsia" w:hAnsi="Arial Narrow"/>
              </w:rPr>
            </w:pPr>
            <w:r w:rsidRPr="00B735CA">
              <w:rPr>
                <w:rFonts w:ascii="Arial Narrow" w:eastAsiaTheme="minorEastAsia" w:hAnsi="Arial Narrow"/>
              </w:rPr>
              <w:t>НР-3</w:t>
            </w:r>
          </w:p>
        </w:tc>
        <w:tc>
          <w:tcPr>
            <w:tcW w:w="7796" w:type="dxa"/>
            <w:shd w:val="clear" w:color="auto" w:fill="auto"/>
            <w:vAlign w:val="center"/>
          </w:tcPr>
          <w:p w14:paraId="191F3324" w14:textId="77777777" w:rsidR="00845719" w:rsidRPr="00B735CA" w:rsidRDefault="00845719" w:rsidP="00845719">
            <w:pPr>
              <w:rPr>
                <w:rFonts w:ascii="Arial Narrow" w:eastAsiaTheme="minorEastAsia" w:hAnsi="Arial Narrow"/>
              </w:rPr>
            </w:pPr>
            <w:r w:rsidRPr="00B735CA">
              <w:rPr>
                <w:rFonts w:ascii="Arial Narrow" w:eastAsiaTheme="minorEastAsia" w:hAnsi="Arial Narrow"/>
              </w:rPr>
              <w:t>Плащания за райони със специфични ограничения</w:t>
            </w:r>
          </w:p>
        </w:tc>
      </w:tr>
      <w:tr w:rsidR="00845719" w:rsidRPr="00C57ABA" w14:paraId="1C6C8643" w14:textId="77777777" w:rsidTr="005B64EF">
        <w:trPr>
          <w:trHeight w:val="2"/>
        </w:trPr>
        <w:tc>
          <w:tcPr>
            <w:tcW w:w="1980" w:type="dxa"/>
            <w:shd w:val="clear" w:color="auto" w:fill="auto"/>
            <w:vAlign w:val="center"/>
            <w:hideMark/>
          </w:tcPr>
          <w:p w14:paraId="6E59C88B" w14:textId="77777777" w:rsidR="00845719" w:rsidRPr="00B735CA" w:rsidRDefault="00845719" w:rsidP="00845719">
            <w:pPr>
              <w:rPr>
                <w:rFonts w:ascii="Arial Narrow" w:eastAsiaTheme="minorEastAsia" w:hAnsi="Arial Narrow"/>
              </w:rPr>
            </w:pPr>
            <w:r w:rsidRPr="00B735CA">
              <w:rPr>
                <w:rFonts w:ascii="Arial Narrow" w:eastAsiaTheme="minorEastAsia" w:hAnsi="Arial Narrow"/>
              </w:rPr>
              <w:t>НРЛ</w:t>
            </w:r>
          </w:p>
        </w:tc>
        <w:tc>
          <w:tcPr>
            <w:tcW w:w="7796" w:type="dxa"/>
            <w:shd w:val="clear" w:color="auto" w:fill="auto"/>
            <w:vAlign w:val="center"/>
            <w:hideMark/>
          </w:tcPr>
          <w:p w14:paraId="056F5DC2" w14:textId="77777777" w:rsidR="00845719" w:rsidRPr="00B735CA" w:rsidRDefault="00845719" w:rsidP="00845719">
            <w:pPr>
              <w:rPr>
                <w:rFonts w:ascii="Arial Narrow" w:eastAsiaTheme="minorEastAsia" w:hAnsi="Arial Narrow"/>
              </w:rPr>
            </w:pPr>
            <w:r w:rsidRPr="00B735CA">
              <w:rPr>
                <w:rFonts w:ascii="Arial Narrow" w:eastAsiaTheme="minorEastAsia" w:hAnsi="Arial Narrow"/>
              </w:rPr>
              <w:t xml:space="preserve">Национална референтна лаборатория </w:t>
            </w:r>
          </w:p>
        </w:tc>
      </w:tr>
      <w:tr w:rsidR="00845719" w:rsidRPr="00C57ABA" w14:paraId="78824ED7" w14:textId="77777777" w:rsidTr="005B64EF">
        <w:trPr>
          <w:trHeight w:val="2"/>
        </w:trPr>
        <w:tc>
          <w:tcPr>
            <w:tcW w:w="1980" w:type="dxa"/>
            <w:shd w:val="clear" w:color="auto" w:fill="auto"/>
            <w:vAlign w:val="center"/>
            <w:hideMark/>
          </w:tcPr>
          <w:p w14:paraId="0A678751" w14:textId="77777777" w:rsidR="00845719" w:rsidRPr="00B735CA" w:rsidRDefault="00845719" w:rsidP="00845719">
            <w:pPr>
              <w:rPr>
                <w:rFonts w:ascii="Arial Narrow" w:eastAsiaTheme="minorEastAsia" w:hAnsi="Arial Narrow"/>
              </w:rPr>
            </w:pPr>
            <w:r w:rsidRPr="00B735CA">
              <w:rPr>
                <w:rFonts w:ascii="Arial Narrow" w:eastAsiaTheme="minorEastAsia" w:hAnsi="Arial Narrow"/>
              </w:rPr>
              <w:t>НСИ</w:t>
            </w:r>
          </w:p>
        </w:tc>
        <w:tc>
          <w:tcPr>
            <w:tcW w:w="7796" w:type="dxa"/>
            <w:shd w:val="clear" w:color="auto" w:fill="auto"/>
            <w:vAlign w:val="center"/>
            <w:hideMark/>
          </w:tcPr>
          <w:p w14:paraId="40BEF323" w14:textId="77777777" w:rsidR="00845719" w:rsidRPr="00B735CA" w:rsidRDefault="00845719" w:rsidP="00845719">
            <w:pPr>
              <w:rPr>
                <w:rFonts w:ascii="Arial Narrow" w:eastAsiaTheme="minorEastAsia" w:hAnsi="Arial Narrow"/>
              </w:rPr>
            </w:pPr>
            <w:r w:rsidRPr="00B735CA">
              <w:rPr>
                <w:rFonts w:ascii="Arial Narrow" w:eastAsiaTheme="minorEastAsia" w:hAnsi="Arial Narrow"/>
              </w:rPr>
              <w:t>Национален статистически институт</w:t>
            </w:r>
          </w:p>
        </w:tc>
      </w:tr>
      <w:tr w:rsidR="00845719" w:rsidRPr="00C57ABA" w14:paraId="15F30C08" w14:textId="77777777" w:rsidTr="005B64EF">
        <w:trPr>
          <w:trHeight w:val="2"/>
        </w:trPr>
        <w:tc>
          <w:tcPr>
            <w:tcW w:w="1980" w:type="dxa"/>
            <w:shd w:val="clear" w:color="auto" w:fill="auto"/>
            <w:vAlign w:val="center"/>
            <w:hideMark/>
          </w:tcPr>
          <w:p w14:paraId="3A179919" w14:textId="77777777" w:rsidR="00845719" w:rsidRPr="00B735CA" w:rsidRDefault="00845719" w:rsidP="00845719">
            <w:pPr>
              <w:rPr>
                <w:rFonts w:ascii="Arial Narrow" w:eastAsiaTheme="minorEastAsia" w:hAnsi="Arial Narrow"/>
              </w:rPr>
            </w:pPr>
            <w:r w:rsidRPr="00B735CA">
              <w:rPr>
                <w:rFonts w:ascii="Arial Narrow" w:eastAsiaTheme="minorEastAsia" w:hAnsi="Arial Narrow"/>
              </w:rPr>
              <w:t>НССЗ</w:t>
            </w:r>
          </w:p>
        </w:tc>
        <w:tc>
          <w:tcPr>
            <w:tcW w:w="7796" w:type="dxa"/>
            <w:shd w:val="clear" w:color="auto" w:fill="auto"/>
            <w:vAlign w:val="center"/>
            <w:hideMark/>
          </w:tcPr>
          <w:p w14:paraId="36592BD3" w14:textId="77777777" w:rsidR="00845719" w:rsidRPr="00B735CA" w:rsidRDefault="00845719" w:rsidP="00845719">
            <w:pPr>
              <w:rPr>
                <w:rFonts w:ascii="Arial Narrow" w:eastAsiaTheme="minorEastAsia" w:hAnsi="Arial Narrow"/>
              </w:rPr>
            </w:pPr>
            <w:r w:rsidRPr="00B735CA">
              <w:rPr>
                <w:rFonts w:ascii="Arial Narrow" w:eastAsiaTheme="minorEastAsia" w:hAnsi="Arial Narrow"/>
              </w:rPr>
              <w:t>Национална служба за съвети в земеделието</w:t>
            </w:r>
          </w:p>
        </w:tc>
      </w:tr>
      <w:tr w:rsidR="00845719" w:rsidRPr="00C57ABA" w14:paraId="7A853209" w14:textId="77777777" w:rsidTr="005B64EF">
        <w:trPr>
          <w:trHeight w:val="2"/>
        </w:trPr>
        <w:tc>
          <w:tcPr>
            <w:tcW w:w="1980" w:type="dxa"/>
            <w:shd w:val="clear" w:color="auto" w:fill="auto"/>
            <w:vAlign w:val="center"/>
          </w:tcPr>
          <w:p w14:paraId="2821423C" w14:textId="77777777" w:rsidR="00845719" w:rsidRPr="00B735CA" w:rsidRDefault="00845719" w:rsidP="00845719">
            <w:pPr>
              <w:rPr>
                <w:rFonts w:ascii="Arial Narrow" w:eastAsiaTheme="minorEastAsia" w:hAnsi="Arial Narrow"/>
              </w:rPr>
            </w:pPr>
            <w:r w:rsidRPr="00B735CA">
              <w:rPr>
                <w:rFonts w:ascii="Arial Narrow" w:eastAsiaTheme="minorEastAsia" w:hAnsi="Arial Narrow"/>
              </w:rPr>
              <w:t>ОБМ</w:t>
            </w:r>
          </w:p>
        </w:tc>
        <w:tc>
          <w:tcPr>
            <w:tcW w:w="7796" w:type="dxa"/>
            <w:shd w:val="clear" w:color="auto" w:fill="auto"/>
            <w:vAlign w:val="center"/>
          </w:tcPr>
          <w:p w14:paraId="1EF6BB89" w14:textId="77777777" w:rsidR="00845719" w:rsidRPr="00B735CA" w:rsidRDefault="00845719" w:rsidP="00845719">
            <w:pPr>
              <w:rPr>
                <w:rFonts w:ascii="Arial Narrow" w:eastAsiaTheme="minorEastAsia" w:hAnsi="Arial Narrow"/>
              </w:rPr>
            </w:pPr>
            <w:r w:rsidRPr="00B735CA">
              <w:rPr>
                <w:rFonts w:ascii="Arial Narrow" w:eastAsiaTheme="minorEastAsia" w:hAnsi="Arial Narrow"/>
              </w:rPr>
              <w:t>Общ брой микроорганизми</w:t>
            </w:r>
          </w:p>
        </w:tc>
      </w:tr>
      <w:tr w:rsidR="00845719" w:rsidRPr="00C57ABA" w14:paraId="60BB9BA8" w14:textId="77777777" w:rsidTr="005B64EF">
        <w:trPr>
          <w:trHeight w:val="2"/>
        </w:trPr>
        <w:tc>
          <w:tcPr>
            <w:tcW w:w="1980" w:type="dxa"/>
            <w:shd w:val="clear" w:color="auto" w:fill="auto"/>
            <w:vAlign w:val="center"/>
          </w:tcPr>
          <w:p w14:paraId="62DD771B" w14:textId="77777777" w:rsidR="00845719" w:rsidRPr="00B735CA" w:rsidRDefault="00845719" w:rsidP="00845719">
            <w:pPr>
              <w:rPr>
                <w:rFonts w:ascii="Arial Narrow" w:eastAsiaTheme="minorEastAsia" w:hAnsi="Arial Narrow"/>
              </w:rPr>
            </w:pPr>
            <w:r w:rsidRPr="00B735CA">
              <w:rPr>
                <w:rFonts w:ascii="Arial Narrow" w:eastAsiaTheme="minorEastAsia" w:hAnsi="Arial Narrow"/>
              </w:rPr>
              <w:t>ОБСК</w:t>
            </w:r>
          </w:p>
        </w:tc>
        <w:tc>
          <w:tcPr>
            <w:tcW w:w="7796" w:type="dxa"/>
            <w:shd w:val="clear" w:color="auto" w:fill="auto"/>
            <w:vAlign w:val="center"/>
          </w:tcPr>
          <w:p w14:paraId="652F401E" w14:textId="77777777" w:rsidR="00845719" w:rsidRPr="00B735CA" w:rsidRDefault="00845719" w:rsidP="00845719">
            <w:pPr>
              <w:rPr>
                <w:rFonts w:ascii="Arial Narrow" w:eastAsiaTheme="minorEastAsia" w:hAnsi="Arial Narrow"/>
              </w:rPr>
            </w:pPr>
            <w:r w:rsidRPr="00B735CA">
              <w:rPr>
                <w:rFonts w:ascii="Arial Narrow" w:eastAsiaTheme="minorEastAsia" w:hAnsi="Arial Narrow"/>
              </w:rPr>
              <w:t>Общ брой соматични клетки</w:t>
            </w:r>
          </w:p>
        </w:tc>
      </w:tr>
      <w:tr w:rsidR="00845719" w:rsidRPr="00C57ABA" w14:paraId="09921734" w14:textId="77777777" w:rsidTr="005B64EF">
        <w:trPr>
          <w:trHeight w:val="2"/>
        </w:trPr>
        <w:tc>
          <w:tcPr>
            <w:tcW w:w="1980" w:type="dxa"/>
            <w:shd w:val="clear" w:color="auto" w:fill="auto"/>
            <w:vAlign w:val="center"/>
          </w:tcPr>
          <w:p w14:paraId="184F774B" w14:textId="77777777" w:rsidR="00845719" w:rsidRPr="00B735CA" w:rsidRDefault="00845719" w:rsidP="00845719">
            <w:pPr>
              <w:rPr>
                <w:rFonts w:ascii="Arial Narrow" w:eastAsiaTheme="minorEastAsia" w:hAnsi="Arial Narrow"/>
              </w:rPr>
            </w:pPr>
            <w:r w:rsidRPr="00B735CA">
              <w:rPr>
                <w:rFonts w:ascii="Arial Narrow" w:hAnsi="Arial Narrow"/>
              </w:rPr>
              <w:t>ОГ</w:t>
            </w:r>
          </w:p>
        </w:tc>
        <w:tc>
          <w:tcPr>
            <w:tcW w:w="7796" w:type="dxa"/>
            <w:shd w:val="clear" w:color="auto" w:fill="auto"/>
            <w:vAlign w:val="center"/>
          </w:tcPr>
          <w:p w14:paraId="3BA02401" w14:textId="77777777" w:rsidR="00845719" w:rsidRPr="00B735CA" w:rsidRDefault="00845719" w:rsidP="00845719">
            <w:pPr>
              <w:rPr>
                <w:rFonts w:ascii="Arial Narrow" w:eastAsiaTheme="minorEastAsia" w:hAnsi="Arial Narrow"/>
              </w:rPr>
            </w:pPr>
            <w:r w:rsidRPr="00B735CA">
              <w:rPr>
                <w:rFonts w:ascii="Arial Narrow" w:eastAsiaTheme="minorEastAsia" w:hAnsi="Arial Narrow"/>
              </w:rPr>
              <w:t>Оперативни групи по Закона за задълженията и договорите</w:t>
            </w:r>
          </w:p>
        </w:tc>
      </w:tr>
      <w:tr w:rsidR="00845719" w:rsidRPr="00C57ABA" w14:paraId="4098C8BA" w14:textId="77777777" w:rsidTr="005B64EF">
        <w:trPr>
          <w:trHeight w:val="2"/>
        </w:trPr>
        <w:tc>
          <w:tcPr>
            <w:tcW w:w="1980" w:type="dxa"/>
            <w:shd w:val="clear" w:color="auto" w:fill="auto"/>
            <w:vAlign w:val="center"/>
            <w:hideMark/>
          </w:tcPr>
          <w:p w14:paraId="4490DB64" w14:textId="77777777" w:rsidR="00845719" w:rsidRPr="00C57ABA" w:rsidRDefault="00845719" w:rsidP="00845719">
            <w:pPr>
              <w:rPr>
                <w:rFonts w:ascii="Arial Narrow" w:eastAsiaTheme="minorEastAsia" w:hAnsi="Arial Narrow"/>
              </w:rPr>
            </w:pPr>
            <w:r w:rsidRPr="00C57ABA">
              <w:rPr>
                <w:rFonts w:ascii="Arial Narrow" w:eastAsiaTheme="minorEastAsia" w:hAnsi="Arial Narrow"/>
              </w:rPr>
              <w:t>ОД „Земеделие”</w:t>
            </w:r>
          </w:p>
        </w:tc>
        <w:tc>
          <w:tcPr>
            <w:tcW w:w="7796" w:type="dxa"/>
            <w:shd w:val="clear" w:color="auto" w:fill="auto"/>
            <w:vAlign w:val="center"/>
            <w:hideMark/>
          </w:tcPr>
          <w:p w14:paraId="043D5955" w14:textId="77777777" w:rsidR="00845719" w:rsidRPr="00C57ABA" w:rsidRDefault="00845719" w:rsidP="00845719">
            <w:pPr>
              <w:rPr>
                <w:rFonts w:ascii="Arial Narrow" w:eastAsiaTheme="minorEastAsia" w:hAnsi="Arial Narrow"/>
              </w:rPr>
            </w:pPr>
            <w:r w:rsidRPr="00C57ABA">
              <w:rPr>
                <w:rFonts w:ascii="Arial Narrow" w:eastAsiaTheme="minorEastAsia" w:hAnsi="Arial Narrow"/>
              </w:rPr>
              <w:t>Областни дирекции „Земеделие”</w:t>
            </w:r>
          </w:p>
        </w:tc>
      </w:tr>
      <w:tr w:rsidR="00845719" w:rsidRPr="00C57ABA" w14:paraId="75C34780" w14:textId="77777777" w:rsidTr="005B64EF">
        <w:trPr>
          <w:trHeight w:val="2"/>
        </w:trPr>
        <w:tc>
          <w:tcPr>
            <w:tcW w:w="1980" w:type="dxa"/>
            <w:shd w:val="clear" w:color="auto" w:fill="auto"/>
            <w:vAlign w:val="center"/>
            <w:hideMark/>
          </w:tcPr>
          <w:p w14:paraId="40595FE9" w14:textId="77777777" w:rsidR="00845719" w:rsidRPr="00C57ABA" w:rsidRDefault="00845719" w:rsidP="00845719">
            <w:pPr>
              <w:rPr>
                <w:rFonts w:ascii="Arial Narrow" w:eastAsiaTheme="minorEastAsia" w:hAnsi="Arial Narrow"/>
              </w:rPr>
            </w:pPr>
            <w:r w:rsidRPr="00C57ABA">
              <w:rPr>
                <w:rFonts w:ascii="Arial Narrow" w:eastAsiaTheme="minorEastAsia" w:hAnsi="Arial Narrow"/>
              </w:rPr>
              <w:t>ОДБХ</w:t>
            </w:r>
          </w:p>
        </w:tc>
        <w:tc>
          <w:tcPr>
            <w:tcW w:w="7796" w:type="dxa"/>
            <w:shd w:val="clear" w:color="auto" w:fill="auto"/>
            <w:vAlign w:val="center"/>
            <w:hideMark/>
          </w:tcPr>
          <w:p w14:paraId="3FC14D67" w14:textId="77777777" w:rsidR="00845719" w:rsidRPr="00C57ABA" w:rsidRDefault="00845719" w:rsidP="00845719">
            <w:pPr>
              <w:rPr>
                <w:rFonts w:ascii="Arial Narrow" w:eastAsiaTheme="minorEastAsia" w:hAnsi="Arial Narrow"/>
              </w:rPr>
            </w:pPr>
            <w:r w:rsidRPr="00C57ABA">
              <w:rPr>
                <w:rFonts w:ascii="Arial Narrow" w:eastAsiaTheme="minorEastAsia" w:hAnsi="Arial Narrow"/>
              </w:rPr>
              <w:t>Областна дирекция по безопасност на храните</w:t>
            </w:r>
          </w:p>
        </w:tc>
      </w:tr>
      <w:tr w:rsidR="00845719" w:rsidRPr="00C57ABA" w14:paraId="4A050515" w14:textId="77777777" w:rsidTr="005B64EF">
        <w:trPr>
          <w:trHeight w:val="2"/>
        </w:trPr>
        <w:tc>
          <w:tcPr>
            <w:tcW w:w="1980" w:type="dxa"/>
            <w:shd w:val="clear" w:color="auto" w:fill="auto"/>
            <w:vAlign w:val="center"/>
            <w:hideMark/>
          </w:tcPr>
          <w:p w14:paraId="5F9AE698" w14:textId="77777777" w:rsidR="00845719" w:rsidRPr="00C57ABA" w:rsidRDefault="00845719" w:rsidP="00845719">
            <w:pPr>
              <w:rPr>
                <w:rFonts w:ascii="Arial Narrow" w:eastAsiaTheme="minorEastAsia" w:hAnsi="Arial Narrow"/>
              </w:rPr>
            </w:pPr>
            <w:r w:rsidRPr="00C57ABA">
              <w:rPr>
                <w:rFonts w:ascii="Arial Narrow" w:eastAsiaTheme="minorEastAsia" w:hAnsi="Arial Narrow"/>
              </w:rPr>
              <w:t>ОИСР</w:t>
            </w:r>
          </w:p>
        </w:tc>
        <w:tc>
          <w:tcPr>
            <w:tcW w:w="7796" w:type="dxa"/>
            <w:shd w:val="clear" w:color="auto" w:fill="auto"/>
            <w:vAlign w:val="center"/>
            <w:hideMark/>
          </w:tcPr>
          <w:p w14:paraId="548D410A" w14:textId="77777777" w:rsidR="00845719" w:rsidRPr="00C57ABA" w:rsidRDefault="00845719" w:rsidP="00845719">
            <w:pPr>
              <w:rPr>
                <w:rFonts w:ascii="Arial Narrow" w:eastAsiaTheme="minorEastAsia" w:hAnsi="Arial Narrow"/>
              </w:rPr>
            </w:pPr>
            <w:r w:rsidRPr="00C57ABA">
              <w:rPr>
                <w:rFonts w:ascii="Arial Narrow" w:eastAsiaTheme="minorEastAsia" w:hAnsi="Arial Narrow"/>
              </w:rPr>
              <w:t xml:space="preserve">Организация за икономическо сътрудничество и развитие </w:t>
            </w:r>
          </w:p>
        </w:tc>
      </w:tr>
      <w:tr w:rsidR="00845719" w:rsidRPr="00C57ABA" w14:paraId="7DB0AB80" w14:textId="77777777" w:rsidTr="005B64EF">
        <w:trPr>
          <w:trHeight w:val="2"/>
        </w:trPr>
        <w:tc>
          <w:tcPr>
            <w:tcW w:w="1980" w:type="dxa"/>
            <w:shd w:val="clear" w:color="auto" w:fill="auto"/>
            <w:vAlign w:val="center"/>
            <w:hideMark/>
          </w:tcPr>
          <w:p w14:paraId="3DA0D869" w14:textId="77777777" w:rsidR="00845719" w:rsidRPr="00C57ABA" w:rsidRDefault="00845719" w:rsidP="00845719">
            <w:pPr>
              <w:rPr>
                <w:rFonts w:ascii="Arial Narrow" w:eastAsiaTheme="minorEastAsia" w:hAnsi="Arial Narrow"/>
              </w:rPr>
            </w:pPr>
            <w:r w:rsidRPr="00C57ABA">
              <w:rPr>
                <w:rFonts w:ascii="Arial Narrow" w:eastAsiaTheme="minorEastAsia" w:hAnsi="Arial Narrow"/>
              </w:rPr>
              <w:t>ОНД</w:t>
            </w:r>
          </w:p>
        </w:tc>
        <w:tc>
          <w:tcPr>
            <w:tcW w:w="7796" w:type="dxa"/>
            <w:shd w:val="clear" w:color="auto" w:fill="auto"/>
            <w:vAlign w:val="center"/>
            <w:hideMark/>
          </w:tcPr>
          <w:p w14:paraId="5E9B0F8E" w14:textId="77777777" w:rsidR="00845719" w:rsidRPr="00C57ABA" w:rsidRDefault="00845719" w:rsidP="00845719">
            <w:pPr>
              <w:rPr>
                <w:rFonts w:ascii="Arial Narrow" w:eastAsiaTheme="minorEastAsia" w:hAnsi="Arial Narrow"/>
              </w:rPr>
            </w:pPr>
            <w:r w:rsidRPr="00C57ABA">
              <w:rPr>
                <w:rFonts w:ascii="Arial Narrow" w:eastAsiaTheme="minorEastAsia" w:hAnsi="Arial Narrow"/>
              </w:rPr>
              <w:t>Общност на независимите държави</w:t>
            </w:r>
          </w:p>
        </w:tc>
      </w:tr>
      <w:tr w:rsidR="00845719" w:rsidRPr="00C57ABA" w14:paraId="28428800" w14:textId="77777777" w:rsidTr="005B64EF">
        <w:trPr>
          <w:trHeight w:val="2"/>
        </w:trPr>
        <w:tc>
          <w:tcPr>
            <w:tcW w:w="1980" w:type="dxa"/>
            <w:shd w:val="clear" w:color="auto" w:fill="auto"/>
            <w:vAlign w:val="center"/>
            <w:hideMark/>
          </w:tcPr>
          <w:p w14:paraId="7DB0436F" w14:textId="77777777" w:rsidR="00845719" w:rsidRPr="00C57ABA" w:rsidRDefault="00845719" w:rsidP="00845719">
            <w:pPr>
              <w:rPr>
                <w:rFonts w:ascii="Arial Narrow" w:eastAsiaTheme="minorEastAsia" w:hAnsi="Arial Narrow"/>
              </w:rPr>
            </w:pPr>
            <w:r w:rsidRPr="00C57ABA">
              <w:rPr>
                <w:rFonts w:ascii="Arial Narrow" w:eastAsiaTheme="minorEastAsia" w:hAnsi="Arial Narrow"/>
              </w:rPr>
              <w:t>ООП</w:t>
            </w:r>
          </w:p>
        </w:tc>
        <w:tc>
          <w:tcPr>
            <w:tcW w:w="7796" w:type="dxa"/>
            <w:shd w:val="clear" w:color="auto" w:fill="auto"/>
            <w:vAlign w:val="center"/>
            <w:hideMark/>
          </w:tcPr>
          <w:p w14:paraId="6E17F5ED" w14:textId="77777777" w:rsidR="00845719" w:rsidRPr="00C57ABA" w:rsidRDefault="00845719" w:rsidP="00845719">
            <w:pPr>
              <w:rPr>
                <w:rFonts w:ascii="Arial Narrow" w:eastAsiaTheme="minorEastAsia" w:hAnsi="Arial Narrow"/>
              </w:rPr>
            </w:pPr>
            <w:r w:rsidRPr="00C57ABA">
              <w:rPr>
                <w:rFonts w:ascii="Arial Narrow" w:eastAsiaTheme="minorEastAsia" w:hAnsi="Arial Narrow"/>
              </w:rPr>
              <w:t xml:space="preserve">Обща организация на пазара </w:t>
            </w:r>
          </w:p>
        </w:tc>
      </w:tr>
      <w:tr w:rsidR="00845719" w:rsidRPr="00C57ABA" w14:paraId="7716AF4B" w14:textId="77777777" w:rsidTr="005B64EF">
        <w:trPr>
          <w:trHeight w:val="2"/>
        </w:trPr>
        <w:tc>
          <w:tcPr>
            <w:tcW w:w="1980" w:type="dxa"/>
            <w:shd w:val="clear" w:color="auto" w:fill="auto"/>
            <w:vAlign w:val="center"/>
          </w:tcPr>
          <w:p w14:paraId="1B682811" w14:textId="77777777" w:rsidR="00845719" w:rsidRPr="00C57ABA" w:rsidRDefault="00845719" w:rsidP="00845719">
            <w:pPr>
              <w:rPr>
                <w:rFonts w:ascii="Arial Narrow" w:eastAsiaTheme="minorEastAsia" w:hAnsi="Arial Narrow"/>
              </w:rPr>
            </w:pPr>
            <w:r w:rsidRPr="00C57ABA">
              <w:rPr>
                <w:rFonts w:ascii="Arial Narrow" w:eastAsiaTheme="minorEastAsia" w:hAnsi="Arial Narrow"/>
              </w:rPr>
              <w:lastRenderedPageBreak/>
              <w:t>ОП</w:t>
            </w:r>
          </w:p>
        </w:tc>
        <w:tc>
          <w:tcPr>
            <w:tcW w:w="7796" w:type="dxa"/>
            <w:shd w:val="clear" w:color="auto" w:fill="auto"/>
            <w:noWrap/>
            <w:vAlign w:val="center"/>
          </w:tcPr>
          <w:p w14:paraId="05D5D345" w14:textId="77777777" w:rsidR="00845719" w:rsidRPr="00C57ABA" w:rsidRDefault="00845719" w:rsidP="00845719">
            <w:pPr>
              <w:rPr>
                <w:rFonts w:ascii="Arial Narrow" w:eastAsiaTheme="minorEastAsia" w:hAnsi="Arial Narrow"/>
              </w:rPr>
            </w:pPr>
            <w:r w:rsidRPr="00C57ABA">
              <w:rPr>
                <w:rFonts w:ascii="Arial Narrow" w:eastAsiaTheme="minorEastAsia" w:hAnsi="Arial Narrow"/>
              </w:rPr>
              <w:t>Организации на производители</w:t>
            </w:r>
          </w:p>
        </w:tc>
      </w:tr>
      <w:tr w:rsidR="00845719" w:rsidRPr="00C57ABA" w14:paraId="5AF2E53B" w14:textId="77777777" w:rsidTr="005B64EF">
        <w:trPr>
          <w:trHeight w:val="2"/>
        </w:trPr>
        <w:tc>
          <w:tcPr>
            <w:tcW w:w="1980" w:type="dxa"/>
            <w:shd w:val="clear" w:color="auto" w:fill="auto"/>
            <w:vAlign w:val="center"/>
          </w:tcPr>
          <w:p w14:paraId="3C4FB70C" w14:textId="77777777" w:rsidR="00845719" w:rsidRPr="00C57ABA" w:rsidRDefault="00845719" w:rsidP="00845719">
            <w:pPr>
              <w:rPr>
                <w:rFonts w:ascii="Arial Narrow" w:eastAsiaTheme="minorEastAsia" w:hAnsi="Arial Narrow"/>
              </w:rPr>
            </w:pPr>
            <w:r w:rsidRPr="00C57ABA">
              <w:rPr>
                <w:rFonts w:ascii="Arial Narrow" w:eastAsiaTheme="minorEastAsia" w:hAnsi="Arial Narrow"/>
              </w:rPr>
              <w:t>ОПДУ</w:t>
            </w:r>
          </w:p>
        </w:tc>
        <w:tc>
          <w:tcPr>
            <w:tcW w:w="7796" w:type="dxa"/>
            <w:shd w:val="clear" w:color="auto" w:fill="auto"/>
            <w:noWrap/>
            <w:vAlign w:val="center"/>
          </w:tcPr>
          <w:p w14:paraId="592E294A" w14:textId="77777777" w:rsidR="00845719" w:rsidRPr="00C57ABA" w:rsidRDefault="00845719" w:rsidP="00845719">
            <w:pPr>
              <w:rPr>
                <w:rFonts w:ascii="Arial Narrow" w:eastAsiaTheme="minorEastAsia" w:hAnsi="Arial Narrow"/>
              </w:rPr>
            </w:pPr>
            <w:r w:rsidRPr="00C57ABA">
              <w:rPr>
                <w:rFonts w:ascii="Arial Narrow" w:eastAsiaTheme="minorEastAsia" w:hAnsi="Arial Narrow"/>
              </w:rPr>
              <w:t>Основно подпомагане на доходите за устойчивост</w:t>
            </w:r>
          </w:p>
        </w:tc>
      </w:tr>
      <w:tr w:rsidR="00845719" w:rsidRPr="00C57ABA" w14:paraId="5213CA2F" w14:textId="77777777" w:rsidTr="005B64EF">
        <w:trPr>
          <w:trHeight w:val="2"/>
        </w:trPr>
        <w:tc>
          <w:tcPr>
            <w:tcW w:w="1980" w:type="dxa"/>
            <w:shd w:val="clear" w:color="auto" w:fill="auto"/>
            <w:vAlign w:val="center"/>
            <w:hideMark/>
          </w:tcPr>
          <w:p w14:paraId="3350F11C" w14:textId="77777777" w:rsidR="00845719" w:rsidRPr="00C57ABA" w:rsidRDefault="00845719" w:rsidP="00845719">
            <w:pPr>
              <w:rPr>
                <w:rFonts w:ascii="Arial Narrow" w:eastAsiaTheme="minorEastAsia" w:hAnsi="Arial Narrow"/>
              </w:rPr>
            </w:pPr>
            <w:r w:rsidRPr="00C57ABA">
              <w:rPr>
                <w:rFonts w:ascii="Arial Narrow" w:eastAsiaTheme="minorEastAsia" w:hAnsi="Arial Narrow"/>
              </w:rPr>
              <w:t>ОПИК</w:t>
            </w:r>
          </w:p>
        </w:tc>
        <w:tc>
          <w:tcPr>
            <w:tcW w:w="7796" w:type="dxa"/>
            <w:shd w:val="clear" w:color="auto" w:fill="auto"/>
            <w:noWrap/>
            <w:vAlign w:val="center"/>
            <w:hideMark/>
          </w:tcPr>
          <w:p w14:paraId="433E8F7F" w14:textId="77777777" w:rsidR="00845719" w:rsidRPr="00C57ABA" w:rsidRDefault="00845719" w:rsidP="00845719">
            <w:pPr>
              <w:rPr>
                <w:rFonts w:ascii="Arial Narrow" w:eastAsiaTheme="minorEastAsia" w:hAnsi="Arial Narrow"/>
              </w:rPr>
            </w:pPr>
            <w:r w:rsidRPr="00C57ABA">
              <w:rPr>
                <w:rFonts w:ascii="Arial Narrow" w:eastAsiaTheme="minorEastAsia" w:hAnsi="Arial Narrow"/>
              </w:rPr>
              <w:t>Оперативна програма „Иновации и конкурентоспособност“</w:t>
            </w:r>
          </w:p>
        </w:tc>
      </w:tr>
      <w:tr w:rsidR="00845719" w:rsidRPr="00C57ABA" w14:paraId="56149749" w14:textId="77777777" w:rsidTr="005B64EF">
        <w:trPr>
          <w:trHeight w:val="2"/>
        </w:trPr>
        <w:tc>
          <w:tcPr>
            <w:tcW w:w="1980" w:type="dxa"/>
            <w:shd w:val="clear" w:color="auto" w:fill="auto"/>
            <w:noWrap/>
            <w:vAlign w:val="center"/>
          </w:tcPr>
          <w:p w14:paraId="5C405F1D" w14:textId="77777777" w:rsidR="00845719" w:rsidRPr="00C57ABA" w:rsidRDefault="00845719" w:rsidP="00845719">
            <w:pPr>
              <w:rPr>
                <w:rFonts w:ascii="Arial Narrow" w:eastAsiaTheme="minorEastAsia" w:hAnsi="Arial Narrow"/>
              </w:rPr>
            </w:pPr>
            <w:r w:rsidRPr="00C57ABA">
              <w:rPr>
                <w:rFonts w:ascii="Arial Narrow" w:eastAsiaTheme="minorEastAsia" w:hAnsi="Arial Narrow"/>
              </w:rPr>
              <w:t>ОПНОИР</w:t>
            </w:r>
          </w:p>
        </w:tc>
        <w:tc>
          <w:tcPr>
            <w:tcW w:w="7796" w:type="dxa"/>
            <w:shd w:val="clear" w:color="auto" w:fill="auto"/>
            <w:noWrap/>
            <w:vAlign w:val="center"/>
          </w:tcPr>
          <w:p w14:paraId="2C8DC6E9" w14:textId="77777777" w:rsidR="00845719" w:rsidRPr="00C57ABA" w:rsidRDefault="00845719" w:rsidP="00845719">
            <w:pPr>
              <w:rPr>
                <w:rFonts w:ascii="Arial Narrow" w:eastAsiaTheme="minorEastAsia" w:hAnsi="Arial Narrow"/>
              </w:rPr>
            </w:pPr>
            <w:r w:rsidRPr="00C57ABA">
              <w:rPr>
                <w:rFonts w:ascii="Arial Narrow" w:eastAsiaTheme="minorEastAsia" w:hAnsi="Arial Narrow"/>
              </w:rPr>
              <w:t>Оперативна програма „Наука и образование за интелигентен растеж“</w:t>
            </w:r>
          </w:p>
        </w:tc>
      </w:tr>
      <w:tr w:rsidR="00845719" w:rsidRPr="00C57ABA" w14:paraId="6F03DE91" w14:textId="77777777" w:rsidTr="005B64EF">
        <w:trPr>
          <w:trHeight w:val="2"/>
        </w:trPr>
        <w:tc>
          <w:tcPr>
            <w:tcW w:w="1980" w:type="dxa"/>
            <w:shd w:val="clear" w:color="auto" w:fill="auto"/>
            <w:noWrap/>
            <w:vAlign w:val="center"/>
            <w:hideMark/>
          </w:tcPr>
          <w:p w14:paraId="6EFC9FA9" w14:textId="77777777" w:rsidR="00845719" w:rsidRPr="00C57ABA" w:rsidRDefault="00845719" w:rsidP="00845719">
            <w:pPr>
              <w:rPr>
                <w:rFonts w:ascii="Arial Narrow" w:eastAsiaTheme="minorEastAsia" w:hAnsi="Arial Narrow"/>
              </w:rPr>
            </w:pPr>
            <w:r w:rsidRPr="00C57ABA">
              <w:rPr>
                <w:rFonts w:ascii="Arial Narrow" w:eastAsiaTheme="minorEastAsia" w:hAnsi="Arial Narrow"/>
              </w:rPr>
              <w:t>ОПОР</w:t>
            </w:r>
          </w:p>
        </w:tc>
        <w:tc>
          <w:tcPr>
            <w:tcW w:w="7796" w:type="dxa"/>
            <w:shd w:val="clear" w:color="auto" w:fill="auto"/>
            <w:noWrap/>
            <w:vAlign w:val="center"/>
            <w:hideMark/>
          </w:tcPr>
          <w:p w14:paraId="6C8615EC" w14:textId="77777777" w:rsidR="00845719" w:rsidRPr="00C57ABA" w:rsidRDefault="00845719" w:rsidP="00845719">
            <w:pPr>
              <w:rPr>
                <w:rFonts w:ascii="Arial Narrow" w:eastAsiaTheme="minorEastAsia" w:hAnsi="Arial Narrow"/>
              </w:rPr>
            </w:pPr>
            <w:r w:rsidRPr="00C57ABA">
              <w:rPr>
                <w:rFonts w:ascii="Arial Narrow" w:eastAsiaTheme="minorEastAsia" w:hAnsi="Arial Narrow"/>
              </w:rPr>
              <w:t>Обща политика в областта на рибарството</w:t>
            </w:r>
          </w:p>
        </w:tc>
      </w:tr>
      <w:tr w:rsidR="00845719" w:rsidRPr="00C57ABA" w14:paraId="5DBEA874" w14:textId="77777777" w:rsidTr="005B64EF">
        <w:trPr>
          <w:trHeight w:val="2"/>
        </w:trPr>
        <w:tc>
          <w:tcPr>
            <w:tcW w:w="1980" w:type="dxa"/>
            <w:shd w:val="clear" w:color="auto" w:fill="auto"/>
            <w:vAlign w:val="center"/>
            <w:hideMark/>
          </w:tcPr>
          <w:p w14:paraId="027E46CF" w14:textId="77777777" w:rsidR="00845719" w:rsidRPr="00C57ABA" w:rsidRDefault="00845719" w:rsidP="00845719">
            <w:pPr>
              <w:rPr>
                <w:rFonts w:ascii="Arial Narrow" w:eastAsiaTheme="minorEastAsia" w:hAnsi="Arial Narrow"/>
              </w:rPr>
            </w:pPr>
            <w:r w:rsidRPr="00C57ABA">
              <w:rPr>
                <w:rFonts w:ascii="Arial Narrow" w:eastAsiaTheme="minorEastAsia" w:hAnsi="Arial Narrow"/>
              </w:rPr>
              <w:t>ОПОС</w:t>
            </w:r>
          </w:p>
        </w:tc>
        <w:tc>
          <w:tcPr>
            <w:tcW w:w="7796" w:type="dxa"/>
            <w:shd w:val="clear" w:color="auto" w:fill="auto"/>
            <w:vAlign w:val="center"/>
            <w:hideMark/>
          </w:tcPr>
          <w:p w14:paraId="416F167E" w14:textId="77777777" w:rsidR="00845719" w:rsidRPr="00C57ABA" w:rsidRDefault="00845719" w:rsidP="00845719">
            <w:pPr>
              <w:rPr>
                <w:rFonts w:ascii="Arial Narrow" w:eastAsiaTheme="minorEastAsia" w:hAnsi="Arial Narrow"/>
              </w:rPr>
            </w:pPr>
            <w:r w:rsidRPr="00C57ABA">
              <w:rPr>
                <w:rFonts w:ascii="Arial Narrow" w:eastAsiaTheme="minorEastAsia" w:hAnsi="Arial Narrow"/>
              </w:rPr>
              <w:t>Оперативна програма „Околна среда“</w:t>
            </w:r>
          </w:p>
        </w:tc>
      </w:tr>
      <w:tr w:rsidR="00845719" w:rsidRPr="00C57ABA" w14:paraId="4F7DC1BE" w14:textId="77777777" w:rsidTr="005B64EF">
        <w:trPr>
          <w:trHeight w:val="2"/>
        </w:trPr>
        <w:tc>
          <w:tcPr>
            <w:tcW w:w="1980" w:type="dxa"/>
            <w:shd w:val="clear" w:color="auto" w:fill="auto"/>
            <w:noWrap/>
            <w:vAlign w:val="center"/>
            <w:hideMark/>
          </w:tcPr>
          <w:p w14:paraId="76516253" w14:textId="77777777" w:rsidR="00845719" w:rsidRPr="00C57ABA" w:rsidRDefault="00845719" w:rsidP="00845719">
            <w:pPr>
              <w:rPr>
                <w:rFonts w:ascii="Arial Narrow" w:eastAsiaTheme="minorEastAsia" w:hAnsi="Arial Narrow"/>
              </w:rPr>
            </w:pPr>
            <w:r w:rsidRPr="00C57ABA">
              <w:rPr>
                <w:rFonts w:ascii="Arial Narrow" w:eastAsiaTheme="minorEastAsia" w:hAnsi="Arial Narrow"/>
              </w:rPr>
              <w:t>ОПРР</w:t>
            </w:r>
          </w:p>
        </w:tc>
        <w:tc>
          <w:tcPr>
            <w:tcW w:w="7796" w:type="dxa"/>
            <w:shd w:val="clear" w:color="auto" w:fill="auto"/>
            <w:noWrap/>
            <w:vAlign w:val="center"/>
            <w:hideMark/>
          </w:tcPr>
          <w:p w14:paraId="2B35F17B" w14:textId="77777777" w:rsidR="00845719" w:rsidRPr="00C57ABA" w:rsidRDefault="00845719" w:rsidP="00845719">
            <w:pPr>
              <w:rPr>
                <w:rFonts w:ascii="Arial Narrow" w:eastAsiaTheme="minorEastAsia" w:hAnsi="Arial Narrow"/>
              </w:rPr>
            </w:pPr>
            <w:r w:rsidRPr="00C57ABA">
              <w:rPr>
                <w:rFonts w:ascii="Arial Narrow" w:eastAsiaTheme="minorEastAsia" w:hAnsi="Arial Narrow"/>
              </w:rPr>
              <w:t>Оперативна програма „Регионално развитие”</w:t>
            </w:r>
          </w:p>
        </w:tc>
      </w:tr>
      <w:tr w:rsidR="00845719" w:rsidRPr="00C57ABA" w14:paraId="113261B1" w14:textId="77777777" w:rsidTr="005B64EF">
        <w:trPr>
          <w:trHeight w:val="2"/>
        </w:trPr>
        <w:tc>
          <w:tcPr>
            <w:tcW w:w="1980" w:type="dxa"/>
            <w:shd w:val="clear" w:color="auto" w:fill="auto"/>
            <w:vAlign w:val="center"/>
            <w:hideMark/>
          </w:tcPr>
          <w:p w14:paraId="267E697F" w14:textId="77777777" w:rsidR="00845719" w:rsidRPr="00C57ABA" w:rsidRDefault="00845719" w:rsidP="00845719">
            <w:pPr>
              <w:rPr>
                <w:rFonts w:ascii="Arial Narrow" w:eastAsiaTheme="minorEastAsia" w:hAnsi="Arial Narrow"/>
              </w:rPr>
            </w:pPr>
            <w:r w:rsidRPr="00C57ABA">
              <w:rPr>
                <w:rFonts w:ascii="Arial Narrow" w:eastAsiaTheme="minorEastAsia" w:hAnsi="Arial Narrow"/>
              </w:rPr>
              <w:t>ОПРСР</w:t>
            </w:r>
          </w:p>
        </w:tc>
        <w:tc>
          <w:tcPr>
            <w:tcW w:w="7796" w:type="dxa"/>
            <w:shd w:val="clear" w:color="auto" w:fill="auto"/>
            <w:vAlign w:val="center"/>
            <w:hideMark/>
          </w:tcPr>
          <w:p w14:paraId="5AA1EDF3" w14:textId="77777777" w:rsidR="00845719" w:rsidRPr="00C57ABA" w:rsidRDefault="00845719" w:rsidP="00845719">
            <w:pPr>
              <w:rPr>
                <w:rFonts w:ascii="Arial Narrow" w:eastAsiaTheme="minorEastAsia" w:hAnsi="Arial Narrow"/>
              </w:rPr>
            </w:pPr>
            <w:r w:rsidRPr="00C57ABA">
              <w:rPr>
                <w:rFonts w:ascii="Arial Narrow" w:eastAsiaTheme="minorEastAsia" w:hAnsi="Arial Narrow"/>
              </w:rPr>
              <w:t xml:space="preserve">Оперативна програма за развитие на сектор “Рибарство” </w:t>
            </w:r>
          </w:p>
        </w:tc>
      </w:tr>
      <w:tr w:rsidR="00845719" w:rsidRPr="00C57ABA" w14:paraId="75D1998D" w14:textId="77777777" w:rsidTr="005B64EF">
        <w:trPr>
          <w:trHeight w:val="2"/>
        </w:trPr>
        <w:tc>
          <w:tcPr>
            <w:tcW w:w="1980" w:type="dxa"/>
            <w:shd w:val="clear" w:color="auto" w:fill="auto"/>
            <w:vAlign w:val="center"/>
            <w:hideMark/>
          </w:tcPr>
          <w:p w14:paraId="54DA71AE" w14:textId="77777777" w:rsidR="00845719" w:rsidRPr="00C57ABA" w:rsidRDefault="00845719" w:rsidP="00845719">
            <w:pPr>
              <w:rPr>
                <w:rFonts w:ascii="Arial Narrow" w:eastAsiaTheme="minorEastAsia" w:hAnsi="Arial Narrow"/>
              </w:rPr>
            </w:pPr>
            <w:r w:rsidRPr="00C57ABA">
              <w:rPr>
                <w:rFonts w:ascii="Arial Narrow" w:eastAsiaTheme="minorEastAsia" w:hAnsi="Arial Narrow"/>
              </w:rPr>
              <w:t>ОПРЧР</w:t>
            </w:r>
          </w:p>
        </w:tc>
        <w:tc>
          <w:tcPr>
            <w:tcW w:w="7796" w:type="dxa"/>
            <w:shd w:val="clear" w:color="auto" w:fill="auto"/>
            <w:noWrap/>
            <w:vAlign w:val="center"/>
            <w:hideMark/>
          </w:tcPr>
          <w:p w14:paraId="5B480AC2" w14:textId="77777777" w:rsidR="00845719" w:rsidRPr="00C57ABA" w:rsidRDefault="00845719" w:rsidP="00845719">
            <w:pPr>
              <w:rPr>
                <w:rFonts w:ascii="Arial Narrow" w:eastAsiaTheme="minorEastAsia" w:hAnsi="Arial Narrow"/>
              </w:rPr>
            </w:pPr>
            <w:r w:rsidRPr="00C57ABA">
              <w:rPr>
                <w:rFonts w:ascii="Arial Narrow" w:eastAsiaTheme="minorEastAsia" w:hAnsi="Arial Narrow"/>
              </w:rPr>
              <w:t>Оперативна програма „Развитие на човешките ресурси“</w:t>
            </w:r>
          </w:p>
        </w:tc>
      </w:tr>
      <w:tr w:rsidR="00845719" w:rsidRPr="00C57ABA" w14:paraId="61EE4998" w14:textId="77777777" w:rsidTr="005B64EF">
        <w:trPr>
          <w:trHeight w:val="2"/>
        </w:trPr>
        <w:tc>
          <w:tcPr>
            <w:tcW w:w="1980" w:type="dxa"/>
            <w:shd w:val="clear" w:color="auto" w:fill="auto"/>
            <w:vAlign w:val="center"/>
            <w:hideMark/>
          </w:tcPr>
          <w:p w14:paraId="04FCB7B4" w14:textId="77777777" w:rsidR="00845719" w:rsidRPr="00C57ABA" w:rsidRDefault="00845719" w:rsidP="00845719">
            <w:pPr>
              <w:rPr>
                <w:rFonts w:ascii="Arial Narrow" w:eastAsiaTheme="minorEastAsia" w:hAnsi="Arial Narrow"/>
              </w:rPr>
            </w:pPr>
            <w:r w:rsidRPr="00C57ABA">
              <w:rPr>
                <w:rFonts w:ascii="Arial Narrow" w:eastAsiaTheme="minorEastAsia" w:hAnsi="Arial Narrow"/>
              </w:rPr>
              <w:t>ОСП</w:t>
            </w:r>
          </w:p>
        </w:tc>
        <w:tc>
          <w:tcPr>
            <w:tcW w:w="7796" w:type="dxa"/>
            <w:shd w:val="clear" w:color="auto" w:fill="auto"/>
            <w:vAlign w:val="center"/>
            <w:hideMark/>
          </w:tcPr>
          <w:p w14:paraId="6E202312" w14:textId="77777777" w:rsidR="00845719" w:rsidRPr="00C57ABA" w:rsidRDefault="00845719" w:rsidP="00845719">
            <w:pPr>
              <w:rPr>
                <w:rFonts w:ascii="Arial Narrow" w:eastAsiaTheme="minorEastAsia" w:hAnsi="Arial Narrow"/>
              </w:rPr>
            </w:pPr>
            <w:r w:rsidRPr="00C57ABA">
              <w:rPr>
                <w:rFonts w:ascii="Arial Narrow" w:eastAsiaTheme="minorEastAsia" w:hAnsi="Arial Narrow"/>
              </w:rPr>
              <w:t>Обща селскостопанска политика</w:t>
            </w:r>
          </w:p>
        </w:tc>
      </w:tr>
      <w:tr w:rsidR="00845719" w:rsidRPr="00C57ABA" w14:paraId="67B6291A" w14:textId="77777777" w:rsidTr="005B64EF">
        <w:trPr>
          <w:trHeight w:val="2"/>
        </w:trPr>
        <w:tc>
          <w:tcPr>
            <w:tcW w:w="1980" w:type="dxa"/>
            <w:shd w:val="clear" w:color="auto" w:fill="auto"/>
            <w:noWrap/>
            <w:vAlign w:val="center"/>
            <w:hideMark/>
          </w:tcPr>
          <w:p w14:paraId="0D8A4754" w14:textId="77777777" w:rsidR="00845719" w:rsidRPr="00C57ABA" w:rsidRDefault="00845719" w:rsidP="00845719">
            <w:pPr>
              <w:rPr>
                <w:rFonts w:ascii="Arial Narrow" w:eastAsiaTheme="minorEastAsia" w:hAnsi="Arial Narrow"/>
              </w:rPr>
            </w:pPr>
            <w:r w:rsidRPr="00C57ABA">
              <w:rPr>
                <w:rFonts w:ascii="Arial Narrow" w:eastAsiaTheme="minorEastAsia" w:hAnsi="Arial Narrow"/>
              </w:rPr>
              <w:t>Памук</w:t>
            </w:r>
          </w:p>
        </w:tc>
        <w:tc>
          <w:tcPr>
            <w:tcW w:w="7796" w:type="dxa"/>
            <w:shd w:val="clear" w:color="auto" w:fill="auto"/>
            <w:noWrap/>
            <w:vAlign w:val="center"/>
            <w:hideMark/>
          </w:tcPr>
          <w:p w14:paraId="0CDF25B4" w14:textId="77777777" w:rsidR="00845719" w:rsidRPr="00C57ABA" w:rsidRDefault="00845719" w:rsidP="00845719">
            <w:pPr>
              <w:rPr>
                <w:rFonts w:ascii="Arial Narrow" w:eastAsiaTheme="minorEastAsia" w:hAnsi="Arial Narrow"/>
              </w:rPr>
            </w:pPr>
            <w:r w:rsidRPr="00C57ABA">
              <w:rPr>
                <w:rFonts w:ascii="Arial Narrow" w:eastAsiaTheme="minorEastAsia" w:hAnsi="Arial Narrow"/>
              </w:rPr>
              <w:t xml:space="preserve">Специално плащане за култура – памук </w:t>
            </w:r>
          </w:p>
        </w:tc>
      </w:tr>
      <w:tr w:rsidR="00845719" w:rsidRPr="00C57ABA" w14:paraId="18C23F5B" w14:textId="77777777" w:rsidTr="005B64EF">
        <w:trPr>
          <w:trHeight w:val="2"/>
        </w:trPr>
        <w:tc>
          <w:tcPr>
            <w:tcW w:w="1980" w:type="dxa"/>
            <w:shd w:val="clear" w:color="auto" w:fill="auto"/>
            <w:noWrap/>
            <w:vAlign w:val="center"/>
            <w:hideMark/>
          </w:tcPr>
          <w:p w14:paraId="5253CBEC" w14:textId="77777777" w:rsidR="00845719" w:rsidRPr="00C57ABA" w:rsidRDefault="00845719" w:rsidP="00845719">
            <w:pPr>
              <w:rPr>
                <w:rFonts w:ascii="Arial Narrow" w:eastAsiaTheme="minorEastAsia" w:hAnsi="Arial Narrow"/>
              </w:rPr>
            </w:pPr>
            <w:r w:rsidRPr="00C57ABA">
              <w:rPr>
                <w:rFonts w:ascii="Arial Narrow" w:eastAsiaTheme="minorEastAsia" w:hAnsi="Arial Narrow"/>
              </w:rPr>
              <w:t>ПМДР</w:t>
            </w:r>
          </w:p>
        </w:tc>
        <w:tc>
          <w:tcPr>
            <w:tcW w:w="7796" w:type="dxa"/>
            <w:shd w:val="clear" w:color="auto" w:fill="auto"/>
            <w:noWrap/>
            <w:vAlign w:val="center"/>
            <w:hideMark/>
          </w:tcPr>
          <w:p w14:paraId="73C2F1C6" w14:textId="77777777" w:rsidR="00845719" w:rsidRPr="00C57ABA" w:rsidRDefault="00845719" w:rsidP="00845719">
            <w:pPr>
              <w:rPr>
                <w:rFonts w:ascii="Arial Narrow" w:eastAsiaTheme="minorEastAsia" w:hAnsi="Arial Narrow"/>
              </w:rPr>
            </w:pPr>
            <w:r w:rsidRPr="00C57ABA">
              <w:rPr>
                <w:rFonts w:ascii="Arial Narrow" w:eastAsiaTheme="minorEastAsia" w:hAnsi="Arial Narrow"/>
              </w:rPr>
              <w:t xml:space="preserve">Програма за морско дело и рибарство </w:t>
            </w:r>
          </w:p>
        </w:tc>
      </w:tr>
      <w:tr w:rsidR="00845719" w:rsidRPr="00C57ABA" w14:paraId="2BEBBE07" w14:textId="77777777" w:rsidTr="005B64EF">
        <w:trPr>
          <w:trHeight w:val="2"/>
        </w:trPr>
        <w:tc>
          <w:tcPr>
            <w:tcW w:w="1980" w:type="dxa"/>
            <w:shd w:val="clear" w:color="auto" w:fill="auto"/>
            <w:noWrap/>
            <w:vAlign w:val="center"/>
          </w:tcPr>
          <w:p w14:paraId="6F053470" w14:textId="77777777" w:rsidR="00845719" w:rsidRPr="00B735CA" w:rsidRDefault="00845719" w:rsidP="00845719">
            <w:pPr>
              <w:rPr>
                <w:rFonts w:ascii="Arial Narrow" w:eastAsiaTheme="minorEastAsia" w:hAnsi="Arial Narrow"/>
              </w:rPr>
            </w:pPr>
            <w:r w:rsidRPr="00B735CA">
              <w:rPr>
                <w:rFonts w:ascii="Arial Narrow" w:eastAsiaTheme="minorEastAsia" w:hAnsi="Arial Narrow"/>
              </w:rPr>
              <w:t>ПМДРА</w:t>
            </w:r>
          </w:p>
        </w:tc>
        <w:tc>
          <w:tcPr>
            <w:tcW w:w="7796" w:type="dxa"/>
            <w:shd w:val="clear" w:color="auto" w:fill="auto"/>
            <w:noWrap/>
            <w:vAlign w:val="center"/>
          </w:tcPr>
          <w:p w14:paraId="35B9973D" w14:textId="77777777" w:rsidR="00845719" w:rsidRPr="00B735CA" w:rsidRDefault="00845719" w:rsidP="00845719">
            <w:pPr>
              <w:rPr>
                <w:rFonts w:ascii="Arial Narrow" w:eastAsiaTheme="minorEastAsia" w:hAnsi="Arial Narrow"/>
              </w:rPr>
            </w:pPr>
            <w:r w:rsidRPr="00B735CA">
              <w:rPr>
                <w:rFonts w:ascii="Arial Narrow" w:eastAsiaTheme="minorEastAsia" w:hAnsi="Arial Narrow"/>
              </w:rPr>
              <w:t>Програма за морско дело, рибарство и аквакултури</w:t>
            </w:r>
          </w:p>
        </w:tc>
      </w:tr>
      <w:tr w:rsidR="00845719" w:rsidRPr="00C57ABA" w14:paraId="2AFFAF9B" w14:textId="77777777" w:rsidTr="005B64EF">
        <w:trPr>
          <w:trHeight w:val="2"/>
        </w:trPr>
        <w:tc>
          <w:tcPr>
            <w:tcW w:w="1980" w:type="dxa"/>
            <w:shd w:val="clear" w:color="auto" w:fill="auto"/>
            <w:noWrap/>
            <w:vAlign w:val="center"/>
          </w:tcPr>
          <w:p w14:paraId="0DE5D53C" w14:textId="77777777" w:rsidR="00845719" w:rsidRPr="00C57ABA" w:rsidRDefault="00845719" w:rsidP="00845719">
            <w:pPr>
              <w:rPr>
                <w:rFonts w:ascii="Arial Narrow" w:eastAsiaTheme="minorEastAsia" w:hAnsi="Arial Narrow"/>
              </w:rPr>
            </w:pPr>
            <w:r w:rsidRPr="00C57ABA">
              <w:rPr>
                <w:rFonts w:ascii="Arial Narrow" w:eastAsiaTheme="minorEastAsia" w:hAnsi="Arial Narrow"/>
              </w:rPr>
              <w:t>ПНДЖ1</w:t>
            </w:r>
          </w:p>
        </w:tc>
        <w:tc>
          <w:tcPr>
            <w:tcW w:w="7796" w:type="dxa"/>
            <w:shd w:val="clear" w:color="auto" w:fill="auto"/>
            <w:noWrap/>
            <w:vAlign w:val="center"/>
          </w:tcPr>
          <w:p w14:paraId="4532053C" w14:textId="77777777" w:rsidR="00845719" w:rsidRPr="00C57ABA" w:rsidRDefault="00845719" w:rsidP="00845719">
            <w:pPr>
              <w:rPr>
                <w:rFonts w:ascii="Arial Narrow" w:eastAsiaTheme="minorEastAsia" w:hAnsi="Arial Narrow"/>
              </w:rPr>
            </w:pPr>
            <w:r w:rsidRPr="00C57ABA">
              <w:rPr>
                <w:rFonts w:ascii="Arial Narrow" w:eastAsiaTheme="minorEastAsia" w:hAnsi="Arial Narrow"/>
              </w:rPr>
              <w:t>Преходна национална помощ за говеда, необвързана с производството</w:t>
            </w:r>
          </w:p>
        </w:tc>
      </w:tr>
      <w:tr w:rsidR="00845719" w:rsidRPr="00C57ABA" w14:paraId="3DFD01A4" w14:textId="77777777" w:rsidTr="005B64EF">
        <w:trPr>
          <w:trHeight w:val="2"/>
        </w:trPr>
        <w:tc>
          <w:tcPr>
            <w:tcW w:w="1980" w:type="dxa"/>
            <w:shd w:val="clear" w:color="auto" w:fill="auto"/>
            <w:noWrap/>
            <w:vAlign w:val="center"/>
          </w:tcPr>
          <w:p w14:paraId="2E009ADC" w14:textId="77777777" w:rsidR="00845719" w:rsidRPr="00C57ABA" w:rsidRDefault="00845719" w:rsidP="00845719">
            <w:pPr>
              <w:rPr>
                <w:rFonts w:ascii="Arial Narrow" w:eastAsiaTheme="minorEastAsia" w:hAnsi="Arial Narrow"/>
              </w:rPr>
            </w:pPr>
            <w:r w:rsidRPr="00C57ABA">
              <w:rPr>
                <w:rFonts w:ascii="Arial Narrow" w:eastAsiaTheme="minorEastAsia" w:hAnsi="Arial Narrow"/>
              </w:rPr>
              <w:t>ПНДЖ3</w:t>
            </w:r>
          </w:p>
        </w:tc>
        <w:tc>
          <w:tcPr>
            <w:tcW w:w="7796" w:type="dxa"/>
            <w:shd w:val="clear" w:color="auto" w:fill="auto"/>
            <w:noWrap/>
            <w:vAlign w:val="center"/>
          </w:tcPr>
          <w:p w14:paraId="6841C3AF" w14:textId="77777777" w:rsidR="00845719" w:rsidRPr="00C57ABA" w:rsidRDefault="00845719" w:rsidP="00845719">
            <w:pPr>
              <w:rPr>
                <w:rFonts w:ascii="Arial Narrow" w:eastAsiaTheme="minorEastAsia" w:hAnsi="Arial Narrow"/>
              </w:rPr>
            </w:pPr>
            <w:r w:rsidRPr="00C57ABA">
              <w:rPr>
                <w:rFonts w:ascii="Arial Narrow" w:eastAsiaTheme="minorEastAsia" w:hAnsi="Arial Narrow"/>
              </w:rPr>
              <w:t xml:space="preserve">Преходна национална помощ за овце-майки и/или кози-майки, обвързана с производството </w:t>
            </w:r>
          </w:p>
        </w:tc>
      </w:tr>
      <w:tr w:rsidR="00845719" w:rsidRPr="00C57ABA" w14:paraId="4F07BE87" w14:textId="77777777" w:rsidTr="005B64EF">
        <w:trPr>
          <w:trHeight w:val="2"/>
        </w:trPr>
        <w:tc>
          <w:tcPr>
            <w:tcW w:w="1980" w:type="dxa"/>
            <w:shd w:val="clear" w:color="auto" w:fill="auto"/>
            <w:noWrap/>
            <w:vAlign w:val="center"/>
          </w:tcPr>
          <w:p w14:paraId="2E34CE17" w14:textId="77777777" w:rsidR="00845719" w:rsidRPr="00C57ABA" w:rsidRDefault="00845719" w:rsidP="00845719">
            <w:pPr>
              <w:rPr>
                <w:rFonts w:ascii="Arial Narrow" w:eastAsiaTheme="minorEastAsia" w:hAnsi="Arial Narrow"/>
              </w:rPr>
            </w:pPr>
            <w:r w:rsidRPr="00C57ABA">
              <w:rPr>
                <w:rFonts w:ascii="Arial Narrow" w:eastAsiaTheme="minorEastAsia" w:hAnsi="Arial Narrow"/>
              </w:rPr>
              <w:t>ПНДТ</w:t>
            </w:r>
          </w:p>
        </w:tc>
        <w:tc>
          <w:tcPr>
            <w:tcW w:w="7796" w:type="dxa"/>
            <w:shd w:val="clear" w:color="auto" w:fill="auto"/>
            <w:noWrap/>
            <w:vAlign w:val="center"/>
          </w:tcPr>
          <w:p w14:paraId="3AD31635" w14:textId="77777777" w:rsidR="00845719" w:rsidRPr="00C57ABA" w:rsidRDefault="00845719" w:rsidP="00845719">
            <w:pPr>
              <w:rPr>
                <w:rFonts w:ascii="Arial Narrow" w:eastAsiaTheme="minorEastAsia" w:hAnsi="Arial Narrow"/>
              </w:rPr>
            </w:pPr>
            <w:r w:rsidRPr="00C57ABA">
              <w:rPr>
                <w:rFonts w:ascii="Arial Narrow" w:eastAsiaTheme="minorEastAsia" w:hAnsi="Arial Narrow"/>
              </w:rPr>
              <w:t>Преходна национална помощ за тютюн, необвързана с производството</w:t>
            </w:r>
          </w:p>
        </w:tc>
      </w:tr>
      <w:tr w:rsidR="00845719" w:rsidRPr="00C57ABA" w14:paraId="042EBC7C" w14:textId="77777777" w:rsidTr="005B64EF">
        <w:trPr>
          <w:trHeight w:val="2"/>
        </w:trPr>
        <w:tc>
          <w:tcPr>
            <w:tcW w:w="1980" w:type="dxa"/>
            <w:shd w:val="clear" w:color="auto" w:fill="auto"/>
            <w:vAlign w:val="center"/>
            <w:hideMark/>
          </w:tcPr>
          <w:p w14:paraId="7725219F" w14:textId="77777777" w:rsidR="00845719" w:rsidRPr="00C57ABA" w:rsidRDefault="00845719" w:rsidP="00845719">
            <w:pPr>
              <w:rPr>
                <w:rFonts w:ascii="Arial Narrow" w:eastAsiaTheme="minorEastAsia" w:hAnsi="Arial Narrow"/>
              </w:rPr>
            </w:pPr>
            <w:r w:rsidRPr="00C57ABA">
              <w:rPr>
                <w:rFonts w:ascii="Arial Narrow" w:eastAsiaTheme="minorEastAsia" w:hAnsi="Arial Narrow"/>
              </w:rPr>
              <w:t>ППЗСПЗЗ</w:t>
            </w:r>
          </w:p>
        </w:tc>
        <w:tc>
          <w:tcPr>
            <w:tcW w:w="7796" w:type="dxa"/>
            <w:shd w:val="clear" w:color="auto" w:fill="auto"/>
            <w:vAlign w:val="center"/>
            <w:hideMark/>
          </w:tcPr>
          <w:p w14:paraId="6687D622" w14:textId="77777777" w:rsidR="00845719" w:rsidRPr="00C57ABA" w:rsidRDefault="00845719" w:rsidP="00845719">
            <w:pPr>
              <w:rPr>
                <w:rFonts w:ascii="Arial Narrow" w:eastAsiaTheme="minorEastAsia" w:hAnsi="Arial Narrow"/>
              </w:rPr>
            </w:pPr>
            <w:r w:rsidRPr="00C57ABA">
              <w:rPr>
                <w:rFonts w:ascii="Arial Narrow" w:eastAsiaTheme="minorEastAsia" w:hAnsi="Arial Narrow"/>
              </w:rPr>
              <w:t xml:space="preserve">Правилник за прилагане на Закона за собствеността и ползването на земеделските земи </w:t>
            </w:r>
          </w:p>
        </w:tc>
      </w:tr>
      <w:tr w:rsidR="00845719" w:rsidRPr="00C57ABA" w14:paraId="060355D1" w14:textId="77777777" w:rsidTr="005B64EF">
        <w:trPr>
          <w:trHeight w:val="2"/>
        </w:trPr>
        <w:tc>
          <w:tcPr>
            <w:tcW w:w="1980" w:type="dxa"/>
            <w:shd w:val="clear" w:color="auto" w:fill="auto"/>
            <w:vAlign w:val="center"/>
            <w:hideMark/>
          </w:tcPr>
          <w:p w14:paraId="10018444" w14:textId="77777777" w:rsidR="00845719" w:rsidRPr="00C57ABA" w:rsidRDefault="00845719" w:rsidP="00845719">
            <w:pPr>
              <w:rPr>
                <w:rFonts w:ascii="Arial Narrow" w:eastAsiaTheme="minorEastAsia" w:hAnsi="Arial Narrow"/>
              </w:rPr>
            </w:pPr>
            <w:r w:rsidRPr="00C57ABA">
              <w:rPr>
                <w:rFonts w:ascii="Arial Narrow" w:eastAsiaTheme="minorEastAsia" w:hAnsi="Arial Narrow"/>
              </w:rPr>
              <w:t>ПРЗ</w:t>
            </w:r>
          </w:p>
        </w:tc>
        <w:tc>
          <w:tcPr>
            <w:tcW w:w="7796" w:type="dxa"/>
            <w:shd w:val="clear" w:color="auto" w:fill="auto"/>
            <w:vAlign w:val="center"/>
            <w:hideMark/>
          </w:tcPr>
          <w:p w14:paraId="253BE66B" w14:textId="77777777" w:rsidR="00845719" w:rsidRPr="00C57ABA" w:rsidRDefault="00845719" w:rsidP="00845719">
            <w:pPr>
              <w:rPr>
                <w:rFonts w:ascii="Arial Narrow" w:eastAsiaTheme="minorEastAsia" w:hAnsi="Arial Narrow"/>
              </w:rPr>
            </w:pPr>
            <w:r w:rsidRPr="00C57ABA">
              <w:rPr>
                <w:rFonts w:ascii="Arial Narrow" w:eastAsiaTheme="minorEastAsia" w:hAnsi="Arial Narrow"/>
              </w:rPr>
              <w:t xml:space="preserve">Продукти за растителна защита </w:t>
            </w:r>
          </w:p>
        </w:tc>
      </w:tr>
      <w:tr w:rsidR="00845719" w:rsidRPr="00C57ABA" w14:paraId="724A265C" w14:textId="77777777" w:rsidTr="005B64EF">
        <w:trPr>
          <w:trHeight w:val="2"/>
        </w:trPr>
        <w:tc>
          <w:tcPr>
            <w:tcW w:w="1980" w:type="dxa"/>
            <w:shd w:val="clear" w:color="auto" w:fill="auto"/>
            <w:vAlign w:val="center"/>
            <w:hideMark/>
          </w:tcPr>
          <w:p w14:paraId="48FFD637" w14:textId="77777777" w:rsidR="00845719" w:rsidRPr="00C57ABA" w:rsidRDefault="00845719" w:rsidP="00845719">
            <w:pPr>
              <w:rPr>
                <w:rFonts w:ascii="Arial Narrow" w:eastAsiaTheme="minorEastAsia" w:hAnsi="Arial Narrow"/>
              </w:rPr>
            </w:pPr>
            <w:r w:rsidRPr="00C57ABA">
              <w:rPr>
                <w:rFonts w:ascii="Arial Narrow" w:eastAsiaTheme="minorEastAsia" w:hAnsi="Arial Narrow"/>
              </w:rPr>
              <w:t xml:space="preserve">ПРСР </w:t>
            </w:r>
          </w:p>
        </w:tc>
        <w:tc>
          <w:tcPr>
            <w:tcW w:w="7796" w:type="dxa"/>
            <w:shd w:val="clear" w:color="auto" w:fill="auto"/>
            <w:vAlign w:val="center"/>
            <w:hideMark/>
          </w:tcPr>
          <w:p w14:paraId="19C9EB07" w14:textId="77777777" w:rsidR="00845719" w:rsidRPr="00C57ABA" w:rsidRDefault="00845719" w:rsidP="00845719">
            <w:pPr>
              <w:rPr>
                <w:rFonts w:ascii="Arial Narrow" w:eastAsiaTheme="minorEastAsia" w:hAnsi="Arial Narrow"/>
              </w:rPr>
            </w:pPr>
            <w:r w:rsidRPr="00C57ABA">
              <w:rPr>
                <w:rFonts w:ascii="Arial Narrow" w:eastAsiaTheme="minorEastAsia" w:hAnsi="Arial Narrow"/>
              </w:rPr>
              <w:t xml:space="preserve">Програма за развитие на селските райони </w:t>
            </w:r>
          </w:p>
        </w:tc>
      </w:tr>
      <w:tr w:rsidR="00845719" w:rsidRPr="00C57ABA" w14:paraId="0A317293" w14:textId="77777777" w:rsidTr="005B64EF">
        <w:trPr>
          <w:trHeight w:val="2"/>
        </w:trPr>
        <w:tc>
          <w:tcPr>
            <w:tcW w:w="1980" w:type="dxa"/>
            <w:shd w:val="clear" w:color="auto" w:fill="auto"/>
            <w:vAlign w:val="center"/>
          </w:tcPr>
          <w:p w14:paraId="21AE87D1" w14:textId="77777777" w:rsidR="00845719" w:rsidRPr="00C57ABA" w:rsidRDefault="00845719" w:rsidP="00845719">
            <w:pPr>
              <w:rPr>
                <w:rFonts w:ascii="Arial Narrow" w:eastAsiaTheme="minorEastAsia" w:hAnsi="Arial Narrow"/>
              </w:rPr>
            </w:pPr>
            <w:r w:rsidRPr="00C57ABA">
              <w:rPr>
                <w:rFonts w:ascii="Arial Narrow" w:eastAsiaTheme="minorEastAsia" w:hAnsi="Arial Narrow"/>
              </w:rPr>
              <w:t>ПС</w:t>
            </w:r>
          </w:p>
        </w:tc>
        <w:tc>
          <w:tcPr>
            <w:tcW w:w="7796" w:type="dxa"/>
            <w:shd w:val="clear" w:color="auto" w:fill="auto"/>
            <w:vAlign w:val="center"/>
          </w:tcPr>
          <w:p w14:paraId="3F9D2216" w14:textId="77777777" w:rsidR="00845719" w:rsidRPr="00C57ABA" w:rsidRDefault="00845719" w:rsidP="00845719">
            <w:pPr>
              <w:rPr>
                <w:rFonts w:ascii="Arial Narrow" w:eastAsiaTheme="minorEastAsia" w:hAnsi="Arial Narrow"/>
              </w:rPr>
            </w:pPr>
            <w:r w:rsidRPr="00C57ABA">
              <w:rPr>
                <w:rFonts w:ascii="Arial Narrow" w:eastAsiaTheme="minorEastAsia" w:hAnsi="Arial Narrow"/>
              </w:rPr>
              <w:t>Приоритет на Съюза</w:t>
            </w:r>
          </w:p>
        </w:tc>
      </w:tr>
      <w:tr w:rsidR="00845719" w:rsidRPr="00C57ABA" w14:paraId="45CEAEDF" w14:textId="77777777" w:rsidTr="005B64EF">
        <w:trPr>
          <w:trHeight w:val="2"/>
        </w:trPr>
        <w:tc>
          <w:tcPr>
            <w:tcW w:w="1980" w:type="dxa"/>
            <w:shd w:val="clear" w:color="auto" w:fill="auto"/>
            <w:vAlign w:val="center"/>
            <w:hideMark/>
          </w:tcPr>
          <w:p w14:paraId="260516F1" w14:textId="77777777" w:rsidR="00845719" w:rsidRPr="00C57ABA" w:rsidRDefault="00845719" w:rsidP="00845719">
            <w:pPr>
              <w:rPr>
                <w:rFonts w:ascii="Arial Narrow" w:eastAsiaTheme="minorEastAsia" w:hAnsi="Arial Narrow"/>
              </w:rPr>
            </w:pPr>
            <w:r w:rsidRPr="00C57ABA">
              <w:rPr>
                <w:rFonts w:ascii="Arial Narrow" w:eastAsiaTheme="minorEastAsia" w:hAnsi="Arial Narrow"/>
              </w:rPr>
              <w:t>ПЧИ</w:t>
            </w:r>
          </w:p>
        </w:tc>
        <w:tc>
          <w:tcPr>
            <w:tcW w:w="7796" w:type="dxa"/>
            <w:shd w:val="clear" w:color="auto" w:fill="auto"/>
            <w:vAlign w:val="center"/>
            <w:hideMark/>
          </w:tcPr>
          <w:p w14:paraId="2C4DF577" w14:textId="77777777" w:rsidR="00845719" w:rsidRPr="00C57ABA" w:rsidRDefault="00845719" w:rsidP="00845719">
            <w:pPr>
              <w:rPr>
                <w:rFonts w:ascii="Arial Narrow" w:eastAsiaTheme="minorEastAsia" w:hAnsi="Arial Narrow"/>
              </w:rPr>
            </w:pPr>
            <w:r w:rsidRPr="00C57ABA">
              <w:rPr>
                <w:rFonts w:ascii="Arial Narrow" w:eastAsiaTheme="minorEastAsia" w:hAnsi="Arial Narrow"/>
              </w:rPr>
              <w:t>Преки чуждестранни инвестиции</w:t>
            </w:r>
          </w:p>
        </w:tc>
      </w:tr>
      <w:tr w:rsidR="00845719" w:rsidRPr="00C57ABA" w14:paraId="6ED5B8B4" w14:textId="77777777" w:rsidTr="005B64EF">
        <w:trPr>
          <w:trHeight w:val="2"/>
        </w:trPr>
        <w:tc>
          <w:tcPr>
            <w:tcW w:w="1980" w:type="dxa"/>
            <w:shd w:val="clear" w:color="auto" w:fill="auto"/>
            <w:vAlign w:val="center"/>
            <w:hideMark/>
          </w:tcPr>
          <w:p w14:paraId="25177648" w14:textId="77777777" w:rsidR="00845719" w:rsidRPr="00C57ABA" w:rsidRDefault="00845719" w:rsidP="00845719">
            <w:pPr>
              <w:rPr>
                <w:rFonts w:ascii="Arial Narrow" w:eastAsiaTheme="minorEastAsia" w:hAnsi="Arial Narrow"/>
              </w:rPr>
            </w:pPr>
            <w:r w:rsidRPr="00C57ABA">
              <w:rPr>
                <w:rFonts w:ascii="Arial Narrow" w:eastAsiaTheme="minorEastAsia" w:hAnsi="Arial Narrow"/>
              </w:rPr>
              <w:t>РДГ</w:t>
            </w:r>
          </w:p>
        </w:tc>
        <w:tc>
          <w:tcPr>
            <w:tcW w:w="7796" w:type="dxa"/>
            <w:shd w:val="clear" w:color="auto" w:fill="auto"/>
            <w:vAlign w:val="center"/>
            <w:hideMark/>
          </w:tcPr>
          <w:p w14:paraId="102176C2" w14:textId="77777777" w:rsidR="00845719" w:rsidRPr="00C57ABA" w:rsidRDefault="00845719" w:rsidP="00845719">
            <w:pPr>
              <w:rPr>
                <w:rFonts w:ascii="Arial Narrow" w:eastAsiaTheme="minorEastAsia" w:hAnsi="Arial Narrow"/>
              </w:rPr>
            </w:pPr>
            <w:r w:rsidRPr="00C57ABA">
              <w:rPr>
                <w:rFonts w:ascii="Arial Narrow" w:eastAsiaTheme="minorEastAsia" w:hAnsi="Arial Narrow"/>
              </w:rPr>
              <w:t>Регионална дирекция по горите</w:t>
            </w:r>
          </w:p>
        </w:tc>
      </w:tr>
      <w:tr w:rsidR="00845719" w:rsidRPr="00C57ABA" w14:paraId="0C21B768" w14:textId="77777777" w:rsidTr="005B64EF">
        <w:trPr>
          <w:trHeight w:val="2"/>
        </w:trPr>
        <w:tc>
          <w:tcPr>
            <w:tcW w:w="1980" w:type="dxa"/>
            <w:shd w:val="clear" w:color="auto" w:fill="auto"/>
            <w:vAlign w:val="center"/>
            <w:hideMark/>
          </w:tcPr>
          <w:p w14:paraId="181BD57E" w14:textId="77777777" w:rsidR="00845719" w:rsidRPr="00C57ABA" w:rsidRDefault="00845719" w:rsidP="00845719">
            <w:pPr>
              <w:rPr>
                <w:rFonts w:ascii="Arial Narrow" w:eastAsiaTheme="minorEastAsia" w:hAnsi="Arial Narrow"/>
              </w:rPr>
            </w:pPr>
            <w:r w:rsidRPr="00C57ABA">
              <w:rPr>
                <w:rFonts w:ascii="Arial Narrow" w:eastAsiaTheme="minorEastAsia" w:hAnsi="Arial Narrow"/>
              </w:rPr>
              <w:t>РМС</w:t>
            </w:r>
          </w:p>
        </w:tc>
        <w:tc>
          <w:tcPr>
            <w:tcW w:w="7796" w:type="dxa"/>
            <w:shd w:val="clear" w:color="auto" w:fill="auto"/>
            <w:vAlign w:val="center"/>
            <w:hideMark/>
          </w:tcPr>
          <w:p w14:paraId="7ED9FF3D" w14:textId="77777777" w:rsidR="00845719" w:rsidRPr="00C57ABA" w:rsidRDefault="00845719" w:rsidP="00845719">
            <w:pPr>
              <w:rPr>
                <w:rFonts w:ascii="Arial Narrow" w:eastAsiaTheme="minorEastAsia" w:hAnsi="Arial Narrow"/>
              </w:rPr>
            </w:pPr>
            <w:r w:rsidRPr="00C57ABA">
              <w:rPr>
                <w:rFonts w:ascii="Arial Narrow" w:eastAsiaTheme="minorEastAsia" w:hAnsi="Arial Narrow"/>
              </w:rPr>
              <w:t>Решение на Министерски съвет</w:t>
            </w:r>
          </w:p>
        </w:tc>
      </w:tr>
      <w:tr w:rsidR="00845719" w:rsidRPr="00C57ABA" w14:paraId="424BE102" w14:textId="77777777" w:rsidTr="005B64EF">
        <w:trPr>
          <w:trHeight w:val="2"/>
        </w:trPr>
        <w:tc>
          <w:tcPr>
            <w:tcW w:w="1980" w:type="dxa"/>
            <w:shd w:val="clear" w:color="auto" w:fill="auto"/>
            <w:vAlign w:val="center"/>
            <w:hideMark/>
          </w:tcPr>
          <w:p w14:paraId="0485C828" w14:textId="77777777" w:rsidR="00845719" w:rsidRPr="00C57ABA" w:rsidRDefault="00845719" w:rsidP="00845719">
            <w:pPr>
              <w:rPr>
                <w:rFonts w:ascii="Arial Narrow" w:eastAsiaTheme="minorEastAsia" w:hAnsi="Arial Narrow"/>
              </w:rPr>
            </w:pPr>
            <w:r w:rsidRPr="00C57ABA">
              <w:rPr>
                <w:rFonts w:ascii="Arial Narrow" w:eastAsiaTheme="minorEastAsia" w:hAnsi="Arial Narrow"/>
              </w:rPr>
              <w:t>РХС</w:t>
            </w:r>
          </w:p>
        </w:tc>
        <w:tc>
          <w:tcPr>
            <w:tcW w:w="7796" w:type="dxa"/>
            <w:shd w:val="clear" w:color="auto" w:fill="auto"/>
            <w:vAlign w:val="center"/>
            <w:hideMark/>
          </w:tcPr>
          <w:p w14:paraId="1B5C62ED" w14:textId="77777777" w:rsidR="00845719" w:rsidRPr="00C57ABA" w:rsidRDefault="00845719" w:rsidP="00845719">
            <w:pPr>
              <w:rPr>
                <w:rFonts w:ascii="Arial Narrow" w:eastAsiaTheme="minorEastAsia" w:hAnsi="Arial Narrow"/>
              </w:rPr>
            </w:pPr>
            <w:r w:rsidRPr="00C57ABA">
              <w:rPr>
                <w:rFonts w:ascii="Arial Narrow" w:eastAsiaTheme="minorEastAsia" w:hAnsi="Arial Narrow"/>
              </w:rPr>
              <w:t>Различимост, хомогенност и стабилност</w:t>
            </w:r>
          </w:p>
        </w:tc>
      </w:tr>
      <w:tr w:rsidR="00845719" w:rsidRPr="00C57ABA" w14:paraId="24F4B551" w14:textId="77777777" w:rsidTr="005B64EF">
        <w:trPr>
          <w:trHeight w:val="2"/>
        </w:trPr>
        <w:tc>
          <w:tcPr>
            <w:tcW w:w="1980" w:type="dxa"/>
            <w:shd w:val="clear" w:color="auto" w:fill="auto"/>
            <w:vAlign w:val="center"/>
          </w:tcPr>
          <w:p w14:paraId="7403EB6E" w14:textId="77777777" w:rsidR="00845719" w:rsidRPr="00C57ABA" w:rsidRDefault="00845719" w:rsidP="00845719">
            <w:pPr>
              <w:rPr>
                <w:rFonts w:ascii="Arial Narrow" w:eastAsiaTheme="minorEastAsia" w:hAnsi="Arial Narrow"/>
              </w:rPr>
            </w:pPr>
            <w:r w:rsidRPr="00C57ABA">
              <w:rPr>
                <w:rFonts w:ascii="Arial Narrow" w:eastAsiaTheme="minorEastAsia" w:hAnsi="Arial Narrow"/>
              </w:rPr>
              <w:t>СЕУ</w:t>
            </w:r>
          </w:p>
        </w:tc>
        <w:tc>
          <w:tcPr>
            <w:tcW w:w="7796" w:type="dxa"/>
            <w:shd w:val="clear" w:color="auto" w:fill="auto"/>
            <w:vAlign w:val="center"/>
          </w:tcPr>
          <w:p w14:paraId="556BD5C4" w14:textId="77777777" w:rsidR="00845719" w:rsidRPr="00C57ABA" w:rsidRDefault="00845719" w:rsidP="00845719">
            <w:pPr>
              <w:rPr>
                <w:rFonts w:ascii="Arial Narrow" w:eastAsiaTheme="minorEastAsia" w:hAnsi="Arial Narrow"/>
              </w:rPr>
            </w:pPr>
            <w:r w:rsidRPr="00C57ABA">
              <w:rPr>
                <w:rFonts w:ascii="Arial Narrow" w:eastAsiaTheme="minorEastAsia" w:hAnsi="Arial Narrow"/>
              </w:rPr>
              <w:t>Система за електронни услуги</w:t>
            </w:r>
          </w:p>
        </w:tc>
      </w:tr>
      <w:tr w:rsidR="00845719" w:rsidRPr="00C57ABA" w14:paraId="52DFDF9F" w14:textId="77777777" w:rsidTr="005B64EF">
        <w:trPr>
          <w:trHeight w:val="2"/>
        </w:trPr>
        <w:tc>
          <w:tcPr>
            <w:tcW w:w="1980" w:type="dxa"/>
            <w:shd w:val="clear" w:color="auto" w:fill="auto"/>
            <w:vAlign w:val="center"/>
            <w:hideMark/>
          </w:tcPr>
          <w:p w14:paraId="5ADCBA98" w14:textId="77777777" w:rsidR="00845719" w:rsidRPr="00C57ABA" w:rsidRDefault="00845719" w:rsidP="00845719">
            <w:pPr>
              <w:rPr>
                <w:rFonts w:ascii="Arial Narrow" w:eastAsiaTheme="minorEastAsia" w:hAnsi="Arial Narrow"/>
              </w:rPr>
            </w:pPr>
            <w:r w:rsidRPr="00C57ABA">
              <w:rPr>
                <w:rFonts w:ascii="Arial Narrow" w:eastAsiaTheme="minorEastAsia" w:hAnsi="Arial Narrow"/>
              </w:rPr>
              <w:t>СИЗП</w:t>
            </w:r>
          </w:p>
        </w:tc>
        <w:tc>
          <w:tcPr>
            <w:tcW w:w="7796" w:type="dxa"/>
            <w:shd w:val="clear" w:color="auto" w:fill="auto"/>
            <w:vAlign w:val="center"/>
            <w:hideMark/>
          </w:tcPr>
          <w:p w14:paraId="60EF2EB6" w14:textId="77777777" w:rsidR="00845719" w:rsidRPr="00C57ABA" w:rsidRDefault="00845719" w:rsidP="00845719">
            <w:pPr>
              <w:rPr>
                <w:rFonts w:ascii="Arial Narrow" w:eastAsiaTheme="minorEastAsia" w:hAnsi="Arial Narrow"/>
              </w:rPr>
            </w:pPr>
            <w:r w:rsidRPr="00C57ABA">
              <w:rPr>
                <w:rFonts w:ascii="Arial Narrow" w:eastAsiaTheme="minorEastAsia" w:hAnsi="Arial Narrow"/>
              </w:rPr>
              <w:t>Система за идентификация на земеделските парцели</w:t>
            </w:r>
          </w:p>
        </w:tc>
      </w:tr>
      <w:tr w:rsidR="00845719" w:rsidRPr="00C57ABA" w14:paraId="52173BB1" w14:textId="77777777" w:rsidTr="005B64EF">
        <w:trPr>
          <w:trHeight w:val="2"/>
        </w:trPr>
        <w:tc>
          <w:tcPr>
            <w:tcW w:w="1980" w:type="dxa"/>
            <w:shd w:val="clear" w:color="auto" w:fill="auto"/>
            <w:noWrap/>
            <w:vAlign w:val="center"/>
            <w:hideMark/>
          </w:tcPr>
          <w:p w14:paraId="7192B8FD" w14:textId="77777777" w:rsidR="00845719" w:rsidRPr="00C57ABA" w:rsidRDefault="00845719" w:rsidP="00845719">
            <w:pPr>
              <w:rPr>
                <w:rFonts w:ascii="Arial Narrow" w:eastAsiaTheme="minorEastAsia" w:hAnsi="Arial Narrow"/>
              </w:rPr>
            </w:pPr>
            <w:r w:rsidRPr="00C57ABA">
              <w:rPr>
                <w:rFonts w:ascii="Arial Narrow" w:eastAsiaTheme="minorEastAsia" w:hAnsi="Arial Narrow"/>
              </w:rPr>
              <w:t>СМР</w:t>
            </w:r>
          </w:p>
        </w:tc>
        <w:tc>
          <w:tcPr>
            <w:tcW w:w="7796" w:type="dxa"/>
            <w:shd w:val="clear" w:color="auto" w:fill="auto"/>
            <w:noWrap/>
            <w:vAlign w:val="center"/>
            <w:hideMark/>
          </w:tcPr>
          <w:p w14:paraId="24CFC722" w14:textId="77777777" w:rsidR="00845719" w:rsidRPr="00C57ABA" w:rsidRDefault="00845719" w:rsidP="00845719">
            <w:pPr>
              <w:rPr>
                <w:rFonts w:ascii="Arial Narrow" w:eastAsiaTheme="minorEastAsia" w:hAnsi="Arial Narrow"/>
              </w:rPr>
            </w:pPr>
            <w:r w:rsidRPr="00C57ABA">
              <w:rPr>
                <w:rFonts w:ascii="Arial Narrow" w:eastAsiaTheme="minorEastAsia" w:hAnsi="Arial Narrow"/>
              </w:rPr>
              <w:t>Стратегии за местно развитие</w:t>
            </w:r>
          </w:p>
        </w:tc>
      </w:tr>
      <w:tr w:rsidR="00845719" w:rsidRPr="00C57ABA" w14:paraId="11DC7181" w14:textId="77777777" w:rsidTr="005B64EF">
        <w:trPr>
          <w:trHeight w:val="2"/>
        </w:trPr>
        <w:tc>
          <w:tcPr>
            <w:tcW w:w="1980" w:type="dxa"/>
            <w:shd w:val="clear" w:color="auto" w:fill="auto"/>
            <w:vAlign w:val="center"/>
            <w:hideMark/>
          </w:tcPr>
          <w:p w14:paraId="6059D50F" w14:textId="77777777" w:rsidR="00845719" w:rsidRPr="00C57ABA" w:rsidRDefault="00845719" w:rsidP="00845719">
            <w:pPr>
              <w:rPr>
                <w:rFonts w:ascii="Arial Narrow" w:eastAsiaTheme="minorEastAsia" w:hAnsi="Arial Narrow"/>
              </w:rPr>
            </w:pPr>
            <w:r w:rsidRPr="00C57ABA">
              <w:rPr>
                <w:rFonts w:ascii="Arial Narrow" w:eastAsiaTheme="minorEastAsia" w:hAnsi="Arial Narrow"/>
              </w:rPr>
              <w:t>СН</w:t>
            </w:r>
          </w:p>
        </w:tc>
        <w:tc>
          <w:tcPr>
            <w:tcW w:w="7796" w:type="dxa"/>
            <w:shd w:val="clear" w:color="auto" w:fill="auto"/>
            <w:vAlign w:val="center"/>
            <w:hideMark/>
          </w:tcPr>
          <w:p w14:paraId="714F7F88" w14:textId="77777777" w:rsidR="00845719" w:rsidRPr="00C57ABA" w:rsidRDefault="00845719" w:rsidP="00845719">
            <w:pPr>
              <w:rPr>
                <w:rFonts w:ascii="Arial Narrow" w:eastAsiaTheme="minorEastAsia" w:hAnsi="Arial Narrow"/>
              </w:rPr>
            </w:pPr>
            <w:r w:rsidRPr="00C57ABA">
              <w:rPr>
                <w:rFonts w:ascii="Arial Narrow" w:eastAsiaTheme="minorEastAsia" w:hAnsi="Arial Narrow"/>
              </w:rPr>
              <w:t>Сдружения за напояване</w:t>
            </w:r>
          </w:p>
        </w:tc>
      </w:tr>
      <w:tr w:rsidR="00845719" w:rsidRPr="00C57ABA" w14:paraId="4AA5CEF1" w14:textId="77777777" w:rsidTr="005B64EF">
        <w:trPr>
          <w:trHeight w:val="2"/>
        </w:trPr>
        <w:tc>
          <w:tcPr>
            <w:tcW w:w="1980" w:type="dxa"/>
            <w:shd w:val="clear" w:color="auto" w:fill="auto"/>
            <w:vAlign w:val="center"/>
          </w:tcPr>
          <w:p w14:paraId="50FB2752" w14:textId="77777777" w:rsidR="00845719" w:rsidRPr="00C57ABA" w:rsidRDefault="00845719" w:rsidP="00845719">
            <w:pPr>
              <w:rPr>
                <w:rFonts w:ascii="Arial Narrow" w:eastAsiaTheme="minorEastAsia" w:hAnsi="Arial Narrow"/>
              </w:rPr>
            </w:pPr>
            <w:r w:rsidRPr="00C57ABA">
              <w:rPr>
                <w:rFonts w:ascii="Arial Narrow" w:eastAsiaTheme="minorEastAsia" w:hAnsi="Arial Narrow"/>
              </w:rPr>
              <w:t>СПРЗСР</w:t>
            </w:r>
          </w:p>
        </w:tc>
        <w:tc>
          <w:tcPr>
            <w:tcW w:w="7796" w:type="dxa"/>
            <w:shd w:val="clear" w:color="auto" w:fill="auto"/>
            <w:noWrap/>
            <w:vAlign w:val="center"/>
          </w:tcPr>
          <w:p w14:paraId="4E205D3D" w14:textId="77777777" w:rsidR="00845719" w:rsidRPr="00C57ABA" w:rsidRDefault="00845719" w:rsidP="00845719">
            <w:pPr>
              <w:rPr>
                <w:rFonts w:ascii="Arial Narrow" w:eastAsiaTheme="minorEastAsia" w:hAnsi="Arial Narrow"/>
              </w:rPr>
            </w:pPr>
            <w:r w:rsidRPr="00C57ABA">
              <w:rPr>
                <w:rFonts w:ascii="Arial Narrow" w:eastAsiaTheme="minorEastAsia" w:hAnsi="Arial Narrow"/>
              </w:rPr>
              <w:t>Стратегически план за развитие на земеделието и селските райони</w:t>
            </w:r>
          </w:p>
        </w:tc>
      </w:tr>
      <w:tr w:rsidR="00845719" w:rsidRPr="00C57ABA" w14:paraId="317B5418" w14:textId="77777777" w:rsidTr="005B64EF">
        <w:trPr>
          <w:trHeight w:val="2"/>
        </w:trPr>
        <w:tc>
          <w:tcPr>
            <w:tcW w:w="1980" w:type="dxa"/>
            <w:shd w:val="clear" w:color="auto" w:fill="auto"/>
            <w:vAlign w:val="center"/>
            <w:hideMark/>
          </w:tcPr>
          <w:p w14:paraId="5600CEF6" w14:textId="77777777" w:rsidR="00845719" w:rsidRPr="00C57ABA" w:rsidRDefault="00845719" w:rsidP="00845719">
            <w:pPr>
              <w:rPr>
                <w:rFonts w:ascii="Arial Narrow" w:eastAsiaTheme="minorEastAsia" w:hAnsi="Arial Narrow"/>
              </w:rPr>
            </w:pPr>
            <w:r w:rsidRPr="00C57ABA">
              <w:rPr>
                <w:rFonts w:ascii="Arial Narrow" w:eastAsiaTheme="minorEastAsia" w:hAnsi="Arial Narrow"/>
              </w:rPr>
              <w:t>ССА</w:t>
            </w:r>
          </w:p>
        </w:tc>
        <w:tc>
          <w:tcPr>
            <w:tcW w:w="7796" w:type="dxa"/>
            <w:shd w:val="clear" w:color="auto" w:fill="auto"/>
            <w:vAlign w:val="center"/>
            <w:hideMark/>
          </w:tcPr>
          <w:p w14:paraId="7810A448" w14:textId="77777777" w:rsidR="00845719" w:rsidRPr="00C57ABA" w:rsidRDefault="00845719" w:rsidP="00845719">
            <w:pPr>
              <w:rPr>
                <w:rFonts w:ascii="Arial Narrow" w:eastAsiaTheme="minorEastAsia" w:hAnsi="Arial Narrow"/>
              </w:rPr>
            </w:pPr>
            <w:r w:rsidRPr="00C57ABA">
              <w:rPr>
                <w:rFonts w:ascii="Arial Narrow" w:eastAsiaTheme="minorEastAsia" w:hAnsi="Arial Narrow"/>
              </w:rPr>
              <w:t>Селскостопанска академия</w:t>
            </w:r>
          </w:p>
        </w:tc>
      </w:tr>
      <w:tr w:rsidR="00845719" w:rsidRPr="00C57ABA" w14:paraId="5DD7DB66" w14:textId="77777777" w:rsidTr="005B64EF">
        <w:trPr>
          <w:trHeight w:val="2"/>
        </w:trPr>
        <w:tc>
          <w:tcPr>
            <w:tcW w:w="1980" w:type="dxa"/>
            <w:shd w:val="clear" w:color="auto" w:fill="auto"/>
            <w:noWrap/>
            <w:vAlign w:val="center"/>
          </w:tcPr>
          <w:p w14:paraId="6355F2F6" w14:textId="77777777" w:rsidR="00845719" w:rsidRPr="00C57ABA" w:rsidRDefault="00845719" w:rsidP="00845719">
            <w:pPr>
              <w:rPr>
                <w:rFonts w:ascii="Arial Narrow" w:hAnsi="Arial Narrow"/>
              </w:rPr>
            </w:pPr>
            <w:r w:rsidRPr="00C57ABA">
              <w:rPr>
                <w:rFonts w:ascii="Arial Narrow" w:eastAsiaTheme="minorEastAsia" w:hAnsi="Arial Narrow"/>
              </w:rPr>
              <w:t>ФХА</w:t>
            </w:r>
          </w:p>
        </w:tc>
        <w:tc>
          <w:tcPr>
            <w:tcW w:w="7796" w:type="dxa"/>
            <w:shd w:val="clear" w:color="auto" w:fill="auto"/>
            <w:noWrap/>
            <w:vAlign w:val="center"/>
          </w:tcPr>
          <w:p w14:paraId="7356A3D3" w14:textId="77777777" w:rsidR="00845719" w:rsidRPr="00C57ABA" w:rsidRDefault="00845719" w:rsidP="00845719">
            <w:pPr>
              <w:rPr>
                <w:rFonts w:ascii="Arial Narrow" w:hAnsi="Arial Narrow"/>
              </w:rPr>
            </w:pPr>
            <w:r w:rsidRPr="00C57ABA">
              <w:rPr>
                <w:rFonts w:ascii="Arial Narrow" w:eastAsiaTheme="minorEastAsia" w:hAnsi="Arial Narrow"/>
              </w:rPr>
              <w:t>Физико-химичен анализ</w:t>
            </w:r>
          </w:p>
        </w:tc>
      </w:tr>
      <w:tr w:rsidR="00845719" w:rsidRPr="00C57ABA" w14:paraId="344E19C6" w14:textId="77777777" w:rsidTr="005B64EF">
        <w:trPr>
          <w:trHeight w:val="2"/>
        </w:trPr>
        <w:tc>
          <w:tcPr>
            <w:tcW w:w="1980" w:type="dxa"/>
            <w:shd w:val="clear" w:color="auto" w:fill="auto"/>
            <w:noWrap/>
            <w:vAlign w:val="center"/>
            <w:hideMark/>
          </w:tcPr>
          <w:p w14:paraId="3D08BABC" w14:textId="77777777" w:rsidR="00845719" w:rsidRPr="00C57ABA" w:rsidRDefault="00845719" w:rsidP="00845719">
            <w:pPr>
              <w:rPr>
                <w:rFonts w:ascii="Arial Narrow" w:eastAsiaTheme="minorEastAsia" w:hAnsi="Arial Narrow"/>
              </w:rPr>
            </w:pPr>
            <w:r w:rsidRPr="00C57ABA">
              <w:rPr>
                <w:rFonts w:ascii="Arial Narrow" w:eastAsiaTheme="minorEastAsia" w:hAnsi="Arial Narrow"/>
              </w:rPr>
              <w:t>ХВП</w:t>
            </w:r>
          </w:p>
        </w:tc>
        <w:tc>
          <w:tcPr>
            <w:tcW w:w="7796" w:type="dxa"/>
            <w:shd w:val="clear" w:color="auto" w:fill="auto"/>
            <w:noWrap/>
            <w:vAlign w:val="center"/>
            <w:hideMark/>
          </w:tcPr>
          <w:p w14:paraId="12F0A09B" w14:textId="77777777" w:rsidR="00845719" w:rsidRPr="00C57ABA" w:rsidRDefault="00845719" w:rsidP="00845719">
            <w:pPr>
              <w:rPr>
                <w:rFonts w:ascii="Arial Narrow" w:eastAsiaTheme="minorEastAsia" w:hAnsi="Arial Narrow"/>
              </w:rPr>
            </w:pPr>
            <w:r w:rsidRPr="00C57ABA">
              <w:rPr>
                <w:rFonts w:ascii="Arial Narrow" w:eastAsiaTheme="minorEastAsia" w:hAnsi="Arial Narrow"/>
              </w:rPr>
              <w:t>Хранително-вкусова промишленост</w:t>
            </w:r>
          </w:p>
        </w:tc>
      </w:tr>
      <w:tr w:rsidR="00845719" w:rsidRPr="00C57ABA" w14:paraId="2ED5A8F8" w14:textId="77777777" w:rsidTr="005B64EF">
        <w:trPr>
          <w:trHeight w:val="2"/>
        </w:trPr>
        <w:tc>
          <w:tcPr>
            <w:tcW w:w="1980" w:type="dxa"/>
            <w:shd w:val="clear" w:color="auto" w:fill="auto"/>
            <w:vAlign w:val="center"/>
            <w:hideMark/>
          </w:tcPr>
          <w:p w14:paraId="333F9500" w14:textId="77777777" w:rsidR="00845719" w:rsidRPr="00C57ABA" w:rsidRDefault="00845719" w:rsidP="00845719">
            <w:pPr>
              <w:rPr>
                <w:rFonts w:ascii="Arial Narrow" w:eastAsiaTheme="minorEastAsia" w:hAnsi="Arial Narrow"/>
              </w:rPr>
            </w:pPr>
            <w:r w:rsidRPr="00C57ABA">
              <w:rPr>
                <w:rFonts w:ascii="Arial Narrow" w:eastAsiaTheme="minorEastAsia" w:hAnsi="Arial Narrow"/>
              </w:rPr>
              <w:t>ХТСХ</w:t>
            </w:r>
          </w:p>
        </w:tc>
        <w:tc>
          <w:tcPr>
            <w:tcW w:w="7796" w:type="dxa"/>
            <w:shd w:val="clear" w:color="auto" w:fill="auto"/>
            <w:vAlign w:val="center"/>
            <w:hideMark/>
          </w:tcPr>
          <w:p w14:paraId="2943F333" w14:textId="77777777" w:rsidR="00845719" w:rsidRPr="00C57ABA" w:rsidRDefault="00845719" w:rsidP="00845719">
            <w:pPr>
              <w:rPr>
                <w:rFonts w:ascii="Arial Narrow" w:eastAsiaTheme="minorEastAsia" w:hAnsi="Arial Narrow"/>
              </w:rPr>
            </w:pPr>
            <w:r w:rsidRPr="00C57ABA">
              <w:rPr>
                <w:rFonts w:ascii="Arial Narrow" w:eastAsiaTheme="minorEastAsia" w:hAnsi="Arial Narrow"/>
              </w:rPr>
              <w:t>Храна с традиционно-специфичен вкус</w:t>
            </w:r>
          </w:p>
        </w:tc>
      </w:tr>
      <w:tr w:rsidR="00845719" w:rsidRPr="00C57ABA" w14:paraId="750AC996" w14:textId="77777777" w:rsidTr="005B64EF">
        <w:trPr>
          <w:trHeight w:val="2"/>
        </w:trPr>
        <w:tc>
          <w:tcPr>
            <w:tcW w:w="1980" w:type="dxa"/>
            <w:shd w:val="clear" w:color="auto" w:fill="auto"/>
            <w:vAlign w:val="center"/>
            <w:hideMark/>
          </w:tcPr>
          <w:p w14:paraId="55C009D5" w14:textId="77777777" w:rsidR="00845719" w:rsidRPr="00C57ABA" w:rsidRDefault="00845719" w:rsidP="00845719">
            <w:pPr>
              <w:rPr>
                <w:rFonts w:ascii="Arial Narrow" w:eastAsiaTheme="minorEastAsia" w:hAnsi="Arial Narrow"/>
              </w:rPr>
            </w:pPr>
            <w:r w:rsidRPr="00C57ABA">
              <w:rPr>
                <w:rFonts w:ascii="Arial Narrow" w:eastAsiaTheme="minorEastAsia" w:hAnsi="Arial Narrow"/>
              </w:rPr>
              <w:t>ЦЛВСЕЕ</w:t>
            </w:r>
          </w:p>
        </w:tc>
        <w:tc>
          <w:tcPr>
            <w:tcW w:w="7796" w:type="dxa"/>
            <w:shd w:val="clear" w:color="auto" w:fill="auto"/>
            <w:vAlign w:val="center"/>
            <w:hideMark/>
          </w:tcPr>
          <w:p w14:paraId="4346251E" w14:textId="77777777" w:rsidR="00845719" w:rsidRPr="00C57ABA" w:rsidRDefault="00845719" w:rsidP="00845719">
            <w:pPr>
              <w:rPr>
                <w:rFonts w:ascii="Arial Narrow" w:eastAsiaTheme="minorEastAsia" w:hAnsi="Arial Narrow"/>
              </w:rPr>
            </w:pPr>
            <w:r w:rsidRPr="00C57ABA">
              <w:rPr>
                <w:rFonts w:ascii="Arial Narrow" w:eastAsiaTheme="minorEastAsia" w:hAnsi="Arial Narrow"/>
              </w:rPr>
              <w:t xml:space="preserve">Централна лаборатория по ветеринарно-санитарна експертиза и екология </w:t>
            </w:r>
          </w:p>
        </w:tc>
      </w:tr>
      <w:tr w:rsidR="00845719" w:rsidRPr="00C57ABA" w14:paraId="292D33E3" w14:textId="77777777" w:rsidTr="005B64EF">
        <w:trPr>
          <w:trHeight w:val="2"/>
        </w:trPr>
        <w:tc>
          <w:tcPr>
            <w:tcW w:w="1980" w:type="dxa"/>
            <w:shd w:val="clear" w:color="auto" w:fill="auto"/>
            <w:vAlign w:val="center"/>
            <w:hideMark/>
          </w:tcPr>
          <w:p w14:paraId="39E46997" w14:textId="77777777" w:rsidR="00845719" w:rsidRPr="00C57ABA" w:rsidRDefault="00845719" w:rsidP="00845719">
            <w:pPr>
              <w:rPr>
                <w:rFonts w:ascii="Arial Narrow" w:eastAsiaTheme="minorEastAsia" w:hAnsi="Arial Narrow"/>
              </w:rPr>
            </w:pPr>
            <w:r w:rsidRPr="00C57ABA">
              <w:rPr>
                <w:rFonts w:ascii="Arial Narrow" w:eastAsiaTheme="minorEastAsia" w:hAnsi="Arial Narrow"/>
              </w:rPr>
              <w:t>ЦЛКР</w:t>
            </w:r>
          </w:p>
        </w:tc>
        <w:tc>
          <w:tcPr>
            <w:tcW w:w="7796" w:type="dxa"/>
            <w:shd w:val="clear" w:color="auto" w:fill="auto"/>
            <w:vAlign w:val="center"/>
            <w:hideMark/>
          </w:tcPr>
          <w:p w14:paraId="0AB3A77E" w14:textId="77777777" w:rsidR="00845719" w:rsidRPr="00C57ABA" w:rsidRDefault="00845719" w:rsidP="00845719">
            <w:pPr>
              <w:rPr>
                <w:rFonts w:ascii="Arial Narrow" w:eastAsiaTheme="minorEastAsia" w:hAnsi="Arial Narrow"/>
              </w:rPr>
            </w:pPr>
            <w:r w:rsidRPr="00C57ABA">
              <w:rPr>
                <w:rFonts w:ascii="Arial Narrow" w:eastAsiaTheme="minorEastAsia" w:hAnsi="Arial Narrow"/>
              </w:rPr>
              <w:t xml:space="preserve">Централна лаборатория по карантина на растенията </w:t>
            </w:r>
          </w:p>
        </w:tc>
      </w:tr>
      <w:tr w:rsidR="00845719" w:rsidRPr="00C57ABA" w14:paraId="52D1CB65" w14:textId="77777777" w:rsidTr="005B64EF">
        <w:trPr>
          <w:trHeight w:val="2"/>
        </w:trPr>
        <w:tc>
          <w:tcPr>
            <w:tcW w:w="1980" w:type="dxa"/>
            <w:shd w:val="clear" w:color="auto" w:fill="auto"/>
            <w:vAlign w:val="center"/>
            <w:hideMark/>
          </w:tcPr>
          <w:p w14:paraId="462C5E43" w14:textId="77777777" w:rsidR="00845719" w:rsidRPr="00C57ABA" w:rsidRDefault="00845719" w:rsidP="00845719">
            <w:pPr>
              <w:rPr>
                <w:rFonts w:ascii="Arial Narrow" w:eastAsiaTheme="minorEastAsia" w:hAnsi="Arial Narrow"/>
              </w:rPr>
            </w:pPr>
            <w:r w:rsidRPr="00C57ABA">
              <w:rPr>
                <w:rFonts w:ascii="Arial Narrow" w:eastAsiaTheme="minorEastAsia" w:hAnsi="Arial Narrow"/>
              </w:rPr>
              <w:t>ЦЛХИК</w:t>
            </w:r>
          </w:p>
        </w:tc>
        <w:tc>
          <w:tcPr>
            <w:tcW w:w="7796" w:type="dxa"/>
            <w:shd w:val="clear" w:color="auto" w:fill="auto"/>
            <w:vAlign w:val="center"/>
            <w:hideMark/>
          </w:tcPr>
          <w:p w14:paraId="2F28FF2A" w14:textId="77777777" w:rsidR="00845719" w:rsidRPr="00C57ABA" w:rsidRDefault="00845719" w:rsidP="00845719">
            <w:pPr>
              <w:rPr>
                <w:rFonts w:ascii="Arial Narrow" w:eastAsiaTheme="minorEastAsia" w:hAnsi="Arial Narrow"/>
              </w:rPr>
            </w:pPr>
            <w:r w:rsidRPr="00C57ABA">
              <w:rPr>
                <w:rFonts w:ascii="Arial Narrow" w:eastAsiaTheme="minorEastAsia" w:hAnsi="Arial Narrow"/>
              </w:rPr>
              <w:t xml:space="preserve">Централна лаборатория за химични изпитвания и контрол </w:t>
            </w:r>
          </w:p>
        </w:tc>
      </w:tr>
      <w:tr w:rsidR="00845719" w:rsidRPr="00C57ABA" w14:paraId="02527504" w14:textId="77777777" w:rsidTr="005B64EF">
        <w:trPr>
          <w:trHeight w:val="2"/>
        </w:trPr>
        <w:tc>
          <w:tcPr>
            <w:tcW w:w="1980" w:type="dxa"/>
            <w:shd w:val="clear" w:color="auto" w:fill="auto"/>
            <w:noWrap/>
            <w:vAlign w:val="center"/>
            <w:hideMark/>
          </w:tcPr>
          <w:p w14:paraId="5574B310" w14:textId="77777777" w:rsidR="00845719" w:rsidRPr="00C57ABA" w:rsidRDefault="00845719" w:rsidP="00845719">
            <w:pPr>
              <w:rPr>
                <w:rFonts w:ascii="Arial Narrow" w:eastAsiaTheme="minorEastAsia" w:hAnsi="Arial Narrow"/>
              </w:rPr>
            </w:pPr>
            <w:r w:rsidRPr="00C57ABA">
              <w:rPr>
                <w:rFonts w:ascii="Arial Narrow" w:eastAsiaTheme="minorEastAsia" w:hAnsi="Arial Narrow"/>
              </w:rPr>
              <w:t>ЦОРХВ</w:t>
            </w:r>
          </w:p>
        </w:tc>
        <w:tc>
          <w:tcPr>
            <w:tcW w:w="7796" w:type="dxa"/>
            <w:shd w:val="clear" w:color="auto" w:fill="auto"/>
            <w:noWrap/>
            <w:vAlign w:val="center"/>
            <w:hideMark/>
          </w:tcPr>
          <w:p w14:paraId="790650B0" w14:textId="77777777" w:rsidR="00845719" w:rsidRPr="00C57ABA" w:rsidRDefault="00845719" w:rsidP="00845719">
            <w:pPr>
              <w:rPr>
                <w:rFonts w:ascii="Arial Narrow" w:eastAsiaTheme="minorEastAsia" w:hAnsi="Arial Narrow"/>
              </w:rPr>
            </w:pPr>
            <w:r w:rsidRPr="00C57ABA">
              <w:rPr>
                <w:rFonts w:ascii="Arial Narrow" w:eastAsiaTheme="minorEastAsia" w:hAnsi="Arial Narrow"/>
              </w:rPr>
              <w:t xml:space="preserve">Център за оценка на риска по хранителната верига </w:t>
            </w:r>
          </w:p>
        </w:tc>
      </w:tr>
      <w:tr w:rsidR="00845719" w:rsidRPr="00C57ABA" w14:paraId="3D72007D" w14:textId="77777777" w:rsidTr="005B64EF">
        <w:trPr>
          <w:trHeight w:val="2"/>
        </w:trPr>
        <w:tc>
          <w:tcPr>
            <w:tcW w:w="1980" w:type="dxa"/>
            <w:shd w:val="clear" w:color="auto" w:fill="auto"/>
            <w:vAlign w:val="center"/>
            <w:hideMark/>
          </w:tcPr>
          <w:p w14:paraId="305FBE58" w14:textId="77777777" w:rsidR="00845719" w:rsidRPr="00C57ABA" w:rsidRDefault="00845719" w:rsidP="00845719">
            <w:pPr>
              <w:rPr>
                <w:rFonts w:ascii="Arial Narrow" w:eastAsiaTheme="minorEastAsia" w:hAnsi="Arial Narrow"/>
              </w:rPr>
            </w:pPr>
            <w:r w:rsidRPr="00C57ABA">
              <w:rPr>
                <w:rFonts w:ascii="Arial Narrow" w:eastAsiaTheme="minorEastAsia" w:hAnsi="Arial Narrow"/>
              </w:rPr>
              <w:t>ЦОФК</w:t>
            </w:r>
          </w:p>
        </w:tc>
        <w:tc>
          <w:tcPr>
            <w:tcW w:w="7796" w:type="dxa"/>
            <w:shd w:val="clear" w:color="auto" w:fill="auto"/>
            <w:vAlign w:val="center"/>
            <w:hideMark/>
          </w:tcPr>
          <w:p w14:paraId="64161008" w14:textId="77777777" w:rsidR="00845719" w:rsidRPr="00C57ABA" w:rsidRDefault="00845719" w:rsidP="00845719">
            <w:pPr>
              <w:rPr>
                <w:rFonts w:ascii="Arial Narrow" w:eastAsiaTheme="minorEastAsia" w:hAnsi="Arial Narrow"/>
              </w:rPr>
            </w:pPr>
            <w:r w:rsidRPr="00C57ABA">
              <w:rPr>
                <w:rFonts w:ascii="Arial Narrow" w:eastAsiaTheme="minorEastAsia" w:hAnsi="Arial Narrow"/>
              </w:rPr>
              <w:t>Цифрова ортофотокарта</w:t>
            </w:r>
          </w:p>
        </w:tc>
      </w:tr>
      <w:tr w:rsidR="00845719" w:rsidRPr="00C57ABA" w14:paraId="087A340E" w14:textId="77777777" w:rsidTr="005B64EF">
        <w:trPr>
          <w:trHeight w:val="2"/>
        </w:trPr>
        <w:tc>
          <w:tcPr>
            <w:tcW w:w="1980" w:type="dxa"/>
            <w:shd w:val="clear" w:color="auto" w:fill="auto"/>
            <w:vAlign w:val="center"/>
            <w:hideMark/>
          </w:tcPr>
          <w:p w14:paraId="59897F5E" w14:textId="77777777" w:rsidR="00845719" w:rsidRPr="00C57ABA" w:rsidRDefault="00845719" w:rsidP="00845719">
            <w:pPr>
              <w:rPr>
                <w:rFonts w:ascii="Arial Narrow" w:eastAsiaTheme="minorEastAsia" w:hAnsi="Arial Narrow"/>
              </w:rPr>
            </w:pPr>
            <w:r w:rsidRPr="00C57ABA">
              <w:rPr>
                <w:rFonts w:ascii="Arial Narrow" w:eastAsiaTheme="minorEastAsia" w:hAnsi="Arial Narrow"/>
              </w:rPr>
              <w:t>ЦПО</w:t>
            </w:r>
          </w:p>
        </w:tc>
        <w:tc>
          <w:tcPr>
            <w:tcW w:w="7796" w:type="dxa"/>
            <w:shd w:val="clear" w:color="auto" w:fill="auto"/>
            <w:vAlign w:val="center"/>
            <w:hideMark/>
          </w:tcPr>
          <w:p w14:paraId="0AE82FB0" w14:textId="77777777" w:rsidR="00845719" w:rsidRPr="00C57ABA" w:rsidRDefault="00845719" w:rsidP="00845719">
            <w:pPr>
              <w:rPr>
                <w:rFonts w:ascii="Arial Narrow" w:eastAsiaTheme="minorEastAsia" w:hAnsi="Arial Narrow"/>
              </w:rPr>
            </w:pPr>
            <w:r w:rsidRPr="00C57ABA">
              <w:rPr>
                <w:rFonts w:ascii="Arial Narrow" w:eastAsiaTheme="minorEastAsia" w:hAnsi="Arial Narrow"/>
              </w:rPr>
              <w:t xml:space="preserve">Център за професионално обучение </w:t>
            </w:r>
          </w:p>
        </w:tc>
      </w:tr>
      <w:tr w:rsidR="00845719" w:rsidRPr="00C57ABA" w14:paraId="6831D092" w14:textId="77777777" w:rsidTr="005B64EF">
        <w:trPr>
          <w:trHeight w:val="2"/>
        </w:trPr>
        <w:tc>
          <w:tcPr>
            <w:tcW w:w="1980" w:type="dxa"/>
            <w:shd w:val="clear" w:color="auto" w:fill="auto"/>
            <w:vAlign w:val="center"/>
          </w:tcPr>
          <w:p w14:paraId="532BAAA4" w14:textId="77777777" w:rsidR="00845719" w:rsidRPr="00C57ABA" w:rsidRDefault="00845719" w:rsidP="00845719">
            <w:pPr>
              <w:rPr>
                <w:rFonts w:ascii="Arial Narrow" w:eastAsiaTheme="minorEastAsia" w:hAnsi="Arial Narrow"/>
              </w:rPr>
            </w:pPr>
            <w:r w:rsidRPr="00C57ABA">
              <w:rPr>
                <w:rFonts w:ascii="Arial Narrow" w:eastAsiaTheme="minorEastAsia" w:hAnsi="Arial Narrow"/>
              </w:rPr>
              <w:t>ЦУ</w:t>
            </w:r>
          </w:p>
        </w:tc>
        <w:tc>
          <w:tcPr>
            <w:tcW w:w="7796" w:type="dxa"/>
            <w:shd w:val="clear" w:color="auto" w:fill="auto"/>
            <w:vAlign w:val="center"/>
          </w:tcPr>
          <w:p w14:paraId="4D3E4033" w14:textId="77777777" w:rsidR="00845719" w:rsidRPr="00C57ABA" w:rsidRDefault="00845719" w:rsidP="00845719">
            <w:pPr>
              <w:rPr>
                <w:rFonts w:ascii="Arial Narrow" w:eastAsiaTheme="minorEastAsia" w:hAnsi="Arial Narrow"/>
              </w:rPr>
            </w:pPr>
            <w:r w:rsidRPr="00C57ABA">
              <w:rPr>
                <w:rFonts w:ascii="Arial Narrow" w:eastAsiaTheme="minorEastAsia" w:hAnsi="Arial Narrow"/>
              </w:rPr>
              <w:t>Централно управление</w:t>
            </w:r>
          </w:p>
        </w:tc>
      </w:tr>
      <w:tr w:rsidR="00845719" w:rsidRPr="00C57ABA" w14:paraId="2CC984B6" w14:textId="77777777" w:rsidTr="005B64EF">
        <w:trPr>
          <w:trHeight w:val="2"/>
        </w:trPr>
        <w:tc>
          <w:tcPr>
            <w:tcW w:w="1980" w:type="dxa"/>
            <w:shd w:val="clear" w:color="auto" w:fill="auto"/>
            <w:vAlign w:val="center"/>
            <w:hideMark/>
          </w:tcPr>
          <w:p w14:paraId="5A1B6E65" w14:textId="77777777" w:rsidR="00845719" w:rsidRPr="00C57ABA" w:rsidRDefault="00845719" w:rsidP="00845719">
            <w:pPr>
              <w:rPr>
                <w:rFonts w:ascii="Arial Narrow" w:eastAsiaTheme="minorEastAsia" w:hAnsi="Arial Narrow"/>
              </w:rPr>
            </w:pPr>
            <w:r w:rsidRPr="00C57ABA">
              <w:rPr>
                <w:rFonts w:ascii="Arial Narrow" w:eastAsiaTheme="minorEastAsia" w:hAnsi="Arial Narrow"/>
              </w:rPr>
              <w:t>CPVO</w:t>
            </w:r>
          </w:p>
        </w:tc>
        <w:tc>
          <w:tcPr>
            <w:tcW w:w="7796" w:type="dxa"/>
            <w:shd w:val="clear" w:color="auto" w:fill="auto"/>
            <w:vAlign w:val="center"/>
            <w:hideMark/>
          </w:tcPr>
          <w:p w14:paraId="6966EE1C" w14:textId="77777777" w:rsidR="00845719" w:rsidRPr="00C57ABA" w:rsidRDefault="00845719" w:rsidP="00845719">
            <w:pPr>
              <w:rPr>
                <w:rFonts w:ascii="Arial Narrow" w:eastAsiaTheme="minorEastAsia" w:hAnsi="Arial Narrow"/>
              </w:rPr>
            </w:pPr>
            <w:r w:rsidRPr="00C57ABA">
              <w:rPr>
                <w:rFonts w:ascii="Arial Narrow" w:eastAsiaTheme="minorEastAsia" w:hAnsi="Arial Narrow"/>
              </w:rPr>
              <w:t>Офис на Общността за закрила на сортовете</w:t>
            </w:r>
          </w:p>
        </w:tc>
      </w:tr>
      <w:tr w:rsidR="00845719" w:rsidRPr="00C57ABA" w14:paraId="66E364F5" w14:textId="77777777" w:rsidTr="005B64EF">
        <w:trPr>
          <w:trHeight w:val="2"/>
        </w:trPr>
        <w:tc>
          <w:tcPr>
            <w:tcW w:w="1980" w:type="dxa"/>
            <w:shd w:val="clear" w:color="auto" w:fill="auto"/>
            <w:noWrap/>
            <w:vAlign w:val="center"/>
            <w:hideMark/>
          </w:tcPr>
          <w:p w14:paraId="49F4FA1B" w14:textId="77777777" w:rsidR="00845719" w:rsidRPr="00C57ABA" w:rsidRDefault="00845719" w:rsidP="00845719">
            <w:pPr>
              <w:rPr>
                <w:rFonts w:ascii="Arial Narrow" w:eastAsiaTheme="minorEastAsia" w:hAnsi="Arial Narrow"/>
              </w:rPr>
            </w:pPr>
            <w:r w:rsidRPr="00C57ABA">
              <w:rPr>
                <w:rFonts w:ascii="Arial Narrow" w:eastAsiaTheme="minorEastAsia" w:hAnsi="Arial Narrow"/>
              </w:rPr>
              <w:t>ESVAC</w:t>
            </w:r>
          </w:p>
        </w:tc>
        <w:tc>
          <w:tcPr>
            <w:tcW w:w="7796" w:type="dxa"/>
            <w:shd w:val="clear" w:color="auto" w:fill="auto"/>
            <w:noWrap/>
            <w:vAlign w:val="center"/>
            <w:hideMark/>
          </w:tcPr>
          <w:p w14:paraId="562BBC4B" w14:textId="77777777" w:rsidR="00845719" w:rsidRPr="00C57ABA" w:rsidRDefault="00845719" w:rsidP="00845719">
            <w:pPr>
              <w:rPr>
                <w:rFonts w:ascii="Arial Narrow" w:eastAsiaTheme="minorEastAsia" w:hAnsi="Arial Narrow"/>
              </w:rPr>
            </w:pPr>
            <w:r w:rsidRPr="00C57ABA">
              <w:rPr>
                <w:rFonts w:ascii="Arial Narrow" w:eastAsiaTheme="minorEastAsia" w:hAnsi="Arial Narrow"/>
              </w:rPr>
              <w:t>Европейска система за надзор на употребата на ветеринарни антимикробни средства</w:t>
            </w:r>
          </w:p>
        </w:tc>
      </w:tr>
      <w:tr w:rsidR="00845719" w:rsidRPr="00C57ABA" w14:paraId="039D301A" w14:textId="77777777" w:rsidTr="005B64EF">
        <w:trPr>
          <w:trHeight w:val="2"/>
        </w:trPr>
        <w:tc>
          <w:tcPr>
            <w:tcW w:w="1980" w:type="dxa"/>
            <w:shd w:val="clear" w:color="auto" w:fill="auto"/>
            <w:noWrap/>
            <w:vAlign w:val="center"/>
            <w:hideMark/>
          </w:tcPr>
          <w:p w14:paraId="3CA4F16E" w14:textId="77777777" w:rsidR="00845719" w:rsidRPr="00C57ABA" w:rsidRDefault="00845719" w:rsidP="00845719">
            <w:pPr>
              <w:rPr>
                <w:rFonts w:ascii="Arial Narrow" w:eastAsiaTheme="minorEastAsia" w:hAnsi="Arial Narrow"/>
              </w:rPr>
            </w:pPr>
            <w:r w:rsidRPr="00C57ABA">
              <w:rPr>
                <w:rFonts w:ascii="Arial Narrow" w:eastAsiaTheme="minorEastAsia" w:hAnsi="Arial Narrow"/>
              </w:rPr>
              <w:t>OIE</w:t>
            </w:r>
          </w:p>
        </w:tc>
        <w:tc>
          <w:tcPr>
            <w:tcW w:w="7796" w:type="dxa"/>
            <w:shd w:val="clear" w:color="auto" w:fill="auto"/>
            <w:noWrap/>
            <w:vAlign w:val="center"/>
            <w:hideMark/>
          </w:tcPr>
          <w:p w14:paraId="1ECEEE6B" w14:textId="77777777" w:rsidR="00845719" w:rsidRPr="00C57ABA" w:rsidRDefault="00845719" w:rsidP="00845719">
            <w:pPr>
              <w:rPr>
                <w:rFonts w:ascii="Arial Narrow" w:eastAsiaTheme="minorEastAsia" w:hAnsi="Arial Narrow"/>
              </w:rPr>
            </w:pPr>
            <w:r w:rsidRPr="00C57ABA">
              <w:rPr>
                <w:rFonts w:ascii="Arial Narrow" w:eastAsiaTheme="minorEastAsia" w:hAnsi="Arial Narrow"/>
              </w:rPr>
              <w:t xml:space="preserve">Международно бюро по епизоотии </w:t>
            </w:r>
          </w:p>
        </w:tc>
      </w:tr>
      <w:tr w:rsidR="00845719" w:rsidRPr="00C57ABA" w14:paraId="7FFE5940" w14:textId="77777777" w:rsidTr="005B64EF">
        <w:trPr>
          <w:trHeight w:val="6"/>
        </w:trPr>
        <w:tc>
          <w:tcPr>
            <w:tcW w:w="1980" w:type="dxa"/>
            <w:shd w:val="clear" w:color="auto" w:fill="auto"/>
            <w:vAlign w:val="center"/>
            <w:hideMark/>
          </w:tcPr>
          <w:p w14:paraId="404B15E2" w14:textId="77777777" w:rsidR="00845719" w:rsidRPr="00C57ABA" w:rsidRDefault="00845719" w:rsidP="00845719">
            <w:pPr>
              <w:rPr>
                <w:rFonts w:ascii="Arial Narrow" w:eastAsiaTheme="minorEastAsia" w:hAnsi="Arial Narrow"/>
              </w:rPr>
            </w:pPr>
            <w:r w:rsidRPr="00C57ABA">
              <w:rPr>
                <w:rFonts w:ascii="Arial Narrow" w:eastAsiaTheme="minorEastAsia" w:hAnsi="Arial Narrow"/>
              </w:rPr>
              <w:t>PPPAMS</w:t>
            </w:r>
          </w:p>
        </w:tc>
        <w:tc>
          <w:tcPr>
            <w:tcW w:w="7796" w:type="dxa"/>
            <w:shd w:val="clear" w:color="auto" w:fill="auto"/>
            <w:vAlign w:val="center"/>
            <w:hideMark/>
          </w:tcPr>
          <w:p w14:paraId="1B936109" w14:textId="77777777" w:rsidR="00845719" w:rsidRPr="00C57ABA" w:rsidRDefault="00845719" w:rsidP="00845719">
            <w:pPr>
              <w:rPr>
                <w:rFonts w:ascii="Arial Narrow" w:eastAsiaTheme="minorEastAsia" w:hAnsi="Arial Narrow"/>
              </w:rPr>
            </w:pPr>
            <w:r w:rsidRPr="00C57ABA">
              <w:rPr>
                <w:rFonts w:ascii="Arial Narrow" w:eastAsiaTheme="minorEastAsia" w:hAnsi="Arial Narrow"/>
              </w:rPr>
              <w:t xml:space="preserve">Система за управление на заявленията за разрешаване на продукти за растителна защита/Plant Protection Products Authorization Management System </w:t>
            </w:r>
          </w:p>
        </w:tc>
      </w:tr>
      <w:tr w:rsidR="00845719" w:rsidRPr="00C57ABA" w14:paraId="66E69E2C" w14:textId="77777777" w:rsidTr="005B64EF">
        <w:trPr>
          <w:trHeight w:val="57"/>
        </w:trPr>
        <w:tc>
          <w:tcPr>
            <w:tcW w:w="1980" w:type="dxa"/>
            <w:shd w:val="clear" w:color="auto" w:fill="auto"/>
            <w:vAlign w:val="center"/>
            <w:hideMark/>
          </w:tcPr>
          <w:p w14:paraId="5BB2FB49" w14:textId="77777777" w:rsidR="00845719" w:rsidRPr="00C57ABA" w:rsidRDefault="00845719" w:rsidP="00845719">
            <w:pPr>
              <w:rPr>
                <w:rFonts w:ascii="Arial Narrow" w:eastAsiaTheme="minorEastAsia" w:hAnsi="Arial Narrow"/>
              </w:rPr>
            </w:pPr>
            <w:r w:rsidRPr="00C57ABA">
              <w:rPr>
                <w:rFonts w:ascii="Arial Narrow" w:eastAsiaTheme="minorEastAsia" w:hAnsi="Arial Narrow"/>
              </w:rPr>
              <w:t>RASFF</w:t>
            </w:r>
          </w:p>
        </w:tc>
        <w:tc>
          <w:tcPr>
            <w:tcW w:w="7796" w:type="dxa"/>
            <w:shd w:val="clear" w:color="auto" w:fill="auto"/>
            <w:vAlign w:val="center"/>
            <w:hideMark/>
          </w:tcPr>
          <w:p w14:paraId="7C5F1647" w14:textId="77777777" w:rsidR="00845719" w:rsidRPr="00C57ABA" w:rsidRDefault="00845719" w:rsidP="00845719">
            <w:pPr>
              <w:rPr>
                <w:rFonts w:ascii="Arial Narrow" w:eastAsiaTheme="minorEastAsia" w:hAnsi="Arial Narrow"/>
              </w:rPr>
            </w:pPr>
            <w:r w:rsidRPr="00C57ABA">
              <w:rPr>
                <w:rFonts w:ascii="Arial Narrow" w:eastAsiaTheme="minorEastAsia" w:hAnsi="Arial Narrow"/>
              </w:rPr>
              <w:t xml:space="preserve">Система за бързо предупреждение за храни и фуражи </w:t>
            </w:r>
          </w:p>
        </w:tc>
      </w:tr>
    </w:tbl>
    <w:p w14:paraId="384EEBE8" w14:textId="77777777" w:rsidR="00AD1A3F" w:rsidRPr="00B10684" w:rsidRDefault="00AD1A3F" w:rsidP="00B735CA">
      <w:pPr>
        <w:pStyle w:val="Heading1"/>
        <w:keepNext w:val="0"/>
        <w:widowControl w:val="0"/>
        <w:rPr>
          <w:rFonts w:ascii="Arial Narrow" w:hAnsi="Arial Narrow"/>
          <w:color w:val="FF0000"/>
          <w:sz w:val="24"/>
          <w:szCs w:val="24"/>
          <w:lang w:val="bg-BG"/>
        </w:rPr>
      </w:pPr>
      <w:bookmarkStart w:id="1" w:name="_Toc492300598"/>
    </w:p>
    <w:p w14:paraId="46BCE8AA" w14:textId="77777777" w:rsidR="001718EB" w:rsidRPr="001C4994" w:rsidRDefault="001718EB" w:rsidP="00BF1D6C">
      <w:pPr>
        <w:pStyle w:val="Heading1"/>
        <w:pageBreakBefore/>
        <w:spacing w:before="0"/>
        <w:jc w:val="center"/>
        <w:rPr>
          <w:rFonts w:ascii="Arial Narrow" w:hAnsi="Arial Narrow"/>
          <w:color w:val="auto"/>
          <w:sz w:val="24"/>
          <w:szCs w:val="24"/>
          <w:lang w:val="bg-BG"/>
        </w:rPr>
      </w:pPr>
      <w:bookmarkStart w:id="2" w:name="_Toc210747518"/>
      <w:r w:rsidRPr="001C4994">
        <w:rPr>
          <w:rFonts w:ascii="Arial Narrow" w:hAnsi="Arial Narrow"/>
          <w:color w:val="auto"/>
          <w:sz w:val="24"/>
          <w:szCs w:val="24"/>
          <w:lang w:val="bg-BG"/>
        </w:rPr>
        <w:lastRenderedPageBreak/>
        <w:t>РАЗДЕЛ А</w:t>
      </w:r>
      <w:bookmarkEnd w:id="1"/>
      <w:bookmarkEnd w:id="2"/>
    </w:p>
    <w:p w14:paraId="5836A33D" w14:textId="77777777" w:rsidR="00D63FE7" w:rsidRPr="00D63FE7" w:rsidRDefault="001C4994" w:rsidP="00BF1D6C">
      <w:pPr>
        <w:keepNext/>
        <w:numPr>
          <w:ilvl w:val="0"/>
          <w:numId w:val="1"/>
        </w:numPr>
        <w:tabs>
          <w:tab w:val="clear" w:pos="180"/>
          <w:tab w:val="num" w:pos="284"/>
        </w:tabs>
        <w:overflowPunct w:val="0"/>
        <w:autoSpaceDE w:val="0"/>
        <w:autoSpaceDN w:val="0"/>
        <w:adjustRightInd w:val="0"/>
        <w:spacing w:before="240" w:after="120"/>
        <w:ind w:left="284" w:hanging="142"/>
        <w:jc w:val="both"/>
        <w:textAlignment w:val="baseline"/>
        <w:outlineLvl w:val="0"/>
        <w:rPr>
          <w:rFonts w:ascii="Arial Narrow" w:eastAsia="SimSun" w:hAnsi="Arial Narrow"/>
          <w:b/>
          <w:bCs/>
          <w:lang w:val="bg-BG"/>
        </w:rPr>
      </w:pPr>
      <w:bookmarkStart w:id="3" w:name="_Toc210747519"/>
      <w:r w:rsidRPr="001C4994">
        <w:rPr>
          <w:rFonts w:ascii="Arial Narrow" w:eastAsia="SimSun" w:hAnsi="Arial Narrow"/>
          <w:b/>
          <w:bCs/>
          <w:lang w:val="bg-BG"/>
        </w:rPr>
        <w:t>СЪСТОЯНИЕ И РАЗВИТИЕ НА НАЦИОНАЛНАТА ИКОНОМИКА. МАКРОИКОНОМИЧЕСКА РАМКА. МЯСТО НА АГРАРНИЯ ОТРАСЪЛ В НАЦИОНАЛНАТА ИКОНОМИКА</w:t>
      </w:r>
      <w:bookmarkEnd w:id="3"/>
      <w:r w:rsidRPr="001C4994">
        <w:rPr>
          <w:rFonts w:ascii="Arial Narrow" w:eastAsia="SimSun" w:hAnsi="Arial Narrow"/>
          <w:b/>
          <w:bCs/>
          <w:lang w:val="bg-BG"/>
        </w:rPr>
        <w:t xml:space="preserve"> </w:t>
      </w:r>
    </w:p>
    <w:p w14:paraId="43214110" w14:textId="77777777" w:rsidR="00D63FE7" w:rsidRPr="001E4DE6" w:rsidRDefault="00D63FE7" w:rsidP="00D63FE7">
      <w:pPr>
        <w:autoSpaceDE w:val="0"/>
        <w:autoSpaceDN w:val="0"/>
        <w:adjustRightInd w:val="0"/>
        <w:spacing w:after="120"/>
        <w:ind w:firstLine="708"/>
        <w:jc w:val="both"/>
        <w:rPr>
          <w:rFonts w:ascii="Arial Narrow" w:hAnsi="Arial Narrow"/>
          <w:bCs/>
          <w:lang w:val="bg-BG" w:eastAsia="bg-BG"/>
        </w:rPr>
      </w:pPr>
      <w:r w:rsidRPr="001E4DE6">
        <w:rPr>
          <w:rFonts w:ascii="Arial Narrow" w:hAnsi="Arial Narrow"/>
          <w:bCs/>
          <w:lang w:val="bg-BG" w:eastAsia="bg-BG"/>
        </w:rPr>
        <w:t xml:space="preserve">По </w:t>
      </w:r>
      <w:r w:rsidR="008A10A0">
        <w:rPr>
          <w:rFonts w:ascii="Arial Narrow" w:hAnsi="Arial Narrow"/>
          <w:bCs/>
          <w:lang w:val="bg-BG" w:eastAsia="bg-BG"/>
        </w:rPr>
        <w:t>актуализирани</w:t>
      </w:r>
      <w:r>
        <w:rPr>
          <w:rFonts w:ascii="Arial Narrow" w:hAnsi="Arial Narrow"/>
          <w:bCs/>
          <w:lang w:val="bg-BG" w:eastAsia="bg-BG"/>
        </w:rPr>
        <w:t xml:space="preserve"> </w:t>
      </w:r>
      <w:r w:rsidRPr="001E4DE6">
        <w:rPr>
          <w:rFonts w:ascii="Arial Narrow" w:hAnsi="Arial Narrow"/>
          <w:bCs/>
          <w:lang w:val="bg-BG" w:eastAsia="bg-BG"/>
        </w:rPr>
        <w:t>данни на НСИ, през 202</w:t>
      </w:r>
      <w:r>
        <w:rPr>
          <w:rFonts w:ascii="Arial Narrow" w:hAnsi="Arial Narrow"/>
          <w:bCs/>
          <w:lang w:val="bg-BG" w:eastAsia="bg-BG"/>
        </w:rPr>
        <w:t>4</w:t>
      </w:r>
      <w:r w:rsidRPr="001E4DE6">
        <w:rPr>
          <w:rFonts w:ascii="Arial Narrow" w:hAnsi="Arial Narrow"/>
          <w:bCs/>
          <w:lang w:val="bg-BG" w:eastAsia="bg-BG"/>
        </w:rPr>
        <w:t xml:space="preserve"> г. брутният вътрешен продукт, произведен в страната, </w:t>
      </w:r>
      <w:r>
        <w:rPr>
          <w:rFonts w:ascii="Arial Narrow" w:hAnsi="Arial Narrow"/>
          <w:bCs/>
          <w:lang w:val="bg-BG" w:eastAsia="bg-BG"/>
        </w:rPr>
        <w:t xml:space="preserve">нараства с </w:t>
      </w:r>
      <w:r w:rsidR="005D56FF">
        <w:rPr>
          <w:rFonts w:ascii="Arial Narrow" w:hAnsi="Arial Narrow"/>
          <w:bCs/>
          <w:lang w:val="bg-BG" w:eastAsia="bg-BG"/>
        </w:rPr>
        <w:t>3,4</w:t>
      </w:r>
      <w:r w:rsidRPr="001E4DE6">
        <w:rPr>
          <w:rFonts w:ascii="Arial Narrow" w:hAnsi="Arial Narrow"/>
          <w:bCs/>
          <w:lang w:val="bg-BG" w:eastAsia="bg-BG"/>
        </w:rPr>
        <w:t>% спрямо предходната година в реално изражение.</w:t>
      </w:r>
    </w:p>
    <w:p w14:paraId="6DC9DDD9" w14:textId="77777777" w:rsidR="00D63FE7" w:rsidRPr="001E4DE6" w:rsidRDefault="00D63FE7" w:rsidP="00D63FE7">
      <w:pPr>
        <w:autoSpaceDE w:val="0"/>
        <w:autoSpaceDN w:val="0"/>
        <w:adjustRightInd w:val="0"/>
        <w:spacing w:after="120"/>
        <w:ind w:firstLine="708"/>
        <w:jc w:val="both"/>
        <w:rPr>
          <w:rFonts w:ascii="Arial Narrow" w:hAnsi="Arial Narrow"/>
          <w:bCs/>
          <w:lang w:val="bg-BG" w:eastAsia="bg-BG"/>
        </w:rPr>
      </w:pPr>
      <w:r w:rsidRPr="001E4DE6">
        <w:rPr>
          <w:rFonts w:ascii="Arial Narrow" w:hAnsi="Arial Narrow"/>
          <w:bCs/>
          <w:lang w:val="bg-BG" w:eastAsia="bg-BG"/>
        </w:rPr>
        <w:t xml:space="preserve">Номиналният обем на БВП за годината </w:t>
      </w:r>
      <w:r>
        <w:rPr>
          <w:rFonts w:ascii="Arial Narrow" w:hAnsi="Arial Narrow"/>
          <w:bCs/>
          <w:lang w:val="bg-BG" w:eastAsia="bg-BG"/>
        </w:rPr>
        <w:t>възлиза на</w:t>
      </w:r>
      <w:r w:rsidRPr="001E4DE6">
        <w:rPr>
          <w:rFonts w:ascii="Arial Narrow" w:hAnsi="Arial Narrow"/>
          <w:bCs/>
          <w:lang w:val="bg-BG" w:eastAsia="bg-BG"/>
        </w:rPr>
        <w:t xml:space="preserve"> </w:t>
      </w:r>
      <w:r>
        <w:rPr>
          <w:rFonts w:ascii="Arial Narrow" w:hAnsi="Arial Narrow"/>
          <w:bCs/>
          <w:lang w:val="bg-BG" w:eastAsia="bg-BG"/>
        </w:rPr>
        <w:t>20</w:t>
      </w:r>
      <w:r w:rsidR="008A10A0">
        <w:rPr>
          <w:rFonts w:ascii="Arial Narrow" w:hAnsi="Arial Narrow"/>
          <w:bCs/>
          <w:lang w:val="bg-BG" w:eastAsia="bg-BG"/>
        </w:rPr>
        <w:t>4</w:t>
      </w:r>
      <w:r>
        <w:rPr>
          <w:rFonts w:ascii="Arial Narrow" w:hAnsi="Arial Narrow"/>
          <w:bCs/>
          <w:lang w:val="bg-BG" w:eastAsia="bg-BG"/>
        </w:rPr>
        <w:t xml:space="preserve"> </w:t>
      </w:r>
      <w:r w:rsidR="008A10A0">
        <w:rPr>
          <w:rFonts w:ascii="Arial Narrow" w:hAnsi="Arial Narrow"/>
          <w:bCs/>
          <w:lang w:val="bg-BG" w:eastAsia="bg-BG"/>
        </w:rPr>
        <w:t>907</w:t>
      </w:r>
      <w:r w:rsidRPr="001E4DE6">
        <w:rPr>
          <w:rFonts w:ascii="Arial Narrow" w:hAnsi="Arial Narrow"/>
          <w:bCs/>
          <w:lang w:val="bg-BG" w:eastAsia="bg-BG"/>
        </w:rPr>
        <w:t xml:space="preserve"> млн. лева (</w:t>
      </w:r>
      <w:r>
        <w:rPr>
          <w:rFonts w:ascii="Arial Narrow" w:hAnsi="Arial Narrow"/>
          <w:bCs/>
          <w:lang w:val="bg-BG" w:eastAsia="bg-BG"/>
        </w:rPr>
        <w:t>10</w:t>
      </w:r>
      <w:r w:rsidR="008A10A0">
        <w:rPr>
          <w:rFonts w:ascii="Arial Narrow" w:hAnsi="Arial Narrow"/>
          <w:bCs/>
          <w:lang w:val="bg-BG" w:eastAsia="bg-BG"/>
        </w:rPr>
        <w:t>4</w:t>
      </w:r>
      <w:r>
        <w:rPr>
          <w:rFonts w:ascii="Arial Narrow" w:hAnsi="Arial Narrow"/>
          <w:bCs/>
          <w:lang w:val="bg-BG" w:eastAsia="bg-BG"/>
        </w:rPr>
        <w:t xml:space="preserve"> </w:t>
      </w:r>
      <w:r w:rsidR="008A10A0">
        <w:rPr>
          <w:rFonts w:ascii="Arial Narrow" w:hAnsi="Arial Narrow"/>
          <w:bCs/>
          <w:lang w:val="bg-BG" w:eastAsia="bg-BG"/>
        </w:rPr>
        <w:t>767</w:t>
      </w:r>
      <w:r w:rsidRPr="001E4DE6">
        <w:rPr>
          <w:rFonts w:ascii="Arial Narrow" w:hAnsi="Arial Narrow"/>
          <w:bCs/>
          <w:lang w:val="bg-BG" w:eastAsia="bg-BG"/>
        </w:rPr>
        <w:t xml:space="preserve"> млн. евро). </w:t>
      </w:r>
    </w:p>
    <w:p w14:paraId="7450C245" w14:textId="77777777" w:rsidR="00D63FE7" w:rsidRPr="001E4DE6" w:rsidRDefault="00D63FE7" w:rsidP="00D63FE7">
      <w:pPr>
        <w:autoSpaceDE w:val="0"/>
        <w:autoSpaceDN w:val="0"/>
        <w:adjustRightInd w:val="0"/>
        <w:spacing w:after="120"/>
        <w:ind w:firstLine="708"/>
        <w:jc w:val="both"/>
        <w:rPr>
          <w:rFonts w:ascii="Arial Narrow" w:hAnsi="Arial Narrow"/>
          <w:bCs/>
          <w:lang w:val="bg-BG" w:eastAsia="bg-BG"/>
        </w:rPr>
      </w:pPr>
      <w:r>
        <w:rPr>
          <w:rFonts w:ascii="Arial Narrow" w:hAnsi="Arial Narrow"/>
          <w:bCs/>
          <w:lang w:val="bg-BG" w:eastAsia="bg-BG"/>
        </w:rPr>
        <w:t>С</w:t>
      </w:r>
      <w:r w:rsidRPr="001E4DE6">
        <w:rPr>
          <w:rFonts w:ascii="Arial Narrow" w:hAnsi="Arial Narrow"/>
          <w:bCs/>
          <w:lang w:val="bg-BG" w:eastAsia="bg-BG"/>
        </w:rPr>
        <w:t>редногодишната инфлация</w:t>
      </w:r>
      <w:r w:rsidR="008A10A0">
        <w:rPr>
          <w:rFonts w:ascii="Arial Narrow" w:hAnsi="Arial Narrow"/>
          <w:bCs/>
          <w:lang w:val="bg-BG" w:eastAsia="bg-BG"/>
        </w:rPr>
        <w:t>, измерена с индекса на потребителските цени (ИПЦ),</w:t>
      </w:r>
      <w:r w:rsidRPr="001E4DE6">
        <w:rPr>
          <w:rFonts w:ascii="Arial Narrow" w:hAnsi="Arial Narrow"/>
          <w:bCs/>
          <w:lang w:val="bg-BG" w:eastAsia="bg-BG"/>
        </w:rPr>
        <w:t xml:space="preserve"> </w:t>
      </w:r>
      <w:r>
        <w:rPr>
          <w:rFonts w:ascii="Arial Narrow" w:hAnsi="Arial Narrow"/>
          <w:bCs/>
          <w:lang w:val="bg-BG" w:eastAsia="bg-BG"/>
        </w:rPr>
        <w:t xml:space="preserve">за 2024 г. </w:t>
      </w:r>
      <w:r w:rsidRPr="001E4DE6">
        <w:rPr>
          <w:rFonts w:ascii="Arial Narrow" w:hAnsi="Arial Narrow"/>
          <w:bCs/>
          <w:lang w:val="bg-BG" w:eastAsia="bg-BG"/>
        </w:rPr>
        <w:t xml:space="preserve">е </w:t>
      </w:r>
      <w:r>
        <w:rPr>
          <w:rFonts w:ascii="Arial Narrow" w:hAnsi="Arial Narrow"/>
          <w:bCs/>
          <w:lang w:val="bg-BG" w:eastAsia="bg-BG"/>
        </w:rPr>
        <w:t>2,4</w:t>
      </w:r>
      <w:r w:rsidRPr="001E4DE6">
        <w:rPr>
          <w:rFonts w:ascii="Arial Narrow" w:hAnsi="Arial Narrow"/>
          <w:bCs/>
          <w:lang w:val="bg-BG" w:eastAsia="bg-BG"/>
        </w:rPr>
        <w:t>%</w:t>
      </w:r>
      <w:r>
        <w:rPr>
          <w:rFonts w:ascii="Arial Narrow" w:hAnsi="Arial Narrow"/>
          <w:bCs/>
          <w:lang w:val="bg-BG" w:eastAsia="bg-BG"/>
        </w:rPr>
        <w:t>, като к</w:t>
      </w:r>
      <w:r w:rsidRPr="001E4DE6">
        <w:rPr>
          <w:rFonts w:ascii="Arial Narrow" w:hAnsi="Arial Narrow"/>
          <w:bCs/>
          <w:lang w:val="bg-BG" w:eastAsia="bg-BG"/>
        </w:rPr>
        <w:t xml:space="preserve">ъм </w:t>
      </w:r>
      <w:r>
        <w:rPr>
          <w:rFonts w:ascii="Arial Narrow" w:hAnsi="Arial Narrow"/>
          <w:bCs/>
          <w:lang w:val="bg-BG" w:eastAsia="bg-BG"/>
        </w:rPr>
        <w:t>м. декември инфлацията спрямо година по-рано се забавя до 2,2</w:t>
      </w:r>
      <w:r w:rsidRPr="001E4DE6">
        <w:rPr>
          <w:rFonts w:ascii="Arial Narrow" w:hAnsi="Arial Narrow"/>
          <w:bCs/>
          <w:lang w:val="bg-BG" w:eastAsia="bg-BG"/>
        </w:rPr>
        <w:t>%.</w:t>
      </w:r>
    </w:p>
    <w:p w14:paraId="5939B565" w14:textId="77777777" w:rsidR="00D63FE7" w:rsidRPr="001E4DE6" w:rsidRDefault="00D63FE7" w:rsidP="00D63FE7">
      <w:pPr>
        <w:autoSpaceDE w:val="0"/>
        <w:autoSpaceDN w:val="0"/>
        <w:adjustRightInd w:val="0"/>
        <w:spacing w:after="120"/>
        <w:ind w:firstLine="708"/>
        <w:jc w:val="both"/>
        <w:rPr>
          <w:rFonts w:ascii="Arial Narrow" w:hAnsi="Arial Narrow"/>
          <w:bCs/>
          <w:lang w:val="bg-BG" w:eastAsia="bg-BG"/>
        </w:rPr>
      </w:pPr>
      <w:r w:rsidRPr="001E4DE6">
        <w:rPr>
          <w:rFonts w:ascii="Arial Narrow" w:hAnsi="Arial Narrow"/>
          <w:bCs/>
          <w:lang w:val="bg-BG" w:eastAsia="bg-BG"/>
        </w:rPr>
        <w:t>По данни на БНБ за платежния баланс на страната, в рамките на 202</w:t>
      </w:r>
      <w:r>
        <w:rPr>
          <w:rFonts w:ascii="Arial Narrow" w:hAnsi="Arial Narrow"/>
          <w:bCs/>
          <w:lang w:val="bg-BG" w:eastAsia="bg-BG"/>
        </w:rPr>
        <w:t>4</w:t>
      </w:r>
      <w:r w:rsidRPr="001E4DE6">
        <w:rPr>
          <w:rFonts w:ascii="Arial Narrow" w:hAnsi="Arial Narrow"/>
          <w:bCs/>
          <w:lang w:val="bg-BG" w:eastAsia="bg-BG"/>
        </w:rPr>
        <w:t xml:space="preserve"> г. се формира отрицателно търговско салдо за България в размер на </w:t>
      </w:r>
      <w:r w:rsidR="00203146">
        <w:rPr>
          <w:rFonts w:ascii="Arial Narrow" w:hAnsi="Arial Narrow"/>
          <w:bCs/>
          <w:lang w:val="bg-BG" w:eastAsia="bg-BG"/>
        </w:rPr>
        <w:t>9 874</w:t>
      </w:r>
      <w:r w:rsidRPr="001E4DE6">
        <w:rPr>
          <w:rFonts w:ascii="Arial Narrow" w:hAnsi="Arial Narrow"/>
          <w:bCs/>
          <w:lang w:val="bg-BG" w:eastAsia="bg-BG"/>
        </w:rPr>
        <w:t xml:space="preserve"> млн. лева (</w:t>
      </w:r>
      <w:r>
        <w:rPr>
          <w:rFonts w:ascii="Arial Narrow" w:hAnsi="Arial Narrow"/>
          <w:bCs/>
          <w:lang w:val="bg-BG" w:eastAsia="bg-BG"/>
        </w:rPr>
        <w:t xml:space="preserve">5 </w:t>
      </w:r>
      <w:r w:rsidR="00203146">
        <w:rPr>
          <w:rFonts w:ascii="Arial Narrow" w:hAnsi="Arial Narrow"/>
          <w:bCs/>
          <w:lang w:val="bg-BG" w:eastAsia="bg-BG"/>
        </w:rPr>
        <w:t>049</w:t>
      </w:r>
      <w:r w:rsidRPr="001E4DE6">
        <w:rPr>
          <w:rFonts w:ascii="Arial Narrow" w:hAnsi="Arial Narrow"/>
          <w:bCs/>
          <w:lang w:val="bg-BG" w:eastAsia="bg-BG"/>
        </w:rPr>
        <w:t xml:space="preserve"> млн. евро).</w:t>
      </w:r>
    </w:p>
    <w:p w14:paraId="15F0C5ED" w14:textId="77777777" w:rsidR="00D63FE7" w:rsidRPr="00283A3C" w:rsidRDefault="00D63FE7" w:rsidP="00D63FE7">
      <w:pPr>
        <w:autoSpaceDE w:val="0"/>
        <w:autoSpaceDN w:val="0"/>
        <w:adjustRightInd w:val="0"/>
        <w:spacing w:after="120"/>
        <w:ind w:firstLine="708"/>
        <w:jc w:val="both"/>
        <w:rPr>
          <w:rFonts w:ascii="Arial Narrow" w:hAnsi="Arial Narrow"/>
          <w:bCs/>
          <w:lang w:val="bg-BG" w:eastAsia="bg-BG"/>
        </w:rPr>
      </w:pPr>
      <w:r>
        <w:rPr>
          <w:rFonts w:ascii="Arial Narrow" w:hAnsi="Arial Narrow"/>
          <w:bCs/>
          <w:lang w:val="bg-BG" w:eastAsia="bg-BG"/>
        </w:rPr>
        <w:t>П</w:t>
      </w:r>
      <w:r w:rsidRPr="00C956AC">
        <w:rPr>
          <w:rFonts w:ascii="Arial Narrow" w:hAnsi="Arial Narrow"/>
          <w:bCs/>
          <w:lang w:val="bg-BG" w:eastAsia="bg-BG"/>
        </w:rPr>
        <w:t>реките чуждестранни инвестиции в България</w:t>
      </w:r>
      <w:r>
        <w:rPr>
          <w:rFonts w:ascii="Arial Narrow" w:hAnsi="Arial Narrow"/>
          <w:bCs/>
          <w:lang w:val="bg-BG" w:eastAsia="bg-BG"/>
        </w:rPr>
        <w:t xml:space="preserve"> през годината</w:t>
      </w:r>
      <w:r w:rsidRPr="00C956AC">
        <w:rPr>
          <w:rFonts w:ascii="Arial Narrow" w:hAnsi="Arial Narrow"/>
          <w:bCs/>
          <w:lang w:val="bg-BG" w:eastAsia="bg-BG"/>
        </w:rPr>
        <w:t xml:space="preserve"> </w:t>
      </w:r>
      <w:r>
        <w:rPr>
          <w:rFonts w:ascii="Arial Narrow" w:hAnsi="Arial Narrow"/>
          <w:bCs/>
          <w:lang w:val="bg-BG" w:eastAsia="bg-BG"/>
        </w:rPr>
        <w:t>са на обща стойност</w:t>
      </w:r>
      <w:r w:rsidRPr="00C956AC">
        <w:rPr>
          <w:rFonts w:ascii="Arial Narrow" w:hAnsi="Arial Narrow"/>
          <w:bCs/>
          <w:lang w:val="bg-BG" w:eastAsia="bg-BG"/>
        </w:rPr>
        <w:t xml:space="preserve"> </w:t>
      </w:r>
      <w:r>
        <w:rPr>
          <w:rFonts w:ascii="Arial Narrow" w:hAnsi="Arial Narrow"/>
          <w:bCs/>
          <w:lang w:val="bg-BG" w:eastAsia="bg-BG"/>
        </w:rPr>
        <w:t>5 5</w:t>
      </w:r>
      <w:r w:rsidR="00203146">
        <w:rPr>
          <w:rFonts w:ascii="Arial Narrow" w:hAnsi="Arial Narrow"/>
          <w:bCs/>
          <w:lang w:val="bg-BG" w:eastAsia="bg-BG"/>
        </w:rPr>
        <w:t>04</w:t>
      </w:r>
      <w:r w:rsidRPr="00C956AC">
        <w:rPr>
          <w:rFonts w:ascii="Arial Narrow" w:hAnsi="Arial Narrow"/>
          <w:bCs/>
          <w:lang w:val="bg-BG" w:eastAsia="bg-BG"/>
        </w:rPr>
        <w:t xml:space="preserve"> млн. лева (</w:t>
      </w:r>
      <w:r>
        <w:rPr>
          <w:rFonts w:ascii="Arial Narrow" w:hAnsi="Arial Narrow"/>
          <w:bCs/>
          <w:lang w:val="bg-BG" w:eastAsia="bg-BG"/>
        </w:rPr>
        <w:t>2 8</w:t>
      </w:r>
      <w:r w:rsidR="00203146">
        <w:rPr>
          <w:rFonts w:ascii="Arial Narrow" w:hAnsi="Arial Narrow"/>
          <w:bCs/>
          <w:lang w:val="bg-BG" w:eastAsia="bg-BG"/>
        </w:rPr>
        <w:t>14</w:t>
      </w:r>
      <w:r w:rsidRPr="00C956AC">
        <w:rPr>
          <w:rFonts w:ascii="Arial Narrow" w:hAnsi="Arial Narrow"/>
          <w:bCs/>
          <w:lang w:val="bg-BG" w:eastAsia="bg-BG"/>
        </w:rPr>
        <w:t xml:space="preserve"> млн. евро), което представлява </w:t>
      </w:r>
      <w:r>
        <w:rPr>
          <w:rFonts w:ascii="Arial Narrow" w:hAnsi="Arial Narrow"/>
          <w:bCs/>
          <w:lang w:val="bg-BG" w:eastAsia="bg-BG"/>
        </w:rPr>
        <w:t>2,</w:t>
      </w:r>
      <w:r w:rsidR="00203146">
        <w:rPr>
          <w:rFonts w:ascii="Arial Narrow" w:hAnsi="Arial Narrow"/>
          <w:bCs/>
          <w:lang w:val="bg-BG" w:eastAsia="bg-BG"/>
        </w:rPr>
        <w:t>7</w:t>
      </w:r>
      <w:r w:rsidRPr="00C956AC">
        <w:rPr>
          <w:rFonts w:ascii="Arial Narrow" w:hAnsi="Arial Narrow"/>
          <w:bCs/>
          <w:lang w:val="bg-BG" w:eastAsia="bg-BG"/>
        </w:rPr>
        <w:t>% от БВП.</w:t>
      </w:r>
    </w:p>
    <w:p w14:paraId="50E5CD98" w14:textId="77777777" w:rsidR="00D63FE7" w:rsidRDefault="00D63FE7" w:rsidP="00D63FE7">
      <w:pPr>
        <w:spacing w:after="120"/>
        <w:jc w:val="both"/>
        <w:rPr>
          <w:rFonts w:ascii="Arial Narrow" w:hAnsi="Arial Narrow"/>
          <w:b/>
          <w:lang w:val="bg-BG"/>
        </w:rPr>
      </w:pPr>
      <w:r w:rsidRPr="00204D35">
        <w:rPr>
          <w:rFonts w:ascii="Arial Narrow" w:hAnsi="Arial Narrow"/>
          <w:b/>
          <w:lang w:val="bg-BG"/>
        </w:rPr>
        <w:t xml:space="preserve">Таблица I.1. Основни </w:t>
      </w:r>
      <w:r w:rsidRPr="00283A3C">
        <w:rPr>
          <w:rFonts w:ascii="Arial Narrow" w:hAnsi="Arial Narrow"/>
          <w:b/>
          <w:lang w:val="bg-BG"/>
        </w:rPr>
        <w:t>макроикономически показатели на Република България</w:t>
      </w:r>
    </w:p>
    <w:tbl>
      <w:tblPr>
        <w:tblW w:w="5000" w:type="pct"/>
        <w:tblLook w:val="00A0" w:firstRow="1" w:lastRow="0" w:firstColumn="1" w:lastColumn="0" w:noHBand="0" w:noVBand="0"/>
      </w:tblPr>
      <w:tblGrid>
        <w:gridCol w:w="2616"/>
        <w:gridCol w:w="1436"/>
        <w:gridCol w:w="1437"/>
        <w:gridCol w:w="1437"/>
        <w:gridCol w:w="1437"/>
        <w:gridCol w:w="1437"/>
      </w:tblGrid>
      <w:tr w:rsidR="00D63FE7" w:rsidRPr="001E4DE6" w14:paraId="6106CC44" w14:textId="77777777" w:rsidTr="00BA7C7F">
        <w:trPr>
          <w:trHeight w:val="664"/>
        </w:trPr>
        <w:tc>
          <w:tcPr>
            <w:tcW w:w="1335" w:type="pct"/>
            <w:tcBorders>
              <w:top w:val="single" w:sz="4" w:space="0" w:color="auto"/>
              <w:left w:val="single" w:sz="4" w:space="0" w:color="auto"/>
              <w:bottom w:val="single" w:sz="4" w:space="0" w:color="auto"/>
              <w:right w:val="single" w:sz="4" w:space="0" w:color="auto"/>
            </w:tcBorders>
            <w:vAlign w:val="center"/>
          </w:tcPr>
          <w:p w14:paraId="1B0D1869" w14:textId="77777777" w:rsidR="00D63FE7" w:rsidRPr="005A013F" w:rsidRDefault="00D63FE7" w:rsidP="00BA7C7F">
            <w:pPr>
              <w:contextualSpacing/>
              <w:jc w:val="center"/>
              <w:rPr>
                <w:rFonts w:ascii="Arial Narrow" w:hAnsi="Arial Narrow" w:cs="Arial"/>
                <w:b/>
                <w:bCs/>
                <w:sz w:val="20"/>
                <w:szCs w:val="20"/>
                <w:lang w:val="bg-BG"/>
              </w:rPr>
            </w:pPr>
            <w:r>
              <w:rPr>
                <w:rFonts w:ascii="Arial Narrow" w:hAnsi="Arial Narrow" w:cs="Arial"/>
                <w:b/>
                <w:bCs/>
                <w:color w:val="000000"/>
                <w:sz w:val="20"/>
                <w:szCs w:val="20"/>
              </w:rPr>
              <w:t>Показател</w:t>
            </w:r>
          </w:p>
        </w:tc>
        <w:tc>
          <w:tcPr>
            <w:tcW w:w="733" w:type="pct"/>
            <w:tcBorders>
              <w:top w:val="single" w:sz="4" w:space="0" w:color="auto"/>
              <w:left w:val="nil"/>
              <w:bottom w:val="single" w:sz="4" w:space="0" w:color="auto"/>
              <w:right w:val="single" w:sz="4" w:space="0" w:color="auto"/>
            </w:tcBorders>
            <w:vAlign w:val="center"/>
          </w:tcPr>
          <w:p w14:paraId="606E45F7" w14:textId="77777777" w:rsidR="00D63FE7" w:rsidRPr="001E4DE6" w:rsidRDefault="00D63FE7" w:rsidP="00BA7C7F">
            <w:pPr>
              <w:contextualSpacing/>
              <w:jc w:val="center"/>
              <w:rPr>
                <w:rFonts w:ascii="Arial Narrow" w:hAnsi="Arial Narrow" w:cs="Arial"/>
                <w:b/>
                <w:bCs/>
                <w:sz w:val="20"/>
                <w:szCs w:val="20"/>
                <w:lang w:val="bg-BG"/>
              </w:rPr>
            </w:pPr>
            <w:r>
              <w:rPr>
                <w:rFonts w:ascii="Arial Narrow" w:hAnsi="Arial Narrow" w:cs="Arial"/>
                <w:b/>
                <w:bCs/>
                <w:sz w:val="20"/>
                <w:szCs w:val="20"/>
              </w:rPr>
              <w:t>2020</w:t>
            </w:r>
          </w:p>
        </w:tc>
        <w:tc>
          <w:tcPr>
            <w:tcW w:w="733" w:type="pct"/>
            <w:tcBorders>
              <w:top w:val="single" w:sz="4" w:space="0" w:color="auto"/>
              <w:left w:val="nil"/>
              <w:bottom w:val="single" w:sz="4" w:space="0" w:color="auto"/>
              <w:right w:val="single" w:sz="4" w:space="0" w:color="auto"/>
            </w:tcBorders>
            <w:noWrap/>
            <w:vAlign w:val="center"/>
          </w:tcPr>
          <w:p w14:paraId="017EFC10" w14:textId="77777777" w:rsidR="00D63FE7" w:rsidRPr="001E4DE6" w:rsidRDefault="00D63FE7" w:rsidP="00BA7C7F">
            <w:pPr>
              <w:contextualSpacing/>
              <w:jc w:val="center"/>
              <w:rPr>
                <w:rFonts w:ascii="Arial Narrow" w:hAnsi="Arial Narrow" w:cs="Arial"/>
                <w:b/>
                <w:bCs/>
                <w:sz w:val="20"/>
                <w:szCs w:val="20"/>
                <w:lang w:val="bg-BG"/>
              </w:rPr>
            </w:pPr>
            <w:r>
              <w:rPr>
                <w:rFonts w:ascii="Arial Narrow" w:hAnsi="Arial Narrow" w:cs="Arial"/>
                <w:b/>
                <w:bCs/>
                <w:sz w:val="20"/>
                <w:szCs w:val="20"/>
              </w:rPr>
              <w:t>2021</w:t>
            </w:r>
          </w:p>
        </w:tc>
        <w:tc>
          <w:tcPr>
            <w:tcW w:w="733" w:type="pct"/>
            <w:tcBorders>
              <w:top w:val="single" w:sz="4" w:space="0" w:color="auto"/>
              <w:left w:val="nil"/>
              <w:bottom w:val="single" w:sz="4" w:space="0" w:color="auto"/>
              <w:right w:val="single" w:sz="4" w:space="0" w:color="auto"/>
            </w:tcBorders>
            <w:noWrap/>
            <w:vAlign w:val="center"/>
          </w:tcPr>
          <w:p w14:paraId="7F98916E" w14:textId="77777777" w:rsidR="00D63FE7" w:rsidRPr="001E4DE6" w:rsidRDefault="00D63FE7" w:rsidP="00BA7C7F">
            <w:pPr>
              <w:contextualSpacing/>
              <w:jc w:val="center"/>
              <w:rPr>
                <w:rFonts w:ascii="Arial Narrow" w:hAnsi="Arial Narrow" w:cs="Arial"/>
                <w:b/>
                <w:bCs/>
                <w:sz w:val="20"/>
                <w:szCs w:val="20"/>
                <w:lang w:val="bg-BG"/>
              </w:rPr>
            </w:pPr>
            <w:r>
              <w:rPr>
                <w:rFonts w:ascii="Arial Narrow" w:hAnsi="Arial Narrow" w:cs="Arial"/>
                <w:b/>
                <w:bCs/>
                <w:sz w:val="20"/>
                <w:szCs w:val="20"/>
              </w:rPr>
              <w:t>2022</w:t>
            </w:r>
          </w:p>
        </w:tc>
        <w:tc>
          <w:tcPr>
            <w:tcW w:w="733" w:type="pct"/>
            <w:tcBorders>
              <w:top w:val="single" w:sz="4" w:space="0" w:color="auto"/>
              <w:left w:val="nil"/>
              <w:bottom w:val="single" w:sz="4" w:space="0" w:color="auto"/>
              <w:right w:val="single" w:sz="4" w:space="0" w:color="auto"/>
            </w:tcBorders>
            <w:noWrap/>
            <w:vAlign w:val="center"/>
          </w:tcPr>
          <w:p w14:paraId="1B101BD4" w14:textId="77777777" w:rsidR="00D63FE7" w:rsidRPr="001E4DE6" w:rsidRDefault="00D63FE7" w:rsidP="00BA7C7F">
            <w:pPr>
              <w:contextualSpacing/>
              <w:jc w:val="center"/>
              <w:rPr>
                <w:rFonts w:ascii="Arial Narrow" w:hAnsi="Arial Narrow" w:cs="Arial"/>
                <w:b/>
                <w:bCs/>
                <w:sz w:val="20"/>
                <w:szCs w:val="20"/>
                <w:lang w:val="bg-BG"/>
              </w:rPr>
            </w:pPr>
            <w:r>
              <w:rPr>
                <w:rFonts w:ascii="Arial Narrow" w:hAnsi="Arial Narrow" w:cs="Arial"/>
                <w:b/>
                <w:bCs/>
                <w:sz w:val="20"/>
                <w:szCs w:val="20"/>
              </w:rPr>
              <w:t>2023</w:t>
            </w:r>
          </w:p>
        </w:tc>
        <w:tc>
          <w:tcPr>
            <w:tcW w:w="733" w:type="pct"/>
            <w:tcBorders>
              <w:top w:val="single" w:sz="4" w:space="0" w:color="auto"/>
              <w:left w:val="nil"/>
              <w:bottom w:val="single" w:sz="4" w:space="0" w:color="auto"/>
              <w:right w:val="single" w:sz="4" w:space="0" w:color="auto"/>
            </w:tcBorders>
            <w:noWrap/>
            <w:vAlign w:val="center"/>
          </w:tcPr>
          <w:p w14:paraId="54086490" w14:textId="77777777" w:rsidR="00D63FE7" w:rsidRPr="001E4DE6" w:rsidRDefault="00D63FE7" w:rsidP="00BA7C7F">
            <w:pPr>
              <w:contextualSpacing/>
              <w:jc w:val="center"/>
              <w:rPr>
                <w:rFonts w:ascii="Arial Narrow" w:hAnsi="Arial Narrow" w:cs="Arial"/>
                <w:b/>
                <w:bCs/>
                <w:sz w:val="20"/>
                <w:szCs w:val="20"/>
                <w:lang w:val="bg-BG"/>
              </w:rPr>
            </w:pPr>
            <w:r>
              <w:rPr>
                <w:rFonts w:ascii="Arial Narrow" w:hAnsi="Arial Narrow" w:cs="Arial"/>
                <w:b/>
                <w:bCs/>
                <w:sz w:val="20"/>
                <w:szCs w:val="20"/>
              </w:rPr>
              <w:t>2024</w:t>
            </w:r>
          </w:p>
        </w:tc>
      </w:tr>
      <w:tr w:rsidR="008A10A0" w:rsidRPr="001E4DE6" w14:paraId="4D2C5439" w14:textId="77777777" w:rsidTr="00BA7C7F">
        <w:trPr>
          <w:trHeight w:val="454"/>
        </w:trPr>
        <w:tc>
          <w:tcPr>
            <w:tcW w:w="1335" w:type="pct"/>
            <w:tcBorders>
              <w:top w:val="nil"/>
              <w:left w:val="single" w:sz="4" w:space="0" w:color="auto"/>
              <w:bottom w:val="single" w:sz="4" w:space="0" w:color="auto"/>
              <w:right w:val="single" w:sz="4" w:space="0" w:color="auto"/>
            </w:tcBorders>
            <w:vAlign w:val="center"/>
          </w:tcPr>
          <w:p w14:paraId="5CD73261" w14:textId="77777777" w:rsidR="008A10A0" w:rsidRPr="005A013F" w:rsidRDefault="008A10A0" w:rsidP="008A10A0">
            <w:pPr>
              <w:contextualSpacing/>
              <w:rPr>
                <w:rFonts w:ascii="Arial Narrow" w:hAnsi="Arial Narrow" w:cs="Arial"/>
                <w:sz w:val="20"/>
                <w:szCs w:val="20"/>
                <w:lang w:val="bg-BG"/>
              </w:rPr>
            </w:pPr>
            <w:r>
              <w:rPr>
                <w:rFonts w:ascii="Arial Narrow" w:hAnsi="Arial Narrow" w:cs="Arial"/>
                <w:color w:val="000000"/>
                <w:sz w:val="20"/>
                <w:szCs w:val="20"/>
              </w:rPr>
              <w:t>БВП по текущи цени, млн. лева</w:t>
            </w:r>
          </w:p>
        </w:tc>
        <w:tc>
          <w:tcPr>
            <w:tcW w:w="733" w:type="pct"/>
            <w:tcBorders>
              <w:top w:val="nil"/>
              <w:left w:val="nil"/>
              <w:bottom w:val="single" w:sz="4" w:space="0" w:color="auto"/>
              <w:right w:val="single" w:sz="4" w:space="0" w:color="auto"/>
            </w:tcBorders>
            <w:noWrap/>
            <w:vAlign w:val="center"/>
          </w:tcPr>
          <w:p w14:paraId="46B49FBC" w14:textId="77777777" w:rsidR="008A10A0" w:rsidRPr="001E4DE6" w:rsidRDefault="008A10A0" w:rsidP="008A10A0">
            <w:pPr>
              <w:contextualSpacing/>
              <w:jc w:val="right"/>
              <w:rPr>
                <w:rFonts w:ascii="Arial Narrow" w:hAnsi="Arial Narrow" w:cs="Arial"/>
                <w:sz w:val="20"/>
                <w:szCs w:val="20"/>
              </w:rPr>
            </w:pPr>
            <w:r>
              <w:rPr>
                <w:rFonts w:ascii="Arial Narrow" w:hAnsi="Arial Narrow" w:cs="Arial"/>
                <w:color w:val="000000"/>
                <w:sz w:val="20"/>
                <w:szCs w:val="20"/>
              </w:rPr>
              <w:t>120 979</w:t>
            </w:r>
          </w:p>
        </w:tc>
        <w:tc>
          <w:tcPr>
            <w:tcW w:w="733" w:type="pct"/>
            <w:tcBorders>
              <w:top w:val="nil"/>
              <w:left w:val="nil"/>
              <w:bottom w:val="single" w:sz="4" w:space="0" w:color="auto"/>
              <w:right w:val="single" w:sz="4" w:space="0" w:color="auto"/>
            </w:tcBorders>
            <w:noWrap/>
            <w:vAlign w:val="center"/>
          </w:tcPr>
          <w:p w14:paraId="1A60C9BD" w14:textId="77777777" w:rsidR="008A10A0" w:rsidRPr="001E4DE6" w:rsidRDefault="008A10A0" w:rsidP="008A10A0">
            <w:pPr>
              <w:contextualSpacing/>
              <w:jc w:val="right"/>
              <w:rPr>
                <w:rFonts w:ascii="Arial Narrow" w:hAnsi="Arial Narrow" w:cs="Arial"/>
                <w:sz w:val="20"/>
                <w:szCs w:val="20"/>
              </w:rPr>
            </w:pPr>
            <w:r>
              <w:rPr>
                <w:rFonts w:ascii="Arial Narrow" w:hAnsi="Arial Narrow" w:cs="Arial"/>
                <w:color w:val="000000"/>
                <w:sz w:val="20"/>
                <w:szCs w:val="20"/>
              </w:rPr>
              <w:t>139 537</w:t>
            </w:r>
          </w:p>
        </w:tc>
        <w:tc>
          <w:tcPr>
            <w:tcW w:w="733" w:type="pct"/>
            <w:tcBorders>
              <w:top w:val="nil"/>
              <w:left w:val="nil"/>
              <w:bottom w:val="single" w:sz="4" w:space="0" w:color="auto"/>
              <w:right w:val="single" w:sz="4" w:space="0" w:color="auto"/>
            </w:tcBorders>
            <w:noWrap/>
            <w:vAlign w:val="center"/>
          </w:tcPr>
          <w:p w14:paraId="0E28145B" w14:textId="77777777" w:rsidR="008A10A0" w:rsidRPr="00334E9D" w:rsidRDefault="008A10A0" w:rsidP="008A10A0">
            <w:pPr>
              <w:contextualSpacing/>
              <w:jc w:val="right"/>
              <w:rPr>
                <w:rFonts w:ascii="Arial Narrow" w:hAnsi="Arial Narrow" w:cs="Arial"/>
                <w:sz w:val="20"/>
                <w:szCs w:val="20"/>
                <w:lang w:val="bg-BG"/>
              </w:rPr>
            </w:pPr>
            <w:r>
              <w:rPr>
                <w:rFonts w:ascii="Arial Narrow" w:hAnsi="Arial Narrow" w:cs="Arial"/>
                <w:color w:val="000000"/>
                <w:sz w:val="20"/>
                <w:szCs w:val="20"/>
              </w:rPr>
              <w:t>168 354</w:t>
            </w:r>
          </w:p>
        </w:tc>
        <w:tc>
          <w:tcPr>
            <w:tcW w:w="733" w:type="pct"/>
            <w:tcBorders>
              <w:top w:val="nil"/>
              <w:left w:val="nil"/>
              <w:bottom w:val="single" w:sz="4" w:space="0" w:color="auto"/>
              <w:right w:val="single" w:sz="4" w:space="0" w:color="auto"/>
            </w:tcBorders>
            <w:noWrap/>
            <w:vAlign w:val="center"/>
          </w:tcPr>
          <w:p w14:paraId="32A19F7B" w14:textId="77777777" w:rsidR="008A10A0" w:rsidRPr="00334E9D" w:rsidRDefault="008A10A0" w:rsidP="008A10A0">
            <w:pPr>
              <w:contextualSpacing/>
              <w:jc w:val="right"/>
              <w:rPr>
                <w:rFonts w:ascii="Arial Narrow" w:hAnsi="Arial Narrow" w:cs="Arial"/>
                <w:sz w:val="20"/>
                <w:szCs w:val="20"/>
                <w:lang w:val="bg-BG"/>
              </w:rPr>
            </w:pPr>
            <w:r>
              <w:rPr>
                <w:rFonts w:ascii="Arial Narrow" w:hAnsi="Arial Narrow" w:cs="Arial"/>
                <w:color w:val="000000"/>
                <w:sz w:val="20"/>
                <w:szCs w:val="20"/>
              </w:rPr>
              <w:t>184 875</w:t>
            </w:r>
          </w:p>
        </w:tc>
        <w:tc>
          <w:tcPr>
            <w:tcW w:w="733" w:type="pct"/>
            <w:tcBorders>
              <w:top w:val="nil"/>
              <w:left w:val="nil"/>
              <w:bottom w:val="single" w:sz="4" w:space="0" w:color="auto"/>
              <w:right w:val="single" w:sz="4" w:space="0" w:color="auto"/>
            </w:tcBorders>
            <w:noWrap/>
            <w:vAlign w:val="center"/>
          </w:tcPr>
          <w:p w14:paraId="7D7002E7" w14:textId="77777777" w:rsidR="008A10A0" w:rsidRPr="001E4DE6" w:rsidRDefault="008A10A0" w:rsidP="008A10A0">
            <w:pPr>
              <w:contextualSpacing/>
              <w:jc w:val="right"/>
              <w:rPr>
                <w:rFonts w:ascii="Arial Narrow" w:hAnsi="Arial Narrow" w:cs="Arial"/>
                <w:sz w:val="20"/>
                <w:szCs w:val="20"/>
              </w:rPr>
            </w:pPr>
            <w:r>
              <w:rPr>
                <w:rFonts w:ascii="Arial Narrow" w:hAnsi="Arial Narrow" w:cs="Arial"/>
                <w:color w:val="000000"/>
                <w:sz w:val="20"/>
                <w:szCs w:val="20"/>
              </w:rPr>
              <w:t>204 907</w:t>
            </w:r>
          </w:p>
        </w:tc>
      </w:tr>
      <w:tr w:rsidR="008A10A0" w:rsidRPr="001E4DE6" w14:paraId="202A9941" w14:textId="77777777" w:rsidTr="00BA7C7F">
        <w:trPr>
          <w:trHeight w:val="454"/>
        </w:trPr>
        <w:tc>
          <w:tcPr>
            <w:tcW w:w="1335" w:type="pct"/>
            <w:tcBorders>
              <w:top w:val="nil"/>
              <w:left w:val="single" w:sz="4" w:space="0" w:color="auto"/>
              <w:bottom w:val="single" w:sz="4" w:space="0" w:color="auto"/>
              <w:right w:val="single" w:sz="4" w:space="0" w:color="auto"/>
            </w:tcBorders>
            <w:vAlign w:val="center"/>
          </w:tcPr>
          <w:p w14:paraId="38A7F5BC" w14:textId="77777777" w:rsidR="008A10A0" w:rsidRPr="005A013F" w:rsidRDefault="008A10A0" w:rsidP="008A10A0">
            <w:pPr>
              <w:contextualSpacing/>
              <w:rPr>
                <w:rFonts w:ascii="Arial Narrow" w:hAnsi="Arial Narrow" w:cs="Arial"/>
                <w:sz w:val="20"/>
                <w:szCs w:val="20"/>
                <w:lang w:val="bg-BG"/>
              </w:rPr>
            </w:pPr>
            <w:r>
              <w:rPr>
                <w:rFonts w:ascii="Arial Narrow" w:hAnsi="Arial Narrow" w:cs="Arial"/>
                <w:color w:val="000000"/>
                <w:sz w:val="20"/>
                <w:szCs w:val="20"/>
              </w:rPr>
              <w:t>БВП по текущи цени, млн. евро</w:t>
            </w:r>
          </w:p>
        </w:tc>
        <w:tc>
          <w:tcPr>
            <w:tcW w:w="733" w:type="pct"/>
            <w:tcBorders>
              <w:top w:val="nil"/>
              <w:left w:val="nil"/>
              <w:bottom w:val="single" w:sz="4" w:space="0" w:color="auto"/>
              <w:right w:val="single" w:sz="4" w:space="0" w:color="auto"/>
            </w:tcBorders>
            <w:vAlign w:val="center"/>
          </w:tcPr>
          <w:p w14:paraId="1E8AFDC6" w14:textId="77777777" w:rsidR="008A10A0" w:rsidRPr="001E4DE6" w:rsidRDefault="008A10A0" w:rsidP="008A10A0">
            <w:pPr>
              <w:contextualSpacing/>
              <w:jc w:val="right"/>
              <w:rPr>
                <w:rFonts w:ascii="Arial Narrow" w:hAnsi="Arial Narrow" w:cs="Arial"/>
                <w:sz w:val="20"/>
                <w:szCs w:val="20"/>
              </w:rPr>
            </w:pPr>
            <w:r>
              <w:rPr>
                <w:rFonts w:ascii="Arial Narrow" w:hAnsi="Arial Narrow" w:cs="Arial"/>
                <w:color w:val="000000"/>
                <w:sz w:val="20"/>
                <w:szCs w:val="20"/>
              </w:rPr>
              <w:t>61 856</w:t>
            </w:r>
          </w:p>
        </w:tc>
        <w:tc>
          <w:tcPr>
            <w:tcW w:w="733" w:type="pct"/>
            <w:tcBorders>
              <w:top w:val="nil"/>
              <w:left w:val="nil"/>
              <w:bottom w:val="single" w:sz="4" w:space="0" w:color="auto"/>
              <w:right w:val="single" w:sz="4" w:space="0" w:color="auto"/>
            </w:tcBorders>
            <w:vAlign w:val="center"/>
          </w:tcPr>
          <w:p w14:paraId="55364B8D" w14:textId="77777777" w:rsidR="008A10A0" w:rsidRPr="001E4DE6" w:rsidRDefault="008A10A0" w:rsidP="008A10A0">
            <w:pPr>
              <w:contextualSpacing/>
              <w:jc w:val="right"/>
              <w:rPr>
                <w:rFonts w:ascii="Arial Narrow" w:hAnsi="Arial Narrow" w:cs="Arial"/>
                <w:sz w:val="20"/>
                <w:szCs w:val="20"/>
              </w:rPr>
            </w:pPr>
            <w:r>
              <w:rPr>
                <w:rFonts w:ascii="Arial Narrow" w:hAnsi="Arial Narrow" w:cs="Arial"/>
                <w:color w:val="000000"/>
                <w:sz w:val="20"/>
                <w:szCs w:val="20"/>
              </w:rPr>
              <w:t>71 344</w:t>
            </w:r>
          </w:p>
        </w:tc>
        <w:tc>
          <w:tcPr>
            <w:tcW w:w="733" w:type="pct"/>
            <w:tcBorders>
              <w:top w:val="nil"/>
              <w:left w:val="nil"/>
              <w:bottom w:val="single" w:sz="4" w:space="0" w:color="auto"/>
              <w:right w:val="single" w:sz="4" w:space="0" w:color="auto"/>
            </w:tcBorders>
            <w:vAlign w:val="center"/>
          </w:tcPr>
          <w:p w14:paraId="1EFD4A06" w14:textId="77777777" w:rsidR="008A10A0" w:rsidRPr="001E4DE6" w:rsidRDefault="008A10A0" w:rsidP="008A10A0">
            <w:pPr>
              <w:contextualSpacing/>
              <w:jc w:val="right"/>
              <w:rPr>
                <w:rFonts w:ascii="Arial Narrow" w:hAnsi="Arial Narrow" w:cs="Arial"/>
                <w:sz w:val="20"/>
                <w:szCs w:val="20"/>
              </w:rPr>
            </w:pPr>
            <w:r>
              <w:rPr>
                <w:rFonts w:ascii="Arial Narrow" w:hAnsi="Arial Narrow" w:cs="Arial"/>
                <w:color w:val="000000"/>
                <w:sz w:val="20"/>
                <w:szCs w:val="20"/>
              </w:rPr>
              <w:t>86 078</w:t>
            </w:r>
          </w:p>
        </w:tc>
        <w:tc>
          <w:tcPr>
            <w:tcW w:w="733" w:type="pct"/>
            <w:tcBorders>
              <w:top w:val="nil"/>
              <w:left w:val="nil"/>
              <w:bottom w:val="single" w:sz="4" w:space="0" w:color="auto"/>
              <w:right w:val="single" w:sz="4" w:space="0" w:color="auto"/>
            </w:tcBorders>
            <w:vAlign w:val="center"/>
          </w:tcPr>
          <w:p w14:paraId="760D8DEF" w14:textId="77777777" w:rsidR="008A10A0" w:rsidRPr="001E4DE6" w:rsidRDefault="008A10A0" w:rsidP="008A10A0">
            <w:pPr>
              <w:contextualSpacing/>
              <w:jc w:val="right"/>
              <w:rPr>
                <w:rFonts w:ascii="Arial Narrow" w:hAnsi="Arial Narrow" w:cs="Arial"/>
                <w:sz w:val="20"/>
                <w:szCs w:val="20"/>
              </w:rPr>
            </w:pPr>
            <w:r>
              <w:rPr>
                <w:rFonts w:ascii="Arial Narrow" w:hAnsi="Arial Narrow" w:cs="Arial"/>
                <w:color w:val="000000"/>
                <w:sz w:val="20"/>
                <w:szCs w:val="20"/>
              </w:rPr>
              <w:t>94 525</w:t>
            </w:r>
          </w:p>
        </w:tc>
        <w:tc>
          <w:tcPr>
            <w:tcW w:w="733" w:type="pct"/>
            <w:tcBorders>
              <w:top w:val="nil"/>
              <w:left w:val="nil"/>
              <w:bottom w:val="single" w:sz="4" w:space="0" w:color="auto"/>
              <w:right w:val="single" w:sz="4" w:space="0" w:color="auto"/>
            </w:tcBorders>
            <w:vAlign w:val="center"/>
          </w:tcPr>
          <w:p w14:paraId="010B0E27" w14:textId="77777777" w:rsidR="008A10A0" w:rsidRPr="001E4DE6" w:rsidRDefault="008A10A0" w:rsidP="008A10A0">
            <w:pPr>
              <w:contextualSpacing/>
              <w:jc w:val="right"/>
              <w:rPr>
                <w:rFonts w:ascii="Arial Narrow" w:hAnsi="Arial Narrow" w:cs="Arial"/>
                <w:sz w:val="20"/>
                <w:szCs w:val="20"/>
              </w:rPr>
            </w:pPr>
            <w:r>
              <w:rPr>
                <w:rFonts w:ascii="Arial Narrow" w:hAnsi="Arial Narrow" w:cs="Arial"/>
                <w:color w:val="000000"/>
                <w:sz w:val="20"/>
                <w:szCs w:val="20"/>
              </w:rPr>
              <w:t>104 767</w:t>
            </w:r>
          </w:p>
        </w:tc>
      </w:tr>
      <w:tr w:rsidR="008A10A0" w:rsidRPr="001E4DE6" w14:paraId="2E6A06A4" w14:textId="77777777" w:rsidTr="00BA7C7F">
        <w:trPr>
          <w:trHeight w:val="680"/>
        </w:trPr>
        <w:tc>
          <w:tcPr>
            <w:tcW w:w="1335" w:type="pct"/>
            <w:tcBorders>
              <w:top w:val="nil"/>
              <w:left w:val="single" w:sz="4" w:space="0" w:color="auto"/>
              <w:bottom w:val="single" w:sz="4" w:space="0" w:color="auto"/>
              <w:right w:val="single" w:sz="4" w:space="0" w:color="auto"/>
            </w:tcBorders>
            <w:vAlign w:val="center"/>
          </w:tcPr>
          <w:p w14:paraId="1D46171A" w14:textId="77777777" w:rsidR="008A10A0" w:rsidRPr="005A013F" w:rsidRDefault="008A10A0" w:rsidP="008A10A0">
            <w:pPr>
              <w:contextualSpacing/>
              <w:rPr>
                <w:rFonts w:ascii="Arial Narrow" w:hAnsi="Arial Narrow" w:cs="Arial"/>
                <w:sz w:val="20"/>
                <w:szCs w:val="20"/>
                <w:lang w:val="bg-BG"/>
              </w:rPr>
            </w:pPr>
            <w:r>
              <w:rPr>
                <w:rFonts w:ascii="Arial Narrow" w:hAnsi="Arial Narrow" w:cs="Arial"/>
                <w:color w:val="000000"/>
                <w:sz w:val="20"/>
                <w:szCs w:val="20"/>
              </w:rPr>
              <w:t>Годишен реален темп на изменение на БВП, %*</w:t>
            </w:r>
          </w:p>
        </w:tc>
        <w:tc>
          <w:tcPr>
            <w:tcW w:w="733" w:type="pct"/>
            <w:tcBorders>
              <w:top w:val="nil"/>
              <w:left w:val="nil"/>
              <w:bottom w:val="single" w:sz="4" w:space="0" w:color="auto"/>
              <w:right w:val="single" w:sz="4" w:space="0" w:color="auto"/>
            </w:tcBorders>
            <w:noWrap/>
            <w:vAlign w:val="center"/>
          </w:tcPr>
          <w:p w14:paraId="24F1002C" w14:textId="77777777" w:rsidR="008A10A0" w:rsidRPr="001E4DE6" w:rsidRDefault="008A10A0" w:rsidP="008A10A0">
            <w:pPr>
              <w:contextualSpacing/>
              <w:jc w:val="right"/>
              <w:rPr>
                <w:rFonts w:ascii="Arial Narrow" w:hAnsi="Arial Narrow" w:cs="Arial"/>
                <w:sz w:val="20"/>
                <w:szCs w:val="20"/>
              </w:rPr>
            </w:pPr>
            <w:r>
              <w:rPr>
                <w:rFonts w:ascii="Arial Narrow" w:hAnsi="Arial Narrow" w:cs="Arial"/>
                <w:color w:val="000000"/>
                <w:sz w:val="20"/>
                <w:szCs w:val="20"/>
              </w:rPr>
              <w:t>-3,1</w:t>
            </w:r>
          </w:p>
        </w:tc>
        <w:tc>
          <w:tcPr>
            <w:tcW w:w="733" w:type="pct"/>
            <w:tcBorders>
              <w:top w:val="nil"/>
              <w:left w:val="nil"/>
              <w:bottom w:val="single" w:sz="4" w:space="0" w:color="auto"/>
              <w:right w:val="single" w:sz="4" w:space="0" w:color="auto"/>
            </w:tcBorders>
            <w:noWrap/>
            <w:vAlign w:val="center"/>
          </w:tcPr>
          <w:p w14:paraId="4CA07143" w14:textId="77777777" w:rsidR="008A10A0" w:rsidRPr="001E4DE6" w:rsidRDefault="008A10A0" w:rsidP="008A10A0">
            <w:pPr>
              <w:contextualSpacing/>
              <w:jc w:val="right"/>
              <w:rPr>
                <w:rFonts w:ascii="Arial Narrow" w:hAnsi="Arial Narrow" w:cs="Arial"/>
                <w:sz w:val="20"/>
                <w:szCs w:val="20"/>
              </w:rPr>
            </w:pPr>
            <w:r>
              <w:rPr>
                <w:rFonts w:ascii="Arial Narrow" w:hAnsi="Arial Narrow" w:cs="Arial"/>
                <w:color w:val="000000"/>
                <w:sz w:val="20"/>
                <w:szCs w:val="20"/>
              </w:rPr>
              <w:t>7,8</w:t>
            </w:r>
          </w:p>
        </w:tc>
        <w:tc>
          <w:tcPr>
            <w:tcW w:w="733" w:type="pct"/>
            <w:tcBorders>
              <w:top w:val="nil"/>
              <w:left w:val="nil"/>
              <w:bottom w:val="single" w:sz="4" w:space="0" w:color="auto"/>
              <w:right w:val="single" w:sz="4" w:space="0" w:color="auto"/>
            </w:tcBorders>
            <w:noWrap/>
            <w:vAlign w:val="center"/>
          </w:tcPr>
          <w:p w14:paraId="4225EE4B" w14:textId="77777777" w:rsidR="008A10A0" w:rsidRPr="001E4DE6" w:rsidRDefault="008A10A0" w:rsidP="008A10A0">
            <w:pPr>
              <w:contextualSpacing/>
              <w:jc w:val="right"/>
              <w:rPr>
                <w:rFonts w:ascii="Arial Narrow" w:hAnsi="Arial Narrow" w:cs="Arial"/>
                <w:sz w:val="20"/>
                <w:szCs w:val="20"/>
              </w:rPr>
            </w:pPr>
            <w:r>
              <w:rPr>
                <w:rFonts w:ascii="Arial Narrow" w:hAnsi="Arial Narrow" w:cs="Arial"/>
                <w:color w:val="000000"/>
                <w:sz w:val="20"/>
                <w:szCs w:val="20"/>
              </w:rPr>
              <w:t>4,1</w:t>
            </w:r>
          </w:p>
        </w:tc>
        <w:tc>
          <w:tcPr>
            <w:tcW w:w="733" w:type="pct"/>
            <w:tcBorders>
              <w:top w:val="nil"/>
              <w:left w:val="nil"/>
              <w:bottom w:val="single" w:sz="4" w:space="0" w:color="auto"/>
              <w:right w:val="single" w:sz="4" w:space="0" w:color="auto"/>
            </w:tcBorders>
            <w:noWrap/>
            <w:vAlign w:val="center"/>
          </w:tcPr>
          <w:p w14:paraId="44339866" w14:textId="77777777" w:rsidR="008A10A0" w:rsidRPr="00647ADA" w:rsidRDefault="008A10A0" w:rsidP="008A10A0">
            <w:pPr>
              <w:contextualSpacing/>
              <w:jc w:val="right"/>
              <w:rPr>
                <w:rFonts w:ascii="Arial Narrow" w:hAnsi="Arial Narrow" w:cs="Arial"/>
                <w:sz w:val="20"/>
                <w:szCs w:val="20"/>
                <w:lang w:val="bg-BG"/>
              </w:rPr>
            </w:pPr>
            <w:r>
              <w:rPr>
                <w:rFonts w:ascii="Arial Narrow" w:hAnsi="Arial Narrow" w:cs="Arial"/>
                <w:color w:val="000000"/>
                <w:sz w:val="20"/>
                <w:szCs w:val="20"/>
              </w:rPr>
              <w:t>1,7</w:t>
            </w:r>
          </w:p>
        </w:tc>
        <w:tc>
          <w:tcPr>
            <w:tcW w:w="733" w:type="pct"/>
            <w:tcBorders>
              <w:top w:val="nil"/>
              <w:left w:val="nil"/>
              <w:bottom w:val="single" w:sz="4" w:space="0" w:color="auto"/>
              <w:right w:val="single" w:sz="4" w:space="0" w:color="auto"/>
            </w:tcBorders>
            <w:noWrap/>
            <w:vAlign w:val="center"/>
          </w:tcPr>
          <w:p w14:paraId="0A6A6324" w14:textId="77777777" w:rsidR="008A10A0" w:rsidRPr="00C95FB6" w:rsidRDefault="008A10A0" w:rsidP="008A10A0">
            <w:pPr>
              <w:contextualSpacing/>
              <w:jc w:val="right"/>
              <w:rPr>
                <w:rFonts w:ascii="Arial Narrow" w:hAnsi="Arial Narrow" w:cs="Arial"/>
                <w:sz w:val="20"/>
                <w:szCs w:val="20"/>
                <w:lang w:val="bg-BG"/>
              </w:rPr>
            </w:pPr>
            <w:r>
              <w:rPr>
                <w:rFonts w:ascii="Arial Narrow" w:hAnsi="Arial Narrow" w:cs="Arial"/>
                <w:color w:val="000000"/>
                <w:sz w:val="20"/>
                <w:szCs w:val="20"/>
              </w:rPr>
              <w:t>3,4</w:t>
            </w:r>
          </w:p>
        </w:tc>
      </w:tr>
      <w:tr w:rsidR="00D63FE7" w:rsidRPr="001E4DE6" w14:paraId="0426E435" w14:textId="77777777" w:rsidTr="00BA7C7F">
        <w:trPr>
          <w:trHeight w:val="680"/>
        </w:trPr>
        <w:tc>
          <w:tcPr>
            <w:tcW w:w="1335" w:type="pct"/>
            <w:tcBorders>
              <w:top w:val="nil"/>
              <w:left w:val="single" w:sz="4" w:space="0" w:color="auto"/>
              <w:bottom w:val="single" w:sz="4" w:space="0" w:color="auto"/>
              <w:right w:val="single" w:sz="4" w:space="0" w:color="auto"/>
            </w:tcBorders>
            <w:vAlign w:val="center"/>
          </w:tcPr>
          <w:p w14:paraId="348D7BA6" w14:textId="77777777" w:rsidR="00D63FE7" w:rsidRPr="005A013F" w:rsidRDefault="00D63FE7" w:rsidP="00BA7C7F">
            <w:pPr>
              <w:contextualSpacing/>
              <w:rPr>
                <w:rFonts w:ascii="Arial Narrow" w:hAnsi="Arial Narrow" w:cs="Arial"/>
                <w:sz w:val="20"/>
                <w:szCs w:val="20"/>
                <w:lang w:val="bg-BG"/>
              </w:rPr>
            </w:pPr>
            <w:r>
              <w:rPr>
                <w:rFonts w:ascii="Arial Narrow" w:hAnsi="Arial Narrow" w:cs="Arial"/>
                <w:color w:val="000000"/>
                <w:sz w:val="20"/>
                <w:szCs w:val="20"/>
              </w:rPr>
              <w:t>Средногодишна инфлация (ИПЦ), %</w:t>
            </w:r>
          </w:p>
        </w:tc>
        <w:tc>
          <w:tcPr>
            <w:tcW w:w="733" w:type="pct"/>
            <w:tcBorders>
              <w:top w:val="nil"/>
              <w:left w:val="nil"/>
              <w:bottom w:val="single" w:sz="4" w:space="0" w:color="auto"/>
              <w:right w:val="single" w:sz="4" w:space="0" w:color="auto"/>
            </w:tcBorders>
            <w:noWrap/>
            <w:vAlign w:val="center"/>
          </w:tcPr>
          <w:p w14:paraId="32CD6061" w14:textId="77777777" w:rsidR="00D63FE7" w:rsidRPr="001E4DE6" w:rsidRDefault="00D63FE7" w:rsidP="00BA7C7F">
            <w:pPr>
              <w:contextualSpacing/>
              <w:jc w:val="right"/>
              <w:rPr>
                <w:rFonts w:ascii="Arial Narrow" w:hAnsi="Arial Narrow" w:cs="Arial"/>
                <w:sz w:val="20"/>
                <w:szCs w:val="20"/>
              </w:rPr>
            </w:pPr>
            <w:r>
              <w:rPr>
                <w:rFonts w:ascii="Arial Narrow" w:hAnsi="Arial Narrow" w:cs="Arial"/>
                <w:color w:val="000000"/>
                <w:sz w:val="20"/>
                <w:szCs w:val="20"/>
              </w:rPr>
              <w:t>1,7</w:t>
            </w:r>
          </w:p>
        </w:tc>
        <w:tc>
          <w:tcPr>
            <w:tcW w:w="733" w:type="pct"/>
            <w:tcBorders>
              <w:top w:val="nil"/>
              <w:left w:val="nil"/>
              <w:bottom w:val="single" w:sz="4" w:space="0" w:color="auto"/>
              <w:right w:val="single" w:sz="4" w:space="0" w:color="auto"/>
            </w:tcBorders>
            <w:noWrap/>
            <w:vAlign w:val="center"/>
          </w:tcPr>
          <w:p w14:paraId="0BF7313F" w14:textId="77777777" w:rsidR="00D63FE7" w:rsidRPr="001E4DE6" w:rsidRDefault="00D63FE7" w:rsidP="00BA7C7F">
            <w:pPr>
              <w:contextualSpacing/>
              <w:jc w:val="right"/>
              <w:rPr>
                <w:rFonts w:ascii="Arial Narrow" w:hAnsi="Arial Narrow" w:cs="Arial"/>
                <w:sz w:val="20"/>
                <w:szCs w:val="20"/>
              </w:rPr>
            </w:pPr>
            <w:r>
              <w:rPr>
                <w:rFonts w:ascii="Arial Narrow" w:hAnsi="Arial Narrow" w:cs="Arial"/>
                <w:color w:val="000000"/>
                <w:sz w:val="20"/>
                <w:szCs w:val="20"/>
              </w:rPr>
              <w:t>3,3</w:t>
            </w:r>
          </w:p>
        </w:tc>
        <w:tc>
          <w:tcPr>
            <w:tcW w:w="733" w:type="pct"/>
            <w:tcBorders>
              <w:top w:val="nil"/>
              <w:left w:val="nil"/>
              <w:bottom w:val="single" w:sz="4" w:space="0" w:color="auto"/>
              <w:right w:val="single" w:sz="4" w:space="0" w:color="auto"/>
            </w:tcBorders>
            <w:noWrap/>
            <w:vAlign w:val="center"/>
          </w:tcPr>
          <w:p w14:paraId="252906B8" w14:textId="77777777" w:rsidR="00D63FE7" w:rsidRPr="001E4DE6" w:rsidRDefault="00D63FE7" w:rsidP="00BA7C7F">
            <w:pPr>
              <w:contextualSpacing/>
              <w:jc w:val="right"/>
              <w:rPr>
                <w:rFonts w:ascii="Arial Narrow" w:hAnsi="Arial Narrow" w:cs="Arial"/>
                <w:sz w:val="20"/>
                <w:szCs w:val="20"/>
              </w:rPr>
            </w:pPr>
            <w:r>
              <w:rPr>
                <w:rFonts w:ascii="Arial Narrow" w:hAnsi="Arial Narrow" w:cs="Arial"/>
                <w:color w:val="000000"/>
                <w:sz w:val="20"/>
                <w:szCs w:val="20"/>
              </w:rPr>
              <w:t>15,3</w:t>
            </w:r>
          </w:p>
        </w:tc>
        <w:tc>
          <w:tcPr>
            <w:tcW w:w="733" w:type="pct"/>
            <w:tcBorders>
              <w:top w:val="nil"/>
              <w:left w:val="nil"/>
              <w:bottom w:val="single" w:sz="4" w:space="0" w:color="auto"/>
              <w:right w:val="single" w:sz="4" w:space="0" w:color="auto"/>
            </w:tcBorders>
            <w:noWrap/>
            <w:vAlign w:val="center"/>
          </w:tcPr>
          <w:p w14:paraId="31F3899A" w14:textId="77777777" w:rsidR="00D63FE7" w:rsidRPr="001E4DE6" w:rsidRDefault="00D63FE7" w:rsidP="00BA7C7F">
            <w:pPr>
              <w:contextualSpacing/>
              <w:jc w:val="right"/>
              <w:rPr>
                <w:rFonts w:ascii="Arial Narrow" w:hAnsi="Arial Narrow" w:cs="Arial"/>
                <w:sz w:val="20"/>
                <w:szCs w:val="20"/>
              </w:rPr>
            </w:pPr>
            <w:r>
              <w:rPr>
                <w:rFonts w:ascii="Arial Narrow" w:hAnsi="Arial Narrow" w:cs="Arial"/>
                <w:color w:val="000000"/>
                <w:sz w:val="20"/>
                <w:szCs w:val="20"/>
              </w:rPr>
              <w:t>9,5</w:t>
            </w:r>
          </w:p>
        </w:tc>
        <w:tc>
          <w:tcPr>
            <w:tcW w:w="733" w:type="pct"/>
            <w:tcBorders>
              <w:top w:val="nil"/>
              <w:left w:val="nil"/>
              <w:bottom w:val="single" w:sz="4" w:space="0" w:color="auto"/>
              <w:right w:val="single" w:sz="4" w:space="0" w:color="auto"/>
            </w:tcBorders>
            <w:noWrap/>
            <w:vAlign w:val="center"/>
          </w:tcPr>
          <w:p w14:paraId="66F29ABB" w14:textId="77777777" w:rsidR="00D63FE7" w:rsidRPr="001E4DE6" w:rsidRDefault="00D63FE7" w:rsidP="00BA7C7F">
            <w:pPr>
              <w:contextualSpacing/>
              <w:jc w:val="right"/>
              <w:rPr>
                <w:rFonts w:ascii="Arial Narrow" w:hAnsi="Arial Narrow" w:cs="Arial"/>
                <w:sz w:val="20"/>
                <w:szCs w:val="20"/>
              </w:rPr>
            </w:pPr>
            <w:r>
              <w:rPr>
                <w:rFonts w:ascii="Arial Narrow" w:hAnsi="Arial Narrow" w:cs="Arial"/>
                <w:color w:val="000000"/>
                <w:sz w:val="20"/>
                <w:szCs w:val="20"/>
              </w:rPr>
              <w:t>2,4</w:t>
            </w:r>
          </w:p>
        </w:tc>
      </w:tr>
      <w:tr w:rsidR="00D63FE7" w:rsidRPr="001E4DE6" w14:paraId="65EBA7BB" w14:textId="77777777" w:rsidTr="00BA7C7F">
        <w:trPr>
          <w:trHeight w:val="680"/>
        </w:trPr>
        <w:tc>
          <w:tcPr>
            <w:tcW w:w="1335" w:type="pct"/>
            <w:tcBorders>
              <w:top w:val="nil"/>
              <w:left w:val="single" w:sz="4" w:space="0" w:color="auto"/>
              <w:bottom w:val="single" w:sz="4" w:space="0" w:color="auto"/>
              <w:right w:val="single" w:sz="4" w:space="0" w:color="auto"/>
            </w:tcBorders>
            <w:vAlign w:val="center"/>
          </w:tcPr>
          <w:p w14:paraId="630D8AC9" w14:textId="77777777" w:rsidR="00D63FE7" w:rsidRPr="005A013F" w:rsidRDefault="00D63FE7" w:rsidP="00BA7C7F">
            <w:pPr>
              <w:contextualSpacing/>
              <w:rPr>
                <w:rFonts w:ascii="Arial Narrow" w:hAnsi="Arial Narrow" w:cs="Arial"/>
                <w:sz w:val="20"/>
                <w:szCs w:val="20"/>
                <w:lang w:val="bg-BG"/>
              </w:rPr>
            </w:pPr>
            <w:r>
              <w:rPr>
                <w:rFonts w:ascii="Arial Narrow" w:hAnsi="Arial Narrow" w:cs="Arial"/>
                <w:color w:val="000000"/>
                <w:sz w:val="20"/>
                <w:szCs w:val="20"/>
              </w:rPr>
              <w:t>Инфлация в края на годината (ИПЦ), %</w:t>
            </w:r>
          </w:p>
        </w:tc>
        <w:tc>
          <w:tcPr>
            <w:tcW w:w="733" w:type="pct"/>
            <w:tcBorders>
              <w:top w:val="nil"/>
              <w:left w:val="nil"/>
              <w:bottom w:val="single" w:sz="4" w:space="0" w:color="auto"/>
              <w:right w:val="single" w:sz="4" w:space="0" w:color="auto"/>
            </w:tcBorders>
            <w:vAlign w:val="center"/>
          </w:tcPr>
          <w:p w14:paraId="19923071" w14:textId="77777777" w:rsidR="00D63FE7" w:rsidRPr="001E4DE6" w:rsidRDefault="00D63FE7" w:rsidP="00BA7C7F">
            <w:pPr>
              <w:contextualSpacing/>
              <w:jc w:val="right"/>
              <w:rPr>
                <w:rFonts w:ascii="Arial Narrow" w:hAnsi="Arial Narrow" w:cs="Arial"/>
                <w:sz w:val="20"/>
                <w:szCs w:val="20"/>
              </w:rPr>
            </w:pPr>
            <w:r>
              <w:rPr>
                <w:rFonts w:ascii="Arial Narrow" w:hAnsi="Arial Narrow" w:cs="Arial"/>
                <w:sz w:val="20"/>
                <w:szCs w:val="20"/>
              </w:rPr>
              <w:t>0,1</w:t>
            </w:r>
          </w:p>
        </w:tc>
        <w:tc>
          <w:tcPr>
            <w:tcW w:w="733" w:type="pct"/>
            <w:tcBorders>
              <w:top w:val="nil"/>
              <w:left w:val="nil"/>
              <w:bottom w:val="single" w:sz="4" w:space="0" w:color="auto"/>
              <w:right w:val="single" w:sz="4" w:space="0" w:color="auto"/>
            </w:tcBorders>
            <w:vAlign w:val="center"/>
          </w:tcPr>
          <w:p w14:paraId="1859165A" w14:textId="77777777" w:rsidR="00D63FE7" w:rsidRPr="001E4DE6" w:rsidRDefault="00D63FE7" w:rsidP="00BA7C7F">
            <w:pPr>
              <w:contextualSpacing/>
              <w:jc w:val="right"/>
              <w:rPr>
                <w:rFonts w:ascii="Arial Narrow" w:hAnsi="Arial Narrow" w:cs="Arial"/>
                <w:sz w:val="20"/>
                <w:szCs w:val="20"/>
              </w:rPr>
            </w:pPr>
            <w:r>
              <w:rPr>
                <w:rFonts w:ascii="Arial Narrow" w:hAnsi="Arial Narrow" w:cs="Arial"/>
                <w:sz w:val="20"/>
                <w:szCs w:val="20"/>
              </w:rPr>
              <w:t>7,8</w:t>
            </w:r>
          </w:p>
        </w:tc>
        <w:tc>
          <w:tcPr>
            <w:tcW w:w="733" w:type="pct"/>
            <w:tcBorders>
              <w:top w:val="nil"/>
              <w:left w:val="nil"/>
              <w:bottom w:val="single" w:sz="4" w:space="0" w:color="auto"/>
              <w:right w:val="single" w:sz="4" w:space="0" w:color="auto"/>
            </w:tcBorders>
            <w:vAlign w:val="center"/>
          </w:tcPr>
          <w:p w14:paraId="2CBB301F" w14:textId="77777777" w:rsidR="00D63FE7" w:rsidRPr="001E4DE6" w:rsidRDefault="00D63FE7" w:rsidP="00BA7C7F">
            <w:pPr>
              <w:contextualSpacing/>
              <w:jc w:val="right"/>
              <w:rPr>
                <w:rFonts w:ascii="Arial Narrow" w:hAnsi="Arial Narrow" w:cs="Arial"/>
                <w:sz w:val="20"/>
                <w:szCs w:val="20"/>
              </w:rPr>
            </w:pPr>
            <w:r>
              <w:rPr>
                <w:rFonts w:ascii="Arial Narrow" w:hAnsi="Arial Narrow" w:cs="Arial"/>
                <w:sz w:val="20"/>
                <w:szCs w:val="20"/>
              </w:rPr>
              <w:t>16,9</w:t>
            </w:r>
          </w:p>
        </w:tc>
        <w:tc>
          <w:tcPr>
            <w:tcW w:w="733" w:type="pct"/>
            <w:tcBorders>
              <w:top w:val="nil"/>
              <w:left w:val="nil"/>
              <w:bottom w:val="single" w:sz="4" w:space="0" w:color="auto"/>
              <w:right w:val="single" w:sz="4" w:space="0" w:color="auto"/>
            </w:tcBorders>
            <w:vAlign w:val="center"/>
          </w:tcPr>
          <w:p w14:paraId="2431DC4C" w14:textId="77777777" w:rsidR="00D63FE7" w:rsidRPr="001E4DE6" w:rsidRDefault="00D63FE7" w:rsidP="00BA7C7F">
            <w:pPr>
              <w:contextualSpacing/>
              <w:jc w:val="right"/>
              <w:rPr>
                <w:rFonts w:ascii="Arial Narrow" w:hAnsi="Arial Narrow" w:cs="Arial"/>
                <w:sz w:val="20"/>
                <w:szCs w:val="20"/>
              </w:rPr>
            </w:pPr>
            <w:r>
              <w:rPr>
                <w:rFonts w:ascii="Arial Narrow" w:hAnsi="Arial Narrow" w:cs="Arial"/>
                <w:sz w:val="20"/>
                <w:szCs w:val="20"/>
              </w:rPr>
              <w:t>4,7</w:t>
            </w:r>
          </w:p>
        </w:tc>
        <w:tc>
          <w:tcPr>
            <w:tcW w:w="733" w:type="pct"/>
            <w:tcBorders>
              <w:top w:val="nil"/>
              <w:left w:val="nil"/>
              <w:bottom w:val="single" w:sz="4" w:space="0" w:color="auto"/>
              <w:right w:val="single" w:sz="4" w:space="0" w:color="auto"/>
            </w:tcBorders>
            <w:vAlign w:val="center"/>
          </w:tcPr>
          <w:p w14:paraId="27DD0A94" w14:textId="77777777" w:rsidR="00D63FE7" w:rsidRPr="001E4DE6" w:rsidRDefault="00D63FE7" w:rsidP="00BA7C7F">
            <w:pPr>
              <w:contextualSpacing/>
              <w:jc w:val="right"/>
              <w:rPr>
                <w:rFonts w:ascii="Arial Narrow" w:hAnsi="Arial Narrow" w:cs="Arial"/>
                <w:sz w:val="20"/>
                <w:szCs w:val="20"/>
              </w:rPr>
            </w:pPr>
            <w:r>
              <w:rPr>
                <w:rFonts w:ascii="Arial Narrow" w:hAnsi="Arial Narrow" w:cs="Arial"/>
                <w:sz w:val="20"/>
                <w:szCs w:val="20"/>
              </w:rPr>
              <w:t>2,2</w:t>
            </w:r>
          </w:p>
        </w:tc>
      </w:tr>
      <w:tr w:rsidR="008A10A0" w:rsidRPr="001E4DE6" w14:paraId="3B94090B" w14:textId="77777777" w:rsidTr="00BA7C7F">
        <w:trPr>
          <w:trHeight w:val="454"/>
        </w:trPr>
        <w:tc>
          <w:tcPr>
            <w:tcW w:w="1335" w:type="pct"/>
            <w:tcBorders>
              <w:top w:val="nil"/>
              <w:left w:val="single" w:sz="4" w:space="0" w:color="auto"/>
              <w:bottom w:val="single" w:sz="4" w:space="0" w:color="auto"/>
              <w:right w:val="single" w:sz="4" w:space="0" w:color="auto"/>
            </w:tcBorders>
            <w:vAlign w:val="center"/>
          </w:tcPr>
          <w:p w14:paraId="1C8E9437" w14:textId="77777777" w:rsidR="008A10A0" w:rsidRPr="005A013F" w:rsidRDefault="008A10A0" w:rsidP="008A10A0">
            <w:pPr>
              <w:contextualSpacing/>
              <w:rPr>
                <w:rFonts w:ascii="Arial Narrow" w:hAnsi="Arial Narrow" w:cs="Arial"/>
                <w:sz w:val="20"/>
                <w:szCs w:val="20"/>
                <w:lang w:val="bg-BG"/>
              </w:rPr>
            </w:pPr>
            <w:r>
              <w:rPr>
                <w:rFonts w:ascii="Arial Narrow" w:hAnsi="Arial Narrow" w:cs="Arial"/>
                <w:color w:val="000000"/>
                <w:sz w:val="20"/>
                <w:szCs w:val="20"/>
              </w:rPr>
              <w:t>Търговско салдо, млн. лева</w:t>
            </w:r>
          </w:p>
        </w:tc>
        <w:tc>
          <w:tcPr>
            <w:tcW w:w="733" w:type="pct"/>
            <w:tcBorders>
              <w:top w:val="nil"/>
              <w:left w:val="nil"/>
              <w:bottom w:val="single" w:sz="4" w:space="0" w:color="auto"/>
              <w:right w:val="single" w:sz="4" w:space="0" w:color="auto"/>
            </w:tcBorders>
            <w:vAlign w:val="center"/>
          </w:tcPr>
          <w:p w14:paraId="24D8CF4F" w14:textId="77777777" w:rsidR="008A10A0" w:rsidRPr="001E4DE6" w:rsidRDefault="008A10A0" w:rsidP="008A10A0">
            <w:pPr>
              <w:contextualSpacing/>
              <w:jc w:val="right"/>
              <w:rPr>
                <w:rFonts w:ascii="Arial Narrow" w:hAnsi="Arial Narrow" w:cs="Arial"/>
                <w:sz w:val="20"/>
                <w:szCs w:val="20"/>
              </w:rPr>
            </w:pPr>
            <w:r>
              <w:rPr>
                <w:rFonts w:ascii="Arial Narrow" w:hAnsi="Arial Narrow" w:cs="Arial"/>
                <w:sz w:val="20"/>
                <w:szCs w:val="20"/>
              </w:rPr>
              <w:t>-3 796</w:t>
            </w:r>
          </w:p>
        </w:tc>
        <w:tc>
          <w:tcPr>
            <w:tcW w:w="733" w:type="pct"/>
            <w:tcBorders>
              <w:top w:val="nil"/>
              <w:left w:val="nil"/>
              <w:bottom w:val="single" w:sz="4" w:space="0" w:color="auto"/>
              <w:right w:val="single" w:sz="4" w:space="0" w:color="auto"/>
            </w:tcBorders>
            <w:vAlign w:val="center"/>
          </w:tcPr>
          <w:p w14:paraId="2C95CE8F" w14:textId="77777777" w:rsidR="008A10A0" w:rsidRPr="001E4DE6" w:rsidRDefault="008A10A0" w:rsidP="008A10A0">
            <w:pPr>
              <w:contextualSpacing/>
              <w:jc w:val="right"/>
              <w:rPr>
                <w:rFonts w:ascii="Arial Narrow" w:hAnsi="Arial Narrow" w:cs="Arial"/>
                <w:sz w:val="20"/>
                <w:szCs w:val="20"/>
              </w:rPr>
            </w:pPr>
            <w:r>
              <w:rPr>
                <w:rFonts w:ascii="Arial Narrow" w:hAnsi="Arial Narrow" w:cs="Arial"/>
                <w:sz w:val="20"/>
                <w:szCs w:val="20"/>
              </w:rPr>
              <w:t>-5 646</w:t>
            </w:r>
          </w:p>
        </w:tc>
        <w:tc>
          <w:tcPr>
            <w:tcW w:w="733" w:type="pct"/>
            <w:tcBorders>
              <w:top w:val="nil"/>
              <w:left w:val="nil"/>
              <w:bottom w:val="single" w:sz="4" w:space="0" w:color="auto"/>
              <w:right w:val="single" w:sz="4" w:space="0" w:color="auto"/>
            </w:tcBorders>
            <w:vAlign w:val="center"/>
          </w:tcPr>
          <w:p w14:paraId="0A221B05" w14:textId="77777777" w:rsidR="008A10A0" w:rsidRPr="001E4DE6" w:rsidRDefault="008A10A0" w:rsidP="008A10A0">
            <w:pPr>
              <w:contextualSpacing/>
              <w:jc w:val="right"/>
              <w:rPr>
                <w:rFonts w:ascii="Arial Narrow" w:hAnsi="Arial Narrow" w:cs="Arial"/>
                <w:sz w:val="20"/>
                <w:szCs w:val="20"/>
              </w:rPr>
            </w:pPr>
            <w:r>
              <w:rPr>
                <w:rFonts w:ascii="Arial Narrow" w:hAnsi="Arial Narrow" w:cs="Arial"/>
                <w:sz w:val="20"/>
                <w:szCs w:val="20"/>
              </w:rPr>
              <w:t>-9 943</w:t>
            </w:r>
          </w:p>
        </w:tc>
        <w:tc>
          <w:tcPr>
            <w:tcW w:w="733" w:type="pct"/>
            <w:tcBorders>
              <w:top w:val="nil"/>
              <w:left w:val="nil"/>
              <w:bottom w:val="single" w:sz="4" w:space="0" w:color="auto"/>
              <w:right w:val="single" w:sz="4" w:space="0" w:color="auto"/>
            </w:tcBorders>
            <w:vAlign w:val="center"/>
          </w:tcPr>
          <w:p w14:paraId="597344D7" w14:textId="77777777" w:rsidR="008A10A0" w:rsidRPr="001E4DE6" w:rsidRDefault="008A10A0" w:rsidP="008A10A0">
            <w:pPr>
              <w:contextualSpacing/>
              <w:jc w:val="right"/>
              <w:rPr>
                <w:rFonts w:ascii="Arial Narrow" w:hAnsi="Arial Narrow" w:cs="Arial"/>
                <w:sz w:val="20"/>
                <w:szCs w:val="20"/>
              </w:rPr>
            </w:pPr>
            <w:r>
              <w:rPr>
                <w:rFonts w:ascii="Arial Narrow" w:hAnsi="Arial Narrow" w:cs="Arial"/>
                <w:sz w:val="20"/>
                <w:szCs w:val="20"/>
              </w:rPr>
              <w:t>-7 688</w:t>
            </w:r>
          </w:p>
        </w:tc>
        <w:tc>
          <w:tcPr>
            <w:tcW w:w="733" w:type="pct"/>
            <w:tcBorders>
              <w:top w:val="nil"/>
              <w:left w:val="nil"/>
              <w:bottom w:val="single" w:sz="4" w:space="0" w:color="auto"/>
              <w:right w:val="single" w:sz="4" w:space="0" w:color="auto"/>
            </w:tcBorders>
            <w:vAlign w:val="center"/>
          </w:tcPr>
          <w:p w14:paraId="3624C486" w14:textId="77777777" w:rsidR="008A10A0" w:rsidRPr="001E4DE6" w:rsidRDefault="008A10A0" w:rsidP="008A10A0">
            <w:pPr>
              <w:contextualSpacing/>
              <w:jc w:val="right"/>
              <w:rPr>
                <w:rFonts w:ascii="Arial Narrow" w:hAnsi="Arial Narrow" w:cs="Arial"/>
                <w:sz w:val="20"/>
                <w:szCs w:val="20"/>
              </w:rPr>
            </w:pPr>
            <w:r>
              <w:rPr>
                <w:rFonts w:ascii="Arial Narrow" w:hAnsi="Arial Narrow" w:cs="Arial"/>
                <w:sz w:val="20"/>
                <w:szCs w:val="20"/>
              </w:rPr>
              <w:t>-9 874</w:t>
            </w:r>
          </w:p>
        </w:tc>
      </w:tr>
      <w:tr w:rsidR="008A10A0" w:rsidRPr="001E4DE6" w14:paraId="526C6376" w14:textId="77777777" w:rsidTr="00BA7C7F">
        <w:trPr>
          <w:trHeight w:val="454"/>
        </w:trPr>
        <w:tc>
          <w:tcPr>
            <w:tcW w:w="1335" w:type="pct"/>
            <w:tcBorders>
              <w:top w:val="nil"/>
              <w:left w:val="single" w:sz="4" w:space="0" w:color="auto"/>
              <w:bottom w:val="single" w:sz="4" w:space="0" w:color="auto"/>
              <w:right w:val="single" w:sz="4" w:space="0" w:color="auto"/>
            </w:tcBorders>
            <w:vAlign w:val="center"/>
          </w:tcPr>
          <w:p w14:paraId="392BC5F6" w14:textId="77777777" w:rsidR="008A10A0" w:rsidRPr="005A013F" w:rsidRDefault="008A10A0" w:rsidP="008A10A0">
            <w:pPr>
              <w:contextualSpacing/>
              <w:rPr>
                <w:rFonts w:ascii="Arial Narrow" w:hAnsi="Arial Narrow" w:cs="Arial"/>
                <w:sz w:val="20"/>
                <w:szCs w:val="20"/>
                <w:lang w:val="bg-BG"/>
              </w:rPr>
            </w:pPr>
            <w:r>
              <w:rPr>
                <w:rFonts w:ascii="Arial Narrow" w:hAnsi="Arial Narrow" w:cs="Arial"/>
                <w:color w:val="000000"/>
                <w:sz w:val="20"/>
                <w:szCs w:val="20"/>
              </w:rPr>
              <w:t>Търговско салдо, млн. евро</w:t>
            </w:r>
          </w:p>
        </w:tc>
        <w:tc>
          <w:tcPr>
            <w:tcW w:w="733" w:type="pct"/>
            <w:tcBorders>
              <w:top w:val="nil"/>
              <w:left w:val="nil"/>
              <w:bottom w:val="single" w:sz="4" w:space="0" w:color="auto"/>
              <w:right w:val="single" w:sz="4" w:space="0" w:color="auto"/>
            </w:tcBorders>
            <w:vAlign w:val="center"/>
          </w:tcPr>
          <w:p w14:paraId="5F563579" w14:textId="77777777" w:rsidR="008A10A0" w:rsidRPr="001E4DE6" w:rsidRDefault="008A10A0" w:rsidP="008A10A0">
            <w:pPr>
              <w:contextualSpacing/>
              <w:jc w:val="right"/>
              <w:rPr>
                <w:rFonts w:ascii="Arial Narrow" w:hAnsi="Arial Narrow" w:cs="Arial"/>
                <w:sz w:val="20"/>
                <w:szCs w:val="20"/>
                <w:lang w:val="bg-BG"/>
              </w:rPr>
            </w:pPr>
            <w:r>
              <w:rPr>
                <w:rFonts w:ascii="Arial Narrow" w:hAnsi="Arial Narrow" w:cs="Arial"/>
                <w:sz w:val="20"/>
                <w:szCs w:val="20"/>
              </w:rPr>
              <w:t>-1 941</w:t>
            </w:r>
          </w:p>
        </w:tc>
        <w:tc>
          <w:tcPr>
            <w:tcW w:w="733" w:type="pct"/>
            <w:tcBorders>
              <w:top w:val="nil"/>
              <w:left w:val="nil"/>
              <w:bottom w:val="single" w:sz="4" w:space="0" w:color="auto"/>
              <w:right w:val="single" w:sz="4" w:space="0" w:color="auto"/>
            </w:tcBorders>
            <w:vAlign w:val="center"/>
          </w:tcPr>
          <w:p w14:paraId="094E4B43" w14:textId="77777777" w:rsidR="008A10A0" w:rsidRPr="001E4DE6" w:rsidRDefault="008A10A0" w:rsidP="008A10A0">
            <w:pPr>
              <w:contextualSpacing/>
              <w:jc w:val="right"/>
              <w:rPr>
                <w:rFonts w:ascii="Arial Narrow" w:hAnsi="Arial Narrow" w:cs="Arial"/>
                <w:sz w:val="20"/>
                <w:szCs w:val="20"/>
                <w:lang w:val="bg-BG"/>
              </w:rPr>
            </w:pPr>
            <w:r>
              <w:rPr>
                <w:rFonts w:ascii="Arial Narrow" w:hAnsi="Arial Narrow" w:cs="Arial"/>
                <w:sz w:val="20"/>
                <w:szCs w:val="20"/>
              </w:rPr>
              <w:t>-2 887</w:t>
            </w:r>
          </w:p>
        </w:tc>
        <w:tc>
          <w:tcPr>
            <w:tcW w:w="733" w:type="pct"/>
            <w:tcBorders>
              <w:top w:val="nil"/>
              <w:left w:val="nil"/>
              <w:bottom w:val="single" w:sz="4" w:space="0" w:color="auto"/>
              <w:right w:val="single" w:sz="4" w:space="0" w:color="auto"/>
            </w:tcBorders>
            <w:vAlign w:val="center"/>
          </w:tcPr>
          <w:p w14:paraId="1BA9F6D3" w14:textId="77777777" w:rsidR="008A10A0" w:rsidRPr="001E4DE6" w:rsidRDefault="008A10A0" w:rsidP="008A10A0">
            <w:pPr>
              <w:contextualSpacing/>
              <w:jc w:val="right"/>
              <w:rPr>
                <w:rFonts w:ascii="Arial Narrow" w:hAnsi="Arial Narrow" w:cs="Arial"/>
                <w:sz w:val="20"/>
                <w:szCs w:val="20"/>
                <w:lang w:val="bg-BG"/>
              </w:rPr>
            </w:pPr>
            <w:r>
              <w:rPr>
                <w:rFonts w:ascii="Arial Narrow" w:hAnsi="Arial Narrow" w:cs="Arial"/>
                <w:sz w:val="20"/>
                <w:szCs w:val="20"/>
              </w:rPr>
              <w:t>-5 084</w:t>
            </w:r>
          </w:p>
        </w:tc>
        <w:tc>
          <w:tcPr>
            <w:tcW w:w="733" w:type="pct"/>
            <w:tcBorders>
              <w:top w:val="nil"/>
              <w:left w:val="nil"/>
              <w:bottom w:val="single" w:sz="4" w:space="0" w:color="auto"/>
              <w:right w:val="single" w:sz="4" w:space="0" w:color="auto"/>
            </w:tcBorders>
            <w:vAlign w:val="center"/>
          </w:tcPr>
          <w:p w14:paraId="626EB9F1" w14:textId="77777777" w:rsidR="008A10A0" w:rsidRPr="001E4DE6" w:rsidRDefault="008A10A0" w:rsidP="008A10A0">
            <w:pPr>
              <w:contextualSpacing/>
              <w:jc w:val="right"/>
              <w:rPr>
                <w:rFonts w:ascii="Arial Narrow" w:hAnsi="Arial Narrow" w:cs="Arial"/>
                <w:sz w:val="20"/>
                <w:szCs w:val="20"/>
                <w:lang w:val="bg-BG"/>
              </w:rPr>
            </w:pPr>
            <w:r>
              <w:rPr>
                <w:rFonts w:ascii="Arial Narrow" w:hAnsi="Arial Narrow" w:cs="Arial"/>
                <w:sz w:val="20"/>
                <w:szCs w:val="20"/>
              </w:rPr>
              <w:t>-3 931</w:t>
            </w:r>
          </w:p>
        </w:tc>
        <w:tc>
          <w:tcPr>
            <w:tcW w:w="733" w:type="pct"/>
            <w:tcBorders>
              <w:top w:val="nil"/>
              <w:left w:val="nil"/>
              <w:bottom w:val="single" w:sz="4" w:space="0" w:color="auto"/>
              <w:right w:val="single" w:sz="4" w:space="0" w:color="auto"/>
            </w:tcBorders>
            <w:vAlign w:val="center"/>
          </w:tcPr>
          <w:p w14:paraId="4CE042B8" w14:textId="77777777" w:rsidR="008A10A0" w:rsidRPr="001E4DE6" w:rsidRDefault="008A10A0" w:rsidP="008A10A0">
            <w:pPr>
              <w:contextualSpacing/>
              <w:jc w:val="right"/>
              <w:rPr>
                <w:rFonts w:ascii="Arial Narrow" w:hAnsi="Arial Narrow" w:cs="Arial"/>
                <w:sz w:val="20"/>
                <w:szCs w:val="20"/>
                <w:lang w:val="bg-BG"/>
              </w:rPr>
            </w:pPr>
            <w:r>
              <w:rPr>
                <w:rFonts w:ascii="Arial Narrow" w:hAnsi="Arial Narrow" w:cs="Arial"/>
                <w:sz w:val="20"/>
                <w:szCs w:val="20"/>
              </w:rPr>
              <w:t>-5 049</w:t>
            </w:r>
          </w:p>
        </w:tc>
      </w:tr>
      <w:tr w:rsidR="008A10A0" w:rsidRPr="001E4DE6" w14:paraId="53629A88" w14:textId="77777777" w:rsidTr="00BA7C7F">
        <w:trPr>
          <w:trHeight w:val="454"/>
        </w:trPr>
        <w:tc>
          <w:tcPr>
            <w:tcW w:w="1335" w:type="pct"/>
            <w:tcBorders>
              <w:top w:val="nil"/>
              <w:left w:val="single" w:sz="4" w:space="0" w:color="auto"/>
              <w:bottom w:val="single" w:sz="4" w:space="0" w:color="auto"/>
              <w:right w:val="single" w:sz="4" w:space="0" w:color="auto"/>
            </w:tcBorders>
            <w:vAlign w:val="center"/>
          </w:tcPr>
          <w:p w14:paraId="23307ECF" w14:textId="77777777" w:rsidR="008A10A0" w:rsidRPr="005A013F" w:rsidRDefault="008A10A0" w:rsidP="008A10A0">
            <w:pPr>
              <w:contextualSpacing/>
              <w:rPr>
                <w:rFonts w:ascii="Arial Narrow" w:hAnsi="Arial Narrow" w:cs="Arial"/>
                <w:sz w:val="20"/>
                <w:szCs w:val="20"/>
                <w:lang w:val="bg-BG"/>
              </w:rPr>
            </w:pPr>
            <w:r>
              <w:rPr>
                <w:rFonts w:ascii="Arial Narrow" w:hAnsi="Arial Narrow" w:cs="Arial"/>
                <w:color w:val="000000"/>
                <w:sz w:val="20"/>
                <w:szCs w:val="20"/>
              </w:rPr>
              <w:t>ПЧИ, млн. лева</w:t>
            </w:r>
          </w:p>
        </w:tc>
        <w:tc>
          <w:tcPr>
            <w:tcW w:w="733" w:type="pct"/>
            <w:tcBorders>
              <w:top w:val="nil"/>
              <w:left w:val="nil"/>
              <w:bottom w:val="single" w:sz="4" w:space="0" w:color="auto"/>
              <w:right w:val="single" w:sz="4" w:space="0" w:color="auto"/>
            </w:tcBorders>
            <w:vAlign w:val="center"/>
          </w:tcPr>
          <w:p w14:paraId="167D95FB" w14:textId="77777777" w:rsidR="008A10A0" w:rsidRPr="001E4DE6" w:rsidRDefault="008A10A0" w:rsidP="008A10A0">
            <w:pPr>
              <w:contextualSpacing/>
              <w:jc w:val="right"/>
              <w:rPr>
                <w:rFonts w:ascii="Arial Narrow" w:hAnsi="Arial Narrow" w:cs="Arial"/>
                <w:sz w:val="20"/>
                <w:szCs w:val="20"/>
                <w:lang w:val="bg-BG"/>
              </w:rPr>
            </w:pPr>
            <w:r>
              <w:rPr>
                <w:rFonts w:ascii="Arial Narrow" w:hAnsi="Arial Narrow" w:cs="Arial"/>
                <w:sz w:val="20"/>
                <w:szCs w:val="20"/>
              </w:rPr>
              <w:t>5 400</w:t>
            </w:r>
          </w:p>
        </w:tc>
        <w:tc>
          <w:tcPr>
            <w:tcW w:w="733" w:type="pct"/>
            <w:tcBorders>
              <w:top w:val="nil"/>
              <w:left w:val="nil"/>
              <w:bottom w:val="single" w:sz="4" w:space="0" w:color="auto"/>
              <w:right w:val="single" w:sz="4" w:space="0" w:color="auto"/>
            </w:tcBorders>
            <w:vAlign w:val="center"/>
          </w:tcPr>
          <w:p w14:paraId="6AEF7C4C" w14:textId="77777777" w:rsidR="008A10A0" w:rsidRPr="001E4DE6" w:rsidRDefault="008A10A0" w:rsidP="008A10A0">
            <w:pPr>
              <w:contextualSpacing/>
              <w:jc w:val="right"/>
              <w:rPr>
                <w:rFonts w:ascii="Arial Narrow" w:hAnsi="Arial Narrow" w:cs="Arial"/>
                <w:sz w:val="20"/>
                <w:szCs w:val="20"/>
                <w:lang w:val="bg-BG"/>
              </w:rPr>
            </w:pPr>
            <w:r>
              <w:rPr>
                <w:rFonts w:ascii="Arial Narrow" w:hAnsi="Arial Narrow" w:cs="Arial"/>
                <w:sz w:val="20"/>
                <w:szCs w:val="20"/>
              </w:rPr>
              <w:t>2 808</w:t>
            </w:r>
          </w:p>
        </w:tc>
        <w:tc>
          <w:tcPr>
            <w:tcW w:w="733" w:type="pct"/>
            <w:tcBorders>
              <w:top w:val="nil"/>
              <w:left w:val="nil"/>
              <w:bottom w:val="single" w:sz="4" w:space="0" w:color="auto"/>
              <w:right w:val="single" w:sz="4" w:space="0" w:color="auto"/>
            </w:tcBorders>
            <w:vAlign w:val="center"/>
          </w:tcPr>
          <w:p w14:paraId="00805FB5" w14:textId="77777777" w:rsidR="008A10A0" w:rsidRPr="001E4DE6" w:rsidRDefault="008A10A0" w:rsidP="008A10A0">
            <w:pPr>
              <w:contextualSpacing/>
              <w:jc w:val="right"/>
              <w:rPr>
                <w:rFonts w:ascii="Arial Narrow" w:hAnsi="Arial Narrow" w:cs="Arial"/>
                <w:sz w:val="20"/>
                <w:szCs w:val="20"/>
                <w:lang w:val="bg-BG"/>
              </w:rPr>
            </w:pPr>
            <w:r>
              <w:rPr>
                <w:rFonts w:ascii="Arial Narrow" w:hAnsi="Arial Narrow" w:cs="Arial"/>
                <w:sz w:val="20"/>
                <w:szCs w:val="20"/>
              </w:rPr>
              <w:t>8 073</w:t>
            </w:r>
          </w:p>
        </w:tc>
        <w:tc>
          <w:tcPr>
            <w:tcW w:w="733" w:type="pct"/>
            <w:tcBorders>
              <w:top w:val="nil"/>
              <w:left w:val="nil"/>
              <w:bottom w:val="single" w:sz="4" w:space="0" w:color="auto"/>
              <w:right w:val="single" w:sz="4" w:space="0" w:color="auto"/>
            </w:tcBorders>
            <w:vAlign w:val="center"/>
          </w:tcPr>
          <w:p w14:paraId="57E44C0A" w14:textId="77777777" w:rsidR="008A10A0" w:rsidRPr="001E4DE6" w:rsidRDefault="008A10A0" w:rsidP="008A10A0">
            <w:pPr>
              <w:contextualSpacing/>
              <w:jc w:val="right"/>
              <w:rPr>
                <w:rFonts w:ascii="Arial Narrow" w:hAnsi="Arial Narrow" w:cs="Arial"/>
                <w:sz w:val="20"/>
                <w:szCs w:val="20"/>
                <w:lang w:val="bg-BG"/>
              </w:rPr>
            </w:pPr>
            <w:r>
              <w:rPr>
                <w:rFonts w:ascii="Arial Narrow" w:hAnsi="Arial Narrow" w:cs="Arial"/>
                <w:sz w:val="20"/>
                <w:szCs w:val="20"/>
              </w:rPr>
              <w:t>9 064</w:t>
            </w:r>
          </w:p>
        </w:tc>
        <w:tc>
          <w:tcPr>
            <w:tcW w:w="733" w:type="pct"/>
            <w:tcBorders>
              <w:top w:val="nil"/>
              <w:left w:val="nil"/>
              <w:bottom w:val="single" w:sz="4" w:space="0" w:color="auto"/>
              <w:right w:val="single" w:sz="4" w:space="0" w:color="auto"/>
            </w:tcBorders>
            <w:vAlign w:val="center"/>
          </w:tcPr>
          <w:p w14:paraId="6C45F8B1" w14:textId="77777777" w:rsidR="008A10A0" w:rsidRPr="001E4DE6" w:rsidRDefault="008A10A0" w:rsidP="008A10A0">
            <w:pPr>
              <w:contextualSpacing/>
              <w:jc w:val="right"/>
              <w:rPr>
                <w:rFonts w:ascii="Arial Narrow" w:hAnsi="Arial Narrow" w:cs="Arial"/>
                <w:sz w:val="20"/>
                <w:szCs w:val="20"/>
                <w:lang w:val="bg-BG"/>
              </w:rPr>
            </w:pPr>
            <w:r>
              <w:rPr>
                <w:rFonts w:ascii="Arial Narrow" w:hAnsi="Arial Narrow" w:cs="Arial"/>
                <w:sz w:val="20"/>
                <w:szCs w:val="20"/>
              </w:rPr>
              <w:t>5 504</w:t>
            </w:r>
          </w:p>
        </w:tc>
      </w:tr>
      <w:tr w:rsidR="008A10A0" w:rsidRPr="001E4DE6" w14:paraId="755BB05F" w14:textId="77777777" w:rsidTr="00BA7C7F">
        <w:trPr>
          <w:trHeight w:val="454"/>
        </w:trPr>
        <w:tc>
          <w:tcPr>
            <w:tcW w:w="1335" w:type="pct"/>
            <w:tcBorders>
              <w:top w:val="nil"/>
              <w:left w:val="single" w:sz="4" w:space="0" w:color="auto"/>
              <w:bottom w:val="single" w:sz="4" w:space="0" w:color="auto"/>
              <w:right w:val="single" w:sz="4" w:space="0" w:color="auto"/>
            </w:tcBorders>
            <w:vAlign w:val="center"/>
          </w:tcPr>
          <w:p w14:paraId="08CF338B" w14:textId="77777777" w:rsidR="008A10A0" w:rsidRPr="005A013F" w:rsidRDefault="008A10A0" w:rsidP="008A10A0">
            <w:pPr>
              <w:contextualSpacing/>
              <w:rPr>
                <w:rFonts w:ascii="Arial Narrow" w:hAnsi="Arial Narrow" w:cs="Arial"/>
                <w:sz w:val="20"/>
                <w:szCs w:val="20"/>
                <w:lang w:val="bg-BG"/>
              </w:rPr>
            </w:pPr>
            <w:r>
              <w:rPr>
                <w:rFonts w:ascii="Arial Narrow" w:hAnsi="Arial Narrow" w:cs="Arial"/>
                <w:color w:val="000000"/>
                <w:sz w:val="20"/>
                <w:szCs w:val="20"/>
              </w:rPr>
              <w:t>ПЧИ, млн. евро</w:t>
            </w:r>
          </w:p>
        </w:tc>
        <w:tc>
          <w:tcPr>
            <w:tcW w:w="733" w:type="pct"/>
            <w:tcBorders>
              <w:top w:val="nil"/>
              <w:left w:val="nil"/>
              <w:bottom w:val="single" w:sz="4" w:space="0" w:color="auto"/>
              <w:right w:val="single" w:sz="4" w:space="0" w:color="auto"/>
            </w:tcBorders>
            <w:vAlign w:val="center"/>
          </w:tcPr>
          <w:p w14:paraId="0FF910B3" w14:textId="77777777" w:rsidR="008A10A0" w:rsidRPr="001E4DE6" w:rsidRDefault="008A10A0" w:rsidP="008A10A0">
            <w:pPr>
              <w:contextualSpacing/>
              <w:jc w:val="right"/>
              <w:rPr>
                <w:rFonts w:ascii="Arial Narrow" w:hAnsi="Arial Narrow" w:cs="Arial"/>
                <w:sz w:val="20"/>
                <w:szCs w:val="20"/>
                <w:lang w:val="bg-BG"/>
              </w:rPr>
            </w:pPr>
            <w:r>
              <w:rPr>
                <w:rFonts w:ascii="Arial Narrow" w:hAnsi="Arial Narrow" w:cs="Arial"/>
                <w:sz w:val="20"/>
                <w:szCs w:val="20"/>
              </w:rPr>
              <w:t>2 761</w:t>
            </w:r>
          </w:p>
        </w:tc>
        <w:tc>
          <w:tcPr>
            <w:tcW w:w="733" w:type="pct"/>
            <w:tcBorders>
              <w:top w:val="nil"/>
              <w:left w:val="nil"/>
              <w:bottom w:val="single" w:sz="4" w:space="0" w:color="auto"/>
              <w:right w:val="single" w:sz="4" w:space="0" w:color="auto"/>
            </w:tcBorders>
            <w:vAlign w:val="center"/>
          </w:tcPr>
          <w:p w14:paraId="61025527" w14:textId="77777777" w:rsidR="008A10A0" w:rsidRPr="001E4DE6" w:rsidRDefault="008A10A0" w:rsidP="008A10A0">
            <w:pPr>
              <w:contextualSpacing/>
              <w:jc w:val="right"/>
              <w:rPr>
                <w:rFonts w:ascii="Arial Narrow" w:hAnsi="Arial Narrow" w:cs="Arial"/>
                <w:sz w:val="20"/>
                <w:szCs w:val="20"/>
                <w:lang w:val="bg-BG"/>
              </w:rPr>
            </w:pPr>
            <w:r>
              <w:rPr>
                <w:rFonts w:ascii="Arial Narrow" w:hAnsi="Arial Narrow" w:cs="Arial"/>
                <w:sz w:val="20"/>
                <w:szCs w:val="20"/>
              </w:rPr>
              <w:t>1 436</w:t>
            </w:r>
          </w:p>
        </w:tc>
        <w:tc>
          <w:tcPr>
            <w:tcW w:w="733" w:type="pct"/>
            <w:tcBorders>
              <w:top w:val="nil"/>
              <w:left w:val="nil"/>
              <w:bottom w:val="single" w:sz="4" w:space="0" w:color="auto"/>
              <w:right w:val="single" w:sz="4" w:space="0" w:color="auto"/>
            </w:tcBorders>
            <w:vAlign w:val="center"/>
          </w:tcPr>
          <w:p w14:paraId="3189A6DD" w14:textId="77777777" w:rsidR="008A10A0" w:rsidRPr="001E4DE6" w:rsidRDefault="008A10A0" w:rsidP="008A10A0">
            <w:pPr>
              <w:contextualSpacing/>
              <w:jc w:val="right"/>
              <w:rPr>
                <w:rFonts w:ascii="Arial Narrow" w:hAnsi="Arial Narrow" w:cs="Arial"/>
                <w:sz w:val="20"/>
                <w:szCs w:val="20"/>
                <w:lang w:val="bg-BG"/>
              </w:rPr>
            </w:pPr>
            <w:r>
              <w:rPr>
                <w:rFonts w:ascii="Arial Narrow" w:hAnsi="Arial Narrow" w:cs="Arial"/>
                <w:sz w:val="20"/>
                <w:szCs w:val="20"/>
              </w:rPr>
              <w:t>4 128</w:t>
            </w:r>
          </w:p>
        </w:tc>
        <w:tc>
          <w:tcPr>
            <w:tcW w:w="733" w:type="pct"/>
            <w:tcBorders>
              <w:top w:val="nil"/>
              <w:left w:val="nil"/>
              <w:bottom w:val="single" w:sz="4" w:space="0" w:color="auto"/>
              <w:right w:val="single" w:sz="4" w:space="0" w:color="auto"/>
            </w:tcBorders>
            <w:vAlign w:val="center"/>
          </w:tcPr>
          <w:p w14:paraId="08D34321" w14:textId="77777777" w:rsidR="008A10A0" w:rsidRPr="001E4DE6" w:rsidRDefault="008A10A0" w:rsidP="008A10A0">
            <w:pPr>
              <w:contextualSpacing/>
              <w:jc w:val="right"/>
              <w:rPr>
                <w:rFonts w:ascii="Arial Narrow" w:hAnsi="Arial Narrow" w:cs="Arial"/>
                <w:sz w:val="20"/>
                <w:szCs w:val="20"/>
                <w:lang w:val="bg-BG"/>
              </w:rPr>
            </w:pPr>
            <w:r>
              <w:rPr>
                <w:rFonts w:ascii="Arial Narrow" w:hAnsi="Arial Narrow" w:cs="Arial"/>
                <w:sz w:val="20"/>
                <w:szCs w:val="20"/>
              </w:rPr>
              <w:t>4 635</w:t>
            </w:r>
          </w:p>
        </w:tc>
        <w:tc>
          <w:tcPr>
            <w:tcW w:w="733" w:type="pct"/>
            <w:tcBorders>
              <w:top w:val="nil"/>
              <w:left w:val="nil"/>
              <w:bottom w:val="single" w:sz="4" w:space="0" w:color="auto"/>
              <w:right w:val="single" w:sz="4" w:space="0" w:color="auto"/>
            </w:tcBorders>
            <w:vAlign w:val="center"/>
          </w:tcPr>
          <w:p w14:paraId="2BC31079" w14:textId="77777777" w:rsidR="008A10A0" w:rsidRPr="001E4DE6" w:rsidRDefault="008A10A0" w:rsidP="008A10A0">
            <w:pPr>
              <w:contextualSpacing/>
              <w:jc w:val="right"/>
              <w:rPr>
                <w:rFonts w:ascii="Arial Narrow" w:hAnsi="Arial Narrow" w:cs="Arial"/>
                <w:sz w:val="20"/>
                <w:szCs w:val="20"/>
                <w:lang w:val="bg-BG"/>
              </w:rPr>
            </w:pPr>
            <w:r>
              <w:rPr>
                <w:rFonts w:ascii="Arial Narrow" w:hAnsi="Arial Narrow" w:cs="Arial"/>
                <w:sz w:val="20"/>
                <w:szCs w:val="20"/>
              </w:rPr>
              <w:t>2 814</w:t>
            </w:r>
          </w:p>
        </w:tc>
      </w:tr>
    </w:tbl>
    <w:p w14:paraId="598A121D" w14:textId="77777777" w:rsidR="00D63FE7" w:rsidRPr="00543F17" w:rsidRDefault="00D63FE7" w:rsidP="00D63FE7">
      <w:pPr>
        <w:jc w:val="both"/>
        <w:rPr>
          <w:rFonts w:ascii="Arial Narrow" w:hAnsi="Arial Narrow"/>
          <w:sz w:val="18"/>
          <w:szCs w:val="18"/>
        </w:rPr>
      </w:pPr>
      <w:r w:rsidRPr="00543F17">
        <w:rPr>
          <w:rFonts w:ascii="Arial Narrow" w:hAnsi="Arial Narrow"/>
          <w:i/>
          <w:sz w:val="18"/>
          <w:szCs w:val="18"/>
          <w:lang w:val="bg-BG"/>
        </w:rPr>
        <w:t>Източник:</w:t>
      </w:r>
      <w:r w:rsidRPr="001E4DE6">
        <w:rPr>
          <w:rFonts w:ascii="Arial Narrow" w:hAnsi="Arial Narrow"/>
          <w:b/>
          <w:i/>
          <w:sz w:val="18"/>
          <w:szCs w:val="18"/>
          <w:lang w:val="bg-BG"/>
        </w:rPr>
        <w:t xml:space="preserve"> </w:t>
      </w:r>
      <w:r w:rsidRPr="00543F17">
        <w:rPr>
          <w:rFonts w:ascii="Arial Narrow" w:hAnsi="Arial Narrow"/>
          <w:sz w:val="18"/>
          <w:szCs w:val="18"/>
          <w:lang w:val="bg-BG"/>
        </w:rPr>
        <w:t>НСИ – БВП и инфлация</w:t>
      </w:r>
      <w:r w:rsidR="005D56FF">
        <w:rPr>
          <w:rFonts w:ascii="Arial Narrow" w:hAnsi="Arial Narrow"/>
          <w:sz w:val="18"/>
          <w:szCs w:val="18"/>
          <w:lang w:val="bg-BG"/>
        </w:rPr>
        <w:t>,</w:t>
      </w:r>
      <w:r w:rsidR="008A10A0">
        <w:rPr>
          <w:rFonts w:ascii="Arial Narrow" w:hAnsi="Arial Narrow"/>
          <w:sz w:val="18"/>
          <w:szCs w:val="18"/>
          <w:lang w:val="bg-BG"/>
        </w:rPr>
        <w:t xml:space="preserve"> актуализирани данни за 2024 г.</w:t>
      </w:r>
      <w:r w:rsidRPr="00543F17">
        <w:rPr>
          <w:rFonts w:ascii="Arial Narrow" w:hAnsi="Arial Narrow"/>
          <w:sz w:val="18"/>
          <w:szCs w:val="18"/>
          <w:lang w:val="bg-BG"/>
        </w:rPr>
        <w:t>; БНБ – данни за търговско салдо и ПЧИ (съгласно принципа на първоначалната посока на инвестицията</w:t>
      </w:r>
      <w:r>
        <w:rPr>
          <w:rFonts w:ascii="Arial Narrow" w:hAnsi="Arial Narrow"/>
          <w:sz w:val="18"/>
          <w:szCs w:val="18"/>
          <w:lang w:val="bg-BG"/>
        </w:rPr>
        <w:t>)</w:t>
      </w:r>
      <w:r w:rsidR="008A10A0">
        <w:rPr>
          <w:rFonts w:ascii="Arial Narrow" w:hAnsi="Arial Narrow"/>
          <w:sz w:val="18"/>
          <w:szCs w:val="18"/>
          <w:lang w:val="bg-BG"/>
        </w:rPr>
        <w:t>,</w:t>
      </w:r>
      <w:r w:rsidRPr="00543F17">
        <w:rPr>
          <w:rFonts w:ascii="Arial Narrow" w:hAnsi="Arial Narrow"/>
          <w:sz w:val="18"/>
          <w:szCs w:val="18"/>
          <w:lang w:val="bg-BG"/>
        </w:rPr>
        <w:t xml:space="preserve"> предварителни данни за 202</w:t>
      </w:r>
      <w:r>
        <w:rPr>
          <w:rFonts w:ascii="Arial Narrow" w:hAnsi="Arial Narrow"/>
          <w:sz w:val="18"/>
          <w:szCs w:val="18"/>
          <w:lang w:val="bg-BG"/>
        </w:rPr>
        <w:t>4</w:t>
      </w:r>
      <w:r w:rsidRPr="00543F17">
        <w:rPr>
          <w:rFonts w:ascii="Arial Narrow" w:hAnsi="Arial Narrow"/>
          <w:sz w:val="18"/>
          <w:szCs w:val="18"/>
          <w:lang w:val="bg-BG"/>
        </w:rPr>
        <w:t xml:space="preserve"> г. </w:t>
      </w:r>
    </w:p>
    <w:p w14:paraId="20E5C811" w14:textId="77777777" w:rsidR="00D63FE7" w:rsidRPr="00543F17" w:rsidRDefault="00D63FE7" w:rsidP="00D63FE7">
      <w:pPr>
        <w:jc w:val="both"/>
        <w:rPr>
          <w:rFonts w:ascii="Arial Narrow" w:hAnsi="Arial Narrow"/>
          <w:sz w:val="18"/>
          <w:szCs w:val="18"/>
        </w:rPr>
      </w:pPr>
      <w:r w:rsidRPr="00543F17">
        <w:rPr>
          <w:rFonts w:ascii="Arial Narrow" w:hAnsi="Arial Narrow"/>
          <w:sz w:val="18"/>
          <w:szCs w:val="18"/>
        </w:rPr>
        <w:t xml:space="preserve">* Реалният темп на изменение </w:t>
      </w:r>
      <w:r w:rsidRPr="00543F17">
        <w:rPr>
          <w:rFonts w:ascii="Arial Narrow" w:hAnsi="Arial Narrow"/>
          <w:sz w:val="18"/>
          <w:szCs w:val="18"/>
          <w:lang w:val="bg-BG"/>
        </w:rPr>
        <w:t xml:space="preserve">на БВП </w:t>
      </w:r>
      <w:r w:rsidRPr="00543F17">
        <w:rPr>
          <w:rFonts w:ascii="Arial Narrow" w:hAnsi="Arial Narrow"/>
          <w:sz w:val="18"/>
          <w:szCs w:val="18"/>
        </w:rPr>
        <w:t>е изчислен по съпоставими цени на 20</w:t>
      </w:r>
      <w:r>
        <w:rPr>
          <w:rFonts w:ascii="Arial Narrow" w:hAnsi="Arial Narrow"/>
          <w:sz w:val="18"/>
          <w:szCs w:val="18"/>
          <w:lang w:val="bg-BG"/>
        </w:rPr>
        <w:t>20</w:t>
      </w:r>
      <w:r w:rsidRPr="00543F17">
        <w:rPr>
          <w:rFonts w:ascii="Arial Narrow" w:hAnsi="Arial Narrow"/>
          <w:sz w:val="18"/>
          <w:szCs w:val="18"/>
        </w:rPr>
        <w:t xml:space="preserve"> г.</w:t>
      </w:r>
    </w:p>
    <w:p w14:paraId="2A38EC60" w14:textId="77777777" w:rsidR="00D63FE7" w:rsidRPr="006D57AA" w:rsidRDefault="00D63FE7" w:rsidP="00D63FE7">
      <w:pPr>
        <w:spacing w:after="240"/>
        <w:jc w:val="both"/>
        <w:rPr>
          <w:rFonts w:ascii="Arial Narrow" w:hAnsi="Arial Narrow"/>
          <w:color w:val="FF0000"/>
          <w:sz w:val="18"/>
          <w:szCs w:val="18"/>
          <w:lang w:val="bg-BG"/>
        </w:rPr>
      </w:pPr>
      <w:r w:rsidRPr="00543F17">
        <w:rPr>
          <w:rFonts w:ascii="Arial Narrow" w:hAnsi="Arial Narrow"/>
          <w:sz w:val="18"/>
          <w:szCs w:val="18"/>
          <w:lang w:val="bg-BG"/>
        </w:rPr>
        <w:t>Забележка:</w:t>
      </w:r>
      <w:r w:rsidRPr="001E4DE6">
        <w:rPr>
          <w:rFonts w:ascii="Arial Narrow" w:hAnsi="Arial Narrow"/>
          <w:sz w:val="18"/>
          <w:szCs w:val="18"/>
          <w:lang w:val="bg-BG"/>
        </w:rPr>
        <w:t xml:space="preserve"> Вследствие на използвани различни методологии, данните за износ, внос и търговски баланс, съставяни от БНБ за статистиката на платежния баланс, се различават от данните за износ, внос и търговско салдо, съставяни от НСИ за статистиката на </w:t>
      </w:r>
      <w:r>
        <w:rPr>
          <w:rFonts w:ascii="Arial Narrow" w:hAnsi="Arial Narrow"/>
          <w:sz w:val="18"/>
          <w:szCs w:val="18"/>
          <w:lang w:val="bg-BG"/>
        </w:rPr>
        <w:t>външната търговия.</w:t>
      </w:r>
    </w:p>
    <w:p w14:paraId="64D0DB31" w14:textId="77777777" w:rsidR="00D63FE7" w:rsidRPr="001E4DE6" w:rsidRDefault="00D63FE7" w:rsidP="00D63FE7">
      <w:pPr>
        <w:spacing w:after="120"/>
        <w:ind w:firstLine="709"/>
        <w:jc w:val="both"/>
        <w:rPr>
          <w:rFonts w:ascii="Arial Narrow" w:hAnsi="Arial Narrow"/>
          <w:b/>
          <w:i/>
          <w:u w:val="single"/>
          <w:lang w:val="bg-BG"/>
        </w:rPr>
      </w:pPr>
      <w:r w:rsidRPr="001E4DE6">
        <w:rPr>
          <w:rFonts w:ascii="Arial Narrow" w:hAnsi="Arial Narrow"/>
          <w:b/>
          <w:i/>
          <w:u w:val="single"/>
          <w:lang w:val="bg-BG"/>
        </w:rPr>
        <w:t>Брутен вътрешен продукт</w:t>
      </w:r>
    </w:p>
    <w:p w14:paraId="3B75C91B" w14:textId="77777777" w:rsidR="00D63FE7" w:rsidRPr="0080261C" w:rsidRDefault="008A10A0" w:rsidP="00D63FE7">
      <w:pPr>
        <w:autoSpaceDE w:val="0"/>
        <w:autoSpaceDN w:val="0"/>
        <w:adjustRightInd w:val="0"/>
        <w:spacing w:after="120"/>
        <w:ind w:firstLine="708"/>
        <w:jc w:val="both"/>
        <w:rPr>
          <w:rFonts w:ascii="Arial Narrow" w:hAnsi="Arial Narrow"/>
          <w:bCs/>
          <w:lang w:val="bg-BG"/>
        </w:rPr>
      </w:pPr>
      <w:r>
        <w:rPr>
          <w:rFonts w:ascii="Arial Narrow" w:hAnsi="Arial Narrow"/>
          <w:bCs/>
          <w:lang w:val="bg-BG"/>
        </w:rPr>
        <w:t xml:space="preserve">Актуализираните </w:t>
      </w:r>
      <w:r w:rsidR="00D63FE7">
        <w:rPr>
          <w:rFonts w:ascii="Arial Narrow" w:hAnsi="Arial Narrow"/>
          <w:bCs/>
          <w:lang w:val="bg-BG"/>
        </w:rPr>
        <w:t>д</w:t>
      </w:r>
      <w:r w:rsidR="00D63FE7" w:rsidRPr="0081385B">
        <w:rPr>
          <w:rFonts w:ascii="Arial Narrow" w:hAnsi="Arial Narrow"/>
          <w:bCs/>
          <w:lang w:val="bg-BG"/>
        </w:rPr>
        <w:t>анни за 202</w:t>
      </w:r>
      <w:r w:rsidR="00D63FE7">
        <w:rPr>
          <w:rFonts w:ascii="Arial Narrow" w:hAnsi="Arial Narrow"/>
          <w:bCs/>
          <w:lang w:val="bg-BG"/>
        </w:rPr>
        <w:t>4</w:t>
      </w:r>
      <w:r w:rsidR="00D63FE7" w:rsidRPr="0081385B">
        <w:rPr>
          <w:rFonts w:ascii="Arial Narrow" w:hAnsi="Arial Narrow"/>
          <w:bCs/>
          <w:lang w:val="bg-BG"/>
        </w:rPr>
        <w:t xml:space="preserve"> г. сочат </w:t>
      </w:r>
      <w:r w:rsidR="00D63FE7">
        <w:rPr>
          <w:rFonts w:ascii="Arial Narrow" w:hAnsi="Arial Narrow"/>
          <w:bCs/>
          <w:lang w:val="bg-BG"/>
        </w:rPr>
        <w:t>реален ръст</w:t>
      </w:r>
      <w:r w:rsidR="00D63FE7" w:rsidRPr="0081385B">
        <w:rPr>
          <w:rFonts w:ascii="Arial Narrow" w:hAnsi="Arial Narrow"/>
          <w:bCs/>
          <w:lang w:val="bg-BG"/>
        </w:rPr>
        <w:t xml:space="preserve"> на БВП </w:t>
      </w:r>
      <w:r w:rsidR="00D63FE7">
        <w:rPr>
          <w:rFonts w:ascii="Arial Narrow" w:hAnsi="Arial Narrow"/>
          <w:bCs/>
          <w:lang w:val="bg-BG"/>
        </w:rPr>
        <w:t xml:space="preserve">от </w:t>
      </w:r>
      <w:r>
        <w:rPr>
          <w:rFonts w:ascii="Arial Narrow" w:hAnsi="Arial Narrow"/>
          <w:bCs/>
          <w:lang w:val="bg-BG"/>
        </w:rPr>
        <w:t>3,4</w:t>
      </w:r>
      <w:r w:rsidR="00D63FE7" w:rsidRPr="0081385B">
        <w:rPr>
          <w:rFonts w:ascii="Arial Narrow" w:hAnsi="Arial Narrow"/>
          <w:bCs/>
          <w:lang w:val="bg-BG"/>
        </w:rPr>
        <w:t xml:space="preserve">% на годишна база. По текущи цени, БВП за </w:t>
      </w:r>
      <w:r w:rsidR="00D63FE7">
        <w:rPr>
          <w:rFonts w:ascii="Arial Narrow" w:hAnsi="Arial Narrow"/>
          <w:bCs/>
          <w:lang w:val="bg-BG"/>
        </w:rPr>
        <w:t>годината</w:t>
      </w:r>
      <w:r w:rsidR="00D63FE7" w:rsidRPr="0081385B">
        <w:rPr>
          <w:rFonts w:ascii="Arial Narrow" w:hAnsi="Arial Narrow"/>
          <w:bCs/>
          <w:lang w:val="bg-BG"/>
        </w:rPr>
        <w:t xml:space="preserve"> </w:t>
      </w:r>
      <w:r w:rsidR="00D63FE7">
        <w:rPr>
          <w:rFonts w:ascii="Arial Narrow" w:hAnsi="Arial Narrow"/>
          <w:bCs/>
          <w:lang w:val="bg-BG"/>
        </w:rPr>
        <w:t>е в размер</w:t>
      </w:r>
      <w:r w:rsidR="00D63FE7" w:rsidRPr="0081385B">
        <w:rPr>
          <w:rFonts w:ascii="Arial Narrow" w:hAnsi="Arial Narrow"/>
          <w:bCs/>
          <w:lang w:val="bg-BG"/>
        </w:rPr>
        <w:t xml:space="preserve"> на </w:t>
      </w:r>
      <w:r w:rsidR="00D63FE7">
        <w:rPr>
          <w:rFonts w:ascii="Arial Narrow" w:hAnsi="Arial Narrow"/>
          <w:bCs/>
          <w:lang w:val="bg-BG" w:eastAsia="bg-BG"/>
        </w:rPr>
        <w:t>20</w:t>
      </w:r>
      <w:r>
        <w:rPr>
          <w:rFonts w:ascii="Arial Narrow" w:hAnsi="Arial Narrow"/>
          <w:bCs/>
          <w:lang w:val="bg-BG" w:eastAsia="bg-BG"/>
        </w:rPr>
        <w:t>4</w:t>
      </w:r>
      <w:r w:rsidR="00D63FE7">
        <w:rPr>
          <w:rFonts w:ascii="Arial Narrow" w:hAnsi="Arial Narrow"/>
          <w:bCs/>
          <w:lang w:val="bg-BG" w:eastAsia="bg-BG"/>
        </w:rPr>
        <w:t xml:space="preserve"> </w:t>
      </w:r>
      <w:r>
        <w:rPr>
          <w:rFonts w:ascii="Arial Narrow" w:hAnsi="Arial Narrow"/>
          <w:bCs/>
          <w:lang w:val="bg-BG" w:eastAsia="bg-BG"/>
        </w:rPr>
        <w:t>907</w:t>
      </w:r>
      <w:r w:rsidR="00D63FE7" w:rsidRPr="001E4DE6">
        <w:rPr>
          <w:rFonts w:ascii="Arial Narrow" w:hAnsi="Arial Narrow"/>
          <w:bCs/>
          <w:lang w:val="bg-BG" w:eastAsia="bg-BG"/>
        </w:rPr>
        <w:t xml:space="preserve"> млн. лева (</w:t>
      </w:r>
      <w:r w:rsidR="00D63FE7">
        <w:rPr>
          <w:rFonts w:ascii="Arial Narrow" w:hAnsi="Arial Narrow"/>
          <w:bCs/>
          <w:lang w:val="bg-BG" w:eastAsia="bg-BG"/>
        </w:rPr>
        <w:t>10</w:t>
      </w:r>
      <w:r>
        <w:rPr>
          <w:rFonts w:ascii="Arial Narrow" w:hAnsi="Arial Narrow"/>
          <w:bCs/>
          <w:lang w:val="bg-BG" w:eastAsia="bg-BG"/>
        </w:rPr>
        <w:t>4</w:t>
      </w:r>
      <w:r w:rsidR="00D63FE7">
        <w:rPr>
          <w:rFonts w:ascii="Arial Narrow" w:hAnsi="Arial Narrow"/>
          <w:bCs/>
          <w:lang w:val="bg-BG" w:eastAsia="bg-BG"/>
        </w:rPr>
        <w:t xml:space="preserve"> 7</w:t>
      </w:r>
      <w:r>
        <w:rPr>
          <w:rFonts w:ascii="Arial Narrow" w:hAnsi="Arial Narrow"/>
          <w:bCs/>
          <w:lang w:val="bg-BG" w:eastAsia="bg-BG"/>
        </w:rPr>
        <w:t>67</w:t>
      </w:r>
      <w:r w:rsidR="00D63FE7" w:rsidRPr="001E4DE6">
        <w:rPr>
          <w:rFonts w:ascii="Arial Narrow" w:hAnsi="Arial Narrow"/>
          <w:bCs/>
          <w:lang w:val="bg-BG" w:eastAsia="bg-BG"/>
        </w:rPr>
        <w:t xml:space="preserve"> млн. евро)</w:t>
      </w:r>
      <w:r w:rsidR="00D63FE7" w:rsidRPr="0081385B">
        <w:rPr>
          <w:rFonts w:ascii="Arial Narrow" w:hAnsi="Arial Narrow"/>
          <w:bCs/>
          <w:lang w:val="bg-BG"/>
        </w:rPr>
        <w:t xml:space="preserve">, като на глава от населението </w:t>
      </w:r>
      <w:r w:rsidR="00D63FE7">
        <w:rPr>
          <w:rFonts w:ascii="Arial Narrow" w:hAnsi="Arial Narrow"/>
          <w:bCs/>
          <w:lang w:val="bg-BG"/>
        </w:rPr>
        <w:t>се падат</w:t>
      </w:r>
      <w:r w:rsidR="00D63FE7" w:rsidRPr="0081385B">
        <w:rPr>
          <w:rFonts w:ascii="Arial Narrow" w:hAnsi="Arial Narrow"/>
          <w:bCs/>
          <w:lang w:val="bg-BG"/>
        </w:rPr>
        <w:t xml:space="preserve"> </w:t>
      </w:r>
      <w:r w:rsidR="00D63FE7">
        <w:rPr>
          <w:rFonts w:ascii="Arial Narrow" w:hAnsi="Arial Narrow"/>
          <w:bCs/>
          <w:lang w:val="bg-BG"/>
        </w:rPr>
        <w:t xml:space="preserve">31 </w:t>
      </w:r>
      <w:r>
        <w:rPr>
          <w:rFonts w:ascii="Arial Narrow" w:hAnsi="Arial Narrow"/>
          <w:bCs/>
          <w:lang w:val="bg-BG"/>
        </w:rPr>
        <w:t>810</w:t>
      </w:r>
      <w:r w:rsidRPr="00F2680B">
        <w:rPr>
          <w:rFonts w:ascii="Arial Narrow" w:hAnsi="Arial Narrow"/>
          <w:bCs/>
          <w:lang w:val="bg-BG"/>
        </w:rPr>
        <w:t xml:space="preserve"> </w:t>
      </w:r>
      <w:r w:rsidR="00D63FE7" w:rsidRPr="00F2680B">
        <w:rPr>
          <w:rFonts w:ascii="Arial Narrow" w:hAnsi="Arial Narrow"/>
          <w:bCs/>
          <w:lang w:val="bg-BG"/>
        </w:rPr>
        <w:t>лева (</w:t>
      </w:r>
      <w:r w:rsidR="00D63FE7">
        <w:rPr>
          <w:rFonts w:ascii="Arial Narrow" w:hAnsi="Arial Narrow"/>
          <w:bCs/>
          <w:lang w:val="bg-BG"/>
        </w:rPr>
        <w:t xml:space="preserve">16 </w:t>
      </w:r>
      <w:r>
        <w:rPr>
          <w:rFonts w:ascii="Arial Narrow" w:hAnsi="Arial Narrow"/>
          <w:bCs/>
          <w:lang w:val="bg-BG"/>
        </w:rPr>
        <w:t>264</w:t>
      </w:r>
      <w:r w:rsidRPr="00F2680B">
        <w:rPr>
          <w:rFonts w:ascii="Arial Narrow" w:hAnsi="Arial Narrow"/>
          <w:bCs/>
          <w:lang w:val="bg-BG"/>
        </w:rPr>
        <w:t xml:space="preserve"> </w:t>
      </w:r>
      <w:r w:rsidR="00D63FE7" w:rsidRPr="00F2680B">
        <w:rPr>
          <w:rFonts w:ascii="Arial Narrow" w:hAnsi="Arial Narrow"/>
          <w:bCs/>
          <w:lang w:val="bg-BG"/>
        </w:rPr>
        <w:t>евро).</w:t>
      </w:r>
    </w:p>
    <w:p w14:paraId="30B0F6A3" w14:textId="77777777" w:rsidR="00D63FE7" w:rsidRPr="00543F17" w:rsidRDefault="00D63FE7" w:rsidP="00D63FE7">
      <w:pPr>
        <w:keepNext/>
        <w:spacing w:after="120"/>
        <w:jc w:val="center"/>
        <w:rPr>
          <w:rFonts w:ascii="Arial Narrow" w:hAnsi="Arial Narrow"/>
          <w:b/>
          <w:i/>
          <w:lang w:val="bg-BG"/>
        </w:rPr>
      </w:pPr>
      <w:r w:rsidRPr="00543F17">
        <w:rPr>
          <w:rFonts w:ascii="Arial Narrow" w:hAnsi="Arial Narrow"/>
          <w:b/>
          <w:i/>
          <w:lang w:val="bg-BG"/>
        </w:rPr>
        <w:lastRenderedPageBreak/>
        <w:t>Фигура І.1. Размер на БВП за периода 20</w:t>
      </w:r>
      <w:r>
        <w:rPr>
          <w:rFonts w:ascii="Arial Narrow" w:hAnsi="Arial Narrow"/>
          <w:b/>
          <w:i/>
          <w:lang w:val="bg-BG"/>
        </w:rPr>
        <w:t>20</w:t>
      </w:r>
      <w:r w:rsidRPr="00543F17">
        <w:rPr>
          <w:rFonts w:ascii="Arial Narrow" w:hAnsi="Arial Narrow"/>
          <w:b/>
          <w:i/>
          <w:lang w:val="bg-BG"/>
        </w:rPr>
        <w:t xml:space="preserve"> – 202</w:t>
      </w:r>
      <w:r>
        <w:rPr>
          <w:rFonts w:ascii="Arial Narrow" w:hAnsi="Arial Narrow"/>
          <w:b/>
          <w:i/>
          <w:lang w:val="bg-BG"/>
        </w:rPr>
        <w:t>4</w:t>
      </w:r>
      <w:r w:rsidRPr="00543F17">
        <w:rPr>
          <w:rFonts w:ascii="Arial Narrow" w:hAnsi="Arial Narrow"/>
          <w:b/>
          <w:i/>
          <w:lang w:val="bg-BG"/>
        </w:rPr>
        <w:t xml:space="preserve"> г., млн. лева</w:t>
      </w:r>
    </w:p>
    <w:p w14:paraId="0FF29F4A" w14:textId="77777777" w:rsidR="00D63FE7" w:rsidRPr="007F400E" w:rsidRDefault="00D63FE7" w:rsidP="00D63FE7">
      <w:pPr>
        <w:keepNext/>
        <w:spacing w:after="120"/>
        <w:jc w:val="center"/>
        <w:rPr>
          <w:rFonts w:ascii="Arial Narrow" w:hAnsi="Arial Narrow"/>
          <w:b/>
          <w:i/>
          <w:lang w:val="bg-BG"/>
        </w:rPr>
      </w:pPr>
      <w:r w:rsidRPr="00CF45DF">
        <w:rPr>
          <w:noProof/>
        </w:rPr>
        <w:t xml:space="preserve"> </w:t>
      </w:r>
      <w:r w:rsidR="008A10A0">
        <w:rPr>
          <w:noProof/>
        </w:rPr>
        <w:drawing>
          <wp:inline distT="0" distB="0" distL="0" distR="0" wp14:anchorId="24562FE1" wp14:editId="197786C2">
            <wp:extent cx="5400000" cy="2880000"/>
            <wp:effectExtent l="0" t="0" r="0" b="0"/>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r w:rsidRPr="008E7034">
        <w:rPr>
          <w:noProof/>
          <w:color w:val="FF0000"/>
        </w:rPr>
        <w:t xml:space="preserve"> </w:t>
      </w:r>
    </w:p>
    <w:p w14:paraId="69D585B7" w14:textId="77777777" w:rsidR="00D63FE7" w:rsidRPr="0081385B" w:rsidRDefault="00D63FE7" w:rsidP="00D63FE7">
      <w:pPr>
        <w:keepNext/>
        <w:spacing w:after="240"/>
        <w:ind w:firstLine="709"/>
        <w:rPr>
          <w:rFonts w:ascii="Arial Narrow" w:hAnsi="Arial Narrow"/>
          <w:b/>
          <w:i/>
          <w:sz w:val="18"/>
          <w:szCs w:val="18"/>
          <w:lang w:val="bg-BG"/>
        </w:rPr>
      </w:pPr>
      <w:r w:rsidRPr="00C52C52">
        <w:rPr>
          <w:rFonts w:ascii="Arial Narrow" w:hAnsi="Arial Narrow"/>
          <w:i/>
          <w:sz w:val="18"/>
          <w:szCs w:val="18"/>
          <w:lang w:val="bg-BG"/>
        </w:rPr>
        <w:t>Източник:</w:t>
      </w:r>
      <w:r w:rsidRPr="00543F17">
        <w:rPr>
          <w:rFonts w:ascii="Arial Narrow" w:hAnsi="Arial Narrow"/>
          <w:i/>
          <w:sz w:val="18"/>
          <w:szCs w:val="18"/>
          <w:lang w:val="bg-BG"/>
        </w:rPr>
        <w:t xml:space="preserve"> </w:t>
      </w:r>
      <w:r w:rsidRPr="00543F17">
        <w:rPr>
          <w:rFonts w:ascii="Arial Narrow" w:hAnsi="Arial Narrow"/>
          <w:sz w:val="18"/>
          <w:szCs w:val="18"/>
          <w:lang w:val="bg-BG"/>
        </w:rPr>
        <w:t>НСИ</w:t>
      </w:r>
      <w:r>
        <w:rPr>
          <w:rFonts w:ascii="Arial Narrow" w:hAnsi="Arial Narrow"/>
          <w:sz w:val="18"/>
          <w:szCs w:val="18"/>
          <w:lang w:val="bg-BG"/>
        </w:rPr>
        <w:t xml:space="preserve"> (</w:t>
      </w:r>
      <w:r w:rsidR="008A10A0">
        <w:rPr>
          <w:rFonts w:ascii="Arial Narrow" w:hAnsi="Arial Narrow"/>
          <w:sz w:val="18"/>
          <w:szCs w:val="18"/>
          <w:lang w:val="bg-BG"/>
        </w:rPr>
        <w:t>актуализирани</w:t>
      </w:r>
      <w:r w:rsidRPr="00543F17">
        <w:rPr>
          <w:rFonts w:ascii="Arial Narrow" w:hAnsi="Arial Narrow"/>
          <w:sz w:val="18"/>
          <w:szCs w:val="18"/>
          <w:lang w:val="bg-BG"/>
        </w:rPr>
        <w:t xml:space="preserve"> данни за 202</w:t>
      </w:r>
      <w:r>
        <w:rPr>
          <w:rFonts w:ascii="Arial Narrow" w:hAnsi="Arial Narrow"/>
          <w:sz w:val="18"/>
          <w:szCs w:val="18"/>
          <w:lang w:val="bg-BG"/>
        </w:rPr>
        <w:t>4</w:t>
      </w:r>
      <w:r w:rsidRPr="00543F17">
        <w:rPr>
          <w:rFonts w:ascii="Arial Narrow" w:hAnsi="Arial Narrow"/>
          <w:sz w:val="18"/>
          <w:szCs w:val="18"/>
          <w:lang w:val="bg-BG"/>
        </w:rPr>
        <w:t xml:space="preserve"> г.</w:t>
      </w:r>
      <w:r>
        <w:rPr>
          <w:rFonts w:ascii="Arial Narrow" w:hAnsi="Arial Narrow"/>
          <w:sz w:val="18"/>
          <w:szCs w:val="18"/>
          <w:lang w:val="bg-BG"/>
        </w:rPr>
        <w:t>)</w:t>
      </w:r>
    </w:p>
    <w:p w14:paraId="3F77A149" w14:textId="77777777" w:rsidR="00D63FE7" w:rsidRPr="00CC4CAC" w:rsidRDefault="00D63FE7" w:rsidP="00D63FE7">
      <w:pPr>
        <w:spacing w:after="120"/>
        <w:ind w:firstLine="709"/>
        <w:jc w:val="both"/>
        <w:rPr>
          <w:rFonts w:ascii="Arial Narrow" w:hAnsi="Arial Narrow"/>
          <w:b/>
          <w:i/>
          <w:u w:val="single"/>
          <w:lang w:val="bg-BG"/>
        </w:rPr>
      </w:pPr>
      <w:r w:rsidRPr="00CC4CAC">
        <w:rPr>
          <w:rFonts w:ascii="Arial Narrow" w:hAnsi="Arial Narrow"/>
          <w:b/>
          <w:i/>
          <w:u w:val="single"/>
          <w:lang w:val="bg-BG"/>
        </w:rPr>
        <w:t>Брутна добавена стойност</w:t>
      </w:r>
    </w:p>
    <w:p w14:paraId="6B734542" w14:textId="77777777" w:rsidR="00D63FE7" w:rsidRPr="0081385B" w:rsidRDefault="00D63FE7" w:rsidP="00D63FE7">
      <w:pPr>
        <w:autoSpaceDE w:val="0"/>
        <w:autoSpaceDN w:val="0"/>
        <w:adjustRightInd w:val="0"/>
        <w:spacing w:after="120"/>
        <w:ind w:firstLine="708"/>
        <w:jc w:val="both"/>
        <w:rPr>
          <w:rFonts w:ascii="Arial Narrow" w:hAnsi="Arial Narrow"/>
          <w:bCs/>
          <w:lang w:val="bg-BG"/>
        </w:rPr>
      </w:pPr>
      <w:r w:rsidRPr="0081385B">
        <w:rPr>
          <w:rFonts w:ascii="Arial Narrow" w:hAnsi="Arial Narrow"/>
          <w:bCs/>
          <w:lang w:val="bg-BG"/>
        </w:rPr>
        <w:t>Брутната добавена стойност, създадена от отраслите на националната икономика през 202</w:t>
      </w:r>
      <w:r>
        <w:rPr>
          <w:rFonts w:ascii="Arial Narrow" w:hAnsi="Arial Narrow"/>
          <w:bCs/>
          <w:lang w:val="bg-BG"/>
        </w:rPr>
        <w:t>4</w:t>
      </w:r>
      <w:r w:rsidRPr="0081385B">
        <w:rPr>
          <w:rFonts w:ascii="Arial Narrow" w:hAnsi="Arial Narrow"/>
          <w:bCs/>
          <w:lang w:val="bg-BG"/>
        </w:rPr>
        <w:t xml:space="preserve"> г. възлиза на </w:t>
      </w:r>
      <w:r>
        <w:rPr>
          <w:rFonts w:ascii="Arial Narrow" w:hAnsi="Arial Narrow"/>
          <w:bCs/>
          <w:lang w:val="bg-BG"/>
        </w:rPr>
        <w:t>17</w:t>
      </w:r>
      <w:r w:rsidR="008A10A0">
        <w:rPr>
          <w:rFonts w:ascii="Arial Narrow" w:hAnsi="Arial Narrow"/>
          <w:bCs/>
          <w:lang w:val="bg-BG"/>
        </w:rPr>
        <w:t>8</w:t>
      </w:r>
      <w:r>
        <w:rPr>
          <w:rFonts w:ascii="Arial Narrow" w:hAnsi="Arial Narrow"/>
          <w:bCs/>
          <w:lang w:val="bg-BG"/>
        </w:rPr>
        <w:t xml:space="preserve"> 7</w:t>
      </w:r>
      <w:r w:rsidR="008A10A0">
        <w:rPr>
          <w:rFonts w:ascii="Arial Narrow" w:hAnsi="Arial Narrow"/>
          <w:bCs/>
          <w:lang w:val="bg-BG"/>
        </w:rPr>
        <w:t>72</w:t>
      </w:r>
      <w:r w:rsidRPr="0081385B">
        <w:rPr>
          <w:rFonts w:ascii="Arial Narrow" w:hAnsi="Arial Narrow"/>
          <w:bCs/>
          <w:lang w:val="bg-BG"/>
        </w:rPr>
        <w:t xml:space="preserve"> млн. лева (</w:t>
      </w:r>
      <w:r>
        <w:rPr>
          <w:rFonts w:ascii="Arial Narrow" w:hAnsi="Arial Narrow"/>
          <w:bCs/>
          <w:lang w:val="bg-BG"/>
        </w:rPr>
        <w:t>9</w:t>
      </w:r>
      <w:r w:rsidR="008A10A0">
        <w:rPr>
          <w:rFonts w:ascii="Arial Narrow" w:hAnsi="Arial Narrow"/>
          <w:bCs/>
          <w:lang w:val="bg-BG"/>
        </w:rPr>
        <w:t>1</w:t>
      </w:r>
      <w:r>
        <w:rPr>
          <w:rFonts w:ascii="Arial Narrow" w:hAnsi="Arial Narrow"/>
          <w:bCs/>
          <w:lang w:val="bg-BG"/>
        </w:rPr>
        <w:t xml:space="preserve"> </w:t>
      </w:r>
      <w:r w:rsidR="008A10A0">
        <w:rPr>
          <w:rFonts w:ascii="Arial Narrow" w:hAnsi="Arial Narrow"/>
          <w:bCs/>
          <w:lang w:val="bg-BG"/>
        </w:rPr>
        <w:t>405</w:t>
      </w:r>
      <w:r w:rsidRPr="0081385B">
        <w:rPr>
          <w:rFonts w:ascii="Arial Narrow" w:hAnsi="Arial Narrow"/>
          <w:bCs/>
          <w:lang w:val="bg-BG"/>
        </w:rPr>
        <w:t xml:space="preserve"> млн. евро) по текущи цени, отбелязвайки реал</w:t>
      </w:r>
      <w:r>
        <w:rPr>
          <w:rFonts w:ascii="Arial Narrow" w:hAnsi="Arial Narrow"/>
          <w:bCs/>
          <w:lang w:val="bg-BG"/>
        </w:rPr>
        <w:t>но увеличение с</w:t>
      </w:r>
      <w:r w:rsidRPr="0081385B">
        <w:rPr>
          <w:rFonts w:ascii="Arial Narrow" w:hAnsi="Arial Narrow"/>
          <w:bCs/>
          <w:lang w:val="bg-BG"/>
        </w:rPr>
        <w:t xml:space="preserve"> </w:t>
      </w:r>
      <w:r>
        <w:rPr>
          <w:rFonts w:ascii="Arial Narrow" w:hAnsi="Arial Narrow"/>
          <w:bCs/>
          <w:lang w:val="bg-BG"/>
        </w:rPr>
        <w:t>2,</w:t>
      </w:r>
      <w:r w:rsidR="008A10A0">
        <w:rPr>
          <w:rFonts w:ascii="Arial Narrow" w:hAnsi="Arial Narrow"/>
          <w:bCs/>
          <w:lang w:val="bg-BG"/>
        </w:rPr>
        <w:t>8</w:t>
      </w:r>
      <w:r w:rsidRPr="0081385B">
        <w:rPr>
          <w:rFonts w:ascii="Arial Narrow" w:hAnsi="Arial Narrow"/>
          <w:bCs/>
          <w:lang w:val="bg-BG"/>
        </w:rPr>
        <w:t>% спрямо предходната година. Добавената стойност на субектите от аграрния сектор през 202</w:t>
      </w:r>
      <w:r>
        <w:rPr>
          <w:rFonts w:ascii="Arial Narrow" w:hAnsi="Arial Narrow"/>
          <w:bCs/>
          <w:lang w:val="bg-BG"/>
        </w:rPr>
        <w:t>4</w:t>
      </w:r>
      <w:r w:rsidRPr="0081385B">
        <w:rPr>
          <w:rFonts w:ascii="Arial Narrow" w:hAnsi="Arial Narrow"/>
          <w:bCs/>
          <w:lang w:val="bg-BG"/>
        </w:rPr>
        <w:t xml:space="preserve"> г. е в размер на </w:t>
      </w:r>
      <w:r>
        <w:rPr>
          <w:rFonts w:ascii="Arial Narrow" w:hAnsi="Arial Narrow"/>
          <w:bCs/>
          <w:lang w:val="bg-BG"/>
        </w:rPr>
        <w:t xml:space="preserve">4 </w:t>
      </w:r>
      <w:r w:rsidR="008A10A0">
        <w:rPr>
          <w:rFonts w:ascii="Arial Narrow" w:hAnsi="Arial Narrow"/>
          <w:bCs/>
          <w:lang w:val="bg-BG"/>
        </w:rPr>
        <w:t xml:space="preserve">817 </w:t>
      </w:r>
      <w:r w:rsidRPr="0081385B">
        <w:rPr>
          <w:rFonts w:ascii="Arial Narrow" w:hAnsi="Arial Narrow"/>
          <w:bCs/>
          <w:lang w:val="bg-BG"/>
        </w:rPr>
        <w:t xml:space="preserve">млн. лева по текущи цени. В реално изражение тя </w:t>
      </w:r>
      <w:r w:rsidR="008A10A0">
        <w:rPr>
          <w:rFonts w:ascii="Arial Narrow" w:hAnsi="Arial Narrow"/>
          <w:bCs/>
          <w:lang w:val="bg-BG"/>
        </w:rPr>
        <w:t>се увеличава</w:t>
      </w:r>
      <w:r w:rsidR="008A10A0" w:rsidRPr="0081385B">
        <w:rPr>
          <w:rFonts w:ascii="Arial Narrow" w:hAnsi="Arial Narrow"/>
          <w:bCs/>
          <w:lang w:val="bg-BG"/>
        </w:rPr>
        <w:t xml:space="preserve"> </w:t>
      </w:r>
      <w:r w:rsidRPr="0081385B">
        <w:rPr>
          <w:rFonts w:ascii="Arial Narrow" w:hAnsi="Arial Narrow"/>
          <w:bCs/>
          <w:lang w:val="bg-BG"/>
        </w:rPr>
        <w:t>с</w:t>
      </w:r>
      <w:r>
        <w:rPr>
          <w:rFonts w:ascii="Arial Narrow" w:hAnsi="Arial Narrow"/>
          <w:bCs/>
          <w:lang w:val="bg-BG"/>
        </w:rPr>
        <w:t>ъс</w:t>
      </w:r>
      <w:r w:rsidRPr="0081385B">
        <w:rPr>
          <w:rFonts w:ascii="Arial Narrow" w:hAnsi="Arial Narrow"/>
          <w:bCs/>
          <w:lang w:val="bg-BG"/>
        </w:rPr>
        <w:t xml:space="preserve"> </w:t>
      </w:r>
      <w:r>
        <w:rPr>
          <w:rFonts w:ascii="Arial Narrow" w:hAnsi="Arial Narrow"/>
          <w:bCs/>
          <w:lang w:val="bg-BG"/>
        </w:rPr>
        <w:t>7</w:t>
      </w:r>
      <w:r w:rsidR="004C130E">
        <w:rPr>
          <w:rFonts w:ascii="Arial Narrow" w:hAnsi="Arial Narrow"/>
          <w:bCs/>
          <w:lang w:val="bg-BG"/>
        </w:rPr>
        <w:t>,3</w:t>
      </w:r>
      <w:r w:rsidRPr="0081385B">
        <w:rPr>
          <w:rFonts w:ascii="Arial Narrow" w:hAnsi="Arial Narrow"/>
          <w:bCs/>
          <w:lang w:val="bg-BG"/>
        </w:rPr>
        <w:t>% на годишна база.</w:t>
      </w:r>
    </w:p>
    <w:p w14:paraId="4034E9B7" w14:textId="77777777" w:rsidR="00D63FE7" w:rsidRPr="00774ACD" w:rsidRDefault="00D63FE7" w:rsidP="00D63FE7">
      <w:pPr>
        <w:keepNext/>
        <w:spacing w:after="120"/>
        <w:ind w:firstLine="708"/>
        <w:jc w:val="both"/>
        <w:rPr>
          <w:rFonts w:ascii="Arial Narrow" w:hAnsi="Arial Narrow"/>
          <w:bCs/>
          <w:lang w:val="bg-BG"/>
        </w:rPr>
      </w:pPr>
      <w:r w:rsidRPr="00774ACD">
        <w:rPr>
          <w:rFonts w:ascii="Arial Narrow" w:hAnsi="Arial Narrow"/>
          <w:bCs/>
          <w:lang w:val="bg-BG"/>
        </w:rPr>
        <w:t>По икономически сектори, БДС за 202</w:t>
      </w:r>
      <w:r>
        <w:rPr>
          <w:rFonts w:ascii="Arial Narrow" w:hAnsi="Arial Narrow"/>
          <w:bCs/>
          <w:lang w:val="bg-BG"/>
        </w:rPr>
        <w:t>4</w:t>
      </w:r>
      <w:r w:rsidRPr="00774ACD">
        <w:rPr>
          <w:rFonts w:ascii="Arial Narrow" w:hAnsi="Arial Narrow"/>
          <w:bCs/>
          <w:lang w:val="bg-BG"/>
        </w:rPr>
        <w:t xml:space="preserve"> г. се разпределя, както следва:</w:t>
      </w:r>
    </w:p>
    <w:p w14:paraId="48F6EB52" w14:textId="77777777" w:rsidR="00D63FE7" w:rsidRPr="00F614BC" w:rsidRDefault="00D63FE7" w:rsidP="00CD44F3">
      <w:pPr>
        <w:pStyle w:val="ListParagraph"/>
        <w:keepNext/>
        <w:numPr>
          <w:ilvl w:val="0"/>
          <w:numId w:val="43"/>
        </w:numPr>
        <w:tabs>
          <w:tab w:val="left" w:pos="1080"/>
        </w:tabs>
        <w:spacing w:after="120"/>
        <w:ind w:left="714" w:hanging="357"/>
        <w:jc w:val="both"/>
        <w:rPr>
          <w:rFonts w:ascii="Arial Narrow" w:hAnsi="Arial Narrow"/>
          <w:lang w:val="bg-BG"/>
        </w:rPr>
      </w:pPr>
      <w:r w:rsidRPr="00F614BC">
        <w:rPr>
          <w:rFonts w:ascii="Arial Narrow" w:hAnsi="Arial Narrow"/>
          <w:lang w:val="bg-BG"/>
        </w:rPr>
        <w:t>Индустрия (включително строителство) – 2</w:t>
      </w:r>
      <w:r w:rsidR="008A10A0">
        <w:rPr>
          <w:rFonts w:ascii="Arial Narrow" w:hAnsi="Arial Narrow"/>
          <w:lang w:val="bg-BG"/>
        </w:rPr>
        <w:t>4,2</w:t>
      </w:r>
      <w:r w:rsidRPr="00F614BC">
        <w:rPr>
          <w:rFonts w:ascii="Arial Narrow" w:hAnsi="Arial Narrow"/>
          <w:lang w:val="bg-BG"/>
        </w:rPr>
        <w:t>%;</w:t>
      </w:r>
    </w:p>
    <w:p w14:paraId="43AE7A76" w14:textId="77777777" w:rsidR="00D63FE7" w:rsidRPr="00774ACD" w:rsidRDefault="00D63FE7" w:rsidP="00CD44F3">
      <w:pPr>
        <w:pStyle w:val="ListParagraph"/>
        <w:keepNext/>
        <w:numPr>
          <w:ilvl w:val="0"/>
          <w:numId w:val="43"/>
        </w:numPr>
        <w:tabs>
          <w:tab w:val="left" w:pos="1080"/>
        </w:tabs>
        <w:spacing w:after="120"/>
        <w:ind w:left="714" w:hanging="357"/>
        <w:jc w:val="both"/>
        <w:rPr>
          <w:rFonts w:ascii="Arial Narrow" w:hAnsi="Arial Narrow"/>
          <w:lang w:val="bg-BG"/>
        </w:rPr>
      </w:pPr>
      <w:r w:rsidRPr="00774ACD">
        <w:rPr>
          <w:rFonts w:ascii="Arial Narrow" w:hAnsi="Arial Narrow"/>
          <w:lang w:val="bg-BG"/>
        </w:rPr>
        <w:t xml:space="preserve">Услуги – </w:t>
      </w:r>
      <w:r>
        <w:rPr>
          <w:rFonts w:ascii="Arial Narrow" w:hAnsi="Arial Narrow"/>
          <w:lang w:val="bg-BG"/>
        </w:rPr>
        <w:t>7</w:t>
      </w:r>
      <w:r w:rsidR="008A10A0">
        <w:rPr>
          <w:rFonts w:ascii="Arial Narrow" w:hAnsi="Arial Narrow"/>
          <w:lang w:val="bg-BG"/>
        </w:rPr>
        <w:t>3</w:t>
      </w:r>
      <w:r>
        <w:rPr>
          <w:rFonts w:ascii="Arial Narrow" w:hAnsi="Arial Narrow"/>
          <w:lang w:val="bg-BG"/>
        </w:rPr>
        <w:t>,</w:t>
      </w:r>
      <w:r w:rsidR="008A10A0">
        <w:rPr>
          <w:rFonts w:ascii="Arial Narrow" w:hAnsi="Arial Narrow"/>
          <w:lang w:val="bg-BG"/>
        </w:rPr>
        <w:t>1</w:t>
      </w:r>
      <w:r w:rsidRPr="00774ACD">
        <w:rPr>
          <w:rFonts w:ascii="Arial Narrow" w:hAnsi="Arial Narrow"/>
          <w:lang w:val="bg-BG"/>
        </w:rPr>
        <w:t>% ;</w:t>
      </w:r>
    </w:p>
    <w:p w14:paraId="179CDA42" w14:textId="77777777" w:rsidR="00D63FE7" w:rsidRPr="00774ACD" w:rsidRDefault="00D63FE7" w:rsidP="00CD44F3">
      <w:pPr>
        <w:pStyle w:val="ListParagraph"/>
        <w:keepNext/>
        <w:numPr>
          <w:ilvl w:val="0"/>
          <w:numId w:val="43"/>
        </w:numPr>
        <w:tabs>
          <w:tab w:val="left" w:pos="1080"/>
        </w:tabs>
        <w:spacing w:after="120"/>
        <w:ind w:left="714" w:hanging="357"/>
        <w:jc w:val="both"/>
        <w:rPr>
          <w:rFonts w:ascii="Arial Narrow" w:hAnsi="Arial Narrow"/>
          <w:lang w:val="bg-BG"/>
        </w:rPr>
      </w:pPr>
      <w:r w:rsidRPr="00774ACD">
        <w:rPr>
          <w:rFonts w:ascii="Arial Narrow" w:hAnsi="Arial Narrow"/>
          <w:lang w:val="bg-BG"/>
        </w:rPr>
        <w:t xml:space="preserve">Аграрен </w:t>
      </w:r>
      <w:r>
        <w:rPr>
          <w:rFonts w:ascii="Arial Narrow" w:hAnsi="Arial Narrow"/>
          <w:lang w:val="bg-BG"/>
        </w:rPr>
        <w:t xml:space="preserve">сектор </w:t>
      </w:r>
      <w:r w:rsidRPr="00774ACD">
        <w:rPr>
          <w:rFonts w:ascii="Arial Narrow" w:hAnsi="Arial Narrow"/>
          <w:lang w:val="bg-BG"/>
        </w:rPr>
        <w:t xml:space="preserve">(селско, горско и рибно стопанство) – </w:t>
      </w:r>
      <w:r>
        <w:rPr>
          <w:rFonts w:ascii="Arial Narrow" w:hAnsi="Arial Narrow"/>
          <w:lang w:val="bg-BG"/>
        </w:rPr>
        <w:t>2,</w:t>
      </w:r>
      <w:r w:rsidR="008A10A0">
        <w:rPr>
          <w:rFonts w:ascii="Arial Narrow" w:hAnsi="Arial Narrow"/>
          <w:lang w:val="bg-BG"/>
        </w:rPr>
        <w:t>7</w:t>
      </w:r>
      <w:r w:rsidRPr="00774ACD">
        <w:rPr>
          <w:rFonts w:ascii="Arial Narrow" w:hAnsi="Arial Narrow"/>
          <w:lang w:val="bg-BG"/>
        </w:rPr>
        <w:t>%.</w:t>
      </w:r>
    </w:p>
    <w:p w14:paraId="776DE433" w14:textId="77777777" w:rsidR="00D63FE7" w:rsidRDefault="00D63FE7" w:rsidP="00D63FE7">
      <w:pPr>
        <w:widowControl w:val="0"/>
        <w:spacing w:after="240"/>
        <w:ind w:firstLine="709"/>
        <w:jc w:val="both"/>
        <w:rPr>
          <w:rFonts w:ascii="Arial Narrow" w:hAnsi="Arial Narrow"/>
          <w:lang w:val="bg-BG"/>
        </w:rPr>
      </w:pPr>
      <w:r w:rsidRPr="00F614BC">
        <w:rPr>
          <w:rFonts w:ascii="Arial Narrow" w:hAnsi="Arial Narrow"/>
          <w:color w:val="000000" w:themeColor="text1"/>
          <w:lang w:val="bg-BG"/>
        </w:rPr>
        <w:t xml:space="preserve">Сравнявайки с предходната година, </w:t>
      </w:r>
      <w:r>
        <w:rPr>
          <w:rFonts w:ascii="Arial Narrow" w:hAnsi="Arial Narrow"/>
          <w:lang w:val="bg-BG"/>
        </w:rPr>
        <w:t>д</w:t>
      </w:r>
      <w:r w:rsidRPr="00774ACD">
        <w:rPr>
          <w:rFonts w:ascii="Arial Narrow" w:hAnsi="Arial Narrow"/>
          <w:lang w:val="bg-BG"/>
        </w:rPr>
        <w:t xml:space="preserve">елът на аграрния </w:t>
      </w:r>
      <w:r>
        <w:rPr>
          <w:rFonts w:ascii="Arial Narrow" w:hAnsi="Arial Narrow"/>
          <w:lang w:val="bg-BG"/>
        </w:rPr>
        <w:t>отрасъл</w:t>
      </w:r>
      <w:r w:rsidRPr="00774ACD">
        <w:rPr>
          <w:rFonts w:ascii="Arial Narrow" w:hAnsi="Arial Narrow"/>
          <w:lang w:val="bg-BG"/>
        </w:rPr>
        <w:t xml:space="preserve"> в общата БДС </w:t>
      </w:r>
      <w:r>
        <w:rPr>
          <w:rFonts w:ascii="Arial Narrow" w:hAnsi="Arial Narrow"/>
          <w:lang w:val="bg-BG"/>
        </w:rPr>
        <w:t>се свива с 0,</w:t>
      </w:r>
      <w:r w:rsidR="008A10A0">
        <w:rPr>
          <w:rFonts w:ascii="Arial Narrow" w:hAnsi="Arial Narrow"/>
          <w:lang w:val="bg-BG"/>
        </w:rPr>
        <w:t>2</w:t>
      </w:r>
      <w:r>
        <w:rPr>
          <w:rFonts w:ascii="Arial Narrow" w:hAnsi="Arial Narrow"/>
          <w:lang w:val="bg-BG"/>
        </w:rPr>
        <w:t xml:space="preserve"> процентни пункта</w:t>
      </w:r>
      <w:r w:rsidRPr="00774ACD">
        <w:rPr>
          <w:rFonts w:ascii="Arial Narrow" w:hAnsi="Arial Narrow"/>
          <w:lang w:val="bg-BG"/>
        </w:rPr>
        <w:t>.</w:t>
      </w:r>
    </w:p>
    <w:p w14:paraId="4DD86AA5" w14:textId="77777777" w:rsidR="00D63FE7" w:rsidRDefault="00D63FE7" w:rsidP="00CD44F3">
      <w:pPr>
        <w:keepLines/>
        <w:widowControl w:val="0"/>
        <w:spacing w:after="120"/>
        <w:jc w:val="center"/>
        <w:rPr>
          <w:rFonts w:ascii="Arial Narrow" w:hAnsi="Arial Narrow"/>
          <w:b/>
          <w:i/>
          <w:lang w:val="bg-BG"/>
        </w:rPr>
      </w:pPr>
      <w:r w:rsidRPr="00CC4CAC">
        <w:rPr>
          <w:rFonts w:ascii="Arial Narrow" w:hAnsi="Arial Narrow"/>
          <w:b/>
          <w:i/>
          <w:lang w:val="bg-BG"/>
        </w:rPr>
        <w:t>Фигура І.2. Дял на БДС по икономически сектори за периода 20</w:t>
      </w:r>
      <w:r>
        <w:rPr>
          <w:rFonts w:ascii="Arial Narrow" w:hAnsi="Arial Narrow"/>
          <w:b/>
          <w:i/>
          <w:lang w:val="bg-BG"/>
        </w:rPr>
        <w:t>20</w:t>
      </w:r>
      <w:r w:rsidRPr="00CC4CAC">
        <w:rPr>
          <w:rFonts w:ascii="Arial Narrow" w:hAnsi="Arial Narrow"/>
          <w:b/>
          <w:i/>
          <w:lang w:val="bg-BG"/>
        </w:rPr>
        <w:t xml:space="preserve"> – 202</w:t>
      </w:r>
      <w:r>
        <w:rPr>
          <w:rFonts w:ascii="Arial Narrow" w:hAnsi="Arial Narrow"/>
          <w:b/>
          <w:i/>
          <w:lang w:val="bg-BG"/>
        </w:rPr>
        <w:t>4</w:t>
      </w:r>
      <w:r w:rsidRPr="00CC4CAC">
        <w:rPr>
          <w:rFonts w:ascii="Arial Narrow" w:hAnsi="Arial Narrow"/>
          <w:b/>
          <w:i/>
          <w:lang w:val="bg-BG"/>
        </w:rPr>
        <w:t xml:space="preserve"> г., %</w:t>
      </w:r>
    </w:p>
    <w:p w14:paraId="028007FF" w14:textId="77777777" w:rsidR="008A10A0" w:rsidRPr="00CC4CAC" w:rsidRDefault="008A10A0" w:rsidP="00CD44F3">
      <w:pPr>
        <w:keepLines/>
        <w:widowControl w:val="0"/>
        <w:spacing w:after="120"/>
        <w:jc w:val="center"/>
        <w:rPr>
          <w:rFonts w:ascii="Arial Narrow" w:hAnsi="Arial Narrow"/>
          <w:lang w:val="bg-BG"/>
        </w:rPr>
      </w:pPr>
      <w:r>
        <w:rPr>
          <w:noProof/>
        </w:rPr>
        <w:drawing>
          <wp:inline distT="0" distB="0" distL="0" distR="0" wp14:anchorId="197986E9" wp14:editId="66396897">
            <wp:extent cx="5400000" cy="2880000"/>
            <wp:effectExtent l="0" t="0" r="0" b="0"/>
            <wp:docPr id="32"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04BF8321" w14:textId="77777777" w:rsidR="00D63FE7" w:rsidRPr="00C52C52" w:rsidRDefault="00D63FE7">
      <w:pPr>
        <w:keepLines/>
        <w:spacing w:after="240"/>
        <w:ind w:firstLine="709"/>
        <w:rPr>
          <w:rFonts w:ascii="Arial Narrow" w:hAnsi="Arial Narrow"/>
          <w:sz w:val="18"/>
          <w:szCs w:val="18"/>
          <w:lang w:val="bg-BG"/>
        </w:rPr>
      </w:pPr>
      <w:r w:rsidRPr="00C52C52">
        <w:rPr>
          <w:rFonts w:ascii="Arial Narrow" w:hAnsi="Arial Narrow"/>
          <w:i/>
          <w:sz w:val="18"/>
          <w:szCs w:val="18"/>
          <w:lang w:val="bg-BG"/>
        </w:rPr>
        <w:t xml:space="preserve">Източник: </w:t>
      </w:r>
      <w:r w:rsidRPr="00C52C52">
        <w:rPr>
          <w:rFonts w:ascii="Arial Narrow" w:hAnsi="Arial Narrow"/>
          <w:sz w:val="18"/>
          <w:szCs w:val="18"/>
          <w:lang w:val="bg-BG"/>
        </w:rPr>
        <w:t>НСИ (</w:t>
      </w:r>
      <w:r w:rsidR="00203146">
        <w:rPr>
          <w:rFonts w:ascii="Arial Narrow" w:hAnsi="Arial Narrow"/>
          <w:sz w:val="18"/>
          <w:szCs w:val="18"/>
          <w:lang w:val="bg-BG"/>
        </w:rPr>
        <w:t>актуализирани</w:t>
      </w:r>
      <w:r w:rsidRPr="00C52C52">
        <w:rPr>
          <w:rFonts w:ascii="Arial Narrow" w:hAnsi="Arial Narrow"/>
          <w:sz w:val="18"/>
          <w:szCs w:val="18"/>
          <w:lang w:val="bg-BG"/>
        </w:rPr>
        <w:t xml:space="preserve"> данни за 2024 г.)</w:t>
      </w:r>
    </w:p>
    <w:p w14:paraId="42163307" w14:textId="77777777" w:rsidR="00D63FE7" w:rsidRPr="00774ACD" w:rsidRDefault="00D63FE7" w:rsidP="00D63FE7">
      <w:pPr>
        <w:keepLines/>
        <w:widowControl w:val="0"/>
        <w:spacing w:after="120"/>
        <w:ind w:firstLine="709"/>
        <w:jc w:val="both"/>
        <w:rPr>
          <w:rFonts w:ascii="Arial Narrow" w:hAnsi="Arial Narrow"/>
          <w:lang w:val="bg-BG"/>
        </w:rPr>
      </w:pPr>
      <w:r w:rsidRPr="006636B9">
        <w:rPr>
          <w:rFonts w:ascii="Arial Narrow" w:hAnsi="Arial Narrow"/>
          <w:lang w:val="bg-BG"/>
        </w:rPr>
        <w:lastRenderedPageBreak/>
        <w:t xml:space="preserve">По предварителни </w:t>
      </w:r>
      <w:r w:rsidRPr="009F605C">
        <w:rPr>
          <w:rFonts w:ascii="Arial Narrow" w:hAnsi="Arial Narrow"/>
          <w:lang w:val="bg-BG"/>
        </w:rPr>
        <w:t xml:space="preserve">сезонно изгладени </w:t>
      </w:r>
      <w:r w:rsidRPr="006636B9">
        <w:rPr>
          <w:rFonts w:ascii="Arial Narrow" w:hAnsi="Arial Narrow"/>
          <w:lang w:val="bg-BG"/>
        </w:rPr>
        <w:t>данни на НСИ, през първ</w:t>
      </w:r>
      <w:r w:rsidRPr="009F605C">
        <w:rPr>
          <w:rFonts w:ascii="Arial Narrow" w:hAnsi="Arial Narrow"/>
          <w:lang w:val="bg-BG"/>
        </w:rPr>
        <w:t>ите две</w:t>
      </w:r>
      <w:r w:rsidRPr="006636B9">
        <w:rPr>
          <w:rFonts w:ascii="Arial Narrow" w:hAnsi="Arial Narrow"/>
          <w:lang w:val="bg-BG"/>
        </w:rPr>
        <w:t xml:space="preserve"> тримесечи</w:t>
      </w:r>
      <w:r w:rsidRPr="009F605C">
        <w:rPr>
          <w:rFonts w:ascii="Arial Narrow" w:hAnsi="Arial Narrow"/>
          <w:lang w:val="bg-BG"/>
        </w:rPr>
        <w:t>я</w:t>
      </w:r>
      <w:r w:rsidRPr="006636B9">
        <w:rPr>
          <w:rFonts w:ascii="Arial Narrow" w:hAnsi="Arial Narrow"/>
          <w:lang w:val="bg-BG"/>
        </w:rPr>
        <w:t xml:space="preserve"> на 202</w:t>
      </w:r>
      <w:r w:rsidRPr="009F605C">
        <w:rPr>
          <w:rFonts w:ascii="Arial Narrow" w:hAnsi="Arial Narrow"/>
          <w:lang w:val="bg-BG"/>
        </w:rPr>
        <w:t>5</w:t>
      </w:r>
      <w:r w:rsidRPr="006636B9">
        <w:rPr>
          <w:rFonts w:ascii="Arial Narrow" w:hAnsi="Arial Narrow"/>
          <w:lang w:val="bg-BG"/>
        </w:rPr>
        <w:t xml:space="preserve"> г. годишният реален ръст на общата БДС за икономиката на страната спрямо </w:t>
      </w:r>
      <w:r>
        <w:rPr>
          <w:rFonts w:ascii="Arial Narrow" w:hAnsi="Arial Narrow"/>
          <w:lang w:val="bg-BG"/>
        </w:rPr>
        <w:t>година по-рано</w:t>
      </w:r>
      <w:r w:rsidRPr="006636B9">
        <w:rPr>
          <w:rFonts w:ascii="Arial Narrow" w:hAnsi="Arial Narrow"/>
          <w:lang w:val="bg-BG"/>
        </w:rPr>
        <w:t xml:space="preserve"> е </w:t>
      </w:r>
      <w:r w:rsidRPr="009F605C">
        <w:rPr>
          <w:rFonts w:ascii="Arial Narrow" w:hAnsi="Arial Narrow"/>
          <w:lang w:val="bg-BG"/>
        </w:rPr>
        <w:t xml:space="preserve">съответно </w:t>
      </w:r>
      <w:r w:rsidRPr="006636B9">
        <w:rPr>
          <w:rFonts w:ascii="Arial Narrow" w:hAnsi="Arial Narrow"/>
          <w:lang w:val="bg-BG"/>
        </w:rPr>
        <w:t>2,</w:t>
      </w:r>
      <w:r w:rsidR="00203146">
        <w:rPr>
          <w:rFonts w:ascii="Arial Narrow" w:hAnsi="Arial Narrow"/>
          <w:lang w:val="bg-BG"/>
        </w:rPr>
        <w:t>8</w:t>
      </w:r>
      <w:r w:rsidRPr="006636B9">
        <w:rPr>
          <w:rFonts w:ascii="Arial Narrow" w:hAnsi="Arial Narrow"/>
          <w:lang w:val="bg-BG"/>
        </w:rPr>
        <w:t>%</w:t>
      </w:r>
      <w:r w:rsidRPr="009F605C">
        <w:rPr>
          <w:rFonts w:ascii="Arial Narrow" w:hAnsi="Arial Narrow"/>
          <w:lang w:val="bg-BG"/>
        </w:rPr>
        <w:t xml:space="preserve"> и</w:t>
      </w:r>
      <w:r w:rsidRPr="006636B9">
        <w:rPr>
          <w:rFonts w:ascii="Arial Narrow" w:hAnsi="Arial Narrow"/>
          <w:lang w:val="bg-BG"/>
        </w:rPr>
        <w:t xml:space="preserve"> </w:t>
      </w:r>
      <w:r w:rsidRPr="009F605C">
        <w:rPr>
          <w:rFonts w:ascii="Arial Narrow" w:hAnsi="Arial Narrow"/>
          <w:lang w:val="bg-BG"/>
        </w:rPr>
        <w:t>2,</w:t>
      </w:r>
      <w:r w:rsidR="00203146">
        <w:rPr>
          <w:rFonts w:ascii="Arial Narrow" w:hAnsi="Arial Narrow"/>
          <w:lang w:val="bg-BG"/>
        </w:rPr>
        <w:t>7</w:t>
      </w:r>
      <w:r w:rsidRPr="006636B9">
        <w:rPr>
          <w:rFonts w:ascii="Arial Narrow" w:hAnsi="Arial Narrow"/>
          <w:lang w:val="bg-BG"/>
        </w:rPr>
        <w:t>%. По отношение на БДС, формирана от аграрния отрасъл, за първото тримесечие на 202</w:t>
      </w:r>
      <w:r w:rsidR="00357485">
        <w:rPr>
          <w:rFonts w:ascii="Arial Narrow" w:hAnsi="Arial Narrow"/>
        </w:rPr>
        <w:t>5</w:t>
      </w:r>
      <w:r w:rsidRPr="006636B9">
        <w:rPr>
          <w:rFonts w:ascii="Arial Narrow" w:hAnsi="Arial Narrow"/>
          <w:lang w:val="bg-BG"/>
        </w:rPr>
        <w:t xml:space="preserve"> г. се отчита </w:t>
      </w:r>
      <w:r w:rsidRPr="009F605C">
        <w:rPr>
          <w:rFonts w:ascii="Arial Narrow" w:hAnsi="Arial Narrow"/>
          <w:lang w:val="bg-BG"/>
        </w:rPr>
        <w:t>увеличение</w:t>
      </w:r>
      <w:r w:rsidRPr="006636B9">
        <w:rPr>
          <w:rFonts w:ascii="Arial Narrow" w:hAnsi="Arial Narrow"/>
          <w:lang w:val="bg-BG"/>
        </w:rPr>
        <w:t xml:space="preserve"> с </w:t>
      </w:r>
      <w:r w:rsidRPr="009F605C">
        <w:rPr>
          <w:rFonts w:ascii="Arial Narrow" w:hAnsi="Arial Narrow"/>
          <w:lang w:val="bg-BG"/>
        </w:rPr>
        <w:t>0,</w:t>
      </w:r>
      <w:r w:rsidR="00203146">
        <w:rPr>
          <w:rFonts w:ascii="Arial Narrow" w:hAnsi="Arial Narrow"/>
          <w:lang w:val="bg-BG"/>
        </w:rPr>
        <w:t>3</w:t>
      </w:r>
      <w:r w:rsidRPr="006636B9">
        <w:rPr>
          <w:rFonts w:ascii="Arial Narrow" w:hAnsi="Arial Narrow"/>
          <w:lang w:val="bg-BG"/>
        </w:rPr>
        <w:t xml:space="preserve">% на годишна база, а за второто тримесечие - </w:t>
      </w:r>
      <w:r w:rsidRPr="009F605C">
        <w:rPr>
          <w:rFonts w:ascii="Arial Narrow" w:hAnsi="Arial Narrow"/>
          <w:lang w:val="bg-BG"/>
        </w:rPr>
        <w:t>намаление</w:t>
      </w:r>
      <w:r w:rsidRPr="006636B9">
        <w:rPr>
          <w:rFonts w:ascii="Arial Narrow" w:hAnsi="Arial Narrow"/>
          <w:lang w:val="bg-BG"/>
        </w:rPr>
        <w:t xml:space="preserve"> с </w:t>
      </w:r>
      <w:r w:rsidR="00203146">
        <w:rPr>
          <w:rFonts w:ascii="Arial Narrow" w:hAnsi="Arial Narrow"/>
          <w:lang w:val="bg-BG"/>
        </w:rPr>
        <w:t>2,3</w:t>
      </w:r>
      <w:r w:rsidRPr="006636B9">
        <w:rPr>
          <w:rFonts w:ascii="Arial Narrow" w:hAnsi="Arial Narrow"/>
          <w:lang w:val="bg-BG"/>
        </w:rPr>
        <w:t>%.</w:t>
      </w:r>
      <w:r w:rsidRPr="00774ACD">
        <w:rPr>
          <w:rFonts w:ascii="Arial Narrow" w:hAnsi="Arial Narrow"/>
          <w:lang w:val="bg-BG"/>
        </w:rPr>
        <w:t xml:space="preserve"> </w:t>
      </w:r>
    </w:p>
    <w:p w14:paraId="68B05A30" w14:textId="77777777" w:rsidR="00D63FE7" w:rsidRPr="00B56293" w:rsidRDefault="00D63FE7" w:rsidP="00D63FE7">
      <w:pPr>
        <w:spacing w:before="240" w:after="120"/>
        <w:jc w:val="center"/>
        <w:rPr>
          <w:rFonts w:ascii="Arial Narrow" w:hAnsi="Arial Narrow"/>
          <w:b/>
          <w:i/>
          <w:lang w:val="bg-BG"/>
        </w:rPr>
      </w:pPr>
      <w:r w:rsidRPr="00B56293">
        <w:rPr>
          <w:rFonts w:ascii="Arial Narrow" w:hAnsi="Arial Narrow"/>
          <w:b/>
          <w:i/>
          <w:lang w:val="bg-BG"/>
        </w:rPr>
        <w:t>Фигура І.3. БДС от отрасъл „Селско, горско и рибно стопанство”, 20</w:t>
      </w:r>
      <w:r>
        <w:rPr>
          <w:rFonts w:ascii="Arial Narrow" w:hAnsi="Arial Narrow"/>
          <w:b/>
          <w:i/>
          <w:lang w:val="bg-BG"/>
        </w:rPr>
        <w:t>20</w:t>
      </w:r>
      <w:r w:rsidRPr="00B56293">
        <w:rPr>
          <w:rFonts w:ascii="Arial Narrow" w:hAnsi="Arial Narrow"/>
          <w:b/>
          <w:i/>
          <w:lang w:val="bg-BG"/>
        </w:rPr>
        <w:t xml:space="preserve"> – 202</w:t>
      </w:r>
      <w:r>
        <w:rPr>
          <w:rFonts w:ascii="Arial Narrow" w:hAnsi="Arial Narrow"/>
          <w:b/>
          <w:i/>
          <w:lang w:val="bg-BG"/>
        </w:rPr>
        <w:t>4</w:t>
      </w:r>
      <w:r w:rsidRPr="00B56293">
        <w:rPr>
          <w:rFonts w:ascii="Arial Narrow" w:hAnsi="Arial Narrow"/>
          <w:b/>
          <w:i/>
          <w:lang w:val="bg-BG"/>
        </w:rPr>
        <w:t xml:space="preserve"> г., млн. лева</w:t>
      </w:r>
    </w:p>
    <w:p w14:paraId="5080DF5E" w14:textId="77777777" w:rsidR="00D63FE7" w:rsidRPr="008E7034" w:rsidRDefault="00D63FE7" w:rsidP="00D63FE7">
      <w:pPr>
        <w:spacing w:before="240" w:after="120"/>
        <w:jc w:val="center"/>
        <w:rPr>
          <w:rFonts w:ascii="Arial Narrow" w:hAnsi="Arial Narrow"/>
          <w:b/>
          <w:i/>
          <w:color w:val="FF0000"/>
          <w:lang w:val="bg-BG"/>
        </w:rPr>
      </w:pPr>
      <w:r w:rsidRPr="008E7034">
        <w:rPr>
          <w:noProof/>
          <w:color w:val="FF0000"/>
        </w:rPr>
        <w:t xml:space="preserve"> </w:t>
      </w:r>
      <w:r w:rsidR="00203146">
        <w:rPr>
          <w:noProof/>
        </w:rPr>
        <w:drawing>
          <wp:inline distT="0" distB="0" distL="0" distR="0" wp14:anchorId="436E61CA" wp14:editId="7CAA62AA">
            <wp:extent cx="5400000" cy="2880000"/>
            <wp:effectExtent l="0" t="0" r="0" b="0"/>
            <wp:docPr id="36" name="Chart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7B06039E" w14:textId="77777777" w:rsidR="00D63FE7" w:rsidRPr="00C52C52" w:rsidRDefault="00D63FE7" w:rsidP="00D63FE7">
      <w:pPr>
        <w:keepNext/>
        <w:spacing w:after="240"/>
        <w:ind w:firstLine="709"/>
        <w:rPr>
          <w:rFonts w:ascii="Arial Narrow" w:hAnsi="Arial Narrow"/>
          <w:i/>
          <w:sz w:val="18"/>
          <w:szCs w:val="18"/>
          <w:lang w:val="bg-BG"/>
        </w:rPr>
      </w:pPr>
      <w:r w:rsidRPr="00C52C52">
        <w:rPr>
          <w:rFonts w:ascii="Arial Narrow" w:hAnsi="Arial Narrow"/>
          <w:i/>
          <w:sz w:val="18"/>
          <w:szCs w:val="18"/>
          <w:lang w:val="bg-BG"/>
        </w:rPr>
        <w:t xml:space="preserve">Източник: </w:t>
      </w:r>
      <w:r w:rsidRPr="00C52C52">
        <w:rPr>
          <w:rFonts w:ascii="Arial Narrow" w:hAnsi="Arial Narrow"/>
          <w:sz w:val="18"/>
          <w:szCs w:val="18"/>
          <w:lang w:val="bg-BG"/>
        </w:rPr>
        <w:t>НСИ (</w:t>
      </w:r>
      <w:r w:rsidR="00203146">
        <w:rPr>
          <w:rFonts w:ascii="Arial Narrow" w:hAnsi="Arial Narrow"/>
          <w:sz w:val="18"/>
          <w:szCs w:val="18"/>
          <w:lang w:val="bg-BG"/>
        </w:rPr>
        <w:t>актуализирани</w:t>
      </w:r>
      <w:r w:rsidRPr="00C52C52">
        <w:rPr>
          <w:rFonts w:ascii="Arial Narrow" w:hAnsi="Arial Narrow"/>
          <w:sz w:val="18"/>
          <w:szCs w:val="18"/>
          <w:lang w:val="bg-BG"/>
        </w:rPr>
        <w:t xml:space="preserve"> данни за 2024 г.)</w:t>
      </w:r>
    </w:p>
    <w:p w14:paraId="30C5C8DF" w14:textId="77777777" w:rsidR="00D63FE7" w:rsidRPr="00B56293" w:rsidRDefault="00D63FE7" w:rsidP="00D63FE7">
      <w:pPr>
        <w:spacing w:after="120"/>
        <w:ind w:firstLine="708"/>
        <w:jc w:val="both"/>
        <w:rPr>
          <w:rFonts w:ascii="Arial Narrow" w:hAnsi="Arial Narrow"/>
          <w:b/>
          <w:i/>
          <w:u w:val="single"/>
          <w:lang w:val="bg-BG"/>
        </w:rPr>
      </w:pPr>
      <w:r w:rsidRPr="00B56293">
        <w:rPr>
          <w:rFonts w:ascii="Arial Narrow" w:hAnsi="Arial Narrow"/>
          <w:b/>
          <w:i/>
          <w:u w:val="single"/>
          <w:lang w:val="bg-BG"/>
        </w:rPr>
        <w:t>Инфлация</w:t>
      </w:r>
    </w:p>
    <w:p w14:paraId="2EB7F23F" w14:textId="77777777" w:rsidR="00D63FE7" w:rsidRDefault="00D63FE7" w:rsidP="00D63FE7">
      <w:pPr>
        <w:widowControl w:val="0"/>
        <w:spacing w:after="120"/>
        <w:ind w:firstLine="706"/>
        <w:jc w:val="both"/>
        <w:rPr>
          <w:rFonts w:ascii="Arial Narrow" w:hAnsi="Arial Narrow"/>
          <w:lang w:val="bg-BG"/>
        </w:rPr>
      </w:pPr>
      <w:r>
        <w:rPr>
          <w:rFonts w:ascii="Arial Narrow" w:hAnsi="Arial Narrow"/>
          <w:lang w:val="bg-BG"/>
        </w:rPr>
        <w:t>В рамките на 2024 г. се наблюдава успокояване на темпа на инфлация в страната. С</w:t>
      </w:r>
      <w:r w:rsidRPr="00774ACD">
        <w:rPr>
          <w:rFonts w:ascii="Arial Narrow" w:hAnsi="Arial Narrow"/>
          <w:lang w:val="bg-BG"/>
        </w:rPr>
        <w:t>редногодишната инфлация за 202</w:t>
      </w:r>
      <w:r>
        <w:rPr>
          <w:rFonts w:ascii="Arial Narrow" w:hAnsi="Arial Narrow"/>
          <w:lang w:val="bg-BG"/>
        </w:rPr>
        <w:t>4</w:t>
      </w:r>
      <w:r w:rsidRPr="00774ACD">
        <w:rPr>
          <w:rFonts w:ascii="Arial Narrow" w:hAnsi="Arial Narrow"/>
          <w:lang w:val="bg-BG"/>
        </w:rPr>
        <w:t xml:space="preserve"> г. е </w:t>
      </w:r>
      <w:r>
        <w:rPr>
          <w:rFonts w:ascii="Arial Narrow" w:hAnsi="Arial Narrow"/>
          <w:lang w:val="bg-BG"/>
        </w:rPr>
        <w:t>2,4</w:t>
      </w:r>
      <w:r w:rsidRPr="00774ACD">
        <w:rPr>
          <w:rFonts w:ascii="Arial Narrow" w:hAnsi="Arial Narrow"/>
          <w:lang w:val="bg-BG"/>
        </w:rPr>
        <w:t>%</w:t>
      </w:r>
      <w:r>
        <w:rPr>
          <w:rFonts w:ascii="Arial Narrow" w:hAnsi="Arial Narrow"/>
          <w:lang w:val="bg-BG"/>
        </w:rPr>
        <w:t>, като към м. декември годишната инфлация спрямо същия месец на предходната година е</w:t>
      </w:r>
      <w:r w:rsidRPr="00774ACD">
        <w:rPr>
          <w:rFonts w:ascii="Arial Narrow" w:hAnsi="Arial Narrow"/>
          <w:lang w:val="bg-BG"/>
        </w:rPr>
        <w:t xml:space="preserve"> </w:t>
      </w:r>
      <w:r>
        <w:rPr>
          <w:rFonts w:ascii="Arial Narrow" w:hAnsi="Arial Narrow"/>
          <w:lang w:val="bg-BG"/>
        </w:rPr>
        <w:t>2,2</w:t>
      </w:r>
      <w:r w:rsidRPr="00774ACD">
        <w:rPr>
          <w:rFonts w:ascii="Arial Narrow" w:hAnsi="Arial Narrow"/>
          <w:lang w:val="bg-BG"/>
        </w:rPr>
        <w:t>%. Към м. декември 202</w:t>
      </w:r>
      <w:r>
        <w:rPr>
          <w:rFonts w:ascii="Arial Narrow" w:hAnsi="Arial Narrow"/>
          <w:lang w:val="bg-BG"/>
        </w:rPr>
        <w:t>4</w:t>
      </w:r>
      <w:r w:rsidRPr="00774ACD">
        <w:rPr>
          <w:rFonts w:ascii="Arial Narrow" w:hAnsi="Arial Narrow"/>
          <w:lang w:val="bg-BG"/>
        </w:rPr>
        <w:t xml:space="preserve"> г. цените на хранителните стоки </w:t>
      </w:r>
      <w:r>
        <w:rPr>
          <w:rFonts w:ascii="Arial Narrow" w:hAnsi="Arial Narrow"/>
          <w:lang w:val="bg-BG"/>
        </w:rPr>
        <w:t>нарастват</w:t>
      </w:r>
      <w:r w:rsidRPr="00774ACD">
        <w:rPr>
          <w:rFonts w:ascii="Arial Narrow" w:hAnsi="Arial Narrow"/>
          <w:lang w:val="bg-BG"/>
        </w:rPr>
        <w:t xml:space="preserve"> с </w:t>
      </w:r>
      <w:r>
        <w:rPr>
          <w:rFonts w:ascii="Arial Narrow" w:hAnsi="Arial Narrow"/>
          <w:lang w:val="bg-BG"/>
        </w:rPr>
        <w:t>2,7</w:t>
      </w:r>
      <w:r w:rsidRPr="00774ACD">
        <w:rPr>
          <w:rFonts w:ascii="Arial Narrow" w:hAnsi="Arial Narrow"/>
          <w:lang w:val="bg-BG"/>
        </w:rPr>
        <w:t xml:space="preserve">% </w:t>
      </w:r>
      <w:r>
        <w:rPr>
          <w:rFonts w:ascii="Arial Narrow" w:hAnsi="Arial Narrow"/>
          <w:lang w:val="bg-BG"/>
        </w:rPr>
        <w:t>на годишна база</w:t>
      </w:r>
      <w:r w:rsidRPr="00774ACD">
        <w:rPr>
          <w:rFonts w:ascii="Arial Narrow" w:hAnsi="Arial Narrow"/>
          <w:lang w:val="bg-BG"/>
        </w:rPr>
        <w:t xml:space="preserve">, на общественото хранене – </w:t>
      </w:r>
      <w:r>
        <w:rPr>
          <w:rFonts w:ascii="Arial Narrow" w:hAnsi="Arial Narrow"/>
          <w:lang w:val="bg-BG"/>
        </w:rPr>
        <w:t xml:space="preserve">със 7,3%, а на услугите – с 4,5%. Същевременно при цените </w:t>
      </w:r>
      <w:r w:rsidRPr="00774ACD">
        <w:rPr>
          <w:rFonts w:ascii="Arial Narrow" w:hAnsi="Arial Narrow"/>
          <w:lang w:val="bg-BG"/>
        </w:rPr>
        <w:t xml:space="preserve">на нехранителните стоки </w:t>
      </w:r>
      <w:r>
        <w:rPr>
          <w:rFonts w:ascii="Arial Narrow" w:hAnsi="Arial Narrow"/>
          <w:lang w:val="bg-BG"/>
        </w:rPr>
        <w:t>се отчита намаление с 0,7</w:t>
      </w:r>
      <w:r w:rsidRPr="00774ACD">
        <w:rPr>
          <w:rFonts w:ascii="Arial Narrow" w:hAnsi="Arial Narrow"/>
          <w:lang w:val="bg-BG"/>
        </w:rPr>
        <w:t>%</w:t>
      </w:r>
      <w:r>
        <w:rPr>
          <w:rFonts w:ascii="Arial Narrow" w:hAnsi="Arial Narrow"/>
          <w:lang w:val="bg-BG"/>
        </w:rPr>
        <w:t>.</w:t>
      </w:r>
    </w:p>
    <w:p w14:paraId="61D52F8E" w14:textId="77777777" w:rsidR="00D63FE7" w:rsidRPr="00B56293" w:rsidRDefault="00D63FE7" w:rsidP="00CD44F3">
      <w:pPr>
        <w:keepLines/>
        <w:spacing w:before="240" w:after="120"/>
        <w:jc w:val="center"/>
        <w:rPr>
          <w:rFonts w:ascii="Arial Narrow" w:hAnsi="Arial Narrow"/>
          <w:b/>
          <w:i/>
          <w:lang w:val="bg-BG"/>
        </w:rPr>
      </w:pPr>
      <w:r w:rsidRPr="00B56293">
        <w:rPr>
          <w:rFonts w:ascii="Arial Narrow" w:hAnsi="Arial Narrow"/>
          <w:b/>
          <w:i/>
          <w:lang w:val="bg-BG"/>
        </w:rPr>
        <w:t>Фигура І.4. Инфлация, 20</w:t>
      </w:r>
      <w:r>
        <w:rPr>
          <w:rFonts w:ascii="Arial Narrow" w:hAnsi="Arial Narrow"/>
          <w:b/>
          <w:i/>
          <w:lang w:val="bg-BG"/>
        </w:rPr>
        <w:t>20</w:t>
      </w:r>
      <w:r w:rsidRPr="00B56293">
        <w:rPr>
          <w:rFonts w:ascii="Arial Narrow" w:hAnsi="Arial Narrow"/>
          <w:b/>
          <w:i/>
          <w:lang w:val="bg-BG"/>
        </w:rPr>
        <w:t xml:space="preserve"> – 202</w:t>
      </w:r>
      <w:r>
        <w:rPr>
          <w:rFonts w:ascii="Arial Narrow" w:hAnsi="Arial Narrow"/>
          <w:b/>
          <w:i/>
          <w:lang w:val="bg-BG"/>
        </w:rPr>
        <w:t>4</w:t>
      </w:r>
      <w:r w:rsidRPr="00B56293">
        <w:rPr>
          <w:rFonts w:ascii="Arial Narrow" w:hAnsi="Arial Narrow"/>
          <w:b/>
          <w:i/>
          <w:lang w:val="bg-BG"/>
        </w:rPr>
        <w:t xml:space="preserve"> г., %</w:t>
      </w:r>
    </w:p>
    <w:p w14:paraId="4A8E3E2A" w14:textId="77777777" w:rsidR="00D63FE7" w:rsidRPr="008E7034" w:rsidRDefault="00D63FE7" w:rsidP="00CD44F3">
      <w:pPr>
        <w:keepNext/>
        <w:keepLines/>
        <w:spacing w:before="240" w:after="120"/>
        <w:jc w:val="center"/>
        <w:rPr>
          <w:rFonts w:ascii="Arial Narrow" w:hAnsi="Arial Narrow"/>
          <w:b/>
          <w:i/>
          <w:color w:val="FF0000"/>
          <w:lang w:val="bg-BG"/>
        </w:rPr>
      </w:pPr>
      <w:r w:rsidRPr="008E7034">
        <w:rPr>
          <w:noProof/>
          <w:color w:val="FF0000"/>
        </w:rPr>
        <w:t xml:space="preserve"> </w:t>
      </w:r>
      <w:r w:rsidRPr="00274485">
        <w:rPr>
          <w:noProof/>
        </w:rPr>
        <w:t xml:space="preserve"> </w:t>
      </w:r>
      <w:r>
        <w:rPr>
          <w:noProof/>
        </w:rPr>
        <w:drawing>
          <wp:inline distT="0" distB="0" distL="0" distR="0" wp14:anchorId="2F97FD42" wp14:editId="74DB9D39">
            <wp:extent cx="5400000" cy="2952000"/>
            <wp:effectExtent l="0" t="0" r="0" b="1270"/>
            <wp:docPr id="35" name="Chart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4DF3BA75" w14:textId="77777777" w:rsidR="00D63FE7" w:rsidRPr="00FA35EC" w:rsidRDefault="00D63FE7" w:rsidP="00CD44F3">
      <w:pPr>
        <w:keepLines/>
        <w:spacing w:after="240"/>
        <w:ind w:firstLine="709"/>
        <w:jc w:val="both"/>
        <w:rPr>
          <w:rFonts w:ascii="Arial Narrow" w:hAnsi="Arial Narrow"/>
          <w:sz w:val="18"/>
          <w:szCs w:val="18"/>
          <w:lang w:val="bg-BG"/>
        </w:rPr>
      </w:pPr>
      <w:r w:rsidRPr="00C52C52">
        <w:rPr>
          <w:rFonts w:ascii="Arial Narrow" w:hAnsi="Arial Narrow"/>
          <w:i/>
          <w:sz w:val="18"/>
          <w:szCs w:val="18"/>
          <w:lang w:val="bg-BG"/>
        </w:rPr>
        <w:t>Източник</w:t>
      </w:r>
      <w:r w:rsidRPr="00D63FE7">
        <w:rPr>
          <w:rFonts w:ascii="Arial Narrow" w:hAnsi="Arial Narrow"/>
          <w:b/>
          <w:i/>
          <w:sz w:val="18"/>
          <w:szCs w:val="18"/>
          <w:lang w:val="bg-BG"/>
        </w:rPr>
        <w:t>:</w:t>
      </w:r>
      <w:r w:rsidRPr="00FA35EC">
        <w:rPr>
          <w:rFonts w:ascii="Arial Narrow" w:hAnsi="Arial Narrow"/>
          <w:i/>
          <w:sz w:val="18"/>
          <w:szCs w:val="18"/>
          <w:lang w:val="bg-BG"/>
        </w:rPr>
        <w:t xml:space="preserve"> </w:t>
      </w:r>
      <w:r w:rsidRPr="00FA35EC">
        <w:rPr>
          <w:rFonts w:ascii="Arial Narrow" w:hAnsi="Arial Narrow"/>
          <w:sz w:val="18"/>
          <w:szCs w:val="18"/>
          <w:lang w:val="bg-BG"/>
        </w:rPr>
        <w:t>НСИ</w:t>
      </w:r>
    </w:p>
    <w:p w14:paraId="1A44F53F" w14:textId="77777777" w:rsidR="00D63FE7" w:rsidRPr="000E57AD" w:rsidRDefault="00D63FE7" w:rsidP="00D63FE7">
      <w:pPr>
        <w:keepNext/>
        <w:spacing w:after="120"/>
        <w:ind w:firstLine="709"/>
        <w:jc w:val="both"/>
        <w:rPr>
          <w:rFonts w:ascii="Arial Narrow" w:hAnsi="Arial Narrow"/>
          <w:b/>
          <w:i/>
          <w:u w:val="single"/>
          <w:lang w:val="bg-BG"/>
        </w:rPr>
      </w:pPr>
      <w:r w:rsidRPr="000E57AD">
        <w:rPr>
          <w:rFonts w:ascii="Arial Narrow" w:hAnsi="Arial Narrow"/>
          <w:b/>
          <w:i/>
          <w:u w:val="single"/>
          <w:lang w:val="bg-BG"/>
        </w:rPr>
        <w:lastRenderedPageBreak/>
        <w:t>Заетост и безработица</w:t>
      </w:r>
    </w:p>
    <w:p w14:paraId="62812416" w14:textId="77777777" w:rsidR="00D63FE7" w:rsidRPr="00E12D06" w:rsidRDefault="00D63FE7" w:rsidP="00D63FE7">
      <w:pPr>
        <w:keepNext/>
        <w:spacing w:after="120"/>
        <w:ind w:firstLine="708"/>
        <w:jc w:val="both"/>
        <w:rPr>
          <w:rFonts w:ascii="Arial Narrow" w:hAnsi="Arial Narrow"/>
          <w:bCs/>
          <w:lang w:val="bg-BG"/>
        </w:rPr>
      </w:pPr>
      <w:r w:rsidRPr="00E12D06">
        <w:rPr>
          <w:rFonts w:ascii="Arial Narrow" w:hAnsi="Arial Narrow"/>
          <w:bCs/>
          <w:lang w:val="bg-BG"/>
        </w:rPr>
        <w:t>По данни на НСИ, през 202</w:t>
      </w:r>
      <w:r w:rsidRPr="009F605C">
        <w:rPr>
          <w:rFonts w:ascii="Arial Narrow" w:hAnsi="Arial Narrow"/>
          <w:bCs/>
        </w:rPr>
        <w:t>4</w:t>
      </w:r>
      <w:r w:rsidRPr="00E12D06">
        <w:rPr>
          <w:rFonts w:ascii="Arial Narrow" w:hAnsi="Arial Narrow"/>
          <w:bCs/>
          <w:lang w:val="bg-BG"/>
        </w:rPr>
        <w:t xml:space="preserve"> г. общият брой на заетите лица на 15 и повече навършени години в страната e 2 93</w:t>
      </w:r>
      <w:r w:rsidRPr="009F605C">
        <w:rPr>
          <w:rFonts w:ascii="Arial Narrow" w:hAnsi="Arial Narrow"/>
          <w:bCs/>
          <w:lang w:val="bg-BG"/>
        </w:rPr>
        <w:t>2</w:t>
      </w:r>
      <w:r w:rsidRPr="00E12D06">
        <w:rPr>
          <w:rFonts w:ascii="Arial Narrow" w:hAnsi="Arial Narrow"/>
          <w:bCs/>
          <w:lang w:val="bg-BG"/>
        </w:rPr>
        <w:t xml:space="preserve">,9 хиляди, с </w:t>
      </w:r>
      <w:r w:rsidRPr="009F605C">
        <w:rPr>
          <w:rFonts w:ascii="Arial Narrow" w:hAnsi="Arial Narrow"/>
          <w:bCs/>
          <w:lang w:val="bg-BG"/>
        </w:rPr>
        <w:t>хиляда броя повече</w:t>
      </w:r>
      <w:r w:rsidRPr="00E12D06">
        <w:rPr>
          <w:rFonts w:ascii="Arial Narrow" w:hAnsi="Arial Narrow"/>
          <w:bCs/>
          <w:lang w:val="bg-BG"/>
        </w:rPr>
        <w:t xml:space="preserve"> в сравнение с предходната година. Броят на заетите лица в сектор селско, горско и рибно стопанство намалява с </w:t>
      </w:r>
      <w:r w:rsidRPr="009F605C">
        <w:rPr>
          <w:rFonts w:ascii="Arial Narrow" w:hAnsi="Arial Narrow"/>
          <w:bCs/>
          <w:lang w:val="bg-BG"/>
        </w:rPr>
        <w:t>14,7</w:t>
      </w:r>
      <w:r w:rsidRPr="00E12D06">
        <w:rPr>
          <w:rFonts w:ascii="Arial Narrow" w:hAnsi="Arial Narrow"/>
          <w:bCs/>
          <w:lang w:val="bg-BG"/>
        </w:rPr>
        <w:t xml:space="preserve">% на годишна база, до </w:t>
      </w:r>
      <w:r w:rsidRPr="009F605C">
        <w:rPr>
          <w:rFonts w:ascii="Arial Narrow" w:hAnsi="Arial Narrow"/>
          <w:bCs/>
          <w:lang w:val="bg-BG"/>
        </w:rPr>
        <w:t>141,9</w:t>
      </w:r>
      <w:r w:rsidRPr="00E12D06">
        <w:rPr>
          <w:rFonts w:ascii="Arial Narrow" w:hAnsi="Arial Narrow"/>
          <w:bCs/>
          <w:lang w:val="bg-BG"/>
        </w:rPr>
        <w:t xml:space="preserve"> хиляди, което води до </w:t>
      </w:r>
      <w:r w:rsidRPr="009F605C">
        <w:rPr>
          <w:rFonts w:ascii="Arial Narrow" w:hAnsi="Arial Narrow"/>
          <w:bCs/>
          <w:lang w:val="bg-BG"/>
        </w:rPr>
        <w:t>свиване</w:t>
      </w:r>
      <w:r w:rsidRPr="00E12D06">
        <w:rPr>
          <w:rFonts w:ascii="Arial Narrow" w:hAnsi="Arial Narrow"/>
          <w:bCs/>
          <w:lang w:val="bg-BG"/>
        </w:rPr>
        <w:t xml:space="preserve"> на относителния дял на сектора в структурата на заетостта по икономически дейности до </w:t>
      </w:r>
      <w:r w:rsidRPr="009F605C">
        <w:rPr>
          <w:rFonts w:ascii="Arial Narrow" w:hAnsi="Arial Narrow"/>
          <w:bCs/>
          <w:lang w:val="bg-BG"/>
        </w:rPr>
        <w:t>4,8</w:t>
      </w:r>
      <w:r w:rsidRPr="00E12D06">
        <w:rPr>
          <w:rFonts w:ascii="Arial Narrow" w:hAnsi="Arial Narrow"/>
          <w:bCs/>
          <w:lang w:val="bg-BG"/>
        </w:rPr>
        <w:t xml:space="preserve">%. </w:t>
      </w:r>
    </w:p>
    <w:p w14:paraId="0F5254A9" w14:textId="77777777" w:rsidR="00D63FE7" w:rsidRPr="000E57AD" w:rsidRDefault="00D63FE7" w:rsidP="00D63FE7">
      <w:pPr>
        <w:keepNext/>
        <w:spacing w:after="120"/>
        <w:ind w:firstLine="708"/>
        <w:jc w:val="both"/>
        <w:rPr>
          <w:rFonts w:ascii="Arial Narrow" w:hAnsi="Arial Narrow"/>
          <w:bCs/>
          <w:lang w:val="bg-BG"/>
        </w:rPr>
      </w:pPr>
      <w:r w:rsidRPr="009F605C">
        <w:rPr>
          <w:rFonts w:ascii="Arial Narrow" w:hAnsi="Arial Narrow"/>
          <w:bCs/>
          <w:lang w:val="bg-BG"/>
        </w:rPr>
        <w:t>През 2024 г.</w:t>
      </w:r>
      <w:r w:rsidRPr="000E57AD">
        <w:rPr>
          <w:rFonts w:ascii="Arial Narrow" w:hAnsi="Arial Narrow"/>
          <w:bCs/>
          <w:lang w:val="bg-BG"/>
        </w:rPr>
        <w:t xml:space="preserve"> безработните лица </w:t>
      </w:r>
      <w:r w:rsidRPr="009F605C">
        <w:rPr>
          <w:rFonts w:ascii="Arial Narrow" w:hAnsi="Arial Narrow"/>
          <w:bCs/>
          <w:lang w:val="bg-BG"/>
        </w:rPr>
        <w:t>са</w:t>
      </w:r>
      <w:r w:rsidRPr="000E57AD">
        <w:rPr>
          <w:rFonts w:ascii="Arial Narrow" w:hAnsi="Arial Narrow"/>
          <w:bCs/>
          <w:lang w:val="bg-BG"/>
        </w:rPr>
        <w:t xml:space="preserve"> </w:t>
      </w:r>
      <w:r w:rsidRPr="009F605C">
        <w:rPr>
          <w:rFonts w:ascii="Arial Narrow" w:hAnsi="Arial Narrow"/>
          <w:bCs/>
          <w:lang w:val="bg-BG"/>
        </w:rPr>
        <w:t>127</w:t>
      </w:r>
      <w:r w:rsidRPr="000E57AD">
        <w:rPr>
          <w:rFonts w:ascii="Arial Narrow" w:hAnsi="Arial Narrow"/>
          <w:bCs/>
          <w:lang w:val="bg-BG"/>
        </w:rPr>
        <w:t>,4 хиляди, а коефициентът на безработица – 4,</w:t>
      </w:r>
      <w:r w:rsidRPr="009F605C">
        <w:rPr>
          <w:rFonts w:ascii="Arial Narrow" w:hAnsi="Arial Narrow"/>
          <w:bCs/>
          <w:lang w:val="bg-BG"/>
        </w:rPr>
        <w:t>2</w:t>
      </w:r>
      <w:r w:rsidRPr="000E57AD">
        <w:rPr>
          <w:rFonts w:ascii="Arial Narrow" w:hAnsi="Arial Narrow"/>
          <w:bCs/>
          <w:lang w:val="bg-BG"/>
        </w:rPr>
        <w:t>%, с 0,</w:t>
      </w:r>
      <w:r w:rsidRPr="009F605C">
        <w:rPr>
          <w:rFonts w:ascii="Arial Narrow" w:hAnsi="Arial Narrow"/>
          <w:bCs/>
          <w:lang w:val="bg-BG"/>
        </w:rPr>
        <w:t>1</w:t>
      </w:r>
      <w:r w:rsidRPr="000E57AD">
        <w:rPr>
          <w:rFonts w:ascii="Arial Narrow" w:hAnsi="Arial Narrow"/>
          <w:bCs/>
          <w:lang w:val="bg-BG"/>
        </w:rPr>
        <w:t xml:space="preserve"> процентни пункта </w:t>
      </w:r>
      <w:r w:rsidRPr="009F605C">
        <w:rPr>
          <w:rFonts w:ascii="Arial Narrow" w:hAnsi="Arial Narrow"/>
          <w:bCs/>
          <w:lang w:val="bg-BG"/>
        </w:rPr>
        <w:t xml:space="preserve">по-нисък </w:t>
      </w:r>
      <w:r w:rsidRPr="000E57AD">
        <w:rPr>
          <w:rFonts w:ascii="Arial Narrow" w:hAnsi="Arial Narrow"/>
          <w:bCs/>
          <w:lang w:val="bg-BG"/>
        </w:rPr>
        <w:t xml:space="preserve">спрямо </w:t>
      </w:r>
      <w:r w:rsidRPr="009F605C">
        <w:rPr>
          <w:rFonts w:ascii="Arial Narrow" w:hAnsi="Arial Narrow"/>
          <w:bCs/>
          <w:lang w:val="bg-BG"/>
        </w:rPr>
        <w:t xml:space="preserve">отчетения за </w:t>
      </w:r>
      <w:r w:rsidRPr="000E57AD">
        <w:rPr>
          <w:rFonts w:ascii="Arial Narrow" w:hAnsi="Arial Narrow"/>
          <w:bCs/>
          <w:lang w:val="bg-BG"/>
        </w:rPr>
        <w:t>202</w:t>
      </w:r>
      <w:r w:rsidRPr="009F605C">
        <w:rPr>
          <w:rFonts w:ascii="Arial Narrow" w:hAnsi="Arial Narrow"/>
          <w:bCs/>
          <w:lang w:val="bg-BG"/>
        </w:rPr>
        <w:t>3</w:t>
      </w:r>
      <w:r w:rsidRPr="000E57AD">
        <w:rPr>
          <w:rFonts w:ascii="Arial Narrow" w:hAnsi="Arial Narrow"/>
          <w:bCs/>
          <w:lang w:val="bg-BG"/>
        </w:rPr>
        <w:t xml:space="preserve"> г.</w:t>
      </w:r>
    </w:p>
    <w:p w14:paraId="648683C0" w14:textId="77777777" w:rsidR="00D63FE7" w:rsidRPr="00774ACD" w:rsidRDefault="00D63FE7" w:rsidP="00D63FE7">
      <w:pPr>
        <w:keepNext/>
        <w:spacing w:after="120"/>
        <w:ind w:firstLine="708"/>
        <w:jc w:val="both"/>
        <w:rPr>
          <w:rFonts w:ascii="Arial Narrow" w:hAnsi="Arial Narrow"/>
          <w:bCs/>
          <w:lang w:val="bg-BG"/>
        </w:rPr>
      </w:pPr>
      <w:r w:rsidRPr="000E57AD">
        <w:rPr>
          <w:rFonts w:ascii="Arial Narrow" w:hAnsi="Arial Narrow"/>
          <w:bCs/>
          <w:lang w:val="bg-BG"/>
        </w:rPr>
        <w:t>По предварителни данни на НСИ, през 202</w:t>
      </w:r>
      <w:r w:rsidRPr="009F605C">
        <w:rPr>
          <w:rFonts w:ascii="Arial Narrow" w:hAnsi="Arial Narrow"/>
          <w:bCs/>
          <w:lang w:val="bg-BG"/>
        </w:rPr>
        <w:t>4</w:t>
      </w:r>
      <w:r w:rsidRPr="000E57AD">
        <w:rPr>
          <w:rFonts w:ascii="Arial Narrow" w:hAnsi="Arial Narrow"/>
          <w:bCs/>
          <w:lang w:val="bg-BG"/>
        </w:rPr>
        <w:t xml:space="preserve"> г. средната годишна работна заплата на наетите по трудово и служебно правоотношение е </w:t>
      </w:r>
      <w:r w:rsidRPr="009F605C">
        <w:rPr>
          <w:rFonts w:ascii="Arial Narrow" w:hAnsi="Arial Narrow"/>
          <w:bCs/>
          <w:lang w:val="bg-BG"/>
        </w:rPr>
        <w:t>27 881</w:t>
      </w:r>
      <w:r w:rsidRPr="000E57AD">
        <w:rPr>
          <w:rFonts w:ascii="Arial Narrow" w:hAnsi="Arial Narrow"/>
          <w:bCs/>
          <w:lang w:val="bg-BG"/>
        </w:rPr>
        <w:t xml:space="preserve"> лева, което е с </w:t>
      </w:r>
      <w:r w:rsidRPr="009F605C">
        <w:rPr>
          <w:rFonts w:ascii="Arial Narrow" w:hAnsi="Arial Narrow"/>
          <w:bCs/>
          <w:lang w:val="bg-BG"/>
        </w:rPr>
        <w:t>3 396</w:t>
      </w:r>
      <w:r w:rsidRPr="000E57AD">
        <w:rPr>
          <w:rFonts w:ascii="Arial Narrow" w:hAnsi="Arial Narrow"/>
          <w:bCs/>
          <w:lang w:val="bg-BG"/>
        </w:rPr>
        <w:t xml:space="preserve"> лева или 13,</w:t>
      </w:r>
      <w:r w:rsidRPr="009F605C">
        <w:rPr>
          <w:rFonts w:ascii="Arial Narrow" w:hAnsi="Arial Narrow"/>
          <w:bCs/>
          <w:lang w:val="bg-BG"/>
        </w:rPr>
        <w:t>9</w:t>
      </w:r>
      <w:r w:rsidRPr="000E57AD">
        <w:rPr>
          <w:rFonts w:ascii="Arial Narrow" w:hAnsi="Arial Narrow"/>
          <w:bCs/>
          <w:lang w:val="bg-BG"/>
        </w:rPr>
        <w:t>% повече спрямо предходната година. В сектор селско, горско и рибно стопанство е налице малко по-слабо увеличение на годишна база - с 11</w:t>
      </w:r>
      <w:r w:rsidRPr="009F605C">
        <w:rPr>
          <w:rFonts w:ascii="Arial Narrow" w:hAnsi="Arial Narrow"/>
          <w:bCs/>
          <w:lang w:val="bg-BG"/>
        </w:rPr>
        <w:t>,5</w:t>
      </w:r>
      <w:r w:rsidRPr="000E57AD">
        <w:rPr>
          <w:rFonts w:ascii="Arial Narrow" w:hAnsi="Arial Narrow"/>
          <w:bCs/>
          <w:lang w:val="bg-BG"/>
        </w:rPr>
        <w:t xml:space="preserve">%, до средно </w:t>
      </w:r>
      <w:r w:rsidRPr="009F605C">
        <w:rPr>
          <w:rFonts w:ascii="Arial Narrow" w:hAnsi="Arial Narrow"/>
          <w:bCs/>
          <w:lang w:val="bg-BG"/>
        </w:rPr>
        <w:t>19 628</w:t>
      </w:r>
      <w:r w:rsidRPr="000E57AD">
        <w:rPr>
          <w:rFonts w:ascii="Arial Narrow" w:hAnsi="Arial Narrow"/>
          <w:bCs/>
          <w:lang w:val="bg-BG"/>
        </w:rPr>
        <w:t xml:space="preserve"> лева на лице.</w:t>
      </w:r>
    </w:p>
    <w:p w14:paraId="17794AF9" w14:textId="77777777" w:rsidR="00D63FE7" w:rsidRPr="00774ACD" w:rsidRDefault="00D63FE7" w:rsidP="00D63FE7">
      <w:pPr>
        <w:spacing w:after="120"/>
        <w:ind w:firstLine="709"/>
        <w:jc w:val="both"/>
        <w:rPr>
          <w:rFonts w:ascii="Arial Narrow" w:hAnsi="Arial Narrow"/>
          <w:b/>
          <w:i/>
          <w:u w:val="single"/>
          <w:lang w:val="bg-BG"/>
        </w:rPr>
      </w:pPr>
      <w:r w:rsidRPr="00774ACD">
        <w:rPr>
          <w:rFonts w:ascii="Arial Narrow" w:hAnsi="Arial Narrow"/>
          <w:b/>
          <w:i/>
          <w:u w:val="single"/>
          <w:lang w:val="bg-BG"/>
        </w:rPr>
        <w:t>Износ и внос</w:t>
      </w:r>
    </w:p>
    <w:p w14:paraId="233DED5A" w14:textId="77777777" w:rsidR="00D63FE7" w:rsidRPr="00774ACD" w:rsidRDefault="00D63FE7" w:rsidP="00D63FE7">
      <w:pPr>
        <w:widowControl w:val="0"/>
        <w:spacing w:after="120"/>
        <w:ind w:firstLine="706"/>
        <w:jc w:val="both"/>
        <w:rPr>
          <w:rFonts w:ascii="Arial Narrow" w:hAnsi="Arial Narrow"/>
          <w:lang w:val="bg-BG"/>
        </w:rPr>
      </w:pPr>
      <w:r w:rsidRPr="00774ACD">
        <w:rPr>
          <w:rFonts w:ascii="Arial Narrow" w:hAnsi="Arial Narrow"/>
          <w:lang w:val="bg-BG"/>
        </w:rPr>
        <w:t>Според предварителни данни на БНБ за платежния баланс, през 202</w:t>
      </w:r>
      <w:r>
        <w:rPr>
          <w:rFonts w:ascii="Arial Narrow" w:hAnsi="Arial Narrow"/>
          <w:lang w:val="bg-BG"/>
        </w:rPr>
        <w:t>4</w:t>
      </w:r>
      <w:r w:rsidRPr="00774ACD">
        <w:rPr>
          <w:rFonts w:ascii="Arial Narrow" w:hAnsi="Arial Narrow"/>
          <w:lang w:val="bg-BG"/>
        </w:rPr>
        <w:t xml:space="preserve"> г. износът на България възлиза на </w:t>
      </w:r>
      <w:r>
        <w:rPr>
          <w:rFonts w:ascii="Arial Narrow" w:hAnsi="Arial Narrow"/>
          <w:lang w:val="bg-BG"/>
        </w:rPr>
        <w:t>8</w:t>
      </w:r>
      <w:r w:rsidR="00203146">
        <w:rPr>
          <w:rFonts w:ascii="Arial Narrow" w:hAnsi="Arial Narrow"/>
          <w:lang w:val="bg-BG"/>
        </w:rPr>
        <w:t>5</w:t>
      </w:r>
      <w:r>
        <w:rPr>
          <w:rFonts w:ascii="Arial Narrow" w:hAnsi="Arial Narrow"/>
          <w:lang w:val="bg-BG"/>
        </w:rPr>
        <w:t xml:space="preserve"> </w:t>
      </w:r>
      <w:r w:rsidR="00203146">
        <w:rPr>
          <w:rFonts w:ascii="Arial Narrow" w:hAnsi="Arial Narrow"/>
          <w:lang w:val="bg-BG"/>
        </w:rPr>
        <w:t>554</w:t>
      </w:r>
      <w:r w:rsidRPr="00774ACD">
        <w:rPr>
          <w:rFonts w:ascii="Arial Narrow" w:hAnsi="Arial Narrow"/>
          <w:lang w:val="bg-BG"/>
        </w:rPr>
        <w:t xml:space="preserve"> млн. лева (</w:t>
      </w:r>
      <w:r>
        <w:rPr>
          <w:rFonts w:ascii="Arial Narrow" w:hAnsi="Arial Narrow"/>
          <w:lang w:val="bg-BG"/>
        </w:rPr>
        <w:t>4</w:t>
      </w:r>
      <w:r w:rsidR="00203146">
        <w:rPr>
          <w:rFonts w:ascii="Arial Narrow" w:hAnsi="Arial Narrow"/>
          <w:lang w:val="bg-BG"/>
        </w:rPr>
        <w:t>3 743</w:t>
      </w:r>
      <w:r w:rsidRPr="00774ACD">
        <w:rPr>
          <w:rFonts w:ascii="Arial Narrow" w:hAnsi="Arial Narrow"/>
          <w:lang w:val="bg-BG"/>
        </w:rPr>
        <w:t xml:space="preserve"> млн. евро) - </w:t>
      </w:r>
      <w:r>
        <w:rPr>
          <w:rFonts w:ascii="Arial Narrow" w:hAnsi="Arial Narrow"/>
          <w:lang w:val="bg-BG"/>
        </w:rPr>
        <w:t>с</w:t>
      </w:r>
      <w:r w:rsidRPr="00774ACD">
        <w:rPr>
          <w:rFonts w:ascii="Arial Narrow" w:hAnsi="Arial Narrow"/>
          <w:lang w:val="bg-BG"/>
        </w:rPr>
        <w:t xml:space="preserve"> </w:t>
      </w:r>
      <w:r w:rsidR="00203146">
        <w:rPr>
          <w:rFonts w:ascii="Arial Narrow" w:hAnsi="Arial Narrow"/>
          <w:lang w:val="bg-BG"/>
        </w:rPr>
        <w:t>0,5</w:t>
      </w:r>
      <w:r w:rsidRPr="00774ACD">
        <w:rPr>
          <w:rFonts w:ascii="Arial Narrow" w:hAnsi="Arial Narrow"/>
          <w:lang w:val="bg-BG"/>
        </w:rPr>
        <w:t xml:space="preserve">% </w:t>
      </w:r>
      <w:r w:rsidR="00203146">
        <w:rPr>
          <w:rFonts w:ascii="Arial Narrow" w:hAnsi="Arial Narrow"/>
          <w:lang w:val="bg-BG"/>
        </w:rPr>
        <w:t>над</w:t>
      </w:r>
      <w:r w:rsidR="00203146" w:rsidRPr="00774ACD">
        <w:rPr>
          <w:rFonts w:ascii="Arial Narrow" w:hAnsi="Arial Narrow"/>
          <w:lang w:val="bg-BG"/>
        </w:rPr>
        <w:t xml:space="preserve"> </w:t>
      </w:r>
      <w:r w:rsidRPr="00774ACD">
        <w:rPr>
          <w:rFonts w:ascii="Arial Narrow" w:hAnsi="Arial Narrow"/>
          <w:lang w:val="bg-BG"/>
        </w:rPr>
        <w:t xml:space="preserve">нивото от предходната година, като представлява </w:t>
      </w:r>
      <w:r>
        <w:rPr>
          <w:rFonts w:ascii="Arial Narrow" w:hAnsi="Arial Narrow"/>
          <w:lang w:val="bg-BG"/>
        </w:rPr>
        <w:t>41</w:t>
      </w:r>
      <w:r w:rsidR="00203146">
        <w:rPr>
          <w:rFonts w:ascii="Arial Narrow" w:hAnsi="Arial Narrow"/>
          <w:lang w:val="bg-BG"/>
        </w:rPr>
        <w:t>,8</w:t>
      </w:r>
      <w:r w:rsidRPr="00774ACD">
        <w:rPr>
          <w:rFonts w:ascii="Arial Narrow" w:hAnsi="Arial Narrow"/>
          <w:lang w:val="bg-BG"/>
        </w:rPr>
        <w:t xml:space="preserve">% от БВП на страната. При вноса се отчита </w:t>
      </w:r>
      <w:r>
        <w:rPr>
          <w:rFonts w:ascii="Arial Narrow" w:hAnsi="Arial Narrow"/>
          <w:lang w:val="bg-BG"/>
        </w:rPr>
        <w:t>увеличение</w:t>
      </w:r>
      <w:r w:rsidRPr="00774ACD">
        <w:rPr>
          <w:rFonts w:ascii="Arial Narrow" w:hAnsi="Arial Narrow"/>
          <w:lang w:val="bg-BG"/>
        </w:rPr>
        <w:t xml:space="preserve"> с </w:t>
      </w:r>
      <w:r w:rsidR="00203146">
        <w:rPr>
          <w:rFonts w:ascii="Arial Narrow" w:hAnsi="Arial Narrow"/>
          <w:lang w:val="bg-BG"/>
        </w:rPr>
        <w:t>2,8</w:t>
      </w:r>
      <w:r w:rsidRPr="00774ACD">
        <w:rPr>
          <w:rFonts w:ascii="Arial Narrow" w:hAnsi="Arial Narrow"/>
          <w:lang w:val="bg-BG"/>
        </w:rPr>
        <w:t>%</w:t>
      </w:r>
      <w:r>
        <w:rPr>
          <w:rFonts w:ascii="Arial Narrow" w:hAnsi="Arial Narrow"/>
          <w:lang w:val="bg-BG"/>
        </w:rPr>
        <w:t xml:space="preserve"> на годишна база</w:t>
      </w:r>
      <w:r w:rsidRPr="00774ACD">
        <w:rPr>
          <w:rFonts w:ascii="Arial Narrow" w:hAnsi="Arial Narrow"/>
          <w:lang w:val="bg-BG"/>
        </w:rPr>
        <w:t xml:space="preserve">, до </w:t>
      </w:r>
      <w:r>
        <w:rPr>
          <w:rFonts w:ascii="Arial Narrow" w:hAnsi="Arial Narrow"/>
          <w:lang w:val="bg-BG"/>
        </w:rPr>
        <w:t>9</w:t>
      </w:r>
      <w:r w:rsidR="00203146">
        <w:rPr>
          <w:rFonts w:ascii="Arial Narrow" w:hAnsi="Arial Narrow"/>
          <w:lang w:val="bg-BG"/>
        </w:rPr>
        <w:t>5</w:t>
      </w:r>
      <w:r>
        <w:rPr>
          <w:rFonts w:ascii="Arial Narrow" w:hAnsi="Arial Narrow"/>
          <w:lang w:val="bg-BG"/>
        </w:rPr>
        <w:t xml:space="preserve"> </w:t>
      </w:r>
      <w:r w:rsidR="00203146">
        <w:rPr>
          <w:rFonts w:ascii="Arial Narrow" w:hAnsi="Arial Narrow"/>
          <w:lang w:val="bg-BG"/>
        </w:rPr>
        <w:t>428</w:t>
      </w:r>
      <w:r w:rsidRPr="00774ACD">
        <w:rPr>
          <w:rFonts w:ascii="Arial Narrow" w:hAnsi="Arial Narrow"/>
          <w:lang w:val="bg-BG"/>
        </w:rPr>
        <w:t xml:space="preserve"> млн. лева (</w:t>
      </w:r>
      <w:r>
        <w:rPr>
          <w:rFonts w:ascii="Arial Narrow" w:hAnsi="Arial Narrow"/>
          <w:lang w:val="bg-BG"/>
        </w:rPr>
        <w:t>4</w:t>
      </w:r>
      <w:r w:rsidR="00203146">
        <w:rPr>
          <w:rFonts w:ascii="Arial Narrow" w:hAnsi="Arial Narrow"/>
          <w:lang w:val="bg-BG"/>
        </w:rPr>
        <w:t>8</w:t>
      </w:r>
      <w:r>
        <w:rPr>
          <w:rFonts w:ascii="Arial Narrow" w:hAnsi="Arial Narrow"/>
          <w:lang w:val="bg-BG"/>
        </w:rPr>
        <w:t xml:space="preserve"> </w:t>
      </w:r>
      <w:r w:rsidR="00203146">
        <w:rPr>
          <w:rFonts w:ascii="Arial Narrow" w:hAnsi="Arial Narrow"/>
          <w:lang w:val="bg-BG"/>
        </w:rPr>
        <w:t>792</w:t>
      </w:r>
      <w:r w:rsidRPr="00774ACD">
        <w:rPr>
          <w:rFonts w:ascii="Arial Narrow" w:hAnsi="Arial Narrow"/>
          <w:lang w:val="bg-BG"/>
        </w:rPr>
        <w:t xml:space="preserve"> млн. евро) или </w:t>
      </w:r>
      <w:r>
        <w:rPr>
          <w:rFonts w:ascii="Arial Narrow" w:hAnsi="Arial Narrow"/>
          <w:lang w:val="bg-BG"/>
        </w:rPr>
        <w:t>46,</w:t>
      </w:r>
      <w:r w:rsidR="00203146">
        <w:rPr>
          <w:rFonts w:ascii="Arial Narrow" w:hAnsi="Arial Narrow"/>
          <w:lang w:val="bg-BG"/>
        </w:rPr>
        <w:t>6</w:t>
      </w:r>
      <w:r w:rsidRPr="00774ACD">
        <w:rPr>
          <w:rFonts w:ascii="Arial Narrow" w:hAnsi="Arial Narrow"/>
          <w:lang w:val="bg-BG"/>
        </w:rPr>
        <w:t xml:space="preserve">% от БВП. </w:t>
      </w:r>
    </w:p>
    <w:p w14:paraId="19C766B2" w14:textId="77777777" w:rsidR="00D63FE7" w:rsidRPr="00FA35EC" w:rsidRDefault="00D63FE7" w:rsidP="00D63FE7">
      <w:pPr>
        <w:widowControl w:val="0"/>
        <w:spacing w:after="120"/>
        <w:ind w:firstLine="706"/>
        <w:jc w:val="both"/>
        <w:rPr>
          <w:rFonts w:ascii="Arial Narrow" w:hAnsi="Arial Narrow"/>
          <w:lang w:val="bg-BG"/>
        </w:rPr>
      </w:pPr>
      <w:r>
        <w:rPr>
          <w:rFonts w:ascii="Arial Narrow" w:hAnsi="Arial Narrow"/>
          <w:lang w:val="bg-BG"/>
        </w:rPr>
        <w:t>Така</w:t>
      </w:r>
      <w:r w:rsidRPr="00774ACD">
        <w:rPr>
          <w:rFonts w:ascii="Arial Narrow" w:hAnsi="Arial Narrow"/>
          <w:lang w:val="bg-BG"/>
        </w:rPr>
        <w:t>, през 202</w:t>
      </w:r>
      <w:r>
        <w:rPr>
          <w:rFonts w:ascii="Arial Narrow" w:hAnsi="Arial Narrow"/>
          <w:lang w:val="bg-BG"/>
        </w:rPr>
        <w:t>4</w:t>
      </w:r>
      <w:r w:rsidRPr="00774ACD">
        <w:rPr>
          <w:rFonts w:ascii="Arial Narrow" w:hAnsi="Arial Narrow"/>
          <w:lang w:val="bg-BG"/>
        </w:rPr>
        <w:t xml:space="preserve"> г. отрицателното търговско салдо за България </w:t>
      </w:r>
      <w:r>
        <w:rPr>
          <w:rFonts w:ascii="Arial Narrow" w:hAnsi="Arial Narrow"/>
          <w:lang w:val="bg-BG"/>
        </w:rPr>
        <w:t>достиг</w:t>
      </w:r>
      <w:r w:rsidR="00203146">
        <w:rPr>
          <w:rFonts w:ascii="Arial Narrow" w:hAnsi="Arial Narrow"/>
          <w:lang w:val="bg-BG"/>
        </w:rPr>
        <w:t>а</w:t>
      </w:r>
      <w:r w:rsidRPr="00774ACD">
        <w:rPr>
          <w:rFonts w:ascii="Arial Narrow" w:hAnsi="Arial Narrow"/>
          <w:lang w:val="bg-BG"/>
        </w:rPr>
        <w:t xml:space="preserve"> </w:t>
      </w:r>
      <w:r w:rsidR="00203146">
        <w:rPr>
          <w:rFonts w:ascii="Arial Narrow" w:hAnsi="Arial Narrow"/>
          <w:lang w:val="bg-BG"/>
        </w:rPr>
        <w:t>9 874</w:t>
      </w:r>
      <w:r w:rsidRPr="00774ACD">
        <w:rPr>
          <w:rFonts w:ascii="Arial Narrow" w:hAnsi="Arial Narrow"/>
          <w:lang w:val="bg-BG"/>
        </w:rPr>
        <w:t xml:space="preserve"> млн. лева (</w:t>
      </w:r>
      <w:r>
        <w:rPr>
          <w:rFonts w:ascii="Arial Narrow" w:hAnsi="Arial Narrow"/>
          <w:lang w:val="bg-BG"/>
        </w:rPr>
        <w:t xml:space="preserve">5 </w:t>
      </w:r>
      <w:r w:rsidR="00203146">
        <w:rPr>
          <w:rFonts w:ascii="Arial Narrow" w:hAnsi="Arial Narrow"/>
          <w:lang w:val="bg-BG"/>
        </w:rPr>
        <w:t>049</w:t>
      </w:r>
      <w:r w:rsidRPr="00774ACD">
        <w:rPr>
          <w:rFonts w:ascii="Arial Narrow" w:hAnsi="Arial Narrow"/>
          <w:lang w:val="bg-BG"/>
        </w:rPr>
        <w:t xml:space="preserve"> млн. евро), при дефицит от </w:t>
      </w:r>
      <w:r>
        <w:rPr>
          <w:rFonts w:ascii="Arial Narrow" w:hAnsi="Arial Narrow"/>
          <w:lang w:val="bg-BG"/>
        </w:rPr>
        <w:t>7 688</w:t>
      </w:r>
      <w:r w:rsidRPr="00774ACD">
        <w:rPr>
          <w:rFonts w:ascii="Arial Narrow" w:hAnsi="Arial Narrow"/>
          <w:lang w:val="bg-BG"/>
        </w:rPr>
        <w:t xml:space="preserve"> млн. ле</w:t>
      </w:r>
      <w:r>
        <w:rPr>
          <w:rFonts w:ascii="Arial Narrow" w:hAnsi="Arial Narrow"/>
          <w:lang w:val="bg-BG"/>
        </w:rPr>
        <w:t>ва (3 931 млн. евро) за 2023 г.</w:t>
      </w:r>
    </w:p>
    <w:p w14:paraId="11BB7BB4" w14:textId="77777777" w:rsidR="00D63FE7" w:rsidRPr="00FA35EC" w:rsidRDefault="00D63FE7" w:rsidP="00D63FE7">
      <w:pPr>
        <w:keepNext/>
        <w:autoSpaceDE w:val="0"/>
        <w:autoSpaceDN w:val="0"/>
        <w:adjustRightInd w:val="0"/>
        <w:spacing w:after="120"/>
        <w:jc w:val="center"/>
        <w:rPr>
          <w:rFonts w:ascii="Arial Narrow" w:hAnsi="Arial Narrow"/>
          <w:b/>
          <w:i/>
          <w:lang w:val="bg-BG"/>
        </w:rPr>
      </w:pPr>
      <w:r w:rsidRPr="00FA35EC">
        <w:rPr>
          <w:rFonts w:ascii="Arial Narrow" w:hAnsi="Arial Narrow"/>
          <w:b/>
          <w:i/>
          <w:lang w:val="bg-BG"/>
        </w:rPr>
        <w:t>Фигура І.5. Износ, внос и търговски баланс за периода 20</w:t>
      </w:r>
      <w:r>
        <w:rPr>
          <w:rFonts w:ascii="Arial Narrow" w:hAnsi="Arial Narrow"/>
          <w:b/>
          <w:i/>
          <w:lang w:val="bg-BG"/>
        </w:rPr>
        <w:t>20</w:t>
      </w:r>
      <w:r w:rsidRPr="00FA35EC">
        <w:rPr>
          <w:rFonts w:ascii="Arial Narrow" w:hAnsi="Arial Narrow"/>
          <w:b/>
          <w:i/>
          <w:lang w:val="bg-BG"/>
        </w:rPr>
        <w:t xml:space="preserve"> – 202</w:t>
      </w:r>
      <w:r>
        <w:rPr>
          <w:rFonts w:ascii="Arial Narrow" w:hAnsi="Arial Narrow"/>
          <w:b/>
          <w:i/>
          <w:lang w:val="bg-BG"/>
        </w:rPr>
        <w:t>4</w:t>
      </w:r>
      <w:r w:rsidRPr="00FA35EC">
        <w:rPr>
          <w:rFonts w:ascii="Arial Narrow" w:hAnsi="Arial Narrow"/>
          <w:b/>
          <w:i/>
          <w:lang w:val="bg-BG"/>
        </w:rPr>
        <w:t xml:space="preserve"> г., млн. лева</w:t>
      </w:r>
    </w:p>
    <w:p w14:paraId="60857557" w14:textId="77777777" w:rsidR="00D63FE7" w:rsidRPr="00FA35EC" w:rsidRDefault="00D63FE7" w:rsidP="00D63FE7">
      <w:pPr>
        <w:keepNext/>
        <w:autoSpaceDE w:val="0"/>
        <w:autoSpaceDN w:val="0"/>
        <w:adjustRightInd w:val="0"/>
        <w:spacing w:after="120"/>
        <w:jc w:val="center"/>
        <w:rPr>
          <w:rFonts w:ascii="Arial Narrow" w:hAnsi="Arial Narrow"/>
          <w:b/>
          <w:i/>
          <w:lang w:val="bg-BG"/>
        </w:rPr>
      </w:pPr>
      <w:r w:rsidRPr="00C30B04">
        <w:rPr>
          <w:noProof/>
        </w:rPr>
        <w:t xml:space="preserve"> </w:t>
      </w:r>
      <w:r w:rsidR="00F94365">
        <w:rPr>
          <w:noProof/>
        </w:rPr>
        <w:drawing>
          <wp:inline distT="0" distB="0" distL="0" distR="0" wp14:anchorId="282B8227" wp14:editId="282CE21E">
            <wp:extent cx="5400000" cy="2880000"/>
            <wp:effectExtent l="0" t="0" r="0" b="0"/>
            <wp:docPr id="37" name="Chart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7AF37959" w14:textId="77777777" w:rsidR="00D63FE7" w:rsidRPr="00C52C52" w:rsidRDefault="00D63FE7" w:rsidP="00D63FE7">
      <w:pPr>
        <w:ind w:firstLine="720"/>
        <w:jc w:val="both"/>
        <w:rPr>
          <w:rFonts w:ascii="Arial Narrow" w:hAnsi="Arial Narrow"/>
          <w:i/>
          <w:sz w:val="18"/>
          <w:szCs w:val="18"/>
          <w:lang w:val="bg-BG"/>
        </w:rPr>
      </w:pPr>
      <w:r w:rsidRPr="00C52C52">
        <w:rPr>
          <w:rFonts w:ascii="Arial Narrow" w:hAnsi="Arial Narrow"/>
          <w:i/>
          <w:sz w:val="18"/>
          <w:szCs w:val="18"/>
          <w:lang w:val="bg-BG"/>
        </w:rPr>
        <w:t xml:space="preserve">Източник: </w:t>
      </w:r>
      <w:r w:rsidRPr="00C52C52">
        <w:rPr>
          <w:rFonts w:ascii="Arial Narrow" w:hAnsi="Arial Narrow"/>
          <w:sz w:val="18"/>
          <w:szCs w:val="18"/>
          <w:lang w:val="bg-BG"/>
        </w:rPr>
        <w:t>БНБ (предварителни данни за 2024 г.)</w:t>
      </w:r>
    </w:p>
    <w:p w14:paraId="69833700" w14:textId="77777777" w:rsidR="00D63FE7" w:rsidRPr="00FA35EC" w:rsidRDefault="00D63FE7" w:rsidP="00D63FE7">
      <w:pPr>
        <w:spacing w:before="240" w:after="120"/>
        <w:ind w:firstLine="731"/>
        <w:jc w:val="both"/>
        <w:rPr>
          <w:rFonts w:ascii="Arial Narrow" w:hAnsi="Arial Narrow"/>
          <w:b/>
          <w:i/>
          <w:u w:val="single"/>
          <w:lang w:val="bg-BG"/>
        </w:rPr>
      </w:pPr>
      <w:r w:rsidRPr="00FA35EC">
        <w:rPr>
          <w:rFonts w:ascii="Arial Narrow" w:hAnsi="Arial Narrow"/>
          <w:b/>
          <w:i/>
          <w:u w:val="single"/>
          <w:lang w:val="bg-BG"/>
        </w:rPr>
        <w:t>Преки чуждестранни инвестиции</w:t>
      </w:r>
    </w:p>
    <w:p w14:paraId="69E1FBF3" w14:textId="77777777" w:rsidR="00D63FE7" w:rsidRPr="00450D6D" w:rsidRDefault="00D63FE7" w:rsidP="00D63FE7">
      <w:pPr>
        <w:widowControl w:val="0"/>
        <w:spacing w:after="120"/>
        <w:ind w:firstLine="706"/>
        <w:jc w:val="both"/>
        <w:rPr>
          <w:rFonts w:ascii="Arial Narrow" w:hAnsi="Arial Narrow"/>
          <w:lang w:val="bg-BG"/>
        </w:rPr>
      </w:pPr>
      <w:r w:rsidRPr="00290A0C">
        <w:rPr>
          <w:rFonts w:ascii="Arial Narrow" w:hAnsi="Arial Narrow"/>
          <w:lang w:val="bg-BG"/>
        </w:rPr>
        <w:t>По предварителни данни на БНБ, преките чуждестранни инвестиции в страната за 202</w:t>
      </w:r>
      <w:r>
        <w:rPr>
          <w:rFonts w:ascii="Arial Narrow" w:hAnsi="Arial Narrow"/>
          <w:lang w:val="bg-BG"/>
        </w:rPr>
        <w:t>4</w:t>
      </w:r>
      <w:r w:rsidRPr="00290A0C">
        <w:rPr>
          <w:rFonts w:ascii="Arial Narrow" w:hAnsi="Arial Narrow"/>
          <w:lang w:val="bg-BG"/>
        </w:rPr>
        <w:t xml:space="preserve"> г. възлизат на </w:t>
      </w:r>
      <w:r>
        <w:rPr>
          <w:rFonts w:ascii="Arial Narrow" w:hAnsi="Arial Narrow"/>
          <w:lang w:val="bg-BG"/>
        </w:rPr>
        <w:t>5 5</w:t>
      </w:r>
      <w:r w:rsidR="00F94365">
        <w:rPr>
          <w:rFonts w:ascii="Arial Narrow" w:hAnsi="Arial Narrow"/>
          <w:lang w:val="bg-BG"/>
        </w:rPr>
        <w:t>04</w:t>
      </w:r>
      <w:r w:rsidRPr="00290A0C">
        <w:rPr>
          <w:rFonts w:ascii="Arial Narrow" w:hAnsi="Arial Narrow"/>
          <w:lang w:val="bg-BG"/>
        </w:rPr>
        <w:t xml:space="preserve"> млн. лева (</w:t>
      </w:r>
      <w:r>
        <w:rPr>
          <w:rFonts w:ascii="Arial Narrow" w:hAnsi="Arial Narrow"/>
          <w:lang w:val="bg-BG"/>
        </w:rPr>
        <w:t>2 8</w:t>
      </w:r>
      <w:r w:rsidR="00F94365">
        <w:rPr>
          <w:rFonts w:ascii="Arial Narrow" w:hAnsi="Arial Narrow"/>
          <w:lang w:val="bg-BG"/>
        </w:rPr>
        <w:t>14</w:t>
      </w:r>
      <w:r w:rsidRPr="00290A0C">
        <w:rPr>
          <w:rFonts w:ascii="Arial Narrow" w:hAnsi="Arial Narrow"/>
          <w:lang w:val="bg-BG"/>
        </w:rPr>
        <w:t xml:space="preserve"> млн. евро), </w:t>
      </w:r>
      <w:r>
        <w:rPr>
          <w:rFonts w:ascii="Arial Narrow" w:hAnsi="Arial Narrow"/>
          <w:lang w:val="bg-BG"/>
        </w:rPr>
        <w:t>което е с 3</w:t>
      </w:r>
      <w:r w:rsidR="00F94365">
        <w:rPr>
          <w:rFonts w:ascii="Arial Narrow" w:hAnsi="Arial Narrow"/>
          <w:lang w:val="bg-BG"/>
        </w:rPr>
        <w:t>9</w:t>
      </w:r>
      <w:r>
        <w:rPr>
          <w:rFonts w:ascii="Arial Narrow" w:hAnsi="Arial Narrow"/>
          <w:lang w:val="bg-BG"/>
        </w:rPr>
        <w:t>,</w:t>
      </w:r>
      <w:r w:rsidR="00F94365">
        <w:rPr>
          <w:rFonts w:ascii="Arial Narrow" w:hAnsi="Arial Narrow"/>
          <w:lang w:val="bg-BG"/>
        </w:rPr>
        <w:t>3</w:t>
      </w:r>
      <w:r>
        <w:rPr>
          <w:rFonts w:ascii="Arial Narrow" w:hAnsi="Arial Narrow"/>
          <w:lang w:val="bg-BG"/>
        </w:rPr>
        <w:t>% по-малко в сравнение с предходната година</w:t>
      </w:r>
      <w:r w:rsidRPr="00290A0C">
        <w:rPr>
          <w:rFonts w:ascii="Arial Narrow" w:hAnsi="Arial Narrow"/>
          <w:lang w:val="bg-BG"/>
        </w:rPr>
        <w:t xml:space="preserve">. </w:t>
      </w:r>
      <w:r w:rsidRPr="00450D6D">
        <w:rPr>
          <w:rFonts w:ascii="Arial Narrow" w:hAnsi="Arial Narrow"/>
          <w:lang w:val="bg-BG"/>
        </w:rPr>
        <w:t xml:space="preserve">Преките инвестиции през годината представляват </w:t>
      </w:r>
      <w:r>
        <w:rPr>
          <w:rFonts w:ascii="Arial Narrow" w:hAnsi="Arial Narrow"/>
          <w:lang w:val="bg-BG"/>
        </w:rPr>
        <w:t>2,</w:t>
      </w:r>
      <w:r w:rsidR="00F94365">
        <w:rPr>
          <w:rFonts w:ascii="Arial Narrow" w:hAnsi="Arial Narrow"/>
          <w:lang w:val="bg-BG"/>
        </w:rPr>
        <w:t>7</w:t>
      </w:r>
      <w:r w:rsidRPr="00450D6D">
        <w:rPr>
          <w:rFonts w:ascii="Arial Narrow" w:hAnsi="Arial Narrow"/>
          <w:lang w:val="bg-BG"/>
        </w:rPr>
        <w:t xml:space="preserve">% от БВП, при </w:t>
      </w:r>
      <w:r>
        <w:rPr>
          <w:rFonts w:ascii="Arial Narrow" w:hAnsi="Arial Narrow"/>
          <w:lang w:val="bg-BG"/>
        </w:rPr>
        <w:t>4,9</w:t>
      </w:r>
      <w:r w:rsidRPr="00450D6D">
        <w:rPr>
          <w:rFonts w:ascii="Arial Narrow" w:hAnsi="Arial Narrow"/>
          <w:lang w:val="bg-BG"/>
        </w:rPr>
        <w:t>% през 20</w:t>
      </w:r>
      <w:r>
        <w:rPr>
          <w:rFonts w:ascii="Arial Narrow" w:hAnsi="Arial Narrow"/>
          <w:lang w:val="bg-BG"/>
        </w:rPr>
        <w:t>23</w:t>
      </w:r>
      <w:r w:rsidRPr="00450D6D">
        <w:rPr>
          <w:rFonts w:ascii="Arial Narrow" w:hAnsi="Arial Narrow"/>
          <w:lang w:val="bg-BG"/>
        </w:rPr>
        <w:t xml:space="preserve"> г.</w:t>
      </w:r>
    </w:p>
    <w:p w14:paraId="1D8B8A46" w14:textId="77777777" w:rsidR="00D63FE7" w:rsidRPr="00FA35EC" w:rsidRDefault="00D63FE7" w:rsidP="00CD44F3">
      <w:pPr>
        <w:keepNext/>
        <w:widowControl w:val="0"/>
        <w:spacing w:after="120"/>
        <w:jc w:val="center"/>
        <w:rPr>
          <w:rFonts w:ascii="Arial Narrow" w:hAnsi="Arial Narrow"/>
          <w:b/>
          <w:i/>
          <w:lang w:val="bg-BG"/>
        </w:rPr>
      </w:pPr>
      <w:r w:rsidRPr="00FA35EC">
        <w:rPr>
          <w:rFonts w:ascii="Arial Narrow" w:hAnsi="Arial Narrow"/>
          <w:b/>
          <w:i/>
          <w:lang w:val="bg-BG"/>
        </w:rPr>
        <w:lastRenderedPageBreak/>
        <w:t>Фигура І.6. Преки чуждестранни инвестиции, 20</w:t>
      </w:r>
      <w:r>
        <w:rPr>
          <w:rFonts w:ascii="Arial Narrow" w:hAnsi="Arial Narrow"/>
          <w:b/>
          <w:i/>
          <w:lang w:val="bg-BG"/>
        </w:rPr>
        <w:t>20</w:t>
      </w:r>
      <w:r w:rsidRPr="00FA35EC">
        <w:rPr>
          <w:rFonts w:ascii="Arial Narrow" w:hAnsi="Arial Narrow"/>
          <w:b/>
          <w:i/>
          <w:lang w:val="bg-BG"/>
        </w:rPr>
        <w:t xml:space="preserve"> – 202</w:t>
      </w:r>
      <w:r>
        <w:rPr>
          <w:rFonts w:ascii="Arial Narrow" w:hAnsi="Arial Narrow"/>
          <w:b/>
          <w:i/>
          <w:lang w:val="bg-BG"/>
        </w:rPr>
        <w:t>4</w:t>
      </w:r>
      <w:r w:rsidRPr="00FA35EC">
        <w:rPr>
          <w:rFonts w:ascii="Arial Narrow" w:hAnsi="Arial Narrow"/>
          <w:b/>
          <w:i/>
          <w:lang w:val="bg-BG"/>
        </w:rPr>
        <w:t xml:space="preserve"> г., млн. лева</w:t>
      </w:r>
    </w:p>
    <w:p w14:paraId="0D444F9D" w14:textId="77777777" w:rsidR="00D63FE7" w:rsidRPr="00FA35EC" w:rsidRDefault="00D63FE7" w:rsidP="00D63FE7">
      <w:pPr>
        <w:keepNext/>
        <w:spacing w:before="240" w:after="120"/>
        <w:jc w:val="center"/>
        <w:rPr>
          <w:rFonts w:ascii="Arial Narrow" w:hAnsi="Arial Narrow"/>
          <w:b/>
          <w:lang w:val="bg-BG"/>
        </w:rPr>
      </w:pPr>
      <w:r w:rsidRPr="00FA35EC">
        <w:rPr>
          <w:noProof/>
        </w:rPr>
        <w:t xml:space="preserve"> </w:t>
      </w:r>
      <w:r w:rsidRPr="00C30B04">
        <w:rPr>
          <w:noProof/>
        </w:rPr>
        <w:t xml:space="preserve"> </w:t>
      </w:r>
      <w:r w:rsidR="00AA7E1F">
        <w:rPr>
          <w:noProof/>
        </w:rPr>
        <w:drawing>
          <wp:inline distT="0" distB="0" distL="0" distR="0" wp14:anchorId="5CEB6B78" wp14:editId="4E86BAE0">
            <wp:extent cx="5400000" cy="2880000"/>
            <wp:effectExtent l="0" t="0" r="0" b="0"/>
            <wp:docPr id="43" name="Chart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rsidRPr="00FA35EC">
        <w:rPr>
          <w:noProof/>
          <w:lang w:val="bg-BG" w:eastAsia="bg-BG"/>
        </w:rPr>
        <w:t xml:space="preserve"> </w:t>
      </w:r>
    </w:p>
    <w:p w14:paraId="10AEE5A6" w14:textId="77777777" w:rsidR="00D63FE7" w:rsidRPr="009F605C" w:rsidRDefault="00D63FE7" w:rsidP="00D63FE7">
      <w:pPr>
        <w:spacing w:after="240"/>
        <w:ind w:firstLine="706"/>
        <w:jc w:val="both"/>
        <w:rPr>
          <w:rFonts w:ascii="Arial Narrow" w:hAnsi="Arial Narrow"/>
          <w:sz w:val="18"/>
          <w:szCs w:val="18"/>
          <w:lang w:val="bg-BG"/>
        </w:rPr>
      </w:pPr>
      <w:r w:rsidRPr="00C52C52">
        <w:rPr>
          <w:rFonts w:ascii="Arial Narrow" w:hAnsi="Arial Narrow"/>
          <w:i/>
          <w:sz w:val="18"/>
          <w:szCs w:val="18"/>
          <w:lang w:val="bg-BG"/>
        </w:rPr>
        <w:t>Източник</w:t>
      </w:r>
      <w:r w:rsidRPr="00D63FE7">
        <w:rPr>
          <w:rFonts w:ascii="Arial Narrow" w:hAnsi="Arial Narrow"/>
          <w:b/>
          <w:i/>
          <w:sz w:val="18"/>
          <w:szCs w:val="18"/>
          <w:lang w:val="bg-BG"/>
        </w:rPr>
        <w:t>:</w:t>
      </w:r>
      <w:r w:rsidRPr="00FA35EC">
        <w:rPr>
          <w:rFonts w:ascii="Arial Narrow" w:hAnsi="Arial Narrow"/>
          <w:b/>
          <w:i/>
          <w:sz w:val="18"/>
          <w:szCs w:val="18"/>
          <w:lang w:val="bg-BG"/>
        </w:rPr>
        <w:t xml:space="preserve"> </w:t>
      </w:r>
      <w:r w:rsidRPr="009F605C">
        <w:rPr>
          <w:rFonts w:ascii="Arial Narrow" w:hAnsi="Arial Narrow"/>
          <w:sz w:val="18"/>
          <w:szCs w:val="18"/>
          <w:lang w:val="bg-BG"/>
        </w:rPr>
        <w:t>БНБ (предварителни данни за 2024 г.)</w:t>
      </w:r>
    </w:p>
    <w:p w14:paraId="20ACB9D8" w14:textId="77777777" w:rsidR="00D63FE7" w:rsidRDefault="00D63FE7" w:rsidP="00D63FE7">
      <w:pPr>
        <w:widowControl w:val="0"/>
        <w:spacing w:after="120"/>
        <w:ind w:firstLine="706"/>
        <w:jc w:val="both"/>
        <w:rPr>
          <w:rFonts w:ascii="Arial Narrow" w:hAnsi="Arial Narrow"/>
          <w:lang w:val="bg-BG"/>
        </w:rPr>
      </w:pPr>
      <w:r w:rsidRPr="008335F7">
        <w:rPr>
          <w:rFonts w:ascii="Arial Narrow" w:hAnsi="Arial Narrow"/>
          <w:lang w:val="bg-BG"/>
        </w:rPr>
        <w:t>В рамките на 202</w:t>
      </w:r>
      <w:r>
        <w:rPr>
          <w:rFonts w:ascii="Arial Narrow" w:hAnsi="Arial Narrow"/>
          <w:lang w:val="bg-BG"/>
        </w:rPr>
        <w:t>4</w:t>
      </w:r>
      <w:r w:rsidRPr="008335F7">
        <w:rPr>
          <w:rFonts w:ascii="Arial Narrow" w:hAnsi="Arial Narrow"/>
          <w:lang w:val="bg-BG"/>
        </w:rPr>
        <w:t xml:space="preserve"> г. най-много инвестиции са привлечени в секторите „Финансови и застрахователни дейности“ (</w:t>
      </w:r>
      <w:r>
        <w:rPr>
          <w:rFonts w:ascii="Arial Narrow" w:hAnsi="Arial Narrow"/>
          <w:lang w:val="bg-BG"/>
        </w:rPr>
        <w:t>1 </w:t>
      </w:r>
      <w:r w:rsidR="00AA7E1F">
        <w:rPr>
          <w:rFonts w:ascii="Arial Narrow" w:hAnsi="Arial Narrow"/>
          <w:lang w:val="bg-BG"/>
        </w:rPr>
        <w:t>506</w:t>
      </w:r>
      <w:r w:rsidR="00AA7E1F" w:rsidRPr="008335F7">
        <w:rPr>
          <w:rFonts w:ascii="Arial Narrow" w:hAnsi="Arial Narrow"/>
          <w:lang w:val="bg-BG"/>
        </w:rPr>
        <w:t xml:space="preserve"> </w:t>
      </w:r>
      <w:r w:rsidRPr="008335F7">
        <w:rPr>
          <w:rFonts w:ascii="Arial Narrow" w:hAnsi="Arial Narrow"/>
          <w:lang w:val="bg-BG"/>
        </w:rPr>
        <w:t>млн. евро)</w:t>
      </w:r>
      <w:r>
        <w:rPr>
          <w:rFonts w:ascii="Arial Narrow" w:hAnsi="Arial Narrow"/>
          <w:lang w:val="bg-BG"/>
        </w:rPr>
        <w:t xml:space="preserve"> и</w:t>
      </w:r>
      <w:r w:rsidRPr="008335F7">
        <w:rPr>
          <w:rFonts w:ascii="Arial Narrow" w:hAnsi="Arial Narrow"/>
          <w:lang w:val="bg-BG"/>
        </w:rPr>
        <w:t xml:space="preserve"> </w:t>
      </w:r>
      <w:r>
        <w:rPr>
          <w:rFonts w:ascii="Arial Narrow" w:hAnsi="Arial Narrow"/>
          <w:lang w:val="bg-BG"/>
        </w:rPr>
        <w:t>„Търговия; ремонт на автомобили и мотоциклети“ (6</w:t>
      </w:r>
      <w:r w:rsidR="00AA7E1F">
        <w:rPr>
          <w:rFonts w:ascii="Arial Narrow" w:hAnsi="Arial Narrow"/>
          <w:lang w:val="bg-BG"/>
        </w:rPr>
        <w:t>38</w:t>
      </w:r>
      <w:r>
        <w:rPr>
          <w:rFonts w:ascii="Arial Narrow" w:hAnsi="Arial Narrow"/>
          <w:lang w:val="bg-BG"/>
        </w:rPr>
        <w:t xml:space="preserve"> млн. евро)</w:t>
      </w:r>
      <w:r w:rsidRPr="008335F7">
        <w:rPr>
          <w:rFonts w:ascii="Arial Narrow" w:hAnsi="Arial Narrow"/>
          <w:lang w:val="bg-BG"/>
        </w:rPr>
        <w:t>.</w:t>
      </w:r>
    </w:p>
    <w:p w14:paraId="1D625136" w14:textId="77777777" w:rsidR="007809CD" w:rsidRPr="00FE41E9" w:rsidRDefault="007809CD" w:rsidP="007809CD">
      <w:pPr>
        <w:keepNext/>
        <w:keepLines/>
        <w:tabs>
          <w:tab w:val="num" w:pos="360"/>
        </w:tabs>
        <w:spacing w:before="480" w:after="120"/>
        <w:jc w:val="both"/>
        <w:outlineLvl w:val="0"/>
        <w:rPr>
          <w:rFonts w:ascii="Arial Narrow" w:eastAsia="SimSun" w:hAnsi="Arial Narrow"/>
          <w:b/>
          <w:bCs/>
          <w:lang w:val="bg-BG"/>
        </w:rPr>
      </w:pPr>
      <w:bookmarkStart w:id="4" w:name="_Toc210747520"/>
      <w:r w:rsidRPr="00FE41E9">
        <w:rPr>
          <w:rFonts w:ascii="Arial Narrow" w:eastAsia="SimSun" w:hAnsi="Arial Narrow"/>
          <w:b/>
          <w:bCs/>
          <w:lang w:val="bg-BG"/>
        </w:rPr>
        <w:t>ІІ. РАЗВИТИЕ НА АГРАРНИЯ ОТРАСЪЛ ПРЕЗ 20</w:t>
      </w:r>
      <w:r w:rsidR="005F788A" w:rsidRPr="00FE41E9">
        <w:rPr>
          <w:rFonts w:ascii="Arial Narrow" w:eastAsia="SimSun" w:hAnsi="Arial Narrow"/>
          <w:b/>
          <w:bCs/>
          <w:lang w:val="bg-BG"/>
        </w:rPr>
        <w:t>2</w:t>
      </w:r>
      <w:r w:rsidR="00AB4A2A">
        <w:rPr>
          <w:rFonts w:ascii="Arial Narrow" w:eastAsia="SimSun" w:hAnsi="Arial Narrow"/>
          <w:b/>
          <w:bCs/>
        </w:rPr>
        <w:t>4</w:t>
      </w:r>
      <w:r w:rsidR="005F788A" w:rsidRPr="00FE41E9">
        <w:rPr>
          <w:rFonts w:ascii="Arial Narrow" w:eastAsia="SimSun" w:hAnsi="Arial Narrow"/>
          <w:b/>
          <w:bCs/>
          <w:lang w:val="bg-BG"/>
        </w:rPr>
        <w:t xml:space="preserve"> Г. И ПРОГНОЗИ ЗА 202</w:t>
      </w:r>
      <w:r w:rsidR="00AB4A2A">
        <w:rPr>
          <w:rFonts w:ascii="Arial Narrow" w:eastAsia="SimSun" w:hAnsi="Arial Narrow"/>
          <w:b/>
          <w:bCs/>
          <w:lang w:val="bg-BG"/>
        </w:rPr>
        <w:t>5</w:t>
      </w:r>
      <w:r w:rsidRPr="00FE41E9">
        <w:rPr>
          <w:rFonts w:ascii="Arial Narrow" w:eastAsia="SimSun" w:hAnsi="Arial Narrow"/>
          <w:b/>
          <w:bCs/>
          <w:lang w:val="bg-BG"/>
        </w:rPr>
        <w:t xml:space="preserve"> Г.</w:t>
      </w:r>
      <w:bookmarkEnd w:id="4"/>
    </w:p>
    <w:p w14:paraId="5FD251DE" w14:textId="77777777" w:rsidR="007809CD" w:rsidRPr="00FE41E9" w:rsidRDefault="007809CD" w:rsidP="00B94DC2">
      <w:pPr>
        <w:keepNext/>
        <w:numPr>
          <w:ilvl w:val="0"/>
          <w:numId w:val="8"/>
        </w:numPr>
        <w:spacing w:after="120"/>
        <w:outlineLvl w:val="0"/>
        <w:rPr>
          <w:rFonts w:ascii="Arial Narrow" w:hAnsi="Arial Narrow"/>
          <w:b/>
          <w:lang w:val="bg-BG"/>
        </w:rPr>
      </w:pPr>
      <w:bookmarkStart w:id="5" w:name="_Toc210747521"/>
      <w:r w:rsidRPr="00FE41E9">
        <w:rPr>
          <w:rFonts w:ascii="Arial Narrow" w:hAnsi="Arial Narrow"/>
          <w:b/>
          <w:lang w:val="bg-BG"/>
        </w:rPr>
        <w:t>Използване на земеделската земя и структури в земеделието</w:t>
      </w:r>
      <w:bookmarkEnd w:id="5"/>
      <w:r w:rsidRPr="00FE41E9">
        <w:rPr>
          <w:rFonts w:ascii="Arial Narrow" w:hAnsi="Arial Narrow"/>
          <w:b/>
          <w:lang w:val="bg-BG"/>
        </w:rPr>
        <w:t xml:space="preserve">  </w:t>
      </w:r>
    </w:p>
    <w:p w14:paraId="229B95E8" w14:textId="77777777" w:rsidR="00FE41E9" w:rsidRPr="00FE41E9" w:rsidRDefault="005E60E3" w:rsidP="00FE41E9">
      <w:pPr>
        <w:pStyle w:val="ListParagraph"/>
        <w:numPr>
          <w:ilvl w:val="1"/>
          <w:numId w:val="13"/>
        </w:numPr>
        <w:tabs>
          <w:tab w:val="clear" w:pos="750"/>
        </w:tabs>
        <w:spacing w:after="120"/>
        <w:ind w:left="540" w:hanging="180"/>
        <w:contextualSpacing w:val="0"/>
        <w:outlineLvl w:val="0"/>
        <w:rPr>
          <w:rFonts w:ascii="Arial Narrow" w:hAnsi="Arial Narrow"/>
          <w:b/>
          <w:lang w:val="bg-BG"/>
        </w:rPr>
      </w:pPr>
      <w:r w:rsidRPr="00FE41E9">
        <w:rPr>
          <w:rFonts w:ascii="Arial Narrow" w:hAnsi="Arial Narrow"/>
          <w:b/>
          <w:lang w:val="bg-BG"/>
        </w:rPr>
        <w:t xml:space="preserve"> </w:t>
      </w:r>
      <w:bookmarkStart w:id="6" w:name="_Toc210747522"/>
      <w:r w:rsidR="007809CD" w:rsidRPr="00FE41E9">
        <w:rPr>
          <w:rFonts w:ascii="Arial Narrow" w:hAnsi="Arial Narrow"/>
          <w:b/>
          <w:lang w:val="bg-BG"/>
        </w:rPr>
        <w:t>Използване на площите със селскостопанско предназначение</w:t>
      </w:r>
      <w:bookmarkEnd w:id="6"/>
    </w:p>
    <w:p w14:paraId="45D29A1B" w14:textId="77777777" w:rsidR="00FE41E9" w:rsidRPr="00FE41E9" w:rsidRDefault="00FE41E9" w:rsidP="00FE41E9">
      <w:pPr>
        <w:spacing w:after="120"/>
        <w:ind w:right="-1" w:firstLine="851"/>
        <w:jc w:val="both"/>
        <w:rPr>
          <w:rFonts w:ascii="Arial Narrow" w:hAnsi="Arial Narrow"/>
          <w:lang w:val="bg-BG"/>
        </w:rPr>
      </w:pPr>
      <w:r w:rsidRPr="00FE41E9">
        <w:rPr>
          <w:rFonts w:ascii="Arial Narrow" w:hAnsi="Arial Narrow"/>
          <w:b/>
          <w:lang w:val="bg-BG"/>
        </w:rPr>
        <w:t xml:space="preserve">Площта със селскостопанско предназначение </w:t>
      </w:r>
      <w:r w:rsidRPr="00FE41E9">
        <w:rPr>
          <w:rFonts w:ascii="Arial Narrow" w:hAnsi="Arial Narrow"/>
          <w:lang w:val="bg-BG"/>
        </w:rPr>
        <w:t>през 2024 г. е 5 215 876</w:t>
      </w:r>
      <w:r w:rsidRPr="00FE41E9">
        <w:rPr>
          <w:rFonts w:ascii="Arial Narrow" w:hAnsi="Arial Narrow"/>
        </w:rPr>
        <w:t xml:space="preserve"> </w:t>
      </w:r>
      <w:r w:rsidRPr="00FE41E9">
        <w:rPr>
          <w:rFonts w:ascii="Arial Narrow" w:hAnsi="Arial Narrow"/>
          <w:lang w:val="bg-BG"/>
        </w:rPr>
        <w:t>ха, което представлява около 47%</w:t>
      </w:r>
      <w:r w:rsidRPr="00FE41E9">
        <w:rPr>
          <w:rFonts w:ascii="Arial Narrow" w:hAnsi="Arial Narrow"/>
          <w:b/>
          <w:lang w:val="bg-BG"/>
        </w:rPr>
        <w:t xml:space="preserve"> </w:t>
      </w:r>
      <w:r w:rsidRPr="00FE41E9">
        <w:rPr>
          <w:rFonts w:ascii="Arial Narrow" w:hAnsi="Arial Narrow"/>
          <w:lang w:val="bg-BG"/>
        </w:rPr>
        <w:t xml:space="preserve">от територията на страната. </w:t>
      </w:r>
    </w:p>
    <w:p w14:paraId="3B6ED9D2" w14:textId="77777777" w:rsidR="00FE41E9" w:rsidRPr="00FE41E9" w:rsidRDefault="00FE41E9" w:rsidP="00FE41E9">
      <w:pPr>
        <w:spacing w:after="120"/>
        <w:ind w:right="282"/>
        <w:jc w:val="both"/>
        <w:rPr>
          <w:rFonts w:ascii="Arial Narrow" w:hAnsi="Arial Narrow"/>
          <w:b/>
        </w:rPr>
      </w:pPr>
      <w:r w:rsidRPr="00FE41E9">
        <w:rPr>
          <w:rFonts w:ascii="Arial Narrow" w:hAnsi="Arial Narrow"/>
          <w:b/>
          <w:lang w:val="bg-BG"/>
        </w:rPr>
        <w:t>Таблица II.1. Обработваема земя, използвана земеделска площ и площ със селскостопанск</w:t>
      </w:r>
      <w:r w:rsidR="004D047D">
        <w:rPr>
          <w:rFonts w:ascii="Arial Narrow" w:hAnsi="Arial Narrow"/>
          <w:b/>
          <w:lang w:val="bg-BG"/>
        </w:rPr>
        <w:t>о предназначение за периода 2020 – 2024</w:t>
      </w:r>
      <w:r w:rsidRPr="00FE41E9">
        <w:rPr>
          <w:rFonts w:ascii="Arial Narrow" w:hAnsi="Arial Narrow"/>
          <w:b/>
          <w:lang w:val="bg-BG"/>
        </w:rPr>
        <w:t xml:space="preserve"> г., ха</w:t>
      </w:r>
    </w:p>
    <w:tbl>
      <w:tblPr>
        <w:tblW w:w="9953" w:type="dxa"/>
        <w:tblInd w:w="-5" w:type="dxa"/>
        <w:tblLook w:val="04A0" w:firstRow="1" w:lastRow="0" w:firstColumn="1" w:lastColumn="0" w:noHBand="0" w:noVBand="1"/>
      </w:tblPr>
      <w:tblGrid>
        <w:gridCol w:w="4378"/>
        <w:gridCol w:w="1115"/>
        <w:gridCol w:w="1115"/>
        <w:gridCol w:w="1115"/>
        <w:gridCol w:w="1115"/>
        <w:gridCol w:w="1115"/>
      </w:tblGrid>
      <w:tr w:rsidR="00FE41E9" w:rsidRPr="00FE41E9" w14:paraId="49ED68E3" w14:textId="77777777" w:rsidTr="00BF1588">
        <w:trPr>
          <w:trHeight w:val="416"/>
          <w:tblHeader/>
        </w:trPr>
        <w:tc>
          <w:tcPr>
            <w:tcW w:w="437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6A7293A" w14:textId="77777777" w:rsidR="00FE41E9" w:rsidRPr="00FE41E9" w:rsidRDefault="00FE41E9" w:rsidP="00FE41E9">
            <w:pPr>
              <w:jc w:val="center"/>
              <w:rPr>
                <w:rFonts w:ascii="Arial Narrow" w:hAnsi="Arial Narrow" w:cs="Arial"/>
                <w:b/>
                <w:bCs/>
                <w:sz w:val="20"/>
                <w:szCs w:val="20"/>
              </w:rPr>
            </w:pPr>
            <w:r w:rsidRPr="00FE41E9">
              <w:rPr>
                <w:rFonts w:ascii="Arial Narrow" w:hAnsi="Arial Narrow" w:cs="Arial"/>
                <w:b/>
                <w:bCs/>
                <w:sz w:val="20"/>
                <w:szCs w:val="20"/>
              </w:rPr>
              <w:t>ЗАЕТОСТ</w:t>
            </w:r>
          </w:p>
        </w:tc>
        <w:tc>
          <w:tcPr>
            <w:tcW w:w="1115" w:type="dxa"/>
            <w:tcBorders>
              <w:top w:val="single" w:sz="4" w:space="0" w:color="auto"/>
              <w:left w:val="nil"/>
              <w:bottom w:val="single" w:sz="4" w:space="0" w:color="auto"/>
              <w:right w:val="single" w:sz="4" w:space="0" w:color="auto"/>
            </w:tcBorders>
            <w:shd w:val="clear" w:color="auto" w:fill="auto"/>
            <w:vAlign w:val="center"/>
            <w:hideMark/>
          </w:tcPr>
          <w:p w14:paraId="75E56B09" w14:textId="77777777" w:rsidR="00FE41E9" w:rsidRPr="00FE41E9" w:rsidRDefault="00FE41E9" w:rsidP="00FE41E9">
            <w:pPr>
              <w:jc w:val="center"/>
              <w:rPr>
                <w:rFonts w:ascii="Arial Narrow" w:hAnsi="Arial Narrow" w:cs="Arial"/>
                <w:b/>
                <w:bCs/>
                <w:sz w:val="20"/>
                <w:szCs w:val="20"/>
              </w:rPr>
            </w:pPr>
            <w:r w:rsidRPr="00FE41E9">
              <w:rPr>
                <w:rFonts w:ascii="Arial Narrow" w:hAnsi="Arial Narrow" w:cs="Arial"/>
                <w:b/>
                <w:bCs/>
                <w:sz w:val="20"/>
                <w:szCs w:val="20"/>
              </w:rPr>
              <w:t>2020</w:t>
            </w:r>
          </w:p>
        </w:tc>
        <w:tc>
          <w:tcPr>
            <w:tcW w:w="1115" w:type="dxa"/>
            <w:tcBorders>
              <w:top w:val="single" w:sz="4" w:space="0" w:color="auto"/>
              <w:left w:val="nil"/>
              <w:bottom w:val="single" w:sz="4" w:space="0" w:color="auto"/>
              <w:right w:val="single" w:sz="4" w:space="0" w:color="auto"/>
            </w:tcBorders>
            <w:shd w:val="clear" w:color="auto" w:fill="auto"/>
            <w:vAlign w:val="center"/>
            <w:hideMark/>
          </w:tcPr>
          <w:p w14:paraId="7D4837B8" w14:textId="77777777" w:rsidR="00FE41E9" w:rsidRPr="00FE41E9" w:rsidRDefault="00FE41E9" w:rsidP="00FE41E9">
            <w:pPr>
              <w:jc w:val="center"/>
              <w:rPr>
                <w:rFonts w:ascii="Arial Narrow" w:hAnsi="Arial Narrow" w:cs="Arial"/>
                <w:b/>
                <w:bCs/>
                <w:sz w:val="20"/>
                <w:szCs w:val="20"/>
              </w:rPr>
            </w:pPr>
            <w:r w:rsidRPr="00FE41E9">
              <w:rPr>
                <w:rFonts w:ascii="Arial Narrow" w:hAnsi="Arial Narrow" w:cs="Arial"/>
                <w:b/>
                <w:bCs/>
                <w:sz w:val="20"/>
                <w:szCs w:val="20"/>
              </w:rPr>
              <w:t>2021</w:t>
            </w:r>
          </w:p>
        </w:tc>
        <w:tc>
          <w:tcPr>
            <w:tcW w:w="1115" w:type="dxa"/>
            <w:tcBorders>
              <w:top w:val="single" w:sz="4" w:space="0" w:color="auto"/>
              <w:left w:val="nil"/>
              <w:bottom w:val="single" w:sz="4" w:space="0" w:color="auto"/>
              <w:right w:val="single" w:sz="4" w:space="0" w:color="auto"/>
            </w:tcBorders>
            <w:shd w:val="clear" w:color="auto" w:fill="auto"/>
            <w:vAlign w:val="center"/>
            <w:hideMark/>
          </w:tcPr>
          <w:p w14:paraId="568E8CFF" w14:textId="77777777" w:rsidR="00FE41E9" w:rsidRPr="00FE41E9" w:rsidRDefault="00FE41E9" w:rsidP="00FE41E9">
            <w:pPr>
              <w:jc w:val="center"/>
              <w:rPr>
                <w:rFonts w:ascii="Arial Narrow" w:hAnsi="Arial Narrow" w:cs="Arial"/>
                <w:b/>
                <w:bCs/>
                <w:sz w:val="20"/>
                <w:szCs w:val="20"/>
              </w:rPr>
            </w:pPr>
            <w:r w:rsidRPr="00FE41E9">
              <w:rPr>
                <w:rFonts w:ascii="Arial Narrow" w:hAnsi="Arial Narrow" w:cs="Arial"/>
                <w:b/>
                <w:bCs/>
                <w:sz w:val="20"/>
                <w:szCs w:val="20"/>
              </w:rPr>
              <w:t>2022</w:t>
            </w:r>
          </w:p>
        </w:tc>
        <w:tc>
          <w:tcPr>
            <w:tcW w:w="1115" w:type="dxa"/>
            <w:tcBorders>
              <w:top w:val="single" w:sz="4" w:space="0" w:color="auto"/>
              <w:left w:val="nil"/>
              <w:bottom w:val="single" w:sz="4" w:space="0" w:color="auto"/>
              <w:right w:val="single" w:sz="4" w:space="0" w:color="auto"/>
            </w:tcBorders>
            <w:shd w:val="clear" w:color="000000" w:fill="FFFFFF"/>
            <w:vAlign w:val="center"/>
            <w:hideMark/>
          </w:tcPr>
          <w:p w14:paraId="35C3F5EB" w14:textId="77777777" w:rsidR="00FE41E9" w:rsidRPr="00FE41E9" w:rsidRDefault="00FE41E9" w:rsidP="00FE41E9">
            <w:pPr>
              <w:jc w:val="center"/>
              <w:rPr>
                <w:rFonts w:ascii="Arial Narrow" w:hAnsi="Arial Narrow" w:cs="Arial"/>
                <w:b/>
                <w:bCs/>
                <w:sz w:val="20"/>
                <w:szCs w:val="20"/>
              </w:rPr>
            </w:pPr>
            <w:r w:rsidRPr="00FE41E9">
              <w:rPr>
                <w:rFonts w:ascii="Arial Narrow" w:hAnsi="Arial Narrow" w:cs="Arial"/>
                <w:b/>
                <w:bCs/>
                <w:sz w:val="20"/>
                <w:szCs w:val="20"/>
              </w:rPr>
              <w:t>2023</w:t>
            </w:r>
          </w:p>
        </w:tc>
        <w:tc>
          <w:tcPr>
            <w:tcW w:w="1115" w:type="dxa"/>
            <w:tcBorders>
              <w:top w:val="single" w:sz="4" w:space="0" w:color="auto"/>
              <w:left w:val="nil"/>
              <w:bottom w:val="single" w:sz="4" w:space="0" w:color="auto"/>
              <w:right w:val="single" w:sz="4" w:space="0" w:color="auto"/>
            </w:tcBorders>
            <w:shd w:val="clear" w:color="000000" w:fill="FFFFFF"/>
            <w:vAlign w:val="center"/>
            <w:hideMark/>
          </w:tcPr>
          <w:p w14:paraId="39BE05B3" w14:textId="77777777" w:rsidR="00FE41E9" w:rsidRPr="00FE41E9" w:rsidRDefault="00FE41E9" w:rsidP="00FE41E9">
            <w:pPr>
              <w:jc w:val="center"/>
              <w:rPr>
                <w:rFonts w:ascii="Arial Narrow" w:hAnsi="Arial Narrow" w:cs="Arial"/>
                <w:b/>
                <w:bCs/>
                <w:sz w:val="20"/>
                <w:szCs w:val="20"/>
              </w:rPr>
            </w:pPr>
            <w:r w:rsidRPr="00FE41E9">
              <w:rPr>
                <w:rFonts w:ascii="Arial Narrow" w:hAnsi="Arial Narrow" w:cs="Arial"/>
                <w:b/>
                <w:bCs/>
                <w:sz w:val="20"/>
                <w:szCs w:val="20"/>
              </w:rPr>
              <w:t>2024</w:t>
            </w:r>
          </w:p>
        </w:tc>
      </w:tr>
      <w:tr w:rsidR="00FE41E9" w:rsidRPr="00FE41E9" w14:paraId="181DE03A" w14:textId="77777777" w:rsidTr="00BF1588">
        <w:trPr>
          <w:trHeight w:val="309"/>
        </w:trPr>
        <w:tc>
          <w:tcPr>
            <w:tcW w:w="4378" w:type="dxa"/>
            <w:tcBorders>
              <w:top w:val="nil"/>
              <w:left w:val="single" w:sz="4" w:space="0" w:color="auto"/>
              <w:bottom w:val="single" w:sz="4" w:space="0" w:color="auto"/>
              <w:right w:val="single" w:sz="4" w:space="0" w:color="auto"/>
            </w:tcBorders>
            <w:shd w:val="clear" w:color="auto" w:fill="auto"/>
            <w:noWrap/>
            <w:vAlign w:val="center"/>
            <w:hideMark/>
          </w:tcPr>
          <w:p w14:paraId="33DDA388" w14:textId="77777777" w:rsidR="00FE41E9" w:rsidRPr="00FE41E9" w:rsidRDefault="00FE41E9" w:rsidP="00FE41E9">
            <w:pPr>
              <w:rPr>
                <w:rFonts w:ascii="Arial Narrow" w:hAnsi="Arial Narrow" w:cs="Arial"/>
                <w:color w:val="000000"/>
                <w:sz w:val="20"/>
                <w:szCs w:val="20"/>
                <w:lang w:val="bg-BG"/>
              </w:rPr>
            </w:pPr>
            <w:r w:rsidRPr="00FE41E9">
              <w:rPr>
                <w:rFonts w:ascii="Arial Narrow" w:hAnsi="Arial Narrow" w:cs="Arial"/>
                <w:color w:val="000000"/>
                <w:sz w:val="20"/>
                <w:szCs w:val="20"/>
                <w:lang w:val="bg-BG"/>
              </w:rPr>
              <w:t>пшеница</w:t>
            </w:r>
          </w:p>
        </w:tc>
        <w:tc>
          <w:tcPr>
            <w:tcW w:w="1115" w:type="dxa"/>
            <w:tcBorders>
              <w:top w:val="nil"/>
              <w:left w:val="nil"/>
              <w:bottom w:val="single" w:sz="4" w:space="0" w:color="auto"/>
              <w:right w:val="single" w:sz="4" w:space="0" w:color="auto"/>
            </w:tcBorders>
            <w:shd w:val="clear" w:color="auto" w:fill="auto"/>
            <w:noWrap/>
            <w:vAlign w:val="center"/>
            <w:hideMark/>
          </w:tcPr>
          <w:p w14:paraId="58D774CB" w14:textId="77777777" w:rsidR="00FE41E9" w:rsidRPr="00FE41E9" w:rsidRDefault="00FE41E9" w:rsidP="00FE41E9">
            <w:pPr>
              <w:jc w:val="right"/>
              <w:rPr>
                <w:rFonts w:ascii="Arial Narrow" w:hAnsi="Arial Narrow" w:cs="Arial"/>
                <w:sz w:val="20"/>
                <w:szCs w:val="20"/>
              </w:rPr>
            </w:pPr>
            <w:r w:rsidRPr="00FE41E9">
              <w:rPr>
                <w:rFonts w:ascii="Arial Narrow" w:hAnsi="Arial Narrow" w:cs="Arial"/>
                <w:sz w:val="20"/>
                <w:szCs w:val="20"/>
              </w:rPr>
              <w:t>1 203 964</w:t>
            </w:r>
          </w:p>
        </w:tc>
        <w:tc>
          <w:tcPr>
            <w:tcW w:w="1115" w:type="dxa"/>
            <w:tcBorders>
              <w:top w:val="nil"/>
              <w:left w:val="nil"/>
              <w:bottom w:val="single" w:sz="4" w:space="0" w:color="auto"/>
              <w:right w:val="single" w:sz="4" w:space="0" w:color="auto"/>
            </w:tcBorders>
            <w:shd w:val="clear" w:color="auto" w:fill="auto"/>
            <w:noWrap/>
            <w:vAlign w:val="center"/>
            <w:hideMark/>
          </w:tcPr>
          <w:p w14:paraId="5CA86829" w14:textId="77777777" w:rsidR="00FE41E9" w:rsidRPr="00FE41E9" w:rsidRDefault="00FE41E9" w:rsidP="00FE41E9">
            <w:pPr>
              <w:jc w:val="right"/>
              <w:rPr>
                <w:rFonts w:ascii="Arial Narrow" w:hAnsi="Arial Narrow" w:cs="Arial"/>
                <w:sz w:val="20"/>
                <w:szCs w:val="20"/>
              </w:rPr>
            </w:pPr>
            <w:r w:rsidRPr="00FE41E9">
              <w:rPr>
                <w:rFonts w:ascii="Arial Narrow" w:hAnsi="Arial Narrow" w:cs="Arial"/>
                <w:sz w:val="20"/>
                <w:szCs w:val="20"/>
              </w:rPr>
              <w:t>1 247 453</w:t>
            </w:r>
          </w:p>
        </w:tc>
        <w:tc>
          <w:tcPr>
            <w:tcW w:w="1115" w:type="dxa"/>
            <w:tcBorders>
              <w:top w:val="nil"/>
              <w:left w:val="nil"/>
              <w:bottom w:val="single" w:sz="4" w:space="0" w:color="auto"/>
              <w:right w:val="single" w:sz="4" w:space="0" w:color="auto"/>
            </w:tcBorders>
            <w:shd w:val="clear" w:color="auto" w:fill="auto"/>
            <w:noWrap/>
            <w:vAlign w:val="center"/>
            <w:hideMark/>
          </w:tcPr>
          <w:p w14:paraId="43B0D39F" w14:textId="77777777" w:rsidR="00FE41E9" w:rsidRPr="00FE41E9" w:rsidRDefault="00FE41E9" w:rsidP="00FE41E9">
            <w:pPr>
              <w:jc w:val="right"/>
              <w:rPr>
                <w:rFonts w:ascii="Arial Narrow" w:hAnsi="Arial Narrow" w:cs="Arial"/>
                <w:sz w:val="20"/>
                <w:szCs w:val="20"/>
              </w:rPr>
            </w:pPr>
            <w:r w:rsidRPr="00FE41E9">
              <w:rPr>
                <w:rFonts w:ascii="Arial Narrow" w:hAnsi="Arial Narrow" w:cs="Arial"/>
                <w:sz w:val="20"/>
                <w:szCs w:val="20"/>
              </w:rPr>
              <w:t>1 207 969</w:t>
            </w:r>
          </w:p>
        </w:tc>
        <w:tc>
          <w:tcPr>
            <w:tcW w:w="1115" w:type="dxa"/>
            <w:tcBorders>
              <w:top w:val="nil"/>
              <w:left w:val="nil"/>
              <w:bottom w:val="single" w:sz="4" w:space="0" w:color="auto"/>
              <w:right w:val="single" w:sz="4" w:space="0" w:color="auto"/>
            </w:tcBorders>
            <w:shd w:val="clear" w:color="000000" w:fill="FFFFFF"/>
            <w:noWrap/>
            <w:vAlign w:val="center"/>
            <w:hideMark/>
          </w:tcPr>
          <w:p w14:paraId="71B355B9" w14:textId="77777777" w:rsidR="00FE41E9" w:rsidRPr="00FE41E9" w:rsidRDefault="00FE41E9" w:rsidP="00FE41E9">
            <w:pPr>
              <w:jc w:val="right"/>
              <w:rPr>
                <w:rFonts w:ascii="Arial Narrow" w:hAnsi="Arial Narrow" w:cs="Arial"/>
                <w:sz w:val="20"/>
                <w:szCs w:val="20"/>
              </w:rPr>
            </w:pPr>
            <w:r w:rsidRPr="00FE41E9">
              <w:rPr>
                <w:rFonts w:ascii="Arial Narrow" w:hAnsi="Arial Narrow" w:cs="Arial"/>
                <w:sz w:val="20"/>
                <w:szCs w:val="20"/>
              </w:rPr>
              <w:t>1 301 482</w:t>
            </w:r>
          </w:p>
        </w:tc>
        <w:tc>
          <w:tcPr>
            <w:tcW w:w="1115" w:type="dxa"/>
            <w:tcBorders>
              <w:top w:val="nil"/>
              <w:left w:val="nil"/>
              <w:bottom w:val="single" w:sz="4" w:space="0" w:color="auto"/>
              <w:right w:val="single" w:sz="4" w:space="0" w:color="auto"/>
            </w:tcBorders>
            <w:shd w:val="clear" w:color="000000" w:fill="FFFFFF"/>
            <w:noWrap/>
            <w:vAlign w:val="center"/>
            <w:hideMark/>
          </w:tcPr>
          <w:p w14:paraId="07EC87AE" w14:textId="77777777" w:rsidR="00FE41E9" w:rsidRPr="00FE41E9" w:rsidRDefault="00FE41E9" w:rsidP="00FE41E9">
            <w:pPr>
              <w:jc w:val="right"/>
              <w:rPr>
                <w:rFonts w:ascii="Arial Narrow" w:hAnsi="Arial Narrow" w:cs="Arial"/>
                <w:sz w:val="20"/>
                <w:szCs w:val="20"/>
              </w:rPr>
            </w:pPr>
            <w:r w:rsidRPr="00FE41E9">
              <w:rPr>
                <w:rFonts w:ascii="Arial Narrow" w:hAnsi="Arial Narrow" w:cs="Arial"/>
                <w:sz w:val="20"/>
                <w:szCs w:val="20"/>
              </w:rPr>
              <w:t>1 207 279</w:t>
            </w:r>
          </w:p>
        </w:tc>
      </w:tr>
      <w:tr w:rsidR="00FE41E9" w:rsidRPr="00FE41E9" w14:paraId="71F8BBEC" w14:textId="77777777" w:rsidTr="00BF1588">
        <w:trPr>
          <w:trHeight w:val="309"/>
        </w:trPr>
        <w:tc>
          <w:tcPr>
            <w:tcW w:w="4378" w:type="dxa"/>
            <w:tcBorders>
              <w:top w:val="nil"/>
              <w:left w:val="single" w:sz="4" w:space="0" w:color="auto"/>
              <w:bottom w:val="single" w:sz="4" w:space="0" w:color="auto"/>
              <w:right w:val="single" w:sz="4" w:space="0" w:color="auto"/>
            </w:tcBorders>
            <w:shd w:val="clear" w:color="auto" w:fill="auto"/>
            <w:noWrap/>
            <w:vAlign w:val="center"/>
            <w:hideMark/>
          </w:tcPr>
          <w:p w14:paraId="4D2FC585" w14:textId="77777777" w:rsidR="00FE41E9" w:rsidRPr="00FE41E9" w:rsidRDefault="00FE41E9" w:rsidP="00FE41E9">
            <w:pPr>
              <w:rPr>
                <w:rFonts w:ascii="Arial Narrow" w:hAnsi="Arial Narrow" w:cs="Arial"/>
                <w:color w:val="000000"/>
                <w:sz w:val="20"/>
                <w:szCs w:val="20"/>
                <w:lang w:val="bg-BG"/>
              </w:rPr>
            </w:pPr>
            <w:r w:rsidRPr="00FE41E9">
              <w:rPr>
                <w:rFonts w:ascii="Arial Narrow" w:hAnsi="Arial Narrow" w:cs="Arial"/>
                <w:color w:val="000000"/>
                <w:sz w:val="20"/>
                <w:szCs w:val="20"/>
                <w:lang w:val="bg-BG"/>
              </w:rPr>
              <w:t>ечемик</w:t>
            </w:r>
          </w:p>
        </w:tc>
        <w:tc>
          <w:tcPr>
            <w:tcW w:w="1115" w:type="dxa"/>
            <w:tcBorders>
              <w:top w:val="nil"/>
              <w:left w:val="nil"/>
              <w:bottom w:val="single" w:sz="4" w:space="0" w:color="auto"/>
              <w:right w:val="single" w:sz="4" w:space="0" w:color="auto"/>
            </w:tcBorders>
            <w:shd w:val="clear" w:color="auto" w:fill="auto"/>
            <w:noWrap/>
            <w:vAlign w:val="center"/>
            <w:hideMark/>
          </w:tcPr>
          <w:p w14:paraId="3CB95EDA" w14:textId="77777777" w:rsidR="00FE41E9" w:rsidRPr="00FE41E9" w:rsidRDefault="00FE41E9" w:rsidP="00FE41E9">
            <w:pPr>
              <w:jc w:val="right"/>
              <w:rPr>
                <w:rFonts w:ascii="Arial Narrow" w:hAnsi="Arial Narrow" w:cs="Arial"/>
                <w:sz w:val="20"/>
                <w:szCs w:val="20"/>
              </w:rPr>
            </w:pPr>
            <w:r w:rsidRPr="00FE41E9">
              <w:rPr>
                <w:rFonts w:ascii="Arial Narrow" w:hAnsi="Arial Narrow" w:cs="Arial"/>
                <w:sz w:val="20"/>
                <w:szCs w:val="20"/>
              </w:rPr>
              <w:t>131 340</w:t>
            </w:r>
          </w:p>
        </w:tc>
        <w:tc>
          <w:tcPr>
            <w:tcW w:w="1115" w:type="dxa"/>
            <w:tcBorders>
              <w:top w:val="nil"/>
              <w:left w:val="nil"/>
              <w:bottom w:val="single" w:sz="4" w:space="0" w:color="auto"/>
              <w:right w:val="single" w:sz="4" w:space="0" w:color="auto"/>
            </w:tcBorders>
            <w:shd w:val="clear" w:color="auto" w:fill="auto"/>
            <w:noWrap/>
            <w:vAlign w:val="center"/>
            <w:hideMark/>
          </w:tcPr>
          <w:p w14:paraId="2E789B60" w14:textId="77777777" w:rsidR="00FE41E9" w:rsidRPr="00FE41E9" w:rsidRDefault="00FE41E9" w:rsidP="00FE41E9">
            <w:pPr>
              <w:jc w:val="right"/>
              <w:rPr>
                <w:rFonts w:ascii="Arial Narrow" w:hAnsi="Arial Narrow" w:cs="Arial"/>
                <w:sz w:val="20"/>
                <w:szCs w:val="20"/>
              </w:rPr>
            </w:pPr>
            <w:r w:rsidRPr="00FE41E9">
              <w:rPr>
                <w:rFonts w:ascii="Arial Narrow" w:hAnsi="Arial Narrow" w:cs="Arial"/>
                <w:sz w:val="20"/>
                <w:szCs w:val="20"/>
              </w:rPr>
              <w:t>139 109</w:t>
            </w:r>
          </w:p>
        </w:tc>
        <w:tc>
          <w:tcPr>
            <w:tcW w:w="1115" w:type="dxa"/>
            <w:tcBorders>
              <w:top w:val="nil"/>
              <w:left w:val="nil"/>
              <w:bottom w:val="single" w:sz="4" w:space="0" w:color="auto"/>
              <w:right w:val="single" w:sz="4" w:space="0" w:color="auto"/>
            </w:tcBorders>
            <w:shd w:val="clear" w:color="auto" w:fill="auto"/>
            <w:noWrap/>
            <w:vAlign w:val="center"/>
            <w:hideMark/>
          </w:tcPr>
          <w:p w14:paraId="63ED84F8" w14:textId="77777777" w:rsidR="00FE41E9" w:rsidRPr="00FE41E9" w:rsidRDefault="00FE41E9" w:rsidP="00FE41E9">
            <w:pPr>
              <w:jc w:val="right"/>
              <w:rPr>
                <w:rFonts w:ascii="Arial Narrow" w:hAnsi="Arial Narrow" w:cs="Arial"/>
                <w:sz w:val="20"/>
                <w:szCs w:val="20"/>
              </w:rPr>
            </w:pPr>
            <w:r w:rsidRPr="00FE41E9">
              <w:rPr>
                <w:rFonts w:ascii="Arial Narrow" w:hAnsi="Arial Narrow" w:cs="Arial"/>
                <w:sz w:val="20"/>
                <w:szCs w:val="20"/>
              </w:rPr>
              <w:t>127 270</w:t>
            </w:r>
          </w:p>
        </w:tc>
        <w:tc>
          <w:tcPr>
            <w:tcW w:w="1115" w:type="dxa"/>
            <w:tcBorders>
              <w:top w:val="nil"/>
              <w:left w:val="nil"/>
              <w:bottom w:val="single" w:sz="4" w:space="0" w:color="auto"/>
              <w:right w:val="single" w:sz="4" w:space="0" w:color="auto"/>
            </w:tcBorders>
            <w:shd w:val="clear" w:color="000000" w:fill="FFFFFF"/>
            <w:noWrap/>
            <w:vAlign w:val="center"/>
            <w:hideMark/>
          </w:tcPr>
          <w:p w14:paraId="2A1308CB" w14:textId="77777777" w:rsidR="00FE41E9" w:rsidRPr="00FE41E9" w:rsidRDefault="00FE41E9" w:rsidP="00FE41E9">
            <w:pPr>
              <w:jc w:val="right"/>
              <w:rPr>
                <w:rFonts w:ascii="Arial Narrow" w:hAnsi="Arial Narrow" w:cs="Arial"/>
                <w:sz w:val="20"/>
                <w:szCs w:val="20"/>
              </w:rPr>
            </w:pPr>
            <w:r w:rsidRPr="00FE41E9">
              <w:rPr>
                <w:rFonts w:ascii="Arial Narrow" w:hAnsi="Arial Narrow" w:cs="Arial"/>
                <w:sz w:val="20"/>
                <w:szCs w:val="20"/>
              </w:rPr>
              <w:t>151 880</w:t>
            </w:r>
          </w:p>
        </w:tc>
        <w:tc>
          <w:tcPr>
            <w:tcW w:w="1115" w:type="dxa"/>
            <w:tcBorders>
              <w:top w:val="nil"/>
              <w:left w:val="nil"/>
              <w:bottom w:val="single" w:sz="4" w:space="0" w:color="auto"/>
              <w:right w:val="single" w:sz="4" w:space="0" w:color="auto"/>
            </w:tcBorders>
            <w:shd w:val="clear" w:color="000000" w:fill="FFFFFF"/>
            <w:noWrap/>
            <w:vAlign w:val="center"/>
            <w:hideMark/>
          </w:tcPr>
          <w:p w14:paraId="37452066" w14:textId="77777777" w:rsidR="00FE41E9" w:rsidRPr="00FE41E9" w:rsidRDefault="00FE41E9" w:rsidP="00FE41E9">
            <w:pPr>
              <w:jc w:val="right"/>
              <w:rPr>
                <w:rFonts w:ascii="Arial Narrow" w:hAnsi="Arial Narrow" w:cs="Arial"/>
                <w:sz w:val="20"/>
                <w:szCs w:val="20"/>
              </w:rPr>
            </w:pPr>
            <w:r w:rsidRPr="00FE41E9">
              <w:rPr>
                <w:rFonts w:ascii="Arial Narrow" w:hAnsi="Arial Narrow" w:cs="Arial"/>
                <w:sz w:val="20"/>
                <w:szCs w:val="20"/>
              </w:rPr>
              <w:t>190 649</w:t>
            </w:r>
          </w:p>
        </w:tc>
      </w:tr>
      <w:tr w:rsidR="00FE41E9" w:rsidRPr="00FE41E9" w14:paraId="21521D9F" w14:textId="77777777" w:rsidTr="00BF1588">
        <w:trPr>
          <w:trHeight w:val="309"/>
        </w:trPr>
        <w:tc>
          <w:tcPr>
            <w:tcW w:w="4378" w:type="dxa"/>
            <w:tcBorders>
              <w:top w:val="nil"/>
              <w:left w:val="single" w:sz="4" w:space="0" w:color="auto"/>
              <w:bottom w:val="single" w:sz="4" w:space="0" w:color="auto"/>
              <w:right w:val="single" w:sz="4" w:space="0" w:color="auto"/>
            </w:tcBorders>
            <w:shd w:val="clear" w:color="auto" w:fill="auto"/>
            <w:noWrap/>
            <w:vAlign w:val="center"/>
            <w:hideMark/>
          </w:tcPr>
          <w:p w14:paraId="6E4E48E3" w14:textId="77777777" w:rsidR="00FE41E9" w:rsidRPr="00FE41E9" w:rsidRDefault="00FE41E9" w:rsidP="00FE41E9">
            <w:pPr>
              <w:rPr>
                <w:rFonts w:ascii="Arial Narrow" w:hAnsi="Arial Narrow" w:cs="Arial"/>
                <w:color w:val="000000"/>
                <w:sz w:val="20"/>
                <w:szCs w:val="20"/>
                <w:lang w:val="bg-BG"/>
              </w:rPr>
            </w:pPr>
            <w:r w:rsidRPr="00FE41E9">
              <w:rPr>
                <w:rFonts w:ascii="Arial Narrow" w:hAnsi="Arial Narrow" w:cs="Arial"/>
                <w:color w:val="000000"/>
                <w:sz w:val="20"/>
                <w:szCs w:val="20"/>
                <w:lang w:val="bg-BG"/>
              </w:rPr>
              <w:t>ръж и тритикале</w:t>
            </w:r>
          </w:p>
        </w:tc>
        <w:tc>
          <w:tcPr>
            <w:tcW w:w="1115" w:type="dxa"/>
            <w:tcBorders>
              <w:top w:val="nil"/>
              <w:left w:val="nil"/>
              <w:bottom w:val="single" w:sz="4" w:space="0" w:color="auto"/>
              <w:right w:val="single" w:sz="4" w:space="0" w:color="auto"/>
            </w:tcBorders>
            <w:shd w:val="clear" w:color="auto" w:fill="auto"/>
            <w:noWrap/>
            <w:vAlign w:val="center"/>
            <w:hideMark/>
          </w:tcPr>
          <w:p w14:paraId="4C4F2BEB" w14:textId="77777777" w:rsidR="00FE41E9" w:rsidRPr="00FE41E9" w:rsidRDefault="00FE41E9" w:rsidP="00FE41E9">
            <w:pPr>
              <w:jc w:val="right"/>
              <w:rPr>
                <w:rFonts w:ascii="Arial Narrow" w:hAnsi="Arial Narrow" w:cs="Arial"/>
                <w:sz w:val="20"/>
                <w:szCs w:val="20"/>
              </w:rPr>
            </w:pPr>
            <w:r w:rsidRPr="00FE41E9">
              <w:rPr>
                <w:rFonts w:ascii="Arial Narrow" w:hAnsi="Arial Narrow" w:cs="Arial"/>
                <w:sz w:val="20"/>
                <w:szCs w:val="20"/>
              </w:rPr>
              <w:t>25 875</w:t>
            </w:r>
          </w:p>
        </w:tc>
        <w:tc>
          <w:tcPr>
            <w:tcW w:w="1115" w:type="dxa"/>
            <w:tcBorders>
              <w:top w:val="nil"/>
              <w:left w:val="nil"/>
              <w:bottom w:val="single" w:sz="4" w:space="0" w:color="auto"/>
              <w:right w:val="single" w:sz="4" w:space="0" w:color="auto"/>
            </w:tcBorders>
            <w:shd w:val="clear" w:color="auto" w:fill="auto"/>
            <w:noWrap/>
            <w:vAlign w:val="center"/>
            <w:hideMark/>
          </w:tcPr>
          <w:p w14:paraId="1454AF2A" w14:textId="77777777" w:rsidR="00FE41E9" w:rsidRPr="00FE41E9" w:rsidRDefault="00FE41E9" w:rsidP="00FE41E9">
            <w:pPr>
              <w:jc w:val="right"/>
              <w:rPr>
                <w:rFonts w:ascii="Arial Narrow" w:hAnsi="Arial Narrow" w:cs="Arial"/>
                <w:sz w:val="20"/>
                <w:szCs w:val="20"/>
              </w:rPr>
            </w:pPr>
            <w:r w:rsidRPr="00FE41E9">
              <w:rPr>
                <w:rFonts w:ascii="Arial Narrow" w:hAnsi="Arial Narrow" w:cs="Arial"/>
                <w:sz w:val="20"/>
                <w:szCs w:val="20"/>
              </w:rPr>
              <w:t>35 053</w:t>
            </w:r>
          </w:p>
        </w:tc>
        <w:tc>
          <w:tcPr>
            <w:tcW w:w="1115" w:type="dxa"/>
            <w:tcBorders>
              <w:top w:val="nil"/>
              <w:left w:val="nil"/>
              <w:bottom w:val="single" w:sz="4" w:space="0" w:color="auto"/>
              <w:right w:val="single" w:sz="4" w:space="0" w:color="auto"/>
            </w:tcBorders>
            <w:shd w:val="clear" w:color="auto" w:fill="auto"/>
            <w:noWrap/>
            <w:vAlign w:val="center"/>
            <w:hideMark/>
          </w:tcPr>
          <w:p w14:paraId="0FD09B1A" w14:textId="77777777" w:rsidR="00FE41E9" w:rsidRPr="00FE41E9" w:rsidRDefault="00FE41E9" w:rsidP="00FE41E9">
            <w:pPr>
              <w:jc w:val="right"/>
              <w:rPr>
                <w:rFonts w:ascii="Arial Narrow" w:hAnsi="Arial Narrow" w:cs="Arial"/>
                <w:sz w:val="20"/>
                <w:szCs w:val="20"/>
              </w:rPr>
            </w:pPr>
            <w:r w:rsidRPr="00FE41E9">
              <w:rPr>
                <w:rFonts w:ascii="Arial Narrow" w:hAnsi="Arial Narrow" w:cs="Arial"/>
                <w:sz w:val="20"/>
                <w:szCs w:val="20"/>
              </w:rPr>
              <w:t>31 327</w:t>
            </w:r>
          </w:p>
        </w:tc>
        <w:tc>
          <w:tcPr>
            <w:tcW w:w="1115" w:type="dxa"/>
            <w:tcBorders>
              <w:top w:val="nil"/>
              <w:left w:val="nil"/>
              <w:bottom w:val="single" w:sz="4" w:space="0" w:color="auto"/>
              <w:right w:val="single" w:sz="4" w:space="0" w:color="auto"/>
            </w:tcBorders>
            <w:shd w:val="clear" w:color="000000" w:fill="FFFFFF"/>
            <w:noWrap/>
            <w:vAlign w:val="center"/>
            <w:hideMark/>
          </w:tcPr>
          <w:p w14:paraId="50DAFACD" w14:textId="77777777" w:rsidR="00FE41E9" w:rsidRPr="00FE41E9" w:rsidRDefault="00FE41E9" w:rsidP="00FE41E9">
            <w:pPr>
              <w:jc w:val="right"/>
              <w:rPr>
                <w:rFonts w:ascii="Arial Narrow" w:hAnsi="Arial Narrow" w:cs="Arial"/>
                <w:sz w:val="20"/>
                <w:szCs w:val="20"/>
              </w:rPr>
            </w:pPr>
            <w:r w:rsidRPr="00FE41E9">
              <w:rPr>
                <w:rFonts w:ascii="Arial Narrow" w:hAnsi="Arial Narrow" w:cs="Arial"/>
                <w:sz w:val="20"/>
                <w:szCs w:val="20"/>
              </w:rPr>
              <w:t>42 042</w:t>
            </w:r>
          </w:p>
        </w:tc>
        <w:tc>
          <w:tcPr>
            <w:tcW w:w="1115" w:type="dxa"/>
            <w:tcBorders>
              <w:top w:val="nil"/>
              <w:left w:val="nil"/>
              <w:bottom w:val="single" w:sz="4" w:space="0" w:color="auto"/>
              <w:right w:val="single" w:sz="4" w:space="0" w:color="auto"/>
            </w:tcBorders>
            <w:shd w:val="clear" w:color="000000" w:fill="FFFFFF"/>
            <w:noWrap/>
            <w:vAlign w:val="center"/>
            <w:hideMark/>
          </w:tcPr>
          <w:p w14:paraId="7BD479D0" w14:textId="77777777" w:rsidR="00FE41E9" w:rsidRPr="00FE41E9" w:rsidRDefault="00FE41E9" w:rsidP="00FE41E9">
            <w:pPr>
              <w:jc w:val="right"/>
              <w:rPr>
                <w:rFonts w:ascii="Arial Narrow" w:hAnsi="Arial Narrow" w:cs="Arial"/>
                <w:sz w:val="20"/>
                <w:szCs w:val="20"/>
              </w:rPr>
            </w:pPr>
            <w:r w:rsidRPr="00FE41E9">
              <w:rPr>
                <w:rFonts w:ascii="Arial Narrow" w:hAnsi="Arial Narrow" w:cs="Arial"/>
                <w:sz w:val="20"/>
                <w:szCs w:val="20"/>
              </w:rPr>
              <w:t>29 323</w:t>
            </w:r>
          </w:p>
        </w:tc>
      </w:tr>
      <w:tr w:rsidR="00FE41E9" w:rsidRPr="00FE41E9" w14:paraId="5E4BBADE" w14:textId="77777777" w:rsidTr="00BF1588">
        <w:trPr>
          <w:trHeight w:val="309"/>
        </w:trPr>
        <w:tc>
          <w:tcPr>
            <w:tcW w:w="4378" w:type="dxa"/>
            <w:tcBorders>
              <w:top w:val="nil"/>
              <w:left w:val="single" w:sz="4" w:space="0" w:color="auto"/>
              <w:bottom w:val="single" w:sz="4" w:space="0" w:color="auto"/>
              <w:right w:val="single" w:sz="4" w:space="0" w:color="auto"/>
            </w:tcBorders>
            <w:shd w:val="clear" w:color="auto" w:fill="auto"/>
            <w:noWrap/>
            <w:vAlign w:val="center"/>
            <w:hideMark/>
          </w:tcPr>
          <w:p w14:paraId="66471661" w14:textId="77777777" w:rsidR="00FE41E9" w:rsidRPr="00FE41E9" w:rsidRDefault="00FE41E9" w:rsidP="00FE41E9">
            <w:pPr>
              <w:rPr>
                <w:rFonts w:ascii="Arial Narrow" w:hAnsi="Arial Narrow" w:cs="Arial"/>
                <w:color w:val="000000"/>
                <w:sz w:val="20"/>
                <w:szCs w:val="20"/>
                <w:lang w:val="bg-BG"/>
              </w:rPr>
            </w:pPr>
            <w:r w:rsidRPr="00FE41E9">
              <w:rPr>
                <w:rFonts w:ascii="Arial Narrow" w:hAnsi="Arial Narrow" w:cs="Arial"/>
                <w:color w:val="000000"/>
                <w:sz w:val="20"/>
                <w:szCs w:val="20"/>
                <w:lang w:val="bg-BG"/>
              </w:rPr>
              <w:t>овес</w:t>
            </w:r>
          </w:p>
        </w:tc>
        <w:tc>
          <w:tcPr>
            <w:tcW w:w="1115" w:type="dxa"/>
            <w:tcBorders>
              <w:top w:val="nil"/>
              <w:left w:val="nil"/>
              <w:bottom w:val="single" w:sz="4" w:space="0" w:color="auto"/>
              <w:right w:val="single" w:sz="4" w:space="0" w:color="auto"/>
            </w:tcBorders>
            <w:shd w:val="clear" w:color="auto" w:fill="auto"/>
            <w:noWrap/>
            <w:vAlign w:val="center"/>
            <w:hideMark/>
          </w:tcPr>
          <w:p w14:paraId="50327B3A" w14:textId="77777777" w:rsidR="00FE41E9" w:rsidRPr="00FE41E9" w:rsidRDefault="00FE41E9" w:rsidP="00FE41E9">
            <w:pPr>
              <w:jc w:val="right"/>
              <w:rPr>
                <w:rFonts w:ascii="Arial Narrow" w:hAnsi="Arial Narrow" w:cs="Arial"/>
                <w:sz w:val="20"/>
                <w:szCs w:val="20"/>
              </w:rPr>
            </w:pPr>
            <w:r w:rsidRPr="00FE41E9">
              <w:rPr>
                <w:rFonts w:ascii="Arial Narrow" w:hAnsi="Arial Narrow" w:cs="Arial"/>
                <w:sz w:val="20"/>
                <w:szCs w:val="20"/>
              </w:rPr>
              <w:t>11 386</w:t>
            </w:r>
          </w:p>
        </w:tc>
        <w:tc>
          <w:tcPr>
            <w:tcW w:w="1115" w:type="dxa"/>
            <w:tcBorders>
              <w:top w:val="nil"/>
              <w:left w:val="nil"/>
              <w:bottom w:val="single" w:sz="4" w:space="0" w:color="auto"/>
              <w:right w:val="single" w:sz="4" w:space="0" w:color="auto"/>
            </w:tcBorders>
            <w:shd w:val="clear" w:color="auto" w:fill="auto"/>
            <w:noWrap/>
            <w:vAlign w:val="center"/>
            <w:hideMark/>
          </w:tcPr>
          <w:p w14:paraId="3BAE40CE" w14:textId="77777777" w:rsidR="00FE41E9" w:rsidRPr="00FE41E9" w:rsidRDefault="00FE41E9" w:rsidP="00FE41E9">
            <w:pPr>
              <w:jc w:val="right"/>
              <w:rPr>
                <w:rFonts w:ascii="Arial Narrow" w:hAnsi="Arial Narrow" w:cs="Arial"/>
                <w:sz w:val="20"/>
                <w:szCs w:val="20"/>
              </w:rPr>
            </w:pPr>
            <w:r w:rsidRPr="00FE41E9">
              <w:rPr>
                <w:rFonts w:ascii="Arial Narrow" w:hAnsi="Arial Narrow" w:cs="Arial"/>
                <w:sz w:val="20"/>
                <w:szCs w:val="20"/>
              </w:rPr>
              <w:t>10 421</w:t>
            </w:r>
          </w:p>
        </w:tc>
        <w:tc>
          <w:tcPr>
            <w:tcW w:w="1115" w:type="dxa"/>
            <w:tcBorders>
              <w:top w:val="nil"/>
              <w:left w:val="nil"/>
              <w:bottom w:val="single" w:sz="4" w:space="0" w:color="auto"/>
              <w:right w:val="single" w:sz="4" w:space="0" w:color="auto"/>
            </w:tcBorders>
            <w:shd w:val="clear" w:color="auto" w:fill="auto"/>
            <w:noWrap/>
            <w:vAlign w:val="center"/>
            <w:hideMark/>
          </w:tcPr>
          <w:p w14:paraId="26F8E56C" w14:textId="77777777" w:rsidR="00FE41E9" w:rsidRPr="00FE41E9" w:rsidRDefault="00FE41E9" w:rsidP="00FE41E9">
            <w:pPr>
              <w:jc w:val="right"/>
              <w:rPr>
                <w:rFonts w:ascii="Arial Narrow" w:hAnsi="Arial Narrow" w:cs="Arial"/>
                <w:sz w:val="20"/>
                <w:szCs w:val="20"/>
              </w:rPr>
            </w:pPr>
            <w:r w:rsidRPr="00FE41E9">
              <w:rPr>
                <w:rFonts w:ascii="Arial Narrow" w:hAnsi="Arial Narrow" w:cs="Arial"/>
                <w:sz w:val="20"/>
                <w:szCs w:val="20"/>
              </w:rPr>
              <w:t>13 632</w:t>
            </w:r>
          </w:p>
        </w:tc>
        <w:tc>
          <w:tcPr>
            <w:tcW w:w="1115" w:type="dxa"/>
            <w:tcBorders>
              <w:top w:val="nil"/>
              <w:left w:val="nil"/>
              <w:bottom w:val="single" w:sz="4" w:space="0" w:color="auto"/>
              <w:right w:val="single" w:sz="4" w:space="0" w:color="auto"/>
            </w:tcBorders>
            <w:shd w:val="clear" w:color="000000" w:fill="FFFFFF"/>
            <w:noWrap/>
            <w:vAlign w:val="center"/>
            <w:hideMark/>
          </w:tcPr>
          <w:p w14:paraId="358617C2" w14:textId="77777777" w:rsidR="00FE41E9" w:rsidRPr="00FE41E9" w:rsidRDefault="00FE41E9" w:rsidP="00FE41E9">
            <w:pPr>
              <w:jc w:val="right"/>
              <w:rPr>
                <w:rFonts w:ascii="Arial Narrow" w:hAnsi="Arial Narrow" w:cs="Arial"/>
                <w:sz w:val="20"/>
                <w:szCs w:val="20"/>
              </w:rPr>
            </w:pPr>
            <w:r w:rsidRPr="00FE41E9">
              <w:rPr>
                <w:rFonts w:ascii="Arial Narrow" w:hAnsi="Arial Narrow" w:cs="Arial"/>
                <w:sz w:val="20"/>
                <w:szCs w:val="20"/>
              </w:rPr>
              <w:t>15 210</w:t>
            </w:r>
          </w:p>
        </w:tc>
        <w:tc>
          <w:tcPr>
            <w:tcW w:w="1115" w:type="dxa"/>
            <w:tcBorders>
              <w:top w:val="nil"/>
              <w:left w:val="nil"/>
              <w:bottom w:val="single" w:sz="4" w:space="0" w:color="auto"/>
              <w:right w:val="single" w:sz="4" w:space="0" w:color="auto"/>
            </w:tcBorders>
            <w:shd w:val="clear" w:color="000000" w:fill="FFFFFF"/>
            <w:noWrap/>
            <w:vAlign w:val="center"/>
            <w:hideMark/>
          </w:tcPr>
          <w:p w14:paraId="744A37CD" w14:textId="77777777" w:rsidR="00FE41E9" w:rsidRPr="00FE41E9" w:rsidRDefault="00FE41E9" w:rsidP="00FE41E9">
            <w:pPr>
              <w:jc w:val="right"/>
              <w:rPr>
                <w:rFonts w:ascii="Arial Narrow" w:hAnsi="Arial Narrow" w:cs="Arial"/>
                <w:sz w:val="20"/>
                <w:szCs w:val="20"/>
              </w:rPr>
            </w:pPr>
            <w:r w:rsidRPr="00FE41E9">
              <w:rPr>
                <w:rFonts w:ascii="Arial Narrow" w:hAnsi="Arial Narrow" w:cs="Arial"/>
                <w:sz w:val="20"/>
                <w:szCs w:val="20"/>
              </w:rPr>
              <w:t>24 710</w:t>
            </w:r>
          </w:p>
        </w:tc>
      </w:tr>
      <w:tr w:rsidR="00FE41E9" w:rsidRPr="00FE41E9" w14:paraId="1F0DE686" w14:textId="77777777" w:rsidTr="00BF1588">
        <w:trPr>
          <w:trHeight w:val="309"/>
        </w:trPr>
        <w:tc>
          <w:tcPr>
            <w:tcW w:w="4378" w:type="dxa"/>
            <w:tcBorders>
              <w:top w:val="nil"/>
              <w:left w:val="single" w:sz="4" w:space="0" w:color="auto"/>
              <w:bottom w:val="single" w:sz="4" w:space="0" w:color="auto"/>
              <w:right w:val="single" w:sz="4" w:space="0" w:color="auto"/>
            </w:tcBorders>
            <w:shd w:val="clear" w:color="auto" w:fill="auto"/>
            <w:noWrap/>
            <w:vAlign w:val="center"/>
            <w:hideMark/>
          </w:tcPr>
          <w:p w14:paraId="1A4CB92F" w14:textId="77777777" w:rsidR="00FE41E9" w:rsidRPr="00FE41E9" w:rsidRDefault="00FE41E9" w:rsidP="00FE41E9">
            <w:pPr>
              <w:rPr>
                <w:rFonts w:ascii="Arial Narrow" w:hAnsi="Arial Narrow" w:cs="Arial"/>
                <w:color w:val="000000"/>
                <w:sz w:val="20"/>
                <w:szCs w:val="20"/>
                <w:lang w:val="bg-BG"/>
              </w:rPr>
            </w:pPr>
            <w:r w:rsidRPr="00FE41E9">
              <w:rPr>
                <w:rFonts w:ascii="Arial Narrow" w:hAnsi="Arial Narrow" w:cs="Arial"/>
                <w:color w:val="000000"/>
                <w:sz w:val="20"/>
                <w:szCs w:val="20"/>
                <w:lang w:val="bg-BG"/>
              </w:rPr>
              <w:t>царевица</w:t>
            </w:r>
          </w:p>
        </w:tc>
        <w:tc>
          <w:tcPr>
            <w:tcW w:w="1115" w:type="dxa"/>
            <w:tcBorders>
              <w:top w:val="nil"/>
              <w:left w:val="nil"/>
              <w:bottom w:val="single" w:sz="4" w:space="0" w:color="auto"/>
              <w:right w:val="single" w:sz="4" w:space="0" w:color="auto"/>
            </w:tcBorders>
            <w:shd w:val="clear" w:color="auto" w:fill="auto"/>
            <w:noWrap/>
            <w:vAlign w:val="center"/>
            <w:hideMark/>
          </w:tcPr>
          <w:p w14:paraId="0C68EE15" w14:textId="77777777" w:rsidR="00FE41E9" w:rsidRPr="00FE41E9" w:rsidRDefault="00FE41E9" w:rsidP="00FE41E9">
            <w:pPr>
              <w:jc w:val="right"/>
              <w:rPr>
                <w:rFonts w:ascii="Arial Narrow" w:hAnsi="Arial Narrow" w:cs="Arial"/>
                <w:sz w:val="20"/>
                <w:szCs w:val="20"/>
              </w:rPr>
            </w:pPr>
            <w:r w:rsidRPr="00FE41E9">
              <w:rPr>
                <w:rFonts w:ascii="Arial Narrow" w:hAnsi="Arial Narrow" w:cs="Arial"/>
                <w:sz w:val="20"/>
                <w:szCs w:val="20"/>
              </w:rPr>
              <w:t>642 373</w:t>
            </w:r>
          </w:p>
        </w:tc>
        <w:tc>
          <w:tcPr>
            <w:tcW w:w="1115" w:type="dxa"/>
            <w:tcBorders>
              <w:top w:val="nil"/>
              <w:left w:val="nil"/>
              <w:bottom w:val="single" w:sz="4" w:space="0" w:color="auto"/>
              <w:right w:val="single" w:sz="4" w:space="0" w:color="auto"/>
            </w:tcBorders>
            <w:shd w:val="clear" w:color="auto" w:fill="auto"/>
            <w:noWrap/>
            <w:vAlign w:val="center"/>
            <w:hideMark/>
          </w:tcPr>
          <w:p w14:paraId="30826356" w14:textId="77777777" w:rsidR="00FE41E9" w:rsidRPr="00FE41E9" w:rsidRDefault="00FE41E9" w:rsidP="00FE41E9">
            <w:pPr>
              <w:jc w:val="right"/>
              <w:rPr>
                <w:rFonts w:ascii="Arial Narrow" w:hAnsi="Arial Narrow" w:cs="Arial"/>
                <w:sz w:val="20"/>
                <w:szCs w:val="20"/>
              </w:rPr>
            </w:pPr>
            <w:r w:rsidRPr="00FE41E9">
              <w:rPr>
                <w:rFonts w:ascii="Arial Narrow" w:hAnsi="Arial Narrow" w:cs="Arial"/>
                <w:sz w:val="20"/>
                <w:szCs w:val="20"/>
              </w:rPr>
              <w:t>633 735</w:t>
            </w:r>
          </w:p>
        </w:tc>
        <w:tc>
          <w:tcPr>
            <w:tcW w:w="1115" w:type="dxa"/>
            <w:tcBorders>
              <w:top w:val="nil"/>
              <w:left w:val="nil"/>
              <w:bottom w:val="single" w:sz="4" w:space="0" w:color="auto"/>
              <w:right w:val="single" w:sz="4" w:space="0" w:color="auto"/>
            </w:tcBorders>
            <w:shd w:val="clear" w:color="auto" w:fill="auto"/>
            <w:noWrap/>
            <w:vAlign w:val="center"/>
            <w:hideMark/>
          </w:tcPr>
          <w:p w14:paraId="1529AD91" w14:textId="77777777" w:rsidR="00FE41E9" w:rsidRPr="00FE41E9" w:rsidRDefault="00FE41E9" w:rsidP="00FE41E9">
            <w:pPr>
              <w:jc w:val="right"/>
              <w:rPr>
                <w:rFonts w:ascii="Arial Narrow" w:hAnsi="Arial Narrow" w:cs="Arial"/>
                <w:sz w:val="20"/>
                <w:szCs w:val="20"/>
              </w:rPr>
            </w:pPr>
            <w:r w:rsidRPr="00FE41E9">
              <w:rPr>
                <w:rFonts w:ascii="Arial Narrow" w:hAnsi="Arial Narrow" w:cs="Arial"/>
                <w:sz w:val="20"/>
                <w:szCs w:val="20"/>
              </w:rPr>
              <w:t>572 048</w:t>
            </w:r>
          </w:p>
        </w:tc>
        <w:tc>
          <w:tcPr>
            <w:tcW w:w="1115" w:type="dxa"/>
            <w:tcBorders>
              <w:top w:val="nil"/>
              <w:left w:val="nil"/>
              <w:bottom w:val="single" w:sz="4" w:space="0" w:color="auto"/>
              <w:right w:val="single" w:sz="4" w:space="0" w:color="auto"/>
            </w:tcBorders>
            <w:shd w:val="clear" w:color="000000" w:fill="FFFFFF"/>
            <w:noWrap/>
            <w:vAlign w:val="center"/>
            <w:hideMark/>
          </w:tcPr>
          <w:p w14:paraId="7AF4468C" w14:textId="77777777" w:rsidR="00FE41E9" w:rsidRPr="00FE41E9" w:rsidRDefault="00FE41E9" w:rsidP="00FE41E9">
            <w:pPr>
              <w:jc w:val="right"/>
              <w:rPr>
                <w:rFonts w:ascii="Arial Narrow" w:hAnsi="Arial Narrow" w:cs="Arial"/>
                <w:sz w:val="20"/>
                <w:szCs w:val="20"/>
              </w:rPr>
            </w:pPr>
            <w:r w:rsidRPr="00FE41E9">
              <w:rPr>
                <w:rFonts w:ascii="Arial Narrow" w:hAnsi="Arial Narrow" w:cs="Arial"/>
                <w:sz w:val="20"/>
                <w:szCs w:val="20"/>
              </w:rPr>
              <w:t>595 560</w:t>
            </w:r>
          </w:p>
        </w:tc>
        <w:tc>
          <w:tcPr>
            <w:tcW w:w="1115" w:type="dxa"/>
            <w:tcBorders>
              <w:top w:val="nil"/>
              <w:left w:val="nil"/>
              <w:bottom w:val="single" w:sz="4" w:space="0" w:color="auto"/>
              <w:right w:val="single" w:sz="4" w:space="0" w:color="auto"/>
            </w:tcBorders>
            <w:shd w:val="clear" w:color="000000" w:fill="FFFFFF"/>
            <w:noWrap/>
            <w:vAlign w:val="center"/>
            <w:hideMark/>
          </w:tcPr>
          <w:p w14:paraId="084375E1" w14:textId="77777777" w:rsidR="00FE41E9" w:rsidRPr="00FE41E9" w:rsidRDefault="00FE41E9" w:rsidP="00FE41E9">
            <w:pPr>
              <w:jc w:val="right"/>
              <w:rPr>
                <w:rFonts w:ascii="Arial Narrow" w:hAnsi="Arial Narrow" w:cs="Arial"/>
                <w:sz w:val="20"/>
                <w:szCs w:val="20"/>
              </w:rPr>
            </w:pPr>
            <w:r w:rsidRPr="00FE41E9">
              <w:rPr>
                <w:rFonts w:ascii="Arial Narrow" w:hAnsi="Arial Narrow" w:cs="Arial"/>
                <w:sz w:val="20"/>
                <w:szCs w:val="20"/>
              </w:rPr>
              <w:t>595 092</w:t>
            </w:r>
          </w:p>
        </w:tc>
      </w:tr>
      <w:tr w:rsidR="00FE41E9" w:rsidRPr="00FE41E9" w14:paraId="5A730821" w14:textId="77777777" w:rsidTr="00BF1588">
        <w:trPr>
          <w:trHeight w:val="309"/>
        </w:trPr>
        <w:tc>
          <w:tcPr>
            <w:tcW w:w="4378" w:type="dxa"/>
            <w:tcBorders>
              <w:top w:val="nil"/>
              <w:left w:val="single" w:sz="4" w:space="0" w:color="auto"/>
              <w:bottom w:val="single" w:sz="4" w:space="0" w:color="auto"/>
              <w:right w:val="single" w:sz="4" w:space="0" w:color="auto"/>
            </w:tcBorders>
            <w:shd w:val="clear" w:color="auto" w:fill="auto"/>
            <w:noWrap/>
            <w:vAlign w:val="center"/>
            <w:hideMark/>
          </w:tcPr>
          <w:p w14:paraId="7351557A" w14:textId="77777777" w:rsidR="00FE41E9" w:rsidRPr="00FE41E9" w:rsidRDefault="00FE41E9" w:rsidP="00FE41E9">
            <w:pPr>
              <w:rPr>
                <w:rFonts w:ascii="Arial Narrow" w:hAnsi="Arial Narrow" w:cs="Arial"/>
                <w:color w:val="000000"/>
                <w:sz w:val="20"/>
                <w:szCs w:val="20"/>
                <w:lang w:val="bg-BG"/>
              </w:rPr>
            </w:pPr>
            <w:r w:rsidRPr="00FE41E9">
              <w:rPr>
                <w:rFonts w:ascii="Arial Narrow" w:hAnsi="Arial Narrow" w:cs="Arial"/>
                <w:color w:val="000000"/>
                <w:sz w:val="20"/>
                <w:szCs w:val="20"/>
                <w:lang w:val="bg-BG"/>
              </w:rPr>
              <w:t>други житни</w:t>
            </w:r>
          </w:p>
        </w:tc>
        <w:tc>
          <w:tcPr>
            <w:tcW w:w="1115" w:type="dxa"/>
            <w:tcBorders>
              <w:top w:val="nil"/>
              <w:left w:val="nil"/>
              <w:bottom w:val="single" w:sz="4" w:space="0" w:color="auto"/>
              <w:right w:val="single" w:sz="4" w:space="0" w:color="auto"/>
            </w:tcBorders>
            <w:shd w:val="clear" w:color="auto" w:fill="auto"/>
            <w:noWrap/>
            <w:vAlign w:val="center"/>
            <w:hideMark/>
          </w:tcPr>
          <w:p w14:paraId="12492F5F" w14:textId="77777777" w:rsidR="00FE41E9" w:rsidRPr="00FE41E9" w:rsidRDefault="00FE41E9" w:rsidP="00FE41E9">
            <w:pPr>
              <w:jc w:val="right"/>
              <w:rPr>
                <w:rFonts w:ascii="Arial Narrow" w:hAnsi="Arial Narrow" w:cs="Arial"/>
                <w:sz w:val="20"/>
                <w:szCs w:val="20"/>
              </w:rPr>
            </w:pPr>
            <w:r w:rsidRPr="00FE41E9">
              <w:rPr>
                <w:rFonts w:ascii="Arial Narrow" w:hAnsi="Arial Narrow" w:cs="Arial"/>
                <w:sz w:val="20"/>
                <w:szCs w:val="20"/>
              </w:rPr>
              <w:t>22 757</w:t>
            </w:r>
          </w:p>
        </w:tc>
        <w:tc>
          <w:tcPr>
            <w:tcW w:w="1115" w:type="dxa"/>
            <w:tcBorders>
              <w:top w:val="nil"/>
              <w:left w:val="nil"/>
              <w:bottom w:val="single" w:sz="4" w:space="0" w:color="auto"/>
              <w:right w:val="single" w:sz="4" w:space="0" w:color="auto"/>
            </w:tcBorders>
            <w:shd w:val="clear" w:color="auto" w:fill="auto"/>
            <w:noWrap/>
            <w:vAlign w:val="center"/>
            <w:hideMark/>
          </w:tcPr>
          <w:p w14:paraId="1CAB0157" w14:textId="77777777" w:rsidR="00FE41E9" w:rsidRPr="00FE41E9" w:rsidRDefault="00FE41E9" w:rsidP="00FE41E9">
            <w:pPr>
              <w:jc w:val="right"/>
              <w:rPr>
                <w:rFonts w:ascii="Arial Narrow" w:hAnsi="Arial Narrow" w:cs="Arial"/>
                <w:sz w:val="20"/>
                <w:szCs w:val="20"/>
              </w:rPr>
            </w:pPr>
            <w:r w:rsidRPr="00FE41E9">
              <w:rPr>
                <w:rFonts w:ascii="Arial Narrow" w:hAnsi="Arial Narrow" w:cs="Arial"/>
                <w:sz w:val="20"/>
                <w:szCs w:val="20"/>
              </w:rPr>
              <w:t>21 903</w:t>
            </w:r>
          </w:p>
        </w:tc>
        <w:tc>
          <w:tcPr>
            <w:tcW w:w="1115" w:type="dxa"/>
            <w:tcBorders>
              <w:top w:val="nil"/>
              <w:left w:val="nil"/>
              <w:bottom w:val="single" w:sz="4" w:space="0" w:color="auto"/>
              <w:right w:val="single" w:sz="4" w:space="0" w:color="auto"/>
            </w:tcBorders>
            <w:shd w:val="clear" w:color="auto" w:fill="auto"/>
            <w:noWrap/>
            <w:vAlign w:val="center"/>
            <w:hideMark/>
          </w:tcPr>
          <w:p w14:paraId="675F386D" w14:textId="77777777" w:rsidR="00FE41E9" w:rsidRPr="00FE41E9" w:rsidRDefault="00FE41E9" w:rsidP="00FE41E9">
            <w:pPr>
              <w:jc w:val="right"/>
              <w:rPr>
                <w:rFonts w:ascii="Arial Narrow" w:hAnsi="Arial Narrow" w:cs="Arial"/>
                <w:sz w:val="20"/>
                <w:szCs w:val="20"/>
              </w:rPr>
            </w:pPr>
            <w:r w:rsidRPr="00FE41E9">
              <w:rPr>
                <w:rFonts w:ascii="Arial Narrow" w:hAnsi="Arial Narrow" w:cs="Arial"/>
                <w:sz w:val="20"/>
                <w:szCs w:val="20"/>
              </w:rPr>
              <w:t>14 549</w:t>
            </w:r>
          </w:p>
        </w:tc>
        <w:tc>
          <w:tcPr>
            <w:tcW w:w="1115" w:type="dxa"/>
            <w:tcBorders>
              <w:top w:val="nil"/>
              <w:left w:val="nil"/>
              <w:bottom w:val="single" w:sz="4" w:space="0" w:color="auto"/>
              <w:right w:val="single" w:sz="4" w:space="0" w:color="auto"/>
            </w:tcBorders>
            <w:shd w:val="clear" w:color="000000" w:fill="FFFFFF"/>
            <w:noWrap/>
            <w:vAlign w:val="center"/>
            <w:hideMark/>
          </w:tcPr>
          <w:p w14:paraId="4B0494EC" w14:textId="77777777" w:rsidR="00FE41E9" w:rsidRPr="00FE41E9" w:rsidRDefault="00FE41E9" w:rsidP="00FE41E9">
            <w:pPr>
              <w:jc w:val="right"/>
              <w:rPr>
                <w:rFonts w:ascii="Arial Narrow" w:hAnsi="Arial Narrow" w:cs="Arial"/>
                <w:sz w:val="20"/>
                <w:szCs w:val="20"/>
              </w:rPr>
            </w:pPr>
            <w:r w:rsidRPr="00FE41E9">
              <w:rPr>
                <w:rFonts w:ascii="Arial Narrow" w:hAnsi="Arial Narrow" w:cs="Arial"/>
                <w:sz w:val="20"/>
                <w:szCs w:val="20"/>
              </w:rPr>
              <w:t>19 930</w:t>
            </w:r>
          </w:p>
        </w:tc>
        <w:tc>
          <w:tcPr>
            <w:tcW w:w="1115" w:type="dxa"/>
            <w:tcBorders>
              <w:top w:val="nil"/>
              <w:left w:val="nil"/>
              <w:bottom w:val="single" w:sz="4" w:space="0" w:color="auto"/>
              <w:right w:val="single" w:sz="4" w:space="0" w:color="auto"/>
            </w:tcBorders>
            <w:shd w:val="clear" w:color="000000" w:fill="FFFFFF"/>
            <w:noWrap/>
            <w:vAlign w:val="center"/>
            <w:hideMark/>
          </w:tcPr>
          <w:p w14:paraId="09D20E16" w14:textId="77777777" w:rsidR="00FE41E9" w:rsidRPr="00FE41E9" w:rsidRDefault="00FE41E9" w:rsidP="00FE41E9">
            <w:pPr>
              <w:jc w:val="right"/>
              <w:rPr>
                <w:rFonts w:ascii="Arial Narrow" w:hAnsi="Arial Narrow" w:cs="Arial"/>
                <w:sz w:val="20"/>
                <w:szCs w:val="20"/>
              </w:rPr>
            </w:pPr>
            <w:r w:rsidRPr="00FE41E9">
              <w:rPr>
                <w:rFonts w:ascii="Arial Narrow" w:hAnsi="Arial Narrow" w:cs="Arial"/>
                <w:sz w:val="20"/>
                <w:szCs w:val="20"/>
              </w:rPr>
              <w:t>18 123</w:t>
            </w:r>
          </w:p>
        </w:tc>
      </w:tr>
      <w:tr w:rsidR="00FE41E9" w:rsidRPr="00FE41E9" w14:paraId="2B51CA38" w14:textId="77777777" w:rsidTr="00BF1588">
        <w:trPr>
          <w:trHeight w:val="309"/>
        </w:trPr>
        <w:tc>
          <w:tcPr>
            <w:tcW w:w="4378" w:type="dxa"/>
            <w:tcBorders>
              <w:top w:val="nil"/>
              <w:left w:val="single" w:sz="4" w:space="0" w:color="auto"/>
              <w:bottom w:val="single" w:sz="4" w:space="0" w:color="auto"/>
              <w:right w:val="single" w:sz="4" w:space="0" w:color="auto"/>
            </w:tcBorders>
            <w:shd w:val="clear" w:color="auto" w:fill="auto"/>
            <w:noWrap/>
            <w:vAlign w:val="center"/>
            <w:hideMark/>
          </w:tcPr>
          <w:p w14:paraId="0A0BC54A" w14:textId="77777777" w:rsidR="00FE41E9" w:rsidRPr="00FE41E9" w:rsidRDefault="00FE41E9" w:rsidP="00FE41E9">
            <w:pPr>
              <w:rPr>
                <w:rFonts w:ascii="Arial Narrow" w:hAnsi="Arial Narrow" w:cs="Arial"/>
                <w:color w:val="000000"/>
                <w:sz w:val="20"/>
                <w:szCs w:val="20"/>
                <w:lang w:val="bg-BG"/>
              </w:rPr>
            </w:pPr>
            <w:r w:rsidRPr="00FE41E9">
              <w:rPr>
                <w:rFonts w:ascii="Arial Narrow" w:hAnsi="Arial Narrow" w:cs="Arial"/>
                <w:color w:val="000000"/>
                <w:sz w:val="20"/>
                <w:szCs w:val="20"/>
                <w:lang w:val="bg-BG"/>
              </w:rPr>
              <w:t>слънчоглед</w:t>
            </w:r>
          </w:p>
        </w:tc>
        <w:tc>
          <w:tcPr>
            <w:tcW w:w="1115" w:type="dxa"/>
            <w:tcBorders>
              <w:top w:val="nil"/>
              <w:left w:val="nil"/>
              <w:bottom w:val="single" w:sz="4" w:space="0" w:color="auto"/>
              <w:right w:val="single" w:sz="4" w:space="0" w:color="auto"/>
            </w:tcBorders>
            <w:shd w:val="clear" w:color="auto" w:fill="auto"/>
            <w:noWrap/>
            <w:vAlign w:val="center"/>
            <w:hideMark/>
          </w:tcPr>
          <w:p w14:paraId="009C5F8F" w14:textId="77777777" w:rsidR="00FE41E9" w:rsidRPr="00FE41E9" w:rsidRDefault="00FE41E9" w:rsidP="00FE41E9">
            <w:pPr>
              <w:jc w:val="right"/>
              <w:rPr>
                <w:rFonts w:ascii="Arial Narrow" w:hAnsi="Arial Narrow" w:cs="Arial"/>
                <w:sz w:val="20"/>
                <w:szCs w:val="20"/>
              </w:rPr>
            </w:pPr>
            <w:r w:rsidRPr="00FE41E9">
              <w:rPr>
                <w:rFonts w:ascii="Arial Narrow" w:hAnsi="Arial Narrow" w:cs="Arial"/>
                <w:sz w:val="20"/>
                <w:szCs w:val="20"/>
              </w:rPr>
              <w:t>888 200</w:t>
            </w:r>
          </w:p>
        </w:tc>
        <w:tc>
          <w:tcPr>
            <w:tcW w:w="1115" w:type="dxa"/>
            <w:tcBorders>
              <w:top w:val="nil"/>
              <w:left w:val="nil"/>
              <w:bottom w:val="single" w:sz="4" w:space="0" w:color="auto"/>
              <w:right w:val="single" w:sz="4" w:space="0" w:color="auto"/>
            </w:tcBorders>
            <w:shd w:val="clear" w:color="auto" w:fill="auto"/>
            <w:noWrap/>
            <w:vAlign w:val="center"/>
            <w:hideMark/>
          </w:tcPr>
          <w:p w14:paraId="0A0AA2DB" w14:textId="77777777" w:rsidR="00FE41E9" w:rsidRPr="00FE41E9" w:rsidRDefault="00FE41E9" w:rsidP="00FE41E9">
            <w:pPr>
              <w:jc w:val="right"/>
              <w:rPr>
                <w:rFonts w:ascii="Arial Narrow" w:hAnsi="Arial Narrow" w:cs="Arial"/>
                <w:sz w:val="20"/>
                <w:szCs w:val="20"/>
              </w:rPr>
            </w:pPr>
            <w:r w:rsidRPr="00FE41E9">
              <w:rPr>
                <w:rFonts w:ascii="Arial Narrow" w:hAnsi="Arial Narrow" w:cs="Arial"/>
                <w:sz w:val="20"/>
                <w:szCs w:val="20"/>
              </w:rPr>
              <w:t>840 185</w:t>
            </w:r>
          </w:p>
        </w:tc>
        <w:tc>
          <w:tcPr>
            <w:tcW w:w="1115" w:type="dxa"/>
            <w:tcBorders>
              <w:top w:val="nil"/>
              <w:left w:val="nil"/>
              <w:bottom w:val="single" w:sz="4" w:space="0" w:color="auto"/>
              <w:right w:val="single" w:sz="4" w:space="0" w:color="auto"/>
            </w:tcBorders>
            <w:shd w:val="clear" w:color="auto" w:fill="auto"/>
            <w:noWrap/>
            <w:vAlign w:val="center"/>
            <w:hideMark/>
          </w:tcPr>
          <w:p w14:paraId="55165DFC" w14:textId="77777777" w:rsidR="00FE41E9" w:rsidRPr="00FE41E9" w:rsidRDefault="00FE41E9" w:rsidP="00FE41E9">
            <w:pPr>
              <w:jc w:val="right"/>
              <w:rPr>
                <w:rFonts w:ascii="Arial Narrow" w:hAnsi="Arial Narrow" w:cs="Arial"/>
                <w:sz w:val="20"/>
                <w:szCs w:val="20"/>
              </w:rPr>
            </w:pPr>
            <w:r w:rsidRPr="00FE41E9">
              <w:rPr>
                <w:rFonts w:ascii="Arial Narrow" w:hAnsi="Arial Narrow" w:cs="Arial"/>
                <w:sz w:val="20"/>
                <w:szCs w:val="20"/>
              </w:rPr>
              <w:t>985 591</w:t>
            </w:r>
          </w:p>
        </w:tc>
        <w:tc>
          <w:tcPr>
            <w:tcW w:w="1115" w:type="dxa"/>
            <w:tcBorders>
              <w:top w:val="nil"/>
              <w:left w:val="nil"/>
              <w:bottom w:val="single" w:sz="4" w:space="0" w:color="auto"/>
              <w:right w:val="single" w:sz="4" w:space="0" w:color="auto"/>
            </w:tcBorders>
            <w:shd w:val="clear" w:color="000000" w:fill="FFFFFF"/>
            <w:noWrap/>
            <w:vAlign w:val="center"/>
            <w:hideMark/>
          </w:tcPr>
          <w:p w14:paraId="56207B41" w14:textId="77777777" w:rsidR="00FE41E9" w:rsidRPr="00FE41E9" w:rsidRDefault="00FE41E9" w:rsidP="00FE41E9">
            <w:pPr>
              <w:jc w:val="right"/>
              <w:rPr>
                <w:rFonts w:ascii="Arial Narrow" w:hAnsi="Arial Narrow" w:cs="Arial"/>
                <w:sz w:val="20"/>
                <w:szCs w:val="20"/>
              </w:rPr>
            </w:pPr>
            <w:r w:rsidRPr="00FE41E9">
              <w:rPr>
                <w:rFonts w:ascii="Arial Narrow" w:hAnsi="Arial Narrow" w:cs="Arial"/>
                <w:sz w:val="20"/>
                <w:szCs w:val="20"/>
              </w:rPr>
              <w:t>892 956</w:t>
            </w:r>
          </w:p>
        </w:tc>
        <w:tc>
          <w:tcPr>
            <w:tcW w:w="1115" w:type="dxa"/>
            <w:tcBorders>
              <w:top w:val="nil"/>
              <w:left w:val="nil"/>
              <w:bottom w:val="single" w:sz="4" w:space="0" w:color="auto"/>
              <w:right w:val="single" w:sz="4" w:space="0" w:color="auto"/>
            </w:tcBorders>
            <w:shd w:val="clear" w:color="000000" w:fill="FFFFFF"/>
            <w:noWrap/>
            <w:vAlign w:val="center"/>
            <w:hideMark/>
          </w:tcPr>
          <w:p w14:paraId="37254195" w14:textId="77777777" w:rsidR="00FE41E9" w:rsidRPr="00FE41E9" w:rsidRDefault="00FE41E9" w:rsidP="00FE41E9">
            <w:pPr>
              <w:jc w:val="right"/>
              <w:rPr>
                <w:rFonts w:ascii="Arial Narrow" w:hAnsi="Arial Narrow" w:cs="Arial"/>
                <w:sz w:val="20"/>
                <w:szCs w:val="20"/>
              </w:rPr>
            </w:pPr>
            <w:r w:rsidRPr="00FE41E9">
              <w:rPr>
                <w:rFonts w:ascii="Arial Narrow" w:hAnsi="Arial Narrow" w:cs="Arial"/>
                <w:sz w:val="20"/>
                <w:szCs w:val="20"/>
              </w:rPr>
              <w:t>984 895</w:t>
            </w:r>
          </w:p>
        </w:tc>
      </w:tr>
      <w:tr w:rsidR="00FE41E9" w:rsidRPr="00FE41E9" w14:paraId="714C71E3" w14:textId="77777777" w:rsidTr="00BF1588">
        <w:trPr>
          <w:trHeight w:val="309"/>
        </w:trPr>
        <w:tc>
          <w:tcPr>
            <w:tcW w:w="4378" w:type="dxa"/>
            <w:tcBorders>
              <w:top w:val="nil"/>
              <w:left w:val="single" w:sz="4" w:space="0" w:color="auto"/>
              <w:bottom w:val="single" w:sz="4" w:space="0" w:color="auto"/>
              <w:right w:val="single" w:sz="4" w:space="0" w:color="auto"/>
            </w:tcBorders>
            <w:shd w:val="clear" w:color="auto" w:fill="auto"/>
            <w:noWrap/>
            <w:vAlign w:val="center"/>
            <w:hideMark/>
          </w:tcPr>
          <w:p w14:paraId="7BC79F0E" w14:textId="77777777" w:rsidR="00FE41E9" w:rsidRPr="00FE41E9" w:rsidRDefault="00FE41E9" w:rsidP="00FE41E9">
            <w:pPr>
              <w:rPr>
                <w:rFonts w:ascii="Arial Narrow" w:hAnsi="Arial Narrow" w:cs="Arial"/>
                <w:color w:val="000000"/>
                <w:sz w:val="20"/>
                <w:szCs w:val="20"/>
                <w:lang w:val="bg-BG"/>
              </w:rPr>
            </w:pPr>
            <w:r w:rsidRPr="00FE41E9">
              <w:rPr>
                <w:rFonts w:ascii="Arial Narrow" w:hAnsi="Arial Narrow" w:cs="Arial"/>
                <w:color w:val="000000"/>
                <w:sz w:val="20"/>
                <w:szCs w:val="20"/>
                <w:lang w:val="bg-BG"/>
              </w:rPr>
              <w:t>тютюн</w:t>
            </w:r>
          </w:p>
        </w:tc>
        <w:tc>
          <w:tcPr>
            <w:tcW w:w="1115" w:type="dxa"/>
            <w:tcBorders>
              <w:top w:val="nil"/>
              <w:left w:val="nil"/>
              <w:bottom w:val="single" w:sz="4" w:space="0" w:color="auto"/>
              <w:right w:val="single" w:sz="4" w:space="0" w:color="auto"/>
            </w:tcBorders>
            <w:shd w:val="clear" w:color="auto" w:fill="auto"/>
            <w:noWrap/>
            <w:vAlign w:val="center"/>
            <w:hideMark/>
          </w:tcPr>
          <w:p w14:paraId="342DDEB0" w14:textId="77777777" w:rsidR="00FE41E9" w:rsidRPr="00FE41E9" w:rsidRDefault="00FE41E9" w:rsidP="00FE41E9">
            <w:pPr>
              <w:jc w:val="right"/>
              <w:rPr>
                <w:rFonts w:ascii="Arial Narrow" w:hAnsi="Arial Narrow" w:cs="Arial"/>
                <w:sz w:val="20"/>
                <w:szCs w:val="20"/>
              </w:rPr>
            </w:pPr>
            <w:r w:rsidRPr="00FE41E9">
              <w:rPr>
                <w:rFonts w:ascii="Arial Narrow" w:hAnsi="Arial Narrow" w:cs="Arial"/>
                <w:sz w:val="20"/>
                <w:szCs w:val="20"/>
              </w:rPr>
              <w:t>5 440</w:t>
            </w:r>
          </w:p>
        </w:tc>
        <w:tc>
          <w:tcPr>
            <w:tcW w:w="1115" w:type="dxa"/>
            <w:tcBorders>
              <w:top w:val="nil"/>
              <w:left w:val="nil"/>
              <w:bottom w:val="single" w:sz="4" w:space="0" w:color="auto"/>
              <w:right w:val="single" w:sz="4" w:space="0" w:color="auto"/>
            </w:tcBorders>
            <w:shd w:val="clear" w:color="auto" w:fill="auto"/>
            <w:noWrap/>
            <w:vAlign w:val="center"/>
            <w:hideMark/>
          </w:tcPr>
          <w:p w14:paraId="5EC4D07D" w14:textId="77777777" w:rsidR="00FE41E9" w:rsidRPr="00FE41E9" w:rsidRDefault="00FE41E9" w:rsidP="00FE41E9">
            <w:pPr>
              <w:jc w:val="right"/>
              <w:rPr>
                <w:rFonts w:ascii="Arial Narrow" w:hAnsi="Arial Narrow" w:cs="Arial"/>
                <w:sz w:val="20"/>
                <w:szCs w:val="20"/>
              </w:rPr>
            </w:pPr>
            <w:r w:rsidRPr="00FE41E9">
              <w:rPr>
                <w:rFonts w:ascii="Arial Narrow" w:hAnsi="Arial Narrow" w:cs="Arial"/>
                <w:sz w:val="20"/>
                <w:szCs w:val="20"/>
              </w:rPr>
              <w:t>3 015</w:t>
            </w:r>
          </w:p>
        </w:tc>
        <w:tc>
          <w:tcPr>
            <w:tcW w:w="1115" w:type="dxa"/>
            <w:tcBorders>
              <w:top w:val="nil"/>
              <w:left w:val="nil"/>
              <w:bottom w:val="single" w:sz="4" w:space="0" w:color="auto"/>
              <w:right w:val="single" w:sz="4" w:space="0" w:color="auto"/>
            </w:tcBorders>
            <w:shd w:val="clear" w:color="auto" w:fill="auto"/>
            <w:noWrap/>
            <w:vAlign w:val="center"/>
            <w:hideMark/>
          </w:tcPr>
          <w:p w14:paraId="3F7F4159" w14:textId="77777777" w:rsidR="00FE41E9" w:rsidRPr="00FE41E9" w:rsidRDefault="00FE41E9" w:rsidP="00FE41E9">
            <w:pPr>
              <w:jc w:val="right"/>
              <w:rPr>
                <w:rFonts w:ascii="Arial Narrow" w:hAnsi="Arial Narrow" w:cs="Arial"/>
                <w:sz w:val="20"/>
                <w:szCs w:val="20"/>
              </w:rPr>
            </w:pPr>
            <w:r w:rsidRPr="00FE41E9">
              <w:rPr>
                <w:rFonts w:ascii="Arial Narrow" w:hAnsi="Arial Narrow" w:cs="Arial"/>
                <w:sz w:val="20"/>
                <w:szCs w:val="20"/>
              </w:rPr>
              <w:t>3 207</w:t>
            </w:r>
          </w:p>
        </w:tc>
        <w:tc>
          <w:tcPr>
            <w:tcW w:w="1115" w:type="dxa"/>
            <w:tcBorders>
              <w:top w:val="nil"/>
              <w:left w:val="nil"/>
              <w:bottom w:val="single" w:sz="4" w:space="0" w:color="auto"/>
              <w:right w:val="single" w:sz="4" w:space="0" w:color="auto"/>
            </w:tcBorders>
            <w:shd w:val="clear" w:color="000000" w:fill="FFFFFF"/>
            <w:noWrap/>
            <w:vAlign w:val="center"/>
            <w:hideMark/>
          </w:tcPr>
          <w:p w14:paraId="0FFAC96E" w14:textId="77777777" w:rsidR="00FE41E9" w:rsidRPr="00FE41E9" w:rsidRDefault="00FE41E9" w:rsidP="00FE41E9">
            <w:pPr>
              <w:jc w:val="right"/>
              <w:rPr>
                <w:rFonts w:ascii="Arial Narrow" w:hAnsi="Arial Narrow" w:cs="Arial"/>
                <w:sz w:val="20"/>
                <w:szCs w:val="20"/>
              </w:rPr>
            </w:pPr>
            <w:r w:rsidRPr="00FE41E9">
              <w:rPr>
                <w:rFonts w:ascii="Arial Narrow" w:hAnsi="Arial Narrow" w:cs="Arial"/>
                <w:sz w:val="20"/>
                <w:szCs w:val="20"/>
              </w:rPr>
              <w:t>2 502</w:t>
            </w:r>
          </w:p>
        </w:tc>
        <w:tc>
          <w:tcPr>
            <w:tcW w:w="1115" w:type="dxa"/>
            <w:tcBorders>
              <w:top w:val="nil"/>
              <w:left w:val="nil"/>
              <w:bottom w:val="single" w:sz="4" w:space="0" w:color="auto"/>
              <w:right w:val="single" w:sz="4" w:space="0" w:color="auto"/>
            </w:tcBorders>
            <w:shd w:val="clear" w:color="000000" w:fill="FFFFFF"/>
            <w:noWrap/>
            <w:vAlign w:val="center"/>
            <w:hideMark/>
          </w:tcPr>
          <w:p w14:paraId="230E2920" w14:textId="77777777" w:rsidR="00FE41E9" w:rsidRPr="00FE41E9" w:rsidRDefault="00FE41E9" w:rsidP="00FE41E9">
            <w:pPr>
              <w:jc w:val="right"/>
              <w:rPr>
                <w:rFonts w:ascii="Arial Narrow" w:hAnsi="Arial Narrow" w:cs="Arial"/>
                <w:sz w:val="20"/>
                <w:szCs w:val="20"/>
              </w:rPr>
            </w:pPr>
            <w:r w:rsidRPr="00FE41E9">
              <w:rPr>
                <w:rFonts w:ascii="Arial Narrow" w:hAnsi="Arial Narrow" w:cs="Arial"/>
                <w:sz w:val="20"/>
                <w:szCs w:val="20"/>
              </w:rPr>
              <w:t>2 399</w:t>
            </w:r>
          </w:p>
        </w:tc>
      </w:tr>
      <w:tr w:rsidR="00FE41E9" w:rsidRPr="00FE41E9" w14:paraId="73293933" w14:textId="77777777" w:rsidTr="00BF1588">
        <w:trPr>
          <w:trHeight w:val="309"/>
        </w:trPr>
        <w:tc>
          <w:tcPr>
            <w:tcW w:w="4378" w:type="dxa"/>
            <w:tcBorders>
              <w:top w:val="nil"/>
              <w:left w:val="single" w:sz="4" w:space="0" w:color="auto"/>
              <w:bottom w:val="single" w:sz="4" w:space="0" w:color="auto"/>
              <w:right w:val="single" w:sz="4" w:space="0" w:color="auto"/>
            </w:tcBorders>
            <w:shd w:val="clear" w:color="auto" w:fill="auto"/>
            <w:noWrap/>
            <w:vAlign w:val="center"/>
            <w:hideMark/>
          </w:tcPr>
          <w:p w14:paraId="1CB9F353" w14:textId="77777777" w:rsidR="00FE41E9" w:rsidRPr="00FE41E9" w:rsidRDefault="00FE41E9" w:rsidP="00FE41E9">
            <w:pPr>
              <w:rPr>
                <w:rFonts w:ascii="Arial Narrow" w:hAnsi="Arial Narrow" w:cs="Arial"/>
                <w:color w:val="000000"/>
                <w:sz w:val="20"/>
                <w:szCs w:val="20"/>
                <w:lang w:val="bg-BG"/>
              </w:rPr>
            </w:pPr>
            <w:r w:rsidRPr="00FE41E9">
              <w:rPr>
                <w:rFonts w:ascii="Arial Narrow" w:hAnsi="Arial Narrow" w:cs="Arial"/>
                <w:color w:val="000000"/>
                <w:sz w:val="20"/>
                <w:szCs w:val="20"/>
                <w:lang w:val="bg-BG"/>
              </w:rPr>
              <w:t>индустриални маслодайни култури</w:t>
            </w:r>
          </w:p>
        </w:tc>
        <w:tc>
          <w:tcPr>
            <w:tcW w:w="1115" w:type="dxa"/>
            <w:tcBorders>
              <w:top w:val="nil"/>
              <w:left w:val="nil"/>
              <w:bottom w:val="single" w:sz="4" w:space="0" w:color="auto"/>
              <w:right w:val="single" w:sz="4" w:space="0" w:color="auto"/>
            </w:tcBorders>
            <w:shd w:val="clear" w:color="auto" w:fill="auto"/>
            <w:noWrap/>
            <w:vAlign w:val="center"/>
            <w:hideMark/>
          </w:tcPr>
          <w:p w14:paraId="24B87352" w14:textId="77777777" w:rsidR="00FE41E9" w:rsidRPr="00FE41E9" w:rsidRDefault="00FE41E9" w:rsidP="00FE41E9">
            <w:pPr>
              <w:jc w:val="right"/>
              <w:rPr>
                <w:rFonts w:ascii="Arial Narrow" w:hAnsi="Arial Narrow" w:cs="Arial"/>
                <w:sz w:val="20"/>
                <w:szCs w:val="20"/>
              </w:rPr>
            </w:pPr>
            <w:r w:rsidRPr="00FE41E9">
              <w:rPr>
                <w:rFonts w:ascii="Arial Narrow" w:hAnsi="Arial Narrow" w:cs="Arial"/>
                <w:sz w:val="20"/>
                <w:szCs w:val="20"/>
              </w:rPr>
              <w:t>120 055</w:t>
            </w:r>
          </w:p>
        </w:tc>
        <w:tc>
          <w:tcPr>
            <w:tcW w:w="1115" w:type="dxa"/>
            <w:tcBorders>
              <w:top w:val="nil"/>
              <w:left w:val="nil"/>
              <w:bottom w:val="single" w:sz="4" w:space="0" w:color="auto"/>
              <w:right w:val="single" w:sz="4" w:space="0" w:color="auto"/>
            </w:tcBorders>
            <w:shd w:val="clear" w:color="auto" w:fill="auto"/>
            <w:noWrap/>
            <w:vAlign w:val="center"/>
            <w:hideMark/>
          </w:tcPr>
          <w:p w14:paraId="532CE528" w14:textId="77777777" w:rsidR="00FE41E9" w:rsidRPr="00FE41E9" w:rsidRDefault="00FE41E9" w:rsidP="00FE41E9">
            <w:pPr>
              <w:jc w:val="right"/>
              <w:rPr>
                <w:rFonts w:ascii="Arial Narrow" w:hAnsi="Arial Narrow" w:cs="Arial"/>
                <w:sz w:val="20"/>
                <w:szCs w:val="20"/>
              </w:rPr>
            </w:pPr>
            <w:r w:rsidRPr="00FE41E9">
              <w:rPr>
                <w:rFonts w:ascii="Arial Narrow" w:hAnsi="Arial Narrow" w:cs="Arial"/>
                <w:sz w:val="20"/>
                <w:szCs w:val="20"/>
              </w:rPr>
              <w:t>142 838</w:t>
            </w:r>
          </w:p>
        </w:tc>
        <w:tc>
          <w:tcPr>
            <w:tcW w:w="1115" w:type="dxa"/>
            <w:tcBorders>
              <w:top w:val="nil"/>
              <w:left w:val="nil"/>
              <w:bottom w:val="single" w:sz="4" w:space="0" w:color="auto"/>
              <w:right w:val="single" w:sz="4" w:space="0" w:color="auto"/>
            </w:tcBorders>
            <w:shd w:val="clear" w:color="auto" w:fill="auto"/>
            <w:noWrap/>
            <w:vAlign w:val="center"/>
            <w:hideMark/>
          </w:tcPr>
          <w:p w14:paraId="7C601D99" w14:textId="77777777" w:rsidR="00FE41E9" w:rsidRPr="00FE41E9" w:rsidRDefault="00FE41E9" w:rsidP="00FE41E9">
            <w:pPr>
              <w:jc w:val="right"/>
              <w:rPr>
                <w:rFonts w:ascii="Arial Narrow" w:hAnsi="Arial Narrow" w:cs="Arial"/>
                <w:sz w:val="20"/>
                <w:szCs w:val="20"/>
              </w:rPr>
            </w:pPr>
            <w:r w:rsidRPr="00FE41E9">
              <w:rPr>
                <w:rFonts w:ascii="Arial Narrow" w:hAnsi="Arial Narrow" w:cs="Arial"/>
                <w:sz w:val="20"/>
                <w:szCs w:val="20"/>
              </w:rPr>
              <w:t>146 800</w:t>
            </w:r>
          </w:p>
        </w:tc>
        <w:tc>
          <w:tcPr>
            <w:tcW w:w="1115" w:type="dxa"/>
            <w:tcBorders>
              <w:top w:val="nil"/>
              <w:left w:val="nil"/>
              <w:bottom w:val="single" w:sz="4" w:space="0" w:color="auto"/>
              <w:right w:val="single" w:sz="4" w:space="0" w:color="auto"/>
            </w:tcBorders>
            <w:shd w:val="clear" w:color="000000" w:fill="FFFFFF"/>
            <w:noWrap/>
            <w:vAlign w:val="center"/>
            <w:hideMark/>
          </w:tcPr>
          <w:p w14:paraId="0E5C7045" w14:textId="77777777" w:rsidR="00FE41E9" w:rsidRPr="00FE41E9" w:rsidRDefault="00FE41E9" w:rsidP="00FE41E9">
            <w:pPr>
              <w:jc w:val="right"/>
              <w:rPr>
                <w:rFonts w:ascii="Arial Narrow" w:hAnsi="Arial Narrow" w:cs="Arial"/>
                <w:sz w:val="20"/>
                <w:szCs w:val="20"/>
              </w:rPr>
            </w:pPr>
            <w:r w:rsidRPr="00FE41E9">
              <w:rPr>
                <w:rFonts w:ascii="Arial Narrow" w:hAnsi="Arial Narrow" w:cs="Arial"/>
                <w:sz w:val="20"/>
                <w:szCs w:val="20"/>
              </w:rPr>
              <w:t>86 532</w:t>
            </w:r>
          </w:p>
        </w:tc>
        <w:tc>
          <w:tcPr>
            <w:tcW w:w="1115" w:type="dxa"/>
            <w:tcBorders>
              <w:top w:val="nil"/>
              <w:left w:val="nil"/>
              <w:bottom w:val="single" w:sz="4" w:space="0" w:color="auto"/>
              <w:right w:val="single" w:sz="4" w:space="0" w:color="auto"/>
            </w:tcBorders>
            <w:shd w:val="clear" w:color="000000" w:fill="FFFFFF"/>
            <w:noWrap/>
            <w:vAlign w:val="center"/>
            <w:hideMark/>
          </w:tcPr>
          <w:p w14:paraId="0B4BB9F2" w14:textId="77777777" w:rsidR="00FE41E9" w:rsidRPr="00FE41E9" w:rsidRDefault="00FE41E9" w:rsidP="00FE41E9">
            <w:pPr>
              <w:jc w:val="right"/>
              <w:rPr>
                <w:rFonts w:ascii="Arial Narrow" w:hAnsi="Arial Narrow" w:cs="Arial"/>
                <w:sz w:val="20"/>
                <w:szCs w:val="20"/>
              </w:rPr>
            </w:pPr>
            <w:r w:rsidRPr="00FE41E9">
              <w:rPr>
                <w:rFonts w:ascii="Arial Narrow" w:hAnsi="Arial Narrow" w:cs="Arial"/>
                <w:sz w:val="20"/>
                <w:szCs w:val="20"/>
              </w:rPr>
              <w:t>68 744</w:t>
            </w:r>
          </w:p>
        </w:tc>
      </w:tr>
      <w:tr w:rsidR="00FE41E9" w:rsidRPr="00FE41E9" w14:paraId="22E2725E" w14:textId="77777777" w:rsidTr="00BF1588">
        <w:trPr>
          <w:trHeight w:val="309"/>
        </w:trPr>
        <w:tc>
          <w:tcPr>
            <w:tcW w:w="4378" w:type="dxa"/>
            <w:tcBorders>
              <w:top w:val="nil"/>
              <w:left w:val="single" w:sz="4" w:space="0" w:color="auto"/>
              <w:bottom w:val="single" w:sz="4" w:space="0" w:color="auto"/>
              <w:right w:val="single" w:sz="4" w:space="0" w:color="auto"/>
            </w:tcBorders>
            <w:shd w:val="clear" w:color="auto" w:fill="auto"/>
            <w:noWrap/>
            <w:vAlign w:val="center"/>
            <w:hideMark/>
          </w:tcPr>
          <w:p w14:paraId="0F8453E3" w14:textId="77777777" w:rsidR="00FE41E9" w:rsidRPr="00FE41E9" w:rsidRDefault="00FE41E9" w:rsidP="00FE41E9">
            <w:pPr>
              <w:rPr>
                <w:rFonts w:ascii="Arial Narrow" w:hAnsi="Arial Narrow" w:cs="Arial"/>
                <w:color w:val="000000"/>
                <w:sz w:val="20"/>
                <w:szCs w:val="20"/>
                <w:lang w:val="bg-BG"/>
              </w:rPr>
            </w:pPr>
            <w:r w:rsidRPr="00FE41E9">
              <w:rPr>
                <w:rFonts w:ascii="Arial Narrow" w:hAnsi="Arial Narrow" w:cs="Arial"/>
                <w:color w:val="000000"/>
                <w:sz w:val="20"/>
                <w:szCs w:val="20"/>
                <w:lang w:val="bg-BG"/>
              </w:rPr>
              <w:t>други индустриални култури</w:t>
            </w:r>
          </w:p>
        </w:tc>
        <w:tc>
          <w:tcPr>
            <w:tcW w:w="1115" w:type="dxa"/>
            <w:tcBorders>
              <w:top w:val="nil"/>
              <w:left w:val="nil"/>
              <w:bottom w:val="single" w:sz="4" w:space="0" w:color="auto"/>
              <w:right w:val="single" w:sz="4" w:space="0" w:color="auto"/>
            </w:tcBorders>
            <w:shd w:val="clear" w:color="auto" w:fill="auto"/>
            <w:noWrap/>
            <w:vAlign w:val="center"/>
            <w:hideMark/>
          </w:tcPr>
          <w:p w14:paraId="6292F6C4" w14:textId="77777777" w:rsidR="00FE41E9" w:rsidRPr="00FE41E9" w:rsidRDefault="00FE41E9" w:rsidP="00FE41E9">
            <w:pPr>
              <w:jc w:val="right"/>
              <w:rPr>
                <w:rFonts w:ascii="Arial Narrow" w:hAnsi="Arial Narrow" w:cs="Arial"/>
                <w:sz w:val="20"/>
                <w:szCs w:val="20"/>
              </w:rPr>
            </w:pPr>
            <w:r w:rsidRPr="00FE41E9">
              <w:rPr>
                <w:rFonts w:ascii="Arial Narrow" w:hAnsi="Arial Narrow" w:cs="Arial"/>
                <w:sz w:val="20"/>
                <w:szCs w:val="20"/>
              </w:rPr>
              <w:t>65 209</w:t>
            </w:r>
          </w:p>
        </w:tc>
        <w:tc>
          <w:tcPr>
            <w:tcW w:w="1115" w:type="dxa"/>
            <w:tcBorders>
              <w:top w:val="nil"/>
              <w:left w:val="nil"/>
              <w:bottom w:val="single" w:sz="4" w:space="0" w:color="auto"/>
              <w:right w:val="single" w:sz="4" w:space="0" w:color="auto"/>
            </w:tcBorders>
            <w:shd w:val="clear" w:color="auto" w:fill="auto"/>
            <w:noWrap/>
            <w:vAlign w:val="center"/>
            <w:hideMark/>
          </w:tcPr>
          <w:p w14:paraId="3B11AC19" w14:textId="77777777" w:rsidR="00FE41E9" w:rsidRPr="00FE41E9" w:rsidRDefault="00FE41E9" w:rsidP="00FE41E9">
            <w:pPr>
              <w:jc w:val="right"/>
              <w:rPr>
                <w:rFonts w:ascii="Arial Narrow" w:hAnsi="Arial Narrow" w:cs="Arial"/>
                <w:sz w:val="20"/>
                <w:szCs w:val="20"/>
              </w:rPr>
            </w:pPr>
            <w:r w:rsidRPr="00FE41E9">
              <w:rPr>
                <w:rFonts w:ascii="Arial Narrow" w:hAnsi="Arial Narrow" w:cs="Arial"/>
                <w:sz w:val="20"/>
                <w:szCs w:val="20"/>
              </w:rPr>
              <w:t>64 261</w:t>
            </w:r>
          </w:p>
        </w:tc>
        <w:tc>
          <w:tcPr>
            <w:tcW w:w="1115" w:type="dxa"/>
            <w:tcBorders>
              <w:top w:val="nil"/>
              <w:left w:val="nil"/>
              <w:bottom w:val="single" w:sz="4" w:space="0" w:color="auto"/>
              <w:right w:val="single" w:sz="4" w:space="0" w:color="auto"/>
            </w:tcBorders>
            <w:shd w:val="clear" w:color="auto" w:fill="auto"/>
            <w:noWrap/>
            <w:vAlign w:val="center"/>
            <w:hideMark/>
          </w:tcPr>
          <w:p w14:paraId="30040E54" w14:textId="77777777" w:rsidR="00FE41E9" w:rsidRPr="00FE41E9" w:rsidRDefault="00FE41E9" w:rsidP="00FE41E9">
            <w:pPr>
              <w:jc w:val="right"/>
              <w:rPr>
                <w:rFonts w:ascii="Arial Narrow" w:hAnsi="Arial Narrow" w:cs="Arial"/>
                <w:sz w:val="20"/>
                <w:szCs w:val="20"/>
              </w:rPr>
            </w:pPr>
            <w:r w:rsidRPr="00FE41E9">
              <w:rPr>
                <w:rFonts w:ascii="Arial Narrow" w:hAnsi="Arial Narrow" w:cs="Arial"/>
                <w:sz w:val="20"/>
                <w:szCs w:val="20"/>
              </w:rPr>
              <w:t>48 837</w:t>
            </w:r>
          </w:p>
        </w:tc>
        <w:tc>
          <w:tcPr>
            <w:tcW w:w="1115" w:type="dxa"/>
            <w:tcBorders>
              <w:top w:val="nil"/>
              <w:left w:val="nil"/>
              <w:bottom w:val="single" w:sz="4" w:space="0" w:color="auto"/>
              <w:right w:val="single" w:sz="4" w:space="0" w:color="auto"/>
            </w:tcBorders>
            <w:shd w:val="clear" w:color="000000" w:fill="FFFFFF"/>
            <w:noWrap/>
            <w:vAlign w:val="center"/>
            <w:hideMark/>
          </w:tcPr>
          <w:p w14:paraId="26A67ECA" w14:textId="77777777" w:rsidR="00FE41E9" w:rsidRPr="00FE41E9" w:rsidRDefault="00FE41E9" w:rsidP="00FE41E9">
            <w:pPr>
              <w:jc w:val="right"/>
              <w:rPr>
                <w:rFonts w:ascii="Arial Narrow" w:hAnsi="Arial Narrow" w:cs="Arial"/>
                <w:sz w:val="20"/>
                <w:szCs w:val="20"/>
              </w:rPr>
            </w:pPr>
            <w:r w:rsidRPr="00FE41E9">
              <w:rPr>
                <w:rFonts w:ascii="Arial Narrow" w:hAnsi="Arial Narrow" w:cs="Arial"/>
                <w:sz w:val="20"/>
                <w:szCs w:val="20"/>
              </w:rPr>
              <w:t>45 574</w:t>
            </w:r>
          </w:p>
        </w:tc>
        <w:tc>
          <w:tcPr>
            <w:tcW w:w="1115" w:type="dxa"/>
            <w:tcBorders>
              <w:top w:val="nil"/>
              <w:left w:val="nil"/>
              <w:bottom w:val="single" w:sz="4" w:space="0" w:color="auto"/>
              <w:right w:val="single" w:sz="4" w:space="0" w:color="auto"/>
            </w:tcBorders>
            <w:shd w:val="clear" w:color="000000" w:fill="FFFFFF"/>
            <w:noWrap/>
            <w:vAlign w:val="center"/>
            <w:hideMark/>
          </w:tcPr>
          <w:p w14:paraId="5C5ACFCA" w14:textId="77777777" w:rsidR="00FE41E9" w:rsidRPr="00FE41E9" w:rsidRDefault="00FE41E9" w:rsidP="00FE41E9">
            <w:pPr>
              <w:jc w:val="right"/>
              <w:rPr>
                <w:rFonts w:ascii="Arial Narrow" w:hAnsi="Arial Narrow" w:cs="Arial"/>
                <w:sz w:val="20"/>
                <w:szCs w:val="20"/>
              </w:rPr>
            </w:pPr>
            <w:r w:rsidRPr="00FE41E9">
              <w:rPr>
                <w:rFonts w:ascii="Arial Narrow" w:hAnsi="Arial Narrow" w:cs="Arial"/>
                <w:sz w:val="20"/>
                <w:szCs w:val="20"/>
              </w:rPr>
              <w:t>51 575</w:t>
            </w:r>
          </w:p>
        </w:tc>
      </w:tr>
      <w:tr w:rsidR="00FE41E9" w:rsidRPr="00FE41E9" w14:paraId="14A55699" w14:textId="77777777" w:rsidTr="00BF1588">
        <w:trPr>
          <w:trHeight w:val="309"/>
        </w:trPr>
        <w:tc>
          <w:tcPr>
            <w:tcW w:w="4378" w:type="dxa"/>
            <w:tcBorders>
              <w:top w:val="nil"/>
              <w:left w:val="single" w:sz="4" w:space="0" w:color="auto"/>
              <w:bottom w:val="single" w:sz="4" w:space="0" w:color="auto"/>
              <w:right w:val="single" w:sz="4" w:space="0" w:color="auto"/>
            </w:tcBorders>
            <w:shd w:val="clear" w:color="auto" w:fill="auto"/>
            <w:noWrap/>
            <w:vAlign w:val="center"/>
            <w:hideMark/>
          </w:tcPr>
          <w:p w14:paraId="644A4EE5" w14:textId="77777777" w:rsidR="00FE41E9" w:rsidRPr="00FE41E9" w:rsidRDefault="00FE41E9" w:rsidP="00FE41E9">
            <w:pPr>
              <w:rPr>
                <w:rFonts w:ascii="Arial Narrow" w:hAnsi="Arial Narrow" w:cs="Arial"/>
                <w:color w:val="000000"/>
                <w:sz w:val="20"/>
                <w:szCs w:val="20"/>
                <w:lang w:val="bg-BG"/>
              </w:rPr>
            </w:pPr>
            <w:r w:rsidRPr="00FE41E9">
              <w:rPr>
                <w:rFonts w:ascii="Arial Narrow" w:hAnsi="Arial Narrow" w:cs="Arial"/>
                <w:color w:val="000000"/>
                <w:sz w:val="20"/>
                <w:szCs w:val="20"/>
                <w:lang w:val="bg-BG"/>
              </w:rPr>
              <w:t>картофи</w:t>
            </w:r>
          </w:p>
        </w:tc>
        <w:tc>
          <w:tcPr>
            <w:tcW w:w="1115" w:type="dxa"/>
            <w:tcBorders>
              <w:top w:val="nil"/>
              <w:left w:val="nil"/>
              <w:bottom w:val="single" w:sz="4" w:space="0" w:color="auto"/>
              <w:right w:val="single" w:sz="4" w:space="0" w:color="auto"/>
            </w:tcBorders>
            <w:shd w:val="clear" w:color="auto" w:fill="auto"/>
            <w:noWrap/>
            <w:vAlign w:val="center"/>
            <w:hideMark/>
          </w:tcPr>
          <w:p w14:paraId="11C1A3BA" w14:textId="77777777" w:rsidR="00FE41E9" w:rsidRPr="00FE41E9" w:rsidRDefault="00FE41E9" w:rsidP="00FE41E9">
            <w:pPr>
              <w:jc w:val="right"/>
              <w:rPr>
                <w:rFonts w:ascii="Arial Narrow" w:hAnsi="Arial Narrow" w:cs="Arial"/>
                <w:sz w:val="20"/>
                <w:szCs w:val="20"/>
              </w:rPr>
            </w:pPr>
            <w:r w:rsidRPr="00FE41E9">
              <w:rPr>
                <w:rFonts w:ascii="Arial Narrow" w:hAnsi="Arial Narrow" w:cs="Arial"/>
                <w:sz w:val="20"/>
                <w:szCs w:val="20"/>
              </w:rPr>
              <w:t>11 524</w:t>
            </w:r>
          </w:p>
        </w:tc>
        <w:tc>
          <w:tcPr>
            <w:tcW w:w="1115" w:type="dxa"/>
            <w:tcBorders>
              <w:top w:val="nil"/>
              <w:left w:val="nil"/>
              <w:bottom w:val="single" w:sz="4" w:space="0" w:color="auto"/>
              <w:right w:val="single" w:sz="4" w:space="0" w:color="auto"/>
            </w:tcBorders>
            <w:shd w:val="clear" w:color="auto" w:fill="auto"/>
            <w:noWrap/>
            <w:vAlign w:val="center"/>
            <w:hideMark/>
          </w:tcPr>
          <w:p w14:paraId="4CB2C5B3" w14:textId="77777777" w:rsidR="00FE41E9" w:rsidRPr="00FE41E9" w:rsidRDefault="00FE41E9" w:rsidP="00FE41E9">
            <w:pPr>
              <w:jc w:val="right"/>
              <w:rPr>
                <w:rFonts w:ascii="Arial Narrow" w:hAnsi="Arial Narrow" w:cs="Arial"/>
                <w:sz w:val="20"/>
                <w:szCs w:val="20"/>
              </w:rPr>
            </w:pPr>
            <w:r w:rsidRPr="00FE41E9">
              <w:rPr>
                <w:rFonts w:ascii="Arial Narrow" w:hAnsi="Arial Narrow" w:cs="Arial"/>
                <w:sz w:val="20"/>
                <w:szCs w:val="20"/>
              </w:rPr>
              <w:t>12 363</w:t>
            </w:r>
          </w:p>
        </w:tc>
        <w:tc>
          <w:tcPr>
            <w:tcW w:w="1115" w:type="dxa"/>
            <w:tcBorders>
              <w:top w:val="nil"/>
              <w:left w:val="nil"/>
              <w:bottom w:val="single" w:sz="4" w:space="0" w:color="auto"/>
              <w:right w:val="single" w:sz="4" w:space="0" w:color="auto"/>
            </w:tcBorders>
            <w:shd w:val="clear" w:color="auto" w:fill="auto"/>
            <w:noWrap/>
            <w:vAlign w:val="center"/>
            <w:hideMark/>
          </w:tcPr>
          <w:p w14:paraId="01574789" w14:textId="77777777" w:rsidR="00FE41E9" w:rsidRPr="00FE41E9" w:rsidRDefault="00FE41E9" w:rsidP="00FE41E9">
            <w:pPr>
              <w:jc w:val="right"/>
              <w:rPr>
                <w:rFonts w:ascii="Arial Narrow" w:hAnsi="Arial Narrow" w:cs="Arial"/>
                <w:sz w:val="20"/>
                <w:szCs w:val="20"/>
              </w:rPr>
            </w:pPr>
            <w:r w:rsidRPr="00FE41E9">
              <w:rPr>
                <w:rFonts w:ascii="Arial Narrow" w:hAnsi="Arial Narrow" w:cs="Arial"/>
                <w:sz w:val="20"/>
                <w:szCs w:val="20"/>
              </w:rPr>
              <w:t>10 285</w:t>
            </w:r>
          </w:p>
        </w:tc>
        <w:tc>
          <w:tcPr>
            <w:tcW w:w="1115" w:type="dxa"/>
            <w:tcBorders>
              <w:top w:val="nil"/>
              <w:left w:val="nil"/>
              <w:bottom w:val="single" w:sz="4" w:space="0" w:color="auto"/>
              <w:right w:val="single" w:sz="4" w:space="0" w:color="auto"/>
            </w:tcBorders>
            <w:shd w:val="clear" w:color="000000" w:fill="FFFFFF"/>
            <w:noWrap/>
            <w:vAlign w:val="center"/>
            <w:hideMark/>
          </w:tcPr>
          <w:p w14:paraId="0C600EA4" w14:textId="77777777" w:rsidR="00FE41E9" w:rsidRPr="00FE41E9" w:rsidRDefault="00FE41E9" w:rsidP="00FE41E9">
            <w:pPr>
              <w:jc w:val="right"/>
              <w:rPr>
                <w:rFonts w:ascii="Arial Narrow" w:hAnsi="Arial Narrow" w:cs="Arial"/>
                <w:sz w:val="20"/>
                <w:szCs w:val="20"/>
              </w:rPr>
            </w:pPr>
            <w:r w:rsidRPr="00FE41E9">
              <w:rPr>
                <w:rFonts w:ascii="Arial Narrow" w:hAnsi="Arial Narrow" w:cs="Arial"/>
                <w:sz w:val="20"/>
                <w:szCs w:val="20"/>
              </w:rPr>
              <w:t>8 948</w:t>
            </w:r>
          </w:p>
        </w:tc>
        <w:tc>
          <w:tcPr>
            <w:tcW w:w="1115" w:type="dxa"/>
            <w:tcBorders>
              <w:top w:val="nil"/>
              <w:left w:val="nil"/>
              <w:bottom w:val="single" w:sz="4" w:space="0" w:color="auto"/>
              <w:right w:val="single" w:sz="4" w:space="0" w:color="auto"/>
            </w:tcBorders>
            <w:shd w:val="clear" w:color="000000" w:fill="FFFFFF"/>
            <w:noWrap/>
            <w:vAlign w:val="center"/>
            <w:hideMark/>
          </w:tcPr>
          <w:p w14:paraId="5C1E6213" w14:textId="77777777" w:rsidR="00FE41E9" w:rsidRPr="00FE41E9" w:rsidRDefault="00FE41E9" w:rsidP="00FE41E9">
            <w:pPr>
              <w:jc w:val="right"/>
              <w:rPr>
                <w:rFonts w:ascii="Arial Narrow" w:hAnsi="Arial Narrow" w:cs="Arial"/>
                <w:sz w:val="20"/>
                <w:szCs w:val="20"/>
              </w:rPr>
            </w:pPr>
            <w:r w:rsidRPr="00FE41E9">
              <w:rPr>
                <w:rFonts w:ascii="Arial Narrow" w:hAnsi="Arial Narrow" w:cs="Arial"/>
                <w:sz w:val="20"/>
                <w:szCs w:val="20"/>
              </w:rPr>
              <w:t>8 301</w:t>
            </w:r>
          </w:p>
        </w:tc>
      </w:tr>
      <w:tr w:rsidR="00FE41E9" w:rsidRPr="00FE41E9" w14:paraId="6745CE88" w14:textId="77777777" w:rsidTr="00BF1588">
        <w:trPr>
          <w:trHeight w:val="309"/>
        </w:trPr>
        <w:tc>
          <w:tcPr>
            <w:tcW w:w="4378" w:type="dxa"/>
            <w:tcBorders>
              <w:top w:val="nil"/>
              <w:left w:val="single" w:sz="4" w:space="0" w:color="auto"/>
              <w:bottom w:val="single" w:sz="4" w:space="0" w:color="auto"/>
              <w:right w:val="single" w:sz="4" w:space="0" w:color="auto"/>
            </w:tcBorders>
            <w:shd w:val="clear" w:color="auto" w:fill="auto"/>
            <w:vAlign w:val="center"/>
            <w:hideMark/>
          </w:tcPr>
          <w:p w14:paraId="25F7E5BA" w14:textId="77777777" w:rsidR="00FE41E9" w:rsidRPr="00FE41E9" w:rsidRDefault="00FE41E9" w:rsidP="00FE41E9">
            <w:pPr>
              <w:rPr>
                <w:rFonts w:ascii="Arial Narrow" w:hAnsi="Arial Narrow" w:cs="Arial"/>
                <w:color w:val="000000"/>
                <w:sz w:val="20"/>
                <w:szCs w:val="20"/>
                <w:lang w:val="bg-BG"/>
              </w:rPr>
            </w:pPr>
            <w:r w:rsidRPr="00FE41E9">
              <w:rPr>
                <w:rFonts w:ascii="Arial Narrow" w:hAnsi="Arial Narrow" w:cs="Arial"/>
                <w:color w:val="000000"/>
                <w:sz w:val="20"/>
                <w:szCs w:val="20"/>
                <w:lang w:val="bg-BG"/>
              </w:rPr>
              <w:t>грах, фасул, бакла, леща и други варива</w:t>
            </w:r>
          </w:p>
        </w:tc>
        <w:tc>
          <w:tcPr>
            <w:tcW w:w="1115" w:type="dxa"/>
            <w:tcBorders>
              <w:top w:val="nil"/>
              <w:left w:val="nil"/>
              <w:bottom w:val="single" w:sz="4" w:space="0" w:color="auto"/>
              <w:right w:val="single" w:sz="4" w:space="0" w:color="auto"/>
            </w:tcBorders>
            <w:shd w:val="clear" w:color="auto" w:fill="auto"/>
            <w:noWrap/>
            <w:vAlign w:val="center"/>
            <w:hideMark/>
          </w:tcPr>
          <w:p w14:paraId="3234E89D" w14:textId="77777777" w:rsidR="00FE41E9" w:rsidRPr="00FE41E9" w:rsidRDefault="00FE41E9" w:rsidP="00FE41E9">
            <w:pPr>
              <w:jc w:val="right"/>
              <w:rPr>
                <w:rFonts w:ascii="Arial Narrow" w:hAnsi="Arial Narrow" w:cs="Arial"/>
                <w:sz w:val="20"/>
                <w:szCs w:val="20"/>
              </w:rPr>
            </w:pPr>
            <w:r w:rsidRPr="00FE41E9">
              <w:rPr>
                <w:rFonts w:ascii="Arial Narrow" w:hAnsi="Arial Narrow" w:cs="Arial"/>
                <w:sz w:val="20"/>
                <w:szCs w:val="20"/>
              </w:rPr>
              <w:t>24 989</w:t>
            </w:r>
          </w:p>
        </w:tc>
        <w:tc>
          <w:tcPr>
            <w:tcW w:w="1115" w:type="dxa"/>
            <w:tcBorders>
              <w:top w:val="nil"/>
              <w:left w:val="nil"/>
              <w:bottom w:val="single" w:sz="4" w:space="0" w:color="auto"/>
              <w:right w:val="single" w:sz="4" w:space="0" w:color="auto"/>
            </w:tcBorders>
            <w:shd w:val="clear" w:color="auto" w:fill="auto"/>
            <w:noWrap/>
            <w:vAlign w:val="center"/>
            <w:hideMark/>
          </w:tcPr>
          <w:p w14:paraId="32CC92EC" w14:textId="77777777" w:rsidR="00FE41E9" w:rsidRPr="00FE41E9" w:rsidRDefault="00FE41E9" w:rsidP="00FE41E9">
            <w:pPr>
              <w:jc w:val="right"/>
              <w:rPr>
                <w:rFonts w:ascii="Arial Narrow" w:hAnsi="Arial Narrow" w:cs="Arial"/>
                <w:sz w:val="20"/>
                <w:szCs w:val="20"/>
              </w:rPr>
            </w:pPr>
            <w:r w:rsidRPr="00FE41E9">
              <w:rPr>
                <w:rFonts w:ascii="Arial Narrow" w:hAnsi="Arial Narrow" w:cs="Arial"/>
                <w:sz w:val="20"/>
                <w:szCs w:val="20"/>
              </w:rPr>
              <w:t>30 584</w:t>
            </w:r>
          </w:p>
        </w:tc>
        <w:tc>
          <w:tcPr>
            <w:tcW w:w="1115" w:type="dxa"/>
            <w:tcBorders>
              <w:top w:val="nil"/>
              <w:left w:val="nil"/>
              <w:bottom w:val="single" w:sz="4" w:space="0" w:color="auto"/>
              <w:right w:val="single" w:sz="4" w:space="0" w:color="auto"/>
            </w:tcBorders>
            <w:shd w:val="clear" w:color="auto" w:fill="auto"/>
            <w:noWrap/>
            <w:vAlign w:val="center"/>
            <w:hideMark/>
          </w:tcPr>
          <w:p w14:paraId="6D2D30F0" w14:textId="77777777" w:rsidR="00FE41E9" w:rsidRPr="00FE41E9" w:rsidRDefault="00FE41E9" w:rsidP="00FE41E9">
            <w:pPr>
              <w:jc w:val="right"/>
              <w:rPr>
                <w:rFonts w:ascii="Arial Narrow" w:hAnsi="Arial Narrow" w:cs="Arial"/>
                <w:sz w:val="20"/>
                <w:szCs w:val="20"/>
              </w:rPr>
            </w:pPr>
            <w:r w:rsidRPr="00FE41E9">
              <w:rPr>
                <w:rFonts w:ascii="Arial Narrow" w:hAnsi="Arial Narrow" w:cs="Arial"/>
                <w:sz w:val="20"/>
                <w:szCs w:val="20"/>
              </w:rPr>
              <w:t>22 198</w:t>
            </w:r>
          </w:p>
        </w:tc>
        <w:tc>
          <w:tcPr>
            <w:tcW w:w="1115" w:type="dxa"/>
            <w:tcBorders>
              <w:top w:val="nil"/>
              <w:left w:val="nil"/>
              <w:bottom w:val="single" w:sz="4" w:space="0" w:color="auto"/>
              <w:right w:val="single" w:sz="4" w:space="0" w:color="auto"/>
            </w:tcBorders>
            <w:shd w:val="clear" w:color="000000" w:fill="FFFFFF"/>
            <w:noWrap/>
            <w:vAlign w:val="center"/>
            <w:hideMark/>
          </w:tcPr>
          <w:p w14:paraId="79BB52C8" w14:textId="77777777" w:rsidR="00FE41E9" w:rsidRPr="00FE41E9" w:rsidRDefault="00FE41E9" w:rsidP="00FE41E9">
            <w:pPr>
              <w:jc w:val="right"/>
              <w:rPr>
                <w:rFonts w:ascii="Arial Narrow" w:hAnsi="Arial Narrow" w:cs="Arial"/>
                <w:sz w:val="20"/>
                <w:szCs w:val="20"/>
              </w:rPr>
            </w:pPr>
            <w:r w:rsidRPr="00FE41E9">
              <w:rPr>
                <w:rFonts w:ascii="Arial Narrow" w:hAnsi="Arial Narrow" w:cs="Arial"/>
                <w:sz w:val="20"/>
                <w:szCs w:val="20"/>
              </w:rPr>
              <w:t>14 934</w:t>
            </w:r>
          </w:p>
        </w:tc>
        <w:tc>
          <w:tcPr>
            <w:tcW w:w="1115" w:type="dxa"/>
            <w:tcBorders>
              <w:top w:val="nil"/>
              <w:left w:val="nil"/>
              <w:bottom w:val="single" w:sz="4" w:space="0" w:color="auto"/>
              <w:right w:val="single" w:sz="4" w:space="0" w:color="auto"/>
            </w:tcBorders>
            <w:shd w:val="clear" w:color="000000" w:fill="FFFFFF"/>
            <w:noWrap/>
            <w:vAlign w:val="center"/>
            <w:hideMark/>
          </w:tcPr>
          <w:p w14:paraId="2263BC91" w14:textId="77777777" w:rsidR="00FE41E9" w:rsidRPr="00FE41E9" w:rsidRDefault="00FE41E9" w:rsidP="00FE41E9">
            <w:pPr>
              <w:jc w:val="right"/>
              <w:rPr>
                <w:rFonts w:ascii="Arial Narrow" w:hAnsi="Arial Narrow" w:cs="Arial"/>
                <w:sz w:val="20"/>
                <w:szCs w:val="20"/>
              </w:rPr>
            </w:pPr>
            <w:r w:rsidRPr="00FE41E9">
              <w:rPr>
                <w:rFonts w:ascii="Arial Narrow" w:hAnsi="Arial Narrow" w:cs="Arial"/>
                <w:sz w:val="20"/>
                <w:szCs w:val="20"/>
              </w:rPr>
              <w:t>28 757</w:t>
            </w:r>
          </w:p>
        </w:tc>
      </w:tr>
      <w:tr w:rsidR="00FE41E9" w:rsidRPr="00FE41E9" w14:paraId="70E30E35" w14:textId="77777777" w:rsidTr="00BF1588">
        <w:trPr>
          <w:trHeight w:val="309"/>
        </w:trPr>
        <w:tc>
          <w:tcPr>
            <w:tcW w:w="4378" w:type="dxa"/>
            <w:tcBorders>
              <w:top w:val="nil"/>
              <w:left w:val="single" w:sz="4" w:space="0" w:color="auto"/>
              <w:bottom w:val="single" w:sz="4" w:space="0" w:color="auto"/>
              <w:right w:val="single" w:sz="4" w:space="0" w:color="auto"/>
            </w:tcBorders>
            <w:shd w:val="clear" w:color="auto" w:fill="auto"/>
            <w:noWrap/>
            <w:vAlign w:val="center"/>
            <w:hideMark/>
          </w:tcPr>
          <w:p w14:paraId="7C1118A9" w14:textId="77777777" w:rsidR="00FE41E9" w:rsidRPr="00FE41E9" w:rsidRDefault="00FE41E9" w:rsidP="00FE41E9">
            <w:pPr>
              <w:rPr>
                <w:rFonts w:ascii="Arial Narrow" w:hAnsi="Arial Narrow" w:cs="Arial"/>
                <w:color w:val="000000"/>
                <w:sz w:val="20"/>
                <w:szCs w:val="20"/>
                <w:lang w:val="bg-BG"/>
              </w:rPr>
            </w:pPr>
            <w:r w:rsidRPr="00FE41E9">
              <w:rPr>
                <w:rFonts w:ascii="Arial Narrow" w:hAnsi="Arial Narrow" w:cs="Arial"/>
                <w:color w:val="000000"/>
                <w:sz w:val="20"/>
                <w:szCs w:val="20"/>
                <w:lang w:val="bg-BG"/>
              </w:rPr>
              <w:t>пресни зеленчуци</w:t>
            </w:r>
          </w:p>
        </w:tc>
        <w:tc>
          <w:tcPr>
            <w:tcW w:w="1115" w:type="dxa"/>
            <w:tcBorders>
              <w:top w:val="nil"/>
              <w:left w:val="nil"/>
              <w:bottom w:val="single" w:sz="4" w:space="0" w:color="auto"/>
              <w:right w:val="single" w:sz="4" w:space="0" w:color="auto"/>
            </w:tcBorders>
            <w:shd w:val="clear" w:color="auto" w:fill="auto"/>
            <w:noWrap/>
            <w:vAlign w:val="center"/>
            <w:hideMark/>
          </w:tcPr>
          <w:p w14:paraId="36EC02C2" w14:textId="77777777" w:rsidR="00FE41E9" w:rsidRPr="00FE41E9" w:rsidRDefault="00FE41E9" w:rsidP="00FE41E9">
            <w:pPr>
              <w:jc w:val="right"/>
              <w:rPr>
                <w:rFonts w:ascii="Arial Narrow" w:hAnsi="Arial Narrow" w:cs="Arial"/>
                <w:sz w:val="20"/>
                <w:szCs w:val="20"/>
              </w:rPr>
            </w:pPr>
            <w:r w:rsidRPr="00FE41E9">
              <w:rPr>
                <w:rFonts w:ascii="Arial Narrow" w:hAnsi="Arial Narrow" w:cs="Arial"/>
                <w:sz w:val="20"/>
                <w:szCs w:val="20"/>
              </w:rPr>
              <w:t>25 705</w:t>
            </w:r>
          </w:p>
        </w:tc>
        <w:tc>
          <w:tcPr>
            <w:tcW w:w="1115" w:type="dxa"/>
            <w:tcBorders>
              <w:top w:val="nil"/>
              <w:left w:val="nil"/>
              <w:bottom w:val="single" w:sz="4" w:space="0" w:color="auto"/>
              <w:right w:val="single" w:sz="4" w:space="0" w:color="auto"/>
            </w:tcBorders>
            <w:shd w:val="clear" w:color="auto" w:fill="auto"/>
            <w:noWrap/>
            <w:vAlign w:val="center"/>
            <w:hideMark/>
          </w:tcPr>
          <w:p w14:paraId="17328D98" w14:textId="77777777" w:rsidR="00FE41E9" w:rsidRPr="00FE41E9" w:rsidRDefault="00FE41E9" w:rsidP="00FE41E9">
            <w:pPr>
              <w:jc w:val="right"/>
              <w:rPr>
                <w:rFonts w:ascii="Arial Narrow" w:hAnsi="Arial Narrow" w:cs="Arial"/>
                <w:sz w:val="20"/>
                <w:szCs w:val="20"/>
              </w:rPr>
            </w:pPr>
            <w:r w:rsidRPr="00FE41E9">
              <w:rPr>
                <w:rFonts w:ascii="Arial Narrow" w:hAnsi="Arial Narrow" w:cs="Arial"/>
                <w:sz w:val="20"/>
                <w:szCs w:val="20"/>
              </w:rPr>
              <w:t>31 015</w:t>
            </w:r>
          </w:p>
        </w:tc>
        <w:tc>
          <w:tcPr>
            <w:tcW w:w="1115" w:type="dxa"/>
            <w:tcBorders>
              <w:top w:val="nil"/>
              <w:left w:val="nil"/>
              <w:bottom w:val="single" w:sz="4" w:space="0" w:color="auto"/>
              <w:right w:val="single" w:sz="4" w:space="0" w:color="auto"/>
            </w:tcBorders>
            <w:shd w:val="clear" w:color="auto" w:fill="auto"/>
            <w:noWrap/>
            <w:vAlign w:val="center"/>
            <w:hideMark/>
          </w:tcPr>
          <w:p w14:paraId="096EADC7" w14:textId="77777777" w:rsidR="00FE41E9" w:rsidRPr="00FE41E9" w:rsidRDefault="00FE41E9" w:rsidP="00FE41E9">
            <w:pPr>
              <w:jc w:val="right"/>
              <w:rPr>
                <w:rFonts w:ascii="Arial Narrow" w:hAnsi="Arial Narrow" w:cs="Arial"/>
                <w:sz w:val="20"/>
                <w:szCs w:val="20"/>
              </w:rPr>
            </w:pPr>
            <w:r w:rsidRPr="00FE41E9">
              <w:rPr>
                <w:rFonts w:ascii="Arial Narrow" w:hAnsi="Arial Narrow" w:cs="Arial"/>
                <w:sz w:val="20"/>
                <w:szCs w:val="20"/>
              </w:rPr>
              <w:t>21 206</w:t>
            </w:r>
          </w:p>
        </w:tc>
        <w:tc>
          <w:tcPr>
            <w:tcW w:w="1115" w:type="dxa"/>
            <w:tcBorders>
              <w:top w:val="nil"/>
              <w:left w:val="nil"/>
              <w:bottom w:val="single" w:sz="4" w:space="0" w:color="auto"/>
              <w:right w:val="single" w:sz="4" w:space="0" w:color="auto"/>
            </w:tcBorders>
            <w:shd w:val="clear" w:color="000000" w:fill="FFFFFF"/>
            <w:noWrap/>
            <w:vAlign w:val="center"/>
            <w:hideMark/>
          </w:tcPr>
          <w:p w14:paraId="760D6F8D" w14:textId="77777777" w:rsidR="00FE41E9" w:rsidRPr="00FE41E9" w:rsidRDefault="00FE41E9" w:rsidP="00FE41E9">
            <w:pPr>
              <w:jc w:val="right"/>
              <w:rPr>
                <w:rFonts w:ascii="Arial Narrow" w:hAnsi="Arial Narrow" w:cs="Arial"/>
                <w:sz w:val="20"/>
                <w:szCs w:val="20"/>
              </w:rPr>
            </w:pPr>
            <w:r w:rsidRPr="00FE41E9">
              <w:rPr>
                <w:rFonts w:ascii="Arial Narrow" w:hAnsi="Arial Narrow" w:cs="Arial"/>
                <w:sz w:val="20"/>
                <w:szCs w:val="20"/>
              </w:rPr>
              <w:t>23 681</w:t>
            </w:r>
          </w:p>
        </w:tc>
        <w:tc>
          <w:tcPr>
            <w:tcW w:w="1115" w:type="dxa"/>
            <w:tcBorders>
              <w:top w:val="nil"/>
              <w:left w:val="nil"/>
              <w:bottom w:val="single" w:sz="4" w:space="0" w:color="auto"/>
              <w:right w:val="single" w:sz="4" w:space="0" w:color="auto"/>
            </w:tcBorders>
            <w:shd w:val="clear" w:color="000000" w:fill="FFFFFF"/>
            <w:noWrap/>
            <w:vAlign w:val="center"/>
            <w:hideMark/>
          </w:tcPr>
          <w:p w14:paraId="7C7D6044" w14:textId="77777777" w:rsidR="00FE41E9" w:rsidRPr="00FE41E9" w:rsidRDefault="00FE41E9" w:rsidP="00FE41E9">
            <w:pPr>
              <w:jc w:val="right"/>
              <w:rPr>
                <w:rFonts w:ascii="Arial Narrow" w:hAnsi="Arial Narrow" w:cs="Arial"/>
                <w:sz w:val="20"/>
                <w:szCs w:val="20"/>
              </w:rPr>
            </w:pPr>
            <w:r w:rsidRPr="00FE41E9">
              <w:rPr>
                <w:rFonts w:ascii="Arial Narrow" w:hAnsi="Arial Narrow" w:cs="Arial"/>
                <w:sz w:val="20"/>
                <w:szCs w:val="20"/>
              </w:rPr>
              <w:t>28 293</w:t>
            </w:r>
          </w:p>
        </w:tc>
      </w:tr>
      <w:tr w:rsidR="00FE41E9" w:rsidRPr="00FE41E9" w14:paraId="000EDA45" w14:textId="77777777" w:rsidTr="00BF1588">
        <w:trPr>
          <w:trHeight w:val="309"/>
        </w:trPr>
        <w:tc>
          <w:tcPr>
            <w:tcW w:w="4378" w:type="dxa"/>
            <w:tcBorders>
              <w:top w:val="nil"/>
              <w:left w:val="single" w:sz="4" w:space="0" w:color="auto"/>
              <w:bottom w:val="single" w:sz="4" w:space="0" w:color="auto"/>
              <w:right w:val="single" w:sz="4" w:space="0" w:color="auto"/>
            </w:tcBorders>
            <w:shd w:val="clear" w:color="auto" w:fill="auto"/>
            <w:vAlign w:val="center"/>
            <w:hideMark/>
          </w:tcPr>
          <w:p w14:paraId="51A4EAAF" w14:textId="77777777" w:rsidR="00FE41E9" w:rsidRPr="00FE41E9" w:rsidRDefault="00FE41E9" w:rsidP="00FE41E9">
            <w:pPr>
              <w:rPr>
                <w:rFonts w:ascii="Arial Narrow" w:hAnsi="Arial Narrow" w:cs="Arial"/>
                <w:color w:val="000000"/>
                <w:sz w:val="20"/>
                <w:szCs w:val="20"/>
                <w:lang w:val="bg-BG"/>
              </w:rPr>
            </w:pPr>
            <w:r w:rsidRPr="00FE41E9">
              <w:rPr>
                <w:rFonts w:ascii="Arial Narrow" w:hAnsi="Arial Narrow" w:cs="Arial"/>
                <w:color w:val="000000"/>
                <w:sz w:val="20"/>
                <w:szCs w:val="20"/>
                <w:lang w:val="bg-BG"/>
              </w:rPr>
              <w:t>едногодишни фуражни култури</w:t>
            </w:r>
          </w:p>
        </w:tc>
        <w:tc>
          <w:tcPr>
            <w:tcW w:w="1115" w:type="dxa"/>
            <w:tcBorders>
              <w:top w:val="nil"/>
              <w:left w:val="nil"/>
              <w:bottom w:val="single" w:sz="4" w:space="0" w:color="auto"/>
              <w:right w:val="single" w:sz="4" w:space="0" w:color="auto"/>
            </w:tcBorders>
            <w:shd w:val="clear" w:color="auto" w:fill="auto"/>
            <w:noWrap/>
            <w:vAlign w:val="center"/>
            <w:hideMark/>
          </w:tcPr>
          <w:p w14:paraId="3ECC16EA" w14:textId="77777777" w:rsidR="00FE41E9" w:rsidRPr="00FE41E9" w:rsidRDefault="00FE41E9" w:rsidP="00FE41E9">
            <w:pPr>
              <w:jc w:val="right"/>
              <w:rPr>
                <w:rFonts w:ascii="Arial Narrow" w:hAnsi="Arial Narrow" w:cs="Arial"/>
                <w:sz w:val="20"/>
                <w:szCs w:val="20"/>
              </w:rPr>
            </w:pPr>
            <w:r w:rsidRPr="00FE41E9">
              <w:rPr>
                <w:rFonts w:ascii="Arial Narrow" w:hAnsi="Arial Narrow" w:cs="Arial"/>
                <w:sz w:val="20"/>
                <w:szCs w:val="20"/>
              </w:rPr>
              <w:t>8 345</w:t>
            </w:r>
          </w:p>
        </w:tc>
        <w:tc>
          <w:tcPr>
            <w:tcW w:w="1115" w:type="dxa"/>
            <w:tcBorders>
              <w:top w:val="nil"/>
              <w:left w:val="nil"/>
              <w:bottom w:val="single" w:sz="4" w:space="0" w:color="auto"/>
              <w:right w:val="single" w:sz="4" w:space="0" w:color="auto"/>
            </w:tcBorders>
            <w:shd w:val="clear" w:color="auto" w:fill="auto"/>
            <w:noWrap/>
            <w:vAlign w:val="center"/>
            <w:hideMark/>
          </w:tcPr>
          <w:p w14:paraId="3697D298" w14:textId="77777777" w:rsidR="00FE41E9" w:rsidRPr="00FE41E9" w:rsidRDefault="00FE41E9" w:rsidP="00FE41E9">
            <w:pPr>
              <w:jc w:val="right"/>
              <w:rPr>
                <w:rFonts w:ascii="Arial Narrow" w:hAnsi="Arial Narrow" w:cs="Arial"/>
                <w:sz w:val="20"/>
                <w:szCs w:val="20"/>
              </w:rPr>
            </w:pPr>
            <w:r w:rsidRPr="00FE41E9">
              <w:rPr>
                <w:rFonts w:ascii="Arial Narrow" w:hAnsi="Arial Narrow" w:cs="Arial"/>
                <w:sz w:val="20"/>
                <w:szCs w:val="20"/>
              </w:rPr>
              <w:t>8 115</w:t>
            </w:r>
          </w:p>
        </w:tc>
        <w:tc>
          <w:tcPr>
            <w:tcW w:w="1115" w:type="dxa"/>
            <w:tcBorders>
              <w:top w:val="nil"/>
              <w:left w:val="nil"/>
              <w:bottom w:val="single" w:sz="4" w:space="0" w:color="auto"/>
              <w:right w:val="single" w:sz="4" w:space="0" w:color="auto"/>
            </w:tcBorders>
            <w:shd w:val="clear" w:color="auto" w:fill="auto"/>
            <w:noWrap/>
            <w:vAlign w:val="center"/>
            <w:hideMark/>
          </w:tcPr>
          <w:p w14:paraId="7976E4E9" w14:textId="77777777" w:rsidR="00FE41E9" w:rsidRPr="00FE41E9" w:rsidRDefault="00FE41E9" w:rsidP="00FE41E9">
            <w:pPr>
              <w:jc w:val="right"/>
              <w:rPr>
                <w:rFonts w:ascii="Arial Narrow" w:hAnsi="Arial Narrow" w:cs="Arial"/>
                <w:sz w:val="20"/>
                <w:szCs w:val="20"/>
              </w:rPr>
            </w:pPr>
            <w:r w:rsidRPr="00FE41E9">
              <w:rPr>
                <w:rFonts w:ascii="Arial Narrow" w:hAnsi="Arial Narrow" w:cs="Arial"/>
                <w:sz w:val="20"/>
                <w:szCs w:val="20"/>
              </w:rPr>
              <w:t>5 940</w:t>
            </w:r>
          </w:p>
        </w:tc>
        <w:tc>
          <w:tcPr>
            <w:tcW w:w="1115" w:type="dxa"/>
            <w:tcBorders>
              <w:top w:val="nil"/>
              <w:left w:val="nil"/>
              <w:bottom w:val="single" w:sz="4" w:space="0" w:color="auto"/>
              <w:right w:val="single" w:sz="4" w:space="0" w:color="auto"/>
            </w:tcBorders>
            <w:shd w:val="clear" w:color="000000" w:fill="FFFFFF"/>
            <w:noWrap/>
            <w:vAlign w:val="center"/>
            <w:hideMark/>
          </w:tcPr>
          <w:p w14:paraId="6138BAB9" w14:textId="77777777" w:rsidR="00FE41E9" w:rsidRPr="00FE41E9" w:rsidRDefault="00FE41E9" w:rsidP="00FE41E9">
            <w:pPr>
              <w:jc w:val="right"/>
              <w:rPr>
                <w:rFonts w:ascii="Arial Narrow" w:hAnsi="Arial Narrow" w:cs="Arial"/>
                <w:sz w:val="20"/>
                <w:szCs w:val="20"/>
              </w:rPr>
            </w:pPr>
            <w:r w:rsidRPr="00FE41E9">
              <w:rPr>
                <w:rFonts w:ascii="Arial Narrow" w:hAnsi="Arial Narrow" w:cs="Arial"/>
                <w:sz w:val="20"/>
                <w:szCs w:val="20"/>
              </w:rPr>
              <w:t>8 528</w:t>
            </w:r>
          </w:p>
        </w:tc>
        <w:tc>
          <w:tcPr>
            <w:tcW w:w="1115" w:type="dxa"/>
            <w:tcBorders>
              <w:top w:val="nil"/>
              <w:left w:val="nil"/>
              <w:bottom w:val="single" w:sz="4" w:space="0" w:color="auto"/>
              <w:right w:val="single" w:sz="4" w:space="0" w:color="auto"/>
            </w:tcBorders>
            <w:shd w:val="clear" w:color="000000" w:fill="FFFFFF"/>
            <w:noWrap/>
            <w:vAlign w:val="center"/>
            <w:hideMark/>
          </w:tcPr>
          <w:p w14:paraId="5860439E" w14:textId="77777777" w:rsidR="00FE41E9" w:rsidRPr="00FE41E9" w:rsidRDefault="00FE41E9" w:rsidP="00FE41E9">
            <w:pPr>
              <w:jc w:val="right"/>
              <w:rPr>
                <w:rFonts w:ascii="Arial Narrow" w:hAnsi="Arial Narrow" w:cs="Arial"/>
                <w:sz w:val="20"/>
                <w:szCs w:val="20"/>
              </w:rPr>
            </w:pPr>
            <w:r w:rsidRPr="00FE41E9">
              <w:rPr>
                <w:rFonts w:ascii="Arial Narrow" w:hAnsi="Arial Narrow" w:cs="Arial"/>
                <w:sz w:val="20"/>
                <w:szCs w:val="20"/>
              </w:rPr>
              <w:t>16 693</w:t>
            </w:r>
          </w:p>
        </w:tc>
      </w:tr>
      <w:tr w:rsidR="00FE41E9" w:rsidRPr="00FE41E9" w14:paraId="01578BA6" w14:textId="77777777" w:rsidTr="00BF1588">
        <w:trPr>
          <w:trHeight w:val="309"/>
        </w:trPr>
        <w:tc>
          <w:tcPr>
            <w:tcW w:w="4378" w:type="dxa"/>
            <w:tcBorders>
              <w:top w:val="nil"/>
              <w:left w:val="single" w:sz="4" w:space="0" w:color="auto"/>
              <w:bottom w:val="single" w:sz="4" w:space="0" w:color="auto"/>
              <w:right w:val="single" w:sz="4" w:space="0" w:color="auto"/>
            </w:tcBorders>
            <w:shd w:val="clear" w:color="auto" w:fill="auto"/>
            <w:vAlign w:val="center"/>
            <w:hideMark/>
          </w:tcPr>
          <w:p w14:paraId="54D842AF" w14:textId="77777777" w:rsidR="00FE41E9" w:rsidRPr="00FE41E9" w:rsidRDefault="00FE41E9" w:rsidP="00FE41E9">
            <w:pPr>
              <w:rPr>
                <w:rFonts w:ascii="Arial Narrow" w:hAnsi="Arial Narrow" w:cs="Arial"/>
                <w:color w:val="000000"/>
                <w:sz w:val="20"/>
                <w:szCs w:val="20"/>
                <w:lang w:val="bg-BG"/>
              </w:rPr>
            </w:pPr>
            <w:r w:rsidRPr="00FE41E9">
              <w:rPr>
                <w:rFonts w:ascii="Arial Narrow" w:hAnsi="Arial Narrow" w:cs="Arial"/>
                <w:color w:val="000000"/>
                <w:sz w:val="20"/>
                <w:szCs w:val="20"/>
                <w:lang w:val="bg-BG"/>
              </w:rPr>
              <w:t>ливади засети с бобови</w:t>
            </w:r>
          </w:p>
        </w:tc>
        <w:tc>
          <w:tcPr>
            <w:tcW w:w="1115" w:type="dxa"/>
            <w:tcBorders>
              <w:top w:val="nil"/>
              <w:left w:val="nil"/>
              <w:bottom w:val="single" w:sz="4" w:space="0" w:color="auto"/>
              <w:right w:val="single" w:sz="4" w:space="0" w:color="auto"/>
            </w:tcBorders>
            <w:shd w:val="clear" w:color="auto" w:fill="auto"/>
            <w:noWrap/>
            <w:vAlign w:val="center"/>
            <w:hideMark/>
          </w:tcPr>
          <w:p w14:paraId="07832792" w14:textId="77777777" w:rsidR="00FE41E9" w:rsidRPr="00FE41E9" w:rsidRDefault="00FE41E9" w:rsidP="00FE41E9">
            <w:pPr>
              <w:jc w:val="right"/>
              <w:rPr>
                <w:rFonts w:ascii="Arial Narrow" w:hAnsi="Arial Narrow" w:cs="Arial"/>
                <w:sz w:val="20"/>
                <w:szCs w:val="20"/>
              </w:rPr>
            </w:pPr>
            <w:r w:rsidRPr="00FE41E9">
              <w:rPr>
                <w:rFonts w:ascii="Arial Narrow" w:hAnsi="Arial Narrow" w:cs="Arial"/>
                <w:sz w:val="20"/>
                <w:szCs w:val="20"/>
              </w:rPr>
              <w:t>119 134</w:t>
            </w:r>
          </w:p>
        </w:tc>
        <w:tc>
          <w:tcPr>
            <w:tcW w:w="1115" w:type="dxa"/>
            <w:tcBorders>
              <w:top w:val="nil"/>
              <w:left w:val="nil"/>
              <w:bottom w:val="single" w:sz="4" w:space="0" w:color="auto"/>
              <w:right w:val="single" w:sz="4" w:space="0" w:color="auto"/>
            </w:tcBorders>
            <w:shd w:val="clear" w:color="auto" w:fill="auto"/>
            <w:noWrap/>
            <w:vAlign w:val="center"/>
            <w:hideMark/>
          </w:tcPr>
          <w:p w14:paraId="4D91ADAE" w14:textId="77777777" w:rsidR="00FE41E9" w:rsidRPr="00FE41E9" w:rsidRDefault="00FE41E9" w:rsidP="00FE41E9">
            <w:pPr>
              <w:jc w:val="right"/>
              <w:rPr>
                <w:rFonts w:ascii="Arial Narrow" w:hAnsi="Arial Narrow" w:cs="Arial"/>
                <w:sz w:val="20"/>
                <w:szCs w:val="20"/>
              </w:rPr>
            </w:pPr>
            <w:r w:rsidRPr="00FE41E9">
              <w:rPr>
                <w:rFonts w:ascii="Arial Narrow" w:hAnsi="Arial Narrow" w:cs="Arial"/>
                <w:sz w:val="20"/>
                <w:szCs w:val="20"/>
              </w:rPr>
              <w:t>119 942</w:t>
            </w:r>
          </w:p>
        </w:tc>
        <w:tc>
          <w:tcPr>
            <w:tcW w:w="1115" w:type="dxa"/>
            <w:tcBorders>
              <w:top w:val="nil"/>
              <w:left w:val="nil"/>
              <w:bottom w:val="single" w:sz="4" w:space="0" w:color="auto"/>
              <w:right w:val="single" w:sz="4" w:space="0" w:color="auto"/>
            </w:tcBorders>
            <w:shd w:val="clear" w:color="auto" w:fill="auto"/>
            <w:noWrap/>
            <w:vAlign w:val="center"/>
            <w:hideMark/>
          </w:tcPr>
          <w:p w14:paraId="68C0DB67" w14:textId="77777777" w:rsidR="00FE41E9" w:rsidRPr="00FE41E9" w:rsidRDefault="00FE41E9" w:rsidP="00FE41E9">
            <w:pPr>
              <w:jc w:val="right"/>
              <w:rPr>
                <w:rFonts w:ascii="Arial Narrow" w:hAnsi="Arial Narrow" w:cs="Arial"/>
                <w:sz w:val="20"/>
                <w:szCs w:val="20"/>
              </w:rPr>
            </w:pPr>
            <w:r w:rsidRPr="00FE41E9">
              <w:rPr>
                <w:rFonts w:ascii="Arial Narrow" w:hAnsi="Arial Narrow" w:cs="Arial"/>
                <w:sz w:val="20"/>
                <w:szCs w:val="20"/>
              </w:rPr>
              <w:t>104 618</w:t>
            </w:r>
          </w:p>
        </w:tc>
        <w:tc>
          <w:tcPr>
            <w:tcW w:w="1115" w:type="dxa"/>
            <w:tcBorders>
              <w:top w:val="nil"/>
              <w:left w:val="nil"/>
              <w:bottom w:val="single" w:sz="4" w:space="0" w:color="auto"/>
              <w:right w:val="single" w:sz="4" w:space="0" w:color="auto"/>
            </w:tcBorders>
            <w:shd w:val="clear" w:color="000000" w:fill="FFFFFF"/>
            <w:noWrap/>
            <w:vAlign w:val="center"/>
            <w:hideMark/>
          </w:tcPr>
          <w:p w14:paraId="49ADED89" w14:textId="77777777" w:rsidR="00FE41E9" w:rsidRPr="00FE41E9" w:rsidRDefault="00FE41E9" w:rsidP="00FE41E9">
            <w:pPr>
              <w:jc w:val="right"/>
              <w:rPr>
                <w:rFonts w:ascii="Arial Narrow" w:hAnsi="Arial Narrow" w:cs="Arial"/>
                <w:sz w:val="20"/>
                <w:szCs w:val="20"/>
              </w:rPr>
            </w:pPr>
            <w:r w:rsidRPr="00FE41E9">
              <w:rPr>
                <w:rFonts w:ascii="Arial Narrow" w:hAnsi="Arial Narrow" w:cs="Arial"/>
                <w:sz w:val="20"/>
                <w:szCs w:val="20"/>
              </w:rPr>
              <w:t>103 168</w:t>
            </w:r>
          </w:p>
        </w:tc>
        <w:tc>
          <w:tcPr>
            <w:tcW w:w="1115" w:type="dxa"/>
            <w:tcBorders>
              <w:top w:val="nil"/>
              <w:left w:val="nil"/>
              <w:bottom w:val="single" w:sz="4" w:space="0" w:color="auto"/>
              <w:right w:val="single" w:sz="4" w:space="0" w:color="auto"/>
            </w:tcBorders>
            <w:shd w:val="clear" w:color="000000" w:fill="FFFFFF"/>
            <w:noWrap/>
            <w:vAlign w:val="center"/>
            <w:hideMark/>
          </w:tcPr>
          <w:p w14:paraId="307E88EC" w14:textId="77777777" w:rsidR="00FE41E9" w:rsidRPr="00FE41E9" w:rsidRDefault="00FE41E9" w:rsidP="00FE41E9">
            <w:pPr>
              <w:jc w:val="right"/>
              <w:rPr>
                <w:rFonts w:ascii="Arial Narrow" w:hAnsi="Arial Narrow" w:cs="Arial"/>
                <w:sz w:val="20"/>
                <w:szCs w:val="20"/>
              </w:rPr>
            </w:pPr>
            <w:r w:rsidRPr="00FE41E9">
              <w:rPr>
                <w:rFonts w:ascii="Arial Narrow" w:hAnsi="Arial Narrow" w:cs="Arial"/>
                <w:sz w:val="20"/>
                <w:szCs w:val="20"/>
              </w:rPr>
              <w:t>104 847</w:t>
            </w:r>
          </w:p>
        </w:tc>
      </w:tr>
      <w:tr w:rsidR="00FE41E9" w:rsidRPr="00FE41E9" w14:paraId="11AC3F2A" w14:textId="77777777" w:rsidTr="00BF1588">
        <w:trPr>
          <w:trHeight w:val="309"/>
        </w:trPr>
        <w:tc>
          <w:tcPr>
            <w:tcW w:w="4378" w:type="dxa"/>
            <w:tcBorders>
              <w:top w:val="nil"/>
              <w:left w:val="single" w:sz="4" w:space="0" w:color="auto"/>
              <w:bottom w:val="single" w:sz="4" w:space="0" w:color="auto"/>
              <w:right w:val="single" w:sz="4" w:space="0" w:color="auto"/>
            </w:tcBorders>
            <w:shd w:val="clear" w:color="auto" w:fill="auto"/>
            <w:noWrap/>
            <w:vAlign w:val="center"/>
            <w:hideMark/>
          </w:tcPr>
          <w:p w14:paraId="1694FE7A" w14:textId="77777777" w:rsidR="00FE41E9" w:rsidRPr="00FE41E9" w:rsidRDefault="00FE41E9" w:rsidP="00FE41E9">
            <w:pPr>
              <w:rPr>
                <w:rFonts w:ascii="Arial Narrow" w:hAnsi="Arial Narrow" w:cs="Arial"/>
                <w:color w:val="000000"/>
                <w:sz w:val="20"/>
                <w:szCs w:val="20"/>
                <w:lang w:val="bg-BG"/>
              </w:rPr>
            </w:pPr>
            <w:r w:rsidRPr="00FE41E9">
              <w:rPr>
                <w:rFonts w:ascii="Arial Narrow" w:hAnsi="Arial Narrow" w:cs="Arial"/>
                <w:color w:val="000000"/>
                <w:sz w:val="20"/>
                <w:szCs w:val="20"/>
                <w:lang w:val="bg-BG"/>
              </w:rPr>
              <w:lastRenderedPageBreak/>
              <w:t>ливади засети с житни</w:t>
            </w:r>
          </w:p>
        </w:tc>
        <w:tc>
          <w:tcPr>
            <w:tcW w:w="1115" w:type="dxa"/>
            <w:tcBorders>
              <w:top w:val="nil"/>
              <w:left w:val="nil"/>
              <w:bottom w:val="single" w:sz="4" w:space="0" w:color="auto"/>
              <w:right w:val="single" w:sz="4" w:space="0" w:color="auto"/>
            </w:tcBorders>
            <w:shd w:val="clear" w:color="auto" w:fill="auto"/>
            <w:noWrap/>
            <w:vAlign w:val="center"/>
            <w:hideMark/>
          </w:tcPr>
          <w:p w14:paraId="6CF35760" w14:textId="77777777" w:rsidR="00FE41E9" w:rsidRPr="00FE41E9" w:rsidRDefault="00FE41E9" w:rsidP="00FE41E9">
            <w:pPr>
              <w:jc w:val="right"/>
              <w:rPr>
                <w:rFonts w:ascii="Arial Narrow" w:hAnsi="Arial Narrow" w:cs="Arial"/>
                <w:sz w:val="20"/>
                <w:szCs w:val="20"/>
              </w:rPr>
            </w:pPr>
            <w:r w:rsidRPr="00FE41E9">
              <w:rPr>
                <w:rFonts w:ascii="Arial Narrow" w:hAnsi="Arial Narrow" w:cs="Arial"/>
                <w:sz w:val="20"/>
                <w:szCs w:val="20"/>
              </w:rPr>
              <w:t>8 152</w:t>
            </w:r>
          </w:p>
        </w:tc>
        <w:tc>
          <w:tcPr>
            <w:tcW w:w="1115" w:type="dxa"/>
            <w:tcBorders>
              <w:top w:val="nil"/>
              <w:left w:val="nil"/>
              <w:bottom w:val="single" w:sz="4" w:space="0" w:color="auto"/>
              <w:right w:val="single" w:sz="4" w:space="0" w:color="auto"/>
            </w:tcBorders>
            <w:shd w:val="clear" w:color="auto" w:fill="auto"/>
            <w:noWrap/>
            <w:vAlign w:val="center"/>
            <w:hideMark/>
          </w:tcPr>
          <w:p w14:paraId="4E6BE709" w14:textId="77777777" w:rsidR="00FE41E9" w:rsidRPr="00FE41E9" w:rsidRDefault="00FE41E9" w:rsidP="00FE41E9">
            <w:pPr>
              <w:jc w:val="right"/>
              <w:rPr>
                <w:rFonts w:ascii="Arial Narrow" w:hAnsi="Arial Narrow" w:cs="Arial"/>
                <w:sz w:val="20"/>
                <w:szCs w:val="20"/>
              </w:rPr>
            </w:pPr>
            <w:r w:rsidRPr="00FE41E9">
              <w:rPr>
                <w:rFonts w:ascii="Arial Narrow" w:hAnsi="Arial Narrow" w:cs="Arial"/>
                <w:sz w:val="20"/>
                <w:szCs w:val="20"/>
              </w:rPr>
              <w:t>7 345</w:t>
            </w:r>
          </w:p>
        </w:tc>
        <w:tc>
          <w:tcPr>
            <w:tcW w:w="1115" w:type="dxa"/>
            <w:tcBorders>
              <w:top w:val="nil"/>
              <w:left w:val="nil"/>
              <w:bottom w:val="single" w:sz="4" w:space="0" w:color="auto"/>
              <w:right w:val="single" w:sz="4" w:space="0" w:color="auto"/>
            </w:tcBorders>
            <w:shd w:val="clear" w:color="auto" w:fill="auto"/>
            <w:noWrap/>
            <w:vAlign w:val="center"/>
            <w:hideMark/>
          </w:tcPr>
          <w:p w14:paraId="1C8B2EBF" w14:textId="77777777" w:rsidR="00FE41E9" w:rsidRPr="00FE41E9" w:rsidRDefault="00FE41E9" w:rsidP="00FE41E9">
            <w:pPr>
              <w:jc w:val="right"/>
              <w:rPr>
                <w:rFonts w:ascii="Arial Narrow" w:hAnsi="Arial Narrow" w:cs="Arial"/>
                <w:sz w:val="20"/>
                <w:szCs w:val="20"/>
              </w:rPr>
            </w:pPr>
            <w:r w:rsidRPr="00FE41E9">
              <w:rPr>
                <w:rFonts w:ascii="Arial Narrow" w:hAnsi="Arial Narrow" w:cs="Arial"/>
                <w:sz w:val="20"/>
                <w:szCs w:val="20"/>
              </w:rPr>
              <w:t>5 010</w:t>
            </w:r>
          </w:p>
        </w:tc>
        <w:tc>
          <w:tcPr>
            <w:tcW w:w="1115" w:type="dxa"/>
            <w:tcBorders>
              <w:top w:val="nil"/>
              <w:left w:val="nil"/>
              <w:bottom w:val="single" w:sz="4" w:space="0" w:color="auto"/>
              <w:right w:val="single" w:sz="4" w:space="0" w:color="auto"/>
            </w:tcBorders>
            <w:shd w:val="clear" w:color="000000" w:fill="FFFFFF"/>
            <w:noWrap/>
            <w:vAlign w:val="center"/>
            <w:hideMark/>
          </w:tcPr>
          <w:p w14:paraId="228D0D23" w14:textId="77777777" w:rsidR="00FE41E9" w:rsidRPr="00FE41E9" w:rsidRDefault="00FE41E9" w:rsidP="00FE41E9">
            <w:pPr>
              <w:jc w:val="right"/>
              <w:rPr>
                <w:rFonts w:ascii="Arial Narrow" w:hAnsi="Arial Narrow" w:cs="Arial"/>
                <w:sz w:val="20"/>
                <w:szCs w:val="20"/>
              </w:rPr>
            </w:pPr>
            <w:r w:rsidRPr="00FE41E9">
              <w:rPr>
                <w:rFonts w:ascii="Arial Narrow" w:hAnsi="Arial Narrow" w:cs="Arial"/>
                <w:sz w:val="20"/>
                <w:szCs w:val="20"/>
              </w:rPr>
              <w:t>4 402</w:t>
            </w:r>
          </w:p>
        </w:tc>
        <w:tc>
          <w:tcPr>
            <w:tcW w:w="1115" w:type="dxa"/>
            <w:tcBorders>
              <w:top w:val="nil"/>
              <w:left w:val="nil"/>
              <w:bottom w:val="single" w:sz="4" w:space="0" w:color="auto"/>
              <w:right w:val="single" w:sz="4" w:space="0" w:color="auto"/>
            </w:tcBorders>
            <w:shd w:val="clear" w:color="000000" w:fill="FFFFFF"/>
            <w:noWrap/>
            <w:vAlign w:val="center"/>
            <w:hideMark/>
          </w:tcPr>
          <w:p w14:paraId="183DB097" w14:textId="77777777" w:rsidR="00FE41E9" w:rsidRPr="00FE41E9" w:rsidRDefault="00FE41E9" w:rsidP="00FE41E9">
            <w:pPr>
              <w:jc w:val="right"/>
              <w:rPr>
                <w:rFonts w:ascii="Arial Narrow" w:hAnsi="Arial Narrow" w:cs="Arial"/>
                <w:sz w:val="20"/>
                <w:szCs w:val="20"/>
              </w:rPr>
            </w:pPr>
            <w:r w:rsidRPr="00FE41E9">
              <w:rPr>
                <w:rFonts w:ascii="Arial Narrow" w:hAnsi="Arial Narrow" w:cs="Arial"/>
                <w:sz w:val="20"/>
                <w:szCs w:val="20"/>
              </w:rPr>
              <w:t>4 399</w:t>
            </w:r>
          </w:p>
        </w:tc>
      </w:tr>
      <w:tr w:rsidR="00FE41E9" w:rsidRPr="00FE41E9" w14:paraId="026E67B0" w14:textId="77777777" w:rsidTr="00BF1588">
        <w:trPr>
          <w:trHeight w:val="309"/>
        </w:trPr>
        <w:tc>
          <w:tcPr>
            <w:tcW w:w="4378" w:type="dxa"/>
            <w:tcBorders>
              <w:top w:val="nil"/>
              <w:left w:val="single" w:sz="4" w:space="0" w:color="auto"/>
              <w:bottom w:val="single" w:sz="4" w:space="0" w:color="auto"/>
              <w:right w:val="single" w:sz="4" w:space="0" w:color="auto"/>
            </w:tcBorders>
            <w:shd w:val="clear" w:color="auto" w:fill="auto"/>
            <w:noWrap/>
            <w:vAlign w:val="center"/>
            <w:hideMark/>
          </w:tcPr>
          <w:p w14:paraId="17FFEB7A" w14:textId="77777777" w:rsidR="00FE41E9" w:rsidRPr="00FE41E9" w:rsidRDefault="00FE41E9" w:rsidP="00FE41E9">
            <w:pPr>
              <w:rPr>
                <w:rFonts w:ascii="Arial Narrow" w:hAnsi="Arial Narrow" w:cs="Arial"/>
                <w:color w:val="000000"/>
                <w:sz w:val="20"/>
                <w:szCs w:val="20"/>
                <w:lang w:val="bg-BG"/>
              </w:rPr>
            </w:pPr>
            <w:r w:rsidRPr="00FE41E9">
              <w:rPr>
                <w:rFonts w:ascii="Arial Narrow" w:hAnsi="Arial Narrow" w:cs="Arial"/>
                <w:color w:val="000000"/>
                <w:sz w:val="20"/>
                <w:szCs w:val="20"/>
                <w:lang w:val="bg-BG"/>
              </w:rPr>
              <w:t>угар</w:t>
            </w:r>
          </w:p>
        </w:tc>
        <w:tc>
          <w:tcPr>
            <w:tcW w:w="1115" w:type="dxa"/>
            <w:tcBorders>
              <w:top w:val="nil"/>
              <w:left w:val="nil"/>
              <w:bottom w:val="single" w:sz="4" w:space="0" w:color="auto"/>
              <w:right w:val="single" w:sz="4" w:space="0" w:color="auto"/>
            </w:tcBorders>
            <w:shd w:val="clear" w:color="auto" w:fill="auto"/>
            <w:noWrap/>
            <w:vAlign w:val="center"/>
            <w:hideMark/>
          </w:tcPr>
          <w:p w14:paraId="4FF96A28" w14:textId="77777777" w:rsidR="00FE41E9" w:rsidRPr="00FE41E9" w:rsidRDefault="00FE41E9" w:rsidP="00FE41E9">
            <w:pPr>
              <w:jc w:val="right"/>
              <w:rPr>
                <w:rFonts w:ascii="Arial Narrow" w:hAnsi="Arial Narrow" w:cs="Arial"/>
                <w:sz w:val="20"/>
                <w:szCs w:val="20"/>
              </w:rPr>
            </w:pPr>
            <w:r w:rsidRPr="00FE41E9">
              <w:rPr>
                <w:rFonts w:ascii="Arial Narrow" w:hAnsi="Arial Narrow" w:cs="Arial"/>
                <w:sz w:val="20"/>
                <w:szCs w:val="20"/>
              </w:rPr>
              <w:t>161 565</w:t>
            </w:r>
          </w:p>
        </w:tc>
        <w:tc>
          <w:tcPr>
            <w:tcW w:w="1115" w:type="dxa"/>
            <w:tcBorders>
              <w:top w:val="nil"/>
              <w:left w:val="nil"/>
              <w:bottom w:val="single" w:sz="4" w:space="0" w:color="auto"/>
              <w:right w:val="single" w:sz="4" w:space="0" w:color="auto"/>
            </w:tcBorders>
            <w:shd w:val="clear" w:color="auto" w:fill="auto"/>
            <w:noWrap/>
            <w:vAlign w:val="center"/>
            <w:hideMark/>
          </w:tcPr>
          <w:p w14:paraId="2E6A5B45" w14:textId="77777777" w:rsidR="00FE41E9" w:rsidRPr="00FE41E9" w:rsidRDefault="00FE41E9" w:rsidP="00FE41E9">
            <w:pPr>
              <w:jc w:val="right"/>
              <w:rPr>
                <w:rFonts w:ascii="Arial Narrow" w:hAnsi="Arial Narrow" w:cs="Arial"/>
                <w:sz w:val="20"/>
                <w:szCs w:val="20"/>
              </w:rPr>
            </w:pPr>
            <w:r w:rsidRPr="00FE41E9">
              <w:rPr>
                <w:rFonts w:ascii="Arial Narrow" w:hAnsi="Arial Narrow" w:cs="Arial"/>
                <w:sz w:val="20"/>
                <w:szCs w:val="20"/>
              </w:rPr>
              <w:t>137 707</w:t>
            </w:r>
          </w:p>
        </w:tc>
        <w:tc>
          <w:tcPr>
            <w:tcW w:w="1115" w:type="dxa"/>
            <w:tcBorders>
              <w:top w:val="nil"/>
              <w:left w:val="nil"/>
              <w:bottom w:val="single" w:sz="4" w:space="0" w:color="auto"/>
              <w:right w:val="single" w:sz="4" w:space="0" w:color="auto"/>
            </w:tcBorders>
            <w:shd w:val="clear" w:color="auto" w:fill="auto"/>
            <w:noWrap/>
            <w:vAlign w:val="center"/>
            <w:hideMark/>
          </w:tcPr>
          <w:p w14:paraId="413C3EA2" w14:textId="77777777" w:rsidR="00FE41E9" w:rsidRPr="00FE41E9" w:rsidRDefault="00FE41E9" w:rsidP="00FE41E9">
            <w:pPr>
              <w:jc w:val="right"/>
              <w:rPr>
                <w:rFonts w:ascii="Arial Narrow" w:hAnsi="Arial Narrow" w:cs="Arial"/>
                <w:sz w:val="20"/>
                <w:szCs w:val="20"/>
              </w:rPr>
            </w:pPr>
            <w:r w:rsidRPr="00FE41E9">
              <w:rPr>
                <w:rFonts w:ascii="Arial Narrow" w:hAnsi="Arial Narrow" w:cs="Arial"/>
                <w:sz w:val="20"/>
                <w:szCs w:val="20"/>
              </w:rPr>
              <w:t>132 752</w:t>
            </w:r>
          </w:p>
        </w:tc>
        <w:tc>
          <w:tcPr>
            <w:tcW w:w="1115" w:type="dxa"/>
            <w:tcBorders>
              <w:top w:val="nil"/>
              <w:left w:val="nil"/>
              <w:bottom w:val="single" w:sz="4" w:space="0" w:color="auto"/>
              <w:right w:val="single" w:sz="4" w:space="0" w:color="auto"/>
            </w:tcBorders>
            <w:shd w:val="clear" w:color="000000" w:fill="FFFFFF"/>
            <w:noWrap/>
            <w:vAlign w:val="center"/>
            <w:hideMark/>
          </w:tcPr>
          <w:p w14:paraId="3F3B9B27" w14:textId="77777777" w:rsidR="00FE41E9" w:rsidRPr="00FE41E9" w:rsidRDefault="00FE41E9" w:rsidP="00FE41E9">
            <w:pPr>
              <w:jc w:val="right"/>
              <w:rPr>
                <w:rFonts w:ascii="Arial Narrow" w:hAnsi="Arial Narrow" w:cs="Arial"/>
                <w:sz w:val="20"/>
                <w:szCs w:val="20"/>
              </w:rPr>
            </w:pPr>
            <w:r w:rsidRPr="00FE41E9">
              <w:rPr>
                <w:rFonts w:ascii="Arial Narrow" w:hAnsi="Arial Narrow" w:cs="Arial"/>
                <w:sz w:val="20"/>
                <w:szCs w:val="20"/>
              </w:rPr>
              <w:t>153 480</w:t>
            </w:r>
          </w:p>
        </w:tc>
        <w:tc>
          <w:tcPr>
            <w:tcW w:w="1115" w:type="dxa"/>
            <w:tcBorders>
              <w:top w:val="nil"/>
              <w:left w:val="nil"/>
              <w:bottom w:val="single" w:sz="4" w:space="0" w:color="auto"/>
              <w:right w:val="single" w:sz="4" w:space="0" w:color="auto"/>
            </w:tcBorders>
            <w:shd w:val="clear" w:color="000000" w:fill="FFFFFF"/>
            <w:noWrap/>
            <w:vAlign w:val="center"/>
            <w:hideMark/>
          </w:tcPr>
          <w:p w14:paraId="6CBBF9E3" w14:textId="77777777" w:rsidR="00FE41E9" w:rsidRPr="00FE41E9" w:rsidRDefault="00FE41E9" w:rsidP="00FE41E9">
            <w:pPr>
              <w:jc w:val="right"/>
              <w:rPr>
                <w:rFonts w:ascii="Arial Narrow" w:hAnsi="Arial Narrow" w:cs="Arial"/>
                <w:sz w:val="20"/>
                <w:szCs w:val="20"/>
              </w:rPr>
            </w:pPr>
            <w:r w:rsidRPr="00FE41E9">
              <w:rPr>
                <w:rFonts w:ascii="Arial Narrow" w:hAnsi="Arial Narrow" w:cs="Arial"/>
                <w:sz w:val="20"/>
                <w:szCs w:val="20"/>
              </w:rPr>
              <w:t>112 700</w:t>
            </w:r>
          </w:p>
        </w:tc>
      </w:tr>
      <w:tr w:rsidR="00FE41E9" w:rsidRPr="00FE41E9" w14:paraId="6C569610" w14:textId="77777777" w:rsidTr="00BF1588">
        <w:trPr>
          <w:trHeight w:val="309"/>
        </w:trPr>
        <w:tc>
          <w:tcPr>
            <w:tcW w:w="4378" w:type="dxa"/>
            <w:tcBorders>
              <w:top w:val="nil"/>
              <w:left w:val="single" w:sz="4" w:space="0" w:color="auto"/>
              <w:bottom w:val="single" w:sz="4" w:space="0" w:color="auto"/>
              <w:right w:val="single" w:sz="4" w:space="0" w:color="auto"/>
            </w:tcBorders>
            <w:shd w:val="clear" w:color="auto" w:fill="auto"/>
            <w:noWrap/>
            <w:vAlign w:val="center"/>
            <w:hideMark/>
          </w:tcPr>
          <w:p w14:paraId="608C85E8" w14:textId="77777777" w:rsidR="00FE41E9" w:rsidRPr="00FE41E9" w:rsidRDefault="00FE41E9" w:rsidP="00FE41E9">
            <w:pPr>
              <w:rPr>
                <w:rFonts w:ascii="Arial Narrow" w:hAnsi="Arial Narrow" w:cs="Arial"/>
                <w:color w:val="000000"/>
                <w:sz w:val="20"/>
                <w:szCs w:val="20"/>
                <w:lang w:val="bg-BG"/>
              </w:rPr>
            </w:pPr>
            <w:r w:rsidRPr="00FE41E9">
              <w:rPr>
                <w:rFonts w:ascii="Arial Narrow" w:hAnsi="Arial Narrow" w:cs="Arial"/>
                <w:color w:val="000000"/>
                <w:sz w:val="20"/>
                <w:szCs w:val="20"/>
                <w:lang w:val="bg-BG"/>
              </w:rPr>
              <w:t>оранжерии</w:t>
            </w:r>
          </w:p>
        </w:tc>
        <w:tc>
          <w:tcPr>
            <w:tcW w:w="1115" w:type="dxa"/>
            <w:tcBorders>
              <w:top w:val="nil"/>
              <w:left w:val="nil"/>
              <w:bottom w:val="single" w:sz="4" w:space="0" w:color="auto"/>
              <w:right w:val="single" w:sz="4" w:space="0" w:color="auto"/>
            </w:tcBorders>
            <w:shd w:val="clear" w:color="auto" w:fill="auto"/>
            <w:noWrap/>
            <w:vAlign w:val="center"/>
            <w:hideMark/>
          </w:tcPr>
          <w:p w14:paraId="09F9ED41" w14:textId="77777777" w:rsidR="00FE41E9" w:rsidRPr="00FE41E9" w:rsidRDefault="00FE41E9" w:rsidP="00FE41E9">
            <w:pPr>
              <w:jc w:val="right"/>
              <w:rPr>
                <w:rFonts w:ascii="Arial Narrow" w:hAnsi="Arial Narrow" w:cs="Arial"/>
                <w:sz w:val="20"/>
                <w:szCs w:val="20"/>
              </w:rPr>
            </w:pPr>
            <w:r w:rsidRPr="00FE41E9">
              <w:rPr>
                <w:rFonts w:ascii="Arial Narrow" w:hAnsi="Arial Narrow" w:cs="Arial"/>
                <w:sz w:val="20"/>
                <w:szCs w:val="20"/>
              </w:rPr>
              <w:t>1 502</w:t>
            </w:r>
          </w:p>
        </w:tc>
        <w:tc>
          <w:tcPr>
            <w:tcW w:w="1115" w:type="dxa"/>
            <w:tcBorders>
              <w:top w:val="nil"/>
              <w:left w:val="nil"/>
              <w:bottom w:val="single" w:sz="4" w:space="0" w:color="auto"/>
              <w:right w:val="single" w:sz="4" w:space="0" w:color="auto"/>
            </w:tcBorders>
            <w:shd w:val="clear" w:color="auto" w:fill="auto"/>
            <w:noWrap/>
            <w:vAlign w:val="center"/>
            <w:hideMark/>
          </w:tcPr>
          <w:p w14:paraId="540F842B" w14:textId="77777777" w:rsidR="00FE41E9" w:rsidRPr="00FE41E9" w:rsidRDefault="00FE41E9" w:rsidP="00FE41E9">
            <w:pPr>
              <w:jc w:val="right"/>
              <w:rPr>
                <w:rFonts w:ascii="Arial Narrow" w:hAnsi="Arial Narrow" w:cs="Arial"/>
                <w:sz w:val="20"/>
                <w:szCs w:val="20"/>
              </w:rPr>
            </w:pPr>
            <w:r w:rsidRPr="00FE41E9">
              <w:rPr>
                <w:rFonts w:ascii="Arial Narrow" w:hAnsi="Arial Narrow" w:cs="Arial"/>
                <w:sz w:val="20"/>
                <w:szCs w:val="20"/>
              </w:rPr>
              <w:t>1 704</w:t>
            </w:r>
          </w:p>
        </w:tc>
        <w:tc>
          <w:tcPr>
            <w:tcW w:w="1115" w:type="dxa"/>
            <w:tcBorders>
              <w:top w:val="nil"/>
              <w:left w:val="nil"/>
              <w:bottom w:val="single" w:sz="4" w:space="0" w:color="auto"/>
              <w:right w:val="single" w:sz="4" w:space="0" w:color="auto"/>
            </w:tcBorders>
            <w:shd w:val="clear" w:color="auto" w:fill="auto"/>
            <w:noWrap/>
            <w:vAlign w:val="center"/>
            <w:hideMark/>
          </w:tcPr>
          <w:p w14:paraId="724E503E" w14:textId="77777777" w:rsidR="00FE41E9" w:rsidRPr="00FE41E9" w:rsidRDefault="00FE41E9" w:rsidP="00FE41E9">
            <w:pPr>
              <w:jc w:val="right"/>
              <w:rPr>
                <w:rFonts w:ascii="Arial Narrow" w:hAnsi="Arial Narrow" w:cs="Arial"/>
                <w:sz w:val="20"/>
                <w:szCs w:val="20"/>
              </w:rPr>
            </w:pPr>
            <w:r w:rsidRPr="00FE41E9">
              <w:rPr>
                <w:rFonts w:ascii="Arial Narrow" w:hAnsi="Arial Narrow" w:cs="Arial"/>
                <w:sz w:val="20"/>
                <w:szCs w:val="20"/>
              </w:rPr>
              <w:t>1 904</w:t>
            </w:r>
          </w:p>
        </w:tc>
        <w:tc>
          <w:tcPr>
            <w:tcW w:w="1115" w:type="dxa"/>
            <w:tcBorders>
              <w:top w:val="nil"/>
              <w:left w:val="nil"/>
              <w:bottom w:val="single" w:sz="4" w:space="0" w:color="auto"/>
              <w:right w:val="single" w:sz="4" w:space="0" w:color="auto"/>
            </w:tcBorders>
            <w:shd w:val="clear" w:color="000000" w:fill="FFFFFF"/>
            <w:noWrap/>
            <w:vAlign w:val="center"/>
            <w:hideMark/>
          </w:tcPr>
          <w:p w14:paraId="41694692" w14:textId="77777777" w:rsidR="00FE41E9" w:rsidRPr="00FE41E9" w:rsidRDefault="00FE41E9" w:rsidP="00FE41E9">
            <w:pPr>
              <w:jc w:val="right"/>
              <w:rPr>
                <w:rFonts w:ascii="Arial Narrow" w:hAnsi="Arial Narrow" w:cs="Arial"/>
                <w:sz w:val="20"/>
                <w:szCs w:val="20"/>
              </w:rPr>
            </w:pPr>
            <w:r w:rsidRPr="00FE41E9">
              <w:rPr>
                <w:rFonts w:ascii="Arial Narrow" w:hAnsi="Arial Narrow" w:cs="Arial"/>
                <w:sz w:val="20"/>
                <w:szCs w:val="20"/>
              </w:rPr>
              <w:t>2 006</w:t>
            </w:r>
          </w:p>
        </w:tc>
        <w:tc>
          <w:tcPr>
            <w:tcW w:w="1115" w:type="dxa"/>
            <w:tcBorders>
              <w:top w:val="nil"/>
              <w:left w:val="nil"/>
              <w:bottom w:val="single" w:sz="4" w:space="0" w:color="auto"/>
              <w:right w:val="single" w:sz="4" w:space="0" w:color="auto"/>
            </w:tcBorders>
            <w:shd w:val="clear" w:color="000000" w:fill="FFFFFF"/>
            <w:noWrap/>
            <w:vAlign w:val="center"/>
            <w:hideMark/>
          </w:tcPr>
          <w:p w14:paraId="7EC5262D" w14:textId="77777777" w:rsidR="00FE41E9" w:rsidRPr="00FE41E9" w:rsidRDefault="00FE41E9" w:rsidP="00FE41E9">
            <w:pPr>
              <w:jc w:val="right"/>
              <w:rPr>
                <w:rFonts w:ascii="Arial Narrow" w:hAnsi="Arial Narrow" w:cs="Arial"/>
                <w:sz w:val="20"/>
                <w:szCs w:val="20"/>
              </w:rPr>
            </w:pPr>
            <w:r w:rsidRPr="00FE41E9">
              <w:rPr>
                <w:rFonts w:ascii="Arial Narrow" w:hAnsi="Arial Narrow" w:cs="Arial"/>
                <w:sz w:val="20"/>
                <w:szCs w:val="20"/>
              </w:rPr>
              <w:t>2 105</w:t>
            </w:r>
          </w:p>
        </w:tc>
      </w:tr>
      <w:tr w:rsidR="00FE41E9" w:rsidRPr="00FE41E9" w14:paraId="493FC46C" w14:textId="77777777" w:rsidTr="00BF1588">
        <w:trPr>
          <w:trHeight w:val="309"/>
        </w:trPr>
        <w:tc>
          <w:tcPr>
            <w:tcW w:w="4378" w:type="dxa"/>
            <w:tcBorders>
              <w:top w:val="nil"/>
              <w:left w:val="single" w:sz="4" w:space="0" w:color="auto"/>
              <w:bottom w:val="single" w:sz="4" w:space="0" w:color="auto"/>
              <w:right w:val="single" w:sz="4" w:space="0" w:color="auto"/>
            </w:tcBorders>
            <w:shd w:val="clear" w:color="000000" w:fill="FFFFFF"/>
            <w:noWrap/>
            <w:vAlign w:val="center"/>
            <w:hideMark/>
          </w:tcPr>
          <w:p w14:paraId="50C7DE9F" w14:textId="77777777" w:rsidR="00FE41E9" w:rsidRPr="00FE41E9" w:rsidRDefault="00FE41E9" w:rsidP="00FE41E9">
            <w:pPr>
              <w:rPr>
                <w:rFonts w:ascii="Arial Narrow" w:hAnsi="Arial Narrow" w:cs="Arial"/>
                <w:b/>
                <w:bCs/>
                <w:sz w:val="20"/>
                <w:szCs w:val="20"/>
                <w:lang w:val="bg-BG"/>
              </w:rPr>
            </w:pPr>
            <w:r w:rsidRPr="00FE41E9">
              <w:rPr>
                <w:rFonts w:ascii="Arial Narrow" w:hAnsi="Arial Narrow" w:cs="Arial"/>
                <w:b/>
                <w:bCs/>
                <w:sz w:val="20"/>
                <w:szCs w:val="20"/>
                <w:lang w:val="bg-BG"/>
              </w:rPr>
              <w:t>ОБРАБОТВАЕМА ЗЕМЯ:</w:t>
            </w:r>
          </w:p>
        </w:tc>
        <w:tc>
          <w:tcPr>
            <w:tcW w:w="1115" w:type="dxa"/>
            <w:tcBorders>
              <w:top w:val="nil"/>
              <w:left w:val="nil"/>
              <w:bottom w:val="single" w:sz="4" w:space="0" w:color="auto"/>
              <w:right w:val="single" w:sz="4" w:space="0" w:color="auto"/>
            </w:tcBorders>
            <w:shd w:val="clear" w:color="000000" w:fill="FFFFFF"/>
            <w:noWrap/>
            <w:vAlign w:val="center"/>
            <w:hideMark/>
          </w:tcPr>
          <w:p w14:paraId="1EB44884" w14:textId="77777777" w:rsidR="00FE41E9" w:rsidRPr="00FE41E9" w:rsidRDefault="00FE41E9" w:rsidP="00FE41E9">
            <w:pPr>
              <w:jc w:val="right"/>
              <w:rPr>
                <w:rFonts w:ascii="Arial Narrow" w:hAnsi="Arial Narrow" w:cs="Arial"/>
                <w:b/>
                <w:bCs/>
                <w:sz w:val="20"/>
                <w:szCs w:val="20"/>
              </w:rPr>
            </w:pPr>
            <w:r w:rsidRPr="00FE41E9">
              <w:rPr>
                <w:rFonts w:ascii="Arial Narrow" w:hAnsi="Arial Narrow" w:cs="Arial"/>
                <w:b/>
                <w:bCs/>
                <w:sz w:val="20"/>
                <w:szCs w:val="20"/>
              </w:rPr>
              <w:t>3 477 514</w:t>
            </w:r>
          </w:p>
        </w:tc>
        <w:tc>
          <w:tcPr>
            <w:tcW w:w="1115" w:type="dxa"/>
            <w:tcBorders>
              <w:top w:val="nil"/>
              <w:left w:val="nil"/>
              <w:bottom w:val="single" w:sz="4" w:space="0" w:color="auto"/>
              <w:right w:val="single" w:sz="4" w:space="0" w:color="auto"/>
            </w:tcBorders>
            <w:shd w:val="clear" w:color="000000" w:fill="FFFFFF"/>
            <w:noWrap/>
            <w:vAlign w:val="center"/>
            <w:hideMark/>
          </w:tcPr>
          <w:p w14:paraId="054E9FC3" w14:textId="77777777" w:rsidR="00FE41E9" w:rsidRPr="00FE41E9" w:rsidRDefault="00FE41E9" w:rsidP="00FE41E9">
            <w:pPr>
              <w:jc w:val="right"/>
              <w:rPr>
                <w:rFonts w:ascii="Arial Narrow" w:hAnsi="Arial Narrow" w:cs="Arial"/>
                <w:b/>
                <w:bCs/>
                <w:sz w:val="20"/>
                <w:szCs w:val="20"/>
              </w:rPr>
            </w:pPr>
            <w:r w:rsidRPr="00FE41E9">
              <w:rPr>
                <w:rFonts w:ascii="Arial Narrow" w:hAnsi="Arial Narrow" w:cs="Arial"/>
                <w:b/>
                <w:bCs/>
                <w:sz w:val="20"/>
                <w:szCs w:val="20"/>
              </w:rPr>
              <w:t>3 486 748</w:t>
            </w:r>
          </w:p>
        </w:tc>
        <w:tc>
          <w:tcPr>
            <w:tcW w:w="1115" w:type="dxa"/>
            <w:tcBorders>
              <w:top w:val="nil"/>
              <w:left w:val="nil"/>
              <w:bottom w:val="single" w:sz="4" w:space="0" w:color="auto"/>
              <w:right w:val="single" w:sz="4" w:space="0" w:color="auto"/>
            </w:tcBorders>
            <w:shd w:val="clear" w:color="000000" w:fill="FFFFFF"/>
            <w:noWrap/>
            <w:vAlign w:val="center"/>
            <w:hideMark/>
          </w:tcPr>
          <w:p w14:paraId="3453AAF9" w14:textId="77777777" w:rsidR="00FE41E9" w:rsidRPr="00FE41E9" w:rsidRDefault="00FE41E9" w:rsidP="00FE41E9">
            <w:pPr>
              <w:jc w:val="right"/>
              <w:rPr>
                <w:rFonts w:ascii="Arial Narrow" w:hAnsi="Arial Narrow" w:cs="Arial"/>
                <w:b/>
                <w:bCs/>
                <w:sz w:val="20"/>
                <w:szCs w:val="20"/>
              </w:rPr>
            </w:pPr>
            <w:r w:rsidRPr="00FE41E9">
              <w:rPr>
                <w:rFonts w:ascii="Arial Narrow" w:hAnsi="Arial Narrow" w:cs="Arial"/>
                <w:b/>
                <w:bCs/>
                <w:sz w:val="20"/>
                <w:szCs w:val="20"/>
              </w:rPr>
              <w:t>3 455 143</w:t>
            </w:r>
          </w:p>
        </w:tc>
        <w:tc>
          <w:tcPr>
            <w:tcW w:w="1115" w:type="dxa"/>
            <w:tcBorders>
              <w:top w:val="nil"/>
              <w:left w:val="nil"/>
              <w:bottom w:val="single" w:sz="4" w:space="0" w:color="auto"/>
              <w:right w:val="single" w:sz="4" w:space="0" w:color="auto"/>
            </w:tcBorders>
            <w:shd w:val="clear" w:color="000000" w:fill="FFFFFF"/>
            <w:noWrap/>
            <w:vAlign w:val="center"/>
            <w:hideMark/>
          </w:tcPr>
          <w:p w14:paraId="08D2CF9A" w14:textId="77777777" w:rsidR="00FE41E9" w:rsidRPr="00FE41E9" w:rsidRDefault="00FE41E9" w:rsidP="00FE41E9">
            <w:pPr>
              <w:jc w:val="right"/>
              <w:rPr>
                <w:rFonts w:ascii="Arial Narrow" w:hAnsi="Arial Narrow" w:cs="Arial"/>
                <w:b/>
                <w:bCs/>
                <w:sz w:val="20"/>
                <w:szCs w:val="20"/>
              </w:rPr>
            </w:pPr>
            <w:r w:rsidRPr="00FE41E9">
              <w:rPr>
                <w:rFonts w:ascii="Arial Narrow" w:hAnsi="Arial Narrow" w:cs="Arial"/>
                <w:b/>
                <w:bCs/>
                <w:sz w:val="20"/>
                <w:szCs w:val="20"/>
              </w:rPr>
              <w:t>3 472 814</w:t>
            </w:r>
          </w:p>
        </w:tc>
        <w:tc>
          <w:tcPr>
            <w:tcW w:w="1115" w:type="dxa"/>
            <w:tcBorders>
              <w:top w:val="nil"/>
              <w:left w:val="nil"/>
              <w:bottom w:val="single" w:sz="4" w:space="0" w:color="auto"/>
              <w:right w:val="single" w:sz="4" w:space="0" w:color="auto"/>
            </w:tcBorders>
            <w:shd w:val="clear" w:color="000000" w:fill="FFFFFF"/>
            <w:noWrap/>
            <w:vAlign w:val="center"/>
            <w:hideMark/>
          </w:tcPr>
          <w:p w14:paraId="1A7302D1" w14:textId="77777777" w:rsidR="00FE41E9" w:rsidRPr="00FE41E9" w:rsidRDefault="00FE41E9" w:rsidP="00FE41E9">
            <w:pPr>
              <w:jc w:val="right"/>
              <w:rPr>
                <w:rFonts w:ascii="Arial Narrow" w:hAnsi="Arial Narrow" w:cs="Arial"/>
                <w:b/>
                <w:bCs/>
                <w:sz w:val="20"/>
                <w:szCs w:val="20"/>
              </w:rPr>
            </w:pPr>
            <w:r w:rsidRPr="00FE41E9">
              <w:rPr>
                <w:rFonts w:ascii="Arial Narrow" w:hAnsi="Arial Narrow" w:cs="Arial"/>
                <w:b/>
                <w:bCs/>
                <w:sz w:val="20"/>
                <w:szCs w:val="20"/>
              </w:rPr>
              <w:t>3 478 885</w:t>
            </w:r>
          </w:p>
        </w:tc>
      </w:tr>
      <w:tr w:rsidR="00FE41E9" w:rsidRPr="00FE41E9" w14:paraId="5FD5EBB4" w14:textId="77777777" w:rsidTr="00BF1588">
        <w:trPr>
          <w:trHeight w:val="286"/>
        </w:trPr>
        <w:tc>
          <w:tcPr>
            <w:tcW w:w="4378" w:type="dxa"/>
            <w:tcBorders>
              <w:top w:val="nil"/>
              <w:left w:val="single" w:sz="4" w:space="0" w:color="auto"/>
              <w:bottom w:val="single" w:sz="4" w:space="0" w:color="auto"/>
              <w:right w:val="single" w:sz="4" w:space="0" w:color="auto"/>
            </w:tcBorders>
            <w:shd w:val="clear" w:color="000000" w:fill="FFFFFF"/>
            <w:noWrap/>
            <w:vAlign w:val="center"/>
            <w:hideMark/>
          </w:tcPr>
          <w:p w14:paraId="2E5F3B6D" w14:textId="77777777" w:rsidR="00FE41E9" w:rsidRPr="00FE41E9" w:rsidRDefault="00FE41E9" w:rsidP="00FE41E9">
            <w:pPr>
              <w:rPr>
                <w:rFonts w:ascii="Arial Narrow" w:hAnsi="Arial Narrow" w:cs="Arial"/>
                <w:b/>
                <w:bCs/>
                <w:sz w:val="20"/>
                <w:szCs w:val="20"/>
                <w:lang w:val="bg-BG"/>
              </w:rPr>
            </w:pPr>
            <w:r w:rsidRPr="00FE41E9">
              <w:rPr>
                <w:rFonts w:ascii="Arial Narrow" w:hAnsi="Arial Narrow" w:cs="Arial"/>
                <w:b/>
                <w:bCs/>
                <w:sz w:val="20"/>
                <w:szCs w:val="20"/>
                <w:lang w:val="bg-BG"/>
              </w:rPr>
              <w:t>Семейни градини</w:t>
            </w:r>
          </w:p>
        </w:tc>
        <w:tc>
          <w:tcPr>
            <w:tcW w:w="1115" w:type="dxa"/>
            <w:tcBorders>
              <w:top w:val="nil"/>
              <w:left w:val="nil"/>
              <w:bottom w:val="single" w:sz="4" w:space="0" w:color="auto"/>
              <w:right w:val="single" w:sz="4" w:space="0" w:color="auto"/>
            </w:tcBorders>
            <w:shd w:val="clear" w:color="auto" w:fill="auto"/>
            <w:noWrap/>
            <w:vAlign w:val="center"/>
            <w:hideMark/>
          </w:tcPr>
          <w:p w14:paraId="1677966C" w14:textId="77777777" w:rsidR="00FE41E9" w:rsidRPr="00FE41E9" w:rsidRDefault="00FE41E9" w:rsidP="00FE41E9">
            <w:pPr>
              <w:jc w:val="right"/>
              <w:rPr>
                <w:rFonts w:ascii="Arial Narrow" w:hAnsi="Arial Narrow" w:cs="Arial"/>
                <w:sz w:val="20"/>
                <w:szCs w:val="20"/>
              </w:rPr>
            </w:pPr>
            <w:r w:rsidRPr="00FE41E9">
              <w:rPr>
                <w:rFonts w:ascii="Arial Narrow" w:hAnsi="Arial Narrow" w:cs="Arial"/>
                <w:sz w:val="20"/>
                <w:szCs w:val="20"/>
              </w:rPr>
              <w:t>14 231</w:t>
            </w:r>
          </w:p>
        </w:tc>
        <w:tc>
          <w:tcPr>
            <w:tcW w:w="1115" w:type="dxa"/>
            <w:tcBorders>
              <w:top w:val="nil"/>
              <w:left w:val="nil"/>
              <w:bottom w:val="single" w:sz="4" w:space="0" w:color="auto"/>
              <w:right w:val="single" w:sz="4" w:space="0" w:color="auto"/>
            </w:tcBorders>
            <w:shd w:val="clear" w:color="auto" w:fill="auto"/>
            <w:noWrap/>
            <w:vAlign w:val="center"/>
            <w:hideMark/>
          </w:tcPr>
          <w:p w14:paraId="04D26E33" w14:textId="77777777" w:rsidR="00FE41E9" w:rsidRPr="00FE41E9" w:rsidRDefault="00FE41E9" w:rsidP="00FE41E9">
            <w:pPr>
              <w:jc w:val="right"/>
              <w:rPr>
                <w:rFonts w:ascii="Arial Narrow" w:hAnsi="Arial Narrow" w:cs="Arial"/>
                <w:sz w:val="20"/>
                <w:szCs w:val="20"/>
              </w:rPr>
            </w:pPr>
            <w:r w:rsidRPr="00FE41E9">
              <w:rPr>
                <w:rFonts w:ascii="Arial Narrow" w:hAnsi="Arial Narrow" w:cs="Arial"/>
                <w:sz w:val="20"/>
                <w:szCs w:val="20"/>
              </w:rPr>
              <w:t>13 728</w:t>
            </w:r>
          </w:p>
        </w:tc>
        <w:tc>
          <w:tcPr>
            <w:tcW w:w="1115" w:type="dxa"/>
            <w:tcBorders>
              <w:top w:val="nil"/>
              <w:left w:val="nil"/>
              <w:bottom w:val="single" w:sz="4" w:space="0" w:color="auto"/>
              <w:right w:val="single" w:sz="4" w:space="0" w:color="auto"/>
            </w:tcBorders>
            <w:shd w:val="clear" w:color="auto" w:fill="auto"/>
            <w:noWrap/>
            <w:vAlign w:val="center"/>
            <w:hideMark/>
          </w:tcPr>
          <w:p w14:paraId="17DA6083" w14:textId="77777777" w:rsidR="00FE41E9" w:rsidRPr="00FE41E9" w:rsidRDefault="00FE41E9" w:rsidP="00FE41E9">
            <w:pPr>
              <w:jc w:val="right"/>
              <w:rPr>
                <w:rFonts w:ascii="Arial Narrow" w:hAnsi="Arial Narrow" w:cs="Arial"/>
                <w:sz w:val="20"/>
                <w:szCs w:val="20"/>
              </w:rPr>
            </w:pPr>
            <w:r w:rsidRPr="00FE41E9">
              <w:rPr>
                <w:rFonts w:ascii="Arial Narrow" w:hAnsi="Arial Narrow" w:cs="Arial"/>
                <w:sz w:val="20"/>
                <w:szCs w:val="20"/>
              </w:rPr>
              <w:t>13 332</w:t>
            </w:r>
          </w:p>
        </w:tc>
        <w:tc>
          <w:tcPr>
            <w:tcW w:w="1115" w:type="dxa"/>
            <w:tcBorders>
              <w:top w:val="nil"/>
              <w:left w:val="nil"/>
              <w:bottom w:val="single" w:sz="4" w:space="0" w:color="auto"/>
              <w:right w:val="single" w:sz="4" w:space="0" w:color="auto"/>
            </w:tcBorders>
            <w:shd w:val="clear" w:color="000000" w:fill="FFFFFF"/>
            <w:noWrap/>
            <w:vAlign w:val="center"/>
            <w:hideMark/>
          </w:tcPr>
          <w:p w14:paraId="2FB54E18" w14:textId="77777777" w:rsidR="00FE41E9" w:rsidRPr="00FE41E9" w:rsidRDefault="00FE41E9" w:rsidP="00FE41E9">
            <w:pPr>
              <w:jc w:val="right"/>
              <w:rPr>
                <w:rFonts w:ascii="Arial Narrow" w:hAnsi="Arial Narrow" w:cs="Arial"/>
                <w:sz w:val="20"/>
                <w:szCs w:val="20"/>
              </w:rPr>
            </w:pPr>
            <w:r w:rsidRPr="00FE41E9">
              <w:rPr>
                <w:rFonts w:ascii="Arial Narrow" w:hAnsi="Arial Narrow" w:cs="Arial"/>
                <w:sz w:val="20"/>
                <w:szCs w:val="20"/>
              </w:rPr>
              <w:t>12 739</w:t>
            </w:r>
          </w:p>
        </w:tc>
        <w:tc>
          <w:tcPr>
            <w:tcW w:w="1115" w:type="dxa"/>
            <w:tcBorders>
              <w:top w:val="nil"/>
              <w:left w:val="nil"/>
              <w:bottom w:val="single" w:sz="4" w:space="0" w:color="auto"/>
              <w:right w:val="single" w:sz="4" w:space="0" w:color="auto"/>
            </w:tcBorders>
            <w:shd w:val="clear" w:color="000000" w:fill="FFFFFF"/>
            <w:noWrap/>
            <w:vAlign w:val="center"/>
            <w:hideMark/>
          </w:tcPr>
          <w:p w14:paraId="5981B3A7" w14:textId="77777777" w:rsidR="00FE41E9" w:rsidRPr="00FE41E9" w:rsidRDefault="00FE41E9" w:rsidP="00FE41E9">
            <w:pPr>
              <w:jc w:val="right"/>
              <w:rPr>
                <w:rFonts w:ascii="Arial Narrow" w:hAnsi="Arial Narrow" w:cs="Arial"/>
                <w:sz w:val="20"/>
                <w:szCs w:val="20"/>
              </w:rPr>
            </w:pPr>
            <w:r w:rsidRPr="00FE41E9">
              <w:rPr>
                <w:rFonts w:ascii="Arial Narrow" w:hAnsi="Arial Narrow" w:cs="Arial"/>
                <w:sz w:val="20"/>
                <w:szCs w:val="20"/>
              </w:rPr>
              <w:t>12 730</w:t>
            </w:r>
          </w:p>
        </w:tc>
      </w:tr>
      <w:tr w:rsidR="00FE41E9" w:rsidRPr="00FE41E9" w14:paraId="25A186A8" w14:textId="77777777" w:rsidTr="00BF1588">
        <w:trPr>
          <w:trHeight w:val="309"/>
        </w:trPr>
        <w:tc>
          <w:tcPr>
            <w:tcW w:w="4378" w:type="dxa"/>
            <w:tcBorders>
              <w:top w:val="nil"/>
              <w:left w:val="single" w:sz="4" w:space="0" w:color="auto"/>
              <w:bottom w:val="single" w:sz="4" w:space="0" w:color="auto"/>
              <w:right w:val="single" w:sz="4" w:space="0" w:color="auto"/>
            </w:tcBorders>
            <w:shd w:val="clear" w:color="000000" w:fill="FFFFFF"/>
            <w:noWrap/>
            <w:vAlign w:val="center"/>
            <w:hideMark/>
          </w:tcPr>
          <w:p w14:paraId="2CC030A8" w14:textId="77777777" w:rsidR="00FE41E9" w:rsidRPr="00FE41E9" w:rsidRDefault="00FE41E9" w:rsidP="00FE41E9">
            <w:pPr>
              <w:rPr>
                <w:rFonts w:ascii="Arial Narrow" w:hAnsi="Arial Narrow" w:cs="Arial"/>
                <w:sz w:val="20"/>
                <w:szCs w:val="20"/>
                <w:lang w:val="bg-BG"/>
              </w:rPr>
            </w:pPr>
            <w:r w:rsidRPr="00FE41E9">
              <w:rPr>
                <w:rFonts w:ascii="Arial Narrow" w:hAnsi="Arial Narrow" w:cs="Arial"/>
                <w:sz w:val="20"/>
                <w:szCs w:val="20"/>
                <w:lang w:val="bg-BG"/>
              </w:rPr>
              <w:t>овощни насаждения</w:t>
            </w:r>
          </w:p>
        </w:tc>
        <w:tc>
          <w:tcPr>
            <w:tcW w:w="1115" w:type="dxa"/>
            <w:tcBorders>
              <w:top w:val="nil"/>
              <w:left w:val="nil"/>
              <w:bottom w:val="single" w:sz="4" w:space="0" w:color="auto"/>
              <w:right w:val="single" w:sz="4" w:space="0" w:color="auto"/>
            </w:tcBorders>
            <w:shd w:val="clear" w:color="auto" w:fill="auto"/>
            <w:noWrap/>
            <w:vAlign w:val="center"/>
            <w:hideMark/>
          </w:tcPr>
          <w:p w14:paraId="641775D2" w14:textId="77777777" w:rsidR="00FE41E9" w:rsidRPr="00FE41E9" w:rsidRDefault="00FE41E9" w:rsidP="00FE41E9">
            <w:pPr>
              <w:jc w:val="right"/>
              <w:rPr>
                <w:rFonts w:ascii="Arial Narrow" w:hAnsi="Arial Narrow" w:cs="Arial"/>
                <w:sz w:val="20"/>
                <w:szCs w:val="20"/>
              </w:rPr>
            </w:pPr>
            <w:r w:rsidRPr="00FE41E9">
              <w:rPr>
                <w:rFonts w:ascii="Arial Narrow" w:hAnsi="Arial Narrow" w:cs="Arial"/>
                <w:sz w:val="20"/>
                <w:szCs w:val="20"/>
              </w:rPr>
              <w:t>91 339</w:t>
            </w:r>
          </w:p>
        </w:tc>
        <w:tc>
          <w:tcPr>
            <w:tcW w:w="1115" w:type="dxa"/>
            <w:tcBorders>
              <w:top w:val="nil"/>
              <w:left w:val="nil"/>
              <w:bottom w:val="single" w:sz="4" w:space="0" w:color="auto"/>
              <w:right w:val="single" w:sz="4" w:space="0" w:color="auto"/>
            </w:tcBorders>
            <w:shd w:val="clear" w:color="auto" w:fill="auto"/>
            <w:noWrap/>
            <w:vAlign w:val="center"/>
            <w:hideMark/>
          </w:tcPr>
          <w:p w14:paraId="730FDC7E" w14:textId="77777777" w:rsidR="00FE41E9" w:rsidRPr="00FE41E9" w:rsidRDefault="00FE41E9" w:rsidP="00FE41E9">
            <w:pPr>
              <w:jc w:val="right"/>
              <w:rPr>
                <w:rFonts w:ascii="Arial Narrow" w:hAnsi="Arial Narrow" w:cs="Arial"/>
                <w:sz w:val="20"/>
                <w:szCs w:val="20"/>
              </w:rPr>
            </w:pPr>
            <w:r w:rsidRPr="00FE41E9">
              <w:rPr>
                <w:rFonts w:ascii="Arial Narrow" w:hAnsi="Arial Narrow" w:cs="Arial"/>
                <w:sz w:val="20"/>
                <w:szCs w:val="20"/>
              </w:rPr>
              <w:t>90 261</w:t>
            </w:r>
          </w:p>
        </w:tc>
        <w:tc>
          <w:tcPr>
            <w:tcW w:w="1115" w:type="dxa"/>
            <w:tcBorders>
              <w:top w:val="nil"/>
              <w:left w:val="nil"/>
              <w:bottom w:val="single" w:sz="4" w:space="0" w:color="auto"/>
              <w:right w:val="single" w:sz="4" w:space="0" w:color="auto"/>
            </w:tcBorders>
            <w:shd w:val="clear" w:color="auto" w:fill="auto"/>
            <w:noWrap/>
            <w:vAlign w:val="center"/>
            <w:hideMark/>
          </w:tcPr>
          <w:p w14:paraId="428ABA7F" w14:textId="77777777" w:rsidR="00FE41E9" w:rsidRPr="00FE41E9" w:rsidRDefault="00FE41E9" w:rsidP="00FE41E9">
            <w:pPr>
              <w:jc w:val="right"/>
              <w:rPr>
                <w:rFonts w:ascii="Arial Narrow" w:hAnsi="Arial Narrow" w:cs="Arial"/>
                <w:sz w:val="20"/>
                <w:szCs w:val="20"/>
              </w:rPr>
            </w:pPr>
            <w:r w:rsidRPr="00FE41E9">
              <w:rPr>
                <w:rFonts w:ascii="Arial Narrow" w:hAnsi="Arial Narrow" w:cs="Arial"/>
                <w:sz w:val="20"/>
                <w:szCs w:val="20"/>
              </w:rPr>
              <w:t>83 572</w:t>
            </w:r>
          </w:p>
        </w:tc>
        <w:tc>
          <w:tcPr>
            <w:tcW w:w="1115" w:type="dxa"/>
            <w:tcBorders>
              <w:top w:val="nil"/>
              <w:left w:val="nil"/>
              <w:bottom w:val="single" w:sz="4" w:space="0" w:color="auto"/>
              <w:right w:val="single" w:sz="4" w:space="0" w:color="auto"/>
            </w:tcBorders>
            <w:shd w:val="clear" w:color="000000" w:fill="FFFFFF"/>
            <w:noWrap/>
            <w:vAlign w:val="center"/>
            <w:hideMark/>
          </w:tcPr>
          <w:p w14:paraId="5F216331" w14:textId="77777777" w:rsidR="00FE41E9" w:rsidRPr="00FE41E9" w:rsidRDefault="00FE41E9" w:rsidP="00FE41E9">
            <w:pPr>
              <w:jc w:val="right"/>
              <w:rPr>
                <w:rFonts w:ascii="Arial Narrow" w:hAnsi="Arial Narrow" w:cs="Arial"/>
                <w:sz w:val="20"/>
                <w:szCs w:val="20"/>
              </w:rPr>
            </w:pPr>
            <w:r w:rsidRPr="00FE41E9">
              <w:rPr>
                <w:rFonts w:ascii="Arial Narrow" w:hAnsi="Arial Narrow" w:cs="Arial"/>
                <w:sz w:val="20"/>
                <w:szCs w:val="20"/>
              </w:rPr>
              <w:t>82 561</w:t>
            </w:r>
          </w:p>
        </w:tc>
        <w:tc>
          <w:tcPr>
            <w:tcW w:w="1115" w:type="dxa"/>
            <w:tcBorders>
              <w:top w:val="nil"/>
              <w:left w:val="nil"/>
              <w:bottom w:val="single" w:sz="4" w:space="0" w:color="auto"/>
              <w:right w:val="single" w:sz="4" w:space="0" w:color="auto"/>
            </w:tcBorders>
            <w:shd w:val="clear" w:color="000000" w:fill="FFFFFF"/>
            <w:noWrap/>
            <w:vAlign w:val="center"/>
            <w:hideMark/>
          </w:tcPr>
          <w:p w14:paraId="1EE72C77" w14:textId="77777777" w:rsidR="00FE41E9" w:rsidRPr="00FE41E9" w:rsidRDefault="00FE41E9" w:rsidP="00FE41E9">
            <w:pPr>
              <w:jc w:val="right"/>
              <w:rPr>
                <w:rFonts w:ascii="Arial Narrow" w:hAnsi="Arial Narrow" w:cs="Arial"/>
                <w:sz w:val="20"/>
                <w:szCs w:val="20"/>
              </w:rPr>
            </w:pPr>
            <w:r w:rsidRPr="00FE41E9">
              <w:rPr>
                <w:rFonts w:ascii="Arial Narrow" w:hAnsi="Arial Narrow" w:cs="Arial"/>
                <w:sz w:val="20"/>
                <w:szCs w:val="20"/>
              </w:rPr>
              <w:t>83 281</w:t>
            </w:r>
          </w:p>
        </w:tc>
      </w:tr>
      <w:tr w:rsidR="00FE41E9" w:rsidRPr="00FE41E9" w14:paraId="2D84C504" w14:textId="77777777" w:rsidTr="00BF1588">
        <w:trPr>
          <w:trHeight w:val="309"/>
        </w:trPr>
        <w:tc>
          <w:tcPr>
            <w:tcW w:w="4378" w:type="dxa"/>
            <w:tcBorders>
              <w:top w:val="nil"/>
              <w:left w:val="single" w:sz="4" w:space="0" w:color="auto"/>
              <w:bottom w:val="single" w:sz="4" w:space="0" w:color="auto"/>
              <w:right w:val="single" w:sz="4" w:space="0" w:color="auto"/>
            </w:tcBorders>
            <w:shd w:val="clear" w:color="000000" w:fill="FFFFFF"/>
            <w:noWrap/>
            <w:vAlign w:val="center"/>
            <w:hideMark/>
          </w:tcPr>
          <w:p w14:paraId="40B7A210" w14:textId="77777777" w:rsidR="00FE41E9" w:rsidRPr="00FE41E9" w:rsidRDefault="00FE41E9" w:rsidP="00FE41E9">
            <w:pPr>
              <w:rPr>
                <w:rFonts w:ascii="Arial Narrow" w:hAnsi="Arial Narrow" w:cs="Arial"/>
                <w:sz w:val="20"/>
                <w:szCs w:val="20"/>
                <w:lang w:val="bg-BG"/>
              </w:rPr>
            </w:pPr>
            <w:r w:rsidRPr="00FE41E9">
              <w:rPr>
                <w:rFonts w:ascii="Arial Narrow" w:hAnsi="Arial Narrow" w:cs="Arial"/>
                <w:sz w:val="20"/>
                <w:szCs w:val="20"/>
                <w:lang w:val="bg-BG"/>
              </w:rPr>
              <w:t>лозя – чиста култура</w:t>
            </w:r>
          </w:p>
        </w:tc>
        <w:tc>
          <w:tcPr>
            <w:tcW w:w="1115" w:type="dxa"/>
            <w:tcBorders>
              <w:top w:val="nil"/>
              <w:left w:val="nil"/>
              <w:bottom w:val="single" w:sz="4" w:space="0" w:color="auto"/>
              <w:right w:val="single" w:sz="4" w:space="0" w:color="auto"/>
            </w:tcBorders>
            <w:shd w:val="clear" w:color="auto" w:fill="auto"/>
            <w:noWrap/>
            <w:vAlign w:val="center"/>
            <w:hideMark/>
          </w:tcPr>
          <w:p w14:paraId="5FD12125" w14:textId="77777777" w:rsidR="00FE41E9" w:rsidRPr="00FE41E9" w:rsidRDefault="00FE41E9" w:rsidP="00FE41E9">
            <w:pPr>
              <w:jc w:val="right"/>
              <w:rPr>
                <w:rFonts w:ascii="Arial Narrow" w:hAnsi="Arial Narrow" w:cs="Arial"/>
                <w:sz w:val="20"/>
                <w:szCs w:val="20"/>
              </w:rPr>
            </w:pPr>
            <w:r w:rsidRPr="00FE41E9">
              <w:rPr>
                <w:rFonts w:ascii="Arial Narrow" w:hAnsi="Arial Narrow" w:cs="Arial"/>
                <w:sz w:val="20"/>
                <w:szCs w:val="20"/>
              </w:rPr>
              <w:t>51 356</w:t>
            </w:r>
          </w:p>
        </w:tc>
        <w:tc>
          <w:tcPr>
            <w:tcW w:w="1115" w:type="dxa"/>
            <w:tcBorders>
              <w:top w:val="nil"/>
              <w:left w:val="nil"/>
              <w:bottom w:val="single" w:sz="4" w:space="0" w:color="auto"/>
              <w:right w:val="single" w:sz="4" w:space="0" w:color="auto"/>
            </w:tcBorders>
            <w:shd w:val="clear" w:color="auto" w:fill="auto"/>
            <w:noWrap/>
            <w:vAlign w:val="center"/>
            <w:hideMark/>
          </w:tcPr>
          <w:p w14:paraId="74F16068" w14:textId="77777777" w:rsidR="00FE41E9" w:rsidRPr="00FE41E9" w:rsidRDefault="00FE41E9" w:rsidP="00FE41E9">
            <w:pPr>
              <w:jc w:val="right"/>
              <w:rPr>
                <w:rFonts w:ascii="Arial Narrow" w:hAnsi="Arial Narrow" w:cs="Arial"/>
                <w:sz w:val="20"/>
                <w:szCs w:val="20"/>
              </w:rPr>
            </w:pPr>
            <w:r w:rsidRPr="00FE41E9">
              <w:rPr>
                <w:rFonts w:ascii="Arial Narrow" w:hAnsi="Arial Narrow" w:cs="Arial"/>
                <w:sz w:val="20"/>
                <w:szCs w:val="20"/>
              </w:rPr>
              <w:t>50 252</w:t>
            </w:r>
          </w:p>
        </w:tc>
        <w:tc>
          <w:tcPr>
            <w:tcW w:w="1115" w:type="dxa"/>
            <w:tcBorders>
              <w:top w:val="nil"/>
              <w:left w:val="nil"/>
              <w:bottom w:val="single" w:sz="4" w:space="0" w:color="auto"/>
              <w:right w:val="single" w:sz="4" w:space="0" w:color="auto"/>
            </w:tcBorders>
            <w:shd w:val="clear" w:color="auto" w:fill="auto"/>
            <w:noWrap/>
            <w:vAlign w:val="center"/>
            <w:hideMark/>
          </w:tcPr>
          <w:p w14:paraId="6B0C590F" w14:textId="77777777" w:rsidR="00FE41E9" w:rsidRPr="00FE41E9" w:rsidRDefault="00FE41E9" w:rsidP="00FE41E9">
            <w:pPr>
              <w:jc w:val="right"/>
              <w:rPr>
                <w:rFonts w:ascii="Arial Narrow" w:hAnsi="Arial Narrow" w:cs="Arial"/>
                <w:sz w:val="20"/>
                <w:szCs w:val="20"/>
              </w:rPr>
            </w:pPr>
            <w:r w:rsidRPr="00FE41E9">
              <w:rPr>
                <w:rFonts w:ascii="Arial Narrow" w:hAnsi="Arial Narrow" w:cs="Arial"/>
                <w:sz w:val="20"/>
                <w:szCs w:val="20"/>
              </w:rPr>
              <w:t>47 551</w:t>
            </w:r>
          </w:p>
        </w:tc>
        <w:tc>
          <w:tcPr>
            <w:tcW w:w="1115" w:type="dxa"/>
            <w:tcBorders>
              <w:top w:val="nil"/>
              <w:left w:val="nil"/>
              <w:bottom w:val="single" w:sz="4" w:space="0" w:color="auto"/>
              <w:right w:val="single" w:sz="4" w:space="0" w:color="auto"/>
            </w:tcBorders>
            <w:shd w:val="clear" w:color="000000" w:fill="FFFFFF"/>
            <w:noWrap/>
            <w:vAlign w:val="center"/>
            <w:hideMark/>
          </w:tcPr>
          <w:p w14:paraId="53C18836" w14:textId="77777777" w:rsidR="00FE41E9" w:rsidRPr="00FE41E9" w:rsidRDefault="00FE41E9" w:rsidP="00FE41E9">
            <w:pPr>
              <w:jc w:val="right"/>
              <w:rPr>
                <w:rFonts w:ascii="Arial Narrow" w:hAnsi="Arial Narrow" w:cs="Arial"/>
                <w:sz w:val="20"/>
                <w:szCs w:val="20"/>
              </w:rPr>
            </w:pPr>
            <w:r w:rsidRPr="00FE41E9">
              <w:rPr>
                <w:rFonts w:ascii="Arial Narrow" w:hAnsi="Arial Narrow" w:cs="Arial"/>
                <w:sz w:val="20"/>
                <w:szCs w:val="20"/>
              </w:rPr>
              <w:t>46 948</w:t>
            </w:r>
          </w:p>
        </w:tc>
        <w:tc>
          <w:tcPr>
            <w:tcW w:w="1115" w:type="dxa"/>
            <w:tcBorders>
              <w:top w:val="nil"/>
              <w:left w:val="nil"/>
              <w:bottom w:val="single" w:sz="4" w:space="0" w:color="auto"/>
              <w:right w:val="single" w:sz="4" w:space="0" w:color="auto"/>
            </w:tcBorders>
            <w:shd w:val="clear" w:color="000000" w:fill="FFFFFF"/>
            <w:noWrap/>
            <w:vAlign w:val="center"/>
            <w:hideMark/>
          </w:tcPr>
          <w:p w14:paraId="429371E2" w14:textId="77777777" w:rsidR="00FE41E9" w:rsidRPr="00FE41E9" w:rsidRDefault="00FE41E9" w:rsidP="00FE41E9">
            <w:pPr>
              <w:jc w:val="right"/>
              <w:rPr>
                <w:rFonts w:ascii="Arial Narrow" w:hAnsi="Arial Narrow" w:cs="Arial"/>
                <w:sz w:val="20"/>
                <w:szCs w:val="20"/>
              </w:rPr>
            </w:pPr>
            <w:r w:rsidRPr="00FE41E9">
              <w:rPr>
                <w:rFonts w:ascii="Arial Narrow" w:hAnsi="Arial Narrow" w:cs="Arial"/>
                <w:sz w:val="20"/>
                <w:szCs w:val="20"/>
              </w:rPr>
              <w:t>46 258</w:t>
            </w:r>
          </w:p>
        </w:tc>
      </w:tr>
      <w:tr w:rsidR="00FE41E9" w:rsidRPr="00FE41E9" w14:paraId="6B2A6119" w14:textId="77777777" w:rsidTr="00BF1588">
        <w:trPr>
          <w:trHeight w:val="309"/>
        </w:trPr>
        <w:tc>
          <w:tcPr>
            <w:tcW w:w="4378" w:type="dxa"/>
            <w:tcBorders>
              <w:top w:val="nil"/>
              <w:left w:val="single" w:sz="4" w:space="0" w:color="auto"/>
              <w:bottom w:val="single" w:sz="4" w:space="0" w:color="auto"/>
              <w:right w:val="single" w:sz="4" w:space="0" w:color="auto"/>
            </w:tcBorders>
            <w:shd w:val="clear" w:color="000000" w:fill="FFFFFF"/>
            <w:noWrap/>
            <w:vAlign w:val="center"/>
            <w:hideMark/>
          </w:tcPr>
          <w:p w14:paraId="59870318" w14:textId="77777777" w:rsidR="00FE41E9" w:rsidRPr="00FE41E9" w:rsidRDefault="00FE41E9" w:rsidP="00FE41E9">
            <w:pPr>
              <w:rPr>
                <w:rFonts w:ascii="Arial Narrow" w:hAnsi="Arial Narrow" w:cs="Arial"/>
                <w:sz w:val="20"/>
                <w:szCs w:val="20"/>
                <w:lang w:val="bg-BG"/>
              </w:rPr>
            </w:pPr>
            <w:r w:rsidRPr="00FE41E9">
              <w:rPr>
                <w:rFonts w:ascii="Arial Narrow" w:hAnsi="Arial Narrow" w:cs="Arial"/>
                <w:sz w:val="20"/>
                <w:szCs w:val="20"/>
                <w:lang w:val="bg-BG"/>
              </w:rPr>
              <w:t>смесени трайни насаждения</w:t>
            </w:r>
          </w:p>
        </w:tc>
        <w:tc>
          <w:tcPr>
            <w:tcW w:w="1115" w:type="dxa"/>
            <w:tcBorders>
              <w:top w:val="nil"/>
              <w:left w:val="nil"/>
              <w:bottom w:val="single" w:sz="4" w:space="0" w:color="auto"/>
              <w:right w:val="single" w:sz="4" w:space="0" w:color="auto"/>
            </w:tcBorders>
            <w:shd w:val="clear" w:color="auto" w:fill="auto"/>
            <w:noWrap/>
            <w:vAlign w:val="center"/>
            <w:hideMark/>
          </w:tcPr>
          <w:p w14:paraId="2B8E84FD" w14:textId="77777777" w:rsidR="00FE41E9" w:rsidRPr="00FE41E9" w:rsidRDefault="00FE41E9" w:rsidP="00FE41E9">
            <w:pPr>
              <w:jc w:val="right"/>
              <w:rPr>
                <w:rFonts w:ascii="Arial Narrow" w:hAnsi="Arial Narrow" w:cs="Arial"/>
                <w:sz w:val="20"/>
                <w:szCs w:val="20"/>
              </w:rPr>
            </w:pPr>
            <w:r w:rsidRPr="00FE41E9">
              <w:rPr>
                <w:rFonts w:ascii="Arial Narrow" w:hAnsi="Arial Narrow" w:cs="Arial"/>
                <w:sz w:val="20"/>
                <w:szCs w:val="20"/>
              </w:rPr>
              <w:t>7 120</w:t>
            </w:r>
          </w:p>
        </w:tc>
        <w:tc>
          <w:tcPr>
            <w:tcW w:w="1115" w:type="dxa"/>
            <w:tcBorders>
              <w:top w:val="nil"/>
              <w:left w:val="nil"/>
              <w:bottom w:val="single" w:sz="4" w:space="0" w:color="auto"/>
              <w:right w:val="single" w:sz="4" w:space="0" w:color="auto"/>
            </w:tcBorders>
            <w:shd w:val="clear" w:color="auto" w:fill="auto"/>
            <w:noWrap/>
            <w:vAlign w:val="center"/>
            <w:hideMark/>
          </w:tcPr>
          <w:p w14:paraId="1590AC83" w14:textId="77777777" w:rsidR="00FE41E9" w:rsidRPr="00FE41E9" w:rsidRDefault="00FE41E9" w:rsidP="00FE41E9">
            <w:pPr>
              <w:jc w:val="right"/>
              <w:rPr>
                <w:rFonts w:ascii="Arial Narrow" w:hAnsi="Arial Narrow" w:cs="Arial"/>
                <w:sz w:val="20"/>
                <w:szCs w:val="20"/>
              </w:rPr>
            </w:pPr>
            <w:r w:rsidRPr="00FE41E9">
              <w:rPr>
                <w:rFonts w:ascii="Arial Narrow" w:hAnsi="Arial Narrow" w:cs="Arial"/>
                <w:sz w:val="20"/>
                <w:szCs w:val="20"/>
              </w:rPr>
              <w:t>6 820</w:t>
            </w:r>
          </w:p>
        </w:tc>
        <w:tc>
          <w:tcPr>
            <w:tcW w:w="1115" w:type="dxa"/>
            <w:tcBorders>
              <w:top w:val="nil"/>
              <w:left w:val="nil"/>
              <w:bottom w:val="single" w:sz="4" w:space="0" w:color="auto"/>
              <w:right w:val="single" w:sz="4" w:space="0" w:color="auto"/>
            </w:tcBorders>
            <w:shd w:val="clear" w:color="auto" w:fill="auto"/>
            <w:noWrap/>
            <w:vAlign w:val="center"/>
            <w:hideMark/>
          </w:tcPr>
          <w:p w14:paraId="6A36E5D2" w14:textId="77777777" w:rsidR="00FE41E9" w:rsidRPr="00FE41E9" w:rsidRDefault="00FE41E9" w:rsidP="00FE41E9">
            <w:pPr>
              <w:jc w:val="right"/>
              <w:rPr>
                <w:rFonts w:ascii="Arial Narrow" w:hAnsi="Arial Narrow" w:cs="Arial"/>
                <w:sz w:val="20"/>
                <w:szCs w:val="20"/>
              </w:rPr>
            </w:pPr>
            <w:r w:rsidRPr="00FE41E9">
              <w:rPr>
                <w:rFonts w:ascii="Arial Narrow" w:hAnsi="Arial Narrow" w:cs="Arial"/>
                <w:sz w:val="20"/>
                <w:szCs w:val="20"/>
              </w:rPr>
              <w:t>6 310</w:t>
            </w:r>
          </w:p>
        </w:tc>
        <w:tc>
          <w:tcPr>
            <w:tcW w:w="1115" w:type="dxa"/>
            <w:tcBorders>
              <w:top w:val="nil"/>
              <w:left w:val="nil"/>
              <w:bottom w:val="single" w:sz="4" w:space="0" w:color="auto"/>
              <w:right w:val="single" w:sz="4" w:space="0" w:color="auto"/>
            </w:tcBorders>
            <w:shd w:val="clear" w:color="000000" w:fill="FFFFFF"/>
            <w:noWrap/>
            <w:vAlign w:val="center"/>
            <w:hideMark/>
          </w:tcPr>
          <w:p w14:paraId="571B8706" w14:textId="77777777" w:rsidR="00FE41E9" w:rsidRPr="00FE41E9" w:rsidRDefault="00FE41E9" w:rsidP="00FE41E9">
            <w:pPr>
              <w:jc w:val="right"/>
              <w:rPr>
                <w:rFonts w:ascii="Arial Narrow" w:hAnsi="Arial Narrow" w:cs="Arial"/>
                <w:sz w:val="20"/>
                <w:szCs w:val="20"/>
              </w:rPr>
            </w:pPr>
            <w:r w:rsidRPr="00FE41E9">
              <w:rPr>
                <w:rFonts w:ascii="Arial Narrow" w:hAnsi="Arial Narrow" w:cs="Arial"/>
                <w:sz w:val="20"/>
                <w:szCs w:val="20"/>
              </w:rPr>
              <w:t>6 016</w:t>
            </w:r>
          </w:p>
        </w:tc>
        <w:tc>
          <w:tcPr>
            <w:tcW w:w="1115" w:type="dxa"/>
            <w:tcBorders>
              <w:top w:val="nil"/>
              <w:left w:val="nil"/>
              <w:bottom w:val="single" w:sz="4" w:space="0" w:color="auto"/>
              <w:right w:val="single" w:sz="4" w:space="0" w:color="auto"/>
            </w:tcBorders>
            <w:shd w:val="clear" w:color="000000" w:fill="FFFFFF"/>
            <w:noWrap/>
            <w:vAlign w:val="center"/>
            <w:hideMark/>
          </w:tcPr>
          <w:p w14:paraId="5617D3EF" w14:textId="77777777" w:rsidR="00FE41E9" w:rsidRPr="00FE41E9" w:rsidRDefault="00FE41E9" w:rsidP="00FE41E9">
            <w:pPr>
              <w:jc w:val="right"/>
              <w:rPr>
                <w:rFonts w:ascii="Arial Narrow" w:hAnsi="Arial Narrow" w:cs="Arial"/>
                <w:sz w:val="20"/>
                <w:szCs w:val="20"/>
              </w:rPr>
            </w:pPr>
            <w:r w:rsidRPr="00FE41E9">
              <w:rPr>
                <w:rFonts w:ascii="Arial Narrow" w:hAnsi="Arial Narrow" w:cs="Arial"/>
                <w:sz w:val="20"/>
                <w:szCs w:val="20"/>
              </w:rPr>
              <w:t>5 918</w:t>
            </w:r>
          </w:p>
        </w:tc>
      </w:tr>
      <w:tr w:rsidR="00FE41E9" w:rsidRPr="00FE41E9" w14:paraId="1782C646" w14:textId="77777777" w:rsidTr="00BF1588">
        <w:trPr>
          <w:trHeight w:val="309"/>
        </w:trPr>
        <w:tc>
          <w:tcPr>
            <w:tcW w:w="4378" w:type="dxa"/>
            <w:tcBorders>
              <w:top w:val="nil"/>
              <w:left w:val="single" w:sz="4" w:space="0" w:color="auto"/>
              <w:bottom w:val="single" w:sz="4" w:space="0" w:color="auto"/>
              <w:right w:val="single" w:sz="4" w:space="0" w:color="auto"/>
            </w:tcBorders>
            <w:shd w:val="clear" w:color="000000" w:fill="FFFFFF"/>
            <w:noWrap/>
            <w:vAlign w:val="center"/>
            <w:hideMark/>
          </w:tcPr>
          <w:p w14:paraId="53DBDDCA" w14:textId="77777777" w:rsidR="00FE41E9" w:rsidRPr="00FE41E9" w:rsidRDefault="00FE41E9" w:rsidP="00FE41E9">
            <w:pPr>
              <w:rPr>
                <w:rFonts w:ascii="Arial Narrow" w:hAnsi="Arial Narrow" w:cs="Arial"/>
                <w:sz w:val="20"/>
                <w:szCs w:val="20"/>
                <w:lang w:val="bg-BG"/>
              </w:rPr>
            </w:pPr>
            <w:r w:rsidRPr="00FE41E9">
              <w:rPr>
                <w:rFonts w:ascii="Arial Narrow" w:hAnsi="Arial Narrow" w:cs="Arial"/>
                <w:sz w:val="20"/>
                <w:szCs w:val="20"/>
                <w:lang w:val="bg-BG"/>
              </w:rPr>
              <w:t>разсадници</w:t>
            </w:r>
          </w:p>
        </w:tc>
        <w:tc>
          <w:tcPr>
            <w:tcW w:w="1115" w:type="dxa"/>
            <w:tcBorders>
              <w:top w:val="nil"/>
              <w:left w:val="nil"/>
              <w:bottom w:val="single" w:sz="4" w:space="0" w:color="auto"/>
              <w:right w:val="single" w:sz="4" w:space="0" w:color="auto"/>
            </w:tcBorders>
            <w:shd w:val="clear" w:color="auto" w:fill="auto"/>
            <w:noWrap/>
            <w:vAlign w:val="center"/>
            <w:hideMark/>
          </w:tcPr>
          <w:p w14:paraId="34D862D4" w14:textId="77777777" w:rsidR="00FE41E9" w:rsidRPr="00FE41E9" w:rsidRDefault="00FE41E9" w:rsidP="00FE41E9">
            <w:pPr>
              <w:jc w:val="right"/>
              <w:rPr>
                <w:rFonts w:ascii="Arial Narrow" w:hAnsi="Arial Narrow" w:cs="Arial"/>
                <w:sz w:val="20"/>
                <w:szCs w:val="20"/>
              </w:rPr>
            </w:pPr>
            <w:r w:rsidRPr="00FE41E9">
              <w:rPr>
                <w:rFonts w:ascii="Arial Narrow" w:hAnsi="Arial Narrow" w:cs="Arial"/>
                <w:sz w:val="20"/>
                <w:szCs w:val="20"/>
              </w:rPr>
              <w:t>1 703</w:t>
            </w:r>
          </w:p>
        </w:tc>
        <w:tc>
          <w:tcPr>
            <w:tcW w:w="1115" w:type="dxa"/>
            <w:tcBorders>
              <w:top w:val="nil"/>
              <w:left w:val="nil"/>
              <w:bottom w:val="single" w:sz="4" w:space="0" w:color="auto"/>
              <w:right w:val="single" w:sz="4" w:space="0" w:color="auto"/>
            </w:tcBorders>
            <w:shd w:val="clear" w:color="auto" w:fill="auto"/>
            <w:noWrap/>
            <w:vAlign w:val="center"/>
            <w:hideMark/>
          </w:tcPr>
          <w:p w14:paraId="6C542DB0" w14:textId="77777777" w:rsidR="00FE41E9" w:rsidRPr="00FE41E9" w:rsidRDefault="00FE41E9" w:rsidP="00FE41E9">
            <w:pPr>
              <w:jc w:val="right"/>
              <w:rPr>
                <w:rFonts w:ascii="Arial Narrow" w:hAnsi="Arial Narrow" w:cs="Arial"/>
                <w:sz w:val="20"/>
                <w:szCs w:val="20"/>
              </w:rPr>
            </w:pPr>
            <w:r w:rsidRPr="00FE41E9">
              <w:rPr>
                <w:rFonts w:ascii="Arial Narrow" w:hAnsi="Arial Narrow" w:cs="Arial"/>
                <w:sz w:val="20"/>
                <w:szCs w:val="20"/>
              </w:rPr>
              <w:t>1 709</w:t>
            </w:r>
          </w:p>
        </w:tc>
        <w:tc>
          <w:tcPr>
            <w:tcW w:w="1115" w:type="dxa"/>
            <w:tcBorders>
              <w:top w:val="nil"/>
              <w:left w:val="nil"/>
              <w:bottom w:val="single" w:sz="4" w:space="0" w:color="auto"/>
              <w:right w:val="single" w:sz="4" w:space="0" w:color="auto"/>
            </w:tcBorders>
            <w:shd w:val="clear" w:color="auto" w:fill="auto"/>
            <w:noWrap/>
            <w:vAlign w:val="center"/>
            <w:hideMark/>
          </w:tcPr>
          <w:p w14:paraId="7469AE7F" w14:textId="77777777" w:rsidR="00FE41E9" w:rsidRPr="00FE41E9" w:rsidRDefault="00FE41E9" w:rsidP="00FE41E9">
            <w:pPr>
              <w:jc w:val="right"/>
              <w:rPr>
                <w:rFonts w:ascii="Arial Narrow" w:hAnsi="Arial Narrow" w:cs="Arial"/>
                <w:sz w:val="20"/>
                <w:szCs w:val="20"/>
              </w:rPr>
            </w:pPr>
            <w:r w:rsidRPr="00FE41E9">
              <w:rPr>
                <w:rFonts w:ascii="Arial Narrow" w:hAnsi="Arial Narrow" w:cs="Arial"/>
                <w:sz w:val="20"/>
                <w:szCs w:val="20"/>
              </w:rPr>
              <w:t>1 907</w:t>
            </w:r>
          </w:p>
        </w:tc>
        <w:tc>
          <w:tcPr>
            <w:tcW w:w="1115" w:type="dxa"/>
            <w:tcBorders>
              <w:top w:val="nil"/>
              <w:left w:val="nil"/>
              <w:bottom w:val="single" w:sz="4" w:space="0" w:color="auto"/>
              <w:right w:val="single" w:sz="4" w:space="0" w:color="auto"/>
            </w:tcBorders>
            <w:shd w:val="clear" w:color="000000" w:fill="FFFFFF"/>
            <w:noWrap/>
            <w:vAlign w:val="center"/>
            <w:hideMark/>
          </w:tcPr>
          <w:p w14:paraId="15583E31" w14:textId="77777777" w:rsidR="00FE41E9" w:rsidRPr="00FE41E9" w:rsidRDefault="00FE41E9" w:rsidP="00FE41E9">
            <w:pPr>
              <w:jc w:val="right"/>
              <w:rPr>
                <w:rFonts w:ascii="Arial Narrow" w:hAnsi="Arial Narrow" w:cs="Arial"/>
                <w:sz w:val="20"/>
                <w:szCs w:val="20"/>
              </w:rPr>
            </w:pPr>
            <w:r w:rsidRPr="00FE41E9">
              <w:rPr>
                <w:rFonts w:ascii="Arial Narrow" w:hAnsi="Arial Narrow" w:cs="Arial"/>
                <w:sz w:val="20"/>
                <w:szCs w:val="20"/>
              </w:rPr>
              <w:t>1 506</w:t>
            </w:r>
          </w:p>
        </w:tc>
        <w:tc>
          <w:tcPr>
            <w:tcW w:w="1115" w:type="dxa"/>
            <w:tcBorders>
              <w:top w:val="nil"/>
              <w:left w:val="nil"/>
              <w:bottom w:val="single" w:sz="4" w:space="0" w:color="auto"/>
              <w:right w:val="single" w:sz="4" w:space="0" w:color="auto"/>
            </w:tcBorders>
            <w:shd w:val="clear" w:color="000000" w:fill="FFFFFF"/>
            <w:noWrap/>
            <w:vAlign w:val="center"/>
            <w:hideMark/>
          </w:tcPr>
          <w:p w14:paraId="7556A19C" w14:textId="77777777" w:rsidR="00FE41E9" w:rsidRPr="00FE41E9" w:rsidRDefault="00FE41E9" w:rsidP="00FE41E9">
            <w:pPr>
              <w:jc w:val="right"/>
              <w:rPr>
                <w:rFonts w:ascii="Arial Narrow" w:hAnsi="Arial Narrow" w:cs="Arial"/>
                <w:sz w:val="20"/>
                <w:szCs w:val="20"/>
              </w:rPr>
            </w:pPr>
            <w:r w:rsidRPr="00FE41E9">
              <w:rPr>
                <w:rFonts w:ascii="Arial Narrow" w:hAnsi="Arial Narrow" w:cs="Arial"/>
                <w:sz w:val="20"/>
                <w:szCs w:val="20"/>
              </w:rPr>
              <w:t>1 508</w:t>
            </w:r>
          </w:p>
        </w:tc>
      </w:tr>
      <w:tr w:rsidR="00FE41E9" w:rsidRPr="00FE41E9" w14:paraId="1DDD99E0" w14:textId="77777777" w:rsidTr="00BF1588">
        <w:trPr>
          <w:trHeight w:val="286"/>
        </w:trPr>
        <w:tc>
          <w:tcPr>
            <w:tcW w:w="4378" w:type="dxa"/>
            <w:tcBorders>
              <w:top w:val="nil"/>
              <w:left w:val="single" w:sz="4" w:space="0" w:color="auto"/>
              <w:bottom w:val="single" w:sz="4" w:space="0" w:color="auto"/>
              <w:right w:val="single" w:sz="4" w:space="0" w:color="auto"/>
            </w:tcBorders>
            <w:shd w:val="clear" w:color="000000" w:fill="FFFFFF"/>
            <w:vAlign w:val="center"/>
            <w:hideMark/>
          </w:tcPr>
          <w:p w14:paraId="0EFD34CA" w14:textId="77777777" w:rsidR="00FE41E9" w:rsidRPr="00FE41E9" w:rsidRDefault="00FE41E9" w:rsidP="00FE41E9">
            <w:pPr>
              <w:rPr>
                <w:rFonts w:ascii="Arial Narrow" w:hAnsi="Arial Narrow" w:cs="Arial"/>
                <w:b/>
                <w:bCs/>
                <w:sz w:val="20"/>
                <w:szCs w:val="20"/>
                <w:lang w:val="bg-BG"/>
              </w:rPr>
            </w:pPr>
            <w:r w:rsidRPr="00FE41E9">
              <w:rPr>
                <w:rFonts w:ascii="Arial Narrow" w:hAnsi="Arial Narrow" w:cs="Arial"/>
                <w:b/>
                <w:bCs/>
                <w:sz w:val="20"/>
                <w:szCs w:val="20"/>
                <w:lang w:val="bg-BG"/>
              </w:rPr>
              <w:t>Общо трайни насаждения:</w:t>
            </w:r>
          </w:p>
        </w:tc>
        <w:tc>
          <w:tcPr>
            <w:tcW w:w="1115" w:type="dxa"/>
            <w:tcBorders>
              <w:top w:val="nil"/>
              <w:left w:val="nil"/>
              <w:bottom w:val="single" w:sz="4" w:space="0" w:color="auto"/>
              <w:right w:val="single" w:sz="4" w:space="0" w:color="auto"/>
            </w:tcBorders>
            <w:shd w:val="clear" w:color="auto" w:fill="auto"/>
            <w:noWrap/>
            <w:vAlign w:val="center"/>
            <w:hideMark/>
          </w:tcPr>
          <w:p w14:paraId="22DED631" w14:textId="77777777" w:rsidR="00FE41E9" w:rsidRPr="00FE41E9" w:rsidRDefault="00FE41E9" w:rsidP="00FE41E9">
            <w:pPr>
              <w:jc w:val="right"/>
              <w:rPr>
                <w:rFonts w:ascii="Arial Narrow" w:hAnsi="Arial Narrow" w:cs="Arial"/>
                <w:sz w:val="20"/>
                <w:szCs w:val="20"/>
              </w:rPr>
            </w:pPr>
            <w:r w:rsidRPr="00FE41E9">
              <w:rPr>
                <w:rFonts w:ascii="Arial Narrow" w:hAnsi="Arial Narrow" w:cs="Arial"/>
                <w:sz w:val="20"/>
                <w:szCs w:val="20"/>
              </w:rPr>
              <w:t>151 518</w:t>
            </w:r>
          </w:p>
        </w:tc>
        <w:tc>
          <w:tcPr>
            <w:tcW w:w="1115" w:type="dxa"/>
            <w:tcBorders>
              <w:top w:val="nil"/>
              <w:left w:val="nil"/>
              <w:bottom w:val="single" w:sz="4" w:space="0" w:color="auto"/>
              <w:right w:val="single" w:sz="4" w:space="0" w:color="auto"/>
            </w:tcBorders>
            <w:shd w:val="clear" w:color="auto" w:fill="auto"/>
            <w:noWrap/>
            <w:vAlign w:val="center"/>
            <w:hideMark/>
          </w:tcPr>
          <w:p w14:paraId="59CBE11A" w14:textId="77777777" w:rsidR="00FE41E9" w:rsidRPr="00FE41E9" w:rsidRDefault="00FE41E9" w:rsidP="00FE41E9">
            <w:pPr>
              <w:jc w:val="right"/>
              <w:rPr>
                <w:rFonts w:ascii="Arial Narrow" w:hAnsi="Arial Narrow" w:cs="Arial"/>
                <w:sz w:val="20"/>
                <w:szCs w:val="20"/>
              </w:rPr>
            </w:pPr>
            <w:r w:rsidRPr="00FE41E9">
              <w:rPr>
                <w:rFonts w:ascii="Arial Narrow" w:hAnsi="Arial Narrow" w:cs="Arial"/>
                <w:sz w:val="20"/>
                <w:szCs w:val="20"/>
              </w:rPr>
              <w:t>149 042</w:t>
            </w:r>
          </w:p>
        </w:tc>
        <w:tc>
          <w:tcPr>
            <w:tcW w:w="1115" w:type="dxa"/>
            <w:tcBorders>
              <w:top w:val="nil"/>
              <w:left w:val="nil"/>
              <w:bottom w:val="single" w:sz="4" w:space="0" w:color="auto"/>
              <w:right w:val="single" w:sz="4" w:space="0" w:color="auto"/>
            </w:tcBorders>
            <w:shd w:val="clear" w:color="auto" w:fill="auto"/>
            <w:noWrap/>
            <w:vAlign w:val="center"/>
            <w:hideMark/>
          </w:tcPr>
          <w:p w14:paraId="7D879156" w14:textId="77777777" w:rsidR="00FE41E9" w:rsidRPr="00FE41E9" w:rsidRDefault="00FE41E9" w:rsidP="00FE41E9">
            <w:pPr>
              <w:jc w:val="right"/>
              <w:rPr>
                <w:rFonts w:ascii="Arial Narrow" w:hAnsi="Arial Narrow" w:cs="Arial"/>
                <w:sz w:val="20"/>
                <w:szCs w:val="20"/>
              </w:rPr>
            </w:pPr>
            <w:r w:rsidRPr="00FE41E9">
              <w:rPr>
                <w:rFonts w:ascii="Arial Narrow" w:hAnsi="Arial Narrow" w:cs="Arial"/>
                <w:sz w:val="20"/>
                <w:szCs w:val="20"/>
              </w:rPr>
              <w:t>139 341</w:t>
            </w:r>
          </w:p>
        </w:tc>
        <w:tc>
          <w:tcPr>
            <w:tcW w:w="1115" w:type="dxa"/>
            <w:tcBorders>
              <w:top w:val="nil"/>
              <w:left w:val="nil"/>
              <w:bottom w:val="single" w:sz="4" w:space="0" w:color="auto"/>
              <w:right w:val="single" w:sz="4" w:space="0" w:color="auto"/>
            </w:tcBorders>
            <w:shd w:val="clear" w:color="000000" w:fill="FFFFFF"/>
            <w:noWrap/>
            <w:vAlign w:val="center"/>
            <w:hideMark/>
          </w:tcPr>
          <w:p w14:paraId="54DF89DA" w14:textId="77777777" w:rsidR="00FE41E9" w:rsidRPr="00FE41E9" w:rsidRDefault="00FE41E9" w:rsidP="00FE41E9">
            <w:pPr>
              <w:jc w:val="right"/>
              <w:rPr>
                <w:rFonts w:ascii="Arial Narrow" w:hAnsi="Arial Narrow" w:cs="Arial"/>
                <w:sz w:val="20"/>
                <w:szCs w:val="20"/>
              </w:rPr>
            </w:pPr>
            <w:r w:rsidRPr="00FE41E9">
              <w:rPr>
                <w:rFonts w:ascii="Arial Narrow" w:hAnsi="Arial Narrow" w:cs="Arial"/>
                <w:sz w:val="20"/>
                <w:szCs w:val="20"/>
              </w:rPr>
              <w:t>137 031</w:t>
            </w:r>
          </w:p>
        </w:tc>
        <w:tc>
          <w:tcPr>
            <w:tcW w:w="1115" w:type="dxa"/>
            <w:tcBorders>
              <w:top w:val="nil"/>
              <w:left w:val="nil"/>
              <w:bottom w:val="single" w:sz="4" w:space="0" w:color="auto"/>
              <w:right w:val="single" w:sz="4" w:space="0" w:color="auto"/>
            </w:tcBorders>
            <w:shd w:val="clear" w:color="000000" w:fill="FFFFFF"/>
            <w:noWrap/>
            <w:vAlign w:val="center"/>
            <w:hideMark/>
          </w:tcPr>
          <w:p w14:paraId="1EB8428B" w14:textId="77777777" w:rsidR="00FE41E9" w:rsidRPr="00FE41E9" w:rsidRDefault="00FE41E9" w:rsidP="00FE41E9">
            <w:pPr>
              <w:jc w:val="right"/>
              <w:rPr>
                <w:rFonts w:ascii="Arial Narrow" w:hAnsi="Arial Narrow" w:cs="Arial"/>
                <w:sz w:val="20"/>
                <w:szCs w:val="20"/>
              </w:rPr>
            </w:pPr>
            <w:r w:rsidRPr="00FE41E9">
              <w:rPr>
                <w:rFonts w:ascii="Arial Narrow" w:hAnsi="Arial Narrow" w:cs="Arial"/>
                <w:sz w:val="20"/>
                <w:szCs w:val="20"/>
              </w:rPr>
              <w:t>136 966</w:t>
            </w:r>
          </w:p>
        </w:tc>
      </w:tr>
      <w:tr w:rsidR="00FE41E9" w:rsidRPr="00FE41E9" w14:paraId="0E430840" w14:textId="77777777" w:rsidTr="00BF1588">
        <w:trPr>
          <w:trHeight w:val="488"/>
        </w:trPr>
        <w:tc>
          <w:tcPr>
            <w:tcW w:w="4378" w:type="dxa"/>
            <w:tcBorders>
              <w:top w:val="nil"/>
              <w:left w:val="single" w:sz="4" w:space="0" w:color="auto"/>
              <w:bottom w:val="single" w:sz="4" w:space="0" w:color="auto"/>
              <w:right w:val="single" w:sz="4" w:space="0" w:color="auto"/>
            </w:tcBorders>
            <w:shd w:val="clear" w:color="000000" w:fill="FFFFFF"/>
            <w:vAlign w:val="center"/>
            <w:hideMark/>
          </w:tcPr>
          <w:p w14:paraId="5964F5DF" w14:textId="77777777" w:rsidR="00FE41E9" w:rsidRPr="00FE41E9" w:rsidRDefault="00FE41E9" w:rsidP="00FE41E9">
            <w:pPr>
              <w:rPr>
                <w:rFonts w:ascii="Arial Narrow" w:hAnsi="Arial Narrow" w:cs="Arial"/>
                <w:b/>
                <w:bCs/>
                <w:sz w:val="20"/>
                <w:szCs w:val="20"/>
                <w:lang w:val="bg-BG"/>
              </w:rPr>
            </w:pPr>
            <w:r w:rsidRPr="00FE41E9">
              <w:rPr>
                <w:rFonts w:ascii="Arial Narrow" w:hAnsi="Arial Narrow" w:cs="Arial"/>
                <w:b/>
                <w:bCs/>
                <w:sz w:val="20"/>
                <w:szCs w:val="20"/>
                <w:lang w:val="bg-BG"/>
              </w:rPr>
              <w:t>Постоянно затревени площи и ливади-овощни градини</w:t>
            </w:r>
          </w:p>
        </w:tc>
        <w:tc>
          <w:tcPr>
            <w:tcW w:w="1115" w:type="dxa"/>
            <w:tcBorders>
              <w:top w:val="nil"/>
              <w:left w:val="nil"/>
              <w:bottom w:val="single" w:sz="4" w:space="0" w:color="auto"/>
              <w:right w:val="single" w:sz="4" w:space="0" w:color="auto"/>
            </w:tcBorders>
            <w:shd w:val="clear" w:color="auto" w:fill="auto"/>
            <w:noWrap/>
            <w:vAlign w:val="center"/>
            <w:hideMark/>
          </w:tcPr>
          <w:p w14:paraId="11396181" w14:textId="77777777" w:rsidR="00FE41E9" w:rsidRPr="00FE41E9" w:rsidRDefault="00FE41E9" w:rsidP="00FE41E9">
            <w:pPr>
              <w:jc w:val="right"/>
              <w:rPr>
                <w:rFonts w:ascii="Arial Narrow" w:hAnsi="Arial Narrow" w:cs="Arial"/>
                <w:sz w:val="20"/>
                <w:szCs w:val="20"/>
              </w:rPr>
            </w:pPr>
            <w:r w:rsidRPr="00FE41E9">
              <w:rPr>
                <w:rFonts w:ascii="Arial Narrow" w:hAnsi="Arial Narrow" w:cs="Arial"/>
                <w:sz w:val="20"/>
                <w:szCs w:val="20"/>
              </w:rPr>
              <w:t>1 403 988</w:t>
            </w:r>
          </w:p>
        </w:tc>
        <w:tc>
          <w:tcPr>
            <w:tcW w:w="1115" w:type="dxa"/>
            <w:tcBorders>
              <w:top w:val="nil"/>
              <w:left w:val="nil"/>
              <w:bottom w:val="single" w:sz="4" w:space="0" w:color="auto"/>
              <w:right w:val="single" w:sz="4" w:space="0" w:color="auto"/>
            </w:tcBorders>
            <w:shd w:val="clear" w:color="auto" w:fill="auto"/>
            <w:noWrap/>
            <w:vAlign w:val="center"/>
            <w:hideMark/>
          </w:tcPr>
          <w:p w14:paraId="615E3E25" w14:textId="77777777" w:rsidR="00FE41E9" w:rsidRPr="00FE41E9" w:rsidRDefault="00FE41E9" w:rsidP="00FE41E9">
            <w:pPr>
              <w:jc w:val="right"/>
              <w:rPr>
                <w:rFonts w:ascii="Arial Narrow" w:hAnsi="Arial Narrow" w:cs="Arial"/>
                <w:sz w:val="20"/>
                <w:szCs w:val="20"/>
              </w:rPr>
            </w:pPr>
            <w:r w:rsidRPr="00FE41E9">
              <w:rPr>
                <w:rFonts w:ascii="Arial Narrow" w:hAnsi="Arial Narrow" w:cs="Arial"/>
                <w:sz w:val="20"/>
                <w:szCs w:val="20"/>
              </w:rPr>
              <w:t>1 397 079</w:t>
            </w:r>
          </w:p>
        </w:tc>
        <w:tc>
          <w:tcPr>
            <w:tcW w:w="1115" w:type="dxa"/>
            <w:tcBorders>
              <w:top w:val="nil"/>
              <w:left w:val="nil"/>
              <w:bottom w:val="single" w:sz="4" w:space="0" w:color="auto"/>
              <w:right w:val="single" w:sz="4" w:space="0" w:color="auto"/>
            </w:tcBorders>
            <w:shd w:val="clear" w:color="auto" w:fill="auto"/>
            <w:noWrap/>
            <w:vAlign w:val="center"/>
            <w:hideMark/>
          </w:tcPr>
          <w:p w14:paraId="7782F8B1" w14:textId="77777777" w:rsidR="00FE41E9" w:rsidRPr="00FE41E9" w:rsidRDefault="00FE41E9" w:rsidP="00FE41E9">
            <w:pPr>
              <w:jc w:val="right"/>
              <w:rPr>
                <w:rFonts w:ascii="Arial Narrow" w:hAnsi="Arial Narrow" w:cs="Arial"/>
                <w:sz w:val="20"/>
                <w:szCs w:val="20"/>
              </w:rPr>
            </w:pPr>
            <w:r w:rsidRPr="00FE41E9">
              <w:rPr>
                <w:rFonts w:ascii="Arial Narrow" w:hAnsi="Arial Narrow" w:cs="Arial"/>
                <w:sz w:val="20"/>
                <w:szCs w:val="20"/>
              </w:rPr>
              <w:t>1 414 246</w:t>
            </w:r>
          </w:p>
        </w:tc>
        <w:tc>
          <w:tcPr>
            <w:tcW w:w="1115" w:type="dxa"/>
            <w:tcBorders>
              <w:top w:val="nil"/>
              <w:left w:val="nil"/>
              <w:bottom w:val="single" w:sz="4" w:space="0" w:color="auto"/>
              <w:right w:val="single" w:sz="4" w:space="0" w:color="auto"/>
            </w:tcBorders>
            <w:shd w:val="clear" w:color="000000" w:fill="FFFFFF"/>
            <w:noWrap/>
            <w:vAlign w:val="center"/>
            <w:hideMark/>
          </w:tcPr>
          <w:p w14:paraId="768B83AD" w14:textId="77777777" w:rsidR="00FE41E9" w:rsidRPr="00FE41E9" w:rsidRDefault="00FE41E9" w:rsidP="00FE41E9">
            <w:pPr>
              <w:jc w:val="right"/>
              <w:rPr>
                <w:rFonts w:ascii="Arial Narrow" w:hAnsi="Arial Narrow" w:cs="Arial"/>
                <w:sz w:val="20"/>
                <w:szCs w:val="20"/>
              </w:rPr>
            </w:pPr>
            <w:r w:rsidRPr="00FE41E9">
              <w:rPr>
                <w:rFonts w:ascii="Arial Narrow" w:hAnsi="Arial Narrow" w:cs="Arial"/>
                <w:sz w:val="20"/>
                <w:szCs w:val="20"/>
              </w:rPr>
              <w:t>1 380 408</w:t>
            </w:r>
          </w:p>
        </w:tc>
        <w:tc>
          <w:tcPr>
            <w:tcW w:w="1115" w:type="dxa"/>
            <w:tcBorders>
              <w:top w:val="nil"/>
              <w:left w:val="nil"/>
              <w:bottom w:val="single" w:sz="4" w:space="0" w:color="auto"/>
              <w:right w:val="single" w:sz="4" w:space="0" w:color="auto"/>
            </w:tcBorders>
            <w:shd w:val="clear" w:color="000000" w:fill="FFFFFF"/>
            <w:noWrap/>
            <w:vAlign w:val="center"/>
            <w:hideMark/>
          </w:tcPr>
          <w:p w14:paraId="61477AE8" w14:textId="77777777" w:rsidR="00FE41E9" w:rsidRPr="00FE41E9" w:rsidRDefault="00FE41E9" w:rsidP="00FE41E9">
            <w:pPr>
              <w:jc w:val="right"/>
              <w:rPr>
                <w:rFonts w:ascii="Arial Narrow" w:hAnsi="Arial Narrow" w:cs="Arial"/>
                <w:sz w:val="20"/>
                <w:szCs w:val="20"/>
              </w:rPr>
            </w:pPr>
            <w:r w:rsidRPr="00FE41E9">
              <w:rPr>
                <w:rFonts w:ascii="Arial Narrow" w:hAnsi="Arial Narrow" w:cs="Arial"/>
                <w:sz w:val="20"/>
                <w:szCs w:val="20"/>
              </w:rPr>
              <w:t>1 385 473</w:t>
            </w:r>
          </w:p>
        </w:tc>
      </w:tr>
      <w:tr w:rsidR="00FE41E9" w:rsidRPr="00FE41E9" w14:paraId="0C055C15" w14:textId="77777777" w:rsidTr="00BF1588">
        <w:trPr>
          <w:trHeight w:val="309"/>
        </w:trPr>
        <w:tc>
          <w:tcPr>
            <w:tcW w:w="4378" w:type="dxa"/>
            <w:tcBorders>
              <w:top w:val="nil"/>
              <w:left w:val="single" w:sz="4" w:space="0" w:color="auto"/>
              <w:bottom w:val="single" w:sz="4" w:space="0" w:color="auto"/>
              <w:right w:val="single" w:sz="4" w:space="0" w:color="auto"/>
            </w:tcBorders>
            <w:shd w:val="clear" w:color="000000" w:fill="FFFFFF"/>
            <w:vAlign w:val="center"/>
            <w:hideMark/>
          </w:tcPr>
          <w:p w14:paraId="3CA03D4B" w14:textId="77777777" w:rsidR="00FE41E9" w:rsidRPr="00FE41E9" w:rsidRDefault="00FE41E9" w:rsidP="00FE41E9">
            <w:pPr>
              <w:rPr>
                <w:rFonts w:ascii="Arial Narrow" w:hAnsi="Arial Narrow" w:cs="Arial"/>
                <w:b/>
                <w:bCs/>
                <w:sz w:val="20"/>
                <w:szCs w:val="20"/>
                <w:lang w:val="bg-BG"/>
              </w:rPr>
            </w:pPr>
            <w:r w:rsidRPr="00FE41E9">
              <w:rPr>
                <w:rFonts w:ascii="Arial Narrow" w:hAnsi="Arial Narrow" w:cs="Arial"/>
                <w:b/>
                <w:bCs/>
                <w:sz w:val="20"/>
                <w:szCs w:val="20"/>
                <w:lang w:val="bg-BG"/>
              </w:rPr>
              <w:t>ИЗПОЛЗВАНА ЗЕМЕДЕЛСКА ПЛОЩ:</w:t>
            </w:r>
          </w:p>
        </w:tc>
        <w:tc>
          <w:tcPr>
            <w:tcW w:w="1115" w:type="dxa"/>
            <w:tcBorders>
              <w:top w:val="nil"/>
              <w:left w:val="nil"/>
              <w:bottom w:val="single" w:sz="4" w:space="0" w:color="auto"/>
              <w:right w:val="single" w:sz="4" w:space="0" w:color="auto"/>
            </w:tcBorders>
            <w:shd w:val="clear" w:color="000000" w:fill="FFFFFF"/>
            <w:noWrap/>
            <w:vAlign w:val="center"/>
            <w:hideMark/>
          </w:tcPr>
          <w:p w14:paraId="6A5C2901" w14:textId="77777777" w:rsidR="00FE41E9" w:rsidRPr="00FE41E9" w:rsidRDefault="00FE41E9" w:rsidP="00FE41E9">
            <w:pPr>
              <w:jc w:val="right"/>
              <w:rPr>
                <w:rFonts w:ascii="Arial Narrow" w:hAnsi="Arial Narrow" w:cs="Arial"/>
                <w:b/>
                <w:bCs/>
                <w:sz w:val="20"/>
                <w:szCs w:val="20"/>
              </w:rPr>
            </w:pPr>
            <w:r w:rsidRPr="00FE41E9">
              <w:rPr>
                <w:rFonts w:ascii="Arial Narrow" w:hAnsi="Arial Narrow" w:cs="Arial"/>
                <w:b/>
                <w:bCs/>
                <w:sz w:val="20"/>
                <w:szCs w:val="20"/>
              </w:rPr>
              <w:t>5 047 252</w:t>
            </w:r>
          </w:p>
        </w:tc>
        <w:tc>
          <w:tcPr>
            <w:tcW w:w="1115" w:type="dxa"/>
            <w:tcBorders>
              <w:top w:val="nil"/>
              <w:left w:val="nil"/>
              <w:bottom w:val="single" w:sz="4" w:space="0" w:color="auto"/>
              <w:right w:val="single" w:sz="4" w:space="0" w:color="auto"/>
            </w:tcBorders>
            <w:shd w:val="clear" w:color="000000" w:fill="FFFFFF"/>
            <w:noWrap/>
            <w:vAlign w:val="center"/>
            <w:hideMark/>
          </w:tcPr>
          <w:p w14:paraId="6C9E057E" w14:textId="77777777" w:rsidR="00FE41E9" w:rsidRPr="00FE41E9" w:rsidRDefault="00FE41E9" w:rsidP="00FE41E9">
            <w:pPr>
              <w:jc w:val="right"/>
              <w:rPr>
                <w:rFonts w:ascii="Arial Narrow" w:hAnsi="Arial Narrow" w:cs="Arial"/>
                <w:b/>
                <w:bCs/>
                <w:sz w:val="20"/>
                <w:szCs w:val="20"/>
              </w:rPr>
            </w:pPr>
            <w:r w:rsidRPr="00FE41E9">
              <w:rPr>
                <w:rFonts w:ascii="Arial Narrow" w:hAnsi="Arial Narrow" w:cs="Arial"/>
                <w:b/>
                <w:bCs/>
                <w:sz w:val="20"/>
                <w:szCs w:val="20"/>
              </w:rPr>
              <w:t>5 046 597</w:t>
            </w:r>
          </w:p>
        </w:tc>
        <w:tc>
          <w:tcPr>
            <w:tcW w:w="1115" w:type="dxa"/>
            <w:tcBorders>
              <w:top w:val="nil"/>
              <w:left w:val="nil"/>
              <w:bottom w:val="single" w:sz="4" w:space="0" w:color="auto"/>
              <w:right w:val="single" w:sz="4" w:space="0" w:color="auto"/>
            </w:tcBorders>
            <w:shd w:val="clear" w:color="000000" w:fill="FFFFFF"/>
            <w:noWrap/>
            <w:vAlign w:val="center"/>
            <w:hideMark/>
          </w:tcPr>
          <w:p w14:paraId="0545B5D4" w14:textId="77777777" w:rsidR="00FE41E9" w:rsidRPr="00FE41E9" w:rsidRDefault="00FE41E9" w:rsidP="00FE41E9">
            <w:pPr>
              <w:jc w:val="right"/>
              <w:rPr>
                <w:rFonts w:ascii="Arial Narrow" w:hAnsi="Arial Narrow" w:cs="Arial"/>
                <w:b/>
                <w:bCs/>
                <w:sz w:val="20"/>
                <w:szCs w:val="20"/>
              </w:rPr>
            </w:pPr>
            <w:r w:rsidRPr="00FE41E9">
              <w:rPr>
                <w:rFonts w:ascii="Arial Narrow" w:hAnsi="Arial Narrow" w:cs="Arial"/>
                <w:b/>
                <w:bCs/>
                <w:sz w:val="20"/>
                <w:szCs w:val="20"/>
              </w:rPr>
              <w:t>5 022 062</w:t>
            </w:r>
          </w:p>
        </w:tc>
        <w:tc>
          <w:tcPr>
            <w:tcW w:w="1115" w:type="dxa"/>
            <w:tcBorders>
              <w:top w:val="nil"/>
              <w:left w:val="nil"/>
              <w:bottom w:val="single" w:sz="4" w:space="0" w:color="auto"/>
              <w:right w:val="single" w:sz="4" w:space="0" w:color="auto"/>
            </w:tcBorders>
            <w:shd w:val="clear" w:color="000000" w:fill="FFFFFF"/>
            <w:noWrap/>
            <w:vAlign w:val="center"/>
            <w:hideMark/>
          </w:tcPr>
          <w:p w14:paraId="5E5D2DA7" w14:textId="77777777" w:rsidR="00FE41E9" w:rsidRPr="00FE41E9" w:rsidRDefault="00FE41E9" w:rsidP="00FE41E9">
            <w:pPr>
              <w:jc w:val="right"/>
              <w:rPr>
                <w:rFonts w:ascii="Arial Narrow" w:hAnsi="Arial Narrow" w:cs="Arial"/>
                <w:b/>
                <w:bCs/>
                <w:sz w:val="20"/>
                <w:szCs w:val="20"/>
              </w:rPr>
            </w:pPr>
            <w:r w:rsidRPr="00FE41E9">
              <w:rPr>
                <w:rFonts w:ascii="Arial Narrow" w:hAnsi="Arial Narrow" w:cs="Arial"/>
                <w:b/>
                <w:bCs/>
                <w:sz w:val="20"/>
                <w:szCs w:val="20"/>
              </w:rPr>
              <w:t>5 002 992</w:t>
            </w:r>
          </w:p>
        </w:tc>
        <w:tc>
          <w:tcPr>
            <w:tcW w:w="1115" w:type="dxa"/>
            <w:tcBorders>
              <w:top w:val="nil"/>
              <w:left w:val="nil"/>
              <w:bottom w:val="single" w:sz="4" w:space="0" w:color="auto"/>
              <w:right w:val="single" w:sz="4" w:space="0" w:color="auto"/>
            </w:tcBorders>
            <w:shd w:val="clear" w:color="000000" w:fill="FFFFFF"/>
            <w:noWrap/>
            <w:vAlign w:val="center"/>
            <w:hideMark/>
          </w:tcPr>
          <w:p w14:paraId="37AD3CE1" w14:textId="77777777" w:rsidR="00FE41E9" w:rsidRPr="00FE41E9" w:rsidRDefault="00FE41E9" w:rsidP="00FE41E9">
            <w:pPr>
              <w:jc w:val="right"/>
              <w:rPr>
                <w:rFonts w:ascii="Arial Narrow" w:hAnsi="Arial Narrow" w:cs="Arial"/>
                <w:b/>
                <w:bCs/>
                <w:sz w:val="20"/>
                <w:szCs w:val="20"/>
              </w:rPr>
            </w:pPr>
            <w:r w:rsidRPr="00FE41E9">
              <w:rPr>
                <w:rFonts w:ascii="Arial Narrow" w:hAnsi="Arial Narrow" w:cs="Arial"/>
                <w:b/>
                <w:bCs/>
                <w:sz w:val="20"/>
                <w:szCs w:val="20"/>
              </w:rPr>
              <w:t>5 014 053</w:t>
            </w:r>
          </w:p>
        </w:tc>
      </w:tr>
      <w:tr w:rsidR="00FE41E9" w:rsidRPr="00FE41E9" w14:paraId="1F0DC3E7" w14:textId="77777777" w:rsidTr="00BF1588">
        <w:trPr>
          <w:trHeight w:val="309"/>
        </w:trPr>
        <w:tc>
          <w:tcPr>
            <w:tcW w:w="4378" w:type="dxa"/>
            <w:tcBorders>
              <w:top w:val="nil"/>
              <w:left w:val="single" w:sz="4" w:space="0" w:color="auto"/>
              <w:bottom w:val="single" w:sz="4" w:space="0" w:color="auto"/>
              <w:right w:val="single" w:sz="4" w:space="0" w:color="auto"/>
            </w:tcBorders>
            <w:shd w:val="clear" w:color="000000" w:fill="FFFFFF"/>
            <w:vAlign w:val="center"/>
            <w:hideMark/>
          </w:tcPr>
          <w:p w14:paraId="44AA4B06" w14:textId="77777777" w:rsidR="00FE41E9" w:rsidRPr="00FE41E9" w:rsidRDefault="00FE41E9" w:rsidP="00FE41E9">
            <w:pPr>
              <w:rPr>
                <w:rFonts w:ascii="Arial Narrow" w:hAnsi="Arial Narrow" w:cs="Arial"/>
                <w:sz w:val="20"/>
                <w:szCs w:val="20"/>
                <w:lang w:val="bg-BG"/>
              </w:rPr>
            </w:pPr>
            <w:r w:rsidRPr="00FE41E9">
              <w:rPr>
                <w:rFonts w:ascii="Arial Narrow" w:hAnsi="Arial Narrow" w:cs="Arial"/>
                <w:sz w:val="20"/>
                <w:szCs w:val="20"/>
                <w:lang w:val="bg-BG"/>
              </w:rPr>
              <w:t>Необработвана земя</w:t>
            </w:r>
          </w:p>
        </w:tc>
        <w:tc>
          <w:tcPr>
            <w:tcW w:w="1115" w:type="dxa"/>
            <w:tcBorders>
              <w:top w:val="nil"/>
              <w:left w:val="nil"/>
              <w:bottom w:val="single" w:sz="4" w:space="0" w:color="auto"/>
              <w:right w:val="single" w:sz="4" w:space="0" w:color="auto"/>
            </w:tcBorders>
            <w:shd w:val="clear" w:color="000000" w:fill="FFFFFF"/>
            <w:noWrap/>
            <w:vAlign w:val="center"/>
            <w:hideMark/>
          </w:tcPr>
          <w:p w14:paraId="540D0443" w14:textId="77777777" w:rsidR="00FE41E9" w:rsidRPr="00FE41E9" w:rsidRDefault="00FE41E9" w:rsidP="00FE41E9">
            <w:pPr>
              <w:jc w:val="right"/>
              <w:rPr>
                <w:rFonts w:ascii="Arial Narrow" w:hAnsi="Arial Narrow" w:cs="Arial"/>
                <w:sz w:val="20"/>
                <w:szCs w:val="20"/>
              </w:rPr>
            </w:pPr>
            <w:r w:rsidRPr="00FE41E9">
              <w:rPr>
                <w:rFonts w:ascii="Arial Narrow" w:hAnsi="Arial Narrow" w:cs="Arial"/>
                <w:sz w:val="20"/>
                <w:szCs w:val="20"/>
              </w:rPr>
              <w:t>180 651</w:t>
            </w:r>
          </w:p>
        </w:tc>
        <w:tc>
          <w:tcPr>
            <w:tcW w:w="1115" w:type="dxa"/>
            <w:tcBorders>
              <w:top w:val="nil"/>
              <w:left w:val="nil"/>
              <w:bottom w:val="single" w:sz="4" w:space="0" w:color="auto"/>
              <w:right w:val="single" w:sz="4" w:space="0" w:color="auto"/>
            </w:tcBorders>
            <w:shd w:val="clear" w:color="000000" w:fill="FFFFFF"/>
            <w:noWrap/>
            <w:vAlign w:val="center"/>
            <w:hideMark/>
          </w:tcPr>
          <w:p w14:paraId="12696B70" w14:textId="77777777" w:rsidR="00FE41E9" w:rsidRPr="00FE41E9" w:rsidRDefault="00FE41E9" w:rsidP="00FE41E9">
            <w:pPr>
              <w:jc w:val="right"/>
              <w:rPr>
                <w:rFonts w:ascii="Arial Narrow" w:hAnsi="Arial Narrow" w:cs="Arial"/>
                <w:sz w:val="20"/>
                <w:szCs w:val="20"/>
              </w:rPr>
            </w:pPr>
            <w:r w:rsidRPr="00FE41E9">
              <w:rPr>
                <w:rFonts w:ascii="Arial Narrow" w:hAnsi="Arial Narrow" w:cs="Arial"/>
                <w:sz w:val="20"/>
                <w:szCs w:val="20"/>
              </w:rPr>
              <w:t>180 753</w:t>
            </w:r>
          </w:p>
        </w:tc>
        <w:tc>
          <w:tcPr>
            <w:tcW w:w="1115" w:type="dxa"/>
            <w:tcBorders>
              <w:top w:val="nil"/>
              <w:left w:val="nil"/>
              <w:bottom w:val="single" w:sz="4" w:space="0" w:color="auto"/>
              <w:right w:val="single" w:sz="4" w:space="0" w:color="auto"/>
            </w:tcBorders>
            <w:shd w:val="clear" w:color="000000" w:fill="FFFFFF"/>
            <w:noWrap/>
            <w:vAlign w:val="center"/>
            <w:hideMark/>
          </w:tcPr>
          <w:p w14:paraId="714B6D25" w14:textId="77777777" w:rsidR="00FE41E9" w:rsidRPr="00FE41E9" w:rsidRDefault="00FE41E9" w:rsidP="00FE41E9">
            <w:pPr>
              <w:jc w:val="right"/>
              <w:rPr>
                <w:rFonts w:ascii="Arial Narrow" w:hAnsi="Arial Narrow" w:cs="Arial"/>
                <w:sz w:val="20"/>
                <w:szCs w:val="20"/>
              </w:rPr>
            </w:pPr>
            <w:r w:rsidRPr="00FE41E9">
              <w:rPr>
                <w:rFonts w:ascii="Arial Narrow" w:hAnsi="Arial Narrow" w:cs="Arial"/>
                <w:sz w:val="20"/>
                <w:szCs w:val="20"/>
              </w:rPr>
              <w:t>204 026</w:t>
            </w:r>
          </w:p>
        </w:tc>
        <w:tc>
          <w:tcPr>
            <w:tcW w:w="1115" w:type="dxa"/>
            <w:tcBorders>
              <w:top w:val="nil"/>
              <w:left w:val="nil"/>
              <w:bottom w:val="single" w:sz="4" w:space="0" w:color="auto"/>
              <w:right w:val="single" w:sz="4" w:space="0" w:color="auto"/>
            </w:tcBorders>
            <w:shd w:val="clear" w:color="000000" w:fill="FFFFFF"/>
            <w:noWrap/>
            <w:vAlign w:val="center"/>
            <w:hideMark/>
          </w:tcPr>
          <w:p w14:paraId="75A70CE3" w14:textId="77777777" w:rsidR="00FE41E9" w:rsidRPr="00FE41E9" w:rsidRDefault="00FE41E9" w:rsidP="00FE41E9">
            <w:pPr>
              <w:jc w:val="right"/>
              <w:rPr>
                <w:rFonts w:ascii="Arial Narrow" w:hAnsi="Arial Narrow" w:cs="Arial"/>
                <w:sz w:val="20"/>
                <w:szCs w:val="20"/>
              </w:rPr>
            </w:pPr>
            <w:r w:rsidRPr="00FE41E9">
              <w:rPr>
                <w:rFonts w:ascii="Arial Narrow" w:hAnsi="Arial Narrow" w:cs="Arial"/>
                <w:sz w:val="20"/>
                <w:szCs w:val="20"/>
              </w:rPr>
              <w:t>205 490</w:t>
            </w:r>
          </w:p>
        </w:tc>
        <w:tc>
          <w:tcPr>
            <w:tcW w:w="1115" w:type="dxa"/>
            <w:tcBorders>
              <w:top w:val="nil"/>
              <w:left w:val="nil"/>
              <w:bottom w:val="single" w:sz="4" w:space="0" w:color="auto"/>
              <w:right w:val="single" w:sz="4" w:space="0" w:color="auto"/>
            </w:tcBorders>
            <w:shd w:val="clear" w:color="000000" w:fill="FFFFFF"/>
            <w:noWrap/>
            <w:vAlign w:val="center"/>
            <w:hideMark/>
          </w:tcPr>
          <w:p w14:paraId="24A668C3" w14:textId="77777777" w:rsidR="00FE41E9" w:rsidRPr="00FE41E9" w:rsidRDefault="00FE41E9" w:rsidP="00FE41E9">
            <w:pPr>
              <w:jc w:val="right"/>
              <w:rPr>
                <w:rFonts w:ascii="Arial Narrow" w:hAnsi="Arial Narrow" w:cs="Arial"/>
                <w:sz w:val="20"/>
                <w:szCs w:val="20"/>
              </w:rPr>
            </w:pPr>
            <w:r w:rsidRPr="00FE41E9">
              <w:rPr>
                <w:rFonts w:ascii="Arial Narrow" w:hAnsi="Arial Narrow" w:cs="Arial"/>
                <w:sz w:val="20"/>
                <w:szCs w:val="20"/>
              </w:rPr>
              <w:t>201 823</w:t>
            </w:r>
          </w:p>
        </w:tc>
      </w:tr>
      <w:tr w:rsidR="00FE41E9" w:rsidRPr="00FE41E9" w14:paraId="45924E6D" w14:textId="77777777" w:rsidTr="00BF1588">
        <w:trPr>
          <w:trHeight w:val="524"/>
        </w:trPr>
        <w:tc>
          <w:tcPr>
            <w:tcW w:w="4378" w:type="dxa"/>
            <w:tcBorders>
              <w:top w:val="nil"/>
              <w:left w:val="single" w:sz="4" w:space="0" w:color="auto"/>
              <w:bottom w:val="single" w:sz="4" w:space="0" w:color="auto"/>
              <w:right w:val="single" w:sz="4" w:space="0" w:color="auto"/>
            </w:tcBorders>
            <w:shd w:val="clear" w:color="000000" w:fill="FFFFFF"/>
            <w:vAlign w:val="center"/>
            <w:hideMark/>
          </w:tcPr>
          <w:p w14:paraId="6E213E32" w14:textId="77777777" w:rsidR="00FE41E9" w:rsidRPr="00FE41E9" w:rsidRDefault="00FE41E9" w:rsidP="00FE41E9">
            <w:pPr>
              <w:rPr>
                <w:rFonts w:ascii="Arial Narrow" w:hAnsi="Arial Narrow" w:cs="Arial"/>
                <w:b/>
                <w:bCs/>
                <w:sz w:val="20"/>
                <w:szCs w:val="20"/>
                <w:lang w:val="bg-BG"/>
              </w:rPr>
            </w:pPr>
            <w:r w:rsidRPr="00FE41E9">
              <w:rPr>
                <w:rFonts w:ascii="Arial Narrow" w:hAnsi="Arial Narrow" w:cs="Arial"/>
                <w:b/>
                <w:bCs/>
                <w:sz w:val="20"/>
                <w:szCs w:val="20"/>
                <w:lang w:val="bg-BG"/>
              </w:rPr>
              <w:t>ПЛОЩ СЪС СЕЛСКОСТОПАНСКО ПРЕДНАЗНАЧЕНИЕ:</w:t>
            </w:r>
          </w:p>
        </w:tc>
        <w:tc>
          <w:tcPr>
            <w:tcW w:w="1115" w:type="dxa"/>
            <w:tcBorders>
              <w:top w:val="nil"/>
              <w:left w:val="nil"/>
              <w:bottom w:val="single" w:sz="4" w:space="0" w:color="auto"/>
              <w:right w:val="single" w:sz="4" w:space="0" w:color="auto"/>
            </w:tcBorders>
            <w:shd w:val="clear" w:color="000000" w:fill="FFFFFF"/>
            <w:noWrap/>
            <w:vAlign w:val="center"/>
            <w:hideMark/>
          </w:tcPr>
          <w:p w14:paraId="0C5BF6BC" w14:textId="77777777" w:rsidR="00FE41E9" w:rsidRPr="00FE41E9" w:rsidRDefault="00FE41E9" w:rsidP="00FE41E9">
            <w:pPr>
              <w:jc w:val="right"/>
              <w:rPr>
                <w:rFonts w:ascii="Arial Narrow" w:hAnsi="Arial Narrow" w:cs="Arial"/>
                <w:b/>
                <w:bCs/>
                <w:sz w:val="20"/>
                <w:szCs w:val="20"/>
              </w:rPr>
            </w:pPr>
            <w:r w:rsidRPr="00FE41E9">
              <w:rPr>
                <w:rFonts w:ascii="Arial Narrow" w:hAnsi="Arial Narrow" w:cs="Arial"/>
                <w:b/>
                <w:bCs/>
                <w:sz w:val="20"/>
                <w:szCs w:val="20"/>
              </w:rPr>
              <w:t>5 227 902</w:t>
            </w:r>
          </w:p>
        </w:tc>
        <w:tc>
          <w:tcPr>
            <w:tcW w:w="1115" w:type="dxa"/>
            <w:tcBorders>
              <w:top w:val="nil"/>
              <w:left w:val="nil"/>
              <w:bottom w:val="single" w:sz="4" w:space="0" w:color="auto"/>
              <w:right w:val="single" w:sz="4" w:space="0" w:color="auto"/>
            </w:tcBorders>
            <w:shd w:val="clear" w:color="000000" w:fill="FFFFFF"/>
            <w:noWrap/>
            <w:vAlign w:val="center"/>
            <w:hideMark/>
          </w:tcPr>
          <w:p w14:paraId="3F15336F" w14:textId="77777777" w:rsidR="00FE41E9" w:rsidRPr="00FE41E9" w:rsidRDefault="00FE41E9" w:rsidP="00FE41E9">
            <w:pPr>
              <w:jc w:val="right"/>
              <w:rPr>
                <w:rFonts w:ascii="Arial Narrow" w:hAnsi="Arial Narrow" w:cs="Arial"/>
                <w:b/>
                <w:bCs/>
                <w:sz w:val="20"/>
                <w:szCs w:val="20"/>
              </w:rPr>
            </w:pPr>
            <w:r w:rsidRPr="00FE41E9">
              <w:rPr>
                <w:rFonts w:ascii="Arial Narrow" w:hAnsi="Arial Narrow" w:cs="Arial"/>
                <w:b/>
                <w:bCs/>
                <w:sz w:val="20"/>
                <w:szCs w:val="20"/>
              </w:rPr>
              <w:t>5 227 350</w:t>
            </w:r>
          </w:p>
        </w:tc>
        <w:tc>
          <w:tcPr>
            <w:tcW w:w="1115" w:type="dxa"/>
            <w:tcBorders>
              <w:top w:val="nil"/>
              <w:left w:val="nil"/>
              <w:bottom w:val="single" w:sz="4" w:space="0" w:color="auto"/>
              <w:right w:val="single" w:sz="4" w:space="0" w:color="auto"/>
            </w:tcBorders>
            <w:shd w:val="clear" w:color="000000" w:fill="FFFFFF"/>
            <w:noWrap/>
            <w:vAlign w:val="center"/>
            <w:hideMark/>
          </w:tcPr>
          <w:p w14:paraId="2B62F873" w14:textId="77777777" w:rsidR="00FE41E9" w:rsidRPr="00FE41E9" w:rsidRDefault="00FE41E9" w:rsidP="00FE41E9">
            <w:pPr>
              <w:jc w:val="right"/>
              <w:rPr>
                <w:rFonts w:ascii="Arial Narrow" w:hAnsi="Arial Narrow" w:cs="Arial"/>
                <w:b/>
                <w:bCs/>
                <w:sz w:val="20"/>
                <w:szCs w:val="20"/>
              </w:rPr>
            </w:pPr>
            <w:r w:rsidRPr="00FE41E9">
              <w:rPr>
                <w:rFonts w:ascii="Arial Narrow" w:hAnsi="Arial Narrow" w:cs="Arial"/>
                <w:b/>
                <w:bCs/>
                <w:sz w:val="20"/>
                <w:szCs w:val="20"/>
              </w:rPr>
              <w:t>5 226 087</w:t>
            </w:r>
          </w:p>
        </w:tc>
        <w:tc>
          <w:tcPr>
            <w:tcW w:w="1115" w:type="dxa"/>
            <w:tcBorders>
              <w:top w:val="nil"/>
              <w:left w:val="nil"/>
              <w:bottom w:val="single" w:sz="4" w:space="0" w:color="auto"/>
              <w:right w:val="single" w:sz="4" w:space="0" w:color="auto"/>
            </w:tcBorders>
            <w:shd w:val="clear" w:color="000000" w:fill="FFFFFF"/>
            <w:noWrap/>
            <w:vAlign w:val="center"/>
            <w:hideMark/>
          </w:tcPr>
          <w:p w14:paraId="0EE2266D" w14:textId="77777777" w:rsidR="00FE41E9" w:rsidRPr="00FE41E9" w:rsidRDefault="00FE41E9" w:rsidP="00FE41E9">
            <w:pPr>
              <w:jc w:val="right"/>
              <w:rPr>
                <w:rFonts w:ascii="Arial Narrow" w:hAnsi="Arial Narrow" w:cs="Arial"/>
                <w:b/>
                <w:bCs/>
                <w:sz w:val="20"/>
                <w:szCs w:val="20"/>
              </w:rPr>
            </w:pPr>
            <w:r w:rsidRPr="00FE41E9">
              <w:rPr>
                <w:rFonts w:ascii="Arial Narrow" w:hAnsi="Arial Narrow" w:cs="Arial"/>
                <w:b/>
                <w:bCs/>
                <w:sz w:val="20"/>
                <w:szCs w:val="20"/>
              </w:rPr>
              <w:t>5 208 482</w:t>
            </w:r>
          </w:p>
        </w:tc>
        <w:tc>
          <w:tcPr>
            <w:tcW w:w="1115" w:type="dxa"/>
            <w:tcBorders>
              <w:top w:val="nil"/>
              <w:left w:val="nil"/>
              <w:bottom w:val="single" w:sz="4" w:space="0" w:color="auto"/>
              <w:right w:val="single" w:sz="4" w:space="0" w:color="auto"/>
            </w:tcBorders>
            <w:shd w:val="clear" w:color="000000" w:fill="FFFFFF"/>
            <w:noWrap/>
            <w:vAlign w:val="center"/>
            <w:hideMark/>
          </w:tcPr>
          <w:p w14:paraId="14E8E47D" w14:textId="77777777" w:rsidR="00FE41E9" w:rsidRPr="00FE41E9" w:rsidRDefault="00FE41E9" w:rsidP="00FE41E9">
            <w:pPr>
              <w:jc w:val="right"/>
              <w:rPr>
                <w:rFonts w:ascii="Arial Narrow" w:hAnsi="Arial Narrow" w:cs="Arial"/>
                <w:b/>
                <w:bCs/>
                <w:sz w:val="20"/>
                <w:szCs w:val="20"/>
              </w:rPr>
            </w:pPr>
            <w:r w:rsidRPr="00FE41E9">
              <w:rPr>
                <w:rFonts w:ascii="Arial Narrow" w:hAnsi="Arial Narrow" w:cs="Arial"/>
                <w:b/>
                <w:bCs/>
                <w:sz w:val="20"/>
                <w:szCs w:val="20"/>
              </w:rPr>
              <w:t>5 215 876</w:t>
            </w:r>
          </w:p>
        </w:tc>
      </w:tr>
    </w:tbl>
    <w:p w14:paraId="18D77C39" w14:textId="77777777" w:rsidR="00FE41E9" w:rsidRPr="00C52C52" w:rsidRDefault="00FE41E9" w:rsidP="00FE41E9">
      <w:pPr>
        <w:spacing w:after="120"/>
        <w:ind w:right="282"/>
        <w:jc w:val="both"/>
        <w:rPr>
          <w:rFonts w:ascii="Arial Narrow" w:hAnsi="Arial Narrow"/>
          <w:i/>
          <w:sz w:val="18"/>
          <w:szCs w:val="18"/>
          <w:lang w:val="bg-BG"/>
        </w:rPr>
      </w:pPr>
      <w:r w:rsidRPr="00C52C52">
        <w:rPr>
          <w:rFonts w:ascii="Arial Narrow" w:hAnsi="Arial Narrow"/>
          <w:i/>
          <w:sz w:val="18"/>
          <w:szCs w:val="18"/>
          <w:lang w:val="bg-BG"/>
        </w:rPr>
        <w:t>Източник: МЗХ, отдел „Агростатистика”</w:t>
      </w:r>
    </w:p>
    <w:p w14:paraId="1DC55B45" w14:textId="77777777" w:rsidR="00FE41E9" w:rsidRPr="00FE41E9" w:rsidRDefault="00FE41E9" w:rsidP="00FE41E9">
      <w:pPr>
        <w:autoSpaceDE w:val="0"/>
        <w:autoSpaceDN w:val="0"/>
        <w:adjustRightInd w:val="0"/>
        <w:spacing w:after="120"/>
        <w:ind w:right="29" w:firstLine="708"/>
        <w:jc w:val="both"/>
        <w:rPr>
          <w:rFonts w:ascii="Arial Narrow" w:hAnsi="Arial Narrow"/>
          <w:lang w:val="bg-BG"/>
        </w:rPr>
      </w:pPr>
      <w:r w:rsidRPr="00FE41E9">
        <w:rPr>
          <w:rFonts w:ascii="Arial Narrow" w:hAnsi="Arial Narrow"/>
          <w:b/>
          <w:bCs/>
          <w:lang w:val="bg-BG"/>
        </w:rPr>
        <w:t xml:space="preserve">Използваната земеделска площ (ИЗП) </w:t>
      </w:r>
      <w:r w:rsidRPr="00FE41E9">
        <w:rPr>
          <w:rFonts w:ascii="Arial Narrow" w:hAnsi="Arial Narrow"/>
          <w:lang w:val="bg-BG"/>
        </w:rPr>
        <w:t>се формира от обработваемата земя, трайните насаждения, разсадници, постоянно затревените площи и семейните градини. През 2024 г. ИЗП е в размер на 5 014 053 ха (45,2% от територията на страната), като в сравнение с предходната година се наблюдава увеличение с 0,2%.</w:t>
      </w:r>
    </w:p>
    <w:p w14:paraId="374B2143" w14:textId="77777777" w:rsidR="00FE41E9" w:rsidRPr="00FE41E9" w:rsidRDefault="00FE41E9" w:rsidP="00FE41E9">
      <w:pPr>
        <w:autoSpaceDE w:val="0"/>
        <w:autoSpaceDN w:val="0"/>
        <w:adjustRightInd w:val="0"/>
        <w:spacing w:after="120"/>
        <w:ind w:right="29" w:firstLine="708"/>
        <w:jc w:val="both"/>
        <w:rPr>
          <w:rFonts w:ascii="Arial Narrow" w:hAnsi="Arial Narrow"/>
          <w:lang w:val="bg-BG"/>
        </w:rPr>
      </w:pPr>
      <w:r w:rsidRPr="00FE41E9">
        <w:rPr>
          <w:rFonts w:ascii="Arial Narrow" w:hAnsi="Arial Narrow"/>
          <w:bCs/>
          <w:lang w:val="bg-BG"/>
        </w:rPr>
        <w:t>В</w:t>
      </w:r>
      <w:r w:rsidRPr="00FE41E9">
        <w:rPr>
          <w:rFonts w:ascii="Arial Narrow" w:hAnsi="Arial Narrow"/>
          <w:b/>
          <w:bCs/>
          <w:lang w:val="bg-BG"/>
        </w:rPr>
        <w:t xml:space="preserve"> обработваемата земя </w:t>
      </w:r>
      <w:r w:rsidRPr="00FE41E9">
        <w:rPr>
          <w:rFonts w:ascii="Arial Narrow" w:hAnsi="Arial Narrow"/>
          <w:bCs/>
          <w:lang w:val="bg-BG"/>
        </w:rPr>
        <w:t>се включват</w:t>
      </w:r>
      <w:r w:rsidRPr="00FE41E9">
        <w:rPr>
          <w:rFonts w:ascii="Arial Narrow" w:hAnsi="Arial Narrow"/>
          <w:lang w:val="bg-BG"/>
        </w:rPr>
        <w:t xml:space="preserve"> площите, при които се прилага сеитбооборот, временните ливади с житни и бобови треви, угарите и оранжериите. През 2024 г. обработваемата земя нараства с 0,2% на годишна база, до 3 478 885 ха или 69,4% от използваната земеделска площ на страната.</w:t>
      </w:r>
      <w:r w:rsidRPr="00FE41E9">
        <w:rPr>
          <w:rFonts w:ascii="Arial Narrow" w:hAnsi="Arial Narrow"/>
          <w:bCs/>
          <w:lang w:val="bg-BG"/>
        </w:rPr>
        <w:t xml:space="preserve"> </w:t>
      </w:r>
    </w:p>
    <w:p w14:paraId="5847CDD9" w14:textId="77777777" w:rsidR="00FE41E9" w:rsidRPr="00C82890" w:rsidRDefault="00FE41E9" w:rsidP="00FE41E9">
      <w:pPr>
        <w:autoSpaceDE w:val="0"/>
        <w:autoSpaceDN w:val="0"/>
        <w:adjustRightInd w:val="0"/>
        <w:spacing w:after="120"/>
        <w:ind w:right="29" w:firstLine="708"/>
        <w:jc w:val="both"/>
        <w:rPr>
          <w:rFonts w:ascii="Arial Narrow" w:hAnsi="Arial Narrow"/>
          <w:b/>
          <w:bCs/>
          <w:lang w:val="bg-BG"/>
        </w:rPr>
      </w:pPr>
      <w:r w:rsidRPr="00FE41E9">
        <w:rPr>
          <w:rFonts w:ascii="Arial Narrow" w:hAnsi="Arial Narrow"/>
          <w:b/>
          <w:bCs/>
          <w:lang w:val="bg-BG"/>
        </w:rPr>
        <w:t xml:space="preserve">Овощните насаждения – чиста култура </w:t>
      </w:r>
      <w:r w:rsidRPr="00FE41E9">
        <w:rPr>
          <w:rFonts w:ascii="Arial Narrow" w:hAnsi="Arial Narrow"/>
          <w:bCs/>
          <w:lang w:val="bg-BG"/>
        </w:rPr>
        <w:t xml:space="preserve">през 2024 г. формират 1,7% от </w:t>
      </w:r>
      <w:r w:rsidRPr="00C82890">
        <w:rPr>
          <w:rFonts w:ascii="Arial Narrow" w:hAnsi="Arial Narrow"/>
          <w:bCs/>
          <w:lang w:val="bg-BG"/>
        </w:rPr>
        <w:t>ИЗП на страната. Площите, заети с тях са 83 281 ха или с 0,9% повече в сравнение с година по-рано.</w:t>
      </w:r>
      <w:r w:rsidRPr="00C82890">
        <w:rPr>
          <w:rFonts w:ascii="Arial Narrow" w:hAnsi="Arial Narrow"/>
          <w:b/>
          <w:bCs/>
          <w:lang w:val="bg-BG"/>
        </w:rPr>
        <w:t xml:space="preserve"> </w:t>
      </w:r>
    </w:p>
    <w:p w14:paraId="55B0D4BF" w14:textId="77777777" w:rsidR="00FE41E9" w:rsidRPr="00FE41E9" w:rsidRDefault="00FE41E9" w:rsidP="00FE41E9">
      <w:pPr>
        <w:autoSpaceDE w:val="0"/>
        <w:autoSpaceDN w:val="0"/>
        <w:adjustRightInd w:val="0"/>
        <w:spacing w:after="120"/>
        <w:ind w:right="29" w:firstLine="708"/>
        <w:jc w:val="both"/>
        <w:rPr>
          <w:rFonts w:ascii="Arial Narrow" w:hAnsi="Arial Narrow"/>
          <w:bCs/>
          <w:lang w:val="bg-BG"/>
        </w:rPr>
      </w:pPr>
      <w:r w:rsidRPr="00C82890">
        <w:rPr>
          <w:rFonts w:ascii="Arial Narrow" w:hAnsi="Arial Narrow"/>
          <w:b/>
          <w:bCs/>
          <w:lang w:val="bg-BG"/>
        </w:rPr>
        <w:t>Лозя – чиста култура</w:t>
      </w:r>
      <w:r w:rsidRPr="00C82890">
        <w:rPr>
          <w:rFonts w:ascii="Arial Narrow" w:hAnsi="Arial Narrow"/>
          <w:bCs/>
          <w:lang w:val="bg-BG"/>
        </w:rPr>
        <w:t xml:space="preserve"> през 2024 г. има върху 46 258</w:t>
      </w:r>
      <w:r w:rsidRPr="00C82890">
        <w:rPr>
          <w:rFonts w:ascii="Arial Narrow" w:hAnsi="Arial Narrow" w:cs="Arial"/>
          <w:sz w:val="20"/>
          <w:szCs w:val="20"/>
          <w:lang w:val="bg-BG" w:eastAsia="bg-BG"/>
        </w:rPr>
        <w:t xml:space="preserve"> </w:t>
      </w:r>
      <w:r w:rsidRPr="00C82890">
        <w:rPr>
          <w:rFonts w:ascii="Arial Narrow" w:hAnsi="Arial Narrow"/>
          <w:bCs/>
          <w:lang w:val="bg-BG"/>
        </w:rPr>
        <w:t xml:space="preserve">ха, което е с 1,5% по-малко </w:t>
      </w:r>
      <w:r w:rsidRPr="00FE41E9">
        <w:rPr>
          <w:rFonts w:ascii="Arial Narrow" w:hAnsi="Arial Narrow"/>
          <w:bCs/>
          <w:lang w:val="bg-BG"/>
        </w:rPr>
        <w:t xml:space="preserve">на годишна база. Делът на лозята от ИЗП на страната е 0,9%. </w:t>
      </w:r>
    </w:p>
    <w:p w14:paraId="7BDE9832" w14:textId="77777777" w:rsidR="00FE41E9" w:rsidRPr="00F10C2E" w:rsidRDefault="00FE41E9" w:rsidP="00F10C2E">
      <w:pPr>
        <w:autoSpaceDE w:val="0"/>
        <w:autoSpaceDN w:val="0"/>
        <w:adjustRightInd w:val="0"/>
        <w:spacing w:after="120"/>
        <w:ind w:right="29" w:firstLine="708"/>
        <w:jc w:val="both"/>
        <w:rPr>
          <w:rFonts w:ascii="Arial Narrow" w:hAnsi="Arial Narrow"/>
          <w:bCs/>
          <w:lang w:val="bg-BG"/>
        </w:rPr>
      </w:pPr>
      <w:r w:rsidRPr="00FE41E9">
        <w:rPr>
          <w:rFonts w:ascii="Arial Narrow" w:hAnsi="Arial Narrow"/>
          <w:b/>
          <w:bCs/>
          <w:lang w:val="bg-BG"/>
        </w:rPr>
        <w:t xml:space="preserve">Необработваната земя </w:t>
      </w:r>
      <w:r w:rsidRPr="00FE41E9">
        <w:rPr>
          <w:rFonts w:ascii="Arial Narrow" w:hAnsi="Arial Narrow"/>
          <w:bCs/>
          <w:lang w:val="bg-BG"/>
        </w:rPr>
        <w:t xml:space="preserve">включва както изоставени трайни насаждения, така и обработваема земя, които не са използвани за земеделско производство повече от пет години, но експлоатационното им възстановяване е възможно с минимални средства. През 2024 г. необработваните земи заемат 201 823 ха (около 1,8% от площта на страната) - с 1,8% под нивото от предходната година. </w:t>
      </w:r>
    </w:p>
    <w:p w14:paraId="2581BD30" w14:textId="77777777" w:rsidR="00B95F91" w:rsidRPr="00F10C2E" w:rsidRDefault="00B95F91" w:rsidP="00B95F91">
      <w:pPr>
        <w:pStyle w:val="ListParagraph"/>
        <w:numPr>
          <w:ilvl w:val="1"/>
          <w:numId w:val="13"/>
        </w:numPr>
        <w:tabs>
          <w:tab w:val="clear" w:pos="750"/>
        </w:tabs>
        <w:spacing w:after="120"/>
        <w:ind w:left="540" w:hanging="180"/>
        <w:contextualSpacing w:val="0"/>
        <w:outlineLvl w:val="0"/>
        <w:rPr>
          <w:rFonts w:ascii="Arial Narrow" w:hAnsi="Arial Narrow"/>
          <w:bCs/>
          <w:lang w:val="bg-BG"/>
        </w:rPr>
      </w:pPr>
      <w:bookmarkStart w:id="7" w:name="_Toc119489833"/>
      <w:bookmarkStart w:id="8" w:name="_Toc210747523"/>
      <w:r w:rsidRPr="00F10C2E">
        <w:rPr>
          <w:rFonts w:ascii="Arial Narrow" w:hAnsi="Arial Narrow"/>
          <w:b/>
          <w:lang w:val="bg-BG"/>
        </w:rPr>
        <w:t>Използване на земеделските парцели</w:t>
      </w:r>
      <w:bookmarkStart w:id="9" w:name="_Toc119489834"/>
      <w:bookmarkEnd w:id="7"/>
      <w:bookmarkEnd w:id="8"/>
    </w:p>
    <w:p w14:paraId="7D439A33" w14:textId="77777777" w:rsidR="00B95F91" w:rsidRPr="00F10C2E" w:rsidRDefault="00B95F91" w:rsidP="00B95F91">
      <w:pPr>
        <w:pStyle w:val="ListParagraph"/>
        <w:tabs>
          <w:tab w:val="left" w:pos="990"/>
        </w:tabs>
        <w:spacing w:after="120"/>
        <w:ind w:left="792" w:hanging="432"/>
        <w:contextualSpacing w:val="0"/>
        <w:outlineLvl w:val="0"/>
        <w:rPr>
          <w:rFonts w:ascii="Arial Narrow" w:hAnsi="Arial Narrow"/>
          <w:b/>
          <w:lang w:val="bg-BG"/>
        </w:rPr>
      </w:pPr>
      <w:bookmarkStart w:id="10" w:name="_Toc210747524"/>
      <w:r w:rsidRPr="00F10C2E">
        <w:rPr>
          <w:rFonts w:ascii="Arial Narrow" w:hAnsi="Arial Narrow"/>
          <w:b/>
        </w:rPr>
        <w:t>1.2.1.</w:t>
      </w:r>
      <w:r w:rsidRPr="00F10C2E">
        <w:rPr>
          <w:rFonts w:ascii="Arial Narrow" w:hAnsi="Arial Narrow"/>
          <w:b/>
          <w:lang w:val="bg-BG"/>
        </w:rPr>
        <w:t xml:space="preserve"> Система за идентификация на земеделските парцели</w:t>
      </w:r>
      <w:bookmarkEnd w:id="9"/>
      <w:bookmarkEnd w:id="10"/>
      <w:r w:rsidRPr="00F10C2E">
        <w:rPr>
          <w:rFonts w:ascii="Arial Narrow" w:hAnsi="Arial Narrow"/>
          <w:b/>
          <w:lang w:val="bg-BG"/>
        </w:rPr>
        <w:t xml:space="preserve"> </w:t>
      </w:r>
    </w:p>
    <w:p w14:paraId="257F8679" w14:textId="77777777" w:rsidR="00F10C2E" w:rsidRPr="00F10C2E" w:rsidRDefault="00F10C2E" w:rsidP="00F10C2E">
      <w:pPr>
        <w:autoSpaceDE w:val="0"/>
        <w:autoSpaceDN w:val="0"/>
        <w:adjustRightInd w:val="0"/>
        <w:spacing w:after="120"/>
        <w:ind w:right="29" w:firstLine="708"/>
        <w:jc w:val="both"/>
        <w:rPr>
          <w:rFonts w:ascii="Arial Narrow" w:hAnsi="Arial Narrow"/>
          <w:bCs/>
          <w:lang w:val="bg-BG"/>
        </w:rPr>
      </w:pPr>
      <w:r w:rsidRPr="00F10C2E">
        <w:rPr>
          <w:rFonts w:ascii="Arial Narrow" w:hAnsi="Arial Narrow"/>
          <w:bCs/>
          <w:lang w:val="bg-BG"/>
        </w:rPr>
        <w:t>Системата за идентификация на земеделските парцели (СИЗП) е основна част на Интегрираната система за администриране и контрол (ИСАК), на базата на която става заявяването на площи за подпомагане и се осъществява административен контрол по подадените заявления за подпомагане, базирани на площ. Поради това, данните в нея трябва да са максимално актуални и достоверни.</w:t>
      </w:r>
    </w:p>
    <w:p w14:paraId="285691D2" w14:textId="77777777" w:rsidR="00F10C2E" w:rsidRPr="00F10C2E" w:rsidRDefault="00F10C2E" w:rsidP="00F10C2E">
      <w:pPr>
        <w:autoSpaceDE w:val="0"/>
        <w:autoSpaceDN w:val="0"/>
        <w:adjustRightInd w:val="0"/>
        <w:spacing w:after="120"/>
        <w:ind w:right="29" w:firstLine="708"/>
        <w:jc w:val="both"/>
        <w:rPr>
          <w:rFonts w:ascii="Arial Narrow" w:hAnsi="Arial Narrow"/>
          <w:bCs/>
          <w:lang w:val="bg-BG"/>
        </w:rPr>
      </w:pPr>
      <w:r w:rsidRPr="00F10C2E">
        <w:rPr>
          <w:rFonts w:ascii="Arial Narrow" w:hAnsi="Arial Narrow"/>
          <w:bCs/>
          <w:lang w:val="bg-BG"/>
        </w:rPr>
        <w:t>През 2024 г. поддържането на данните в СИЗП обхваща следните дейности:</w:t>
      </w:r>
    </w:p>
    <w:p w14:paraId="1C24F22B" w14:textId="77777777" w:rsidR="00F10C2E" w:rsidRPr="00F10C2E" w:rsidRDefault="00F10C2E" w:rsidP="00F10C2E">
      <w:pPr>
        <w:autoSpaceDE w:val="0"/>
        <w:autoSpaceDN w:val="0"/>
        <w:adjustRightInd w:val="0"/>
        <w:spacing w:after="120"/>
        <w:ind w:right="29" w:firstLine="708"/>
        <w:jc w:val="both"/>
        <w:rPr>
          <w:rFonts w:ascii="Arial Narrow" w:hAnsi="Arial Narrow"/>
          <w:bCs/>
          <w:lang w:val="bg-BG"/>
        </w:rPr>
      </w:pPr>
      <w:r w:rsidRPr="00F10C2E">
        <w:rPr>
          <w:rFonts w:ascii="Arial Narrow" w:hAnsi="Arial Narrow"/>
          <w:bCs/>
          <w:lang w:val="bg-BG"/>
        </w:rPr>
        <w:t>Актуализация на цифровата ортофотокарта (ЦОФК) на страната по самолетно заснемане през 2024 г. е 32,62% (35 087,46 кв. км);</w:t>
      </w:r>
    </w:p>
    <w:p w14:paraId="506B1D08" w14:textId="77777777" w:rsidR="00F10C2E" w:rsidRPr="00F10C2E" w:rsidRDefault="00F10C2E" w:rsidP="00E016BF">
      <w:pPr>
        <w:numPr>
          <w:ilvl w:val="0"/>
          <w:numId w:val="26"/>
        </w:numPr>
        <w:overflowPunct w:val="0"/>
        <w:autoSpaceDE w:val="0"/>
        <w:autoSpaceDN w:val="0"/>
        <w:adjustRightInd w:val="0"/>
        <w:spacing w:after="120"/>
        <w:ind w:left="714" w:hanging="357"/>
        <w:jc w:val="both"/>
        <w:textAlignment w:val="baseline"/>
        <w:rPr>
          <w:rFonts w:ascii="Arial Narrow" w:hAnsi="Arial Narrow" w:cs="ArialNarrow"/>
          <w:lang w:val="bg-BG"/>
        </w:rPr>
      </w:pPr>
      <w:r w:rsidRPr="00F10C2E">
        <w:rPr>
          <w:rFonts w:ascii="Arial Narrow" w:hAnsi="Arial Narrow" w:cs="ArialNarrow"/>
          <w:lang w:val="bg-BG"/>
        </w:rPr>
        <w:t>Актуализация на физическите блокове по новата ЦОФК – граници, начин на трайно ползване,</w:t>
      </w:r>
      <w:r w:rsidRPr="00F10C2E">
        <w:rPr>
          <w:rFonts w:ascii="Verdana" w:hAnsi="Verdana" w:cs="Arial"/>
          <w:sz w:val="20"/>
          <w:szCs w:val="20"/>
          <w:lang w:val="bg-BG"/>
        </w:rPr>
        <w:t xml:space="preserve"> </w:t>
      </w:r>
      <w:r w:rsidRPr="00F10C2E">
        <w:rPr>
          <w:rFonts w:ascii="Arial Narrow" w:hAnsi="Arial Narrow" w:cs="ArialNarrow"/>
          <w:lang w:val="bg-BG"/>
        </w:rPr>
        <w:t>които се използват при подаване на заявления за подпомагане и извършване на административни проверки по тях;</w:t>
      </w:r>
    </w:p>
    <w:p w14:paraId="3845ABB3" w14:textId="77777777" w:rsidR="00F10C2E" w:rsidRPr="00F10C2E" w:rsidRDefault="00F10C2E" w:rsidP="00E016BF">
      <w:pPr>
        <w:numPr>
          <w:ilvl w:val="0"/>
          <w:numId w:val="26"/>
        </w:numPr>
        <w:overflowPunct w:val="0"/>
        <w:autoSpaceDE w:val="0"/>
        <w:autoSpaceDN w:val="0"/>
        <w:adjustRightInd w:val="0"/>
        <w:spacing w:after="120"/>
        <w:ind w:left="714" w:hanging="357"/>
        <w:jc w:val="both"/>
        <w:textAlignment w:val="baseline"/>
        <w:rPr>
          <w:rFonts w:ascii="Arial Narrow" w:hAnsi="Arial Narrow" w:cs="ArialNarrow"/>
          <w:lang w:val="bg-BG"/>
        </w:rPr>
      </w:pPr>
      <w:r w:rsidRPr="00F10C2E">
        <w:rPr>
          <w:rFonts w:ascii="Arial Narrow" w:hAnsi="Arial Narrow" w:cs="ArialNarrow"/>
          <w:lang w:val="bg-BG"/>
        </w:rPr>
        <w:lastRenderedPageBreak/>
        <w:t xml:space="preserve">Извършване на теренни проверки, с използване на GNSS-устройства, за измерване и заснемане на проверяваните физически блокове с обща площ 362 206,37 ха за 2024 г. (13 282 физически блока); </w:t>
      </w:r>
    </w:p>
    <w:p w14:paraId="63D8CC2A" w14:textId="77777777" w:rsidR="00F10C2E" w:rsidRPr="00F10C2E" w:rsidRDefault="00F10C2E" w:rsidP="00E016BF">
      <w:pPr>
        <w:numPr>
          <w:ilvl w:val="0"/>
          <w:numId w:val="26"/>
        </w:numPr>
        <w:overflowPunct w:val="0"/>
        <w:autoSpaceDE w:val="0"/>
        <w:autoSpaceDN w:val="0"/>
        <w:adjustRightInd w:val="0"/>
        <w:spacing w:after="120"/>
        <w:ind w:left="714" w:hanging="357"/>
        <w:jc w:val="both"/>
        <w:textAlignment w:val="baseline"/>
        <w:rPr>
          <w:rFonts w:ascii="Arial Narrow" w:hAnsi="Arial Narrow" w:cs="ArialNarrow"/>
          <w:lang w:val="bg-BG"/>
        </w:rPr>
      </w:pPr>
      <w:r w:rsidRPr="00F10C2E">
        <w:rPr>
          <w:rFonts w:ascii="Arial Narrow" w:hAnsi="Arial Narrow" w:cs="ArialNarrow"/>
          <w:lang w:val="bg-BG"/>
        </w:rPr>
        <w:t>Отразяване на констатациите и измерванията от теренните проверки в базите данни на СИЗП;</w:t>
      </w:r>
    </w:p>
    <w:p w14:paraId="0F1D54CE" w14:textId="77777777" w:rsidR="00F10C2E" w:rsidRPr="00F10C2E" w:rsidRDefault="00F10C2E" w:rsidP="00E016BF">
      <w:pPr>
        <w:numPr>
          <w:ilvl w:val="0"/>
          <w:numId w:val="26"/>
        </w:numPr>
        <w:overflowPunct w:val="0"/>
        <w:autoSpaceDE w:val="0"/>
        <w:autoSpaceDN w:val="0"/>
        <w:adjustRightInd w:val="0"/>
        <w:spacing w:after="120"/>
        <w:ind w:left="714" w:hanging="357"/>
        <w:jc w:val="both"/>
        <w:textAlignment w:val="baseline"/>
        <w:rPr>
          <w:rFonts w:ascii="Arial Narrow" w:hAnsi="Arial Narrow" w:cs="ArialNarrow"/>
          <w:lang w:val="bg-BG"/>
        </w:rPr>
      </w:pPr>
      <w:r w:rsidRPr="00F10C2E">
        <w:rPr>
          <w:rFonts w:ascii="Arial Narrow" w:hAnsi="Arial Narrow" w:cs="ArialNarrow"/>
          <w:lang w:val="bg-BG"/>
        </w:rPr>
        <w:t>Актуализация на цифрови данни за стабилни във времето ландшафтни елементи в земеделски земи, като част от изискванията към информацията, съдържаща се в СИЗП;</w:t>
      </w:r>
    </w:p>
    <w:p w14:paraId="734B2BBD" w14:textId="77777777" w:rsidR="00F10C2E" w:rsidRPr="00F10C2E" w:rsidRDefault="00F10C2E" w:rsidP="00E016BF">
      <w:pPr>
        <w:numPr>
          <w:ilvl w:val="0"/>
          <w:numId w:val="26"/>
        </w:numPr>
        <w:overflowPunct w:val="0"/>
        <w:autoSpaceDE w:val="0"/>
        <w:autoSpaceDN w:val="0"/>
        <w:adjustRightInd w:val="0"/>
        <w:spacing w:after="120"/>
        <w:ind w:left="714" w:hanging="357"/>
        <w:jc w:val="both"/>
        <w:textAlignment w:val="baseline"/>
        <w:rPr>
          <w:rFonts w:ascii="Arial Narrow" w:hAnsi="Arial Narrow" w:cs="ArialNarrow"/>
          <w:lang w:val="bg-BG"/>
        </w:rPr>
      </w:pPr>
      <w:r w:rsidRPr="00F10C2E">
        <w:rPr>
          <w:rFonts w:ascii="Arial Narrow" w:hAnsi="Arial Narrow" w:cs="ArialNarrow"/>
          <w:lang w:val="bg-BG"/>
        </w:rPr>
        <w:t xml:space="preserve">Извършване на оценка на качеството на данните в системата и изготвяне на годишния доклад за състоянието на СИЗП,  като част от Интегрираната система за администриране и контрол до Европейската комисия; </w:t>
      </w:r>
    </w:p>
    <w:p w14:paraId="25D9E7C0" w14:textId="77777777" w:rsidR="00F10C2E" w:rsidRPr="00F10C2E" w:rsidRDefault="00F10C2E" w:rsidP="00E016BF">
      <w:pPr>
        <w:numPr>
          <w:ilvl w:val="0"/>
          <w:numId w:val="26"/>
        </w:numPr>
        <w:overflowPunct w:val="0"/>
        <w:autoSpaceDE w:val="0"/>
        <w:autoSpaceDN w:val="0"/>
        <w:adjustRightInd w:val="0"/>
        <w:spacing w:after="120"/>
        <w:ind w:left="714" w:hanging="357"/>
        <w:jc w:val="both"/>
        <w:textAlignment w:val="baseline"/>
        <w:rPr>
          <w:rFonts w:ascii="Arial Narrow" w:hAnsi="Arial Narrow" w:cs="ArialNarrow"/>
          <w:lang w:val="bg-BG"/>
        </w:rPr>
      </w:pPr>
      <w:r w:rsidRPr="00F10C2E">
        <w:rPr>
          <w:rFonts w:ascii="Arial Narrow" w:hAnsi="Arial Narrow" w:cs="ArialNarrow"/>
          <w:lang w:val="bg-BG"/>
        </w:rPr>
        <w:t>Актуализация на специализиран слой „Постоянно затревени площи“ чрез издаване на заповеди по индивидуални заявления.</w:t>
      </w:r>
    </w:p>
    <w:p w14:paraId="339C6E6B" w14:textId="77777777" w:rsidR="00F10C2E" w:rsidRPr="00F10C2E" w:rsidRDefault="00F10C2E" w:rsidP="00F10C2E">
      <w:pPr>
        <w:spacing w:after="120"/>
        <w:ind w:right="282" w:firstLine="720"/>
        <w:jc w:val="both"/>
        <w:rPr>
          <w:rFonts w:ascii="Arial Narrow" w:hAnsi="Arial Narrow"/>
          <w:lang w:val="bg-BG"/>
        </w:rPr>
      </w:pPr>
      <w:r w:rsidRPr="00F10C2E">
        <w:rPr>
          <w:rFonts w:ascii="Arial Narrow" w:hAnsi="Arial Narrow"/>
          <w:lang w:val="bg-BG"/>
        </w:rPr>
        <w:t>Планираните дейности през 2025 г., свързани с обновяване и поддържане на данните в СИЗП включват:</w:t>
      </w:r>
    </w:p>
    <w:p w14:paraId="1344C528" w14:textId="77777777" w:rsidR="00F10C2E" w:rsidRPr="00F10C2E" w:rsidRDefault="00F10C2E" w:rsidP="00E016BF">
      <w:pPr>
        <w:numPr>
          <w:ilvl w:val="0"/>
          <w:numId w:val="26"/>
        </w:numPr>
        <w:overflowPunct w:val="0"/>
        <w:autoSpaceDE w:val="0"/>
        <w:autoSpaceDN w:val="0"/>
        <w:adjustRightInd w:val="0"/>
        <w:spacing w:after="120"/>
        <w:ind w:left="714" w:hanging="357"/>
        <w:jc w:val="both"/>
        <w:textAlignment w:val="baseline"/>
        <w:rPr>
          <w:rFonts w:ascii="Arial Narrow" w:hAnsi="Arial Narrow" w:cs="ArialNarrow"/>
          <w:lang w:val="bg-BG"/>
        </w:rPr>
      </w:pPr>
      <w:r w:rsidRPr="00F10C2E">
        <w:rPr>
          <w:rFonts w:ascii="Arial Narrow" w:hAnsi="Arial Narrow" w:cs="ArialNarrow"/>
          <w:lang w:val="bg-BG"/>
        </w:rPr>
        <w:t>Самолетно заснемане на 41 276, 90 кв. км, което е 37,20% от територията на страната;</w:t>
      </w:r>
    </w:p>
    <w:p w14:paraId="504C518B" w14:textId="77777777" w:rsidR="00F10C2E" w:rsidRPr="00F10C2E" w:rsidRDefault="00F10C2E" w:rsidP="00E016BF">
      <w:pPr>
        <w:numPr>
          <w:ilvl w:val="0"/>
          <w:numId w:val="26"/>
        </w:numPr>
        <w:overflowPunct w:val="0"/>
        <w:autoSpaceDE w:val="0"/>
        <w:autoSpaceDN w:val="0"/>
        <w:adjustRightInd w:val="0"/>
        <w:spacing w:after="120"/>
        <w:ind w:left="714" w:hanging="357"/>
        <w:jc w:val="both"/>
        <w:textAlignment w:val="baseline"/>
        <w:rPr>
          <w:rFonts w:ascii="Arial Narrow" w:hAnsi="Arial Narrow" w:cs="ArialNarrow"/>
          <w:lang w:val="bg-BG"/>
        </w:rPr>
      </w:pPr>
      <w:r w:rsidRPr="00F10C2E">
        <w:rPr>
          <w:rFonts w:ascii="Arial Narrow" w:hAnsi="Arial Narrow" w:cs="ArialNarrow"/>
          <w:lang w:val="bg-BG"/>
        </w:rPr>
        <w:t>Актуализиране на данните за граници и начин на трайно ползване на физически блокове;</w:t>
      </w:r>
    </w:p>
    <w:p w14:paraId="1AE11C50" w14:textId="77777777" w:rsidR="00F10C2E" w:rsidRPr="00F10C2E" w:rsidRDefault="00F10C2E" w:rsidP="00E016BF">
      <w:pPr>
        <w:numPr>
          <w:ilvl w:val="0"/>
          <w:numId w:val="26"/>
        </w:numPr>
        <w:overflowPunct w:val="0"/>
        <w:autoSpaceDE w:val="0"/>
        <w:autoSpaceDN w:val="0"/>
        <w:adjustRightInd w:val="0"/>
        <w:spacing w:after="120"/>
        <w:ind w:left="714" w:hanging="357"/>
        <w:jc w:val="both"/>
        <w:textAlignment w:val="baseline"/>
        <w:rPr>
          <w:rFonts w:ascii="Arial Narrow" w:hAnsi="Arial Narrow" w:cs="ArialNarrow"/>
          <w:lang w:val="bg-BG"/>
        </w:rPr>
      </w:pPr>
      <w:r w:rsidRPr="00F10C2E">
        <w:rPr>
          <w:rFonts w:ascii="Arial Narrow" w:hAnsi="Arial Narrow" w:cs="ArialNarrow"/>
          <w:lang w:val="bg-BG"/>
        </w:rPr>
        <w:t>Отразяване констатациите и измерванията от теренни проверки в базите данни на СИЗП;</w:t>
      </w:r>
    </w:p>
    <w:p w14:paraId="4907E23C" w14:textId="77777777" w:rsidR="00F10C2E" w:rsidRPr="00F10C2E" w:rsidRDefault="00F10C2E" w:rsidP="00E016BF">
      <w:pPr>
        <w:numPr>
          <w:ilvl w:val="0"/>
          <w:numId w:val="26"/>
        </w:numPr>
        <w:overflowPunct w:val="0"/>
        <w:autoSpaceDE w:val="0"/>
        <w:autoSpaceDN w:val="0"/>
        <w:adjustRightInd w:val="0"/>
        <w:spacing w:after="120"/>
        <w:ind w:left="714" w:hanging="357"/>
        <w:jc w:val="both"/>
        <w:textAlignment w:val="baseline"/>
        <w:rPr>
          <w:rFonts w:ascii="Arial Narrow" w:hAnsi="Arial Narrow" w:cs="ArialNarrow"/>
          <w:lang w:val="bg-BG"/>
        </w:rPr>
      </w:pPr>
      <w:r w:rsidRPr="00F10C2E">
        <w:rPr>
          <w:rFonts w:ascii="Arial Narrow" w:hAnsi="Arial Narrow" w:cs="ArialNarrow"/>
          <w:lang w:val="bg-BG"/>
        </w:rPr>
        <w:t>Създаване и актуализация на данни за стабилни във времето ландшафтни елементи;</w:t>
      </w:r>
    </w:p>
    <w:p w14:paraId="4E7EE1FA" w14:textId="77777777" w:rsidR="00F10C2E" w:rsidRPr="00F10C2E" w:rsidRDefault="00F10C2E" w:rsidP="00E016BF">
      <w:pPr>
        <w:numPr>
          <w:ilvl w:val="0"/>
          <w:numId w:val="26"/>
        </w:numPr>
        <w:overflowPunct w:val="0"/>
        <w:autoSpaceDE w:val="0"/>
        <w:autoSpaceDN w:val="0"/>
        <w:adjustRightInd w:val="0"/>
        <w:spacing w:after="120"/>
        <w:ind w:left="714" w:hanging="357"/>
        <w:jc w:val="both"/>
        <w:textAlignment w:val="baseline"/>
        <w:rPr>
          <w:rFonts w:ascii="Arial Narrow" w:hAnsi="Arial Narrow" w:cs="ArialNarrow"/>
          <w:lang w:val="bg-BG"/>
        </w:rPr>
      </w:pPr>
      <w:r w:rsidRPr="00F10C2E">
        <w:rPr>
          <w:rFonts w:ascii="Arial Narrow" w:hAnsi="Arial Narrow" w:cs="ArialNarrow"/>
          <w:lang w:val="bg-BG"/>
        </w:rPr>
        <w:t>Актуализация на специализиран слой „Постоянно затревени площи“ чрез издаване на заповеди по индивидуални заявления;</w:t>
      </w:r>
    </w:p>
    <w:p w14:paraId="74B006EA" w14:textId="77777777" w:rsidR="00F10C2E" w:rsidRPr="00F10C2E" w:rsidRDefault="00F10C2E" w:rsidP="00E016BF">
      <w:pPr>
        <w:numPr>
          <w:ilvl w:val="0"/>
          <w:numId w:val="26"/>
        </w:numPr>
        <w:overflowPunct w:val="0"/>
        <w:autoSpaceDE w:val="0"/>
        <w:autoSpaceDN w:val="0"/>
        <w:adjustRightInd w:val="0"/>
        <w:spacing w:after="120"/>
        <w:ind w:left="714" w:hanging="357"/>
        <w:jc w:val="both"/>
        <w:textAlignment w:val="baseline"/>
        <w:rPr>
          <w:rFonts w:ascii="Arial Narrow" w:hAnsi="Arial Narrow" w:cs="ArialNarrow"/>
          <w:lang w:val="bg-BG"/>
        </w:rPr>
      </w:pPr>
      <w:r w:rsidRPr="00F10C2E">
        <w:rPr>
          <w:rFonts w:ascii="Arial Narrow" w:hAnsi="Arial Narrow" w:cs="ArialNarrow"/>
          <w:lang w:val="bg-BG"/>
        </w:rPr>
        <w:t>Извършване на оценка на качеството на данните в СИЗП и подготовка на доклад за оценка.</w:t>
      </w:r>
    </w:p>
    <w:p w14:paraId="200629B5" w14:textId="77777777" w:rsidR="00F10C2E" w:rsidRPr="00F10C2E" w:rsidRDefault="00B95F91" w:rsidP="00F10C2E">
      <w:pPr>
        <w:pStyle w:val="ListParagraph"/>
        <w:numPr>
          <w:ilvl w:val="1"/>
          <w:numId w:val="13"/>
        </w:numPr>
        <w:tabs>
          <w:tab w:val="clear" w:pos="750"/>
        </w:tabs>
        <w:spacing w:after="120"/>
        <w:ind w:left="540" w:hanging="180"/>
        <w:contextualSpacing w:val="0"/>
        <w:outlineLvl w:val="0"/>
        <w:rPr>
          <w:rFonts w:ascii="Arial Narrow" w:hAnsi="Arial Narrow" w:cs="ArialNarrow"/>
          <w:lang w:val="bg-BG"/>
        </w:rPr>
      </w:pPr>
      <w:bookmarkStart w:id="11" w:name="_Toc182558497"/>
      <w:bookmarkStart w:id="12" w:name="_Toc182563925"/>
      <w:bookmarkStart w:id="13" w:name="_Toc119489835"/>
      <w:bookmarkStart w:id="14" w:name="_Toc210747525"/>
      <w:bookmarkEnd w:id="11"/>
      <w:bookmarkEnd w:id="12"/>
      <w:r w:rsidRPr="00F10C2E">
        <w:rPr>
          <w:rFonts w:ascii="Arial Narrow" w:hAnsi="Arial Narrow"/>
          <w:b/>
          <w:lang w:val="bg-BG"/>
        </w:rPr>
        <w:t>Регистрация на земеделски стопани</w:t>
      </w:r>
      <w:bookmarkEnd w:id="13"/>
      <w:bookmarkEnd w:id="14"/>
    </w:p>
    <w:p w14:paraId="277AD168" w14:textId="77777777" w:rsidR="00F10C2E" w:rsidRPr="00F10C2E" w:rsidRDefault="00F10C2E" w:rsidP="00F10C2E">
      <w:pPr>
        <w:autoSpaceDE w:val="0"/>
        <w:autoSpaceDN w:val="0"/>
        <w:adjustRightInd w:val="0"/>
        <w:spacing w:after="120"/>
        <w:ind w:right="29" w:firstLine="708"/>
        <w:jc w:val="both"/>
        <w:rPr>
          <w:rFonts w:ascii="Arial Narrow" w:hAnsi="Arial Narrow"/>
          <w:lang w:val="bg-BG"/>
        </w:rPr>
      </w:pPr>
      <w:r w:rsidRPr="00F10C2E">
        <w:rPr>
          <w:rFonts w:ascii="Arial Narrow" w:hAnsi="Arial Narrow"/>
          <w:lang w:val="bg-BG"/>
        </w:rPr>
        <w:t>Регистърът на земеделските стопани съгласно Наредба № 3 от 1999 г. служи за набиране на информация за земеделските стопани и за дейността им, с цел подпомагане на земеделието и развитието на селските райони.</w:t>
      </w:r>
    </w:p>
    <w:p w14:paraId="2DC055A7" w14:textId="77777777" w:rsidR="00F10C2E" w:rsidRPr="00F10C2E" w:rsidRDefault="00F10C2E" w:rsidP="00F10C2E">
      <w:pPr>
        <w:autoSpaceDE w:val="0"/>
        <w:autoSpaceDN w:val="0"/>
        <w:adjustRightInd w:val="0"/>
        <w:spacing w:after="120"/>
        <w:ind w:right="29" w:firstLine="708"/>
        <w:jc w:val="both"/>
        <w:rPr>
          <w:rFonts w:ascii="Arial Narrow" w:hAnsi="Arial Narrow"/>
          <w:lang w:val="bg-BG"/>
        </w:rPr>
      </w:pPr>
      <w:r w:rsidRPr="00F10C2E">
        <w:rPr>
          <w:rFonts w:ascii="Arial Narrow" w:hAnsi="Arial Narrow"/>
          <w:lang w:val="bg-BG"/>
        </w:rPr>
        <w:t>Дейността по поддържане на регистъра на земеделските стопани обхваща регистрация на нови земеделски стопани, пререгистрация и актуализиране на данните за вече регистрирани такива, както и отписване на земеделски стопани при прекратяване на дейността им.</w:t>
      </w:r>
    </w:p>
    <w:p w14:paraId="46A2BD76" w14:textId="77777777" w:rsidR="00F10C2E" w:rsidRPr="00F10C2E" w:rsidRDefault="00F10C2E" w:rsidP="00F10C2E">
      <w:pPr>
        <w:autoSpaceDE w:val="0"/>
        <w:autoSpaceDN w:val="0"/>
        <w:adjustRightInd w:val="0"/>
        <w:spacing w:after="120"/>
        <w:ind w:right="29" w:firstLine="708"/>
        <w:jc w:val="both"/>
        <w:rPr>
          <w:rFonts w:ascii="Arial Narrow" w:hAnsi="Arial Narrow"/>
          <w:lang w:val="bg-BG"/>
        </w:rPr>
      </w:pPr>
      <w:r w:rsidRPr="00F10C2E">
        <w:rPr>
          <w:rFonts w:ascii="Arial Narrow" w:hAnsi="Arial Narrow"/>
          <w:lang w:val="bg-BG"/>
        </w:rPr>
        <w:t>През 2023/2024 стопанска година общият брой на регистрираните земеделските стопани е 67 742, а към м. юни 2025 г. - 66 310, като срокът за регистрация на нови земеделски стопани през 2024/2025 стопанска година е до 30.09.2025 г.</w:t>
      </w:r>
    </w:p>
    <w:p w14:paraId="6C4B30E1" w14:textId="77777777" w:rsidR="00F10C2E" w:rsidRPr="00F10C2E" w:rsidRDefault="00F10C2E" w:rsidP="00F10C2E">
      <w:pPr>
        <w:autoSpaceDE w:val="0"/>
        <w:autoSpaceDN w:val="0"/>
        <w:adjustRightInd w:val="0"/>
        <w:spacing w:after="120"/>
        <w:ind w:right="282"/>
        <w:jc w:val="both"/>
        <w:rPr>
          <w:rFonts w:ascii="Arial Narrow" w:hAnsi="Arial Narrow" w:cs="ArialNarrow-Bold"/>
          <w:b/>
          <w:bCs/>
          <w:lang w:val="bg-BG"/>
        </w:rPr>
      </w:pPr>
      <w:r w:rsidRPr="00F10C2E">
        <w:rPr>
          <w:rFonts w:ascii="Arial Narrow" w:hAnsi="Arial Narrow" w:cs="ArialNarrow-Bold"/>
          <w:b/>
          <w:bCs/>
          <w:lang w:val="bg-BG"/>
        </w:rPr>
        <w:t>Таблица ІІ.2. Земеделски стопани, регистрирани по реда на Наредба № 3/1999 г.</w:t>
      </w:r>
    </w:p>
    <w:tbl>
      <w:tblPr>
        <w:tblW w:w="5000" w:type="pct"/>
        <w:tblInd w:w="-5" w:type="dxa"/>
        <w:tblLook w:val="04A0" w:firstRow="1" w:lastRow="0" w:firstColumn="1" w:lastColumn="0" w:noHBand="0" w:noVBand="1"/>
      </w:tblPr>
      <w:tblGrid>
        <w:gridCol w:w="2477"/>
        <w:gridCol w:w="1221"/>
        <w:gridCol w:w="1221"/>
        <w:gridCol w:w="1220"/>
        <w:gridCol w:w="1220"/>
        <w:gridCol w:w="1220"/>
        <w:gridCol w:w="1221"/>
      </w:tblGrid>
      <w:tr w:rsidR="00F10C2E" w:rsidRPr="00F10C2E" w14:paraId="4A03E5D4" w14:textId="77777777" w:rsidTr="009F316F">
        <w:trPr>
          <w:trHeight w:val="415"/>
        </w:trPr>
        <w:tc>
          <w:tcPr>
            <w:tcW w:w="24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9F1FDA" w14:textId="77777777" w:rsidR="00F10C2E" w:rsidRPr="00F10C2E" w:rsidRDefault="00F10C2E" w:rsidP="00F10C2E">
            <w:pPr>
              <w:jc w:val="center"/>
              <w:rPr>
                <w:rFonts w:ascii="Arial Narrow" w:hAnsi="Arial Narrow" w:cs="Arial"/>
                <w:b/>
                <w:bCs/>
                <w:sz w:val="20"/>
                <w:szCs w:val="20"/>
                <w:lang w:val="bg-BG"/>
              </w:rPr>
            </w:pPr>
            <w:r w:rsidRPr="00F10C2E">
              <w:rPr>
                <w:rFonts w:ascii="Arial Narrow" w:hAnsi="Arial Narrow" w:cs="Arial"/>
                <w:b/>
                <w:bCs/>
                <w:sz w:val="20"/>
                <w:szCs w:val="20"/>
                <w:lang w:val="bg-BG"/>
              </w:rPr>
              <w:t>Стопанска година</w:t>
            </w:r>
          </w:p>
        </w:tc>
        <w:tc>
          <w:tcPr>
            <w:tcW w:w="1224" w:type="dxa"/>
            <w:tcBorders>
              <w:top w:val="single" w:sz="4" w:space="0" w:color="auto"/>
              <w:left w:val="nil"/>
              <w:bottom w:val="single" w:sz="4" w:space="0" w:color="auto"/>
              <w:right w:val="single" w:sz="4" w:space="0" w:color="auto"/>
            </w:tcBorders>
            <w:shd w:val="clear" w:color="auto" w:fill="auto"/>
            <w:vAlign w:val="center"/>
            <w:hideMark/>
          </w:tcPr>
          <w:p w14:paraId="4295A844" w14:textId="77777777" w:rsidR="00F10C2E" w:rsidRPr="00F10C2E" w:rsidRDefault="00F10C2E" w:rsidP="00F10C2E">
            <w:pPr>
              <w:jc w:val="center"/>
              <w:rPr>
                <w:rFonts w:ascii="Arial Narrow" w:hAnsi="Arial Narrow" w:cs="Arial"/>
                <w:b/>
                <w:bCs/>
                <w:sz w:val="20"/>
                <w:szCs w:val="20"/>
              </w:rPr>
            </w:pPr>
            <w:r w:rsidRPr="00F10C2E">
              <w:rPr>
                <w:rFonts w:ascii="Arial Narrow" w:hAnsi="Arial Narrow" w:cs="Arial"/>
                <w:b/>
                <w:bCs/>
                <w:sz w:val="20"/>
                <w:szCs w:val="20"/>
              </w:rPr>
              <w:t>2019/2020</w:t>
            </w:r>
          </w:p>
        </w:tc>
        <w:tc>
          <w:tcPr>
            <w:tcW w:w="1224" w:type="dxa"/>
            <w:tcBorders>
              <w:top w:val="single" w:sz="4" w:space="0" w:color="auto"/>
              <w:left w:val="nil"/>
              <w:bottom w:val="single" w:sz="4" w:space="0" w:color="auto"/>
              <w:right w:val="single" w:sz="4" w:space="0" w:color="auto"/>
            </w:tcBorders>
            <w:shd w:val="clear" w:color="auto" w:fill="auto"/>
            <w:vAlign w:val="center"/>
            <w:hideMark/>
          </w:tcPr>
          <w:p w14:paraId="026509C8" w14:textId="77777777" w:rsidR="00F10C2E" w:rsidRPr="00F10C2E" w:rsidRDefault="00F10C2E" w:rsidP="00F10C2E">
            <w:pPr>
              <w:jc w:val="center"/>
              <w:rPr>
                <w:rFonts w:ascii="Arial Narrow" w:hAnsi="Arial Narrow" w:cs="Arial"/>
                <w:b/>
                <w:bCs/>
                <w:sz w:val="20"/>
                <w:szCs w:val="20"/>
              </w:rPr>
            </w:pPr>
            <w:r w:rsidRPr="00F10C2E">
              <w:rPr>
                <w:rFonts w:ascii="Arial Narrow" w:hAnsi="Arial Narrow" w:cs="Arial"/>
                <w:b/>
                <w:bCs/>
                <w:sz w:val="20"/>
                <w:szCs w:val="20"/>
              </w:rPr>
              <w:t>2020/2021</w:t>
            </w:r>
          </w:p>
        </w:tc>
        <w:tc>
          <w:tcPr>
            <w:tcW w:w="1224" w:type="dxa"/>
            <w:tcBorders>
              <w:top w:val="single" w:sz="4" w:space="0" w:color="auto"/>
              <w:left w:val="nil"/>
              <w:bottom w:val="single" w:sz="4" w:space="0" w:color="auto"/>
              <w:right w:val="single" w:sz="4" w:space="0" w:color="auto"/>
            </w:tcBorders>
            <w:shd w:val="clear" w:color="auto" w:fill="auto"/>
            <w:vAlign w:val="center"/>
            <w:hideMark/>
          </w:tcPr>
          <w:p w14:paraId="7934DF4C" w14:textId="77777777" w:rsidR="00F10C2E" w:rsidRPr="00F10C2E" w:rsidRDefault="00F10C2E" w:rsidP="00F10C2E">
            <w:pPr>
              <w:jc w:val="center"/>
              <w:rPr>
                <w:rFonts w:ascii="Arial Narrow" w:hAnsi="Arial Narrow" w:cs="Arial"/>
                <w:b/>
                <w:bCs/>
                <w:sz w:val="20"/>
                <w:szCs w:val="20"/>
              </w:rPr>
            </w:pPr>
            <w:r w:rsidRPr="00F10C2E">
              <w:rPr>
                <w:rFonts w:ascii="Arial Narrow" w:hAnsi="Arial Narrow" w:cs="Arial"/>
                <w:b/>
                <w:bCs/>
                <w:sz w:val="20"/>
                <w:szCs w:val="20"/>
              </w:rPr>
              <w:t>2021/2022</w:t>
            </w:r>
          </w:p>
        </w:tc>
        <w:tc>
          <w:tcPr>
            <w:tcW w:w="1224" w:type="dxa"/>
            <w:tcBorders>
              <w:top w:val="single" w:sz="4" w:space="0" w:color="auto"/>
              <w:left w:val="nil"/>
              <w:bottom w:val="single" w:sz="4" w:space="0" w:color="auto"/>
              <w:right w:val="single" w:sz="4" w:space="0" w:color="auto"/>
            </w:tcBorders>
            <w:shd w:val="clear" w:color="auto" w:fill="auto"/>
            <w:vAlign w:val="center"/>
            <w:hideMark/>
          </w:tcPr>
          <w:p w14:paraId="7C6755CD" w14:textId="77777777" w:rsidR="00F10C2E" w:rsidRPr="00F10C2E" w:rsidRDefault="00F10C2E" w:rsidP="00F10C2E">
            <w:pPr>
              <w:jc w:val="center"/>
              <w:rPr>
                <w:rFonts w:ascii="Arial Narrow" w:hAnsi="Arial Narrow" w:cs="Arial"/>
                <w:b/>
                <w:bCs/>
                <w:sz w:val="20"/>
                <w:szCs w:val="20"/>
              </w:rPr>
            </w:pPr>
            <w:r w:rsidRPr="00F10C2E">
              <w:rPr>
                <w:rFonts w:ascii="Arial Narrow" w:hAnsi="Arial Narrow" w:cs="Arial"/>
                <w:b/>
                <w:bCs/>
                <w:sz w:val="20"/>
                <w:szCs w:val="20"/>
              </w:rPr>
              <w:t>2022/2023</w:t>
            </w:r>
          </w:p>
        </w:tc>
        <w:tc>
          <w:tcPr>
            <w:tcW w:w="1224" w:type="dxa"/>
            <w:tcBorders>
              <w:top w:val="single" w:sz="4" w:space="0" w:color="auto"/>
              <w:left w:val="nil"/>
              <w:bottom w:val="single" w:sz="4" w:space="0" w:color="auto"/>
              <w:right w:val="single" w:sz="4" w:space="0" w:color="auto"/>
            </w:tcBorders>
            <w:shd w:val="clear" w:color="auto" w:fill="auto"/>
            <w:vAlign w:val="center"/>
            <w:hideMark/>
          </w:tcPr>
          <w:p w14:paraId="23539FAC" w14:textId="77777777" w:rsidR="00F10C2E" w:rsidRPr="00F10C2E" w:rsidRDefault="00F10C2E" w:rsidP="00F10C2E">
            <w:pPr>
              <w:jc w:val="center"/>
              <w:rPr>
                <w:rFonts w:ascii="Arial Narrow" w:hAnsi="Arial Narrow" w:cs="Arial"/>
                <w:b/>
                <w:bCs/>
                <w:sz w:val="20"/>
                <w:szCs w:val="20"/>
              </w:rPr>
            </w:pPr>
            <w:r w:rsidRPr="00F10C2E">
              <w:rPr>
                <w:rFonts w:ascii="Arial Narrow" w:hAnsi="Arial Narrow" w:cs="Arial"/>
                <w:b/>
                <w:bCs/>
                <w:sz w:val="20"/>
                <w:szCs w:val="20"/>
              </w:rPr>
              <w:t>2023/2024</w:t>
            </w:r>
          </w:p>
        </w:tc>
        <w:tc>
          <w:tcPr>
            <w:tcW w:w="1224" w:type="dxa"/>
            <w:tcBorders>
              <w:top w:val="single" w:sz="4" w:space="0" w:color="auto"/>
              <w:left w:val="nil"/>
              <w:bottom w:val="single" w:sz="4" w:space="0" w:color="auto"/>
              <w:right w:val="single" w:sz="4" w:space="0" w:color="auto"/>
            </w:tcBorders>
            <w:shd w:val="clear" w:color="auto" w:fill="auto"/>
            <w:vAlign w:val="center"/>
            <w:hideMark/>
          </w:tcPr>
          <w:p w14:paraId="5A21493F" w14:textId="77777777" w:rsidR="00F10C2E" w:rsidRPr="00F10C2E" w:rsidRDefault="00F10C2E" w:rsidP="00F10C2E">
            <w:pPr>
              <w:jc w:val="center"/>
              <w:rPr>
                <w:rFonts w:ascii="Arial Narrow" w:hAnsi="Arial Narrow" w:cs="Arial"/>
                <w:b/>
                <w:bCs/>
                <w:sz w:val="20"/>
                <w:szCs w:val="20"/>
              </w:rPr>
            </w:pPr>
            <w:r w:rsidRPr="00F10C2E">
              <w:rPr>
                <w:rFonts w:ascii="Arial Narrow" w:hAnsi="Arial Narrow" w:cs="Arial"/>
                <w:b/>
                <w:bCs/>
                <w:sz w:val="20"/>
                <w:szCs w:val="20"/>
              </w:rPr>
              <w:t>2024/2025*</w:t>
            </w:r>
          </w:p>
        </w:tc>
      </w:tr>
      <w:tr w:rsidR="00F10C2E" w:rsidRPr="00F10C2E" w14:paraId="7A9FB838" w14:textId="77777777" w:rsidTr="009F316F">
        <w:trPr>
          <w:trHeight w:val="645"/>
        </w:trPr>
        <w:tc>
          <w:tcPr>
            <w:tcW w:w="2495" w:type="dxa"/>
            <w:tcBorders>
              <w:top w:val="nil"/>
              <w:left w:val="single" w:sz="4" w:space="0" w:color="auto"/>
              <w:bottom w:val="single" w:sz="4" w:space="0" w:color="auto"/>
              <w:right w:val="single" w:sz="4" w:space="0" w:color="auto"/>
            </w:tcBorders>
            <w:shd w:val="clear" w:color="auto" w:fill="auto"/>
            <w:vAlign w:val="center"/>
            <w:hideMark/>
          </w:tcPr>
          <w:p w14:paraId="1294DE18" w14:textId="77777777" w:rsidR="00F10C2E" w:rsidRPr="00F10C2E" w:rsidRDefault="00F10C2E" w:rsidP="00F10C2E">
            <w:pPr>
              <w:rPr>
                <w:rFonts w:ascii="Arial Narrow" w:hAnsi="Arial Narrow" w:cs="Arial"/>
                <w:sz w:val="20"/>
                <w:szCs w:val="20"/>
                <w:lang w:val="bg-BG"/>
              </w:rPr>
            </w:pPr>
            <w:r w:rsidRPr="00F10C2E">
              <w:rPr>
                <w:rFonts w:ascii="Arial Narrow" w:hAnsi="Arial Narrow" w:cs="Arial"/>
                <w:sz w:val="20"/>
                <w:szCs w:val="20"/>
                <w:lang w:val="bg-BG"/>
              </w:rPr>
              <w:t>Общ брой регистрирани земеделски стопани</w:t>
            </w:r>
          </w:p>
        </w:tc>
        <w:tc>
          <w:tcPr>
            <w:tcW w:w="1224" w:type="dxa"/>
            <w:tcBorders>
              <w:top w:val="nil"/>
              <w:left w:val="nil"/>
              <w:bottom w:val="single" w:sz="4" w:space="0" w:color="auto"/>
              <w:right w:val="single" w:sz="4" w:space="0" w:color="auto"/>
            </w:tcBorders>
            <w:shd w:val="clear" w:color="auto" w:fill="auto"/>
            <w:vAlign w:val="center"/>
            <w:hideMark/>
          </w:tcPr>
          <w:p w14:paraId="7418FDA8" w14:textId="77777777" w:rsidR="00F10C2E" w:rsidRPr="00F10C2E" w:rsidRDefault="00F10C2E" w:rsidP="00F10C2E">
            <w:pPr>
              <w:jc w:val="right"/>
              <w:rPr>
                <w:rFonts w:ascii="Arial Narrow" w:hAnsi="Arial Narrow" w:cs="Arial"/>
                <w:color w:val="000000"/>
                <w:sz w:val="20"/>
                <w:szCs w:val="20"/>
              </w:rPr>
            </w:pPr>
            <w:r w:rsidRPr="00F10C2E">
              <w:rPr>
                <w:rFonts w:ascii="Arial Narrow" w:hAnsi="Arial Narrow" w:cs="Arial"/>
                <w:color w:val="000000"/>
                <w:sz w:val="20"/>
                <w:szCs w:val="20"/>
              </w:rPr>
              <w:t>80 905</w:t>
            </w:r>
          </w:p>
        </w:tc>
        <w:tc>
          <w:tcPr>
            <w:tcW w:w="1224" w:type="dxa"/>
            <w:tcBorders>
              <w:top w:val="nil"/>
              <w:left w:val="nil"/>
              <w:bottom w:val="single" w:sz="4" w:space="0" w:color="auto"/>
              <w:right w:val="single" w:sz="4" w:space="0" w:color="auto"/>
            </w:tcBorders>
            <w:shd w:val="clear" w:color="auto" w:fill="auto"/>
            <w:vAlign w:val="center"/>
            <w:hideMark/>
          </w:tcPr>
          <w:p w14:paraId="7DC8060C" w14:textId="77777777" w:rsidR="00F10C2E" w:rsidRPr="00F10C2E" w:rsidRDefault="00F10C2E" w:rsidP="00F10C2E">
            <w:pPr>
              <w:jc w:val="right"/>
              <w:rPr>
                <w:rFonts w:ascii="Arial Narrow" w:hAnsi="Arial Narrow" w:cs="Arial"/>
                <w:color w:val="000000"/>
                <w:sz w:val="20"/>
                <w:szCs w:val="20"/>
              </w:rPr>
            </w:pPr>
            <w:r w:rsidRPr="00F10C2E">
              <w:rPr>
                <w:rFonts w:ascii="Arial Narrow" w:hAnsi="Arial Narrow" w:cs="Arial"/>
                <w:color w:val="000000"/>
                <w:sz w:val="20"/>
                <w:szCs w:val="20"/>
              </w:rPr>
              <w:t>76 965</w:t>
            </w:r>
          </w:p>
        </w:tc>
        <w:tc>
          <w:tcPr>
            <w:tcW w:w="1224" w:type="dxa"/>
            <w:tcBorders>
              <w:top w:val="nil"/>
              <w:left w:val="nil"/>
              <w:bottom w:val="single" w:sz="4" w:space="0" w:color="auto"/>
              <w:right w:val="single" w:sz="4" w:space="0" w:color="auto"/>
            </w:tcBorders>
            <w:shd w:val="clear" w:color="auto" w:fill="auto"/>
            <w:vAlign w:val="center"/>
            <w:hideMark/>
          </w:tcPr>
          <w:p w14:paraId="7D9CE979" w14:textId="77777777" w:rsidR="00F10C2E" w:rsidRPr="00F10C2E" w:rsidRDefault="00F10C2E" w:rsidP="00F10C2E">
            <w:pPr>
              <w:jc w:val="right"/>
              <w:rPr>
                <w:rFonts w:ascii="Arial Narrow" w:hAnsi="Arial Narrow" w:cs="Arial"/>
                <w:color w:val="000000"/>
                <w:sz w:val="20"/>
                <w:szCs w:val="20"/>
              </w:rPr>
            </w:pPr>
            <w:r w:rsidRPr="00F10C2E">
              <w:rPr>
                <w:rFonts w:ascii="Arial Narrow" w:hAnsi="Arial Narrow" w:cs="Arial"/>
                <w:color w:val="000000"/>
                <w:sz w:val="20"/>
                <w:szCs w:val="20"/>
              </w:rPr>
              <w:t>72 371</w:t>
            </w:r>
          </w:p>
        </w:tc>
        <w:tc>
          <w:tcPr>
            <w:tcW w:w="1224" w:type="dxa"/>
            <w:tcBorders>
              <w:top w:val="nil"/>
              <w:left w:val="nil"/>
              <w:bottom w:val="single" w:sz="4" w:space="0" w:color="auto"/>
              <w:right w:val="single" w:sz="4" w:space="0" w:color="auto"/>
            </w:tcBorders>
            <w:shd w:val="clear" w:color="auto" w:fill="auto"/>
            <w:vAlign w:val="center"/>
            <w:hideMark/>
          </w:tcPr>
          <w:p w14:paraId="07B5D58D" w14:textId="77777777" w:rsidR="00F10C2E" w:rsidRPr="00F10C2E" w:rsidRDefault="00F10C2E" w:rsidP="00F10C2E">
            <w:pPr>
              <w:jc w:val="right"/>
              <w:rPr>
                <w:rFonts w:ascii="Arial Narrow" w:hAnsi="Arial Narrow" w:cs="Arial"/>
                <w:color w:val="000000"/>
                <w:sz w:val="20"/>
                <w:szCs w:val="20"/>
              </w:rPr>
            </w:pPr>
            <w:r w:rsidRPr="00F10C2E">
              <w:rPr>
                <w:rFonts w:ascii="Arial Narrow" w:hAnsi="Arial Narrow" w:cs="Arial"/>
                <w:color w:val="000000"/>
                <w:sz w:val="20"/>
                <w:szCs w:val="20"/>
              </w:rPr>
              <w:t>70 677</w:t>
            </w:r>
          </w:p>
        </w:tc>
        <w:tc>
          <w:tcPr>
            <w:tcW w:w="1224" w:type="dxa"/>
            <w:tcBorders>
              <w:top w:val="nil"/>
              <w:left w:val="nil"/>
              <w:bottom w:val="single" w:sz="4" w:space="0" w:color="auto"/>
              <w:right w:val="single" w:sz="4" w:space="0" w:color="auto"/>
            </w:tcBorders>
            <w:shd w:val="clear" w:color="auto" w:fill="auto"/>
            <w:vAlign w:val="center"/>
            <w:hideMark/>
          </w:tcPr>
          <w:p w14:paraId="65CE28CF" w14:textId="77777777" w:rsidR="00F10C2E" w:rsidRPr="00F10C2E" w:rsidRDefault="00F10C2E" w:rsidP="00F10C2E">
            <w:pPr>
              <w:jc w:val="right"/>
              <w:rPr>
                <w:rFonts w:ascii="Arial Narrow" w:hAnsi="Arial Narrow" w:cs="Arial"/>
                <w:color w:val="000000"/>
                <w:sz w:val="20"/>
                <w:szCs w:val="20"/>
              </w:rPr>
            </w:pPr>
            <w:r w:rsidRPr="00F10C2E">
              <w:rPr>
                <w:rFonts w:ascii="Arial Narrow" w:hAnsi="Arial Narrow" w:cs="Arial"/>
                <w:color w:val="000000"/>
                <w:sz w:val="20"/>
                <w:szCs w:val="20"/>
                <w:lang w:val="bg-BG"/>
              </w:rPr>
              <w:t>67 742</w:t>
            </w:r>
          </w:p>
        </w:tc>
        <w:tc>
          <w:tcPr>
            <w:tcW w:w="1224" w:type="dxa"/>
            <w:tcBorders>
              <w:top w:val="nil"/>
              <w:left w:val="nil"/>
              <w:bottom w:val="single" w:sz="4" w:space="0" w:color="auto"/>
              <w:right w:val="single" w:sz="4" w:space="0" w:color="auto"/>
            </w:tcBorders>
            <w:shd w:val="clear" w:color="auto" w:fill="auto"/>
            <w:vAlign w:val="center"/>
            <w:hideMark/>
          </w:tcPr>
          <w:p w14:paraId="31007BF2" w14:textId="77777777" w:rsidR="00F10C2E" w:rsidRPr="00F10C2E" w:rsidRDefault="00F10C2E" w:rsidP="00F10C2E">
            <w:pPr>
              <w:jc w:val="right"/>
              <w:rPr>
                <w:rFonts w:ascii="Arial Narrow" w:hAnsi="Arial Narrow" w:cs="Arial"/>
                <w:color w:val="000000"/>
                <w:sz w:val="20"/>
                <w:szCs w:val="20"/>
              </w:rPr>
            </w:pPr>
            <w:r w:rsidRPr="00F10C2E">
              <w:rPr>
                <w:rFonts w:ascii="Arial Narrow" w:hAnsi="Arial Narrow" w:cs="Arial"/>
                <w:color w:val="000000"/>
                <w:sz w:val="20"/>
                <w:szCs w:val="20"/>
                <w:lang w:val="bg-BG"/>
              </w:rPr>
              <w:t>66 310*</w:t>
            </w:r>
          </w:p>
        </w:tc>
      </w:tr>
    </w:tbl>
    <w:p w14:paraId="5C6B3D38" w14:textId="77777777" w:rsidR="00F10C2E" w:rsidRPr="00F10C2E" w:rsidRDefault="00F10C2E" w:rsidP="00F10C2E">
      <w:pPr>
        <w:ind w:right="282"/>
        <w:rPr>
          <w:rFonts w:ascii="Arial Narrow" w:hAnsi="Arial Narrow" w:cs="Arial"/>
          <w:sz w:val="18"/>
          <w:szCs w:val="18"/>
          <w:lang w:val="bg-BG" w:eastAsia="bg-BG"/>
        </w:rPr>
      </w:pPr>
      <w:r w:rsidRPr="00C52C52">
        <w:rPr>
          <w:rFonts w:ascii="Arial Narrow" w:hAnsi="Arial Narrow"/>
          <w:i/>
          <w:sz w:val="18"/>
          <w:szCs w:val="18"/>
          <w:lang w:val="bg-BG"/>
        </w:rPr>
        <w:t>Източник</w:t>
      </w:r>
      <w:r w:rsidRPr="00F10C2E">
        <w:rPr>
          <w:rFonts w:ascii="Arial Narrow" w:hAnsi="Arial Narrow"/>
          <w:b/>
          <w:i/>
          <w:sz w:val="18"/>
          <w:szCs w:val="18"/>
          <w:lang w:val="bg-BG"/>
        </w:rPr>
        <w:t xml:space="preserve">: </w:t>
      </w:r>
      <w:r w:rsidRPr="00F10C2E">
        <w:rPr>
          <w:rFonts w:ascii="Arial Narrow" w:hAnsi="Arial Narrow" w:cs="Arial"/>
          <w:sz w:val="18"/>
          <w:szCs w:val="18"/>
          <w:lang w:val="bg-BG" w:eastAsia="bg-BG"/>
        </w:rPr>
        <w:t xml:space="preserve"> </w:t>
      </w:r>
      <w:r w:rsidRPr="00F10C2E">
        <w:rPr>
          <w:rFonts w:ascii="Arial Narrow" w:hAnsi="Arial Narrow"/>
          <w:i/>
          <w:sz w:val="18"/>
          <w:szCs w:val="18"/>
          <w:lang w:val="bg-BG"/>
        </w:rPr>
        <w:t>МЗХ,  ДИЗП</w:t>
      </w:r>
    </w:p>
    <w:p w14:paraId="1918775F" w14:textId="77777777" w:rsidR="00F10C2E" w:rsidRPr="00F10C2E" w:rsidRDefault="00F10C2E" w:rsidP="00F10C2E">
      <w:pPr>
        <w:spacing w:after="120"/>
        <w:ind w:right="282"/>
        <w:jc w:val="both"/>
        <w:rPr>
          <w:rFonts w:ascii="Arial Narrow" w:hAnsi="Arial Narrow"/>
          <w:i/>
          <w:sz w:val="18"/>
          <w:szCs w:val="18"/>
          <w:lang w:val="bg-BG" w:eastAsia="bg-BG"/>
        </w:rPr>
      </w:pPr>
      <w:r w:rsidRPr="00F10C2E">
        <w:rPr>
          <w:rFonts w:ascii="Arial Narrow" w:hAnsi="Arial Narrow"/>
          <w:i/>
          <w:sz w:val="18"/>
          <w:szCs w:val="18"/>
          <w:lang w:val="bg-BG" w:eastAsia="bg-BG"/>
        </w:rPr>
        <w:t>*Данни към м. юни 2025 г.</w:t>
      </w:r>
    </w:p>
    <w:p w14:paraId="5AA82BCF" w14:textId="77777777" w:rsidR="00B95F91" w:rsidRPr="00283EDC" w:rsidRDefault="00F24FD2" w:rsidP="00B95F91">
      <w:pPr>
        <w:pStyle w:val="ListParagraph"/>
        <w:numPr>
          <w:ilvl w:val="1"/>
          <w:numId w:val="13"/>
        </w:numPr>
        <w:tabs>
          <w:tab w:val="clear" w:pos="750"/>
        </w:tabs>
        <w:spacing w:after="120"/>
        <w:ind w:left="540" w:hanging="180"/>
        <w:contextualSpacing w:val="0"/>
        <w:outlineLvl w:val="0"/>
        <w:rPr>
          <w:rFonts w:ascii="Arial Narrow" w:hAnsi="Arial Narrow"/>
          <w:i/>
          <w:sz w:val="18"/>
          <w:szCs w:val="18"/>
          <w:lang w:val="bg-BG" w:eastAsia="bg-BG"/>
        </w:rPr>
      </w:pPr>
      <w:bookmarkStart w:id="15" w:name="_Toc119489836"/>
      <w:r>
        <w:rPr>
          <w:rFonts w:ascii="Arial Narrow" w:hAnsi="Arial Narrow"/>
          <w:b/>
        </w:rPr>
        <w:t xml:space="preserve"> </w:t>
      </w:r>
      <w:bookmarkStart w:id="16" w:name="_Toc210747526"/>
      <w:r w:rsidR="00B95F91" w:rsidRPr="00283EDC">
        <w:rPr>
          <w:rFonts w:ascii="Arial Narrow" w:hAnsi="Arial Narrow"/>
          <w:b/>
          <w:lang w:val="bg-BG"/>
        </w:rPr>
        <w:t>Участие на Държавния поземлен фонд в поземлените отношения в България</w:t>
      </w:r>
      <w:bookmarkEnd w:id="15"/>
      <w:bookmarkEnd w:id="16"/>
    </w:p>
    <w:p w14:paraId="00A59C2A" w14:textId="77777777" w:rsidR="00283EDC" w:rsidRPr="00283EDC" w:rsidRDefault="00B95F91" w:rsidP="00283EDC">
      <w:pPr>
        <w:pStyle w:val="ListParagraph"/>
        <w:widowControl w:val="0"/>
        <w:numPr>
          <w:ilvl w:val="2"/>
          <w:numId w:val="13"/>
        </w:numPr>
        <w:tabs>
          <w:tab w:val="clear" w:pos="1260"/>
          <w:tab w:val="left" w:pos="990"/>
        </w:tabs>
        <w:spacing w:after="120"/>
        <w:ind w:left="792" w:hanging="366"/>
        <w:contextualSpacing w:val="0"/>
        <w:outlineLvl w:val="0"/>
        <w:rPr>
          <w:rFonts w:ascii="Arial Narrow" w:hAnsi="Arial Narrow"/>
          <w:b/>
        </w:rPr>
      </w:pPr>
      <w:bookmarkStart w:id="17" w:name="_Toc119489837"/>
      <w:bookmarkStart w:id="18" w:name="_Toc210747527"/>
      <w:r w:rsidRPr="00283EDC">
        <w:rPr>
          <w:rFonts w:ascii="Arial Narrow" w:hAnsi="Arial Narrow"/>
          <w:b/>
          <w:lang w:val="bg-BG"/>
        </w:rPr>
        <w:t>Предоставяне на имоти от Държавния поземлен фонд под наем или аренда</w:t>
      </w:r>
      <w:bookmarkEnd w:id="17"/>
      <w:bookmarkEnd w:id="18"/>
      <w:r w:rsidRPr="00283EDC">
        <w:rPr>
          <w:rFonts w:ascii="Arial Narrow" w:hAnsi="Arial Narrow"/>
          <w:b/>
          <w:lang w:val="bg-BG"/>
        </w:rPr>
        <w:t xml:space="preserve"> </w:t>
      </w:r>
    </w:p>
    <w:p w14:paraId="6C64A350" w14:textId="77777777" w:rsidR="00283EDC" w:rsidRPr="00283EDC" w:rsidRDefault="00283EDC" w:rsidP="00283EDC">
      <w:pPr>
        <w:widowControl w:val="0"/>
        <w:autoSpaceDE w:val="0"/>
        <w:autoSpaceDN w:val="0"/>
        <w:adjustRightInd w:val="0"/>
        <w:spacing w:after="120"/>
        <w:ind w:right="-1" w:firstLine="708"/>
        <w:jc w:val="both"/>
        <w:rPr>
          <w:rFonts w:ascii="Arial Narrow" w:hAnsi="Arial Narrow"/>
          <w:bCs/>
          <w:lang w:val="bg-BG"/>
        </w:rPr>
      </w:pPr>
      <w:r w:rsidRPr="00283EDC">
        <w:rPr>
          <w:rFonts w:ascii="Arial Narrow" w:hAnsi="Arial Narrow"/>
          <w:bCs/>
          <w:lang w:val="bg-BG"/>
        </w:rPr>
        <w:t>Земеделските земи от Държавния поземлен фонд (ДПФ) се предоставят за ползване под наем и аренда чрез търг съгласно разпоредбите на Закона за собствеността и ползването на земеделските земи (ЗСПЗЗ) и Правилника за прилагане на Закона за собствеността и ползването на земеделските земи (ППЗСПЗЗ). Към 2024 г. общият размер на предоставените под наем или аренда земеделски имоти от ДПФ на физически и юридически лица възлиза на 90 017 ха.</w:t>
      </w:r>
    </w:p>
    <w:p w14:paraId="6BDA2CC5" w14:textId="77777777" w:rsidR="00283EDC" w:rsidRPr="00283EDC" w:rsidRDefault="00283EDC" w:rsidP="00283EDC">
      <w:pPr>
        <w:widowControl w:val="0"/>
        <w:autoSpaceDE w:val="0"/>
        <w:autoSpaceDN w:val="0"/>
        <w:adjustRightInd w:val="0"/>
        <w:spacing w:after="120"/>
        <w:ind w:right="-1" w:firstLine="708"/>
        <w:jc w:val="both"/>
        <w:rPr>
          <w:rFonts w:ascii="Arial Narrow" w:hAnsi="Arial Narrow"/>
          <w:bCs/>
          <w:lang w:val="bg-BG"/>
        </w:rPr>
      </w:pPr>
      <w:r w:rsidRPr="00283EDC">
        <w:rPr>
          <w:rFonts w:ascii="Arial Narrow" w:hAnsi="Arial Narrow"/>
          <w:bCs/>
          <w:lang w:val="bg-BG"/>
        </w:rPr>
        <w:lastRenderedPageBreak/>
        <w:t>През 2024 г. на основание разпоредбите на чл. 24а, ал. 1 от ЗСПЗЗ и чл. 47б, ал. 1 от ППЗСПЗЗ, са проведени търгове за отдаване под наем и аренда на свободните земеделските земи от ДПФ в страната за стопанската 2024/2025 година. От обявените 51 598 ха свободни земеделски земи са спечелени 41 048 ха, като са сключени общо 2 366 договора за отдаване под наем/аренда.</w:t>
      </w:r>
    </w:p>
    <w:p w14:paraId="2BF47EEC" w14:textId="77777777" w:rsidR="00283EDC" w:rsidRPr="00283EDC" w:rsidRDefault="00B95F91" w:rsidP="00283EDC">
      <w:pPr>
        <w:pStyle w:val="ListParagraph"/>
        <w:widowControl w:val="0"/>
        <w:numPr>
          <w:ilvl w:val="2"/>
          <w:numId w:val="13"/>
        </w:numPr>
        <w:tabs>
          <w:tab w:val="clear" w:pos="1260"/>
          <w:tab w:val="left" w:pos="990"/>
        </w:tabs>
        <w:spacing w:after="120"/>
        <w:ind w:left="993" w:hanging="567"/>
        <w:contextualSpacing w:val="0"/>
        <w:jc w:val="both"/>
        <w:outlineLvl w:val="0"/>
        <w:rPr>
          <w:rFonts w:ascii="Arial Narrow" w:hAnsi="Arial Narrow"/>
          <w:b/>
          <w:lang w:val="bg-BG"/>
        </w:rPr>
      </w:pPr>
      <w:bookmarkStart w:id="19" w:name="_Toc119489838"/>
      <w:bookmarkStart w:id="20" w:name="_Toc210747528"/>
      <w:r w:rsidRPr="00283EDC">
        <w:rPr>
          <w:rFonts w:ascii="Arial Narrow" w:hAnsi="Arial Narrow"/>
          <w:b/>
          <w:lang w:val="bg-BG"/>
        </w:rPr>
        <w:t>Разпределение на пасища, мери и ливади от държавен и общински поземлен фонд по</w:t>
      </w:r>
      <w:r w:rsidRPr="00283EDC">
        <w:rPr>
          <w:rFonts w:ascii="Arial Narrow" w:hAnsi="Arial Narrow"/>
          <w:b/>
        </w:rPr>
        <w:t xml:space="preserve"> </w:t>
      </w:r>
      <w:r w:rsidRPr="00283EDC">
        <w:rPr>
          <w:rFonts w:ascii="Arial Narrow" w:hAnsi="Arial Narrow"/>
          <w:b/>
          <w:lang w:val="bg-BG"/>
        </w:rPr>
        <w:t>реда на чл. 37 и от ЗСПЗЗ</w:t>
      </w:r>
      <w:bookmarkEnd w:id="19"/>
      <w:bookmarkEnd w:id="20"/>
    </w:p>
    <w:p w14:paraId="5DB5F93A" w14:textId="77777777" w:rsidR="00283EDC" w:rsidRPr="00283EDC" w:rsidRDefault="00283EDC" w:rsidP="00283EDC">
      <w:pPr>
        <w:widowControl w:val="0"/>
        <w:autoSpaceDE w:val="0"/>
        <w:autoSpaceDN w:val="0"/>
        <w:adjustRightInd w:val="0"/>
        <w:spacing w:after="120"/>
        <w:ind w:right="-1" w:firstLine="708"/>
        <w:jc w:val="both"/>
        <w:rPr>
          <w:rFonts w:ascii="Arial Narrow" w:hAnsi="Arial Narrow"/>
          <w:bCs/>
          <w:lang w:val="bg-BG"/>
        </w:rPr>
      </w:pPr>
      <w:r w:rsidRPr="00283EDC">
        <w:rPr>
          <w:rFonts w:ascii="Arial Narrow" w:hAnsi="Arial Narrow"/>
          <w:bCs/>
          <w:lang w:val="bg-BG"/>
        </w:rPr>
        <w:t>Пасищата, мерите и ливадите от държавния и общинския поземлен фонд се отдават под наем или аренда на собственици или ползватели на животновъдни обекти с пасищни селскостопански животни, регистрирани в Интегрираната информационна система на БАБХ, съобразно броя и вида на регистрираните животни, по цени, определени по пазарен механизъм.</w:t>
      </w:r>
    </w:p>
    <w:p w14:paraId="29270994" w14:textId="77777777" w:rsidR="00283EDC" w:rsidRPr="00283EDC" w:rsidRDefault="00283EDC" w:rsidP="00283EDC">
      <w:pPr>
        <w:widowControl w:val="0"/>
        <w:autoSpaceDE w:val="0"/>
        <w:autoSpaceDN w:val="0"/>
        <w:adjustRightInd w:val="0"/>
        <w:spacing w:after="120"/>
        <w:ind w:right="-1" w:firstLine="708"/>
        <w:jc w:val="both"/>
        <w:rPr>
          <w:rFonts w:ascii="Arial Narrow" w:hAnsi="Arial Narrow"/>
          <w:bCs/>
          <w:lang w:val="bg-BG"/>
        </w:rPr>
      </w:pPr>
      <w:r w:rsidRPr="00283EDC">
        <w:rPr>
          <w:rFonts w:ascii="Arial Narrow" w:hAnsi="Arial Narrow"/>
          <w:bCs/>
          <w:lang w:val="bg-BG"/>
        </w:rPr>
        <w:t>Определените за стопанската 2023/2024 година площи от общинския поземлен фонд (ОПФ) са 145 992 ха за общо ползване и 367 113 ха за индивидуално ползване. Подадените заявления за разпределение са 3 788 броя за 123 477 ха, като са разпределени за общо ползване 76 887 ха и за индивидуално ползване 107 009 ха пасища, мери и ливади. Обявените със заповед на министъра на земеделието и храните пасища, мери и ливади от ДПФ възлизат на 28 120 ха, подадени са 272  заявления. Сключените договори за ползване на имоти от ДПФ, след разпределение са 129 броя за 3 138 ха. Проведените тръжни процедури по реда на чл. 37и, ал. 13 от ЗСПЗЗ и сключени едногодишни договори за наем за имоти от ДПФ са 202 броя за 7 168 ха.</w:t>
      </w:r>
    </w:p>
    <w:p w14:paraId="59A72EA2" w14:textId="77777777" w:rsidR="00283EDC" w:rsidRPr="00283EDC" w:rsidRDefault="00B95F91" w:rsidP="00283EDC">
      <w:pPr>
        <w:pStyle w:val="ListParagraph"/>
        <w:widowControl w:val="0"/>
        <w:numPr>
          <w:ilvl w:val="2"/>
          <w:numId w:val="13"/>
        </w:numPr>
        <w:tabs>
          <w:tab w:val="clear" w:pos="1260"/>
          <w:tab w:val="left" w:pos="990"/>
        </w:tabs>
        <w:spacing w:after="120"/>
        <w:ind w:left="993" w:hanging="567"/>
        <w:contextualSpacing w:val="0"/>
        <w:outlineLvl w:val="0"/>
        <w:rPr>
          <w:rFonts w:ascii="Arial Narrow" w:hAnsi="Arial Narrow"/>
          <w:bCs/>
          <w:lang w:val="bg-BG"/>
        </w:rPr>
      </w:pPr>
      <w:bookmarkStart w:id="21" w:name="_Toc119489839"/>
      <w:bookmarkStart w:id="22" w:name="_Toc210747529"/>
      <w:r w:rsidRPr="00283EDC">
        <w:rPr>
          <w:rFonts w:ascii="Arial Narrow" w:hAnsi="Arial Narrow"/>
          <w:b/>
          <w:lang w:val="bg-BG"/>
        </w:rPr>
        <w:t>Учредяване на ограничени вещни права върху земи от ДПФ</w:t>
      </w:r>
      <w:bookmarkEnd w:id="21"/>
      <w:bookmarkEnd w:id="22"/>
    </w:p>
    <w:p w14:paraId="7DB4DBB5" w14:textId="77777777" w:rsidR="00283EDC" w:rsidRPr="00283EDC" w:rsidRDefault="00283EDC" w:rsidP="00283EDC">
      <w:pPr>
        <w:spacing w:after="120"/>
        <w:ind w:right="284" w:firstLine="709"/>
        <w:jc w:val="both"/>
        <w:rPr>
          <w:rFonts w:ascii="Arial Narrow" w:hAnsi="Arial Narrow"/>
          <w:bCs/>
          <w:lang w:val="bg-BG"/>
        </w:rPr>
      </w:pPr>
      <w:r w:rsidRPr="00283EDC">
        <w:rPr>
          <w:rFonts w:ascii="Arial Narrow" w:hAnsi="Arial Narrow"/>
          <w:bCs/>
          <w:lang w:val="bg-BG"/>
        </w:rPr>
        <w:t>През 2024 година са разгледани 52 искания от кметове на общини, юридически и физически лица, във връзка с инвестиционни намерения за изграждане или разширение на площадкови и/или линейни обекти, с които се засягат земи, собственост на ДПФ. На основание чл. 24в от ЗСПЗЗ са изготвени 35 предварителни съгласия за възлагане изработването на подробен устройствен план за проектиране на площадки и трасета, във връзка с изграждане на водопроводни и канализационни мрежи, трасета на електропроводи и елементи на техническата инфраструктура.</w:t>
      </w:r>
    </w:p>
    <w:p w14:paraId="1E5DAD4F" w14:textId="77777777" w:rsidR="00283EDC" w:rsidRPr="00283EDC" w:rsidRDefault="00283EDC" w:rsidP="00283EDC">
      <w:pPr>
        <w:spacing w:after="120"/>
        <w:ind w:right="284" w:firstLine="709"/>
        <w:jc w:val="both"/>
        <w:rPr>
          <w:rFonts w:ascii="Arial Narrow" w:hAnsi="Arial Narrow"/>
          <w:bCs/>
          <w:lang w:val="bg-BG"/>
        </w:rPr>
      </w:pPr>
      <w:r w:rsidRPr="00283EDC">
        <w:rPr>
          <w:rFonts w:ascii="Arial Narrow" w:hAnsi="Arial Narrow"/>
          <w:bCs/>
          <w:lang w:val="bg-BG"/>
        </w:rPr>
        <w:t>Сключени са 5 договора за учредяване на ограничени вещни права върху земи от държавния поземлен фонд на основание чл. 24, ал. 1 от ЗСПЗЗ, чл. 47, ал. 20, ал. 21 и ал. 24 от ППЗСПЗЗ.</w:t>
      </w:r>
    </w:p>
    <w:p w14:paraId="0ACE8199" w14:textId="77777777" w:rsidR="00283EDC" w:rsidRPr="00283EDC" w:rsidRDefault="00F24FD2" w:rsidP="00283EDC">
      <w:pPr>
        <w:pStyle w:val="ListParagraph"/>
        <w:numPr>
          <w:ilvl w:val="1"/>
          <w:numId w:val="13"/>
        </w:numPr>
        <w:tabs>
          <w:tab w:val="clear" w:pos="750"/>
        </w:tabs>
        <w:spacing w:after="120"/>
        <w:ind w:left="709" w:hanging="349"/>
        <w:contextualSpacing w:val="0"/>
        <w:jc w:val="both"/>
        <w:outlineLvl w:val="0"/>
        <w:rPr>
          <w:rFonts w:ascii="Arial Narrow" w:hAnsi="Arial Narrow"/>
          <w:b/>
          <w:lang w:val="bg-BG"/>
        </w:rPr>
      </w:pPr>
      <w:r>
        <w:rPr>
          <w:rFonts w:ascii="Arial Narrow" w:hAnsi="Arial Narrow"/>
          <w:b/>
        </w:rPr>
        <w:t xml:space="preserve"> </w:t>
      </w:r>
      <w:bookmarkStart w:id="23" w:name="_Toc210747530"/>
      <w:r w:rsidR="00B95F91" w:rsidRPr="00283EDC">
        <w:rPr>
          <w:rFonts w:ascii="Arial Narrow" w:hAnsi="Arial Narrow"/>
          <w:b/>
          <w:lang w:val="bg-BG"/>
        </w:rPr>
        <w:t>Дейности по предаване на регистрирани правни основания за ползване на земеделски площи</w:t>
      </w:r>
      <w:bookmarkEnd w:id="23"/>
      <w:r w:rsidR="00B95F91" w:rsidRPr="00283EDC">
        <w:rPr>
          <w:rFonts w:ascii="Arial Narrow" w:hAnsi="Arial Narrow"/>
          <w:b/>
          <w:lang w:val="bg-BG"/>
        </w:rPr>
        <w:t xml:space="preserve"> </w:t>
      </w:r>
    </w:p>
    <w:p w14:paraId="2F4E9284" w14:textId="77777777" w:rsidR="00283EDC" w:rsidRPr="00283EDC" w:rsidRDefault="00283EDC" w:rsidP="00283EDC">
      <w:pPr>
        <w:autoSpaceDE w:val="0"/>
        <w:autoSpaceDN w:val="0"/>
        <w:adjustRightInd w:val="0"/>
        <w:spacing w:after="120"/>
        <w:ind w:right="29" w:firstLine="709"/>
        <w:jc w:val="both"/>
        <w:rPr>
          <w:rFonts w:ascii="Arial Narrow" w:hAnsi="Arial Narrow"/>
          <w:bCs/>
          <w:lang w:val="bg-BG" w:eastAsia="bg-BG"/>
        </w:rPr>
      </w:pPr>
      <w:r w:rsidRPr="00283EDC">
        <w:rPr>
          <w:rFonts w:ascii="Arial Narrow" w:hAnsi="Arial Narrow"/>
          <w:bCs/>
          <w:lang w:val="bg-BG" w:eastAsia="bg-BG"/>
        </w:rPr>
        <w:t>Във връзка с обезпечаване провеждането на кампания Директни плащания 2024, периодично са събирани, обработвани, проверявани и зареждани в Интегрирана система за администриране и контрол на Държавен фонд „Земеделие“ – Разплащателна агенция цифрови, текстови и географски данни от картата на възстановената собственост и кадастралните карти и регистри за правни основания за ползване. В изпълнение на разпоредбите на Закона за подпомагане на земеделските производители, са подадени 52 302 заявления на кандидати по интервенциите за директно подпомагане на площ за 3 873 070 ха.</w:t>
      </w:r>
    </w:p>
    <w:p w14:paraId="745793D0" w14:textId="77777777" w:rsidR="00283EDC" w:rsidRPr="00283EDC" w:rsidRDefault="00283EDC" w:rsidP="00283EDC">
      <w:pPr>
        <w:autoSpaceDE w:val="0"/>
        <w:autoSpaceDN w:val="0"/>
        <w:adjustRightInd w:val="0"/>
        <w:spacing w:after="120"/>
        <w:ind w:right="29" w:firstLine="709"/>
        <w:jc w:val="both"/>
        <w:rPr>
          <w:rFonts w:ascii="Arial Narrow" w:hAnsi="Arial Narrow"/>
          <w:bCs/>
          <w:lang w:val="bg-BG" w:eastAsia="bg-BG"/>
        </w:rPr>
      </w:pPr>
      <w:r w:rsidRPr="00283EDC">
        <w:rPr>
          <w:rFonts w:ascii="Arial Narrow" w:hAnsi="Arial Narrow"/>
          <w:bCs/>
          <w:lang w:val="bg-BG" w:eastAsia="bg-BG"/>
        </w:rPr>
        <w:t>По време на кампанията, през предварително уточнен набор от проверки, обработки и контроли са преминали общо 13 673 039 броя регистрирани правни основания за 4 659 землища. От тях, 8 287 730 броя имоти са в реални граници за площ от 4 430 283 ха, а 5 385 309 броя са в масиви за уедрено ползване на земеделски земи съгласно сключени доброволни споразумения и/или разпределения. върху площ от 3 027 350 ха.</w:t>
      </w:r>
    </w:p>
    <w:p w14:paraId="5ECE85CD" w14:textId="77777777" w:rsidR="00283EDC" w:rsidRPr="00283EDC" w:rsidRDefault="00283EDC" w:rsidP="00283EDC">
      <w:pPr>
        <w:autoSpaceDE w:val="0"/>
        <w:autoSpaceDN w:val="0"/>
        <w:adjustRightInd w:val="0"/>
        <w:spacing w:after="120"/>
        <w:ind w:right="29" w:firstLine="709"/>
        <w:jc w:val="both"/>
        <w:rPr>
          <w:rFonts w:ascii="Arial Narrow" w:hAnsi="Arial Narrow"/>
          <w:bCs/>
          <w:lang w:val="bg-BG" w:eastAsia="bg-BG"/>
        </w:rPr>
      </w:pPr>
      <w:r w:rsidRPr="00283EDC">
        <w:rPr>
          <w:rFonts w:ascii="Arial Narrow" w:hAnsi="Arial Narrow"/>
          <w:bCs/>
          <w:lang w:val="bg-BG" w:eastAsia="bg-BG"/>
        </w:rPr>
        <w:t>За кампания Директни плащания 2024 на 290 земеделски стопани са извършени допълнителни проверки за наличие или липса на правни основания за ползване на земеделски земи, в резултат на които са подадени на Държавен фонд „Земеделие“-РА данни за корекция.</w:t>
      </w:r>
    </w:p>
    <w:p w14:paraId="33EFF166" w14:textId="77777777" w:rsidR="00283EDC" w:rsidRPr="00283EDC" w:rsidRDefault="00F24FD2" w:rsidP="00283EDC">
      <w:pPr>
        <w:pStyle w:val="ListParagraph"/>
        <w:numPr>
          <w:ilvl w:val="1"/>
          <w:numId w:val="13"/>
        </w:numPr>
        <w:tabs>
          <w:tab w:val="clear" w:pos="750"/>
        </w:tabs>
        <w:spacing w:after="120"/>
        <w:ind w:left="709" w:hanging="349"/>
        <w:contextualSpacing w:val="0"/>
        <w:jc w:val="both"/>
        <w:outlineLvl w:val="0"/>
        <w:rPr>
          <w:rFonts w:ascii="Arial Narrow" w:hAnsi="Arial Narrow"/>
          <w:b/>
          <w:lang w:val="bg-BG"/>
        </w:rPr>
      </w:pPr>
      <w:r>
        <w:rPr>
          <w:rFonts w:ascii="Arial Narrow" w:hAnsi="Arial Narrow"/>
          <w:b/>
        </w:rPr>
        <w:t xml:space="preserve"> </w:t>
      </w:r>
      <w:bookmarkStart w:id="24" w:name="_Toc210747531"/>
      <w:r w:rsidR="00283EDC" w:rsidRPr="00283EDC">
        <w:rPr>
          <w:rFonts w:ascii="Arial Narrow" w:hAnsi="Arial Narrow"/>
          <w:b/>
          <w:lang w:val="bg-BG"/>
        </w:rPr>
        <w:t>Дейности по опазване на земеделските земи</w:t>
      </w:r>
      <w:bookmarkEnd w:id="24"/>
    </w:p>
    <w:p w14:paraId="170CAD6D" w14:textId="77777777" w:rsidR="00283EDC" w:rsidRPr="00283EDC" w:rsidRDefault="00283EDC" w:rsidP="00283EDC">
      <w:pPr>
        <w:autoSpaceDE w:val="0"/>
        <w:autoSpaceDN w:val="0"/>
        <w:adjustRightInd w:val="0"/>
        <w:spacing w:after="120"/>
        <w:ind w:right="29" w:firstLine="709"/>
        <w:jc w:val="both"/>
        <w:rPr>
          <w:rFonts w:ascii="Arial Narrow" w:hAnsi="Arial Narrow"/>
          <w:bCs/>
          <w:lang w:val="bg-BG" w:eastAsia="bg-BG"/>
        </w:rPr>
      </w:pPr>
      <w:r w:rsidRPr="00283EDC">
        <w:rPr>
          <w:rFonts w:ascii="Arial Narrow" w:hAnsi="Arial Narrow"/>
          <w:bCs/>
          <w:lang w:val="bg-BG" w:eastAsia="bg-BG"/>
        </w:rPr>
        <w:t>През 2024 г. Комисия за земеделските земи е разгледала общо 1 208 предложения за промяна на предназначението на земеделски земи, като са постановени решения за площ от общо 11 640  ха. От тях, влезли в сила са 1 167 за площ в размер на 11 260 ха.</w:t>
      </w:r>
    </w:p>
    <w:p w14:paraId="5C65DA21" w14:textId="77777777" w:rsidR="00283EDC" w:rsidRPr="00283EDC" w:rsidRDefault="00283EDC" w:rsidP="00283EDC">
      <w:pPr>
        <w:autoSpaceDE w:val="0"/>
        <w:autoSpaceDN w:val="0"/>
        <w:adjustRightInd w:val="0"/>
        <w:spacing w:after="120"/>
        <w:ind w:right="29" w:firstLine="709"/>
        <w:jc w:val="both"/>
        <w:rPr>
          <w:rFonts w:ascii="Arial Narrow" w:hAnsi="Arial Narrow"/>
          <w:bCs/>
          <w:lang w:val="bg-BG" w:eastAsia="bg-BG"/>
        </w:rPr>
      </w:pPr>
      <w:r w:rsidRPr="00283EDC">
        <w:rPr>
          <w:rFonts w:ascii="Arial Narrow" w:hAnsi="Arial Narrow"/>
          <w:bCs/>
          <w:lang w:val="bg-BG" w:eastAsia="bg-BG"/>
        </w:rPr>
        <w:lastRenderedPageBreak/>
        <w:t>Комисиите към Областните дирекции „Земеделие“ са разгледали общо 1 868 предложения за промяна на предназначението на земеделските земи. Постановени са решения за площ от общо 5 910 ха, от които влезли в сила са 1 755, за площ в размер на 5 508 ха.</w:t>
      </w:r>
    </w:p>
    <w:p w14:paraId="4A6E1248" w14:textId="77777777" w:rsidR="00283EDC" w:rsidRPr="00283EDC" w:rsidRDefault="00283EDC" w:rsidP="00283EDC">
      <w:pPr>
        <w:autoSpaceDE w:val="0"/>
        <w:autoSpaceDN w:val="0"/>
        <w:adjustRightInd w:val="0"/>
        <w:spacing w:after="120"/>
        <w:ind w:right="29" w:firstLine="709"/>
        <w:jc w:val="both"/>
        <w:rPr>
          <w:rFonts w:ascii="Arial Narrow" w:hAnsi="Arial Narrow"/>
          <w:bCs/>
          <w:lang w:val="bg-BG" w:eastAsia="bg-BG"/>
        </w:rPr>
      </w:pPr>
      <w:r w:rsidRPr="00283EDC">
        <w:rPr>
          <w:rFonts w:ascii="Arial Narrow" w:hAnsi="Arial Narrow"/>
          <w:bCs/>
          <w:lang w:val="bg-BG" w:eastAsia="bg-BG"/>
        </w:rPr>
        <w:t>Процедурата за промяна на предназначението на земеделската земя за неземеделски нужди по реда на Закона за опазване на земеделските земи (ЗОЗЗ) е двуетапна и включва: първи етап – утвърждаване на площадка за проектиране и втори етап – промяна на предназначението на земеделската земя. Задължителен документ още за първия етап е наличието на влязло в сила решение или становище, издадено по реда на глава шеста от Закона за опазване на околната среда и по чл. 31 от Закона за биологичното разнообразие от съответната Регионална инспекция по околна среда и водите (РИОСВ) – изискване на чл. 21, ал. 1 от ЗОЗЗ и чл. 30, ал. 1, т. 6 от Правилника за прилагане на ЗОЗЗ. Комисиите по чл. 17, ал. 1 от ЗОЗЗ не утвърждават площадки и не променят предназначението на земеделската земя ако е налице становище, издадено от РИОСВ/МОСВ, в което е записано, че с изграждането на обекта ще има неблагоприятно последствие върху видове и хабитати.</w:t>
      </w:r>
    </w:p>
    <w:p w14:paraId="7BC03C61" w14:textId="77777777" w:rsidR="00283EDC" w:rsidRPr="00283EDC" w:rsidRDefault="00283EDC" w:rsidP="00283EDC">
      <w:pPr>
        <w:autoSpaceDE w:val="0"/>
        <w:autoSpaceDN w:val="0"/>
        <w:adjustRightInd w:val="0"/>
        <w:spacing w:after="120"/>
        <w:ind w:right="29" w:firstLine="709"/>
        <w:jc w:val="both"/>
        <w:rPr>
          <w:rFonts w:ascii="Arial Narrow" w:hAnsi="Arial Narrow"/>
          <w:bCs/>
          <w:lang w:val="bg-BG" w:eastAsia="bg-BG"/>
        </w:rPr>
      </w:pPr>
      <w:r w:rsidRPr="00283EDC">
        <w:rPr>
          <w:rFonts w:ascii="Arial Narrow" w:hAnsi="Arial Narrow"/>
          <w:bCs/>
          <w:lang w:val="bg-BG" w:eastAsia="bg-BG"/>
        </w:rPr>
        <w:t>В рамките на 2024 г. не са определяни нови площи за рекултивация и не са приемани рекултивирани терени, които да се причислят към земи за земеделско ползване.</w:t>
      </w:r>
    </w:p>
    <w:p w14:paraId="18D9487B" w14:textId="77777777" w:rsidR="001E063F" w:rsidRPr="00027ABB" w:rsidRDefault="001E063F" w:rsidP="00B94DC2">
      <w:pPr>
        <w:keepNext/>
        <w:numPr>
          <w:ilvl w:val="0"/>
          <w:numId w:val="8"/>
        </w:numPr>
        <w:spacing w:after="120"/>
        <w:outlineLvl w:val="0"/>
        <w:rPr>
          <w:rFonts w:ascii="Arial Narrow" w:hAnsi="Arial Narrow"/>
          <w:b/>
          <w:lang w:val="bg-BG"/>
        </w:rPr>
      </w:pPr>
      <w:bookmarkStart w:id="25" w:name="_Toc210747532"/>
      <w:r w:rsidRPr="00027ABB">
        <w:rPr>
          <w:rFonts w:ascii="Arial Narrow" w:hAnsi="Arial Narrow"/>
          <w:b/>
          <w:lang w:val="bg-BG"/>
        </w:rPr>
        <w:t>Икономически и пр</w:t>
      </w:r>
      <w:r w:rsidR="008F6AA6" w:rsidRPr="00027ABB">
        <w:rPr>
          <w:rFonts w:ascii="Arial Narrow" w:hAnsi="Arial Narrow"/>
          <w:b/>
          <w:lang w:val="bg-BG"/>
        </w:rPr>
        <w:t>оизводствени резултати през 202</w:t>
      </w:r>
      <w:r w:rsidR="00027ABB" w:rsidRPr="00027ABB">
        <w:rPr>
          <w:rFonts w:ascii="Arial Narrow" w:hAnsi="Arial Narrow"/>
          <w:b/>
        </w:rPr>
        <w:t>4</w:t>
      </w:r>
      <w:r w:rsidR="008F6AA6" w:rsidRPr="00027ABB">
        <w:rPr>
          <w:rFonts w:ascii="Arial Narrow" w:hAnsi="Arial Narrow"/>
          <w:b/>
          <w:lang w:val="bg-BG"/>
        </w:rPr>
        <w:t xml:space="preserve"> г. и прогнозни данни за 202</w:t>
      </w:r>
      <w:r w:rsidR="00027ABB" w:rsidRPr="00027ABB">
        <w:rPr>
          <w:rFonts w:ascii="Arial Narrow" w:hAnsi="Arial Narrow"/>
          <w:b/>
        </w:rPr>
        <w:t>5</w:t>
      </w:r>
      <w:r w:rsidRPr="00027ABB">
        <w:rPr>
          <w:rFonts w:ascii="Arial Narrow" w:hAnsi="Arial Narrow"/>
          <w:b/>
          <w:lang w:val="bg-BG"/>
        </w:rPr>
        <w:t xml:space="preserve"> г.</w:t>
      </w:r>
      <w:bookmarkEnd w:id="25"/>
      <w:r w:rsidRPr="00027ABB">
        <w:rPr>
          <w:rFonts w:ascii="Arial Narrow" w:hAnsi="Arial Narrow"/>
          <w:b/>
          <w:lang w:val="bg-BG"/>
        </w:rPr>
        <w:t xml:space="preserve"> </w:t>
      </w:r>
    </w:p>
    <w:p w14:paraId="62BE583E" w14:textId="77777777" w:rsidR="001E063F" w:rsidRPr="00027ABB" w:rsidRDefault="001E063F" w:rsidP="00B94DC2">
      <w:pPr>
        <w:pStyle w:val="ListParagraph"/>
        <w:numPr>
          <w:ilvl w:val="1"/>
          <w:numId w:val="8"/>
        </w:numPr>
        <w:spacing w:after="120"/>
        <w:jc w:val="both"/>
        <w:outlineLvl w:val="0"/>
        <w:rPr>
          <w:rFonts w:ascii="Arial Narrow" w:hAnsi="Arial Narrow"/>
          <w:b/>
          <w:lang w:val="bg-BG" w:eastAsia="bg-BG"/>
        </w:rPr>
      </w:pPr>
      <w:bookmarkStart w:id="26" w:name="_Toc210747533"/>
      <w:r w:rsidRPr="00027ABB">
        <w:rPr>
          <w:rFonts w:ascii="Arial Narrow" w:hAnsi="Arial Narrow"/>
          <w:b/>
          <w:lang w:val="bg-BG" w:eastAsia="bg-BG"/>
        </w:rPr>
        <w:t>Икономически смет</w:t>
      </w:r>
      <w:r w:rsidR="008F6AA6" w:rsidRPr="00027ABB">
        <w:rPr>
          <w:rFonts w:ascii="Arial Narrow" w:hAnsi="Arial Narrow"/>
          <w:b/>
          <w:lang w:val="bg-BG" w:eastAsia="bg-BG"/>
        </w:rPr>
        <w:t>к</w:t>
      </w:r>
      <w:r w:rsidR="00A61929" w:rsidRPr="00027ABB">
        <w:rPr>
          <w:rFonts w:ascii="Arial Narrow" w:hAnsi="Arial Narrow"/>
          <w:b/>
          <w:lang w:val="bg-BG" w:eastAsia="bg-BG"/>
        </w:rPr>
        <w:t>и за селското стопанство за 202</w:t>
      </w:r>
      <w:r w:rsidR="00027ABB" w:rsidRPr="00027ABB">
        <w:rPr>
          <w:rFonts w:ascii="Arial Narrow" w:hAnsi="Arial Narrow"/>
          <w:b/>
          <w:lang w:eastAsia="bg-BG"/>
        </w:rPr>
        <w:t>4</w:t>
      </w:r>
      <w:r w:rsidRPr="00027ABB">
        <w:rPr>
          <w:rFonts w:ascii="Arial Narrow" w:hAnsi="Arial Narrow"/>
          <w:b/>
          <w:lang w:val="bg-BG" w:eastAsia="bg-BG"/>
        </w:rPr>
        <w:t xml:space="preserve"> г.</w:t>
      </w:r>
      <w:bookmarkEnd w:id="26"/>
    </w:p>
    <w:p w14:paraId="3B4C4041" w14:textId="77777777" w:rsidR="00A61929" w:rsidRDefault="001E063F" w:rsidP="00A61929">
      <w:pPr>
        <w:keepNext/>
        <w:spacing w:after="120"/>
        <w:jc w:val="both"/>
        <w:rPr>
          <w:rFonts w:ascii="Arial Narrow" w:hAnsi="Arial Narrow"/>
          <w:b/>
          <w:lang w:val="bg-BG"/>
        </w:rPr>
      </w:pPr>
      <w:r w:rsidRPr="00027ABB">
        <w:rPr>
          <w:rFonts w:ascii="Arial Narrow" w:hAnsi="Arial Narrow"/>
          <w:b/>
          <w:lang w:val="bg-BG"/>
        </w:rPr>
        <w:t>Таблица ІІ.</w:t>
      </w:r>
      <w:r w:rsidR="00F9779E" w:rsidRPr="00027ABB">
        <w:rPr>
          <w:rFonts w:ascii="Arial Narrow" w:hAnsi="Arial Narrow"/>
          <w:b/>
          <w:lang w:val="bg-BG"/>
        </w:rPr>
        <w:t>3</w:t>
      </w:r>
      <w:r w:rsidRPr="00027ABB">
        <w:rPr>
          <w:rFonts w:ascii="Arial Narrow" w:hAnsi="Arial Narrow"/>
          <w:b/>
          <w:lang w:val="bg-BG"/>
        </w:rPr>
        <w:t xml:space="preserve">. </w:t>
      </w:r>
      <w:r w:rsidR="00A61929" w:rsidRPr="00027ABB">
        <w:rPr>
          <w:rFonts w:ascii="Arial Narrow" w:hAnsi="Arial Narrow"/>
          <w:b/>
          <w:lang w:val="bg-BG"/>
        </w:rPr>
        <w:t>Основни икономически показатели за селското стопанство за периода 202</w:t>
      </w:r>
      <w:r w:rsidR="00027ABB" w:rsidRPr="00027ABB">
        <w:rPr>
          <w:rFonts w:ascii="Arial Narrow" w:hAnsi="Arial Narrow"/>
          <w:b/>
        </w:rPr>
        <w:t>2</w:t>
      </w:r>
      <w:r w:rsidR="00A61929" w:rsidRPr="00027ABB">
        <w:rPr>
          <w:rFonts w:ascii="Arial Narrow" w:hAnsi="Arial Narrow"/>
          <w:b/>
          <w:lang w:val="bg-BG"/>
        </w:rPr>
        <w:t xml:space="preserve"> – 202</w:t>
      </w:r>
      <w:r w:rsidR="00027ABB" w:rsidRPr="00027ABB">
        <w:rPr>
          <w:rFonts w:ascii="Arial Narrow" w:hAnsi="Arial Narrow"/>
          <w:b/>
          <w:lang w:val="bg-BG"/>
        </w:rPr>
        <w:t>4</w:t>
      </w:r>
      <w:r w:rsidR="00A61929" w:rsidRPr="00027ABB">
        <w:rPr>
          <w:rFonts w:ascii="Arial Narrow" w:hAnsi="Arial Narrow"/>
          <w:b/>
          <w:lang w:val="bg-BG"/>
        </w:rPr>
        <w:t xml:space="preserve"> г., млн. лева </w:t>
      </w:r>
    </w:p>
    <w:tbl>
      <w:tblPr>
        <w:tblW w:w="986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85"/>
        <w:gridCol w:w="3721"/>
        <w:gridCol w:w="1083"/>
        <w:gridCol w:w="1099"/>
        <w:gridCol w:w="1099"/>
        <w:gridCol w:w="1099"/>
        <w:gridCol w:w="974"/>
      </w:tblGrid>
      <w:tr w:rsidR="00027ABB" w:rsidRPr="00027ABB" w14:paraId="29705684" w14:textId="77777777" w:rsidTr="00E10086">
        <w:trPr>
          <w:trHeight w:val="656"/>
          <w:tblHeader/>
        </w:trPr>
        <w:tc>
          <w:tcPr>
            <w:tcW w:w="785" w:type="dxa"/>
            <w:shd w:val="clear" w:color="auto" w:fill="auto"/>
            <w:noWrap/>
            <w:vAlign w:val="center"/>
            <w:hideMark/>
          </w:tcPr>
          <w:p w14:paraId="7749CF82" w14:textId="77777777" w:rsidR="00027ABB" w:rsidRPr="00027ABB" w:rsidRDefault="00027ABB" w:rsidP="00027ABB">
            <w:pPr>
              <w:keepNext/>
              <w:rPr>
                <w:rFonts w:ascii="Arial Narrow" w:hAnsi="Arial Narrow" w:cs="Arial"/>
                <w:b/>
                <w:bCs/>
                <w:sz w:val="20"/>
                <w:szCs w:val="20"/>
                <w:lang w:val="bg-BG" w:eastAsia="zh-TW"/>
              </w:rPr>
            </w:pPr>
            <w:r w:rsidRPr="00027ABB">
              <w:rPr>
                <w:rFonts w:ascii="Arial Narrow" w:hAnsi="Arial Narrow" w:cs="Arial"/>
                <w:b/>
                <w:bCs/>
                <w:sz w:val="20"/>
                <w:szCs w:val="20"/>
                <w:lang w:val="bg-BG" w:eastAsia="zh-TW"/>
              </w:rPr>
              <w:t> </w:t>
            </w:r>
          </w:p>
        </w:tc>
        <w:tc>
          <w:tcPr>
            <w:tcW w:w="3721" w:type="dxa"/>
            <w:shd w:val="clear" w:color="auto" w:fill="auto"/>
            <w:vAlign w:val="center"/>
            <w:hideMark/>
          </w:tcPr>
          <w:p w14:paraId="65AA9C85" w14:textId="77777777" w:rsidR="00027ABB" w:rsidRPr="00027ABB" w:rsidRDefault="00027ABB" w:rsidP="00027ABB">
            <w:pPr>
              <w:keepNext/>
              <w:jc w:val="center"/>
              <w:rPr>
                <w:rFonts w:ascii="Arial Narrow" w:hAnsi="Arial Narrow" w:cs="Arial"/>
                <w:b/>
                <w:bCs/>
                <w:sz w:val="20"/>
                <w:szCs w:val="20"/>
                <w:lang w:val="bg-BG" w:eastAsia="zh-TW"/>
              </w:rPr>
            </w:pPr>
            <w:r w:rsidRPr="00027ABB">
              <w:rPr>
                <w:rFonts w:ascii="Arial Narrow" w:hAnsi="Arial Narrow" w:cs="Arial"/>
                <w:b/>
                <w:bCs/>
                <w:sz w:val="20"/>
                <w:szCs w:val="20"/>
                <w:lang w:val="bg-BG" w:eastAsia="zh-TW"/>
              </w:rPr>
              <w:t>Показатели</w:t>
            </w:r>
          </w:p>
        </w:tc>
        <w:tc>
          <w:tcPr>
            <w:tcW w:w="1083" w:type="dxa"/>
            <w:shd w:val="clear" w:color="auto" w:fill="auto"/>
            <w:vAlign w:val="center"/>
            <w:hideMark/>
          </w:tcPr>
          <w:p w14:paraId="5D43828A" w14:textId="77777777" w:rsidR="00027ABB" w:rsidRPr="00027ABB" w:rsidRDefault="00027ABB" w:rsidP="00027ABB">
            <w:pPr>
              <w:keepNext/>
              <w:jc w:val="center"/>
              <w:rPr>
                <w:rFonts w:ascii="Arial Narrow" w:hAnsi="Arial Narrow" w:cs="Arial"/>
                <w:b/>
                <w:bCs/>
                <w:sz w:val="20"/>
                <w:szCs w:val="20"/>
                <w:lang w:val="bg-BG" w:eastAsia="zh-TW"/>
              </w:rPr>
            </w:pPr>
            <w:r w:rsidRPr="00027ABB">
              <w:rPr>
                <w:rFonts w:ascii="Arial Narrow" w:hAnsi="Arial Narrow" w:cs="Arial"/>
                <w:b/>
                <w:bCs/>
                <w:sz w:val="20"/>
                <w:szCs w:val="20"/>
                <w:lang w:val="bg-BG" w:eastAsia="zh-TW"/>
              </w:rPr>
              <w:t>2022</w:t>
            </w:r>
          </w:p>
        </w:tc>
        <w:tc>
          <w:tcPr>
            <w:tcW w:w="1099" w:type="dxa"/>
            <w:shd w:val="clear" w:color="auto" w:fill="auto"/>
            <w:vAlign w:val="center"/>
            <w:hideMark/>
          </w:tcPr>
          <w:p w14:paraId="01F3DB60" w14:textId="77777777" w:rsidR="00027ABB" w:rsidRPr="00027ABB" w:rsidRDefault="00027ABB" w:rsidP="00027ABB">
            <w:pPr>
              <w:keepNext/>
              <w:jc w:val="center"/>
              <w:rPr>
                <w:rFonts w:ascii="Arial Narrow" w:hAnsi="Arial Narrow" w:cs="Arial"/>
                <w:b/>
                <w:bCs/>
                <w:i/>
                <w:iCs/>
                <w:sz w:val="20"/>
                <w:szCs w:val="20"/>
                <w:lang w:val="bg-BG" w:eastAsia="zh-TW"/>
              </w:rPr>
            </w:pPr>
            <w:r w:rsidRPr="00027ABB">
              <w:rPr>
                <w:rFonts w:ascii="Arial Narrow" w:hAnsi="Arial Narrow" w:cs="Arial"/>
                <w:b/>
                <w:bCs/>
                <w:i/>
                <w:iCs/>
                <w:sz w:val="20"/>
                <w:szCs w:val="20"/>
                <w:lang w:val="bg-BG" w:eastAsia="zh-TW"/>
              </w:rPr>
              <w:t>Изменение 2023/2022</w:t>
            </w:r>
            <w:r w:rsidRPr="00027ABB">
              <w:rPr>
                <w:rFonts w:ascii="Arial Narrow" w:hAnsi="Arial Narrow" w:cs="Arial"/>
                <w:b/>
                <w:bCs/>
                <w:i/>
                <w:iCs/>
                <w:sz w:val="20"/>
                <w:szCs w:val="20"/>
                <w:lang w:val="bg-BG" w:eastAsia="zh-TW"/>
              </w:rPr>
              <w:br/>
              <w:t>%</w:t>
            </w:r>
          </w:p>
        </w:tc>
        <w:tc>
          <w:tcPr>
            <w:tcW w:w="1099" w:type="dxa"/>
            <w:shd w:val="clear" w:color="auto" w:fill="auto"/>
            <w:vAlign w:val="center"/>
            <w:hideMark/>
          </w:tcPr>
          <w:p w14:paraId="0333B34B" w14:textId="77777777" w:rsidR="00027ABB" w:rsidRPr="00027ABB" w:rsidRDefault="00027ABB" w:rsidP="00027ABB">
            <w:pPr>
              <w:keepNext/>
              <w:jc w:val="center"/>
              <w:rPr>
                <w:rFonts w:ascii="Arial Narrow" w:hAnsi="Arial Narrow" w:cs="Arial"/>
                <w:b/>
                <w:bCs/>
                <w:sz w:val="20"/>
                <w:szCs w:val="20"/>
                <w:lang w:val="bg-BG" w:eastAsia="zh-TW"/>
              </w:rPr>
            </w:pPr>
            <w:r w:rsidRPr="00027ABB">
              <w:rPr>
                <w:rFonts w:ascii="Arial Narrow" w:hAnsi="Arial Narrow" w:cs="Arial"/>
                <w:b/>
                <w:bCs/>
                <w:sz w:val="20"/>
                <w:szCs w:val="20"/>
                <w:lang w:val="bg-BG" w:eastAsia="zh-TW"/>
              </w:rPr>
              <w:t>2023</w:t>
            </w:r>
          </w:p>
        </w:tc>
        <w:tc>
          <w:tcPr>
            <w:tcW w:w="1099" w:type="dxa"/>
            <w:shd w:val="clear" w:color="auto" w:fill="auto"/>
            <w:vAlign w:val="center"/>
            <w:hideMark/>
          </w:tcPr>
          <w:p w14:paraId="7171E750" w14:textId="77777777" w:rsidR="00027ABB" w:rsidRPr="00027ABB" w:rsidRDefault="00027ABB" w:rsidP="00027ABB">
            <w:pPr>
              <w:keepNext/>
              <w:jc w:val="center"/>
              <w:rPr>
                <w:rFonts w:ascii="Arial Narrow" w:hAnsi="Arial Narrow" w:cs="Arial"/>
                <w:b/>
                <w:bCs/>
                <w:i/>
                <w:iCs/>
                <w:sz w:val="20"/>
                <w:szCs w:val="20"/>
                <w:lang w:val="bg-BG" w:eastAsia="zh-TW"/>
              </w:rPr>
            </w:pPr>
            <w:r w:rsidRPr="00027ABB">
              <w:rPr>
                <w:rFonts w:ascii="Arial Narrow" w:hAnsi="Arial Narrow" w:cs="Arial"/>
                <w:b/>
                <w:bCs/>
                <w:i/>
                <w:iCs/>
                <w:sz w:val="20"/>
                <w:szCs w:val="20"/>
                <w:lang w:val="bg-BG" w:eastAsia="zh-TW"/>
              </w:rPr>
              <w:t>Изменение 2024/2023</w:t>
            </w:r>
            <w:r w:rsidRPr="00027ABB">
              <w:rPr>
                <w:rFonts w:ascii="Arial Narrow" w:hAnsi="Arial Narrow" w:cs="Arial"/>
                <w:b/>
                <w:bCs/>
                <w:i/>
                <w:iCs/>
                <w:sz w:val="20"/>
                <w:szCs w:val="20"/>
                <w:lang w:val="bg-BG" w:eastAsia="zh-TW"/>
              </w:rPr>
              <w:br/>
              <w:t>%</w:t>
            </w:r>
          </w:p>
        </w:tc>
        <w:tc>
          <w:tcPr>
            <w:tcW w:w="974" w:type="dxa"/>
            <w:shd w:val="clear" w:color="auto" w:fill="auto"/>
            <w:vAlign w:val="center"/>
            <w:hideMark/>
          </w:tcPr>
          <w:p w14:paraId="39C3D933" w14:textId="77777777" w:rsidR="00027ABB" w:rsidRPr="00027ABB" w:rsidRDefault="00027ABB" w:rsidP="00AA7E1F">
            <w:pPr>
              <w:keepNext/>
              <w:jc w:val="center"/>
              <w:rPr>
                <w:rFonts w:ascii="Arial Narrow" w:hAnsi="Arial Narrow" w:cs="Arial"/>
                <w:b/>
                <w:bCs/>
                <w:sz w:val="20"/>
                <w:szCs w:val="20"/>
                <w:lang w:val="bg-BG" w:eastAsia="zh-TW"/>
              </w:rPr>
            </w:pPr>
            <w:r w:rsidRPr="00027ABB">
              <w:rPr>
                <w:rFonts w:ascii="Arial Narrow" w:hAnsi="Arial Narrow" w:cs="Arial"/>
                <w:b/>
                <w:bCs/>
                <w:sz w:val="20"/>
                <w:szCs w:val="20"/>
                <w:lang w:val="bg-BG" w:eastAsia="zh-TW"/>
              </w:rPr>
              <w:t>2024</w:t>
            </w:r>
          </w:p>
        </w:tc>
      </w:tr>
      <w:tr w:rsidR="00027ABB" w:rsidRPr="00027ABB" w14:paraId="2E33E4CA" w14:textId="77777777" w:rsidTr="00E10086">
        <w:trPr>
          <w:trHeight w:val="728"/>
        </w:trPr>
        <w:tc>
          <w:tcPr>
            <w:tcW w:w="785" w:type="dxa"/>
            <w:shd w:val="clear" w:color="auto" w:fill="auto"/>
            <w:vAlign w:val="center"/>
            <w:hideMark/>
          </w:tcPr>
          <w:p w14:paraId="55B3C963" w14:textId="77777777" w:rsidR="00027ABB" w:rsidRPr="00027ABB" w:rsidRDefault="00027ABB" w:rsidP="00027ABB">
            <w:pPr>
              <w:jc w:val="center"/>
              <w:rPr>
                <w:rFonts w:ascii="Arial Narrow" w:hAnsi="Arial Narrow" w:cs="Arial"/>
                <w:sz w:val="20"/>
                <w:szCs w:val="20"/>
                <w:lang w:val="bg-BG" w:eastAsia="zh-TW"/>
              </w:rPr>
            </w:pPr>
            <w:r w:rsidRPr="00027ABB">
              <w:rPr>
                <w:rFonts w:ascii="Arial Narrow" w:hAnsi="Arial Narrow" w:cs="Arial"/>
                <w:sz w:val="20"/>
                <w:szCs w:val="20"/>
                <w:lang w:val="bg-BG" w:eastAsia="zh-TW"/>
              </w:rPr>
              <w:t>1</w:t>
            </w:r>
          </w:p>
        </w:tc>
        <w:tc>
          <w:tcPr>
            <w:tcW w:w="3721" w:type="dxa"/>
            <w:shd w:val="clear" w:color="auto" w:fill="auto"/>
            <w:vAlign w:val="center"/>
            <w:hideMark/>
          </w:tcPr>
          <w:p w14:paraId="6D41C715" w14:textId="77777777" w:rsidR="00027ABB" w:rsidRPr="00027ABB" w:rsidRDefault="00027ABB" w:rsidP="00027ABB">
            <w:pPr>
              <w:rPr>
                <w:rFonts w:ascii="Arial Narrow" w:hAnsi="Arial Narrow" w:cs="Arial"/>
                <w:sz w:val="20"/>
                <w:szCs w:val="20"/>
                <w:lang w:val="bg-BG" w:eastAsia="zh-TW"/>
              </w:rPr>
            </w:pPr>
            <w:r w:rsidRPr="00027ABB">
              <w:rPr>
                <w:rFonts w:ascii="Arial Narrow" w:hAnsi="Arial Narrow" w:cs="Arial"/>
                <w:sz w:val="20"/>
                <w:szCs w:val="20"/>
                <w:lang w:val="bg-BG" w:eastAsia="zh-TW"/>
              </w:rPr>
              <w:t>Стойност на продукцията от растениевъдството и животновъдството (по цени на производител*), в т.ч.:</w:t>
            </w:r>
          </w:p>
        </w:tc>
        <w:tc>
          <w:tcPr>
            <w:tcW w:w="1083" w:type="dxa"/>
            <w:tcBorders>
              <w:top w:val="single" w:sz="4" w:space="0" w:color="auto"/>
              <w:left w:val="single" w:sz="4" w:space="0" w:color="auto"/>
              <w:bottom w:val="single" w:sz="4" w:space="0" w:color="auto"/>
              <w:right w:val="single" w:sz="4" w:space="0" w:color="auto"/>
            </w:tcBorders>
            <w:shd w:val="clear" w:color="auto" w:fill="auto"/>
            <w:vAlign w:val="center"/>
          </w:tcPr>
          <w:p w14:paraId="0F7F74F5" w14:textId="77777777" w:rsidR="00027ABB" w:rsidRPr="00027ABB" w:rsidRDefault="00027ABB" w:rsidP="00027ABB">
            <w:pPr>
              <w:jc w:val="right"/>
              <w:rPr>
                <w:rFonts w:ascii="Arial Narrow" w:hAnsi="Arial Narrow" w:cs="Arial"/>
                <w:sz w:val="20"/>
                <w:szCs w:val="20"/>
                <w:lang w:val="bg-BG"/>
              </w:rPr>
            </w:pPr>
            <w:r w:rsidRPr="00027ABB">
              <w:rPr>
                <w:rFonts w:ascii="Arial Narrow" w:hAnsi="Arial Narrow" w:cs="Arial"/>
                <w:color w:val="000000"/>
                <w:sz w:val="20"/>
                <w:szCs w:val="20"/>
              </w:rPr>
              <w:t>12 113,7</w:t>
            </w:r>
          </w:p>
        </w:tc>
        <w:tc>
          <w:tcPr>
            <w:tcW w:w="1099" w:type="dxa"/>
            <w:tcBorders>
              <w:top w:val="single" w:sz="4" w:space="0" w:color="auto"/>
              <w:left w:val="nil"/>
              <w:bottom w:val="single" w:sz="4" w:space="0" w:color="auto"/>
              <w:right w:val="single" w:sz="4" w:space="0" w:color="auto"/>
            </w:tcBorders>
            <w:shd w:val="clear" w:color="auto" w:fill="auto"/>
            <w:vAlign w:val="center"/>
          </w:tcPr>
          <w:p w14:paraId="27B68617" w14:textId="77777777" w:rsidR="00027ABB" w:rsidRPr="00027ABB" w:rsidRDefault="00027ABB" w:rsidP="00027ABB">
            <w:pPr>
              <w:jc w:val="right"/>
              <w:rPr>
                <w:rFonts w:ascii="Arial Narrow" w:hAnsi="Arial Narrow" w:cs="Arial"/>
                <w:sz w:val="20"/>
                <w:szCs w:val="20"/>
                <w:lang w:val="bg-BG"/>
              </w:rPr>
            </w:pPr>
            <w:r w:rsidRPr="00027ABB">
              <w:rPr>
                <w:rFonts w:ascii="Arial Narrow" w:hAnsi="Arial Narrow" w:cs="Calibri"/>
                <w:color w:val="000000"/>
                <w:sz w:val="20"/>
                <w:szCs w:val="20"/>
              </w:rPr>
              <w:t>-20,3%</w:t>
            </w:r>
          </w:p>
        </w:tc>
        <w:tc>
          <w:tcPr>
            <w:tcW w:w="1099" w:type="dxa"/>
            <w:tcBorders>
              <w:top w:val="single" w:sz="4" w:space="0" w:color="auto"/>
              <w:left w:val="nil"/>
              <w:bottom w:val="single" w:sz="4" w:space="0" w:color="auto"/>
              <w:right w:val="single" w:sz="4" w:space="0" w:color="auto"/>
            </w:tcBorders>
            <w:shd w:val="clear" w:color="auto" w:fill="auto"/>
            <w:vAlign w:val="center"/>
          </w:tcPr>
          <w:p w14:paraId="2042E4D8" w14:textId="77777777" w:rsidR="00027ABB" w:rsidRPr="00027ABB" w:rsidRDefault="00027ABB" w:rsidP="00027ABB">
            <w:pPr>
              <w:jc w:val="right"/>
              <w:rPr>
                <w:rFonts w:ascii="Arial Narrow" w:hAnsi="Arial Narrow" w:cs="Arial"/>
                <w:sz w:val="20"/>
                <w:szCs w:val="20"/>
                <w:lang w:val="bg-BG"/>
              </w:rPr>
            </w:pPr>
            <w:r w:rsidRPr="00027ABB">
              <w:rPr>
                <w:rFonts w:ascii="Arial Narrow" w:hAnsi="Arial Narrow" w:cs="Arial"/>
                <w:color w:val="000000"/>
                <w:sz w:val="20"/>
                <w:szCs w:val="20"/>
              </w:rPr>
              <w:t>9 649,2</w:t>
            </w:r>
          </w:p>
        </w:tc>
        <w:tc>
          <w:tcPr>
            <w:tcW w:w="1099" w:type="dxa"/>
            <w:tcBorders>
              <w:top w:val="single" w:sz="4" w:space="0" w:color="auto"/>
              <w:left w:val="single" w:sz="4" w:space="0" w:color="auto"/>
              <w:bottom w:val="single" w:sz="4" w:space="0" w:color="auto"/>
              <w:right w:val="single" w:sz="4" w:space="0" w:color="auto"/>
            </w:tcBorders>
            <w:shd w:val="clear" w:color="auto" w:fill="auto"/>
            <w:vAlign w:val="center"/>
          </w:tcPr>
          <w:p w14:paraId="4151E6B2" w14:textId="77777777" w:rsidR="00027ABB" w:rsidRPr="00027ABB" w:rsidRDefault="00027ABB" w:rsidP="00027ABB">
            <w:pPr>
              <w:jc w:val="right"/>
              <w:rPr>
                <w:rFonts w:ascii="Arial Narrow" w:hAnsi="Arial Narrow" w:cs="Arial"/>
                <w:sz w:val="20"/>
                <w:szCs w:val="20"/>
                <w:lang w:val="bg-BG"/>
              </w:rPr>
            </w:pPr>
            <w:r w:rsidRPr="00027ABB">
              <w:rPr>
                <w:rFonts w:ascii="Arial Narrow" w:hAnsi="Arial Narrow" w:cs="Calibri"/>
                <w:color w:val="000000"/>
                <w:sz w:val="20"/>
                <w:szCs w:val="20"/>
              </w:rPr>
              <w:t>-8,8%</w:t>
            </w:r>
          </w:p>
        </w:tc>
        <w:tc>
          <w:tcPr>
            <w:tcW w:w="974" w:type="dxa"/>
            <w:tcBorders>
              <w:top w:val="single" w:sz="4" w:space="0" w:color="auto"/>
              <w:left w:val="nil"/>
              <w:bottom w:val="single" w:sz="4" w:space="0" w:color="auto"/>
              <w:right w:val="single" w:sz="4" w:space="0" w:color="auto"/>
            </w:tcBorders>
            <w:shd w:val="clear" w:color="auto" w:fill="auto"/>
            <w:vAlign w:val="center"/>
          </w:tcPr>
          <w:p w14:paraId="7E0C054A" w14:textId="77777777" w:rsidR="00027ABB" w:rsidRPr="00027ABB" w:rsidRDefault="00027ABB" w:rsidP="00027ABB">
            <w:pPr>
              <w:jc w:val="right"/>
              <w:rPr>
                <w:rFonts w:ascii="Arial Narrow" w:hAnsi="Arial Narrow" w:cs="Arial"/>
                <w:sz w:val="20"/>
                <w:szCs w:val="20"/>
                <w:lang w:val="bg-BG"/>
              </w:rPr>
            </w:pPr>
            <w:r w:rsidRPr="00027ABB">
              <w:rPr>
                <w:rFonts w:ascii="Arial Narrow" w:hAnsi="Arial Narrow" w:cs="Arial"/>
                <w:color w:val="000000"/>
                <w:sz w:val="20"/>
                <w:szCs w:val="20"/>
              </w:rPr>
              <w:t>8 798,0</w:t>
            </w:r>
          </w:p>
        </w:tc>
      </w:tr>
      <w:tr w:rsidR="00027ABB" w:rsidRPr="00027ABB" w14:paraId="3D407814" w14:textId="77777777" w:rsidTr="00E10086">
        <w:trPr>
          <w:trHeight w:val="290"/>
        </w:trPr>
        <w:tc>
          <w:tcPr>
            <w:tcW w:w="785" w:type="dxa"/>
            <w:shd w:val="clear" w:color="auto" w:fill="auto"/>
            <w:noWrap/>
            <w:vAlign w:val="center"/>
            <w:hideMark/>
          </w:tcPr>
          <w:p w14:paraId="17DCEB6F" w14:textId="77777777" w:rsidR="00027ABB" w:rsidRPr="00027ABB" w:rsidRDefault="00027ABB" w:rsidP="00027ABB">
            <w:pPr>
              <w:jc w:val="center"/>
              <w:rPr>
                <w:rFonts w:ascii="Arial Narrow" w:hAnsi="Arial Narrow" w:cs="Arial"/>
                <w:sz w:val="20"/>
                <w:szCs w:val="20"/>
                <w:lang w:val="bg-BG" w:eastAsia="zh-TW"/>
              </w:rPr>
            </w:pPr>
            <w:r w:rsidRPr="00027ABB">
              <w:rPr>
                <w:rFonts w:ascii="Arial Narrow" w:hAnsi="Arial Narrow" w:cs="Arial"/>
                <w:sz w:val="20"/>
                <w:szCs w:val="20"/>
                <w:lang w:val="bg-BG" w:eastAsia="zh-TW"/>
              </w:rPr>
              <w:t>1.1</w:t>
            </w:r>
          </w:p>
        </w:tc>
        <w:tc>
          <w:tcPr>
            <w:tcW w:w="3721" w:type="dxa"/>
            <w:shd w:val="clear" w:color="auto" w:fill="auto"/>
            <w:vAlign w:val="center"/>
            <w:hideMark/>
          </w:tcPr>
          <w:p w14:paraId="1140B0D5" w14:textId="77777777" w:rsidR="00027ABB" w:rsidRPr="00027ABB" w:rsidRDefault="00027ABB" w:rsidP="00027ABB">
            <w:pPr>
              <w:ind w:left="180"/>
              <w:rPr>
                <w:rFonts w:ascii="Arial Narrow" w:hAnsi="Arial Narrow" w:cs="Arial"/>
                <w:sz w:val="20"/>
                <w:szCs w:val="20"/>
                <w:lang w:val="bg-BG" w:eastAsia="zh-TW"/>
              </w:rPr>
            </w:pPr>
            <w:r w:rsidRPr="00027ABB">
              <w:rPr>
                <w:rFonts w:ascii="Arial Narrow" w:hAnsi="Arial Narrow" w:cs="Arial"/>
                <w:sz w:val="20"/>
                <w:szCs w:val="20"/>
                <w:lang w:val="bg-BG" w:eastAsia="zh-TW"/>
              </w:rPr>
              <w:t>Продукция от растениевъдството</w:t>
            </w:r>
          </w:p>
        </w:tc>
        <w:tc>
          <w:tcPr>
            <w:tcW w:w="1083" w:type="dxa"/>
            <w:tcBorders>
              <w:top w:val="nil"/>
              <w:left w:val="single" w:sz="4" w:space="0" w:color="auto"/>
              <w:bottom w:val="single" w:sz="4" w:space="0" w:color="auto"/>
              <w:right w:val="single" w:sz="4" w:space="0" w:color="auto"/>
            </w:tcBorders>
            <w:shd w:val="clear" w:color="auto" w:fill="auto"/>
            <w:vAlign w:val="center"/>
          </w:tcPr>
          <w:p w14:paraId="79CC94FF" w14:textId="77777777" w:rsidR="00027ABB" w:rsidRPr="00027ABB" w:rsidRDefault="00027ABB" w:rsidP="00027ABB">
            <w:pPr>
              <w:jc w:val="right"/>
              <w:rPr>
                <w:rFonts w:ascii="Arial Narrow" w:hAnsi="Arial Narrow" w:cs="Arial"/>
                <w:sz w:val="20"/>
                <w:szCs w:val="20"/>
                <w:lang w:val="bg-BG"/>
              </w:rPr>
            </w:pPr>
            <w:r w:rsidRPr="00027ABB">
              <w:rPr>
                <w:rFonts w:ascii="Arial Narrow" w:hAnsi="Arial Narrow" w:cs="Arial"/>
                <w:sz w:val="20"/>
                <w:szCs w:val="20"/>
              </w:rPr>
              <w:t>9</w:t>
            </w:r>
            <w:r w:rsidRPr="00027ABB">
              <w:rPr>
                <w:rFonts w:ascii="Arial Narrow" w:hAnsi="Arial Narrow" w:cs="Arial"/>
                <w:sz w:val="20"/>
                <w:szCs w:val="20"/>
                <w:lang w:val="bg-BG"/>
              </w:rPr>
              <w:t xml:space="preserve"> </w:t>
            </w:r>
            <w:r w:rsidRPr="00027ABB">
              <w:rPr>
                <w:rFonts w:ascii="Arial Narrow" w:hAnsi="Arial Narrow" w:cs="Arial"/>
                <w:sz w:val="20"/>
                <w:szCs w:val="20"/>
              </w:rPr>
              <w:t>796,1</w:t>
            </w:r>
          </w:p>
        </w:tc>
        <w:tc>
          <w:tcPr>
            <w:tcW w:w="1099" w:type="dxa"/>
            <w:tcBorders>
              <w:top w:val="nil"/>
              <w:left w:val="nil"/>
              <w:bottom w:val="single" w:sz="4" w:space="0" w:color="auto"/>
              <w:right w:val="single" w:sz="4" w:space="0" w:color="auto"/>
            </w:tcBorders>
            <w:shd w:val="clear" w:color="auto" w:fill="auto"/>
            <w:vAlign w:val="center"/>
          </w:tcPr>
          <w:p w14:paraId="387CEEA0" w14:textId="77777777" w:rsidR="00027ABB" w:rsidRPr="00027ABB" w:rsidRDefault="00027ABB" w:rsidP="00027ABB">
            <w:pPr>
              <w:jc w:val="right"/>
              <w:rPr>
                <w:rFonts w:ascii="Arial Narrow" w:hAnsi="Arial Narrow" w:cs="Arial"/>
                <w:sz w:val="20"/>
                <w:szCs w:val="20"/>
                <w:lang w:val="bg-BG"/>
              </w:rPr>
            </w:pPr>
            <w:r w:rsidRPr="00027ABB">
              <w:rPr>
                <w:rFonts w:ascii="Arial Narrow" w:hAnsi="Arial Narrow" w:cs="Calibri"/>
                <w:color w:val="000000"/>
                <w:sz w:val="20"/>
                <w:szCs w:val="20"/>
              </w:rPr>
              <w:t>-27,1%</w:t>
            </w:r>
          </w:p>
        </w:tc>
        <w:tc>
          <w:tcPr>
            <w:tcW w:w="1099" w:type="dxa"/>
            <w:tcBorders>
              <w:top w:val="nil"/>
              <w:left w:val="nil"/>
              <w:bottom w:val="single" w:sz="4" w:space="0" w:color="auto"/>
              <w:right w:val="single" w:sz="4" w:space="0" w:color="auto"/>
            </w:tcBorders>
            <w:shd w:val="clear" w:color="auto" w:fill="auto"/>
            <w:vAlign w:val="center"/>
          </w:tcPr>
          <w:p w14:paraId="2BDB50DC" w14:textId="77777777" w:rsidR="00027ABB" w:rsidRPr="00027ABB" w:rsidRDefault="00027ABB" w:rsidP="00027ABB">
            <w:pPr>
              <w:jc w:val="right"/>
              <w:rPr>
                <w:rFonts w:ascii="Arial Narrow" w:hAnsi="Arial Narrow" w:cs="Arial"/>
                <w:sz w:val="20"/>
                <w:szCs w:val="20"/>
                <w:lang w:val="bg-BG"/>
              </w:rPr>
            </w:pPr>
            <w:r w:rsidRPr="00027ABB">
              <w:rPr>
                <w:rFonts w:ascii="Arial Narrow" w:hAnsi="Arial Narrow" w:cs="Arial"/>
                <w:sz w:val="20"/>
                <w:szCs w:val="20"/>
              </w:rPr>
              <w:t>7</w:t>
            </w:r>
            <w:r w:rsidRPr="00027ABB">
              <w:rPr>
                <w:rFonts w:ascii="Arial Narrow" w:hAnsi="Arial Narrow" w:cs="Arial"/>
                <w:sz w:val="20"/>
                <w:szCs w:val="20"/>
                <w:lang w:val="bg-BG"/>
              </w:rPr>
              <w:t xml:space="preserve"> </w:t>
            </w:r>
            <w:r w:rsidRPr="00027ABB">
              <w:rPr>
                <w:rFonts w:ascii="Arial Narrow" w:hAnsi="Arial Narrow" w:cs="Arial"/>
                <w:sz w:val="20"/>
                <w:szCs w:val="20"/>
              </w:rPr>
              <w:t>137,9</w:t>
            </w:r>
          </w:p>
        </w:tc>
        <w:tc>
          <w:tcPr>
            <w:tcW w:w="1099" w:type="dxa"/>
            <w:tcBorders>
              <w:top w:val="nil"/>
              <w:left w:val="single" w:sz="4" w:space="0" w:color="auto"/>
              <w:bottom w:val="single" w:sz="4" w:space="0" w:color="auto"/>
              <w:right w:val="single" w:sz="4" w:space="0" w:color="auto"/>
            </w:tcBorders>
            <w:shd w:val="clear" w:color="auto" w:fill="auto"/>
            <w:vAlign w:val="center"/>
          </w:tcPr>
          <w:p w14:paraId="17B9CE82" w14:textId="77777777" w:rsidR="00027ABB" w:rsidRPr="00027ABB" w:rsidRDefault="00027ABB" w:rsidP="00027ABB">
            <w:pPr>
              <w:jc w:val="right"/>
              <w:rPr>
                <w:rFonts w:ascii="Arial Narrow" w:hAnsi="Arial Narrow" w:cs="Arial"/>
                <w:sz w:val="20"/>
                <w:szCs w:val="20"/>
                <w:lang w:val="bg-BG"/>
              </w:rPr>
            </w:pPr>
            <w:r w:rsidRPr="00027ABB">
              <w:rPr>
                <w:rFonts w:ascii="Arial Narrow" w:hAnsi="Arial Narrow" w:cs="Calibri"/>
                <w:color w:val="000000"/>
                <w:sz w:val="20"/>
                <w:szCs w:val="20"/>
              </w:rPr>
              <w:t>-9,5%</w:t>
            </w:r>
          </w:p>
        </w:tc>
        <w:tc>
          <w:tcPr>
            <w:tcW w:w="974" w:type="dxa"/>
            <w:tcBorders>
              <w:top w:val="nil"/>
              <w:left w:val="nil"/>
              <w:bottom w:val="single" w:sz="4" w:space="0" w:color="auto"/>
              <w:right w:val="single" w:sz="4" w:space="0" w:color="auto"/>
            </w:tcBorders>
            <w:shd w:val="clear" w:color="auto" w:fill="auto"/>
            <w:vAlign w:val="center"/>
          </w:tcPr>
          <w:p w14:paraId="4E3408BF" w14:textId="77777777" w:rsidR="00027ABB" w:rsidRPr="00027ABB" w:rsidRDefault="00027ABB" w:rsidP="00027ABB">
            <w:pPr>
              <w:jc w:val="right"/>
              <w:rPr>
                <w:rFonts w:ascii="Arial Narrow" w:hAnsi="Arial Narrow" w:cs="Arial"/>
                <w:sz w:val="20"/>
                <w:szCs w:val="20"/>
                <w:lang w:val="bg-BG"/>
              </w:rPr>
            </w:pPr>
            <w:r w:rsidRPr="00027ABB">
              <w:rPr>
                <w:rFonts w:ascii="Arial Narrow" w:hAnsi="Arial Narrow" w:cs="Arial"/>
                <w:sz w:val="20"/>
                <w:szCs w:val="20"/>
              </w:rPr>
              <w:t>6</w:t>
            </w:r>
            <w:r w:rsidRPr="00027ABB">
              <w:rPr>
                <w:rFonts w:ascii="Arial Narrow" w:hAnsi="Arial Narrow" w:cs="Arial"/>
                <w:sz w:val="20"/>
                <w:szCs w:val="20"/>
                <w:lang w:val="bg-BG"/>
              </w:rPr>
              <w:t xml:space="preserve"> </w:t>
            </w:r>
            <w:r w:rsidRPr="00027ABB">
              <w:rPr>
                <w:rFonts w:ascii="Arial Narrow" w:hAnsi="Arial Narrow" w:cs="Arial"/>
                <w:sz w:val="20"/>
                <w:szCs w:val="20"/>
              </w:rPr>
              <w:t>456,7</w:t>
            </w:r>
          </w:p>
        </w:tc>
      </w:tr>
      <w:tr w:rsidR="00027ABB" w:rsidRPr="00027ABB" w14:paraId="24B9564E" w14:textId="77777777" w:rsidTr="00E10086">
        <w:trPr>
          <w:trHeight w:val="290"/>
        </w:trPr>
        <w:tc>
          <w:tcPr>
            <w:tcW w:w="785" w:type="dxa"/>
            <w:shd w:val="clear" w:color="auto" w:fill="auto"/>
            <w:noWrap/>
            <w:vAlign w:val="center"/>
            <w:hideMark/>
          </w:tcPr>
          <w:p w14:paraId="6D4B784C" w14:textId="77777777" w:rsidR="00027ABB" w:rsidRPr="00027ABB" w:rsidRDefault="00027ABB" w:rsidP="00027ABB">
            <w:pPr>
              <w:jc w:val="center"/>
              <w:rPr>
                <w:rFonts w:ascii="Arial Narrow" w:hAnsi="Arial Narrow" w:cs="Arial"/>
                <w:sz w:val="20"/>
                <w:szCs w:val="20"/>
                <w:lang w:val="bg-BG" w:eastAsia="zh-TW"/>
              </w:rPr>
            </w:pPr>
            <w:r w:rsidRPr="00027ABB">
              <w:rPr>
                <w:rFonts w:ascii="Arial Narrow" w:hAnsi="Arial Narrow" w:cs="Arial"/>
                <w:sz w:val="20"/>
                <w:szCs w:val="20"/>
                <w:lang w:val="bg-BG" w:eastAsia="zh-TW"/>
              </w:rPr>
              <w:t>1.2</w:t>
            </w:r>
          </w:p>
        </w:tc>
        <w:tc>
          <w:tcPr>
            <w:tcW w:w="3721" w:type="dxa"/>
            <w:shd w:val="clear" w:color="auto" w:fill="auto"/>
            <w:vAlign w:val="center"/>
            <w:hideMark/>
          </w:tcPr>
          <w:p w14:paraId="0352DE12" w14:textId="77777777" w:rsidR="00027ABB" w:rsidRPr="00027ABB" w:rsidRDefault="00027ABB" w:rsidP="00027ABB">
            <w:pPr>
              <w:ind w:left="180"/>
              <w:rPr>
                <w:rFonts w:ascii="Arial Narrow" w:hAnsi="Arial Narrow" w:cs="Arial"/>
                <w:sz w:val="20"/>
                <w:szCs w:val="20"/>
                <w:lang w:val="bg-BG" w:eastAsia="zh-TW"/>
              </w:rPr>
            </w:pPr>
            <w:r w:rsidRPr="00027ABB">
              <w:rPr>
                <w:rFonts w:ascii="Arial Narrow" w:hAnsi="Arial Narrow" w:cs="Arial"/>
                <w:sz w:val="20"/>
                <w:szCs w:val="20"/>
                <w:lang w:val="bg-BG" w:eastAsia="zh-TW"/>
              </w:rPr>
              <w:t>Продукция от животновъдството</w:t>
            </w:r>
          </w:p>
        </w:tc>
        <w:tc>
          <w:tcPr>
            <w:tcW w:w="1083" w:type="dxa"/>
            <w:tcBorders>
              <w:top w:val="nil"/>
              <w:left w:val="single" w:sz="4" w:space="0" w:color="auto"/>
              <w:bottom w:val="single" w:sz="4" w:space="0" w:color="auto"/>
              <w:right w:val="single" w:sz="4" w:space="0" w:color="auto"/>
            </w:tcBorders>
            <w:shd w:val="clear" w:color="auto" w:fill="auto"/>
            <w:vAlign w:val="center"/>
          </w:tcPr>
          <w:p w14:paraId="1D1DFFBB" w14:textId="77777777" w:rsidR="00027ABB" w:rsidRPr="00027ABB" w:rsidRDefault="00027ABB" w:rsidP="00027ABB">
            <w:pPr>
              <w:jc w:val="right"/>
              <w:rPr>
                <w:rFonts w:ascii="Arial Narrow" w:hAnsi="Arial Narrow" w:cs="Arial"/>
                <w:sz w:val="20"/>
                <w:szCs w:val="20"/>
                <w:lang w:val="bg-BG"/>
              </w:rPr>
            </w:pPr>
            <w:r w:rsidRPr="00027ABB">
              <w:rPr>
                <w:rFonts w:ascii="Arial Narrow" w:hAnsi="Arial Narrow" w:cs="Arial"/>
                <w:sz w:val="20"/>
                <w:szCs w:val="20"/>
              </w:rPr>
              <w:t>2</w:t>
            </w:r>
            <w:r w:rsidRPr="00027ABB">
              <w:rPr>
                <w:rFonts w:ascii="Arial Narrow" w:hAnsi="Arial Narrow" w:cs="Arial"/>
                <w:sz w:val="20"/>
                <w:szCs w:val="20"/>
                <w:lang w:val="bg-BG"/>
              </w:rPr>
              <w:t xml:space="preserve"> </w:t>
            </w:r>
            <w:r w:rsidRPr="00027ABB">
              <w:rPr>
                <w:rFonts w:ascii="Arial Narrow" w:hAnsi="Arial Narrow" w:cs="Arial"/>
                <w:sz w:val="20"/>
                <w:szCs w:val="20"/>
              </w:rPr>
              <w:t>317,6</w:t>
            </w:r>
          </w:p>
        </w:tc>
        <w:tc>
          <w:tcPr>
            <w:tcW w:w="1099" w:type="dxa"/>
            <w:tcBorders>
              <w:top w:val="nil"/>
              <w:left w:val="nil"/>
              <w:bottom w:val="single" w:sz="4" w:space="0" w:color="auto"/>
              <w:right w:val="single" w:sz="4" w:space="0" w:color="auto"/>
            </w:tcBorders>
            <w:shd w:val="clear" w:color="auto" w:fill="auto"/>
            <w:vAlign w:val="center"/>
          </w:tcPr>
          <w:p w14:paraId="22E85C57" w14:textId="77777777" w:rsidR="00027ABB" w:rsidRPr="00027ABB" w:rsidRDefault="00027ABB" w:rsidP="00027ABB">
            <w:pPr>
              <w:jc w:val="right"/>
              <w:rPr>
                <w:rFonts w:ascii="Arial Narrow" w:hAnsi="Arial Narrow" w:cs="Arial"/>
                <w:sz w:val="20"/>
                <w:szCs w:val="20"/>
                <w:lang w:val="bg-BG"/>
              </w:rPr>
            </w:pPr>
            <w:r w:rsidRPr="00027ABB">
              <w:rPr>
                <w:rFonts w:ascii="Arial Narrow" w:hAnsi="Arial Narrow" w:cs="Calibri"/>
                <w:color w:val="000000"/>
                <w:sz w:val="20"/>
                <w:szCs w:val="20"/>
              </w:rPr>
              <w:t>8,4%</w:t>
            </w:r>
          </w:p>
        </w:tc>
        <w:tc>
          <w:tcPr>
            <w:tcW w:w="1099" w:type="dxa"/>
            <w:tcBorders>
              <w:top w:val="nil"/>
              <w:left w:val="nil"/>
              <w:bottom w:val="single" w:sz="4" w:space="0" w:color="auto"/>
              <w:right w:val="single" w:sz="4" w:space="0" w:color="auto"/>
            </w:tcBorders>
            <w:shd w:val="clear" w:color="auto" w:fill="auto"/>
            <w:vAlign w:val="center"/>
          </w:tcPr>
          <w:p w14:paraId="472B30F3" w14:textId="77777777" w:rsidR="00027ABB" w:rsidRPr="00027ABB" w:rsidRDefault="00027ABB" w:rsidP="00027ABB">
            <w:pPr>
              <w:jc w:val="right"/>
              <w:rPr>
                <w:rFonts w:ascii="Arial Narrow" w:hAnsi="Arial Narrow" w:cs="Arial"/>
                <w:sz w:val="20"/>
                <w:szCs w:val="20"/>
                <w:lang w:val="bg-BG"/>
              </w:rPr>
            </w:pPr>
            <w:r w:rsidRPr="00027ABB">
              <w:rPr>
                <w:rFonts w:ascii="Arial Narrow" w:hAnsi="Arial Narrow" w:cs="Arial"/>
                <w:sz w:val="20"/>
                <w:szCs w:val="20"/>
              </w:rPr>
              <w:t>2</w:t>
            </w:r>
            <w:r w:rsidRPr="00027ABB">
              <w:rPr>
                <w:rFonts w:ascii="Arial Narrow" w:hAnsi="Arial Narrow" w:cs="Arial"/>
                <w:sz w:val="20"/>
                <w:szCs w:val="20"/>
                <w:lang w:val="bg-BG"/>
              </w:rPr>
              <w:t xml:space="preserve"> </w:t>
            </w:r>
            <w:r w:rsidRPr="00027ABB">
              <w:rPr>
                <w:rFonts w:ascii="Arial Narrow" w:hAnsi="Arial Narrow" w:cs="Arial"/>
                <w:sz w:val="20"/>
                <w:szCs w:val="20"/>
              </w:rPr>
              <w:t>511,3</w:t>
            </w:r>
          </w:p>
        </w:tc>
        <w:tc>
          <w:tcPr>
            <w:tcW w:w="1099" w:type="dxa"/>
            <w:tcBorders>
              <w:top w:val="nil"/>
              <w:left w:val="single" w:sz="4" w:space="0" w:color="auto"/>
              <w:bottom w:val="single" w:sz="4" w:space="0" w:color="auto"/>
              <w:right w:val="single" w:sz="4" w:space="0" w:color="auto"/>
            </w:tcBorders>
            <w:shd w:val="clear" w:color="auto" w:fill="auto"/>
            <w:vAlign w:val="center"/>
          </w:tcPr>
          <w:p w14:paraId="5F01AEB8" w14:textId="77777777" w:rsidR="00027ABB" w:rsidRPr="00027ABB" w:rsidRDefault="00027ABB" w:rsidP="00027ABB">
            <w:pPr>
              <w:jc w:val="right"/>
              <w:rPr>
                <w:rFonts w:ascii="Arial Narrow" w:hAnsi="Arial Narrow" w:cs="Arial"/>
                <w:sz w:val="20"/>
                <w:szCs w:val="20"/>
                <w:lang w:val="bg-BG"/>
              </w:rPr>
            </w:pPr>
            <w:r w:rsidRPr="00027ABB">
              <w:rPr>
                <w:rFonts w:ascii="Arial Narrow" w:hAnsi="Arial Narrow" w:cs="Calibri"/>
                <w:color w:val="000000"/>
                <w:sz w:val="20"/>
                <w:szCs w:val="20"/>
              </w:rPr>
              <w:t>-6,8%</w:t>
            </w:r>
          </w:p>
        </w:tc>
        <w:tc>
          <w:tcPr>
            <w:tcW w:w="974" w:type="dxa"/>
            <w:tcBorders>
              <w:top w:val="nil"/>
              <w:left w:val="nil"/>
              <w:bottom w:val="single" w:sz="4" w:space="0" w:color="auto"/>
              <w:right w:val="single" w:sz="4" w:space="0" w:color="auto"/>
            </w:tcBorders>
            <w:shd w:val="clear" w:color="auto" w:fill="auto"/>
            <w:vAlign w:val="center"/>
          </w:tcPr>
          <w:p w14:paraId="5E98BDE1" w14:textId="77777777" w:rsidR="00027ABB" w:rsidRPr="00027ABB" w:rsidRDefault="00027ABB" w:rsidP="00027ABB">
            <w:pPr>
              <w:jc w:val="right"/>
              <w:rPr>
                <w:rFonts w:ascii="Arial Narrow" w:hAnsi="Arial Narrow" w:cs="Arial"/>
                <w:sz w:val="20"/>
                <w:szCs w:val="20"/>
                <w:lang w:val="bg-BG"/>
              </w:rPr>
            </w:pPr>
            <w:r w:rsidRPr="00027ABB">
              <w:rPr>
                <w:rFonts w:ascii="Arial Narrow" w:hAnsi="Arial Narrow" w:cs="Arial"/>
                <w:sz w:val="20"/>
                <w:szCs w:val="20"/>
              </w:rPr>
              <w:t>2</w:t>
            </w:r>
            <w:r w:rsidRPr="00027ABB">
              <w:rPr>
                <w:rFonts w:ascii="Arial Narrow" w:hAnsi="Arial Narrow" w:cs="Arial"/>
                <w:sz w:val="20"/>
                <w:szCs w:val="20"/>
                <w:lang w:val="bg-BG"/>
              </w:rPr>
              <w:t xml:space="preserve"> </w:t>
            </w:r>
            <w:r w:rsidRPr="00027ABB">
              <w:rPr>
                <w:rFonts w:ascii="Arial Narrow" w:hAnsi="Arial Narrow" w:cs="Arial"/>
                <w:sz w:val="20"/>
                <w:szCs w:val="20"/>
              </w:rPr>
              <w:t>341,3</w:t>
            </w:r>
          </w:p>
        </w:tc>
      </w:tr>
      <w:tr w:rsidR="00027ABB" w:rsidRPr="00027ABB" w14:paraId="1813DF9C" w14:textId="77777777" w:rsidTr="00E10086">
        <w:trPr>
          <w:trHeight w:val="290"/>
        </w:trPr>
        <w:tc>
          <w:tcPr>
            <w:tcW w:w="785" w:type="dxa"/>
            <w:shd w:val="clear" w:color="auto" w:fill="auto"/>
            <w:vAlign w:val="center"/>
            <w:hideMark/>
          </w:tcPr>
          <w:p w14:paraId="7530A195" w14:textId="77777777" w:rsidR="00027ABB" w:rsidRPr="00027ABB" w:rsidRDefault="00027ABB" w:rsidP="00027ABB">
            <w:pPr>
              <w:jc w:val="center"/>
              <w:rPr>
                <w:rFonts w:ascii="Arial Narrow" w:hAnsi="Arial Narrow" w:cs="Arial"/>
                <w:sz w:val="20"/>
                <w:szCs w:val="20"/>
                <w:lang w:val="bg-BG" w:eastAsia="zh-TW"/>
              </w:rPr>
            </w:pPr>
            <w:r w:rsidRPr="00027ABB">
              <w:rPr>
                <w:rFonts w:ascii="Arial Narrow" w:hAnsi="Arial Narrow" w:cs="Arial"/>
                <w:sz w:val="20"/>
                <w:szCs w:val="20"/>
                <w:lang w:val="bg-BG" w:eastAsia="zh-TW"/>
              </w:rPr>
              <w:t>2</w:t>
            </w:r>
          </w:p>
        </w:tc>
        <w:tc>
          <w:tcPr>
            <w:tcW w:w="3721" w:type="dxa"/>
            <w:shd w:val="clear" w:color="auto" w:fill="auto"/>
            <w:vAlign w:val="center"/>
            <w:hideMark/>
          </w:tcPr>
          <w:p w14:paraId="65B3DA9F" w14:textId="77777777" w:rsidR="00027ABB" w:rsidRPr="00027ABB" w:rsidRDefault="00027ABB" w:rsidP="00027ABB">
            <w:pPr>
              <w:rPr>
                <w:rFonts w:ascii="Arial Narrow" w:hAnsi="Arial Narrow" w:cs="Arial"/>
                <w:sz w:val="20"/>
                <w:szCs w:val="20"/>
                <w:lang w:val="bg-BG" w:eastAsia="zh-TW"/>
              </w:rPr>
            </w:pPr>
            <w:r w:rsidRPr="00027ABB">
              <w:rPr>
                <w:rFonts w:ascii="Arial Narrow" w:hAnsi="Arial Narrow" w:cs="Arial"/>
                <w:sz w:val="20"/>
                <w:szCs w:val="20"/>
                <w:lang w:val="bg-BG" w:eastAsia="zh-TW"/>
              </w:rPr>
              <w:t>Селскостопански услуги</w:t>
            </w:r>
          </w:p>
        </w:tc>
        <w:tc>
          <w:tcPr>
            <w:tcW w:w="1083" w:type="dxa"/>
            <w:tcBorders>
              <w:top w:val="nil"/>
              <w:left w:val="single" w:sz="4" w:space="0" w:color="auto"/>
              <w:bottom w:val="single" w:sz="4" w:space="0" w:color="auto"/>
              <w:right w:val="single" w:sz="4" w:space="0" w:color="auto"/>
            </w:tcBorders>
            <w:shd w:val="clear" w:color="auto" w:fill="auto"/>
            <w:vAlign w:val="center"/>
          </w:tcPr>
          <w:p w14:paraId="3FD6EB97" w14:textId="77777777" w:rsidR="00027ABB" w:rsidRPr="00027ABB" w:rsidRDefault="00027ABB" w:rsidP="00027ABB">
            <w:pPr>
              <w:jc w:val="right"/>
              <w:rPr>
                <w:rFonts w:ascii="Arial Narrow" w:hAnsi="Arial Narrow" w:cs="Arial"/>
                <w:sz w:val="20"/>
                <w:szCs w:val="20"/>
                <w:lang w:val="bg-BG"/>
              </w:rPr>
            </w:pPr>
            <w:r w:rsidRPr="00027ABB">
              <w:rPr>
                <w:rFonts w:ascii="Arial Narrow" w:hAnsi="Arial Narrow" w:cs="Arial"/>
                <w:sz w:val="20"/>
                <w:szCs w:val="20"/>
              </w:rPr>
              <w:t>595,3</w:t>
            </w:r>
          </w:p>
        </w:tc>
        <w:tc>
          <w:tcPr>
            <w:tcW w:w="1099" w:type="dxa"/>
            <w:tcBorders>
              <w:top w:val="nil"/>
              <w:left w:val="nil"/>
              <w:bottom w:val="single" w:sz="4" w:space="0" w:color="auto"/>
              <w:right w:val="single" w:sz="4" w:space="0" w:color="auto"/>
            </w:tcBorders>
            <w:shd w:val="clear" w:color="auto" w:fill="auto"/>
            <w:vAlign w:val="center"/>
          </w:tcPr>
          <w:p w14:paraId="3318D3ED" w14:textId="77777777" w:rsidR="00027ABB" w:rsidRPr="00027ABB" w:rsidRDefault="00027ABB" w:rsidP="00027ABB">
            <w:pPr>
              <w:jc w:val="right"/>
              <w:rPr>
                <w:rFonts w:ascii="Arial Narrow" w:hAnsi="Arial Narrow" w:cs="Arial"/>
                <w:sz w:val="20"/>
                <w:szCs w:val="20"/>
                <w:lang w:val="bg-BG"/>
              </w:rPr>
            </w:pPr>
            <w:r w:rsidRPr="00027ABB">
              <w:rPr>
                <w:rFonts w:ascii="Arial Narrow" w:hAnsi="Arial Narrow" w:cs="Calibri"/>
                <w:color w:val="000000"/>
                <w:sz w:val="20"/>
                <w:szCs w:val="20"/>
              </w:rPr>
              <w:t>0,1%</w:t>
            </w:r>
          </w:p>
        </w:tc>
        <w:tc>
          <w:tcPr>
            <w:tcW w:w="1099" w:type="dxa"/>
            <w:tcBorders>
              <w:top w:val="nil"/>
              <w:left w:val="nil"/>
              <w:bottom w:val="single" w:sz="4" w:space="0" w:color="auto"/>
              <w:right w:val="single" w:sz="4" w:space="0" w:color="auto"/>
            </w:tcBorders>
            <w:shd w:val="clear" w:color="auto" w:fill="auto"/>
            <w:vAlign w:val="center"/>
          </w:tcPr>
          <w:p w14:paraId="5A86FD4B" w14:textId="77777777" w:rsidR="00027ABB" w:rsidRPr="00027ABB" w:rsidRDefault="00027ABB" w:rsidP="00027ABB">
            <w:pPr>
              <w:jc w:val="right"/>
              <w:rPr>
                <w:rFonts w:ascii="Arial Narrow" w:hAnsi="Arial Narrow" w:cs="Arial"/>
                <w:sz w:val="20"/>
                <w:szCs w:val="20"/>
                <w:lang w:val="bg-BG"/>
              </w:rPr>
            </w:pPr>
            <w:r w:rsidRPr="00027ABB">
              <w:rPr>
                <w:rFonts w:ascii="Arial Narrow" w:hAnsi="Arial Narrow" w:cs="Arial"/>
                <w:sz w:val="20"/>
                <w:szCs w:val="20"/>
              </w:rPr>
              <w:t>595,7</w:t>
            </w:r>
          </w:p>
        </w:tc>
        <w:tc>
          <w:tcPr>
            <w:tcW w:w="1099" w:type="dxa"/>
            <w:tcBorders>
              <w:top w:val="nil"/>
              <w:left w:val="single" w:sz="4" w:space="0" w:color="auto"/>
              <w:bottom w:val="single" w:sz="4" w:space="0" w:color="auto"/>
              <w:right w:val="single" w:sz="4" w:space="0" w:color="auto"/>
            </w:tcBorders>
            <w:shd w:val="clear" w:color="auto" w:fill="auto"/>
            <w:vAlign w:val="center"/>
          </w:tcPr>
          <w:p w14:paraId="07B00A0E" w14:textId="77777777" w:rsidR="00027ABB" w:rsidRPr="00027ABB" w:rsidRDefault="00027ABB" w:rsidP="00027ABB">
            <w:pPr>
              <w:jc w:val="right"/>
              <w:rPr>
                <w:rFonts w:ascii="Arial Narrow" w:hAnsi="Arial Narrow" w:cs="Arial"/>
                <w:sz w:val="20"/>
                <w:szCs w:val="20"/>
                <w:lang w:val="bg-BG"/>
              </w:rPr>
            </w:pPr>
            <w:r w:rsidRPr="00027ABB">
              <w:rPr>
                <w:rFonts w:ascii="Arial Narrow" w:hAnsi="Arial Narrow" w:cs="Calibri"/>
                <w:color w:val="000000"/>
                <w:sz w:val="20"/>
                <w:szCs w:val="20"/>
              </w:rPr>
              <w:t>-8,0%</w:t>
            </w:r>
          </w:p>
        </w:tc>
        <w:tc>
          <w:tcPr>
            <w:tcW w:w="974" w:type="dxa"/>
            <w:tcBorders>
              <w:top w:val="nil"/>
              <w:left w:val="nil"/>
              <w:bottom w:val="single" w:sz="4" w:space="0" w:color="auto"/>
              <w:right w:val="single" w:sz="4" w:space="0" w:color="auto"/>
            </w:tcBorders>
            <w:shd w:val="clear" w:color="auto" w:fill="auto"/>
            <w:vAlign w:val="center"/>
          </w:tcPr>
          <w:p w14:paraId="077E6C78" w14:textId="77777777" w:rsidR="00027ABB" w:rsidRPr="00027ABB" w:rsidRDefault="00027ABB" w:rsidP="00027ABB">
            <w:pPr>
              <w:jc w:val="right"/>
              <w:rPr>
                <w:rFonts w:ascii="Arial Narrow" w:hAnsi="Arial Narrow" w:cs="Arial"/>
                <w:sz w:val="20"/>
                <w:szCs w:val="20"/>
                <w:lang w:val="bg-BG"/>
              </w:rPr>
            </w:pPr>
            <w:r w:rsidRPr="00027ABB">
              <w:rPr>
                <w:rFonts w:ascii="Arial Narrow" w:hAnsi="Arial Narrow" w:cs="Arial"/>
                <w:sz w:val="20"/>
                <w:szCs w:val="20"/>
              </w:rPr>
              <w:t>547,8</w:t>
            </w:r>
          </w:p>
        </w:tc>
      </w:tr>
      <w:tr w:rsidR="00027ABB" w:rsidRPr="00027ABB" w14:paraId="2D847DF9" w14:textId="77777777" w:rsidTr="00E10086">
        <w:trPr>
          <w:trHeight w:val="618"/>
        </w:trPr>
        <w:tc>
          <w:tcPr>
            <w:tcW w:w="785" w:type="dxa"/>
            <w:shd w:val="clear" w:color="auto" w:fill="auto"/>
            <w:noWrap/>
            <w:vAlign w:val="center"/>
            <w:hideMark/>
          </w:tcPr>
          <w:p w14:paraId="4D7616FF" w14:textId="77777777" w:rsidR="00027ABB" w:rsidRPr="00027ABB" w:rsidRDefault="00027ABB" w:rsidP="00027ABB">
            <w:pPr>
              <w:jc w:val="center"/>
              <w:rPr>
                <w:rFonts w:ascii="Arial Narrow" w:hAnsi="Arial Narrow" w:cs="Arial"/>
                <w:sz w:val="20"/>
                <w:szCs w:val="20"/>
                <w:lang w:val="bg-BG" w:eastAsia="zh-TW"/>
              </w:rPr>
            </w:pPr>
            <w:r w:rsidRPr="00027ABB">
              <w:rPr>
                <w:rFonts w:ascii="Arial Narrow" w:hAnsi="Arial Narrow" w:cs="Arial"/>
                <w:sz w:val="20"/>
                <w:szCs w:val="20"/>
                <w:lang w:val="bg-BG" w:eastAsia="zh-TW"/>
              </w:rPr>
              <w:t>3</w:t>
            </w:r>
          </w:p>
        </w:tc>
        <w:tc>
          <w:tcPr>
            <w:tcW w:w="3721" w:type="dxa"/>
            <w:shd w:val="clear" w:color="auto" w:fill="auto"/>
            <w:vAlign w:val="center"/>
            <w:hideMark/>
          </w:tcPr>
          <w:p w14:paraId="465D1EBC" w14:textId="77777777" w:rsidR="00027ABB" w:rsidRPr="00027ABB" w:rsidRDefault="00027ABB" w:rsidP="00027ABB">
            <w:pPr>
              <w:rPr>
                <w:rFonts w:ascii="Arial Narrow" w:hAnsi="Arial Narrow" w:cs="Arial"/>
                <w:sz w:val="20"/>
                <w:szCs w:val="20"/>
                <w:lang w:val="bg-BG" w:eastAsia="zh-TW"/>
              </w:rPr>
            </w:pPr>
            <w:r w:rsidRPr="00027ABB">
              <w:rPr>
                <w:rFonts w:ascii="Arial Narrow" w:hAnsi="Arial Narrow" w:cs="Arial"/>
                <w:sz w:val="20"/>
                <w:szCs w:val="20"/>
                <w:lang w:val="bg-BG" w:eastAsia="zh-TW"/>
              </w:rPr>
              <w:t>Неселскостопански неотделими второстепенни дейности</w:t>
            </w:r>
          </w:p>
        </w:tc>
        <w:tc>
          <w:tcPr>
            <w:tcW w:w="1083" w:type="dxa"/>
            <w:tcBorders>
              <w:top w:val="nil"/>
              <w:left w:val="single" w:sz="4" w:space="0" w:color="auto"/>
              <w:bottom w:val="single" w:sz="4" w:space="0" w:color="auto"/>
              <w:right w:val="single" w:sz="4" w:space="0" w:color="auto"/>
            </w:tcBorders>
            <w:shd w:val="clear" w:color="auto" w:fill="auto"/>
            <w:vAlign w:val="center"/>
          </w:tcPr>
          <w:p w14:paraId="7D70F3ED" w14:textId="77777777" w:rsidR="00027ABB" w:rsidRPr="00027ABB" w:rsidRDefault="00027ABB" w:rsidP="00027ABB">
            <w:pPr>
              <w:jc w:val="right"/>
              <w:rPr>
                <w:rFonts w:ascii="Arial Narrow" w:hAnsi="Arial Narrow" w:cs="Arial"/>
                <w:sz w:val="20"/>
                <w:szCs w:val="20"/>
                <w:lang w:val="bg-BG"/>
              </w:rPr>
            </w:pPr>
            <w:r w:rsidRPr="00027ABB">
              <w:rPr>
                <w:rFonts w:ascii="Arial Narrow" w:hAnsi="Arial Narrow" w:cs="Arial"/>
                <w:sz w:val="20"/>
                <w:szCs w:val="20"/>
              </w:rPr>
              <w:t>273,2</w:t>
            </w:r>
          </w:p>
        </w:tc>
        <w:tc>
          <w:tcPr>
            <w:tcW w:w="1099" w:type="dxa"/>
            <w:tcBorders>
              <w:top w:val="nil"/>
              <w:left w:val="nil"/>
              <w:bottom w:val="single" w:sz="4" w:space="0" w:color="auto"/>
              <w:right w:val="single" w:sz="4" w:space="0" w:color="auto"/>
            </w:tcBorders>
            <w:shd w:val="clear" w:color="auto" w:fill="auto"/>
            <w:vAlign w:val="center"/>
          </w:tcPr>
          <w:p w14:paraId="714ABEEF" w14:textId="77777777" w:rsidR="00027ABB" w:rsidRPr="00027ABB" w:rsidRDefault="00027ABB" w:rsidP="00027ABB">
            <w:pPr>
              <w:jc w:val="right"/>
              <w:rPr>
                <w:rFonts w:ascii="Arial Narrow" w:hAnsi="Arial Narrow" w:cs="Arial"/>
                <w:sz w:val="20"/>
                <w:szCs w:val="20"/>
                <w:lang w:val="bg-BG"/>
              </w:rPr>
            </w:pPr>
            <w:r w:rsidRPr="00027ABB">
              <w:rPr>
                <w:rFonts w:ascii="Arial Narrow" w:hAnsi="Arial Narrow" w:cs="Calibri"/>
                <w:color w:val="000000"/>
                <w:sz w:val="20"/>
                <w:szCs w:val="20"/>
              </w:rPr>
              <w:t>9,4%</w:t>
            </w:r>
          </w:p>
        </w:tc>
        <w:tc>
          <w:tcPr>
            <w:tcW w:w="1099" w:type="dxa"/>
            <w:tcBorders>
              <w:top w:val="nil"/>
              <w:left w:val="nil"/>
              <w:bottom w:val="single" w:sz="4" w:space="0" w:color="auto"/>
              <w:right w:val="single" w:sz="4" w:space="0" w:color="auto"/>
            </w:tcBorders>
            <w:shd w:val="clear" w:color="auto" w:fill="auto"/>
            <w:vAlign w:val="center"/>
          </w:tcPr>
          <w:p w14:paraId="5B8BD022" w14:textId="77777777" w:rsidR="00027ABB" w:rsidRPr="00027ABB" w:rsidRDefault="00027ABB" w:rsidP="00027ABB">
            <w:pPr>
              <w:jc w:val="right"/>
              <w:rPr>
                <w:rFonts w:ascii="Arial Narrow" w:hAnsi="Arial Narrow" w:cs="Arial"/>
                <w:sz w:val="20"/>
                <w:szCs w:val="20"/>
                <w:lang w:val="bg-BG"/>
              </w:rPr>
            </w:pPr>
            <w:r w:rsidRPr="00027ABB">
              <w:rPr>
                <w:rFonts w:ascii="Arial Narrow" w:hAnsi="Arial Narrow" w:cs="Arial"/>
                <w:sz w:val="20"/>
                <w:szCs w:val="20"/>
              </w:rPr>
              <w:t>299,0</w:t>
            </w:r>
          </w:p>
        </w:tc>
        <w:tc>
          <w:tcPr>
            <w:tcW w:w="1099" w:type="dxa"/>
            <w:tcBorders>
              <w:top w:val="nil"/>
              <w:left w:val="single" w:sz="4" w:space="0" w:color="auto"/>
              <w:bottom w:val="single" w:sz="4" w:space="0" w:color="auto"/>
              <w:right w:val="single" w:sz="4" w:space="0" w:color="auto"/>
            </w:tcBorders>
            <w:shd w:val="clear" w:color="auto" w:fill="auto"/>
            <w:vAlign w:val="center"/>
          </w:tcPr>
          <w:p w14:paraId="1DBC8531" w14:textId="77777777" w:rsidR="00027ABB" w:rsidRPr="00027ABB" w:rsidRDefault="00027ABB" w:rsidP="00027ABB">
            <w:pPr>
              <w:jc w:val="right"/>
              <w:rPr>
                <w:rFonts w:ascii="Arial Narrow" w:hAnsi="Arial Narrow" w:cs="Arial"/>
                <w:sz w:val="20"/>
                <w:szCs w:val="20"/>
                <w:lang w:val="bg-BG"/>
              </w:rPr>
            </w:pPr>
            <w:r w:rsidRPr="00027ABB">
              <w:rPr>
                <w:rFonts w:ascii="Arial Narrow" w:hAnsi="Arial Narrow" w:cs="Calibri"/>
                <w:color w:val="000000"/>
                <w:sz w:val="20"/>
                <w:szCs w:val="20"/>
              </w:rPr>
              <w:t>-0,3%</w:t>
            </w:r>
          </w:p>
        </w:tc>
        <w:tc>
          <w:tcPr>
            <w:tcW w:w="974" w:type="dxa"/>
            <w:tcBorders>
              <w:top w:val="nil"/>
              <w:left w:val="nil"/>
              <w:bottom w:val="single" w:sz="4" w:space="0" w:color="auto"/>
              <w:right w:val="single" w:sz="4" w:space="0" w:color="auto"/>
            </w:tcBorders>
            <w:shd w:val="clear" w:color="auto" w:fill="auto"/>
            <w:vAlign w:val="center"/>
          </w:tcPr>
          <w:p w14:paraId="644E5E4C" w14:textId="77777777" w:rsidR="00027ABB" w:rsidRPr="00027ABB" w:rsidRDefault="00027ABB" w:rsidP="00027ABB">
            <w:pPr>
              <w:jc w:val="right"/>
              <w:rPr>
                <w:rFonts w:ascii="Arial Narrow" w:hAnsi="Arial Narrow" w:cs="Arial"/>
                <w:sz w:val="20"/>
                <w:szCs w:val="20"/>
                <w:lang w:val="bg-BG"/>
              </w:rPr>
            </w:pPr>
            <w:r w:rsidRPr="00027ABB">
              <w:rPr>
                <w:rFonts w:ascii="Arial Narrow" w:hAnsi="Arial Narrow" w:cs="Arial"/>
                <w:sz w:val="20"/>
                <w:szCs w:val="20"/>
              </w:rPr>
              <w:t>298,1</w:t>
            </w:r>
          </w:p>
        </w:tc>
      </w:tr>
      <w:tr w:rsidR="00027ABB" w:rsidRPr="00027ABB" w14:paraId="72A71C2D" w14:textId="77777777" w:rsidTr="00E10086">
        <w:trPr>
          <w:trHeight w:val="728"/>
        </w:trPr>
        <w:tc>
          <w:tcPr>
            <w:tcW w:w="785" w:type="dxa"/>
            <w:shd w:val="clear" w:color="auto" w:fill="auto"/>
            <w:noWrap/>
            <w:vAlign w:val="center"/>
            <w:hideMark/>
          </w:tcPr>
          <w:p w14:paraId="4EE196AB" w14:textId="77777777" w:rsidR="00027ABB" w:rsidRPr="00027ABB" w:rsidRDefault="00027ABB" w:rsidP="00027ABB">
            <w:pPr>
              <w:jc w:val="center"/>
              <w:rPr>
                <w:rFonts w:ascii="Arial Narrow" w:hAnsi="Arial Narrow" w:cs="Arial"/>
                <w:sz w:val="20"/>
                <w:szCs w:val="20"/>
                <w:lang w:val="bg-BG" w:eastAsia="zh-TW"/>
              </w:rPr>
            </w:pPr>
            <w:r w:rsidRPr="00027ABB">
              <w:rPr>
                <w:rFonts w:ascii="Arial Narrow" w:hAnsi="Arial Narrow" w:cs="Arial"/>
                <w:sz w:val="20"/>
                <w:szCs w:val="20"/>
                <w:lang w:val="bg-BG" w:eastAsia="zh-TW"/>
              </w:rPr>
              <w:t>4</w:t>
            </w:r>
          </w:p>
        </w:tc>
        <w:tc>
          <w:tcPr>
            <w:tcW w:w="3721" w:type="dxa"/>
            <w:shd w:val="clear" w:color="auto" w:fill="auto"/>
            <w:vAlign w:val="center"/>
            <w:hideMark/>
          </w:tcPr>
          <w:p w14:paraId="3F5DF676" w14:textId="77777777" w:rsidR="00027ABB" w:rsidRPr="00027ABB" w:rsidRDefault="00027ABB" w:rsidP="00DB70F7">
            <w:pPr>
              <w:rPr>
                <w:rFonts w:ascii="Arial Narrow" w:hAnsi="Arial Narrow" w:cs="Arial"/>
                <w:sz w:val="20"/>
                <w:szCs w:val="20"/>
                <w:lang w:val="bg-BG" w:eastAsia="zh-TW"/>
              </w:rPr>
            </w:pPr>
            <w:r w:rsidRPr="00027ABB">
              <w:rPr>
                <w:rFonts w:ascii="Arial Narrow" w:hAnsi="Arial Narrow" w:cs="Arial"/>
                <w:sz w:val="20"/>
                <w:szCs w:val="20"/>
                <w:lang w:val="bg-BG" w:eastAsia="zh-TW"/>
              </w:rPr>
              <w:t>Стойност на брутната продукция от отрасъл Селско стопанство (по цени на производител*) (р 4 = р 1.1 + р 1.2 + р 2 + р 3)</w:t>
            </w:r>
          </w:p>
        </w:tc>
        <w:tc>
          <w:tcPr>
            <w:tcW w:w="1083" w:type="dxa"/>
            <w:tcBorders>
              <w:top w:val="nil"/>
              <w:left w:val="single" w:sz="4" w:space="0" w:color="auto"/>
              <w:bottom w:val="single" w:sz="4" w:space="0" w:color="auto"/>
              <w:right w:val="single" w:sz="4" w:space="0" w:color="auto"/>
            </w:tcBorders>
            <w:shd w:val="clear" w:color="auto" w:fill="auto"/>
            <w:noWrap/>
            <w:vAlign w:val="center"/>
          </w:tcPr>
          <w:p w14:paraId="12C4ECA1" w14:textId="77777777" w:rsidR="00027ABB" w:rsidRPr="00027ABB" w:rsidRDefault="00027ABB" w:rsidP="00027ABB">
            <w:pPr>
              <w:jc w:val="right"/>
              <w:rPr>
                <w:rFonts w:ascii="Arial Narrow" w:hAnsi="Arial Narrow" w:cs="Arial"/>
                <w:sz w:val="20"/>
                <w:szCs w:val="20"/>
                <w:lang w:val="bg-BG"/>
              </w:rPr>
            </w:pPr>
            <w:r w:rsidRPr="00027ABB">
              <w:rPr>
                <w:rFonts w:ascii="Arial Narrow" w:hAnsi="Arial Narrow" w:cs="Arial"/>
                <w:color w:val="000000"/>
                <w:sz w:val="20"/>
                <w:szCs w:val="20"/>
              </w:rPr>
              <w:t>12 982,20</w:t>
            </w:r>
          </w:p>
        </w:tc>
        <w:tc>
          <w:tcPr>
            <w:tcW w:w="1099" w:type="dxa"/>
            <w:tcBorders>
              <w:top w:val="nil"/>
              <w:left w:val="nil"/>
              <w:bottom w:val="single" w:sz="4" w:space="0" w:color="auto"/>
              <w:right w:val="single" w:sz="4" w:space="0" w:color="auto"/>
            </w:tcBorders>
            <w:shd w:val="clear" w:color="auto" w:fill="auto"/>
            <w:vAlign w:val="center"/>
          </w:tcPr>
          <w:p w14:paraId="27B69536" w14:textId="77777777" w:rsidR="00027ABB" w:rsidRPr="00027ABB" w:rsidRDefault="00027ABB" w:rsidP="00027ABB">
            <w:pPr>
              <w:jc w:val="right"/>
              <w:rPr>
                <w:rFonts w:ascii="Arial Narrow" w:hAnsi="Arial Narrow" w:cs="Arial"/>
                <w:sz w:val="20"/>
                <w:szCs w:val="20"/>
                <w:lang w:val="bg-BG"/>
              </w:rPr>
            </w:pPr>
            <w:r w:rsidRPr="00027ABB">
              <w:rPr>
                <w:rFonts w:ascii="Arial Narrow" w:hAnsi="Arial Narrow" w:cs="Calibri"/>
                <w:color w:val="000000"/>
                <w:sz w:val="20"/>
                <w:szCs w:val="20"/>
              </w:rPr>
              <w:t>-18,8%</w:t>
            </w:r>
          </w:p>
        </w:tc>
        <w:tc>
          <w:tcPr>
            <w:tcW w:w="1099" w:type="dxa"/>
            <w:tcBorders>
              <w:top w:val="nil"/>
              <w:left w:val="nil"/>
              <w:bottom w:val="single" w:sz="4" w:space="0" w:color="auto"/>
              <w:right w:val="single" w:sz="4" w:space="0" w:color="auto"/>
            </w:tcBorders>
            <w:shd w:val="clear" w:color="auto" w:fill="auto"/>
            <w:noWrap/>
            <w:vAlign w:val="center"/>
          </w:tcPr>
          <w:p w14:paraId="2286FF5A" w14:textId="77777777" w:rsidR="00027ABB" w:rsidRPr="00027ABB" w:rsidRDefault="00027ABB" w:rsidP="00027ABB">
            <w:pPr>
              <w:jc w:val="right"/>
              <w:rPr>
                <w:rFonts w:ascii="Arial Narrow" w:hAnsi="Arial Narrow" w:cs="Arial"/>
                <w:sz w:val="20"/>
                <w:szCs w:val="20"/>
                <w:lang w:val="bg-BG"/>
              </w:rPr>
            </w:pPr>
            <w:r w:rsidRPr="00027ABB">
              <w:rPr>
                <w:rFonts w:ascii="Arial Narrow" w:hAnsi="Arial Narrow" w:cs="Arial"/>
                <w:color w:val="000000"/>
                <w:sz w:val="20"/>
                <w:szCs w:val="20"/>
              </w:rPr>
              <w:t>10 543,90</w:t>
            </w:r>
          </w:p>
        </w:tc>
        <w:tc>
          <w:tcPr>
            <w:tcW w:w="1099" w:type="dxa"/>
            <w:tcBorders>
              <w:top w:val="nil"/>
              <w:left w:val="single" w:sz="4" w:space="0" w:color="auto"/>
              <w:bottom w:val="single" w:sz="4" w:space="0" w:color="auto"/>
              <w:right w:val="single" w:sz="4" w:space="0" w:color="auto"/>
            </w:tcBorders>
            <w:shd w:val="clear" w:color="auto" w:fill="auto"/>
            <w:vAlign w:val="center"/>
          </w:tcPr>
          <w:p w14:paraId="2FFEE528" w14:textId="77777777" w:rsidR="00027ABB" w:rsidRPr="00027ABB" w:rsidRDefault="00027ABB" w:rsidP="00027ABB">
            <w:pPr>
              <w:jc w:val="right"/>
              <w:rPr>
                <w:rFonts w:ascii="Arial Narrow" w:hAnsi="Arial Narrow" w:cs="Arial"/>
                <w:sz w:val="20"/>
                <w:szCs w:val="20"/>
                <w:lang w:val="bg-BG"/>
              </w:rPr>
            </w:pPr>
            <w:r w:rsidRPr="00027ABB">
              <w:rPr>
                <w:rFonts w:ascii="Arial Narrow" w:hAnsi="Arial Narrow" w:cs="Calibri"/>
                <w:color w:val="000000"/>
                <w:sz w:val="20"/>
                <w:szCs w:val="20"/>
              </w:rPr>
              <w:t>-8,5%</w:t>
            </w:r>
          </w:p>
        </w:tc>
        <w:tc>
          <w:tcPr>
            <w:tcW w:w="974" w:type="dxa"/>
            <w:tcBorders>
              <w:top w:val="nil"/>
              <w:left w:val="nil"/>
              <w:bottom w:val="single" w:sz="4" w:space="0" w:color="auto"/>
              <w:right w:val="single" w:sz="4" w:space="0" w:color="auto"/>
            </w:tcBorders>
            <w:shd w:val="clear" w:color="auto" w:fill="auto"/>
            <w:noWrap/>
            <w:vAlign w:val="center"/>
          </w:tcPr>
          <w:p w14:paraId="60A9F19E" w14:textId="77777777" w:rsidR="00027ABB" w:rsidRPr="00027ABB" w:rsidRDefault="00027ABB" w:rsidP="00027ABB">
            <w:pPr>
              <w:jc w:val="right"/>
              <w:rPr>
                <w:rFonts w:ascii="Arial Narrow" w:hAnsi="Arial Narrow" w:cs="Arial"/>
                <w:sz w:val="20"/>
                <w:szCs w:val="20"/>
                <w:lang w:val="bg-BG"/>
              </w:rPr>
            </w:pPr>
            <w:r w:rsidRPr="00027ABB">
              <w:rPr>
                <w:rFonts w:ascii="Arial Narrow" w:hAnsi="Arial Narrow" w:cs="Arial"/>
                <w:color w:val="000000"/>
                <w:sz w:val="20"/>
                <w:szCs w:val="20"/>
              </w:rPr>
              <w:t>9 643,90</w:t>
            </w:r>
          </w:p>
        </w:tc>
      </w:tr>
      <w:tr w:rsidR="00027ABB" w:rsidRPr="00027ABB" w14:paraId="4354D988" w14:textId="77777777" w:rsidTr="00E10086">
        <w:trPr>
          <w:trHeight w:val="756"/>
        </w:trPr>
        <w:tc>
          <w:tcPr>
            <w:tcW w:w="785" w:type="dxa"/>
            <w:shd w:val="clear" w:color="auto" w:fill="auto"/>
            <w:noWrap/>
            <w:vAlign w:val="center"/>
            <w:hideMark/>
          </w:tcPr>
          <w:p w14:paraId="0FF0EC20" w14:textId="77777777" w:rsidR="00027ABB" w:rsidRPr="00027ABB" w:rsidRDefault="00027ABB" w:rsidP="00027ABB">
            <w:pPr>
              <w:jc w:val="center"/>
              <w:rPr>
                <w:rFonts w:ascii="Arial Narrow" w:hAnsi="Arial Narrow" w:cs="Arial"/>
                <w:sz w:val="20"/>
                <w:szCs w:val="20"/>
                <w:lang w:val="bg-BG" w:eastAsia="zh-TW"/>
              </w:rPr>
            </w:pPr>
            <w:r w:rsidRPr="00027ABB">
              <w:rPr>
                <w:rFonts w:ascii="Arial Narrow" w:hAnsi="Arial Narrow" w:cs="Arial"/>
                <w:sz w:val="20"/>
                <w:szCs w:val="20"/>
                <w:lang w:val="bg-BG" w:eastAsia="zh-TW"/>
              </w:rPr>
              <w:t>5</w:t>
            </w:r>
          </w:p>
        </w:tc>
        <w:tc>
          <w:tcPr>
            <w:tcW w:w="3721" w:type="dxa"/>
            <w:shd w:val="clear" w:color="auto" w:fill="auto"/>
            <w:vAlign w:val="center"/>
            <w:hideMark/>
          </w:tcPr>
          <w:p w14:paraId="289F522E" w14:textId="77777777" w:rsidR="00027ABB" w:rsidRPr="00027ABB" w:rsidRDefault="00027ABB" w:rsidP="00DB70F7">
            <w:pPr>
              <w:rPr>
                <w:rFonts w:ascii="Arial Narrow" w:hAnsi="Arial Narrow" w:cs="Arial"/>
                <w:sz w:val="20"/>
                <w:szCs w:val="20"/>
                <w:lang w:val="bg-BG" w:eastAsia="zh-TW"/>
              </w:rPr>
            </w:pPr>
            <w:r w:rsidRPr="00027ABB">
              <w:rPr>
                <w:rFonts w:ascii="Arial Narrow" w:hAnsi="Arial Narrow" w:cs="Arial"/>
                <w:sz w:val="20"/>
                <w:szCs w:val="20"/>
                <w:lang w:val="bg-BG" w:eastAsia="zh-TW"/>
              </w:rPr>
              <w:t xml:space="preserve">Стойност на крайната продукция от отрасъл Селско стопанство (по базисни цени**) </w:t>
            </w:r>
          </w:p>
        </w:tc>
        <w:tc>
          <w:tcPr>
            <w:tcW w:w="1083" w:type="dxa"/>
            <w:tcBorders>
              <w:top w:val="nil"/>
              <w:left w:val="single" w:sz="4" w:space="0" w:color="auto"/>
              <w:bottom w:val="single" w:sz="4" w:space="0" w:color="auto"/>
              <w:right w:val="single" w:sz="4" w:space="0" w:color="auto"/>
            </w:tcBorders>
            <w:shd w:val="clear" w:color="auto" w:fill="auto"/>
            <w:vAlign w:val="center"/>
          </w:tcPr>
          <w:p w14:paraId="03207E4A" w14:textId="77777777" w:rsidR="00027ABB" w:rsidRPr="00027ABB" w:rsidRDefault="00027ABB" w:rsidP="00027ABB">
            <w:pPr>
              <w:jc w:val="right"/>
              <w:rPr>
                <w:rFonts w:ascii="Arial Narrow" w:hAnsi="Arial Narrow" w:cs="Arial"/>
                <w:sz w:val="20"/>
                <w:szCs w:val="20"/>
                <w:lang w:val="bg-BG"/>
              </w:rPr>
            </w:pPr>
            <w:r w:rsidRPr="00027ABB">
              <w:rPr>
                <w:rFonts w:ascii="Arial Narrow" w:hAnsi="Arial Narrow" w:cs="Arial"/>
                <w:sz w:val="20"/>
                <w:szCs w:val="20"/>
              </w:rPr>
              <w:t>12</w:t>
            </w:r>
            <w:r w:rsidRPr="00027ABB">
              <w:rPr>
                <w:rFonts w:ascii="Arial Narrow" w:hAnsi="Arial Narrow" w:cs="Arial"/>
                <w:sz w:val="20"/>
                <w:szCs w:val="20"/>
                <w:lang w:val="bg-BG"/>
              </w:rPr>
              <w:t xml:space="preserve"> </w:t>
            </w:r>
            <w:r w:rsidRPr="00027ABB">
              <w:rPr>
                <w:rFonts w:ascii="Arial Narrow" w:hAnsi="Arial Narrow" w:cs="Arial"/>
                <w:sz w:val="20"/>
                <w:szCs w:val="20"/>
              </w:rPr>
              <w:t>901,9</w:t>
            </w:r>
          </w:p>
        </w:tc>
        <w:tc>
          <w:tcPr>
            <w:tcW w:w="1099" w:type="dxa"/>
            <w:tcBorders>
              <w:top w:val="nil"/>
              <w:left w:val="nil"/>
              <w:bottom w:val="single" w:sz="4" w:space="0" w:color="auto"/>
              <w:right w:val="single" w:sz="4" w:space="0" w:color="auto"/>
            </w:tcBorders>
            <w:shd w:val="clear" w:color="auto" w:fill="auto"/>
            <w:vAlign w:val="center"/>
          </w:tcPr>
          <w:p w14:paraId="10998C9E" w14:textId="77777777" w:rsidR="00027ABB" w:rsidRPr="00027ABB" w:rsidRDefault="00027ABB" w:rsidP="00027ABB">
            <w:pPr>
              <w:jc w:val="right"/>
              <w:rPr>
                <w:rFonts w:ascii="Arial Narrow" w:hAnsi="Arial Narrow" w:cs="Arial"/>
                <w:sz w:val="20"/>
                <w:szCs w:val="20"/>
                <w:lang w:val="bg-BG"/>
              </w:rPr>
            </w:pPr>
            <w:r w:rsidRPr="00027ABB">
              <w:rPr>
                <w:rFonts w:ascii="Arial Narrow" w:hAnsi="Arial Narrow" w:cs="Calibri"/>
                <w:color w:val="000000"/>
                <w:sz w:val="20"/>
                <w:szCs w:val="20"/>
              </w:rPr>
              <w:t>-18,2%</w:t>
            </w:r>
          </w:p>
        </w:tc>
        <w:tc>
          <w:tcPr>
            <w:tcW w:w="1099" w:type="dxa"/>
            <w:tcBorders>
              <w:top w:val="nil"/>
              <w:left w:val="nil"/>
              <w:bottom w:val="single" w:sz="4" w:space="0" w:color="auto"/>
              <w:right w:val="single" w:sz="4" w:space="0" w:color="auto"/>
            </w:tcBorders>
            <w:shd w:val="clear" w:color="auto" w:fill="auto"/>
            <w:vAlign w:val="center"/>
          </w:tcPr>
          <w:p w14:paraId="6DB4318F" w14:textId="77777777" w:rsidR="00027ABB" w:rsidRPr="00027ABB" w:rsidRDefault="00027ABB" w:rsidP="00027ABB">
            <w:pPr>
              <w:jc w:val="right"/>
              <w:rPr>
                <w:rFonts w:ascii="Arial Narrow" w:hAnsi="Arial Narrow" w:cs="Arial"/>
                <w:sz w:val="20"/>
                <w:szCs w:val="20"/>
                <w:lang w:val="bg-BG"/>
              </w:rPr>
            </w:pPr>
            <w:r w:rsidRPr="00027ABB">
              <w:rPr>
                <w:rFonts w:ascii="Arial Narrow" w:hAnsi="Arial Narrow" w:cs="Arial"/>
                <w:sz w:val="20"/>
                <w:szCs w:val="20"/>
              </w:rPr>
              <w:t>10</w:t>
            </w:r>
            <w:r w:rsidRPr="00027ABB">
              <w:rPr>
                <w:rFonts w:ascii="Arial Narrow" w:hAnsi="Arial Narrow" w:cs="Arial"/>
                <w:sz w:val="20"/>
                <w:szCs w:val="20"/>
                <w:lang w:val="bg-BG"/>
              </w:rPr>
              <w:t xml:space="preserve"> </w:t>
            </w:r>
            <w:r w:rsidRPr="00027ABB">
              <w:rPr>
                <w:rFonts w:ascii="Arial Narrow" w:hAnsi="Arial Narrow" w:cs="Arial"/>
                <w:sz w:val="20"/>
                <w:szCs w:val="20"/>
              </w:rPr>
              <w:t>554,4</w:t>
            </w:r>
          </w:p>
        </w:tc>
        <w:tc>
          <w:tcPr>
            <w:tcW w:w="1099" w:type="dxa"/>
            <w:tcBorders>
              <w:top w:val="nil"/>
              <w:left w:val="single" w:sz="4" w:space="0" w:color="auto"/>
              <w:bottom w:val="single" w:sz="4" w:space="0" w:color="auto"/>
              <w:right w:val="single" w:sz="4" w:space="0" w:color="auto"/>
            </w:tcBorders>
            <w:shd w:val="clear" w:color="auto" w:fill="auto"/>
            <w:vAlign w:val="center"/>
          </w:tcPr>
          <w:p w14:paraId="34DE3994" w14:textId="77777777" w:rsidR="00027ABB" w:rsidRPr="00027ABB" w:rsidRDefault="00027ABB" w:rsidP="00027ABB">
            <w:pPr>
              <w:jc w:val="right"/>
              <w:rPr>
                <w:rFonts w:ascii="Arial Narrow" w:hAnsi="Arial Narrow" w:cs="Arial"/>
                <w:sz w:val="20"/>
                <w:szCs w:val="20"/>
                <w:lang w:val="bg-BG"/>
              </w:rPr>
            </w:pPr>
            <w:r w:rsidRPr="00027ABB">
              <w:rPr>
                <w:rFonts w:ascii="Arial Narrow" w:hAnsi="Arial Narrow" w:cs="Calibri"/>
                <w:color w:val="000000"/>
                <w:sz w:val="20"/>
                <w:szCs w:val="20"/>
              </w:rPr>
              <w:t>-8,0%</w:t>
            </w:r>
          </w:p>
        </w:tc>
        <w:tc>
          <w:tcPr>
            <w:tcW w:w="974" w:type="dxa"/>
            <w:tcBorders>
              <w:top w:val="nil"/>
              <w:left w:val="nil"/>
              <w:bottom w:val="single" w:sz="4" w:space="0" w:color="auto"/>
              <w:right w:val="single" w:sz="4" w:space="0" w:color="auto"/>
            </w:tcBorders>
            <w:shd w:val="clear" w:color="auto" w:fill="auto"/>
            <w:vAlign w:val="center"/>
          </w:tcPr>
          <w:p w14:paraId="4C53BBB5" w14:textId="77777777" w:rsidR="00027ABB" w:rsidRPr="00027ABB" w:rsidRDefault="00027ABB" w:rsidP="00027ABB">
            <w:pPr>
              <w:jc w:val="right"/>
              <w:rPr>
                <w:rFonts w:ascii="Arial Narrow" w:hAnsi="Arial Narrow" w:cs="Arial"/>
                <w:sz w:val="20"/>
                <w:szCs w:val="20"/>
                <w:lang w:val="bg-BG"/>
              </w:rPr>
            </w:pPr>
            <w:r w:rsidRPr="00027ABB">
              <w:rPr>
                <w:rFonts w:ascii="Arial Narrow" w:hAnsi="Arial Narrow" w:cs="Arial"/>
                <w:sz w:val="20"/>
                <w:szCs w:val="20"/>
              </w:rPr>
              <w:t>9</w:t>
            </w:r>
            <w:r w:rsidRPr="00027ABB">
              <w:rPr>
                <w:rFonts w:ascii="Arial Narrow" w:hAnsi="Arial Narrow" w:cs="Arial"/>
                <w:sz w:val="20"/>
                <w:szCs w:val="20"/>
                <w:lang w:val="bg-BG"/>
              </w:rPr>
              <w:t xml:space="preserve"> </w:t>
            </w:r>
            <w:r w:rsidRPr="00027ABB">
              <w:rPr>
                <w:rFonts w:ascii="Arial Narrow" w:hAnsi="Arial Narrow" w:cs="Arial"/>
                <w:sz w:val="20"/>
                <w:szCs w:val="20"/>
              </w:rPr>
              <w:t>707,5</w:t>
            </w:r>
          </w:p>
        </w:tc>
      </w:tr>
      <w:tr w:rsidR="00027ABB" w:rsidRPr="00027ABB" w14:paraId="0E98DEA8" w14:textId="77777777" w:rsidTr="00E10086">
        <w:trPr>
          <w:trHeight w:val="620"/>
        </w:trPr>
        <w:tc>
          <w:tcPr>
            <w:tcW w:w="785" w:type="dxa"/>
            <w:shd w:val="clear" w:color="auto" w:fill="auto"/>
            <w:noWrap/>
            <w:vAlign w:val="center"/>
            <w:hideMark/>
          </w:tcPr>
          <w:p w14:paraId="292A1AE3" w14:textId="77777777" w:rsidR="00027ABB" w:rsidRPr="00027ABB" w:rsidRDefault="00027ABB" w:rsidP="00027ABB">
            <w:pPr>
              <w:jc w:val="center"/>
              <w:rPr>
                <w:rFonts w:ascii="Arial Narrow" w:hAnsi="Arial Narrow" w:cs="Arial"/>
                <w:sz w:val="20"/>
                <w:szCs w:val="20"/>
                <w:lang w:val="bg-BG" w:eastAsia="zh-TW"/>
              </w:rPr>
            </w:pPr>
            <w:r w:rsidRPr="00027ABB">
              <w:rPr>
                <w:rFonts w:ascii="Arial Narrow" w:hAnsi="Arial Narrow" w:cs="Arial"/>
                <w:sz w:val="20"/>
                <w:szCs w:val="20"/>
                <w:lang w:val="bg-BG" w:eastAsia="zh-TW"/>
              </w:rPr>
              <w:t>6</w:t>
            </w:r>
          </w:p>
        </w:tc>
        <w:tc>
          <w:tcPr>
            <w:tcW w:w="3721" w:type="dxa"/>
            <w:shd w:val="clear" w:color="auto" w:fill="auto"/>
            <w:vAlign w:val="center"/>
            <w:hideMark/>
          </w:tcPr>
          <w:p w14:paraId="4F564032" w14:textId="77777777" w:rsidR="00027ABB" w:rsidRPr="00027ABB" w:rsidRDefault="00027ABB" w:rsidP="00027ABB">
            <w:pPr>
              <w:rPr>
                <w:rFonts w:ascii="Arial Narrow" w:hAnsi="Arial Narrow" w:cs="Arial"/>
                <w:sz w:val="20"/>
                <w:szCs w:val="20"/>
                <w:lang w:val="bg-BG" w:eastAsia="zh-TW"/>
              </w:rPr>
            </w:pPr>
            <w:r w:rsidRPr="00027ABB">
              <w:rPr>
                <w:rFonts w:ascii="Arial Narrow" w:hAnsi="Arial Narrow" w:cs="Arial"/>
                <w:sz w:val="20"/>
                <w:szCs w:val="20"/>
                <w:lang w:val="bg-BG" w:eastAsia="zh-TW"/>
              </w:rPr>
              <w:t>Междинно потребление (без вътрешни обороти)</w:t>
            </w:r>
          </w:p>
        </w:tc>
        <w:tc>
          <w:tcPr>
            <w:tcW w:w="1083" w:type="dxa"/>
            <w:tcBorders>
              <w:top w:val="nil"/>
              <w:left w:val="single" w:sz="4" w:space="0" w:color="auto"/>
              <w:bottom w:val="single" w:sz="4" w:space="0" w:color="auto"/>
              <w:right w:val="single" w:sz="4" w:space="0" w:color="auto"/>
            </w:tcBorders>
            <w:shd w:val="clear" w:color="auto" w:fill="auto"/>
            <w:vAlign w:val="center"/>
          </w:tcPr>
          <w:p w14:paraId="3AE98DD0" w14:textId="77777777" w:rsidR="00027ABB" w:rsidRPr="00027ABB" w:rsidRDefault="00027ABB" w:rsidP="00027ABB">
            <w:pPr>
              <w:jc w:val="right"/>
              <w:rPr>
                <w:rFonts w:ascii="Arial Narrow" w:hAnsi="Arial Narrow" w:cs="Arial"/>
                <w:sz w:val="20"/>
                <w:szCs w:val="20"/>
                <w:lang w:val="bg-BG"/>
              </w:rPr>
            </w:pPr>
            <w:r w:rsidRPr="00027ABB">
              <w:rPr>
                <w:rFonts w:ascii="Arial Narrow" w:hAnsi="Arial Narrow" w:cs="Arial"/>
                <w:sz w:val="20"/>
                <w:szCs w:val="20"/>
              </w:rPr>
              <w:t>6</w:t>
            </w:r>
            <w:r w:rsidRPr="00027ABB">
              <w:rPr>
                <w:rFonts w:ascii="Arial Narrow" w:hAnsi="Arial Narrow" w:cs="Arial"/>
                <w:sz w:val="20"/>
                <w:szCs w:val="20"/>
                <w:lang w:val="bg-BG"/>
              </w:rPr>
              <w:t xml:space="preserve"> </w:t>
            </w:r>
            <w:r w:rsidRPr="00027ABB">
              <w:rPr>
                <w:rFonts w:ascii="Arial Narrow" w:hAnsi="Arial Narrow" w:cs="Arial"/>
                <w:sz w:val="20"/>
                <w:szCs w:val="20"/>
              </w:rPr>
              <w:t>988,7</w:t>
            </w:r>
          </w:p>
        </w:tc>
        <w:tc>
          <w:tcPr>
            <w:tcW w:w="1099" w:type="dxa"/>
            <w:tcBorders>
              <w:top w:val="nil"/>
              <w:left w:val="nil"/>
              <w:bottom w:val="single" w:sz="4" w:space="0" w:color="auto"/>
              <w:right w:val="single" w:sz="4" w:space="0" w:color="auto"/>
            </w:tcBorders>
            <w:shd w:val="clear" w:color="auto" w:fill="auto"/>
            <w:vAlign w:val="center"/>
          </w:tcPr>
          <w:p w14:paraId="2CF241A0" w14:textId="77777777" w:rsidR="00027ABB" w:rsidRPr="00027ABB" w:rsidRDefault="00027ABB" w:rsidP="00027ABB">
            <w:pPr>
              <w:jc w:val="right"/>
              <w:rPr>
                <w:rFonts w:ascii="Arial Narrow" w:hAnsi="Arial Narrow" w:cs="Arial"/>
                <w:sz w:val="20"/>
                <w:szCs w:val="20"/>
                <w:lang w:val="bg-BG"/>
              </w:rPr>
            </w:pPr>
            <w:r w:rsidRPr="00027ABB">
              <w:rPr>
                <w:rFonts w:ascii="Arial Narrow" w:hAnsi="Arial Narrow" w:cs="Calibri"/>
                <w:color w:val="000000"/>
                <w:sz w:val="20"/>
                <w:szCs w:val="20"/>
              </w:rPr>
              <w:t>-9,3%</w:t>
            </w:r>
          </w:p>
        </w:tc>
        <w:tc>
          <w:tcPr>
            <w:tcW w:w="1099" w:type="dxa"/>
            <w:tcBorders>
              <w:top w:val="nil"/>
              <w:left w:val="nil"/>
              <w:bottom w:val="single" w:sz="4" w:space="0" w:color="auto"/>
              <w:right w:val="single" w:sz="4" w:space="0" w:color="auto"/>
            </w:tcBorders>
            <w:shd w:val="clear" w:color="auto" w:fill="auto"/>
            <w:vAlign w:val="center"/>
          </w:tcPr>
          <w:p w14:paraId="64CC6187" w14:textId="77777777" w:rsidR="00027ABB" w:rsidRPr="00027ABB" w:rsidRDefault="00027ABB" w:rsidP="00027ABB">
            <w:pPr>
              <w:jc w:val="right"/>
              <w:rPr>
                <w:rFonts w:ascii="Arial Narrow" w:hAnsi="Arial Narrow" w:cs="Arial"/>
                <w:sz w:val="20"/>
                <w:szCs w:val="20"/>
                <w:lang w:val="bg-BG"/>
              </w:rPr>
            </w:pPr>
            <w:r w:rsidRPr="00027ABB">
              <w:rPr>
                <w:rFonts w:ascii="Arial Narrow" w:hAnsi="Arial Narrow" w:cs="Arial"/>
                <w:sz w:val="20"/>
                <w:szCs w:val="20"/>
              </w:rPr>
              <w:t>6</w:t>
            </w:r>
            <w:r w:rsidRPr="00027ABB">
              <w:rPr>
                <w:rFonts w:ascii="Arial Narrow" w:hAnsi="Arial Narrow" w:cs="Arial"/>
                <w:sz w:val="20"/>
                <w:szCs w:val="20"/>
                <w:lang w:val="bg-BG"/>
              </w:rPr>
              <w:t xml:space="preserve"> </w:t>
            </w:r>
            <w:r w:rsidRPr="00027ABB">
              <w:rPr>
                <w:rFonts w:ascii="Arial Narrow" w:hAnsi="Arial Narrow" w:cs="Arial"/>
                <w:sz w:val="20"/>
                <w:szCs w:val="20"/>
              </w:rPr>
              <w:t>337,4</w:t>
            </w:r>
          </w:p>
        </w:tc>
        <w:tc>
          <w:tcPr>
            <w:tcW w:w="1099" w:type="dxa"/>
            <w:tcBorders>
              <w:top w:val="nil"/>
              <w:left w:val="single" w:sz="4" w:space="0" w:color="auto"/>
              <w:bottom w:val="single" w:sz="4" w:space="0" w:color="auto"/>
              <w:right w:val="single" w:sz="4" w:space="0" w:color="auto"/>
            </w:tcBorders>
            <w:shd w:val="clear" w:color="auto" w:fill="auto"/>
            <w:vAlign w:val="center"/>
          </w:tcPr>
          <w:p w14:paraId="0FC6600C" w14:textId="77777777" w:rsidR="00027ABB" w:rsidRPr="00027ABB" w:rsidRDefault="00027ABB" w:rsidP="00027ABB">
            <w:pPr>
              <w:jc w:val="right"/>
              <w:rPr>
                <w:rFonts w:ascii="Arial Narrow" w:hAnsi="Arial Narrow" w:cs="Arial"/>
                <w:sz w:val="20"/>
                <w:szCs w:val="20"/>
                <w:lang w:val="bg-BG"/>
              </w:rPr>
            </w:pPr>
            <w:r w:rsidRPr="00027ABB">
              <w:rPr>
                <w:rFonts w:ascii="Arial Narrow" w:hAnsi="Arial Narrow" w:cs="Calibri"/>
                <w:color w:val="000000"/>
                <w:sz w:val="20"/>
                <w:szCs w:val="20"/>
              </w:rPr>
              <w:t>-10,0%</w:t>
            </w:r>
          </w:p>
        </w:tc>
        <w:tc>
          <w:tcPr>
            <w:tcW w:w="974" w:type="dxa"/>
            <w:tcBorders>
              <w:top w:val="nil"/>
              <w:left w:val="nil"/>
              <w:bottom w:val="single" w:sz="4" w:space="0" w:color="auto"/>
              <w:right w:val="single" w:sz="4" w:space="0" w:color="auto"/>
            </w:tcBorders>
            <w:shd w:val="clear" w:color="auto" w:fill="auto"/>
            <w:vAlign w:val="center"/>
          </w:tcPr>
          <w:p w14:paraId="485F6455" w14:textId="77777777" w:rsidR="00027ABB" w:rsidRPr="00027ABB" w:rsidRDefault="00027ABB" w:rsidP="00027ABB">
            <w:pPr>
              <w:jc w:val="right"/>
              <w:rPr>
                <w:rFonts w:ascii="Arial Narrow" w:hAnsi="Arial Narrow" w:cs="Arial"/>
                <w:sz w:val="20"/>
                <w:szCs w:val="20"/>
                <w:lang w:val="bg-BG"/>
              </w:rPr>
            </w:pPr>
            <w:r w:rsidRPr="00027ABB">
              <w:rPr>
                <w:rFonts w:ascii="Arial Narrow" w:hAnsi="Arial Narrow" w:cs="Arial"/>
                <w:sz w:val="20"/>
                <w:szCs w:val="20"/>
              </w:rPr>
              <w:t>5</w:t>
            </w:r>
            <w:r w:rsidRPr="00027ABB">
              <w:rPr>
                <w:rFonts w:ascii="Arial Narrow" w:hAnsi="Arial Narrow" w:cs="Arial"/>
                <w:sz w:val="20"/>
                <w:szCs w:val="20"/>
                <w:lang w:val="bg-BG"/>
              </w:rPr>
              <w:t xml:space="preserve"> </w:t>
            </w:r>
            <w:r w:rsidRPr="00027ABB">
              <w:rPr>
                <w:rFonts w:ascii="Arial Narrow" w:hAnsi="Arial Narrow" w:cs="Arial"/>
                <w:sz w:val="20"/>
                <w:szCs w:val="20"/>
              </w:rPr>
              <w:t>700,8</w:t>
            </w:r>
          </w:p>
        </w:tc>
      </w:tr>
      <w:tr w:rsidR="00027ABB" w:rsidRPr="00027ABB" w14:paraId="31CD1CB2" w14:textId="77777777" w:rsidTr="005C169B">
        <w:trPr>
          <w:trHeight w:val="517"/>
        </w:trPr>
        <w:tc>
          <w:tcPr>
            <w:tcW w:w="785" w:type="dxa"/>
            <w:shd w:val="clear" w:color="auto" w:fill="auto"/>
            <w:noWrap/>
            <w:vAlign w:val="center"/>
            <w:hideMark/>
          </w:tcPr>
          <w:p w14:paraId="19A29B57" w14:textId="77777777" w:rsidR="00027ABB" w:rsidRPr="00027ABB" w:rsidRDefault="00027ABB" w:rsidP="00027ABB">
            <w:pPr>
              <w:jc w:val="center"/>
              <w:rPr>
                <w:rFonts w:ascii="Arial Narrow" w:hAnsi="Arial Narrow" w:cs="Arial"/>
                <w:sz w:val="20"/>
                <w:szCs w:val="20"/>
                <w:lang w:val="bg-BG" w:eastAsia="zh-TW"/>
              </w:rPr>
            </w:pPr>
            <w:r w:rsidRPr="00027ABB">
              <w:rPr>
                <w:rFonts w:ascii="Arial Narrow" w:hAnsi="Arial Narrow" w:cs="Arial"/>
                <w:sz w:val="20"/>
                <w:szCs w:val="20"/>
                <w:lang w:val="bg-BG" w:eastAsia="zh-TW"/>
              </w:rPr>
              <w:t>7</w:t>
            </w:r>
          </w:p>
        </w:tc>
        <w:tc>
          <w:tcPr>
            <w:tcW w:w="3721" w:type="dxa"/>
            <w:shd w:val="clear" w:color="auto" w:fill="auto"/>
            <w:vAlign w:val="center"/>
            <w:hideMark/>
          </w:tcPr>
          <w:p w14:paraId="0E2E16F3" w14:textId="77777777" w:rsidR="00027ABB" w:rsidRPr="00027ABB" w:rsidRDefault="00027ABB" w:rsidP="00027ABB">
            <w:pPr>
              <w:rPr>
                <w:rFonts w:ascii="Arial Narrow" w:hAnsi="Arial Narrow" w:cs="Arial"/>
                <w:sz w:val="20"/>
                <w:szCs w:val="20"/>
                <w:lang w:val="bg-BG" w:eastAsia="zh-TW"/>
              </w:rPr>
            </w:pPr>
            <w:r w:rsidRPr="00027ABB">
              <w:rPr>
                <w:rFonts w:ascii="Arial Narrow" w:hAnsi="Arial Narrow" w:cs="Arial"/>
                <w:sz w:val="20"/>
                <w:szCs w:val="20"/>
                <w:lang w:val="bg-BG" w:eastAsia="zh-TW"/>
              </w:rPr>
              <w:t>Брутна добавена стойност по базисни цени</w:t>
            </w:r>
          </w:p>
        </w:tc>
        <w:tc>
          <w:tcPr>
            <w:tcW w:w="1083" w:type="dxa"/>
            <w:tcBorders>
              <w:top w:val="nil"/>
              <w:left w:val="single" w:sz="4" w:space="0" w:color="auto"/>
              <w:bottom w:val="single" w:sz="4" w:space="0" w:color="auto"/>
              <w:right w:val="single" w:sz="4" w:space="0" w:color="auto"/>
            </w:tcBorders>
            <w:shd w:val="clear" w:color="auto" w:fill="auto"/>
            <w:vAlign w:val="center"/>
          </w:tcPr>
          <w:p w14:paraId="1933208D" w14:textId="77777777" w:rsidR="00027ABB" w:rsidRPr="00027ABB" w:rsidRDefault="00027ABB" w:rsidP="00027ABB">
            <w:pPr>
              <w:jc w:val="right"/>
              <w:rPr>
                <w:rFonts w:ascii="Arial Narrow" w:hAnsi="Arial Narrow" w:cs="Arial"/>
                <w:sz w:val="20"/>
                <w:szCs w:val="20"/>
                <w:lang w:val="bg-BG"/>
              </w:rPr>
            </w:pPr>
            <w:r w:rsidRPr="00027ABB">
              <w:rPr>
                <w:rFonts w:ascii="Arial Narrow" w:hAnsi="Arial Narrow" w:cs="Arial"/>
                <w:bCs/>
                <w:sz w:val="20"/>
                <w:szCs w:val="20"/>
              </w:rPr>
              <w:t>5</w:t>
            </w:r>
            <w:r w:rsidRPr="00027ABB">
              <w:rPr>
                <w:rFonts w:ascii="Arial Narrow" w:hAnsi="Arial Narrow" w:cs="Arial"/>
                <w:bCs/>
                <w:sz w:val="20"/>
                <w:szCs w:val="20"/>
                <w:lang w:val="bg-BG"/>
              </w:rPr>
              <w:t xml:space="preserve"> </w:t>
            </w:r>
            <w:r w:rsidRPr="00027ABB">
              <w:rPr>
                <w:rFonts w:ascii="Arial Narrow" w:hAnsi="Arial Narrow" w:cs="Arial"/>
                <w:bCs/>
                <w:sz w:val="20"/>
                <w:szCs w:val="20"/>
              </w:rPr>
              <w:t>913,2</w:t>
            </w:r>
          </w:p>
        </w:tc>
        <w:tc>
          <w:tcPr>
            <w:tcW w:w="1099" w:type="dxa"/>
            <w:tcBorders>
              <w:top w:val="nil"/>
              <w:left w:val="nil"/>
              <w:bottom w:val="single" w:sz="4" w:space="0" w:color="auto"/>
              <w:right w:val="single" w:sz="4" w:space="0" w:color="auto"/>
            </w:tcBorders>
            <w:shd w:val="clear" w:color="auto" w:fill="auto"/>
            <w:vAlign w:val="center"/>
          </w:tcPr>
          <w:p w14:paraId="59748482" w14:textId="77777777" w:rsidR="00027ABB" w:rsidRPr="00027ABB" w:rsidRDefault="00027ABB" w:rsidP="00027ABB">
            <w:pPr>
              <w:jc w:val="right"/>
              <w:rPr>
                <w:rFonts w:ascii="Arial Narrow" w:hAnsi="Arial Narrow" w:cs="Arial"/>
                <w:sz w:val="20"/>
                <w:szCs w:val="20"/>
                <w:lang w:val="bg-BG"/>
              </w:rPr>
            </w:pPr>
            <w:r w:rsidRPr="00027ABB">
              <w:rPr>
                <w:rFonts w:ascii="Arial Narrow" w:hAnsi="Arial Narrow" w:cs="Calibri"/>
                <w:color w:val="000000"/>
                <w:sz w:val="20"/>
                <w:szCs w:val="20"/>
              </w:rPr>
              <w:t>-28,7%</w:t>
            </w:r>
          </w:p>
        </w:tc>
        <w:tc>
          <w:tcPr>
            <w:tcW w:w="1099" w:type="dxa"/>
            <w:tcBorders>
              <w:top w:val="nil"/>
              <w:left w:val="nil"/>
              <w:bottom w:val="single" w:sz="4" w:space="0" w:color="auto"/>
              <w:right w:val="single" w:sz="4" w:space="0" w:color="auto"/>
            </w:tcBorders>
            <w:shd w:val="clear" w:color="auto" w:fill="auto"/>
            <w:vAlign w:val="center"/>
          </w:tcPr>
          <w:p w14:paraId="660C4D69" w14:textId="77777777" w:rsidR="00027ABB" w:rsidRPr="00027ABB" w:rsidRDefault="00027ABB" w:rsidP="00027ABB">
            <w:pPr>
              <w:jc w:val="right"/>
              <w:rPr>
                <w:rFonts w:ascii="Arial Narrow" w:hAnsi="Arial Narrow" w:cs="Arial"/>
                <w:sz w:val="20"/>
                <w:szCs w:val="20"/>
                <w:lang w:val="bg-BG"/>
              </w:rPr>
            </w:pPr>
            <w:r w:rsidRPr="00027ABB">
              <w:rPr>
                <w:rFonts w:ascii="Arial Narrow" w:hAnsi="Arial Narrow" w:cs="Arial"/>
                <w:bCs/>
                <w:sz w:val="20"/>
                <w:szCs w:val="20"/>
              </w:rPr>
              <w:t>4</w:t>
            </w:r>
            <w:r w:rsidRPr="00027ABB">
              <w:rPr>
                <w:rFonts w:ascii="Arial Narrow" w:hAnsi="Arial Narrow" w:cs="Arial"/>
                <w:bCs/>
                <w:sz w:val="20"/>
                <w:szCs w:val="20"/>
                <w:lang w:val="bg-BG"/>
              </w:rPr>
              <w:t xml:space="preserve"> </w:t>
            </w:r>
            <w:r w:rsidRPr="00027ABB">
              <w:rPr>
                <w:rFonts w:ascii="Arial Narrow" w:hAnsi="Arial Narrow" w:cs="Arial"/>
                <w:bCs/>
                <w:sz w:val="20"/>
                <w:szCs w:val="20"/>
              </w:rPr>
              <w:t>217,0</w:t>
            </w:r>
          </w:p>
        </w:tc>
        <w:tc>
          <w:tcPr>
            <w:tcW w:w="1099" w:type="dxa"/>
            <w:tcBorders>
              <w:top w:val="nil"/>
              <w:left w:val="single" w:sz="4" w:space="0" w:color="auto"/>
              <w:bottom w:val="single" w:sz="4" w:space="0" w:color="auto"/>
              <w:right w:val="single" w:sz="4" w:space="0" w:color="auto"/>
            </w:tcBorders>
            <w:shd w:val="clear" w:color="auto" w:fill="auto"/>
            <w:vAlign w:val="center"/>
          </w:tcPr>
          <w:p w14:paraId="01029B5A" w14:textId="77777777" w:rsidR="00027ABB" w:rsidRPr="00027ABB" w:rsidRDefault="00027ABB" w:rsidP="00027ABB">
            <w:pPr>
              <w:jc w:val="right"/>
              <w:rPr>
                <w:rFonts w:ascii="Arial Narrow" w:hAnsi="Arial Narrow" w:cs="Arial"/>
                <w:sz w:val="20"/>
                <w:szCs w:val="20"/>
                <w:lang w:val="bg-BG"/>
              </w:rPr>
            </w:pPr>
            <w:r w:rsidRPr="00027ABB">
              <w:rPr>
                <w:rFonts w:ascii="Arial Narrow" w:hAnsi="Arial Narrow" w:cs="Calibri"/>
                <w:color w:val="000000"/>
                <w:sz w:val="20"/>
                <w:szCs w:val="20"/>
              </w:rPr>
              <w:t>-5,0%</w:t>
            </w:r>
          </w:p>
        </w:tc>
        <w:tc>
          <w:tcPr>
            <w:tcW w:w="974" w:type="dxa"/>
            <w:tcBorders>
              <w:top w:val="nil"/>
              <w:left w:val="nil"/>
              <w:bottom w:val="single" w:sz="4" w:space="0" w:color="auto"/>
              <w:right w:val="single" w:sz="4" w:space="0" w:color="auto"/>
            </w:tcBorders>
            <w:shd w:val="clear" w:color="auto" w:fill="auto"/>
            <w:vAlign w:val="center"/>
          </w:tcPr>
          <w:p w14:paraId="5C0E75E1" w14:textId="77777777" w:rsidR="00027ABB" w:rsidRPr="00027ABB" w:rsidRDefault="00027ABB" w:rsidP="00027ABB">
            <w:pPr>
              <w:jc w:val="right"/>
              <w:rPr>
                <w:rFonts w:ascii="Arial Narrow" w:hAnsi="Arial Narrow" w:cs="Arial"/>
                <w:sz w:val="20"/>
                <w:szCs w:val="20"/>
                <w:lang w:val="bg-BG"/>
              </w:rPr>
            </w:pPr>
            <w:r w:rsidRPr="00027ABB">
              <w:rPr>
                <w:rFonts w:ascii="Arial Narrow" w:hAnsi="Arial Narrow" w:cs="Arial"/>
                <w:bCs/>
                <w:sz w:val="20"/>
                <w:szCs w:val="20"/>
              </w:rPr>
              <w:t>4</w:t>
            </w:r>
            <w:r w:rsidRPr="00027ABB">
              <w:rPr>
                <w:rFonts w:ascii="Arial Narrow" w:hAnsi="Arial Narrow" w:cs="Arial"/>
                <w:bCs/>
                <w:sz w:val="20"/>
                <w:szCs w:val="20"/>
                <w:lang w:val="bg-BG"/>
              </w:rPr>
              <w:t xml:space="preserve"> </w:t>
            </w:r>
            <w:r w:rsidRPr="00027ABB">
              <w:rPr>
                <w:rFonts w:ascii="Arial Narrow" w:hAnsi="Arial Narrow" w:cs="Arial"/>
                <w:bCs/>
                <w:sz w:val="20"/>
                <w:szCs w:val="20"/>
              </w:rPr>
              <w:t>006,7</w:t>
            </w:r>
          </w:p>
        </w:tc>
      </w:tr>
    </w:tbl>
    <w:p w14:paraId="24D2A372" w14:textId="77777777" w:rsidR="00027ABB" w:rsidRPr="00027ABB" w:rsidRDefault="00027ABB" w:rsidP="00027ABB">
      <w:pPr>
        <w:rPr>
          <w:rFonts w:ascii="Arial Narrow" w:hAnsi="Arial Narrow"/>
          <w:sz w:val="18"/>
          <w:szCs w:val="18"/>
          <w:lang w:val="bg-BG"/>
        </w:rPr>
      </w:pPr>
      <w:r w:rsidRPr="00027ABB">
        <w:rPr>
          <w:rFonts w:ascii="Arial Narrow" w:hAnsi="Arial Narrow"/>
          <w:i/>
          <w:sz w:val="18"/>
          <w:szCs w:val="18"/>
          <w:lang w:val="bg-BG"/>
        </w:rPr>
        <w:t>Източник:</w:t>
      </w:r>
      <w:r w:rsidRPr="00027ABB">
        <w:rPr>
          <w:rFonts w:ascii="Arial Narrow" w:hAnsi="Arial Narrow"/>
          <w:b/>
          <w:i/>
          <w:sz w:val="18"/>
          <w:szCs w:val="18"/>
          <w:lang w:val="bg-BG"/>
        </w:rPr>
        <w:t xml:space="preserve"> </w:t>
      </w:r>
      <w:r w:rsidRPr="00027ABB">
        <w:rPr>
          <w:rFonts w:ascii="Arial Narrow" w:hAnsi="Arial Narrow"/>
          <w:i/>
          <w:sz w:val="18"/>
          <w:szCs w:val="18"/>
          <w:lang w:val="bg-BG"/>
        </w:rPr>
        <w:t xml:space="preserve"> </w:t>
      </w:r>
      <w:r w:rsidRPr="00027ABB">
        <w:rPr>
          <w:rFonts w:ascii="Arial Narrow" w:hAnsi="Arial Narrow"/>
          <w:sz w:val="18"/>
          <w:szCs w:val="18"/>
          <w:lang w:val="bg-BG"/>
        </w:rPr>
        <w:t>НСИ</w:t>
      </w:r>
    </w:p>
    <w:p w14:paraId="3FD50A88" w14:textId="77777777" w:rsidR="00027ABB" w:rsidRPr="00027ABB" w:rsidRDefault="00027ABB" w:rsidP="00027ABB">
      <w:pPr>
        <w:rPr>
          <w:rFonts w:ascii="Arial Narrow" w:hAnsi="Arial Narrow"/>
          <w:sz w:val="18"/>
          <w:szCs w:val="18"/>
          <w:lang w:val="bg-BG"/>
        </w:rPr>
      </w:pPr>
      <w:r w:rsidRPr="00027ABB">
        <w:rPr>
          <w:rFonts w:ascii="Arial Narrow" w:hAnsi="Arial Narrow"/>
          <w:sz w:val="18"/>
          <w:szCs w:val="18"/>
        </w:rPr>
        <w:t>*</w:t>
      </w:r>
      <w:r w:rsidRPr="00027ABB">
        <w:rPr>
          <w:rFonts w:ascii="Arial Narrow" w:hAnsi="Arial Narrow"/>
          <w:sz w:val="18"/>
          <w:szCs w:val="18"/>
          <w:lang w:val="bg-BG"/>
        </w:rPr>
        <w:t xml:space="preserve"> Цени на производител  - цени, невключващи субсидии по продукти</w:t>
      </w:r>
    </w:p>
    <w:p w14:paraId="6B01CD22" w14:textId="77777777" w:rsidR="00027ABB" w:rsidRPr="00027ABB" w:rsidRDefault="00027ABB" w:rsidP="00027ABB">
      <w:pPr>
        <w:spacing w:after="240"/>
        <w:rPr>
          <w:rFonts w:ascii="Arial Narrow" w:hAnsi="Arial Narrow"/>
          <w:b/>
          <w:sz w:val="18"/>
          <w:szCs w:val="18"/>
          <w:lang w:val="bg-BG"/>
        </w:rPr>
      </w:pPr>
      <w:r w:rsidRPr="00027ABB">
        <w:rPr>
          <w:rFonts w:ascii="Arial Narrow" w:hAnsi="Arial Narrow"/>
          <w:sz w:val="18"/>
          <w:szCs w:val="18"/>
          <w:lang w:val="bg-BG"/>
        </w:rPr>
        <w:t>*</w:t>
      </w:r>
      <w:r w:rsidRPr="00027ABB">
        <w:rPr>
          <w:rFonts w:ascii="Arial Narrow" w:hAnsi="Arial Narrow"/>
          <w:sz w:val="18"/>
          <w:szCs w:val="18"/>
        </w:rPr>
        <w:t>*</w:t>
      </w:r>
      <w:r w:rsidRPr="00027ABB">
        <w:rPr>
          <w:rFonts w:ascii="Arial Narrow" w:hAnsi="Arial Narrow"/>
          <w:sz w:val="18"/>
          <w:szCs w:val="18"/>
          <w:lang w:val="bg-BG"/>
        </w:rPr>
        <w:t xml:space="preserve"> Базисни цени – цени, включващи субсидии по продукти</w:t>
      </w:r>
      <w:r w:rsidRPr="00027ABB">
        <w:rPr>
          <w:rFonts w:ascii="Arial Narrow" w:hAnsi="Arial Narrow"/>
          <w:b/>
          <w:sz w:val="18"/>
          <w:szCs w:val="18"/>
          <w:lang w:val="bg-BG"/>
        </w:rPr>
        <w:t xml:space="preserve"> </w:t>
      </w:r>
    </w:p>
    <w:p w14:paraId="3F27875D" w14:textId="77777777" w:rsidR="00E63FC4" w:rsidRPr="00E63FC4" w:rsidRDefault="001E0A87" w:rsidP="00E63FC4">
      <w:pPr>
        <w:pStyle w:val="ListParagraph"/>
        <w:keepNext/>
        <w:numPr>
          <w:ilvl w:val="2"/>
          <w:numId w:val="8"/>
        </w:numPr>
        <w:tabs>
          <w:tab w:val="left" w:pos="990"/>
        </w:tabs>
        <w:spacing w:before="240" w:after="120"/>
        <w:ind w:left="2704" w:hanging="2347"/>
        <w:outlineLvl w:val="0"/>
        <w:rPr>
          <w:rFonts w:ascii="Arial Narrow" w:hAnsi="Arial Narrow"/>
          <w:b/>
          <w:lang w:val="bg-BG"/>
        </w:rPr>
      </w:pPr>
      <w:bookmarkStart w:id="27" w:name="_Toc210747534"/>
      <w:r w:rsidRPr="00027ABB">
        <w:rPr>
          <w:rFonts w:ascii="Arial Narrow" w:hAnsi="Arial Narrow"/>
          <w:b/>
          <w:lang w:val="bg-BG" w:eastAsia="bg-BG"/>
        </w:rPr>
        <w:t>Стойност</w:t>
      </w:r>
      <w:r w:rsidRPr="00027ABB">
        <w:rPr>
          <w:rFonts w:ascii="Arial Narrow" w:hAnsi="Arial Narrow"/>
          <w:b/>
          <w:lang w:val="bg-BG"/>
        </w:rPr>
        <w:t xml:space="preserve"> на брутната продукция от отрасъл „Селско стопанство“</w:t>
      </w:r>
      <w:bookmarkEnd w:id="27"/>
    </w:p>
    <w:p w14:paraId="6A80D7EB" w14:textId="77777777" w:rsidR="00E63FC4" w:rsidRPr="00E63FC4" w:rsidRDefault="00AA7E1F" w:rsidP="00E63FC4">
      <w:pPr>
        <w:autoSpaceDE w:val="0"/>
        <w:autoSpaceDN w:val="0"/>
        <w:adjustRightInd w:val="0"/>
        <w:spacing w:after="120"/>
        <w:ind w:firstLine="708"/>
        <w:jc w:val="both"/>
        <w:rPr>
          <w:rFonts w:ascii="Arial Narrow" w:hAnsi="Arial Narrow"/>
          <w:bCs/>
          <w:lang w:val="bg-BG" w:eastAsia="bg-BG"/>
        </w:rPr>
      </w:pPr>
      <w:r>
        <w:rPr>
          <w:rFonts w:ascii="Arial Narrow" w:hAnsi="Arial Narrow"/>
          <w:bCs/>
          <w:lang w:val="bg-BG" w:eastAsia="bg-BG"/>
        </w:rPr>
        <w:t>С</w:t>
      </w:r>
      <w:r w:rsidR="00E63FC4" w:rsidRPr="00E63FC4">
        <w:rPr>
          <w:rFonts w:ascii="Arial Narrow" w:hAnsi="Arial Narrow"/>
          <w:bCs/>
          <w:lang w:val="bg-BG" w:eastAsia="bg-BG"/>
        </w:rPr>
        <w:t xml:space="preserve">тойността на брутната продукция от отрасъл Селско стопанство за 2024 г. по текущи цени на производител възлиза на 9 643,90 млн. лева, като отбелязва спад от 8,5% спрямо предходната година (Приложение 2). Тя се формира от стойността на: </w:t>
      </w:r>
    </w:p>
    <w:p w14:paraId="6BE84A1B" w14:textId="77777777" w:rsidR="00E63FC4" w:rsidRPr="00E63FC4" w:rsidRDefault="00E63FC4" w:rsidP="00E63FC4">
      <w:pPr>
        <w:numPr>
          <w:ilvl w:val="0"/>
          <w:numId w:val="2"/>
        </w:numPr>
        <w:autoSpaceDE w:val="0"/>
        <w:autoSpaceDN w:val="0"/>
        <w:adjustRightInd w:val="0"/>
        <w:spacing w:after="120"/>
        <w:jc w:val="both"/>
        <w:rPr>
          <w:rFonts w:ascii="Arial Narrow" w:hAnsi="Arial Narrow" w:cs="ArialNarrow"/>
          <w:lang w:val="bg-BG"/>
        </w:rPr>
      </w:pPr>
      <w:r w:rsidRPr="00E63FC4">
        <w:rPr>
          <w:rFonts w:ascii="Arial Narrow" w:hAnsi="Arial Narrow" w:cs="ArialNarrow"/>
          <w:lang w:val="bg-BG"/>
        </w:rPr>
        <w:t>Продукцията от растениевъдството – 6 456,7 млн. лева (с дял от 66,9%);</w:t>
      </w:r>
    </w:p>
    <w:p w14:paraId="496FD1B0" w14:textId="77777777" w:rsidR="00E63FC4" w:rsidRPr="00E63FC4" w:rsidRDefault="00E63FC4" w:rsidP="00E63FC4">
      <w:pPr>
        <w:numPr>
          <w:ilvl w:val="0"/>
          <w:numId w:val="2"/>
        </w:numPr>
        <w:autoSpaceDE w:val="0"/>
        <w:autoSpaceDN w:val="0"/>
        <w:adjustRightInd w:val="0"/>
        <w:spacing w:after="120"/>
        <w:jc w:val="both"/>
        <w:rPr>
          <w:rFonts w:ascii="Arial Narrow" w:hAnsi="Arial Narrow" w:cs="ArialNarrow"/>
          <w:lang w:val="bg-BG"/>
        </w:rPr>
      </w:pPr>
      <w:r w:rsidRPr="00E63FC4">
        <w:rPr>
          <w:rFonts w:ascii="Arial Narrow" w:hAnsi="Arial Narrow" w:cs="ArialNarrow"/>
          <w:lang w:val="bg-BG"/>
        </w:rPr>
        <w:t>Продукцията от животновъдството – 2 341,3 млн. лева (с дял от 24,3%);</w:t>
      </w:r>
    </w:p>
    <w:p w14:paraId="61CC2BB8" w14:textId="77777777" w:rsidR="00E63FC4" w:rsidRPr="00E63FC4" w:rsidRDefault="00E63FC4" w:rsidP="00E63FC4">
      <w:pPr>
        <w:numPr>
          <w:ilvl w:val="0"/>
          <w:numId w:val="2"/>
        </w:numPr>
        <w:autoSpaceDE w:val="0"/>
        <w:autoSpaceDN w:val="0"/>
        <w:adjustRightInd w:val="0"/>
        <w:spacing w:after="120"/>
        <w:jc w:val="both"/>
        <w:rPr>
          <w:rFonts w:ascii="Arial Narrow" w:hAnsi="Arial Narrow" w:cs="ArialNarrow"/>
          <w:lang w:val="bg-BG"/>
        </w:rPr>
      </w:pPr>
      <w:r w:rsidRPr="00E63FC4">
        <w:rPr>
          <w:rFonts w:ascii="Arial Narrow" w:hAnsi="Arial Narrow" w:cs="ArialNarrow"/>
          <w:lang w:val="bg-BG"/>
        </w:rPr>
        <w:lastRenderedPageBreak/>
        <w:t>Селскостопанските услуги – 547,8 млн. лева (с дял от 5,7%);</w:t>
      </w:r>
    </w:p>
    <w:p w14:paraId="70B6296D" w14:textId="77777777" w:rsidR="00E63FC4" w:rsidRPr="00E63FC4" w:rsidRDefault="00E63FC4" w:rsidP="00E63FC4">
      <w:pPr>
        <w:numPr>
          <w:ilvl w:val="0"/>
          <w:numId w:val="2"/>
        </w:numPr>
        <w:autoSpaceDE w:val="0"/>
        <w:autoSpaceDN w:val="0"/>
        <w:adjustRightInd w:val="0"/>
        <w:spacing w:after="120"/>
        <w:jc w:val="both"/>
        <w:rPr>
          <w:rFonts w:ascii="Arial Narrow" w:hAnsi="Arial Narrow" w:cs="ArialNarrow"/>
          <w:lang w:val="bg-BG"/>
        </w:rPr>
      </w:pPr>
      <w:r w:rsidRPr="00E63FC4">
        <w:rPr>
          <w:rFonts w:ascii="Arial Narrow" w:hAnsi="Arial Narrow" w:cs="ArialNarrow"/>
          <w:lang w:val="bg-BG"/>
        </w:rPr>
        <w:t>Продукцията от неотделими второстепенни дейности – 298,1 млн. лева (с дял от 3,1%).</w:t>
      </w:r>
    </w:p>
    <w:p w14:paraId="176036E8" w14:textId="77777777" w:rsidR="00A61929" w:rsidRDefault="008F6AA6" w:rsidP="00A61929">
      <w:pPr>
        <w:keepNext/>
        <w:spacing w:before="240" w:after="120"/>
        <w:jc w:val="center"/>
        <w:rPr>
          <w:rFonts w:ascii="Arial Narrow" w:hAnsi="Arial Narrow"/>
          <w:b/>
          <w:i/>
          <w:lang w:val="bg-BG"/>
        </w:rPr>
      </w:pPr>
      <w:r w:rsidRPr="00E63FC4">
        <w:rPr>
          <w:rFonts w:ascii="Arial Narrow" w:hAnsi="Arial Narrow"/>
          <w:b/>
          <w:i/>
          <w:lang w:val="bg-BG"/>
        </w:rPr>
        <w:t xml:space="preserve">Фигура ІІ.1. </w:t>
      </w:r>
      <w:r w:rsidR="00A61929" w:rsidRPr="00E63FC4">
        <w:rPr>
          <w:rFonts w:ascii="Arial Narrow" w:hAnsi="Arial Narrow"/>
          <w:b/>
          <w:i/>
          <w:lang w:val="bg-BG"/>
        </w:rPr>
        <w:t>Структура на стойността на брутната продукция от отрасъл Селско стопанство за периода 202</w:t>
      </w:r>
      <w:r w:rsidR="00E63FC4" w:rsidRPr="00E63FC4">
        <w:rPr>
          <w:rFonts w:ascii="Arial Narrow" w:hAnsi="Arial Narrow"/>
          <w:b/>
          <w:i/>
        </w:rPr>
        <w:t>2</w:t>
      </w:r>
      <w:r w:rsidR="00A61929" w:rsidRPr="00E63FC4">
        <w:rPr>
          <w:rFonts w:ascii="Arial Narrow" w:hAnsi="Arial Narrow"/>
          <w:b/>
          <w:i/>
          <w:lang w:val="bg-BG"/>
        </w:rPr>
        <w:t xml:space="preserve"> – 202</w:t>
      </w:r>
      <w:r w:rsidR="00E63FC4" w:rsidRPr="00E63FC4">
        <w:rPr>
          <w:rFonts w:ascii="Arial Narrow" w:hAnsi="Arial Narrow"/>
          <w:b/>
          <w:i/>
        </w:rPr>
        <w:t>4</w:t>
      </w:r>
      <w:r w:rsidR="00A61929" w:rsidRPr="00E63FC4">
        <w:rPr>
          <w:rFonts w:ascii="Arial Narrow" w:hAnsi="Arial Narrow"/>
          <w:b/>
          <w:i/>
          <w:lang w:val="bg-BG"/>
        </w:rPr>
        <w:t xml:space="preserve"> г., % </w:t>
      </w:r>
    </w:p>
    <w:p w14:paraId="612722F1" w14:textId="77777777" w:rsidR="00AA7E1F" w:rsidRPr="00E63FC4" w:rsidRDefault="00AA7E1F" w:rsidP="00A61929">
      <w:pPr>
        <w:keepNext/>
        <w:spacing w:before="240" w:after="120"/>
        <w:jc w:val="center"/>
        <w:rPr>
          <w:rFonts w:ascii="Arial Narrow" w:hAnsi="Arial Narrow"/>
          <w:b/>
          <w:i/>
          <w:lang w:val="bg-BG"/>
        </w:rPr>
      </w:pPr>
      <w:r>
        <w:rPr>
          <w:noProof/>
        </w:rPr>
        <w:drawing>
          <wp:inline distT="0" distB="0" distL="0" distR="0" wp14:anchorId="21BC0CE0" wp14:editId="4646BDA0">
            <wp:extent cx="5400000" cy="3060000"/>
            <wp:effectExtent l="0" t="0" r="0" b="7620"/>
            <wp:docPr id="49" name="Chart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35746E63" w14:textId="77777777" w:rsidR="00E63FC4" w:rsidRPr="00A478B9" w:rsidRDefault="00E63FC4" w:rsidP="00CD44F3">
      <w:pPr>
        <w:widowControl w:val="0"/>
        <w:spacing w:after="240"/>
        <w:ind w:left="720" w:hanging="11"/>
        <w:rPr>
          <w:rFonts w:ascii="Arial Narrow" w:hAnsi="Arial Narrow"/>
          <w:sz w:val="18"/>
          <w:szCs w:val="18"/>
        </w:rPr>
      </w:pPr>
      <w:r w:rsidRPr="001F42AF">
        <w:rPr>
          <w:rFonts w:ascii="Arial Narrow" w:hAnsi="Arial Narrow"/>
          <w:i/>
          <w:sz w:val="18"/>
          <w:szCs w:val="18"/>
          <w:lang w:val="bg-BG"/>
        </w:rPr>
        <w:t>Източник:</w:t>
      </w:r>
      <w:r w:rsidRPr="001F42AF">
        <w:rPr>
          <w:rFonts w:ascii="Arial Narrow" w:hAnsi="Arial Narrow"/>
          <w:b/>
          <w:i/>
          <w:sz w:val="18"/>
          <w:szCs w:val="18"/>
          <w:lang w:val="bg-BG"/>
        </w:rPr>
        <w:t xml:space="preserve"> </w:t>
      </w:r>
      <w:r w:rsidRPr="001F42AF">
        <w:rPr>
          <w:rFonts w:ascii="Arial Narrow" w:hAnsi="Arial Narrow"/>
          <w:sz w:val="18"/>
          <w:szCs w:val="18"/>
          <w:lang w:val="bg-BG"/>
        </w:rPr>
        <w:t>изчисления на МЗХ по данни на НСИ</w:t>
      </w:r>
    </w:p>
    <w:p w14:paraId="4EBBA8F3" w14:textId="77777777" w:rsidR="0025332A" w:rsidRPr="0025332A" w:rsidRDefault="0025332A" w:rsidP="0025332A">
      <w:pPr>
        <w:autoSpaceDE w:val="0"/>
        <w:autoSpaceDN w:val="0"/>
        <w:adjustRightInd w:val="0"/>
        <w:spacing w:after="120"/>
        <w:ind w:firstLine="708"/>
        <w:jc w:val="both"/>
        <w:rPr>
          <w:rFonts w:ascii="Arial Narrow" w:hAnsi="Arial Narrow"/>
          <w:bCs/>
          <w:lang w:val="bg-BG" w:eastAsia="bg-BG"/>
        </w:rPr>
      </w:pPr>
      <w:r w:rsidRPr="0025332A">
        <w:rPr>
          <w:rFonts w:ascii="Arial Narrow" w:hAnsi="Arial Narrow"/>
          <w:bCs/>
          <w:lang w:val="bg-BG" w:eastAsia="bg-BG"/>
        </w:rPr>
        <w:t>Намалението на общия размер на брутната продукция от селското стопанство през 2024 г. е следствие основно от спада в подотрасъл Растениевъдство (с 681,2</w:t>
      </w:r>
      <w:r w:rsidRPr="0025332A">
        <w:rPr>
          <w:rFonts w:ascii="Arial Narrow" w:hAnsi="Arial Narrow"/>
          <w:bCs/>
          <w:lang w:eastAsia="bg-BG"/>
        </w:rPr>
        <w:t xml:space="preserve"> </w:t>
      </w:r>
      <w:r w:rsidRPr="0025332A">
        <w:rPr>
          <w:rFonts w:ascii="Arial Narrow" w:hAnsi="Arial Narrow"/>
          <w:bCs/>
          <w:lang w:val="bg-BG" w:eastAsia="bg-BG"/>
        </w:rPr>
        <w:t xml:space="preserve">млн. лева или с 9,5% спрямо предходната година). Стойността на продукцията от подотрасъл Животновъдство също намалява - със </w:t>
      </w:r>
      <w:r w:rsidRPr="0025332A">
        <w:rPr>
          <w:rFonts w:ascii="Arial Narrow" w:hAnsi="Arial Narrow"/>
          <w:bCs/>
          <w:lang w:eastAsia="bg-BG"/>
        </w:rPr>
        <w:t>1</w:t>
      </w:r>
      <w:r w:rsidRPr="0025332A">
        <w:rPr>
          <w:rFonts w:ascii="Arial Narrow" w:hAnsi="Arial Narrow"/>
          <w:bCs/>
          <w:lang w:val="bg-BG" w:eastAsia="bg-BG"/>
        </w:rPr>
        <w:t>70,0</w:t>
      </w:r>
      <w:r w:rsidRPr="0025332A">
        <w:rPr>
          <w:rFonts w:ascii="Arial Narrow" w:hAnsi="Arial Narrow"/>
          <w:bCs/>
          <w:lang w:eastAsia="bg-BG"/>
        </w:rPr>
        <w:t xml:space="preserve"> </w:t>
      </w:r>
      <w:r w:rsidRPr="0025332A">
        <w:rPr>
          <w:rFonts w:ascii="Arial Narrow" w:hAnsi="Arial Narrow"/>
          <w:bCs/>
          <w:lang w:val="bg-BG" w:eastAsia="bg-BG"/>
        </w:rPr>
        <w:t xml:space="preserve">млн. лева или с 6,8%, а тази на </w:t>
      </w:r>
      <w:r w:rsidR="00AA7E1F">
        <w:rPr>
          <w:rFonts w:ascii="Arial Narrow" w:hAnsi="Arial Narrow"/>
          <w:bCs/>
          <w:lang w:val="bg-BG" w:eastAsia="bg-BG"/>
        </w:rPr>
        <w:t>С</w:t>
      </w:r>
      <w:r w:rsidRPr="0025332A">
        <w:rPr>
          <w:rFonts w:ascii="Arial Narrow" w:hAnsi="Arial Narrow"/>
          <w:bCs/>
          <w:lang w:val="bg-BG" w:eastAsia="bg-BG"/>
        </w:rPr>
        <w:t>елскостопанските услуги – с 47,9 млн. лева (8,0%). Брутната продукция от Неселскостопански неотделими дейности се запазва на нивото от предходната година.</w:t>
      </w:r>
    </w:p>
    <w:p w14:paraId="104D5C14" w14:textId="77777777" w:rsidR="0025332A" w:rsidRPr="0025332A" w:rsidRDefault="0025332A" w:rsidP="0025332A">
      <w:pPr>
        <w:autoSpaceDE w:val="0"/>
        <w:autoSpaceDN w:val="0"/>
        <w:adjustRightInd w:val="0"/>
        <w:spacing w:after="120"/>
        <w:ind w:firstLine="708"/>
        <w:jc w:val="both"/>
        <w:rPr>
          <w:rFonts w:ascii="Arial Narrow" w:hAnsi="Arial Narrow"/>
          <w:bCs/>
          <w:lang w:val="bg-BG" w:eastAsia="bg-BG"/>
        </w:rPr>
      </w:pPr>
      <w:r w:rsidRPr="0025332A">
        <w:rPr>
          <w:rFonts w:ascii="Arial Narrow" w:hAnsi="Arial Narrow"/>
          <w:bCs/>
          <w:lang w:val="bg-BG" w:eastAsia="bg-BG"/>
        </w:rPr>
        <w:t xml:space="preserve">Съществен спад спрямо 2023 г. отбелязва водещото направление на растениевъдния подотрасъл -  зърнопроизводството – с 690,0 млн. лева (16,4%). </w:t>
      </w:r>
    </w:p>
    <w:p w14:paraId="02D23107" w14:textId="77777777" w:rsidR="0025332A" w:rsidRPr="0025332A" w:rsidRDefault="0025332A" w:rsidP="0025332A">
      <w:pPr>
        <w:autoSpaceDE w:val="0"/>
        <w:autoSpaceDN w:val="0"/>
        <w:adjustRightInd w:val="0"/>
        <w:spacing w:after="120"/>
        <w:ind w:firstLine="708"/>
        <w:jc w:val="both"/>
        <w:rPr>
          <w:rFonts w:ascii="Arial Narrow" w:hAnsi="Arial Narrow"/>
          <w:bCs/>
          <w:lang w:val="bg-BG" w:eastAsia="bg-BG"/>
        </w:rPr>
      </w:pPr>
      <w:r w:rsidRPr="0025332A">
        <w:rPr>
          <w:rFonts w:ascii="Arial Narrow" w:hAnsi="Arial Narrow"/>
          <w:bCs/>
          <w:lang w:val="bg-BG" w:eastAsia="bg-BG"/>
        </w:rPr>
        <w:t>Увеличение на брутната продукция в стойностно изражение е налице при направление Зеленчуци (без картофопроизводство) – с 30,7 млн. лева (6,2%), Плодове – с 28,</w:t>
      </w:r>
      <w:r w:rsidR="00AA7E1F">
        <w:rPr>
          <w:rFonts w:ascii="Arial Narrow" w:hAnsi="Arial Narrow"/>
          <w:bCs/>
          <w:lang w:val="bg-BG" w:eastAsia="bg-BG"/>
        </w:rPr>
        <w:t>5</w:t>
      </w:r>
      <w:r w:rsidRPr="0025332A">
        <w:rPr>
          <w:rFonts w:ascii="Arial Narrow" w:hAnsi="Arial Narrow"/>
          <w:bCs/>
          <w:lang w:val="bg-BG" w:eastAsia="bg-BG"/>
        </w:rPr>
        <w:t xml:space="preserve"> млн. лева (9,0%) и Протеинодайни култури – с 11,3 млн. лева (41,7%).</w:t>
      </w:r>
    </w:p>
    <w:p w14:paraId="54AF9124" w14:textId="77777777" w:rsidR="0025332A" w:rsidRPr="0025332A" w:rsidRDefault="0025332A" w:rsidP="0025332A">
      <w:pPr>
        <w:autoSpaceDE w:val="0"/>
        <w:autoSpaceDN w:val="0"/>
        <w:adjustRightInd w:val="0"/>
        <w:spacing w:after="120"/>
        <w:ind w:firstLine="708"/>
        <w:jc w:val="both"/>
        <w:rPr>
          <w:rFonts w:ascii="Arial Narrow" w:hAnsi="Arial Narrow"/>
          <w:bCs/>
          <w:lang w:val="bg-BG" w:eastAsia="bg-BG"/>
        </w:rPr>
      </w:pPr>
      <w:r w:rsidRPr="0025332A">
        <w:rPr>
          <w:rFonts w:ascii="Arial Narrow" w:hAnsi="Arial Narrow"/>
          <w:bCs/>
          <w:lang w:val="bg-BG" w:eastAsia="bg-BG"/>
        </w:rPr>
        <w:t xml:space="preserve">В подотрасъл Животновъдство през 2024 г. се наблюдава ръст спрямо предходната година единствено в направление Едър рогат добитък – с 13,4 млн. лева (7,6%). </w:t>
      </w:r>
    </w:p>
    <w:p w14:paraId="6E5FE360" w14:textId="77777777" w:rsidR="0025332A" w:rsidRPr="0025332A" w:rsidRDefault="0025332A" w:rsidP="0025332A">
      <w:pPr>
        <w:autoSpaceDE w:val="0"/>
        <w:autoSpaceDN w:val="0"/>
        <w:adjustRightInd w:val="0"/>
        <w:spacing w:after="120"/>
        <w:ind w:firstLine="709"/>
        <w:jc w:val="both"/>
        <w:rPr>
          <w:rFonts w:ascii="Arial Narrow" w:hAnsi="Arial Narrow"/>
          <w:bCs/>
          <w:lang w:val="bg-BG" w:eastAsia="bg-BG"/>
        </w:rPr>
      </w:pPr>
      <w:r w:rsidRPr="0025332A">
        <w:rPr>
          <w:rFonts w:ascii="Arial Narrow" w:hAnsi="Arial Narrow"/>
          <w:bCs/>
          <w:lang w:val="bg-BG" w:eastAsia="bg-BG"/>
        </w:rPr>
        <w:t>Най-голямо е намалението в птицевъдното направление:</w:t>
      </w:r>
    </w:p>
    <w:p w14:paraId="6FA2CDC9" w14:textId="77777777" w:rsidR="0025332A" w:rsidRPr="0025332A" w:rsidRDefault="0025332A" w:rsidP="0025332A">
      <w:pPr>
        <w:numPr>
          <w:ilvl w:val="0"/>
          <w:numId w:val="2"/>
        </w:numPr>
        <w:autoSpaceDE w:val="0"/>
        <w:autoSpaceDN w:val="0"/>
        <w:adjustRightInd w:val="0"/>
        <w:spacing w:after="120"/>
        <w:jc w:val="both"/>
        <w:rPr>
          <w:rFonts w:ascii="Arial Narrow" w:hAnsi="Arial Narrow"/>
          <w:bCs/>
          <w:lang w:val="bg-BG" w:eastAsia="bg-BG"/>
        </w:rPr>
      </w:pPr>
      <w:r w:rsidRPr="0025332A">
        <w:rPr>
          <w:rFonts w:ascii="Arial Narrow" w:hAnsi="Arial Narrow"/>
          <w:bCs/>
          <w:lang w:val="bg-BG" w:eastAsia="bg-BG"/>
        </w:rPr>
        <w:t>Производство на яйца – с 93,6 млн. лева (23,6%);</w:t>
      </w:r>
    </w:p>
    <w:p w14:paraId="53BD9839" w14:textId="77777777" w:rsidR="0025332A" w:rsidRPr="0025332A" w:rsidRDefault="0025332A" w:rsidP="0025332A">
      <w:pPr>
        <w:numPr>
          <w:ilvl w:val="0"/>
          <w:numId w:val="2"/>
        </w:numPr>
        <w:autoSpaceDE w:val="0"/>
        <w:autoSpaceDN w:val="0"/>
        <w:adjustRightInd w:val="0"/>
        <w:spacing w:after="120"/>
        <w:jc w:val="both"/>
        <w:rPr>
          <w:rFonts w:ascii="Arial Narrow" w:hAnsi="Arial Narrow"/>
          <w:bCs/>
          <w:lang w:val="bg-BG" w:eastAsia="bg-BG"/>
        </w:rPr>
      </w:pPr>
      <w:r w:rsidRPr="0025332A">
        <w:rPr>
          <w:rFonts w:ascii="Arial Narrow" w:hAnsi="Arial Narrow"/>
          <w:bCs/>
          <w:lang w:val="bg-BG" w:eastAsia="bg-BG"/>
        </w:rPr>
        <w:t>Отглеждане на птици – с 31,5 млн. лева (7,2%).</w:t>
      </w:r>
    </w:p>
    <w:p w14:paraId="2B859475" w14:textId="77777777" w:rsidR="0025332A" w:rsidRPr="0025332A" w:rsidRDefault="0025332A" w:rsidP="0025332A">
      <w:pPr>
        <w:autoSpaceDE w:val="0"/>
        <w:autoSpaceDN w:val="0"/>
        <w:adjustRightInd w:val="0"/>
        <w:spacing w:after="120"/>
        <w:ind w:firstLine="709"/>
        <w:jc w:val="both"/>
        <w:rPr>
          <w:rFonts w:ascii="Arial Narrow" w:hAnsi="Arial Narrow"/>
          <w:bCs/>
          <w:lang w:val="bg-BG" w:eastAsia="bg-BG"/>
        </w:rPr>
      </w:pPr>
      <w:r w:rsidRPr="0025332A">
        <w:rPr>
          <w:rFonts w:ascii="Arial Narrow" w:hAnsi="Arial Narrow"/>
          <w:bCs/>
          <w:lang w:val="bg-BG" w:eastAsia="bg-BG"/>
        </w:rPr>
        <w:t>Брутната продукция в млечното направление намалява с 19,2 млн. лева (2,7%), а в направление Овце и кози с 15,4 млн. лева (8,4%). Стойността на продукцията от свиневъдството се запазва на нивото от предходната година.</w:t>
      </w:r>
    </w:p>
    <w:p w14:paraId="3E9D0680" w14:textId="77777777" w:rsidR="0025332A" w:rsidRPr="0025332A" w:rsidRDefault="0025332A" w:rsidP="0025332A">
      <w:pPr>
        <w:autoSpaceDE w:val="0"/>
        <w:autoSpaceDN w:val="0"/>
        <w:adjustRightInd w:val="0"/>
        <w:spacing w:after="120"/>
        <w:ind w:firstLine="708"/>
        <w:jc w:val="both"/>
        <w:rPr>
          <w:rFonts w:ascii="Arial Narrow" w:hAnsi="Arial Narrow"/>
          <w:bCs/>
          <w:lang w:val="bg-BG" w:eastAsia="bg-BG"/>
        </w:rPr>
      </w:pPr>
      <w:r w:rsidRPr="0025332A">
        <w:rPr>
          <w:rFonts w:ascii="Arial Narrow" w:hAnsi="Arial Narrow"/>
          <w:bCs/>
          <w:lang w:val="bg-BG" w:eastAsia="bg-BG"/>
        </w:rPr>
        <w:t xml:space="preserve">Общият размер на реализираните посредством продажби селскостопански стоки (продукти от растениевъдството и животновъдството) през 2024 г. възлиза на 8 631,3 млн. лева или 89,5% от брутната продукция от отрасъл Селско стопанство (Приложение 1). Продадената растениевъдна продукция през годината е на стойност 6 450,3 млн. лева (66,9% от брутната продукция), а продадената животновъдна продукция – на стойност 2 181,0 млн. лева (22,6% от брутната продукция). Извън отрасъла е реализирана </w:t>
      </w:r>
      <w:r w:rsidRPr="0025332A">
        <w:rPr>
          <w:rFonts w:ascii="Arial Narrow" w:hAnsi="Arial Narrow"/>
          <w:bCs/>
          <w:lang w:val="bg-BG" w:eastAsia="bg-BG"/>
        </w:rPr>
        <w:lastRenderedPageBreak/>
        <w:t>растениевъдна и животновъдна продукция за 7 942,4 млн. лева (в т.ч. износ), а в рамките на продажби между селскостопанските предприятия – за 689,2 млн. лева.</w:t>
      </w:r>
    </w:p>
    <w:p w14:paraId="290F269B" w14:textId="77777777" w:rsidR="0025332A" w:rsidRPr="0025332A" w:rsidRDefault="0025332A" w:rsidP="0025332A">
      <w:pPr>
        <w:autoSpaceDE w:val="0"/>
        <w:autoSpaceDN w:val="0"/>
        <w:adjustRightInd w:val="0"/>
        <w:spacing w:after="120"/>
        <w:ind w:firstLine="708"/>
        <w:jc w:val="both"/>
        <w:rPr>
          <w:rFonts w:ascii="Arial Narrow" w:hAnsi="Arial Narrow"/>
          <w:bCs/>
          <w:lang w:val="bg-BG" w:eastAsia="bg-BG"/>
        </w:rPr>
      </w:pPr>
      <w:r w:rsidRPr="0025332A">
        <w:rPr>
          <w:rFonts w:ascii="Arial Narrow" w:hAnsi="Arial Narrow"/>
          <w:bCs/>
          <w:lang w:val="bg-BG" w:eastAsia="bg-BG"/>
        </w:rPr>
        <w:t xml:space="preserve">Селскостопанските единици са употребили с производствена цел произведени през годината селскостопански продукти (семена, посадъчен материал, фуражи и др.) на стойност </w:t>
      </w:r>
      <w:r w:rsidRPr="0025332A">
        <w:rPr>
          <w:rFonts w:ascii="Arial Narrow" w:hAnsi="Arial Narrow"/>
          <w:bCs/>
          <w:lang w:eastAsia="bg-BG"/>
        </w:rPr>
        <w:t>362,3</w:t>
      </w:r>
      <w:r w:rsidRPr="0025332A">
        <w:rPr>
          <w:rFonts w:ascii="Arial Narrow" w:hAnsi="Arial Narrow"/>
          <w:bCs/>
          <w:lang w:val="bg-BG" w:eastAsia="bg-BG"/>
        </w:rPr>
        <w:t xml:space="preserve"> млн. лева (3,8% от брутната продукция). </w:t>
      </w:r>
    </w:p>
    <w:p w14:paraId="4548D470" w14:textId="77777777" w:rsidR="0025332A" w:rsidRPr="0025332A" w:rsidRDefault="0025332A" w:rsidP="0025332A">
      <w:pPr>
        <w:autoSpaceDE w:val="0"/>
        <w:autoSpaceDN w:val="0"/>
        <w:adjustRightInd w:val="0"/>
        <w:spacing w:after="120"/>
        <w:ind w:firstLine="708"/>
        <w:jc w:val="both"/>
        <w:rPr>
          <w:rFonts w:ascii="Arial Narrow" w:hAnsi="Arial Narrow"/>
          <w:bCs/>
          <w:lang w:val="bg-BG" w:eastAsia="bg-BG"/>
        </w:rPr>
      </w:pPr>
      <w:r w:rsidRPr="0025332A">
        <w:rPr>
          <w:rFonts w:ascii="Arial Narrow" w:hAnsi="Arial Narrow"/>
          <w:bCs/>
          <w:lang w:val="bg-BG" w:eastAsia="bg-BG"/>
        </w:rPr>
        <w:t>За самопотребление в стопанствата е използвана селскостопанска продукция - основно преработени в стопанството селскостопански продукти, на стойност 340,0 млн. лева (3,5% от брутната продукция).</w:t>
      </w:r>
    </w:p>
    <w:p w14:paraId="160A9525" w14:textId="77777777" w:rsidR="0025332A" w:rsidRPr="0025332A" w:rsidRDefault="0025332A" w:rsidP="0025332A">
      <w:pPr>
        <w:autoSpaceDE w:val="0"/>
        <w:autoSpaceDN w:val="0"/>
        <w:adjustRightInd w:val="0"/>
        <w:spacing w:after="120"/>
        <w:ind w:firstLine="708"/>
        <w:jc w:val="both"/>
        <w:rPr>
          <w:rFonts w:ascii="Arial Narrow" w:hAnsi="Arial Narrow"/>
          <w:bCs/>
          <w:lang w:val="bg-BG" w:eastAsia="bg-BG"/>
        </w:rPr>
      </w:pPr>
      <w:r w:rsidRPr="0025332A">
        <w:rPr>
          <w:rFonts w:ascii="Arial Narrow" w:hAnsi="Arial Narrow"/>
          <w:bCs/>
          <w:lang w:val="bg-BG" w:eastAsia="bg-BG"/>
        </w:rPr>
        <w:t xml:space="preserve">Произведените стоки - основен капитал за собствена сметка (производство на трайни насаждения и продуктивни животни), са на стойност </w:t>
      </w:r>
      <w:r w:rsidRPr="0025332A">
        <w:rPr>
          <w:rFonts w:ascii="Arial Narrow" w:hAnsi="Arial Narrow"/>
          <w:bCs/>
          <w:lang w:eastAsia="bg-BG"/>
        </w:rPr>
        <w:t>154,0</w:t>
      </w:r>
      <w:r w:rsidRPr="0025332A">
        <w:rPr>
          <w:rFonts w:ascii="Arial Narrow" w:hAnsi="Arial Narrow"/>
          <w:bCs/>
          <w:lang w:val="bg-BG" w:eastAsia="bg-BG"/>
        </w:rPr>
        <w:t xml:space="preserve"> млн. лева (1,</w:t>
      </w:r>
      <w:r w:rsidRPr="0025332A">
        <w:rPr>
          <w:rFonts w:ascii="Arial Narrow" w:hAnsi="Arial Narrow"/>
          <w:bCs/>
          <w:lang w:eastAsia="bg-BG"/>
        </w:rPr>
        <w:t>6</w:t>
      </w:r>
      <w:r w:rsidRPr="0025332A">
        <w:rPr>
          <w:rFonts w:ascii="Arial Narrow" w:hAnsi="Arial Narrow"/>
          <w:bCs/>
          <w:lang w:val="bg-BG" w:eastAsia="bg-BG"/>
        </w:rPr>
        <w:t xml:space="preserve">% от брутната продукция). </w:t>
      </w:r>
    </w:p>
    <w:p w14:paraId="2F0878B8" w14:textId="77777777" w:rsidR="0025332A" w:rsidRPr="0025332A" w:rsidRDefault="001E0A87" w:rsidP="0025332A">
      <w:pPr>
        <w:pStyle w:val="ListParagraph"/>
        <w:keepNext/>
        <w:numPr>
          <w:ilvl w:val="2"/>
          <w:numId w:val="8"/>
        </w:numPr>
        <w:tabs>
          <w:tab w:val="left" w:pos="990"/>
        </w:tabs>
        <w:spacing w:before="120" w:after="120"/>
        <w:ind w:left="788" w:hanging="431"/>
        <w:contextualSpacing w:val="0"/>
        <w:outlineLvl w:val="0"/>
        <w:rPr>
          <w:rFonts w:ascii="Arial Narrow" w:hAnsi="Arial Narrow"/>
          <w:b/>
          <w:lang w:val="bg-BG"/>
        </w:rPr>
      </w:pPr>
      <w:bookmarkStart w:id="28" w:name="_Toc210747535"/>
      <w:r w:rsidRPr="0025332A">
        <w:rPr>
          <w:rFonts w:ascii="Arial Narrow" w:hAnsi="Arial Narrow"/>
          <w:b/>
          <w:lang w:val="bg-BG" w:eastAsia="bg-BG"/>
        </w:rPr>
        <w:t>Стойност</w:t>
      </w:r>
      <w:r w:rsidRPr="0025332A">
        <w:rPr>
          <w:rFonts w:ascii="Arial Narrow" w:hAnsi="Arial Narrow"/>
          <w:b/>
          <w:lang w:val="bg-BG"/>
        </w:rPr>
        <w:t xml:space="preserve"> на крайната продукция</w:t>
      </w:r>
      <w:bookmarkEnd w:id="28"/>
    </w:p>
    <w:p w14:paraId="730C013C" w14:textId="77777777" w:rsidR="0025332A" w:rsidRPr="0025332A" w:rsidRDefault="0025332A" w:rsidP="0025332A">
      <w:pPr>
        <w:autoSpaceDE w:val="0"/>
        <w:autoSpaceDN w:val="0"/>
        <w:adjustRightInd w:val="0"/>
        <w:spacing w:after="120"/>
        <w:ind w:firstLine="708"/>
        <w:jc w:val="both"/>
        <w:rPr>
          <w:rFonts w:ascii="Arial Narrow" w:hAnsi="Arial Narrow"/>
          <w:bCs/>
          <w:lang w:val="bg-BG" w:eastAsia="bg-BG"/>
        </w:rPr>
      </w:pPr>
      <w:r w:rsidRPr="0025332A">
        <w:rPr>
          <w:rFonts w:ascii="Arial Narrow" w:hAnsi="Arial Narrow"/>
          <w:bCs/>
          <w:lang w:val="bg-BG" w:eastAsia="bg-BG"/>
        </w:rPr>
        <w:t>Стойността на крайната продукция от отрасъл Селско стопанство (стойност на продукцията след приспадане на вътрешните обороти) по базисни цени (цени с включени субсидии по продукти) за 2024 г. възлиза на 9 707,5 млн. лева и отбелязва спад от 8,0% (с 846,9 млн. лева) спрямо предходната година (Приложения 4 и 5). Спадът е обусловен от едновременното намаление на физическия обем и на изкупните цени на селскостопанската продукция.</w:t>
      </w:r>
    </w:p>
    <w:p w14:paraId="2E984532" w14:textId="77777777" w:rsidR="0025332A" w:rsidRPr="0025332A" w:rsidRDefault="0025332A" w:rsidP="0025332A">
      <w:pPr>
        <w:autoSpaceDE w:val="0"/>
        <w:autoSpaceDN w:val="0"/>
        <w:adjustRightInd w:val="0"/>
        <w:spacing w:after="120"/>
        <w:ind w:firstLine="708"/>
        <w:jc w:val="both"/>
        <w:rPr>
          <w:rFonts w:ascii="Arial Narrow" w:hAnsi="Arial Narrow"/>
          <w:bCs/>
          <w:lang w:val="bg-BG" w:eastAsia="bg-BG"/>
        </w:rPr>
      </w:pPr>
      <w:r w:rsidRPr="0025332A">
        <w:rPr>
          <w:rFonts w:ascii="Arial Narrow" w:hAnsi="Arial Narrow"/>
          <w:bCs/>
          <w:lang w:val="bg-BG" w:eastAsia="bg-BG"/>
        </w:rPr>
        <w:t>Структурата на крайната продукция от селското стопанство за 2024 г. запазва формираните съотношения между направленията на отрасъла, очертани при стойността на брутната продукция. И при крайната продукция най-голям е относителният дял на продукцията от растениевъдството – 66,4%. За 2024 г. относителният дял на продукцията от животновъдството е 24,9%, на селскостопанските услуги – 5,6%, и на продукцията от неотделимите неселскостопански второстепенни дейности – 3,1%.</w:t>
      </w:r>
    </w:p>
    <w:p w14:paraId="22A3664F" w14:textId="77777777" w:rsidR="0025332A" w:rsidRPr="0025332A" w:rsidRDefault="0025332A" w:rsidP="0025332A">
      <w:pPr>
        <w:autoSpaceDE w:val="0"/>
        <w:autoSpaceDN w:val="0"/>
        <w:adjustRightInd w:val="0"/>
        <w:spacing w:after="120"/>
        <w:ind w:firstLine="708"/>
        <w:jc w:val="both"/>
        <w:rPr>
          <w:rFonts w:ascii="Arial Narrow" w:hAnsi="Arial Narrow"/>
          <w:bCs/>
          <w:lang w:val="bg-BG" w:eastAsia="bg-BG"/>
        </w:rPr>
      </w:pPr>
      <w:r w:rsidRPr="0025332A">
        <w:rPr>
          <w:rFonts w:ascii="Arial Narrow" w:hAnsi="Arial Narrow"/>
          <w:bCs/>
          <w:lang w:val="bg-BG" w:eastAsia="bg-BG"/>
        </w:rPr>
        <w:t>С най-голям дял в стойността на крайната продукция от отрасъла остават зърнените и маслодайните култури. Двете групи култури заедно (зърнените - със стойност 3 411,5 млн. лева и маслодайните – с 1 547,9 млн. лева) формират 51,1% от стойността на продукцията от отрасъл Селско стопанство. От тях, най-голям принос за създаването на крайната продукция от отрасъла през 2024 г. имат:</w:t>
      </w:r>
    </w:p>
    <w:p w14:paraId="7198A1B0" w14:textId="77777777" w:rsidR="0025332A" w:rsidRPr="0025332A" w:rsidRDefault="0025332A" w:rsidP="0025332A">
      <w:pPr>
        <w:numPr>
          <w:ilvl w:val="0"/>
          <w:numId w:val="2"/>
        </w:numPr>
        <w:autoSpaceDE w:val="0"/>
        <w:autoSpaceDN w:val="0"/>
        <w:adjustRightInd w:val="0"/>
        <w:spacing w:after="120"/>
        <w:jc w:val="both"/>
        <w:rPr>
          <w:rFonts w:ascii="Arial Narrow" w:hAnsi="Arial Narrow" w:cs="ArialNarrow"/>
          <w:lang w:val="bg-BG"/>
        </w:rPr>
      </w:pPr>
      <w:r w:rsidRPr="0025332A">
        <w:rPr>
          <w:rFonts w:ascii="Arial Narrow" w:hAnsi="Arial Narrow" w:cs="ArialNarrow"/>
          <w:lang w:val="bg-BG"/>
        </w:rPr>
        <w:t xml:space="preserve">Мека пшеница – дял от 24,3%, с 2 356,5 млн. лева крайна продукция; </w:t>
      </w:r>
    </w:p>
    <w:p w14:paraId="077FD799" w14:textId="77777777" w:rsidR="0025332A" w:rsidRPr="0025332A" w:rsidRDefault="0025332A" w:rsidP="0025332A">
      <w:pPr>
        <w:autoSpaceDE w:val="0"/>
        <w:autoSpaceDN w:val="0"/>
        <w:adjustRightInd w:val="0"/>
        <w:spacing w:after="120"/>
        <w:ind w:firstLine="720"/>
        <w:jc w:val="both"/>
        <w:rPr>
          <w:rFonts w:ascii="Arial Narrow" w:hAnsi="Arial Narrow" w:cs="ArialNarrow"/>
          <w:lang w:val="bg-BG"/>
        </w:rPr>
      </w:pPr>
      <w:r w:rsidRPr="0025332A">
        <w:rPr>
          <w:rFonts w:ascii="Arial Narrow" w:hAnsi="Arial Narrow" w:cs="ArialNarrow"/>
          <w:lang w:val="bg-BG"/>
        </w:rPr>
        <w:t>Въпреки регистрирания ръст от 2,7% на физическия обем при производството на мека пшеница, стойността на продукцията намалява с 274,1 млн. лева (с 10,4%) спрямо предходната година, под влияние на ценови фактори (спад на цените на продукцията от 12,8% спрямо нивата през 202</w:t>
      </w:r>
      <w:r w:rsidRPr="0025332A">
        <w:rPr>
          <w:rFonts w:ascii="Arial Narrow" w:hAnsi="Arial Narrow" w:cs="ArialNarrow"/>
        </w:rPr>
        <w:t>3</w:t>
      </w:r>
      <w:r w:rsidRPr="0025332A">
        <w:rPr>
          <w:rFonts w:ascii="Arial Narrow" w:hAnsi="Arial Narrow" w:cs="ArialNarrow"/>
          <w:lang w:val="bg-BG"/>
        </w:rPr>
        <w:t xml:space="preserve"> г.). </w:t>
      </w:r>
    </w:p>
    <w:p w14:paraId="4E7EC965" w14:textId="77777777" w:rsidR="0025332A" w:rsidRPr="0025332A" w:rsidRDefault="0025332A" w:rsidP="0025332A">
      <w:pPr>
        <w:numPr>
          <w:ilvl w:val="0"/>
          <w:numId w:val="2"/>
        </w:numPr>
        <w:autoSpaceDE w:val="0"/>
        <w:autoSpaceDN w:val="0"/>
        <w:adjustRightInd w:val="0"/>
        <w:spacing w:after="120"/>
        <w:jc w:val="both"/>
        <w:rPr>
          <w:rFonts w:ascii="Arial Narrow" w:hAnsi="Arial Narrow" w:cs="ArialNarrow"/>
          <w:lang w:val="bg-BG"/>
        </w:rPr>
      </w:pPr>
      <w:r w:rsidRPr="0025332A">
        <w:rPr>
          <w:rFonts w:ascii="Arial Narrow" w:hAnsi="Arial Narrow" w:cs="ArialNarrow"/>
          <w:lang w:val="bg-BG"/>
        </w:rPr>
        <w:t>Слънчоглед – дял от 14,4%, с 1 402,0 млн. лева;</w:t>
      </w:r>
    </w:p>
    <w:p w14:paraId="71010619" w14:textId="77777777" w:rsidR="0025332A" w:rsidRPr="0025332A" w:rsidRDefault="0025332A" w:rsidP="0025332A">
      <w:pPr>
        <w:autoSpaceDE w:val="0"/>
        <w:autoSpaceDN w:val="0"/>
        <w:adjustRightInd w:val="0"/>
        <w:spacing w:after="120"/>
        <w:ind w:firstLine="720"/>
        <w:jc w:val="both"/>
        <w:rPr>
          <w:rFonts w:ascii="Arial Narrow" w:hAnsi="Arial Narrow" w:cs="ArialNarrow"/>
          <w:lang w:val="bg-BG"/>
        </w:rPr>
      </w:pPr>
      <w:r w:rsidRPr="0025332A">
        <w:rPr>
          <w:rFonts w:ascii="Arial Narrow" w:hAnsi="Arial Narrow" w:cs="ArialNarrow"/>
          <w:lang w:val="bg-BG"/>
        </w:rPr>
        <w:t>При производството на слънчоглед се наблюдава спад на физическия обем на производството с 8,8%, съпроводен от ръст на цените с 8,5% на годишна база. В резултат на това в стойностно изражение направлението остава на почти същото ниво от предходната година.</w:t>
      </w:r>
    </w:p>
    <w:p w14:paraId="4F53E830" w14:textId="77777777" w:rsidR="0025332A" w:rsidRPr="0025332A" w:rsidRDefault="0025332A" w:rsidP="0025332A">
      <w:pPr>
        <w:numPr>
          <w:ilvl w:val="0"/>
          <w:numId w:val="2"/>
        </w:numPr>
        <w:autoSpaceDE w:val="0"/>
        <w:autoSpaceDN w:val="0"/>
        <w:adjustRightInd w:val="0"/>
        <w:spacing w:after="120"/>
        <w:jc w:val="both"/>
        <w:rPr>
          <w:rFonts w:ascii="Arial Narrow" w:hAnsi="Arial Narrow" w:cs="ArialNarrow"/>
          <w:lang w:val="bg-BG"/>
        </w:rPr>
      </w:pPr>
      <w:r w:rsidRPr="0025332A">
        <w:rPr>
          <w:rFonts w:ascii="Arial Narrow" w:hAnsi="Arial Narrow" w:cs="ArialNarrow"/>
          <w:lang w:val="bg-BG"/>
        </w:rPr>
        <w:t>Царевица за зърно – дял от 5,8% с 563,6 млн. лева;</w:t>
      </w:r>
    </w:p>
    <w:p w14:paraId="60FF640F" w14:textId="77777777" w:rsidR="0025332A" w:rsidRPr="0025332A" w:rsidRDefault="0025332A" w:rsidP="0025332A">
      <w:pPr>
        <w:widowControl w:val="0"/>
        <w:autoSpaceDE w:val="0"/>
        <w:autoSpaceDN w:val="0"/>
        <w:adjustRightInd w:val="0"/>
        <w:spacing w:after="120"/>
        <w:ind w:firstLine="709"/>
        <w:jc w:val="both"/>
        <w:rPr>
          <w:rFonts w:ascii="Arial Narrow" w:hAnsi="Arial Narrow" w:cs="ArialNarrow"/>
          <w:lang w:val="bg-BG"/>
        </w:rPr>
      </w:pPr>
      <w:r w:rsidRPr="0025332A">
        <w:rPr>
          <w:rFonts w:ascii="Arial Narrow" w:hAnsi="Arial Narrow" w:cs="ArialNarrow"/>
          <w:lang w:val="bg-BG"/>
        </w:rPr>
        <w:t>При царевицата за зърно през 2024 г. е налице сериозно намаление на крайната продукция на годишна база - с 43,8% или с 440,1 млн. лева. То е резултат от понижението на цените (с 15,5%) в съчетание със сериозно свиване на физическия обем на продукцията с над една трета спрямо предходната година (с 33,5%).</w:t>
      </w:r>
    </w:p>
    <w:p w14:paraId="40AE7F7F" w14:textId="77777777" w:rsidR="0025332A" w:rsidRPr="0025332A" w:rsidRDefault="0025332A" w:rsidP="0025332A">
      <w:pPr>
        <w:widowControl w:val="0"/>
        <w:autoSpaceDE w:val="0"/>
        <w:autoSpaceDN w:val="0"/>
        <w:adjustRightInd w:val="0"/>
        <w:spacing w:after="120"/>
        <w:ind w:firstLine="709"/>
        <w:jc w:val="both"/>
        <w:rPr>
          <w:rFonts w:ascii="Arial Narrow" w:hAnsi="Arial Narrow" w:cs="ArialNarrow"/>
          <w:lang w:val="bg-BG"/>
        </w:rPr>
      </w:pPr>
      <w:r w:rsidRPr="0025332A">
        <w:rPr>
          <w:rFonts w:ascii="Arial Narrow" w:hAnsi="Arial Narrow" w:cs="ArialNarrow"/>
          <w:lang w:val="bg-BG"/>
        </w:rPr>
        <w:t xml:space="preserve">Подсектор Зеленчуци (без картофопроизводство) създава продукция на стойност 559,2 млн. лева и формира дял от 5,8% от крайната продукция в отрасъла. Налице е ръст в стойността на крайната продукция от зеленчуци от 5,0% (26,6 млн. лева) на годишна база като следствие от увеличения физически обем на  производството (с 6,5%), въпреки лекото намаление на цените (общо с 1,4%). </w:t>
      </w:r>
    </w:p>
    <w:p w14:paraId="015E0222" w14:textId="77777777" w:rsidR="0025332A" w:rsidRPr="0025332A" w:rsidRDefault="0025332A" w:rsidP="0025332A">
      <w:pPr>
        <w:widowControl w:val="0"/>
        <w:autoSpaceDE w:val="0"/>
        <w:autoSpaceDN w:val="0"/>
        <w:adjustRightInd w:val="0"/>
        <w:spacing w:after="120"/>
        <w:ind w:firstLine="709"/>
        <w:jc w:val="both"/>
        <w:rPr>
          <w:rFonts w:ascii="Arial Narrow" w:hAnsi="Arial Narrow" w:cs="ArialNarrow"/>
          <w:lang w:val="bg-BG"/>
        </w:rPr>
      </w:pPr>
      <w:r w:rsidRPr="0025332A">
        <w:rPr>
          <w:rFonts w:ascii="Arial Narrow" w:hAnsi="Arial Narrow" w:cs="ArialNarrow"/>
          <w:lang w:val="bg-BG"/>
        </w:rPr>
        <w:t xml:space="preserve">През 2024 г. подсектор Плодове заема дял от 4,0% (с 391,9 млн. лева) от стойността на крайната продукция от отрасъл Селско стопанство. Подсекторът отбелязва ръст от 10,3% (с 36,5 млн. лева) в резултат от увеличението на физическия обем на продукцията при всички видове плодове (с изключение на десертното грозде) с 13,7% въпреки известното понижение на цените общо с 3%. </w:t>
      </w:r>
    </w:p>
    <w:p w14:paraId="0E848169" w14:textId="77777777" w:rsidR="0025332A" w:rsidRPr="0025332A" w:rsidRDefault="0025332A" w:rsidP="0025332A">
      <w:pPr>
        <w:widowControl w:val="0"/>
        <w:autoSpaceDE w:val="0"/>
        <w:autoSpaceDN w:val="0"/>
        <w:adjustRightInd w:val="0"/>
        <w:spacing w:after="120"/>
        <w:ind w:firstLine="709"/>
        <w:jc w:val="both"/>
        <w:rPr>
          <w:rFonts w:ascii="Arial Narrow" w:hAnsi="Arial Narrow"/>
          <w:bCs/>
          <w:lang w:val="bg-BG" w:eastAsia="bg-BG"/>
        </w:rPr>
      </w:pPr>
      <w:r w:rsidRPr="0025332A">
        <w:rPr>
          <w:rFonts w:ascii="Arial Narrow" w:hAnsi="Arial Narrow"/>
          <w:bCs/>
          <w:lang w:val="bg-BG" w:eastAsia="bg-BG"/>
        </w:rPr>
        <w:lastRenderedPageBreak/>
        <w:t>Крайната продукция от подотрасъл Животновъдство през 2024 г. възлиза на 2 414,0 млн. лева и отбелязва спад от 4,</w:t>
      </w:r>
      <w:r w:rsidR="00257991">
        <w:rPr>
          <w:rFonts w:ascii="Arial Narrow" w:hAnsi="Arial Narrow"/>
          <w:bCs/>
          <w:lang w:val="bg-BG" w:eastAsia="bg-BG"/>
        </w:rPr>
        <w:t>8</w:t>
      </w:r>
      <w:r w:rsidRPr="0025332A">
        <w:rPr>
          <w:rFonts w:ascii="Arial Narrow" w:hAnsi="Arial Narrow"/>
          <w:bCs/>
          <w:lang w:val="bg-BG" w:eastAsia="bg-BG"/>
        </w:rPr>
        <w:t>% спрямо предходната година в резултат както от леко намаление на физическия обем на животновъдната продукция – с 1,7%, така и от малко по-съществено понижение на цените с 3,1%.</w:t>
      </w:r>
    </w:p>
    <w:p w14:paraId="0C654F53" w14:textId="77777777" w:rsidR="0025332A" w:rsidRPr="0025332A" w:rsidRDefault="0025332A" w:rsidP="0025332A">
      <w:pPr>
        <w:widowControl w:val="0"/>
        <w:autoSpaceDE w:val="0"/>
        <w:autoSpaceDN w:val="0"/>
        <w:adjustRightInd w:val="0"/>
        <w:spacing w:after="120"/>
        <w:ind w:firstLine="709"/>
        <w:jc w:val="both"/>
        <w:rPr>
          <w:rFonts w:ascii="Arial Narrow" w:hAnsi="Arial Narrow"/>
          <w:bCs/>
          <w:lang w:val="bg-BG" w:eastAsia="bg-BG"/>
        </w:rPr>
      </w:pPr>
      <w:r w:rsidRPr="0025332A">
        <w:rPr>
          <w:rFonts w:ascii="Arial Narrow" w:hAnsi="Arial Narrow"/>
          <w:bCs/>
          <w:lang w:val="bg-BG" w:eastAsia="bg-BG"/>
        </w:rPr>
        <w:t xml:space="preserve">Ръст се наблюдава единствено при направление Едър рогат добитък – стойността на продукцията нараства спрямо предходната 2023 г. с </w:t>
      </w:r>
      <w:r w:rsidR="00257991">
        <w:rPr>
          <w:rFonts w:ascii="Arial Narrow" w:hAnsi="Arial Narrow"/>
          <w:bCs/>
          <w:lang w:val="bg-BG" w:eastAsia="bg-BG"/>
        </w:rPr>
        <w:t>8</w:t>
      </w:r>
      <w:r w:rsidRPr="0025332A">
        <w:rPr>
          <w:rFonts w:ascii="Arial Narrow" w:hAnsi="Arial Narrow"/>
          <w:bCs/>
          <w:lang w:val="bg-BG" w:eastAsia="bg-BG"/>
        </w:rPr>
        <w:t>% в резултат от увеличаване на физическия обем (с 3%) и цените на производител (с 4,8%).</w:t>
      </w:r>
    </w:p>
    <w:p w14:paraId="25A0C848" w14:textId="77777777" w:rsidR="0025332A" w:rsidRPr="0025332A" w:rsidRDefault="0025332A" w:rsidP="0025332A">
      <w:pPr>
        <w:widowControl w:val="0"/>
        <w:autoSpaceDE w:val="0"/>
        <w:autoSpaceDN w:val="0"/>
        <w:adjustRightInd w:val="0"/>
        <w:spacing w:after="120"/>
        <w:ind w:firstLine="709"/>
        <w:jc w:val="both"/>
        <w:rPr>
          <w:rFonts w:ascii="Arial Narrow" w:hAnsi="Arial Narrow"/>
          <w:bCs/>
          <w:lang w:val="bg-BG" w:eastAsia="bg-BG"/>
        </w:rPr>
      </w:pPr>
      <w:r w:rsidRPr="0025332A">
        <w:rPr>
          <w:rFonts w:ascii="Arial Narrow" w:hAnsi="Arial Narrow"/>
          <w:bCs/>
          <w:lang w:val="bg-BG" w:eastAsia="bg-BG"/>
        </w:rPr>
        <w:t xml:space="preserve">Направленията от животновъдния подотрасъл, които имат най-голям принос в общата стойност на крайната продукция от отрасъл Селско стопанство през 2024 г., са: </w:t>
      </w:r>
    </w:p>
    <w:p w14:paraId="243038EE" w14:textId="77777777" w:rsidR="0025332A" w:rsidRPr="0025332A" w:rsidRDefault="0025332A" w:rsidP="0025332A">
      <w:pPr>
        <w:numPr>
          <w:ilvl w:val="0"/>
          <w:numId w:val="2"/>
        </w:numPr>
        <w:autoSpaceDE w:val="0"/>
        <w:autoSpaceDN w:val="0"/>
        <w:adjustRightInd w:val="0"/>
        <w:spacing w:after="120"/>
        <w:jc w:val="both"/>
        <w:rPr>
          <w:rFonts w:ascii="Arial Narrow" w:hAnsi="Arial Narrow" w:cs="ArialNarrow"/>
          <w:lang w:val="bg-BG"/>
        </w:rPr>
      </w:pPr>
      <w:r w:rsidRPr="0025332A">
        <w:rPr>
          <w:rFonts w:ascii="Arial Narrow" w:hAnsi="Arial Narrow" w:cs="ArialNarrow"/>
          <w:lang w:val="bg-BG"/>
        </w:rPr>
        <w:t xml:space="preserve">Производство на мляко – дял от 7,5%, със 725,5 млн. лева крайна продукция </w:t>
      </w:r>
      <w:r w:rsidRPr="0025332A">
        <w:rPr>
          <w:rFonts w:ascii="Arial Narrow" w:hAnsi="Arial Narrow"/>
          <w:bCs/>
          <w:lang w:val="bg-BG"/>
        </w:rPr>
        <w:t>(с 9,4 млн. лева по-малко спрямо 2023 г.)</w:t>
      </w:r>
      <w:r w:rsidRPr="0025332A">
        <w:rPr>
          <w:rFonts w:ascii="Arial Narrow" w:hAnsi="Arial Narrow" w:cs="ArialNarrow"/>
          <w:lang w:val="bg-BG"/>
        </w:rPr>
        <w:t>;</w:t>
      </w:r>
    </w:p>
    <w:p w14:paraId="6904B838" w14:textId="77777777" w:rsidR="0025332A" w:rsidRDefault="0025332A" w:rsidP="0025332A">
      <w:pPr>
        <w:autoSpaceDE w:val="0"/>
        <w:autoSpaceDN w:val="0"/>
        <w:adjustRightInd w:val="0"/>
        <w:spacing w:after="120"/>
        <w:ind w:firstLine="720"/>
        <w:jc w:val="both"/>
        <w:rPr>
          <w:rFonts w:ascii="Arial Narrow" w:hAnsi="Arial Narrow"/>
          <w:bCs/>
          <w:lang w:val="bg-BG"/>
        </w:rPr>
      </w:pPr>
      <w:r w:rsidRPr="0025332A">
        <w:rPr>
          <w:rFonts w:ascii="Arial Narrow" w:hAnsi="Arial Narrow"/>
          <w:bCs/>
          <w:lang w:val="bg-BG"/>
        </w:rPr>
        <w:t xml:space="preserve">При производството на мляко в стойностно изражение се отчита намаление с </w:t>
      </w:r>
      <w:r w:rsidRPr="0025332A">
        <w:rPr>
          <w:rFonts w:ascii="Arial Narrow" w:hAnsi="Arial Narrow"/>
          <w:bCs/>
        </w:rPr>
        <w:t>1,3</w:t>
      </w:r>
      <w:r w:rsidRPr="0025332A">
        <w:rPr>
          <w:rFonts w:ascii="Arial Narrow" w:hAnsi="Arial Narrow"/>
          <w:bCs/>
          <w:lang w:val="bg-BG"/>
        </w:rPr>
        <w:t>% на годишна база - като резултат от свиването на физическия обем с темп от 2,6%, изпреварващ темпа на повишаване на изкупните цени (1,4%).</w:t>
      </w:r>
    </w:p>
    <w:p w14:paraId="751C35E9" w14:textId="77777777" w:rsidR="00257991" w:rsidRPr="0025332A" w:rsidRDefault="00257991" w:rsidP="00257991">
      <w:pPr>
        <w:numPr>
          <w:ilvl w:val="0"/>
          <w:numId w:val="2"/>
        </w:numPr>
        <w:autoSpaceDE w:val="0"/>
        <w:autoSpaceDN w:val="0"/>
        <w:adjustRightInd w:val="0"/>
        <w:spacing w:after="120"/>
        <w:jc w:val="both"/>
        <w:rPr>
          <w:rFonts w:ascii="Arial Narrow" w:hAnsi="Arial Narrow"/>
          <w:lang w:val="bg-BG"/>
        </w:rPr>
      </w:pPr>
      <w:r w:rsidRPr="0025332A">
        <w:rPr>
          <w:rFonts w:ascii="Arial Narrow" w:hAnsi="Arial Narrow" w:cs="ArialNarrow"/>
          <w:lang w:val="bg-BG"/>
        </w:rPr>
        <w:t>Св</w:t>
      </w:r>
      <w:r w:rsidRPr="0025332A">
        <w:rPr>
          <w:rFonts w:ascii="Arial Narrow" w:hAnsi="Arial Narrow"/>
          <w:lang w:val="bg-BG"/>
        </w:rPr>
        <w:t>иневъдство – дял от 4,9%, с 478,8 млн. лева;</w:t>
      </w:r>
    </w:p>
    <w:p w14:paraId="564D3403" w14:textId="77777777" w:rsidR="00257991" w:rsidRPr="0025332A" w:rsidRDefault="00257991" w:rsidP="00257991">
      <w:pPr>
        <w:autoSpaceDE w:val="0"/>
        <w:autoSpaceDN w:val="0"/>
        <w:adjustRightInd w:val="0"/>
        <w:spacing w:after="120"/>
        <w:ind w:firstLine="720"/>
        <w:jc w:val="both"/>
        <w:rPr>
          <w:rFonts w:ascii="Arial Narrow" w:hAnsi="Arial Narrow" w:cs="ArialNarrow"/>
          <w:lang w:val="bg-BG"/>
        </w:rPr>
      </w:pPr>
      <w:r w:rsidRPr="0025332A">
        <w:rPr>
          <w:rFonts w:ascii="Arial Narrow" w:hAnsi="Arial Narrow" w:cs="ArialNarrow"/>
          <w:lang w:val="bg-BG"/>
        </w:rPr>
        <w:t xml:space="preserve">Стойността на крайната продукцията от свиневъдството през 2024 г. остава на нивото от предходната година независимо от ръста на физическия обем на производството със 7,4%. В негативна посока въздейства намалението на изкупните цени с темп от 7%, сходен с темпа на увеличение на произведената продукция. </w:t>
      </w:r>
    </w:p>
    <w:p w14:paraId="6AD14768" w14:textId="77777777" w:rsidR="0025332A" w:rsidRPr="00257991" w:rsidRDefault="0025332A">
      <w:pPr>
        <w:numPr>
          <w:ilvl w:val="0"/>
          <w:numId w:val="2"/>
        </w:numPr>
        <w:autoSpaceDE w:val="0"/>
        <w:autoSpaceDN w:val="0"/>
        <w:adjustRightInd w:val="0"/>
        <w:spacing w:after="120"/>
        <w:jc w:val="both"/>
        <w:rPr>
          <w:rFonts w:ascii="Arial Narrow" w:hAnsi="Arial Narrow" w:cs="ArialNarrow"/>
          <w:lang w:val="bg-BG"/>
        </w:rPr>
      </w:pPr>
      <w:r w:rsidRPr="00257991">
        <w:rPr>
          <w:rFonts w:ascii="Arial Narrow" w:hAnsi="Arial Narrow" w:cs="ArialNarrow"/>
          <w:lang w:val="bg-BG"/>
        </w:rPr>
        <w:t>Отглеждане на птици – дял от 4,2%, с 405,4 млн. лева;</w:t>
      </w:r>
    </w:p>
    <w:p w14:paraId="79AD4555" w14:textId="77777777" w:rsidR="0025332A" w:rsidRPr="0025332A" w:rsidRDefault="0025332A" w:rsidP="0025332A">
      <w:pPr>
        <w:autoSpaceDE w:val="0"/>
        <w:autoSpaceDN w:val="0"/>
        <w:adjustRightInd w:val="0"/>
        <w:spacing w:after="120"/>
        <w:ind w:firstLine="720"/>
        <w:jc w:val="both"/>
        <w:rPr>
          <w:rFonts w:ascii="Arial Narrow" w:hAnsi="Arial Narrow"/>
          <w:bCs/>
          <w:lang w:val="bg-BG"/>
        </w:rPr>
      </w:pPr>
      <w:r w:rsidRPr="0025332A">
        <w:rPr>
          <w:rFonts w:ascii="Arial Narrow" w:hAnsi="Arial Narrow"/>
          <w:bCs/>
          <w:lang w:val="bg-BG"/>
        </w:rPr>
        <w:t>Въпреки лекото увеличение на физическия обем на продукцията (с 1,8%) поднаправлението отбелязва спад от 7,2% в стойностно изражение спрямо предходната 2023 г., под влияние на значително намаление на изкупните цени (с 8,9%).</w:t>
      </w:r>
    </w:p>
    <w:p w14:paraId="0749C518" w14:textId="77777777" w:rsidR="0025332A" w:rsidRPr="0025332A" w:rsidRDefault="0025332A" w:rsidP="0025332A">
      <w:pPr>
        <w:numPr>
          <w:ilvl w:val="0"/>
          <w:numId w:val="2"/>
        </w:numPr>
        <w:autoSpaceDE w:val="0"/>
        <w:autoSpaceDN w:val="0"/>
        <w:adjustRightInd w:val="0"/>
        <w:spacing w:after="120"/>
        <w:jc w:val="both"/>
        <w:rPr>
          <w:rFonts w:ascii="Arial Narrow" w:hAnsi="Arial Narrow"/>
          <w:bCs/>
          <w:lang w:val="bg-BG"/>
        </w:rPr>
      </w:pPr>
      <w:r w:rsidRPr="0025332A">
        <w:rPr>
          <w:rFonts w:ascii="Arial Narrow" w:hAnsi="Arial Narrow" w:cs="ArialNarrow"/>
          <w:lang w:val="bg-BG"/>
        </w:rPr>
        <w:t>Производство</w:t>
      </w:r>
      <w:r w:rsidRPr="0025332A">
        <w:rPr>
          <w:rFonts w:ascii="Arial Narrow" w:hAnsi="Arial Narrow"/>
          <w:bCs/>
          <w:lang w:val="bg-BG"/>
        </w:rPr>
        <w:t xml:space="preserve"> на яйца – дял от 2,9%, с 276,7 млн. лева;</w:t>
      </w:r>
    </w:p>
    <w:p w14:paraId="341ADCE5" w14:textId="77777777" w:rsidR="0025332A" w:rsidRPr="0025332A" w:rsidRDefault="0025332A" w:rsidP="0025332A">
      <w:pPr>
        <w:autoSpaceDE w:val="0"/>
        <w:autoSpaceDN w:val="0"/>
        <w:adjustRightInd w:val="0"/>
        <w:spacing w:after="120"/>
        <w:ind w:firstLine="720"/>
        <w:jc w:val="both"/>
        <w:rPr>
          <w:rFonts w:ascii="Arial Narrow" w:hAnsi="Arial Narrow"/>
          <w:bCs/>
          <w:lang w:val="bg-BG"/>
        </w:rPr>
      </w:pPr>
      <w:r w:rsidRPr="0025332A">
        <w:rPr>
          <w:rFonts w:ascii="Arial Narrow" w:hAnsi="Arial Narrow"/>
          <w:bCs/>
          <w:lang w:val="bg-BG"/>
        </w:rPr>
        <w:t xml:space="preserve">При яйценосното поднаправление е налице свиване на физическия обем на продукцията с 9%, съпроводено с още по-съществено намаление на изкупните цени с 12%. В резултат на това стойността на продукцията през 2024 г. намалява на годишна база чувствително с </w:t>
      </w:r>
      <w:r w:rsidRPr="0025332A">
        <w:rPr>
          <w:rFonts w:ascii="Arial Narrow" w:hAnsi="Arial Narrow"/>
          <w:bCs/>
        </w:rPr>
        <w:t>20</w:t>
      </w:r>
      <w:r w:rsidRPr="0025332A">
        <w:rPr>
          <w:rFonts w:ascii="Arial Narrow" w:hAnsi="Arial Narrow"/>
          <w:bCs/>
          <w:lang w:val="bg-BG"/>
        </w:rPr>
        <w:t>%, или с 69,1 млн. лева.</w:t>
      </w:r>
    </w:p>
    <w:p w14:paraId="0599195B" w14:textId="77777777" w:rsidR="0025332A" w:rsidRPr="0025332A" w:rsidRDefault="0025332A" w:rsidP="0025332A">
      <w:pPr>
        <w:numPr>
          <w:ilvl w:val="0"/>
          <w:numId w:val="2"/>
        </w:numPr>
        <w:autoSpaceDE w:val="0"/>
        <w:autoSpaceDN w:val="0"/>
        <w:adjustRightInd w:val="0"/>
        <w:spacing w:after="120"/>
        <w:ind w:left="709" w:hanging="425"/>
        <w:jc w:val="both"/>
        <w:rPr>
          <w:rFonts w:ascii="Arial Narrow" w:hAnsi="Arial Narrow" w:cs="ArialNarrow"/>
          <w:lang w:val="bg-BG"/>
        </w:rPr>
      </w:pPr>
      <w:r w:rsidRPr="0025332A">
        <w:rPr>
          <w:rFonts w:ascii="Arial Narrow" w:hAnsi="Arial Narrow" w:cs="ArialNarrow"/>
          <w:lang w:val="bg-BG"/>
        </w:rPr>
        <w:t xml:space="preserve">Овцевъдство и козевъдство – дял от 2,2%, с 213,2 млн. лева. </w:t>
      </w:r>
    </w:p>
    <w:p w14:paraId="5D6E7B91" w14:textId="77777777" w:rsidR="0025332A" w:rsidRPr="0025332A" w:rsidRDefault="0025332A" w:rsidP="0025332A">
      <w:pPr>
        <w:autoSpaceDE w:val="0"/>
        <w:autoSpaceDN w:val="0"/>
        <w:adjustRightInd w:val="0"/>
        <w:spacing w:after="120"/>
        <w:ind w:firstLine="720"/>
        <w:jc w:val="both"/>
        <w:rPr>
          <w:rFonts w:ascii="Arial Narrow" w:hAnsi="Arial Narrow"/>
          <w:bCs/>
          <w:lang w:val="bg-BG"/>
        </w:rPr>
      </w:pPr>
      <w:r w:rsidRPr="0025332A">
        <w:rPr>
          <w:rFonts w:ascii="Arial Narrow" w:hAnsi="Arial Narrow"/>
          <w:bCs/>
          <w:lang w:val="bg-BG"/>
        </w:rPr>
        <w:t>Физическият обем на производството спада със значителните 14,5% на годишна база, което не може да бъде компенсирано от повишаването на изкупните цени (с 8,7%). В резултат на това стойността на крайната продукцията от направление Овцевъдство и козевъдство намалява със 7,1% (с 16,2 млн. лева) спрямо предходната 2023 г.</w:t>
      </w:r>
    </w:p>
    <w:p w14:paraId="72875CC3" w14:textId="77777777" w:rsidR="0025332A" w:rsidRPr="0025332A" w:rsidRDefault="001E0A87" w:rsidP="0025332A">
      <w:pPr>
        <w:pStyle w:val="ListParagraph"/>
        <w:numPr>
          <w:ilvl w:val="2"/>
          <w:numId w:val="8"/>
        </w:numPr>
        <w:tabs>
          <w:tab w:val="left" w:pos="990"/>
        </w:tabs>
        <w:spacing w:before="120" w:after="120"/>
        <w:ind w:left="788" w:hanging="431"/>
        <w:contextualSpacing w:val="0"/>
        <w:outlineLvl w:val="0"/>
        <w:rPr>
          <w:rFonts w:ascii="Arial Narrow" w:hAnsi="Arial Narrow"/>
          <w:b/>
          <w:lang w:val="bg-BG"/>
        </w:rPr>
      </w:pPr>
      <w:bookmarkStart w:id="29" w:name="_Toc210747536"/>
      <w:r w:rsidRPr="0025332A">
        <w:rPr>
          <w:rFonts w:ascii="Arial Narrow" w:hAnsi="Arial Narrow"/>
          <w:b/>
          <w:lang w:val="bg-BG" w:eastAsia="bg-BG"/>
        </w:rPr>
        <w:t>Междинно</w:t>
      </w:r>
      <w:r w:rsidRPr="0025332A">
        <w:rPr>
          <w:rFonts w:ascii="Arial Narrow" w:hAnsi="Arial Narrow"/>
          <w:b/>
          <w:lang w:val="bg-BG"/>
        </w:rPr>
        <w:t xml:space="preserve"> потребление</w:t>
      </w:r>
      <w:bookmarkEnd w:id="29"/>
    </w:p>
    <w:p w14:paraId="4DFEA50B" w14:textId="77777777" w:rsidR="0025332A" w:rsidRPr="0025332A" w:rsidRDefault="0025332A" w:rsidP="0025332A">
      <w:pPr>
        <w:autoSpaceDE w:val="0"/>
        <w:autoSpaceDN w:val="0"/>
        <w:adjustRightInd w:val="0"/>
        <w:spacing w:after="120"/>
        <w:ind w:firstLine="708"/>
        <w:jc w:val="both"/>
        <w:rPr>
          <w:rFonts w:ascii="Arial Narrow" w:hAnsi="Arial Narrow"/>
          <w:bCs/>
          <w:lang w:val="bg-BG" w:eastAsia="bg-BG"/>
        </w:rPr>
      </w:pPr>
      <w:r w:rsidRPr="0025332A">
        <w:rPr>
          <w:rFonts w:ascii="Arial Narrow" w:hAnsi="Arial Narrow"/>
          <w:bCs/>
          <w:lang w:val="bg-BG" w:eastAsia="bg-BG"/>
        </w:rPr>
        <w:t>Междинното потребление, използвано за създаването на крайната продукция в отрасъла през 2024 г., възлиза на 5 700,8 млн. лева (Приложения 3 и 4).</w:t>
      </w:r>
    </w:p>
    <w:p w14:paraId="3D0E68BE" w14:textId="77777777" w:rsidR="0025332A" w:rsidRPr="0025332A" w:rsidRDefault="0025332A" w:rsidP="0025332A">
      <w:pPr>
        <w:autoSpaceDE w:val="0"/>
        <w:autoSpaceDN w:val="0"/>
        <w:adjustRightInd w:val="0"/>
        <w:spacing w:after="120"/>
        <w:ind w:firstLine="708"/>
        <w:jc w:val="both"/>
        <w:rPr>
          <w:rFonts w:ascii="Arial Narrow" w:hAnsi="Arial Narrow"/>
          <w:bCs/>
          <w:lang w:val="bg-BG" w:eastAsia="bg-BG"/>
        </w:rPr>
      </w:pPr>
      <w:r w:rsidRPr="0025332A">
        <w:rPr>
          <w:rFonts w:ascii="Arial Narrow" w:hAnsi="Arial Narrow"/>
          <w:bCs/>
          <w:lang w:val="bg-BG" w:eastAsia="bg-BG"/>
        </w:rPr>
        <w:t xml:space="preserve">Най-съществен дял в неговата структура заемат разходите за фуражи – </w:t>
      </w:r>
      <w:r w:rsidRPr="0025332A">
        <w:rPr>
          <w:rFonts w:ascii="Arial Narrow" w:hAnsi="Arial Narrow"/>
          <w:bCs/>
          <w:lang w:eastAsia="bg-BG"/>
        </w:rPr>
        <w:t>21,</w:t>
      </w:r>
      <w:r w:rsidRPr="0025332A">
        <w:rPr>
          <w:rFonts w:ascii="Arial Narrow" w:hAnsi="Arial Narrow"/>
          <w:bCs/>
          <w:lang w:val="bg-BG" w:eastAsia="bg-BG"/>
        </w:rPr>
        <w:t>1% (1 203,8 млн. лева), горива и масла – 18,4% (1 051,0 млн. лева) и торове и почвени подобрители – 16,7%</w:t>
      </w:r>
      <w:r w:rsidRPr="0025332A" w:rsidDel="00B779FB">
        <w:rPr>
          <w:rFonts w:ascii="Arial Narrow" w:hAnsi="Arial Narrow"/>
          <w:bCs/>
          <w:lang w:val="bg-BG" w:eastAsia="bg-BG"/>
        </w:rPr>
        <w:t xml:space="preserve"> </w:t>
      </w:r>
      <w:r w:rsidRPr="0025332A">
        <w:rPr>
          <w:rFonts w:ascii="Arial Narrow" w:hAnsi="Arial Narrow"/>
          <w:bCs/>
          <w:lang w:val="bg-BG" w:eastAsia="bg-BG"/>
        </w:rPr>
        <w:t>(950,1 млн. лева), следвани от разходите за селскостопанските услуги 9,6%</w:t>
      </w:r>
      <w:r w:rsidRPr="0025332A" w:rsidDel="00B779FB">
        <w:rPr>
          <w:rFonts w:ascii="Arial Narrow" w:hAnsi="Arial Narrow"/>
          <w:bCs/>
          <w:lang w:val="bg-BG" w:eastAsia="bg-BG"/>
        </w:rPr>
        <w:t xml:space="preserve"> </w:t>
      </w:r>
      <w:r w:rsidRPr="0025332A">
        <w:rPr>
          <w:rFonts w:ascii="Arial Narrow" w:hAnsi="Arial Narrow"/>
          <w:bCs/>
          <w:lang w:val="bg-BG" w:eastAsia="bg-BG"/>
        </w:rPr>
        <w:t>(547,8 млн. лева) и за препарати за растителна защита и пестициди – 8,9% (506,1 млн. лева).</w:t>
      </w:r>
    </w:p>
    <w:p w14:paraId="6CD52161" w14:textId="77777777" w:rsidR="0025332A" w:rsidRPr="0025332A" w:rsidRDefault="0025332A" w:rsidP="0025332A">
      <w:pPr>
        <w:widowControl w:val="0"/>
        <w:autoSpaceDE w:val="0"/>
        <w:autoSpaceDN w:val="0"/>
        <w:adjustRightInd w:val="0"/>
        <w:spacing w:after="120"/>
        <w:ind w:firstLine="708"/>
        <w:jc w:val="both"/>
        <w:rPr>
          <w:rFonts w:ascii="Arial Narrow" w:hAnsi="Arial Narrow"/>
          <w:bCs/>
          <w:lang w:val="bg-BG" w:eastAsia="bg-BG"/>
        </w:rPr>
      </w:pPr>
      <w:r w:rsidRPr="0025332A">
        <w:rPr>
          <w:rFonts w:ascii="Arial Narrow" w:hAnsi="Arial Narrow"/>
          <w:bCs/>
          <w:lang w:val="bg-BG" w:eastAsia="bg-BG"/>
        </w:rPr>
        <w:t>Междинното потребление се свива с 10% (636,6 млн. лева) спрямо предходната година в резултат на намаление на физическия обем при почти всички стоки и услуги, потребени с производствена цел (общо със 7,3%), както и на техните цени (общо с 2,9%).</w:t>
      </w:r>
    </w:p>
    <w:p w14:paraId="476E76B5" w14:textId="77777777" w:rsidR="0025332A" w:rsidRPr="0025332A" w:rsidRDefault="0025332A" w:rsidP="0025332A">
      <w:pPr>
        <w:widowControl w:val="0"/>
        <w:autoSpaceDE w:val="0"/>
        <w:autoSpaceDN w:val="0"/>
        <w:adjustRightInd w:val="0"/>
        <w:spacing w:after="120"/>
        <w:ind w:firstLine="708"/>
        <w:jc w:val="both"/>
        <w:rPr>
          <w:rFonts w:ascii="Arial Narrow" w:hAnsi="Arial Narrow"/>
          <w:bCs/>
          <w:lang w:val="bg-BG" w:eastAsia="bg-BG"/>
        </w:rPr>
      </w:pPr>
      <w:r w:rsidRPr="0025332A">
        <w:rPr>
          <w:rFonts w:ascii="Arial Narrow" w:hAnsi="Arial Narrow"/>
          <w:bCs/>
          <w:lang w:val="bg-BG" w:eastAsia="bg-BG"/>
        </w:rPr>
        <w:t xml:space="preserve">В стойностно изражение намалението е най-голямо при торовете и почвените подобрители – с 202,6 млн. лева – в резултат от спада на цените спрямо предходната година. Намалението при фуражите (със 147,2 млн. лева) е следствие от свиването както на обема на потребените фуражи, така и от намалението на техните цени. При групата на горивата и маслата се отчита спад от 120,5 млн. лева, обусловен от свиване на потреблението на енергоносителите, съчетано с леко понижение на цените им </w:t>
      </w:r>
      <w:r w:rsidRPr="0025332A">
        <w:rPr>
          <w:rFonts w:ascii="Arial Narrow" w:hAnsi="Arial Narrow"/>
          <w:bCs/>
          <w:lang w:val="bg-BG" w:eastAsia="bg-BG"/>
        </w:rPr>
        <w:lastRenderedPageBreak/>
        <w:t xml:space="preserve">през годината. </w:t>
      </w:r>
    </w:p>
    <w:p w14:paraId="73CCC9F4" w14:textId="77777777" w:rsidR="0025332A" w:rsidRPr="0025332A" w:rsidRDefault="0025332A" w:rsidP="0025332A">
      <w:pPr>
        <w:widowControl w:val="0"/>
        <w:autoSpaceDE w:val="0"/>
        <w:autoSpaceDN w:val="0"/>
        <w:adjustRightInd w:val="0"/>
        <w:spacing w:after="120"/>
        <w:ind w:firstLine="708"/>
        <w:jc w:val="both"/>
        <w:rPr>
          <w:rFonts w:ascii="Arial Narrow" w:hAnsi="Arial Narrow"/>
          <w:bCs/>
          <w:lang w:val="bg-BG" w:eastAsia="bg-BG"/>
        </w:rPr>
      </w:pPr>
      <w:r w:rsidRPr="0025332A">
        <w:rPr>
          <w:rFonts w:ascii="Arial Narrow" w:hAnsi="Arial Narrow"/>
          <w:bCs/>
          <w:lang w:val="bg-BG" w:eastAsia="bg-BG"/>
        </w:rPr>
        <w:t xml:space="preserve">През 2024 г. междинното потребление представлява 58,7% от стойността на продукцията или за  създаването на 100 единици крайна продукция от отрасъл Селско стопанство са вложени 58,7 единици междинно потребление. </w:t>
      </w:r>
    </w:p>
    <w:p w14:paraId="126C8B6E" w14:textId="77777777" w:rsidR="008F6AA6" w:rsidRPr="0025332A" w:rsidRDefault="008F6AA6" w:rsidP="00334E9D">
      <w:pPr>
        <w:pStyle w:val="ListParagraph"/>
        <w:keepNext/>
        <w:widowControl w:val="0"/>
        <w:numPr>
          <w:ilvl w:val="2"/>
          <w:numId w:val="8"/>
        </w:numPr>
        <w:tabs>
          <w:tab w:val="left" w:pos="990"/>
        </w:tabs>
        <w:spacing w:before="120" w:after="120"/>
        <w:ind w:left="788" w:hanging="431"/>
        <w:contextualSpacing w:val="0"/>
        <w:outlineLvl w:val="0"/>
        <w:rPr>
          <w:rFonts w:ascii="Arial Narrow" w:hAnsi="Arial Narrow"/>
          <w:b/>
          <w:lang w:val="bg-BG"/>
        </w:rPr>
      </w:pPr>
      <w:bookmarkStart w:id="30" w:name="_Toc210747537"/>
      <w:r w:rsidRPr="0025332A">
        <w:rPr>
          <w:rFonts w:ascii="Arial Narrow" w:hAnsi="Arial Narrow"/>
          <w:b/>
          <w:lang w:val="bg-BG"/>
        </w:rPr>
        <w:t>Брутна добавена стойност</w:t>
      </w:r>
      <w:bookmarkEnd w:id="30"/>
    </w:p>
    <w:p w14:paraId="692DC31D" w14:textId="77777777" w:rsidR="0025332A" w:rsidRPr="0025332A" w:rsidRDefault="0025332A" w:rsidP="00C17CF8">
      <w:pPr>
        <w:widowControl w:val="0"/>
        <w:autoSpaceDE w:val="0"/>
        <w:autoSpaceDN w:val="0"/>
        <w:adjustRightInd w:val="0"/>
        <w:spacing w:after="120"/>
        <w:ind w:firstLine="708"/>
        <w:jc w:val="both"/>
        <w:rPr>
          <w:rFonts w:ascii="Arial Narrow" w:hAnsi="Arial Narrow"/>
          <w:bCs/>
          <w:lang w:val="bg-BG" w:eastAsia="bg-BG"/>
        </w:rPr>
      </w:pPr>
      <w:r w:rsidRPr="0025332A">
        <w:rPr>
          <w:rFonts w:ascii="Arial Narrow" w:hAnsi="Arial Narrow"/>
          <w:bCs/>
          <w:lang w:val="bg-BG" w:eastAsia="bg-BG"/>
        </w:rPr>
        <w:t>Брутната добавена стойност, създадена в отрасъл Селско стопанство през 2024 г., е в размер на 4 006,7 млн. лева (по текущи базисни цени) и отбелязва намаление с 5% (210,3 млн. лева) на годишна база (Приложения 4 и 5).</w:t>
      </w:r>
    </w:p>
    <w:p w14:paraId="1BA32CAB" w14:textId="77777777" w:rsidR="008F6AA6" w:rsidRPr="0025332A" w:rsidRDefault="008F6AA6" w:rsidP="008F6AA6">
      <w:pPr>
        <w:pStyle w:val="ListParagraph"/>
        <w:numPr>
          <w:ilvl w:val="2"/>
          <w:numId w:val="8"/>
        </w:numPr>
        <w:tabs>
          <w:tab w:val="left" w:pos="990"/>
        </w:tabs>
        <w:spacing w:before="120" w:after="120"/>
        <w:ind w:left="788" w:hanging="431"/>
        <w:contextualSpacing w:val="0"/>
        <w:outlineLvl w:val="0"/>
        <w:rPr>
          <w:rFonts w:ascii="Arial Narrow" w:hAnsi="Arial Narrow" w:cs="ArialNarrow"/>
          <w:b/>
          <w:lang w:val="bg-BG"/>
        </w:rPr>
      </w:pPr>
      <w:bookmarkStart w:id="31" w:name="_Toc210747538"/>
      <w:r w:rsidRPr="0025332A">
        <w:rPr>
          <w:rFonts w:ascii="Arial Narrow" w:hAnsi="Arial Narrow" w:cs="ArialNarrow"/>
          <w:b/>
          <w:lang w:val="bg-BG"/>
        </w:rPr>
        <w:t>Предприемачески доход</w:t>
      </w:r>
      <w:bookmarkEnd w:id="31"/>
    </w:p>
    <w:p w14:paraId="5DF55CA2" w14:textId="77777777" w:rsidR="0025332A" w:rsidRPr="0025332A" w:rsidRDefault="0025332A" w:rsidP="0025332A">
      <w:pPr>
        <w:widowControl w:val="0"/>
        <w:autoSpaceDE w:val="0"/>
        <w:autoSpaceDN w:val="0"/>
        <w:adjustRightInd w:val="0"/>
        <w:spacing w:after="120"/>
        <w:ind w:firstLine="709"/>
        <w:jc w:val="both"/>
        <w:rPr>
          <w:rFonts w:ascii="Arial Narrow" w:hAnsi="Arial Narrow"/>
          <w:bCs/>
          <w:lang w:eastAsia="bg-BG"/>
        </w:rPr>
      </w:pPr>
      <w:r w:rsidRPr="0025332A">
        <w:rPr>
          <w:rFonts w:ascii="Arial Narrow" w:hAnsi="Arial Narrow"/>
          <w:bCs/>
          <w:lang w:val="bg-BG" w:eastAsia="bg-BG"/>
        </w:rPr>
        <w:t xml:space="preserve">За 2024 г. предприемаческият доход в отрасъла възлиза на 977,0 млн. лева, като се запазва на нивото от предходната година (Приложение 4). </w:t>
      </w:r>
    </w:p>
    <w:p w14:paraId="28EF9BC1" w14:textId="77777777" w:rsidR="0025332A" w:rsidRPr="0025332A" w:rsidRDefault="0025332A" w:rsidP="0025332A">
      <w:pPr>
        <w:keepNext/>
        <w:autoSpaceDE w:val="0"/>
        <w:autoSpaceDN w:val="0"/>
        <w:adjustRightInd w:val="0"/>
        <w:spacing w:after="120"/>
        <w:jc w:val="center"/>
        <w:rPr>
          <w:rFonts w:ascii="Arial Narrow" w:hAnsi="Arial Narrow"/>
          <w:b/>
          <w:i/>
          <w:lang w:val="bg-BG"/>
        </w:rPr>
      </w:pPr>
      <w:r w:rsidRPr="0025332A">
        <w:rPr>
          <w:rFonts w:ascii="Arial Narrow" w:hAnsi="Arial Narrow"/>
          <w:b/>
          <w:i/>
          <w:lang w:val="bg-BG"/>
        </w:rPr>
        <w:t xml:space="preserve">Фигура ІІ.2. </w:t>
      </w:r>
      <w:r w:rsidRPr="0025332A">
        <w:rPr>
          <w:rFonts w:ascii="Arial Narrow" w:hAnsi="Arial Narrow"/>
          <w:b/>
          <w:bCs/>
          <w:i/>
          <w:lang w:val="bg-BG" w:eastAsia="bg-BG"/>
        </w:rPr>
        <w:t>Основни</w:t>
      </w:r>
      <w:r w:rsidRPr="0025332A">
        <w:rPr>
          <w:rFonts w:ascii="Arial Narrow" w:hAnsi="Arial Narrow"/>
          <w:b/>
          <w:i/>
          <w:lang w:val="bg-BG"/>
        </w:rPr>
        <w:t xml:space="preserve"> икономически показатели за отрасъл Селско стопанство за периода    2022 – 2024  г., млн. лева</w:t>
      </w:r>
    </w:p>
    <w:p w14:paraId="0B36F9FB" w14:textId="77777777" w:rsidR="0025332A" w:rsidRPr="0025332A" w:rsidRDefault="00257991" w:rsidP="0025332A">
      <w:pPr>
        <w:keepNext/>
        <w:autoSpaceDE w:val="0"/>
        <w:autoSpaceDN w:val="0"/>
        <w:adjustRightInd w:val="0"/>
        <w:spacing w:after="120"/>
        <w:jc w:val="center"/>
        <w:rPr>
          <w:rFonts w:ascii="Arial Narrow" w:hAnsi="Arial Narrow"/>
          <w:b/>
          <w:i/>
          <w:lang w:val="bg-BG"/>
        </w:rPr>
      </w:pPr>
      <w:r>
        <w:rPr>
          <w:noProof/>
        </w:rPr>
        <w:drawing>
          <wp:inline distT="0" distB="0" distL="0" distR="0" wp14:anchorId="22E56B35" wp14:editId="564EA00D">
            <wp:extent cx="5400000" cy="3060000"/>
            <wp:effectExtent l="0" t="0" r="0" b="7620"/>
            <wp:docPr id="51" name="Chart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5720D4DE" w14:textId="77777777" w:rsidR="0025332A" w:rsidRPr="0025332A" w:rsidRDefault="0025332A" w:rsidP="0025332A">
      <w:pPr>
        <w:keepNext/>
        <w:ind w:left="851"/>
        <w:rPr>
          <w:rFonts w:ascii="Arial Narrow" w:hAnsi="Arial Narrow"/>
          <w:sz w:val="18"/>
          <w:szCs w:val="18"/>
          <w:lang w:val="bg-BG"/>
        </w:rPr>
      </w:pPr>
      <w:r w:rsidRPr="0025332A">
        <w:rPr>
          <w:rFonts w:ascii="Arial Narrow" w:hAnsi="Arial Narrow"/>
          <w:i/>
          <w:sz w:val="18"/>
          <w:szCs w:val="18"/>
          <w:lang w:val="bg-BG"/>
        </w:rPr>
        <w:t>Източник:</w:t>
      </w:r>
      <w:r w:rsidRPr="0025332A">
        <w:rPr>
          <w:rFonts w:ascii="Arial Narrow" w:hAnsi="Arial Narrow"/>
          <w:b/>
          <w:i/>
          <w:sz w:val="18"/>
          <w:szCs w:val="18"/>
          <w:lang w:val="bg-BG"/>
        </w:rPr>
        <w:t xml:space="preserve"> </w:t>
      </w:r>
      <w:r w:rsidRPr="0025332A">
        <w:rPr>
          <w:rFonts w:ascii="Arial Narrow" w:hAnsi="Arial Narrow"/>
          <w:sz w:val="18"/>
          <w:szCs w:val="18"/>
          <w:lang w:val="bg-BG"/>
        </w:rPr>
        <w:t>НСИ</w:t>
      </w:r>
    </w:p>
    <w:p w14:paraId="21933BD1" w14:textId="77777777" w:rsidR="00CC55F6" w:rsidRPr="0077315A" w:rsidRDefault="00194C86" w:rsidP="00CC55F6">
      <w:pPr>
        <w:pStyle w:val="ListParagraph"/>
        <w:keepNext/>
        <w:numPr>
          <w:ilvl w:val="1"/>
          <w:numId w:val="8"/>
        </w:numPr>
        <w:spacing w:before="240" w:after="120"/>
        <w:ind w:left="714" w:hanging="357"/>
        <w:contextualSpacing w:val="0"/>
        <w:jc w:val="both"/>
        <w:outlineLvl w:val="0"/>
        <w:rPr>
          <w:rFonts w:ascii="Arial Narrow" w:hAnsi="Arial Narrow"/>
          <w:b/>
          <w:lang w:val="bg-BG" w:eastAsia="bg-BG"/>
        </w:rPr>
      </w:pPr>
      <w:bookmarkStart w:id="32" w:name="_Toc210747539"/>
      <w:r w:rsidRPr="0077315A">
        <w:rPr>
          <w:rFonts w:ascii="Arial Narrow" w:hAnsi="Arial Narrow"/>
          <w:b/>
          <w:lang w:val="bg-BG" w:eastAsia="bg-BG"/>
        </w:rPr>
        <w:t>Производствени резултати в растениевъдството</w:t>
      </w:r>
      <w:bookmarkEnd w:id="32"/>
    </w:p>
    <w:p w14:paraId="286A7B5F" w14:textId="77777777" w:rsidR="0077315A" w:rsidRPr="0077315A" w:rsidRDefault="0077315A" w:rsidP="0077315A">
      <w:pPr>
        <w:widowControl w:val="0"/>
        <w:spacing w:after="120"/>
        <w:ind w:firstLine="709"/>
        <w:jc w:val="both"/>
        <w:rPr>
          <w:rFonts w:ascii="Arial Narrow" w:hAnsi="Arial Narrow"/>
          <w:lang w:val="bg-BG" w:eastAsia="bg-BG"/>
        </w:rPr>
      </w:pPr>
      <w:r w:rsidRPr="0077315A">
        <w:rPr>
          <w:rFonts w:ascii="Arial Narrow" w:hAnsi="Arial Narrow"/>
          <w:lang w:val="bg-BG" w:eastAsia="bg-BG"/>
        </w:rPr>
        <w:t>Отчетната 2024 г. се характеризира с динамични агроклиматични условия.</w:t>
      </w:r>
    </w:p>
    <w:p w14:paraId="180BB911" w14:textId="77777777" w:rsidR="0077315A" w:rsidRPr="0077315A" w:rsidRDefault="0077315A" w:rsidP="0077315A">
      <w:pPr>
        <w:widowControl w:val="0"/>
        <w:tabs>
          <w:tab w:val="left" w:pos="709"/>
        </w:tabs>
        <w:spacing w:after="120"/>
        <w:ind w:firstLine="709"/>
        <w:jc w:val="both"/>
        <w:rPr>
          <w:rFonts w:ascii="Arial Narrow" w:hAnsi="Arial Narrow"/>
          <w:lang w:val="bg-BG" w:eastAsia="bg-BG"/>
        </w:rPr>
      </w:pPr>
      <w:r w:rsidRPr="0077315A">
        <w:rPr>
          <w:rFonts w:ascii="Arial Narrow" w:hAnsi="Arial Narrow"/>
          <w:lang w:val="bg-BG" w:eastAsia="bg-BG"/>
        </w:rPr>
        <w:t xml:space="preserve">През януари 2024 г. се редуваха периоди с температури над и под климатичните норми. Рязкото застудяване през втората половина от второто десетдневие възпрепятства възобновяването на вегетационните процеси при пшеницата и ечемика. През третото десетдневие стойностите на средноденонощните температури бяха в граници, които поддържаха в покой есенните посеви. </w:t>
      </w:r>
    </w:p>
    <w:p w14:paraId="14C77494" w14:textId="77777777" w:rsidR="0077315A" w:rsidRPr="0077315A" w:rsidRDefault="0077315A" w:rsidP="0077315A">
      <w:pPr>
        <w:widowControl w:val="0"/>
        <w:spacing w:after="120"/>
        <w:ind w:firstLine="709"/>
        <w:jc w:val="both"/>
        <w:rPr>
          <w:rFonts w:ascii="Arial Narrow" w:hAnsi="Arial Narrow"/>
          <w:lang w:val="bg-BG" w:eastAsia="bg-BG"/>
        </w:rPr>
      </w:pPr>
      <w:r w:rsidRPr="0077315A">
        <w:rPr>
          <w:rFonts w:ascii="Arial Narrow" w:hAnsi="Arial Narrow"/>
          <w:lang w:val="bg-BG" w:eastAsia="bg-BG"/>
        </w:rPr>
        <w:t xml:space="preserve">През повечето дни от месец февруари агрометеорологичните условия се определяха от температури с 4–6°С над биологичния минимум, необходим за възобновяване и протичане на вегетационните процеси при зимните житни култури. Падналите валежи бяха около и под нормата във всички земеделски райони на страната. </w:t>
      </w:r>
    </w:p>
    <w:p w14:paraId="42D01C78" w14:textId="77777777" w:rsidR="0077315A" w:rsidRPr="0077315A" w:rsidRDefault="0077315A" w:rsidP="0077315A">
      <w:pPr>
        <w:widowControl w:val="0"/>
        <w:tabs>
          <w:tab w:val="left" w:pos="709"/>
        </w:tabs>
        <w:spacing w:after="120"/>
        <w:ind w:firstLine="709"/>
        <w:jc w:val="both"/>
        <w:rPr>
          <w:rFonts w:ascii="Arial Narrow" w:hAnsi="Arial Narrow"/>
          <w:lang w:val="bg-BG" w:eastAsia="bg-BG"/>
        </w:rPr>
      </w:pPr>
      <w:r w:rsidRPr="0077315A">
        <w:rPr>
          <w:rFonts w:ascii="Arial Narrow" w:hAnsi="Arial Narrow"/>
          <w:lang w:val="bg-BG" w:eastAsia="bg-BG"/>
        </w:rPr>
        <w:t>През март се наблюдаваха температури над климатичните норми и валежи в по-голямата част от полските райони под нормата за месеца, с изключение на места в Западна и Централна България. В началото на третото десетдневие на отделни места в източните и южните райони бяха регистрирани отрицателни минимални температури и критични стойности за цветовете и младите завръзи на костилковите овощни видове.</w:t>
      </w:r>
    </w:p>
    <w:p w14:paraId="44E1051B" w14:textId="77777777" w:rsidR="0077315A" w:rsidRPr="0077315A" w:rsidRDefault="0077315A" w:rsidP="0077315A">
      <w:pPr>
        <w:widowControl w:val="0"/>
        <w:tabs>
          <w:tab w:val="left" w:pos="709"/>
        </w:tabs>
        <w:spacing w:after="120"/>
        <w:ind w:firstLine="709"/>
        <w:jc w:val="both"/>
        <w:rPr>
          <w:rFonts w:ascii="Arial Narrow" w:hAnsi="Arial Narrow"/>
          <w:lang w:val="bg-BG" w:eastAsia="bg-BG"/>
        </w:rPr>
      </w:pPr>
      <w:r w:rsidRPr="0077315A">
        <w:rPr>
          <w:rFonts w:ascii="Arial Narrow" w:hAnsi="Arial Narrow"/>
          <w:lang w:val="bg-BG" w:eastAsia="bg-BG"/>
        </w:rPr>
        <w:t xml:space="preserve">След високите температури в средата на април, достигнали на места в Дунавската равнина </w:t>
      </w:r>
      <w:r w:rsidRPr="0077315A">
        <w:rPr>
          <w:rFonts w:ascii="Arial Narrow" w:hAnsi="Arial Narrow"/>
          <w:lang w:val="bg-BG" w:eastAsia="bg-BG"/>
        </w:rPr>
        <w:lastRenderedPageBreak/>
        <w:t xml:space="preserve">стойности над 33°С, през второто десетдневие настъпи понижение на дневните температури и промяна в агрометеорологичните условия. Падналите валежи се отразиха благоприятно на вегетацията на есенните посеви и на началните фази от развитието на слънчогледа и царевицата. </w:t>
      </w:r>
    </w:p>
    <w:p w14:paraId="078DAAAA" w14:textId="77777777" w:rsidR="0077315A" w:rsidRPr="0077315A" w:rsidRDefault="0077315A" w:rsidP="0077315A">
      <w:pPr>
        <w:widowControl w:val="0"/>
        <w:tabs>
          <w:tab w:val="left" w:pos="709"/>
        </w:tabs>
        <w:spacing w:after="120"/>
        <w:ind w:firstLine="709"/>
        <w:jc w:val="both"/>
        <w:rPr>
          <w:rFonts w:ascii="Arial Narrow" w:hAnsi="Arial Narrow"/>
          <w:lang w:val="bg-BG" w:eastAsia="bg-BG"/>
        </w:rPr>
      </w:pPr>
      <w:r w:rsidRPr="0077315A">
        <w:rPr>
          <w:rFonts w:ascii="Arial Narrow" w:hAnsi="Arial Narrow"/>
          <w:lang w:val="bg-BG" w:eastAsia="bg-BG"/>
        </w:rPr>
        <w:t xml:space="preserve">В по-голямата част от страната, с изключение на места в крайните североизточни и югозападни райони, наднормените майски валежи се отразиха благоприятно на есенните посеви, при които протичаха критични по отношение на влагата фази. Повишението на температурите, достигащо до и над 30°С през последните дни от месеца, ускори развитието на земеделските култури. На места в Западна, Централна България и Горнотракийската низина (Видин, Кюстендил, Ловеч, Троян, Пловдивско) през месеца се регистрираха градушки, които нанесоха в различна степен повреди по земеделските култури. </w:t>
      </w:r>
    </w:p>
    <w:p w14:paraId="60D8E4AB" w14:textId="77777777" w:rsidR="0077315A" w:rsidRPr="0077315A" w:rsidRDefault="0077315A" w:rsidP="0077315A">
      <w:pPr>
        <w:widowControl w:val="0"/>
        <w:tabs>
          <w:tab w:val="left" w:pos="709"/>
        </w:tabs>
        <w:spacing w:after="120"/>
        <w:ind w:firstLine="709"/>
        <w:jc w:val="both"/>
        <w:rPr>
          <w:rFonts w:ascii="Arial Narrow" w:hAnsi="Arial Narrow"/>
          <w:lang w:val="bg-BG" w:eastAsia="bg-BG"/>
        </w:rPr>
      </w:pPr>
      <w:r w:rsidRPr="0077315A">
        <w:rPr>
          <w:rFonts w:ascii="Arial Narrow" w:hAnsi="Arial Narrow"/>
          <w:lang w:val="bg-BG" w:eastAsia="bg-BG"/>
        </w:rPr>
        <w:t xml:space="preserve">Агрометеорологичните условия през юни се определяха от горещо време с екстремно високи температури, достигащи до 39–40°С, както и чести градушки, които нанесоха сериозни, а на много места в страната и непоправими щети на земеделските култури. В районите на Ботевград, Велико Търново, Ловеч, Шумен, Хасково, Сливен, Ямбол падналите градушки достигнаха големина на орех и унищожиха значителна част от посевите с пролетни и зеленчукови култури, както и площите с овошки и лозя. Повреди бяха регистрирани и при зимните житни култури – полягане на посевите и разпиляване на узрялата зърнена реколта. Наднормените температури през месец юни, с максимални стойности 35–40°С, скъсиха междуфазните периоди в развитието на земеделските култури и причиниха топлинен стрес при полските култури, особено посевите, отглеждани при неполивни условия. </w:t>
      </w:r>
    </w:p>
    <w:p w14:paraId="7BC954B3" w14:textId="77777777" w:rsidR="0077315A" w:rsidRPr="0077315A" w:rsidRDefault="0077315A" w:rsidP="0077315A">
      <w:pPr>
        <w:widowControl w:val="0"/>
        <w:tabs>
          <w:tab w:val="left" w:pos="709"/>
        </w:tabs>
        <w:spacing w:after="120"/>
        <w:ind w:firstLine="709"/>
        <w:jc w:val="both"/>
        <w:rPr>
          <w:rFonts w:ascii="Arial Narrow" w:hAnsi="Arial Narrow"/>
          <w:lang w:val="bg-BG" w:eastAsia="bg-BG"/>
        </w:rPr>
      </w:pPr>
      <w:r w:rsidRPr="0077315A">
        <w:rPr>
          <w:rFonts w:ascii="Arial Narrow" w:hAnsi="Arial Narrow"/>
          <w:lang w:val="bg-BG" w:eastAsia="bg-BG"/>
        </w:rPr>
        <w:t>През повечето дни от второто и третото десетдневие на юли беше регистрирано относително сухо и горещо време, което доведе до скъсяване на междуфазните периоди. Ограничаващ фактор за развитието на царевицата и слънчогледа беше дефицитът на почвена влага. Отчетените максимални стойности на температурите между 35-40°С оказаха негативно въздействие върху културите по време на репродуктивния стадий. В началото на месеца в много части на страната се регистрираха краткотрайни валежи, гръмотевични бури и градушки.</w:t>
      </w:r>
    </w:p>
    <w:p w14:paraId="75C35C66" w14:textId="77777777" w:rsidR="0077315A" w:rsidRPr="0077315A" w:rsidRDefault="0077315A" w:rsidP="0077315A">
      <w:pPr>
        <w:widowControl w:val="0"/>
        <w:tabs>
          <w:tab w:val="left" w:pos="709"/>
        </w:tabs>
        <w:spacing w:after="120"/>
        <w:ind w:firstLine="709"/>
        <w:jc w:val="both"/>
        <w:rPr>
          <w:rFonts w:ascii="Arial Narrow" w:hAnsi="Arial Narrow"/>
          <w:lang w:val="bg-BG" w:eastAsia="bg-BG"/>
        </w:rPr>
      </w:pPr>
      <w:r w:rsidRPr="0077315A">
        <w:rPr>
          <w:rFonts w:ascii="Arial Narrow" w:hAnsi="Arial Narrow"/>
          <w:lang w:val="bg-BG" w:eastAsia="bg-BG"/>
        </w:rPr>
        <w:t xml:space="preserve">През месец август 2024 г., в почти всички полски райони на страната бяха измерени поднормени валежи. В началото на месеца, поради преминаването на студен атмосферен фронт, в някои части на Централна, Североизточна България  и в Родопите бяха отчетени интензивни валежи, придружени с буря и градушка. През първото десетдневие на август ограничаващ фактор за развитието на късните земеделски култури беше дефицитът на почвена влага. През второто десетдневие сухото и горещо време, с екстремно високи максимални температури до и над 40°С, поставиха в състояние на топлинен стрес късните земеделски култури. Задълбочилата се лятна суша и продължителните периоди с екстремно високи температури причиниха повреди и при трайните насаждения – листни пригори и преждевременен листопад при някои овощни видове. Високите температури в съчетание с ниската атмосферна влажност причиниха окапване на завръзите при зеленчуковите култури от късното производство. Вследствие на задълбочилия се дефицит на почвена влага значителна част от късните хибриди царевица бяха силажирани, преди да приключат развитието си. </w:t>
      </w:r>
    </w:p>
    <w:p w14:paraId="62BC9B2E" w14:textId="77777777" w:rsidR="0077315A" w:rsidRPr="0077315A" w:rsidRDefault="0077315A" w:rsidP="0077315A">
      <w:pPr>
        <w:widowControl w:val="0"/>
        <w:tabs>
          <w:tab w:val="left" w:pos="709"/>
        </w:tabs>
        <w:spacing w:after="120"/>
        <w:ind w:firstLine="709"/>
        <w:jc w:val="both"/>
        <w:rPr>
          <w:rFonts w:ascii="Arial Narrow" w:hAnsi="Arial Narrow"/>
          <w:lang w:val="bg-BG" w:eastAsia="bg-BG"/>
        </w:rPr>
      </w:pPr>
      <w:r w:rsidRPr="0077315A">
        <w:rPr>
          <w:rFonts w:ascii="Arial Narrow" w:hAnsi="Arial Narrow"/>
          <w:lang w:val="bg-BG" w:eastAsia="bg-BG"/>
        </w:rPr>
        <w:t>Високите температури в началото на месец септември, с максимални стойности в по-голямата част от полските райони до и над 34–35°С, доведоха до скъсяване на последните фази от развитието и ускоряване на зреенето при късните полски култури. В средата на месеца настъпи нормализиране на топлинните условия. На места в източните части на страната, районите на Силистра, Добрич и Стара Загора паднаха валежи със стопанско значение, които подобриха условията за развитие на вторите култури и зеленчуците от късното производство.</w:t>
      </w:r>
    </w:p>
    <w:p w14:paraId="789A23BA" w14:textId="77777777" w:rsidR="0077315A" w:rsidRPr="0077315A" w:rsidRDefault="0077315A" w:rsidP="0077315A">
      <w:pPr>
        <w:widowControl w:val="0"/>
        <w:tabs>
          <w:tab w:val="left" w:pos="709"/>
        </w:tabs>
        <w:spacing w:after="120"/>
        <w:ind w:firstLine="709"/>
        <w:jc w:val="both"/>
        <w:rPr>
          <w:rFonts w:ascii="Arial Narrow" w:hAnsi="Arial Narrow"/>
          <w:lang w:val="bg-BG" w:eastAsia="bg-BG"/>
        </w:rPr>
      </w:pPr>
      <w:r w:rsidRPr="0077315A">
        <w:rPr>
          <w:rFonts w:ascii="Arial Narrow" w:hAnsi="Arial Narrow"/>
          <w:lang w:val="bg-BG" w:eastAsia="bg-BG"/>
        </w:rPr>
        <w:t>През месец октомври засушаването в по-голямата част от страната се задълбочи, което възпрепятства сеитбата на зимните житни култури и нормалното протичане на началните фази от вегетацията на засетите есенници.</w:t>
      </w:r>
    </w:p>
    <w:p w14:paraId="4C59859D" w14:textId="77777777" w:rsidR="0077315A" w:rsidRPr="0077315A" w:rsidRDefault="0077315A" w:rsidP="0077315A">
      <w:pPr>
        <w:widowControl w:val="0"/>
        <w:tabs>
          <w:tab w:val="left" w:pos="709"/>
        </w:tabs>
        <w:spacing w:after="120"/>
        <w:ind w:firstLine="709"/>
        <w:jc w:val="both"/>
        <w:rPr>
          <w:rFonts w:ascii="Arial Narrow" w:hAnsi="Arial Narrow"/>
          <w:lang w:val="bg-BG" w:eastAsia="bg-BG"/>
        </w:rPr>
      </w:pPr>
      <w:r w:rsidRPr="0077315A">
        <w:rPr>
          <w:rFonts w:ascii="Arial Narrow" w:hAnsi="Arial Narrow"/>
          <w:lang w:val="bg-BG" w:eastAsia="bg-BG"/>
        </w:rPr>
        <w:t xml:space="preserve">Падналите валежи в началото на ноември бяха със стопанско значение и условията за протичане на началните фази от вегетацията на пшеницата и ечемика в Североизточна България и в районите по Черноморското крайбрежие се подобриха. В останалата част от страната дефицитът на почвена влага остана лимитиращ фактор за развитието на зимните житни култури. Валежите през третото десетдневие бяха от изключително важно значение за оцеляването на част от покълналите късно засети посеви в Южна </w:t>
      </w:r>
      <w:r w:rsidRPr="0077315A">
        <w:rPr>
          <w:rFonts w:ascii="Arial Narrow" w:hAnsi="Arial Narrow"/>
          <w:lang w:val="bg-BG" w:eastAsia="bg-BG"/>
        </w:rPr>
        <w:lastRenderedPageBreak/>
        <w:t>България.</w:t>
      </w:r>
    </w:p>
    <w:p w14:paraId="2167B95F" w14:textId="77777777" w:rsidR="0077315A" w:rsidRPr="0077315A" w:rsidRDefault="0077315A" w:rsidP="0077315A">
      <w:pPr>
        <w:widowControl w:val="0"/>
        <w:tabs>
          <w:tab w:val="left" w:pos="709"/>
        </w:tabs>
        <w:spacing w:after="120"/>
        <w:ind w:firstLine="709"/>
        <w:jc w:val="both"/>
        <w:rPr>
          <w:rFonts w:ascii="Arial Narrow" w:hAnsi="Arial Narrow"/>
          <w:lang w:val="bg-BG" w:eastAsia="bg-BG"/>
        </w:rPr>
      </w:pPr>
      <w:r w:rsidRPr="0077315A">
        <w:rPr>
          <w:rFonts w:ascii="Arial Narrow" w:hAnsi="Arial Narrow"/>
          <w:lang w:val="bg-BG" w:eastAsia="bg-BG"/>
        </w:rPr>
        <w:t>През по-голямата част на декември наднормените температури и подобрените водни запаси в почвата създадоха условия за удължаване на есенната вегетация при зимните житни култури в полските райони на страната. Необичайно високите температури в края на астрономическата есен се отразиха ефективно на късно засетите посеви, които бяха в начален стадий на развитие. Част от поникналите зимни житни култури достигнаха необходимата температурна сума за встъпване във фаза формиране на първи-втори лист. В началото на третото десетдневие настъпи понижение на температурите, затихване и прекратяване на вегетационните процеси при зимните житни култури. В последните дни от месеца агрометеорологичните условия придобиха зимен характер, без да са регистрирани критични минимални температури за зимуващите земеделски култури.</w:t>
      </w:r>
    </w:p>
    <w:p w14:paraId="233F231E" w14:textId="77777777" w:rsidR="0077315A" w:rsidRPr="0077315A" w:rsidRDefault="0077315A" w:rsidP="0077315A">
      <w:pPr>
        <w:widowControl w:val="0"/>
        <w:tabs>
          <w:tab w:val="left" w:pos="567"/>
        </w:tabs>
        <w:spacing w:after="120"/>
        <w:ind w:firstLine="709"/>
        <w:jc w:val="both"/>
        <w:rPr>
          <w:rFonts w:ascii="Arial Narrow" w:hAnsi="Arial Narrow"/>
          <w:lang w:val="bg-BG"/>
        </w:rPr>
      </w:pPr>
      <w:r w:rsidRPr="000D4E10">
        <w:rPr>
          <w:rFonts w:ascii="Arial Narrow" w:hAnsi="Arial Narrow"/>
          <w:lang w:val="bg-BG"/>
        </w:rPr>
        <w:t>Отчетените щети върху земеделските култури през 2024 г. са резултат от неблагоприятните климатични събития – измръзване/слана, буря/непрекъснат дъжд, наводнение, градушка и суша/засушаване.</w:t>
      </w:r>
    </w:p>
    <w:p w14:paraId="4832F2D1" w14:textId="77777777" w:rsidR="00CC55F6" w:rsidRPr="0077315A" w:rsidRDefault="00BF15FB" w:rsidP="00CC55F6">
      <w:pPr>
        <w:pStyle w:val="ListParagraph"/>
        <w:numPr>
          <w:ilvl w:val="2"/>
          <w:numId w:val="8"/>
        </w:numPr>
        <w:tabs>
          <w:tab w:val="left" w:pos="900"/>
          <w:tab w:val="left" w:pos="990"/>
        </w:tabs>
        <w:spacing w:before="120" w:after="120"/>
        <w:ind w:left="788" w:hanging="431"/>
        <w:contextualSpacing w:val="0"/>
        <w:outlineLvl w:val="0"/>
        <w:rPr>
          <w:rFonts w:ascii="Arial Narrow" w:hAnsi="Arial Narrow"/>
          <w:b/>
        </w:rPr>
      </w:pPr>
      <w:bookmarkStart w:id="33" w:name="_Toc210747540"/>
      <w:r w:rsidRPr="0077315A">
        <w:rPr>
          <w:rFonts w:ascii="Arial Narrow" w:hAnsi="Arial Narrow"/>
          <w:b/>
        </w:rPr>
        <w:t>Зърнопроизводство</w:t>
      </w:r>
      <w:bookmarkEnd w:id="33"/>
    </w:p>
    <w:p w14:paraId="659A0940" w14:textId="77777777" w:rsidR="0077315A" w:rsidRPr="005F1E4E" w:rsidRDefault="0077315A" w:rsidP="0077315A">
      <w:pPr>
        <w:pStyle w:val="Default"/>
        <w:widowControl w:val="0"/>
        <w:spacing w:after="120"/>
        <w:ind w:right="142" w:firstLine="709"/>
        <w:jc w:val="both"/>
        <w:rPr>
          <w:rFonts w:ascii="Arial Narrow" w:hAnsi="Arial Narrow"/>
          <w:b/>
          <w:color w:val="auto"/>
          <w:highlight w:val="yellow"/>
        </w:rPr>
      </w:pPr>
      <w:r w:rsidRPr="005F1E4E">
        <w:rPr>
          <w:rFonts w:ascii="Arial Narrow" w:hAnsi="Arial Narrow"/>
          <w:color w:val="auto"/>
        </w:rPr>
        <w:t xml:space="preserve">През 2024 г. </w:t>
      </w:r>
      <w:r w:rsidRPr="00132ABA">
        <w:rPr>
          <w:rFonts w:ascii="Arial Narrow" w:hAnsi="Arial Narrow"/>
          <w:color w:val="auto"/>
        </w:rPr>
        <w:t xml:space="preserve">се наблюдава увеличение на производството </w:t>
      </w:r>
      <w:r w:rsidRPr="005A748D">
        <w:rPr>
          <w:rFonts w:ascii="Arial Narrow" w:hAnsi="Arial Narrow"/>
          <w:color w:val="auto"/>
        </w:rPr>
        <w:t xml:space="preserve">на пшеница, ечемик, овес и ориз </w:t>
      </w:r>
      <w:r>
        <w:rPr>
          <w:rFonts w:ascii="Arial Narrow" w:hAnsi="Arial Narrow"/>
          <w:color w:val="auto"/>
        </w:rPr>
        <w:t>спрямо предходната година, з</w:t>
      </w:r>
      <w:r w:rsidRPr="005F1E4E">
        <w:rPr>
          <w:rFonts w:ascii="Arial Narrow" w:hAnsi="Arial Narrow"/>
          <w:color w:val="auto"/>
        </w:rPr>
        <w:t xml:space="preserve">а </w:t>
      </w:r>
      <w:r>
        <w:rPr>
          <w:rFonts w:ascii="Arial Narrow" w:hAnsi="Arial Narrow"/>
          <w:color w:val="auto"/>
        </w:rPr>
        <w:t>което</w:t>
      </w:r>
      <w:r w:rsidRPr="005F1E4E">
        <w:rPr>
          <w:rFonts w:ascii="Arial Narrow" w:hAnsi="Arial Narrow"/>
          <w:color w:val="auto"/>
        </w:rPr>
        <w:t xml:space="preserve"> допринасят както по-големият размер реколтирани площи </w:t>
      </w:r>
      <w:r w:rsidRPr="005A748D">
        <w:rPr>
          <w:rFonts w:ascii="Arial Narrow" w:hAnsi="Arial Narrow"/>
          <w:color w:val="auto"/>
        </w:rPr>
        <w:t>(</w:t>
      </w:r>
      <w:r>
        <w:rPr>
          <w:rFonts w:ascii="Arial Narrow" w:hAnsi="Arial Narrow"/>
          <w:color w:val="auto"/>
        </w:rPr>
        <w:t>с изключение на пшеницата</w:t>
      </w:r>
      <w:r w:rsidRPr="005A748D">
        <w:rPr>
          <w:rFonts w:ascii="Arial Narrow" w:hAnsi="Arial Narrow"/>
          <w:color w:val="auto"/>
        </w:rPr>
        <w:t>)</w:t>
      </w:r>
      <w:r w:rsidRPr="005F1E4E">
        <w:rPr>
          <w:rFonts w:ascii="Arial Narrow" w:hAnsi="Arial Narrow"/>
          <w:color w:val="auto"/>
        </w:rPr>
        <w:t>, така и повишената продуктивност от единица площ</w:t>
      </w:r>
      <w:r w:rsidRPr="005A748D">
        <w:rPr>
          <w:rFonts w:ascii="Arial Narrow" w:hAnsi="Arial Narrow"/>
          <w:color w:val="auto"/>
        </w:rPr>
        <w:t>.</w:t>
      </w:r>
      <w:r w:rsidRPr="005F1E4E">
        <w:rPr>
          <w:rFonts w:ascii="Arial Narrow" w:hAnsi="Arial Narrow"/>
          <w:color w:val="auto"/>
        </w:rPr>
        <w:t xml:space="preserve"> </w:t>
      </w:r>
      <w:r>
        <w:rPr>
          <w:rFonts w:ascii="Arial Narrow" w:hAnsi="Arial Narrow"/>
          <w:color w:val="auto"/>
        </w:rPr>
        <w:t>П</w:t>
      </w:r>
      <w:r w:rsidRPr="005A748D">
        <w:rPr>
          <w:rFonts w:ascii="Arial Narrow" w:hAnsi="Arial Narrow"/>
          <w:color w:val="auto"/>
        </w:rPr>
        <w:t>о-ниска продукция през годината е събрана от царевица за зърно</w:t>
      </w:r>
      <w:r>
        <w:rPr>
          <w:rFonts w:ascii="Arial Narrow" w:hAnsi="Arial Narrow"/>
          <w:color w:val="auto"/>
        </w:rPr>
        <w:t xml:space="preserve">, </w:t>
      </w:r>
      <w:r w:rsidRPr="00D65120">
        <w:rPr>
          <w:rFonts w:ascii="Arial Narrow" w:hAnsi="Arial Narrow"/>
          <w:color w:val="auto"/>
        </w:rPr>
        <w:t>ръж</w:t>
      </w:r>
      <w:r>
        <w:rPr>
          <w:rFonts w:ascii="Arial Narrow" w:hAnsi="Arial Narrow"/>
          <w:color w:val="auto"/>
        </w:rPr>
        <w:t xml:space="preserve"> и</w:t>
      </w:r>
      <w:r w:rsidRPr="00D65120">
        <w:rPr>
          <w:rFonts w:ascii="Arial Narrow" w:hAnsi="Arial Narrow"/>
          <w:color w:val="auto"/>
        </w:rPr>
        <w:t xml:space="preserve"> тритикале</w:t>
      </w:r>
      <w:r w:rsidRPr="005A748D">
        <w:rPr>
          <w:rFonts w:ascii="Arial Narrow" w:hAnsi="Arial Narrow"/>
          <w:color w:val="auto"/>
        </w:rPr>
        <w:t xml:space="preserve">.  </w:t>
      </w:r>
    </w:p>
    <w:p w14:paraId="6161C778" w14:textId="77777777" w:rsidR="0077315A" w:rsidRPr="00132ABA" w:rsidRDefault="0077315A" w:rsidP="0077315A">
      <w:pPr>
        <w:pStyle w:val="Default"/>
        <w:keepNext/>
        <w:spacing w:after="120"/>
        <w:rPr>
          <w:rFonts w:ascii="Arial Narrow" w:hAnsi="Arial Narrow"/>
          <w:b/>
          <w:color w:val="auto"/>
        </w:rPr>
      </w:pPr>
      <w:r w:rsidRPr="00132ABA">
        <w:rPr>
          <w:rFonts w:ascii="Arial Narrow" w:hAnsi="Arial Narrow"/>
          <w:b/>
          <w:color w:val="auto"/>
        </w:rPr>
        <w:t>Таблица ІІ.4. Производство на зърнени култури от реколти `2023 и `2024</w:t>
      </w:r>
    </w:p>
    <w:tbl>
      <w:tblPr>
        <w:tblW w:w="4871" w:type="pct"/>
        <w:tblInd w:w="108" w:type="dxa"/>
        <w:tblLook w:val="04A0" w:firstRow="1" w:lastRow="0" w:firstColumn="1" w:lastColumn="0" w:noHBand="0" w:noVBand="1"/>
      </w:tblPr>
      <w:tblGrid>
        <w:gridCol w:w="1033"/>
        <w:gridCol w:w="962"/>
        <w:gridCol w:w="962"/>
        <w:gridCol w:w="1012"/>
        <w:gridCol w:w="823"/>
        <w:gridCol w:w="825"/>
        <w:gridCol w:w="1010"/>
        <w:gridCol w:w="964"/>
        <w:gridCol w:w="964"/>
        <w:gridCol w:w="992"/>
      </w:tblGrid>
      <w:tr w:rsidR="0077315A" w:rsidRPr="00132ABA" w14:paraId="6C1F787B" w14:textId="77777777" w:rsidTr="00CD44F3">
        <w:trPr>
          <w:trHeight w:val="541"/>
          <w:tblHeader/>
        </w:trPr>
        <w:tc>
          <w:tcPr>
            <w:tcW w:w="543"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F2E4405" w14:textId="77777777" w:rsidR="0077315A" w:rsidRPr="005A748D" w:rsidRDefault="0077315A" w:rsidP="00CA32C6">
            <w:pPr>
              <w:jc w:val="center"/>
              <w:rPr>
                <w:rFonts w:ascii="Arial Narrow" w:hAnsi="Arial Narrow" w:cs="Calibri"/>
                <w:b/>
                <w:bCs/>
                <w:sz w:val="20"/>
                <w:lang w:val="bg-BG"/>
              </w:rPr>
            </w:pPr>
            <w:r w:rsidRPr="005A748D">
              <w:rPr>
                <w:rFonts w:ascii="Arial Narrow" w:hAnsi="Arial Narrow" w:cs="Calibri"/>
                <w:b/>
                <w:bCs/>
                <w:sz w:val="20"/>
                <w:lang w:val="bg-BG"/>
              </w:rPr>
              <w:t>Култура </w:t>
            </w:r>
          </w:p>
        </w:tc>
        <w:tc>
          <w:tcPr>
            <w:tcW w:w="1544" w:type="pct"/>
            <w:gridSpan w:val="3"/>
            <w:tcBorders>
              <w:top w:val="single" w:sz="4" w:space="0" w:color="auto"/>
              <w:left w:val="nil"/>
              <w:bottom w:val="single" w:sz="4" w:space="0" w:color="auto"/>
              <w:right w:val="single" w:sz="4" w:space="0" w:color="000000"/>
            </w:tcBorders>
            <w:shd w:val="clear" w:color="auto" w:fill="auto"/>
            <w:vAlign w:val="center"/>
            <w:hideMark/>
          </w:tcPr>
          <w:p w14:paraId="2CF47691" w14:textId="77777777" w:rsidR="0077315A" w:rsidRPr="005A748D" w:rsidRDefault="0077315A" w:rsidP="00CA32C6">
            <w:pPr>
              <w:jc w:val="center"/>
              <w:rPr>
                <w:rFonts w:ascii="Arial Narrow" w:hAnsi="Arial Narrow" w:cs="Calibri"/>
                <w:b/>
                <w:bCs/>
                <w:sz w:val="20"/>
                <w:lang w:val="bg-BG"/>
              </w:rPr>
            </w:pPr>
            <w:r w:rsidRPr="005A748D">
              <w:rPr>
                <w:rFonts w:ascii="Arial Narrow" w:hAnsi="Arial Narrow" w:cs="Calibri"/>
                <w:b/>
                <w:bCs/>
                <w:sz w:val="20"/>
                <w:lang w:val="bg-BG"/>
              </w:rPr>
              <w:t>Реколтирани площи (ха)</w:t>
            </w:r>
          </w:p>
        </w:tc>
        <w:tc>
          <w:tcPr>
            <w:tcW w:w="1398" w:type="pct"/>
            <w:gridSpan w:val="3"/>
            <w:tcBorders>
              <w:top w:val="single" w:sz="4" w:space="0" w:color="auto"/>
              <w:left w:val="nil"/>
              <w:bottom w:val="single" w:sz="4" w:space="0" w:color="auto"/>
              <w:right w:val="single" w:sz="4" w:space="0" w:color="000000"/>
            </w:tcBorders>
            <w:shd w:val="clear" w:color="auto" w:fill="auto"/>
            <w:vAlign w:val="center"/>
            <w:hideMark/>
          </w:tcPr>
          <w:p w14:paraId="3975712B" w14:textId="77777777" w:rsidR="0077315A" w:rsidRPr="005A748D" w:rsidRDefault="0077315A" w:rsidP="00CA32C6">
            <w:pPr>
              <w:jc w:val="center"/>
              <w:rPr>
                <w:rFonts w:ascii="Arial Narrow" w:hAnsi="Arial Narrow" w:cs="Calibri"/>
                <w:b/>
                <w:bCs/>
                <w:sz w:val="20"/>
                <w:lang w:val="bg-BG"/>
              </w:rPr>
            </w:pPr>
            <w:r w:rsidRPr="005A748D">
              <w:rPr>
                <w:rFonts w:ascii="Arial Narrow" w:hAnsi="Arial Narrow" w:cs="Calibri"/>
                <w:b/>
                <w:bCs/>
                <w:sz w:val="20"/>
                <w:lang w:val="bg-BG"/>
              </w:rPr>
              <w:t>Среден добив (тона/ха)</w:t>
            </w:r>
          </w:p>
        </w:tc>
        <w:tc>
          <w:tcPr>
            <w:tcW w:w="1516" w:type="pct"/>
            <w:gridSpan w:val="3"/>
            <w:tcBorders>
              <w:top w:val="single" w:sz="4" w:space="0" w:color="auto"/>
              <w:left w:val="nil"/>
              <w:bottom w:val="single" w:sz="4" w:space="0" w:color="auto"/>
              <w:right w:val="single" w:sz="4" w:space="0" w:color="000000"/>
            </w:tcBorders>
            <w:shd w:val="clear" w:color="auto" w:fill="auto"/>
            <w:vAlign w:val="center"/>
            <w:hideMark/>
          </w:tcPr>
          <w:p w14:paraId="698345F3" w14:textId="77777777" w:rsidR="0077315A" w:rsidRPr="005A748D" w:rsidRDefault="0077315A" w:rsidP="00CA32C6">
            <w:pPr>
              <w:jc w:val="center"/>
              <w:rPr>
                <w:rFonts w:ascii="Arial Narrow" w:hAnsi="Arial Narrow" w:cs="Calibri"/>
                <w:b/>
                <w:bCs/>
                <w:sz w:val="20"/>
                <w:lang w:val="bg-BG"/>
              </w:rPr>
            </w:pPr>
            <w:r w:rsidRPr="005A748D">
              <w:rPr>
                <w:rFonts w:ascii="Arial Narrow" w:hAnsi="Arial Narrow" w:cs="Calibri"/>
                <w:b/>
                <w:bCs/>
                <w:sz w:val="20"/>
                <w:lang w:val="bg-BG"/>
              </w:rPr>
              <w:t>Производство</w:t>
            </w:r>
            <w:r w:rsidRPr="005A748D">
              <w:rPr>
                <w:rFonts w:ascii="Arial Narrow" w:hAnsi="Arial Narrow" w:cs="Calibri"/>
                <w:b/>
                <w:bCs/>
                <w:sz w:val="20"/>
                <w:lang w:val="bg-BG"/>
              </w:rPr>
              <w:br/>
              <w:t>(тона)</w:t>
            </w:r>
          </w:p>
        </w:tc>
      </w:tr>
      <w:tr w:rsidR="0077315A" w:rsidRPr="00132ABA" w14:paraId="27BCB8A1" w14:textId="77777777" w:rsidTr="00CD44F3">
        <w:trPr>
          <w:trHeight w:val="541"/>
          <w:tblHeader/>
        </w:trPr>
        <w:tc>
          <w:tcPr>
            <w:tcW w:w="543" w:type="pct"/>
            <w:vMerge/>
            <w:tcBorders>
              <w:top w:val="single" w:sz="4" w:space="0" w:color="auto"/>
              <w:left w:val="single" w:sz="4" w:space="0" w:color="auto"/>
              <w:bottom w:val="single" w:sz="4" w:space="0" w:color="000000"/>
              <w:right w:val="single" w:sz="4" w:space="0" w:color="auto"/>
            </w:tcBorders>
            <w:vAlign w:val="center"/>
            <w:hideMark/>
          </w:tcPr>
          <w:p w14:paraId="0E5DF488" w14:textId="77777777" w:rsidR="0077315A" w:rsidRPr="005A748D" w:rsidRDefault="0077315A" w:rsidP="00CA32C6">
            <w:pPr>
              <w:rPr>
                <w:rFonts w:ascii="Arial Narrow" w:hAnsi="Arial Narrow" w:cs="Calibri"/>
                <w:b/>
                <w:bCs/>
                <w:sz w:val="20"/>
                <w:lang w:val="bg-BG"/>
              </w:rPr>
            </w:pPr>
          </w:p>
        </w:tc>
        <w:tc>
          <w:tcPr>
            <w:tcW w:w="506" w:type="pct"/>
            <w:tcBorders>
              <w:top w:val="nil"/>
              <w:left w:val="nil"/>
              <w:bottom w:val="single" w:sz="4" w:space="0" w:color="auto"/>
              <w:right w:val="single" w:sz="4" w:space="0" w:color="auto"/>
            </w:tcBorders>
            <w:shd w:val="clear" w:color="auto" w:fill="auto"/>
            <w:vAlign w:val="center"/>
            <w:hideMark/>
          </w:tcPr>
          <w:p w14:paraId="457AC3F9" w14:textId="77777777" w:rsidR="0077315A" w:rsidRPr="005A748D" w:rsidRDefault="0077315A" w:rsidP="00CA32C6">
            <w:pPr>
              <w:jc w:val="center"/>
              <w:rPr>
                <w:rFonts w:ascii="Arial Narrow" w:hAnsi="Arial Narrow" w:cs="Calibri"/>
                <w:b/>
                <w:bCs/>
                <w:sz w:val="20"/>
                <w:lang w:val="bg-BG"/>
              </w:rPr>
            </w:pPr>
            <w:r w:rsidRPr="005A748D">
              <w:rPr>
                <w:rFonts w:ascii="Arial Narrow" w:hAnsi="Arial Narrow" w:cs="Calibri"/>
                <w:b/>
                <w:bCs/>
                <w:sz w:val="20"/>
                <w:lang w:val="bg-BG"/>
              </w:rPr>
              <w:t>2023</w:t>
            </w:r>
          </w:p>
        </w:tc>
        <w:tc>
          <w:tcPr>
            <w:tcW w:w="506" w:type="pct"/>
            <w:tcBorders>
              <w:top w:val="nil"/>
              <w:left w:val="nil"/>
              <w:bottom w:val="single" w:sz="4" w:space="0" w:color="auto"/>
              <w:right w:val="single" w:sz="4" w:space="0" w:color="auto"/>
            </w:tcBorders>
            <w:shd w:val="clear" w:color="auto" w:fill="auto"/>
            <w:vAlign w:val="center"/>
            <w:hideMark/>
          </w:tcPr>
          <w:p w14:paraId="11BCF4A3" w14:textId="77777777" w:rsidR="0077315A" w:rsidRPr="005A748D" w:rsidRDefault="0077315A" w:rsidP="00CA32C6">
            <w:pPr>
              <w:jc w:val="center"/>
              <w:rPr>
                <w:rFonts w:ascii="Arial Narrow" w:hAnsi="Arial Narrow" w:cs="Calibri"/>
                <w:b/>
                <w:bCs/>
                <w:sz w:val="20"/>
                <w:lang w:val="bg-BG"/>
              </w:rPr>
            </w:pPr>
            <w:r w:rsidRPr="005A748D">
              <w:rPr>
                <w:rFonts w:ascii="Arial Narrow" w:hAnsi="Arial Narrow" w:cs="Calibri"/>
                <w:b/>
                <w:bCs/>
                <w:sz w:val="20"/>
                <w:lang w:val="bg-BG"/>
              </w:rPr>
              <w:t>2024</w:t>
            </w:r>
          </w:p>
        </w:tc>
        <w:tc>
          <w:tcPr>
            <w:tcW w:w="532" w:type="pct"/>
            <w:tcBorders>
              <w:top w:val="nil"/>
              <w:left w:val="nil"/>
              <w:bottom w:val="single" w:sz="4" w:space="0" w:color="auto"/>
              <w:right w:val="single" w:sz="4" w:space="0" w:color="auto"/>
            </w:tcBorders>
            <w:shd w:val="clear" w:color="auto" w:fill="auto"/>
            <w:vAlign w:val="center"/>
            <w:hideMark/>
          </w:tcPr>
          <w:p w14:paraId="1901C824" w14:textId="77777777" w:rsidR="0077315A" w:rsidRPr="005A748D" w:rsidRDefault="0077315A" w:rsidP="00CA32C6">
            <w:pPr>
              <w:jc w:val="center"/>
              <w:rPr>
                <w:rFonts w:ascii="Arial Narrow" w:hAnsi="Arial Narrow" w:cs="Calibri"/>
                <w:b/>
                <w:bCs/>
                <w:sz w:val="20"/>
                <w:lang w:val="bg-BG"/>
              </w:rPr>
            </w:pPr>
            <w:r w:rsidRPr="005A748D">
              <w:rPr>
                <w:rFonts w:ascii="Arial Narrow" w:hAnsi="Arial Narrow" w:cs="Calibri"/>
                <w:b/>
                <w:bCs/>
                <w:sz w:val="20"/>
                <w:lang w:val="bg-BG"/>
              </w:rPr>
              <w:t>Изм. 2024/2023</w:t>
            </w:r>
          </w:p>
        </w:tc>
        <w:tc>
          <w:tcPr>
            <w:tcW w:w="433" w:type="pct"/>
            <w:tcBorders>
              <w:top w:val="nil"/>
              <w:left w:val="nil"/>
              <w:bottom w:val="single" w:sz="4" w:space="0" w:color="auto"/>
              <w:right w:val="single" w:sz="4" w:space="0" w:color="auto"/>
            </w:tcBorders>
            <w:shd w:val="clear" w:color="auto" w:fill="auto"/>
            <w:vAlign w:val="center"/>
            <w:hideMark/>
          </w:tcPr>
          <w:p w14:paraId="7467C605" w14:textId="77777777" w:rsidR="0077315A" w:rsidRPr="005A748D" w:rsidRDefault="0077315A" w:rsidP="00CA32C6">
            <w:pPr>
              <w:jc w:val="center"/>
              <w:rPr>
                <w:rFonts w:ascii="Arial Narrow" w:hAnsi="Arial Narrow" w:cs="Calibri"/>
                <w:b/>
                <w:bCs/>
                <w:sz w:val="20"/>
                <w:lang w:val="bg-BG"/>
              </w:rPr>
            </w:pPr>
            <w:r w:rsidRPr="005A748D">
              <w:rPr>
                <w:rFonts w:ascii="Arial Narrow" w:hAnsi="Arial Narrow" w:cs="Calibri"/>
                <w:b/>
                <w:bCs/>
                <w:sz w:val="20"/>
                <w:lang w:val="bg-BG"/>
              </w:rPr>
              <w:t>2023</w:t>
            </w:r>
          </w:p>
        </w:tc>
        <w:tc>
          <w:tcPr>
            <w:tcW w:w="434" w:type="pct"/>
            <w:tcBorders>
              <w:top w:val="nil"/>
              <w:left w:val="nil"/>
              <w:bottom w:val="single" w:sz="4" w:space="0" w:color="auto"/>
              <w:right w:val="single" w:sz="4" w:space="0" w:color="auto"/>
            </w:tcBorders>
            <w:shd w:val="clear" w:color="auto" w:fill="auto"/>
            <w:vAlign w:val="center"/>
            <w:hideMark/>
          </w:tcPr>
          <w:p w14:paraId="4C24AFD1" w14:textId="77777777" w:rsidR="0077315A" w:rsidRPr="005A748D" w:rsidRDefault="0077315A" w:rsidP="00CA32C6">
            <w:pPr>
              <w:jc w:val="center"/>
              <w:rPr>
                <w:rFonts w:ascii="Arial Narrow" w:hAnsi="Arial Narrow" w:cs="Calibri"/>
                <w:b/>
                <w:bCs/>
                <w:sz w:val="20"/>
                <w:lang w:val="bg-BG"/>
              </w:rPr>
            </w:pPr>
            <w:r w:rsidRPr="005A748D">
              <w:rPr>
                <w:rFonts w:ascii="Arial Narrow" w:hAnsi="Arial Narrow" w:cs="Calibri"/>
                <w:b/>
                <w:bCs/>
                <w:sz w:val="20"/>
                <w:lang w:val="bg-BG"/>
              </w:rPr>
              <w:t>2024</w:t>
            </w:r>
          </w:p>
        </w:tc>
        <w:tc>
          <w:tcPr>
            <w:tcW w:w="531" w:type="pct"/>
            <w:tcBorders>
              <w:top w:val="nil"/>
              <w:left w:val="nil"/>
              <w:bottom w:val="single" w:sz="4" w:space="0" w:color="auto"/>
              <w:right w:val="single" w:sz="4" w:space="0" w:color="auto"/>
            </w:tcBorders>
            <w:shd w:val="clear" w:color="auto" w:fill="auto"/>
            <w:vAlign w:val="center"/>
            <w:hideMark/>
          </w:tcPr>
          <w:p w14:paraId="3679C476" w14:textId="77777777" w:rsidR="0077315A" w:rsidRPr="005A748D" w:rsidRDefault="0077315A" w:rsidP="00CA32C6">
            <w:pPr>
              <w:jc w:val="center"/>
              <w:rPr>
                <w:rFonts w:ascii="Arial Narrow" w:hAnsi="Arial Narrow" w:cs="Calibri"/>
                <w:b/>
                <w:bCs/>
                <w:sz w:val="20"/>
                <w:lang w:val="bg-BG"/>
              </w:rPr>
            </w:pPr>
            <w:r w:rsidRPr="005A748D">
              <w:rPr>
                <w:rFonts w:ascii="Arial Narrow" w:hAnsi="Arial Narrow" w:cs="Calibri"/>
                <w:b/>
                <w:bCs/>
                <w:sz w:val="20"/>
                <w:lang w:val="bg-BG"/>
              </w:rPr>
              <w:t>Изм. 2024/2023</w:t>
            </w:r>
          </w:p>
        </w:tc>
        <w:tc>
          <w:tcPr>
            <w:tcW w:w="507" w:type="pct"/>
            <w:tcBorders>
              <w:top w:val="nil"/>
              <w:left w:val="nil"/>
              <w:bottom w:val="single" w:sz="4" w:space="0" w:color="auto"/>
              <w:right w:val="single" w:sz="4" w:space="0" w:color="auto"/>
            </w:tcBorders>
            <w:shd w:val="clear" w:color="auto" w:fill="auto"/>
            <w:vAlign w:val="center"/>
            <w:hideMark/>
          </w:tcPr>
          <w:p w14:paraId="7872AD0B" w14:textId="77777777" w:rsidR="0077315A" w:rsidRPr="005A748D" w:rsidRDefault="0077315A" w:rsidP="00CA32C6">
            <w:pPr>
              <w:jc w:val="center"/>
              <w:rPr>
                <w:rFonts w:ascii="Arial Narrow" w:hAnsi="Arial Narrow" w:cs="Calibri"/>
                <w:b/>
                <w:bCs/>
                <w:sz w:val="20"/>
                <w:lang w:val="bg-BG"/>
              </w:rPr>
            </w:pPr>
            <w:r w:rsidRPr="005A748D">
              <w:rPr>
                <w:rFonts w:ascii="Arial Narrow" w:hAnsi="Arial Narrow" w:cs="Calibri"/>
                <w:b/>
                <w:bCs/>
                <w:sz w:val="20"/>
                <w:lang w:val="bg-BG"/>
              </w:rPr>
              <w:t>2023</w:t>
            </w:r>
          </w:p>
        </w:tc>
        <w:tc>
          <w:tcPr>
            <w:tcW w:w="507" w:type="pct"/>
            <w:tcBorders>
              <w:top w:val="nil"/>
              <w:left w:val="nil"/>
              <w:bottom w:val="single" w:sz="4" w:space="0" w:color="auto"/>
              <w:right w:val="single" w:sz="4" w:space="0" w:color="auto"/>
            </w:tcBorders>
            <w:shd w:val="clear" w:color="auto" w:fill="auto"/>
            <w:vAlign w:val="center"/>
            <w:hideMark/>
          </w:tcPr>
          <w:p w14:paraId="62657874" w14:textId="77777777" w:rsidR="0077315A" w:rsidRPr="005A748D" w:rsidRDefault="0077315A" w:rsidP="00CA32C6">
            <w:pPr>
              <w:jc w:val="center"/>
              <w:rPr>
                <w:rFonts w:ascii="Arial Narrow" w:hAnsi="Arial Narrow" w:cs="Calibri"/>
                <w:b/>
                <w:bCs/>
                <w:sz w:val="20"/>
                <w:lang w:val="bg-BG"/>
              </w:rPr>
            </w:pPr>
            <w:r w:rsidRPr="005A748D">
              <w:rPr>
                <w:rFonts w:ascii="Arial Narrow" w:hAnsi="Arial Narrow" w:cs="Calibri"/>
                <w:b/>
                <w:bCs/>
                <w:sz w:val="20"/>
                <w:lang w:val="bg-BG"/>
              </w:rPr>
              <w:t>2024</w:t>
            </w:r>
          </w:p>
        </w:tc>
        <w:tc>
          <w:tcPr>
            <w:tcW w:w="501" w:type="pct"/>
            <w:tcBorders>
              <w:top w:val="nil"/>
              <w:left w:val="nil"/>
              <w:bottom w:val="single" w:sz="4" w:space="0" w:color="auto"/>
              <w:right w:val="single" w:sz="4" w:space="0" w:color="auto"/>
            </w:tcBorders>
            <w:shd w:val="clear" w:color="auto" w:fill="auto"/>
            <w:vAlign w:val="center"/>
            <w:hideMark/>
          </w:tcPr>
          <w:p w14:paraId="69CAE4E9" w14:textId="77777777" w:rsidR="0077315A" w:rsidRPr="005A748D" w:rsidRDefault="0077315A" w:rsidP="00CA32C6">
            <w:pPr>
              <w:jc w:val="center"/>
              <w:rPr>
                <w:rFonts w:ascii="Arial Narrow" w:hAnsi="Arial Narrow" w:cs="Calibri"/>
                <w:b/>
                <w:bCs/>
                <w:sz w:val="20"/>
                <w:lang w:val="bg-BG"/>
              </w:rPr>
            </w:pPr>
            <w:r w:rsidRPr="005A748D">
              <w:rPr>
                <w:rFonts w:ascii="Arial Narrow" w:hAnsi="Arial Narrow" w:cs="Calibri"/>
                <w:b/>
                <w:bCs/>
                <w:sz w:val="20"/>
                <w:lang w:val="bg-BG"/>
              </w:rPr>
              <w:t>Изм. 2024/2023</w:t>
            </w:r>
          </w:p>
        </w:tc>
      </w:tr>
      <w:tr w:rsidR="0077315A" w:rsidRPr="00132ABA" w14:paraId="49711949" w14:textId="77777777" w:rsidTr="00CD44F3">
        <w:trPr>
          <w:trHeight w:val="297"/>
        </w:trPr>
        <w:tc>
          <w:tcPr>
            <w:tcW w:w="543" w:type="pct"/>
            <w:tcBorders>
              <w:top w:val="nil"/>
              <w:left w:val="single" w:sz="4" w:space="0" w:color="auto"/>
              <w:bottom w:val="single" w:sz="4" w:space="0" w:color="auto"/>
              <w:right w:val="single" w:sz="4" w:space="0" w:color="auto"/>
            </w:tcBorders>
            <w:shd w:val="clear" w:color="auto" w:fill="auto"/>
            <w:vAlign w:val="center"/>
            <w:hideMark/>
          </w:tcPr>
          <w:p w14:paraId="0E03C73E" w14:textId="77777777" w:rsidR="0077315A" w:rsidRPr="005A748D" w:rsidRDefault="0077315A" w:rsidP="00CA32C6">
            <w:pPr>
              <w:rPr>
                <w:rFonts w:ascii="Arial Narrow" w:hAnsi="Arial Narrow" w:cs="Calibri"/>
                <w:sz w:val="20"/>
                <w:lang w:val="bg-BG"/>
              </w:rPr>
            </w:pPr>
            <w:r w:rsidRPr="005A748D">
              <w:rPr>
                <w:rFonts w:ascii="Arial Narrow" w:hAnsi="Arial Narrow" w:cs="Calibri"/>
                <w:sz w:val="20"/>
                <w:lang w:val="bg-BG"/>
              </w:rPr>
              <w:t>Пшеница</w:t>
            </w:r>
          </w:p>
        </w:tc>
        <w:tc>
          <w:tcPr>
            <w:tcW w:w="506" w:type="pct"/>
            <w:tcBorders>
              <w:top w:val="nil"/>
              <w:left w:val="nil"/>
              <w:bottom w:val="single" w:sz="4" w:space="0" w:color="auto"/>
              <w:right w:val="single" w:sz="4" w:space="0" w:color="auto"/>
            </w:tcBorders>
            <w:shd w:val="clear" w:color="auto" w:fill="auto"/>
            <w:noWrap/>
            <w:vAlign w:val="center"/>
            <w:hideMark/>
          </w:tcPr>
          <w:p w14:paraId="41FF4554" w14:textId="77777777" w:rsidR="0077315A" w:rsidRPr="005A748D" w:rsidRDefault="0077315A" w:rsidP="00CA32C6">
            <w:pPr>
              <w:jc w:val="right"/>
              <w:rPr>
                <w:rFonts w:ascii="Arial Narrow" w:hAnsi="Arial Narrow" w:cs="Calibri"/>
                <w:sz w:val="20"/>
                <w:lang w:val="bg-BG"/>
              </w:rPr>
            </w:pPr>
            <w:r w:rsidRPr="005A748D">
              <w:rPr>
                <w:rFonts w:ascii="Arial Narrow" w:hAnsi="Arial Narrow" w:cs="Calibri"/>
                <w:sz w:val="20"/>
                <w:lang w:val="bg-BG"/>
              </w:rPr>
              <w:t>1 220 906</w:t>
            </w:r>
          </w:p>
        </w:tc>
        <w:tc>
          <w:tcPr>
            <w:tcW w:w="506" w:type="pct"/>
            <w:tcBorders>
              <w:top w:val="nil"/>
              <w:left w:val="nil"/>
              <w:bottom w:val="single" w:sz="4" w:space="0" w:color="auto"/>
              <w:right w:val="single" w:sz="4" w:space="0" w:color="auto"/>
            </w:tcBorders>
            <w:shd w:val="clear" w:color="auto" w:fill="auto"/>
            <w:noWrap/>
            <w:vAlign w:val="center"/>
            <w:hideMark/>
          </w:tcPr>
          <w:p w14:paraId="79137D01" w14:textId="77777777" w:rsidR="0077315A" w:rsidRPr="005A748D" w:rsidRDefault="0077315A" w:rsidP="00CA32C6">
            <w:pPr>
              <w:jc w:val="right"/>
              <w:rPr>
                <w:rFonts w:ascii="Arial Narrow" w:hAnsi="Arial Narrow" w:cs="Calibri"/>
                <w:sz w:val="20"/>
                <w:lang w:val="bg-BG"/>
              </w:rPr>
            </w:pPr>
            <w:r w:rsidRPr="005A748D">
              <w:rPr>
                <w:rFonts w:ascii="Arial Narrow" w:hAnsi="Arial Narrow" w:cs="Calibri"/>
                <w:sz w:val="20"/>
                <w:lang w:val="bg-BG"/>
              </w:rPr>
              <w:t>1 194 507</w:t>
            </w:r>
          </w:p>
        </w:tc>
        <w:tc>
          <w:tcPr>
            <w:tcW w:w="532" w:type="pct"/>
            <w:tcBorders>
              <w:top w:val="nil"/>
              <w:left w:val="nil"/>
              <w:bottom w:val="single" w:sz="4" w:space="0" w:color="auto"/>
              <w:right w:val="single" w:sz="4" w:space="0" w:color="auto"/>
            </w:tcBorders>
            <w:shd w:val="clear" w:color="auto" w:fill="auto"/>
            <w:noWrap/>
            <w:vAlign w:val="center"/>
            <w:hideMark/>
          </w:tcPr>
          <w:p w14:paraId="7BAF993A" w14:textId="77777777" w:rsidR="0077315A" w:rsidRPr="005A748D" w:rsidRDefault="0077315A" w:rsidP="00CA32C6">
            <w:pPr>
              <w:jc w:val="right"/>
              <w:rPr>
                <w:rFonts w:ascii="Arial Narrow" w:hAnsi="Arial Narrow" w:cs="Calibri"/>
                <w:sz w:val="20"/>
                <w:lang w:val="bg-BG"/>
              </w:rPr>
            </w:pPr>
            <w:r w:rsidRPr="005A748D">
              <w:rPr>
                <w:rFonts w:ascii="Arial Narrow" w:hAnsi="Arial Narrow" w:cs="Calibri"/>
                <w:sz w:val="20"/>
                <w:lang w:val="bg-BG"/>
              </w:rPr>
              <w:t>-2,2%</w:t>
            </w:r>
          </w:p>
        </w:tc>
        <w:tc>
          <w:tcPr>
            <w:tcW w:w="433" w:type="pct"/>
            <w:tcBorders>
              <w:top w:val="nil"/>
              <w:left w:val="nil"/>
              <w:bottom w:val="single" w:sz="4" w:space="0" w:color="auto"/>
              <w:right w:val="single" w:sz="4" w:space="0" w:color="auto"/>
            </w:tcBorders>
            <w:shd w:val="clear" w:color="auto" w:fill="auto"/>
            <w:noWrap/>
            <w:vAlign w:val="center"/>
            <w:hideMark/>
          </w:tcPr>
          <w:p w14:paraId="1A964EAB" w14:textId="77777777" w:rsidR="0077315A" w:rsidRPr="005A748D" w:rsidRDefault="0077315A" w:rsidP="00CA32C6">
            <w:pPr>
              <w:jc w:val="right"/>
              <w:rPr>
                <w:rFonts w:ascii="Arial Narrow" w:hAnsi="Arial Narrow" w:cs="Calibri"/>
                <w:sz w:val="20"/>
                <w:lang w:val="bg-BG"/>
              </w:rPr>
            </w:pPr>
            <w:r w:rsidRPr="005A748D">
              <w:rPr>
                <w:rFonts w:ascii="Arial Narrow" w:hAnsi="Arial Narrow" w:cs="Calibri"/>
                <w:sz w:val="20"/>
                <w:lang w:val="bg-BG"/>
              </w:rPr>
              <w:t>5,43</w:t>
            </w:r>
          </w:p>
        </w:tc>
        <w:tc>
          <w:tcPr>
            <w:tcW w:w="434" w:type="pct"/>
            <w:tcBorders>
              <w:top w:val="nil"/>
              <w:left w:val="nil"/>
              <w:bottom w:val="single" w:sz="4" w:space="0" w:color="auto"/>
              <w:right w:val="single" w:sz="4" w:space="0" w:color="auto"/>
            </w:tcBorders>
            <w:shd w:val="clear" w:color="auto" w:fill="auto"/>
            <w:noWrap/>
            <w:vAlign w:val="center"/>
            <w:hideMark/>
          </w:tcPr>
          <w:p w14:paraId="1354AEB2" w14:textId="77777777" w:rsidR="0077315A" w:rsidRPr="005A748D" w:rsidRDefault="0077315A" w:rsidP="00CA32C6">
            <w:pPr>
              <w:jc w:val="right"/>
              <w:rPr>
                <w:rFonts w:ascii="Arial Narrow" w:hAnsi="Arial Narrow" w:cs="Calibri"/>
                <w:sz w:val="20"/>
                <w:lang w:val="bg-BG"/>
              </w:rPr>
            </w:pPr>
            <w:r w:rsidRPr="005A748D">
              <w:rPr>
                <w:rFonts w:ascii="Arial Narrow" w:hAnsi="Arial Narrow" w:cs="Calibri"/>
                <w:sz w:val="20"/>
                <w:lang w:val="bg-BG"/>
              </w:rPr>
              <w:t>5,73</w:t>
            </w:r>
          </w:p>
        </w:tc>
        <w:tc>
          <w:tcPr>
            <w:tcW w:w="53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BE9B76" w14:textId="77777777" w:rsidR="0077315A" w:rsidRPr="005A748D" w:rsidRDefault="0077315A" w:rsidP="00CA32C6">
            <w:pPr>
              <w:jc w:val="right"/>
              <w:rPr>
                <w:rFonts w:ascii="Arial Narrow" w:hAnsi="Arial Narrow" w:cs="Calibri"/>
                <w:sz w:val="20"/>
                <w:lang w:val="bg-BG"/>
              </w:rPr>
            </w:pPr>
            <w:r w:rsidRPr="005F1E4E">
              <w:rPr>
                <w:rFonts w:ascii="Arial Narrow" w:hAnsi="Arial Narrow" w:cs="Calibri"/>
                <w:sz w:val="20"/>
              </w:rPr>
              <w:t>5,5%</w:t>
            </w:r>
          </w:p>
        </w:tc>
        <w:tc>
          <w:tcPr>
            <w:tcW w:w="507" w:type="pct"/>
            <w:tcBorders>
              <w:top w:val="nil"/>
              <w:left w:val="nil"/>
              <w:bottom w:val="single" w:sz="4" w:space="0" w:color="auto"/>
              <w:right w:val="single" w:sz="4" w:space="0" w:color="auto"/>
            </w:tcBorders>
            <w:shd w:val="clear" w:color="auto" w:fill="auto"/>
            <w:noWrap/>
            <w:vAlign w:val="center"/>
            <w:hideMark/>
          </w:tcPr>
          <w:p w14:paraId="555ECB91" w14:textId="77777777" w:rsidR="0077315A" w:rsidRPr="005A748D" w:rsidRDefault="0077315A" w:rsidP="00CA32C6">
            <w:pPr>
              <w:jc w:val="right"/>
              <w:rPr>
                <w:rFonts w:ascii="Arial Narrow" w:hAnsi="Arial Narrow" w:cs="Calibri"/>
                <w:sz w:val="20"/>
                <w:lang w:val="bg-BG"/>
              </w:rPr>
            </w:pPr>
            <w:r w:rsidRPr="005A748D">
              <w:rPr>
                <w:rFonts w:ascii="Arial Narrow" w:hAnsi="Arial Narrow" w:cs="Calibri"/>
                <w:sz w:val="20"/>
                <w:lang w:val="bg-BG"/>
              </w:rPr>
              <w:t>6 623 700</w:t>
            </w:r>
          </w:p>
        </w:tc>
        <w:tc>
          <w:tcPr>
            <w:tcW w:w="507" w:type="pct"/>
            <w:tcBorders>
              <w:top w:val="nil"/>
              <w:left w:val="nil"/>
              <w:bottom w:val="single" w:sz="4" w:space="0" w:color="auto"/>
              <w:right w:val="single" w:sz="4" w:space="0" w:color="auto"/>
            </w:tcBorders>
            <w:shd w:val="clear" w:color="auto" w:fill="auto"/>
            <w:noWrap/>
            <w:vAlign w:val="center"/>
            <w:hideMark/>
          </w:tcPr>
          <w:p w14:paraId="30B46161" w14:textId="77777777" w:rsidR="0077315A" w:rsidRPr="005A748D" w:rsidRDefault="0077315A" w:rsidP="00CA32C6">
            <w:pPr>
              <w:jc w:val="right"/>
              <w:rPr>
                <w:rFonts w:ascii="Arial Narrow" w:hAnsi="Arial Narrow" w:cs="Calibri"/>
                <w:sz w:val="20"/>
                <w:lang w:val="bg-BG"/>
              </w:rPr>
            </w:pPr>
            <w:r w:rsidRPr="005A748D">
              <w:rPr>
                <w:rFonts w:ascii="Arial Narrow" w:hAnsi="Arial Narrow" w:cs="Calibri"/>
                <w:sz w:val="20"/>
                <w:lang w:val="bg-BG"/>
              </w:rPr>
              <w:t>6 846 316</w:t>
            </w:r>
          </w:p>
        </w:tc>
        <w:tc>
          <w:tcPr>
            <w:tcW w:w="501" w:type="pct"/>
            <w:tcBorders>
              <w:top w:val="nil"/>
              <w:left w:val="nil"/>
              <w:bottom w:val="single" w:sz="4" w:space="0" w:color="auto"/>
              <w:right w:val="single" w:sz="4" w:space="0" w:color="auto"/>
            </w:tcBorders>
            <w:shd w:val="clear" w:color="auto" w:fill="auto"/>
            <w:noWrap/>
            <w:vAlign w:val="center"/>
            <w:hideMark/>
          </w:tcPr>
          <w:p w14:paraId="130888B4" w14:textId="77777777" w:rsidR="0077315A" w:rsidRPr="005A748D" w:rsidRDefault="0077315A" w:rsidP="00CA32C6">
            <w:pPr>
              <w:jc w:val="right"/>
              <w:rPr>
                <w:rFonts w:ascii="Arial Narrow" w:hAnsi="Arial Narrow" w:cs="Calibri"/>
                <w:sz w:val="20"/>
                <w:lang w:val="bg-BG"/>
              </w:rPr>
            </w:pPr>
            <w:r w:rsidRPr="005A748D">
              <w:rPr>
                <w:rFonts w:ascii="Arial Narrow" w:hAnsi="Arial Narrow" w:cs="Calibri"/>
                <w:sz w:val="20"/>
                <w:lang w:val="bg-BG"/>
              </w:rPr>
              <w:t>3,4%</w:t>
            </w:r>
          </w:p>
        </w:tc>
      </w:tr>
      <w:tr w:rsidR="0077315A" w:rsidRPr="00132ABA" w14:paraId="7A541C42" w14:textId="77777777" w:rsidTr="00CD44F3">
        <w:trPr>
          <w:trHeight w:val="297"/>
        </w:trPr>
        <w:tc>
          <w:tcPr>
            <w:tcW w:w="543" w:type="pct"/>
            <w:tcBorders>
              <w:top w:val="nil"/>
              <w:left w:val="single" w:sz="4" w:space="0" w:color="auto"/>
              <w:bottom w:val="single" w:sz="4" w:space="0" w:color="auto"/>
              <w:right w:val="single" w:sz="4" w:space="0" w:color="auto"/>
            </w:tcBorders>
            <w:shd w:val="clear" w:color="auto" w:fill="auto"/>
            <w:vAlign w:val="center"/>
            <w:hideMark/>
          </w:tcPr>
          <w:p w14:paraId="12E3F2B1" w14:textId="77777777" w:rsidR="0077315A" w:rsidRPr="005A748D" w:rsidRDefault="0077315A" w:rsidP="00CA32C6">
            <w:pPr>
              <w:rPr>
                <w:rFonts w:ascii="Arial Narrow" w:hAnsi="Arial Narrow" w:cs="Calibri"/>
                <w:sz w:val="20"/>
                <w:lang w:val="bg-BG"/>
              </w:rPr>
            </w:pPr>
            <w:r w:rsidRPr="005A748D">
              <w:rPr>
                <w:rFonts w:ascii="Arial Narrow" w:hAnsi="Arial Narrow" w:cs="Calibri"/>
                <w:sz w:val="20"/>
                <w:lang w:val="bg-BG"/>
              </w:rPr>
              <w:t>Ръж</w:t>
            </w:r>
          </w:p>
        </w:tc>
        <w:tc>
          <w:tcPr>
            <w:tcW w:w="506" w:type="pct"/>
            <w:tcBorders>
              <w:top w:val="nil"/>
              <w:left w:val="nil"/>
              <w:bottom w:val="single" w:sz="4" w:space="0" w:color="auto"/>
              <w:right w:val="single" w:sz="4" w:space="0" w:color="auto"/>
            </w:tcBorders>
            <w:shd w:val="clear" w:color="auto" w:fill="auto"/>
            <w:noWrap/>
            <w:vAlign w:val="center"/>
            <w:hideMark/>
          </w:tcPr>
          <w:p w14:paraId="4DE23CBA" w14:textId="77777777" w:rsidR="0077315A" w:rsidRPr="005A748D" w:rsidRDefault="0077315A" w:rsidP="00CA32C6">
            <w:pPr>
              <w:jc w:val="right"/>
              <w:rPr>
                <w:rFonts w:ascii="Arial Narrow" w:hAnsi="Arial Narrow" w:cs="Calibri"/>
                <w:sz w:val="20"/>
                <w:lang w:val="bg-BG"/>
              </w:rPr>
            </w:pPr>
            <w:r w:rsidRPr="005A748D">
              <w:rPr>
                <w:rFonts w:ascii="Arial Narrow" w:hAnsi="Arial Narrow" w:cs="Calibri"/>
                <w:sz w:val="20"/>
                <w:lang w:val="bg-BG"/>
              </w:rPr>
              <w:t>7 655</w:t>
            </w:r>
          </w:p>
        </w:tc>
        <w:tc>
          <w:tcPr>
            <w:tcW w:w="506" w:type="pct"/>
            <w:tcBorders>
              <w:top w:val="nil"/>
              <w:left w:val="nil"/>
              <w:bottom w:val="single" w:sz="4" w:space="0" w:color="auto"/>
              <w:right w:val="single" w:sz="4" w:space="0" w:color="auto"/>
            </w:tcBorders>
            <w:shd w:val="clear" w:color="auto" w:fill="auto"/>
            <w:noWrap/>
            <w:vAlign w:val="center"/>
            <w:hideMark/>
          </w:tcPr>
          <w:p w14:paraId="7B408FE5" w14:textId="77777777" w:rsidR="0077315A" w:rsidRPr="005A748D" w:rsidRDefault="0077315A" w:rsidP="00CA32C6">
            <w:pPr>
              <w:jc w:val="right"/>
              <w:rPr>
                <w:rFonts w:ascii="Arial Narrow" w:hAnsi="Arial Narrow" w:cs="Calibri"/>
                <w:sz w:val="20"/>
                <w:lang w:val="bg-BG"/>
              </w:rPr>
            </w:pPr>
            <w:r w:rsidRPr="005A748D">
              <w:rPr>
                <w:rFonts w:ascii="Arial Narrow" w:hAnsi="Arial Narrow" w:cs="Calibri"/>
                <w:sz w:val="20"/>
                <w:lang w:val="bg-BG"/>
              </w:rPr>
              <w:t>6 438</w:t>
            </w:r>
          </w:p>
        </w:tc>
        <w:tc>
          <w:tcPr>
            <w:tcW w:w="532" w:type="pct"/>
            <w:tcBorders>
              <w:top w:val="nil"/>
              <w:left w:val="nil"/>
              <w:bottom w:val="single" w:sz="4" w:space="0" w:color="auto"/>
              <w:right w:val="single" w:sz="4" w:space="0" w:color="auto"/>
            </w:tcBorders>
            <w:shd w:val="clear" w:color="auto" w:fill="auto"/>
            <w:noWrap/>
            <w:vAlign w:val="center"/>
            <w:hideMark/>
          </w:tcPr>
          <w:p w14:paraId="76DD4CB5" w14:textId="77777777" w:rsidR="0077315A" w:rsidRPr="005A748D" w:rsidRDefault="0077315A" w:rsidP="00CA32C6">
            <w:pPr>
              <w:jc w:val="right"/>
              <w:rPr>
                <w:rFonts w:ascii="Arial Narrow" w:hAnsi="Arial Narrow" w:cs="Calibri"/>
                <w:sz w:val="20"/>
                <w:lang w:val="bg-BG"/>
              </w:rPr>
            </w:pPr>
            <w:r w:rsidRPr="005A748D">
              <w:rPr>
                <w:rFonts w:ascii="Arial Narrow" w:hAnsi="Arial Narrow" w:cs="Calibri"/>
                <w:sz w:val="20"/>
                <w:lang w:val="bg-BG"/>
              </w:rPr>
              <w:t>-15,9%</w:t>
            </w:r>
          </w:p>
        </w:tc>
        <w:tc>
          <w:tcPr>
            <w:tcW w:w="433" w:type="pct"/>
            <w:tcBorders>
              <w:top w:val="nil"/>
              <w:left w:val="nil"/>
              <w:bottom w:val="single" w:sz="4" w:space="0" w:color="auto"/>
              <w:right w:val="single" w:sz="4" w:space="0" w:color="auto"/>
            </w:tcBorders>
            <w:shd w:val="clear" w:color="auto" w:fill="auto"/>
            <w:noWrap/>
            <w:vAlign w:val="center"/>
            <w:hideMark/>
          </w:tcPr>
          <w:p w14:paraId="22D4BA29" w14:textId="77777777" w:rsidR="0077315A" w:rsidRPr="005A748D" w:rsidRDefault="0077315A" w:rsidP="00CA32C6">
            <w:pPr>
              <w:jc w:val="right"/>
              <w:rPr>
                <w:rFonts w:ascii="Arial Narrow" w:hAnsi="Arial Narrow" w:cs="Calibri"/>
                <w:sz w:val="20"/>
                <w:lang w:val="bg-BG"/>
              </w:rPr>
            </w:pPr>
            <w:r w:rsidRPr="005A748D">
              <w:rPr>
                <w:rFonts w:ascii="Arial Narrow" w:hAnsi="Arial Narrow" w:cs="Calibri"/>
                <w:sz w:val="20"/>
                <w:lang w:val="bg-BG"/>
              </w:rPr>
              <w:t>1,81</w:t>
            </w:r>
          </w:p>
        </w:tc>
        <w:tc>
          <w:tcPr>
            <w:tcW w:w="434" w:type="pct"/>
            <w:tcBorders>
              <w:top w:val="nil"/>
              <w:left w:val="nil"/>
              <w:bottom w:val="single" w:sz="4" w:space="0" w:color="auto"/>
              <w:right w:val="single" w:sz="4" w:space="0" w:color="auto"/>
            </w:tcBorders>
            <w:shd w:val="clear" w:color="auto" w:fill="auto"/>
            <w:noWrap/>
            <w:vAlign w:val="center"/>
            <w:hideMark/>
          </w:tcPr>
          <w:p w14:paraId="55F67ADA" w14:textId="77777777" w:rsidR="0077315A" w:rsidRPr="005A748D" w:rsidRDefault="0077315A" w:rsidP="00CA32C6">
            <w:pPr>
              <w:jc w:val="right"/>
              <w:rPr>
                <w:rFonts w:ascii="Arial Narrow" w:hAnsi="Arial Narrow" w:cs="Calibri"/>
                <w:sz w:val="20"/>
                <w:lang w:val="bg-BG"/>
              </w:rPr>
            </w:pPr>
            <w:r w:rsidRPr="005A748D">
              <w:rPr>
                <w:rFonts w:ascii="Arial Narrow" w:hAnsi="Arial Narrow" w:cs="Calibri"/>
                <w:sz w:val="20"/>
                <w:lang w:val="bg-BG"/>
              </w:rPr>
              <w:t>1,99</w:t>
            </w:r>
          </w:p>
        </w:tc>
        <w:tc>
          <w:tcPr>
            <w:tcW w:w="531" w:type="pct"/>
            <w:tcBorders>
              <w:top w:val="nil"/>
              <w:left w:val="single" w:sz="4" w:space="0" w:color="auto"/>
              <w:bottom w:val="single" w:sz="4" w:space="0" w:color="auto"/>
              <w:right w:val="single" w:sz="4" w:space="0" w:color="auto"/>
            </w:tcBorders>
            <w:shd w:val="clear" w:color="auto" w:fill="auto"/>
            <w:noWrap/>
            <w:vAlign w:val="center"/>
            <w:hideMark/>
          </w:tcPr>
          <w:p w14:paraId="6BD3F3BB" w14:textId="77777777" w:rsidR="0077315A" w:rsidRPr="005A748D" w:rsidRDefault="0077315A" w:rsidP="00CA32C6">
            <w:pPr>
              <w:jc w:val="right"/>
              <w:rPr>
                <w:rFonts w:ascii="Arial Narrow" w:hAnsi="Arial Narrow" w:cs="Calibri"/>
                <w:sz w:val="20"/>
                <w:lang w:val="bg-BG"/>
              </w:rPr>
            </w:pPr>
            <w:r w:rsidRPr="005F1E4E">
              <w:rPr>
                <w:rFonts w:ascii="Arial Narrow" w:hAnsi="Arial Narrow" w:cs="Calibri"/>
                <w:sz w:val="20"/>
              </w:rPr>
              <w:t>9,9%</w:t>
            </w:r>
          </w:p>
        </w:tc>
        <w:tc>
          <w:tcPr>
            <w:tcW w:w="507" w:type="pct"/>
            <w:tcBorders>
              <w:top w:val="nil"/>
              <w:left w:val="nil"/>
              <w:bottom w:val="single" w:sz="4" w:space="0" w:color="auto"/>
              <w:right w:val="single" w:sz="4" w:space="0" w:color="auto"/>
            </w:tcBorders>
            <w:shd w:val="clear" w:color="auto" w:fill="auto"/>
            <w:noWrap/>
            <w:vAlign w:val="center"/>
            <w:hideMark/>
          </w:tcPr>
          <w:p w14:paraId="3D3A3469" w14:textId="77777777" w:rsidR="0077315A" w:rsidRPr="005A748D" w:rsidRDefault="0077315A" w:rsidP="00CA32C6">
            <w:pPr>
              <w:jc w:val="right"/>
              <w:rPr>
                <w:rFonts w:ascii="Arial Narrow" w:hAnsi="Arial Narrow" w:cs="Calibri"/>
                <w:sz w:val="20"/>
                <w:lang w:val="bg-BG"/>
              </w:rPr>
            </w:pPr>
            <w:r w:rsidRPr="005A748D">
              <w:rPr>
                <w:rFonts w:ascii="Arial Narrow" w:hAnsi="Arial Narrow" w:cs="Calibri"/>
                <w:sz w:val="20"/>
                <w:lang w:val="bg-BG"/>
              </w:rPr>
              <w:t>13 858</w:t>
            </w:r>
          </w:p>
        </w:tc>
        <w:tc>
          <w:tcPr>
            <w:tcW w:w="507" w:type="pct"/>
            <w:tcBorders>
              <w:top w:val="nil"/>
              <w:left w:val="nil"/>
              <w:bottom w:val="single" w:sz="4" w:space="0" w:color="auto"/>
              <w:right w:val="single" w:sz="4" w:space="0" w:color="auto"/>
            </w:tcBorders>
            <w:shd w:val="clear" w:color="auto" w:fill="auto"/>
            <w:noWrap/>
            <w:vAlign w:val="center"/>
            <w:hideMark/>
          </w:tcPr>
          <w:p w14:paraId="7CF97423" w14:textId="77777777" w:rsidR="0077315A" w:rsidRPr="005A748D" w:rsidRDefault="0077315A" w:rsidP="00CA32C6">
            <w:pPr>
              <w:jc w:val="right"/>
              <w:rPr>
                <w:rFonts w:ascii="Arial Narrow" w:hAnsi="Arial Narrow" w:cs="Calibri"/>
                <w:sz w:val="20"/>
                <w:lang w:val="bg-BG"/>
              </w:rPr>
            </w:pPr>
            <w:r w:rsidRPr="005A748D">
              <w:rPr>
                <w:rFonts w:ascii="Arial Narrow" w:hAnsi="Arial Narrow" w:cs="Calibri"/>
                <w:sz w:val="20"/>
                <w:lang w:val="bg-BG"/>
              </w:rPr>
              <w:t>12 800</w:t>
            </w:r>
          </w:p>
        </w:tc>
        <w:tc>
          <w:tcPr>
            <w:tcW w:w="501" w:type="pct"/>
            <w:tcBorders>
              <w:top w:val="nil"/>
              <w:left w:val="nil"/>
              <w:bottom w:val="single" w:sz="4" w:space="0" w:color="auto"/>
              <w:right w:val="single" w:sz="4" w:space="0" w:color="auto"/>
            </w:tcBorders>
            <w:shd w:val="clear" w:color="auto" w:fill="auto"/>
            <w:noWrap/>
            <w:vAlign w:val="center"/>
            <w:hideMark/>
          </w:tcPr>
          <w:p w14:paraId="08E9544F" w14:textId="77777777" w:rsidR="0077315A" w:rsidRPr="005A748D" w:rsidRDefault="0077315A" w:rsidP="00CA32C6">
            <w:pPr>
              <w:jc w:val="right"/>
              <w:rPr>
                <w:rFonts w:ascii="Arial Narrow" w:hAnsi="Arial Narrow" w:cs="Calibri"/>
                <w:sz w:val="20"/>
                <w:lang w:val="bg-BG"/>
              </w:rPr>
            </w:pPr>
            <w:r w:rsidRPr="005A748D">
              <w:rPr>
                <w:rFonts w:ascii="Arial Narrow" w:hAnsi="Arial Narrow" w:cs="Calibri"/>
                <w:sz w:val="20"/>
                <w:lang w:val="bg-BG"/>
              </w:rPr>
              <w:t>-7,6%</w:t>
            </w:r>
          </w:p>
        </w:tc>
      </w:tr>
      <w:tr w:rsidR="0077315A" w:rsidRPr="00132ABA" w14:paraId="6D83B786" w14:textId="77777777" w:rsidTr="00CD44F3">
        <w:trPr>
          <w:trHeight w:val="297"/>
        </w:trPr>
        <w:tc>
          <w:tcPr>
            <w:tcW w:w="543" w:type="pct"/>
            <w:tcBorders>
              <w:top w:val="nil"/>
              <w:left w:val="single" w:sz="4" w:space="0" w:color="auto"/>
              <w:bottom w:val="single" w:sz="4" w:space="0" w:color="auto"/>
              <w:right w:val="single" w:sz="4" w:space="0" w:color="auto"/>
            </w:tcBorders>
            <w:shd w:val="clear" w:color="auto" w:fill="auto"/>
            <w:vAlign w:val="center"/>
            <w:hideMark/>
          </w:tcPr>
          <w:p w14:paraId="07CD0DB6" w14:textId="77777777" w:rsidR="0077315A" w:rsidRPr="005A748D" w:rsidRDefault="0077315A" w:rsidP="00CA32C6">
            <w:pPr>
              <w:rPr>
                <w:rFonts w:ascii="Arial Narrow" w:hAnsi="Arial Narrow" w:cs="Calibri"/>
                <w:sz w:val="20"/>
                <w:lang w:val="bg-BG"/>
              </w:rPr>
            </w:pPr>
            <w:r w:rsidRPr="005A748D">
              <w:rPr>
                <w:rFonts w:ascii="Arial Narrow" w:hAnsi="Arial Narrow" w:cs="Calibri"/>
                <w:sz w:val="20"/>
                <w:lang w:val="bg-BG"/>
              </w:rPr>
              <w:t>Тритикале</w:t>
            </w:r>
          </w:p>
        </w:tc>
        <w:tc>
          <w:tcPr>
            <w:tcW w:w="506" w:type="pct"/>
            <w:tcBorders>
              <w:top w:val="nil"/>
              <w:left w:val="nil"/>
              <w:bottom w:val="single" w:sz="4" w:space="0" w:color="auto"/>
              <w:right w:val="single" w:sz="4" w:space="0" w:color="auto"/>
            </w:tcBorders>
            <w:shd w:val="clear" w:color="auto" w:fill="auto"/>
            <w:noWrap/>
            <w:vAlign w:val="center"/>
            <w:hideMark/>
          </w:tcPr>
          <w:p w14:paraId="6093AACC" w14:textId="77777777" w:rsidR="0077315A" w:rsidRPr="005A748D" w:rsidRDefault="0077315A" w:rsidP="00CA32C6">
            <w:pPr>
              <w:jc w:val="right"/>
              <w:rPr>
                <w:rFonts w:ascii="Arial Narrow" w:hAnsi="Arial Narrow" w:cs="Calibri"/>
                <w:sz w:val="20"/>
                <w:lang w:val="bg-BG"/>
              </w:rPr>
            </w:pPr>
            <w:r w:rsidRPr="005A748D">
              <w:rPr>
                <w:rFonts w:ascii="Arial Narrow" w:hAnsi="Arial Narrow" w:cs="Calibri"/>
                <w:sz w:val="20"/>
                <w:lang w:val="bg-BG"/>
              </w:rPr>
              <w:t>35 150</w:t>
            </w:r>
          </w:p>
        </w:tc>
        <w:tc>
          <w:tcPr>
            <w:tcW w:w="506" w:type="pct"/>
            <w:tcBorders>
              <w:top w:val="nil"/>
              <w:left w:val="nil"/>
              <w:bottom w:val="single" w:sz="4" w:space="0" w:color="auto"/>
              <w:right w:val="single" w:sz="4" w:space="0" w:color="auto"/>
            </w:tcBorders>
            <w:shd w:val="clear" w:color="auto" w:fill="auto"/>
            <w:noWrap/>
            <w:vAlign w:val="center"/>
            <w:hideMark/>
          </w:tcPr>
          <w:p w14:paraId="1C0C5058" w14:textId="77777777" w:rsidR="0077315A" w:rsidRPr="005A748D" w:rsidRDefault="0077315A" w:rsidP="00CA32C6">
            <w:pPr>
              <w:jc w:val="right"/>
              <w:rPr>
                <w:rFonts w:ascii="Arial Narrow" w:hAnsi="Arial Narrow" w:cs="Calibri"/>
                <w:sz w:val="20"/>
                <w:lang w:val="bg-BG"/>
              </w:rPr>
            </w:pPr>
            <w:r w:rsidRPr="005A748D">
              <w:rPr>
                <w:rFonts w:ascii="Arial Narrow" w:hAnsi="Arial Narrow" w:cs="Calibri"/>
                <w:sz w:val="20"/>
                <w:lang w:val="bg-BG"/>
              </w:rPr>
              <w:t>20 867</w:t>
            </w:r>
          </w:p>
        </w:tc>
        <w:tc>
          <w:tcPr>
            <w:tcW w:w="532" w:type="pct"/>
            <w:tcBorders>
              <w:top w:val="nil"/>
              <w:left w:val="nil"/>
              <w:bottom w:val="single" w:sz="4" w:space="0" w:color="auto"/>
              <w:right w:val="single" w:sz="4" w:space="0" w:color="auto"/>
            </w:tcBorders>
            <w:shd w:val="clear" w:color="auto" w:fill="auto"/>
            <w:noWrap/>
            <w:vAlign w:val="center"/>
            <w:hideMark/>
          </w:tcPr>
          <w:p w14:paraId="1F72F997" w14:textId="77777777" w:rsidR="0077315A" w:rsidRPr="005A748D" w:rsidRDefault="0077315A" w:rsidP="00CA32C6">
            <w:pPr>
              <w:jc w:val="right"/>
              <w:rPr>
                <w:rFonts w:ascii="Arial Narrow" w:hAnsi="Arial Narrow" w:cs="Calibri"/>
                <w:sz w:val="20"/>
                <w:lang w:val="bg-BG"/>
              </w:rPr>
            </w:pPr>
            <w:r w:rsidRPr="005A748D">
              <w:rPr>
                <w:rFonts w:ascii="Arial Narrow" w:hAnsi="Arial Narrow" w:cs="Calibri"/>
                <w:sz w:val="20"/>
                <w:lang w:val="bg-BG"/>
              </w:rPr>
              <w:t>-40,6%</w:t>
            </w:r>
          </w:p>
        </w:tc>
        <w:tc>
          <w:tcPr>
            <w:tcW w:w="433" w:type="pct"/>
            <w:tcBorders>
              <w:top w:val="nil"/>
              <w:left w:val="nil"/>
              <w:bottom w:val="single" w:sz="4" w:space="0" w:color="auto"/>
              <w:right w:val="single" w:sz="4" w:space="0" w:color="auto"/>
            </w:tcBorders>
            <w:shd w:val="clear" w:color="auto" w:fill="auto"/>
            <w:noWrap/>
            <w:vAlign w:val="center"/>
            <w:hideMark/>
          </w:tcPr>
          <w:p w14:paraId="18DDE37C" w14:textId="77777777" w:rsidR="0077315A" w:rsidRPr="005A748D" w:rsidRDefault="0077315A" w:rsidP="00CA32C6">
            <w:pPr>
              <w:jc w:val="right"/>
              <w:rPr>
                <w:rFonts w:ascii="Arial Narrow" w:hAnsi="Arial Narrow" w:cs="Calibri"/>
                <w:sz w:val="20"/>
                <w:lang w:val="bg-BG"/>
              </w:rPr>
            </w:pPr>
            <w:r w:rsidRPr="005A748D">
              <w:rPr>
                <w:rFonts w:ascii="Arial Narrow" w:hAnsi="Arial Narrow" w:cs="Calibri"/>
                <w:sz w:val="20"/>
                <w:lang w:val="bg-BG"/>
              </w:rPr>
              <w:t>3,22</w:t>
            </w:r>
          </w:p>
        </w:tc>
        <w:tc>
          <w:tcPr>
            <w:tcW w:w="434" w:type="pct"/>
            <w:tcBorders>
              <w:top w:val="nil"/>
              <w:left w:val="nil"/>
              <w:bottom w:val="single" w:sz="4" w:space="0" w:color="auto"/>
              <w:right w:val="single" w:sz="4" w:space="0" w:color="auto"/>
            </w:tcBorders>
            <w:shd w:val="clear" w:color="auto" w:fill="auto"/>
            <w:noWrap/>
            <w:vAlign w:val="center"/>
            <w:hideMark/>
          </w:tcPr>
          <w:p w14:paraId="136CC66B" w14:textId="77777777" w:rsidR="0077315A" w:rsidRPr="005A748D" w:rsidRDefault="0077315A" w:rsidP="00CA32C6">
            <w:pPr>
              <w:jc w:val="right"/>
              <w:rPr>
                <w:rFonts w:ascii="Arial Narrow" w:hAnsi="Arial Narrow" w:cs="Calibri"/>
                <w:sz w:val="20"/>
                <w:lang w:val="bg-BG"/>
              </w:rPr>
            </w:pPr>
            <w:r w:rsidRPr="005A748D">
              <w:rPr>
                <w:rFonts w:ascii="Arial Narrow" w:hAnsi="Arial Narrow" w:cs="Calibri"/>
                <w:sz w:val="20"/>
                <w:lang w:val="bg-BG"/>
              </w:rPr>
              <w:t>3,05</w:t>
            </w:r>
          </w:p>
        </w:tc>
        <w:tc>
          <w:tcPr>
            <w:tcW w:w="531" w:type="pct"/>
            <w:tcBorders>
              <w:top w:val="nil"/>
              <w:left w:val="single" w:sz="4" w:space="0" w:color="auto"/>
              <w:bottom w:val="single" w:sz="4" w:space="0" w:color="auto"/>
              <w:right w:val="single" w:sz="4" w:space="0" w:color="auto"/>
            </w:tcBorders>
            <w:shd w:val="clear" w:color="auto" w:fill="auto"/>
            <w:noWrap/>
            <w:vAlign w:val="center"/>
            <w:hideMark/>
          </w:tcPr>
          <w:p w14:paraId="4F04BD74" w14:textId="77777777" w:rsidR="0077315A" w:rsidRPr="005A748D" w:rsidRDefault="0077315A" w:rsidP="00CA32C6">
            <w:pPr>
              <w:jc w:val="right"/>
              <w:rPr>
                <w:rFonts w:ascii="Arial Narrow" w:hAnsi="Arial Narrow" w:cs="Calibri"/>
                <w:sz w:val="20"/>
                <w:lang w:val="bg-BG"/>
              </w:rPr>
            </w:pPr>
            <w:r w:rsidRPr="005F1E4E">
              <w:rPr>
                <w:rFonts w:ascii="Arial Narrow" w:hAnsi="Arial Narrow" w:cs="Calibri"/>
                <w:sz w:val="20"/>
              </w:rPr>
              <w:t>-5,3%</w:t>
            </w:r>
          </w:p>
        </w:tc>
        <w:tc>
          <w:tcPr>
            <w:tcW w:w="507" w:type="pct"/>
            <w:tcBorders>
              <w:top w:val="nil"/>
              <w:left w:val="nil"/>
              <w:bottom w:val="single" w:sz="4" w:space="0" w:color="auto"/>
              <w:right w:val="single" w:sz="4" w:space="0" w:color="auto"/>
            </w:tcBorders>
            <w:shd w:val="clear" w:color="auto" w:fill="auto"/>
            <w:noWrap/>
            <w:vAlign w:val="center"/>
            <w:hideMark/>
          </w:tcPr>
          <w:p w14:paraId="03E4E908" w14:textId="77777777" w:rsidR="0077315A" w:rsidRPr="005A748D" w:rsidRDefault="0077315A" w:rsidP="00CA32C6">
            <w:pPr>
              <w:jc w:val="right"/>
              <w:rPr>
                <w:rFonts w:ascii="Arial Narrow" w:hAnsi="Arial Narrow" w:cs="Calibri"/>
                <w:sz w:val="20"/>
                <w:lang w:val="bg-BG"/>
              </w:rPr>
            </w:pPr>
            <w:r w:rsidRPr="005A748D">
              <w:rPr>
                <w:rFonts w:ascii="Arial Narrow" w:hAnsi="Arial Narrow" w:cs="Calibri"/>
                <w:sz w:val="20"/>
                <w:lang w:val="bg-BG"/>
              </w:rPr>
              <w:t>112 993</w:t>
            </w:r>
          </w:p>
        </w:tc>
        <w:tc>
          <w:tcPr>
            <w:tcW w:w="507" w:type="pct"/>
            <w:tcBorders>
              <w:top w:val="nil"/>
              <w:left w:val="nil"/>
              <w:bottom w:val="single" w:sz="4" w:space="0" w:color="auto"/>
              <w:right w:val="single" w:sz="4" w:space="0" w:color="auto"/>
            </w:tcBorders>
            <w:shd w:val="clear" w:color="auto" w:fill="auto"/>
            <w:noWrap/>
            <w:vAlign w:val="center"/>
            <w:hideMark/>
          </w:tcPr>
          <w:p w14:paraId="7FCC7BDE" w14:textId="77777777" w:rsidR="0077315A" w:rsidRPr="005A748D" w:rsidRDefault="0077315A" w:rsidP="00CA32C6">
            <w:pPr>
              <w:jc w:val="right"/>
              <w:rPr>
                <w:rFonts w:ascii="Arial Narrow" w:hAnsi="Arial Narrow" w:cs="Calibri"/>
                <w:sz w:val="20"/>
                <w:lang w:val="bg-BG"/>
              </w:rPr>
            </w:pPr>
            <w:r w:rsidRPr="005A748D">
              <w:rPr>
                <w:rFonts w:ascii="Arial Narrow" w:hAnsi="Arial Narrow" w:cs="Calibri"/>
                <w:sz w:val="20"/>
                <w:lang w:val="bg-BG"/>
              </w:rPr>
              <w:t>63 728</w:t>
            </w:r>
          </w:p>
        </w:tc>
        <w:tc>
          <w:tcPr>
            <w:tcW w:w="501" w:type="pct"/>
            <w:tcBorders>
              <w:top w:val="nil"/>
              <w:left w:val="nil"/>
              <w:bottom w:val="single" w:sz="4" w:space="0" w:color="auto"/>
              <w:right w:val="single" w:sz="4" w:space="0" w:color="auto"/>
            </w:tcBorders>
            <w:shd w:val="clear" w:color="auto" w:fill="auto"/>
            <w:noWrap/>
            <w:vAlign w:val="center"/>
            <w:hideMark/>
          </w:tcPr>
          <w:p w14:paraId="62B8FB0B" w14:textId="77777777" w:rsidR="0077315A" w:rsidRPr="005A748D" w:rsidRDefault="0077315A" w:rsidP="00CA32C6">
            <w:pPr>
              <w:jc w:val="right"/>
              <w:rPr>
                <w:rFonts w:ascii="Arial Narrow" w:hAnsi="Arial Narrow" w:cs="Calibri"/>
                <w:sz w:val="20"/>
                <w:lang w:val="bg-BG"/>
              </w:rPr>
            </w:pPr>
            <w:r w:rsidRPr="005A748D">
              <w:rPr>
                <w:rFonts w:ascii="Arial Narrow" w:hAnsi="Arial Narrow" w:cs="Calibri"/>
                <w:sz w:val="20"/>
                <w:lang w:val="bg-BG"/>
              </w:rPr>
              <w:t>-43,6%</w:t>
            </w:r>
          </w:p>
        </w:tc>
      </w:tr>
      <w:tr w:rsidR="0077315A" w:rsidRPr="00132ABA" w14:paraId="1E025217" w14:textId="77777777" w:rsidTr="00CD44F3">
        <w:trPr>
          <w:trHeight w:val="297"/>
        </w:trPr>
        <w:tc>
          <w:tcPr>
            <w:tcW w:w="543" w:type="pct"/>
            <w:tcBorders>
              <w:top w:val="nil"/>
              <w:left w:val="single" w:sz="4" w:space="0" w:color="auto"/>
              <w:bottom w:val="single" w:sz="4" w:space="0" w:color="auto"/>
              <w:right w:val="single" w:sz="4" w:space="0" w:color="auto"/>
            </w:tcBorders>
            <w:shd w:val="clear" w:color="auto" w:fill="auto"/>
            <w:vAlign w:val="center"/>
            <w:hideMark/>
          </w:tcPr>
          <w:p w14:paraId="71248A69" w14:textId="77777777" w:rsidR="0077315A" w:rsidRPr="005A748D" w:rsidRDefault="0077315A" w:rsidP="00CA32C6">
            <w:pPr>
              <w:rPr>
                <w:rFonts w:ascii="Arial Narrow" w:hAnsi="Arial Narrow" w:cs="Calibri"/>
                <w:sz w:val="20"/>
                <w:lang w:val="bg-BG"/>
              </w:rPr>
            </w:pPr>
            <w:r w:rsidRPr="005A748D">
              <w:rPr>
                <w:rFonts w:ascii="Arial Narrow" w:hAnsi="Arial Narrow" w:cs="Calibri"/>
                <w:sz w:val="20"/>
                <w:lang w:val="bg-BG"/>
              </w:rPr>
              <w:t>Ечемик</w:t>
            </w:r>
          </w:p>
        </w:tc>
        <w:tc>
          <w:tcPr>
            <w:tcW w:w="506" w:type="pct"/>
            <w:tcBorders>
              <w:top w:val="nil"/>
              <w:left w:val="nil"/>
              <w:bottom w:val="single" w:sz="4" w:space="0" w:color="auto"/>
              <w:right w:val="single" w:sz="4" w:space="0" w:color="auto"/>
            </w:tcBorders>
            <w:shd w:val="clear" w:color="auto" w:fill="auto"/>
            <w:noWrap/>
            <w:vAlign w:val="center"/>
            <w:hideMark/>
          </w:tcPr>
          <w:p w14:paraId="21DECC5E" w14:textId="77777777" w:rsidR="0077315A" w:rsidRPr="005A748D" w:rsidRDefault="0077315A" w:rsidP="00CA32C6">
            <w:pPr>
              <w:jc w:val="right"/>
              <w:rPr>
                <w:rFonts w:ascii="Arial Narrow" w:hAnsi="Arial Narrow" w:cs="Calibri"/>
                <w:sz w:val="20"/>
                <w:lang w:val="bg-BG"/>
              </w:rPr>
            </w:pPr>
            <w:r w:rsidRPr="005A748D">
              <w:rPr>
                <w:rFonts w:ascii="Arial Narrow" w:hAnsi="Arial Narrow" w:cs="Calibri"/>
                <w:sz w:val="20"/>
                <w:lang w:val="bg-BG"/>
              </w:rPr>
              <w:t>149 980</w:t>
            </w:r>
          </w:p>
        </w:tc>
        <w:tc>
          <w:tcPr>
            <w:tcW w:w="506" w:type="pct"/>
            <w:tcBorders>
              <w:top w:val="nil"/>
              <w:left w:val="nil"/>
              <w:bottom w:val="single" w:sz="4" w:space="0" w:color="auto"/>
              <w:right w:val="single" w:sz="4" w:space="0" w:color="auto"/>
            </w:tcBorders>
            <w:shd w:val="clear" w:color="auto" w:fill="auto"/>
            <w:noWrap/>
            <w:vAlign w:val="center"/>
            <w:hideMark/>
          </w:tcPr>
          <w:p w14:paraId="7B52ED1D" w14:textId="77777777" w:rsidR="0077315A" w:rsidRPr="005A748D" w:rsidRDefault="0077315A" w:rsidP="00CA32C6">
            <w:pPr>
              <w:jc w:val="right"/>
              <w:rPr>
                <w:rFonts w:ascii="Arial Narrow" w:hAnsi="Arial Narrow" w:cs="Calibri"/>
                <w:sz w:val="20"/>
                <w:lang w:val="bg-BG"/>
              </w:rPr>
            </w:pPr>
            <w:r w:rsidRPr="005A748D">
              <w:rPr>
                <w:rFonts w:ascii="Arial Narrow" w:hAnsi="Arial Narrow" w:cs="Calibri"/>
                <w:sz w:val="20"/>
                <w:lang w:val="bg-BG"/>
              </w:rPr>
              <w:t>196 376</w:t>
            </w:r>
          </w:p>
        </w:tc>
        <w:tc>
          <w:tcPr>
            <w:tcW w:w="532" w:type="pct"/>
            <w:tcBorders>
              <w:top w:val="nil"/>
              <w:left w:val="nil"/>
              <w:bottom w:val="single" w:sz="4" w:space="0" w:color="auto"/>
              <w:right w:val="single" w:sz="4" w:space="0" w:color="auto"/>
            </w:tcBorders>
            <w:shd w:val="clear" w:color="auto" w:fill="auto"/>
            <w:noWrap/>
            <w:vAlign w:val="center"/>
            <w:hideMark/>
          </w:tcPr>
          <w:p w14:paraId="375F6FDD" w14:textId="77777777" w:rsidR="0077315A" w:rsidRPr="005A748D" w:rsidRDefault="0077315A" w:rsidP="00CA32C6">
            <w:pPr>
              <w:jc w:val="right"/>
              <w:rPr>
                <w:rFonts w:ascii="Arial Narrow" w:hAnsi="Arial Narrow" w:cs="Calibri"/>
                <w:sz w:val="20"/>
                <w:lang w:val="bg-BG"/>
              </w:rPr>
            </w:pPr>
            <w:r w:rsidRPr="005A748D">
              <w:rPr>
                <w:rFonts w:ascii="Arial Narrow" w:hAnsi="Arial Narrow" w:cs="Calibri"/>
                <w:sz w:val="20"/>
                <w:lang w:val="bg-BG"/>
              </w:rPr>
              <w:t>30,9%</w:t>
            </w:r>
          </w:p>
        </w:tc>
        <w:tc>
          <w:tcPr>
            <w:tcW w:w="433" w:type="pct"/>
            <w:tcBorders>
              <w:top w:val="nil"/>
              <w:left w:val="nil"/>
              <w:bottom w:val="single" w:sz="4" w:space="0" w:color="auto"/>
              <w:right w:val="single" w:sz="4" w:space="0" w:color="auto"/>
            </w:tcBorders>
            <w:shd w:val="clear" w:color="auto" w:fill="auto"/>
            <w:noWrap/>
            <w:vAlign w:val="center"/>
            <w:hideMark/>
          </w:tcPr>
          <w:p w14:paraId="635354B7" w14:textId="77777777" w:rsidR="0077315A" w:rsidRPr="005A748D" w:rsidRDefault="0077315A" w:rsidP="00CA32C6">
            <w:pPr>
              <w:jc w:val="right"/>
              <w:rPr>
                <w:rFonts w:ascii="Arial Narrow" w:hAnsi="Arial Narrow" w:cs="Calibri"/>
                <w:sz w:val="20"/>
                <w:lang w:val="bg-BG"/>
              </w:rPr>
            </w:pPr>
            <w:r w:rsidRPr="005A748D">
              <w:rPr>
                <w:rFonts w:ascii="Arial Narrow" w:hAnsi="Arial Narrow" w:cs="Calibri"/>
                <w:sz w:val="20"/>
                <w:lang w:val="bg-BG"/>
              </w:rPr>
              <w:t>5,14</w:t>
            </w:r>
          </w:p>
        </w:tc>
        <w:tc>
          <w:tcPr>
            <w:tcW w:w="434" w:type="pct"/>
            <w:tcBorders>
              <w:top w:val="nil"/>
              <w:left w:val="nil"/>
              <w:bottom w:val="single" w:sz="4" w:space="0" w:color="auto"/>
              <w:right w:val="single" w:sz="4" w:space="0" w:color="auto"/>
            </w:tcBorders>
            <w:shd w:val="clear" w:color="auto" w:fill="auto"/>
            <w:noWrap/>
            <w:vAlign w:val="center"/>
            <w:hideMark/>
          </w:tcPr>
          <w:p w14:paraId="0EE5CBBF" w14:textId="77777777" w:rsidR="0077315A" w:rsidRPr="005A748D" w:rsidRDefault="0077315A" w:rsidP="00CA32C6">
            <w:pPr>
              <w:jc w:val="right"/>
              <w:rPr>
                <w:rFonts w:ascii="Arial Narrow" w:hAnsi="Arial Narrow" w:cs="Calibri"/>
                <w:sz w:val="20"/>
                <w:lang w:val="bg-BG"/>
              </w:rPr>
            </w:pPr>
            <w:r w:rsidRPr="005A748D">
              <w:rPr>
                <w:rFonts w:ascii="Arial Narrow" w:hAnsi="Arial Narrow" w:cs="Calibri"/>
                <w:sz w:val="20"/>
                <w:lang w:val="bg-BG"/>
              </w:rPr>
              <w:t>5,36</w:t>
            </w:r>
          </w:p>
        </w:tc>
        <w:tc>
          <w:tcPr>
            <w:tcW w:w="531" w:type="pct"/>
            <w:tcBorders>
              <w:top w:val="nil"/>
              <w:left w:val="single" w:sz="4" w:space="0" w:color="auto"/>
              <w:bottom w:val="single" w:sz="4" w:space="0" w:color="auto"/>
              <w:right w:val="single" w:sz="4" w:space="0" w:color="auto"/>
            </w:tcBorders>
            <w:shd w:val="clear" w:color="auto" w:fill="auto"/>
            <w:noWrap/>
            <w:vAlign w:val="center"/>
            <w:hideMark/>
          </w:tcPr>
          <w:p w14:paraId="20C61B02" w14:textId="77777777" w:rsidR="0077315A" w:rsidRPr="005A748D" w:rsidRDefault="0077315A" w:rsidP="00CA32C6">
            <w:pPr>
              <w:jc w:val="right"/>
              <w:rPr>
                <w:rFonts w:ascii="Arial Narrow" w:hAnsi="Arial Narrow" w:cs="Calibri"/>
                <w:sz w:val="20"/>
                <w:lang w:val="bg-BG"/>
              </w:rPr>
            </w:pPr>
            <w:r w:rsidRPr="005F1E4E">
              <w:rPr>
                <w:rFonts w:ascii="Arial Narrow" w:hAnsi="Arial Narrow" w:cs="Calibri"/>
                <w:sz w:val="20"/>
              </w:rPr>
              <w:t>4,3%</w:t>
            </w:r>
          </w:p>
        </w:tc>
        <w:tc>
          <w:tcPr>
            <w:tcW w:w="507" w:type="pct"/>
            <w:tcBorders>
              <w:top w:val="nil"/>
              <w:left w:val="nil"/>
              <w:bottom w:val="single" w:sz="4" w:space="0" w:color="auto"/>
              <w:right w:val="single" w:sz="4" w:space="0" w:color="auto"/>
            </w:tcBorders>
            <w:shd w:val="clear" w:color="auto" w:fill="auto"/>
            <w:noWrap/>
            <w:vAlign w:val="center"/>
            <w:hideMark/>
          </w:tcPr>
          <w:p w14:paraId="6B06CD2D" w14:textId="77777777" w:rsidR="0077315A" w:rsidRPr="005A748D" w:rsidRDefault="0077315A" w:rsidP="00CA32C6">
            <w:pPr>
              <w:jc w:val="right"/>
              <w:rPr>
                <w:rFonts w:ascii="Arial Narrow" w:hAnsi="Arial Narrow" w:cs="Calibri"/>
                <w:sz w:val="20"/>
                <w:lang w:val="bg-BG"/>
              </w:rPr>
            </w:pPr>
            <w:r w:rsidRPr="005A748D">
              <w:rPr>
                <w:rFonts w:ascii="Arial Narrow" w:hAnsi="Arial Narrow" w:cs="Calibri"/>
                <w:sz w:val="20"/>
                <w:lang w:val="bg-BG"/>
              </w:rPr>
              <w:t>770 347</w:t>
            </w:r>
          </w:p>
        </w:tc>
        <w:tc>
          <w:tcPr>
            <w:tcW w:w="507" w:type="pct"/>
            <w:tcBorders>
              <w:top w:val="nil"/>
              <w:left w:val="nil"/>
              <w:bottom w:val="single" w:sz="4" w:space="0" w:color="auto"/>
              <w:right w:val="single" w:sz="4" w:space="0" w:color="auto"/>
            </w:tcBorders>
            <w:shd w:val="clear" w:color="auto" w:fill="auto"/>
            <w:noWrap/>
            <w:vAlign w:val="center"/>
            <w:hideMark/>
          </w:tcPr>
          <w:p w14:paraId="7EFA330D" w14:textId="77777777" w:rsidR="0077315A" w:rsidRPr="005A748D" w:rsidRDefault="0077315A" w:rsidP="00CA32C6">
            <w:pPr>
              <w:jc w:val="right"/>
              <w:rPr>
                <w:rFonts w:ascii="Arial Narrow" w:hAnsi="Arial Narrow" w:cs="Calibri"/>
                <w:sz w:val="20"/>
                <w:lang w:val="bg-BG"/>
              </w:rPr>
            </w:pPr>
            <w:r w:rsidRPr="005A748D">
              <w:rPr>
                <w:rFonts w:ascii="Arial Narrow" w:hAnsi="Arial Narrow" w:cs="Calibri"/>
                <w:sz w:val="20"/>
                <w:lang w:val="bg-BG"/>
              </w:rPr>
              <w:t>1 052 483</w:t>
            </w:r>
          </w:p>
        </w:tc>
        <w:tc>
          <w:tcPr>
            <w:tcW w:w="501" w:type="pct"/>
            <w:tcBorders>
              <w:top w:val="nil"/>
              <w:left w:val="nil"/>
              <w:bottom w:val="single" w:sz="4" w:space="0" w:color="auto"/>
              <w:right w:val="single" w:sz="4" w:space="0" w:color="auto"/>
            </w:tcBorders>
            <w:shd w:val="clear" w:color="auto" w:fill="auto"/>
            <w:noWrap/>
            <w:vAlign w:val="center"/>
            <w:hideMark/>
          </w:tcPr>
          <w:p w14:paraId="5F8575BA" w14:textId="77777777" w:rsidR="0077315A" w:rsidRPr="005A748D" w:rsidRDefault="0077315A" w:rsidP="00CA32C6">
            <w:pPr>
              <w:jc w:val="right"/>
              <w:rPr>
                <w:rFonts w:ascii="Arial Narrow" w:hAnsi="Arial Narrow" w:cs="Calibri"/>
                <w:sz w:val="20"/>
                <w:lang w:val="bg-BG"/>
              </w:rPr>
            </w:pPr>
            <w:r w:rsidRPr="005A748D">
              <w:rPr>
                <w:rFonts w:ascii="Arial Narrow" w:hAnsi="Arial Narrow" w:cs="Calibri"/>
                <w:sz w:val="20"/>
                <w:lang w:val="bg-BG"/>
              </w:rPr>
              <w:t>36,6%</w:t>
            </w:r>
          </w:p>
        </w:tc>
      </w:tr>
      <w:tr w:rsidR="0077315A" w:rsidRPr="00132ABA" w14:paraId="65820E08" w14:textId="77777777" w:rsidTr="00CD44F3">
        <w:trPr>
          <w:trHeight w:val="297"/>
        </w:trPr>
        <w:tc>
          <w:tcPr>
            <w:tcW w:w="543" w:type="pct"/>
            <w:tcBorders>
              <w:top w:val="nil"/>
              <w:left w:val="single" w:sz="4" w:space="0" w:color="auto"/>
              <w:bottom w:val="single" w:sz="4" w:space="0" w:color="auto"/>
              <w:right w:val="single" w:sz="4" w:space="0" w:color="auto"/>
            </w:tcBorders>
            <w:shd w:val="clear" w:color="auto" w:fill="auto"/>
            <w:vAlign w:val="center"/>
            <w:hideMark/>
          </w:tcPr>
          <w:p w14:paraId="5A13F6F3" w14:textId="77777777" w:rsidR="0077315A" w:rsidRPr="005A748D" w:rsidRDefault="0077315A" w:rsidP="00CA32C6">
            <w:pPr>
              <w:rPr>
                <w:rFonts w:ascii="Arial Narrow" w:hAnsi="Arial Narrow" w:cs="Calibri"/>
                <w:sz w:val="20"/>
                <w:lang w:val="bg-BG"/>
              </w:rPr>
            </w:pPr>
            <w:r w:rsidRPr="005A748D">
              <w:rPr>
                <w:rFonts w:ascii="Arial Narrow" w:hAnsi="Arial Narrow" w:cs="Calibri"/>
                <w:sz w:val="20"/>
                <w:lang w:val="bg-BG"/>
              </w:rPr>
              <w:t>Овес</w:t>
            </w:r>
          </w:p>
        </w:tc>
        <w:tc>
          <w:tcPr>
            <w:tcW w:w="506" w:type="pct"/>
            <w:tcBorders>
              <w:top w:val="nil"/>
              <w:left w:val="nil"/>
              <w:bottom w:val="single" w:sz="4" w:space="0" w:color="auto"/>
              <w:right w:val="single" w:sz="4" w:space="0" w:color="auto"/>
            </w:tcBorders>
            <w:shd w:val="clear" w:color="auto" w:fill="auto"/>
            <w:noWrap/>
            <w:vAlign w:val="center"/>
            <w:hideMark/>
          </w:tcPr>
          <w:p w14:paraId="4AF5A3C4" w14:textId="77777777" w:rsidR="0077315A" w:rsidRPr="005A748D" w:rsidRDefault="0077315A" w:rsidP="00CA32C6">
            <w:pPr>
              <w:jc w:val="right"/>
              <w:rPr>
                <w:rFonts w:ascii="Arial Narrow" w:hAnsi="Arial Narrow" w:cs="Calibri"/>
                <w:sz w:val="20"/>
                <w:lang w:val="bg-BG"/>
              </w:rPr>
            </w:pPr>
            <w:r w:rsidRPr="005A748D">
              <w:rPr>
                <w:rFonts w:ascii="Arial Narrow" w:hAnsi="Arial Narrow" w:cs="Calibri"/>
                <w:sz w:val="20"/>
                <w:lang w:val="bg-BG"/>
              </w:rPr>
              <w:t>13 005</w:t>
            </w:r>
          </w:p>
        </w:tc>
        <w:tc>
          <w:tcPr>
            <w:tcW w:w="506" w:type="pct"/>
            <w:tcBorders>
              <w:top w:val="nil"/>
              <w:left w:val="nil"/>
              <w:bottom w:val="single" w:sz="4" w:space="0" w:color="auto"/>
              <w:right w:val="single" w:sz="4" w:space="0" w:color="auto"/>
            </w:tcBorders>
            <w:shd w:val="clear" w:color="auto" w:fill="auto"/>
            <w:noWrap/>
            <w:vAlign w:val="center"/>
            <w:hideMark/>
          </w:tcPr>
          <w:p w14:paraId="4C9867BA" w14:textId="77777777" w:rsidR="0077315A" w:rsidRPr="005A748D" w:rsidRDefault="0077315A" w:rsidP="00CA32C6">
            <w:pPr>
              <w:jc w:val="right"/>
              <w:rPr>
                <w:rFonts w:ascii="Arial Narrow" w:hAnsi="Arial Narrow" w:cs="Calibri"/>
                <w:sz w:val="20"/>
                <w:lang w:val="bg-BG"/>
              </w:rPr>
            </w:pPr>
            <w:r w:rsidRPr="005A748D">
              <w:rPr>
                <w:rFonts w:ascii="Arial Narrow" w:hAnsi="Arial Narrow" w:cs="Calibri"/>
                <w:sz w:val="20"/>
                <w:lang w:val="bg-BG"/>
              </w:rPr>
              <w:t>23 573</w:t>
            </w:r>
          </w:p>
        </w:tc>
        <w:tc>
          <w:tcPr>
            <w:tcW w:w="532" w:type="pct"/>
            <w:tcBorders>
              <w:top w:val="nil"/>
              <w:left w:val="nil"/>
              <w:bottom w:val="single" w:sz="4" w:space="0" w:color="auto"/>
              <w:right w:val="single" w:sz="4" w:space="0" w:color="auto"/>
            </w:tcBorders>
            <w:shd w:val="clear" w:color="auto" w:fill="auto"/>
            <w:noWrap/>
            <w:vAlign w:val="center"/>
            <w:hideMark/>
          </w:tcPr>
          <w:p w14:paraId="0DD01607" w14:textId="77777777" w:rsidR="0077315A" w:rsidRPr="005A748D" w:rsidRDefault="0077315A" w:rsidP="00CA32C6">
            <w:pPr>
              <w:jc w:val="right"/>
              <w:rPr>
                <w:rFonts w:ascii="Arial Narrow" w:hAnsi="Arial Narrow" w:cs="Calibri"/>
                <w:sz w:val="20"/>
                <w:lang w:val="bg-BG"/>
              </w:rPr>
            </w:pPr>
            <w:r w:rsidRPr="005A748D">
              <w:rPr>
                <w:rFonts w:ascii="Arial Narrow" w:hAnsi="Arial Narrow" w:cs="Calibri"/>
                <w:sz w:val="20"/>
                <w:lang w:val="bg-BG"/>
              </w:rPr>
              <w:t>81,3%</w:t>
            </w:r>
          </w:p>
        </w:tc>
        <w:tc>
          <w:tcPr>
            <w:tcW w:w="433" w:type="pct"/>
            <w:tcBorders>
              <w:top w:val="nil"/>
              <w:left w:val="nil"/>
              <w:bottom w:val="single" w:sz="4" w:space="0" w:color="auto"/>
              <w:right w:val="single" w:sz="4" w:space="0" w:color="auto"/>
            </w:tcBorders>
            <w:shd w:val="clear" w:color="auto" w:fill="auto"/>
            <w:noWrap/>
            <w:vAlign w:val="center"/>
            <w:hideMark/>
          </w:tcPr>
          <w:p w14:paraId="02E9BAA7" w14:textId="77777777" w:rsidR="0077315A" w:rsidRPr="005A748D" w:rsidRDefault="0077315A" w:rsidP="00CA32C6">
            <w:pPr>
              <w:jc w:val="right"/>
              <w:rPr>
                <w:rFonts w:ascii="Arial Narrow" w:hAnsi="Arial Narrow" w:cs="Calibri"/>
                <w:sz w:val="20"/>
                <w:lang w:val="bg-BG"/>
              </w:rPr>
            </w:pPr>
            <w:r w:rsidRPr="005A748D">
              <w:rPr>
                <w:rFonts w:ascii="Arial Narrow" w:hAnsi="Arial Narrow" w:cs="Calibri"/>
                <w:sz w:val="20"/>
                <w:lang w:val="bg-BG"/>
              </w:rPr>
              <w:t>2,25</w:t>
            </w:r>
          </w:p>
        </w:tc>
        <w:tc>
          <w:tcPr>
            <w:tcW w:w="434" w:type="pct"/>
            <w:tcBorders>
              <w:top w:val="nil"/>
              <w:left w:val="nil"/>
              <w:bottom w:val="single" w:sz="4" w:space="0" w:color="auto"/>
              <w:right w:val="single" w:sz="4" w:space="0" w:color="auto"/>
            </w:tcBorders>
            <w:shd w:val="clear" w:color="auto" w:fill="auto"/>
            <w:noWrap/>
            <w:vAlign w:val="center"/>
            <w:hideMark/>
          </w:tcPr>
          <w:p w14:paraId="5BAA3D4E" w14:textId="77777777" w:rsidR="0077315A" w:rsidRPr="005A748D" w:rsidRDefault="0077315A" w:rsidP="00CA32C6">
            <w:pPr>
              <w:jc w:val="right"/>
              <w:rPr>
                <w:rFonts w:ascii="Arial Narrow" w:hAnsi="Arial Narrow" w:cs="Calibri"/>
                <w:sz w:val="20"/>
                <w:lang w:val="bg-BG"/>
              </w:rPr>
            </w:pPr>
            <w:r w:rsidRPr="005A748D">
              <w:rPr>
                <w:rFonts w:ascii="Arial Narrow" w:hAnsi="Arial Narrow" w:cs="Calibri"/>
                <w:sz w:val="20"/>
                <w:lang w:val="bg-BG"/>
              </w:rPr>
              <w:t>2,26</w:t>
            </w:r>
          </w:p>
        </w:tc>
        <w:tc>
          <w:tcPr>
            <w:tcW w:w="531" w:type="pct"/>
            <w:tcBorders>
              <w:top w:val="nil"/>
              <w:left w:val="single" w:sz="4" w:space="0" w:color="auto"/>
              <w:bottom w:val="single" w:sz="4" w:space="0" w:color="auto"/>
              <w:right w:val="single" w:sz="4" w:space="0" w:color="auto"/>
            </w:tcBorders>
            <w:shd w:val="clear" w:color="auto" w:fill="auto"/>
            <w:noWrap/>
            <w:vAlign w:val="center"/>
            <w:hideMark/>
          </w:tcPr>
          <w:p w14:paraId="2CFED2B9" w14:textId="77777777" w:rsidR="0077315A" w:rsidRPr="005A748D" w:rsidRDefault="0077315A" w:rsidP="00CA32C6">
            <w:pPr>
              <w:jc w:val="right"/>
              <w:rPr>
                <w:rFonts w:ascii="Arial Narrow" w:hAnsi="Arial Narrow" w:cs="Calibri"/>
                <w:sz w:val="20"/>
                <w:lang w:val="bg-BG"/>
              </w:rPr>
            </w:pPr>
            <w:r w:rsidRPr="005F1E4E">
              <w:rPr>
                <w:rFonts w:ascii="Arial Narrow" w:hAnsi="Arial Narrow" w:cs="Calibri"/>
                <w:sz w:val="20"/>
              </w:rPr>
              <w:t>0,4%</w:t>
            </w:r>
          </w:p>
        </w:tc>
        <w:tc>
          <w:tcPr>
            <w:tcW w:w="507" w:type="pct"/>
            <w:tcBorders>
              <w:top w:val="nil"/>
              <w:left w:val="nil"/>
              <w:bottom w:val="single" w:sz="4" w:space="0" w:color="auto"/>
              <w:right w:val="single" w:sz="4" w:space="0" w:color="auto"/>
            </w:tcBorders>
            <w:shd w:val="clear" w:color="auto" w:fill="auto"/>
            <w:noWrap/>
            <w:vAlign w:val="center"/>
            <w:hideMark/>
          </w:tcPr>
          <w:p w14:paraId="46E6D794" w14:textId="77777777" w:rsidR="0077315A" w:rsidRPr="005A748D" w:rsidRDefault="0077315A" w:rsidP="00CA32C6">
            <w:pPr>
              <w:jc w:val="right"/>
              <w:rPr>
                <w:rFonts w:ascii="Arial Narrow" w:hAnsi="Arial Narrow" w:cs="Calibri"/>
                <w:sz w:val="20"/>
                <w:lang w:val="bg-BG"/>
              </w:rPr>
            </w:pPr>
            <w:r w:rsidRPr="005A748D">
              <w:rPr>
                <w:rFonts w:ascii="Arial Narrow" w:hAnsi="Arial Narrow" w:cs="Calibri"/>
                <w:sz w:val="20"/>
                <w:lang w:val="bg-BG"/>
              </w:rPr>
              <w:t>29 318</w:t>
            </w:r>
          </w:p>
        </w:tc>
        <w:tc>
          <w:tcPr>
            <w:tcW w:w="507" w:type="pct"/>
            <w:tcBorders>
              <w:top w:val="nil"/>
              <w:left w:val="nil"/>
              <w:bottom w:val="single" w:sz="4" w:space="0" w:color="auto"/>
              <w:right w:val="single" w:sz="4" w:space="0" w:color="auto"/>
            </w:tcBorders>
            <w:shd w:val="clear" w:color="auto" w:fill="auto"/>
            <w:noWrap/>
            <w:vAlign w:val="center"/>
            <w:hideMark/>
          </w:tcPr>
          <w:p w14:paraId="20E91079" w14:textId="77777777" w:rsidR="0077315A" w:rsidRPr="005A748D" w:rsidRDefault="0077315A" w:rsidP="00CA32C6">
            <w:pPr>
              <w:jc w:val="right"/>
              <w:rPr>
                <w:rFonts w:ascii="Arial Narrow" w:hAnsi="Arial Narrow" w:cs="Calibri"/>
                <w:sz w:val="20"/>
                <w:lang w:val="bg-BG"/>
              </w:rPr>
            </w:pPr>
            <w:r w:rsidRPr="005A748D">
              <w:rPr>
                <w:rFonts w:ascii="Arial Narrow" w:hAnsi="Arial Narrow" w:cs="Calibri"/>
                <w:sz w:val="20"/>
                <w:lang w:val="bg-BG"/>
              </w:rPr>
              <w:t>53 348</w:t>
            </w:r>
          </w:p>
        </w:tc>
        <w:tc>
          <w:tcPr>
            <w:tcW w:w="501" w:type="pct"/>
            <w:tcBorders>
              <w:top w:val="nil"/>
              <w:left w:val="nil"/>
              <w:bottom w:val="single" w:sz="4" w:space="0" w:color="auto"/>
              <w:right w:val="single" w:sz="4" w:space="0" w:color="auto"/>
            </w:tcBorders>
            <w:shd w:val="clear" w:color="auto" w:fill="auto"/>
            <w:noWrap/>
            <w:vAlign w:val="center"/>
            <w:hideMark/>
          </w:tcPr>
          <w:p w14:paraId="2829C547" w14:textId="77777777" w:rsidR="0077315A" w:rsidRPr="005A748D" w:rsidRDefault="0077315A" w:rsidP="00CA32C6">
            <w:pPr>
              <w:jc w:val="right"/>
              <w:rPr>
                <w:rFonts w:ascii="Arial Narrow" w:hAnsi="Arial Narrow" w:cs="Calibri"/>
                <w:sz w:val="20"/>
                <w:lang w:val="bg-BG"/>
              </w:rPr>
            </w:pPr>
            <w:r w:rsidRPr="005A748D">
              <w:rPr>
                <w:rFonts w:ascii="Arial Narrow" w:hAnsi="Arial Narrow" w:cs="Calibri"/>
                <w:sz w:val="20"/>
                <w:lang w:val="bg-BG"/>
              </w:rPr>
              <w:t>82,0%</w:t>
            </w:r>
          </w:p>
        </w:tc>
      </w:tr>
      <w:tr w:rsidR="0077315A" w:rsidRPr="00132ABA" w14:paraId="46A54F4A" w14:textId="77777777" w:rsidTr="00CD44F3">
        <w:trPr>
          <w:trHeight w:val="541"/>
        </w:trPr>
        <w:tc>
          <w:tcPr>
            <w:tcW w:w="543" w:type="pct"/>
            <w:tcBorders>
              <w:top w:val="nil"/>
              <w:left w:val="single" w:sz="4" w:space="0" w:color="auto"/>
              <w:bottom w:val="single" w:sz="4" w:space="0" w:color="auto"/>
              <w:right w:val="single" w:sz="4" w:space="0" w:color="auto"/>
            </w:tcBorders>
            <w:shd w:val="clear" w:color="auto" w:fill="auto"/>
            <w:vAlign w:val="center"/>
            <w:hideMark/>
          </w:tcPr>
          <w:p w14:paraId="49612F8F" w14:textId="77777777" w:rsidR="0077315A" w:rsidRPr="005A748D" w:rsidRDefault="0077315A" w:rsidP="00CA32C6">
            <w:pPr>
              <w:rPr>
                <w:rFonts w:ascii="Arial Narrow" w:hAnsi="Arial Narrow" w:cs="Calibri"/>
                <w:sz w:val="20"/>
                <w:lang w:val="bg-BG"/>
              </w:rPr>
            </w:pPr>
            <w:r w:rsidRPr="005A748D">
              <w:rPr>
                <w:rFonts w:ascii="Arial Narrow" w:hAnsi="Arial Narrow" w:cs="Calibri"/>
                <w:sz w:val="20"/>
                <w:lang w:val="bg-BG"/>
              </w:rPr>
              <w:t>Царевица за зърно</w:t>
            </w:r>
          </w:p>
        </w:tc>
        <w:tc>
          <w:tcPr>
            <w:tcW w:w="506" w:type="pct"/>
            <w:tcBorders>
              <w:top w:val="nil"/>
              <w:left w:val="nil"/>
              <w:bottom w:val="single" w:sz="4" w:space="0" w:color="auto"/>
              <w:right w:val="single" w:sz="4" w:space="0" w:color="auto"/>
            </w:tcBorders>
            <w:shd w:val="clear" w:color="auto" w:fill="auto"/>
            <w:noWrap/>
            <w:vAlign w:val="center"/>
            <w:hideMark/>
          </w:tcPr>
          <w:p w14:paraId="306A54F2" w14:textId="77777777" w:rsidR="0077315A" w:rsidRPr="005A748D" w:rsidRDefault="0077315A" w:rsidP="00CA32C6">
            <w:pPr>
              <w:jc w:val="right"/>
              <w:rPr>
                <w:rFonts w:ascii="Arial Narrow" w:hAnsi="Arial Narrow" w:cs="Calibri"/>
                <w:sz w:val="20"/>
                <w:lang w:val="bg-BG"/>
              </w:rPr>
            </w:pPr>
            <w:r w:rsidRPr="005A748D">
              <w:rPr>
                <w:rFonts w:ascii="Arial Narrow" w:hAnsi="Arial Narrow" w:cs="Calibri"/>
                <w:sz w:val="20"/>
                <w:lang w:val="bg-BG"/>
              </w:rPr>
              <w:t>534 637</w:t>
            </w:r>
          </w:p>
        </w:tc>
        <w:tc>
          <w:tcPr>
            <w:tcW w:w="506" w:type="pct"/>
            <w:tcBorders>
              <w:top w:val="nil"/>
              <w:left w:val="nil"/>
              <w:bottom w:val="single" w:sz="4" w:space="0" w:color="auto"/>
              <w:right w:val="single" w:sz="4" w:space="0" w:color="auto"/>
            </w:tcBorders>
            <w:shd w:val="clear" w:color="auto" w:fill="auto"/>
            <w:noWrap/>
            <w:vAlign w:val="center"/>
            <w:hideMark/>
          </w:tcPr>
          <w:p w14:paraId="7A499324" w14:textId="77777777" w:rsidR="0077315A" w:rsidRPr="005A748D" w:rsidRDefault="0077315A" w:rsidP="00CA32C6">
            <w:pPr>
              <w:jc w:val="right"/>
              <w:rPr>
                <w:rFonts w:ascii="Arial Narrow" w:hAnsi="Arial Narrow" w:cs="Calibri"/>
                <w:sz w:val="20"/>
                <w:lang w:val="bg-BG"/>
              </w:rPr>
            </w:pPr>
            <w:r w:rsidRPr="005A748D">
              <w:rPr>
                <w:rFonts w:ascii="Arial Narrow" w:hAnsi="Arial Narrow" w:cs="Calibri"/>
                <w:sz w:val="20"/>
                <w:lang w:val="bg-BG"/>
              </w:rPr>
              <w:t>503 025</w:t>
            </w:r>
          </w:p>
        </w:tc>
        <w:tc>
          <w:tcPr>
            <w:tcW w:w="532" w:type="pct"/>
            <w:tcBorders>
              <w:top w:val="nil"/>
              <w:left w:val="nil"/>
              <w:bottom w:val="single" w:sz="4" w:space="0" w:color="auto"/>
              <w:right w:val="single" w:sz="4" w:space="0" w:color="auto"/>
            </w:tcBorders>
            <w:shd w:val="clear" w:color="auto" w:fill="auto"/>
            <w:noWrap/>
            <w:vAlign w:val="center"/>
            <w:hideMark/>
          </w:tcPr>
          <w:p w14:paraId="739EB400" w14:textId="77777777" w:rsidR="0077315A" w:rsidRPr="005A748D" w:rsidRDefault="0077315A" w:rsidP="00CA32C6">
            <w:pPr>
              <w:jc w:val="right"/>
              <w:rPr>
                <w:rFonts w:ascii="Arial Narrow" w:hAnsi="Arial Narrow" w:cs="Calibri"/>
                <w:sz w:val="20"/>
                <w:lang w:val="bg-BG"/>
              </w:rPr>
            </w:pPr>
            <w:r w:rsidRPr="005A748D">
              <w:rPr>
                <w:rFonts w:ascii="Arial Narrow" w:hAnsi="Arial Narrow" w:cs="Calibri"/>
                <w:sz w:val="20"/>
                <w:lang w:val="bg-BG"/>
              </w:rPr>
              <w:t>-5,9%</w:t>
            </w:r>
          </w:p>
        </w:tc>
        <w:tc>
          <w:tcPr>
            <w:tcW w:w="433" w:type="pct"/>
            <w:tcBorders>
              <w:top w:val="nil"/>
              <w:left w:val="nil"/>
              <w:bottom w:val="single" w:sz="4" w:space="0" w:color="auto"/>
              <w:right w:val="single" w:sz="4" w:space="0" w:color="auto"/>
            </w:tcBorders>
            <w:shd w:val="clear" w:color="auto" w:fill="auto"/>
            <w:noWrap/>
            <w:vAlign w:val="center"/>
            <w:hideMark/>
          </w:tcPr>
          <w:p w14:paraId="2A6C61CE" w14:textId="77777777" w:rsidR="0077315A" w:rsidRPr="005A748D" w:rsidRDefault="0077315A" w:rsidP="00CA32C6">
            <w:pPr>
              <w:jc w:val="right"/>
              <w:rPr>
                <w:rFonts w:ascii="Arial Narrow" w:hAnsi="Arial Narrow" w:cs="Calibri"/>
                <w:sz w:val="20"/>
                <w:lang w:val="bg-BG"/>
              </w:rPr>
            </w:pPr>
            <w:r w:rsidRPr="005A748D">
              <w:rPr>
                <w:rFonts w:ascii="Arial Narrow" w:hAnsi="Arial Narrow" w:cs="Calibri"/>
                <w:sz w:val="20"/>
                <w:lang w:val="bg-BG"/>
              </w:rPr>
              <w:t>4,48</w:t>
            </w:r>
          </w:p>
        </w:tc>
        <w:tc>
          <w:tcPr>
            <w:tcW w:w="434" w:type="pct"/>
            <w:tcBorders>
              <w:top w:val="nil"/>
              <w:left w:val="nil"/>
              <w:bottom w:val="single" w:sz="4" w:space="0" w:color="auto"/>
              <w:right w:val="single" w:sz="4" w:space="0" w:color="auto"/>
            </w:tcBorders>
            <w:shd w:val="clear" w:color="auto" w:fill="auto"/>
            <w:noWrap/>
            <w:vAlign w:val="center"/>
            <w:hideMark/>
          </w:tcPr>
          <w:p w14:paraId="1AF0F4C7" w14:textId="77777777" w:rsidR="0077315A" w:rsidRPr="005A748D" w:rsidRDefault="0077315A" w:rsidP="00CA32C6">
            <w:pPr>
              <w:jc w:val="right"/>
              <w:rPr>
                <w:rFonts w:ascii="Arial Narrow" w:hAnsi="Arial Narrow" w:cs="Calibri"/>
                <w:sz w:val="20"/>
                <w:lang w:val="bg-BG"/>
              </w:rPr>
            </w:pPr>
            <w:r w:rsidRPr="005A748D">
              <w:rPr>
                <w:rFonts w:ascii="Arial Narrow" w:hAnsi="Arial Narrow" w:cs="Calibri"/>
                <w:sz w:val="20"/>
                <w:lang w:val="bg-BG"/>
              </w:rPr>
              <w:t>3,18</w:t>
            </w:r>
          </w:p>
        </w:tc>
        <w:tc>
          <w:tcPr>
            <w:tcW w:w="531" w:type="pct"/>
            <w:tcBorders>
              <w:top w:val="nil"/>
              <w:left w:val="single" w:sz="4" w:space="0" w:color="auto"/>
              <w:bottom w:val="single" w:sz="4" w:space="0" w:color="auto"/>
              <w:right w:val="single" w:sz="4" w:space="0" w:color="auto"/>
            </w:tcBorders>
            <w:shd w:val="clear" w:color="auto" w:fill="auto"/>
            <w:noWrap/>
            <w:vAlign w:val="center"/>
            <w:hideMark/>
          </w:tcPr>
          <w:p w14:paraId="28EB4113" w14:textId="77777777" w:rsidR="0077315A" w:rsidRPr="005A748D" w:rsidRDefault="0077315A" w:rsidP="00CA32C6">
            <w:pPr>
              <w:jc w:val="right"/>
              <w:rPr>
                <w:rFonts w:ascii="Arial Narrow" w:hAnsi="Arial Narrow" w:cs="Calibri"/>
                <w:sz w:val="20"/>
                <w:lang w:val="bg-BG"/>
              </w:rPr>
            </w:pPr>
            <w:r w:rsidRPr="005F1E4E">
              <w:rPr>
                <w:rFonts w:ascii="Arial Narrow" w:hAnsi="Arial Narrow" w:cs="Calibri"/>
                <w:sz w:val="20"/>
              </w:rPr>
              <w:t>-29,0%</w:t>
            </w:r>
          </w:p>
        </w:tc>
        <w:tc>
          <w:tcPr>
            <w:tcW w:w="507" w:type="pct"/>
            <w:tcBorders>
              <w:top w:val="nil"/>
              <w:left w:val="nil"/>
              <w:bottom w:val="single" w:sz="4" w:space="0" w:color="auto"/>
              <w:right w:val="single" w:sz="4" w:space="0" w:color="auto"/>
            </w:tcBorders>
            <w:shd w:val="clear" w:color="auto" w:fill="auto"/>
            <w:noWrap/>
            <w:vAlign w:val="center"/>
            <w:hideMark/>
          </w:tcPr>
          <w:p w14:paraId="642C3404" w14:textId="77777777" w:rsidR="0077315A" w:rsidRPr="005A748D" w:rsidRDefault="0077315A" w:rsidP="00CA32C6">
            <w:pPr>
              <w:jc w:val="right"/>
              <w:rPr>
                <w:rFonts w:ascii="Arial Narrow" w:hAnsi="Arial Narrow" w:cs="Calibri"/>
                <w:sz w:val="20"/>
                <w:lang w:val="bg-BG"/>
              </w:rPr>
            </w:pPr>
            <w:r w:rsidRPr="005A748D">
              <w:rPr>
                <w:rFonts w:ascii="Arial Narrow" w:hAnsi="Arial Narrow" w:cs="Calibri"/>
                <w:sz w:val="20"/>
                <w:lang w:val="bg-BG"/>
              </w:rPr>
              <w:t>2 393 122</w:t>
            </w:r>
          </w:p>
        </w:tc>
        <w:tc>
          <w:tcPr>
            <w:tcW w:w="507" w:type="pct"/>
            <w:tcBorders>
              <w:top w:val="nil"/>
              <w:left w:val="nil"/>
              <w:bottom w:val="single" w:sz="4" w:space="0" w:color="auto"/>
              <w:right w:val="single" w:sz="4" w:space="0" w:color="auto"/>
            </w:tcBorders>
            <w:shd w:val="clear" w:color="auto" w:fill="auto"/>
            <w:noWrap/>
            <w:vAlign w:val="center"/>
            <w:hideMark/>
          </w:tcPr>
          <w:p w14:paraId="0ED46D8D" w14:textId="77777777" w:rsidR="0077315A" w:rsidRPr="005A748D" w:rsidRDefault="0077315A" w:rsidP="00CA32C6">
            <w:pPr>
              <w:jc w:val="right"/>
              <w:rPr>
                <w:rFonts w:ascii="Arial Narrow" w:hAnsi="Arial Narrow" w:cs="Calibri"/>
                <w:sz w:val="20"/>
                <w:lang w:val="bg-BG"/>
              </w:rPr>
            </w:pPr>
            <w:r w:rsidRPr="005A748D">
              <w:rPr>
                <w:rFonts w:ascii="Arial Narrow" w:hAnsi="Arial Narrow" w:cs="Calibri"/>
                <w:sz w:val="20"/>
                <w:lang w:val="bg-BG"/>
              </w:rPr>
              <w:t>1 597 935</w:t>
            </w:r>
          </w:p>
        </w:tc>
        <w:tc>
          <w:tcPr>
            <w:tcW w:w="501" w:type="pct"/>
            <w:tcBorders>
              <w:top w:val="nil"/>
              <w:left w:val="nil"/>
              <w:bottom w:val="single" w:sz="4" w:space="0" w:color="auto"/>
              <w:right w:val="single" w:sz="4" w:space="0" w:color="auto"/>
            </w:tcBorders>
            <w:shd w:val="clear" w:color="auto" w:fill="auto"/>
            <w:noWrap/>
            <w:vAlign w:val="center"/>
            <w:hideMark/>
          </w:tcPr>
          <w:p w14:paraId="067B6383" w14:textId="77777777" w:rsidR="0077315A" w:rsidRPr="005A748D" w:rsidRDefault="0077315A" w:rsidP="00CA32C6">
            <w:pPr>
              <w:jc w:val="right"/>
              <w:rPr>
                <w:rFonts w:ascii="Arial Narrow" w:hAnsi="Arial Narrow" w:cs="Calibri"/>
                <w:sz w:val="20"/>
                <w:lang w:val="bg-BG"/>
              </w:rPr>
            </w:pPr>
            <w:r w:rsidRPr="005A748D">
              <w:rPr>
                <w:rFonts w:ascii="Arial Narrow" w:hAnsi="Arial Narrow" w:cs="Calibri"/>
                <w:sz w:val="20"/>
                <w:lang w:val="bg-BG"/>
              </w:rPr>
              <w:t>-33,2%</w:t>
            </w:r>
          </w:p>
        </w:tc>
      </w:tr>
      <w:tr w:rsidR="0077315A" w:rsidRPr="00132ABA" w14:paraId="3361DA1E" w14:textId="77777777" w:rsidTr="00CD44F3">
        <w:trPr>
          <w:trHeight w:val="297"/>
        </w:trPr>
        <w:tc>
          <w:tcPr>
            <w:tcW w:w="543" w:type="pct"/>
            <w:tcBorders>
              <w:top w:val="nil"/>
              <w:left w:val="single" w:sz="4" w:space="0" w:color="auto"/>
              <w:bottom w:val="single" w:sz="4" w:space="0" w:color="auto"/>
              <w:right w:val="single" w:sz="4" w:space="0" w:color="auto"/>
            </w:tcBorders>
            <w:shd w:val="clear" w:color="auto" w:fill="auto"/>
            <w:vAlign w:val="center"/>
            <w:hideMark/>
          </w:tcPr>
          <w:p w14:paraId="4EDF9449" w14:textId="77777777" w:rsidR="0077315A" w:rsidRPr="005A748D" w:rsidRDefault="0077315A" w:rsidP="00CA32C6">
            <w:pPr>
              <w:rPr>
                <w:rFonts w:ascii="Arial Narrow" w:hAnsi="Arial Narrow" w:cs="Calibri"/>
                <w:sz w:val="20"/>
                <w:lang w:val="bg-BG"/>
              </w:rPr>
            </w:pPr>
            <w:r w:rsidRPr="005A748D">
              <w:rPr>
                <w:rFonts w:ascii="Arial Narrow" w:hAnsi="Arial Narrow" w:cs="Calibri"/>
                <w:sz w:val="20"/>
                <w:lang w:val="bg-BG"/>
              </w:rPr>
              <w:t>Ориз</w:t>
            </w:r>
          </w:p>
        </w:tc>
        <w:tc>
          <w:tcPr>
            <w:tcW w:w="506" w:type="pct"/>
            <w:tcBorders>
              <w:top w:val="nil"/>
              <w:left w:val="nil"/>
              <w:bottom w:val="single" w:sz="4" w:space="0" w:color="auto"/>
              <w:right w:val="single" w:sz="4" w:space="0" w:color="auto"/>
            </w:tcBorders>
            <w:shd w:val="clear" w:color="auto" w:fill="auto"/>
            <w:noWrap/>
            <w:vAlign w:val="center"/>
            <w:hideMark/>
          </w:tcPr>
          <w:p w14:paraId="72489C84" w14:textId="77777777" w:rsidR="0077315A" w:rsidRPr="005A748D" w:rsidRDefault="0077315A" w:rsidP="00CA32C6">
            <w:pPr>
              <w:jc w:val="right"/>
              <w:rPr>
                <w:rFonts w:ascii="Arial Narrow" w:hAnsi="Arial Narrow" w:cs="Calibri"/>
                <w:sz w:val="20"/>
                <w:lang w:val="bg-BG"/>
              </w:rPr>
            </w:pPr>
            <w:r w:rsidRPr="005A748D">
              <w:rPr>
                <w:rFonts w:ascii="Arial Narrow" w:hAnsi="Arial Narrow" w:cs="Calibri"/>
                <w:sz w:val="20"/>
                <w:lang w:val="bg-BG"/>
              </w:rPr>
              <w:t>11 203</w:t>
            </w:r>
          </w:p>
        </w:tc>
        <w:tc>
          <w:tcPr>
            <w:tcW w:w="506" w:type="pct"/>
            <w:tcBorders>
              <w:top w:val="nil"/>
              <w:left w:val="nil"/>
              <w:bottom w:val="single" w:sz="4" w:space="0" w:color="auto"/>
              <w:right w:val="single" w:sz="4" w:space="0" w:color="auto"/>
            </w:tcBorders>
            <w:shd w:val="clear" w:color="auto" w:fill="auto"/>
            <w:noWrap/>
            <w:vAlign w:val="center"/>
            <w:hideMark/>
          </w:tcPr>
          <w:p w14:paraId="66A978A6" w14:textId="77777777" w:rsidR="0077315A" w:rsidRPr="005A748D" w:rsidRDefault="0077315A" w:rsidP="00CA32C6">
            <w:pPr>
              <w:jc w:val="right"/>
              <w:rPr>
                <w:rFonts w:ascii="Arial Narrow" w:hAnsi="Arial Narrow" w:cs="Calibri"/>
                <w:sz w:val="20"/>
                <w:lang w:val="bg-BG"/>
              </w:rPr>
            </w:pPr>
            <w:r w:rsidRPr="005A748D">
              <w:rPr>
                <w:rFonts w:ascii="Arial Narrow" w:hAnsi="Arial Narrow" w:cs="Calibri"/>
                <w:sz w:val="20"/>
                <w:lang w:val="bg-BG"/>
              </w:rPr>
              <w:t>12 153</w:t>
            </w:r>
          </w:p>
        </w:tc>
        <w:tc>
          <w:tcPr>
            <w:tcW w:w="532" w:type="pct"/>
            <w:tcBorders>
              <w:top w:val="nil"/>
              <w:left w:val="nil"/>
              <w:bottom w:val="single" w:sz="4" w:space="0" w:color="auto"/>
              <w:right w:val="single" w:sz="4" w:space="0" w:color="auto"/>
            </w:tcBorders>
            <w:shd w:val="clear" w:color="auto" w:fill="auto"/>
            <w:noWrap/>
            <w:vAlign w:val="center"/>
            <w:hideMark/>
          </w:tcPr>
          <w:p w14:paraId="0E866C86" w14:textId="77777777" w:rsidR="0077315A" w:rsidRPr="005A748D" w:rsidRDefault="0077315A" w:rsidP="00CA32C6">
            <w:pPr>
              <w:jc w:val="right"/>
              <w:rPr>
                <w:rFonts w:ascii="Arial Narrow" w:hAnsi="Arial Narrow" w:cs="Calibri"/>
                <w:sz w:val="20"/>
                <w:lang w:val="bg-BG"/>
              </w:rPr>
            </w:pPr>
            <w:r w:rsidRPr="005A748D">
              <w:rPr>
                <w:rFonts w:ascii="Arial Narrow" w:hAnsi="Arial Narrow" w:cs="Calibri"/>
                <w:sz w:val="20"/>
                <w:lang w:val="bg-BG"/>
              </w:rPr>
              <w:t>8,5%</w:t>
            </w:r>
          </w:p>
        </w:tc>
        <w:tc>
          <w:tcPr>
            <w:tcW w:w="433" w:type="pct"/>
            <w:tcBorders>
              <w:top w:val="nil"/>
              <w:left w:val="nil"/>
              <w:bottom w:val="single" w:sz="4" w:space="0" w:color="auto"/>
              <w:right w:val="single" w:sz="4" w:space="0" w:color="auto"/>
            </w:tcBorders>
            <w:shd w:val="clear" w:color="auto" w:fill="auto"/>
            <w:noWrap/>
            <w:vAlign w:val="center"/>
            <w:hideMark/>
          </w:tcPr>
          <w:p w14:paraId="55FDF997" w14:textId="77777777" w:rsidR="0077315A" w:rsidRPr="005A748D" w:rsidRDefault="0077315A" w:rsidP="00CA32C6">
            <w:pPr>
              <w:jc w:val="right"/>
              <w:rPr>
                <w:rFonts w:ascii="Arial Narrow" w:hAnsi="Arial Narrow" w:cs="Calibri"/>
                <w:sz w:val="20"/>
                <w:lang w:val="bg-BG"/>
              </w:rPr>
            </w:pPr>
            <w:r w:rsidRPr="005A748D">
              <w:rPr>
                <w:rFonts w:ascii="Arial Narrow" w:hAnsi="Arial Narrow" w:cs="Calibri"/>
                <w:sz w:val="20"/>
                <w:lang w:val="bg-BG"/>
              </w:rPr>
              <w:t>6,08</w:t>
            </w:r>
          </w:p>
        </w:tc>
        <w:tc>
          <w:tcPr>
            <w:tcW w:w="434" w:type="pct"/>
            <w:tcBorders>
              <w:top w:val="nil"/>
              <w:left w:val="nil"/>
              <w:bottom w:val="single" w:sz="4" w:space="0" w:color="auto"/>
              <w:right w:val="single" w:sz="4" w:space="0" w:color="auto"/>
            </w:tcBorders>
            <w:shd w:val="clear" w:color="auto" w:fill="auto"/>
            <w:noWrap/>
            <w:vAlign w:val="center"/>
            <w:hideMark/>
          </w:tcPr>
          <w:p w14:paraId="0B5CF671" w14:textId="77777777" w:rsidR="0077315A" w:rsidRPr="005A748D" w:rsidRDefault="0077315A" w:rsidP="00CA32C6">
            <w:pPr>
              <w:jc w:val="right"/>
              <w:rPr>
                <w:rFonts w:ascii="Arial Narrow" w:hAnsi="Arial Narrow" w:cs="Calibri"/>
                <w:sz w:val="20"/>
                <w:lang w:val="bg-BG"/>
              </w:rPr>
            </w:pPr>
            <w:r w:rsidRPr="005A748D">
              <w:rPr>
                <w:rFonts w:ascii="Arial Narrow" w:hAnsi="Arial Narrow" w:cs="Calibri"/>
                <w:sz w:val="20"/>
                <w:lang w:val="bg-BG"/>
              </w:rPr>
              <w:t>5,68</w:t>
            </w:r>
          </w:p>
        </w:tc>
        <w:tc>
          <w:tcPr>
            <w:tcW w:w="531" w:type="pct"/>
            <w:tcBorders>
              <w:top w:val="nil"/>
              <w:left w:val="single" w:sz="4" w:space="0" w:color="auto"/>
              <w:bottom w:val="single" w:sz="4" w:space="0" w:color="auto"/>
              <w:right w:val="single" w:sz="4" w:space="0" w:color="auto"/>
            </w:tcBorders>
            <w:shd w:val="clear" w:color="auto" w:fill="auto"/>
            <w:noWrap/>
            <w:vAlign w:val="center"/>
            <w:hideMark/>
          </w:tcPr>
          <w:p w14:paraId="086705B3" w14:textId="77777777" w:rsidR="0077315A" w:rsidRPr="005A748D" w:rsidRDefault="0077315A" w:rsidP="00CA32C6">
            <w:pPr>
              <w:jc w:val="right"/>
              <w:rPr>
                <w:rFonts w:ascii="Arial Narrow" w:hAnsi="Arial Narrow" w:cs="Calibri"/>
                <w:sz w:val="20"/>
                <w:lang w:val="bg-BG"/>
              </w:rPr>
            </w:pPr>
            <w:r w:rsidRPr="005F1E4E">
              <w:rPr>
                <w:rFonts w:ascii="Arial Narrow" w:hAnsi="Arial Narrow" w:cs="Calibri"/>
                <w:sz w:val="20"/>
              </w:rPr>
              <w:t>-6,6%</w:t>
            </w:r>
          </w:p>
        </w:tc>
        <w:tc>
          <w:tcPr>
            <w:tcW w:w="507" w:type="pct"/>
            <w:tcBorders>
              <w:top w:val="nil"/>
              <w:left w:val="nil"/>
              <w:bottom w:val="single" w:sz="4" w:space="0" w:color="auto"/>
              <w:right w:val="single" w:sz="4" w:space="0" w:color="auto"/>
            </w:tcBorders>
            <w:shd w:val="clear" w:color="auto" w:fill="auto"/>
            <w:noWrap/>
            <w:vAlign w:val="center"/>
            <w:hideMark/>
          </w:tcPr>
          <w:p w14:paraId="735263CA" w14:textId="77777777" w:rsidR="0077315A" w:rsidRPr="005A748D" w:rsidRDefault="0077315A" w:rsidP="00CA32C6">
            <w:pPr>
              <w:jc w:val="right"/>
              <w:rPr>
                <w:rFonts w:ascii="Arial Narrow" w:hAnsi="Arial Narrow" w:cs="Calibri"/>
                <w:sz w:val="20"/>
                <w:lang w:val="bg-BG"/>
              </w:rPr>
            </w:pPr>
            <w:r w:rsidRPr="005A748D">
              <w:rPr>
                <w:rFonts w:ascii="Arial Narrow" w:hAnsi="Arial Narrow" w:cs="Calibri"/>
                <w:sz w:val="20"/>
                <w:lang w:val="bg-BG"/>
              </w:rPr>
              <w:t>68 070</w:t>
            </w:r>
          </w:p>
        </w:tc>
        <w:tc>
          <w:tcPr>
            <w:tcW w:w="507" w:type="pct"/>
            <w:tcBorders>
              <w:top w:val="nil"/>
              <w:left w:val="nil"/>
              <w:bottom w:val="single" w:sz="4" w:space="0" w:color="auto"/>
              <w:right w:val="single" w:sz="4" w:space="0" w:color="auto"/>
            </w:tcBorders>
            <w:shd w:val="clear" w:color="auto" w:fill="auto"/>
            <w:noWrap/>
            <w:vAlign w:val="center"/>
            <w:hideMark/>
          </w:tcPr>
          <w:p w14:paraId="3ACB2C54" w14:textId="77777777" w:rsidR="0077315A" w:rsidRPr="005A748D" w:rsidRDefault="0077315A" w:rsidP="00CA32C6">
            <w:pPr>
              <w:jc w:val="right"/>
              <w:rPr>
                <w:rFonts w:ascii="Arial Narrow" w:hAnsi="Arial Narrow" w:cs="Calibri"/>
                <w:sz w:val="20"/>
                <w:lang w:val="bg-BG"/>
              </w:rPr>
            </w:pPr>
            <w:r w:rsidRPr="005A748D">
              <w:rPr>
                <w:rFonts w:ascii="Arial Narrow" w:hAnsi="Arial Narrow" w:cs="Calibri"/>
                <w:sz w:val="20"/>
                <w:lang w:val="bg-BG"/>
              </w:rPr>
              <w:t>69 010</w:t>
            </w:r>
          </w:p>
        </w:tc>
        <w:tc>
          <w:tcPr>
            <w:tcW w:w="501" w:type="pct"/>
            <w:tcBorders>
              <w:top w:val="nil"/>
              <w:left w:val="nil"/>
              <w:bottom w:val="single" w:sz="4" w:space="0" w:color="auto"/>
              <w:right w:val="single" w:sz="4" w:space="0" w:color="auto"/>
            </w:tcBorders>
            <w:shd w:val="clear" w:color="auto" w:fill="auto"/>
            <w:noWrap/>
            <w:vAlign w:val="center"/>
            <w:hideMark/>
          </w:tcPr>
          <w:p w14:paraId="1F705461" w14:textId="77777777" w:rsidR="0077315A" w:rsidRPr="005A748D" w:rsidRDefault="0077315A" w:rsidP="00CA32C6">
            <w:pPr>
              <w:jc w:val="right"/>
              <w:rPr>
                <w:rFonts w:ascii="Arial Narrow" w:hAnsi="Arial Narrow" w:cs="Calibri"/>
                <w:sz w:val="20"/>
                <w:lang w:val="bg-BG"/>
              </w:rPr>
            </w:pPr>
            <w:r w:rsidRPr="005A748D">
              <w:rPr>
                <w:rFonts w:ascii="Arial Narrow" w:hAnsi="Arial Narrow" w:cs="Calibri"/>
                <w:sz w:val="20"/>
                <w:lang w:val="bg-BG"/>
              </w:rPr>
              <w:t>1,4%</w:t>
            </w:r>
          </w:p>
        </w:tc>
      </w:tr>
    </w:tbl>
    <w:p w14:paraId="4BF9724F" w14:textId="77777777" w:rsidR="0077315A" w:rsidRPr="00132ABA" w:rsidRDefault="0077315A" w:rsidP="0077315A">
      <w:pPr>
        <w:pStyle w:val="Default"/>
        <w:spacing w:after="120"/>
        <w:ind w:right="142"/>
        <w:jc w:val="both"/>
        <w:rPr>
          <w:rFonts w:ascii="Arial Narrow" w:hAnsi="Arial Narrow"/>
          <w:color w:val="auto"/>
          <w:highlight w:val="yellow"/>
        </w:rPr>
      </w:pPr>
      <w:r w:rsidRPr="0077315A">
        <w:rPr>
          <w:rFonts w:ascii="Arial Narrow" w:hAnsi="Arial Narrow"/>
          <w:i/>
          <w:color w:val="auto"/>
          <w:sz w:val="18"/>
          <w:szCs w:val="18"/>
        </w:rPr>
        <w:t>Източник:</w:t>
      </w:r>
      <w:r w:rsidRPr="00132ABA">
        <w:rPr>
          <w:rFonts w:ascii="Arial Narrow" w:hAnsi="Arial Narrow"/>
          <w:i/>
          <w:color w:val="auto"/>
          <w:sz w:val="18"/>
          <w:szCs w:val="18"/>
        </w:rPr>
        <w:t xml:space="preserve"> </w:t>
      </w:r>
      <w:r w:rsidRPr="00132ABA">
        <w:rPr>
          <w:rFonts w:ascii="Arial Narrow" w:hAnsi="Arial Narrow"/>
          <w:color w:val="auto"/>
          <w:sz w:val="18"/>
          <w:szCs w:val="18"/>
        </w:rPr>
        <w:t>МЗХ, отдел “Агростатистика</w:t>
      </w:r>
      <w:r w:rsidRPr="00132ABA" w:rsidDel="0080718B">
        <w:rPr>
          <w:rFonts w:ascii="Arial Narrow" w:hAnsi="Arial Narrow"/>
          <w:i/>
          <w:color w:val="auto"/>
          <w:sz w:val="18"/>
          <w:szCs w:val="18"/>
        </w:rPr>
        <w:t xml:space="preserve"> </w:t>
      </w:r>
    </w:p>
    <w:p w14:paraId="3BA3307E" w14:textId="77777777" w:rsidR="0077315A" w:rsidRPr="00132ABA" w:rsidRDefault="0077315A" w:rsidP="0077315A">
      <w:pPr>
        <w:pStyle w:val="Default"/>
        <w:widowControl w:val="0"/>
        <w:spacing w:after="120"/>
        <w:ind w:firstLine="709"/>
        <w:jc w:val="both"/>
        <w:rPr>
          <w:rFonts w:ascii="Arial Narrow" w:hAnsi="Arial Narrow"/>
          <w:b/>
          <w:color w:val="auto"/>
        </w:rPr>
      </w:pPr>
      <w:r w:rsidRPr="00132ABA">
        <w:rPr>
          <w:rFonts w:ascii="Arial Narrow" w:hAnsi="Arial Narrow"/>
          <w:b/>
          <w:color w:val="auto"/>
        </w:rPr>
        <w:t xml:space="preserve">Пшеница </w:t>
      </w:r>
    </w:p>
    <w:p w14:paraId="7E882BE9" w14:textId="77777777" w:rsidR="0077315A" w:rsidRPr="005F1E4E" w:rsidRDefault="0077315A" w:rsidP="0077315A">
      <w:pPr>
        <w:pStyle w:val="Default"/>
        <w:widowControl w:val="0"/>
        <w:spacing w:after="120"/>
        <w:ind w:firstLine="709"/>
        <w:jc w:val="both"/>
        <w:rPr>
          <w:rFonts w:ascii="Arial Narrow" w:hAnsi="Arial Narrow"/>
          <w:color w:val="auto"/>
        </w:rPr>
      </w:pPr>
      <w:r w:rsidRPr="00132ABA">
        <w:rPr>
          <w:rFonts w:ascii="Arial Narrow" w:hAnsi="Arial Narrow"/>
          <w:color w:val="auto"/>
        </w:rPr>
        <w:t>Производството на пшеница през 2024 г. възлиза на 6</w:t>
      </w:r>
      <w:r w:rsidRPr="005A748D">
        <w:rPr>
          <w:rFonts w:ascii="Arial Narrow" w:hAnsi="Arial Narrow"/>
          <w:color w:val="auto"/>
        </w:rPr>
        <w:t> </w:t>
      </w:r>
      <w:r w:rsidRPr="005F1E4E">
        <w:rPr>
          <w:rFonts w:ascii="Arial Narrow" w:hAnsi="Arial Narrow"/>
          <w:color w:val="auto"/>
        </w:rPr>
        <w:t>846</w:t>
      </w:r>
      <w:r w:rsidRPr="005A748D">
        <w:rPr>
          <w:rFonts w:ascii="Arial Narrow" w:hAnsi="Arial Narrow"/>
          <w:color w:val="auto"/>
        </w:rPr>
        <w:t>,</w:t>
      </w:r>
      <w:r w:rsidRPr="005F1E4E">
        <w:rPr>
          <w:rFonts w:ascii="Arial Narrow" w:hAnsi="Arial Narrow"/>
          <w:color w:val="auto"/>
        </w:rPr>
        <w:t xml:space="preserve">3 </w:t>
      </w:r>
      <w:r w:rsidRPr="005A748D">
        <w:rPr>
          <w:rFonts w:ascii="Arial Narrow" w:hAnsi="Arial Narrow"/>
          <w:color w:val="auto"/>
        </w:rPr>
        <w:t xml:space="preserve">хил. </w:t>
      </w:r>
      <w:r w:rsidRPr="005F1E4E">
        <w:rPr>
          <w:rFonts w:ascii="Arial Narrow" w:hAnsi="Arial Narrow"/>
          <w:color w:val="auto"/>
        </w:rPr>
        <w:t xml:space="preserve">тона – </w:t>
      </w:r>
      <w:r w:rsidRPr="005A748D">
        <w:rPr>
          <w:rFonts w:ascii="Arial Narrow" w:hAnsi="Arial Narrow"/>
          <w:color w:val="auto"/>
        </w:rPr>
        <w:t xml:space="preserve">с </w:t>
      </w:r>
      <w:r w:rsidRPr="005F1E4E">
        <w:rPr>
          <w:rFonts w:ascii="Arial Narrow" w:hAnsi="Arial Narrow"/>
          <w:color w:val="auto"/>
        </w:rPr>
        <w:t>3,4%</w:t>
      </w:r>
      <w:r w:rsidRPr="005A748D">
        <w:rPr>
          <w:rFonts w:ascii="Arial Narrow" w:hAnsi="Arial Narrow"/>
          <w:color w:val="auto"/>
        </w:rPr>
        <w:t xml:space="preserve"> повече </w:t>
      </w:r>
      <w:r w:rsidRPr="005F1E4E">
        <w:rPr>
          <w:rFonts w:ascii="Arial Narrow" w:hAnsi="Arial Narrow"/>
          <w:color w:val="auto"/>
        </w:rPr>
        <w:t xml:space="preserve">спрямо 2023 г., което се дължи на благоприятните климатични условия в процеса на развитие на културата, </w:t>
      </w:r>
      <w:r w:rsidRPr="00132ABA">
        <w:rPr>
          <w:rFonts w:ascii="Arial Narrow" w:hAnsi="Arial Narrow"/>
          <w:color w:val="auto"/>
        </w:rPr>
        <w:t>довели до повишение на средния добив с 5,5%. Площите, засети с пшеница през 2024 г., са 1 197 036 ха, с 2,2% по-малко на годишна база, като от тях са реколтирани 1 194 507 ха (-2,2% спрямо година по-рано). Относителният дял на площите с пшеница спрямо общия размер на обработваемата земя е 3</w:t>
      </w:r>
      <w:r w:rsidRPr="005A748D">
        <w:rPr>
          <w:rFonts w:ascii="Arial Narrow" w:hAnsi="Arial Narrow"/>
          <w:color w:val="auto"/>
        </w:rPr>
        <w:t>4</w:t>
      </w:r>
      <w:r w:rsidRPr="005F1E4E">
        <w:rPr>
          <w:rFonts w:ascii="Arial Narrow" w:hAnsi="Arial Narrow"/>
          <w:color w:val="auto"/>
        </w:rPr>
        <w:t>,</w:t>
      </w:r>
      <w:r w:rsidRPr="005A748D">
        <w:rPr>
          <w:rFonts w:ascii="Arial Narrow" w:hAnsi="Arial Narrow"/>
          <w:color w:val="auto"/>
        </w:rPr>
        <w:t>7</w:t>
      </w:r>
      <w:r w:rsidRPr="005F1E4E">
        <w:rPr>
          <w:rFonts w:ascii="Arial Narrow" w:hAnsi="Arial Narrow"/>
          <w:color w:val="auto"/>
        </w:rPr>
        <w:t>%.</w:t>
      </w:r>
    </w:p>
    <w:p w14:paraId="49097731" w14:textId="77777777" w:rsidR="0077315A" w:rsidRPr="005F1E4E" w:rsidRDefault="0077315A" w:rsidP="0077315A">
      <w:pPr>
        <w:pStyle w:val="Default"/>
        <w:widowControl w:val="0"/>
        <w:spacing w:after="120"/>
        <w:ind w:firstLine="709"/>
        <w:jc w:val="both"/>
        <w:rPr>
          <w:rFonts w:ascii="Arial Narrow" w:hAnsi="Arial Narrow"/>
          <w:color w:val="auto"/>
          <w:highlight w:val="yellow"/>
        </w:rPr>
      </w:pPr>
      <w:r w:rsidRPr="00132ABA">
        <w:rPr>
          <w:rFonts w:ascii="Arial Narrow" w:hAnsi="Arial Narrow"/>
          <w:color w:val="auto"/>
        </w:rPr>
        <w:t>С най-голям дял от реколтираните площи с пшеница в страната е Северозападн</w:t>
      </w:r>
      <w:r>
        <w:rPr>
          <w:rFonts w:ascii="Arial Narrow" w:hAnsi="Arial Narrow"/>
          <w:color w:val="auto"/>
        </w:rPr>
        <w:t>ият</w:t>
      </w:r>
      <w:r w:rsidRPr="00132ABA">
        <w:rPr>
          <w:rFonts w:ascii="Arial Narrow" w:hAnsi="Arial Narrow"/>
          <w:color w:val="auto"/>
        </w:rPr>
        <w:t xml:space="preserve"> район – 22,6%, следван от Североизточния – с 22,</w:t>
      </w:r>
      <w:r w:rsidRPr="005A748D">
        <w:rPr>
          <w:rFonts w:ascii="Arial Narrow" w:hAnsi="Arial Narrow"/>
          <w:color w:val="auto"/>
        </w:rPr>
        <w:t>3</w:t>
      </w:r>
      <w:r w:rsidRPr="005F1E4E">
        <w:rPr>
          <w:rFonts w:ascii="Arial Narrow" w:hAnsi="Arial Narrow"/>
          <w:color w:val="auto"/>
        </w:rPr>
        <w:t>% и Югоизточния – с 20,</w:t>
      </w:r>
      <w:r w:rsidRPr="005A748D">
        <w:rPr>
          <w:rFonts w:ascii="Arial Narrow" w:hAnsi="Arial Narrow"/>
          <w:color w:val="auto"/>
        </w:rPr>
        <w:t>7</w:t>
      </w:r>
      <w:r w:rsidRPr="005F1E4E">
        <w:rPr>
          <w:rFonts w:ascii="Arial Narrow" w:hAnsi="Arial Narrow"/>
          <w:color w:val="auto"/>
        </w:rPr>
        <w:t xml:space="preserve">%. </w:t>
      </w:r>
    </w:p>
    <w:p w14:paraId="0B2E5BDC" w14:textId="77777777" w:rsidR="00CD44F3" w:rsidRPr="00CD44F3" w:rsidRDefault="0077315A" w:rsidP="00CD44F3">
      <w:pPr>
        <w:pStyle w:val="Default"/>
        <w:widowControl w:val="0"/>
        <w:spacing w:after="120"/>
        <w:ind w:firstLine="709"/>
        <w:jc w:val="both"/>
        <w:rPr>
          <w:rFonts w:ascii="Arial Narrow" w:hAnsi="Arial Narrow"/>
          <w:color w:val="auto"/>
        </w:rPr>
      </w:pPr>
      <w:r w:rsidRPr="00132ABA">
        <w:rPr>
          <w:rFonts w:ascii="Arial Narrow" w:hAnsi="Arial Narrow"/>
          <w:color w:val="auto"/>
        </w:rPr>
        <w:t xml:space="preserve">По данни от анкета БАНСИК на отдел „Агростатистика“, през 2024 г. отглеждане на пшеница след пшеница има върху </w:t>
      </w:r>
      <w:r w:rsidRPr="005A748D">
        <w:rPr>
          <w:rFonts w:ascii="Arial Narrow" w:hAnsi="Arial Narrow"/>
          <w:color w:val="auto"/>
        </w:rPr>
        <w:t>6</w:t>
      </w:r>
      <w:r w:rsidRPr="005F1E4E">
        <w:rPr>
          <w:rFonts w:ascii="Arial Narrow" w:hAnsi="Arial Narrow"/>
          <w:color w:val="auto"/>
        </w:rPr>
        <w:t>,</w:t>
      </w:r>
      <w:r w:rsidRPr="005A748D">
        <w:rPr>
          <w:rFonts w:ascii="Arial Narrow" w:hAnsi="Arial Narrow"/>
          <w:color w:val="auto"/>
        </w:rPr>
        <w:t>4</w:t>
      </w:r>
      <w:r w:rsidRPr="005F1E4E">
        <w:rPr>
          <w:rFonts w:ascii="Arial Narrow" w:hAnsi="Arial Narrow"/>
          <w:color w:val="auto"/>
        </w:rPr>
        <w:t>%</w:t>
      </w:r>
      <w:r w:rsidRPr="005A748D">
        <w:rPr>
          <w:rFonts w:ascii="Arial Narrow" w:hAnsi="Arial Narrow"/>
          <w:color w:val="auto"/>
        </w:rPr>
        <w:t xml:space="preserve"> от площите със зърнената култура</w:t>
      </w:r>
      <w:r w:rsidRPr="005F1E4E">
        <w:rPr>
          <w:rFonts w:ascii="Arial Narrow" w:hAnsi="Arial Narrow"/>
          <w:color w:val="auto"/>
        </w:rPr>
        <w:t xml:space="preserve">, при </w:t>
      </w:r>
      <w:r w:rsidRPr="005A748D">
        <w:rPr>
          <w:rFonts w:ascii="Arial Narrow" w:hAnsi="Arial Narrow"/>
          <w:color w:val="auto"/>
        </w:rPr>
        <w:t>4</w:t>
      </w:r>
      <w:r w:rsidRPr="005F1E4E">
        <w:rPr>
          <w:rFonts w:ascii="Arial Narrow" w:hAnsi="Arial Narrow"/>
          <w:color w:val="auto"/>
        </w:rPr>
        <w:t>,</w:t>
      </w:r>
      <w:r w:rsidRPr="005A748D">
        <w:rPr>
          <w:rFonts w:ascii="Arial Narrow" w:hAnsi="Arial Narrow"/>
          <w:color w:val="auto"/>
        </w:rPr>
        <w:t>8</w:t>
      </w:r>
      <w:r w:rsidRPr="005F1E4E">
        <w:rPr>
          <w:rFonts w:ascii="Arial Narrow" w:hAnsi="Arial Narrow"/>
          <w:color w:val="auto"/>
        </w:rPr>
        <w:t>% през предходната година. Върху около 92</w:t>
      </w:r>
      <w:r w:rsidRPr="00132ABA">
        <w:rPr>
          <w:rFonts w:ascii="Arial Narrow" w:hAnsi="Arial Narrow"/>
          <w:color w:val="auto"/>
        </w:rPr>
        <w:t>,7% от площите с пшеница – реколта `2024, е извършен добър сеитбооборот. След окопни култури са засети 79,8% от площите с пшеница, при 79,3% през 2023 г. В сеитбооборота на пшеницата през годината са включени 3,2% угари.</w:t>
      </w:r>
    </w:p>
    <w:p w14:paraId="0C86BE39" w14:textId="77777777" w:rsidR="0077315A" w:rsidRPr="00132ABA" w:rsidRDefault="0077315A" w:rsidP="0077315A">
      <w:pPr>
        <w:pStyle w:val="Default"/>
        <w:widowControl w:val="0"/>
        <w:spacing w:after="120"/>
        <w:ind w:firstLine="709"/>
        <w:jc w:val="both"/>
        <w:rPr>
          <w:rFonts w:ascii="Arial Narrow" w:hAnsi="Arial Narrow"/>
          <w:b/>
          <w:color w:val="auto"/>
        </w:rPr>
      </w:pPr>
      <w:r w:rsidRPr="00132ABA">
        <w:rPr>
          <w:rFonts w:ascii="Arial Narrow" w:hAnsi="Arial Narrow"/>
          <w:b/>
          <w:color w:val="auto"/>
        </w:rPr>
        <w:t>Ръж и тритикале</w:t>
      </w:r>
    </w:p>
    <w:p w14:paraId="283C4622" w14:textId="77777777" w:rsidR="0077315A" w:rsidRPr="00132ABA" w:rsidRDefault="0077315A" w:rsidP="0077315A">
      <w:pPr>
        <w:pStyle w:val="Default"/>
        <w:widowControl w:val="0"/>
        <w:spacing w:after="120"/>
        <w:ind w:firstLine="709"/>
        <w:jc w:val="both"/>
        <w:rPr>
          <w:rFonts w:ascii="Arial Narrow" w:hAnsi="Arial Narrow"/>
          <w:color w:val="auto"/>
        </w:rPr>
      </w:pPr>
      <w:r w:rsidRPr="00132ABA">
        <w:rPr>
          <w:rFonts w:ascii="Arial Narrow" w:hAnsi="Arial Narrow"/>
          <w:color w:val="auto"/>
        </w:rPr>
        <w:t xml:space="preserve">Произведеното зърно от ръж </w:t>
      </w:r>
      <w:r>
        <w:rPr>
          <w:rFonts w:ascii="Arial Narrow" w:hAnsi="Arial Narrow"/>
          <w:color w:val="auto"/>
        </w:rPr>
        <w:t>-</w:t>
      </w:r>
      <w:r w:rsidRPr="00132ABA">
        <w:rPr>
          <w:rFonts w:ascii="Arial Narrow" w:hAnsi="Arial Narrow"/>
          <w:color w:val="auto"/>
        </w:rPr>
        <w:t xml:space="preserve"> реколта `2024 е със 7,6% под нивото от предходната година, в резултат от намаление на реколтираните площи с 15,9%.</w:t>
      </w:r>
    </w:p>
    <w:p w14:paraId="2B5B4D63" w14:textId="77777777" w:rsidR="0077315A" w:rsidRPr="005F1E4E" w:rsidRDefault="0077315A" w:rsidP="0077315A">
      <w:pPr>
        <w:pStyle w:val="Default"/>
        <w:widowControl w:val="0"/>
        <w:spacing w:after="120"/>
        <w:ind w:firstLine="709"/>
        <w:jc w:val="both"/>
        <w:rPr>
          <w:rFonts w:ascii="Arial Narrow" w:hAnsi="Arial Narrow"/>
          <w:color w:val="auto"/>
        </w:rPr>
      </w:pPr>
      <w:r w:rsidRPr="00132ABA">
        <w:rPr>
          <w:rFonts w:ascii="Arial Narrow" w:hAnsi="Arial Narrow"/>
          <w:color w:val="auto"/>
        </w:rPr>
        <w:lastRenderedPageBreak/>
        <w:t>Реколтираните площи с тритикале през 2024 г. намаляват с 40,6% спрямо 2023 г., а средният добив</w:t>
      </w:r>
      <w:r>
        <w:rPr>
          <w:rFonts w:ascii="Arial Narrow" w:hAnsi="Arial Narrow"/>
          <w:color w:val="auto"/>
        </w:rPr>
        <w:t xml:space="preserve"> -</w:t>
      </w:r>
      <w:r w:rsidRPr="005A748D">
        <w:rPr>
          <w:rFonts w:ascii="Arial Narrow" w:hAnsi="Arial Narrow"/>
          <w:color w:val="auto"/>
        </w:rPr>
        <w:t xml:space="preserve"> </w:t>
      </w:r>
      <w:r w:rsidRPr="005F1E4E">
        <w:rPr>
          <w:rFonts w:ascii="Arial Narrow" w:hAnsi="Arial Narrow"/>
          <w:color w:val="auto"/>
        </w:rPr>
        <w:t>с</w:t>
      </w:r>
      <w:r w:rsidRPr="005A748D">
        <w:rPr>
          <w:rFonts w:ascii="Arial Narrow" w:hAnsi="Arial Narrow"/>
          <w:color w:val="auto"/>
        </w:rPr>
        <w:t xml:space="preserve"> </w:t>
      </w:r>
      <w:r w:rsidRPr="005F1E4E">
        <w:rPr>
          <w:rFonts w:ascii="Arial Narrow" w:hAnsi="Arial Narrow"/>
          <w:color w:val="auto"/>
        </w:rPr>
        <w:t>5,3</w:t>
      </w:r>
      <w:r w:rsidRPr="00132ABA">
        <w:rPr>
          <w:rFonts w:ascii="Arial Narrow" w:hAnsi="Arial Narrow"/>
          <w:color w:val="auto"/>
        </w:rPr>
        <w:t>%</w:t>
      </w:r>
      <w:r w:rsidRPr="005A748D">
        <w:rPr>
          <w:rFonts w:ascii="Arial Narrow" w:hAnsi="Arial Narrow"/>
          <w:color w:val="auto"/>
        </w:rPr>
        <w:t xml:space="preserve">, което води до спад на </w:t>
      </w:r>
      <w:r w:rsidRPr="005F1E4E">
        <w:rPr>
          <w:rFonts w:ascii="Arial Narrow" w:hAnsi="Arial Narrow"/>
          <w:color w:val="auto"/>
        </w:rPr>
        <w:t xml:space="preserve">производството </w:t>
      </w:r>
      <w:r w:rsidRPr="00132ABA">
        <w:rPr>
          <w:rFonts w:ascii="Arial Narrow" w:hAnsi="Arial Narrow"/>
          <w:color w:val="auto"/>
        </w:rPr>
        <w:t>с 43,6%</w:t>
      </w:r>
      <w:r>
        <w:rPr>
          <w:rFonts w:ascii="Arial Narrow" w:hAnsi="Arial Narrow"/>
          <w:color w:val="auto"/>
        </w:rPr>
        <w:t>, до 63 728 тона</w:t>
      </w:r>
      <w:r w:rsidRPr="005A748D">
        <w:rPr>
          <w:rFonts w:ascii="Arial Narrow" w:hAnsi="Arial Narrow"/>
          <w:color w:val="auto"/>
        </w:rPr>
        <w:t xml:space="preserve">. </w:t>
      </w:r>
    </w:p>
    <w:p w14:paraId="68B489EE" w14:textId="77777777" w:rsidR="0077315A" w:rsidRPr="00132ABA" w:rsidRDefault="0077315A" w:rsidP="0077315A">
      <w:pPr>
        <w:pStyle w:val="Default"/>
        <w:widowControl w:val="0"/>
        <w:spacing w:after="120"/>
        <w:ind w:firstLine="709"/>
        <w:jc w:val="both"/>
        <w:rPr>
          <w:rFonts w:ascii="Arial Narrow" w:hAnsi="Arial Narrow"/>
          <w:color w:val="auto"/>
        </w:rPr>
      </w:pPr>
      <w:r w:rsidRPr="00132ABA">
        <w:rPr>
          <w:rFonts w:ascii="Arial Narrow" w:hAnsi="Arial Narrow"/>
          <w:color w:val="auto"/>
        </w:rPr>
        <w:t>Най-много реколтирани площи с ръж и тритикале се наблюдават в Югоизточн</w:t>
      </w:r>
      <w:r w:rsidRPr="005A748D">
        <w:rPr>
          <w:rFonts w:ascii="Arial Narrow" w:hAnsi="Arial Narrow"/>
          <w:color w:val="auto"/>
        </w:rPr>
        <w:t>ия</w:t>
      </w:r>
      <w:r w:rsidRPr="005F1E4E">
        <w:rPr>
          <w:rFonts w:ascii="Arial Narrow" w:hAnsi="Arial Narrow"/>
          <w:color w:val="auto"/>
        </w:rPr>
        <w:t xml:space="preserve"> </w:t>
      </w:r>
      <w:r>
        <w:rPr>
          <w:rFonts w:ascii="Arial Narrow" w:hAnsi="Arial Narrow"/>
          <w:color w:val="auto"/>
        </w:rPr>
        <w:t>район -</w:t>
      </w:r>
      <w:r w:rsidRPr="005F1E4E">
        <w:rPr>
          <w:rFonts w:ascii="Arial Narrow" w:hAnsi="Arial Narrow"/>
          <w:color w:val="auto"/>
        </w:rPr>
        <w:t xml:space="preserve"> съответно </w:t>
      </w:r>
      <w:r w:rsidRPr="00132ABA">
        <w:rPr>
          <w:rFonts w:ascii="Arial Narrow" w:hAnsi="Arial Narrow"/>
          <w:color w:val="auto"/>
        </w:rPr>
        <w:t xml:space="preserve">2 437 ха и 5 993 ха. </w:t>
      </w:r>
    </w:p>
    <w:p w14:paraId="711C6DCA" w14:textId="77777777" w:rsidR="0077315A" w:rsidRPr="00132ABA" w:rsidRDefault="0077315A" w:rsidP="0077315A">
      <w:pPr>
        <w:pStyle w:val="Default"/>
        <w:widowControl w:val="0"/>
        <w:spacing w:after="120"/>
        <w:ind w:firstLine="709"/>
        <w:jc w:val="both"/>
        <w:rPr>
          <w:rFonts w:ascii="Arial Narrow" w:hAnsi="Arial Narrow"/>
          <w:b/>
          <w:color w:val="auto"/>
        </w:rPr>
      </w:pPr>
      <w:r w:rsidRPr="00132ABA">
        <w:rPr>
          <w:rFonts w:ascii="Arial Narrow" w:hAnsi="Arial Narrow"/>
          <w:b/>
          <w:color w:val="auto"/>
        </w:rPr>
        <w:t xml:space="preserve">Ечемик </w:t>
      </w:r>
    </w:p>
    <w:p w14:paraId="6AACC1A9" w14:textId="77777777" w:rsidR="0077315A" w:rsidRPr="00132ABA" w:rsidRDefault="0077315A" w:rsidP="0077315A">
      <w:pPr>
        <w:pStyle w:val="Default"/>
        <w:widowControl w:val="0"/>
        <w:spacing w:after="120"/>
        <w:ind w:firstLine="709"/>
        <w:jc w:val="both"/>
        <w:rPr>
          <w:rFonts w:ascii="Arial Narrow" w:hAnsi="Arial Narrow"/>
          <w:color w:val="auto"/>
        </w:rPr>
      </w:pPr>
      <w:r w:rsidRPr="005A748D">
        <w:rPr>
          <w:rFonts w:ascii="Arial Narrow" w:hAnsi="Arial Narrow"/>
          <w:color w:val="auto"/>
        </w:rPr>
        <w:t>П</w:t>
      </w:r>
      <w:r w:rsidRPr="005F1E4E">
        <w:rPr>
          <w:rFonts w:ascii="Arial Narrow" w:hAnsi="Arial Narrow"/>
          <w:color w:val="auto"/>
        </w:rPr>
        <w:t xml:space="preserve">рез 2024 г. </w:t>
      </w:r>
      <w:r w:rsidRPr="005A748D">
        <w:rPr>
          <w:rFonts w:ascii="Arial Narrow" w:hAnsi="Arial Narrow"/>
          <w:color w:val="auto"/>
        </w:rPr>
        <w:t xml:space="preserve">в страната са произведени </w:t>
      </w:r>
      <w:r w:rsidRPr="005F1E4E">
        <w:rPr>
          <w:rFonts w:ascii="Arial Narrow" w:hAnsi="Arial Narrow"/>
          <w:color w:val="auto"/>
        </w:rPr>
        <w:t>1</w:t>
      </w:r>
      <w:r w:rsidRPr="005A748D">
        <w:rPr>
          <w:rFonts w:ascii="Arial Narrow" w:hAnsi="Arial Narrow"/>
          <w:color w:val="auto"/>
        </w:rPr>
        <w:t> </w:t>
      </w:r>
      <w:r w:rsidRPr="005F1E4E">
        <w:rPr>
          <w:rFonts w:ascii="Arial Narrow" w:hAnsi="Arial Narrow"/>
          <w:color w:val="auto"/>
        </w:rPr>
        <w:t>052</w:t>
      </w:r>
      <w:r w:rsidRPr="005A748D">
        <w:rPr>
          <w:rFonts w:ascii="Arial Narrow" w:hAnsi="Arial Narrow"/>
          <w:color w:val="auto"/>
        </w:rPr>
        <w:t>,5</w:t>
      </w:r>
      <w:r w:rsidRPr="005F1E4E">
        <w:rPr>
          <w:rFonts w:ascii="Arial Narrow" w:hAnsi="Arial Narrow"/>
          <w:color w:val="auto"/>
        </w:rPr>
        <w:t xml:space="preserve"> </w:t>
      </w:r>
      <w:r w:rsidRPr="005A748D">
        <w:rPr>
          <w:rFonts w:ascii="Arial Narrow" w:hAnsi="Arial Narrow"/>
          <w:color w:val="auto"/>
        </w:rPr>
        <w:t xml:space="preserve">хил. </w:t>
      </w:r>
      <w:r w:rsidRPr="005F1E4E">
        <w:rPr>
          <w:rFonts w:ascii="Arial Narrow" w:hAnsi="Arial Narrow"/>
          <w:color w:val="auto"/>
        </w:rPr>
        <w:t>тона</w:t>
      </w:r>
      <w:r w:rsidRPr="005A748D">
        <w:rPr>
          <w:rFonts w:ascii="Arial Narrow" w:hAnsi="Arial Narrow"/>
          <w:color w:val="auto"/>
        </w:rPr>
        <w:t xml:space="preserve"> ечемик</w:t>
      </w:r>
      <w:r w:rsidRPr="005F1E4E">
        <w:rPr>
          <w:rFonts w:ascii="Arial Narrow" w:hAnsi="Arial Narrow"/>
          <w:color w:val="auto"/>
        </w:rPr>
        <w:t>. Това представлява ръст от 36,6% на годишна база, като се отчита увеличение ка</w:t>
      </w:r>
      <w:r w:rsidRPr="00132ABA">
        <w:rPr>
          <w:rFonts w:ascii="Arial Narrow" w:hAnsi="Arial Narrow"/>
          <w:color w:val="auto"/>
        </w:rPr>
        <w:t>к</w:t>
      </w:r>
      <w:r>
        <w:rPr>
          <w:rFonts w:ascii="Arial Narrow" w:hAnsi="Arial Narrow"/>
          <w:color w:val="auto"/>
        </w:rPr>
        <w:t>то на реколтираните площи -</w:t>
      </w:r>
      <w:r w:rsidRPr="00132ABA">
        <w:rPr>
          <w:rFonts w:ascii="Arial Narrow" w:hAnsi="Arial Narrow"/>
          <w:color w:val="auto"/>
        </w:rPr>
        <w:t xml:space="preserve"> с 30,9%, така и на средния добив</w:t>
      </w:r>
      <w:r>
        <w:rPr>
          <w:rFonts w:ascii="Arial Narrow" w:hAnsi="Arial Narrow"/>
          <w:color w:val="auto"/>
        </w:rPr>
        <w:t xml:space="preserve"> -</w:t>
      </w:r>
      <w:r w:rsidRPr="00132ABA">
        <w:rPr>
          <w:rFonts w:ascii="Arial Narrow" w:hAnsi="Arial Narrow"/>
          <w:color w:val="auto"/>
        </w:rPr>
        <w:t xml:space="preserve"> с 4,3%.</w:t>
      </w:r>
    </w:p>
    <w:p w14:paraId="008E642A" w14:textId="77777777" w:rsidR="0077315A" w:rsidRPr="00132ABA" w:rsidRDefault="0077315A" w:rsidP="0077315A">
      <w:pPr>
        <w:pStyle w:val="Default"/>
        <w:widowControl w:val="0"/>
        <w:spacing w:after="120"/>
        <w:ind w:firstLine="709"/>
        <w:jc w:val="both"/>
        <w:rPr>
          <w:rFonts w:ascii="Arial Narrow" w:hAnsi="Arial Narrow"/>
          <w:color w:val="auto"/>
        </w:rPr>
      </w:pPr>
      <w:r w:rsidRPr="00132ABA">
        <w:rPr>
          <w:rFonts w:ascii="Arial Narrow" w:hAnsi="Arial Narrow"/>
          <w:color w:val="auto"/>
        </w:rPr>
        <w:t xml:space="preserve">Най-много площи с ечемик през 2024 г. са реколтирани в Югоизточния район (24,3% от общия </w:t>
      </w:r>
      <w:r>
        <w:rPr>
          <w:rFonts w:ascii="Arial Narrow" w:hAnsi="Arial Narrow"/>
          <w:color w:val="auto"/>
        </w:rPr>
        <w:t xml:space="preserve">размер </w:t>
      </w:r>
      <w:r w:rsidRPr="00132ABA">
        <w:rPr>
          <w:rFonts w:ascii="Arial Narrow" w:hAnsi="Arial Narrow"/>
          <w:color w:val="auto"/>
        </w:rPr>
        <w:t xml:space="preserve">за страната), следван от Североизточния район (23,4%). </w:t>
      </w:r>
    </w:p>
    <w:p w14:paraId="71A544B8" w14:textId="77777777" w:rsidR="0077315A" w:rsidRPr="00132ABA" w:rsidRDefault="0077315A" w:rsidP="0077315A">
      <w:pPr>
        <w:pStyle w:val="Default"/>
        <w:widowControl w:val="0"/>
        <w:spacing w:after="120"/>
        <w:ind w:firstLine="709"/>
        <w:jc w:val="both"/>
        <w:rPr>
          <w:rFonts w:ascii="Arial Narrow" w:hAnsi="Arial Narrow"/>
          <w:color w:val="auto"/>
        </w:rPr>
      </w:pPr>
      <w:r w:rsidRPr="00132ABA">
        <w:rPr>
          <w:rFonts w:ascii="Arial Narrow" w:hAnsi="Arial Narrow"/>
          <w:color w:val="auto"/>
        </w:rPr>
        <w:t xml:space="preserve">От гледна точка на предшествениците, добър сеитбооборот е направен върху 72,9% от площите с ечемик. Най-висок отново е делът на </w:t>
      </w:r>
      <w:r>
        <w:rPr>
          <w:rFonts w:ascii="Arial Narrow" w:hAnsi="Arial Narrow"/>
          <w:color w:val="auto"/>
        </w:rPr>
        <w:t>слънчогледа -</w:t>
      </w:r>
      <w:r w:rsidRPr="00132ABA">
        <w:rPr>
          <w:rFonts w:ascii="Arial Narrow" w:hAnsi="Arial Narrow"/>
          <w:color w:val="auto"/>
        </w:rPr>
        <w:t xml:space="preserve"> 40,9%. Угарите, включени в сеитбооборота на ечемика през 2024 г., са 5,6%. След окопни култури са засети 58,5% от площите с ечемик.</w:t>
      </w:r>
    </w:p>
    <w:p w14:paraId="6C4A4027" w14:textId="77777777" w:rsidR="0077315A" w:rsidRPr="00132ABA" w:rsidRDefault="0077315A" w:rsidP="0077315A">
      <w:pPr>
        <w:pStyle w:val="Default"/>
        <w:widowControl w:val="0"/>
        <w:spacing w:after="120"/>
        <w:ind w:firstLine="709"/>
        <w:jc w:val="both"/>
        <w:rPr>
          <w:rFonts w:ascii="Arial Narrow" w:hAnsi="Arial Narrow"/>
          <w:b/>
          <w:color w:val="auto"/>
        </w:rPr>
      </w:pPr>
      <w:r w:rsidRPr="00132ABA">
        <w:rPr>
          <w:rFonts w:ascii="Arial Narrow" w:hAnsi="Arial Narrow"/>
          <w:b/>
          <w:color w:val="auto"/>
        </w:rPr>
        <w:t xml:space="preserve">Овес </w:t>
      </w:r>
    </w:p>
    <w:p w14:paraId="778C008A" w14:textId="77777777" w:rsidR="0077315A" w:rsidRPr="005A748D" w:rsidRDefault="0077315A" w:rsidP="0077315A">
      <w:pPr>
        <w:pStyle w:val="Default"/>
        <w:widowControl w:val="0"/>
        <w:spacing w:after="120"/>
        <w:ind w:firstLine="709"/>
        <w:jc w:val="both"/>
        <w:rPr>
          <w:rFonts w:ascii="Arial Narrow" w:hAnsi="Arial Narrow"/>
          <w:color w:val="auto"/>
        </w:rPr>
      </w:pPr>
      <w:r w:rsidRPr="00132ABA">
        <w:rPr>
          <w:rFonts w:ascii="Arial Narrow" w:hAnsi="Arial Narrow"/>
          <w:color w:val="auto"/>
        </w:rPr>
        <w:t>При 81,3% повече реколтирани площи и с 0,</w:t>
      </w:r>
      <w:r w:rsidRPr="005A748D">
        <w:rPr>
          <w:rFonts w:ascii="Arial Narrow" w:hAnsi="Arial Narrow"/>
          <w:color w:val="auto"/>
        </w:rPr>
        <w:t>4</w:t>
      </w:r>
      <w:r w:rsidRPr="005F1E4E">
        <w:rPr>
          <w:rFonts w:ascii="Arial Narrow" w:hAnsi="Arial Narrow"/>
          <w:color w:val="auto"/>
        </w:rPr>
        <w:t xml:space="preserve">% по-висок среден добив от хектар, </w:t>
      </w:r>
      <w:r>
        <w:rPr>
          <w:rFonts w:ascii="Arial Narrow" w:hAnsi="Arial Narrow"/>
          <w:color w:val="auto"/>
        </w:rPr>
        <w:t xml:space="preserve">през 2024 г. </w:t>
      </w:r>
      <w:r w:rsidRPr="005F1E4E">
        <w:rPr>
          <w:rFonts w:ascii="Arial Narrow" w:hAnsi="Arial Narrow"/>
          <w:color w:val="auto"/>
        </w:rPr>
        <w:t xml:space="preserve">производството </w:t>
      </w:r>
      <w:r>
        <w:rPr>
          <w:rFonts w:ascii="Arial Narrow" w:hAnsi="Arial Narrow"/>
          <w:color w:val="auto"/>
        </w:rPr>
        <w:t xml:space="preserve">на овес </w:t>
      </w:r>
      <w:r w:rsidRPr="005F1E4E">
        <w:rPr>
          <w:rFonts w:ascii="Arial Narrow" w:hAnsi="Arial Narrow"/>
          <w:color w:val="auto"/>
        </w:rPr>
        <w:t>нараства с 82</w:t>
      </w:r>
      <w:r w:rsidRPr="00132ABA">
        <w:rPr>
          <w:rFonts w:ascii="Arial Narrow" w:hAnsi="Arial Narrow"/>
          <w:color w:val="auto"/>
        </w:rPr>
        <w:t xml:space="preserve">% </w:t>
      </w:r>
      <w:r w:rsidRPr="005F1E4E">
        <w:rPr>
          <w:rFonts w:ascii="Arial Narrow" w:hAnsi="Arial Narrow"/>
          <w:color w:val="auto"/>
        </w:rPr>
        <w:t xml:space="preserve">спрямо </w:t>
      </w:r>
      <w:r>
        <w:rPr>
          <w:rFonts w:ascii="Arial Narrow" w:hAnsi="Arial Narrow"/>
          <w:color w:val="auto"/>
        </w:rPr>
        <w:t>предходната година</w:t>
      </w:r>
      <w:r w:rsidRPr="005F1E4E">
        <w:rPr>
          <w:rFonts w:ascii="Arial Narrow" w:hAnsi="Arial Narrow"/>
          <w:color w:val="auto"/>
        </w:rPr>
        <w:t xml:space="preserve">. Най-много площи с овес са реколтирани в </w:t>
      </w:r>
      <w:r w:rsidRPr="005A748D">
        <w:rPr>
          <w:rFonts w:ascii="Arial Narrow" w:hAnsi="Arial Narrow"/>
          <w:color w:val="auto"/>
        </w:rPr>
        <w:t>Югозападния</w:t>
      </w:r>
      <w:r w:rsidRPr="005F1E4E">
        <w:rPr>
          <w:rFonts w:ascii="Arial Narrow" w:hAnsi="Arial Narrow"/>
          <w:color w:val="auto"/>
        </w:rPr>
        <w:t xml:space="preserve"> район (2</w:t>
      </w:r>
      <w:r w:rsidRPr="005A748D">
        <w:rPr>
          <w:rFonts w:ascii="Arial Narrow" w:hAnsi="Arial Narrow"/>
          <w:color w:val="auto"/>
        </w:rPr>
        <w:t>3</w:t>
      </w:r>
      <w:r w:rsidRPr="005F1E4E">
        <w:rPr>
          <w:rFonts w:ascii="Arial Narrow" w:hAnsi="Arial Narrow"/>
          <w:color w:val="auto"/>
        </w:rPr>
        <w:t>,</w:t>
      </w:r>
      <w:r w:rsidRPr="005A748D">
        <w:rPr>
          <w:rFonts w:ascii="Arial Narrow" w:hAnsi="Arial Narrow"/>
          <w:color w:val="auto"/>
        </w:rPr>
        <w:t>2</w:t>
      </w:r>
      <w:r w:rsidRPr="005F1E4E">
        <w:rPr>
          <w:rFonts w:ascii="Arial Narrow" w:hAnsi="Arial Narrow"/>
          <w:color w:val="auto"/>
        </w:rPr>
        <w:t xml:space="preserve">% от общите за страната). </w:t>
      </w:r>
      <w:r w:rsidRPr="00132ABA">
        <w:rPr>
          <w:rFonts w:ascii="Arial Narrow" w:hAnsi="Arial Narrow"/>
          <w:color w:val="auto"/>
        </w:rPr>
        <w:t xml:space="preserve"> </w:t>
      </w:r>
    </w:p>
    <w:p w14:paraId="50FDAF62" w14:textId="77777777" w:rsidR="0077315A" w:rsidRPr="00132ABA" w:rsidRDefault="0077315A" w:rsidP="0077315A">
      <w:pPr>
        <w:pStyle w:val="Default"/>
        <w:widowControl w:val="0"/>
        <w:spacing w:after="120"/>
        <w:ind w:firstLine="709"/>
        <w:jc w:val="both"/>
        <w:rPr>
          <w:rFonts w:ascii="Arial Narrow" w:hAnsi="Arial Narrow"/>
          <w:b/>
          <w:color w:val="auto"/>
        </w:rPr>
      </w:pPr>
      <w:r w:rsidRPr="00132ABA">
        <w:rPr>
          <w:rFonts w:ascii="Arial Narrow" w:hAnsi="Arial Narrow"/>
          <w:b/>
          <w:color w:val="auto"/>
        </w:rPr>
        <w:t xml:space="preserve">Царевица за зърно </w:t>
      </w:r>
    </w:p>
    <w:p w14:paraId="2F3E292E" w14:textId="77777777" w:rsidR="0077315A" w:rsidRPr="00132ABA" w:rsidRDefault="0077315A" w:rsidP="0077315A">
      <w:pPr>
        <w:pStyle w:val="Default"/>
        <w:widowControl w:val="0"/>
        <w:spacing w:after="120"/>
        <w:ind w:firstLine="709"/>
        <w:jc w:val="both"/>
        <w:rPr>
          <w:rFonts w:ascii="Arial Narrow" w:hAnsi="Arial Narrow"/>
          <w:color w:val="auto"/>
        </w:rPr>
      </w:pPr>
      <w:r w:rsidRPr="00132ABA">
        <w:rPr>
          <w:rFonts w:ascii="Arial Narrow" w:hAnsi="Arial Narrow"/>
          <w:color w:val="auto"/>
        </w:rPr>
        <w:t xml:space="preserve">Полученото зърно от царевица през 2024 г. </w:t>
      </w:r>
      <w:r>
        <w:rPr>
          <w:rFonts w:ascii="Arial Narrow" w:hAnsi="Arial Narrow"/>
          <w:color w:val="auto"/>
        </w:rPr>
        <w:t>се свива</w:t>
      </w:r>
      <w:r w:rsidRPr="00132ABA">
        <w:rPr>
          <w:rFonts w:ascii="Arial Narrow" w:hAnsi="Arial Narrow"/>
          <w:color w:val="auto"/>
        </w:rPr>
        <w:t xml:space="preserve"> с 33,2% </w:t>
      </w:r>
      <w:r>
        <w:rPr>
          <w:rFonts w:ascii="Arial Narrow" w:hAnsi="Arial Narrow"/>
          <w:color w:val="auto"/>
        </w:rPr>
        <w:t>на годишна база</w:t>
      </w:r>
      <w:r w:rsidRPr="00132ABA">
        <w:rPr>
          <w:rFonts w:ascii="Arial Narrow" w:hAnsi="Arial Narrow"/>
          <w:color w:val="auto"/>
        </w:rPr>
        <w:t xml:space="preserve">, до </w:t>
      </w:r>
      <w:r w:rsidRPr="00132ABA">
        <w:rPr>
          <w:rFonts w:ascii="Arial Narrow" w:hAnsi="Arial Narrow"/>
          <w:color w:val="auto"/>
          <w:lang w:eastAsia="en-US"/>
        </w:rPr>
        <w:t>1</w:t>
      </w:r>
      <w:r w:rsidRPr="005A748D">
        <w:rPr>
          <w:rFonts w:ascii="Arial Narrow" w:hAnsi="Arial Narrow"/>
          <w:color w:val="auto"/>
          <w:lang w:eastAsia="en-US"/>
        </w:rPr>
        <w:t> </w:t>
      </w:r>
      <w:r w:rsidRPr="005F1E4E">
        <w:rPr>
          <w:rFonts w:ascii="Arial Narrow" w:hAnsi="Arial Narrow"/>
          <w:color w:val="auto"/>
          <w:lang w:eastAsia="en-US"/>
        </w:rPr>
        <w:t>597</w:t>
      </w:r>
      <w:r w:rsidRPr="005A748D">
        <w:rPr>
          <w:rFonts w:ascii="Arial Narrow" w:hAnsi="Arial Narrow"/>
          <w:color w:val="auto"/>
          <w:lang w:eastAsia="en-US"/>
        </w:rPr>
        <w:t>,9</w:t>
      </w:r>
      <w:r w:rsidRPr="005F1E4E">
        <w:rPr>
          <w:rFonts w:ascii="Arial Narrow" w:hAnsi="Arial Narrow"/>
          <w:color w:val="auto"/>
          <w:lang w:eastAsia="en-US"/>
        </w:rPr>
        <w:t xml:space="preserve"> </w:t>
      </w:r>
      <w:r w:rsidRPr="005A748D">
        <w:rPr>
          <w:rFonts w:ascii="Arial Narrow" w:hAnsi="Arial Narrow"/>
          <w:color w:val="auto"/>
          <w:lang w:eastAsia="en-US"/>
        </w:rPr>
        <w:t xml:space="preserve">хил. </w:t>
      </w:r>
      <w:r w:rsidRPr="005F1E4E">
        <w:rPr>
          <w:rFonts w:ascii="Arial Narrow" w:hAnsi="Arial Narrow"/>
          <w:color w:val="auto"/>
        </w:rPr>
        <w:t>тона. Сухото и горещо време през летните месеци се отрази неблагоприятно върху раз</w:t>
      </w:r>
      <w:r w:rsidR="006F78B8">
        <w:rPr>
          <w:rFonts w:ascii="Arial Narrow" w:hAnsi="Arial Narrow"/>
          <w:color w:val="auto"/>
        </w:rPr>
        <w:t>витието на царевичните хибриди -</w:t>
      </w:r>
      <w:r w:rsidRPr="005F1E4E">
        <w:rPr>
          <w:rFonts w:ascii="Arial Narrow" w:hAnsi="Arial Narrow"/>
          <w:color w:val="auto"/>
        </w:rPr>
        <w:t xml:space="preserve"> преждевременно пожълтяване на</w:t>
      </w:r>
      <w:r w:rsidRPr="00132ABA">
        <w:rPr>
          <w:rFonts w:ascii="Arial Narrow" w:hAnsi="Arial Narrow"/>
          <w:color w:val="auto"/>
        </w:rPr>
        <w:t xml:space="preserve"> листата и недобро озърняване на кочаните, което доведе до намаление на средния добив с 29%. </w:t>
      </w:r>
    </w:p>
    <w:p w14:paraId="7EBE96BC" w14:textId="77777777" w:rsidR="0077315A" w:rsidRPr="005F1E4E" w:rsidRDefault="0077315A" w:rsidP="0077315A">
      <w:pPr>
        <w:pStyle w:val="Default"/>
        <w:widowControl w:val="0"/>
        <w:spacing w:after="120"/>
        <w:ind w:firstLine="709"/>
        <w:jc w:val="both"/>
        <w:rPr>
          <w:rFonts w:ascii="Arial Narrow" w:hAnsi="Arial Narrow"/>
          <w:color w:val="auto"/>
        </w:rPr>
      </w:pPr>
      <w:r w:rsidRPr="00132ABA">
        <w:rPr>
          <w:rFonts w:ascii="Arial Narrow" w:hAnsi="Arial Narrow"/>
          <w:color w:val="auto"/>
        </w:rPr>
        <w:t xml:space="preserve">Засетите площи с царевица за зърно през 2024 г. са 511 555 ха, </w:t>
      </w:r>
      <w:r w:rsidRPr="005F1E4E">
        <w:rPr>
          <w:rFonts w:ascii="Arial Narrow" w:hAnsi="Arial Narrow"/>
          <w:color w:val="auto"/>
        </w:rPr>
        <w:t xml:space="preserve">от които реколтирани </w:t>
      </w:r>
      <w:r>
        <w:rPr>
          <w:rFonts w:ascii="Arial Narrow" w:hAnsi="Arial Narrow"/>
          <w:color w:val="auto"/>
        </w:rPr>
        <w:t xml:space="preserve">са </w:t>
      </w:r>
      <w:r w:rsidRPr="005F1E4E">
        <w:rPr>
          <w:rFonts w:ascii="Arial Narrow" w:hAnsi="Arial Narrow"/>
          <w:color w:val="auto"/>
          <w:lang w:eastAsia="en-US"/>
        </w:rPr>
        <w:t>503 025</w:t>
      </w:r>
      <w:r w:rsidRPr="00132ABA">
        <w:rPr>
          <w:rFonts w:ascii="Arial Narrow" w:hAnsi="Arial Narrow"/>
          <w:color w:val="auto"/>
          <w:lang w:eastAsia="en-US"/>
        </w:rPr>
        <w:t xml:space="preserve"> </w:t>
      </w:r>
      <w:r w:rsidRPr="00132ABA">
        <w:rPr>
          <w:rFonts w:ascii="Arial Narrow" w:hAnsi="Arial Narrow"/>
          <w:color w:val="auto"/>
        </w:rPr>
        <w:t xml:space="preserve">ха </w:t>
      </w:r>
      <w:r w:rsidR="006F78B8">
        <w:rPr>
          <w:rFonts w:ascii="Arial Narrow" w:hAnsi="Arial Narrow"/>
          <w:color w:val="auto"/>
        </w:rPr>
        <w:t>-</w:t>
      </w:r>
      <w:r w:rsidRPr="005F1E4E">
        <w:rPr>
          <w:rFonts w:ascii="Arial Narrow" w:hAnsi="Arial Narrow"/>
          <w:color w:val="auto"/>
        </w:rPr>
        <w:t xml:space="preserve"> съответно с 5,3</w:t>
      </w:r>
      <w:r w:rsidRPr="00132ABA">
        <w:rPr>
          <w:rFonts w:ascii="Arial Narrow" w:hAnsi="Arial Narrow"/>
          <w:color w:val="auto"/>
        </w:rPr>
        <w:t xml:space="preserve">% и </w:t>
      </w:r>
      <w:r w:rsidRPr="005F1E4E">
        <w:rPr>
          <w:rFonts w:ascii="Arial Narrow" w:hAnsi="Arial Narrow"/>
          <w:color w:val="auto"/>
        </w:rPr>
        <w:t xml:space="preserve">5,9% по-малко спрямо </w:t>
      </w:r>
      <w:r w:rsidRPr="00132ABA">
        <w:rPr>
          <w:rFonts w:ascii="Arial Narrow" w:hAnsi="Arial Narrow"/>
          <w:color w:val="auto"/>
        </w:rPr>
        <w:t>2023 г</w:t>
      </w:r>
      <w:r w:rsidRPr="005F1E4E">
        <w:rPr>
          <w:rFonts w:ascii="Arial Narrow" w:hAnsi="Arial Narrow"/>
          <w:color w:val="auto"/>
        </w:rPr>
        <w:t xml:space="preserve">. </w:t>
      </w:r>
    </w:p>
    <w:p w14:paraId="70A9A002" w14:textId="77777777" w:rsidR="0077315A" w:rsidRPr="00132ABA" w:rsidRDefault="0077315A" w:rsidP="0077315A">
      <w:pPr>
        <w:pStyle w:val="Default"/>
        <w:widowControl w:val="0"/>
        <w:spacing w:after="120"/>
        <w:ind w:firstLine="709"/>
        <w:jc w:val="both"/>
        <w:rPr>
          <w:rFonts w:ascii="Arial Narrow" w:hAnsi="Arial Narrow"/>
          <w:color w:val="auto"/>
        </w:rPr>
      </w:pPr>
      <w:r w:rsidRPr="00132ABA">
        <w:rPr>
          <w:rFonts w:ascii="Arial Narrow" w:hAnsi="Arial Narrow"/>
          <w:color w:val="auto"/>
        </w:rPr>
        <w:t xml:space="preserve">С най-голям дял в общо реколтираните площи с царевица през годината е Северозападният район (36,3%), следван от Северен централен (28%) и Североизточен (25,6%). </w:t>
      </w:r>
    </w:p>
    <w:p w14:paraId="366C545A" w14:textId="77777777" w:rsidR="0077315A" w:rsidRPr="00132ABA" w:rsidRDefault="0077315A" w:rsidP="0077315A">
      <w:pPr>
        <w:pStyle w:val="Default"/>
        <w:widowControl w:val="0"/>
        <w:spacing w:after="120"/>
        <w:ind w:firstLine="709"/>
        <w:jc w:val="both"/>
        <w:rPr>
          <w:rFonts w:ascii="Arial Narrow" w:hAnsi="Arial Narrow"/>
          <w:b/>
          <w:color w:val="auto"/>
        </w:rPr>
      </w:pPr>
      <w:r w:rsidRPr="00132ABA">
        <w:rPr>
          <w:rFonts w:ascii="Arial Narrow" w:hAnsi="Arial Narrow"/>
          <w:color w:val="auto"/>
        </w:rPr>
        <w:t xml:space="preserve">При </w:t>
      </w:r>
      <w:r w:rsidRPr="00132ABA">
        <w:rPr>
          <w:rFonts w:ascii="Arial Narrow" w:hAnsi="Arial Narrow"/>
          <w:bCs/>
          <w:color w:val="auto"/>
        </w:rPr>
        <w:t xml:space="preserve">царевицата </w:t>
      </w:r>
      <w:r w:rsidRPr="00132ABA">
        <w:rPr>
          <w:rFonts w:ascii="Arial Narrow" w:hAnsi="Arial Narrow"/>
          <w:color w:val="auto"/>
        </w:rPr>
        <w:t>най-голям е делъ</w:t>
      </w:r>
      <w:r w:rsidR="006F78B8">
        <w:rPr>
          <w:rFonts w:ascii="Arial Narrow" w:hAnsi="Arial Narrow"/>
          <w:color w:val="auto"/>
        </w:rPr>
        <w:t>т на предшественик пшеница -</w:t>
      </w:r>
      <w:r w:rsidRPr="00132ABA">
        <w:rPr>
          <w:rFonts w:ascii="Arial Narrow" w:hAnsi="Arial Narrow"/>
          <w:color w:val="auto"/>
        </w:rPr>
        <w:t xml:space="preserve"> 63,2%. Ечемикът, включен в сеитбооборота на царевицата през тази година, представлява 4,9%.</w:t>
      </w:r>
    </w:p>
    <w:p w14:paraId="74ECE2A0" w14:textId="77777777" w:rsidR="0077315A" w:rsidRPr="00132ABA" w:rsidRDefault="0077315A" w:rsidP="0077315A">
      <w:pPr>
        <w:pStyle w:val="Default"/>
        <w:widowControl w:val="0"/>
        <w:spacing w:after="120"/>
        <w:ind w:firstLine="709"/>
        <w:jc w:val="both"/>
        <w:rPr>
          <w:rFonts w:ascii="Arial Narrow" w:hAnsi="Arial Narrow"/>
          <w:b/>
          <w:color w:val="auto"/>
        </w:rPr>
      </w:pPr>
      <w:r w:rsidRPr="00132ABA">
        <w:rPr>
          <w:rFonts w:ascii="Arial Narrow" w:hAnsi="Arial Narrow"/>
          <w:b/>
          <w:color w:val="auto"/>
        </w:rPr>
        <w:t xml:space="preserve">Ориз </w:t>
      </w:r>
    </w:p>
    <w:p w14:paraId="3EBEFD79" w14:textId="77777777" w:rsidR="0077315A" w:rsidRDefault="0077315A" w:rsidP="0077315A">
      <w:pPr>
        <w:pStyle w:val="Default"/>
        <w:spacing w:after="120"/>
        <w:ind w:right="29" w:firstLine="567"/>
        <w:jc w:val="both"/>
        <w:rPr>
          <w:rFonts w:ascii="Arial Narrow" w:hAnsi="Arial Narrow"/>
          <w:color w:val="FF0000"/>
        </w:rPr>
      </w:pPr>
      <w:r w:rsidRPr="00132ABA">
        <w:rPr>
          <w:rFonts w:ascii="Arial Narrow" w:hAnsi="Arial Narrow"/>
          <w:color w:val="auto"/>
        </w:rPr>
        <w:t>През 2024 г. в страната са произведени 69 010 тона оризова арпа</w:t>
      </w:r>
      <w:r w:rsidR="006F78B8">
        <w:rPr>
          <w:rFonts w:ascii="Arial Narrow" w:hAnsi="Arial Narrow"/>
          <w:color w:val="auto"/>
        </w:rPr>
        <w:t xml:space="preserve"> -</w:t>
      </w:r>
      <w:r w:rsidRPr="005A748D">
        <w:rPr>
          <w:rFonts w:ascii="Arial Narrow" w:hAnsi="Arial Narrow"/>
          <w:color w:val="auto"/>
        </w:rPr>
        <w:t xml:space="preserve"> </w:t>
      </w:r>
      <w:r w:rsidRPr="005F1E4E">
        <w:rPr>
          <w:rFonts w:ascii="Arial Narrow" w:hAnsi="Arial Narrow"/>
          <w:color w:val="auto"/>
        </w:rPr>
        <w:t>с</w:t>
      </w:r>
      <w:r w:rsidRPr="005A748D">
        <w:rPr>
          <w:rFonts w:ascii="Arial Narrow" w:hAnsi="Arial Narrow"/>
          <w:color w:val="auto"/>
        </w:rPr>
        <w:t xml:space="preserve"> </w:t>
      </w:r>
      <w:r w:rsidRPr="005F1E4E">
        <w:rPr>
          <w:rFonts w:ascii="Arial Narrow" w:hAnsi="Arial Narrow"/>
          <w:color w:val="auto"/>
        </w:rPr>
        <w:t xml:space="preserve">1,4% повече спрямо </w:t>
      </w:r>
      <w:r>
        <w:rPr>
          <w:rFonts w:ascii="Arial Narrow" w:hAnsi="Arial Narrow"/>
          <w:color w:val="auto"/>
        </w:rPr>
        <w:t xml:space="preserve">предходната </w:t>
      </w:r>
      <w:r w:rsidRPr="00132ABA">
        <w:rPr>
          <w:rFonts w:ascii="Arial Narrow" w:hAnsi="Arial Narrow"/>
          <w:color w:val="auto"/>
        </w:rPr>
        <w:t>година</w:t>
      </w:r>
      <w:r w:rsidRPr="005F1E4E">
        <w:rPr>
          <w:rFonts w:ascii="Arial Narrow" w:hAnsi="Arial Narrow"/>
          <w:color w:val="auto"/>
        </w:rPr>
        <w:t>. Наблюдава се увеличение на реколтираните площи</w:t>
      </w:r>
      <w:r w:rsidRPr="00132ABA">
        <w:rPr>
          <w:rFonts w:ascii="Arial Narrow" w:hAnsi="Arial Narrow"/>
          <w:color w:val="auto"/>
        </w:rPr>
        <w:t xml:space="preserve"> с 8,5%, но понижение на средния добив с 6,</w:t>
      </w:r>
      <w:r w:rsidRPr="005A748D">
        <w:rPr>
          <w:rFonts w:ascii="Arial Narrow" w:hAnsi="Arial Narrow"/>
          <w:color w:val="auto"/>
        </w:rPr>
        <w:t>6</w:t>
      </w:r>
      <w:r w:rsidRPr="005F1E4E">
        <w:rPr>
          <w:rFonts w:ascii="Arial Narrow" w:hAnsi="Arial Narrow"/>
          <w:color w:val="auto"/>
        </w:rPr>
        <w:t>%.</w:t>
      </w:r>
    </w:p>
    <w:p w14:paraId="400EF3C8" w14:textId="77777777" w:rsidR="001A557D" w:rsidRPr="006F78B8" w:rsidRDefault="001A557D" w:rsidP="00F25EF9">
      <w:pPr>
        <w:pStyle w:val="ListParagraph"/>
        <w:numPr>
          <w:ilvl w:val="2"/>
          <w:numId w:val="8"/>
        </w:numPr>
        <w:tabs>
          <w:tab w:val="left" w:pos="900"/>
          <w:tab w:val="left" w:pos="990"/>
        </w:tabs>
        <w:spacing w:before="240" w:after="120"/>
        <w:ind w:left="788" w:hanging="431"/>
        <w:contextualSpacing w:val="0"/>
        <w:outlineLvl w:val="0"/>
        <w:rPr>
          <w:rFonts w:ascii="Arial Narrow" w:hAnsi="Arial Narrow"/>
          <w:b/>
        </w:rPr>
      </w:pPr>
      <w:bookmarkStart w:id="34" w:name="_Toc210747541"/>
      <w:r w:rsidRPr="006F78B8">
        <w:rPr>
          <w:rFonts w:ascii="Arial Narrow" w:hAnsi="Arial Narrow"/>
          <w:b/>
        </w:rPr>
        <w:t>Маслодайни култури</w:t>
      </w:r>
      <w:bookmarkEnd w:id="34"/>
    </w:p>
    <w:p w14:paraId="18AB1DEB" w14:textId="77777777" w:rsidR="006F78B8" w:rsidRPr="005F1E4E" w:rsidRDefault="006F78B8" w:rsidP="00CD44F3">
      <w:pPr>
        <w:pStyle w:val="Default"/>
        <w:widowControl w:val="0"/>
        <w:spacing w:after="120"/>
        <w:ind w:firstLine="709"/>
        <w:jc w:val="both"/>
        <w:rPr>
          <w:rFonts w:ascii="Arial Narrow" w:hAnsi="Arial Narrow"/>
          <w:color w:val="auto"/>
        </w:rPr>
      </w:pPr>
      <w:r w:rsidRPr="005F1E4E">
        <w:rPr>
          <w:rFonts w:ascii="Arial Narrow" w:hAnsi="Arial Narrow"/>
          <w:color w:val="auto"/>
        </w:rPr>
        <w:t>Основните маслодайни култури, които се отглеждат у нас, са слънчогледът</w:t>
      </w:r>
      <w:r w:rsidRPr="00132ABA">
        <w:rPr>
          <w:rFonts w:ascii="Arial Narrow" w:hAnsi="Arial Narrow"/>
          <w:color w:val="auto"/>
        </w:rPr>
        <w:t xml:space="preserve"> и зимната маслодайна рапица. </w:t>
      </w:r>
    </w:p>
    <w:p w14:paraId="77A7872D" w14:textId="77777777" w:rsidR="006F78B8" w:rsidRPr="00132ABA" w:rsidRDefault="006F78B8" w:rsidP="006F78B8">
      <w:pPr>
        <w:pStyle w:val="Default"/>
        <w:spacing w:after="120"/>
        <w:ind w:right="142"/>
        <w:rPr>
          <w:rFonts w:ascii="Arial Narrow" w:hAnsi="Arial Narrow"/>
          <w:b/>
          <w:color w:val="auto"/>
        </w:rPr>
      </w:pPr>
      <w:r w:rsidRPr="00132ABA">
        <w:rPr>
          <w:rFonts w:ascii="Arial Narrow" w:hAnsi="Arial Narrow"/>
          <w:b/>
          <w:color w:val="auto"/>
        </w:rPr>
        <w:t>Таблица ІІ.5. Производство на маслодайни култури от реколти `2023 и `2024</w:t>
      </w:r>
    </w:p>
    <w:tbl>
      <w:tblPr>
        <w:tblW w:w="4878" w:type="pct"/>
        <w:tblInd w:w="108" w:type="dxa"/>
        <w:tblLook w:val="04A0" w:firstRow="1" w:lastRow="0" w:firstColumn="1" w:lastColumn="0" w:noHBand="0" w:noVBand="1"/>
      </w:tblPr>
      <w:tblGrid>
        <w:gridCol w:w="1156"/>
        <w:gridCol w:w="873"/>
        <w:gridCol w:w="873"/>
        <w:gridCol w:w="1003"/>
        <w:gridCol w:w="873"/>
        <w:gridCol w:w="873"/>
        <w:gridCol w:w="1006"/>
        <w:gridCol w:w="956"/>
        <w:gridCol w:w="956"/>
        <w:gridCol w:w="992"/>
      </w:tblGrid>
      <w:tr w:rsidR="006F78B8" w:rsidRPr="00132ABA" w14:paraId="584968CD" w14:textId="77777777" w:rsidTr="00504236">
        <w:trPr>
          <w:trHeight w:val="600"/>
        </w:trPr>
        <w:tc>
          <w:tcPr>
            <w:tcW w:w="60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0F9BC23" w14:textId="77777777" w:rsidR="006F78B8" w:rsidRPr="005A748D" w:rsidRDefault="006F78B8" w:rsidP="00CA32C6">
            <w:pPr>
              <w:jc w:val="center"/>
              <w:rPr>
                <w:rFonts w:ascii="Arial Narrow" w:hAnsi="Arial Narrow" w:cs="Calibri"/>
                <w:b/>
                <w:bCs/>
                <w:sz w:val="20"/>
                <w:lang w:val="bg-BG"/>
              </w:rPr>
            </w:pPr>
            <w:r w:rsidRPr="005A748D">
              <w:rPr>
                <w:rFonts w:ascii="Arial Narrow" w:hAnsi="Arial Narrow" w:cs="Calibri"/>
                <w:b/>
                <w:bCs/>
                <w:sz w:val="20"/>
                <w:lang w:val="bg-BG"/>
              </w:rPr>
              <w:t>Култура </w:t>
            </w:r>
          </w:p>
        </w:tc>
        <w:tc>
          <w:tcPr>
            <w:tcW w:w="1441" w:type="pct"/>
            <w:gridSpan w:val="3"/>
            <w:tcBorders>
              <w:top w:val="single" w:sz="4" w:space="0" w:color="auto"/>
              <w:left w:val="nil"/>
              <w:bottom w:val="single" w:sz="4" w:space="0" w:color="auto"/>
              <w:right w:val="single" w:sz="4" w:space="0" w:color="000000"/>
            </w:tcBorders>
            <w:shd w:val="clear" w:color="auto" w:fill="auto"/>
            <w:vAlign w:val="center"/>
            <w:hideMark/>
          </w:tcPr>
          <w:p w14:paraId="37B36F0B" w14:textId="77777777" w:rsidR="006F78B8" w:rsidRPr="005A748D" w:rsidRDefault="006F78B8" w:rsidP="00CA32C6">
            <w:pPr>
              <w:jc w:val="center"/>
              <w:rPr>
                <w:rFonts w:ascii="Arial Narrow" w:hAnsi="Arial Narrow" w:cs="Calibri"/>
                <w:b/>
                <w:bCs/>
                <w:sz w:val="20"/>
                <w:lang w:val="bg-BG"/>
              </w:rPr>
            </w:pPr>
            <w:r w:rsidRPr="005A748D">
              <w:rPr>
                <w:rFonts w:ascii="Arial Narrow" w:hAnsi="Arial Narrow" w:cs="Calibri"/>
                <w:b/>
                <w:bCs/>
                <w:sz w:val="20"/>
                <w:lang w:val="bg-BG"/>
              </w:rPr>
              <w:t>Реколтирани площи (ха)</w:t>
            </w:r>
          </w:p>
        </w:tc>
        <w:tc>
          <w:tcPr>
            <w:tcW w:w="1443" w:type="pct"/>
            <w:gridSpan w:val="3"/>
            <w:tcBorders>
              <w:top w:val="single" w:sz="4" w:space="0" w:color="auto"/>
              <w:left w:val="nil"/>
              <w:bottom w:val="single" w:sz="4" w:space="0" w:color="auto"/>
              <w:right w:val="single" w:sz="4" w:space="0" w:color="000000"/>
            </w:tcBorders>
            <w:shd w:val="clear" w:color="auto" w:fill="auto"/>
            <w:vAlign w:val="center"/>
            <w:hideMark/>
          </w:tcPr>
          <w:p w14:paraId="79B7DB39" w14:textId="77777777" w:rsidR="006F78B8" w:rsidRPr="005A748D" w:rsidRDefault="006F78B8" w:rsidP="00CA32C6">
            <w:pPr>
              <w:jc w:val="center"/>
              <w:rPr>
                <w:rFonts w:ascii="Arial Narrow" w:hAnsi="Arial Narrow" w:cs="Calibri"/>
                <w:b/>
                <w:bCs/>
                <w:sz w:val="20"/>
                <w:lang w:val="bg-BG"/>
              </w:rPr>
            </w:pPr>
            <w:r w:rsidRPr="005A748D">
              <w:rPr>
                <w:rFonts w:ascii="Arial Narrow" w:hAnsi="Arial Narrow" w:cs="Calibri"/>
                <w:b/>
                <w:bCs/>
                <w:sz w:val="20"/>
                <w:lang w:val="bg-BG"/>
              </w:rPr>
              <w:t>Среден добив (тона/ха)</w:t>
            </w:r>
          </w:p>
        </w:tc>
        <w:tc>
          <w:tcPr>
            <w:tcW w:w="1510" w:type="pct"/>
            <w:gridSpan w:val="3"/>
            <w:tcBorders>
              <w:top w:val="single" w:sz="4" w:space="0" w:color="auto"/>
              <w:left w:val="nil"/>
              <w:bottom w:val="single" w:sz="4" w:space="0" w:color="auto"/>
              <w:right w:val="single" w:sz="4" w:space="0" w:color="000000"/>
            </w:tcBorders>
            <w:shd w:val="clear" w:color="auto" w:fill="auto"/>
            <w:vAlign w:val="center"/>
            <w:hideMark/>
          </w:tcPr>
          <w:p w14:paraId="1D621EEF" w14:textId="77777777" w:rsidR="006F78B8" w:rsidRPr="005A748D" w:rsidRDefault="006F78B8" w:rsidP="00CA32C6">
            <w:pPr>
              <w:jc w:val="center"/>
              <w:rPr>
                <w:rFonts w:ascii="Arial Narrow" w:hAnsi="Arial Narrow" w:cs="Calibri"/>
                <w:b/>
                <w:bCs/>
                <w:sz w:val="20"/>
                <w:lang w:val="bg-BG"/>
              </w:rPr>
            </w:pPr>
            <w:r w:rsidRPr="005A748D">
              <w:rPr>
                <w:rFonts w:ascii="Arial Narrow" w:hAnsi="Arial Narrow" w:cs="Calibri"/>
                <w:b/>
                <w:bCs/>
                <w:sz w:val="20"/>
                <w:lang w:val="bg-BG"/>
              </w:rPr>
              <w:t>Производство</w:t>
            </w:r>
            <w:r w:rsidRPr="005A748D">
              <w:rPr>
                <w:rFonts w:ascii="Arial Narrow" w:hAnsi="Arial Narrow" w:cs="Calibri"/>
                <w:b/>
                <w:bCs/>
                <w:sz w:val="20"/>
                <w:lang w:val="bg-BG"/>
              </w:rPr>
              <w:br/>
              <w:t>(тона)</w:t>
            </w:r>
          </w:p>
        </w:tc>
      </w:tr>
      <w:tr w:rsidR="006F78B8" w:rsidRPr="00132ABA" w14:paraId="7490BD22" w14:textId="77777777" w:rsidTr="00504236">
        <w:trPr>
          <w:trHeight w:val="600"/>
        </w:trPr>
        <w:tc>
          <w:tcPr>
            <w:tcW w:w="606" w:type="pct"/>
            <w:vMerge/>
            <w:tcBorders>
              <w:top w:val="single" w:sz="4" w:space="0" w:color="auto"/>
              <w:left w:val="single" w:sz="4" w:space="0" w:color="auto"/>
              <w:bottom w:val="single" w:sz="4" w:space="0" w:color="auto"/>
              <w:right w:val="single" w:sz="4" w:space="0" w:color="auto"/>
            </w:tcBorders>
            <w:vAlign w:val="center"/>
            <w:hideMark/>
          </w:tcPr>
          <w:p w14:paraId="1346603C" w14:textId="77777777" w:rsidR="006F78B8" w:rsidRPr="005A748D" w:rsidRDefault="006F78B8" w:rsidP="00CA32C6">
            <w:pPr>
              <w:rPr>
                <w:rFonts w:ascii="Arial Narrow" w:hAnsi="Arial Narrow" w:cs="Calibri"/>
                <w:b/>
                <w:bCs/>
                <w:sz w:val="20"/>
                <w:lang w:val="bg-BG"/>
              </w:rPr>
            </w:pPr>
          </w:p>
        </w:tc>
        <w:tc>
          <w:tcPr>
            <w:tcW w:w="458" w:type="pct"/>
            <w:tcBorders>
              <w:top w:val="nil"/>
              <w:left w:val="nil"/>
              <w:bottom w:val="single" w:sz="4" w:space="0" w:color="auto"/>
              <w:right w:val="single" w:sz="4" w:space="0" w:color="auto"/>
            </w:tcBorders>
            <w:shd w:val="clear" w:color="auto" w:fill="auto"/>
            <w:vAlign w:val="center"/>
            <w:hideMark/>
          </w:tcPr>
          <w:p w14:paraId="0DE69685" w14:textId="77777777" w:rsidR="006F78B8" w:rsidRPr="005A748D" w:rsidRDefault="006F78B8" w:rsidP="00CA32C6">
            <w:pPr>
              <w:jc w:val="center"/>
              <w:rPr>
                <w:rFonts w:ascii="Arial Narrow" w:hAnsi="Arial Narrow" w:cs="Calibri"/>
                <w:b/>
                <w:bCs/>
                <w:sz w:val="20"/>
                <w:lang w:val="bg-BG"/>
              </w:rPr>
            </w:pPr>
            <w:r w:rsidRPr="005A748D">
              <w:rPr>
                <w:rFonts w:ascii="Arial Narrow" w:hAnsi="Arial Narrow" w:cs="Calibri"/>
                <w:b/>
                <w:bCs/>
                <w:sz w:val="20"/>
                <w:lang w:val="bg-BG"/>
              </w:rPr>
              <w:t>2023</w:t>
            </w:r>
          </w:p>
        </w:tc>
        <w:tc>
          <w:tcPr>
            <w:tcW w:w="458" w:type="pct"/>
            <w:tcBorders>
              <w:top w:val="nil"/>
              <w:left w:val="nil"/>
              <w:bottom w:val="single" w:sz="4" w:space="0" w:color="auto"/>
              <w:right w:val="single" w:sz="4" w:space="0" w:color="auto"/>
            </w:tcBorders>
            <w:shd w:val="clear" w:color="auto" w:fill="auto"/>
            <w:vAlign w:val="center"/>
            <w:hideMark/>
          </w:tcPr>
          <w:p w14:paraId="6229330C" w14:textId="77777777" w:rsidR="006F78B8" w:rsidRPr="005A748D" w:rsidRDefault="006F78B8" w:rsidP="00CA32C6">
            <w:pPr>
              <w:jc w:val="center"/>
              <w:rPr>
                <w:rFonts w:ascii="Arial Narrow" w:hAnsi="Arial Narrow" w:cs="Calibri"/>
                <w:b/>
                <w:bCs/>
                <w:sz w:val="20"/>
                <w:lang w:val="bg-BG"/>
              </w:rPr>
            </w:pPr>
            <w:r w:rsidRPr="005A748D">
              <w:rPr>
                <w:rFonts w:ascii="Arial Narrow" w:hAnsi="Arial Narrow" w:cs="Calibri"/>
                <w:b/>
                <w:bCs/>
                <w:sz w:val="20"/>
                <w:lang w:val="bg-BG"/>
              </w:rPr>
              <w:t>2024</w:t>
            </w:r>
          </w:p>
        </w:tc>
        <w:tc>
          <w:tcPr>
            <w:tcW w:w="526" w:type="pct"/>
            <w:tcBorders>
              <w:top w:val="nil"/>
              <w:left w:val="nil"/>
              <w:bottom w:val="single" w:sz="4" w:space="0" w:color="auto"/>
              <w:right w:val="single" w:sz="4" w:space="0" w:color="auto"/>
            </w:tcBorders>
            <w:shd w:val="clear" w:color="auto" w:fill="auto"/>
            <w:vAlign w:val="center"/>
            <w:hideMark/>
          </w:tcPr>
          <w:p w14:paraId="61983F2E" w14:textId="77777777" w:rsidR="006F78B8" w:rsidRPr="005A748D" w:rsidRDefault="006F78B8" w:rsidP="00CA32C6">
            <w:pPr>
              <w:jc w:val="center"/>
              <w:rPr>
                <w:rFonts w:ascii="Arial Narrow" w:hAnsi="Arial Narrow" w:cs="Calibri"/>
                <w:b/>
                <w:bCs/>
                <w:sz w:val="20"/>
                <w:lang w:val="bg-BG"/>
              </w:rPr>
            </w:pPr>
            <w:r w:rsidRPr="005A748D">
              <w:rPr>
                <w:rFonts w:ascii="Arial Narrow" w:hAnsi="Arial Narrow" w:cs="Calibri"/>
                <w:b/>
                <w:bCs/>
                <w:sz w:val="20"/>
                <w:lang w:val="bg-BG"/>
              </w:rPr>
              <w:t>Изм. 2024/2023</w:t>
            </w:r>
          </w:p>
        </w:tc>
        <w:tc>
          <w:tcPr>
            <w:tcW w:w="458" w:type="pct"/>
            <w:tcBorders>
              <w:top w:val="nil"/>
              <w:left w:val="nil"/>
              <w:bottom w:val="single" w:sz="4" w:space="0" w:color="auto"/>
              <w:right w:val="single" w:sz="4" w:space="0" w:color="auto"/>
            </w:tcBorders>
            <w:shd w:val="clear" w:color="auto" w:fill="auto"/>
            <w:vAlign w:val="center"/>
            <w:hideMark/>
          </w:tcPr>
          <w:p w14:paraId="28BCB02A" w14:textId="77777777" w:rsidR="006F78B8" w:rsidRPr="005A748D" w:rsidRDefault="006F78B8" w:rsidP="00CA32C6">
            <w:pPr>
              <w:jc w:val="center"/>
              <w:rPr>
                <w:rFonts w:ascii="Arial Narrow" w:hAnsi="Arial Narrow" w:cs="Calibri"/>
                <w:b/>
                <w:bCs/>
                <w:sz w:val="20"/>
                <w:lang w:val="bg-BG"/>
              </w:rPr>
            </w:pPr>
            <w:r w:rsidRPr="005A748D">
              <w:rPr>
                <w:rFonts w:ascii="Arial Narrow" w:hAnsi="Arial Narrow" w:cs="Calibri"/>
                <w:b/>
                <w:bCs/>
                <w:sz w:val="20"/>
                <w:lang w:val="bg-BG"/>
              </w:rPr>
              <w:t>2023</w:t>
            </w:r>
          </w:p>
        </w:tc>
        <w:tc>
          <w:tcPr>
            <w:tcW w:w="458" w:type="pct"/>
            <w:tcBorders>
              <w:top w:val="nil"/>
              <w:left w:val="nil"/>
              <w:bottom w:val="single" w:sz="4" w:space="0" w:color="auto"/>
              <w:right w:val="single" w:sz="4" w:space="0" w:color="auto"/>
            </w:tcBorders>
            <w:shd w:val="clear" w:color="auto" w:fill="auto"/>
            <w:vAlign w:val="center"/>
            <w:hideMark/>
          </w:tcPr>
          <w:p w14:paraId="69BEF6AC" w14:textId="77777777" w:rsidR="006F78B8" w:rsidRPr="005A748D" w:rsidRDefault="006F78B8" w:rsidP="00CA32C6">
            <w:pPr>
              <w:jc w:val="center"/>
              <w:rPr>
                <w:rFonts w:ascii="Arial Narrow" w:hAnsi="Arial Narrow" w:cs="Calibri"/>
                <w:b/>
                <w:bCs/>
                <w:sz w:val="20"/>
                <w:lang w:val="bg-BG"/>
              </w:rPr>
            </w:pPr>
            <w:r w:rsidRPr="005A748D">
              <w:rPr>
                <w:rFonts w:ascii="Arial Narrow" w:hAnsi="Arial Narrow" w:cs="Calibri"/>
                <w:b/>
                <w:bCs/>
                <w:sz w:val="20"/>
                <w:lang w:val="bg-BG"/>
              </w:rPr>
              <w:t>2024</w:t>
            </w:r>
          </w:p>
        </w:tc>
        <w:tc>
          <w:tcPr>
            <w:tcW w:w="527" w:type="pct"/>
            <w:tcBorders>
              <w:top w:val="nil"/>
              <w:left w:val="nil"/>
              <w:bottom w:val="single" w:sz="4" w:space="0" w:color="auto"/>
              <w:right w:val="single" w:sz="4" w:space="0" w:color="auto"/>
            </w:tcBorders>
            <w:shd w:val="clear" w:color="auto" w:fill="auto"/>
            <w:vAlign w:val="center"/>
            <w:hideMark/>
          </w:tcPr>
          <w:p w14:paraId="5E0A2642" w14:textId="77777777" w:rsidR="006F78B8" w:rsidRPr="005A748D" w:rsidRDefault="006F78B8" w:rsidP="00CA32C6">
            <w:pPr>
              <w:jc w:val="center"/>
              <w:rPr>
                <w:rFonts w:ascii="Arial Narrow" w:hAnsi="Arial Narrow" w:cs="Calibri"/>
                <w:b/>
                <w:bCs/>
                <w:sz w:val="20"/>
                <w:lang w:val="bg-BG"/>
              </w:rPr>
            </w:pPr>
            <w:r w:rsidRPr="005A748D">
              <w:rPr>
                <w:rFonts w:ascii="Arial Narrow" w:hAnsi="Arial Narrow" w:cs="Calibri"/>
                <w:b/>
                <w:bCs/>
                <w:sz w:val="20"/>
                <w:lang w:val="bg-BG"/>
              </w:rPr>
              <w:t>Изм. 2024/2023</w:t>
            </w:r>
          </w:p>
        </w:tc>
        <w:tc>
          <w:tcPr>
            <w:tcW w:w="501" w:type="pct"/>
            <w:tcBorders>
              <w:top w:val="nil"/>
              <w:left w:val="nil"/>
              <w:bottom w:val="single" w:sz="4" w:space="0" w:color="auto"/>
              <w:right w:val="single" w:sz="4" w:space="0" w:color="auto"/>
            </w:tcBorders>
            <w:shd w:val="clear" w:color="auto" w:fill="auto"/>
            <w:vAlign w:val="center"/>
            <w:hideMark/>
          </w:tcPr>
          <w:p w14:paraId="466AA2E5" w14:textId="77777777" w:rsidR="006F78B8" w:rsidRPr="005A748D" w:rsidRDefault="006F78B8" w:rsidP="00CA32C6">
            <w:pPr>
              <w:jc w:val="center"/>
              <w:rPr>
                <w:rFonts w:ascii="Arial Narrow" w:hAnsi="Arial Narrow" w:cs="Calibri"/>
                <w:b/>
                <w:bCs/>
                <w:sz w:val="20"/>
                <w:lang w:val="bg-BG"/>
              </w:rPr>
            </w:pPr>
            <w:r w:rsidRPr="005A748D">
              <w:rPr>
                <w:rFonts w:ascii="Arial Narrow" w:hAnsi="Arial Narrow" w:cs="Calibri"/>
                <w:b/>
                <w:bCs/>
                <w:sz w:val="20"/>
                <w:lang w:val="bg-BG"/>
              </w:rPr>
              <w:t>2023</w:t>
            </w:r>
          </w:p>
        </w:tc>
        <w:tc>
          <w:tcPr>
            <w:tcW w:w="501" w:type="pct"/>
            <w:tcBorders>
              <w:top w:val="nil"/>
              <w:left w:val="nil"/>
              <w:bottom w:val="single" w:sz="4" w:space="0" w:color="auto"/>
              <w:right w:val="single" w:sz="4" w:space="0" w:color="auto"/>
            </w:tcBorders>
            <w:shd w:val="clear" w:color="auto" w:fill="auto"/>
            <w:vAlign w:val="center"/>
            <w:hideMark/>
          </w:tcPr>
          <w:p w14:paraId="03F7FAC5" w14:textId="77777777" w:rsidR="006F78B8" w:rsidRPr="005A748D" w:rsidRDefault="006F78B8" w:rsidP="00CA32C6">
            <w:pPr>
              <w:jc w:val="center"/>
              <w:rPr>
                <w:rFonts w:ascii="Arial Narrow" w:hAnsi="Arial Narrow" w:cs="Calibri"/>
                <w:b/>
                <w:bCs/>
                <w:sz w:val="20"/>
                <w:lang w:val="bg-BG"/>
              </w:rPr>
            </w:pPr>
            <w:r w:rsidRPr="005A748D">
              <w:rPr>
                <w:rFonts w:ascii="Arial Narrow" w:hAnsi="Arial Narrow" w:cs="Calibri"/>
                <w:b/>
                <w:bCs/>
                <w:sz w:val="20"/>
                <w:lang w:val="bg-BG"/>
              </w:rPr>
              <w:t>2024</w:t>
            </w:r>
          </w:p>
        </w:tc>
        <w:tc>
          <w:tcPr>
            <w:tcW w:w="507" w:type="pct"/>
            <w:tcBorders>
              <w:top w:val="nil"/>
              <w:left w:val="nil"/>
              <w:bottom w:val="single" w:sz="4" w:space="0" w:color="auto"/>
              <w:right w:val="single" w:sz="4" w:space="0" w:color="auto"/>
            </w:tcBorders>
            <w:shd w:val="clear" w:color="auto" w:fill="auto"/>
            <w:vAlign w:val="center"/>
            <w:hideMark/>
          </w:tcPr>
          <w:p w14:paraId="5B5C074B" w14:textId="77777777" w:rsidR="006F78B8" w:rsidRPr="005A748D" w:rsidRDefault="006F78B8" w:rsidP="00CA32C6">
            <w:pPr>
              <w:jc w:val="center"/>
              <w:rPr>
                <w:rFonts w:ascii="Arial Narrow" w:hAnsi="Arial Narrow" w:cs="Calibri"/>
                <w:b/>
                <w:bCs/>
                <w:sz w:val="20"/>
                <w:lang w:val="bg-BG"/>
              </w:rPr>
            </w:pPr>
            <w:r w:rsidRPr="005A748D">
              <w:rPr>
                <w:rFonts w:ascii="Arial Narrow" w:hAnsi="Arial Narrow" w:cs="Calibri"/>
                <w:b/>
                <w:bCs/>
                <w:sz w:val="20"/>
                <w:lang w:val="bg-BG"/>
              </w:rPr>
              <w:t>Изм. 2024/2023</w:t>
            </w:r>
          </w:p>
        </w:tc>
      </w:tr>
      <w:tr w:rsidR="006F78B8" w:rsidRPr="00132ABA" w14:paraId="41A5F7F8" w14:textId="77777777" w:rsidTr="00504236">
        <w:trPr>
          <w:trHeight w:val="330"/>
        </w:trPr>
        <w:tc>
          <w:tcPr>
            <w:tcW w:w="606" w:type="pct"/>
            <w:tcBorders>
              <w:top w:val="nil"/>
              <w:left w:val="single" w:sz="4" w:space="0" w:color="auto"/>
              <w:bottom w:val="single" w:sz="4" w:space="0" w:color="auto"/>
              <w:right w:val="single" w:sz="4" w:space="0" w:color="auto"/>
            </w:tcBorders>
            <w:shd w:val="clear" w:color="auto" w:fill="auto"/>
            <w:vAlign w:val="center"/>
            <w:hideMark/>
          </w:tcPr>
          <w:p w14:paraId="6FB4A8FA" w14:textId="77777777" w:rsidR="006F78B8" w:rsidRPr="005A748D" w:rsidRDefault="006F78B8" w:rsidP="00CA32C6">
            <w:pPr>
              <w:rPr>
                <w:rFonts w:ascii="Arial Narrow" w:hAnsi="Arial Narrow" w:cs="Calibri"/>
                <w:sz w:val="20"/>
                <w:lang w:val="bg-BG"/>
              </w:rPr>
            </w:pPr>
            <w:r w:rsidRPr="005A748D">
              <w:rPr>
                <w:rFonts w:ascii="Arial Narrow" w:hAnsi="Arial Narrow" w:cs="Calibri"/>
                <w:sz w:val="20"/>
                <w:lang w:val="bg-BG"/>
              </w:rPr>
              <w:t>Слънчоглед</w:t>
            </w:r>
          </w:p>
        </w:tc>
        <w:tc>
          <w:tcPr>
            <w:tcW w:w="458" w:type="pct"/>
            <w:tcBorders>
              <w:top w:val="nil"/>
              <w:left w:val="nil"/>
              <w:bottom w:val="single" w:sz="4" w:space="0" w:color="auto"/>
              <w:right w:val="single" w:sz="4" w:space="0" w:color="auto"/>
            </w:tcBorders>
            <w:shd w:val="clear" w:color="auto" w:fill="auto"/>
            <w:noWrap/>
            <w:vAlign w:val="center"/>
            <w:hideMark/>
          </w:tcPr>
          <w:p w14:paraId="00C360C1" w14:textId="77777777" w:rsidR="006F78B8" w:rsidRPr="005A748D" w:rsidRDefault="006F78B8" w:rsidP="00CA32C6">
            <w:pPr>
              <w:jc w:val="right"/>
              <w:rPr>
                <w:rFonts w:ascii="Arial Narrow" w:hAnsi="Arial Narrow" w:cs="Calibri"/>
                <w:sz w:val="20"/>
                <w:lang w:val="bg-BG"/>
              </w:rPr>
            </w:pPr>
            <w:r w:rsidRPr="005A748D">
              <w:rPr>
                <w:rFonts w:ascii="Arial Narrow" w:hAnsi="Arial Narrow" w:cs="Calibri"/>
                <w:sz w:val="20"/>
                <w:lang w:val="bg-BG"/>
              </w:rPr>
              <w:t>869 907</w:t>
            </w:r>
          </w:p>
        </w:tc>
        <w:tc>
          <w:tcPr>
            <w:tcW w:w="458" w:type="pct"/>
            <w:tcBorders>
              <w:top w:val="nil"/>
              <w:left w:val="nil"/>
              <w:bottom w:val="single" w:sz="4" w:space="0" w:color="auto"/>
              <w:right w:val="single" w:sz="4" w:space="0" w:color="auto"/>
            </w:tcBorders>
            <w:shd w:val="clear" w:color="auto" w:fill="auto"/>
            <w:noWrap/>
            <w:vAlign w:val="center"/>
            <w:hideMark/>
          </w:tcPr>
          <w:p w14:paraId="62638F2C" w14:textId="77777777" w:rsidR="006F78B8" w:rsidRPr="005A748D" w:rsidRDefault="006F78B8" w:rsidP="00CA32C6">
            <w:pPr>
              <w:jc w:val="right"/>
              <w:rPr>
                <w:rFonts w:ascii="Arial Narrow" w:hAnsi="Arial Narrow" w:cs="Calibri"/>
                <w:sz w:val="20"/>
                <w:lang w:val="bg-BG"/>
              </w:rPr>
            </w:pPr>
            <w:r w:rsidRPr="005A748D">
              <w:rPr>
                <w:rFonts w:ascii="Arial Narrow" w:hAnsi="Arial Narrow" w:cs="Calibri"/>
                <w:sz w:val="20"/>
                <w:lang w:val="bg-BG"/>
              </w:rPr>
              <w:t>929 145</w:t>
            </w:r>
          </w:p>
        </w:tc>
        <w:tc>
          <w:tcPr>
            <w:tcW w:w="526" w:type="pct"/>
            <w:tcBorders>
              <w:top w:val="nil"/>
              <w:left w:val="nil"/>
              <w:bottom w:val="single" w:sz="4" w:space="0" w:color="auto"/>
              <w:right w:val="single" w:sz="4" w:space="0" w:color="auto"/>
            </w:tcBorders>
            <w:shd w:val="clear" w:color="auto" w:fill="auto"/>
            <w:noWrap/>
            <w:vAlign w:val="center"/>
            <w:hideMark/>
          </w:tcPr>
          <w:p w14:paraId="20787AA2" w14:textId="77777777" w:rsidR="006F78B8" w:rsidRPr="005A748D" w:rsidRDefault="006F78B8" w:rsidP="00CA32C6">
            <w:pPr>
              <w:jc w:val="right"/>
              <w:rPr>
                <w:rFonts w:ascii="Arial Narrow" w:hAnsi="Arial Narrow" w:cs="Calibri"/>
                <w:sz w:val="20"/>
                <w:lang w:val="bg-BG"/>
              </w:rPr>
            </w:pPr>
            <w:r w:rsidRPr="005A748D">
              <w:rPr>
                <w:rFonts w:ascii="Arial Narrow" w:hAnsi="Arial Narrow" w:cs="Calibri"/>
                <w:sz w:val="20"/>
                <w:lang w:val="bg-BG"/>
              </w:rPr>
              <w:t>6,8%</w:t>
            </w:r>
          </w:p>
        </w:tc>
        <w:tc>
          <w:tcPr>
            <w:tcW w:w="458" w:type="pct"/>
            <w:tcBorders>
              <w:top w:val="nil"/>
              <w:left w:val="nil"/>
              <w:bottom w:val="single" w:sz="4" w:space="0" w:color="auto"/>
              <w:right w:val="single" w:sz="4" w:space="0" w:color="auto"/>
            </w:tcBorders>
            <w:shd w:val="clear" w:color="auto" w:fill="auto"/>
            <w:noWrap/>
            <w:vAlign w:val="center"/>
            <w:hideMark/>
          </w:tcPr>
          <w:p w14:paraId="49054A27" w14:textId="77777777" w:rsidR="006F78B8" w:rsidRPr="005A748D" w:rsidRDefault="006F78B8" w:rsidP="00CA32C6">
            <w:pPr>
              <w:jc w:val="right"/>
              <w:rPr>
                <w:rFonts w:ascii="Arial Narrow" w:hAnsi="Arial Narrow" w:cs="Calibri"/>
                <w:sz w:val="20"/>
                <w:lang w:val="bg-BG"/>
              </w:rPr>
            </w:pPr>
            <w:r w:rsidRPr="005A748D">
              <w:rPr>
                <w:rFonts w:ascii="Arial Narrow" w:hAnsi="Arial Narrow" w:cs="Calibri"/>
                <w:sz w:val="20"/>
                <w:lang w:val="bg-BG"/>
              </w:rPr>
              <w:t>2,03</w:t>
            </w:r>
          </w:p>
        </w:tc>
        <w:tc>
          <w:tcPr>
            <w:tcW w:w="458" w:type="pct"/>
            <w:tcBorders>
              <w:top w:val="nil"/>
              <w:left w:val="nil"/>
              <w:bottom w:val="single" w:sz="4" w:space="0" w:color="auto"/>
              <w:right w:val="single" w:sz="4" w:space="0" w:color="auto"/>
            </w:tcBorders>
            <w:shd w:val="clear" w:color="auto" w:fill="auto"/>
            <w:noWrap/>
            <w:vAlign w:val="center"/>
            <w:hideMark/>
          </w:tcPr>
          <w:p w14:paraId="6AFAA7F0" w14:textId="77777777" w:rsidR="006F78B8" w:rsidRPr="005A748D" w:rsidRDefault="006F78B8" w:rsidP="00CA32C6">
            <w:pPr>
              <w:jc w:val="right"/>
              <w:rPr>
                <w:rFonts w:ascii="Arial Narrow" w:hAnsi="Arial Narrow" w:cs="Calibri"/>
                <w:sz w:val="20"/>
                <w:lang w:val="bg-BG"/>
              </w:rPr>
            </w:pPr>
            <w:r w:rsidRPr="005A748D">
              <w:rPr>
                <w:rFonts w:ascii="Arial Narrow" w:hAnsi="Arial Narrow" w:cs="Calibri"/>
                <w:sz w:val="20"/>
                <w:lang w:val="bg-BG"/>
              </w:rPr>
              <w:t>1,73</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098000" w14:textId="77777777" w:rsidR="006F78B8" w:rsidRPr="005A748D" w:rsidRDefault="006F78B8" w:rsidP="00CA32C6">
            <w:pPr>
              <w:jc w:val="right"/>
              <w:rPr>
                <w:rFonts w:ascii="Arial Narrow" w:hAnsi="Arial Narrow" w:cs="Calibri"/>
                <w:sz w:val="20"/>
                <w:lang w:val="bg-BG"/>
              </w:rPr>
            </w:pPr>
            <w:r w:rsidRPr="005F1E4E">
              <w:rPr>
                <w:rFonts w:ascii="Arial Narrow" w:hAnsi="Arial Narrow" w:cs="Calibri"/>
                <w:sz w:val="20"/>
              </w:rPr>
              <w:t>-14,8%</w:t>
            </w:r>
          </w:p>
        </w:tc>
        <w:tc>
          <w:tcPr>
            <w:tcW w:w="501" w:type="pct"/>
            <w:tcBorders>
              <w:top w:val="nil"/>
              <w:left w:val="nil"/>
              <w:bottom w:val="single" w:sz="4" w:space="0" w:color="auto"/>
              <w:right w:val="single" w:sz="4" w:space="0" w:color="auto"/>
            </w:tcBorders>
            <w:shd w:val="clear" w:color="auto" w:fill="auto"/>
            <w:noWrap/>
            <w:vAlign w:val="center"/>
            <w:hideMark/>
          </w:tcPr>
          <w:p w14:paraId="6080435C" w14:textId="77777777" w:rsidR="006F78B8" w:rsidRPr="005A748D" w:rsidRDefault="006F78B8" w:rsidP="00CA32C6">
            <w:pPr>
              <w:jc w:val="right"/>
              <w:rPr>
                <w:rFonts w:ascii="Arial Narrow" w:hAnsi="Arial Narrow" w:cs="Calibri"/>
                <w:sz w:val="20"/>
                <w:lang w:val="bg-BG"/>
              </w:rPr>
            </w:pPr>
            <w:r w:rsidRPr="005A748D">
              <w:rPr>
                <w:rFonts w:ascii="Arial Narrow" w:hAnsi="Arial Narrow" w:cs="Calibri"/>
                <w:sz w:val="20"/>
                <w:lang w:val="bg-BG"/>
              </w:rPr>
              <w:t>1 764 594</w:t>
            </w:r>
          </w:p>
        </w:tc>
        <w:tc>
          <w:tcPr>
            <w:tcW w:w="501" w:type="pct"/>
            <w:tcBorders>
              <w:top w:val="nil"/>
              <w:left w:val="nil"/>
              <w:bottom w:val="single" w:sz="4" w:space="0" w:color="auto"/>
              <w:right w:val="single" w:sz="4" w:space="0" w:color="auto"/>
            </w:tcBorders>
            <w:shd w:val="clear" w:color="auto" w:fill="auto"/>
            <w:noWrap/>
            <w:vAlign w:val="center"/>
            <w:hideMark/>
          </w:tcPr>
          <w:p w14:paraId="33A50593" w14:textId="77777777" w:rsidR="006F78B8" w:rsidRPr="005A748D" w:rsidRDefault="006F78B8" w:rsidP="00CA32C6">
            <w:pPr>
              <w:jc w:val="right"/>
              <w:rPr>
                <w:rFonts w:ascii="Arial Narrow" w:hAnsi="Arial Narrow" w:cs="Calibri"/>
                <w:sz w:val="20"/>
                <w:lang w:val="bg-BG"/>
              </w:rPr>
            </w:pPr>
            <w:r w:rsidRPr="005A748D">
              <w:rPr>
                <w:rFonts w:ascii="Arial Narrow" w:hAnsi="Arial Narrow" w:cs="Calibri"/>
                <w:sz w:val="20"/>
                <w:lang w:val="bg-BG"/>
              </w:rPr>
              <w:t>1 609 367</w:t>
            </w:r>
          </w:p>
        </w:tc>
        <w:tc>
          <w:tcPr>
            <w:tcW w:w="507" w:type="pct"/>
            <w:tcBorders>
              <w:top w:val="nil"/>
              <w:left w:val="nil"/>
              <w:bottom w:val="single" w:sz="4" w:space="0" w:color="auto"/>
              <w:right w:val="single" w:sz="4" w:space="0" w:color="auto"/>
            </w:tcBorders>
            <w:shd w:val="clear" w:color="auto" w:fill="auto"/>
            <w:noWrap/>
            <w:vAlign w:val="center"/>
            <w:hideMark/>
          </w:tcPr>
          <w:p w14:paraId="5CD3BA7B" w14:textId="77777777" w:rsidR="006F78B8" w:rsidRPr="005A748D" w:rsidRDefault="006F78B8" w:rsidP="00CA32C6">
            <w:pPr>
              <w:jc w:val="right"/>
              <w:rPr>
                <w:rFonts w:ascii="Arial Narrow" w:hAnsi="Arial Narrow" w:cs="Calibri"/>
                <w:sz w:val="20"/>
                <w:lang w:val="bg-BG"/>
              </w:rPr>
            </w:pPr>
            <w:r w:rsidRPr="005A748D">
              <w:rPr>
                <w:rFonts w:ascii="Arial Narrow" w:hAnsi="Arial Narrow" w:cs="Calibri"/>
                <w:sz w:val="20"/>
                <w:lang w:val="bg-BG"/>
              </w:rPr>
              <w:t>-8,8%</w:t>
            </w:r>
          </w:p>
        </w:tc>
      </w:tr>
      <w:tr w:rsidR="006F78B8" w:rsidRPr="00132ABA" w14:paraId="53531067" w14:textId="77777777" w:rsidTr="00504236">
        <w:trPr>
          <w:trHeight w:val="330"/>
        </w:trPr>
        <w:tc>
          <w:tcPr>
            <w:tcW w:w="606" w:type="pct"/>
            <w:tcBorders>
              <w:top w:val="nil"/>
              <w:left w:val="single" w:sz="4" w:space="0" w:color="auto"/>
              <w:bottom w:val="single" w:sz="4" w:space="0" w:color="auto"/>
              <w:right w:val="single" w:sz="4" w:space="0" w:color="auto"/>
            </w:tcBorders>
            <w:shd w:val="clear" w:color="auto" w:fill="auto"/>
            <w:vAlign w:val="center"/>
            <w:hideMark/>
          </w:tcPr>
          <w:p w14:paraId="1726C587" w14:textId="77777777" w:rsidR="006F78B8" w:rsidRPr="005A748D" w:rsidRDefault="006F78B8" w:rsidP="00CA32C6">
            <w:pPr>
              <w:rPr>
                <w:rFonts w:ascii="Arial Narrow" w:hAnsi="Arial Narrow" w:cs="Calibri"/>
                <w:sz w:val="20"/>
                <w:lang w:val="bg-BG"/>
              </w:rPr>
            </w:pPr>
            <w:r w:rsidRPr="005A748D">
              <w:rPr>
                <w:rFonts w:ascii="Arial Narrow" w:hAnsi="Arial Narrow" w:cs="Calibri"/>
                <w:sz w:val="20"/>
                <w:lang w:val="bg-BG"/>
              </w:rPr>
              <w:t>Рапица</w:t>
            </w:r>
          </w:p>
        </w:tc>
        <w:tc>
          <w:tcPr>
            <w:tcW w:w="458" w:type="pct"/>
            <w:tcBorders>
              <w:top w:val="nil"/>
              <w:left w:val="nil"/>
              <w:bottom w:val="single" w:sz="4" w:space="0" w:color="auto"/>
              <w:right w:val="single" w:sz="4" w:space="0" w:color="auto"/>
            </w:tcBorders>
            <w:shd w:val="clear" w:color="auto" w:fill="auto"/>
            <w:noWrap/>
            <w:vAlign w:val="center"/>
            <w:hideMark/>
          </w:tcPr>
          <w:p w14:paraId="45749D1E" w14:textId="77777777" w:rsidR="006F78B8" w:rsidRPr="005A748D" w:rsidRDefault="006F78B8" w:rsidP="00CA32C6">
            <w:pPr>
              <w:jc w:val="right"/>
              <w:rPr>
                <w:rFonts w:ascii="Arial Narrow" w:hAnsi="Arial Narrow" w:cs="Calibri"/>
                <w:sz w:val="20"/>
                <w:lang w:val="bg-BG"/>
              </w:rPr>
            </w:pPr>
            <w:r w:rsidRPr="005A748D">
              <w:rPr>
                <w:rFonts w:ascii="Arial Narrow" w:hAnsi="Arial Narrow" w:cs="Calibri"/>
                <w:sz w:val="20"/>
                <w:lang w:val="bg-BG"/>
              </w:rPr>
              <w:t>79 794</w:t>
            </w:r>
          </w:p>
        </w:tc>
        <w:tc>
          <w:tcPr>
            <w:tcW w:w="458" w:type="pct"/>
            <w:tcBorders>
              <w:top w:val="nil"/>
              <w:left w:val="nil"/>
              <w:bottom w:val="single" w:sz="4" w:space="0" w:color="auto"/>
              <w:right w:val="single" w:sz="4" w:space="0" w:color="auto"/>
            </w:tcBorders>
            <w:shd w:val="clear" w:color="auto" w:fill="auto"/>
            <w:noWrap/>
            <w:vAlign w:val="center"/>
            <w:hideMark/>
          </w:tcPr>
          <w:p w14:paraId="25BC4FE8" w14:textId="77777777" w:rsidR="006F78B8" w:rsidRPr="005A748D" w:rsidRDefault="006F78B8" w:rsidP="00CA32C6">
            <w:pPr>
              <w:jc w:val="right"/>
              <w:rPr>
                <w:rFonts w:ascii="Arial Narrow" w:hAnsi="Arial Narrow" w:cs="Calibri"/>
                <w:sz w:val="20"/>
                <w:lang w:val="bg-BG"/>
              </w:rPr>
            </w:pPr>
            <w:r w:rsidRPr="005A748D">
              <w:rPr>
                <w:rFonts w:ascii="Arial Narrow" w:hAnsi="Arial Narrow" w:cs="Calibri"/>
                <w:sz w:val="20"/>
                <w:lang w:val="bg-BG"/>
              </w:rPr>
              <w:t>64 264</w:t>
            </w:r>
          </w:p>
        </w:tc>
        <w:tc>
          <w:tcPr>
            <w:tcW w:w="526" w:type="pct"/>
            <w:tcBorders>
              <w:top w:val="nil"/>
              <w:left w:val="nil"/>
              <w:bottom w:val="single" w:sz="4" w:space="0" w:color="auto"/>
              <w:right w:val="single" w:sz="4" w:space="0" w:color="auto"/>
            </w:tcBorders>
            <w:shd w:val="clear" w:color="auto" w:fill="auto"/>
            <w:noWrap/>
            <w:vAlign w:val="center"/>
            <w:hideMark/>
          </w:tcPr>
          <w:p w14:paraId="4452401D" w14:textId="77777777" w:rsidR="006F78B8" w:rsidRPr="005A748D" w:rsidRDefault="006F78B8" w:rsidP="00CA32C6">
            <w:pPr>
              <w:jc w:val="right"/>
              <w:rPr>
                <w:rFonts w:ascii="Arial Narrow" w:hAnsi="Arial Narrow" w:cs="Calibri"/>
                <w:sz w:val="20"/>
                <w:lang w:val="bg-BG"/>
              </w:rPr>
            </w:pPr>
            <w:r w:rsidRPr="005A748D">
              <w:rPr>
                <w:rFonts w:ascii="Arial Narrow" w:hAnsi="Arial Narrow" w:cs="Calibri"/>
                <w:sz w:val="20"/>
                <w:lang w:val="bg-BG"/>
              </w:rPr>
              <w:t>-19,5%</w:t>
            </w:r>
          </w:p>
        </w:tc>
        <w:tc>
          <w:tcPr>
            <w:tcW w:w="458" w:type="pct"/>
            <w:tcBorders>
              <w:top w:val="nil"/>
              <w:left w:val="nil"/>
              <w:bottom w:val="single" w:sz="4" w:space="0" w:color="auto"/>
              <w:right w:val="single" w:sz="4" w:space="0" w:color="auto"/>
            </w:tcBorders>
            <w:shd w:val="clear" w:color="auto" w:fill="auto"/>
            <w:noWrap/>
            <w:vAlign w:val="center"/>
            <w:hideMark/>
          </w:tcPr>
          <w:p w14:paraId="2272614B" w14:textId="77777777" w:rsidR="006F78B8" w:rsidRPr="005A748D" w:rsidRDefault="006F78B8" w:rsidP="00CA32C6">
            <w:pPr>
              <w:jc w:val="right"/>
              <w:rPr>
                <w:rFonts w:ascii="Arial Narrow" w:hAnsi="Arial Narrow" w:cs="Calibri"/>
                <w:sz w:val="20"/>
                <w:lang w:val="bg-BG"/>
              </w:rPr>
            </w:pPr>
            <w:r w:rsidRPr="005A748D">
              <w:rPr>
                <w:rFonts w:ascii="Arial Narrow" w:hAnsi="Arial Narrow" w:cs="Calibri"/>
                <w:sz w:val="20"/>
                <w:lang w:val="bg-BG"/>
              </w:rPr>
              <w:t>2,57</w:t>
            </w:r>
          </w:p>
        </w:tc>
        <w:tc>
          <w:tcPr>
            <w:tcW w:w="458" w:type="pct"/>
            <w:tcBorders>
              <w:top w:val="nil"/>
              <w:left w:val="nil"/>
              <w:bottom w:val="single" w:sz="4" w:space="0" w:color="auto"/>
              <w:right w:val="single" w:sz="4" w:space="0" w:color="auto"/>
            </w:tcBorders>
            <w:shd w:val="clear" w:color="auto" w:fill="auto"/>
            <w:noWrap/>
            <w:vAlign w:val="center"/>
            <w:hideMark/>
          </w:tcPr>
          <w:p w14:paraId="190B3C09" w14:textId="77777777" w:rsidR="006F78B8" w:rsidRPr="005A748D" w:rsidRDefault="006F78B8" w:rsidP="00CA32C6">
            <w:pPr>
              <w:jc w:val="right"/>
              <w:rPr>
                <w:rFonts w:ascii="Arial Narrow" w:hAnsi="Arial Narrow" w:cs="Calibri"/>
                <w:sz w:val="20"/>
                <w:lang w:val="bg-BG"/>
              </w:rPr>
            </w:pPr>
            <w:r w:rsidRPr="005A748D">
              <w:rPr>
                <w:rFonts w:ascii="Arial Narrow" w:hAnsi="Arial Narrow" w:cs="Calibri"/>
                <w:sz w:val="20"/>
                <w:lang w:val="bg-BG"/>
              </w:rPr>
              <w:t>2,46</w:t>
            </w:r>
          </w:p>
        </w:tc>
        <w:tc>
          <w:tcPr>
            <w:tcW w:w="527" w:type="pct"/>
            <w:tcBorders>
              <w:top w:val="nil"/>
              <w:left w:val="single" w:sz="4" w:space="0" w:color="auto"/>
              <w:bottom w:val="single" w:sz="4" w:space="0" w:color="auto"/>
              <w:right w:val="single" w:sz="4" w:space="0" w:color="auto"/>
            </w:tcBorders>
            <w:shd w:val="clear" w:color="auto" w:fill="auto"/>
            <w:noWrap/>
            <w:vAlign w:val="center"/>
            <w:hideMark/>
          </w:tcPr>
          <w:p w14:paraId="5F0AEB2D" w14:textId="77777777" w:rsidR="006F78B8" w:rsidRPr="005A748D" w:rsidRDefault="006F78B8" w:rsidP="00CA32C6">
            <w:pPr>
              <w:jc w:val="right"/>
              <w:rPr>
                <w:rFonts w:ascii="Arial Narrow" w:hAnsi="Arial Narrow" w:cs="Calibri"/>
                <w:sz w:val="20"/>
                <w:lang w:val="bg-BG"/>
              </w:rPr>
            </w:pPr>
            <w:r w:rsidRPr="005F1E4E">
              <w:rPr>
                <w:rFonts w:ascii="Arial Narrow" w:hAnsi="Arial Narrow" w:cs="Calibri"/>
                <w:sz w:val="20"/>
              </w:rPr>
              <w:t>-4,3%</w:t>
            </w:r>
          </w:p>
        </w:tc>
        <w:tc>
          <w:tcPr>
            <w:tcW w:w="501" w:type="pct"/>
            <w:tcBorders>
              <w:top w:val="nil"/>
              <w:left w:val="nil"/>
              <w:bottom w:val="single" w:sz="4" w:space="0" w:color="auto"/>
              <w:right w:val="single" w:sz="4" w:space="0" w:color="auto"/>
            </w:tcBorders>
            <w:shd w:val="clear" w:color="auto" w:fill="auto"/>
            <w:noWrap/>
            <w:vAlign w:val="center"/>
            <w:hideMark/>
          </w:tcPr>
          <w:p w14:paraId="40ED093F" w14:textId="77777777" w:rsidR="006F78B8" w:rsidRPr="005A748D" w:rsidRDefault="006F78B8" w:rsidP="00CA32C6">
            <w:pPr>
              <w:jc w:val="right"/>
              <w:rPr>
                <w:rFonts w:ascii="Arial Narrow" w:hAnsi="Arial Narrow" w:cs="Calibri"/>
                <w:sz w:val="20"/>
                <w:lang w:val="bg-BG"/>
              </w:rPr>
            </w:pPr>
            <w:r w:rsidRPr="005A748D">
              <w:rPr>
                <w:rFonts w:ascii="Arial Narrow" w:hAnsi="Arial Narrow" w:cs="Calibri"/>
                <w:sz w:val="20"/>
                <w:lang w:val="bg-BG"/>
              </w:rPr>
              <w:t>204 788</w:t>
            </w:r>
          </w:p>
        </w:tc>
        <w:tc>
          <w:tcPr>
            <w:tcW w:w="501" w:type="pct"/>
            <w:tcBorders>
              <w:top w:val="nil"/>
              <w:left w:val="nil"/>
              <w:bottom w:val="single" w:sz="4" w:space="0" w:color="auto"/>
              <w:right w:val="single" w:sz="4" w:space="0" w:color="auto"/>
            </w:tcBorders>
            <w:shd w:val="clear" w:color="auto" w:fill="auto"/>
            <w:noWrap/>
            <w:vAlign w:val="center"/>
            <w:hideMark/>
          </w:tcPr>
          <w:p w14:paraId="60887EF1" w14:textId="77777777" w:rsidR="006F78B8" w:rsidRPr="005A748D" w:rsidRDefault="006F78B8" w:rsidP="00CA32C6">
            <w:pPr>
              <w:jc w:val="right"/>
              <w:rPr>
                <w:rFonts w:ascii="Arial Narrow" w:hAnsi="Arial Narrow" w:cs="Calibri"/>
                <w:sz w:val="20"/>
                <w:lang w:val="bg-BG"/>
              </w:rPr>
            </w:pPr>
            <w:r w:rsidRPr="005A748D">
              <w:rPr>
                <w:rFonts w:ascii="Arial Narrow" w:hAnsi="Arial Narrow" w:cs="Calibri"/>
                <w:sz w:val="20"/>
                <w:lang w:val="bg-BG"/>
              </w:rPr>
              <w:t>158 134</w:t>
            </w:r>
          </w:p>
        </w:tc>
        <w:tc>
          <w:tcPr>
            <w:tcW w:w="507" w:type="pct"/>
            <w:tcBorders>
              <w:top w:val="nil"/>
              <w:left w:val="nil"/>
              <w:bottom w:val="single" w:sz="4" w:space="0" w:color="auto"/>
              <w:right w:val="single" w:sz="4" w:space="0" w:color="auto"/>
            </w:tcBorders>
            <w:shd w:val="clear" w:color="auto" w:fill="auto"/>
            <w:noWrap/>
            <w:vAlign w:val="center"/>
            <w:hideMark/>
          </w:tcPr>
          <w:p w14:paraId="6F7AC135" w14:textId="77777777" w:rsidR="006F78B8" w:rsidRPr="005A748D" w:rsidRDefault="006F78B8" w:rsidP="00CA32C6">
            <w:pPr>
              <w:jc w:val="right"/>
              <w:rPr>
                <w:rFonts w:ascii="Arial Narrow" w:hAnsi="Arial Narrow" w:cs="Calibri"/>
                <w:sz w:val="20"/>
                <w:lang w:val="bg-BG"/>
              </w:rPr>
            </w:pPr>
            <w:r w:rsidRPr="005A748D">
              <w:rPr>
                <w:rFonts w:ascii="Arial Narrow" w:hAnsi="Arial Narrow" w:cs="Calibri"/>
                <w:sz w:val="20"/>
                <w:lang w:val="bg-BG"/>
              </w:rPr>
              <w:t>-22,8%</w:t>
            </w:r>
          </w:p>
        </w:tc>
      </w:tr>
    </w:tbl>
    <w:p w14:paraId="34A92CE4" w14:textId="77777777" w:rsidR="006F78B8" w:rsidRPr="00132ABA" w:rsidRDefault="006F78B8" w:rsidP="006F78B8">
      <w:pPr>
        <w:autoSpaceDE w:val="0"/>
        <w:autoSpaceDN w:val="0"/>
        <w:adjustRightInd w:val="0"/>
        <w:spacing w:after="120"/>
        <w:ind w:right="142"/>
        <w:rPr>
          <w:rFonts w:ascii="Arial Narrow" w:hAnsi="Arial Narrow"/>
          <w:sz w:val="20"/>
          <w:highlight w:val="yellow"/>
        </w:rPr>
      </w:pPr>
      <w:r w:rsidRPr="006F78B8">
        <w:rPr>
          <w:rFonts w:ascii="Arial Narrow" w:hAnsi="Arial Narrow"/>
          <w:i/>
          <w:sz w:val="18"/>
          <w:szCs w:val="18"/>
        </w:rPr>
        <w:t>Източник:</w:t>
      </w:r>
      <w:r w:rsidRPr="00132ABA">
        <w:rPr>
          <w:rFonts w:ascii="Arial Narrow" w:hAnsi="Arial Narrow"/>
          <w:i/>
          <w:sz w:val="18"/>
          <w:szCs w:val="18"/>
        </w:rPr>
        <w:t xml:space="preserve"> </w:t>
      </w:r>
      <w:r w:rsidRPr="00132ABA">
        <w:rPr>
          <w:rFonts w:ascii="Arial Narrow" w:hAnsi="Arial Narrow"/>
          <w:sz w:val="18"/>
          <w:szCs w:val="18"/>
        </w:rPr>
        <w:t>МЗХ, отдел  “Агростатистика”</w:t>
      </w:r>
    </w:p>
    <w:p w14:paraId="592BE8C4" w14:textId="77777777" w:rsidR="006F78B8" w:rsidRPr="00132ABA" w:rsidRDefault="006F78B8" w:rsidP="006F78B8">
      <w:pPr>
        <w:pStyle w:val="Default"/>
        <w:widowControl w:val="0"/>
        <w:spacing w:after="120"/>
        <w:ind w:firstLine="709"/>
        <w:jc w:val="both"/>
        <w:rPr>
          <w:rFonts w:ascii="Arial Narrow" w:hAnsi="Arial Narrow"/>
          <w:b/>
          <w:color w:val="auto"/>
        </w:rPr>
      </w:pPr>
      <w:r w:rsidRPr="00132ABA">
        <w:rPr>
          <w:rFonts w:ascii="Arial Narrow" w:hAnsi="Arial Narrow"/>
          <w:b/>
          <w:color w:val="auto"/>
        </w:rPr>
        <w:t xml:space="preserve">Слънчоглед </w:t>
      </w:r>
    </w:p>
    <w:p w14:paraId="048D7B0D" w14:textId="77777777" w:rsidR="006F78B8" w:rsidRPr="00132ABA" w:rsidRDefault="006F78B8" w:rsidP="006F78B8">
      <w:pPr>
        <w:pStyle w:val="Default"/>
        <w:widowControl w:val="0"/>
        <w:spacing w:after="120"/>
        <w:ind w:firstLine="709"/>
        <w:jc w:val="both"/>
        <w:rPr>
          <w:rFonts w:ascii="Arial Narrow" w:hAnsi="Arial Narrow"/>
          <w:color w:val="auto"/>
          <w:highlight w:val="yellow"/>
        </w:rPr>
      </w:pPr>
      <w:r w:rsidRPr="00132ABA">
        <w:rPr>
          <w:rFonts w:ascii="Arial Narrow" w:hAnsi="Arial Narrow"/>
          <w:color w:val="auto"/>
        </w:rPr>
        <w:lastRenderedPageBreak/>
        <w:t>Производството на слънчоглед през 2024 г. възлиза на 1</w:t>
      </w:r>
      <w:r w:rsidRPr="005A748D">
        <w:rPr>
          <w:rFonts w:ascii="Arial Narrow" w:hAnsi="Arial Narrow"/>
          <w:color w:val="auto"/>
        </w:rPr>
        <w:t> </w:t>
      </w:r>
      <w:r w:rsidRPr="005F1E4E">
        <w:rPr>
          <w:rFonts w:ascii="Arial Narrow" w:hAnsi="Arial Narrow"/>
          <w:color w:val="auto"/>
        </w:rPr>
        <w:t>609</w:t>
      </w:r>
      <w:r w:rsidRPr="005A748D">
        <w:rPr>
          <w:rFonts w:ascii="Arial Narrow" w:hAnsi="Arial Narrow"/>
          <w:color w:val="auto"/>
        </w:rPr>
        <w:t xml:space="preserve">,4 хил. </w:t>
      </w:r>
      <w:r w:rsidRPr="005F1E4E">
        <w:rPr>
          <w:rFonts w:ascii="Arial Narrow" w:hAnsi="Arial Narrow"/>
          <w:color w:val="auto"/>
        </w:rPr>
        <w:t>тона. Количеството е с 8,8</w:t>
      </w:r>
      <w:r w:rsidRPr="00132ABA">
        <w:rPr>
          <w:rFonts w:ascii="Arial Narrow" w:hAnsi="Arial Narrow"/>
          <w:color w:val="auto"/>
        </w:rPr>
        <w:t xml:space="preserve">% под нивото от предходната година, като увеличението на реколтираните площи </w:t>
      </w:r>
      <w:r>
        <w:rPr>
          <w:rFonts w:ascii="Arial Narrow" w:hAnsi="Arial Narrow"/>
          <w:color w:val="auto"/>
        </w:rPr>
        <w:t>(</w:t>
      </w:r>
      <w:r w:rsidRPr="00132ABA">
        <w:rPr>
          <w:rFonts w:ascii="Arial Narrow" w:hAnsi="Arial Narrow"/>
          <w:color w:val="auto"/>
        </w:rPr>
        <w:t>с 6,8%, до 929 145 ха</w:t>
      </w:r>
      <w:r>
        <w:rPr>
          <w:rFonts w:ascii="Arial Narrow" w:hAnsi="Arial Narrow"/>
          <w:color w:val="auto"/>
        </w:rPr>
        <w:t>) компенсира частично намалението на</w:t>
      </w:r>
      <w:r w:rsidRPr="00132ABA">
        <w:rPr>
          <w:rFonts w:ascii="Arial Narrow" w:hAnsi="Arial Narrow"/>
          <w:color w:val="auto"/>
        </w:rPr>
        <w:t xml:space="preserve"> средния добив </w:t>
      </w:r>
      <w:r>
        <w:rPr>
          <w:rFonts w:ascii="Arial Narrow" w:hAnsi="Arial Narrow"/>
          <w:color w:val="auto"/>
        </w:rPr>
        <w:t>(</w:t>
      </w:r>
      <w:r w:rsidRPr="00132ABA">
        <w:rPr>
          <w:rFonts w:ascii="Arial Narrow" w:hAnsi="Arial Narrow"/>
          <w:color w:val="auto"/>
        </w:rPr>
        <w:t>с 14,</w:t>
      </w:r>
      <w:r w:rsidRPr="005A748D">
        <w:rPr>
          <w:rFonts w:ascii="Arial Narrow" w:hAnsi="Arial Narrow"/>
          <w:color w:val="auto"/>
        </w:rPr>
        <w:t>8</w:t>
      </w:r>
      <w:r w:rsidRPr="005F1E4E">
        <w:rPr>
          <w:rFonts w:ascii="Arial Narrow" w:hAnsi="Arial Narrow"/>
          <w:color w:val="auto"/>
        </w:rPr>
        <w:t>%, до 1,73 тона/ха</w:t>
      </w:r>
      <w:r>
        <w:rPr>
          <w:rFonts w:ascii="Arial Narrow" w:hAnsi="Arial Narrow"/>
          <w:color w:val="auto"/>
        </w:rPr>
        <w:t>)</w:t>
      </w:r>
      <w:r w:rsidRPr="005F1E4E">
        <w:rPr>
          <w:rFonts w:ascii="Arial Narrow" w:hAnsi="Arial Narrow"/>
          <w:color w:val="auto"/>
        </w:rPr>
        <w:t>. Засетит</w:t>
      </w:r>
      <w:r w:rsidRPr="00132ABA">
        <w:rPr>
          <w:rFonts w:ascii="Arial Narrow" w:hAnsi="Arial Narrow"/>
          <w:color w:val="auto"/>
        </w:rPr>
        <w:t>е площи със слънчоглед през 2024 г. са 933 532 ха</w:t>
      </w:r>
      <w:r>
        <w:rPr>
          <w:rFonts w:ascii="Arial Narrow" w:hAnsi="Arial Narrow"/>
          <w:color w:val="auto"/>
        </w:rPr>
        <w:t>,</w:t>
      </w:r>
      <w:r w:rsidRPr="00132ABA">
        <w:rPr>
          <w:rFonts w:ascii="Arial Narrow" w:hAnsi="Arial Narrow"/>
          <w:color w:val="auto"/>
        </w:rPr>
        <w:t xml:space="preserve"> с 6,8% повече на годишна база. </w:t>
      </w:r>
    </w:p>
    <w:p w14:paraId="42B65F04" w14:textId="77777777" w:rsidR="006F78B8" w:rsidRPr="00132ABA" w:rsidRDefault="006F78B8" w:rsidP="006F78B8">
      <w:pPr>
        <w:pStyle w:val="Default"/>
        <w:widowControl w:val="0"/>
        <w:spacing w:after="120"/>
        <w:ind w:firstLine="709"/>
        <w:jc w:val="both"/>
        <w:rPr>
          <w:rFonts w:ascii="Arial Narrow" w:hAnsi="Arial Narrow"/>
          <w:color w:val="auto"/>
        </w:rPr>
      </w:pPr>
      <w:r w:rsidRPr="00132ABA">
        <w:rPr>
          <w:rFonts w:ascii="Arial Narrow" w:hAnsi="Arial Narrow"/>
          <w:color w:val="auto"/>
        </w:rPr>
        <w:t xml:space="preserve">Площите със слънчоглед в Североизточния район представляват 23,9% от общо реколтираните площи със слънчоглед в страната през 2024 г. Следва Северозападният район с 23,1%. </w:t>
      </w:r>
    </w:p>
    <w:p w14:paraId="6967E641" w14:textId="77777777" w:rsidR="006F78B8" w:rsidRPr="005F1E4E" w:rsidRDefault="006F78B8" w:rsidP="006F78B8">
      <w:pPr>
        <w:pStyle w:val="Default"/>
        <w:widowControl w:val="0"/>
        <w:spacing w:after="120"/>
        <w:ind w:firstLine="709"/>
        <w:jc w:val="both"/>
        <w:rPr>
          <w:rFonts w:ascii="Arial Narrow" w:hAnsi="Arial Narrow"/>
          <w:b/>
          <w:color w:val="auto"/>
        </w:rPr>
      </w:pPr>
      <w:r w:rsidRPr="00132ABA">
        <w:rPr>
          <w:rFonts w:ascii="Arial Narrow" w:hAnsi="Arial Narrow"/>
          <w:color w:val="auto"/>
        </w:rPr>
        <w:t xml:space="preserve">Най-голям е делът на слънчогледа, разположен върху предшественик пшеница – 68%. Ечемикът, включен в сеитбооборота на слънчогледа през годината, е 7,4%. Делът на отглеждания слънчоглед като монокултура е 2,7%, </w:t>
      </w:r>
      <w:r w:rsidRPr="005A748D">
        <w:rPr>
          <w:rFonts w:ascii="Arial Narrow" w:hAnsi="Arial Narrow"/>
          <w:color w:val="auto"/>
        </w:rPr>
        <w:t xml:space="preserve">при </w:t>
      </w:r>
      <w:r w:rsidRPr="005F1E4E">
        <w:rPr>
          <w:rFonts w:ascii="Arial Narrow" w:hAnsi="Arial Narrow"/>
          <w:color w:val="auto"/>
        </w:rPr>
        <w:t>2,3%</w:t>
      </w:r>
      <w:r w:rsidRPr="005A748D">
        <w:rPr>
          <w:rFonts w:ascii="Arial Narrow" w:hAnsi="Arial Narrow"/>
          <w:color w:val="auto"/>
        </w:rPr>
        <w:t xml:space="preserve"> през предходната година</w:t>
      </w:r>
      <w:r w:rsidRPr="005F1E4E">
        <w:rPr>
          <w:rFonts w:ascii="Arial Narrow" w:hAnsi="Arial Narrow"/>
          <w:color w:val="auto"/>
        </w:rPr>
        <w:t>.</w:t>
      </w:r>
    </w:p>
    <w:p w14:paraId="51F94898" w14:textId="77777777" w:rsidR="006F78B8" w:rsidRPr="00132ABA" w:rsidRDefault="006F78B8" w:rsidP="006F78B8">
      <w:pPr>
        <w:pStyle w:val="Default"/>
        <w:widowControl w:val="0"/>
        <w:spacing w:after="120"/>
        <w:ind w:firstLine="709"/>
        <w:jc w:val="both"/>
        <w:rPr>
          <w:rFonts w:ascii="Arial Narrow" w:hAnsi="Arial Narrow"/>
          <w:b/>
          <w:color w:val="auto"/>
        </w:rPr>
      </w:pPr>
      <w:r w:rsidRPr="00132ABA">
        <w:rPr>
          <w:rFonts w:ascii="Arial Narrow" w:hAnsi="Arial Narrow"/>
          <w:b/>
          <w:color w:val="auto"/>
        </w:rPr>
        <w:t xml:space="preserve">Рапица </w:t>
      </w:r>
    </w:p>
    <w:p w14:paraId="6362C828" w14:textId="77777777" w:rsidR="006F78B8" w:rsidRPr="005F1E4E" w:rsidRDefault="006F78B8" w:rsidP="006F78B8">
      <w:pPr>
        <w:pStyle w:val="Default"/>
        <w:widowControl w:val="0"/>
        <w:spacing w:after="120"/>
        <w:ind w:firstLine="709"/>
        <w:jc w:val="both"/>
        <w:rPr>
          <w:rFonts w:ascii="Arial Narrow" w:eastAsia="Calibri" w:hAnsi="Arial Narrow"/>
          <w:b/>
          <w:color w:val="auto"/>
          <w:lang w:eastAsia="en-US"/>
        </w:rPr>
      </w:pPr>
      <w:r w:rsidRPr="00132ABA">
        <w:rPr>
          <w:rFonts w:ascii="Arial Narrow" w:hAnsi="Arial Narrow"/>
          <w:color w:val="auto"/>
        </w:rPr>
        <w:t xml:space="preserve">През 2024 г. в страната са </w:t>
      </w:r>
      <w:r>
        <w:rPr>
          <w:rFonts w:ascii="Arial Narrow" w:hAnsi="Arial Narrow"/>
          <w:color w:val="auto"/>
        </w:rPr>
        <w:t>прибрани</w:t>
      </w:r>
      <w:r w:rsidRPr="00132ABA">
        <w:rPr>
          <w:rFonts w:ascii="Arial Narrow" w:hAnsi="Arial Narrow"/>
          <w:color w:val="auto"/>
        </w:rPr>
        <w:t xml:space="preserve"> 158</w:t>
      </w:r>
      <w:r w:rsidRPr="005A748D">
        <w:rPr>
          <w:rFonts w:ascii="Arial Narrow" w:hAnsi="Arial Narrow"/>
          <w:color w:val="auto"/>
        </w:rPr>
        <w:t xml:space="preserve">,1 хил. </w:t>
      </w:r>
      <w:r w:rsidRPr="005F1E4E">
        <w:rPr>
          <w:rFonts w:ascii="Arial Narrow" w:hAnsi="Arial Narrow"/>
          <w:color w:val="auto"/>
        </w:rPr>
        <w:t xml:space="preserve">тона рапица, което е с </w:t>
      </w:r>
      <w:r w:rsidRPr="005A748D">
        <w:rPr>
          <w:rFonts w:ascii="Arial Narrow" w:hAnsi="Arial Narrow"/>
          <w:color w:val="auto"/>
        </w:rPr>
        <w:t>22</w:t>
      </w:r>
      <w:r w:rsidRPr="005F1E4E">
        <w:rPr>
          <w:rFonts w:ascii="Arial Narrow" w:hAnsi="Arial Narrow"/>
          <w:color w:val="auto"/>
        </w:rPr>
        <w:t>,</w:t>
      </w:r>
      <w:r w:rsidRPr="005A748D">
        <w:rPr>
          <w:rFonts w:ascii="Arial Narrow" w:hAnsi="Arial Narrow"/>
          <w:color w:val="auto"/>
        </w:rPr>
        <w:t>8</w:t>
      </w:r>
      <w:r w:rsidRPr="005F1E4E">
        <w:rPr>
          <w:rFonts w:ascii="Arial Narrow" w:hAnsi="Arial Narrow"/>
          <w:color w:val="auto"/>
        </w:rPr>
        <w:t xml:space="preserve">% по-малко спрямо 2023 г. Засетите площи с рапица през 2024 г. са 66 343 ха, </w:t>
      </w:r>
      <w:r>
        <w:rPr>
          <w:rFonts w:ascii="Arial Narrow" w:hAnsi="Arial Narrow"/>
          <w:color w:val="auto"/>
        </w:rPr>
        <w:t xml:space="preserve">от които реколтирани са </w:t>
      </w:r>
      <w:r w:rsidRPr="005F1E4E">
        <w:rPr>
          <w:rFonts w:ascii="Arial Narrow" w:hAnsi="Arial Narrow"/>
          <w:color w:val="auto"/>
        </w:rPr>
        <w:t>64 </w:t>
      </w:r>
      <w:r w:rsidRPr="00132ABA">
        <w:rPr>
          <w:rFonts w:ascii="Arial Narrow" w:hAnsi="Arial Narrow"/>
          <w:color w:val="auto"/>
        </w:rPr>
        <w:t>264 ха</w:t>
      </w:r>
      <w:r>
        <w:rPr>
          <w:rFonts w:ascii="Arial Narrow" w:hAnsi="Arial Narrow"/>
          <w:color w:val="auto"/>
        </w:rPr>
        <w:t xml:space="preserve">, съответно </w:t>
      </w:r>
      <w:r w:rsidRPr="00132ABA">
        <w:rPr>
          <w:rFonts w:ascii="Arial Narrow" w:hAnsi="Arial Narrow"/>
          <w:color w:val="auto"/>
        </w:rPr>
        <w:t xml:space="preserve"> със 17,6% </w:t>
      </w:r>
      <w:r>
        <w:rPr>
          <w:rFonts w:ascii="Arial Narrow" w:hAnsi="Arial Narrow"/>
          <w:color w:val="auto"/>
        </w:rPr>
        <w:t>и 19,5% под нивото от предходната година</w:t>
      </w:r>
      <w:r w:rsidRPr="00132ABA">
        <w:rPr>
          <w:rFonts w:ascii="Arial Narrow" w:hAnsi="Arial Narrow"/>
          <w:color w:val="auto"/>
        </w:rPr>
        <w:t xml:space="preserve">. При средния добив </w:t>
      </w:r>
      <w:r w:rsidRPr="005A748D">
        <w:rPr>
          <w:rFonts w:ascii="Arial Narrow" w:hAnsi="Arial Narrow"/>
          <w:color w:val="auto"/>
        </w:rPr>
        <w:t xml:space="preserve">също </w:t>
      </w:r>
      <w:r w:rsidRPr="005F1E4E">
        <w:rPr>
          <w:rFonts w:ascii="Arial Narrow" w:hAnsi="Arial Narrow"/>
          <w:color w:val="auto"/>
        </w:rPr>
        <w:t>се отчита намаление</w:t>
      </w:r>
      <w:r w:rsidRPr="005A748D">
        <w:rPr>
          <w:rFonts w:ascii="Arial Narrow" w:hAnsi="Arial Narrow"/>
          <w:color w:val="auto"/>
        </w:rPr>
        <w:t xml:space="preserve"> – </w:t>
      </w:r>
      <w:r w:rsidRPr="005F1E4E">
        <w:rPr>
          <w:rFonts w:ascii="Arial Narrow" w:hAnsi="Arial Narrow"/>
          <w:color w:val="auto"/>
        </w:rPr>
        <w:t>с</w:t>
      </w:r>
      <w:r w:rsidRPr="005A748D">
        <w:rPr>
          <w:rFonts w:ascii="Arial Narrow" w:hAnsi="Arial Narrow"/>
          <w:color w:val="auto"/>
        </w:rPr>
        <w:t xml:space="preserve"> </w:t>
      </w:r>
      <w:r w:rsidRPr="005F1E4E">
        <w:rPr>
          <w:rFonts w:ascii="Arial Narrow" w:hAnsi="Arial Narrow"/>
          <w:color w:val="auto"/>
        </w:rPr>
        <w:t>4,</w:t>
      </w:r>
      <w:r w:rsidRPr="005A748D">
        <w:rPr>
          <w:rFonts w:ascii="Arial Narrow" w:hAnsi="Arial Narrow"/>
          <w:color w:val="auto"/>
        </w:rPr>
        <w:t>3</w:t>
      </w:r>
      <w:r w:rsidRPr="005F1E4E">
        <w:rPr>
          <w:rFonts w:ascii="Arial Narrow" w:hAnsi="Arial Narrow"/>
          <w:color w:val="auto"/>
        </w:rPr>
        <w:t xml:space="preserve">%. </w:t>
      </w:r>
    </w:p>
    <w:p w14:paraId="5FA597AC" w14:textId="77777777" w:rsidR="00CC55F6" w:rsidRPr="006F78B8" w:rsidRDefault="00D240E5" w:rsidP="00F25EF9">
      <w:pPr>
        <w:pStyle w:val="ListParagraph"/>
        <w:numPr>
          <w:ilvl w:val="2"/>
          <w:numId w:val="8"/>
        </w:numPr>
        <w:tabs>
          <w:tab w:val="left" w:pos="900"/>
          <w:tab w:val="left" w:pos="990"/>
        </w:tabs>
        <w:spacing w:before="120" w:after="120"/>
        <w:ind w:left="901" w:hanging="544"/>
        <w:contextualSpacing w:val="0"/>
        <w:jc w:val="both"/>
        <w:outlineLvl w:val="0"/>
        <w:rPr>
          <w:rFonts w:ascii="Arial Narrow" w:hAnsi="Arial Narrow"/>
          <w:b/>
          <w:lang w:val="bg-BG"/>
        </w:rPr>
      </w:pPr>
      <w:bookmarkStart w:id="35" w:name="_Toc526866137"/>
      <w:bookmarkStart w:id="36" w:name="_Toc210747542"/>
      <w:r w:rsidRPr="006F78B8">
        <w:rPr>
          <w:rFonts w:ascii="Arial Narrow" w:hAnsi="Arial Narrow"/>
          <w:b/>
          <w:lang w:val="bg-BG"/>
        </w:rPr>
        <w:t xml:space="preserve">Мониторинг на пазара </w:t>
      </w:r>
      <w:r w:rsidR="00313443" w:rsidRPr="006F78B8">
        <w:rPr>
          <w:rFonts w:ascii="Arial Narrow" w:hAnsi="Arial Narrow"/>
          <w:b/>
          <w:lang w:val="bg-BG"/>
        </w:rPr>
        <w:t>на зърно</w:t>
      </w:r>
      <w:bookmarkEnd w:id="35"/>
      <w:bookmarkEnd w:id="36"/>
    </w:p>
    <w:p w14:paraId="6EB885F6" w14:textId="77777777" w:rsidR="006F78B8" w:rsidRPr="00132ABA" w:rsidRDefault="006F78B8" w:rsidP="006F78B8">
      <w:pPr>
        <w:pStyle w:val="Default"/>
        <w:widowControl w:val="0"/>
        <w:spacing w:after="120"/>
        <w:ind w:firstLine="709"/>
        <w:jc w:val="both"/>
        <w:rPr>
          <w:rFonts w:ascii="Arial Narrow" w:hAnsi="Arial Narrow"/>
          <w:color w:val="auto"/>
        </w:rPr>
      </w:pPr>
      <w:r w:rsidRPr="005F1E4E">
        <w:rPr>
          <w:rFonts w:ascii="Arial Narrow" w:hAnsi="Arial Narrow"/>
          <w:color w:val="auto"/>
        </w:rPr>
        <w:t xml:space="preserve">През 2024 г. се наблюдава </w:t>
      </w:r>
      <w:r w:rsidRPr="00132ABA">
        <w:rPr>
          <w:rFonts w:ascii="Arial Narrow" w:hAnsi="Arial Narrow"/>
          <w:color w:val="auto"/>
        </w:rPr>
        <w:t>незначително</w:t>
      </w:r>
      <w:r w:rsidRPr="005F1E4E">
        <w:rPr>
          <w:rFonts w:ascii="Arial Narrow" w:hAnsi="Arial Narrow"/>
          <w:color w:val="auto"/>
        </w:rPr>
        <w:t xml:space="preserve"> увеличение на общия капацитет за съхранение</w:t>
      </w:r>
      <w:r w:rsidRPr="00132ABA">
        <w:rPr>
          <w:rFonts w:ascii="Arial Narrow" w:hAnsi="Arial Narrow"/>
          <w:color w:val="auto"/>
        </w:rPr>
        <w:t xml:space="preserve"> на зърно в България.</w:t>
      </w:r>
    </w:p>
    <w:p w14:paraId="37F81E76" w14:textId="77777777" w:rsidR="006F78B8" w:rsidRPr="005A748D" w:rsidRDefault="006F78B8" w:rsidP="006F78B8">
      <w:pPr>
        <w:pStyle w:val="Default"/>
        <w:widowControl w:val="0"/>
        <w:spacing w:after="120"/>
        <w:ind w:firstLine="709"/>
        <w:jc w:val="both"/>
        <w:rPr>
          <w:rFonts w:ascii="Arial Narrow" w:hAnsi="Arial Narrow"/>
          <w:color w:val="auto"/>
          <w:lang w:eastAsia="en-US"/>
        </w:rPr>
      </w:pPr>
      <w:r w:rsidRPr="005A748D">
        <w:rPr>
          <w:rFonts w:ascii="Arial Narrow" w:hAnsi="Arial Narrow"/>
          <w:color w:val="auto"/>
        </w:rPr>
        <w:t xml:space="preserve">В рамките на годината е актуализиран Регистърът на обектите за съхранение на зърно в страната, като са вписани 42 броя нови обекти за съхранение на зърно, направена е промяна в обстоятелствата на 183 броя вписани обекти и са заличени 28 броя. Към 31.12.2024 г. в страната има общо 4 245 броя активни обекти за съхранение на зърно, с капацитет от 18 930 027 тона. </w:t>
      </w:r>
      <w:r w:rsidRPr="005A748D">
        <w:rPr>
          <w:rFonts w:ascii="Arial Narrow" w:hAnsi="Arial Narrow"/>
          <w:color w:val="auto"/>
          <w:lang w:eastAsia="en-US"/>
        </w:rPr>
        <w:tab/>
      </w:r>
    </w:p>
    <w:p w14:paraId="44B56484" w14:textId="77777777" w:rsidR="00CC55F6" w:rsidRPr="006F78B8" w:rsidRDefault="00313443" w:rsidP="00F25EF9">
      <w:pPr>
        <w:pStyle w:val="ListParagraph"/>
        <w:numPr>
          <w:ilvl w:val="2"/>
          <w:numId w:val="8"/>
        </w:numPr>
        <w:tabs>
          <w:tab w:val="left" w:pos="900"/>
          <w:tab w:val="left" w:pos="990"/>
        </w:tabs>
        <w:spacing w:before="120" w:after="120"/>
        <w:ind w:left="901" w:hanging="544"/>
        <w:contextualSpacing w:val="0"/>
        <w:jc w:val="both"/>
        <w:outlineLvl w:val="0"/>
        <w:rPr>
          <w:rFonts w:ascii="Arial Narrow" w:hAnsi="Arial Narrow"/>
          <w:lang w:val="bg-BG"/>
        </w:rPr>
      </w:pPr>
      <w:bookmarkStart w:id="37" w:name="_Toc526866138"/>
      <w:bookmarkStart w:id="38" w:name="_Toc210747543"/>
      <w:r w:rsidRPr="006F78B8">
        <w:rPr>
          <w:rFonts w:ascii="Arial Narrow" w:hAnsi="Arial Narrow"/>
          <w:b/>
          <w:lang w:val="bg-BG"/>
        </w:rPr>
        <w:t>Окачествяване на реколта `20</w:t>
      </w:r>
      <w:bookmarkEnd w:id="37"/>
      <w:r w:rsidR="00CC55F6" w:rsidRPr="006F78B8">
        <w:rPr>
          <w:rFonts w:ascii="Arial Narrow" w:hAnsi="Arial Narrow"/>
          <w:b/>
          <w:lang w:val="bg-BG"/>
        </w:rPr>
        <w:t>2</w:t>
      </w:r>
      <w:r w:rsidR="006F78B8" w:rsidRPr="006F78B8">
        <w:rPr>
          <w:rFonts w:ascii="Arial Narrow" w:hAnsi="Arial Narrow"/>
          <w:b/>
          <w:lang w:val="bg-BG"/>
        </w:rPr>
        <w:t>4</w:t>
      </w:r>
      <w:bookmarkEnd w:id="38"/>
    </w:p>
    <w:p w14:paraId="7DDDF903" w14:textId="77777777" w:rsidR="006F78B8" w:rsidRPr="00132ABA" w:rsidRDefault="006F78B8" w:rsidP="006F78B8">
      <w:pPr>
        <w:spacing w:after="120"/>
        <w:ind w:firstLine="709"/>
        <w:jc w:val="both"/>
        <w:rPr>
          <w:rFonts w:ascii="Arial Narrow" w:eastAsia="Calibri" w:hAnsi="Arial Narrow"/>
          <w:b/>
          <w:u w:val="single"/>
        </w:rPr>
      </w:pPr>
      <w:r w:rsidRPr="005F1E4E">
        <w:rPr>
          <w:rFonts w:ascii="Arial Narrow" w:hAnsi="Arial Narrow"/>
        </w:rPr>
        <w:t>За извършване на представително окачествяване на пшеница, ечемик, слънчоглед, царевица и оризо</w:t>
      </w:r>
      <w:r w:rsidRPr="00132ABA">
        <w:rPr>
          <w:rFonts w:ascii="Arial Narrow" w:hAnsi="Arial Narrow"/>
        </w:rPr>
        <w:t xml:space="preserve">ва арпа от реколта 2024 г. са взети и анализирани 3 248 броя проби от 3 871 906 тона от добитото количество зърно. </w:t>
      </w:r>
    </w:p>
    <w:p w14:paraId="47A6D8DB" w14:textId="77777777" w:rsidR="006F78B8" w:rsidRPr="00132ABA" w:rsidRDefault="006F78B8" w:rsidP="006F78B8">
      <w:pPr>
        <w:spacing w:after="120"/>
        <w:ind w:firstLine="709"/>
        <w:rPr>
          <w:rFonts w:ascii="Arial Narrow" w:hAnsi="Arial Narrow"/>
        </w:rPr>
      </w:pPr>
      <w:r w:rsidRPr="00132ABA">
        <w:rPr>
          <w:rFonts w:ascii="Arial Narrow" w:eastAsia="Calibri" w:hAnsi="Arial Narrow"/>
          <w:b/>
        </w:rPr>
        <w:t>Окачествяване на пшеница от реколта `2024</w:t>
      </w:r>
    </w:p>
    <w:p w14:paraId="66DA31A2" w14:textId="77777777" w:rsidR="006F78B8" w:rsidRPr="005F1E4E" w:rsidRDefault="006F78B8" w:rsidP="006F78B8">
      <w:pPr>
        <w:spacing w:after="120"/>
        <w:ind w:firstLine="709"/>
        <w:jc w:val="both"/>
        <w:rPr>
          <w:rFonts w:ascii="Arial Narrow" w:hAnsi="Arial Narrow"/>
        </w:rPr>
      </w:pPr>
      <w:r w:rsidRPr="00132ABA">
        <w:rPr>
          <w:rFonts w:ascii="Arial Narrow" w:hAnsi="Arial Narrow"/>
        </w:rPr>
        <w:t>Крайните резултати от проведените от БАБХ лабораторни анализи на средните проби от пшеница - реколта `2024 показват, че 73% от произведеното пшенично зърно през 2024 г</w:t>
      </w:r>
      <w:r>
        <w:rPr>
          <w:rFonts w:ascii="Arial Narrow" w:hAnsi="Arial Narrow"/>
        </w:rPr>
        <w:t>.</w:t>
      </w:r>
      <w:r w:rsidRPr="00132ABA">
        <w:rPr>
          <w:rFonts w:ascii="Arial Narrow" w:hAnsi="Arial Narrow"/>
        </w:rPr>
        <w:t xml:space="preserve"> е с високи хлебопекарни качества и се отнася към първа, втора и втора Б групи</w:t>
      </w:r>
      <w:r w:rsidRPr="005A748D">
        <w:rPr>
          <w:rFonts w:ascii="Arial Narrow" w:hAnsi="Arial Narrow"/>
        </w:rPr>
        <w:t>, при 48,7% през предходната година</w:t>
      </w:r>
      <w:r w:rsidRPr="005F1E4E">
        <w:rPr>
          <w:rFonts w:ascii="Arial Narrow" w:hAnsi="Arial Narrow"/>
        </w:rPr>
        <w:t xml:space="preserve">. През </w:t>
      </w:r>
      <w:r w:rsidRPr="005A748D">
        <w:rPr>
          <w:rFonts w:ascii="Arial Narrow" w:hAnsi="Arial Narrow"/>
        </w:rPr>
        <w:t xml:space="preserve">2024 г. се </w:t>
      </w:r>
      <w:r w:rsidRPr="005F1E4E">
        <w:rPr>
          <w:rFonts w:ascii="Arial Narrow" w:hAnsi="Arial Narrow"/>
        </w:rPr>
        <w:t>отбелязва</w:t>
      </w:r>
      <w:r w:rsidRPr="005A748D">
        <w:rPr>
          <w:rFonts w:ascii="Arial Narrow" w:hAnsi="Arial Narrow"/>
        </w:rPr>
        <w:t xml:space="preserve"> </w:t>
      </w:r>
      <w:r w:rsidRPr="005F1E4E">
        <w:rPr>
          <w:rFonts w:ascii="Arial Narrow" w:hAnsi="Arial Narrow"/>
        </w:rPr>
        <w:t xml:space="preserve">значително повишение на количеството на пшеницата с високо качество спрямо </w:t>
      </w:r>
      <w:r w:rsidRPr="005A748D">
        <w:rPr>
          <w:rFonts w:ascii="Arial Narrow" w:hAnsi="Arial Narrow"/>
        </w:rPr>
        <w:t>година по-рано</w:t>
      </w:r>
      <w:r w:rsidRPr="005F1E4E">
        <w:rPr>
          <w:rFonts w:ascii="Arial Narrow" w:hAnsi="Arial Narrow"/>
        </w:rPr>
        <w:t>, дължащо се на добрите метрологични условия.</w:t>
      </w:r>
    </w:p>
    <w:p w14:paraId="5BAEF927" w14:textId="77777777" w:rsidR="006F78B8" w:rsidRPr="00132ABA" w:rsidRDefault="006F78B8" w:rsidP="006F78B8">
      <w:pPr>
        <w:spacing w:after="120"/>
        <w:ind w:firstLine="709"/>
        <w:jc w:val="both"/>
        <w:rPr>
          <w:rFonts w:ascii="Arial Narrow" w:hAnsi="Arial Narrow"/>
        </w:rPr>
      </w:pPr>
      <w:r w:rsidRPr="00132ABA">
        <w:rPr>
          <w:rFonts w:ascii="Arial Narrow" w:hAnsi="Arial Narrow"/>
        </w:rPr>
        <w:t xml:space="preserve">Разпределението на зърното по групи е както следва: </w:t>
      </w:r>
    </w:p>
    <w:p w14:paraId="62993D2F" w14:textId="77777777" w:rsidR="006F78B8" w:rsidRPr="005F1E4E" w:rsidRDefault="006F78B8" w:rsidP="009C6577">
      <w:pPr>
        <w:pStyle w:val="ListParagraph"/>
        <w:numPr>
          <w:ilvl w:val="0"/>
          <w:numId w:val="44"/>
        </w:numPr>
        <w:spacing w:after="120"/>
        <w:ind w:left="709" w:hanging="357"/>
        <w:contextualSpacing w:val="0"/>
        <w:jc w:val="both"/>
        <w:rPr>
          <w:rFonts w:ascii="Arial Narrow" w:hAnsi="Arial Narrow"/>
          <w:lang w:val="bg-BG"/>
        </w:rPr>
      </w:pPr>
      <w:r w:rsidRPr="00132ABA">
        <w:rPr>
          <w:rFonts w:ascii="Arial Narrow" w:hAnsi="Arial Narrow"/>
          <w:lang w:val="bg-BG"/>
        </w:rPr>
        <w:t>Първа група – 4,7%</w:t>
      </w:r>
      <w:r w:rsidRPr="005A748D">
        <w:rPr>
          <w:rFonts w:ascii="Arial Narrow" w:hAnsi="Arial Narrow"/>
          <w:lang w:val="bg-BG"/>
        </w:rPr>
        <w:t xml:space="preserve">, при </w:t>
      </w:r>
      <w:r w:rsidRPr="005F1E4E">
        <w:rPr>
          <w:rFonts w:ascii="Arial Narrow" w:hAnsi="Arial Narrow"/>
          <w:lang w:val="bg-BG"/>
        </w:rPr>
        <w:t xml:space="preserve">1,6% за 2023 г.; </w:t>
      </w:r>
    </w:p>
    <w:p w14:paraId="2BCD231F" w14:textId="77777777" w:rsidR="006F78B8" w:rsidRPr="005F1E4E" w:rsidRDefault="006F78B8" w:rsidP="009C6577">
      <w:pPr>
        <w:pStyle w:val="ListParagraph"/>
        <w:numPr>
          <w:ilvl w:val="0"/>
          <w:numId w:val="44"/>
        </w:numPr>
        <w:spacing w:after="120"/>
        <w:contextualSpacing w:val="0"/>
        <w:jc w:val="both"/>
        <w:rPr>
          <w:rFonts w:ascii="Arial Narrow" w:hAnsi="Arial Narrow"/>
          <w:lang w:val="bg-BG"/>
        </w:rPr>
      </w:pPr>
      <w:r w:rsidRPr="00132ABA">
        <w:rPr>
          <w:rFonts w:ascii="Arial Narrow" w:hAnsi="Arial Narrow"/>
          <w:lang w:val="bg-BG"/>
        </w:rPr>
        <w:t>Втора група – 15,8%</w:t>
      </w:r>
      <w:r w:rsidRPr="005A748D">
        <w:rPr>
          <w:rFonts w:ascii="Arial Narrow" w:hAnsi="Arial Narrow"/>
          <w:lang w:val="bg-BG"/>
        </w:rPr>
        <w:t xml:space="preserve">, при </w:t>
      </w:r>
      <w:r w:rsidRPr="005F1E4E">
        <w:rPr>
          <w:rFonts w:ascii="Arial Narrow" w:hAnsi="Arial Narrow"/>
          <w:lang w:val="bg-BG"/>
        </w:rPr>
        <w:t xml:space="preserve">11,8% за 2023 г.; </w:t>
      </w:r>
    </w:p>
    <w:p w14:paraId="77C91714" w14:textId="77777777" w:rsidR="006F78B8" w:rsidRPr="005F1E4E" w:rsidRDefault="006F78B8" w:rsidP="009C6577">
      <w:pPr>
        <w:pStyle w:val="ListParagraph"/>
        <w:numPr>
          <w:ilvl w:val="0"/>
          <w:numId w:val="44"/>
        </w:numPr>
        <w:spacing w:after="120"/>
        <w:contextualSpacing w:val="0"/>
        <w:jc w:val="both"/>
        <w:rPr>
          <w:rFonts w:ascii="Arial Narrow" w:hAnsi="Arial Narrow"/>
          <w:lang w:val="bg-BG"/>
        </w:rPr>
      </w:pPr>
      <w:r w:rsidRPr="005F1E4E">
        <w:rPr>
          <w:rFonts w:ascii="Arial Narrow" w:hAnsi="Arial Narrow"/>
          <w:lang w:val="bg-BG"/>
        </w:rPr>
        <w:t>Втора Б група – 52,5</w:t>
      </w:r>
      <w:r w:rsidRPr="00132ABA">
        <w:rPr>
          <w:rFonts w:ascii="Arial Narrow" w:hAnsi="Arial Narrow"/>
          <w:lang w:val="bg-BG"/>
        </w:rPr>
        <w:t>%</w:t>
      </w:r>
      <w:r w:rsidRPr="005A748D">
        <w:rPr>
          <w:rFonts w:ascii="Arial Narrow" w:hAnsi="Arial Narrow"/>
          <w:lang w:val="bg-BG"/>
        </w:rPr>
        <w:t xml:space="preserve">, при </w:t>
      </w:r>
      <w:r w:rsidRPr="005F1E4E">
        <w:rPr>
          <w:rFonts w:ascii="Arial Narrow" w:hAnsi="Arial Narrow"/>
          <w:lang w:val="bg-BG"/>
        </w:rPr>
        <w:t>35,</w:t>
      </w:r>
      <w:r w:rsidRPr="005A748D">
        <w:rPr>
          <w:rFonts w:ascii="Arial Narrow" w:hAnsi="Arial Narrow"/>
          <w:lang w:val="bg-BG"/>
        </w:rPr>
        <w:t>3</w:t>
      </w:r>
      <w:r w:rsidRPr="005F1E4E">
        <w:rPr>
          <w:rFonts w:ascii="Arial Narrow" w:hAnsi="Arial Narrow"/>
          <w:lang w:val="bg-BG"/>
        </w:rPr>
        <w:t>% за 2023 г.;</w:t>
      </w:r>
    </w:p>
    <w:p w14:paraId="78874AA8" w14:textId="77777777" w:rsidR="006F78B8" w:rsidRPr="005E7158" w:rsidRDefault="006F78B8" w:rsidP="009C6577">
      <w:pPr>
        <w:pStyle w:val="ListParagraph"/>
        <w:numPr>
          <w:ilvl w:val="0"/>
          <w:numId w:val="44"/>
        </w:numPr>
        <w:tabs>
          <w:tab w:val="left" w:pos="709"/>
          <w:tab w:val="left" w:pos="1276"/>
        </w:tabs>
        <w:spacing w:after="120" w:line="276" w:lineRule="auto"/>
        <w:jc w:val="both"/>
        <w:rPr>
          <w:rFonts w:ascii="Arial Narrow" w:hAnsi="Arial Narrow"/>
        </w:rPr>
      </w:pPr>
      <w:r w:rsidRPr="005A748D">
        <w:rPr>
          <w:rFonts w:ascii="Arial Narrow" w:eastAsia="Calibri" w:hAnsi="Arial Narrow"/>
          <w:lang w:val="bg-BG"/>
        </w:rPr>
        <w:t>Трета група – 27,0%, при 51,3% за 2023 г.</w:t>
      </w:r>
    </w:p>
    <w:p w14:paraId="7947FA8D" w14:textId="77777777" w:rsidR="006F78B8" w:rsidRPr="00132ABA" w:rsidRDefault="006F78B8" w:rsidP="006F78B8">
      <w:pPr>
        <w:tabs>
          <w:tab w:val="left" w:pos="709"/>
          <w:tab w:val="left" w:pos="1276"/>
        </w:tabs>
        <w:spacing w:after="120"/>
        <w:jc w:val="both"/>
        <w:rPr>
          <w:rFonts w:ascii="Arial Narrow" w:hAnsi="Arial Narrow"/>
        </w:rPr>
      </w:pPr>
      <w:r w:rsidRPr="005A748D">
        <w:rPr>
          <w:rFonts w:ascii="Arial Narrow" w:hAnsi="Arial Narrow"/>
        </w:rPr>
        <w:tab/>
      </w:r>
      <w:r w:rsidRPr="005F1E4E">
        <w:rPr>
          <w:rFonts w:ascii="Arial Narrow" w:hAnsi="Arial Narrow"/>
        </w:rPr>
        <w:t xml:space="preserve">Средните стойности на основните показатели, които определят качествената характеристика на зърното от реколта </w:t>
      </w:r>
      <w:r w:rsidRPr="00132ABA">
        <w:rPr>
          <w:rFonts w:ascii="Arial Narrow" w:hAnsi="Arial Narrow"/>
        </w:rPr>
        <w:t>`2024 за страната са:</w:t>
      </w:r>
    </w:p>
    <w:p w14:paraId="5963E63D" w14:textId="77777777" w:rsidR="006F78B8" w:rsidRPr="00132ABA" w:rsidRDefault="006F78B8" w:rsidP="009C6577">
      <w:pPr>
        <w:pStyle w:val="ListParagraph"/>
        <w:numPr>
          <w:ilvl w:val="0"/>
          <w:numId w:val="90"/>
        </w:numPr>
        <w:spacing w:after="120" w:line="276" w:lineRule="auto"/>
        <w:ind w:left="709"/>
        <w:jc w:val="both"/>
        <w:rPr>
          <w:rFonts w:ascii="Arial Narrow" w:hAnsi="Arial Narrow"/>
          <w:lang w:val="bg-BG"/>
        </w:rPr>
      </w:pPr>
      <w:r w:rsidRPr="00132ABA">
        <w:rPr>
          <w:rFonts w:ascii="Arial Narrow" w:hAnsi="Arial Narrow"/>
          <w:lang w:val="bg-BG"/>
        </w:rPr>
        <w:t>съдържание на влага: 10,3% ± 0,5%</w:t>
      </w:r>
      <w:r w:rsidRPr="005A748D">
        <w:rPr>
          <w:rFonts w:ascii="Arial Narrow" w:hAnsi="Arial Narrow"/>
          <w:lang w:val="bg-BG"/>
        </w:rPr>
        <w:t xml:space="preserve">, при </w:t>
      </w:r>
      <w:r w:rsidRPr="005F1E4E">
        <w:rPr>
          <w:rFonts w:ascii="Arial Narrow" w:hAnsi="Arial Narrow"/>
          <w:lang w:val="bg-BG"/>
        </w:rPr>
        <w:t>11,1% ± 0,5</w:t>
      </w:r>
      <w:r w:rsidRPr="00132ABA">
        <w:rPr>
          <w:rFonts w:ascii="Arial Narrow" w:hAnsi="Arial Narrow"/>
          <w:lang w:val="bg-BG"/>
        </w:rPr>
        <w:t xml:space="preserve">% за 2023 г.; </w:t>
      </w:r>
    </w:p>
    <w:p w14:paraId="6884851B" w14:textId="77777777" w:rsidR="006F78B8" w:rsidRPr="005F1E4E" w:rsidRDefault="006F78B8" w:rsidP="009C6577">
      <w:pPr>
        <w:pStyle w:val="ListParagraph"/>
        <w:numPr>
          <w:ilvl w:val="0"/>
          <w:numId w:val="90"/>
        </w:numPr>
        <w:spacing w:after="120" w:line="276" w:lineRule="auto"/>
        <w:ind w:left="709"/>
        <w:jc w:val="both"/>
        <w:rPr>
          <w:rFonts w:ascii="Arial Narrow" w:hAnsi="Arial Narrow"/>
          <w:lang w:val="bg-BG"/>
        </w:rPr>
      </w:pPr>
      <w:r w:rsidRPr="00132ABA">
        <w:rPr>
          <w:rFonts w:ascii="Arial Narrow" w:hAnsi="Arial Narrow"/>
          <w:lang w:val="bg-BG"/>
        </w:rPr>
        <w:t>хектолитрова маса: 77,0 kg/100 dm3 ± 2,2 kg/100 dm3</w:t>
      </w:r>
      <w:r w:rsidRPr="005A748D">
        <w:rPr>
          <w:rFonts w:ascii="Arial Narrow" w:hAnsi="Arial Narrow"/>
          <w:lang w:val="bg-BG"/>
        </w:rPr>
        <w:t xml:space="preserve">, при </w:t>
      </w:r>
      <w:r w:rsidRPr="005F1E4E">
        <w:rPr>
          <w:rFonts w:ascii="Arial Narrow" w:hAnsi="Arial Narrow"/>
          <w:lang w:val="bg-BG"/>
        </w:rPr>
        <w:t xml:space="preserve">75,2 kg/100 dm3 ± 2,3 kg/100 dm3 за 2023 г.; </w:t>
      </w:r>
    </w:p>
    <w:p w14:paraId="3EF33992" w14:textId="77777777" w:rsidR="006F78B8" w:rsidRPr="00132ABA" w:rsidRDefault="006F78B8" w:rsidP="009C6577">
      <w:pPr>
        <w:pStyle w:val="ListParagraph"/>
        <w:numPr>
          <w:ilvl w:val="0"/>
          <w:numId w:val="90"/>
        </w:numPr>
        <w:spacing w:after="120" w:line="276" w:lineRule="auto"/>
        <w:ind w:left="709"/>
        <w:jc w:val="both"/>
        <w:rPr>
          <w:rFonts w:ascii="Arial Narrow" w:hAnsi="Arial Narrow"/>
          <w:lang w:val="bg-BG"/>
        </w:rPr>
      </w:pPr>
      <w:r w:rsidRPr="005F1E4E">
        <w:rPr>
          <w:rFonts w:ascii="Arial Narrow" w:hAnsi="Arial Narrow"/>
          <w:lang w:val="bg-BG"/>
        </w:rPr>
        <w:t>добив на мокър глутен: 25</w:t>
      </w:r>
      <w:r w:rsidRPr="00132ABA">
        <w:rPr>
          <w:rFonts w:ascii="Arial Narrow" w:hAnsi="Arial Narrow"/>
          <w:lang w:val="bg-BG"/>
        </w:rPr>
        <w:t>% ± 3,0%</w:t>
      </w:r>
      <w:r w:rsidRPr="005A748D">
        <w:rPr>
          <w:rFonts w:ascii="Arial Narrow" w:hAnsi="Arial Narrow"/>
          <w:lang w:val="bg-BG"/>
        </w:rPr>
        <w:t xml:space="preserve">, при </w:t>
      </w:r>
      <w:r w:rsidRPr="005F1E4E">
        <w:rPr>
          <w:rFonts w:ascii="Arial Narrow" w:hAnsi="Arial Narrow"/>
          <w:lang w:val="bg-BG"/>
        </w:rPr>
        <w:t>21,3% ± 2,6</w:t>
      </w:r>
      <w:r w:rsidRPr="00132ABA">
        <w:rPr>
          <w:rFonts w:ascii="Arial Narrow" w:hAnsi="Arial Narrow"/>
          <w:lang w:val="bg-BG"/>
        </w:rPr>
        <w:t xml:space="preserve">% за 2023 г.;  </w:t>
      </w:r>
    </w:p>
    <w:p w14:paraId="13F46AF0" w14:textId="77777777" w:rsidR="006F78B8" w:rsidRPr="005F1E4E" w:rsidRDefault="006F78B8" w:rsidP="009C6577">
      <w:pPr>
        <w:pStyle w:val="ListParagraph"/>
        <w:numPr>
          <w:ilvl w:val="0"/>
          <w:numId w:val="90"/>
        </w:numPr>
        <w:spacing w:after="120" w:line="276" w:lineRule="auto"/>
        <w:ind w:left="709"/>
        <w:jc w:val="both"/>
        <w:rPr>
          <w:rFonts w:ascii="Arial Narrow" w:hAnsi="Arial Narrow"/>
          <w:lang w:val="bg-BG"/>
        </w:rPr>
      </w:pPr>
      <w:r w:rsidRPr="00132ABA">
        <w:rPr>
          <w:rFonts w:ascii="Arial Narrow" w:hAnsi="Arial Narrow"/>
          <w:lang w:val="bg-BG"/>
        </w:rPr>
        <w:t>отпускане на глутена: 7,7 мм ± 1,7 мм</w:t>
      </w:r>
      <w:r w:rsidRPr="005A748D">
        <w:rPr>
          <w:rFonts w:ascii="Arial Narrow" w:hAnsi="Arial Narrow"/>
          <w:lang w:val="bg-BG"/>
        </w:rPr>
        <w:t xml:space="preserve">, при </w:t>
      </w:r>
      <w:r w:rsidRPr="005F1E4E">
        <w:rPr>
          <w:rFonts w:ascii="Arial Narrow" w:hAnsi="Arial Narrow"/>
          <w:lang w:val="bg-BG"/>
        </w:rPr>
        <w:t xml:space="preserve">6,9 мм ± 1,2 мм </w:t>
      </w:r>
      <w:r w:rsidRPr="005A748D">
        <w:rPr>
          <w:rFonts w:ascii="Arial Narrow" w:hAnsi="Arial Narrow"/>
          <w:lang w:val="bg-BG"/>
        </w:rPr>
        <w:t>за</w:t>
      </w:r>
      <w:r w:rsidRPr="005F1E4E">
        <w:rPr>
          <w:rFonts w:ascii="Arial Narrow" w:hAnsi="Arial Narrow"/>
          <w:lang w:val="bg-BG"/>
        </w:rPr>
        <w:t xml:space="preserve"> 2023 г.; </w:t>
      </w:r>
    </w:p>
    <w:p w14:paraId="22B724F3" w14:textId="77777777" w:rsidR="006F78B8" w:rsidRPr="005F1E4E" w:rsidRDefault="006F78B8" w:rsidP="009C6577">
      <w:pPr>
        <w:pStyle w:val="ListParagraph"/>
        <w:numPr>
          <w:ilvl w:val="0"/>
          <w:numId w:val="90"/>
        </w:numPr>
        <w:spacing w:after="120" w:line="276" w:lineRule="auto"/>
        <w:ind w:left="709"/>
        <w:jc w:val="both"/>
        <w:rPr>
          <w:rFonts w:ascii="Arial Narrow" w:hAnsi="Arial Narrow"/>
          <w:lang w:val="bg-BG"/>
        </w:rPr>
      </w:pPr>
      <w:r w:rsidRPr="005F1E4E">
        <w:rPr>
          <w:rFonts w:ascii="Arial Narrow" w:hAnsi="Arial Narrow"/>
          <w:lang w:val="bg-BG"/>
        </w:rPr>
        <w:t>число на хлебопекарна сила: 55,4 усл. ед. ± 5,5 усл. ед.</w:t>
      </w:r>
      <w:r w:rsidRPr="005A748D">
        <w:rPr>
          <w:rFonts w:ascii="Arial Narrow" w:hAnsi="Arial Narrow"/>
          <w:lang w:val="bg-BG"/>
        </w:rPr>
        <w:t xml:space="preserve">, при </w:t>
      </w:r>
      <w:r w:rsidRPr="005F1E4E">
        <w:rPr>
          <w:rFonts w:ascii="Arial Narrow" w:hAnsi="Arial Narrow"/>
          <w:lang w:val="bg-BG"/>
        </w:rPr>
        <w:t xml:space="preserve">55 усл. ед. ± 4,6 усл. ед. </w:t>
      </w:r>
      <w:r w:rsidRPr="005A748D">
        <w:rPr>
          <w:rFonts w:ascii="Arial Narrow" w:hAnsi="Arial Narrow"/>
          <w:lang w:val="bg-BG"/>
        </w:rPr>
        <w:t>з</w:t>
      </w:r>
      <w:r w:rsidRPr="005F1E4E">
        <w:rPr>
          <w:rFonts w:ascii="Arial Narrow" w:hAnsi="Arial Narrow"/>
          <w:lang w:val="bg-BG"/>
        </w:rPr>
        <w:t xml:space="preserve">а 2023 г.; </w:t>
      </w:r>
    </w:p>
    <w:p w14:paraId="671134C0" w14:textId="77777777" w:rsidR="006F78B8" w:rsidRPr="00132ABA" w:rsidRDefault="006F78B8" w:rsidP="009C6577">
      <w:pPr>
        <w:pStyle w:val="ListParagraph"/>
        <w:numPr>
          <w:ilvl w:val="0"/>
          <w:numId w:val="90"/>
        </w:numPr>
        <w:spacing w:after="120" w:line="276" w:lineRule="auto"/>
        <w:ind w:left="709"/>
        <w:jc w:val="both"/>
        <w:rPr>
          <w:rFonts w:ascii="Arial Narrow" w:hAnsi="Arial Narrow"/>
          <w:lang w:val="bg-BG"/>
        </w:rPr>
      </w:pPr>
      <w:r w:rsidRPr="005F1E4E">
        <w:rPr>
          <w:rFonts w:ascii="Arial Narrow" w:hAnsi="Arial Narrow"/>
          <w:lang w:val="bg-BG"/>
        </w:rPr>
        <w:t>съдържание на протеин: 12,1</w:t>
      </w:r>
      <w:r w:rsidRPr="00132ABA">
        <w:rPr>
          <w:rFonts w:ascii="Arial Narrow" w:hAnsi="Arial Narrow"/>
          <w:lang w:val="bg-BG"/>
        </w:rPr>
        <w:t>% с.в. ± 1,1% с.в.</w:t>
      </w:r>
      <w:r w:rsidRPr="005A748D">
        <w:rPr>
          <w:rFonts w:ascii="Arial Narrow" w:hAnsi="Arial Narrow"/>
          <w:lang w:val="bg-BG"/>
        </w:rPr>
        <w:t xml:space="preserve">, при </w:t>
      </w:r>
      <w:r w:rsidRPr="005F1E4E">
        <w:rPr>
          <w:rFonts w:ascii="Arial Narrow" w:hAnsi="Arial Narrow"/>
          <w:lang w:val="bg-BG"/>
        </w:rPr>
        <w:t>11,7% с.в. ± 1,1</w:t>
      </w:r>
      <w:r w:rsidRPr="00132ABA">
        <w:rPr>
          <w:rFonts w:ascii="Arial Narrow" w:hAnsi="Arial Narrow"/>
          <w:lang w:val="bg-BG"/>
        </w:rPr>
        <w:t xml:space="preserve">% с.в. за 2023 г.; </w:t>
      </w:r>
    </w:p>
    <w:p w14:paraId="1A21859D" w14:textId="77777777" w:rsidR="006F78B8" w:rsidRPr="005F1E4E" w:rsidRDefault="006F78B8" w:rsidP="009C6577">
      <w:pPr>
        <w:pStyle w:val="ListParagraph"/>
        <w:numPr>
          <w:ilvl w:val="0"/>
          <w:numId w:val="90"/>
        </w:numPr>
        <w:spacing w:after="120" w:line="276" w:lineRule="auto"/>
        <w:ind w:left="709"/>
        <w:jc w:val="both"/>
        <w:rPr>
          <w:rFonts w:ascii="Arial Narrow" w:hAnsi="Arial Narrow"/>
          <w:lang w:val="bg-BG"/>
        </w:rPr>
      </w:pPr>
      <w:r w:rsidRPr="00132ABA">
        <w:rPr>
          <w:rFonts w:ascii="Arial Narrow" w:hAnsi="Arial Narrow"/>
          <w:lang w:val="bg-BG"/>
        </w:rPr>
        <w:lastRenderedPageBreak/>
        <w:t>число на падане: 385,9 сек. ± 36,5 сек.</w:t>
      </w:r>
      <w:r w:rsidRPr="005A748D">
        <w:rPr>
          <w:rFonts w:ascii="Arial Narrow" w:hAnsi="Arial Narrow"/>
          <w:lang w:val="bg-BG"/>
        </w:rPr>
        <w:t xml:space="preserve">, при </w:t>
      </w:r>
      <w:r w:rsidRPr="005F1E4E">
        <w:rPr>
          <w:rFonts w:ascii="Arial Narrow" w:hAnsi="Arial Narrow"/>
          <w:lang w:val="bg-BG"/>
        </w:rPr>
        <w:t xml:space="preserve">372,8 сек. ± 38,5 сек. </w:t>
      </w:r>
      <w:r w:rsidRPr="005A748D">
        <w:rPr>
          <w:rFonts w:ascii="Arial Narrow" w:hAnsi="Arial Narrow"/>
          <w:lang w:val="bg-BG"/>
        </w:rPr>
        <w:t>з</w:t>
      </w:r>
      <w:r w:rsidRPr="005F1E4E">
        <w:rPr>
          <w:rFonts w:ascii="Arial Narrow" w:hAnsi="Arial Narrow"/>
          <w:lang w:val="bg-BG"/>
        </w:rPr>
        <w:t xml:space="preserve">а 2023 г.; </w:t>
      </w:r>
    </w:p>
    <w:p w14:paraId="130FA60A" w14:textId="77777777" w:rsidR="006F78B8" w:rsidRPr="00132ABA" w:rsidRDefault="006F78B8" w:rsidP="006F78B8">
      <w:pPr>
        <w:spacing w:after="120"/>
        <w:ind w:firstLine="709"/>
        <w:jc w:val="both"/>
        <w:rPr>
          <w:rFonts w:ascii="Arial Narrow" w:eastAsia="Calibri" w:hAnsi="Arial Narrow"/>
          <w:b/>
          <w:u w:val="single"/>
        </w:rPr>
      </w:pPr>
      <w:r w:rsidRPr="00132ABA">
        <w:rPr>
          <w:rFonts w:ascii="Arial Narrow" w:eastAsia="Calibri" w:hAnsi="Arial Narrow"/>
          <w:b/>
        </w:rPr>
        <w:t>Окачествяване на ечемик от реколта `2024</w:t>
      </w:r>
    </w:p>
    <w:p w14:paraId="5A61847B" w14:textId="77777777" w:rsidR="006F78B8" w:rsidRPr="00132ABA" w:rsidRDefault="006F78B8" w:rsidP="006F78B8">
      <w:pPr>
        <w:spacing w:after="120"/>
        <w:ind w:firstLine="709"/>
        <w:jc w:val="both"/>
        <w:rPr>
          <w:rFonts w:ascii="Arial Narrow" w:hAnsi="Arial Narrow"/>
        </w:rPr>
      </w:pPr>
      <w:r w:rsidRPr="00132ABA">
        <w:rPr>
          <w:rFonts w:ascii="Arial Narrow" w:hAnsi="Arial Narrow"/>
        </w:rPr>
        <w:t>Средните стойности на основните качествени показатели на ечемика от реколта `2024 са както следва:</w:t>
      </w:r>
    </w:p>
    <w:p w14:paraId="6A243B06" w14:textId="77777777" w:rsidR="006F78B8" w:rsidRPr="00132ABA" w:rsidRDefault="006F78B8" w:rsidP="009C6577">
      <w:pPr>
        <w:pStyle w:val="ListParagraph"/>
        <w:numPr>
          <w:ilvl w:val="0"/>
          <w:numId w:val="90"/>
        </w:numPr>
        <w:spacing w:after="120" w:line="276" w:lineRule="auto"/>
        <w:ind w:left="709"/>
        <w:jc w:val="both"/>
        <w:rPr>
          <w:rFonts w:ascii="Arial Narrow" w:hAnsi="Arial Narrow"/>
          <w:lang w:val="bg-BG"/>
        </w:rPr>
      </w:pPr>
      <w:r w:rsidRPr="00132ABA">
        <w:rPr>
          <w:rFonts w:ascii="Arial Narrow" w:hAnsi="Arial Narrow"/>
          <w:lang w:val="bg-BG"/>
        </w:rPr>
        <w:t>съдържание на белтъчни вещества: 11,5% ± 0,8%</w:t>
      </w:r>
      <w:r w:rsidRPr="005A748D">
        <w:rPr>
          <w:rFonts w:ascii="Arial Narrow" w:hAnsi="Arial Narrow"/>
          <w:lang w:val="bg-BG"/>
        </w:rPr>
        <w:t xml:space="preserve">, при </w:t>
      </w:r>
      <w:r w:rsidRPr="005F1E4E">
        <w:rPr>
          <w:rFonts w:ascii="Arial Narrow" w:hAnsi="Arial Narrow"/>
          <w:lang w:val="bg-BG"/>
        </w:rPr>
        <w:t>11,5% ± 0,7</w:t>
      </w:r>
      <w:r w:rsidRPr="00132ABA">
        <w:rPr>
          <w:rFonts w:ascii="Arial Narrow" w:hAnsi="Arial Narrow"/>
          <w:lang w:val="bg-BG"/>
        </w:rPr>
        <w:t>% за 2023 г.;</w:t>
      </w:r>
    </w:p>
    <w:p w14:paraId="0AF934F1" w14:textId="77777777" w:rsidR="006F78B8" w:rsidRPr="005F1E4E" w:rsidRDefault="006F78B8" w:rsidP="009C6577">
      <w:pPr>
        <w:pStyle w:val="ListParagraph"/>
        <w:numPr>
          <w:ilvl w:val="0"/>
          <w:numId w:val="90"/>
        </w:numPr>
        <w:spacing w:after="120" w:line="276" w:lineRule="auto"/>
        <w:ind w:left="709"/>
        <w:jc w:val="both"/>
        <w:rPr>
          <w:rFonts w:ascii="Arial Narrow" w:hAnsi="Arial Narrow"/>
          <w:lang w:val="bg-BG"/>
        </w:rPr>
      </w:pPr>
      <w:r w:rsidRPr="00132ABA">
        <w:rPr>
          <w:rFonts w:ascii="Arial Narrow" w:hAnsi="Arial Narrow"/>
          <w:lang w:val="bg-BG"/>
        </w:rPr>
        <w:t>хектолитрова маса: 62,9 кг/100 dm3 ±  2,3 кг/100 dm3</w:t>
      </w:r>
      <w:r w:rsidRPr="005A748D">
        <w:rPr>
          <w:rFonts w:ascii="Arial Narrow" w:hAnsi="Arial Narrow"/>
          <w:lang w:val="bg-BG"/>
        </w:rPr>
        <w:t xml:space="preserve">, при </w:t>
      </w:r>
      <w:r w:rsidRPr="005F1E4E">
        <w:rPr>
          <w:rFonts w:ascii="Arial Narrow" w:hAnsi="Arial Narrow"/>
          <w:lang w:val="bg-BG"/>
        </w:rPr>
        <w:t>61,1 кг/100 dm3 ±  2,0 кг/100 dm3 за 2023 г.;</w:t>
      </w:r>
    </w:p>
    <w:p w14:paraId="1570BA46" w14:textId="77777777" w:rsidR="006F78B8" w:rsidRPr="005F1E4E" w:rsidRDefault="006F78B8" w:rsidP="009C6577">
      <w:pPr>
        <w:pStyle w:val="ListParagraph"/>
        <w:numPr>
          <w:ilvl w:val="0"/>
          <w:numId w:val="90"/>
        </w:numPr>
        <w:spacing w:after="120" w:line="276" w:lineRule="auto"/>
        <w:ind w:left="709"/>
        <w:jc w:val="both"/>
        <w:rPr>
          <w:rFonts w:ascii="Arial Narrow" w:hAnsi="Arial Narrow"/>
          <w:lang w:val="bg-BG"/>
        </w:rPr>
      </w:pPr>
      <w:r w:rsidRPr="005F1E4E">
        <w:rPr>
          <w:rFonts w:ascii="Arial Narrow" w:hAnsi="Arial Narrow"/>
          <w:lang w:val="bg-BG"/>
        </w:rPr>
        <w:t>изравненост на партидите: 88,5</w:t>
      </w:r>
      <w:r w:rsidRPr="00132ABA">
        <w:rPr>
          <w:rFonts w:ascii="Arial Narrow" w:hAnsi="Arial Narrow"/>
          <w:lang w:val="bg-BG"/>
        </w:rPr>
        <w:t>% ± 7,9%</w:t>
      </w:r>
      <w:r w:rsidRPr="005A748D">
        <w:rPr>
          <w:rFonts w:ascii="Arial Narrow" w:hAnsi="Arial Narrow"/>
          <w:lang w:val="bg-BG"/>
        </w:rPr>
        <w:t>, при</w:t>
      </w:r>
      <w:r w:rsidRPr="005F1E4E">
        <w:rPr>
          <w:rFonts w:ascii="Arial Narrow" w:hAnsi="Arial Narrow"/>
          <w:lang w:val="bg-BG"/>
        </w:rPr>
        <w:t xml:space="preserve"> 84,6</w:t>
      </w:r>
      <w:r w:rsidRPr="00132ABA">
        <w:rPr>
          <w:rFonts w:ascii="Arial Narrow" w:hAnsi="Arial Narrow"/>
          <w:lang w:val="bg-BG"/>
        </w:rPr>
        <w:t>% ± 7</w:t>
      </w:r>
      <w:r w:rsidRPr="005A748D">
        <w:rPr>
          <w:rFonts w:ascii="Arial Narrow" w:hAnsi="Arial Narrow"/>
          <w:lang w:val="bg-BG"/>
        </w:rPr>
        <w:t>,0</w:t>
      </w:r>
      <w:r w:rsidRPr="005F1E4E">
        <w:rPr>
          <w:rFonts w:ascii="Arial Narrow" w:hAnsi="Arial Narrow"/>
          <w:lang w:val="bg-BG"/>
        </w:rPr>
        <w:t xml:space="preserve">% за 2023 г.; </w:t>
      </w:r>
    </w:p>
    <w:p w14:paraId="20A6D62A" w14:textId="77777777" w:rsidR="006F78B8" w:rsidRPr="00132ABA" w:rsidRDefault="006F78B8" w:rsidP="009C6577">
      <w:pPr>
        <w:pStyle w:val="ListParagraph"/>
        <w:numPr>
          <w:ilvl w:val="0"/>
          <w:numId w:val="90"/>
        </w:numPr>
        <w:spacing w:after="120" w:line="276" w:lineRule="auto"/>
        <w:ind w:left="709"/>
        <w:jc w:val="both"/>
        <w:rPr>
          <w:rFonts w:ascii="Arial Narrow" w:hAnsi="Arial Narrow"/>
          <w:lang w:val="bg-BG"/>
        </w:rPr>
      </w:pPr>
      <w:r w:rsidRPr="005F1E4E">
        <w:rPr>
          <w:rFonts w:ascii="Arial Narrow" w:hAnsi="Arial Narrow"/>
          <w:lang w:val="bg-BG"/>
        </w:rPr>
        <w:t>влажност: 10,4</w:t>
      </w:r>
      <w:r w:rsidRPr="00132ABA">
        <w:rPr>
          <w:rFonts w:ascii="Arial Narrow" w:hAnsi="Arial Narrow"/>
          <w:lang w:val="bg-BG"/>
        </w:rPr>
        <w:t>% ± 0,8%</w:t>
      </w:r>
      <w:r w:rsidRPr="005A748D">
        <w:rPr>
          <w:rFonts w:ascii="Arial Narrow" w:hAnsi="Arial Narrow"/>
          <w:lang w:val="bg-BG"/>
        </w:rPr>
        <w:t xml:space="preserve">, при </w:t>
      </w:r>
      <w:r w:rsidRPr="005F1E4E">
        <w:rPr>
          <w:rFonts w:ascii="Arial Narrow" w:hAnsi="Arial Narrow"/>
          <w:lang w:val="bg-BG"/>
        </w:rPr>
        <w:t>11,5% ± 0,6</w:t>
      </w:r>
      <w:r w:rsidRPr="00132ABA">
        <w:rPr>
          <w:rFonts w:ascii="Arial Narrow" w:hAnsi="Arial Narrow"/>
          <w:lang w:val="bg-BG"/>
        </w:rPr>
        <w:t>% за 2023 г.;</w:t>
      </w:r>
    </w:p>
    <w:p w14:paraId="3B72CEB8" w14:textId="77777777" w:rsidR="006F78B8" w:rsidRPr="00132ABA" w:rsidRDefault="006F78B8" w:rsidP="009C6577">
      <w:pPr>
        <w:pStyle w:val="ListParagraph"/>
        <w:numPr>
          <w:ilvl w:val="0"/>
          <w:numId w:val="90"/>
        </w:numPr>
        <w:spacing w:after="120" w:line="276" w:lineRule="auto"/>
        <w:ind w:left="709"/>
        <w:jc w:val="both"/>
        <w:rPr>
          <w:rFonts w:ascii="Arial Narrow" w:hAnsi="Arial Narrow"/>
          <w:lang w:val="bg-BG"/>
        </w:rPr>
      </w:pPr>
      <w:r w:rsidRPr="00132ABA">
        <w:rPr>
          <w:rFonts w:ascii="Arial Narrow" w:hAnsi="Arial Narrow"/>
          <w:lang w:val="bg-BG"/>
        </w:rPr>
        <w:t>културни примеси: 1,6% ±  1,3%</w:t>
      </w:r>
      <w:r w:rsidRPr="005A748D">
        <w:rPr>
          <w:rFonts w:ascii="Arial Narrow" w:hAnsi="Arial Narrow"/>
          <w:lang w:val="bg-BG"/>
        </w:rPr>
        <w:t>, при</w:t>
      </w:r>
      <w:r w:rsidRPr="005F1E4E">
        <w:rPr>
          <w:rFonts w:ascii="Arial Narrow" w:hAnsi="Arial Narrow"/>
          <w:lang w:val="bg-BG"/>
        </w:rPr>
        <w:t xml:space="preserve"> 1,1</w:t>
      </w:r>
      <w:r w:rsidRPr="00132ABA">
        <w:rPr>
          <w:rFonts w:ascii="Arial Narrow" w:hAnsi="Arial Narrow"/>
          <w:lang w:val="bg-BG"/>
        </w:rPr>
        <w:t>% ± 1,5% за 2023 г.;</w:t>
      </w:r>
    </w:p>
    <w:p w14:paraId="3E712AEE" w14:textId="77777777" w:rsidR="006F78B8" w:rsidRPr="00132ABA" w:rsidRDefault="006F78B8" w:rsidP="009C6577">
      <w:pPr>
        <w:pStyle w:val="ListParagraph"/>
        <w:numPr>
          <w:ilvl w:val="0"/>
          <w:numId w:val="90"/>
        </w:numPr>
        <w:spacing w:after="120" w:line="276" w:lineRule="auto"/>
        <w:ind w:left="709"/>
        <w:jc w:val="both"/>
        <w:rPr>
          <w:rFonts w:ascii="Arial Narrow" w:hAnsi="Arial Narrow"/>
          <w:lang w:val="bg-BG"/>
        </w:rPr>
      </w:pPr>
      <w:r w:rsidRPr="00132ABA">
        <w:rPr>
          <w:rFonts w:ascii="Arial Narrow" w:hAnsi="Arial Narrow"/>
          <w:lang w:val="bg-BG"/>
        </w:rPr>
        <w:t>чужди примеси: 1,0% ± 1,0%</w:t>
      </w:r>
      <w:r w:rsidRPr="005A748D">
        <w:rPr>
          <w:rFonts w:ascii="Arial Narrow" w:hAnsi="Arial Narrow"/>
          <w:lang w:val="bg-BG"/>
        </w:rPr>
        <w:t>, при</w:t>
      </w:r>
      <w:r w:rsidRPr="005F1E4E">
        <w:rPr>
          <w:rFonts w:ascii="Arial Narrow" w:hAnsi="Arial Narrow"/>
          <w:lang w:val="bg-BG"/>
        </w:rPr>
        <w:t xml:space="preserve"> 1,1% ± 1,2</w:t>
      </w:r>
      <w:r w:rsidRPr="00132ABA">
        <w:rPr>
          <w:rFonts w:ascii="Arial Narrow" w:hAnsi="Arial Narrow"/>
          <w:lang w:val="bg-BG"/>
        </w:rPr>
        <w:t>% за 2023 г.</w:t>
      </w:r>
    </w:p>
    <w:p w14:paraId="1688CE3F" w14:textId="77777777" w:rsidR="006F78B8" w:rsidRPr="005F1E4E" w:rsidRDefault="006F78B8" w:rsidP="006F78B8">
      <w:pPr>
        <w:spacing w:after="120"/>
        <w:ind w:firstLine="709"/>
        <w:jc w:val="both"/>
        <w:rPr>
          <w:rFonts w:ascii="Arial Narrow" w:eastAsia="Calibri" w:hAnsi="Arial Narrow"/>
        </w:rPr>
      </w:pPr>
      <w:r w:rsidRPr="005F1E4E">
        <w:rPr>
          <w:rFonts w:ascii="Arial Narrow" w:eastAsia="Calibri" w:hAnsi="Arial Narrow"/>
          <w:b/>
        </w:rPr>
        <w:t>Окачествяване на слънчоглед от реколта `2024</w:t>
      </w:r>
    </w:p>
    <w:p w14:paraId="195CFBF0" w14:textId="77777777" w:rsidR="006F78B8" w:rsidRPr="005F1E4E" w:rsidRDefault="006F78B8" w:rsidP="006F78B8">
      <w:pPr>
        <w:spacing w:after="120"/>
        <w:ind w:firstLine="709"/>
        <w:jc w:val="both"/>
        <w:rPr>
          <w:rFonts w:ascii="Arial Narrow" w:hAnsi="Arial Narrow"/>
        </w:rPr>
      </w:pPr>
      <w:r w:rsidRPr="00132ABA">
        <w:rPr>
          <w:rFonts w:ascii="Arial Narrow" w:hAnsi="Arial Narrow"/>
        </w:rPr>
        <w:t>Окончателните резултати показват, че 69,6% от анализираните проби отговарят на условията на стандарта за качество на слънчогледовото семе при установени 70,8% през предходната година. Окончателните резултати сочат, че 76,</w:t>
      </w:r>
      <w:r w:rsidRPr="005A748D">
        <w:rPr>
          <w:rFonts w:ascii="Arial Narrow" w:hAnsi="Arial Narrow"/>
        </w:rPr>
        <w:t>6</w:t>
      </w:r>
      <w:r w:rsidRPr="005F1E4E">
        <w:rPr>
          <w:rFonts w:ascii="Arial Narrow" w:hAnsi="Arial Narrow"/>
        </w:rPr>
        <w:t>% от анализираното слънчогледово зърно отговарят на изискванията на стандарта за масленост, при 87,</w:t>
      </w:r>
      <w:r w:rsidRPr="005A748D">
        <w:rPr>
          <w:rFonts w:ascii="Arial Narrow" w:hAnsi="Arial Narrow"/>
        </w:rPr>
        <w:t>3</w:t>
      </w:r>
      <w:r w:rsidRPr="005F1E4E">
        <w:rPr>
          <w:rFonts w:ascii="Arial Narrow" w:hAnsi="Arial Narrow"/>
        </w:rPr>
        <w:t>% през 2023 г.</w:t>
      </w:r>
    </w:p>
    <w:p w14:paraId="1F39F0BE" w14:textId="77777777" w:rsidR="006F78B8" w:rsidRPr="00132ABA" w:rsidRDefault="006F78B8" w:rsidP="006F78B8">
      <w:pPr>
        <w:spacing w:after="120"/>
        <w:ind w:firstLine="709"/>
        <w:jc w:val="both"/>
        <w:rPr>
          <w:rFonts w:ascii="Arial Narrow" w:hAnsi="Arial Narrow"/>
          <w:b/>
          <w:u w:val="single"/>
        </w:rPr>
      </w:pPr>
      <w:r w:rsidRPr="00132ABA">
        <w:rPr>
          <w:rFonts w:ascii="Arial Narrow" w:hAnsi="Arial Narrow"/>
        </w:rPr>
        <w:t>Средните стойности на основните качествени показатели на слънчогледа от реколта `2024 са:</w:t>
      </w:r>
    </w:p>
    <w:p w14:paraId="0CD5789A" w14:textId="77777777" w:rsidR="006F78B8" w:rsidRPr="00132ABA" w:rsidRDefault="006F78B8" w:rsidP="009C6577">
      <w:pPr>
        <w:pStyle w:val="ListParagraph"/>
        <w:numPr>
          <w:ilvl w:val="0"/>
          <w:numId w:val="90"/>
        </w:numPr>
        <w:spacing w:after="120" w:line="276" w:lineRule="auto"/>
        <w:ind w:left="709"/>
        <w:jc w:val="both"/>
        <w:rPr>
          <w:rFonts w:ascii="Arial Narrow" w:hAnsi="Arial Narrow"/>
          <w:lang w:val="bg-BG"/>
        </w:rPr>
      </w:pPr>
      <w:r w:rsidRPr="00132ABA">
        <w:rPr>
          <w:rFonts w:ascii="Arial Narrow" w:hAnsi="Arial Narrow"/>
          <w:lang w:val="bg-BG"/>
        </w:rPr>
        <w:t>съдържание на влага: 5,8% ± 0,5%, при 5,</w:t>
      </w:r>
      <w:r w:rsidRPr="005A748D">
        <w:rPr>
          <w:rFonts w:ascii="Arial Narrow" w:hAnsi="Arial Narrow"/>
          <w:lang w:val="bg-BG"/>
        </w:rPr>
        <w:t>8</w:t>
      </w:r>
      <w:r w:rsidRPr="005F1E4E">
        <w:rPr>
          <w:rFonts w:ascii="Arial Narrow" w:hAnsi="Arial Narrow"/>
          <w:lang w:val="bg-BG"/>
        </w:rPr>
        <w:t>% ± 0,5% през 2023</w:t>
      </w:r>
      <w:r w:rsidRPr="00132ABA">
        <w:rPr>
          <w:rFonts w:ascii="Arial Narrow" w:hAnsi="Arial Narrow"/>
          <w:lang w:val="bg-BG"/>
        </w:rPr>
        <w:t xml:space="preserve"> г.;</w:t>
      </w:r>
    </w:p>
    <w:p w14:paraId="74805BAC" w14:textId="77777777" w:rsidR="006F78B8" w:rsidRPr="00132ABA" w:rsidRDefault="006F78B8" w:rsidP="009C6577">
      <w:pPr>
        <w:pStyle w:val="ListParagraph"/>
        <w:numPr>
          <w:ilvl w:val="0"/>
          <w:numId w:val="90"/>
        </w:numPr>
        <w:spacing w:after="120" w:line="276" w:lineRule="auto"/>
        <w:ind w:left="709"/>
        <w:jc w:val="both"/>
        <w:rPr>
          <w:rFonts w:ascii="Arial Narrow" w:hAnsi="Arial Narrow"/>
          <w:lang w:val="bg-BG"/>
        </w:rPr>
      </w:pPr>
      <w:r w:rsidRPr="00132ABA">
        <w:rPr>
          <w:rFonts w:ascii="Arial Narrow" w:hAnsi="Arial Narrow"/>
          <w:lang w:val="bg-BG"/>
        </w:rPr>
        <w:t>масленост: 43,9% ± 2,5%</w:t>
      </w:r>
      <w:r w:rsidRPr="005A748D">
        <w:rPr>
          <w:rFonts w:ascii="Arial Narrow" w:hAnsi="Arial Narrow"/>
          <w:lang w:val="bg-BG"/>
        </w:rPr>
        <w:t>,</w:t>
      </w:r>
      <w:r w:rsidRPr="005F1E4E">
        <w:rPr>
          <w:rFonts w:ascii="Arial Narrow" w:hAnsi="Arial Narrow"/>
          <w:lang w:val="bg-BG"/>
        </w:rPr>
        <w:t xml:space="preserve"> при 44,8% ± 2,1</w:t>
      </w:r>
      <w:r w:rsidRPr="00132ABA">
        <w:rPr>
          <w:rFonts w:ascii="Arial Narrow" w:hAnsi="Arial Narrow"/>
          <w:lang w:val="bg-BG"/>
        </w:rPr>
        <w:t>% през 2023 г.;</w:t>
      </w:r>
    </w:p>
    <w:p w14:paraId="7B49CA5F" w14:textId="77777777" w:rsidR="006F78B8" w:rsidRPr="00132ABA" w:rsidRDefault="006F78B8" w:rsidP="009C6577">
      <w:pPr>
        <w:pStyle w:val="ListParagraph"/>
        <w:numPr>
          <w:ilvl w:val="0"/>
          <w:numId w:val="90"/>
        </w:numPr>
        <w:spacing w:after="120" w:line="276" w:lineRule="auto"/>
        <w:ind w:left="709"/>
        <w:jc w:val="both"/>
        <w:rPr>
          <w:rFonts w:ascii="Arial Narrow" w:hAnsi="Arial Narrow"/>
          <w:lang w:val="bg-BG"/>
        </w:rPr>
      </w:pPr>
      <w:r w:rsidRPr="00132ABA">
        <w:rPr>
          <w:rFonts w:ascii="Arial Narrow" w:hAnsi="Arial Narrow"/>
          <w:lang w:val="bg-BG"/>
        </w:rPr>
        <w:t>културни примеси: 1,4% ± 1,1%</w:t>
      </w:r>
      <w:r w:rsidRPr="005A748D">
        <w:rPr>
          <w:rFonts w:ascii="Arial Narrow" w:hAnsi="Arial Narrow"/>
          <w:lang w:val="bg-BG"/>
        </w:rPr>
        <w:t>,</w:t>
      </w:r>
      <w:r w:rsidRPr="005F1E4E">
        <w:rPr>
          <w:rFonts w:ascii="Arial Narrow" w:hAnsi="Arial Narrow"/>
          <w:lang w:val="bg-BG"/>
        </w:rPr>
        <w:t xml:space="preserve"> при 1,4% ± 0,8</w:t>
      </w:r>
      <w:r w:rsidRPr="00132ABA">
        <w:rPr>
          <w:rFonts w:ascii="Arial Narrow" w:hAnsi="Arial Narrow"/>
          <w:lang w:val="bg-BG"/>
        </w:rPr>
        <w:t xml:space="preserve">% през 2023 г.; </w:t>
      </w:r>
    </w:p>
    <w:p w14:paraId="58E58623" w14:textId="77777777" w:rsidR="006F78B8" w:rsidRPr="00132ABA" w:rsidRDefault="006F78B8" w:rsidP="009C6577">
      <w:pPr>
        <w:pStyle w:val="ListParagraph"/>
        <w:numPr>
          <w:ilvl w:val="0"/>
          <w:numId w:val="90"/>
        </w:numPr>
        <w:spacing w:after="120" w:line="276" w:lineRule="auto"/>
        <w:ind w:left="709"/>
        <w:jc w:val="both"/>
        <w:rPr>
          <w:rFonts w:ascii="Arial Narrow" w:hAnsi="Arial Narrow"/>
          <w:lang w:val="bg-BG"/>
        </w:rPr>
      </w:pPr>
      <w:r w:rsidRPr="00132ABA">
        <w:rPr>
          <w:rFonts w:ascii="Arial Narrow" w:hAnsi="Arial Narrow"/>
          <w:lang w:val="bg-BG"/>
        </w:rPr>
        <w:t>чужди примеси: 2,8% ± 1,6%</w:t>
      </w:r>
      <w:r w:rsidRPr="005A748D">
        <w:rPr>
          <w:rFonts w:ascii="Arial Narrow" w:hAnsi="Arial Narrow"/>
          <w:lang w:val="bg-BG"/>
        </w:rPr>
        <w:t>,</w:t>
      </w:r>
      <w:r w:rsidRPr="005F1E4E">
        <w:rPr>
          <w:rFonts w:ascii="Arial Narrow" w:hAnsi="Arial Narrow"/>
          <w:lang w:val="bg-BG"/>
        </w:rPr>
        <w:t xml:space="preserve"> при 3,1% ± 1,8</w:t>
      </w:r>
      <w:r w:rsidRPr="00132ABA">
        <w:rPr>
          <w:rFonts w:ascii="Arial Narrow" w:hAnsi="Arial Narrow"/>
          <w:lang w:val="bg-BG"/>
        </w:rPr>
        <w:t>% през 2023 г.</w:t>
      </w:r>
    </w:p>
    <w:p w14:paraId="7857CEA5" w14:textId="77777777" w:rsidR="006F78B8" w:rsidRPr="00132ABA" w:rsidRDefault="006F78B8" w:rsidP="006F78B8">
      <w:pPr>
        <w:spacing w:after="120"/>
        <w:ind w:firstLine="709"/>
        <w:jc w:val="both"/>
        <w:rPr>
          <w:rFonts w:ascii="Arial Narrow" w:eastAsia="Calibri" w:hAnsi="Arial Narrow"/>
        </w:rPr>
      </w:pPr>
      <w:r w:rsidRPr="00132ABA">
        <w:rPr>
          <w:rFonts w:ascii="Arial Narrow" w:eastAsia="Calibri" w:hAnsi="Arial Narrow"/>
          <w:b/>
        </w:rPr>
        <w:t xml:space="preserve">Окачествяване на царевица от реколта `2024 </w:t>
      </w:r>
    </w:p>
    <w:p w14:paraId="5B9F794A" w14:textId="77777777" w:rsidR="006F78B8" w:rsidRPr="005F1E4E" w:rsidRDefault="006F78B8" w:rsidP="006F78B8">
      <w:pPr>
        <w:spacing w:after="120"/>
        <w:ind w:firstLine="709"/>
        <w:jc w:val="both"/>
        <w:rPr>
          <w:rFonts w:ascii="Arial Narrow" w:eastAsia="Calibri" w:hAnsi="Arial Narrow"/>
        </w:rPr>
      </w:pPr>
      <w:r w:rsidRPr="00132ABA">
        <w:rPr>
          <w:rFonts w:ascii="Arial Narrow" w:eastAsia="Calibri" w:hAnsi="Arial Narrow"/>
        </w:rPr>
        <w:t>Крайните резултати показват, че 78,6% от анализираната партида отговаря на условията на стандарта за качество на царевичното зърно по отношение на показателите влага и примеси</w:t>
      </w:r>
      <w:r w:rsidRPr="005A748D">
        <w:rPr>
          <w:rFonts w:ascii="Arial Narrow" w:eastAsia="Calibri" w:hAnsi="Arial Narrow"/>
        </w:rPr>
        <w:t>, при</w:t>
      </w:r>
      <w:r w:rsidRPr="005F1E4E">
        <w:rPr>
          <w:rFonts w:ascii="Arial Narrow" w:eastAsia="Calibri" w:hAnsi="Arial Narrow"/>
        </w:rPr>
        <w:t xml:space="preserve"> </w:t>
      </w:r>
      <w:r w:rsidRPr="005A748D">
        <w:rPr>
          <w:rFonts w:ascii="Arial Narrow" w:eastAsia="Calibri" w:hAnsi="Arial Narrow"/>
        </w:rPr>
        <w:t>90</w:t>
      </w:r>
      <w:r w:rsidRPr="005F1E4E">
        <w:rPr>
          <w:rFonts w:ascii="Arial Narrow" w:eastAsia="Calibri" w:hAnsi="Arial Narrow"/>
        </w:rPr>
        <w:t>% установени през 2023 г.</w:t>
      </w:r>
    </w:p>
    <w:p w14:paraId="0FFCF4B6" w14:textId="77777777" w:rsidR="006F78B8" w:rsidRPr="00132ABA" w:rsidRDefault="006F78B8" w:rsidP="006F78B8">
      <w:pPr>
        <w:spacing w:after="120"/>
        <w:ind w:firstLine="709"/>
        <w:jc w:val="both"/>
        <w:rPr>
          <w:rFonts w:ascii="Arial Narrow" w:hAnsi="Arial Narrow"/>
          <w:b/>
          <w:u w:val="single"/>
        </w:rPr>
      </w:pPr>
      <w:r w:rsidRPr="00132ABA">
        <w:rPr>
          <w:rFonts w:ascii="Arial Narrow" w:eastAsia="Calibri" w:hAnsi="Arial Narrow"/>
        </w:rPr>
        <w:t xml:space="preserve">Средните стойности на основните качествени показатели на царевицата от реколта 2024 са: </w:t>
      </w:r>
    </w:p>
    <w:p w14:paraId="7644A203" w14:textId="77777777" w:rsidR="006F78B8" w:rsidRPr="00132ABA" w:rsidRDefault="006F78B8" w:rsidP="009C6577">
      <w:pPr>
        <w:pStyle w:val="ListParagraph"/>
        <w:numPr>
          <w:ilvl w:val="0"/>
          <w:numId w:val="44"/>
        </w:numPr>
        <w:spacing w:after="120"/>
        <w:contextualSpacing w:val="0"/>
        <w:jc w:val="both"/>
        <w:rPr>
          <w:rFonts w:ascii="Arial Narrow" w:hAnsi="Arial Narrow"/>
          <w:lang w:val="bg-BG"/>
        </w:rPr>
      </w:pPr>
      <w:r w:rsidRPr="00132ABA">
        <w:rPr>
          <w:rFonts w:ascii="Arial Narrow" w:hAnsi="Arial Narrow"/>
          <w:lang w:val="bg-BG"/>
        </w:rPr>
        <w:t>влага: 11,8% ± 0,5%</w:t>
      </w:r>
      <w:r w:rsidRPr="005A748D">
        <w:rPr>
          <w:rFonts w:ascii="Arial Narrow" w:hAnsi="Arial Narrow"/>
          <w:lang w:val="bg-BG"/>
        </w:rPr>
        <w:t>,</w:t>
      </w:r>
      <w:r w:rsidRPr="005F1E4E">
        <w:rPr>
          <w:rFonts w:ascii="Arial Narrow" w:hAnsi="Arial Narrow"/>
          <w:lang w:val="bg-BG"/>
        </w:rPr>
        <w:t xml:space="preserve"> при 12,3% ± 0,6</w:t>
      </w:r>
      <w:r w:rsidRPr="00132ABA">
        <w:rPr>
          <w:rFonts w:ascii="Arial Narrow" w:hAnsi="Arial Narrow"/>
          <w:lang w:val="bg-BG"/>
        </w:rPr>
        <w:t xml:space="preserve">% през 2023 г.; </w:t>
      </w:r>
    </w:p>
    <w:p w14:paraId="42083A43" w14:textId="77777777" w:rsidR="006F78B8" w:rsidRPr="00132ABA" w:rsidRDefault="006F78B8" w:rsidP="009C6577">
      <w:pPr>
        <w:pStyle w:val="ListParagraph"/>
        <w:numPr>
          <w:ilvl w:val="0"/>
          <w:numId w:val="44"/>
        </w:numPr>
        <w:spacing w:after="120"/>
        <w:contextualSpacing w:val="0"/>
        <w:jc w:val="both"/>
        <w:rPr>
          <w:rFonts w:ascii="Arial Narrow" w:hAnsi="Arial Narrow"/>
          <w:lang w:val="bg-BG"/>
        </w:rPr>
      </w:pPr>
      <w:r w:rsidRPr="00132ABA">
        <w:rPr>
          <w:rFonts w:ascii="Arial Narrow" w:hAnsi="Arial Narrow"/>
          <w:lang w:val="bg-BG"/>
        </w:rPr>
        <w:t>културни примеси: 3,6% ± 1,6%</w:t>
      </w:r>
      <w:r w:rsidRPr="005A748D">
        <w:rPr>
          <w:rFonts w:ascii="Arial Narrow" w:hAnsi="Arial Narrow"/>
          <w:lang w:val="bg-BG"/>
        </w:rPr>
        <w:t>,</w:t>
      </w:r>
      <w:r w:rsidRPr="005F1E4E">
        <w:rPr>
          <w:rFonts w:ascii="Arial Narrow" w:hAnsi="Arial Narrow"/>
          <w:lang w:val="bg-BG"/>
        </w:rPr>
        <w:t xml:space="preserve"> при 2,9% ± 1,7</w:t>
      </w:r>
      <w:r w:rsidRPr="00132ABA">
        <w:rPr>
          <w:rFonts w:ascii="Arial Narrow" w:hAnsi="Arial Narrow"/>
          <w:lang w:val="bg-BG"/>
        </w:rPr>
        <w:t xml:space="preserve">% през 2023 г.; </w:t>
      </w:r>
    </w:p>
    <w:p w14:paraId="50AFE8D7" w14:textId="77777777" w:rsidR="006F78B8" w:rsidRPr="00132ABA" w:rsidRDefault="006F78B8" w:rsidP="009C6577">
      <w:pPr>
        <w:pStyle w:val="ListParagraph"/>
        <w:numPr>
          <w:ilvl w:val="0"/>
          <w:numId w:val="44"/>
        </w:numPr>
        <w:spacing w:after="120"/>
        <w:contextualSpacing w:val="0"/>
        <w:jc w:val="both"/>
        <w:rPr>
          <w:rFonts w:ascii="Arial Narrow" w:hAnsi="Arial Narrow"/>
          <w:lang w:val="bg-BG"/>
        </w:rPr>
      </w:pPr>
      <w:r w:rsidRPr="00132ABA">
        <w:rPr>
          <w:rFonts w:ascii="Arial Narrow" w:hAnsi="Arial Narrow"/>
          <w:lang w:val="bg-BG"/>
        </w:rPr>
        <w:t>чужди примеси: 1,3% ± 0,6%</w:t>
      </w:r>
      <w:r w:rsidRPr="005A748D">
        <w:rPr>
          <w:rFonts w:ascii="Arial Narrow" w:hAnsi="Arial Narrow"/>
          <w:lang w:val="bg-BG"/>
        </w:rPr>
        <w:t>,</w:t>
      </w:r>
      <w:r w:rsidRPr="005F1E4E">
        <w:rPr>
          <w:rFonts w:ascii="Arial Narrow" w:hAnsi="Arial Narrow"/>
          <w:lang w:val="bg-BG"/>
        </w:rPr>
        <w:t xml:space="preserve"> при 1,0% ± 0,5</w:t>
      </w:r>
      <w:r w:rsidRPr="00132ABA">
        <w:rPr>
          <w:rFonts w:ascii="Arial Narrow" w:hAnsi="Arial Narrow"/>
          <w:lang w:val="bg-BG"/>
        </w:rPr>
        <w:t xml:space="preserve">% през 2023 г.; </w:t>
      </w:r>
    </w:p>
    <w:p w14:paraId="07846B68" w14:textId="77777777" w:rsidR="006F78B8" w:rsidRPr="00132ABA" w:rsidRDefault="006F78B8" w:rsidP="009C6577">
      <w:pPr>
        <w:pStyle w:val="ListParagraph"/>
        <w:numPr>
          <w:ilvl w:val="0"/>
          <w:numId w:val="44"/>
        </w:numPr>
        <w:spacing w:after="120"/>
        <w:contextualSpacing w:val="0"/>
        <w:jc w:val="both"/>
        <w:rPr>
          <w:rFonts w:ascii="Arial Narrow" w:hAnsi="Arial Narrow"/>
          <w:lang w:val="bg-BG"/>
        </w:rPr>
      </w:pPr>
      <w:r w:rsidRPr="00132ABA">
        <w:rPr>
          <w:rFonts w:ascii="Arial Narrow" w:hAnsi="Arial Narrow"/>
          <w:lang w:val="bg-BG"/>
        </w:rPr>
        <w:t>съдържание на нишесте: 72,6% ± 0,8%</w:t>
      </w:r>
      <w:r w:rsidRPr="005A748D">
        <w:rPr>
          <w:rFonts w:ascii="Arial Narrow" w:hAnsi="Arial Narrow"/>
          <w:lang w:val="bg-BG"/>
        </w:rPr>
        <w:t>,</w:t>
      </w:r>
      <w:r w:rsidRPr="005F1E4E">
        <w:rPr>
          <w:rFonts w:ascii="Arial Narrow" w:hAnsi="Arial Narrow"/>
          <w:lang w:val="bg-BG"/>
        </w:rPr>
        <w:t xml:space="preserve"> при 72,5% ± 0,7</w:t>
      </w:r>
      <w:r w:rsidRPr="00132ABA">
        <w:rPr>
          <w:rFonts w:ascii="Arial Narrow" w:hAnsi="Arial Narrow"/>
          <w:lang w:val="bg-BG"/>
        </w:rPr>
        <w:t xml:space="preserve">% през 2023 г.;  </w:t>
      </w:r>
    </w:p>
    <w:p w14:paraId="7E192C73" w14:textId="77777777" w:rsidR="006F78B8" w:rsidRPr="005F1E4E" w:rsidRDefault="006F78B8" w:rsidP="009C6577">
      <w:pPr>
        <w:pStyle w:val="ListParagraph"/>
        <w:numPr>
          <w:ilvl w:val="0"/>
          <w:numId w:val="44"/>
        </w:numPr>
        <w:spacing w:after="120"/>
        <w:contextualSpacing w:val="0"/>
        <w:jc w:val="both"/>
        <w:rPr>
          <w:rFonts w:ascii="Arial Narrow" w:hAnsi="Arial Narrow"/>
        </w:rPr>
      </w:pPr>
      <w:r w:rsidRPr="00132ABA">
        <w:rPr>
          <w:rFonts w:ascii="Arial Narrow" w:hAnsi="Arial Narrow"/>
        </w:rPr>
        <w:t>хектолитрова маса: 70,6 kg/100 dm3 ± 2,6 kg/100 dm3</w:t>
      </w:r>
      <w:r w:rsidRPr="005A748D">
        <w:rPr>
          <w:rFonts w:ascii="Arial Narrow" w:eastAsia="Calibri" w:hAnsi="Arial Narrow"/>
        </w:rPr>
        <w:t>,</w:t>
      </w:r>
      <w:r w:rsidRPr="005F1E4E">
        <w:rPr>
          <w:rFonts w:ascii="Arial Narrow" w:hAnsi="Arial Narrow"/>
        </w:rPr>
        <w:t xml:space="preserve"> при 72,0 kg/100 dm3 ± 1,9 kg/100 dm3 през 2023 г.</w:t>
      </w:r>
    </w:p>
    <w:p w14:paraId="26CB3668" w14:textId="77777777" w:rsidR="006F78B8" w:rsidRPr="00132ABA" w:rsidRDefault="006F78B8" w:rsidP="006F78B8">
      <w:pPr>
        <w:autoSpaceDE w:val="0"/>
        <w:autoSpaceDN w:val="0"/>
        <w:adjustRightInd w:val="0"/>
        <w:spacing w:after="120"/>
        <w:ind w:firstLine="709"/>
        <w:jc w:val="both"/>
        <w:rPr>
          <w:rFonts w:ascii="Arial Narrow" w:eastAsia="Calibri" w:hAnsi="Arial Narrow"/>
          <w:b/>
        </w:rPr>
      </w:pPr>
      <w:r w:rsidRPr="00132ABA">
        <w:rPr>
          <w:rFonts w:ascii="Arial Narrow" w:eastAsia="Calibri" w:hAnsi="Arial Narrow"/>
          <w:b/>
        </w:rPr>
        <w:t>Окачествяване на оризова арпа от реколта `2024</w:t>
      </w:r>
    </w:p>
    <w:p w14:paraId="5CF30CB8" w14:textId="77777777" w:rsidR="006F78B8" w:rsidRPr="005F1E4E" w:rsidRDefault="006F78B8" w:rsidP="006F78B8">
      <w:pPr>
        <w:spacing w:after="120"/>
        <w:ind w:firstLine="709"/>
        <w:jc w:val="both"/>
        <w:rPr>
          <w:rFonts w:ascii="Arial Narrow" w:hAnsi="Arial Narrow"/>
        </w:rPr>
      </w:pPr>
      <w:r w:rsidRPr="00132ABA">
        <w:rPr>
          <w:rFonts w:ascii="Arial Narrow" w:hAnsi="Arial Narrow"/>
        </w:rPr>
        <w:t>Крайните резултати показват, че през 2024 г. 100% от анализираната партида отговаря на условията на стандарта за качество на оризовата арпа по отношение на показателите влага и примеси, при установени 94,1% през 2023 г. При 72</w:t>
      </w:r>
      <w:r w:rsidRPr="005A748D">
        <w:rPr>
          <w:rFonts w:ascii="Arial Narrow" w:hAnsi="Arial Narrow"/>
        </w:rPr>
        <w:t>,</w:t>
      </w:r>
      <w:r w:rsidRPr="005F1E4E">
        <w:rPr>
          <w:rFonts w:ascii="Arial Narrow" w:hAnsi="Arial Narrow"/>
        </w:rPr>
        <w:t>7% от анализираното коли</w:t>
      </w:r>
      <w:r w:rsidRPr="00132ABA">
        <w:rPr>
          <w:rFonts w:ascii="Arial Narrow" w:hAnsi="Arial Narrow"/>
        </w:rPr>
        <w:t>чество арпа е отчетено съдържание на червени зърна под 1%, т.е</w:t>
      </w:r>
      <w:r>
        <w:rPr>
          <w:rFonts w:ascii="Arial Narrow" w:hAnsi="Arial Narrow"/>
        </w:rPr>
        <w:t>.</w:t>
      </w:r>
      <w:r w:rsidRPr="00132ABA">
        <w:rPr>
          <w:rFonts w:ascii="Arial Narrow" w:hAnsi="Arial Narrow"/>
        </w:rPr>
        <w:t xml:space="preserve"> отговаря на изискванията за първо качество, при 82,</w:t>
      </w:r>
      <w:r w:rsidRPr="005A748D">
        <w:rPr>
          <w:rFonts w:ascii="Arial Narrow" w:hAnsi="Arial Narrow"/>
        </w:rPr>
        <w:t>4</w:t>
      </w:r>
      <w:r w:rsidRPr="005F1E4E">
        <w:rPr>
          <w:rFonts w:ascii="Arial Narrow" w:hAnsi="Arial Narrow"/>
        </w:rPr>
        <w:t>% през 2023 г.</w:t>
      </w:r>
    </w:p>
    <w:p w14:paraId="733BDFFC" w14:textId="77777777" w:rsidR="006F78B8" w:rsidRPr="00132ABA" w:rsidRDefault="006F78B8" w:rsidP="006F78B8">
      <w:pPr>
        <w:spacing w:after="120"/>
        <w:ind w:firstLine="709"/>
        <w:jc w:val="both"/>
        <w:rPr>
          <w:rFonts w:ascii="Arial Narrow" w:hAnsi="Arial Narrow"/>
        </w:rPr>
      </w:pPr>
      <w:r w:rsidRPr="00132ABA">
        <w:rPr>
          <w:rFonts w:ascii="Arial Narrow" w:hAnsi="Arial Narrow"/>
        </w:rPr>
        <w:t xml:space="preserve">Средните стойности на основните качествени показатели на оризовата арпа от реколта </w:t>
      </w:r>
      <w:r>
        <w:rPr>
          <w:rFonts w:ascii="Arial Narrow" w:hAnsi="Arial Narrow"/>
        </w:rPr>
        <w:t>`</w:t>
      </w:r>
      <w:r w:rsidRPr="00132ABA">
        <w:rPr>
          <w:rFonts w:ascii="Arial Narrow" w:hAnsi="Arial Narrow"/>
        </w:rPr>
        <w:t xml:space="preserve">2024 са: </w:t>
      </w:r>
    </w:p>
    <w:p w14:paraId="5B0CAB06" w14:textId="77777777" w:rsidR="006F78B8" w:rsidRPr="00132ABA" w:rsidRDefault="006F78B8" w:rsidP="009C6577">
      <w:pPr>
        <w:pStyle w:val="ListParagraph"/>
        <w:numPr>
          <w:ilvl w:val="0"/>
          <w:numId w:val="44"/>
        </w:numPr>
        <w:spacing w:after="120"/>
        <w:contextualSpacing w:val="0"/>
        <w:jc w:val="both"/>
        <w:rPr>
          <w:rFonts w:ascii="Arial Narrow" w:hAnsi="Arial Narrow"/>
          <w:lang w:val="bg-BG"/>
        </w:rPr>
      </w:pPr>
      <w:r w:rsidRPr="00132ABA">
        <w:rPr>
          <w:rFonts w:ascii="Arial Narrow" w:hAnsi="Arial Narrow"/>
          <w:lang w:val="bg-BG"/>
        </w:rPr>
        <w:t>влага: 12,4% ± 0,9%</w:t>
      </w:r>
      <w:r w:rsidRPr="005A748D">
        <w:rPr>
          <w:rFonts w:ascii="Arial Narrow" w:hAnsi="Arial Narrow"/>
          <w:lang w:val="bg-BG"/>
        </w:rPr>
        <w:t xml:space="preserve">, при </w:t>
      </w:r>
      <w:r w:rsidRPr="005F1E4E">
        <w:rPr>
          <w:rFonts w:ascii="Arial Narrow" w:hAnsi="Arial Narrow"/>
          <w:lang w:val="bg-BG"/>
        </w:rPr>
        <w:t>12,6% ± 1,2</w:t>
      </w:r>
      <w:r w:rsidRPr="00132ABA">
        <w:rPr>
          <w:rFonts w:ascii="Arial Narrow" w:hAnsi="Arial Narrow"/>
          <w:lang w:val="bg-BG"/>
        </w:rPr>
        <w:t>% през 2023 г.;</w:t>
      </w:r>
    </w:p>
    <w:p w14:paraId="1009F55A" w14:textId="77777777" w:rsidR="006F78B8" w:rsidRPr="00132ABA" w:rsidRDefault="006F78B8" w:rsidP="009C6577">
      <w:pPr>
        <w:pStyle w:val="ListParagraph"/>
        <w:numPr>
          <w:ilvl w:val="0"/>
          <w:numId w:val="44"/>
        </w:numPr>
        <w:spacing w:after="120"/>
        <w:contextualSpacing w:val="0"/>
        <w:jc w:val="both"/>
        <w:rPr>
          <w:rFonts w:ascii="Arial Narrow" w:hAnsi="Arial Narrow"/>
          <w:lang w:val="bg-BG"/>
        </w:rPr>
      </w:pPr>
      <w:r w:rsidRPr="00132ABA">
        <w:rPr>
          <w:rFonts w:ascii="Arial Narrow" w:hAnsi="Arial Narrow"/>
          <w:lang w:val="bg-BG"/>
        </w:rPr>
        <w:t>културни примеси: 1,4% ± 0,5%</w:t>
      </w:r>
      <w:r w:rsidRPr="005A748D">
        <w:rPr>
          <w:rFonts w:ascii="Arial Narrow" w:hAnsi="Arial Narrow"/>
          <w:lang w:val="bg-BG"/>
        </w:rPr>
        <w:t xml:space="preserve">, при </w:t>
      </w:r>
      <w:r w:rsidRPr="005F1E4E">
        <w:rPr>
          <w:rFonts w:ascii="Arial Narrow" w:hAnsi="Arial Narrow"/>
          <w:lang w:val="bg-BG"/>
        </w:rPr>
        <w:t>1,1% ± 0,7</w:t>
      </w:r>
      <w:r w:rsidRPr="00132ABA">
        <w:rPr>
          <w:rFonts w:ascii="Arial Narrow" w:hAnsi="Arial Narrow"/>
          <w:lang w:val="bg-BG"/>
        </w:rPr>
        <w:t xml:space="preserve">% през 2023 г.; </w:t>
      </w:r>
    </w:p>
    <w:p w14:paraId="69162DF2" w14:textId="77777777" w:rsidR="006F78B8" w:rsidRPr="00132ABA" w:rsidRDefault="006F78B8" w:rsidP="009C6577">
      <w:pPr>
        <w:pStyle w:val="ListParagraph"/>
        <w:numPr>
          <w:ilvl w:val="0"/>
          <w:numId w:val="44"/>
        </w:numPr>
        <w:spacing w:after="120"/>
        <w:contextualSpacing w:val="0"/>
        <w:jc w:val="both"/>
        <w:rPr>
          <w:rFonts w:ascii="Arial Narrow" w:hAnsi="Arial Narrow"/>
          <w:lang w:val="bg-BG"/>
        </w:rPr>
      </w:pPr>
      <w:r w:rsidRPr="00132ABA">
        <w:rPr>
          <w:rFonts w:ascii="Arial Narrow" w:hAnsi="Arial Narrow"/>
          <w:lang w:val="bg-BG"/>
        </w:rPr>
        <w:t>чужди примеси: 1,6% ± 1,3%</w:t>
      </w:r>
      <w:r w:rsidRPr="005A748D">
        <w:rPr>
          <w:rFonts w:ascii="Arial Narrow" w:hAnsi="Arial Narrow"/>
          <w:lang w:val="bg-BG"/>
        </w:rPr>
        <w:t xml:space="preserve">, при </w:t>
      </w:r>
      <w:r w:rsidRPr="005F1E4E">
        <w:rPr>
          <w:rFonts w:ascii="Arial Narrow" w:hAnsi="Arial Narrow"/>
          <w:lang w:val="bg-BG"/>
        </w:rPr>
        <w:t>0,6% ± 0,3</w:t>
      </w:r>
      <w:r w:rsidRPr="00132ABA">
        <w:rPr>
          <w:rFonts w:ascii="Arial Narrow" w:hAnsi="Arial Narrow"/>
          <w:lang w:val="bg-BG"/>
        </w:rPr>
        <w:t xml:space="preserve">% през 2023 г.; </w:t>
      </w:r>
    </w:p>
    <w:p w14:paraId="12ED9C38" w14:textId="77777777" w:rsidR="006F78B8" w:rsidRPr="00132ABA" w:rsidRDefault="006F78B8" w:rsidP="009C6577">
      <w:pPr>
        <w:pStyle w:val="ListParagraph"/>
        <w:numPr>
          <w:ilvl w:val="0"/>
          <w:numId w:val="44"/>
        </w:numPr>
        <w:spacing w:after="120"/>
        <w:contextualSpacing w:val="0"/>
        <w:jc w:val="both"/>
        <w:rPr>
          <w:rFonts w:ascii="Arial Narrow" w:hAnsi="Arial Narrow"/>
          <w:lang w:val="bg-BG"/>
        </w:rPr>
      </w:pPr>
      <w:r w:rsidRPr="00132ABA">
        <w:rPr>
          <w:rFonts w:ascii="Arial Narrow" w:hAnsi="Arial Narrow"/>
          <w:lang w:val="bg-BG"/>
        </w:rPr>
        <w:lastRenderedPageBreak/>
        <w:t>червени зърна: 0,8% ± 0,5%</w:t>
      </w:r>
      <w:r w:rsidRPr="005A748D">
        <w:rPr>
          <w:rFonts w:ascii="Arial Narrow" w:hAnsi="Arial Narrow"/>
          <w:lang w:val="bg-BG"/>
        </w:rPr>
        <w:t>, при</w:t>
      </w:r>
      <w:r w:rsidRPr="005F1E4E">
        <w:rPr>
          <w:rFonts w:ascii="Arial Narrow" w:hAnsi="Arial Narrow"/>
          <w:lang w:val="bg-BG"/>
        </w:rPr>
        <w:t xml:space="preserve"> 0,6% ± 0,4</w:t>
      </w:r>
      <w:r w:rsidRPr="00132ABA">
        <w:rPr>
          <w:rFonts w:ascii="Arial Narrow" w:hAnsi="Arial Narrow"/>
          <w:lang w:val="bg-BG"/>
        </w:rPr>
        <w:t>% през 2023 г.;</w:t>
      </w:r>
    </w:p>
    <w:p w14:paraId="408EDB1F" w14:textId="77777777" w:rsidR="006F78B8" w:rsidRPr="00132ABA" w:rsidRDefault="006F78B8" w:rsidP="009C6577">
      <w:pPr>
        <w:pStyle w:val="ListParagraph"/>
        <w:numPr>
          <w:ilvl w:val="0"/>
          <w:numId w:val="44"/>
        </w:numPr>
        <w:spacing w:after="120"/>
        <w:contextualSpacing w:val="0"/>
        <w:jc w:val="both"/>
        <w:rPr>
          <w:rFonts w:ascii="Arial Narrow" w:hAnsi="Arial Narrow"/>
          <w:lang w:val="bg-BG"/>
        </w:rPr>
      </w:pPr>
      <w:r w:rsidRPr="00132ABA">
        <w:rPr>
          <w:rFonts w:ascii="Arial Narrow" w:hAnsi="Arial Narrow"/>
          <w:lang w:val="bg-BG"/>
        </w:rPr>
        <w:t>пожълтели зърна – няма както и през 2023 г., 2022 г., 2021 г. и 2020 г.;</w:t>
      </w:r>
    </w:p>
    <w:p w14:paraId="437918BE" w14:textId="77777777" w:rsidR="006F78B8" w:rsidRPr="00132ABA" w:rsidRDefault="006F78B8" w:rsidP="009C6577">
      <w:pPr>
        <w:pStyle w:val="ListParagraph"/>
        <w:numPr>
          <w:ilvl w:val="0"/>
          <w:numId w:val="44"/>
        </w:numPr>
        <w:spacing w:after="120"/>
        <w:contextualSpacing w:val="0"/>
        <w:jc w:val="both"/>
        <w:rPr>
          <w:rFonts w:ascii="Arial Narrow" w:hAnsi="Arial Narrow"/>
          <w:lang w:val="bg-BG"/>
        </w:rPr>
      </w:pPr>
      <w:r w:rsidRPr="00132ABA">
        <w:rPr>
          <w:rFonts w:ascii="Arial Narrow" w:hAnsi="Arial Narrow"/>
          <w:lang w:val="bg-BG"/>
        </w:rPr>
        <w:t>оголени зърна – 1</w:t>
      </w:r>
      <w:r w:rsidRPr="005A748D">
        <w:rPr>
          <w:rFonts w:ascii="Arial Narrow" w:hAnsi="Arial Narrow"/>
          <w:lang w:val="bg-BG"/>
        </w:rPr>
        <w:t>,</w:t>
      </w:r>
      <w:r w:rsidRPr="005F1E4E">
        <w:rPr>
          <w:rFonts w:ascii="Arial Narrow" w:hAnsi="Arial Narrow"/>
          <w:lang w:val="bg-BG"/>
        </w:rPr>
        <w:t>3% ± 0,8</w:t>
      </w:r>
      <w:r w:rsidRPr="00132ABA">
        <w:rPr>
          <w:rFonts w:ascii="Arial Narrow" w:hAnsi="Arial Narrow"/>
          <w:lang w:val="bg-BG"/>
        </w:rPr>
        <w:t>%</w:t>
      </w:r>
      <w:r w:rsidRPr="005A748D">
        <w:rPr>
          <w:rFonts w:ascii="Arial Narrow" w:hAnsi="Arial Narrow"/>
          <w:lang w:val="bg-BG"/>
        </w:rPr>
        <w:t>, при</w:t>
      </w:r>
      <w:r w:rsidRPr="005F1E4E">
        <w:rPr>
          <w:rFonts w:ascii="Arial Narrow" w:hAnsi="Arial Narrow"/>
          <w:lang w:val="bg-BG"/>
        </w:rPr>
        <w:t xml:space="preserve"> 1,5</w:t>
      </w:r>
      <w:r w:rsidRPr="00132ABA">
        <w:rPr>
          <w:rFonts w:ascii="Arial Narrow" w:hAnsi="Arial Narrow"/>
          <w:lang w:val="bg-BG"/>
        </w:rPr>
        <w:t xml:space="preserve">% ± 1,0% през 2023 г.; </w:t>
      </w:r>
    </w:p>
    <w:p w14:paraId="17B6FAC1" w14:textId="77777777" w:rsidR="006F78B8" w:rsidRPr="006F78B8" w:rsidRDefault="006F78B8" w:rsidP="009C6577">
      <w:pPr>
        <w:pStyle w:val="ListParagraph"/>
        <w:numPr>
          <w:ilvl w:val="0"/>
          <w:numId w:val="44"/>
        </w:numPr>
        <w:spacing w:after="120"/>
        <w:contextualSpacing w:val="0"/>
        <w:jc w:val="both"/>
        <w:rPr>
          <w:rFonts w:ascii="Arial Narrow" w:hAnsi="Arial Narrow"/>
          <w:lang w:val="bg-BG"/>
        </w:rPr>
      </w:pPr>
      <w:r w:rsidRPr="00132ABA">
        <w:rPr>
          <w:rFonts w:ascii="Arial Narrow" w:hAnsi="Arial Narrow"/>
          <w:lang w:val="bg-BG"/>
        </w:rPr>
        <w:t>хектолитрова маса: 57,0 kg/100 dm3 ± 3,2 kg/100 dm3</w:t>
      </w:r>
      <w:r w:rsidRPr="005A748D">
        <w:rPr>
          <w:rFonts w:ascii="Arial Narrow" w:hAnsi="Arial Narrow"/>
          <w:lang w:val="bg-BG"/>
        </w:rPr>
        <w:t>, при</w:t>
      </w:r>
      <w:r w:rsidRPr="005F1E4E">
        <w:rPr>
          <w:rFonts w:ascii="Arial Narrow" w:hAnsi="Arial Narrow"/>
          <w:lang w:val="bg-BG"/>
        </w:rPr>
        <w:t xml:space="preserve"> 59,0 kg/100 dm3 ± 1,4 kg/100 dm3 през 2023 г.</w:t>
      </w:r>
    </w:p>
    <w:p w14:paraId="61BE8DC3" w14:textId="77777777" w:rsidR="00945F8E" w:rsidRPr="006F78B8" w:rsidRDefault="00945F8E" w:rsidP="00F25EF9">
      <w:pPr>
        <w:pStyle w:val="ListParagraph"/>
        <w:numPr>
          <w:ilvl w:val="2"/>
          <w:numId w:val="8"/>
        </w:numPr>
        <w:tabs>
          <w:tab w:val="left" w:pos="900"/>
          <w:tab w:val="left" w:pos="990"/>
        </w:tabs>
        <w:spacing w:before="240" w:after="120"/>
        <w:ind w:left="901" w:hanging="544"/>
        <w:contextualSpacing w:val="0"/>
        <w:jc w:val="both"/>
        <w:outlineLvl w:val="0"/>
        <w:rPr>
          <w:rFonts w:ascii="Arial Narrow" w:hAnsi="Arial Narrow"/>
          <w:b/>
          <w:lang w:val="bg-BG" w:eastAsia="bg-BG"/>
        </w:rPr>
      </w:pPr>
      <w:bookmarkStart w:id="39" w:name="_Toc210747544"/>
      <w:r w:rsidRPr="006F78B8">
        <w:rPr>
          <w:rFonts w:ascii="Arial Narrow" w:hAnsi="Arial Narrow"/>
          <w:b/>
          <w:lang w:val="bg-BG" w:eastAsia="bg-BG"/>
        </w:rPr>
        <w:t>Технически култури</w:t>
      </w:r>
      <w:bookmarkEnd w:id="39"/>
    </w:p>
    <w:p w14:paraId="66514EE6" w14:textId="77777777" w:rsidR="006F78B8" w:rsidRPr="006F78B8" w:rsidRDefault="006F78B8" w:rsidP="006F78B8">
      <w:pPr>
        <w:widowControl w:val="0"/>
        <w:autoSpaceDE w:val="0"/>
        <w:autoSpaceDN w:val="0"/>
        <w:adjustRightInd w:val="0"/>
        <w:spacing w:after="120"/>
        <w:ind w:firstLine="709"/>
        <w:rPr>
          <w:rFonts w:ascii="Arial Narrow" w:hAnsi="Arial Narrow"/>
          <w:b/>
          <w:bCs/>
          <w:lang w:val="bg-BG"/>
        </w:rPr>
      </w:pPr>
      <w:r w:rsidRPr="006F78B8">
        <w:rPr>
          <w:rFonts w:ascii="Arial Narrow" w:hAnsi="Arial Narrow"/>
          <w:b/>
          <w:bCs/>
          <w:lang w:val="bg-BG"/>
        </w:rPr>
        <w:t>Тютюн</w:t>
      </w:r>
    </w:p>
    <w:p w14:paraId="584CBE52" w14:textId="77777777" w:rsidR="006F78B8" w:rsidRPr="006F78B8" w:rsidRDefault="006F78B8" w:rsidP="006F78B8">
      <w:pPr>
        <w:widowControl w:val="0"/>
        <w:autoSpaceDE w:val="0"/>
        <w:autoSpaceDN w:val="0"/>
        <w:adjustRightInd w:val="0"/>
        <w:spacing w:after="120"/>
        <w:ind w:firstLine="709"/>
        <w:jc w:val="both"/>
        <w:rPr>
          <w:rFonts w:ascii="Arial Narrow" w:hAnsi="Arial Narrow"/>
          <w:bCs/>
        </w:rPr>
      </w:pPr>
      <w:r w:rsidRPr="006F78B8">
        <w:rPr>
          <w:rFonts w:ascii="Arial Narrow" w:hAnsi="Arial Narrow"/>
          <w:bCs/>
        </w:rPr>
        <w:t xml:space="preserve">Производството на тютюн през 2024 г. e в размер на 3 380 тона, което е с 14,3% по-малко в сравнение с </w:t>
      </w:r>
      <w:r w:rsidRPr="006F78B8">
        <w:rPr>
          <w:rFonts w:ascii="Arial Narrow" w:hAnsi="Arial Narrow"/>
          <w:bCs/>
          <w:lang w:val="bg-BG"/>
        </w:rPr>
        <w:t>предходната година</w:t>
      </w:r>
      <w:r w:rsidRPr="006F78B8">
        <w:rPr>
          <w:rFonts w:ascii="Arial Narrow" w:hAnsi="Arial Narrow"/>
          <w:bCs/>
        </w:rPr>
        <w:t xml:space="preserve">. </w:t>
      </w:r>
      <w:r w:rsidRPr="006F78B8">
        <w:rPr>
          <w:rFonts w:ascii="Arial Narrow" w:hAnsi="Arial Narrow"/>
          <w:bCs/>
          <w:lang w:val="bg-BG"/>
        </w:rPr>
        <w:t>Намалението на</w:t>
      </w:r>
      <w:r w:rsidRPr="006F78B8">
        <w:rPr>
          <w:rFonts w:ascii="Arial Narrow" w:hAnsi="Arial Narrow"/>
          <w:bCs/>
        </w:rPr>
        <w:t xml:space="preserve"> производството се дължи на </w:t>
      </w:r>
      <w:r w:rsidRPr="006F78B8">
        <w:rPr>
          <w:rFonts w:ascii="Arial Narrow" w:hAnsi="Arial Narrow"/>
          <w:bCs/>
          <w:lang w:val="bg-BG"/>
        </w:rPr>
        <w:t xml:space="preserve">свиване </w:t>
      </w:r>
      <w:r w:rsidRPr="006F78B8">
        <w:rPr>
          <w:rFonts w:ascii="Arial Narrow" w:hAnsi="Arial Narrow"/>
          <w:bCs/>
        </w:rPr>
        <w:t>на разсадените площи с 16,</w:t>
      </w:r>
      <w:r w:rsidRPr="006F78B8">
        <w:rPr>
          <w:rFonts w:ascii="Arial Narrow" w:hAnsi="Arial Narrow"/>
          <w:bCs/>
          <w:lang w:val="bg-BG"/>
        </w:rPr>
        <w:t>5</w:t>
      </w:r>
      <w:r w:rsidRPr="006F78B8">
        <w:rPr>
          <w:rFonts w:ascii="Arial Narrow" w:hAnsi="Arial Narrow"/>
          <w:bCs/>
        </w:rPr>
        <w:t>%</w:t>
      </w:r>
      <w:r w:rsidRPr="006F78B8">
        <w:rPr>
          <w:rFonts w:ascii="Arial Narrow" w:hAnsi="Arial Narrow"/>
          <w:bCs/>
          <w:lang w:val="bg-BG"/>
        </w:rPr>
        <w:t xml:space="preserve"> - </w:t>
      </w:r>
      <w:r w:rsidRPr="006F78B8">
        <w:rPr>
          <w:rFonts w:ascii="Arial Narrow" w:hAnsi="Arial Narrow"/>
          <w:bCs/>
        </w:rPr>
        <w:t>от 2 425 ха за 2023 г. на 2 026 ха за 2024 г.</w:t>
      </w:r>
    </w:p>
    <w:p w14:paraId="132E37CB" w14:textId="77777777" w:rsidR="006F78B8" w:rsidRPr="006F78B8" w:rsidRDefault="006F78B8" w:rsidP="006F78B8">
      <w:pPr>
        <w:widowControl w:val="0"/>
        <w:autoSpaceDE w:val="0"/>
        <w:autoSpaceDN w:val="0"/>
        <w:adjustRightInd w:val="0"/>
        <w:spacing w:after="120"/>
        <w:ind w:firstLine="709"/>
        <w:rPr>
          <w:rFonts w:ascii="Arial Narrow" w:hAnsi="Arial Narrow"/>
          <w:b/>
          <w:bCs/>
          <w:lang w:val="bg-BG"/>
        </w:rPr>
      </w:pPr>
      <w:r w:rsidRPr="006F78B8">
        <w:rPr>
          <w:rFonts w:ascii="Arial Narrow" w:hAnsi="Arial Narrow"/>
          <w:b/>
          <w:bCs/>
          <w:lang w:val="bg-BG"/>
        </w:rPr>
        <w:t>Памук</w:t>
      </w:r>
    </w:p>
    <w:p w14:paraId="6F1F1EB7" w14:textId="77777777" w:rsidR="006F78B8" w:rsidRPr="006F78B8" w:rsidRDefault="006F78B8" w:rsidP="006F78B8">
      <w:pPr>
        <w:widowControl w:val="0"/>
        <w:autoSpaceDE w:val="0"/>
        <w:autoSpaceDN w:val="0"/>
        <w:adjustRightInd w:val="0"/>
        <w:spacing w:after="120"/>
        <w:ind w:firstLine="709"/>
        <w:jc w:val="both"/>
        <w:rPr>
          <w:rFonts w:ascii="Arial Narrow" w:hAnsi="Arial Narrow"/>
          <w:bCs/>
        </w:rPr>
      </w:pPr>
      <w:r w:rsidRPr="006F78B8">
        <w:rPr>
          <w:rFonts w:ascii="Arial Narrow" w:hAnsi="Arial Narrow"/>
          <w:bCs/>
        </w:rPr>
        <w:t xml:space="preserve">Прибраното количество влакнодаен памук през 2024 г. </w:t>
      </w:r>
      <w:r w:rsidRPr="006F78B8">
        <w:rPr>
          <w:rFonts w:ascii="Arial Narrow" w:hAnsi="Arial Narrow"/>
          <w:bCs/>
          <w:lang w:val="bg-BG"/>
        </w:rPr>
        <w:t>възлиза на</w:t>
      </w:r>
      <w:r w:rsidRPr="006F78B8">
        <w:rPr>
          <w:rFonts w:ascii="Arial Narrow" w:hAnsi="Arial Narrow"/>
          <w:bCs/>
        </w:rPr>
        <w:t xml:space="preserve"> 1 385 тона, </w:t>
      </w:r>
      <w:r w:rsidRPr="006F78B8">
        <w:rPr>
          <w:rFonts w:ascii="Arial Narrow" w:hAnsi="Arial Narrow"/>
          <w:bCs/>
          <w:lang w:val="bg-BG"/>
        </w:rPr>
        <w:t>отбелязвайки</w:t>
      </w:r>
      <w:r w:rsidRPr="006F78B8">
        <w:rPr>
          <w:rFonts w:ascii="Arial Narrow" w:hAnsi="Arial Narrow"/>
          <w:bCs/>
        </w:rPr>
        <w:t xml:space="preserve"> </w:t>
      </w:r>
      <w:r w:rsidRPr="006F78B8">
        <w:rPr>
          <w:rFonts w:ascii="Arial Narrow" w:hAnsi="Arial Narrow"/>
          <w:bCs/>
          <w:lang w:val="bg-BG"/>
        </w:rPr>
        <w:t>ръст</w:t>
      </w:r>
      <w:r w:rsidRPr="006F78B8">
        <w:rPr>
          <w:rFonts w:ascii="Arial Narrow" w:hAnsi="Arial Narrow"/>
          <w:bCs/>
        </w:rPr>
        <w:t xml:space="preserve"> от 20,7% </w:t>
      </w:r>
      <w:r w:rsidRPr="006F78B8">
        <w:rPr>
          <w:rFonts w:ascii="Arial Narrow" w:hAnsi="Arial Narrow"/>
          <w:bCs/>
          <w:lang w:val="bg-BG"/>
        </w:rPr>
        <w:t>на годишна база.</w:t>
      </w:r>
      <w:r w:rsidRPr="006F78B8">
        <w:rPr>
          <w:rFonts w:ascii="Arial Narrow" w:hAnsi="Arial Narrow"/>
          <w:bCs/>
        </w:rPr>
        <w:t xml:space="preserve"> Реколтираните площи </w:t>
      </w:r>
      <w:r w:rsidRPr="006F78B8">
        <w:rPr>
          <w:rFonts w:ascii="Arial Narrow" w:hAnsi="Arial Narrow"/>
          <w:bCs/>
          <w:lang w:val="bg-BG"/>
        </w:rPr>
        <w:t>са</w:t>
      </w:r>
      <w:r w:rsidRPr="006F78B8">
        <w:rPr>
          <w:rFonts w:ascii="Arial Narrow" w:hAnsi="Arial Narrow"/>
          <w:bCs/>
        </w:rPr>
        <w:t xml:space="preserve"> 1 958 ха – с 50,6% повече спрямо 2023 г.</w:t>
      </w:r>
      <w:r w:rsidRPr="006F78B8">
        <w:rPr>
          <w:rFonts w:ascii="Arial Narrow" w:hAnsi="Arial Narrow"/>
          <w:bCs/>
          <w:lang w:val="bg-BG"/>
        </w:rPr>
        <w:t>, докато с</w:t>
      </w:r>
      <w:r w:rsidRPr="006F78B8">
        <w:rPr>
          <w:rFonts w:ascii="Arial Narrow" w:hAnsi="Arial Narrow"/>
          <w:bCs/>
        </w:rPr>
        <w:t xml:space="preserve">редният добив </w:t>
      </w:r>
      <w:r w:rsidRPr="006F78B8">
        <w:rPr>
          <w:rFonts w:ascii="Arial Narrow" w:hAnsi="Arial Narrow"/>
          <w:bCs/>
          <w:lang w:val="bg-BG"/>
        </w:rPr>
        <w:t xml:space="preserve">се понижава с </w:t>
      </w:r>
      <w:r w:rsidRPr="006F78B8">
        <w:rPr>
          <w:rFonts w:ascii="Arial Narrow" w:hAnsi="Arial Narrow"/>
          <w:bCs/>
        </w:rPr>
        <w:t>19,</w:t>
      </w:r>
      <w:r w:rsidRPr="006F78B8">
        <w:rPr>
          <w:rFonts w:ascii="Arial Narrow" w:hAnsi="Arial Narrow"/>
          <w:bCs/>
          <w:lang w:val="bg-BG"/>
        </w:rPr>
        <w:t>3</w:t>
      </w:r>
      <w:r w:rsidRPr="006F78B8">
        <w:rPr>
          <w:rFonts w:ascii="Arial Narrow" w:hAnsi="Arial Narrow"/>
          <w:bCs/>
        </w:rPr>
        <w:t xml:space="preserve">%, до </w:t>
      </w:r>
      <w:r w:rsidRPr="006F78B8">
        <w:rPr>
          <w:rFonts w:ascii="Arial Narrow" w:hAnsi="Arial Narrow"/>
          <w:bCs/>
          <w:lang w:val="bg-BG"/>
        </w:rPr>
        <w:t>0,</w:t>
      </w:r>
      <w:r w:rsidRPr="006F78B8">
        <w:rPr>
          <w:rFonts w:ascii="Arial Narrow" w:hAnsi="Arial Narrow"/>
          <w:bCs/>
        </w:rPr>
        <w:t>7</w:t>
      </w:r>
      <w:r w:rsidRPr="006F78B8">
        <w:rPr>
          <w:rFonts w:ascii="Arial Narrow" w:hAnsi="Arial Narrow"/>
          <w:bCs/>
          <w:lang w:val="bg-BG"/>
        </w:rPr>
        <w:t>1</w:t>
      </w:r>
      <w:r w:rsidRPr="006F78B8">
        <w:rPr>
          <w:rFonts w:ascii="Arial Narrow" w:hAnsi="Arial Narrow"/>
          <w:bCs/>
        </w:rPr>
        <w:t xml:space="preserve"> </w:t>
      </w:r>
      <w:r w:rsidRPr="006F78B8">
        <w:rPr>
          <w:rFonts w:ascii="Arial Narrow" w:hAnsi="Arial Narrow"/>
          <w:bCs/>
          <w:lang w:val="bg-BG"/>
        </w:rPr>
        <w:t>тона</w:t>
      </w:r>
      <w:r w:rsidRPr="006F78B8">
        <w:rPr>
          <w:rFonts w:ascii="Arial Narrow" w:hAnsi="Arial Narrow"/>
          <w:bCs/>
        </w:rPr>
        <w:t xml:space="preserve">/ха. </w:t>
      </w:r>
    </w:p>
    <w:p w14:paraId="17EA469F" w14:textId="77777777" w:rsidR="006F78B8" w:rsidRPr="006F78B8" w:rsidRDefault="006F78B8" w:rsidP="006F78B8">
      <w:pPr>
        <w:widowControl w:val="0"/>
        <w:autoSpaceDE w:val="0"/>
        <w:autoSpaceDN w:val="0"/>
        <w:adjustRightInd w:val="0"/>
        <w:spacing w:after="120"/>
        <w:ind w:firstLine="709"/>
        <w:rPr>
          <w:rFonts w:ascii="Arial Narrow" w:hAnsi="Arial Narrow"/>
          <w:b/>
          <w:bCs/>
          <w:lang w:val="bg-BG"/>
        </w:rPr>
      </w:pPr>
      <w:r w:rsidRPr="006F78B8">
        <w:rPr>
          <w:rFonts w:ascii="Arial Narrow" w:hAnsi="Arial Narrow"/>
          <w:b/>
          <w:bCs/>
          <w:lang w:val="bg-BG"/>
        </w:rPr>
        <w:t>Влакнодаен коноп</w:t>
      </w:r>
    </w:p>
    <w:p w14:paraId="11A40A38" w14:textId="77777777" w:rsidR="006F78B8" w:rsidRPr="006F78B8" w:rsidRDefault="006F78B8" w:rsidP="006F78B8">
      <w:pPr>
        <w:widowControl w:val="0"/>
        <w:autoSpaceDE w:val="0"/>
        <w:autoSpaceDN w:val="0"/>
        <w:adjustRightInd w:val="0"/>
        <w:spacing w:after="120"/>
        <w:ind w:firstLine="709"/>
        <w:rPr>
          <w:rStyle w:val="FontStyle165"/>
          <w:rFonts w:cs="Times New Roman"/>
          <w:b w:val="0"/>
          <w:sz w:val="24"/>
          <w:szCs w:val="24"/>
        </w:rPr>
      </w:pPr>
      <w:r w:rsidRPr="006F78B8">
        <w:rPr>
          <w:rFonts w:ascii="Arial Narrow" w:hAnsi="Arial Narrow"/>
          <w:bCs/>
        </w:rPr>
        <w:t xml:space="preserve">През 2024 г. реколтираните площи с влакнодаен коноп в страната са 13,8 ха. </w:t>
      </w:r>
    </w:p>
    <w:p w14:paraId="5D28D29F" w14:textId="77777777" w:rsidR="00A84146" w:rsidRPr="006F78B8" w:rsidRDefault="00A84146" w:rsidP="00F25EF9">
      <w:pPr>
        <w:pStyle w:val="ListParagraph"/>
        <w:numPr>
          <w:ilvl w:val="2"/>
          <w:numId w:val="8"/>
        </w:numPr>
        <w:tabs>
          <w:tab w:val="left" w:pos="900"/>
          <w:tab w:val="left" w:pos="990"/>
        </w:tabs>
        <w:spacing w:before="240" w:after="120"/>
        <w:ind w:left="900" w:hanging="543"/>
        <w:contextualSpacing w:val="0"/>
        <w:jc w:val="both"/>
        <w:outlineLvl w:val="0"/>
        <w:rPr>
          <w:rFonts w:ascii="Arial Narrow" w:hAnsi="Arial Narrow"/>
          <w:b/>
          <w:lang w:val="bg-BG" w:eastAsia="bg-BG"/>
        </w:rPr>
      </w:pPr>
      <w:bookmarkStart w:id="40" w:name="_Toc116305339"/>
      <w:r w:rsidRPr="006F78B8">
        <w:rPr>
          <w:rFonts w:ascii="Arial Narrow" w:hAnsi="Arial Narrow"/>
          <w:b/>
        </w:rPr>
        <w:tab/>
      </w:r>
      <w:bookmarkStart w:id="41" w:name="_Toc210747545"/>
      <w:r w:rsidRPr="006F78B8">
        <w:rPr>
          <w:rFonts w:ascii="Arial Narrow" w:hAnsi="Arial Narrow"/>
          <w:b/>
          <w:lang w:val="bg-BG" w:eastAsia="bg-BG"/>
        </w:rPr>
        <w:t>Медицински и ароматни култури</w:t>
      </w:r>
      <w:bookmarkEnd w:id="41"/>
    </w:p>
    <w:bookmarkEnd w:id="40"/>
    <w:p w14:paraId="0224F428" w14:textId="77777777" w:rsidR="006F78B8" w:rsidRPr="006F78B8" w:rsidRDefault="006F78B8" w:rsidP="006F78B8">
      <w:pPr>
        <w:widowControl w:val="0"/>
        <w:autoSpaceDE w:val="0"/>
        <w:autoSpaceDN w:val="0"/>
        <w:adjustRightInd w:val="0"/>
        <w:spacing w:after="120"/>
        <w:ind w:firstLine="709"/>
        <w:jc w:val="both"/>
        <w:rPr>
          <w:rFonts w:ascii="Arial Narrow" w:hAnsi="Arial Narrow"/>
          <w:lang w:val="bg-BG" w:eastAsia="bg-BG"/>
        </w:rPr>
      </w:pPr>
      <w:r w:rsidRPr="006F78B8">
        <w:rPr>
          <w:rFonts w:ascii="Arial Narrow" w:hAnsi="Arial Narrow"/>
          <w:lang w:val="bg-BG" w:eastAsia="bg-BG"/>
        </w:rPr>
        <w:t xml:space="preserve">През 2024 г. площите, заети с основни медицински, ароматни и етеричномаслени култури като маслодайна роза (розов цвят), лавандула (свеж цвят), маточина (суха маса), кориандър (семе), резене (семе), бял трън (семе) и др., са в размер на </w:t>
      </w:r>
      <w:r w:rsidR="009B4987">
        <w:rPr>
          <w:rFonts w:ascii="Arial Narrow" w:hAnsi="Arial Narrow"/>
          <w:lang w:eastAsia="bg-BG"/>
        </w:rPr>
        <w:t>42 771</w:t>
      </w:r>
      <w:r w:rsidRPr="006F78B8">
        <w:rPr>
          <w:rFonts w:ascii="Arial Narrow" w:hAnsi="Arial Narrow"/>
          <w:lang w:val="bg-BG" w:eastAsia="bg-BG"/>
        </w:rPr>
        <w:t xml:space="preserve"> ха, което е с </w:t>
      </w:r>
      <w:r w:rsidR="009B4987">
        <w:rPr>
          <w:rFonts w:ascii="Arial Narrow" w:hAnsi="Arial Narrow"/>
          <w:lang w:val="bg-BG" w:eastAsia="bg-BG"/>
        </w:rPr>
        <w:t>0,6</w:t>
      </w:r>
      <w:r w:rsidRPr="006F78B8">
        <w:rPr>
          <w:rFonts w:ascii="Arial Narrow" w:hAnsi="Arial Narrow"/>
          <w:lang w:val="bg-BG" w:eastAsia="bg-BG"/>
        </w:rPr>
        <w:t xml:space="preserve">% повече в сравнение с 2023 г. При реколтираните площи се отчита увеличение с </w:t>
      </w:r>
      <w:r w:rsidR="009B4987">
        <w:rPr>
          <w:rFonts w:ascii="Arial Narrow" w:hAnsi="Arial Narrow"/>
          <w:lang w:val="bg-BG" w:eastAsia="bg-BG"/>
        </w:rPr>
        <w:t>0,8</w:t>
      </w:r>
      <w:r w:rsidRPr="006F78B8">
        <w:rPr>
          <w:rFonts w:ascii="Arial Narrow" w:hAnsi="Arial Narrow"/>
          <w:lang w:val="bg-BG" w:eastAsia="bg-BG"/>
        </w:rPr>
        <w:t xml:space="preserve">%, до 39 </w:t>
      </w:r>
      <w:r w:rsidR="009B4987">
        <w:rPr>
          <w:rFonts w:ascii="Arial Narrow" w:hAnsi="Arial Narrow"/>
          <w:lang w:val="bg-BG" w:eastAsia="bg-BG"/>
        </w:rPr>
        <w:t>990</w:t>
      </w:r>
      <w:r w:rsidR="009B4987" w:rsidRPr="006F78B8">
        <w:rPr>
          <w:rFonts w:ascii="Arial Narrow" w:hAnsi="Arial Narrow"/>
          <w:lang w:val="bg-BG" w:eastAsia="bg-BG"/>
        </w:rPr>
        <w:t xml:space="preserve"> </w:t>
      </w:r>
      <w:r w:rsidRPr="006F78B8">
        <w:rPr>
          <w:rFonts w:ascii="Arial Narrow" w:hAnsi="Arial Narrow"/>
          <w:lang w:val="bg-BG" w:eastAsia="bg-BG"/>
        </w:rPr>
        <w:t>ха.</w:t>
      </w:r>
    </w:p>
    <w:p w14:paraId="5EB76691" w14:textId="77777777" w:rsidR="006F78B8" w:rsidRPr="006F78B8" w:rsidRDefault="006F78B8" w:rsidP="006F78B8">
      <w:pPr>
        <w:autoSpaceDE w:val="0"/>
        <w:autoSpaceDN w:val="0"/>
        <w:adjustRightInd w:val="0"/>
        <w:spacing w:after="120"/>
        <w:ind w:right="142"/>
        <w:rPr>
          <w:rFonts w:ascii="Arial Narrow" w:hAnsi="Arial Narrow"/>
          <w:lang w:val="bg-BG" w:eastAsia="bg-BG"/>
        </w:rPr>
      </w:pPr>
      <w:r w:rsidRPr="006F78B8">
        <w:rPr>
          <w:rFonts w:ascii="Arial Narrow" w:hAnsi="Arial Narrow"/>
          <w:b/>
          <w:lang w:val="bg-BG" w:eastAsia="bg-BG"/>
        </w:rPr>
        <w:t>Таблица ІІ.6. Производство на основни етерично-маслени култури от реколти `2023 и `2024</w:t>
      </w:r>
    </w:p>
    <w:tbl>
      <w:tblPr>
        <w:tblW w:w="4944" w:type="pct"/>
        <w:tblInd w:w="108" w:type="dxa"/>
        <w:tblLook w:val="04A0" w:firstRow="1" w:lastRow="0" w:firstColumn="1" w:lastColumn="0" w:noHBand="0" w:noVBand="1"/>
      </w:tblPr>
      <w:tblGrid>
        <w:gridCol w:w="1206"/>
        <w:gridCol w:w="908"/>
        <w:gridCol w:w="910"/>
        <w:gridCol w:w="1016"/>
        <w:gridCol w:w="910"/>
        <w:gridCol w:w="910"/>
        <w:gridCol w:w="1018"/>
        <w:gridCol w:w="910"/>
        <w:gridCol w:w="910"/>
        <w:gridCol w:w="992"/>
      </w:tblGrid>
      <w:tr w:rsidR="006F78B8" w:rsidRPr="006F78B8" w14:paraId="1C67FD6E" w14:textId="77777777" w:rsidTr="00507FB0">
        <w:trPr>
          <w:trHeight w:val="602"/>
        </w:trPr>
        <w:tc>
          <w:tcPr>
            <w:tcW w:w="62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CE69FD2" w14:textId="77777777" w:rsidR="006F78B8" w:rsidRPr="006F78B8" w:rsidRDefault="006F78B8" w:rsidP="006F78B8">
            <w:pPr>
              <w:jc w:val="center"/>
              <w:rPr>
                <w:rFonts w:ascii="Arial Narrow" w:hAnsi="Arial Narrow" w:cs="Calibri"/>
                <w:b/>
                <w:bCs/>
                <w:sz w:val="20"/>
                <w:szCs w:val="20"/>
                <w:lang w:val="bg-BG"/>
              </w:rPr>
            </w:pPr>
            <w:r w:rsidRPr="006F78B8">
              <w:rPr>
                <w:rFonts w:ascii="Arial Narrow" w:hAnsi="Arial Narrow" w:cs="Calibri"/>
                <w:b/>
                <w:bCs/>
                <w:sz w:val="20"/>
                <w:szCs w:val="20"/>
                <w:lang w:val="bg-BG"/>
              </w:rPr>
              <w:t>Култура </w:t>
            </w:r>
          </w:p>
        </w:tc>
        <w:tc>
          <w:tcPr>
            <w:tcW w:w="1464" w:type="pct"/>
            <w:gridSpan w:val="3"/>
            <w:tcBorders>
              <w:top w:val="single" w:sz="4" w:space="0" w:color="auto"/>
              <w:left w:val="nil"/>
              <w:bottom w:val="single" w:sz="4" w:space="0" w:color="auto"/>
              <w:right w:val="single" w:sz="4" w:space="0" w:color="000000"/>
            </w:tcBorders>
            <w:shd w:val="clear" w:color="auto" w:fill="auto"/>
            <w:vAlign w:val="center"/>
            <w:hideMark/>
          </w:tcPr>
          <w:p w14:paraId="768E0F48" w14:textId="77777777" w:rsidR="006F78B8" w:rsidRPr="006F78B8" w:rsidRDefault="006F78B8" w:rsidP="006F78B8">
            <w:pPr>
              <w:jc w:val="center"/>
              <w:rPr>
                <w:rFonts w:ascii="Arial Narrow" w:hAnsi="Arial Narrow" w:cs="Calibri"/>
                <w:b/>
                <w:bCs/>
                <w:sz w:val="20"/>
                <w:szCs w:val="20"/>
                <w:lang w:val="bg-BG"/>
              </w:rPr>
            </w:pPr>
            <w:r w:rsidRPr="006F78B8">
              <w:rPr>
                <w:rFonts w:ascii="Arial Narrow" w:hAnsi="Arial Narrow" w:cs="Calibri"/>
                <w:b/>
                <w:bCs/>
                <w:sz w:val="20"/>
                <w:szCs w:val="20"/>
                <w:lang w:val="bg-BG"/>
              </w:rPr>
              <w:t>Реколтирани площи (ха)</w:t>
            </w:r>
          </w:p>
        </w:tc>
        <w:tc>
          <w:tcPr>
            <w:tcW w:w="1465" w:type="pct"/>
            <w:gridSpan w:val="3"/>
            <w:tcBorders>
              <w:top w:val="single" w:sz="4" w:space="0" w:color="auto"/>
              <w:left w:val="nil"/>
              <w:bottom w:val="single" w:sz="4" w:space="0" w:color="auto"/>
              <w:right w:val="single" w:sz="4" w:space="0" w:color="000000"/>
            </w:tcBorders>
            <w:shd w:val="clear" w:color="auto" w:fill="auto"/>
            <w:vAlign w:val="center"/>
            <w:hideMark/>
          </w:tcPr>
          <w:p w14:paraId="42ED2EBF" w14:textId="77777777" w:rsidR="006F78B8" w:rsidRPr="006F78B8" w:rsidRDefault="006F78B8" w:rsidP="006F78B8">
            <w:pPr>
              <w:jc w:val="center"/>
              <w:rPr>
                <w:rFonts w:ascii="Arial Narrow" w:hAnsi="Arial Narrow" w:cs="Calibri"/>
                <w:b/>
                <w:bCs/>
                <w:sz w:val="20"/>
                <w:szCs w:val="20"/>
                <w:lang w:val="bg-BG"/>
              </w:rPr>
            </w:pPr>
            <w:r w:rsidRPr="006F78B8">
              <w:rPr>
                <w:rFonts w:ascii="Arial Narrow" w:hAnsi="Arial Narrow" w:cs="Calibri"/>
                <w:b/>
                <w:bCs/>
                <w:sz w:val="20"/>
                <w:szCs w:val="20"/>
                <w:lang w:val="bg-BG"/>
              </w:rPr>
              <w:t>Среден добив (тона/ха)</w:t>
            </w:r>
          </w:p>
        </w:tc>
        <w:tc>
          <w:tcPr>
            <w:tcW w:w="1448" w:type="pct"/>
            <w:gridSpan w:val="3"/>
            <w:tcBorders>
              <w:top w:val="single" w:sz="4" w:space="0" w:color="auto"/>
              <w:left w:val="nil"/>
              <w:bottom w:val="single" w:sz="4" w:space="0" w:color="auto"/>
              <w:right w:val="single" w:sz="4" w:space="0" w:color="000000"/>
            </w:tcBorders>
            <w:shd w:val="clear" w:color="auto" w:fill="auto"/>
            <w:vAlign w:val="center"/>
            <w:hideMark/>
          </w:tcPr>
          <w:p w14:paraId="20273D51" w14:textId="77777777" w:rsidR="006F78B8" w:rsidRPr="006F78B8" w:rsidRDefault="006F78B8" w:rsidP="006F78B8">
            <w:pPr>
              <w:jc w:val="center"/>
              <w:rPr>
                <w:rFonts w:ascii="Arial Narrow" w:hAnsi="Arial Narrow" w:cs="Calibri"/>
                <w:b/>
                <w:bCs/>
                <w:sz w:val="20"/>
                <w:szCs w:val="20"/>
                <w:lang w:val="bg-BG"/>
              </w:rPr>
            </w:pPr>
            <w:r w:rsidRPr="006F78B8">
              <w:rPr>
                <w:rFonts w:ascii="Arial Narrow" w:hAnsi="Arial Narrow" w:cs="Calibri"/>
                <w:b/>
                <w:bCs/>
                <w:sz w:val="20"/>
                <w:szCs w:val="20"/>
                <w:lang w:val="bg-BG"/>
              </w:rPr>
              <w:t>Производство</w:t>
            </w:r>
            <w:r w:rsidRPr="006F78B8">
              <w:rPr>
                <w:rFonts w:ascii="Arial Narrow" w:hAnsi="Arial Narrow" w:cs="Calibri"/>
                <w:b/>
                <w:bCs/>
                <w:sz w:val="20"/>
                <w:szCs w:val="20"/>
                <w:lang w:val="bg-BG"/>
              </w:rPr>
              <w:br/>
              <w:t>(тона)</w:t>
            </w:r>
          </w:p>
        </w:tc>
      </w:tr>
      <w:tr w:rsidR="006F78B8" w:rsidRPr="006F78B8" w14:paraId="48BA4994" w14:textId="77777777" w:rsidTr="00507FB0">
        <w:trPr>
          <w:trHeight w:val="602"/>
        </w:trPr>
        <w:tc>
          <w:tcPr>
            <w:tcW w:w="623" w:type="pct"/>
            <w:vMerge/>
            <w:tcBorders>
              <w:top w:val="single" w:sz="4" w:space="0" w:color="auto"/>
              <w:left w:val="single" w:sz="4" w:space="0" w:color="auto"/>
              <w:bottom w:val="single" w:sz="4" w:space="0" w:color="auto"/>
              <w:right w:val="single" w:sz="4" w:space="0" w:color="auto"/>
            </w:tcBorders>
            <w:vAlign w:val="center"/>
            <w:hideMark/>
          </w:tcPr>
          <w:p w14:paraId="5C7236DB" w14:textId="77777777" w:rsidR="006F78B8" w:rsidRPr="006F78B8" w:rsidRDefault="006F78B8" w:rsidP="006F78B8">
            <w:pPr>
              <w:rPr>
                <w:rFonts w:ascii="Arial Narrow" w:hAnsi="Arial Narrow" w:cs="Calibri"/>
                <w:b/>
                <w:bCs/>
                <w:sz w:val="20"/>
                <w:szCs w:val="20"/>
                <w:lang w:val="bg-BG"/>
              </w:rPr>
            </w:pP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4AF5DDB" w14:textId="77777777" w:rsidR="006F78B8" w:rsidRPr="006F78B8" w:rsidRDefault="006F78B8" w:rsidP="006F78B8">
            <w:pPr>
              <w:jc w:val="center"/>
              <w:rPr>
                <w:rFonts w:ascii="Arial Narrow" w:hAnsi="Arial Narrow" w:cs="Calibri"/>
                <w:b/>
                <w:bCs/>
                <w:sz w:val="20"/>
                <w:szCs w:val="20"/>
                <w:lang w:val="bg-BG"/>
              </w:rPr>
            </w:pPr>
            <w:r w:rsidRPr="006F78B8">
              <w:rPr>
                <w:rFonts w:ascii="Arial Narrow" w:hAnsi="Arial Narrow" w:cs="Calibri"/>
                <w:b/>
                <w:bCs/>
                <w:sz w:val="20"/>
                <w:szCs w:val="20"/>
                <w:lang w:val="bg-BG" w:eastAsia="bg-BG"/>
              </w:rPr>
              <w:t>2023</w:t>
            </w:r>
          </w:p>
        </w:tc>
        <w:tc>
          <w:tcPr>
            <w:tcW w:w="470" w:type="pct"/>
            <w:tcBorders>
              <w:top w:val="single" w:sz="4" w:space="0" w:color="auto"/>
              <w:left w:val="nil"/>
              <w:bottom w:val="single" w:sz="4" w:space="0" w:color="auto"/>
              <w:right w:val="single" w:sz="4" w:space="0" w:color="auto"/>
            </w:tcBorders>
            <w:shd w:val="clear" w:color="auto" w:fill="auto"/>
            <w:vAlign w:val="center"/>
            <w:hideMark/>
          </w:tcPr>
          <w:p w14:paraId="76B05C6B" w14:textId="77777777" w:rsidR="006F78B8" w:rsidRPr="006F78B8" w:rsidRDefault="006F78B8" w:rsidP="006F78B8">
            <w:pPr>
              <w:jc w:val="center"/>
              <w:rPr>
                <w:rFonts w:ascii="Arial Narrow" w:hAnsi="Arial Narrow" w:cs="Calibri"/>
                <w:b/>
                <w:bCs/>
                <w:sz w:val="20"/>
                <w:szCs w:val="20"/>
                <w:lang w:val="bg-BG"/>
              </w:rPr>
            </w:pPr>
            <w:r w:rsidRPr="006F78B8">
              <w:rPr>
                <w:rFonts w:ascii="Arial Narrow" w:hAnsi="Arial Narrow" w:cs="Calibri"/>
                <w:b/>
                <w:bCs/>
                <w:sz w:val="20"/>
                <w:szCs w:val="20"/>
                <w:lang w:val="bg-BG" w:eastAsia="bg-BG"/>
              </w:rPr>
              <w:t>2024</w:t>
            </w:r>
          </w:p>
        </w:tc>
        <w:tc>
          <w:tcPr>
            <w:tcW w:w="525" w:type="pct"/>
            <w:tcBorders>
              <w:top w:val="single" w:sz="4" w:space="0" w:color="auto"/>
              <w:left w:val="nil"/>
              <w:bottom w:val="single" w:sz="4" w:space="0" w:color="auto"/>
              <w:right w:val="single" w:sz="4" w:space="0" w:color="auto"/>
            </w:tcBorders>
            <w:shd w:val="clear" w:color="auto" w:fill="auto"/>
            <w:vAlign w:val="center"/>
            <w:hideMark/>
          </w:tcPr>
          <w:p w14:paraId="66D6681C" w14:textId="77777777" w:rsidR="006F78B8" w:rsidRPr="006F78B8" w:rsidRDefault="006F78B8" w:rsidP="006F78B8">
            <w:pPr>
              <w:jc w:val="center"/>
              <w:rPr>
                <w:rFonts w:ascii="Arial Narrow" w:hAnsi="Arial Narrow" w:cs="Calibri"/>
                <w:b/>
                <w:bCs/>
                <w:sz w:val="20"/>
                <w:szCs w:val="20"/>
                <w:lang w:val="bg-BG"/>
              </w:rPr>
            </w:pPr>
            <w:r w:rsidRPr="006F78B8">
              <w:rPr>
                <w:rFonts w:ascii="Arial Narrow" w:hAnsi="Arial Narrow" w:cs="Calibri"/>
                <w:b/>
                <w:bCs/>
                <w:sz w:val="20"/>
                <w:szCs w:val="20"/>
                <w:lang w:val="bg-BG" w:eastAsia="bg-BG"/>
              </w:rPr>
              <w:t>Изм. 2024/2023</w:t>
            </w:r>
          </w:p>
        </w:tc>
        <w:tc>
          <w:tcPr>
            <w:tcW w:w="470" w:type="pct"/>
            <w:tcBorders>
              <w:top w:val="single" w:sz="4" w:space="0" w:color="auto"/>
              <w:left w:val="nil"/>
              <w:bottom w:val="single" w:sz="4" w:space="0" w:color="auto"/>
              <w:right w:val="single" w:sz="4" w:space="0" w:color="auto"/>
            </w:tcBorders>
            <w:shd w:val="clear" w:color="auto" w:fill="auto"/>
            <w:vAlign w:val="center"/>
            <w:hideMark/>
          </w:tcPr>
          <w:p w14:paraId="4A64E219" w14:textId="77777777" w:rsidR="006F78B8" w:rsidRPr="006F78B8" w:rsidRDefault="006F78B8" w:rsidP="006F78B8">
            <w:pPr>
              <w:jc w:val="center"/>
              <w:rPr>
                <w:rFonts w:ascii="Arial Narrow" w:hAnsi="Arial Narrow" w:cs="Calibri"/>
                <w:b/>
                <w:bCs/>
                <w:sz w:val="20"/>
                <w:szCs w:val="20"/>
                <w:lang w:val="bg-BG"/>
              </w:rPr>
            </w:pPr>
            <w:r w:rsidRPr="006F78B8">
              <w:rPr>
                <w:rFonts w:ascii="Arial Narrow" w:hAnsi="Arial Narrow" w:cs="Calibri"/>
                <w:b/>
                <w:bCs/>
                <w:sz w:val="20"/>
                <w:szCs w:val="20"/>
                <w:lang w:val="bg-BG" w:eastAsia="bg-BG"/>
              </w:rPr>
              <w:t>2023</w:t>
            </w:r>
          </w:p>
        </w:tc>
        <w:tc>
          <w:tcPr>
            <w:tcW w:w="470" w:type="pct"/>
            <w:tcBorders>
              <w:top w:val="single" w:sz="4" w:space="0" w:color="auto"/>
              <w:left w:val="nil"/>
              <w:bottom w:val="single" w:sz="4" w:space="0" w:color="auto"/>
              <w:right w:val="single" w:sz="4" w:space="0" w:color="auto"/>
            </w:tcBorders>
            <w:shd w:val="clear" w:color="auto" w:fill="auto"/>
            <w:vAlign w:val="center"/>
            <w:hideMark/>
          </w:tcPr>
          <w:p w14:paraId="1B42B073" w14:textId="77777777" w:rsidR="006F78B8" w:rsidRPr="006F78B8" w:rsidRDefault="006F78B8" w:rsidP="006F78B8">
            <w:pPr>
              <w:jc w:val="center"/>
              <w:rPr>
                <w:rFonts w:ascii="Arial Narrow" w:hAnsi="Arial Narrow" w:cs="Calibri"/>
                <w:b/>
                <w:bCs/>
                <w:sz w:val="20"/>
                <w:szCs w:val="20"/>
                <w:lang w:val="bg-BG"/>
              </w:rPr>
            </w:pPr>
            <w:r w:rsidRPr="006F78B8">
              <w:rPr>
                <w:rFonts w:ascii="Arial Narrow" w:hAnsi="Arial Narrow" w:cs="Calibri"/>
                <w:b/>
                <w:bCs/>
                <w:sz w:val="20"/>
                <w:szCs w:val="20"/>
                <w:lang w:val="bg-BG" w:eastAsia="bg-BG"/>
              </w:rPr>
              <w:t>2024</w:t>
            </w:r>
          </w:p>
        </w:tc>
        <w:tc>
          <w:tcPr>
            <w:tcW w:w="526" w:type="pct"/>
            <w:tcBorders>
              <w:top w:val="single" w:sz="4" w:space="0" w:color="auto"/>
              <w:left w:val="nil"/>
              <w:bottom w:val="single" w:sz="4" w:space="0" w:color="auto"/>
              <w:right w:val="single" w:sz="4" w:space="0" w:color="auto"/>
            </w:tcBorders>
            <w:shd w:val="clear" w:color="auto" w:fill="auto"/>
            <w:vAlign w:val="center"/>
            <w:hideMark/>
          </w:tcPr>
          <w:p w14:paraId="6877FDAC" w14:textId="77777777" w:rsidR="006F78B8" w:rsidRPr="006F78B8" w:rsidRDefault="006F78B8" w:rsidP="006F78B8">
            <w:pPr>
              <w:jc w:val="center"/>
              <w:rPr>
                <w:rFonts w:ascii="Arial Narrow" w:hAnsi="Arial Narrow" w:cs="Calibri"/>
                <w:b/>
                <w:bCs/>
                <w:sz w:val="20"/>
                <w:szCs w:val="20"/>
                <w:lang w:val="bg-BG"/>
              </w:rPr>
            </w:pPr>
            <w:r w:rsidRPr="006F78B8">
              <w:rPr>
                <w:rFonts w:ascii="Arial Narrow" w:hAnsi="Arial Narrow" w:cs="Calibri"/>
                <w:b/>
                <w:bCs/>
                <w:sz w:val="20"/>
                <w:szCs w:val="20"/>
                <w:lang w:val="bg-BG" w:eastAsia="bg-BG"/>
              </w:rPr>
              <w:t>Изм. 2024/2023</w:t>
            </w:r>
          </w:p>
        </w:tc>
        <w:tc>
          <w:tcPr>
            <w:tcW w:w="470" w:type="pct"/>
            <w:tcBorders>
              <w:top w:val="single" w:sz="4" w:space="0" w:color="auto"/>
              <w:left w:val="nil"/>
              <w:bottom w:val="single" w:sz="4" w:space="0" w:color="auto"/>
              <w:right w:val="single" w:sz="4" w:space="0" w:color="auto"/>
            </w:tcBorders>
            <w:shd w:val="clear" w:color="auto" w:fill="auto"/>
            <w:vAlign w:val="center"/>
            <w:hideMark/>
          </w:tcPr>
          <w:p w14:paraId="5E4B9DC7" w14:textId="77777777" w:rsidR="006F78B8" w:rsidRPr="006F78B8" w:rsidRDefault="006F78B8" w:rsidP="006F78B8">
            <w:pPr>
              <w:jc w:val="center"/>
              <w:rPr>
                <w:rFonts w:ascii="Arial Narrow" w:hAnsi="Arial Narrow" w:cs="Calibri"/>
                <w:b/>
                <w:bCs/>
                <w:sz w:val="20"/>
                <w:szCs w:val="20"/>
                <w:lang w:val="bg-BG"/>
              </w:rPr>
            </w:pPr>
            <w:r w:rsidRPr="006F78B8">
              <w:rPr>
                <w:rFonts w:ascii="Arial Narrow" w:hAnsi="Arial Narrow" w:cs="Calibri"/>
                <w:b/>
                <w:bCs/>
                <w:sz w:val="20"/>
                <w:szCs w:val="20"/>
                <w:lang w:val="bg-BG" w:eastAsia="bg-BG"/>
              </w:rPr>
              <w:t>2023</w:t>
            </w:r>
          </w:p>
        </w:tc>
        <w:tc>
          <w:tcPr>
            <w:tcW w:w="470" w:type="pct"/>
            <w:tcBorders>
              <w:top w:val="single" w:sz="4" w:space="0" w:color="auto"/>
              <w:left w:val="nil"/>
              <w:bottom w:val="single" w:sz="4" w:space="0" w:color="auto"/>
              <w:right w:val="single" w:sz="4" w:space="0" w:color="auto"/>
            </w:tcBorders>
            <w:shd w:val="clear" w:color="auto" w:fill="auto"/>
            <w:vAlign w:val="center"/>
            <w:hideMark/>
          </w:tcPr>
          <w:p w14:paraId="15F0C385" w14:textId="77777777" w:rsidR="006F78B8" w:rsidRPr="006F78B8" w:rsidRDefault="006F78B8" w:rsidP="006F78B8">
            <w:pPr>
              <w:jc w:val="center"/>
              <w:rPr>
                <w:rFonts w:ascii="Arial Narrow" w:hAnsi="Arial Narrow" w:cs="Calibri"/>
                <w:b/>
                <w:bCs/>
                <w:sz w:val="20"/>
                <w:szCs w:val="20"/>
                <w:lang w:val="bg-BG"/>
              </w:rPr>
            </w:pPr>
            <w:r w:rsidRPr="006F78B8">
              <w:rPr>
                <w:rFonts w:ascii="Arial Narrow" w:hAnsi="Arial Narrow" w:cs="Calibri"/>
                <w:b/>
                <w:bCs/>
                <w:sz w:val="20"/>
                <w:szCs w:val="20"/>
                <w:lang w:val="bg-BG" w:eastAsia="bg-BG"/>
              </w:rPr>
              <w:t>2024</w:t>
            </w:r>
          </w:p>
        </w:tc>
        <w:tc>
          <w:tcPr>
            <w:tcW w:w="507" w:type="pct"/>
            <w:tcBorders>
              <w:top w:val="single" w:sz="4" w:space="0" w:color="auto"/>
              <w:left w:val="nil"/>
              <w:bottom w:val="single" w:sz="4" w:space="0" w:color="auto"/>
              <w:right w:val="single" w:sz="4" w:space="0" w:color="auto"/>
            </w:tcBorders>
            <w:shd w:val="clear" w:color="auto" w:fill="auto"/>
            <w:vAlign w:val="center"/>
            <w:hideMark/>
          </w:tcPr>
          <w:p w14:paraId="50899231" w14:textId="77777777" w:rsidR="006F78B8" w:rsidRPr="006F78B8" w:rsidRDefault="006F78B8" w:rsidP="006F78B8">
            <w:pPr>
              <w:jc w:val="center"/>
              <w:rPr>
                <w:rFonts w:ascii="Arial Narrow" w:hAnsi="Arial Narrow" w:cs="Calibri"/>
                <w:b/>
                <w:bCs/>
                <w:sz w:val="20"/>
                <w:szCs w:val="20"/>
                <w:lang w:val="bg-BG"/>
              </w:rPr>
            </w:pPr>
            <w:r w:rsidRPr="006F78B8">
              <w:rPr>
                <w:rFonts w:ascii="Arial Narrow" w:hAnsi="Arial Narrow" w:cs="Calibri"/>
                <w:b/>
                <w:bCs/>
                <w:sz w:val="20"/>
                <w:szCs w:val="20"/>
                <w:lang w:val="bg-BG" w:eastAsia="bg-BG"/>
              </w:rPr>
              <w:t>Изм. 2024/2023</w:t>
            </w:r>
          </w:p>
        </w:tc>
      </w:tr>
      <w:tr w:rsidR="006F78B8" w:rsidRPr="006F78B8" w14:paraId="7530B338" w14:textId="77777777" w:rsidTr="00507FB0">
        <w:trPr>
          <w:trHeight w:val="331"/>
        </w:trPr>
        <w:tc>
          <w:tcPr>
            <w:tcW w:w="62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DA57C32" w14:textId="77777777" w:rsidR="006F78B8" w:rsidRPr="006F78B8" w:rsidRDefault="006F78B8" w:rsidP="006F78B8">
            <w:pPr>
              <w:rPr>
                <w:rFonts w:ascii="Arial Narrow" w:hAnsi="Arial Narrow" w:cs="Calibri"/>
                <w:sz w:val="20"/>
                <w:szCs w:val="20"/>
                <w:lang w:val="bg-BG"/>
              </w:rPr>
            </w:pPr>
            <w:r w:rsidRPr="006F78B8">
              <w:rPr>
                <w:rFonts w:ascii="Arial Narrow" w:hAnsi="Arial Narrow" w:cs="Calibri"/>
                <w:sz w:val="20"/>
                <w:szCs w:val="20"/>
                <w:lang w:val="bg-BG" w:eastAsia="bg-BG"/>
              </w:rPr>
              <w:t>Лавандула</w:t>
            </w:r>
          </w:p>
        </w:tc>
        <w:tc>
          <w:tcPr>
            <w:tcW w:w="469" w:type="pct"/>
            <w:tcBorders>
              <w:top w:val="single" w:sz="4" w:space="0" w:color="auto"/>
              <w:left w:val="nil"/>
              <w:bottom w:val="single" w:sz="4" w:space="0" w:color="auto"/>
              <w:right w:val="single" w:sz="4" w:space="0" w:color="auto"/>
            </w:tcBorders>
            <w:shd w:val="clear" w:color="auto" w:fill="auto"/>
            <w:noWrap/>
            <w:vAlign w:val="center"/>
            <w:hideMark/>
          </w:tcPr>
          <w:p w14:paraId="409A644E" w14:textId="77777777" w:rsidR="006F78B8" w:rsidRPr="006F78B8" w:rsidRDefault="006F78B8" w:rsidP="006F78B8">
            <w:pPr>
              <w:jc w:val="right"/>
              <w:rPr>
                <w:rFonts w:ascii="Arial Narrow" w:hAnsi="Arial Narrow" w:cs="Calibri"/>
                <w:sz w:val="20"/>
                <w:szCs w:val="20"/>
                <w:lang w:val="bg-BG"/>
              </w:rPr>
            </w:pPr>
            <w:r w:rsidRPr="006F78B8">
              <w:rPr>
                <w:rFonts w:ascii="Arial Narrow" w:hAnsi="Arial Narrow" w:cs="Calibri"/>
                <w:sz w:val="20"/>
                <w:szCs w:val="20"/>
                <w:lang w:val="bg-BG" w:eastAsia="bg-BG"/>
              </w:rPr>
              <w:t>10 710</w:t>
            </w:r>
          </w:p>
        </w:tc>
        <w:tc>
          <w:tcPr>
            <w:tcW w:w="470" w:type="pct"/>
            <w:tcBorders>
              <w:top w:val="single" w:sz="4" w:space="0" w:color="auto"/>
              <w:left w:val="nil"/>
              <w:bottom w:val="single" w:sz="4" w:space="0" w:color="auto"/>
              <w:right w:val="single" w:sz="4" w:space="0" w:color="auto"/>
            </w:tcBorders>
            <w:shd w:val="clear" w:color="auto" w:fill="auto"/>
            <w:noWrap/>
            <w:vAlign w:val="center"/>
            <w:hideMark/>
          </w:tcPr>
          <w:p w14:paraId="7E06CB84" w14:textId="77777777" w:rsidR="006F78B8" w:rsidRPr="006F78B8" w:rsidRDefault="006F78B8" w:rsidP="006F78B8">
            <w:pPr>
              <w:jc w:val="right"/>
              <w:rPr>
                <w:rFonts w:ascii="Arial Narrow" w:hAnsi="Arial Narrow" w:cs="Calibri"/>
                <w:sz w:val="20"/>
                <w:szCs w:val="20"/>
                <w:lang w:val="bg-BG"/>
              </w:rPr>
            </w:pPr>
            <w:r w:rsidRPr="006F78B8">
              <w:rPr>
                <w:rFonts w:ascii="Arial Narrow" w:hAnsi="Arial Narrow" w:cs="Calibri"/>
                <w:sz w:val="20"/>
                <w:szCs w:val="20"/>
                <w:lang w:val="bg-BG" w:eastAsia="bg-BG"/>
              </w:rPr>
              <w:t>8 598</w:t>
            </w:r>
          </w:p>
        </w:tc>
        <w:tc>
          <w:tcPr>
            <w:tcW w:w="525" w:type="pct"/>
            <w:tcBorders>
              <w:top w:val="single" w:sz="4" w:space="0" w:color="auto"/>
              <w:left w:val="nil"/>
              <w:bottom w:val="single" w:sz="4" w:space="0" w:color="auto"/>
              <w:right w:val="single" w:sz="4" w:space="0" w:color="auto"/>
            </w:tcBorders>
            <w:shd w:val="clear" w:color="auto" w:fill="auto"/>
            <w:noWrap/>
            <w:vAlign w:val="center"/>
            <w:hideMark/>
          </w:tcPr>
          <w:p w14:paraId="65BA7638" w14:textId="77777777" w:rsidR="006F78B8" w:rsidRPr="006F78B8" w:rsidRDefault="006F78B8" w:rsidP="006F78B8">
            <w:pPr>
              <w:jc w:val="right"/>
              <w:rPr>
                <w:rFonts w:ascii="Arial Narrow" w:hAnsi="Arial Narrow" w:cs="Calibri"/>
                <w:sz w:val="20"/>
                <w:szCs w:val="20"/>
                <w:lang w:val="bg-BG"/>
              </w:rPr>
            </w:pPr>
            <w:r w:rsidRPr="006F78B8">
              <w:rPr>
                <w:rFonts w:ascii="Arial Narrow" w:hAnsi="Arial Narrow" w:cs="Calibri"/>
                <w:sz w:val="20"/>
                <w:szCs w:val="20"/>
                <w:lang w:val="bg-BG" w:eastAsia="bg-BG"/>
              </w:rPr>
              <w:t>-19,7%</w:t>
            </w:r>
          </w:p>
        </w:tc>
        <w:tc>
          <w:tcPr>
            <w:tcW w:w="470" w:type="pct"/>
            <w:tcBorders>
              <w:top w:val="single" w:sz="4" w:space="0" w:color="auto"/>
              <w:left w:val="nil"/>
              <w:bottom w:val="single" w:sz="4" w:space="0" w:color="auto"/>
              <w:right w:val="single" w:sz="4" w:space="0" w:color="auto"/>
            </w:tcBorders>
            <w:shd w:val="clear" w:color="auto" w:fill="auto"/>
            <w:noWrap/>
            <w:vAlign w:val="center"/>
            <w:hideMark/>
          </w:tcPr>
          <w:p w14:paraId="3D563882" w14:textId="77777777" w:rsidR="006F78B8" w:rsidRPr="006F78B8" w:rsidRDefault="006F78B8" w:rsidP="006F78B8">
            <w:pPr>
              <w:jc w:val="right"/>
              <w:rPr>
                <w:rFonts w:ascii="Arial Narrow" w:hAnsi="Arial Narrow" w:cs="Calibri"/>
                <w:sz w:val="20"/>
                <w:szCs w:val="20"/>
                <w:lang w:val="bg-BG"/>
              </w:rPr>
            </w:pPr>
            <w:r w:rsidRPr="006F78B8">
              <w:rPr>
                <w:rFonts w:ascii="Arial Narrow" w:hAnsi="Arial Narrow" w:cs="Calibri"/>
                <w:sz w:val="20"/>
                <w:szCs w:val="20"/>
                <w:lang w:val="bg-BG" w:eastAsia="bg-BG"/>
              </w:rPr>
              <w:t>3,45</w:t>
            </w:r>
          </w:p>
        </w:tc>
        <w:tc>
          <w:tcPr>
            <w:tcW w:w="470" w:type="pct"/>
            <w:tcBorders>
              <w:top w:val="single" w:sz="4" w:space="0" w:color="auto"/>
              <w:left w:val="nil"/>
              <w:bottom w:val="single" w:sz="4" w:space="0" w:color="auto"/>
              <w:right w:val="single" w:sz="4" w:space="0" w:color="auto"/>
            </w:tcBorders>
            <w:shd w:val="clear" w:color="auto" w:fill="auto"/>
            <w:noWrap/>
            <w:vAlign w:val="center"/>
            <w:hideMark/>
          </w:tcPr>
          <w:p w14:paraId="2FC297DD" w14:textId="77777777" w:rsidR="006F78B8" w:rsidRPr="006F78B8" w:rsidRDefault="006F78B8" w:rsidP="006F78B8">
            <w:pPr>
              <w:jc w:val="right"/>
              <w:rPr>
                <w:rFonts w:ascii="Arial Narrow" w:hAnsi="Arial Narrow" w:cs="Calibri"/>
                <w:sz w:val="20"/>
                <w:szCs w:val="20"/>
                <w:lang w:val="bg-BG"/>
              </w:rPr>
            </w:pPr>
            <w:r w:rsidRPr="006F78B8">
              <w:rPr>
                <w:rFonts w:ascii="Arial Narrow" w:hAnsi="Arial Narrow" w:cs="Calibri"/>
                <w:sz w:val="20"/>
                <w:szCs w:val="20"/>
                <w:lang w:val="bg-BG" w:eastAsia="bg-BG"/>
              </w:rPr>
              <w:t>3,76</w:t>
            </w:r>
          </w:p>
        </w:tc>
        <w:tc>
          <w:tcPr>
            <w:tcW w:w="526" w:type="pct"/>
            <w:tcBorders>
              <w:top w:val="single" w:sz="4" w:space="0" w:color="auto"/>
              <w:left w:val="nil"/>
              <w:bottom w:val="single" w:sz="4" w:space="0" w:color="auto"/>
              <w:right w:val="single" w:sz="4" w:space="0" w:color="auto"/>
            </w:tcBorders>
            <w:shd w:val="clear" w:color="auto" w:fill="auto"/>
            <w:noWrap/>
            <w:vAlign w:val="center"/>
            <w:hideMark/>
          </w:tcPr>
          <w:p w14:paraId="5748BB72" w14:textId="77777777" w:rsidR="006F78B8" w:rsidRPr="006F78B8" w:rsidRDefault="006F78B8" w:rsidP="006F78B8">
            <w:pPr>
              <w:jc w:val="right"/>
              <w:rPr>
                <w:rFonts w:ascii="Arial Narrow" w:hAnsi="Arial Narrow" w:cs="Calibri"/>
                <w:sz w:val="20"/>
                <w:szCs w:val="20"/>
                <w:lang w:val="bg-BG"/>
              </w:rPr>
            </w:pPr>
            <w:r w:rsidRPr="006F78B8">
              <w:rPr>
                <w:rFonts w:ascii="Arial Narrow" w:hAnsi="Arial Narrow" w:cs="Calibri"/>
                <w:sz w:val="20"/>
                <w:szCs w:val="20"/>
                <w:lang w:val="bg-BG" w:eastAsia="bg-BG"/>
              </w:rPr>
              <w:t>9,0%</w:t>
            </w:r>
          </w:p>
        </w:tc>
        <w:tc>
          <w:tcPr>
            <w:tcW w:w="470" w:type="pct"/>
            <w:tcBorders>
              <w:top w:val="single" w:sz="4" w:space="0" w:color="auto"/>
              <w:left w:val="nil"/>
              <w:bottom w:val="single" w:sz="4" w:space="0" w:color="auto"/>
              <w:right w:val="single" w:sz="4" w:space="0" w:color="auto"/>
            </w:tcBorders>
            <w:shd w:val="clear" w:color="auto" w:fill="auto"/>
            <w:noWrap/>
            <w:vAlign w:val="center"/>
            <w:hideMark/>
          </w:tcPr>
          <w:p w14:paraId="1C4BED2B" w14:textId="77777777" w:rsidR="006F78B8" w:rsidRPr="006F78B8" w:rsidRDefault="006F78B8" w:rsidP="006F78B8">
            <w:pPr>
              <w:jc w:val="right"/>
              <w:rPr>
                <w:rFonts w:ascii="Arial Narrow" w:hAnsi="Arial Narrow" w:cs="Calibri"/>
                <w:sz w:val="20"/>
                <w:szCs w:val="20"/>
                <w:lang w:val="bg-BG"/>
              </w:rPr>
            </w:pPr>
            <w:r w:rsidRPr="006F78B8">
              <w:rPr>
                <w:rFonts w:ascii="Arial Narrow" w:hAnsi="Arial Narrow" w:cs="Calibri"/>
                <w:sz w:val="20"/>
                <w:szCs w:val="20"/>
                <w:lang w:val="bg-BG" w:eastAsia="bg-BG"/>
              </w:rPr>
              <w:t>36 898</w:t>
            </w:r>
          </w:p>
        </w:tc>
        <w:tc>
          <w:tcPr>
            <w:tcW w:w="470" w:type="pct"/>
            <w:tcBorders>
              <w:top w:val="single" w:sz="4" w:space="0" w:color="auto"/>
              <w:left w:val="nil"/>
              <w:bottom w:val="single" w:sz="4" w:space="0" w:color="auto"/>
              <w:right w:val="single" w:sz="4" w:space="0" w:color="auto"/>
            </w:tcBorders>
            <w:shd w:val="clear" w:color="auto" w:fill="auto"/>
            <w:noWrap/>
            <w:vAlign w:val="center"/>
            <w:hideMark/>
          </w:tcPr>
          <w:p w14:paraId="27D63B8D" w14:textId="77777777" w:rsidR="006F78B8" w:rsidRPr="006F78B8" w:rsidRDefault="006F78B8" w:rsidP="006F78B8">
            <w:pPr>
              <w:jc w:val="right"/>
              <w:rPr>
                <w:rFonts w:ascii="Arial Narrow" w:hAnsi="Arial Narrow" w:cs="Calibri"/>
                <w:sz w:val="20"/>
                <w:szCs w:val="20"/>
                <w:lang w:val="bg-BG"/>
              </w:rPr>
            </w:pPr>
            <w:r w:rsidRPr="006F78B8">
              <w:rPr>
                <w:rFonts w:ascii="Arial Narrow" w:hAnsi="Arial Narrow" w:cs="Calibri"/>
                <w:sz w:val="20"/>
                <w:szCs w:val="20"/>
                <w:lang w:val="bg-BG" w:eastAsia="bg-BG"/>
              </w:rPr>
              <w:t>32 298</w:t>
            </w:r>
          </w:p>
        </w:tc>
        <w:tc>
          <w:tcPr>
            <w:tcW w:w="507" w:type="pct"/>
            <w:tcBorders>
              <w:top w:val="single" w:sz="4" w:space="0" w:color="auto"/>
              <w:left w:val="nil"/>
              <w:bottom w:val="single" w:sz="4" w:space="0" w:color="auto"/>
              <w:right w:val="single" w:sz="4" w:space="0" w:color="auto"/>
            </w:tcBorders>
            <w:shd w:val="clear" w:color="auto" w:fill="auto"/>
            <w:noWrap/>
            <w:vAlign w:val="center"/>
            <w:hideMark/>
          </w:tcPr>
          <w:p w14:paraId="60B75B26" w14:textId="77777777" w:rsidR="006F78B8" w:rsidRPr="006F78B8" w:rsidRDefault="006F78B8" w:rsidP="006F78B8">
            <w:pPr>
              <w:jc w:val="right"/>
              <w:rPr>
                <w:rFonts w:ascii="Arial Narrow" w:hAnsi="Arial Narrow" w:cs="Calibri"/>
                <w:sz w:val="20"/>
                <w:szCs w:val="20"/>
                <w:lang w:val="bg-BG"/>
              </w:rPr>
            </w:pPr>
            <w:r w:rsidRPr="006F78B8">
              <w:rPr>
                <w:rFonts w:ascii="Arial Narrow" w:hAnsi="Arial Narrow" w:cs="Calibri"/>
                <w:sz w:val="20"/>
                <w:szCs w:val="20"/>
                <w:lang w:val="bg-BG" w:eastAsia="bg-BG"/>
              </w:rPr>
              <w:t>-12,5%</w:t>
            </w:r>
          </w:p>
        </w:tc>
      </w:tr>
      <w:tr w:rsidR="006F78B8" w:rsidRPr="006F78B8" w14:paraId="77EB4F1A" w14:textId="77777777" w:rsidTr="00507FB0">
        <w:trPr>
          <w:trHeight w:val="648"/>
        </w:trPr>
        <w:tc>
          <w:tcPr>
            <w:tcW w:w="623" w:type="pct"/>
            <w:tcBorders>
              <w:top w:val="nil"/>
              <w:left w:val="single" w:sz="4" w:space="0" w:color="auto"/>
              <w:bottom w:val="single" w:sz="4" w:space="0" w:color="auto"/>
              <w:right w:val="single" w:sz="4" w:space="0" w:color="auto"/>
            </w:tcBorders>
            <w:shd w:val="clear" w:color="auto" w:fill="auto"/>
            <w:vAlign w:val="center"/>
            <w:hideMark/>
          </w:tcPr>
          <w:p w14:paraId="68585331" w14:textId="77777777" w:rsidR="006F78B8" w:rsidRPr="006F78B8" w:rsidRDefault="006F78B8" w:rsidP="006F78B8">
            <w:pPr>
              <w:rPr>
                <w:rFonts w:ascii="Arial Narrow" w:hAnsi="Arial Narrow" w:cs="Calibri"/>
                <w:sz w:val="20"/>
                <w:szCs w:val="20"/>
                <w:lang w:val="bg-BG"/>
              </w:rPr>
            </w:pPr>
            <w:r w:rsidRPr="006F78B8">
              <w:rPr>
                <w:rFonts w:ascii="Arial Narrow" w:hAnsi="Arial Narrow" w:cs="Calibri"/>
                <w:sz w:val="20"/>
                <w:szCs w:val="20"/>
                <w:lang w:val="bg-BG" w:eastAsia="bg-BG"/>
              </w:rPr>
              <w:t>Маслодайна роза</w:t>
            </w:r>
          </w:p>
        </w:tc>
        <w:tc>
          <w:tcPr>
            <w:tcW w:w="469" w:type="pct"/>
            <w:tcBorders>
              <w:top w:val="nil"/>
              <w:left w:val="nil"/>
              <w:bottom w:val="single" w:sz="4" w:space="0" w:color="auto"/>
              <w:right w:val="single" w:sz="4" w:space="0" w:color="auto"/>
            </w:tcBorders>
            <w:shd w:val="clear" w:color="auto" w:fill="auto"/>
            <w:noWrap/>
            <w:vAlign w:val="center"/>
            <w:hideMark/>
          </w:tcPr>
          <w:p w14:paraId="1F7C75B7" w14:textId="77777777" w:rsidR="006F78B8" w:rsidRPr="006F78B8" w:rsidRDefault="006F78B8" w:rsidP="006F78B8">
            <w:pPr>
              <w:jc w:val="right"/>
              <w:rPr>
                <w:rFonts w:ascii="Arial Narrow" w:hAnsi="Arial Narrow" w:cs="Calibri"/>
                <w:sz w:val="20"/>
                <w:szCs w:val="20"/>
                <w:lang w:val="bg-BG"/>
              </w:rPr>
            </w:pPr>
            <w:r w:rsidRPr="006F78B8">
              <w:rPr>
                <w:rFonts w:ascii="Arial Narrow" w:hAnsi="Arial Narrow" w:cs="Calibri"/>
                <w:sz w:val="20"/>
                <w:szCs w:val="20"/>
                <w:lang w:val="bg-BG" w:eastAsia="bg-BG"/>
              </w:rPr>
              <w:t>4 208</w:t>
            </w:r>
          </w:p>
        </w:tc>
        <w:tc>
          <w:tcPr>
            <w:tcW w:w="470" w:type="pct"/>
            <w:tcBorders>
              <w:top w:val="nil"/>
              <w:left w:val="nil"/>
              <w:bottom w:val="single" w:sz="4" w:space="0" w:color="auto"/>
              <w:right w:val="single" w:sz="4" w:space="0" w:color="auto"/>
            </w:tcBorders>
            <w:shd w:val="clear" w:color="auto" w:fill="auto"/>
            <w:noWrap/>
            <w:vAlign w:val="center"/>
            <w:hideMark/>
          </w:tcPr>
          <w:p w14:paraId="04BCAB13" w14:textId="77777777" w:rsidR="006F78B8" w:rsidRPr="006F78B8" w:rsidRDefault="006F78B8" w:rsidP="006F78B8">
            <w:pPr>
              <w:jc w:val="right"/>
              <w:rPr>
                <w:rFonts w:ascii="Arial Narrow" w:hAnsi="Arial Narrow" w:cs="Calibri"/>
                <w:sz w:val="20"/>
                <w:szCs w:val="20"/>
                <w:lang w:val="bg-BG"/>
              </w:rPr>
            </w:pPr>
            <w:r w:rsidRPr="006F78B8">
              <w:rPr>
                <w:rFonts w:ascii="Arial Narrow" w:hAnsi="Arial Narrow" w:cs="Calibri"/>
                <w:sz w:val="20"/>
                <w:szCs w:val="20"/>
                <w:lang w:val="bg-BG" w:eastAsia="bg-BG"/>
              </w:rPr>
              <w:t>4 325</w:t>
            </w:r>
          </w:p>
        </w:tc>
        <w:tc>
          <w:tcPr>
            <w:tcW w:w="525" w:type="pct"/>
            <w:tcBorders>
              <w:top w:val="nil"/>
              <w:left w:val="nil"/>
              <w:bottom w:val="single" w:sz="4" w:space="0" w:color="auto"/>
              <w:right w:val="single" w:sz="4" w:space="0" w:color="auto"/>
            </w:tcBorders>
            <w:shd w:val="clear" w:color="auto" w:fill="auto"/>
            <w:noWrap/>
            <w:vAlign w:val="center"/>
            <w:hideMark/>
          </w:tcPr>
          <w:p w14:paraId="54FBB737" w14:textId="77777777" w:rsidR="006F78B8" w:rsidRPr="006F78B8" w:rsidRDefault="006F78B8" w:rsidP="006F78B8">
            <w:pPr>
              <w:jc w:val="right"/>
              <w:rPr>
                <w:rFonts w:ascii="Arial Narrow" w:hAnsi="Arial Narrow" w:cs="Calibri"/>
                <w:sz w:val="20"/>
                <w:szCs w:val="20"/>
                <w:lang w:val="bg-BG"/>
              </w:rPr>
            </w:pPr>
            <w:r w:rsidRPr="006F78B8">
              <w:rPr>
                <w:rFonts w:ascii="Arial Narrow" w:hAnsi="Arial Narrow" w:cs="Calibri"/>
                <w:sz w:val="20"/>
                <w:szCs w:val="20"/>
                <w:lang w:val="bg-BG" w:eastAsia="bg-BG"/>
              </w:rPr>
              <w:t>2,8%</w:t>
            </w:r>
          </w:p>
        </w:tc>
        <w:tc>
          <w:tcPr>
            <w:tcW w:w="470" w:type="pct"/>
            <w:tcBorders>
              <w:top w:val="nil"/>
              <w:left w:val="nil"/>
              <w:bottom w:val="single" w:sz="4" w:space="0" w:color="auto"/>
              <w:right w:val="single" w:sz="4" w:space="0" w:color="auto"/>
            </w:tcBorders>
            <w:shd w:val="clear" w:color="auto" w:fill="auto"/>
            <w:noWrap/>
            <w:vAlign w:val="center"/>
            <w:hideMark/>
          </w:tcPr>
          <w:p w14:paraId="57B0A57A" w14:textId="77777777" w:rsidR="006F78B8" w:rsidRPr="006F78B8" w:rsidRDefault="006F78B8" w:rsidP="006F78B8">
            <w:pPr>
              <w:jc w:val="right"/>
              <w:rPr>
                <w:rFonts w:ascii="Arial Narrow" w:hAnsi="Arial Narrow" w:cs="Calibri"/>
                <w:sz w:val="20"/>
                <w:szCs w:val="20"/>
                <w:lang w:val="bg-BG"/>
              </w:rPr>
            </w:pPr>
            <w:r w:rsidRPr="006F78B8">
              <w:rPr>
                <w:rFonts w:ascii="Arial Narrow" w:hAnsi="Arial Narrow" w:cs="Calibri"/>
                <w:sz w:val="20"/>
                <w:szCs w:val="20"/>
                <w:lang w:val="bg-BG" w:eastAsia="bg-BG"/>
              </w:rPr>
              <w:t>2,50</w:t>
            </w:r>
          </w:p>
        </w:tc>
        <w:tc>
          <w:tcPr>
            <w:tcW w:w="470" w:type="pct"/>
            <w:tcBorders>
              <w:top w:val="nil"/>
              <w:left w:val="nil"/>
              <w:bottom w:val="single" w:sz="4" w:space="0" w:color="auto"/>
              <w:right w:val="single" w:sz="4" w:space="0" w:color="auto"/>
            </w:tcBorders>
            <w:shd w:val="clear" w:color="auto" w:fill="auto"/>
            <w:noWrap/>
            <w:vAlign w:val="center"/>
            <w:hideMark/>
          </w:tcPr>
          <w:p w14:paraId="2EC913C3" w14:textId="77777777" w:rsidR="006F78B8" w:rsidRPr="006F78B8" w:rsidRDefault="006F78B8" w:rsidP="006F78B8">
            <w:pPr>
              <w:jc w:val="right"/>
              <w:rPr>
                <w:rFonts w:ascii="Arial Narrow" w:hAnsi="Arial Narrow" w:cs="Calibri"/>
                <w:sz w:val="20"/>
                <w:szCs w:val="20"/>
                <w:lang w:val="bg-BG"/>
              </w:rPr>
            </w:pPr>
            <w:r w:rsidRPr="006F78B8">
              <w:rPr>
                <w:rFonts w:ascii="Arial Narrow" w:hAnsi="Arial Narrow" w:cs="Calibri"/>
                <w:sz w:val="20"/>
                <w:szCs w:val="20"/>
                <w:lang w:val="bg-BG" w:eastAsia="bg-BG"/>
              </w:rPr>
              <w:t>2,69</w:t>
            </w:r>
          </w:p>
        </w:tc>
        <w:tc>
          <w:tcPr>
            <w:tcW w:w="526" w:type="pct"/>
            <w:tcBorders>
              <w:top w:val="nil"/>
              <w:left w:val="nil"/>
              <w:bottom w:val="single" w:sz="4" w:space="0" w:color="auto"/>
              <w:right w:val="single" w:sz="4" w:space="0" w:color="auto"/>
            </w:tcBorders>
            <w:shd w:val="clear" w:color="auto" w:fill="auto"/>
            <w:noWrap/>
            <w:vAlign w:val="center"/>
            <w:hideMark/>
          </w:tcPr>
          <w:p w14:paraId="7307DC87" w14:textId="77777777" w:rsidR="006F78B8" w:rsidRPr="006F78B8" w:rsidRDefault="006F78B8" w:rsidP="006F78B8">
            <w:pPr>
              <w:jc w:val="right"/>
              <w:rPr>
                <w:rFonts w:ascii="Arial Narrow" w:hAnsi="Arial Narrow" w:cs="Calibri"/>
                <w:sz w:val="20"/>
                <w:szCs w:val="20"/>
                <w:lang w:val="bg-BG"/>
              </w:rPr>
            </w:pPr>
            <w:r w:rsidRPr="006F78B8">
              <w:rPr>
                <w:rFonts w:ascii="Arial Narrow" w:hAnsi="Arial Narrow" w:cs="Calibri"/>
                <w:sz w:val="20"/>
                <w:szCs w:val="20"/>
                <w:lang w:val="bg-BG" w:eastAsia="bg-BG"/>
              </w:rPr>
              <w:t>7,6%</w:t>
            </w:r>
          </w:p>
        </w:tc>
        <w:tc>
          <w:tcPr>
            <w:tcW w:w="470" w:type="pct"/>
            <w:tcBorders>
              <w:top w:val="nil"/>
              <w:left w:val="nil"/>
              <w:bottom w:val="single" w:sz="4" w:space="0" w:color="auto"/>
              <w:right w:val="single" w:sz="4" w:space="0" w:color="auto"/>
            </w:tcBorders>
            <w:shd w:val="clear" w:color="auto" w:fill="auto"/>
            <w:noWrap/>
            <w:vAlign w:val="center"/>
            <w:hideMark/>
          </w:tcPr>
          <w:p w14:paraId="0FA42C32" w14:textId="77777777" w:rsidR="006F78B8" w:rsidRPr="006F78B8" w:rsidRDefault="006F78B8" w:rsidP="006F78B8">
            <w:pPr>
              <w:jc w:val="right"/>
              <w:rPr>
                <w:rFonts w:ascii="Arial Narrow" w:hAnsi="Arial Narrow" w:cs="Calibri"/>
                <w:sz w:val="20"/>
                <w:szCs w:val="20"/>
                <w:lang w:val="bg-BG"/>
              </w:rPr>
            </w:pPr>
            <w:r w:rsidRPr="006F78B8">
              <w:rPr>
                <w:rFonts w:ascii="Arial Narrow" w:hAnsi="Arial Narrow" w:cs="Calibri"/>
                <w:sz w:val="20"/>
                <w:szCs w:val="20"/>
                <w:lang w:val="bg-BG" w:eastAsia="bg-BG"/>
              </w:rPr>
              <w:t>10 517</w:t>
            </w:r>
          </w:p>
        </w:tc>
        <w:tc>
          <w:tcPr>
            <w:tcW w:w="470" w:type="pct"/>
            <w:tcBorders>
              <w:top w:val="nil"/>
              <w:left w:val="nil"/>
              <w:bottom w:val="single" w:sz="4" w:space="0" w:color="auto"/>
              <w:right w:val="single" w:sz="4" w:space="0" w:color="auto"/>
            </w:tcBorders>
            <w:shd w:val="clear" w:color="auto" w:fill="auto"/>
            <w:noWrap/>
            <w:vAlign w:val="center"/>
            <w:hideMark/>
          </w:tcPr>
          <w:p w14:paraId="2840251A" w14:textId="77777777" w:rsidR="006F78B8" w:rsidRPr="006F78B8" w:rsidRDefault="006F78B8" w:rsidP="006F78B8">
            <w:pPr>
              <w:jc w:val="right"/>
              <w:rPr>
                <w:rFonts w:ascii="Arial Narrow" w:hAnsi="Arial Narrow" w:cs="Calibri"/>
                <w:sz w:val="20"/>
                <w:szCs w:val="20"/>
                <w:lang w:val="bg-BG"/>
              </w:rPr>
            </w:pPr>
            <w:r w:rsidRPr="006F78B8">
              <w:rPr>
                <w:rFonts w:ascii="Arial Narrow" w:hAnsi="Arial Narrow" w:cs="Calibri"/>
                <w:sz w:val="20"/>
                <w:szCs w:val="20"/>
                <w:lang w:val="bg-BG" w:eastAsia="bg-BG"/>
              </w:rPr>
              <w:t>11 642</w:t>
            </w:r>
          </w:p>
        </w:tc>
        <w:tc>
          <w:tcPr>
            <w:tcW w:w="507" w:type="pct"/>
            <w:tcBorders>
              <w:top w:val="nil"/>
              <w:left w:val="nil"/>
              <w:bottom w:val="single" w:sz="4" w:space="0" w:color="auto"/>
              <w:right w:val="single" w:sz="4" w:space="0" w:color="auto"/>
            </w:tcBorders>
            <w:shd w:val="clear" w:color="auto" w:fill="auto"/>
            <w:noWrap/>
            <w:vAlign w:val="center"/>
            <w:hideMark/>
          </w:tcPr>
          <w:p w14:paraId="3FDC0CFE" w14:textId="77777777" w:rsidR="006F78B8" w:rsidRPr="006F78B8" w:rsidRDefault="006F78B8" w:rsidP="006F78B8">
            <w:pPr>
              <w:jc w:val="right"/>
              <w:rPr>
                <w:rFonts w:ascii="Arial Narrow" w:hAnsi="Arial Narrow" w:cs="Calibri"/>
                <w:sz w:val="20"/>
                <w:szCs w:val="20"/>
                <w:lang w:val="bg-BG"/>
              </w:rPr>
            </w:pPr>
            <w:r w:rsidRPr="006F78B8">
              <w:rPr>
                <w:rFonts w:ascii="Arial Narrow" w:hAnsi="Arial Narrow" w:cs="Calibri"/>
                <w:sz w:val="20"/>
                <w:szCs w:val="20"/>
                <w:lang w:val="bg-BG" w:eastAsia="bg-BG"/>
              </w:rPr>
              <w:t>10,7%</w:t>
            </w:r>
          </w:p>
        </w:tc>
      </w:tr>
      <w:tr w:rsidR="006F78B8" w:rsidRPr="006F78B8" w14:paraId="340C0391" w14:textId="77777777" w:rsidTr="00507FB0">
        <w:trPr>
          <w:trHeight w:val="301"/>
        </w:trPr>
        <w:tc>
          <w:tcPr>
            <w:tcW w:w="623" w:type="pct"/>
            <w:tcBorders>
              <w:top w:val="nil"/>
              <w:left w:val="single" w:sz="4" w:space="0" w:color="auto"/>
              <w:bottom w:val="single" w:sz="4" w:space="0" w:color="auto"/>
              <w:right w:val="single" w:sz="4" w:space="0" w:color="auto"/>
            </w:tcBorders>
            <w:shd w:val="clear" w:color="auto" w:fill="auto"/>
            <w:vAlign w:val="center"/>
            <w:hideMark/>
          </w:tcPr>
          <w:p w14:paraId="194688B1" w14:textId="77777777" w:rsidR="006F78B8" w:rsidRPr="006F78B8" w:rsidRDefault="006F78B8" w:rsidP="006F78B8">
            <w:pPr>
              <w:rPr>
                <w:rFonts w:ascii="Arial Narrow" w:hAnsi="Arial Narrow" w:cs="Calibri"/>
                <w:sz w:val="20"/>
                <w:szCs w:val="20"/>
                <w:lang w:val="bg-BG"/>
              </w:rPr>
            </w:pPr>
            <w:r w:rsidRPr="006F78B8">
              <w:rPr>
                <w:rFonts w:ascii="Arial Narrow" w:hAnsi="Arial Narrow" w:cs="Calibri"/>
                <w:sz w:val="20"/>
                <w:szCs w:val="20"/>
                <w:lang w:val="bg-BG" w:eastAsia="bg-BG"/>
              </w:rPr>
              <w:t>Маточина</w:t>
            </w:r>
          </w:p>
        </w:tc>
        <w:tc>
          <w:tcPr>
            <w:tcW w:w="469" w:type="pct"/>
            <w:tcBorders>
              <w:top w:val="nil"/>
              <w:left w:val="nil"/>
              <w:bottom w:val="single" w:sz="4" w:space="0" w:color="auto"/>
              <w:right w:val="single" w:sz="4" w:space="0" w:color="auto"/>
            </w:tcBorders>
            <w:shd w:val="clear" w:color="auto" w:fill="auto"/>
            <w:noWrap/>
            <w:vAlign w:val="center"/>
            <w:hideMark/>
          </w:tcPr>
          <w:p w14:paraId="41F6A5AC" w14:textId="77777777" w:rsidR="006F78B8" w:rsidRPr="006F78B8" w:rsidRDefault="006F78B8" w:rsidP="006F78B8">
            <w:pPr>
              <w:jc w:val="right"/>
              <w:rPr>
                <w:rFonts w:ascii="Arial Narrow" w:hAnsi="Arial Narrow" w:cs="Calibri"/>
                <w:sz w:val="20"/>
                <w:szCs w:val="20"/>
                <w:lang w:val="bg-BG"/>
              </w:rPr>
            </w:pPr>
            <w:r w:rsidRPr="006F78B8">
              <w:rPr>
                <w:rFonts w:ascii="Arial Narrow" w:hAnsi="Arial Narrow" w:cs="Calibri"/>
                <w:sz w:val="20"/>
                <w:szCs w:val="20"/>
                <w:lang w:val="bg-BG" w:eastAsia="bg-BG"/>
              </w:rPr>
              <w:t>472</w:t>
            </w:r>
          </w:p>
        </w:tc>
        <w:tc>
          <w:tcPr>
            <w:tcW w:w="470" w:type="pct"/>
            <w:tcBorders>
              <w:top w:val="nil"/>
              <w:left w:val="nil"/>
              <w:bottom w:val="single" w:sz="4" w:space="0" w:color="auto"/>
              <w:right w:val="single" w:sz="4" w:space="0" w:color="auto"/>
            </w:tcBorders>
            <w:shd w:val="clear" w:color="auto" w:fill="auto"/>
            <w:noWrap/>
            <w:vAlign w:val="center"/>
            <w:hideMark/>
          </w:tcPr>
          <w:p w14:paraId="2E3E9A3E" w14:textId="77777777" w:rsidR="006F78B8" w:rsidRPr="006F78B8" w:rsidRDefault="006F78B8" w:rsidP="006F78B8">
            <w:pPr>
              <w:jc w:val="right"/>
              <w:rPr>
                <w:rFonts w:ascii="Arial Narrow" w:hAnsi="Arial Narrow" w:cs="Calibri"/>
                <w:sz w:val="20"/>
                <w:szCs w:val="20"/>
                <w:lang w:val="bg-BG"/>
              </w:rPr>
            </w:pPr>
            <w:r w:rsidRPr="006F78B8">
              <w:rPr>
                <w:rFonts w:ascii="Arial Narrow" w:hAnsi="Arial Narrow" w:cs="Calibri"/>
                <w:sz w:val="20"/>
                <w:szCs w:val="20"/>
                <w:lang w:val="bg-BG" w:eastAsia="bg-BG"/>
              </w:rPr>
              <w:t>408</w:t>
            </w:r>
          </w:p>
        </w:tc>
        <w:tc>
          <w:tcPr>
            <w:tcW w:w="525" w:type="pct"/>
            <w:tcBorders>
              <w:top w:val="nil"/>
              <w:left w:val="nil"/>
              <w:bottom w:val="single" w:sz="4" w:space="0" w:color="auto"/>
              <w:right w:val="single" w:sz="4" w:space="0" w:color="auto"/>
            </w:tcBorders>
            <w:shd w:val="clear" w:color="auto" w:fill="auto"/>
            <w:noWrap/>
            <w:vAlign w:val="center"/>
            <w:hideMark/>
          </w:tcPr>
          <w:p w14:paraId="32AFFF6F" w14:textId="77777777" w:rsidR="006F78B8" w:rsidRPr="006F78B8" w:rsidRDefault="006F78B8" w:rsidP="006F78B8">
            <w:pPr>
              <w:jc w:val="right"/>
              <w:rPr>
                <w:rFonts w:ascii="Arial Narrow" w:hAnsi="Arial Narrow" w:cs="Calibri"/>
                <w:sz w:val="20"/>
                <w:szCs w:val="20"/>
                <w:lang w:val="bg-BG"/>
              </w:rPr>
            </w:pPr>
            <w:r w:rsidRPr="006F78B8">
              <w:rPr>
                <w:rFonts w:ascii="Arial Narrow" w:hAnsi="Arial Narrow" w:cs="Calibri"/>
                <w:sz w:val="20"/>
                <w:szCs w:val="20"/>
                <w:lang w:val="bg-BG" w:eastAsia="bg-BG"/>
              </w:rPr>
              <w:t>-13,6%</w:t>
            </w:r>
          </w:p>
        </w:tc>
        <w:tc>
          <w:tcPr>
            <w:tcW w:w="470" w:type="pct"/>
            <w:tcBorders>
              <w:top w:val="nil"/>
              <w:left w:val="nil"/>
              <w:bottom w:val="single" w:sz="4" w:space="0" w:color="auto"/>
              <w:right w:val="single" w:sz="4" w:space="0" w:color="auto"/>
            </w:tcBorders>
            <w:shd w:val="clear" w:color="auto" w:fill="auto"/>
            <w:noWrap/>
            <w:vAlign w:val="center"/>
            <w:hideMark/>
          </w:tcPr>
          <w:p w14:paraId="24E72708" w14:textId="77777777" w:rsidR="006F78B8" w:rsidRPr="006F78B8" w:rsidRDefault="006F78B8" w:rsidP="006F78B8">
            <w:pPr>
              <w:jc w:val="right"/>
              <w:rPr>
                <w:rFonts w:ascii="Arial Narrow" w:hAnsi="Arial Narrow" w:cs="Calibri"/>
                <w:sz w:val="20"/>
                <w:szCs w:val="20"/>
                <w:lang w:val="bg-BG"/>
              </w:rPr>
            </w:pPr>
            <w:r w:rsidRPr="006F78B8">
              <w:rPr>
                <w:rFonts w:ascii="Arial Narrow" w:hAnsi="Arial Narrow" w:cs="Calibri"/>
                <w:sz w:val="20"/>
                <w:szCs w:val="20"/>
                <w:lang w:val="bg-BG" w:eastAsia="bg-BG"/>
              </w:rPr>
              <w:t>3,19</w:t>
            </w:r>
          </w:p>
        </w:tc>
        <w:tc>
          <w:tcPr>
            <w:tcW w:w="470" w:type="pct"/>
            <w:tcBorders>
              <w:top w:val="nil"/>
              <w:left w:val="nil"/>
              <w:bottom w:val="single" w:sz="4" w:space="0" w:color="auto"/>
              <w:right w:val="single" w:sz="4" w:space="0" w:color="auto"/>
            </w:tcBorders>
            <w:shd w:val="clear" w:color="auto" w:fill="auto"/>
            <w:noWrap/>
            <w:vAlign w:val="center"/>
            <w:hideMark/>
          </w:tcPr>
          <w:p w14:paraId="52D1325A" w14:textId="77777777" w:rsidR="006F78B8" w:rsidRPr="006F78B8" w:rsidRDefault="006F78B8" w:rsidP="006F78B8">
            <w:pPr>
              <w:jc w:val="right"/>
              <w:rPr>
                <w:rFonts w:ascii="Arial Narrow" w:hAnsi="Arial Narrow" w:cs="Calibri"/>
                <w:sz w:val="20"/>
                <w:szCs w:val="20"/>
                <w:lang w:val="bg-BG"/>
              </w:rPr>
            </w:pPr>
            <w:r w:rsidRPr="006F78B8">
              <w:rPr>
                <w:rFonts w:ascii="Arial Narrow" w:hAnsi="Arial Narrow" w:cs="Calibri"/>
                <w:sz w:val="20"/>
                <w:szCs w:val="20"/>
                <w:lang w:val="bg-BG" w:eastAsia="bg-BG"/>
              </w:rPr>
              <w:t>3,67</w:t>
            </w:r>
          </w:p>
        </w:tc>
        <w:tc>
          <w:tcPr>
            <w:tcW w:w="526" w:type="pct"/>
            <w:tcBorders>
              <w:top w:val="nil"/>
              <w:left w:val="nil"/>
              <w:bottom w:val="single" w:sz="4" w:space="0" w:color="auto"/>
              <w:right w:val="single" w:sz="4" w:space="0" w:color="auto"/>
            </w:tcBorders>
            <w:shd w:val="clear" w:color="auto" w:fill="auto"/>
            <w:noWrap/>
            <w:vAlign w:val="center"/>
            <w:hideMark/>
          </w:tcPr>
          <w:p w14:paraId="3E85755F" w14:textId="77777777" w:rsidR="006F78B8" w:rsidRPr="006F78B8" w:rsidRDefault="006F78B8" w:rsidP="006F78B8">
            <w:pPr>
              <w:jc w:val="right"/>
              <w:rPr>
                <w:rFonts w:ascii="Arial Narrow" w:hAnsi="Arial Narrow" w:cs="Calibri"/>
                <w:sz w:val="20"/>
                <w:szCs w:val="20"/>
                <w:lang w:val="bg-BG"/>
              </w:rPr>
            </w:pPr>
            <w:r w:rsidRPr="006F78B8">
              <w:rPr>
                <w:rFonts w:ascii="Arial Narrow" w:hAnsi="Arial Narrow" w:cs="Calibri"/>
                <w:sz w:val="20"/>
                <w:szCs w:val="20"/>
                <w:lang w:val="bg-BG" w:eastAsia="bg-BG"/>
              </w:rPr>
              <w:t>15,0%</w:t>
            </w:r>
          </w:p>
        </w:tc>
        <w:tc>
          <w:tcPr>
            <w:tcW w:w="470" w:type="pct"/>
            <w:tcBorders>
              <w:top w:val="nil"/>
              <w:left w:val="nil"/>
              <w:bottom w:val="single" w:sz="4" w:space="0" w:color="auto"/>
              <w:right w:val="single" w:sz="4" w:space="0" w:color="auto"/>
            </w:tcBorders>
            <w:shd w:val="clear" w:color="auto" w:fill="auto"/>
            <w:noWrap/>
            <w:vAlign w:val="center"/>
            <w:hideMark/>
          </w:tcPr>
          <w:p w14:paraId="20F48CB7" w14:textId="77777777" w:rsidR="006F78B8" w:rsidRPr="006F78B8" w:rsidRDefault="006F78B8" w:rsidP="006F78B8">
            <w:pPr>
              <w:jc w:val="right"/>
              <w:rPr>
                <w:rFonts w:ascii="Arial Narrow" w:hAnsi="Arial Narrow" w:cs="Calibri"/>
                <w:sz w:val="20"/>
                <w:szCs w:val="20"/>
                <w:lang w:val="bg-BG"/>
              </w:rPr>
            </w:pPr>
            <w:r w:rsidRPr="006F78B8">
              <w:rPr>
                <w:rFonts w:ascii="Arial Narrow" w:hAnsi="Arial Narrow" w:cs="Calibri"/>
                <w:sz w:val="20"/>
                <w:szCs w:val="20"/>
                <w:lang w:val="bg-BG" w:eastAsia="bg-BG"/>
              </w:rPr>
              <w:t>1 504</w:t>
            </w:r>
          </w:p>
        </w:tc>
        <w:tc>
          <w:tcPr>
            <w:tcW w:w="470" w:type="pct"/>
            <w:tcBorders>
              <w:top w:val="nil"/>
              <w:left w:val="nil"/>
              <w:bottom w:val="single" w:sz="4" w:space="0" w:color="auto"/>
              <w:right w:val="single" w:sz="4" w:space="0" w:color="auto"/>
            </w:tcBorders>
            <w:shd w:val="clear" w:color="auto" w:fill="auto"/>
            <w:noWrap/>
            <w:vAlign w:val="center"/>
            <w:hideMark/>
          </w:tcPr>
          <w:p w14:paraId="60C6FBBB" w14:textId="77777777" w:rsidR="006F78B8" w:rsidRPr="006F78B8" w:rsidRDefault="006F78B8" w:rsidP="006F78B8">
            <w:pPr>
              <w:jc w:val="right"/>
              <w:rPr>
                <w:rFonts w:ascii="Arial Narrow" w:hAnsi="Arial Narrow" w:cs="Calibri"/>
                <w:sz w:val="20"/>
                <w:szCs w:val="20"/>
                <w:lang w:val="bg-BG"/>
              </w:rPr>
            </w:pPr>
            <w:r w:rsidRPr="006F78B8">
              <w:rPr>
                <w:rFonts w:ascii="Arial Narrow" w:hAnsi="Arial Narrow" w:cs="Calibri"/>
                <w:sz w:val="20"/>
                <w:szCs w:val="20"/>
                <w:lang w:val="bg-BG" w:eastAsia="bg-BG"/>
              </w:rPr>
              <w:t>1 496</w:t>
            </w:r>
          </w:p>
        </w:tc>
        <w:tc>
          <w:tcPr>
            <w:tcW w:w="507" w:type="pct"/>
            <w:tcBorders>
              <w:top w:val="nil"/>
              <w:left w:val="nil"/>
              <w:bottom w:val="single" w:sz="4" w:space="0" w:color="auto"/>
              <w:right w:val="single" w:sz="4" w:space="0" w:color="auto"/>
            </w:tcBorders>
            <w:shd w:val="clear" w:color="auto" w:fill="auto"/>
            <w:noWrap/>
            <w:vAlign w:val="center"/>
            <w:hideMark/>
          </w:tcPr>
          <w:p w14:paraId="4CB41810" w14:textId="77777777" w:rsidR="006F78B8" w:rsidRPr="006F78B8" w:rsidRDefault="006F78B8" w:rsidP="006F78B8">
            <w:pPr>
              <w:jc w:val="right"/>
              <w:rPr>
                <w:rFonts w:ascii="Arial Narrow" w:hAnsi="Arial Narrow" w:cs="Calibri"/>
                <w:sz w:val="20"/>
                <w:szCs w:val="20"/>
                <w:lang w:val="bg-BG"/>
              </w:rPr>
            </w:pPr>
            <w:r w:rsidRPr="006F78B8">
              <w:rPr>
                <w:rFonts w:ascii="Arial Narrow" w:hAnsi="Arial Narrow" w:cs="Calibri"/>
                <w:sz w:val="20"/>
                <w:szCs w:val="20"/>
                <w:lang w:val="bg-BG" w:eastAsia="bg-BG"/>
              </w:rPr>
              <w:t>-0,5%</w:t>
            </w:r>
          </w:p>
        </w:tc>
      </w:tr>
      <w:tr w:rsidR="006F78B8" w:rsidRPr="006F78B8" w14:paraId="5CF753FD" w14:textId="77777777" w:rsidTr="00507FB0">
        <w:trPr>
          <w:trHeight w:val="301"/>
        </w:trPr>
        <w:tc>
          <w:tcPr>
            <w:tcW w:w="623" w:type="pct"/>
            <w:tcBorders>
              <w:top w:val="nil"/>
              <w:left w:val="single" w:sz="4" w:space="0" w:color="auto"/>
              <w:bottom w:val="single" w:sz="4" w:space="0" w:color="auto"/>
              <w:right w:val="single" w:sz="4" w:space="0" w:color="auto"/>
            </w:tcBorders>
            <w:shd w:val="clear" w:color="auto" w:fill="auto"/>
            <w:vAlign w:val="center"/>
            <w:hideMark/>
          </w:tcPr>
          <w:p w14:paraId="4BF19EC7" w14:textId="77777777" w:rsidR="006F78B8" w:rsidRPr="006F78B8" w:rsidRDefault="006F78B8" w:rsidP="006F78B8">
            <w:pPr>
              <w:rPr>
                <w:rFonts w:ascii="Arial Narrow" w:hAnsi="Arial Narrow" w:cs="Calibri"/>
                <w:sz w:val="20"/>
                <w:szCs w:val="20"/>
                <w:lang w:val="bg-BG"/>
              </w:rPr>
            </w:pPr>
            <w:r w:rsidRPr="006F78B8">
              <w:rPr>
                <w:rFonts w:ascii="Arial Narrow" w:hAnsi="Arial Narrow" w:cs="Calibri"/>
                <w:sz w:val="20"/>
                <w:szCs w:val="20"/>
                <w:lang w:val="bg-BG" w:eastAsia="bg-BG"/>
              </w:rPr>
              <w:t>Кориандър</w:t>
            </w:r>
          </w:p>
        </w:tc>
        <w:tc>
          <w:tcPr>
            <w:tcW w:w="469" w:type="pct"/>
            <w:tcBorders>
              <w:top w:val="nil"/>
              <w:left w:val="nil"/>
              <w:bottom w:val="single" w:sz="4" w:space="0" w:color="auto"/>
              <w:right w:val="single" w:sz="4" w:space="0" w:color="auto"/>
            </w:tcBorders>
            <w:shd w:val="clear" w:color="auto" w:fill="auto"/>
            <w:noWrap/>
            <w:vAlign w:val="center"/>
            <w:hideMark/>
          </w:tcPr>
          <w:p w14:paraId="0F650E9D" w14:textId="77777777" w:rsidR="006F78B8" w:rsidRPr="006F78B8" w:rsidRDefault="006F78B8" w:rsidP="006F78B8">
            <w:pPr>
              <w:jc w:val="right"/>
              <w:rPr>
                <w:rFonts w:ascii="Arial Narrow" w:hAnsi="Arial Narrow" w:cs="Calibri"/>
                <w:sz w:val="20"/>
                <w:szCs w:val="20"/>
                <w:lang w:val="bg-BG"/>
              </w:rPr>
            </w:pPr>
            <w:r w:rsidRPr="006F78B8">
              <w:rPr>
                <w:rFonts w:ascii="Arial Narrow" w:hAnsi="Arial Narrow" w:cs="Calibri"/>
                <w:sz w:val="20"/>
                <w:szCs w:val="20"/>
                <w:lang w:val="bg-BG" w:eastAsia="bg-BG"/>
              </w:rPr>
              <w:t>21 370</w:t>
            </w:r>
          </w:p>
        </w:tc>
        <w:tc>
          <w:tcPr>
            <w:tcW w:w="470" w:type="pct"/>
            <w:tcBorders>
              <w:top w:val="nil"/>
              <w:left w:val="nil"/>
              <w:bottom w:val="single" w:sz="4" w:space="0" w:color="auto"/>
              <w:right w:val="single" w:sz="4" w:space="0" w:color="auto"/>
            </w:tcBorders>
            <w:shd w:val="clear" w:color="auto" w:fill="auto"/>
            <w:noWrap/>
            <w:vAlign w:val="center"/>
            <w:hideMark/>
          </w:tcPr>
          <w:p w14:paraId="32EE5A1A" w14:textId="77777777" w:rsidR="006F78B8" w:rsidRPr="006F78B8" w:rsidRDefault="006F78B8" w:rsidP="006F78B8">
            <w:pPr>
              <w:jc w:val="right"/>
              <w:rPr>
                <w:rFonts w:ascii="Arial Narrow" w:hAnsi="Arial Narrow" w:cs="Calibri"/>
                <w:sz w:val="20"/>
                <w:szCs w:val="20"/>
                <w:lang w:val="bg-BG"/>
              </w:rPr>
            </w:pPr>
            <w:r w:rsidRPr="006F78B8">
              <w:rPr>
                <w:rFonts w:ascii="Arial Narrow" w:hAnsi="Arial Narrow" w:cs="Calibri"/>
                <w:sz w:val="20"/>
                <w:szCs w:val="20"/>
                <w:lang w:val="bg-BG" w:eastAsia="bg-BG"/>
              </w:rPr>
              <w:t>22 751</w:t>
            </w:r>
          </w:p>
        </w:tc>
        <w:tc>
          <w:tcPr>
            <w:tcW w:w="525" w:type="pct"/>
            <w:tcBorders>
              <w:top w:val="nil"/>
              <w:left w:val="nil"/>
              <w:bottom w:val="single" w:sz="4" w:space="0" w:color="auto"/>
              <w:right w:val="single" w:sz="4" w:space="0" w:color="auto"/>
            </w:tcBorders>
            <w:shd w:val="clear" w:color="auto" w:fill="auto"/>
            <w:noWrap/>
            <w:vAlign w:val="center"/>
            <w:hideMark/>
          </w:tcPr>
          <w:p w14:paraId="7D0372B4" w14:textId="77777777" w:rsidR="006F78B8" w:rsidRPr="006F78B8" w:rsidRDefault="006F78B8" w:rsidP="006F78B8">
            <w:pPr>
              <w:jc w:val="right"/>
              <w:rPr>
                <w:rFonts w:ascii="Arial Narrow" w:hAnsi="Arial Narrow" w:cs="Calibri"/>
                <w:sz w:val="20"/>
                <w:szCs w:val="20"/>
                <w:lang w:val="bg-BG"/>
              </w:rPr>
            </w:pPr>
            <w:r w:rsidRPr="006F78B8">
              <w:rPr>
                <w:rFonts w:ascii="Arial Narrow" w:hAnsi="Arial Narrow" w:cs="Calibri"/>
                <w:sz w:val="20"/>
                <w:szCs w:val="20"/>
                <w:lang w:val="bg-BG" w:eastAsia="bg-BG"/>
              </w:rPr>
              <w:t>6,5%</w:t>
            </w:r>
          </w:p>
        </w:tc>
        <w:tc>
          <w:tcPr>
            <w:tcW w:w="470" w:type="pct"/>
            <w:tcBorders>
              <w:top w:val="nil"/>
              <w:left w:val="nil"/>
              <w:bottom w:val="single" w:sz="4" w:space="0" w:color="auto"/>
              <w:right w:val="single" w:sz="4" w:space="0" w:color="auto"/>
            </w:tcBorders>
            <w:shd w:val="clear" w:color="auto" w:fill="auto"/>
            <w:noWrap/>
            <w:vAlign w:val="center"/>
            <w:hideMark/>
          </w:tcPr>
          <w:p w14:paraId="08546CBD" w14:textId="77777777" w:rsidR="006F78B8" w:rsidRPr="006F78B8" w:rsidRDefault="006F78B8" w:rsidP="006F78B8">
            <w:pPr>
              <w:jc w:val="right"/>
              <w:rPr>
                <w:rFonts w:ascii="Arial Narrow" w:hAnsi="Arial Narrow" w:cs="Calibri"/>
                <w:sz w:val="20"/>
                <w:szCs w:val="20"/>
                <w:lang w:val="bg-BG"/>
              </w:rPr>
            </w:pPr>
            <w:r w:rsidRPr="006F78B8">
              <w:rPr>
                <w:rFonts w:ascii="Arial Narrow" w:hAnsi="Arial Narrow" w:cs="Calibri"/>
                <w:sz w:val="20"/>
                <w:szCs w:val="20"/>
                <w:lang w:val="bg-BG" w:eastAsia="bg-BG"/>
              </w:rPr>
              <w:t>1,26</w:t>
            </w:r>
          </w:p>
        </w:tc>
        <w:tc>
          <w:tcPr>
            <w:tcW w:w="470" w:type="pct"/>
            <w:tcBorders>
              <w:top w:val="nil"/>
              <w:left w:val="nil"/>
              <w:bottom w:val="single" w:sz="4" w:space="0" w:color="auto"/>
              <w:right w:val="single" w:sz="4" w:space="0" w:color="auto"/>
            </w:tcBorders>
            <w:shd w:val="clear" w:color="auto" w:fill="auto"/>
            <w:noWrap/>
            <w:vAlign w:val="center"/>
            <w:hideMark/>
          </w:tcPr>
          <w:p w14:paraId="29DC4030" w14:textId="77777777" w:rsidR="006F78B8" w:rsidRPr="006F78B8" w:rsidRDefault="006F78B8" w:rsidP="006F78B8">
            <w:pPr>
              <w:jc w:val="right"/>
              <w:rPr>
                <w:rFonts w:ascii="Arial Narrow" w:hAnsi="Arial Narrow" w:cs="Calibri"/>
                <w:sz w:val="20"/>
                <w:szCs w:val="20"/>
                <w:lang w:val="bg-BG"/>
              </w:rPr>
            </w:pPr>
            <w:r w:rsidRPr="006F78B8">
              <w:rPr>
                <w:rFonts w:ascii="Arial Narrow" w:hAnsi="Arial Narrow" w:cs="Calibri"/>
                <w:sz w:val="20"/>
                <w:szCs w:val="20"/>
                <w:lang w:val="bg-BG" w:eastAsia="bg-BG"/>
              </w:rPr>
              <w:t>1,06</w:t>
            </w:r>
          </w:p>
        </w:tc>
        <w:tc>
          <w:tcPr>
            <w:tcW w:w="526" w:type="pct"/>
            <w:tcBorders>
              <w:top w:val="nil"/>
              <w:left w:val="nil"/>
              <w:bottom w:val="single" w:sz="4" w:space="0" w:color="auto"/>
              <w:right w:val="single" w:sz="4" w:space="0" w:color="auto"/>
            </w:tcBorders>
            <w:shd w:val="clear" w:color="auto" w:fill="auto"/>
            <w:noWrap/>
            <w:vAlign w:val="center"/>
            <w:hideMark/>
          </w:tcPr>
          <w:p w14:paraId="01974DC1" w14:textId="77777777" w:rsidR="006F78B8" w:rsidRPr="006F78B8" w:rsidRDefault="006F78B8" w:rsidP="006F78B8">
            <w:pPr>
              <w:jc w:val="right"/>
              <w:rPr>
                <w:rFonts w:ascii="Arial Narrow" w:hAnsi="Arial Narrow" w:cs="Calibri"/>
                <w:sz w:val="20"/>
                <w:szCs w:val="20"/>
                <w:lang w:val="bg-BG"/>
              </w:rPr>
            </w:pPr>
            <w:r w:rsidRPr="006F78B8">
              <w:rPr>
                <w:rFonts w:ascii="Arial Narrow" w:hAnsi="Arial Narrow" w:cs="Calibri"/>
                <w:sz w:val="20"/>
                <w:szCs w:val="20"/>
                <w:lang w:val="bg-BG" w:eastAsia="bg-BG"/>
              </w:rPr>
              <w:t>-15,9%</w:t>
            </w:r>
          </w:p>
        </w:tc>
        <w:tc>
          <w:tcPr>
            <w:tcW w:w="470" w:type="pct"/>
            <w:tcBorders>
              <w:top w:val="nil"/>
              <w:left w:val="nil"/>
              <w:bottom w:val="single" w:sz="4" w:space="0" w:color="auto"/>
              <w:right w:val="single" w:sz="4" w:space="0" w:color="auto"/>
            </w:tcBorders>
            <w:shd w:val="clear" w:color="auto" w:fill="auto"/>
            <w:noWrap/>
            <w:vAlign w:val="center"/>
            <w:hideMark/>
          </w:tcPr>
          <w:p w14:paraId="248E9033" w14:textId="77777777" w:rsidR="006F78B8" w:rsidRPr="006F78B8" w:rsidRDefault="006F78B8" w:rsidP="006F78B8">
            <w:pPr>
              <w:jc w:val="right"/>
              <w:rPr>
                <w:rFonts w:ascii="Arial Narrow" w:hAnsi="Arial Narrow" w:cs="Calibri"/>
                <w:sz w:val="20"/>
                <w:szCs w:val="20"/>
                <w:lang w:val="bg-BG"/>
              </w:rPr>
            </w:pPr>
            <w:r w:rsidRPr="006F78B8">
              <w:rPr>
                <w:rFonts w:ascii="Arial Narrow" w:hAnsi="Arial Narrow" w:cs="Calibri"/>
                <w:sz w:val="20"/>
                <w:szCs w:val="20"/>
                <w:lang w:val="bg-BG" w:eastAsia="bg-BG"/>
              </w:rPr>
              <w:t>26 942</w:t>
            </w:r>
          </w:p>
        </w:tc>
        <w:tc>
          <w:tcPr>
            <w:tcW w:w="470" w:type="pct"/>
            <w:tcBorders>
              <w:top w:val="nil"/>
              <w:left w:val="nil"/>
              <w:bottom w:val="single" w:sz="4" w:space="0" w:color="auto"/>
              <w:right w:val="single" w:sz="4" w:space="0" w:color="auto"/>
            </w:tcBorders>
            <w:shd w:val="clear" w:color="auto" w:fill="auto"/>
            <w:noWrap/>
            <w:vAlign w:val="center"/>
            <w:hideMark/>
          </w:tcPr>
          <w:p w14:paraId="0C3EB904" w14:textId="77777777" w:rsidR="006F78B8" w:rsidRPr="006F78B8" w:rsidRDefault="006F78B8" w:rsidP="006F78B8">
            <w:pPr>
              <w:jc w:val="right"/>
              <w:rPr>
                <w:rFonts w:ascii="Arial Narrow" w:hAnsi="Arial Narrow" w:cs="Calibri"/>
                <w:sz w:val="20"/>
                <w:szCs w:val="20"/>
                <w:lang w:val="bg-BG"/>
              </w:rPr>
            </w:pPr>
            <w:r w:rsidRPr="006F78B8">
              <w:rPr>
                <w:rFonts w:ascii="Arial Narrow" w:hAnsi="Arial Narrow" w:cs="Calibri"/>
                <w:sz w:val="20"/>
                <w:szCs w:val="20"/>
                <w:lang w:val="bg-BG" w:eastAsia="bg-BG"/>
              </w:rPr>
              <w:t>24 173</w:t>
            </w:r>
          </w:p>
        </w:tc>
        <w:tc>
          <w:tcPr>
            <w:tcW w:w="507" w:type="pct"/>
            <w:tcBorders>
              <w:top w:val="nil"/>
              <w:left w:val="nil"/>
              <w:bottom w:val="single" w:sz="4" w:space="0" w:color="auto"/>
              <w:right w:val="single" w:sz="4" w:space="0" w:color="auto"/>
            </w:tcBorders>
            <w:shd w:val="clear" w:color="auto" w:fill="auto"/>
            <w:noWrap/>
            <w:vAlign w:val="center"/>
            <w:hideMark/>
          </w:tcPr>
          <w:p w14:paraId="5D4C8E2E" w14:textId="77777777" w:rsidR="006F78B8" w:rsidRPr="006F78B8" w:rsidRDefault="006F78B8" w:rsidP="006F78B8">
            <w:pPr>
              <w:jc w:val="right"/>
              <w:rPr>
                <w:rFonts w:ascii="Arial Narrow" w:hAnsi="Arial Narrow" w:cs="Calibri"/>
                <w:sz w:val="20"/>
                <w:szCs w:val="20"/>
                <w:lang w:val="bg-BG"/>
              </w:rPr>
            </w:pPr>
            <w:r w:rsidRPr="006F78B8">
              <w:rPr>
                <w:rFonts w:ascii="Arial Narrow" w:hAnsi="Arial Narrow" w:cs="Calibri"/>
                <w:sz w:val="20"/>
                <w:szCs w:val="20"/>
                <w:lang w:val="bg-BG" w:eastAsia="bg-BG"/>
              </w:rPr>
              <w:t>-10,3%</w:t>
            </w:r>
          </w:p>
        </w:tc>
      </w:tr>
      <w:tr w:rsidR="006F78B8" w:rsidRPr="006F78B8" w14:paraId="2F738E1C" w14:textId="77777777" w:rsidTr="00507FB0">
        <w:trPr>
          <w:trHeight w:val="301"/>
        </w:trPr>
        <w:tc>
          <w:tcPr>
            <w:tcW w:w="623" w:type="pct"/>
            <w:tcBorders>
              <w:top w:val="nil"/>
              <w:left w:val="single" w:sz="4" w:space="0" w:color="auto"/>
              <w:bottom w:val="single" w:sz="4" w:space="0" w:color="auto"/>
              <w:right w:val="single" w:sz="4" w:space="0" w:color="auto"/>
            </w:tcBorders>
            <w:shd w:val="clear" w:color="auto" w:fill="auto"/>
            <w:vAlign w:val="center"/>
            <w:hideMark/>
          </w:tcPr>
          <w:p w14:paraId="175DE7D4" w14:textId="77777777" w:rsidR="006F78B8" w:rsidRPr="006F78B8" w:rsidRDefault="006F78B8" w:rsidP="006F78B8">
            <w:pPr>
              <w:rPr>
                <w:rFonts w:ascii="Arial Narrow" w:hAnsi="Arial Narrow" w:cs="Calibri"/>
                <w:sz w:val="20"/>
                <w:szCs w:val="20"/>
                <w:lang w:val="bg-BG"/>
              </w:rPr>
            </w:pPr>
            <w:r w:rsidRPr="006F78B8">
              <w:rPr>
                <w:rFonts w:ascii="Arial Narrow" w:hAnsi="Arial Narrow" w:cs="Calibri"/>
                <w:sz w:val="20"/>
                <w:szCs w:val="20"/>
                <w:lang w:val="bg-BG" w:eastAsia="bg-BG"/>
              </w:rPr>
              <w:t>Резене</w:t>
            </w:r>
          </w:p>
        </w:tc>
        <w:tc>
          <w:tcPr>
            <w:tcW w:w="469" w:type="pct"/>
            <w:tcBorders>
              <w:top w:val="nil"/>
              <w:left w:val="nil"/>
              <w:bottom w:val="single" w:sz="4" w:space="0" w:color="auto"/>
              <w:right w:val="single" w:sz="4" w:space="0" w:color="auto"/>
            </w:tcBorders>
            <w:shd w:val="clear" w:color="auto" w:fill="auto"/>
            <w:noWrap/>
            <w:vAlign w:val="center"/>
            <w:hideMark/>
          </w:tcPr>
          <w:p w14:paraId="08937E78" w14:textId="77777777" w:rsidR="006F78B8" w:rsidRPr="006F78B8" w:rsidRDefault="006F78B8" w:rsidP="006F78B8">
            <w:pPr>
              <w:jc w:val="right"/>
              <w:rPr>
                <w:rFonts w:ascii="Arial Narrow" w:hAnsi="Arial Narrow" w:cs="Calibri"/>
                <w:sz w:val="20"/>
                <w:szCs w:val="20"/>
                <w:lang w:val="bg-BG"/>
              </w:rPr>
            </w:pPr>
            <w:r w:rsidRPr="006F78B8">
              <w:rPr>
                <w:rFonts w:ascii="Arial Narrow" w:hAnsi="Arial Narrow" w:cs="Calibri"/>
                <w:sz w:val="20"/>
                <w:szCs w:val="20"/>
                <w:lang w:val="bg-BG" w:eastAsia="bg-BG"/>
              </w:rPr>
              <w:t>564</w:t>
            </w:r>
          </w:p>
        </w:tc>
        <w:tc>
          <w:tcPr>
            <w:tcW w:w="470" w:type="pct"/>
            <w:tcBorders>
              <w:top w:val="nil"/>
              <w:left w:val="nil"/>
              <w:bottom w:val="single" w:sz="4" w:space="0" w:color="auto"/>
              <w:right w:val="single" w:sz="4" w:space="0" w:color="auto"/>
            </w:tcBorders>
            <w:shd w:val="clear" w:color="auto" w:fill="auto"/>
            <w:noWrap/>
            <w:vAlign w:val="center"/>
            <w:hideMark/>
          </w:tcPr>
          <w:p w14:paraId="1D677BE4" w14:textId="77777777" w:rsidR="006F78B8" w:rsidRPr="006F78B8" w:rsidRDefault="006F78B8" w:rsidP="006F78B8">
            <w:pPr>
              <w:jc w:val="right"/>
              <w:rPr>
                <w:rFonts w:ascii="Arial Narrow" w:hAnsi="Arial Narrow" w:cs="Calibri"/>
                <w:sz w:val="20"/>
                <w:szCs w:val="20"/>
                <w:lang w:val="bg-BG"/>
              </w:rPr>
            </w:pPr>
            <w:r w:rsidRPr="006F78B8">
              <w:rPr>
                <w:rFonts w:ascii="Arial Narrow" w:hAnsi="Arial Narrow" w:cs="Calibri"/>
                <w:sz w:val="20"/>
                <w:szCs w:val="20"/>
                <w:lang w:val="bg-BG" w:eastAsia="bg-BG"/>
              </w:rPr>
              <w:t>681</w:t>
            </w:r>
          </w:p>
        </w:tc>
        <w:tc>
          <w:tcPr>
            <w:tcW w:w="525" w:type="pct"/>
            <w:tcBorders>
              <w:top w:val="nil"/>
              <w:left w:val="nil"/>
              <w:bottom w:val="single" w:sz="4" w:space="0" w:color="auto"/>
              <w:right w:val="single" w:sz="4" w:space="0" w:color="auto"/>
            </w:tcBorders>
            <w:shd w:val="clear" w:color="auto" w:fill="auto"/>
            <w:noWrap/>
            <w:vAlign w:val="center"/>
            <w:hideMark/>
          </w:tcPr>
          <w:p w14:paraId="26089972" w14:textId="77777777" w:rsidR="006F78B8" w:rsidRPr="006F78B8" w:rsidRDefault="006F78B8" w:rsidP="006F78B8">
            <w:pPr>
              <w:jc w:val="right"/>
              <w:rPr>
                <w:rFonts w:ascii="Arial Narrow" w:hAnsi="Arial Narrow" w:cs="Calibri"/>
                <w:sz w:val="20"/>
                <w:szCs w:val="20"/>
                <w:lang w:val="bg-BG"/>
              </w:rPr>
            </w:pPr>
            <w:r w:rsidRPr="006F78B8">
              <w:rPr>
                <w:rFonts w:ascii="Arial Narrow" w:hAnsi="Arial Narrow" w:cs="Calibri"/>
                <w:sz w:val="20"/>
                <w:szCs w:val="20"/>
                <w:lang w:val="bg-BG" w:eastAsia="bg-BG"/>
              </w:rPr>
              <w:t>20,7%</w:t>
            </w:r>
          </w:p>
        </w:tc>
        <w:tc>
          <w:tcPr>
            <w:tcW w:w="470" w:type="pct"/>
            <w:tcBorders>
              <w:top w:val="nil"/>
              <w:left w:val="nil"/>
              <w:bottom w:val="single" w:sz="4" w:space="0" w:color="auto"/>
              <w:right w:val="single" w:sz="4" w:space="0" w:color="auto"/>
            </w:tcBorders>
            <w:shd w:val="clear" w:color="auto" w:fill="auto"/>
            <w:noWrap/>
            <w:vAlign w:val="center"/>
            <w:hideMark/>
          </w:tcPr>
          <w:p w14:paraId="32F3660F" w14:textId="77777777" w:rsidR="006F78B8" w:rsidRPr="006F78B8" w:rsidRDefault="006F78B8" w:rsidP="006F78B8">
            <w:pPr>
              <w:jc w:val="right"/>
              <w:rPr>
                <w:rFonts w:ascii="Arial Narrow" w:hAnsi="Arial Narrow" w:cs="Calibri"/>
                <w:sz w:val="20"/>
                <w:szCs w:val="20"/>
                <w:lang w:val="bg-BG"/>
              </w:rPr>
            </w:pPr>
            <w:r w:rsidRPr="006F78B8">
              <w:rPr>
                <w:rFonts w:ascii="Arial Narrow" w:hAnsi="Arial Narrow" w:cs="Calibri"/>
                <w:sz w:val="20"/>
                <w:szCs w:val="20"/>
                <w:lang w:val="bg-BG" w:eastAsia="bg-BG"/>
              </w:rPr>
              <w:t>0,27</w:t>
            </w:r>
          </w:p>
        </w:tc>
        <w:tc>
          <w:tcPr>
            <w:tcW w:w="470" w:type="pct"/>
            <w:tcBorders>
              <w:top w:val="nil"/>
              <w:left w:val="nil"/>
              <w:bottom w:val="single" w:sz="4" w:space="0" w:color="auto"/>
              <w:right w:val="single" w:sz="4" w:space="0" w:color="auto"/>
            </w:tcBorders>
            <w:shd w:val="clear" w:color="auto" w:fill="auto"/>
            <w:noWrap/>
            <w:vAlign w:val="center"/>
            <w:hideMark/>
          </w:tcPr>
          <w:p w14:paraId="3E9F1767" w14:textId="77777777" w:rsidR="006F78B8" w:rsidRPr="006F78B8" w:rsidRDefault="006F78B8" w:rsidP="006F78B8">
            <w:pPr>
              <w:jc w:val="right"/>
              <w:rPr>
                <w:rFonts w:ascii="Arial Narrow" w:hAnsi="Arial Narrow" w:cs="Calibri"/>
                <w:sz w:val="20"/>
                <w:szCs w:val="20"/>
                <w:lang w:val="bg-BG"/>
              </w:rPr>
            </w:pPr>
            <w:r w:rsidRPr="006F78B8">
              <w:rPr>
                <w:rFonts w:ascii="Arial Narrow" w:hAnsi="Arial Narrow" w:cs="Calibri"/>
                <w:sz w:val="20"/>
                <w:szCs w:val="20"/>
                <w:lang w:val="bg-BG" w:eastAsia="bg-BG"/>
              </w:rPr>
              <w:t>0,26</w:t>
            </w:r>
          </w:p>
        </w:tc>
        <w:tc>
          <w:tcPr>
            <w:tcW w:w="526" w:type="pct"/>
            <w:tcBorders>
              <w:top w:val="nil"/>
              <w:left w:val="nil"/>
              <w:bottom w:val="single" w:sz="4" w:space="0" w:color="auto"/>
              <w:right w:val="single" w:sz="4" w:space="0" w:color="auto"/>
            </w:tcBorders>
            <w:shd w:val="clear" w:color="auto" w:fill="auto"/>
            <w:noWrap/>
            <w:vAlign w:val="center"/>
            <w:hideMark/>
          </w:tcPr>
          <w:p w14:paraId="7851AEF8" w14:textId="77777777" w:rsidR="006F78B8" w:rsidRPr="006F78B8" w:rsidRDefault="006F78B8" w:rsidP="006F78B8">
            <w:pPr>
              <w:jc w:val="right"/>
              <w:rPr>
                <w:rFonts w:ascii="Arial Narrow" w:hAnsi="Arial Narrow" w:cs="Calibri"/>
                <w:sz w:val="20"/>
                <w:szCs w:val="20"/>
                <w:lang w:val="bg-BG"/>
              </w:rPr>
            </w:pPr>
            <w:r w:rsidRPr="006F78B8">
              <w:rPr>
                <w:rFonts w:ascii="Arial Narrow" w:hAnsi="Arial Narrow" w:cs="Calibri"/>
                <w:sz w:val="20"/>
                <w:szCs w:val="20"/>
                <w:lang w:val="bg-BG" w:eastAsia="bg-BG"/>
              </w:rPr>
              <w:t>-3,7%</w:t>
            </w:r>
          </w:p>
        </w:tc>
        <w:tc>
          <w:tcPr>
            <w:tcW w:w="470" w:type="pct"/>
            <w:tcBorders>
              <w:top w:val="nil"/>
              <w:left w:val="nil"/>
              <w:bottom w:val="single" w:sz="4" w:space="0" w:color="auto"/>
              <w:right w:val="single" w:sz="4" w:space="0" w:color="auto"/>
            </w:tcBorders>
            <w:shd w:val="clear" w:color="auto" w:fill="auto"/>
            <w:noWrap/>
            <w:vAlign w:val="center"/>
            <w:hideMark/>
          </w:tcPr>
          <w:p w14:paraId="70B25727" w14:textId="77777777" w:rsidR="006F78B8" w:rsidRPr="006F78B8" w:rsidRDefault="006F78B8" w:rsidP="006F78B8">
            <w:pPr>
              <w:jc w:val="right"/>
              <w:rPr>
                <w:rFonts w:ascii="Arial Narrow" w:hAnsi="Arial Narrow" w:cs="Calibri"/>
                <w:sz w:val="20"/>
                <w:szCs w:val="20"/>
                <w:lang w:val="bg-BG"/>
              </w:rPr>
            </w:pPr>
            <w:r w:rsidRPr="006F78B8">
              <w:rPr>
                <w:rFonts w:ascii="Arial Narrow" w:hAnsi="Arial Narrow" w:cs="Calibri"/>
                <w:sz w:val="20"/>
                <w:szCs w:val="20"/>
                <w:lang w:val="bg-BG" w:eastAsia="bg-BG"/>
              </w:rPr>
              <w:t>154</w:t>
            </w:r>
          </w:p>
        </w:tc>
        <w:tc>
          <w:tcPr>
            <w:tcW w:w="470" w:type="pct"/>
            <w:tcBorders>
              <w:top w:val="nil"/>
              <w:left w:val="nil"/>
              <w:bottom w:val="single" w:sz="4" w:space="0" w:color="auto"/>
              <w:right w:val="single" w:sz="4" w:space="0" w:color="auto"/>
            </w:tcBorders>
            <w:shd w:val="clear" w:color="auto" w:fill="auto"/>
            <w:noWrap/>
            <w:vAlign w:val="center"/>
            <w:hideMark/>
          </w:tcPr>
          <w:p w14:paraId="04C66523" w14:textId="77777777" w:rsidR="006F78B8" w:rsidRPr="006F78B8" w:rsidRDefault="006F78B8" w:rsidP="006F78B8">
            <w:pPr>
              <w:jc w:val="right"/>
              <w:rPr>
                <w:rFonts w:ascii="Arial Narrow" w:hAnsi="Arial Narrow" w:cs="Calibri"/>
                <w:sz w:val="20"/>
                <w:szCs w:val="20"/>
                <w:lang w:val="bg-BG"/>
              </w:rPr>
            </w:pPr>
            <w:r w:rsidRPr="006F78B8">
              <w:rPr>
                <w:rFonts w:ascii="Arial Narrow" w:hAnsi="Arial Narrow" w:cs="Calibri"/>
                <w:sz w:val="20"/>
                <w:szCs w:val="20"/>
                <w:lang w:val="bg-BG" w:eastAsia="bg-BG"/>
              </w:rPr>
              <w:t>174</w:t>
            </w:r>
          </w:p>
        </w:tc>
        <w:tc>
          <w:tcPr>
            <w:tcW w:w="507" w:type="pct"/>
            <w:tcBorders>
              <w:top w:val="nil"/>
              <w:left w:val="nil"/>
              <w:bottom w:val="single" w:sz="4" w:space="0" w:color="auto"/>
              <w:right w:val="single" w:sz="4" w:space="0" w:color="auto"/>
            </w:tcBorders>
            <w:shd w:val="clear" w:color="auto" w:fill="auto"/>
            <w:noWrap/>
            <w:vAlign w:val="center"/>
            <w:hideMark/>
          </w:tcPr>
          <w:p w14:paraId="4A22ADD5" w14:textId="77777777" w:rsidR="006F78B8" w:rsidRPr="006F78B8" w:rsidRDefault="006F78B8" w:rsidP="006F78B8">
            <w:pPr>
              <w:jc w:val="right"/>
              <w:rPr>
                <w:rFonts w:ascii="Arial Narrow" w:hAnsi="Arial Narrow" w:cs="Calibri"/>
                <w:sz w:val="20"/>
                <w:szCs w:val="20"/>
                <w:lang w:val="bg-BG"/>
              </w:rPr>
            </w:pPr>
            <w:r w:rsidRPr="006F78B8">
              <w:rPr>
                <w:rFonts w:ascii="Arial Narrow" w:hAnsi="Arial Narrow" w:cs="Calibri"/>
                <w:sz w:val="20"/>
                <w:szCs w:val="20"/>
                <w:lang w:val="bg-BG" w:eastAsia="bg-BG"/>
              </w:rPr>
              <w:t>13,0%</w:t>
            </w:r>
          </w:p>
        </w:tc>
      </w:tr>
    </w:tbl>
    <w:p w14:paraId="7F1F97D1" w14:textId="77777777" w:rsidR="006F78B8" w:rsidRPr="006F78B8" w:rsidRDefault="006F78B8" w:rsidP="006F78B8">
      <w:pPr>
        <w:autoSpaceDE w:val="0"/>
        <w:autoSpaceDN w:val="0"/>
        <w:adjustRightInd w:val="0"/>
        <w:spacing w:after="120"/>
        <w:rPr>
          <w:rFonts w:ascii="Arial Narrow" w:hAnsi="Arial Narrow"/>
          <w:i/>
          <w:sz w:val="18"/>
          <w:szCs w:val="18"/>
          <w:lang w:val="bg-BG" w:eastAsia="bg-BG"/>
        </w:rPr>
      </w:pPr>
      <w:r w:rsidRPr="006F78B8">
        <w:rPr>
          <w:rFonts w:ascii="Arial Narrow" w:hAnsi="Arial Narrow"/>
          <w:i/>
          <w:sz w:val="18"/>
          <w:szCs w:val="18"/>
          <w:lang w:val="bg-BG" w:eastAsia="bg-BG"/>
        </w:rPr>
        <w:t xml:space="preserve">Източник: </w:t>
      </w:r>
      <w:r w:rsidRPr="006F78B8">
        <w:rPr>
          <w:rFonts w:ascii="Arial Narrow" w:hAnsi="Arial Narrow"/>
          <w:sz w:val="18"/>
          <w:szCs w:val="18"/>
          <w:lang w:val="bg-BG" w:eastAsia="bg-BG"/>
        </w:rPr>
        <w:t>МЗХ, отдел  “Агростатистика”</w:t>
      </w:r>
    </w:p>
    <w:p w14:paraId="7A103059" w14:textId="77777777" w:rsidR="006F78B8" w:rsidRPr="006F78B8" w:rsidRDefault="006F78B8" w:rsidP="006F78B8">
      <w:pPr>
        <w:widowControl w:val="0"/>
        <w:autoSpaceDE w:val="0"/>
        <w:autoSpaceDN w:val="0"/>
        <w:adjustRightInd w:val="0"/>
        <w:spacing w:after="120"/>
        <w:ind w:firstLine="709"/>
        <w:jc w:val="both"/>
        <w:rPr>
          <w:rFonts w:ascii="Arial Narrow" w:hAnsi="Arial Narrow"/>
          <w:lang w:val="bg-BG" w:eastAsia="bg-BG"/>
        </w:rPr>
      </w:pPr>
      <w:r w:rsidRPr="006F78B8">
        <w:rPr>
          <w:rFonts w:ascii="Arial Narrow" w:hAnsi="Arial Narrow"/>
          <w:lang w:val="bg-BG" w:eastAsia="bg-BG"/>
        </w:rPr>
        <w:t>Засадените площи с маслодайна роза през годината възлизат на 4 639 ха, от които реколтирани са 4 325 ха (съответно с 2,9% и 2,8% повече на годишна база). При 7,6% по-висок среден добив, производството на розов цвят нараства с 10,7% спрямо 2023 г., до 11 642 тона.</w:t>
      </w:r>
    </w:p>
    <w:p w14:paraId="5A1BB73F" w14:textId="77777777" w:rsidR="006F78B8" w:rsidRPr="006F78B8" w:rsidRDefault="006F78B8" w:rsidP="006F78B8">
      <w:pPr>
        <w:widowControl w:val="0"/>
        <w:autoSpaceDE w:val="0"/>
        <w:autoSpaceDN w:val="0"/>
        <w:adjustRightInd w:val="0"/>
        <w:spacing w:after="120"/>
        <w:ind w:firstLine="709"/>
        <w:jc w:val="both"/>
        <w:rPr>
          <w:rFonts w:ascii="Arial Narrow" w:hAnsi="Arial Narrow"/>
          <w:lang w:val="bg-BG" w:eastAsia="bg-BG"/>
        </w:rPr>
      </w:pPr>
      <w:r w:rsidRPr="006F78B8">
        <w:rPr>
          <w:rFonts w:ascii="Arial Narrow" w:hAnsi="Arial Narrow"/>
          <w:lang w:val="bg-BG" w:eastAsia="bg-BG"/>
        </w:rPr>
        <w:t xml:space="preserve">При лавандулата се регистрира намаление на засадените площи с 19% спрямо 2023 г. Производството се свива по-умерено - с 12,5%, до 32 298 тона, поради повишение на средния добив с 9%.   </w:t>
      </w:r>
    </w:p>
    <w:p w14:paraId="7451E1E5" w14:textId="77777777" w:rsidR="006F78B8" w:rsidRPr="006F78B8" w:rsidRDefault="006F78B8" w:rsidP="006F78B8">
      <w:pPr>
        <w:widowControl w:val="0"/>
        <w:autoSpaceDE w:val="0"/>
        <w:autoSpaceDN w:val="0"/>
        <w:adjustRightInd w:val="0"/>
        <w:spacing w:after="120"/>
        <w:ind w:firstLine="709"/>
        <w:jc w:val="both"/>
        <w:rPr>
          <w:rFonts w:ascii="Arial Narrow" w:hAnsi="Arial Narrow"/>
          <w:lang w:val="bg-BG" w:eastAsia="bg-BG"/>
        </w:rPr>
      </w:pPr>
      <w:r w:rsidRPr="006F78B8">
        <w:rPr>
          <w:rFonts w:ascii="Arial Narrow" w:hAnsi="Arial Narrow"/>
          <w:lang w:val="bg-BG" w:eastAsia="bg-BG"/>
        </w:rPr>
        <w:t xml:space="preserve">През 2024 г. са произведени 24 173 тона кориандър - с 10,3% по-малко спрямо предходната година. Това се дължи на отчетения по-нисък среден добив (с 15,9%), макар при реколтираните площи да се наблюдава увеличение (с 6,5%).  </w:t>
      </w:r>
    </w:p>
    <w:p w14:paraId="0454119F" w14:textId="77777777" w:rsidR="006F78B8" w:rsidRPr="006F78B8" w:rsidRDefault="006F78B8" w:rsidP="006F78B8">
      <w:pPr>
        <w:widowControl w:val="0"/>
        <w:autoSpaceDE w:val="0"/>
        <w:autoSpaceDN w:val="0"/>
        <w:adjustRightInd w:val="0"/>
        <w:spacing w:after="120"/>
        <w:ind w:firstLine="709"/>
        <w:jc w:val="both"/>
        <w:rPr>
          <w:rFonts w:ascii="Arial Narrow" w:hAnsi="Arial Narrow"/>
          <w:lang w:val="bg-BG" w:eastAsia="bg-BG"/>
        </w:rPr>
      </w:pPr>
      <w:r w:rsidRPr="006F78B8">
        <w:rPr>
          <w:rFonts w:ascii="Arial Narrow" w:hAnsi="Arial Narrow"/>
          <w:lang w:val="bg-BG" w:eastAsia="bg-BG"/>
        </w:rPr>
        <w:t xml:space="preserve">При маточината се отчита спад на площите с 13,6% на годишна база, който е компенсиран от увеличение на средния добив с 15%. Производството възлиза на 1 496 тона – с незначителните 0,5% под </w:t>
      </w:r>
      <w:r w:rsidRPr="006F78B8">
        <w:rPr>
          <w:rFonts w:ascii="Arial Narrow" w:hAnsi="Arial Narrow"/>
          <w:lang w:val="bg-BG" w:eastAsia="bg-BG"/>
        </w:rPr>
        <w:lastRenderedPageBreak/>
        <w:t xml:space="preserve">нивото от 2023 г.   </w:t>
      </w:r>
    </w:p>
    <w:p w14:paraId="2834A4F4" w14:textId="77777777" w:rsidR="006F78B8" w:rsidRPr="006F78B8" w:rsidRDefault="006F78B8" w:rsidP="006F78B8">
      <w:pPr>
        <w:widowControl w:val="0"/>
        <w:autoSpaceDE w:val="0"/>
        <w:autoSpaceDN w:val="0"/>
        <w:adjustRightInd w:val="0"/>
        <w:spacing w:after="120"/>
        <w:ind w:firstLine="709"/>
        <w:jc w:val="both"/>
        <w:rPr>
          <w:rFonts w:ascii="Arial Narrow" w:hAnsi="Arial Narrow"/>
          <w:lang w:val="bg-BG" w:eastAsia="bg-BG"/>
        </w:rPr>
      </w:pPr>
      <w:r w:rsidRPr="006F78B8">
        <w:rPr>
          <w:rFonts w:ascii="Arial Narrow" w:hAnsi="Arial Narrow"/>
          <w:lang w:val="bg-BG" w:eastAsia="bg-BG"/>
        </w:rPr>
        <w:t xml:space="preserve">Производството на резене се увеличава с 13% на годишна база, вследствие на ръст на реколтираните площи с 20,7%. </w:t>
      </w:r>
    </w:p>
    <w:p w14:paraId="06A8F438" w14:textId="77777777" w:rsidR="007075D4" w:rsidRPr="007075D4" w:rsidRDefault="000B2CAB" w:rsidP="007075D4">
      <w:pPr>
        <w:pStyle w:val="ListParagraph"/>
        <w:keepNext/>
        <w:keepLines/>
        <w:numPr>
          <w:ilvl w:val="2"/>
          <w:numId w:val="8"/>
        </w:numPr>
        <w:tabs>
          <w:tab w:val="left" w:pos="900"/>
          <w:tab w:val="left" w:pos="990"/>
        </w:tabs>
        <w:spacing w:before="240" w:after="120"/>
        <w:ind w:left="901" w:hanging="544"/>
        <w:contextualSpacing w:val="0"/>
        <w:jc w:val="both"/>
        <w:outlineLvl w:val="0"/>
        <w:rPr>
          <w:rFonts w:ascii="Arial Narrow" w:hAnsi="Arial Narrow"/>
          <w:b/>
          <w:lang w:val="bg-BG" w:eastAsia="bg-BG"/>
        </w:rPr>
      </w:pPr>
      <w:bookmarkStart w:id="42" w:name="_Toc210747546"/>
      <w:r w:rsidRPr="007075D4">
        <w:rPr>
          <w:rFonts w:ascii="Arial Narrow" w:hAnsi="Arial Narrow"/>
          <w:b/>
          <w:lang w:val="bg-BG" w:eastAsia="bg-BG"/>
        </w:rPr>
        <w:t>Плодове</w:t>
      </w:r>
      <w:bookmarkEnd w:id="42"/>
      <w:r w:rsidR="004F3DF7" w:rsidRPr="007075D4">
        <w:rPr>
          <w:rFonts w:ascii="Arial Narrow" w:hAnsi="Arial Narrow"/>
          <w:b/>
          <w:lang w:eastAsia="bg-BG"/>
        </w:rPr>
        <w:t xml:space="preserve"> </w:t>
      </w:r>
    </w:p>
    <w:p w14:paraId="1AADB813" w14:textId="77777777" w:rsidR="007075D4" w:rsidRPr="007075D4" w:rsidRDefault="007075D4" w:rsidP="007075D4">
      <w:pPr>
        <w:widowControl w:val="0"/>
        <w:tabs>
          <w:tab w:val="left" w:pos="709"/>
        </w:tabs>
        <w:spacing w:after="120"/>
        <w:ind w:firstLine="709"/>
        <w:jc w:val="both"/>
        <w:rPr>
          <w:rFonts w:ascii="Arial Narrow" w:hAnsi="Arial Narrow"/>
          <w:lang w:val="bg-BG" w:eastAsia="bg-BG"/>
        </w:rPr>
      </w:pPr>
      <w:r w:rsidRPr="007075D4">
        <w:rPr>
          <w:rFonts w:ascii="Arial Narrow" w:hAnsi="Arial Narrow"/>
          <w:lang w:val="bg-BG" w:eastAsia="bg-BG"/>
        </w:rPr>
        <w:t>Общите площи с овощни, черупкови и ягодоплодни насаждения в земеделските стопанства  през 2024 г. са 59 5</w:t>
      </w:r>
      <w:r w:rsidR="00272DFB">
        <w:rPr>
          <w:rFonts w:ascii="Arial Narrow" w:hAnsi="Arial Narrow"/>
          <w:lang w:val="bg-BG" w:eastAsia="bg-BG"/>
        </w:rPr>
        <w:t>8</w:t>
      </w:r>
      <w:r w:rsidRPr="007075D4">
        <w:rPr>
          <w:rFonts w:ascii="Arial Narrow" w:hAnsi="Arial Narrow"/>
          <w:lang w:val="bg-BG" w:eastAsia="bg-BG"/>
        </w:rPr>
        <w:t xml:space="preserve">4 ха, което е с </w:t>
      </w:r>
      <w:r w:rsidR="00272DFB">
        <w:rPr>
          <w:rFonts w:ascii="Arial Narrow" w:hAnsi="Arial Narrow"/>
          <w:lang w:val="bg-BG" w:eastAsia="bg-BG"/>
        </w:rPr>
        <w:t>0,5</w:t>
      </w:r>
      <w:r w:rsidRPr="007075D4">
        <w:rPr>
          <w:rFonts w:ascii="Arial Narrow" w:hAnsi="Arial Narrow"/>
          <w:lang w:val="bg-BG" w:eastAsia="bg-BG"/>
        </w:rPr>
        <w:t>% под нивото от предходната година. От тях, реколтирани са 44,7 хил. ха – с 9,6% повече на годишна база. Поради климатични и други причини около 11% от плододаващите площи с овощни видове не са реколтирани. Напоявани са 24% от засадените площи с овощни видове.</w:t>
      </w:r>
    </w:p>
    <w:p w14:paraId="157B7F6E" w14:textId="77777777" w:rsidR="007075D4" w:rsidRPr="007075D4" w:rsidRDefault="007075D4" w:rsidP="007075D4">
      <w:pPr>
        <w:widowControl w:val="0"/>
        <w:tabs>
          <w:tab w:val="left" w:pos="709"/>
        </w:tabs>
        <w:spacing w:after="120"/>
        <w:ind w:firstLine="709"/>
        <w:jc w:val="both"/>
        <w:rPr>
          <w:rFonts w:ascii="Arial Narrow" w:hAnsi="Arial Narrow"/>
          <w:lang w:val="bg-BG" w:eastAsia="bg-BG"/>
        </w:rPr>
      </w:pPr>
      <w:r w:rsidRPr="007075D4">
        <w:rPr>
          <w:rFonts w:ascii="Arial Narrow" w:hAnsi="Arial Narrow"/>
          <w:lang w:val="bg-BG" w:eastAsia="bg-BG"/>
        </w:rPr>
        <w:t>Най-голям дял от реколтираните площ</w:t>
      </w:r>
      <w:r>
        <w:rPr>
          <w:rFonts w:ascii="Arial Narrow" w:hAnsi="Arial Narrow"/>
          <w:lang w:val="bg-BG" w:eastAsia="bg-BG"/>
        </w:rPr>
        <w:t>и през 2024 г. заемат черешите -</w:t>
      </w:r>
      <w:r w:rsidRPr="007075D4">
        <w:rPr>
          <w:rFonts w:ascii="Arial Narrow" w:hAnsi="Arial Narrow"/>
          <w:lang w:val="bg-BG" w:eastAsia="bg-BG"/>
        </w:rPr>
        <w:t xml:space="preserve"> 22,8%, </w:t>
      </w:r>
      <w:r>
        <w:rPr>
          <w:rFonts w:ascii="Arial Narrow" w:hAnsi="Arial Narrow"/>
          <w:lang w:val="bg-BG" w:eastAsia="bg-BG"/>
        </w:rPr>
        <w:t>следвани от сливите и джанките -</w:t>
      </w:r>
      <w:r w:rsidRPr="007075D4">
        <w:rPr>
          <w:rFonts w:ascii="Arial Narrow" w:hAnsi="Arial Narrow"/>
          <w:lang w:val="bg-BG" w:eastAsia="bg-BG"/>
        </w:rPr>
        <w:t xml:space="preserve"> 21,4</w:t>
      </w:r>
      <w:r>
        <w:rPr>
          <w:rFonts w:ascii="Arial Narrow" w:hAnsi="Arial Narrow"/>
          <w:lang w:val="bg-BG" w:eastAsia="bg-BG"/>
        </w:rPr>
        <w:t>% и орехите -</w:t>
      </w:r>
      <w:r w:rsidRPr="007075D4">
        <w:rPr>
          <w:rFonts w:ascii="Arial Narrow" w:hAnsi="Arial Narrow"/>
          <w:lang w:val="bg-BG" w:eastAsia="bg-BG"/>
        </w:rPr>
        <w:t xml:space="preserve"> 16,9%. При повечето от основните овощни култури се регистрира увеличение на реколтираните площи спрямо 2023 г., в границите от 0,7% (орехи) до 70,8% (бадеми). Намаление е налице само при малините (с 3,1%), ябълките (с 1%) и лешниците (с 0,2%).  </w:t>
      </w:r>
    </w:p>
    <w:p w14:paraId="3DD46039" w14:textId="77777777" w:rsidR="007075D4" w:rsidRPr="007075D4" w:rsidRDefault="007075D4" w:rsidP="007075D4">
      <w:pPr>
        <w:widowControl w:val="0"/>
        <w:tabs>
          <w:tab w:val="left" w:pos="709"/>
        </w:tabs>
        <w:spacing w:after="120"/>
        <w:ind w:firstLine="709"/>
        <w:jc w:val="both"/>
        <w:rPr>
          <w:rFonts w:ascii="Arial Narrow" w:hAnsi="Arial Narrow"/>
          <w:lang w:val="bg-BG" w:eastAsia="bg-BG"/>
        </w:rPr>
      </w:pPr>
      <w:r w:rsidRPr="007075D4">
        <w:rPr>
          <w:rFonts w:ascii="Arial Narrow" w:hAnsi="Arial Narrow"/>
          <w:lang w:val="bg-BG" w:eastAsia="bg-BG"/>
        </w:rPr>
        <w:t>Площите с млади, невстъпили в плододаване овощни насаждения през годината са 6 920 ха. Най-голям относит</w:t>
      </w:r>
      <w:r>
        <w:rPr>
          <w:rFonts w:ascii="Arial Narrow" w:hAnsi="Arial Narrow"/>
          <w:lang w:val="bg-BG" w:eastAsia="bg-BG"/>
        </w:rPr>
        <w:t>елен дял от тях заемат орехите -</w:t>
      </w:r>
      <w:r w:rsidRPr="007075D4">
        <w:rPr>
          <w:rFonts w:ascii="Arial Narrow" w:hAnsi="Arial Narrow"/>
          <w:lang w:val="bg-BG" w:eastAsia="bg-BG"/>
        </w:rPr>
        <w:t xml:space="preserve"> 32,3%, </w:t>
      </w:r>
      <w:r>
        <w:rPr>
          <w:rFonts w:ascii="Arial Narrow" w:hAnsi="Arial Narrow"/>
          <w:lang w:val="bg-BG" w:eastAsia="bg-BG"/>
        </w:rPr>
        <w:t>следвани от сливите и джанките -</w:t>
      </w:r>
      <w:r w:rsidRPr="007075D4">
        <w:rPr>
          <w:rFonts w:ascii="Arial Narrow" w:hAnsi="Arial Narrow"/>
          <w:lang w:val="bg-BG" w:eastAsia="bg-BG"/>
        </w:rPr>
        <w:t xml:space="preserve"> 20,2%.</w:t>
      </w:r>
    </w:p>
    <w:p w14:paraId="177C4C91" w14:textId="77777777" w:rsidR="007075D4" w:rsidRPr="007075D4" w:rsidRDefault="007075D4" w:rsidP="007075D4">
      <w:pPr>
        <w:widowControl w:val="0"/>
        <w:tabs>
          <w:tab w:val="left" w:pos="709"/>
        </w:tabs>
        <w:spacing w:after="120"/>
        <w:ind w:firstLine="709"/>
        <w:jc w:val="both"/>
        <w:rPr>
          <w:rFonts w:ascii="Arial Narrow" w:hAnsi="Arial Narrow"/>
          <w:lang w:val="bg-BG" w:eastAsia="bg-BG"/>
        </w:rPr>
      </w:pPr>
      <w:r w:rsidRPr="007075D4">
        <w:rPr>
          <w:rFonts w:ascii="Arial Narrow" w:hAnsi="Arial Narrow"/>
          <w:lang w:val="bg-BG" w:eastAsia="bg-BG"/>
        </w:rPr>
        <w:t xml:space="preserve">От новосъздадените насаждения през стопанската 2023/2024 година, 73% са костилкови видове, 15% - черупкови видове, а 12% - семкови и ягодоплодни видове. От костилковите видове най-голям е делът на сливите и джанките - 38%, следвани от кайсиите и зарзалите с 28% и черешите с 22%. При площите с черупкови видове най-голям дял се пада на орехите - 91%, следвани от бадемите с 6%. </w:t>
      </w:r>
    </w:p>
    <w:p w14:paraId="169212B2" w14:textId="77777777" w:rsidR="007075D4" w:rsidRPr="007075D4" w:rsidRDefault="007075D4" w:rsidP="007075D4">
      <w:pPr>
        <w:widowControl w:val="0"/>
        <w:tabs>
          <w:tab w:val="left" w:pos="709"/>
        </w:tabs>
        <w:spacing w:after="120"/>
        <w:ind w:firstLine="709"/>
        <w:jc w:val="both"/>
        <w:rPr>
          <w:rFonts w:ascii="Arial Narrow" w:hAnsi="Arial Narrow"/>
          <w:lang w:val="bg-BG" w:eastAsia="bg-BG"/>
        </w:rPr>
      </w:pPr>
      <w:r w:rsidRPr="007075D4">
        <w:rPr>
          <w:rFonts w:ascii="Arial Narrow" w:hAnsi="Arial Narrow"/>
          <w:lang w:val="bg-BG" w:eastAsia="bg-BG"/>
        </w:rPr>
        <w:t xml:space="preserve">През 2024 г. в страната са произведени общо 204 913 тона плодове </w:t>
      </w:r>
      <w:r>
        <w:rPr>
          <w:rFonts w:ascii="Arial Narrow" w:hAnsi="Arial Narrow"/>
          <w:lang w:val="bg-BG" w:eastAsia="bg-BG"/>
        </w:rPr>
        <w:t>-</w:t>
      </w:r>
      <w:r w:rsidRPr="007075D4">
        <w:rPr>
          <w:rFonts w:ascii="Arial Narrow" w:hAnsi="Arial Narrow"/>
          <w:lang w:val="bg-BG" w:eastAsia="bg-BG"/>
        </w:rPr>
        <w:t xml:space="preserve"> с 14,1% повече в сравнение с предходната година, като при почти всички култури се отчита увеличение. Значителен ръст на продукцията се наблюдава при бадемите</w:t>
      </w:r>
      <w:r>
        <w:rPr>
          <w:rFonts w:ascii="Arial Narrow" w:hAnsi="Arial Narrow"/>
          <w:lang w:val="bg-BG" w:eastAsia="bg-BG"/>
        </w:rPr>
        <w:t xml:space="preserve"> -</w:t>
      </w:r>
      <w:r w:rsidRPr="007075D4">
        <w:rPr>
          <w:rFonts w:ascii="Arial Narrow" w:hAnsi="Arial Narrow"/>
          <w:lang w:val="bg-BG" w:eastAsia="bg-BG"/>
        </w:rPr>
        <w:t xml:space="preserve"> с 83,8%, кайсиите и зарзали</w:t>
      </w:r>
      <w:r>
        <w:rPr>
          <w:rFonts w:ascii="Arial Narrow" w:hAnsi="Arial Narrow"/>
          <w:lang w:val="bg-BG" w:eastAsia="bg-BG"/>
        </w:rPr>
        <w:t>те -</w:t>
      </w:r>
      <w:r w:rsidRPr="007075D4">
        <w:rPr>
          <w:rFonts w:ascii="Arial Narrow" w:hAnsi="Arial Narrow"/>
          <w:lang w:val="bg-BG" w:eastAsia="bg-BG"/>
        </w:rPr>
        <w:t xml:space="preserve"> със 71,8% и прасковите и нектарините</w:t>
      </w:r>
      <w:r>
        <w:rPr>
          <w:rFonts w:ascii="Arial Narrow" w:hAnsi="Arial Narrow"/>
          <w:lang w:val="bg-BG" w:eastAsia="bg-BG"/>
        </w:rPr>
        <w:t xml:space="preserve"> -</w:t>
      </w:r>
      <w:r w:rsidRPr="007075D4">
        <w:rPr>
          <w:rFonts w:ascii="Arial Narrow" w:hAnsi="Arial Narrow"/>
          <w:lang w:val="bg-BG" w:eastAsia="bg-BG"/>
        </w:rPr>
        <w:t xml:space="preserve"> с 62,4%, а по-слабо</w:t>
      </w:r>
      <w:r>
        <w:rPr>
          <w:rFonts w:ascii="Arial Narrow" w:hAnsi="Arial Narrow"/>
          <w:lang w:val="bg-BG" w:eastAsia="bg-BG"/>
        </w:rPr>
        <w:t xml:space="preserve"> изразен -</w:t>
      </w:r>
      <w:r w:rsidRPr="007075D4">
        <w:rPr>
          <w:rFonts w:ascii="Arial Narrow" w:hAnsi="Arial Narrow"/>
          <w:lang w:val="bg-BG" w:eastAsia="bg-BG"/>
        </w:rPr>
        <w:t xml:space="preserve"> при орехите, крушите, черешите, лешниците, ябълките, сливите и джанките и вишните </w:t>
      </w:r>
      <w:r>
        <w:rPr>
          <w:rFonts w:ascii="Arial Narrow" w:hAnsi="Arial Narrow"/>
          <w:lang w:val="bg-BG" w:eastAsia="bg-BG"/>
        </w:rPr>
        <w:t>-</w:t>
      </w:r>
      <w:r w:rsidRPr="007075D4">
        <w:rPr>
          <w:rFonts w:ascii="Arial Narrow" w:hAnsi="Arial Narrow"/>
          <w:lang w:val="bg-BG" w:eastAsia="bg-BG"/>
        </w:rPr>
        <w:t xml:space="preserve"> с между 2,5% (вишни) и 22,8% (орехи). Само прибраните количества малини и култивиран шипки са по-малко </w:t>
      </w:r>
      <w:r>
        <w:rPr>
          <w:rFonts w:ascii="Arial Narrow" w:hAnsi="Arial Narrow"/>
          <w:lang w:val="bg-BG" w:eastAsia="bg-BG"/>
        </w:rPr>
        <w:t>-</w:t>
      </w:r>
      <w:r w:rsidRPr="007075D4">
        <w:rPr>
          <w:rFonts w:ascii="Arial Narrow" w:hAnsi="Arial Narrow"/>
          <w:lang w:val="bg-BG" w:eastAsia="bg-BG"/>
        </w:rPr>
        <w:t xml:space="preserve"> съответно с 9,5% и 0,8%.</w:t>
      </w:r>
    </w:p>
    <w:p w14:paraId="7CE3FD18" w14:textId="77777777" w:rsidR="007075D4" w:rsidRPr="007075D4" w:rsidRDefault="007075D4" w:rsidP="007075D4">
      <w:pPr>
        <w:widowControl w:val="0"/>
        <w:tabs>
          <w:tab w:val="left" w:pos="709"/>
        </w:tabs>
        <w:spacing w:after="120"/>
        <w:ind w:firstLine="709"/>
        <w:jc w:val="both"/>
        <w:rPr>
          <w:rFonts w:ascii="Arial Narrow" w:hAnsi="Arial Narrow"/>
          <w:lang w:val="bg-BG" w:eastAsia="bg-BG"/>
        </w:rPr>
      </w:pPr>
      <w:r w:rsidRPr="007075D4">
        <w:rPr>
          <w:rFonts w:ascii="Arial Narrow" w:hAnsi="Arial Narrow"/>
          <w:lang w:val="bg-BG" w:eastAsia="bg-BG"/>
        </w:rPr>
        <w:t>Най-голям относителен дял от общото производство на плодове през годината се</w:t>
      </w:r>
      <w:r>
        <w:rPr>
          <w:rFonts w:ascii="Arial Narrow" w:hAnsi="Arial Narrow"/>
          <w:lang w:val="bg-BG" w:eastAsia="bg-BG"/>
        </w:rPr>
        <w:t xml:space="preserve"> формира от сливите и джанките -</w:t>
      </w:r>
      <w:r w:rsidRPr="007075D4">
        <w:rPr>
          <w:rFonts w:ascii="Arial Narrow" w:hAnsi="Arial Narrow"/>
          <w:lang w:val="bg-BG" w:eastAsia="bg-BG"/>
        </w:rPr>
        <w:t xml:space="preserve"> 29,7% и </w:t>
      </w:r>
      <w:r>
        <w:rPr>
          <w:rFonts w:ascii="Arial Narrow" w:hAnsi="Arial Narrow"/>
          <w:lang w:val="bg-BG" w:eastAsia="bg-BG"/>
        </w:rPr>
        <w:t>черешите -</w:t>
      </w:r>
      <w:r w:rsidRPr="007075D4">
        <w:rPr>
          <w:rFonts w:ascii="Arial Narrow" w:hAnsi="Arial Narrow"/>
          <w:lang w:val="bg-BG" w:eastAsia="bg-BG"/>
        </w:rPr>
        <w:t xml:space="preserve"> 24,6%, следвани от </w:t>
      </w:r>
      <w:r>
        <w:rPr>
          <w:rFonts w:ascii="Arial Narrow" w:hAnsi="Arial Narrow"/>
          <w:lang w:val="bg-BG" w:eastAsia="bg-BG"/>
        </w:rPr>
        <w:t>ябълките -</w:t>
      </w:r>
      <w:r w:rsidRPr="007075D4">
        <w:rPr>
          <w:rFonts w:ascii="Arial Narrow" w:hAnsi="Arial Narrow"/>
          <w:lang w:val="bg-BG" w:eastAsia="bg-BG"/>
        </w:rPr>
        <w:t xml:space="preserve"> 18%, кайсиите и зарзалите – 9,1%</w:t>
      </w:r>
      <w:r>
        <w:rPr>
          <w:rFonts w:ascii="Arial Narrow" w:hAnsi="Arial Narrow"/>
          <w:lang w:val="bg-BG" w:eastAsia="bg-BG"/>
        </w:rPr>
        <w:t xml:space="preserve"> и прасковите и нектарините -</w:t>
      </w:r>
      <w:r w:rsidRPr="007075D4">
        <w:rPr>
          <w:rFonts w:ascii="Arial Narrow" w:hAnsi="Arial Narrow"/>
          <w:lang w:val="bg-BG" w:eastAsia="bg-BG"/>
        </w:rPr>
        <w:t xml:space="preserve"> 8,6%.   </w:t>
      </w:r>
    </w:p>
    <w:p w14:paraId="51717808" w14:textId="77777777" w:rsidR="007075D4" w:rsidRPr="007075D4" w:rsidRDefault="007075D4" w:rsidP="00445BE3">
      <w:pPr>
        <w:widowControl w:val="0"/>
        <w:tabs>
          <w:tab w:val="left" w:pos="709"/>
        </w:tabs>
        <w:spacing w:after="120"/>
        <w:ind w:firstLine="709"/>
        <w:jc w:val="both"/>
        <w:rPr>
          <w:rFonts w:ascii="Arial Narrow" w:hAnsi="Arial Narrow"/>
          <w:lang w:val="bg-BG" w:eastAsia="bg-BG"/>
        </w:rPr>
      </w:pPr>
      <w:r w:rsidRPr="007075D4">
        <w:rPr>
          <w:rFonts w:ascii="Arial Narrow" w:hAnsi="Arial Narrow"/>
          <w:lang w:val="bg-BG" w:eastAsia="bg-BG"/>
        </w:rPr>
        <w:t xml:space="preserve">Водещо място в производството на плодове през 2024 г. заемат Югоизточният район с 26,3% и Южният централен район с 24,4%. В Югоизточния район е съсредоточено производството на праскови (65,6%), череши (43,3%) и орехи (32,8%), а в Южния централен район </w:t>
      </w:r>
      <w:r>
        <w:rPr>
          <w:rFonts w:ascii="Arial Narrow" w:hAnsi="Arial Narrow"/>
          <w:lang w:val="bg-BG" w:eastAsia="bg-BG"/>
        </w:rPr>
        <w:t>-</w:t>
      </w:r>
      <w:r w:rsidRPr="007075D4">
        <w:rPr>
          <w:rFonts w:ascii="Arial Narrow" w:hAnsi="Arial Narrow"/>
          <w:lang w:val="bg-BG" w:eastAsia="bg-BG"/>
        </w:rPr>
        <w:t xml:space="preserve"> това на ябълки (35,9%) и сливи и джанки (29,6%). В Северния централен район са добити 89,1% от кайсиите в страната, а при производството на малини най-висок д</w:t>
      </w:r>
      <w:r>
        <w:rPr>
          <w:rFonts w:ascii="Arial Narrow" w:hAnsi="Arial Narrow"/>
          <w:lang w:val="bg-BG" w:eastAsia="bg-BG"/>
        </w:rPr>
        <w:t>ял заема Североизточният район -</w:t>
      </w:r>
      <w:r w:rsidRPr="007075D4">
        <w:rPr>
          <w:rFonts w:ascii="Arial Narrow" w:hAnsi="Arial Narrow"/>
          <w:lang w:val="bg-BG" w:eastAsia="bg-BG"/>
        </w:rPr>
        <w:t xml:space="preserve"> 39,8%.    </w:t>
      </w:r>
    </w:p>
    <w:p w14:paraId="09169D8E" w14:textId="77777777" w:rsidR="007075D4" w:rsidRPr="007075D4" w:rsidRDefault="007075D4" w:rsidP="00272DFB">
      <w:pPr>
        <w:keepNext/>
        <w:autoSpaceDE w:val="0"/>
        <w:autoSpaceDN w:val="0"/>
        <w:adjustRightInd w:val="0"/>
        <w:spacing w:after="120"/>
        <w:ind w:right="142"/>
        <w:rPr>
          <w:rFonts w:ascii="Arial Narrow" w:hAnsi="Arial Narrow"/>
          <w:lang w:val="bg-BG" w:eastAsia="bg-BG"/>
        </w:rPr>
      </w:pPr>
      <w:r w:rsidRPr="007075D4">
        <w:rPr>
          <w:rFonts w:ascii="Arial Narrow" w:hAnsi="Arial Narrow"/>
          <w:b/>
          <w:lang w:val="bg-BG" w:eastAsia="bg-BG"/>
        </w:rPr>
        <w:t>Таблица ІІ.7. Производство на плодове от реколти `2023 и `2024</w:t>
      </w:r>
    </w:p>
    <w:tbl>
      <w:tblPr>
        <w:tblW w:w="4907" w:type="pct"/>
        <w:tblInd w:w="108" w:type="dxa"/>
        <w:tblLook w:val="04A0" w:firstRow="1" w:lastRow="0" w:firstColumn="1" w:lastColumn="0" w:noHBand="0" w:noVBand="1"/>
      </w:tblPr>
      <w:tblGrid>
        <w:gridCol w:w="1223"/>
        <w:gridCol w:w="896"/>
        <w:gridCol w:w="894"/>
        <w:gridCol w:w="1014"/>
        <w:gridCol w:w="894"/>
        <w:gridCol w:w="894"/>
        <w:gridCol w:w="1013"/>
        <w:gridCol w:w="899"/>
        <w:gridCol w:w="899"/>
        <w:gridCol w:w="992"/>
      </w:tblGrid>
      <w:tr w:rsidR="007075D4" w:rsidRPr="007075D4" w14:paraId="3AC7A6D0" w14:textId="77777777" w:rsidTr="009C6577">
        <w:trPr>
          <w:trHeight w:val="557"/>
          <w:tblHeader/>
        </w:trPr>
        <w:tc>
          <w:tcPr>
            <w:tcW w:w="637"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3A71179" w14:textId="77777777" w:rsidR="007075D4" w:rsidRPr="007075D4" w:rsidRDefault="007075D4" w:rsidP="007075D4">
            <w:pPr>
              <w:jc w:val="center"/>
              <w:rPr>
                <w:rFonts w:ascii="Arial Narrow" w:hAnsi="Arial Narrow" w:cs="Calibri"/>
                <w:b/>
                <w:bCs/>
                <w:sz w:val="20"/>
                <w:szCs w:val="20"/>
                <w:lang w:val="bg-BG"/>
              </w:rPr>
            </w:pPr>
            <w:r w:rsidRPr="007075D4">
              <w:rPr>
                <w:rFonts w:ascii="Arial Narrow" w:hAnsi="Arial Narrow" w:cs="Calibri"/>
                <w:b/>
                <w:bCs/>
                <w:sz w:val="20"/>
                <w:szCs w:val="20"/>
                <w:lang w:val="bg-BG"/>
              </w:rPr>
              <w:t>Овощни култури</w:t>
            </w:r>
          </w:p>
        </w:tc>
        <w:tc>
          <w:tcPr>
            <w:tcW w:w="1461" w:type="pct"/>
            <w:gridSpan w:val="3"/>
            <w:tcBorders>
              <w:top w:val="single" w:sz="4" w:space="0" w:color="auto"/>
              <w:left w:val="nil"/>
              <w:bottom w:val="single" w:sz="4" w:space="0" w:color="auto"/>
              <w:right w:val="single" w:sz="4" w:space="0" w:color="000000"/>
            </w:tcBorders>
            <w:shd w:val="clear" w:color="auto" w:fill="auto"/>
            <w:vAlign w:val="center"/>
            <w:hideMark/>
          </w:tcPr>
          <w:p w14:paraId="7B563455" w14:textId="77777777" w:rsidR="007075D4" w:rsidRPr="007075D4" w:rsidRDefault="007075D4" w:rsidP="007075D4">
            <w:pPr>
              <w:jc w:val="center"/>
              <w:rPr>
                <w:rFonts w:ascii="Arial Narrow" w:hAnsi="Arial Narrow" w:cs="Calibri"/>
                <w:b/>
                <w:bCs/>
                <w:sz w:val="20"/>
                <w:szCs w:val="20"/>
                <w:lang w:val="bg-BG"/>
              </w:rPr>
            </w:pPr>
            <w:r w:rsidRPr="007075D4">
              <w:rPr>
                <w:rFonts w:ascii="Arial Narrow" w:hAnsi="Arial Narrow" w:cs="Calibri"/>
                <w:b/>
                <w:bCs/>
                <w:sz w:val="20"/>
                <w:szCs w:val="20"/>
                <w:lang w:val="bg-BG"/>
              </w:rPr>
              <w:t>Реколтирани площи</w:t>
            </w:r>
            <w:r w:rsidRPr="007075D4">
              <w:rPr>
                <w:rFonts w:ascii="Arial Narrow" w:hAnsi="Arial Narrow" w:cs="Calibri"/>
                <w:b/>
                <w:bCs/>
                <w:sz w:val="20"/>
                <w:szCs w:val="20"/>
                <w:lang w:val="bg-BG"/>
              </w:rPr>
              <w:br/>
              <w:t>(ха)</w:t>
            </w:r>
          </w:p>
        </w:tc>
        <w:tc>
          <w:tcPr>
            <w:tcW w:w="1459" w:type="pct"/>
            <w:gridSpan w:val="3"/>
            <w:tcBorders>
              <w:top w:val="single" w:sz="4" w:space="0" w:color="auto"/>
              <w:left w:val="nil"/>
              <w:bottom w:val="single" w:sz="4" w:space="0" w:color="auto"/>
              <w:right w:val="single" w:sz="4" w:space="0" w:color="000000"/>
            </w:tcBorders>
            <w:shd w:val="clear" w:color="auto" w:fill="auto"/>
            <w:vAlign w:val="center"/>
            <w:hideMark/>
          </w:tcPr>
          <w:p w14:paraId="352297DE" w14:textId="77777777" w:rsidR="007075D4" w:rsidRPr="007075D4" w:rsidRDefault="007075D4" w:rsidP="007075D4">
            <w:pPr>
              <w:jc w:val="center"/>
              <w:rPr>
                <w:rFonts w:ascii="Arial Narrow" w:hAnsi="Arial Narrow" w:cs="Calibri"/>
                <w:b/>
                <w:bCs/>
                <w:sz w:val="20"/>
                <w:szCs w:val="20"/>
                <w:lang w:val="bg-BG"/>
              </w:rPr>
            </w:pPr>
            <w:r w:rsidRPr="007075D4">
              <w:rPr>
                <w:rFonts w:ascii="Arial Narrow" w:hAnsi="Arial Narrow" w:cs="Calibri"/>
                <w:b/>
                <w:bCs/>
                <w:sz w:val="20"/>
                <w:szCs w:val="20"/>
                <w:lang w:val="bg-BG"/>
              </w:rPr>
              <w:t>Среден добив</w:t>
            </w:r>
            <w:r w:rsidRPr="007075D4">
              <w:rPr>
                <w:rFonts w:ascii="Arial Narrow" w:hAnsi="Arial Narrow" w:cs="Calibri"/>
                <w:b/>
                <w:bCs/>
                <w:sz w:val="20"/>
                <w:szCs w:val="20"/>
                <w:lang w:val="bg-BG"/>
              </w:rPr>
              <w:br/>
              <w:t>(кг/ха)</w:t>
            </w:r>
          </w:p>
        </w:tc>
        <w:tc>
          <w:tcPr>
            <w:tcW w:w="1443" w:type="pct"/>
            <w:gridSpan w:val="3"/>
            <w:tcBorders>
              <w:top w:val="single" w:sz="4" w:space="0" w:color="auto"/>
              <w:left w:val="nil"/>
              <w:bottom w:val="single" w:sz="4" w:space="0" w:color="auto"/>
              <w:right w:val="single" w:sz="4" w:space="0" w:color="000000"/>
            </w:tcBorders>
            <w:shd w:val="clear" w:color="auto" w:fill="auto"/>
            <w:vAlign w:val="center"/>
            <w:hideMark/>
          </w:tcPr>
          <w:p w14:paraId="0B28E436" w14:textId="77777777" w:rsidR="007075D4" w:rsidRPr="007075D4" w:rsidRDefault="007075D4" w:rsidP="007075D4">
            <w:pPr>
              <w:jc w:val="center"/>
              <w:rPr>
                <w:rFonts w:ascii="Arial Narrow" w:hAnsi="Arial Narrow" w:cs="Calibri"/>
                <w:b/>
                <w:bCs/>
                <w:sz w:val="20"/>
                <w:szCs w:val="20"/>
                <w:lang w:val="bg-BG"/>
              </w:rPr>
            </w:pPr>
            <w:r w:rsidRPr="007075D4">
              <w:rPr>
                <w:rFonts w:ascii="Arial Narrow" w:hAnsi="Arial Narrow" w:cs="Calibri"/>
                <w:b/>
                <w:bCs/>
                <w:sz w:val="20"/>
                <w:szCs w:val="20"/>
                <w:lang w:val="bg-BG"/>
              </w:rPr>
              <w:t>Производство</w:t>
            </w:r>
            <w:r w:rsidRPr="007075D4">
              <w:rPr>
                <w:rFonts w:ascii="Arial Narrow" w:hAnsi="Arial Narrow" w:cs="Calibri"/>
                <w:b/>
                <w:bCs/>
                <w:sz w:val="20"/>
                <w:szCs w:val="20"/>
                <w:lang w:val="bg-BG"/>
              </w:rPr>
              <w:br/>
              <w:t>(тона)</w:t>
            </w:r>
          </w:p>
        </w:tc>
      </w:tr>
      <w:tr w:rsidR="007075D4" w:rsidRPr="007075D4" w14:paraId="6107917F" w14:textId="77777777" w:rsidTr="009C6577">
        <w:trPr>
          <w:trHeight w:val="557"/>
          <w:tblHeader/>
        </w:trPr>
        <w:tc>
          <w:tcPr>
            <w:tcW w:w="637" w:type="pct"/>
            <w:vMerge/>
            <w:tcBorders>
              <w:top w:val="single" w:sz="4" w:space="0" w:color="auto"/>
              <w:left w:val="single" w:sz="4" w:space="0" w:color="auto"/>
              <w:bottom w:val="single" w:sz="4" w:space="0" w:color="000000"/>
              <w:right w:val="single" w:sz="4" w:space="0" w:color="auto"/>
            </w:tcBorders>
            <w:vAlign w:val="center"/>
            <w:hideMark/>
          </w:tcPr>
          <w:p w14:paraId="18574013" w14:textId="77777777" w:rsidR="007075D4" w:rsidRPr="007075D4" w:rsidRDefault="007075D4" w:rsidP="007075D4">
            <w:pPr>
              <w:rPr>
                <w:rFonts w:ascii="Arial Narrow" w:hAnsi="Arial Narrow" w:cs="Calibri"/>
                <w:b/>
                <w:bCs/>
                <w:sz w:val="20"/>
                <w:szCs w:val="20"/>
                <w:lang w:val="bg-BG"/>
              </w:rPr>
            </w:pPr>
          </w:p>
        </w:tc>
        <w:tc>
          <w:tcPr>
            <w:tcW w:w="467" w:type="pct"/>
            <w:tcBorders>
              <w:top w:val="nil"/>
              <w:left w:val="nil"/>
              <w:bottom w:val="single" w:sz="4" w:space="0" w:color="auto"/>
              <w:right w:val="single" w:sz="4" w:space="0" w:color="auto"/>
            </w:tcBorders>
            <w:shd w:val="clear" w:color="auto" w:fill="auto"/>
            <w:vAlign w:val="center"/>
            <w:hideMark/>
          </w:tcPr>
          <w:p w14:paraId="6641C974" w14:textId="77777777" w:rsidR="007075D4" w:rsidRPr="007075D4" w:rsidRDefault="007075D4" w:rsidP="007075D4">
            <w:pPr>
              <w:jc w:val="center"/>
              <w:rPr>
                <w:rFonts w:ascii="Arial Narrow" w:hAnsi="Arial Narrow" w:cs="Calibri"/>
                <w:b/>
                <w:bCs/>
                <w:sz w:val="20"/>
                <w:szCs w:val="20"/>
                <w:lang w:val="bg-BG"/>
              </w:rPr>
            </w:pPr>
            <w:r w:rsidRPr="007075D4">
              <w:rPr>
                <w:rFonts w:ascii="Arial Narrow" w:hAnsi="Arial Narrow" w:cs="Calibri"/>
                <w:b/>
                <w:bCs/>
                <w:sz w:val="20"/>
                <w:szCs w:val="20"/>
                <w:lang w:val="bg-BG"/>
              </w:rPr>
              <w:t>2023</w:t>
            </w:r>
          </w:p>
        </w:tc>
        <w:tc>
          <w:tcPr>
            <w:tcW w:w="466" w:type="pct"/>
            <w:tcBorders>
              <w:top w:val="nil"/>
              <w:left w:val="nil"/>
              <w:bottom w:val="single" w:sz="4" w:space="0" w:color="auto"/>
              <w:right w:val="single" w:sz="4" w:space="0" w:color="auto"/>
            </w:tcBorders>
            <w:shd w:val="clear" w:color="auto" w:fill="auto"/>
            <w:vAlign w:val="center"/>
            <w:hideMark/>
          </w:tcPr>
          <w:p w14:paraId="04DA5BF5" w14:textId="77777777" w:rsidR="007075D4" w:rsidRPr="007075D4" w:rsidRDefault="007075D4" w:rsidP="007075D4">
            <w:pPr>
              <w:jc w:val="center"/>
              <w:rPr>
                <w:rFonts w:ascii="Arial Narrow" w:hAnsi="Arial Narrow" w:cs="Calibri"/>
                <w:b/>
                <w:bCs/>
                <w:sz w:val="20"/>
                <w:szCs w:val="20"/>
                <w:lang w:val="bg-BG"/>
              </w:rPr>
            </w:pPr>
            <w:r w:rsidRPr="007075D4">
              <w:rPr>
                <w:rFonts w:ascii="Arial Narrow" w:hAnsi="Arial Narrow" w:cs="Calibri"/>
                <w:b/>
                <w:bCs/>
                <w:sz w:val="20"/>
                <w:szCs w:val="20"/>
                <w:lang w:val="bg-BG"/>
              </w:rPr>
              <w:t>2024</w:t>
            </w:r>
          </w:p>
        </w:tc>
        <w:tc>
          <w:tcPr>
            <w:tcW w:w="527" w:type="pct"/>
            <w:tcBorders>
              <w:top w:val="nil"/>
              <w:left w:val="nil"/>
              <w:bottom w:val="single" w:sz="4" w:space="0" w:color="auto"/>
              <w:right w:val="single" w:sz="4" w:space="0" w:color="auto"/>
            </w:tcBorders>
            <w:shd w:val="clear" w:color="auto" w:fill="auto"/>
            <w:vAlign w:val="center"/>
            <w:hideMark/>
          </w:tcPr>
          <w:p w14:paraId="4806804C" w14:textId="77777777" w:rsidR="007075D4" w:rsidRPr="007075D4" w:rsidRDefault="007075D4" w:rsidP="007075D4">
            <w:pPr>
              <w:jc w:val="center"/>
              <w:rPr>
                <w:rFonts w:ascii="Arial Narrow" w:hAnsi="Arial Narrow" w:cs="Calibri"/>
                <w:b/>
                <w:bCs/>
                <w:sz w:val="20"/>
                <w:szCs w:val="20"/>
                <w:lang w:val="bg-BG"/>
              </w:rPr>
            </w:pPr>
            <w:r w:rsidRPr="007075D4">
              <w:rPr>
                <w:rFonts w:ascii="Arial Narrow" w:hAnsi="Arial Narrow" w:cs="Calibri"/>
                <w:b/>
                <w:bCs/>
                <w:sz w:val="20"/>
                <w:szCs w:val="20"/>
                <w:lang w:val="bg-BG"/>
              </w:rPr>
              <w:t>Изм. 2024/2023</w:t>
            </w:r>
          </w:p>
        </w:tc>
        <w:tc>
          <w:tcPr>
            <w:tcW w:w="466" w:type="pct"/>
            <w:tcBorders>
              <w:top w:val="nil"/>
              <w:left w:val="nil"/>
              <w:bottom w:val="single" w:sz="4" w:space="0" w:color="auto"/>
              <w:right w:val="single" w:sz="4" w:space="0" w:color="auto"/>
            </w:tcBorders>
            <w:shd w:val="clear" w:color="auto" w:fill="auto"/>
            <w:vAlign w:val="center"/>
            <w:hideMark/>
          </w:tcPr>
          <w:p w14:paraId="3C74C996" w14:textId="77777777" w:rsidR="007075D4" w:rsidRPr="007075D4" w:rsidRDefault="007075D4" w:rsidP="007075D4">
            <w:pPr>
              <w:jc w:val="center"/>
              <w:rPr>
                <w:rFonts w:ascii="Arial Narrow" w:hAnsi="Arial Narrow" w:cs="Calibri"/>
                <w:b/>
                <w:bCs/>
                <w:sz w:val="20"/>
                <w:szCs w:val="20"/>
                <w:lang w:val="bg-BG"/>
              </w:rPr>
            </w:pPr>
            <w:r w:rsidRPr="007075D4">
              <w:rPr>
                <w:rFonts w:ascii="Arial Narrow" w:hAnsi="Arial Narrow" w:cs="Calibri"/>
                <w:b/>
                <w:bCs/>
                <w:sz w:val="20"/>
                <w:szCs w:val="20"/>
                <w:lang w:val="bg-BG"/>
              </w:rPr>
              <w:t>2023</w:t>
            </w:r>
          </w:p>
        </w:tc>
        <w:tc>
          <w:tcPr>
            <w:tcW w:w="466" w:type="pct"/>
            <w:tcBorders>
              <w:top w:val="nil"/>
              <w:left w:val="nil"/>
              <w:bottom w:val="single" w:sz="4" w:space="0" w:color="auto"/>
              <w:right w:val="single" w:sz="4" w:space="0" w:color="auto"/>
            </w:tcBorders>
            <w:shd w:val="clear" w:color="auto" w:fill="auto"/>
            <w:vAlign w:val="center"/>
            <w:hideMark/>
          </w:tcPr>
          <w:p w14:paraId="6766617F" w14:textId="77777777" w:rsidR="007075D4" w:rsidRPr="007075D4" w:rsidRDefault="007075D4" w:rsidP="007075D4">
            <w:pPr>
              <w:jc w:val="center"/>
              <w:rPr>
                <w:rFonts w:ascii="Arial Narrow" w:hAnsi="Arial Narrow" w:cs="Calibri"/>
                <w:b/>
                <w:bCs/>
                <w:sz w:val="20"/>
                <w:szCs w:val="20"/>
                <w:lang w:val="bg-BG"/>
              </w:rPr>
            </w:pPr>
            <w:r w:rsidRPr="007075D4">
              <w:rPr>
                <w:rFonts w:ascii="Arial Narrow" w:hAnsi="Arial Narrow" w:cs="Calibri"/>
                <w:b/>
                <w:bCs/>
                <w:sz w:val="20"/>
                <w:szCs w:val="20"/>
                <w:lang w:val="bg-BG"/>
              </w:rPr>
              <w:t>2024</w:t>
            </w:r>
          </w:p>
        </w:tc>
        <w:tc>
          <w:tcPr>
            <w:tcW w:w="527" w:type="pct"/>
            <w:tcBorders>
              <w:top w:val="nil"/>
              <w:left w:val="nil"/>
              <w:bottom w:val="single" w:sz="4" w:space="0" w:color="auto"/>
              <w:right w:val="single" w:sz="4" w:space="0" w:color="auto"/>
            </w:tcBorders>
            <w:shd w:val="clear" w:color="auto" w:fill="auto"/>
            <w:vAlign w:val="center"/>
            <w:hideMark/>
          </w:tcPr>
          <w:p w14:paraId="5DB73574" w14:textId="77777777" w:rsidR="007075D4" w:rsidRPr="007075D4" w:rsidRDefault="007075D4" w:rsidP="007075D4">
            <w:pPr>
              <w:jc w:val="center"/>
              <w:rPr>
                <w:rFonts w:ascii="Arial Narrow" w:hAnsi="Arial Narrow" w:cs="Calibri"/>
                <w:b/>
                <w:bCs/>
                <w:sz w:val="20"/>
                <w:szCs w:val="20"/>
                <w:lang w:val="bg-BG"/>
              </w:rPr>
            </w:pPr>
            <w:r w:rsidRPr="007075D4">
              <w:rPr>
                <w:rFonts w:ascii="Arial Narrow" w:hAnsi="Arial Narrow" w:cs="Calibri"/>
                <w:b/>
                <w:bCs/>
                <w:sz w:val="20"/>
                <w:szCs w:val="20"/>
                <w:lang w:val="bg-BG"/>
              </w:rPr>
              <w:t>Изм. 2024/2023</w:t>
            </w:r>
          </w:p>
        </w:tc>
        <w:tc>
          <w:tcPr>
            <w:tcW w:w="468" w:type="pct"/>
            <w:tcBorders>
              <w:top w:val="nil"/>
              <w:left w:val="nil"/>
              <w:bottom w:val="single" w:sz="4" w:space="0" w:color="auto"/>
              <w:right w:val="single" w:sz="4" w:space="0" w:color="auto"/>
            </w:tcBorders>
            <w:shd w:val="clear" w:color="auto" w:fill="auto"/>
            <w:vAlign w:val="center"/>
            <w:hideMark/>
          </w:tcPr>
          <w:p w14:paraId="588A87B1" w14:textId="77777777" w:rsidR="007075D4" w:rsidRPr="007075D4" w:rsidRDefault="007075D4" w:rsidP="007075D4">
            <w:pPr>
              <w:jc w:val="center"/>
              <w:rPr>
                <w:rFonts w:ascii="Arial Narrow" w:hAnsi="Arial Narrow" w:cs="Calibri"/>
                <w:b/>
                <w:bCs/>
                <w:sz w:val="20"/>
                <w:szCs w:val="20"/>
                <w:lang w:val="bg-BG"/>
              </w:rPr>
            </w:pPr>
            <w:r w:rsidRPr="007075D4">
              <w:rPr>
                <w:rFonts w:ascii="Arial Narrow" w:hAnsi="Arial Narrow" w:cs="Calibri"/>
                <w:b/>
                <w:bCs/>
                <w:sz w:val="20"/>
                <w:szCs w:val="20"/>
                <w:lang w:val="bg-BG"/>
              </w:rPr>
              <w:t>2023</w:t>
            </w:r>
          </w:p>
        </w:tc>
        <w:tc>
          <w:tcPr>
            <w:tcW w:w="468" w:type="pct"/>
            <w:tcBorders>
              <w:top w:val="nil"/>
              <w:left w:val="nil"/>
              <w:bottom w:val="single" w:sz="4" w:space="0" w:color="auto"/>
              <w:right w:val="single" w:sz="4" w:space="0" w:color="auto"/>
            </w:tcBorders>
            <w:shd w:val="clear" w:color="auto" w:fill="auto"/>
            <w:vAlign w:val="center"/>
            <w:hideMark/>
          </w:tcPr>
          <w:p w14:paraId="5584885C" w14:textId="77777777" w:rsidR="007075D4" w:rsidRPr="007075D4" w:rsidRDefault="007075D4" w:rsidP="007075D4">
            <w:pPr>
              <w:jc w:val="center"/>
              <w:rPr>
                <w:rFonts w:ascii="Arial Narrow" w:hAnsi="Arial Narrow" w:cs="Calibri"/>
                <w:b/>
                <w:bCs/>
                <w:sz w:val="20"/>
                <w:szCs w:val="20"/>
                <w:lang w:val="bg-BG"/>
              </w:rPr>
            </w:pPr>
            <w:r w:rsidRPr="007075D4">
              <w:rPr>
                <w:rFonts w:ascii="Arial Narrow" w:hAnsi="Arial Narrow" w:cs="Calibri"/>
                <w:b/>
                <w:bCs/>
                <w:sz w:val="20"/>
                <w:szCs w:val="20"/>
                <w:lang w:val="bg-BG"/>
              </w:rPr>
              <w:t>2024</w:t>
            </w:r>
          </w:p>
        </w:tc>
        <w:tc>
          <w:tcPr>
            <w:tcW w:w="507" w:type="pct"/>
            <w:tcBorders>
              <w:top w:val="nil"/>
              <w:left w:val="nil"/>
              <w:bottom w:val="single" w:sz="4" w:space="0" w:color="auto"/>
              <w:right w:val="single" w:sz="4" w:space="0" w:color="auto"/>
            </w:tcBorders>
            <w:shd w:val="clear" w:color="auto" w:fill="auto"/>
            <w:vAlign w:val="center"/>
            <w:hideMark/>
          </w:tcPr>
          <w:p w14:paraId="58702350" w14:textId="77777777" w:rsidR="007075D4" w:rsidRPr="007075D4" w:rsidRDefault="007075D4" w:rsidP="007075D4">
            <w:pPr>
              <w:jc w:val="center"/>
              <w:rPr>
                <w:rFonts w:ascii="Arial Narrow" w:hAnsi="Arial Narrow" w:cs="Calibri"/>
                <w:b/>
                <w:bCs/>
                <w:sz w:val="20"/>
                <w:szCs w:val="20"/>
                <w:lang w:val="bg-BG"/>
              </w:rPr>
            </w:pPr>
            <w:r w:rsidRPr="007075D4">
              <w:rPr>
                <w:rFonts w:ascii="Arial Narrow" w:hAnsi="Arial Narrow" w:cs="Calibri"/>
                <w:b/>
                <w:bCs/>
                <w:sz w:val="20"/>
                <w:szCs w:val="20"/>
                <w:lang w:val="bg-BG"/>
              </w:rPr>
              <w:t>Изм. 2024/2023</w:t>
            </w:r>
          </w:p>
        </w:tc>
      </w:tr>
      <w:tr w:rsidR="007075D4" w:rsidRPr="007075D4" w14:paraId="1B2872AC" w14:textId="77777777" w:rsidTr="009C6577">
        <w:trPr>
          <w:trHeight w:val="278"/>
        </w:trPr>
        <w:tc>
          <w:tcPr>
            <w:tcW w:w="637" w:type="pct"/>
            <w:tcBorders>
              <w:top w:val="nil"/>
              <w:left w:val="single" w:sz="4" w:space="0" w:color="auto"/>
              <w:bottom w:val="single" w:sz="4" w:space="0" w:color="auto"/>
              <w:right w:val="single" w:sz="4" w:space="0" w:color="auto"/>
            </w:tcBorders>
            <w:shd w:val="clear" w:color="auto" w:fill="auto"/>
            <w:vAlign w:val="center"/>
            <w:hideMark/>
          </w:tcPr>
          <w:p w14:paraId="7A65A261" w14:textId="77777777" w:rsidR="007075D4" w:rsidRPr="007075D4" w:rsidRDefault="007075D4" w:rsidP="007075D4">
            <w:pPr>
              <w:rPr>
                <w:rFonts w:ascii="Arial Narrow" w:hAnsi="Arial Narrow" w:cs="Calibri"/>
                <w:sz w:val="20"/>
                <w:szCs w:val="20"/>
                <w:lang w:val="bg-BG"/>
              </w:rPr>
            </w:pPr>
            <w:r w:rsidRPr="007075D4">
              <w:rPr>
                <w:rFonts w:ascii="Arial Narrow" w:hAnsi="Arial Narrow" w:cs="Calibri"/>
                <w:sz w:val="20"/>
                <w:szCs w:val="20"/>
                <w:lang w:val="bg-BG"/>
              </w:rPr>
              <w:t>Ябълки</w:t>
            </w:r>
          </w:p>
        </w:tc>
        <w:tc>
          <w:tcPr>
            <w:tcW w:w="467" w:type="pct"/>
            <w:tcBorders>
              <w:top w:val="nil"/>
              <w:left w:val="nil"/>
              <w:bottom w:val="single" w:sz="4" w:space="0" w:color="auto"/>
              <w:right w:val="single" w:sz="4" w:space="0" w:color="auto"/>
            </w:tcBorders>
            <w:shd w:val="clear" w:color="auto" w:fill="auto"/>
            <w:noWrap/>
            <w:vAlign w:val="center"/>
            <w:hideMark/>
          </w:tcPr>
          <w:p w14:paraId="28135D00" w14:textId="77777777" w:rsidR="007075D4" w:rsidRPr="007075D4" w:rsidRDefault="007075D4" w:rsidP="007075D4">
            <w:pPr>
              <w:jc w:val="right"/>
              <w:rPr>
                <w:rFonts w:ascii="Arial Narrow" w:hAnsi="Arial Narrow" w:cs="Calibri"/>
                <w:sz w:val="20"/>
                <w:szCs w:val="20"/>
                <w:lang w:val="bg-BG"/>
              </w:rPr>
            </w:pPr>
            <w:r w:rsidRPr="007075D4">
              <w:rPr>
                <w:rFonts w:ascii="Arial Narrow" w:hAnsi="Arial Narrow" w:cs="Calibri"/>
                <w:sz w:val="20"/>
                <w:szCs w:val="20"/>
                <w:lang w:val="bg-BG"/>
              </w:rPr>
              <w:t>3 562</w:t>
            </w:r>
          </w:p>
        </w:tc>
        <w:tc>
          <w:tcPr>
            <w:tcW w:w="466" w:type="pct"/>
            <w:tcBorders>
              <w:top w:val="nil"/>
              <w:left w:val="nil"/>
              <w:bottom w:val="single" w:sz="4" w:space="0" w:color="auto"/>
              <w:right w:val="single" w:sz="4" w:space="0" w:color="auto"/>
            </w:tcBorders>
            <w:shd w:val="clear" w:color="auto" w:fill="auto"/>
            <w:noWrap/>
            <w:vAlign w:val="center"/>
            <w:hideMark/>
          </w:tcPr>
          <w:p w14:paraId="09E382EC" w14:textId="77777777" w:rsidR="007075D4" w:rsidRPr="007075D4" w:rsidRDefault="007075D4" w:rsidP="007075D4">
            <w:pPr>
              <w:jc w:val="right"/>
              <w:rPr>
                <w:rFonts w:ascii="Arial Narrow" w:hAnsi="Arial Narrow" w:cs="Calibri"/>
                <w:sz w:val="20"/>
                <w:szCs w:val="20"/>
                <w:lang w:val="bg-BG"/>
              </w:rPr>
            </w:pPr>
            <w:r w:rsidRPr="007075D4">
              <w:rPr>
                <w:rFonts w:ascii="Arial Narrow" w:hAnsi="Arial Narrow" w:cs="Calibri"/>
                <w:sz w:val="20"/>
                <w:szCs w:val="20"/>
                <w:lang w:val="bg-BG"/>
              </w:rPr>
              <w:t>3 527</w:t>
            </w:r>
          </w:p>
        </w:tc>
        <w:tc>
          <w:tcPr>
            <w:tcW w:w="527" w:type="pct"/>
            <w:tcBorders>
              <w:top w:val="nil"/>
              <w:left w:val="nil"/>
              <w:bottom w:val="single" w:sz="4" w:space="0" w:color="auto"/>
              <w:right w:val="single" w:sz="4" w:space="0" w:color="auto"/>
            </w:tcBorders>
            <w:shd w:val="clear" w:color="auto" w:fill="auto"/>
            <w:noWrap/>
            <w:vAlign w:val="center"/>
            <w:hideMark/>
          </w:tcPr>
          <w:p w14:paraId="78225ADE" w14:textId="77777777" w:rsidR="007075D4" w:rsidRPr="007075D4" w:rsidRDefault="007075D4" w:rsidP="007075D4">
            <w:pPr>
              <w:jc w:val="right"/>
              <w:rPr>
                <w:rFonts w:ascii="Arial Narrow" w:hAnsi="Arial Narrow" w:cs="Calibri"/>
                <w:sz w:val="20"/>
                <w:szCs w:val="20"/>
                <w:lang w:val="bg-BG"/>
              </w:rPr>
            </w:pPr>
            <w:r w:rsidRPr="007075D4">
              <w:rPr>
                <w:rFonts w:ascii="Arial Narrow" w:hAnsi="Arial Narrow" w:cs="Calibri"/>
                <w:sz w:val="20"/>
                <w:szCs w:val="20"/>
                <w:lang w:val="bg-BG"/>
              </w:rPr>
              <w:t>-1,0%</w:t>
            </w:r>
          </w:p>
        </w:tc>
        <w:tc>
          <w:tcPr>
            <w:tcW w:w="466" w:type="pct"/>
            <w:tcBorders>
              <w:top w:val="nil"/>
              <w:left w:val="nil"/>
              <w:bottom w:val="single" w:sz="4" w:space="0" w:color="auto"/>
              <w:right w:val="single" w:sz="4" w:space="0" w:color="auto"/>
            </w:tcBorders>
            <w:shd w:val="clear" w:color="auto" w:fill="auto"/>
            <w:noWrap/>
            <w:vAlign w:val="center"/>
            <w:hideMark/>
          </w:tcPr>
          <w:p w14:paraId="5904ED42" w14:textId="77777777" w:rsidR="007075D4" w:rsidRPr="007075D4" w:rsidRDefault="007075D4" w:rsidP="007075D4">
            <w:pPr>
              <w:jc w:val="right"/>
              <w:rPr>
                <w:rFonts w:ascii="Arial Narrow" w:hAnsi="Arial Narrow" w:cs="Calibri"/>
                <w:sz w:val="20"/>
                <w:szCs w:val="20"/>
                <w:lang w:val="bg-BG"/>
              </w:rPr>
            </w:pPr>
            <w:r w:rsidRPr="007075D4">
              <w:rPr>
                <w:rFonts w:ascii="Arial Narrow" w:hAnsi="Arial Narrow" w:cs="Calibri"/>
                <w:sz w:val="20"/>
                <w:szCs w:val="20"/>
                <w:lang w:val="bg-BG"/>
              </w:rPr>
              <w:t>9 807</w:t>
            </w:r>
          </w:p>
        </w:tc>
        <w:tc>
          <w:tcPr>
            <w:tcW w:w="466" w:type="pct"/>
            <w:tcBorders>
              <w:top w:val="nil"/>
              <w:left w:val="nil"/>
              <w:bottom w:val="single" w:sz="4" w:space="0" w:color="auto"/>
              <w:right w:val="single" w:sz="4" w:space="0" w:color="auto"/>
            </w:tcBorders>
            <w:shd w:val="clear" w:color="auto" w:fill="auto"/>
            <w:noWrap/>
            <w:vAlign w:val="center"/>
            <w:hideMark/>
          </w:tcPr>
          <w:p w14:paraId="2D0EEB7F" w14:textId="77777777" w:rsidR="007075D4" w:rsidRPr="007075D4" w:rsidRDefault="007075D4" w:rsidP="007075D4">
            <w:pPr>
              <w:jc w:val="right"/>
              <w:rPr>
                <w:rFonts w:ascii="Arial Narrow" w:hAnsi="Arial Narrow" w:cs="Calibri"/>
                <w:sz w:val="20"/>
                <w:szCs w:val="20"/>
                <w:lang w:val="bg-BG"/>
              </w:rPr>
            </w:pPr>
            <w:r w:rsidRPr="007075D4">
              <w:rPr>
                <w:rFonts w:ascii="Arial Narrow" w:hAnsi="Arial Narrow" w:cs="Calibri"/>
                <w:sz w:val="20"/>
                <w:szCs w:val="20"/>
                <w:lang w:val="bg-BG"/>
              </w:rPr>
              <w:t>10 442</w:t>
            </w:r>
          </w:p>
        </w:tc>
        <w:tc>
          <w:tcPr>
            <w:tcW w:w="527" w:type="pct"/>
            <w:tcBorders>
              <w:top w:val="nil"/>
              <w:left w:val="nil"/>
              <w:bottom w:val="single" w:sz="4" w:space="0" w:color="auto"/>
              <w:right w:val="single" w:sz="4" w:space="0" w:color="auto"/>
            </w:tcBorders>
            <w:shd w:val="clear" w:color="auto" w:fill="auto"/>
            <w:noWrap/>
            <w:vAlign w:val="center"/>
            <w:hideMark/>
          </w:tcPr>
          <w:p w14:paraId="306D3DE8" w14:textId="77777777" w:rsidR="007075D4" w:rsidRPr="007075D4" w:rsidRDefault="007075D4" w:rsidP="007075D4">
            <w:pPr>
              <w:jc w:val="right"/>
              <w:rPr>
                <w:rFonts w:ascii="Arial Narrow" w:hAnsi="Arial Narrow" w:cs="Calibri"/>
                <w:sz w:val="20"/>
                <w:szCs w:val="20"/>
                <w:lang w:val="bg-BG"/>
              </w:rPr>
            </w:pPr>
            <w:r w:rsidRPr="007075D4">
              <w:rPr>
                <w:rFonts w:ascii="Arial Narrow" w:hAnsi="Arial Narrow" w:cs="Calibri"/>
                <w:sz w:val="20"/>
                <w:szCs w:val="20"/>
                <w:lang w:val="bg-BG"/>
              </w:rPr>
              <w:t>6,5%</w:t>
            </w:r>
          </w:p>
        </w:tc>
        <w:tc>
          <w:tcPr>
            <w:tcW w:w="468" w:type="pct"/>
            <w:tcBorders>
              <w:top w:val="nil"/>
              <w:left w:val="nil"/>
              <w:bottom w:val="single" w:sz="4" w:space="0" w:color="auto"/>
              <w:right w:val="single" w:sz="4" w:space="0" w:color="auto"/>
            </w:tcBorders>
            <w:shd w:val="clear" w:color="auto" w:fill="auto"/>
            <w:noWrap/>
            <w:vAlign w:val="center"/>
            <w:hideMark/>
          </w:tcPr>
          <w:p w14:paraId="69ECADCB" w14:textId="77777777" w:rsidR="007075D4" w:rsidRPr="007075D4" w:rsidRDefault="007075D4" w:rsidP="007075D4">
            <w:pPr>
              <w:jc w:val="right"/>
              <w:rPr>
                <w:rFonts w:ascii="Arial Narrow" w:hAnsi="Arial Narrow" w:cs="Calibri"/>
                <w:sz w:val="20"/>
                <w:szCs w:val="20"/>
                <w:lang w:val="bg-BG"/>
              </w:rPr>
            </w:pPr>
            <w:r w:rsidRPr="007075D4">
              <w:rPr>
                <w:rFonts w:ascii="Arial Narrow" w:hAnsi="Arial Narrow" w:cs="Calibri"/>
                <w:sz w:val="20"/>
                <w:szCs w:val="20"/>
                <w:lang w:val="bg-BG"/>
              </w:rPr>
              <w:t>34 933</w:t>
            </w:r>
          </w:p>
        </w:tc>
        <w:tc>
          <w:tcPr>
            <w:tcW w:w="468" w:type="pct"/>
            <w:tcBorders>
              <w:top w:val="nil"/>
              <w:left w:val="nil"/>
              <w:bottom w:val="single" w:sz="4" w:space="0" w:color="auto"/>
              <w:right w:val="single" w:sz="4" w:space="0" w:color="auto"/>
            </w:tcBorders>
            <w:shd w:val="clear" w:color="auto" w:fill="auto"/>
            <w:noWrap/>
            <w:vAlign w:val="center"/>
            <w:hideMark/>
          </w:tcPr>
          <w:p w14:paraId="37D42DA6" w14:textId="77777777" w:rsidR="007075D4" w:rsidRPr="007075D4" w:rsidRDefault="007075D4" w:rsidP="007075D4">
            <w:pPr>
              <w:jc w:val="right"/>
              <w:rPr>
                <w:rFonts w:ascii="Arial Narrow" w:hAnsi="Arial Narrow" w:cs="Calibri"/>
                <w:sz w:val="20"/>
                <w:szCs w:val="20"/>
                <w:lang w:val="bg-BG"/>
              </w:rPr>
            </w:pPr>
            <w:r w:rsidRPr="007075D4">
              <w:rPr>
                <w:rFonts w:ascii="Arial Narrow" w:hAnsi="Arial Narrow" w:cs="Calibri"/>
                <w:sz w:val="20"/>
                <w:szCs w:val="20"/>
                <w:lang w:val="bg-BG"/>
              </w:rPr>
              <w:t>36 830</w:t>
            </w:r>
          </w:p>
        </w:tc>
        <w:tc>
          <w:tcPr>
            <w:tcW w:w="507" w:type="pct"/>
            <w:tcBorders>
              <w:top w:val="nil"/>
              <w:left w:val="nil"/>
              <w:bottom w:val="single" w:sz="4" w:space="0" w:color="auto"/>
              <w:right w:val="single" w:sz="4" w:space="0" w:color="auto"/>
            </w:tcBorders>
            <w:shd w:val="clear" w:color="auto" w:fill="auto"/>
            <w:noWrap/>
            <w:vAlign w:val="center"/>
            <w:hideMark/>
          </w:tcPr>
          <w:p w14:paraId="61E7F82B" w14:textId="77777777" w:rsidR="007075D4" w:rsidRPr="007075D4" w:rsidRDefault="007075D4" w:rsidP="007075D4">
            <w:pPr>
              <w:jc w:val="right"/>
              <w:rPr>
                <w:rFonts w:ascii="Arial Narrow" w:hAnsi="Arial Narrow" w:cs="Calibri"/>
                <w:sz w:val="20"/>
                <w:szCs w:val="20"/>
                <w:lang w:val="bg-BG"/>
              </w:rPr>
            </w:pPr>
            <w:r w:rsidRPr="007075D4">
              <w:rPr>
                <w:rFonts w:ascii="Arial Narrow" w:hAnsi="Arial Narrow" w:cs="Calibri"/>
                <w:sz w:val="20"/>
                <w:szCs w:val="20"/>
                <w:lang w:val="bg-BG"/>
              </w:rPr>
              <w:t>5,4%</w:t>
            </w:r>
          </w:p>
        </w:tc>
      </w:tr>
      <w:tr w:rsidR="007075D4" w:rsidRPr="007075D4" w14:paraId="00497DBD" w14:textId="77777777" w:rsidTr="009C6577">
        <w:trPr>
          <w:trHeight w:val="278"/>
        </w:trPr>
        <w:tc>
          <w:tcPr>
            <w:tcW w:w="637" w:type="pct"/>
            <w:tcBorders>
              <w:top w:val="nil"/>
              <w:left w:val="single" w:sz="4" w:space="0" w:color="auto"/>
              <w:bottom w:val="single" w:sz="4" w:space="0" w:color="auto"/>
              <w:right w:val="single" w:sz="4" w:space="0" w:color="auto"/>
            </w:tcBorders>
            <w:shd w:val="clear" w:color="auto" w:fill="auto"/>
            <w:vAlign w:val="center"/>
            <w:hideMark/>
          </w:tcPr>
          <w:p w14:paraId="79C3FD48" w14:textId="77777777" w:rsidR="007075D4" w:rsidRPr="007075D4" w:rsidRDefault="007075D4" w:rsidP="007075D4">
            <w:pPr>
              <w:rPr>
                <w:rFonts w:ascii="Arial Narrow" w:hAnsi="Arial Narrow" w:cs="Calibri"/>
                <w:sz w:val="20"/>
                <w:szCs w:val="20"/>
                <w:lang w:val="bg-BG"/>
              </w:rPr>
            </w:pPr>
            <w:r w:rsidRPr="007075D4">
              <w:rPr>
                <w:rFonts w:ascii="Arial Narrow" w:hAnsi="Arial Narrow" w:cs="Calibri"/>
                <w:sz w:val="20"/>
                <w:szCs w:val="20"/>
                <w:lang w:val="bg-BG"/>
              </w:rPr>
              <w:t xml:space="preserve">Круши </w:t>
            </w:r>
          </w:p>
        </w:tc>
        <w:tc>
          <w:tcPr>
            <w:tcW w:w="467" w:type="pct"/>
            <w:tcBorders>
              <w:top w:val="nil"/>
              <w:left w:val="nil"/>
              <w:bottom w:val="single" w:sz="4" w:space="0" w:color="auto"/>
              <w:right w:val="single" w:sz="4" w:space="0" w:color="auto"/>
            </w:tcBorders>
            <w:shd w:val="clear" w:color="auto" w:fill="auto"/>
            <w:noWrap/>
            <w:vAlign w:val="center"/>
            <w:hideMark/>
          </w:tcPr>
          <w:p w14:paraId="6ED8BA53" w14:textId="77777777" w:rsidR="007075D4" w:rsidRPr="007075D4" w:rsidRDefault="007075D4" w:rsidP="007075D4">
            <w:pPr>
              <w:jc w:val="right"/>
              <w:rPr>
                <w:rFonts w:ascii="Arial Narrow" w:hAnsi="Arial Narrow" w:cs="Calibri"/>
                <w:sz w:val="20"/>
                <w:szCs w:val="20"/>
                <w:lang w:val="bg-BG"/>
              </w:rPr>
            </w:pPr>
            <w:r w:rsidRPr="007075D4">
              <w:rPr>
                <w:rFonts w:ascii="Arial Narrow" w:hAnsi="Arial Narrow" w:cs="Calibri"/>
                <w:sz w:val="20"/>
                <w:szCs w:val="20"/>
                <w:lang w:val="bg-BG"/>
              </w:rPr>
              <w:t>468</w:t>
            </w:r>
          </w:p>
        </w:tc>
        <w:tc>
          <w:tcPr>
            <w:tcW w:w="466" w:type="pct"/>
            <w:tcBorders>
              <w:top w:val="nil"/>
              <w:left w:val="nil"/>
              <w:bottom w:val="single" w:sz="4" w:space="0" w:color="auto"/>
              <w:right w:val="single" w:sz="4" w:space="0" w:color="auto"/>
            </w:tcBorders>
            <w:shd w:val="clear" w:color="auto" w:fill="auto"/>
            <w:noWrap/>
            <w:vAlign w:val="center"/>
            <w:hideMark/>
          </w:tcPr>
          <w:p w14:paraId="0B70F612" w14:textId="77777777" w:rsidR="007075D4" w:rsidRPr="007075D4" w:rsidRDefault="007075D4" w:rsidP="007075D4">
            <w:pPr>
              <w:jc w:val="right"/>
              <w:rPr>
                <w:rFonts w:ascii="Arial Narrow" w:hAnsi="Arial Narrow" w:cs="Calibri"/>
                <w:sz w:val="20"/>
                <w:szCs w:val="20"/>
                <w:lang w:val="bg-BG"/>
              </w:rPr>
            </w:pPr>
            <w:r w:rsidRPr="007075D4">
              <w:rPr>
                <w:rFonts w:ascii="Arial Narrow" w:hAnsi="Arial Narrow" w:cs="Calibri"/>
                <w:sz w:val="20"/>
                <w:szCs w:val="20"/>
                <w:lang w:val="bg-BG"/>
              </w:rPr>
              <w:t>551</w:t>
            </w:r>
          </w:p>
        </w:tc>
        <w:tc>
          <w:tcPr>
            <w:tcW w:w="527" w:type="pct"/>
            <w:tcBorders>
              <w:top w:val="nil"/>
              <w:left w:val="nil"/>
              <w:bottom w:val="single" w:sz="4" w:space="0" w:color="auto"/>
              <w:right w:val="single" w:sz="4" w:space="0" w:color="auto"/>
            </w:tcBorders>
            <w:shd w:val="clear" w:color="auto" w:fill="auto"/>
            <w:noWrap/>
            <w:vAlign w:val="center"/>
            <w:hideMark/>
          </w:tcPr>
          <w:p w14:paraId="079CC405" w14:textId="77777777" w:rsidR="007075D4" w:rsidRPr="007075D4" w:rsidRDefault="007075D4" w:rsidP="007075D4">
            <w:pPr>
              <w:jc w:val="right"/>
              <w:rPr>
                <w:rFonts w:ascii="Arial Narrow" w:hAnsi="Arial Narrow" w:cs="Calibri"/>
                <w:sz w:val="20"/>
                <w:szCs w:val="20"/>
                <w:lang w:val="bg-BG"/>
              </w:rPr>
            </w:pPr>
            <w:r w:rsidRPr="007075D4">
              <w:rPr>
                <w:rFonts w:ascii="Arial Narrow" w:hAnsi="Arial Narrow" w:cs="Calibri"/>
                <w:sz w:val="20"/>
                <w:szCs w:val="20"/>
                <w:lang w:val="bg-BG"/>
              </w:rPr>
              <w:t>17,7%</w:t>
            </w:r>
          </w:p>
        </w:tc>
        <w:tc>
          <w:tcPr>
            <w:tcW w:w="466" w:type="pct"/>
            <w:tcBorders>
              <w:top w:val="nil"/>
              <w:left w:val="nil"/>
              <w:bottom w:val="single" w:sz="4" w:space="0" w:color="auto"/>
              <w:right w:val="single" w:sz="4" w:space="0" w:color="auto"/>
            </w:tcBorders>
            <w:shd w:val="clear" w:color="auto" w:fill="auto"/>
            <w:noWrap/>
            <w:vAlign w:val="center"/>
            <w:hideMark/>
          </w:tcPr>
          <w:p w14:paraId="24189F21" w14:textId="77777777" w:rsidR="007075D4" w:rsidRPr="007075D4" w:rsidRDefault="007075D4" w:rsidP="007075D4">
            <w:pPr>
              <w:jc w:val="right"/>
              <w:rPr>
                <w:rFonts w:ascii="Arial Narrow" w:hAnsi="Arial Narrow" w:cs="Calibri"/>
                <w:sz w:val="20"/>
                <w:szCs w:val="20"/>
                <w:lang w:val="bg-BG"/>
              </w:rPr>
            </w:pPr>
            <w:r w:rsidRPr="007075D4">
              <w:rPr>
                <w:rFonts w:ascii="Arial Narrow" w:hAnsi="Arial Narrow" w:cs="Calibri"/>
                <w:sz w:val="20"/>
                <w:szCs w:val="20"/>
                <w:lang w:val="bg-BG"/>
              </w:rPr>
              <w:t>5 365</w:t>
            </w:r>
          </w:p>
        </w:tc>
        <w:tc>
          <w:tcPr>
            <w:tcW w:w="466" w:type="pct"/>
            <w:tcBorders>
              <w:top w:val="nil"/>
              <w:left w:val="nil"/>
              <w:bottom w:val="single" w:sz="4" w:space="0" w:color="auto"/>
              <w:right w:val="single" w:sz="4" w:space="0" w:color="auto"/>
            </w:tcBorders>
            <w:shd w:val="clear" w:color="auto" w:fill="auto"/>
            <w:noWrap/>
            <w:vAlign w:val="center"/>
            <w:hideMark/>
          </w:tcPr>
          <w:p w14:paraId="5F9D6803" w14:textId="77777777" w:rsidR="007075D4" w:rsidRPr="007075D4" w:rsidRDefault="007075D4" w:rsidP="007075D4">
            <w:pPr>
              <w:jc w:val="right"/>
              <w:rPr>
                <w:rFonts w:ascii="Arial Narrow" w:hAnsi="Arial Narrow" w:cs="Calibri"/>
                <w:sz w:val="20"/>
                <w:szCs w:val="20"/>
                <w:lang w:val="bg-BG"/>
              </w:rPr>
            </w:pPr>
            <w:r w:rsidRPr="007075D4">
              <w:rPr>
                <w:rFonts w:ascii="Arial Narrow" w:hAnsi="Arial Narrow" w:cs="Calibri"/>
                <w:sz w:val="20"/>
                <w:szCs w:val="20"/>
                <w:lang w:val="bg-BG"/>
              </w:rPr>
              <w:t>5 290</w:t>
            </w:r>
          </w:p>
        </w:tc>
        <w:tc>
          <w:tcPr>
            <w:tcW w:w="527" w:type="pct"/>
            <w:tcBorders>
              <w:top w:val="nil"/>
              <w:left w:val="nil"/>
              <w:bottom w:val="single" w:sz="4" w:space="0" w:color="auto"/>
              <w:right w:val="single" w:sz="4" w:space="0" w:color="auto"/>
            </w:tcBorders>
            <w:shd w:val="clear" w:color="auto" w:fill="auto"/>
            <w:noWrap/>
            <w:vAlign w:val="center"/>
            <w:hideMark/>
          </w:tcPr>
          <w:p w14:paraId="34AC2FAE" w14:textId="77777777" w:rsidR="007075D4" w:rsidRPr="007075D4" w:rsidRDefault="007075D4" w:rsidP="007075D4">
            <w:pPr>
              <w:jc w:val="right"/>
              <w:rPr>
                <w:rFonts w:ascii="Arial Narrow" w:hAnsi="Arial Narrow" w:cs="Calibri"/>
                <w:sz w:val="20"/>
                <w:szCs w:val="20"/>
                <w:lang w:val="bg-BG"/>
              </w:rPr>
            </w:pPr>
            <w:r w:rsidRPr="007075D4">
              <w:rPr>
                <w:rFonts w:ascii="Arial Narrow" w:hAnsi="Arial Narrow" w:cs="Calibri"/>
                <w:sz w:val="20"/>
                <w:szCs w:val="20"/>
                <w:lang w:val="bg-BG"/>
              </w:rPr>
              <w:t>-1,4%</w:t>
            </w:r>
          </w:p>
        </w:tc>
        <w:tc>
          <w:tcPr>
            <w:tcW w:w="468" w:type="pct"/>
            <w:tcBorders>
              <w:top w:val="nil"/>
              <w:left w:val="nil"/>
              <w:bottom w:val="single" w:sz="4" w:space="0" w:color="auto"/>
              <w:right w:val="single" w:sz="4" w:space="0" w:color="auto"/>
            </w:tcBorders>
            <w:shd w:val="clear" w:color="auto" w:fill="auto"/>
            <w:noWrap/>
            <w:vAlign w:val="center"/>
            <w:hideMark/>
          </w:tcPr>
          <w:p w14:paraId="4CADF1F7" w14:textId="77777777" w:rsidR="007075D4" w:rsidRPr="007075D4" w:rsidRDefault="007075D4" w:rsidP="007075D4">
            <w:pPr>
              <w:jc w:val="right"/>
              <w:rPr>
                <w:rFonts w:ascii="Arial Narrow" w:hAnsi="Arial Narrow" w:cs="Calibri"/>
                <w:sz w:val="20"/>
                <w:szCs w:val="20"/>
                <w:lang w:val="bg-BG"/>
              </w:rPr>
            </w:pPr>
            <w:r w:rsidRPr="007075D4">
              <w:rPr>
                <w:rFonts w:ascii="Arial Narrow" w:hAnsi="Arial Narrow" w:cs="Calibri"/>
                <w:sz w:val="20"/>
                <w:szCs w:val="20"/>
                <w:lang w:val="bg-BG"/>
              </w:rPr>
              <w:t>2 511</w:t>
            </w:r>
          </w:p>
        </w:tc>
        <w:tc>
          <w:tcPr>
            <w:tcW w:w="468" w:type="pct"/>
            <w:tcBorders>
              <w:top w:val="nil"/>
              <w:left w:val="nil"/>
              <w:bottom w:val="single" w:sz="4" w:space="0" w:color="auto"/>
              <w:right w:val="single" w:sz="4" w:space="0" w:color="auto"/>
            </w:tcBorders>
            <w:shd w:val="clear" w:color="auto" w:fill="auto"/>
            <w:noWrap/>
            <w:vAlign w:val="center"/>
            <w:hideMark/>
          </w:tcPr>
          <w:p w14:paraId="48285CB5" w14:textId="77777777" w:rsidR="007075D4" w:rsidRPr="007075D4" w:rsidRDefault="007075D4" w:rsidP="007075D4">
            <w:pPr>
              <w:jc w:val="right"/>
              <w:rPr>
                <w:rFonts w:ascii="Arial Narrow" w:hAnsi="Arial Narrow" w:cs="Calibri"/>
                <w:sz w:val="20"/>
                <w:szCs w:val="20"/>
                <w:lang w:val="bg-BG"/>
              </w:rPr>
            </w:pPr>
            <w:r w:rsidRPr="007075D4">
              <w:rPr>
                <w:rFonts w:ascii="Arial Narrow" w:hAnsi="Arial Narrow" w:cs="Calibri"/>
                <w:sz w:val="20"/>
                <w:szCs w:val="20"/>
                <w:lang w:val="bg-BG"/>
              </w:rPr>
              <w:t>2 915</w:t>
            </w:r>
          </w:p>
        </w:tc>
        <w:tc>
          <w:tcPr>
            <w:tcW w:w="507" w:type="pct"/>
            <w:tcBorders>
              <w:top w:val="nil"/>
              <w:left w:val="nil"/>
              <w:bottom w:val="single" w:sz="4" w:space="0" w:color="auto"/>
              <w:right w:val="single" w:sz="4" w:space="0" w:color="auto"/>
            </w:tcBorders>
            <w:shd w:val="clear" w:color="auto" w:fill="auto"/>
            <w:noWrap/>
            <w:vAlign w:val="center"/>
            <w:hideMark/>
          </w:tcPr>
          <w:p w14:paraId="4F796CA3" w14:textId="77777777" w:rsidR="007075D4" w:rsidRPr="007075D4" w:rsidRDefault="007075D4" w:rsidP="007075D4">
            <w:pPr>
              <w:jc w:val="right"/>
              <w:rPr>
                <w:rFonts w:ascii="Arial Narrow" w:hAnsi="Arial Narrow" w:cs="Calibri"/>
                <w:sz w:val="20"/>
                <w:szCs w:val="20"/>
                <w:lang w:val="bg-BG"/>
              </w:rPr>
            </w:pPr>
            <w:r w:rsidRPr="007075D4">
              <w:rPr>
                <w:rFonts w:ascii="Arial Narrow" w:hAnsi="Arial Narrow" w:cs="Calibri"/>
                <w:sz w:val="20"/>
                <w:szCs w:val="20"/>
                <w:lang w:val="bg-BG"/>
              </w:rPr>
              <w:t>16,1%</w:t>
            </w:r>
          </w:p>
        </w:tc>
      </w:tr>
      <w:tr w:rsidR="007075D4" w:rsidRPr="007075D4" w14:paraId="4B53403A" w14:textId="77777777" w:rsidTr="009C6577">
        <w:trPr>
          <w:trHeight w:val="529"/>
        </w:trPr>
        <w:tc>
          <w:tcPr>
            <w:tcW w:w="637" w:type="pct"/>
            <w:tcBorders>
              <w:top w:val="nil"/>
              <w:left w:val="single" w:sz="4" w:space="0" w:color="auto"/>
              <w:bottom w:val="single" w:sz="4" w:space="0" w:color="auto"/>
              <w:right w:val="single" w:sz="4" w:space="0" w:color="auto"/>
            </w:tcBorders>
            <w:shd w:val="clear" w:color="auto" w:fill="auto"/>
            <w:vAlign w:val="center"/>
            <w:hideMark/>
          </w:tcPr>
          <w:p w14:paraId="1E696AF1" w14:textId="77777777" w:rsidR="007075D4" w:rsidRPr="007075D4" w:rsidRDefault="007075D4" w:rsidP="007075D4">
            <w:pPr>
              <w:rPr>
                <w:rFonts w:ascii="Arial Narrow" w:hAnsi="Arial Narrow" w:cs="Calibri"/>
                <w:sz w:val="20"/>
                <w:szCs w:val="20"/>
                <w:lang w:val="bg-BG"/>
              </w:rPr>
            </w:pPr>
            <w:r w:rsidRPr="007075D4">
              <w:rPr>
                <w:rFonts w:ascii="Arial Narrow" w:hAnsi="Arial Narrow" w:cs="Calibri"/>
                <w:sz w:val="20"/>
                <w:szCs w:val="20"/>
                <w:lang w:val="bg-BG"/>
              </w:rPr>
              <w:t>Праскови и нектарини</w:t>
            </w:r>
          </w:p>
        </w:tc>
        <w:tc>
          <w:tcPr>
            <w:tcW w:w="467" w:type="pct"/>
            <w:tcBorders>
              <w:top w:val="nil"/>
              <w:left w:val="nil"/>
              <w:bottom w:val="single" w:sz="4" w:space="0" w:color="auto"/>
              <w:right w:val="single" w:sz="4" w:space="0" w:color="auto"/>
            </w:tcBorders>
            <w:shd w:val="clear" w:color="auto" w:fill="auto"/>
            <w:noWrap/>
            <w:vAlign w:val="center"/>
            <w:hideMark/>
          </w:tcPr>
          <w:p w14:paraId="4D386AA1" w14:textId="77777777" w:rsidR="007075D4" w:rsidRPr="007075D4" w:rsidRDefault="007075D4" w:rsidP="007075D4">
            <w:pPr>
              <w:jc w:val="right"/>
              <w:rPr>
                <w:rFonts w:ascii="Arial Narrow" w:hAnsi="Arial Narrow" w:cs="Calibri"/>
                <w:sz w:val="20"/>
                <w:szCs w:val="20"/>
                <w:lang w:val="bg-BG"/>
              </w:rPr>
            </w:pPr>
            <w:r w:rsidRPr="007075D4">
              <w:rPr>
                <w:rFonts w:ascii="Arial Narrow" w:hAnsi="Arial Narrow" w:cs="Calibri"/>
                <w:sz w:val="20"/>
                <w:szCs w:val="20"/>
                <w:lang w:val="bg-BG"/>
              </w:rPr>
              <w:t>1 483</w:t>
            </w:r>
          </w:p>
        </w:tc>
        <w:tc>
          <w:tcPr>
            <w:tcW w:w="466" w:type="pct"/>
            <w:tcBorders>
              <w:top w:val="nil"/>
              <w:left w:val="nil"/>
              <w:bottom w:val="single" w:sz="4" w:space="0" w:color="auto"/>
              <w:right w:val="single" w:sz="4" w:space="0" w:color="auto"/>
            </w:tcBorders>
            <w:shd w:val="clear" w:color="auto" w:fill="auto"/>
            <w:noWrap/>
            <w:vAlign w:val="center"/>
            <w:hideMark/>
          </w:tcPr>
          <w:p w14:paraId="085F8ADE" w14:textId="77777777" w:rsidR="007075D4" w:rsidRPr="007075D4" w:rsidRDefault="007075D4" w:rsidP="007075D4">
            <w:pPr>
              <w:jc w:val="right"/>
              <w:rPr>
                <w:rFonts w:ascii="Arial Narrow" w:hAnsi="Arial Narrow" w:cs="Calibri"/>
                <w:sz w:val="20"/>
                <w:szCs w:val="20"/>
                <w:lang w:val="bg-BG"/>
              </w:rPr>
            </w:pPr>
            <w:r w:rsidRPr="007075D4">
              <w:rPr>
                <w:rFonts w:ascii="Arial Narrow" w:hAnsi="Arial Narrow" w:cs="Calibri"/>
                <w:sz w:val="20"/>
                <w:szCs w:val="20"/>
                <w:lang w:val="bg-BG"/>
              </w:rPr>
              <w:t>2 322</w:t>
            </w:r>
          </w:p>
        </w:tc>
        <w:tc>
          <w:tcPr>
            <w:tcW w:w="527" w:type="pct"/>
            <w:tcBorders>
              <w:top w:val="nil"/>
              <w:left w:val="nil"/>
              <w:bottom w:val="single" w:sz="4" w:space="0" w:color="auto"/>
              <w:right w:val="single" w:sz="4" w:space="0" w:color="auto"/>
            </w:tcBorders>
            <w:shd w:val="clear" w:color="auto" w:fill="auto"/>
            <w:noWrap/>
            <w:vAlign w:val="center"/>
            <w:hideMark/>
          </w:tcPr>
          <w:p w14:paraId="545F1B19" w14:textId="77777777" w:rsidR="007075D4" w:rsidRPr="007075D4" w:rsidRDefault="007075D4" w:rsidP="007075D4">
            <w:pPr>
              <w:jc w:val="right"/>
              <w:rPr>
                <w:rFonts w:ascii="Arial Narrow" w:hAnsi="Arial Narrow" w:cs="Calibri"/>
                <w:sz w:val="20"/>
                <w:szCs w:val="20"/>
                <w:lang w:val="bg-BG"/>
              </w:rPr>
            </w:pPr>
            <w:r w:rsidRPr="007075D4">
              <w:rPr>
                <w:rFonts w:ascii="Arial Narrow" w:hAnsi="Arial Narrow" w:cs="Calibri"/>
                <w:sz w:val="20"/>
                <w:szCs w:val="20"/>
                <w:lang w:val="bg-BG"/>
              </w:rPr>
              <w:t>56,6%</w:t>
            </w:r>
          </w:p>
        </w:tc>
        <w:tc>
          <w:tcPr>
            <w:tcW w:w="466" w:type="pct"/>
            <w:tcBorders>
              <w:top w:val="nil"/>
              <w:left w:val="nil"/>
              <w:bottom w:val="single" w:sz="4" w:space="0" w:color="auto"/>
              <w:right w:val="single" w:sz="4" w:space="0" w:color="auto"/>
            </w:tcBorders>
            <w:shd w:val="clear" w:color="auto" w:fill="auto"/>
            <w:noWrap/>
            <w:vAlign w:val="center"/>
            <w:hideMark/>
          </w:tcPr>
          <w:p w14:paraId="5F9F6D9D" w14:textId="77777777" w:rsidR="007075D4" w:rsidRPr="007075D4" w:rsidRDefault="007075D4" w:rsidP="007075D4">
            <w:pPr>
              <w:jc w:val="right"/>
              <w:rPr>
                <w:rFonts w:ascii="Arial Narrow" w:hAnsi="Arial Narrow" w:cs="Calibri"/>
                <w:sz w:val="20"/>
                <w:szCs w:val="20"/>
                <w:lang w:val="bg-BG"/>
              </w:rPr>
            </w:pPr>
            <w:r w:rsidRPr="007075D4">
              <w:rPr>
                <w:rFonts w:ascii="Arial Narrow" w:hAnsi="Arial Narrow" w:cs="Calibri"/>
                <w:sz w:val="20"/>
                <w:szCs w:val="20"/>
                <w:lang w:val="bg-BG"/>
              </w:rPr>
              <w:t>7 282</w:t>
            </w:r>
          </w:p>
        </w:tc>
        <w:tc>
          <w:tcPr>
            <w:tcW w:w="466" w:type="pct"/>
            <w:tcBorders>
              <w:top w:val="nil"/>
              <w:left w:val="nil"/>
              <w:bottom w:val="single" w:sz="4" w:space="0" w:color="auto"/>
              <w:right w:val="single" w:sz="4" w:space="0" w:color="auto"/>
            </w:tcBorders>
            <w:shd w:val="clear" w:color="auto" w:fill="auto"/>
            <w:noWrap/>
            <w:vAlign w:val="center"/>
            <w:hideMark/>
          </w:tcPr>
          <w:p w14:paraId="023D1095" w14:textId="77777777" w:rsidR="007075D4" w:rsidRPr="007075D4" w:rsidRDefault="007075D4" w:rsidP="007075D4">
            <w:pPr>
              <w:jc w:val="right"/>
              <w:rPr>
                <w:rFonts w:ascii="Arial Narrow" w:hAnsi="Arial Narrow" w:cs="Calibri"/>
                <w:sz w:val="20"/>
                <w:szCs w:val="20"/>
                <w:lang w:val="bg-BG"/>
              </w:rPr>
            </w:pPr>
            <w:r w:rsidRPr="007075D4">
              <w:rPr>
                <w:rFonts w:ascii="Arial Narrow" w:hAnsi="Arial Narrow" w:cs="Calibri"/>
                <w:sz w:val="20"/>
                <w:szCs w:val="20"/>
                <w:lang w:val="bg-BG"/>
              </w:rPr>
              <w:t>7 554</w:t>
            </w:r>
          </w:p>
        </w:tc>
        <w:tc>
          <w:tcPr>
            <w:tcW w:w="527" w:type="pct"/>
            <w:tcBorders>
              <w:top w:val="nil"/>
              <w:left w:val="nil"/>
              <w:bottom w:val="single" w:sz="4" w:space="0" w:color="auto"/>
              <w:right w:val="single" w:sz="4" w:space="0" w:color="auto"/>
            </w:tcBorders>
            <w:shd w:val="clear" w:color="auto" w:fill="auto"/>
            <w:noWrap/>
            <w:vAlign w:val="center"/>
            <w:hideMark/>
          </w:tcPr>
          <w:p w14:paraId="7BB1D0DC" w14:textId="77777777" w:rsidR="007075D4" w:rsidRPr="007075D4" w:rsidRDefault="007075D4" w:rsidP="007075D4">
            <w:pPr>
              <w:jc w:val="right"/>
              <w:rPr>
                <w:rFonts w:ascii="Arial Narrow" w:hAnsi="Arial Narrow" w:cs="Calibri"/>
                <w:sz w:val="20"/>
                <w:szCs w:val="20"/>
                <w:lang w:val="bg-BG"/>
              </w:rPr>
            </w:pPr>
            <w:r w:rsidRPr="007075D4">
              <w:rPr>
                <w:rFonts w:ascii="Arial Narrow" w:hAnsi="Arial Narrow" w:cs="Calibri"/>
                <w:sz w:val="20"/>
                <w:szCs w:val="20"/>
                <w:lang w:val="bg-BG"/>
              </w:rPr>
              <w:t>3,7%</w:t>
            </w:r>
          </w:p>
        </w:tc>
        <w:tc>
          <w:tcPr>
            <w:tcW w:w="468" w:type="pct"/>
            <w:tcBorders>
              <w:top w:val="nil"/>
              <w:left w:val="nil"/>
              <w:bottom w:val="single" w:sz="4" w:space="0" w:color="auto"/>
              <w:right w:val="single" w:sz="4" w:space="0" w:color="auto"/>
            </w:tcBorders>
            <w:shd w:val="clear" w:color="auto" w:fill="auto"/>
            <w:noWrap/>
            <w:vAlign w:val="center"/>
            <w:hideMark/>
          </w:tcPr>
          <w:p w14:paraId="6FA6729F" w14:textId="77777777" w:rsidR="007075D4" w:rsidRPr="007075D4" w:rsidRDefault="007075D4" w:rsidP="007075D4">
            <w:pPr>
              <w:jc w:val="right"/>
              <w:rPr>
                <w:rFonts w:ascii="Arial Narrow" w:hAnsi="Arial Narrow" w:cs="Calibri"/>
                <w:sz w:val="20"/>
                <w:szCs w:val="20"/>
                <w:lang w:val="bg-BG"/>
              </w:rPr>
            </w:pPr>
            <w:r w:rsidRPr="007075D4">
              <w:rPr>
                <w:rFonts w:ascii="Arial Narrow" w:hAnsi="Arial Narrow" w:cs="Calibri"/>
                <w:sz w:val="20"/>
                <w:szCs w:val="20"/>
                <w:lang w:val="bg-BG"/>
              </w:rPr>
              <w:t>10 799</w:t>
            </w:r>
          </w:p>
        </w:tc>
        <w:tc>
          <w:tcPr>
            <w:tcW w:w="468" w:type="pct"/>
            <w:tcBorders>
              <w:top w:val="nil"/>
              <w:left w:val="nil"/>
              <w:bottom w:val="single" w:sz="4" w:space="0" w:color="auto"/>
              <w:right w:val="single" w:sz="4" w:space="0" w:color="auto"/>
            </w:tcBorders>
            <w:shd w:val="clear" w:color="auto" w:fill="auto"/>
            <w:noWrap/>
            <w:vAlign w:val="center"/>
            <w:hideMark/>
          </w:tcPr>
          <w:p w14:paraId="5F88217D" w14:textId="77777777" w:rsidR="007075D4" w:rsidRPr="007075D4" w:rsidRDefault="007075D4" w:rsidP="007075D4">
            <w:pPr>
              <w:jc w:val="right"/>
              <w:rPr>
                <w:rFonts w:ascii="Arial Narrow" w:hAnsi="Arial Narrow" w:cs="Calibri"/>
                <w:sz w:val="20"/>
                <w:szCs w:val="20"/>
                <w:lang w:val="bg-BG"/>
              </w:rPr>
            </w:pPr>
            <w:r w:rsidRPr="007075D4">
              <w:rPr>
                <w:rFonts w:ascii="Arial Narrow" w:hAnsi="Arial Narrow" w:cs="Calibri"/>
                <w:sz w:val="20"/>
                <w:szCs w:val="20"/>
                <w:lang w:val="bg-BG"/>
              </w:rPr>
              <w:t>17 540</w:t>
            </w:r>
          </w:p>
        </w:tc>
        <w:tc>
          <w:tcPr>
            <w:tcW w:w="507" w:type="pct"/>
            <w:tcBorders>
              <w:top w:val="nil"/>
              <w:left w:val="nil"/>
              <w:bottom w:val="single" w:sz="4" w:space="0" w:color="auto"/>
              <w:right w:val="single" w:sz="4" w:space="0" w:color="auto"/>
            </w:tcBorders>
            <w:shd w:val="clear" w:color="auto" w:fill="auto"/>
            <w:noWrap/>
            <w:vAlign w:val="center"/>
            <w:hideMark/>
          </w:tcPr>
          <w:p w14:paraId="0479AFA0" w14:textId="77777777" w:rsidR="007075D4" w:rsidRPr="007075D4" w:rsidRDefault="007075D4" w:rsidP="007075D4">
            <w:pPr>
              <w:jc w:val="right"/>
              <w:rPr>
                <w:rFonts w:ascii="Arial Narrow" w:hAnsi="Arial Narrow" w:cs="Calibri"/>
                <w:sz w:val="20"/>
                <w:szCs w:val="20"/>
                <w:lang w:val="bg-BG"/>
              </w:rPr>
            </w:pPr>
            <w:r w:rsidRPr="007075D4">
              <w:rPr>
                <w:rFonts w:ascii="Arial Narrow" w:hAnsi="Arial Narrow" w:cs="Calibri"/>
                <w:sz w:val="20"/>
                <w:szCs w:val="20"/>
                <w:lang w:val="bg-BG"/>
              </w:rPr>
              <w:t>62,4%</w:t>
            </w:r>
          </w:p>
        </w:tc>
      </w:tr>
      <w:tr w:rsidR="007075D4" w:rsidRPr="007075D4" w14:paraId="1E14CE06" w14:textId="77777777" w:rsidTr="009C6577">
        <w:trPr>
          <w:trHeight w:val="571"/>
        </w:trPr>
        <w:tc>
          <w:tcPr>
            <w:tcW w:w="637" w:type="pct"/>
            <w:tcBorders>
              <w:top w:val="nil"/>
              <w:left w:val="single" w:sz="4" w:space="0" w:color="auto"/>
              <w:bottom w:val="single" w:sz="4" w:space="0" w:color="auto"/>
              <w:right w:val="single" w:sz="4" w:space="0" w:color="auto"/>
            </w:tcBorders>
            <w:shd w:val="clear" w:color="auto" w:fill="auto"/>
            <w:vAlign w:val="center"/>
            <w:hideMark/>
          </w:tcPr>
          <w:p w14:paraId="53D3C643" w14:textId="77777777" w:rsidR="007075D4" w:rsidRPr="007075D4" w:rsidRDefault="007075D4" w:rsidP="007075D4">
            <w:pPr>
              <w:rPr>
                <w:rFonts w:ascii="Arial Narrow" w:hAnsi="Arial Narrow" w:cs="Calibri"/>
                <w:sz w:val="20"/>
                <w:szCs w:val="20"/>
                <w:lang w:val="bg-BG"/>
              </w:rPr>
            </w:pPr>
            <w:r w:rsidRPr="007075D4">
              <w:rPr>
                <w:rFonts w:ascii="Arial Narrow" w:hAnsi="Arial Narrow" w:cs="Calibri"/>
                <w:sz w:val="20"/>
                <w:szCs w:val="20"/>
                <w:lang w:val="bg-BG"/>
              </w:rPr>
              <w:t>Кайсии и зарзали</w:t>
            </w:r>
          </w:p>
        </w:tc>
        <w:tc>
          <w:tcPr>
            <w:tcW w:w="467" w:type="pct"/>
            <w:tcBorders>
              <w:top w:val="nil"/>
              <w:left w:val="nil"/>
              <w:bottom w:val="single" w:sz="4" w:space="0" w:color="auto"/>
              <w:right w:val="single" w:sz="4" w:space="0" w:color="auto"/>
            </w:tcBorders>
            <w:shd w:val="clear" w:color="auto" w:fill="auto"/>
            <w:noWrap/>
            <w:vAlign w:val="center"/>
            <w:hideMark/>
          </w:tcPr>
          <w:p w14:paraId="7E69E655" w14:textId="77777777" w:rsidR="007075D4" w:rsidRPr="007075D4" w:rsidRDefault="007075D4" w:rsidP="007075D4">
            <w:pPr>
              <w:jc w:val="right"/>
              <w:rPr>
                <w:rFonts w:ascii="Arial Narrow" w:hAnsi="Arial Narrow" w:cs="Calibri"/>
                <w:sz w:val="20"/>
                <w:szCs w:val="20"/>
                <w:lang w:val="bg-BG"/>
              </w:rPr>
            </w:pPr>
            <w:r w:rsidRPr="007075D4">
              <w:rPr>
                <w:rFonts w:ascii="Arial Narrow" w:hAnsi="Arial Narrow" w:cs="Calibri"/>
                <w:sz w:val="20"/>
                <w:szCs w:val="20"/>
                <w:lang w:val="bg-BG"/>
              </w:rPr>
              <w:t>2 199</w:t>
            </w:r>
          </w:p>
        </w:tc>
        <w:tc>
          <w:tcPr>
            <w:tcW w:w="466" w:type="pct"/>
            <w:tcBorders>
              <w:top w:val="nil"/>
              <w:left w:val="nil"/>
              <w:bottom w:val="single" w:sz="4" w:space="0" w:color="auto"/>
              <w:right w:val="single" w:sz="4" w:space="0" w:color="auto"/>
            </w:tcBorders>
            <w:shd w:val="clear" w:color="auto" w:fill="auto"/>
            <w:noWrap/>
            <w:vAlign w:val="center"/>
            <w:hideMark/>
          </w:tcPr>
          <w:p w14:paraId="3FB63D98" w14:textId="77777777" w:rsidR="007075D4" w:rsidRPr="007075D4" w:rsidRDefault="007075D4" w:rsidP="007075D4">
            <w:pPr>
              <w:jc w:val="right"/>
              <w:rPr>
                <w:rFonts w:ascii="Arial Narrow" w:hAnsi="Arial Narrow" w:cs="Calibri"/>
                <w:sz w:val="20"/>
                <w:szCs w:val="20"/>
                <w:lang w:val="bg-BG"/>
              </w:rPr>
            </w:pPr>
            <w:r w:rsidRPr="007075D4">
              <w:rPr>
                <w:rFonts w:ascii="Arial Narrow" w:hAnsi="Arial Narrow" w:cs="Calibri"/>
                <w:sz w:val="20"/>
                <w:szCs w:val="20"/>
                <w:lang w:val="bg-BG"/>
              </w:rPr>
              <w:t>3 224</w:t>
            </w:r>
          </w:p>
        </w:tc>
        <w:tc>
          <w:tcPr>
            <w:tcW w:w="527" w:type="pct"/>
            <w:tcBorders>
              <w:top w:val="nil"/>
              <w:left w:val="nil"/>
              <w:bottom w:val="single" w:sz="4" w:space="0" w:color="auto"/>
              <w:right w:val="single" w:sz="4" w:space="0" w:color="auto"/>
            </w:tcBorders>
            <w:shd w:val="clear" w:color="auto" w:fill="auto"/>
            <w:noWrap/>
            <w:vAlign w:val="center"/>
            <w:hideMark/>
          </w:tcPr>
          <w:p w14:paraId="4D65CDA7" w14:textId="77777777" w:rsidR="007075D4" w:rsidRPr="007075D4" w:rsidRDefault="007075D4" w:rsidP="007075D4">
            <w:pPr>
              <w:jc w:val="right"/>
              <w:rPr>
                <w:rFonts w:ascii="Arial Narrow" w:hAnsi="Arial Narrow" w:cs="Calibri"/>
                <w:sz w:val="20"/>
                <w:szCs w:val="20"/>
                <w:lang w:val="bg-BG"/>
              </w:rPr>
            </w:pPr>
            <w:r w:rsidRPr="007075D4">
              <w:rPr>
                <w:rFonts w:ascii="Arial Narrow" w:hAnsi="Arial Narrow" w:cs="Calibri"/>
                <w:sz w:val="20"/>
                <w:szCs w:val="20"/>
                <w:lang w:val="bg-BG"/>
              </w:rPr>
              <w:t>46,6%</w:t>
            </w:r>
          </w:p>
        </w:tc>
        <w:tc>
          <w:tcPr>
            <w:tcW w:w="466" w:type="pct"/>
            <w:tcBorders>
              <w:top w:val="nil"/>
              <w:left w:val="nil"/>
              <w:bottom w:val="single" w:sz="4" w:space="0" w:color="auto"/>
              <w:right w:val="single" w:sz="4" w:space="0" w:color="auto"/>
            </w:tcBorders>
            <w:shd w:val="clear" w:color="auto" w:fill="auto"/>
            <w:noWrap/>
            <w:vAlign w:val="center"/>
            <w:hideMark/>
          </w:tcPr>
          <w:p w14:paraId="558F6CEA" w14:textId="77777777" w:rsidR="007075D4" w:rsidRPr="007075D4" w:rsidRDefault="007075D4" w:rsidP="007075D4">
            <w:pPr>
              <w:jc w:val="right"/>
              <w:rPr>
                <w:rFonts w:ascii="Arial Narrow" w:hAnsi="Arial Narrow" w:cs="Calibri"/>
                <w:sz w:val="20"/>
                <w:szCs w:val="20"/>
                <w:lang w:val="bg-BG"/>
              </w:rPr>
            </w:pPr>
            <w:r w:rsidRPr="007075D4">
              <w:rPr>
                <w:rFonts w:ascii="Arial Narrow" w:hAnsi="Arial Narrow" w:cs="Calibri"/>
                <w:sz w:val="20"/>
                <w:szCs w:val="20"/>
                <w:lang w:val="bg-BG"/>
              </w:rPr>
              <w:t>4 936</w:t>
            </w:r>
          </w:p>
        </w:tc>
        <w:tc>
          <w:tcPr>
            <w:tcW w:w="466" w:type="pct"/>
            <w:tcBorders>
              <w:top w:val="nil"/>
              <w:left w:val="nil"/>
              <w:bottom w:val="single" w:sz="4" w:space="0" w:color="auto"/>
              <w:right w:val="single" w:sz="4" w:space="0" w:color="auto"/>
            </w:tcBorders>
            <w:shd w:val="clear" w:color="auto" w:fill="auto"/>
            <w:noWrap/>
            <w:vAlign w:val="center"/>
            <w:hideMark/>
          </w:tcPr>
          <w:p w14:paraId="7A522066" w14:textId="77777777" w:rsidR="007075D4" w:rsidRPr="007075D4" w:rsidRDefault="007075D4" w:rsidP="007075D4">
            <w:pPr>
              <w:jc w:val="right"/>
              <w:rPr>
                <w:rFonts w:ascii="Arial Narrow" w:hAnsi="Arial Narrow" w:cs="Calibri"/>
                <w:sz w:val="20"/>
                <w:szCs w:val="20"/>
                <w:lang w:val="bg-BG"/>
              </w:rPr>
            </w:pPr>
            <w:r w:rsidRPr="007075D4">
              <w:rPr>
                <w:rFonts w:ascii="Arial Narrow" w:hAnsi="Arial Narrow" w:cs="Calibri"/>
                <w:sz w:val="20"/>
                <w:szCs w:val="20"/>
                <w:lang w:val="bg-BG"/>
              </w:rPr>
              <w:t>5 784</w:t>
            </w:r>
          </w:p>
        </w:tc>
        <w:tc>
          <w:tcPr>
            <w:tcW w:w="527" w:type="pct"/>
            <w:tcBorders>
              <w:top w:val="nil"/>
              <w:left w:val="nil"/>
              <w:bottom w:val="single" w:sz="4" w:space="0" w:color="auto"/>
              <w:right w:val="single" w:sz="4" w:space="0" w:color="auto"/>
            </w:tcBorders>
            <w:shd w:val="clear" w:color="auto" w:fill="auto"/>
            <w:noWrap/>
            <w:vAlign w:val="center"/>
            <w:hideMark/>
          </w:tcPr>
          <w:p w14:paraId="3BB1EFA0" w14:textId="77777777" w:rsidR="007075D4" w:rsidRPr="007075D4" w:rsidRDefault="007075D4" w:rsidP="007075D4">
            <w:pPr>
              <w:jc w:val="right"/>
              <w:rPr>
                <w:rFonts w:ascii="Arial Narrow" w:hAnsi="Arial Narrow" w:cs="Calibri"/>
                <w:sz w:val="20"/>
                <w:szCs w:val="20"/>
                <w:lang w:val="bg-BG"/>
              </w:rPr>
            </w:pPr>
            <w:r w:rsidRPr="007075D4">
              <w:rPr>
                <w:rFonts w:ascii="Arial Narrow" w:hAnsi="Arial Narrow" w:cs="Calibri"/>
                <w:sz w:val="20"/>
                <w:szCs w:val="20"/>
                <w:lang w:val="bg-BG"/>
              </w:rPr>
              <w:t>17,2%</w:t>
            </w:r>
          </w:p>
        </w:tc>
        <w:tc>
          <w:tcPr>
            <w:tcW w:w="468" w:type="pct"/>
            <w:tcBorders>
              <w:top w:val="nil"/>
              <w:left w:val="nil"/>
              <w:bottom w:val="single" w:sz="4" w:space="0" w:color="auto"/>
              <w:right w:val="single" w:sz="4" w:space="0" w:color="auto"/>
            </w:tcBorders>
            <w:shd w:val="clear" w:color="auto" w:fill="auto"/>
            <w:noWrap/>
            <w:vAlign w:val="center"/>
            <w:hideMark/>
          </w:tcPr>
          <w:p w14:paraId="3442AFA8" w14:textId="77777777" w:rsidR="007075D4" w:rsidRPr="007075D4" w:rsidRDefault="007075D4" w:rsidP="007075D4">
            <w:pPr>
              <w:jc w:val="right"/>
              <w:rPr>
                <w:rFonts w:ascii="Arial Narrow" w:hAnsi="Arial Narrow" w:cs="Calibri"/>
                <w:sz w:val="20"/>
                <w:szCs w:val="20"/>
                <w:lang w:val="bg-BG"/>
              </w:rPr>
            </w:pPr>
            <w:r w:rsidRPr="007075D4">
              <w:rPr>
                <w:rFonts w:ascii="Arial Narrow" w:hAnsi="Arial Narrow" w:cs="Calibri"/>
                <w:sz w:val="20"/>
                <w:szCs w:val="20"/>
                <w:lang w:val="bg-BG"/>
              </w:rPr>
              <w:t>10 855</w:t>
            </w:r>
          </w:p>
        </w:tc>
        <w:tc>
          <w:tcPr>
            <w:tcW w:w="468" w:type="pct"/>
            <w:tcBorders>
              <w:top w:val="nil"/>
              <w:left w:val="nil"/>
              <w:bottom w:val="single" w:sz="4" w:space="0" w:color="auto"/>
              <w:right w:val="single" w:sz="4" w:space="0" w:color="auto"/>
            </w:tcBorders>
            <w:shd w:val="clear" w:color="auto" w:fill="auto"/>
            <w:noWrap/>
            <w:vAlign w:val="center"/>
            <w:hideMark/>
          </w:tcPr>
          <w:p w14:paraId="7D599466" w14:textId="77777777" w:rsidR="007075D4" w:rsidRPr="007075D4" w:rsidRDefault="007075D4" w:rsidP="007075D4">
            <w:pPr>
              <w:jc w:val="right"/>
              <w:rPr>
                <w:rFonts w:ascii="Arial Narrow" w:hAnsi="Arial Narrow" w:cs="Calibri"/>
                <w:sz w:val="20"/>
                <w:szCs w:val="20"/>
                <w:lang w:val="bg-BG"/>
              </w:rPr>
            </w:pPr>
            <w:r w:rsidRPr="007075D4">
              <w:rPr>
                <w:rFonts w:ascii="Arial Narrow" w:hAnsi="Arial Narrow" w:cs="Calibri"/>
                <w:sz w:val="20"/>
                <w:szCs w:val="20"/>
                <w:lang w:val="bg-BG"/>
              </w:rPr>
              <w:t>18 649</w:t>
            </w:r>
          </w:p>
        </w:tc>
        <w:tc>
          <w:tcPr>
            <w:tcW w:w="507" w:type="pct"/>
            <w:tcBorders>
              <w:top w:val="nil"/>
              <w:left w:val="nil"/>
              <w:bottom w:val="single" w:sz="4" w:space="0" w:color="auto"/>
              <w:right w:val="single" w:sz="4" w:space="0" w:color="auto"/>
            </w:tcBorders>
            <w:shd w:val="clear" w:color="auto" w:fill="auto"/>
            <w:noWrap/>
            <w:vAlign w:val="center"/>
            <w:hideMark/>
          </w:tcPr>
          <w:p w14:paraId="709EFB1F" w14:textId="77777777" w:rsidR="007075D4" w:rsidRPr="007075D4" w:rsidRDefault="007075D4" w:rsidP="007075D4">
            <w:pPr>
              <w:jc w:val="right"/>
              <w:rPr>
                <w:rFonts w:ascii="Arial Narrow" w:hAnsi="Arial Narrow" w:cs="Calibri"/>
                <w:sz w:val="20"/>
                <w:szCs w:val="20"/>
                <w:lang w:val="bg-BG"/>
              </w:rPr>
            </w:pPr>
            <w:r w:rsidRPr="007075D4">
              <w:rPr>
                <w:rFonts w:ascii="Arial Narrow" w:hAnsi="Arial Narrow" w:cs="Calibri"/>
                <w:sz w:val="20"/>
                <w:szCs w:val="20"/>
                <w:lang w:val="bg-BG"/>
              </w:rPr>
              <w:t>71,8%</w:t>
            </w:r>
          </w:p>
        </w:tc>
      </w:tr>
      <w:tr w:rsidR="007075D4" w:rsidRPr="007075D4" w14:paraId="307D7546" w14:textId="77777777" w:rsidTr="009C6577">
        <w:trPr>
          <w:trHeight w:val="502"/>
        </w:trPr>
        <w:tc>
          <w:tcPr>
            <w:tcW w:w="637" w:type="pct"/>
            <w:tcBorders>
              <w:top w:val="nil"/>
              <w:left w:val="single" w:sz="4" w:space="0" w:color="auto"/>
              <w:bottom w:val="single" w:sz="4" w:space="0" w:color="auto"/>
              <w:right w:val="single" w:sz="4" w:space="0" w:color="auto"/>
            </w:tcBorders>
            <w:shd w:val="clear" w:color="auto" w:fill="auto"/>
            <w:vAlign w:val="center"/>
            <w:hideMark/>
          </w:tcPr>
          <w:p w14:paraId="1F30761A" w14:textId="77777777" w:rsidR="007075D4" w:rsidRPr="007075D4" w:rsidRDefault="007075D4" w:rsidP="007075D4">
            <w:pPr>
              <w:rPr>
                <w:rFonts w:ascii="Arial Narrow" w:hAnsi="Arial Narrow" w:cs="Calibri"/>
                <w:sz w:val="20"/>
                <w:szCs w:val="20"/>
                <w:lang w:val="bg-BG"/>
              </w:rPr>
            </w:pPr>
            <w:r w:rsidRPr="007075D4">
              <w:rPr>
                <w:rFonts w:ascii="Arial Narrow" w:hAnsi="Arial Narrow" w:cs="Calibri"/>
                <w:sz w:val="20"/>
                <w:szCs w:val="20"/>
                <w:lang w:val="bg-BG"/>
              </w:rPr>
              <w:t>Сливи и джанки</w:t>
            </w:r>
          </w:p>
        </w:tc>
        <w:tc>
          <w:tcPr>
            <w:tcW w:w="467" w:type="pct"/>
            <w:tcBorders>
              <w:top w:val="nil"/>
              <w:left w:val="nil"/>
              <w:bottom w:val="single" w:sz="4" w:space="0" w:color="auto"/>
              <w:right w:val="single" w:sz="4" w:space="0" w:color="auto"/>
            </w:tcBorders>
            <w:shd w:val="clear" w:color="auto" w:fill="auto"/>
            <w:noWrap/>
            <w:vAlign w:val="center"/>
            <w:hideMark/>
          </w:tcPr>
          <w:p w14:paraId="212F8695" w14:textId="77777777" w:rsidR="007075D4" w:rsidRPr="007075D4" w:rsidRDefault="007075D4" w:rsidP="007075D4">
            <w:pPr>
              <w:jc w:val="right"/>
              <w:rPr>
                <w:rFonts w:ascii="Arial Narrow" w:hAnsi="Arial Narrow" w:cs="Calibri"/>
                <w:sz w:val="20"/>
                <w:szCs w:val="20"/>
                <w:lang w:val="bg-BG"/>
              </w:rPr>
            </w:pPr>
            <w:r w:rsidRPr="007075D4">
              <w:rPr>
                <w:rFonts w:ascii="Arial Narrow" w:hAnsi="Arial Narrow" w:cs="Calibri"/>
                <w:sz w:val="20"/>
                <w:szCs w:val="20"/>
                <w:lang w:val="bg-BG"/>
              </w:rPr>
              <w:t>9 256</w:t>
            </w:r>
          </w:p>
        </w:tc>
        <w:tc>
          <w:tcPr>
            <w:tcW w:w="466" w:type="pct"/>
            <w:tcBorders>
              <w:top w:val="nil"/>
              <w:left w:val="nil"/>
              <w:bottom w:val="single" w:sz="4" w:space="0" w:color="auto"/>
              <w:right w:val="single" w:sz="4" w:space="0" w:color="auto"/>
            </w:tcBorders>
            <w:shd w:val="clear" w:color="auto" w:fill="auto"/>
            <w:noWrap/>
            <w:vAlign w:val="center"/>
            <w:hideMark/>
          </w:tcPr>
          <w:p w14:paraId="374AD261" w14:textId="77777777" w:rsidR="007075D4" w:rsidRPr="007075D4" w:rsidRDefault="007075D4" w:rsidP="007075D4">
            <w:pPr>
              <w:jc w:val="right"/>
              <w:rPr>
                <w:rFonts w:ascii="Arial Narrow" w:hAnsi="Arial Narrow" w:cs="Calibri"/>
                <w:sz w:val="20"/>
                <w:szCs w:val="20"/>
                <w:lang w:val="bg-BG"/>
              </w:rPr>
            </w:pPr>
            <w:r w:rsidRPr="007075D4">
              <w:rPr>
                <w:rFonts w:ascii="Arial Narrow" w:hAnsi="Arial Narrow" w:cs="Calibri"/>
                <w:sz w:val="20"/>
                <w:szCs w:val="20"/>
                <w:lang w:val="bg-BG"/>
              </w:rPr>
              <w:t>9 579</w:t>
            </w:r>
          </w:p>
        </w:tc>
        <w:tc>
          <w:tcPr>
            <w:tcW w:w="527" w:type="pct"/>
            <w:tcBorders>
              <w:top w:val="nil"/>
              <w:left w:val="nil"/>
              <w:bottom w:val="single" w:sz="4" w:space="0" w:color="auto"/>
              <w:right w:val="single" w:sz="4" w:space="0" w:color="auto"/>
            </w:tcBorders>
            <w:shd w:val="clear" w:color="auto" w:fill="auto"/>
            <w:noWrap/>
            <w:vAlign w:val="center"/>
            <w:hideMark/>
          </w:tcPr>
          <w:p w14:paraId="4C759B52" w14:textId="77777777" w:rsidR="007075D4" w:rsidRPr="007075D4" w:rsidRDefault="007075D4" w:rsidP="007075D4">
            <w:pPr>
              <w:jc w:val="right"/>
              <w:rPr>
                <w:rFonts w:ascii="Arial Narrow" w:hAnsi="Arial Narrow" w:cs="Calibri"/>
                <w:sz w:val="20"/>
                <w:szCs w:val="20"/>
                <w:lang w:val="bg-BG"/>
              </w:rPr>
            </w:pPr>
            <w:r w:rsidRPr="007075D4">
              <w:rPr>
                <w:rFonts w:ascii="Arial Narrow" w:hAnsi="Arial Narrow" w:cs="Calibri"/>
                <w:sz w:val="20"/>
                <w:szCs w:val="20"/>
                <w:lang w:val="bg-BG"/>
              </w:rPr>
              <w:t>3,5%</w:t>
            </w:r>
          </w:p>
        </w:tc>
        <w:tc>
          <w:tcPr>
            <w:tcW w:w="466" w:type="pct"/>
            <w:tcBorders>
              <w:top w:val="nil"/>
              <w:left w:val="nil"/>
              <w:bottom w:val="single" w:sz="4" w:space="0" w:color="auto"/>
              <w:right w:val="single" w:sz="4" w:space="0" w:color="auto"/>
            </w:tcBorders>
            <w:shd w:val="clear" w:color="auto" w:fill="auto"/>
            <w:noWrap/>
            <w:vAlign w:val="center"/>
            <w:hideMark/>
          </w:tcPr>
          <w:p w14:paraId="56D46896" w14:textId="77777777" w:rsidR="007075D4" w:rsidRPr="007075D4" w:rsidRDefault="007075D4" w:rsidP="007075D4">
            <w:pPr>
              <w:jc w:val="right"/>
              <w:rPr>
                <w:rFonts w:ascii="Arial Narrow" w:hAnsi="Arial Narrow" w:cs="Calibri"/>
                <w:sz w:val="20"/>
                <w:szCs w:val="20"/>
                <w:lang w:val="bg-BG"/>
              </w:rPr>
            </w:pPr>
            <w:r w:rsidRPr="007075D4">
              <w:rPr>
                <w:rFonts w:ascii="Arial Narrow" w:hAnsi="Arial Narrow" w:cs="Calibri"/>
                <w:sz w:val="20"/>
                <w:szCs w:val="20"/>
                <w:lang w:val="bg-BG"/>
              </w:rPr>
              <w:t>6 238</w:t>
            </w:r>
          </w:p>
        </w:tc>
        <w:tc>
          <w:tcPr>
            <w:tcW w:w="466" w:type="pct"/>
            <w:tcBorders>
              <w:top w:val="nil"/>
              <w:left w:val="nil"/>
              <w:bottom w:val="single" w:sz="4" w:space="0" w:color="auto"/>
              <w:right w:val="single" w:sz="4" w:space="0" w:color="auto"/>
            </w:tcBorders>
            <w:shd w:val="clear" w:color="auto" w:fill="auto"/>
            <w:noWrap/>
            <w:vAlign w:val="center"/>
            <w:hideMark/>
          </w:tcPr>
          <w:p w14:paraId="2DBD2D7E" w14:textId="77777777" w:rsidR="007075D4" w:rsidRPr="007075D4" w:rsidRDefault="007075D4" w:rsidP="007075D4">
            <w:pPr>
              <w:jc w:val="right"/>
              <w:rPr>
                <w:rFonts w:ascii="Arial Narrow" w:hAnsi="Arial Narrow" w:cs="Calibri"/>
                <w:sz w:val="20"/>
                <w:szCs w:val="20"/>
                <w:lang w:val="bg-BG"/>
              </w:rPr>
            </w:pPr>
            <w:r w:rsidRPr="007075D4">
              <w:rPr>
                <w:rFonts w:ascii="Arial Narrow" w:hAnsi="Arial Narrow" w:cs="Calibri"/>
                <w:sz w:val="20"/>
                <w:szCs w:val="20"/>
                <w:lang w:val="bg-BG"/>
              </w:rPr>
              <w:t>6 347</w:t>
            </w:r>
          </w:p>
        </w:tc>
        <w:tc>
          <w:tcPr>
            <w:tcW w:w="527" w:type="pct"/>
            <w:tcBorders>
              <w:top w:val="nil"/>
              <w:left w:val="nil"/>
              <w:bottom w:val="single" w:sz="4" w:space="0" w:color="auto"/>
              <w:right w:val="single" w:sz="4" w:space="0" w:color="auto"/>
            </w:tcBorders>
            <w:shd w:val="clear" w:color="auto" w:fill="auto"/>
            <w:noWrap/>
            <w:vAlign w:val="center"/>
            <w:hideMark/>
          </w:tcPr>
          <w:p w14:paraId="4D86FCEF" w14:textId="77777777" w:rsidR="007075D4" w:rsidRPr="007075D4" w:rsidRDefault="007075D4" w:rsidP="007075D4">
            <w:pPr>
              <w:jc w:val="right"/>
              <w:rPr>
                <w:rFonts w:ascii="Arial Narrow" w:hAnsi="Arial Narrow" w:cs="Calibri"/>
                <w:sz w:val="20"/>
                <w:szCs w:val="20"/>
                <w:lang w:val="bg-BG"/>
              </w:rPr>
            </w:pPr>
            <w:r w:rsidRPr="007075D4">
              <w:rPr>
                <w:rFonts w:ascii="Arial Narrow" w:hAnsi="Arial Narrow" w:cs="Calibri"/>
                <w:sz w:val="20"/>
                <w:szCs w:val="20"/>
                <w:lang w:val="bg-BG"/>
              </w:rPr>
              <w:t>1,7%</w:t>
            </w:r>
          </w:p>
        </w:tc>
        <w:tc>
          <w:tcPr>
            <w:tcW w:w="468" w:type="pct"/>
            <w:tcBorders>
              <w:top w:val="nil"/>
              <w:left w:val="nil"/>
              <w:bottom w:val="single" w:sz="4" w:space="0" w:color="auto"/>
              <w:right w:val="single" w:sz="4" w:space="0" w:color="auto"/>
            </w:tcBorders>
            <w:shd w:val="clear" w:color="auto" w:fill="auto"/>
            <w:noWrap/>
            <w:vAlign w:val="center"/>
            <w:hideMark/>
          </w:tcPr>
          <w:p w14:paraId="4EA24593" w14:textId="77777777" w:rsidR="007075D4" w:rsidRPr="007075D4" w:rsidRDefault="007075D4" w:rsidP="007075D4">
            <w:pPr>
              <w:jc w:val="right"/>
              <w:rPr>
                <w:rFonts w:ascii="Arial Narrow" w:hAnsi="Arial Narrow" w:cs="Calibri"/>
                <w:sz w:val="20"/>
                <w:szCs w:val="20"/>
                <w:lang w:val="bg-BG"/>
              </w:rPr>
            </w:pPr>
            <w:r w:rsidRPr="007075D4">
              <w:rPr>
                <w:rFonts w:ascii="Arial Narrow" w:hAnsi="Arial Narrow" w:cs="Calibri"/>
                <w:sz w:val="20"/>
                <w:szCs w:val="20"/>
                <w:lang w:val="bg-BG"/>
              </w:rPr>
              <w:t>57 737</w:t>
            </w:r>
          </w:p>
        </w:tc>
        <w:tc>
          <w:tcPr>
            <w:tcW w:w="468" w:type="pct"/>
            <w:tcBorders>
              <w:top w:val="nil"/>
              <w:left w:val="nil"/>
              <w:bottom w:val="single" w:sz="4" w:space="0" w:color="auto"/>
              <w:right w:val="single" w:sz="4" w:space="0" w:color="auto"/>
            </w:tcBorders>
            <w:shd w:val="clear" w:color="auto" w:fill="auto"/>
            <w:noWrap/>
            <w:vAlign w:val="center"/>
            <w:hideMark/>
          </w:tcPr>
          <w:p w14:paraId="4253EFB2" w14:textId="77777777" w:rsidR="007075D4" w:rsidRPr="007075D4" w:rsidRDefault="007075D4" w:rsidP="007075D4">
            <w:pPr>
              <w:jc w:val="right"/>
              <w:rPr>
                <w:rFonts w:ascii="Arial Narrow" w:hAnsi="Arial Narrow" w:cs="Calibri"/>
                <w:sz w:val="20"/>
                <w:szCs w:val="20"/>
                <w:lang w:val="bg-BG"/>
              </w:rPr>
            </w:pPr>
            <w:r w:rsidRPr="007075D4">
              <w:rPr>
                <w:rFonts w:ascii="Arial Narrow" w:hAnsi="Arial Narrow" w:cs="Calibri"/>
                <w:sz w:val="20"/>
                <w:szCs w:val="20"/>
                <w:lang w:val="bg-BG"/>
              </w:rPr>
              <w:t>60 796</w:t>
            </w:r>
          </w:p>
        </w:tc>
        <w:tc>
          <w:tcPr>
            <w:tcW w:w="507" w:type="pct"/>
            <w:tcBorders>
              <w:top w:val="nil"/>
              <w:left w:val="nil"/>
              <w:bottom w:val="single" w:sz="4" w:space="0" w:color="auto"/>
              <w:right w:val="single" w:sz="4" w:space="0" w:color="auto"/>
            </w:tcBorders>
            <w:shd w:val="clear" w:color="auto" w:fill="auto"/>
            <w:noWrap/>
            <w:vAlign w:val="center"/>
            <w:hideMark/>
          </w:tcPr>
          <w:p w14:paraId="291F4A98" w14:textId="77777777" w:rsidR="007075D4" w:rsidRPr="007075D4" w:rsidRDefault="007075D4" w:rsidP="007075D4">
            <w:pPr>
              <w:jc w:val="right"/>
              <w:rPr>
                <w:rFonts w:ascii="Arial Narrow" w:hAnsi="Arial Narrow" w:cs="Calibri"/>
                <w:sz w:val="20"/>
                <w:szCs w:val="20"/>
                <w:lang w:val="bg-BG"/>
              </w:rPr>
            </w:pPr>
            <w:r w:rsidRPr="007075D4">
              <w:rPr>
                <w:rFonts w:ascii="Arial Narrow" w:hAnsi="Arial Narrow" w:cs="Calibri"/>
                <w:sz w:val="20"/>
                <w:szCs w:val="20"/>
                <w:lang w:val="bg-BG"/>
              </w:rPr>
              <w:t>5,3%</w:t>
            </w:r>
          </w:p>
        </w:tc>
      </w:tr>
      <w:tr w:rsidR="007075D4" w:rsidRPr="007075D4" w14:paraId="55557F24" w14:textId="77777777" w:rsidTr="009C6577">
        <w:trPr>
          <w:trHeight w:val="278"/>
        </w:trPr>
        <w:tc>
          <w:tcPr>
            <w:tcW w:w="637" w:type="pct"/>
            <w:tcBorders>
              <w:top w:val="nil"/>
              <w:left w:val="single" w:sz="4" w:space="0" w:color="auto"/>
              <w:bottom w:val="single" w:sz="4" w:space="0" w:color="auto"/>
              <w:right w:val="single" w:sz="4" w:space="0" w:color="auto"/>
            </w:tcBorders>
            <w:shd w:val="clear" w:color="auto" w:fill="auto"/>
            <w:vAlign w:val="center"/>
            <w:hideMark/>
          </w:tcPr>
          <w:p w14:paraId="5808BFEA" w14:textId="77777777" w:rsidR="007075D4" w:rsidRPr="007075D4" w:rsidRDefault="007075D4" w:rsidP="007075D4">
            <w:pPr>
              <w:rPr>
                <w:rFonts w:ascii="Arial Narrow" w:hAnsi="Arial Narrow" w:cs="Calibri"/>
                <w:sz w:val="20"/>
                <w:szCs w:val="20"/>
                <w:lang w:val="bg-BG"/>
              </w:rPr>
            </w:pPr>
            <w:r w:rsidRPr="007075D4">
              <w:rPr>
                <w:rFonts w:ascii="Arial Narrow" w:hAnsi="Arial Narrow" w:cs="Calibri"/>
                <w:sz w:val="20"/>
                <w:szCs w:val="20"/>
                <w:lang w:val="bg-BG"/>
              </w:rPr>
              <w:t>Череши</w:t>
            </w:r>
          </w:p>
        </w:tc>
        <w:tc>
          <w:tcPr>
            <w:tcW w:w="467" w:type="pct"/>
            <w:tcBorders>
              <w:top w:val="nil"/>
              <w:left w:val="nil"/>
              <w:bottom w:val="single" w:sz="4" w:space="0" w:color="auto"/>
              <w:right w:val="single" w:sz="4" w:space="0" w:color="auto"/>
            </w:tcBorders>
            <w:shd w:val="clear" w:color="auto" w:fill="auto"/>
            <w:noWrap/>
            <w:vAlign w:val="center"/>
            <w:hideMark/>
          </w:tcPr>
          <w:p w14:paraId="62B76AC4" w14:textId="77777777" w:rsidR="007075D4" w:rsidRPr="007075D4" w:rsidRDefault="007075D4" w:rsidP="007075D4">
            <w:pPr>
              <w:jc w:val="right"/>
              <w:rPr>
                <w:rFonts w:ascii="Arial Narrow" w:hAnsi="Arial Narrow" w:cs="Calibri"/>
                <w:sz w:val="20"/>
                <w:szCs w:val="20"/>
                <w:lang w:val="bg-BG"/>
              </w:rPr>
            </w:pPr>
            <w:r w:rsidRPr="007075D4">
              <w:rPr>
                <w:rFonts w:ascii="Arial Narrow" w:hAnsi="Arial Narrow" w:cs="Calibri"/>
                <w:sz w:val="20"/>
                <w:szCs w:val="20"/>
                <w:lang w:val="bg-BG"/>
              </w:rPr>
              <w:t>9 648</w:t>
            </w:r>
          </w:p>
        </w:tc>
        <w:tc>
          <w:tcPr>
            <w:tcW w:w="466" w:type="pct"/>
            <w:tcBorders>
              <w:top w:val="nil"/>
              <w:left w:val="nil"/>
              <w:bottom w:val="single" w:sz="4" w:space="0" w:color="auto"/>
              <w:right w:val="single" w:sz="4" w:space="0" w:color="auto"/>
            </w:tcBorders>
            <w:shd w:val="clear" w:color="auto" w:fill="auto"/>
            <w:noWrap/>
            <w:vAlign w:val="center"/>
            <w:hideMark/>
          </w:tcPr>
          <w:p w14:paraId="3187DD96" w14:textId="77777777" w:rsidR="007075D4" w:rsidRPr="007075D4" w:rsidRDefault="007075D4" w:rsidP="007075D4">
            <w:pPr>
              <w:jc w:val="right"/>
              <w:rPr>
                <w:rFonts w:ascii="Arial Narrow" w:hAnsi="Arial Narrow" w:cs="Calibri"/>
                <w:sz w:val="20"/>
                <w:szCs w:val="20"/>
                <w:lang w:val="bg-BG"/>
              </w:rPr>
            </w:pPr>
            <w:r w:rsidRPr="007075D4">
              <w:rPr>
                <w:rFonts w:ascii="Arial Narrow" w:hAnsi="Arial Narrow" w:cs="Calibri"/>
                <w:sz w:val="20"/>
                <w:szCs w:val="20"/>
                <w:lang w:val="bg-BG"/>
              </w:rPr>
              <w:t>10 213</w:t>
            </w:r>
          </w:p>
        </w:tc>
        <w:tc>
          <w:tcPr>
            <w:tcW w:w="527" w:type="pct"/>
            <w:tcBorders>
              <w:top w:val="nil"/>
              <w:left w:val="nil"/>
              <w:bottom w:val="single" w:sz="4" w:space="0" w:color="auto"/>
              <w:right w:val="single" w:sz="4" w:space="0" w:color="auto"/>
            </w:tcBorders>
            <w:shd w:val="clear" w:color="auto" w:fill="auto"/>
            <w:noWrap/>
            <w:vAlign w:val="center"/>
            <w:hideMark/>
          </w:tcPr>
          <w:p w14:paraId="444C8B0C" w14:textId="77777777" w:rsidR="007075D4" w:rsidRPr="007075D4" w:rsidRDefault="007075D4" w:rsidP="007075D4">
            <w:pPr>
              <w:jc w:val="right"/>
              <w:rPr>
                <w:rFonts w:ascii="Arial Narrow" w:hAnsi="Arial Narrow" w:cs="Calibri"/>
                <w:sz w:val="20"/>
                <w:szCs w:val="20"/>
                <w:lang w:val="bg-BG"/>
              </w:rPr>
            </w:pPr>
            <w:r w:rsidRPr="007075D4">
              <w:rPr>
                <w:rFonts w:ascii="Arial Narrow" w:hAnsi="Arial Narrow" w:cs="Calibri"/>
                <w:sz w:val="20"/>
                <w:szCs w:val="20"/>
                <w:lang w:val="bg-BG"/>
              </w:rPr>
              <w:t>5,9%</w:t>
            </w:r>
          </w:p>
        </w:tc>
        <w:tc>
          <w:tcPr>
            <w:tcW w:w="466" w:type="pct"/>
            <w:tcBorders>
              <w:top w:val="nil"/>
              <w:left w:val="nil"/>
              <w:bottom w:val="single" w:sz="4" w:space="0" w:color="auto"/>
              <w:right w:val="single" w:sz="4" w:space="0" w:color="auto"/>
            </w:tcBorders>
            <w:shd w:val="clear" w:color="auto" w:fill="auto"/>
            <w:noWrap/>
            <w:vAlign w:val="center"/>
            <w:hideMark/>
          </w:tcPr>
          <w:p w14:paraId="477F371B" w14:textId="77777777" w:rsidR="007075D4" w:rsidRPr="007075D4" w:rsidRDefault="007075D4" w:rsidP="007075D4">
            <w:pPr>
              <w:jc w:val="right"/>
              <w:rPr>
                <w:rFonts w:ascii="Arial Narrow" w:hAnsi="Arial Narrow" w:cs="Calibri"/>
                <w:sz w:val="20"/>
                <w:szCs w:val="20"/>
                <w:lang w:val="bg-BG"/>
              </w:rPr>
            </w:pPr>
            <w:r w:rsidRPr="007075D4">
              <w:rPr>
                <w:rFonts w:ascii="Arial Narrow" w:hAnsi="Arial Narrow" w:cs="Calibri"/>
                <w:sz w:val="20"/>
                <w:szCs w:val="20"/>
                <w:lang w:val="bg-BG"/>
              </w:rPr>
              <w:t>4 791</w:t>
            </w:r>
          </w:p>
        </w:tc>
        <w:tc>
          <w:tcPr>
            <w:tcW w:w="466" w:type="pct"/>
            <w:tcBorders>
              <w:top w:val="nil"/>
              <w:left w:val="nil"/>
              <w:bottom w:val="single" w:sz="4" w:space="0" w:color="auto"/>
              <w:right w:val="single" w:sz="4" w:space="0" w:color="auto"/>
            </w:tcBorders>
            <w:shd w:val="clear" w:color="auto" w:fill="auto"/>
            <w:noWrap/>
            <w:vAlign w:val="center"/>
            <w:hideMark/>
          </w:tcPr>
          <w:p w14:paraId="7671E84A" w14:textId="77777777" w:rsidR="007075D4" w:rsidRPr="007075D4" w:rsidRDefault="007075D4" w:rsidP="007075D4">
            <w:pPr>
              <w:jc w:val="right"/>
              <w:rPr>
                <w:rFonts w:ascii="Arial Narrow" w:hAnsi="Arial Narrow" w:cs="Calibri"/>
                <w:sz w:val="20"/>
                <w:szCs w:val="20"/>
                <w:lang w:val="bg-BG"/>
              </w:rPr>
            </w:pPr>
            <w:r w:rsidRPr="007075D4">
              <w:rPr>
                <w:rFonts w:ascii="Arial Narrow" w:hAnsi="Arial Narrow" w:cs="Calibri"/>
                <w:sz w:val="20"/>
                <w:szCs w:val="20"/>
                <w:lang w:val="bg-BG"/>
              </w:rPr>
              <w:t>4 938</w:t>
            </w:r>
          </w:p>
        </w:tc>
        <w:tc>
          <w:tcPr>
            <w:tcW w:w="527" w:type="pct"/>
            <w:tcBorders>
              <w:top w:val="nil"/>
              <w:left w:val="nil"/>
              <w:bottom w:val="single" w:sz="4" w:space="0" w:color="auto"/>
              <w:right w:val="single" w:sz="4" w:space="0" w:color="auto"/>
            </w:tcBorders>
            <w:shd w:val="clear" w:color="auto" w:fill="auto"/>
            <w:noWrap/>
            <w:vAlign w:val="center"/>
            <w:hideMark/>
          </w:tcPr>
          <w:p w14:paraId="0AE944CA" w14:textId="77777777" w:rsidR="007075D4" w:rsidRPr="007075D4" w:rsidRDefault="007075D4" w:rsidP="007075D4">
            <w:pPr>
              <w:jc w:val="right"/>
              <w:rPr>
                <w:rFonts w:ascii="Arial Narrow" w:hAnsi="Arial Narrow" w:cs="Calibri"/>
                <w:sz w:val="20"/>
                <w:szCs w:val="20"/>
                <w:lang w:val="bg-BG"/>
              </w:rPr>
            </w:pPr>
            <w:r w:rsidRPr="007075D4">
              <w:rPr>
                <w:rFonts w:ascii="Arial Narrow" w:hAnsi="Arial Narrow" w:cs="Calibri"/>
                <w:sz w:val="20"/>
                <w:szCs w:val="20"/>
                <w:lang w:val="bg-BG"/>
              </w:rPr>
              <w:t>3,1%</w:t>
            </w:r>
          </w:p>
        </w:tc>
        <w:tc>
          <w:tcPr>
            <w:tcW w:w="468" w:type="pct"/>
            <w:tcBorders>
              <w:top w:val="nil"/>
              <w:left w:val="nil"/>
              <w:bottom w:val="single" w:sz="4" w:space="0" w:color="auto"/>
              <w:right w:val="single" w:sz="4" w:space="0" w:color="auto"/>
            </w:tcBorders>
            <w:shd w:val="clear" w:color="auto" w:fill="auto"/>
            <w:noWrap/>
            <w:vAlign w:val="center"/>
            <w:hideMark/>
          </w:tcPr>
          <w:p w14:paraId="3200AE0F" w14:textId="77777777" w:rsidR="007075D4" w:rsidRPr="007075D4" w:rsidRDefault="007075D4" w:rsidP="007075D4">
            <w:pPr>
              <w:jc w:val="right"/>
              <w:rPr>
                <w:rFonts w:ascii="Arial Narrow" w:hAnsi="Arial Narrow" w:cs="Calibri"/>
                <w:sz w:val="20"/>
                <w:szCs w:val="20"/>
                <w:lang w:val="bg-BG"/>
              </w:rPr>
            </w:pPr>
            <w:r w:rsidRPr="007075D4">
              <w:rPr>
                <w:rFonts w:ascii="Arial Narrow" w:hAnsi="Arial Narrow" w:cs="Calibri"/>
                <w:sz w:val="20"/>
                <w:szCs w:val="20"/>
                <w:lang w:val="bg-BG"/>
              </w:rPr>
              <w:t>46 222</w:t>
            </w:r>
          </w:p>
        </w:tc>
        <w:tc>
          <w:tcPr>
            <w:tcW w:w="468" w:type="pct"/>
            <w:tcBorders>
              <w:top w:val="nil"/>
              <w:left w:val="nil"/>
              <w:bottom w:val="single" w:sz="4" w:space="0" w:color="auto"/>
              <w:right w:val="single" w:sz="4" w:space="0" w:color="auto"/>
            </w:tcBorders>
            <w:shd w:val="clear" w:color="auto" w:fill="auto"/>
            <w:noWrap/>
            <w:vAlign w:val="center"/>
            <w:hideMark/>
          </w:tcPr>
          <w:p w14:paraId="5F224386" w14:textId="77777777" w:rsidR="007075D4" w:rsidRPr="007075D4" w:rsidRDefault="007075D4" w:rsidP="007075D4">
            <w:pPr>
              <w:jc w:val="right"/>
              <w:rPr>
                <w:rFonts w:ascii="Arial Narrow" w:hAnsi="Arial Narrow" w:cs="Calibri"/>
                <w:sz w:val="20"/>
                <w:szCs w:val="20"/>
                <w:lang w:val="bg-BG"/>
              </w:rPr>
            </w:pPr>
            <w:r w:rsidRPr="007075D4">
              <w:rPr>
                <w:rFonts w:ascii="Arial Narrow" w:hAnsi="Arial Narrow" w:cs="Calibri"/>
                <w:sz w:val="20"/>
                <w:szCs w:val="20"/>
                <w:lang w:val="bg-BG"/>
              </w:rPr>
              <w:t>50 435</w:t>
            </w:r>
          </w:p>
        </w:tc>
        <w:tc>
          <w:tcPr>
            <w:tcW w:w="507" w:type="pct"/>
            <w:tcBorders>
              <w:top w:val="nil"/>
              <w:left w:val="nil"/>
              <w:bottom w:val="single" w:sz="4" w:space="0" w:color="auto"/>
              <w:right w:val="single" w:sz="4" w:space="0" w:color="auto"/>
            </w:tcBorders>
            <w:shd w:val="clear" w:color="auto" w:fill="auto"/>
            <w:noWrap/>
            <w:vAlign w:val="center"/>
            <w:hideMark/>
          </w:tcPr>
          <w:p w14:paraId="40854FDC" w14:textId="77777777" w:rsidR="007075D4" w:rsidRPr="007075D4" w:rsidRDefault="007075D4" w:rsidP="007075D4">
            <w:pPr>
              <w:jc w:val="right"/>
              <w:rPr>
                <w:rFonts w:ascii="Arial Narrow" w:hAnsi="Arial Narrow" w:cs="Calibri"/>
                <w:sz w:val="20"/>
                <w:szCs w:val="20"/>
                <w:lang w:val="bg-BG"/>
              </w:rPr>
            </w:pPr>
            <w:r w:rsidRPr="007075D4">
              <w:rPr>
                <w:rFonts w:ascii="Arial Narrow" w:hAnsi="Arial Narrow" w:cs="Calibri"/>
                <w:sz w:val="20"/>
                <w:szCs w:val="20"/>
                <w:lang w:val="bg-BG"/>
              </w:rPr>
              <w:t>9,1%</w:t>
            </w:r>
          </w:p>
        </w:tc>
      </w:tr>
      <w:tr w:rsidR="007075D4" w:rsidRPr="007075D4" w14:paraId="2211B9BE" w14:textId="77777777" w:rsidTr="009C6577">
        <w:trPr>
          <w:trHeight w:val="278"/>
        </w:trPr>
        <w:tc>
          <w:tcPr>
            <w:tcW w:w="637" w:type="pct"/>
            <w:tcBorders>
              <w:top w:val="nil"/>
              <w:left w:val="single" w:sz="4" w:space="0" w:color="auto"/>
              <w:bottom w:val="single" w:sz="4" w:space="0" w:color="auto"/>
              <w:right w:val="single" w:sz="4" w:space="0" w:color="auto"/>
            </w:tcBorders>
            <w:shd w:val="clear" w:color="auto" w:fill="auto"/>
            <w:vAlign w:val="center"/>
            <w:hideMark/>
          </w:tcPr>
          <w:p w14:paraId="4BFB6836" w14:textId="77777777" w:rsidR="007075D4" w:rsidRPr="007075D4" w:rsidRDefault="007075D4" w:rsidP="007075D4">
            <w:pPr>
              <w:rPr>
                <w:rFonts w:ascii="Arial Narrow" w:hAnsi="Arial Narrow" w:cs="Calibri"/>
                <w:sz w:val="20"/>
                <w:szCs w:val="20"/>
                <w:lang w:val="bg-BG"/>
              </w:rPr>
            </w:pPr>
            <w:r w:rsidRPr="007075D4">
              <w:rPr>
                <w:rFonts w:ascii="Arial Narrow" w:hAnsi="Arial Narrow" w:cs="Calibri"/>
                <w:sz w:val="20"/>
                <w:szCs w:val="20"/>
                <w:lang w:val="bg-BG"/>
              </w:rPr>
              <w:t>Вишни</w:t>
            </w:r>
          </w:p>
        </w:tc>
        <w:tc>
          <w:tcPr>
            <w:tcW w:w="467" w:type="pct"/>
            <w:tcBorders>
              <w:top w:val="nil"/>
              <w:left w:val="nil"/>
              <w:bottom w:val="single" w:sz="4" w:space="0" w:color="auto"/>
              <w:right w:val="single" w:sz="4" w:space="0" w:color="auto"/>
            </w:tcBorders>
            <w:shd w:val="clear" w:color="auto" w:fill="auto"/>
            <w:noWrap/>
            <w:vAlign w:val="center"/>
            <w:hideMark/>
          </w:tcPr>
          <w:p w14:paraId="06D9BB2F" w14:textId="77777777" w:rsidR="007075D4" w:rsidRPr="007075D4" w:rsidRDefault="007075D4" w:rsidP="007075D4">
            <w:pPr>
              <w:jc w:val="right"/>
              <w:rPr>
                <w:rFonts w:ascii="Arial Narrow" w:hAnsi="Arial Narrow" w:cs="Calibri"/>
                <w:sz w:val="20"/>
                <w:szCs w:val="20"/>
                <w:lang w:val="bg-BG"/>
              </w:rPr>
            </w:pPr>
            <w:r w:rsidRPr="007075D4">
              <w:rPr>
                <w:rFonts w:ascii="Arial Narrow" w:hAnsi="Arial Narrow" w:cs="Calibri"/>
                <w:sz w:val="20"/>
                <w:szCs w:val="20"/>
                <w:lang w:val="bg-BG"/>
              </w:rPr>
              <w:t>934</w:t>
            </w:r>
          </w:p>
        </w:tc>
        <w:tc>
          <w:tcPr>
            <w:tcW w:w="466" w:type="pct"/>
            <w:tcBorders>
              <w:top w:val="nil"/>
              <w:left w:val="nil"/>
              <w:bottom w:val="single" w:sz="4" w:space="0" w:color="auto"/>
              <w:right w:val="single" w:sz="4" w:space="0" w:color="auto"/>
            </w:tcBorders>
            <w:shd w:val="clear" w:color="auto" w:fill="auto"/>
            <w:noWrap/>
            <w:vAlign w:val="center"/>
            <w:hideMark/>
          </w:tcPr>
          <w:p w14:paraId="69EEAC33" w14:textId="77777777" w:rsidR="007075D4" w:rsidRPr="007075D4" w:rsidRDefault="007075D4" w:rsidP="007075D4">
            <w:pPr>
              <w:jc w:val="right"/>
              <w:rPr>
                <w:rFonts w:ascii="Arial Narrow" w:hAnsi="Arial Narrow" w:cs="Calibri"/>
                <w:sz w:val="20"/>
                <w:szCs w:val="20"/>
                <w:lang w:val="bg-BG"/>
              </w:rPr>
            </w:pPr>
            <w:r w:rsidRPr="007075D4">
              <w:rPr>
                <w:rFonts w:ascii="Arial Narrow" w:hAnsi="Arial Narrow" w:cs="Calibri"/>
                <w:sz w:val="20"/>
                <w:szCs w:val="20"/>
                <w:lang w:val="bg-BG"/>
              </w:rPr>
              <w:t>1 003</w:t>
            </w:r>
          </w:p>
        </w:tc>
        <w:tc>
          <w:tcPr>
            <w:tcW w:w="527" w:type="pct"/>
            <w:tcBorders>
              <w:top w:val="nil"/>
              <w:left w:val="nil"/>
              <w:bottom w:val="single" w:sz="4" w:space="0" w:color="auto"/>
              <w:right w:val="single" w:sz="4" w:space="0" w:color="auto"/>
            </w:tcBorders>
            <w:shd w:val="clear" w:color="auto" w:fill="auto"/>
            <w:noWrap/>
            <w:vAlign w:val="center"/>
            <w:hideMark/>
          </w:tcPr>
          <w:p w14:paraId="04510E3A" w14:textId="77777777" w:rsidR="007075D4" w:rsidRPr="007075D4" w:rsidRDefault="007075D4" w:rsidP="007075D4">
            <w:pPr>
              <w:jc w:val="right"/>
              <w:rPr>
                <w:rFonts w:ascii="Arial Narrow" w:hAnsi="Arial Narrow" w:cs="Calibri"/>
                <w:sz w:val="20"/>
                <w:szCs w:val="20"/>
                <w:lang w:val="bg-BG"/>
              </w:rPr>
            </w:pPr>
            <w:r w:rsidRPr="007075D4">
              <w:rPr>
                <w:rFonts w:ascii="Arial Narrow" w:hAnsi="Arial Narrow" w:cs="Calibri"/>
                <w:sz w:val="20"/>
                <w:szCs w:val="20"/>
                <w:lang w:val="bg-BG"/>
              </w:rPr>
              <w:t>7,4%</w:t>
            </w:r>
          </w:p>
        </w:tc>
        <w:tc>
          <w:tcPr>
            <w:tcW w:w="466" w:type="pct"/>
            <w:tcBorders>
              <w:top w:val="nil"/>
              <w:left w:val="nil"/>
              <w:bottom w:val="single" w:sz="4" w:space="0" w:color="auto"/>
              <w:right w:val="single" w:sz="4" w:space="0" w:color="auto"/>
            </w:tcBorders>
            <w:shd w:val="clear" w:color="auto" w:fill="auto"/>
            <w:noWrap/>
            <w:vAlign w:val="center"/>
            <w:hideMark/>
          </w:tcPr>
          <w:p w14:paraId="349B778D" w14:textId="77777777" w:rsidR="007075D4" w:rsidRPr="007075D4" w:rsidRDefault="007075D4" w:rsidP="007075D4">
            <w:pPr>
              <w:jc w:val="right"/>
              <w:rPr>
                <w:rFonts w:ascii="Arial Narrow" w:hAnsi="Arial Narrow" w:cs="Calibri"/>
                <w:sz w:val="20"/>
                <w:szCs w:val="20"/>
                <w:lang w:val="bg-BG"/>
              </w:rPr>
            </w:pPr>
            <w:r w:rsidRPr="007075D4">
              <w:rPr>
                <w:rFonts w:ascii="Arial Narrow" w:hAnsi="Arial Narrow" w:cs="Calibri"/>
                <w:sz w:val="20"/>
                <w:szCs w:val="20"/>
                <w:lang w:val="bg-BG"/>
              </w:rPr>
              <w:t>3 505</w:t>
            </w:r>
          </w:p>
        </w:tc>
        <w:tc>
          <w:tcPr>
            <w:tcW w:w="466" w:type="pct"/>
            <w:tcBorders>
              <w:top w:val="nil"/>
              <w:left w:val="nil"/>
              <w:bottom w:val="single" w:sz="4" w:space="0" w:color="auto"/>
              <w:right w:val="single" w:sz="4" w:space="0" w:color="auto"/>
            </w:tcBorders>
            <w:shd w:val="clear" w:color="auto" w:fill="auto"/>
            <w:noWrap/>
            <w:vAlign w:val="center"/>
            <w:hideMark/>
          </w:tcPr>
          <w:p w14:paraId="4B4623B4" w14:textId="77777777" w:rsidR="007075D4" w:rsidRPr="007075D4" w:rsidRDefault="007075D4" w:rsidP="007075D4">
            <w:pPr>
              <w:jc w:val="right"/>
              <w:rPr>
                <w:rFonts w:ascii="Arial Narrow" w:hAnsi="Arial Narrow" w:cs="Calibri"/>
                <w:sz w:val="20"/>
                <w:szCs w:val="20"/>
                <w:lang w:val="bg-BG"/>
              </w:rPr>
            </w:pPr>
            <w:r w:rsidRPr="007075D4">
              <w:rPr>
                <w:rFonts w:ascii="Arial Narrow" w:hAnsi="Arial Narrow" w:cs="Calibri"/>
                <w:sz w:val="20"/>
                <w:szCs w:val="20"/>
                <w:lang w:val="bg-BG"/>
              </w:rPr>
              <w:t>3 346</w:t>
            </w:r>
          </w:p>
        </w:tc>
        <w:tc>
          <w:tcPr>
            <w:tcW w:w="527" w:type="pct"/>
            <w:tcBorders>
              <w:top w:val="nil"/>
              <w:left w:val="nil"/>
              <w:bottom w:val="single" w:sz="4" w:space="0" w:color="auto"/>
              <w:right w:val="single" w:sz="4" w:space="0" w:color="auto"/>
            </w:tcBorders>
            <w:shd w:val="clear" w:color="auto" w:fill="auto"/>
            <w:noWrap/>
            <w:vAlign w:val="center"/>
            <w:hideMark/>
          </w:tcPr>
          <w:p w14:paraId="5CD4952B" w14:textId="77777777" w:rsidR="007075D4" w:rsidRPr="007075D4" w:rsidRDefault="007075D4" w:rsidP="007075D4">
            <w:pPr>
              <w:jc w:val="right"/>
              <w:rPr>
                <w:rFonts w:ascii="Arial Narrow" w:hAnsi="Arial Narrow" w:cs="Calibri"/>
                <w:sz w:val="20"/>
                <w:szCs w:val="20"/>
                <w:lang w:val="bg-BG"/>
              </w:rPr>
            </w:pPr>
            <w:r w:rsidRPr="007075D4">
              <w:rPr>
                <w:rFonts w:ascii="Arial Narrow" w:hAnsi="Arial Narrow" w:cs="Calibri"/>
                <w:sz w:val="20"/>
                <w:szCs w:val="20"/>
                <w:lang w:val="bg-BG"/>
              </w:rPr>
              <w:t>-4,5%</w:t>
            </w:r>
          </w:p>
        </w:tc>
        <w:tc>
          <w:tcPr>
            <w:tcW w:w="468" w:type="pct"/>
            <w:tcBorders>
              <w:top w:val="nil"/>
              <w:left w:val="nil"/>
              <w:bottom w:val="single" w:sz="4" w:space="0" w:color="auto"/>
              <w:right w:val="single" w:sz="4" w:space="0" w:color="auto"/>
            </w:tcBorders>
            <w:shd w:val="clear" w:color="auto" w:fill="auto"/>
            <w:noWrap/>
            <w:vAlign w:val="center"/>
            <w:hideMark/>
          </w:tcPr>
          <w:p w14:paraId="626B7839" w14:textId="77777777" w:rsidR="007075D4" w:rsidRPr="007075D4" w:rsidRDefault="007075D4" w:rsidP="007075D4">
            <w:pPr>
              <w:jc w:val="right"/>
              <w:rPr>
                <w:rFonts w:ascii="Arial Narrow" w:hAnsi="Arial Narrow" w:cs="Calibri"/>
                <w:sz w:val="20"/>
                <w:szCs w:val="20"/>
                <w:lang w:val="bg-BG"/>
              </w:rPr>
            </w:pPr>
            <w:r w:rsidRPr="007075D4">
              <w:rPr>
                <w:rFonts w:ascii="Arial Narrow" w:hAnsi="Arial Narrow" w:cs="Calibri"/>
                <w:sz w:val="20"/>
                <w:szCs w:val="20"/>
                <w:lang w:val="bg-BG"/>
              </w:rPr>
              <w:t>3 274</w:t>
            </w:r>
          </w:p>
        </w:tc>
        <w:tc>
          <w:tcPr>
            <w:tcW w:w="468" w:type="pct"/>
            <w:tcBorders>
              <w:top w:val="nil"/>
              <w:left w:val="nil"/>
              <w:bottom w:val="single" w:sz="4" w:space="0" w:color="auto"/>
              <w:right w:val="single" w:sz="4" w:space="0" w:color="auto"/>
            </w:tcBorders>
            <w:shd w:val="clear" w:color="auto" w:fill="auto"/>
            <w:noWrap/>
            <w:vAlign w:val="center"/>
            <w:hideMark/>
          </w:tcPr>
          <w:p w14:paraId="4FF0083C" w14:textId="77777777" w:rsidR="007075D4" w:rsidRPr="007075D4" w:rsidRDefault="007075D4" w:rsidP="007075D4">
            <w:pPr>
              <w:jc w:val="right"/>
              <w:rPr>
                <w:rFonts w:ascii="Arial Narrow" w:hAnsi="Arial Narrow" w:cs="Calibri"/>
                <w:sz w:val="20"/>
                <w:szCs w:val="20"/>
                <w:lang w:val="bg-BG"/>
              </w:rPr>
            </w:pPr>
            <w:r w:rsidRPr="007075D4">
              <w:rPr>
                <w:rFonts w:ascii="Arial Narrow" w:hAnsi="Arial Narrow" w:cs="Calibri"/>
                <w:sz w:val="20"/>
                <w:szCs w:val="20"/>
                <w:lang w:val="bg-BG"/>
              </w:rPr>
              <w:t>3 356</w:t>
            </w:r>
          </w:p>
        </w:tc>
        <w:tc>
          <w:tcPr>
            <w:tcW w:w="507" w:type="pct"/>
            <w:tcBorders>
              <w:top w:val="nil"/>
              <w:left w:val="nil"/>
              <w:bottom w:val="single" w:sz="4" w:space="0" w:color="auto"/>
              <w:right w:val="single" w:sz="4" w:space="0" w:color="auto"/>
            </w:tcBorders>
            <w:shd w:val="clear" w:color="auto" w:fill="auto"/>
            <w:noWrap/>
            <w:vAlign w:val="center"/>
            <w:hideMark/>
          </w:tcPr>
          <w:p w14:paraId="4678C45B" w14:textId="77777777" w:rsidR="007075D4" w:rsidRPr="007075D4" w:rsidRDefault="007075D4" w:rsidP="007075D4">
            <w:pPr>
              <w:jc w:val="right"/>
              <w:rPr>
                <w:rFonts w:ascii="Arial Narrow" w:hAnsi="Arial Narrow" w:cs="Calibri"/>
                <w:sz w:val="20"/>
                <w:szCs w:val="20"/>
                <w:lang w:val="bg-BG"/>
              </w:rPr>
            </w:pPr>
            <w:r w:rsidRPr="007075D4">
              <w:rPr>
                <w:rFonts w:ascii="Arial Narrow" w:hAnsi="Arial Narrow" w:cs="Calibri"/>
                <w:sz w:val="20"/>
                <w:szCs w:val="20"/>
                <w:lang w:val="bg-BG"/>
              </w:rPr>
              <w:t>2,5%</w:t>
            </w:r>
          </w:p>
        </w:tc>
      </w:tr>
      <w:tr w:rsidR="007075D4" w:rsidRPr="007075D4" w14:paraId="24600BFB" w14:textId="77777777" w:rsidTr="009C6577">
        <w:trPr>
          <w:trHeight w:val="278"/>
        </w:trPr>
        <w:tc>
          <w:tcPr>
            <w:tcW w:w="637" w:type="pct"/>
            <w:tcBorders>
              <w:top w:val="nil"/>
              <w:left w:val="single" w:sz="4" w:space="0" w:color="auto"/>
              <w:bottom w:val="single" w:sz="4" w:space="0" w:color="auto"/>
              <w:right w:val="single" w:sz="4" w:space="0" w:color="auto"/>
            </w:tcBorders>
            <w:shd w:val="clear" w:color="auto" w:fill="auto"/>
            <w:vAlign w:val="center"/>
            <w:hideMark/>
          </w:tcPr>
          <w:p w14:paraId="1D0F69F8" w14:textId="77777777" w:rsidR="007075D4" w:rsidRPr="007075D4" w:rsidRDefault="007075D4" w:rsidP="007075D4">
            <w:pPr>
              <w:rPr>
                <w:rFonts w:ascii="Arial Narrow" w:hAnsi="Arial Narrow" w:cs="Calibri"/>
                <w:sz w:val="20"/>
                <w:szCs w:val="20"/>
                <w:lang w:val="bg-BG"/>
              </w:rPr>
            </w:pPr>
            <w:r w:rsidRPr="007075D4">
              <w:rPr>
                <w:rFonts w:ascii="Arial Narrow" w:hAnsi="Arial Narrow" w:cs="Calibri"/>
                <w:sz w:val="20"/>
                <w:szCs w:val="20"/>
                <w:lang w:val="bg-BG"/>
              </w:rPr>
              <w:t>Орехи</w:t>
            </w:r>
          </w:p>
        </w:tc>
        <w:tc>
          <w:tcPr>
            <w:tcW w:w="467" w:type="pct"/>
            <w:tcBorders>
              <w:top w:val="nil"/>
              <w:left w:val="nil"/>
              <w:bottom w:val="single" w:sz="4" w:space="0" w:color="auto"/>
              <w:right w:val="single" w:sz="4" w:space="0" w:color="auto"/>
            </w:tcBorders>
            <w:shd w:val="clear" w:color="auto" w:fill="auto"/>
            <w:noWrap/>
            <w:vAlign w:val="center"/>
            <w:hideMark/>
          </w:tcPr>
          <w:p w14:paraId="73610E8E" w14:textId="77777777" w:rsidR="007075D4" w:rsidRPr="007075D4" w:rsidRDefault="007075D4" w:rsidP="007075D4">
            <w:pPr>
              <w:jc w:val="right"/>
              <w:rPr>
                <w:rFonts w:ascii="Arial Narrow" w:hAnsi="Arial Narrow" w:cs="Calibri"/>
                <w:sz w:val="20"/>
                <w:szCs w:val="20"/>
                <w:lang w:val="bg-BG"/>
              </w:rPr>
            </w:pPr>
            <w:r w:rsidRPr="007075D4">
              <w:rPr>
                <w:rFonts w:ascii="Arial Narrow" w:hAnsi="Arial Narrow" w:cs="Calibri"/>
                <w:sz w:val="20"/>
                <w:szCs w:val="20"/>
                <w:lang w:val="bg-BG"/>
              </w:rPr>
              <w:t>7 509</w:t>
            </w:r>
          </w:p>
        </w:tc>
        <w:tc>
          <w:tcPr>
            <w:tcW w:w="466" w:type="pct"/>
            <w:tcBorders>
              <w:top w:val="nil"/>
              <w:left w:val="nil"/>
              <w:bottom w:val="single" w:sz="4" w:space="0" w:color="auto"/>
              <w:right w:val="single" w:sz="4" w:space="0" w:color="auto"/>
            </w:tcBorders>
            <w:shd w:val="clear" w:color="auto" w:fill="auto"/>
            <w:noWrap/>
            <w:vAlign w:val="center"/>
            <w:hideMark/>
          </w:tcPr>
          <w:p w14:paraId="6D785804" w14:textId="77777777" w:rsidR="007075D4" w:rsidRPr="007075D4" w:rsidRDefault="007075D4" w:rsidP="007075D4">
            <w:pPr>
              <w:jc w:val="right"/>
              <w:rPr>
                <w:rFonts w:ascii="Arial Narrow" w:hAnsi="Arial Narrow" w:cs="Calibri"/>
                <w:sz w:val="20"/>
                <w:szCs w:val="20"/>
                <w:lang w:val="bg-BG"/>
              </w:rPr>
            </w:pPr>
            <w:r w:rsidRPr="007075D4">
              <w:rPr>
                <w:rFonts w:ascii="Arial Narrow" w:hAnsi="Arial Narrow" w:cs="Calibri"/>
                <w:sz w:val="20"/>
                <w:szCs w:val="20"/>
                <w:lang w:val="bg-BG"/>
              </w:rPr>
              <w:t>7 559</w:t>
            </w:r>
          </w:p>
        </w:tc>
        <w:tc>
          <w:tcPr>
            <w:tcW w:w="527" w:type="pct"/>
            <w:tcBorders>
              <w:top w:val="nil"/>
              <w:left w:val="nil"/>
              <w:bottom w:val="single" w:sz="4" w:space="0" w:color="auto"/>
              <w:right w:val="single" w:sz="4" w:space="0" w:color="auto"/>
            </w:tcBorders>
            <w:shd w:val="clear" w:color="auto" w:fill="auto"/>
            <w:noWrap/>
            <w:vAlign w:val="center"/>
            <w:hideMark/>
          </w:tcPr>
          <w:p w14:paraId="3CD58A2A" w14:textId="77777777" w:rsidR="007075D4" w:rsidRPr="007075D4" w:rsidRDefault="007075D4" w:rsidP="007075D4">
            <w:pPr>
              <w:jc w:val="right"/>
              <w:rPr>
                <w:rFonts w:ascii="Arial Narrow" w:hAnsi="Arial Narrow" w:cs="Calibri"/>
                <w:sz w:val="20"/>
                <w:szCs w:val="20"/>
                <w:lang w:val="bg-BG"/>
              </w:rPr>
            </w:pPr>
            <w:r w:rsidRPr="007075D4">
              <w:rPr>
                <w:rFonts w:ascii="Arial Narrow" w:hAnsi="Arial Narrow" w:cs="Calibri"/>
                <w:sz w:val="20"/>
                <w:szCs w:val="20"/>
                <w:lang w:val="bg-BG"/>
              </w:rPr>
              <w:t>0,7%</w:t>
            </w:r>
          </w:p>
        </w:tc>
        <w:tc>
          <w:tcPr>
            <w:tcW w:w="466" w:type="pct"/>
            <w:tcBorders>
              <w:top w:val="nil"/>
              <w:left w:val="nil"/>
              <w:bottom w:val="single" w:sz="4" w:space="0" w:color="auto"/>
              <w:right w:val="single" w:sz="4" w:space="0" w:color="auto"/>
            </w:tcBorders>
            <w:shd w:val="clear" w:color="auto" w:fill="auto"/>
            <w:noWrap/>
            <w:vAlign w:val="center"/>
            <w:hideMark/>
          </w:tcPr>
          <w:p w14:paraId="672238B5" w14:textId="77777777" w:rsidR="007075D4" w:rsidRPr="007075D4" w:rsidRDefault="007075D4" w:rsidP="007075D4">
            <w:pPr>
              <w:jc w:val="right"/>
              <w:rPr>
                <w:rFonts w:ascii="Arial Narrow" w:hAnsi="Arial Narrow" w:cs="Calibri"/>
                <w:sz w:val="20"/>
                <w:szCs w:val="20"/>
                <w:lang w:val="bg-BG"/>
              </w:rPr>
            </w:pPr>
            <w:r w:rsidRPr="007075D4">
              <w:rPr>
                <w:rFonts w:ascii="Arial Narrow" w:hAnsi="Arial Narrow" w:cs="Calibri"/>
                <w:sz w:val="20"/>
                <w:szCs w:val="20"/>
                <w:lang w:val="bg-BG"/>
              </w:rPr>
              <w:t>459</w:t>
            </w:r>
          </w:p>
        </w:tc>
        <w:tc>
          <w:tcPr>
            <w:tcW w:w="466" w:type="pct"/>
            <w:tcBorders>
              <w:top w:val="nil"/>
              <w:left w:val="nil"/>
              <w:bottom w:val="single" w:sz="4" w:space="0" w:color="auto"/>
              <w:right w:val="single" w:sz="4" w:space="0" w:color="auto"/>
            </w:tcBorders>
            <w:shd w:val="clear" w:color="auto" w:fill="auto"/>
            <w:noWrap/>
            <w:vAlign w:val="center"/>
            <w:hideMark/>
          </w:tcPr>
          <w:p w14:paraId="26E67496" w14:textId="77777777" w:rsidR="007075D4" w:rsidRPr="007075D4" w:rsidRDefault="007075D4" w:rsidP="007075D4">
            <w:pPr>
              <w:jc w:val="right"/>
              <w:rPr>
                <w:rFonts w:ascii="Arial Narrow" w:hAnsi="Arial Narrow" w:cs="Calibri"/>
                <w:sz w:val="20"/>
                <w:szCs w:val="20"/>
                <w:lang w:val="bg-BG"/>
              </w:rPr>
            </w:pPr>
            <w:r w:rsidRPr="007075D4">
              <w:rPr>
                <w:rFonts w:ascii="Arial Narrow" w:hAnsi="Arial Narrow" w:cs="Calibri"/>
                <w:sz w:val="20"/>
                <w:szCs w:val="20"/>
                <w:lang w:val="bg-BG"/>
              </w:rPr>
              <w:t>560</w:t>
            </w:r>
          </w:p>
        </w:tc>
        <w:tc>
          <w:tcPr>
            <w:tcW w:w="527" w:type="pct"/>
            <w:tcBorders>
              <w:top w:val="nil"/>
              <w:left w:val="nil"/>
              <w:bottom w:val="single" w:sz="4" w:space="0" w:color="auto"/>
              <w:right w:val="single" w:sz="4" w:space="0" w:color="auto"/>
            </w:tcBorders>
            <w:shd w:val="clear" w:color="auto" w:fill="auto"/>
            <w:noWrap/>
            <w:vAlign w:val="center"/>
            <w:hideMark/>
          </w:tcPr>
          <w:p w14:paraId="7213697E" w14:textId="77777777" w:rsidR="007075D4" w:rsidRPr="007075D4" w:rsidRDefault="007075D4" w:rsidP="007075D4">
            <w:pPr>
              <w:jc w:val="right"/>
              <w:rPr>
                <w:rFonts w:ascii="Arial Narrow" w:hAnsi="Arial Narrow" w:cs="Calibri"/>
                <w:sz w:val="20"/>
                <w:szCs w:val="20"/>
                <w:lang w:val="bg-BG"/>
              </w:rPr>
            </w:pPr>
            <w:r w:rsidRPr="007075D4">
              <w:rPr>
                <w:rFonts w:ascii="Arial Narrow" w:hAnsi="Arial Narrow" w:cs="Calibri"/>
                <w:sz w:val="20"/>
                <w:szCs w:val="20"/>
                <w:lang w:val="bg-BG"/>
              </w:rPr>
              <w:t>22,0%</w:t>
            </w:r>
          </w:p>
        </w:tc>
        <w:tc>
          <w:tcPr>
            <w:tcW w:w="468" w:type="pct"/>
            <w:tcBorders>
              <w:top w:val="nil"/>
              <w:left w:val="nil"/>
              <w:bottom w:val="single" w:sz="4" w:space="0" w:color="auto"/>
              <w:right w:val="single" w:sz="4" w:space="0" w:color="auto"/>
            </w:tcBorders>
            <w:shd w:val="clear" w:color="auto" w:fill="auto"/>
            <w:noWrap/>
            <w:vAlign w:val="center"/>
            <w:hideMark/>
          </w:tcPr>
          <w:p w14:paraId="6DC30028" w14:textId="77777777" w:rsidR="007075D4" w:rsidRPr="007075D4" w:rsidRDefault="007075D4" w:rsidP="007075D4">
            <w:pPr>
              <w:jc w:val="right"/>
              <w:rPr>
                <w:rFonts w:ascii="Arial Narrow" w:hAnsi="Arial Narrow" w:cs="Calibri"/>
                <w:sz w:val="20"/>
                <w:szCs w:val="20"/>
                <w:lang w:val="bg-BG"/>
              </w:rPr>
            </w:pPr>
            <w:r w:rsidRPr="007075D4">
              <w:rPr>
                <w:rFonts w:ascii="Arial Narrow" w:hAnsi="Arial Narrow" w:cs="Calibri"/>
                <w:sz w:val="20"/>
                <w:szCs w:val="20"/>
                <w:lang w:val="bg-BG"/>
              </w:rPr>
              <w:t>3 450</w:t>
            </w:r>
          </w:p>
        </w:tc>
        <w:tc>
          <w:tcPr>
            <w:tcW w:w="468" w:type="pct"/>
            <w:tcBorders>
              <w:top w:val="nil"/>
              <w:left w:val="nil"/>
              <w:bottom w:val="single" w:sz="4" w:space="0" w:color="auto"/>
              <w:right w:val="single" w:sz="4" w:space="0" w:color="auto"/>
            </w:tcBorders>
            <w:shd w:val="clear" w:color="auto" w:fill="auto"/>
            <w:noWrap/>
            <w:vAlign w:val="center"/>
            <w:hideMark/>
          </w:tcPr>
          <w:p w14:paraId="6CE9E242" w14:textId="77777777" w:rsidR="007075D4" w:rsidRPr="007075D4" w:rsidRDefault="007075D4" w:rsidP="007075D4">
            <w:pPr>
              <w:jc w:val="right"/>
              <w:rPr>
                <w:rFonts w:ascii="Arial Narrow" w:hAnsi="Arial Narrow" w:cs="Calibri"/>
                <w:sz w:val="20"/>
                <w:szCs w:val="20"/>
                <w:lang w:val="bg-BG"/>
              </w:rPr>
            </w:pPr>
            <w:r w:rsidRPr="007075D4">
              <w:rPr>
                <w:rFonts w:ascii="Arial Narrow" w:hAnsi="Arial Narrow" w:cs="Calibri"/>
                <w:sz w:val="20"/>
                <w:szCs w:val="20"/>
                <w:lang w:val="bg-BG"/>
              </w:rPr>
              <w:t>4 235</w:t>
            </w:r>
          </w:p>
        </w:tc>
        <w:tc>
          <w:tcPr>
            <w:tcW w:w="507" w:type="pct"/>
            <w:tcBorders>
              <w:top w:val="nil"/>
              <w:left w:val="nil"/>
              <w:bottom w:val="single" w:sz="4" w:space="0" w:color="auto"/>
              <w:right w:val="single" w:sz="4" w:space="0" w:color="auto"/>
            </w:tcBorders>
            <w:shd w:val="clear" w:color="auto" w:fill="auto"/>
            <w:noWrap/>
            <w:vAlign w:val="center"/>
            <w:hideMark/>
          </w:tcPr>
          <w:p w14:paraId="6399F530" w14:textId="77777777" w:rsidR="007075D4" w:rsidRPr="007075D4" w:rsidRDefault="007075D4" w:rsidP="007075D4">
            <w:pPr>
              <w:jc w:val="right"/>
              <w:rPr>
                <w:rFonts w:ascii="Arial Narrow" w:hAnsi="Arial Narrow" w:cs="Calibri"/>
                <w:sz w:val="20"/>
                <w:szCs w:val="20"/>
                <w:lang w:val="bg-BG"/>
              </w:rPr>
            </w:pPr>
            <w:r w:rsidRPr="007075D4">
              <w:rPr>
                <w:rFonts w:ascii="Arial Narrow" w:hAnsi="Arial Narrow" w:cs="Calibri"/>
                <w:sz w:val="20"/>
                <w:szCs w:val="20"/>
                <w:lang w:val="bg-BG"/>
              </w:rPr>
              <w:t>22,8%</w:t>
            </w:r>
          </w:p>
        </w:tc>
      </w:tr>
      <w:tr w:rsidR="007075D4" w:rsidRPr="007075D4" w14:paraId="3C7DE9A6" w14:textId="77777777" w:rsidTr="009C6577">
        <w:trPr>
          <w:trHeight w:val="278"/>
        </w:trPr>
        <w:tc>
          <w:tcPr>
            <w:tcW w:w="637" w:type="pct"/>
            <w:tcBorders>
              <w:top w:val="nil"/>
              <w:left w:val="single" w:sz="4" w:space="0" w:color="auto"/>
              <w:bottom w:val="single" w:sz="4" w:space="0" w:color="auto"/>
              <w:right w:val="single" w:sz="4" w:space="0" w:color="auto"/>
            </w:tcBorders>
            <w:shd w:val="clear" w:color="auto" w:fill="auto"/>
            <w:vAlign w:val="center"/>
            <w:hideMark/>
          </w:tcPr>
          <w:p w14:paraId="13B851FC" w14:textId="77777777" w:rsidR="007075D4" w:rsidRPr="007075D4" w:rsidRDefault="007075D4" w:rsidP="007075D4">
            <w:pPr>
              <w:rPr>
                <w:rFonts w:ascii="Arial Narrow" w:hAnsi="Arial Narrow" w:cs="Calibri"/>
                <w:sz w:val="20"/>
                <w:szCs w:val="20"/>
                <w:lang w:val="bg-BG"/>
              </w:rPr>
            </w:pPr>
            <w:r w:rsidRPr="007075D4">
              <w:rPr>
                <w:rFonts w:ascii="Arial Narrow" w:hAnsi="Arial Narrow" w:cs="Calibri"/>
                <w:sz w:val="20"/>
                <w:szCs w:val="20"/>
                <w:lang w:val="bg-BG"/>
              </w:rPr>
              <w:lastRenderedPageBreak/>
              <w:t xml:space="preserve">Бадеми </w:t>
            </w:r>
          </w:p>
        </w:tc>
        <w:tc>
          <w:tcPr>
            <w:tcW w:w="467" w:type="pct"/>
            <w:tcBorders>
              <w:top w:val="nil"/>
              <w:left w:val="nil"/>
              <w:bottom w:val="single" w:sz="4" w:space="0" w:color="auto"/>
              <w:right w:val="single" w:sz="4" w:space="0" w:color="auto"/>
            </w:tcBorders>
            <w:shd w:val="clear" w:color="auto" w:fill="auto"/>
            <w:noWrap/>
            <w:vAlign w:val="center"/>
            <w:hideMark/>
          </w:tcPr>
          <w:p w14:paraId="212DF40F" w14:textId="77777777" w:rsidR="007075D4" w:rsidRPr="007075D4" w:rsidRDefault="007075D4" w:rsidP="007075D4">
            <w:pPr>
              <w:jc w:val="right"/>
              <w:rPr>
                <w:rFonts w:ascii="Arial Narrow" w:hAnsi="Arial Narrow" w:cs="Calibri"/>
                <w:sz w:val="20"/>
                <w:szCs w:val="20"/>
                <w:lang w:val="bg-BG"/>
              </w:rPr>
            </w:pPr>
            <w:r w:rsidRPr="007075D4">
              <w:rPr>
                <w:rFonts w:ascii="Arial Narrow" w:hAnsi="Arial Narrow" w:cs="Calibri"/>
                <w:sz w:val="20"/>
                <w:szCs w:val="20"/>
                <w:lang w:val="bg-BG"/>
              </w:rPr>
              <w:t>1 077</w:t>
            </w:r>
          </w:p>
        </w:tc>
        <w:tc>
          <w:tcPr>
            <w:tcW w:w="466" w:type="pct"/>
            <w:tcBorders>
              <w:top w:val="nil"/>
              <w:left w:val="nil"/>
              <w:bottom w:val="single" w:sz="4" w:space="0" w:color="auto"/>
              <w:right w:val="single" w:sz="4" w:space="0" w:color="auto"/>
            </w:tcBorders>
            <w:shd w:val="clear" w:color="auto" w:fill="auto"/>
            <w:noWrap/>
            <w:vAlign w:val="center"/>
            <w:hideMark/>
          </w:tcPr>
          <w:p w14:paraId="7AF8B02C" w14:textId="77777777" w:rsidR="007075D4" w:rsidRPr="007075D4" w:rsidRDefault="007075D4" w:rsidP="007075D4">
            <w:pPr>
              <w:jc w:val="right"/>
              <w:rPr>
                <w:rFonts w:ascii="Arial Narrow" w:hAnsi="Arial Narrow" w:cs="Calibri"/>
                <w:sz w:val="20"/>
                <w:szCs w:val="20"/>
                <w:lang w:val="bg-BG"/>
              </w:rPr>
            </w:pPr>
            <w:r w:rsidRPr="007075D4">
              <w:rPr>
                <w:rFonts w:ascii="Arial Narrow" w:hAnsi="Arial Narrow" w:cs="Calibri"/>
                <w:sz w:val="20"/>
                <w:szCs w:val="20"/>
                <w:lang w:val="bg-BG"/>
              </w:rPr>
              <w:t>1 840</w:t>
            </w:r>
          </w:p>
        </w:tc>
        <w:tc>
          <w:tcPr>
            <w:tcW w:w="527" w:type="pct"/>
            <w:tcBorders>
              <w:top w:val="nil"/>
              <w:left w:val="nil"/>
              <w:bottom w:val="single" w:sz="4" w:space="0" w:color="auto"/>
              <w:right w:val="single" w:sz="4" w:space="0" w:color="auto"/>
            </w:tcBorders>
            <w:shd w:val="clear" w:color="auto" w:fill="auto"/>
            <w:noWrap/>
            <w:vAlign w:val="center"/>
            <w:hideMark/>
          </w:tcPr>
          <w:p w14:paraId="318B8830" w14:textId="77777777" w:rsidR="007075D4" w:rsidRPr="007075D4" w:rsidRDefault="007075D4" w:rsidP="007075D4">
            <w:pPr>
              <w:jc w:val="right"/>
              <w:rPr>
                <w:rFonts w:ascii="Arial Narrow" w:hAnsi="Arial Narrow" w:cs="Calibri"/>
                <w:sz w:val="20"/>
                <w:szCs w:val="20"/>
                <w:lang w:val="bg-BG"/>
              </w:rPr>
            </w:pPr>
            <w:r w:rsidRPr="007075D4">
              <w:rPr>
                <w:rFonts w:ascii="Arial Narrow" w:hAnsi="Arial Narrow" w:cs="Calibri"/>
                <w:sz w:val="20"/>
                <w:szCs w:val="20"/>
                <w:lang w:val="bg-BG"/>
              </w:rPr>
              <w:t>70,8%</w:t>
            </w:r>
          </w:p>
        </w:tc>
        <w:tc>
          <w:tcPr>
            <w:tcW w:w="466" w:type="pct"/>
            <w:tcBorders>
              <w:top w:val="nil"/>
              <w:left w:val="nil"/>
              <w:bottom w:val="single" w:sz="4" w:space="0" w:color="auto"/>
              <w:right w:val="single" w:sz="4" w:space="0" w:color="auto"/>
            </w:tcBorders>
            <w:shd w:val="clear" w:color="auto" w:fill="auto"/>
            <w:noWrap/>
            <w:vAlign w:val="center"/>
            <w:hideMark/>
          </w:tcPr>
          <w:p w14:paraId="50F46B2F" w14:textId="77777777" w:rsidR="007075D4" w:rsidRPr="007075D4" w:rsidRDefault="007075D4" w:rsidP="007075D4">
            <w:pPr>
              <w:jc w:val="right"/>
              <w:rPr>
                <w:rFonts w:ascii="Arial Narrow" w:hAnsi="Arial Narrow" w:cs="Calibri"/>
                <w:sz w:val="20"/>
                <w:szCs w:val="20"/>
                <w:lang w:val="bg-BG"/>
              </w:rPr>
            </w:pPr>
            <w:r w:rsidRPr="007075D4">
              <w:rPr>
                <w:rFonts w:ascii="Arial Narrow" w:hAnsi="Arial Narrow" w:cs="Calibri"/>
                <w:sz w:val="20"/>
                <w:szCs w:val="20"/>
                <w:lang w:val="bg-BG"/>
              </w:rPr>
              <w:t>578</w:t>
            </w:r>
          </w:p>
        </w:tc>
        <w:tc>
          <w:tcPr>
            <w:tcW w:w="466" w:type="pct"/>
            <w:tcBorders>
              <w:top w:val="nil"/>
              <w:left w:val="nil"/>
              <w:bottom w:val="single" w:sz="4" w:space="0" w:color="auto"/>
              <w:right w:val="single" w:sz="4" w:space="0" w:color="auto"/>
            </w:tcBorders>
            <w:shd w:val="clear" w:color="auto" w:fill="auto"/>
            <w:noWrap/>
            <w:vAlign w:val="center"/>
            <w:hideMark/>
          </w:tcPr>
          <w:p w14:paraId="4BC0CA6E" w14:textId="77777777" w:rsidR="007075D4" w:rsidRPr="007075D4" w:rsidRDefault="007075D4" w:rsidP="007075D4">
            <w:pPr>
              <w:jc w:val="right"/>
              <w:rPr>
                <w:rFonts w:ascii="Arial Narrow" w:hAnsi="Arial Narrow" w:cs="Calibri"/>
                <w:sz w:val="20"/>
                <w:szCs w:val="20"/>
                <w:lang w:val="bg-BG"/>
              </w:rPr>
            </w:pPr>
            <w:r w:rsidRPr="007075D4">
              <w:rPr>
                <w:rFonts w:ascii="Arial Narrow" w:hAnsi="Arial Narrow" w:cs="Calibri"/>
                <w:sz w:val="20"/>
                <w:szCs w:val="20"/>
                <w:lang w:val="bg-BG"/>
              </w:rPr>
              <w:t>621</w:t>
            </w:r>
          </w:p>
        </w:tc>
        <w:tc>
          <w:tcPr>
            <w:tcW w:w="527" w:type="pct"/>
            <w:tcBorders>
              <w:top w:val="nil"/>
              <w:left w:val="nil"/>
              <w:bottom w:val="single" w:sz="4" w:space="0" w:color="auto"/>
              <w:right w:val="single" w:sz="4" w:space="0" w:color="auto"/>
            </w:tcBorders>
            <w:shd w:val="clear" w:color="auto" w:fill="auto"/>
            <w:noWrap/>
            <w:vAlign w:val="center"/>
            <w:hideMark/>
          </w:tcPr>
          <w:p w14:paraId="3E22CE6E" w14:textId="77777777" w:rsidR="007075D4" w:rsidRPr="007075D4" w:rsidRDefault="007075D4" w:rsidP="007075D4">
            <w:pPr>
              <w:jc w:val="right"/>
              <w:rPr>
                <w:rFonts w:ascii="Arial Narrow" w:hAnsi="Arial Narrow" w:cs="Calibri"/>
                <w:sz w:val="20"/>
                <w:szCs w:val="20"/>
                <w:lang w:val="bg-BG"/>
              </w:rPr>
            </w:pPr>
            <w:r w:rsidRPr="007075D4">
              <w:rPr>
                <w:rFonts w:ascii="Arial Narrow" w:hAnsi="Arial Narrow" w:cs="Calibri"/>
                <w:sz w:val="20"/>
                <w:szCs w:val="20"/>
                <w:lang w:val="bg-BG"/>
              </w:rPr>
              <w:t>7,4%</w:t>
            </w:r>
          </w:p>
        </w:tc>
        <w:tc>
          <w:tcPr>
            <w:tcW w:w="468" w:type="pct"/>
            <w:tcBorders>
              <w:top w:val="nil"/>
              <w:left w:val="nil"/>
              <w:bottom w:val="single" w:sz="4" w:space="0" w:color="auto"/>
              <w:right w:val="single" w:sz="4" w:space="0" w:color="auto"/>
            </w:tcBorders>
            <w:shd w:val="clear" w:color="auto" w:fill="auto"/>
            <w:noWrap/>
            <w:vAlign w:val="center"/>
            <w:hideMark/>
          </w:tcPr>
          <w:p w14:paraId="58561E16" w14:textId="77777777" w:rsidR="007075D4" w:rsidRPr="007075D4" w:rsidRDefault="007075D4" w:rsidP="007075D4">
            <w:pPr>
              <w:jc w:val="right"/>
              <w:rPr>
                <w:rFonts w:ascii="Arial Narrow" w:hAnsi="Arial Narrow" w:cs="Calibri"/>
                <w:sz w:val="20"/>
                <w:szCs w:val="20"/>
                <w:lang w:val="bg-BG"/>
              </w:rPr>
            </w:pPr>
            <w:r w:rsidRPr="007075D4">
              <w:rPr>
                <w:rFonts w:ascii="Arial Narrow" w:hAnsi="Arial Narrow" w:cs="Calibri"/>
                <w:sz w:val="20"/>
                <w:szCs w:val="20"/>
                <w:lang w:val="bg-BG"/>
              </w:rPr>
              <w:t>622</w:t>
            </w:r>
          </w:p>
        </w:tc>
        <w:tc>
          <w:tcPr>
            <w:tcW w:w="468" w:type="pct"/>
            <w:tcBorders>
              <w:top w:val="nil"/>
              <w:left w:val="nil"/>
              <w:bottom w:val="single" w:sz="4" w:space="0" w:color="auto"/>
              <w:right w:val="single" w:sz="4" w:space="0" w:color="auto"/>
            </w:tcBorders>
            <w:shd w:val="clear" w:color="auto" w:fill="auto"/>
            <w:noWrap/>
            <w:vAlign w:val="center"/>
            <w:hideMark/>
          </w:tcPr>
          <w:p w14:paraId="7ACD20CF" w14:textId="77777777" w:rsidR="007075D4" w:rsidRPr="007075D4" w:rsidRDefault="007075D4" w:rsidP="007075D4">
            <w:pPr>
              <w:jc w:val="right"/>
              <w:rPr>
                <w:rFonts w:ascii="Arial Narrow" w:hAnsi="Arial Narrow" w:cs="Calibri"/>
                <w:sz w:val="20"/>
                <w:szCs w:val="20"/>
                <w:lang w:val="bg-BG"/>
              </w:rPr>
            </w:pPr>
            <w:r w:rsidRPr="007075D4">
              <w:rPr>
                <w:rFonts w:ascii="Arial Narrow" w:hAnsi="Arial Narrow" w:cs="Calibri"/>
                <w:sz w:val="20"/>
                <w:szCs w:val="20"/>
                <w:lang w:val="bg-BG"/>
              </w:rPr>
              <w:t>1 143</w:t>
            </w:r>
          </w:p>
        </w:tc>
        <w:tc>
          <w:tcPr>
            <w:tcW w:w="507" w:type="pct"/>
            <w:tcBorders>
              <w:top w:val="nil"/>
              <w:left w:val="nil"/>
              <w:bottom w:val="single" w:sz="4" w:space="0" w:color="auto"/>
              <w:right w:val="single" w:sz="4" w:space="0" w:color="auto"/>
            </w:tcBorders>
            <w:shd w:val="clear" w:color="auto" w:fill="auto"/>
            <w:noWrap/>
            <w:vAlign w:val="center"/>
            <w:hideMark/>
          </w:tcPr>
          <w:p w14:paraId="2A7097D7" w14:textId="77777777" w:rsidR="007075D4" w:rsidRPr="007075D4" w:rsidRDefault="007075D4" w:rsidP="007075D4">
            <w:pPr>
              <w:jc w:val="right"/>
              <w:rPr>
                <w:rFonts w:ascii="Arial Narrow" w:hAnsi="Arial Narrow" w:cs="Calibri"/>
                <w:sz w:val="20"/>
                <w:szCs w:val="20"/>
                <w:lang w:val="bg-BG"/>
              </w:rPr>
            </w:pPr>
            <w:r w:rsidRPr="007075D4">
              <w:rPr>
                <w:rFonts w:ascii="Arial Narrow" w:hAnsi="Arial Narrow" w:cs="Calibri"/>
                <w:sz w:val="20"/>
                <w:szCs w:val="20"/>
                <w:lang w:val="bg-BG"/>
              </w:rPr>
              <w:t>83,8%</w:t>
            </w:r>
          </w:p>
        </w:tc>
      </w:tr>
      <w:tr w:rsidR="007075D4" w:rsidRPr="007075D4" w14:paraId="68B8AE85" w14:textId="77777777" w:rsidTr="009C6577">
        <w:trPr>
          <w:trHeight w:val="278"/>
        </w:trPr>
        <w:tc>
          <w:tcPr>
            <w:tcW w:w="637" w:type="pct"/>
            <w:tcBorders>
              <w:top w:val="nil"/>
              <w:left w:val="single" w:sz="4" w:space="0" w:color="auto"/>
              <w:bottom w:val="single" w:sz="4" w:space="0" w:color="auto"/>
              <w:right w:val="single" w:sz="4" w:space="0" w:color="auto"/>
            </w:tcBorders>
            <w:shd w:val="clear" w:color="auto" w:fill="auto"/>
            <w:vAlign w:val="center"/>
            <w:hideMark/>
          </w:tcPr>
          <w:p w14:paraId="45795747" w14:textId="77777777" w:rsidR="007075D4" w:rsidRPr="007075D4" w:rsidRDefault="007075D4" w:rsidP="007075D4">
            <w:pPr>
              <w:rPr>
                <w:rFonts w:ascii="Arial Narrow" w:hAnsi="Arial Narrow" w:cs="Calibri"/>
                <w:sz w:val="20"/>
                <w:szCs w:val="20"/>
                <w:lang w:val="bg-BG"/>
              </w:rPr>
            </w:pPr>
            <w:r w:rsidRPr="007075D4">
              <w:rPr>
                <w:rFonts w:ascii="Arial Narrow" w:hAnsi="Arial Narrow" w:cs="Calibri"/>
                <w:sz w:val="20"/>
                <w:szCs w:val="20"/>
                <w:lang w:val="bg-BG"/>
              </w:rPr>
              <w:t xml:space="preserve">Лешници </w:t>
            </w:r>
          </w:p>
        </w:tc>
        <w:tc>
          <w:tcPr>
            <w:tcW w:w="467" w:type="pct"/>
            <w:tcBorders>
              <w:top w:val="nil"/>
              <w:left w:val="nil"/>
              <w:bottom w:val="single" w:sz="4" w:space="0" w:color="auto"/>
              <w:right w:val="single" w:sz="4" w:space="0" w:color="auto"/>
            </w:tcBorders>
            <w:shd w:val="clear" w:color="auto" w:fill="auto"/>
            <w:noWrap/>
            <w:vAlign w:val="center"/>
            <w:hideMark/>
          </w:tcPr>
          <w:p w14:paraId="5B160DB1" w14:textId="77777777" w:rsidR="007075D4" w:rsidRPr="007075D4" w:rsidRDefault="007075D4" w:rsidP="007075D4">
            <w:pPr>
              <w:jc w:val="right"/>
              <w:rPr>
                <w:rFonts w:ascii="Arial Narrow" w:hAnsi="Arial Narrow" w:cs="Calibri"/>
                <w:sz w:val="20"/>
                <w:szCs w:val="20"/>
                <w:lang w:val="bg-BG"/>
              </w:rPr>
            </w:pPr>
            <w:r w:rsidRPr="007075D4">
              <w:rPr>
                <w:rFonts w:ascii="Arial Narrow" w:hAnsi="Arial Narrow" w:cs="Calibri"/>
                <w:sz w:val="20"/>
                <w:szCs w:val="20"/>
                <w:lang w:val="bg-BG"/>
              </w:rPr>
              <w:t>1 727</w:t>
            </w:r>
          </w:p>
        </w:tc>
        <w:tc>
          <w:tcPr>
            <w:tcW w:w="466" w:type="pct"/>
            <w:tcBorders>
              <w:top w:val="nil"/>
              <w:left w:val="nil"/>
              <w:bottom w:val="single" w:sz="4" w:space="0" w:color="auto"/>
              <w:right w:val="single" w:sz="4" w:space="0" w:color="auto"/>
            </w:tcBorders>
            <w:shd w:val="clear" w:color="auto" w:fill="auto"/>
            <w:noWrap/>
            <w:vAlign w:val="center"/>
            <w:hideMark/>
          </w:tcPr>
          <w:p w14:paraId="78182367" w14:textId="77777777" w:rsidR="007075D4" w:rsidRPr="007075D4" w:rsidRDefault="007075D4" w:rsidP="007075D4">
            <w:pPr>
              <w:jc w:val="right"/>
              <w:rPr>
                <w:rFonts w:ascii="Arial Narrow" w:hAnsi="Arial Narrow" w:cs="Calibri"/>
                <w:sz w:val="20"/>
                <w:szCs w:val="20"/>
                <w:lang w:val="bg-BG"/>
              </w:rPr>
            </w:pPr>
            <w:r w:rsidRPr="007075D4">
              <w:rPr>
                <w:rFonts w:ascii="Arial Narrow" w:hAnsi="Arial Narrow" w:cs="Calibri"/>
                <w:sz w:val="20"/>
                <w:szCs w:val="20"/>
                <w:lang w:val="bg-BG"/>
              </w:rPr>
              <w:t>1 724</w:t>
            </w:r>
          </w:p>
        </w:tc>
        <w:tc>
          <w:tcPr>
            <w:tcW w:w="527" w:type="pct"/>
            <w:tcBorders>
              <w:top w:val="nil"/>
              <w:left w:val="nil"/>
              <w:bottom w:val="single" w:sz="4" w:space="0" w:color="auto"/>
              <w:right w:val="single" w:sz="4" w:space="0" w:color="auto"/>
            </w:tcBorders>
            <w:shd w:val="clear" w:color="auto" w:fill="auto"/>
            <w:noWrap/>
            <w:vAlign w:val="center"/>
            <w:hideMark/>
          </w:tcPr>
          <w:p w14:paraId="51131A08" w14:textId="77777777" w:rsidR="007075D4" w:rsidRPr="007075D4" w:rsidRDefault="007075D4" w:rsidP="007075D4">
            <w:pPr>
              <w:jc w:val="right"/>
              <w:rPr>
                <w:rFonts w:ascii="Arial Narrow" w:hAnsi="Arial Narrow" w:cs="Calibri"/>
                <w:sz w:val="20"/>
                <w:szCs w:val="20"/>
                <w:lang w:val="bg-BG"/>
              </w:rPr>
            </w:pPr>
            <w:r w:rsidRPr="007075D4">
              <w:rPr>
                <w:rFonts w:ascii="Arial Narrow" w:hAnsi="Arial Narrow" w:cs="Calibri"/>
                <w:sz w:val="20"/>
                <w:szCs w:val="20"/>
                <w:lang w:val="bg-BG"/>
              </w:rPr>
              <w:t>-0,2%</w:t>
            </w:r>
          </w:p>
        </w:tc>
        <w:tc>
          <w:tcPr>
            <w:tcW w:w="466" w:type="pct"/>
            <w:tcBorders>
              <w:top w:val="nil"/>
              <w:left w:val="nil"/>
              <w:bottom w:val="single" w:sz="4" w:space="0" w:color="auto"/>
              <w:right w:val="single" w:sz="4" w:space="0" w:color="auto"/>
            </w:tcBorders>
            <w:shd w:val="clear" w:color="auto" w:fill="auto"/>
            <w:noWrap/>
            <w:vAlign w:val="center"/>
            <w:hideMark/>
          </w:tcPr>
          <w:p w14:paraId="64DA893C" w14:textId="77777777" w:rsidR="007075D4" w:rsidRPr="007075D4" w:rsidRDefault="007075D4" w:rsidP="007075D4">
            <w:pPr>
              <w:jc w:val="right"/>
              <w:rPr>
                <w:rFonts w:ascii="Arial Narrow" w:hAnsi="Arial Narrow" w:cs="Calibri"/>
                <w:sz w:val="20"/>
                <w:szCs w:val="20"/>
                <w:lang w:val="bg-BG"/>
              </w:rPr>
            </w:pPr>
            <w:r w:rsidRPr="007075D4">
              <w:rPr>
                <w:rFonts w:ascii="Arial Narrow" w:hAnsi="Arial Narrow" w:cs="Calibri"/>
                <w:sz w:val="20"/>
                <w:szCs w:val="20"/>
                <w:lang w:val="bg-BG"/>
              </w:rPr>
              <w:t>463</w:t>
            </w:r>
          </w:p>
        </w:tc>
        <w:tc>
          <w:tcPr>
            <w:tcW w:w="466" w:type="pct"/>
            <w:tcBorders>
              <w:top w:val="nil"/>
              <w:left w:val="nil"/>
              <w:bottom w:val="single" w:sz="4" w:space="0" w:color="auto"/>
              <w:right w:val="single" w:sz="4" w:space="0" w:color="auto"/>
            </w:tcBorders>
            <w:shd w:val="clear" w:color="auto" w:fill="auto"/>
            <w:noWrap/>
            <w:vAlign w:val="center"/>
            <w:hideMark/>
          </w:tcPr>
          <w:p w14:paraId="2ECFA4F4" w14:textId="77777777" w:rsidR="007075D4" w:rsidRPr="007075D4" w:rsidRDefault="007075D4" w:rsidP="007075D4">
            <w:pPr>
              <w:jc w:val="right"/>
              <w:rPr>
                <w:rFonts w:ascii="Arial Narrow" w:hAnsi="Arial Narrow" w:cs="Calibri"/>
                <w:sz w:val="20"/>
                <w:szCs w:val="20"/>
                <w:lang w:val="bg-BG"/>
              </w:rPr>
            </w:pPr>
            <w:r w:rsidRPr="007075D4">
              <w:rPr>
                <w:rFonts w:ascii="Arial Narrow" w:hAnsi="Arial Narrow" w:cs="Calibri"/>
                <w:sz w:val="20"/>
                <w:szCs w:val="20"/>
                <w:lang w:val="bg-BG"/>
              </w:rPr>
              <w:t>502</w:t>
            </w:r>
          </w:p>
        </w:tc>
        <w:tc>
          <w:tcPr>
            <w:tcW w:w="527" w:type="pct"/>
            <w:tcBorders>
              <w:top w:val="nil"/>
              <w:left w:val="nil"/>
              <w:bottom w:val="single" w:sz="4" w:space="0" w:color="auto"/>
              <w:right w:val="single" w:sz="4" w:space="0" w:color="auto"/>
            </w:tcBorders>
            <w:shd w:val="clear" w:color="auto" w:fill="auto"/>
            <w:noWrap/>
            <w:vAlign w:val="center"/>
            <w:hideMark/>
          </w:tcPr>
          <w:p w14:paraId="6EF7FC87" w14:textId="77777777" w:rsidR="007075D4" w:rsidRPr="007075D4" w:rsidRDefault="007075D4" w:rsidP="007075D4">
            <w:pPr>
              <w:jc w:val="right"/>
              <w:rPr>
                <w:rFonts w:ascii="Arial Narrow" w:hAnsi="Arial Narrow" w:cs="Calibri"/>
                <w:sz w:val="20"/>
                <w:szCs w:val="20"/>
                <w:lang w:val="bg-BG"/>
              </w:rPr>
            </w:pPr>
            <w:r w:rsidRPr="007075D4">
              <w:rPr>
                <w:rFonts w:ascii="Arial Narrow" w:hAnsi="Arial Narrow" w:cs="Calibri"/>
                <w:sz w:val="20"/>
                <w:szCs w:val="20"/>
                <w:lang w:val="bg-BG"/>
              </w:rPr>
              <w:t>8,4%</w:t>
            </w:r>
          </w:p>
        </w:tc>
        <w:tc>
          <w:tcPr>
            <w:tcW w:w="468" w:type="pct"/>
            <w:tcBorders>
              <w:top w:val="nil"/>
              <w:left w:val="nil"/>
              <w:bottom w:val="single" w:sz="4" w:space="0" w:color="auto"/>
              <w:right w:val="single" w:sz="4" w:space="0" w:color="auto"/>
            </w:tcBorders>
            <w:shd w:val="clear" w:color="auto" w:fill="auto"/>
            <w:noWrap/>
            <w:vAlign w:val="center"/>
            <w:hideMark/>
          </w:tcPr>
          <w:p w14:paraId="3A9FC9B8" w14:textId="77777777" w:rsidR="007075D4" w:rsidRPr="007075D4" w:rsidRDefault="007075D4" w:rsidP="007075D4">
            <w:pPr>
              <w:jc w:val="right"/>
              <w:rPr>
                <w:rFonts w:ascii="Arial Narrow" w:hAnsi="Arial Narrow" w:cs="Calibri"/>
                <w:sz w:val="20"/>
                <w:szCs w:val="20"/>
                <w:lang w:val="bg-BG"/>
              </w:rPr>
            </w:pPr>
            <w:r w:rsidRPr="007075D4">
              <w:rPr>
                <w:rFonts w:ascii="Arial Narrow" w:hAnsi="Arial Narrow" w:cs="Calibri"/>
                <w:sz w:val="20"/>
                <w:szCs w:val="20"/>
                <w:lang w:val="bg-BG"/>
              </w:rPr>
              <w:t>799</w:t>
            </w:r>
          </w:p>
        </w:tc>
        <w:tc>
          <w:tcPr>
            <w:tcW w:w="468" w:type="pct"/>
            <w:tcBorders>
              <w:top w:val="nil"/>
              <w:left w:val="nil"/>
              <w:bottom w:val="single" w:sz="4" w:space="0" w:color="auto"/>
              <w:right w:val="single" w:sz="4" w:space="0" w:color="auto"/>
            </w:tcBorders>
            <w:shd w:val="clear" w:color="auto" w:fill="auto"/>
            <w:noWrap/>
            <w:vAlign w:val="center"/>
            <w:hideMark/>
          </w:tcPr>
          <w:p w14:paraId="1F0A694B" w14:textId="77777777" w:rsidR="007075D4" w:rsidRPr="007075D4" w:rsidRDefault="007075D4" w:rsidP="007075D4">
            <w:pPr>
              <w:jc w:val="right"/>
              <w:rPr>
                <w:rFonts w:ascii="Arial Narrow" w:hAnsi="Arial Narrow" w:cs="Calibri"/>
                <w:sz w:val="20"/>
                <w:szCs w:val="20"/>
                <w:lang w:val="bg-BG"/>
              </w:rPr>
            </w:pPr>
            <w:r w:rsidRPr="007075D4">
              <w:rPr>
                <w:rFonts w:ascii="Arial Narrow" w:hAnsi="Arial Narrow" w:cs="Calibri"/>
                <w:sz w:val="20"/>
                <w:szCs w:val="20"/>
                <w:lang w:val="bg-BG"/>
              </w:rPr>
              <w:t>865</w:t>
            </w:r>
          </w:p>
        </w:tc>
        <w:tc>
          <w:tcPr>
            <w:tcW w:w="507" w:type="pct"/>
            <w:tcBorders>
              <w:top w:val="nil"/>
              <w:left w:val="nil"/>
              <w:bottom w:val="single" w:sz="4" w:space="0" w:color="auto"/>
              <w:right w:val="single" w:sz="4" w:space="0" w:color="auto"/>
            </w:tcBorders>
            <w:shd w:val="clear" w:color="auto" w:fill="auto"/>
            <w:noWrap/>
            <w:vAlign w:val="center"/>
            <w:hideMark/>
          </w:tcPr>
          <w:p w14:paraId="6D7626BA" w14:textId="77777777" w:rsidR="007075D4" w:rsidRPr="007075D4" w:rsidRDefault="007075D4" w:rsidP="007075D4">
            <w:pPr>
              <w:jc w:val="right"/>
              <w:rPr>
                <w:rFonts w:ascii="Arial Narrow" w:hAnsi="Arial Narrow" w:cs="Calibri"/>
                <w:sz w:val="20"/>
                <w:szCs w:val="20"/>
                <w:lang w:val="bg-BG"/>
              </w:rPr>
            </w:pPr>
            <w:r w:rsidRPr="007075D4">
              <w:rPr>
                <w:rFonts w:ascii="Arial Narrow" w:hAnsi="Arial Narrow" w:cs="Calibri"/>
                <w:sz w:val="20"/>
                <w:szCs w:val="20"/>
                <w:lang w:val="bg-BG"/>
              </w:rPr>
              <w:t>8,3%</w:t>
            </w:r>
          </w:p>
        </w:tc>
      </w:tr>
      <w:tr w:rsidR="007075D4" w:rsidRPr="007075D4" w14:paraId="28491CEE" w14:textId="77777777" w:rsidTr="009C6577">
        <w:trPr>
          <w:trHeight w:val="278"/>
        </w:trPr>
        <w:tc>
          <w:tcPr>
            <w:tcW w:w="637" w:type="pct"/>
            <w:tcBorders>
              <w:top w:val="nil"/>
              <w:left w:val="single" w:sz="4" w:space="0" w:color="auto"/>
              <w:bottom w:val="single" w:sz="4" w:space="0" w:color="auto"/>
              <w:right w:val="single" w:sz="4" w:space="0" w:color="auto"/>
            </w:tcBorders>
            <w:shd w:val="clear" w:color="auto" w:fill="auto"/>
            <w:vAlign w:val="center"/>
            <w:hideMark/>
          </w:tcPr>
          <w:p w14:paraId="100C1563" w14:textId="77777777" w:rsidR="007075D4" w:rsidRPr="007075D4" w:rsidRDefault="007075D4" w:rsidP="007075D4">
            <w:pPr>
              <w:rPr>
                <w:rFonts w:ascii="Arial Narrow" w:hAnsi="Arial Narrow" w:cs="Calibri"/>
                <w:sz w:val="20"/>
                <w:szCs w:val="20"/>
                <w:lang w:val="bg-BG"/>
              </w:rPr>
            </w:pPr>
            <w:r w:rsidRPr="007075D4">
              <w:rPr>
                <w:rFonts w:ascii="Arial Narrow" w:hAnsi="Arial Narrow" w:cs="Calibri"/>
                <w:sz w:val="20"/>
                <w:szCs w:val="20"/>
                <w:lang w:val="bg-BG"/>
              </w:rPr>
              <w:t>Малини</w:t>
            </w:r>
          </w:p>
        </w:tc>
        <w:tc>
          <w:tcPr>
            <w:tcW w:w="467" w:type="pct"/>
            <w:tcBorders>
              <w:top w:val="nil"/>
              <w:left w:val="nil"/>
              <w:bottom w:val="single" w:sz="4" w:space="0" w:color="auto"/>
              <w:right w:val="single" w:sz="4" w:space="0" w:color="auto"/>
            </w:tcBorders>
            <w:shd w:val="clear" w:color="auto" w:fill="auto"/>
            <w:noWrap/>
            <w:vAlign w:val="center"/>
            <w:hideMark/>
          </w:tcPr>
          <w:p w14:paraId="3A9D2E1D" w14:textId="77777777" w:rsidR="007075D4" w:rsidRPr="007075D4" w:rsidRDefault="007075D4" w:rsidP="007075D4">
            <w:pPr>
              <w:jc w:val="right"/>
              <w:rPr>
                <w:rFonts w:ascii="Arial Narrow" w:hAnsi="Arial Narrow" w:cs="Calibri"/>
                <w:sz w:val="20"/>
                <w:szCs w:val="20"/>
                <w:lang w:val="bg-BG"/>
              </w:rPr>
            </w:pPr>
            <w:r w:rsidRPr="007075D4">
              <w:rPr>
                <w:rFonts w:ascii="Arial Narrow" w:hAnsi="Arial Narrow" w:cs="Calibri"/>
                <w:sz w:val="20"/>
                <w:szCs w:val="20"/>
                <w:lang w:val="bg-BG"/>
              </w:rPr>
              <w:t>1 572</w:t>
            </w:r>
          </w:p>
        </w:tc>
        <w:tc>
          <w:tcPr>
            <w:tcW w:w="466" w:type="pct"/>
            <w:tcBorders>
              <w:top w:val="nil"/>
              <w:left w:val="nil"/>
              <w:bottom w:val="single" w:sz="4" w:space="0" w:color="auto"/>
              <w:right w:val="single" w:sz="4" w:space="0" w:color="auto"/>
            </w:tcBorders>
            <w:shd w:val="clear" w:color="auto" w:fill="auto"/>
            <w:noWrap/>
            <w:vAlign w:val="center"/>
            <w:hideMark/>
          </w:tcPr>
          <w:p w14:paraId="3AFEDC63" w14:textId="77777777" w:rsidR="007075D4" w:rsidRPr="007075D4" w:rsidRDefault="007075D4" w:rsidP="007075D4">
            <w:pPr>
              <w:jc w:val="right"/>
              <w:rPr>
                <w:rFonts w:ascii="Arial Narrow" w:hAnsi="Arial Narrow" w:cs="Calibri"/>
                <w:sz w:val="20"/>
                <w:szCs w:val="20"/>
                <w:lang w:val="bg-BG"/>
              </w:rPr>
            </w:pPr>
            <w:r w:rsidRPr="007075D4">
              <w:rPr>
                <w:rFonts w:ascii="Arial Narrow" w:hAnsi="Arial Narrow" w:cs="Calibri"/>
                <w:sz w:val="20"/>
                <w:szCs w:val="20"/>
                <w:lang w:val="bg-BG"/>
              </w:rPr>
              <w:t>1 524</w:t>
            </w:r>
          </w:p>
        </w:tc>
        <w:tc>
          <w:tcPr>
            <w:tcW w:w="527" w:type="pct"/>
            <w:tcBorders>
              <w:top w:val="nil"/>
              <w:left w:val="nil"/>
              <w:bottom w:val="single" w:sz="4" w:space="0" w:color="auto"/>
              <w:right w:val="single" w:sz="4" w:space="0" w:color="auto"/>
            </w:tcBorders>
            <w:shd w:val="clear" w:color="auto" w:fill="auto"/>
            <w:noWrap/>
            <w:vAlign w:val="center"/>
            <w:hideMark/>
          </w:tcPr>
          <w:p w14:paraId="5E59913D" w14:textId="77777777" w:rsidR="007075D4" w:rsidRPr="007075D4" w:rsidRDefault="007075D4" w:rsidP="007075D4">
            <w:pPr>
              <w:jc w:val="right"/>
              <w:rPr>
                <w:rFonts w:ascii="Arial Narrow" w:hAnsi="Arial Narrow" w:cs="Calibri"/>
                <w:sz w:val="20"/>
                <w:szCs w:val="20"/>
                <w:lang w:val="bg-BG"/>
              </w:rPr>
            </w:pPr>
            <w:r w:rsidRPr="007075D4">
              <w:rPr>
                <w:rFonts w:ascii="Arial Narrow" w:hAnsi="Arial Narrow" w:cs="Calibri"/>
                <w:sz w:val="20"/>
                <w:szCs w:val="20"/>
                <w:lang w:val="bg-BG"/>
              </w:rPr>
              <w:t>-3,1%</w:t>
            </w:r>
          </w:p>
        </w:tc>
        <w:tc>
          <w:tcPr>
            <w:tcW w:w="466" w:type="pct"/>
            <w:tcBorders>
              <w:top w:val="nil"/>
              <w:left w:val="nil"/>
              <w:bottom w:val="single" w:sz="4" w:space="0" w:color="auto"/>
              <w:right w:val="single" w:sz="4" w:space="0" w:color="auto"/>
            </w:tcBorders>
            <w:shd w:val="clear" w:color="auto" w:fill="auto"/>
            <w:noWrap/>
            <w:vAlign w:val="center"/>
            <w:hideMark/>
          </w:tcPr>
          <w:p w14:paraId="2D25B1BF" w14:textId="77777777" w:rsidR="007075D4" w:rsidRPr="007075D4" w:rsidRDefault="007075D4" w:rsidP="007075D4">
            <w:pPr>
              <w:jc w:val="right"/>
              <w:rPr>
                <w:rFonts w:ascii="Arial Narrow" w:hAnsi="Arial Narrow" w:cs="Calibri"/>
                <w:sz w:val="20"/>
                <w:szCs w:val="20"/>
                <w:lang w:val="bg-BG"/>
              </w:rPr>
            </w:pPr>
            <w:r w:rsidRPr="007075D4">
              <w:rPr>
                <w:rFonts w:ascii="Arial Narrow" w:hAnsi="Arial Narrow" w:cs="Calibri"/>
                <w:sz w:val="20"/>
                <w:szCs w:val="20"/>
                <w:lang w:val="bg-BG"/>
              </w:rPr>
              <w:t>3 598</w:t>
            </w:r>
          </w:p>
        </w:tc>
        <w:tc>
          <w:tcPr>
            <w:tcW w:w="466" w:type="pct"/>
            <w:tcBorders>
              <w:top w:val="nil"/>
              <w:left w:val="nil"/>
              <w:bottom w:val="single" w:sz="4" w:space="0" w:color="auto"/>
              <w:right w:val="single" w:sz="4" w:space="0" w:color="auto"/>
            </w:tcBorders>
            <w:shd w:val="clear" w:color="auto" w:fill="auto"/>
            <w:noWrap/>
            <w:vAlign w:val="center"/>
            <w:hideMark/>
          </w:tcPr>
          <w:p w14:paraId="1A20A509" w14:textId="77777777" w:rsidR="007075D4" w:rsidRPr="007075D4" w:rsidRDefault="007075D4" w:rsidP="007075D4">
            <w:pPr>
              <w:jc w:val="right"/>
              <w:rPr>
                <w:rFonts w:ascii="Arial Narrow" w:hAnsi="Arial Narrow" w:cs="Calibri"/>
                <w:sz w:val="20"/>
                <w:szCs w:val="20"/>
                <w:lang w:val="bg-BG"/>
              </w:rPr>
            </w:pPr>
            <w:r w:rsidRPr="007075D4">
              <w:rPr>
                <w:rFonts w:ascii="Arial Narrow" w:hAnsi="Arial Narrow" w:cs="Calibri"/>
                <w:sz w:val="20"/>
                <w:szCs w:val="20"/>
                <w:lang w:val="bg-BG"/>
              </w:rPr>
              <w:t>3 360</w:t>
            </w:r>
          </w:p>
        </w:tc>
        <w:tc>
          <w:tcPr>
            <w:tcW w:w="527" w:type="pct"/>
            <w:tcBorders>
              <w:top w:val="nil"/>
              <w:left w:val="nil"/>
              <w:bottom w:val="single" w:sz="4" w:space="0" w:color="auto"/>
              <w:right w:val="single" w:sz="4" w:space="0" w:color="auto"/>
            </w:tcBorders>
            <w:shd w:val="clear" w:color="auto" w:fill="auto"/>
            <w:noWrap/>
            <w:vAlign w:val="center"/>
            <w:hideMark/>
          </w:tcPr>
          <w:p w14:paraId="71680A08" w14:textId="77777777" w:rsidR="007075D4" w:rsidRPr="007075D4" w:rsidRDefault="007075D4" w:rsidP="007075D4">
            <w:pPr>
              <w:jc w:val="right"/>
              <w:rPr>
                <w:rFonts w:ascii="Arial Narrow" w:hAnsi="Arial Narrow" w:cs="Calibri"/>
                <w:sz w:val="20"/>
                <w:szCs w:val="20"/>
                <w:lang w:val="bg-BG"/>
              </w:rPr>
            </w:pPr>
            <w:r w:rsidRPr="007075D4">
              <w:rPr>
                <w:rFonts w:ascii="Arial Narrow" w:hAnsi="Arial Narrow" w:cs="Calibri"/>
                <w:sz w:val="20"/>
                <w:szCs w:val="20"/>
                <w:lang w:val="bg-BG"/>
              </w:rPr>
              <w:t>-6,6%</w:t>
            </w:r>
          </w:p>
        </w:tc>
        <w:tc>
          <w:tcPr>
            <w:tcW w:w="468" w:type="pct"/>
            <w:tcBorders>
              <w:top w:val="nil"/>
              <w:left w:val="nil"/>
              <w:bottom w:val="single" w:sz="4" w:space="0" w:color="auto"/>
              <w:right w:val="single" w:sz="4" w:space="0" w:color="auto"/>
            </w:tcBorders>
            <w:shd w:val="clear" w:color="auto" w:fill="auto"/>
            <w:noWrap/>
            <w:vAlign w:val="center"/>
            <w:hideMark/>
          </w:tcPr>
          <w:p w14:paraId="3F55C4D9" w14:textId="77777777" w:rsidR="007075D4" w:rsidRPr="007075D4" w:rsidRDefault="007075D4" w:rsidP="007075D4">
            <w:pPr>
              <w:jc w:val="right"/>
              <w:rPr>
                <w:rFonts w:ascii="Arial Narrow" w:hAnsi="Arial Narrow" w:cs="Calibri"/>
                <w:sz w:val="20"/>
                <w:szCs w:val="20"/>
                <w:lang w:val="bg-BG"/>
              </w:rPr>
            </w:pPr>
            <w:r w:rsidRPr="007075D4">
              <w:rPr>
                <w:rFonts w:ascii="Arial Narrow" w:hAnsi="Arial Narrow" w:cs="Calibri"/>
                <w:sz w:val="20"/>
                <w:szCs w:val="20"/>
                <w:lang w:val="bg-BG"/>
              </w:rPr>
              <w:t>5 656</w:t>
            </w:r>
          </w:p>
        </w:tc>
        <w:tc>
          <w:tcPr>
            <w:tcW w:w="468" w:type="pct"/>
            <w:tcBorders>
              <w:top w:val="nil"/>
              <w:left w:val="nil"/>
              <w:bottom w:val="single" w:sz="4" w:space="0" w:color="auto"/>
              <w:right w:val="single" w:sz="4" w:space="0" w:color="auto"/>
            </w:tcBorders>
            <w:shd w:val="clear" w:color="auto" w:fill="auto"/>
            <w:noWrap/>
            <w:vAlign w:val="center"/>
            <w:hideMark/>
          </w:tcPr>
          <w:p w14:paraId="586DA10E" w14:textId="77777777" w:rsidR="007075D4" w:rsidRPr="007075D4" w:rsidRDefault="007075D4" w:rsidP="007075D4">
            <w:pPr>
              <w:jc w:val="right"/>
              <w:rPr>
                <w:rFonts w:ascii="Arial Narrow" w:hAnsi="Arial Narrow" w:cs="Calibri"/>
                <w:sz w:val="20"/>
                <w:szCs w:val="20"/>
                <w:lang w:val="bg-BG"/>
              </w:rPr>
            </w:pPr>
            <w:r w:rsidRPr="007075D4">
              <w:rPr>
                <w:rFonts w:ascii="Arial Narrow" w:hAnsi="Arial Narrow" w:cs="Calibri"/>
                <w:sz w:val="20"/>
                <w:szCs w:val="20"/>
                <w:lang w:val="bg-BG"/>
              </w:rPr>
              <w:t>5 121</w:t>
            </w:r>
          </w:p>
        </w:tc>
        <w:tc>
          <w:tcPr>
            <w:tcW w:w="507" w:type="pct"/>
            <w:tcBorders>
              <w:top w:val="nil"/>
              <w:left w:val="nil"/>
              <w:bottom w:val="single" w:sz="4" w:space="0" w:color="auto"/>
              <w:right w:val="single" w:sz="4" w:space="0" w:color="auto"/>
            </w:tcBorders>
            <w:shd w:val="clear" w:color="auto" w:fill="auto"/>
            <w:noWrap/>
            <w:vAlign w:val="center"/>
            <w:hideMark/>
          </w:tcPr>
          <w:p w14:paraId="00C88954" w14:textId="77777777" w:rsidR="007075D4" w:rsidRPr="007075D4" w:rsidRDefault="007075D4" w:rsidP="007075D4">
            <w:pPr>
              <w:jc w:val="right"/>
              <w:rPr>
                <w:rFonts w:ascii="Arial Narrow" w:hAnsi="Arial Narrow" w:cs="Calibri"/>
                <w:sz w:val="20"/>
                <w:szCs w:val="20"/>
                <w:lang w:val="bg-BG"/>
              </w:rPr>
            </w:pPr>
            <w:r w:rsidRPr="007075D4">
              <w:rPr>
                <w:rFonts w:ascii="Arial Narrow" w:hAnsi="Arial Narrow" w:cs="Calibri"/>
                <w:sz w:val="20"/>
                <w:szCs w:val="20"/>
                <w:lang w:val="bg-BG"/>
              </w:rPr>
              <w:t>-9,5%</w:t>
            </w:r>
          </w:p>
        </w:tc>
      </w:tr>
      <w:tr w:rsidR="007075D4" w:rsidRPr="007075D4" w14:paraId="44A40834" w14:textId="77777777" w:rsidTr="009C6577">
        <w:trPr>
          <w:trHeight w:val="474"/>
        </w:trPr>
        <w:tc>
          <w:tcPr>
            <w:tcW w:w="637" w:type="pct"/>
            <w:tcBorders>
              <w:top w:val="nil"/>
              <w:left w:val="single" w:sz="4" w:space="0" w:color="auto"/>
              <w:bottom w:val="single" w:sz="4" w:space="0" w:color="auto"/>
              <w:right w:val="single" w:sz="4" w:space="0" w:color="auto"/>
            </w:tcBorders>
            <w:shd w:val="clear" w:color="auto" w:fill="auto"/>
            <w:vAlign w:val="center"/>
            <w:hideMark/>
          </w:tcPr>
          <w:p w14:paraId="17E79FE5" w14:textId="77777777" w:rsidR="007075D4" w:rsidRPr="007075D4" w:rsidRDefault="007075D4" w:rsidP="007075D4">
            <w:pPr>
              <w:rPr>
                <w:rFonts w:ascii="Arial Narrow" w:hAnsi="Arial Narrow" w:cs="Calibri"/>
                <w:sz w:val="20"/>
                <w:szCs w:val="20"/>
                <w:lang w:val="bg-BG"/>
              </w:rPr>
            </w:pPr>
            <w:r w:rsidRPr="007075D4">
              <w:rPr>
                <w:rFonts w:ascii="Arial Narrow" w:hAnsi="Arial Narrow" w:cs="Calibri"/>
                <w:sz w:val="20"/>
                <w:szCs w:val="20"/>
                <w:lang w:val="bg-BG"/>
              </w:rPr>
              <w:t>Култивирани шипки</w:t>
            </w:r>
          </w:p>
        </w:tc>
        <w:tc>
          <w:tcPr>
            <w:tcW w:w="467" w:type="pct"/>
            <w:tcBorders>
              <w:top w:val="nil"/>
              <w:left w:val="nil"/>
              <w:bottom w:val="single" w:sz="4" w:space="0" w:color="auto"/>
              <w:right w:val="single" w:sz="4" w:space="0" w:color="auto"/>
            </w:tcBorders>
            <w:shd w:val="clear" w:color="auto" w:fill="auto"/>
            <w:noWrap/>
            <w:vAlign w:val="center"/>
            <w:hideMark/>
          </w:tcPr>
          <w:p w14:paraId="2BEDD378" w14:textId="77777777" w:rsidR="007075D4" w:rsidRPr="007075D4" w:rsidRDefault="007075D4" w:rsidP="007075D4">
            <w:pPr>
              <w:jc w:val="right"/>
              <w:rPr>
                <w:rFonts w:ascii="Arial Narrow" w:hAnsi="Arial Narrow" w:cs="Calibri"/>
                <w:sz w:val="20"/>
                <w:szCs w:val="20"/>
                <w:lang w:val="bg-BG"/>
              </w:rPr>
            </w:pPr>
            <w:r w:rsidRPr="007075D4">
              <w:rPr>
                <w:rFonts w:ascii="Arial Narrow" w:hAnsi="Arial Narrow" w:cs="Calibri"/>
                <w:sz w:val="20"/>
                <w:szCs w:val="20"/>
                <w:lang w:val="bg-BG"/>
              </w:rPr>
              <w:t>851</w:t>
            </w:r>
          </w:p>
        </w:tc>
        <w:tc>
          <w:tcPr>
            <w:tcW w:w="466" w:type="pct"/>
            <w:tcBorders>
              <w:top w:val="nil"/>
              <w:left w:val="nil"/>
              <w:bottom w:val="single" w:sz="4" w:space="0" w:color="auto"/>
              <w:right w:val="single" w:sz="4" w:space="0" w:color="auto"/>
            </w:tcBorders>
            <w:shd w:val="clear" w:color="auto" w:fill="auto"/>
            <w:noWrap/>
            <w:vAlign w:val="center"/>
            <w:hideMark/>
          </w:tcPr>
          <w:p w14:paraId="5DD6786C" w14:textId="77777777" w:rsidR="007075D4" w:rsidRPr="007075D4" w:rsidRDefault="007075D4" w:rsidP="007075D4">
            <w:pPr>
              <w:jc w:val="right"/>
              <w:rPr>
                <w:rFonts w:ascii="Arial Narrow" w:hAnsi="Arial Narrow" w:cs="Calibri"/>
                <w:sz w:val="20"/>
                <w:szCs w:val="20"/>
                <w:lang w:val="bg-BG"/>
              </w:rPr>
            </w:pPr>
            <w:r w:rsidRPr="007075D4">
              <w:rPr>
                <w:rFonts w:ascii="Arial Narrow" w:hAnsi="Arial Narrow" w:cs="Calibri"/>
                <w:sz w:val="20"/>
                <w:szCs w:val="20"/>
                <w:lang w:val="bg-BG"/>
              </w:rPr>
              <w:t>1 007</w:t>
            </w:r>
          </w:p>
        </w:tc>
        <w:tc>
          <w:tcPr>
            <w:tcW w:w="527" w:type="pct"/>
            <w:tcBorders>
              <w:top w:val="nil"/>
              <w:left w:val="nil"/>
              <w:bottom w:val="single" w:sz="4" w:space="0" w:color="auto"/>
              <w:right w:val="single" w:sz="4" w:space="0" w:color="auto"/>
            </w:tcBorders>
            <w:shd w:val="clear" w:color="auto" w:fill="auto"/>
            <w:noWrap/>
            <w:vAlign w:val="center"/>
            <w:hideMark/>
          </w:tcPr>
          <w:p w14:paraId="07D6B6EB" w14:textId="77777777" w:rsidR="007075D4" w:rsidRPr="007075D4" w:rsidRDefault="007075D4" w:rsidP="007075D4">
            <w:pPr>
              <w:jc w:val="right"/>
              <w:rPr>
                <w:rFonts w:ascii="Arial Narrow" w:hAnsi="Arial Narrow" w:cs="Calibri"/>
                <w:sz w:val="20"/>
                <w:szCs w:val="20"/>
                <w:lang w:val="bg-BG"/>
              </w:rPr>
            </w:pPr>
            <w:r w:rsidRPr="007075D4">
              <w:rPr>
                <w:rFonts w:ascii="Arial Narrow" w:hAnsi="Arial Narrow" w:cs="Calibri"/>
                <w:sz w:val="20"/>
                <w:szCs w:val="20"/>
                <w:lang w:val="bg-BG"/>
              </w:rPr>
              <w:t>18,3%</w:t>
            </w:r>
          </w:p>
        </w:tc>
        <w:tc>
          <w:tcPr>
            <w:tcW w:w="466" w:type="pct"/>
            <w:tcBorders>
              <w:top w:val="nil"/>
              <w:left w:val="nil"/>
              <w:bottom w:val="single" w:sz="4" w:space="0" w:color="auto"/>
              <w:right w:val="single" w:sz="4" w:space="0" w:color="auto"/>
            </w:tcBorders>
            <w:shd w:val="clear" w:color="auto" w:fill="auto"/>
            <w:noWrap/>
            <w:vAlign w:val="center"/>
            <w:hideMark/>
          </w:tcPr>
          <w:p w14:paraId="533411EA" w14:textId="77777777" w:rsidR="007075D4" w:rsidRPr="007075D4" w:rsidRDefault="007075D4" w:rsidP="007075D4">
            <w:pPr>
              <w:jc w:val="right"/>
              <w:rPr>
                <w:rFonts w:ascii="Arial Narrow" w:hAnsi="Arial Narrow" w:cs="Calibri"/>
                <w:sz w:val="20"/>
                <w:szCs w:val="20"/>
                <w:lang w:val="bg-BG"/>
              </w:rPr>
            </w:pPr>
            <w:r w:rsidRPr="007075D4">
              <w:rPr>
                <w:rFonts w:ascii="Arial Narrow" w:hAnsi="Arial Narrow" w:cs="Calibri"/>
                <w:sz w:val="20"/>
                <w:szCs w:val="20"/>
                <w:lang w:val="bg-BG"/>
              </w:rPr>
              <w:t>1 496</w:t>
            </w:r>
          </w:p>
        </w:tc>
        <w:tc>
          <w:tcPr>
            <w:tcW w:w="466" w:type="pct"/>
            <w:tcBorders>
              <w:top w:val="nil"/>
              <w:left w:val="nil"/>
              <w:bottom w:val="single" w:sz="4" w:space="0" w:color="auto"/>
              <w:right w:val="single" w:sz="4" w:space="0" w:color="auto"/>
            </w:tcBorders>
            <w:shd w:val="clear" w:color="auto" w:fill="auto"/>
            <w:noWrap/>
            <w:vAlign w:val="center"/>
            <w:hideMark/>
          </w:tcPr>
          <w:p w14:paraId="0FA00EDC" w14:textId="77777777" w:rsidR="007075D4" w:rsidRPr="007075D4" w:rsidRDefault="007075D4" w:rsidP="007075D4">
            <w:pPr>
              <w:jc w:val="right"/>
              <w:rPr>
                <w:rFonts w:ascii="Arial Narrow" w:hAnsi="Arial Narrow" w:cs="Calibri"/>
                <w:sz w:val="20"/>
                <w:szCs w:val="20"/>
                <w:lang w:val="bg-BG"/>
              </w:rPr>
            </w:pPr>
            <w:r w:rsidRPr="007075D4">
              <w:rPr>
                <w:rFonts w:ascii="Arial Narrow" w:hAnsi="Arial Narrow" w:cs="Calibri"/>
                <w:sz w:val="20"/>
                <w:szCs w:val="20"/>
                <w:lang w:val="bg-BG"/>
              </w:rPr>
              <w:t>1 254</w:t>
            </w:r>
          </w:p>
        </w:tc>
        <w:tc>
          <w:tcPr>
            <w:tcW w:w="527" w:type="pct"/>
            <w:tcBorders>
              <w:top w:val="nil"/>
              <w:left w:val="nil"/>
              <w:bottom w:val="single" w:sz="4" w:space="0" w:color="auto"/>
              <w:right w:val="single" w:sz="4" w:space="0" w:color="auto"/>
            </w:tcBorders>
            <w:shd w:val="clear" w:color="auto" w:fill="auto"/>
            <w:noWrap/>
            <w:vAlign w:val="center"/>
            <w:hideMark/>
          </w:tcPr>
          <w:p w14:paraId="0A66C107" w14:textId="77777777" w:rsidR="007075D4" w:rsidRPr="007075D4" w:rsidRDefault="007075D4" w:rsidP="007075D4">
            <w:pPr>
              <w:jc w:val="right"/>
              <w:rPr>
                <w:rFonts w:ascii="Arial Narrow" w:hAnsi="Arial Narrow" w:cs="Calibri"/>
                <w:sz w:val="20"/>
                <w:szCs w:val="20"/>
                <w:lang w:val="bg-BG"/>
              </w:rPr>
            </w:pPr>
            <w:r w:rsidRPr="007075D4">
              <w:rPr>
                <w:rFonts w:ascii="Arial Narrow" w:hAnsi="Arial Narrow" w:cs="Calibri"/>
                <w:sz w:val="20"/>
                <w:szCs w:val="20"/>
                <w:lang w:val="bg-BG"/>
              </w:rPr>
              <w:t>-16,2%</w:t>
            </w:r>
          </w:p>
        </w:tc>
        <w:tc>
          <w:tcPr>
            <w:tcW w:w="468" w:type="pct"/>
            <w:tcBorders>
              <w:top w:val="nil"/>
              <w:left w:val="nil"/>
              <w:bottom w:val="single" w:sz="4" w:space="0" w:color="auto"/>
              <w:right w:val="single" w:sz="4" w:space="0" w:color="auto"/>
            </w:tcBorders>
            <w:shd w:val="clear" w:color="auto" w:fill="auto"/>
            <w:noWrap/>
            <w:vAlign w:val="center"/>
            <w:hideMark/>
          </w:tcPr>
          <w:p w14:paraId="2307D860" w14:textId="77777777" w:rsidR="007075D4" w:rsidRPr="007075D4" w:rsidRDefault="007075D4" w:rsidP="007075D4">
            <w:pPr>
              <w:jc w:val="right"/>
              <w:rPr>
                <w:rFonts w:ascii="Arial Narrow" w:hAnsi="Arial Narrow" w:cs="Calibri"/>
                <w:sz w:val="20"/>
                <w:szCs w:val="20"/>
                <w:lang w:val="bg-BG"/>
              </w:rPr>
            </w:pPr>
            <w:r w:rsidRPr="007075D4">
              <w:rPr>
                <w:rFonts w:ascii="Arial Narrow" w:hAnsi="Arial Narrow" w:cs="Calibri"/>
                <w:sz w:val="20"/>
                <w:szCs w:val="20"/>
                <w:lang w:val="bg-BG"/>
              </w:rPr>
              <w:t>1 273</w:t>
            </w:r>
          </w:p>
        </w:tc>
        <w:tc>
          <w:tcPr>
            <w:tcW w:w="468" w:type="pct"/>
            <w:tcBorders>
              <w:top w:val="nil"/>
              <w:left w:val="nil"/>
              <w:bottom w:val="single" w:sz="4" w:space="0" w:color="auto"/>
              <w:right w:val="single" w:sz="4" w:space="0" w:color="auto"/>
            </w:tcBorders>
            <w:shd w:val="clear" w:color="auto" w:fill="auto"/>
            <w:noWrap/>
            <w:vAlign w:val="center"/>
            <w:hideMark/>
          </w:tcPr>
          <w:p w14:paraId="7F04A281" w14:textId="77777777" w:rsidR="007075D4" w:rsidRPr="007075D4" w:rsidRDefault="007075D4" w:rsidP="007075D4">
            <w:pPr>
              <w:jc w:val="right"/>
              <w:rPr>
                <w:rFonts w:ascii="Arial Narrow" w:hAnsi="Arial Narrow" w:cs="Calibri"/>
                <w:sz w:val="20"/>
                <w:szCs w:val="20"/>
                <w:lang w:val="bg-BG"/>
              </w:rPr>
            </w:pPr>
            <w:r w:rsidRPr="007075D4">
              <w:rPr>
                <w:rFonts w:ascii="Arial Narrow" w:hAnsi="Arial Narrow" w:cs="Calibri"/>
                <w:sz w:val="20"/>
                <w:szCs w:val="20"/>
                <w:lang w:val="bg-BG"/>
              </w:rPr>
              <w:t>1 263</w:t>
            </w:r>
          </w:p>
        </w:tc>
        <w:tc>
          <w:tcPr>
            <w:tcW w:w="507" w:type="pct"/>
            <w:tcBorders>
              <w:top w:val="nil"/>
              <w:left w:val="nil"/>
              <w:bottom w:val="single" w:sz="4" w:space="0" w:color="auto"/>
              <w:right w:val="single" w:sz="4" w:space="0" w:color="auto"/>
            </w:tcBorders>
            <w:shd w:val="clear" w:color="auto" w:fill="auto"/>
            <w:noWrap/>
            <w:vAlign w:val="center"/>
            <w:hideMark/>
          </w:tcPr>
          <w:p w14:paraId="6FDB2193" w14:textId="77777777" w:rsidR="007075D4" w:rsidRPr="007075D4" w:rsidRDefault="007075D4" w:rsidP="007075D4">
            <w:pPr>
              <w:jc w:val="right"/>
              <w:rPr>
                <w:rFonts w:ascii="Arial Narrow" w:hAnsi="Arial Narrow" w:cs="Calibri"/>
                <w:sz w:val="20"/>
                <w:szCs w:val="20"/>
                <w:lang w:val="bg-BG"/>
              </w:rPr>
            </w:pPr>
            <w:r w:rsidRPr="007075D4">
              <w:rPr>
                <w:rFonts w:ascii="Arial Narrow" w:hAnsi="Arial Narrow" w:cs="Calibri"/>
                <w:sz w:val="20"/>
                <w:szCs w:val="20"/>
                <w:lang w:val="bg-BG"/>
              </w:rPr>
              <w:t>-0,8%</w:t>
            </w:r>
          </w:p>
        </w:tc>
      </w:tr>
      <w:tr w:rsidR="007075D4" w:rsidRPr="007075D4" w14:paraId="23E65411" w14:textId="77777777" w:rsidTr="009C6577">
        <w:trPr>
          <w:trHeight w:val="711"/>
        </w:trPr>
        <w:tc>
          <w:tcPr>
            <w:tcW w:w="637" w:type="pct"/>
            <w:tcBorders>
              <w:top w:val="nil"/>
              <w:left w:val="single" w:sz="4" w:space="0" w:color="auto"/>
              <w:bottom w:val="single" w:sz="4" w:space="0" w:color="auto"/>
              <w:right w:val="single" w:sz="4" w:space="0" w:color="auto"/>
            </w:tcBorders>
            <w:shd w:val="clear" w:color="auto" w:fill="auto"/>
            <w:vAlign w:val="center"/>
            <w:hideMark/>
          </w:tcPr>
          <w:p w14:paraId="63DB79D9" w14:textId="77777777" w:rsidR="007075D4" w:rsidRPr="007075D4" w:rsidRDefault="007075D4" w:rsidP="007075D4">
            <w:pPr>
              <w:rPr>
                <w:rFonts w:ascii="Arial Narrow" w:hAnsi="Arial Narrow" w:cs="Calibri"/>
                <w:sz w:val="20"/>
                <w:szCs w:val="20"/>
                <w:lang w:val="bg-BG"/>
              </w:rPr>
            </w:pPr>
            <w:r w:rsidRPr="007075D4">
              <w:rPr>
                <w:rFonts w:ascii="Arial Narrow" w:hAnsi="Arial Narrow" w:cs="Calibri"/>
                <w:sz w:val="20"/>
                <w:szCs w:val="20"/>
                <w:lang w:val="bg-BG"/>
              </w:rPr>
              <w:t>Други овощни видове</w:t>
            </w:r>
          </w:p>
        </w:tc>
        <w:tc>
          <w:tcPr>
            <w:tcW w:w="467" w:type="pct"/>
            <w:tcBorders>
              <w:top w:val="nil"/>
              <w:left w:val="nil"/>
              <w:bottom w:val="single" w:sz="4" w:space="0" w:color="auto"/>
              <w:right w:val="single" w:sz="4" w:space="0" w:color="auto"/>
            </w:tcBorders>
            <w:shd w:val="clear" w:color="auto" w:fill="auto"/>
            <w:noWrap/>
            <w:vAlign w:val="center"/>
            <w:hideMark/>
          </w:tcPr>
          <w:p w14:paraId="75DE5431" w14:textId="77777777" w:rsidR="007075D4" w:rsidRPr="007075D4" w:rsidRDefault="007075D4" w:rsidP="007075D4">
            <w:pPr>
              <w:jc w:val="right"/>
              <w:rPr>
                <w:rFonts w:ascii="Arial Narrow" w:hAnsi="Arial Narrow" w:cs="Calibri"/>
                <w:sz w:val="20"/>
                <w:szCs w:val="20"/>
                <w:lang w:val="bg-BG"/>
              </w:rPr>
            </w:pPr>
            <w:r w:rsidRPr="007075D4">
              <w:rPr>
                <w:rFonts w:ascii="Arial Narrow" w:hAnsi="Arial Narrow" w:cs="Calibri"/>
                <w:sz w:val="20"/>
                <w:szCs w:val="20"/>
                <w:lang w:val="bg-BG"/>
              </w:rPr>
              <w:t>530</w:t>
            </w:r>
          </w:p>
        </w:tc>
        <w:tc>
          <w:tcPr>
            <w:tcW w:w="466" w:type="pct"/>
            <w:tcBorders>
              <w:top w:val="nil"/>
              <w:left w:val="nil"/>
              <w:bottom w:val="single" w:sz="4" w:space="0" w:color="auto"/>
              <w:right w:val="single" w:sz="4" w:space="0" w:color="auto"/>
            </w:tcBorders>
            <w:shd w:val="clear" w:color="auto" w:fill="auto"/>
            <w:noWrap/>
            <w:vAlign w:val="center"/>
            <w:hideMark/>
          </w:tcPr>
          <w:p w14:paraId="6D50DE40" w14:textId="77777777" w:rsidR="007075D4" w:rsidRPr="007075D4" w:rsidRDefault="007075D4" w:rsidP="007075D4">
            <w:pPr>
              <w:jc w:val="right"/>
              <w:rPr>
                <w:rFonts w:ascii="Arial Narrow" w:hAnsi="Arial Narrow" w:cs="Calibri"/>
                <w:sz w:val="20"/>
                <w:szCs w:val="20"/>
                <w:lang w:val="bg-BG"/>
              </w:rPr>
            </w:pPr>
            <w:r w:rsidRPr="007075D4">
              <w:rPr>
                <w:rFonts w:ascii="Arial Narrow" w:hAnsi="Arial Narrow" w:cs="Calibri"/>
                <w:sz w:val="20"/>
                <w:szCs w:val="20"/>
                <w:lang w:val="bg-BG"/>
              </w:rPr>
              <w:t>645</w:t>
            </w:r>
          </w:p>
        </w:tc>
        <w:tc>
          <w:tcPr>
            <w:tcW w:w="527" w:type="pct"/>
            <w:tcBorders>
              <w:top w:val="nil"/>
              <w:left w:val="nil"/>
              <w:bottom w:val="single" w:sz="4" w:space="0" w:color="auto"/>
              <w:right w:val="single" w:sz="4" w:space="0" w:color="auto"/>
            </w:tcBorders>
            <w:shd w:val="clear" w:color="auto" w:fill="auto"/>
            <w:noWrap/>
            <w:vAlign w:val="center"/>
            <w:hideMark/>
          </w:tcPr>
          <w:p w14:paraId="526B203B" w14:textId="77777777" w:rsidR="007075D4" w:rsidRPr="007075D4" w:rsidRDefault="007075D4" w:rsidP="007075D4">
            <w:pPr>
              <w:jc w:val="right"/>
              <w:rPr>
                <w:rFonts w:ascii="Arial Narrow" w:hAnsi="Arial Narrow" w:cs="Calibri"/>
                <w:sz w:val="20"/>
                <w:szCs w:val="20"/>
                <w:lang w:val="bg-BG"/>
              </w:rPr>
            </w:pPr>
            <w:r w:rsidRPr="007075D4">
              <w:rPr>
                <w:rFonts w:ascii="Arial Narrow" w:hAnsi="Arial Narrow" w:cs="Calibri"/>
                <w:sz w:val="20"/>
                <w:szCs w:val="20"/>
                <w:lang w:val="bg-BG"/>
              </w:rPr>
              <w:t>21,7%</w:t>
            </w:r>
          </w:p>
        </w:tc>
        <w:tc>
          <w:tcPr>
            <w:tcW w:w="466" w:type="pct"/>
            <w:tcBorders>
              <w:top w:val="nil"/>
              <w:left w:val="nil"/>
              <w:bottom w:val="single" w:sz="4" w:space="0" w:color="auto"/>
              <w:right w:val="single" w:sz="4" w:space="0" w:color="auto"/>
            </w:tcBorders>
            <w:shd w:val="clear" w:color="auto" w:fill="auto"/>
            <w:noWrap/>
            <w:vAlign w:val="center"/>
            <w:hideMark/>
          </w:tcPr>
          <w:p w14:paraId="72C04F52" w14:textId="77777777" w:rsidR="007075D4" w:rsidRPr="007075D4" w:rsidRDefault="007075D4" w:rsidP="007075D4">
            <w:pPr>
              <w:jc w:val="right"/>
              <w:rPr>
                <w:rFonts w:ascii="Arial Narrow" w:hAnsi="Arial Narrow" w:cs="Calibri"/>
                <w:sz w:val="20"/>
                <w:szCs w:val="20"/>
                <w:lang w:val="bg-BG"/>
              </w:rPr>
            </w:pPr>
            <w:r w:rsidRPr="007075D4">
              <w:rPr>
                <w:rFonts w:ascii="Arial Narrow" w:hAnsi="Arial Narrow" w:cs="Calibri"/>
                <w:sz w:val="20"/>
                <w:szCs w:val="20"/>
                <w:lang w:val="bg-BG"/>
              </w:rPr>
              <w:t>-</w:t>
            </w:r>
          </w:p>
        </w:tc>
        <w:tc>
          <w:tcPr>
            <w:tcW w:w="466" w:type="pct"/>
            <w:tcBorders>
              <w:top w:val="nil"/>
              <w:left w:val="nil"/>
              <w:bottom w:val="single" w:sz="4" w:space="0" w:color="auto"/>
              <w:right w:val="single" w:sz="4" w:space="0" w:color="auto"/>
            </w:tcBorders>
            <w:shd w:val="clear" w:color="auto" w:fill="auto"/>
            <w:noWrap/>
            <w:vAlign w:val="center"/>
            <w:hideMark/>
          </w:tcPr>
          <w:p w14:paraId="56AFFF77" w14:textId="77777777" w:rsidR="007075D4" w:rsidRPr="007075D4" w:rsidRDefault="007075D4" w:rsidP="007075D4">
            <w:pPr>
              <w:jc w:val="right"/>
              <w:rPr>
                <w:rFonts w:ascii="Arial Narrow" w:hAnsi="Arial Narrow" w:cs="Calibri"/>
                <w:sz w:val="20"/>
                <w:szCs w:val="20"/>
                <w:lang w:val="bg-BG"/>
              </w:rPr>
            </w:pPr>
            <w:r w:rsidRPr="007075D4">
              <w:rPr>
                <w:rFonts w:ascii="Arial Narrow" w:hAnsi="Arial Narrow" w:cs="Calibri"/>
                <w:sz w:val="20"/>
                <w:szCs w:val="20"/>
                <w:lang w:val="bg-BG"/>
              </w:rPr>
              <w:t>-</w:t>
            </w:r>
          </w:p>
        </w:tc>
        <w:tc>
          <w:tcPr>
            <w:tcW w:w="527" w:type="pct"/>
            <w:tcBorders>
              <w:top w:val="nil"/>
              <w:left w:val="nil"/>
              <w:bottom w:val="single" w:sz="4" w:space="0" w:color="auto"/>
              <w:right w:val="single" w:sz="4" w:space="0" w:color="auto"/>
            </w:tcBorders>
            <w:shd w:val="clear" w:color="auto" w:fill="auto"/>
            <w:noWrap/>
            <w:vAlign w:val="center"/>
            <w:hideMark/>
          </w:tcPr>
          <w:p w14:paraId="38E849AE" w14:textId="77777777" w:rsidR="007075D4" w:rsidRPr="007075D4" w:rsidRDefault="007075D4" w:rsidP="007075D4">
            <w:pPr>
              <w:jc w:val="right"/>
              <w:rPr>
                <w:rFonts w:ascii="Arial Narrow" w:hAnsi="Arial Narrow" w:cs="Calibri"/>
                <w:sz w:val="20"/>
                <w:szCs w:val="20"/>
                <w:lang w:val="bg-BG"/>
              </w:rPr>
            </w:pPr>
            <w:r w:rsidRPr="007075D4">
              <w:rPr>
                <w:rFonts w:ascii="Arial Narrow" w:hAnsi="Arial Narrow" w:cs="Calibri"/>
                <w:sz w:val="20"/>
                <w:szCs w:val="20"/>
                <w:lang w:val="bg-BG"/>
              </w:rPr>
              <w:t>-</w:t>
            </w:r>
          </w:p>
        </w:tc>
        <w:tc>
          <w:tcPr>
            <w:tcW w:w="468" w:type="pct"/>
            <w:tcBorders>
              <w:top w:val="nil"/>
              <w:left w:val="nil"/>
              <w:bottom w:val="single" w:sz="4" w:space="0" w:color="auto"/>
              <w:right w:val="single" w:sz="4" w:space="0" w:color="auto"/>
            </w:tcBorders>
            <w:shd w:val="clear" w:color="auto" w:fill="auto"/>
            <w:noWrap/>
            <w:vAlign w:val="center"/>
            <w:hideMark/>
          </w:tcPr>
          <w:p w14:paraId="425F5CB2" w14:textId="77777777" w:rsidR="007075D4" w:rsidRPr="007075D4" w:rsidRDefault="007075D4" w:rsidP="007075D4">
            <w:pPr>
              <w:jc w:val="right"/>
              <w:rPr>
                <w:rFonts w:ascii="Arial Narrow" w:hAnsi="Arial Narrow" w:cs="Calibri"/>
                <w:sz w:val="20"/>
                <w:szCs w:val="20"/>
                <w:lang w:val="bg-BG"/>
              </w:rPr>
            </w:pPr>
            <w:r w:rsidRPr="007075D4">
              <w:rPr>
                <w:rFonts w:ascii="Arial Narrow" w:hAnsi="Arial Narrow" w:cs="Calibri"/>
                <w:sz w:val="20"/>
                <w:szCs w:val="20"/>
                <w:lang w:val="bg-BG"/>
              </w:rPr>
              <w:t>1 482</w:t>
            </w:r>
          </w:p>
        </w:tc>
        <w:tc>
          <w:tcPr>
            <w:tcW w:w="468" w:type="pct"/>
            <w:tcBorders>
              <w:top w:val="nil"/>
              <w:left w:val="nil"/>
              <w:bottom w:val="single" w:sz="4" w:space="0" w:color="auto"/>
              <w:right w:val="single" w:sz="4" w:space="0" w:color="auto"/>
            </w:tcBorders>
            <w:shd w:val="clear" w:color="auto" w:fill="auto"/>
            <w:noWrap/>
            <w:vAlign w:val="center"/>
            <w:hideMark/>
          </w:tcPr>
          <w:p w14:paraId="5F73F340" w14:textId="77777777" w:rsidR="007075D4" w:rsidRPr="007075D4" w:rsidRDefault="007075D4" w:rsidP="007075D4">
            <w:pPr>
              <w:jc w:val="right"/>
              <w:rPr>
                <w:rFonts w:ascii="Arial Narrow" w:hAnsi="Arial Narrow" w:cs="Calibri"/>
                <w:sz w:val="20"/>
                <w:szCs w:val="20"/>
                <w:lang w:val="bg-BG"/>
              </w:rPr>
            </w:pPr>
            <w:r w:rsidRPr="007075D4">
              <w:rPr>
                <w:rFonts w:ascii="Arial Narrow" w:hAnsi="Arial Narrow" w:cs="Calibri"/>
                <w:sz w:val="20"/>
                <w:szCs w:val="20"/>
                <w:lang w:val="bg-BG"/>
              </w:rPr>
              <w:t>1 765</w:t>
            </w:r>
          </w:p>
        </w:tc>
        <w:tc>
          <w:tcPr>
            <w:tcW w:w="507" w:type="pct"/>
            <w:tcBorders>
              <w:top w:val="nil"/>
              <w:left w:val="nil"/>
              <w:bottom w:val="single" w:sz="4" w:space="0" w:color="auto"/>
              <w:right w:val="single" w:sz="4" w:space="0" w:color="auto"/>
            </w:tcBorders>
            <w:shd w:val="clear" w:color="auto" w:fill="auto"/>
            <w:noWrap/>
            <w:vAlign w:val="center"/>
            <w:hideMark/>
          </w:tcPr>
          <w:p w14:paraId="7E47CF3D" w14:textId="77777777" w:rsidR="007075D4" w:rsidRPr="007075D4" w:rsidRDefault="007075D4" w:rsidP="007075D4">
            <w:pPr>
              <w:jc w:val="right"/>
              <w:rPr>
                <w:rFonts w:ascii="Arial Narrow" w:hAnsi="Arial Narrow" w:cs="Calibri"/>
                <w:sz w:val="20"/>
                <w:szCs w:val="20"/>
                <w:lang w:val="bg-BG"/>
              </w:rPr>
            </w:pPr>
            <w:r w:rsidRPr="007075D4">
              <w:rPr>
                <w:rFonts w:ascii="Arial Narrow" w:hAnsi="Arial Narrow" w:cs="Calibri"/>
                <w:sz w:val="20"/>
                <w:szCs w:val="20"/>
                <w:lang w:val="bg-BG"/>
              </w:rPr>
              <w:t>19,1%</w:t>
            </w:r>
          </w:p>
        </w:tc>
      </w:tr>
      <w:tr w:rsidR="007075D4" w:rsidRPr="007075D4" w14:paraId="63E03A0A" w14:textId="77777777" w:rsidTr="009C6577">
        <w:trPr>
          <w:trHeight w:val="278"/>
        </w:trPr>
        <w:tc>
          <w:tcPr>
            <w:tcW w:w="637" w:type="pct"/>
            <w:tcBorders>
              <w:top w:val="nil"/>
              <w:left w:val="single" w:sz="4" w:space="0" w:color="auto"/>
              <w:bottom w:val="single" w:sz="4" w:space="0" w:color="auto"/>
              <w:right w:val="single" w:sz="4" w:space="0" w:color="auto"/>
            </w:tcBorders>
            <w:shd w:val="clear" w:color="auto" w:fill="auto"/>
            <w:vAlign w:val="center"/>
            <w:hideMark/>
          </w:tcPr>
          <w:p w14:paraId="5633E239" w14:textId="77777777" w:rsidR="007075D4" w:rsidRPr="007075D4" w:rsidRDefault="007075D4" w:rsidP="007075D4">
            <w:pPr>
              <w:rPr>
                <w:rFonts w:ascii="Arial Narrow" w:hAnsi="Arial Narrow" w:cs="Calibri"/>
                <w:b/>
                <w:bCs/>
                <w:sz w:val="20"/>
                <w:szCs w:val="20"/>
                <w:lang w:val="bg-BG"/>
              </w:rPr>
            </w:pPr>
            <w:r w:rsidRPr="007075D4">
              <w:rPr>
                <w:rFonts w:ascii="Arial Narrow" w:hAnsi="Arial Narrow" w:cs="Calibri"/>
                <w:b/>
                <w:bCs/>
                <w:sz w:val="20"/>
                <w:szCs w:val="20"/>
                <w:lang w:val="bg-BG"/>
              </w:rPr>
              <w:t>Общо:</w:t>
            </w:r>
          </w:p>
        </w:tc>
        <w:tc>
          <w:tcPr>
            <w:tcW w:w="467" w:type="pct"/>
            <w:tcBorders>
              <w:top w:val="nil"/>
              <w:left w:val="nil"/>
              <w:bottom w:val="single" w:sz="4" w:space="0" w:color="auto"/>
              <w:right w:val="single" w:sz="4" w:space="0" w:color="auto"/>
            </w:tcBorders>
            <w:shd w:val="clear" w:color="auto" w:fill="auto"/>
            <w:noWrap/>
            <w:vAlign w:val="center"/>
            <w:hideMark/>
          </w:tcPr>
          <w:p w14:paraId="1F7A7A94" w14:textId="77777777" w:rsidR="007075D4" w:rsidRPr="007075D4" w:rsidRDefault="007075D4" w:rsidP="007075D4">
            <w:pPr>
              <w:jc w:val="right"/>
              <w:rPr>
                <w:rFonts w:ascii="Arial Narrow" w:hAnsi="Arial Narrow" w:cs="Calibri"/>
                <w:b/>
                <w:bCs/>
                <w:sz w:val="20"/>
                <w:szCs w:val="20"/>
                <w:lang w:val="bg-BG"/>
              </w:rPr>
            </w:pPr>
            <w:r w:rsidRPr="007075D4">
              <w:rPr>
                <w:rFonts w:ascii="Arial Narrow" w:hAnsi="Arial Narrow" w:cs="Calibri"/>
                <w:b/>
                <w:bCs/>
                <w:sz w:val="20"/>
                <w:szCs w:val="20"/>
                <w:lang w:val="bg-BG"/>
              </w:rPr>
              <w:t>40 816</w:t>
            </w:r>
          </w:p>
        </w:tc>
        <w:tc>
          <w:tcPr>
            <w:tcW w:w="466" w:type="pct"/>
            <w:tcBorders>
              <w:top w:val="nil"/>
              <w:left w:val="nil"/>
              <w:bottom w:val="single" w:sz="4" w:space="0" w:color="auto"/>
              <w:right w:val="single" w:sz="4" w:space="0" w:color="auto"/>
            </w:tcBorders>
            <w:shd w:val="clear" w:color="auto" w:fill="auto"/>
            <w:noWrap/>
            <w:vAlign w:val="center"/>
            <w:hideMark/>
          </w:tcPr>
          <w:p w14:paraId="38BD3963" w14:textId="77777777" w:rsidR="007075D4" w:rsidRPr="007075D4" w:rsidRDefault="007075D4" w:rsidP="007075D4">
            <w:pPr>
              <w:jc w:val="right"/>
              <w:rPr>
                <w:rFonts w:ascii="Arial Narrow" w:hAnsi="Arial Narrow" w:cs="Calibri"/>
                <w:b/>
                <w:bCs/>
                <w:sz w:val="20"/>
                <w:szCs w:val="20"/>
                <w:lang w:val="bg-BG"/>
              </w:rPr>
            </w:pPr>
            <w:r w:rsidRPr="007075D4">
              <w:rPr>
                <w:rFonts w:ascii="Arial Narrow" w:hAnsi="Arial Narrow" w:cs="Calibri"/>
                <w:b/>
                <w:bCs/>
                <w:sz w:val="20"/>
                <w:szCs w:val="20"/>
                <w:lang w:val="bg-BG"/>
              </w:rPr>
              <w:t>44 718</w:t>
            </w:r>
          </w:p>
        </w:tc>
        <w:tc>
          <w:tcPr>
            <w:tcW w:w="527" w:type="pct"/>
            <w:tcBorders>
              <w:top w:val="nil"/>
              <w:left w:val="nil"/>
              <w:bottom w:val="single" w:sz="4" w:space="0" w:color="auto"/>
              <w:right w:val="single" w:sz="4" w:space="0" w:color="auto"/>
            </w:tcBorders>
            <w:shd w:val="clear" w:color="auto" w:fill="auto"/>
            <w:noWrap/>
            <w:vAlign w:val="center"/>
            <w:hideMark/>
          </w:tcPr>
          <w:p w14:paraId="4E4F5897" w14:textId="77777777" w:rsidR="007075D4" w:rsidRPr="007075D4" w:rsidRDefault="007075D4" w:rsidP="007075D4">
            <w:pPr>
              <w:jc w:val="right"/>
              <w:rPr>
                <w:rFonts w:ascii="Arial Narrow" w:hAnsi="Arial Narrow" w:cs="Calibri"/>
                <w:b/>
                <w:bCs/>
                <w:sz w:val="20"/>
                <w:szCs w:val="20"/>
                <w:lang w:val="bg-BG"/>
              </w:rPr>
            </w:pPr>
            <w:r w:rsidRPr="007075D4">
              <w:rPr>
                <w:rFonts w:ascii="Arial Narrow" w:hAnsi="Arial Narrow" w:cs="Calibri"/>
                <w:b/>
                <w:bCs/>
                <w:sz w:val="20"/>
                <w:szCs w:val="20"/>
                <w:lang w:val="bg-BG"/>
              </w:rPr>
              <w:t>9,6%</w:t>
            </w:r>
          </w:p>
        </w:tc>
        <w:tc>
          <w:tcPr>
            <w:tcW w:w="466" w:type="pct"/>
            <w:tcBorders>
              <w:top w:val="nil"/>
              <w:left w:val="nil"/>
              <w:bottom w:val="single" w:sz="4" w:space="0" w:color="auto"/>
              <w:right w:val="single" w:sz="4" w:space="0" w:color="auto"/>
            </w:tcBorders>
            <w:shd w:val="clear" w:color="auto" w:fill="auto"/>
            <w:noWrap/>
            <w:vAlign w:val="center"/>
            <w:hideMark/>
          </w:tcPr>
          <w:p w14:paraId="55067996" w14:textId="77777777" w:rsidR="007075D4" w:rsidRPr="007075D4" w:rsidRDefault="007075D4" w:rsidP="007075D4">
            <w:pPr>
              <w:jc w:val="right"/>
              <w:rPr>
                <w:rFonts w:ascii="Arial Narrow" w:hAnsi="Arial Narrow" w:cs="Calibri"/>
                <w:b/>
                <w:bCs/>
                <w:sz w:val="20"/>
                <w:szCs w:val="20"/>
                <w:lang w:val="bg-BG"/>
              </w:rPr>
            </w:pPr>
            <w:r w:rsidRPr="007075D4">
              <w:rPr>
                <w:rFonts w:ascii="Arial Narrow" w:hAnsi="Arial Narrow" w:cs="Calibri"/>
                <w:b/>
                <w:bCs/>
                <w:sz w:val="20"/>
                <w:szCs w:val="20"/>
                <w:lang w:val="bg-BG"/>
              </w:rPr>
              <w:t>-</w:t>
            </w:r>
          </w:p>
        </w:tc>
        <w:tc>
          <w:tcPr>
            <w:tcW w:w="466" w:type="pct"/>
            <w:tcBorders>
              <w:top w:val="nil"/>
              <w:left w:val="nil"/>
              <w:bottom w:val="single" w:sz="4" w:space="0" w:color="auto"/>
              <w:right w:val="single" w:sz="4" w:space="0" w:color="auto"/>
            </w:tcBorders>
            <w:shd w:val="clear" w:color="auto" w:fill="auto"/>
            <w:noWrap/>
            <w:vAlign w:val="center"/>
            <w:hideMark/>
          </w:tcPr>
          <w:p w14:paraId="74735C6F" w14:textId="77777777" w:rsidR="007075D4" w:rsidRPr="007075D4" w:rsidRDefault="007075D4" w:rsidP="007075D4">
            <w:pPr>
              <w:jc w:val="right"/>
              <w:rPr>
                <w:rFonts w:ascii="Arial Narrow" w:hAnsi="Arial Narrow" w:cs="Calibri"/>
                <w:b/>
                <w:bCs/>
                <w:sz w:val="20"/>
                <w:szCs w:val="20"/>
                <w:lang w:val="bg-BG"/>
              </w:rPr>
            </w:pPr>
            <w:r w:rsidRPr="007075D4">
              <w:rPr>
                <w:rFonts w:ascii="Arial Narrow" w:hAnsi="Arial Narrow" w:cs="Calibri"/>
                <w:b/>
                <w:bCs/>
                <w:sz w:val="20"/>
                <w:szCs w:val="20"/>
                <w:lang w:val="bg-BG"/>
              </w:rPr>
              <w:t>-</w:t>
            </w:r>
          </w:p>
        </w:tc>
        <w:tc>
          <w:tcPr>
            <w:tcW w:w="527" w:type="pct"/>
            <w:tcBorders>
              <w:top w:val="nil"/>
              <w:left w:val="nil"/>
              <w:bottom w:val="single" w:sz="4" w:space="0" w:color="auto"/>
              <w:right w:val="single" w:sz="4" w:space="0" w:color="auto"/>
            </w:tcBorders>
            <w:shd w:val="clear" w:color="auto" w:fill="auto"/>
            <w:noWrap/>
            <w:vAlign w:val="center"/>
            <w:hideMark/>
          </w:tcPr>
          <w:p w14:paraId="08AE1294" w14:textId="77777777" w:rsidR="007075D4" w:rsidRPr="007075D4" w:rsidRDefault="007075D4" w:rsidP="007075D4">
            <w:pPr>
              <w:jc w:val="right"/>
              <w:rPr>
                <w:rFonts w:ascii="Arial Narrow" w:hAnsi="Arial Narrow" w:cs="Calibri"/>
                <w:b/>
                <w:bCs/>
                <w:sz w:val="20"/>
                <w:szCs w:val="20"/>
                <w:lang w:val="bg-BG"/>
              </w:rPr>
            </w:pPr>
            <w:r w:rsidRPr="007075D4">
              <w:rPr>
                <w:rFonts w:ascii="Arial Narrow" w:hAnsi="Arial Narrow" w:cs="Calibri"/>
                <w:b/>
                <w:bCs/>
                <w:sz w:val="20"/>
                <w:szCs w:val="20"/>
                <w:lang w:val="bg-BG"/>
              </w:rPr>
              <w:t>-</w:t>
            </w:r>
          </w:p>
        </w:tc>
        <w:tc>
          <w:tcPr>
            <w:tcW w:w="468" w:type="pct"/>
            <w:tcBorders>
              <w:top w:val="nil"/>
              <w:left w:val="nil"/>
              <w:bottom w:val="single" w:sz="4" w:space="0" w:color="auto"/>
              <w:right w:val="single" w:sz="4" w:space="0" w:color="auto"/>
            </w:tcBorders>
            <w:shd w:val="clear" w:color="auto" w:fill="auto"/>
            <w:noWrap/>
            <w:vAlign w:val="center"/>
            <w:hideMark/>
          </w:tcPr>
          <w:p w14:paraId="190B5BCF" w14:textId="77777777" w:rsidR="007075D4" w:rsidRPr="007075D4" w:rsidRDefault="007075D4" w:rsidP="007075D4">
            <w:pPr>
              <w:jc w:val="right"/>
              <w:rPr>
                <w:rFonts w:ascii="Arial Narrow" w:hAnsi="Arial Narrow" w:cs="Calibri"/>
                <w:b/>
                <w:bCs/>
                <w:sz w:val="20"/>
                <w:szCs w:val="20"/>
                <w:lang w:val="bg-BG"/>
              </w:rPr>
            </w:pPr>
            <w:r w:rsidRPr="007075D4">
              <w:rPr>
                <w:rFonts w:ascii="Arial Narrow" w:hAnsi="Arial Narrow" w:cs="Calibri"/>
                <w:b/>
                <w:bCs/>
                <w:sz w:val="20"/>
                <w:szCs w:val="20"/>
                <w:lang w:val="bg-BG"/>
              </w:rPr>
              <w:t>179 613</w:t>
            </w:r>
          </w:p>
        </w:tc>
        <w:tc>
          <w:tcPr>
            <w:tcW w:w="468" w:type="pct"/>
            <w:tcBorders>
              <w:top w:val="nil"/>
              <w:left w:val="nil"/>
              <w:bottom w:val="single" w:sz="4" w:space="0" w:color="auto"/>
              <w:right w:val="single" w:sz="4" w:space="0" w:color="auto"/>
            </w:tcBorders>
            <w:shd w:val="clear" w:color="auto" w:fill="auto"/>
            <w:noWrap/>
            <w:vAlign w:val="center"/>
            <w:hideMark/>
          </w:tcPr>
          <w:p w14:paraId="63CDD5D6" w14:textId="77777777" w:rsidR="007075D4" w:rsidRPr="007075D4" w:rsidRDefault="007075D4" w:rsidP="007075D4">
            <w:pPr>
              <w:jc w:val="right"/>
              <w:rPr>
                <w:rFonts w:ascii="Arial Narrow" w:hAnsi="Arial Narrow" w:cs="Calibri"/>
                <w:b/>
                <w:bCs/>
                <w:sz w:val="20"/>
                <w:szCs w:val="20"/>
                <w:lang w:val="bg-BG"/>
              </w:rPr>
            </w:pPr>
            <w:r w:rsidRPr="007075D4">
              <w:rPr>
                <w:rFonts w:ascii="Arial Narrow" w:hAnsi="Arial Narrow" w:cs="Calibri"/>
                <w:b/>
                <w:bCs/>
                <w:sz w:val="20"/>
                <w:szCs w:val="20"/>
                <w:lang w:val="bg-BG"/>
              </w:rPr>
              <w:t>204 913</w:t>
            </w:r>
          </w:p>
        </w:tc>
        <w:tc>
          <w:tcPr>
            <w:tcW w:w="507" w:type="pct"/>
            <w:tcBorders>
              <w:top w:val="nil"/>
              <w:left w:val="nil"/>
              <w:bottom w:val="single" w:sz="4" w:space="0" w:color="auto"/>
              <w:right w:val="single" w:sz="4" w:space="0" w:color="auto"/>
            </w:tcBorders>
            <w:shd w:val="clear" w:color="auto" w:fill="auto"/>
            <w:noWrap/>
            <w:vAlign w:val="center"/>
            <w:hideMark/>
          </w:tcPr>
          <w:p w14:paraId="6A915113" w14:textId="77777777" w:rsidR="007075D4" w:rsidRPr="007075D4" w:rsidRDefault="007075D4" w:rsidP="007075D4">
            <w:pPr>
              <w:jc w:val="right"/>
              <w:rPr>
                <w:rFonts w:ascii="Arial Narrow" w:hAnsi="Arial Narrow" w:cs="Calibri"/>
                <w:b/>
                <w:bCs/>
                <w:sz w:val="20"/>
                <w:szCs w:val="20"/>
                <w:lang w:val="bg-BG"/>
              </w:rPr>
            </w:pPr>
            <w:r w:rsidRPr="007075D4">
              <w:rPr>
                <w:rFonts w:ascii="Arial Narrow" w:hAnsi="Arial Narrow" w:cs="Calibri"/>
                <w:b/>
                <w:bCs/>
                <w:sz w:val="20"/>
                <w:szCs w:val="20"/>
                <w:lang w:val="bg-BG"/>
              </w:rPr>
              <w:t>14,1%</w:t>
            </w:r>
          </w:p>
        </w:tc>
      </w:tr>
    </w:tbl>
    <w:p w14:paraId="2C1F804E" w14:textId="77777777" w:rsidR="007075D4" w:rsidRPr="009C6577" w:rsidRDefault="007075D4" w:rsidP="007075D4">
      <w:pPr>
        <w:autoSpaceDE w:val="0"/>
        <w:autoSpaceDN w:val="0"/>
        <w:adjustRightInd w:val="0"/>
        <w:spacing w:after="120"/>
        <w:jc w:val="both"/>
        <w:rPr>
          <w:rFonts w:ascii="Arial Narrow" w:hAnsi="Arial Narrow"/>
          <w:i/>
          <w:sz w:val="20"/>
          <w:szCs w:val="20"/>
          <w:lang w:val="bg-BG" w:eastAsia="bg-BG"/>
        </w:rPr>
      </w:pPr>
      <w:r w:rsidRPr="009C6577">
        <w:rPr>
          <w:rFonts w:ascii="Arial Narrow" w:hAnsi="Arial Narrow"/>
          <w:i/>
          <w:sz w:val="18"/>
          <w:szCs w:val="18"/>
          <w:lang w:val="bg-BG" w:eastAsia="bg-BG"/>
        </w:rPr>
        <w:t xml:space="preserve">Източник: </w:t>
      </w:r>
      <w:r w:rsidRPr="009C6577">
        <w:rPr>
          <w:rFonts w:ascii="Arial Narrow" w:hAnsi="Arial Narrow"/>
          <w:sz w:val="18"/>
          <w:szCs w:val="18"/>
          <w:lang w:val="bg-BG" w:eastAsia="bg-BG"/>
        </w:rPr>
        <w:t>МЗХ, отдел “Агростатистика”</w:t>
      </w:r>
    </w:p>
    <w:p w14:paraId="4F89EEAD" w14:textId="77777777" w:rsidR="007075D4" w:rsidRPr="007075D4" w:rsidRDefault="007075D4" w:rsidP="007075D4">
      <w:pPr>
        <w:widowControl w:val="0"/>
        <w:spacing w:after="120"/>
        <w:ind w:firstLine="709"/>
        <w:jc w:val="both"/>
        <w:rPr>
          <w:sz w:val="28"/>
          <w:szCs w:val="20"/>
          <w:lang w:val="bg-BG"/>
        </w:rPr>
      </w:pPr>
      <w:r w:rsidRPr="007075D4">
        <w:rPr>
          <w:rFonts w:ascii="Arial Narrow" w:hAnsi="Arial Narrow"/>
          <w:lang w:val="bg-BG"/>
        </w:rPr>
        <w:t xml:space="preserve">През 2024 г. се отчита сериозно повишение на средните добиви от орехи (с 22%) и кайсии и зарзали (със 17,2%) спрямо предходната година. По-умерено нарастват средните добиви от сливи и джанки, череши, праскови и нектарини, ябълки, бадеми и лешници </w:t>
      </w:r>
      <w:r w:rsidR="00CA32C6">
        <w:rPr>
          <w:rFonts w:ascii="Arial Narrow" w:hAnsi="Arial Narrow"/>
          <w:lang w:val="bg-BG"/>
        </w:rPr>
        <w:t>-</w:t>
      </w:r>
      <w:r w:rsidRPr="007075D4">
        <w:rPr>
          <w:rFonts w:ascii="Arial Narrow" w:hAnsi="Arial Narrow"/>
          <w:lang w:val="bg-BG"/>
        </w:rPr>
        <w:t xml:space="preserve"> в рамките на 1,7% - 8,4%, докато  тези от круши, вишни, малини и култивирани шипки намаляват с между 1,4% и 16,2%.   </w:t>
      </w:r>
    </w:p>
    <w:p w14:paraId="7996417B" w14:textId="77777777" w:rsidR="007075D4" w:rsidRPr="00CA32C6" w:rsidRDefault="007075D4" w:rsidP="00CA32C6">
      <w:pPr>
        <w:widowControl w:val="0"/>
        <w:spacing w:after="120"/>
        <w:ind w:firstLine="709"/>
        <w:jc w:val="both"/>
        <w:rPr>
          <w:rFonts w:ascii="Arial Narrow" w:hAnsi="Arial Narrow"/>
          <w:highlight w:val="yellow"/>
          <w:lang w:val="bg-BG"/>
        </w:rPr>
      </w:pPr>
      <w:r w:rsidRPr="007075D4">
        <w:rPr>
          <w:rFonts w:ascii="Arial Narrow" w:hAnsi="Arial Narrow"/>
          <w:lang w:val="bg-BG"/>
        </w:rPr>
        <w:t xml:space="preserve">Реализирани са 97% от произведените плодове. Най-голям е делът на продукцията, предназначена за директни </w:t>
      </w:r>
      <w:r w:rsidR="00CA32C6">
        <w:rPr>
          <w:rFonts w:ascii="Arial Narrow" w:hAnsi="Arial Narrow"/>
          <w:lang w:val="bg-BG"/>
        </w:rPr>
        <w:t>продажби и в търговската мрежа -</w:t>
      </w:r>
      <w:r w:rsidRPr="007075D4">
        <w:rPr>
          <w:rFonts w:ascii="Arial Narrow" w:hAnsi="Arial Narrow"/>
          <w:lang w:val="bg-BG"/>
        </w:rPr>
        <w:t xml:space="preserve"> 52%, а количествата за преработка са 41%.</w:t>
      </w:r>
    </w:p>
    <w:p w14:paraId="145AF556" w14:textId="77777777" w:rsidR="00CA32C6" w:rsidRPr="00CA32C6" w:rsidRDefault="000B2CAB" w:rsidP="00CA32C6">
      <w:pPr>
        <w:pStyle w:val="ListParagraph"/>
        <w:keepNext/>
        <w:widowControl w:val="0"/>
        <w:numPr>
          <w:ilvl w:val="2"/>
          <w:numId w:val="8"/>
        </w:numPr>
        <w:tabs>
          <w:tab w:val="left" w:pos="900"/>
          <w:tab w:val="left" w:pos="990"/>
        </w:tabs>
        <w:spacing w:before="120" w:after="120"/>
        <w:ind w:left="901" w:hanging="544"/>
        <w:contextualSpacing w:val="0"/>
        <w:jc w:val="both"/>
        <w:outlineLvl w:val="0"/>
        <w:rPr>
          <w:rFonts w:ascii="Arial Narrow" w:hAnsi="Arial Narrow"/>
          <w:b/>
          <w:lang w:val="bg-BG" w:eastAsia="bg-BG"/>
        </w:rPr>
      </w:pPr>
      <w:bookmarkStart w:id="43" w:name="_Toc210747547"/>
      <w:r w:rsidRPr="00CA32C6">
        <w:rPr>
          <w:rFonts w:ascii="Arial Narrow" w:hAnsi="Arial Narrow"/>
          <w:b/>
          <w:lang w:val="bg-BG" w:eastAsia="bg-BG"/>
        </w:rPr>
        <w:t>Зеленчуци</w:t>
      </w:r>
      <w:bookmarkEnd w:id="43"/>
    </w:p>
    <w:p w14:paraId="00829C38" w14:textId="77777777" w:rsidR="00CA32C6" w:rsidRPr="00CA32C6" w:rsidRDefault="00CA32C6" w:rsidP="00CA32C6">
      <w:pPr>
        <w:widowControl w:val="0"/>
        <w:spacing w:after="120"/>
        <w:ind w:firstLine="709"/>
        <w:jc w:val="both"/>
        <w:rPr>
          <w:rFonts w:ascii="Arial Narrow" w:hAnsi="Arial Narrow"/>
          <w:lang w:val="bg-BG"/>
        </w:rPr>
      </w:pPr>
      <w:r w:rsidRPr="00CA32C6">
        <w:rPr>
          <w:rFonts w:ascii="Arial Narrow" w:hAnsi="Arial Narrow"/>
          <w:lang w:val="bg-BG"/>
        </w:rPr>
        <w:t>През 2024 г. основните площи, използвани за производство на зеленчуци в земеделските стопанства, са 35 566 ха, което е с 15,9% повече от предходната година. Откритите площи, засадени с пресни зеленчуци, ягоди, картофи и бобови култури, възлизат на 34 350 ха, отбелязвайки ръст от 16,4% на годишна база. Оранжерийните площи нарастват с 5,4% спрямо 2023 г., до 1 216 ха.</w:t>
      </w:r>
    </w:p>
    <w:p w14:paraId="2DAFB7C2" w14:textId="77777777" w:rsidR="00CA32C6" w:rsidRPr="00CA32C6" w:rsidRDefault="00CA32C6" w:rsidP="00CA32C6">
      <w:pPr>
        <w:widowControl w:val="0"/>
        <w:autoSpaceDE w:val="0"/>
        <w:autoSpaceDN w:val="0"/>
        <w:adjustRightInd w:val="0"/>
        <w:spacing w:after="120"/>
        <w:ind w:right="142"/>
        <w:jc w:val="both"/>
        <w:rPr>
          <w:rFonts w:ascii="Arial Narrow" w:hAnsi="Arial Narrow"/>
          <w:b/>
          <w:lang w:val="bg-BG" w:eastAsia="bg-BG"/>
        </w:rPr>
      </w:pPr>
      <w:r w:rsidRPr="00CA32C6">
        <w:rPr>
          <w:rFonts w:ascii="Arial Narrow" w:hAnsi="Arial Narrow"/>
          <w:b/>
          <w:lang w:val="bg-BG" w:eastAsia="bg-BG"/>
        </w:rPr>
        <w:t>Таблица ІІ.8. Основни площи, използвани за производство на зеленчуци – реколти `2023 и `2024, ха</w:t>
      </w:r>
    </w:p>
    <w:tbl>
      <w:tblPr>
        <w:tblW w:w="4899" w:type="pct"/>
        <w:tblInd w:w="108" w:type="dxa"/>
        <w:tblLook w:val="04A0" w:firstRow="1" w:lastRow="0" w:firstColumn="1" w:lastColumn="0" w:noHBand="0" w:noVBand="1"/>
      </w:tblPr>
      <w:tblGrid>
        <w:gridCol w:w="3004"/>
        <w:gridCol w:w="2280"/>
        <w:gridCol w:w="2280"/>
        <w:gridCol w:w="2038"/>
      </w:tblGrid>
      <w:tr w:rsidR="00CA32C6" w:rsidRPr="00CA32C6" w14:paraId="226D44AA" w14:textId="77777777" w:rsidTr="00504236">
        <w:trPr>
          <w:trHeight w:val="448"/>
        </w:trPr>
        <w:tc>
          <w:tcPr>
            <w:tcW w:w="156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92955C9" w14:textId="77777777" w:rsidR="00CA32C6" w:rsidRPr="00CA32C6" w:rsidRDefault="00CA32C6" w:rsidP="00CA32C6">
            <w:pPr>
              <w:jc w:val="center"/>
              <w:rPr>
                <w:rFonts w:ascii="Arial Narrow" w:hAnsi="Arial Narrow" w:cs="Calibri"/>
                <w:b/>
                <w:bCs/>
                <w:sz w:val="20"/>
                <w:szCs w:val="20"/>
                <w:lang w:val="bg-BG"/>
              </w:rPr>
            </w:pPr>
            <w:r w:rsidRPr="00CA32C6">
              <w:rPr>
                <w:rFonts w:ascii="Arial Narrow" w:hAnsi="Arial Narrow" w:cs="Calibri"/>
                <w:b/>
                <w:bCs/>
                <w:sz w:val="20"/>
                <w:szCs w:val="20"/>
                <w:lang w:val="bg-BG"/>
              </w:rPr>
              <w:t>Основни площи</w:t>
            </w:r>
          </w:p>
        </w:tc>
        <w:tc>
          <w:tcPr>
            <w:tcW w:w="1187" w:type="pct"/>
            <w:tcBorders>
              <w:top w:val="single" w:sz="4" w:space="0" w:color="auto"/>
              <w:left w:val="nil"/>
              <w:bottom w:val="single" w:sz="4" w:space="0" w:color="auto"/>
              <w:right w:val="single" w:sz="4" w:space="0" w:color="auto"/>
            </w:tcBorders>
            <w:shd w:val="clear" w:color="auto" w:fill="auto"/>
            <w:vAlign w:val="center"/>
            <w:hideMark/>
          </w:tcPr>
          <w:p w14:paraId="51CCC9DC" w14:textId="77777777" w:rsidR="00CA32C6" w:rsidRPr="00CA32C6" w:rsidRDefault="00CA32C6" w:rsidP="00CA32C6">
            <w:pPr>
              <w:jc w:val="center"/>
              <w:rPr>
                <w:rFonts w:ascii="Arial Narrow" w:hAnsi="Arial Narrow" w:cs="Calibri"/>
                <w:b/>
                <w:bCs/>
                <w:sz w:val="20"/>
                <w:szCs w:val="20"/>
                <w:lang w:val="bg-BG"/>
              </w:rPr>
            </w:pPr>
            <w:r w:rsidRPr="00CA32C6">
              <w:rPr>
                <w:rFonts w:ascii="Arial Narrow" w:hAnsi="Arial Narrow" w:cs="Calibri"/>
                <w:b/>
                <w:bCs/>
                <w:sz w:val="20"/>
                <w:szCs w:val="20"/>
                <w:lang w:val="bg-BG"/>
              </w:rPr>
              <w:t>Реколта `2023</w:t>
            </w:r>
          </w:p>
        </w:tc>
        <w:tc>
          <w:tcPr>
            <w:tcW w:w="1187" w:type="pct"/>
            <w:tcBorders>
              <w:top w:val="single" w:sz="4" w:space="0" w:color="auto"/>
              <w:left w:val="nil"/>
              <w:bottom w:val="single" w:sz="4" w:space="0" w:color="auto"/>
              <w:right w:val="single" w:sz="4" w:space="0" w:color="auto"/>
            </w:tcBorders>
            <w:shd w:val="clear" w:color="auto" w:fill="auto"/>
            <w:vAlign w:val="center"/>
            <w:hideMark/>
          </w:tcPr>
          <w:p w14:paraId="3868EA2B" w14:textId="77777777" w:rsidR="00CA32C6" w:rsidRPr="00CA32C6" w:rsidRDefault="00CA32C6" w:rsidP="00CA32C6">
            <w:pPr>
              <w:jc w:val="center"/>
              <w:rPr>
                <w:rFonts w:ascii="Arial Narrow" w:hAnsi="Arial Narrow" w:cs="Calibri"/>
                <w:b/>
                <w:bCs/>
                <w:sz w:val="20"/>
                <w:szCs w:val="20"/>
                <w:lang w:val="bg-BG"/>
              </w:rPr>
            </w:pPr>
            <w:r w:rsidRPr="00CA32C6">
              <w:rPr>
                <w:rFonts w:ascii="Arial Narrow" w:hAnsi="Arial Narrow" w:cs="Calibri"/>
                <w:b/>
                <w:bCs/>
                <w:sz w:val="20"/>
                <w:szCs w:val="20"/>
                <w:lang w:val="bg-BG"/>
              </w:rPr>
              <w:t>Реколта `2024</w:t>
            </w:r>
          </w:p>
        </w:tc>
        <w:tc>
          <w:tcPr>
            <w:tcW w:w="1061" w:type="pct"/>
            <w:tcBorders>
              <w:top w:val="single" w:sz="4" w:space="0" w:color="auto"/>
              <w:left w:val="nil"/>
              <w:bottom w:val="single" w:sz="4" w:space="0" w:color="auto"/>
              <w:right w:val="single" w:sz="4" w:space="0" w:color="auto"/>
            </w:tcBorders>
            <w:shd w:val="clear" w:color="auto" w:fill="auto"/>
            <w:vAlign w:val="center"/>
            <w:hideMark/>
          </w:tcPr>
          <w:p w14:paraId="2BEC4705" w14:textId="77777777" w:rsidR="00CA32C6" w:rsidRPr="00CA32C6" w:rsidRDefault="00CA32C6" w:rsidP="00CA32C6">
            <w:pPr>
              <w:jc w:val="center"/>
              <w:rPr>
                <w:rFonts w:ascii="Arial Narrow" w:hAnsi="Arial Narrow" w:cs="Calibri"/>
                <w:b/>
                <w:bCs/>
                <w:sz w:val="20"/>
                <w:szCs w:val="20"/>
                <w:lang w:val="bg-BG"/>
              </w:rPr>
            </w:pPr>
            <w:r w:rsidRPr="00CA32C6">
              <w:rPr>
                <w:rFonts w:ascii="Arial Narrow" w:hAnsi="Arial Narrow" w:cs="Calibri"/>
                <w:b/>
                <w:bCs/>
                <w:sz w:val="20"/>
                <w:szCs w:val="20"/>
                <w:lang w:val="bg-BG"/>
              </w:rPr>
              <w:t>Изменение 2024/2023</w:t>
            </w:r>
          </w:p>
        </w:tc>
      </w:tr>
      <w:tr w:rsidR="00CA32C6" w:rsidRPr="00CA32C6" w14:paraId="622BEB7C" w14:textId="77777777" w:rsidTr="00504236">
        <w:trPr>
          <w:trHeight w:val="653"/>
        </w:trPr>
        <w:tc>
          <w:tcPr>
            <w:tcW w:w="1565" w:type="pct"/>
            <w:tcBorders>
              <w:top w:val="nil"/>
              <w:left w:val="single" w:sz="4" w:space="0" w:color="auto"/>
              <w:bottom w:val="single" w:sz="4" w:space="0" w:color="auto"/>
              <w:right w:val="single" w:sz="4" w:space="0" w:color="auto"/>
            </w:tcBorders>
            <w:shd w:val="clear" w:color="auto" w:fill="auto"/>
            <w:vAlign w:val="center"/>
            <w:hideMark/>
          </w:tcPr>
          <w:p w14:paraId="54EFE9ED" w14:textId="77777777" w:rsidR="00CA32C6" w:rsidRPr="00CA32C6" w:rsidRDefault="00CA32C6" w:rsidP="00CA32C6">
            <w:pPr>
              <w:rPr>
                <w:rFonts w:ascii="Arial Narrow" w:hAnsi="Arial Narrow" w:cs="Calibri"/>
                <w:sz w:val="20"/>
                <w:szCs w:val="20"/>
                <w:lang w:val="bg-BG"/>
              </w:rPr>
            </w:pPr>
            <w:r w:rsidRPr="00CA32C6">
              <w:rPr>
                <w:rFonts w:ascii="Arial Narrow" w:hAnsi="Arial Narrow" w:cs="Calibri"/>
                <w:sz w:val="20"/>
                <w:szCs w:val="20"/>
                <w:lang w:val="bg-BG"/>
              </w:rPr>
              <w:t>Открити площи с пресни зеленчуци, ягоди, картофи и бобови култури</w:t>
            </w:r>
          </w:p>
        </w:tc>
        <w:tc>
          <w:tcPr>
            <w:tcW w:w="1187" w:type="pct"/>
            <w:tcBorders>
              <w:top w:val="nil"/>
              <w:left w:val="nil"/>
              <w:bottom w:val="single" w:sz="4" w:space="0" w:color="auto"/>
              <w:right w:val="single" w:sz="4" w:space="0" w:color="auto"/>
            </w:tcBorders>
            <w:shd w:val="clear" w:color="auto" w:fill="auto"/>
            <w:vAlign w:val="center"/>
            <w:hideMark/>
          </w:tcPr>
          <w:p w14:paraId="12EDFD78" w14:textId="77777777" w:rsidR="00CA32C6" w:rsidRPr="00CA32C6" w:rsidRDefault="00CA32C6" w:rsidP="00CA32C6">
            <w:pPr>
              <w:jc w:val="right"/>
              <w:rPr>
                <w:rFonts w:ascii="Arial Narrow" w:hAnsi="Arial Narrow" w:cs="Calibri"/>
                <w:sz w:val="20"/>
                <w:szCs w:val="20"/>
                <w:lang w:val="bg-BG"/>
              </w:rPr>
            </w:pPr>
            <w:r w:rsidRPr="00CA32C6">
              <w:rPr>
                <w:rFonts w:ascii="Arial Narrow" w:hAnsi="Arial Narrow" w:cs="Calibri"/>
                <w:sz w:val="20"/>
                <w:szCs w:val="20"/>
                <w:lang w:val="bg-BG"/>
              </w:rPr>
              <w:t>29 520</w:t>
            </w:r>
          </w:p>
        </w:tc>
        <w:tc>
          <w:tcPr>
            <w:tcW w:w="1187" w:type="pct"/>
            <w:tcBorders>
              <w:top w:val="nil"/>
              <w:left w:val="nil"/>
              <w:bottom w:val="single" w:sz="4" w:space="0" w:color="auto"/>
              <w:right w:val="single" w:sz="4" w:space="0" w:color="auto"/>
            </w:tcBorders>
            <w:shd w:val="clear" w:color="auto" w:fill="auto"/>
            <w:vAlign w:val="center"/>
            <w:hideMark/>
          </w:tcPr>
          <w:p w14:paraId="4F21AC4D" w14:textId="77777777" w:rsidR="00CA32C6" w:rsidRPr="00CA32C6" w:rsidRDefault="00CA32C6" w:rsidP="00CA32C6">
            <w:pPr>
              <w:jc w:val="right"/>
              <w:rPr>
                <w:rFonts w:ascii="Arial Narrow" w:hAnsi="Arial Narrow" w:cs="Calibri"/>
                <w:sz w:val="20"/>
                <w:szCs w:val="20"/>
                <w:lang w:val="bg-BG"/>
              </w:rPr>
            </w:pPr>
            <w:r w:rsidRPr="00CA32C6">
              <w:rPr>
                <w:rFonts w:ascii="Arial Narrow" w:hAnsi="Arial Narrow" w:cs="Calibri"/>
                <w:sz w:val="20"/>
                <w:szCs w:val="20"/>
                <w:lang w:val="bg-BG"/>
              </w:rPr>
              <w:t>34 350</w:t>
            </w:r>
          </w:p>
        </w:tc>
        <w:tc>
          <w:tcPr>
            <w:tcW w:w="1061" w:type="pct"/>
            <w:tcBorders>
              <w:top w:val="nil"/>
              <w:left w:val="nil"/>
              <w:bottom w:val="single" w:sz="4" w:space="0" w:color="auto"/>
              <w:right w:val="single" w:sz="4" w:space="0" w:color="auto"/>
            </w:tcBorders>
            <w:shd w:val="clear" w:color="auto" w:fill="auto"/>
            <w:vAlign w:val="center"/>
            <w:hideMark/>
          </w:tcPr>
          <w:p w14:paraId="59DBD94B" w14:textId="77777777" w:rsidR="00CA32C6" w:rsidRPr="00CA32C6" w:rsidRDefault="00CA32C6" w:rsidP="00CA32C6">
            <w:pPr>
              <w:jc w:val="right"/>
              <w:rPr>
                <w:rFonts w:ascii="Arial Narrow" w:hAnsi="Arial Narrow" w:cs="Calibri"/>
                <w:sz w:val="20"/>
                <w:szCs w:val="20"/>
                <w:lang w:val="bg-BG"/>
              </w:rPr>
            </w:pPr>
            <w:r w:rsidRPr="00CA32C6">
              <w:rPr>
                <w:rFonts w:ascii="Arial Narrow" w:hAnsi="Arial Narrow" w:cs="Calibri"/>
                <w:sz w:val="20"/>
                <w:szCs w:val="20"/>
                <w:lang w:val="bg-BG"/>
              </w:rPr>
              <w:t>16,4%</w:t>
            </w:r>
          </w:p>
        </w:tc>
      </w:tr>
      <w:tr w:rsidR="00CA32C6" w:rsidRPr="00CA32C6" w14:paraId="4B27961F" w14:textId="77777777" w:rsidTr="00504236">
        <w:trPr>
          <w:trHeight w:val="285"/>
        </w:trPr>
        <w:tc>
          <w:tcPr>
            <w:tcW w:w="1565" w:type="pct"/>
            <w:tcBorders>
              <w:top w:val="nil"/>
              <w:left w:val="single" w:sz="4" w:space="0" w:color="auto"/>
              <w:bottom w:val="single" w:sz="4" w:space="0" w:color="auto"/>
              <w:right w:val="single" w:sz="4" w:space="0" w:color="auto"/>
            </w:tcBorders>
            <w:shd w:val="clear" w:color="auto" w:fill="auto"/>
            <w:vAlign w:val="center"/>
            <w:hideMark/>
          </w:tcPr>
          <w:p w14:paraId="49F5DAB3" w14:textId="77777777" w:rsidR="00CA32C6" w:rsidRPr="00CA32C6" w:rsidRDefault="00CA32C6" w:rsidP="00CA32C6">
            <w:pPr>
              <w:rPr>
                <w:rFonts w:ascii="Arial Narrow" w:hAnsi="Arial Narrow" w:cs="Calibri"/>
                <w:sz w:val="20"/>
                <w:szCs w:val="20"/>
                <w:lang w:val="bg-BG"/>
              </w:rPr>
            </w:pPr>
            <w:r w:rsidRPr="00CA32C6">
              <w:rPr>
                <w:rFonts w:ascii="Arial Narrow" w:hAnsi="Arial Narrow" w:cs="Calibri"/>
                <w:sz w:val="20"/>
                <w:szCs w:val="20"/>
                <w:lang w:val="bg-BG"/>
              </w:rPr>
              <w:t xml:space="preserve">Обща оранжерийна площ </w:t>
            </w:r>
          </w:p>
        </w:tc>
        <w:tc>
          <w:tcPr>
            <w:tcW w:w="1187" w:type="pct"/>
            <w:tcBorders>
              <w:top w:val="nil"/>
              <w:left w:val="nil"/>
              <w:bottom w:val="single" w:sz="4" w:space="0" w:color="auto"/>
              <w:right w:val="single" w:sz="4" w:space="0" w:color="auto"/>
            </w:tcBorders>
            <w:shd w:val="clear" w:color="auto" w:fill="auto"/>
            <w:vAlign w:val="center"/>
            <w:hideMark/>
          </w:tcPr>
          <w:p w14:paraId="77D3D905" w14:textId="77777777" w:rsidR="00CA32C6" w:rsidRPr="00CA32C6" w:rsidRDefault="00CA32C6" w:rsidP="00CA32C6">
            <w:pPr>
              <w:jc w:val="right"/>
              <w:rPr>
                <w:rFonts w:ascii="Arial Narrow" w:hAnsi="Arial Narrow" w:cs="Calibri"/>
                <w:sz w:val="20"/>
                <w:szCs w:val="20"/>
                <w:lang w:val="bg-BG"/>
              </w:rPr>
            </w:pPr>
            <w:r w:rsidRPr="00CA32C6">
              <w:rPr>
                <w:rFonts w:ascii="Arial Narrow" w:hAnsi="Arial Narrow" w:cs="Calibri"/>
                <w:sz w:val="20"/>
                <w:szCs w:val="20"/>
                <w:lang w:val="bg-BG"/>
              </w:rPr>
              <w:t>1 154</w:t>
            </w:r>
          </w:p>
        </w:tc>
        <w:tc>
          <w:tcPr>
            <w:tcW w:w="1187" w:type="pct"/>
            <w:tcBorders>
              <w:top w:val="nil"/>
              <w:left w:val="nil"/>
              <w:bottom w:val="single" w:sz="4" w:space="0" w:color="auto"/>
              <w:right w:val="single" w:sz="4" w:space="0" w:color="auto"/>
            </w:tcBorders>
            <w:shd w:val="clear" w:color="auto" w:fill="auto"/>
            <w:vAlign w:val="center"/>
            <w:hideMark/>
          </w:tcPr>
          <w:p w14:paraId="15398669" w14:textId="77777777" w:rsidR="00CA32C6" w:rsidRPr="00CA32C6" w:rsidRDefault="00CA32C6" w:rsidP="00CA32C6">
            <w:pPr>
              <w:jc w:val="right"/>
              <w:rPr>
                <w:rFonts w:ascii="Arial Narrow" w:hAnsi="Arial Narrow" w:cs="Calibri"/>
                <w:sz w:val="20"/>
                <w:szCs w:val="20"/>
                <w:lang w:val="bg-BG"/>
              </w:rPr>
            </w:pPr>
            <w:r w:rsidRPr="00CA32C6">
              <w:rPr>
                <w:rFonts w:ascii="Arial Narrow" w:hAnsi="Arial Narrow" w:cs="Calibri"/>
                <w:sz w:val="20"/>
                <w:szCs w:val="20"/>
                <w:lang w:val="bg-BG"/>
              </w:rPr>
              <w:t>1 216</w:t>
            </w:r>
          </w:p>
        </w:tc>
        <w:tc>
          <w:tcPr>
            <w:tcW w:w="1061" w:type="pct"/>
            <w:tcBorders>
              <w:top w:val="nil"/>
              <w:left w:val="nil"/>
              <w:bottom w:val="single" w:sz="4" w:space="0" w:color="auto"/>
              <w:right w:val="single" w:sz="4" w:space="0" w:color="auto"/>
            </w:tcBorders>
            <w:shd w:val="clear" w:color="auto" w:fill="auto"/>
            <w:vAlign w:val="center"/>
            <w:hideMark/>
          </w:tcPr>
          <w:p w14:paraId="5AE62BB5" w14:textId="77777777" w:rsidR="00CA32C6" w:rsidRPr="00CA32C6" w:rsidRDefault="00CA32C6" w:rsidP="00CA32C6">
            <w:pPr>
              <w:jc w:val="right"/>
              <w:rPr>
                <w:rFonts w:ascii="Arial Narrow" w:hAnsi="Arial Narrow" w:cs="Calibri"/>
                <w:sz w:val="20"/>
                <w:szCs w:val="20"/>
                <w:lang w:val="bg-BG"/>
              </w:rPr>
            </w:pPr>
            <w:r w:rsidRPr="00CA32C6">
              <w:rPr>
                <w:rFonts w:ascii="Arial Narrow" w:hAnsi="Arial Narrow" w:cs="Calibri"/>
                <w:sz w:val="20"/>
                <w:szCs w:val="20"/>
                <w:lang w:val="bg-BG"/>
              </w:rPr>
              <w:t>5,4%</w:t>
            </w:r>
          </w:p>
        </w:tc>
      </w:tr>
      <w:tr w:rsidR="00CA32C6" w:rsidRPr="00CA32C6" w14:paraId="7F3539CF" w14:textId="77777777" w:rsidTr="00504236">
        <w:trPr>
          <w:trHeight w:val="285"/>
        </w:trPr>
        <w:tc>
          <w:tcPr>
            <w:tcW w:w="1565" w:type="pct"/>
            <w:tcBorders>
              <w:top w:val="nil"/>
              <w:left w:val="single" w:sz="4" w:space="0" w:color="auto"/>
              <w:bottom w:val="single" w:sz="4" w:space="0" w:color="auto"/>
              <w:right w:val="single" w:sz="4" w:space="0" w:color="auto"/>
            </w:tcBorders>
            <w:shd w:val="clear" w:color="auto" w:fill="auto"/>
            <w:vAlign w:val="center"/>
            <w:hideMark/>
          </w:tcPr>
          <w:p w14:paraId="48B6F528" w14:textId="77777777" w:rsidR="00CA32C6" w:rsidRPr="00CA32C6" w:rsidRDefault="00CA32C6" w:rsidP="00CA32C6">
            <w:pPr>
              <w:rPr>
                <w:rFonts w:ascii="Arial Narrow" w:hAnsi="Arial Narrow" w:cs="Calibri"/>
                <w:b/>
                <w:bCs/>
                <w:sz w:val="20"/>
                <w:szCs w:val="20"/>
                <w:lang w:val="bg-BG"/>
              </w:rPr>
            </w:pPr>
            <w:r w:rsidRPr="00CA32C6">
              <w:rPr>
                <w:rFonts w:ascii="Arial Narrow" w:hAnsi="Arial Narrow" w:cs="Calibri"/>
                <w:b/>
                <w:bCs/>
                <w:sz w:val="20"/>
                <w:szCs w:val="20"/>
                <w:lang w:val="bg-BG"/>
              </w:rPr>
              <w:t xml:space="preserve">Обща площ </w:t>
            </w:r>
          </w:p>
        </w:tc>
        <w:tc>
          <w:tcPr>
            <w:tcW w:w="1187" w:type="pct"/>
            <w:tcBorders>
              <w:top w:val="nil"/>
              <w:left w:val="nil"/>
              <w:bottom w:val="single" w:sz="4" w:space="0" w:color="auto"/>
              <w:right w:val="single" w:sz="4" w:space="0" w:color="auto"/>
            </w:tcBorders>
            <w:shd w:val="clear" w:color="auto" w:fill="auto"/>
            <w:vAlign w:val="center"/>
            <w:hideMark/>
          </w:tcPr>
          <w:p w14:paraId="2DE7EDD4" w14:textId="77777777" w:rsidR="00CA32C6" w:rsidRPr="00CA32C6" w:rsidRDefault="00CA32C6" w:rsidP="00CA32C6">
            <w:pPr>
              <w:jc w:val="right"/>
              <w:rPr>
                <w:rFonts w:ascii="Arial Narrow" w:hAnsi="Arial Narrow" w:cs="Calibri"/>
                <w:b/>
                <w:bCs/>
                <w:sz w:val="20"/>
                <w:szCs w:val="20"/>
                <w:lang w:val="bg-BG"/>
              </w:rPr>
            </w:pPr>
            <w:r w:rsidRPr="00CA32C6">
              <w:rPr>
                <w:rFonts w:ascii="Arial Narrow" w:hAnsi="Arial Narrow" w:cs="Calibri"/>
                <w:b/>
                <w:bCs/>
                <w:sz w:val="20"/>
                <w:szCs w:val="20"/>
                <w:lang w:val="bg-BG"/>
              </w:rPr>
              <w:t>30 674</w:t>
            </w:r>
          </w:p>
        </w:tc>
        <w:tc>
          <w:tcPr>
            <w:tcW w:w="1187" w:type="pct"/>
            <w:tcBorders>
              <w:top w:val="nil"/>
              <w:left w:val="nil"/>
              <w:bottom w:val="single" w:sz="4" w:space="0" w:color="auto"/>
              <w:right w:val="single" w:sz="4" w:space="0" w:color="auto"/>
            </w:tcBorders>
            <w:shd w:val="clear" w:color="auto" w:fill="auto"/>
            <w:vAlign w:val="center"/>
            <w:hideMark/>
          </w:tcPr>
          <w:p w14:paraId="359B9FE1" w14:textId="77777777" w:rsidR="00CA32C6" w:rsidRPr="00CA32C6" w:rsidRDefault="00CA32C6" w:rsidP="00CA32C6">
            <w:pPr>
              <w:jc w:val="right"/>
              <w:rPr>
                <w:rFonts w:ascii="Arial Narrow" w:hAnsi="Arial Narrow" w:cs="Calibri"/>
                <w:b/>
                <w:bCs/>
                <w:sz w:val="20"/>
                <w:szCs w:val="20"/>
                <w:lang w:val="bg-BG"/>
              </w:rPr>
            </w:pPr>
            <w:r w:rsidRPr="00CA32C6">
              <w:rPr>
                <w:rFonts w:ascii="Arial Narrow" w:hAnsi="Arial Narrow" w:cs="Calibri"/>
                <w:b/>
                <w:bCs/>
                <w:sz w:val="20"/>
                <w:szCs w:val="20"/>
                <w:lang w:val="bg-BG"/>
              </w:rPr>
              <w:t>35 566</w:t>
            </w:r>
          </w:p>
        </w:tc>
        <w:tc>
          <w:tcPr>
            <w:tcW w:w="1061" w:type="pct"/>
            <w:tcBorders>
              <w:top w:val="nil"/>
              <w:left w:val="nil"/>
              <w:bottom w:val="single" w:sz="4" w:space="0" w:color="auto"/>
              <w:right w:val="single" w:sz="4" w:space="0" w:color="auto"/>
            </w:tcBorders>
            <w:shd w:val="clear" w:color="auto" w:fill="auto"/>
            <w:vAlign w:val="center"/>
            <w:hideMark/>
          </w:tcPr>
          <w:p w14:paraId="2E51479E" w14:textId="77777777" w:rsidR="00CA32C6" w:rsidRPr="00CA32C6" w:rsidRDefault="00CA32C6" w:rsidP="00CA32C6">
            <w:pPr>
              <w:jc w:val="right"/>
              <w:rPr>
                <w:rFonts w:ascii="Arial Narrow" w:hAnsi="Arial Narrow" w:cs="Calibri"/>
                <w:b/>
                <w:bCs/>
                <w:sz w:val="20"/>
                <w:szCs w:val="20"/>
                <w:lang w:val="bg-BG"/>
              </w:rPr>
            </w:pPr>
            <w:r w:rsidRPr="00CA32C6">
              <w:rPr>
                <w:rFonts w:ascii="Arial Narrow" w:hAnsi="Arial Narrow" w:cs="Calibri"/>
                <w:b/>
                <w:bCs/>
                <w:sz w:val="20"/>
                <w:szCs w:val="20"/>
                <w:lang w:val="bg-BG"/>
              </w:rPr>
              <w:t>15,9%</w:t>
            </w:r>
          </w:p>
        </w:tc>
      </w:tr>
    </w:tbl>
    <w:p w14:paraId="37F7A9FE" w14:textId="77777777" w:rsidR="00CA32C6" w:rsidRPr="00CA32C6" w:rsidRDefault="00CA32C6" w:rsidP="00CA32C6">
      <w:pPr>
        <w:autoSpaceDE w:val="0"/>
        <w:autoSpaceDN w:val="0"/>
        <w:adjustRightInd w:val="0"/>
        <w:spacing w:after="120"/>
        <w:jc w:val="both"/>
        <w:rPr>
          <w:rFonts w:ascii="Arial Narrow" w:hAnsi="Arial Narrow"/>
          <w:lang w:val="bg-BG" w:eastAsia="bg-BG"/>
        </w:rPr>
      </w:pPr>
      <w:r w:rsidRPr="00CA32C6">
        <w:rPr>
          <w:rFonts w:ascii="Arial Narrow" w:hAnsi="Arial Narrow"/>
          <w:bCs/>
          <w:i/>
          <w:iCs/>
          <w:sz w:val="18"/>
          <w:szCs w:val="18"/>
          <w:lang w:val="bg-BG" w:eastAsia="bg-BG"/>
        </w:rPr>
        <w:t xml:space="preserve">Източник: </w:t>
      </w:r>
      <w:r w:rsidRPr="00CA32C6">
        <w:rPr>
          <w:rFonts w:ascii="Arial Narrow" w:hAnsi="Arial Narrow"/>
          <w:iCs/>
          <w:sz w:val="18"/>
          <w:szCs w:val="18"/>
          <w:lang w:val="bg-BG" w:eastAsia="bg-BG"/>
        </w:rPr>
        <w:t>МЗХ, отдел “Агростатистика”</w:t>
      </w:r>
    </w:p>
    <w:p w14:paraId="33414F6A" w14:textId="77777777" w:rsidR="00CA32C6" w:rsidRPr="00CA32C6" w:rsidRDefault="00CA32C6" w:rsidP="00CA32C6">
      <w:pPr>
        <w:widowControl w:val="0"/>
        <w:spacing w:after="120"/>
        <w:ind w:firstLine="709"/>
        <w:jc w:val="both"/>
        <w:rPr>
          <w:rFonts w:ascii="Arial Narrow" w:hAnsi="Arial Narrow"/>
          <w:lang w:val="bg-BG"/>
        </w:rPr>
      </w:pPr>
      <w:r w:rsidRPr="00CA32C6">
        <w:rPr>
          <w:rFonts w:ascii="Arial Narrow" w:hAnsi="Arial Narrow"/>
          <w:lang w:val="bg-BG"/>
        </w:rPr>
        <w:t xml:space="preserve">Реколтираните открити площи със зеленчуци през 2024 г. са в размер на 33 970 ха, със 17,2% над нивото от предходната година. По групи култури, увеличение на реколтираните площи е налице при грудковите и лукови зеленчуци (със 7,2%), плодовите зеленчуци (с 32,7%) и пресните бобови култури (с 81%), а намаление – при </w:t>
      </w:r>
      <w:r w:rsidR="00860477" w:rsidRPr="00CA32C6">
        <w:rPr>
          <w:rFonts w:ascii="Arial Narrow" w:hAnsi="Arial Narrow"/>
          <w:lang w:val="bg-BG"/>
        </w:rPr>
        <w:t>зеленчуците от рода Brassica (с 12,2%)</w:t>
      </w:r>
      <w:r w:rsidR="00860477">
        <w:rPr>
          <w:rFonts w:ascii="Arial Narrow" w:hAnsi="Arial Narrow"/>
          <w:lang w:val="bg-BG"/>
        </w:rPr>
        <w:t xml:space="preserve">, </w:t>
      </w:r>
      <w:r w:rsidRPr="00CA32C6">
        <w:rPr>
          <w:rFonts w:ascii="Arial Narrow" w:hAnsi="Arial Narrow"/>
          <w:lang w:val="bg-BG"/>
        </w:rPr>
        <w:t>листни</w:t>
      </w:r>
      <w:r w:rsidR="00860477">
        <w:rPr>
          <w:rFonts w:ascii="Arial Narrow" w:hAnsi="Arial Narrow"/>
          <w:lang w:val="bg-BG"/>
        </w:rPr>
        <w:t>те</w:t>
      </w:r>
      <w:r w:rsidRPr="00CA32C6">
        <w:rPr>
          <w:rFonts w:ascii="Arial Narrow" w:hAnsi="Arial Narrow"/>
          <w:lang w:val="bg-BG"/>
        </w:rPr>
        <w:t xml:space="preserve"> и</w:t>
      </w:r>
      <w:r w:rsidR="00860477">
        <w:rPr>
          <w:rFonts w:ascii="Arial Narrow" w:hAnsi="Arial Narrow"/>
          <w:lang w:val="bg-BG"/>
        </w:rPr>
        <w:t>ли</w:t>
      </w:r>
      <w:r w:rsidRPr="00CA32C6">
        <w:rPr>
          <w:rFonts w:ascii="Arial Narrow" w:hAnsi="Arial Narrow"/>
          <w:lang w:val="bg-BG"/>
        </w:rPr>
        <w:t xml:space="preserve"> стъблени зеленчуци с изключение на </w:t>
      </w:r>
      <w:r w:rsidR="00860477">
        <w:rPr>
          <w:rFonts w:ascii="Arial Narrow" w:hAnsi="Arial Narrow"/>
          <w:lang w:val="bg-BG"/>
        </w:rPr>
        <w:t>тези</w:t>
      </w:r>
      <w:r w:rsidR="00860477" w:rsidRPr="00CA32C6">
        <w:rPr>
          <w:rFonts w:ascii="Arial Narrow" w:hAnsi="Arial Narrow"/>
          <w:lang w:val="bg-BG"/>
        </w:rPr>
        <w:t xml:space="preserve"> </w:t>
      </w:r>
      <w:r w:rsidRPr="00CA32C6">
        <w:rPr>
          <w:rFonts w:ascii="Arial Narrow" w:hAnsi="Arial Narrow"/>
          <w:lang w:val="bg-BG"/>
        </w:rPr>
        <w:t>от рода Brassica</w:t>
      </w:r>
      <w:r w:rsidR="00860477">
        <w:rPr>
          <w:rFonts w:ascii="Arial Narrow" w:hAnsi="Arial Narrow"/>
          <w:lang w:val="bg-BG"/>
        </w:rPr>
        <w:t xml:space="preserve"> (с 1,</w:t>
      </w:r>
      <w:r w:rsidR="006E4E47">
        <w:rPr>
          <w:rFonts w:ascii="Arial Narrow" w:hAnsi="Arial Narrow"/>
          <w:lang w:val="bg-BG"/>
        </w:rPr>
        <w:t>4</w:t>
      </w:r>
      <w:r w:rsidR="00860477">
        <w:rPr>
          <w:rFonts w:ascii="Arial Narrow" w:hAnsi="Arial Narrow"/>
          <w:lang w:val="bg-BG"/>
        </w:rPr>
        <w:t>%</w:t>
      </w:r>
      <w:r w:rsidRPr="00CA32C6">
        <w:rPr>
          <w:rFonts w:ascii="Arial Narrow" w:hAnsi="Arial Narrow"/>
          <w:lang w:val="bg-BG"/>
        </w:rPr>
        <w:t>), картофите (с 3,5%)</w:t>
      </w:r>
      <w:r w:rsidR="00860477">
        <w:rPr>
          <w:rFonts w:ascii="Arial Narrow" w:hAnsi="Arial Narrow"/>
          <w:lang w:val="bg-BG"/>
        </w:rPr>
        <w:t xml:space="preserve"> и</w:t>
      </w:r>
      <w:r w:rsidRPr="00CA32C6">
        <w:rPr>
          <w:rFonts w:ascii="Arial Narrow" w:hAnsi="Arial Narrow"/>
          <w:lang w:val="bg-BG"/>
        </w:rPr>
        <w:t xml:space="preserve"> ягодите (с 6,7%). </w:t>
      </w:r>
    </w:p>
    <w:p w14:paraId="6B905CB0" w14:textId="77777777" w:rsidR="00CA32C6" w:rsidRPr="00CA32C6" w:rsidRDefault="00CA32C6" w:rsidP="00CA32C6">
      <w:pPr>
        <w:widowControl w:val="0"/>
        <w:spacing w:after="120"/>
        <w:ind w:firstLine="709"/>
        <w:jc w:val="both"/>
        <w:rPr>
          <w:rFonts w:ascii="Arial Narrow" w:hAnsi="Arial Narrow"/>
          <w:lang w:val="bg-BG"/>
        </w:rPr>
      </w:pPr>
      <w:r w:rsidRPr="00CA32C6">
        <w:rPr>
          <w:rFonts w:ascii="Arial Narrow" w:hAnsi="Arial Narrow"/>
          <w:lang w:val="bg-BG"/>
        </w:rPr>
        <w:t>С най-голям относителен дял от общо реколтираните открити площи със зеленчуци през год</w:t>
      </w:r>
      <w:r w:rsidR="00504236">
        <w:rPr>
          <w:rFonts w:ascii="Arial Narrow" w:hAnsi="Arial Narrow"/>
          <w:lang w:val="bg-BG"/>
        </w:rPr>
        <w:t>ината са тези, заети с картофи - 19,9%, дини - 15,7%, пъпеши - 12,1%, лук (кромид - зрял) - 9%, домати - 8,6% и пипер -</w:t>
      </w:r>
      <w:r w:rsidRPr="00CA32C6">
        <w:rPr>
          <w:rFonts w:ascii="Arial Narrow" w:hAnsi="Arial Narrow"/>
          <w:lang w:val="bg-BG"/>
        </w:rPr>
        <w:t xml:space="preserve"> 7,9%.</w:t>
      </w:r>
    </w:p>
    <w:p w14:paraId="1C40BB35" w14:textId="77777777" w:rsidR="00CA32C6" w:rsidRPr="00CA32C6" w:rsidRDefault="00CA32C6" w:rsidP="00CA32C6">
      <w:pPr>
        <w:widowControl w:val="0"/>
        <w:spacing w:after="120"/>
        <w:ind w:firstLine="709"/>
        <w:jc w:val="both"/>
        <w:rPr>
          <w:rFonts w:ascii="Arial Narrow" w:hAnsi="Arial Narrow"/>
          <w:lang w:val="bg-BG"/>
        </w:rPr>
      </w:pPr>
      <w:r w:rsidRPr="00CA32C6">
        <w:rPr>
          <w:rFonts w:ascii="Arial Narrow" w:hAnsi="Arial Narrow"/>
          <w:lang w:val="bg-BG"/>
        </w:rPr>
        <w:t xml:space="preserve">По видове зеленчукови култури, през 2024 г. се отчита значителен ръст на годишна база на реколтираните открити площи с праз, </w:t>
      </w:r>
      <w:r w:rsidR="00504236">
        <w:rPr>
          <w:rFonts w:ascii="Arial Narrow" w:hAnsi="Arial Narrow"/>
          <w:lang w:val="bg-BG"/>
        </w:rPr>
        <w:t>спанак и зелен градински фасул -</w:t>
      </w:r>
      <w:r w:rsidRPr="00CA32C6">
        <w:rPr>
          <w:rFonts w:ascii="Arial Narrow" w:hAnsi="Arial Narrow"/>
          <w:lang w:val="bg-BG"/>
        </w:rPr>
        <w:t xml:space="preserve"> в рамките на два-три пъти. Съществено повече са и реколтираните площи с тикви и кратуни (с 85,1%), корнишо</w:t>
      </w:r>
      <w:r w:rsidR="00504236">
        <w:rPr>
          <w:rFonts w:ascii="Arial Narrow" w:hAnsi="Arial Narrow"/>
          <w:lang w:val="bg-BG"/>
        </w:rPr>
        <w:t>ни (със 70,3%), градински грах -</w:t>
      </w:r>
      <w:r w:rsidRPr="00CA32C6">
        <w:rPr>
          <w:rFonts w:ascii="Arial Narrow" w:hAnsi="Arial Narrow"/>
          <w:lang w:val="bg-BG"/>
        </w:rPr>
        <w:t xml:space="preserve"> зелен (с 65,8%), моркови (с 48,2%), пъпеши (с 46,6%), дини (с 43,5%) и патладжан (с 39,2%). От друга страна, намаляват реколтираните открити площи, заети с тиквички,  к</w:t>
      </w:r>
      <w:r w:rsidR="00504236">
        <w:rPr>
          <w:rFonts w:ascii="Arial Narrow" w:hAnsi="Arial Narrow"/>
          <w:lang w:val="bg-BG"/>
        </w:rPr>
        <w:t>раставици, броколи, лук кромид -</w:t>
      </w:r>
      <w:r w:rsidRPr="00CA32C6">
        <w:rPr>
          <w:rFonts w:ascii="Arial Narrow" w:hAnsi="Arial Narrow"/>
          <w:lang w:val="bg-BG"/>
        </w:rPr>
        <w:t xml:space="preserve"> зелен, салати и </w:t>
      </w:r>
      <w:r w:rsidR="00504236">
        <w:rPr>
          <w:rFonts w:ascii="Arial Narrow" w:hAnsi="Arial Narrow"/>
          <w:lang w:val="bg-BG"/>
        </w:rPr>
        <w:t>марули и цветно зеле (карфиол) -</w:t>
      </w:r>
      <w:r w:rsidRPr="00CA32C6">
        <w:rPr>
          <w:rFonts w:ascii="Arial Narrow" w:hAnsi="Arial Narrow"/>
          <w:lang w:val="bg-BG"/>
        </w:rPr>
        <w:t xml:space="preserve"> с между 12,3% (тиквички) и 63,1% (карфиол). </w:t>
      </w:r>
    </w:p>
    <w:p w14:paraId="7A5AB00D" w14:textId="77777777" w:rsidR="00CA32C6" w:rsidRPr="00CA32C6" w:rsidRDefault="00CA32C6" w:rsidP="00CA32C6">
      <w:pPr>
        <w:keepNext/>
        <w:autoSpaceDE w:val="0"/>
        <w:autoSpaceDN w:val="0"/>
        <w:adjustRightInd w:val="0"/>
        <w:spacing w:after="120"/>
        <w:ind w:right="142"/>
        <w:rPr>
          <w:rFonts w:ascii="Arial Narrow" w:hAnsi="Arial Narrow"/>
          <w:b/>
          <w:lang w:val="bg-BG" w:eastAsia="bg-BG"/>
        </w:rPr>
      </w:pPr>
      <w:r w:rsidRPr="00CA32C6">
        <w:rPr>
          <w:rFonts w:ascii="Arial Narrow" w:hAnsi="Arial Narrow"/>
          <w:b/>
          <w:lang w:val="bg-BG" w:eastAsia="bg-BG"/>
        </w:rPr>
        <w:lastRenderedPageBreak/>
        <w:t>Таблица ІІ.9. Площи, производство и средни добиви от зеленчуци – реколти `2023 и `2024</w:t>
      </w:r>
    </w:p>
    <w:tbl>
      <w:tblPr>
        <w:tblW w:w="11253" w:type="dxa"/>
        <w:jc w:val="center"/>
        <w:tblLook w:val="04A0" w:firstRow="1" w:lastRow="0" w:firstColumn="1" w:lastColumn="0" w:noHBand="0" w:noVBand="1"/>
      </w:tblPr>
      <w:tblGrid>
        <w:gridCol w:w="1367"/>
        <w:gridCol w:w="761"/>
        <w:gridCol w:w="761"/>
        <w:gridCol w:w="761"/>
        <w:gridCol w:w="761"/>
        <w:gridCol w:w="761"/>
        <w:gridCol w:w="761"/>
        <w:gridCol w:w="761"/>
        <w:gridCol w:w="761"/>
        <w:gridCol w:w="761"/>
        <w:gridCol w:w="761"/>
        <w:gridCol w:w="915"/>
        <w:gridCol w:w="680"/>
        <w:gridCol w:w="681"/>
      </w:tblGrid>
      <w:tr w:rsidR="00CA32C6" w:rsidRPr="00CA32C6" w14:paraId="140AF3AD" w14:textId="77777777" w:rsidTr="009C6577">
        <w:trPr>
          <w:trHeight w:val="517"/>
          <w:tblHeader/>
          <w:jc w:val="center"/>
        </w:trPr>
        <w:tc>
          <w:tcPr>
            <w:tcW w:w="136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420CDB9" w14:textId="77777777" w:rsidR="00CA32C6" w:rsidRPr="00CA32C6" w:rsidRDefault="00CA32C6" w:rsidP="00CA32C6">
            <w:pPr>
              <w:jc w:val="center"/>
              <w:rPr>
                <w:rFonts w:ascii="Arial Narrow" w:hAnsi="Arial Narrow" w:cs="Calibri"/>
                <w:b/>
                <w:bCs/>
                <w:sz w:val="18"/>
                <w:szCs w:val="18"/>
                <w:lang w:val="bg-BG"/>
              </w:rPr>
            </w:pPr>
            <w:r w:rsidRPr="00CA32C6">
              <w:rPr>
                <w:rFonts w:ascii="Arial Narrow" w:hAnsi="Arial Narrow" w:cs="Calibri"/>
                <w:b/>
                <w:bCs/>
                <w:sz w:val="18"/>
                <w:szCs w:val="18"/>
                <w:lang w:val="bg-BG"/>
              </w:rPr>
              <w:t>Култури</w:t>
            </w:r>
          </w:p>
        </w:tc>
        <w:tc>
          <w:tcPr>
            <w:tcW w:w="1522"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980F45E" w14:textId="77777777" w:rsidR="00CA32C6" w:rsidRPr="00CA32C6" w:rsidRDefault="00CA32C6" w:rsidP="00CA32C6">
            <w:pPr>
              <w:jc w:val="center"/>
              <w:rPr>
                <w:rFonts w:ascii="Arial Narrow" w:hAnsi="Arial Narrow" w:cs="Calibri"/>
                <w:b/>
                <w:bCs/>
                <w:sz w:val="18"/>
                <w:szCs w:val="18"/>
                <w:lang w:val="bg-BG"/>
              </w:rPr>
            </w:pPr>
            <w:r w:rsidRPr="00CA32C6">
              <w:rPr>
                <w:rFonts w:ascii="Arial Narrow" w:hAnsi="Arial Narrow" w:cs="Calibri"/>
                <w:b/>
                <w:bCs/>
                <w:sz w:val="18"/>
                <w:szCs w:val="18"/>
                <w:lang w:val="bg-BG"/>
              </w:rPr>
              <w:t>Открити реколтирани площи (ха)</w:t>
            </w:r>
          </w:p>
        </w:tc>
        <w:tc>
          <w:tcPr>
            <w:tcW w:w="1522"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32BA2E5" w14:textId="77777777" w:rsidR="00CA32C6" w:rsidRPr="00CA32C6" w:rsidRDefault="00CA32C6" w:rsidP="00CA32C6">
            <w:pPr>
              <w:jc w:val="center"/>
              <w:rPr>
                <w:rFonts w:ascii="Arial Narrow" w:hAnsi="Arial Narrow" w:cs="Calibri"/>
                <w:b/>
                <w:bCs/>
                <w:sz w:val="18"/>
                <w:szCs w:val="18"/>
                <w:lang w:val="bg-BG"/>
              </w:rPr>
            </w:pPr>
            <w:r w:rsidRPr="00CA32C6">
              <w:rPr>
                <w:rFonts w:ascii="Arial Narrow" w:hAnsi="Arial Narrow" w:cs="Calibri"/>
                <w:b/>
                <w:bCs/>
                <w:sz w:val="18"/>
                <w:szCs w:val="18"/>
                <w:lang w:val="bg-BG"/>
              </w:rPr>
              <w:t>Оранжерийни реколтирани площи (ха)</w:t>
            </w:r>
          </w:p>
        </w:tc>
        <w:tc>
          <w:tcPr>
            <w:tcW w:w="5481" w:type="dxa"/>
            <w:gridSpan w:val="7"/>
            <w:tcBorders>
              <w:top w:val="single" w:sz="4" w:space="0" w:color="auto"/>
              <w:left w:val="nil"/>
              <w:bottom w:val="single" w:sz="4" w:space="0" w:color="auto"/>
              <w:right w:val="single" w:sz="4" w:space="0" w:color="auto"/>
            </w:tcBorders>
            <w:shd w:val="clear" w:color="auto" w:fill="auto"/>
            <w:vAlign w:val="center"/>
            <w:hideMark/>
          </w:tcPr>
          <w:p w14:paraId="1C152900" w14:textId="77777777" w:rsidR="00CA32C6" w:rsidRPr="00CA32C6" w:rsidRDefault="00CA32C6" w:rsidP="00CA32C6">
            <w:pPr>
              <w:jc w:val="center"/>
              <w:rPr>
                <w:rFonts w:ascii="Arial Narrow" w:hAnsi="Arial Narrow" w:cs="Calibri"/>
                <w:b/>
                <w:bCs/>
                <w:sz w:val="18"/>
                <w:szCs w:val="18"/>
                <w:lang w:val="bg-BG"/>
              </w:rPr>
            </w:pPr>
            <w:r w:rsidRPr="00CA32C6">
              <w:rPr>
                <w:rFonts w:ascii="Arial Narrow" w:hAnsi="Arial Narrow" w:cs="Calibri"/>
                <w:b/>
                <w:bCs/>
                <w:sz w:val="18"/>
                <w:szCs w:val="18"/>
                <w:lang w:val="bg-BG"/>
              </w:rPr>
              <w:t>Производство (тона)</w:t>
            </w:r>
          </w:p>
        </w:tc>
        <w:tc>
          <w:tcPr>
            <w:tcW w:w="1361"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2D29780" w14:textId="77777777" w:rsidR="00CA32C6" w:rsidRPr="00CA32C6" w:rsidRDefault="00CA32C6" w:rsidP="00CA32C6">
            <w:pPr>
              <w:jc w:val="center"/>
              <w:rPr>
                <w:rFonts w:ascii="Arial Narrow" w:hAnsi="Arial Narrow" w:cs="Calibri"/>
                <w:b/>
                <w:bCs/>
                <w:sz w:val="18"/>
                <w:szCs w:val="18"/>
                <w:lang w:val="bg-BG"/>
              </w:rPr>
            </w:pPr>
            <w:r w:rsidRPr="00CA32C6">
              <w:rPr>
                <w:rFonts w:ascii="Arial Narrow" w:hAnsi="Arial Narrow" w:cs="Calibri"/>
                <w:b/>
                <w:bCs/>
                <w:sz w:val="18"/>
                <w:szCs w:val="18"/>
                <w:lang w:val="bg-BG"/>
              </w:rPr>
              <w:t>Среден добив от открити площи (кг/ха)</w:t>
            </w:r>
          </w:p>
        </w:tc>
      </w:tr>
      <w:tr w:rsidR="00CA32C6" w:rsidRPr="00CA32C6" w14:paraId="4B4E1979" w14:textId="77777777" w:rsidTr="009C6577">
        <w:trPr>
          <w:trHeight w:val="747"/>
          <w:tblHeader/>
          <w:jc w:val="center"/>
        </w:trPr>
        <w:tc>
          <w:tcPr>
            <w:tcW w:w="1367" w:type="dxa"/>
            <w:vMerge/>
            <w:tcBorders>
              <w:top w:val="single" w:sz="4" w:space="0" w:color="auto"/>
              <w:left w:val="single" w:sz="4" w:space="0" w:color="auto"/>
              <w:bottom w:val="single" w:sz="4" w:space="0" w:color="auto"/>
              <w:right w:val="single" w:sz="4" w:space="0" w:color="auto"/>
            </w:tcBorders>
            <w:vAlign w:val="center"/>
            <w:hideMark/>
          </w:tcPr>
          <w:p w14:paraId="0332F62A" w14:textId="77777777" w:rsidR="00CA32C6" w:rsidRPr="00CA32C6" w:rsidRDefault="00CA32C6" w:rsidP="00CA32C6">
            <w:pPr>
              <w:rPr>
                <w:rFonts w:ascii="Arial Narrow" w:hAnsi="Arial Narrow" w:cs="Calibri"/>
                <w:b/>
                <w:bCs/>
                <w:sz w:val="18"/>
                <w:szCs w:val="18"/>
                <w:lang w:val="bg-BG"/>
              </w:rPr>
            </w:pPr>
          </w:p>
        </w:tc>
        <w:tc>
          <w:tcPr>
            <w:tcW w:w="1522" w:type="dxa"/>
            <w:gridSpan w:val="2"/>
            <w:vMerge/>
            <w:tcBorders>
              <w:top w:val="single" w:sz="4" w:space="0" w:color="auto"/>
              <w:left w:val="single" w:sz="4" w:space="0" w:color="auto"/>
              <w:bottom w:val="single" w:sz="4" w:space="0" w:color="auto"/>
              <w:right w:val="single" w:sz="4" w:space="0" w:color="auto"/>
            </w:tcBorders>
            <w:vAlign w:val="center"/>
            <w:hideMark/>
          </w:tcPr>
          <w:p w14:paraId="551A5337" w14:textId="77777777" w:rsidR="00CA32C6" w:rsidRPr="00CA32C6" w:rsidRDefault="00CA32C6" w:rsidP="00CA32C6">
            <w:pPr>
              <w:rPr>
                <w:rFonts w:ascii="Arial Narrow" w:hAnsi="Arial Narrow" w:cs="Calibri"/>
                <w:b/>
                <w:bCs/>
                <w:sz w:val="18"/>
                <w:szCs w:val="18"/>
                <w:lang w:val="bg-BG"/>
              </w:rPr>
            </w:pPr>
          </w:p>
        </w:tc>
        <w:tc>
          <w:tcPr>
            <w:tcW w:w="1522" w:type="dxa"/>
            <w:gridSpan w:val="2"/>
            <w:vMerge/>
            <w:tcBorders>
              <w:top w:val="single" w:sz="4" w:space="0" w:color="auto"/>
              <w:left w:val="single" w:sz="4" w:space="0" w:color="auto"/>
              <w:bottom w:val="single" w:sz="4" w:space="0" w:color="auto"/>
              <w:right w:val="single" w:sz="4" w:space="0" w:color="auto"/>
            </w:tcBorders>
            <w:vAlign w:val="center"/>
            <w:hideMark/>
          </w:tcPr>
          <w:p w14:paraId="6DF75A65" w14:textId="77777777" w:rsidR="00CA32C6" w:rsidRPr="00CA32C6" w:rsidRDefault="00CA32C6" w:rsidP="00CA32C6">
            <w:pPr>
              <w:rPr>
                <w:rFonts w:ascii="Arial Narrow" w:hAnsi="Arial Narrow" w:cs="Calibri"/>
                <w:b/>
                <w:bCs/>
                <w:sz w:val="18"/>
                <w:szCs w:val="18"/>
                <w:lang w:val="bg-BG"/>
              </w:rPr>
            </w:pPr>
          </w:p>
        </w:tc>
        <w:tc>
          <w:tcPr>
            <w:tcW w:w="1522" w:type="dxa"/>
            <w:gridSpan w:val="2"/>
            <w:tcBorders>
              <w:top w:val="single" w:sz="4" w:space="0" w:color="auto"/>
              <w:left w:val="nil"/>
              <w:bottom w:val="single" w:sz="4" w:space="0" w:color="auto"/>
              <w:right w:val="single" w:sz="4" w:space="0" w:color="auto"/>
            </w:tcBorders>
            <w:shd w:val="clear" w:color="auto" w:fill="auto"/>
            <w:vAlign w:val="center"/>
            <w:hideMark/>
          </w:tcPr>
          <w:p w14:paraId="4553B75F" w14:textId="77777777" w:rsidR="00CA32C6" w:rsidRPr="00CA32C6" w:rsidRDefault="00CA32C6" w:rsidP="00CA32C6">
            <w:pPr>
              <w:jc w:val="center"/>
              <w:rPr>
                <w:rFonts w:ascii="Arial Narrow" w:hAnsi="Arial Narrow" w:cs="Calibri"/>
                <w:b/>
                <w:bCs/>
                <w:sz w:val="18"/>
                <w:szCs w:val="18"/>
                <w:lang w:val="bg-BG"/>
              </w:rPr>
            </w:pPr>
            <w:r w:rsidRPr="00CA32C6">
              <w:rPr>
                <w:rFonts w:ascii="Arial Narrow" w:hAnsi="Arial Narrow" w:cs="Calibri"/>
                <w:b/>
                <w:bCs/>
                <w:sz w:val="18"/>
                <w:szCs w:val="18"/>
                <w:lang w:val="bg-BG"/>
              </w:rPr>
              <w:t>От открити площи</w:t>
            </w:r>
          </w:p>
        </w:tc>
        <w:tc>
          <w:tcPr>
            <w:tcW w:w="1522" w:type="dxa"/>
            <w:gridSpan w:val="2"/>
            <w:tcBorders>
              <w:top w:val="single" w:sz="4" w:space="0" w:color="auto"/>
              <w:left w:val="nil"/>
              <w:bottom w:val="single" w:sz="4" w:space="0" w:color="auto"/>
              <w:right w:val="single" w:sz="4" w:space="0" w:color="auto"/>
            </w:tcBorders>
            <w:shd w:val="clear" w:color="auto" w:fill="auto"/>
            <w:vAlign w:val="center"/>
            <w:hideMark/>
          </w:tcPr>
          <w:p w14:paraId="37AE99E5" w14:textId="77777777" w:rsidR="00CA32C6" w:rsidRPr="00CA32C6" w:rsidRDefault="00CA32C6" w:rsidP="00CA32C6">
            <w:pPr>
              <w:jc w:val="center"/>
              <w:rPr>
                <w:rFonts w:ascii="Arial Narrow" w:hAnsi="Arial Narrow" w:cs="Calibri"/>
                <w:b/>
                <w:bCs/>
                <w:sz w:val="18"/>
                <w:szCs w:val="18"/>
                <w:lang w:val="bg-BG"/>
              </w:rPr>
            </w:pPr>
            <w:r w:rsidRPr="00CA32C6">
              <w:rPr>
                <w:rFonts w:ascii="Arial Narrow" w:hAnsi="Arial Narrow" w:cs="Calibri"/>
                <w:b/>
                <w:bCs/>
                <w:sz w:val="18"/>
                <w:szCs w:val="18"/>
                <w:lang w:val="bg-BG"/>
              </w:rPr>
              <w:t>Оранжерийно производство</w:t>
            </w:r>
          </w:p>
        </w:tc>
        <w:tc>
          <w:tcPr>
            <w:tcW w:w="2437" w:type="dxa"/>
            <w:gridSpan w:val="3"/>
            <w:tcBorders>
              <w:top w:val="single" w:sz="4" w:space="0" w:color="auto"/>
              <w:left w:val="nil"/>
              <w:bottom w:val="single" w:sz="4" w:space="0" w:color="auto"/>
              <w:right w:val="single" w:sz="4" w:space="0" w:color="auto"/>
            </w:tcBorders>
            <w:shd w:val="clear" w:color="auto" w:fill="auto"/>
            <w:vAlign w:val="center"/>
            <w:hideMark/>
          </w:tcPr>
          <w:p w14:paraId="4052ACA0" w14:textId="77777777" w:rsidR="00CA32C6" w:rsidRPr="00CA32C6" w:rsidRDefault="00CA32C6" w:rsidP="00CA32C6">
            <w:pPr>
              <w:jc w:val="center"/>
              <w:rPr>
                <w:rFonts w:ascii="Arial Narrow" w:hAnsi="Arial Narrow" w:cs="Calibri"/>
                <w:b/>
                <w:bCs/>
                <w:sz w:val="18"/>
                <w:szCs w:val="18"/>
                <w:lang w:val="bg-BG"/>
              </w:rPr>
            </w:pPr>
            <w:r w:rsidRPr="00CA32C6">
              <w:rPr>
                <w:rFonts w:ascii="Arial Narrow" w:hAnsi="Arial Narrow" w:cs="Calibri"/>
                <w:b/>
                <w:bCs/>
                <w:sz w:val="18"/>
                <w:szCs w:val="18"/>
                <w:lang w:val="bg-BG"/>
              </w:rPr>
              <w:t>ОБЩО</w:t>
            </w:r>
          </w:p>
        </w:tc>
        <w:tc>
          <w:tcPr>
            <w:tcW w:w="1361" w:type="dxa"/>
            <w:gridSpan w:val="2"/>
            <w:vMerge/>
            <w:tcBorders>
              <w:top w:val="single" w:sz="4" w:space="0" w:color="auto"/>
              <w:left w:val="single" w:sz="4" w:space="0" w:color="auto"/>
              <w:bottom w:val="single" w:sz="4" w:space="0" w:color="auto"/>
              <w:right w:val="single" w:sz="4" w:space="0" w:color="auto"/>
            </w:tcBorders>
            <w:vAlign w:val="center"/>
            <w:hideMark/>
          </w:tcPr>
          <w:p w14:paraId="3EB54613" w14:textId="77777777" w:rsidR="00CA32C6" w:rsidRPr="00CA32C6" w:rsidRDefault="00CA32C6" w:rsidP="00CA32C6">
            <w:pPr>
              <w:rPr>
                <w:rFonts w:ascii="Arial Narrow" w:hAnsi="Arial Narrow" w:cs="Calibri"/>
                <w:b/>
                <w:bCs/>
                <w:sz w:val="18"/>
                <w:szCs w:val="18"/>
                <w:lang w:val="bg-BG"/>
              </w:rPr>
            </w:pPr>
          </w:p>
        </w:tc>
      </w:tr>
      <w:tr w:rsidR="00CA32C6" w:rsidRPr="00CA32C6" w14:paraId="1ACAA464" w14:textId="77777777" w:rsidTr="009C6577">
        <w:trPr>
          <w:trHeight w:val="503"/>
          <w:tblHeader/>
          <w:jc w:val="center"/>
        </w:trPr>
        <w:tc>
          <w:tcPr>
            <w:tcW w:w="1367" w:type="dxa"/>
            <w:vMerge/>
            <w:tcBorders>
              <w:top w:val="single" w:sz="4" w:space="0" w:color="auto"/>
              <w:left w:val="single" w:sz="4" w:space="0" w:color="auto"/>
              <w:bottom w:val="single" w:sz="4" w:space="0" w:color="auto"/>
              <w:right w:val="single" w:sz="4" w:space="0" w:color="auto"/>
            </w:tcBorders>
            <w:vAlign w:val="center"/>
            <w:hideMark/>
          </w:tcPr>
          <w:p w14:paraId="0E34173E" w14:textId="77777777" w:rsidR="00CA32C6" w:rsidRPr="00CA32C6" w:rsidRDefault="00CA32C6" w:rsidP="00CA32C6">
            <w:pPr>
              <w:rPr>
                <w:rFonts w:ascii="Arial Narrow" w:hAnsi="Arial Narrow" w:cs="Calibri"/>
                <w:b/>
                <w:bCs/>
                <w:sz w:val="18"/>
                <w:szCs w:val="18"/>
                <w:lang w:val="bg-BG"/>
              </w:rPr>
            </w:pPr>
          </w:p>
        </w:tc>
        <w:tc>
          <w:tcPr>
            <w:tcW w:w="761" w:type="dxa"/>
            <w:tcBorders>
              <w:top w:val="nil"/>
              <w:left w:val="nil"/>
              <w:bottom w:val="single" w:sz="4" w:space="0" w:color="auto"/>
              <w:right w:val="single" w:sz="4" w:space="0" w:color="auto"/>
            </w:tcBorders>
            <w:shd w:val="clear" w:color="auto" w:fill="auto"/>
            <w:vAlign w:val="center"/>
            <w:hideMark/>
          </w:tcPr>
          <w:p w14:paraId="7F6C68A8" w14:textId="77777777" w:rsidR="00CA32C6" w:rsidRPr="00CA32C6" w:rsidRDefault="00CA32C6" w:rsidP="00CA32C6">
            <w:pPr>
              <w:jc w:val="center"/>
              <w:rPr>
                <w:rFonts w:ascii="Arial Narrow" w:hAnsi="Arial Narrow" w:cs="Calibri"/>
                <w:b/>
                <w:bCs/>
                <w:sz w:val="18"/>
                <w:szCs w:val="18"/>
                <w:lang w:val="bg-BG"/>
              </w:rPr>
            </w:pPr>
            <w:r w:rsidRPr="00CA32C6">
              <w:rPr>
                <w:rFonts w:ascii="Arial Narrow" w:hAnsi="Arial Narrow" w:cs="Calibri"/>
                <w:b/>
                <w:bCs/>
                <w:sz w:val="18"/>
                <w:szCs w:val="18"/>
                <w:lang w:val="bg-BG"/>
              </w:rPr>
              <w:t>2023</w:t>
            </w:r>
          </w:p>
        </w:tc>
        <w:tc>
          <w:tcPr>
            <w:tcW w:w="761" w:type="dxa"/>
            <w:tcBorders>
              <w:top w:val="nil"/>
              <w:left w:val="nil"/>
              <w:bottom w:val="single" w:sz="4" w:space="0" w:color="auto"/>
              <w:right w:val="single" w:sz="4" w:space="0" w:color="auto"/>
            </w:tcBorders>
            <w:shd w:val="clear" w:color="auto" w:fill="auto"/>
            <w:vAlign w:val="center"/>
            <w:hideMark/>
          </w:tcPr>
          <w:p w14:paraId="7CF7EBA4" w14:textId="77777777" w:rsidR="00CA32C6" w:rsidRPr="00CA32C6" w:rsidRDefault="00CA32C6" w:rsidP="00CA32C6">
            <w:pPr>
              <w:jc w:val="center"/>
              <w:rPr>
                <w:rFonts w:ascii="Arial Narrow" w:hAnsi="Arial Narrow" w:cs="Calibri"/>
                <w:b/>
                <w:bCs/>
                <w:sz w:val="18"/>
                <w:szCs w:val="18"/>
                <w:lang w:val="bg-BG"/>
              </w:rPr>
            </w:pPr>
            <w:r w:rsidRPr="00CA32C6">
              <w:rPr>
                <w:rFonts w:ascii="Arial Narrow" w:hAnsi="Arial Narrow" w:cs="Calibri"/>
                <w:b/>
                <w:bCs/>
                <w:sz w:val="18"/>
                <w:szCs w:val="18"/>
                <w:lang w:val="bg-BG"/>
              </w:rPr>
              <w:t>2024</w:t>
            </w:r>
          </w:p>
        </w:tc>
        <w:tc>
          <w:tcPr>
            <w:tcW w:w="761" w:type="dxa"/>
            <w:tcBorders>
              <w:top w:val="nil"/>
              <w:left w:val="nil"/>
              <w:bottom w:val="single" w:sz="4" w:space="0" w:color="auto"/>
              <w:right w:val="single" w:sz="4" w:space="0" w:color="auto"/>
            </w:tcBorders>
            <w:shd w:val="clear" w:color="auto" w:fill="auto"/>
            <w:vAlign w:val="center"/>
            <w:hideMark/>
          </w:tcPr>
          <w:p w14:paraId="4E17E119" w14:textId="77777777" w:rsidR="00CA32C6" w:rsidRPr="00CA32C6" w:rsidRDefault="00CA32C6" w:rsidP="00CA32C6">
            <w:pPr>
              <w:jc w:val="center"/>
              <w:rPr>
                <w:rFonts w:ascii="Arial Narrow" w:hAnsi="Arial Narrow" w:cs="Calibri"/>
                <w:b/>
                <w:bCs/>
                <w:sz w:val="18"/>
                <w:szCs w:val="18"/>
                <w:lang w:val="bg-BG"/>
              </w:rPr>
            </w:pPr>
            <w:r w:rsidRPr="00CA32C6">
              <w:rPr>
                <w:rFonts w:ascii="Arial Narrow" w:hAnsi="Arial Narrow" w:cs="Calibri"/>
                <w:b/>
                <w:bCs/>
                <w:sz w:val="18"/>
                <w:szCs w:val="18"/>
                <w:lang w:val="bg-BG"/>
              </w:rPr>
              <w:t>2023</w:t>
            </w:r>
          </w:p>
        </w:tc>
        <w:tc>
          <w:tcPr>
            <w:tcW w:w="761" w:type="dxa"/>
            <w:tcBorders>
              <w:top w:val="nil"/>
              <w:left w:val="nil"/>
              <w:bottom w:val="single" w:sz="4" w:space="0" w:color="auto"/>
              <w:right w:val="single" w:sz="4" w:space="0" w:color="auto"/>
            </w:tcBorders>
            <w:shd w:val="clear" w:color="auto" w:fill="auto"/>
            <w:vAlign w:val="center"/>
            <w:hideMark/>
          </w:tcPr>
          <w:p w14:paraId="052352EE" w14:textId="77777777" w:rsidR="00CA32C6" w:rsidRPr="00CA32C6" w:rsidRDefault="00CA32C6" w:rsidP="00CA32C6">
            <w:pPr>
              <w:jc w:val="center"/>
              <w:rPr>
                <w:rFonts w:ascii="Arial Narrow" w:hAnsi="Arial Narrow" w:cs="Calibri"/>
                <w:b/>
                <w:bCs/>
                <w:sz w:val="18"/>
                <w:szCs w:val="18"/>
                <w:lang w:val="bg-BG"/>
              </w:rPr>
            </w:pPr>
            <w:r w:rsidRPr="00CA32C6">
              <w:rPr>
                <w:rFonts w:ascii="Arial Narrow" w:hAnsi="Arial Narrow" w:cs="Calibri"/>
                <w:b/>
                <w:bCs/>
                <w:sz w:val="18"/>
                <w:szCs w:val="18"/>
                <w:lang w:val="bg-BG"/>
              </w:rPr>
              <w:t>2024</w:t>
            </w:r>
          </w:p>
        </w:tc>
        <w:tc>
          <w:tcPr>
            <w:tcW w:w="761" w:type="dxa"/>
            <w:tcBorders>
              <w:top w:val="nil"/>
              <w:left w:val="nil"/>
              <w:bottom w:val="single" w:sz="4" w:space="0" w:color="auto"/>
              <w:right w:val="single" w:sz="4" w:space="0" w:color="auto"/>
            </w:tcBorders>
            <w:shd w:val="clear" w:color="auto" w:fill="auto"/>
            <w:vAlign w:val="center"/>
            <w:hideMark/>
          </w:tcPr>
          <w:p w14:paraId="37311595" w14:textId="77777777" w:rsidR="00CA32C6" w:rsidRPr="00CA32C6" w:rsidRDefault="00CA32C6" w:rsidP="00CA32C6">
            <w:pPr>
              <w:jc w:val="center"/>
              <w:rPr>
                <w:rFonts w:ascii="Arial Narrow" w:hAnsi="Arial Narrow" w:cs="Calibri"/>
                <w:b/>
                <w:bCs/>
                <w:sz w:val="18"/>
                <w:szCs w:val="18"/>
                <w:lang w:val="bg-BG"/>
              </w:rPr>
            </w:pPr>
            <w:r w:rsidRPr="00CA32C6">
              <w:rPr>
                <w:rFonts w:ascii="Arial Narrow" w:hAnsi="Arial Narrow" w:cs="Calibri"/>
                <w:b/>
                <w:bCs/>
                <w:sz w:val="18"/>
                <w:szCs w:val="18"/>
                <w:lang w:val="bg-BG"/>
              </w:rPr>
              <w:t>2023</w:t>
            </w:r>
          </w:p>
        </w:tc>
        <w:tc>
          <w:tcPr>
            <w:tcW w:w="761" w:type="dxa"/>
            <w:tcBorders>
              <w:top w:val="nil"/>
              <w:left w:val="nil"/>
              <w:bottom w:val="single" w:sz="4" w:space="0" w:color="auto"/>
              <w:right w:val="single" w:sz="4" w:space="0" w:color="auto"/>
            </w:tcBorders>
            <w:shd w:val="clear" w:color="auto" w:fill="auto"/>
            <w:vAlign w:val="center"/>
            <w:hideMark/>
          </w:tcPr>
          <w:p w14:paraId="7115B38B" w14:textId="77777777" w:rsidR="00CA32C6" w:rsidRPr="00CA32C6" w:rsidRDefault="00CA32C6" w:rsidP="00CA32C6">
            <w:pPr>
              <w:jc w:val="center"/>
              <w:rPr>
                <w:rFonts w:ascii="Arial Narrow" w:hAnsi="Arial Narrow" w:cs="Calibri"/>
                <w:b/>
                <w:bCs/>
                <w:sz w:val="18"/>
                <w:szCs w:val="18"/>
                <w:lang w:val="bg-BG"/>
              </w:rPr>
            </w:pPr>
            <w:r w:rsidRPr="00CA32C6">
              <w:rPr>
                <w:rFonts w:ascii="Arial Narrow" w:hAnsi="Arial Narrow" w:cs="Calibri"/>
                <w:b/>
                <w:bCs/>
                <w:sz w:val="18"/>
                <w:szCs w:val="18"/>
                <w:lang w:val="bg-BG"/>
              </w:rPr>
              <w:t>2024</w:t>
            </w:r>
          </w:p>
        </w:tc>
        <w:tc>
          <w:tcPr>
            <w:tcW w:w="761" w:type="dxa"/>
            <w:tcBorders>
              <w:top w:val="nil"/>
              <w:left w:val="nil"/>
              <w:bottom w:val="single" w:sz="4" w:space="0" w:color="auto"/>
              <w:right w:val="single" w:sz="4" w:space="0" w:color="auto"/>
            </w:tcBorders>
            <w:shd w:val="clear" w:color="auto" w:fill="auto"/>
            <w:vAlign w:val="center"/>
            <w:hideMark/>
          </w:tcPr>
          <w:p w14:paraId="6895C119" w14:textId="77777777" w:rsidR="00CA32C6" w:rsidRPr="00CA32C6" w:rsidRDefault="00CA32C6" w:rsidP="00CA32C6">
            <w:pPr>
              <w:jc w:val="center"/>
              <w:rPr>
                <w:rFonts w:ascii="Arial Narrow" w:hAnsi="Arial Narrow" w:cs="Calibri"/>
                <w:b/>
                <w:bCs/>
                <w:sz w:val="18"/>
                <w:szCs w:val="18"/>
                <w:lang w:val="bg-BG"/>
              </w:rPr>
            </w:pPr>
            <w:r w:rsidRPr="00CA32C6">
              <w:rPr>
                <w:rFonts w:ascii="Arial Narrow" w:hAnsi="Arial Narrow" w:cs="Calibri"/>
                <w:b/>
                <w:bCs/>
                <w:sz w:val="18"/>
                <w:szCs w:val="18"/>
                <w:lang w:val="bg-BG"/>
              </w:rPr>
              <w:t>2023</w:t>
            </w:r>
          </w:p>
        </w:tc>
        <w:tc>
          <w:tcPr>
            <w:tcW w:w="761" w:type="dxa"/>
            <w:tcBorders>
              <w:top w:val="nil"/>
              <w:left w:val="nil"/>
              <w:bottom w:val="single" w:sz="4" w:space="0" w:color="auto"/>
              <w:right w:val="single" w:sz="4" w:space="0" w:color="auto"/>
            </w:tcBorders>
            <w:shd w:val="clear" w:color="auto" w:fill="auto"/>
            <w:vAlign w:val="center"/>
            <w:hideMark/>
          </w:tcPr>
          <w:p w14:paraId="541DC19C" w14:textId="77777777" w:rsidR="00CA32C6" w:rsidRPr="00CA32C6" w:rsidRDefault="00CA32C6" w:rsidP="00CA32C6">
            <w:pPr>
              <w:jc w:val="center"/>
              <w:rPr>
                <w:rFonts w:ascii="Arial Narrow" w:hAnsi="Arial Narrow" w:cs="Calibri"/>
                <w:b/>
                <w:bCs/>
                <w:sz w:val="18"/>
                <w:szCs w:val="18"/>
                <w:lang w:val="bg-BG"/>
              </w:rPr>
            </w:pPr>
            <w:r w:rsidRPr="00CA32C6">
              <w:rPr>
                <w:rFonts w:ascii="Arial Narrow" w:hAnsi="Arial Narrow" w:cs="Calibri"/>
                <w:b/>
                <w:bCs/>
                <w:sz w:val="18"/>
                <w:szCs w:val="18"/>
                <w:lang w:val="bg-BG"/>
              </w:rPr>
              <w:t>2024</w:t>
            </w:r>
          </w:p>
        </w:tc>
        <w:tc>
          <w:tcPr>
            <w:tcW w:w="761" w:type="dxa"/>
            <w:tcBorders>
              <w:top w:val="nil"/>
              <w:left w:val="nil"/>
              <w:bottom w:val="single" w:sz="4" w:space="0" w:color="auto"/>
              <w:right w:val="single" w:sz="4" w:space="0" w:color="auto"/>
            </w:tcBorders>
            <w:shd w:val="clear" w:color="auto" w:fill="auto"/>
            <w:vAlign w:val="center"/>
            <w:hideMark/>
          </w:tcPr>
          <w:p w14:paraId="14995C3C" w14:textId="77777777" w:rsidR="00CA32C6" w:rsidRPr="00CA32C6" w:rsidRDefault="00CA32C6" w:rsidP="00CA32C6">
            <w:pPr>
              <w:jc w:val="center"/>
              <w:rPr>
                <w:rFonts w:ascii="Arial Narrow" w:hAnsi="Arial Narrow" w:cs="Calibri"/>
                <w:b/>
                <w:bCs/>
                <w:sz w:val="18"/>
                <w:szCs w:val="18"/>
                <w:lang w:val="bg-BG"/>
              </w:rPr>
            </w:pPr>
            <w:r w:rsidRPr="00CA32C6">
              <w:rPr>
                <w:rFonts w:ascii="Arial Narrow" w:hAnsi="Arial Narrow" w:cs="Calibri"/>
                <w:b/>
                <w:bCs/>
                <w:sz w:val="18"/>
                <w:szCs w:val="18"/>
                <w:lang w:val="bg-BG"/>
              </w:rPr>
              <w:t>2023</w:t>
            </w:r>
          </w:p>
        </w:tc>
        <w:tc>
          <w:tcPr>
            <w:tcW w:w="761" w:type="dxa"/>
            <w:tcBorders>
              <w:top w:val="nil"/>
              <w:left w:val="nil"/>
              <w:bottom w:val="single" w:sz="4" w:space="0" w:color="auto"/>
              <w:right w:val="single" w:sz="4" w:space="0" w:color="auto"/>
            </w:tcBorders>
            <w:shd w:val="clear" w:color="auto" w:fill="auto"/>
            <w:vAlign w:val="center"/>
            <w:hideMark/>
          </w:tcPr>
          <w:p w14:paraId="5A74261D" w14:textId="77777777" w:rsidR="00CA32C6" w:rsidRPr="00CA32C6" w:rsidRDefault="00CA32C6" w:rsidP="00CA32C6">
            <w:pPr>
              <w:jc w:val="center"/>
              <w:rPr>
                <w:rFonts w:ascii="Arial Narrow" w:hAnsi="Arial Narrow" w:cs="Calibri"/>
                <w:b/>
                <w:bCs/>
                <w:sz w:val="18"/>
                <w:szCs w:val="18"/>
                <w:lang w:val="bg-BG"/>
              </w:rPr>
            </w:pPr>
            <w:r w:rsidRPr="00CA32C6">
              <w:rPr>
                <w:rFonts w:ascii="Arial Narrow" w:hAnsi="Arial Narrow" w:cs="Calibri"/>
                <w:b/>
                <w:bCs/>
                <w:sz w:val="18"/>
                <w:szCs w:val="18"/>
                <w:lang w:val="bg-BG"/>
              </w:rPr>
              <w:t>2024</w:t>
            </w:r>
          </w:p>
        </w:tc>
        <w:tc>
          <w:tcPr>
            <w:tcW w:w="915" w:type="dxa"/>
            <w:tcBorders>
              <w:top w:val="nil"/>
              <w:left w:val="nil"/>
              <w:bottom w:val="single" w:sz="4" w:space="0" w:color="auto"/>
              <w:right w:val="single" w:sz="4" w:space="0" w:color="auto"/>
            </w:tcBorders>
            <w:shd w:val="clear" w:color="auto" w:fill="auto"/>
            <w:vAlign w:val="center"/>
            <w:hideMark/>
          </w:tcPr>
          <w:p w14:paraId="34E708D8" w14:textId="77777777" w:rsidR="00CA32C6" w:rsidRPr="00CA32C6" w:rsidRDefault="00CA32C6" w:rsidP="00CA32C6">
            <w:pPr>
              <w:jc w:val="center"/>
              <w:rPr>
                <w:rFonts w:ascii="Arial Narrow" w:hAnsi="Arial Narrow" w:cs="Calibri"/>
                <w:b/>
                <w:bCs/>
                <w:sz w:val="18"/>
                <w:szCs w:val="18"/>
                <w:lang w:val="bg-BG"/>
              </w:rPr>
            </w:pPr>
            <w:r w:rsidRPr="00CA32C6">
              <w:rPr>
                <w:rFonts w:ascii="Arial Narrow" w:hAnsi="Arial Narrow" w:cs="Calibri"/>
                <w:b/>
                <w:bCs/>
                <w:sz w:val="18"/>
                <w:szCs w:val="18"/>
                <w:lang w:val="bg-BG"/>
              </w:rPr>
              <w:t>Изм. 2024/2023</w:t>
            </w:r>
          </w:p>
        </w:tc>
        <w:tc>
          <w:tcPr>
            <w:tcW w:w="680" w:type="dxa"/>
            <w:tcBorders>
              <w:top w:val="nil"/>
              <w:left w:val="nil"/>
              <w:bottom w:val="single" w:sz="4" w:space="0" w:color="auto"/>
              <w:right w:val="single" w:sz="4" w:space="0" w:color="auto"/>
            </w:tcBorders>
            <w:shd w:val="clear" w:color="auto" w:fill="auto"/>
            <w:vAlign w:val="center"/>
            <w:hideMark/>
          </w:tcPr>
          <w:p w14:paraId="1E4B05EF" w14:textId="77777777" w:rsidR="00CA32C6" w:rsidRPr="00CA32C6" w:rsidRDefault="00CA32C6" w:rsidP="00CA32C6">
            <w:pPr>
              <w:jc w:val="center"/>
              <w:rPr>
                <w:rFonts w:ascii="Arial Narrow" w:hAnsi="Arial Narrow" w:cs="Calibri"/>
                <w:b/>
                <w:bCs/>
                <w:sz w:val="18"/>
                <w:szCs w:val="18"/>
                <w:lang w:val="bg-BG"/>
              </w:rPr>
            </w:pPr>
            <w:r w:rsidRPr="00CA32C6">
              <w:rPr>
                <w:rFonts w:ascii="Arial Narrow" w:hAnsi="Arial Narrow" w:cs="Calibri"/>
                <w:b/>
                <w:bCs/>
                <w:sz w:val="18"/>
                <w:szCs w:val="18"/>
                <w:lang w:val="bg-BG"/>
              </w:rPr>
              <w:t>2023</w:t>
            </w:r>
          </w:p>
        </w:tc>
        <w:tc>
          <w:tcPr>
            <w:tcW w:w="680" w:type="dxa"/>
            <w:tcBorders>
              <w:top w:val="nil"/>
              <w:left w:val="nil"/>
              <w:bottom w:val="single" w:sz="4" w:space="0" w:color="auto"/>
              <w:right w:val="single" w:sz="4" w:space="0" w:color="auto"/>
            </w:tcBorders>
            <w:shd w:val="clear" w:color="auto" w:fill="auto"/>
            <w:vAlign w:val="center"/>
            <w:hideMark/>
          </w:tcPr>
          <w:p w14:paraId="3F2F75E5" w14:textId="77777777" w:rsidR="00CA32C6" w:rsidRPr="00CA32C6" w:rsidRDefault="00CA32C6" w:rsidP="00CA32C6">
            <w:pPr>
              <w:jc w:val="center"/>
              <w:rPr>
                <w:rFonts w:ascii="Arial Narrow" w:hAnsi="Arial Narrow" w:cs="Calibri"/>
                <w:b/>
                <w:bCs/>
                <w:sz w:val="18"/>
                <w:szCs w:val="18"/>
                <w:lang w:val="bg-BG"/>
              </w:rPr>
            </w:pPr>
            <w:r w:rsidRPr="00CA32C6">
              <w:rPr>
                <w:rFonts w:ascii="Arial Narrow" w:hAnsi="Arial Narrow" w:cs="Calibri"/>
                <w:b/>
                <w:bCs/>
                <w:sz w:val="18"/>
                <w:szCs w:val="18"/>
                <w:lang w:val="bg-BG"/>
              </w:rPr>
              <w:t>2024</w:t>
            </w:r>
          </w:p>
        </w:tc>
      </w:tr>
      <w:tr w:rsidR="00CA32C6" w:rsidRPr="00CA32C6" w14:paraId="16CDDFB9" w14:textId="77777777" w:rsidTr="009C6577">
        <w:trPr>
          <w:trHeight w:val="517"/>
          <w:jc w:val="center"/>
        </w:trPr>
        <w:tc>
          <w:tcPr>
            <w:tcW w:w="1367" w:type="dxa"/>
            <w:tcBorders>
              <w:top w:val="nil"/>
              <w:left w:val="single" w:sz="4" w:space="0" w:color="auto"/>
              <w:bottom w:val="single" w:sz="4" w:space="0" w:color="auto"/>
              <w:right w:val="single" w:sz="4" w:space="0" w:color="auto"/>
            </w:tcBorders>
            <w:shd w:val="clear" w:color="auto" w:fill="auto"/>
            <w:vAlign w:val="center"/>
            <w:hideMark/>
          </w:tcPr>
          <w:p w14:paraId="6B114DC4" w14:textId="77777777" w:rsidR="00CA32C6" w:rsidRPr="00CA32C6" w:rsidRDefault="00CA32C6" w:rsidP="00CA32C6">
            <w:pPr>
              <w:rPr>
                <w:rFonts w:ascii="Arial Narrow" w:hAnsi="Arial Narrow" w:cs="Calibri"/>
                <w:b/>
                <w:bCs/>
                <w:sz w:val="18"/>
                <w:szCs w:val="18"/>
                <w:lang w:val="bg-BG"/>
              </w:rPr>
            </w:pPr>
            <w:r w:rsidRPr="00CA32C6">
              <w:rPr>
                <w:rFonts w:ascii="Arial Narrow" w:hAnsi="Arial Narrow" w:cs="Calibri"/>
                <w:b/>
                <w:bCs/>
                <w:sz w:val="18"/>
                <w:szCs w:val="18"/>
                <w:lang w:val="bg-BG"/>
              </w:rPr>
              <w:t>Плодови зеленчуци, в т.ч.:</w:t>
            </w:r>
          </w:p>
        </w:tc>
        <w:tc>
          <w:tcPr>
            <w:tcW w:w="761" w:type="dxa"/>
            <w:tcBorders>
              <w:top w:val="nil"/>
              <w:left w:val="nil"/>
              <w:bottom w:val="single" w:sz="4" w:space="0" w:color="auto"/>
              <w:right w:val="single" w:sz="4" w:space="0" w:color="auto"/>
            </w:tcBorders>
            <w:shd w:val="clear" w:color="auto" w:fill="auto"/>
            <w:noWrap/>
            <w:vAlign w:val="center"/>
            <w:hideMark/>
          </w:tcPr>
          <w:p w14:paraId="11E15650" w14:textId="77777777" w:rsidR="00CA32C6" w:rsidRPr="00CA32C6" w:rsidRDefault="00CA32C6" w:rsidP="00CA32C6">
            <w:pPr>
              <w:jc w:val="right"/>
              <w:rPr>
                <w:rFonts w:ascii="Arial Narrow" w:hAnsi="Arial Narrow" w:cs="Calibri"/>
                <w:b/>
                <w:bCs/>
                <w:sz w:val="18"/>
                <w:szCs w:val="18"/>
                <w:lang w:val="bg-BG"/>
              </w:rPr>
            </w:pPr>
            <w:r w:rsidRPr="00CA32C6">
              <w:rPr>
                <w:rFonts w:ascii="Arial Narrow" w:hAnsi="Arial Narrow" w:cs="Calibri"/>
                <w:b/>
                <w:bCs/>
                <w:sz w:val="18"/>
                <w:szCs w:val="18"/>
                <w:lang w:val="bg-BG"/>
              </w:rPr>
              <w:t>13 735</w:t>
            </w:r>
          </w:p>
        </w:tc>
        <w:tc>
          <w:tcPr>
            <w:tcW w:w="761" w:type="dxa"/>
            <w:tcBorders>
              <w:top w:val="nil"/>
              <w:left w:val="nil"/>
              <w:bottom w:val="single" w:sz="4" w:space="0" w:color="auto"/>
              <w:right w:val="single" w:sz="4" w:space="0" w:color="auto"/>
            </w:tcBorders>
            <w:shd w:val="clear" w:color="auto" w:fill="auto"/>
            <w:noWrap/>
            <w:vAlign w:val="center"/>
            <w:hideMark/>
          </w:tcPr>
          <w:p w14:paraId="0CB8E327" w14:textId="77777777" w:rsidR="00CA32C6" w:rsidRPr="00CA32C6" w:rsidRDefault="00CA32C6" w:rsidP="00CA32C6">
            <w:pPr>
              <w:jc w:val="right"/>
              <w:rPr>
                <w:rFonts w:ascii="Arial Narrow" w:hAnsi="Arial Narrow" w:cs="Calibri"/>
                <w:b/>
                <w:bCs/>
                <w:sz w:val="18"/>
                <w:szCs w:val="18"/>
                <w:lang w:val="bg-BG"/>
              </w:rPr>
            </w:pPr>
            <w:r w:rsidRPr="00CA32C6">
              <w:rPr>
                <w:rFonts w:ascii="Arial Narrow" w:hAnsi="Arial Narrow" w:cs="Calibri"/>
                <w:b/>
                <w:bCs/>
                <w:sz w:val="18"/>
                <w:szCs w:val="18"/>
                <w:lang w:val="bg-BG"/>
              </w:rPr>
              <w:t>18 232</w:t>
            </w:r>
          </w:p>
        </w:tc>
        <w:tc>
          <w:tcPr>
            <w:tcW w:w="761" w:type="dxa"/>
            <w:tcBorders>
              <w:top w:val="nil"/>
              <w:left w:val="nil"/>
              <w:bottom w:val="single" w:sz="4" w:space="0" w:color="auto"/>
              <w:right w:val="single" w:sz="4" w:space="0" w:color="auto"/>
            </w:tcBorders>
            <w:shd w:val="clear" w:color="auto" w:fill="auto"/>
            <w:noWrap/>
            <w:vAlign w:val="center"/>
            <w:hideMark/>
          </w:tcPr>
          <w:p w14:paraId="2BEF0977" w14:textId="77777777" w:rsidR="00CA32C6" w:rsidRPr="00CA32C6" w:rsidRDefault="00CA32C6" w:rsidP="00CA32C6">
            <w:pPr>
              <w:jc w:val="right"/>
              <w:rPr>
                <w:rFonts w:ascii="Arial Narrow" w:hAnsi="Arial Narrow" w:cs="Calibri"/>
                <w:b/>
                <w:bCs/>
                <w:sz w:val="18"/>
                <w:szCs w:val="18"/>
                <w:lang w:val="bg-BG"/>
              </w:rPr>
            </w:pPr>
            <w:r w:rsidRPr="00CA32C6">
              <w:rPr>
                <w:rFonts w:ascii="Arial Narrow" w:hAnsi="Arial Narrow" w:cs="Calibri"/>
                <w:b/>
                <w:bCs/>
                <w:sz w:val="18"/>
                <w:szCs w:val="18"/>
                <w:lang w:val="bg-BG"/>
              </w:rPr>
              <w:t>1 181</w:t>
            </w:r>
          </w:p>
        </w:tc>
        <w:tc>
          <w:tcPr>
            <w:tcW w:w="761" w:type="dxa"/>
            <w:tcBorders>
              <w:top w:val="nil"/>
              <w:left w:val="nil"/>
              <w:bottom w:val="single" w:sz="4" w:space="0" w:color="auto"/>
              <w:right w:val="single" w:sz="4" w:space="0" w:color="auto"/>
            </w:tcBorders>
            <w:shd w:val="clear" w:color="auto" w:fill="auto"/>
            <w:noWrap/>
            <w:vAlign w:val="center"/>
            <w:hideMark/>
          </w:tcPr>
          <w:p w14:paraId="0C4AD9D9" w14:textId="77777777" w:rsidR="00CA32C6" w:rsidRPr="00CA32C6" w:rsidRDefault="00CA32C6" w:rsidP="00CA32C6">
            <w:pPr>
              <w:jc w:val="right"/>
              <w:rPr>
                <w:rFonts w:ascii="Arial Narrow" w:hAnsi="Arial Narrow" w:cs="Calibri"/>
                <w:b/>
                <w:bCs/>
                <w:sz w:val="18"/>
                <w:szCs w:val="18"/>
                <w:lang w:val="bg-BG"/>
              </w:rPr>
            </w:pPr>
            <w:r w:rsidRPr="00CA32C6">
              <w:rPr>
                <w:rFonts w:ascii="Arial Narrow" w:hAnsi="Arial Narrow" w:cs="Calibri"/>
                <w:b/>
                <w:bCs/>
                <w:sz w:val="18"/>
                <w:szCs w:val="18"/>
                <w:lang w:val="bg-BG"/>
              </w:rPr>
              <w:t>1 253</w:t>
            </w:r>
          </w:p>
        </w:tc>
        <w:tc>
          <w:tcPr>
            <w:tcW w:w="761" w:type="dxa"/>
            <w:tcBorders>
              <w:top w:val="nil"/>
              <w:left w:val="nil"/>
              <w:bottom w:val="single" w:sz="4" w:space="0" w:color="auto"/>
              <w:right w:val="single" w:sz="4" w:space="0" w:color="auto"/>
            </w:tcBorders>
            <w:shd w:val="clear" w:color="auto" w:fill="auto"/>
            <w:noWrap/>
            <w:vAlign w:val="center"/>
            <w:hideMark/>
          </w:tcPr>
          <w:p w14:paraId="2E94157A" w14:textId="77777777" w:rsidR="00CA32C6" w:rsidRPr="00CA32C6" w:rsidRDefault="00CA32C6" w:rsidP="00CA32C6">
            <w:pPr>
              <w:jc w:val="right"/>
              <w:rPr>
                <w:rFonts w:ascii="Arial Narrow" w:hAnsi="Arial Narrow" w:cs="Calibri"/>
                <w:b/>
                <w:bCs/>
                <w:sz w:val="18"/>
                <w:szCs w:val="18"/>
                <w:lang w:val="bg-BG"/>
              </w:rPr>
            </w:pPr>
            <w:r w:rsidRPr="00CA32C6">
              <w:rPr>
                <w:rFonts w:ascii="Arial Narrow" w:hAnsi="Arial Narrow" w:cs="Calibri"/>
                <w:b/>
                <w:bCs/>
                <w:sz w:val="18"/>
                <w:szCs w:val="18"/>
                <w:lang w:val="bg-BG"/>
              </w:rPr>
              <w:t>250 794</w:t>
            </w:r>
          </w:p>
        </w:tc>
        <w:tc>
          <w:tcPr>
            <w:tcW w:w="761" w:type="dxa"/>
            <w:tcBorders>
              <w:top w:val="nil"/>
              <w:left w:val="nil"/>
              <w:bottom w:val="single" w:sz="4" w:space="0" w:color="auto"/>
              <w:right w:val="single" w:sz="4" w:space="0" w:color="auto"/>
            </w:tcBorders>
            <w:shd w:val="clear" w:color="auto" w:fill="auto"/>
            <w:noWrap/>
            <w:vAlign w:val="center"/>
            <w:hideMark/>
          </w:tcPr>
          <w:p w14:paraId="0208B347" w14:textId="77777777" w:rsidR="00CA32C6" w:rsidRPr="00CA32C6" w:rsidRDefault="00CA32C6" w:rsidP="00CA32C6">
            <w:pPr>
              <w:jc w:val="right"/>
              <w:rPr>
                <w:rFonts w:ascii="Arial Narrow" w:hAnsi="Arial Narrow" w:cs="Calibri"/>
                <w:b/>
                <w:bCs/>
                <w:sz w:val="18"/>
                <w:szCs w:val="18"/>
                <w:lang w:val="bg-BG"/>
              </w:rPr>
            </w:pPr>
            <w:r w:rsidRPr="00CA32C6">
              <w:rPr>
                <w:rFonts w:ascii="Arial Narrow" w:hAnsi="Arial Narrow" w:cs="Calibri"/>
                <w:b/>
                <w:bCs/>
                <w:sz w:val="18"/>
                <w:szCs w:val="18"/>
                <w:lang w:val="bg-BG"/>
              </w:rPr>
              <w:t>325 567</w:t>
            </w:r>
          </w:p>
        </w:tc>
        <w:tc>
          <w:tcPr>
            <w:tcW w:w="761" w:type="dxa"/>
            <w:tcBorders>
              <w:top w:val="nil"/>
              <w:left w:val="nil"/>
              <w:bottom w:val="single" w:sz="4" w:space="0" w:color="auto"/>
              <w:right w:val="single" w:sz="4" w:space="0" w:color="auto"/>
            </w:tcBorders>
            <w:shd w:val="clear" w:color="auto" w:fill="auto"/>
            <w:noWrap/>
            <w:vAlign w:val="center"/>
            <w:hideMark/>
          </w:tcPr>
          <w:p w14:paraId="22D268FC" w14:textId="77777777" w:rsidR="00CA32C6" w:rsidRPr="00CA32C6" w:rsidRDefault="00CA32C6" w:rsidP="00CA32C6">
            <w:pPr>
              <w:jc w:val="right"/>
              <w:rPr>
                <w:rFonts w:ascii="Arial Narrow" w:hAnsi="Arial Narrow" w:cs="Calibri"/>
                <w:b/>
                <w:bCs/>
                <w:sz w:val="18"/>
                <w:szCs w:val="18"/>
                <w:lang w:val="bg-BG"/>
              </w:rPr>
            </w:pPr>
            <w:r w:rsidRPr="00CA32C6">
              <w:rPr>
                <w:rFonts w:ascii="Arial Narrow" w:hAnsi="Arial Narrow" w:cs="Calibri"/>
                <w:b/>
                <w:bCs/>
                <w:sz w:val="18"/>
                <w:szCs w:val="18"/>
                <w:lang w:val="bg-BG"/>
              </w:rPr>
              <w:t>106 534</w:t>
            </w:r>
          </w:p>
        </w:tc>
        <w:tc>
          <w:tcPr>
            <w:tcW w:w="761" w:type="dxa"/>
            <w:tcBorders>
              <w:top w:val="nil"/>
              <w:left w:val="nil"/>
              <w:bottom w:val="single" w:sz="4" w:space="0" w:color="auto"/>
              <w:right w:val="single" w:sz="4" w:space="0" w:color="auto"/>
            </w:tcBorders>
            <w:shd w:val="clear" w:color="auto" w:fill="auto"/>
            <w:noWrap/>
            <w:vAlign w:val="center"/>
            <w:hideMark/>
          </w:tcPr>
          <w:p w14:paraId="7D125C3E" w14:textId="77777777" w:rsidR="00CA32C6" w:rsidRPr="00CA32C6" w:rsidRDefault="00CA32C6" w:rsidP="00CA32C6">
            <w:pPr>
              <w:jc w:val="right"/>
              <w:rPr>
                <w:rFonts w:ascii="Arial Narrow" w:hAnsi="Arial Narrow" w:cs="Calibri"/>
                <w:b/>
                <w:bCs/>
                <w:sz w:val="18"/>
                <w:szCs w:val="18"/>
                <w:lang w:val="bg-BG"/>
              </w:rPr>
            </w:pPr>
            <w:r w:rsidRPr="00CA32C6">
              <w:rPr>
                <w:rFonts w:ascii="Arial Narrow" w:hAnsi="Arial Narrow" w:cs="Calibri"/>
                <w:b/>
                <w:bCs/>
                <w:sz w:val="18"/>
                <w:szCs w:val="18"/>
                <w:lang w:val="bg-BG"/>
              </w:rPr>
              <w:t>109 034</w:t>
            </w:r>
          </w:p>
        </w:tc>
        <w:tc>
          <w:tcPr>
            <w:tcW w:w="761" w:type="dxa"/>
            <w:tcBorders>
              <w:top w:val="nil"/>
              <w:left w:val="nil"/>
              <w:bottom w:val="single" w:sz="4" w:space="0" w:color="auto"/>
              <w:right w:val="single" w:sz="4" w:space="0" w:color="auto"/>
            </w:tcBorders>
            <w:shd w:val="clear" w:color="auto" w:fill="auto"/>
            <w:noWrap/>
            <w:vAlign w:val="center"/>
            <w:hideMark/>
          </w:tcPr>
          <w:p w14:paraId="4469BF6B" w14:textId="77777777" w:rsidR="00CA32C6" w:rsidRPr="00CA32C6" w:rsidRDefault="00CA32C6" w:rsidP="00CA32C6">
            <w:pPr>
              <w:jc w:val="right"/>
              <w:rPr>
                <w:rFonts w:ascii="Arial Narrow" w:hAnsi="Arial Narrow" w:cs="Calibri"/>
                <w:b/>
                <w:bCs/>
                <w:sz w:val="18"/>
                <w:szCs w:val="18"/>
                <w:lang w:val="bg-BG"/>
              </w:rPr>
            </w:pPr>
            <w:r w:rsidRPr="00CA32C6">
              <w:rPr>
                <w:rFonts w:ascii="Arial Narrow" w:hAnsi="Arial Narrow" w:cs="Calibri"/>
                <w:b/>
                <w:bCs/>
                <w:sz w:val="18"/>
                <w:szCs w:val="18"/>
                <w:lang w:val="bg-BG"/>
              </w:rPr>
              <w:t>357 328</w:t>
            </w:r>
          </w:p>
        </w:tc>
        <w:tc>
          <w:tcPr>
            <w:tcW w:w="761" w:type="dxa"/>
            <w:tcBorders>
              <w:top w:val="nil"/>
              <w:left w:val="nil"/>
              <w:bottom w:val="single" w:sz="4" w:space="0" w:color="auto"/>
              <w:right w:val="single" w:sz="4" w:space="0" w:color="auto"/>
            </w:tcBorders>
            <w:shd w:val="clear" w:color="auto" w:fill="auto"/>
            <w:noWrap/>
            <w:vAlign w:val="center"/>
            <w:hideMark/>
          </w:tcPr>
          <w:p w14:paraId="27E14051" w14:textId="77777777" w:rsidR="00CA32C6" w:rsidRPr="00CA32C6" w:rsidRDefault="00CA32C6" w:rsidP="00CA32C6">
            <w:pPr>
              <w:jc w:val="right"/>
              <w:rPr>
                <w:rFonts w:ascii="Arial Narrow" w:hAnsi="Arial Narrow" w:cs="Calibri"/>
                <w:b/>
                <w:bCs/>
                <w:sz w:val="18"/>
                <w:szCs w:val="18"/>
                <w:lang w:val="bg-BG"/>
              </w:rPr>
            </w:pPr>
            <w:r w:rsidRPr="00CA32C6">
              <w:rPr>
                <w:rFonts w:ascii="Arial Narrow" w:hAnsi="Arial Narrow" w:cs="Calibri"/>
                <w:b/>
                <w:bCs/>
                <w:sz w:val="18"/>
                <w:szCs w:val="18"/>
                <w:lang w:val="bg-BG"/>
              </w:rPr>
              <w:t>434 601</w:t>
            </w:r>
          </w:p>
        </w:tc>
        <w:tc>
          <w:tcPr>
            <w:tcW w:w="915" w:type="dxa"/>
            <w:tcBorders>
              <w:top w:val="nil"/>
              <w:left w:val="nil"/>
              <w:bottom w:val="single" w:sz="4" w:space="0" w:color="auto"/>
              <w:right w:val="single" w:sz="4" w:space="0" w:color="auto"/>
            </w:tcBorders>
            <w:shd w:val="clear" w:color="auto" w:fill="auto"/>
            <w:noWrap/>
            <w:vAlign w:val="center"/>
            <w:hideMark/>
          </w:tcPr>
          <w:p w14:paraId="076D321B" w14:textId="77777777" w:rsidR="00CA32C6" w:rsidRPr="00CA32C6" w:rsidRDefault="00CA32C6" w:rsidP="00CA32C6">
            <w:pPr>
              <w:jc w:val="right"/>
              <w:rPr>
                <w:rFonts w:ascii="Arial Narrow" w:hAnsi="Arial Narrow" w:cs="Calibri"/>
                <w:b/>
                <w:bCs/>
                <w:sz w:val="18"/>
                <w:szCs w:val="18"/>
                <w:lang w:val="bg-BG"/>
              </w:rPr>
            </w:pPr>
            <w:r w:rsidRPr="00CA32C6">
              <w:rPr>
                <w:rFonts w:ascii="Arial Narrow" w:hAnsi="Arial Narrow" w:cs="Calibri"/>
                <w:b/>
                <w:bCs/>
                <w:sz w:val="18"/>
                <w:szCs w:val="18"/>
                <w:lang w:val="bg-BG"/>
              </w:rPr>
              <w:t>21,6%</w:t>
            </w:r>
          </w:p>
        </w:tc>
        <w:tc>
          <w:tcPr>
            <w:tcW w:w="680" w:type="dxa"/>
            <w:tcBorders>
              <w:top w:val="nil"/>
              <w:left w:val="nil"/>
              <w:bottom w:val="single" w:sz="4" w:space="0" w:color="auto"/>
              <w:right w:val="single" w:sz="4" w:space="0" w:color="auto"/>
            </w:tcBorders>
            <w:shd w:val="clear" w:color="auto" w:fill="auto"/>
            <w:noWrap/>
            <w:vAlign w:val="center"/>
            <w:hideMark/>
          </w:tcPr>
          <w:p w14:paraId="0327DEA6" w14:textId="77777777" w:rsidR="00CA32C6" w:rsidRPr="00CA32C6" w:rsidRDefault="00CA32C6" w:rsidP="00CA32C6">
            <w:pPr>
              <w:jc w:val="right"/>
              <w:rPr>
                <w:rFonts w:ascii="Arial Narrow" w:hAnsi="Arial Narrow" w:cs="Calibri"/>
                <w:b/>
                <w:bCs/>
                <w:sz w:val="18"/>
                <w:szCs w:val="18"/>
                <w:lang w:val="bg-BG"/>
              </w:rPr>
            </w:pPr>
            <w:r w:rsidRPr="00CA32C6">
              <w:rPr>
                <w:rFonts w:ascii="Arial Narrow" w:hAnsi="Arial Narrow" w:cs="Calibri"/>
                <w:b/>
                <w:bCs/>
                <w:sz w:val="18"/>
                <w:szCs w:val="18"/>
                <w:lang w:val="bg-BG"/>
              </w:rPr>
              <w:t>-</w:t>
            </w:r>
          </w:p>
        </w:tc>
        <w:tc>
          <w:tcPr>
            <w:tcW w:w="680" w:type="dxa"/>
            <w:tcBorders>
              <w:top w:val="nil"/>
              <w:left w:val="nil"/>
              <w:bottom w:val="single" w:sz="4" w:space="0" w:color="auto"/>
              <w:right w:val="single" w:sz="4" w:space="0" w:color="auto"/>
            </w:tcBorders>
            <w:shd w:val="clear" w:color="auto" w:fill="auto"/>
            <w:noWrap/>
            <w:vAlign w:val="center"/>
            <w:hideMark/>
          </w:tcPr>
          <w:p w14:paraId="2B95398F" w14:textId="77777777" w:rsidR="00CA32C6" w:rsidRPr="00CA32C6" w:rsidRDefault="00CA32C6" w:rsidP="00CA32C6">
            <w:pPr>
              <w:jc w:val="right"/>
              <w:rPr>
                <w:rFonts w:ascii="Arial Narrow" w:hAnsi="Arial Narrow" w:cs="Calibri"/>
                <w:b/>
                <w:bCs/>
                <w:sz w:val="18"/>
                <w:szCs w:val="18"/>
                <w:lang w:val="bg-BG"/>
              </w:rPr>
            </w:pPr>
            <w:r w:rsidRPr="00CA32C6">
              <w:rPr>
                <w:rFonts w:ascii="Arial Narrow" w:hAnsi="Arial Narrow" w:cs="Calibri"/>
                <w:b/>
                <w:bCs/>
                <w:sz w:val="18"/>
                <w:szCs w:val="18"/>
                <w:lang w:val="bg-BG"/>
              </w:rPr>
              <w:t>-</w:t>
            </w:r>
          </w:p>
        </w:tc>
      </w:tr>
      <w:tr w:rsidR="00CA32C6" w:rsidRPr="00CA32C6" w14:paraId="3711B918" w14:textId="77777777" w:rsidTr="009C6577">
        <w:trPr>
          <w:trHeight w:val="287"/>
          <w:jc w:val="center"/>
        </w:trPr>
        <w:tc>
          <w:tcPr>
            <w:tcW w:w="1367" w:type="dxa"/>
            <w:tcBorders>
              <w:top w:val="nil"/>
              <w:left w:val="single" w:sz="4" w:space="0" w:color="auto"/>
              <w:bottom w:val="single" w:sz="4" w:space="0" w:color="auto"/>
              <w:right w:val="single" w:sz="4" w:space="0" w:color="auto"/>
            </w:tcBorders>
            <w:shd w:val="clear" w:color="auto" w:fill="auto"/>
            <w:vAlign w:val="center"/>
            <w:hideMark/>
          </w:tcPr>
          <w:p w14:paraId="730C6C3C" w14:textId="77777777" w:rsidR="00CA32C6" w:rsidRPr="00CA32C6" w:rsidRDefault="00CA32C6" w:rsidP="00CA32C6">
            <w:pPr>
              <w:rPr>
                <w:rFonts w:ascii="Arial Narrow" w:hAnsi="Arial Narrow" w:cs="Calibri"/>
                <w:sz w:val="18"/>
                <w:szCs w:val="18"/>
                <w:lang w:val="bg-BG"/>
              </w:rPr>
            </w:pPr>
            <w:r w:rsidRPr="00CA32C6">
              <w:rPr>
                <w:rFonts w:ascii="Arial Narrow" w:hAnsi="Arial Narrow" w:cs="Calibri"/>
                <w:sz w:val="18"/>
                <w:szCs w:val="18"/>
                <w:lang w:val="bg-BG"/>
              </w:rPr>
              <w:t>Домати</w:t>
            </w:r>
          </w:p>
        </w:tc>
        <w:tc>
          <w:tcPr>
            <w:tcW w:w="761" w:type="dxa"/>
            <w:tcBorders>
              <w:top w:val="nil"/>
              <w:left w:val="nil"/>
              <w:bottom w:val="single" w:sz="4" w:space="0" w:color="auto"/>
              <w:right w:val="single" w:sz="4" w:space="0" w:color="auto"/>
            </w:tcBorders>
            <w:shd w:val="clear" w:color="auto" w:fill="auto"/>
            <w:noWrap/>
            <w:vAlign w:val="center"/>
            <w:hideMark/>
          </w:tcPr>
          <w:p w14:paraId="3EA12432" w14:textId="77777777" w:rsidR="00CA32C6" w:rsidRPr="00CA32C6" w:rsidRDefault="00CA32C6" w:rsidP="00CA32C6">
            <w:pPr>
              <w:jc w:val="right"/>
              <w:rPr>
                <w:rFonts w:ascii="Arial Narrow" w:hAnsi="Arial Narrow" w:cs="Calibri"/>
                <w:sz w:val="18"/>
                <w:szCs w:val="18"/>
                <w:lang w:val="bg-BG"/>
              </w:rPr>
            </w:pPr>
            <w:r w:rsidRPr="00CA32C6">
              <w:rPr>
                <w:rFonts w:ascii="Arial Narrow" w:hAnsi="Arial Narrow" w:cs="Calibri"/>
                <w:sz w:val="18"/>
                <w:szCs w:val="18"/>
                <w:lang w:val="bg-BG"/>
              </w:rPr>
              <w:t>2 540</w:t>
            </w:r>
          </w:p>
        </w:tc>
        <w:tc>
          <w:tcPr>
            <w:tcW w:w="761" w:type="dxa"/>
            <w:tcBorders>
              <w:top w:val="nil"/>
              <w:left w:val="nil"/>
              <w:bottom w:val="single" w:sz="4" w:space="0" w:color="auto"/>
              <w:right w:val="single" w:sz="4" w:space="0" w:color="auto"/>
            </w:tcBorders>
            <w:shd w:val="clear" w:color="auto" w:fill="auto"/>
            <w:noWrap/>
            <w:vAlign w:val="center"/>
            <w:hideMark/>
          </w:tcPr>
          <w:p w14:paraId="46F6694E" w14:textId="77777777" w:rsidR="00CA32C6" w:rsidRPr="00CA32C6" w:rsidRDefault="00CA32C6" w:rsidP="00CA32C6">
            <w:pPr>
              <w:jc w:val="right"/>
              <w:rPr>
                <w:rFonts w:ascii="Arial Narrow" w:hAnsi="Arial Narrow" w:cs="Calibri"/>
                <w:sz w:val="18"/>
                <w:szCs w:val="18"/>
                <w:lang w:val="bg-BG"/>
              </w:rPr>
            </w:pPr>
            <w:r w:rsidRPr="00CA32C6">
              <w:rPr>
                <w:rFonts w:ascii="Arial Narrow" w:hAnsi="Arial Narrow" w:cs="Calibri"/>
                <w:sz w:val="18"/>
                <w:szCs w:val="18"/>
                <w:lang w:val="bg-BG"/>
              </w:rPr>
              <w:t>2 912</w:t>
            </w:r>
          </w:p>
        </w:tc>
        <w:tc>
          <w:tcPr>
            <w:tcW w:w="761" w:type="dxa"/>
            <w:tcBorders>
              <w:top w:val="nil"/>
              <w:left w:val="nil"/>
              <w:bottom w:val="single" w:sz="4" w:space="0" w:color="auto"/>
              <w:right w:val="single" w:sz="4" w:space="0" w:color="auto"/>
            </w:tcBorders>
            <w:shd w:val="clear" w:color="auto" w:fill="auto"/>
            <w:noWrap/>
            <w:vAlign w:val="center"/>
            <w:hideMark/>
          </w:tcPr>
          <w:p w14:paraId="7632B8B0" w14:textId="77777777" w:rsidR="00CA32C6" w:rsidRPr="00CA32C6" w:rsidRDefault="00CA32C6" w:rsidP="00CA32C6">
            <w:pPr>
              <w:jc w:val="right"/>
              <w:rPr>
                <w:rFonts w:ascii="Arial Narrow" w:hAnsi="Arial Narrow" w:cs="Calibri"/>
                <w:sz w:val="18"/>
                <w:szCs w:val="18"/>
                <w:lang w:val="bg-BG"/>
              </w:rPr>
            </w:pPr>
            <w:r w:rsidRPr="00CA32C6">
              <w:rPr>
                <w:rFonts w:ascii="Arial Narrow" w:hAnsi="Arial Narrow" w:cs="Calibri"/>
                <w:sz w:val="18"/>
                <w:szCs w:val="18"/>
                <w:lang w:val="bg-BG"/>
              </w:rPr>
              <w:t>639</w:t>
            </w:r>
          </w:p>
        </w:tc>
        <w:tc>
          <w:tcPr>
            <w:tcW w:w="761" w:type="dxa"/>
            <w:tcBorders>
              <w:top w:val="nil"/>
              <w:left w:val="nil"/>
              <w:bottom w:val="single" w:sz="4" w:space="0" w:color="auto"/>
              <w:right w:val="single" w:sz="4" w:space="0" w:color="auto"/>
            </w:tcBorders>
            <w:shd w:val="clear" w:color="auto" w:fill="auto"/>
            <w:noWrap/>
            <w:vAlign w:val="center"/>
            <w:hideMark/>
          </w:tcPr>
          <w:p w14:paraId="12E43299" w14:textId="77777777" w:rsidR="00CA32C6" w:rsidRPr="00CA32C6" w:rsidRDefault="00CA32C6" w:rsidP="00CA32C6">
            <w:pPr>
              <w:jc w:val="right"/>
              <w:rPr>
                <w:rFonts w:ascii="Arial Narrow" w:hAnsi="Arial Narrow" w:cs="Calibri"/>
                <w:sz w:val="18"/>
                <w:szCs w:val="18"/>
                <w:lang w:val="bg-BG"/>
              </w:rPr>
            </w:pPr>
            <w:r w:rsidRPr="00CA32C6">
              <w:rPr>
                <w:rFonts w:ascii="Arial Narrow" w:hAnsi="Arial Narrow" w:cs="Calibri"/>
                <w:sz w:val="18"/>
                <w:szCs w:val="18"/>
                <w:lang w:val="bg-BG"/>
              </w:rPr>
              <w:t>653</w:t>
            </w:r>
          </w:p>
        </w:tc>
        <w:tc>
          <w:tcPr>
            <w:tcW w:w="761" w:type="dxa"/>
            <w:tcBorders>
              <w:top w:val="nil"/>
              <w:left w:val="nil"/>
              <w:bottom w:val="single" w:sz="4" w:space="0" w:color="auto"/>
              <w:right w:val="single" w:sz="4" w:space="0" w:color="auto"/>
            </w:tcBorders>
            <w:shd w:val="clear" w:color="auto" w:fill="auto"/>
            <w:noWrap/>
            <w:vAlign w:val="center"/>
            <w:hideMark/>
          </w:tcPr>
          <w:p w14:paraId="5775D865" w14:textId="77777777" w:rsidR="00CA32C6" w:rsidRPr="00CA32C6" w:rsidRDefault="00CA32C6" w:rsidP="00CA32C6">
            <w:pPr>
              <w:jc w:val="right"/>
              <w:rPr>
                <w:rFonts w:ascii="Arial Narrow" w:hAnsi="Arial Narrow" w:cs="Calibri"/>
                <w:sz w:val="18"/>
                <w:szCs w:val="18"/>
                <w:lang w:val="bg-BG"/>
              </w:rPr>
            </w:pPr>
            <w:r w:rsidRPr="00CA32C6">
              <w:rPr>
                <w:rFonts w:ascii="Arial Narrow" w:hAnsi="Arial Narrow" w:cs="Calibri"/>
                <w:sz w:val="18"/>
                <w:szCs w:val="18"/>
                <w:lang w:val="bg-BG"/>
              </w:rPr>
              <w:t>59 537</w:t>
            </w:r>
          </w:p>
        </w:tc>
        <w:tc>
          <w:tcPr>
            <w:tcW w:w="761" w:type="dxa"/>
            <w:tcBorders>
              <w:top w:val="nil"/>
              <w:left w:val="nil"/>
              <w:bottom w:val="single" w:sz="4" w:space="0" w:color="auto"/>
              <w:right w:val="single" w:sz="4" w:space="0" w:color="auto"/>
            </w:tcBorders>
            <w:shd w:val="clear" w:color="auto" w:fill="auto"/>
            <w:noWrap/>
            <w:vAlign w:val="center"/>
            <w:hideMark/>
          </w:tcPr>
          <w:p w14:paraId="5EFB7919" w14:textId="77777777" w:rsidR="00CA32C6" w:rsidRPr="00CA32C6" w:rsidRDefault="00CA32C6" w:rsidP="00CA32C6">
            <w:pPr>
              <w:jc w:val="right"/>
              <w:rPr>
                <w:rFonts w:ascii="Arial Narrow" w:hAnsi="Arial Narrow" w:cs="Calibri"/>
                <w:sz w:val="18"/>
                <w:szCs w:val="18"/>
                <w:lang w:val="bg-BG"/>
              </w:rPr>
            </w:pPr>
            <w:r w:rsidRPr="00CA32C6">
              <w:rPr>
                <w:rFonts w:ascii="Arial Narrow" w:hAnsi="Arial Narrow" w:cs="Calibri"/>
                <w:sz w:val="18"/>
                <w:szCs w:val="18"/>
                <w:lang w:val="bg-BG"/>
              </w:rPr>
              <w:t>71 086</w:t>
            </w:r>
          </w:p>
        </w:tc>
        <w:tc>
          <w:tcPr>
            <w:tcW w:w="761" w:type="dxa"/>
            <w:tcBorders>
              <w:top w:val="nil"/>
              <w:left w:val="nil"/>
              <w:bottom w:val="single" w:sz="4" w:space="0" w:color="auto"/>
              <w:right w:val="single" w:sz="4" w:space="0" w:color="auto"/>
            </w:tcBorders>
            <w:shd w:val="clear" w:color="auto" w:fill="auto"/>
            <w:noWrap/>
            <w:vAlign w:val="center"/>
            <w:hideMark/>
          </w:tcPr>
          <w:p w14:paraId="7061AF30" w14:textId="77777777" w:rsidR="00CA32C6" w:rsidRPr="00CA32C6" w:rsidRDefault="00CA32C6" w:rsidP="00CA32C6">
            <w:pPr>
              <w:jc w:val="right"/>
              <w:rPr>
                <w:rFonts w:ascii="Arial Narrow" w:hAnsi="Arial Narrow" w:cs="Calibri"/>
                <w:sz w:val="18"/>
                <w:szCs w:val="18"/>
                <w:lang w:val="bg-BG"/>
              </w:rPr>
            </w:pPr>
            <w:r w:rsidRPr="00CA32C6">
              <w:rPr>
                <w:rFonts w:ascii="Arial Narrow" w:hAnsi="Arial Narrow" w:cs="Calibri"/>
                <w:sz w:val="18"/>
                <w:szCs w:val="18"/>
                <w:lang w:val="bg-BG"/>
              </w:rPr>
              <w:t>56 113</w:t>
            </w:r>
          </w:p>
        </w:tc>
        <w:tc>
          <w:tcPr>
            <w:tcW w:w="761" w:type="dxa"/>
            <w:tcBorders>
              <w:top w:val="nil"/>
              <w:left w:val="nil"/>
              <w:bottom w:val="single" w:sz="4" w:space="0" w:color="auto"/>
              <w:right w:val="single" w:sz="4" w:space="0" w:color="auto"/>
            </w:tcBorders>
            <w:shd w:val="clear" w:color="auto" w:fill="auto"/>
            <w:noWrap/>
            <w:vAlign w:val="center"/>
            <w:hideMark/>
          </w:tcPr>
          <w:p w14:paraId="6E8AAEFC" w14:textId="77777777" w:rsidR="00CA32C6" w:rsidRPr="00CA32C6" w:rsidRDefault="00CA32C6" w:rsidP="00CA32C6">
            <w:pPr>
              <w:jc w:val="right"/>
              <w:rPr>
                <w:rFonts w:ascii="Arial Narrow" w:hAnsi="Arial Narrow" w:cs="Calibri"/>
                <w:sz w:val="18"/>
                <w:szCs w:val="18"/>
                <w:lang w:val="bg-BG"/>
              </w:rPr>
            </w:pPr>
            <w:r w:rsidRPr="00CA32C6">
              <w:rPr>
                <w:rFonts w:ascii="Arial Narrow" w:hAnsi="Arial Narrow" w:cs="Calibri"/>
                <w:sz w:val="18"/>
                <w:szCs w:val="18"/>
                <w:lang w:val="bg-BG"/>
              </w:rPr>
              <w:t>57 058</w:t>
            </w:r>
          </w:p>
        </w:tc>
        <w:tc>
          <w:tcPr>
            <w:tcW w:w="761" w:type="dxa"/>
            <w:tcBorders>
              <w:top w:val="nil"/>
              <w:left w:val="nil"/>
              <w:bottom w:val="single" w:sz="4" w:space="0" w:color="auto"/>
              <w:right w:val="single" w:sz="4" w:space="0" w:color="auto"/>
            </w:tcBorders>
            <w:shd w:val="clear" w:color="auto" w:fill="auto"/>
            <w:noWrap/>
            <w:vAlign w:val="center"/>
            <w:hideMark/>
          </w:tcPr>
          <w:p w14:paraId="5967DEC6" w14:textId="77777777" w:rsidR="00CA32C6" w:rsidRPr="00CA32C6" w:rsidRDefault="00CA32C6" w:rsidP="00CA32C6">
            <w:pPr>
              <w:jc w:val="right"/>
              <w:rPr>
                <w:rFonts w:ascii="Arial Narrow" w:hAnsi="Arial Narrow" w:cs="Calibri"/>
                <w:sz w:val="18"/>
                <w:szCs w:val="18"/>
                <w:lang w:val="bg-BG"/>
              </w:rPr>
            </w:pPr>
            <w:r w:rsidRPr="00CA32C6">
              <w:rPr>
                <w:rFonts w:ascii="Arial Narrow" w:hAnsi="Arial Narrow" w:cs="Calibri"/>
                <w:sz w:val="18"/>
                <w:szCs w:val="18"/>
                <w:lang w:val="bg-BG"/>
              </w:rPr>
              <w:t>115 650</w:t>
            </w:r>
          </w:p>
        </w:tc>
        <w:tc>
          <w:tcPr>
            <w:tcW w:w="761" w:type="dxa"/>
            <w:tcBorders>
              <w:top w:val="nil"/>
              <w:left w:val="nil"/>
              <w:bottom w:val="single" w:sz="4" w:space="0" w:color="auto"/>
              <w:right w:val="single" w:sz="4" w:space="0" w:color="auto"/>
            </w:tcBorders>
            <w:shd w:val="clear" w:color="auto" w:fill="auto"/>
            <w:noWrap/>
            <w:vAlign w:val="center"/>
            <w:hideMark/>
          </w:tcPr>
          <w:p w14:paraId="00DA3B0F" w14:textId="77777777" w:rsidR="00CA32C6" w:rsidRPr="00CA32C6" w:rsidRDefault="00CA32C6" w:rsidP="00CA32C6">
            <w:pPr>
              <w:jc w:val="right"/>
              <w:rPr>
                <w:rFonts w:ascii="Arial Narrow" w:hAnsi="Arial Narrow" w:cs="Calibri"/>
                <w:sz w:val="18"/>
                <w:szCs w:val="18"/>
                <w:lang w:val="bg-BG"/>
              </w:rPr>
            </w:pPr>
            <w:r w:rsidRPr="00CA32C6">
              <w:rPr>
                <w:rFonts w:ascii="Arial Narrow" w:hAnsi="Arial Narrow" w:cs="Calibri"/>
                <w:sz w:val="18"/>
                <w:szCs w:val="18"/>
                <w:lang w:val="bg-BG"/>
              </w:rPr>
              <w:t>128 144</w:t>
            </w:r>
          </w:p>
        </w:tc>
        <w:tc>
          <w:tcPr>
            <w:tcW w:w="915" w:type="dxa"/>
            <w:tcBorders>
              <w:top w:val="nil"/>
              <w:left w:val="nil"/>
              <w:bottom w:val="single" w:sz="4" w:space="0" w:color="auto"/>
              <w:right w:val="single" w:sz="4" w:space="0" w:color="auto"/>
            </w:tcBorders>
            <w:shd w:val="clear" w:color="auto" w:fill="auto"/>
            <w:noWrap/>
            <w:vAlign w:val="center"/>
            <w:hideMark/>
          </w:tcPr>
          <w:p w14:paraId="4F185BDB" w14:textId="77777777" w:rsidR="00CA32C6" w:rsidRPr="00CA32C6" w:rsidRDefault="00CA32C6" w:rsidP="00CA32C6">
            <w:pPr>
              <w:jc w:val="right"/>
              <w:rPr>
                <w:rFonts w:ascii="Arial Narrow" w:hAnsi="Arial Narrow" w:cs="Calibri"/>
                <w:sz w:val="18"/>
                <w:szCs w:val="18"/>
                <w:lang w:val="bg-BG"/>
              </w:rPr>
            </w:pPr>
            <w:r w:rsidRPr="00CA32C6">
              <w:rPr>
                <w:rFonts w:ascii="Arial Narrow" w:hAnsi="Arial Narrow" w:cs="Calibri"/>
                <w:sz w:val="18"/>
                <w:szCs w:val="18"/>
                <w:lang w:val="bg-BG"/>
              </w:rPr>
              <w:t>10,8%</w:t>
            </w:r>
          </w:p>
        </w:tc>
        <w:tc>
          <w:tcPr>
            <w:tcW w:w="680" w:type="dxa"/>
            <w:tcBorders>
              <w:top w:val="nil"/>
              <w:left w:val="nil"/>
              <w:bottom w:val="single" w:sz="4" w:space="0" w:color="auto"/>
              <w:right w:val="single" w:sz="4" w:space="0" w:color="auto"/>
            </w:tcBorders>
            <w:shd w:val="clear" w:color="auto" w:fill="auto"/>
            <w:noWrap/>
            <w:vAlign w:val="center"/>
            <w:hideMark/>
          </w:tcPr>
          <w:p w14:paraId="7488BD3E" w14:textId="77777777" w:rsidR="00CA32C6" w:rsidRPr="00CA32C6" w:rsidRDefault="00CA32C6" w:rsidP="00CA32C6">
            <w:pPr>
              <w:jc w:val="right"/>
              <w:rPr>
                <w:rFonts w:ascii="Arial Narrow" w:hAnsi="Arial Narrow" w:cs="Calibri"/>
                <w:sz w:val="18"/>
                <w:szCs w:val="18"/>
                <w:lang w:val="bg-BG"/>
              </w:rPr>
            </w:pPr>
            <w:r w:rsidRPr="00CA32C6">
              <w:rPr>
                <w:rFonts w:ascii="Arial Narrow" w:hAnsi="Arial Narrow" w:cs="Calibri"/>
                <w:sz w:val="18"/>
                <w:szCs w:val="18"/>
                <w:lang w:val="bg-BG"/>
              </w:rPr>
              <w:t>23 440</w:t>
            </w:r>
          </w:p>
        </w:tc>
        <w:tc>
          <w:tcPr>
            <w:tcW w:w="680" w:type="dxa"/>
            <w:tcBorders>
              <w:top w:val="nil"/>
              <w:left w:val="nil"/>
              <w:bottom w:val="single" w:sz="4" w:space="0" w:color="auto"/>
              <w:right w:val="single" w:sz="4" w:space="0" w:color="auto"/>
            </w:tcBorders>
            <w:shd w:val="clear" w:color="auto" w:fill="auto"/>
            <w:noWrap/>
            <w:vAlign w:val="center"/>
            <w:hideMark/>
          </w:tcPr>
          <w:p w14:paraId="3CD0F347" w14:textId="77777777" w:rsidR="00CA32C6" w:rsidRPr="00CA32C6" w:rsidRDefault="00CA32C6" w:rsidP="00CA32C6">
            <w:pPr>
              <w:jc w:val="right"/>
              <w:rPr>
                <w:rFonts w:ascii="Arial Narrow" w:hAnsi="Arial Narrow" w:cs="Calibri"/>
                <w:sz w:val="18"/>
                <w:szCs w:val="18"/>
                <w:lang w:val="bg-BG"/>
              </w:rPr>
            </w:pPr>
            <w:r w:rsidRPr="00CA32C6">
              <w:rPr>
                <w:rFonts w:ascii="Arial Narrow" w:hAnsi="Arial Narrow" w:cs="Calibri"/>
                <w:sz w:val="18"/>
                <w:szCs w:val="18"/>
                <w:lang w:val="bg-BG"/>
              </w:rPr>
              <w:t>24 411</w:t>
            </w:r>
          </w:p>
        </w:tc>
      </w:tr>
      <w:tr w:rsidR="00CA32C6" w:rsidRPr="00CA32C6" w14:paraId="609375E8" w14:textId="77777777" w:rsidTr="009C6577">
        <w:trPr>
          <w:trHeight w:val="287"/>
          <w:jc w:val="center"/>
        </w:trPr>
        <w:tc>
          <w:tcPr>
            <w:tcW w:w="1367" w:type="dxa"/>
            <w:tcBorders>
              <w:top w:val="nil"/>
              <w:left w:val="single" w:sz="4" w:space="0" w:color="auto"/>
              <w:bottom w:val="single" w:sz="4" w:space="0" w:color="auto"/>
              <w:right w:val="single" w:sz="4" w:space="0" w:color="auto"/>
            </w:tcBorders>
            <w:shd w:val="clear" w:color="auto" w:fill="auto"/>
            <w:vAlign w:val="center"/>
            <w:hideMark/>
          </w:tcPr>
          <w:p w14:paraId="3DF6A071" w14:textId="77777777" w:rsidR="00CA32C6" w:rsidRPr="00CA32C6" w:rsidRDefault="00CA32C6" w:rsidP="00CA32C6">
            <w:pPr>
              <w:rPr>
                <w:rFonts w:ascii="Arial Narrow" w:hAnsi="Arial Narrow" w:cs="Calibri"/>
                <w:sz w:val="18"/>
                <w:szCs w:val="18"/>
                <w:lang w:val="bg-BG"/>
              </w:rPr>
            </w:pPr>
            <w:r w:rsidRPr="00CA32C6">
              <w:rPr>
                <w:rFonts w:ascii="Arial Narrow" w:hAnsi="Arial Narrow" w:cs="Calibri"/>
                <w:sz w:val="18"/>
                <w:szCs w:val="18"/>
                <w:lang w:val="bg-BG"/>
              </w:rPr>
              <w:t>Краставици</w:t>
            </w:r>
          </w:p>
        </w:tc>
        <w:tc>
          <w:tcPr>
            <w:tcW w:w="761" w:type="dxa"/>
            <w:tcBorders>
              <w:top w:val="nil"/>
              <w:left w:val="nil"/>
              <w:bottom w:val="single" w:sz="4" w:space="0" w:color="auto"/>
              <w:right w:val="single" w:sz="4" w:space="0" w:color="auto"/>
            </w:tcBorders>
            <w:shd w:val="clear" w:color="auto" w:fill="auto"/>
            <w:noWrap/>
            <w:vAlign w:val="center"/>
            <w:hideMark/>
          </w:tcPr>
          <w:p w14:paraId="3975D6E8" w14:textId="77777777" w:rsidR="00CA32C6" w:rsidRPr="00CA32C6" w:rsidRDefault="00CA32C6" w:rsidP="00CA32C6">
            <w:pPr>
              <w:jc w:val="right"/>
              <w:rPr>
                <w:rFonts w:ascii="Arial Narrow" w:hAnsi="Arial Narrow" w:cs="Calibri"/>
                <w:sz w:val="18"/>
                <w:szCs w:val="18"/>
                <w:lang w:val="bg-BG"/>
              </w:rPr>
            </w:pPr>
            <w:r w:rsidRPr="00CA32C6">
              <w:rPr>
                <w:rFonts w:ascii="Arial Narrow" w:hAnsi="Arial Narrow" w:cs="Calibri"/>
                <w:sz w:val="18"/>
                <w:szCs w:val="18"/>
                <w:lang w:val="bg-BG"/>
              </w:rPr>
              <w:t>324</w:t>
            </w:r>
          </w:p>
        </w:tc>
        <w:tc>
          <w:tcPr>
            <w:tcW w:w="761" w:type="dxa"/>
            <w:tcBorders>
              <w:top w:val="nil"/>
              <w:left w:val="nil"/>
              <w:bottom w:val="single" w:sz="4" w:space="0" w:color="auto"/>
              <w:right w:val="single" w:sz="4" w:space="0" w:color="auto"/>
            </w:tcBorders>
            <w:shd w:val="clear" w:color="auto" w:fill="auto"/>
            <w:noWrap/>
            <w:vAlign w:val="center"/>
            <w:hideMark/>
          </w:tcPr>
          <w:p w14:paraId="78C26389" w14:textId="77777777" w:rsidR="00CA32C6" w:rsidRPr="00CA32C6" w:rsidRDefault="00CA32C6" w:rsidP="00CA32C6">
            <w:pPr>
              <w:jc w:val="right"/>
              <w:rPr>
                <w:rFonts w:ascii="Arial Narrow" w:hAnsi="Arial Narrow" w:cs="Calibri"/>
                <w:sz w:val="18"/>
                <w:szCs w:val="18"/>
                <w:lang w:val="bg-BG"/>
              </w:rPr>
            </w:pPr>
            <w:r w:rsidRPr="00CA32C6">
              <w:rPr>
                <w:rFonts w:ascii="Arial Narrow" w:hAnsi="Arial Narrow" w:cs="Calibri"/>
                <w:sz w:val="18"/>
                <w:szCs w:val="18"/>
                <w:lang w:val="bg-BG"/>
              </w:rPr>
              <w:t>261</w:t>
            </w:r>
          </w:p>
        </w:tc>
        <w:tc>
          <w:tcPr>
            <w:tcW w:w="761" w:type="dxa"/>
            <w:tcBorders>
              <w:top w:val="nil"/>
              <w:left w:val="nil"/>
              <w:bottom w:val="single" w:sz="4" w:space="0" w:color="auto"/>
              <w:right w:val="single" w:sz="4" w:space="0" w:color="auto"/>
            </w:tcBorders>
            <w:shd w:val="clear" w:color="auto" w:fill="auto"/>
            <w:noWrap/>
            <w:vAlign w:val="center"/>
            <w:hideMark/>
          </w:tcPr>
          <w:p w14:paraId="54717621" w14:textId="77777777" w:rsidR="00CA32C6" w:rsidRPr="00CA32C6" w:rsidRDefault="00CA32C6" w:rsidP="00CA32C6">
            <w:pPr>
              <w:jc w:val="right"/>
              <w:rPr>
                <w:rFonts w:ascii="Arial Narrow" w:hAnsi="Arial Narrow" w:cs="Calibri"/>
                <w:sz w:val="18"/>
                <w:szCs w:val="18"/>
                <w:lang w:val="bg-BG"/>
              </w:rPr>
            </w:pPr>
            <w:r w:rsidRPr="00CA32C6">
              <w:rPr>
                <w:rFonts w:ascii="Arial Narrow" w:hAnsi="Arial Narrow" w:cs="Calibri"/>
                <w:sz w:val="18"/>
                <w:szCs w:val="18"/>
                <w:lang w:val="bg-BG"/>
              </w:rPr>
              <w:t>389</w:t>
            </w:r>
          </w:p>
        </w:tc>
        <w:tc>
          <w:tcPr>
            <w:tcW w:w="761" w:type="dxa"/>
            <w:tcBorders>
              <w:top w:val="nil"/>
              <w:left w:val="nil"/>
              <w:bottom w:val="single" w:sz="4" w:space="0" w:color="auto"/>
              <w:right w:val="single" w:sz="4" w:space="0" w:color="auto"/>
            </w:tcBorders>
            <w:shd w:val="clear" w:color="auto" w:fill="auto"/>
            <w:noWrap/>
            <w:vAlign w:val="center"/>
            <w:hideMark/>
          </w:tcPr>
          <w:p w14:paraId="1FCDB777" w14:textId="77777777" w:rsidR="00CA32C6" w:rsidRPr="00CA32C6" w:rsidRDefault="00CA32C6" w:rsidP="00CA32C6">
            <w:pPr>
              <w:jc w:val="right"/>
              <w:rPr>
                <w:rFonts w:ascii="Arial Narrow" w:hAnsi="Arial Narrow" w:cs="Calibri"/>
                <w:sz w:val="18"/>
                <w:szCs w:val="18"/>
                <w:lang w:val="bg-BG"/>
              </w:rPr>
            </w:pPr>
            <w:r w:rsidRPr="00CA32C6">
              <w:rPr>
                <w:rFonts w:ascii="Arial Narrow" w:hAnsi="Arial Narrow" w:cs="Calibri"/>
                <w:sz w:val="18"/>
                <w:szCs w:val="18"/>
                <w:lang w:val="bg-BG"/>
              </w:rPr>
              <w:t>415</w:t>
            </w:r>
          </w:p>
        </w:tc>
        <w:tc>
          <w:tcPr>
            <w:tcW w:w="761" w:type="dxa"/>
            <w:tcBorders>
              <w:top w:val="nil"/>
              <w:left w:val="nil"/>
              <w:bottom w:val="single" w:sz="4" w:space="0" w:color="auto"/>
              <w:right w:val="single" w:sz="4" w:space="0" w:color="auto"/>
            </w:tcBorders>
            <w:shd w:val="clear" w:color="auto" w:fill="auto"/>
            <w:noWrap/>
            <w:vAlign w:val="center"/>
            <w:hideMark/>
          </w:tcPr>
          <w:p w14:paraId="32042427" w14:textId="77777777" w:rsidR="00CA32C6" w:rsidRPr="00CA32C6" w:rsidRDefault="00CA32C6" w:rsidP="00CA32C6">
            <w:pPr>
              <w:jc w:val="right"/>
              <w:rPr>
                <w:rFonts w:ascii="Arial Narrow" w:hAnsi="Arial Narrow" w:cs="Calibri"/>
                <w:sz w:val="18"/>
                <w:szCs w:val="18"/>
                <w:lang w:val="bg-BG"/>
              </w:rPr>
            </w:pPr>
            <w:r w:rsidRPr="00CA32C6">
              <w:rPr>
                <w:rFonts w:ascii="Arial Narrow" w:hAnsi="Arial Narrow" w:cs="Calibri"/>
                <w:sz w:val="18"/>
                <w:szCs w:val="18"/>
                <w:lang w:val="bg-BG"/>
              </w:rPr>
              <w:t>5 603</w:t>
            </w:r>
          </w:p>
        </w:tc>
        <w:tc>
          <w:tcPr>
            <w:tcW w:w="761" w:type="dxa"/>
            <w:tcBorders>
              <w:top w:val="nil"/>
              <w:left w:val="nil"/>
              <w:bottom w:val="single" w:sz="4" w:space="0" w:color="auto"/>
              <w:right w:val="single" w:sz="4" w:space="0" w:color="auto"/>
            </w:tcBorders>
            <w:shd w:val="clear" w:color="auto" w:fill="auto"/>
            <w:noWrap/>
            <w:vAlign w:val="center"/>
            <w:hideMark/>
          </w:tcPr>
          <w:p w14:paraId="63EBB06D" w14:textId="77777777" w:rsidR="00CA32C6" w:rsidRPr="00CA32C6" w:rsidRDefault="00CA32C6" w:rsidP="00CA32C6">
            <w:pPr>
              <w:jc w:val="right"/>
              <w:rPr>
                <w:rFonts w:ascii="Arial Narrow" w:hAnsi="Arial Narrow" w:cs="Calibri"/>
                <w:sz w:val="18"/>
                <w:szCs w:val="18"/>
                <w:lang w:val="bg-BG"/>
              </w:rPr>
            </w:pPr>
            <w:r w:rsidRPr="00CA32C6">
              <w:rPr>
                <w:rFonts w:ascii="Arial Narrow" w:hAnsi="Arial Narrow" w:cs="Calibri"/>
                <w:sz w:val="18"/>
                <w:szCs w:val="18"/>
                <w:lang w:val="bg-BG"/>
              </w:rPr>
              <w:t>5 263</w:t>
            </w:r>
          </w:p>
        </w:tc>
        <w:tc>
          <w:tcPr>
            <w:tcW w:w="761" w:type="dxa"/>
            <w:tcBorders>
              <w:top w:val="nil"/>
              <w:left w:val="nil"/>
              <w:bottom w:val="single" w:sz="4" w:space="0" w:color="auto"/>
              <w:right w:val="single" w:sz="4" w:space="0" w:color="auto"/>
            </w:tcBorders>
            <w:shd w:val="clear" w:color="auto" w:fill="auto"/>
            <w:noWrap/>
            <w:vAlign w:val="center"/>
            <w:hideMark/>
          </w:tcPr>
          <w:p w14:paraId="63DC31A4" w14:textId="77777777" w:rsidR="00CA32C6" w:rsidRPr="00CA32C6" w:rsidRDefault="00CA32C6" w:rsidP="00CA32C6">
            <w:pPr>
              <w:jc w:val="right"/>
              <w:rPr>
                <w:rFonts w:ascii="Arial Narrow" w:hAnsi="Arial Narrow" w:cs="Calibri"/>
                <w:sz w:val="18"/>
                <w:szCs w:val="18"/>
                <w:lang w:val="bg-BG"/>
              </w:rPr>
            </w:pPr>
            <w:r w:rsidRPr="00CA32C6">
              <w:rPr>
                <w:rFonts w:ascii="Arial Narrow" w:hAnsi="Arial Narrow" w:cs="Calibri"/>
                <w:sz w:val="18"/>
                <w:szCs w:val="18"/>
                <w:lang w:val="bg-BG"/>
              </w:rPr>
              <w:t>44 528</w:t>
            </w:r>
          </w:p>
        </w:tc>
        <w:tc>
          <w:tcPr>
            <w:tcW w:w="761" w:type="dxa"/>
            <w:tcBorders>
              <w:top w:val="nil"/>
              <w:left w:val="nil"/>
              <w:bottom w:val="single" w:sz="4" w:space="0" w:color="auto"/>
              <w:right w:val="single" w:sz="4" w:space="0" w:color="auto"/>
            </w:tcBorders>
            <w:shd w:val="clear" w:color="auto" w:fill="auto"/>
            <w:noWrap/>
            <w:vAlign w:val="center"/>
            <w:hideMark/>
          </w:tcPr>
          <w:p w14:paraId="11695DF0" w14:textId="77777777" w:rsidR="00CA32C6" w:rsidRPr="00CA32C6" w:rsidRDefault="00CA32C6" w:rsidP="00CA32C6">
            <w:pPr>
              <w:jc w:val="right"/>
              <w:rPr>
                <w:rFonts w:ascii="Arial Narrow" w:hAnsi="Arial Narrow" w:cs="Calibri"/>
                <w:sz w:val="18"/>
                <w:szCs w:val="18"/>
                <w:lang w:val="bg-BG"/>
              </w:rPr>
            </w:pPr>
            <w:r w:rsidRPr="00CA32C6">
              <w:rPr>
                <w:rFonts w:ascii="Arial Narrow" w:hAnsi="Arial Narrow" w:cs="Calibri"/>
                <w:sz w:val="18"/>
                <w:szCs w:val="18"/>
                <w:lang w:val="bg-BG"/>
              </w:rPr>
              <w:t>45 427</w:t>
            </w:r>
          </w:p>
        </w:tc>
        <w:tc>
          <w:tcPr>
            <w:tcW w:w="761" w:type="dxa"/>
            <w:tcBorders>
              <w:top w:val="nil"/>
              <w:left w:val="nil"/>
              <w:bottom w:val="single" w:sz="4" w:space="0" w:color="auto"/>
              <w:right w:val="single" w:sz="4" w:space="0" w:color="auto"/>
            </w:tcBorders>
            <w:shd w:val="clear" w:color="auto" w:fill="auto"/>
            <w:noWrap/>
            <w:vAlign w:val="center"/>
            <w:hideMark/>
          </w:tcPr>
          <w:p w14:paraId="12456F3F" w14:textId="77777777" w:rsidR="00CA32C6" w:rsidRPr="00CA32C6" w:rsidRDefault="00CA32C6" w:rsidP="00CA32C6">
            <w:pPr>
              <w:jc w:val="right"/>
              <w:rPr>
                <w:rFonts w:ascii="Arial Narrow" w:hAnsi="Arial Narrow" w:cs="Calibri"/>
                <w:sz w:val="18"/>
                <w:szCs w:val="18"/>
                <w:lang w:val="bg-BG"/>
              </w:rPr>
            </w:pPr>
            <w:r w:rsidRPr="00CA32C6">
              <w:rPr>
                <w:rFonts w:ascii="Arial Narrow" w:hAnsi="Arial Narrow" w:cs="Calibri"/>
                <w:sz w:val="18"/>
                <w:szCs w:val="18"/>
                <w:lang w:val="bg-BG"/>
              </w:rPr>
              <w:t>50 131</w:t>
            </w:r>
          </w:p>
        </w:tc>
        <w:tc>
          <w:tcPr>
            <w:tcW w:w="761" w:type="dxa"/>
            <w:tcBorders>
              <w:top w:val="nil"/>
              <w:left w:val="nil"/>
              <w:bottom w:val="single" w:sz="4" w:space="0" w:color="auto"/>
              <w:right w:val="single" w:sz="4" w:space="0" w:color="auto"/>
            </w:tcBorders>
            <w:shd w:val="clear" w:color="auto" w:fill="auto"/>
            <w:noWrap/>
            <w:vAlign w:val="center"/>
            <w:hideMark/>
          </w:tcPr>
          <w:p w14:paraId="0CC97A10" w14:textId="77777777" w:rsidR="00CA32C6" w:rsidRPr="00CA32C6" w:rsidRDefault="00CA32C6" w:rsidP="00CA32C6">
            <w:pPr>
              <w:jc w:val="right"/>
              <w:rPr>
                <w:rFonts w:ascii="Arial Narrow" w:hAnsi="Arial Narrow" w:cs="Calibri"/>
                <w:sz w:val="18"/>
                <w:szCs w:val="18"/>
                <w:lang w:val="bg-BG"/>
              </w:rPr>
            </w:pPr>
            <w:r w:rsidRPr="00CA32C6">
              <w:rPr>
                <w:rFonts w:ascii="Arial Narrow" w:hAnsi="Arial Narrow" w:cs="Calibri"/>
                <w:sz w:val="18"/>
                <w:szCs w:val="18"/>
                <w:lang w:val="bg-BG"/>
              </w:rPr>
              <w:t>50 690</w:t>
            </w:r>
          </w:p>
        </w:tc>
        <w:tc>
          <w:tcPr>
            <w:tcW w:w="915" w:type="dxa"/>
            <w:tcBorders>
              <w:top w:val="nil"/>
              <w:left w:val="nil"/>
              <w:bottom w:val="single" w:sz="4" w:space="0" w:color="auto"/>
              <w:right w:val="single" w:sz="4" w:space="0" w:color="auto"/>
            </w:tcBorders>
            <w:shd w:val="clear" w:color="auto" w:fill="auto"/>
            <w:noWrap/>
            <w:vAlign w:val="center"/>
            <w:hideMark/>
          </w:tcPr>
          <w:p w14:paraId="285C77CE" w14:textId="77777777" w:rsidR="00CA32C6" w:rsidRPr="00CA32C6" w:rsidRDefault="00CA32C6" w:rsidP="00CA32C6">
            <w:pPr>
              <w:jc w:val="right"/>
              <w:rPr>
                <w:rFonts w:ascii="Arial Narrow" w:hAnsi="Arial Narrow" w:cs="Calibri"/>
                <w:sz w:val="18"/>
                <w:szCs w:val="18"/>
                <w:lang w:val="bg-BG"/>
              </w:rPr>
            </w:pPr>
            <w:r w:rsidRPr="00CA32C6">
              <w:rPr>
                <w:rFonts w:ascii="Arial Narrow" w:hAnsi="Arial Narrow" w:cs="Calibri"/>
                <w:sz w:val="18"/>
                <w:szCs w:val="18"/>
                <w:lang w:val="bg-BG"/>
              </w:rPr>
              <w:t>1,1%</w:t>
            </w:r>
          </w:p>
        </w:tc>
        <w:tc>
          <w:tcPr>
            <w:tcW w:w="680" w:type="dxa"/>
            <w:tcBorders>
              <w:top w:val="nil"/>
              <w:left w:val="nil"/>
              <w:bottom w:val="single" w:sz="4" w:space="0" w:color="auto"/>
              <w:right w:val="single" w:sz="4" w:space="0" w:color="auto"/>
            </w:tcBorders>
            <w:shd w:val="clear" w:color="auto" w:fill="auto"/>
            <w:noWrap/>
            <w:vAlign w:val="center"/>
            <w:hideMark/>
          </w:tcPr>
          <w:p w14:paraId="7E6CD1F4" w14:textId="77777777" w:rsidR="00CA32C6" w:rsidRPr="00CA32C6" w:rsidRDefault="00CA32C6" w:rsidP="00CA32C6">
            <w:pPr>
              <w:jc w:val="right"/>
              <w:rPr>
                <w:rFonts w:ascii="Arial Narrow" w:hAnsi="Arial Narrow" w:cs="Calibri"/>
                <w:sz w:val="18"/>
                <w:szCs w:val="18"/>
                <w:lang w:val="bg-BG"/>
              </w:rPr>
            </w:pPr>
            <w:r w:rsidRPr="00CA32C6">
              <w:rPr>
                <w:rFonts w:ascii="Arial Narrow" w:hAnsi="Arial Narrow" w:cs="Calibri"/>
                <w:sz w:val="18"/>
                <w:szCs w:val="18"/>
                <w:lang w:val="bg-BG"/>
              </w:rPr>
              <w:t>17 293</w:t>
            </w:r>
          </w:p>
        </w:tc>
        <w:tc>
          <w:tcPr>
            <w:tcW w:w="680" w:type="dxa"/>
            <w:tcBorders>
              <w:top w:val="nil"/>
              <w:left w:val="nil"/>
              <w:bottom w:val="single" w:sz="4" w:space="0" w:color="auto"/>
              <w:right w:val="single" w:sz="4" w:space="0" w:color="auto"/>
            </w:tcBorders>
            <w:shd w:val="clear" w:color="auto" w:fill="auto"/>
            <w:noWrap/>
            <w:vAlign w:val="center"/>
            <w:hideMark/>
          </w:tcPr>
          <w:p w14:paraId="2FBF7FB8" w14:textId="77777777" w:rsidR="00CA32C6" w:rsidRPr="00CA32C6" w:rsidRDefault="00CA32C6" w:rsidP="00CA32C6">
            <w:pPr>
              <w:jc w:val="right"/>
              <w:rPr>
                <w:rFonts w:ascii="Arial Narrow" w:hAnsi="Arial Narrow" w:cs="Calibri"/>
                <w:sz w:val="18"/>
                <w:szCs w:val="18"/>
                <w:lang w:val="bg-BG"/>
              </w:rPr>
            </w:pPr>
            <w:r w:rsidRPr="00CA32C6">
              <w:rPr>
                <w:rFonts w:ascii="Arial Narrow" w:hAnsi="Arial Narrow" w:cs="Calibri"/>
                <w:sz w:val="18"/>
                <w:szCs w:val="18"/>
                <w:lang w:val="bg-BG"/>
              </w:rPr>
              <w:t>20 165</w:t>
            </w:r>
          </w:p>
        </w:tc>
      </w:tr>
      <w:tr w:rsidR="00CA32C6" w:rsidRPr="00CA32C6" w14:paraId="37526A81" w14:textId="77777777" w:rsidTr="009C6577">
        <w:trPr>
          <w:trHeight w:val="287"/>
          <w:jc w:val="center"/>
        </w:trPr>
        <w:tc>
          <w:tcPr>
            <w:tcW w:w="1367" w:type="dxa"/>
            <w:tcBorders>
              <w:top w:val="nil"/>
              <w:left w:val="single" w:sz="4" w:space="0" w:color="auto"/>
              <w:bottom w:val="single" w:sz="4" w:space="0" w:color="auto"/>
              <w:right w:val="single" w:sz="4" w:space="0" w:color="auto"/>
            </w:tcBorders>
            <w:shd w:val="clear" w:color="auto" w:fill="auto"/>
            <w:vAlign w:val="center"/>
            <w:hideMark/>
          </w:tcPr>
          <w:p w14:paraId="141F2ABD" w14:textId="77777777" w:rsidR="00CA32C6" w:rsidRPr="00CA32C6" w:rsidRDefault="00CA32C6" w:rsidP="00CA32C6">
            <w:pPr>
              <w:rPr>
                <w:rFonts w:ascii="Arial Narrow" w:hAnsi="Arial Narrow" w:cs="Calibri"/>
                <w:sz w:val="18"/>
                <w:szCs w:val="18"/>
                <w:lang w:val="bg-BG"/>
              </w:rPr>
            </w:pPr>
            <w:r w:rsidRPr="00CA32C6">
              <w:rPr>
                <w:rFonts w:ascii="Arial Narrow" w:hAnsi="Arial Narrow" w:cs="Calibri"/>
                <w:sz w:val="18"/>
                <w:szCs w:val="18"/>
                <w:lang w:val="bg-BG"/>
              </w:rPr>
              <w:t>Корнишони</w:t>
            </w:r>
          </w:p>
        </w:tc>
        <w:tc>
          <w:tcPr>
            <w:tcW w:w="761" w:type="dxa"/>
            <w:tcBorders>
              <w:top w:val="nil"/>
              <w:left w:val="nil"/>
              <w:bottom w:val="single" w:sz="4" w:space="0" w:color="auto"/>
              <w:right w:val="single" w:sz="4" w:space="0" w:color="auto"/>
            </w:tcBorders>
            <w:shd w:val="clear" w:color="auto" w:fill="auto"/>
            <w:noWrap/>
            <w:vAlign w:val="center"/>
            <w:hideMark/>
          </w:tcPr>
          <w:p w14:paraId="0AB745E4" w14:textId="77777777" w:rsidR="00CA32C6" w:rsidRPr="00CA32C6" w:rsidRDefault="00CA32C6" w:rsidP="00CA32C6">
            <w:pPr>
              <w:jc w:val="right"/>
              <w:rPr>
                <w:rFonts w:ascii="Arial Narrow" w:hAnsi="Arial Narrow" w:cs="Calibri"/>
                <w:sz w:val="18"/>
                <w:szCs w:val="18"/>
                <w:lang w:val="bg-BG"/>
              </w:rPr>
            </w:pPr>
            <w:r w:rsidRPr="00CA32C6">
              <w:rPr>
                <w:rFonts w:ascii="Arial Narrow" w:hAnsi="Arial Narrow" w:cs="Calibri"/>
                <w:sz w:val="18"/>
                <w:szCs w:val="18"/>
                <w:lang w:val="bg-BG"/>
              </w:rPr>
              <w:t>128</w:t>
            </w:r>
          </w:p>
        </w:tc>
        <w:tc>
          <w:tcPr>
            <w:tcW w:w="761" w:type="dxa"/>
            <w:tcBorders>
              <w:top w:val="nil"/>
              <w:left w:val="nil"/>
              <w:bottom w:val="single" w:sz="4" w:space="0" w:color="auto"/>
              <w:right w:val="single" w:sz="4" w:space="0" w:color="auto"/>
            </w:tcBorders>
            <w:shd w:val="clear" w:color="auto" w:fill="auto"/>
            <w:noWrap/>
            <w:vAlign w:val="center"/>
            <w:hideMark/>
          </w:tcPr>
          <w:p w14:paraId="3400FC44" w14:textId="77777777" w:rsidR="00CA32C6" w:rsidRPr="00CA32C6" w:rsidRDefault="00CA32C6" w:rsidP="00CA32C6">
            <w:pPr>
              <w:jc w:val="right"/>
              <w:rPr>
                <w:rFonts w:ascii="Arial Narrow" w:hAnsi="Arial Narrow" w:cs="Calibri"/>
                <w:sz w:val="18"/>
                <w:szCs w:val="18"/>
                <w:lang w:val="bg-BG"/>
              </w:rPr>
            </w:pPr>
            <w:r w:rsidRPr="00CA32C6">
              <w:rPr>
                <w:rFonts w:ascii="Arial Narrow" w:hAnsi="Arial Narrow" w:cs="Calibri"/>
                <w:sz w:val="18"/>
                <w:szCs w:val="18"/>
                <w:lang w:val="bg-BG"/>
              </w:rPr>
              <w:t>218</w:t>
            </w:r>
          </w:p>
        </w:tc>
        <w:tc>
          <w:tcPr>
            <w:tcW w:w="761" w:type="dxa"/>
            <w:tcBorders>
              <w:top w:val="nil"/>
              <w:left w:val="nil"/>
              <w:bottom w:val="single" w:sz="4" w:space="0" w:color="auto"/>
              <w:right w:val="single" w:sz="4" w:space="0" w:color="auto"/>
            </w:tcBorders>
            <w:shd w:val="clear" w:color="auto" w:fill="auto"/>
            <w:noWrap/>
            <w:vAlign w:val="center"/>
            <w:hideMark/>
          </w:tcPr>
          <w:p w14:paraId="24DA9EA3" w14:textId="77777777" w:rsidR="00CA32C6" w:rsidRPr="00CA32C6" w:rsidRDefault="00CA32C6" w:rsidP="00CA32C6">
            <w:pPr>
              <w:jc w:val="right"/>
              <w:rPr>
                <w:rFonts w:ascii="Arial Narrow" w:hAnsi="Arial Narrow" w:cs="Calibri"/>
                <w:sz w:val="18"/>
                <w:szCs w:val="18"/>
                <w:lang w:val="bg-BG"/>
              </w:rPr>
            </w:pPr>
            <w:r w:rsidRPr="00CA32C6">
              <w:rPr>
                <w:rFonts w:ascii="Arial Narrow" w:hAnsi="Arial Narrow" w:cs="Calibri"/>
                <w:sz w:val="18"/>
                <w:szCs w:val="18"/>
                <w:lang w:val="bg-BG"/>
              </w:rPr>
              <w:t>с</w:t>
            </w:r>
          </w:p>
        </w:tc>
        <w:tc>
          <w:tcPr>
            <w:tcW w:w="761" w:type="dxa"/>
            <w:tcBorders>
              <w:top w:val="nil"/>
              <w:left w:val="nil"/>
              <w:bottom w:val="single" w:sz="4" w:space="0" w:color="auto"/>
              <w:right w:val="single" w:sz="4" w:space="0" w:color="auto"/>
            </w:tcBorders>
            <w:shd w:val="clear" w:color="auto" w:fill="auto"/>
            <w:noWrap/>
            <w:vAlign w:val="center"/>
            <w:hideMark/>
          </w:tcPr>
          <w:p w14:paraId="72049633" w14:textId="77777777" w:rsidR="00CA32C6" w:rsidRPr="00CA32C6" w:rsidRDefault="00CA32C6" w:rsidP="00CA32C6">
            <w:pPr>
              <w:jc w:val="right"/>
              <w:rPr>
                <w:rFonts w:ascii="Arial Narrow" w:hAnsi="Arial Narrow" w:cs="Calibri"/>
                <w:sz w:val="18"/>
                <w:szCs w:val="18"/>
                <w:lang w:val="bg-BG"/>
              </w:rPr>
            </w:pPr>
            <w:r w:rsidRPr="00CA32C6">
              <w:rPr>
                <w:rFonts w:ascii="Arial Narrow" w:hAnsi="Arial Narrow" w:cs="Calibri"/>
                <w:sz w:val="18"/>
                <w:szCs w:val="18"/>
                <w:lang w:val="bg-BG"/>
              </w:rPr>
              <w:t>1</w:t>
            </w:r>
          </w:p>
        </w:tc>
        <w:tc>
          <w:tcPr>
            <w:tcW w:w="761" w:type="dxa"/>
            <w:tcBorders>
              <w:top w:val="nil"/>
              <w:left w:val="nil"/>
              <w:bottom w:val="single" w:sz="4" w:space="0" w:color="auto"/>
              <w:right w:val="single" w:sz="4" w:space="0" w:color="auto"/>
            </w:tcBorders>
            <w:shd w:val="clear" w:color="auto" w:fill="auto"/>
            <w:noWrap/>
            <w:vAlign w:val="center"/>
            <w:hideMark/>
          </w:tcPr>
          <w:p w14:paraId="35030B34" w14:textId="77777777" w:rsidR="00CA32C6" w:rsidRPr="00CA32C6" w:rsidRDefault="00CA32C6" w:rsidP="00CA32C6">
            <w:pPr>
              <w:jc w:val="right"/>
              <w:rPr>
                <w:rFonts w:ascii="Arial Narrow" w:hAnsi="Arial Narrow" w:cs="Calibri"/>
                <w:sz w:val="18"/>
                <w:szCs w:val="18"/>
                <w:lang w:val="bg-BG"/>
              </w:rPr>
            </w:pPr>
            <w:r w:rsidRPr="00CA32C6">
              <w:rPr>
                <w:rFonts w:ascii="Arial Narrow" w:hAnsi="Arial Narrow" w:cs="Calibri"/>
                <w:sz w:val="18"/>
                <w:szCs w:val="18"/>
                <w:lang w:val="bg-BG"/>
              </w:rPr>
              <w:t>2 383</w:t>
            </w:r>
          </w:p>
        </w:tc>
        <w:tc>
          <w:tcPr>
            <w:tcW w:w="761" w:type="dxa"/>
            <w:tcBorders>
              <w:top w:val="nil"/>
              <w:left w:val="nil"/>
              <w:bottom w:val="single" w:sz="4" w:space="0" w:color="auto"/>
              <w:right w:val="single" w:sz="4" w:space="0" w:color="auto"/>
            </w:tcBorders>
            <w:shd w:val="clear" w:color="auto" w:fill="auto"/>
            <w:noWrap/>
            <w:vAlign w:val="center"/>
            <w:hideMark/>
          </w:tcPr>
          <w:p w14:paraId="50D19A4A" w14:textId="77777777" w:rsidR="00CA32C6" w:rsidRPr="00CA32C6" w:rsidRDefault="00CA32C6" w:rsidP="00CA32C6">
            <w:pPr>
              <w:jc w:val="right"/>
              <w:rPr>
                <w:rFonts w:ascii="Arial Narrow" w:hAnsi="Arial Narrow" w:cs="Calibri"/>
                <w:sz w:val="18"/>
                <w:szCs w:val="18"/>
                <w:lang w:val="bg-BG"/>
              </w:rPr>
            </w:pPr>
            <w:r w:rsidRPr="00CA32C6">
              <w:rPr>
                <w:rFonts w:ascii="Arial Narrow" w:hAnsi="Arial Narrow" w:cs="Calibri"/>
                <w:sz w:val="18"/>
                <w:szCs w:val="18"/>
                <w:lang w:val="bg-BG"/>
              </w:rPr>
              <w:t>3 740</w:t>
            </w:r>
          </w:p>
        </w:tc>
        <w:tc>
          <w:tcPr>
            <w:tcW w:w="761" w:type="dxa"/>
            <w:tcBorders>
              <w:top w:val="nil"/>
              <w:left w:val="nil"/>
              <w:bottom w:val="single" w:sz="4" w:space="0" w:color="auto"/>
              <w:right w:val="single" w:sz="4" w:space="0" w:color="auto"/>
            </w:tcBorders>
            <w:shd w:val="clear" w:color="auto" w:fill="auto"/>
            <w:noWrap/>
            <w:vAlign w:val="center"/>
            <w:hideMark/>
          </w:tcPr>
          <w:p w14:paraId="1418DEE7" w14:textId="77777777" w:rsidR="00CA32C6" w:rsidRPr="00CA32C6" w:rsidRDefault="00CA32C6" w:rsidP="00CA32C6">
            <w:pPr>
              <w:jc w:val="right"/>
              <w:rPr>
                <w:rFonts w:ascii="Arial Narrow" w:hAnsi="Arial Narrow" w:cs="Calibri"/>
                <w:sz w:val="18"/>
                <w:szCs w:val="18"/>
                <w:lang w:val="bg-BG"/>
              </w:rPr>
            </w:pPr>
            <w:r w:rsidRPr="00CA32C6">
              <w:rPr>
                <w:rFonts w:ascii="Arial Narrow" w:hAnsi="Arial Narrow" w:cs="Calibri"/>
                <w:sz w:val="18"/>
                <w:szCs w:val="18"/>
                <w:lang w:val="bg-BG"/>
              </w:rPr>
              <w:t>c</w:t>
            </w:r>
          </w:p>
        </w:tc>
        <w:tc>
          <w:tcPr>
            <w:tcW w:w="761" w:type="dxa"/>
            <w:tcBorders>
              <w:top w:val="nil"/>
              <w:left w:val="nil"/>
              <w:bottom w:val="single" w:sz="4" w:space="0" w:color="auto"/>
              <w:right w:val="single" w:sz="4" w:space="0" w:color="auto"/>
            </w:tcBorders>
            <w:shd w:val="clear" w:color="auto" w:fill="auto"/>
            <w:noWrap/>
            <w:vAlign w:val="center"/>
            <w:hideMark/>
          </w:tcPr>
          <w:p w14:paraId="192C0B7A" w14:textId="77777777" w:rsidR="00CA32C6" w:rsidRPr="00CA32C6" w:rsidRDefault="00CA32C6" w:rsidP="00CA32C6">
            <w:pPr>
              <w:jc w:val="right"/>
              <w:rPr>
                <w:rFonts w:ascii="Arial Narrow" w:hAnsi="Arial Narrow" w:cs="Calibri"/>
                <w:sz w:val="18"/>
                <w:szCs w:val="18"/>
                <w:lang w:val="bg-BG"/>
              </w:rPr>
            </w:pPr>
            <w:r w:rsidRPr="00CA32C6">
              <w:rPr>
                <w:rFonts w:ascii="Arial Narrow" w:hAnsi="Arial Narrow" w:cs="Calibri"/>
                <w:sz w:val="18"/>
                <w:szCs w:val="18"/>
                <w:lang w:val="bg-BG"/>
              </w:rPr>
              <w:t>20</w:t>
            </w:r>
          </w:p>
        </w:tc>
        <w:tc>
          <w:tcPr>
            <w:tcW w:w="761" w:type="dxa"/>
            <w:tcBorders>
              <w:top w:val="nil"/>
              <w:left w:val="nil"/>
              <w:bottom w:val="single" w:sz="4" w:space="0" w:color="auto"/>
              <w:right w:val="single" w:sz="4" w:space="0" w:color="auto"/>
            </w:tcBorders>
            <w:shd w:val="clear" w:color="auto" w:fill="auto"/>
            <w:noWrap/>
            <w:vAlign w:val="center"/>
            <w:hideMark/>
          </w:tcPr>
          <w:p w14:paraId="49C10CB4" w14:textId="77777777" w:rsidR="00CA32C6" w:rsidRPr="00CA32C6" w:rsidRDefault="00CA32C6" w:rsidP="00CA32C6">
            <w:pPr>
              <w:jc w:val="right"/>
              <w:rPr>
                <w:rFonts w:ascii="Arial Narrow" w:hAnsi="Arial Narrow" w:cs="Calibri"/>
                <w:sz w:val="18"/>
                <w:szCs w:val="18"/>
                <w:lang w:val="bg-BG"/>
              </w:rPr>
            </w:pPr>
            <w:r w:rsidRPr="00CA32C6">
              <w:rPr>
                <w:rFonts w:ascii="Arial Narrow" w:hAnsi="Arial Narrow" w:cs="Calibri"/>
                <w:sz w:val="18"/>
                <w:szCs w:val="18"/>
                <w:lang w:val="bg-BG"/>
              </w:rPr>
              <w:t>c</w:t>
            </w:r>
          </w:p>
        </w:tc>
        <w:tc>
          <w:tcPr>
            <w:tcW w:w="761" w:type="dxa"/>
            <w:tcBorders>
              <w:top w:val="nil"/>
              <w:left w:val="nil"/>
              <w:bottom w:val="single" w:sz="4" w:space="0" w:color="auto"/>
              <w:right w:val="single" w:sz="4" w:space="0" w:color="auto"/>
            </w:tcBorders>
            <w:shd w:val="clear" w:color="auto" w:fill="auto"/>
            <w:noWrap/>
            <w:vAlign w:val="center"/>
            <w:hideMark/>
          </w:tcPr>
          <w:p w14:paraId="0E1136E0" w14:textId="77777777" w:rsidR="00CA32C6" w:rsidRPr="00CA32C6" w:rsidRDefault="00CA32C6" w:rsidP="00CA32C6">
            <w:pPr>
              <w:jc w:val="right"/>
              <w:rPr>
                <w:rFonts w:ascii="Arial Narrow" w:hAnsi="Arial Narrow" w:cs="Calibri"/>
                <w:sz w:val="18"/>
                <w:szCs w:val="18"/>
                <w:lang w:val="bg-BG"/>
              </w:rPr>
            </w:pPr>
            <w:r w:rsidRPr="00CA32C6">
              <w:rPr>
                <w:rFonts w:ascii="Arial Narrow" w:hAnsi="Arial Narrow" w:cs="Calibri"/>
                <w:sz w:val="18"/>
                <w:szCs w:val="18"/>
                <w:lang w:val="bg-BG"/>
              </w:rPr>
              <w:t>3 760</w:t>
            </w:r>
          </w:p>
        </w:tc>
        <w:tc>
          <w:tcPr>
            <w:tcW w:w="915" w:type="dxa"/>
            <w:tcBorders>
              <w:top w:val="nil"/>
              <w:left w:val="nil"/>
              <w:bottom w:val="single" w:sz="4" w:space="0" w:color="auto"/>
              <w:right w:val="single" w:sz="4" w:space="0" w:color="auto"/>
            </w:tcBorders>
            <w:shd w:val="clear" w:color="auto" w:fill="auto"/>
            <w:noWrap/>
            <w:vAlign w:val="center"/>
            <w:hideMark/>
          </w:tcPr>
          <w:p w14:paraId="4572EEEA" w14:textId="77777777" w:rsidR="00CA32C6" w:rsidRPr="00CA32C6" w:rsidRDefault="00CA32C6" w:rsidP="00CA32C6">
            <w:pPr>
              <w:jc w:val="right"/>
              <w:rPr>
                <w:rFonts w:ascii="Arial Narrow" w:hAnsi="Arial Narrow" w:cs="Calibri"/>
                <w:sz w:val="18"/>
                <w:szCs w:val="18"/>
                <w:lang w:val="bg-BG"/>
              </w:rPr>
            </w:pPr>
            <w:r w:rsidRPr="00CA32C6">
              <w:rPr>
                <w:rFonts w:ascii="Arial Narrow" w:hAnsi="Arial Narrow" w:cs="Calibri"/>
                <w:sz w:val="18"/>
                <w:szCs w:val="18"/>
                <w:lang w:val="bg-BG"/>
              </w:rPr>
              <w:t>-</w:t>
            </w:r>
          </w:p>
        </w:tc>
        <w:tc>
          <w:tcPr>
            <w:tcW w:w="680" w:type="dxa"/>
            <w:tcBorders>
              <w:top w:val="nil"/>
              <w:left w:val="nil"/>
              <w:bottom w:val="single" w:sz="4" w:space="0" w:color="auto"/>
              <w:right w:val="single" w:sz="4" w:space="0" w:color="auto"/>
            </w:tcBorders>
            <w:shd w:val="clear" w:color="auto" w:fill="auto"/>
            <w:noWrap/>
            <w:vAlign w:val="center"/>
            <w:hideMark/>
          </w:tcPr>
          <w:p w14:paraId="6544620B" w14:textId="77777777" w:rsidR="00CA32C6" w:rsidRPr="00CA32C6" w:rsidRDefault="00CA32C6" w:rsidP="00CA32C6">
            <w:pPr>
              <w:jc w:val="right"/>
              <w:rPr>
                <w:rFonts w:ascii="Arial Narrow" w:hAnsi="Arial Narrow" w:cs="Calibri"/>
                <w:sz w:val="18"/>
                <w:szCs w:val="18"/>
                <w:lang w:val="bg-BG"/>
              </w:rPr>
            </w:pPr>
            <w:r w:rsidRPr="00CA32C6">
              <w:rPr>
                <w:rFonts w:ascii="Arial Narrow" w:hAnsi="Arial Narrow" w:cs="Calibri"/>
                <w:sz w:val="18"/>
                <w:szCs w:val="18"/>
                <w:lang w:val="bg-BG"/>
              </w:rPr>
              <w:t>18 617</w:t>
            </w:r>
          </w:p>
        </w:tc>
        <w:tc>
          <w:tcPr>
            <w:tcW w:w="680" w:type="dxa"/>
            <w:tcBorders>
              <w:top w:val="nil"/>
              <w:left w:val="nil"/>
              <w:bottom w:val="single" w:sz="4" w:space="0" w:color="auto"/>
              <w:right w:val="single" w:sz="4" w:space="0" w:color="auto"/>
            </w:tcBorders>
            <w:shd w:val="clear" w:color="auto" w:fill="auto"/>
            <w:noWrap/>
            <w:vAlign w:val="center"/>
            <w:hideMark/>
          </w:tcPr>
          <w:p w14:paraId="0B723470" w14:textId="77777777" w:rsidR="00CA32C6" w:rsidRPr="00CA32C6" w:rsidRDefault="00CA32C6" w:rsidP="00CA32C6">
            <w:pPr>
              <w:jc w:val="right"/>
              <w:rPr>
                <w:rFonts w:ascii="Arial Narrow" w:hAnsi="Arial Narrow" w:cs="Calibri"/>
                <w:sz w:val="18"/>
                <w:szCs w:val="18"/>
                <w:lang w:val="bg-BG"/>
              </w:rPr>
            </w:pPr>
            <w:r w:rsidRPr="00CA32C6">
              <w:rPr>
                <w:rFonts w:ascii="Arial Narrow" w:hAnsi="Arial Narrow" w:cs="Calibri"/>
                <w:sz w:val="18"/>
                <w:szCs w:val="18"/>
                <w:lang w:val="bg-BG"/>
              </w:rPr>
              <w:t>17 156</w:t>
            </w:r>
          </w:p>
        </w:tc>
      </w:tr>
      <w:tr w:rsidR="00CA32C6" w:rsidRPr="00CA32C6" w14:paraId="55A97912" w14:textId="77777777" w:rsidTr="009C6577">
        <w:trPr>
          <w:trHeight w:val="287"/>
          <w:jc w:val="center"/>
        </w:trPr>
        <w:tc>
          <w:tcPr>
            <w:tcW w:w="1367" w:type="dxa"/>
            <w:tcBorders>
              <w:top w:val="nil"/>
              <w:left w:val="single" w:sz="4" w:space="0" w:color="auto"/>
              <w:bottom w:val="single" w:sz="4" w:space="0" w:color="auto"/>
              <w:right w:val="single" w:sz="4" w:space="0" w:color="auto"/>
            </w:tcBorders>
            <w:shd w:val="clear" w:color="auto" w:fill="auto"/>
            <w:vAlign w:val="center"/>
            <w:hideMark/>
          </w:tcPr>
          <w:p w14:paraId="6FCCAB15" w14:textId="77777777" w:rsidR="00CA32C6" w:rsidRPr="00CA32C6" w:rsidRDefault="00CA32C6" w:rsidP="00CA32C6">
            <w:pPr>
              <w:rPr>
                <w:rFonts w:ascii="Arial Narrow" w:hAnsi="Arial Narrow" w:cs="Calibri"/>
                <w:sz w:val="18"/>
                <w:szCs w:val="18"/>
                <w:lang w:val="bg-BG"/>
              </w:rPr>
            </w:pPr>
            <w:r w:rsidRPr="00CA32C6">
              <w:rPr>
                <w:rFonts w:ascii="Arial Narrow" w:hAnsi="Arial Narrow" w:cs="Calibri"/>
                <w:sz w:val="18"/>
                <w:szCs w:val="18"/>
                <w:lang w:val="bg-BG"/>
              </w:rPr>
              <w:t>Патладжани</w:t>
            </w:r>
          </w:p>
        </w:tc>
        <w:tc>
          <w:tcPr>
            <w:tcW w:w="761" w:type="dxa"/>
            <w:tcBorders>
              <w:top w:val="nil"/>
              <w:left w:val="nil"/>
              <w:bottom w:val="single" w:sz="4" w:space="0" w:color="auto"/>
              <w:right w:val="single" w:sz="4" w:space="0" w:color="auto"/>
            </w:tcBorders>
            <w:shd w:val="clear" w:color="auto" w:fill="auto"/>
            <w:noWrap/>
            <w:vAlign w:val="center"/>
            <w:hideMark/>
          </w:tcPr>
          <w:p w14:paraId="19CC24C4" w14:textId="77777777" w:rsidR="00CA32C6" w:rsidRPr="00CA32C6" w:rsidRDefault="00CA32C6" w:rsidP="00CA32C6">
            <w:pPr>
              <w:jc w:val="right"/>
              <w:rPr>
                <w:rFonts w:ascii="Arial Narrow" w:hAnsi="Arial Narrow" w:cs="Calibri"/>
                <w:sz w:val="18"/>
                <w:szCs w:val="18"/>
                <w:lang w:val="bg-BG"/>
              </w:rPr>
            </w:pPr>
            <w:r w:rsidRPr="00CA32C6">
              <w:rPr>
                <w:rFonts w:ascii="Arial Narrow" w:hAnsi="Arial Narrow" w:cs="Calibri"/>
                <w:sz w:val="18"/>
                <w:szCs w:val="18"/>
                <w:lang w:val="bg-BG"/>
              </w:rPr>
              <w:t>357</w:t>
            </w:r>
          </w:p>
        </w:tc>
        <w:tc>
          <w:tcPr>
            <w:tcW w:w="761" w:type="dxa"/>
            <w:tcBorders>
              <w:top w:val="nil"/>
              <w:left w:val="nil"/>
              <w:bottom w:val="single" w:sz="4" w:space="0" w:color="auto"/>
              <w:right w:val="single" w:sz="4" w:space="0" w:color="auto"/>
            </w:tcBorders>
            <w:shd w:val="clear" w:color="auto" w:fill="auto"/>
            <w:noWrap/>
            <w:vAlign w:val="center"/>
            <w:hideMark/>
          </w:tcPr>
          <w:p w14:paraId="47AB287A" w14:textId="77777777" w:rsidR="00CA32C6" w:rsidRPr="00CA32C6" w:rsidRDefault="00CA32C6" w:rsidP="00CA32C6">
            <w:pPr>
              <w:jc w:val="right"/>
              <w:rPr>
                <w:rFonts w:ascii="Arial Narrow" w:hAnsi="Arial Narrow" w:cs="Calibri"/>
                <w:sz w:val="18"/>
                <w:szCs w:val="18"/>
                <w:lang w:val="bg-BG"/>
              </w:rPr>
            </w:pPr>
            <w:r w:rsidRPr="00CA32C6">
              <w:rPr>
                <w:rFonts w:ascii="Arial Narrow" w:hAnsi="Arial Narrow" w:cs="Calibri"/>
                <w:sz w:val="18"/>
                <w:szCs w:val="18"/>
                <w:lang w:val="bg-BG"/>
              </w:rPr>
              <w:t>497</w:t>
            </w:r>
          </w:p>
        </w:tc>
        <w:tc>
          <w:tcPr>
            <w:tcW w:w="761" w:type="dxa"/>
            <w:tcBorders>
              <w:top w:val="nil"/>
              <w:left w:val="nil"/>
              <w:bottom w:val="single" w:sz="4" w:space="0" w:color="auto"/>
              <w:right w:val="single" w:sz="4" w:space="0" w:color="auto"/>
            </w:tcBorders>
            <w:shd w:val="clear" w:color="auto" w:fill="auto"/>
            <w:noWrap/>
            <w:vAlign w:val="center"/>
            <w:hideMark/>
          </w:tcPr>
          <w:p w14:paraId="0C3CAFC8" w14:textId="77777777" w:rsidR="00CA32C6" w:rsidRPr="00CA32C6" w:rsidRDefault="00CA32C6" w:rsidP="00CA32C6">
            <w:pPr>
              <w:jc w:val="right"/>
              <w:rPr>
                <w:rFonts w:ascii="Arial Narrow" w:hAnsi="Arial Narrow" w:cs="Calibri"/>
                <w:sz w:val="18"/>
                <w:szCs w:val="18"/>
                <w:lang w:val="bg-BG"/>
              </w:rPr>
            </w:pPr>
            <w:r w:rsidRPr="00CA32C6">
              <w:rPr>
                <w:rFonts w:ascii="Arial Narrow" w:hAnsi="Arial Narrow" w:cs="Calibri"/>
                <w:sz w:val="18"/>
                <w:szCs w:val="18"/>
                <w:lang w:val="bg-BG"/>
              </w:rPr>
              <w:t>5</w:t>
            </w:r>
          </w:p>
        </w:tc>
        <w:tc>
          <w:tcPr>
            <w:tcW w:w="761" w:type="dxa"/>
            <w:tcBorders>
              <w:top w:val="nil"/>
              <w:left w:val="nil"/>
              <w:bottom w:val="single" w:sz="4" w:space="0" w:color="auto"/>
              <w:right w:val="single" w:sz="4" w:space="0" w:color="auto"/>
            </w:tcBorders>
            <w:shd w:val="clear" w:color="auto" w:fill="auto"/>
            <w:noWrap/>
            <w:vAlign w:val="center"/>
            <w:hideMark/>
          </w:tcPr>
          <w:p w14:paraId="0F304EDF" w14:textId="77777777" w:rsidR="00CA32C6" w:rsidRPr="00CA32C6" w:rsidRDefault="00CA32C6" w:rsidP="00CA32C6">
            <w:pPr>
              <w:jc w:val="right"/>
              <w:rPr>
                <w:rFonts w:ascii="Arial Narrow" w:hAnsi="Arial Narrow" w:cs="Calibri"/>
                <w:sz w:val="18"/>
                <w:szCs w:val="18"/>
                <w:lang w:val="bg-BG"/>
              </w:rPr>
            </w:pPr>
            <w:r w:rsidRPr="00CA32C6">
              <w:rPr>
                <w:rFonts w:ascii="Arial Narrow" w:hAnsi="Arial Narrow" w:cs="Calibri"/>
                <w:sz w:val="18"/>
                <w:szCs w:val="18"/>
                <w:lang w:val="bg-BG"/>
              </w:rPr>
              <w:t>с</w:t>
            </w:r>
          </w:p>
        </w:tc>
        <w:tc>
          <w:tcPr>
            <w:tcW w:w="761" w:type="dxa"/>
            <w:tcBorders>
              <w:top w:val="nil"/>
              <w:left w:val="nil"/>
              <w:bottom w:val="single" w:sz="4" w:space="0" w:color="auto"/>
              <w:right w:val="single" w:sz="4" w:space="0" w:color="auto"/>
            </w:tcBorders>
            <w:shd w:val="clear" w:color="auto" w:fill="auto"/>
            <w:noWrap/>
            <w:vAlign w:val="center"/>
            <w:hideMark/>
          </w:tcPr>
          <w:p w14:paraId="4B4E71DD" w14:textId="77777777" w:rsidR="00CA32C6" w:rsidRPr="00CA32C6" w:rsidRDefault="00CA32C6" w:rsidP="00CA32C6">
            <w:pPr>
              <w:jc w:val="right"/>
              <w:rPr>
                <w:rFonts w:ascii="Arial Narrow" w:hAnsi="Arial Narrow" w:cs="Calibri"/>
                <w:sz w:val="18"/>
                <w:szCs w:val="18"/>
                <w:lang w:val="bg-BG"/>
              </w:rPr>
            </w:pPr>
            <w:r w:rsidRPr="00CA32C6">
              <w:rPr>
                <w:rFonts w:ascii="Arial Narrow" w:hAnsi="Arial Narrow" w:cs="Calibri"/>
                <w:sz w:val="18"/>
                <w:szCs w:val="18"/>
                <w:lang w:val="bg-BG"/>
              </w:rPr>
              <w:t>10 106</w:t>
            </w:r>
          </w:p>
        </w:tc>
        <w:tc>
          <w:tcPr>
            <w:tcW w:w="761" w:type="dxa"/>
            <w:tcBorders>
              <w:top w:val="nil"/>
              <w:left w:val="nil"/>
              <w:bottom w:val="single" w:sz="4" w:space="0" w:color="auto"/>
              <w:right w:val="single" w:sz="4" w:space="0" w:color="auto"/>
            </w:tcBorders>
            <w:shd w:val="clear" w:color="auto" w:fill="auto"/>
            <w:noWrap/>
            <w:vAlign w:val="center"/>
            <w:hideMark/>
          </w:tcPr>
          <w:p w14:paraId="1B73159C" w14:textId="77777777" w:rsidR="00CA32C6" w:rsidRPr="00CA32C6" w:rsidRDefault="00CA32C6" w:rsidP="00CA32C6">
            <w:pPr>
              <w:jc w:val="right"/>
              <w:rPr>
                <w:rFonts w:ascii="Arial Narrow" w:hAnsi="Arial Narrow" w:cs="Calibri"/>
                <w:sz w:val="18"/>
                <w:szCs w:val="18"/>
                <w:lang w:val="bg-BG"/>
              </w:rPr>
            </w:pPr>
            <w:r w:rsidRPr="00CA32C6">
              <w:rPr>
                <w:rFonts w:ascii="Arial Narrow" w:hAnsi="Arial Narrow" w:cs="Calibri"/>
                <w:sz w:val="18"/>
                <w:szCs w:val="18"/>
                <w:lang w:val="bg-BG"/>
              </w:rPr>
              <w:t>14 599</w:t>
            </w:r>
          </w:p>
        </w:tc>
        <w:tc>
          <w:tcPr>
            <w:tcW w:w="761" w:type="dxa"/>
            <w:tcBorders>
              <w:top w:val="nil"/>
              <w:left w:val="nil"/>
              <w:bottom w:val="single" w:sz="4" w:space="0" w:color="auto"/>
              <w:right w:val="single" w:sz="4" w:space="0" w:color="auto"/>
            </w:tcBorders>
            <w:shd w:val="clear" w:color="auto" w:fill="auto"/>
            <w:noWrap/>
            <w:vAlign w:val="center"/>
            <w:hideMark/>
          </w:tcPr>
          <w:p w14:paraId="2910D1D9" w14:textId="77777777" w:rsidR="00CA32C6" w:rsidRPr="00CA32C6" w:rsidRDefault="00CA32C6" w:rsidP="00CA32C6">
            <w:pPr>
              <w:jc w:val="right"/>
              <w:rPr>
                <w:rFonts w:ascii="Arial Narrow" w:hAnsi="Arial Narrow" w:cs="Calibri"/>
                <w:sz w:val="18"/>
                <w:szCs w:val="18"/>
                <w:lang w:val="bg-BG"/>
              </w:rPr>
            </w:pPr>
            <w:r w:rsidRPr="00CA32C6">
              <w:rPr>
                <w:rFonts w:ascii="Arial Narrow" w:hAnsi="Arial Narrow" w:cs="Calibri"/>
                <w:sz w:val="18"/>
                <w:szCs w:val="18"/>
                <w:lang w:val="bg-BG"/>
              </w:rPr>
              <w:t>132</w:t>
            </w:r>
          </w:p>
        </w:tc>
        <w:tc>
          <w:tcPr>
            <w:tcW w:w="761" w:type="dxa"/>
            <w:tcBorders>
              <w:top w:val="nil"/>
              <w:left w:val="nil"/>
              <w:bottom w:val="single" w:sz="4" w:space="0" w:color="auto"/>
              <w:right w:val="single" w:sz="4" w:space="0" w:color="auto"/>
            </w:tcBorders>
            <w:shd w:val="clear" w:color="auto" w:fill="auto"/>
            <w:noWrap/>
            <w:vAlign w:val="center"/>
            <w:hideMark/>
          </w:tcPr>
          <w:p w14:paraId="054F32F3" w14:textId="77777777" w:rsidR="00CA32C6" w:rsidRPr="00CA32C6" w:rsidRDefault="00CA32C6" w:rsidP="00CA32C6">
            <w:pPr>
              <w:jc w:val="right"/>
              <w:rPr>
                <w:rFonts w:ascii="Arial Narrow" w:hAnsi="Arial Narrow" w:cs="Calibri"/>
                <w:sz w:val="18"/>
                <w:szCs w:val="18"/>
                <w:lang w:val="bg-BG"/>
              </w:rPr>
            </w:pPr>
            <w:r w:rsidRPr="00CA32C6">
              <w:rPr>
                <w:rFonts w:ascii="Arial Narrow" w:hAnsi="Arial Narrow" w:cs="Calibri"/>
                <w:sz w:val="18"/>
                <w:szCs w:val="18"/>
                <w:lang w:val="bg-BG"/>
              </w:rPr>
              <w:t>с</w:t>
            </w:r>
          </w:p>
        </w:tc>
        <w:tc>
          <w:tcPr>
            <w:tcW w:w="761" w:type="dxa"/>
            <w:tcBorders>
              <w:top w:val="nil"/>
              <w:left w:val="nil"/>
              <w:bottom w:val="single" w:sz="4" w:space="0" w:color="auto"/>
              <w:right w:val="single" w:sz="4" w:space="0" w:color="auto"/>
            </w:tcBorders>
            <w:shd w:val="clear" w:color="auto" w:fill="auto"/>
            <w:noWrap/>
            <w:vAlign w:val="center"/>
            <w:hideMark/>
          </w:tcPr>
          <w:p w14:paraId="4A6241D5" w14:textId="77777777" w:rsidR="00CA32C6" w:rsidRPr="00CA32C6" w:rsidRDefault="00CA32C6" w:rsidP="00CA32C6">
            <w:pPr>
              <w:jc w:val="right"/>
              <w:rPr>
                <w:rFonts w:ascii="Arial Narrow" w:hAnsi="Arial Narrow" w:cs="Calibri"/>
                <w:sz w:val="18"/>
                <w:szCs w:val="18"/>
                <w:lang w:val="bg-BG"/>
              </w:rPr>
            </w:pPr>
            <w:r w:rsidRPr="00CA32C6">
              <w:rPr>
                <w:rFonts w:ascii="Arial Narrow" w:hAnsi="Arial Narrow" w:cs="Calibri"/>
                <w:sz w:val="18"/>
                <w:szCs w:val="18"/>
                <w:lang w:val="bg-BG"/>
              </w:rPr>
              <w:t>10 238</w:t>
            </w:r>
          </w:p>
        </w:tc>
        <w:tc>
          <w:tcPr>
            <w:tcW w:w="761" w:type="dxa"/>
            <w:tcBorders>
              <w:top w:val="nil"/>
              <w:left w:val="nil"/>
              <w:bottom w:val="single" w:sz="4" w:space="0" w:color="auto"/>
              <w:right w:val="single" w:sz="4" w:space="0" w:color="auto"/>
            </w:tcBorders>
            <w:shd w:val="clear" w:color="auto" w:fill="auto"/>
            <w:noWrap/>
            <w:vAlign w:val="center"/>
            <w:hideMark/>
          </w:tcPr>
          <w:p w14:paraId="36847301" w14:textId="77777777" w:rsidR="00CA32C6" w:rsidRPr="00CA32C6" w:rsidRDefault="00CA32C6" w:rsidP="00CA32C6">
            <w:pPr>
              <w:jc w:val="right"/>
              <w:rPr>
                <w:rFonts w:ascii="Arial Narrow" w:hAnsi="Arial Narrow" w:cs="Calibri"/>
                <w:sz w:val="18"/>
                <w:szCs w:val="18"/>
                <w:lang w:val="bg-BG"/>
              </w:rPr>
            </w:pPr>
            <w:r w:rsidRPr="00CA32C6">
              <w:rPr>
                <w:rFonts w:ascii="Arial Narrow" w:hAnsi="Arial Narrow" w:cs="Calibri"/>
                <w:sz w:val="18"/>
                <w:szCs w:val="18"/>
                <w:lang w:val="bg-BG"/>
              </w:rPr>
              <w:t>с</w:t>
            </w:r>
          </w:p>
        </w:tc>
        <w:tc>
          <w:tcPr>
            <w:tcW w:w="915" w:type="dxa"/>
            <w:tcBorders>
              <w:top w:val="nil"/>
              <w:left w:val="nil"/>
              <w:bottom w:val="single" w:sz="4" w:space="0" w:color="auto"/>
              <w:right w:val="single" w:sz="4" w:space="0" w:color="auto"/>
            </w:tcBorders>
            <w:shd w:val="clear" w:color="auto" w:fill="auto"/>
            <w:noWrap/>
            <w:vAlign w:val="center"/>
            <w:hideMark/>
          </w:tcPr>
          <w:p w14:paraId="123CB30D" w14:textId="77777777" w:rsidR="00CA32C6" w:rsidRPr="00CA32C6" w:rsidRDefault="00CA32C6" w:rsidP="00CA32C6">
            <w:pPr>
              <w:jc w:val="right"/>
              <w:rPr>
                <w:rFonts w:ascii="Arial Narrow" w:hAnsi="Arial Narrow" w:cs="Calibri"/>
                <w:sz w:val="18"/>
                <w:szCs w:val="18"/>
                <w:lang w:val="bg-BG"/>
              </w:rPr>
            </w:pPr>
            <w:r w:rsidRPr="00CA32C6">
              <w:rPr>
                <w:rFonts w:ascii="Arial Narrow" w:hAnsi="Arial Narrow" w:cs="Calibri"/>
                <w:sz w:val="18"/>
                <w:szCs w:val="18"/>
                <w:lang w:val="bg-BG"/>
              </w:rPr>
              <w:t>-</w:t>
            </w:r>
          </w:p>
        </w:tc>
        <w:tc>
          <w:tcPr>
            <w:tcW w:w="680" w:type="dxa"/>
            <w:tcBorders>
              <w:top w:val="nil"/>
              <w:left w:val="nil"/>
              <w:bottom w:val="single" w:sz="4" w:space="0" w:color="auto"/>
              <w:right w:val="single" w:sz="4" w:space="0" w:color="auto"/>
            </w:tcBorders>
            <w:shd w:val="clear" w:color="auto" w:fill="auto"/>
            <w:noWrap/>
            <w:vAlign w:val="center"/>
            <w:hideMark/>
          </w:tcPr>
          <w:p w14:paraId="3DADAA5A" w14:textId="77777777" w:rsidR="00CA32C6" w:rsidRPr="00CA32C6" w:rsidRDefault="00CA32C6" w:rsidP="00CA32C6">
            <w:pPr>
              <w:jc w:val="right"/>
              <w:rPr>
                <w:rFonts w:ascii="Arial Narrow" w:hAnsi="Arial Narrow" w:cs="Calibri"/>
                <w:sz w:val="18"/>
                <w:szCs w:val="18"/>
                <w:lang w:val="bg-BG"/>
              </w:rPr>
            </w:pPr>
            <w:r w:rsidRPr="00CA32C6">
              <w:rPr>
                <w:rFonts w:ascii="Arial Narrow" w:hAnsi="Arial Narrow" w:cs="Calibri"/>
                <w:sz w:val="18"/>
                <w:szCs w:val="18"/>
                <w:lang w:val="bg-BG"/>
              </w:rPr>
              <w:t>28 308</w:t>
            </w:r>
          </w:p>
        </w:tc>
        <w:tc>
          <w:tcPr>
            <w:tcW w:w="680" w:type="dxa"/>
            <w:tcBorders>
              <w:top w:val="nil"/>
              <w:left w:val="nil"/>
              <w:bottom w:val="single" w:sz="4" w:space="0" w:color="auto"/>
              <w:right w:val="single" w:sz="4" w:space="0" w:color="auto"/>
            </w:tcBorders>
            <w:shd w:val="clear" w:color="auto" w:fill="auto"/>
            <w:noWrap/>
            <w:vAlign w:val="center"/>
            <w:hideMark/>
          </w:tcPr>
          <w:p w14:paraId="4A6D141D" w14:textId="77777777" w:rsidR="00CA32C6" w:rsidRPr="00CA32C6" w:rsidRDefault="00CA32C6" w:rsidP="00CA32C6">
            <w:pPr>
              <w:jc w:val="right"/>
              <w:rPr>
                <w:rFonts w:ascii="Arial Narrow" w:hAnsi="Arial Narrow" w:cs="Calibri"/>
                <w:sz w:val="18"/>
                <w:szCs w:val="18"/>
                <w:lang w:val="bg-BG"/>
              </w:rPr>
            </w:pPr>
            <w:r w:rsidRPr="00CA32C6">
              <w:rPr>
                <w:rFonts w:ascii="Arial Narrow" w:hAnsi="Arial Narrow" w:cs="Calibri"/>
                <w:sz w:val="18"/>
                <w:szCs w:val="18"/>
                <w:lang w:val="bg-BG"/>
              </w:rPr>
              <w:t>29 374</w:t>
            </w:r>
          </w:p>
        </w:tc>
      </w:tr>
      <w:tr w:rsidR="00CA32C6" w:rsidRPr="00CA32C6" w14:paraId="170742BD" w14:textId="77777777" w:rsidTr="009C6577">
        <w:trPr>
          <w:trHeight w:val="287"/>
          <w:jc w:val="center"/>
        </w:trPr>
        <w:tc>
          <w:tcPr>
            <w:tcW w:w="1367" w:type="dxa"/>
            <w:tcBorders>
              <w:top w:val="nil"/>
              <w:left w:val="single" w:sz="4" w:space="0" w:color="auto"/>
              <w:bottom w:val="single" w:sz="4" w:space="0" w:color="auto"/>
              <w:right w:val="single" w:sz="4" w:space="0" w:color="auto"/>
            </w:tcBorders>
            <w:shd w:val="clear" w:color="auto" w:fill="auto"/>
            <w:vAlign w:val="center"/>
            <w:hideMark/>
          </w:tcPr>
          <w:p w14:paraId="61968DE4" w14:textId="77777777" w:rsidR="00CA32C6" w:rsidRPr="00CA32C6" w:rsidRDefault="00CA32C6" w:rsidP="00CA32C6">
            <w:pPr>
              <w:rPr>
                <w:rFonts w:ascii="Arial Narrow" w:hAnsi="Arial Narrow" w:cs="Calibri"/>
                <w:sz w:val="18"/>
                <w:szCs w:val="18"/>
                <w:lang w:val="bg-BG"/>
              </w:rPr>
            </w:pPr>
            <w:r w:rsidRPr="00CA32C6">
              <w:rPr>
                <w:rFonts w:ascii="Arial Narrow" w:hAnsi="Arial Narrow" w:cs="Calibri"/>
                <w:sz w:val="18"/>
                <w:szCs w:val="18"/>
                <w:lang w:val="bg-BG"/>
              </w:rPr>
              <w:t xml:space="preserve">Тиквички </w:t>
            </w:r>
          </w:p>
        </w:tc>
        <w:tc>
          <w:tcPr>
            <w:tcW w:w="761" w:type="dxa"/>
            <w:tcBorders>
              <w:top w:val="nil"/>
              <w:left w:val="nil"/>
              <w:bottom w:val="single" w:sz="4" w:space="0" w:color="auto"/>
              <w:right w:val="single" w:sz="4" w:space="0" w:color="auto"/>
            </w:tcBorders>
            <w:shd w:val="clear" w:color="auto" w:fill="auto"/>
            <w:noWrap/>
            <w:vAlign w:val="center"/>
            <w:hideMark/>
          </w:tcPr>
          <w:p w14:paraId="67CE4250" w14:textId="77777777" w:rsidR="00CA32C6" w:rsidRPr="00CA32C6" w:rsidRDefault="00CA32C6" w:rsidP="00CA32C6">
            <w:pPr>
              <w:jc w:val="right"/>
              <w:rPr>
                <w:rFonts w:ascii="Arial Narrow" w:hAnsi="Arial Narrow" w:cs="Calibri"/>
                <w:sz w:val="18"/>
                <w:szCs w:val="18"/>
                <w:lang w:val="bg-BG"/>
              </w:rPr>
            </w:pPr>
            <w:r w:rsidRPr="00CA32C6">
              <w:rPr>
                <w:rFonts w:ascii="Arial Narrow" w:hAnsi="Arial Narrow" w:cs="Calibri"/>
                <w:sz w:val="18"/>
                <w:szCs w:val="18"/>
                <w:lang w:val="bg-BG"/>
              </w:rPr>
              <w:t>154</w:t>
            </w:r>
          </w:p>
        </w:tc>
        <w:tc>
          <w:tcPr>
            <w:tcW w:w="761" w:type="dxa"/>
            <w:tcBorders>
              <w:top w:val="nil"/>
              <w:left w:val="nil"/>
              <w:bottom w:val="single" w:sz="4" w:space="0" w:color="auto"/>
              <w:right w:val="single" w:sz="4" w:space="0" w:color="auto"/>
            </w:tcBorders>
            <w:shd w:val="clear" w:color="auto" w:fill="auto"/>
            <w:noWrap/>
            <w:vAlign w:val="center"/>
            <w:hideMark/>
          </w:tcPr>
          <w:p w14:paraId="6ED2D2C6" w14:textId="77777777" w:rsidR="00CA32C6" w:rsidRPr="00CA32C6" w:rsidRDefault="00CA32C6" w:rsidP="00CA32C6">
            <w:pPr>
              <w:jc w:val="right"/>
              <w:rPr>
                <w:rFonts w:ascii="Arial Narrow" w:hAnsi="Arial Narrow" w:cs="Calibri"/>
                <w:sz w:val="18"/>
                <w:szCs w:val="18"/>
                <w:lang w:val="bg-BG"/>
              </w:rPr>
            </w:pPr>
            <w:r w:rsidRPr="00CA32C6">
              <w:rPr>
                <w:rFonts w:ascii="Arial Narrow" w:hAnsi="Arial Narrow" w:cs="Calibri"/>
                <w:sz w:val="18"/>
                <w:szCs w:val="18"/>
                <w:lang w:val="bg-BG"/>
              </w:rPr>
              <w:t>135</w:t>
            </w:r>
          </w:p>
        </w:tc>
        <w:tc>
          <w:tcPr>
            <w:tcW w:w="761" w:type="dxa"/>
            <w:tcBorders>
              <w:top w:val="nil"/>
              <w:left w:val="nil"/>
              <w:bottom w:val="single" w:sz="4" w:space="0" w:color="auto"/>
              <w:right w:val="single" w:sz="4" w:space="0" w:color="auto"/>
            </w:tcBorders>
            <w:shd w:val="clear" w:color="auto" w:fill="auto"/>
            <w:noWrap/>
            <w:vAlign w:val="center"/>
            <w:hideMark/>
          </w:tcPr>
          <w:p w14:paraId="28ECDC5C" w14:textId="77777777" w:rsidR="00CA32C6" w:rsidRPr="00CA32C6" w:rsidRDefault="00CA32C6" w:rsidP="00CA32C6">
            <w:pPr>
              <w:jc w:val="right"/>
              <w:rPr>
                <w:rFonts w:ascii="Arial Narrow" w:hAnsi="Arial Narrow" w:cs="Calibri"/>
                <w:sz w:val="18"/>
                <w:szCs w:val="18"/>
                <w:lang w:val="bg-BG"/>
              </w:rPr>
            </w:pPr>
            <w:r w:rsidRPr="00CA32C6">
              <w:rPr>
                <w:rFonts w:ascii="Arial Narrow" w:hAnsi="Arial Narrow" w:cs="Calibri"/>
                <w:sz w:val="18"/>
                <w:szCs w:val="18"/>
                <w:lang w:val="bg-BG"/>
              </w:rPr>
              <w:t>1</w:t>
            </w:r>
          </w:p>
        </w:tc>
        <w:tc>
          <w:tcPr>
            <w:tcW w:w="761" w:type="dxa"/>
            <w:tcBorders>
              <w:top w:val="nil"/>
              <w:left w:val="nil"/>
              <w:bottom w:val="single" w:sz="4" w:space="0" w:color="auto"/>
              <w:right w:val="single" w:sz="4" w:space="0" w:color="auto"/>
            </w:tcBorders>
            <w:shd w:val="clear" w:color="auto" w:fill="auto"/>
            <w:noWrap/>
            <w:vAlign w:val="center"/>
            <w:hideMark/>
          </w:tcPr>
          <w:p w14:paraId="21CE7497" w14:textId="77777777" w:rsidR="00CA32C6" w:rsidRPr="00CA32C6" w:rsidRDefault="00CA32C6" w:rsidP="00CA32C6">
            <w:pPr>
              <w:jc w:val="right"/>
              <w:rPr>
                <w:rFonts w:ascii="Arial Narrow" w:hAnsi="Arial Narrow" w:cs="Calibri"/>
                <w:sz w:val="18"/>
                <w:szCs w:val="18"/>
                <w:lang w:val="bg-BG"/>
              </w:rPr>
            </w:pPr>
            <w:r w:rsidRPr="00CA32C6">
              <w:rPr>
                <w:rFonts w:ascii="Arial Narrow" w:hAnsi="Arial Narrow" w:cs="Calibri"/>
                <w:sz w:val="18"/>
                <w:szCs w:val="18"/>
                <w:lang w:val="bg-BG"/>
              </w:rPr>
              <w:t>43</w:t>
            </w:r>
          </w:p>
        </w:tc>
        <w:tc>
          <w:tcPr>
            <w:tcW w:w="761" w:type="dxa"/>
            <w:tcBorders>
              <w:top w:val="nil"/>
              <w:left w:val="nil"/>
              <w:bottom w:val="single" w:sz="4" w:space="0" w:color="auto"/>
              <w:right w:val="single" w:sz="4" w:space="0" w:color="auto"/>
            </w:tcBorders>
            <w:shd w:val="clear" w:color="auto" w:fill="auto"/>
            <w:noWrap/>
            <w:vAlign w:val="center"/>
            <w:hideMark/>
          </w:tcPr>
          <w:p w14:paraId="085B7D0E" w14:textId="77777777" w:rsidR="00CA32C6" w:rsidRPr="00CA32C6" w:rsidRDefault="00CA32C6" w:rsidP="00CA32C6">
            <w:pPr>
              <w:jc w:val="right"/>
              <w:rPr>
                <w:rFonts w:ascii="Arial Narrow" w:hAnsi="Arial Narrow" w:cs="Calibri"/>
                <w:sz w:val="18"/>
                <w:szCs w:val="18"/>
                <w:lang w:val="bg-BG"/>
              </w:rPr>
            </w:pPr>
            <w:r w:rsidRPr="00CA32C6">
              <w:rPr>
                <w:rFonts w:ascii="Arial Narrow" w:hAnsi="Arial Narrow" w:cs="Calibri"/>
                <w:sz w:val="18"/>
                <w:szCs w:val="18"/>
                <w:lang w:val="bg-BG"/>
              </w:rPr>
              <w:t>3 034</w:t>
            </w:r>
          </w:p>
        </w:tc>
        <w:tc>
          <w:tcPr>
            <w:tcW w:w="761" w:type="dxa"/>
            <w:tcBorders>
              <w:top w:val="nil"/>
              <w:left w:val="nil"/>
              <w:bottom w:val="single" w:sz="4" w:space="0" w:color="auto"/>
              <w:right w:val="single" w:sz="4" w:space="0" w:color="auto"/>
            </w:tcBorders>
            <w:shd w:val="clear" w:color="auto" w:fill="auto"/>
            <w:noWrap/>
            <w:vAlign w:val="center"/>
            <w:hideMark/>
          </w:tcPr>
          <w:p w14:paraId="38D93E67" w14:textId="77777777" w:rsidR="00CA32C6" w:rsidRPr="00CA32C6" w:rsidRDefault="00CA32C6" w:rsidP="00CA32C6">
            <w:pPr>
              <w:jc w:val="right"/>
              <w:rPr>
                <w:rFonts w:ascii="Arial Narrow" w:hAnsi="Arial Narrow" w:cs="Calibri"/>
                <w:sz w:val="18"/>
                <w:szCs w:val="18"/>
                <w:lang w:val="bg-BG"/>
              </w:rPr>
            </w:pPr>
            <w:r w:rsidRPr="00CA32C6">
              <w:rPr>
                <w:rFonts w:ascii="Arial Narrow" w:hAnsi="Arial Narrow" w:cs="Calibri"/>
                <w:sz w:val="18"/>
                <w:szCs w:val="18"/>
                <w:lang w:val="bg-BG"/>
              </w:rPr>
              <w:t>2 459</w:t>
            </w:r>
          </w:p>
        </w:tc>
        <w:tc>
          <w:tcPr>
            <w:tcW w:w="761" w:type="dxa"/>
            <w:tcBorders>
              <w:top w:val="nil"/>
              <w:left w:val="nil"/>
              <w:bottom w:val="single" w:sz="4" w:space="0" w:color="auto"/>
              <w:right w:val="single" w:sz="4" w:space="0" w:color="auto"/>
            </w:tcBorders>
            <w:shd w:val="clear" w:color="auto" w:fill="auto"/>
            <w:noWrap/>
            <w:vAlign w:val="center"/>
            <w:hideMark/>
          </w:tcPr>
          <w:p w14:paraId="013BD7BA" w14:textId="77777777" w:rsidR="00CA32C6" w:rsidRPr="00CA32C6" w:rsidRDefault="00CA32C6" w:rsidP="00CA32C6">
            <w:pPr>
              <w:jc w:val="right"/>
              <w:rPr>
                <w:rFonts w:ascii="Arial Narrow" w:hAnsi="Arial Narrow" w:cs="Calibri"/>
                <w:sz w:val="18"/>
                <w:szCs w:val="18"/>
                <w:lang w:val="bg-BG"/>
              </w:rPr>
            </w:pPr>
            <w:r w:rsidRPr="00CA32C6">
              <w:rPr>
                <w:rFonts w:ascii="Arial Narrow" w:hAnsi="Arial Narrow" w:cs="Calibri"/>
                <w:sz w:val="18"/>
                <w:szCs w:val="18"/>
                <w:lang w:val="bg-BG"/>
              </w:rPr>
              <w:t>15</w:t>
            </w:r>
          </w:p>
        </w:tc>
        <w:tc>
          <w:tcPr>
            <w:tcW w:w="761" w:type="dxa"/>
            <w:tcBorders>
              <w:top w:val="nil"/>
              <w:left w:val="nil"/>
              <w:bottom w:val="single" w:sz="4" w:space="0" w:color="auto"/>
              <w:right w:val="single" w:sz="4" w:space="0" w:color="auto"/>
            </w:tcBorders>
            <w:shd w:val="clear" w:color="auto" w:fill="auto"/>
            <w:noWrap/>
            <w:vAlign w:val="center"/>
            <w:hideMark/>
          </w:tcPr>
          <w:p w14:paraId="6FCFBA08" w14:textId="77777777" w:rsidR="00CA32C6" w:rsidRPr="00CA32C6" w:rsidRDefault="00CA32C6" w:rsidP="00CA32C6">
            <w:pPr>
              <w:jc w:val="right"/>
              <w:rPr>
                <w:rFonts w:ascii="Arial Narrow" w:hAnsi="Arial Narrow" w:cs="Calibri"/>
                <w:sz w:val="18"/>
                <w:szCs w:val="18"/>
                <w:lang w:val="bg-BG"/>
              </w:rPr>
            </w:pPr>
            <w:r w:rsidRPr="00CA32C6">
              <w:rPr>
                <w:rFonts w:ascii="Arial Narrow" w:hAnsi="Arial Narrow" w:cs="Calibri"/>
                <w:sz w:val="18"/>
                <w:szCs w:val="18"/>
                <w:lang w:val="bg-BG"/>
              </w:rPr>
              <w:t>853</w:t>
            </w:r>
          </w:p>
        </w:tc>
        <w:tc>
          <w:tcPr>
            <w:tcW w:w="761" w:type="dxa"/>
            <w:tcBorders>
              <w:top w:val="nil"/>
              <w:left w:val="nil"/>
              <w:bottom w:val="single" w:sz="4" w:space="0" w:color="auto"/>
              <w:right w:val="single" w:sz="4" w:space="0" w:color="auto"/>
            </w:tcBorders>
            <w:shd w:val="clear" w:color="auto" w:fill="auto"/>
            <w:noWrap/>
            <w:vAlign w:val="center"/>
            <w:hideMark/>
          </w:tcPr>
          <w:p w14:paraId="0F20BF58" w14:textId="77777777" w:rsidR="00CA32C6" w:rsidRPr="00CA32C6" w:rsidRDefault="00CA32C6" w:rsidP="00CA32C6">
            <w:pPr>
              <w:jc w:val="right"/>
              <w:rPr>
                <w:rFonts w:ascii="Arial Narrow" w:hAnsi="Arial Narrow" w:cs="Calibri"/>
                <w:sz w:val="18"/>
                <w:szCs w:val="18"/>
                <w:lang w:val="bg-BG"/>
              </w:rPr>
            </w:pPr>
            <w:r w:rsidRPr="00CA32C6">
              <w:rPr>
                <w:rFonts w:ascii="Arial Narrow" w:hAnsi="Arial Narrow" w:cs="Calibri"/>
                <w:sz w:val="18"/>
                <w:szCs w:val="18"/>
                <w:lang w:val="bg-BG"/>
              </w:rPr>
              <w:t>3 049</w:t>
            </w:r>
          </w:p>
        </w:tc>
        <w:tc>
          <w:tcPr>
            <w:tcW w:w="761" w:type="dxa"/>
            <w:tcBorders>
              <w:top w:val="nil"/>
              <w:left w:val="nil"/>
              <w:bottom w:val="single" w:sz="4" w:space="0" w:color="auto"/>
              <w:right w:val="single" w:sz="4" w:space="0" w:color="auto"/>
            </w:tcBorders>
            <w:shd w:val="clear" w:color="auto" w:fill="auto"/>
            <w:noWrap/>
            <w:vAlign w:val="center"/>
            <w:hideMark/>
          </w:tcPr>
          <w:p w14:paraId="76594A56" w14:textId="77777777" w:rsidR="00CA32C6" w:rsidRPr="00CA32C6" w:rsidRDefault="00CA32C6" w:rsidP="00CA32C6">
            <w:pPr>
              <w:jc w:val="right"/>
              <w:rPr>
                <w:rFonts w:ascii="Arial Narrow" w:hAnsi="Arial Narrow" w:cs="Calibri"/>
                <w:sz w:val="18"/>
                <w:szCs w:val="18"/>
                <w:lang w:val="bg-BG"/>
              </w:rPr>
            </w:pPr>
            <w:r w:rsidRPr="00CA32C6">
              <w:rPr>
                <w:rFonts w:ascii="Arial Narrow" w:hAnsi="Arial Narrow" w:cs="Calibri"/>
                <w:sz w:val="18"/>
                <w:szCs w:val="18"/>
                <w:lang w:val="bg-BG"/>
              </w:rPr>
              <w:t>3 312</w:t>
            </w:r>
          </w:p>
        </w:tc>
        <w:tc>
          <w:tcPr>
            <w:tcW w:w="915" w:type="dxa"/>
            <w:tcBorders>
              <w:top w:val="nil"/>
              <w:left w:val="nil"/>
              <w:bottom w:val="single" w:sz="4" w:space="0" w:color="auto"/>
              <w:right w:val="single" w:sz="4" w:space="0" w:color="auto"/>
            </w:tcBorders>
            <w:shd w:val="clear" w:color="auto" w:fill="auto"/>
            <w:noWrap/>
            <w:vAlign w:val="center"/>
            <w:hideMark/>
          </w:tcPr>
          <w:p w14:paraId="5A85CE5C" w14:textId="77777777" w:rsidR="00CA32C6" w:rsidRPr="00CA32C6" w:rsidRDefault="00CA32C6" w:rsidP="00CA32C6">
            <w:pPr>
              <w:jc w:val="right"/>
              <w:rPr>
                <w:rFonts w:ascii="Arial Narrow" w:hAnsi="Arial Narrow" w:cs="Calibri"/>
                <w:sz w:val="18"/>
                <w:szCs w:val="18"/>
                <w:lang w:val="bg-BG"/>
              </w:rPr>
            </w:pPr>
            <w:r w:rsidRPr="00CA32C6">
              <w:rPr>
                <w:rFonts w:ascii="Arial Narrow" w:hAnsi="Arial Narrow" w:cs="Calibri"/>
                <w:sz w:val="18"/>
                <w:szCs w:val="18"/>
                <w:lang w:val="bg-BG"/>
              </w:rPr>
              <w:t>8,6%</w:t>
            </w:r>
          </w:p>
        </w:tc>
        <w:tc>
          <w:tcPr>
            <w:tcW w:w="680" w:type="dxa"/>
            <w:tcBorders>
              <w:top w:val="nil"/>
              <w:left w:val="nil"/>
              <w:bottom w:val="single" w:sz="4" w:space="0" w:color="auto"/>
              <w:right w:val="single" w:sz="4" w:space="0" w:color="auto"/>
            </w:tcBorders>
            <w:shd w:val="clear" w:color="auto" w:fill="auto"/>
            <w:noWrap/>
            <w:vAlign w:val="center"/>
            <w:hideMark/>
          </w:tcPr>
          <w:p w14:paraId="5A4A88D8" w14:textId="77777777" w:rsidR="00CA32C6" w:rsidRPr="00CA32C6" w:rsidRDefault="00CA32C6" w:rsidP="00CA32C6">
            <w:pPr>
              <w:jc w:val="right"/>
              <w:rPr>
                <w:rFonts w:ascii="Arial Narrow" w:hAnsi="Arial Narrow" w:cs="Calibri"/>
                <w:sz w:val="18"/>
                <w:szCs w:val="18"/>
                <w:lang w:val="bg-BG"/>
              </w:rPr>
            </w:pPr>
            <w:r w:rsidRPr="00CA32C6">
              <w:rPr>
                <w:rFonts w:ascii="Arial Narrow" w:hAnsi="Arial Narrow" w:cs="Calibri"/>
                <w:sz w:val="18"/>
                <w:szCs w:val="18"/>
                <w:lang w:val="bg-BG"/>
              </w:rPr>
              <w:t>19 701</w:t>
            </w:r>
          </w:p>
        </w:tc>
        <w:tc>
          <w:tcPr>
            <w:tcW w:w="680" w:type="dxa"/>
            <w:tcBorders>
              <w:top w:val="nil"/>
              <w:left w:val="nil"/>
              <w:bottom w:val="single" w:sz="4" w:space="0" w:color="auto"/>
              <w:right w:val="single" w:sz="4" w:space="0" w:color="auto"/>
            </w:tcBorders>
            <w:shd w:val="clear" w:color="auto" w:fill="auto"/>
            <w:noWrap/>
            <w:vAlign w:val="center"/>
            <w:hideMark/>
          </w:tcPr>
          <w:p w14:paraId="7870B61C" w14:textId="77777777" w:rsidR="00CA32C6" w:rsidRPr="00CA32C6" w:rsidRDefault="00CA32C6" w:rsidP="00CA32C6">
            <w:pPr>
              <w:jc w:val="right"/>
              <w:rPr>
                <w:rFonts w:ascii="Arial Narrow" w:hAnsi="Arial Narrow" w:cs="Calibri"/>
                <w:sz w:val="18"/>
                <w:szCs w:val="18"/>
                <w:lang w:val="bg-BG"/>
              </w:rPr>
            </w:pPr>
            <w:r w:rsidRPr="00CA32C6">
              <w:rPr>
                <w:rFonts w:ascii="Arial Narrow" w:hAnsi="Arial Narrow" w:cs="Calibri"/>
                <w:sz w:val="18"/>
                <w:szCs w:val="18"/>
                <w:lang w:val="bg-BG"/>
              </w:rPr>
              <w:t>18 215</w:t>
            </w:r>
          </w:p>
        </w:tc>
      </w:tr>
      <w:tr w:rsidR="00CA32C6" w:rsidRPr="00CA32C6" w14:paraId="0B21624E" w14:textId="77777777" w:rsidTr="009C6577">
        <w:trPr>
          <w:trHeight w:val="287"/>
          <w:jc w:val="center"/>
        </w:trPr>
        <w:tc>
          <w:tcPr>
            <w:tcW w:w="1367" w:type="dxa"/>
            <w:tcBorders>
              <w:top w:val="nil"/>
              <w:left w:val="single" w:sz="4" w:space="0" w:color="auto"/>
              <w:bottom w:val="single" w:sz="4" w:space="0" w:color="auto"/>
              <w:right w:val="single" w:sz="4" w:space="0" w:color="auto"/>
            </w:tcBorders>
            <w:shd w:val="clear" w:color="auto" w:fill="auto"/>
            <w:vAlign w:val="center"/>
            <w:hideMark/>
          </w:tcPr>
          <w:p w14:paraId="0C981C2A" w14:textId="77777777" w:rsidR="00CA32C6" w:rsidRPr="00CA32C6" w:rsidRDefault="00CA32C6" w:rsidP="00CA32C6">
            <w:pPr>
              <w:rPr>
                <w:rFonts w:ascii="Arial Narrow" w:hAnsi="Arial Narrow" w:cs="Calibri"/>
                <w:sz w:val="18"/>
                <w:szCs w:val="18"/>
                <w:lang w:val="bg-BG"/>
              </w:rPr>
            </w:pPr>
            <w:r w:rsidRPr="00CA32C6">
              <w:rPr>
                <w:rFonts w:ascii="Arial Narrow" w:hAnsi="Arial Narrow" w:cs="Calibri"/>
                <w:sz w:val="18"/>
                <w:szCs w:val="18"/>
                <w:lang w:val="bg-BG"/>
              </w:rPr>
              <w:t>Тикви и кратуни</w:t>
            </w:r>
          </w:p>
        </w:tc>
        <w:tc>
          <w:tcPr>
            <w:tcW w:w="761" w:type="dxa"/>
            <w:tcBorders>
              <w:top w:val="nil"/>
              <w:left w:val="nil"/>
              <w:bottom w:val="single" w:sz="4" w:space="0" w:color="auto"/>
              <w:right w:val="single" w:sz="4" w:space="0" w:color="auto"/>
            </w:tcBorders>
            <w:shd w:val="clear" w:color="auto" w:fill="auto"/>
            <w:noWrap/>
            <w:vAlign w:val="center"/>
            <w:hideMark/>
          </w:tcPr>
          <w:p w14:paraId="427D2005" w14:textId="77777777" w:rsidR="00CA32C6" w:rsidRPr="00CA32C6" w:rsidRDefault="00CA32C6" w:rsidP="00CA32C6">
            <w:pPr>
              <w:jc w:val="right"/>
              <w:rPr>
                <w:rFonts w:ascii="Arial Narrow" w:hAnsi="Arial Narrow" w:cs="Calibri"/>
                <w:sz w:val="18"/>
                <w:szCs w:val="18"/>
                <w:lang w:val="bg-BG"/>
              </w:rPr>
            </w:pPr>
            <w:r w:rsidRPr="00CA32C6">
              <w:rPr>
                <w:rFonts w:ascii="Arial Narrow" w:hAnsi="Arial Narrow" w:cs="Calibri"/>
                <w:sz w:val="18"/>
                <w:szCs w:val="18"/>
                <w:lang w:val="bg-BG"/>
              </w:rPr>
              <w:t>704</w:t>
            </w:r>
          </w:p>
        </w:tc>
        <w:tc>
          <w:tcPr>
            <w:tcW w:w="761" w:type="dxa"/>
            <w:tcBorders>
              <w:top w:val="nil"/>
              <w:left w:val="nil"/>
              <w:bottom w:val="single" w:sz="4" w:space="0" w:color="auto"/>
              <w:right w:val="single" w:sz="4" w:space="0" w:color="auto"/>
            </w:tcBorders>
            <w:shd w:val="clear" w:color="auto" w:fill="auto"/>
            <w:noWrap/>
            <w:vAlign w:val="center"/>
            <w:hideMark/>
          </w:tcPr>
          <w:p w14:paraId="55423276" w14:textId="77777777" w:rsidR="00CA32C6" w:rsidRPr="00CA32C6" w:rsidRDefault="00CA32C6" w:rsidP="00CA32C6">
            <w:pPr>
              <w:jc w:val="right"/>
              <w:rPr>
                <w:rFonts w:ascii="Arial Narrow" w:hAnsi="Arial Narrow" w:cs="Calibri"/>
                <w:sz w:val="18"/>
                <w:szCs w:val="18"/>
                <w:lang w:val="bg-BG"/>
              </w:rPr>
            </w:pPr>
            <w:r w:rsidRPr="00CA32C6">
              <w:rPr>
                <w:rFonts w:ascii="Arial Narrow" w:hAnsi="Arial Narrow" w:cs="Calibri"/>
                <w:sz w:val="18"/>
                <w:szCs w:val="18"/>
                <w:lang w:val="bg-BG"/>
              </w:rPr>
              <w:t>1 303</w:t>
            </w:r>
          </w:p>
        </w:tc>
        <w:tc>
          <w:tcPr>
            <w:tcW w:w="761" w:type="dxa"/>
            <w:tcBorders>
              <w:top w:val="nil"/>
              <w:left w:val="nil"/>
              <w:bottom w:val="single" w:sz="4" w:space="0" w:color="auto"/>
              <w:right w:val="single" w:sz="4" w:space="0" w:color="auto"/>
            </w:tcBorders>
            <w:shd w:val="clear" w:color="auto" w:fill="auto"/>
            <w:noWrap/>
            <w:vAlign w:val="center"/>
            <w:hideMark/>
          </w:tcPr>
          <w:p w14:paraId="6796C01E" w14:textId="77777777" w:rsidR="00CA32C6" w:rsidRPr="00CA32C6" w:rsidRDefault="00CA32C6" w:rsidP="00CA32C6">
            <w:pPr>
              <w:jc w:val="right"/>
              <w:rPr>
                <w:rFonts w:ascii="Arial Narrow" w:hAnsi="Arial Narrow" w:cs="Calibri"/>
                <w:sz w:val="18"/>
                <w:szCs w:val="18"/>
                <w:lang w:val="bg-BG"/>
              </w:rPr>
            </w:pPr>
            <w:r w:rsidRPr="00CA32C6">
              <w:rPr>
                <w:rFonts w:ascii="Arial Narrow" w:hAnsi="Arial Narrow" w:cs="Calibri"/>
                <w:sz w:val="18"/>
                <w:szCs w:val="18"/>
                <w:lang w:val="bg-BG"/>
              </w:rPr>
              <w:t>-</w:t>
            </w:r>
          </w:p>
        </w:tc>
        <w:tc>
          <w:tcPr>
            <w:tcW w:w="761" w:type="dxa"/>
            <w:tcBorders>
              <w:top w:val="nil"/>
              <w:left w:val="nil"/>
              <w:bottom w:val="single" w:sz="4" w:space="0" w:color="auto"/>
              <w:right w:val="single" w:sz="4" w:space="0" w:color="auto"/>
            </w:tcBorders>
            <w:shd w:val="clear" w:color="auto" w:fill="auto"/>
            <w:noWrap/>
            <w:vAlign w:val="center"/>
            <w:hideMark/>
          </w:tcPr>
          <w:p w14:paraId="1D552447" w14:textId="77777777" w:rsidR="00CA32C6" w:rsidRPr="00CA32C6" w:rsidRDefault="00CA32C6" w:rsidP="00CA32C6">
            <w:pPr>
              <w:jc w:val="right"/>
              <w:rPr>
                <w:rFonts w:ascii="Arial Narrow" w:hAnsi="Arial Narrow" w:cs="Calibri"/>
                <w:sz w:val="18"/>
                <w:szCs w:val="18"/>
                <w:lang w:val="bg-BG"/>
              </w:rPr>
            </w:pPr>
            <w:r w:rsidRPr="00CA32C6">
              <w:rPr>
                <w:rFonts w:ascii="Arial Narrow" w:hAnsi="Arial Narrow" w:cs="Calibri"/>
                <w:sz w:val="18"/>
                <w:szCs w:val="18"/>
                <w:lang w:val="bg-BG"/>
              </w:rPr>
              <w:t>-</w:t>
            </w:r>
          </w:p>
        </w:tc>
        <w:tc>
          <w:tcPr>
            <w:tcW w:w="761" w:type="dxa"/>
            <w:tcBorders>
              <w:top w:val="nil"/>
              <w:left w:val="nil"/>
              <w:bottom w:val="single" w:sz="4" w:space="0" w:color="auto"/>
              <w:right w:val="single" w:sz="4" w:space="0" w:color="auto"/>
            </w:tcBorders>
            <w:shd w:val="clear" w:color="auto" w:fill="auto"/>
            <w:noWrap/>
            <w:vAlign w:val="center"/>
            <w:hideMark/>
          </w:tcPr>
          <w:p w14:paraId="665D886A" w14:textId="77777777" w:rsidR="00CA32C6" w:rsidRPr="00CA32C6" w:rsidRDefault="00CA32C6" w:rsidP="00CA32C6">
            <w:pPr>
              <w:jc w:val="right"/>
              <w:rPr>
                <w:rFonts w:ascii="Arial Narrow" w:hAnsi="Arial Narrow" w:cs="Calibri"/>
                <w:sz w:val="18"/>
                <w:szCs w:val="18"/>
                <w:lang w:val="bg-BG"/>
              </w:rPr>
            </w:pPr>
            <w:r w:rsidRPr="00CA32C6">
              <w:rPr>
                <w:rFonts w:ascii="Arial Narrow" w:hAnsi="Arial Narrow" w:cs="Calibri"/>
                <w:sz w:val="18"/>
                <w:szCs w:val="18"/>
                <w:lang w:val="bg-BG"/>
              </w:rPr>
              <w:t>9 343</w:t>
            </w:r>
          </w:p>
        </w:tc>
        <w:tc>
          <w:tcPr>
            <w:tcW w:w="761" w:type="dxa"/>
            <w:tcBorders>
              <w:top w:val="nil"/>
              <w:left w:val="nil"/>
              <w:bottom w:val="single" w:sz="4" w:space="0" w:color="auto"/>
              <w:right w:val="single" w:sz="4" w:space="0" w:color="auto"/>
            </w:tcBorders>
            <w:shd w:val="clear" w:color="auto" w:fill="auto"/>
            <w:noWrap/>
            <w:vAlign w:val="center"/>
            <w:hideMark/>
          </w:tcPr>
          <w:p w14:paraId="2D47356F" w14:textId="77777777" w:rsidR="00CA32C6" w:rsidRPr="00CA32C6" w:rsidRDefault="00CA32C6" w:rsidP="00CA32C6">
            <w:pPr>
              <w:jc w:val="right"/>
              <w:rPr>
                <w:rFonts w:ascii="Arial Narrow" w:hAnsi="Arial Narrow" w:cs="Calibri"/>
                <w:sz w:val="18"/>
                <w:szCs w:val="18"/>
                <w:lang w:val="bg-BG"/>
              </w:rPr>
            </w:pPr>
            <w:r w:rsidRPr="00CA32C6">
              <w:rPr>
                <w:rFonts w:ascii="Arial Narrow" w:hAnsi="Arial Narrow" w:cs="Calibri"/>
                <w:sz w:val="18"/>
                <w:szCs w:val="18"/>
                <w:lang w:val="bg-BG"/>
              </w:rPr>
              <w:t>12 191</w:t>
            </w:r>
          </w:p>
        </w:tc>
        <w:tc>
          <w:tcPr>
            <w:tcW w:w="761" w:type="dxa"/>
            <w:tcBorders>
              <w:top w:val="nil"/>
              <w:left w:val="nil"/>
              <w:bottom w:val="single" w:sz="4" w:space="0" w:color="auto"/>
              <w:right w:val="single" w:sz="4" w:space="0" w:color="auto"/>
            </w:tcBorders>
            <w:shd w:val="clear" w:color="auto" w:fill="auto"/>
            <w:noWrap/>
            <w:vAlign w:val="center"/>
            <w:hideMark/>
          </w:tcPr>
          <w:p w14:paraId="1FD99E85" w14:textId="77777777" w:rsidR="00CA32C6" w:rsidRPr="00CA32C6" w:rsidRDefault="00CA32C6" w:rsidP="00CA32C6">
            <w:pPr>
              <w:jc w:val="right"/>
              <w:rPr>
                <w:rFonts w:ascii="Arial Narrow" w:hAnsi="Arial Narrow" w:cs="Calibri"/>
                <w:sz w:val="18"/>
                <w:szCs w:val="18"/>
                <w:lang w:val="bg-BG"/>
              </w:rPr>
            </w:pPr>
            <w:r w:rsidRPr="00CA32C6">
              <w:rPr>
                <w:rFonts w:ascii="Arial Narrow" w:hAnsi="Arial Narrow" w:cs="Calibri"/>
                <w:sz w:val="18"/>
                <w:szCs w:val="18"/>
                <w:lang w:val="bg-BG"/>
              </w:rPr>
              <w:t>-</w:t>
            </w:r>
          </w:p>
        </w:tc>
        <w:tc>
          <w:tcPr>
            <w:tcW w:w="761" w:type="dxa"/>
            <w:tcBorders>
              <w:top w:val="nil"/>
              <w:left w:val="nil"/>
              <w:bottom w:val="single" w:sz="4" w:space="0" w:color="auto"/>
              <w:right w:val="single" w:sz="4" w:space="0" w:color="auto"/>
            </w:tcBorders>
            <w:shd w:val="clear" w:color="auto" w:fill="auto"/>
            <w:noWrap/>
            <w:vAlign w:val="center"/>
            <w:hideMark/>
          </w:tcPr>
          <w:p w14:paraId="7AA31AD2" w14:textId="77777777" w:rsidR="00CA32C6" w:rsidRPr="00CA32C6" w:rsidRDefault="00CA32C6" w:rsidP="00CA32C6">
            <w:pPr>
              <w:jc w:val="right"/>
              <w:rPr>
                <w:rFonts w:ascii="Arial Narrow" w:hAnsi="Arial Narrow" w:cs="Calibri"/>
                <w:sz w:val="18"/>
                <w:szCs w:val="18"/>
                <w:lang w:val="bg-BG"/>
              </w:rPr>
            </w:pPr>
            <w:r w:rsidRPr="00CA32C6">
              <w:rPr>
                <w:rFonts w:ascii="Arial Narrow" w:hAnsi="Arial Narrow" w:cs="Calibri"/>
                <w:sz w:val="18"/>
                <w:szCs w:val="18"/>
                <w:lang w:val="bg-BG"/>
              </w:rPr>
              <w:t>-</w:t>
            </w:r>
          </w:p>
        </w:tc>
        <w:tc>
          <w:tcPr>
            <w:tcW w:w="761" w:type="dxa"/>
            <w:tcBorders>
              <w:top w:val="nil"/>
              <w:left w:val="nil"/>
              <w:bottom w:val="single" w:sz="4" w:space="0" w:color="auto"/>
              <w:right w:val="single" w:sz="4" w:space="0" w:color="auto"/>
            </w:tcBorders>
            <w:shd w:val="clear" w:color="auto" w:fill="auto"/>
            <w:noWrap/>
            <w:vAlign w:val="center"/>
            <w:hideMark/>
          </w:tcPr>
          <w:p w14:paraId="5E48E791" w14:textId="77777777" w:rsidR="00CA32C6" w:rsidRPr="00CA32C6" w:rsidRDefault="00CA32C6" w:rsidP="00CA32C6">
            <w:pPr>
              <w:jc w:val="right"/>
              <w:rPr>
                <w:rFonts w:ascii="Arial Narrow" w:hAnsi="Arial Narrow" w:cs="Calibri"/>
                <w:sz w:val="18"/>
                <w:szCs w:val="18"/>
                <w:lang w:val="bg-BG"/>
              </w:rPr>
            </w:pPr>
            <w:r w:rsidRPr="00CA32C6">
              <w:rPr>
                <w:rFonts w:ascii="Arial Narrow" w:hAnsi="Arial Narrow" w:cs="Calibri"/>
                <w:sz w:val="18"/>
                <w:szCs w:val="18"/>
                <w:lang w:val="bg-BG"/>
              </w:rPr>
              <w:t>9 343</w:t>
            </w:r>
          </w:p>
        </w:tc>
        <w:tc>
          <w:tcPr>
            <w:tcW w:w="761" w:type="dxa"/>
            <w:tcBorders>
              <w:top w:val="nil"/>
              <w:left w:val="nil"/>
              <w:bottom w:val="single" w:sz="4" w:space="0" w:color="auto"/>
              <w:right w:val="single" w:sz="4" w:space="0" w:color="auto"/>
            </w:tcBorders>
            <w:shd w:val="clear" w:color="auto" w:fill="auto"/>
            <w:noWrap/>
            <w:vAlign w:val="center"/>
            <w:hideMark/>
          </w:tcPr>
          <w:p w14:paraId="2DE89A7E" w14:textId="77777777" w:rsidR="00CA32C6" w:rsidRPr="00CA32C6" w:rsidRDefault="00CA32C6" w:rsidP="00CA32C6">
            <w:pPr>
              <w:jc w:val="right"/>
              <w:rPr>
                <w:rFonts w:ascii="Arial Narrow" w:hAnsi="Arial Narrow" w:cs="Calibri"/>
                <w:sz w:val="18"/>
                <w:szCs w:val="18"/>
                <w:lang w:val="bg-BG"/>
              </w:rPr>
            </w:pPr>
            <w:r w:rsidRPr="00CA32C6">
              <w:rPr>
                <w:rFonts w:ascii="Arial Narrow" w:hAnsi="Arial Narrow" w:cs="Calibri"/>
                <w:sz w:val="18"/>
                <w:szCs w:val="18"/>
                <w:lang w:val="bg-BG"/>
              </w:rPr>
              <w:t>12 191</w:t>
            </w:r>
          </w:p>
        </w:tc>
        <w:tc>
          <w:tcPr>
            <w:tcW w:w="915" w:type="dxa"/>
            <w:tcBorders>
              <w:top w:val="nil"/>
              <w:left w:val="nil"/>
              <w:bottom w:val="single" w:sz="4" w:space="0" w:color="auto"/>
              <w:right w:val="single" w:sz="4" w:space="0" w:color="auto"/>
            </w:tcBorders>
            <w:shd w:val="clear" w:color="auto" w:fill="auto"/>
            <w:noWrap/>
            <w:vAlign w:val="center"/>
            <w:hideMark/>
          </w:tcPr>
          <w:p w14:paraId="4F7B8E11" w14:textId="77777777" w:rsidR="00CA32C6" w:rsidRPr="00CA32C6" w:rsidRDefault="00CA32C6" w:rsidP="00CA32C6">
            <w:pPr>
              <w:jc w:val="right"/>
              <w:rPr>
                <w:rFonts w:ascii="Arial Narrow" w:hAnsi="Arial Narrow" w:cs="Calibri"/>
                <w:sz w:val="18"/>
                <w:szCs w:val="18"/>
                <w:lang w:val="bg-BG"/>
              </w:rPr>
            </w:pPr>
            <w:r w:rsidRPr="00CA32C6">
              <w:rPr>
                <w:rFonts w:ascii="Arial Narrow" w:hAnsi="Arial Narrow" w:cs="Calibri"/>
                <w:sz w:val="18"/>
                <w:szCs w:val="18"/>
                <w:lang w:val="bg-BG"/>
              </w:rPr>
              <w:t>30,5%</w:t>
            </w:r>
          </w:p>
        </w:tc>
        <w:tc>
          <w:tcPr>
            <w:tcW w:w="680" w:type="dxa"/>
            <w:tcBorders>
              <w:top w:val="nil"/>
              <w:left w:val="nil"/>
              <w:bottom w:val="single" w:sz="4" w:space="0" w:color="auto"/>
              <w:right w:val="single" w:sz="4" w:space="0" w:color="auto"/>
            </w:tcBorders>
            <w:shd w:val="clear" w:color="auto" w:fill="auto"/>
            <w:noWrap/>
            <w:vAlign w:val="center"/>
            <w:hideMark/>
          </w:tcPr>
          <w:p w14:paraId="52060827" w14:textId="77777777" w:rsidR="00CA32C6" w:rsidRPr="00CA32C6" w:rsidRDefault="00CA32C6" w:rsidP="00CA32C6">
            <w:pPr>
              <w:jc w:val="right"/>
              <w:rPr>
                <w:rFonts w:ascii="Arial Narrow" w:hAnsi="Arial Narrow" w:cs="Calibri"/>
                <w:sz w:val="18"/>
                <w:szCs w:val="18"/>
                <w:lang w:val="bg-BG"/>
              </w:rPr>
            </w:pPr>
            <w:r w:rsidRPr="00CA32C6">
              <w:rPr>
                <w:rFonts w:ascii="Arial Narrow" w:hAnsi="Arial Narrow" w:cs="Calibri"/>
                <w:sz w:val="18"/>
                <w:szCs w:val="18"/>
                <w:lang w:val="bg-BG"/>
              </w:rPr>
              <w:t>13 271</w:t>
            </w:r>
          </w:p>
        </w:tc>
        <w:tc>
          <w:tcPr>
            <w:tcW w:w="680" w:type="dxa"/>
            <w:tcBorders>
              <w:top w:val="nil"/>
              <w:left w:val="nil"/>
              <w:bottom w:val="single" w:sz="4" w:space="0" w:color="auto"/>
              <w:right w:val="single" w:sz="4" w:space="0" w:color="auto"/>
            </w:tcBorders>
            <w:shd w:val="clear" w:color="auto" w:fill="auto"/>
            <w:noWrap/>
            <w:vAlign w:val="center"/>
            <w:hideMark/>
          </w:tcPr>
          <w:p w14:paraId="4C73A22C" w14:textId="77777777" w:rsidR="00CA32C6" w:rsidRPr="00CA32C6" w:rsidRDefault="00CA32C6" w:rsidP="00CA32C6">
            <w:pPr>
              <w:jc w:val="right"/>
              <w:rPr>
                <w:rFonts w:ascii="Arial Narrow" w:hAnsi="Arial Narrow" w:cs="Calibri"/>
                <w:sz w:val="18"/>
                <w:szCs w:val="18"/>
                <w:lang w:val="bg-BG"/>
              </w:rPr>
            </w:pPr>
            <w:r w:rsidRPr="00CA32C6">
              <w:rPr>
                <w:rFonts w:ascii="Arial Narrow" w:hAnsi="Arial Narrow" w:cs="Calibri"/>
                <w:sz w:val="18"/>
                <w:szCs w:val="18"/>
                <w:lang w:val="bg-BG"/>
              </w:rPr>
              <w:t>9 356</w:t>
            </w:r>
          </w:p>
        </w:tc>
      </w:tr>
      <w:tr w:rsidR="00CA32C6" w:rsidRPr="00CA32C6" w14:paraId="1BFB9AF5" w14:textId="77777777" w:rsidTr="009C6577">
        <w:trPr>
          <w:trHeight w:val="287"/>
          <w:jc w:val="center"/>
        </w:trPr>
        <w:tc>
          <w:tcPr>
            <w:tcW w:w="1367" w:type="dxa"/>
            <w:tcBorders>
              <w:top w:val="nil"/>
              <w:left w:val="single" w:sz="4" w:space="0" w:color="auto"/>
              <w:bottom w:val="single" w:sz="4" w:space="0" w:color="auto"/>
              <w:right w:val="single" w:sz="4" w:space="0" w:color="auto"/>
            </w:tcBorders>
            <w:shd w:val="clear" w:color="auto" w:fill="auto"/>
            <w:vAlign w:val="center"/>
            <w:hideMark/>
          </w:tcPr>
          <w:p w14:paraId="1AC50887" w14:textId="77777777" w:rsidR="00CA32C6" w:rsidRPr="00CA32C6" w:rsidRDefault="00CA32C6" w:rsidP="00CA32C6">
            <w:pPr>
              <w:rPr>
                <w:rFonts w:ascii="Arial Narrow" w:hAnsi="Arial Narrow" w:cs="Calibri"/>
                <w:sz w:val="18"/>
                <w:szCs w:val="18"/>
                <w:lang w:val="bg-BG"/>
              </w:rPr>
            </w:pPr>
            <w:r w:rsidRPr="00CA32C6">
              <w:rPr>
                <w:rFonts w:ascii="Arial Narrow" w:hAnsi="Arial Narrow" w:cs="Calibri"/>
                <w:sz w:val="18"/>
                <w:szCs w:val="18"/>
                <w:lang w:val="bg-BG"/>
              </w:rPr>
              <w:t>Пъпеши</w:t>
            </w:r>
          </w:p>
        </w:tc>
        <w:tc>
          <w:tcPr>
            <w:tcW w:w="761" w:type="dxa"/>
            <w:tcBorders>
              <w:top w:val="nil"/>
              <w:left w:val="nil"/>
              <w:bottom w:val="single" w:sz="4" w:space="0" w:color="auto"/>
              <w:right w:val="single" w:sz="4" w:space="0" w:color="auto"/>
            </w:tcBorders>
            <w:shd w:val="clear" w:color="auto" w:fill="auto"/>
            <w:noWrap/>
            <w:vAlign w:val="center"/>
            <w:hideMark/>
          </w:tcPr>
          <w:p w14:paraId="13E4F3BE" w14:textId="77777777" w:rsidR="00CA32C6" w:rsidRPr="00CA32C6" w:rsidRDefault="00CA32C6" w:rsidP="00CA32C6">
            <w:pPr>
              <w:jc w:val="right"/>
              <w:rPr>
                <w:rFonts w:ascii="Arial Narrow" w:hAnsi="Arial Narrow" w:cs="Calibri"/>
                <w:sz w:val="18"/>
                <w:szCs w:val="18"/>
                <w:lang w:val="bg-BG"/>
              </w:rPr>
            </w:pPr>
            <w:r w:rsidRPr="00CA32C6">
              <w:rPr>
                <w:rFonts w:ascii="Arial Narrow" w:hAnsi="Arial Narrow" w:cs="Calibri"/>
                <w:sz w:val="18"/>
                <w:szCs w:val="18"/>
                <w:lang w:val="bg-BG"/>
              </w:rPr>
              <w:t>2 794</w:t>
            </w:r>
          </w:p>
        </w:tc>
        <w:tc>
          <w:tcPr>
            <w:tcW w:w="761" w:type="dxa"/>
            <w:tcBorders>
              <w:top w:val="nil"/>
              <w:left w:val="nil"/>
              <w:bottom w:val="single" w:sz="4" w:space="0" w:color="auto"/>
              <w:right w:val="single" w:sz="4" w:space="0" w:color="auto"/>
            </w:tcBorders>
            <w:shd w:val="clear" w:color="auto" w:fill="auto"/>
            <w:noWrap/>
            <w:vAlign w:val="center"/>
            <w:hideMark/>
          </w:tcPr>
          <w:p w14:paraId="51678B8D" w14:textId="77777777" w:rsidR="00CA32C6" w:rsidRPr="00CA32C6" w:rsidRDefault="00CA32C6" w:rsidP="00CA32C6">
            <w:pPr>
              <w:jc w:val="right"/>
              <w:rPr>
                <w:rFonts w:ascii="Arial Narrow" w:hAnsi="Arial Narrow" w:cs="Calibri"/>
                <w:sz w:val="18"/>
                <w:szCs w:val="18"/>
                <w:lang w:val="bg-BG"/>
              </w:rPr>
            </w:pPr>
            <w:r w:rsidRPr="00CA32C6">
              <w:rPr>
                <w:rFonts w:ascii="Arial Narrow" w:hAnsi="Arial Narrow" w:cs="Calibri"/>
                <w:sz w:val="18"/>
                <w:szCs w:val="18"/>
                <w:lang w:val="bg-BG"/>
              </w:rPr>
              <w:t>4 095</w:t>
            </w:r>
          </w:p>
        </w:tc>
        <w:tc>
          <w:tcPr>
            <w:tcW w:w="761" w:type="dxa"/>
            <w:tcBorders>
              <w:top w:val="nil"/>
              <w:left w:val="nil"/>
              <w:bottom w:val="single" w:sz="4" w:space="0" w:color="auto"/>
              <w:right w:val="single" w:sz="4" w:space="0" w:color="auto"/>
            </w:tcBorders>
            <w:shd w:val="clear" w:color="auto" w:fill="auto"/>
            <w:noWrap/>
            <w:vAlign w:val="center"/>
            <w:hideMark/>
          </w:tcPr>
          <w:p w14:paraId="0C617DA9" w14:textId="77777777" w:rsidR="00CA32C6" w:rsidRPr="00CA32C6" w:rsidRDefault="00CA32C6" w:rsidP="00CA32C6">
            <w:pPr>
              <w:jc w:val="right"/>
              <w:rPr>
                <w:rFonts w:ascii="Arial Narrow" w:hAnsi="Arial Narrow" w:cs="Calibri"/>
                <w:sz w:val="18"/>
                <w:szCs w:val="18"/>
                <w:lang w:val="bg-BG"/>
              </w:rPr>
            </w:pPr>
            <w:r w:rsidRPr="00CA32C6">
              <w:rPr>
                <w:rFonts w:ascii="Arial Narrow" w:hAnsi="Arial Narrow" w:cs="Calibri"/>
                <w:sz w:val="18"/>
                <w:szCs w:val="18"/>
                <w:lang w:val="bg-BG"/>
              </w:rPr>
              <w:t>с</w:t>
            </w:r>
          </w:p>
        </w:tc>
        <w:tc>
          <w:tcPr>
            <w:tcW w:w="761" w:type="dxa"/>
            <w:tcBorders>
              <w:top w:val="nil"/>
              <w:left w:val="nil"/>
              <w:bottom w:val="single" w:sz="4" w:space="0" w:color="auto"/>
              <w:right w:val="single" w:sz="4" w:space="0" w:color="auto"/>
            </w:tcBorders>
            <w:shd w:val="clear" w:color="auto" w:fill="auto"/>
            <w:noWrap/>
            <w:vAlign w:val="center"/>
            <w:hideMark/>
          </w:tcPr>
          <w:p w14:paraId="131E8348" w14:textId="77777777" w:rsidR="00CA32C6" w:rsidRPr="00CA32C6" w:rsidRDefault="00CA32C6" w:rsidP="00CA32C6">
            <w:pPr>
              <w:jc w:val="right"/>
              <w:rPr>
                <w:rFonts w:ascii="Arial Narrow" w:hAnsi="Arial Narrow" w:cs="Calibri"/>
                <w:sz w:val="18"/>
                <w:szCs w:val="18"/>
                <w:lang w:val="bg-BG"/>
              </w:rPr>
            </w:pPr>
            <w:r w:rsidRPr="00CA32C6">
              <w:rPr>
                <w:rFonts w:ascii="Arial Narrow" w:hAnsi="Arial Narrow" w:cs="Calibri"/>
                <w:sz w:val="18"/>
                <w:szCs w:val="18"/>
                <w:lang w:val="bg-BG"/>
              </w:rPr>
              <w:t>с</w:t>
            </w:r>
          </w:p>
        </w:tc>
        <w:tc>
          <w:tcPr>
            <w:tcW w:w="761" w:type="dxa"/>
            <w:tcBorders>
              <w:top w:val="nil"/>
              <w:left w:val="nil"/>
              <w:bottom w:val="single" w:sz="4" w:space="0" w:color="auto"/>
              <w:right w:val="single" w:sz="4" w:space="0" w:color="auto"/>
            </w:tcBorders>
            <w:shd w:val="clear" w:color="auto" w:fill="auto"/>
            <w:noWrap/>
            <w:vAlign w:val="center"/>
            <w:hideMark/>
          </w:tcPr>
          <w:p w14:paraId="149F0E31" w14:textId="77777777" w:rsidR="00CA32C6" w:rsidRPr="00CA32C6" w:rsidRDefault="00CA32C6" w:rsidP="00CA32C6">
            <w:pPr>
              <w:jc w:val="right"/>
              <w:rPr>
                <w:rFonts w:ascii="Arial Narrow" w:hAnsi="Arial Narrow" w:cs="Calibri"/>
                <w:sz w:val="18"/>
                <w:szCs w:val="18"/>
                <w:lang w:val="bg-BG"/>
              </w:rPr>
            </w:pPr>
            <w:r w:rsidRPr="00CA32C6">
              <w:rPr>
                <w:rFonts w:ascii="Arial Narrow" w:hAnsi="Arial Narrow" w:cs="Calibri"/>
                <w:sz w:val="18"/>
                <w:szCs w:val="18"/>
                <w:lang w:val="bg-BG"/>
              </w:rPr>
              <w:t>29 487</w:t>
            </w:r>
          </w:p>
        </w:tc>
        <w:tc>
          <w:tcPr>
            <w:tcW w:w="761" w:type="dxa"/>
            <w:tcBorders>
              <w:top w:val="nil"/>
              <w:left w:val="nil"/>
              <w:bottom w:val="single" w:sz="4" w:space="0" w:color="auto"/>
              <w:right w:val="single" w:sz="4" w:space="0" w:color="auto"/>
            </w:tcBorders>
            <w:shd w:val="clear" w:color="auto" w:fill="auto"/>
            <w:noWrap/>
            <w:vAlign w:val="center"/>
            <w:hideMark/>
          </w:tcPr>
          <w:p w14:paraId="34F027A5" w14:textId="77777777" w:rsidR="00CA32C6" w:rsidRPr="00CA32C6" w:rsidRDefault="00CA32C6" w:rsidP="00CA32C6">
            <w:pPr>
              <w:jc w:val="right"/>
              <w:rPr>
                <w:rFonts w:ascii="Arial Narrow" w:hAnsi="Arial Narrow" w:cs="Calibri"/>
                <w:sz w:val="18"/>
                <w:szCs w:val="18"/>
                <w:lang w:val="bg-BG"/>
              </w:rPr>
            </w:pPr>
            <w:r w:rsidRPr="00CA32C6">
              <w:rPr>
                <w:rFonts w:ascii="Arial Narrow" w:hAnsi="Arial Narrow" w:cs="Calibri"/>
                <w:sz w:val="18"/>
                <w:szCs w:val="18"/>
                <w:lang w:val="bg-BG"/>
              </w:rPr>
              <w:t>37 575</w:t>
            </w:r>
          </w:p>
        </w:tc>
        <w:tc>
          <w:tcPr>
            <w:tcW w:w="761" w:type="dxa"/>
            <w:tcBorders>
              <w:top w:val="nil"/>
              <w:left w:val="nil"/>
              <w:bottom w:val="single" w:sz="4" w:space="0" w:color="auto"/>
              <w:right w:val="single" w:sz="4" w:space="0" w:color="auto"/>
            </w:tcBorders>
            <w:shd w:val="clear" w:color="auto" w:fill="auto"/>
            <w:noWrap/>
            <w:vAlign w:val="center"/>
            <w:hideMark/>
          </w:tcPr>
          <w:p w14:paraId="7C2DC778" w14:textId="77777777" w:rsidR="00CA32C6" w:rsidRPr="00CA32C6" w:rsidRDefault="00CA32C6" w:rsidP="00CA32C6">
            <w:pPr>
              <w:jc w:val="right"/>
              <w:rPr>
                <w:rFonts w:ascii="Arial Narrow" w:hAnsi="Arial Narrow" w:cs="Calibri"/>
                <w:sz w:val="18"/>
                <w:szCs w:val="18"/>
                <w:lang w:val="bg-BG"/>
              </w:rPr>
            </w:pPr>
            <w:r w:rsidRPr="00CA32C6">
              <w:rPr>
                <w:rFonts w:ascii="Arial Narrow" w:hAnsi="Arial Narrow" w:cs="Calibri"/>
                <w:sz w:val="18"/>
                <w:szCs w:val="18"/>
                <w:lang w:val="bg-BG"/>
              </w:rPr>
              <w:t>c</w:t>
            </w:r>
          </w:p>
        </w:tc>
        <w:tc>
          <w:tcPr>
            <w:tcW w:w="761" w:type="dxa"/>
            <w:tcBorders>
              <w:top w:val="nil"/>
              <w:left w:val="nil"/>
              <w:bottom w:val="single" w:sz="4" w:space="0" w:color="auto"/>
              <w:right w:val="single" w:sz="4" w:space="0" w:color="auto"/>
            </w:tcBorders>
            <w:shd w:val="clear" w:color="auto" w:fill="auto"/>
            <w:noWrap/>
            <w:vAlign w:val="center"/>
            <w:hideMark/>
          </w:tcPr>
          <w:p w14:paraId="034A4155" w14:textId="77777777" w:rsidR="00CA32C6" w:rsidRPr="00CA32C6" w:rsidRDefault="00CA32C6" w:rsidP="00CA32C6">
            <w:pPr>
              <w:jc w:val="right"/>
              <w:rPr>
                <w:rFonts w:ascii="Arial Narrow" w:hAnsi="Arial Narrow" w:cs="Calibri"/>
                <w:sz w:val="18"/>
                <w:szCs w:val="18"/>
                <w:lang w:val="bg-BG"/>
              </w:rPr>
            </w:pPr>
            <w:r w:rsidRPr="00CA32C6">
              <w:rPr>
                <w:rFonts w:ascii="Arial Narrow" w:hAnsi="Arial Narrow" w:cs="Calibri"/>
                <w:sz w:val="18"/>
                <w:szCs w:val="18"/>
                <w:lang w:val="bg-BG"/>
              </w:rPr>
              <w:t>с</w:t>
            </w:r>
          </w:p>
        </w:tc>
        <w:tc>
          <w:tcPr>
            <w:tcW w:w="761" w:type="dxa"/>
            <w:tcBorders>
              <w:top w:val="nil"/>
              <w:left w:val="nil"/>
              <w:bottom w:val="single" w:sz="4" w:space="0" w:color="auto"/>
              <w:right w:val="single" w:sz="4" w:space="0" w:color="auto"/>
            </w:tcBorders>
            <w:shd w:val="clear" w:color="auto" w:fill="auto"/>
            <w:noWrap/>
            <w:vAlign w:val="center"/>
            <w:hideMark/>
          </w:tcPr>
          <w:p w14:paraId="52B8FB5F" w14:textId="77777777" w:rsidR="00CA32C6" w:rsidRPr="00CA32C6" w:rsidRDefault="00CA32C6" w:rsidP="00CA32C6">
            <w:pPr>
              <w:jc w:val="right"/>
              <w:rPr>
                <w:rFonts w:ascii="Arial Narrow" w:hAnsi="Arial Narrow" w:cs="Calibri"/>
                <w:sz w:val="18"/>
                <w:szCs w:val="18"/>
                <w:lang w:val="bg-BG"/>
              </w:rPr>
            </w:pPr>
            <w:r w:rsidRPr="00CA32C6">
              <w:rPr>
                <w:rFonts w:ascii="Arial Narrow" w:hAnsi="Arial Narrow" w:cs="Calibri"/>
                <w:sz w:val="18"/>
                <w:szCs w:val="18"/>
                <w:lang w:val="bg-BG"/>
              </w:rPr>
              <w:t>c</w:t>
            </w:r>
          </w:p>
        </w:tc>
        <w:tc>
          <w:tcPr>
            <w:tcW w:w="761" w:type="dxa"/>
            <w:tcBorders>
              <w:top w:val="nil"/>
              <w:left w:val="nil"/>
              <w:bottom w:val="single" w:sz="4" w:space="0" w:color="auto"/>
              <w:right w:val="single" w:sz="4" w:space="0" w:color="auto"/>
            </w:tcBorders>
            <w:shd w:val="clear" w:color="auto" w:fill="auto"/>
            <w:noWrap/>
            <w:vAlign w:val="center"/>
            <w:hideMark/>
          </w:tcPr>
          <w:p w14:paraId="1D904CC6" w14:textId="77777777" w:rsidR="00CA32C6" w:rsidRPr="00CA32C6" w:rsidRDefault="00CA32C6" w:rsidP="00CA32C6">
            <w:pPr>
              <w:jc w:val="right"/>
              <w:rPr>
                <w:rFonts w:ascii="Arial Narrow" w:hAnsi="Arial Narrow" w:cs="Calibri"/>
                <w:sz w:val="18"/>
                <w:szCs w:val="18"/>
                <w:lang w:val="bg-BG"/>
              </w:rPr>
            </w:pPr>
            <w:r w:rsidRPr="00CA32C6">
              <w:rPr>
                <w:rFonts w:ascii="Arial Narrow" w:hAnsi="Arial Narrow" w:cs="Calibri"/>
                <w:sz w:val="18"/>
                <w:szCs w:val="18"/>
                <w:lang w:val="bg-BG"/>
              </w:rPr>
              <w:t>с</w:t>
            </w:r>
          </w:p>
        </w:tc>
        <w:tc>
          <w:tcPr>
            <w:tcW w:w="915" w:type="dxa"/>
            <w:tcBorders>
              <w:top w:val="nil"/>
              <w:left w:val="nil"/>
              <w:bottom w:val="single" w:sz="4" w:space="0" w:color="auto"/>
              <w:right w:val="single" w:sz="4" w:space="0" w:color="auto"/>
            </w:tcBorders>
            <w:shd w:val="clear" w:color="auto" w:fill="auto"/>
            <w:noWrap/>
            <w:vAlign w:val="center"/>
            <w:hideMark/>
          </w:tcPr>
          <w:p w14:paraId="43DE0991" w14:textId="77777777" w:rsidR="00CA32C6" w:rsidRPr="00CA32C6" w:rsidRDefault="00CA32C6" w:rsidP="00CA32C6">
            <w:pPr>
              <w:jc w:val="right"/>
              <w:rPr>
                <w:rFonts w:ascii="Arial Narrow" w:hAnsi="Arial Narrow" w:cs="Calibri"/>
                <w:sz w:val="18"/>
                <w:szCs w:val="18"/>
                <w:lang w:val="bg-BG"/>
              </w:rPr>
            </w:pPr>
            <w:r w:rsidRPr="00CA32C6">
              <w:rPr>
                <w:rFonts w:ascii="Arial Narrow" w:hAnsi="Arial Narrow" w:cs="Calibri"/>
                <w:sz w:val="18"/>
                <w:szCs w:val="18"/>
                <w:lang w:val="bg-BG"/>
              </w:rPr>
              <w:t>-</w:t>
            </w:r>
          </w:p>
        </w:tc>
        <w:tc>
          <w:tcPr>
            <w:tcW w:w="680" w:type="dxa"/>
            <w:tcBorders>
              <w:top w:val="nil"/>
              <w:left w:val="nil"/>
              <w:bottom w:val="single" w:sz="4" w:space="0" w:color="auto"/>
              <w:right w:val="single" w:sz="4" w:space="0" w:color="auto"/>
            </w:tcBorders>
            <w:shd w:val="clear" w:color="auto" w:fill="auto"/>
            <w:noWrap/>
            <w:vAlign w:val="center"/>
            <w:hideMark/>
          </w:tcPr>
          <w:p w14:paraId="3821DE03" w14:textId="77777777" w:rsidR="00CA32C6" w:rsidRPr="00CA32C6" w:rsidRDefault="00CA32C6" w:rsidP="00CA32C6">
            <w:pPr>
              <w:jc w:val="right"/>
              <w:rPr>
                <w:rFonts w:ascii="Arial Narrow" w:hAnsi="Arial Narrow" w:cs="Calibri"/>
                <w:sz w:val="18"/>
                <w:szCs w:val="18"/>
                <w:lang w:val="bg-BG"/>
              </w:rPr>
            </w:pPr>
            <w:r w:rsidRPr="00CA32C6">
              <w:rPr>
                <w:rFonts w:ascii="Arial Narrow" w:hAnsi="Arial Narrow" w:cs="Calibri"/>
                <w:sz w:val="18"/>
                <w:szCs w:val="18"/>
                <w:lang w:val="bg-BG"/>
              </w:rPr>
              <w:t>10 554</w:t>
            </w:r>
          </w:p>
        </w:tc>
        <w:tc>
          <w:tcPr>
            <w:tcW w:w="680" w:type="dxa"/>
            <w:tcBorders>
              <w:top w:val="nil"/>
              <w:left w:val="nil"/>
              <w:bottom w:val="single" w:sz="4" w:space="0" w:color="auto"/>
              <w:right w:val="single" w:sz="4" w:space="0" w:color="auto"/>
            </w:tcBorders>
            <w:shd w:val="clear" w:color="auto" w:fill="auto"/>
            <w:noWrap/>
            <w:vAlign w:val="center"/>
            <w:hideMark/>
          </w:tcPr>
          <w:p w14:paraId="064EE6DF" w14:textId="77777777" w:rsidR="00CA32C6" w:rsidRPr="00CA32C6" w:rsidRDefault="00CA32C6" w:rsidP="00CA32C6">
            <w:pPr>
              <w:jc w:val="right"/>
              <w:rPr>
                <w:rFonts w:ascii="Arial Narrow" w:hAnsi="Arial Narrow" w:cs="Calibri"/>
                <w:sz w:val="18"/>
                <w:szCs w:val="18"/>
                <w:lang w:val="bg-BG"/>
              </w:rPr>
            </w:pPr>
            <w:r w:rsidRPr="00CA32C6">
              <w:rPr>
                <w:rFonts w:ascii="Arial Narrow" w:hAnsi="Arial Narrow" w:cs="Calibri"/>
                <w:sz w:val="18"/>
                <w:szCs w:val="18"/>
                <w:lang w:val="bg-BG"/>
              </w:rPr>
              <w:t>9 176</w:t>
            </w:r>
          </w:p>
        </w:tc>
      </w:tr>
      <w:tr w:rsidR="00CA32C6" w:rsidRPr="00CA32C6" w14:paraId="16C1E8B6" w14:textId="77777777" w:rsidTr="009C6577">
        <w:trPr>
          <w:trHeight w:val="287"/>
          <w:jc w:val="center"/>
        </w:trPr>
        <w:tc>
          <w:tcPr>
            <w:tcW w:w="1367" w:type="dxa"/>
            <w:tcBorders>
              <w:top w:val="nil"/>
              <w:left w:val="single" w:sz="4" w:space="0" w:color="auto"/>
              <w:bottom w:val="single" w:sz="4" w:space="0" w:color="auto"/>
              <w:right w:val="single" w:sz="4" w:space="0" w:color="auto"/>
            </w:tcBorders>
            <w:shd w:val="clear" w:color="auto" w:fill="auto"/>
            <w:vAlign w:val="center"/>
            <w:hideMark/>
          </w:tcPr>
          <w:p w14:paraId="1E746759" w14:textId="77777777" w:rsidR="00CA32C6" w:rsidRPr="00CA32C6" w:rsidRDefault="00CA32C6" w:rsidP="00CA32C6">
            <w:pPr>
              <w:rPr>
                <w:rFonts w:ascii="Arial Narrow" w:hAnsi="Arial Narrow" w:cs="Calibri"/>
                <w:sz w:val="18"/>
                <w:szCs w:val="18"/>
                <w:lang w:val="bg-BG"/>
              </w:rPr>
            </w:pPr>
            <w:r w:rsidRPr="00CA32C6">
              <w:rPr>
                <w:rFonts w:ascii="Arial Narrow" w:hAnsi="Arial Narrow" w:cs="Calibri"/>
                <w:sz w:val="18"/>
                <w:szCs w:val="18"/>
                <w:lang w:val="bg-BG"/>
              </w:rPr>
              <w:t>Дини</w:t>
            </w:r>
          </w:p>
        </w:tc>
        <w:tc>
          <w:tcPr>
            <w:tcW w:w="761" w:type="dxa"/>
            <w:tcBorders>
              <w:top w:val="nil"/>
              <w:left w:val="nil"/>
              <w:bottom w:val="single" w:sz="4" w:space="0" w:color="auto"/>
              <w:right w:val="single" w:sz="4" w:space="0" w:color="auto"/>
            </w:tcBorders>
            <w:shd w:val="clear" w:color="auto" w:fill="auto"/>
            <w:noWrap/>
            <w:vAlign w:val="center"/>
            <w:hideMark/>
          </w:tcPr>
          <w:p w14:paraId="72AD799A" w14:textId="77777777" w:rsidR="00CA32C6" w:rsidRPr="00CA32C6" w:rsidRDefault="00CA32C6" w:rsidP="00CA32C6">
            <w:pPr>
              <w:jc w:val="right"/>
              <w:rPr>
                <w:rFonts w:ascii="Arial Narrow" w:hAnsi="Arial Narrow" w:cs="Calibri"/>
                <w:sz w:val="18"/>
                <w:szCs w:val="18"/>
                <w:lang w:val="bg-BG"/>
              </w:rPr>
            </w:pPr>
            <w:r w:rsidRPr="00CA32C6">
              <w:rPr>
                <w:rFonts w:ascii="Arial Narrow" w:hAnsi="Arial Narrow" w:cs="Calibri"/>
                <w:sz w:val="18"/>
                <w:szCs w:val="18"/>
                <w:lang w:val="bg-BG"/>
              </w:rPr>
              <w:t>3 714</w:t>
            </w:r>
          </w:p>
        </w:tc>
        <w:tc>
          <w:tcPr>
            <w:tcW w:w="761" w:type="dxa"/>
            <w:tcBorders>
              <w:top w:val="nil"/>
              <w:left w:val="nil"/>
              <w:bottom w:val="single" w:sz="4" w:space="0" w:color="auto"/>
              <w:right w:val="single" w:sz="4" w:space="0" w:color="auto"/>
            </w:tcBorders>
            <w:shd w:val="clear" w:color="auto" w:fill="auto"/>
            <w:noWrap/>
            <w:vAlign w:val="center"/>
            <w:hideMark/>
          </w:tcPr>
          <w:p w14:paraId="041EF299" w14:textId="77777777" w:rsidR="00CA32C6" w:rsidRPr="00CA32C6" w:rsidRDefault="00CA32C6" w:rsidP="00CA32C6">
            <w:pPr>
              <w:jc w:val="right"/>
              <w:rPr>
                <w:rFonts w:ascii="Arial Narrow" w:hAnsi="Arial Narrow" w:cs="Calibri"/>
                <w:sz w:val="18"/>
                <w:szCs w:val="18"/>
                <w:lang w:val="bg-BG"/>
              </w:rPr>
            </w:pPr>
            <w:r w:rsidRPr="00CA32C6">
              <w:rPr>
                <w:rFonts w:ascii="Arial Narrow" w:hAnsi="Arial Narrow" w:cs="Calibri"/>
                <w:sz w:val="18"/>
                <w:szCs w:val="18"/>
                <w:lang w:val="bg-BG"/>
              </w:rPr>
              <w:t>5 330</w:t>
            </w:r>
          </w:p>
        </w:tc>
        <w:tc>
          <w:tcPr>
            <w:tcW w:w="761" w:type="dxa"/>
            <w:tcBorders>
              <w:top w:val="nil"/>
              <w:left w:val="nil"/>
              <w:bottom w:val="single" w:sz="4" w:space="0" w:color="auto"/>
              <w:right w:val="single" w:sz="4" w:space="0" w:color="auto"/>
            </w:tcBorders>
            <w:shd w:val="clear" w:color="auto" w:fill="auto"/>
            <w:noWrap/>
            <w:vAlign w:val="center"/>
            <w:hideMark/>
          </w:tcPr>
          <w:p w14:paraId="324D8F8E" w14:textId="77777777" w:rsidR="00CA32C6" w:rsidRPr="00CA32C6" w:rsidRDefault="00CA32C6" w:rsidP="00CA32C6">
            <w:pPr>
              <w:jc w:val="right"/>
              <w:rPr>
                <w:rFonts w:ascii="Arial Narrow" w:hAnsi="Arial Narrow" w:cs="Calibri"/>
                <w:sz w:val="18"/>
                <w:szCs w:val="18"/>
                <w:lang w:val="bg-BG"/>
              </w:rPr>
            </w:pPr>
            <w:r w:rsidRPr="00CA32C6">
              <w:rPr>
                <w:rFonts w:ascii="Arial Narrow" w:hAnsi="Arial Narrow" w:cs="Calibri"/>
                <w:sz w:val="18"/>
                <w:szCs w:val="18"/>
                <w:lang w:val="bg-BG"/>
              </w:rPr>
              <w:t>-</w:t>
            </w:r>
          </w:p>
        </w:tc>
        <w:tc>
          <w:tcPr>
            <w:tcW w:w="761" w:type="dxa"/>
            <w:tcBorders>
              <w:top w:val="nil"/>
              <w:left w:val="nil"/>
              <w:bottom w:val="single" w:sz="4" w:space="0" w:color="auto"/>
              <w:right w:val="single" w:sz="4" w:space="0" w:color="auto"/>
            </w:tcBorders>
            <w:shd w:val="clear" w:color="auto" w:fill="auto"/>
            <w:noWrap/>
            <w:vAlign w:val="center"/>
            <w:hideMark/>
          </w:tcPr>
          <w:p w14:paraId="6489085C" w14:textId="77777777" w:rsidR="00CA32C6" w:rsidRPr="00CA32C6" w:rsidRDefault="00CA32C6" w:rsidP="00CA32C6">
            <w:pPr>
              <w:jc w:val="right"/>
              <w:rPr>
                <w:rFonts w:ascii="Arial Narrow" w:hAnsi="Arial Narrow" w:cs="Calibri"/>
                <w:sz w:val="18"/>
                <w:szCs w:val="18"/>
                <w:lang w:val="bg-BG"/>
              </w:rPr>
            </w:pPr>
            <w:r w:rsidRPr="00CA32C6">
              <w:rPr>
                <w:rFonts w:ascii="Arial Narrow" w:hAnsi="Arial Narrow" w:cs="Calibri"/>
                <w:sz w:val="18"/>
                <w:szCs w:val="18"/>
                <w:lang w:val="bg-BG"/>
              </w:rPr>
              <w:t>-</w:t>
            </w:r>
          </w:p>
        </w:tc>
        <w:tc>
          <w:tcPr>
            <w:tcW w:w="761" w:type="dxa"/>
            <w:tcBorders>
              <w:top w:val="nil"/>
              <w:left w:val="nil"/>
              <w:bottom w:val="single" w:sz="4" w:space="0" w:color="auto"/>
              <w:right w:val="single" w:sz="4" w:space="0" w:color="auto"/>
            </w:tcBorders>
            <w:shd w:val="clear" w:color="auto" w:fill="auto"/>
            <w:noWrap/>
            <w:vAlign w:val="center"/>
            <w:hideMark/>
          </w:tcPr>
          <w:p w14:paraId="7812A016" w14:textId="77777777" w:rsidR="00CA32C6" w:rsidRPr="00CA32C6" w:rsidRDefault="00CA32C6" w:rsidP="00CA32C6">
            <w:pPr>
              <w:jc w:val="right"/>
              <w:rPr>
                <w:rFonts w:ascii="Arial Narrow" w:hAnsi="Arial Narrow" w:cs="Calibri"/>
                <w:sz w:val="18"/>
                <w:szCs w:val="18"/>
                <w:lang w:val="bg-BG"/>
              </w:rPr>
            </w:pPr>
            <w:r w:rsidRPr="00CA32C6">
              <w:rPr>
                <w:rFonts w:ascii="Arial Narrow" w:hAnsi="Arial Narrow" w:cs="Calibri"/>
                <w:sz w:val="18"/>
                <w:szCs w:val="18"/>
                <w:lang w:val="bg-BG"/>
              </w:rPr>
              <w:t>80 130</w:t>
            </w:r>
          </w:p>
        </w:tc>
        <w:tc>
          <w:tcPr>
            <w:tcW w:w="761" w:type="dxa"/>
            <w:tcBorders>
              <w:top w:val="nil"/>
              <w:left w:val="nil"/>
              <w:bottom w:val="single" w:sz="4" w:space="0" w:color="auto"/>
              <w:right w:val="single" w:sz="4" w:space="0" w:color="auto"/>
            </w:tcBorders>
            <w:shd w:val="clear" w:color="auto" w:fill="auto"/>
            <w:noWrap/>
            <w:vAlign w:val="center"/>
            <w:hideMark/>
          </w:tcPr>
          <w:p w14:paraId="7D94770E" w14:textId="77777777" w:rsidR="00CA32C6" w:rsidRPr="00CA32C6" w:rsidRDefault="00CA32C6" w:rsidP="00CA32C6">
            <w:pPr>
              <w:jc w:val="right"/>
              <w:rPr>
                <w:rFonts w:ascii="Arial Narrow" w:hAnsi="Arial Narrow" w:cs="Calibri"/>
                <w:sz w:val="18"/>
                <w:szCs w:val="18"/>
                <w:lang w:val="bg-BG"/>
              </w:rPr>
            </w:pPr>
            <w:r w:rsidRPr="00CA32C6">
              <w:rPr>
                <w:rFonts w:ascii="Arial Narrow" w:hAnsi="Arial Narrow" w:cs="Calibri"/>
                <w:sz w:val="18"/>
                <w:szCs w:val="18"/>
                <w:lang w:val="bg-BG"/>
              </w:rPr>
              <w:t>122 930</w:t>
            </w:r>
          </w:p>
        </w:tc>
        <w:tc>
          <w:tcPr>
            <w:tcW w:w="761" w:type="dxa"/>
            <w:tcBorders>
              <w:top w:val="nil"/>
              <w:left w:val="nil"/>
              <w:bottom w:val="single" w:sz="4" w:space="0" w:color="auto"/>
              <w:right w:val="single" w:sz="4" w:space="0" w:color="auto"/>
            </w:tcBorders>
            <w:shd w:val="clear" w:color="auto" w:fill="auto"/>
            <w:noWrap/>
            <w:vAlign w:val="center"/>
            <w:hideMark/>
          </w:tcPr>
          <w:p w14:paraId="43A85915" w14:textId="77777777" w:rsidR="00CA32C6" w:rsidRPr="00CA32C6" w:rsidRDefault="00CA32C6" w:rsidP="00CA32C6">
            <w:pPr>
              <w:jc w:val="right"/>
              <w:rPr>
                <w:rFonts w:ascii="Arial Narrow" w:hAnsi="Arial Narrow" w:cs="Calibri"/>
                <w:sz w:val="18"/>
                <w:szCs w:val="18"/>
                <w:lang w:val="bg-BG"/>
              </w:rPr>
            </w:pPr>
            <w:r w:rsidRPr="00CA32C6">
              <w:rPr>
                <w:rFonts w:ascii="Arial Narrow" w:hAnsi="Arial Narrow" w:cs="Calibri"/>
                <w:sz w:val="18"/>
                <w:szCs w:val="18"/>
                <w:lang w:val="bg-BG"/>
              </w:rPr>
              <w:t>-</w:t>
            </w:r>
          </w:p>
        </w:tc>
        <w:tc>
          <w:tcPr>
            <w:tcW w:w="761" w:type="dxa"/>
            <w:tcBorders>
              <w:top w:val="nil"/>
              <w:left w:val="nil"/>
              <w:bottom w:val="single" w:sz="4" w:space="0" w:color="auto"/>
              <w:right w:val="single" w:sz="4" w:space="0" w:color="auto"/>
            </w:tcBorders>
            <w:shd w:val="clear" w:color="auto" w:fill="auto"/>
            <w:noWrap/>
            <w:vAlign w:val="center"/>
            <w:hideMark/>
          </w:tcPr>
          <w:p w14:paraId="2C6E645B" w14:textId="77777777" w:rsidR="00CA32C6" w:rsidRPr="00CA32C6" w:rsidRDefault="00CA32C6" w:rsidP="00CA32C6">
            <w:pPr>
              <w:jc w:val="right"/>
              <w:rPr>
                <w:rFonts w:ascii="Arial Narrow" w:hAnsi="Arial Narrow" w:cs="Calibri"/>
                <w:sz w:val="18"/>
                <w:szCs w:val="18"/>
                <w:lang w:val="bg-BG"/>
              </w:rPr>
            </w:pPr>
            <w:r w:rsidRPr="00CA32C6">
              <w:rPr>
                <w:rFonts w:ascii="Arial Narrow" w:hAnsi="Arial Narrow" w:cs="Calibri"/>
                <w:sz w:val="18"/>
                <w:szCs w:val="18"/>
                <w:lang w:val="bg-BG"/>
              </w:rPr>
              <w:t>-</w:t>
            </w:r>
          </w:p>
        </w:tc>
        <w:tc>
          <w:tcPr>
            <w:tcW w:w="761" w:type="dxa"/>
            <w:tcBorders>
              <w:top w:val="nil"/>
              <w:left w:val="nil"/>
              <w:bottom w:val="single" w:sz="4" w:space="0" w:color="auto"/>
              <w:right w:val="single" w:sz="4" w:space="0" w:color="auto"/>
            </w:tcBorders>
            <w:shd w:val="clear" w:color="auto" w:fill="auto"/>
            <w:noWrap/>
            <w:vAlign w:val="center"/>
            <w:hideMark/>
          </w:tcPr>
          <w:p w14:paraId="220CB5DA" w14:textId="77777777" w:rsidR="00CA32C6" w:rsidRPr="00CA32C6" w:rsidRDefault="00CA32C6" w:rsidP="00CA32C6">
            <w:pPr>
              <w:jc w:val="right"/>
              <w:rPr>
                <w:rFonts w:ascii="Arial Narrow" w:hAnsi="Arial Narrow" w:cs="Calibri"/>
                <w:sz w:val="18"/>
                <w:szCs w:val="18"/>
                <w:lang w:val="bg-BG"/>
              </w:rPr>
            </w:pPr>
            <w:r w:rsidRPr="00CA32C6">
              <w:rPr>
                <w:rFonts w:ascii="Arial Narrow" w:hAnsi="Arial Narrow" w:cs="Calibri"/>
                <w:sz w:val="18"/>
                <w:szCs w:val="18"/>
                <w:lang w:val="bg-BG"/>
              </w:rPr>
              <w:t>80 130</w:t>
            </w:r>
          </w:p>
        </w:tc>
        <w:tc>
          <w:tcPr>
            <w:tcW w:w="761" w:type="dxa"/>
            <w:tcBorders>
              <w:top w:val="nil"/>
              <w:left w:val="nil"/>
              <w:bottom w:val="single" w:sz="4" w:space="0" w:color="auto"/>
              <w:right w:val="single" w:sz="4" w:space="0" w:color="auto"/>
            </w:tcBorders>
            <w:shd w:val="clear" w:color="auto" w:fill="auto"/>
            <w:noWrap/>
            <w:vAlign w:val="center"/>
            <w:hideMark/>
          </w:tcPr>
          <w:p w14:paraId="5CA927E9" w14:textId="77777777" w:rsidR="00CA32C6" w:rsidRPr="00CA32C6" w:rsidRDefault="00CA32C6" w:rsidP="00CA32C6">
            <w:pPr>
              <w:jc w:val="right"/>
              <w:rPr>
                <w:rFonts w:ascii="Arial Narrow" w:hAnsi="Arial Narrow" w:cs="Calibri"/>
                <w:sz w:val="18"/>
                <w:szCs w:val="18"/>
                <w:lang w:val="bg-BG"/>
              </w:rPr>
            </w:pPr>
            <w:r w:rsidRPr="00CA32C6">
              <w:rPr>
                <w:rFonts w:ascii="Arial Narrow" w:hAnsi="Arial Narrow" w:cs="Calibri"/>
                <w:sz w:val="18"/>
                <w:szCs w:val="18"/>
                <w:lang w:val="bg-BG"/>
              </w:rPr>
              <w:t>122 930</w:t>
            </w:r>
          </w:p>
        </w:tc>
        <w:tc>
          <w:tcPr>
            <w:tcW w:w="915" w:type="dxa"/>
            <w:tcBorders>
              <w:top w:val="nil"/>
              <w:left w:val="nil"/>
              <w:bottom w:val="single" w:sz="4" w:space="0" w:color="auto"/>
              <w:right w:val="single" w:sz="4" w:space="0" w:color="auto"/>
            </w:tcBorders>
            <w:shd w:val="clear" w:color="auto" w:fill="auto"/>
            <w:noWrap/>
            <w:vAlign w:val="center"/>
            <w:hideMark/>
          </w:tcPr>
          <w:p w14:paraId="606D0CEE" w14:textId="77777777" w:rsidR="00CA32C6" w:rsidRPr="00CA32C6" w:rsidRDefault="00CA32C6" w:rsidP="00CA32C6">
            <w:pPr>
              <w:jc w:val="right"/>
              <w:rPr>
                <w:rFonts w:ascii="Arial Narrow" w:hAnsi="Arial Narrow" w:cs="Calibri"/>
                <w:sz w:val="18"/>
                <w:szCs w:val="18"/>
                <w:lang w:val="bg-BG"/>
              </w:rPr>
            </w:pPr>
            <w:r w:rsidRPr="00CA32C6">
              <w:rPr>
                <w:rFonts w:ascii="Arial Narrow" w:hAnsi="Arial Narrow" w:cs="Calibri"/>
                <w:sz w:val="18"/>
                <w:szCs w:val="18"/>
                <w:lang w:val="bg-BG"/>
              </w:rPr>
              <w:t>53,4%</w:t>
            </w:r>
          </w:p>
        </w:tc>
        <w:tc>
          <w:tcPr>
            <w:tcW w:w="680" w:type="dxa"/>
            <w:tcBorders>
              <w:top w:val="nil"/>
              <w:left w:val="nil"/>
              <w:bottom w:val="single" w:sz="4" w:space="0" w:color="auto"/>
              <w:right w:val="single" w:sz="4" w:space="0" w:color="auto"/>
            </w:tcBorders>
            <w:shd w:val="clear" w:color="auto" w:fill="auto"/>
            <w:noWrap/>
            <w:vAlign w:val="center"/>
            <w:hideMark/>
          </w:tcPr>
          <w:p w14:paraId="5295E6E5" w14:textId="77777777" w:rsidR="00CA32C6" w:rsidRPr="00CA32C6" w:rsidRDefault="00CA32C6" w:rsidP="00CA32C6">
            <w:pPr>
              <w:jc w:val="right"/>
              <w:rPr>
                <w:rFonts w:ascii="Arial Narrow" w:hAnsi="Arial Narrow" w:cs="Calibri"/>
                <w:sz w:val="18"/>
                <w:szCs w:val="18"/>
                <w:lang w:val="bg-BG"/>
              </w:rPr>
            </w:pPr>
            <w:r w:rsidRPr="00CA32C6">
              <w:rPr>
                <w:rFonts w:ascii="Arial Narrow" w:hAnsi="Arial Narrow" w:cs="Calibri"/>
                <w:sz w:val="18"/>
                <w:szCs w:val="18"/>
                <w:lang w:val="bg-BG"/>
              </w:rPr>
              <w:t>21 575</w:t>
            </w:r>
          </w:p>
        </w:tc>
        <w:tc>
          <w:tcPr>
            <w:tcW w:w="680" w:type="dxa"/>
            <w:tcBorders>
              <w:top w:val="nil"/>
              <w:left w:val="nil"/>
              <w:bottom w:val="single" w:sz="4" w:space="0" w:color="auto"/>
              <w:right w:val="single" w:sz="4" w:space="0" w:color="auto"/>
            </w:tcBorders>
            <w:shd w:val="clear" w:color="auto" w:fill="auto"/>
            <w:noWrap/>
            <w:vAlign w:val="center"/>
            <w:hideMark/>
          </w:tcPr>
          <w:p w14:paraId="5BC7B043" w14:textId="77777777" w:rsidR="00CA32C6" w:rsidRPr="00CA32C6" w:rsidRDefault="00CA32C6" w:rsidP="00CA32C6">
            <w:pPr>
              <w:jc w:val="right"/>
              <w:rPr>
                <w:rFonts w:ascii="Arial Narrow" w:hAnsi="Arial Narrow" w:cs="Calibri"/>
                <w:sz w:val="18"/>
                <w:szCs w:val="18"/>
                <w:lang w:val="bg-BG"/>
              </w:rPr>
            </w:pPr>
            <w:r w:rsidRPr="00CA32C6">
              <w:rPr>
                <w:rFonts w:ascii="Arial Narrow" w:hAnsi="Arial Narrow" w:cs="Calibri"/>
                <w:sz w:val="18"/>
                <w:szCs w:val="18"/>
                <w:lang w:val="bg-BG"/>
              </w:rPr>
              <w:t>23 064</w:t>
            </w:r>
          </w:p>
        </w:tc>
      </w:tr>
      <w:tr w:rsidR="00CA32C6" w:rsidRPr="00CA32C6" w14:paraId="3F9BD6B8" w14:textId="77777777" w:rsidTr="009C6577">
        <w:trPr>
          <w:trHeight w:val="503"/>
          <w:jc w:val="center"/>
        </w:trPr>
        <w:tc>
          <w:tcPr>
            <w:tcW w:w="1367" w:type="dxa"/>
            <w:tcBorders>
              <w:top w:val="nil"/>
              <w:left w:val="single" w:sz="4" w:space="0" w:color="auto"/>
              <w:bottom w:val="single" w:sz="4" w:space="0" w:color="auto"/>
              <w:right w:val="single" w:sz="4" w:space="0" w:color="auto"/>
            </w:tcBorders>
            <w:shd w:val="clear" w:color="auto" w:fill="auto"/>
            <w:vAlign w:val="center"/>
            <w:hideMark/>
          </w:tcPr>
          <w:p w14:paraId="280956F3" w14:textId="77777777" w:rsidR="00CA32C6" w:rsidRPr="00CA32C6" w:rsidRDefault="00CA32C6" w:rsidP="00CA32C6">
            <w:pPr>
              <w:rPr>
                <w:rFonts w:ascii="Arial Narrow" w:hAnsi="Arial Narrow" w:cs="Calibri"/>
                <w:sz w:val="18"/>
                <w:szCs w:val="18"/>
                <w:lang w:val="bg-BG"/>
              </w:rPr>
            </w:pPr>
            <w:r w:rsidRPr="00CA32C6">
              <w:rPr>
                <w:rFonts w:ascii="Arial Narrow" w:hAnsi="Arial Narrow" w:cs="Calibri"/>
                <w:sz w:val="18"/>
                <w:szCs w:val="18"/>
                <w:lang w:val="bg-BG"/>
              </w:rPr>
              <w:t>Пипер (вкл. лют пипер)</w:t>
            </w:r>
          </w:p>
        </w:tc>
        <w:tc>
          <w:tcPr>
            <w:tcW w:w="761" w:type="dxa"/>
            <w:tcBorders>
              <w:top w:val="nil"/>
              <w:left w:val="nil"/>
              <w:bottom w:val="single" w:sz="4" w:space="0" w:color="auto"/>
              <w:right w:val="single" w:sz="4" w:space="0" w:color="auto"/>
            </w:tcBorders>
            <w:shd w:val="clear" w:color="auto" w:fill="auto"/>
            <w:noWrap/>
            <w:vAlign w:val="center"/>
            <w:hideMark/>
          </w:tcPr>
          <w:p w14:paraId="09597109" w14:textId="77777777" w:rsidR="00CA32C6" w:rsidRPr="00CA32C6" w:rsidRDefault="00CA32C6" w:rsidP="00CA32C6">
            <w:pPr>
              <w:jc w:val="right"/>
              <w:rPr>
                <w:rFonts w:ascii="Arial Narrow" w:hAnsi="Arial Narrow" w:cs="Calibri"/>
                <w:sz w:val="18"/>
                <w:szCs w:val="18"/>
                <w:lang w:val="bg-BG"/>
              </w:rPr>
            </w:pPr>
            <w:r w:rsidRPr="00CA32C6">
              <w:rPr>
                <w:rFonts w:ascii="Arial Narrow" w:hAnsi="Arial Narrow" w:cs="Calibri"/>
                <w:sz w:val="18"/>
                <w:szCs w:val="18"/>
                <w:lang w:val="bg-BG"/>
              </w:rPr>
              <w:t>2 371</w:t>
            </w:r>
          </w:p>
        </w:tc>
        <w:tc>
          <w:tcPr>
            <w:tcW w:w="761" w:type="dxa"/>
            <w:tcBorders>
              <w:top w:val="nil"/>
              <w:left w:val="nil"/>
              <w:bottom w:val="single" w:sz="4" w:space="0" w:color="auto"/>
              <w:right w:val="single" w:sz="4" w:space="0" w:color="auto"/>
            </w:tcBorders>
            <w:shd w:val="clear" w:color="auto" w:fill="auto"/>
            <w:noWrap/>
            <w:vAlign w:val="center"/>
            <w:hideMark/>
          </w:tcPr>
          <w:p w14:paraId="4752280E" w14:textId="77777777" w:rsidR="00CA32C6" w:rsidRPr="00CA32C6" w:rsidRDefault="00CA32C6" w:rsidP="00CA32C6">
            <w:pPr>
              <w:jc w:val="right"/>
              <w:rPr>
                <w:rFonts w:ascii="Arial Narrow" w:hAnsi="Arial Narrow" w:cs="Calibri"/>
                <w:sz w:val="18"/>
                <w:szCs w:val="18"/>
                <w:lang w:val="bg-BG"/>
              </w:rPr>
            </w:pPr>
            <w:r w:rsidRPr="00CA32C6">
              <w:rPr>
                <w:rFonts w:ascii="Arial Narrow" w:hAnsi="Arial Narrow" w:cs="Calibri"/>
                <w:sz w:val="18"/>
                <w:szCs w:val="18"/>
                <w:lang w:val="bg-BG"/>
              </w:rPr>
              <w:t>2 697</w:t>
            </w:r>
          </w:p>
        </w:tc>
        <w:tc>
          <w:tcPr>
            <w:tcW w:w="761" w:type="dxa"/>
            <w:tcBorders>
              <w:top w:val="nil"/>
              <w:left w:val="nil"/>
              <w:bottom w:val="single" w:sz="4" w:space="0" w:color="auto"/>
              <w:right w:val="single" w:sz="4" w:space="0" w:color="auto"/>
            </w:tcBorders>
            <w:shd w:val="clear" w:color="auto" w:fill="auto"/>
            <w:noWrap/>
            <w:vAlign w:val="center"/>
            <w:hideMark/>
          </w:tcPr>
          <w:p w14:paraId="35D78D5C" w14:textId="77777777" w:rsidR="00CA32C6" w:rsidRPr="00CA32C6" w:rsidRDefault="00CA32C6" w:rsidP="00CA32C6">
            <w:pPr>
              <w:jc w:val="right"/>
              <w:rPr>
                <w:rFonts w:ascii="Arial Narrow" w:hAnsi="Arial Narrow" w:cs="Calibri"/>
                <w:sz w:val="18"/>
                <w:szCs w:val="18"/>
                <w:lang w:val="bg-BG"/>
              </w:rPr>
            </w:pPr>
            <w:r w:rsidRPr="00CA32C6">
              <w:rPr>
                <w:rFonts w:ascii="Arial Narrow" w:hAnsi="Arial Narrow" w:cs="Calibri"/>
                <w:sz w:val="18"/>
                <w:szCs w:val="18"/>
                <w:lang w:val="bg-BG"/>
              </w:rPr>
              <w:t>147</w:t>
            </w:r>
          </w:p>
        </w:tc>
        <w:tc>
          <w:tcPr>
            <w:tcW w:w="761" w:type="dxa"/>
            <w:tcBorders>
              <w:top w:val="nil"/>
              <w:left w:val="nil"/>
              <w:bottom w:val="single" w:sz="4" w:space="0" w:color="auto"/>
              <w:right w:val="single" w:sz="4" w:space="0" w:color="auto"/>
            </w:tcBorders>
            <w:shd w:val="clear" w:color="auto" w:fill="auto"/>
            <w:noWrap/>
            <w:vAlign w:val="center"/>
            <w:hideMark/>
          </w:tcPr>
          <w:p w14:paraId="2956C7F5" w14:textId="77777777" w:rsidR="00CA32C6" w:rsidRPr="00CA32C6" w:rsidRDefault="00CA32C6" w:rsidP="00CA32C6">
            <w:pPr>
              <w:jc w:val="right"/>
              <w:rPr>
                <w:rFonts w:ascii="Arial Narrow" w:hAnsi="Arial Narrow" w:cs="Calibri"/>
                <w:sz w:val="18"/>
                <w:szCs w:val="18"/>
                <w:lang w:val="bg-BG"/>
              </w:rPr>
            </w:pPr>
            <w:r w:rsidRPr="00CA32C6">
              <w:rPr>
                <w:rFonts w:ascii="Arial Narrow" w:hAnsi="Arial Narrow" w:cs="Calibri"/>
                <w:sz w:val="18"/>
                <w:szCs w:val="18"/>
                <w:lang w:val="bg-BG"/>
              </w:rPr>
              <w:t>139</w:t>
            </w:r>
          </w:p>
        </w:tc>
        <w:tc>
          <w:tcPr>
            <w:tcW w:w="761" w:type="dxa"/>
            <w:tcBorders>
              <w:top w:val="nil"/>
              <w:left w:val="nil"/>
              <w:bottom w:val="single" w:sz="4" w:space="0" w:color="auto"/>
              <w:right w:val="single" w:sz="4" w:space="0" w:color="auto"/>
            </w:tcBorders>
            <w:shd w:val="clear" w:color="auto" w:fill="auto"/>
            <w:noWrap/>
            <w:vAlign w:val="center"/>
            <w:hideMark/>
          </w:tcPr>
          <w:p w14:paraId="0141CB10" w14:textId="77777777" w:rsidR="00CA32C6" w:rsidRPr="00CA32C6" w:rsidRDefault="00CA32C6" w:rsidP="00CA32C6">
            <w:pPr>
              <w:jc w:val="right"/>
              <w:rPr>
                <w:rFonts w:ascii="Arial Narrow" w:hAnsi="Arial Narrow" w:cs="Calibri"/>
                <w:sz w:val="18"/>
                <w:szCs w:val="18"/>
                <w:lang w:val="bg-BG"/>
              </w:rPr>
            </w:pPr>
            <w:r w:rsidRPr="00CA32C6">
              <w:rPr>
                <w:rFonts w:ascii="Arial Narrow" w:hAnsi="Arial Narrow" w:cs="Calibri"/>
                <w:sz w:val="18"/>
                <w:szCs w:val="18"/>
                <w:lang w:val="bg-BG"/>
              </w:rPr>
              <w:t>46 264</w:t>
            </w:r>
          </w:p>
        </w:tc>
        <w:tc>
          <w:tcPr>
            <w:tcW w:w="761" w:type="dxa"/>
            <w:tcBorders>
              <w:top w:val="nil"/>
              <w:left w:val="nil"/>
              <w:bottom w:val="single" w:sz="4" w:space="0" w:color="auto"/>
              <w:right w:val="single" w:sz="4" w:space="0" w:color="auto"/>
            </w:tcBorders>
            <w:shd w:val="clear" w:color="auto" w:fill="auto"/>
            <w:noWrap/>
            <w:vAlign w:val="center"/>
            <w:hideMark/>
          </w:tcPr>
          <w:p w14:paraId="5417DC1C" w14:textId="77777777" w:rsidR="00CA32C6" w:rsidRPr="00CA32C6" w:rsidRDefault="00CA32C6" w:rsidP="00CA32C6">
            <w:pPr>
              <w:jc w:val="right"/>
              <w:rPr>
                <w:rFonts w:ascii="Arial Narrow" w:hAnsi="Arial Narrow" w:cs="Calibri"/>
                <w:sz w:val="18"/>
                <w:szCs w:val="18"/>
                <w:lang w:val="bg-BG"/>
              </w:rPr>
            </w:pPr>
            <w:r w:rsidRPr="00CA32C6">
              <w:rPr>
                <w:rFonts w:ascii="Arial Narrow" w:hAnsi="Arial Narrow" w:cs="Calibri"/>
                <w:sz w:val="18"/>
                <w:szCs w:val="18"/>
                <w:lang w:val="bg-BG"/>
              </w:rPr>
              <w:t>51 602</w:t>
            </w:r>
          </w:p>
        </w:tc>
        <w:tc>
          <w:tcPr>
            <w:tcW w:w="761" w:type="dxa"/>
            <w:tcBorders>
              <w:top w:val="nil"/>
              <w:left w:val="nil"/>
              <w:bottom w:val="single" w:sz="4" w:space="0" w:color="auto"/>
              <w:right w:val="single" w:sz="4" w:space="0" w:color="auto"/>
            </w:tcBorders>
            <w:shd w:val="clear" w:color="auto" w:fill="auto"/>
            <w:noWrap/>
            <w:vAlign w:val="center"/>
            <w:hideMark/>
          </w:tcPr>
          <w:p w14:paraId="3263F9F6" w14:textId="77777777" w:rsidR="00CA32C6" w:rsidRPr="00CA32C6" w:rsidRDefault="00CA32C6" w:rsidP="00CA32C6">
            <w:pPr>
              <w:jc w:val="right"/>
              <w:rPr>
                <w:rFonts w:ascii="Arial Narrow" w:hAnsi="Arial Narrow" w:cs="Calibri"/>
                <w:sz w:val="18"/>
                <w:szCs w:val="18"/>
                <w:lang w:val="bg-BG"/>
              </w:rPr>
            </w:pPr>
            <w:r w:rsidRPr="00CA32C6">
              <w:rPr>
                <w:rFonts w:ascii="Arial Narrow" w:hAnsi="Arial Narrow" w:cs="Calibri"/>
                <w:sz w:val="18"/>
                <w:szCs w:val="18"/>
                <w:lang w:val="bg-BG"/>
              </w:rPr>
              <w:t>5 741</w:t>
            </w:r>
          </w:p>
        </w:tc>
        <w:tc>
          <w:tcPr>
            <w:tcW w:w="761" w:type="dxa"/>
            <w:tcBorders>
              <w:top w:val="nil"/>
              <w:left w:val="nil"/>
              <w:bottom w:val="single" w:sz="4" w:space="0" w:color="auto"/>
              <w:right w:val="single" w:sz="4" w:space="0" w:color="auto"/>
            </w:tcBorders>
            <w:shd w:val="clear" w:color="auto" w:fill="auto"/>
            <w:noWrap/>
            <w:vAlign w:val="center"/>
            <w:hideMark/>
          </w:tcPr>
          <w:p w14:paraId="407924DD" w14:textId="77777777" w:rsidR="00CA32C6" w:rsidRPr="00CA32C6" w:rsidRDefault="00CA32C6" w:rsidP="00CA32C6">
            <w:pPr>
              <w:jc w:val="right"/>
              <w:rPr>
                <w:rFonts w:ascii="Arial Narrow" w:hAnsi="Arial Narrow" w:cs="Calibri"/>
                <w:sz w:val="18"/>
                <w:szCs w:val="18"/>
                <w:lang w:val="bg-BG"/>
              </w:rPr>
            </w:pPr>
            <w:r w:rsidRPr="00CA32C6">
              <w:rPr>
                <w:rFonts w:ascii="Arial Narrow" w:hAnsi="Arial Narrow" w:cs="Calibri"/>
                <w:sz w:val="18"/>
                <w:szCs w:val="18"/>
                <w:lang w:val="bg-BG"/>
              </w:rPr>
              <w:t>5 567</w:t>
            </w:r>
          </w:p>
        </w:tc>
        <w:tc>
          <w:tcPr>
            <w:tcW w:w="761" w:type="dxa"/>
            <w:tcBorders>
              <w:top w:val="nil"/>
              <w:left w:val="nil"/>
              <w:bottom w:val="single" w:sz="4" w:space="0" w:color="auto"/>
              <w:right w:val="single" w:sz="4" w:space="0" w:color="auto"/>
            </w:tcBorders>
            <w:shd w:val="clear" w:color="auto" w:fill="auto"/>
            <w:noWrap/>
            <w:vAlign w:val="center"/>
            <w:hideMark/>
          </w:tcPr>
          <w:p w14:paraId="02880B9B" w14:textId="77777777" w:rsidR="00CA32C6" w:rsidRPr="00CA32C6" w:rsidRDefault="00CA32C6" w:rsidP="00CA32C6">
            <w:pPr>
              <w:jc w:val="right"/>
              <w:rPr>
                <w:rFonts w:ascii="Arial Narrow" w:hAnsi="Arial Narrow" w:cs="Calibri"/>
                <w:sz w:val="18"/>
                <w:szCs w:val="18"/>
                <w:lang w:val="bg-BG"/>
              </w:rPr>
            </w:pPr>
            <w:r w:rsidRPr="00CA32C6">
              <w:rPr>
                <w:rFonts w:ascii="Arial Narrow" w:hAnsi="Arial Narrow" w:cs="Calibri"/>
                <w:sz w:val="18"/>
                <w:szCs w:val="18"/>
                <w:lang w:val="bg-BG"/>
              </w:rPr>
              <w:t>52 005</w:t>
            </w:r>
          </w:p>
        </w:tc>
        <w:tc>
          <w:tcPr>
            <w:tcW w:w="761" w:type="dxa"/>
            <w:tcBorders>
              <w:top w:val="nil"/>
              <w:left w:val="nil"/>
              <w:bottom w:val="single" w:sz="4" w:space="0" w:color="auto"/>
              <w:right w:val="single" w:sz="4" w:space="0" w:color="auto"/>
            </w:tcBorders>
            <w:shd w:val="clear" w:color="auto" w:fill="auto"/>
            <w:noWrap/>
            <w:vAlign w:val="center"/>
            <w:hideMark/>
          </w:tcPr>
          <w:p w14:paraId="3831DA34" w14:textId="77777777" w:rsidR="00CA32C6" w:rsidRPr="00CA32C6" w:rsidRDefault="00CA32C6" w:rsidP="00CA32C6">
            <w:pPr>
              <w:jc w:val="right"/>
              <w:rPr>
                <w:rFonts w:ascii="Arial Narrow" w:hAnsi="Arial Narrow" w:cs="Calibri"/>
                <w:sz w:val="18"/>
                <w:szCs w:val="18"/>
                <w:lang w:val="bg-BG"/>
              </w:rPr>
            </w:pPr>
            <w:r w:rsidRPr="00CA32C6">
              <w:rPr>
                <w:rFonts w:ascii="Arial Narrow" w:hAnsi="Arial Narrow" w:cs="Calibri"/>
                <w:sz w:val="18"/>
                <w:szCs w:val="18"/>
                <w:lang w:val="bg-BG"/>
              </w:rPr>
              <w:t>57 169</w:t>
            </w:r>
          </w:p>
        </w:tc>
        <w:tc>
          <w:tcPr>
            <w:tcW w:w="915" w:type="dxa"/>
            <w:tcBorders>
              <w:top w:val="nil"/>
              <w:left w:val="nil"/>
              <w:bottom w:val="single" w:sz="4" w:space="0" w:color="auto"/>
              <w:right w:val="single" w:sz="4" w:space="0" w:color="auto"/>
            </w:tcBorders>
            <w:shd w:val="clear" w:color="auto" w:fill="auto"/>
            <w:noWrap/>
            <w:vAlign w:val="center"/>
            <w:hideMark/>
          </w:tcPr>
          <w:p w14:paraId="6B8CCCC4" w14:textId="77777777" w:rsidR="00CA32C6" w:rsidRPr="00CA32C6" w:rsidRDefault="00CA32C6" w:rsidP="00CA32C6">
            <w:pPr>
              <w:jc w:val="right"/>
              <w:rPr>
                <w:rFonts w:ascii="Arial Narrow" w:hAnsi="Arial Narrow" w:cs="Calibri"/>
                <w:sz w:val="18"/>
                <w:szCs w:val="18"/>
                <w:lang w:val="bg-BG"/>
              </w:rPr>
            </w:pPr>
            <w:r w:rsidRPr="00CA32C6">
              <w:rPr>
                <w:rFonts w:ascii="Arial Narrow" w:hAnsi="Arial Narrow" w:cs="Calibri"/>
                <w:sz w:val="18"/>
                <w:szCs w:val="18"/>
                <w:lang w:val="bg-BG"/>
              </w:rPr>
              <w:t>9,9%</w:t>
            </w:r>
          </w:p>
        </w:tc>
        <w:tc>
          <w:tcPr>
            <w:tcW w:w="680" w:type="dxa"/>
            <w:tcBorders>
              <w:top w:val="nil"/>
              <w:left w:val="nil"/>
              <w:bottom w:val="single" w:sz="4" w:space="0" w:color="auto"/>
              <w:right w:val="single" w:sz="4" w:space="0" w:color="auto"/>
            </w:tcBorders>
            <w:shd w:val="clear" w:color="auto" w:fill="auto"/>
            <w:noWrap/>
            <w:vAlign w:val="center"/>
            <w:hideMark/>
          </w:tcPr>
          <w:p w14:paraId="13985DD0" w14:textId="77777777" w:rsidR="00CA32C6" w:rsidRPr="00CA32C6" w:rsidRDefault="00CA32C6" w:rsidP="00CA32C6">
            <w:pPr>
              <w:jc w:val="right"/>
              <w:rPr>
                <w:rFonts w:ascii="Arial Narrow" w:hAnsi="Arial Narrow" w:cs="Calibri"/>
                <w:sz w:val="18"/>
                <w:szCs w:val="18"/>
                <w:lang w:val="bg-BG"/>
              </w:rPr>
            </w:pPr>
            <w:r w:rsidRPr="00CA32C6">
              <w:rPr>
                <w:rFonts w:ascii="Arial Narrow" w:hAnsi="Arial Narrow" w:cs="Calibri"/>
                <w:sz w:val="18"/>
                <w:szCs w:val="18"/>
                <w:lang w:val="bg-BG"/>
              </w:rPr>
              <w:t>19 512</w:t>
            </w:r>
          </w:p>
        </w:tc>
        <w:tc>
          <w:tcPr>
            <w:tcW w:w="680" w:type="dxa"/>
            <w:tcBorders>
              <w:top w:val="nil"/>
              <w:left w:val="nil"/>
              <w:bottom w:val="single" w:sz="4" w:space="0" w:color="auto"/>
              <w:right w:val="single" w:sz="4" w:space="0" w:color="auto"/>
            </w:tcBorders>
            <w:shd w:val="clear" w:color="auto" w:fill="auto"/>
            <w:noWrap/>
            <w:vAlign w:val="center"/>
            <w:hideMark/>
          </w:tcPr>
          <w:p w14:paraId="5753A989" w14:textId="77777777" w:rsidR="00CA32C6" w:rsidRPr="00CA32C6" w:rsidRDefault="00CA32C6" w:rsidP="00CA32C6">
            <w:pPr>
              <w:jc w:val="right"/>
              <w:rPr>
                <w:rFonts w:ascii="Arial Narrow" w:hAnsi="Arial Narrow" w:cs="Calibri"/>
                <w:sz w:val="18"/>
                <w:szCs w:val="18"/>
                <w:lang w:val="bg-BG"/>
              </w:rPr>
            </w:pPr>
            <w:r w:rsidRPr="00CA32C6">
              <w:rPr>
                <w:rFonts w:ascii="Arial Narrow" w:hAnsi="Arial Narrow" w:cs="Calibri"/>
                <w:sz w:val="18"/>
                <w:szCs w:val="18"/>
                <w:lang w:val="bg-BG"/>
              </w:rPr>
              <w:t>19 133</w:t>
            </w:r>
          </w:p>
        </w:tc>
      </w:tr>
      <w:tr w:rsidR="00CA32C6" w:rsidRPr="00CA32C6" w14:paraId="05A36E4A" w14:textId="77777777" w:rsidTr="009C6577">
        <w:trPr>
          <w:trHeight w:val="316"/>
          <w:jc w:val="center"/>
        </w:trPr>
        <w:tc>
          <w:tcPr>
            <w:tcW w:w="1367" w:type="dxa"/>
            <w:tcBorders>
              <w:top w:val="nil"/>
              <w:left w:val="single" w:sz="4" w:space="0" w:color="auto"/>
              <w:bottom w:val="single" w:sz="4" w:space="0" w:color="auto"/>
              <w:right w:val="single" w:sz="4" w:space="0" w:color="auto"/>
            </w:tcBorders>
            <w:shd w:val="clear" w:color="auto" w:fill="auto"/>
            <w:vAlign w:val="center"/>
            <w:hideMark/>
          </w:tcPr>
          <w:p w14:paraId="5889248A" w14:textId="77777777" w:rsidR="00CA32C6" w:rsidRPr="00CA32C6" w:rsidRDefault="00CA32C6" w:rsidP="00CA32C6">
            <w:pPr>
              <w:rPr>
                <w:rFonts w:ascii="Arial Narrow" w:hAnsi="Arial Narrow" w:cs="Calibri"/>
                <w:sz w:val="18"/>
                <w:szCs w:val="18"/>
                <w:lang w:val="bg-BG"/>
              </w:rPr>
            </w:pPr>
            <w:r w:rsidRPr="00CA32C6">
              <w:rPr>
                <w:rFonts w:ascii="Arial Narrow" w:hAnsi="Arial Narrow" w:cs="Calibri"/>
                <w:sz w:val="18"/>
                <w:szCs w:val="18"/>
                <w:lang w:val="bg-BG"/>
              </w:rPr>
              <w:t>Сладка царевица</w:t>
            </w:r>
          </w:p>
        </w:tc>
        <w:tc>
          <w:tcPr>
            <w:tcW w:w="761" w:type="dxa"/>
            <w:tcBorders>
              <w:top w:val="nil"/>
              <w:left w:val="nil"/>
              <w:bottom w:val="single" w:sz="4" w:space="0" w:color="auto"/>
              <w:right w:val="single" w:sz="4" w:space="0" w:color="auto"/>
            </w:tcBorders>
            <w:shd w:val="clear" w:color="auto" w:fill="auto"/>
            <w:noWrap/>
            <w:vAlign w:val="center"/>
            <w:hideMark/>
          </w:tcPr>
          <w:p w14:paraId="204B97DA" w14:textId="77777777" w:rsidR="00CA32C6" w:rsidRPr="00CA32C6" w:rsidRDefault="00CA32C6" w:rsidP="00CA32C6">
            <w:pPr>
              <w:jc w:val="right"/>
              <w:rPr>
                <w:rFonts w:ascii="Arial Narrow" w:hAnsi="Arial Narrow" w:cs="Calibri"/>
                <w:sz w:val="18"/>
                <w:szCs w:val="18"/>
                <w:lang w:val="bg-BG"/>
              </w:rPr>
            </w:pPr>
            <w:r w:rsidRPr="00CA32C6">
              <w:rPr>
                <w:rFonts w:ascii="Arial Narrow" w:hAnsi="Arial Narrow" w:cs="Calibri"/>
                <w:sz w:val="18"/>
                <w:szCs w:val="18"/>
                <w:lang w:val="bg-BG"/>
              </w:rPr>
              <w:t>649</w:t>
            </w:r>
          </w:p>
        </w:tc>
        <w:tc>
          <w:tcPr>
            <w:tcW w:w="761" w:type="dxa"/>
            <w:tcBorders>
              <w:top w:val="nil"/>
              <w:left w:val="nil"/>
              <w:bottom w:val="single" w:sz="4" w:space="0" w:color="auto"/>
              <w:right w:val="single" w:sz="4" w:space="0" w:color="auto"/>
            </w:tcBorders>
            <w:shd w:val="clear" w:color="auto" w:fill="auto"/>
            <w:noWrap/>
            <w:vAlign w:val="center"/>
            <w:hideMark/>
          </w:tcPr>
          <w:p w14:paraId="0F0D583F" w14:textId="77777777" w:rsidR="00CA32C6" w:rsidRPr="00CA32C6" w:rsidRDefault="00CA32C6" w:rsidP="00CA32C6">
            <w:pPr>
              <w:jc w:val="right"/>
              <w:rPr>
                <w:rFonts w:ascii="Arial Narrow" w:hAnsi="Arial Narrow" w:cs="Calibri"/>
                <w:sz w:val="18"/>
                <w:szCs w:val="18"/>
                <w:lang w:val="bg-BG"/>
              </w:rPr>
            </w:pPr>
            <w:r w:rsidRPr="00CA32C6">
              <w:rPr>
                <w:rFonts w:ascii="Arial Narrow" w:hAnsi="Arial Narrow" w:cs="Calibri"/>
                <w:sz w:val="18"/>
                <w:szCs w:val="18"/>
                <w:lang w:val="bg-BG"/>
              </w:rPr>
              <w:t>784</w:t>
            </w:r>
          </w:p>
        </w:tc>
        <w:tc>
          <w:tcPr>
            <w:tcW w:w="761" w:type="dxa"/>
            <w:tcBorders>
              <w:top w:val="nil"/>
              <w:left w:val="nil"/>
              <w:bottom w:val="single" w:sz="4" w:space="0" w:color="auto"/>
              <w:right w:val="single" w:sz="4" w:space="0" w:color="auto"/>
            </w:tcBorders>
            <w:shd w:val="clear" w:color="auto" w:fill="auto"/>
            <w:noWrap/>
            <w:vAlign w:val="center"/>
            <w:hideMark/>
          </w:tcPr>
          <w:p w14:paraId="0DFF1865" w14:textId="77777777" w:rsidR="00CA32C6" w:rsidRPr="00CA32C6" w:rsidRDefault="00CA32C6" w:rsidP="00CA32C6">
            <w:pPr>
              <w:jc w:val="right"/>
              <w:rPr>
                <w:rFonts w:ascii="Arial Narrow" w:hAnsi="Arial Narrow" w:cs="Calibri"/>
                <w:sz w:val="18"/>
                <w:szCs w:val="18"/>
                <w:lang w:val="bg-BG"/>
              </w:rPr>
            </w:pPr>
            <w:r w:rsidRPr="00CA32C6">
              <w:rPr>
                <w:rFonts w:ascii="Arial Narrow" w:hAnsi="Arial Narrow" w:cs="Calibri"/>
                <w:sz w:val="18"/>
                <w:szCs w:val="18"/>
                <w:lang w:val="bg-BG"/>
              </w:rPr>
              <w:t>-</w:t>
            </w:r>
          </w:p>
        </w:tc>
        <w:tc>
          <w:tcPr>
            <w:tcW w:w="761" w:type="dxa"/>
            <w:tcBorders>
              <w:top w:val="nil"/>
              <w:left w:val="nil"/>
              <w:bottom w:val="single" w:sz="4" w:space="0" w:color="auto"/>
              <w:right w:val="single" w:sz="4" w:space="0" w:color="auto"/>
            </w:tcBorders>
            <w:shd w:val="clear" w:color="auto" w:fill="auto"/>
            <w:noWrap/>
            <w:vAlign w:val="center"/>
            <w:hideMark/>
          </w:tcPr>
          <w:p w14:paraId="0E579451" w14:textId="77777777" w:rsidR="00CA32C6" w:rsidRPr="00CA32C6" w:rsidRDefault="00CA32C6" w:rsidP="00CA32C6">
            <w:pPr>
              <w:jc w:val="right"/>
              <w:rPr>
                <w:rFonts w:ascii="Arial Narrow" w:hAnsi="Arial Narrow" w:cs="Calibri"/>
                <w:sz w:val="18"/>
                <w:szCs w:val="18"/>
                <w:lang w:val="bg-BG"/>
              </w:rPr>
            </w:pPr>
            <w:r w:rsidRPr="00CA32C6">
              <w:rPr>
                <w:rFonts w:ascii="Arial Narrow" w:hAnsi="Arial Narrow" w:cs="Calibri"/>
                <w:sz w:val="18"/>
                <w:szCs w:val="18"/>
                <w:lang w:val="bg-BG"/>
              </w:rPr>
              <w:t>-</w:t>
            </w:r>
          </w:p>
        </w:tc>
        <w:tc>
          <w:tcPr>
            <w:tcW w:w="761" w:type="dxa"/>
            <w:tcBorders>
              <w:top w:val="nil"/>
              <w:left w:val="nil"/>
              <w:bottom w:val="single" w:sz="4" w:space="0" w:color="auto"/>
              <w:right w:val="single" w:sz="4" w:space="0" w:color="auto"/>
            </w:tcBorders>
            <w:shd w:val="clear" w:color="auto" w:fill="auto"/>
            <w:noWrap/>
            <w:vAlign w:val="center"/>
            <w:hideMark/>
          </w:tcPr>
          <w:p w14:paraId="50E18EB0" w14:textId="77777777" w:rsidR="00CA32C6" w:rsidRPr="00CA32C6" w:rsidRDefault="00CA32C6" w:rsidP="00CA32C6">
            <w:pPr>
              <w:jc w:val="right"/>
              <w:rPr>
                <w:rFonts w:ascii="Arial Narrow" w:hAnsi="Arial Narrow" w:cs="Calibri"/>
                <w:sz w:val="18"/>
                <w:szCs w:val="18"/>
                <w:lang w:val="bg-BG"/>
              </w:rPr>
            </w:pPr>
            <w:r w:rsidRPr="00CA32C6">
              <w:rPr>
                <w:rFonts w:ascii="Arial Narrow" w:hAnsi="Arial Narrow" w:cs="Calibri"/>
                <w:sz w:val="18"/>
                <w:szCs w:val="18"/>
                <w:lang w:val="bg-BG"/>
              </w:rPr>
              <w:t>4 907</w:t>
            </w:r>
          </w:p>
        </w:tc>
        <w:tc>
          <w:tcPr>
            <w:tcW w:w="761" w:type="dxa"/>
            <w:tcBorders>
              <w:top w:val="nil"/>
              <w:left w:val="nil"/>
              <w:bottom w:val="single" w:sz="4" w:space="0" w:color="auto"/>
              <w:right w:val="single" w:sz="4" w:space="0" w:color="auto"/>
            </w:tcBorders>
            <w:shd w:val="clear" w:color="auto" w:fill="auto"/>
            <w:noWrap/>
            <w:vAlign w:val="center"/>
            <w:hideMark/>
          </w:tcPr>
          <w:p w14:paraId="782BD6AB" w14:textId="77777777" w:rsidR="00CA32C6" w:rsidRPr="00CA32C6" w:rsidRDefault="00CA32C6" w:rsidP="00CA32C6">
            <w:pPr>
              <w:jc w:val="right"/>
              <w:rPr>
                <w:rFonts w:ascii="Arial Narrow" w:hAnsi="Arial Narrow" w:cs="Calibri"/>
                <w:sz w:val="18"/>
                <w:szCs w:val="18"/>
                <w:lang w:val="bg-BG"/>
              </w:rPr>
            </w:pPr>
            <w:r w:rsidRPr="00CA32C6">
              <w:rPr>
                <w:rFonts w:ascii="Arial Narrow" w:hAnsi="Arial Narrow" w:cs="Calibri"/>
                <w:sz w:val="18"/>
                <w:szCs w:val="18"/>
                <w:lang w:val="bg-BG"/>
              </w:rPr>
              <w:t>4 122</w:t>
            </w:r>
          </w:p>
        </w:tc>
        <w:tc>
          <w:tcPr>
            <w:tcW w:w="761" w:type="dxa"/>
            <w:tcBorders>
              <w:top w:val="nil"/>
              <w:left w:val="nil"/>
              <w:bottom w:val="single" w:sz="4" w:space="0" w:color="auto"/>
              <w:right w:val="single" w:sz="4" w:space="0" w:color="auto"/>
            </w:tcBorders>
            <w:shd w:val="clear" w:color="auto" w:fill="auto"/>
            <w:noWrap/>
            <w:vAlign w:val="center"/>
            <w:hideMark/>
          </w:tcPr>
          <w:p w14:paraId="44D74B11" w14:textId="77777777" w:rsidR="00CA32C6" w:rsidRPr="00CA32C6" w:rsidRDefault="00CA32C6" w:rsidP="00CA32C6">
            <w:pPr>
              <w:jc w:val="right"/>
              <w:rPr>
                <w:rFonts w:ascii="Arial Narrow" w:hAnsi="Arial Narrow" w:cs="Calibri"/>
                <w:sz w:val="18"/>
                <w:szCs w:val="18"/>
                <w:lang w:val="bg-BG"/>
              </w:rPr>
            </w:pPr>
            <w:r w:rsidRPr="00CA32C6">
              <w:rPr>
                <w:rFonts w:ascii="Arial Narrow" w:hAnsi="Arial Narrow" w:cs="Calibri"/>
                <w:sz w:val="18"/>
                <w:szCs w:val="18"/>
                <w:lang w:val="bg-BG"/>
              </w:rPr>
              <w:t>-</w:t>
            </w:r>
          </w:p>
        </w:tc>
        <w:tc>
          <w:tcPr>
            <w:tcW w:w="761" w:type="dxa"/>
            <w:tcBorders>
              <w:top w:val="nil"/>
              <w:left w:val="nil"/>
              <w:bottom w:val="single" w:sz="4" w:space="0" w:color="auto"/>
              <w:right w:val="single" w:sz="4" w:space="0" w:color="auto"/>
            </w:tcBorders>
            <w:shd w:val="clear" w:color="auto" w:fill="auto"/>
            <w:noWrap/>
            <w:vAlign w:val="center"/>
            <w:hideMark/>
          </w:tcPr>
          <w:p w14:paraId="1267A937" w14:textId="77777777" w:rsidR="00CA32C6" w:rsidRPr="00CA32C6" w:rsidRDefault="00CA32C6" w:rsidP="00CA32C6">
            <w:pPr>
              <w:jc w:val="right"/>
              <w:rPr>
                <w:rFonts w:ascii="Arial Narrow" w:hAnsi="Arial Narrow" w:cs="Calibri"/>
                <w:sz w:val="18"/>
                <w:szCs w:val="18"/>
                <w:lang w:val="bg-BG"/>
              </w:rPr>
            </w:pPr>
            <w:r w:rsidRPr="00CA32C6">
              <w:rPr>
                <w:rFonts w:ascii="Arial Narrow" w:hAnsi="Arial Narrow" w:cs="Calibri"/>
                <w:sz w:val="18"/>
                <w:szCs w:val="18"/>
                <w:lang w:val="bg-BG"/>
              </w:rPr>
              <w:t>-</w:t>
            </w:r>
          </w:p>
        </w:tc>
        <w:tc>
          <w:tcPr>
            <w:tcW w:w="761" w:type="dxa"/>
            <w:tcBorders>
              <w:top w:val="nil"/>
              <w:left w:val="nil"/>
              <w:bottom w:val="single" w:sz="4" w:space="0" w:color="auto"/>
              <w:right w:val="single" w:sz="4" w:space="0" w:color="auto"/>
            </w:tcBorders>
            <w:shd w:val="clear" w:color="auto" w:fill="auto"/>
            <w:noWrap/>
            <w:vAlign w:val="center"/>
            <w:hideMark/>
          </w:tcPr>
          <w:p w14:paraId="2DD354E2" w14:textId="77777777" w:rsidR="00CA32C6" w:rsidRPr="00CA32C6" w:rsidRDefault="00CA32C6" w:rsidP="00CA32C6">
            <w:pPr>
              <w:jc w:val="right"/>
              <w:rPr>
                <w:rFonts w:ascii="Arial Narrow" w:hAnsi="Arial Narrow" w:cs="Calibri"/>
                <w:sz w:val="18"/>
                <w:szCs w:val="18"/>
                <w:lang w:val="bg-BG"/>
              </w:rPr>
            </w:pPr>
            <w:r w:rsidRPr="00CA32C6">
              <w:rPr>
                <w:rFonts w:ascii="Arial Narrow" w:hAnsi="Arial Narrow" w:cs="Calibri"/>
                <w:sz w:val="18"/>
                <w:szCs w:val="18"/>
                <w:lang w:val="bg-BG"/>
              </w:rPr>
              <w:t>4 907</w:t>
            </w:r>
          </w:p>
        </w:tc>
        <w:tc>
          <w:tcPr>
            <w:tcW w:w="761" w:type="dxa"/>
            <w:tcBorders>
              <w:top w:val="nil"/>
              <w:left w:val="nil"/>
              <w:bottom w:val="single" w:sz="4" w:space="0" w:color="auto"/>
              <w:right w:val="single" w:sz="4" w:space="0" w:color="auto"/>
            </w:tcBorders>
            <w:shd w:val="clear" w:color="auto" w:fill="auto"/>
            <w:noWrap/>
            <w:vAlign w:val="center"/>
            <w:hideMark/>
          </w:tcPr>
          <w:p w14:paraId="1F6C3AE5" w14:textId="77777777" w:rsidR="00CA32C6" w:rsidRPr="00CA32C6" w:rsidRDefault="00CA32C6" w:rsidP="00CA32C6">
            <w:pPr>
              <w:jc w:val="right"/>
              <w:rPr>
                <w:rFonts w:ascii="Arial Narrow" w:hAnsi="Arial Narrow" w:cs="Calibri"/>
                <w:sz w:val="18"/>
                <w:szCs w:val="18"/>
                <w:lang w:val="bg-BG"/>
              </w:rPr>
            </w:pPr>
            <w:r w:rsidRPr="00CA32C6">
              <w:rPr>
                <w:rFonts w:ascii="Arial Narrow" w:hAnsi="Arial Narrow" w:cs="Calibri"/>
                <w:sz w:val="18"/>
                <w:szCs w:val="18"/>
                <w:lang w:val="bg-BG"/>
              </w:rPr>
              <w:t>4 122</w:t>
            </w:r>
          </w:p>
        </w:tc>
        <w:tc>
          <w:tcPr>
            <w:tcW w:w="915" w:type="dxa"/>
            <w:tcBorders>
              <w:top w:val="nil"/>
              <w:left w:val="nil"/>
              <w:bottom w:val="single" w:sz="4" w:space="0" w:color="auto"/>
              <w:right w:val="single" w:sz="4" w:space="0" w:color="auto"/>
            </w:tcBorders>
            <w:shd w:val="clear" w:color="auto" w:fill="auto"/>
            <w:noWrap/>
            <w:vAlign w:val="center"/>
            <w:hideMark/>
          </w:tcPr>
          <w:p w14:paraId="161C2009" w14:textId="77777777" w:rsidR="00CA32C6" w:rsidRPr="00CA32C6" w:rsidRDefault="00CA32C6" w:rsidP="00CA32C6">
            <w:pPr>
              <w:jc w:val="right"/>
              <w:rPr>
                <w:rFonts w:ascii="Arial Narrow" w:hAnsi="Arial Narrow" w:cs="Calibri"/>
                <w:sz w:val="18"/>
                <w:szCs w:val="18"/>
                <w:lang w:val="bg-BG"/>
              </w:rPr>
            </w:pPr>
            <w:r w:rsidRPr="00CA32C6">
              <w:rPr>
                <w:rFonts w:ascii="Arial Narrow" w:hAnsi="Arial Narrow" w:cs="Calibri"/>
                <w:sz w:val="18"/>
                <w:szCs w:val="18"/>
                <w:lang w:val="bg-BG"/>
              </w:rPr>
              <w:t>-16,0%</w:t>
            </w:r>
          </w:p>
        </w:tc>
        <w:tc>
          <w:tcPr>
            <w:tcW w:w="680" w:type="dxa"/>
            <w:tcBorders>
              <w:top w:val="nil"/>
              <w:left w:val="nil"/>
              <w:bottom w:val="single" w:sz="4" w:space="0" w:color="auto"/>
              <w:right w:val="single" w:sz="4" w:space="0" w:color="auto"/>
            </w:tcBorders>
            <w:shd w:val="clear" w:color="auto" w:fill="auto"/>
            <w:noWrap/>
            <w:vAlign w:val="center"/>
            <w:hideMark/>
          </w:tcPr>
          <w:p w14:paraId="5005BFA0" w14:textId="77777777" w:rsidR="00CA32C6" w:rsidRPr="00CA32C6" w:rsidRDefault="00CA32C6" w:rsidP="00CA32C6">
            <w:pPr>
              <w:jc w:val="right"/>
              <w:rPr>
                <w:rFonts w:ascii="Arial Narrow" w:hAnsi="Arial Narrow" w:cs="Calibri"/>
                <w:sz w:val="18"/>
                <w:szCs w:val="18"/>
                <w:lang w:val="bg-BG"/>
              </w:rPr>
            </w:pPr>
            <w:r w:rsidRPr="00CA32C6">
              <w:rPr>
                <w:rFonts w:ascii="Arial Narrow" w:hAnsi="Arial Narrow" w:cs="Calibri"/>
                <w:sz w:val="18"/>
                <w:szCs w:val="18"/>
                <w:lang w:val="bg-BG"/>
              </w:rPr>
              <w:t>7 561</w:t>
            </w:r>
          </w:p>
        </w:tc>
        <w:tc>
          <w:tcPr>
            <w:tcW w:w="680" w:type="dxa"/>
            <w:tcBorders>
              <w:top w:val="nil"/>
              <w:left w:val="nil"/>
              <w:bottom w:val="single" w:sz="4" w:space="0" w:color="auto"/>
              <w:right w:val="single" w:sz="4" w:space="0" w:color="auto"/>
            </w:tcBorders>
            <w:shd w:val="clear" w:color="auto" w:fill="auto"/>
            <w:noWrap/>
            <w:vAlign w:val="center"/>
            <w:hideMark/>
          </w:tcPr>
          <w:p w14:paraId="07954C79" w14:textId="77777777" w:rsidR="00CA32C6" w:rsidRPr="00CA32C6" w:rsidRDefault="00CA32C6" w:rsidP="00CA32C6">
            <w:pPr>
              <w:jc w:val="right"/>
              <w:rPr>
                <w:rFonts w:ascii="Arial Narrow" w:hAnsi="Arial Narrow" w:cs="Calibri"/>
                <w:sz w:val="18"/>
                <w:szCs w:val="18"/>
                <w:lang w:val="bg-BG"/>
              </w:rPr>
            </w:pPr>
            <w:r w:rsidRPr="00CA32C6">
              <w:rPr>
                <w:rFonts w:ascii="Arial Narrow" w:hAnsi="Arial Narrow" w:cs="Calibri"/>
                <w:sz w:val="18"/>
                <w:szCs w:val="18"/>
                <w:lang w:val="bg-BG"/>
              </w:rPr>
              <w:t>5 258</w:t>
            </w:r>
          </w:p>
        </w:tc>
      </w:tr>
      <w:tr w:rsidR="00CA32C6" w:rsidRPr="00CA32C6" w14:paraId="09EBDC05" w14:textId="77777777" w:rsidTr="009C6577">
        <w:trPr>
          <w:trHeight w:val="517"/>
          <w:jc w:val="center"/>
        </w:trPr>
        <w:tc>
          <w:tcPr>
            <w:tcW w:w="1367" w:type="dxa"/>
            <w:tcBorders>
              <w:top w:val="nil"/>
              <w:left w:val="single" w:sz="4" w:space="0" w:color="auto"/>
              <w:bottom w:val="single" w:sz="4" w:space="0" w:color="auto"/>
              <w:right w:val="single" w:sz="4" w:space="0" w:color="auto"/>
            </w:tcBorders>
            <w:shd w:val="clear" w:color="auto" w:fill="auto"/>
            <w:vAlign w:val="center"/>
            <w:hideMark/>
          </w:tcPr>
          <w:p w14:paraId="69CAC66D" w14:textId="77777777" w:rsidR="00CA32C6" w:rsidRPr="00CA32C6" w:rsidRDefault="00CA32C6" w:rsidP="00CA32C6">
            <w:pPr>
              <w:rPr>
                <w:rFonts w:ascii="Arial Narrow" w:hAnsi="Arial Narrow" w:cs="Calibri"/>
                <w:b/>
                <w:bCs/>
                <w:sz w:val="18"/>
                <w:szCs w:val="18"/>
                <w:lang w:val="bg-BG"/>
              </w:rPr>
            </w:pPr>
            <w:r w:rsidRPr="00CA32C6">
              <w:rPr>
                <w:rFonts w:ascii="Arial Narrow" w:hAnsi="Arial Narrow" w:cs="Calibri"/>
                <w:b/>
                <w:bCs/>
                <w:sz w:val="18"/>
                <w:szCs w:val="18"/>
                <w:lang w:val="bg-BG"/>
              </w:rPr>
              <w:t>Пресни бобови култури, в т. ч.:</w:t>
            </w:r>
          </w:p>
        </w:tc>
        <w:tc>
          <w:tcPr>
            <w:tcW w:w="761" w:type="dxa"/>
            <w:tcBorders>
              <w:top w:val="nil"/>
              <w:left w:val="nil"/>
              <w:bottom w:val="single" w:sz="4" w:space="0" w:color="auto"/>
              <w:right w:val="single" w:sz="4" w:space="0" w:color="auto"/>
            </w:tcBorders>
            <w:shd w:val="clear" w:color="auto" w:fill="auto"/>
            <w:noWrap/>
            <w:vAlign w:val="center"/>
            <w:hideMark/>
          </w:tcPr>
          <w:p w14:paraId="232B309F" w14:textId="77777777" w:rsidR="00CA32C6" w:rsidRPr="00CA32C6" w:rsidRDefault="00CA32C6" w:rsidP="00CA32C6">
            <w:pPr>
              <w:jc w:val="right"/>
              <w:rPr>
                <w:rFonts w:ascii="Arial Narrow" w:hAnsi="Arial Narrow" w:cs="Calibri"/>
                <w:b/>
                <w:bCs/>
                <w:sz w:val="18"/>
                <w:szCs w:val="18"/>
                <w:lang w:val="bg-BG"/>
              </w:rPr>
            </w:pPr>
            <w:r w:rsidRPr="00CA32C6">
              <w:rPr>
                <w:rFonts w:ascii="Arial Narrow" w:hAnsi="Arial Narrow" w:cs="Calibri"/>
                <w:b/>
                <w:bCs/>
                <w:sz w:val="18"/>
                <w:szCs w:val="18"/>
                <w:lang w:val="bg-BG"/>
              </w:rPr>
              <w:t>610</w:t>
            </w:r>
          </w:p>
        </w:tc>
        <w:tc>
          <w:tcPr>
            <w:tcW w:w="761" w:type="dxa"/>
            <w:tcBorders>
              <w:top w:val="nil"/>
              <w:left w:val="nil"/>
              <w:bottom w:val="single" w:sz="4" w:space="0" w:color="auto"/>
              <w:right w:val="single" w:sz="4" w:space="0" w:color="auto"/>
            </w:tcBorders>
            <w:shd w:val="clear" w:color="auto" w:fill="auto"/>
            <w:noWrap/>
            <w:vAlign w:val="center"/>
            <w:hideMark/>
          </w:tcPr>
          <w:p w14:paraId="4AF50240" w14:textId="77777777" w:rsidR="00CA32C6" w:rsidRPr="00CA32C6" w:rsidRDefault="00CA32C6" w:rsidP="00CA32C6">
            <w:pPr>
              <w:jc w:val="right"/>
              <w:rPr>
                <w:rFonts w:ascii="Arial Narrow" w:hAnsi="Arial Narrow" w:cs="Calibri"/>
                <w:b/>
                <w:bCs/>
                <w:sz w:val="18"/>
                <w:szCs w:val="18"/>
                <w:lang w:val="bg-BG"/>
              </w:rPr>
            </w:pPr>
            <w:r w:rsidRPr="00CA32C6">
              <w:rPr>
                <w:rFonts w:ascii="Arial Narrow" w:hAnsi="Arial Narrow" w:cs="Calibri"/>
                <w:b/>
                <w:bCs/>
                <w:sz w:val="18"/>
                <w:szCs w:val="18"/>
                <w:lang w:val="bg-BG"/>
              </w:rPr>
              <w:t>1 104</w:t>
            </w:r>
          </w:p>
        </w:tc>
        <w:tc>
          <w:tcPr>
            <w:tcW w:w="761" w:type="dxa"/>
            <w:tcBorders>
              <w:top w:val="nil"/>
              <w:left w:val="nil"/>
              <w:bottom w:val="single" w:sz="4" w:space="0" w:color="auto"/>
              <w:right w:val="single" w:sz="4" w:space="0" w:color="auto"/>
            </w:tcBorders>
            <w:shd w:val="clear" w:color="auto" w:fill="auto"/>
            <w:noWrap/>
            <w:vAlign w:val="center"/>
            <w:hideMark/>
          </w:tcPr>
          <w:p w14:paraId="34643DD2" w14:textId="77777777" w:rsidR="00CA32C6" w:rsidRPr="00CA32C6" w:rsidRDefault="00CA32C6" w:rsidP="00CA32C6">
            <w:pPr>
              <w:jc w:val="right"/>
              <w:rPr>
                <w:rFonts w:ascii="Arial Narrow" w:hAnsi="Arial Narrow" w:cs="Calibri"/>
                <w:b/>
                <w:bCs/>
                <w:sz w:val="18"/>
                <w:szCs w:val="18"/>
                <w:lang w:val="bg-BG"/>
              </w:rPr>
            </w:pPr>
            <w:r w:rsidRPr="00CA32C6">
              <w:rPr>
                <w:rFonts w:ascii="Arial Narrow" w:hAnsi="Arial Narrow" w:cs="Calibri"/>
                <w:b/>
                <w:bCs/>
                <w:sz w:val="18"/>
                <w:szCs w:val="18"/>
                <w:lang w:val="bg-BG"/>
              </w:rPr>
              <w:t>2</w:t>
            </w:r>
          </w:p>
        </w:tc>
        <w:tc>
          <w:tcPr>
            <w:tcW w:w="761" w:type="dxa"/>
            <w:tcBorders>
              <w:top w:val="nil"/>
              <w:left w:val="nil"/>
              <w:bottom w:val="single" w:sz="4" w:space="0" w:color="auto"/>
              <w:right w:val="single" w:sz="4" w:space="0" w:color="auto"/>
            </w:tcBorders>
            <w:shd w:val="clear" w:color="auto" w:fill="auto"/>
            <w:noWrap/>
            <w:vAlign w:val="center"/>
            <w:hideMark/>
          </w:tcPr>
          <w:p w14:paraId="04A482B3" w14:textId="77777777" w:rsidR="00CA32C6" w:rsidRPr="00CA32C6" w:rsidRDefault="00CA32C6" w:rsidP="00CA32C6">
            <w:pPr>
              <w:jc w:val="right"/>
              <w:rPr>
                <w:rFonts w:ascii="Arial Narrow" w:hAnsi="Arial Narrow" w:cs="Calibri"/>
                <w:b/>
                <w:bCs/>
                <w:sz w:val="18"/>
                <w:szCs w:val="18"/>
                <w:lang w:val="bg-BG"/>
              </w:rPr>
            </w:pPr>
            <w:r w:rsidRPr="00CA32C6">
              <w:rPr>
                <w:rFonts w:ascii="Arial Narrow" w:hAnsi="Arial Narrow" w:cs="Calibri"/>
                <w:b/>
                <w:bCs/>
                <w:sz w:val="18"/>
                <w:szCs w:val="18"/>
                <w:lang w:val="bg-BG"/>
              </w:rPr>
              <w:t>с</w:t>
            </w:r>
          </w:p>
        </w:tc>
        <w:tc>
          <w:tcPr>
            <w:tcW w:w="761" w:type="dxa"/>
            <w:tcBorders>
              <w:top w:val="nil"/>
              <w:left w:val="nil"/>
              <w:bottom w:val="single" w:sz="4" w:space="0" w:color="auto"/>
              <w:right w:val="single" w:sz="4" w:space="0" w:color="auto"/>
            </w:tcBorders>
            <w:shd w:val="clear" w:color="auto" w:fill="auto"/>
            <w:noWrap/>
            <w:vAlign w:val="center"/>
            <w:hideMark/>
          </w:tcPr>
          <w:p w14:paraId="3636C599" w14:textId="77777777" w:rsidR="00CA32C6" w:rsidRPr="00CA32C6" w:rsidRDefault="00CA32C6" w:rsidP="00CA32C6">
            <w:pPr>
              <w:jc w:val="right"/>
              <w:rPr>
                <w:rFonts w:ascii="Arial Narrow" w:hAnsi="Arial Narrow" w:cs="Calibri"/>
                <w:b/>
                <w:bCs/>
                <w:sz w:val="18"/>
                <w:szCs w:val="18"/>
                <w:lang w:val="bg-BG"/>
              </w:rPr>
            </w:pPr>
            <w:r w:rsidRPr="00CA32C6">
              <w:rPr>
                <w:rFonts w:ascii="Arial Narrow" w:hAnsi="Arial Narrow" w:cs="Calibri"/>
                <w:b/>
                <w:bCs/>
                <w:sz w:val="18"/>
                <w:szCs w:val="18"/>
                <w:lang w:val="bg-BG"/>
              </w:rPr>
              <w:t>1 710</w:t>
            </w:r>
          </w:p>
        </w:tc>
        <w:tc>
          <w:tcPr>
            <w:tcW w:w="761" w:type="dxa"/>
            <w:tcBorders>
              <w:top w:val="nil"/>
              <w:left w:val="nil"/>
              <w:bottom w:val="single" w:sz="4" w:space="0" w:color="auto"/>
              <w:right w:val="single" w:sz="4" w:space="0" w:color="auto"/>
            </w:tcBorders>
            <w:shd w:val="clear" w:color="auto" w:fill="auto"/>
            <w:noWrap/>
            <w:vAlign w:val="center"/>
            <w:hideMark/>
          </w:tcPr>
          <w:p w14:paraId="6E475DBD" w14:textId="77777777" w:rsidR="00CA32C6" w:rsidRPr="00CA32C6" w:rsidRDefault="00CA32C6" w:rsidP="00CA32C6">
            <w:pPr>
              <w:jc w:val="right"/>
              <w:rPr>
                <w:rFonts w:ascii="Arial Narrow" w:hAnsi="Arial Narrow" w:cs="Calibri"/>
                <w:b/>
                <w:bCs/>
                <w:sz w:val="18"/>
                <w:szCs w:val="18"/>
                <w:lang w:val="bg-BG"/>
              </w:rPr>
            </w:pPr>
            <w:r w:rsidRPr="00CA32C6">
              <w:rPr>
                <w:rFonts w:ascii="Arial Narrow" w:hAnsi="Arial Narrow" w:cs="Calibri"/>
                <w:b/>
                <w:bCs/>
                <w:sz w:val="18"/>
                <w:szCs w:val="18"/>
                <w:lang w:val="bg-BG"/>
              </w:rPr>
              <w:t>3 801</w:t>
            </w:r>
          </w:p>
        </w:tc>
        <w:tc>
          <w:tcPr>
            <w:tcW w:w="761" w:type="dxa"/>
            <w:tcBorders>
              <w:top w:val="nil"/>
              <w:left w:val="nil"/>
              <w:bottom w:val="single" w:sz="4" w:space="0" w:color="auto"/>
              <w:right w:val="single" w:sz="4" w:space="0" w:color="auto"/>
            </w:tcBorders>
            <w:shd w:val="clear" w:color="auto" w:fill="auto"/>
            <w:noWrap/>
            <w:vAlign w:val="center"/>
            <w:hideMark/>
          </w:tcPr>
          <w:p w14:paraId="42E40FB9" w14:textId="77777777" w:rsidR="00CA32C6" w:rsidRPr="00CA32C6" w:rsidRDefault="00CA32C6" w:rsidP="00CA32C6">
            <w:pPr>
              <w:jc w:val="right"/>
              <w:rPr>
                <w:rFonts w:ascii="Arial Narrow" w:hAnsi="Arial Narrow" w:cs="Calibri"/>
                <w:b/>
                <w:bCs/>
                <w:sz w:val="18"/>
                <w:szCs w:val="18"/>
                <w:lang w:val="bg-BG"/>
              </w:rPr>
            </w:pPr>
            <w:r w:rsidRPr="00CA32C6">
              <w:rPr>
                <w:rFonts w:ascii="Arial Narrow" w:hAnsi="Arial Narrow" w:cs="Calibri"/>
                <w:b/>
                <w:bCs/>
                <w:sz w:val="18"/>
                <w:szCs w:val="18"/>
                <w:lang w:val="bg-BG"/>
              </w:rPr>
              <w:t>20</w:t>
            </w:r>
          </w:p>
        </w:tc>
        <w:tc>
          <w:tcPr>
            <w:tcW w:w="761" w:type="dxa"/>
            <w:tcBorders>
              <w:top w:val="nil"/>
              <w:left w:val="nil"/>
              <w:bottom w:val="single" w:sz="4" w:space="0" w:color="auto"/>
              <w:right w:val="single" w:sz="4" w:space="0" w:color="auto"/>
            </w:tcBorders>
            <w:shd w:val="clear" w:color="auto" w:fill="auto"/>
            <w:noWrap/>
            <w:vAlign w:val="center"/>
            <w:hideMark/>
          </w:tcPr>
          <w:p w14:paraId="423C13FC" w14:textId="77777777" w:rsidR="00CA32C6" w:rsidRPr="00CA32C6" w:rsidRDefault="00CA32C6" w:rsidP="00CA32C6">
            <w:pPr>
              <w:jc w:val="right"/>
              <w:rPr>
                <w:rFonts w:ascii="Arial Narrow" w:hAnsi="Arial Narrow" w:cs="Calibri"/>
                <w:b/>
                <w:bCs/>
                <w:sz w:val="18"/>
                <w:szCs w:val="18"/>
                <w:lang w:val="bg-BG"/>
              </w:rPr>
            </w:pPr>
            <w:r w:rsidRPr="00CA32C6">
              <w:rPr>
                <w:rFonts w:ascii="Arial Narrow" w:hAnsi="Arial Narrow" w:cs="Calibri"/>
                <w:b/>
                <w:bCs/>
                <w:sz w:val="18"/>
                <w:szCs w:val="18"/>
                <w:lang w:val="bg-BG"/>
              </w:rPr>
              <w:t>с</w:t>
            </w:r>
          </w:p>
        </w:tc>
        <w:tc>
          <w:tcPr>
            <w:tcW w:w="761" w:type="dxa"/>
            <w:tcBorders>
              <w:top w:val="nil"/>
              <w:left w:val="nil"/>
              <w:bottom w:val="single" w:sz="4" w:space="0" w:color="auto"/>
              <w:right w:val="single" w:sz="4" w:space="0" w:color="auto"/>
            </w:tcBorders>
            <w:shd w:val="clear" w:color="auto" w:fill="auto"/>
            <w:noWrap/>
            <w:vAlign w:val="center"/>
            <w:hideMark/>
          </w:tcPr>
          <w:p w14:paraId="15D773FB" w14:textId="77777777" w:rsidR="00CA32C6" w:rsidRPr="00CA32C6" w:rsidRDefault="00CA32C6" w:rsidP="00CA32C6">
            <w:pPr>
              <w:jc w:val="right"/>
              <w:rPr>
                <w:rFonts w:ascii="Arial Narrow" w:hAnsi="Arial Narrow" w:cs="Calibri"/>
                <w:b/>
                <w:bCs/>
                <w:sz w:val="18"/>
                <w:szCs w:val="18"/>
                <w:lang w:val="bg-BG"/>
              </w:rPr>
            </w:pPr>
            <w:r w:rsidRPr="00CA32C6">
              <w:rPr>
                <w:rFonts w:ascii="Arial Narrow" w:hAnsi="Arial Narrow" w:cs="Calibri"/>
                <w:b/>
                <w:bCs/>
                <w:sz w:val="18"/>
                <w:szCs w:val="18"/>
                <w:lang w:val="bg-BG"/>
              </w:rPr>
              <w:t>1 730</w:t>
            </w:r>
          </w:p>
        </w:tc>
        <w:tc>
          <w:tcPr>
            <w:tcW w:w="761" w:type="dxa"/>
            <w:tcBorders>
              <w:top w:val="nil"/>
              <w:left w:val="nil"/>
              <w:bottom w:val="single" w:sz="4" w:space="0" w:color="auto"/>
              <w:right w:val="single" w:sz="4" w:space="0" w:color="auto"/>
            </w:tcBorders>
            <w:shd w:val="clear" w:color="auto" w:fill="auto"/>
            <w:noWrap/>
            <w:vAlign w:val="center"/>
            <w:hideMark/>
          </w:tcPr>
          <w:p w14:paraId="058917F7" w14:textId="77777777" w:rsidR="00CA32C6" w:rsidRPr="00CA32C6" w:rsidRDefault="00CA32C6" w:rsidP="00CA32C6">
            <w:pPr>
              <w:jc w:val="right"/>
              <w:rPr>
                <w:rFonts w:ascii="Arial Narrow" w:hAnsi="Arial Narrow" w:cs="Calibri"/>
                <w:b/>
                <w:bCs/>
                <w:sz w:val="18"/>
                <w:szCs w:val="18"/>
                <w:lang w:val="bg-BG"/>
              </w:rPr>
            </w:pPr>
            <w:r w:rsidRPr="00CA32C6">
              <w:rPr>
                <w:rFonts w:ascii="Arial Narrow" w:hAnsi="Arial Narrow" w:cs="Calibri"/>
                <w:b/>
                <w:bCs/>
                <w:sz w:val="18"/>
                <w:szCs w:val="18"/>
                <w:lang w:val="bg-BG"/>
              </w:rPr>
              <w:t>с</w:t>
            </w:r>
          </w:p>
        </w:tc>
        <w:tc>
          <w:tcPr>
            <w:tcW w:w="915" w:type="dxa"/>
            <w:tcBorders>
              <w:top w:val="nil"/>
              <w:left w:val="nil"/>
              <w:bottom w:val="single" w:sz="4" w:space="0" w:color="auto"/>
              <w:right w:val="single" w:sz="4" w:space="0" w:color="auto"/>
            </w:tcBorders>
            <w:shd w:val="clear" w:color="auto" w:fill="auto"/>
            <w:noWrap/>
            <w:vAlign w:val="center"/>
            <w:hideMark/>
          </w:tcPr>
          <w:p w14:paraId="7768FF8C" w14:textId="77777777" w:rsidR="00CA32C6" w:rsidRPr="00CA32C6" w:rsidRDefault="00CA32C6" w:rsidP="00CA32C6">
            <w:pPr>
              <w:jc w:val="right"/>
              <w:rPr>
                <w:rFonts w:ascii="Arial Narrow" w:hAnsi="Arial Narrow" w:cs="Calibri"/>
                <w:sz w:val="18"/>
                <w:szCs w:val="18"/>
                <w:lang w:val="bg-BG"/>
              </w:rPr>
            </w:pPr>
            <w:r w:rsidRPr="00CA32C6">
              <w:rPr>
                <w:rFonts w:ascii="Arial Narrow" w:hAnsi="Arial Narrow" w:cs="Calibri"/>
                <w:sz w:val="18"/>
                <w:szCs w:val="18"/>
                <w:lang w:val="bg-BG"/>
              </w:rPr>
              <w:t>-</w:t>
            </w:r>
          </w:p>
        </w:tc>
        <w:tc>
          <w:tcPr>
            <w:tcW w:w="680" w:type="dxa"/>
            <w:tcBorders>
              <w:top w:val="nil"/>
              <w:left w:val="nil"/>
              <w:bottom w:val="single" w:sz="4" w:space="0" w:color="auto"/>
              <w:right w:val="single" w:sz="4" w:space="0" w:color="auto"/>
            </w:tcBorders>
            <w:shd w:val="clear" w:color="auto" w:fill="auto"/>
            <w:noWrap/>
            <w:vAlign w:val="center"/>
            <w:hideMark/>
          </w:tcPr>
          <w:p w14:paraId="12208D22" w14:textId="77777777" w:rsidR="00CA32C6" w:rsidRPr="00CA32C6" w:rsidRDefault="00CA32C6" w:rsidP="00CA32C6">
            <w:pPr>
              <w:jc w:val="right"/>
              <w:rPr>
                <w:rFonts w:ascii="Arial Narrow" w:hAnsi="Arial Narrow" w:cs="Calibri"/>
                <w:b/>
                <w:bCs/>
                <w:sz w:val="18"/>
                <w:szCs w:val="18"/>
                <w:lang w:val="bg-BG"/>
              </w:rPr>
            </w:pPr>
            <w:r w:rsidRPr="00CA32C6">
              <w:rPr>
                <w:rFonts w:ascii="Arial Narrow" w:hAnsi="Arial Narrow" w:cs="Calibri"/>
                <w:b/>
                <w:bCs/>
                <w:sz w:val="18"/>
                <w:szCs w:val="18"/>
                <w:lang w:val="bg-BG"/>
              </w:rPr>
              <w:t>-</w:t>
            </w:r>
          </w:p>
        </w:tc>
        <w:tc>
          <w:tcPr>
            <w:tcW w:w="680" w:type="dxa"/>
            <w:tcBorders>
              <w:top w:val="nil"/>
              <w:left w:val="nil"/>
              <w:bottom w:val="single" w:sz="4" w:space="0" w:color="auto"/>
              <w:right w:val="single" w:sz="4" w:space="0" w:color="auto"/>
            </w:tcBorders>
            <w:shd w:val="clear" w:color="auto" w:fill="auto"/>
            <w:noWrap/>
            <w:vAlign w:val="center"/>
            <w:hideMark/>
          </w:tcPr>
          <w:p w14:paraId="05D2FACA" w14:textId="77777777" w:rsidR="00CA32C6" w:rsidRPr="00CA32C6" w:rsidRDefault="00CA32C6" w:rsidP="00CA32C6">
            <w:pPr>
              <w:jc w:val="right"/>
              <w:rPr>
                <w:rFonts w:ascii="Arial Narrow" w:hAnsi="Arial Narrow" w:cs="Calibri"/>
                <w:b/>
                <w:bCs/>
                <w:sz w:val="18"/>
                <w:szCs w:val="18"/>
                <w:lang w:val="bg-BG"/>
              </w:rPr>
            </w:pPr>
            <w:r w:rsidRPr="00CA32C6">
              <w:rPr>
                <w:rFonts w:ascii="Arial Narrow" w:hAnsi="Arial Narrow" w:cs="Calibri"/>
                <w:b/>
                <w:bCs/>
                <w:sz w:val="18"/>
                <w:szCs w:val="18"/>
                <w:lang w:val="bg-BG"/>
              </w:rPr>
              <w:t>-</w:t>
            </w:r>
          </w:p>
        </w:tc>
      </w:tr>
      <w:tr w:rsidR="00CA32C6" w:rsidRPr="00CA32C6" w14:paraId="244988F9" w14:textId="77777777" w:rsidTr="009C6577">
        <w:trPr>
          <w:trHeight w:val="517"/>
          <w:jc w:val="center"/>
        </w:trPr>
        <w:tc>
          <w:tcPr>
            <w:tcW w:w="1367" w:type="dxa"/>
            <w:tcBorders>
              <w:top w:val="nil"/>
              <w:left w:val="single" w:sz="4" w:space="0" w:color="auto"/>
              <w:bottom w:val="single" w:sz="4" w:space="0" w:color="auto"/>
              <w:right w:val="single" w:sz="4" w:space="0" w:color="auto"/>
            </w:tcBorders>
            <w:shd w:val="clear" w:color="auto" w:fill="auto"/>
            <w:vAlign w:val="center"/>
            <w:hideMark/>
          </w:tcPr>
          <w:p w14:paraId="38646DFB" w14:textId="77777777" w:rsidR="00CA32C6" w:rsidRPr="00CA32C6" w:rsidRDefault="00CA32C6" w:rsidP="00CA32C6">
            <w:pPr>
              <w:rPr>
                <w:rFonts w:ascii="Arial Narrow" w:hAnsi="Arial Narrow" w:cs="Calibri"/>
                <w:sz w:val="18"/>
                <w:szCs w:val="18"/>
                <w:lang w:val="bg-BG"/>
              </w:rPr>
            </w:pPr>
            <w:r w:rsidRPr="00CA32C6">
              <w:rPr>
                <w:rFonts w:ascii="Arial Narrow" w:hAnsi="Arial Narrow" w:cs="Calibri"/>
                <w:sz w:val="18"/>
                <w:szCs w:val="18"/>
                <w:lang w:val="bg-BG"/>
              </w:rPr>
              <w:t>Градински грах - зелен</w:t>
            </w:r>
          </w:p>
        </w:tc>
        <w:tc>
          <w:tcPr>
            <w:tcW w:w="761" w:type="dxa"/>
            <w:tcBorders>
              <w:top w:val="nil"/>
              <w:left w:val="nil"/>
              <w:bottom w:val="single" w:sz="4" w:space="0" w:color="auto"/>
              <w:right w:val="single" w:sz="4" w:space="0" w:color="auto"/>
            </w:tcBorders>
            <w:shd w:val="clear" w:color="auto" w:fill="auto"/>
            <w:noWrap/>
            <w:vAlign w:val="center"/>
            <w:hideMark/>
          </w:tcPr>
          <w:p w14:paraId="7FDBF891" w14:textId="77777777" w:rsidR="00CA32C6" w:rsidRPr="00CA32C6" w:rsidRDefault="00CA32C6" w:rsidP="00CA32C6">
            <w:pPr>
              <w:jc w:val="right"/>
              <w:rPr>
                <w:rFonts w:ascii="Arial Narrow" w:hAnsi="Arial Narrow" w:cs="Calibri"/>
                <w:sz w:val="18"/>
                <w:szCs w:val="18"/>
                <w:lang w:val="bg-BG"/>
              </w:rPr>
            </w:pPr>
            <w:r w:rsidRPr="00CA32C6">
              <w:rPr>
                <w:rFonts w:ascii="Arial Narrow" w:hAnsi="Arial Narrow" w:cs="Calibri"/>
                <w:sz w:val="18"/>
                <w:szCs w:val="18"/>
                <w:lang w:val="bg-BG"/>
              </w:rPr>
              <w:t>529</w:t>
            </w:r>
          </w:p>
        </w:tc>
        <w:tc>
          <w:tcPr>
            <w:tcW w:w="761" w:type="dxa"/>
            <w:tcBorders>
              <w:top w:val="nil"/>
              <w:left w:val="nil"/>
              <w:bottom w:val="single" w:sz="4" w:space="0" w:color="auto"/>
              <w:right w:val="single" w:sz="4" w:space="0" w:color="auto"/>
            </w:tcBorders>
            <w:shd w:val="clear" w:color="auto" w:fill="auto"/>
            <w:noWrap/>
            <w:vAlign w:val="center"/>
            <w:hideMark/>
          </w:tcPr>
          <w:p w14:paraId="34DBD055" w14:textId="77777777" w:rsidR="00CA32C6" w:rsidRPr="00CA32C6" w:rsidRDefault="00CA32C6" w:rsidP="00CA32C6">
            <w:pPr>
              <w:jc w:val="right"/>
              <w:rPr>
                <w:rFonts w:ascii="Arial Narrow" w:hAnsi="Arial Narrow" w:cs="Calibri"/>
                <w:sz w:val="18"/>
                <w:szCs w:val="18"/>
                <w:lang w:val="bg-BG"/>
              </w:rPr>
            </w:pPr>
            <w:r w:rsidRPr="00CA32C6">
              <w:rPr>
                <w:rFonts w:ascii="Arial Narrow" w:hAnsi="Arial Narrow" w:cs="Calibri"/>
                <w:sz w:val="18"/>
                <w:szCs w:val="18"/>
                <w:lang w:val="bg-BG"/>
              </w:rPr>
              <w:t>877</w:t>
            </w:r>
          </w:p>
        </w:tc>
        <w:tc>
          <w:tcPr>
            <w:tcW w:w="761" w:type="dxa"/>
            <w:tcBorders>
              <w:top w:val="nil"/>
              <w:left w:val="nil"/>
              <w:bottom w:val="single" w:sz="4" w:space="0" w:color="auto"/>
              <w:right w:val="single" w:sz="4" w:space="0" w:color="auto"/>
            </w:tcBorders>
            <w:shd w:val="clear" w:color="auto" w:fill="auto"/>
            <w:noWrap/>
            <w:vAlign w:val="center"/>
            <w:hideMark/>
          </w:tcPr>
          <w:p w14:paraId="6FD417E1" w14:textId="77777777" w:rsidR="00CA32C6" w:rsidRPr="00CA32C6" w:rsidRDefault="00CA32C6" w:rsidP="00CA32C6">
            <w:pPr>
              <w:jc w:val="right"/>
              <w:rPr>
                <w:rFonts w:ascii="Arial Narrow" w:hAnsi="Arial Narrow" w:cs="Calibri"/>
                <w:sz w:val="18"/>
                <w:szCs w:val="18"/>
                <w:lang w:val="bg-BG"/>
              </w:rPr>
            </w:pPr>
            <w:r w:rsidRPr="00CA32C6">
              <w:rPr>
                <w:rFonts w:ascii="Arial Narrow" w:hAnsi="Arial Narrow" w:cs="Calibri"/>
                <w:sz w:val="18"/>
                <w:szCs w:val="18"/>
                <w:lang w:val="bg-BG"/>
              </w:rPr>
              <w:t>-</w:t>
            </w:r>
          </w:p>
        </w:tc>
        <w:tc>
          <w:tcPr>
            <w:tcW w:w="761" w:type="dxa"/>
            <w:tcBorders>
              <w:top w:val="nil"/>
              <w:left w:val="nil"/>
              <w:bottom w:val="single" w:sz="4" w:space="0" w:color="auto"/>
              <w:right w:val="single" w:sz="4" w:space="0" w:color="auto"/>
            </w:tcBorders>
            <w:shd w:val="clear" w:color="auto" w:fill="auto"/>
            <w:noWrap/>
            <w:vAlign w:val="center"/>
            <w:hideMark/>
          </w:tcPr>
          <w:p w14:paraId="36A50C1F" w14:textId="77777777" w:rsidR="00CA32C6" w:rsidRPr="00CA32C6" w:rsidRDefault="00CA32C6" w:rsidP="00CA32C6">
            <w:pPr>
              <w:jc w:val="right"/>
              <w:rPr>
                <w:rFonts w:ascii="Arial Narrow" w:hAnsi="Arial Narrow" w:cs="Calibri"/>
                <w:sz w:val="18"/>
                <w:szCs w:val="18"/>
                <w:lang w:val="bg-BG"/>
              </w:rPr>
            </w:pPr>
            <w:r w:rsidRPr="00CA32C6">
              <w:rPr>
                <w:rFonts w:ascii="Arial Narrow" w:hAnsi="Arial Narrow" w:cs="Calibri"/>
                <w:sz w:val="18"/>
                <w:szCs w:val="18"/>
                <w:lang w:val="bg-BG"/>
              </w:rPr>
              <w:t>-</w:t>
            </w:r>
          </w:p>
        </w:tc>
        <w:tc>
          <w:tcPr>
            <w:tcW w:w="761" w:type="dxa"/>
            <w:tcBorders>
              <w:top w:val="nil"/>
              <w:left w:val="nil"/>
              <w:bottom w:val="single" w:sz="4" w:space="0" w:color="auto"/>
              <w:right w:val="single" w:sz="4" w:space="0" w:color="auto"/>
            </w:tcBorders>
            <w:shd w:val="clear" w:color="auto" w:fill="auto"/>
            <w:noWrap/>
            <w:vAlign w:val="center"/>
            <w:hideMark/>
          </w:tcPr>
          <w:p w14:paraId="74CEE4FD" w14:textId="77777777" w:rsidR="00CA32C6" w:rsidRPr="00CA32C6" w:rsidRDefault="00CA32C6" w:rsidP="00CA32C6">
            <w:pPr>
              <w:jc w:val="right"/>
              <w:rPr>
                <w:rFonts w:ascii="Arial Narrow" w:hAnsi="Arial Narrow" w:cs="Calibri"/>
                <w:sz w:val="18"/>
                <w:szCs w:val="18"/>
                <w:lang w:val="bg-BG"/>
              </w:rPr>
            </w:pPr>
            <w:r w:rsidRPr="00CA32C6">
              <w:rPr>
                <w:rFonts w:ascii="Arial Narrow" w:hAnsi="Arial Narrow" w:cs="Calibri"/>
                <w:sz w:val="18"/>
                <w:szCs w:val="18"/>
                <w:lang w:val="bg-BG"/>
              </w:rPr>
              <w:t>1 408</w:t>
            </w:r>
          </w:p>
        </w:tc>
        <w:tc>
          <w:tcPr>
            <w:tcW w:w="761" w:type="dxa"/>
            <w:tcBorders>
              <w:top w:val="nil"/>
              <w:left w:val="nil"/>
              <w:bottom w:val="single" w:sz="4" w:space="0" w:color="auto"/>
              <w:right w:val="single" w:sz="4" w:space="0" w:color="auto"/>
            </w:tcBorders>
            <w:shd w:val="clear" w:color="auto" w:fill="auto"/>
            <w:noWrap/>
            <w:vAlign w:val="center"/>
            <w:hideMark/>
          </w:tcPr>
          <w:p w14:paraId="4033B50C" w14:textId="77777777" w:rsidR="00CA32C6" w:rsidRPr="00CA32C6" w:rsidRDefault="00CA32C6" w:rsidP="00CA32C6">
            <w:pPr>
              <w:jc w:val="right"/>
              <w:rPr>
                <w:rFonts w:ascii="Arial Narrow" w:hAnsi="Arial Narrow" w:cs="Calibri"/>
                <w:sz w:val="18"/>
                <w:szCs w:val="18"/>
                <w:lang w:val="bg-BG"/>
              </w:rPr>
            </w:pPr>
            <w:r w:rsidRPr="00CA32C6">
              <w:rPr>
                <w:rFonts w:ascii="Arial Narrow" w:hAnsi="Arial Narrow" w:cs="Calibri"/>
                <w:sz w:val="18"/>
                <w:szCs w:val="18"/>
                <w:lang w:val="bg-BG"/>
              </w:rPr>
              <w:t>1 887</w:t>
            </w:r>
          </w:p>
        </w:tc>
        <w:tc>
          <w:tcPr>
            <w:tcW w:w="761" w:type="dxa"/>
            <w:tcBorders>
              <w:top w:val="nil"/>
              <w:left w:val="nil"/>
              <w:bottom w:val="single" w:sz="4" w:space="0" w:color="auto"/>
              <w:right w:val="single" w:sz="4" w:space="0" w:color="auto"/>
            </w:tcBorders>
            <w:shd w:val="clear" w:color="auto" w:fill="auto"/>
            <w:noWrap/>
            <w:vAlign w:val="center"/>
            <w:hideMark/>
          </w:tcPr>
          <w:p w14:paraId="1AB56002" w14:textId="77777777" w:rsidR="00CA32C6" w:rsidRPr="00CA32C6" w:rsidRDefault="00CA32C6" w:rsidP="00CA32C6">
            <w:pPr>
              <w:jc w:val="right"/>
              <w:rPr>
                <w:rFonts w:ascii="Arial Narrow" w:hAnsi="Arial Narrow" w:cs="Calibri"/>
                <w:sz w:val="18"/>
                <w:szCs w:val="18"/>
                <w:lang w:val="bg-BG"/>
              </w:rPr>
            </w:pPr>
            <w:r w:rsidRPr="00CA32C6">
              <w:rPr>
                <w:rFonts w:ascii="Arial Narrow" w:hAnsi="Arial Narrow" w:cs="Calibri"/>
                <w:sz w:val="18"/>
                <w:szCs w:val="18"/>
                <w:lang w:val="bg-BG"/>
              </w:rPr>
              <w:t>-</w:t>
            </w:r>
          </w:p>
        </w:tc>
        <w:tc>
          <w:tcPr>
            <w:tcW w:w="761" w:type="dxa"/>
            <w:tcBorders>
              <w:top w:val="nil"/>
              <w:left w:val="nil"/>
              <w:bottom w:val="single" w:sz="4" w:space="0" w:color="auto"/>
              <w:right w:val="single" w:sz="4" w:space="0" w:color="auto"/>
            </w:tcBorders>
            <w:shd w:val="clear" w:color="auto" w:fill="auto"/>
            <w:noWrap/>
            <w:vAlign w:val="center"/>
            <w:hideMark/>
          </w:tcPr>
          <w:p w14:paraId="3B30ED9D" w14:textId="77777777" w:rsidR="00CA32C6" w:rsidRPr="00CA32C6" w:rsidRDefault="00CA32C6" w:rsidP="00CA32C6">
            <w:pPr>
              <w:jc w:val="right"/>
              <w:rPr>
                <w:rFonts w:ascii="Arial Narrow" w:hAnsi="Arial Narrow" w:cs="Calibri"/>
                <w:sz w:val="18"/>
                <w:szCs w:val="18"/>
                <w:lang w:val="bg-BG"/>
              </w:rPr>
            </w:pPr>
            <w:r w:rsidRPr="00CA32C6">
              <w:rPr>
                <w:rFonts w:ascii="Arial Narrow" w:hAnsi="Arial Narrow" w:cs="Calibri"/>
                <w:sz w:val="18"/>
                <w:szCs w:val="18"/>
                <w:lang w:val="bg-BG"/>
              </w:rPr>
              <w:t>-</w:t>
            </w:r>
          </w:p>
        </w:tc>
        <w:tc>
          <w:tcPr>
            <w:tcW w:w="761" w:type="dxa"/>
            <w:tcBorders>
              <w:top w:val="nil"/>
              <w:left w:val="nil"/>
              <w:bottom w:val="single" w:sz="4" w:space="0" w:color="auto"/>
              <w:right w:val="single" w:sz="4" w:space="0" w:color="auto"/>
            </w:tcBorders>
            <w:shd w:val="clear" w:color="auto" w:fill="auto"/>
            <w:noWrap/>
            <w:vAlign w:val="center"/>
            <w:hideMark/>
          </w:tcPr>
          <w:p w14:paraId="5F188569" w14:textId="77777777" w:rsidR="00CA32C6" w:rsidRPr="00CA32C6" w:rsidRDefault="00CA32C6" w:rsidP="00CA32C6">
            <w:pPr>
              <w:jc w:val="right"/>
              <w:rPr>
                <w:rFonts w:ascii="Arial Narrow" w:hAnsi="Arial Narrow" w:cs="Calibri"/>
                <w:sz w:val="18"/>
                <w:szCs w:val="18"/>
                <w:lang w:val="bg-BG"/>
              </w:rPr>
            </w:pPr>
            <w:r w:rsidRPr="00CA32C6">
              <w:rPr>
                <w:rFonts w:ascii="Arial Narrow" w:hAnsi="Arial Narrow" w:cs="Calibri"/>
                <w:sz w:val="18"/>
                <w:szCs w:val="18"/>
                <w:lang w:val="bg-BG"/>
              </w:rPr>
              <w:t>1 408</w:t>
            </w:r>
          </w:p>
        </w:tc>
        <w:tc>
          <w:tcPr>
            <w:tcW w:w="761" w:type="dxa"/>
            <w:tcBorders>
              <w:top w:val="nil"/>
              <w:left w:val="nil"/>
              <w:bottom w:val="single" w:sz="4" w:space="0" w:color="auto"/>
              <w:right w:val="single" w:sz="4" w:space="0" w:color="auto"/>
            </w:tcBorders>
            <w:shd w:val="clear" w:color="auto" w:fill="auto"/>
            <w:noWrap/>
            <w:vAlign w:val="center"/>
            <w:hideMark/>
          </w:tcPr>
          <w:p w14:paraId="4AC30421" w14:textId="77777777" w:rsidR="00CA32C6" w:rsidRPr="00CA32C6" w:rsidRDefault="00CA32C6" w:rsidP="00CA32C6">
            <w:pPr>
              <w:jc w:val="right"/>
              <w:rPr>
                <w:rFonts w:ascii="Arial Narrow" w:hAnsi="Arial Narrow" w:cs="Calibri"/>
                <w:sz w:val="18"/>
                <w:szCs w:val="18"/>
                <w:lang w:val="bg-BG"/>
              </w:rPr>
            </w:pPr>
            <w:r w:rsidRPr="00CA32C6">
              <w:rPr>
                <w:rFonts w:ascii="Arial Narrow" w:hAnsi="Arial Narrow" w:cs="Calibri"/>
                <w:sz w:val="18"/>
                <w:szCs w:val="18"/>
                <w:lang w:val="bg-BG"/>
              </w:rPr>
              <w:t>1 887</w:t>
            </w:r>
          </w:p>
        </w:tc>
        <w:tc>
          <w:tcPr>
            <w:tcW w:w="915" w:type="dxa"/>
            <w:tcBorders>
              <w:top w:val="nil"/>
              <w:left w:val="nil"/>
              <w:bottom w:val="single" w:sz="4" w:space="0" w:color="auto"/>
              <w:right w:val="single" w:sz="4" w:space="0" w:color="auto"/>
            </w:tcBorders>
            <w:shd w:val="clear" w:color="auto" w:fill="auto"/>
            <w:noWrap/>
            <w:vAlign w:val="center"/>
            <w:hideMark/>
          </w:tcPr>
          <w:p w14:paraId="368250E9" w14:textId="77777777" w:rsidR="00CA32C6" w:rsidRPr="00CA32C6" w:rsidRDefault="00CA32C6" w:rsidP="00CA32C6">
            <w:pPr>
              <w:jc w:val="right"/>
              <w:rPr>
                <w:rFonts w:ascii="Arial Narrow" w:hAnsi="Arial Narrow" w:cs="Calibri"/>
                <w:sz w:val="18"/>
                <w:szCs w:val="18"/>
                <w:lang w:val="bg-BG"/>
              </w:rPr>
            </w:pPr>
            <w:r w:rsidRPr="00CA32C6">
              <w:rPr>
                <w:rFonts w:ascii="Arial Narrow" w:hAnsi="Arial Narrow" w:cs="Calibri"/>
                <w:sz w:val="18"/>
                <w:szCs w:val="18"/>
                <w:lang w:val="bg-BG"/>
              </w:rPr>
              <w:t>34,0%</w:t>
            </w:r>
          </w:p>
        </w:tc>
        <w:tc>
          <w:tcPr>
            <w:tcW w:w="680" w:type="dxa"/>
            <w:tcBorders>
              <w:top w:val="nil"/>
              <w:left w:val="nil"/>
              <w:bottom w:val="single" w:sz="4" w:space="0" w:color="auto"/>
              <w:right w:val="single" w:sz="4" w:space="0" w:color="auto"/>
            </w:tcBorders>
            <w:shd w:val="clear" w:color="auto" w:fill="auto"/>
            <w:noWrap/>
            <w:vAlign w:val="center"/>
            <w:hideMark/>
          </w:tcPr>
          <w:p w14:paraId="4066DC34" w14:textId="77777777" w:rsidR="00CA32C6" w:rsidRPr="00CA32C6" w:rsidRDefault="00CA32C6" w:rsidP="00CA32C6">
            <w:pPr>
              <w:jc w:val="right"/>
              <w:rPr>
                <w:rFonts w:ascii="Arial Narrow" w:hAnsi="Arial Narrow" w:cs="Calibri"/>
                <w:sz w:val="18"/>
                <w:szCs w:val="18"/>
                <w:lang w:val="bg-BG"/>
              </w:rPr>
            </w:pPr>
            <w:r w:rsidRPr="00CA32C6">
              <w:rPr>
                <w:rFonts w:ascii="Arial Narrow" w:hAnsi="Arial Narrow" w:cs="Calibri"/>
                <w:sz w:val="18"/>
                <w:szCs w:val="18"/>
                <w:lang w:val="bg-BG"/>
              </w:rPr>
              <w:t>2 662</w:t>
            </w:r>
          </w:p>
        </w:tc>
        <w:tc>
          <w:tcPr>
            <w:tcW w:w="680" w:type="dxa"/>
            <w:tcBorders>
              <w:top w:val="nil"/>
              <w:left w:val="nil"/>
              <w:bottom w:val="single" w:sz="4" w:space="0" w:color="auto"/>
              <w:right w:val="single" w:sz="4" w:space="0" w:color="auto"/>
            </w:tcBorders>
            <w:shd w:val="clear" w:color="auto" w:fill="auto"/>
            <w:noWrap/>
            <w:vAlign w:val="center"/>
            <w:hideMark/>
          </w:tcPr>
          <w:p w14:paraId="451A7D66" w14:textId="77777777" w:rsidR="00CA32C6" w:rsidRPr="00CA32C6" w:rsidRDefault="00CA32C6" w:rsidP="00CA32C6">
            <w:pPr>
              <w:jc w:val="right"/>
              <w:rPr>
                <w:rFonts w:ascii="Arial Narrow" w:hAnsi="Arial Narrow" w:cs="Calibri"/>
                <w:sz w:val="18"/>
                <w:szCs w:val="18"/>
                <w:lang w:val="bg-BG"/>
              </w:rPr>
            </w:pPr>
            <w:r w:rsidRPr="00CA32C6">
              <w:rPr>
                <w:rFonts w:ascii="Arial Narrow" w:hAnsi="Arial Narrow" w:cs="Calibri"/>
                <w:sz w:val="18"/>
                <w:szCs w:val="18"/>
                <w:lang w:val="bg-BG"/>
              </w:rPr>
              <w:t>2 152</w:t>
            </w:r>
          </w:p>
        </w:tc>
      </w:tr>
      <w:tr w:rsidR="00CA32C6" w:rsidRPr="00CA32C6" w14:paraId="75B1BE57" w14:textId="77777777" w:rsidTr="009C6577">
        <w:trPr>
          <w:trHeight w:val="517"/>
          <w:jc w:val="center"/>
        </w:trPr>
        <w:tc>
          <w:tcPr>
            <w:tcW w:w="1367" w:type="dxa"/>
            <w:tcBorders>
              <w:top w:val="nil"/>
              <w:left w:val="single" w:sz="4" w:space="0" w:color="auto"/>
              <w:bottom w:val="single" w:sz="4" w:space="0" w:color="auto"/>
              <w:right w:val="single" w:sz="4" w:space="0" w:color="auto"/>
            </w:tcBorders>
            <w:shd w:val="clear" w:color="auto" w:fill="auto"/>
            <w:vAlign w:val="center"/>
            <w:hideMark/>
          </w:tcPr>
          <w:p w14:paraId="341886E8" w14:textId="77777777" w:rsidR="00CA32C6" w:rsidRPr="00CA32C6" w:rsidRDefault="00CA32C6" w:rsidP="00CA32C6">
            <w:pPr>
              <w:rPr>
                <w:rFonts w:ascii="Arial Narrow" w:hAnsi="Arial Narrow" w:cs="Calibri"/>
                <w:sz w:val="18"/>
                <w:szCs w:val="18"/>
                <w:lang w:val="bg-BG"/>
              </w:rPr>
            </w:pPr>
            <w:r w:rsidRPr="00CA32C6">
              <w:rPr>
                <w:rFonts w:ascii="Arial Narrow" w:hAnsi="Arial Narrow" w:cs="Calibri"/>
                <w:sz w:val="18"/>
                <w:szCs w:val="18"/>
                <w:lang w:val="bg-BG"/>
              </w:rPr>
              <w:t>Градински фасул - зелен</w:t>
            </w:r>
          </w:p>
        </w:tc>
        <w:tc>
          <w:tcPr>
            <w:tcW w:w="761" w:type="dxa"/>
            <w:tcBorders>
              <w:top w:val="nil"/>
              <w:left w:val="nil"/>
              <w:bottom w:val="single" w:sz="4" w:space="0" w:color="auto"/>
              <w:right w:val="single" w:sz="4" w:space="0" w:color="auto"/>
            </w:tcBorders>
            <w:shd w:val="clear" w:color="auto" w:fill="auto"/>
            <w:noWrap/>
            <w:vAlign w:val="center"/>
            <w:hideMark/>
          </w:tcPr>
          <w:p w14:paraId="2BFC52F1" w14:textId="77777777" w:rsidR="00CA32C6" w:rsidRPr="00CA32C6" w:rsidRDefault="00CA32C6" w:rsidP="00CA32C6">
            <w:pPr>
              <w:jc w:val="right"/>
              <w:rPr>
                <w:rFonts w:ascii="Arial Narrow" w:hAnsi="Arial Narrow" w:cs="Calibri"/>
                <w:sz w:val="18"/>
                <w:szCs w:val="18"/>
                <w:lang w:val="bg-BG"/>
              </w:rPr>
            </w:pPr>
            <w:r w:rsidRPr="00CA32C6">
              <w:rPr>
                <w:rFonts w:ascii="Arial Narrow" w:hAnsi="Arial Narrow" w:cs="Calibri"/>
                <w:sz w:val="18"/>
                <w:szCs w:val="18"/>
                <w:lang w:val="bg-BG"/>
              </w:rPr>
              <w:t>81</w:t>
            </w:r>
          </w:p>
        </w:tc>
        <w:tc>
          <w:tcPr>
            <w:tcW w:w="761" w:type="dxa"/>
            <w:tcBorders>
              <w:top w:val="nil"/>
              <w:left w:val="nil"/>
              <w:bottom w:val="single" w:sz="4" w:space="0" w:color="auto"/>
              <w:right w:val="single" w:sz="4" w:space="0" w:color="auto"/>
            </w:tcBorders>
            <w:shd w:val="clear" w:color="auto" w:fill="auto"/>
            <w:noWrap/>
            <w:vAlign w:val="center"/>
            <w:hideMark/>
          </w:tcPr>
          <w:p w14:paraId="0A06A72B" w14:textId="77777777" w:rsidR="00CA32C6" w:rsidRPr="00CA32C6" w:rsidRDefault="00CA32C6" w:rsidP="00CA32C6">
            <w:pPr>
              <w:jc w:val="right"/>
              <w:rPr>
                <w:rFonts w:ascii="Arial Narrow" w:hAnsi="Arial Narrow" w:cs="Calibri"/>
                <w:sz w:val="18"/>
                <w:szCs w:val="18"/>
                <w:lang w:val="bg-BG"/>
              </w:rPr>
            </w:pPr>
            <w:r w:rsidRPr="00CA32C6">
              <w:rPr>
                <w:rFonts w:ascii="Arial Narrow" w:hAnsi="Arial Narrow" w:cs="Calibri"/>
                <w:sz w:val="18"/>
                <w:szCs w:val="18"/>
                <w:lang w:val="bg-BG"/>
              </w:rPr>
              <w:t>227</w:t>
            </w:r>
          </w:p>
        </w:tc>
        <w:tc>
          <w:tcPr>
            <w:tcW w:w="761" w:type="dxa"/>
            <w:tcBorders>
              <w:top w:val="nil"/>
              <w:left w:val="nil"/>
              <w:bottom w:val="single" w:sz="4" w:space="0" w:color="auto"/>
              <w:right w:val="single" w:sz="4" w:space="0" w:color="auto"/>
            </w:tcBorders>
            <w:shd w:val="clear" w:color="auto" w:fill="auto"/>
            <w:noWrap/>
            <w:vAlign w:val="center"/>
            <w:hideMark/>
          </w:tcPr>
          <w:p w14:paraId="3C47D844" w14:textId="77777777" w:rsidR="00CA32C6" w:rsidRPr="00CA32C6" w:rsidRDefault="00CA32C6" w:rsidP="00CA32C6">
            <w:pPr>
              <w:jc w:val="right"/>
              <w:rPr>
                <w:rFonts w:ascii="Arial Narrow" w:hAnsi="Arial Narrow" w:cs="Calibri"/>
                <w:sz w:val="18"/>
                <w:szCs w:val="18"/>
                <w:lang w:val="bg-BG"/>
              </w:rPr>
            </w:pPr>
            <w:r w:rsidRPr="00CA32C6">
              <w:rPr>
                <w:rFonts w:ascii="Arial Narrow" w:hAnsi="Arial Narrow" w:cs="Calibri"/>
                <w:sz w:val="18"/>
                <w:szCs w:val="18"/>
                <w:lang w:val="bg-BG"/>
              </w:rPr>
              <w:t>2</w:t>
            </w:r>
          </w:p>
        </w:tc>
        <w:tc>
          <w:tcPr>
            <w:tcW w:w="761" w:type="dxa"/>
            <w:tcBorders>
              <w:top w:val="nil"/>
              <w:left w:val="nil"/>
              <w:bottom w:val="single" w:sz="4" w:space="0" w:color="auto"/>
              <w:right w:val="single" w:sz="4" w:space="0" w:color="auto"/>
            </w:tcBorders>
            <w:shd w:val="clear" w:color="auto" w:fill="auto"/>
            <w:noWrap/>
            <w:vAlign w:val="center"/>
            <w:hideMark/>
          </w:tcPr>
          <w:p w14:paraId="2B4072A9" w14:textId="77777777" w:rsidR="00CA32C6" w:rsidRPr="00CA32C6" w:rsidRDefault="00CA32C6" w:rsidP="00CA32C6">
            <w:pPr>
              <w:jc w:val="right"/>
              <w:rPr>
                <w:rFonts w:ascii="Arial Narrow" w:hAnsi="Arial Narrow" w:cs="Calibri"/>
                <w:sz w:val="18"/>
                <w:szCs w:val="18"/>
                <w:lang w:val="bg-BG"/>
              </w:rPr>
            </w:pPr>
            <w:r w:rsidRPr="00CA32C6">
              <w:rPr>
                <w:rFonts w:ascii="Arial Narrow" w:hAnsi="Arial Narrow" w:cs="Calibri"/>
                <w:sz w:val="18"/>
                <w:szCs w:val="18"/>
                <w:lang w:val="bg-BG"/>
              </w:rPr>
              <w:t>с</w:t>
            </w:r>
          </w:p>
        </w:tc>
        <w:tc>
          <w:tcPr>
            <w:tcW w:w="761" w:type="dxa"/>
            <w:tcBorders>
              <w:top w:val="nil"/>
              <w:left w:val="nil"/>
              <w:bottom w:val="single" w:sz="4" w:space="0" w:color="auto"/>
              <w:right w:val="single" w:sz="4" w:space="0" w:color="auto"/>
            </w:tcBorders>
            <w:shd w:val="clear" w:color="auto" w:fill="auto"/>
            <w:noWrap/>
            <w:vAlign w:val="center"/>
            <w:hideMark/>
          </w:tcPr>
          <w:p w14:paraId="627B7B95" w14:textId="77777777" w:rsidR="00CA32C6" w:rsidRPr="00CA32C6" w:rsidRDefault="00CA32C6" w:rsidP="00CA32C6">
            <w:pPr>
              <w:jc w:val="right"/>
              <w:rPr>
                <w:rFonts w:ascii="Arial Narrow" w:hAnsi="Arial Narrow" w:cs="Calibri"/>
                <w:sz w:val="18"/>
                <w:szCs w:val="18"/>
                <w:lang w:val="bg-BG"/>
              </w:rPr>
            </w:pPr>
            <w:r w:rsidRPr="00CA32C6">
              <w:rPr>
                <w:rFonts w:ascii="Arial Narrow" w:hAnsi="Arial Narrow" w:cs="Calibri"/>
                <w:sz w:val="18"/>
                <w:szCs w:val="18"/>
                <w:lang w:val="bg-BG"/>
              </w:rPr>
              <w:t>302</w:t>
            </w:r>
          </w:p>
        </w:tc>
        <w:tc>
          <w:tcPr>
            <w:tcW w:w="761" w:type="dxa"/>
            <w:tcBorders>
              <w:top w:val="nil"/>
              <w:left w:val="nil"/>
              <w:bottom w:val="single" w:sz="4" w:space="0" w:color="auto"/>
              <w:right w:val="single" w:sz="4" w:space="0" w:color="auto"/>
            </w:tcBorders>
            <w:shd w:val="clear" w:color="auto" w:fill="auto"/>
            <w:noWrap/>
            <w:vAlign w:val="center"/>
            <w:hideMark/>
          </w:tcPr>
          <w:p w14:paraId="3640FA31" w14:textId="77777777" w:rsidR="00CA32C6" w:rsidRPr="00CA32C6" w:rsidRDefault="00CA32C6" w:rsidP="00CA32C6">
            <w:pPr>
              <w:jc w:val="right"/>
              <w:rPr>
                <w:rFonts w:ascii="Arial Narrow" w:hAnsi="Arial Narrow" w:cs="Calibri"/>
                <w:sz w:val="18"/>
                <w:szCs w:val="18"/>
                <w:lang w:val="bg-BG"/>
              </w:rPr>
            </w:pPr>
            <w:r w:rsidRPr="00CA32C6">
              <w:rPr>
                <w:rFonts w:ascii="Arial Narrow" w:hAnsi="Arial Narrow" w:cs="Calibri"/>
                <w:sz w:val="18"/>
                <w:szCs w:val="18"/>
                <w:lang w:val="bg-BG"/>
              </w:rPr>
              <w:t>1 914</w:t>
            </w:r>
          </w:p>
        </w:tc>
        <w:tc>
          <w:tcPr>
            <w:tcW w:w="761" w:type="dxa"/>
            <w:tcBorders>
              <w:top w:val="nil"/>
              <w:left w:val="nil"/>
              <w:bottom w:val="single" w:sz="4" w:space="0" w:color="auto"/>
              <w:right w:val="single" w:sz="4" w:space="0" w:color="auto"/>
            </w:tcBorders>
            <w:shd w:val="clear" w:color="auto" w:fill="auto"/>
            <w:noWrap/>
            <w:vAlign w:val="center"/>
            <w:hideMark/>
          </w:tcPr>
          <w:p w14:paraId="75CAF553" w14:textId="77777777" w:rsidR="00CA32C6" w:rsidRPr="00CA32C6" w:rsidRDefault="00CA32C6" w:rsidP="00CA32C6">
            <w:pPr>
              <w:jc w:val="right"/>
              <w:rPr>
                <w:rFonts w:ascii="Arial Narrow" w:hAnsi="Arial Narrow" w:cs="Calibri"/>
                <w:sz w:val="18"/>
                <w:szCs w:val="18"/>
                <w:lang w:val="bg-BG"/>
              </w:rPr>
            </w:pPr>
            <w:r w:rsidRPr="00CA32C6">
              <w:rPr>
                <w:rFonts w:ascii="Arial Narrow" w:hAnsi="Arial Narrow" w:cs="Calibri"/>
                <w:sz w:val="18"/>
                <w:szCs w:val="18"/>
                <w:lang w:val="bg-BG"/>
              </w:rPr>
              <w:t>20</w:t>
            </w:r>
          </w:p>
        </w:tc>
        <w:tc>
          <w:tcPr>
            <w:tcW w:w="761" w:type="dxa"/>
            <w:tcBorders>
              <w:top w:val="nil"/>
              <w:left w:val="nil"/>
              <w:bottom w:val="single" w:sz="4" w:space="0" w:color="auto"/>
              <w:right w:val="single" w:sz="4" w:space="0" w:color="auto"/>
            </w:tcBorders>
            <w:shd w:val="clear" w:color="auto" w:fill="auto"/>
            <w:noWrap/>
            <w:vAlign w:val="center"/>
            <w:hideMark/>
          </w:tcPr>
          <w:p w14:paraId="063274F4" w14:textId="77777777" w:rsidR="00CA32C6" w:rsidRPr="00CA32C6" w:rsidRDefault="00CA32C6" w:rsidP="00CA32C6">
            <w:pPr>
              <w:jc w:val="right"/>
              <w:rPr>
                <w:rFonts w:ascii="Arial Narrow" w:hAnsi="Arial Narrow" w:cs="Calibri"/>
                <w:sz w:val="18"/>
                <w:szCs w:val="18"/>
                <w:lang w:val="bg-BG"/>
              </w:rPr>
            </w:pPr>
            <w:r w:rsidRPr="00CA32C6">
              <w:rPr>
                <w:rFonts w:ascii="Arial Narrow" w:hAnsi="Arial Narrow" w:cs="Calibri"/>
                <w:sz w:val="18"/>
                <w:szCs w:val="18"/>
                <w:lang w:val="bg-BG"/>
              </w:rPr>
              <w:t>с</w:t>
            </w:r>
          </w:p>
        </w:tc>
        <w:tc>
          <w:tcPr>
            <w:tcW w:w="761" w:type="dxa"/>
            <w:tcBorders>
              <w:top w:val="nil"/>
              <w:left w:val="nil"/>
              <w:bottom w:val="single" w:sz="4" w:space="0" w:color="auto"/>
              <w:right w:val="single" w:sz="4" w:space="0" w:color="auto"/>
            </w:tcBorders>
            <w:shd w:val="clear" w:color="auto" w:fill="auto"/>
            <w:noWrap/>
            <w:vAlign w:val="center"/>
            <w:hideMark/>
          </w:tcPr>
          <w:p w14:paraId="58BD7B99" w14:textId="77777777" w:rsidR="00CA32C6" w:rsidRPr="00CA32C6" w:rsidRDefault="00CA32C6" w:rsidP="00CA32C6">
            <w:pPr>
              <w:jc w:val="right"/>
              <w:rPr>
                <w:rFonts w:ascii="Arial Narrow" w:hAnsi="Arial Narrow" w:cs="Calibri"/>
                <w:sz w:val="18"/>
                <w:szCs w:val="18"/>
                <w:lang w:val="bg-BG"/>
              </w:rPr>
            </w:pPr>
            <w:r w:rsidRPr="00CA32C6">
              <w:rPr>
                <w:rFonts w:ascii="Arial Narrow" w:hAnsi="Arial Narrow" w:cs="Calibri"/>
                <w:sz w:val="18"/>
                <w:szCs w:val="18"/>
                <w:lang w:val="bg-BG"/>
              </w:rPr>
              <w:t>322</w:t>
            </w:r>
          </w:p>
        </w:tc>
        <w:tc>
          <w:tcPr>
            <w:tcW w:w="761" w:type="dxa"/>
            <w:tcBorders>
              <w:top w:val="nil"/>
              <w:left w:val="nil"/>
              <w:bottom w:val="single" w:sz="4" w:space="0" w:color="auto"/>
              <w:right w:val="single" w:sz="4" w:space="0" w:color="auto"/>
            </w:tcBorders>
            <w:shd w:val="clear" w:color="auto" w:fill="auto"/>
            <w:noWrap/>
            <w:vAlign w:val="center"/>
            <w:hideMark/>
          </w:tcPr>
          <w:p w14:paraId="783B76F1" w14:textId="77777777" w:rsidR="00CA32C6" w:rsidRPr="00CA32C6" w:rsidRDefault="00CA32C6" w:rsidP="00CA32C6">
            <w:pPr>
              <w:jc w:val="right"/>
              <w:rPr>
                <w:rFonts w:ascii="Arial Narrow" w:hAnsi="Arial Narrow" w:cs="Calibri"/>
                <w:sz w:val="18"/>
                <w:szCs w:val="18"/>
                <w:lang w:val="bg-BG"/>
              </w:rPr>
            </w:pPr>
            <w:r w:rsidRPr="00CA32C6">
              <w:rPr>
                <w:rFonts w:ascii="Arial Narrow" w:hAnsi="Arial Narrow" w:cs="Calibri"/>
                <w:sz w:val="18"/>
                <w:szCs w:val="18"/>
                <w:lang w:val="bg-BG"/>
              </w:rPr>
              <w:t>с</w:t>
            </w:r>
          </w:p>
        </w:tc>
        <w:tc>
          <w:tcPr>
            <w:tcW w:w="915" w:type="dxa"/>
            <w:tcBorders>
              <w:top w:val="nil"/>
              <w:left w:val="nil"/>
              <w:bottom w:val="single" w:sz="4" w:space="0" w:color="auto"/>
              <w:right w:val="single" w:sz="4" w:space="0" w:color="auto"/>
            </w:tcBorders>
            <w:shd w:val="clear" w:color="auto" w:fill="auto"/>
            <w:noWrap/>
            <w:vAlign w:val="center"/>
            <w:hideMark/>
          </w:tcPr>
          <w:p w14:paraId="1C4EFE01" w14:textId="77777777" w:rsidR="00CA32C6" w:rsidRPr="00CA32C6" w:rsidRDefault="00CA32C6" w:rsidP="00CA32C6">
            <w:pPr>
              <w:jc w:val="right"/>
              <w:rPr>
                <w:rFonts w:ascii="Arial Narrow" w:hAnsi="Arial Narrow" w:cs="Calibri"/>
                <w:sz w:val="18"/>
                <w:szCs w:val="18"/>
                <w:lang w:val="bg-BG"/>
              </w:rPr>
            </w:pPr>
            <w:r w:rsidRPr="00CA32C6">
              <w:rPr>
                <w:rFonts w:ascii="Arial Narrow" w:hAnsi="Arial Narrow" w:cs="Calibri"/>
                <w:sz w:val="18"/>
                <w:szCs w:val="18"/>
                <w:lang w:val="bg-BG"/>
              </w:rPr>
              <w:t>-</w:t>
            </w:r>
          </w:p>
        </w:tc>
        <w:tc>
          <w:tcPr>
            <w:tcW w:w="680" w:type="dxa"/>
            <w:tcBorders>
              <w:top w:val="nil"/>
              <w:left w:val="nil"/>
              <w:bottom w:val="single" w:sz="4" w:space="0" w:color="auto"/>
              <w:right w:val="single" w:sz="4" w:space="0" w:color="auto"/>
            </w:tcBorders>
            <w:shd w:val="clear" w:color="auto" w:fill="auto"/>
            <w:noWrap/>
            <w:vAlign w:val="center"/>
            <w:hideMark/>
          </w:tcPr>
          <w:p w14:paraId="1D7328FC" w14:textId="77777777" w:rsidR="00CA32C6" w:rsidRPr="00CA32C6" w:rsidRDefault="00CA32C6" w:rsidP="00CA32C6">
            <w:pPr>
              <w:jc w:val="right"/>
              <w:rPr>
                <w:rFonts w:ascii="Arial Narrow" w:hAnsi="Arial Narrow" w:cs="Calibri"/>
                <w:sz w:val="18"/>
                <w:szCs w:val="18"/>
                <w:lang w:val="bg-BG"/>
              </w:rPr>
            </w:pPr>
            <w:r w:rsidRPr="00CA32C6">
              <w:rPr>
                <w:rFonts w:ascii="Arial Narrow" w:hAnsi="Arial Narrow" w:cs="Calibri"/>
                <w:sz w:val="18"/>
                <w:szCs w:val="18"/>
                <w:lang w:val="bg-BG"/>
              </w:rPr>
              <w:t>3 728</w:t>
            </w:r>
          </w:p>
        </w:tc>
        <w:tc>
          <w:tcPr>
            <w:tcW w:w="680" w:type="dxa"/>
            <w:tcBorders>
              <w:top w:val="nil"/>
              <w:left w:val="nil"/>
              <w:bottom w:val="single" w:sz="4" w:space="0" w:color="auto"/>
              <w:right w:val="single" w:sz="4" w:space="0" w:color="auto"/>
            </w:tcBorders>
            <w:shd w:val="clear" w:color="auto" w:fill="auto"/>
            <w:noWrap/>
            <w:vAlign w:val="center"/>
            <w:hideMark/>
          </w:tcPr>
          <w:p w14:paraId="65F7FCFF" w14:textId="77777777" w:rsidR="00CA32C6" w:rsidRPr="00CA32C6" w:rsidRDefault="00CA32C6" w:rsidP="00CA32C6">
            <w:pPr>
              <w:jc w:val="right"/>
              <w:rPr>
                <w:rFonts w:ascii="Arial Narrow" w:hAnsi="Arial Narrow" w:cs="Calibri"/>
                <w:sz w:val="18"/>
                <w:szCs w:val="18"/>
                <w:lang w:val="bg-BG"/>
              </w:rPr>
            </w:pPr>
            <w:r w:rsidRPr="00CA32C6">
              <w:rPr>
                <w:rFonts w:ascii="Arial Narrow" w:hAnsi="Arial Narrow" w:cs="Calibri"/>
                <w:sz w:val="18"/>
                <w:szCs w:val="18"/>
                <w:lang w:val="bg-BG"/>
              </w:rPr>
              <w:t>8 432</w:t>
            </w:r>
          </w:p>
        </w:tc>
      </w:tr>
      <w:tr w:rsidR="00CA32C6" w:rsidRPr="00CA32C6" w14:paraId="24197A73" w14:textId="77777777" w:rsidTr="009C6577">
        <w:trPr>
          <w:trHeight w:val="776"/>
          <w:jc w:val="center"/>
        </w:trPr>
        <w:tc>
          <w:tcPr>
            <w:tcW w:w="1367" w:type="dxa"/>
            <w:tcBorders>
              <w:top w:val="nil"/>
              <w:left w:val="single" w:sz="4" w:space="0" w:color="auto"/>
              <w:bottom w:val="single" w:sz="4" w:space="0" w:color="auto"/>
              <w:right w:val="single" w:sz="4" w:space="0" w:color="auto"/>
            </w:tcBorders>
            <w:shd w:val="clear" w:color="auto" w:fill="auto"/>
            <w:vAlign w:val="center"/>
            <w:hideMark/>
          </w:tcPr>
          <w:p w14:paraId="3EE00B8A" w14:textId="77777777" w:rsidR="00CA32C6" w:rsidRPr="00CA32C6" w:rsidRDefault="00CA32C6" w:rsidP="00CA32C6">
            <w:pPr>
              <w:rPr>
                <w:rFonts w:ascii="Arial Narrow" w:hAnsi="Arial Narrow" w:cs="Calibri"/>
                <w:b/>
                <w:bCs/>
                <w:sz w:val="18"/>
                <w:szCs w:val="18"/>
                <w:lang w:val="bg-BG"/>
              </w:rPr>
            </w:pPr>
            <w:r w:rsidRPr="00CA32C6">
              <w:rPr>
                <w:rFonts w:ascii="Arial Narrow" w:hAnsi="Arial Narrow" w:cs="Calibri"/>
                <w:b/>
                <w:bCs/>
                <w:sz w:val="18"/>
                <w:szCs w:val="18"/>
                <w:lang w:val="bg-BG"/>
              </w:rPr>
              <w:t>Зеленчуци от рода Brassica, в т.ч.:</w:t>
            </w:r>
          </w:p>
        </w:tc>
        <w:tc>
          <w:tcPr>
            <w:tcW w:w="761" w:type="dxa"/>
            <w:tcBorders>
              <w:top w:val="nil"/>
              <w:left w:val="nil"/>
              <w:bottom w:val="single" w:sz="4" w:space="0" w:color="auto"/>
              <w:right w:val="single" w:sz="4" w:space="0" w:color="auto"/>
            </w:tcBorders>
            <w:shd w:val="clear" w:color="auto" w:fill="auto"/>
            <w:noWrap/>
            <w:vAlign w:val="center"/>
            <w:hideMark/>
          </w:tcPr>
          <w:p w14:paraId="34277165" w14:textId="77777777" w:rsidR="00CA32C6" w:rsidRPr="00CA32C6" w:rsidRDefault="00CA32C6" w:rsidP="00CA32C6">
            <w:pPr>
              <w:jc w:val="right"/>
              <w:rPr>
                <w:rFonts w:ascii="Arial Narrow" w:hAnsi="Arial Narrow" w:cs="Calibri"/>
                <w:b/>
                <w:bCs/>
                <w:sz w:val="18"/>
                <w:szCs w:val="18"/>
                <w:lang w:val="bg-BG"/>
              </w:rPr>
            </w:pPr>
            <w:r w:rsidRPr="00CA32C6">
              <w:rPr>
                <w:rFonts w:ascii="Arial Narrow" w:hAnsi="Arial Narrow" w:cs="Calibri"/>
                <w:b/>
                <w:bCs/>
                <w:sz w:val="18"/>
                <w:szCs w:val="18"/>
                <w:lang w:val="bg-BG"/>
              </w:rPr>
              <w:t>2 003</w:t>
            </w:r>
          </w:p>
        </w:tc>
        <w:tc>
          <w:tcPr>
            <w:tcW w:w="761" w:type="dxa"/>
            <w:tcBorders>
              <w:top w:val="nil"/>
              <w:left w:val="nil"/>
              <w:bottom w:val="single" w:sz="4" w:space="0" w:color="auto"/>
              <w:right w:val="single" w:sz="4" w:space="0" w:color="auto"/>
            </w:tcBorders>
            <w:shd w:val="clear" w:color="auto" w:fill="auto"/>
            <w:noWrap/>
            <w:vAlign w:val="center"/>
            <w:hideMark/>
          </w:tcPr>
          <w:p w14:paraId="6835F55F" w14:textId="77777777" w:rsidR="00CA32C6" w:rsidRPr="00CA32C6" w:rsidRDefault="00CA32C6" w:rsidP="00CA32C6">
            <w:pPr>
              <w:jc w:val="right"/>
              <w:rPr>
                <w:rFonts w:ascii="Arial Narrow" w:hAnsi="Arial Narrow" w:cs="Calibri"/>
                <w:b/>
                <w:bCs/>
                <w:sz w:val="18"/>
                <w:szCs w:val="18"/>
                <w:lang w:val="bg-BG"/>
              </w:rPr>
            </w:pPr>
            <w:r w:rsidRPr="00CA32C6">
              <w:rPr>
                <w:rFonts w:ascii="Arial Narrow" w:hAnsi="Arial Narrow" w:cs="Calibri"/>
                <w:b/>
                <w:bCs/>
                <w:sz w:val="18"/>
                <w:szCs w:val="18"/>
                <w:lang w:val="bg-BG"/>
              </w:rPr>
              <w:t>1 758</w:t>
            </w:r>
          </w:p>
        </w:tc>
        <w:tc>
          <w:tcPr>
            <w:tcW w:w="761" w:type="dxa"/>
            <w:tcBorders>
              <w:top w:val="nil"/>
              <w:left w:val="nil"/>
              <w:bottom w:val="single" w:sz="4" w:space="0" w:color="auto"/>
              <w:right w:val="single" w:sz="4" w:space="0" w:color="auto"/>
            </w:tcBorders>
            <w:shd w:val="clear" w:color="auto" w:fill="auto"/>
            <w:noWrap/>
            <w:vAlign w:val="center"/>
            <w:hideMark/>
          </w:tcPr>
          <w:p w14:paraId="79133ADD" w14:textId="77777777" w:rsidR="00CA32C6" w:rsidRPr="00CA32C6" w:rsidRDefault="00CA32C6" w:rsidP="00CA32C6">
            <w:pPr>
              <w:jc w:val="right"/>
              <w:rPr>
                <w:rFonts w:ascii="Arial Narrow" w:hAnsi="Arial Narrow" w:cs="Calibri"/>
                <w:b/>
                <w:bCs/>
                <w:sz w:val="18"/>
                <w:szCs w:val="18"/>
                <w:lang w:val="bg-BG"/>
              </w:rPr>
            </w:pPr>
            <w:r w:rsidRPr="00CA32C6">
              <w:rPr>
                <w:rFonts w:ascii="Arial Narrow" w:hAnsi="Arial Narrow" w:cs="Calibri"/>
                <w:b/>
                <w:bCs/>
                <w:sz w:val="18"/>
                <w:szCs w:val="18"/>
                <w:lang w:val="bg-BG"/>
              </w:rPr>
              <w:t>-</w:t>
            </w:r>
          </w:p>
        </w:tc>
        <w:tc>
          <w:tcPr>
            <w:tcW w:w="761" w:type="dxa"/>
            <w:tcBorders>
              <w:top w:val="nil"/>
              <w:left w:val="nil"/>
              <w:bottom w:val="single" w:sz="4" w:space="0" w:color="auto"/>
              <w:right w:val="single" w:sz="4" w:space="0" w:color="auto"/>
            </w:tcBorders>
            <w:shd w:val="clear" w:color="auto" w:fill="auto"/>
            <w:noWrap/>
            <w:vAlign w:val="center"/>
            <w:hideMark/>
          </w:tcPr>
          <w:p w14:paraId="71C62C10" w14:textId="77777777" w:rsidR="00CA32C6" w:rsidRPr="00CA32C6" w:rsidRDefault="00CA32C6" w:rsidP="00CA32C6">
            <w:pPr>
              <w:jc w:val="right"/>
              <w:rPr>
                <w:rFonts w:ascii="Arial Narrow" w:hAnsi="Arial Narrow" w:cs="Calibri"/>
                <w:b/>
                <w:bCs/>
                <w:sz w:val="18"/>
                <w:szCs w:val="18"/>
                <w:lang w:val="bg-BG"/>
              </w:rPr>
            </w:pPr>
            <w:r w:rsidRPr="00CA32C6">
              <w:rPr>
                <w:rFonts w:ascii="Arial Narrow" w:hAnsi="Arial Narrow" w:cs="Calibri"/>
                <w:b/>
                <w:bCs/>
                <w:sz w:val="18"/>
                <w:szCs w:val="18"/>
                <w:lang w:val="bg-BG"/>
              </w:rPr>
              <w:t>-</w:t>
            </w:r>
          </w:p>
        </w:tc>
        <w:tc>
          <w:tcPr>
            <w:tcW w:w="761" w:type="dxa"/>
            <w:tcBorders>
              <w:top w:val="nil"/>
              <w:left w:val="nil"/>
              <w:bottom w:val="single" w:sz="4" w:space="0" w:color="auto"/>
              <w:right w:val="single" w:sz="4" w:space="0" w:color="auto"/>
            </w:tcBorders>
            <w:shd w:val="clear" w:color="auto" w:fill="auto"/>
            <w:noWrap/>
            <w:vAlign w:val="center"/>
            <w:hideMark/>
          </w:tcPr>
          <w:p w14:paraId="5A9564B6" w14:textId="77777777" w:rsidR="00CA32C6" w:rsidRPr="00CA32C6" w:rsidRDefault="00CA32C6" w:rsidP="00CA32C6">
            <w:pPr>
              <w:jc w:val="right"/>
              <w:rPr>
                <w:rFonts w:ascii="Arial Narrow" w:hAnsi="Arial Narrow" w:cs="Calibri"/>
                <w:b/>
                <w:bCs/>
                <w:sz w:val="18"/>
                <w:szCs w:val="18"/>
                <w:lang w:val="bg-BG"/>
              </w:rPr>
            </w:pPr>
            <w:r w:rsidRPr="00CA32C6">
              <w:rPr>
                <w:rFonts w:ascii="Arial Narrow" w:hAnsi="Arial Narrow" w:cs="Calibri"/>
                <w:b/>
                <w:bCs/>
                <w:sz w:val="18"/>
                <w:szCs w:val="18"/>
                <w:lang w:val="bg-BG"/>
              </w:rPr>
              <w:t>47 090</w:t>
            </w:r>
          </w:p>
        </w:tc>
        <w:tc>
          <w:tcPr>
            <w:tcW w:w="761" w:type="dxa"/>
            <w:tcBorders>
              <w:top w:val="nil"/>
              <w:left w:val="nil"/>
              <w:bottom w:val="single" w:sz="4" w:space="0" w:color="auto"/>
              <w:right w:val="single" w:sz="4" w:space="0" w:color="auto"/>
            </w:tcBorders>
            <w:shd w:val="clear" w:color="auto" w:fill="auto"/>
            <w:noWrap/>
            <w:vAlign w:val="center"/>
            <w:hideMark/>
          </w:tcPr>
          <w:p w14:paraId="3045808C" w14:textId="77777777" w:rsidR="00CA32C6" w:rsidRPr="00CA32C6" w:rsidRDefault="00CA32C6" w:rsidP="00CA32C6">
            <w:pPr>
              <w:jc w:val="right"/>
              <w:rPr>
                <w:rFonts w:ascii="Arial Narrow" w:hAnsi="Arial Narrow" w:cs="Calibri"/>
                <w:b/>
                <w:bCs/>
                <w:sz w:val="18"/>
                <w:szCs w:val="18"/>
                <w:lang w:val="bg-BG"/>
              </w:rPr>
            </w:pPr>
            <w:r w:rsidRPr="00CA32C6">
              <w:rPr>
                <w:rFonts w:ascii="Arial Narrow" w:hAnsi="Arial Narrow" w:cs="Calibri"/>
                <w:b/>
                <w:bCs/>
                <w:sz w:val="18"/>
                <w:szCs w:val="18"/>
                <w:lang w:val="bg-BG"/>
              </w:rPr>
              <w:t>33 274</w:t>
            </w:r>
          </w:p>
        </w:tc>
        <w:tc>
          <w:tcPr>
            <w:tcW w:w="761" w:type="dxa"/>
            <w:tcBorders>
              <w:top w:val="nil"/>
              <w:left w:val="nil"/>
              <w:bottom w:val="single" w:sz="4" w:space="0" w:color="auto"/>
              <w:right w:val="single" w:sz="4" w:space="0" w:color="auto"/>
            </w:tcBorders>
            <w:shd w:val="clear" w:color="auto" w:fill="auto"/>
            <w:noWrap/>
            <w:vAlign w:val="center"/>
            <w:hideMark/>
          </w:tcPr>
          <w:p w14:paraId="756139F2" w14:textId="77777777" w:rsidR="00CA32C6" w:rsidRPr="00CA32C6" w:rsidRDefault="00CA32C6" w:rsidP="00CA32C6">
            <w:pPr>
              <w:jc w:val="right"/>
              <w:rPr>
                <w:rFonts w:ascii="Arial Narrow" w:hAnsi="Arial Narrow" w:cs="Calibri"/>
                <w:b/>
                <w:bCs/>
                <w:sz w:val="18"/>
                <w:szCs w:val="18"/>
                <w:lang w:val="bg-BG"/>
              </w:rPr>
            </w:pPr>
            <w:r w:rsidRPr="00CA32C6">
              <w:rPr>
                <w:rFonts w:ascii="Arial Narrow" w:hAnsi="Arial Narrow" w:cs="Calibri"/>
                <w:b/>
                <w:bCs/>
                <w:sz w:val="18"/>
                <w:szCs w:val="18"/>
                <w:lang w:val="bg-BG"/>
              </w:rPr>
              <w:t>-</w:t>
            </w:r>
          </w:p>
        </w:tc>
        <w:tc>
          <w:tcPr>
            <w:tcW w:w="761" w:type="dxa"/>
            <w:tcBorders>
              <w:top w:val="nil"/>
              <w:left w:val="nil"/>
              <w:bottom w:val="single" w:sz="4" w:space="0" w:color="auto"/>
              <w:right w:val="single" w:sz="4" w:space="0" w:color="auto"/>
            </w:tcBorders>
            <w:shd w:val="clear" w:color="auto" w:fill="auto"/>
            <w:noWrap/>
            <w:vAlign w:val="center"/>
            <w:hideMark/>
          </w:tcPr>
          <w:p w14:paraId="2DF8F6DF" w14:textId="77777777" w:rsidR="00CA32C6" w:rsidRPr="00CA32C6" w:rsidRDefault="00CA32C6" w:rsidP="00CA32C6">
            <w:pPr>
              <w:jc w:val="right"/>
              <w:rPr>
                <w:rFonts w:ascii="Arial Narrow" w:hAnsi="Arial Narrow" w:cs="Calibri"/>
                <w:b/>
                <w:bCs/>
                <w:sz w:val="18"/>
                <w:szCs w:val="18"/>
                <w:lang w:val="bg-BG"/>
              </w:rPr>
            </w:pPr>
            <w:r w:rsidRPr="00CA32C6">
              <w:rPr>
                <w:rFonts w:ascii="Arial Narrow" w:hAnsi="Arial Narrow" w:cs="Calibri"/>
                <w:b/>
                <w:bCs/>
                <w:sz w:val="18"/>
                <w:szCs w:val="18"/>
                <w:lang w:val="bg-BG"/>
              </w:rPr>
              <w:t>-</w:t>
            </w:r>
          </w:p>
        </w:tc>
        <w:tc>
          <w:tcPr>
            <w:tcW w:w="761" w:type="dxa"/>
            <w:tcBorders>
              <w:top w:val="nil"/>
              <w:left w:val="nil"/>
              <w:bottom w:val="single" w:sz="4" w:space="0" w:color="auto"/>
              <w:right w:val="single" w:sz="4" w:space="0" w:color="auto"/>
            </w:tcBorders>
            <w:shd w:val="clear" w:color="auto" w:fill="auto"/>
            <w:noWrap/>
            <w:vAlign w:val="center"/>
            <w:hideMark/>
          </w:tcPr>
          <w:p w14:paraId="43238986" w14:textId="77777777" w:rsidR="00CA32C6" w:rsidRPr="00CA32C6" w:rsidRDefault="00CA32C6" w:rsidP="00CA32C6">
            <w:pPr>
              <w:jc w:val="right"/>
              <w:rPr>
                <w:rFonts w:ascii="Arial Narrow" w:hAnsi="Arial Narrow" w:cs="Calibri"/>
                <w:b/>
                <w:bCs/>
                <w:sz w:val="18"/>
                <w:szCs w:val="18"/>
                <w:lang w:val="bg-BG"/>
              </w:rPr>
            </w:pPr>
            <w:r w:rsidRPr="00CA32C6">
              <w:rPr>
                <w:rFonts w:ascii="Arial Narrow" w:hAnsi="Arial Narrow" w:cs="Calibri"/>
                <w:b/>
                <w:bCs/>
                <w:sz w:val="18"/>
                <w:szCs w:val="18"/>
                <w:lang w:val="bg-BG"/>
              </w:rPr>
              <w:t>47 090</w:t>
            </w:r>
          </w:p>
        </w:tc>
        <w:tc>
          <w:tcPr>
            <w:tcW w:w="761" w:type="dxa"/>
            <w:tcBorders>
              <w:top w:val="nil"/>
              <w:left w:val="nil"/>
              <w:bottom w:val="single" w:sz="4" w:space="0" w:color="auto"/>
              <w:right w:val="single" w:sz="4" w:space="0" w:color="auto"/>
            </w:tcBorders>
            <w:shd w:val="clear" w:color="auto" w:fill="auto"/>
            <w:noWrap/>
            <w:vAlign w:val="center"/>
            <w:hideMark/>
          </w:tcPr>
          <w:p w14:paraId="455FC294" w14:textId="77777777" w:rsidR="00CA32C6" w:rsidRPr="00CA32C6" w:rsidRDefault="00CA32C6" w:rsidP="00CA32C6">
            <w:pPr>
              <w:jc w:val="right"/>
              <w:rPr>
                <w:rFonts w:ascii="Arial Narrow" w:hAnsi="Arial Narrow" w:cs="Calibri"/>
                <w:b/>
                <w:bCs/>
                <w:sz w:val="18"/>
                <w:szCs w:val="18"/>
                <w:lang w:val="bg-BG"/>
              </w:rPr>
            </w:pPr>
            <w:r w:rsidRPr="00CA32C6">
              <w:rPr>
                <w:rFonts w:ascii="Arial Narrow" w:hAnsi="Arial Narrow" w:cs="Calibri"/>
                <w:b/>
                <w:bCs/>
                <w:sz w:val="18"/>
                <w:szCs w:val="18"/>
                <w:lang w:val="bg-BG"/>
              </w:rPr>
              <w:t>33 274</w:t>
            </w:r>
          </w:p>
        </w:tc>
        <w:tc>
          <w:tcPr>
            <w:tcW w:w="915" w:type="dxa"/>
            <w:tcBorders>
              <w:top w:val="nil"/>
              <w:left w:val="nil"/>
              <w:bottom w:val="single" w:sz="4" w:space="0" w:color="auto"/>
              <w:right w:val="single" w:sz="4" w:space="0" w:color="auto"/>
            </w:tcBorders>
            <w:shd w:val="clear" w:color="auto" w:fill="auto"/>
            <w:noWrap/>
            <w:vAlign w:val="center"/>
            <w:hideMark/>
          </w:tcPr>
          <w:p w14:paraId="05B88CFF" w14:textId="77777777" w:rsidR="00CA32C6" w:rsidRPr="00CA32C6" w:rsidRDefault="00CA32C6" w:rsidP="00CA32C6">
            <w:pPr>
              <w:jc w:val="right"/>
              <w:rPr>
                <w:rFonts w:ascii="Arial Narrow" w:hAnsi="Arial Narrow" w:cs="Calibri"/>
                <w:b/>
                <w:bCs/>
                <w:sz w:val="18"/>
                <w:szCs w:val="18"/>
                <w:lang w:val="bg-BG"/>
              </w:rPr>
            </w:pPr>
            <w:r w:rsidRPr="00CA32C6">
              <w:rPr>
                <w:rFonts w:ascii="Arial Narrow" w:hAnsi="Arial Narrow" w:cs="Calibri"/>
                <w:b/>
                <w:bCs/>
                <w:sz w:val="18"/>
                <w:szCs w:val="18"/>
                <w:lang w:val="bg-BG"/>
              </w:rPr>
              <w:t>-29,3%</w:t>
            </w:r>
          </w:p>
        </w:tc>
        <w:tc>
          <w:tcPr>
            <w:tcW w:w="680" w:type="dxa"/>
            <w:tcBorders>
              <w:top w:val="nil"/>
              <w:left w:val="nil"/>
              <w:bottom w:val="single" w:sz="4" w:space="0" w:color="auto"/>
              <w:right w:val="single" w:sz="4" w:space="0" w:color="auto"/>
            </w:tcBorders>
            <w:shd w:val="clear" w:color="auto" w:fill="auto"/>
            <w:noWrap/>
            <w:vAlign w:val="center"/>
            <w:hideMark/>
          </w:tcPr>
          <w:p w14:paraId="1405D553" w14:textId="77777777" w:rsidR="00CA32C6" w:rsidRPr="00CA32C6" w:rsidRDefault="00CA32C6" w:rsidP="00CA32C6">
            <w:pPr>
              <w:jc w:val="right"/>
              <w:rPr>
                <w:rFonts w:ascii="Arial Narrow" w:hAnsi="Arial Narrow" w:cs="Calibri"/>
                <w:b/>
                <w:bCs/>
                <w:sz w:val="18"/>
                <w:szCs w:val="18"/>
                <w:lang w:val="bg-BG"/>
              </w:rPr>
            </w:pPr>
            <w:r w:rsidRPr="00CA32C6">
              <w:rPr>
                <w:rFonts w:ascii="Arial Narrow" w:hAnsi="Arial Narrow" w:cs="Calibri"/>
                <w:b/>
                <w:bCs/>
                <w:sz w:val="18"/>
                <w:szCs w:val="18"/>
                <w:lang w:val="bg-BG"/>
              </w:rPr>
              <w:t>-</w:t>
            </w:r>
          </w:p>
        </w:tc>
        <w:tc>
          <w:tcPr>
            <w:tcW w:w="680" w:type="dxa"/>
            <w:tcBorders>
              <w:top w:val="nil"/>
              <w:left w:val="nil"/>
              <w:bottom w:val="single" w:sz="4" w:space="0" w:color="auto"/>
              <w:right w:val="single" w:sz="4" w:space="0" w:color="auto"/>
            </w:tcBorders>
            <w:shd w:val="clear" w:color="auto" w:fill="auto"/>
            <w:noWrap/>
            <w:vAlign w:val="center"/>
            <w:hideMark/>
          </w:tcPr>
          <w:p w14:paraId="3ED59DF4" w14:textId="77777777" w:rsidR="00CA32C6" w:rsidRPr="00CA32C6" w:rsidRDefault="00CA32C6" w:rsidP="00CA32C6">
            <w:pPr>
              <w:jc w:val="right"/>
              <w:rPr>
                <w:rFonts w:ascii="Arial Narrow" w:hAnsi="Arial Narrow" w:cs="Calibri"/>
                <w:b/>
                <w:bCs/>
                <w:sz w:val="18"/>
                <w:szCs w:val="18"/>
                <w:lang w:val="bg-BG"/>
              </w:rPr>
            </w:pPr>
            <w:r w:rsidRPr="00CA32C6">
              <w:rPr>
                <w:rFonts w:ascii="Arial Narrow" w:hAnsi="Arial Narrow" w:cs="Calibri"/>
                <w:b/>
                <w:bCs/>
                <w:sz w:val="18"/>
                <w:szCs w:val="18"/>
                <w:lang w:val="bg-BG"/>
              </w:rPr>
              <w:t>-</w:t>
            </w:r>
          </w:p>
        </w:tc>
      </w:tr>
      <w:tr w:rsidR="00CA32C6" w:rsidRPr="00CA32C6" w14:paraId="78CDB33A" w14:textId="77777777" w:rsidTr="009C6577">
        <w:trPr>
          <w:trHeight w:val="287"/>
          <w:jc w:val="center"/>
        </w:trPr>
        <w:tc>
          <w:tcPr>
            <w:tcW w:w="1367" w:type="dxa"/>
            <w:tcBorders>
              <w:top w:val="nil"/>
              <w:left w:val="single" w:sz="4" w:space="0" w:color="auto"/>
              <w:bottom w:val="single" w:sz="4" w:space="0" w:color="auto"/>
              <w:right w:val="single" w:sz="4" w:space="0" w:color="auto"/>
            </w:tcBorders>
            <w:shd w:val="clear" w:color="auto" w:fill="auto"/>
            <w:vAlign w:val="center"/>
            <w:hideMark/>
          </w:tcPr>
          <w:p w14:paraId="007B5B55" w14:textId="77777777" w:rsidR="00CA32C6" w:rsidRPr="00CA32C6" w:rsidRDefault="00CA32C6" w:rsidP="00CA32C6">
            <w:pPr>
              <w:rPr>
                <w:rFonts w:ascii="Arial Narrow" w:hAnsi="Arial Narrow" w:cs="Calibri"/>
                <w:sz w:val="18"/>
                <w:szCs w:val="18"/>
                <w:lang w:val="bg-BG"/>
              </w:rPr>
            </w:pPr>
            <w:r w:rsidRPr="00CA32C6">
              <w:rPr>
                <w:rFonts w:ascii="Arial Narrow" w:hAnsi="Arial Narrow" w:cs="Calibri"/>
                <w:sz w:val="18"/>
                <w:szCs w:val="18"/>
                <w:lang w:val="bg-BG"/>
              </w:rPr>
              <w:t>Главесто зеле</w:t>
            </w:r>
          </w:p>
        </w:tc>
        <w:tc>
          <w:tcPr>
            <w:tcW w:w="761" w:type="dxa"/>
            <w:tcBorders>
              <w:top w:val="nil"/>
              <w:left w:val="nil"/>
              <w:bottom w:val="single" w:sz="4" w:space="0" w:color="auto"/>
              <w:right w:val="single" w:sz="4" w:space="0" w:color="auto"/>
            </w:tcBorders>
            <w:shd w:val="clear" w:color="auto" w:fill="auto"/>
            <w:noWrap/>
            <w:vAlign w:val="center"/>
            <w:hideMark/>
          </w:tcPr>
          <w:p w14:paraId="176B7F48" w14:textId="77777777" w:rsidR="00CA32C6" w:rsidRPr="00CA32C6" w:rsidRDefault="00CA32C6" w:rsidP="00CA32C6">
            <w:pPr>
              <w:jc w:val="right"/>
              <w:rPr>
                <w:rFonts w:ascii="Arial Narrow" w:hAnsi="Arial Narrow" w:cs="Calibri"/>
                <w:sz w:val="18"/>
                <w:szCs w:val="18"/>
                <w:lang w:val="bg-BG"/>
              </w:rPr>
            </w:pPr>
            <w:r w:rsidRPr="00CA32C6">
              <w:rPr>
                <w:rFonts w:ascii="Arial Narrow" w:hAnsi="Arial Narrow" w:cs="Calibri"/>
                <w:sz w:val="18"/>
                <w:szCs w:val="18"/>
                <w:lang w:val="bg-BG"/>
              </w:rPr>
              <w:t>1 847</w:t>
            </w:r>
          </w:p>
        </w:tc>
        <w:tc>
          <w:tcPr>
            <w:tcW w:w="761" w:type="dxa"/>
            <w:tcBorders>
              <w:top w:val="nil"/>
              <w:left w:val="nil"/>
              <w:bottom w:val="single" w:sz="4" w:space="0" w:color="auto"/>
              <w:right w:val="single" w:sz="4" w:space="0" w:color="auto"/>
            </w:tcBorders>
            <w:shd w:val="clear" w:color="auto" w:fill="auto"/>
            <w:noWrap/>
            <w:vAlign w:val="center"/>
            <w:hideMark/>
          </w:tcPr>
          <w:p w14:paraId="11FEB7DD" w14:textId="77777777" w:rsidR="00CA32C6" w:rsidRPr="00CA32C6" w:rsidRDefault="00CA32C6" w:rsidP="00CA32C6">
            <w:pPr>
              <w:jc w:val="right"/>
              <w:rPr>
                <w:rFonts w:ascii="Arial Narrow" w:hAnsi="Arial Narrow" w:cs="Calibri"/>
                <w:sz w:val="18"/>
                <w:szCs w:val="18"/>
                <w:lang w:val="bg-BG"/>
              </w:rPr>
            </w:pPr>
            <w:r w:rsidRPr="00CA32C6">
              <w:rPr>
                <w:rFonts w:ascii="Arial Narrow" w:hAnsi="Arial Narrow" w:cs="Calibri"/>
                <w:sz w:val="18"/>
                <w:szCs w:val="18"/>
                <w:lang w:val="bg-BG"/>
              </w:rPr>
              <w:t>1 684</w:t>
            </w:r>
          </w:p>
        </w:tc>
        <w:tc>
          <w:tcPr>
            <w:tcW w:w="761" w:type="dxa"/>
            <w:tcBorders>
              <w:top w:val="nil"/>
              <w:left w:val="nil"/>
              <w:bottom w:val="single" w:sz="4" w:space="0" w:color="auto"/>
              <w:right w:val="single" w:sz="4" w:space="0" w:color="auto"/>
            </w:tcBorders>
            <w:shd w:val="clear" w:color="auto" w:fill="auto"/>
            <w:noWrap/>
            <w:vAlign w:val="center"/>
            <w:hideMark/>
          </w:tcPr>
          <w:p w14:paraId="73E05BEE" w14:textId="77777777" w:rsidR="00CA32C6" w:rsidRPr="00CA32C6" w:rsidRDefault="00CA32C6" w:rsidP="00CA32C6">
            <w:pPr>
              <w:jc w:val="right"/>
              <w:rPr>
                <w:rFonts w:ascii="Arial Narrow" w:hAnsi="Arial Narrow" w:cs="Calibri"/>
                <w:sz w:val="18"/>
                <w:szCs w:val="18"/>
                <w:lang w:val="bg-BG"/>
              </w:rPr>
            </w:pPr>
            <w:r w:rsidRPr="00CA32C6">
              <w:rPr>
                <w:rFonts w:ascii="Arial Narrow" w:hAnsi="Arial Narrow" w:cs="Calibri"/>
                <w:sz w:val="18"/>
                <w:szCs w:val="18"/>
                <w:lang w:val="bg-BG"/>
              </w:rPr>
              <w:t>-</w:t>
            </w:r>
          </w:p>
        </w:tc>
        <w:tc>
          <w:tcPr>
            <w:tcW w:w="761" w:type="dxa"/>
            <w:tcBorders>
              <w:top w:val="nil"/>
              <w:left w:val="nil"/>
              <w:bottom w:val="single" w:sz="4" w:space="0" w:color="auto"/>
              <w:right w:val="single" w:sz="4" w:space="0" w:color="auto"/>
            </w:tcBorders>
            <w:shd w:val="clear" w:color="auto" w:fill="auto"/>
            <w:noWrap/>
            <w:vAlign w:val="center"/>
            <w:hideMark/>
          </w:tcPr>
          <w:p w14:paraId="0133BC54" w14:textId="77777777" w:rsidR="00CA32C6" w:rsidRPr="00CA32C6" w:rsidRDefault="00CA32C6" w:rsidP="00CA32C6">
            <w:pPr>
              <w:jc w:val="right"/>
              <w:rPr>
                <w:rFonts w:ascii="Arial Narrow" w:hAnsi="Arial Narrow" w:cs="Calibri"/>
                <w:sz w:val="18"/>
                <w:szCs w:val="18"/>
                <w:lang w:val="bg-BG"/>
              </w:rPr>
            </w:pPr>
            <w:r w:rsidRPr="00CA32C6">
              <w:rPr>
                <w:rFonts w:ascii="Arial Narrow" w:hAnsi="Arial Narrow" w:cs="Calibri"/>
                <w:sz w:val="18"/>
                <w:szCs w:val="18"/>
                <w:lang w:val="bg-BG"/>
              </w:rPr>
              <w:t>-</w:t>
            </w:r>
          </w:p>
        </w:tc>
        <w:tc>
          <w:tcPr>
            <w:tcW w:w="761" w:type="dxa"/>
            <w:tcBorders>
              <w:top w:val="nil"/>
              <w:left w:val="nil"/>
              <w:bottom w:val="single" w:sz="4" w:space="0" w:color="auto"/>
              <w:right w:val="single" w:sz="4" w:space="0" w:color="auto"/>
            </w:tcBorders>
            <w:shd w:val="clear" w:color="auto" w:fill="auto"/>
            <w:noWrap/>
            <w:vAlign w:val="center"/>
            <w:hideMark/>
          </w:tcPr>
          <w:p w14:paraId="38CC8BF4" w14:textId="77777777" w:rsidR="00CA32C6" w:rsidRPr="00CA32C6" w:rsidRDefault="00CA32C6" w:rsidP="00CA32C6">
            <w:pPr>
              <w:jc w:val="right"/>
              <w:rPr>
                <w:rFonts w:ascii="Arial Narrow" w:hAnsi="Arial Narrow" w:cs="Calibri"/>
                <w:sz w:val="18"/>
                <w:szCs w:val="18"/>
                <w:lang w:val="bg-BG"/>
              </w:rPr>
            </w:pPr>
            <w:r w:rsidRPr="00CA32C6">
              <w:rPr>
                <w:rFonts w:ascii="Arial Narrow" w:hAnsi="Arial Narrow" w:cs="Calibri"/>
                <w:sz w:val="18"/>
                <w:szCs w:val="18"/>
                <w:lang w:val="bg-BG"/>
              </w:rPr>
              <w:t>44 963</w:t>
            </w:r>
          </w:p>
        </w:tc>
        <w:tc>
          <w:tcPr>
            <w:tcW w:w="761" w:type="dxa"/>
            <w:tcBorders>
              <w:top w:val="nil"/>
              <w:left w:val="nil"/>
              <w:bottom w:val="single" w:sz="4" w:space="0" w:color="auto"/>
              <w:right w:val="single" w:sz="4" w:space="0" w:color="auto"/>
            </w:tcBorders>
            <w:shd w:val="clear" w:color="auto" w:fill="auto"/>
            <w:noWrap/>
            <w:vAlign w:val="center"/>
            <w:hideMark/>
          </w:tcPr>
          <w:p w14:paraId="1A21D447" w14:textId="77777777" w:rsidR="00CA32C6" w:rsidRPr="00CA32C6" w:rsidRDefault="00CA32C6" w:rsidP="00CA32C6">
            <w:pPr>
              <w:jc w:val="right"/>
              <w:rPr>
                <w:rFonts w:ascii="Arial Narrow" w:hAnsi="Arial Narrow" w:cs="Calibri"/>
                <w:sz w:val="18"/>
                <w:szCs w:val="18"/>
                <w:lang w:val="bg-BG"/>
              </w:rPr>
            </w:pPr>
            <w:r w:rsidRPr="00CA32C6">
              <w:rPr>
                <w:rFonts w:ascii="Arial Narrow" w:hAnsi="Arial Narrow" w:cs="Calibri"/>
                <w:sz w:val="18"/>
                <w:szCs w:val="18"/>
                <w:lang w:val="bg-BG"/>
              </w:rPr>
              <w:t>32 522</w:t>
            </w:r>
          </w:p>
        </w:tc>
        <w:tc>
          <w:tcPr>
            <w:tcW w:w="761" w:type="dxa"/>
            <w:tcBorders>
              <w:top w:val="nil"/>
              <w:left w:val="nil"/>
              <w:bottom w:val="single" w:sz="4" w:space="0" w:color="auto"/>
              <w:right w:val="single" w:sz="4" w:space="0" w:color="auto"/>
            </w:tcBorders>
            <w:shd w:val="clear" w:color="auto" w:fill="auto"/>
            <w:noWrap/>
            <w:vAlign w:val="center"/>
            <w:hideMark/>
          </w:tcPr>
          <w:p w14:paraId="1ED9756C" w14:textId="77777777" w:rsidR="00CA32C6" w:rsidRPr="00CA32C6" w:rsidRDefault="00CA32C6" w:rsidP="00CA32C6">
            <w:pPr>
              <w:jc w:val="right"/>
              <w:rPr>
                <w:rFonts w:ascii="Arial Narrow" w:hAnsi="Arial Narrow" w:cs="Calibri"/>
                <w:sz w:val="18"/>
                <w:szCs w:val="18"/>
                <w:lang w:val="bg-BG"/>
              </w:rPr>
            </w:pPr>
            <w:r w:rsidRPr="00CA32C6">
              <w:rPr>
                <w:rFonts w:ascii="Arial Narrow" w:hAnsi="Arial Narrow" w:cs="Calibri"/>
                <w:sz w:val="18"/>
                <w:szCs w:val="18"/>
                <w:lang w:val="bg-BG"/>
              </w:rPr>
              <w:t>-</w:t>
            </w:r>
          </w:p>
        </w:tc>
        <w:tc>
          <w:tcPr>
            <w:tcW w:w="761" w:type="dxa"/>
            <w:tcBorders>
              <w:top w:val="nil"/>
              <w:left w:val="nil"/>
              <w:bottom w:val="single" w:sz="4" w:space="0" w:color="auto"/>
              <w:right w:val="single" w:sz="4" w:space="0" w:color="auto"/>
            </w:tcBorders>
            <w:shd w:val="clear" w:color="auto" w:fill="auto"/>
            <w:noWrap/>
            <w:vAlign w:val="center"/>
            <w:hideMark/>
          </w:tcPr>
          <w:p w14:paraId="177A6A9B" w14:textId="77777777" w:rsidR="00CA32C6" w:rsidRPr="00CA32C6" w:rsidRDefault="00CA32C6" w:rsidP="00CA32C6">
            <w:pPr>
              <w:jc w:val="right"/>
              <w:rPr>
                <w:rFonts w:ascii="Arial Narrow" w:hAnsi="Arial Narrow" w:cs="Calibri"/>
                <w:sz w:val="18"/>
                <w:szCs w:val="18"/>
                <w:lang w:val="bg-BG"/>
              </w:rPr>
            </w:pPr>
            <w:r w:rsidRPr="00CA32C6">
              <w:rPr>
                <w:rFonts w:ascii="Arial Narrow" w:hAnsi="Arial Narrow" w:cs="Calibri"/>
                <w:sz w:val="18"/>
                <w:szCs w:val="18"/>
                <w:lang w:val="bg-BG"/>
              </w:rPr>
              <w:t>-</w:t>
            </w:r>
          </w:p>
        </w:tc>
        <w:tc>
          <w:tcPr>
            <w:tcW w:w="761" w:type="dxa"/>
            <w:tcBorders>
              <w:top w:val="nil"/>
              <w:left w:val="nil"/>
              <w:bottom w:val="single" w:sz="4" w:space="0" w:color="auto"/>
              <w:right w:val="single" w:sz="4" w:space="0" w:color="auto"/>
            </w:tcBorders>
            <w:shd w:val="clear" w:color="auto" w:fill="auto"/>
            <w:noWrap/>
            <w:vAlign w:val="center"/>
            <w:hideMark/>
          </w:tcPr>
          <w:p w14:paraId="4E5882E4" w14:textId="77777777" w:rsidR="00CA32C6" w:rsidRPr="00CA32C6" w:rsidRDefault="00CA32C6" w:rsidP="00CA32C6">
            <w:pPr>
              <w:jc w:val="right"/>
              <w:rPr>
                <w:rFonts w:ascii="Arial Narrow" w:hAnsi="Arial Narrow" w:cs="Calibri"/>
                <w:sz w:val="18"/>
                <w:szCs w:val="18"/>
                <w:lang w:val="bg-BG"/>
              </w:rPr>
            </w:pPr>
            <w:r w:rsidRPr="00CA32C6">
              <w:rPr>
                <w:rFonts w:ascii="Arial Narrow" w:hAnsi="Arial Narrow" w:cs="Calibri"/>
                <w:sz w:val="18"/>
                <w:szCs w:val="18"/>
                <w:lang w:val="bg-BG"/>
              </w:rPr>
              <w:t>44 963</w:t>
            </w:r>
          </w:p>
        </w:tc>
        <w:tc>
          <w:tcPr>
            <w:tcW w:w="761" w:type="dxa"/>
            <w:tcBorders>
              <w:top w:val="nil"/>
              <w:left w:val="nil"/>
              <w:bottom w:val="single" w:sz="4" w:space="0" w:color="auto"/>
              <w:right w:val="single" w:sz="4" w:space="0" w:color="auto"/>
            </w:tcBorders>
            <w:shd w:val="clear" w:color="auto" w:fill="auto"/>
            <w:noWrap/>
            <w:vAlign w:val="center"/>
            <w:hideMark/>
          </w:tcPr>
          <w:p w14:paraId="34A242B7" w14:textId="77777777" w:rsidR="00CA32C6" w:rsidRPr="00CA32C6" w:rsidRDefault="00CA32C6" w:rsidP="00CA32C6">
            <w:pPr>
              <w:jc w:val="right"/>
              <w:rPr>
                <w:rFonts w:ascii="Arial Narrow" w:hAnsi="Arial Narrow" w:cs="Calibri"/>
                <w:sz w:val="18"/>
                <w:szCs w:val="18"/>
                <w:lang w:val="bg-BG"/>
              </w:rPr>
            </w:pPr>
            <w:r w:rsidRPr="00CA32C6">
              <w:rPr>
                <w:rFonts w:ascii="Arial Narrow" w:hAnsi="Arial Narrow" w:cs="Calibri"/>
                <w:sz w:val="18"/>
                <w:szCs w:val="18"/>
                <w:lang w:val="bg-BG"/>
              </w:rPr>
              <w:t>32 522</w:t>
            </w:r>
          </w:p>
        </w:tc>
        <w:tc>
          <w:tcPr>
            <w:tcW w:w="915" w:type="dxa"/>
            <w:tcBorders>
              <w:top w:val="nil"/>
              <w:left w:val="nil"/>
              <w:bottom w:val="single" w:sz="4" w:space="0" w:color="auto"/>
              <w:right w:val="single" w:sz="4" w:space="0" w:color="auto"/>
            </w:tcBorders>
            <w:shd w:val="clear" w:color="auto" w:fill="auto"/>
            <w:noWrap/>
            <w:vAlign w:val="center"/>
            <w:hideMark/>
          </w:tcPr>
          <w:p w14:paraId="4FE630CF" w14:textId="77777777" w:rsidR="00CA32C6" w:rsidRPr="00CA32C6" w:rsidRDefault="00CA32C6" w:rsidP="00CA32C6">
            <w:pPr>
              <w:jc w:val="right"/>
              <w:rPr>
                <w:rFonts w:ascii="Arial Narrow" w:hAnsi="Arial Narrow" w:cs="Calibri"/>
                <w:sz w:val="18"/>
                <w:szCs w:val="18"/>
                <w:lang w:val="bg-BG"/>
              </w:rPr>
            </w:pPr>
            <w:r w:rsidRPr="00CA32C6">
              <w:rPr>
                <w:rFonts w:ascii="Arial Narrow" w:hAnsi="Arial Narrow" w:cs="Calibri"/>
                <w:sz w:val="18"/>
                <w:szCs w:val="18"/>
                <w:lang w:val="bg-BG"/>
              </w:rPr>
              <w:t>-27,7%</w:t>
            </w:r>
          </w:p>
        </w:tc>
        <w:tc>
          <w:tcPr>
            <w:tcW w:w="680" w:type="dxa"/>
            <w:tcBorders>
              <w:top w:val="nil"/>
              <w:left w:val="nil"/>
              <w:bottom w:val="single" w:sz="4" w:space="0" w:color="auto"/>
              <w:right w:val="single" w:sz="4" w:space="0" w:color="auto"/>
            </w:tcBorders>
            <w:shd w:val="clear" w:color="auto" w:fill="auto"/>
            <w:noWrap/>
            <w:vAlign w:val="center"/>
            <w:hideMark/>
          </w:tcPr>
          <w:p w14:paraId="4CEB563B" w14:textId="77777777" w:rsidR="00CA32C6" w:rsidRPr="00CA32C6" w:rsidRDefault="00CA32C6" w:rsidP="00CA32C6">
            <w:pPr>
              <w:jc w:val="right"/>
              <w:rPr>
                <w:rFonts w:ascii="Arial Narrow" w:hAnsi="Arial Narrow" w:cs="Calibri"/>
                <w:sz w:val="18"/>
                <w:szCs w:val="18"/>
                <w:lang w:val="bg-BG"/>
              </w:rPr>
            </w:pPr>
            <w:r w:rsidRPr="00CA32C6">
              <w:rPr>
                <w:rFonts w:ascii="Arial Narrow" w:hAnsi="Arial Narrow" w:cs="Calibri"/>
                <w:sz w:val="18"/>
                <w:szCs w:val="18"/>
                <w:lang w:val="bg-BG"/>
              </w:rPr>
              <w:t>24 344</w:t>
            </w:r>
          </w:p>
        </w:tc>
        <w:tc>
          <w:tcPr>
            <w:tcW w:w="680" w:type="dxa"/>
            <w:tcBorders>
              <w:top w:val="nil"/>
              <w:left w:val="nil"/>
              <w:bottom w:val="single" w:sz="4" w:space="0" w:color="auto"/>
              <w:right w:val="single" w:sz="4" w:space="0" w:color="auto"/>
            </w:tcBorders>
            <w:shd w:val="clear" w:color="auto" w:fill="auto"/>
            <w:noWrap/>
            <w:vAlign w:val="center"/>
            <w:hideMark/>
          </w:tcPr>
          <w:p w14:paraId="7B57F7E3" w14:textId="77777777" w:rsidR="00CA32C6" w:rsidRPr="00CA32C6" w:rsidRDefault="00CA32C6" w:rsidP="00CA32C6">
            <w:pPr>
              <w:jc w:val="right"/>
              <w:rPr>
                <w:rFonts w:ascii="Arial Narrow" w:hAnsi="Arial Narrow" w:cs="Calibri"/>
                <w:sz w:val="18"/>
                <w:szCs w:val="18"/>
                <w:lang w:val="bg-BG"/>
              </w:rPr>
            </w:pPr>
            <w:r w:rsidRPr="00CA32C6">
              <w:rPr>
                <w:rFonts w:ascii="Arial Narrow" w:hAnsi="Arial Narrow" w:cs="Calibri"/>
                <w:sz w:val="18"/>
                <w:szCs w:val="18"/>
                <w:lang w:val="bg-BG"/>
              </w:rPr>
              <w:t>19 312</w:t>
            </w:r>
          </w:p>
        </w:tc>
      </w:tr>
      <w:tr w:rsidR="00CA32C6" w:rsidRPr="00CA32C6" w14:paraId="62D6CD56" w14:textId="77777777" w:rsidTr="009C6577">
        <w:trPr>
          <w:trHeight w:val="517"/>
          <w:jc w:val="center"/>
        </w:trPr>
        <w:tc>
          <w:tcPr>
            <w:tcW w:w="1367" w:type="dxa"/>
            <w:tcBorders>
              <w:top w:val="nil"/>
              <w:left w:val="single" w:sz="4" w:space="0" w:color="auto"/>
              <w:bottom w:val="single" w:sz="4" w:space="0" w:color="auto"/>
              <w:right w:val="single" w:sz="4" w:space="0" w:color="auto"/>
            </w:tcBorders>
            <w:shd w:val="clear" w:color="auto" w:fill="auto"/>
            <w:vAlign w:val="center"/>
            <w:hideMark/>
          </w:tcPr>
          <w:p w14:paraId="0661AA57" w14:textId="77777777" w:rsidR="00CA32C6" w:rsidRPr="00CA32C6" w:rsidRDefault="00CA32C6" w:rsidP="00CA32C6">
            <w:pPr>
              <w:rPr>
                <w:rFonts w:ascii="Arial Narrow" w:hAnsi="Arial Narrow" w:cs="Calibri"/>
                <w:sz w:val="18"/>
                <w:szCs w:val="18"/>
                <w:lang w:val="bg-BG"/>
              </w:rPr>
            </w:pPr>
            <w:r w:rsidRPr="00CA32C6">
              <w:rPr>
                <w:rFonts w:ascii="Arial Narrow" w:hAnsi="Arial Narrow" w:cs="Calibri"/>
                <w:sz w:val="18"/>
                <w:szCs w:val="18"/>
                <w:lang w:val="bg-BG"/>
              </w:rPr>
              <w:t>Цветно зеле (карфиол)</w:t>
            </w:r>
          </w:p>
        </w:tc>
        <w:tc>
          <w:tcPr>
            <w:tcW w:w="761" w:type="dxa"/>
            <w:tcBorders>
              <w:top w:val="nil"/>
              <w:left w:val="nil"/>
              <w:bottom w:val="single" w:sz="4" w:space="0" w:color="auto"/>
              <w:right w:val="single" w:sz="4" w:space="0" w:color="auto"/>
            </w:tcBorders>
            <w:shd w:val="clear" w:color="auto" w:fill="auto"/>
            <w:noWrap/>
            <w:vAlign w:val="center"/>
            <w:hideMark/>
          </w:tcPr>
          <w:p w14:paraId="6BD07F3B" w14:textId="77777777" w:rsidR="00CA32C6" w:rsidRPr="00CA32C6" w:rsidRDefault="00CA32C6" w:rsidP="00CA32C6">
            <w:pPr>
              <w:jc w:val="right"/>
              <w:rPr>
                <w:rFonts w:ascii="Arial Narrow" w:hAnsi="Arial Narrow" w:cs="Calibri"/>
                <w:sz w:val="18"/>
                <w:szCs w:val="18"/>
                <w:lang w:val="bg-BG"/>
              </w:rPr>
            </w:pPr>
            <w:r w:rsidRPr="00CA32C6">
              <w:rPr>
                <w:rFonts w:ascii="Arial Narrow" w:hAnsi="Arial Narrow" w:cs="Calibri"/>
                <w:sz w:val="18"/>
                <w:szCs w:val="18"/>
                <w:lang w:val="bg-BG"/>
              </w:rPr>
              <w:t>122</w:t>
            </w:r>
          </w:p>
        </w:tc>
        <w:tc>
          <w:tcPr>
            <w:tcW w:w="761" w:type="dxa"/>
            <w:tcBorders>
              <w:top w:val="nil"/>
              <w:left w:val="nil"/>
              <w:bottom w:val="single" w:sz="4" w:space="0" w:color="auto"/>
              <w:right w:val="single" w:sz="4" w:space="0" w:color="auto"/>
            </w:tcBorders>
            <w:shd w:val="clear" w:color="auto" w:fill="auto"/>
            <w:noWrap/>
            <w:vAlign w:val="center"/>
            <w:hideMark/>
          </w:tcPr>
          <w:p w14:paraId="38ADDA0B" w14:textId="77777777" w:rsidR="00CA32C6" w:rsidRPr="00CA32C6" w:rsidRDefault="00CA32C6" w:rsidP="00CA32C6">
            <w:pPr>
              <w:jc w:val="right"/>
              <w:rPr>
                <w:rFonts w:ascii="Arial Narrow" w:hAnsi="Arial Narrow" w:cs="Calibri"/>
                <w:sz w:val="18"/>
                <w:szCs w:val="18"/>
                <w:lang w:val="bg-BG"/>
              </w:rPr>
            </w:pPr>
            <w:r w:rsidRPr="00CA32C6">
              <w:rPr>
                <w:rFonts w:ascii="Arial Narrow" w:hAnsi="Arial Narrow" w:cs="Calibri"/>
                <w:sz w:val="18"/>
                <w:szCs w:val="18"/>
                <w:lang w:val="bg-BG"/>
              </w:rPr>
              <w:t>45</w:t>
            </w:r>
          </w:p>
        </w:tc>
        <w:tc>
          <w:tcPr>
            <w:tcW w:w="761" w:type="dxa"/>
            <w:tcBorders>
              <w:top w:val="nil"/>
              <w:left w:val="nil"/>
              <w:bottom w:val="single" w:sz="4" w:space="0" w:color="auto"/>
              <w:right w:val="single" w:sz="4" w:space="0" w:color="auto"/>
            </w:tcBorders>
            <w:shd w:val="clear" w:color="auto" w:fill="auto"/>
            <w:noWrap/>
            <w:vAlign w:val="center"/>
            <w:hideMark/>
          </w:tcPr>
          <w:p w14:paraId="0092A926" w14:textId="77777777" w:rsidR="00CA32C6" w:rsidRPr="00CA32C6" w:rsidRDefault="00CA32C6" w:rsidP="00CA32C6">
            <w:pPr>
              <w:jc w:val="right"/>
              <w:rPr>
                <w:rFonts w:ascii="Arial Narrow" w:hAnsi="Arial Narrow" w:cs="Calibri"/>
                <w:sz w:val="18"/>
                <w:szCs w:val="18"/>
                <w:lang w:val="bg-BG"/>
              </w:rPr>
            </w:pPr>
            <w:r w:rsidRPr="00CA32C6">
              <w:rPr>
                <w:rFonts w:ascii="Arial Narrow" w:hAnsi="Arial Narrow" w:cs="Calibri"/>
                <w:sz w:val="18"/>
                <w:szCs w:val="18"/>
                <w:lang w:val="bg-BG"/>
              </w:rPr>
              <w:t>-</w:t>
            </w:r>
          </w:p>
        </w:tc>
        <w:tc>
          <w:tcPr>
            <w:tcW w:w="761" w:type="dxa"/>
            <w:tcBorders>
              <w:top w:val="nil"/>
              <w:left w:val="nil"/>
              <w:bottom w:val="single" w:sz="4" w:space="0" w:color="auto"/>
              <w:right w:val="single" w:sz="4" w:space="0" w:color="auto"/>
            </w:tcBorders>
            <w:shd w:val="clear" w:color="auto" w:fill="auto"/>
            <w:noWrap/>
            <w:vAlign w:val="center"/>
            <w:hideMark/>
          </w:tcPr>
          <w:p w14:paraId="156FBF6B" w14:textId="77777777" w:rsidR="00CA32C6" w:rsidRPr="00CA32C6" w:rsidRDefault="00CA32C6" w:rsidP="00CA32C6">
            <w:pPr>
              <w:jc w:val="right"/>
              <w:rPr>
                <w:rFonts w:ascii="Arial Narrow" w:hAnsi="Arial Narrow" w:cs="Calibri"/>
                <w:sz w:val="18"/>
                <w:szCs w:val="18"/>
                <w:lang w:val="bg-BG"/>
              </w:rPr>
            </w:pPr>
            <w:r w:rsidRPr="00CA32C6">
              <w:rPr>
                <w:rFonts w:ascii="Arial Narrow" w:hAnsi="Arial Narrow" w:cs="Calibri"/>
                <w:sz w:val="18"/>
                <w:szCs w:val="18"/>
                <w:lang w:val="bg-BG"/>
              </w:rPr>
              <w:t>-</w:t>
            </w:r>
          </w:p>
        </w:tc>
        <w:tc>
          <w:tcPr>
            <w:tcW w:w="761" w:type="dxa"/>
            <w:tcBorders>
              <w:top w:val="nil"/>
              <w:left w:val="nil"/>
              <w:bottom w:val="single" w:sz="4" w:space="0" w:color="auto"/>
              <w:right w:val="single" w:sz="4" w:space="0" w:color="auto"/>
            </w:tcBorders>
            <w:shd w:val="clear" w:color="auto" w:fill="auto"/>
            <w:noWrap/>
            <w:vAlign w:val="center"/>
            <w:hideMark/>
          </w:tcPr>
          <w:p w14:paraId="7B0F3094" w14:textId="77777777" w:rsidR="00CA32C6" w:rsidRPr="00CA32C6" w:rsidRDefault="00CA32C6" w:rsidP="00CA32C6">
            <w:pPr>
              <w:jc w:val="right"/>
              <w:rPr>
                <w:rFonts w:ascii="Arial Narrow" w:hAnsi="Arial Narrow" w:cs="Calibri"/>
                <w:sz w:val="18"/>
                <w:szCs w:val="18"/>
                <w:lang w:val="bg-BG"/>
              </w:rPr>
            </w:pPr>
            <w:r w:rsidRPr="00CA32C6">
              <w:rPr>
                <w:rFonts w:ascii="Arial Narrow" w:hAnsi="Arial Narrow" w:cs="Calibri"/>
                <w:sz w:val="18"/>
                <w:szCs w:val="18"/>
                <w:lang w:val="bg-BG"/>
              </w:rPr>
              <w:t>1 878</w:t>
            </w:r>
          </w:p>
        </w:tc>
        <w:tc>
          <w:tcPr>
            <w:tcW w:w="761" w:type="dxa"/>
            <w:tcBorders>
              <w:top w:val="nil"/>
              <w:left w:val="nil"/>
              <w:bottom w:val="single" w:sz="4" w:space="0" w:color="auto"/>
              <w:right w:val="single" w:sz="4" w:space="0" w:color="auto"/>
            </w:tcBorders>
            <w:shd w:val="clear" w:color="auto" w:fill="auto"/>
            <w:noWrap/>
            <w:vAlign w:val="center"/>
            <w:hideMark/>
          </w:tcPr>
          <w:p w14:paraId="10C798C3" w14:textId="77777777" w:rsidR="00CA32C6" w:rsidRPr="00CA32C6" w:rsidRDefault="00CA32C6" w:rsidP="00CA32C6">
            <w:pPr>
              <w:jc w:val="right"/>
              <w:rPr>
                <w:rFonts w:ascii="Arial Narrow" w:hAnsi="Arial Narrow" w:cs="Calibri"/>
                <w:sz w:val="18"/>
                <w:szCs w:val="18"/>
                <w:lang w:val="bg-BG"/>
              </w:rPr>
            </w:pPr>
            <w:r w:rsidRPr="00CA32C6">
              <w:rPr>
                <w:rFonts w:ascii="Arial Narrow" w:hAnsi="Arial Narrow" w:cs="Calibri"/>
                <w:sz w:val="18"/>
                <w:szCs w:val="18"/>
                <w:lang w:val="bg-BG"/>
              </w:rPr>
              <w:t>503</w:t>
            </w:r>
          </w:p>
        </w:tc>
        <w:tc>
          <w:tcPr>
            <w:tcW w:w="761" w:type="dxa"/>
            <w:tcBorders>
              <w:top w:val="nil"/>
              <w:left w:val="nil"/>
              <w:bottom w:val="single" w:sz="4" w:space="0" w:color="auto"/>
              <w:right w:val="single" w:sz="4" w:space="0" w:color="auto"/>
            </w:tcBorders>
            <w:shd w:val="clear" w:color="auto" w:fill="auto"/>
            <w:noWrap/>
            <w:vAlign w:val="center"/>
            <w:hideMark/>
          </w:tcPr>
          <w:p w14:paraId="543C3DCA" w14:textId="77777777" w:rsidR="00CA32C6" w:rsidRPr="00CA32C6" w:rsidRDefault="00CA32C6" w:rsidP="00CA32C6">
            <w:pPr>
              <w:jc w:val="right"/>
              <w:rPr>
                <w:rFonts w:ascii="Arial Narrow" w:hAnsi="Arial Narrow" w:cs="Calibri"/>
                <w:sz w:val="18"/>
                <w:szCs w:val="18"/>
                <w:lang w:val="bg-BG"/>
              </w:rPr>
            </w:pPr>
            <w:r w:rsidRPr="00CA32C6">
              <w:rPr>
                <w:rFonts w:ascii="Arial Narrow" w:hAnsi="Arial Narrow" w:cs="Calibri"/>
                <w:sz w:val="18"/>
                <w:szCs w:val="18"/>
                <w:lang w:val="bg-BG"/>
              </w:rPr>
              <w:t>-</w:t>
            </w:r>
          </w:p>
        </w:tc>
        <w:tc>
          <w:tcPr>
            <w:tcW w:w="761" w:type="dxa"/>
            <w:tcBorders>
              <w:top w:val="nil"/>
              <w:left w:val="nil"/>
              <w:bottom w:val="single" w:sz="4" w:space="0" w:color="auto"/>
              <w:right w:val="single" w:sz="4" w:space="0" w:color="auto"/>
            </w:tcBorders>
            <w:shd w:val="clear" w:color="auto" w:fill="auto"/>
            <w:noWrap/>
            <w:vAlign w:val="center"/>
            <w:hideMark/>
          </w:tcPr>
          <w:p w14:paraId="261B5D21" w14:textId="77777777" w:rsidR="00CA32C6" w:rsidRPr="00CA32C6" w:rsidRDefault="00CA32C6" w:rsidP="00CA32C6">
            <w:pPr>
              <w:jc w:val="right"/>
              <w:rPr>
                <w:rFonts w:ascii="Arial Narrow" w:hAnsi="Arial Narrow" w:cs="Calibri"/>
                <w:sz w:val="18"/>
                <w:szCs w:val="18"/>
                <w:lang w:val="bg-BG"/>
              </w:rPr>
            </w:pPr>
            <w:r w:rsidRPr="00CA32C6">
              <w:rPr>
                <w:rFonts w:ascii="Arial Narrow" w:hAnsi="Arial Narrow" w:cs="Calibri"/>
                <w:sz w:val="18"/>
                <w:szCs w:val="18"/>
                <w:lang w:val="bg-BG"/>
              </w:rPr>
              <w:t>-</w:t>
            </w:r>
          </w:p>
        </w:tc>
        <w:tc>
          <w:tcPr>
            <w:tcW w:w="761" w:type="dxa"/>
            <w:tcBorders>
              <w:top w:val="nil"/>
              <w:left w:val="nil"/>
              <w:bottom w:val="single" w:sz="4" w:space="0" w:color="auto"/>
              <w:right w:val="single" w:sz="4" w:space="0" w:color="auto"/>
            </w:tcBorders>
            <w:shd w:val="clear" w:color="auto" w:fill="auto"/>
            <w:noWrap/>
            <w:vAlign w:val="center"/>
            <w:hideMark/>
          </w:tcPr>
          <w:p w14:paraId="02D0804D" w14:textId="77777777" w:rsidR="00CA32C6" w:rsidRPr="00CA32C6" w:rsidRDefault="00CA32C6" w:rsidP="00CA32C6">
            <w:pPr>
              <w:jc w:val="right"/>
              <w:rPr>
                <w:rFonts w:ascii="Arial Narrow" w:hAnsi="Arial Narrow" w:cs="Calibri"/>
                <w:sz w:val="18"/>
                <w:szCs w:val="18"/>
                <w:lang w:val="bg-BG"/>
              </w:rPr>
            </w:pPr>
            <w:r w:rsidRPr="00CA32C6">
              <w:rPr>
                <w:rFonts w:ascii="Arial Narrow" w:hAnsi="Arial Narrow" w:cs="Calibri"/>
                <w:sz w:val="18"/>
                <w:szCs w:val="18"/>
                <w:lang w:val="bg-BG"/>
              </w:rPr>
              <w:t>1 878</w:t>
            </w:r>
          </w:p>
        </w:tc>
        <w:tc>
          <w:tcPr>
            <w:tcW w:w="761" w:type="dxa"/>
            <w:tcBorders>
              <w:top w:val="nil"/>
              <w:left w:val="nil"/>
              <w:bottom w:val="single" w:sz="4" w:space="0" w:color="auto"/>
              <w:right w:val="single" w:sz="4" w:space="0" w:color="auto"/>
            </w:tcBorders>
            <w:shd w:val="clear" w:color="auto" w:fill="auto"/>
            <w:noWrap/>
            <w:vAlign w:val="center"/>
            <w:hideMark/>
          </w:tcPr>
          <w:p w14:paraId="13D6BE20" w14:textId="77777777" w:rsidR="00CA32C6" w:rsidRPr="00CA32C6" w:rsidRDefault="00CA32C6" w:rsidP="00CA32C6">
            <w:pPr>
              <w:jc w:val="right"/>
              <w:rPr>
                <w:rFonts w:ascii="Arial Narrow" w:hAnsi="Arial Narrow" w:cs="Calibri"/>
                <w:sz w:val="18"/>
                <w:szCs w:val="18"/>
                <w:lang w:val="bg-BG"/>
              </w:rPr>
            </w:pPr>
            <w:r w:rsidRPr="00CA32C6">
              <w:rPr>
                <w:rFonts w:ascii="Arial Narrow" w:hAnsi="Arial Narrow" w:cs="Calibri"/>
                <w:sz w:val="18"/>
                <w:szCs w:val="18"/>
                <w:lang w:val="bg-BG"/>
              </w:rPr>
              <w:t>503</w:t>
            </w:r>
          </w:p>
        </w:tc>
        <w:tc>
          <w:tcPr>
            <w:tcW w:w="915" w:type="dxa"/>
            <w:tcBorders>
              <w:top w:val="nil"/>
              <w:left w:val="nil"/>
              <w:bottom w:val="single" w:sz="4" w:space="0" w:color="auto"/>
              <w:right w:val="single" w:sz="4" w:space="0" w:color="auto"/>
            </w:tcBorders>
            <w:shd w:val="clear" w:color="auto" w:fill="auto"/>
            <w:noWrap/>
            <w:vAlign w:val="center"/>
            <w:hideMark/>
          </w:tcPr>
          <w:p w14:paraId="3048954A" w14:textId="77777777" w:rsidR="00CA32C6" w:rsidRPr="00CA32C6" w:rsidRDefault="00CA32C6" w:rsidP="00CA32C6">
            <w:pPr>
              <w:jc w:val="right"/>
              <w:rPr>
                <w:rFonts w:ascii="Arial Narrow" w:hAnsi="Arial Narrow" w:cs="Calibri"/>
                <w:sz w:val="18"/>
                <w:szCs w:val="18"/>
                <w:lang w:val="bg-BG"/>
              </w:rPr>
            </w:pPr>
            <w:r w:rsidRPr="00CA32C6">
              <w:rPr>
                <w:rFonts w:ascii="Arial Narrow" w:hAnsi="Arial Narrow" w:cs="Calibri"/>
                <w:sz w:val="18"/>
                <w:szCs w:val="18"/>
                <w:lang w:val="bg-BG"/>
              </w:rPr>
              <w:t>-73,2%</w:t>
            </w:r>
          </w:p>
        </w:tc>
        <w:tc>
          <w:tcPr>
            <w:tcW w:w="680" w:type="dxa"/>
            <w:tcBorders>
              <w:top w:val="nil"/>
              <w:left w:val="nil"/>
              <w:bottom w:val="single" w:sz="4" w:space="0" w:color="auto"/>
              <w:right w:val="single" w:sz="4" w:space="0" w:color="auto"/>
            </w:tcBorders>
            <w:shd w:val="clear" w:color="auto" w:fill="auto"/>
            <w:noWrap/>
            <w:vAlign w:val="center"/>
            <w:hideMark/>
          </w:tcPr>
          <w:p w14:paraId="6B94032F" w14:textId="77777777" w:rsidR="00CA32C6" w:rsidRPr="00CA32C6" w:rsidRDefault="00CA32C6" w:rsidP="00CA32C6">
            <w:pPr>
              <w:jc w:val="right"/>
              <w:rPr>
                <w:rFonts w:ascii="Arial Narrow" w:hAnsi="Arial Narrow" w:cs="Calibri"/>
                <w:sz w:val="18"/>
                <w:szCs w:val="18"/>
                <w:lang w:val="bg-BG"/>
              </w:rPr>
            </w:pPr>
            <w:r w:rsidRPr="00CA32C6">
              <w:rPr>
                <w:rFonts w:ascii="Arial Narrow" w:hAnsi="Arial Narrow" w:cs="Calibri"/>
                <w:sz w:val="18"/>
                <w:szCs w:val="18"/>
                <w:lang w:val="bg-BG"/>
              </w:rPr>
              <w:t>15 393</w:t>
            </w:r>
          </w:p>
        </w:tc>
        <w:tc>
          <w:tcPr>
            <w:tcW w:w="680" w:type="dxa"/>
            <w:tcBorders>
              <w:top w:val="nil"/>
              <w:left w:val="nil"/>
              <w:bottom w:val="single" w:sz="4" w:space="0" w:color="auto"/>
              <w:right w:val="single" w:sz="4" w:space="0" w:color="auto"/>
            </w:tcBorders>
            <w:shd w:val="clear" w:color="auto" w:fill="auto"/>
            <w:noWrap/>
            <w:vAlign w:val="center"/>
            <w:hideMark/>
          </w:tcPr>
          <w:p w14:paraId="284B10F8" w14:textId="77777777" w:rsidR="00CA32C6" w:rsidRPr="00CA32C6" w:rsidRDefault="00CA32C6" w:rsidP="00CA32C6">
            <w:pPr>
              <w:jc w:val="right"/>
              <w:rPr>
                <w:rFonts w:ascii="Arial Narrow" w:hAnsi="Arial Narrow" w:cs="Calibri"/>
                <w:sz w:val="18"/>
                <w:szCs w:val="18"/>
                <w:lang w:val="bg-BG"/>
              </w:rPr>
            </w:pPr>
            <w:r w:rsidRPr="00CA32C6">
              <w:rPr>
                <w:rFonts w:ascii="Arial Narrow" w:hAnsi="Arial Narrow" w:cs="Calibri"/>
                <w:sz w:val="18"/>
                <w:szCs w:val="18"/>
                <w:lang w:val="bg-BG"/>
              </w:rPr>
              <w:t>11 178</w:t>
            </w:r>
          </w:p>
        </w:tc>
      </w:tr>
      <w:tr w:rsidR="00CA32C6" w:rsidRPr="00CA32C6" w14:paraId="22CD9662" w14:textId="77777777" w:rsidTr="009C6577">
        <w:trPr>
          <w:trHeight w:val="287"/>
          <w:jc w:val="center"/>
        </w:trPr>
        <w:tc>
          <w:tcPr>
            <w:tcW w:w="1367" w:type="dxa"/>
            <w:tcBorders>
              <w:top w:val="nil"/>
              <w:left w:val="single" w:sz="4" w:space="0" w:color="auto"/>
              <w:bottom w:val="single" w:sz="4" w:space="0" w:color="auto"/>
              <w:right w:val="single" w:sz="4" w:space="0" w:color="auto"/>
            </w:tcBorders>
            <w:shd w:val="clear" w:color="auto" w:fill="auto"/>
            <w:vAlign w:val="center"/>
            <w:hideMark/>
          </w:tcPr>
          <w:p w14:paraId="659054E0" w14:textId="77777777" w:rsidR="00CA32C6" w:rsidRPr="00CA32C6" w:rsidRDefault="00CA32C6" w:rsidP="00CA32C6">
            <w:pPr>
              <w:rPr>
                <w:rFonts w:ascii="Arial Narrow" w:hAnsi="Arial Narrow" w:cs="Calibri"/>
                <w:sz w:val="18"/>
                <w:szCs w:val="18"/>
                <w:lang w:val="bg-BG"/>
              </w:rPr>
            </w:pPr>
            <w:r w:rsidRPr="00CA32C6">
              <w:rPr>
                <w:rFonts w:ascii="Arial Narrow" w:hAnsi="Arial Narrow" w:cs="Calibri"/>
                <w:sz w:val="18"/>
                <w:szCs w:val="18"/>
                <w:lang w:val="bg-BG"/>
              </w:rPr>
              <w:t>Броколи</w:t>
            </w:r>
          </w:p>
        </w:tc>
        <w:tc>
          <w:tcPr>
            <w:tcW w:w="761" w:type="dxa"/>
            <w:tcBorders>
              <w:top w:val="nil"/>
              <w:left w:val="nil"/>
              <w:bottom w:val="single" w:sz="4" w:space="0" w:color="auto"/>
              <w:right w:val="single" w:sz="4" w:space="0" w:color="auto"/>
            </w:tcBorders>
            <w:shd w:val="clear" w:color="auto" w:fill="auto"/>
            <w:noWrap/>
            <w:vAlign w:val="center"/>
            <w:hideMark/>
          </w:tcPr>
          <w:p w14:paraId="6D150025" w14:textId="77777777" w:rsidR="00CA32C6" w:rsidRPr="00CA32C6" w:rsidRDefault="00CA32C6" w:rsidP="00CA32C6">
            <w:pPr>
              <w:jc w:val="right"/>
              <w:rPr>
                <w:rFonts w:ascii="Arial Narrow" w:hAnsi="Arial Narrow" w:cs="Calibri"/>
                <w:sz w:val="18"/>
                <w:szCs w:val="18"/>
                <w:lang w:val="bg-BG"/>
              </w:rPr>
            </w:pPr>
            <w:r w:rsidRPr="00CA32C6">
              <w:rPr>
                <w:rFonts w:ascii="Arial Narrow" w:hAnsi="Arial Narrow" w:cs="Calibri"/>
                <w:sz w:val="18"/>
                <w:szCs w:val="18"/>
                <w:lang w:val="bg-BG"/>
              </w:rPr>
              <w:t>34</w:t>
            </w:r>
          </w:p>
        </w:tc>
        <w:tc>
          <w:tcPr>
            <w:tcW w:w="761" w:type="dxa"/>
            <w:tcBorders>
              <w:top w:val="nil"/>
              <w:left w:val="nil"/>
              <w:bottom w:val="single" w:sz="4" w:space="0" w:color="auto"/>
              <w:right w:val="single" w:sz="4" w:space="0" w:color="auto"/>
            </w:tcBorders>
            <w:shd w:val="clear" w:color="auto" w:fill="auto"/>
            <w:noWrap/>
            <w:vAlign w:val="center"/>
            <w:hideMark/>
          </w:tcPr>
          <w:p w14:paraId="59B3856C" w14:textId="77777777" w:rsidR="00CA32C6" w:rsidRPr="00CA32C6" w:rsidRDefault="00CA32C6" w:rsidP="00CA32C6">
            <w:pPr>
              <w:jc w:val="right"/>
              <w:rPr>
                <w:rFonts w:ascii="Arial Narrow" w:hAnsi="Arial Narrow" w:cs="Calibri"/>
                <w:sz w:val="18"/>
                <w:szCs w:val="18"/>
                <w:lang w:val="bg-BG"/>
              </w:rPr>
            </w:pPr>
            <w:r w:rsidRPr="00CA32C6">
              <w:rPr>
                <w:rFonts w:ascii="Arial Narrow" w:hAnsi="Arial Narrow" w:cs="Calibri"/>
                <w:sz w:val="18"/>
                <w:szCs w:val="18"/>
                <w:lang w:val="bg-BG"/>
              </w:rPr>
              <w:t>27</w:t>
            </w:r>
          </w:p>
        </w:tc>
        <w:tc>
          <w:tcPr>
            <w:tcW w:w="761" w:type="dxa"/>
            <w:tcBorders>
              <w:top w:val="nil"/>
              <w:left w:val="nil"/>
              <w:bottom w:val="single" w:sz="4" w:space="0" w:color="auto"/>
              <w:right w:val="single" w:sz="4" w:space="0" w:color="auto"/>
            </w:tcBorders>
            <w:shd w:val="clear" w:color="auto" w:fill="auto"/>
            <w:noWrap/>
            <w:vAlign w:val="center"/>
            <w:hideMark/>
          </w:tcPr>
          <w:p w14:paraId="57127559" w14:textId="77777777" w:rsidR="00CA32C6" w:rsidRPr="00CA32C6" w:rsidRDefault="00CA32C6" w:rsidP="00CA32C6">
            <w:pPr>
              <w:jc w:val="right"/>
              <w:rPr>
                <w:rFonts w:ascii="Arial Narrow" w:hAnsi="Arial Narrow" w:cs="Calibri"/>
                <w:sz w:val="18"/>
                <w:szCs w:val="18"/>
                <w:lang w:val="bg-BG"/>
              </w:rPr>
            </w:pPr>
            <w:r w:rsidRPr="00CA32C6">
              <w:rPr>
                <w:rFonts w:ascii="Arial Narrow" w:hAnsi="Arial Narrow" w:cs="Calibri"/>
                <w:sz w:val="18"/>
                <w:szCs w:val="18"/>
                <w:lang w:val="bg-BG"/>
              </w:rPr>
              <w:t>-</w:t>
            </w:r>
          </w:p>
        </w:tc>
        <w:tc>
          <w:tcPr>
            <w:tcW w:w="761" w:type="dxa"/>
            <w:tcBorders>
              <w:top w:val="nil"/>
              <w:left w:val="nil"/>
              <w:bottom w:val="single" w:sz="4" w:space="0" w:color="auto"/>
              <w:right w:val="single" w:sz="4" w:space="0" w:color="auto"/>
            </w:tcBorders>
            <w:shd w:val="clear" w:color="auto" w:fill="auto"/>
            <w:noWrap/>
            <w:vAlign w:val="center"/>
            <w:hideMark/>
          </w:tcPr>
          <w:p w14:paraId="7A2CAD7F" w14:textId="77777777" w:rsidR="00CA32C6" w:rsidRPr="00CA32C6" w:rsidRDefault="00CA32C6" w:rsidP="00CA32C6">
            <w:pPr>
              <w:jc w:val="right"/>
              <w:rPr>
                <w:rFonts w:ascii="Arial Narrow" w:hAnsi="Arial Narrow" w:cs="Calibri"/>
                <w:sz w:val="18"/>
                <w:szCs w:val="18"/>
                <w:lang w:val="bg-BG"/>
              </w:rPr>
            </w:pPr>
            <w:r w:rsidRPr="00CA32C6">
              <w:rPr>
                <w:rFonts w:ascii="Arial Narrow" w:hAnsi="Arial Narrow" w:cs="Calibri"/>
                <w:sz w:val="18"/>
                <w:szCs w:val="18"/>
                <w:lang w:val="bg-BG"/>
              </w:rPr>
              <w:t>-</w:t>
            </w:r>
          </w:p>
        </w:tc>
        <w:tc>
          <w:tcPr>
            <w:tcW w:w="761" w:type="dxa"/>
            <w:tcBorders>
              <w:top w:val="nil"/>
              <w:left w:val="nil"/>
              <w:bottom w:val="single" w:sz="4" w:space="0" w:color="auto"/>
              <w:right w:val="single" w:sz="4" w:space="0" w:color="auto"/>
            </w:tcBorders>
            <w:shd w:val="clear" w:color="auto" w:fill="auto"/>
            <w:noWrap/>
            <w:vAlign w:val="center"/>
            <w:hideMark/>
          </w:tcPr>
          <w:p w14:paraId="1F08DCFF" w14:textId="77777777" w:rsidR="00CA32C6" w:rsidRPr="00CA32C6" w:rsidRDefault="00CA32C6" w:rsidP="00CA32C6">
            <w:pPr>
              <w:jc w:val="right"/>
              <w:rPr>
                <w:rFonts w:ascii="Arial Narrow" w:hAnsi="Arial Narrow" w:cs="Calibri"/>
                <w:sz w:val="18"/>
                <w:szCs w:val="18"/>
                <w:lang w:val="bg-BG"/>
              </w:rPr>
            </w:pPr>
            <w:r w:rsidRPr="00CA32C6">
              <w:rPr>
                <w:rFonts w:ascii="Arial Narrow" w:hAnsi="Arial Narrow" w:cs="Calibri"/>
                <w:sz w:val="18"/>
                <w:szCs w:val="18"/>
                <w:lang w:val="bg-BG"/>
              </w:rPr>
              <w:t>249</w:t>
            </w:r>
          </w:p>
        </w:tc>
        <w:tc>
          <w:tcPr>
            <w:tcW w:w="761" w:type="dxa"/>
            <w:tcBorders>
              <w:top w:val="nil"/>
              <w:left w:val="nil"/>
              <w:bottom w:val="single" w:sz="4" w:space="0" w:color="auto"/>
              <w:right w:val="single" w:sz="4" w:space="0" w:color="auto"/>
            </w:tcBorders>
            <w:shd w:val="clear" w:color="auto" w:fill="auto"/>
            <w:noWrap/>
            <w:vAlign w:val="center"/>
            <w:hideMark/>
          </w:tcPr>
          <w:p w14:paraId="3212DFDB" w14:textId="77777777" w:rsidR="00CA32C6" w:rsidRPr="00CA32C6" w:rsidRDefault="00CA32C6" w:rsidP="00CA32C6">
            <w:pPr>
              <w:jc w:val="right"/>
              <w:rPr>
                <w:rFonts w:ascii="Arial Narrow" w:hAnsi="Arial Narrow" w:cs="Calibri"/>
                <w:sz w:val="18"/>
                <w:szCs w:val="18"/>
                <w:lang w:val="bg-BG"/>
              </w:rPr>
            </w:pPr>
            <w:r w:rsidRPr="00CA32C6">
              <w:rPr>
                <w:rFonts w:ascii="Arial Narrow" w:hAnsi="Arial Narrow" w:cs="Calibri"/>
                <w:sz w:val="18"/>
                <w:szCs w:val="18"/>
                <w:lang w:val="bg-BG"/>
              </w:rPr>
              <w:t>221</w:t>
            </w:r>
          </w:p>
        </w:tc>
        <w:tc>
          <w:tcPr>
            <w:tcW w:w="761" w:type="dxa"/>
            <w:tcBorders>
              <w:top w:val="nil"/>
              <w:left w:val="nil"/>
              <w:bottom w:val="single" w:sz="4" w:space="0" w:color="auto"/>
              <w:right w:val="single" w:sz="4" w:space="0" w:color="auto"/>
            </w:tcBorders>
            <w:shd w:val="clear" w:color="auto" w:fill="auto"/>
            <w:noWrap/>
            <w:vAlign w:val="center"/>
            <w:hideMark/>
          </w:tcPr>
          <w:p w14:paraId="19229766" w14:textId="77777777" w:rsidR="00CA32C6" w:rsidRPr="00CA32C6" w:rsidRDefault="00CA32C6" w:rsidP="00CA32C6">
            <w:pPr>
              <w:jc w:val="right"/>
              <w:rPr>
                <w:rFonts w:ascii="Arial Narrow" w:hAnsi="Arial Narrow" w:cs="Calibri"/>
                <w:sz w:val="18"/>
                <w:szCs w:val="18"/>
                <w:lang w:val="bg-BG"/>
              </w:rPr>
            </w:pPr>
            <w:r w:rsidRPr="00CA32C6">
              <w:rPr>
                <w:rFonts w:ascii="Arial Narrow" w:hAnsi="Arial Narrow" w:cs="Calibri"/>
                <w:sz w:val="18"/>
                <w:szCs w:val="18"/>
                <w:lang w:val="bg-BG"/>
              </w:rPr>
              <w:t>-</w:t>
            </w:r>
          </w:p>
        </w:tc>
        <w:tc>
          <w:tcPr>
            <w:tcW w:w="761" w:type="dxa"/>
            <w:tcBorders>
              <w:top w:val="nil"/>
              <w:left w:val="nil"/>
              <w:bottom w:val="single" w:sz="4" w:space="0" w:color="auto"/>
              <w:right w:val="single" w:sz="4" w:space="0" w:color="auto"/>
            </w:tcBorders>
            <w:shd w:val="clear" w:color="auto" w:fill="auto"/>
            <w:noWrap/>
            <w:vAlign w:val="center"/>
            <w:hideMark/>
          </w:tcPr>
          <w:p w14:paraId="5F16D86E" w14:textId="77777777" w:rsidR="00CA32C6" w:rsidRPr="00CA32C6" w:rsidRDefault="00CA32C6" w:rsidP="00CA32C6">
            <w:pPr>
              <w:jc w:val="right"/>
              <w:rPr>
                <w:rFonts w:ascii="Arial Narrow" w:hAnsi="Arial Narrow" w:cs="Calibri"/>
                <w:sz w:val="18"/>
                <w:szCs w:val="18"/>
                <w:lang w:val="bg-BG"/>
              </w:rPr>
            </w:pPr>
            <w:r w:rsidRPr="00CA32C6">
              <w:rPr>
                <w:rFonts w:ascii="Arial Narrow" w:hAnsi="Arial Narrow" w:cs="Calibri"/>
                <w:sz w:val="18"/>
                <w:szCs w:val="18"/>
                <w:lang w:val="bg-BG"/>
              </w:rPr>
              <w:t>-</w:t>
            </w:r>
          </w:p>
        </w:tc>
        <w:tc>
          <w:tcPr>
            <w:tcW w:w="761" w:type="dxa"/>
            <w:tcBorders>
              <w:top w:val="nil"/>
              <w:left w:val="nil"/>
              <w:bottom w:val="single" w:sz="4" w:space="0" w:color="auto"/>
              <w:right w:val="single" w:sz="4" w:space="0" w:color="auto"/>
            </w:tcBorders>
            <w:shd w:val="clear" w:color="auto" w:fill="auto"/>
            <w:noWrap/>
            <w:vAlign w:val="center"/>
            <w:hideMark/>
          </w:tcPr>
          <w:p w14:paraId="0A79CC88" w14:textId="77777777" w:rsidR="00CA32C6" w:rsidRPr="00CA32C6" w:rsidRDefault="00CA32C6" w:rsidP="00CA32C6">
            <w:pPr>
              <w:jc w:val="right"/>
              <w:rPr>
                <w:rFonts w:ascii="Arial Narrow" w:hAnsi="Arial Narrow" w:cs="Calibri"/>
                <w:sz w:val="18"/>
                <w:szCs w:val="18"/>
                <w:lang w:val="bg-BG"/>
              </w:rPr>
            </w:pPr>
            <w:r w:rsidRPr="00CA32C6">
              <w:rPr>
                <w:rFonts w:ascii="Arial Narrow" w:hAnsi="Arial Narrow" w:cs="Calibri"/>
                <w:sz w:val="18"/>
                <w:szCs w:val="18"/>
                <w:lang w:val="bg-BG"/>
              </w:rPr>
              <w:t>249</w:t>
            </w:r>
          </w:p>
        </w:tc>
        <w:tc>
          <w:tcPr>
            <w:tcW w:w="761" w:type="dxa"/>
            <w:tcBorders>
              <w:top w:val="nil"/>
              <w:left w:val="nil"/>
              <w:bottom w:val="single" w:sz="4" w:space="0" w:color="auto"/>
              <w:right w:val="single" w:sz="4" w:space="0" w:color="auto"/>
            </w:tcBorders>
            <w:shd w:val="clear" w:color="auto" w:fill="auto"/>
            <w:noWrap/>
            <w:vAlign w:val="center"/>
            <w:hideMark/>
          </w:tcPr>
          <w:p w14:paraId="7DA82557" w14:textId="77777777" w:rsidR="00CA32C6" w:rsidRPr="00CA32C6" w:rsidRDefault="00CA32C6" w:rsidP="00CA32C6">
            <w:pPr>
              <w:jc w:val="right"/>
              <w:rPr>
                <w:rFonts w:ascii="Arial Narrow" w:hAnsi="Arial Narrow" w:cs="Calibri"/>
                <w:sz w:val="18"/>
                <w:szCs w:val="18"/>
                <w:lang w:val="bg-BG"/>
              </w:rPr>
            </w:pPr>
            <w:r w:rsidRPr="00CA32C6">
              <w:rPr>
                <w:rFonts w:ascii="Arial Narrow" w:hAnsi="Arial Narrow" w:cs="Calibri"/>
                <w:sz w:val="18"/>
                <w:szCs w:val="18"/>
                <w:lang w:val="bg-BG"/>
              </w:rPr>
              <w:t>221</w:t>
            </w:r>
          </w:p>
        </w:tc>
        <w:tc>
          <w:tcPr>
            <w:tcW w:w="915" w:type="dxa"/>
            <w:tcBorders>
              <w:top w:val="nil"/>
              <w:left w:val="nil"/>
              <w:bottom w:val="single" w:sz="4" w:space="0" w:color="auto"/>
              <w:right w:val="single" w:sz="4" w:space="0" w:color="auto"/>
            </w:tcBorders>
            <w:shd w:val="clear" w:color="auto" w:fill="auto"/>
            <w:noWrap/>
            <w:vAlign w:val="center"/>
            <w:hideMark/>
          </w:tcPr>
          <w:p w14:paraId="36AD73B1" w14:textId="77777777" w:rsidR="00CA32C6" w:rsidRPr="00CA32C6" w:rsidRDefault="00CA32C6" w:rsidP="00CA32C6">
            <w:pPr>
              <w:jc w:val="right"/>
              <w:rPr>
                <w:rFonts w:ascii="Arial Narrow" w:hAnsi="Arial Narrow" w:cs="Calibri"/>
                <w:sz w:val="18"/>
                <w:szCs w:val="18"/>
                <w:lang w:val="bg-BG"/>
              </w:rPr>
            </w:pPr>
            <w:r w:rsidRPr="00CA32C6">
              <w:rPr>
                <w:rFonts w:ascii="Arial Narrow" w:hAnsi="Arial Narrow" w:cs="Calibri"/>
                <w:sz w:val="18"/>
                <w:szCs w:val="18"/>
                <w:lang w:val="bg-BG"/>
              </w:rPr>
              <w:t>-11,2%</w:t>
            </w:r>
          </w:p>
        </w:tc>
        <w:tc>
          <w:tcPr>
            <w:tcW w:w="680" w:type="dxa"/>
            <w:tcBorders>
              <w:top w:val="nil"/>
              <w:left w:val="nil"/>
              <w:bottom w:val="single" w:sz="4" w:space="0" w:color="auto"/>
              <w:right w:val="single" w:sz="4" w:space="0" w:color="auto"/>
            </w:tcBorders>
            <w:shd w:val="clear" w:color="auto" w:fill="auto"/>
            <w:noWrap/>
            <w:vAlign w:val="center"/>
            <w:hideMark/>
          </w:tcPr>
          <w:p w14:paraId="373C1528" w14:textId="77777777" w:rsidR="00CA32C6" w:rsidRPr="00CA32C6" w:rsidRDefault="00CA32C6" w:rsidP="00CA32C6">
            <w:pPr>
              <w:jc w:val="right"/>
              <w:rPr>
                <w:rFonts w:ascii="Arial Narrow" w:hAnsi="Arial Narrow" w:cs="Calibri"/>
                <w:sz w:val="18"/>
                <w:szCs w:val="18"/>
                <w:lang w:val="bg-BG"/>
              </w:rPr>
            </w:pPr>
            <w:r w:rsidRPr="00CA32C6">
              <w:rPr>
                <w:rFonts w:ascii="Arial Narrow" w:hAnsi="Arial Narrow" w:cs="Calibri"/>
                <w:sz w:val="18"/>
                <w:szCs w:val="18"/>
                <w:lang w:val="bg-BG"/>
              </w:rPr>
              <w:t>7 324</w:t>
            </w:r>
          </w:p>
        </w:tc>
        <w:tc>
          <w:tcPr>
            <w:tcW w:w="680" w:type="dxa"/>
            <w:tcBorders>
              <w:top w:val="nil"/>
              <w:left w:val="nil"/>
              <w:bottom w:val="single" w:sz="4" w:space="0" w:color="auto"/>
              <w:right w:val="single" w:sz="4" w:space="0" w:color="auto"/>
            </w:tcBorders>
            <w:shd w:val="clear" w:color="auto" w:fill="auto"/>
            <w:noWrap/>
            <w:vAlign w:val="center"/>
            <w:hideMark/>
          </w:tcPr>
          <w:p w14:paraId="170480CA" w14:textId="77777777" w:rsidR="00CA32C6" w:rsidRPr="00CA32C6" w:rsidRDefault="00CA32C6" w:rsidP="00CA32C6">
            <w:pPr>
              <w:jc w:val="right"/>
              <w:rPr>
                <w:rFonts w:ascii="Arial Narrow" w:hAnsi="Arial Narrow" w:cs="Calibri"/>
                <w:sz w:val="18"/>
                <w:szCs w:val="18"/>
                <w:lang w:val="bg-BG"/>
              </w:rPr>
            </w:pPr>
            <w:r w:rsidRPr="00CA32C6">
              <w:rPr>
                <w:rFonts w:ascii="Arial Narrow" w:hAnsi="Arial Narrow" w:cs="Calibri"/>
                <w:sz w:val="18"/>
                <w:szCs w:val="18"/>
                <w:lang w:val="bg-BG"/>
              </w:rPr>
              <w:t>8 185</w:t>
            </w:r>
          </w:p>
        </w:tc>
      </w:tr>
      <w:tr w:rsidR="00CA32C6" w:rsidRPr="00CA32C6" w14:paraId="61D76FA8" w14:textId="77777777" w:rsidTr="009C6577">
        <w:trPr>
          <w:trHeight w:val="1035"/>
          <w:jc w:val="center"/>
        </w:trPr>
        <w:tc>
          <w:tcPr>
            <w:tcW w:w="1367" w:type="dxa"/>
            <w:tcBorders>
              <w:top w:val="nil"/>
              <w:left w:val="single" w:sz="4" w:space="0" w:color="auto"/>
              <w:bottom w:val="single" w:sz="4" w:space="0" w:color="auto"/>
              <w:right w:val="single" w:sz="4" w:space="0" w:color="auto"/>
            </w:tcBorders>
            <w:shd w:val="clear" w:color="auto" w:fill="auto"/>
            <w:vAlign w:val="center"/>
            <w:hideMark/>
          </w:tcPr>
          <w:p w14:paraId="440EEEA4" w14:textId="77777777" w:rsidR="00CA32C6" w:rsidRPr="00CA32C6" w:rsidRDefault="00CA32C6" w:rsidP="00CA32C6">
            <w:pPr>
              <w:rPr>
                <w:rFonts w:ascii="Arial Narrow" w:hAnsi="Arial Narrow" w:cs="Calibri"/>
                <w:sz w:val="18"/>
                <w:szCs w:val="18"/>
                <w:lang w:val="bg-BG"/>
              </w:rPr>
            </w:pPr>
            <w:r w:rsidRPr="00CA32C6">
              <w:rPr>
                <w:rFonts w:ascii="Arial Narrow" w:hAnsi="Arial Narrow" w:cs="Calibri"/>
                <w:sz w:val="18"/>
                <w:szCs w:val="18"/>
                <w:lang w:val="bg-BG"/>
              </w:rPr>
              <w:t>Други зеленчуци от рода Brassica (алабаш и брюкселско зеле)</w:t>
            </w:r>
          </w:p>
        </w:tc>
        <w:tc>
          <w:tcPr>
            <w:tcW w:w="761" w:type="dxa"/>
            <w:tcBorders>
              <w:top w:val="nil"/>
              <w:left w:val="nil"/>
              <w:bottom w:val="single" w:sz="4" w:space="0" w:color="auto"/>
              <w:right w:val="single" w:sz="4" w:space="0" w:color="auto"/>
            </w:tcBorders>
            <w:shd w:val="clear" w:color="auto" w:fill="auto"/>
            <w:noWrap/>
            <w:vAlign w:val="center"/>
            <w:hideMark/>
          </w:tcPr>
          <w:p w14:paraId="0BE5D688" w14:textId="77777777" w:rsidR="00CA32C6" w:rsidRPr="00CA32C6" w:rsidRDefault="00CA32C6" w:rsidP="00CA32C6">
            <w:pPr>
              <w:jc w:val="right"/>
              <w:rPr>
                <w:rFonts w:ascii="Arial Narrow" w:hAnsi="Arial Narrow" w:cs="Calibri"/>
                <w:sz w:val="18"/>
                <w:szCs w:val="18"/>
                <w:lang w:val="bg-BG"/>
              </w:rPr>
            </w:pPr>
            <w:r w:rsidRPr="00CA32C6">
              <w:rPr>
                <w:rFonts w:ascii="Arial Narrow" w:hAnsi="Arial Narrow" w:cs="Calibri"/>
                <w:sz w:val="18"/>
                <w:szCs w:val="18"/>
                <w:lang w:val="bg-BG"/>
              </w:rPr>
              <w:t> </w:t>
            </w:r>
          </w:p>
        </w:tc>
        <w:tc>
          <w:tcPr>
            <w:tcW w:w="761" w:type="dxa"/>
            <w:tcBorders>
              <w:top w:val="nil"/>
              <w:left w:val="nil"/>
              <w:bottom w:val="single" w:sz="4" w:space="0" w:color="auto"/>
              <w:right w:val="single" w:sz="4" w:space="0" w:color="auto"/>
            </w:tcBorders>
            <w:shd w:val="clear" w:color="auto" w:fill="auto"/>
            <w:noWrap/>
            <w:vAlign w:val="center"/>
            <w:hideMark/>
          </w:tcPr>
          <w:p w14:paraId="0B63E7CA" w14:textId="77777777" w:rsidR="00CA32C6" w:rsidRPr="00CA32C6" w:rsidRDefault="00CA32C6" w:rsidP="00CA32C6">
            <w:pPr>
              <w:jc w:val="right"/>
              <w:rPr>
                <w:rFonts w:ascii="Arial Narrow" w:hAnsi="Arial Narrow" w:cs="Calibri"/>
                <w:sz w:val="18"/>
                <w:szCs w:val="18"/>
                <w:lang w:val="bg-BG"/>
              </w:rPr>
            </w:pPr>
            <w:r w:rsidRPr="00CA32C6">
              <w:rPr>
                <w:rFonts w:ascii="Arial Narrow" w:hAnsi="Arial Narrow" w:cs="Calibri"/>
                <w:sz w:val="18"/>
                <w:szCs w:val="18"/>
                <w:lang w:val="bg-BG"/>
              </w:rPr>
              <w:t>2</w:t>
            </w:r>
          </w:p>
        </w:tc>
        <w:tc>
          <w:tcPr>
            <w:tcW w:w="761" w:type="dxa"/>
            <w:tcBorders>
              <w:top w:val="nil"/>
              <w:left w:val="nil"/>
              <w:bottom w:val="single" w:sz="4" w:space="0" w:color="auto"/>
              <w:right w:val="single" w:sz="4" w:space="0" w:color="auto"/>
            </w:tcBorders>
            <w:shd w:val="clear" w:color="auto" w:fill="auto"/>
            <w:noWrap/>
            <w:vAlign w:val="center"/>
            <w:hideMark/>
          </w:tcPr>
          <w:p w14:paraId="12BFF5B2" w14:textId="77777777" w:rsidR="00CA32C6" w:rsidRPr="00CA32C6" w:rsidRDefault="00CA32C6" w:rsidP="00CA32C6">
            <w:pPr>
              <w:jc w:val="right"/>
              <w:rPr>
                <w:rFonts w:ascii="Arial Narrow" w:hAnsi="Arial Narrow" w:cs="Calibri"/>
                <w:sz w:val="18"/>
                <w:szCs w:val="18"/>
                <w:lang w:val="bg-BG"/>
              </w:rPr>
            </w:pPr>
            <w:r w:rsidRPr="00CA32C6">
              <w:rPr>
                <w:rFonts w:ascii="Arial Narrow" w:hAnsi="Arial Narrow" w:cs="Calibri"/>
                <w:sz w:val="18"/>
                <w:szCs w:val="18"/>
                <w:lang w:val="bg-BG"/>
              </w:rPr>
              <w:t> </w:t>
            </w:r>
          </w:p>
        </w:tc>
        <w:tc>
          <w:tcPr>
            <w:tcW w:w="761" w:type="dxa"/>
            <w:tcBorders>
              <w:top w:val="nil"/>
              <w:left w:val="nil"/>
              <w:bottom w:val="single" w:sz="4" w:space="0" w:color="auto"/>
              <w:right w:val="single" w:sz="4" w:space="0" w:color="auto"/>
            </w:tcBorders>
            <w:shd w:val="clear" w:color="auto" w:fill="auto"/>
            <w:noWrap/>
            <w:vAlign w:val="center"/>
            <w:hideMark/>
          </w:tcPr>
          <w:p w14:paraId="694161D0" w14:textId="77777777" w:rsidR="00CA32C6" w:rsidRPr="00CA32C6" w:rsidRDefault="00CA32C6" w:rsidP="00CA32C6">
            <w:pPr>
              <w:jc w:val="right"/>
              <w:rPr>
                <w:rFonts w:ascii="Arial Narrow" w:hAnsi="Arial Narrow" w:cs="Calibri"/>
                <w:sz w:val="18"/>
                <w:szCs w:val="18"/>
                <w:lang w:val="bg-BG"/>
              </w:rPr>
            </w:pPr>
            <w:r w:rsidRPr="00CA32C6">
              <w:rPr>
                <w:rFonts w:ascii="Arial Narrow" w:hAnsi="Arial Narrow" w:cs="Calibri"/>
                <w:sz w:val="18"/>
                <w:szCs w:val="18"/>
                <w:lang w:val="bg-BG"/>
              </w:rPr>
              <w:t>-</w:t>
            </w:r>
          </w:p>
        </w:tc>
        <w:tc>
          <w:tcPr>
            <w:tcW w:w="761" w:type="dxa"/>
            <w:tcBorders>
              <w:top w:val="nil"/>
              <w:left w:val="nil"/>
              <w:bottom w:val="single" w:sz="4" w:space="0" w:color="auto"/>
              <w:right w:val="single" w:sz="4" w:space="0" w:color="auto"/>
            </w:tcBorders>
            <w:shd w:val="clear" w:color="auto" w:fill="auto"/>
            <w:noWrap/>
            <w:vAlign w:val="center"/>
            <w:hideMark/>
          </w:tcPr>
          <w:p w14:paraId="0C525297" w14:textId="77777777" w:rsidR="00CA32C6" w:rsidRPr="00CA32C6" w:rsidRDefault="00CA32C6" w:rsidP="00CA32C6">
            <w:pPr>
              <w:jc w:val="right"/>
              <w:rPr>
                <w:rFonts w:ascii="Arial Narrow" w:hAnsi="Arial Narrow" w:cs="Calibri"/>
                <w:sz w:val="18"/>
                <w:szCs w:val="18"/>
                <w:lang w:val="bg-BG"/>
              </w:rPr>
            </w:pPr>
            <w:r w:rsidRPr="00CA32C6">
              <w:rPr>
                <w:rFonts w:ascii="Arial Narrow" w:hAnsi="Arial Narrow" w:cs="Calibri"/>
                <w:sz w:val="18"/>
                <w:szCs w:val="18"/>
                <w:lang w:val="bg-BG"/>
              </w:rPr>
              <w:t> </w:t>
            </w:r>
          </w:p>
        </w:tc>
        <w:tc>
          <w:tcPr>
            <w:tcW w:w="761" w:type="dxa"/>
            <w:tcBorders>
              <w:top w:val="nil"/>
              <w:left w:val="nil"/>
              <w:bottom w:val="single" w:sz="4" w:space="0" w:color="auto"/>
              <w:right w:val="single" w:sz="4" w:space="0" w:color="auto"/>
            </w:tcBorders>
            <w:shd w:val="clear" w:color="auto" w:fill="auto"/>
            <w:noWrap/>
            <w:vAlign w:val="center"/>
            <w:hideMark/>
          </w:tcPr>
          <w:p w14:paraId="4D371F28" w14:textId="77777777" w:rsidR="00CA32C6" w:rsidRPr="00CA32C6" w:rsidRDefault="00CA32C6" w:rsidP="00CA32C6">
            <w:pPr>
              <w:jc w:val="right"/>
              <w:rPr>
                <w:rFonts w:ascii="Arial Narrow" w:hAnsi="Arial Narrow" w:cs="Calibri"/>
                <w:sz w:val="18"/>
                <w:szCs w:val="18"/>
                <w:lang w:val="bg-BG"/>
              </w:rPr>
            </w:pPr>
            <w:r w:rsidRPr="00CA32C6">
              <w:rPr>
                <w:rFonts w:ascii="Arial Narrow" w:hAnsi="Arial Narrow" w:cs="Calibri"/>
                <w:sz w:val="18"/>
                <w:szCs w:val="18"/>
                <w:lang w:val="bg-BG"/>
              </w:rPr>
              <w:t>28</w:t>
            </w:r>
          </w:p>
        </w:tc>
        <w:tc>
          <w:tcPr>
            <w:tcW w:w="761" w:type="dxa"/>
            <w:tcBorders>
              <w:top w:val="nil"/>
              <w:left w:val="nil"/>
              <w:bottom w:val="single" w:sz="4" w:space="0" w:color="auto"/>
              <w:right w:val="single" w:sz="4" w:space="0" w:color="auto"/>
            </w:tcBorders>
            <w:shd w:val="clear" w:color="auto" w:fill="auto"/>
            <w:noWrap/>
            <w:vAlign w:val="center"/>
            <w:hideMark/>
          </w:tcPr>
          <w:p w14:paraId="56B31321" w14:textId="77777777" w:rsidR="00CA32C6" w:rsidRPr="00CA32C6" w:rsidRDefault="00CA32C6" w:rsidP="00CA32C6">
            <w:pPr>
              <w:jc w:val="right"/>
              <w:rPr>
                <w:rFonts w:ascii="Arial Narrow" w:hAnsi="Arial Narrow" w:cs="Calibri"/>
                <w:sz w:val="18"/>
                <w:szCs w:val="18"/>
                <w:lang w:val="bg-BG"/>
              </w:rPr>
            </w:pPr>
            <w:r w:rsidRPr="00CA32C6">
              <w:rPr>
                <w:rFonts w:ascii="Arial Narrow" w:hAnsi="Arial Narrow" w:cs="Calibri"/>
                <w:sz w:val="18"/>
                <w:szCs w:val="18"/>
                <w:lang w:val="bg-BG"/>
              </w:rPr>
              <w:t> </w:t>
            </w:r>
          </w:p>
        </w:tc>
        <w:tc>
          <w:tcPr>
            <w:tcW w:w="761" w:type="dxa"/>
            <w:tcBorders>
              <w:top w:val="nil"/>
              <w:left w:val="nil"/>
              <w:bottom w:val="single" w:sz="4" w:space="0" w:color="auto"/>
              <w:right w:val="single" w:sz="4" w:space="0" w:color="auto"/>
            </w:tcBorders>
            <w:shd w:val="clear" w:color="auto" w:fill="auto"/>
            <w:noWrap/>
            <w:vAlign w:val="center"/>
            <w:hideMark/>
          </w:tcPr>
          <w:p w14:paraId="2EF1AB69" w14:textId="77777777" w:rsidR="00CA32C6" w:rsidRPr="00CA32C6" w:rsidRDefault="00CA32C6" w:rsidP="00CA32C6">
            <w:pPr>
              <w:jc w:val="right"/>
              <w:rPr>
                <w:rFonts w:ascii="Arial Narrow" w:hAnsi="Arial Narrow" w:cs="Calibri"/>
                <w:sz w:val="18"/>
                <w:szCs w:val="18"/>
                <w:lang w:val="bg-BG"/>
              </w:rPr>
            </w:pPr>
            <w:r w:rsidRPr="00CA32C6">
              <w:rPr>
                <w:rFonts w:ascii="Arial Narrow" w:hAnsi="Arial Narrow" w:cs="Calibri"/>
                <w:sz w:val="18"/>
                <w:szCs w:val="18"/>
                <w:lang w:val="bg-BG"/>
              </w:rPr>
              <w:t>-</w:t>
            </w:r>
          </w:p>
        </w:tc>
        <w:tc>
          <w:tcPr>
            <w:tcW w:w="761" w:type="dxa"/>
            <w:tcBorders>
              <w:top w:val="nil"/>
              <w:left w:val="nil"/>
              <w:bottom w:val="single" w:sz="4" w:space="0" w:color="auto"/>
              <w:right w:val="single" w:sz="4" w:space="0" w:color="auto"/>
            </w:tcBorders>
            <w:shd w:val="clear" w:color="auto" w:fill="auto"/>
            <w:noWrap/>
            <w:vAlign w:val="center"/>
            <w:hideMark/>
          </w:tcPr>
          <w:p w14:paraId="0849AD7F" w14:textId="77777777" w:rsidR="00CA32C6" w:rsidRPr="00CA32C6" w:rsidRDefault="00CA32C6" w:rsidP="00CA32C6">
            <w:pPr>
              <w:jc w:val="right"/>
              <w:rPr>
                <w:rFonts w:ascii="Arial Narrow" w:hAnsi="Arial Narrow" w:cs="Calibri"/>
                <w:sz w:val="18"/>
                <w:szCs w:val="18"/>
                <w:lang w:val="bg-BG"/>
              </w:rPr>
            </w:pPr>
            <w:r w:rsidRPr="00CA32C6">
              <w:rPr>
                <w:rFonts w:ascii="Arial Narrow" w:hAnsi="Arial Narrow" w:cs="Calibri"/>
                <w:sz w:val="18"/>
                <w:szCs w:val="18"/>
                <w:lang w:val="bg-BG"/>
              </w:rPr>
              <w:t> </w:t>
            </w:r>
          </w:p>
        </w:tc>
        <w:tc>
          <w:tcPr>
            <w:tcW w:w="761" w:type="dxa"/>
            <w:tcBorders>
              <w:top w:val="nil"/>
              <w:left w:val="nil"/>
              <w:bottom w:val="single" w:sz="4" w:space="0" w:color="auto"/>
              <w:right w:val="single" w:sz="4" w:space="0" w:color="auto"/>
            </w:tcBorders>
            <w:shd w:val="clear" w:color="auto" w:fill="auto"/>
            <w:noWrap/>
            <w:vAlign w:val="center"/>
            <w:hideMark/>
          </w:tcPr>
          <w:p w14:paraId="0D918628" w14:textId="77777777" w:rsidR="00CA32C6" w:rsidRPr="00CA32C6" w:rsidRDefault="00CA32C6" w:rsidP="00CA32C6">
            <w:pPr>
              <w:jc w:val="right"/>
              <w:rPr>
                <w:rFonts w:ascii="Arial Narrow" w:hAnsi="Arial Narrow" w:cs="Calibri"/>
                <w:sz w:val="18"/>
                <w:szCs w:val="18"/>
                <w:lang w:val="bg-BG"/>
              </w:rPr>
            </w:pPr>
            <w:r w:rsidRPr="00CA32C6">
              <w:rPr>
                <w:rFonts w:ascii="Arial Narrow" w:hAnsi="Arial Narrow" w:cs="Calibri"/>
                <w:sz w:val="18"/>
                <w:szCs w:val="18"/>
                <w:lang w:val="bg-BG"/>
              </w:rPr>
              <w:t>28</w:t>
            </w:r>
          </w:p>
        </w:tc>
        <w:tc>
          <w:tcPr>
            <w:tcW w:w="915" w:type="dxa"/>
            <w:tcBorders>
              <w:top w:val="nil"/>
              <w:left w:val="nil"/>
              <w:bottom w:val="single" w:sz="4" w:space="0" w:color="auto"/>
              <w:right w:val="single" w:sz="4" w:space="0" w:color="auto"/>
            </w:tcBorders>
            <w:shd w:val="clear" w:color="auto" w:fill="auto"/>
            <w:noWrap/>
            <w:vAlign w:val="center"/>
            <w:hideMark/>
          </w:tcPr>
          <w:p w14:paraId="22D455AB" w14:textId="77777777" w:rsidR="00CA32C6" w:rsidRPr="00CA32C6" w:rsidRDefault="00CA32C6" w:rsidP="00CA32C6">
            <w:pPr>
              <w:jc w:val="right"/>
              <w:rPr>
                <w:rFonts w:ascii="Arial Narrow" w:hAnsi="Arial Narrow" w:cs="Calibri"/>
                <w:sz w:val="18"/>
                <w:szCs w:val="18"/>
                <w:lang w:val="bg-BG"/>
              </w:rPr>
            </w:pPr>
            <w:r w:rsidRPr="00CA32C6">
              <w:rPr>
                <w:rFonts w:ascii="Arial Narrow" w:hAnsi="Arial Narrow" w:cs="Calibri"/>
                <w:sz w:val="18"/>
                <w:szCs w:val="18"/>
                <w:lang w:val="bg-BG"/>
              </w:rPr>
              <w:t> </w:t>
            </w:r>
          </w:p>
        </w:tc>
        <w:tc>
          <w:tcPr>
            <w:tcW w:w="680" w:type="dxa"/>
            <w:tcBorders>
              <w:top w:val="nil"/>
              <w:left w:val="nil"/>
              <w:bottom w:val="single" w:sz="4" w:space="0" w:color="auto"/>
              <w:right w:val="single" w:sz="4" w:space="0" w:color="auto"/>
            </w:tcBorders>
            <w:shd w:val="clear" w:color="auto" w:fill="auto"/>
            <w:noWrap/>
            <w:vAlign w:val="center"/>
            <w:hideMark/>
          </w:tcPr>
          <w:p w14:paraId="46E7503F" w14:textId="77777777" w:rsidR="00CA32C6" w:rsidRPr="00CA32C6" w:rsidRDefault="00CA32C6" w:rsidP="00CA32C6">
            <w:pPr>
              <w:jc w:val="right"/>
              <w:rPr>
                <w:rFonts w:ascii="Arial Narrow" w:hAnsi="Arial Narrow" w:cs="Calibri"/>
                <w:sz w:val="18"/>
                <w:szCs w:val="18"/>
                <w:lang w:val="bg-BG"/>
              </w:rPr>
            </w:pPr>
            <w:r w:rsidRPr="00CA32C6">
              <w:rPr>
                <w:rFonts w:ascii="Arial Narrow" w:hAnsi="Arial Narrow" w:cs="Calibri"/>
                <w:sz w:val="18"/>
                <w:szCs w:val="18"/>
                <w:lang w:val="bg-BG"/>
              </w:rPr>
              <w:t> </w:t>
            </w:r>
          </w:p>
        </w:tc>
        <w:tc>
          <w:tcPr>
            <w:tcW w:w="680" w:type="dxa"/>
            <w:tcBorders>
              <w:top w:val="nil"/>
              <w:left w:val="nil"/>
              <w:bottom w:val="single" w:sz="4" w:space="0" w:color="auto"/>
              <w:right w:val="single" w:sz="4" w:space="0" w:color="auto"/>
            </w:tcBorders>
            <w:shd w:val="clear" w:color="auto" w:fill="auto"/>
            <w:noWrap/>
            <w:vAlign w:val="center"/>
            <w:hideMark/>
          </w:tcPr>
          <w:p w14:paraId="32FE5389" w14:textId="77777777" w:rsidR="00CA32C6" w:rsidRPr="00CA32C6" w:rsidRDefault="00CA32C6" w:rsidP="00CA32C6">
            <w:pPr>
              <w:jc w:val="right"/>
              <w:rPr>
                <w:rFonts w:ascii="Arial Narrow" w:hAnsi="Arial Narrow" w:cs="Calibri"/>
                <w:sz w:val="18"/>
                <w:szCs w:val="18"/>
                <w:lang w:val="bg-BG"/>
              </w:rPr>
            </w:pPr>
            <w:r w:rsidRPr="00CA32C6">
              <w:rPr>
                <w:rFonts w:ascii="Arial Narrow" w:hAnsi="Arial Narrow" w:cs="Calibri"/>
                <w:sz w:val="18"/>
                <w:szCs w:val="18"/>
                <w:lang w:val="bg-BG"/>
              </w:rPr>
              <w:t>-</w:t>
            </w:r>
          </w:p>
        </w:tc>
      </w:tr>
      <w:tr w:rsidR="00CA32C6" w:rsidRPr="00CA32C6" w14:paraId="2350BC87" w14:textId="77777777" w:rsidTr="009C6577">
        <w:trPr>
          <w:trHeight w:val="1811"/>
          <w:jc w:val="center"/>
        </w:trPr>
        <w:tc>
          <w:tcPr>
            <w:tcW w:w="1367" w:type="dxa"/>
            <w:tcBorders>
              <w:top w:val="nil"/>
              <w:left w:val="single" w:sz="4" w:space="0" w:color="auto"/>
              <w:bottom w:val="single" w:sz="4" w:space="0" w:color="auto"/>
              <w:right w:val="single" w:sz="4" w:space="0" w:color="auto"/>
            </w:tcBorders>
            <w:shd w:val="clear" w:color="auto" w:fill="auto"/>
            <w:vAlign w:val="center"/>
            <w:hideMark/>
          </w:tcPr>
          <w:p w14:paraId="20E36569" w14:textId="77777777" w:rsidR="00CA32C6" w:rsidRPr="00CA32C6" w:rsidRDefault="00CA32C6" w:rsidP="00CA32C6">
            <w:pPr>
              <w:rPr>
                <w:rFonts w:ascii="Arial Narrow" w:hAnsi="Arial Narrow" w:cs="Calibri"/>
                <w:b/>
                <w:bCs/>
                <w:sz w:val="18"/>
                <w:szCs w:val="18"/>
                <w:lang w:val="bg-BG"/>
              </w:rPr>
            </w:pPr>
            <w:r w:rsidRPr="00CA32C6">
              <w:rPr>
                <w:rFonts w:ascii="Arial Narrow" w:hAnsi="Arial Narrow" w:cs="Calibri"/>
                <w:b/>
                <w:bCs/>
                <w:sz w:val="18"/>
                <w:szCs w:val="18"/>
                <w:lang w:val="bg-BG"/>
              </w:rPr>
              <w:t>Листни или стъблени зеленчуци (с изключение на зеленчуци от рода Brassica), в т.ч.:</w:t>
            </w:r>
          </w:p>
        </w:tc>
        <w:tc>
          <w:tcPr>
            <w:tcW w:w="761" w:type="dxa"/>
            <w:tcBorders>
              <w:top w:val="nil"/>
              <w:left w:val="nil"/>
              <w:bottom w:val="single" w:sz="4" w:space="0" w:color="auto"/>
              <w:right w:val="single" w:sz="4" w:space="0" w:color="auto"/>
            </w:tcBorders>
            <w:shd w:val="clear" w:color="auto" w:fill="auto"/>
            <w:noWrap/>
            <w:vAlign w:val="center"/>
            <w:hideMark/>
          </w:tcPr>
          <w:p w14:paraId="4EB63DC4" w14:textId="77777777" w:rsidR="00CA32C6" w:rsidRPr="00CA32C6" w:rsidRDefault="00CA32C6" w:rsidP="00CA32C6">
            <w:pPr>
              <w:jc w:val="right"/>
              <w:rPr>
                <w:rFonts w:ascii="Arial Narrow" w:hAnsi="Arial Narrow" w:cs="Calibri"/>
                <w:b/>
                <w:bCs/>
                <w:sz w:val="18"/>
                <w:szCs w:val="18"/>
                <w:lang w:val="bg-BG"/>
              </w:rPr>
            </w:pPr>
            <w:r w:rsidRPr="00CA32C6">
              <w:rPr>
                <w:rFonts w:ascii="Arial Narrow" w:hAnsi="Arial Narrow" w:cs="Calibri"/>
                <w:b/>
                <w:bCs/>
                <w:sz w:val="18"/>
                <w:szCs w:val="18"/>
                <w:lang w:val="bg-BG"/>
              </w:rPr>
              <w:t>633</w:t>
            </w:r>
          </w:p>
        </w:tc>
        <w:tc>
          <w:tcPr>
            <w:tcW w:w="761" w:type="dxa"/>
            <w:tcBorders>
              <w:top w:val="nil"/>
              <w:left w:val="nil"/>
              <w:bottom w:val="single" w:sz="4" w:space="0" w:color="auto"/>
              <w:right w:val="single" w:sz="4" w:space="0" w:color="auto"/>
            </w:tcBorders>
            <w:shd w:val="clear" w:color="auto" w:fill="auto"/>
            <w:noWrap/>
            <w:vAlign w:val="center"/>
            <w:hideMark/>
          </w:tcPr>
          <w:p w14:paraId="406C7320" w14:textId="77777777" w:rsidR="00CA32C6" w:rsidRPr="00CA32C6" w:rsidRDefault="00CA32C6" w:rsidP="00CA32C6">
            <w:pPr>
              <w:jc w:val="right"/>
              <w:rPr>
                <w:rFonts w:ascii="Arial Narrow" w:hAnsi="Arial Narrow" w:cs="Calibri"/>
                <w:b/>
                <w:bCs/>
                <w:sz w:val="18"/>
                <w:szCs w:val="18"/>
                <w:lang w:val="bg-BG"/>
              </w:rPr>
            </w:pPr>
            <w:r w:rsidRPr="00CA32C6">
              <w:rPr>
                <w:rFonts w:ascii="Arial Narrow" w:hAnsi="Arial Narrow" w:cs="Calibri"/>
                <w:b/>
                <w:bCs/>
                <w:sz w:val="18"/>
                <w:szCs w:val="18"/>
                <w:lang w:val="bg-BG"/>
              </w:rPr>
              <w:t>624</w:t>
            </w:r>
          </w:p>
        </w:tc>
        <w:tc>
          <w:tcPr>
            <w:tcW w:w="761" w:type="dxa"/>
            <w:tcBorders>
              <w:top w:val="nil"/>
              <w:left w:val="nil"/>
              <w:bottom w:val="single" w:sz="4" w:space="0" w:color="auto"/>
              <w:right w:val="single" w:sz="4" w:space="0" w:color="auto"/>
            </w:tcBorders>
            <w:shd w:val="clear" w:color="auto" w:fill="auto"/>
            <w:noWrap/>
            <w:vAlign w:val="center"/>
            <w:hideMark/>
          </w:tcPr>
          <w:p w14:paraId="1B89742F" w14:textId="77777777" w:rsidR="00CA32C6" w:rsidRPr="00CA32C6" w:rsidRDefault="00CA32C6" w:rsidP="00CA32C6">
            <w:pPr>
              <w:jc w:val="right"/>
              <w:rPr>
                <w:rFonts w:ascii="Arial Narrow" w:hAnsi="Arial Narrow" w:cs="Calibri"/>
                <w:b/>
                <w:bCs/>
                <w:sz w:val="18"/>
                <w:szCs w:val="18"/>
                <w:lang w:val="bg-BG"/>
              </w:rPr>
            </w:pPr>
            <w:r w:rsidRPr="00CA32C6">
              <w:rPr>
                <w:rFonts w:ascii="Arial Narrow" w:hAnsi="Arial Narrow" w:cs="Calibri"/>
                <w:b/>
                <w:bCs/>
                <w:sz w:val="18"/>
                <w:szCs w:val="18"/>
                <w:lang w:val="bg-BG"/>
              </w:rPr>
              <w:t>31</w:t>
            </w:r>
          </w:p>
        </w:tc>
        <w:tc>
          <w:tcPr>
            <w:tcW w:w="761" w:type="dxa"/>
            <w:tcBorders>
              <w:top w:val="nil"/>
              <w:left w:val="nil"/>
              <w:bottom w:val="single" w:sz="4" w:space="0" w:color="auto"/>
              <w:right w:val="single" w:sz="4" w:space="0" w:color="auto"/>
            </w:tcBorders>
            <w:shd w:val="clear" w:color="auto" w:fill="auto"/>
            <w:noWrap/>
            <w:vAlign w:val="center"/>
            <w:hideMark/>
          </w:tcPr>
          <w:p w14:paraId="033AF596" w14:textId="77777777" w:rsidR="00CA32C6" w:rsidRPr="00CA32C6" w:rsidRDefault="00CA32C6" w:rsidP="00CA32C6">
            <w:pPr>
              <w:jc w:val="right"/>
              <w:rPr>
                <w:rFonts w:ascii="Arial Narrow" w:hAnsi="Arial Narrow" w:cs="Calibri"/>
                <w:b/>
                <w:bCs/>
                <w:sz w:val="18"/>
                <w:szCs w:val="18"/>
                <w:lang w:val="bg-BG"/>
              </w:rPr>
            </w:pPr>
            <w:r w:rsidRPr="00CA32C6">
              <w:rPr>
                <w:rFonts w:ascii="Arial Narrow" w:hAnsi="Arial Narrow" w:cs="Calibri"/>
                <w:b/>
                <w:bCs/>
                <w:sz w:val="18"/>
                <w:szCs w:val="18"/>
                <w:lang w:val="bg-BG"/>
              </w:rPr>
              <w:t>14</w:t>
            </w:r>
          </w:p>
        </w:tc>
        <w:tc>
          <w:tcPr>
            <w:tcW w:w="761" w:type="dxa"/>
            <w:tcBorders>
              <w:top w:val="nil"/>
              <w:left w:val="nil"/>
              <w:bottom w:val="single" w:sz="4" w:space="0" w:color="auto"/>
              <w:right w:val="single" w:sz="4" w:space="0" w:color="auto"/>
            </w:tcBorders>
            <w:shd w:val="clear" w:color="auto" w:fill="auto"/>
            <w:noWrap/>
            <w:vAlign w:val="center"/>
            <w:hideMark/>
          </w:tcPr>
          <w:p w14:paraId="07EC2C0D" w14:textId="77777777" w:rsidR="00CA32C6" w:rsidRPr="00CA32C6" w:rsidRDefault="00CA32C6" w:rsidP="00CA32C6">
            <w:pPr>
              <w:jc w:val="right"/>
              <w:rPr>
                <w:rFonts w:ascii="Arial Narrow" w:hAnsi="Arial Narrow" w:cs="Calibri"/>
                <w:b/>
                <w:bCs/>
                <w:sz w:val="18"/>
                <w:szCs w:val="18"/>
                <w:lang w:val="bg-BG"/>
              </w:rPr>
            </w:pPr>
            <w:r w:rsidRPr="00CA32C6">
              <w:rPr>
                <w:rFonts w:ascii="Arial Narrow" w:hAnsi="Arial Narrow" w:cs="Calibri"/>
                <w:b/>
                <w:bCs/>
                <w:sz w:val="18"/>
                <w:szCs w:val="18"/>
                <w:lang w:val="bg-BG"/>
              </w:rPr>
              <w:t>9 945</w:t>
            </w:r>
          </w:p>
        </w:tc>
        <w:tc>
          <w:tcPr>
            <w:tcW w:w="761" w:type="dxa"/>
            <w:tcBorders>
              <w:top w:val="nil"/>
              <w:left w:val="nil"/>
              <w:bottom w:val="single" w:sz="4" w:space="0" w:color="auto"/>
              <w:right w:val="single" w:sz="4" w:space="0" w:color="auto"/>
            </w:tcBorders>
            <w:shd w:val="clear" w:color="auto" w:fill="auto"/>
            <w:noWrap/>
            <w:vAlign w:val="center"/>
            <w:hideMark/>
          </w:tcPr>
          <w:p w14:paraId="0A6296D1" w14:textId="77777777" w:rsidR="00CA32C6" w:rsidRPr="00CA32C6" w:rsidRDefault="00CA32C6" w:rsidP="00CA32C6">
            <w:pPr>
              <w:jc w:val="right"/>
              <w:rPr>
                <w:rFonts w:ascii="Arial Narrow" w:hAnsi="Arial Narrow" w:cs="Calibri"/>
                <w:b/>
                <w:bCs/>
                <w:sz w:val="18"/>
                <w:szCs w:val="18"/>
                <w:lang w:val="bg-BG"/>
              </w:rPr>
            </w:pPr>
            <w:r w:rsidRPr="00CA32C6">
              <w:rPr>
                <w:rFonts w:ascii="Arial Narrow" w:hAnsi="Arial Narrow" w:cs="Calibri"/>
                <w:b/>
                <w:bCs/>
                <w:sz w:val="18"/>
                <w:szCs w:val="18"/>
                <w:lang w:val="bg-BG"/>
              </w:rPr>
              <w:t>5 426</w:t>
            </w:r>
          </w:p>
        </w:tc>
        <w:tc>
          <w:tcPr>
            <w:tcW w:w="761" w:type="dxa"/>
            <w:tcBorders>
              <w:top w:val="nil"/>
              <w:left w:val="nil"/>
              <w:bottom w:val="single" w:sz="4" w:space="0" w:color="auto"/>
              <w:right w:val="single" w:sz="4" w:space="0" w:color="auto"/>
            </w:tcBorders>
            <w:shd w:val="clear" w:color="auto" w:fill="auto"/>
            <w:noWrap/>
            <w:vAlign w:val="center"/>
            <w:hideMark/>
          </w:tcPr>
          <w:p w14:paraId="03407ADB" w14:textId="77777777" w:rsidR="00CA32C6" w:rsidRPr="00CA32C6" w:rsidRDefault="00CA32C6" w:rsidP="00CA32C6">
            <w:pPr>
              <w:jc w:val="right"/>
              <w:rPr>
                <w:rFonts w:ascii="Arial Narrow" w:hAnsi="Arial Narrow" w:cs="Calibri"/>
                <w:b/>
                <w:bCs/>
                <w:sz w:val="18"/>
                <w:szCs w:val="18"/>
                <w:lang w:val="bg-BG"/>
              </w:rPr>
            </w:pPr>
            <w:r w:rsidRPr="00CA32C6">
              <w:rPr>
                <w:rFonts w:ascii="Arial Narrow" w:hAnsi="Arial Narrow" w:cs="Calibri"/>
                <w:b/>
                <w:bCs/>
                <w:sz w:val="18"/>
                <w:szCs w:val="18"/>
                <w:lang w:val="bg-BG"/>
              </w:rPr>
              <w:t>302</w:t>
            </w:r>
          </w:p>
        </w:tc>
        <w:tc>
          <w:tcPr>
            <w:tcW w:w="761" w:type="dxa"/>
            <w:tcBorders>
              <w:top w:val="nil"/>
              <w:left w:val="nil"/>
              <w:bottom w:val="single" w:sz="4" w:space="0" w:color="auto"/>
              <w:right w:val="single" w:sz="4" w:space="0" w:color="auto"/>
            </w:tcBorders>
            <w:shd w:val="clear" w:color="auto" w:fill="auto"/>
            <w:noWrap/>
            <w:vAlign w:val="center"/>
            <w:hideMark/>
          </w:tcPr>
          <w:p w14:paraId="5BB5CAD9" w14:textId="77777777" w:rsidR="00CA32C6" w:rsidRPr="00CA32C6" w:rsidRDefault="00CA32C6" w:rsidP="00CA32C6">
            <w:pPr>
              <w:jc w:val="right"/>
              <w:rPr>
                <w:rFonts w:ascii="Arial Narrow" w:hAnsi="Arial Narrow" w:cs="Calibri"/>
                <w:b/>
                <w:bCs/>
                <w:sz w:val="18"/>
                <w:szCs w:val="18"/>
                <w:lang w:val="bg-BG"/>
              </w:rPr>
            </w:pPr>
            <w:r w:rsidRPr="00CA32C6">
              <w:rPr>
                <w:rFonts w:ascii="Arial Narrow" w:hAnsi="Arial Narrow" w:cs="Calibri"/>
                <w:b/>
                <w:bCs/>
                <w:sz w:val="18"/>
                <w:szCs w:val="18"/>
                <w:lang w:val="bg-BG"/>
              </w:rPr>
              <w:t>219</w:t>
            </w:r>
          </w:p>
        </w:tc>
        <w:tc>
          <w:tcPr>
            <w:tcW w:w="761" w:type="dxa"/>
            <w:tcBorders>
              <w:top w:val="nil"/>
              <w:left w:val="nil"/>
              <w:bottom w:val="single" w:sz="4" w:space="0" w:color="auto"/>
              <w:right w:val="single" w:sz="4" w:space="0" w:color="auto"/>
            </w:tcBorders>
            <w:shd w:val="clear" w:color="auto" w:fill="auto"/>
            <w:noWrap/>
            <w:vAlign w:val="center"/>
            <w:hideMark/>
          </w:tcPr>
          <w:p w14:paraId="6833CEF9" w14:textId="77777777" w:rsidR="00CA32C6" w:rsidRPr="00CA32C6" w:rsidRDefault="00CA32C6" w:rsidP="00CA32C6">
            <w:pPr>
              <w:jc w:val="right"/>
              <w:rPr>
                <w:rFonts w:ascii="Arial Narrow" w:hAnsi="Arial Narrow" w:cs="Calibri"/>
                <w:b/>
                <w:bCs/>
                <w:sz w:val="18"/>
                <w:szCs w:val="18"/>
                <w:lang w:val="bg-BG"/>
              </w:rPr>
            </w:pPr>
            <w:r w:rsidRPr="00CA32C6">
              <w:rPr>
                <w:rFonts w:ascii="Arial Narrow" w:hAnsi="Arial Narrow" w:cs="Calibri"/>
                <w:b/>
                <w:bCs/>
                <w:sz w:val="18"/>
                <w:szCs w:val="18"/>
                <w:lang w:val="bg-BG"/>
              </w:rPr>
              <w:t>10 247</w:t>
            </w:r>
          </w:p>
        </w:tc>
        <w:tc>
          <w:tcPr>
            <w:tcW w:w="761" w:type="dxa"/>
            <w:tcBorders>
              <w:top w:val="nil"/>
              <w:left w:val="nil"/>
              <w:bottom w:val="single" w:sz="4" w:space="0" w:color="auto"/>
              <w:right w:val="single" w:sz="4" w:space="0" w:color="auto"/>
            </w:tcBorders>
            <w:shd w:val="clear" w:color="auto" w:fill="auto"/>
            <w:noWrap/>
            <w:vAlign w:val="center"/>
            <w:hideMark/>
          </w:tcPr>
          <w:p w14:paraId="26981A73" w14:textId="77777777" w:rsidR="00CA32C6" w:rsidRPr="00CA32C6" w:rsidRDefault="00CA32C6" w:rsidP="00CA32C6">
            <w:pPr>
              <w:jc w:val="right"/>
              <w:rPr>
                <w:rFonts w:ascii="Arial Narrow" w:hAnsi="Arial Narrow" w:cs="Calibri"/>
                <w:b/>
                <w:bCs/>
                <w:sz w:val="18"/>
                <w:szCs w:val="18"/>
                <w:lang w:val="bg-BG"/>
              </w:rPr>
            </w:pPr>
            <w:r w:rsidRPr="00CA32C6">
              <w:rPr>
                <w:rFonts w:ascii="Arial Narrow" w:hAnsi="Arial Narrow" w:cs="Calibri"/>
                <w:b/>
                <w:bCs/>
                <w:sz w:val="18"/>
                <w:szCs w:val="18"/>
                <w:lang w:val="bg-BG"/>
              </w:rPr>
              <w:t>5 645</w:t>
            </w:r>
          </w:p>
        </w:tc>
        <w:tc>
          <w:tcPr>
            <w:tcW w:w="915" w:type="dxa"/>
            <w:tcBorders>
              <w:top w:val="nil"/>
              <w:left w:val="nil"/>
              <w:bottom w:val="single" w:sz="4" w:space="0" w:color="auto"/>
              <w:right w:val="single" w:sz="4" w:space="0" w:color="auto"/>
            </w:tcBorders>
            <w:shd w:val="clear" w:color="auto" w:fill="auto"/>
            <w:noWrap/>
            <w:vAlign w:val="center"/>
            <w:hideMark/>
          </w:tcPr>
          <w:p w14:paraId="343B6826" w14:textId="77777777" w:rsidR="00CA32C6" w:rsidRPr="00CA32C6" w:rsidRDefault="00CA32C6" w:rsidP="00CA32C6">
            <w:pPr>
              <w:jc w:val="right"/>
              <w:rPr>
                <w:rFonts w:ascii="Arial Narrow" w:hAnsi="Arial Narrow" w:cs="Calibri"/>
                <w:b/>
                <w:bCs/>
                <w:sz w:val="18"/>
                <w:szCs w:val="18"/>
                <w:lang w:val="bg-BG"/>
              </w:rPr>
            </w:pPr>
            <w:r w:rsidRPr="00CA32C6">
              <w:rPr>
                <w:rFonts w:ascii="Arial Narrow" w:hAnsi="Arial Narrow" w:cs="Calibri"/>
                <w:b/>
                <w:bCs/>
                <w:sz w:val="18"/>
                <w:szCs w:val="18"/>
                <w:lang w:val="bg-BG"/>
              </w:rPr>
              <w:t>-44,9%</w:t>
            </w:r>
          </w:p>
        </w:tc>
        <w:tc>
          <w:tcPr>
            <w:tcW w:w="680" w:type="dxa"/>
            <w:tcBorders>
              <w:top w:val="nil"/>
              <w:left w:val="nil"/>
              <w:bottom w:val="single" w:sz="4" w:space="0" w:color="auto"/>
              <w:right w:val="single" w:sz="4" w:space="0" w:color="auto"/>
            </w:tcBorders>
            <w:shd w:val="clear" w:color="auto" w:fill="auto"/>
            <w:noWrap/>
            <w:vAlign w:val="center"/>
            <w:hideMark/>
          </w:tcPr>
          <w:p w14:paraId="66174063" w14:textId="77777777" w:rsidR="00CA32C6" w:rsidRPr="00CA32C6" w:rsidRDefault="00CA32C6" w:rsidP="00CA32C6">
            <w:pPr>
              <w:jc w:val="right"/>
              <w:rPr>
                <w:rFonts w:ascii="Arial Narrow" w:hAnsi="Arial Narrow" w:cs="Calibri"/>
                <w:b/>
                <w:bCs/>
                <w:sz w:val="18"/>
                <w:szCs w:val="18"/>
                <w:lang w:val="bg-BG"/>
              </w:rPr>
            </w:pPr>
            <w:r w:rsidRPr="00CA32C6">
              <w:rPr>
                <w:rFonts w:ascii="Arial Narrow" w:hAnsi="Arial Narrow" w:cs="Calibri"/>
                <w:b/>
                <w:bCs/>
                <w:sz w:val="18"/>
                <w:szCs w:val="18"/>
                <w:lang w:val="bg-BG"/>
              </w:rPr>
              <w:t>-</w:t>
            </w:r>
          </w:p>
        </w:tc>
        <w:tc>
          <w:tcPr>
            <w:tcW w:w="680" w:type="dxa"/>
            <w:tcBorders>
              <w:top w:val="nil"/>
              <w:left w:val="nil"/>
              <w:bottom w:val="single" w:sz="4" w:space="0" w:color="auto"/>
              <w:right w:val="single" w:sz="4" w:space="0" w:color="auto"/>
            </w:tcBorders>
            <w:shd w:val="clear" w:color="auto" w:fill="auto"/>
            <w:noWrap/>
            <w:vAlign w:val="center"/>
            <w:hideMark/>
          </w:tcPr>
          <w:p w14:paraId="250DF3DA" w14:textId="77777777" w:rsidR="00CA32C6" w:rsidRPr="00CA32C6" w:rsidRDefault="00CA32C6" w:rsidP="00CA32C6">
            <w:pPr>
              <w:jc w:val="right"/>
              <w:rPr>
                <w:rFonts w:ascii="Arial Narrow" w:hAnsi="Arial Narrow" w:cs="Calibri"/>
                <w:b/>
                <w:bCs/>
                <w:sz w:val="18"/>
                <w:szCs w:val="18"/>
                <w:lang w:val="bg-BG"/>
              </w:rPr>
            </w:pPr>
            <w:r w:rsidRPr="00CA32C6">
              <w:rPr>
                <w:rFonts w:ascii="Arial Narrow" w:hAnsi="Arial Narrow" w:cs="Calibri"/>
                <w:b/>
                <w:bCs/>
                <w:sz w:val="18"/>
                <w:szCs w:val="18"/>
                <w:lang w:val="bg-BG"/>
              </w:rPr>
              <w:t>-</w:t>
            </w:r>
          </w:p>
        </w:tc>
      </w:tr>
      <w:tr w:rsidR="00CA32C6" w:rsidRPr="00CA32C6" w14:paraId="0BA194E1" w14:textId="77777777" w:rsidTr="009C6577">
        <w:trPr>
          <w:trHeight w:val="287"/>
          <w:jc w:val="center"/>
        </w:trPr>
        <w:tc>
          <w:tcPr>
            <w:tcW w:w="1367" w:type="dxa"/>
            <w:tcBorders>
              <w:top w:val="nil"/>
              <w:left w:val="single" w:sz="4" w:space="0" w:color="auto"/>
              <w:bottom w:val="single" w:sz="4" w:space="0" w:color="auto"/>
              <w:right w:val="single" w:sz="4" w:space="0" w:color="auto"/>
            </w:tcBorders>
            <w:shd w:val="clear" w:color="auto" w:fill="auto"/>
            <w:vAlign w:val="center"/>
            <w:hideMark/>
          </w:tcPr>
          <w:p w14:paraId="6B5D41B6" w14:textId="77777777" w:rsidR="00CA32C6" w:rsidRPr="00CA32C6" w:rsidRDefault="00CA32C6" w:rsidP="00CA32C6">
            <w:pPr>
              <w:rPr>
                <w:rFonts w:ascii="Arial Narrow" w:hAnsi="Arial Narrow" w:cs="Calibri"/>
                <w:sz w:val="18"/>
                <w:szCs w:val="18"/>
                <w:lang w:val="bg-BG"/>
              </w:rPr>
            </w:pPr>
            <w:r w:rsidRPr="00CA32C6">
              <w:rPr>
                <w:rFonts w:ascii="Arial Narrow" w:hAnsi="Arial Narrow" w:cs="Calibri"/>
                <w:sz w:val="18"/>
                <w:szCs w:val="18"/>
                <w:lang w:val="bg-BG"/>
              </w:rPr>
              <w:t>Салати и марули</w:t>
            </w:r>
          </w:p>
        </w:tc>
        <w:tc>
          <w:tcPr>
            <w:tcW w:w="761" w:type="dxa"/>
            <w:tcBorders>
              <w:top w:val="nil"/>
              <w:left w:val="nil"/>
              <w:bottom w:val="single" w:sz="4" w:space="0" w:color="auto"/>
              <w:right w:val="single" w:sz="4" w:space="0" w:color="auto"/>
            </w:tcBorders>
            <w:shd w:val="clear" w:color="auto" w:fill="auto"/>
            <w:noWrap/>
            <w:vAlign w:val="center"/>
            <w:hideMark/>
          </w:tcPr>
          <w:p w14:paraId="73AEC592" w14:textId="77777777" w:rsidR="00CA32C6" w:rsidRPr="00CA32C6" w:rsidRDefault="00CA32C6" w:rsidP="00CA32C6">
            <w:pPr>
              <w:jc w:val="right"/>
              <w:rPr>
                <w:rFonts w:ascii="Arial Narrow" w:hAnsi="Arial Narrow" w:cs="Calibri"/>
                <w:sz w:val="18"/>
                <w:szCs w:val="18"/>
                <w:lang w:val="bg-BG"/>
              </w:rPr>
            </w:pPr>
            <w:r w:rsidRPr="00CA32C6">
              <w:rPr>
                <w:rFonts w:ascii="Arial Narrow" w:hAnsi="Arial Narrow" w:cs="Calibri"/>
                <w:sz w:val="18"/>
                <w:szCs w:val="18"/>
                <w:lang w:val="bg-BG"/>
              </w:rPr>
              <w:t>197</w:t>
            </w:r>
          </w:p>
        </w:tc>
        <w:tc>
          <w:tcPr>
            <w:tcW w:w="761" w:type="dxa"/>
            <w:tcBorders>
              <w:top w:val="nil"/>
              <w:left w:val="nil"/>
              <w:bottom w:val="single" w:sz="4" w:space="0" w:color="auto"/>
              <w:right w:val="single" w:sz="4" w:space="0" w:color="auto"/>
            </w:tcBorders>
            <w:shd w:val="clear" w:color="auto" w:fill="auto"/>
            <w:noWrap/>
            <w:vAlign w:val="center"/>
            <w:hideMark/>
          </w:tcPr>
          <w:p w14:paraId="12DE65F5" w14:textId="77777777" w:rsidR="00CA32C6" w:rsidRPr="00CA32C6" w:rsidRDefault="00CA32C6" w:rsidP="00CA32C6">
            <w:pPr>
              <w:jc w:val="right"/>
              <w:rPr>
                <w:rFonts w:ascii="Arial Narrow" w:hAnsi="Arial Narrow" w:cs="Calibri"/>
                <w:sz w:val="18"/>
                <w:szCs w:val="18"/>
                <w:lang w:val="bg-BG"/>
              </w:rPr>
            </w:pPr>
            <w:r w:rsidRPr="00CA32C6">
              <w:rPr>
                <w:rFonts w:ascii="Arial Narrow" w:hAnsi="Arial Narrow" w:cs="Calibri"/>
                <w:sz w:val="18"/>
                <w:szCs w:val="18"/>
                <w:lang w:val="bg-BG"/>
              </w:rPr>
              <w:t>102</w:t>
            </w:r>
          </w:p>
        </w:tc>
        <w:tc>
          <w:tcPr>
            <w:tcW w:w="761" w:type="dxa"/>
            <w:tcBorders>
              <w:top w:val="nil"/>
              <w:left w:val="nil"/>
              <w:bottom w:val="single" w:sz="4" w:space="0" w:color="auto"/>
              <w:right w:val="single" w:sz="4" w:space="0" w:color="auto"/>
            </w:tcBorders>
            <w:shd w:val="clear" w:color="auto" w:fill="auto"/>
            <w:noWrap/>
            <w:vAlign w:val="center"/>
            <w:hideMark/>
          </w:tcPr>
          <w:p w14:paraId="78FA1B7A" w14:textId="77777777" w:rsidR="00CA32C6" w:rsidRPr="00CA32C6" w:rsidRDefault="00CA32C6" w:rsidP="00CA32C6">
            <w:pPr>
              <w:jc w:val="right"/>
              <w:rPr>
                <w:rFonts w:ascii="Arial Narrow" w:hAnsi="Arial Narrow" w:cs="Calibri"/>
                <w:sz w:val="18"/>
                <w:szCs w:val="18"/>
                <w:lang w:val="bg-BG"/>
              </w:rPr>
            </w:pPr>
            <w:r w:rsidRPr="00CA32C6">
              <w:rPr>
                <w:rFonts w:ascii="Arial Narrow" w:hAnsi="Arial Narrow" w:cs="Calibri"/>
                <w:sz w:val="18"/>
                <w:szCs w:val="18"/>
                <w:lang w:val="bg-BG"/>
              </w:rPr>
              <w:t>22</w:t>
            </w:r>
          </w:p>
        </w:tc>
        <w:tc>
          <w:tcPr>
            <w:tcW w:w="761" w:type="dxa"/>
            <w:tcBorders>
              <w:top w:val="nil"/>
              <w:left w:val="nil"/>
              <w:bottom w:val="single" w:sz="4" w:space="0" w:color="auto"/>
              <w:right w:val="single" w:sz="4" w:space="0" w:color="auto"/>
            </w:tcBorders>
            <w:shd w:val="clear" w:color="auto" w:fill="auto"/>
            <w:noWrap/>
            <w:vAlign w:val="center"/>
            <w:hideMark/>
          </w:tcPr>
          <w:p w14:paraId="2DFD0F5B" w14:textId="77777777" w:rsidR="00CA32C6" w:rsidRPr="00CA32C6" w:rsidRDefault="00CA32C6" w:rsidP="00CA32C6">
            <w:pPr>
              <w:jc w:val="right"/>
              <w:rPr>
                <w:rFonts w:ascii="Arial Narrow" w:hAnsi="Arial Narrow" w:cs="Calibri"/>
                <w:sz w:val="18"/>
                <w:szCs w:val="18"/>
                <w:lang w:val="bg-BG"/>
              </w:rPr>
            </w:pPr>
            <w:r w:rsidRPr="00CA32C6">
              <w:rPr>
                <w:rFonts w:ascii="Arial Narrow" w:hAnsi="Arial Narrow" w:cs="Calibri"/>
                <w:sz w:val="18"/>
                <w:szCs w:val="18"/>
                <w:lang w:val="bg-BG"/>
              </w:rPr>
              <w:t>12</w:t>
            </w:r>
          </w:p>
        </w:tc>
        <w:tc>
          <w:tcPr>
            <w:tcW w:w="761" w:type="dxa"/>
            <w:tcBorders>
              <w:top w:val="nil"/>
              <w:left w:val="nil"/>
              <w:bottom w:val="single" w:sz="4" w:space="0" w:color="auto"/>
              <w:right w:val="single" w:sz="4" w:space="0" w:color="auto"/>
            </w:tcBorders>
            <w:shd w:val="clear" w:color="auto" w:fill="auto"/>
            <w:noWrap/>
            <w:vAlign w:val="center"/>
            <w:hideMark/>
          </w:tcPr>
          <w:p w14:paraId="6042EF99" w14:textId="77777777" w:rsidR="00CA32C6" w:rsidRPr="00CA32C6" w:rsidRDefault="00CA32C6" w:rsidP="00CA32C6">
            <w:pPr>
              <w:jc w:val="right"/>
              <w:rPr>
                <w:rFonts w:ascii="Arial Narrow" w:hAnsi="Arial Narrow" w:cs="Calibri"/>
                <w:sz w:val="18"/>
                <w:szCs w:val="18"/>
                <w:lang w:val="bg-BG"/>
              </w:rPr>
            </w:pPr>
            <w:r w:rsidRPr="00CA32C6">
              <w:rPr>
                <w:rFonts w:ascii="Arial Narrow" w:hAnsi="Arial Narrow" w:cs="Calibri"/>
                <w:sz w:val="18"/>
                <w:szCs w:val="18"/>
                <w:lang w:val="bg-BG"/>
              </w:rPr>
              <w:t>3 623</w:t>
            </w:r>
          </w:p>
        </w:tc>
        <w:tc>
          <w:tcPr>
            <w:tcW w:w="761" w:type="dxa"/>
            <w:tcBorders>
              <w:top w:val="nil"/>
              <w:left w:val="nil"/>
              <w:bottom w:val="single" w:sz="4" w:space="0" w:color="auto"/>
              <w:right w:val="single" w:sz="4" w:space="0" w:color="auto"/>
            </w:tcBorders>
            <w:shd w:val="clear" w:color="auto" w:fill="auto"/>
            <w:noWrap/>
            <w:vAlign w:val="center"/>
            <w:hideMark/>
          </w:tcPr>
          <w:p w14:paraId="02EE9CBF" w14:textId="77777777" w:rsidR="00CA32C6" w:rsidRPr="00CA32C6" w:rsidRDefault="00CA32C6" w:rsidP="00CA32C6">
            <w:pPr>
              <w:jc w:val="right"/>
              <w:rPr>
                <w:rFonts w:ascii="Arial Narrow" w:hAnsi="Arial Narrow" w:cs="Calibri"/>
                <w:sz w:val="18"/>
                <w:szCs w:val="18"/>
                <w:lang w:val="bg-BG"/>
              </w:rPr>
            </w:pPr>
            <w:r w:rsidRPr="00CA32C6">
              <w:rPr>
                <w:rFonts w:ascii="Arial Narrow" w:hAnsi="Arial Narrow" w:cs="Calibri"/>
                <w:sz w:val="18"/>
                <w:szCs w:val="18"/>
                <w:lang w:val="bg-BG"/>
              </w:rPr>
              <w:t>1 665</w:t>
            </w:r>
          </w:p>
        </w:tc>
        <w:tc>
          <w:tcPr>
            <w:tcW w:w="761" w:type="dxa"/>
            <w:tcBorders>
              <w:top w:val="nil"/>
              <w:left w:val="nil"/>
              <w:bottom w:val="single" w:sz="4" w:space="0" w:color="auto"/>
              <w:right w:val="single" w:sz="4" w:space="0" w:color="auto"/>
            </w:tcBorders>
            <w:shd w:val="clear" w:color="auto" w:fill="auto"/>
            <w:noWrap/>
            <w:vAlign w:val="center"/>
            <w:hideMark/>
          </w:tcPr>
          <w:p w14:paraId="17000EE6" w14:textId="77777777" w:rsidR="00CA32C6" w:rsidRPr="00CA32C6" w:rsidRDefault="00CA32C6" w:rsidP="00CA32C6">
            <w:pPr>
              <w:jc w:val="right"/>
              <w:rPr>
                <w:rFonts w:ascii="Arial Narrow" w:hAnsi="Arial Narrow" w:cs="Calibri"/>
                <w:sz w:val="18"/>
                <w:szCs w:val="18"/>
                <w:lang w:val="bg-BG"/>
              </w:rPr>
            </w:pPr>
            <w:r w:rsidRPr="00CA32C6">
              <w:rPr>
                <w:rFonts w:ascii="Arial Narrow" w:hAnsi="Arial Narrow" w:cs="Calibri"/>
                <w:sz w:val="18"/>
                <w:szCs w:val="18"/>
                <w:lang w:val="bg-BG"/>
              </w:rPr>
              <w:t>215</w:t>
            </w:r>
          </w:p>
        </w:tc>
        <w:tc>
          <w:tcPr>
            <w:tcW w:w="761" w:type="dxa"/>
            <w:tcBorders>
              <w:top w:val="nil"/>
              <w:left w:val="nil"/>
              <w:bottom w:val="single" w:sz="4" w:space="0" w:color="auto"/>
              <w:right w:val="single" w:sz="4" w:space="0" w:color="auto"/>
            </w:tcBorders>
            <w:shd w:val="clear" w:color="auto" w:fill="auto"/>
            <w:noWrap/>
            <w:vAlign w:val="center"/>
            <w:hideMark/>
          </w:tcPr>
          <w:p w14:paraId="78485A48" w14:textId="77777777" w:rsidR="00CA32C6" w:rsidRPr="00CA32C6" w:rsidRDefault="00CA32C6" w:rsidP="00CA32C6">
            <w:pPr>
              <w:jc w:val="right"/>
              <w:rPr>
                <w:rFonts w:ascii="Arial Narrow" w:hAnsi="Arial Narrow" w:cs="Calibri"/>
                <w:sz w:val="18"/>
                <w:szCs w:val="18"/>
                <w:lang w:val="bg-BG"/>
              </w:rPr>
            </w:pPr>
            <w:r w:rsidRPr="00CA32C6">
              <w:rPr>
                <w:rFonts w:ascii="Arial Narrow" w:hAnsi="Arial Narrow" w:cs="Calibri"/>
                <w:sz w:val="18"/>
                <w:szCs w:val="18"/>
                <w:lang w:val="bg-BG"/>
              </w:rPr>
              <w:t>173</w:t>
            </w:r>
          </w:p>
        </w:tc>
        <w:tc>
          <w:tcPr>
            <w:tcW w:w="761" w:type="dxa"/>
            <w:tcBorders>
              <w:top w:val="nil"/>
              <w:left w:val="nil"/>
              <w:bottom w:val="single" w:sz="4" w:space="0" w:color="auto"/>
              <w:right w:val="single" w:sz="4" w:space="0" w:color="auto"/>
            </w:tcBorders>
            <w:shd w:val="clear" w:color="auto" w:fill="auto"/>
            <w:noWrap/>
            <w:vAlign w:val="center"/>
            <w:hideMark/>
          </w:tcPr>
          <w:p w14:paraId="0ABC6D00" w14:textId="77777777" w:rsidR="00CA32C6" w:rsidRPr="00CA32C6" w:rsidRDefault="00CA32C6" w:rsidP="00CA32C6">
            <w:pPr>
              <w:jc w:val="right"/>
              <w:rPr>
                <w:rFonts w:ascii="Arial Narrow" w:hAnsi="Arial Narrow" w:cs="Calibri"/>
                <w:sz w:val="18"/>
                <w:szCs w:val="18"/>
                <w:lang w:val="bg-BG"/>
              </w:rPr>
            </w:pPr>
            <w:r w:rsidRPr="00CA32C6">
              <w:rPr>
                <w:rFonts w:ascii="Arial Narrow" w:hAnsi="Arial Narrow" w:cs="Calibri"/>
                <w:sz w:val="18"/>
                <w:szCs w:val="18"/>
                <w:lang w:val="bg-BG"/>
              </w:rPr>
              <w:t>3 838</w:t>
            </w:r>
          </w:p>
        </w:tc>
        <w:tc>
          <w:tcPr>
            <w:tcW w:w="761" w:type="dxa"/>
            <w:tcBorders>
              <w:top w:val="nil"/>
              <w:left w:val="nil"/>
              <w:bottom w:val="single" w:sz="4" w:space="0" w:color="auto"/>
              <w:right w:val="single" w:sz="4" w:space="0" w:color="auto"/>
            </w:tcBorders>
            <w:shd w:val="clear" w:color="auto" w:fill="auto"/>
            <w:noWrap/>
            <w:vAlign w:val="center"/>
            <w:hideMark/>
          </w:tcPr>
          <w:p w14:paraId="79AE61C1" w14:textId="77777777" w:rsidR="00CA32C6" w:rsidRPr="00CA32C6" w:rsidRDefault="00CA32C6" w:rsidP="00CA32C6">
            <w:pPr>
              <w:jc w:val="right"/>
              <w:rPr>
                <w:rFonts w:ascii="Arial Narrow" w:hAnsi="Arial Narrow" w:cs="Calibri"/>
                <w:sz w:val="18"/>
                <w:szCs w:val="18"/>
                <w:lang w:val="bg-BG"/>
              </w:rPr>
            </w:pPr>
            <w:r w:rsidRPr="00CA32C6">
              <w:rPr>
                <w:rFonts w:ascii="Arial Narrow" w:hAnsi="Arial Narrow" w:cs="Calibri"/>
                <w:sz w:val="18"/>
                <w:szCs w:val="18"/>
                <w:lang w:val="bg-BG"/>
              </w:rPr>
              <w:t>1 838</w:t>
            </w:r>
          </w:p>
        </w:tc>
        <w:tc>
          <w:tcPr>
            <w:tcW w:w="915" w:type="dxa"/>
            <w:tcBorders>
              <w:top w:val="nil"/>
              <w:left w:val="nil"/>
              <w:bottom w:val="single" w:sz="4" w:space="0" w:color="auto"/>
              <w:right w:val="single" w:sz="4" w:space="0" w:color="auto"/>
            </w:tcBorders>
            <w:shd w:val="clear" w:color="auto" w:fill="auto"/>
            <w:noWrap/>
            <w:vAlign w:val="center"/>
            <w:hideMark/>
          </w:tcPr>
          <w:p w14:paraId="31E91144" w14:textId="77777777" w:rsidR="00CA32C6" w:rsidRPr="00CA32C6" w:rsidRDefault="00CA32C6" w:rsidP="00CA32C6">
            <w:pPr>
              <w:jc w:val="right"/>
              <w:rPr>
                <w:rFonts w:ascii="Arial Narrow" w:hAnsi="Arial Narrow" w:cs="Calibri"/>
                <w:sz w:val="18"/>
                <w:szCs w:val="18"/>
                <w:lang w:val="bg-BG"/>
              </w:rPr>
            </w:pPr>
            <w:r w:rsidRPr="00CA32C6">
              <w:rPr>
                <w:rFonts w:ascii="Arial Narrow" w:hAnsi="Arial Narrow" w:cs="Calibri"/>
                <w:sz w:val="18"/>
                <w:szCs w:val="18"/>
                <w:lang w:val="bg-BG"/>
              </w:rPr>
              <w:t>-52,1%</w:t>
            </w:r>
          </w:p>
        </w:tc>
        <w:tc>
          <w:tcPr>
            <w:tcW w:w="680" w:type="dxa"/>
            <w:tcBorders>
              <w:top w:val="nil"/>
              <w:left w:val="nil"/>
              <w:bottom w:val="single" w:sz="4" w:space="0" w:color="auto"/>
              <w:right w:val="single" w:sz="4" w:space="0" w:color="auto"/>
            </w:tcBorders>
            <w:shd w:val="clear" w:color="auto" w:fill="auto"/>
            <w:noWrap/>
            <w:vAlign w:val="center"/>
            <w:hideMark/>
          </w:tcPr>
          <w:p w14:paraId="554823C3" w14:textId="77777777" w:rsidR="00CA32C6" w:rsidRPr="00CA32C6" w:rsidRDefault="00CA32C6" w:rsidP="00CA32C6">
            <w:pPr>
              <w:jc w:val="right"/>
              <w:rPr>
                <w:rFonts w:ascii="Arial Narrow" w:hAnsi="Arial Narrow" w:cs="Calibri"/>
                <w:sz w:val="18"/>
                <w:szCs w:val="18"/>
                <w:lang w:val="bg-BG"/>
              </w:rPr>
            </w:pPr>
            <w:r w:rsidRPr="00CA32C6">
              <w:rPr>
                <w:rFonts w:ascii="Arial Narrow" w:hAnsi="Arial Narrow" w:cs="Calibri"/>
                <w:sz w:val="18"/>
                <w:szCs w:val="18"/>
                <w:lang w:val="bg-BG"/>
              </w:rPr>
              <w:t>18 391</w:t>
            </w:r>
          </w:p>
        </w:tc>
        <w:tc>
          <w:tcPr>
            <w:tcW w:w="680" w:type="dxa"/>
            <w:tcBorders>
              <w:top w:val="nil"/>
              <w:left w:val="nil"/>
              <w:bottom w:val="single" w:sz="4" w:space="0" w:color="auto"/>
              <w:right w:val="single" w:sz="4" w:space="0" w:color="auto"/>
            </w:tcBorders>
            <w:shd w:val="clear" w:color="auto" w:fill="auto"/>
            <w:noWrap/>
            <w:vAlign w:val="center"/>
            <w:hideMark/>
          </w:tcPr>
          <w:p w14:paraId="4B90C34F" w14:textId="77777777" w:rsidR="00CA32C6" w:rsidRPr="00CA32C6" w:rsidRDefault="00CA32C6" w:rsidP="00CA32C6">
            <w:pPr>
              <w:jc w:val="right"/>
              <w:rPr>
                <w:rFonts w:ascii="Arial Narrow" w:hAnsi="Arial Narrow" w:cs="Calibri"/>
                <w:sz w:val="18"/>
                <w:szCs w:val="18"/>
                <w:lang w:val="bg-BG"/>
              </w:rPr>
            </w:pPr>
            <w:r w:rsidRPr="00CA32C6">
              <w:rPr>
                <w:rFonts w:ascii="Arial Narrow" w:hAnsi="Arial Narrow" w:cs="Calibri"/>
                <w:sz w:val="18"/>
                <w:szCs w:val="18"/>
                <w:lang w:val="bg-BG"/>
              </w:rPr>
              <w:t>16 324</w:t>
            </w:r>
          </w:p>
        </w:tc>
      </w:tr>
      <w:tr w:rsidR="00CA32C6" w:rsidRPr="00CA32C6" w14:paraId="177D70B8" w14:textId="77777777" w:rsidTr="009C6577">
        <w:trPr>
          <w:trHeight w:val="287"/>
          <w:jc w:val="center"/>
        </w:trPr>
        <w:tc>
          <w:tcPr>
            <w:tcW w:w="1367" w:type="dxa"/>
            <w:tcBorders>
              <w:top w:val="nil"/>
              <w:left w:val="single" w:sz="4" w:space="0" w:color="auto"/>
              <w:bottom w:val="single" w:sz="4" w:space="0" w:color="auto"/>
              <w:right w:val="single" w:sz="4" w:space="0" w:color="auto"/>
            </w:tcBorders>
            <w:shd w:val="clear" w:color="auto" w:fill="auto"/>
            <w:vAlign w:val="center"/>
            <w:hideMark/>
          </w:tcPr>
          <w:p w14:paraId="50D933C9" w14:textId="77777777" w:rsidR="00CA32C6" w:rsidRPr="00CA32C6" w:rsidRDefault="00CA32C6" w:rsidP="00CA32C6">
            <w:pPr>
              <w:rPr>
                <w:rFonts w:ascii="Arial Narrow" w:hAnsi="Arial Narrow" w:cs="Calibri"/>
                <w:sz w:val="18"/>
                <w:szCs w:val="18"/>
                <w:lang w:val="bg-BG"/>
              </w:rPr>
            </w:pPr>
            <w:r w:rsidRPr="00CA32C6">
              <w:rPr>
                <w:rFonts w:ascii="Arial Narrow" w:hAnsi="Arial Narrow" w:cs="Calibri"/>
                <w:sz w:val="18"/>
                <w:szCs w:val="18"/>
                <w:lang w:val="bg-BG"/>
              </w:rPr>
              <w:t>Спанак</w:t>
            </w:r>
          </w:p>
        </w:tc>
        <w:tc>
          <w:tcPr>
            <w:tcW w:w="761" w:type="dxa"/>
            <w:tcBorders>
              <w:top w:val="nil"/>
              <w:left w:val="nil"/>
              <w:bottom w:val="single" w:sz="4" w:space="0" w:color="auto"/>
              <w:right w:val="single" w:sz="4" w:space="0" w:color="auto"/>
            </w:tcBorders>
            <w:shd w:val="clear" w:color="auto" w:fill="auto"/>
            <w:noWrap/>
            <w:vAlign w:val="center"/>
            <w:hideMark/>
          </w:tcPr>
          <w:p w14:paraId="37A47AC4" w14:textId="77777777" w:rsidR="00CA32C6" w:rsidRPr="00CA32C6" w:rsidRDefault="00CA32C6" w:rsidP="00CA32C6">
            <w:pPr>
              <w:jc w:val="right"/>
              <w:rPr>
                <w:rFonts w:ascii="Arial Narrow" w:hAnsi="Arial Narrow" w:cs="Calibri"/>
                <w:sz w:val="18"/>
                <w:szCs w:val="18"/>
                <w:lang w:val="bg-BG"/>
              </w:rPr>
            </w:pPr>
            <w:r w:rsidRPr="00CA32C6">
              <w:rPr>
                <w:rFonts w:ascii="Arial Narrow" w:hAnsi="Arial Narrow" w:cs="Calibri"/>
                <w:sz w:val="18"/>
                <w:szCs w:val="18"/>
                <w:lang w:val="bg-BG"/>
              </w:rPr>
              <w:t>36</w:t>
            </w:r>
          </w:p>
        </w:tc>
        <w:tc>
          <w:tcPr>
            <w:tcW w:w="761" w:type="dxa"/>
            <w:tcBorders>
              <w:top w:val="nil"/>
              <w:left w:val="nil"/>
              <w:bottom w:val="single" w:sz="4" w:space="0" w:color="auto"/>
              <w:right w:val="single" w:sz="4" w:space="0" w:color="auto"/>
            </w:tcBorders>
            <w:shd w:val="clear" w:color="auto" w:fill="auto"/>
            <w:noWrap/>
            <w:vAlign w:val="center"/>
            <w:hideMark/>
          </w:tcPr>
          <w:p w14:paraId="3C067563" w14:textId="77777777" w:rsidR="00CA32C6" w:rsidRPr="00CA32C6" w:rsidRDefault="00CA32C6" w:rsidP="00CA32C6">
            <w:pPr>
              <w:jc w:val="right"/>
              <w:rPr>
                <w:rFonts w:ascii="Arial Narrow" w:hAnsi="Arial Narrow" w:cs="Calibri"/>
                <w:sz w:val="18"/>
                <w:szCs w:val="18"/>
                <w:lang w:val="bg-BG"/>
              </w:rPr>
            </w:pPr>
            <w:r w:rsidRPr="00CA32C6">
              <w:rPr>
                <w:rFonts w:ascii="Arial Narrow" w:hAnsi="Arial Narrow" w:cs="Calibri"/>
                <w:sz w:val="18"/>
                <w:szCs w:val="18"/>
                <w:lang w:val="bg-BG"/>
              </w:rPr>
              <w:t>95</w:t>
            </w:r>
          </w:p>
        </w:tc>
        <w:tc>
          <w:tcPr>
            <w:tcW w:w="761" w:type="dxa"/>
            <w:tcBorders>
              <w:top w:val="nil"/>
              <w:left w:val="nil"/>
              <w:bottom w:val="single" w:sz="4" w:space="0" w:color="auto"/>
              <w:right w:val="single" w:sz="4" w:space="0" w:color="auto"/>
            </w:tcBorders>
            <w:shd w:val="clear" w:color="auto" w:fill="auto"/>
            <w:noWrap/>
            <w:vAlign w:val="center"/>
            <w:hideMark/>
          </w:tcPr>
          <w:p w14:paraId="5ED23C0B" w14:textId="77777777" w:rsidR="00CA32C6" w:rsidRPr="00CA32C6" w:rsidRDefault="00CA32C6" w:rsidP="00CA32C6">
            <w:pPr>
              <w:jc w:val="right"/>
              <w:rPr>
                <w:rFonts w:ascii="Arial Narrow" w:hAnsi="Arial Narrow" w:cs="Calibri"/>
                <w:sz w:val="18"/>
                <w:szCs w:val="18"/>
                <w:lang w:val="bg-BG"/>
              </w:rPr>
            </w:pPr>
            <w:r w:rsidRPr="00CA32C6">
              <w:rPr>
                <w:rFonts w:ascii="Arial Narrow" w:hAnsi="Arial Narrow" w:cs="Calibri"/>
                <w:sz w:val="18"/>
                <w:szCs w:val="18"/>
                <w:lang w:val="bg-BG"/>
              </w:rPr>
              <w:t>1</w:t>
            </w:r>
          </w:p>
        </w:tc>
        <w:tc>
          <w:tcPr>
            <w:tcW w:w="761" w:type="dxa"/>
            <w:tcBorders>
              <w:top w:val="nil"/>
              <w:left w:val="nil"/>
              <w:bottom w:val="single" w:sz="4" w:space="0" w:color="auto"/>
              <w:right w:val="single" w:sz="4" w:space="0" w:color="auto"/>
            </w:tcBorders>
            <w:shd w:val="clear" w:color="auto" w:fill="auto"/>
            <w:noWrap/>
            <w:vAlign w:val="center"/>
            <w:hideMark/>
          </w:tcPr>
          <w:p w14:paraId="42564D1C" w14:textId="77777777" w:rsidR="00CA32C6" w:rsidRPr="00CA32C6" w:rsidRDefault="00CA32C6" w:rsidP="00CA32C6">
            <w:pPr>
              <w:jc w:val="right"/>
              <w:rPr>
                <w:rFonts w:ascii="Arial Narrow" w:hAnsi="Arial Narrow" w:cs="Calibri"/>
                <w:sz w:val="18"/>
                <w:szCs w:val="18"/>
                <w:lang w:val="bg-BG"/>
              </w:rPr>
            </w:pPr>
            <w:r w:rsidRPr="00CA32C6">
              <w:rPr>
                <w:rFonts w:ascii="Arial Narrow" w:hAnsi="Arial Narrow" w:cs="Calibri"/>
                <w:sz w:val="18"/>
                <w:szCs w:val="18"/>
                <w:lang w:val="bg-BG"/>
              </w:rPr>
              <w:t>с</w:t>
            </w:r>
          </w:p>
        </w:tc>
        <w:tc>
          <w:tcPr>
            <w:tcW w:w="761" w:type="dxa"/>
            <w:tcBorders>
              <w:top w:val="nil"/>
              <w:left w:val="nil"/>
              <w:bottom w:val="single" w:sz="4" w:space="0" w:color="auto"/>
              <w:right w:val="single" w:sz="4" w:space="0" w:color="auto"/>
            </w:tcBorders>
            <w:shd w:val="clear" w:color="auto" w:fill="auto"/>
            <w:noWrap/>
            <w:vAlign w:val="center"/>
            <w:hideMark/>
          </w:tcPr>
          <w:p w14:paraId="03D90038" w14:textId="77777777" w:rsidR="00CA32C6" w:rsidRPr="00CA32C6" w:rsidRDefault="00CA32C6" w:rsidP="00CA32C6">
            <w:pPr>
              <w:jc w:val="right"/>
              <w:rPr>
                <w:rFonts w:ascii="Arial Narrow" w:hAnsi="Arial Narrow" w:cs="Calibri"/>
                <w:sz w:val="18"/>
                <w:szCs w:val="18"/>
                <w:lang w:val="bg-BG"/>
              </w:rPr>
            </w:pPr>
            <w:r w:rsidRPr="00CA32C6">
              <w:rPr>
                <w:rFonts w:ascii="Arial Narrow" w:hAnsi="Arial Narrow" w:cs="Calibri"/>
                <w:sz w:val="18"/>
                <w:szCs w:val="18"/>
                <w:lang w:val="bg-BG"/>
              </w:rPr>
              <w:t>153</w:t>
            </w:r>
          </w:p>
        </w:tc>
        <w:tc>
          <w:tcPr>
            <w:tcW w:w="761" w:type="dxa"/>
            <w:tcBorders>
              <w:top w:val="nil"/>
              <w:left w:val="nil"/>
              <w:bottom w:val="single" w:sz="4" w:space="0" w:color="auto"/>
              <w:right w:val="single" w:sz="4" w:space="0" w:color="auto"/>
            </w:tcBorders>
            <w:shd w:val="clear" w:color="auto" w:fill="auto"/>
            <w:noWrap/>
            <w:vAlign w:val="center"/>
            <w:hideMark/>
          </w:tcPr>
          <w:p w14:paraId="36EA1E0A" w14:textId="77777777" w:rsidR="00CA32C6" w:rsidRPr="00CA32C6" w:rsidRDefault="00CA32C6" w:rsidP="00CA32C6">
            <w:pPr>
              <w:jc w:val="right"/>
              <w:rPr>
                <w:rFonts w:ascii="Arial Narrow" w:hAnsi="Arial Narrow" w:cs="Calibri"/>
                <w:sz w:val="18"/>
                <w:szCs w:val="18"/>
                <w:lang w:val="bg-BG"/>
              </w:rPr>
            </w:pPr>
            <w:r w:rsidRPr="00CA32C6">
              <w:rPr>
                <w:rFonts w:ascii="Arial Narrow" w:hAnsi="Arial Narrow" w:cs="Calibri"/>
                <w:sz w:val="18"/>
                <w:szCs w:val="18"/>
                <w:lang w:val="bg-BG"/>
              </w:rPr>
              <w:t>586</w:t>
            </w:r>
          </w:p>
        </w:tc>
        <w:tc>
          <w:tcPr>
            <w:tcW w:w="761" w:type="dxa"/>
            <w:tcBorders>
              <w:top w:val="nil"/>
              <w:left w:val="nil"/>
              <w:bottom w:val="single" w:sz="4" w:space="0" w:color="auto"/>
              <w:right w:val="single" w:sz="4" w:space="0" w:color="auto"/>
            </w:tcBorders>
            <w:shd w:val="clear" w:color="auto" w:fill="auto"/>
            <w:noWrap/>
            <w:vAlign w:val="center"/>
            <w:hideMark/>
          </w:tcPr>
          <w:p w14:paraId="4E8F3A3A" w14:textId="77777777" w:rsidR="00CA32C6" w:rsidRPr="00CA32C6" w:rsidRDefault="00CA32C6" w:rsidP="00CA32C6">
            <w:pPr>
              <w:jc w:val="right"/>
              <w:rPr>
                <w:rFonts w:ascii="Arial Narrow" w:hAnsi="Arial Narrow" w:cs="Calibri"/>
                <w:sz w:val="18"/>
                <w:szCs w:val="18"/>
                <w:lang w:val="bg-BG"/>
              </w:rPr>
            </w:pPr>
            <w:r w:rsidRPr="00CA32C6">
              <w:rPr>
                <w:rFonts w:ascii="Arial Narrow" w:hAnsi="Arial Narrow" w:cs="Calibri"/>
                <w:sz w:val="18"/>
                <w:szCs w:val="18"/>
                <w:lang w:val="bg-BG"/>
              </w:rPr>
              <w:t>5</w:t>
            </w:r>
          </w:p>
        </w:tc>
        <w:tc>
          <w:tcPr>
            <w:tcW w:w="761" w:type="dxa"/>
            <w:tcBorders>
              <w:top w:val="nil"/>
              <w:left w:val="nil"/>
              <w:bottom w:val="single" w:sz="4" w:space="0" w:color="auto"/>
              <w:right w:val="single" w:sz="4" w:space="0" w:color="auto"/>
            </w:tcBorders>
            <w:shd w:val="clear" w:color="auto" w:fill="auto"/>
            <w:noWrap/>
            <w:vAlign w:val="center"/>
            <w:hideMark/>
          </w:tcPr>
          <w:p w14:paraId="67B99FAE" w14:textId="77777777" w:rsidR="00CA32C6" w:rsidRPr="00CA32C6" w:rsidRDefault="00CA32C6" w:rsidP="00CA32C6">
            <w:pPr>
              <w:jc w:val="right"/>
              <w:rPr>
                <w:rFonts w:ascii="Arial Narrow" w:hAnsi="Arial Narrow" w:cs="Calibri"/>
                <w:sz w:val="18"/>
                <w:szCs w:val="18"/>
                <w:lang w:val="bg-BG"/>
              </w:rPr>
            </w:pPr>
            <w:r w:rsidRPr="00CA32C6">
              <w:rPr>
                <w:rFonts w:ascii="Arial Narrow" w:hAnsi="Arial Narrow" w:cs="Calibri"/>
                <w:sz w:val="18"/>
                <w:szCs w:val="18"/>
                <w:lang w:val="bg-BG"/>
              </w:rPr>
              <w:t>с</w:t>
            </w:r>
          </w:p>
        </w:tc>
        <w:tc>
          <w:tcPr>
            <w:tcW w:w="761" w:type="dxa"/>
            <w:tcBorders>
              <w:top w:val="nil"/>
              <w:left w:val="nil"/>
              <w:bottom w:val="single" w:sz="4" w:space="0" w:color="auto"/>
              <w:right w:val="single" w:sz="4" w:space="0" w:color="auto"/>
            </w:tcBorders>
            <w:shd w:val="clear" w:color="auto" w:fill="auto"/>
            <w:noWrap/>
            <w:vAlign w:val="center"/>
            <w:hideMark/>
          </w:tcPr>
          <w:p w14:paraId="572FC388" w14:textId="77777777" w:rsidR="00CA32C6" w:rsidRPr="00CA32C6" w:rsidRDefault="00CA32C6" w:rsidP="00CA32C6">
            <w:pPr>
              <w:jc w:val="right"/>
              <w:rPr>
                <w:rFonts w:ascii="Arial Narrow" w:hAnsi="Arial Narrow" w:cs="Calibri"/>
                <w:sz w:val="18"/>
                <w:szCs w:val="18"/>
                <w:lang w:val="bg-BG"/>
              </w:rPr>
            </w:pPr>
            <w:r w:rsidRPr="00CA32C6">
              <w:rPr>
                <w:rFonts w:ascii="Arial Narrow" w:hAnsi="Arial Narrow" w:cs="Calibri"/>
                <w:sz w:val="18"/>
                <w:szCs w:val="18"/>
                <w:lang w:val="bg-BG"/>
              </w:rPr>
              <w:t>158</w:t>
            </w:r>
          </w:p>
        </w:tc>
        <w:tc>
          <w:tcPr>
            <w:tcW w:w="761" w:type="dxa"/>
            <w:tcBorders>
              <w:top w:val="nil"/>
              <w:left w:val="nil"/>
              <w:bottom w:val="single" w:sz="4" w:space="0" w:color="auto"/>
              <w:right w:val="single" w:sz="4" w:space="0" w:color="auto"/>
            </w:tcBorders>
            <w:shd w:val="clear" w:color="auto" w:fill="auto"/>
            <w:noWrap/>
            <w:vAlign w:val="center"/>
            <w:hideMark/>
          </w:tcPr>
          <w:p w14:paraId="5E6D12C5" w14:textId="77777777" w:rsidR="00CA32C6" w:rsidRPr="00CA32C6" w:rsidRDefault="00CA32C6" w:rsidP="00CA32C6">
            <w:pPr>
              <w:jc w:val="right"/>
              <w:rPr>
                <w:rFonts w:ascii="Arial Narrow" w:hAnsi="Arial Narrow" w:cs="Calibri"/>
                <w:sz w:val="18"/>
                <w:szCs w:val="18"/>
                <w:lang w:val="bg-BG"/>
              </w:rPr>
            </w:pPr>
            <w:r w:rsidRPr="00CA32C6">
              <w:rPr>
                <w:rFonts w:ascii="Arial Narrow" w:hAnsi="Arial Narrow" w:cs="Calibri"/>
                <w:sz w:val="18"/>
                <w:szCs w:val="18"/>
                <w:lang w:val="bg-BG"/>
              </w:rPr>
              <w:t>с</w:t>
            </w:r>
          </w:p>
        </w:tc>
        <w:tc>
          <w:tcPr>
            <w:tcW w:w="915" w:type="dxa"/>
            <w:tcBorders>
              <w:top w:val="nil"/>
              <w:left w:val="nil"/>
              <w:bottom w:val="single" w:sz="4" w:space="0" w:color="auto"/>
              <w:right w:val="single" w:sz="4" w:space="0" w:color="auto"/>
            </w:tcBorders>
            <w:shd w:val="clear" w:color="auto" w:fill="auto"/>
            <w:noWrap/>
            <w:vAlign w:val="center"/>
            <w:hideMark/>
          </w:tcPr>
          <w:p w14:paraId="1975EBA8" w14:textId="77777777" w:rsidR="00CA32C6" w:rsidRPr="00CA32C6" w:rsidRDefault="00CA32C6" w:rsidP="00CA32C6">
            <w:pPr>
              <w:jc w:val="right"/>
              <w:rPr>
                <w:rFonts w:ascii="Arial Narrow" w:hAnsi="Arial Narrow" w:cs="Calibri"/>
                <w:b/>
                <w:bCs/>
                <w:sz w:val="18"/>
                <w:szCs w:val="18"/>
                <w:lang w:val="bg-BG"/>
              </w:rPr>
            </w:pPr>
            <w:r w:rsidRPr="00CA32C6">
              <w:rPr>
                <w:rFonts w:ascii="Arial Narrow" w:hAnsi="Arial Narrow" w:cs="Calibri"/>
                <w:b/>
                <w:bCs/>
                <w:sz w:val="18"/>
                <w:szCs w:val="18"/>
                <w:lang w:val="bg-BG"/>
              </w:rPr>
              <w:t>-</w:t>
            </w:r>
          </w:p>
        </w:tc>
        <w:tc>
          <w:tcPr>
            <w:tcW w:w="680" w:type="dxa"/>
            <w:tcBorders>
              <w:top w:val="nil"/>
              <w:left w:val="nil"/>
              <w:bottom w:val="single" w:sz="4" w:space="0" w:color="auto"/>
              <w:right w:val="single" w:sz="4" w:space="0" w:color="auto"/>
            </w:tcBorders>
            <w:shd w:val="clear" w:color="auto" w:fill="auto"/>
            <w:noWrap/>
            <w:vAlign w:val="center"/>
            <w:hideMark/>
          </w:tcPr>
          <w:p w14:paraId="5BDE4892" w14:textId="77777777" w:rsidR="00CA32C6" w:rsidRPr="00CA32C6" w:rsidRDefault="00CA32C6" w:rsidP="00CA32C6">
            <w:pPr>
              <w:jc w:val="right"/>
              <w:rPr>
                <w:rFonts w:ascii="Arial Narrow" w:hAnsi="Arial Narrow" w:cs="Calibri"/>
                <w:sz w:val="18"/>
                <w:szCs w:val="18"/>
                <w:lang w:val="bg-BG"/>
              </w:rPr>
            </w:pPr>
            <w:r w:rsidRPr="00CA32C6">
              <w:rPr>
                <w:rFonts w:ascii="Arial Narrow" w:hAnsi="Arial Narrow" w:cs="Calibri"/>
                <w:sz w:val="18"/>
                <w:szCs w:val="18"/>
                <w:lang w:val="bg-BG"/>
              </w:rPr>
              <w:t>4 250</w:t>
            </w:r>
          </w:p>
        </w:tc>
        <w:tc>
          <w:tcPr>
            <w:tcW w:w="680" w:type="dxa"/>
            <w:tcBorders>
              <w:top w:val="nil"/>
              <w:left w:val="nil"/>
              <w:bottom w:val="single" w:sz="4" w:space="0" w:color="auto"/>
              <w:right w:val="single" w:sz="4" w:space="0" w:color="auto"/>
            </w:tcBorders>
            <w:shd w:val="clear" w:color="auto" w:fill="auto"/>
            <w:noWrap/>
            <w:vAlign w:val="center"/>
            <w:hideMark/>
          </w:tcPr>
          <w:p w14:paraId="7993003F" w14:textId="77777777" w:rsidR="00CA32C6" w:rsidRPr="00CA32C6" w:rsidRDefault="00CA32C6" w:rsidP="00CA32C6">
            <w:pPr>
              <w:jc w:val="right"/>
              <w:rPr>
                <w:rFonts w:ascii="Arial Narrow" w:hAnsi="Arial Narrow" w:cs="Calibri"/>
                <w:sz w:val="18"/>
                <w:szCs w:val="18"/>
                <w:lang w:val="bg-BG"/>
              </w:rPr>
            </w:pPr>
            <w:r w:rsidRPr="00CA32C6">
              <w:rPr>
                <w:rFonts w:ascii="Arial Narrow" w:hAnsi="Arial Narrow" w:cs="Calibri"/>
                <w:sz w:val="18"/>
                <w:szCs w:val="18"/>
                <w:lang w:val="bg-BG"/>
              </w:rPr>
              <w:t>6 168</w:t>
            </w:r>
          </w:p>
        </w:tc>
      </w:tr>
      <w:tr w:rsidR="00CA32C6" w:rsidRPr="00CA32C6" w14:paraId="7C04DCB1" w14:textId="77777777" w:rsidTr="009C6577">
        <w:trPr>
          <w:trHeight w:val="287"/>
          <w:jc w:val="center"/>
        </w:trPr>
        <w:tc>
          <w:tcPr>
            <w:tcW w:w="1367" w:type="dxa"/>
            <w:tcBorders>
              <w:top w:val="nil"/>
              <w:left w:val="single" w:sz="4" w:space="0" w:color="auto"/>
              <w:bottom w:val="single" w:sz="4" w:space="0" w:color="auto"/>
              <w:right w:val="single" w:sz="4" w:space="0" w:color="auto"/>
            </w:tcBorders>
            <w:shd w:val="clear" w:color="auto" w:fill="auto"/>
            <w:vAlign w:val="center"/>
            <w:hideMark/>
          </w:tcPr>
          <w:p w14:paraId="4259F1D3" w14:textId="77777777" w:rsidR="00CA32C6" w:rsidRPr="00CA32C6" w:rsidRDefault="00CA32C6" w:rsidP="00CA32C6">
            <w:pPr>
              <w:rPr>
                <w:rFonts w:ascii="Arial Narrow" w:hAnsi="Arial Narrow" w:cs="Calibri"/>
                <w:sz w:val="18"/>
                <w:szCs w:val="18"/>
                <w:lang w:val="bg-BG"/>
              </w:rPr>
            </w:pPr>
            <w:r w:rsidRPr="00CA32C6">
              <w:rPr>
                <w:rFonts w:ascii="Arial Narrow" w:hAnsi="Arial Narrow" w:cs="Calibri"/>
                <w:sz w:val="18"/>
                <w:szCs w:val="18"/>
                <w:lang w:val="bg-BG"/>
              </w:rPr>
              <w:t>Праз</w:t>
            </w:r>
          </w:p>
        </w:tc>
        <w:tc>
          <w:tcPr>
            <w:tcW w:w="761" w:type="dxa"/>
            <w:tcBorders>
              <w:top w:val="nil"/>
              <w:left w:val="nil"/>
              <w:bottom w:val="single" w:sz="4" w:space="0" w:color="auto"/>
              <w:right w:val="single" w:sz="4" w:space="0" w:color="auto"/>
            </w:tcBorders>
            <w:shd w:val="clear" w:color="auto" w:fill="auto"/>
            <w:noWrap/>
            <w:vAlign w:val="center"/>
            <w:hideMark/>
          </w:tcPr>
          <w:p w14:paraId="0F9F0139" w14:textId="77777777" w:rsidR="00CA32C6" w:rsidRPr="00CA32C6" w:rsidRDefault="00CA32C6" w:rsidP="00CA32C6">
            <w:pPr>
              <w:jc w:val="right"/>
              <w:rPr>
                <w:rFonts w:ascii="Arial Narrow" w:hAnsi="Arial Narrow" w:cs="Calibri"/>
                <w:sz w:val="18"/>
                <w:szCs w:val="18"/>
                <w:lang w:val="bg-BG"/>
              </w:rPr>
            </w:pPr>
            <w:r w:rsidRPr="00CA32C6">
              <w:rPr>
                <w:rFonts w:ascii="Arial Narrow" w:hAnsi="Arial Narrow" w:cs="Calibri"/>
                <w:sz w:val="18"/>
                <w:szCs w:val="18"/>
                <w:lang w:val="bg-BG"/>
              </w:rPr>
              <w:t>70</w:t>
            </w:r>
          </w:p>
        </w:tc>
        <w:tc>
          <w:tcPr>
            <w:tcW w:w="761" w:type="dxa"/>
            <w:tcBorders>
              <w:top w:val="nil"/>
              <w:left w:val="nil"/>
              <w:bottom w:val="single" w:sz="4" w:space="0" w:color="auto"/>
              <w:right w:val="single" w:sz="4" w:space="0" w:color="auto"/>
            </w:tcBorders>
            <w:shd w:val="clear" w:color="auto" w:fill="auto"/>
            <w:noWrap/>
            <w:vAlign w:val="center"/>
            <w:hideMark/>
          </w:tcPr>
          <w:p w14:paraId="61FEABD1" w14:textId="77777777" w:rsidR="00CA32C6" w:rsidRPr="00CA32C6" w:rsidRDefault="00CA32C6" w:rsidP="00CA32C6">
            <w:pPr>
              <w:jc w:val="right"/>
              <w:rPr>
                <w:rFonts w:ascii="Arial Narrow" w:hAnsi="Arial Narrow" w:cs="Calibri"/>
                <w:sz w:val="18"/>
                <w:szCs w:val="18"/>
                <w:lang w:val="bg-BG"/>
              </w:rPr>
            </w:pPr>
            <w:r w:rsidRPr="00CA32C6">
              <w:rPr>
                <w:rFonts w:ascii="Arial Narrow" w:hAnsi="Arial Narrow" w:cs="Calibri"/>
                <w:sz w:val="18"/>
                <w:szCs w:val="18"/>
                <w:lang w:val="bg-BG"/>
              </w:rPr>
              <w:t>140</w:t>
            </w:r>
          </w:p>
        </w:tc>
        <w:tc>
          <w:tcPr>
            <w:tcW w:w="761" w:type="dxa"/>
            <w:tcBorders>
              <w:top w:val="nil"/>
              <w:left w:val="nil"/>
              <w:bottom w:val="single" w:sz="4" w:space="0" w:color="auto"/>
              <w:right w:val="single" w:sz="4" w:space="0" w:color="auto"/>
            </w:tcBorders>
            <w:shd w:val="clear" w:color="auto" w:fill="auto"/>
            <w:noWrap/>
            <w:vAlign w:val="center"/>
            <w:hideMark/>
          </w:tcPr>
          <w:p w14:paraId="02124F0A" w14:textId="77777777" w:rsidR="00CA32C6" w:rsidRPr="00CA32C6" w:rsidRDefault="00CA32C6" w:rsidP="00CA32C6">
            <w:pPr>
              <w:jc w:val="right"/>
              <w:rPr>
                <w:rFonts w:ascii="Arial Narrow" w:hAnsi="Arial Narrow" w:cs="Calibri"/>
                <w:sz w:val="18"/>
                <w:szCs w:val="18"/>
                <w:lang w:val="bg-BG"/>
              </w:rPr>
            </w:pPr>
            <w:r w:rsidRPr="00CA32C6">
              <w:rPr>
                <w:rFonts w:ascii="Arial Narrow" w:hAnsi="Arial Narrow" w:cs="Calibri"/>
                <w:sz w:val="18"/>
                <w:szCs w:val="18"/>
                <w:lang w:val="bg-BG"/>
              </w:rPr>
              <w:t>-</w:t>
            </w:r>
          </w:p>
        </w:tc>
        <w:tc>
          <w:tcPr>
            <w:tcW w:w="761" w:type="dxa"/>
            <w:tcBorders>
              <w:top w:val="nil"/>
              <w:left w:val="nil"/>
              <w:bottom w:val="single" w:sz="4" w:space="0" w:color="auto"/>
              <w:right w:val="single" w:sz="4" w:space="0" w:color="auto"/>
            </w:tcBorders>
            <w:shd w:val="clear" w:color="auto" w:fill="auto"/>
            <w:noWrap/>
            <w:vAlign w:val="center"/>
            <w:hideMark/>
          </w:tcPr>
          <w:p w14:paraId="136EEB82" w14:textId="77777777" w:rsidR="00CA32C6" w:rsidRPr="00CA32C6" w:rsidRDefault="00CA32C6" w:rsidP="00CA32C6">
            <w:pPr>
              <w:jc w:val="right"/>
              <w:rPr>
                <w:rFonts w:ascii="Arial Narrow" w:hAnsi="Arial Narrow" w:cs="Calibri"/>
                <w:sz w:val="18"/>
                <w:szCs w:val="18"/>
                <w:lang w:val="bg-BG"/>
              </w:rPr>
            </w:pPr>
            <w:r w:rsidRPr="00CA32C6">
              <w:rPr>
                <w:rFonts w:ascii="Arial Narrow" w:hAnsi="Arial Narrow" w:cs="Calibri"/>
                <w:sz w:val="18"/>
                <w:szCs w:val="18"/>
                <w:lang w:val="bg-BG"/>
              </w:rPr>
              <w:t>-</w:t>
            </w:r>
          </w:p>
        </w:tc>
        <w:tc>
          <w:tcPr>
            <w:tcW w:w="761" w:type="dxa"/>
            <w:tcBorders>
              <w:top w:val="nil"/>
              <w:left w:val="nil"/>
              <w:bottom w:val="single" w:sz="4" w:space="0" w:color="auto"/>
              <w:right w:val="single" w:sz="4" w:space="0" w:color="auto"/>
            </w:tcBorders>
            <w:shd w:val="clear" w:color="auto" w:fill="auto"/>
            <w:noWrap/>
            <w:vAlign w:val="center"/>
            <w:hideMark/>
          </w:tcPr>
          <w:p w14:paraId="214D8889" w14:textId="77777777" w:rsidR="00CA32C6" w:rsidRPr="00CA32C6" w:rsidRDefault="00CA32C6" w:rsidP="00CA32C6">
            <w:pPr>
              <w:jc w:val="right"/>
              <w:rPr>
                <w:rFonts w:ascii="Arial Narrow" w:hAnsi="Arial Narrow" w:cs="Calibri"/>
                <w:sz w:val="18"/>
                <w:szCs w:val="18"/>
                <w:lang w:val="bg-BG"/>
              </w:rPr>
            </w:pPr>
            <w:r w:rsidRPr="00CA32C6">
              <w:rPr>
                <w:rFonts w:ascii="Arial Narrow" w:hAnsi="Arial Narrow" w:cs="Calibri"/>
                <w:sz w:val="18"/>
                <w:szCs w:val="18"/>
                <w:lang w:val="bg-BG"/>
              </w:rPr>
              <w:t>1 033</w:t>
            </w:r>
          </w:p>
        </w:tc>
        <w:tc>
          <w:tcPr>
            <w:tcW w:w="761" w:type="dxa"/>
            <w:tcBorders>
              <w:top w:val="nil"/>
              <w:left w:val="nil"/>
              <w:bottom w:val="single" w:sz="4" w:space="0" w:color="auto"/>
              <w:right w:val="single" w:sz="4" w:space="0" w:color="auto"/>
            </w:tcBorders>
            <w:shd w:val="clear" w:color="auto" w:fill="auto"/>
            <w:noWrap/>
            <w:vAlign w:val="center"/>
            <w:hideMark/>
          </w:tcPr>
          <w:p w14:paraId="367BC3FD" w14:textId="77777777" w:rsidR="00CA32C6" w:rsidRPr="00CA32C6" w:rsidRDefault="00CA32C6" w:rsidP="00CA32C6">
            <w:pPr>
              <w:jc w:val="right"/>
              <w:rPr>
                <w:rFonts w:ascii="Arial Narrow" w:hAnsi="Arial Narrow" w:cs="Calibri"/>
                <w:sz w:val="18"/>
                <w:szCs w:val="18"/>
                <w:lang w:val="bg-BG"/>
              </w:rPr>
            </w:pPr>
            <w:r w:rsidRPr="00CA32C6">
              <w:rPr>
                <w:rFonts w:ascii="Arial Narrow" w:hAnsi="Arial Narrow" w:cs="Calibri"/>
                <w:sz w:val="18"/>
                <w:szCs w:val="18"/>
                <w:lang w:val="bg-BG"/>
              </w:rPr>
              <w:t>1 551</w:t>
            </w:r>
          </w:p>
        </w:tc>
        <w:tc>
          <w:tcPr>
            <w:tcW w:w="761" w:type="dxa"/>
            <w:tcBorders>
              <w:top w:val="nil"/>
              <w:left w:val="nil"/>
              <w:bottom w:val="single" w:sz="4" w:space="0" w:color="auto"/>
              <w:right w:val="single" w:sz="4" w:space="0" w:color="auto"/>
            </w:tcBorders>
            <w:shd w:val="clear" w:color="auto" w:fill="auto"/>
            <w:noWrap/>
            <w:vAlign w:val="center"/>
            <w:hideMark/>
          </w:tcPr>
          <w:p w14:paraId="451AA10B" w14:textId="77777777" w:rsidR="00CA32C6" w:rsidRPr="00CA32C6" w:rsidRDefault="00CA32C6" w:rsidP="00CA32C6">
            <w:pPr>
              <w:jc w:val="right"/>
              <w:rPr>
                <w:rFonts w:ascii="Arial Narrow" w:hAnsi="Arial Narrow" w:cs="Calibri"/>
                <w:sz w:val="18"/>
                <w:szCs w:val="18"/>
                <w:lang w:val="bg-BG"/>
              </w:rPr>
            </w:pPr>
            <w:r w:rsidRPr="00CA32C6">
              <w:rPr>
                <w:rFonts w:ascii="Arial Narrow" w:hAnsi="Arial Narrow" w:cs="Calibri"/>
                <w:sz w:val="18"/>
                <w:szCs w:val="18"/>
                <w:lang w:val="bg-BG"/>
              </w:rPr>
              <w:t xml:space="preserve"> -</w:t>
            </w:r>
          </w:p>
        </w:tc>
        <w:tc>
          <w:tcPr>
            <w:tcW w:w="761" w:type="dxa"/>
            <w:tcBorders>
              <w:top w:val="nil"/>
              <w:left w:val="nil"/>
              <w:bottom w:val="single" w:sz="4" w:space="0" w:color="auto"/>
              <w:right w:val="single" w:sz="4" w:space="0" w:color="auto"/>
            </w:tcBorders>
            <w:shd w:val="clear" w:color="auto" w:fill="auto"/>
            <w:noWrap/>
            <w:vAlign w:val="center"/>
            <w:hideMark/>
          </w:tcPr>
          <w:p w14:paraId="29A0FE8F" w14:textId="77777777" w:rsidR="00CA32C6" w:rsidRPr="00CA32C6" w:rsidRDefault="00CA32C6" w:rsidP="00CA32C6">
            <w:pPr>
              <w:jc w:val="right"/>
              <w:rPr>
                <w:rFonts w:ascii="Arial Narrow" w:hAnsi="Arial Narrow" w:cs="Calibri"/>
                <w:sz w:val="18"/>
                <w:szCs w:val="18"/>
                <w:lang w:val="bg-BG"/>
              </w:rPr>
            </w:pPr>
            <w:r w:rsidRPr="00CA32C6">
              <w:rPr>
                <w:rFonts w:ascii="Arial Narrow" w:hAnsi="Arial Narrow" w:cs="Calibri"/>
                <w:sz w:val="18"/>
                <w:szCs w:val="18"/>
                <w:lang w:val="bg-BG"/>
              </w:rPr>
              <w:t>-</w:t>
            </w:r>
          </w:p>
        </w:tc>
        <w:tc>
          <w:tcPr>
            <w:tcW w:w="761" w:type="dxa"/>
            <w:tcBorders>
              <w:top w:val="nil"/>
              <w:left w:val="nil"/>
              <w:bottom w:val="single" w:sz="4" w:space="0" w:color="auto"/>
              <w:right w:val="single" w:sz="4" w:space="0" w:color="auto"/>
            </w:tcBorders>
            <w:shd w:val="clear" w:color="auto" w:fill="auto"/>
            <w:noWrap/>
            <w:vAlign w:val="center"/>
            <w:hideMark/>
          </w:tcPr>
          <w:p w14:paraId="20528C71" w14:textId="77777777" w:rsidR="00CA32C6" w:rsidRPr="00CA32C6" w:rsidRDefault="00CA32C6" w:rsidP="00CA32C6">
            <w:pPr>
              <w:jc w:val="right"/>
              <w:rPr>
                <w:rFonts w:ascii="Arial Narrow" w:hAnsi="Arial Narrow" w:cs="Calibri"/>
                <w:sz w:val="18"/>
                <w:szCs w:val="18"/>
                <w:lang w:val="bg-BG"/>
              </w:rPr>
            </w:pPr>
            <w:r w:rsidRPr="00CA32C6">
              <w:rPr>
                <w:rFonts w:ascii="Arial Narrow" w:hAnsi="Arial Narrow" w:cs="Calibri"/>
                <w:sz w:val="18"/>
                <w:szCs w:val="18"/>
                <w:lang w:val="bg-BG"/>
              </w:rPr>
              <w:t>1 033</w:t>
            </w:r>
          </w:p>
        </w:tc>
        <w:tc>
          <w:tcPr>
            <w:tcW w:w="761" w:type="dxa"/>
            <w:tcBorders>
              <w:top w:val="nil"/>
              <w:left w:val="nil"/>
              <w:bottom w:val="single" w:sz="4" w:space="0" w:color="auto"/>
              <w:right w:val="single" w:sz="4" w:space="0" w:color="auto"/>
            </w:tcBorders>
            <w:shd w:val="clear" w:color="auto" w:fill="auto"/>
            <w:noWrap/>
            <w:vAlign w:val="center"/>
            <w:hideMark/>
          </w:tcPr>
          <w:p w14:paraId="19E29263" w14:textId="77777777" w:rsidR="00CA32C6" w:rsidRPr="00CA32C6" w:rsidRDefault="00CA32C6" w:rsidP="00CA32C6">
            <w:pPr>
              <w:jc w:val="right"/>
              <w:rPr>
                <w:rFonts w:ascii="Arial Narrow" w:hAnsi="Arial Narrow" w:cs="Calibri"/>
                <w:sz w:val="18"/>
                <w:szCs w:val="18"/>
                <w:lang w:val="bg-BG"/>
              </w:rPr>
            </w:pPr>
            <w:r w:rsidRPr="00CA32C6">
              <w:rPr>
                <w:rFonts w:ascii="Arial Narrow" w:hAnsi="Arial Narrow" w:cs="Calibri"/>
                <w:sz w:val="18"/>
                <w:szCs w:val="18"/>
                <w:lang w:val="bg-BG"/>
              </w:rPr>
              <w:t>1 551</w:t>
            </w:r>
          </w:p>
        </w:tc>
        <w:tc>
          <w:tcPr>
            <w:tcW w:w="915" w:type="dxa"/>
            <w:tcBorders>
              <w:top w:val="nil"/>
              <w:left w:val="nil"/>
              <w:bottom w:val="single" w:sz="4" w:space="0" w:color="auto"/>
              <w:right w:val="single" w:sz="4" w:space="0" w:color="auto"/>
            </w:tcBorders>
            <w:shd w:val="clear" w:color="auto" w:fill="auto"/>
            <w:noWrap/>
            <w:vAlign w:val="center"/>
            <w:hideMark/>
          </w:tcPr>
          <w:p w14:paraId="24169072" w14:textId="77777777" w:rsidR="00CA32C6" w:rsidRPr="00CA32C6" w:rsidRDefault="00CA32C6" w:rsidP="00CA32C6">
            <w:pPr>
              <w:jc w:val="right"/>
              <w:rPr>
                <w:rFonts w:ascii="Arial Narrow" w:hAnsi="Arial Narrow" w:cs="Calibri"/>
                <w:sz w:val="18"/>
                <w:szCs w:val="18"/>
                <w:lang w:val="bg-BG"/>
              </w:rPr>
            </w:pPr>
            <w:r w:rsidRPr="00CA32C6">
              <w:rPr>
                <w:rFonts w:ascii="Arial Narrow" w:hAnsi="Arial Narrow" w:cs="Calibri"/>
                <w:sz w:val="18"/>
                <w:szCs w:val="18"/>
                <w:lang w:val="bg-BG"/>
              </w:rPr>
              <w:t>50,1%</w:t>
            </w:r>
          </w:p>
        </w:tc>
        <w:tc>
          <w:tcPr>
            <w:tcW w:w="680" w:type="dxa"/>
            <w:tcBorders>
              <w:top w:val="nil"/>
              <w:left w:val="nil"/>
              <w:bottom w:val="single" w:sz="4" w:space="0" w:color="auto"/>
              <w:right w:val="single" w:sz="4" w:space="0" w:color="auto"/>
            </w:tcBorders>
            <w:shd w:val="clear" w:color="auto" w:fill="auto"/>
            <w:noWrap/>
            <w:vAlign w:val="center"/>
            <w:hideMark/>
          </w:tcPr>
          <w:p w14:paraId="10B02CE6" w14:textId="77777777" w:rsidR="00CA32C6" w:rsidRPr="00CA32C6" w:rsidRDefault="00CA32C6" w:rsidP="00CA32C6">
            <w:pPr>
              <w:jc w:val="right"/>
              <w:rPr>
                <w:rFonts w:ascii="Arial Narrow" w:hAnsi="Arial Narrow" w:cs="Calibri"/>
                <w:sz w:val="18"/>
                <w:szCs w:val="18"/>
                <w:lang w:val="bg-BG"/>
              </w:rPr>
            </w:pPr>
            <w:r w:rsidRPr="00CA32C6">
              <w:rPr>
                <w:rFonts w:ascii="Arial Narrow" w:hAnsi="Arial Narrow" w:cs="Calibri"/>
                <w:sz w:val="18"/>
                <w:szCs w:val="18"/>
                <w:lang w:val="bg-BG"/>
              </w:rPr>
              <w:t>14 757</w:t>
            </w:r>
          </w:p>
        </w:tc>
        <w:tc>
          <w:tcPr>
            <w:tcW w:w="680" w:type="dxa"/>
            <w:tcBorders>
              <w:top w:val="nil"/>
              <w:left w:val="nil"/>
              <w:bottom w:val="single" w:sz="4" w:space="0" w:color="auto"/>
              <w:right w:val="single" w:sz="4" w:space="0" w:color="auto"/>
            </w:tcBorders>
            <w:shd w:val="clear" w:color="auto" w:fill="auto"/>
            <w:noWrap/>
            <w:vAlign w:val="center"/>
            <w:hideMark/>
          </w:tcPr>
          <w:p w14:paraId="51B731F8" w14:textId="77777777" w:rsidR="00CA32C6" w:rsidRPr="00CA32C6" w:rsidRDefault="00CA32C6" w:rsidP="00CA32C6">
            <w:pPr>
              <w:jc w:val="right"/>
              <w:rPr>
                <w:rFonts w:ascii="Arial Narrow" w:hAnsi="Arial Narrow" w:cs="Calibri"/>
                <w:sz w:val="18"/>
                <w:szCs w:val="18"/>
                <w:lang w:val="bg-BG"/>
              </w:rPr>
            </w:pPr>
            <w:r w:rsidRPr="00CA32C6">
              <w:rPr>
                <w:rFonts w:ascii="Arial Narrow" w:hAnsi="Arial Narrow" w:cs="Calibri"/>
                <w:sz w:val="18"/>
                <w:szCs w:val="18"/>
                <w:lang w:val="bg-BG"/>
              </w:rPr>
              <w:t>11 079</w:t>
            </w:r>
          </w:p>
        </w:tc>
      </w:tr>
      <w:tr w:rsidR="00CA32C6" w:rsidRPr="00CA32C6" w14:paraId="4CC86360" w14:textId="77777777" w:rsidTr="009C6577">
        <w:trPr>
          <w:trHeight w:val="287"/>
          <w:jc w:val="center"/>
        </w:trPr>
        <w:tc>
          <w:tcPr>
            <w:tcW w:w="1367" w:type="dxa"/>
            <w:tcBorders>
              <w:top w:val="nil"/>
              <w:left w:val="single" w:sz="4" w:space="0" w:color="auto"/>
              <w:bottom w:val="single" w:sz="4" w:space="0" w:color="auto"/>
              <w:right w:val="single" w:sz="4" w:space="0" w:color="auto"/>
            </w:tcBorders>
            <w:shd w:val="clear" w:color="auto" w:fill="auto"/>
            <w:vAlign w:val="center"/>
            <w:hideMark/>
          </w:tcPr>
          <w:p w14:paraId="61937E31" w14:textId="77777777" w:rsidR="00CA32C6" w:rsidRPr="00CA32C6" w:rsidRDefault="00CA32C6" w:rsidP="00CA32C6">
            <w:pPr>
              <w:rPr>
                <w:rFonts w:ascii="Arial Narrow" w:hAnsi="Arial Narrow" w:cs="Calibri"/>
                <w:sz w:val="18"/>
                <w:szCs w:val="18"/>
                <w:lang w:val="bg-BG"/>
              </w:rPr>
            </w:pPr>
            <w:r w:rsidRPr="00CA32C6">
              <w:rPr>
                <w:rFonts w:ascii="Arial Narrow" w:hAnsi="Arial Narrow" w:cs="Calibri"/>
                <w:sz w:val="18"/>
                <w:szCs w:val="18"/>
                <w:lang w:val="bg-BG"/>
              </w:rPr>
              <w:t>Лук кромид - зелен</w:t>
            </w:r>
          </w:p>
        </w:tc>
        <w:tc>
          <w:tcPr>
            <w:tcW w:w="761" w:type="dxa"/>
            <w:tcBorders>
              <w:top w:val="nil"/>
              <w:left w:val="nil"/>
              <w:bottom w:val="single" w:sz="4" w:space="0" w:color="auto"/>
              <w:right w:val="single" w:sz="4" w:space="0" w:color="auto"/>
            </w:tcBorders>
            <w:shd w:val="clear" w:color="auto" w:fill="auto"/>
            <w:noWrap/>
            <w:vAlign w:val="center"/>
            <w:hideMark/>
          </w:tcPr>
          <w:p w14:paraId="725CFC6F" w14:textId="77777777" w:rsidR="00CA32C6" w:rsidRPr="00CA32C6" w:rsidRDefault="00CA32C6" w:rsidP="00CA32C6">
            <w:pPr>
              <w:jc w:val="right"/>
              <w:rPr>
                <w:rFonts w:ascii="Arial Narrow" w:hAnsi="Arial Narrow" w:cs="Calibri"/>
                <w:sz w:val="18"/>
                <w:szCs w:val="18"/>
                <w:lang w:val="bg-BG"/>
              </w:rPr>
            </w:pPr>
            <w:r w:rsidRPr="00CA32C6">
              <w:rPr>
                <w:rFonts w:ascii="Arial Narrow" w:hAnsi="Arial Narrow" w:cs="Calibri"/>
                <w:sz w:val="18"/>
                <w:szCs w:val="18"/>
                <w:lang w:val="bg-BG"/>
              </w:rPr>
              <w:t>133</w:t>
            </w:r>
          </w:p>
        </w:tc>
        <w:tc>
          <w:tcPr>
            <w:tcW w:w="761" w:type="dxa"/>
            <w:tcBorders>
              <w:top w:val="nil"/>
              <w:left w:val="nil"/>
              <w:bottom w:val="single" w:sz="4" w:space="0" w:color="auto"/>
              <w:right w:val="single" w:sz="4" w:space="0" w:color="auto"/>
            </w:tcBorders>
            <w:shd w:val="clear" w:color="auto" w:fill="auto"/>
            <w:noWrap/>
            <w:vAlign w:val="center"/>
            <w:hideMark/>
          </w:tcPr>
          <w:p w14:paraId="744D17F8" w14:textId="77777777" w:rsidR="00CA32C6" w:rsidRPr="00CA32C6" w:rsidRDefault="00CA32C6" w:rsidP="00CA32C6">
            <w:pPr>
              <w:jc w:val="right"/>
              <w:rPr>
                <w:rFonts w:ascii="Arial Narrow" w:hAnsi="Arial Narrow" w:cs="Calibri"/>
                <w:sz w:val="18"/>
                <w:szCs w:val="18"/>
                <w:lang w:val="bg-BG"/>
              </w:rPr>
            </w:pPr>
            <w:r w:rsidRPr="00CA32C6">
              <w:rPr>
                <w:rFonts w:ascii="Arial Narrow" w:hAnsi="Arial Narrow" w:cs="Calibri"/>
                <w:sz w:val="18"/>
                <w:szCs w:val="18"/>
                <w:lang w:val="bg-BG"/>
              </w:rPr>
              <w:t>77</w:t>
            </w:r>
          </w:p>
        </w:tc>
        <w:tc>
          <w:tcPr>
            <w:tcW w:w="761" w:type="dxa"/>
            <w:tcBorders>
              <w:top w:val="nil"/>
              <w:left w:val="nil"/>
              <w:bottom w:val="single" w:sz="4" w:space="0" w:color="auto"/>
              <w:right w:val="single" w:sz="4" w:space="0" w:color="auto"/>
            </w:tcBorders>
            <w:shd w:val="clear" w:color="auto" w:fill="auto"/>
            <w:noWrap/>
            <w:vAlign w:val="center"/>
            <w:hideMark/>
          </w:tcPr>
          <w:p w14:paraId="4C9D89CB" w14:textId="77777777" w:rsidR="00CA32C6" w:rsidRPr="00CA32C6" w:rsidRDefault="00CA32C6" w:rsidP="00CA32C6">
            <w:pPr>
              <w:jc w:val="right"/>
              <w:rPr>
                <w:rFonts w:ascii="Arial Narrow" w:hAnsi="Arial Narrow" w:cs="Calibri"/>
                <w:sz w:val="18"/>
                <w:szCs w:val="18"/>
                <w:lang w:val="bg-BG"/>
              </w:rPr>
            </w:pPr>
            <w:r w:rsidRPr="00CA32C6">
              <w:rPr>
                <w:rFonts w:ascii="Arial Narrow" w:hAnsi="Arial Narrow" w:cs="Calibri"/>
                <w:sz w:val="18"/>
                <w:szCs w:val="18"/>
                <w:lang w:val="bg-BG"/>
              </w:rPr>
              <w:t>2</w:t>
            </w:r>
          </w:p>
        </w:tc>
        <w:tc>
          <w:tcPr>
            <w:tcW w:w="761" w:type="dxa"/>
            <w:tcBorders>
              <w:top w:val="nil"/>
              <w:left w:val="nil"/>
              <w:bottom w:val="single" w:sz="4" w:space="0" w:color="auto"/>
              <w:right w:val="single" w:sz="4" w:space="0" w:color="auto"/>
            </w:tcBorders>
            <w:shd w:val="clear" w:color="auto" w:fill="auto"/>
            <w:noWrap/>
            <w:vAlign w:val="center"/>
            <w:hideMark/>
          </w:tcPr>
          <w:p w14:paraId="52BBFE99" w14:textId="77777777" w:rsidR="00CA32C6" w:rsidRPr="00CA32C6" w:rsidRDefault="00CA32C6" w:rsidP="00CA32C6">
            <w:pPr>
              <w:jc w:val="right"/>
              <w:rPr>
                <w:rFonts w:ascii="Arial Narrow" w:hAnsi="Arial Narrow" w:cs="Calibri"/>
                <w:sz w:val="18"/>
                <w:szCs w:val="18"/>
                <w:lang w:val="bg-BG"/>
              </w:rPr>
            </w:pPr>
            <w:r w:rsidRPr="00CA32C6">
              <w:rPr>
                <w:rFonts w:ascii="Arial Narrow" w:hAnsi="Arial Narrow" w:cs="Calibri"/>
                <w:sz w:val="18"/>
                <w:szCs w:val="18"/>
                <w:lang w:val="bg-BG"/>
              </w:rPr>
              <w:t>1</w:t>
            </w:r>
          </w:p>
        </w:tc>
        <w:tc>
          <w:tcPr>
            <w:tcW w:w="761" w:type="dxa"/>
            <w:tcBorders>
              <w:top w:val="nil"/>
              <w:left w:val="nil"/>
              <w:bottom w:val="single" w:sz="4" w:space="0" w:color="auto"/>
              <w:right w:val="single" w:sz="4" w:space="0" w:color="auto"/>
            </w:tcBorders>
            <w:shd w:val="clear" w:color="auto" w:fill="auto"/>
            <w:noWrap/>
            <w:vAlign w:val="center"/>
            <w:hideMark/>
          </w:tcPr>
          <w:p w14:paraId="112302DC" w14:textId="77777777" w:rsidR="00CA32C6" w:rsidRPr="00CA32C6" w:rsidRDefault="00CA32C6" w:rsidP="00CA32C6">
            <w:pPr>
              <w:jc w:val="right"/>
              <w:rPr>
                <w:rFonts w:ascii="Arial Narrow" w:hAnsi="Arial Narrow" w:cs="Calibri"/>
                <w:sz w:val="18"/>
                <w:szCs w:val="18"/>
                <w:lang w:val="bg-BG"/>
              </w:rPr>
            </w:pPr>
            <w:r w:rsidRPr="00CA32C6">
              <w:rPr>
                <w:rFonts w:ascii="Arial Narrow" w:hAnsi="Arial Narrow" w:cs="Calibri"/>
                <w:sz w:val="18"/>
                <w:szCs w:val="18"/>
                <w:lang w:val="bg-BG"/>
              </w:rPr>
              <w:t>3 146</w:t>
            </w:r>
          </w:p>
        </w:tc>
        <w:tc>
          <w:tcPr>
            <w:tcW w:w="761" w:type="dxa"/>
            <w:tcBorders>
              <w:top w:val="nil"/>
              <w:left w:val="nil"/>
              <w:bottom w:val="single" w:sz="4" w:space="0" w:color="auto"/>
              <w:right w:val="single" w:sz="4" w:space="0" w:color="auto"/>
            </w:tcBorders>
            <w:shd w:val="clear" w:color="auto" w:fill="auto"/>
            <w:noWrap/>
            <w:vAlign w:val="center"/>
            <w:hideMark/>
          </w:tcPr>
          <w:p w14:paraId="07316C25" w14:textId="77777777" w:rsidR="00CA32C6" w:rsidRPr="00CA32C6" w:rsidRDefault="00CA32C6" w:rsidP="00CA32C6">
            <w:pPr>
              <w:jc w:val="right"/>
              <w:rPr>
                <w:rFonts w:ascii="Arial Narrow" w:hAnsi="Arial Narrow" w:cs="Calibri"/>
                <w:sz w:val="18"/>
                <w:szCs w:val="18"/>
                <w:lang w:val="bg-BG"/>
              </w:rPr>
            </w:pPr>
            <w:r w:rsidRPr="00CA32C6">
              <w:rPr>
                <w:rFonts w:ascii="Arial Narrow" w:hAnsi="Arial Narrow" w:cs="Calibri"/>
                <w:sz w:val="18"/>
                <w:szCs w:val="18"/>
                <w:lang w:val="bg-BG"/>
              </w:rPr>
              <w:t>637</w:t>
            </w:r>
          </w:p>
        </w:tc>
        <w:tc>
          <w:tcPr>
            <w:tcW w:w="761" w:type="dxa"/>
            <w:tcBorders>
              <w:top w:val="nil"/>
              <w:left w:val="nil"/>
              <w:bottom w:val="single" w:sz="4" w:space="0" w:color="auto"/>
              <w:right w:val="single" w:sz="4" w:space="0" w:color="auto"/>
            </w:tcBorders>
            <w:shd w:val="clear" w:color="auto" w:fill="auto"/>
            <w:noWrap/>
            <w:vAlign w:val="center"/>
            <w:hideMark/>
          </w:tcPr>
          <w:p w14:paraId="0E0E8017" w14:textId="77777777" w:rsidR="00CA32C6" w:rsidRPr="00CA32C6" w:rsidRDefault="00CA32C6" w:rsidP="00CA32C6">
            <w:pPr>
              <w:jc w:val="right"/>
              <w:rPr>
                <w:rFonts w:ascii="Arial Narrow" w:hAnsi="Arial Narrow" w:cs="Calibri"/>
                <w:sz w:val="18"/>
                <w:szCs w:val="18"/>
                <w:lang w:val="bg-BG"/>
              </w:rPr>
            </w:pPr>
            <w:r w:rsidRPr="00CA32C6">
              <w:rPr>
                <w:rFonts w:ascii="Arial Narrow" w:hAnsi="Arial Narrow" w:cs="Calibri"/>
                <w:sz w:val="18"/>
                <w:szCs w:val="18"/>
                <w:lang w:val="bg-BG"/>
              </w:rPr>
              <w:t>32</w:t>
            </w:r>
          </w:p>
        </w:tc>
        <w:tc>
          <w:tcPr>
            <w:tcW w:w="761" w:type="dxa"/>
            <w:tcBorders>
              <w:top w:val="nil"/>
              <w:left w:val="nil"/>
              <w:bottom w:val="single" w:sz="4" w:space="0" w:color="auto"/>
              <w:right w:val="single" w:sz="4" w:space="0" w:color="auto"/>
            </w:tcBorders>
            <w:shd w:val="clear" w:color="auto" w:fill="auto"/>
            <w:noWrap/>
            <w:vAlign w:val="center"/>
            <w:hideMark/>
          </w:tcPr>
          <w:p w14:paraId="5D54B21E" w14:textId="77777777" w:rsidR="00CA32C6" w:rsidRPr="00CA32C6" w:rsidRDefault="00CA32C6" w:rsidP="00CA32C6">
            <w:pPr>
              <w:jc w:val="right"/>
              <w:rPr>
                <w:rFonts w:ascii="Arial Narrow" w:hAnsi="Arial Narrow" w:cs="Calibri"/>
                <w:sz w:val="18"/>
                <w:szCs w:val="18"/>
                <w:lang w:val="bg-BG"/>
              </w:rPr>
            </w:pPr>
            <w:r w:rsidRPr="00CA32C6">
              <w:rPr>
                <w:rFonts w:ascii="Arial Narrow" w:hAnsi="Arial Narrow" w:cs="Calibri"/>
                <w:sz w:val="18"/>
                <w:szCs w:val="18"/>
                <w:lang w:val="bg-BG"/>
              </w:rPr>
              <w:t>36</w:t>
            </w:r>
          </w:p>
        </w:tc>
        <w:tc>
          <w:tcPr>
            <w:tcW w:w="761" w:type="dxa"/>
            <w:tcBorders>
              <w:top w:val="nil"/>
              <w:left w:val="nil"/>
              <w:bottom w:val="single" w:sz="4" w:space="0" w:color="auto"/>
              <w:right w:val="single" w:sz="4" w:space="0" w:color="auto"/>
            </w:tcBorders>
            <w:shd w:val="clear" w:color="auto" w:fill="auto"/>
            <w:noWrap/>
            <w:vAlign w:val="center"/>
            <w:hideMark/>
          </w:tcPr>
          <w:p w14:paraId="154218D8" w14:textId="77777777" w:rsidR="00CA32C6" w:rsidRPr="00CA32C6" w:rsidRDefault="00CA32C6" w:rsidP="00CA32C6">
            <w:pPr>
              <w:jc w:val="right"/>
              <w:rPr>
                <w:rFonts w:ascii="Arial Narrow" w:hAnsi="Arial Narrow" w:cs="Calibri"/>
                <w:sz w:val="18"/>
                <w:szCs w:val="18"/>
                <w:lang w:val="bg-BG"/>
              </w:rPr>
            </w:pPr>
            <w:r w:rsidRPr="00CA32C6">
              <w:rPr>
                <w:rFonts w:ascii="Arial Narrow" w:hAnsi="Arial Narrow" w:cs="Calibri"/>
                <w:sz w:val="18"/>
                <w:szCs w:val="18"/>
                <w:lang w:val="bg-BG"/>
              </w:rPr>
              <w:t>3 178</w:t>
            </w:r>
          </w:p>
        </w:tc>
        <w:tc>
          <w:tcPr>
            <w:tcW w:w="761" w:type="dxa"/>
            <w:tcBorders>
              <w:top w:val="nil"/>
              <w:left w:val="nil"/>
              <w:bottom w:val="single" w:sz="4" w:space="0" w:color="auto"/>
              <w:right w:val="single" w:sz="4" w:space="0" w:color="auto"/>
            </w:tcBorders>
            <w:shd w:val="clear" w:color="auto" w:fill="auto"/>
            <w:noWrap/>
            <w:vAlign w:val="center"/>
            <w:hideMark/>
          </w:tcPr>
          <w:p w14:paraId="23BFD82F" w14:textId="77777777" w:rsidR="00CA32C6" w:rsidRPr="00CA32C6" w:rsidRDefault="00CA32C6" w:rsidP="00CA32C6">
            <w:pPr>
              <w:jc w:val="right"/>
              <w:rPr>
                <w:rFonts w:ascii="Arial Narrow" w:hAnsi="Arial Narrow" w:cs="Calibri"/>
                <w:sz w:val="18"/>
                <w:szCs w:val="18"/>
                <w:lang w:val="bg-BG"/>
              </w:rPr>
            </w:pPr>
            <w:r w:rsidRPr="00CA32C6">
              <w:rPr>
                <w:rFonts w:ascii="Arial Narrow" w:hAnsi="Arial Narrow" w:cs="Calibri"/>
                <w:sz w:val="18"/>
                <w:szCs w:val="18"/>
                <w:lang w:val="bg-BG"/>
              </w:rPr>
              <w:t>673</w:t>
            </w:r>
          </w:p>
        </w:tc>
        <w:tc>
          <w:tcPr>
            <w:tcW w:w="915" w:type="dxa"/>
            <w:tcBorders>
              <w:top w:val="nil"/>
              <w:left w:val="nil"/>
              <w:bottom w:val="single" w:sz="4" w:space="0" w:color="auto"/>
              <w:right w:val="single" w:sz="4" w:space="0" w:color="auto"/>
            </w:tcBorders>
            <w:shd w:val="clear" w:color="auto" w:fill="auto"/>
            <w:noWrap/>
            <w:vAlign w:val="center"/>
            <w:hideMark/>
          </w:tcPr>
          <w:p w14:paraId="11D54204" w14:textId="77777777" w:rsidR="00CA32C6" w:rsidRPr="00CA32C6" w:rsidRDefault="00CA32C6" w:rsidP="00CA32C6">
            <w:pPr>
              <w:jc w:val="right"/>
              <w:rPr>
                <w:rFonts w:ascii="Arial Narrow" w:hAnsi="Arial Narrow" w:cs="Calibri"/>
                <w:sz w:val="18"/>
                <w:szCs w:val="18"/>
                <w:lang w:val="bg-BG"/>
              </w:rPr>
            </w:pPr>
            <w:r w:rsidRPr="00CA32C6">
              <w:rPr>
                <w:rFonts w:ascii="Arial Narrow" w:hAnsi="Arial Narrow" w:cs="Calibri"/>
                <w:sz w:val="18"/>
                <w:szCs w:val="18"/>
                <w:lang w:val="bg-BG"/>
              </w:rPr>
              <w:t>-79%</w:t>
            </w:r>
          </w:p>
        </w:tc>
        <w:tc>
          <w:tcPr>
            <w:tcW w:w="680" w:type="dxa"/>
            <w:tcBorders>
              <w:top w:val="nil"/>
              <w:left w:val="nil"/>
              <w:bottom w:val="single" w:sz="4" w:space="0" w:color="auto"/>
              <w:right w:val="single" w:sz="4" w:space="0" w:color="auto"/>
            </w:tcBorders>
            <w:shd w:val="clear" w:color="auto" w:fill="auto"/>
            <w:noWrap/>
            <w:vAlign w:val="center"/>
            <w:hideMark/>
          </w:tcPr>
          <w:p w14:paraId="3D525D1C" w14:textId="77777777" w:rsidR="00CA32C6" w:rsidRPr="00CA32C6" w:rsidRDefault="00CA32C6" w:rsidP="00CA32C6">
            <w:pPr>
              <w:jc w:val="right"/>
              <w:rPr>
                <w:rFonts w:ascii="Arial Narrow" w:hAnsi="Arial Narrow" w:cs="Calibri"/>
                <w:sz w:val="18"/>
                <w:szCs w:val="18"/>
                <w:lang w:val="bg-BG"/>
              </w:rPr>
            </w:pPr>
            <w:r w:rsidRPr="00CA32C6">
              <w:rPr>
                <w:rFonts w:ascii="Arial Narrow" w:hAnsi="Arial Narrow" w:cs="Calibri"/>
                <w:sz w:val="18"/>
                <w:szCs w:val="18"/>
                <w:lang w:val="bg-BG"/>
              </w:rPr>
              <w:t>23 654</w:t>
            </w:r>
          </w:p>
        </w:tc>
        <w:tc>
          <w:tcPr>
            <w:tcW w:w="680" w:type="dxa"/>
            <w:tcBorders>
              <w:top w:val="nil"/>
              <w:left w:val="nil"/>
              <w:bottom w:val="single" w:sz="4" w:space="0" w:color="auto"/>
              <w:right w:val="single" w:sz="4" w:space="0" w:color="auto"/>
            </w:tcBorders>
            <w:shd w:val="clear" w:color="auto" w:fill="auto"/>
            <w:noWrap/>
            <w:vAlign w:val="center"/>
            <w:hideMark/>
          </w:tcPr>
          <w:p w14:paraId="1BCAC3DB" w14:textId="77777777" w:rsidR="00CA32C6" w:rsidRPr="00CA32C6" w:rsidRDefault="00CA32C6" w:rsidP="00CA32C6">
            <w:pPr>
              <w:jc w:val="right"/>
              <w:rPr>
                <w:rFonts w:ascii="Arial Narrow" w:hAnsi="Arial Narrow" w:cs="Calibri"/>
                <w:sz w:val="18"/>
                <w:szCs w:val="18"/>
                <w:lang w:val="bg-BG"/>
              </w:rPr>
            </w:pPr>
            <w:r w:rsidRPr="00CA32C6">
              <w:rPr>
                <w:rFonts w:ascii="Arial Narrow" w:hAnsi="Arial Narrow" w:cs="Calibri"/>
                <w:sz w:val="18"/>
                <w:szCs w:val="18"/>
                <w:lang w:val="bg-BG"/>
              </w:rPr>
              <w:t>8 273</w:t>
            </w:r>
          </w:p>
        </w:tc>
      </w:tr>
      <w:tr w:rsidR="00CA32C6" w:rsidRPr="00CA32C6" w14:paraId="3DC6A7C3" w14:textId="77777777" w:rsidTr="009C6577">
        <w:trPr>
          <w:trHeight w:val="2113"/>
          <w:jc w:val="center"/>
        </w:trPr>
        <w:tc>
          <w:tcPr>
            <w:tcW w:w="1367" w:type="dxa"/>
            <w:tcBorders>
              <w:top w:val="nil"/>
              <w:left w:val="single" w:sz="4" w:space="0" w:color="auto"/>
              <w:bottom w:val="single" w:sz="4" w:space="0" w:color="auto"/>
              <w:right w:val="single" w:sz="4" w:space="0" w:color="auto"/>
            </w:tcBorders>
            <w:shd w:val="clear" w:color="auto" w:fill="auto"/>
            <w:vAlign w:val="center"/>
            <w:hideMark/>
          </w:tcPr>
          <w:p w14:paraId="3E994A45" w14:textId="77777777" w:rsidR="00CA32C6" w:rsidRPr="00CA32C6" w:rsidRDefault="00CA32C6" w:rsidP="00CA32C6">
            <w:pPr>
              <w:rPr>
                <w:rFonts w:ascii="Arial Narrow" w:hAnsi="Arial Narrow" w:cs="Calibri"/>
                <w:sz w:val="18"/>
                <w:szCs w:val="18"/>
                <w:lang w:val="bg-BG"/>
              </w:rPr>
            </w:pPr>
            <w:r w:rsidRPr="00CA32C6">
              <w:rPr>
                <w:rFonts w:ascii="Arial Narrow" w:hAnsi="Arial Narrow" w:cs="Calibri"/>
                <w:sz w:val="18"/>
                <w:szCs w:val="18"/>
                <w:lang w:val="bg-BG"/>
              </w:rPr>
              <w:lastRenderedPageBreak/>
              <w:t>Други листни или стъблени зеленчуци (артишок, аспержи, чубрица, копър, магданоз, целина, чесън - зелен и др.)</w:t>
            </w:r>
          </w:p>
        </w:tc>
        <w:tc>
          <w:tcPr>
            <w:tcW w:w="761" w:type="dxa"/>
            <w:tcBorders>
              <w:top w:val="nil"/>
              <w:left w:val="nil"/>
              <w:bottom w:val="single" w:sz="4" w:space="0" w:color="auto"/>
              <w:right w:val="single" w:sz="4" w:space="0" w:color="auto"/>
            </w:tcBorders>
            <w:shd w:val="clear" w:color="auto" w:fill="auto"/>
            <w:noWrap/>
            <w:vAlign w:val="center"/>
            <w:hideMark/>
          </w:tcPr>
          <w:p w14:paraId="19C2FE3A" w14:textId="77777777" w:rsidR="00CA32C6" w:rsidRPr="00CA32C6" w:rsidRDefault="00CA32C6" w:rsidP="00CA32C6">
            <w:pPr>
              <w:jc w:val="right"/>
              <w:rPr>
                <w:rFonts w:ascii="Arial Narrow" w:hAnsi="Arial Narrow" w:cs="Calibri"/>
                <w:sz w:val="18"/>
                <w:szCs w:val="18"/>
                <w:lang w:val="bg-BG"/>
              </w:rPr>
            </w:pPr>
            <w:r w:rsidRPr="00CA32C6">
              <w:rPr>
                <w:rFonts w:ascii="Arial Narrow" w:hAnsi="Arial Narrow" w:cs="Calibri"/>
                <w:sz w:val="18"/>
                <w:szCs w:val="18"/>
                <w:lang w:val="bg-BG"/>
              </w:rPr>
              <w:t>197</w:t>
            </w:r>
          </w:p>
        </w:tc>
        <w:tc>
          <w:tcPr>
            <w:tcW w:w="761" w:type="dxa"/>
            <w:tcBorders>
              <w:top w:val="nil"/>
              <w:left w:val="nil"/>
              <w:bottom w:val="single" w:sz="4" w:space="0" w:color="auto"/>
              <w:right w:val="single" w:sz="4" w:space="0" w:color="auto"/>
            </w:tcBorders>
            <w:shd w:val="clear" w:color="auto" w:fill="auto"/>
            <w:noWrap/>
            <w:vAlign w:val="center"/>
            <w:hideMark/>
          </w:tcPr>
          <w:p w14:paraId="689FC3A5" w14:textId="77777777" w:rsidR="00CA32C6" w:rsidRPr="00CA32C6" w:rsidRDefault="00CA32C6" w:rsidP="00CA32C6">
            <w:pPr>
              <w:jc w:val="right"/>
              <w:rPr>
                <w:rFonts w:ascii="Arial Narrow" w:hAnsi="Arial Narrow" w:cs="Calibri"/>
                <w:sz w:val="18"/>
                <w:szCs w:val="18"/>
                <w:lang w:val="bg-BG"/>
              </w:rPr>
            </w:pPr>
            <w:r w:rsidRPr="00CA32C6">
              <w:rPr>
                <w:rFonts w:ascii="Arial Narrow" w:hAnsi="Arial Narrow" w:cs="Calibri"/>
                <w:sz w:val="18"/>
                <w:szCs w:val="18"/>
                <w:lang w:val="bg-BG"/>
              </w:rPr>
              <w:t>210</w:t>
            </w:r>
          </w:p>
        </w:tc>
        <w:tc>
          <w:tcPr>
            <w:tcW w:w="761" w:type="dxa"/>
            <w:tcBorders>
              <w:top w:val="nil"/>
              <w:left w:val="nil"/>
              <w:bottom w:val="single" w:sz="4" w:space="0" w:color="auto"/>
              <w:right w:val="single" w:sz="4" w:space="0" w:color="auto"/>
            </w:tcBorders>
            <w:shd w:val="clear" w:color="auto" w:fill="auto"/>
            <w:noWrap/>
            <w:vAlign w:val="center"/>
            <w:hideMark/>
          </w:tcPr>
          <w:p w14:paraId="54218335" w14:textId="77777777" w:rsidR="00CA32C6" w:rsidRPr="00CA32C6" w:rsidRDefault="00CA32C6" w:rsidP="00CA32C6">
            <w:pPr>
              <w:jc w:val="right"/>
              <w:rPr>
                <w:rFonts w:ascii="Arial Narrow" w:hAnsi="Arial Narrow" w:cs="Calibri"/>
                <w:sz w:val="18"/>
                <w:szCs w:val="18"/>
                <w:lang w:val="bg-BG"/>
              </w:rPr>
            </w:pPr>
            <w:r w:rsidRPr="00CA32C6">
              <w:rPr>
                <w:rFonts w:ascii="Arial Narrow" w:hAnsi="Arial Narrow" w:cs="Calibri"/>
                <w:sz w:val="18"/>
                <w:szCs w:val="18"/>
                <w:lang w:val="bg-BG"/>
              </w:rPr>
              <w:t>5</w:t>
            </w:r>
          </w:p>
        </w:tc>
        <w:tc>
          <w:tcPr>
            <w:tcW w:w="761" w:type="dxa"/>
            <w:tcBorders>
              <w:top w:val="nil"/>
              <w:left w:val="nil"/>
              <w:bottom w:val="single" w:sz="4" w:space="0" w:color="auto"/>
              <w:right w:val="single" w:sz="4" w:space="0" w:color="auto"/>
            </w:tcBorders>
            <w:shd w:val="clear" w:color="auto" w:fill="auto"/>
            <w:noWrap/>
            <w:vAlign w:val="center"/>
            <w:hideMark/>
          </w:tcPr>
          <w:p w14:paraId="24B3622B" w14:textId="77777777" w:rsidR="00CA32C6" w:rsidRPr="00CA32C6" w:rsidRDefault="00CA32C6" w:rsidP="00CA32C6">
            <w:pPr>
              <w:jc w:val="right"/>
              <w:rPr>
                <w:rFonts w:ascii="Arial Narrow" w:hAnsi="Arial Narrow" w:cs="Calibri"/>
                <w:sz w:val="18"/>
                <w:szCs w:val="18"/>
                <w:lang w:val="bg-BG"/>
              </w:rPr>
            </w:pPr>
            <w:r w:rsidRPr="00CA32C6">
              <w:rPr>
                <w:rFonts w:ascii="Arial Narrow" w:hAnsi="Arial Narrow" w:cs="Calibri"/>
                <w:sz w:val="18"/>
                <w:szCs w:val="18"/>
                <w:lang w:val="bg-BG"/>
              </w:rPr>
              <w:t>с</w:t>
            </w:r>
          </w:p>
        </w:tc>
        <w:tc>
          <w:tcPr>
            <w:tcW w:w="761" w:type="dxa"/>
            <w:tcBorders>
              <w:top w:val="nil"/>
              <w:left w:val="nil"/>
              <w:bottom w:val="single" w:sz="4" w:space="0" w:color="auto"/>
              <w:right w:val="single" w:sz="4" w:space="0" w:color="auto"/>
            </w:tcBorders>
            <w:shd w:val="clear" w:color="auto" w:fill="auto"/>
            <w:noWrap/>
            <w:vAlign w:val="center"/>
            <w:hideMark/>
          </w:tcPr>
          <w:p w14:paraId="10C9E444" w14:textId="77777777" w:rsidR="00CA32C6" w:rsidRPr="00CA32C6" w:rsidRDefault="00CA32C6" w:rsidP="00CA32C6">
            <w:pPr>
              <w:jc w:val="right"/>
              <w:rPr>
                <w:rFonts w:ascii="Arial Narrow" w:hAnsi="Arial Narrow" w:cs="Calibri"/>
                <w:sz w:val="18"/>
                <w:szCs w:val="18"/>
                <w:lang w:val="bg-BG"/>
              </w:rPr>
            </w:pPr>
            <w:r w:rsidRPr="00CA32C6">
              <w:rPr>
                <w:rFonts w:ascii="Arial Narrow" w:hAnsi="Arial Narrow" w:cs="Calibri"/>
                <w:sz w:val="18"/>
                <w:szCs w:val="18"/>
                <w:lang w:val="bg-BG"/>
              </w:rPr>
              <w:t>1 990</w:t>
            </w:r>
          </w:p>
        </w:tc>
        <w:tc>
          <w:tcPr>
            <w:tcW w:w="761" w:type="dxa"/>
            <w:tcBorders>
              <w:top w:val="nil"/>
              <w:left w:val="nil"/>
              <w:bottom w:val="single" w:sz="4" w:space="0" w:color="auto"/>
              <w:right w:val="single" w:sz="4" w:space="0" w:color="auto"/>
            </w:tcBorders>
            <w:shd w:val="clear" w:color="auto" w:fill="auto"/>
            <w:noWrap/>
            <w:vAlign w:val="center"/>
            <w:hideMark/>
          </w:tcPr>
          <w:p w14:paraId="2C46B39C" w14:textId="77777777" w:rsidR="00CA32C6" w:rsidRPr="00CA32C6" w:rsidRDefault="00CA32C6" w:rsidP="00CA32C6">
            <w:pPr>
              <w:jc w:val="right"/>
              <w:rPr>
                <w:rFonts w:ascii="Arial Narrow" w:hAnsi="Arial Narrow" w:cs="Calibri"/>
                <w:sz w:val="18"/>
                <w:szCs w:val="18"/>
                <w:lang w:val="bg-BG"/>
              </w:rPr>
            </w:pPr>
            <w:r w:rsidRPr="00CA32C6">
              <w:rPr>
                <w:rFonts w:ascii="Arial Narrow" w:hAnsi="Arial Narrow" w:cs="Calibri"/>
                <w:sz w:val="18"/>
                <w:szCs w:val="18"/>
                <w:lang w:val="bg-BG"/>
              </w:rPr>
              <w:t>987</w:t>
            </w:r>
          </w:p>
        </w:tc>
        <w:tc>
          <w:tcPr>
            <w:tcW w:w="761" w:type="dxa"/>
            <w:tcBorders>
              <w:top w:val="nil"/>
              <w:left w:val="nil"/>
              <w:bottom w:val="single" w:sz="4" w:space="0" w:color="auto"/>
              <w:right w:val="single" w:sz="4" w:space="0" w:color="auto"/>
            </w:tcBorders>
            <w:shd w:val="clear" w:color="auto" w:fill="auto"/>
            <w:noWrap/>
            <w:vAlign w:val="center"/>
            <w:hideMark/>
          </w:tcPr>
          <w:p w14:paraId="2F653646" w14:textId="77777777" w:rsidR="00CA32C6" w:rsidRPr="00CA32C6" w:rsidRDefault="00CA32C6" w:rsidP="00CA32C6">
            <w:pPr>
              <w:jc w:val="right"/>
              <w:rPr>
                <w:rFonts w:ascii="Arial Narrow" w:hAnsi="Arial Narrow" w:cs="Calibri"/>
                <w:sz w:val="18"/>
                <w:szCs w:val="18"/>
                <w:lang w:val="bg-BG"/>
              </w:rPr>
            </w:pPr>
            <w:r w:rsidRPr="00CA32C6">
              <w:rPr>
                <w:rFonts w:ascii="Arial Narrow" w:hAnsi="Arial Narrow" w:cs="Calibri"/>
                <w:sz w:val="18"/>
                <w:szCs w:val="18"/>
                <w:lang w:val="bg-BG"/>
              </w:rPr>
              <w:t>41</w:t>
            </w:r>
          </w:p>
        </w:tc>
        <w:tc>
          <w:tcPr>
            <w:tcW w:w="761" w:type="dxa"/>
            <w:tcBorders>
              <w:top w:val="nil"/>
              <w:left w:val="nil"/>
              <w:bottom w:val="single" w:sz="4" w:space="0" w:color="auto"/>
              <w:right w:val="single" w:sz="4" w:space="0" w:color="auto"/>
            </w:tcBorders>
            <w:shd w:val="clear" w:color="auto" w:fill="auto"/>
            <w:noWrap/>
            <w:vAlign w:val="center"/>
            <w:hideMark/>
          </w:tcPr>
          <w:p w14:paraId="58DFE3A9" w14:textId="77777777" w:rsidR="00CA32C6" w:rsidRPr="00CA32C6" w:rsidRDefault="00CA32C6" w:rsidP="00CA32C6">
            <w:pPr>
              <w:jc w:val="right"/>
              <w:rPr>
                <w:rFonts w:ascii="Arial Narrow" w:hAnsi="Arial Narrow" w:cs="Calibri"/>
                <w:sz w:val="18"/>
                <w:szCs w:val="18"/>
                <w:lang w:val="bg-BG"/>
              </w:rPr>
            </w:pPr>
            <w:r w:rsidRPr="00CA32C6">
              <w:rPr>
                <w:rFonts w:ascii="Arial Narrow" w:hAnsi="Arial Narrow" w:cs="Calibri"/>
                <w:sz w:val="18"/>
                <w:szCs w:val="18"/>
                <w:lang w:val="bg-BG"/>
              </w:rPr>
              <w:t>с</w:t>
            </w:r>
          </w:p>
        </w:tc>
        <w:tc>
          <w:tcPr>
            <w:tcW w:w="761" w:type="dxa"/>
            <w:tcBorders>
              <w:top w:val="nil"/>
              <w:left w:val="nil"/>
              <w:bottom w:val="single" w:sz="4" w:space="0" w:color="auto"/>
              <w:right w:val="single" w:sz="4" w:space="0" w:color="auto"/>
            </w:tcBorders>
            <w:shd w:val="clear" w:color="auto" w:fill="auto"/>
            <w:noWrap/>
            <w:vAlign w:val="center"/>
            <w:hideMark/>
          </w:tcPr>
          <w:p w14:paraId="202DA822" w14:textId="77777777" w:rsidR="00CA32C6" w:rsidRPr="00CA32C6" w:rsidRDefault="00CA32C6" w:rsidP="00CA32C6">
            <w:pPr>
              <w:jc w:val="right"/>
              <w:rPr>
                <w:rFonts w:ascii="Arial Narrow" w:hAnsi="Arial Narrow" w:cs="Calibri"/>
                <w:sz w:val="18"/>
                <w:szCs w:val="18"/>
                <w:lang w:val="bg-BG"/>
              </w:rPr>
            </w:pPr>
            <w:r w:rsidRPr="00CA32C6">
              <w:rPr>
                <w:rFonts w:ascii="Arial Narrow" w:hAnsi="Arial Narrow" w:cs="Calibri"/>
                <w:sz w:val="18"/>
                <w:szCs w:val="18"/>
                <w:lang w:val="bg-BG"/>
              </w:rPr>
              <w:t>683</w:t>
            </w:r>
          </w:p>
        </w:tc>
        <w:tc>
          <w:tcPr>
            <w:tcW w:w="761" w:type="dxa"/>
            <w:tcBorders>
              <w:top w:val="nil"/>
              <w:left w:val="nil"/>
              <w:bottom w:val="single" w:sz="4" w:space="0" w:color="auto"/>
              <w:right w:val="single" w:sz="4" w:space="0" w:color="auto"/>
            </w:tcBorders>
            <w:shd w:val="clear" w:color="auto" w:fill="auto"/>
            <w:noWrap/>
            <w:vAlign w:val="center"/>
            <w:hideMark/>
          </w:tcPr>
          <w:p w14:paraId="1297DCBF" w14:textId="77777777" w:rsidR="00CA32C6" w:rsidRPr="00CA32C6" w:rsidRDefault="00CA32C6" w:rsidP="00CA32C6">
            <w:pPr>
              <w:jc w:val="right"/>
              <w:rPr>
                <w:rFonts w:ascii="Arial Narrow" w:hAnsi="Arial Narrow" w:cs="Calibri"/>
                <w:sz w:val="18"/>
                <w:szCs w:val="18"/>
                <w:lang w:val="bg-BG"/>
              </w:rPr>
            </w:pPr>
            <w:r w:rsidRPr="00CA32C6">
              <w:rPr>
                <w:rFonts w:ascii="Arial Narrow" w:hAnsi="Arial Narrow" w:cs="Calibri"/>
                <w:sz w:val="18"/>
                <w:szCs w:val="18"/>
                <w:lang w:val="bg-BG"/>
              </w:rPr>
              <w:t>с</w:t>
            </w:r>
          </w:p>
        </w:tc>
        <w:tc>
          <w:tcPr>
            <w:tcW w:w="915" w:type="dxa"/>
            <w:tcBorders>
              <w:top w:val="nil"/>
              <w:left w:val="nil"/>
              <w:bottom w:val="single" w:sz="4" w:space="0" w:color="auto"/>
              <w:right w:val="single" w:sz="4" w:space="0" w:color="auto"/>
            </w:tcBorders>
            <w:shd w:val="clear" w:color="auto" w:fill="auto"/>
            <w:noWrap/>
            <w:vAlign w:val="center"/>
            <w:hideMark/>
          </w:tcPr>
          <w:p w14:paraId="66FC4E4C" w14:textId="77777777" w:rsidR="00CA32C6" w:rsidRPr="00CA32C6" w:rsidRDefault="00CA32C6" w:rsidP="00CA32C6">
            <w:pPr>
              <w:jc w:val="right"/>
              <w:rPr>
                <w:rFonts w:ascii="Arial Narrow" w:hAnsi="Arial Narrow" w:cs="Calibri"/>
                <w:sz w:val="18"/>
                <w:szCs w:val="18"/>
                <w:lang w:val="bg-BG"/>
              </w:rPr>
            </w:pPr>
            <w:r w:rsidRPr="00CA32C6">
              <w:rPr>
                <w:rFonts w:ascii="Arial Narrow" w:hAnsi="Arial Narrow" w:cs="Calibri"/>
                <w:sz w:val="18"/>
                <w:szCs w:val="18"/>
                <w:lang w:val="bg-BG"/>
              </w:rPr>
              <w:t>-</w:t>
            </w:r>
          </w:p>
        </w:tc>
        <w:tc>
          <w:tcPr>
            <w:tcW w:w="680" w:type="dxa"/>
            <w:tcBorders>
              <w:top w:val="nil"/>
              <w:left w:val="nil"/>
              <w:bottom w:val="single" w:sz="4" w:space="0" w:color="auto"/>
              <w:right w:val="single" w:sz="4" w:space="0" w:color="auto"/>
            </w:tcBorders>
            <w:shd w:val="clear" w:color="auto" w:fill="auto"/>
            <w:noWrap/>
            <w:vAlign w:val="center"/>
            <w:hideMark/>
          </w:tcPr>
          <w:p w14:paraId="78549B50" w14:textId="77777777" w:rsidR="00CA32C6" w:rsidRPr="00CA32C6" w:rsidRDefault="00CA32C6" w:rsidP="00CA32C6">
            <w:pPr>
              <w:jc w:val="right"/>
              <w:rPr>
                <w:rFonts w:ascii="Arial Narrow" w:hAnsi="Arial Narrow" w:cs="Calibri"/>
                <w:sz w:val="18"/>
                <w:szCs w:val="18"/>
                <w:lang w:val="bg-BG"/>
              </w:rPr>
            </w:pPr>
            <w:r w:rsidRPr="00CA32C6">
              <w:rPr>
                <w:rFonts w:ascii="Arial Narrow" w:hAnsi="Arial Narrow" w:cs="Calibri"/>
                <w:sz w:val="18"/>
                <w:szCs w:val="18"/>
                <w:lang w:val="bg-BG"/>
              </w:rPr>
              <w:t>-</w:t>
            </w:r>
          </w:p>
        </w:tc>
        <w:tc>
          <w:tcPr>
            <w:tcW w:w="680" w:type="dxa"/>
            <w:tcBorders>
              <w:top w:val="nil"/>
              <w:left w:val="nil"/>
              <w:bottom w:val="single" w:sz="4" w:space="0" w:color="auto"/>
              <w:right w:val="single" w:sz="4" w:space="0" w:color="auto"/>
            </w:tcBorders>
            <w:shd w:val="clear" w:color="auto" w:fill="auto"/>
            <w:noWrap/>
            <w:vAlign w:val="center"/>
            <w:hideMark/>
          </w:tcPr>
          <w:p w14:paraId="60D746DE" w14:textId="77777777" w:rsidR="00CA32C6" w:rsidRPr="00CA32C6" w:rsidRDefault="00CA32C6" w:rsidP="00CA32C6">
            <w:pPr>
              <w:jc w:val="right"/>
              <w:rPr>
                <w:rFonts w:ascii="Arial Narrow" w:hAnsi="Arial Narrow" w:cs="Calibri"/>
                <w:sz w:val="18"/>
                <w:szCs w:val="18"/>
                <w:lang w:val="bg-BG"/>
              </w:rPr>
            </w:pPr>
            <w:r w:rsidRPr="00CA32C6">
              <w:rPr>
                <w:rFonts w:ascii="Arial Narrow" w:hAnsi="Arial Narrow" w:cs="Calibri"/>
                <w:sz w:val="18"/>
                <w:szCs w:val="18"/>
                <w:lang w:val="bg-BG"/>
              </w:rPr>
              <w:t>-</w:t>
            </w:r>
          </w:p>
        </w:tc>
      </w:tr>
      <w:tr w:rsidR="00CA32C6" w:rsidRPr="00CA32C6" w14:paraId="5683A744" w14:textId="77777777" w:rsidTr="009C6577">
        <w:trPr>
          <w:trHeight w:val="805"/>
          <w:jc w:val="center"/>
        </w:trPr>
        <w:tc>
          <w:tcPr>
            <w:tcW w:w="1367" w:type="dxa"/>
            <w:tcBorders>
              <w:top w:val="nil"/>
              <w:left w:val="single" w:sz="4" w:space="0" w:color="auto"/>
              <w:bottom w:val="single" w:sz="4" w:space="0" w:color="auto"/>
              <w:right w:val="single" w:sz="4" w:space="0" w:color="auto"/>
            </w:tcBorders>
            <w:shd w:val="clear" w:color="auto" w:fill="auto"/>
            <w:vAlign w:val="center"/>
            <w:hideMark/>
          </w:tcPr>
          <w:p w14:paraId="091EBA03" w14:textId="77777777" w:rsidR="00CA32C6" w:rsidRPr="00CA32C6" w:rsidRDefault="00CA32C6" w:rsidP="00CA32C6">
            <w:pPr>
              <w:rPr>
                <w:rFonts w:ascii="Arial Narrow" w:hAnsi="Arial Narrow" w:cs="Calibri"/>
                <w:b/>
                <w:bCs/>
                <w:sz w:val="18"/>
                <w:szCs w:val="18"/>
                <w:lang w:val="bg-BG"/>
              </w:rPr>
            </w:pPr>
            <w:r w:rsidRPr="00CA32C6">
              <w:rPr>
                <w:rFonts w:ascii="Arial Narrow" w:hAnsi="Arial Narrow" w:cs="Calibri"/>
                <w:b/>
                <w:bCs/>
                <w:sz w:val="18"/>
                <w:szCs w:val="18"/>
                <w:lang w:val="bg-BG"/>
              </w:rPr>
              <w:t>Грудкови и лукови зеленчуци, в т.ч.:</w:t>
            </w:r>
          </w:p>
        </w:tc>
        <w:tc>
          <w:tcPr>
            <w:tcW w:w="761" w:type="dxa"/>
            <w:tcBorders>
              <w:top w:val="nil"/>
              <w:left w:val="nil"/>
              <w:bottom w:val="single" w:sz="4" w:space="0" w:color="auto"/>
              <w:right w:val="single" w:sz="4" w:space="0" w:color="auto"/>
            </w:tcBorders>
            <w:shd w:val="clear" w:color="auto" w:fill="auto"/>
            <w:noWrap/>
            <w:vAlign w:val="center"/>
            <w:hideMark/>
          </w:tcPr>
          <w:p w14:paraId="7AD2B437" w14:textId="77777777" w:rsidR="00CA32C6" w:rsidRPr="00CA32C6" w:rsidRDefault="00CA32C6" w:rsidP="00CA32C6">
            <w:pPr>
              <w:jc w:val="right"/>
              <w:rPr>
                <w:rFonts w:ascii="Arial Narrow" w:hAnsi="Arial Narrow" w:cs="Calibri"/>
                <w:b/>
                <w:bCs/>
                <w:sz w:val="18"/>
                <w:szCs w:val="18"/>
                <w:lang w:val="bg-BG"/>
              </w:rPr>
            </w:pPr>
            <w:r w:rsidRPr="00CA32C6">
              <w:rPr>
                <w:rFonts w:ascii="Arial Narrow" w:hAnsi="Arial Narrow" w:cs="Calibri"/>
                <w:b/>
                <w:bCs/>
                <w:sz w:val="18"/>
                <w:szCs w:val="18"/>
                <w:lang w:val="bg-BG"/>
              </w:rPr>
              <w:t>3 890</w:t>
            </w:r>
          </w:p>
        </w:tc>
        <w:tc>
          <w:tcPr>
            <w:tcW w:w="761" w:type="dxa"/>
            <w:tcBorders>
              <w:top w:val="nil"/>
              <w:left w:val="nil"/>
              <w:bottom w:val="single" w:sz="4" w:space="0" w:color="auto"/>
              <w:right w:val="single" w:sz="4" w:space="0" w:color="auto"/>
            </w:tcBorders>
            <w:shd w:val="clear" w:color="auto" w:fill="auto"/>
            <w:noWrap/>
            <w:vAlign w:val="center"/>
            <w:hideMark/>
          </w:tcPr>
          <w:p w14:paraId="0058ABDA" w14:textId="77777777" w:rsidR="00CA32C6" w:rsidRPr="00CA32C6" w:rsidRDefault="00CA32C6" w:rsidP="00CA32C6">
            <w:pPr>
              <w:jc w:val="right"/>
              <w:rPr>
                <w:rFonts w:ascii="Arial Narrow" w:hAnsi="Arial Narrow" w:cs="Calibri"/>
                <w:b/>
                <w:bCs/>
                <w:sz w:val="18"/>
                <w:szCs w:val="18"/>
                <w:lang w:val="bg-BG"/>
              </w:rPr>
            </w:pPr>
            <w:r w:rsidRPr="00CA32C6">
              <w:rPr>
                <w:rFonts w:ascii="Arial Narrow" w:hAnsi="Arial Narrow" w:cs="Calibri"/>
                <w:b/>
                <w:bCs/>
                <w:sz w:val="18"/>
                <w:szCs w:val="18"/>
                <w:lang w:val="bg-BG"/>
              </w:rPr>
              <w:t>4 172</w:t>
            </w:r>
          </w:p>
        </w:tc>
        <w:tc>
          <w:tcPr>
            <w:tcW w:w="761" w:type="dxa"/>
            <w:tcBorders>
              <w:top w:val="nil"/>
              <w:left w:val="nil"/>
              <w:bottom w:val="single" w:sz="4" w:space="0" w:color="auto"/>
              <w:right w:val="single" w:sz="4" w:space="0" w:color="auto"/>
            </w:tcBorders>
            <w:shd w:val="clear" w:color="auto" w:fill="auto"/>
            <w:noWrap/>
            <w:vAlign w:val="center"/>
            <w:hideMark/>
          </w:tcPr>
          <w:p w14:paraId="64C58610" w14:textId="77777777" w:rsidR="00CA32C6" w:rsidRPr="00CA32C6" w:rsidRDefault="00CA32C6" w:rsidP="00CA32C6">
            <w:pPr>
              <w:jc w:val="right"/>
              <w:rPr>
                <w:rFonts w:ascii="Arial Narrow" w:hAnsi="Arial Narrow" w:cs="Calibri"/>
                <w:b/>
                <w:bCs/>
                <w:sz w:val="18"/>
                <w:szCs w:val="18"/>
                <w:lang w:val="bg-BG"/>
              </w:rPr>
            </w:pPr>
            <w:r w:rsidRPr="00CA32C6">
              <w:rPr>
                <w:rFonts w:ascii="Arial Narrow" w:hAnsi="Arial Narrow" w:cs="Calibri"/>
                <w:b/>
                <w:bCs/>
                <w:sz w:val="18"/>
                <w:szCs w:val="18"/>
                <w:lang w:val="bg-BG"/>
              </w:rPr>
              <w:t>1</w:t>
            </w:r>
          </w:p>
        </w:tc>
        <w:tc>
          <w:tcPr>
            <w:tcW w:w="761" w:type="dxa"/>
            <w:tcBorders>
              <w:top w:val="nil"/>
              <w:left w:val="nil"/>
              <w:bottom w:val="single" w:sz="4" w:space="0" w:color="auto"/>
              <w:right w:val="single" w:sz="4" w:space="0" w:color="auto"/>
            </w:tcBorders>
            <w:shd w:val="clear" w:color="auto" w:fill="auto"/>
            <w:noWrap/>
            <w:vAlign w:val="center"/>
            <w:hideMark/>
          </w:tcPr>
          <w:p w14:paraId="08B4F2AD" w14:textId="77777777" w:rsidR="00CA32C6" w:rsidRPr="00CA32C6" w:rsidRDefault="00CA32C6" w:rsidP="00CA32C6">
            <w:pPr>
              <w:jc w:val="right"/>
              <w:rPr>
                <w:rFonts w:ascii="Arial Narrow" w:hAnsi="Arial Narrow" w:cs="Calibri"/>
                <w:b/>
                <w:bCs/>
                <w:sz w:val="18"/>
                <w:szCs w:val="18"/>
                <w:lang w:val="bg-BG"/>
              </w:rPr>
            </w:pPr>
            <w:r w:rsidRPr="00CA32C6">
              <w:rPr>
                <w:rFonts w:ascii="Arial Narrow" w:hAnsi="Arial Narrow" w:cs="Calibri"/>
                <w:b/>
                <w:bCs/>
                <w:sz w:val="18"/>
                <w:szCs w:val="18"/>
                <w:lang w:val="bg-BG"/>
              </w:rPr>
              <w:t>с</w:t>
            </w:r>
          </w:p>
        </w:tc>
        <w:tc>
          <w:tcPr>
            <w:tcW w:w="761" w:type="dxa"/>
            <w:tcBorders>
              <w:top w:val="nil"/>
              <w:left w:val="nil"/>
              <w:bottom w:val="single" w:sz="4" w:space="0" w:color="auto"/>
              <w:right w:val="single" w:sz="4" w:space="0" w:color="auto"/>
            </w:tcBorders>
            <w:shd w:val="clear" w:color="auto" w:fill="auto"/>
            <w:noWrap/>
            <w:vAlign w:val="center"/>
            <w:hideMark/>
          </w:tcPr>
          <w:p w14:paraId="20CE9710" w14:textId="77777777" w:rsidR="00CA32C6" w:rsidRPr="00CA32C6" w:rsidRDefault="00CA32C6" w:rsidP="00CA32C6">
            <w:pPr>
              <w:jc w:val="right"/>
              <w:rPr>
                <w:rFonts w:ascii="Arial Narrow" w:hAnsi="Arial Narrow" w:cs="Calibri"/>
                <w:b/>
                <w:bCs/>
                <w:sz w:val="18"/>
                <w:szCs w:val="18"/>
                <w:lang w:val="bg-BG"/>
              </w:rPr>
            </w:pPr>
            <w:r w:rsidRPr="00CA32C6">
              <w:rPr>
                <w:rFonts w:ascii="Arial Narrow" w:hAnsi="Arial Narrow" w:cs="Calibri"/>
                <w:b/>
                <w:bCs/>
                <w:sz w:val="18"/>
                <w:szCs w:val="18"/>
                <w:lang w:val="bg-BG"/>
              </w:rPr>
              <w:t>51 698</w:t>
            </w:r>
          </w:p>
        </w:tc>
        <w:tc>
          <w:tcPr>
            <w:tcW w:w="761" w:type="dxa"/>
            <w:tcBorders>
              <w:top w:val="nil"/>
              <w:left w:val="nil"/>
              <w:bottom w:val="single" w:sz="4" w:space="0" w:color="auto"/>
              <w:right w:val="single" w:sz="4" w:space="0" w:color="auto"/>
            </w:tcBorders>
            <w:shd w:val="clear" w:color="auto" w:fill="auto"/>
            <w:noWrap/>
            <w:vAlign w:val="center"/>
            <w:hideMark/>
          </w:tcPr>
          <w:p w14:paraId="30860DD7" w14:textId="77777777" w:rsidR="00CA32C6" w:rsidRPr="00CA32C6" w:rsidRDefault="00CA32C6" w:rsidP="00CA32C6">
            <w:pPr>
              <w:jc w:val="right"/>
              <w:rPr>
                <w:rFonts w:ascii="Arial Narrow" w:hAnsi="Arial Narrow" w:cs="Calibri"/>
                <w:b/>
                <w:bCs/>
                <w:sz w:val="18"/>
                <w:szCs w:val="18"/>
                <w:lang w:val="bg-BG"/>
              </w:rPr>
            </w:pPr>
            <w:r w:rsidRPr="00CA32C6">
              <w:rPr>
                <w:rFonts w:ascii="Arial Narrow" w:hAnsi="Arial Narrow" w:cs="Calibri"/>
                <w:b/>
                <w:bCs/>
                <w:sz w:val="18"/>
                <w:szCs w:val="18"/>
                <w:lang w:val="bg-BG"/>
              </w:rPr>
              <w:t>48 306</w:t>
            </w:r>
          </w:p>
        </w:tc>
        <w:tc>
          <w:tcPr>
            <w:tcW w:w="761" w:type="dxa"/>
            <w:tcBorders>
              <w:top w:val="nil"/>
              <w:left w:val="nil"/>
              <w:bottom w:val="single" w:sz="4" w:space="0" w:color="auto"/>
              <w:right w:val="single" w:sz="4" w:space="0" w:color="auto"/>
            </w:tcBorders>
            <w:shd w:val="clear" w:color="auto" w:fill="auto"/>
            <w:noWrap/>
            <w:vAlign w:val="center"/>
            <w:hideMark/>
          </w:tcPr>
          <w:p w14:paraId="21CDC075" w14:textId="77777777" w:rsidR="00CA32C6" w:rsidRPr="00CA32C6" w:rsidRDefault="00CA32C6" w:rsidP="00CA32C6">
            <w:pPr>
              <w:jc w:val="right"/>
              <w:rPr>
                <w:rFonts w:ascii="Arial Narrow" w:hAnsi="Arial Narrow" w:cs="Calibri"/>
                <w:b/>
                <w:bCs/>
                <w:sz w:val="18"/>
                <w:szCs w:val="18"/>
                <w:lang w:val="bg-BG"/>
              </w:rPr>
            </w:pPr>
            <w:r w:rsidRPr="00CA32C6">
              <w:rPr>
                <w:rFonts w:ascii="Arial Narrow" w:hAnsi="Arial Narrow" w:cs="Calibri"/>
                <w:b/>
                <w:bCs/>
                <w:sz w:val="18"/>
                <w:szCs w:val="18"/>
                <w:lang w:val="bg-BG"/>
              </w:rPr>
              <w:t>17</w:t>
            </w:r>
          </w:p>
        </w:tc>
        <w:tc>
          <w:tcPr>
            <w:tcW w:w="761" w:type="dxa"/>
            <w:tcBorders>
              <w:top w:val="nil"/>
              <w:left w:val="nil"/>
              <w:bottom w:val="single" w:sz="4" w:space="0" w:color="auto"/>
              <w:right w:val="single" w:sz="4" w:space="0" w:color="auto"/>
            </w:tcBorders>
            <w:shd w:val="clear" w:color="auto" w:fill="auto"/>
            <w:noWrap/>
            <w:vAlign w:val="center"/>
            <w:hideMark/>
          </w:tcPr>
          <w:p w14:paraId="6D5D09B0" w14:textId="77777777" w:rsidR="00CA32C6" w:rsidRPr="00CA32C6" w:rsidRDefault="00CA32C6" w:rsidP="00CA32C6">
            <w:pPr>
              <w:jc w:val="right"/>
              <w:rPr>
                <w:rFonts w:ascii="Arial Narrow" w:hAnsi="Arial Narrow" w:cs="Calibri"/>
                <w:b/>
                <w:bCs/>
                <w:sz w:val="18"/>
                <w:szCs w:val="18"/>
                <w:lang w:val="bg-BG"/>
              </w:rPr>
            </w:pPr>
            <w:r w:rsidRPr="00CA32C6">
              <w:rPr>
                <w:rFonts w:ascii="Arial Narrow" w:hAnsi="Arial Narrow" w:cs="Calibri"/>
                <w:b/>
                <w:bCs/>
                <w:sz w:val="18"/>
                <w:szCs w:val="18"/>
                <w:lang w:val="bg-BG"/>
              </w:rPr>
              <w:t>с</w:t>
            </w:r>
          </w:p>
        </w:tc>
        <w:tc>
          <w:tcPr>
            <w:tcW w:w="761" w:type="dxa"/>
            <w:tcBorders>
              <w:top w:val="nil"/>
              <w:left w:val="nil"/>
              <w:bottom w:val="single" w:sz="4" w:space="0" w:color="auto"/>
              <w:right w:val="single" w:sz="4" w:space="0" w:color="auto"/>
            </w:tcBorders>
            <w:shd w:val="clear" w:color="auto" w:fill="auto"/>
            <w:noWrap/>
            <w:vAlign w:val="center"/>
            <w:hideMark/>
          </w:tcPr>
          <w:p w14:paraId="2549A631" w14:textId="77777777" w:rsidR="00CA32C6" w:rsidRPr="00CA32C6" w:rsidRDefault="00CA32C6" w:rsidP="00CA32C6">
            <w:pPr>
              <w:jc w:val="right"/>
              <w:rPr>
                <w:rFonts w:ascii="Arial Narrow" w:hAnsi="Arial Narrow" w:cs="Calibri"/>
                <w:b/>
                <w:bCs/>
                <w:sz w:val="18"/>
                <w:szCs w:val="18"/>
                <w:lang w:val="bg-BG"/>
              </w:rPr>
            </w:pPr>
            <w:r w:rsidRPr="00CA32C6">
              <w:rPr>
                <w:rFonts w:ascii="Arial Narrow" w:hAnsi="Arial Narrow" w:cs="Calibri"/>
                <w:b/>
                <w:bCs/>
                <w:sz w:val="18"/>
                <w:szCs w:val="18"/>
                <w:lang w:val="bg-BG"/>
              </w:rPr>
              <w:t>51 715</w:t>
            </w:r>
          </w:p>
        </w:tc>
        <w:tc>
          <w:tcPr>
            <w:tcW w:w="761" w:type="dxa"/>
            <w:tcBorders>
              <w:top w:val="nil"/>
              <w:left w:val="nil"/>
              <w:bottom w:val="single" w:sz="4" w:space="0" w:color="auto"/>
              <w:right w:val="single" w:sz="4" w:space="0" w:color="auto"/>
            </w:tcBorders>
            <w:shd w:val="clear" w:color="auto" w:fill="auto"/>
            <w:noWrap/>
            <w:vAlign w:val="center"/>
            <w:hideMark/>
          </w:tcPr>
          <w:p w14:paraId="15796604" w14:textId="77777777" w:rsidR="00CA32C6" w:rsidRPr="00CA32C6" w:rsidRDefault="00CA32C6" w:rsidP="00CA32C6">
            <w:pPr>
              <w:jc w:val="right"/>
              <w:rPr>
                <w:rFonts w:ascii="Arial Narrow" w:hAnsi="Arial Narrow" w:cs="Calibri"/>
                <w:b/>
                <w:bCs/>
                <w:sz w:val="18"/>
                <w:szCs w:val="18"/>
                <w:lang w:val="bg-BG"/>
              </w:rPr>
            </w:pPr>
            <w:r w:rsidRPr="00CA32C6">
              <w:rPr>
                <w:rFonts w:ascii="Arial Narrow" w:hAnsi="Arial Narrow" w:cs="Calibri"/>
                <w:b/>
                <w:bCs/>
                <w:sz w:val="18"/>
                <w:szCs w:val="18"/>
                <w:lang w:val="bg-BG"/>
              </w:rPr>
              <w:t>с</w:t>
            </w:r>
          </w:p>
        </w:tc>
        <w:tc>
          <w:tcPr>
            <w:tcW w:w="915" w:type="dxa"/>
            <w:tcBorders>
              <w:top w:val="nil"/>
              <w:left w:val="nil"/>
              <w:bottom w:val="single" w:sz="4" w:space="0" w:color="auto"/>
              <w:right w:val="single" w:sz="4" w:space="0" w:color="auto"/>
            </w:tcBorders>
            <w:shd w:val="clear" w:color="auto" w:fill="auto"/>
            <w:noWrap/>
            <w:vAlign w:val="center"/>
            <w:hideMark/>
          </w:tcPr>
          <w:p w14:paraId="6D4B747A" w14:textId="77777777" w:rsidR="00CA32C6" w:rsidRPr="00CA32C6" w:rsidRDefault="00CA32C6" w:rsidP="00CA32C6">
            <w:pPr>
              <w:jc w:val="right"/>
              <w:rPr>
                <w:rFonts w:ascii="Arial Narrow" w:hAnsi="Arial Narrow" w:cs="Calibri"/>
                <w:b/>
                <w:bCs/>
                <w:sz w:val="18"/>
                <w:szCs w:val="18"/>
                <w:lang w:val="bg-BG"/>
              </w:rPr>
            </w:pPr>
            <w:r w:rsidRPr="00CA32C6">
              <w:rPr>
                <w:rFonts w:ascii="Arial Narrow" w:hAnsi="Arial Narrow" w:cs="Calibri"/>
                <w:b/>
                <w:bCs/>
                <w:sz w:val="18"/>
                <w:szCs w:val="18"/>
                <w:lang w:val="bg-BG"/>
              </w:rPr>
              <w:t>-</w:t>
            </w:r>
          </w:p>
        </w:tc>
        <w:tc>
          <w:tcPr>
            <w:tcW w:w="680" w:type="dxa"/>
            <w:tcBorders>
              <w:top w:val="nil"/>
              <w:left w:val="nil"/>
              <w:bottom w:val="single" w:sz="4" w:space="0" w:color="auto"/>
              <w:right w:val="single" w:sz="4" w:space="0" w:color="auto"/>
            </w:tcBorders>
            <w:shd w:val="clear" w:color="auto" w:fill="auto"/>
            <w:noWrap/>
            <w:vAlign w:val="center"/>
            <w:hideMark/>
          </w:tcPr>
          <w:p w14:paraId="02C06209" w14:textId="77777777" w:rsidR="00CA32C6" w:rsidRPr="00CA32C6" w:rsidRDefault="00CA32C6" w:rsidP="00CA32C6">
            <w:pPr>
              <w:jc w:val="right"/>
              <w:rPr>
                <w:rFonts w:ascii="Arial Narrow" w:hAnsi="Arial Narrow" w:cs="Calibri"/>
                <w:b/>
                <w:bCs/>
                <w:sz w:val="18"/>
                <w:szCs w:val="18"/>
                <w:lang w:val="bg-BG"/>
              </w:rPr>
            </w:pPr>
            <w:r w:rsidRPr="00CA32C6">
              <w:rPr>
                <w:rFonts w:ascii="Arial Narrow" w:hAnsi="Arial Narrow" w:cs="Calibri"/>
                <w:b/>
                <w:bCs/>
                <w:sz w:val="18"/>
                <w:szCs w:val="18"/>
                <w:lang w:val="bg-BG"/>
              </w:rPr>
              <w:t>-</w:t>
            </w:r>
          </w:p>
        </w:tc>
        <w:tc>
          <w:tcPr>
            <w:tcW w:w="680" w:type="dxa"/>
            <w:tcBorders>
              <w:top w:val="nil"/>
              <w:left w:val="nil"/>
              <w:bottom w:val="single" w:sz="4" w:space="0" w:color="auto"/>
              <w:right w:val="single" w:sz="4" w:space="0" w:color="auto"/>
            </w:tcBorders>
            <w:shd w:val="clear" w:color="auto" w:fill="auto"/>
            <w:noWrap/>
            <w:vAlign w:val="center"/>
            <w:hideMark/>
          </w:tcPr>
          <w:p w14:paraId="297DB489" w14:textId="77777777" w:rsidR="00CA32C6" w:rsidRPr="00CA32C6" w:rsidRDefault="00CA32C6" w:rsidP="00CA32C6">
            <w:pPr>
              <w:jc w:val="right"/>
              <w:rPr>
                <w:rFonts w:ascii="Arial Narrow" w:hAnsi="Arial Narrow" w:cs="Calibri"/>
                <w:b/>
                <w:bCs/>
                <w:sz w:val="18"/>
                <w:szCs w:val="18"/>
                <w:lang w:val="bg-BG"/>
              </w:rPr>
            </w:pPr>
            <w:r w:rsidRPr="00CA32C6">
              <w:rPr>
                <w:rFonts w:ascii="Arial Narrow" w:hAnsi="Arial Narrow" w:cs="Calibri"/>
                <w:b/>
                <w:bCs/>
                <w:sz w:val="18"/>
                <w:szCs w:val="18"/>
                <w:lang w:val="bg-BG"/>
              </w:rPr>
              <w:t>-</w:t>
            </w:r>
          </w:p>
        </w:tc>
      </w:tr>
      <w:tr w:rsidR="00CA32C6" w:rsidRPr="00CA32C6" w14:paraId="0A4DCCFF" w14:textId="77777777" w:rsidTr="009C6577">
        <w:trPr>
          <w:trHeight w:val="546"/>
          <w:jc w:val="center"/>
        </w:trPr>
        <w:tc>
          <w:tcPr>
            <w:tcW w:w="1367" w:type="dxa"/>
            <w:tcBorders>
              <w:top w:val="nil"/>
              <w:left w:val="single" w:sz="4" w:space="0" w:color="auto"/>
              <w:bottom w:val="single" w:sz="4" w:space="0" w:color="auto"/>
              <w:right w:val="single" w:sz="4" w:space="0" w:color="auto"/>
            </w:tcBorders>
            <w:shd w:val="clear" w:color="auto" w:fill="auto"/>
            <w:vAlign w:val="center"/>
            <w:hideMark/>
          </w:tcPr>
          <w:p w14:paraId="13B4AEBA" w14:textId="77777777" w:rsidR="00CA32C6" w:rsidRPr="00CA32C6" w:rsidRDefault="00CA32C6" w:rsidP="00CA32C6">
            <w:pPr>
              <w:rPr>
                <w:rFonts w:ascii="Arial Narrow" w:hAnsi="Arial Narrow" w:cs="Calibri"/>
                <w:sz w:val="18"/>
                <w:szCs w:val="18"/>
                <w:lang w:val="bg-BG"/>
              </w:rPr>
            </w:pPr>
            <w:r w:rsidRPr="00CA32C6">
              <w:rPr>
                <w:rFonts w:ascii="Arial Narrow" w:hAnsi="Arial Narrow" w:cs="Calibri"/>
                <w:sz w:val="18"/>
                <w:szCs w:val="18"/>
                <w:lang w:val="bg-BG"/>
              </w:rPr>
              <w:t>Лук кромид - зрял</w:t>
            </w:r>
          </w:p>
        </w:tc>
        <w:tc>
          <w:tcPr>
            <w:tcW w:w="761" w:type="dxa"/>
            <w:tcBorders>
              <w:top w:val="nil"/>
              <w:left w:val="nil"/>
              <w:bottom w:val="single" w:sz="4" w:space="0" w:color="auto"/>
              <w:right w:val="single" w:sz="4" w:space="0" w:color="auto"/>
            </w:tcBorders>
            <w:shd w:val="clear" w:color="auto" w:fill="auto"/>
            <w:noWrap/>
            <w:vAlign w:val="center"/>
            <w:hideMark/>
          </w:tcPr>
          <w:p w14:paraId="159FD2F1" w14:textId="77777777" w:rsidR="00CA32C6" w:rsidRPr="00CA32C6" w:rsidRDefault="00CA32C6" w:rsidP="00CA32C6">
            <w:pPr>
              <w:jc w:val="right"/>
              <w:rPr>
                <w:rFonts w:ascii="Arial Narrow" w:hAnsi="Arial Narrow" w:cs="Calibri"/>
                <w:sz w:val="18"/>
                <w:szCs w:val="18"/>
                <w:lang w:val="bg-BG"/>
              </w:rPr>
            </w:pPr>
            <w:r w:rsidRPr="00CA32C6">
              <w:rPr>
                <w:rFonts w:ascii="Arial Narrow" w:hAnsi="Arial Narrow" w:cs="Calibri"/>
                <w:sz w:val="18"/>
                <w:szCs w:val="18"/>
                <w:lang w:val="bg-BG"/>
              </w:rPr>
              <w:t>3 016</w:t>
            </w:r>
          </w:p>
        </w:tc>
        <w:tc>
          <w:tcPr>
            <w:tcW w:w="761" w:type="dxa"/>
            <w:tcBorders>
              <w:top w:val="nil"/>
              <w:left w:val="nil"/>
              <w:bottom w:val="single" w:sz="4" w:space="0" w:color="auto"/>
              <w:right w:val="single" w:sz="4" w:space="0" w:color="auto"/>
            </w:tcBorders>
            <w:shd w:val="clear" w:color="auto" w:fill="auto"/>
            <w:noWrap/>
            <w:vAlign w:val="center"/>
            <w:hideMark/>
          </w:tcPr>
          <w:p w14:paraId="2F6C11F6" w14:textId="77777777" w:rsidR="00CA32C6" w:rsidRPr="00CA32C6" w:rsidRDefault="00CA32C6" w:rsidP="00CA32C6">
            <w:pPr>
              <w:jc w:val="right"/>
              <w:rPr>
                <w:rFonts w:ascii="Arial Narrow" w:hAnsi="Arial Narrow" w:cs="Calibri"/>
                <w:sz w:val="18"/>
                <w:szCs w:val="18"/>
                <w:lang w:val="bg-BG"/>
              </w:rPr>
            </w:pPr>
            <w:r w:rsidRPr="00CA32C6">
              <w:rPr>
                <w:rFonts w:ascii="Arial Narrow" w:hAnsi="Arial Narrow" w:cs="Calibri"/>
                <w:sz w:val="18"/>
                <w:szCs w:val="18"/>
                <w:lang w:val="bg-BG"/>
              </w:rPr>
              <w:t>3 069</w:t>
            </w:r>
          </w:p>
        </w:tc>
        <w:tc>
          <w:tcPr>
            <w:tcW w:w="761" w:type="dxa"/>
            <w:tcBorders>
              <w:top w:val="nil"/>
              <w:left w:val="nil"/>
              <w:bottom w:val="single" w:sz="4" w:space="0" w:color="auto"/>
              <w:right w:val="single" w:sz="4" w:space="0" w:color="auto"/>
            </w:tcBorders>
            <w:shd w:val="clear" w:color="auto" w:fill="auto"/>
            <w:noWrap/>
            <w:vAlign w:val="center"/>
            <w:hideMark/>
          </w:tcPr>
          <w:p w14:paraId="5FF9DCDD" w14:textId="77777777" w:rsidR="00CA32C6" w:rsidRPr="00CA32C6" w:rsidRDefault="00CA32C6" w:rsidP="00CA32C6">
            <w:pPr>
              <w:jc w:val="right"/>
              <w:rPr>
                <w:rFonts w:ascii="Arial Narrow" w:hAnsi="Arial Narrow" w:cs="Calibri"/>
                <w:sz w:val="18"/>
                <w:szCs w:val="18"/>
                <w:lang w:val="bg-BG"/>
              </w:rPr>
            </w:pPr>
            <w:r w:rsidRPr="00CA32C6">
              <w:rPr>
                <w:rFonts w:ascii="Arial Narrow" w:hAnsi="Arial Narrow" w:cs="Calibri"/>
                <w:sz w:val="18"/>
                <w:szCs w:val="18"/>
                <w:lang w:val="bg-BG"/>
              </w:rPr>
              <w:t>-</w:t>
            </w:r>
          </w:p>
        </w:tc>
        <w:tc>
          <w:tcPr>
            <w:tcW w:w="761" w:type="dxa"/>
            <w:tcBorders>
              <w:top w:val="nil"/>
              <w:left w:val="nil"/>
              <w:bottom w:val="single" w:sz="4" w:space="0" w:color="auto"/>
              <w:right w:val="single" w:sz="4" w:space="0" w:color="auto"/>
            </w:tcBorders>
            <w:shd w:val="clear" w:color="auto" w:fill="auto"/>
            <w:noWrap/>
            <w:vAlign w:val="center"/>
            <w:hideMark/>
          </w:tcPr>
          <w:p w14:paraId="0F9AE39A" w14:textId="77777777" w:rsidR="00CA32C6" w:rsidRPr="00CA32C6" w:rsidRDefault="00CA32C6" w:rsidP="00CA32C6">
            <w:pPr>
              <w:jc w:val="right"/>
              <w:rPr>
                <w:rFonts w:ascii="Arial Narrow" w:hAnsi="Arial Narrow" w:cs="Calibri"/>
                <w:sz w:val="18"/>
                <w:szCs w:val="18"/>
                <w:lang w:val="bg-BG"/>
              </w:rPr>
            </w:pPr>
            <w:r w:rsidRPr="00CA32C6">
              <w:rPr>
                <w:rFonts w:ascii="Arial Narrow" w:hAnsi="Arial Narrow" w:cs="Calibri"/>
                <w:sz w:val="18"/>
                <w:szCs w:val="18"/>
                <w:lang w:val="bg-BG"/>
              </w:rPr>
              <w:t>-</w:t>
            </w:r>
          </w:p>
        </w:tc>
        <w:tc>
          <w:tcPr>
            <w:tcW w:w="761" w:type="dxa"/>
            <w:tcBorders>
              <w:top w:val="nil"/>
              <w:left w:val="nil"/>
              <w:bottom w:val="single" w:sz="4" w:space="0" w:color="auto"/>
              <w:right w:val="single" w:sz="4" w:space="0" w:color="auto"/>
            </w:tcBorders>
            <w:shd w:val="clear" w:color="auto" w:fill="auto"/>
            <w:noWrap/>
            <w:vAlign w:val="center"/>
            <w:hideMark/>
          </w:tcPr>
          <w:p w14:paraId="441A5234" w14:textId="77777777" w:rsidR="00CA32C6" w:rsidRPr="00CA32C6" w:rsidRDefault="00CA32C6" w:rsidP="00CA32C6">
            <w:pPr>
              <w:jc w:val="right"/>
              <w:rPr>
                <w:rFonts w:ascii="Arial Narrow" w:hAnsi="Arial Narrow" w:cs="Calibri"/>
                <w:sz w:val="18"/>
                <w:szCs w:val="18"/>
                <w:lang w:val="bg-BG"/>
              </w:rPr>
            </w:pPr>
            <w:r w:rsidRPr="00CA32C6">
              <w:rPr>
                <w:rFonts w:ascii="Arial Narrow" w:hAnsi="Arial Narrow" w:cs="Calibri"/>
                <w:sz w:val="18"/>
                <w:szCs w:val="18"/>
                <w:lang w:val="bg-BG"/>
              </w:rPr>
              <w:t>38 956</w:t>
            </w:r>
          </w:p>
        </w:tc>
        <w:tc>
          <w:tcPr>
            <w:tcW w:w="761" w:type="dxa"/>
            <w:tcBorders>
              <w:top w:val="nil"/>
              <w:left w:val="nil"/>
              <w:bottom w:val="single" w:sz="4" w:space="0" w:color="auto"/>
              <w:right w:val="single" w:sz="4" w:space="0" w:color="auto"/>
            </w:tcBorders>
            <w:shd w:val="clear" w:color="auto" w:fill="auto"/>
            <w:noWrap/>
            <w:vAlign w:val="center"/>
            <w:hideMark/>
          </w:tcPr>
          <w:p w14:paraId="40D064C4" w14:textId="77777777" w:rsidR="00CA32C6" w:rsidRPr="00CA32C6" w:rsidRDefault="00CA32C6" w:rsidP="00CA32C6">
            <w:pPr>
              <w:jc w:val="right"/>
              <w:rPr>
                <w:rFonts w:ascii="Arial Narrow" w:hAnsi="Arial Narrow" w:cs="Calibri"/>
                <w:sz w:val="18"/>
                <w:szCs w:val="18"/>
                <w:lang w:val="bg-BG"/>
              </w:rPr>
            </w:pPr>
            <w:r w:rsidRPr="00CA32C6">
              <w:rPr>
                <w:rFonts w:ascii="Arial Narrow" w:hAnsi="Arial Narrow" w:cs="Calibri"/>
                <w:sz w:val="18"/>
                <w:szCs w:val="18"/>
                <w:lang w:val="bg-BG"/>
              </w:rPr>
              <w:t>35 816</w:t>
            </w:r>
          </w:p>
        </w:tc>
        <w:tc>
          <w:tcPr>
            <w:tcW w:w="761" w:type="dxa"/>
            <w:tcBorders>
              <w:top w:val="nil"/>
              <w:left w:val="nil"/>
              <w:bottom w:val="single" w:sz="4" w:space="0" w:color="auto"/>
              <w:right w:val="single" w:sz="4" w:space="0" w:color="auto"/>
            </w:tcBorders>
            <w:shd w:val="clear" w:color="auto" w:fill="auto"/>
            <w:noWrap/>
            <w:vAlign w:val="center"/>
            <w:hideMark/>
          </w:tcPr>
          <w:p w14:paraId="15B67ECF" w14:textId="77777777" w:rsidR="00CA32C6" w:rsidRPr="00CA32C6" w:rsidRDefault="00CA32C6" w:rsidP="00CA32C6">
            <w:pPr>
              <w:jc w:val="right"/>
              <w:rPr>
                <w:rFonts w:ascii="Arial Narrow" w:hAnsi="Arial Narrow" w:cs="Calibri"/>
                <w:sz w:val="18"/>
                <w:szCs w:val="18"/>
                <w:lang w:val="bg-BG"/>
              </w:rPr>
            </w:pPr>
            <w:r w:rsidRPr="00CA32C6">
              <w:rPr>
                <w:rFonts w:ascii="Arial Narrow" w:hAnsi="Arial Narrow" w:cs="Calibri"/>
                <w:sz w:val="18"/>
                <w:szCs w:val="18"/>
                <w:lang w:val="bg-BG"/>
              </w:rPr>
              <w:t>-</w:t>
            </w:r>
          </w:p>
        </w:tc>
        <w:tc>
          <w:tcPr>
            <w:tcW w:w="761" w:type="dxa"/>
            <w:tcBorders>
              <w:top w:val="nil"/>
              <w:left w:val="nil"/>
              <w:bottom w:val="single" w:sz="4" w:space="0" w:color="auto"/>
              <w:right w:val="single" w:sz="4" w:space="0" w:color="auto"/>
            </w:tcBorders>
            <w:shd w:val="clear" w:color="auto" w:fill="auto"/>
            <w:noWrap/>
            <w:vAlign w:val="center"/>
            <w:hideMark/>
          </w:tcPr>
          <w:p w14:paraId="152B893E" w14:textId="77777777" w:rsidR="00CA32C6" w:rsidRPr="00CA32C6" w:rsidRDefault="00CA32C6" w:rsidP="00CA32C6">
            <w:pPr>
              <w:jc w:val="right"/>
              <w:rPr>
                <w:rFonts w:ascii="Arial Narrow" w:hAnsi="Arial Narrow" w:cs="Calibri"/>
                <w:sz w:val="18"/>
                <w:szCs w:val="18"/>
                <w:lang w:val="bg-BG"/>
              </w:rPr>
            </w:pPr>
            <w:r w:rsidRPr="00CA32C6">
              <w:rPr>
                <w:rFonts w:ascii="Arial Narrow" w:hAnsi="Arial Narrow" w:cs="Calibri"/>
                <w:sz w:val="18"/>
                <w:szCs w:val="18"/>
                <w:lang w:val="bg-BG"/>
              </w:rPr>
              <w:t>-</w:t>
            </w:r>
          </w:p>
        </w:tc>
        <w:tc>
          <w:tcPr>
            <w:tcW w:w="761" w:type="dxa"/>
            <w:tcBorders>
              <w:top w:val="nil"/>
              <w:left w:val="nil"/>
              <w:bottom w:val="single" w:sz="4" w:space="0" w:color="auto"/>
              <w:right w:val="single" w:sz="4" w:space="0" w:color="auto"/>
            </w:tcBorders>
            <w:shd w:val="clear" w:color="auto" w:fill="auto"/>
            <w:noWrap/>
            <w:vAlign w:val="center"/>
            <w:hideMark/>
          </w:tcPr>
          <w:p w14:paraId="423CD249" w14:textId="77777777" w:rsidR="00CA32C6" w:rsidRPr="00CA32C6" w:rsidRDefault="00CA32C6" w:rsidP="00CA32C6">
            <w:pPr>
              <w:jc w:val="right"/>
              <w:rPr>
                <w:rFonts w:ascii="Arial Narrow" w:hAnsi="Arial Narrow" w:cs="Calibri"/>
                <w:sz w:val="18"/>
                <w:szCs w:val="18"/>
                <w:lang w:val="bg-BG"/>
              </w:rPr>
            </w:pPr>
            <w:r w:rsidRPr="00CA32C6">
              <w:rPr>
                <w:rFonts w:ascii="Arial Narrow" w:hAnsi="Arial Narrow" w:cs="Calibri"/>
                <w:sz w:val="18"/>
                <w:szCs w:val="18"/>
                <w:lang w:val="bg-BG"/>
              </w:rPr>
              <w:t>38 956</w:t>
            </w:r>
          </w:p>
        </w:tc>
        <w:tc>
          <w:tcPr>
            <w:tcW w:w="761" w:type="dxa"/>
            <w:tcBorders>
              <w:top w:val="nil"/>
              <w:left w:val="nil"/>
              <w:bottom w:val="single" w:sz="4" w:space="0" w:color="auto"/>
              <w:right w:val="single" w:sz="4" w:space="0" w:color="auto"/>
            </w:tcBorders>
            <w:shd w:val="clear" w:color="auto" w:fill="auto"/>
            <w:noWrap/>
            <w:vAlign w:val="center"/>
            <w:hideMark/>
          </w:tcPr>
          <w:p w14:paraId="325C0E4A" w14:textId="77777777" w:rsidR="00CA32C6" w:rsidRPr="00CA32C6" w:rsidRDefault="00CA32C6" w:rsidP="00CA32C6">
            <w:pPr>
              <w:jc w:val="right"/>
              <w:rPr>
                <w:rFonts w:ascii="Arial Narrow" w:hAnsi="Arial Narrow" w:cs="Calibri"/>
                <w:sz w:val="18"/>
                <w:szCs w:val="18"/>
                <w:lang w:val="bg-BG"/>
              </w:rPr>
            </w:pPr>
            <w:r w:rsidRPr="00CA32C6">
              <w:rPr>
                <w:rFonts w:ascii="Arial Narrow" w:hAnsi="Arial Narrow" w:cs="Calibri"/>
                <w:sz w:val="18"/>
                <w:szCs w:val="18"/>
                <w:lang w:val="bg-BG"/>
              </w:rPr>
              <w:t>35 816</w:t>
            </w:r>
          </w:p>
        </w:tc>
        <w:tc>
          <w:tcPr>
            <w:tcW w:w="915" w:type="dxa"/>
            <w:tcBorders>
              <w:top w:val="nil"/>
              <w:left w:val="nil"/>
              <w:bottom w:val="single" w:sz="4" w:space="0" w:color="auto"/>
              <w:right w:val="single" w:sz="4" w:space="0" w:color="auto"/>
            </w:tcBorders>
            <w:shd w:val="clear" w:color="auto" w:fill="auto"/>
            <w:noWrap/>
            <w:vAlign w:val="center"/>
            <w:hideMark/>
          </w:tcPr>
          <w:p w14:paraId="109D0993" w14:textId="77777777" w:rsidR="00CA32C6" w:rsidRPr="00CA32C6" w:rsidRDefault="00CA32C6" w:rsidP="00CA32C6">
            <w:pPr>
              <w:jc w:val="right"/>
              <w:rPr>
                <w:rFonts w:ascii="Arial Narrow" w:hAnsi="Arial Narrow" w:cs="Calibri"/>
                <w:sz w:val="18"/>
                <w:szCs w:val="18"/>
                <w:lang w:val="bg-BG"/>
              </w:rPr>
            </w:pPr>
            <w:r w:rsidRPr="00CA32C6">
              <w:rPr>
                <w:rFonts w:ascii="Arial Narrow" w:hAnsi="Arial Narrow" w:cs="Calibri"/>
                <w:sz w:val="18"/>
                <w:szCs w:val="18"/>
                <w:lang w:val="bg-BG"/>
              </w:rPr>
              <w:t>-8,1%</w:t>
            </w:r>
          </w:p>
        </w:tc>
        <w:tc>
          <w:tcPr>
            <w:tcW w:w="680" w:type="dxa"/>
            <w:tcBorders>
              <w:top w:val="nil"/>
              <w:left w:val="nil"/>
              <w:bottom w:val="single" w:sz="4" w:space="0" w:color="auto"/>
              <w:right w:val="single" w:sz="4" w:space="0" w:color="auto"/>
            </w:tcBorders>
            <w:shd w:val="clear" w:color="auto" w:fill="auto"/>
            <w:noWrap/>
            <w:vAlign w:val="center"/>
            <w:hideMark/>
          </w:tcPr>
          <w:p w14:paraId="7384F3F6" w14:textId="77777777" w:rsidR="00CA32C6" w:rsidRPr="00CA32C6" w:rsidRDefault="00CA32C6" w:rsidP="00CA32C6">
            <w:pPr>
              <w:jc w:val="right"/>
              <w:rPr>
                <w:rFonts w:ascii="Arial Narrow" w:hAnsi="Arial Narrow" w:cs="Calibri"/>
                <w:sz w:val="18"/>
                <w:szCs w:val="18"/>
                <w:lang w:val="bg-BG"/>
              </w:rPr>
            </w:pPr>
            <w:r w:rsidRPr="00CA32C6">
              <w:rPr>
                <w:rFonts w:ascii="Arial Narrow" w:hAnsi="Arial Narrow" w:cs="Calibri"/>
                <w:sz w:val="18"/>
                <w:szCs w:val="18"/>
                <w:lang w:val="bg-BG"/>
              </w:rPr>
              <w:t>12 916</w:t>
            </w:r>
          </w:p>
        </w:tc>
        <w:tc>
          <w:tcPr>
            <w:tcW w:w="680" w:type="dxa"/>
            <w:tcBorders>
              <w:top w:val="nil"/>
              <w:left w:val="nil"/>
              <w:bottom w:val="single" w:sz="4" w:space="0" w:color="auto"/>
              <w:right w:val="single" w:sz="4" w:space="0" w:color="auto"/>
            </w:tcBorders>
            <w:shd w:val="clear" w:color="auto" w:fill="auto"/>
            <w:noWrap/>
            <w:vAlign w:val="center"/>
            <w:hideMark/>
          </w:tcPr>
          <w:p w14:paraId="4E9020F9" w14:textId="77777777" w:rsidR="00CA32C6" w:rsidRPr="00CA32C6" w:rsidRDefault="00CA32C6" w:rsidP="00CA32C6">
            <w:pPr>
              <w:jc w:val="right"/>
              <w:rPr>
                <w:rFonts w:ascii="Arial Narrow" w:hAnsi="Arial Narrow" w:cs="Calibri"/>
                <w:sz w:val="18"/>
                <w:szCs w:val="18"/>
                <w:lang w:val="bg-BG"/>
              </w:rPr>
            </w:pPr>
            <w:r w:rsidRPr="00CA32C6">
              <w:rPr>
                <w:rFonts w:ascii="Arial Narrow" w:hAnsi="Arial Narrow" w:cs="Calibri"/>
                <w:sz w:val="18"/>
                <w:szCs w:val="18"/>
                <w:lang w:val="bg-BG"/>
              </w:rPr>
              <w:t>11 670</w:t>
            </w:r>
          </w:p>
        </w:tc>
      </w:tr>
      <w:tr w:rsidR="00CA32C6" w:rsidRPr="00CA32C6" w14:paraId="5A1EEDE8" w14:textId="77777777" w:rsidTr="009C6577">
        <w:trPr>
          <w:trHeight w:val="287"/>
          <w:jc w:val="center"/>
        </w:trPr>
        <w:tc>
          <w:tcPr>
            <w:tcW w:w="1367" w:type="dxa"/>
            <w:tcBorders>
              <w:top w:val="nil"/>
              <w:left w:val="single" w:sz="4" w:space="0" w:color="auto"/>
              <w:bottom w:val="single" w:sz="4" w:space="0" w:color="auto"/>
              <w:right w:val="single" w:sz="4" w:space="0" w:color="auto"/>
            </w:tcBorders>
            <w:shd w:val="clear" w:color="auto" w:fill="auto"/>
            <w:vAlign w:val="center"/>
            <w:hideMark/>
          </w:tcPr>
          <w:p w14:paraId="65BE12A0" w14:textId="77777777" w:rsidR="00CA32C6" w:rsidRPr="00CA32C6" w:rsidRDefault="00CA32C6" w:rsidP="00CA32C6">
            <w:pPr>
              <w:rPr>
                <w:rFonts w:ascii="Arial Narrow" w:hAnsi="Arial Narrow" w:cs="Calibri"/>
                <w:sz w:val="18"/>
                <w:szCs w:val="18"/>
                <w:lang w:val="bg-BG"/>
              </w:rPr>
            </w:pPr>
            <w:r w:rsidRPr="00CA32C6">
              <w:rPr>
                <w:rFonts w:ascii="Arial Narrow" w:hAnsi="Arial Narrow" w:cs="Calibri"/>
                <w:sz w:val="18"/>
                <w:szCs w:val="18"/>
                <w:lang w:val="bg-BG"/>
              </w:rPr>
              <w:t>Моркови</w:t>
            </w:r>
          </w:p>
        </w:tc>
        <w:tc>
          <w:tcPr>
            <w:tcW w:w="761" w:type="dxa"/>
            <w:tcBorders>
              <w:top w:val="nil"/>
              <w:left w:val="nil"/>
              <w:bottom w:val="single" w:sz="4" w:space="0" w:color="auto"/>
              <w:right w:val="single" w:sz="4" w:space="0" w:color="auto"/>
            </w:tcBorders>
            <w:shd w:val="clear" w:color="auto" w:fill="auto"/>
            <w:noWrap/>
            <w:vAlign w:val="center"/>
            <w:hideMark/>
          </w:tcPr>
          <w:p w14:paraId="47DD629C" w14:textId="77777777" w:rsidR="00CA32C6" w:rsidRPr="00CA32C6" w:rsidRDefault="00CA32C6" w:rsidP="00CA32C6">
            <w:pPr>
              <w:jc w:val="right"/>
              <w:rPr>
                <w:rFonts w:ascii="Arial Narrow" w:hAnsi="Arial Narrow" w:cs="Calibri"/>
                <w:sz w:val="18"/>
                <w:szCs w:val="18"/>
                <w:lang w:val="bg-BG"/>
              </w:rPr>
            </w:pPr>
            <w:r w:rsidRPr="00CA32C6">
              <w:rPr>
                <w:rFonts w:ascii="Arial Narrow" w:hAnsi="Arial Narrow" w:cs="Calibri"/>
                <w:sz w:val="18"/>
                <w:szCs w:val="18"/>
                <w:lang w:val="bg-BG"/>
              </w:rPr>
              <w:t>446</w:t>
            </w:r>
          </w:p>
        </w:tc>
        <w:tc>
          <w:tcPr>
            <w:tcW w:w="761" w:type="dxa"/>
            <w:tcBorders>
              <w:top w:val="nil"/>
              <w:left w:val="nil"/>
              <w:bottom w:val="single" w:sz="4" w:space="0" w:color="auto"/>
              <w:right w:val="single" w:sz="4" w:space="0" w:color="auto"/>
            </w:tcBorders>
            <w:shd w:val="clear" w:color="auto" w:fill="auto"/>
            <w:noWrap/>
            <w:vAlign w:val="center"/>
            <w:hideMark/>
          </w:tcPr>
          <w:p w14:paraId="131CD663" w14:textId="77777777" w:rsidR="00CA32C6" w:rsidRPr="00CA32C6" w:rsidRDefault="00CA32C6" w:rsidP="00CA32C6">
            <w:pPr>
              <w:jc w:val="right"/>
              <w:rPr>
                <w:rFonts w:ascii="Arial Narrow" w:hAnsi="Arial Narrow" w:cs="Calibri"/>
                <w:sz w:val="18"/>
                <w:szCs w:val="18"/>
                <w:lang w:val="bg-BG"/>
              </w:rPr>
            </w:pPr>
            <w:r w:rsidRPr="00CA32C6">
              <w:rPr>
                <w:rFonts w:ascii="Arial Narrow" w:hAnsi="Arial Narrow" w:cs="Calibri"/>
                <w:sz w:val="18"/>
                <w:szCs w:val="18"/>
                <w:lang w:val="bg-BG"/>
              </w:rPr>
              <w:t>661</w:t>
            </w:r>
          </w:p>
        </w:tc>
        <w:tc>
          <w:tcPr>
            <w:tcW w:w="761" w:type="dxa"/>
            <w:tcBorders>
              <w:top w:val="nil"/>
              <w:left w:val="nil"/>
              <w:bottom w:val="single" w:sz="4" w:space="0" w:color="auto"/>
              <w:right w:val="single" w:sz="4" w:space="0" w:color="auto"/>
            </w:tcBorders>
            <w:shd w:val="clear" w:color="auto" w:fill="auto"/>
            <w:noWrap/>
            <w:vAlign w:val="center"/>
            <w:hideMark/>
          </w:tcPr>
          <w:p w14:paraId="54595407" w14:textId="77777777" w:rsidR="00CA32C6" w:rsidRPr="00CA32C6" w:rsidRDefault="00CA32C6" w:rsidP="00CA32C6">
            <w:pPr>
              <w:jc w:val="right"/>
              <w:rPr>
                <w:rFonts w:ascii="Arial Narrow" w:hAnsi="Arial Narrow" w:cs="Calibri"/>
                <w:sz w:val="18"/>
                <w:szCs w:val="18"/>
                <w:lang w:val="bg-BG"/>
              </w:rPr>
            </w:pPr>
            <w:r w:rsidRPr="00CA32C6">
              <w:rPr>
                <w:rFonts w:ascii="Arial Narrow" w:hAnsi="Arial Narrow" w:cs="Calibri"/>
                <w:sz w:val="18"/>
                <w:szCs w:val="18"/>
                <w:lang w:val="bg-BG"/>
              </w:rPr>
              <w:t>-</w:t>
            </w:r>
          </w:p>
        </w:tc>
        <w:tc>
          <w:tcPr>
            <w:tcW w:w="761" w:type="dxa"/>
            <w:tcBorders>
              <w:top w:val="nil"/>
              <w:left w:val="nil"/>
              <w:bottom w:val="single" w:sz="4" w:space="0" w:color="auto"/>
              <w:right w:val="single" w:sz="4" w:space="0" w:color="auto"/>
            </w:tcBorders>
            <w:shd w:val="clear" w:color="auto" w:fill="auto"/>
            <w:noWrap/>
            <w:vAlign w:val="center"/>
            <w:hideMark/>
          </w:tcPr>
          <w:p w14:paraId="01F97600" w14:textId="77777777" w:rsidR="00CA32C6" w:rsidRPr="00CA32C6" w:rsidRDefault="00CA32C6" w:rsidP="00CA32C6">
            <w:pPr>
              <w:jc w:val="right"/>
              <w:rPr>
                <w:rFonts w:ascii="Arial Narrow" w:hAnsi="Arial Narrow" w:cs="Calibri"/>
                <w:sz w:val="18"/>
                <w:szCs w:val="18"/>
                <w:lang w:val="bg-BG"/>
              </w:rPr>
            </w:pPr>
            <w:r w:rsidRPr="00CA32C6">
              <w:rPr>
                <w:rFonts w:ascii="Arial Narrow" w:hAnsi="Arial Narrow" w:cs="Calibri"/>
                <w:sz w:val="18"/>
                <w:szCs w:val="18"/>
                <w:lang w:val="bg-BG"/>
              </w:rPr>
              <w:t>-</w:t>
            </w:r>
          </w:p>
        </w:tc>
        <w:tc>
          <w:tcPr>
            <w:tcW w:w="761" w:type="dxa"/>
            <w:tcBorders>
              <w:top w:val="nil"/>
              <w:left w:val="nil"/>
              <w:bottom w:val="single" w:sz="4" w:space="0" w:color="auto"/>
              <w:right w:val="single" w:sz="4" w:space="0" w:color="auto"/>
            </w:tcBorders>
            <w:shd w:val="clear" w:color="auto" w:fill="auto"/>
            <w:noWrap/>
            <w:vAlign w:val="center"/>
            <w:hideMark/>
          </w:tcPr>
          <w:p w14:paraId="5A308F3A" w14:textId="77777777" w:rsidR="00CA32C6" w:rsidRPr="00CA32C6" w:rsidRDefault="00CA32C6" w:rsidP="00CA32C6">
            <w:pPr>
              <w:jc w:val="right"/>
              <w:rPr>
                <w:rFonts w:ascii="Arial Narrow" w:hAnsi="Arial Narrow" w:cs="Calibri"/>
                <w:sz w:val="18"/>
                <w:szCs w:val="18"/>
                <w:lang w:val="bg-BG"/>
              </w:rPr>
            </w:pPr>
            <w:r w:rsidRPr="00CA32C6">
              <w:rPr>
                <w:rFonts w:ascii="Arial Narrow" w:hAnsi="Arial Narrow" w:cs="Calibri"/>
                <w:sz w:val="18"/>
                <w:szCs w:val="18"/>
                <w:lang w:val="bg-BG"/>
              </w:rPr>
              <w:t>9 707</w:t>
            </w:r>
          </w:p>
        </w:tc>
        <w:tc>
          <w:tcPr>
            <w:tcW w:w="761" w:type="dxa"/>
            <w:tcBorders>
              <w:top w:val="nil"/>
              <w:left w:val="nil"/>
              <w:bottom w:val="single" w:sz="4" w:space="0" w:color="auto"/>
              <w:right w:val="single" w:sz="4" w:space="0" w:color="auto"/>
            </w:tcBorders>
            <w:shd w:val="clear" w:color="auto" w:fill="auto"/>
            <w:noWrap/>
            <w:vAlign w:val="center"/>
            <w:hideMark/>
          </w:tcPr>
          <w:p w14:paraId="13F38AE1" w14:textId="77777777" w:rsidR="00CA32C6" w:rsidRPr="00CA32C6" w:rsidRDefault="00CA32C6" w:rsidP="00CA32C6">
            <w:pPr>
              <w:jc w:val="right"/>
              <w:rPr>
                <w:rFonts w:ascii="Arial Narrow" w:hAnsi="Arial Narrow" w:cs="Calibri"/>
                <w:sz w:val="18"/>
                <w:szCs w:val="18"/>
                <w:lang w:val="bg-BG"/>
              </w:rPr>
            </w:pPr>
            <w:r w:rsidRPr="00CA32C6">
              <w:rPr>
                <w:rFonts w:ascii="Arial Narrow" w:hAnsi="Arial Narrow" w:cs="Calibri"/>
                <w:sz w:val="18"/>
                <w:szCs w:val="18"/>
                <w:lang w:val="bg-BG"/>
              </w:rPr>
              <w:t>10 196</w:t>
            </w:r>
          </w:p>
        </w:tc>
        <w:tc>
          <w:tcPr>
            <w:tcW w:w="761" w:type="dxa"/>
            <w:tcBorders>
              <w:top w:val="nil"/>
              <w:left w:val="nil"/>
              <w:bottom w:val="single" w:sz="4" w:space="0" w:color="auto"/>
              <w:right w:val="single" w:sz="4" w:space="0" w:color="auto"/>
            </w:tcBorders>
            <w:shd w:val="clear" w:color="auto" w:fill="auto"/>
            <w:noWrap/>
            <w:vAlign w:val="center"/>
            <w:hideMark/>
          </w:tcPr>
          <w:p w14:paraId="012385F3" w14:textId="77777777" w:rsidR="00CA32C6" w:rsidRPr="00CA32C6" w:rsidRDefault="00CA32C6" w:rsidP="00CA32C6">
            <w:pPr>
              <w:jc w:val="right"/>
              <w:rPr>
                <w:rFonts w:ascii="Arial Narrow" w:hAnsi="Arial Narrow" w:cs="Calibri"/>
                <w:sz w:val="18"/>
                <w:szCs w:val="18"/>
                <w:lang w:val="bg-BG"/>
              </w:rPr>
            </w:pPr>
            <w:r w:rsidRPr="00CA32C6">
              <w:rPr>
                <w:rFonts w:ascii="Arial Narrow" w:hAnsi="Arial Narrow" w:cs="Calibri"/>
                <w:sz w:val="18"/>
                <w:szCs w:val="18"/>
                <w:lang w:val="bg-BG"/>
              </w:rPr>
              <w:t>-</w:t>
            </w:r>
          </w:p>
        </w:tc>
        <w:tc>
          <w:tcPr>
            <w:tcW w:w="761" w:type="dxa"/>
            <w:tcBorders>
              <w:top w:val="nil"/>
              <w:left w:val="nil"/>
              <w:bottom w:val="single" w:sz="4" w:space="0" w:color="auto"/>
              <w:right w:val="single" w:sz="4" w:space="0" w:color="auto"/>
            </w:tcBorders>
            <w:shd w:val="clear" w:color="auto" w:fill="auto"/>
            <w:noWrap/>
            <w:vAlign w:val="center"/>
            <w:hideMark/>
          </w:tcPr>
          <w:p w14:paraId="4AD67532" w14:textId="77777777" w:rsidR="00CA32C6" w:rsidRPr="00CA32C6" w:rsidRDefault="00CA32C6" w:rsidP="00CA32C6">
            <w:pPr>
              <w:jc w:val="right"/>
              <w:rPr>
                <w:rFonts w:ascii="Arial Narrow" w:hAnsi="Arial Narrow" w:cs="Calibri"/>
                <w:sz w:val="18"/>
                <w:szCs w:val="18"/>
                <w:lang w:val="bg-BG"/>
              </w:rPr>
            </w:pPr>
            <w:r w:rsidRPr="00CA32C6">
              <w:rPr>
                <w:rFonts w:ascii="Arial Narrow" w:hAnsi="Arial Narrow" w:cs="Calibri"/>
                <w:sz w:val="18"/>
                <w:szCs w:val="18"/>
                <w:lang w:val="bg-BG"/>
              </w:rPr>
              <w:t>-</w:t>
            </w:r>
          </w:p>
        </w:tc>
        <w:tc>
          <w:tcPr>
            <w:tcW w:w="761" w:type="dxa"/>
            <w:tcBorders>
              <w:top w:val="nil"/>
              <w:left w:val="nil"/>
              <w:bottom w:val="single" w:sz="4" w:space="0" w:color="auto"/>
              <w:right w:val="single" w:sz="4" w:space="0" w:color="auto"/>
            </w:tcBorders>
            <w:shd w:val="clear" w:color="auto" w:fill="auto"/>
            <w:noWrap/>
            <w:vAlign w:val="center"/>
            <w:hideMark/>
          </w:tcPr>
          <w:p w14:paraId="205AE8AB" w14:textId="77777777" w:rsidR="00CA32C6" w:rsidRPr="00CA32C6" w:rsidRDefault="00CA32C6" w:rsidP="00CA32C6">
            <w:pPr>
              <w:jc w:val="right"/>
              <w:rPr>
                <w:rFonts w:ascii="Arial Narrow" w:hAnsi="Arial Narrow" w:cs="Calibri"/>
                <w:sz w:val="18"/>
                <w:szCs w:val="18"/>
                <w:lang w:val="bg-BG"/>
              </w:rPr>
            </w:pPr>
            <w:r w:rsidRPr="00CA32C6">
              <w:rPr>
                <w:rFonts w:ascii="Arial Narrow" w:hAnsi="Arial Narrow" w:cs="Calibri"/>
                <w:sz w:val="18"/>
                <w:szCs w:val="18"/>
                <w:lang w:val="bg-BG"/>
              </w:rPr>
              <w:t>9 707</w:t>
            </w:r>
          </w:p>
        </w:tc>
        <w:tc>
          <w:tcPr>
            <w:tcW w:w="761" w:type="dxa"/>
            <w:tcBorders>
              <w:top w:val="nil"/>
              <w:left w:val="nil"/>
              <w:bottom w:val="single" w:sz="4" w:space="0" w:color="auto"/>
              <w:right w:val="single" w:sz="4" w:space="0" w:color="auto"/>
            </w:tcBorders>
            <w:shd w:val="clear" w:color="auto" w:fill="auto"/>
            <w:noWrap/>
            <w:vAlign w:val="center"/>
            <w:hideMark/>
          </w:tcPr>
          <w:p w14:paraId="5A9C9D78" w14:textId="77777777" w:rsidR="00CA32C6" w:rsidRPr="00CA32C6" w:rsidRDefault="00CA32C6" w:rsidP="00CA32C6">
            <w:pPr>
              <w:jc w:val="right"/>
              <w:rPr>
                <w:rFonts w:ascii="Arial Narrow" w:hAnsi="Arial Narrow" w:cs="Calibri"/>
                <w:sz w:val="18"/>
                <w:szCs w:val="18"/>
                <w:lang w:val="bg-BG"/>
              </w:rPr>
            </w:pPr>
            <w:r w:rsidRPr="00CA32C6">
              <w:rPr>
                <w:rFonts w:ascii="Arial Narrow" w:hAnsi="Arial Narrow" w:cs="Calibri"/>
                <w:sz w:val="18"/>
                <w:szCs w:val="18"/>
                <w:lang w:val="bg-BG"/>
              </w:rPr>
              <w:t>10 196</w:t>
            </w:r>
          </w:p>
        </w:tc>
        <w:tc>
          <w:tcPr>
            <w:tcW w:w="915" w:type="dxa"/>
            <w:tcBorders>
              <w:top w:val="nil"/>
              <w:left w:val="nil"/>
              <w:bottom w:val="single" w:sz="4" w:space="0" w:color="auto"/>
              <w:right w:val="single" w:sz="4" w:space="0" w:color="auto"/>
            </w:tcBorders>
            <w:shd w:val="clear" w:color="auto" w:fill="auto"/>
            <w:noWrap/>
            <w:vAlign w:val="center"/>
            <w:hideMark/>
          </w:tcPr>
          <w:p w14:paraId="4551EB05" w14:textId="77777777" w:rsidR="00CA32C6" w:rsidRPr="00CA32C6" w:rsidRDefault="00CA32C6" w:rsidP="00CA32C6">
            <w:pPr>
              <w:jc w:val="right"/>
              <w:rPr>
                <w:rFonts w:ascii="Arial Narrow" w:hAnsi="Arial Narrow" w:cs="Calibri"/>
                <w:sz w:val="18"/>
                <w:szCs w:val="18"/>
                <w:lang w:val="bg-BG"/>
              </w:rPr>
            </w:pPr>
            <w:r w:rsidRPr="00CA32C6">
              <w:rPr>
                <w:rFonts w:ascii="Arial Narrow" w:hAnsi="Arial Narrow" w:cs="Calibri"/>
                <w:sz w:val="18"/>
                <w:szCs w:val="18"/>
                <w:lang w:val="bg-BG"/>
              </w:rPr>
              <w:t>5,0%</w:t>
            </w:r>
          </w:p>
        </w:tc>
        <w:tc>
          <w:tcPr>
            <w:tcW w:w="680" w:type="dxa"/>
            <w:tcBorders>
              <w:top w:val="nil"/>
              <w:left w:val="nil"/>
              <w:bottom w:val="single" w:sz="4" w:space="0" w:color="auto"/>
              <w:right w:val="single" w:sz="4" w:space="0" w:color="auto"/>
            </w:tcBorders>
            <w:shd w:val="clear" w:color="auto" w:fill="auto"/>
            <w:noWrap/>
            <w:vAlign w:val="center"/>
            <w:hideMark/>
          </w:tcPr>
          <w:p w14:paraId="72B20444" w14:textId="77777777" w:rsidR="00CA32C6" w:rsidRPr="00CA32C6" w:rsidRDefault="00CA32C6" w:rsidP="00CA32C6">
            <w:pPr>
              <w:jc w:val="right"/>
              <w:rPr>
                <w:rFonts w:ascii="Arial Narrow" w:hAnsi="Arial Narrow" w:cs="Calibri"/>
                <w:sz w:val="18"/>
                <w:szCs w:val="18"/>
                <w:lang w:val="bg-BG"/>
              </w:rPr>
            </w:pPr>
            <w:r w:rsidRPr="00CA32C6">
              <w:rPr>
                <w:rFonts w:ascii="Arial Narrow" w:hAnsi="Arial Narrow" w:cs="Calibri"/>
                <w:sz w:val="18"/>
                <w:szCs w:val="18"/>
                <w:lang w:val="bg-BG"/>
              </w:rPr>
              <w:t>21 765</w:t>
            </w:r>
          </w:p>
        </w:tc>
        <w:tc>
          <w:tcPr>
            <w:tcW w:w="680" w:type="dxa"/>
            <w:tcBorders>
              <w:top w:val="nil"/>
              <w:left w:val="nil"/>
              <w:bottom w:val="single" w:sz="4" w:space="0" w:color="auto"/>
              <w:right w:val="single" w:sz="4" w:space="0" w:color="auto"/>
            </w:tcBorders>
            <w:shd w:val="clear" w:color="auto" w:fill="auto"/>
            <w:noWrap/>
            <w:vAlign w:val="center"/>
            <w:hideMark/>
          </w:tcPr>
          <w:p w14:paraId="325AA2A9" w14:textId="77777777" w:rsidR="00CA32C6" w:rsidRPr="00CA32C6" w:rsidRDefault="00CA32C6" w:rsidP="00CA32C6">
            <w:pPr>
              <w:jc w:val="right"/>
              <w:rPr>
                <w:rFonts w:ascii="Arial Narrow" w:hAnsi="Arial Narrow" w:cs="Calibri"/>
                <w:sz w:val="18"/>
                <w:szCs w:val="18"/>
                <w:lang w:val="bg-BG"/>
              </w:rPr>
            </w:pPr>
            <w:r w:rsidRPr="00CA32C6">
              <w:rPr>
                <w:rFonts w:ascii="Arial Narrow" w:hAnsi="Arial Narrow" w:cs="Calibri"/>
                <w:sz w:val="18"/>
                <w:szCs w:val="18"/>
                <w:lang w:val="bg-BG"/>
              </w:rPr>
              <w:t>15 425</w:t>
            </w:r>
          </w:p>
        </w:tc>
      </w:tr>
      <w:tr w:rsidR="00CA32C6" w:rsidRPr="00CA32C6" w14:paraId="06A769B8" w14:textId="77777777" w:rsidTr="009C6577">
        <w:trPr>
          <w:trHeight w:val="287"/>
          <w:jc w:val="center"/>
        </w:trPr>
        <w:tc>
          <w:tcPr>
            <w:tcW w:w="1367" w:type="dxa"/>
            <w:tcBorders>
              <w:top w:val="nil"/>
              <w:left w:val="single" w:sz="4" w:space="0" w:color="auto"/>
              <w:bottom w:val="single" w:sz="4" w:space="0" w:color="auto"/>
              <w:right w:val="single" w:sz="4" w:space="0" w:color="auto"/>
            </w:tcBorders>
            <w:shd w:val="clear" w:color="auto" w:fill="auto"/>
            <w:vAlign w:val="center"/>
            <w:hideMark/>
          </w:tcPr>
          <w:p w14:paraId="6F99C62E" w14:textId="77777777" w:rsidR="00CA32C6" w:rsidRPr="00CA32C6" w:rsidRDefault="00CA32C6" w:rsidP="00CA32C6">
            <w:pPr>
              <w:rPr>
                <w:rFonts w:ascii="Arial Narrow" w:hAnsi="Arial Narrow" w:cs="Calibri"/>
                <w:sz w:val="18"/>
                <w:szCs w:val="18"/>
                <w:lang w:val="bg-BG"/>
              </w:rPr>
            </w:pPr>
            <w:r w:rsidRPr="00CA32C6">
              <w:rPr>
                <w:rFonts w:ascii="Arial Narrow" w:hAnsi="Arial Narrow" w:cs="Calibri"/>
                <w:sz w:val="18"/>
                <w:szCs w:val="18"/>
                <w:lang w:val="bg-BG"/>
              </w:rPr>
              <w:t>Чесън – зрял</w:t>
            </w:r>
          </w:p>
        </w:tc>
        <w:tc>
          <w:tcPr>
            <w:tcW w:w="761" w:type="dxa"/>
            <w:tcBorders>
              <w:top w:val="nil"/>
              <w:left w:val="nil"/>
              <w:bottom w:val="single" w:sz="4" w:space="0" w:color="auto"/>
              <w:right w:val="single" w:sz="4" w:space="0" w:color="auto"/>
            </w:tcBorders>
            <w:shd w:val="clear" w:color="auto" w:fill="auto"/>
            <w:noWrap/>
            <w:vAlign w:val="center"/>
            <w:hideMark/>
          </w:tcPr>
          <w:p w14:paraId="7954B7F0" w14:textId="77777777" w:rsidR="00CA32C6" w:rsidRPr="00CA32C6" w:rsidRDefault="00CA32C6" w:rsidP="00CA32C6">
            <w:pPr>
              <w:jc w:val="right"/>
              <w:rPr>
                <w:rFonts w:ascii="Arial Narrow" w:hAnsi="Arial Narrow" w:cs="Calibri"/>
                <w:sz w:val="18"/>
                <w:szCs w:val="18"/>
                <w:lang w:val="bg-BG"/>
              </w:rPr>
            </w:pPr>
            <w:r w:rsidRPr="00CA32C6">
              <w:rPr>
                <w:rFonts w:ascii="Arial Narrow" w:hAnsi="Arial Narrow" w:cs="Calibri"/>
                <w:sz w:val="18"/>
                <w:szCs w:val="18"/>
                <w:lang w:val="bg-BG"/>
              </w:rPr>
              <w:t>266</w:t>
            </w:r>
          </w:p>
        </w:tc>
        <w:tc>
          <w:tcPr>
            <w:tcW w:w="761" w:type="dxa"/>
            <w:tcBorders>
              <w:top w:val="nil"/>
              <w:left w:val="nil"/>
              <w:bottom w:val="single" w:sz="4" w:space="0" w:color="auto"/>
              <w:right w:val="single" w:sz="4" w:space="0" w:color="auto"/>
            </w:tcBorders>
            <w:shd w:val="clear" w:color="auto" w:fill="auto"/>
            <w:noWrap/>
            <w:vAlign w:val="center"/>
            <w:hideMark/>
          </w:tcPr>
          <w:p w14:paraId="42215B50" w14:textId="77777777" w:rsidR="00CA32C6" w:rsidRPr="00CA32C6" w:rsidRDefault="00CA32C6" w:rsidP="00CA32C6">
            <w:pPr>
              <w:jc w:val="right"/>
              <w:rPr>
                <w:rFonts w:ascii="Arial Narrow" w:hAnsi="Arial Narrow" w:cs="Calibri"/>
                <w:sz w:val="18"/>
                <w:szCs w:val="18"/>
                <w:lang w:val="bg-BG"/>
              </w:rPr>
            </w:pPr>
            <w:r w:rsidRPr="00CA32C6">
              <w:rPr>
                <w:rFonts w:ascii="Arial Narrow" w:hAnsi="Arial Narrow" w:cs="Calibri"/>
                <w:sz w:val="18"/>
                <w:szCs w:val="18"/>
                <w:lang w:val="bg-BG"/>
              </w:rPr>
              <w:t>273</w:t>
            </w:r>
          </w:p>
        </w:tc>
        <w:tc>
          <w:tcPr>
            <w:tcW w:w="761" w:type="dxa"/>
            <w:tcBorders>
              <w:top w:val="nil"/>
              <w:left w:val="nil"/>
              <w:bottom w:val="single" w:sz="4" w:space="0" w:color="auto"/>
              <w:right w:val="single" w:sz="4" w:space="0" w:color="auto"/>
            </w:tcBorders>
            <w:shd w:val="clear" w:color="auto" w:fill="auto"/>
            <w:noWrap/>
            <w:vAlign w:val="center"/>
            <w:hideMark/>
          </w:tcPr>
          <w:p w14:paraId="14B8DFE9" w14:textId="77777777" w:rsidR="00CA32C6" w:rsidRPr="00CA32C6" w:rsidRDefault="00CA32C6" w:rsidP="00CA32C6">
            <w:pPr>
              <w:jc w:val="right"/>
              <w:rPr>
                <w:rFonts w:ascii="Arial Narrow" w:hAnsi="Arial Narrow" w:cs="Calibri"/>
                <w:sz w:val="18"/>
                <w:szCs w:val="18"/>
                <w:lang w:val="bg-BG"/>
              </w:rPr>
            </w:pPr>
            <w:r w:rsidRPr="00CA32C6">
              <w:rPr>
                <w:rFonts w:ascii="Arial Narrow" w:hAnsi="Arial Narrow" w:cs="Calibri"/>
                <w:sz w:val="18"/>
                <w:szCs w:val="18"/>
                <w:lang w:val="bg-BG"/>
              </w:rPr>
              <w:t>-</w:t>
            </w:r>
          </w:p>
        </w:tc>
        <w:tc>
          <w:tcPr>
            <w:tcW w:w="761" w:type="dxa"/>
            <w:tcBorders>
              <w:top w:val="nil"/>
              <w:left w:val="nil"/>
              <w:bottom w:val="single" w:sz="4" w:space="0" w:color="auto"/>
              <w:right w:val="single" w:sz="4" w:space="0" w:color="auto"/>
            </w:tcBorders>
            <w:shd w:val="clear" w:color="auto" w:fill="auto"/>
            <w:noWrap/>
            <w:vAlign w:val="center"/>
            <w:hideMark/>
          </w:tcPr>
          <w:p w14:paraId="1372AAF0" w14:textId="77777777" w:rsidR="00CA32C6" w:rsidRPr="00CA32C6" w:rsidRDefault="00CA32C6" w:rsidP="00CA32C6">
            <w:pPr>
              <w:jc w:val="right"/>
              <w:rPr>
                <w:rFonts w:ascii="Arial Narrow" w:hAnsi="Arial Narrow" w:cs="Calibri"/>
                <w:sz w:val="18"/>
                <w:szCs w:val="18"/>
                <w:lang w:val="bg-BG"/>
              </w:rPr>
            </w:pPr>
            <w:r w:rsidRPr="00CA32C6">
              <w:rPr>
                <w:rFonts w:ascii="Arial Narrow" w:hAnsi="Arial Narrow" w:cs="Calibri"/>
                <w:sz w:val="18"/>
                <w:szCs w:val="18"/>
                <w:lang w:val="bg-BG"/>
              </w:rPr>
              <w:t>-</w:t>
            </w:r>
          </w:p>
        </w:tc>
        <w:tc>
          <w:tcPr>
            <w:tcW w:w="761" w:type="dxa"/>
            <w:tcBorders>
              <w:top w:val="nil"/>
              <w:left w:val="nil"/>
              <w:bottom w:val="single" w:sz="4" w:space="0" w:color="auto"/>
              <w:right w:val="single" w:sz="4" w:space="0" w:color="auto"/>
            </w:tcBorders>
            <w:shd w:val="clear" w:color="auto" w:fill="auto"/>
            <w:noWrap/>
            <w:vAlign w:val="center"/>
            <w:hideMark/>
          </w:tcPr>
          <w:p w14:paraId="311482FE" w14:textId="77777777" w:rsidR="00CA32C6" w:rsidRPr="00CA32C6" w:rsidRDefault="00CA32C6" w:rsidP="00CA32C6">
            <w:pPr>
              <w:jc w:val="right"/>
              <w:rPr>
                <w:rFonts w:ascii="Arial Narrow" w:hAnsi="Arial Narrow" w:cs="Calibri"/>
                <w:sz w:val="18"/>
                <w:szCs w:val="18"/>
                <w:lang w:val="bg-BG"/>
              </w:rPr>
            </w:pPr>
            <w:r w:rsidRPr="00CA32C6">
              <w:rPr>
                <w:rFonts w:ascii="Arial Narrow" w:hAnsi="Arial Narrow" w:cs="Calibri"/>
                <w:sz w:val="18"/>
                <w:szCs w:val="18"/>
                <w:lang w:val="bg-BG"/>
              </w:rPr>
              <w:t>1 073</w:t>
            </w:r>
          </w:p>
        </w:tc>
        <w:tc>
          <w:tcPr>
            <w:tcW w:w="761" w:type="dxa"/>
            <w:tcBorders>
              <w:top w:val="nil"/>
              <w:left w:val="nil"/>
              <w:bottom w:val="single" w:sz="4" w:space="0" w:color="auto"/>
              <w:right w:val="single" w:sz="4" w:space="0" w:color="auto"/>
            </w:tcBorders>
            <w:shd w:val="clear" w:color="auto" w:fill="auto"/>
            <w:noWrap/>
            <w:vAlign w:val="center"/>
            <w:hideMark/>
          </w:tcPr>
          <w:p w14:paraId="7AF220E3" w14:textId="77777777" w:rsidR="00CA32C6" w:rsidRPr="00CA32C6" w:rsidRDefault="00CA32C6" w:rsidP="00CA32C6">
            <w:pPr>
              <w:jc w:val="right"/>
              <w:rPr>
                <w:rFonts w:ascii="Arial Narrow" w:hAnsi="Arial Narrow" w:cs="Calibri"/>
                <w:sz w:val="18"/>
                <w:szCs w:val="18"/>
                <w:lang w:val="bg-BG"/>
              </w:rPr>
            </w:pPr>
            <w:r w:rsidRPr="00CA32C6">
              <w:rPr>
                <w:rFonts w:ascii="Arial Narrow" w:hAnsi="Arial Narrow" w:cs="Calibri"/>
                <w:sz w:val="18"/>
                <w:szCs w:val="18"/>
                <w:lang w:val="bg-BG"/>
              </w:rPr>
              <w:t>781</w:t>
            </w:r>
          </w:p>
        </w:tc>
        <w:tc>
          <w:tcPr>
            <w:tcW w:w="761" w:type="dxa"/>
            <w:tcBorders>
              <w:top w:val="nil"/>
              <w:left w:val="nil"/>
              <w:bottom w:val="single" w:sz="4" w:space="0" w:color="auto"/>
              <w:right w:val="single" w:sz="4" w:space="0" w:color="auto"/>
            </w:tcBorders>
            <w:shd w:val="clear" w:color="auto" w:fill="auto"/>
            <w:noWrap/>
            <w:vAlign w:val="center"/>
            <w:hideMark/>
          </w:tcPr>
          <w:p w14:paraId="35E4A3C5" w14:textId="77777777" w:rsidR="00CA32C6" w:rsidRPr="00CA32C6" w:rsidRDefault="00CA32C6" w:rsidP="00CA32C6">
            <w:pPr>
              <w:jc w:val="right"/>
              <w:rPr>
                <w:rFonts w:ascii="Arial Narrow" w:hAnsi="Arial Narrow" w:cs="Calibri"/>
                <w:sz w:val="18"/>
                <w:szCs w:val="18"/>
                <w:lang w:val="bg-BG"/>
              </w:rPr>
            </w:pPr>
            <w:r w:rsidRPr="00CA32C6">
              <w:rPr>
                <w:rFonts w:ascii="Arial Narrow" w:hAnsi="Arial Narrow" w:cs="Calibri"/>
                <w:sz w:val="18"/>
                <w:szCs w:val="18"/>
                <w:lang w:val="bg-BG"/>
              </w:rPr>
              <w:t>-</w:t>
            </w:r>
          </w:p>
        </w:tc>
        <w:tc>
          <w:tcPr>
            <w:tcW w:w="761" w:type="dxa"/>
            <w:tcBorders>
              <w:top w:val="nil"/>
              <w:left w:val="nil"/>
              <w:bottom w:val="single" w:sz="4" w:space="0" w:color="auto"/>
              <w:right w:val="single" w:sz="4" w:space="0" w:color="auto"/>
            </w:tcBorders>
            <w:shd w:val="clear" w:color="auto" w:fill="auto"/>
            <w:noWrap/>
            <w:vAlign w:val="center"/>
            <w:hideMark/>
          </w:tcPr>
          <w:p w14:paraId="1F6B876C" w14:textId="77777777" w:rsidR="00CA32C6" w:rsidRPr="00CA32C6" w:rsidRDefault="00CA32C6" w:rsidP="00CA32C6">
            <w:pPr>
              <w:jc w:val="right"/>
              <w:rPr>
                <w:rFonts w:ascii="Arial Narrow" w:hAnsi="Arial Narrow" w:cs="Calibri"/>
                <w:sz w:val="18"/>
                <w:szCs w:val="18"/>
                <w:lang w:val="bg-BG"/>
              </w:rPr>
            </w:pPr>
            <w:r w:rsidRPr="00CA32C6">
              <w:rPr>
                <w:rFonts w:ascii="Arial Narrow" w:hAnsi="Arial Narrow" w:cs="Calibri"/>
                <w:sz w:val="18"/>
                <w:szCs w:val="18"/>
                <w:lang w:val="bg-BG"/>
              </w:rPr>
              <w:t>-</w:t>
            </w:r>
          </w:p>
        </w:tc>
        <w:tc>
          <w:tcPr>
            <w:tcW w:w="761" w:type="dxa"/>
            <w:tcBorders>
              <w:top w:val="nil"/>
              <w:left w:val="nil"/>
              <w:bottom w:val="single" w:sz="4" w:space="0" w:color="auto"/>
              <w:right w:val="single" w:sz="4" w:space="0" w:color="auto"/>
            </w:tcBorders>
            <w:shd w:val="clear" w:color="auto" w:fill="auto"/>
            <w:noWrap/>
            <w:vAlign w:val="center"/>
            <w:hideMark/>
          </w:tcPr>
          <w:p w14:paraId="7B36FF51" w14:textId="77777777" w:rsidR="00CA32C6" w:rsidRPr="00CA32C6" w:rsidRDefault="00CA32C6" w:rsidP="00CA32C6">
            <w:pPr>
              <w:jc w:val="right"/>
              <w:rPr>
                <w:rFonts w:ascii="Arial Narrow" w:hAnsi="Arial Narrow" w:cs="Calibri"/>
                <w:sz w:val="18"/>
                <w:szCs w:val="18"/>
                <w:lang w:val="bg-BG"/>
              </w:rPr>
            </w:pPr>
            <w:r w:rsidRPr="00CA32C6">
              <w:rPr>
                <w:rFonts w:ascii="Arial Narrow" w:hAnsi="Arial Narrow" w:cs="Calibri"/>
                <w:sz w:val="18"/>
                <w:szCs w:val="18"/>
                <w:lang w:val="bg-BG"/>
              </w:rPr>
              <w:t>1 073</w:t>
            </w:r>
          </w:p>
        </w:tc>
        <w:tc>
          <w:tcPr>
            <w:tcW w:w="761" w:type="dxa"/>
            <w:tcBorders>
              <w:top w:val="nil"/>
              <w:left w:val="nil"/>
              <w:bottom w:val="single" w:sz="4" w:space="0" w:color="auto"/>
              <w:right w:val="single" w:sz="4" w:space="0" w:color="auto"/>
            </w:tcBorders>
            <w:shd w:val="clear" w:color="auto" w:fill="auto"/>
            <w:noWrap/>
            <w:vAlign w:val="center"/>
            <w:hideMark/>
          </w:tcPr>
          <w:p w14:paraId="07EDB267" w14:textId="77777777" w:rsidR="00CA32C6" w:rsidRPr="00CA32C6" w:rsidRDefault="00CA32C6" w:rsidP="00CA32C6">
            <w:pPr>
              <w:jc w:val="right"/>
              <w:rPr>
                <w:rFonts w:ascii="Arial Narrow" w:hAnsi="Arial Narrow" w:cs="Calibri"/>
                <w:sz w:val="18"/>
                <w:szCs w:val="18"/>
                <w:lang w:val="bg-BG"/>
              </w:rPr>
            </w:pPr>
            <w:r w:rsidRPr="00CA32C6">
              <w:rPr>
                <w:rFonts w:ascii="Arial Narrow" w:hAnsi="Arial Narrow" w:cs="Calibri"/>
                <w:sz w:val="18"/>
                <w:szCs w:val="18"/>
                <w:lang w:val="bg-BG"/>
              </w:rPr>
              <w:t>781</w:t>
            </w:r>
          </w:p>
        </w:tc>
        <w:tc>
          <w:tcPr>
            <w:tcW w:w="915" w:type="dxa"/>
            <w:tcBorders>
              <w:top w:val="nil"/>
              <w:left w:val="nil"/>
              <w:bottom w:val="single" w:sz="4" w:space="0" w:color="auto"/>
              <w:right w:val="single" w:sz="4" w:space="0" w:color="auto"/>
            </w:tcBorders>
            <w:shd w:val="clear" w:color="auto" w:fill="auto"/>
            <w:noWrap/>
            <w:vAlign w:val="center"/>
            <w:hideMark/>
          </w:tcPr>
          <w:p w14:paraId="44E1C327" w14:textId="77777777" w:rsidR="00CA32C6" w:rsidRPr="00CA32C6" w:rsidRDefault="00CA32C6" w:rsidP="00CA32C6">
            <w:pPr>
              <w:jc w:val="right"/>
              <w:rPr>
                <w:rFonts w:ascii="Arial Narrow" w:hAnsi="Arial Narrow" w:cs="Calibri"/>
                <w:sz w:val="18"/>
                <w:szCs w:val="18"/>
                <w:lang w:val="bg-BG"/>
              </w:rPr>
            </w:pPr>
            <w:r w:rsidRPr="00CA32C6">
              <w:rPr>
                <w:rFonts w:ascii="Arial Narrow" w:hAnsi="Arial Narrow" w:cs="Calibri"/>
                <w:sz w:val="18"/>
                <w:szCs w:val="18"/>
                <w:lang w:val="bg-BG"/>
              </w:rPr>
              <w:t>-27,2%</w:t>
            </w:r>
          </w:p>
        </w:tc>
        <w:tc>
          <w:tcPr>
            <w:tcW w:w="680" w:type="dxa"/>
            <w:tcBorders>
              <w:top w:val="nil"/>
              <w:left w:val="nil"/>
              <w:bottom w:val="single" w:sz="4" w:space="0" w:color="auto"/>
              <w:right w:val="single" w:sz="4" w:space="0" w:color="auto"/>
            </w:tcBorders>
            <w:shd w:val="clear" w:color="auto" w:fill="auto"/>
            <w:noWrap/>
            <w:vAlign w:val="center"/>
            <w:hideMark/>
          </w:tcPr>
          <w:p w14:paraId="24088FAD" w14:textId="77777777" w:rsidR="00CA32C6" w:rsidRPr="00CA32C6" w:rsidRDefault="00CA32C6" w:rsidP="00CA32C6">
            <w:pPr>
              <w:jc w:val="right"/>
              <w:rPr>
                <w:rFonts w:ascii="Arial Narrow" w:hAnsi="Arial Narrow" w:cs="Calibri"/>
                <w:sz w:val="18"/>
                <w:szCs w:val="18"/>
                <w:lang w:val="bg-BG"/>
              </w:rPr>
            </w:pPr>
            <w:r w:rsidRPr="00CA32C6">
              <w:rPr>
                <w:rFonts w:ascii="Arial Narrow" w:hAnsi="Arial Narrow" w:cs="Calibri"/>
                <w:sz w:val="18"/>
                <w:szCs w:val="18"/>
                <w:lang w:val="bg-BG"/>
              </w:rPr>
              <w:t>4 034</w:t>
            </w:r>
          </w:p>
        </w:tc>
        <w:tc>
          <w:tcPr>
            <w:tcW w:w="680" w:type="dxa"/>
            <w:tcBorders>
              <w:top w:val="nil"/>
              <w:left w:val="nil"/>
              <w:bottom w:val="single" w:sz="4" w:space="0" w:color="auto"/>
              <w:right w:val="single" w:sz="4" w:space="0" w:color="auto"/>
            </w:tcBorders>
            <w:shd w:val="clear" w:color="auto" w:fill="auto"/>
            <w:noWrap/>
            <w:vAlign w:val="center"/>
            <w:hideMark/>
          </w:tcPr>
          <w:p w14:paraId="777CB7E3" w14:textId="77777777" w:rsidR="00CA32C6" w:rsidRPr="00CA32C6" w:rsidRDefault="00CA32C6" w:rsidP="00CA32C6">
            <w:pPr>
              <w:jc w:val="right"/>
              <w:rPr>
                <w:rFonts w:ascii="Arial Narrow" w:hAnsi="Arial Narrow" w:cs="Calibri"/>
                <w:sz w:val="18"/>
                <w:szCs w:val="18"/>
                <w:lang w:val="bg-BG"/>
              </w:rPr>
            </w:pPr>
            <w:r w:rsidRPr="00CA32C6">
              <w:rPr>
                <w:rFonts w:ascii="Arial Narrow" w:hAnsi="Arial Narrow" w:cs="Calibri"/>
                <w:sz w:val="18"/>
                <w:szCs w:val="18"/>
                <w:lang w:val="bg-BG"/>
              </w:rPr>
              <w:t>2 861</w:t>
            </w:r>
          </w:p>
        </w:tc>
      </w:tr>
      <w:tr w:rsidR="00CA32C6" w:rsidRPr="00CA32C6" w14:paraId="555B1151" w14:textId="77777777" w:rsidTr="009C6577">
        <w:trPr>
          <w:trHeight w:val="1553"/>
          <w:jc w:val="center"/>
        </w:trPr>
        <w:tc>
          <w:tcPr>
            <w:tcW w:w="1367" w:type="dxa"/>
            <w:tcBorders>
              <w:top w:val="nil"/>
              <w:left w:val="single" w:sz="4" w:space="0" w:color="auto"/>
              <w:bottom w:val="single" w:sz="4" w:space="0" w:color="auto"/>
              <w:right w:val="single" w:sz="4" w:space="0" w:color="auto"/>
            </w:tcBorders>
            <w:shd w:val="clear" w:color="auto" w:fill="auto"/>
            <w:vAlign w:val="center"/>
            <w:hideMark/>
          </w:tcPr>
          <w:p w14:paraId="5F8F5AD5" w14:textId="77777777" w:rsidR="00CA32C6" w:rsidRPr="00CA32C6" w:rsidRDefault="00CA32C6" w:rsidP="00CA32C6">
            <w:pPr>
              <w:rPr>
                <w:rFonts w:ascii="Arial Narrow" w:hAnsi="Arial Narrow" w:cs="Calibri"/>
                <w:i/>
                <w:iCs/>
                <w:sz w:val="18"/>
                <w:szCs w:val="18"/>
                <w:lang w:val="bg-BG"/>
              </w:rPr>
            </w:pPr>
            <w:r w:rsidRPr="00CA32C6">
              <w:rPr>
                <w:rFonts w:ascii="Arial Narrow" w:hAnsi="Arial Narrow" w:cs="Calibri"/>
                <w:i/>
                <w:iCs/>
                <w:sz w:val="18"/>
                <w:szCs w:val="18"/>
                <w:lang w:val="bg-BG"/>
              </w:rPr>
              <w:t>Други грудкови и лукови зеленчуци (салатно цвекло, арпаджик, ряпа, репички, целина и др.)</w:t>
            </w:r>
          </w:p>
        </w:tc>
        <w:tc>
          <w:tcPr>
            <w:tcW w:w="761" w:type="dxa"/>
            <w:tcBorders>
              <w:top w:val="nil"/>
              <w:left w:val="nil"/>
              <w:bottom w:val="single" w:sz="4" w:space="0" w:color="auto"/>
              <w:right w:val="single" w:sz="4" w:space="0" w:color="auto"/>
            </w:tcBorders>
            <w:shd w:val="clear" w:color="auto" w:fill="auto"/>
            <w:noWrap/>
            <w:vAlign w:val="center"/>
            <w:hideMark/>
          </w:tcPr>
          <w:p w14:paraId="199C96EA" w14:textId="77777777" w:rsidR="00CA32C6" w:rsidRPr="00CA32C6" w:rsidRDefault="00CA32C6" w:rsidP="00CA32C6">
            <w:pPr>
              <w:jc w:val="right"/>
              <w:rPr>
                <w:rFonts w:ascii="Arial Narrow" w:hAnsi="Arial Narrow" w:cs="Calibri"/>
                <w:i/>
                <w:iCs/>
                <w:sz w:val="18"/>
                <w:szCs w:val="18"/>
                <w:lang w:val="bg-BG"/>
              </w:rPr>
            </w:pPr>
            <w:r w:rsidRPr="00CA32C6">
              <w:rPr>
                <w:rFonts w:ascii="Arial Narrow" w:hAnsi="Arial Narrow" w:cs="Calibri"/>
                <w:i/>
                <w:iCs/>
                <w:sz w:val="18"/>
                <w:szCs w:val="18"/>
                <w:lang w:val="bg-BG"/>
              </w:rPr>
              <w:t>162</w:t>
            </w:r>
          </w:p>
        </w:tc>
        <w:tc>
          <w:tcPr>
            <w:tcW w:w="761" w:type="dxa"/>
            <w:tcBorders>
              <w:top w:val="nil"/>
              <w:left w:val="nil"/>
              <w:bottom w:val="single" w:sz="4" w:space="0" w:color="auto"/>
              <w:right w:val="single" w:sz="4" w:space="0" w:color="auto"/>
            </w:tcBorders>
            <w:shd w:val="clear" w:color="auto" w:fill="auto"/>
            <w:noWrap/>
            <w:vAlign w:val="center"/>
            <w:hideMark/>
          </w:tcPr>
          <w:p w14:paraId="27565A50" w14:textId="77777777" w:rsidR="00CA32C6" w:rsidRPr="00CA32C6" w:rsidRDefault="00CA32C6" w:rsidP="00CA32C6">
            <w:pPr>
              <w:jc w:val="right"/>
              <w:rPr>
                <w:rFonts w:ascii="Arial Narrow" w:hAnsi="Arial Narrow" w:cs="Calibri"/>
                <w:i/>
                <w:iCs/>
                <w:sz w:val="18"/>
                <w:szCs w:val="18"/>
                <w:lang w:val="bg-BG"/>
              </w:rPr>
            </w:pPr>
            <w:r w:rsidRPr="00CA32C6">
              <w:rPr>
                <w:rFonts w:ascii="Arial Narrow" w:hAnsi="Arial Narrow" w:cs="Calibri"/>
                <w:i/>
                <w:iCs/>
                <w:sz w:val="18"/>
                <w:szCs w:val="18"/>
                <w:lang w:val="bg-BG"/>
              </w:rPr>
              <w:t>169</w:t>
            </w:r>
          </w:p>
        </w:tc>
        <w:tc>
          <w:tcPr>
            <w:tcW w:w="761" w:type="dxa"/>
            <w:tcBorders>
              <w:top w:val="nil"/>
              <w:left w:val="nil"/>
              <w:bottom w:val="single" w:sz="4" w:space="0" w:color="auto"/>
              <w:right w:val="single" w:sz="4" w:space="0" w:color="auto"/>
            </w:tcBorders>
            <w:shd w:val="clear" w:color="auto" w:fill="auto"/>
            <w:noWrap/>
            <w:vAlign w:val="center"/>
            <w:hideMark/>
          </w:tcPr>
          <w:p w14:paraId="36D37798" w14:textId="77777777" w:rsidR="00CA32C6" w:rsidRPr="00CA32C6" w:rsidRDefault="00CA32C6" w:rsidP="00CA32C6">
            <w:pPr>
              <w:jc w:val="right"/>
              <w:rPr>
                <w:rFonts w:ascii="Arial Narrow" w:hAnsi="Arial Narrow" w:cs="Calibri"/>
                <w:i/>
                <w:iCs/>
                <w:sz w:val="18"/>
                <w:szCs w:val="18"/>
                <w:lang w:val="bg-BG"/>
              </w:rPr>
            </w:pPr>
            <w:r w:rsidRPr="00CA32C6">
              <w:rPr>
                <w:rFonts w:ascii="Arial Narrow" w:hAnsi="Arial Narrow" w:cs="Calibri"/>
                <w:i/>
                <w:iCs/>
                <w:sz w:val="18"/>
                <w:szCs w:val="18"/>
                <w:lang w:val="bg-BG"/>
              </w:rPr>
              <w:t>1</w:t>
            </w:r>
          </w:p>
        </w:tc>
        <w:tc>
          <w:tcPr>
            <w:tcW w:w="761" w:type="dxa"/>
            <w:tcBorders>
              <w:top w:val="nil"/>
              <w:left w:val="nil"/>
              <w:bottom w:val="single" w:sz="4" w:space="0" w:color="auto"/>
              <w:right w:val="single" w:sz="4" w:space="0" w:color="auto"/>
            </w:tcBorders>
            <w:shd w:val="clear" w:color="auto" w:fill="auto"/>
            <w:noWrap/>
            <w:vAlign w:val="center"/>
            <w:hideMark/>
          </w:tcPr>
          <w:p w14:paraId="699FD576" w14:textId="77777777" w:rsidR="00CA32C6" w:rsidRPr="00CA32C6" w:rsidRDefault="00CA32C6" w:rsidP="00CA32C6">
            <w:pPr>
              <w:jc w:val="right"/>
              <w:rPr>
                <w:rFonts w:ascii="Arial Narrow" w:hAnsi="Arial Narrow" w:cs="Calibri"/>
                <w:i/>
                <w:iCs/>
                <w:sz w:val="18"/>
                <w:szCs w:val="18"/>
                <w:lang w:val="bg-BG"/>
              </w:rPr>
            </w:pPr>
            <w:r w:rsidRPr="00CA32C6">
              <w:rPr>
                <w:rFonts w:ascii="Arial Narrow" w:hAnsi="Arial Narrow" w:cs="Calibri"/>
                <w:i/>
                <w:iCs/>
                <w:sz w:val="18"/>
                <w:szCs w:val="18"/>
                <w:lang w:val="bg-BG"/>
              </w:rPr>
              <w:t>с</w:t>
            </w:r>
          </w:p>
        </w:tc>
        <w:tc>
          <w:tcPr>
            <w:tcW w:w="761" w:type="dxa"/>
            <w:tcBorders>
              <w:top w:val="nil"/>
              <w:left w:val="nil"/>
              <w:bottom w:val="single" w:sz="4" w:space="0" w:color="auto"/>
              <w:right w:val="single" w:sz="4" w:space="0" w:color="auto"/>
            </w:tcBorders>
            <w:shd w:val="clear" w:color="auto" w:fill="auto"/>
            <w:noWrap/>
            <w:vAlign w:val="center"/>
            <w:hideMark/>
          </w:tcPr>
          <w:p w14:paraId="33CD0881" w14:textId="77777777" w:rsidR="00CA32C6" w:rsidRPr="00CA32C6" w:rsidRDefault="00CA32C6" w:rsidP="00CA32C6">
            <w:pPr>
              <w:jc w:val="right"/>
              <w:rPr>
                <w:rFonts w:ascii="Arial Narrow" w:hAnsi="Arial Narrow" w:cs="Calibri"/>
                <w:i/>
                <w:iCs/>
                <w:sz w:val="18"/>
                <w:szCs w:val="18"/>
                <w:lang w:val="bg-BG"/>
              </w:rPr>
            </w:pPr>
            <w:r w:rsidRPr="00CA32C6">
              <w:rPr>
                <w:rFonts w:ascii="Arial Narrow" w:hAnsi="Arial Narrow" w:cs="Calibri"/>
                <w:i/>
                <w:iCs/>
                <w:sz w:val="18"/>
                <w:szCs w:val="18"/>
                <w:lang w:val="bg-BG"/>
              </w:rPr>
              <w:t>1 962</w:t>
            </w:r>
          </w:p>
        </w:tc>
        <w:tc>
          <w:tcPr>
            <w:tcW w:w="761" w:type="dxa"/>
            <w:tcBorders>
              <w:top w:val="nil"/>
              <w:left w:val="nil"/>
              <w:bottom w:val="single" w:sz="4" w:space="0" w:color="auto"/>
              <w:right w:val="single" w:sz="4" w:space="0" w:color="auto"/>
            </w:tcBorders>
            <w:shd w:val="clear" w:color="auto" w:fill="auto"/>
            <w:noWrap/>
            <w:vAlign w:val="center"/>
            <w:hideMark/>
          </w:tcPr>
          <w:p w14:paraId="5BCC0145" w14:textId="77777777" w:rsidR="00CA32C6" w:rsidRPr="00CA32C6" w:rsidRDefault="00CA32C6" w:rsidP="00CA32C6">
            <w:pPr>
              <w:jc w:val="right"/>
              <w:rPr>
                <w:rFonts w:ascii="Arial Narrow" w:hAnsi="Arial Narrow" w:cs="Calibri"/>
                <w:i/>
                <w:iCs/>
                <w:sz w:val="18"/>
                <w:szCs w:val="18"/>
                <w:lang w:val="bg-BG"/>
              </w:rPr>
            </w:pPr>
            <w:r w:rsidRPr="00CA32C6">
              <w:rPr>
                <w:rFonts w:ascii="Arial Narrow" w:hAnsi="Arial Narrow" w:cs="Calibri"/>
                <w:i/>
                <w:iCs/>
                <w:sz w:val="18"/>
                <w:szCs w:val="18"/>
                <w:lang w:val="bg-BG"/>
              </w:rPr>
              <w:t>1 513</w:t>
            </w:r>
          </w:p>
        </w:tc>
        <w:tc>
          <w:tcPr>
            <w:tcW w:w="761" w:type="dxa"/>
            <w:tcBorders>
              <w:top w:val="nil"/>
              <w:left w:val="nil"/>
              <w:bottom w:val="single" w:sz="4" w:space="0" w:color="auto"/>
              <w:right w:val="single" w:sz="4" w:space="0" w:color="auto"/>
            </w:tcBorders>
            <w:shd w:val="clear" w:color="auto" w:fill="auto"/>
            <w:noWrap/>
            <w:vAlign w:val="center"/>
            <w:hideMark/>
          </w:tcPr>
          <w:p w14:paraId="3C59AE0D" w14:textId="77777777" w:rsidR="00CA32C6" w:rsidRPr="00CA32C6" w:rsidRDefault="00CA32C6" w:rsidP="00CA32C6">
            <w:pPr>
              <w:jc w:val="right"/>
              <w:rPr>
                <w:rFonts w:ascii="Arial Narrow" w:hAnsi="Arial Narrow" w:cs="Calibri"/>
                <w:i/>
                <w:iCs/>
                <w:sz w:val="18"/>
                <w:szCs w:val="18"/>
                <w:lang w:val="bg-BG"/>
              </w:rPr>
            </w:pPr>
            <w:r w:rsidRPr="00CA32C6">
              <w:rPr>
                <w:rFonts w:ascii="Arial Narrow" w:hAnsi="Arial Narrow" w:cs="Calibri"/>
                <w:i/>
                <w:iCs/>
                <w:sz w:val="18"/>
                <w:szCs w:val="18"/>
                <w:lang w:val="bg-BG"/>
              </w:rPr>
              <w:t>17</w:t>
            </w:r>
          </w:p>
        </w:tc>
        <w:tc>
          <w:tcPr>
            <w:tcW w:w="761" w:type="dxa"/>
            <w:tcBorders>
              <w:top w:val="nil"/>
              <w:left w:val="nil"/>
              <w:bottom w:val="single" w:sz="4" w:space="0" w:color="auto"/>
              <w:right w:val="single" w:sz="4" w:space="0" w:color="auto"/>
            </w:tcBorders>
            <w:shd w:val="clear" w:color="auto" w:fill="auto"/>
            <w:noWrap/>
            <w:vAlign w:val="center"/>
            <w:hideMark/>
          </w:tcPr>
          <w:p w14:paraId="5776F779" w14:textId="77777777" w:rsidR="00CA32C6" w:rsidRPr="00CA32C6" w:rsidRDefault="00CA32C6" w:rsidP="00CA32C6">
            <w:pPr>
              <w:jc w:val="right"/>
              <w:rPr>
                <w:rFonts w:ascii="Arial Narrow" w:hAnsi="Arial Narrow" w:cs="Calibri"/>
                <w:i/>
                <w:iCs/>
                <w:sz w:val="18"/>
                <w:szCs w:val="18"/>
                <w:lang w:val="bg-BG"/>
              </w:rPr>
            </w:pPr>
            <w:r w:rsidRPr="00CA32C6">
              <w:rPr>
                <w:rFonts w:ascii="Arial Narrow" w:hAnsi="Arial Narrow" w:cs="Calibri"/>
                <w:i/>
                <w:iCs/>
                <w:sz w:val="18"/>
                <w:szCs w:val="18"/>
                <w:lang w:val="bg-BG"/>
              </w:rPr>
              <w:t>с</w:t>
            </w:r>
          </w:p>
        </w:tc>
        <w:tc>
          <w:tcPr>
            <w:tcW w:w="761" w:type="dxa"/>
            <w:tcBorders>
              <w:top w:val="nil"/>
              <w:left w:val="nil"/>
              <w:bottom w:val="single" w:sz="4" w:space="0" w:color="auto"/>
              <w:right w:val="single" w:sz="4" w:space="0" w:color="auto"/>
            </w:tcBorders>
            <w:shd w:val="clear" w:color="auto" w:fill="auto"/>
            <w:noWrap/>
            <w:vAlign w:val="center"/>
            <w:hideMark/>
          </w:tcPr>
          <w:p w14:paraId="0A00B321" w14:textId="77777777" w:rsidR="00CA32C6" w:rsidRPr="00CA32C6" w:rsidRDefault="00CA32C6" w:rsidP="00CA32C6">
            <w:pPr>
              <w:jc w:val="right"/>
              <w:rPr>
                <w:rFonts w:ascii="Arial Narrow" w:hAnsi="Arial Narrow" w:cs="Calibri"/>
                <w:i/>
                <w:iCs/>
                <w:sz w:val="18"/>
                <w:szCs w:val="18"/>
                <w:lang w:val="bg-BG"/>
              </w:rPr>
            </w:pPr>
            <w:r w:rsidRPr="00CA32C6">
              <w:rPr>
                <w:rFonts w:ascii="Arial Narrow" w:hAnsi="Arial Narrow" w:cs="Calibri"/>
                <w:i/>
                <w:iCs/>
                <w:sz w:val="18"/>
                <w:szCs w:val="18"/>
                <w:lang w:val="bg-BG"/>
              </w:rPr>
              <w:t>1 979</w:t>
            </w:r>
          </w:p>
        </w:tc>
        <w:tc>
          <w:tcPr>
            <w:tcW w:w="761" w:type="dxa"/>
            <w:tcBorders>
              <w:top w:val="nil"/>
              <w:left w:val="nil"/>
              <w:bottom w:val="single" w:sz="4" w:space="0" w:color="auto"/>
              <w:right w:val="single" w:sz="4" w:space="0" w:color="auto"/>
            </w:tcBorders>
            <w:shd w:val="clear" w:color="auto" w:fill="auto"/>
            <w:noWrap/>
            <w:vAlign w:val="center"/>
            <w:hideMark/>
          </w:tcPr>
          <w:p w14:paraId="57E4A81E" w14:textId="77777777" w:rsidR="00CA32C6" w:rsidRPr="00CA32C6" w:rsidRDefault="00CA32C6" w:rsidP="00CA32C6">
            <w:pPr>
              <w:jc w:val="right"/>
              <w:rPr>
                <w:rFonts w:ascii="Arial Narrow" w:hAnsi="Arial Narrow" w:cs="Calibri"/>
                <w:i/>
                <w:iCs/>
                <w:sz w:val="18"/>
                <w:szCs w:val="18"/>
                <w:lang w:val="bg-BG"/>
              </w:rPr>
            </w:pPr>
            <w:r w:rsidRPr="00CA32C6">
              <w:rPr>
                <w:rFonts w:ascii="Arial Narrow" w:hAnsi="Arial Narrow" w:cs="Calibri"/>
                <w:i/>
                <w:iCs/>
                <w:sz w:val="18"/>
                <w:szCs w:val="18"/>
                <w:lang w:val="bg-BG"/>
              </w:rPr>
              <w:t>с</w:t>
            </w:r>
          </w:p>
        </w:tc>
        <w:tc>
          <w:tcPr>
            <w:tcW w:w="915" w:type="dxa"/>
            <w:tcBorders>
              <w:top w:val="nil"/>
              <w:left w:val="nil"/>
              <w:bottom w:val="single" w:sz="4" w:space="0" w:color="auto"/>
              <w:right w:val="single" w:sz="4" w:space="0" w:color="auto"/>
            </w:tcBorders>
            <w:shd w:val="clear" w:color="auto" w:fill="auto"/>
            <w:noWrap/>
            <w:vAlign w:val="center"/>
            <w:hideMark/>
          </w:tcPr>
          <w:p w14:paraId="7A126A66" w14:textId="77777777" w:rsidR="00CA32C6" w:rsidRPr="00CA32C6" w:rsidRDefault="00CA32C6" w:rsidP="00CA32C6">
            <w:pPr>
              <w:jc w:val="right"/>
              <w:rPr>
                <w:rFonts w:ascii="Arial Narrow" w:hAnsi="Arial Narrow" w:cs="Calibri"/>
                <w:i/>
                <w:iCs/>
                <w:sz w:val="18"/>
                <w:szCs w:val="18"/>
                <w:lang w:val="bg-BG"/>
              </w:rPr>
            </w:pPr>
            <w:r w:rsidRPr="00CA32C6">
              <w:rPr>
                <w:rFonts w:ascii="Arial Narrow" w:hAnsi="Arial Narrow" w:cs="Calibri"/>
                <w:i/>
                <w:iCs/>
                <w:sz w:val="18"/>
                <w:szCs w:val="18"/>
                <w:lang w:val="bg-BG"/>
              </w:rPr>
              <w:t>-</w:t>
            </w:r>
          </w:p>
        </w:tc>
        <w:tc>
          <w:tcPr>
            <w:tcW w:w="680" w:type="dxa"/>
            <w:tcBorders>
              <w:top w:val="nil"/>
              <w:left w:val="nil"/>
              <w:bottom w:val="single" w:sz="4" w:space="0" w:color="auto"/>
              <w:right w:val="single" w:sz="4" w:space="0" w:color="auto"/>
            </w:tcBorders>
            <w:shd w:val="clear" w:color="auto" w:fill="auto"/>
            <w:noWrap/>
            <w:vAlign w:val="center"/>
            <w:hideMark/>
          </w:tcPr>
          <w:p w14:paraId="2F88D3A6" w14:textId="77777777" w:rsidR="00CA32C6" w:rsidRPr="00CA32C6" w:rsidRDefault="00CA32C6" w:rsidP="00CA32C6">
            <w:pPr>
              <w:jc w:val="right"/>
              <w:rPr>
                <w:rFonts w:ascii="Arial Narrow" w:hAnsi="Arial Narrow" w:cs="Calibri"/>
                <w:i/>
                <w:iCs/>
                <w:sz w:val="18"/>
                <w:szCs w:val="18"/>
                <w:lang w:val="bg-BG"/>
              </w:rPr>
            </w:pPr>
            <w:r w:rsidRPr="00CA32C6">
              <w:rPr>
                <w:rFonts w:ascii="Arial Narrow" w:hAnsi="Arial Narrow" w:cs="Calibri"/>
                <w:i/>
                <w:iCs/>
                <w:sz w:val="18"/>
                <w:szCs w:val="18"/>
                <w:lang w:val="bg-BG"/>
              </w:rPr>
              <w:t>-</w:t>
            </w:r>
          </w:p>
        </w:tc>
        <w:tc>
          <w:tcPr>
            <w:tcW w:w="680" w:type="dxa"/>
            <w:tcBorders>
              <w:top w:val="nil"/>
              <w:left w:val="nil"/>
              <w:bottom w:val="single" w:sz="4" w:space="0" w:color="auto"/>
              <w:right w:val="single" w:sz="4" w:space="0" w:color="auto"/>
            </w:tcBorders>
            <w:shd w:val="clear" w:color="auto" w:fill="auto"/>
            <w:noWrap/>
            <w:vAlign w:val="center"/>
            <w:hideMark/>
          </w:tcPr>
          <w:p w14:paraId="2F2C663D" w14:textId="77777777" w:rsidR="00CA32C6" w:rsidRPr="00CA32C6" w:rsidRDefault="00CA32C6" w:rsidP="00CA32C6">
            <w:pPr>
              <w:jc w:val="right"/>
              <w:rPr>
                <w:rFonts w:ascii="Arial Narrow" w:hAnsi="Arial Narrow" w:cs="Calibri"/>
                <w:i/>
                <w:iCs/>
                <w:sz w:val="18"/>
                <w:szCs w:val="18"/>
                <w:lang w:val="bg-BG"/>
              </w:rPr>
            </w:pPr>
            <w:r w:rsidRPr="00CA32C6">
              <w:rPr>
                <w:rFonts w:ascii="Arial Narrow" w:hAnsi="Arial Narrow" w:cs="Calibri"/>
                <w:i/>
                <w:iCs/>
                <w:sz w:val="18"/>
                <w:szCs w:val="18"/>
                <w:lang w:val="bg-BG"/>
              </w:rPr>
              <w:t>-</w:t>
            </w:r>
          </w:p>
        </w:tc>
      </w:tr>
      <w:tr w:rsidR="00CA32C6" w:rsidRPr="00CA32C6" w14:paraId="5E8A834F" w14:textId="77777777" w:rsidTr="009C6577">
        <w:trPr>
          <w:trHeight w:val="517"/>
          <w:jc w:val="center"/>
        </w:trPr>
        <w:tc>
          <w:tcPr>
            <w:tcW w:w="1367" w:type="dxa"/>
            <w:tcBorders>
              <w:top w:val="nil"/>
              <w:left w:val="single" w:sz="4" w:space="0" w:color="auto"/>
              <w:bottom w:val="single" w:sz="4" w:space="0" w:color="auto"/>
              <w:right w:val="single" w:sz="4" w:space="0" w:color="auto"/>
            </w:tcBorders>
            <w:shd w:val="clear" w:color="auto" w:fill="auto"/>
            <w:vAlign w:val="center"/>
            <w:hideMark/>
          </w:tcPr>
          <w:p w14:paraId="21B4447E" w14:textId="77777777" w:rsidR="00CA32C6" w:rsidRPr="00CA32C6" w:rsidRDefault="00CA32C6" w:rsidP="00CA32C6">
            <w:pPr>
              <w:rPr>
                <w:rFonts w:ascii="Arial Narrow" w:hAnsi="Arial Narrow" w:cs="Calibri"/>
                <w:b/>
                <w:bCs/>
                <w:sz w:val="18"/>
                <w:szCs w:val="18"/>
                <w:lang w:val="bg-BG"/>
              </w:rPr>
            </w:pPr>
            <w:r w:rsidRPr="00CA32C6">
              <w:rPr>
                <w:rFonts w:ascii="Arial Narrow" w:hAnsi="Arial Narrow" w:cs="Calibri"/>
                <w:b/>
                <w:bCs/>
                <w:sz w:val="18"/>
                <w:szCs w:val="18"/>
                <w:lang w:val="bg-BG"/>
              </w:rPr>
              <w:t>Други зеленчуци (бамя и др.)</w:t>
            </w:r>
          </w:p>
        </w:tc>
        <w:tc>
          <w:tcPr>
            <w:tcW w:w="761" w:type="dxa"/>
            <w:tcBorders>
              <w:top w:val="nil"/>
              <w:left w:val="nil"/>
              <w:bottom w:val="single" w:sz="4" w:space="0" w:color="auto"/>
              <w:right w:val="single" w:sz="4" w:space="0" w:color="auto"/>
            </w:tcBorders>
            <w:shd w:val="clear" w:color="auto" w:fill="auto"/>
            <w:noWrap/>
            <w:vAlign w:val="center"/>
            <w:hideMark/>
          </w:tcPr>
          <w:p w14:paraId="1BB4571D" w14:textId="77777777" w:rsidR="00CA32C6" w:rsidRPr="00CA32C6" w:rsidRDefault="00CA32C6" w:rsidP="00CA32C6">
            <w:pPr>
              <w:jc w:val="right"/>
              <w:rPr>
                <w:rFonts w:ascii="Arial Narrow" w:hAnsi="Arial Narrow" w:cs="Calibri"/>
                <w:b/>
                <w:bCs/>
                <w:sz w:val="18"/>
                <w:szCs w:val="18"/>
                <w:lang w:val="bg-BG"/>
              </w:rPr>
            </w:pPr>
            <w:r w:rsidRPr="00CA32C6">
              <w:rPr>
                <w:rFonts w:ascii="Arial Narrow" w:hAnsi="Arial Narrow" w:cs="Calibri"/>
                <w:b/>
                <w:bCs/>
                <w:sz w:val="18"/>
                <w:szCs w:val="18"/>
                <w:lang w:val="bg-BG"/>
              </w:rPr>
              <w:t>407</w:t>
            </w:r>
          </w:p>
        </w:tc>
        <w:tc>
          <w:tcPr>
            <w:tcW w:w="761" w:type="dxa"/>
            <w:tcBorders>
              <w:top w:val="nil"/>
              <w:left w:val="nil"/>
              <w:bottom w:val="single" w:sz="4" w:space="0" w:color="auto"/>
              <w:right w:val="single" w:sz="4" w:space="0" w:color="auto"/>
            </w:tcBorders>
            <w:shd w:val="clear" w:color="auto" w:fill="auto"/>
            <w:noWrap/>
            <w:vAlign w:val="center"/>
            <w:hideMark/>
          </w:tcPr>
          <w:p w14:paraId="707EB5FE" w14:textId="77777777" w:rsidR="00CA32C6" w:rsidRPr="00CA32C6" w:rsidRDefault="00CA32C6" w:rsidP="00CA32C6">
            <w:pPr>
              <w:jc w:val="right"/>
              <w:rPr>
                <w:rFonts w:ascii="Arial Narrow" w:hAnsi="Arial Narrow" w:cs="Calibri"/>
                <w:b/>
                <w:bCs/>
                <w:sz w:val="18"/>
                <w:szCs w:val="18"/>
                <w:lang w:val="bg-BG"/>
              </w:rPr>
            </w:pPr>
            <w:r w:rsidRPr="00CA32C6">
              <w:rPr>
                <w:rFonts w:ascii="Arial Narrow" w:hAnsi="Arial Narrow" w:cs="Calibri"/>
                <w:b/>
                <w:bCs/>
                <w:sz w:val="18"/>
                <w:szCs w:val="18"/>
                <w:lang w:val="bg-BG"/>
              </w:rPr>
              <w:t>665</w:t>
            </w:r>
          </w:p>
        </w:tc>
        <w:tc>
          <w:tcPr>
            <w:tcW w:w="761" w:type="dxa"/>
            <w:tcBorders>
              <w:top w:val="nil"/>
              <w:left w:val="nil"/>
              <w:bottom w:val="single" w:sz="4" w:space="0" w:color="auto"/>
              <w:right w:val="single" w:sz="4" w:space="0" w:color="auto"/>
            </w:tcBorders>
            <w:shd w:val="clear" w:color="auto" w:fill="auto"/>
            <w:noWrap/>
            <w:vAlign w:val="center"/>
            <w:hideMark/>
          </w:tcPr>
          <w:p w14:paraId="4818D5E5" w14:textId="77777777" w:rsidR="00CA32C6" w:rsidRPr="00CA32C6" w:rsidRDefault="00CA32C6" w:rsidP="00CA32C6">
            <w:pPr>
              <w:jc w:val="right"/>
              <w:rPr>
                <w:rFonts w:ascii="Arial Narrow" w:hAnsi="Arial Narrow" w:cs="Calibri"/>
                <w:b/>
                <w:bCs/>
                <w:sz w:val="18"/>
                <w:szCs w:val="18"/>
                <w:lang w:val="bg-BG"/>
              </w:rPr>
            </w:pPr>
            <w:r w:rsidRPr="00CA32C6">
              <w:rPr>
                <w:rFonts w:ascii="Arial Narrow" w:hAnsi="Arial Narrow" w:cs="Calibri"/>
                <w:b/>
                <w:bCs/>
                <w:sz w:val="18"/>
                <w:szCs w:val="18"/>
                <w:lang w:val="bg-BG"/>
              </w:rPr>
              <w:t>-</w:t>
            </w:r>
          </w:p>
        </w:tc>
        <w:tc>
          <w:tcPr>
            <w:tcW w:w="761" w:type="dxa"/>
            <w:tcBorders>
              <w:top w:val="nil"/>
              <w:left w:val="nil"/>
              <w:bottom w:val="single" w:sz="4" w:space="0" w:color="auto"/>
              <w:right w:val="single" w:sz="4" w:space="0" w:color="auto"/>
            </w:tcBorders>
            <w:shd w:val="clear" w:color="auto" w:fill="auto"/>
            <w:noWrap/>
            <w:vAlign w:val="center"/>
            <w:hideMark/>
          </w:tcPr>
          <w:p w14:paraId="7BD29F82" w14:textId="77777777" w:rsidR="00CA32C6" w:rsidRPr="00CA32C6" w:rsidRDefault="00CA32C6" w:rsidP="00CA32C6">
            <w:pPr>
              <w:jc w:val="right"/>
              <w:rPr>
                <w:rFonts w:ascii="Arial Narrow" w:hAnsi="Arial Narrow" w:cs="Calibri"/>
                <w:b/>
                <w:bCs/>
                <w:sz w:val="18"/>
                <w:szCs w:val="18"/>
                <w:lang w:val="bg-BG"/>
              </w:rPr>
            </w:pPr>
            <w:r w:rsidRPr="00CA32C6">
              <w:rPr>
                <w:rFonts w:ascii="Arial Narrow" w:hAnsi="Arial Narrow" w:cs="Calibri"/>
                <w:b/>
                <w:bCs/>
                <w:sz w:val="18"/>
                <w:szCs w:val="18"/>
                <w:lang w:val="bg-BG"/>
              </w:rPr>
              <w:t>-</w:t>
            </w:r>
          </w:p>
        </w:tc>
        <w:tc>
          <w:tcPr>
            <w:tcW w:w="761" w:type="dxa"/>
            <w:tcBorders>
              <w:top w:val="nil"/>
              <w:left w:val="nil"/>
              <w:bottom w:val="single" w:sz="4" w:space="0" w:color="auto"/>
              <w:right w:val="single" w:sz="4" w:space="0" w:color="auto"/>
            </w:tcBorders>
            <w:shd w:val="clear" w:color="auto" w:fill="auto"/>
            <w:noWrap/>
            <w:vAlign w:val="center"/>
            <w:hideMark/>
          </w:tcPr>
          <w:p w14:paraId="5A3E3EF4" w14:textId="77777777" w:rsidR="00CA32C6" w:rsidRPr="00CA32C6" w:rsidRDefault="00CA32C6" w:rsidP="00CA32C6">
            <w:pPr>
              <w:jc w:val="right"/>
              <w:rPr>
                <w:rFonts w:ascii="Arial Narrow" w:hAnsi="Arial Narrow" w:cs="Calibri"/>
                <w:b/>
                <w:bCs/>
                <w:sz w:val="18"/>
                <w:szCs w:val="18"/>
                <w:lang w:val="bg-BG"/>
              </w:rPr>
            </w:pPr>
            <w:r w:rsidRPr="00CA32C6">
              <w:rPr>
                <w:rFonts w:ascii="Arial Narrow" w:hAnsi="Arial Narrow" w:cs="Calibri"/>
                <w:b/>
                <w:bCs/>
                <w:sz w:val="18"/>
                <w:szCs w:val="18"/>
                <w:lang w:val="bg-BG"/>
              </w:rPr>
              <w:t>1 490</w:t>
            </w:r>
          </w:p>
        </w:tc>
        <w:tc>
          <w:tcPr>
            <w:tcW w:w="761" w:type="dxa"/>
            <w:tcBorders>
              <w:top w:val="nil"/>
              <w:left w:val="nil"/>
              <w:bottom w:val="single" w:sz="4" w:space="0" w:color="auto"/>
              <w:right w:val="single" w:sz="4" w:space="0" w:color="auto"/>
            </w:tcBorders>
            <w:shd w:val="clear" w:color="auto" w:fill="auto"/>
            <w:noWrap/>
            <w:vAlign w:val="center"/>
            <w:hideMark/>
          </w:tcPr>
          <w:p w14:paraId="2101F2E1" w14:textId="77777777" w:rsidR="00CA32C6" w:rsidRPr="00CA32C6" w:rsidRDefault="00CA32C6" w:rsidP="00CA32C6">
            <w:pPr>
              <w:jc w:val="right"/>
              <w:rPr>
                <w:rFonts w:ascii="Arial Narrow" w:hAnsi="Arial Narrow" w:cs="Calibri"/>
                <w:b/>
                <w:bCs/>
                <w:sz w:val="18"/>
                <w:szCs w:val="18"/>
                <w:lang w:val="bg-BG"/>
              </w:rPr>
            </w:pPr>
            <w:r w:rsidRPr="00CA32C6">
              <w:rPr>
                <w:rFonts w:ascii="Arial Narrow" w:hAnsi="Arial Narrow" w:cs="Calibri"/>
                <w:b/>
                <w:bCs/>
                <w:sz w:val="18"/>
                <w:szCs w:val="18"/>
                <w:lang w:val="bg-BG"/>
              </w:rPr>
              <w:t>1 387</w:t>
            </w:r>
          </w:p>
        </w:tc>
        <w:tc>
          <w:tcPr>
            <w:tcW w:w="761" w:type="dxa"/>
            <w:tcBorders>
              <w:top w:val="nil"/>
              <w:left w:val="nil"/>
              <w:bottom w:val="single" w:sz="4" w:space="0" w:color="auto"/>
              <w:right w:val="single" w:sz="4" w:space="0" w:color="auto"/>
            </w:tcBorders>
            <w:shd w:val="clear" w:color="auto" w:fill="auto"/>
            <w:noWrap/>
            <w:vAlign w:val="center"/>
            <w:hideMark/>
          </w:tcPr>
          <w:p w14:paraId="62CF6C37" w14:textId="77777777" w:rsidR="00CA32C6" w:rsidRPr="00CA32C6" w:rsidRDefault="00CA32C6" w:rsidP="00CA32C6">
            <w:pPr>
              <w:jc w:val="right"/>
              <w:rPr>
                <w:rFonts w:ascii="Arial Narrow" w:hAnsi="Arial Narrow" w:cs="Calibri"/>
                <w:b/>
                <w:bCs/>
                <w:sz w:val="18"/>
                <w:szCs w:val="18"/>
                <w:lang w:val="bg-BG"/>
              </w:rPr>
            </w:pPr>
            <w:r w:rsidRPr="00CA32C6">
              <w:rPr>
                <w:rFonts w:ascii="Arial Narrow" w:hAnsi="Arial Narrow" w:cs="Calibri"/>
                <w:b/>
                <w:bCs/>
                <w:sz w:val="18"/>
                <w:szCs w:val="18"/>
                <w:lang w:val="bg-BG"/>
              </w:rPr>
              <w:t>-</w:t>
            </w:r>
          </w:p>
        </w:tc>
        <w:tc>
          <w:tcPr>
            <w:tcW w:w="761" w:type="dxa"/>
            <w:tcBorders>
              <w:top w:val="nil"/>
              <w:left w:val="nil"/>
              <w:bottom w:val="single" w:sz="4" w:space="0" w:color="auto"/>
              <w:right w:val="single" w:sz="4" w:space="0" w:color="auto"/>
            </w:tcBorders>
            <w:shd w:val="clear" w:color="auto" w:fill="auto"/>
            <w:noWrap/>
            <w:vAlign w:val="center"/>
            <w:hideMark/>
          </w:tcPr>
          <w:p w14:paraId="4A7768F3" w14:textId="77777777" w:rsidR="00CA32C6" w:rsidRPr="00CA32C6" w:rsidRDefault="00CA32C6" w:rsidP="00CA32C6">
            <w:pPr>
              <w:jc w:val="right"/>
              <w:rPr>
                <w:rFonts w:ascii="Arial Narrow" w:hAnsi="Arial Narrow" w:cs="Calibri"/>
                <w:b/>
                <w:bCs/>
                <w:sz w:val="18"/>
                <w:szCs w:val="18"/>
                <w:lang w:val="bg-BG"/>
              </w:rPr>
            </w:pPr>
            <w:r w:rsidRPr="00CA32C6">
              <w:rPr>
                <w:rFonts w:ascii="Arial Narrow" w:hAnsi="Arial Narrow" w:cs="Calibri"/>
                <w:b/>
                <w:bCs/>
                <w:sz w:val="18"/>
                <w:szCs w:val="18"/>
                <w:lang w:val="bg-BG"/>
              </w:rPr>
              <w:t>-</w:t>
            </w:r>
          </w:p>
        </w:tc>
        <w:tc>
          <w:tcPr>
            <w:tcW w:w="761" w:type="dxa"/>
            <w:tcBorders>
              <w:top w:val="nil"/>
              <w:left w:val="nil"/>
              <w:bottom w:val="single" w:sz="4" w:space="0" w:color="auto"/>
              <w:right w:val="single" w:sz="4" w:space="0" w:color="auto"/>
            </w:tcBorders>
            <w:shd w:val="clear" w:color="auto" w:fill="auto"/>
            <w:noWrap/>
            <w:vAlign w:val="center"/>
            <w:hideMark/>
          </w:tcPr>
          <w:p w14:paraId="62020C7D" w14:textId="77777777" w:rsidR="00CA32C6" w:rsidRPr="00CA32C6" w:rsidRDefault="00CA32C6" w:rsidP="00CA32C6">
            <w:pPr>
              <w:jc w:val="right"/>
              <w:rPr>
                <w:rFonts w:ascii="Arial Narrow" w:hAnsi="Arial Narrow" w:cs="Calibri"/>
                <w:b/>
                <w:bCs/>
                <w:sz w:val="18"/>
                <w:szCs w:val="18"/>
                <w:lang w:val="bg-BG"/>
              </w:rPr>
            </w:pPr>
            <w:r w:rsidRPr="00CA32C6">
              <w:rPr>
                <w:rFonts w:ascii="Arial Narrow" w:hAnsi="Arial Narrow" w:cs="Calibri"/>
                <w:b/>
                <w:bCs/>
                <w:sz w:val="18"/>
                <w:szCs w:val="18"/>
                <w:lang w:val="bg-BG"/>
              </w:rPr>
              <w:t>1 490</w:t>
            </w:r>
          </w:p>
        </w:tc>
        <w:tc>
          <w:tcPr>
            <w:tcW w:w="761" w:type="dxa"/>
            <w:tcBorders>
              <w:top w:val="nil"/>
              <w:left w:val="nil"/>
              <w:bottom w:val="single" w:sz="4" w:space="0" w:color="auto"/>
              <w:right w:val="single" w:sz="4" w:space="0" w:color="auto"/>
            </w:tcBorders>
            <w:shd w:val="clear" w:color="auto" w:fill="auto"/>
            <w:noWrap/>
            <w:vAlign w:val="center"/>
            <w:hideMark/>
          </w:tcPr>
          <w:p w14:paraId="03A60BED" w14:textId="77777777" w:rsidR="00CA32C6" w:rsidRPr="00CA32C6" w:rsidRDefault="00CA32C6" w:rsidP="00CA32C6">
            <w:pPr>
              <w:jc w:val="right"/>
              <w:rPr>
                <w:rFonts w:ascii="Arial Narrow" w:hAnsi="Arial Narrow" w:cs="Calibri"/>
                <w:b/>
                <w:bCs/>
                <w:sz w:val="18"/>
                <w:szCs w:val="18"/>
                <w:lang w:val="bg-BG"/>
              </w:rPr>
            </w:pPr>
            <w:r w:rsidRPr="00CA32C6">
              <w:rPr>
                <w:rFonts w:ascii="Arial Narrow" w:hAnsi="Arial Narrow" w:cs="Calibri"/>
                <w:b/>
                <w:bCs/>
                <w:sz w:val="18"/>
                <w:szCs w:val="18"/>
                <w:lang w:val="bg-BG"/>
              </w:rPr>
              <w:t>1 387</w:t>
            </w:r>
          </w:p>
        </w:tc>
        <w:tc>
          <w:tcPr>
            <w:tcW w:w="915" w:type="dxa"/>
            <w:tcBorders>
              <w:top w:val="nil"/>
              <w:left w:val="nil"/>
              <w:bottom w:val="single" w:sz="4" w:space="0" w:color="auto"/>
              <w:right w:val="single" w:sz="4" w:space="0" w:color="auto"/>
            </w:tcBorders>
            <w:shd w:val="clear" w:color="auto" w:fill="auto"/>
            <w:noWrap/>
            <w:vAlign w:val="center"/>
            <w:hideMark/>
          </w:tcPr>
          <w:p w14:paraId="142447E3" w14:textId="77777777" w:rsidR="00CA32C6" w:rsidRPr="00CA32C6" w:rsidRDefault="00CA32C6" w:rsidP="00CA32C6">
            <w:pPr>
              <w:jc w:val="right"/>
              <w:rPr>
                <w:rFonts w:ascii="Arial Narrow" w:hAnsi="Arial Narrow" w:cs="Calibri"/>
                <w:b/>
                <w:bCs/>
                <w:sz w:val="18"/>
                <w:szCs w:val="18"/>
                <w:lang w:val="bg-BG"/>
              </w:rPr>
            </w:pPr>
            <w:r w:rsidRPr="00CA32C6">
              <w:rPr>
                <w:rFonts w:ascii="Arial Narrow" w:hAnsi="Arial Narrow" w:cs="Calibri"/>
                <w:b/>
                <w:bCs/>
                <w:sz w:val="18"/>
                <w:szCs w:val="18"/>
                <w:lang w:val="bg-BG"/>
              </w:rPr>
              <w:t>-6,9%</w:t>
            </w:r>
          </w:p>
        </w:tc>
        <w:tc>
          <w:tcPr>
            <w:tcW w:w="680" w:type="dxa"/>
            <w:tcBorders>
              <w:top w:val="nil"/>
              <w:left w:val="nil"/>
              <w:bottom w:val="single" w:sz="4" w:space="0" w:color="auto"/>
              <w:right w:val="single" w:sz="4" w:space="0" w:color="auto"/>
            </w:tcBorders>
            <w:shd w:val="clear" w:color="auto" w:fill="auto"/>
            <w:noWrap/>
            <w:vAlign w:val="center"/>
            <w:hideMark/>
          </w:tcPr>
          <w:p w14:paraId="4EE67933" w14:textId="77777777" w:rsidR="00CA32C6" w:rsidRPr="00CA32C6" w:rsidRDefault="00CA32C6" w:rsidP="00CA32C6">
            <w:pPr>
              <w:jc w:val="right"/>
              <w:rPr>
                <w:rFonts w:ascii="Arial Narrow" w:hAnsi="Arial Narrow" w:cs="Calibri"/>
                <w:b/>
                <w:bCs/>
                <w:sz w:val="18"/>
                <w:szCs w:val="18"/>
                <w:lang w:val="bg-BG"/>
              </w:rPr>
            </w:pPr>
            <w:r w:rsidRPr="00CA32C6">
              <w:rPr>
                <w:rFonts w:ascii="Arial Narrow" w:hAnsi="Arial Narrow" w:cs="Calibri"/>
                <w:b/>
                <w:bCs/>
                <w:sz w:val="18"/>
                <w:szCs w:val="18"/>
                <w:lang w:val="bg-BG"/>
              </w:rPr>
              <w:t>-</w:t>
            </w:r>
          </w:p>
        </w:tc>
        <w:tc>
          <w:tcPr>
            <w:tcW w:w="680" w:type="dxa"/>
            <w:tcBorders>
              <w:top w:val="nil"/>
              <w:left w:val="nil"/>
              <w:bottom w:val="single" w:sz="4" w:space="0" w:color="auto"/>
              <w:right w:val="single" w:sz="4" w:space="0" w:color="auto"/>
            </w:tcBorders>
            <w:shd w:val="clear" w:color="auto" w:fill="auto"/>
            <w:noWrap/>
            <w:vAlign w:val="center"/>
            <w:hideMark/>
          </w:tcPr>
          <w:p w14:paraId="7AC47A08" w14:textId="77777777" w:rsidR="00CA32C6" w:rsidRPr="00CA32C6" w:rsidRDefault="00CA32C6" w:rsidP="00CA32C6">
            <w:pPr>
              <w:jc w:val="right"/>
              <w:rPr>
                <w:rFonts w:ascii="Arial Narrow" w:hAnsi="Arial Narrow" w:cs="Calibri"/>
                <w:b/>
                <w:bCs/>
                <w:sz w:val="18"/>
                <w:szCs w:val="18"/>
                <w:lang w:val="bg-BG"/>
              </w:rPr>
            </w:pPr>
            <w:r w:rsidRPr="00CA32C6">
              <w:rPr>
                <w:rFonts w:ascii="Arial Narrow" w:hAnsi="Arial Narrow" w:cs="Calibri"/>
                <w:b/>
                <w:bCs/>
                <w:sz w:val="18"/>
                <w:szCs w:val="18"/>
                <w:lang w:val="bg-BG"/>
              </w:rPr>
              <w:t>-</w:t>
            </w:r>
          </w:p>
        </w:tc>
      </w:tr>
      <w:tr w:rsidR="00CA32C6" w:rsidRPr="00CA32C6" w14:paraId="35B20BFC" w14:textId="77777777" w:rsidTr="009C6577">
        <w:trPr>
          <w:trHeight w:val="287"/>
          <w:jc w:val="center"/>
        </w:trPr>
        <w:tc>
          <w:tcPr>
            <w:tcW w:w="1367" w:type="dxa"/>
            <w:tcBorders>
              <w:top w:val="nil"/>
              <w:left w:val="single" w:sz="4" w:space="0" w:color="auto"/>
              <w:bottom w:val="single" w:sz="4" w:space="0" w:color="auto"/>
              <w:right w:val="single" w:sz="4" w:space="0" w:color="auto"/>
            </w:tcBorders>
            <w:shd w:val="clear" w:color="auto" w:fill="auto"/>
            <w:vAlign w:val="center"/>
            <w:hideMark/>
          </w:tcPr>
          <w:p w14:paraId="02DC5807" w14:textId="77777777" w:rsidR="00CA32C6" w:rsidRPr="00CA32C6" w:rsidRDefault="00CA32C6" w:rsidP="00CA32C6">
            <w:pPr>
              <w:rPr>
                <w:rFonts w:ascii="Arial Narrow" w:hAnsi="Arial Narrow" w:cs="Calibri"/>
                <w:b/>
                <w:bCs/>
                <w:sz w:val="18"/>
                <w:szCs w:val="18"/>
                <w:lang w:val="bg-BG"/>
              </w:rPr>
            </w:pPr>
            <w:r w:rsidRPr="00CA32C6">
              <w:rPr>
                <w:rFonts w:ascii="Arial Narrow" w:hAnsi="Arial Narrow" w:cs="Calibri"/>
                <w:b/>
                <w:bCs/>
                <w:sz w:val="18"/>
                <w:szCs w:val="18"/>
                <w:lang w:val="bg-BG"/>
              </w:rPr>
              <w:t>Картофи</w:t>
            </w:r>
          </w:p>
        </w:tc>
        <w:tc>
          <w:tcPr>
            <w:tcW w:w="761" w:type="dxa"/>
            <w:tcBorders>
              <w:top w:val="nil"/>
              <w:left w:val="nil"/>
              <w:bottom w:val="single" w:sz="4" w:space="0" w:color="auto"/>
              <w:right w:val="single" w:sz="4" w:space="0" w:color="auto"/>
            </w:tcBorders>
            <w:shd w:val="clear" w:color="auto" w:fill="auto"/>
            <w:noWrap/>
            <w:vAlign w:val="center"/>
            <w:hideMark/>
          </w:tcPr>
          <w:p w14:paraId="5A29AE5A" w14:textId="77777777" w:rsidR="00CA32C6" w:rsidRPr="00CA32C6" w:rsidRDefault="00CA32C6" w:rsidP="00CA32C6">
            <w:pPr>
              <w:jc w:val="right"/>
              <w:rPr>
                <w:rFonts w:ascii="Arial Narrow" w:hAnsi="Arial Narrow" w:cs="Calibri"/>
                <w:b/>
                <w:bCs/>
                <w:sz w:val="18"/>
                <w:szCs w:val="18"/>
                <w:lang w:val="bg-BG"/>
              </w:rPr>
            </w:pPr>
            <w:r w:rsidRPr="00CA32C6">
              <w:rPr>
                <w:rFonts w:ascii="Arial Narrow" w:hAnsi="Arial Narrow" w:cs="Calibri"/>
                <w:b/>
                <w:bCs/>
                <w:sz w:val="18"/>
                <w:szCs w:val="18"/>
                <w:lang w:val="bg-BG"/>
              </w:rPr>
              <w:t>7 019</w:t>
            </w:r>
          </w:p>
        </w:tc>
        <w:tc>
          <w:tcPr>
            <w:tcW w:w="761" w:type="dxa"/>
            <w:tcBorders>
              <w:top w:val="nil"/>
              <w:left w:val="nil"/>
              <w:bottom w:val="single" w:sz="4" w:space="0" w:color="auto"/>
              <w:right w:val="single" w:sz="4" w:space="0" w:color="auto"/>
            </w:tcBorders>
            <w:shd w:val="clear" w:color="auto" w:fill="auto"/>
            <w:noWrap/>
            <w:vAlign w:val="center"/>
            <w:hideMark/>
          </w:tcPr>
          <w:p w14:paraId="0C129A2D" w14:textId="77777777" w:rsidR="00CA32C6" w:rsidRPr="00CA32C6" w:rsidRDefault="00CA32C6" w:rsidP="00CA32C6">
            <w:pPr>
              <w:jc w:val="right"/>
              <w:rPr>
                <w:rFonts w:ascii="Arial Narrow" w:hAnsi="Arial Narrow" w:cs="Calibri"/>
                <w:b/>
                <w:bCs/>
                <w:sz w:val="18"/>
                <w:szCs w:val="18"/>
                <w:lang w:val="bg-BG"/>
              </w:rPr>
            </w:pPr>
            <w:r w:rsidRPr="00CA32C6">
              <w:rPr>
                <w:rFonts w:ascii="Arial Narrow" w:hAnsi="Arial Narrow" w:cs="Calibri"/>
                <w:b/>
                <w:bCs/>
                <w:sz w:val="18"/>
                <w:szCs w:val="18"/>
                <w:lang w:val="bg-BG"/>
              </w:rPr>
              <w:t>6 770</w:t>
            </w:r>
          </w:p>
        </w:tc>
        <w:tc>
          <w:tcPr>
            <w:tcW w:w="761" w:type="dxa"/>
            <w:tcBorders>
              <w:top w:val="nil"/>
              <w:left w:val="nil"/>
              <w:bottom w:val="single" w:sz="4" w:space="0" w:color="auto"/>
              <w:right w:val="single" w:sz="4" w:space="0" w:color="auto"/>
            </w:tcBorders>
            <w:shd w:val="clear" w:color="auto" w:fill="auto"/>
            <w:noWrap/>
            <w:vAlign w:val="center"/>
            <w:hideMark/>
          </w:tcPr>
          <w:p w14:paraId="40B174E8" w14:textId="77777777" w:rsidR="00CA32C6" w:rsidRPr="00CA32C6" w:rsidRDefault="00CA32C6" w:rsidP="00CA32C6">
            <w:pPr>
              <w:jc w:val="right"/>
              <w:rPr>
                <w:rFonts w:ascii="Arial Narrow" w:hAnsi="Arial Narrow" w:cs="Calibri"/>
                <w:b/>
                <w:bCs/>
                <w:sz w:val="18"/>
                <w:szCs w:val="18"/>
                <w:lang w:val="bg-BG"/>
              </w:rPr>
            </w:pPr>
            <w:r w:rsidRPr="00CA32C6">
              <w:rPr>
                <w:rFonts w:ascii="Arial Narrow" w:hAnsi="Arial Narrow" w:cs="Calibri"/>
                <w:b/>
                <w:bCs/>
                <w:sz w:val="18"/>
                <w:szCs w:val="18"/>
                <w:lang w:val="bg-BG"/>
              </w:rPr>
              <w:t>5</w:t>
            </w:r>
          </w:p>
        </w:tc>
        <w:tc>
          <w:tcPr>
            <w:tcW w:w="761" w:type="dxa"/>
            <w:tcBorders>
              <w:top w:val="nil"/>
              <w:left w:val="nil"/>
              <w:bottom w:val="single" w:sz="4" w:space="0" w:color="auto"/>
              <w:right w:val="single" w:sz="4" w:space="0" w:color="auto"/>
            </w:tcBorders>
            <w:shd w:val="clear" w:color="auto" w:fill="auto"/>
            <w:noWrap/>
            <w:vAlign w:val="center"/>
            <w:hideMark/>
          </w:tcPr>
          <w:p w14:paraId="72DEC9D6" w14:textId="77777777" w:rsidR="00CA32C6" w:rsidRPr="00CA32C6" w:rsidRDefault="00CA32C6" w:rsidP="00CA32C6">
            <w:pPr>
              <w:jc w:val="right"/>
              <w:rPr>
                <w:rFonts w:ascii="Arial Narrow" w:hAnsi="Arial Narrow" w:cs="Calibri"/>
                <w:b/>
                <w:bCs/>
                <w:sz w:val="18"/>
                <w:szCs w:val="18"/>
                <w:lang w:val="bg-BG"/>
              </w:rPr>
            </w:pPr>
            <w:r w:rsidRPr="00CA32C6">
              <w:rPr>
                <w:rFonts w:ascii="Arial Narrow" w:hAnsi="Arial Narrow" w:cs="Calibri"/>
                <w:b/>
                <w:bCs/>
                <w:sz w:val="18"/>
                <w:szCs w:val="18"/>
                <w:lang w:val="bg-BG"/>
              </w:rPr>
              <w:t>-</w:t>
            </w:r>
          </w:p>
        </w:tc>
        <w:tc>
          <w:tcPr>
            <w:tcW w:w="761" w:type="dxa"/>
            <w:tcBorders>
              <w:top w:val="nil"/>
              <w:left w:val="nil"/>
              <w:bottom w:val="single" w:sz="4" w:space="0" w:color="auto"/>
              <w:right w:val="single" w:sz="4" w:space="0" w:color="auto"/>
            </w:tcBorders>
            <w:shd w:val="clear" w:color="auto" w:fill="auto"/>
            <w:noWrap/>
            <w:vAlign w:val="center"/>
            <w:hideMark/>
          </w:tcPr>
          <w:p w14:paraId="67F2039C" w14:textId="77777777" w:rsidR="00CA32C6" w:rsidRPr="00CA32C6" w:rsidRDefault="00CA32C6" w:rsidP="00CA32C6">
            <w:pPr>
              <w:jc w:val="right"/>
              <w:rPr>
                <w:rFonts w:ascii="Arial Narrow" w:hAnsi="Arial Narrow" w:cs="Calibri"/>
                <w:b/>
                <w:bCs/>
                <w:sz w:val="18"/>
                <w:szCs w:val="18"/>
                <w:lang w:val="bg-BG"/>
              </w:rPr>
            </w:pPr>
            <w:r w:rsidRPr="00CA32C6">
              <w:rPr>
                <w:rFonts w:ascii="Arial Narrow" w:hAnsi="Arial Narrow" w:cs="Calibri"/>
                <w:b/>
                <w:bCs/>
                <w:sz w:val="18"/>
                <w:szCs w:val="18"/>
                <w:lang w:val="bg-BG"/>
              </w:rPr>
              <w:t>119 135</w:t>
            </w:r>
          </w:p>
        </w:tc>
        <w:tc>
          <w:tcPr>
            <w:tcW w:w="761" w:type="dxa"/>
            <w:tcBorders>
              <w:top w:val="nil"/>
              <w:left w:val="nil"/>
              <w:bottom w:val="single" w:sz="4" w:space="0" w:color="auto"/>
              <w:right w:val="single" w:sz="4" w:space="0" w:color="auto"/>
            </w:tcBorders>
            <w:shd w:val="clear" w:color="auto" w:fill="auto"/>
            <w:noWrap/>
            <w:vAlign w:val="center"/>
            <w:hideMark/>
          </w:tcPr>
          <w:p w14:paraId="4A817507" w14:textId="77777777" w:rsidR="00CA32C6" w:rsidRPr="00CA32C6" w:rsidRDefault="00CA32C6" w:rsidP="00CA32C6">
            <w:pPr>
              <w:jc w:val="right"/>
              <w:rPr>
                <w:rFonts w:ascii="Arial Narrow" w:hAnsi="Arial Narrow" w:cs="Calibri"/>
                <w:b/>
                <w:bCs/>
                <w:sz w:val="18"/>
                <w:szCs w:val="18"/>
                <w:lang w:val="bg-BG"/>
              </w:rPr>
            </w:pPr>
            <w:r w:rsidRPr="00CA32C6">
              <w:rPr>
                <w:rFonts w:ascii="Arial Narrow" w:hAnsi="Arial Narrow" w:cs="Calibri"/>
                <w:b/>
                <w:bCs/>
                <w:sz w:val="18"/>
                <w:szCs w:val="18"/>
                <w:lang w:val="bg-BG"/>
              </w:rPr>
              <w:t>113 935</w:t>
            </w:r>
          </w:p>
        </w:tc>
        <w:tc>
          <w:tcPr>
            <w:tcW w:w="761" w:type="dxa"/>
            <w:tcBorders>
              <w:top w:val="nil"/>
              <w:left w:val="nil"/>
              <w:bottom w:val="single" w:sz="4" w:space="0" w:color="auto"/>
              <w:right w:val="single" w:sz="4" w:space="0" w:color="auto"/>
            </w:tcBorders>
            <w:shd w:val="clear" w:color="auto" w:fill="auto"/>
            <w:noWrap/>
            <w:vAlign w:val="center"/>
            <w:hideMark/>
          </w:tcPr>
          <w:p w14:paraId="637362F6" w14:textId="77777777" w:rsidR="00CA32C6" w:rsidRPr="00CA32C6" w:rsidRDefault="00CA32C6" w:rsidP="00CA32C6">
            <w:pPr>
              <w:jc w:val="right"/>
              <w:rPr>
                <w:rFonts w:ascii="Arial Narrow" w:hAnsi="Arial Narrow" w:cs="Calibri"/>
                <w:b/>
                <w:bCs/>
                <w:sz w:val="18"/>
                <w:szCs w:val="18"/>
                <w:lang w:val="bg-BG"/>
              </w:rPr>
            </w:pPr>
            <w:r w:rsidRPr="00CA32C6">
              <w:rPr>
                <w:rFonts w:ascii="Arial Narrow" w:hAnsi="Arial Narrow" w:cs="Calibri"/>
                <w:b/>
                <w:bCs/>
                <w:sz w:val="18"/>
                <w:szCs w:val="18"/>
                <w:lang w:val="bg-BG"/>
              </w:rPr>
              <w:t>104</w:t>
            </w:r>
          </w:p>
        </w:tc>
        <w:tc>
          <w:tcPr>
            <w:tcW w:w="761" w:type="dxa"/>
            <w:tcBorders>
              <w:top w:val="nil"/>
              <w:left w:val="nil"/>
              <w:bottom w:val="single" w:sz="4" w:space="0" w:color="auto"/>
              <w:right w:val="single" w:sz="4" w:space="0" w:color="auto"/>
            </w:tcBorders>
            <w:shd w:val="clear" w:color="auto" w:fill="auto"/>
            <w:noWrap/>
            <w:vAlign w:val="center"/>
            <w:hideMark/>
          </w:tcPr>
          <w:p w14:paraId="5CA853E7" w14:textId="77777777" w:rsidR="00CA32C6" w:rsidRPr="00CA32C6" w:rsidRDefault="00CA32C6" w:rsidP="00CA32C6">
            <w:pPr>
              <w:jc w:val="right"/>
              <w:rPr>
                <w:rFonts w:ascii="Arial Narrow" w:hAnsi="Arial Narrow" w:cs="Calibri"/>
                <w:b/>
                <w:bCs/>
                <w:sz w:val="18"/>
                <w:szCs w:val="18"/>
                <w:lang w:val="bg-BG"/>
              </w:rPr>
            </w:pPr>
            <w:r w:rsidRPr="00CA32C6">
              <w:rPr>
                <w:rFonts w:ascii="Arial Narrow" w:hAnsi="Arial Narrow" w:cs="Calibri"/>
                <w:b/>
                <w:bCs/>
                <w:sz w:val="18"/>
                <w:szCs w:val="18"/>
                <w:lang w:val="bg-BG"/>
              </w:rPr>
              <w:t>-</w:t>
            </w:r>
          </w:p>
        </w:tc>
        <w:tc>
          <w:tcPr>
            <w:tcW w:w="761" w:type="dxa"/>
            <w:tcBorders>
              <w:top w:val="nil"/>
              <w:left w:val="nil"/>
              <w:bottom w:val="single" w:sz="4" w:space="0" w:color="auto"/>
              <w:right w:val="single" w:sz="4" w:space="0" w:color="auto"/>
            </w:tcBorders>
            <w:shd w:val="clear" w:color="auto" w:fill="auto"/>
            <w:noWrap/>
            <w:vAlign w:val="center"/>
            <w:hideMark/>
          </w:tcPr>
          <w:p w14:paraId="40A7AB45" w14:textId="77777777" w:rsidR="00CA32C6" w:rsidRPr="00CA32C6" w:rsidRDefault="00CA32C6" w:rsidP="00CA32C6">
            <w:pPr>
              <w:jc w:val="right"/>
              <w:rPr>
                <w:rFonts w:ascii="Arial Narrow" w:hAnsi="Arial Narrow" w:cs="Calibri"/>
                <w:b/>
                <w:bCs/>
                <w:sz w:val="18"/>
                <w:szCs w:val="18"/>
                <w:lang w:val="bg-BG"/>
              </w:rPr>
            </w:pPr>
            <w:r w:rsidRPr="00CA32C6">
              <w:rPr>
                <w:rFonts w:ascii="Arial Narrow" w:hAnsi="Arial Narrow" w:cs="Calibri"/>
                <w:b/>
                <w:bCs/>
                <w:sz w:val="18"/>
                <w:szCs w:val="18"/>
                <w:lang w:val="bg-BG"/>
              </w:rPr>
              <w:t>119 239</w:t>
            </w:r>
          </w:p>
        </w:tc>
        <w:tc>
          <w:tcPr>
            <w:tcW w:w="761" w:type="dxa"/>
            <w:tcBorders>
              <w:top w:val="nil"/>
              <w:left w:val="nil"/>
              <w:bottom w:val="single" w:sz="4" w:space="0" w:color="auto"/>
              <w:right w:val="single" w:sz="4" w:space="0" w:color="auto"/>
            </w:tcBorders>
            <w:shd w:val="clear" w:color="auto" w:fill="auto"/>
            <w:noWrap/>
            <w:vAlign w:val="center"/>
            <w:hideMark/>
          </w:tcPr>
          <w:p w14:paraId="7B62548C" w14:textId="77777777" w:rsidR="00CA32C6" w:rsidRPr="00CA32C6" w:rsidRDefault="00CA32C6" w:rsidP="00CA32C6">
            <w:pPr>
              <w:jc w:val="right"/>
              <w:rPr>
                <w:rFonts w:ascii="Arial Narrow" w:hAnsi="Arial Narrow" w:cs="Calibri"/>
                <w:b/>
                <w:bCs/>
                <w:sz w:val="18"/>
                <w:szCs w:val="18"/>
                <w:lang w:val="bg-BG"/>
              </w:rPr>
            </w:pPr>
            <w:r w:rsidRPr="00CA32C6">
              <w:rPr>
                <w:rFonts w:ascii="Arial Narrow" w:hAnsi="Arial Narrow" w:cs="Calibri"/>
                <w:b/>
                <w:bCs/>
                <w:sz w:val="18"/>
                <w:szCs w:val="18"/>
                <w:lang w:val="bg-BG"/>
              </w:rPr>
              <w:t>113 935</w:t>
            </w:r>
          </w:p>
        </w:tc>
        <w:tc>
          <w:tcPr>
            <w:tcW w:w="915" w:type="dxa"/>
            <w:tcBorders>
              <w:top w:val="nil"/>
              <w:left w:val="nil"/>
              <w:bottom w:val="single" w:sz="4" w:space="0" w:color="auto"/>
              <w:right w:val="single" w:sz="4" w:space="0" w:color="auto"/>
            </w:tcBorders>
            <w:shd w:val="clear" w:color="auto" w:fill="auto"/>
            <w:noWrap/>
            <w:vAlign w:val="center"/>
            <w:hideMark/>
          </w:tcPr>
          <w:p w14:paraId="065280F0" w14:textId="77777777" w:rsidR="00CA32C6" w:rsidRPr="00CA32C6" w:rsidRDefault="00CA32C6" w:rsidP="00CA32C6">
            <w:pPr>
              <w:jc w:val="right"/>
              <w:rPr>
                <w:rFonts w:ascii="Arial Narrow" w:hAnsi="Arial Narrow" w:cs="Calibri"/>
                <w:b/>
                <w:bCs/>
                <w:sz w:val="18"/>
                <w:szCs w:val="18"/>
                <w:lang w:val="bg-BG"/>
              </w:rPr>
            </w:pPr>
            <w:r w:rsidRPr="00CA32C6">
              <w:rPr>
                <w:rFonts w:ascii="Arial Narrow" w:hAnsi="Arial Narrow" w:cs="Calibri"/>
                <w:b/>
                <w:bCs/>
                <w:sz w:val="18"/>
                <w:szCs w:val="18"/>
                <w:lang w:val="bg-BG"/>
              </w:rPr>
              <w:t>-4,4%</w:t>
            </w:r>
          </w:p>
        </w:tc>
        <w:tc>
          <w:tcPr>
            <w:tcW w:w="680" w:type="dxa"/>
            <w:tcBorders>
              <w:top w:val="nil"/>
              <w:left w:val="nil"/>
              <w:bottom w:val="single" w:sz="4" w:space="0" w:color="auto"/>
              <w:right w:val="single" w:sz="4" w:space="0" w:color="auto"/>
            </w:tcBorders>
            <w:shd w:val="clear" w:color="auto" w:fill="auto"/>
            <w:noWrap/>
            <w:vAlign w:val="center"/>
            <w:hideMark/>
          </w:tcPr>
          <w:p w14:paraId="26293741" w14:textId="77777777" w:rsidR="00CA32C6" w:rsidRPr="00CA32C6" w:rsidRDefault="00CA32C6" w:rsidP="00CA32C6">
            <w:pPr>
              <w:jc w:val="right"/>
              <w:rPr>
                <w:rFonts w:ascii="Arial Narrow" w:hAnsi="Arial Narrow" w:cs="Calibri"/>
                <w:b/>
                <w:bCs/>
                <w:sz w:val="18"/>
                <w:szCs w:val="18"/>
                <w:lang w:val="bg-BG"/>
              </w:rPr>
            </w:pPr>
            <w:r w:rsidRPr="00CA32C6">
              <w:rPr>
                <w:rFonts w:ascii="Arial Narrow" w:hAnsi="Arial Narrow" w:cs="Calibri"/>
                <w:b/>
                <w:bCs/>
                <w:sz w:val="18"/>
                <w:szCs w:val="18"/>
                <w:lang w:val="bg-BG"/>
              </w:rPr>
              <w:t>16 973</w:t>
            </w:r>
          </w:p>
        </w:tc>
        <w:tc>
          <w:tcPr>
            <w:tcW w:w="680" w:type="dxa"/>
            <w:tcBorders>
              <w:top w:val="nil"/>
              <w:left w:val="nil"/>
              <w:bottom w:val="single" w:sz="4" w:space="0" w:color="auto"/>
              <w:right w:val="single" w:sz="4" w:space="0" w:color="auto"/>
            </w:tcBorders>
            <w:shd w:val="clear" w:color="auto" w:fill="auto"/>
            <w:noWrap/>
            <w:vAlign w:val="center"/>
            <w:hideMark/>
          </w:tcPr>
          <w:p w14:paraId="163977B5" w14:textId="77777777" w:rsidR="00CA32C6" w:rsidRPr="00CA32C6" w:rsidRDefault="00CA32C6" w:rsidP="00CA32C6">
            <w:pPr>
              <w:jc w:val="right"/>
              <w:rPr>
                <w:rFonts w:ascii="Arial Narrow" w:hAnsi="Arial Narrow" w:cs="Calibri"/>
                <w:b/>
                <w:bCs/>
                <w:sz w:val="18"/>
                <w:szCs w:val="18"/>
                <w:lang w:val="bg-BG"/>
              </w:rPr>
            </w:pPr>
            <w:r w:rsidRPr="00CA32C6">
              <w:rPr>
                <w:rFonts w:ascii="Arial Narrow" w:hAnsi="Arial Narrow" w:cs="Calibri"/>
                <w:b/>
                <w:bCs/>
                <w:sz w:val="18"/>
                <w:szCs w:val="18"/>
                <w:lang w:val="bg-BG"/>
              </w:rPr>
              <w:t>16 829</w:t>
            </w:r>
          </w:p>
        </w:tc>
      </w:tr>
      <w:tr w:rsidR="00CA32C6" w:rsidRPr="00CA32C6" w14:paraId="4E0C0C7C" w14:textId="77777777" w:rsidTr="009C6577">
        <w:trPr>
          <w:trHeight w:val="287"/>
          <w:jc w:val="center"/>
        </w:trPr>
        <w:tc>
          <w:tcPr>
            <w:tcW w:w="1367" w:type="dxa"/>
            <w:tcBorders>
              <w:top w:val="nil"/>
              <w:left w:val="single" w:sz="4" w:space="0" w:color="auto"/>
              <w:bottom w:val="single" w:sz="4" w:space="0" w:color="auto"/>
              <w:right w:val="single" w:sz="4" w:space="0" w:color="auto"/>
            </w:tcBorders>
            <w:shd w:val="clear" w:color="auto" w:fill="auto"/>
            <w:vAlign w:val="center"/>
            <w:hideMark/>
          </w:tcPr>
          <w:p w14:paraId="0A8282FD" w14:textId="77777777" w:rsidR="00CA32C6" w:rsidRPr="00CA32C6" w:rsidRDefault="00CA32C6" w:rsidP="00CA32C6">
            <w:pPr>
              <w:rPr>
                <w:rFonts w:ascii="Arial Narrow" w:hAnsi="Arial Narrow" w:cs="Calibri"/>
                <w:b/>
                <w:bCs/>
                <w:sz w:val="18"/>
                <w:szCs w:val="18"/>
                <w:lang w:val="bg-BG"/>
              </w:rPr>
            </w:pPr>
            <w:r w:rsidRPr="00CA32C6">
              <w:rPr>
                <w:rFonts w:ascii="Arial Narrow" w:hAnsi="Arial Narrow" w:cs="Calibri"/>
                <w:b/>
                <w:bCs/>
                <w:sz w:val="18"/>
                <w:szCs w:val="18"/>
                <w:lang w:val="bg-BG"/>
              </w:rPr>
              <w:t>Ягоди</w:t>
            </w:r>
          </w:p>
        </w:tc>
        <w:tc>
          <w:tcPr>
            <w:tcW w:w="761" w:type="dxa"/>
            <w:tcBorders>
              <w:top w:val="nil"/>
              <w:left w:val="nil"/>
              <w:bottom w:val="single" w:sz="4" w:space="0" w:color="auto"/>
              <w:right w:val="single" w:sz="4" w:space="0" w:color="auto"/>
            </w:tcBorders>
            <w:shd w:val="clear" w:color="auto" w:fill="auto"/>
            <w:noWrap/>
            <w:vAlign w:val="center"/>
            <w:hideMark/>
          </w:tcPr>
          <w:p w14:paraId="4BE7DF7A" w14:textId="77777777" w:rsidR="00CA32C6" w:rsidRPr="00CA32C6" w:rsidRDefault="00CA32C6" w:rsidP="00CA32C6">
            <w:pPr>
              <w:jc w:val="right"/>
              <w:rPr>
                <w:rFonts w:ascii="Arial Narrow" w:hAnsi="Arial Narrow" w:cs="Calibri"/>
                <w:b/>
                <w:bCs/>
                <w:sz w:val="18"/>
                <w:szCs w:val="18"/>
                <w:lang w:val="bg-BG"/>
              </w:rPr>
            </w:pPr>
            <w:r w:rsidRPr="00CA32C6">
              <w:rPr>
                <w:rFonts w:ascii="Arial Narrow" w:hAnsi="Arial Narrow" w:cs="Calibri"/>
                <w:b/>
                <w:bCs/>
                <w:sz w:val="18"/>
                <w:szCs w:val="18"/>
                <w:lang w:val="bg-BG"/>
              </w:rPr>
              <w:t>691</w:t>
            </w:r>
          </w:p>
        </w:tc>
        <w:tc>
          <w:tcPr>
            <w:tcW w:w="761" w:type="dxa"/>
            <w:tcBorders>
              <w:top w:val="nil"/>
              <w:left w:val="nil"/>
              <w:bottom w:val="single" w:sz="4" w:space="0" w:color="auto"/>
              <w:right w:val="single" w:sz="4" w:space="0" w:color="auto"/>
            </w:tcBorders>
            <w:shd w:val="clear" w:color="auto" w:fill="auto"/>
            <w:noWrap/>
            <w:vAlign w:val="center"/>
            <w:hideMark/>
          </w:tcPr>
          <w:p w14:paraId="197534AC" w14:textId="77777777" w:rsidR="00CA32C6" w:rsidRPr="00CA32C6" w:rsidRDefault="00CA32C6" w:rsidP="00CA32C6">
            <w:pPr>
              <w:jc w:val="right"/>
              <w:rPr>
                <w:rFonts w:ascii="Arial Narrow" w:hAnsi="Arial Narrow" w:cs="Calibri"/>
                <w:b/>
                <w:bCs/>
                <w:sz w:val="18"/>
                <w:szCs w:val="18"/>
                <w:lang w:val="bg-BG"/>
              </w:rPr>
            </w:pPr>
            <w:r w:rsidRPr="00CA32C6">
              <w:rPr>
                <w:rFonts w:ascii="Arial Narrow" w:hAnsi="Arial Narrow" w:cs="Calibri"/>
                <w:b/>
                <w:bCs/>
                <w:sz w:val="18"/>
                <w:szCs w:val="18"/>
                <w:lang w:val="bg-BG"/>
              </w:rPr>
              <w:t>645</w:t>
            </w:r>
          </w:p>
        </w:tc>
        <w:tc>
          <w:tcPr>
            <w:tcW w:w="761" w:type="dxa"/>
            <w:tcBorders>
              <w:top w:val="nil"/>
              <w:left w:val="nil"/>
              <w:bottom w:val="single" w:sz="4" w:space="0" w:color="auto"/>
              <w:right w:val="single" w:sz="4" w:space="0" w:color="auto"/>
            </w:tcBorders>
            <w:shd w:val="clear" w:color="auto" w:fill="auto"/>
            <w:noWrap/>
            <w:vAlign w:val="center"/>
            <w:hideMark/>
          </w:tcPr>
          <w:p w14:paraId="40726CCC" w14:textId="77777777" w:rsidR="00CA32C6" w:rsidRPr="00CA32C6" w:rsidRDefault="00CA32C6" w:rsidP="00CA32C6">
            <w:pPr>
              <w:jc w:val="right"/>
              <w:rPr>
                <w:rFonts w:ascii="Arial Narrow" w:hAnsi="Arial Narrow" w:cs="Calibri"/>
                <w:b/>
                <w:bCs/>
                <w:sz w:val="18"/>
                <w:szCs w:val="18"/>
                <w:lang w:val="bg-BG"/>
              </w:rPr>
            </w:pPr>
            <w:r w:rsidRPr="00CA32C6">
              <w:rPr>
                <w:rFonts w:ascii="Arial Narrow" w:hAnsi="Arial Narrow" w:cs="Calibri"/>
                <w:b/>
                <w:bCs/>
                <w:sz w:val="18"/>
                <w:szCs w:val="18"/>
                <w:lang w:val="bg-BG"/>
              </w:rPr>
              <w:t>68</w:t>
            </w:r>
          </w:p>
        </w:tc>
        <w:tc>
          <w:tcPr>
            <w:tcW w:w="761" w:type="dxa"/>
            <w:tcBorders>
              <w:top w:val="nil"/>
              <w:left w:val="nil"/>
              <w:bottom w:val="single" w:sz="4" w:space="0" w:color="auto"/>
              <w:right w:val="single" w:sz="4" w:space="0" w:color="auto"/>
            </w:tcBorders>
            <w:shd w:val="clear" w:color="auto" w:fill="auto"/>
            <w:noWrap/>
            <w:vAlign w:val="center"/>
            <w:hideMark/>
          </w:tcPr>
          <w:p w14:paraId="00C49E70" w14:textId="77777777" w:rsidR="00CA32C6" w:rsidRPr="00CA32C6" w:rsidRDefault="00CA32C6" w:rsidP="00CA32C6">
            <w:pPr>
              <w:jc w:val="right"/>
              <w:rPr>
                <w:rFonts w:ascii="Arial Narrow" w:hAnsi="Arial Narrow" w:cs="Calibri"/>
                <w:b/>
                <w:bCs/>
                <w:sz w:val="18"/>
                <w:szCs w:val="18"/>
                <w:lang w:val="bg-BG"/>
              </w:rPr>
            </w:pPr>
            <w:r w:rsidRPr="00CA32C6">
              <w:rPr>
                <w:rFonts w:ascii="Arial Narrow" w:hAnsi="Arial Narrow" w:cs="Calibri"/>
                <w:b/>
                <w:bCs/>
                <w:sz w:val="18"/>
                <w:szCs w:val="18"/>
                <w:lang w:val="bg-BG"/>
              </w:rPr>
              <w:t>65</w:t>
            </w:r>
          </w:p>
        </w:tc>
        <w:tc>
          <w:tcPr>
            <w:tcW w:w="761" w:type="dxa"/>
            <w:tcBorders>
              <w:top w:val="nil"/>
              <w:left w:val="nil"/>
              <w:bottom w:val="single" w:sz="4" w:space="0" w:color="auto"/>
              <w:right w:val="single" w:sz="4" w:space="0" w:color="auto"/>
            </w:tcBorders>
            <w:shd w:val="clear" w:color="auto" w:fill="auto"/>
            <w:noWrap/>
            <w:vAlign w:val="center"/>
            <w:hideMark/>
          </w:tcPr>
          <w:p w14:paraId="11FED760" w14:textId="77777777" w:rsidR="00CA32C6" w:rsidRPr="00CA32C6" w:rsidRDefault="00CA32C6" w:rsidP="00CA32C6">
            <w:pPr>
              <w:jc w:val="right"/>
              <w:rPr>
                <w:rFonts w:ascii="Arial Narrow" w:hAnsi="Arial Narrow" w:cs="Calibri"/>
                <w:b/>
                <w:bCs/>
                <w:sz w:val="18"/>
                <w:szCs w:val="18"/>
                <w:lang w:val="bg-BG"/>
              </w:rPr>
            </w:pPr>
            <w:r w:rsidRPr="00CA32C6">
              <w:rPr>
                <w:rFonts w:ascii="Arial Narrow" w:hAnsi="Arial Narrow" w:cs="Calibri"/>
                <w:b/>
                <w:bCs/>
                <w:sz w:val="18"/>
                <w:szCs w:val="18"/>
                <w:lang w:val="bg-BG"/>
              </w:rPr>
              <w:t>4 061</w:t>
            </w:r>
          </w:p>
        </w:tc>
        <w:tc>
          <w:tcPr>
            <w:tcW w:w="761" w:type="dxa"/>
            <w:tcBorders>
              <w:top w:val="nil"/>
              <w:left w:val="nil"/>
              <w:bottom w:val="single" w:sz="4" w:space="0" w:color="auto"/>
              <w:right w:val="single" w:sz="4" w:space="0" w:color="auto"/>
            </w:tcBorders>
            <w:shd w:val="clear" w:color="auto" w:fill="auto"/>
            <w:noWrap/>
            <w:vAlign w:val="center"/>
            <w:hideMark/>
          </w:tcPr>
          <w:p w14:paraId="7899498D" w14:textId="77777777" w:rsidR="00CA32C6" w:rsidRPr="00CA32C6" w:rsidRDefault="00CA32C6" w:rsidP="00CA32C6">
            <w:pPr>
              <w:jc w:val="right"/>
              <w:rPr>
                <w:rFonts w:ascii="Arial Narrow" w:hAnsi="Arial Narrow" w:cs="Calibri"/>
                <w:b/>
                <w:bCs/>
                <w:sz w:val="18"/>
                <w:szCs w:val="18"/>
                <w:lang w:val="bg-BG"/>
              </w:rPr>
            </w:pPr>
            <w:r w:rsidRPr="00CA32C6">
              <w:rPr>
                <w:rFonts w:ascii="Arial Narrow" w:hAnsi="Arial Narrow" w:cs="Calibri"/>
                <w:b/>
                <w:bCs/>
                <w:sz w:val="18"/>
                <w:szCs w:val="18"/>
                <w:lang w:val="bg-BG"/>
              </w:rPr>
              <w:t>3 985</w:t>
            </w:r>
          </w:p>
        </w:tc>
        <w:tc>
          <w:tcPr>
            <w:tcW w:w="761" w:type="dxa"/>
            <w:tcBorders>
              <w:top w:val="nil"/>
              <w:left w:val="nil"/>
              <w:bottom w:val="single" w:sz="4" w:space="0" w:color="auto"/>
              <w:right w:val="single" w:sz="4" w:space="0" w:color="auto"/>
            </w:tcBorders>
            <w:shd w:val="clear" w:color="auto" w:fill="auto"/>
            <w:noWrap/>
            <w:vAlign w:val="center"/>
            <w:hideMark/>
          </w:tcPr>
          <w:p w14:paraId="2BA79D19" w14:textId="77777777" w:rsidR="00CA32C6" w:rsidRPr="00CA32C6" w:rsidRDefault="00CA32C6" w:rsidP="00CA32C6">
            <w:pPr>
              <w:jc w:val="right"/>
              <w:rPr>
                <w:rFonts w:ascii="Arial Narrow" w:hAnsi="Arial Narrow" w:cs="Calibri"/>
                <w:b/>
                <w:bCs/>
                <w:sz w:val="18"/>
                <w:szCs w:val="18"/>
                <w:lang w:val="bg-BG"/>
              </w:rPr>
            </w:pPr>
            <w:r w:rsidRPr="00CA32C6">
              <w:rPr>
                <w:rFonts w:ascii="Arial Narrow" w:hAnsi="Arial Narrow" w:cs="Calibri"/>
                <w:b/>
                <w:bCs/>
                <w:sz w:val="18"/>
                <w:szCs w:val="18"/>
                <w:lang w:val="bg-BG"/>
              </w:rPr>
              <w:t>1 145</w:t>
            </w:r>
          </w:p>
        </w:tc>
        <w:tc>
          <w:tcPr>
            <w:tcW w:w="761" w:type="dxa"/>
            <w:tcBorders>
              <w:top w:val="nil"/>
              <w:left w:val="nil"/>
              <w:bottom w:val="single" w:sz="4" w:space="0" w:color="auto"/>
              <w:right w:val="single" w:sz="4" w:space="0" w:color="auto"/>
            </w:tcBorders>
            <w:shd w:val="clear" w:color="auto" w:fill="auto"/>
            <w:noWrap/>
            <w:vAlign w:val="center"/>
            <w:hideMark/>
          </w:tcPr>
          <w:p w14:paraId="5842957B" w14:textId="77777777" w:rsidR="00CA32C6" w:rsidRPr="00CA32C6" w:rsidRDefault="00CA32C6" w:rsidP="00CA32C6">
            <w:pPr>
              <w:jc w:val="right"/>
              <w:rPr>
                <w:rFonts w:ascii="Arial Narrow" w:hAnsi="Arial Narrow" w:cs="Calibri"/>
                <w:b/>
                <w:bCs/>
                <w:sz w:val="18"/>
                <w:szCs w:val="18"/>
                <w:lang w:val="bg-BG"/>
              </w:rPr>
            </w:pPr>
            <w:r w:rsidRPr="00CA32C6">
              <w:rPr>
                <w:rFonts w:ascii="Arial Narrow" w:hAnsi="Arial Narrow" w:cs="Calibri"/>
                <w:b/>
                <w:bCs/>
                <w:sz w:val="18"/>
                <w:szCs w:val="18"/>
                <w:lang w:val="bg-BG"/>
              </w:rPr>
              <w:t>742</w:t>
            </w:r>
          </w:p>
        </w:tc>
        <w:tc>
          <w:tcPr>
            <w:tcW w:w="761" w:type="dxa"/>
            <w:tcBorders>
              <w:top w:val="nil"/>
              <w:left w:val="nil"/>
              <w:bottom w:val="single" w:sz="4" w:space="0" w:color="auto"/>
              <w:right w:val="single" w:sz="4" w:space="0" w:color="auto"/>
            </w:tcBorders>
            <w:shd w:val="clear" w:color="auto" w:fill="auto"/>
            <w:noWrap/>
            <w:vAlign w:val="center"/>
            <w:hideMark/>
          </w:tcPr>
          <w:p w14:paraId="0D6D81E1" w14:textId="77777777" w:rsidR="00CA32C6" w:rsidRPr="00CA32C6" w:rsidRDefault="00CA32C6" w:rsidP="00CA32C6">
            <w:pPr>
              <w:jc w:val="right"/>
              <w:rPr>
                <w:rFonts w:ascii="Arial Narrow" w:hAnsi="Arial Narrow" w:cs="Calibri"/>
                <w:b/>
                <w:bCs/>
                <w:sz w:val="18"/>
                <w:szCs w:val="18"/>
                <w:lang w:val="bg-BG"/>
              </w:rPr>
            </w:pPr>
            <w:r w:rsidRPr="00CA32C6">
              <w:rPr>
                <w:rFonts w:ascii="Arial Narrow" w:hAnsi="Arial Narrow" w:cs="Calibri"/>
                <w:b/>
                <w:bCs/>
                <w:sz w:val="18"/>
                <w:szCs w:val="18"/>
                <w:lang w:val="bg-BG"/>
              </w:rPr>
              <w:t>5 206</w:t>
            </w:r>
          </w:p>
        </w:tc>
        <w:tc>
          <w:tcPr>
            <w:tcW w:w="761" w:type="dxa"/>
            <w:tcBorders>
              <w:top w:val="nil"/>
              <w:left w:val="nil"/>
              <w:bottom w:val="single" w:sz="4" w:space="0" w:color="auto"/>
              <w:right w:val="single" w:sz="4" w:space="0" w:color="auto"/>
            </w:tcBorders>
            <w:shd w:val="clear" w:color="auto" w:fill="auto"/>
            <w:noWrap/>
            <w:vAlign w:val="center"/>
            <w:hideMark/>
          </w:tcPr>
          <w:p w14:paraId="3D1C4152" w14:textId="77777777" w:rsidR="00CA32C6" w:rsidRPr="00CA32C6" w:rsidRDefault="00CA32C6" w:rsidP="00CA32C6">
            <w:pPr>
              <w:jc w:val="right"/>
              <w:rPr>
                <w:rFonts w:ascii="Arial Narrow" w:hAnsi="Arial Narrow" w:cs="Calibri"/>
                <w:b/>
                <w:bCs/>
                <w:sz w:val="18"/>
                <w:szCs w:val="18"/>
                <w:lang w:val="bg-BG"/>
              </w:rPr>
            </w:pPr>
            <w:r w:rsidRPr="00CA32C6">
              <w:rPr>
                <w:rFonts w:ascii="Arial Narrow" w:hAnsi="Arial Narrow" w:cs="Calibri"/>
                <w:b/>
                <w:bCs/>
                <w:sz w:val="18"/>
                <w:szCs w:val="18"/>
                <w:lang w:val="bg-BG"/>
              </w:rPr>
              <w:t>4 727</w:t>
            </w:r>
          </w:p>
        </w:tc>
        <w:tc>
          <w:tcPr>
            <w:tcW w:w="915" w:type="dxa"/>
            <w:tcBorders>
              <w:top w:val="nil"/>
              <w:left w:val="nil"/>
              <w:bottom w:val="single" w:sz="4" w:space="0" w:color="auto"/>
              <w:right w:val="single" w:sz="4" w:space="0" w:color="auto"/>
            </w:tcBorders>
            <w:shd w:val="clear" w:color="auto" w:fill="auto"/>
            <w:noWrap/>
            <w:vAlign w:val="center"/>
            <w:hideMark/>
          </w:tcPr>
          <w:p w14:paraId="0002C38E" w14:textId="77777777" w:rsidR="00CA32C6" w:rsidRPr="00CA32C6" w:rsidRDefault="00CA32C6" w:rsidP="00CA32C6">
            <w:pPr>
              <w:jc w:val="right"/>
              <w:rPr>
                <w:rFonts w:ascii="Arial Narrow" w:hAnsi="Arial Narrow" w:cs="Calibri"/>
                <w:b/>
                <w:bCs/>
                <w:sz w:val="18"/>
                <w:szCs w:val="18"/>
                <w:lang w:val="bg-BG"/>
              </w:rPr>
            </w:pPr>
            <w:r w:rsidRPr="00CA32C6">
              <w:rPr>
                <w:rFonts w:ascii="Arial Narrow" w:hAnsi="Arial Narrow" w:cs="Calibri"/>
                <w:b/>
                <w:bCs/>
                <w:sz w:val="18"/>
                <w:szCs w:val="18"/>
                <w:lang w:val="bg-BG"/>
              </w:rPr>
              <w:t>-9,2%</w:t>
            </w:r>
          </w:p>
        </w:tc>
        <w:tc>
          <w:tcPr>
            <w:tcW w:w="680" w:type="dxa"/>
            <w:tcBorders>
              <w:top w:val="nil"/>
              <w:left w:val="nil"/>
              <w:bottom w:val="single" w:sz="4" w:space="0" w:color="auto"/>
              <w:right w:val="single" w:sz="4" w:space="0" w:color="auto"/>
            </w:tcBorders>
            <w:shd w:val="clear" w:color="auto" w:fill="auto"/>
            <w:noWrap/>
            <w:vAlign w:val="center"/>
            <w:hideMark/>
          </w:tcPr>
          <w:p w14:paraId="0514CD1F" w14:textId="77777777" w:rsidR="00CA32C6" w:rsidRPr="00CA32C6" w:rsidRDefault="00CA32C6" w:rsidP="00CA32C6">
            <w:pPr>
              <w:jc w:val="right"/>
              <w:rPr>
                <w:rFonts w:ascii="Arial Narrow" w:hAnsi="Arial Narrow" w:cs="Calibri"/>
                <w:b/>
                <w:bCs/>
                <w:sz w:val="18"/>
                <w:szCs w:val="18"/>
                <w:lang w:val="bg-BG"/>
              </w:rPr>
            </w:pPr>
            <w:r w:rsidRPr="00CA32C6">
              <w:rPr>
                <w:rFonts w:ascii="Arial Narrow" w:hAnsi="Arial Narrow" w:cs="Calibri"/>
                <w:b/>
                <w:bCs/>
                <w:sz w:val="18"/>
                <w:szCs w:val="18"/>
                <w:lang w:val="bg-BG"/>
              </w:rPr>
              <w:t>5 877</w:t>
            </w:r>
          </w:p>
        </w:tc>
        <w:tc>
          <w:tcPr>
            <w:tcW w:w="680" w:type="dxa"/>
            <w:tcBorders>
              <w:top w:val="nil"/>
              <w:left w:val="nil"/>
              <w:bottom w:val="single" w:sz="4" w:space="0" w:color="auto"/>
              <w:right w:val="single" w:sz="4" w:space="0" w:color="auto"/>
            </w:tcBorders>
            <w:shd w:val="clear" w:color="auto" w:fill="auto"/>
            <w:noWrap/>
            <w:vAlign w:val="center"/>
            <w:hideMark/>
          </w:tcPr>
          <w:p w14:paraId="0A0DCA06" w14:textId="77777777" w:rsidR="00CA32C6" w:rsidRPr="00CA32C6" w:rsidRDefault="00CA32C6" w:rsidP="00CA32C6">
            <w:pPr>
              <w:jc w:val="right"/>
              <w:rPr>
                <w:rFonts w:ascii="Arial Narrow" w:hAnsi="Arial Narrow" w:cs="Calibri"/>
                <w:b/>
                <w:bCs/>
                <w:sz w:val="18"/>
                <w:szCs w:val="18"/>
                <w:lang w:val="bg-BG"/>
              </w:rPr>
            </w:pPr>
            <w:r w:rsidRPr="00CA32C6">
              <w:rPr>
                <w:rFonts w:ascii="Arial Narrow" w:hAnsi="Arial Narrow" w:cs="Calibri"/>
                <w:b/>
                <w:bCs/>
                <w:sz w:val="18"/>
                <w:szCs w:val="18"/>
                <w:lang w:val="bg-BG"/>
              </w:rPr>
              <w:t>6 178</w:t>
            </w:r>
          </w:p>
        </w:tc>
      </w:tr>
      <w:tr w:rsidR="00CA32C6" w:rsidRPr="00CA32C6" w14:paraId="72AA1F34" w14:textId="77777777" w:rsidTr="009C6577">
        <w:trPr>
          <w:trHeight w:val="373"/>
          <w:jc w:val="center"/>
        </w:trPr>
        <w:tc>
          <w:tcPr>
            <w:tcW w:w="1367" w:type="dxa"/>
            <w:tcBorders>
              <w:top w:val="nil"/>
              <w:left w:val="single" w:sz="4" w:space="0" w:color="auto"/>
              <w:bottom w:val="single" w:sz="4" w:space="0" w:color="auto"/>
              <w:right w:val="single" w:sz="4" w:space="0" w:color="auto"/>
            </w:tcBorders>
            <w:shd w:val="clear" w:color="auto" w:fill="auto"/>
            <w:vAlign w:val="center"/>
            <w:hideMark/>
          </w:tcPr>
          <w:p w14:paraId="3F47DCA7" w14:textId="77777777" w:rsidR="00CA32C6" w:rsidRPr="00CA32C6" w:rsidRDefault="00CA32C6" w:rsidP="00CA32C6">
            <w:pPr>
              <w:rPr>
                <w:rFonts w:ascii="Arial Narrow" w:hAnsi="Arial Narrow" w:cs="Calibri"/>
                <w:b/>
                <w:bCs/>
                <w:sz w:val="18"/>
                <w:szCs w:val="18"/>
                <w:lang w:val="bg-BG"/>
              </w:rPr>
            </w:pPr>
            <w:r w:rsidRPr="00CA32C6">
              <w:rPr>
                <w:rFonts w:ascii="Arial Narrow" w:hAnsi="Arial Narrow" w:cs="Calibri"/>
                <w:b/>
                <w:bCs/>
                <w:sz w:val="18"/>
                <w:szCs w:val="18"/>
                <w:lang w:val="bg-BG"/>
              </w:rPr>
              <w:t>Общо зеленчуци</w:t>
            </w:r>
          </w:p>
        </w:tc>
        <w:tc>
          <w:tcPr>
            <w:tcW w:w="761" w:type="dxa"/>
            <w:tcBorders>
              <w:top w:val="nil"/>
              <w:left w:val="nil"/>
              <w:bottom w:val="single" w:sz="4" w:space="0" w:color="auto"/>
              <w:right w:val="single" w:sz="4" w:space="0" w:color="auto"/>
            </w:tcBorders>
            <w:shd w:val="clear" w:color="auto" w:fill="auto"/>
            <w:noWrap/>
            <w:vAlign w:val="center"/>
            <w:hideMark/>
          </w:tcPr>
          <w:p w14:paraId="42E8D580" w14:textId="77777777" w:rsidR="00CA32C6" w:rsidRPr="00CA32C6" w:rsidRDefault="00CA32C6" w:rsidP="00CA32C6">
            <w:pPr>
              <w:jc w:val="right"/>
              <w:rPr>
                <w:rFonts w:ascii="Arial Narrow" w:hAnsi="Arial Narrow" w:cs="Calibri"/>
                <w:b/>
                <w:bCs/>
                <w:sz w:val="18"/>
                <w:szCs w:val="18"/>
                <w:lang w:val="bg-BG"/>
              </w:rPr>
            </w:pPr>
            <w:r w:rsidRPr="00CA32C6">
              <w:rPr>
                <w:rFonts w:ascii="Arial Narrow" w:hAnsi="Arial Narrow" w:cs="Calibri"/>
                <w:b/>
                <w:bCs/>
                <w:sz w:val="18"/>
                <w:szCs w:val="18"/>
                <w:lang w:val="bg-BG"/>
              </w:rPr>
              <w:t>28 988</w:t>
            </w:r>
          </w:p>
        </w:tc>
        <w:tc>
          <w:tcPr>
            <w:tcW w:w="761" w:type="dxa"/>
            <w:tcBorders>
              <w:top w:val="nil"/>
              <w:left w:val="nil"/>
              <w:bottom w:val="single" w:sz="4" w:space="0" w:color="auto"/>
              <w:right w:val="single" w:sz="4" w:space="0" w:color="auto"/>
            </w:tcBorders>
            <w:shd w:val="clear" w:color="auto" w:fill="auto"/>
            <w:noWrap/>
            <w:vAlign w:val="center"/>
            <w:hideMark/>
          </w:tcPr>
          <w:p w14:paraId="79535960" w14:textId="77777777" w:rsidR="00CA32C6" w:rsidRPr="00CA32C6" w:rsidRDefault="00CA32C6" w:rsidP="00CA32C6">
            <w:pPr>
              <w:jc w:val="right"/>
              <w:rPr>
                <w:rFonts w:ascii="Arial Narrow" w:hAnsi="Arial Narrow" w:cs="Calibri"/>
                <w:b/>
                <w:bCs/>
                <w:sz w:val="18"/>
                <w:szCs w:val="18"/>
                <w:lang w:val="bg-BG"/>
              </w:rPr>
            </w:pPr>
            <w:r w:rsidRPr="00CA32C6">
              <w:rPr>
                <w:rFonts w:ascii="Arial Narrow" w:hAnsi="Arial Narrow" w:cs="Calibri"/>
                <w:b/>
                <w:bCs/>
                <w:sz w:val="18"/>
                <w:szCs w:val="18"/>
                <w:lang w:val="bg-BG"/>
              </w:rPr>
              <w:t>33 970</w:t>
            </w:r>
          </w:p>
        </w:tc>
        <w:tc>
          <w:tcPr>
            <w:tcW w:w="761" w:type="dxa"/>
            <w:tcBorders>
              <w:top w:val="nil"/>
              <w:left w:val="nil"/>
              <w:bottom w:val="single" w:sz="4" w:space="0" w:color="auto"/>
              <w:right w:val="single" w:sz="4" w:space="0" w:color="auto"/>
            </w:tcBorders>
            <w:shd w:val="clear" w:color="auto" w:fill="auto"/>
            <w:noWrap/>
            <w:vAlign w:val="center"/>
            <w:hideMark/>
          </w:tcPr>
          <w:p w14:paraId="0D98BBD4" w14:textId="77777777" w:rsidR="00CA32C6" w:rsidRPr="00CA32C6" w:rsidRDefault="00CA32C6" w:rsidP="00CA32C6">
            <w:pPr>
              <w:jc w:val="right"/>
              <w:rPr>
                <w:rFonts w:ascii="Arial Narrow" w:hAnsi="Arial Narrow" w:cs="Calibri"/>
                <w:b/>
                <w:bCs/>
                <w:sz w:val="18"/>
                <w:szCs w:val="18"/>
                <w:lang w:val="bg-BG"/>
              </w:rPr>
            </w:pPr>
            <w:r w:rsidRPr="00CA32C6">
              <w:rPr>
                <w:rFonts w:ascii="Arial Narrow" w:hAnsi="Arial Narrow" w:cs="Calibri"/>
                <w:b/>
                <w:bCs/>
                <w:sz w:val="18"/>
                <w:szCs w:val="18"/>
                <w:lang w:val="bg-BG"/>
              </w:rPr>
              <w:t>1 288</w:t>
            </w:r>
          </w:p>
        </w:tc>
        <w:tc>
          <w:tcPr>
            <w:tcW w:w="761" w:type="dxa"/>
            <w:tcBorders>
              <w:top w:val="nil"/>
              <w:left w:val="nil"/>
              <w:bottom w:val="single" w:sz="4" w:space="0" w:color="auto"/>
              <w:right w:val="single" w:sz="4" w:space="0" w:color="auto"/>
            </w:tcBorders>
            <w:shd w:val="clear" w:color="auto" w:fill="auto"/>
            <w:noWrap/>
            <w:vAlign w:val="center"/>
            <w:hideMark/>
          </w:tcPr>
          <w:p w14:paraId="376A628C" w14:textId="77777777" w:rsidR="00CA32C6" w:rsidRPr="00CA32C6" w:rsidRDefault="00CA32C6" w:rsidP="00CA32C6">
            <w:pPr>
              <w:jc w:val="right"/>
              <w:rPr>
                <w:rFonts w:ascii="Arial Narrow" w:hAnsi="Arial Narrow" w:cs="Calibri"/>
                <w:b/>
                <w:bCs/>
                <w:sz w:val="18"/>
                <w:szCs w:val="18"/>
                <w:lang w:val="bg-BG"/>
              </w:rPr>
            </w:pPr>
            <w:r w:rsidRPr="00CA32C6">
              <w:rPr>
                <w:rFonts w:ascii="Arial Narrow" w:hAnsi="Arial Narrow" w:cs="Calibri"/>
                <w:b/>
                <w:bCs/>
                <w:sz w:val="18"/>
                <w:szCs w:val="18"/>
                <w:lang w:val="bg-BG"/>
              </w:rPr>
              <w:t>1 332</w:t>
            </w:r>
          </w:p>
        </w:tc>
        <w:tc>
          <w:tcPr>
            <w:tcW w:w="761" w:type="dxa"/>
            <w:tcBorders>
              <w:top w:val="nil"/>
              <w:left w:val="nil"/>
              <w:bottom w:val="single" w:sz="4" w:space="0" w:color="auto"/>
              <w:right w:val="single" w:sz="4" w:space="0" w:color="auto"/>
            </w:tcBorders>
            <w:shd w:val="clear" w:color="auto" w:fill="auto"/>
            <w:noWrap/>
            <w:vAlign w:val="center"/>
            <w:hideMark/>
          </w:tcPr>
          <w:p w14:paraId="075366FC" w14:textId="77777777" w:rsidR="00CA32C6" w:rsidRPr="00CA32C6" w:rsidRDefault="00CA32C6" w:rsidP="00CA32C6">
            <w:pPr>
              <w:jc w:val="right"/>
              <w:rPr>
                <w:rFonts w:ascii="Arial Narrow" w:hAnsi="Arial Narrow" w:cs="Calibri"/>
                <w:b/>
                <w:bCs/>
                <w:sz w:val="18"/>
                <w:szCs w:val="18"/>
                <w:lang w:val="bg-BG"/>
              </w:rPr>
            </w:pPr>
            <w:r w:rsidRPr="00CA32C6">
              <w:rPr>
                <w:rFonts w:ascii="Arial Narrow" w:hAnsi="Arial Narrow" w:cs="Calibri"/>
                <w:b/>
                <w:bCs/>
                <w:sz w:val="18"/>
                <w:szCs w:val="18"/>
                <w:lang w:val="bg-BG"/>
              </w:rPr>
              <w:t>485 923</w:t>
            </w:r>
          </w:p>
        </w:tc>
        <w:tc>
          <w:tcPr>
            <w:tcW w:w="761" w:type="dxa"/>
            <w:tcBorders>
              <w:top w:val="nil"/>
              <w:left w:val="nil"/>
              <w:bottom w:val="single" w:sz="4" w:space="0" w:color="auto"/>
              <w:right w:val="single" w:sz="4" w:space="0" w:color="auto"/>
            </w:tcBorders>
            <w:shd w:val="clear" w:color="auto" w:fill="auto"/>
            <w:noWrap/>
            <w:vAlign w:val="center"/>
            <w:hideMark/>
          </w:tcPr>
          <w:p w14:paraId="25A28806" w14:textId="77777777" w:rsidR="00CA32C6" w:rsidRPr="00CA32C6" w:rsidRDefault="00CA32C6" w:rsidP="00CA32C6">
            <w:pPr>
              <w:jc w:val="right"/>
              <w:rPr>
                <w:rFonts w:ascii="Arial Narrow" w:hAnsi="Arial Narrow" w:cs="Calibri"/>
                <w:b/>
                <w:bCs/>
                <w:sz w:val="18"/>
                <w:szCs w:val="18"/>
                <w:lang w:val="bg-BG"/>
              </w:rPr>
            </w:pPr>
            <w:r w:rsidRPr="00CA32C6">
              <w:rPr>
                <w:rFonts w:ascii="Arial Narrow" w:hAnsi="Arial Narrow" w:cs="Calibri"/>
                <w:b/>
                <w:bCs/>
                <w:sz w:val="18"/>
                <w:szCs w:val="18"/>
                <w:lang w:val="bg-BG"/>
              </w:rPr>
              <w:t>535 681</w:t>
            </w:r>
          </w:p>
        </w:tc>
        <w:tc>
          <w:tcPr>
            <w:tcW w:w="761" w:type="dxa"/>
            <w:tcBorders>
              <w:top w:val="nil"/>
              <w:left w:val="nil"/>
              <w:bottom w:val="single" w:sz="4" w:space="0" w:color="auto"/>
              <w:right w:val="single" w:sz="4" w:space="0" w:color="auto"/>
            </w:tcBorders>
            <w:shd w:val="clear" w:color="auto" w:fill="auto"/>
            <w:noWrap/>
            <w:vAlign w:val="center"/>
            <w:hideMark/>
          </w:tcPr>
          <w:p w14:paraId="674903AD" w14:textId="77777777" w:rsidR="00CA32C6" w:rsidRPr="00CA32C6" w:rsidRDefault="00CA32C6" w:rsidP="00CA32C6">
            <w:pPr>
              <w:jc w:val="right"/>
              <w:rPr>
                <w:rFonts w:ascii="Arial Narrow" w:hAnsi="Arial Narrow" w:cs="Calibri"/>
                <w:b/>
                <w:bCs/>
                <w:sz w:val="18"/>
                <w:szCs w:val="18"/>
                <w:lang w:val="bg-BG"/>
              </w:rPr>
            </w:pPr>
            <w:r w:rsidRPr="00CA32C6">
              <w:rPr>
                <w:rFonts w:ascii="Arial Narrow" w:hAnsi="Arial Narrow" w:cs="Calibri"/>
                <w:b/>
                <w:bCs/>
                <w:sz w:val="18"/>
                <w:szCs w:val="18"/>
                <w:lang w:val="bg-BG"/>
              </w:rPr>
              <w:t>108 122</w:t>
            </w:r>
          </w:p>
        </w:tc>
        <w:tc>
          <w:tcPr>
            <w:tcW w:w="761" w:type="dxa"/>
            <w:tcBorders>
              <w:top w:val="nil"/>
              <w:left w:val="nil"/>
              <w:bottom w:val="single" w:sz="4" w:space="0" w:color="auto"/>
              <w:right w:val="single" w:sz="4" w:space="0" w:color="auto"/>
            </w:tcBorders>
            <w:shd w:val="clear" w:color="auto" w:fill="auto"/>
            <w:noWrap/>
            <w:vAlign w:val="center"/>
            <w:hideMark/>
          </w:tcPr>
          <w:p w14:paraId="771EF835" w14:textId="77777777" w:rsidR="00CA32C6" w:rsidRPr="00CA32C6" w:rsidRDefault="00CA32C6" w:rsidP="00CA32C6">
            <w:pPr>
              <w:jc w:val="right"/>
              <w:rPr>
                <w:rFonts w:ascii="Arial Narrow" w:hAnsi="Arial Narrow" w:cs="Calibri"/>
                <w:b/>
                <w:bCs/>
                <w:sz w:val="18"/>
                <w:szCs w:val="18"/>
                <w:lang w:val="bg-BG"/>
              </w:rPr>
            </w:pPr>
            <w:r w:rsidRPr="00CA32C6">
              <w:rPr>
                <w:rFonts w:ascii="Arial Narrow" w:hAnsi="Arial Narrow" w:cs="Calibri"/>
                <w:b/>
                <w:bCs/>
                <w:sz w:val="18"/>
                <w:szCs w:val="18"/>
                <w:lang w:val="bg-BG"/>
              </w:rPr>
              <w:t>109 997</w:t>
            </w:r>
          </w:p>
        </w:tc>
        <w:tc>
          <w:tcPr>
            <w:tcW w:w="761" w:type="dxa"/>
            <w:tcBorders>
              <w:top w:val="nil"/>
              <w:left w:val="nil"/>
              <w:bottom w:val="single" w:sz="4" w:space="0" w:color="auto"/>
              <w:right w:val="single" w:sz="4" w:space="0" w:color="auto"/>
            </w:tcBorders>
            <w:shd w:val="clear" w:color="auto" w:fill="auto"/>
            <w:noWrap/>
            <w:vAlign w:val="center"/>
            <w:hideMark/>
          </w:tcPr>
          <w:p w14:paraId="7A250CD3" w14:textId="77777777" w:rsidR="00CA32C6" w:rsidRPr="00CA32C6" w:rsidRDefault="00CA32C6" w:rsidP="00CA32C6">
            <w:pPr>
              <w:jc w:val="right"/>
              <w:rPr>
                <w:rFonts w:ascii="Arial Narrow" w:hAnsi="Arial Narrow" w:cs="Calibri"/>
                <w:b/>
                <w:bCs/>
                <w:sz w:val="18"/>
                <w:szCs w:val="18"/>
                <w:lang w:val="bg-BG"/>
              </w:rPr>
            </w:pPr>
            <w:r w:rsidRPr="00CA32C6">
              <w:rPr>
                <w:rFonts w:ascii="Arial Narrow" w:hAnsi="Arial Narrow" w:cs="Calibri"/>
                <w:b/>
                <w:bCs/>
                <w:sz w:val="18"/>
                <w:szCs w:val="18"/>
                <w:lang w:val="bg-BG"/>
              </w:rPr>
              <w:t>594 045</w:t>
            </w:r>
          </w:p>
        </w:tc>
        <w:tc>
          <w:tcPr>
            <w:tcW w:w="761" w:type="dxa"/>
            <w:tcBorders>
              <w:top w:val="nil"/>
              <w:left w:val="nil"/>
              <w:bottom w:val="single" w:sz="4" w:space="0" w:color="auto"/>
              <w:right w:val="single" w:sz="4" w:space="0" w:color="auto"/>
            </w:tcBorders>
            <w:shd w:val="clear" w:color="auto" w:fill="auto"/>
            <w:noWrap/>
            <w:vAlign w:val="center"/>
            <w:hideMark/>
          </w:tcPr>
          <w:p w14:paraId="7A69F95A" w14:textId="77777777" w:rsidR="00CA32C6" w:rsidRPr="00CA32C6" w:rsidRDefault="00CA32C6" w:rsidP="00CA32C6">
            <w:pPr>
              <w:jc w:val="right"/>
              <w:rPr>
                <w:rFonts w:ascii="Arial Narrow" w:hAnsi="Arial Narrow" w:cs="Calibri"/>
                <w:b/>
                <w:bCs/>
                <w:sz w:val="18"/>
                <w:szCs w:val="18"/>
                <w:lang w:val="bg-BG"/>
              </w:rPr>
            </w:pPr>
            <w:r w:rsidRPr="00CA32C6">
              <w:rPr>
                <w:rFonts w:ascii="Arial Narrow" w:hAnsi="Arial Narrow" w:cs="Calibri"/>
                <w:b/>
                <w:bCs/>
                <w:sz w:val="18"/>
                <w:szCs w:val="18"/>
                <w:lang w:val="bg-BG"/>
              </w:rPr>
              <w:t>645 678</w:t>
            </w:r>
          </w:p>
        </w:tc>
        <w:tc>
          <w:tcPr>
            <w:tcW w:w="915" w:type="dxa"/>
            <w:tcBorders>
              <w:top w:val="nil"/>
              <w:left w:val="nil"/>
              <w:bottom w:val="single" w:sz="4" w:space="0" w:color="auto"/>
              <w:right w:val="single" w:sz="4" w:space="0" w:color="auto"/>
            </w:tcBorders>
            <w:shd w:val="clear" w:color="auto" w:fill="auto"/>
            <w:noWrap/>
            <w:vAlign w:val="center"/>
            <w:hideMark/>
          </w:tcPr>
          <w:p w14:paraId="4E8FF7E4" w14:textId="77777777" w:rsidR="00CA32C6" w:rsidRPr="00CA32C6" w:rsidRDefault="00CA32C6" w:rsidP="00CA32C6">
            <w:pPr>
              <w:jc w:val="right"/>
              <w:rPr>
                <w:rFonts w:ascii="Arial Narrow" w:hAnsi="Arial Narrow" w:cs="Calibri"/>
                <w:b/>
                <w:bCs/>
                <w:sz w:val="18"/>
                <w:szCs w:val="18"/>
                <w:lang w:val="bg-BG"/>
              </w:rPr>
            </w:pPr>
            <w:r w:rsidRPr="00CA32C6">
              <w:rPr>
                <w:rFonts w:ascii="Arial Narrow" w:hAnsi="Arial Narrow" w:cs="Calibri"/>
                <w:b/>
                <w:bCs/>
                <w:sz w:val="18"/>
                <w:szCs w:val="18"/>
                <w:lang w:val="bg-BG"/>
              </w:rPr>
              <w:t>8,7%</w:t>
            </w:r>
          </w:p>
        </w:tc>
        <w:tc>
          <w:tcPr>
            <w:tcW w:w="680" w:type="dxa"/>
            <w:tcBorders>
              <w:top w:val="nil"/>
              <w:left w:val="nil"/>
              <w:bottom w:val="single" w:sz="4" w:space="0" w:color="auto"/>
              <w:right w:val="single" w:sz="4" w:space="0" w:color="auto"/>
            </w:tcBorders>
            <w:shd w:val="clear" w:color="auto" w:fill="auto"/>
            <w:noWrap/>
            <w:vAlign w:val="center"/>
            <w:hideMark/>
          </w:tcPr>
          <w:p w14:paraId="0425CBF6" w14:textId="77777777" w:rsidR="00CA32C6" w:rsidRPr="00CA32C6" w:rsidRDefault="00CA32C6" w:rsidP="00CA32C6">
            <w:pPr>
              <w:jc w:val="right"/>
              <w:rPr>
                <w:rFonts w:ascii="Arial Narrow" w:hAnsi="Arial Narrow" w:cs="Calibri"/>
                <w:b/>
                <w:bCs/>
                <w:sz w:val="18"/>
                <w:szCs w:val="18"/>
                <w:lang w:val="bg-BG"/>
              </w:rPr>
            </w:pPr>
            <w:r w:rsidRPr="00CA32C6">
              <w:rPr>
                <w:rFonts w:ascii="Arial Narrow" w:hAnsi="Arial Narrow" w:cs="Calibri"/>
                <w:b/>
                <w:bCs/>
                <w:sz w:val="18"/>
                <w:szCs w:val="18"/>
                <w:lang w:val="bg-BG"/>
              </w:rPr>
              <w:t>-</w:t>
            </w:r>
          </w:p>
        </w:tc>
        <w:tc>
          <w:tcPr>
            <w:tcW w:w="680" w:type="dxa"/>
            <w:tcBorders>
              <w:top w:val="nil"/>
              <w:left w:val="nil"/>
              <w:bottom w:val="single" w:sz="4" w:space="0" w:color="auto"/>
              <w:right w:val="single" w:sz="4" w:space="0" w:color="auto"/>
            </w:tcBorders>
            <w:shd w:val="clear" w:color="auto" w:fill="auto"/>
            <w:noWrap/>
            <w:vAlign w:val="center"/>
            <w:hideMark/>
          </w:tcPr>
          <w:p w14:paraId="390E3F96" w14:textId="77777777" w:rsidR="00CA32C6" w:rsidRPr="00CA32C6" w:rsidRDefault="00CA32C6" w:rsidP="00CA32C6">
            <w:pPr>
              <w:jc w:val="right"/>
              <w:rPr>
                <w:rFonts w:ascii="Arial Narrow" w:hAnsi="Arial Narrow" w:cs="Calibri"/>
                <w:b/>
                <w:bCs/>
                <w:sz w:val="18"/>
                <w:szCs w:val="18"/>
                <w:lang w:val="bg-BG"/>
              </w:rPr>
            </w:pPr>
            <w:r w:rsidRPr="00CA32C6">
              <w:rPr>
                <w:rFonts w:ascii="Arial Narrow" w:hAnsi="Arial Narrow" w:cs="Calibri"/>
                <w:b/>
                <w:bCs/>
                <w:sz w:val="18"/>
                <w:szCs w:val="18"/>
                <w:lang w:val="bg-BG"/>
              </w:rPr>
              <w:t>-</w:t>
            </w:r>
          </w:p>
        </w:tc>
      </w:tr>
    </w:tbl>
    <w:p w14:paraId="037BF333" w14:textId="77777777" w:rsidR="00CA32C6" w:rsidRPr="009C6577" w:rsidRDefault="00CA32C6" w:rsidP="00CA32C6">
      <w:pPr>
        <w:autoSpaceDE w:val="0"/>
        <w:autoSpaceDN w:val="0"/>
        <w:adjustRightInd w:val="0"/>
        <w:ind w:left="-90" w:right="144"/>
        <w:rPr>
          <w:rFonts w:ascii="Arial Narrow" w:hAnsi="Arial Narrow"/>
          <w:iCs/>
          <w:sz w:val="20"/>
          <w:szCs w:val="20"/>
          <w:lang w:val="bg-BG" w:eastAsia="bg-BG"/>
        </w:rPr>
      </w:pPr>
      <w:r w:rsidRPr="009C6577">
        <w:rPr>
          <w:rFonts w:ascii="Arial Narrow" w:hAnsi="Arial Narrow"/>
          <w:bCs/>
          <w:i/>
          <w:iCs/>
          <w:sz w:val="18"/>
          <w:szCs w:val="18"/>
          <w:lang w:val="bg-BG" w:eastAsia="bg-BG"/>
        </w:rPr>
        <w:t xml:space="preserve">Източник: </w:t>
      </w:r>
      <w:r w:rsidRPr="009C6577">
        <w:rPr>
          <w:rFonts w:ascii="Arial Narrow" w:hAnsi="Arial Narrow"/>
          <w:iCs/>
          <w:sz w:val="18"/>
          <w:szCs w:val="18"/>
          <w:lang w:val="bg-BG" w:eastAsia="bg-BG"/>
        </w:rPr>
        <w:t>МЗХ, отдел “Агростатистика”</w:t>
      </w:r>
      <w:r w:rsidRPr="009C6577">
        <w:rPr>
          <w:rFonts w:ascii="Arial Narrow" w:hAnsi="Arial Narrow"/>
          <w:i/>
          <w:iCs/>
          <w:sz w:val="18"/>
          <w:szCs w:val="18"/>
          <w:lang w:val="bg-BG" w:eastAsia="bg-BG"/>
        </w:rPr>
        <w:t xml:space="preserve"> </w:t>
      </w:r>
    </w:p>
    <w:p w14:paraId="452D8ED2" w14:textId="77777777" w:rsidR="00CA32C6" w:rsidRPr="00CA32C6" w:rsidRDefault="00CA32C6" w:rsidP="00CA32C6">
      <w:pPr>
        <w:widowControl w:val="0"/>
        <w:spacing w:after="120"/>
        <w:rPr>
          <w:sz w:val="28"/>
          <w:szCs w:val="20"/>
          <w:lang w:val="bg-BG"/>
        </w:rPr>
      </w:pPr>
      <w:r w:rsidRPr="00CA32C6">
        <w:rPr>
          <w:rFonts w:ascii="Arial Narrow" w:hAnsi="Arial Narrow"/>
          <w:bCs/>
          <w:iCs/>
          <w:sz w:val="18"/>
          <w:szCs w:val="18"/>
          <w:lang w:val="bg-BG" w:eastAsia="bg-BG"/>
        </w:rPr>
        <w:t>с</w:t>
      </w:r>
      <w:r w:rsidRPr="00CA32C6">
        <w:rPr>
          <w:rFonts w:ascii="Arial Narrow" w:hAnsi="Arial Narrow"/>
          <w:iCs/>
          <w:sz w:val="18"/>
          <w:szCs w:val="18"/>
          <w:lang w:val="bg-BG" w:eastAsia="bg-BG"/>
        </w:rPr>
        <w:t xml:space="preserve"> – конфиденциални данни</w:t>
      </w:r>
      <w:r w:rsidRPr="00CA32C6">
        <w:rPr>
          <w:sz w:val="28"/>
          <w:szCs w:val="20"/>
          <w:lang w:val="bg-BG"/>
        </w:rPr>
        <w:t xml:space="preserve"> </w:t>
      </w:r>
      <w:r w:rsidRPr="00CA32C6">
        <w:rPr>
          <w:sz w:val="28"/>
          <w:szCs w:val="20"/>
          <w:lang w:val="bg-BG"/>
        </w:rPr>
        <w:tab/>
      </w:r>
    </w:p>
    <w:p w14:paraId="7FCCD6F7" w14:textId="77777777" w:rsidR="00CA32C6" w:rsidRPr="00CA32C6" w:rsidRDefault="00CA32C6" w:rsidP="00CA32C6">
      <w:pPr>
        <w:widowControl w:val="0"/>
        <w:spacing w:after="120"/>
        <w:ind w:firstLine="709"/>
        <w:jc w:val="both"/>
        <w:rPr>
          <w:rFonts w:ascii="Arial Narrow" w:hAnsi="Arial Narrow"/>
          <w:lang w:val="bg-BG"/>
        </w:rPr>
      </w:pPr>
      <w:r w:rsidRPr="00CA32C6">
        <w:rPr>
          <w:rFonts w:ascii="Arial Narrow" w:hAnsi="Arial Narrow"/>
          <w:lang w:val="bg-BG"/>
        </w:rPr>
        <w:t>Общото производство на зеленчуци през 2024 г. възлиза на 645,7 хил. тона - с 8,7% повече в сравнение с предходната година, поради увеличеното производство на плодови зеленчуци. Продукцията от открити площи нараства с 10,2% на годишна база, до 535,7 хил.</w:t>
      </w:r>
      <w:r w:rsidR="00504236">
        <w:rPr>
          <w:rFonts w:ascii="Arial Narrow" w:hAnsi="Arial Narrow"/>
          <w:lang w:val="bg-BG"/>
        </w:rPr>
        <w:t xml:space="preserve"> тона, а оранжерийната -</w:t>
      </w:r>
      <w:r w:rsidRPr="00CA32C6">
        <w:rPr>
          <w:rFonts w:ascii="Arial Narrow" w:hAnsi="Arial Narrow"/>
          <w:lang w:val="bg-BG"/>
        </w:rPr>
        <w:t xml:space="preserve"> с 1,7%, до 110 хил. тона.</w:t>
      </w:r>
    </w:p>
    <w:p w14:paraId="705FC946" w14:textId="77777777" w:rsidR="00CA32C6" w:rsidRPr="00CA32C6" w:rsidRDefault="00CA32C6" w:rsidP="00CA32C6">
      <w:pPr>
        <w:widowControl w:val="0"/>
        <w:spacing w:after="120"/>
        <w:ind w:firstLine="709"/>
        <w:jc w:val="both"/>
        <w:rPr>
          <w:rFonts w:ascii="Arial Narrow" w:hAnsi="Arial Narrow"/>
          <w:lang w:val="bg-BG"/>
        </w:rPr>
      </w:pPr>
      <w:r w:rsidRPr="00CA32C6">
        <w:rPr>
          <w:rFonts w:ascii="Arial Narrow" w:hAnsi="Arial Narrow"/>
          <w:lang w:val="bg-BG"/>
        </w:rPr>
        <w:t xml:space="preserve">През 2024 г. най-голямо е производството </w:t>
      </w:r>
      <w:r w:rsidR="009C6577">
        <w:rPr>
          <w:rFonts w:ascii="Arial Narrow" w:hAnsi="Arial Narrow"/>
          <w:lang w:val="bg-BG"/>
        </w:rPr>
        <w:t>на домати -</w:t>
      </w:r>
      <w:r w:rsidRPr="00CA32C6">
        <w:rPr>
          <w:rFonts w:ascii="Arial Narrow" w:hAnsi="Arial Narrow"/>
          <w:lang w:val="bg-BG"/>
        </w:rPr>
        <w:t xml:space="preserve"> 128,1 хил. тона (19,8% от общото пр</w:t>
      </w:r>
      <w:r w:rsidR="009C6577">
        <w:rPr>
          <w:rFonts w:ascii="Arial Narrow" w:hAnsi="Arial Narrow"/>
          <w:lang w:val="bg-BG"/>
        </w:rPr>
        <w:t>оизводство на зеленчуци), дини -</w:t>
      </w:r>
      <w:r w:rsidRPr="00CA32C6">
        <w:rPr>
          <w:rFonts w:ascii="Arial Narrow" w:hAnsi="Arial Narrow"/>
          <w:lang w:val="bg-BG"/>
        </w:rPr>
        <w:t xml:space="preserve"> 1</w:t>
      </w:r>
      <w:r w:rsidR="009C6577">
        <w:rPr>
          <w:rFonts w:ascii="Arial Narrow" w:hAnsi="Arial Narrow"/>
          <w:lang w:val="bg-BG"/>
        </w:rPr>
        <w:t>22,9 хил. тона (19%) и картофи -</w:t>
      </w:r>
      <w:r w:rsidRPr="00CA32C6">
        <w:rPr>
          <w:rFonts w:ascii="Arial Narrow" w:hAnsi="Arial Narrow"/>
          <w:lang w:val="bg-BG"/>
        </w:rPr>
        <w:t xml:space="preserve"> 113,9 хил. тона (17,6%), следвано </w:t>
      </w:r>
      <w:r w:rsidR="009C6577">
        <w:rPr>
          <w:rFonts w:ascii="Arial Narrow" w:hAnsi="Arial Narrow"/>
          <w:lang w:val="bg-BG"/>
        </w:rPr>
        <w:t>от това на пипер -</w:t>
      </w:r>
      <w:r w:rsidRPr="00CA32C6">
        <w:rPr>
          <w:rFonts w:ascii="Arial Narrow" w:hAnsi="Arial Narrow"/>
          <w:lang w:val="bg-BG"/>
        </w:rPr>
        <w:t xml:space="preserve"> 57,</w:t>
      </w:r>
      <w:r w:rsidR="009C6577">
        <w:rPr>
          <w:rFonts w:ascii="Arial Narrow" w:hAnsi="Arial Narrow"/>
          <w:lang w:val="bg-BG"/>
        </w:rPr>
        <w:t>2 хил. тона (8,9%), краставици -</w:t>
      </w:r>
      <w:r w:rsidRPr="00CA32C6">
        <w:rPr>
          <w:rFonts w:ascii="Arial Narrow" w:hAnsi="Arial Narrow"/>
          <w:lang w:val="bg-BG"/>
        </w:rPr>
        <w:t xml:space="preserve"> 50,7 хил. </w:t>
      </w:r>
      <w:r w:rsidR="009C6577">
        <w:rPr>
          <w:rFonts w:ascii="Arial Narrow" w:hAnsi="Arial Narrow"/>
          <w:lang w:val="bg-BG"/>
        </w:rPr>
        <w:t>тона (7,9%), лук кромид - зрял -</w:t>
      </w:r>
      <w:r w:rsidRPr="00CA32C6">
        <w:rPr>
          <w:rFonts w:ascii="Arial Narrow" w:hAnsi="Arial Narrow"/>
          <w:lang w:val="bg-BG"/>
        </w:rPr>
        <w:t xml:space="preserve"> 35,8 хил. </w:t>
      </w:r>
      <w:r w:rsidR="009C6577">
        <w:rPr>
          <w:rFonts w:ascii="Arial Narrow" w:hAnsi="Arial Narrow"/>
          <w:lang w:val="bg-BG"/>
        </w:rPr>
        <w:t>тона (5,5%) и главесто зеле -</w:t>
      </w:r>
      <w:r w:rsidRPr="00CA32C6">
        <w:rPr>
          <w:rFonts w:ascii="Arial Narrow" w:hAnsi="Arial Narrow"/>
          <w:lang w:val="bg-BG"/>
        </w:rPr>
        <w:t xml:space="preserve"> 32,5 хил. тона (5%). За първи път от 2016 г. картофите не са на първо място по произведено количество.</w:t>
      </w:r>
    </w:p>
    <w:p w14:paraId="25B972E6" w14:textId="77777777" w:rsidR="00CA32C6" w:rsidRPr="00CA32C6" w:rsidRDefault="00CA32C6" w:rsidP="00CA32C6">
      <w:pPr>
        <w:widowControl w:val="0"/>
        <w:spacing w:after="120"/>
        <w:ind w:firstLine="709"/>
        <w:jc w:val="both"/>
        <w:rPr>
          <w:rFonts w:ascii="Arial Narrow" w:hAnsi="Arial Narrow"/>
          <w:lang w:val="bg-BG"/>
        </w:rPr>
      </w:pPr>
      <w:r w:rsidRPr="00CA32C6">
        <w:rPr>
          <w:rFonts w:ascii="Arial Narrow" w:hAnsi="Arial Narrow"/>
          <w:lang w:val="bg-BG"/>
        </w:rPr>
        <w:t>По групи зеленчуци, увеличение на добитите количества от открити площи спрямо предходната година се отчита при плодовите зеленчуци (с 29,8%) и пресните бобови култу</w:t>
      </w:r>
      <w:r w:rsidR="009C6577">
        <w:rPr>
          <w:rFonts w:ascii="Arial Narrow" w:hAnsi="Arial Narrow"/>
          <w:lang w:val="bg-BG"/>
        </w:rPr>
        <w:t>ри (над два пъти), а намаление -</w:t>
      </w:r>
      <w:r w:rsidRPr="00CA32C6">
        <w:rPr>
          <w:rFonts w:ascii="Arial Narrow" w:hAnsi="Arial Narrow"/>
          <w:lang w:val="bg-BG"/>
        </w:rPr>
        <w:t xml:space="preserve"> при грудковите и лукови зеленчуци (с 6,6%), зеленчуците от рода Brassica (с 29,3%) и листните и стъблени зеленчуци (с изключение на зеленчуци от рода Brassica) (с 45,4%).  </w:t>
      </w:r>
    </w:p>
    <w:p w14:paraId="5679ADC1" w14:textId="77777777" w:rsidR="00CA32C6" w:rsidRPr="00CA32C6" w:rsidRDefault="00CA32C6" w:rsidP="00CA32C6">
      <w:pPr>
        <w:widowControl w:val="0"/>
        <w:spacing w:after="120"/>
        <w:ind w:firstLine="709"/>
        <w:jc w:val="both"/>
        <w:rPr>
          <w:rFonts w:ascii="Arial Narrow" w:hAnsi="Arial Narrow"/>
          <w:lang w:val="bg-BG"/>
        </w:rPr>
      </w:pPr>
      <w:r w:rsidRPr="00CA32C6">
        <w:rPr>
          <w:rFonts w:ascii="Arial Narrow" w:hAnsi="Arial Narrow"/>
          <w:lang w:val="bg-BG"/>
        </w:rPr>
        <w:t>Сред по-значимите култури, съществено нараства</w:t>
      </w:r>
      <w:r w:rsidR="008B3D14">
        <w:rPr>
          <w:rFonts w:ascii="Arial Narrow" w:hAnsi="Arial Narrow"/>
          <w:lang w:val="bg-BG"/>
        </w:rPr>
        <w:t>не на</w:t>
      </w:r>
      <w:r w:rsidRPr="00CA32C6">
        <w:rPr>
          <w:rFonts w:ascii="Arial Narrow" w:hAnsi="Arial Narrow"/>
          <w:lang w:val="bg-BG"/>
        </w:rPr>
        <w:t xml:space="preserve"> получената продукция от открити площи е налице при дините (с 53,4%), патладжаните (с 44,5%), тиквите (с 30,5%), пъпешите (с 27,4%), доматите (с 19,4%) и</w:t>
      </w:r>
      <w:r w:rsidR="009C6577">
        <w:rPr>
          <w:rFonts w:ascii="Arial Narrow" w:hAnsi="Arial Narrow"/>
          <w:lang w:val="bg-BG"/>
        </w:rPr>
        <w:t xml:space="preserve"> морковите (с 5%), а намаление -</w:t>
      </w:r>
      <w:r w:rsidRPr="00CA32C6">
        <w:rPr>
          <w:rFonts w:ascii="Arial Narrow" w:hAnsi="Arial Narrow"/>
          <w:lang w:val="bg-BG"/>
        </w:rPr>
        <w:t xml:space="preserve"> при картофите (с 4,4%), краставиците (с 6,1%), зрелият лук кромид (с 8,1%) и главестото зеле (с 27,7%). </w:t>
      </w:r>
    </w:p>
    <w:p w14:paraId="150BBAE7" w14:textId="77777777" w:rsidR="00CA32C6" w:rsidRPr="00CA32C6" w:rsidRDefault="00CA32C6" w:rsidP="00CA32C6">
      <w:pPr>
        <w:widowControl w:val="0"/>
        <w:spacing w:after="120"/>
        <w:ind w:firstLine="709"/>
        <w:jc w:val="both"/>
        <w:rPr>
          <w:rFonts w:ascii="Arial Narrow" w:hAnsi="Arial Narrow"/>
          <w:lang w:val="bg-BG"/>
        </w:rPr>
      </w:pPr>
      <w:r w:rsidRPr="00CA32C6">
        <w:rPr>
          <w:rFonts w:ascii="Arial Narrow" w:hAnsi="Arial Narrow"/>
          <w:lang w:val="bg-BG"/>
        </w:rPr>
        <w:lastRenderedPageBreak/>
        <w:t xml:space="preserve">През 2024 г. се наблюдават разнопосочни изменения на средните добиви от открити площи от основните зеленчукови култури. Средните добиви от патладжани, домати, ягоди, дини и краставици нарастват в рамките на 3,8% - 16,6% на годишна база, а тези от картофи, пипер, пъпеши, главесто зеле, моркови и тикви се понижават с между 0,8% (картофи) и 29,5% (тикви). </w:t>
      </w:r>
    </w:p>
    <w:p w14:paraId="7E0DF812" w14:textId="77777777" w:rsidR="00CA32C6" w:rsidRPr="00CA32C6" w:rsidRDefault="00CA32C6" w:rsidP="00CA32C6">
      <w:pPr>
        <w:autoSpaceDE w:val="0"/>
        <w:autoSpaceDN w:val="0"/>
        <w:adjustRightInd w:val="0"/>
        <w:spacing w:after="120"/>
        <w:rPr>
          <w:rFonts w:ascii="Arial Narrow" w:hAnsi="Arial Narrow"/>
          <w:b/>
          <w:lang w:val="bg-BG" w:eastAsia="bg-BG"/>
        </w:rPr>
      </w:pPr>
      <w:r w:rsidRPr="00CA32C6">
        <w:rPr>
          <w:rFonts w:ascii="Arial Narrow" w:hAnsi="Arial Narrow"/>
          <w:b/>
          <w:lang w:val="bg-BG" w:eastAsia="bg-BG"/>
        </w:rPr>
        <w:t>Таблица ІІ.10. Общо производство на основни зеленчуци от реколти `2023 и `2024, тона</w:t>
      </w:r>
    </w:p>
    <w:tbl>
      <w:tblPr>
        <w:tblW w:w="4922" w:type="pct"/>
        <w:tblInd w:w="108" w:type="dxa"/>
        <w:tblLook w:val="04A0" w:firstRow="1" w:lastRow="0" w:firstColumn="1" w:lastColumn="0" w:noHBand="0" w:noVBand="1"/>
      </w:tblPr>
      <w:tblGrid>
        <w:gridCol w:w="2401"/>
        <w:gridCol w:w="2416"/>
        <w:gridCol w:w="2416"/>
        <w:gridCol w:w="2414"/>
      </w:tblGrid>
      <w:tr w:rsidR="00CA32C6" w:rsidRPr="00CA32C6" w14:paraId="79FAD1FB" w14:textId="77777777" w:rsidTr="009C6577">
        <w:trPr>
          <w:trHeight w:val="579"/>
        </w:trPr>
        <w:tc>
          <w:tcPr>
            <w:tcW w:w="124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8F2C7AB" w14:textId="77777777" w:rsidR="00CA32C6" w:rsidRPr="00CA32C6" w:rsidRDefault="00CA32C6" w:rsidP="00CA32C6">
            <w:pPr>
              <w:jc w:val="center"/>
              <w:rPr>
                <w:rFonts w:ascii="Arial Narrow" w:hAnsi="Arial Narrow" w:cs="Calibri"/>
                <w:b/>
                <w:bCs/>
                <w:sz w:val="20"/>
                <w:szCs w:val="20"/>
                <w:lang w:val="bg-BG"/>
              </w:rPr>
            </w:pPr>
            <w:r w:rsidRPr="00CA32C6">
              <w:rPr>
                <w:rFonts w:ascii="Arial Narrow" w:hAnsi="Arial Narrow" w:cs="Calibri"/>
                <w:b/>
                <w:bCs/>
                <w:sz w:val="20"/>
                <w:szCs w:val="20"/>
                <w:lang w:val="bg-BG"/>
              </w:rPr>
              <w:t xml:space="preserve">Видове зеленчуци </w:t>
            </w:r>
          </w:p>
        </w:tc>
        <w:tc>
          <w:tcPr>
            <w:tcW w:w="1252" w:type="pct"/>
            <w:tcBorders>
              <w:top w:val="single" w:sz="4" w:space="0" w:color="auto"/>
              <w:left w:val="nil"/>
              <w:bottom w:val="single" w:sz="4" w:space="0" w:color="auto"/>
              <w:right w:val="single" w:sz="4" w:space="0" w:color="auto"/>
            </w:tcBorders>
            <w:shd w:val="clear" w:color="auto" w:fill="auto"/>
            <w:vAlign w:val="center"/>
            <w:hideMark/>
          </w:tcPr>
          <w:p w14:paraId="14E2D227" w14:textId="77777777" w:rsidR="00CA32C6" w:rsidRPr="00CA32C6" w:rsidRDefault="00CA32C6" w:rsidP="00CA32C6">
            <w:pPr>
              <w:jc w:val="center"/>
              <w:rPr>
                <w:rFonts w:ascii="Arial Narrow" w:hAnsi="Arial Narrow" w:cs="Calibri"/>
                <w:b/>
                <w:bCs/>
                <w:sz w:val="20"/>
                <w:szCs w:val="20"/>
                <w:lang w:val="bg-BG"/>
              </w:rPr>
            </w:pPr>
            <w:r w:rsidRPr="00CA32C6">
              <w:rPr>
                <w:rFonts w:ascii="Arial Narrow" w:hAnsi="Arial Narrow" w:cs="Calibri"/>
                <w:b/>
                <w:bCs/>
                <w:sz w:val="20"/>
                <w:szCs w:val="20"/>
                <w:lang w:val="bg-BG"/>
              </w:rPr>
              <w:t>Реколта `2023</w:t>
            </w:r>
          </w:p>
        </w:tc>
        <w:tc>
          <w:tcPr>
            <w:tcW w:w="1252" w:type="pct"/>
            <w:tcBorders>
              <w:top w:val="single" w:sz="4" w:space="0" w:color="auto"/>
              <w:left w:val="nil"/>
              <w:bottom w:val="single" w:sz="4" w:space="0" w:color="auto"/>
              <w:right w:val="single" w:sz="4" w:space="0" w:color="auto"/>
            </w:tcBorders>
            <w:shd w:val="clear" w:color="auto" w:fill="auto"/>
            <w:vAlign w:val="center"/>
            <w:hideMark/>
          </w:tcPr>
          <w:p w14:paraId="5CA4CC5A" w14:textId="77777777" w:rsidR="00CA32C6" w:rsidRPr="00CA32C6" w:rsidRDefault="00CA32C6" w:rsidP="00CA32C6">
            <w:pPr>
              <w:jc w:val="center"/>
              <w:rPr>
                <w:rFonts w:ascii="Arial Narrow" w:hAnsi="Arial Narrow" w:cs="Calibri"/>
                <w:b/>
                <w:bCs/>
                <w:sz w:val="20"/>
                <w:szCs w:val="20"/>
                <w:lang w:val="bg-BG"/>
              </w:rPr>
            </w:pPr>
            <w:r w:rsidRPr="00CA32C6">
              <w:rPr>
                <w:rFonts w:ascii="Arial Narrow" w:hAnsi="Arial Narrow" w:cs="Calibri"/>
                <w:b/>
                <w:bCs/>
                <w:sz w:val="20"/>
                <w:szCs w:val="20"/>
                <w:lang w:val="bg-BG"/>
              </w:rPr>
              <w:t>Реколта `2024</w:t>
            </w:r>
          </w:p>
        </w:tc>
        <w:tc>
          <w:tcPr>
            <w:tcW w:w="1252" w:type="pct"/>
            <w:tcBorders>
              <w:top w:val="single" w:sz="4" w:space="0" w:color="auto"/>
              <w:left w:val="nil"/>
              <w:bottom w:val="single" w:sz="4" w:space="0" w:color="auto"/>
              <w:right w:val="single" w:sz="4" w:space="0" w:color="auto"/>
            </w:tcBorders>
            <w:shd w:val="clear" w:color="auto" w:fill="auto"/>
            <w:vAlign w:val="center"/>
            <w:hideMark/>
          </w:tcPr>
          <w:p w14:paraId="39407CA6" w14:textId="77777777" w:rsidR="00CA32C6" w:rsidRPr="00CA32C6" w:rsidRDefault="00CA32C6" w:rsidP="00CA32C6">
            <w:pPr>
              <w:jc w:val="center"/>
              <w:rPr>
                <w:rFonts w:ascii="Arial Narrow" w:hAnsi="Arial Narrow" w:cs="Calibri"/>
                <w:b/>
                <w:bCs/>
                <w:sz w:val="20"/>
                <w:szCs w:val="20"/>
                <w:lang w:val="bg-BG"/>
              </w:rPr>
            </w:pPr>
            <w:r w:rsidRPr="00CA32C6">
              <w:rPr>
                <w:rFonts w:ascii="Arial Narrow" w:hAnsi="Arial Narrow" w:cs="Calibri"/>
                <w:b/>
                <w:bCs/>
                <w:sz w:val="20"/>
                <w:szCs w:val="20"/>
                <w:lang w:val="bg-BG"/>
              </w:rPr>
              <w:t>Изменение 2024/2023</w:t>
            </w:r>
          </w:p>
        </w:tc>
      </w:tr>
      <w:tr w:rsidR="00CA32C6" w:rsidRPr="00CA32C6" w14:paraId="354BDC7A" w14:textId="77777777" w:rsidTr="009C6577">
        <w:trPr>
          <w:trHeight w:val="321"/>
        </w:trPr>
        <w:tc>
          <w:tcPr>
            <w:tcW w:w="1245" w:type="pct"/>
            <w:tcBorders>
              <w:top w:val="nil"/>
              <w:left w:val="single" w:sz="4" w:space="0" w:color="auto"/>
              <w:bottom w:val="single" w:sz="4" w:space="0" w:color="auto"/>
              <w:right w:val="single" w:sz="4" w:space="0" w:color="auto"/>
            </w:tcBorders>
            <w:shd w:val="clear" w:color="auto" w:fill="auto"/>
            <w:vAlign w:val="center"/>
            <w:hideMark/>
          </w:tcPr>
          <w:p w14:paraId="265676AF" w14:textId="77777777" w:rsidR="00CA32C6" w:rsidRPr="00CA32C6" w:rsidRDefault="00CA32C6" w:rsidP="00CA32C6">
            <w:pPr>
              <w:rPr>
                <w:rFonts w:ascii="Arial Narrow" w:hAnsi="Arial Narrow" w:cs="Calibri"/>
                <w:sz w:val="20"/>
                <w:szCs w:val="20"/>
                <w:lang w:val="bg-BG"/>
              </w:rPr>
            </w:pPr>
            <w:r w:rsidRPr="00CA32C6">
              <w:rPr>
                <w:rFonts w:ascii="Arial Narrow" w:hAnsi="Arial Narrow" w:cs="Calibri"/>
                <w:sz w:val="20"/>
                <w:szCs w:val="20"/>
                <w:lang w:val="bg-BG"/>
              </w:rPr>
              <w:t xml:space="preserve">Домати </w:t>
            </w:r>
          </w:p>
        </w:tc>
        <w:tc>
          <w:tcPr>
            <w:tcW w:w="1252" w:type="pct"/>
            <w:tcBorders>
              <w:top w:val="nil"/>
              <w:left w:val="nil"/>
              <w:bottom w:val="single" w:sz="4" w:space="0" w:color="auto"/>
              <w:right w:val="single" w:sz="4" w:space="0" w:color="auto"/>
            </w:tcBorders>
            <w:shd w:val="clear" w:color="auto" w:fill="auto"/>
            <w:vAlign w:val="center"/>
            <w:hideMark/>
          </w:tcPr>
          <w:p w14:paraId="5E13CBA6" w14:textId="77777777" w:rsidR="00CA32C6" w:rsidRPr="00CA32C6" w:rsidRDefault="00CA32C6" w:rsidP="00CA32C6">
            <w:pPr>
              <w:jc w:val="right"/>
              <w:rPr>
                <w:rFonts w:ascii="Arial Narrow" w:hAnsi="Arial Narrow" w:cs="Calibri"/>
                <w:sz w:val="20"/>
                <w:szCs w:val="20"/>
                <w:lang w:val="bg-BG"/>
              </w:rPr>
            </w:pPr>
            <w:r w:rsidRPr="00CA32C6">
              <w:rPr>
                <w:rFonts w:ascii="Arial Narrow" w:hAnsi="Arial Narrow" w:cs="Calibri"/>
                <w:sz w:val="20"/>
                <w:szCs w:val="20"/>
                <w:lang w:val="bg-BG"/>
              </w:rPr>
              <w:t>115 650</w:t>
            </w:r>
          </w:p>
        </w:tc>
        <w:tc>
          <w:tcPr>
            <w:tcW w:w="1252" w:type="pct"/>
            <w:tcBorders>
              <w:top w:val="nil"/>
              <w:left w:val="nil"/>
              <w:bottom w:val="single" w:sz="4" w:space="0" w:color="auto"/>
              <w:right w:val="single" w:sz="4" w:space="0" w:color="auto"/>
            </w:tcBorders>
            <w:shd w:val="clear" w:color="auto" w:fill="auto"/>
            <w:vAlign w:val="center"/>
            <w:hideMark/>
          </w:tcPr>
          <w:p w14:paraId="3878825C" w14:textId="77777777" w:rsidR="00CA32C6" w:rsidRPr="00CA32C6" w:rsidRDefault="00CA32C6" w:rsidP="00CA32C6">
            <w:pPr>
              <w:jc w:val="right"/>
              <w:rPr>
                <w:rFonts w:ascii="Arial Narrow" w:hAnsi="Arial Narrow" w:cs="Calibri"/>
                <w:sz w:val="20"/>
                <w:szCs w:val="20"/>
                <w:lang w:val="bg-BG"/>
              </w:rPr>
            </w:pPr>
            <w:r w:rsidRPr="00CA32C6">
              <w:rPr>
                <w:rFonts w:ascii="Arial Narrow" w:hAnsi="Arial Narrow" w:cs="Calibri"/>
                <w:sz w:val="20"/>
                <w:szCs w:val="20"/>
                <w:lang w:val="bg-BG"/>
              </w:rPr>
              <w:t>128 144</w:t>
            </w:r>
          </w:p>
        </w:tc>
        <w:tc>
          <w:tcPr>
            <w:tcW w:w="1252" w:type="pct"/>
            <w:tcBorders>
              <w:top w:val="nil"/>
              <w:left w:val="nil"/>
              <w:bottom w:val="single" w:sz="4" w:space="0" w:color="auto"/>
              <w:right w:val="single" w:sz="4" w:space="0" w:color="auto"/>
            </w:tcBorders>
            <w:shd w:val="clear" w:color="auto" w:fill="auto"/>
            <w:vAlign w:val="center"/>
            <w:hideMark/>
          </w:tcPr>
          <w:p w14:paraId="022DE236" w14:textId="77777777" w:rsidR="00CA32C6" w:rsidRPr="00CA32C6" w:rsidRDefault="00CA32C6" w:rsidP="00CA32C6">
            <w:pPr>
              <w:jc w:val="right"/>
              <w:rPr>
                <w:rFonts w:ascii="Arial Narrow" w:hAnsi="Arial Narrow" w:cs="Calibri"/>
                <w:sz w:val="20"/>
                <w:szCs w:val="20"/>
                <w:lang w:val="bg-BG"/>
              </w:rPr>
            </w:pPr>
            <w:r w:rsidRPr="00CA32C6">
              <w:rPr>
                <w:rFonts w:ascii="Arial Narrow" w:hAnsi="Arial Narrow" w:cs="Calibri"/>
                <w:sz w:val="20"/>
                <w:szCs w:val="20"/>
                <w:lang w:val="bg-BG"/>
              </w:rPr>
              <w:t>10,8%</w:t>
            </w:r>
          </w:p>
        </w:tc>
      </w:tr>
      <w:tr w:rsidR="00CA32C6" w:rsidRPr="00CA32C6" w14:paraId="2DC0CC3C" w14:textId="77777777" w:rsidTr="009C6577">
        <w:trPr>
          <w:trHeight w:val="321"/>
        </w:trPr>
        <w:tc>
          <w:tcPr>
            <w:tcW w:w="1245" w:type="pct"/>
            <w:tcBorders>
              <w:top w:val="nil"/>
              <w:left w:val="single" w:sz="4" w:space="0" w:color="auto"/>
              <w:bottom w:val="single" w:sz="4" w:space="0" w:color="auto"/>
              <w:right w:val="single" w:sz="4" w:space="0" w:color="auto"/>
            </w:tcBorders>
            <w:shd w:val="clear" w:color="auto" w:fill="auto"/>
            <w:vAlign w:val="center"/>
            <w:hideMark/>
          </w:tcPr>
          <w:p w14:paraId="3A560A44" w14:textId="77777777" w:rsidR="00CA32C6" w:rsidRPr="00CA32C6" w:rsidRDefault="00CA32C6" w:rsidP="00CA32C6">
            <w:pPr>
              <w:rPr>
                <w:rFonts w:ascii="Arial Narrow" w:hAnsi="Arial Narrow" w:cs="Calibri"/>
                <w:sz w:val="20"/>
                <w:szCs w:val="20"/>
                <w:lang w:val="bg-BG"/>
              </w:rPr>
            </w:pPr>
            <w:r w:rsidRPr="00CA32C6">
              <w:rPr>
                <w:rFonts w:ascii="Arial Narrow" w:hAnsi="Arial Narrow" w:cs="Calibri"/>
                <w:sz w:val="20"/>
                <w:szCs w:val="20"/>
                <w:lang w:val="bg-BG"/>
              </w:rPr>
              <w:t>Пипер (сладък и лют)</w:t>
            </w:r>
          </w:p>
        </w:tc>
        <w:tc>
          <w:tcPr>
            <w:tcW w:w="1252" w:type="pct"/>
            <w:tcBorders>
              <w:top w:val="nil"/>
              <w:left w:val="nil"/>
              <w:bottom w:val="single" w:sz="4" w:space="0" w:color="auto"/>
              <w:right w:val="single" w:sz="4" w:space="0" w:color="auto"/>
            </w:tcBorders>
            <w:shd w:val="clear" w:color="auto" w:fill="auto"/>
            <w:vAlign w:val="center"/>
            <w:hideMark/>
          </w:tcPr>
          <w:p w14:paraId="11D4AA4C" w14:textId="77777777" w:rsidR="00CA32C6" w:rsidRPr="00CA32C6" w:rsidRDefault="00CA32C6" w:rsidP="00CA32C6">
            <w:pPr>
              <w:jc w:val="right"/>
              <w:rPr>
                <w:rFonts w:ascii="Arial Narrow" w:hAnsi="Arial Narrow" w:cs="Calibri"/>
                <w:sz w:val="20"/>
                <w:szCs w:val="20"/>
                <w:lang w:val="bg-BG"/>
              </w:rPr>
            </w:pPr>
            <w:r w:rsidRPr="00CA32C6">
              <w:rPr>
                <w:rFonts w:ascii="Arial Narrow" w:hAnsi="Arial Narrow" w:cs="Calibri"/>
                <w:sz w:val="20"/>
                <w:szCs w:val="20"/>
                <w:lang w:val="bg-BG"/>
              </w:rPr>
              <w:t>52 005</w:t>
            </w:r>
          </w:p>
        </w:tc>
        <w:tc>
          <w:tcPr>
            <w:tcW w:w="1252" w:type="pct"/>
            <w:tcBorders>
              <w:top w:val="nil"/>
              <w:left w:val="nil"/>
              <w:bottom w:val="single" w:sz="4" w:space="0" w:color="auto"/>
              <w:right w:val="single" w:sz="4" w:space="0" w:color="auto"/>
            </w:tcBorders>
            <w:shd w:val="clear" w:color="auto" w:fill="auto"/>
            <w:vAlign w:val="center"/>
            <w:hideMark/>
          </w:tcPr>
          <w:p w14:paraId="2695E60D" w14:textId="77777777" w:rsidR="00CA32C6" w:rsidRPr="00CA32C6" w:rsidRDefault="00CA32C6" w:rsidP="00CA32C6">
            <w:pPr>
              <w:jc w:val="right"/>
              <w:rPr>
                <w:rFonts w:ascii="Arial Narrow" w:hAnsi="Arial Narrow" w:cs="Calibri"/>
                <w:sz w:val="20"/>
                <w:szCs w:val="20"/>
                <w:lang w:val="bg-BG"/>
              </w:rPr>
            </w:pPr>
            <w:r w:rsidRPr="00CA32C6">
              <w:rPr>
                <w:rFonts w:ascii="Arial Narrow" w:hAnsi="Arial Narrow" w:cs="Calibri"/>
                <w:sz w:val="20"/>
                <w:szCs w:val="20"/>
                <w:lang w:val="bg-BG"/>
              </w:rPr>
              <w:t>57 169</w:t>
            </w:r>
          </w:p>
        </w:tc>
        <w:tc>
          <w:tcPr>
            <w:tcW w:w="1252" w:type="pct"/>
            <w:tcBorders>
              <w:top w:val="nil"/>
              <w:left w:val="nil"/>
              <w:bottom w:val="single" w:sz="4" w:space="0" w:color="auto"/>
              <w:right w:val="single" w:sz="4" w:space="0" w:color="auto"/>
            </w:tcBorders>
            <w:shd w:val="clear" w:color="auto" w:fill="auto"/>
            <w:vAlign w:val="center"/>
            <w:hideMark/>
          </w:tcPr>
          <w:p w14:paraId="5FA73C4A" w14:textId="77777777" w:rsidR="00CA32C6" w:rsidRPr="00CA32C6" w:rsidRDefault="00CA32C6" w:rsidP="00CA32C6">
            <w:pPr>
              <w:jc w:val="right"/>
              <w:rPr>
                <w:rFonts w:ascii="Arial Narrow" w:hAnsi="Arial Narrow" w:cs="Calibri"/>
                <w:sz w:val="20"/>
                <w:szCs w:val="20"/>
                <w:lang w:val="bg-BG"/>
              </w:rPr>
            </w:pPr>
            <w:r w:rsidRPr="00CA32C6">
              <w:rPr>
                <w:rFonts w:ascii="Arial Narrow" w:hAnsi="Arial Narrow" w:cs="Calibri"/>
                <w:sz w:val="20"/>
                <w:szCs w:val="20"/>
                <w:lang w:val="bg-BG"/>
              </w:rPr>
              <w:t>9,9%</w:t>
            </w:r>
          </w:p>
        </w:tc>
      </w:tr>
      <w:tr w:rsidR="00CA32C6" w:rsidRPr="00CA32C6" w14:paraId="0CD0A1E9" w14:textId="77777777" w:rsidTr="009C6577">
        <w:trPr>
          <w:trHeight w:val="321"/>
        </w:trPr>
        <w:tc>
          <w:tcPr>
            <w:tcW w:w="1245" w:type="pct"/>
            <w:tcBorders>
              <w:top w:val="nil"/>
              <w:left w:val="single" w:sz="4" w:space="0" w:color="auto"/>
              <w:bottom w:val="single" w:sz="4" w:space="0" w:color="auto"/>
              <w:right w:val="single" w:sz="4" w:space="0" w:color="auto"/>
            </w:tcBorders>
            <w:shd w:val="clear" w:color="auto" w:fill="auto"/>
            <w:vAlign w:val="center"/>
            <w:hideMark/>
          </w:tcPr>
          <w:p w14:paraId="5867DC1B" w14:textId="77777777" w:rsidR="00CA32C6" w:rsidRPr="00CA32C6" w:rsidRDefault="00CA32C6" w:rsidP="00CA32C6">
            <w:pPr>
              <w:rPr>
                <w:rFonts w:ascii="Arial Narrow" w:hAnsi="Arial Narrow" w:cs="Calibri"/>
                <w:sz w:val="20"/>
                <w:szCs w:val="20"/>
                <w:lang w:val="bg-BG"/>
              </w:rPr>
            </w:pPr>
            <w:r w:rsidRPr="00CA32C6">
              <w:rPr>
                <w:rFonts w:ascii="Arial Narrow" w:hAnsi="Arial Narrow" w:cs="Calibri"/>
                <w:sz w:val="20"/>
                <w:szCs w:val="20"/>
                <w:lang w:val="bg-BG"/>
              </w:rPr>
              <w:t>Краставици</w:t>
            </w:r>
          </w:p>
        </w:tc>
        <w:tc>
          <w:tcPr>
            <w:tcW w:w="1252" w:type="pct"/>
            <w:tcBorders>
              <w:top w:val="nil"/>
              <w:left w:val="nil"/>
              <w:bottom w:val="single" w:sz="4" w:space="0" w:color="auto"/>
              <w:right w:val="single" w:sz="4" w:space="0" w:color="auto"/>
            </w:tcBorders>
            <w:shd w:val="clear" w:color="auto" w:fill="auto"/>
            <w:vAlign w:val="center"/>
            <w:hideMark/>
          </w:tcPr>
          <w:p w14:paraId="2373EE7F" w14:textId="77777777" w:rsidR="00CA32C6" w:rsidRPr="00CA32C6" w:rsidRDefault="00CA32C6" w:rsidP="00CA32C6">
            <w:pPr>
              <w:jc w:val="right"/>
              <w:rPr>
                <w:rFonts w:ascii="Arial Narrow" w:hAnsi="Arial Narrow" w:cs="Calibri"/>
                <w:sz w:val="20"/>
                <w:szCs w:val="20"/>
                <w:lang w:val="bg-BG"/>
              </w:rPr>
            </w:pPr>
            <w:r w:rsidRPr="00CA32C6">
              <w:rPr>
                <w:rFonts w:ascii="Arial Narrow" w:hAnsi="Arial Narrow" w:cs="Calibri"/>
                <w:sz w:val="20"/>
                <w:szCs w:val="20"/>
                <w:lang w:val="bg-BG"/>
              </w:rPr>
              <w:t>50 131</w:t>
            </w:r>
          </w:p>
        </w:tc>
        <w:tc>
          <w:tcPr>
            <w:tcW w:w="1252" w:type="pct"/>
            <w:tcBorders>
              <w:top w:val="nil"/>
              <w:left w:val="nil"/>
              <w:bottom w:val="single" w:sz="4" w:space="0" w:color="auto"/>
              <w:right w:val="single" w:sz="4" w:space="0" w:color="auto"/>
            </w:tcBorders>
            <w:shd w:val="clear" w:color="auto" w:fill="auto"/>
            <w:vAlign w:val="center"/>
            <w:hideMark/>
          </w:tcPr>
          <w:p w14:paraId="31914D30" w14:textId="77777777" w:rsidR="00CA32C6" w:rsidRPr="00CA32C6" w:rsidRDefault="00CA32C6" w:rsidP="00CA32C6">
            <w:pPr>
              <w:jc w:val="right"/>
              <w:rPr>
                <w:rFonts w:ascii="Arial Narrow" w:hAnsi="Arial Narrow" w:cs="Calibri"/>
                <w:sz w:val="20"/>
                <w:szCs w:val="20"/>
                <w:lang w:val="bg-BG"/>
              </w:rPr>
            </w:pPr>
            <w:r w:rsidRPr="00CA32C6">
              <w:rPr>
                <w:rFonts w:ascii="Arial Narrow" w:hAnsi="Arial Narrow" w:cs="Calibri"/>
                <w:sz w:val="20"/>
                <w:szCs w:val="20"/>
                <w:lang w:val="bg-BG"/>
              </w:rPr>
              <w:t>50 690</w:t>
            </w:r>
          </w:p>
        </w:tc>
        <w:tc>
          <w:tcPr>
            <w:tcW w:w="1252" w:type="pct"/>
            <w:tcBorders>
              <w:top w:val="nil"/>
              <w:left w:val="nil"/>
              <w:bottom w:val="single" w:sz="4" w:space="0" w:color="auto"/>
              <w:right w:val="single" w:sz="4" w:space="0" w:color="auto"/>
            </w:tcBorders>
            <w:shd w:val="clear" w:color="auto" w:fill="auto"/>
            <w:vAlign w:val="center"/>
            <w:hideMark/>
          </w:tcPr>
          <w:p w14:paraId="2E4AF61E" w14:textId="77777777" w:rsidR="00CA32C6" w:rsidRPr="00CA32C6" w:rsidRDefault="00CA32C6" w:rsidP="00CA32C6">
            <w:pPr>
              <w:jc w:val="right"/>
              <w:rPr>
                <w:rFonts w:ascii="Arial Narrow" w:hAnsi="Arial Narrow" w:cs="Calibri"/>
                <w:sz w:val="20"/>
                <w:szCs w:val="20"/>
                <w:lang w:val="bg-BG"/>
              </w:rPr>
            </w:pPr>
            <w:r w:rsidRPr="00CA32C6">
              <w:rPr>
                <w:rFonts w:ascii="Arial Narrow" w:hAnsi="Arial Narrow" w:cs="Calibri"/>
                <w:sz w:val="20"/>
                <w:szCs w:val="20"/>
                <w:lang w:val="bg-BG"/>
              </w:rPr>
              <w:t>1,1%</w:t>
            </w:r>
          </w:p>
        </w:tc>
      </w:tr>
      <w:tr w:rsidR="00CA32C6" w:rsidRPr="00CA32C6" w14:paraId="133145FD" w14:textId="77777777" w:rsidTr="009C6577">
        <w:trPr>
          <w:trHeight w:val="321"/>
        </w:trPr>
        <w:tc>
          <w:tcPr>
            <w:tcW w:w="1245" w:type="pct"/>
            <w:tcBorders>
              <w:top w:val="nil"/>
              <w:left w:val="single" w:sz="4" w:space="0" w:color="auto"/>
              <w:bottom w:val="single" w:sz="4" w:space="0" w:color="auto"/>
              <w:right w:val="single" w:sz="4" w:space="0" w:color="auto"/>
            </w:tcBorders>
            <w:shd w:val="clear" w:color="auto" w:fill="auto"/>
            <w:vAlign w:val="center"/>
            <w:hideMark/>
          </w:tcPr>
          <w:p w14:paraId="3AE02649" w14:textId="77777777" w:rsidR="00CA32C6" w:rsidRPr="00CA32C6" w:rsidRDefault="00CA32C6" w:rsidP="00CA32C6">
            <w:pPr>
              <w:rPr>
                <w:rFonts w:ascii="Arial Narrow" w:hAnsi="Arial Narrow" w:cs="Calibri"/>
                <w:sz w:val="20"/>
                <w:szCs w:val="20"/>
                <w:lang w:val="bg-BG"/>
              </w:rPr>
            </w:pPr>
            <w:r w:rsidRPr="00CA32C6">
              <w:rPr>
                <w:rFonts w:ascii="Arial Narrow" w:hAnsi="Arial Narrow" w:cs="Calibri"/>
                <w:sz w:val="20"/>
                <w:szCs w:val="20"/>
                <w:lang w:val="bg-BG"/>
              </w:rPr>
              <w:t>Картофи</w:t>
            </w:r>
          </w:p>
        </w:tc>
        <w:tc>
          <w:tcPr>
            <w:tcW w:w="1252" w:type="pct"/>
            <w:tcBorders>
              <w:top w:val="nil"/>
              <w:left w:val="nil"/>
              <w:bottom w:val="single" w:sz="4" w:space="0" w:color="auto"/>
              <w:right w:val="single" w:sz="4" w:space="0" w:color="auto"/>
            </w:tcBorders>
            <w:shd w:val="clear" w:color="auto" w:fill="auto"/>
            <w:vAlign w:val="center"/>
            <w:hideMark/>
          </w:tcPr>
          <w:p w14:paraId="442992AA" w14:textId="77777777" w:rsidR="00CA32C6" w:rsidRPr="00CA32C6" w:rsidRDefault="00CA32C6" w:rsidP="00CA32C6">
            <w:pPr>
              <w:jc w:val="right"/>
              <w:rPr>
                <w:rFonts w:ascii="Arial Narrow" w:hAnsi="Arial Narrow" w:cs="Calibri"/>
                <w:sz w:val="20"/>
                <w:szCs w:val="20"/>
                <w:lang w:val="bg-BG"/>
              </w:rPr>
            </w:pPr>
            <w:r w:rsidRPr="00CA32C6">
              <w:rPr>
                <w:rFonts w:ascii="Arial Narrow" w:hAnsi="Arial Narrow" w:cs="Calibri"/>
                <w:sz w:val="20"/>
                <w:szCs w:val="20"/>
                <w:lang w:val="bg-BG"/>
              </w:rPr>
              <w:t>119 239</w:t>
            </w:r>
          </w:p>
        </w:tc>
        <w:tc>
          <w:tcPr>
            <w:tcW w:w="1252" w:type="pct"/>
            <w:tcBorders>
              <w:top w:val="nil"/>
              <w:left w:val="nil"/>
              <w:bottom w:val="single" w:sz="4" w:space="0" w:color="auto"/>
              <w:right w:val="single" w:sz="4" w:space="0" w:color="auto"/>
            </w:tcBorders>
            <w:shd w:val="clear" w:color="auto" w:fill="auto"/>
            <w:vAlign w:val="center"/>
            <w:hideMark/>
          </w:tcPr>
          <w:p w14:paraId="09EC5CED" w14:textId="77777777" w:rsidR="00CA32C6" w:rsidRPr="00CA32C6" w:rsidRDefault="00CA32C6" w:rsidP="00CA32C6">
            <w:pPr>
              <w:jc w:val="right"/>
              <w:rPr>
                <w:rFonts w:ascii="Arial Narrow" w:hAnsi="Arial Narrow" w:cs="Calibri"/>
                <w:sz w:val="20"/>
                <w:szCs w:val="20"/>
                <w:lang w:val="bg-BG"/>
              </w:rPr>
            </w:pPr>
            <w:r w:rsidRPr="00CA32C6">
              <w:rPr>
                <w:rFonts w:ascii="Arial Narrow" w:hAnsi="Arial Narrow" w:cs="Calibri"/>
                <w:sz w:val="20"/>
                <w:szCs w:val="20"/>
                <w:lang w:val="bg-BG"/>
              </w:rPr>
              <w:t>113 935</w:t>
            </w:r>
          </w:p>
        </w:tc>
        <w:tc>
          <w:tcPr>
            <w:tcW w:w="1252" w:type="pct"/>
            <w:tcBorders>
              <w:top w:val="nil"/>
              <w:left w:val="nil"/>
              <w:bottom w:val="single" w:sz="4" w:space="0" w:color="auto"/>
              <w:right w:val="single" w:sz="4" w:space="0" w:color="auto"/>
            </w:tcBorders>
            <w:shd w:val="clear" w:color="auto" w:fill="auto"/>
            <w:vAlign w:val="center"/>
            <w:hideMark/>
          </w:tcPr>
          <w:p w14:paraId="4BB5A96B" w14:textId="77777777" w:rsidR="00CA32C6" w:rsidRPr="00CA32C6" w:rsidRDefault="00CA32C6" w:rsidP="00CA32C6">
            <w:pPr>
              <w:jc w:val="right"/>
              <w:rPr>
                <w:rFonts w:ascii="Arial Narrow" w:hAnsi="Arial Narrow" w:cs="Calibri"/>
                <w:sz w:val="20"/>
                <w:szCs w:val="20"/>
                <w:lang w:val="bg-BG"/>
              </w:rPr>
            </w:pPr>
            <w:r w:rsidRPr="00CA32C6">
              <w:rPr>
                <w:rFonts w:ascii="Arial Narrow" w:hAnsi="Arial Narrow" w:cs="Calibri"/>
                <w:sz w:val="20"/>
                <w:szCs w:val="20"/>
                <w:lang w:val="bg-BG"/>
              </w:rPr>
              <w:t>-4,4%</w:t>
            </w:r>
          </w:p>
        </w:tc>
      </w:tr>
      <w:tr w:rsidR="00CA32C6" w:rsidRPr="00CA32C6" w14:paraId="452BDD85" w14:textId="77777777" w:rsidTr="009C6577">
        <w:trPr>
          <w:trHeight w:val="321"/>
        </w:trPr>
        <w:tc>
          <w:tcPr>
            <w:tcW w:w="1245" w:type="pct"/>
            <w:tcBorders>
              <w:top w:val="nil"/>
              <w:left w:val="single" w:sz="4" w:space="0" w:color="auto"/>
              <w:bottom w:val="single" w:sz="4" w:space="0" w:color="auto"/>
              <w:right w:val="single" w:sz="4" w:space="0" w:color="auto"/>
            </w:tcBorders>
            <w:shd w:val="clear" w:color="auto" w:fill="auto"/>
            <w:vAlign w:val="center"/>
            <w:hideMark/>
          </w:tcPr>
          <w:p w14:paraId="6456C5C3" w14:textId="77777777" w:rsidR="00CA32C6" w:rsidRPr="00CA32C6" w:rsidRDefault="00CA32C6" w:rsidP="00CA32C6">
            <w:pPr>
              <w:rPr>
                <w:rFonts w:ascii="Arial Narrow" w:hAnsi="Arial Narrow" w:cs="Calibri"/>
                <w:sz w:val="20"/>
                <w:szCs w:val="20"/>
                <w:lang w:val="bg-BG"/>
              </w:rPr>
            </w:pPr>
            <w:r w:rsidRPr="00CA32C6">
              <w:rPr>
                <w:rFonts w:ascii="Arial Narrow" w:hAnsi="Arial Narrow" w:cs="Calibri"/>
                <w:sz w:val="20"/>
                <w:szCs w:val="20"/>
                <w:lang w:val="bg-BG"/>
              </w:rPr>
              <w:t>Главесто зеле</w:t>
            </w:r>
          </w:p>
        </w:tc>
        <w:tc>
          <w:tcPr>
            <w:tcW w:w="1252" w:type="pct"/>
            <w:tcBorders>
              <w:top w:val="nil"/>
              <w:left w:val="nil"/>
              <w:bottom w:val="single" w:sz="4" w:space="0" w:color="auto"/>
              <w:right w:val="single" w:sz="4" w:space="0" w:color="auto"/>
            </w:tcBorders>
            <w:shd w:val="clear" w:color="auto" w:fill="auto"/>
            <w:vAlign w:val="center"/>
            <w:hideMark/>
          </w:tcPr>
          <w:p w14:paraId="6FEDB549" w14:textId="77777777" w:rsidR="00CA32C6" w:rsidRPr="00CA32C6" w:rsidRDefault="00CA32C6" w:rsidP="00CA32C6">
            <w:pPr>
              <w:jc w:val="right"/>
              <w:rPr>
                <w:rFonts w:ascii="Arial Narrow" w:hAnsi="Arial Narrow" w:cs="Calibri"/>
                <w:sz w:val="20"/>
                <w:szCs w:val="20"/>
                <w:lang w:val="bg-BG"/>
              </w:rPr>
            </w:pPr>
            <w:r w:rsidRPr="00CA32C6">
              <w:rPr>
                <w:rFonts w:ascii="Arial Narrow" w:hAnsi="Arial Narrow" w:cs="Calibri"/>
                <w:sz w:val="20"/>
                <w:szCs w:val="20"/>
                <w:lang w:val="bg-BG"/>
              </w:rPr>
              <w:t>44 963</w:t>
            </w:r>
          </w:p>
        </w:tc>
        <w:tc>
          <w:tcPr>
            <w:tcW w:w="1252" w:type="pct"/>
            <w:tcBorders>
              <w:top w:val="nil"/>
              <w:left w:val="nil"/>
              <w:bottom w:val="single" w:sz="4" w:space="0" w:color="auto"/>
              <w:right w:val="single" w:sz="4" w:space="0" w:color="auto"/>
            </w:tcBorders>
            <w:shd w:val="clear" w:color="auto" w:fill="auto"/>
            <w:vAlign w:val="center"/>
            <w:hideMark/>
          </w:tcPr>
          <w:p w14:paraId="0D509D7F" w14:textId="77777777" w:rsidR="00CA32C6" w:rsidRPr="00CA32C6" w:rsidRDefault="00CA32C6" w:rsidP="00CA32C6">
            <w:pPr>
              <w:jc w:val="right"/>
              <w:rPr>
                <w:rFonts w:ascii="Arial Narrow" w:hAnsi="Arial Narrow" w:cs="Calibri"/>
                <w:sz w:val="20"/>
                <w:szCs w:val="20"/>
                <w:lang w:val="bg-BG"/>
              </w:rPr>
            </w:pPr>
            <w:r w:rsidRPr="00CA32C6">
              <w:rPr>
                <w:rFonts w:ascii="Arial Narrow" w:hAnsi="Arial Narrow" w:cs="Calibri"/>
                <w:sz w:val="20"/>
                <w:szCs w:val="20"/>
                <w:lang w:val="bg-BG"/>
              </w:rPr>
              <w:t>32 522</w:t>
            </w:r>
          </w:p>
        </w:tc>
        <w:tc>
          <w:tcPr>
            <w:tcW w:w="1252" w:type="pct"/>
            <w:tcBorders>
              <w:top w:val="nil"/>
              <w:left w:val="nil"/>
              <w:bottom w:val="single" w:sz="4" w:space="0" w:color="auto"/>
              <w:right w:val="single" w:sz="4" w:space="0" w:color="auto"/>
            </w:tcBorders>
            <w:shd w:val="clear" w:color="auto" w:fill="auto"/>
            <w:vAlign w:val="center"/>
            <w:hideMark/>
          </w:tcPr>
          <w:p w14:paraId="68B6BADF" w14:textId="77777777" w:rsidR="00CA32C6" w:rsidRPr="00CA32C6" w:rsidRDefault="00CA32C6" w:rsidP="00CA32C6">
            <w:pPr>
              <w:jc w:val="right"/>
              <w:rPr>
                <w:rFonts w:ascii="Arial Narrow" w:hAnsi="Arial Narrow" w:cs="Calibri"/>
                <w:sz w:val="20"/>
                <w:szCs w:val="20"/>
                <w:lang w:val="bg-BG"/>
              </w:rPr>
            </w:pPr>
            <w:r w:rsidRPr="00CA32C6">
              <w:rPr>
                <w:rFonts w:ascii="Arial Narrow" w:hAnsi="Arial Narrow" w:cs="Calibri"/>
                <w:sz w:val="20"/>
                <w:szCs w:val="20"/>
                <w:lang w:val="bg-BG"/>
              </w:rPr>
              <w:t>-27,7%</w:t>
            </w:r>
          </w:p>
        </w:tc>
      </w:tr>
      <w:tr w:rsidR="00CA32C6" w:rsidRPr="00CA32C6" w14:paraId="26733780" w14:textId="77777777" w:rsidTr="009C6577">
        <w:trPr>
          <w:trHeight w:val="321"/>
        </w:trPr>
        <w:tc>
          <w:tcPr>
            <w:tcW w:w="1245" w:type="pct"/>
            <w:tcBorders>
              <w:top w:val="nil"/>
              <w:left w:val="single" w:sz="4" w:space="0" w:color="auto"/>
              <w:bottom w:val="single" w:sz="4" w:space="0" w:color="auto"/>
              <w:right w:val="single" w:sz="4" w:space="0" w:color="auto"/>
            </w:tcBorders>
            <w:shd w:val="clear" w:color="auto" w:fill="auto"/>
            <w:vAlign w:val="center"/>
            <w:hideMark/>
          </w:tcPr>
          <w:p w14:paraId="3EDE0F5C" w14:textId="77777777" w:rsidR="00CA32C6" w:rsidRPr="00CA32C6" w:rsidRDefault="00CA32C6" w:rsidP="00CA32C6">
            <w:pPr>
              <w:rPr>
                <w:rFonts w:ascii="Arial Narrow" w:hAnsi="Arial Narrow" w:cs="Calibri"/>
                <w:sz w:val="20"/>
                <w:szCs w:val="20"/>
                <w:lang w:val="bg-BG"/>
              </w:rPr>
            </w:pPr>
            <w:r w:rsidRPr="00CA32C6">
              <w:rPr>
                <w:rFonts w:ascii="Arial Narrow" w:hAnsi="Arial Narrow" w:cs="Calibri"/>
                <w:sz w:val="20"/>
                <w:szCs w:val="20"/>
                <w:lang w:val="bg-BG"/>
              </w:rPr>
              <w:t>Лук кромид зрял</w:t>
            </w:r>
          </w:p>
        </w:tc>
        <w:tc>
          <w:tcPr>
            <w:tcW w:w="1252" w:type="pct"/>
            <w:tcBorders>
              <w:top w:val="nil"/>
              <w:left w:val="nil"/>
              <w:bottom w:val="single" w:sz="4" w:space="0" w:color="auto"/>
              <w:right w:val="single" w:sz="4" w:space="0" w:color="auto"/>
            </w:tcBorders>
            <w:shd w:val="clear" w:color="auto" w:fill="auto"/>
            <w:vAlign w:val="center"/>
            <w:hideMark/>
          </w:tcPr>
          <w:p w14:paraId="6800004E" w14:textId="77777777" w:rsidR="00CA32C6" w:rsidRPr="00CA32C6" w:rsidRDefault="00CA32C6" w:rsidP="00CA32C6">
            <w:pPr>
              <w:jc w:val="right"/>
              <w:rPr>
                <w:rFonts w:ascii="Arial Narrow" w:hAnsi="Arial Narrow" w:cs="Calibri"/>
                <w:sz w:val="20"/>
                <w:szCs w:val="20"/>
                <w:lang w:val="bg-BG"/>
              </w:rPr>
            </w:pPr>
            <w:r w:rsidRPr="00CA32C6">
              <w:rPr>
                <w:rFonts w:ascii="Arial Narrow" w:hAnsi="Arial Narrow" w:cs="Calibri"/>
                <w:sz w:val="20"/>
                <w:szCs w:val="20"/>
                <w:lang w:val="bg-BG"/>
              </w:rPr>
              <w:t>38 956</w:t>
            </w:r>
          </w:p>
        </w:tc>
        <w:tc>
          <w:tcPr>
            <w:tcW w:w="1252" w:type="pct"/>
            <w:tcBorders>
              <w:top w:val="nil"/>
              <w:left w:val="nil"/>
              <w:bottom w:val="single" w:sz="4" w:space="0" w:color="auto"/>
              <w:right w:val="single" w:sz="4" w:space="0" w:color="auto"/>
            </w:tcBorders>
            <w:shd w:val="clear" w:color="auto" w:fill="auto"/>
            <w:vAlign w:val="center"/>
            <w:hideMark/>
          </w:tcPr>
          <w:p w14:paraId="63189FE7" w14:textId="77777777" w:rsidR="00CA32C6" w:rsidRPr="00CA32C6" w:rsidRDefault="00CA32C6" w:rsidP="00CA32C6">
            <w:pPr>
              <w:jc w:val="right"/>
              <w:rPr>
                <w:rFonts w:ascii="Arial Narrow" w:hAnsi="Arial Narrow" w:cs="Calibri"/>
                <w:sz w:val="20"/>
                <w:szCs w:val="20"/>
                <w:lang w:val="bg-BG"/>
              </w:rPr>
            </w:pPr>
            <w:r w:rsidRPr="00CA32C6">
              <w:rPr>
                <w:rFonts w:ascii="Arial Narrow" w:hAnsi="Arial Narrow" w:cs="Calibri"/>
                <w:sz w:val="20"/>
                <w:szCs w:val="20"/>
                <w:lang w:val="bg-BG"/>
              </w:rPr>
              <w:t>35 816</w:t>
            </w:r>
          </w:p>
        </w:tc>
        <w:tc>
          <w:tcPr>
            <w:tcW w:w="1252" w:type="pct"/>
            <w:tcBorders>
              <w:top w:val="nil"/>
              <w:left w:val="nil"/>
              <w:bottom w:val="single" w:sz="4" w:space="0" w:color="auto"/>
              <w:right w:val="single" w:sz="4" w:space="0" w:color="auto"/>
            </w:tcBorders>
            <w:shd w:val="clear" w:color="auto" w:fill="auto"/>
            <w:vAlign w:val="center"/>
            <w:hideMark/>
          </w:tcPr>
          <w:p w14:paraId="42BB4C84" w14:textId="77777777" w:rsidR="00CA32C6" w:rsidRPr="00CA32C6" w:rsidRDefault="00CA32C6" w:rsidP="00CA32C6">
            <w:pPr>
              <w:jc w:val="right"/>
              <w:rPr>
                <w:rFonts w:ascii="Arial Narrow" w:hAnsi="Arial Narrow" w:cs="Calibri"/>
                <w:sz w:val="20"/>
                <w:szCs w:val="20"/>
                <w:lang w:val="bg-BG"/>
              </w:rPr>
            </w:pPr>
            <w:r w:rsidRPr="00CA32C6">
              <w:rPr>
                <w:rFonts w:ascii="Arial Narrow" w:hAnsi="Arial Narrow" w:cs="Calibri"/>
                <w:sz w:val="20"/>
                <w:szCs w:val="20"/>
                <w:lang w:val="bg-BG"/>
              </w:rPr>
              <w:t>-8,1%</w:t>
            </w:r>
          </w:p>
        </w:tc>
      </w:tr>
      <w:tr w:rsidR="00CA32C6" w:rsidRPr="00CA32C6" w14:paraId="60D949DF" w14:textId="77777777" w:rsidTr="009C6577">
        <w:trPr>
          <w:trHeight w:val="321"/>
        </w:trPr>
        <w:tc>
          <w:tcPr>
            <w:tcW w:w="1245" w:type="pct"/>
            <w:tcBorders>
              <w:top w:val="nil"/>
              <w:left w:val="single" w:sz="4" w:space="0" w:color="auto"/>
              <w:bottom w:val="single" w:sz="4" w:space="0" w:color="auto"/>
              <w:right w:val="single" w:sz="4" w:space="0" w:color="auto"/>
            </w:tcBorders>
            <w:shd w:val="clear" w:color="auto" w:fill="auto"/>
            <w:vAlign w:val="center"/>
            <w:hideMark/>
          </w:tcPr>
          <w:p w14:paraId="2D24F148" w14:textId="77777777" w:rsidR="00CA32C6" w:rsidRPr="00CA32C6" w:rsidRDefault="00CA32C6" w:rsidP="00CA32C6">
            <w:pPr>
              <w:rPr>
                <w:rFonts w:ascii="Arial Narrow" w:hAnsi="Arial Narrow" w:cs="Calibri"/>
                <w:sz w:val="20"/>
                <w:szCs w:val="20"/>
                <w:lang w:val="bg-BG"/>
              </w:rPr>
            </w:pPr>
            <w:r w:rsidRPr="00CA32C6">
              <w:rPr>
                <w:rFonts w:ascii="Arial Narrow" w:hAnsi="Arial Narrow" w:cs="Calibri"/>
                <w:sz w:val="20"/>
                <w:szCs w:val="20"/>
                <w:lang w:val="bg-BG"/>
              </w:rPr>
              <w:t>Ягоди</w:t>
            </w:r>
          </w:p>
        </w:tc>
        <w:tc>
          <w:tcPr>
            <w:tcW w:w="1252" w:type="pct"/>
            <w:tcBorders>
              <w:top w:val="nil"/>
              <w:left w:val="nil"/>
              <w:bottom w:val="single" w:sz="4" w:space="0" w:color="auto"/>
              <w:right w:val="single" w:sz="4" w:space="0" w:color="auto"/>
            </w:tcBorders>
            <w:shd w:val="clear" w:color="auto" w:fill="auto"/>
            <w:vAlign w:val="center"/>
            <w:hideMark/>
          </w:tcPr>
          <w:p w14:paraId="7D493171" w14:textId="77777777" w:rsidR="00CA32C6" w:rsidRPr="00CA32C6" w:rsidRDefault="00CA32C6" w:rsidP="00CA32C6">
            <w:pPr>
              <w:jc w:val="right"/>
              <w:rPr>
                <w:rFonts w:ascii="Arial Narrow" w:hAnsi="Arial Narrow" w:cs="Calibri"/>
                <w:sz w:val="20"/>
                <w:szCs w:val="20"/>
                <w:lang w:val="bg-BG"/>
              </w:rPr>
            </w:pPr>
            <w:r w:rsidRPr="00CA32C6">
              <w:rPr>
                <w:rFonts w:ascii="Arial Narrow" w:hAnsi="Arial Narrow" w:cs="Calibri"/>
                <w:sz w:val="20"/>
                <w:szCs w:val="20"/>
                <w:lang w:val="bg-BG"/>
              </w:rPr>
              <w:t>5 206</w:t>
            </w:r>
          </w:p>
        </w:tc>
        <w:tc>
          <w:tcPr>
            <w:tcW w:w="1252" w:type="pct"/>
            <w:tcBorders>
              <w:top w:val="nil"/>
              <w:left w:val="nil"/>
              <w:bottom w:val="single" w:sz="4" w:space="0" w:color="auto"/>
              <w:right w:val="single" w:sz="4" w:space="0" w:color="auto"/>
            </w:tcBorders>
            <w:shd w:val="clear" w:color="auto" w:fill="auto"/>
            <w:vAlign w:val="center"/>
            <w:hideMark/>
          </w:tcPr>
          <w:p w14:paraId="7BFAB787" w14:textId="77777777" w:rsidR="00CA32C6" w:rsidRPr="00CA32C6" w:rsidRDefault="00CA32C6" w:rsidP="00CA32C6">
            <w:pPr>
              <w:jc w:val="right"/>
              <w:rPr>
                <w:rFonts w:ascii="Arial Narrow" w:hAnsi="Arial Narrow" w:cs="Calibri"/>
                <w:sz w:val="20"/>
                <w:szCs w:val="20"/>
                <w:lang w:val="bg-BG"/>
              </w:rPr>
            </w:pPr>
            <w:r w:rsidRPr="00CA32C6">
              <w:rPr>
                <w:rFonts w:ascii="Arial Narrow" w:hAnsi="Arial Narrow" w:cs="Calibri"/>
                <w:sz w:val="20"/>
                <w:szCs w:val="20"/>
                <w:lang w:val="bg-BG"/>
              </w:rPr>
              <w:t>4 727</w:t>
            </w:r>
          </w:p>
        </w:tc>
        <w:tc>
          <w:tcPr>
            <w:tcW w:w="1252" w:type="pct"/>
            <w:tcBorders>
              <w:top w:val="nil"/>
              <w:left w:val="nil"/>
              <w:bottom w:val="single" w:sz="4" w:space="0" w:color="auto"/>
              <w:right w:val="single" w:sz="4" w:space="0" w:color="auto"/>
            </w:tcBorders>
            <w:shd w:val="clear" w:color="auto" w:fill="auto"/>
            <w:vAlign w:val="center"/>
            <w:hideMark/>
          </w:tcPr>
          <w:p w14:paraId="5C5FC36E" w14:textId="77777777" w:rsidR="00CA32C6" w:rsidRPr="00CA32C6" w:rsidRDefault="00CA32C6" w:rsidP="00CA32C6">
            <w:pPr>
              <w:jc w:val="right"/>
              <w:rPr>
                <w:rFonts w:ascii="Arial Narrow" w:hAnsi="Arial Narrow" w:cs="Calibri"/>
                <w:sz w:val="20"/>
                <w:szCs w:val="20"/>
                <w:lang w:val="bg-BG"/>
              </w:rPr>
            </w:pPr>
            <w:r w:rsidRPr="00CA32C6">
              <w:rPr>
                <w:rFonts w:ascii="Arial Narrow" w:hAnsi="Arial Narrow" w:cs="Calibri"/>
                <w:sz w:val="20"/>
                <w:szCs w:val="20"/>
                <w:lang w:val="bg-BG"/>
              </w:rPr>
              <w:t>-9,2%</w:t>
            </w:r>
          </w:p>
        </w:tc>
      </w:tr>
    </w:tbl>
    <w:p w14:paraId="0AF3D3F8" w14:textId="77777777" w:rsidR="00CA32C6" w:rsidRPr="00CA32C6" w:rsidRDefault="00CA32C6" w:rsidP="00CA32C6">
      <w:pPr>
        <w:widowControl w:val="0"/>
        <w:autoSpaceDE w:val="0"/>
        <w:autoSpaceDN w:val="0"/>
        <w:adjustRightInd w:val="0"/>
        <w:spacing w:after="120"/>
        <w:rPr>
          <w:sz w:val="28"/>
          <w:szCs w:val="20"/>
          <w:lang w:val="bg-BG"/>
        </w:rPr>
      </w:pPr>
      <w:r w:rsidRPr="009C6577">
        <w:rPr>
          <w:rFonts w:ascii="Arial Narrow" w:hAnsi="Arial Narrow"/>
          <w:bCs/>
          <w:i/>
          <w:iCs/>
          <w:sz w:val="18"/>
          <w:szCs w:val="18"/>
          <w:lang w:val="bg-BG" w:eastAsia="bg-BG"/>
        </w:rPr>
        <w:t>Източник</w:t>
      </w:r>
      <w:r w:rsidRPr="00CA32C6">
        <w:rPr>
          <w:rFonts w:ascii="Arial Narrow" w:hAnsi="Arial Narrow"/>
          <w:b/>
          <w:bCs/>
          <w:i/>
          <w:iCs/>
          <w:sz w:val="18"/>
          <w:szCs w:val="18"/>
          <w:lang w:val="bg-BG" w:eastAsia="bg-BG"/>
        </w:rPr>
        <w:t xml:space="preserve">: </w:t>
      </w:r>
      <w:r w:rsidRPr="00CA32C6">
        <w:rPr>
          <w:rFonts w:ascii="Arial Narrow" w:hAnsi="Arial Narrow"/>
          <w:iCs/>
          <w:sz w:val="18"/>
          <w:szCs w:val="18"/>
          <w:lang w:val="bg-BG" w:eastAsia="bg-BG"/>
        </w:rPr>
        <w:t>МЗХ, отдел “Агростатистика“</w:t>
      </w:r>
    </w:p>
    <w:p w14:paraId="47179068" w14:textId="77777777" w:rsidR="00CA32C6" w:rsidRPr="00CA32C6" w:rsidRDefault="00CA32C6" w:rsidP="00CA32C6">
      <w:pPr>
        <w:widowControl w:val="0"/>
        <w:spacing w:after="120"/>
        <w:ind w:firstLine="709"/>
        <w:jc w:val="both"/>
        <w:rPr>
          <w:rFonts w:ascii="Arial Narrow" w:hAnsi="Arial Narrow"/>
          <w:lang w:val="bg-BG"/>
        </w:rPr>
      </w:pPr>
      <w:r w:rsidRPr="00CA32C6">
        <w:rPr>
          <w:sz w:val="28"/>
          <w:szCs w:val="20"/>
          <w:lang w:val="bg-BG"/>
        </w:rPr>
        <w:t xml:space="preserve"> </w:t>
      </w:r>
      <w:r w:rsidRPr="00CA32C6">
        <w:rPr>
          <w:rFonts w:ascii="Arial Narrow" w:hAnsi="Arial Narrow"/>
          <w:lang w:val="bg-BG"/>
        </w:rPr>
        <w:t xml:space="preserve">Оранжерийното производство в страната се определя от няколко основни зеленчукови култури - домати, краставици, пипер, салати и марули, а през 2024 г. е отчетено и сравнително голямо количество тиквички. Част от продукцията е предназначена за износ.  </w:t>
      </w:r>
    </w:p>
    <w:p w14:paraId="6E0BD246" w14:textId="77777777" w:rsidR="00CA32C6" w:rsidRPr="00CA32C6" w:rsidRDefault="00CA32C6" w:rsidP="00CA32C6">
      <w:pPr>
        <w:widowControl w:val="0"/>
        <w:spacing w:after="120"/>
        <w:ind w:firstLine="709"/>
        <w:jc w:val="both"/>
        <w:rPr>
          <w:rFonts w:ascii="Arial Narrow" w:hAnsi="Arial Narrow"/>
          <w:lang w:val="bg-BG"/>
        </w:rPr>
      </w:pPr>
      <w:r w:rsidRPr="00CA32C6">
        <w:rPr>
          <w:rFonts w:ascii="Arial Narrow" w:hAnsi="Arial Narrow"/>
          <w:lang w:val="bg-BG"/>
        </w:rPr>
        <w:t xml:space="preserve">Общото производство на оранжерийни зеленчуци през 2024 г. е в размер на 110 хил. тона, което е с 1,7% повече спрямо предходната 2023 г.  </w:t>
      </w:r>
    </w:p>
    <w:p w14:paraId="568EC83B" w14:textId="77777777" w:rsidR="00CA32C6" w:rsidRPr="00CA32C6" w:rsidRDefault="00CA32C6" w:rsidP="00CA32C6">
      <w:pPr>
        <w:widowControl w:val="0"/>
        <w:spacing w:after="120"/>
        <w:ind w:firstLine="709"/>
        <w:jc w:val="both"/>
        <w:rPr>
          <w:rFonts w:ascii="Arial Narrow" w:hAnsi="Arial Narrow"/>
          <w:lang w:val="bg-BG"/>
        </w:rPr>
      </w:pPr>
      <w:r w:rsidRPr="00CA32C6">
        <w:rPr>
          <w:rFonts w:ascii="Arial Narrow" w:hAnsi="Arial Narrow"/>
          <w:lang w:val="bg-BG"/>
        </w:rPr>
        <w:t>Сред основните оранжерийни зеленчуци, продукцията от домати и краставици се увеличава съответно с 1,7% и 2% на годишна база, а при тиквичките е налице многократен ръст. Същевременно оранжерийното производство на пипер и салати и марули се свива респективно с 3% и 19,5%.</w:t>
      </w:r>
    </w:p>
    <w:p w14:paraId="3EA46290" w14:textId="77777777" w:rsidR="00CA32C6" w:rsidRPr="00CA32C6" w:rsidRDefault="00CA32C6" w:rsidP="00CA32C6">
      <w:pPr>
        <w:widowControl w:val="0"/>
        <w:autoSpaceDE w:val="0"/>
        <w:autoSpaceDN w:val="0"/>
        <w:adjustRightInd w:val="0"/>
        <w:spacing w:after="120"/>
        <w:ind w:right="142"/>
        <w:jc w:val="both"/>
        <w:rPr>
          <w:rFonts w:ascii="Arial Narrow" w:hAnsi="Arial Narrow"/>
          <w:b/>
          <w:lang w:val="bg-BG" w:eastAsia="bg-BG"/>
        </w:rPr>
      </w:pPr>
      <w:r w:rsidRPr="00CA32C6">
        <w:rPr>
          <w:rFonts w:ascii="Arial Narrow" w:hAnsi="Arial Narrow"/>
          <w:b/>
          <w:lang w:val="bg-BG" w:eastAsia="bg-BG"/>
        </w:rPr>
        <w:t>Таблица ІІ.11. Оранжерийно производство на основни зеленчуци от реколти `2023 и `2024, тона</w:t>
      </w:r>
    </w:p>
    <w:tbl>
      <w:tblPr>
        <w:tblW w:w="4878" w:type="pct"/>
        <w:tblInd w:w="108" w:type="dxa"/>
        <w:tblLook w:val="04A0" w:firstRow="1" w:lastRow="0" w:firstColumn="1" w:lastColumn="0" w:noHBand="0" w:noVBand="1"/>
      </w:tblPr>
      <w:tblGrid>
        <w:gridCol w:w="2413"/>
        <w:gridCol w:w="2423"/>
        <w:gridCol w:w="2423"/>
        <w:gridCol w:w="2302"/>
      </w:tblGrid>
      <w:tr w:rsidR="00CA32C6" w:rsidRPr="00CA32C6" w14:paraId="122E6B49" w14:textId="77777777" w:rsidTr="00781D25">
        <w:trPr>
          <w:trHeight w:val="567"/>
          <w:tblHeader/>
        </w:trPr>
        <w:tc>
          <w:tcPr>
            <w:tcW w:w="12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3661411" w14:textId="77777777" w:rsidR="00CA32C6" w:rsidRPr="00CA32C6" w:rsidRDefault="00CA32C6" w:rsidP="00CA32C6">
            <w:pPr>
              <w:jc w:val="center"/>
              <w:rPr>
                <w:rFonts w:ascii="Arial Narrow" w:hAnsi="Arial Narrow" w:cs="Calibri"/>
                <w:b/>
                <w:bCs/>
                <w:sz w:val="20"/>
                <w:szCs w:val="20"/>
                <w:lang w:val="bg-BG"/>
              </w:rPr>
            </w:pPr>
            <w:r w:rsidRPr="00CA32C6">
              <w:rPr>
                <w:rFonts w:ascii="Arial Narrow" w:hAnsi="Arial Narrow" w:cs="Calibri"/>
                <w:b/>
                <w:bCs/>
                <w:sz w:val="20"/>
                <w:szCs w:val="20"/>
                <w:lang w:val="bg-BG"/>
              </w:rPr>
              <w:t>Видове зеленчуци</w:t>
            </w:r>
          </w:p>
        </w:tc>
        <w:tc>
          <w:tcPr>
            <w:tcW w:w="1267" w:type="pct"/>
            <w:tcBorders>
              <w:top w:val="single" w:sz="4" w:space="0" w:color="auto"/>
              <w:left w:val="nil"/>
              <w:bottom w:val="single" w:sz="4" w:space="0" w:color="auto"/>
              <w:right w:val="single" w:sz="4" w:space="0" w:color="auto"/>
            </w:tcBorders>
            <w:shd w:val="clear" w:color="auto" w:fill="auto"/>
            <w:vAlign w:val="center"/>
            <w:hideMark/>
          </w:tcPr>
          <w:p w14:paraId="3E1C9D47" w14:textId="77777777" w:rsidR="00CA32C6" w:rsidRPr="00CA32C6" w:rsidRDefault="00CA32C6" w:rsidP="00CA32C6">
            <w:pPr>
              <w:jc w:val="center"/>
              <w:rPr>
                <w:rFonts w:ascii="Arial Narrow" w:hAnsi="Arial Narrow" w:cs="Calibri"/>
                <w:b/>
                <w:bCs/>
                <w:sz w:val="20"/>
                <w:szCs w:val="20"/>
                <w:lang w:val="bg-BG"/>
              </w:rPr>
            </w:pPr>
            <w:r w:rsidRPr="00CA32C6">
              <w:rPr>
                <w:rFonts w:ascii="Arial Narrow" w:hAnsi="Arial Narrow" w:cs="Calibri"/>
                <w:b/>
                <w:bCs/>
                <w:sz w:val="20"/>
                <w:szCs w:val="20"/>
                <w:lang w:val="bg-BG"/>
              </w:rPr>
              <w:t>Реколта `2023</w:t>
            </w:r>
          </w:p>
        </w:tc>
        <w:tc>
          <w:tcPr>
            <w:tcW w:w="1267" w:type="pct"/>
            <w:tcBorders>
              <w:top w:val="single" w:sz="4" w:space="0" w:color="auto"/>
              <w:left w:val="nil"/>
              <w:bottom w:val="single" w:sz="4" w:space="0" w:color="auto"/>
              <w:right w:val="single" w:sz="4" w:space="0" w:color="auto"/>
            </w:tcBorders>
            <w:shd w:val="clear" w:color="auto" w:fill="auto"/>
            <w:vAlign w:val="center"/>
            <w:hideMark/>
          </w:tcPr>
          <w:p w14:paraId="6ACA831C" w14:textId="77777777" w:rsidR="00CA32C6" w:rsidRPr="00CA32C6" w:rsidRDefault="00CA32C6" w:rsidP="00CA32C6">
            <w:pPr>
              <w:jc w:val="center"/>
              <w:rPr>
                <w:rFonts w:ascii="Arial Narrow" w:hAnsi="Arial Narrow" w:cs="Calibri"/>
                <w:b/>
                <w:bCs/>
                <w:sz w:val="20"/>
                <w:szCs w:val="20"/>
                <w:lang w:val="bg-BG"/>
              </w:rPr>
            </w:pPr>
            <w:r w:rsidRPr="00CA32C6">
              <w:rPr>
                <w:rFonts w:ascii="Arial Narrow" w:hAnsi="Arial Narrow" w:cs="Calibri"/>
                <w:b/>
                <w:bCs/>
                <w:sz w:val="20"/>
                <w:szCs w:val="20"/>
                <w:lang w:val="bg-BG"/>
              </w:rPr>
              <w:t>Реколта `2024</w:t>
            </w:r>
          </w:p>
        </w:tc>
        <w:tc>
          <w:tcPr>
            <w:tcW w:w="1204" w:type="pct"/>
            <w:tcBorders>
              <w:top w:val="single" w:sz="4" w:space="0" w:color="auto"/>
              <w:left w:val="nil"/>
              <w:bottom w:val="single" w:sz="4" w:space="0" w:color="auto"/>
              <w:right w:val="single" w:sz="4" w:space="0" w:color="auto"/>
            </w:tcBorders>
            <w:shd w:val="clear" w:color="auto" w:fill="auto"/>
            <w:vAlign w:val="center"/>
            <w:hideMark/>
          </w:tcPr>
          <w:p w14:paraId="7614AC99" w14:textId="77777777" w:rsidR="00CA32C6" w:rsidRPr="00CA32C6" w:rsidRDefault="00CA32C6" w:rsidP="00CA32C6">
            <w:pPr>
              <w:jc w:val="center"/>
              <w:rPr>
                <w:rFonts w:ascii="Arial Narrow" w:hAnsi="Arial Narrow" w:cs="Calibri"/>
                <w:b/>
                <w:bCs/>
                <w:sz w:val="20"/>
                <w:szCs w:val="20"/>
                <w:lang w:val="bg-BG"/>
              </w:rPr>
            </w:pPr>
            <w:r w:rsidRPr="00CA32C6">
              <w:rPr>
                <w:rFonts w:ascii="Arial Narrow" w:hAnsi="Arial Narrow" w:cs="Calibri"/>
                <w:b/>
                <w:bCs/>
                <w:sz w:val="20"/>
                <w:szCs w:val="20"/>
                <w:lang w:val="bg-BG"/>
              </w:rPr>
              <w:t>Изменение 2024/2023</w:t>
            </w:r>
          </w:p>
        </w:tc>
      </w:tr>
      <w:tr w:rsidR="00CA32C6" w:rsidRPr="00CA32C6" w14:paraId="663F9195" w14:textId="77777777" w:rsidTr="00781D25">
        <w:trPr>
          <w:trHeight w:val="341"/>
        </w:trPr>
        <w:tc>
          <w:tcPr>
            <w:tcW w:w="1262" w:type="pct"/>
            <w:tcBorders>
              <w:top w:val="nil"/>
              <w:left w:val="single" w:sz="4" w:space="0" w:color="auto"/>
              <w:bottom w:val="single" w:sz="4" w:space="0" w:color="auto"/>
              <w:right w:val="single" w:sz="4" w:space="0" w:color="auto"/>
            </w:tcBorders>
            <w:shd w:val="clear" w:color="auto" w:fill="auto"/>
            <w:vAlign w:val="center"/>
            <w:hideMark/>
          </w:tcPr>
          <w:p w14:paraId="19D6932F" w14:textId="77777777" w:rsidR="00CA32C6" w:rsidRPr="00CA32C6" w:rsidRDefault="00CA32C6" w:rsidP="00CA32C6">
            <w:pPr>
              <w:rPr>
                <w:rFonts w:ascii="Arial Narrow" w:hAnsi="Arial Narrow" w:cs="Calibri"/>
                <w:sz w:val="20"/>
                <w:szCs w:val="20"/>
                <w:lang w:val="bg-BG"/>
              </w:rPr>
            </w:pPr>
            <w:r w:rsidRPr="00CA32C6">
              <w:rPr>
                <w:rFonts w:ascii="Arial Narrow" w:hAnsi="Arial Narrow" w:cs="Calibri"/>
                <w:sz w:val="20"/>
                <w:szCs w:val="20"/>
                <w:lang w:val="bg-BG"/>
              </w:rPr>
              <w:t xml:space="preserve">Домати </w:t>
            </w:r>
          </w:p>
        </w:tc>
        <w:tc>
          <w:tcPr>
            <w:tcW w:w="1267" w:type="pct"/>
            <w:tcBorders>
              <w:top w:val="nil"/>
              <w:left w:val="nil"/>
              <w:bottom w:val="single" w:sz="4" w:space="0" w:color="auto"/>
              <w:right w:val="single" w:sz="4" w:space="0" w:color="auto"/>
            </w:tcBorders>
            <w:shd w:val="clear" w:color="auto" w:fill="auto"/>
            <w:vAlign w:val="center"/>
            <w:hideMark/>
          </w:tcPr>
          <w:p w14:paraId="57D9265F" w14:textId="77777777" w:rsidR="00CA32C6" w:rsidRPr="00CA32C6" w:rsidRDefault="00CA32C6" w:rsidP="00CA32C6">
            <w:pPr>
              <w:jc w:val="right"/>
              <w:rPr>
                <w:rFonts w:ascii="Arial Narrow" w:hAnsi="Arial Narrow" w:cs="Calibri"/>
                <w:sz w:val="20"/>
                <w:szCs w:val="20"/>
                <w:lang w:val="bg-BG"/>
              </w:rPr>
            </w:pPr>
            <w:r w:rsidRPr="00CA32C6">
              <w:rPr>
                <w:rFonts w:ascii="Arial Narrow" w:hAnsi="Arial Narrow" w:cs="Calibri"/>
                <w:sz w:val="20"/>
                <w:szCs w:val="20"/>
                <w:lang w:val="bg-BG"/>
              </w:rPr>
              <w:t>56 113</w:t>
            </w:r>
          </w:p>
        </w:tc>
        <w:tc>
          <w:tcPr>
            <w:tcW w:w="1267" w:type="pct"/>
            <w:tcBorders>
              <w:top w:val="nil"/>
              <w:left w:val="nil"/>
              <w:bottom w:val="single" w:sz="4" w:space="0" w:color="auto"/>
              <w:right w:val="single" w:sz="4" w:space="0" w:color="auto"/>
            </w:tcBorders>
            <w:shd w:val="clear" w:color="auto" w:fill="auto"/>
            <w:vAlign w:val="center"/>
            <w:hideMark/>
          </w:tcPr>
          <w:p w14:paraId="40A20279" w14:textId="77777777" w:rsidR="00CA32C6" w:rsidRPr="00CA32C6" w:rsidRDefault="00CA32C6" w:rsidP="00CA32C6">
            <w:pPr>
              <w:jc w:val="right"/>
              <w:rPr>
                <w:rFonts w:ascii="Arial Narrow" w:hAnsi="Arial Narrow" w:cs="Calibri"/>
                <w:sz w:val="20"/>
                <w:szCs w:val="20"/>
                <w:lang w:val="bg-BG"/>
              </w:rPr>
            </w:pPr>
            <w:r w:rsidRPr="00CA32C6">
              <w:rPr>
                <w:rFonts w:ascii="Arial Narrow" w:hAnsi="Arial Narrow" w:cs="Calibri"/>
                <w:sz w:val="20"/>
                <w:szCs w:val="20"/>
                <w:lang w:val="bg-BG"/>
              </w:rPr>
              <w:t>57 058</w:t>
            </w:r>
          </w:p>
        </w:tc>
        <w:tc>
          <w:tcPr>
            <w:tcW w:w="1204" w:type="pct"/>
            <w:tcBorders>
              <w:top w:val="nil"/>
              <w:left w:val="nil"/>
              <w:bottom w:val="single" w:sz="4" w:space="0" w:color="auto"/>
              <w:right w:val="single" w:sz="4" w:space="0" w:color="auto"/>
            </w:tcBorders>
            <w:shd w:val="clear" w:color="auto" w:fill="auto"/>
            <w:vAlign w:val="center"/>
            <w:hideMark/>
          </w:tcPr>
          <w:p w14:paraId="2245AE61" w14:textId="77777777" w:rsidR="00CA32C6" w:rsidRPr="00CA32C6" w:rsidRDefault="00CA32C6" w:rsidP="00CA32C6">
            <w:pPr>
              <w:jc w:val="right"/>
              <w:rPr>
                <w:rFonts w:ascii="Arial Narrow" w:hAnsi="Arial Narrow" w:cs="Calibri"/>
                <w:sz w:val="20"/>
                <w:szCs w:val="20"/>
                <w:lang w:val="bg-BG"/>
              </w:rPr>
            </w:pPr>
            <w:r w:rsidRPr="00CA32C6">
              <w:rPr>
                <w:rFonts w:ascii="Arial Narrow" w:hAnsi="Arial Narrow" w:cs="Calibri"/>
                <w:sz w:val="20"/>
                <w:szCs w:val="20"/>
                <w:lang w:val="bg-BG"/>
              </w:rPr>
              <w:t>1,7%</w:t>
            </w:r>
          </w:p>
        </w:tc>
      </w:tr>
      <w:tr w:rsidR="00CA32C6" w:rsidRPr="00CA32C6" w14:paraId="124D39E1" w14:textId="77777777" w:rsidTr="00781D25">
        <w:trPr>
          <w:trHeight w:val="341"/>
        </w:trPr>
        <w:tc>
          <w:tcPr>
            <w:tcW w:w="1262" w:type="pct"/>
            <w:tcBorders>
              <w:top w:val="nil"/>
              <w:left w:val="single" w:sz="4" w:space="0" w:color="auto"/>
              <w:bottom w:val="single" w:sz="4" w:space="0" w:color="auto"/>
              <w:right w:val="single" w:sz="4" w:space="0" w:color="auto"/>
            </w:tcBorders>
            <w:shd w:val="clear" w:color="auto" w:fill="auto"/>
            <w:vAlign w:val="center"/>
            <w:hideMark/>
          </w:tcPr>
          <w:p w14:paraId="2FC0F2DF" w14:textId="77777777" w:rsidR="00CA32C6" w:rsidRPr="00CA32C6" w:rsidRDefault="00CA32C6" w:rsidP="00CA32C6">
            <w:pPr>
              <w:rPr>
                <w:rFonts w:ascii="Arial Narrow" w:hAnsi="Arial Narrow" w:cs="Calibri"/>
                <w:sz w:val="20"/>
                <w:szCs w:val="20"/>
                <w:lang w:val="bg-BG"/>
              </w:rPr>
            </w:pPr>
            <w:r w:rsidRPr="00CA32C6">
              <w:rPr>
                <w:rFonts w:ascii="Arial Narrow" w:hAnsi="Arial Narrow" w:cs="Calibri"/>
                <w:sz w:val="20"/>
                <w:szCs w:val="20"/>
                <w:lang w:val="bg-BG"/>
              </w:rPr>
              <w:t xml:space="preserve">Пипер </w:t>
            </w:r>
          </w:p>
        </w:tc>
        <w:tc>
          <w:tcPr>
            <w:tcW w:w="1267" w:type="pct"/>
            <w:tcBorders>
              <w:top w:val="nil"/>
              <w:left w:val="nil"/>
              <w:bottom w:val="single" w:sz="4" w:space="0" w:color="auto"/>
              <w:right w:val="single" w:sz="4" w:space="0" w:color="auto"/>
            </w:tcBorders>
            <w:shd w:val="clear" w:color="auto" w:fill="auto"/>
            <w:vAlign w:val="center"/>
            <w:hideMark/>
          </w:tcPr>
          <w:p w14:paraId="18322483" w14:textId="77777777" w:rsidR="00CA32C6" w:rsidRPr="00CA32C6" w:rsidRDefault="00CA32C6" w:rsidP="00CA32C6">
            <w:pPr>
              <w:jc w:val="right"/>
              <w:rPr>
                <w:rFonts w:ascii="Arial Narrow" w:hAnsi="Arial Narrow" w:cs="Calibri"/>
                <w:sz w:val="20"/>
                <w:szCs w:val="20"/>
                <w:lang w:val="bg-BG"/>
              </w:rPr>
            </w:pPr>
            <w:r w:rsidRPr="00CA32C6">
              <w:rPr>
                <w:rFonts w:ascii="Arial Narrow" w:hAnsi="Arial Narrow" w:cs="Calibri"/>
                <w:sz w:val="20"/>
                <w:szCs w:val="20"/>
                <w:lang w:val="bg-BG"/>
              </w:rPr>
              <w:t>5 741</w:t>
            </w:r>
          </w:p>
        </w:tc>
        <w:tc>
          <w:tcPr>
            <w:tcW w:w="1267" w:type="pct"/>
            <w:tcBorders>
              <w:top w:val="nil"/>
              <w:left w:val="nil"/>
              <w:bottom w:val="single" w:sz="4" w:space="0" w:color="auto"/>
              <w:right w:val="single" w:sz="4" w:space="0" w:color="auto"/>
            </w:tcBorders>
            <w:shd w:val="clear" w:color="auto" w:fill="auto"/>
            <w:vAlign w:val="center"/>
            <w:hideMark/>
          </w:tcPr>
          <w:p w14:paraId="56AF84B7" w14:textId="77777777" w:rsidR="00CA32C6" w:rsidRPr="00CA32C6" w:rsidRDefault="00CA32C6" w:rsidP="00CA32C6">
            <w:pPr>
              <w:jc w:val="right"/>
              <w:rPr>
                <w:rFonts w:ascii="Arial Narrow" w:hAnsi="Arial Narrow" w:cs="Calibri"/>
                <w:sz w:val="20"/>
                <w:szCs w:val="20"/>
                <w:lang w:val="bg-BG"/>
              </w:rPr>
            </w:pPr>
            <w:r w:rsidRPr="00CA32C6">
              <w:rPr>
                <w:rFonts w:ascii="Arial Narrow" w:hAnsi="Arial Narrow" w:cs="Calibri"/>
                <w:sz w:val="20"/>
                <w:szCs w:val="20"/>
                <w:lang w:val="bg-BG"/>
              </w:rPr>
              <w:t>5 567</w:t>
            </w:r>
          </w:p>
        </w:tc>
        <w:tc>
          <w:tcPr>
            <w:tcW w:w="1204" w:type="pct"/>
            <w:tcBorders>
              <w:top w:val="nil"/>
              <w:left w:val="nil"/>
              <w:bottom w:val="single" w:sz="4" w:space="0" w:color="auto"/>
              <w:right w:val="single" w:sz="4" w:space="0" w:color="auto"/>
            </w:tcBorders>
            <w:shd w:val="clear" w:color="auto" w:fill="auto"/>
            <w:vAlign w:val="center"/>
            <w:hideMark/>
          </w:tcPr>
          <w:p w14:paraId="26833321" w14:textId="77777777" w:rsidR="00CA32C6" w:rsidRPr="00CA32C6" w:rsidRDefault="00CA32C6" w:rsidP="00CA32C6">
            <w:pPr>
              <w:jc w:val="right"/>
              <w:rPr>
                <w:rFonts w:ascii="Arial Narrow" w:hAnsi="Arial Narrow" w:cs="Calibri"/>
                <w:sz w:val="20"/>
                <w:szCs w:val="20"/>
                <w:lang w:val="bg-BG"/>
              </w:rPr>
            </w:pPr>
            <w:r w:rsidRPr="00CA32C6">
              <w:rPr>
                <w:rFonts w:ascii="Arial Narrow" w:hAnsi="Arial Narrow" w:cs="Calibri"/>
                <w:sz w:val="20"/>
                <w:szCs w:val="20"/>
                <w:lang w:val="bg-BG"/>
              </w:rPr>
              <w:t>-3,0%</w:t>
            </w:r>
          </w:p>
        </w:tc>
      </w:tr>
      <w:tr w:rsidR="00CA32C6" w:rsidRPr="00CA32C6" w14:paraId="0AD84B6E" w14:textId="77777777" w:rsidTr="00781D25">
        <w:trPr>
          <w:trHeight w:val="341"/>
        </w:trPr>
        <w:tc>
          <w:tcPr>
            <w:tcW w:w="1262" w:type="pct"/>
            <w:tcBorders>
              <w:top w:val="nil"/>
              <w:left w:val="single" w:sz="4" w:space="0" w:color="auto"/>
              <w:bottom w:val="single" w:sz="4" w:space="0" w:color="auto"/>
              <w:right w:val="single" w:sz="4" w:space="0" w:color="auto"/>
            </w:tcBorders>
            <w:shd w:val="clear" w:color="auto" w:fill="auto"/>
            <w:vAlign w:val="center"/>
            <w:hideMark/>
          </w:tcPr>
          <w:p w14:paraId="37B22BC1" w14:textId="77777777" w:rsidR="00CA32C6" w:rsidRPr="00CA32C6" w:rsidRDefault="00CA32C6" w:rsidP="00CA32C6">
            <w:pPr>
              <w:rPr>
                <w:rFonts w:ascii="Arial Narrow" w:hAnsi="Arial Narrow" w:cs="Calibri"/>
                <w:sz w:val="20"/>
                <w:szCs w:val="20"/>
                <w:lang w:val="bg-BG"/>
              </w:rPr>
            </w:pPr>
            <w:r w:rsidRPr="00CA32C6">
              <w:rPr>
                <w:rFonts w:ascii="Arial Narrow" w:hAnsi="Arial Narrow" w:cs="Calibri"/>
                <w:sz w:val="20"/>
                <w:szCs w:val="20"/>
                <w:lang w:val="bg-BG"/>
              </w:rPr>
              <w:t xml:space="preserve">Краставици </w:t>
            </w:r>
          </w:p>
        </w:tc>
        <w:tc>
          <w:tcPr>
            <w:tcW w:w="1267" w:type="pct"/>
            <w:tcBorders>
              <w:top w:val="nil"/>
              <w:left w:val="nil"/>
              <w:bottom w:val="single" w:sz="4" w:space="0" w:color="auto"/>
              <w:right w:val="single" w:sz="4" w:space="0" w:color="auto"/>
            </w:tcBorders>
            <w:shd w:val="clear" w:color="auto" w:fill="auto"/>
            <w:vAlign w:val="center"/>
            <w:hideMark/>
          </w:tcPr>
          <w:p w14:paraId="49455BBC" w14:textId="77777777" w:rsidR="00CA32C6" w:rsidRPr="00CA32C6" w:rsidRDefault="00CA32C6" w:rsidP="00CA32C6">
            <w:pPr>
              <w:jc w:val="right"/>
              <w:rPr>
                <w:rFonts w:ascii="Arial Narrow" w:hAnsi="Arial Narrow" w:cs="Calibri"/>
                <w:sz w:val="20"/>
                <w:szCs w:val="20"/>
                <w:lang w:val="bg-BG"/>
              </w:rPr>
            </w:pPr>
            <w:r w:rsidRPr="00CA32C6">
              <w:rPr>
                <w:rFonts w:ascii="Arial Narrow" w:hAnsi="Arial Narrow" w:cs="Calibri"/>
                <w:sz w:val="20"/>
                <w:szCs w:val="20"/>
                <w:lang w:val="bg-BG"/>
              </w:rPr>
              <w:t>44 528</w:t>
            </w:r>
          </w:p>
        </w:tc>
        <w:tc>
          <w:tcPr>
            <w:tcW w:w="1267" w:type="pct"/>
            <w:tcBorders>
              <w:top w:val="nil"/>
              <w:left w:val="nil"/>
              <w:bottom w:val="single" w:sz="4" w:space="0" w:color="auto"/>
              <w:right w:val="single" w:sz="4" w:space="0" w:color="auto"/>
            </w:tcBorders>
            <w:shd w:val="clear" w:color="auto" w:fill="auto"/>
            <w:vAlign w:val="center"/>
            <w:hideMark/>
          </w:tcPr>
          <w:p w14:paraId="04DD2639" w14:textId="77777777" w:rsidR="00CA32C6" w:rsidRPr="00CA32C6" w:rsidRDefault="00CA32C6" w:rsidP="00CA32C6">
            <w:pPr>
              <w:jc w:val="right"/>
              <w:rPr>
                <w:rFonts w:ascii="Arial Narrow" w:hAnsi="Arial Narrow" w:cs="Calibri"/>
                <w:sz w:val="20"/>
                <w:szCs w:val="20"/>
                <w:lang w:val="bg-BG"/>
              </w:rPr>
            </w:pPr>
            <w:r w:rsidRPr="00CA32C6">
              <w:rPr>
                <w:rFonts w:ascii="Arial Narrow" w:hAnsi="Arial Narrow" w:cs="Calibri"/>
                <w:sz w:val="20"/>
                <w:szCs w:val="20"/>
                <w:lang w:val="bg-BG"/>
              </w:rPr>
              <w:t>45 427</w:t>
            </w:r>
          </w:p>
        </w:tc>
        <w:tc>
          <w:tcPr>
            <w:tcW w:w="1204" w:type="pct"/>
            <w:tcBorders>
              <w:top w:val="nil"/>
              <w:left w:val="nil"/>
              <w:bottom w:val="single" w:sz="4" w:space="0" w:color="auto"/>
              <w:right w:val="single" w:sz="4" w:space="0" w:color="auto"/>
            </w:tcBorders>
            <w:shd w:val="clear" w:color="auto" w:fill="auto"/>
            <w:vAlign w:val="center"/>
            <w:hideMark/>
          </w:tcPr>
          <w:p w14:paraId="331013E7" w14:textId="77777777" w:rsidR="00CA32C6" w:rsidRPr="00CA32C6" w:rsidRDefault="00CA32C6" w:rsidP="00CA32C6">
            <w:pPr>
              <w:jc w:val="right"/>
              <w:rPr>
                <w:rFonts w:ascii="Arial Narrow" w:hAnsi="Arial Narrow" w:cs="Calibri"/>
                <w:sz w:val="20"/>
                <w:szCs w:val="20"/>
                <w:lang w:val="bg-BG"/>
              </w:rPr>
            </w:pPr>
            <w:r w:rsidRPr="00CA32C6">
              <w:rPr>
                <w:rFonts w:ascii="Arial Narrow" w:hAnsi="Arial Narrow" w:cs="Calibri"/>
                <w:sz w:val="20"/>
                <w:szCs w:val="20"/>
                <w:lang w:val="bg-BG"/>
              </w:rPr>
              <w:t>2,0%</w:t>
            </w:r>
          </w:p>
        </w:tc>
      </w:tr>
      <w:tr w:rsidR="00CA32C6" w:rsidRPr="00CA32C6" w14:paraId="00147891" w14:textId="77777777" w:rsidTr="00781D25">
        <w:trPr>
          <w:trHeight w:val="341"/>
        </w:trPr>
        <w:tc>
          <w:tcPr>
            <w:tcW w:w="1262" w:type="pct"/>
            <w:tcBorders>
              <w:top w:val="nil"/>
              <w:left w:val="single" w:sz="4" w:space="0" w:color="auto"/>
              <w:bottom w:val="single" w:sz="4" w:space="0" w:color="auto"/>
              <w:right w:val="single" w:sz="4" w:space="0" w:color="auto"/>
            </w:tcBorders>
            <w:shd w:val="clear" w:color="auto" w:fill="auto"/>
            <w:vAlign w:val="center"/>
            <w:hideMark/>
          </w:tcPr>
          <w:p w14:paraId="26D26B84" w14:textId="77777777" w:rsidR="00CA32C6" w:rsidRPr="00CA32C6" w:rsidRDefault="00CA32C6" w:rsidP="00CA32C6">
            <w:pPr>
              <w:rPr>
                <w:rFonts w:ascii="Arial Narrow" w:hAnsi="Arial Narrow" w:cs="Calibri"/>
                <w:sz w:val="20"/>
                <w:szCs w:val="20"/>
                <w:lang w:val="bg-BG"/>
              </w:rPr>
            </w:pPr>
            <w:r w:rsidRPr="00CA32C6">
              <w:rPr>
                <w:rFonts w:ascii="Arial Narrow" w:hAnsi="Arial Narrow" w:cs="Calibri"/>
                <w:sz w:val="20"/>
                <w:szCs w:val="20"/>
                <w:lang w:val="bg-BG"/>
              </w:rPr>
              <w:t>Тиквички</w:t>
            </w:r>
          </w:p>
        </w:tc>
        <w:tc>
          <w:tcPr>
            <w:tcW w:w="1267" w:type="pct"/>
            <w:tcBorders>
              <w:top w:val="nil"/>
              <w:left w:val="nil"/>
              <w:bottom w:val="single" w:sz="4" w:space="0" w:color="auto"/>
              <w:right w:val="single" w:sz="4" w:space="0" w:color="auto"/>
            </w:tcBorders>
            <w:shd w:val="clear" w:color="auto" w:fill="auto"/>
            <w:vAlign w:val="center"/>
            <w:hideMark/>
          </w:tcPr>
          <w:p w14:paraId="71737566" w14:textId="77777777" w:rsidR="00CA32C6" w:rsidRPr="00CA32C6" w:rsidRDefault="00CA32C6" w:rsidP="00CA32C6">
            <w:pPr>
              <w:jc w:val="right"/>
              <w:rPr>
                <w:rFonts w:ascii="Arial Narrow" w:hAnsi="Arial Narrow" w:cs="Calibri"/>
                <w:sz w:val="20"/>
                <w:szCs w:val="20"/>
                <w:lang w:val="bg-BG"/>
              </w:rPr>
            </w:pPr>
            <w:r w:rsidRPr="00CA32C6">
              <w:rPr>
                <w:rFonts w:ascii="Arial Narrow" w:hAnsi="Arial Narrow" w:cs="Calibri"/>
                <w:sz w:val="20"/>
                <w:szCs w:val="20"/>
                <w:lang w:val="bg-BG"/>
              </w:rPr>
              <w:t>15</w:t>
            </w:r>
          </w:p>
        </w:tc>
        <w:tc>
          <w:tcPr>
            <w:tcW w:w="1267" w:type="pct"/>
            <w:tcBorders>
              <w:top w:val="nil"/>
              <w:left w:val="nil"/>
              <w:bottom w:val="single" w:sz="4" w:space="0" w:color="auto"/>
              <w:right w:val="single" w:sz="4" w:space="0" w:color="auto"/>
            </w:tcBorders>
            <w:shd w:val="clear" w:color="auto" w:fill="auto"/>
            <w:vAlign w:val="center"/>
            <w:hideMark/>
          </w:tcPr>
          <w:p w14:paraId="756BD113" w14:textId="77777777" w:rsidR="00CA32C6" w:rsidRPr="00CA32C6" w:rsidRDefault="00CA32C6" w:rsidP="00CA32C6">
            <w:pPr>
              <w:jc w:val="right"/>
              <w:rPr>
                <w:rFonts w:ascii="Arial Narrow" w:hAnsi="Arial Narrow" w:cs="Calibri"/>
                <w:sz w:val="20"/>
                <w:szCs w:val="20"/>
                <w:lang w:val="bg-BG"/>
              </w:rPr>
            </w:pPr>
            <w:r w:rsidRPr="00CA32C6">
              <w:rPr>
                <w:rFonts w:ascii="Arial Narrow" w:hAnsi="Arial Narrow" w:cs="Calibri"/>
                <w:sz w:val="20"/>
                <w:szCs w:val="20"/>
                <w:lang w:val="bg-BG"/>
              </w:rPr>
              <w:t>853</w:t>
            </w:r>
          </w:p>
        </w:tc>
        <w:tc>
          <w:tcPr>
            <w:tcW w:w="1204" w:type="pct"/>
            <w:tcBorders>
              <w:top w:val="nil"/>
              <w:left w:val="nil"/>
              <w:bottom w:val="single" w:sz="4" w:space="0" w:color="auto"/>
              <w:right w:val="single" w:sz="4" w:space="0" w:color="auto"/>
            </w:tcBorders>
            <w:shd w:val="clear" w:color="auto" w:fill="auto"/>
            <w:vAlign w:val="center"/>
            <w:hideMark/>
          </w:tcPr>
          <w:p w14:paraId="4440AC08" w14:textId="77777777" w:rsidR="00CA32C6" w:rsidRPr="00CA32C6" w:rsidRDefault="00CA32C6" w:rsidP="00CA32C6">
            <w:pPr>
              <w:jc w:val="right"/>
              <w:rPr>
                <w:rFonts w:ascii="Arial Narrow" w:hAnsi="Arial Narrow" w:cs="Calibri"/>
                <w:sz w:val="20"/>
                <w:szCs w:val="20"/>
                <w:lang w:val="bg-BG"/>
              </w:rPr>
            </w:pPr>
            <w:r w:rsidRPr="00CA32C6">
              <w:rPr>
                <w:rFonts w:ascii="Arial Narrow" w:hAnsi="Arial Narrow" w:cs="Calibri"/>
                <w:sz w:val="20"/>
                <w:szCs w:val="20"/>
                <w:lang w:val="bg-BG"/>
              </w:rPr>
              <w:t>5586,7%</w:t>
            </w:r>
          </w:p>
        </w:tc>
      </w:tr>
      <w:tr w:rsidR="00CA32C6" w:rsidRPr="00CA32C6" w14:paraId="4563A623" w14:textId="77777777" w:rsidTr="00781D25">
        <w:trPr>
          <w:trHeight w:val="341"/>
        </w:trPr>
        <w:tc>
          <w:tcPr>
            <w:tcW w:w="1262" w:type="pct"/>
            <w:tcBorders>
              <w:top w:val="nil"/>
              <w:left w:val="single" w:sz="4" w:space="0" w:color="auto"/>
              <w:bottom w:val="single" w:sz="4" w:space="0" w:color="auto"/>
              <w:right w:val="single" w:sz="4" w:space="0" w:color="auto"/>
            </w:tcBorders>
            <w:shd w:val="clear" w:color="auto" w:fill="auto"/>
            <w:vAlign w:val="center"/>
            <w:hideMark/>
          </w:tcPr>
          <w:p w14:paraId="2C61F4FF" w14:textId="77777777" w:rsidR="00CA32C6" w:rsidRPr="00CA32C6" w:rsidRDefault="00CA32C6" w:rsidP="00CA32C6">
            <w:pPr>
              <w:rPr>
                <w:rFonts w:ascii="Arial Narrow" w:hAnsi="Arial Narrow" w:cs="Calibri"/>
                <w:sz w:val="20"/>
                <w:szCs w:val="20"/>
                <w:lang w:val="bg-BG"/>
              </w:rPr>
            </w:pPr>
            <w:r w:rsidRPr="00CA32C6">
              <w:rPr>
                <w:rFonts w:ascii="Arial Narrow" w:hAnsi="Arial Narrow" w:cs="Calibri"/>
                <w:sz w:val="20"/>
                <w:szCs w:val="20"/>
                <w:lang w:val="bg-BG"/>
              </w:rPr>
              <w:t xml:space="preserve">Салати и марули </w:t>
            </w:r>
          </w:p>
        </w:tc>
        <w:tc>
          <w:tcPr>
            <w:tcW w:w="1267" w:type="pct"/>
            <w:tcBorders>
              <w:top w:val="nil"/>
              <w:left w:val="nil"/>
              <w:bottom w:val="single" w:sz="4" w:space="0" w:color="auto"/>
              <w:right w:val="single" w:sz="4" w:space="0" w:color="auto"/>
            </w:tcBorders>
            <w:shd w:val="clear" w:color="auto" w:fill="auto"/>
            <w:vAlign w:val="center"/>
            <w:hideMark/>
          </w:tcPr>
          <w:p w14:paraId="45009575" w14:textId="77777777" w:rsidR="00CA32C6" w:rsidRPr="00CA32C6" w:rsidRDefault="00CA32C6" w:rsidP="00CA32C6">
            <w:pPr>
              <w:jc w:val="right"/>
              <w:rPr>
                <w:rFonts w:ascii="Arial Narrow" w:hAnsi="Arial Narrow" w:cs="Calibri"/>
                <w:sz w:val="20"/>
                <w:szCs w:val="20"/>
                <w:lang w:val="bg-BG"/>
              </w:rPr>
            </w:pPr>
            <w:r w:rsidRPr="00CA32C6">
              <w:rPr>
                <w:rFonts w:ascii="Arial Narrow" w:hAnsi="Arial Narrow" w:cs="Calibri"/>
                <w:sz w:val="20"/>
                <w:szCs w:val="20"/>
                <w:lang w:val="bg-BG"/>
              </w:rPr>
              <w:t>215</w:t>
            </w:r>
          </w:p>
        </w:tc>
        <w:tc>
          <w:tcPr>
            <w:tcW w:w="1267" w:type="pct"/>
            <w:tcBorders>
              <w:top w:val="nil"/>
              <w:left w:val="nil"/>
              <w:bottom w:val="single" w:sz="4" w:space="0" w:color="auto"/>
              <w:right w:val="single" w:sz="4" w:space="0" w:color="auto"/>
            </w:tcBorders>
            <w:shd w:val="clear" w:color="auto" w:fill="auto"/>
            <w:vAlign w:val="center"/>
            <w:hideMark/>
          </w:tcPr>
          <w:p w14:paraId="4272812C" w14:textId="77777777" w:rsidR="00CA32C6" w:rsidRPr="00CA32C6" w:rsidRDefault="00CA32C6" w:rsidP="00CA32C6">
            <w:pPr>
              <w:jc w:val="right"/>
              <w:rPr>
                <w:rFonts w:ascii="Arial Narrow" w:hAnsi="Arial Narrow" w:cs="Calibri"/>
                <w:sz w:val="20"/>
                <w:szCs w:val="20"/>
                <w:lang w:val="bg-BG"/>
              </w:rPr>
            </w:pPr>
            <w:r w:rsidRPr="00CA32C6">
              <w:rPr>
                <w:rFonts w:ascii="Arial Narrow" w:hAnsi="Arial Narrow" w:cs="Calibri"/>
                <w:sz w:val="20"/>
                <w:szCs w:val="20"/>
                <w:lang w:val="bg-BG"/>
              </w:rPr>
              <w:t>173</w:t>
            </w:r>
          </w:p>
        </w:tc>
        <w:tc>
          <w:tcPr>
            <w:tcW w:w="1204" w:type="pct"/>
            <w:tcBorders>
              <w:top w:val="nil"/>
              <w:left w:val="nil"/>
              <w:bottom w:val="single" w:sz="4" w:space="0" w:color="auto"/>
              <w:right w:val="single" w:sz="4" w:space="0" w:color="auto"/>
            </w:tcBorders>
            <w:shd w:val="clear" w:color="auto" w:fill="auto"/>
            <w:vAlign w:val="center"/>
            <w:hideMark/>
          </w:tcPr>
          <w:p w14:paraId="3DD23C64" w14:textId="77777777" w:rsidR="00CA32C6" w:rsidRPr="00CA32C6" w:rsidRDefault="00CA32C6" w:rsidP="00CA32C6">
            <w:pPr>
              <w:jc w:val="right"/>
              <w:rPr>
                <w:rFonts w:ascii="Arial Narrow" w:hAnsi="Arial Narrow" w:cs="Calibri"/>
                <w:sz w:val="20"/>
                <w:szCs w:val="20"/>
                <w:lang w:val="bg-BG"/>
              </w:rPr>
            </w:pPr>
            <w:r w:rsidRPr="00CA32C6">
              <w:rPr>
                <w:rFonts w:ascii="Arial Narrow" w:hAnsi="Arial Narrow" w:cs="Calibri"/>
                <w:sz w:val="20"/>
                <w:szCs w:val="20"/>
                <w:lang w:val="bg-BG"/>
              </w:rPr>
              <w:t>-19,5%</w:t>
            </w:r>
          </w:p>
        </w:tc>
      </w:tr>
      <w:tr w:rsidR="00CA32C6" w:rsidRPr="00CA32C6" w14:paraId="671684DA" w14:textId="77777777" w:rsidTr="00781D25">
        <w:trPr>
          <w:trHeight w:val="341"/>
        </w:trPr>
        <w:tc>
          <w:tcPr>
            <w:tcW w:w="1262" w:type="pct"/>
            <w:tcBorders>
              <w:top w:val="nil"/>
              <w:left w:val="single" w:sz="4" w:space="0" w:color="auto"/>
              <w:bottom w:val="single" w:sz="4" w:space="0" w:color="auto"/>
              <w:right w:val="single" w:sz="4" w:space="0" w:color="auto"/>
            </w:tcBorders>
            <w:shd w:val="clear" w:color="auto" w:fill="auto"/>
            <w:vAlign w:val="center"/>
            <w:hideMark/>
          </w:tcPr>
          <w:p w14:paraId="1AE97671" w14:textId="77777777" w:rsidR="00CA32C6" w:rsidRPr="00CA32C6" w:rsidRDefault="00CA32C6" w:rsidP="00CA32C6">
            <w:pPr>
              <w:rPr>
                <w:rFonts w:ascii="Arial Narrow" w:hAnsi="Arial Narrow" w:cs="Calibri"/>
                <w:sz w:val="20"/>
                <w:szCs w:val="20"/>
                <w:lang w:val="bg-BG"/>
              </w:rPr>
            </w:pPr>
            <w:r w:rsidRPr="00CA32C6">
              <w:rPr>
                <w:rFonts w:ascii="Arial Narrow" w:hAnsi="Arial Narrow" w:cs="Calibri"/>
                <w:sz w:val="20"/>
                <w:szCs w:val="20"/>
                <w:lang w:val="bg-BG"/>
              </w:rPr>
              <w:t xml:space="preserve">Други зеленчуци (без гъби) </w:t>
            </w:r>
          </w:p>
        </w:tc>
        <w:tc>
          <w:tcPr>
            <w:tcW w:w="1267" w:type="pct"/>
            <w:tcBorders>
              <w:top w:val="nil"/>
              <w:left w:val="nil"/>
              <w:bottom w:val="single" w:sz="4" w:space="0" w:color="auto"/>
              <w:right w:val="single" w:sz="4" w:space="0" w:color="auto"/>
            </w:tcBorders>
            <w:shd w:val="clear" w:color="auto" w:fill="auto"/>
            <w:vAlign w:val="center"/>
            <w:hideMark/>
          </w:tcPr>
          <w:p w14:paraId="09718BD8" w14:textId="77777777" w:rsidR="00CA32C6" w:rsidRPr="00CA32C6" w:rsidRDefault="00CA32C6" w:rsidP="00CA32C6">
            <w:pPr>
              <w:jc w:val="right"/>
              <w:rPr>
                <w:rFonts w:ascii="Arial Narrow" w:hAnsi="Arial Narrow" w:cs="Calibri"/>
                <w:sz w:val="20"/>
                <w:szCs w:val="20"/>
                <w:lang w:val="bg-BG"/>
              </w:rPr>
            </w:pPr>
            <w:r w:rsidRPr="00CA32C6">
              <w:rPr>
                <w:rFonts w:ascii="Arial Narrow" w:hAnsi="Arial Narrow" w:cs="Calibri"/>
                <w:sz w:val="20"/>
                <w:szCs w:val="20"/>
                <w:lang w:val="bg-BG"/>
              </w:rPr>
              <w:t>1 510</w:t>
            </w:r>
          </w:p>
        </w:tc>
        <w:tc>
          <w:tcPr>
            <w:tcW w:w="1267" w:type="pct"/>
            <w:tcBorders>
              <w:top w:val="nil"/>
              <w:left w:val="nil"/>
              <w:bottom w:val="single" w:sz="4" w:space="0" w:color="auto"/>
              <w:right w:val="single" w:sz="4" w:space="0" w:color="auto"/>
            </w:tcBorders>
            <w:shd w:val="clear" w:color="auto" w:fill="auto"/>
            <w:vAlign w:val="center"/>
            <w:hideMark/>
          </w:tcPr>
          <w:p w14:paraId="640E992F" w14:textId="77777777" w:rsidR="00CA32C6" w:rsidRPr="00CA32C6" w:rsidRDefault="00CA32C6" w:rsidP="00CA32C6">
            <w:pPr>
              <w:jc w:val="right"/>
              <w:rPr>
                <w:rFonts w:ascii="Arial Narrow" w:hAnsi="Arial Narrow" w:cs="Calibri"/>
                <w:sz w:val="20"/>
                <w:szCs w:val="20"/>
                <w:lang w:val="bg-BG"/>
              </w:rPr>
            </w:pPr>
            <w:r w:rsidRPr="00CA32C6">
              <w:rPr>
                <w:rFonts w:ascii="Arial Narrow" w:hAnsi="Arial Narrow" w:cs="Calibri"/>
                <w:sz w:val="20"/>
                <w:szCs w:val="20"/>
                <w:lang w:val="bg-BG"/>
              </w:rPr>
              <w:t>919</w:t>
            </w:r>
          </w:p>
        </w:tc>
        <w:tc>
          <w:tcPr>
            <w:tcW w:w="1204" w:type="pct"/>
            <w:tcBorders>
              <w:top w:val="nil"/>
              <w:left w:val="nil"/>
              <w:bottom w:val="single" w:sz="4" w:space="0" w:color="auto"/>
              <w:right w:val="single" w:sz="4" w:space="0" w:color="auto"/>
            </w:tcBorders>
            <w:shd w:val="clear" w:color="auto" w:fill="auto"/>
            <w:vAlign w:val="center"/>
            <w:hideMark/>
          </w:tcPr>
          <w:p w14:paraId="1F17975D" w14:textId="77777777" w:rsidR="00CA32C6" w:rsidRPr="00CA32C6" w:rsidRDefault="00CA32C6" w:rsidP="00CA32C6">
            <w:pPr>
              <w:jc w:val="right"/>
              <w:rPr>
                <w:rFonts w:ascii="Arial Narrow" w:hAnsi="Arial Narrow" w:cs="Calibri"/>
                <w:sz w:val="20"/>
                <w:szCs w:val="20"/>
                <w:lang w:val="bg-BG"/>
              </w:rPr>
            </w:pPr>
            <w:r w:rsidRPr="00CA32C6">
              <w:rPr>
                <w:rFonts w:ascii="Arial Narrow" w:hAnsi="Arial Narrow" w:cs="Calibri"/>
                <w:sz w:val="20"/>
                <w:szCs w:val="20"/>
                <w:lang w:val="bg-BG"/>
              </w:rPr>
              <w:t>-39,1%</w:t>
            </w:r>
          </w:p>
        </w:tc>
      </w:tr>
      <w:tr w:rsidR="00CA32C6" w:rsidRPr="00CA32C6" w14:paraId="09990CCD" w14:textId="77777777" w:rsidTr="00781D25">
        <w:trPr>
          <w:trHeight w:val="341"/>
        </w:trPr>
        <w:tc>
          <w:tcPr>
            <w:tcW w:w="1262" w:type="pct"/>
            <w:tcBorders>
              <w:top w:val="nil"/>
              <w:left w:val="single" w:sz="4" w:space="0" w:color="auto"/>
              <w:bottom w:val="single" w:sz="4" w:space="0" w:color="auto"/>
              <w:right w:val="single" w:sz="4" w:space="0" w:color="auto"/>
            </w:tcBorders>
            <w:shd w:val="clear" w:color="auto" w:fill="auto"/>
            <w:vAlign w:val="center"/>
            <w:hideMark/>
          </w:tcPr>
          <w:p w14:paraId="65F396A1" w14:textId="77777777" w:rsidR="00CA32C6" w:rsidRPr="00CA32C6" w:rsidRDefault="00CA32C6" w:rsidP="00CA32C6">
            <w:pPr>
              <w:rPr>
                <w:rFonts w:ascii="Arial Narrow" w:hAnsi="Arial Narrow" w:cs="Calibri"/>
                <w:sz w:val="20"/>
                <w:szCs w:val="20"/>
                <w:lang w:val="bg-BG"/>
              </w:rPr>
            </w:pPr>
            <w:r w:rsidRPr="00CA32C6">
              <w:rPr>
                <w:rFonts w:ascii="Arial Narrow" w:hAnsi="Arial Narrow" w:cs="Calibri"/>
                <w:sz w:val="20"/>
                <w:szCs w:val="20"/>
                <w:lang w:val="bg-BG"/>
              </w:rPr>
              <w:t xml:space="preserve">Общо </w:t>
            </w:r>
          </w:p>
        </w:tc>
        <w:tc>
          <w:tcPr>
            <w:tcW w:w="1267" w:type="pct"/>
            <w:tcBorders>
              <w:top w:val="nil"/>
              <w:left w:val="nil"/>
              <w:bottom w:val="single" w:sz="4" w:space="0" w:color="auto"/>
              <w:right w:val="single" w:sz="4" w:space="0" w:color="auto"/>
            </w:tcBorders>
            <w:shd w:val="clear" w:color="auto" w:fill="auto"/>
            <w:vAlign w:val="center"/>
            <w:hideMark/>
          </w:tcPr>
          <w:p w14:paraId="4CE68CDB" w14:textId="77777777" w:rsidR="00CA32C6" w:rsidRPr="00CA32C6" w:rsidRDefault="00CA32C6" w:rsidP="00CA32C6">
            <w:pPr>
              <w:jc w:val="right"/>
              <w:rPr>
                <w:rFonts w:ascii="Arial Narrow" w:hAnsi="Arial Narrow" w:cs="Calibri"/>
                <w:sz w:val="20"/>
                <w:szCs w:val="20"/>
                <w:lang w:val="bg-BG"/>
              </w:rPr>
            </w:pPr>
            <w:r w:rsidRPr="00CA32C6">
              <w:rPr>
                <w:rFonts w:ascii="Arial Narrow" w:hAnsi="Arial Narrow" w:cs="Calibri"/>
                <w:sz w:val="20"/>
                <w:szCs w:val="20"/>
                <w:lang w:val="bg-BG"/>
              </w:rPr>
              <w:t>108 122</w:t>
            </w:r>
          </w:p>
        </w:tc>
        <w:tc>
          <w:tcPr>
            <w:tcW w:w="1267" w:type="pct"/>
            <w:tcBorders>
              <w:top w:val="nil"/>
              <w:left w:val="nil"/>
              <w:bottom w:val="single" w:sz="4" w:space="0" w:color="auto"/>
              <w:right w:val="single" w:sz="4" w:space="0" w:color="auto"/>
            </w:tcBorders>
            <w:shd w:val="clear" w:color="auto" w:fill="auto"/>
            <w:vAlign w:val="center"/>
            <w:hideMark/>
          </w:tcPr>
          <w:p w14:paraId="43B69CC1" w14:textId="77777777" w:rsidR="00CA32C6" w:rsidRPr="00CA32C6" w:rsidRDefault="00CA32C6" w:rsidP="00CA32C6">
            <w:pPr>
              <w:jc w:val="right"/>
              <w:rPr>
                <w:rFonts w:ascii="Arial Narrow" w:hAnsi="Arial Narrow" w:cs="Calibri"/>
                <w:sz w:val="20"/>
                <w:szCs w:val="20"/>
                <w:lang w:val="bg-BG"/>
              </w:rPr>
            </w:pPr>
            <w:r w:rsidRPr="00CA32C6">
              <w:rPr>
                <w:rFonts w:ascii="Arial Narrow" w:hAnsi="Arial Narrow" w:cs="Calibri"/>
                <w:sz w:val="20"/>
                <w:szCs w:val="20"/>
                <w:lang w:val="bg-BG"/>
              </w:rPr>
              <w:t>109 997</w:t>
            </w:r>
          </w:p>
        </w:tc>
        <w:tc>
          <w:tcPr>
            <w:tcW w:w="1204" w:type="pct"/>
            <w:tcBorders>
              <w:top w:val="nil"/>
              <w:left w:val="nil"/>
              <w:bottom w:val="single" w:sz="4" w:space="0" w:color="auto"/>
              <w:right w:val="single" w:sz="4" w:space="0" w:color="auto"/>
            </w:tcBorders>
            <w:shd w:val="clear" w:color="auto" w:fill="auto"/>
            <w:vAlign w:val="center"/>
            <w:hideMark/>
          </w:tcPr>
          <w:p w14:paraId="4FA860DE" w14:textId="77777777" w:rsidR="00CA32C6" w:rsidRPr="00CA32C6" w:rsidRDefault="00CA32C6" w:rsidP="00CA32C6">
            <w:pPr>
              <w:jc w:val="right"/>
              <w:rPr>
                <w:rFonts w:ascii="Arial Narrow" w:hAnsi="Arial Narrow" w:cs="Calibri"/>
                <w:sz w:val="20"/>
                <w:szCs w:val="20"/>
                <w:lang w:val="bg-BG"/>
              </w:rPr>
            </w:pPr>
            <w:r w:rsidRPr="00CA32C6">
              <w:rPr>
                <w:rFonts w:ascii="Arial Narrow" w:hAnsi="Arial Narrow" w:cs="Calibri"/>
                <w:sz w:val="20"/>
                <w:szCs w:val="20"/>
                <w:lang w:val="bg-BG"/>
              </w:rPr>
              <w:t>1,7%</w:t>
            </w:r>
          </w:p>
        </w:tc>
      </w:tr>
    </w:tbl>
    <w:p w14:paraId="4F8CDA61" w14:textId="77777777" w:rsidR="00CA32C6" w:rsidRPr="009C6577" w:rsidRDefault="00CA32C6" w:rsidP="00CA32C6">
      <w:pPr>
        <w:widowControl w:val="0"/>
        <w:autoSpaceDE w:val="0"/>
        <w:autoSpaceDN w:val="0"/>
        <w:adjustRightInd w:val="0"/>
        <w:spacing w:after="120"/>
        <w:ind w:right="142"/>
        <w:rPr>
          <w:rFonts w:ascii="Arial Narrow" w:hAnsi="Arial Narrow"/>
          <w:bCs/>
          <w:lang w:val="bg-BG" w:eastAsia="bg-BG"/>
        </w:rPr>
      </w:pPr>
      <w:r w:rsidRPr="009C6577">
        <w:rPr>
          <w:rFonts w:ascii="Arial Narrow" w:hAnsi="Arial Narrow"/>
          <w:bCs/>
          <w:i/>
          <w:iCs/>
          <w:sz w:val="18"/>
          <w:szCs w:val="18"/>
          <w:lang w:val="bg-BG" w:eastAsia="bg-BG"/>
        </w:rPr>
        <w:t xml:space="preserve">Източник: </w:t>
      </w:r>
      <w:r w:rsidRPr="009C6577">
        <w:rPr>
          <w:rFonts w:ascii="Arial Narrow" w:hAnsi="Arial Narrow"/>
          <w:iCs/>
          <w:sz w:val="18"/>
          <w:szCs w:val="18"/>
          <w:lang w:val="bg-BG" w:eastAsia="bg-BG"/>
        </w:rPr>
        <w:t>МЗХ, отдел “Агростатистика”</w:t>
      </w:r>
    </w:p>
    <w:p w14:paraId="69A2A722" w14:textId="77777777" w:rsidR="00CA32C6" w:rsidRPr="00CA32C6" w:rsidRDefault="00CA32C6" w:rsidP="00CA32C6">
      <w:pPr>
        <w:widowControl w:val="0"/>
        <w:spacing w:after="120"/>
        <w:ind w:firstLine="709"/>
        <w:jc w:val="both"/>
        <w:rPr>
          <w:rFonts w:ascii="Arial Narrow" w:hAnsi="Arial Narrow"/>
          <w:lang w:val="bg-BG"/>
        </w:rPr>
      </w:pPr>
      <w:r w:rsidRPr="00CA32C6">
        <w:rPr>
          <w:rFonts w:ascii="Arial Narrow" w:hAnsi="Arial Narrow"/>
          <w:lang w:val="bg-BG"/>
        </w:rPr>
        <w:t xml:space="preserve">Продължава тенденцията за модернизиране на съществуващите оранжерии с прилагане на нови и по-съвременни технологии за качествени зеленчуци - оранжерийно производство. </w:t>
      </w:r>
    </w:p>
    <w:p w14:paraId="1FF2B2C6" w14:textId="77777777" w:rsidR="00CA32C6" w:rsidRPr="00CA32C6" w:rsidRDefault="00CA32C6" w:rsidP="00CA32C6">
      <w:pPr>
        <w:widowControl w:val="0"/>
        <w:spacing w:after="120"/>
        <w:ind w:firstLine="709"/>
        <w:jc w:val="both"/>
        <w:rPr>
          <w:rFonts w:ascii="Arial Narrow" w:eastAsia="Calibri" w:hAnsi="Arial Narrow"/>
          <w:sz w:val="22"/>
          <w:szCs w:val="22"/>
          <w:lang w:val="bg-BG"/>
        </w:rPr>
      </w:pPr>
      <w:r w:rsidRPr="00CA32C6">
        <w:rPr>
          <w:rFonts w:ascii="Arial Narrow" w:hAnsi="Arial Narrow"/>
          <w:lang w:val="bg-BG"/>
        </w:rPr>
        <w:t>Отчита се разнообразяване на видовете зеленчукови култури, отглеждани в оранжерии. Освен основните оранжерийни култури се произвеждат още корнишони, градински фасул-зелен, патладжани, лук кромид-зелен, пъпеши, ягоди и други.</w:t>
      </w:r>
      <w:r w:rsidRPr="00CA32C6">
        <w:rPr>
          <w:rFonts w:ascii="Arial Narrow" w:eastAsia="Calibri" w:hAnsi="Arial Narrow"/>
          <w:sz w:val="22"/>
          <w:szCs w:val="22"/>
          <w:lang w:val="bg-BG"/>
        </w:rPr>
        <w:t xml:space="preserve"> </w:t>
      </w:r>
    </w:p>
    <w:p w14:paraId="3CC10D3A" w14:textId="77777777" w:rsidR="00041175" w:rsidRPr="00041175" w:rsidRDefault="000B2CAB" w:rsidP="00041175">
      <w:pPr>
        <w:pStyle w:val="ListParagraph"/>
        <w:numPr>
          <w:ilvl w:val="2"/>
          <w:numId w:val="8"/>
        </w:numPr>
        <w:tabs>
          <w:tab w:val="left" w:pos="900"/>
          <w:tab w:val="left" w:pos="990"/>
        </w:tabs>
        <w:spacing w:before="240" w:after="120"/>
        <w:ind w:left="900" w:hanging="543"/>
        <w:contextualSpacing w:val="0"/>
        <w:jc w:val="both"/>
        <w:outlineLvl w:val="0"/>
        <w:rPr>
          <w:rFonts w:ascii="Arial Narrow" w:hAnsi="Arial Narrow"/>
          <w:b/>
          <w:bCs/>
          <w:lang w:val="bg-BG" w:eastAsia="bg-BG"/>
        </w:rPr>
      </w:pPr>
      <w:bookmarkStart w:id="44" w:name="_Toc210747548"/>
      <w:r w:rsidRPr="00041175">
        <w:rPr>
          <w:rFonts w:ascii="Arial Narrow" w:hAnsi="Arial Narrow"/>
          <w:b/>
          <w:bCs/>
          <w:lang w:val="bg-BG" w:eastAsia="bg-BG"/>
        </w:rPr>
        <w:t>Прогнозни данни за производството на основни зърнени и маслодайни култури от реколта `202</w:t>
      </w:r>
      <w:r w:rsidR="00041175" w:rsidRPr="00041175">
        <w:rPr>
          <w:rFonts w:ascii="Arial Narrow" w:hAnsi="Arial Narrow"/>
          <w:b/>
          <w:bCs/>
          <w:lang w:eastAsia="bg-BG"/>
        </w:rPr>
        <w:t>5</w:t>
      </w:r>
      <w:bookmarkEnd w:id="44"/>
    </w:p>
    <w:p w14:paraId="552545DB" w14:textId="77777777" w:rsidR="00041175" w:rsidRPr="00041175" w:rsidRDefault="00041175" w:rsidP="00041175">
      <w:pPr>
        <w:autoSpaceDE w:val="0"/>
        <w:autoSpaceDN w:val="0"/>
        <w:adjustRightInd w:val="0"/>
        <w:spacing w:after="120"/>
        <w:ind w:firstLine="720"/>
        <w:jc w:val="both"/>
        <w:rPr>
          <w:rFonts w:ascii="Arial Narrow" w:hAnsi="Arial Narrow"/>
          <w:lang w:val="bg-BG" w:eastAsia="bg-BG"/>
        </w:rPr>
      </w:pPr>
      <w:r w:rsidRPr="00041175">
        <w:rPr>
          <w:rFonts w:ascii="Arial Narrow" w:hAnsi="Arial Narrow"/>
          <w:lang w:val="bg-BG" w:eastAsia="bg-BG"/>
        </w:rPr>
        <w:t xml:space="preserve">По прогнозни данни към края на м. септември, през 2025 г. производството на трите основни есенни зърнени и маслодайни култури нараства спрямо предходната година, както следва: пшеница – с 6,9%, ечемик – с 4,3% и рапица – с 82,8%. При пшеницата и рапицата това се дължи най-вече на по-големия размер реколтирани площи, а при ечемика – на повишения среден добив. </w:t>
      </w:r>
    </w:p>
    <w:p w14:paraId="11F5CFF5" w14:textId="77777777" w:rsidR="00041175" w:rsidRPr="00041175" w:rsidRDefault="00041175" w:rsidP="00041175">
      <w:pPr>
        <w:autoSpaceDE w:val="0"/>
        <w:autoSpaceDN w:val="0"/>
        <w:adjustRightInd w:val="0"/>
        <w:spacing w:after="120"/>
        <w:ind w:firstLine="720"/>
        <w:jc w:val="both"/>
        <w:rPr>
          <w:rFonts w:ascii="Arial Narrow" w:hAnsi="Arial Narrow"/>
          <w:lang w:val="bg-BG" w:eastAsia="bg-BG"/>
        </w:rPr>
      </w:pPr>
      <w:r w:rsidRPr="00041175">
        <w:rPr>
          <w:rFonts w:ascii="Arial Narrow" w:hAnsi="Arial Narrow"/>
          <w:lang w:val="bg-BG" w:eastAsia="bg-BG"/>
        </w:rPr>
        <w:lastRenderedPageBreak/>
        <w:t xml:space="preserve">На този етап продукцията от царевица за зърно се очаква да бъде със значителните 43,4% под нивото от предходната година, в резултат на съчетание от по-малко реколтирани площи и сериозно понижение на средния добив от хектар, вследствие на неблагоприятните климатични условия през стопанската година. По отношение на слънчогледа се очертава по-умерено намаление на производството – със 7,5%.  </w:t>
      </w:r>
    </w:p>
    <w:p w14:paraId="1E37A4FA" w14:textId="77777777" w:rsidR="00041175" w:rsidRPr="00041175" w:rsidRDefault="00041175" w:rsidP="00041175">
      <w:pPr>
        <w:widowControl w:val="0"/>
        <w:autoSpaceDE w:val="0"/>
        <w:autoSpaceDN w:val="0"/>
        <w:adjustRightInd w:val="0"/>
        <w:spacing w:after="120"/>
        <w:ind w:right="142"/>
        <w:jc w:val="both"/>
        <w:rPr>
          <w:rFonts w:ascii="Arial Narrow" w:hAnsi="Arial Narrow"/>
          <w:b/>
          <w:sz w:val="28"/>
          <w:szCs w:val="20"/>
          <w:lang w:val="bg-BG" w:eastAsia="bg-BG"/>
        </w:rPr>
      </w:pPr>
      <w:r w:rsidRPr="00041175">
        <w:rPr>
          <w:rFonts w:ascii="Arial Narrow" w:hAnsi="Arial Narrow"/>
          <w:b/>
          <w:lang w:val="bg-BG" w:eastAsia="bg-BG"/>
        </w:rPr>
        <w:t>Таблица II.12. Прогноза за производството на основни зърнени и маслодайни култури през</w:t>
      </w:r>
      <w:r>
        <w:rPr>
          <w:rFonts w:ascii="Arial Narrow" w:hAnsi="Arial Narrow"/>
          <w:b/>
          <w:lang w:eastAsia="bg-BG"/>
        </w:rPr>
        <w:t xml:space="preserve">   </w:t>
      </w:r>
      <w:r w:rsidRPr="00041175">
        <w:rPr>
          <w:rFonts w:ascii="Arial Narrow" w:hAnsi="Arial Narrow"/>
          <w:b/>
          <w:lang w:val="bg-BG" w:eastAsia="bg-BG"/>
        </w:rPr>
        <w:t xml:space="preserve"> 2025</w:t>
      </w:r>
      <w:r>
        <w:rPr>
          <w:rFonts w:ascii="Arial Narrow" w:hAnsi="Arial Narrow"/>
          <w:b/>
          <w:lang w:val="bg-BG" w:eastAsia="bg-BG"/>
        </w:rPr>
        <w:t xml:space="preserve"> </w:t>
      </w:r>
      <w:r w:rsidRPr="00041175">
        <w:rPr>
          <w:rFonts w:ascii="Arial Narrow" w:hAnsi="Arial Narrow"/>
          <w:b/>
          <w:lang w:val="bg-BG" w:eastAsia="bg-BG"/>
        </w:rPr>
        <w:t>г.</w:t>
      </w:r>
    </w:p>
    <w:tbl>
      <w:tblPr>
        <w:tblW w:w="4906" w:type="pct"/>
        <w:tblInd w:w="108" w:type="dxa"/>
        <w:tblLook w:val="04A0" w:firstRow="1" w:lastRow="0" w:firstColumn="1" w:lastColumn="0" w:noHBand="0" w:noVBand="1"/>
      </w:tblPr>
      <w:tblGrid>
        <w:gridCol w:w="2196"/>
        <w:gridCol w:w="3273"/>
        <w:gridCol w:w="1412"/>
        <w:gridCol w:w="1412"/>
        <w:gridCol w:w="1323"/>
      </w:tblGrid>
      <w:tr w:rsidR="00041175" w:rsidRPr="00041175" w14:paraId="383768B4" w14:textId="77777777" w:rsidTr="00041175">
        <w:trPr>
          <w:trHeight w:val="615"/>
        </w:trPr>
        <w:tc>
          <w:tcPr>
            <w:tcW w:w="1142" w:type="pct"/>
            <w:tcBorders>
              <w:top w:val="single" w:sz="4" w:space="0" w:color="auto"/>
              <w:left w:val="single" w:sz="4" w:space="0" w:color="auto"/>
              <w:bottom w:val="nil"/>
              <w:right w:val="single" w:sz="4" w:space="0" w:color="auto"/>
            </w:tcBorders>
            <w:shd w:val="clear" w:color="auto" w:fill="auto"/>
            <w:noWrap/>
            <w:vAlign w:val="center"/>
            <w:hideMark/>
          </w:tcPr>
          <w:p w14:paraId="57C0BC6C" w14:textId="77777777" w:rsidR="00041175" w:rsidRPr="00041175" w:rsidRDefault="00041175" w:rsidP="00041175">
            <w:pPr>
              <w:jc w:val="center"/>
              <w:rPr>
                <w:rFonts w:ascii="Arial Narrow" w:hAnsi="Arial Narrow" w:cs="Calibri"/>
                <w:b/>
                <w:bCs/>
                <w:sz w:val="20"/>
                <w:szCs w:val="20"/>
                <w:lang w:val="bg-BG"/>
              </w:rPr>
            </w:pPr>
            <w:r w:rsidRPr="00041175">
              <w:rPr>
                <w:rFonts w:ascii="Arial Narrow" w:hAnsi="Arial Narrow" w:cs="Calibri"/>
                <w:b/>
                <w:bCs/>
                <w:sz w:val="20"/>
                <w:szCs w:val="20"/>
                <w:lang w:val="bg-BG"/>
              </w:rPr>
              <w:t>Култура</w:t>
            </w:r>
          </w:p>
        </w:tc>
        <w:tc>
          <w:tcPr>
            <w:tcW w:w="1702" w:type="pct"/>
            <w:tcBorders>
              <w:top w:val="single" w:sz="4" w:space="0" w:color="auto"/>
              <w:left w:val="nil"/>
              <w:bottom w:val="nil"/>
              <w:right w:val="single" w:sz="4" w:space="0" w:color="auto"/>
            </w:tcBorders>
            <w:shd w:val="clear" w:color="auto" w:fill="auto"/>
            <w:noWrap/>
            <w:vAlign w:val="center"/>
            <w:hideMark/>
          </w:tcPr>
          <w:p w14:paraId="18095E84" w14:textId="77777777" w:rsidR="00041175" w:rsidRPr="00041175" w:rsidRDefault="00041175" w:rsidP="00041175">
            <w:pPr>
              <w:jc w:val="center"/>
              <w:rPr>
                <w:rFonts w:ascii="Arial Narrow" w:hAnsi="Arial Narrow" w:cs="Calibri"/>
                <w:b/>
                <w:bCs/>
                <w:sz w:val="20"/>
                <w:szCs w:val="20"/>
                <w:lang w:val="bg-BG"/>
              </w:rPr>
            </w:pPr>
            <w:r w:rsidRPr="00041175">
              <w:rPr>
                <w:rFonts w:ascii="Arial Narrow" w:hAnsi="Arial Narrow" w:cs="Calibri"/>
                <w:b/>
                <w:bCs/>
                <w:sz w:val="20"/>
                <w:szCs w:val="20"/>
                <w:lang w:val="bg-BG"/>
              </w:rPr>
              <w:t>Показател/година</w:t>
            </w:r>
          </w:p>
        </w:tc>
        <w:tc>
          <w:tcPr>
            <w:tcW w:w="734" w:type="pct"/>
            <w:tcBorders>
              <w:top w:val="single" w:sz="4" w:space="0" w:color="auto"/>
              <w:left w:val="nil"/>
              <w:bottom w:val="single" w:sz="4" w:space="0" w:color="auto"/>
              <w:right w:val="single" w:sz="4" w:space="0" w:color="auto"/>
            </w:tcBorders>
            <w:shd w:val="clear" w:color="auto" w:fill="auto"/>
            <w:vAlign w:val="center"/>
            <w:hideMark/>
          </w:tcPr>
          <w:p w14:paraId="3A7BBB48" w14:textId="77777777" w:rsidR="00041175" w:rsidRPr="00041175" w:rsidRDefault="00041175" w:rsidP="00041175">
            <w:pPr>
              <w:jc w:val="center"/>
              <w:rPr>
                <w:rFonts w:ascii="Arial Narrow" w:hAnsi="Arial Narrow" w:cs="Calibri"/>
                <w:b/>
                <w:bCs/>
                <w:sz w:val="20"/>
                <w:szCs w:val="20"/>
                <w:lang w:val="bg-BG"/>
              </w:rPr>
            </w:pPr>
            <w:r w:rsidRPr="00041175">
              <w:rPr>
                <w:rFonts w:ascii="Arial Narrow" w:hAnsi="Arial Narrow" w:cs="Calibri"/>
                <w:b/>
                <w:bCs/>
                <w:sz w:val="20"/>
                <w:szCs w:val="20"/>
                <w:lang w:val="bg-BG"/>
              </w:rPr>
              <w:t>2024</w:t>
            </w:r>
          </w:p>
        </w:tc>
        <w:tc>
          <w:tcPr>
            <w:tcW w:w="734" w:type="pct"/>
            <w:tcBorders>
              <w:top w:val="single" w:sz="4" w:space="0" w:color="auto"/>
              <w:left w:val="nil"/>
              <w:bottom w:val="single" w:sz="4" w:space="0" w:color="auto"/>
              <w:right w:val="single" w:sz="4" w:space="0" w:color="auto"/>
            </w:tcBorders>
            <w:shd w:val="clear" w:color="auto" w:fill="auto"/>
            <w:vAlign w:val="center"/>
            <w:hideMark/>
          </w:tcPr>
          <w:p w14:paraId="37CC7E04" w14:textId="77777777" w:rsidR="00041175" w:rsidRPr="00041175" w:rsidRDefault="00041175" w:rsidP="00041175">
            <w:pPr>
              <w:jc w:val="center"/>
              <w:rPr>
                <w:rFonts w:ascii="Arial Narrow" w:hAnsi="Arial Narrow" w:cs="Calibri"/>
                <w:b/>
                <w:bCs/>
                <w:sz w:val="20"/>
                <w:szCs w:val="20"/>
                <w:lang w:val="bg-BG"/>
              </w:rPr>
            </w:pPr>
            <w:r w:rsidRPr="00041175">
              <w:rPr>
                <w:rFonts w:ascii="Arial Narrow" w:hAnsi="Arial Narrow" w:cs="Calibri"/>
                <w:b/>
                <w:bCs/>
                <w:sz w:val="20"/>
                <w:szCs w:val="20"/>
                <w:lang w:val="bg-BG"/>
              </w:rPr>
              <w:t>2025 (прогноза)</w:t>
            </w:r>
          </w:p>
        </w:tc>
        <w:tc>
          <w:tcPr>
            <w:tcW w:w="688" w:type="pct"/>
            <w:tcBorders>
              <w:top w:val="single" w:sz="4" w:space="0" w:color="auto"/>
              <w:left w:val="nil"/>
              <w:bottom w:val="single" w:sz="4" w:space="0" w:color="auto"/>
              <w:right w:val="single" w:sz="4" w:space="0" w:color="auto"/>
            </w:tcBorders>
            <w:shd w:val="clear" w:color="auto" w:fill="auto"/>
            <w:vAlign w:val="center"/>
            <w:hideMark/>
          </w:tcPr>
          <w:p w14:paraId="3B0B3685" w14:textId="77777777" w:rsidR="00041175" w:rsidRPr="00041175" w:rsidRDefault="00041175" w:rsidP="00041175">
            <w:pPr>
              <w:jc w:val="center"/>
              <w:rPr>
                <w:rFonts w:ascii="Arial Narrow" w:hAnsi="Arial Narrow" w:cs="Calibri"/>
                <w:b/>
                <w:bCs/>
                <w:sz w:val="20"/>
                <w:szCs w:val="20"/>
                <w:lang w:val="bg-BG"/>
              </w:rPr>
            </w:pPr>
            <w:r w:rsidRPr="00041175">
              <w:rPr>
                <w:rFonts w:ascii="Arial Narrow" w:hAnsi="Arial Narrow" w:cs="Calibri"/>
                <w:b/>
                <w:bCs/>
                <w:sz w:val="20"/>
                <w:szCs w:val="20"/>
                <w:lang w:val="bg-BG"/>
              </w:rPr>
              <w:t>Изм. 2025/2024</w:t>
            </w:r>
          </w:p>
        </w:tc>
      </w:tr>
      <w:tr w:rsidR="00041175" w:rsidRPr="00041175" w14:paraId="77C60766" w14:textId="77777777" w:rsidTr="00041175">
        <w:trPr>
          <w:trHeight w:val="295"/>
        </w:trPr>
        <w:tc>
          <w:tcPr>
            <w:tcW w:w="1142"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B899CE" w14:textId="77777777" w:rsidR="00041175" w:rsidRPr="00041175" w:rsidRDefault="00041175" w:rsidP="00041175">
            <w:pPr>
              <w:rPr>
                <w:rFonts w:ascii="Arial Narrow" w:hAnsi="Arial Narrow" w:cs="Calibri"/>
                <w:sz w:val="20"/>
                <w:szCs w:val="20"/>
                <w:lang w:val="bg-BG"/>
              </w:rPr>
            </w:pPr>
            <w:r w:rsidRPr="00041175">
              <w:rPr>
                <w:rFonts w:ascii="Arial Narrow" w:hAnsi="Arial Narrow" w:cs="Calibri"/>
                <w:sz w:val="20"/>
                <w:szCs w:val="20"/>
                <w:lang w:val="bg-BG"/>
              </w:rPr>
              <w:t>Пшеница</w:t>
            </w:r>
          </w:p>
        </w:tc>
        <w:tc>
          <w:tcPr>
            <w:tcW w:w="1702" w:type="pct"/>
            <w:tcBorders>
              <w:top w:val="single" w:sz="4" w:space="0" w:color="auto"/>
              <w:left w:val="nil"/>
              <w:bottom w:val="single" w:sz="4" w:space="0" w:color="auto"/>
              <w:right w:val="single" w:sz="4" w:space="0" w:color="auto"/>
            </w:tcBorders>
            <w:shd w:val="clear" w:color="auto" w:fill="auto"/>
            <w:noWrap/>
            <w:vAlign w:val="center"/>
            <w:hideMark/>
          </w:tcPr>
          <w:p w14:paraId="04F15A91" w14:textId="77777777" w:rsidR="00041175" w:rsidRPr="00041175" w:rsidRDefault="00041175" w:rsidP="00041175">
            <w:pPr>
              <w:rPr>
                <w:rFonts w:ascii="Arial Narrow" w:hAnsi="Arial Narrow" w:cs="Calibri"/>
                <w:sz w:val="20"/>
                <w:szCs w:val="20"/>
                <w:lang w:val="bg-BG"/>
              </w:rPr>
            </w:pPr>
            <w:r w:rsidRPr="00041175">
              <w:rPr>
                <w:rFonts w:ascii="Arial Narrow" w:hAnsi="Arial Narrow" w:cs="Calibri"/>
                <w:sz w:val="20"/>
                <w:szCs w:val="20"/>
                <w:lang w:val="bg-BG"/>
              </w:rPr>
              <w:t>Площи (хил. ха)</w:t>
            </w:r>
          </w:p>
        </w:tc>
        <w:tc>
          <w:tcPr>
            <w:tcW w:w="734" w:type="pct"/>
            <w:tcBorders>
              <w:top w:val="nil"/>
              <w:left w:val="nil"/>
              <w:bottom w:val="single" w:sz="4" w:space="0" w:color="auto"/>
              <w:right w:val="single" w:sz="4" w:space="0" w:color="auto"/>
            </w:tcBorders>
            <w:shd w:val="clear" w:color="auto" w:fill="auto"/>
            <w:noWrap/>
            <w:vAlign w:val="center"/>
            <w:hideMark/>
          </w:tcPr>
          <w:p w14:paraId="3A2C2147" w14:textId="77777777" w:rsidR="00041175" w:rsidRPr="00041175" w:rsidRDefault="00041175" w:rsidP="00041175">
            <w:pPr>
              <w:jc w:val="right"/>
              <w:rPr>
                <w:rFonts w:ascii="Arial Narrow" w:hAnsi="Arial Narrow" w:cs="Calibri"/>
                <w:sz w:val="20"/>
                <w:szCs w:val="20"/>
                <w:lang w:val="bg-BG"/>
              </w:rPr>
            </w:pPr>
            <w:r w:rsidRPr="00041175">
              <w:rPr>
                <w:rFonts w:ascii="Arial Narrow" w:hAnsi="Arial Narrow" w:cs="Calibri"/>
                <w:sz w:val="20"/>
                <w:szCs w:val="20"/>
                <w:lang w:val="bg-BG"/>
              </w:rPr>
              <w:t>1 195</w:t>
            </w:r>
          </w:p>
        </w:tc>
        <w:tc>
          <w:tcPr>
            <w:tcW w:w="734" w:type="pct"/>
            <w:tcBorders>
              <w:top w:val="nil"/>
              <w:left w:val="nil"/>
              <w:bottom w:val="single" w:sz="4" w:space="0" w:color="auto"/>
              <w:right w:val="single" w:sz="4" w:space="0" w:color="auto"/>
            </w:tcBorders>
            <w:shd w:val="clear" w:color="auto" w:fill="auto"/>
            <w:noWrap/>
            <w:vAlign w:val="center"/>
            <w:hideMark/>
          </w:tcPr>
          <w:p w14:paraId="4A0567E6" w14:textId="77777777" w:rsidR="00041175" w:rsidRPr="00041175" w:rsidRDefault="00041175" w:rsidP="00041175">
            <w:pPr>
              <w:jc w:val="right"/>
              <w:rPr>
                <w:rFonts w:ascii="Arial Narrow" w:hAnsi="Arial Narrow" w:cs="Calibri"/>
                <w:sz w:val="20"/>
                <w:szCs w:val="20"/>
                <w:lang w:val="bg-BG"/>
              </w:rPr>
            </w:pPr>
            <w:r w:rsidRPr="00041175">
              <w:rPr>
                <w:rFonts w:ascii="Arial Narrow" w:hAnsi="Arial Narrow" w:cs="Calibri"/>
                <w:sz w:val="20"/>
                <w:szCs w:val="20"/>
                <w:lang w:val="bg-BG"/>
              </w:rPr>
              <w:t>1 266</w:t>
            </w:r>
          </w:p>
        </w:tc>
        <w:tc>
          <w:tcPr>
            <w:tcW w:w="688" w:type="pct"/>
            <w:tcBorders>
              <w:top w:val="nil"/>
              <w:left w:val="nil"/>
              <w:bottom w:val="single" w:sz="4" w:space="0" w:color="auto"/>
              <w:right w:val="single" w:sz="4" w:space="0" w:color="auto"/>
            </w:tcBorders>
            <w:shd w:val="clear" w:color="auto" w:fill="auto"/>
            <w:noWrap/>
            <w:vAlign w:val="center"/>
            <w:hideMark/>
          </w:tcPr>
          <w:p w14:paraId="4C6FCADB" w14:textId="77777777" w:rsidR="00041175" w:rsidRPr="00041175" w:rsidRDefault="00041175" w:rsidP="00041175">
            <w:pPr>
              <w:jc w:val="right"/>
              <w:rPr>
                <w:rFonts w:ascii="Arial Narrow" w:hAnsi="Arial Narrow" w:cs="Calibri"/>
                <w:sz w:val="20"/>
                <w:szCs w:val="20"/>
                <w:lang w:val="bg-BG"/>
              </w:rPr>
            </w:pPr>
            <w:r w:rsidRPr="00041175">
              <w:rPr>
                <w:rFonts w:ascii="Arial Narrow" w:hAnsi="Arial Narrow" w:cs="Calibri"/>
                <w:sz w:val="20"/>
                <w:szCs w:val="20"/>
                <w:lang w:val="bg-BG"/>
              </w:rPr>
              <w:t>6,0%</w:t>
            </w:r>
          </w:p>
        </w:tc>
      </w:tr>
      <w:tr w:rsidR="00041175" w:rsidRPr="00041175" w14:paraId="5C41D605" w14:textId="77777777" w:rsidTr="00041175">
        <w:trPr>
          <w:trHeight w:val="295"/>
        </w:trPr>
        <w:tc>
          <w:tcPr>
            <w:tcW w:w="1142" w:type="pct"/>
            <w:vMerge/>
            <w:tcBorders>
              <w:top w:val="single" w:sz="4" w:space="0" w:color="auto"/>
              <w:left w:val="single" w:sz="4" w:space="0" w:color="auto"/>
              <w:bottom w:val="single" w:sz="4" w:space="0" w:color="auto"/>
              <w:right w:val="single" w:sz="4" w:space="0" w:color="auto"/>
            </w:tcBorders>
            <w:vAlign w:val="center"/>
            <w:hideMark/>
          </w:tcPr>
          <w:p w14:paraId="0316DE14" w14:textId="77777777" w:rsidR="00041175" w:rsidRPr="00041175" w:rsidRDefault="00041175" w:rsidP="00041175">
            <w:pPr>
              <w:rPr>
                <w:rFonts w:ascii="Arial Narrow" w:hAnsi="Arial Narrow" w:cs="Calibri"/>
                <w:sz w:val="20"/>
                <w:szCs w:val="20"/>
                <w:lang w:val="bg-BG"/>
              </w:rPr>
            </w:pPr>
          </w:p>
        </w:tc>
        <w:tc>
          <w:tcPr>
            <w:tcW w:w="1702" w:type="pct"/>
            <w:tcBorders>
              <w:top w:val="nil"/>
              <w:left w:val="nil"/>
              <w:bottom w:val="single" w:sz="4" w:space="0" w:color="auto"/>
              <w:right w:val="single" w:sz="4" w:space="0" w:color="auto"/>
            </w:tcBorders>
            <w:shd w:val="clear" w:color="auto" w:fill="auto"/>
            <w:noWrap/>
            <w:vAlign w:val="center"/>
            <w:hideMark/>
          </w:tcPr>
          <w:p w14:paraId="1F5248DC" w14:textId="77777777" w:rsidR="00041175" w:rsidRPr="00041175" w:rsidRDefault="00041175" w:rsidP="00041175">
            <w:pPr>
              <w:rPr>
                <w:rFonts w:ascii="Arial Narrow" w:hAnsi="Arial Narrow" w:cs="Calibri"/>
                <w:sz w:val="20"/>
                <w:szCs w:val="20"/>
                <w:lang w:val="bg-BG"/>
              </w:rPr>
            </w:pPr>
            <w:r w:rsidRPr="00041175">
              <w:rPr>
                <w:rFonts w:ascii="Arial Narrow" w:hAnsi="Arial Narrow" w:cs="Calibri"/>
                <w:sz w:val="20"/>
                <w:szCs w:val="20"/>
                <w:lang w:val="bg-BG"/>
              </w:rPr>
              <w:t>Среден добив (тона/ха)</w:t>
            </w:r>
          </w:p>
        </w:tc>
        <w:tc>
          <w:tcPr>
            <w:tcW w:w="734" w:type="pct"/>
            <w:tcBorders>
              <w:top w:val="nil"/>
              <w:left w:val="nil"/>
              <w:bottom w:val="single" w:sz="4" w:space="0" w:color="auto"/>
              <w:right w:val="single" w:sz="4" w:space="0" w:color="auto"/>
            </w:tcBorders>
            <w:shd w:val="clear" w:color="auto" w:fill="auto"/>
            <w:noWrap/>
            <w:vAlign w:val="center"/>
            <w:hideMark/>
          </w:tcPr>
          <w:p w14:paraId="32C1DE1E" w14:textId="77777777" w:rsidR="00041175" w:rsidRPr="00041175" w:rsidRDefault="00041175" w:rsidP="00041175">
            <w:pPr>
              <w:jc w:val="right"/>
              <w:rPr>
                <w:rFonts w:ascii="Arial Narrow" w:hAnsi="Arial Narrow" w:cs="Calibri"/>
                <w:sz w:val="20"/>
                <w:szCs w:val="20"/>
                <w:lang w:val="bg-BG"/>
              </w:rPr>
            </w:pPr>
            <w:r w:rsidRPr="00041175">
              <w:rPr>
                <w:rFonts w:ascii="Arial Narrow" w:hAnsi="Arial Narrow" w:cs="Calibri"/>
                <w:sz w:val="20"/>
                <w:szCs w:val="20"/>
                <w:lang w:val="bg-BG"/>
              </w:rPr>
              <w:t>5,73</w:t>
            </w:r>
          </w:p>
        </w:tc>
        <w:tc>
          <w:tcPr>
            <w:tcW w:w="734" w:type="pct"/>
            <w:tcBorders>
              <w:top w:val="nil"/>
              <w:left w:val="nil"/>
              <w:bottom w:val="single" w:sz="4" w:space="0" w:color="auto"/>
              <w:right w:val="single" w:sz="4" w:space="0" w:color="auto"/>
            </w:tcBorders>
            <w:shd w:val="clear" w:color="auto" w:fill="auto"/>
            <w:noWrap/>
            <w:vAlign w:val="center"/>
            <w:hideMark/>
          </w:tcPr>
          <w:p w14:paraId="5272E63C" w14:textId="77777777" w:rsidR="00041175" w:rsidRPr="00041175" w:rsidRDefault="00041175" w:rsidP="00041175">
            <w:pPr>
              <w:jc w:val="right"/>
              <w:rPr>
                <w:rFonts w:ascii="Arial Narrow" w:hAnsi="Arial Narrow" w:cs="Calibri"/>
                <w:sz w:val="20"/>
                <w:szCs w:val="20"/>
                <w:lang w:val="bg-BG"/>
              </w:rPr>
            </w:pPr>
            <w:r w:rsidRPr="00041175">
              <w:rPr>
                <w:rFonts w:ascii="Arial Narrow" w:hAnsi="Arial Narrow" w:cs="Calibri"/>
                <w:sz w:val="20"/>
                <w:szCs w:val="20"/>
                <w:lang w:val="bg-BG"/>
              </w:rPr>
              <w:t>5,78</w:t>
            </w:r>
          </w:p>
        </w:tc>
        <w:tc>
          <w:tcPr>
            <w:tcW w:w="688" w:type="pct"/>
            <w:tcBorders>
              <w:top w:val="nil"/>
              <w:left w:val="nil"/>
              <w:bottom w:val="single" w:sz="4" w:space="0" w:color="auto"/>
              <w:right w:val="single" w:sz="4" w:space="0" w:color="auto"/>
            </w:tcBorders>
            <w:shd w:val="clear" w:color="auto" w:fill="auto"/>
            <w:noWrap/>
            <w:vAlign w:val="center"/>
            <w:hideMark/>
          </w:tcPr>
          <w:p w14:paraId="1CF774A0" w14:textId="77777777" w:rsidR="00041175" w:rsidRPr="00041175" w:rsidRDefault="00041175" w:rsidP="00041175">
            <w:pPr>
              <w:jc w:val="right"/>
              <w:rPr>
                <w:rFonts w:ascii="Arial Narrow" w:hAnsi="Arial Narrow" w:cs="Calibri"/>
                <w:sz w:val="20"/>
                <w:szCs w:val="20"/>
                <w:lang w:val="bg-BG"/>
              </w:rPr>
            </w:pPr>
            <w:r w:rsidRPr="00041175">
              <w:rPr>
                <w:rFonts w:ascii="Arial Narrow" w:hAnsi="Arial Narrow" w:cs="Calibri"/>
                <w:sz w:val="20"/>
                <w:szCs w:val="20"/>
                <w:lang w:val="bg-BG"/>
              </w:rPr>
              <w:t>0,9%</w:t>
            </w:r>
          </w:p>
        </w:tc>
      </w:tr>
      <w:tr w:rsidR="00041175" w:rsidRPr="00041175" w14:paraId="2357E966" w14:textId="77777777" w:rsidTr="00041175">
        <w:trPr>
          <w:trHeight w:val="295"/>
        </w:trPr>
        <w:tc>
          <w:tcPr>
            <w:tcW w:w="1142" w:type="pct"/>
            <w:vMerge/>
            <w:tcBorders>
              <w:top w:val="single" w:sz="4" w:space="0" w:color="auto"/>
              <w:left w:val="single" w:sz="4" w:space="0" w:color="auto"/>
              <w:bottom w:val="single" w:sz="4" w:space="0" w:color="auto"/>
              <w:right w:val="single" w:sz="4" w:space="0" w:color="auto"/>
            </w:tcBorders>
            <w:vAlign w:val="center"/>
            <w:hideMark/>
          </w:tcPr>
          <w:p w14:paraId="64BC6AFC" w14:textId="77777777" w:rsidR="00041175" w:rsidRPr="00041175" w:rsidRDefault="00041175" w:rsidP="00041175">
            <w:pPr>
              <w:rPr>
                <w:rFonts w:ascii="Arial Narrow" w:hAnsi="Arial Narrow" w:cs="Calibri"/>
                <w:sz w:val="20"/>
                <w:szCs w:val="20"/>
                <w:lang w:val="bg-BG"/>
              </w:rPr>
            </w:pPr>
          </w:p>
        </w:tc>
        <w:tc>
          <w:tcPr>
            <w:tcW w:w="1702" w:type="pct"/>
            <w:tcBorders>
              <w:top w:val="nil"/>
              <w:left w:val="nil"/>
              <w:bottom w:val="single" w:sz="4" w:space="0" w:color="auto"/>
              <w:right w:val="single" w:sz="4" w:space="0" w:color="auto"/>
            </w:tcBorders>
            <w:shd w:val="clear" w:color="auto" w:fill="auto"/>
            <w:noWrap/>
            <w:vAlign w:val="center"/>
            <w:hideMark/>
          </w:tcPr>
          <w:p w14:paraId="2B613857" w14:textId="77777777" w:rsidR="00041175" w:rsidRPr="00041175" w:rsidRDefault="00041175" w:rsidP="00041175">
            <w:pPr>
              <w:rPr>
                <w:rFonts w:ascii="Arial Narrow" w:hAnsi="Arial Narrow" w:cs="Calibri"/>
                <w:sz w:val="20"/>
                <w:szCs w:val="20"/>
                <w:lang w:val="bg-BG"/>
              </w:rPr>
            </w:pPr>
            <w:r w:rsidRPr="00041175">
              <w:rPr>
                <w:rFonts w:ascii="Arial Narrow" w:hAnsi="Arial Narrow" w:cs="Calibri"/>
                <w:sz w:val="20"/>
                <w:szCs w:val="20"/>
                <w:lang w:val="bg-BG"/>
              </w:rPr>
              <w:t>Производство (хил. тона)</w:t>
            </w:r>
          </w:p>
        </w:tc>
        <w:tc>
          <w:tcPr>
            <w:tcW w:w="734" w:type="pct"/>
            <w:tcBorders>
              <w:top w:val="nil"/>
              <w:left w:val="nil"/>
              <w:bottom w:val="single" w:sz="4" w:space="0" w:color="auto"/>
              <w:right w:val="single" w:sz="4" w:space="0" w:color="auto"/>
            </w:tcBorders>
            <w:shd w:val="clear" w:color="auto" w:fill="auto"/>
            <w:noWrap/>
            <w:vAlign w:val="center"/>
            <w:hideMark/>
          </w:tcPr>
          <w:p w14:paraId="4BBB1F92" w14:textId="77777777" w:rsidR="00041175" w:rsidRPr="00041175" w:rsidRDefault="00041175" w:rsidP="00041175">
            <w:pPr>
              <w:jc w:val="right"/>
              <w:rPr>
                <w:rFonts w:ascii="Arial Narrow" w:hAnsi="Arial Narrow" w:cs="Calibri"/>
                <w:sz w:val="20"/>
                <w:szCs w:val="20"/>
                <w:lang w:val="bg-BG"/>
              </w:rPr>
            </w:pPr>
            <w:r w:rsidRPr="00041175">
              <w:rPr>
                <w:rFonts w:ascii="Arial Narrow" w:hAnsi="Arial Narrow" w:cs="Calibri"/>
                <w:sz w:val="20"/>
                <w:szCs w:val="20"/>
                <w:lang w:val="bg-BG"/>
              </w:rPr>
              <w:t>6 846</w:t>
            </w:r>
          </w:p>
        </w:tc>
        <w:tc>
          <w:tcPr>
            <w:tcW w:w="734" w:type="pct"/>
            <w:tcBorders>
              <w:top w:val="nil"/>
              <w:left w:val="nil"/>
              <w:bottom w:val="single" w:sz="4" w:space="0" w:color="auto"/>
              <w:right w:val="single" w:sz="4" w:space="0" w:color="auto"/>
            </w:tcBorders>
            <w:shd w:val="clear" w:color="auto" w:fill="auto"/>
            <w:noWrap/>
            <w:vAlign w:val="center"/>
            <w:hideMark/>
          </w:tcPr>
          <w:p w14:paraId="64B70631" w14:textId="77777777" w:rsidR="00041175" w:rsidRPr="00041175" w:rsidRDefault="00041175" w:rsidP="00041175">
            <w:pPr>
              <w:jc w:val="right"/>
              <w:rPr>
                <w:rFonts w:ascii="Arial Narrow" w:hAnsi="Arial Narrow" w:cs="Calibri"/>
                <w:sz w:val="20"/>
                <w:szCs w:val="20"/>
                <w:lang w:val="bg-BG"/>
              </w:rPr>
            </w:pPr>
            <w:r w:rsidRPr="00041175">
              <w:rPr>
                <w:rFonts w:ascii="Arial Narrow" w:hAnsi="Arial Narrow" w:cs="Calibri"/>
                <w:sz w:val="20"/>
                <w:szCs w:val="20"/>
                <w:lang w:val="bg-BG"/>
              </w:rPr>
              <w:t>7 318</w:t>
            </w:r>
          </w:p>
        </w:tc>
        <w:tc>
          <w:tcPr>
            <w:tcW w:w="688" w:type="pct"/>
            <w:tcBorders>
              <w:top w:val="nil"/>
              <w:left w:val="nil"/>
              <w:bottom w:val="single" w:sz="4" w:space="0" w:color="auto"/>
              <w:right w:val="single" w:sz="4" w:space="0" w:color="auto"/>
            </w:tcBorders>
            <w:shd w:val="clear" w:color="auto" w:fill="auto"/>
            <w:noWrap/>
            <w:vAlign w:val="center"/>
            <w:hideMark/>
          </w:tcPr>
          <w:p w14:paraId="5C75840E" w14:textId="77777777" w:rsidR="00041175" w:rsidRPr="00041175" w:rsidRDefault="00041175" w:rsidP="00041175">
            <w:pPr>
              <w:jc w:val="right"/>
              <w:rPr>
                <w:rFonts w:ascii="Arial Narrow" w:hAnsi="Arial Narrow" w:cs="Calibri"/>
                <w:sz w:val="20"/>
                <w:szCs w:val="20"/>
                <w:lang w:val="bg-BG"/>
              </w:rPr>
            </w:pPr>
            <w:r w:rsidRPr="00041175">
              <w:rPr>
                <w:rFonts w:ascii="Arial Narrow" w:hAnsi="Arial Narrow" w:cs="Calibri"/>
                <w:sz w:val="20"/>
                <w:szCs w:val="20"/>
                <w:lang w:val="bg-BG"/>
              </w:rPr>
              <w:t>6,9%</w:t>
            </w:r>
          </w:p>
        </w:tc>
      </w:tr>
      <w:tr w:rsidR="00041175" w:rsidRPr="00041175" w14:paraId="446F8AE5" w14:textId="77777777" w:rsidTr="00041175">
        <w:trPr>
          <w:trHeight w:val="295"/>
        </w:trPr>
        <w:tc>
          <w:tcPr>
            <w:tcW w:w="1142"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7EA1BF80" w14:textId="77777777" w:rsidR="00041175" w:rsidRPr="00041175" w:rsidRDefault="00041175" w:rsidP="00041175">
            <w:pPr>
              <w:rPr>
                <w:rFonts w:ascii="Arial Narrow" w:hAnsi="Arial Narrow" w:cs="Calibri"/>
                <w:sz w:val="20"/>
                <w:szCs w:val="20"/>
                <w:lang w:val="bg-BG"/>
              </w:rPr>
            </w:pPr>
            <w:r w:rsidRPr="00041175">
              <w:rPr>
                <w:rFonts w:ascii="Arial Narrow" w:hAnsi="Arial Narrow" w:cs="Calibri"/>
                <w:sz w:val="20"/>
                <w:szCs w:val="20"/>
                <w:lang w:val="bg-BG"/>
              </w:rPr>
              <w:t>Царевица за зърно</w:t>
            </w:r>
          </w:p>
        </w:tc>
        <w:tc>
          <w:tcPr>
            <w:tcW w:w="1702" w:type="pct"/>
            <w:tcBorders>
              <w:top w:val="nil"/>
              <w:left w:val="nil"/>
              <w:bottom w:val="single" w:sz="4" w:space="0" w:color="auto"/>
              <w:right w:val="single" w:sz="4" w:space="0" w:color="auto"/>
            </w:tcBorders>
            <w:shd w:val="clear" w:color="auto" w:fill="auto"/>
            <w:noWrap/>
            <w:vAlign w:val="center"/>
            <w:hideMark/>
          </w:tcPr>
          <w:p w14:paraId="1E3C7C5A" w14:textId="77777777" w:rsidR="00041175" w:rsidRPr="00041175" w:rsidRDefault="00041175" w:rsidP="00041175">
            <w:pPr>
              <w:rPr>
                <w:rFonts w:ascii="Arial Narrow" w:hAnsi="Arial Narrow" w:cs="Calibri"/>
                <w:sz w:val="20"/>
                <w:szCs w:val="20"/>
                <w:lang w:val="bg-BG"/>
              </w:rPr>
            </w:pPr>
            <w:r w:rsidRPr="00041175">
              <w:rPr>
                <w:rFonts w:ascii="Arial Narrow" w:hAnsi="Arial Narrow" w:cs="Calibri"/>
                <w:sz w:val="20"/>
                <w:szCs w:val="20"/>
                <w:lang w:val="bg-BG"/>
              </w:rPr>
              <w:t>Площи (хил. ха)</w:t>
            </w:r>
          </w:p>
        </w:tc>
        <w:tc>
          <w:tcPr>
            <w:tcW w:w="734" w:type="pct"/>
            <w:tcBorders>
              <w:top w:val="nil"/>
              <w:left w:val="nil"/>
              <w:bottom w:val="single" w:sz="4" w:space="0" w:color="auto"/>
              <w:right w:val="single" w:sz="4" w:space="0" w:color="auto"/>
            </w:tcBorders>
            <w:shd w:val="clear" w:color="auto" w:fill="auto"/>
            <w:noWrap/>
            <w:vAlign w:val="center"/>
            <w:hideMark/>
          </w:tcPr>
          <w:p w14:paraId="117B3D13" w14:textId="77777777" w:rsidR="00041175" w:rsidRPr="00041175" w:rsidRDefault="00041175" w:rsidP="00041175">
            <w:pPr>
              <w:jc w:val="right"/>
              <w:rPr>
                <w:rFonts w:ascii="Arial Narrow" w:hAnsi="Arial Narrow" w:cs="Calibri"/>
                <w:sz w:val="20"/>
                <w:szCs w:val="20"/>
                <w:lang w:val="bg-BG"/>
              </w:rPr>
            </w:pPr>
            <w:r w:rsidRPr="00041175">
              <w:rPr>
                <w:rFonts w:ascii="Arial Narrow" w:hAnsi="Arial Narrow" w:cs="Calibri"/>
                <w:sz w:val="20"/>
                <w:szCs w:val="20"/>
                <w:lang w:val="bg-BG"/>
              </w:rPr>
              <w:t>503</w:t>
            </w:r>
          </w:p>
        </w:tc>
        <w:tc>
          <w:tcPr>
            <w:tcW w:w="734" w:type="pct"/>
            <w:tcBorders>
              <w:top w:val="nil"/>
              <w:left w:val="nil"/>
              <w:bottom w:val="single" w:sz="4" w:space="0" w:color="auto"/>
              <w:right w:val="single" w:sz="4" w:space="0" w:color="auto"/>
            </w:tcBorders>
            <w:shd w:val="clear" w:color="auto" w:fill="auto"/>
            <w:noWrap/>
            <w:vAlign w:val="center"/>
            <w:hideMark/>
          </w:tcPr>
          <w:p w14:paraId="3FE2B41B" w14:textId="77777777" w:rsidR="00041175" w:rsidRPr="00041175" w:rsidRDefault="00041175" w:rsidP="00041175">
            <w:pPr>
              <w:jc w:val="right"/>
              <w:rPr>
                <w:rFonts w:ascii="Arial Narrow" w:hAnsi="Arial Narrow" w:cs="Calibri"/>
                <w:sz w:val="20"/>
                <w:szCs w:val="20"/>
                <w:lang w:val="bg-BG"/>
              </w:rPr>
            </w:pPr>
            <w:r w:rsidRPr="00041175">
              <w:rPr>
                <w:rFonts w:ascii="Arial Narrow" w:hAnsi="Arial Narrow" w:cs="Calibri"/>
                <w:sz w:val="20"/>
                <w:szCs w:val="20"/>
                <w:lang w:val="bg-BG"/>
              </w:rPr>
              <w:t>410</w:t>
            </w:r>
          </w:p>
        </w:tc>
        <w:tc>
          <w:tcPr>
            <w:tcW w:w="688" w:type="pct"/>
            <w:tcBorders>
              <w:top w:val="nil"/>
              <w:left w:val="nil"/>
              <w:bottom w:val="single" w:sz="4" w:space="0" w:color="auto"/>
              <w:right w:val="single" w:sz="4" w:space="0" w:color="auto"/>
            </w:tcBorders>
            <w:shd w:val="clear" w:color="auto" w:fill="auto"/>
            <w:noWrap/>
            <w:vAlign w:val="center"/>
            <w:hideMark/>
          </w:tcPr>
          <w:p w14:paraId="77243E1B" w14:textId="77777777" w:rsidR="00041175" w:rsidRPr="00041175" w:rsidRDefault="00041175" w:rsidP="00041175">
            <w:pPr>
              <w:jc w:val="right"/>
              <w:rPr>
                <w:rFonts w:ascii="Arial Narrow" w:hAnsi="Arial Narrow" w:cs="Calibri"/>
                <w:sz w:val="20"/>
                <w:szCs w:val="20"/>
                <w:lang w:val="bg-BG"/>
              </w:rPr>
            </w:pPr>
            <w:r w:rsidRPr="00041175">
              <w:rPr>
                <w:rFonts w:ascii="Arial Narrow" w:hAnsi="Arial Narrow" w:cs="Calibri"/>
                <w:sz w:val="20"/>
                <w:szCs w:val="20"/>
                <w:lang w:val="bg-BG"/>
              </w:rPr>
              <w:t>-18,5%</w:t>
            </w:r>
          </w:p>
        </w:tc>
      </w:tr>
      <w:tr w:rsidR="00041175" w:rsidRPr="00041175" w14:paraId="14366BF1" w14:textId="77777777" w:rsidTr="00041175">
        <w:trPr>
          <w:trHeight w:val="295"/>
        </w:trPr>
        <w:tc>
          <w:tcPr>
            <w:tcW w:w="1142" w:type="pct"/>
            <w:vMerge/>
            <w:tcBorders>
              <w:top w:val="nil"/>
              <w:left w:val="single" w:sz="4" w:space="0" w:color="auto"/>
              <w:bottom w:val="single" w:sz="4" w:space="0" w:color="auto"/>
              <w:right w:val="single" w:sz="4" w:space="0" w:color="auto"/>
            </w:tcBorders>
            <w:vAlign w:val="center"/>
            <w:hideMark/>
          </w:tcPr>
          <w:p w14:paraId="06303B0D" w14:textId="77777777" w:rsidR="00041175" w:rsidRPr="00041175" w:rsidRDefault="00041175" w:rsidP="00041175">
            <w:pPr>
              <w:rPr>
                <w:rFonts w:ascii="Arial Narrow" w:hAnsi="Arial Narrow" w:cs="Calibri"/>
                <w:sz w:val="20"/>
                <w:szCs w:val="20"/>
                <w:lang w:val="bg-BG"/>
              </w:rPr>
            </w:pPr>
          </w:p>
        </w:tc>
        <w:tc>
          <w:tcPr>
            <w:tcW w:w="1702" w:type="pct"/>
            <w:tcBorders>
              <w:top w:val="nil"/>
              <w:left w:val="nil"/>
              <w:bottom w:val="single" w:sz="4" w:space="0" w:color="auto"/>
              <w:right w:val="single" w:sz="4" w:space="0" w:color="auto"/>
            </w:tcBorders>
            <w:shd w:val="clear" w:color="auto" w:fill="auto"/>
            <w:noWrap/>
            <w:vAlign w:val="center"/>
            <w:hideMark/>
          </w:tcPr>
          <w:p w14:paraId="03561C9F" w14:textId="77777777" w:rsidR="00041175" w:rsidRPr="00041175" w:rsidRDefault="00041175" w:rsidP="00041175">
            <w:pPr>
              <w:rPr>
                <w:rFonts w:ascii="Arial Narrow" w:hAnsi="Arial Narrow" w:cs="Calibri"/>
                <w:sz w:val="20"/>
                <w:szCs w:val="20"/>
                <w:lang w:val="bg-BG"/>
              </w:rPr>
            </w:pPr>
            <w:r w:rsidRPr="00041175">
              <w:rPr>
                <w:rFonts w:ascii="Arial Narrow" w:hAnsi="Arial Narrow" w:cs="Calibri"/>
                <w:sz w:val="20"/>
                <w:szCs w:val="20"/>
                <w:lang w:val="bg-BG"/>
              </w:rPr>
              <w:t>Среден добив (тона/ха)</w:t>
            </w:r>
          </w:p>
        </w:tc>
        <w:tc>
          <w:tcPr>
            <w:tcW w:w="734" w:type="pct"/>
            <w:tcBorders>
              <w:top w:val="nil"/>
              <w:left w:val="nil"/>
              <w:bottom w:val="single" w:sz="4" w:space="0" w:color="auto"/>
              <w:right w:val="single" w:sz="4" w:space="0" w:color="auto"/>
            </w:tcBorders>
            <w:shd w:val="clear" w:color="auto" w:fill="auto"/>
            <w:noWrap/>
            <w:vAlign w:val="center"/>
            <w:hideMark/>
          </w:tcPr>
          <w:p w14:paraId="1994AA66" w14:textId="77777777" w:rsidR="00041175" w:rsidRPr="00041175" w:rsidRDefault="00041175" w:rsidP="00041175">
            <w:pPr>
              <w:jc w:val="right"/>
              <w:rPr>
                <w:rFonts w:ascii="Arial Narrow" w:hAnsi="Arial Narrow" w:cs="Calibri"/>
                <w:sz w:val="20"/>
                <w:szCs w:val="20"/>
                <w:lang w:val="bg-BG"/>
              </w:rPr>
            </w:pPr>
            <w:r w:rsidRPr="00041175">
              <w:rPr>
                <w:rFonts w:ascii="Arial Narrow" w:hAnsi="Arial Narrow" w:cs="Calibri"/>
                <w:sz w:val="20"/>
                <w:szCs w:val="20"/>
                <w:lang w:val="bg-BG"/>
              </w:rPr>
              <w:t>3,18</w:t>
            </w:r>
          </w:p>
        </w:tc>
        <w:tc>
          <w:tcPr>
            <w:tcW w:w="734" w:type="pct"/>
            <w:tcBorders>
              <w:top w:val="nil"/>
              <w:left w:val="nil"/>
              <w:bottom w:val="single" w:sz="4" w:space="0" w:color="auto"/>
              <w:right w:val="single" w:sz="4" w:space="0" w:color="auto"/>
            </w:tcBorders>
            <w:shd w:val="clear" w:color="auto" w:fill="auto"/>
            <w:noWrap/>
            <w:vAlign w:val="center"/>
            <w:hideMark/>
          </w:tcPr>
          <w:p w14:paraId="7759CC17" w14:textId="77777777" w:rsidR="00041175" w:rsidRPr="00041175" w:rsidRDefault="00041175" w:rsidP="00041175">
            <w:pPr>
              <w:jc w:val="right"/>
              <w:rPr>
                <w:rFonts w:ascii="Arial Narrow" w:hAnsi="Arial Narrow" w:cs="Calibri"/>
                <w:sz w:val="20"/>
                <w:szCs w:val="20"/>
                <w:lang w:val="bg-BG"/>
              </w:rPr>
            </w:pPr>
            <w:r w:rsidRPr="00041175">
              <w:rPr>
                <w:rFonts w:ascii="Arial Narrow" w:hAnsi="Arial Narrow" w:cs="Calibri"/>
                <w:sz w:val="20"/>
                <w:szCs w:val="20"/>
                <w:lang w:val="bg-BG"/>
              </w:rPr>
              <w:t>2,21</w:t>
            </w:r>
          </w:p>
        </w:tc>
        <w:tc>
          <w:tcPr>
            <w:tcW w:w="688" w:type="pct"/>
            <w:tcBorders>
              <w:top w:val="nil"/>
              <w:left w:val="nil"/>
              <w:bottom w:val="single" w:sz="4" w:space="0" w:color="auto"/>
              <w:right w:val="single" w:sz="4" w:space="0" w:color="auto"/>
            </w:tcBorders>
            <w:shd w:val="clear" w:color="auto" w:fill="auto"/>
            <w:noWrap/>
            <w:vAlign w:val="center"/>
            <w:hideMark/>
          </w:tcPr>
          <w:p w14:paraId="4AF781AB" w14:textId="77777777" w:rsidR="00041175" w:rsidRPr="00041175" w:rsidRDefault="00041175" w:rsidP="00041175">
            <w:pPr>
              <w:jc w:val="right"/>
              <w:rPr>
                <w:rFonts w:ascii="Arial Narrow" w:hAnsi="Arial Narrow" w:cs="Calibri"/>
                <w:sz w:val="20"/>
                <w:szCs w:val="20"/>
                <w:lang w:val="bg-BG"/>
              </w:rPr>
            </w:pPr>
            <w:r w:rsidRPr="00041175">
              <w:rPr>
                <w:rFonts w:ascii="Arial Narrow" w:hAnsi="Arial Narrow" w:cs="Calibri"/>
                <w:sz w:val="20"/>
                <w:szCs w:val="20"/>
                <w:lang w:val="bg-BG"/>
              </w:rPr>
              <w:t>-30,6%</w:t>
            </w:r>
          </w:p>
        </w:tc>
      </w:tr>
      <w:tr w:rsidR="00041175" w:rsidRPr="00041175" w14:paraId="204C7164" w14:textId="77777777" w:rsidTr="00041175">
        <w:trPr>
          <w:trHeight w:val="295"/>
        </w:trPr>
        <w:tc>
          <w:tcPr>
            <w:tcW w:w="1142" w:type="pct"/>
            <w:vMerge/>
            <w:tcBorders>
              <w:top w:val="nil"/>
              <w:left w:val="single" w:sz="4" w:space="0" w:color="auto"/>
              <w:bottom w:val="single" w:sz="4" w:space="0" w:color="auto"/>
              <w:right w:val="single" w:sz="4" w:space="0" w:color="auto"/>
            </w:tcBorders>
            <w:vAlign w:val="center"/>
            <w:hideMark/>
          </w:tcPr>
          <w:p w14:paraId="06D7C8D5" w14:textId="77777777" w:rsidR="00041175" w:rsidRPr="00041175" w:rsidRDefault="00041175" w:rsidP="00041175">
            <w:pPr>
              <w:rPr>
                <w:rFonts w:ascii="Arial Narrow" w:hAnsi="Arial Narrow" w:cs="Calibri"/>
                <w:sz w:val="20"/>
                <w:szCs w:val="20"/>
                <w:lang w:val="bg-BG"/>
              </w:rPr>
            </w:pPr>
          </w:p>
        </w:tc>
        <w:tc>
          <w:tcPr>
            <w:tcW w:w="1702" w:type="pct"/>
            <w:tcBorders>
              <w:top w:val="nil"/>
              <w:left w:val="nil"/>
              <w:bottom w:val="single" w:sz="4" w:space="0" w:color="auto"/>
              <w:right w:val="single" w:sz="4" w:space="0" w:color="auto"/>
            </w:tcBorders>
            <w:shd w:val="clear" w:color="auto" w:fill="auto"/>
            <w:noWrap/>
            <w:vAlign w:val="center"/>
            <w:hideMark/>
          </w:tcPr>
          <w:p w14:paraId="1F404369" w14:textId="77777777" w:rsidR="00041175" w:rsidRPr="00041175" w:rsidRDefault="00041175" w:rsidP="00041175">
            <w:pPr>
              <w:rPr>
                <w:rFonts w:ascii="Arial Narrow" w:hAnsi="Arial Narrow" w:cs="Calibri"/>
                <w:sz w:val="20"/>
                <w:szCs w:val="20"/>
                <w:lang w:val="bg-BG"/>
              </w:rPr>
            </w:pPr>
            <w:r w:rsidRPr="00041175">
              <w:rPr>
                <w:rFonts w:ascii="Arial Narrow" w:hAnsi="Arial Narrow" w:cs="Calibri"/>
                <w:sz w:val="20"/>
                <w:szCs w:val="20"/>
                <w:lang w:val="bg-BG"/>
              </w:rPr>
              <w:t>Производство (хил. тона)</w:t>
            </w:r>
          </w:p>
        </w:tc>
        <w:tc>
          <w:tcPr>
            <w:tcW w:w="734" w:type="pct"/>
            <w:tcBorders>
              <w:top w:val="nil"/>
              <w:left w:val="nil"/>
              <w:bottom w:val="single" w:sz="4" w:space="0" w:color="auto"/>
              <w:right w:val="single" w:sz="4" w:space="0" w:color="auto"/>
            </w:tcBorders>
            <w:shd w:val="clear" w:color="auto" w:fill="auto"/>
            <w:noWrap/>
            <w:vAlign w:val="center"/>
            <w:hideMark/>
          </w:tcPr>
          <w:p w14:paraId="7F66D72D" w14:textId="77777777" w:rsidR="00041175" w:rsidRPr="00041175" w:rsidRDefault="00041175" w:rsidP="00041175">
            <w:pPr>
              <w:jc w:val="right"/>
              <w:rPr>
                <w:rFonts w:ascii="Arial Narrow" w:hAnsi="Arial Narrow" w:cs="Calibri"/>
                <w:sz w:val="20"/>
                <w:szCs w:val="20"/>
                <w:lang w:val="bg-BG"/>
              </w:rPr>
            </w:pPr>
            <w:r w:rsidRPr="00041175">
              <w:rPr>
                <w:rFonts w:ascii="Arial Narrow" w:hAnsi="Arial Narrow" w:cs="Calibri"/>
                <w:sz w:val="20"/>
                <w:szCs w:val="20"/>
                <w:lang w:val="bg-BG"/>
              </w:rPr>
              <w:t>1 598</w:t>
            </w:r>
          </w:p>
        </w:tc>
        <w:tc>
          <w:tcPr>
            <w:tcW w:w="734" w:type="pct"/>
            <w:tcBorders>
              <w:top w:val="nil"/>
              <w:left w:val="nil"/>
              <w:bottom w:val="single" w:sz="4" w:space="0" w:color="auto"/>
              <w:right w:val="single" w:sz="4" w:space="0" w:color="auto"/>
            </w:tcBorders>
            <w:shd w:val="clear" w:color="auto" w:fill="auto"/>
            <w:noWrap/>
            <w:vAlign w:val="center"/>
            <w:hideMark/>
          </w:tcPr>
          <w:p w14:paraId="2759D6DB" w14:textId="77777777" w:rsidR="00041175" w:rsidRPr="00041175" w:rsidRDefault="00041175" w:rsidP="00041175">
            <w:pPr>
              <w:jc w:val="right"/>
              <w:rPr>
                <w:rFonts w:ascii="Arial Narrow" w:hAnsi="Arial Narrow" w:cs="Calibri"/>
                <w:sz w:val="20"/>
                <w:szCs w:val="20"/>
                <w:lang w:val="bg-BG"/>
              </w:rPr>
            </w:pPr>
            <w:r w:rsidRPr="00041175">
              <w:rPr>
                <w:rFonts w:ascii="Arial Narrow" w:hAnsi="Arial Narrow" w:cs="Calibri"/>
                <w:sz w:val="20"/>
                <w:szCs w:val="20"/>
                <w:lang w:val="bg-BG"/>
              </w:rPr>
              <w:t>905</w:t>
            </w:r>
          </w:p>
        </w:tc>
        <w:tc>
          <w:tcPr>
            <w:tcW w:w="688" w:type="pct"/>
            <w:tcBorders>
              <w:top w:val="nil"/>
              <w:left w:val="nil"/>
              <w:bottom w:val="single" w:sz="4" w:space="0" w:color="auto"/>
              <w:right w:val="single" w:sz="4" w:space="0" w:color="auto"/>
            </w:tcBorders>
            <w:shd w:val="clear" w:color="auto" w:fill="auto"/>
            <w:noWrap/>
            <w:vAlign w:val="center"/>
            <w:hideMark/>
          </w:tcPr>
          <w:p w14:paraId="3C944CA0" w14:textId="77777777" w:rsidR="00041175" w:rsidRPr="00041175" w:rsidRDefault="00041175" w:rsidP="00041175">
            <w:pPr>
              <w:jc w:val="right"/>
              <w:rPr>
                <w:rFonts w:ascii="Arial Narrow" w:hAnsi="Arial Narrow" w:cs="Calibri"/>
                <w:sz w:val="20"/>
                <w:szCs w:val="20"/>
                <w:lang w:val="bg-BG"/>
              </w:rPr>
            </w:pPr>
            <w:r w:rsidRPr="00041175">
              <w:rPr>
                <w:rFonts w:ascii="Arial Narrow" w:hAnsi="Arial Narrow" w:cs="Calibri"/>
                <w:sz w:val="20"/>
                <w:szCs w:val="20"/>
                <w:lang w:val="bg-BG"/>
              </w:rPr>
              <w:t>-43,4%</w:t>
            </w:r>
          </w:p>
        </w:tc>
      </w:tr>
      <w:tr w:rsidR="00041175" w:rsidRPr="00041175" w14:paraId="101FEA4E" w14:textId="77777777" w:rsidTr="00041175">
        <w:trPr>
          <w:trHeight w:val="295"/>
        </w:trPr>
        <w:tc>
          <w:tcPr>
            <w:tcW w:w="1142"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2FA6C5F2" w14:textId="77777777" w:rsidR="00041175" w:rsidRPr="00041175" w:rsidRDefault="00041175" w:rsidP="00041175">
            <w:pPr>
              <w:rPr>
                <w:rFonts w:ascii="Arial Narrow" w:hAnsi="Arial Narrow" w:cs="Calibri"/>
                <w:sz w:val="20"/>
                <w:szCs w:val="20"/>
                <w:lang w:val="bg-BG"/>
              </w:rPr>
            </w:pPr>
            <w:r w:rsidRPr="00041175">
              <w:rPr>
                <w:rFonts w:ascii="Arial Narrow" w:hAnsi="Arial Narrow" w:cs="Calibri"/>
                <w:sz w:val="20"/>
                <w:szCs w:val="20"/>
                <w:lang w:val="bg-BG"/>
              </w:rPr>
              <w:t>Ечемик</w:t>
            </w:r>
          </w:p>
        </w:tc>
        <w:tc>
          <w:tcPr>
            <w:tcW w:w="1702" w:type="pct"/>
            <w:tcBorders>
              <w:top w:val="nil"/>
              <w:left w:val="nil"/>
              <w:bottom w:val="single" w:sz="4" w:space="0" w:color="auto"/>
              <w:right w:val="single" w:sz="4" w:space="0" w:color="auto"/>
            </w:tcBorders>
            <w:shd w:val="clear" w:color="auto" w:fill="auto"/>
            <w:noWrap/>
            <w:vAlign w:val="center"/>
            <w:hideMark/>
          </w:tcPr>
          <w:p w14:paraId="2C04ACBB" w14:textId="77777777" w:rsidR="00041175" w:rsidRPr="00041175" w:rsidRDefault="00041175" w:rsidP="00041175">
            <w:pPr>
              <w:rPr>
                <w:rFonts w:ascii="Arial Narrow" w:hAnsi="Arial Narrow" w:cs="Calibri"/>
                <w:sz w:val="20"/>
                <w:szCs w:val="20"/>
                <w:lang w:val="bg-BG"/>
              </w:rPr>
            </w:pPr>
            <w:r w:rsidRPr="00041175">
              <w:rPr>
                <w:rFonts w:ascii="Arial Narrow" w:hAnsi="Arial Narrow" w:cs="Calibri"/>
                <w:sz w:val="20"/>
                <w:szCs w:val="20"/>
                <w:lang w:val="bg-BG"/>
              </w:rPr>
              <w:t>Площи (хил. ха)</w:t>
            </w:r>
          </w:p>
        </w:tc>
        <w:tc>
          <w:tcPr>
            <w:tcW w:w="734" w:type="pct"/>
            <w:tcBorders>
              <w:top w:val="nil"/>
              <w:left w:val="nil"/>
              <w:bottom w:val="single" w:sz="4" w:space="0" w:color="auto"/>
              <w:right w:val="single" w:sz="4" w:space="0" w:color="auto"/>
            </w:tcBorders>
            <w:shd w:val="clear" w:color="auto" w:fill="auto"/>
            <w:noWrap/>
            <w:vAlign w:val="center"/>
            <w:hideMark/>
          </w:tcPr>
          <w:p w14:paraId="4A635747" w14:textId="77777777" w:rsidR="00041175" w:rsidRPr="00041175" w:rsidRDefault="00041175" w:rsidP="00041175">
            <w:pPr>
              <w:jc w:val="right"/>
              <w:rPr>
                <w:rFonts w:ascii="Arial Narrow" w:hAnsi="Arial Narrow" w:cs="Calibri"/>
                <w:sz w:val="20"/>
                <w:szCs w:val="20"/>
                <w:lang w:val="bg-BG"/>
              </w:rPr>
            </w:pPr>
            <w:r w:rsidRPr="00041175">
              <w:rPr>
                <w:rFonts w:ascii="Arial Narrow" w:hAnsi="Arial Narrow" w:cs="Calibri"/>
                <w:sz w:val="20"/>
                <w:szCs w:val="20"/>
                <w:lang w:val="bg-BG"/>
              </w:rPr>
              <w:t>196</w:t>
            </w:r>
          </w:p>
        </w:tc>
        <w:tc>
          <w:tcPr>
            <w:tcW w:w="734" w:type="pct"/>
            <w:tcBorders>
              <w:top w:val="nil"/>
              <w:left w:val="nil"/>
              <w:bottom w:val="single" w:sz="4" w:space="0" w:color="auto"/>
              <w:right w:val="single" w:sz="4" w:space="0" w:color="auto"/>
            </w:tcBorders>
            <w:shd w:val="clear" w:color="auto" w:fill="auto"/>
            <w:noWrap/>
            <w:vAlign w:val="center"/>
            <w:hideMark/>
          </w:tcPr>
          <w:p w14:paraId="6018145C" w14:textId="77777777" w:rsidR="00041175" w:rsidRPr="00041175" w:rsidRDefault="00041175" w:rsidP="00041175">
            <w:pPr>
              <w:jc w:val="right"/>
              <w:rPr>
                <w:rFonts w:ascii="Arial Narrow" w:hAnsi="Arial Narrow" w:cs="Calibri"/>
                <w:sz w:val="20"/>
                <w:szCs w:val="20"/>
                <w:lang w:val="bg-BG"/>
              </w:rPr>
            </w:pPr>
            <w:r w:rsidRPr="00041175">
              <w:rPr>
                <w:rFonts w:ascii="Arial Narrow" w:hAnsi="Arial Narrow" w:cs="Calibri"/>
                <w:sz w:val="20"/>
                <w:szCs w:val="20"/>
                <w:lang w:val="bg-BG"/>
              </w:rPr>
              <w:t>194</w:t>
            </w:r>
          </w:p>
        </w:tc>
        <w:tc>
          <w:tcPr>
            <w:tcW w:w="688" w:type="pct"/>
            <w:tcBorders>
              <w:top w:val="nil"/>
              <w:left w:val="nil"/>
              <w:bottom w:val="single" w:sz="4" w:space="0" w:color="auto"/>
              <w:right w:val="single" w:sz="4" w:space="0" w:color="auto"/>
            </w:tcBorders>
            <w:shd w:val="clear" w:color="auto" w:fill="auto"/>
            <w:noWrap/>
            <w:vAlign w:val="center"/>
            <w:hideMark/>
          </w:tcPr>
          <w:p w14:paraId="16D1F7E6" w14:textId="77777777" w:rsidR="00041175" w:rsidRPr="00041175" w:rsidRDefault="00041175" w:rsidP="00041175">
            <w:pPr>
              <w:jc w:val="right"/>
              <w:rPr>
                <w:rFonts w:ascii="Arial Narrow" w:hAnsi="Arial Narrow" w:cs="Calibri"/>
                <w:sz w:val="20"/>
                <w:szCs w:val="20"/>
                <w:lang w:val="bg-BG"/>
              </w:rPr>
            </w:pPr>
            <w:r w:rsidRPr="00041175">
              <w:rPr>
                <w:rFonts w:ascii="Arial Narrow" w:hAnsi="Arial Narrow" w:cs="Calibri"/>
                <w:sz w:val="20"/>
                <w:szCs w:val="20"/>
                <w:lang w:val="bg-BG"/>
              </w:rPr>
              <w:t>-1,2%</w:t>
            </w:r>
          </w:p>
        </w:tc>
      </w:tr>
      <w:tr w:rsidR="00041175" w:rsidRPr="00041175" w14:paraId="739DC7D4" w14:textId="77777777" w:rsidTr="00041175">
        <w:trPr>
          <w:trHeight w:val="295"/>
        </w:trPr>
        <w:tc>
          <w:tcPr>
            <w:tcW w:w="1142" w:type="pct"/>
            <w:vMerge/>
            <w:tcBorders>
              <w:top w:val="nil"/>
              <w:left w:val="single" w:sz="4" w:space="0" w:color="auto"/>
              <w:bottom w:val="single" w:sz="4" w:space="0" w:color="auto"/>
              <w:right w:val="single" w:sz="4" w:space="0" w:color="auto"/>
            </w:tcBorders>
            <w:vAlign w:val="center"/>
            <w:hideMark/>
          </w:tcPr>
          <w:p w14:paraId="336C6B35" w14:textId="77777777" w:rsidR="00041175" w:rsidRPr="00041175" w:rsidRDefault="00041175" w:rsidP="00041175">
            <w:pPr>
              <w:rPr>
                <w:rFonts w:ascii="Arial Narrow" w:hAnsi="Arial Narrow" w:cs="Calibri"/>
                <w:sz w:val="20"/>
                <w:szCs w:val="20"/>
                <w:lang w:val="bg-BG"/>
              </w:rPr>
            </w:pPr>
          </w:p>
        </w:tc>
        <w:tc>
          <w:tcPr>
            <w:tcW w:w="1702" w:type="pct"/>
            <w:tcBorders>
              <w:top w:val="nil"/>
              <w:left w:val="nil"/>
              <w:bottom w:val="single" w:sz="4" w:space="0" w:color="auto"/>
              <w:right w:val="single" w:sz="4" w:space="0" w:color="auto"/>
            </w:tcBorders>
            <w:shd w:val="clear" w:color="auto" w:fill="auto"/>
            <w:noWrap/>
            <w:vAlign w:val="center"/>
            <w:hideMark/>
          </w:tcPr>
          <w:p w14:paraId="6159A4EC" w14:textId="77777777" w:rsidR="00041175" w:rsidRPr="00041175" w:rsidRDefault="00041175" w:rsidP="00041175">
            <w:pPr>
              <w:rPr>
                <w:rFonts w:ascii="Arial Narrow" w:hAnsi="Arial Narrow" w:cs="Calibri"/>
                <w:sz w:val="20"/>
                <w:szCs w:val="20"/>
                <w:lang w:val="bg-BG"/>
              </w:rPr>
            </w:pPr>
            <w:r w:rsidRPr="00041175">
              <w:rPr>
                <w:rFonts w:ascii="Arial Narrow" w:hAnsi="Arial Narrow" w:cs="Calibri"/>
                <w:sz w:val="20"/>
                <w:szCs w:val="20"/>
                <w:lang w:val="bg-BG"/>
              </w:rPr>
              <w:t>Среден добив (тона/ха)</w:t>
            </w:r>
          </w:p>
        </w:tc>
        <w:tc>
          <w:tcPr>
            <w:tcW w:w="734" w:type="pct"/>
            <w:tcBorders>
              <w:top w:val="nil"/>
              <w:left w:val="nil"/>
              <w:bottom w:val="single" w:sz="4" w:space="0" w:color="auto"/>
              <w:right w:val="single" w:sz="4" w:space="0" w:color="auto"/>
            </w:tcBorders>
            <w:shd w:val="clear" w:color="auto" w:fill="auto"/>
            <w:noWrap/>
            <w:vAlign w:val="center"/>
            <w:hideMark/>
          </w:tcPr>
          <w:p w14:paraId="4718D550" w14:textId="77777777" w:rsidR="00041175" w:rsidRPr="00041175" w:rsidRDefault="00041175" w:rsidP="00041175">
            <w:pPr>
              <w:jc w:val="right"/>
              <w:rPr>
                <w:rFonts w:ascii="Arial Narrow" w:hAnsi="Arial Narrow" w:cs="Calibri"/>
                <w:sz w:val="20"/>
                <w:szCs w:val="20"/>
                <w:lang w:val="bg-BG"/>
              </w:rPr>
            </w:pPr>
            <w:r w:rsidRPr="00041175">
              <w:rPr>
                <w:rFonts w:ascii="Arial Narrow" w:hAnsi="Arial Narrow" w:cs="Calibri"/>
                <w:sz w:val="20"/>
                <w:szCs w:val="20"/>
                <w:lang w:val="bg-BG"/>
              </w:rPr>
              <w:t>5,36</w:t>
            </w:r>
          </w:p>
        </w:tc>
        <w:tc>
          <w:tcPr>
            <w:tcW w:w="734" w:type="pct"/>
            <w:tcBorders>
              <w:top w:val="nil"/>
              <w:left w:val="nil"/>
              <w:bottom w:val="single" w:sz="4" w:space="0" w:color="auto"/>
              <w:right w:val="single" w:sz="4" w:space="0" w:color="auto"/>
            </w:tcBorders>
            <w:shd w:val="clear" w:color="auto" w:fill="auto"/>
            <w:noWrap/>
            <w:vAlign w:val="center"/>
            <w:hideMark/>
          </w:tcPr>
          <w:p w14:paraId="1EBC4744" w14:textId="77777777" w:rsidR="00041175" w:rsidRPr="00041175" w:rsidRDefault="00041175" w:rsidP="00041175">
            <w:pPr>
              <w:jc w:val="right"/>
              <w:rPr>
                <w:rFonts w:ascii="Arial Narrow" w:hAnsi="Arial Narrow" w:cs="Calibri"/>
                <w:sz w:val="20"/>
                <w:szCs w:val="20"/>
                <w:lang w:val="bg-BG"/>
              </w:rPr>
            </w:pPr>
            <w:r w:rsidRPr="00041175">
              <w:rPr>
                <w:rFonts w:ascii="Arial Narrow" w:hAnsi="Arial Narrow" w:cs="Calibri"/>
                <w:sz w:val="20"/>
                <w:szCs w:val="20"/>
                <w:lang w:val="bg-BG"/>
              </w:rPr>
              <w:t>5,66</w:t>
            </w:r>
          </w:p>
        </w:tc>
        <w:tc>
          <w:tcPr>
            <w:tcW w:w="688" w:type="pct"/>
            <w:tcBorders>
              <w:top w:val="nil"/>
              <w:left w:val="nil"/>
              <w:bottom w:val="single" w:sz="4" w:space="0" w:color="auto"/>
              <w:right w:val="single" w:sz="4" w:space="0" w:color="auto"/>
            </w:tcBorders>
            <w:shd w:val="clear" w:color="auto" w:fill="auto"/>
            <w:noWrap/>
            <w:vAlign w:val="center"/>
            <w:hideMark/>
          </w:tcPr>
          <w:p w14:paraId="3806B014" w14:textId="77777777" w:rsidR="00041175" w:rsidRPr="00041175" w:rsidRDefault="00041175" w:rsidP="00041175">
            <w:pPr>
              <w:jc w:val="right"/>
              <w:rPr>
                <w:rFonts w:ascii="Arial Narrow" w:hAnsi="Arial Narrow" w:cs="Calibri"/>
                <w:sz w:val="20"/>
                <w:szCs w:val="20"/>
                <w:lang w:val="bg-BG"/>
              </w:rPr>
            </w:pPr>
            <w:r w:rsidRPr="00041175">
              <w:rPr>
                <w:rFonts w:ascii="Arial Narrow" w:hAnsi="Arial Narrow" w:cs="Calibri"/>
                <w:sz w:val="20"/>
                <w:szCs w:val="20"/>
                <w:lang w:val="bg-BG"/>
              </w:rPr>
              <w:t>5,6%</w:t>
            </w:r>
          </w:p>
        </w:tc>
      </w:tr>
      <w:tr w:rsidR="00041175" w:rsidRPr="00041175" w14:paraId="02E8B0A1" w14:textId="77777777" w:rsidTr="00041175">
        <w:trPr>
          <w:trHeight w:val="295"/>
        </w:trPr>
        <w:tc>
          <w:tcPr>
            <w:tcW w:w="1142" w:type="pct"/>
            <w:vMerge/>
            <w:tcBorders>
              <w:top w:val="nil"/>
              <w:left w:val="single" w:sz="4" w:space="0" w:color="auto"/>
              <w:bottom w:val="single" w:sz="4" w:space="0" w:color="auto"/>
              <w:right w:val="single" w:sz="4" w:space="0" w:color="auto"/>
            </w:tcBorders>
            <w:vAlign w:val="center"/>
            <w:hideMark/>
          </w:tcPr>
          <w:p w14:paraId="070804AF" w14:textId="77777777" w:rsidR="00041175" w:rsidRPr="00041175" w:rsidRDefault="00041175" w:rsidP="00041175">
            <w:pPr>
              <w:rPr>
                <w:rFonts w:ascii="Arial Narrow" w:hAnsi="Arial Narrow" w:cs="Calibri"/>
                <w:sz w:val="20"/>
                <w:szCs w:val="20"/>
                <w:lang w:val="bg-BG"/>
              </w:rPr>
            </w:pPr>
          </w:p>
        </w:tc>
        <w:tc>
          <w:tcPr>
            <w:tcW w:w="1702" w:type="pct"/>
            <w:tcBorders>
              <w:top w:val="nil"/>
              <w:left w:val="nil"/>
              <w:bottom w:val="single" w:sz="4" w:space="0" w:color="auto"/>
              <w:right w:val="single" w:sz="4" w:space="0" w:color="auto"/>
            </w:tcBorders>
            <w:shd w:val="clear" w:color="auto" w:fill="auto"/>
            <w:noWrap/>
            <w:vAlign w:val="center"/>
            <w:hideMark/>
          </w:tcPr>
          <w:p w14:paraId="59A85A01" w14:textId="77777777" w:rsidR="00041175" w:rsidRPr="00041175" w:rsidRDefault="00041175" w:rsidP="00041175">
            <w:pPr>
              <w:rPr>
                <w:rFonts w:ascii="Arial Narrow" w:hAnsi="Arial Narrow" w:cs="Calibri"/>
                <w:sz w:val="20"/>
                <w:szCs w:val="20"/>
                <w:lang w:val="bg-BG"/>
              </w:rPr>
            </w:pPr>
            <w:r w:rsidRPr="00041175">
              <w:rPr>
                <w:rFonts w:ascii="Arial Narrow" w:hAnsi="Arial Narrow" w:cs="Calibri"/>
                <w:sz w:val="20"/>
                <w:szCs w:val="20"/>
                <w:lang w:val="bg-BG"/>
              </w:rPr>
              <w:t>Производство (хил. тона)</w:t>
            </w:r>
          </w:p>
        </w:tc>
        <w:tc>
          <w:tcPr>
            <w:tcW w:w="734" w:type="pct"/>
            <w:tcBorders>
              <w:top w:val="nil"/>
              <w:left w:val="nil"/>
              <w:bottom w:val="single" w:sz="4" w:space="0" w:color="auto"/>
              <w:right w:val="single" w:sz="4" w:space="0" w:color="auto"/>
            </w:tcBorders>
            <w:shd w:val="clear" w:color="auto" w:fill="auto"/>
            <w:noWrap/>
            <w:vAlign w:val="center"/>
            <w:hideMark/>
          </w:tcPr>
          <w:p w14:paraId="2A91CD8E" w14:textId="77777777" w:rsidR="00041175" w:rsidRPr="00041175" w:rsidRDefault="00041175" w:rsidP="00041175">
            <w:pPr>
              <w:jc w:val="right"/>
              <w:rPr>
                <w:rFonts w:ascii="Arial Narrow" w:hAnsi="Arial Narrow" w:cs="Calibri"/>
                <w:sz w:val="20"/>
                <w:szCs w:val="20"/>
                <w:lang w:val="bg-BG"/>
              </w:rPr>
            </w:pPr>
            <w:r w:rsidRPr="00041175">
              <w:rPr>
                <w:rFonts w:ascii="Arial Narrow" w:hAnsi="Arial Narrow" w:cs="Calibri"/>
                <w:sz w:val="20"/>
                <w:szCs w:val="20"/>
                <w:lang w:val="bg-BG"/>
              </w:rPr>
              <w:t>1 052</w:t>
            </w:r>
          </w:p>
        </w:tc>
        <w:tc>
          <w:tcPr>
            <w:tcW w:w="734" w:type="pct"/>
            <w:tcBorders>
              <w:top w:val="nil"/>
              <w:left w:val="nil"/>
              <w:bottom w:val="single" w:sz="4" w:space="0" w:color="auto"/>
              <w:right w:val="single" w:sz="4" w:space="0" w:color="auto"/>
            </w:tcBorders>
            <w:shd w:val="clear" w:color="auto" w:fill="auto"/>
            <w:noWrap/>
            <w:vAlign w:val="center"/>
            <w:hideMark/>
          </w:tcPr>
          <w:p w14:paraId="3687775C" w14:textId="77777777" w:rsidR="00041175" w:rsidRPr="00041175" w:rsidRDefault="00041175" w:rsidP="00041175">
            <w:pPr>
              <w:jc w:val="right"/>
              <w:rPr>
                <w:rFonts w:ascii="Arial Narrow" w:hAnsi="Arial Narrow" w:cs="Calibri"/>
                <w:sz w:val="20"/>
                <w:szCs w:val="20"/>
                <w:lang w:val="bg-BG"/>
              </w:rPr>
            </w:pPr>
            <w:r w:rsidRPr="00041175">
              <w:rPr>
                <w:rFonts w:ascii="Arial Narrow" w:hAnsi="Arial Narrow" w:cs="Calibri"/>
                <w:sz w:val="20"/>
                <w:szCs w:val="20"/>
                <w:lang w:val="bg-BG"/>
              </w:rPr>
              <w:t>1 098</w:t>
            </w:r>
          </w:p>
        </w:tc>
        <w:tc>
          <w:tcPr>
            <w:tcW w:w="688" w:type="pct"/>
            <w:tcBorders>
              <w:top w:val="nil"/>
              <w:left w:val="nil"/>
              <w:bottom w:val="single" w:sz="4" w:space="0" w:color="auto"/>
              <w:right w:val="single" w:sz="4" w:space="0" w:color="auto"/>
            </w:tcBorders>
            <w:shd w:val="clear" w:color="auto" w:fill="auto"/>
            <w:noWrap/>
            <w:vAlign w:val="center"/>
            <w:hideMark/>
          </w:tcPr>
          <w:p w14:paraId="05FAD5CC" w14:textId="77777777" w:rsidR="00041175" w:rsidRPr="00041175" w:rsidRDefault="00041175" w:rsidP="00041175">
            <w:pPr>
              <w:jc w:val="right"/>
              <w:rPr>
                <w:rFonts w:ascii="Arial Narrow" w:hAnsi="Arial Narrow" w:cs="Calibri"/>
                <w:sz w:val="20"/>
                <w:szCs w:val="20"/>
                <w:lang w:val="bg-BG"/>
              </w:rPr>
            </w:pPr>
            <w:r w:rsidRPr="00041175">
              <w:rPr>
                <w:rFonts w:ascii="Arial Narrow" w:hAnsi="Arial Narrow" w:cs="Calibri"/>
                <w:sz w:val="20"/>
                <w:szCs w:val="20"/>
                <w:lang w:val="bg-BG"/>
              </w:rPr>
              <w:t>4,3%</w:t>
            </w:r>
          </w:p>
        </w:tc>
      </w:tr>
      <w:tr w:rsidR="00041175" w:rsidRPr="00041175" w14:paraId="7133EFD6" w14:textId="77777777" w:rsidTr="00041175">
        <w:trPr>
          <w:trHeight w:val="295"/>
        </w:trPr>
        <w:tc>
          <w:tcPr>
            <w:tcW w:w="1142"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33CCC8D6" w14:textId="77777777" w:rsidR="00041175" w:rsidRPr="00041175" w:rsidRDefault="00041175" w:rsidP="00041175">
            <w:pPr>
              <w:rPr>
                <w:rFonts w:ascii="Arial Narrow" w:hAnsi="Arial Narrow" w:cs="Calibri"/>
                <w:sz w:val="20"/>
                <w:szCs w:val="20"/>
                <w:lang w:val="bg-BG"/>
              </w:rPr>
            </w:pPr>
            <w:r w:rsidRPr="00041175">
              <w:rPr>
                <w:rFonts w:ascii="Arial Narrow" w:hAnsi="Arial Narrow" w:cs="Calibri"/>
                <w:sz w:val="20"/>
                <w:szCs w:val="20"/>
                <w:lang w:val="bg-BG"/>
              </w:rPr>
              <w:t>Слънчоглед</w:t>
            </w:r>
          </w:p>
        </w:tc>
        <w:tc>
          <w:tcPr>
            <w:tcW w:w="1702" w:type="pct"/>
            <w:tcBorders>
              <w:top w:val="nil"/>
              <w:left w:val="nil"/>
              <w:bottom w:val="single" w:sz="4" w:space="0" w:color="auto"/>
              <w:right w:val="single" w:sz="4" w:space="0" w:color="auto"/>
            </w:tcBorders>
            <w:shd w:val="clear" w:color="auto" w:fill="auto"/>
            <w:noWrap/>
            <w:vAlign w:val="center"/>
            <w:hideMark/>
          </w:tcPr>
          <w:p w14:paraId="524183FF" w14:textId="77777777" w:rsidR="00041175" w:rsidRPr="00041175" w:rsidRDefault="00041175" w:rsidP="00041175">
            <w:pPr>
              <w:rPr>
                <w:rFonts w:ascii="Arial Narrow" w:hAnsi="Arial Narrow" w:cs="Calibri"/>
                <w:sz w:val="20"/>
                <w:szCs w:val="20"/>
                <w:lang w:val="bg-BG"/>
              </w:rPr>
            </w:pPr>
            <w:r w:rsidRPr="00041175">
              <w:rPr>
                <w:rFonts w:ascii="Arial Narrow" w:hAnsi="Arial Narrow" w:cs="Calibri"/>
                <w:sz w:val="20"/>
                <w:szCs w:val="20"/>
                <w:lang w:val="bg-BG"/>
              </w:rPr>
              <w:t>Площи (хил. ха)</w:t>
            </w:r>
          </w:p>
        </w:tc>
        <w:tc>
          <w:tcPr>
            <w:tcW w:w="734" w:type="pct"/>
            <w:tcBorders>
              <w:top w:val="nil"/>
              <w:left w:val="nil"/>
              <w:bottom w:val="single" w:sz="4" w:space="0" w:color="auto"/>
              <w:right w:val="single" w:sz="4" w:space="0" w:color="auto"/>
            </w:tcBorders>
            <w:shd w:val="clear" w:color="auto" w:fill="auto"/>
            <w:noWrap/>
            <w:vAlign w:val="center"/>
            <w:hideMark/>
          </w:tcPr>
          <w:p w14:paraId="3671BEB4" w14:textId="77777777" w:rsidR="00041175" w:rsidRPr="00041175" w:rsidRDefault="00041175" w:rsidP="00041175">
            <w:pPr>
              <w:jc w:val="right"/>
              <w:rPr>
                <w:rFonts w:ascii="Arial Narrow" w:hAnsi="Arial Narrow" w:cs="Calibri"/>
                <w:sz w:val="20"/>
                <w:szCs w:val="20"/>
                <w:lang w:val="bg-BG"/>
              </w:rPr>
            </w:pPr>
            <w:r w:rsidRPr="00041175">
              <w:rPr>
                <w:rFonts w:ascii="Arial Narrow" w:hAnsi="Arial Narrow" w:cs="Calibri"/>
                <w:sz w:val="20"/>
                <w:szCs w:val="20"/>
                <w:lang w:val="bg-BG"/>
              </w:rPr>
              <w:t>929</w:t>
            </w:r>
          </w:p>
        </w:tc>
        <w:tc>
          <w:tcPr>
            <w:tcW w:w="734" w:type="pct"/>
            <w:tcBorders>
              <w:top w:val="nil"/>
              <w:left w:val="nil"/>
              <w:bottom w:val="single" w:sz="4" w:space="0" w:color="auto"/>
              <w:right w:val="single" w:sz="4" w:space="0" w:color="auto"/>
            </w:tcBorders>
            <w:shd w:val="clear" w:color="auto" w:fill="auto"/>
            <w:noWrap/>
            <w:vAlign w:val="center"/>
            <w:hideMark/>
          </w:tcPr>
          <w:p w14:paraId="44ADDCE7" w14:textId="77777777" w:rsidR="00041175" w:rsidRPr="00041175" w:rsidRDefault="00041175" w:rsidP="00041175">
            <w:pPr>
              <w:jc w:val="right"/>
              <w:rPr>
                <w:rFonts w:ascii="Arial Narrow" w:hAnsi="Arial Narrow" w:cs="Calibri"/>
                <w:sz w:val="20"/>
                <w:szCs w:val="20"/>
                <w:lang w:val="bg-BG"/>
              </w:rPr>
            </w:pPr>
            <w:r w:rsidRPr="00041175">
              <w:rPr>
                <w:rFonts w:ascii="Arial Narrow" w:hAnsi="Arial Narrow" w:cs="Calibri"/>
                <w:sz w:val="20"/>
                <w:szCs w:val="20"/>
                <w:lang w:val="bg-BG"/>
              </w:rPr>
              <w:t>949</w:t>
            </w:r>
          </w:p>
        </w:tc>
        <w:tc>
          <w:tcPr>
            <w:tcW w:w="688" w:type="pct"/>
            <w:tcBorders>
              <w:top w:val="nil"/>
              <w:left w:val="nil"/>
              <w:bottom w:val="single" w:sz="4" w:space="0" w:color="auto"/>
              <w:right w:val="single" w:sz="4" w:space="0" w:color="auto"/>
            </w:tcBorders>
            <w:shd w:val="clear" w:color="auto" w:fill="auto"/>
            <w:noWrap/>
            <w:vAlign w:val="center"/>
            <w:hideMark/>
          </w:tcPr>
          <w:p w14:paraId="5D0057C4" w14:textId="77777777" w:rsidR="00041175" w:rsidRPr="00041175" w:rsidRDefault="00041175" w:rsidP="00041175">
            <w:pPr>
              <w:jc w:val="right"/>
              <w:rPr>
                <w:rFonts w:ascii="Arial Narrow" w:hAnsi="Arial Narrow" w:cs="Calibri"/>
                <w:sz w:val="20"/>
                <w:szCs w:val="20"/>
                <w:lang w:val="bg-BG"/>
              </w:rPr>
            </w:pPr>
            <w:r w:rsidRPr="00041175">
              <w:rPr>
                <w:rFonts w:ascii="Arial Narrow" w:hAnsi="Arial Narrow" w:cs="Calibri"/>
                <w:sz w:val="20"/>
                <w:szCs w:val="20"/>
                <w:lang w:val="bg-BG"/>
              </w:rPr>
              <w:t>2,1%</w:t>
            </w:r>
          </w:p>
        </w:tc>
      </w:tr>
      <w:tr w:rsidR="00041175" w:rsidRPr="00041175" w14:paraId="2CE24E46" w14:textId="77777777" w:rsidTr="00041175">
        <w:trPr>
          <w:trHeight w:val="295"/>
        </w:trPr>
        <w:tc>
          <w:tcPr>
            <w:tcW w:w="1142" w:type="pct"/>
            <w:vMerge/>
            <w:tcBorders>
              <w:top w:val="nil"/>
              <w:left w:val="single" w:sz="4" w:space="0" w:color="auto"/>
              <w:bottom w:val="single" w:sz="4" w:space="0" w:color="auto"/>
              <w:right w:val="single" w:sz="4" w:space="0" w:color="auto"/>
            </w:tcBorders>
            <w:vAlign w:val="center"/>
            <w:hideMark/>
          </w:tcPr>
          <w:p w14:paraId="7084EBAF" w14:textId="77777777" w:rsidR="00041175" w:rsidRPr="00041175" w:rsidRDefault="00041175" w:rsidP="00041175">
            <w:pPr>
              <w:rPr>
                <w:rFonts w:ascii="Arial Narrow" w:hAnsi="Arial Narrow" w:cs="Calibri"/>
                <w:sz w:val="20"/>
                <w:szCs w:val="20"/>
                <w:lang w:val="bg-BG"/>
              </w:rPr>
            </w:pPr>
          </w:p>
        </w:tc>
        <w:tc>
          <w:tcPr>
            <w:tcW w:w="1702" w:type="pct"/>
            <w:tcBorders>
              <w:top w:val="nil"/>
              <w:left w:val="nil"/>
              <w:bottom w:val="single" w:sz="4" w:space="0" w:color="auto"/>
              <w:right w:val="single" w:sz="4" w:space="0" w:color="auto"/>
            </w:tcBorders>
            <w:shd w:val="clear" w:color="auto" w:fill="auto"/>
            <w:noWrap/>
            <w:vAlign w:val="center"/>
            <w:hideMark/>
          </w:tcPr>
          <w:p w14:paraId="36529E06" w14:textId="77777777" w:rsidR="00041175" w:rsidRPr="00041175" w:rsidRDefault="00041175" w:rsidP="00041175">
            <w:pPr>
              <w:rPr>
                <w:rFonts w:ascii="Arial Narrow" w:hAnsi="Arial Narrow" w:cs="Calibri"/>
                <w:sz w:val="20"/>
                <w:szCs w:val="20"/>
                <w:lang w:val="bg-BG"/>
              </w:rPr>
            </w:pPr>
            <w:r w:rsidRPr="00041175">
              <w:rPr>
                <w:rFonts w:ascii="Arial Narrow" w:hAnsi="Arial Narrow" w:cs="Calibri"/>
                <w:sz w:val="20"/>
                <w:szCs w:val="20"/>
                <w:lang w:val="bg-BG"/>
              </w:rPr>
              <w:t>Среден добив (тона/ха)</w:t>
            </w:r>
          </w:p>
        </w:tc>
        <w:tc>
          <w:tcPr>
            <w:tcW w:w="734" w:type="pct"/>
            <w:tcBorders>
              <w:top w:val="nil"/>
              <w:left w:val="nil"/>
              <w:bottom w:val="single" w:sz="4" w:space="0" w:color="auto"/>
              <w:right w:val="single" w:sz="4" w:space="0" w:color="auto"/>
            </w:tcBorders>
            <w:shd w:val="clear" w:color="auto" w:fill="auto"/>
            <w:noWrap/>
            <w:vAlign w:val="center"/>
            <w:hideMark/>
          </w:tcPr>
          <w:p w14:paraId="1A8512FD" w14:textId="77777777" w:rsidR="00041175" w:rsidRPr="00041175" w:rsidRDefault="00041175" w:rsidP="00041175">
            <w:pPr>
              <w:jc w:val="right"/>
              <w:rPr>
                <w:rFonts w:ascii="Arial Narrow" w:hAnsi="Arial Narrow" w:cs="Calibri"/>
                <w:sz w:val="20"/>
                <w:szCs w:val="20"/>
                <w:lang w:val="bg-BG"/>
              </w:rPr>
            </w:pPr>
            <w:r w:rsidRPr="00041175">
              <w:rPr>
                <w:rFonts w:ascii="Arial Narrow" w:hAnsi="Arial Narrow" w:cs="Calibri"/>
                <w:sz w:val="20"/>
                <w:szCs w:val="20"/>
                <w:lang w:val="bg-BG"/>
              </w:rPr>
              <w:t>1,73</w:t>
            </w:r>
          </w:p>
        </w:tc>
        <w:tc>
          <w:tcPr>
            <w:tcW w:w="734" w:type="pct"/>
            <w:tcBorders>
              <w:top w:val="nil"/>
              <w:left w:val="nil"/>
              <w:bottom w:val="single" w:sz="4" w:space="0" w:color="auto"/>
              <w:right w:val="single" w:sz="4" w:space="0" w:color="auto"/>
            </w:tcBorders>
            <w:shd w:val="clear" w:color="auto" w:fill="auto"/>
            <w:noWrap/>
            <w:vAlign w:val="center"/>
            <w:hideMark/>
          </w:tcPr>
          <w:p w14:paraId="7E364055" w14:textId="77777777" w:rsidR="00041175" w:rsidRPr="00041175" w:rsidRDefault="00041175" w:rsidP="00041175">
            <w:pPr>
              <w:jc w:val="right"/>
              <w:rPr>
                <w:rFonts w:ascii="Arial Narrow" w:hAnsi="Arial Narrow" w:cs="Calibri"/>
                <w:sz w:val="20"/>
                <w:szCs w:val="20"/>
                <w:lang w:val="bg-BG"/>
              </w:rPr>
            </w:pPr>
            <w:r w:rsidRPr="00041175">
              <w:rPr>
                <w:rFonts w:ascii="Arial Narrow" w:hAnsi="Arial Narrow" w:cs="Calibri"/>
                <w:sz w:val="20"/>
                <w:szCs w:val="20"/>
                <w:lang w:val="bg-BG"/>
              </w:rPr>
              <w:t>1,57</w:t>
            </w:r>
          </w:p>
        </w:tc>
        <w:tc>
          <w:tcPr>
            <w:tcW w:w="688" w:type="pct"/>
            <w:tcBorders>
              <w:top w:val="nil"/>
              <w:left w:val="nil"/>
              <w:bottom w:val="single" w:sz="4" w:space="0" w:color="auto"/>
              <w:right w:val="single" w:sz="4" w:space="0" w:color="auto"/>
            </w:tcBorders>
            <w:shd w:val="clear" w:color="auto" w:fill="auto"/>
            <w:noWrap/>
            <w:vAlign w:val="center"/>
            <w:hideMark/>
          </w:tcPr>
          <w:p w14:paraId="024F0793" w14:textId="77777777" w:rsidR="00041175" w:rsidRPr="00041175" w:rsidRDefault="00041175" w:rsidP="00041175">
            <w:pPr>
              <w:jc w:val="right"/>
              <w:rPr>
                <w:rFonts w:ascii="Arial Narrow" w:hAnsi="Arial Narrow" w:cs="Calibri"/>
                <w:sz w:val="20"/>
                <w:szCs w:val="20"/>
                <w:lang w:val="bg-BG"/>
              </w:rPr>
            </w:pPr>
            <w:r w:rsidRPr="00041175">
              <w:rPr>
                <w:rFonts w:ascii="Arial Narrow" w:hAnsi="Arial Narrow" w:cs="Calibri"/>
                <w:sz w:val="20"/>
                <w:szCs w:val="20"/>
                <w:lang w:val="bg-BG"/>
              </w:rPr>
              <w:t>-9,2%</w:t>
            </w:r>
          </w:p>
        </w:tc>
      </w:tr>
      <w:tr w:rsidR="00041175" w:rsidRPr="00041175" w14:paraId="34A34C12" w14:textId="77777777" w:rsidTr="00041175">
        <w:trPr>
          <w:trHeight w:val="295"/>
        </w:trPr>
        <w:tc>
          <w:tcPr>
            <w:tcW w:w="1142" w:type="pct"/>
            <w:vMerge/>
            <w:tcBorders>
              <w:top w:val="nil"/>
              <w:left w:val="single" w:sz="4" w:space="0" w:color="auto"/>
              <w:bottom w:val="single" w:sz="4" w:space="0" w:color="auto"/>
              <w:right w:val="single" w:sz="4" w:space="0" w:color="auto"/>
            </w:tcBorders>
            <w:vAlign w:val="center"/>
            <w:hideMark/>
          </w:tcPr>
          <w:p w14:paraId="00E18BEF" w14:textId="77777777" w:rsidR="00041175" w:rsidRPr="00041175" w:rsidRDefault="00041175" w:rsidP="00041175">
            <w:pPr>
              <w:rPr>
                <w:rFonts w:ascii="Arial Narrow" w:hAnsi="Arial Narrow" w:cs="Calibri"/>
                <w:sz w:val="20"/>
                <w:szCs w:val="20"/>
                <w:lang w:val="bg-BG"/>
              </w:rPr>
            </w:pPr>
          </w:p>
        </w:tc>
        <w:tc>
          <w:tcPr>
            <w:tcW w:w="1702" w:type="pct"/>
            <w:tcBorders>
              <w:top w:val="nil"/>
              <w:left w:val="nil"/>
              <w:bottom w:val="single" w:sz="4" w:space="0" w:color="auto"/>
              <w:right w:val="single" w:sz="4" w:space="0" w:color="auto"/>
            </w:tcBorders>
            <w:shd w:val="clear" w:color="auto" w:fill="auto"/>
            <w:noWrap/>
            <w:vAlign w:val="center"/>
            <w:hideMark/>
          </w:tcPr>
          <w:p w14:paraId="67C1F24A" w14:textId="77777777" w:rsidR="00041175" w:rsidRPr="00041175" w:rsidRDefault="00041175" w:rsidP="00041175">
            <w:pPr>
              <w:rPr>
                <w:rFonts w:ascii="Arial Narrow" w:hAnsi="Arial Narrow" w:cs="Calibri"/>
                <w:sz w:val="20"/>
                <w:szCs w:val="20"/>
                <w:lang w:val="bg-BG"/>
              </w:rPr>
            </w:pPr>
            <w:r w:rsidRPr="00041175">
              <w:rPr>
                <w:rFonts w:ascii="Arial Narrow" w:hAnsi="Arial Narrow" w:cs="Calibri"/>
                <w:sz w:val="20"/>
                <w:szCs w:val="20"/>
                <w:lang w:val="bg-BG"/>
              </w:rPr>
              <w:t>Производство (хил. тона)</w:t>
            </w:r>
          </w:p>
        </w:tc>
        <w:tc>
          <w:tcPr>
            <w:tcW w:w="734" w:type="pct"/>
            <w:tcBorders>
              <w:top w:val="nil"/>
              <w:left w:val="nil"/>
              <w:bottom w:val="single" w:sz="4" w:space="0" w:color="auto"/>
              <w:right w:val="single" w:sz="4" w:space="0" w:color="auto"/>
            </w:tcBorders>
            <w:shd w:val="clear" w:color="auto" w:fill="auto"/>
            <w:noWrap/>
            <w:vAlign w:val="center"/>
            <w:hideMark/>
          </w:tcPr>
          <w:p w14:paraId="1678F001" w14:textId="77777777" w:rsidR="00041175" w:rsidRPr="00041175" w:rsidRDefault="00041175" w:rsidP="00041175">
            <w:pPr>
              <w:jc w:val="right"/>
              <w:rPr>
                <w:rFonts w:ascii="Arial Narrow" w:hAnsi="Arial Narrow" w:cs="Calibri"/>
                <w:sz w:val="20"/>
                <w:szCs w:val="20"/>
                <w:lang w:val="bg-BG"/>
              </w:rPr>
            </w:pPr>
            <w:r w:rsidRPr="00041175">
              <w:rPr>
                <w:rFonts w:ascii="Arial Narrow" w:hAnsi="Arial Narrow" w:cs="Calibri"/>
                <w:sz w:val="20"/>
                <w:szCs w:val="20"/>
                <w:lang w:val="bg-BG"/>
              </w:rPr>
              <w:t>1 609</w:t>
            </w:r>
          </w:p>
        </w:tc>
        <w:tc>
          <w:tcPr>
            <w:tcW w:w="734" w:type="pct"/>
            <w:tcBorders>
              <w:top w:val="nil"/>
              <w:left w:val="nil"/>
              <w:bottom w:val="single" w:sz="4" w:space="0" w:color="auto"/>
              <w:right w:val="single" w:sz="4" w:space="0" w:color="auto"/>
            </w:tcBorders>
            <w:shd w:val="clear" w:color="auto" w:fill="auto"/>
            <w:noWrap/>
            <w:vAlign w:val="center"/>
            <w:hideMark/>
          </w:tcPr>
          <w:p w14:paraId="389C239D" w14:textId="77777777" w:rsidR="00041175" w:rsidRPr="00041175" w:rsidRDefault="00041175" w:rsidP="00041175">
            <w:pPr>
              <w:jc w:val="right"/>
              <w:rPr>
                <w:rFonts w:ascii="Arial Narrow" w:hAnsi="Arial Narrow" w:cs="Calibri"/>
                <w:sz w:val="20"/>
                <w:szCs w:val="20"/>
                <w:lang w:val="bg-BG"/>
              </w:rPr>
            </w:pPr>
            <w:r w:rsidRPr="00041175">
              <w:rPr>
                <w:rFonts w:ascii="Arial Narrow" w:hAnsi="Arial Narrow" w:cs="Calibri"/>
                <w:sz w:val="20"/>
                <w:szCs w:val="20"/>
                <w:lang w:val="bg-BG"/>
              </w:rPr>
              <w:t>1 489</w:t>
            </w:r>
          </w:p>
        </w:tc>
        <w:tc>
          <w:tcPr>
            <w:tcW w:w="688" w:type="pct"/>
            <w:tcBorders>
              <w:top w:val="nil"/>
              <w:left w:val="nil"/>
              <w:bottom w:val="single" w:sz="4" w:space="0" w:color="auto"/>
              <w:right w:val="single" w:sz="4" w:space="0" w:color="auto"/>
            </w:tcBorders>
            <w:shd w:val="clear" w:color="auto" w:fill="auto"/>
            <w:noWrap/>
            <w:vAlign w:val="center"/>
            <w:hideMark/>
          </w:tcPr>
          <w:p w14:paraId="590F224A" w14:textId="77777777" w:rsidR="00041175" w:rsidRPr="00041175" w:rsidRDefault="00041175" w:rsidP="00041175">
            <w:pPr>
              <w:jc w:val="right"/>
              <w:rPr>
                <w:rFonts w:ascii="Arial Narrow" w:hAnsi="Arial Narrow" w:cs="Calibri"/>
                <w:sz w:val="20"/>
                <w:szCs w:val="20"/>
                <w:lang w:val="bg-BG"/>
              </w:rPr>
            </w:pPr>
            <w:r w:rsidRPr="00041175">
              <w:rPr>
                <w:rFonts w:ascii="Arial Narrow" w:hAnsi="Arial Narrow" w:cs="Calibri"/>
                <w:sz w:val="20"/>
                <w:szCs w:val="20"/>
                <w:lang w:val="bg-BG"/>
              </w:rPr>
              <w:t>-7,5%</w:t>
            </w:r>
          </w:p>
        </w:tc>
      </w:tr>
      <w:tr w:rsidR="00041175" w:rsidRPr="00041175" w14:paraId="65603709" w14:textId="77777777" w:rsidTr="00041175">
        <w:trPr>
          <w:trHeight w:val="295"/>
        </w:trPr>
        <w:tc>
          <w:tcPr>
            <w:tcW w:w="1142"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77AA2A8C" w14:textId="77777777" w:rsidR="00041175" w:rsidRPr="00041175" w:rsidRDefault="00041175" w:rsidP="00041175">
            <w:pPr>
              <w:rPr>
                <w:rFonts w:ascii="Arial Narrow" w:hAnsi="Arial Narrow" w:cs="Calibri"/>
                <w:sz w:val="20"/>
                <w:szCs w:val="20"/>
                <w:lang w:val="bg-BG"/>
              </w:rPr>
            </w:pPr>
            <w:r w:rsidRPr="00041175">
              <w:rPr>
                <w:rFonts w:ascii="Arial Narrow" w:hAnsi="Arial Narrow" w:cs="Calibri"/>
                <w:sz w:val="20"/>
                <w:szCs w:val="20"/>
                <w:lang w:val="bg-BG"/>
              </w:rPr>
              <w:t>Рапица</w:t>
            </w:r>
          </w:p>
        </w:tc>
        <w:tc>
          <w:tcPr>
            <w:tcW w:w="1702" w:type="pct"/>
            <w:tcBorders>
              <w:top w:val="nil"/>
              <w:left w:val="nil"/>
              <w:bottom w:val="single" w:sz="4" w:space="0" w:color="auto"/>
              <w:right w:val="single" w:sz="4" w:space="0" w:color="auto"/>
            </w:tcBorders>
            <w:shd w:val="clear" w:color="auto" w:fill="auto"/>
            <w:noWrap/>
            <w:vAlign w:val="center"/>
            <w:hideMark/>
          </w:tcPr>
          <w:p w14:paraId="562F3F29" w14:textId="77777777" w:rsidR="00041175" w:rsidRPr="00041175" w:rsidRDefault="00041175" w:rsidP="00041175">
            <w:pPr>
              <w:rPr>
                <w:rFonts w:ascii="Arial Narrow" w:hAnsi="Arial Narrow" w:cs="Calibri"/>
                <w:sz w:val="20"/>
                <w:szCs w:val="20"/>
                <w:lang w:val="bg-BG"/>
              </w:rPr>
            </w:pPr>
            <w:r w:rsidRPr="00041175">
              <w:rPr>
                <w:rFonts w:ascii="Arial Narrow" w:hAnsi="Arial Narrow" w:cs="Calibri"/>
                <w:sz w:val="20"/>
                <w:szCs w:val="20"/>
                <w:lang w:val="bg-BG"/>
              </w:rPr>
              <w:t>Площи (хил. ха)</w:t>
            </w:r>
          </w:p>
        </w:tc>
        <w:tc>
          <w:tcPr>
            <w:tcW w:w="734" w:type="pct"/>
            <w:tcBorders>
              <w:top w:val="nil"/>
              <w:left w:val="nil"/>
              <w:bottom w:val="single" w:sz="4" w:space="0" w:color="auto"/>
              <w:right w:val="single" w:sz="4" w:space="0" w:color="auto"/>
            </w:tcBorders>
            <w:shd w:val="clear" w:color="auto" w:fill="auto"/>
            <w:noWrap/>
            <w:vAlign w:val="center"/>
            <w:hideMark/>
          </w:tcPr>
          <w:p w14:paraId="6D96DCF0" w14:textId="77777777" w:rsidR="00041175" w:rsidRPr="00041175" w:rsidRDefault="00041175" w:rsidP="00041175">
            <w:pPr>
              <w:jc w:val="right"/>
              <w:rPr>
                <w:rFonts w:ascii="Arial Narrow" w:hAnsi="Arial Narrow" w:cs="Calibri"/>
                <w:sz w:val="20"/>
                <w:szCs w:val="20"/>
                <w:lang w:val="bg-BG"/>
              </w:rPr>
            </w:pPr>
            <w:r w:rsidRPr="00041175">
              <w:rPr>
                <w:rFonts w:ascii="Arial Narrow" w:hAnsi="Arial Narrow" w:cs="Calibri"/>
                <w:sz w:val="20"/>
                <w:szCs w:val="20"/>
                <w:lang w:val="bg-BG"/>
              </w:rPr>
              <w:t>64</w:t>
            </w:r>
          </w:p>
        </w:tc>
        <w:tc>
          <w:tcPr>
            <w:tcW w:w="734" w:type="pct"/>
            <w:tcBorders>
              <w:top w:val="nil"/>
              <w:left w:val="nil"/>
              <w:bottom w:val="single" w:sz="4" w:space="0" w:color="auto"/>
              <w:right w:val="single" w:sz="4" w:space="0" w:color="auto"/>
            </w:tcBorders>
            <w:shd w:val="clear" w:color="auto" w:fill="auto"/>
            <w:noWrap/>
            <w:vAlign w:val="center"/>
            <w:hideMark/>
          </w:tcPr>
          <w:p w14:paraId="4FA6C33F" w14:textId="77777777" w:rsidR="00041175" w:rsidRPr="00041175" w:rsidRDefault="00041175" w:rsidP="00041175">
            <w:pPr>
              <w:jc w:val="right"/>
              <w:rPr>
                <w:rFonts w:ascii="Arial Narrow" w:hAnsi="Arial Narrow" w:cs="Calibri"/>
                <w:sz w:val="20"/>
                <w:szCs w:val="20"/>
                <w:lang w:val="bg-BG"/>
              </w:rPr>
            </w:pPr>
            <w:r w:rsidRPr="00041175">
              <w:rPr>
                <w:rFonts w:ascii="Arial Narrow" w:hAnsi="Arial Narrow" w:cs="Calibri"/>
                <w:sz w:val="20"/>
                <w:szCs w:val="20"/>
                <w:lang w:val="bg-BG"/>
              </w:rPr>
              <w:t>106</w:t>
            </w:r>
          </w:p>
        </w:tc>
        <w:tc>
          <w:tcPr>
            <w:tcW w:w="688" w:type="pct"/>
            <w:tcBorders>
              <w:top w:val="nil"/>
              <w:left w:val="nil"/>
              <w:bottom w:val="single" w:sz="4" w:space="0" w:color="auto"/>
              <w:right w:val="single" w:sz="4" w:space="0" w:color="auto"/>
            </w:tcBorders>
            <w:shd w:val="clear" w:color="auto" w:fill="auto"/>
            <w:noWrap/>
            <w:vAlign w:val="center"/>
            <w:hideMark/>
          </w:tcPr>
          <w:p w14:paraId="4B9D1CA1" w14:textId="77777777" w:rsidR="00041175" w:rsidRPr="00041175" w:rsidRDefault="00041175" w:rsidP="00041175">
            <w:pPr>
              <w:jc w:val="right"/>
              <w:rPr>
                <w:rFonts w:ascii="Arial Narrow" w:hAnsi="Arial Narrow" w:cs="Calibri"/>
                <w:sz w:val="20"/>
                <w:szCs w:val="20"/>
                <w:lang w:val="bg-BG"/>
              </w:rPr>
            </w:pPr>
            <w:r w:rsidRPr="00041175">
              <w:rPr>
                <w:rFonts w:ascii="Arial Narrow" w:hAnsi="Arial Narrow" w:cs="Calibri"/>
                <w:sz w:val="20"/>
                <w:szCs w:val="20"/>
                <w:lang w:val="bg-BG"/>
              </w:rPr>
              <w:t>64,9%</w:t>
            </w:r>
          </w:p>
        </w:tc>
      </w:tr>
      <w:tr w:rsidR="00041175" w:rsidRPr="00041175" w14:paraId="421268E5" w14:textId="77777777" w:rsidTr="00041175">
        <w:trPr>
          <w:trHeight w:val="295"/>
        </w:trPr>
        <w:tc>
          <w:tcPr>
            <w:tcW w:w="1142" w:type="pct"/>
            <w:vMerge/>
            <w:tcBorders>
              <w:top w:val="nil"/>
              <w:left w:val="single" w:sz="4" w:space="0" w:color="auto"/>
              <w:bottom w:val="single" w:sz="4" w:space="0" w:color="auto"/>
              <w:right w:val="single" w:sz="4" w:space="0" w:color="auto"/>
            </w:tcBorders>
            <w:vAlign w:val="center"/>
            <w:hideMark/>
          </w:tcPr>
          <w:p w14:paraId="372C3959" w14:textId="77777777" w:rsidR="00041175" w:rsidRPr="00041175" w:rsidRDefault="00041175" w:rsidP="00041175">
            <w:pPr>
              <w:rPr>
                <w:rFonts w:ascii="Arial Narrow" w:hAnsi="Arial Narrow" w:cs="Calibri"/>
                <w:sz w:val="20"/>
                <w:szCs w:val="20"/>
                <w:lang w:val="bg-BG"/>
              </w:rPr>
            </w:pPr>
          </w:p>
        </w:tc>
        <w:tc>
          <w:tcPr>
            <w:tcW w:w="1702" w:type="pct"/>
            <w:tcBorders>
              <w:top w:val="nil"/>
              <w:left w:val="nil"/>
              <w:bottom w:val="single" w:sz="4" w:space="0" w:color="auto"/>
              <w:right w:val="single" w:sz="4" w:space="0" w:color="auto"/>
            </w:tcBorders>
            <w:shd w:val="clear" w:color="auto" w:fill="auto"/>
            <w:noWrap/>
            <w:vAlign w:val="center"/>
            <w:hideMark/>
          </w:tcPr>
          <w:p w14:paraId="36A0E672" w14:textId="77777777" w:rsidR="00041175" w:rsidRPr="00041175" w:rsidRDefault="00041175" w:rsidP="00041175">
            <w:pPr>
              <w:rPr>
                <w:rFonts w:ascii="Arial Narrow" w:hAnsi="Arial Narrow" w:cs="Calibri"/>
                <w:sz w:val="20"/>
                <w:szCs w:val="20"/>
                <w:lang w:val="bg-BG"/>
              </w:rPr>
            </w:pPr>
            <w:r w:rsidRPr="00041175">
              <w:rPr>
                <w:rFonts w:ascii="Arial Narrow" w:hAnsi="Arial Narrow" w:cs="Calibri"/>
                <w:sz w:val="20"/>
                <w:szCs w:val="20"/>
                <w:lang w:val="bg-BG"/>
              </w:rPr>
              <w:t>Среден добив (тона/ха)</w:t>
            </w:r>
          </w:p>
        </w:tc>
        <w:tc>
          <w:tcPr>
            <w:tcW w:w="734" w:type="pct"/>
            <w:tcBorders>
              <w:top w:val="nil"/>
              <w:left w:val="nil"/>
              <w:bottom w:val="single" w:sz="4" w:space="0" w:color="auto"/>
              <w:right w:val="single" w:sz="4" w:space="0" w:color="auto"/>
            </w:tcBorders>
            <w:shd w:val="clear" w:color="auto" w:fill="auto"/>
            <w:noWrap/>
            <w:vAlign w:val="center"/>
            <w:hideMark/>
          </w:tcPr>
          <w:p w14:paraId="55B57875" w14:textId="77777777" w:rsidR="00041175" w:rsidRPr="00041175" w:rsidRDefault="00041175" w:rsidP="00041175">
            <w:pPr>
              <w:jc w:val="right"/>
              <w:rPr>
                <w:rFonts w:ascii="Arial Narrow" w:hAnsi="Arial Narrow" w:cs="Calibri"/>
                <w:sz w:val="20"/>
                <w:szCs w:val="20"/>
                <w:lang w:val="bg-BG"/>
              </w:rPr>
            </w:pPr>
            <w:r w:rsidRPr="00041175">
              <w:rPr>
                <w:rFonts w:ascii="Arial Narrow" w:hAnsi="Arial Narrow" w:cs="Calibri"/>
                <w:sz w:val="20"/>
                <w:szCs w:val="20"/>
                <w:lang w:val="bg-BG"/>
              </w:rPr>
              <w:t>2,46</w:t>
            </w:r>
          </w:p>
        </w:tc>
        <w:tc>
          <w:tcPr>
            <w:tcW w:w="734" w:type="pct"/>
            <w:tcBorders>
              <w:top w:val="nil"/>
              <w:left w:val="nil"/>
              <w:bottom w:val="single" w:sz="4" w:space="0" w:color="auto"/>
              <w:right w:val="single" w:sz="4" w:space="0" w:color="auto"/>
            </w:tcBorders>
            <w:shd w:val="clear" w:color="auto" w:fill="auto"/>
            <w:noWrap/>
            <w:vAlign w:val="center"/>
            <w:hideMark/>
          </w:tcPr>
          <w:p w14:paraId="2DDB0090" w14:textId="77777777" w:rsidR="00041175" w:rsidRPr="00041175" w:rsidRDefault="00041175" w:rsidP="00041175">
            <w:pPr>
              <w:jc w:val="right"/>
              <w:rPr>
                <w:rFonts w:ascii="Arial Narrow" w:hAnsi="Arial Narrow" w:cs="Calibri"/>
                <w:sz w:val="20"/>
                <w:szCs w:val="20"/>
                <w:lang w:val="bg-BG"/>
              </w:rPr>
            </w:pPr>
            <w:r w:rsidRPr="00041175">
              <w:rPr>
                <w:rFonts w:ascii="Arial Narrow" w:hAnsi="Arial Narrow" w:cs="Calibri"/>
                <w:sz w:val="20"/>
                <w:szCs w:val="20"/>
                <w:lang w:val="bg-BG"/>
              </w:rPr>
              <w:t>2,73</w:t>
            </w:r>
          </w:p>
        </w:tc>
        <w:tc>
          <w:tcPr>
            <w:tcW w:w="688" w:type="pct"/>
            <w:tcBorders>
              <w:top w:val="nil"/>
              <w:left w:val="nil"/>
              <w:bottom w:val="single" w:sz="4" w:space="0" w:color="auto"/>
              <w:right w:val="single" w:sz="4" w:space="0" w:color="auto"/>
            </w:tcBorders>
            <w:shd w:val="clear" w:color="auto" w:fill="auto"/>
            <w:noWrap/>
            <w:vAlign w:val="center"/>
            <w:hideMark/>
          </w:tcPr>
          <w:p w14:paraId="45B168E8" w14:textId="77777777" w:rsidR="00041175" w:rsidRPr="00041175" w:rsidRDefault="00041175" w:rsidP="00041175">
            <w:pPr>
              <w:jc w:val="right"/>
              <w:rPr>
                <w:rFonts w:ascii="Arial Narrow" w:hAnsi="Arial Narrow" w:cs="Calibri"/>
                <w:sz w:val="20"/>
                <w:szCs w:val="20"/>
                <w:lang w:val="bg-BG"/>
              </w:rPr>
            </w:pPr>
            <w:r w:rsidRPr="00041175">
              <w:rPr>
                <w:rFonts w:ascii="Arial Narrow" w:hAnsi="Arial Narrow" w:cs="Calibri"/>
                <w:sz w:val="20"/>
                <w:szCs w:val="20"/>
                <w:lang w:val="bg-BG"/>
              </w:rPr>
              <w:t>11,0%</w:t>
            </w:r>
          </w:p>
        </w:tc>
      </w:tr>
      <w:tr w:rsidR="00041175" w:rsidRPr="00041175" w14:paraId="1EB2F6FD" w14:textId="77777777" w:rsidTr="00041175">
        <w:trPr>
          <w:trHeight w:val="295"/>
        </w:trPr>
        <w:tc>
          <w:tcPr>
            <w:tcW w:w="1142" w:type="pct"/>
            <w:vMerge/>
            <w:tcBorders>
              <w:top w:val="nil"/>
              <w:left w:val="single" w:sz="4" w:space="0" w:color="auto"/>
              <w:bottom w:val="single" w:sz="4" w:space="0" w:color="auto"/>
              <w:right w:val="single" w:sz="4" w:space="0" w:color="auto"/>
            </w:tcBorders>
            <w:vAlign w:val="center"/>
            <w:hideMark/>
          </w:tcPr>
          <w:p w14:paraId="574EE026" w14:textId="77777777" w:rsidR="00041175" w:rsidRPr="00041175" w:rsidRDefault="00041175" w:rsidP="00041175">
            <w:pPr>
              <w:rPr>
                <w:rFonts w:ascii="Arial Narrow" w:hAnsi="Arial Narrow" w:cs="Calibri"/>
                <w:sz w:val="20"/>
                <w:szCs w:val="20"/>
                <w:lang w:val="bg-BG"/>
              </w:rPr>
            </w:pPr>
          </w:p>
        </w:tc>
        <w:tc>
          <w:tcPr>
            <w:tcW w:w="1702" w:type="pct"/>
            <w:tcBorders>
              <w:top w:val="nil"/>
              <w:left w:val="nil"/>
              <w:bottom w:val="single" w:sz="4" w:space="0" w:color="auto"/>
              <w:right w:val="single" w:sz="4" w:space="0" w:color="auto"/>
            </w:tcBorders>
            <w:shd w:val="clear" w:color="auto" w:fill="auto"/>
            <w:noWrap/>
            <w:vAlign w:val="center"/>
            <w:hideMark/>
          </w:tcPr>
          <w:p w14:paraId="07F9EC2C" w14:textId="77777777" w:rsidR="00041175" w:rsidRPr="00041175" w:rsidRDefault="00041175" w:rsidP="00041175">
            <w:pPr>
              <w:rPr>
                <w:rFonts w:ascii="Arial Narrow" w:hAnsi="Arial Narrow" w:cs="Calibri"/>
                <w:sz w:val="20"/>
                <w:szCs w:val="20"/>
                <w:lang w:val="bg-BG"/>
              </w:rPr>
            </w:pPr>
            <w:r w:rsidRPr="00041175">
              <w:rPr>
                <w:rFonts w:ascii="Arial Narrow" w:hAnsi="Arial Narrow" w:cs="Calibri"/>
                <w:sz w:val="20"/>
                <w:szCs w:val="20"/>
                <w:lang w:val="bg-BG"/>
              </w:rPr>
              <w:t>Производство (хил. тона)</w:t>
            </w:r>
          </w:p>
        </w:tc>
        <w:tc>
          <w:tcPr>
            <w:tcW w:w="734" w:type="pct"/>
            <w:tcBorders>
              <w:top w:val="nil"/>
              <w:left w:val="nil"/>
              <w:bottom w:val="single" w:sz="4" w:space="0" w:color="auto"/>
              <w:right w:val="single" w:sz="4" w:space="0" w:color="auto"/>
            </w:tcBorders>
            <w:shd w:val="clear" w:color="auto" w:fill="auto"/>
            <w:noWrap/>
            <w:vAlign w:val="center"/>
            <w:hideMark/>
          </w:tcPr>
          <w:p w14:paraId="19E609B6" w14:textId="77777777" w:rsidR="00041175" w:rsidRPr="00041175" w:rsidRDefault="00041175" w:rsidP="00041175">
            <w:pPr>
              <w:jc w:val="right"/>
              <w:rPr>
                <w:rFonts w:ascii="Arial Narrow" w:hAnsi="Arial Narrow" w:cs="Calibri"/>
                <w:sz w:val="20"/>
                <w:szCs w:val="20"/>
                <w:lang w:val="bg-BG"/>
              </w:rPr>
            </w:pPr>
            <w:r w:rsidRPr="00041175">
              <w:rPr>
                <w:rFonts w:ascii="Arial Narrow" w:hAnsi="Arial Narrow" w:cs="Calibri"/>
                <w:sz w:val="20"/>
                <w:szCs w:val="20"/>
                <w:lang w:val="bg-BG"/>
              </w:rPr>
              <w:t>158</w:t>
            </w:r>
          </w:p>
        </w:tc>
        <w:tc>
          <w:tcPr>
            <w:tcW w:w="734" w:type="pct"/>
            <w:tcBorders>
              <w:top w:val="nil"/>
              <w:left w:val="nil"/>
              <w:bottom w:val="single" w:sz="4" w:space="0" w:color="auto"/>
              <w:right w:val="single" w:sz="4" w:space="0" w:color="auto"/>
            </w:tcBorders>
            <w:shd w:val="clear" w:color="auto" w:fill="auto"/>
            <w:noWrap/>
            <w:vAlign w:val="center"/>
            <w:hideMark/>
          </w:tcPr>
          <w:p w14:paraId="290F47A9" w14:textId="77777777" w:rsidR="00041175" w:rsidRPr="00041175" w:rsidRDefault="00041175" w:rsidP="00041175">
            <w:pPr>
              <w:jc w:val="right"/>
              <w:rPr>
                <w:rFonts w:ascii="Arial Narrow" w:hAnsi="Arial Narrow" w:cs="Calibri"/>
                <w:sz w:val="20"/>
                <w:szCs w:val="20"/>
                <w:lang w:val="bg-BG"/>
              </w:rPr>
            </w:pPr>
            <w:r w:rsidRPr="00041175">
              <w:rPr>
                <w:rFonts w:ascii="Arial Narrow" w:hAnsi="Arial Narrow" w:cs="Calibri"/>
                <w:sz w:val="20"/>
                <w:szCs w:val="20"/>
                <w:lang w:val="bg-BG"/>
              </w:rPr>
              <w:t>289</w:t>
            </w:r>
          </w:p>
        </w:tc>
        <w:tc>
          <w:tcPr>
            <w:tcW w:w="688" w:type="pct"/>
            <w:tcBorders>
              <w:top w:val="nil"/>
              <w:left w:val="nil"/>
              <w:bottom w:val="single" w:sz="4" w:space="0" w:color="auto"/>
              <w:right w:val="single" w:sz="4" w:space="0" w:color="auto"/>
            </w:tcBorders>
            <w:shd w:val="clear" w:color="auto" w:fill="auto"/>
            <w:noWrap/>
            <w:vAlign w:val="center"/>
            <w:hideMark/>
          </w:tcPr>
          <w:p w14:paraId="4A3CEF3E" w14:textId="77777777" w:rsidR="00041175" w:rsidRPr="00041175" w:rsidRDefault="00041175" w:rsidP="00041175">
            <w:pPr>
              <w:jc w:val="right"/>
              <w:rPr>
                <w:rFonts w:ascii="Arial Narrow" w:hAnsi="Arial Narrow" w:cs="Calibri"/>
                <w:sz w:val="20"/>
                <w:szCs w:val="20"/>
                <w:lang w:val="bg-BG"/>
              </w:rPr>
            </w:pPr>
            <w:r w:rsidRPr="00041175">
              <w:rPr>
                <w:rFonts w:ascii="Arial Narrow" w:hAnsi="Arial Narrow" w:cs="Calibri"/>
                <w:sz w:val="20"/>
                <w:szCs w:val="20"/>
                <w:lang w:val="bg-BG"/>
              </w:rPr>
              <w:t>82,8%</w:t>
            </w:r>
          </w:p>
        </w:tc>
      </w:tr>
    </w:tbl>
    <w:p w14:paraId="52BA1D1A" w14:textId="77777777" w:rsidR="00041175" w:rsidRPr="00041175" w:rsidRDefault="00041175" w:rsidP="00041175">
      <w:pPr>
        <w:autoSpaceDE w:val="0"/>
        <w:autoSpaceDN w:val="0"/>
        <w:adjustRightInd w:val="0"/>
        <w:spacing w:after="120"/>
        <w:jc w:val="both"/>
        <w:rPr>
          <w:rFonts w:ascii="Arial Narrow" w:hAnsi="Arial Narrow"/>
          <w:sz w:val="18"/>
          <w:szCs w:val="18"/>
          <w:lang w:val="bg-BG" w:eastAsia="bg-BG"/>
        </w:rPr>
      </w:pPr>
      <w:r w:rsidRPr="00041175">
        <w:rPr>
          <w:rFonts w:ascii="Arial Narrow" w:hAnsi="Arial Narrow"/>
          <w:i/>
          <w:sz w:val="18"/>
          <w:szCs w:val="18"/>
          <w:lang w:val="bg-BG" w:eastAsia="bg-BG"/>
        </w:rPr>
        <w:t>Източник:</w:t>
      </w:r>
      <w:r w:rsidRPr="00041175">
        <w:rPr>
          <w:rFonts w:ascii="Arial Narrow" w:hAnsi="Arial Narrow"/>
          <w:b/>
          <w:sz w:val="18"/>
          <w:szCs w:val="18"/>
          <w:lang w:val="bg-BG" w:eastAsia="bg-BG"/>
        </w:rPr>
        <w:t xml:space="preserve"> </w:t>
      </w:r>
      <w:r w:rsidRPr="00041175">
        <w:rPr>
          <w:rFonts w:ascii="Arial Narrow" w:hAnsi="Arial Narrow"/>
          <w:sz w:val="18"/>
          <w:szCs w:val="18"/>
          <w:lang w:val="bg-BG" w:eastAsia="bg-BG"/>
        </w:rPr>
        <w:t>МЗХ, отдел „Агростатистика” (прогнозни данни за 2025 г.).</w:t>
      </w:r>
    </w:p>
    <w:p w14:paraId="48FB5C71" w14:textId="77777777" w:rsidR="00CE0F45" w:rsidRPr="008D0238" w:rsidRDefault="00E94237" w:rsidP="00B94DC2">
      <w:pPr>
        <w:pStyle w:val="ListParagraph"/>
        <w:keepNext/>
        <w:keepLines/>
        <w:widowControl w:val="0"/>
        <w:numPr>
          <w:ilvl w:val="1"/>
          <w:numId w:val="8"/>
        </w:numPr>
        <w:spacing w:after="120"/>
        <w:ind w:left="714" w:hanging="357"/>
        <w:contextualSpacing w:val="0"/>
        <w:jc w:val="both"/>
        <w:outlineLvl w:val="0"/>
        <w:rPr>
          <w:rFonts w:ascii="Arial Narrow" w:hAnsi="Arial Narrow"/>
          <w:b/>
          <w:lang w:val="bg-BG" w:eastAsia="bg-BG"/>
        </w:rPr>
      </w:pPr>
      <w:bookmarkStart w:id="45" w:name="_Toc210747549"/>
      <w:r w:rsidRPr="008D0238">
        <w:rPr>
          <w:rFonts w:ascii="Arial Narrow" w:hAnsi="Arial Narrow"/>
          <w:b/>
          <w:lang w:val="bg-BG" w:eastAsia="bg-BG"/>
        </w:rPr>
        <w:t>Производствени резултати в животновъдството</w:t>
      </w:r>
      <w:bookmarkEnd w:id="45"/>
    </w:p>
    <w:p w14:paraId="6E162766" w14:textId="77777777" w:rsidR="008D0238" w:rsidRPr="008D0238" w:rsidRDefault="008D0238" w:rsidP="008D0238">
      <w:pPr>
        <w:widowControl w:val="0"/>
        <w:autoSpaceDE w:val="0"/>
        <w:autoSpaceDN w:val="0"/>
        <w:adjustRightInd w:val="0"/>
        <w:spacing w:after="120"/>
        <w:ind w:firstLine="708"/>
        <w:jc w:val="both"/>
        <w:rPr>
          <w:rFonts w:ascii="Arial Narrow" w:hAnsi="Arial Narrow"/>
          <w:lang w:val="bg-BG"/>
        </w:rPr>
      </w:pPr>
      <w:r w:rsidRPr="008D0238">
        <w:rPr>
          <w:rFonts w:ascii="Arial Narrow" w:hAnsi="Arial Narrow"/>
          <w:color w:val="000000"/>
          <w:lang w:val="bg-BG"/>
        </w:rPr>
        <w:t>Животновъдството е важен подотрасъл на земеделието на България, с особено значение за осигуряване на</w:t>
      </w:r>
      <w:r w:rsidRPr="008D0238">
        <w:rPr>
          <w:rFonts w:ascii="Arial Narrow" w:hAnsi="Arial Narrow"/>
          <w:lang w:val="bg-BG"/>
        </w:rPr>
        <w:t xml:space="preserve"> основни суровини за преработвателната промишленост и гарантиране на продоволствената сигурност на населението. </w:t>
      </w:r>
    </w:p>
    <w:p w14:paraId="62F277C7" w14:textId="77777777" w:rsidR="008D0238" w:rsidRPr="008D0238" w:rsidRDefault="008D0238" w:rsidP="008D0238">
      <w:pPr>
        <w:widowControl w:val="0"/>
        <w:autoSpaceDE w:val="0"/>
        <w:autoSpaceDN w:val="0"/>
        <w:adjustRightInd w:val="0"/>
        <w:spacing w:after="120"/>
        <w:ind w:firstLine="708"/>
        <w:jc w:val="both"/>
        <w:rPr>
          <w:rFonts w:ascii="Arial Narrow" w:eastAsia="Calibri" w:hAnsi="Arial Narrow" w:cs="Arial"/>
          <w:lang w:val="bg-BG"/>
        </w:rPr>
      </w:pPr>
      <w:r w:rsidRPr="008D0238">
        <w:rPr>
          <w:rFonts w:ascii="Arial Narrow" w:eastAsia="Calibri" w:hAnsi="Arial Narrow" w:cs="Arial"/>
          <w:lang w:val="bg-BG"/>
        </w:rPr>
        <w:t xml:space="preserve">Държавната политика в областта на животновъдството е насочена към създаване на условия за устойчиво развитие на сектора и защита интересите на земеделските стопани. </w:t>
      </w:r>
      <w:r w:rsidRPr="008D0238">
        <w:rPr>
          <w:rFonts w:ascii="Arial Narrow" w:hAnsi="Arial Narrow"/>
          <w:lang w:val="bg-BG"/>
        </w:rPr>
        <w:t xml:space="preserve">Като един от приоритетните сектори в аграрния отрасъл, животновъдството се подпомага </w:t>
      </w:r>
      <w:r w:rsidRPr="008D0238">
        <w:rPr>
          <w:rFonts w:ascii="Arial Narrow" w:eastAsia="Calibri" w:hAnsi="Arial Narrow" w:cs="Arial"/>
          <w:lang w:val="bg-BG"/>
        </w:rPr>
        <w:t>посредством различни финансови инструменти със средства от европейския бюджет по двата стълба на ОСП (за директни плащания и пазарни мерки и за развитие на селските райони), както и с национални средства.</w:t>
      </w:r>
    </w:p>
    <w:p w14:paraId="0AE9F3B9" w14:textId="77777777" w:rsidR="008D0238" w:rsidRPr="008D0238" w:rsidRDefault="008D0238" w:rsidP="008D0238">
      <w:pPr>
        <w:widowControl w:val="0"/>
        <w:autoSpaceDE w:val="0"/>
        <w:autoSpaceDN w:val="0"/>
        <w:adjustRightInd w:val="0"/>
        <w:spacing w:after="120"/>
        <w:ind w:firstLine="708"/>
        <w:jc w:val="both"/>
        <w:rPr>
          <w:rFonts w:ascii="Arial Narrow" w:eastAsia="Calibri" w:hAnsi="Arial Narrow" w:cs="Arial"/>
          <w:lang w:val="bg-BG"/>
        </w:rPr>
      </w:pPr>
      <w:r w:rsidRPr="008D0238">
        <w:rPr>
          <w:rFonts w:ascii="Arial Narrow" w:eastAsia="Calibri" w:hAnsi="Arial Narrow" w:cs="Arial"/>
          <w:lang w:val="bg-BG"/>
        </w:rPr>
        <w:t xml:space="preserve">През 2024 г. продължава прилагането на класификацията на кланичните трупове от говеда, свине и овце (агнета) по Скалите на ЕС. С класификацията се цели подобряване на прозрачността на пазара и повишаване на конкурентоспособността на месните продукти на европейския пазар, както и предоставяне на обратна информация към фермерите относно резултатите от способите на отглеждане на животните им. </w:t>
      </w:r>
    </w:p>
    <w:p w14:paraId="4C37BF4C" w14:textId="77777777" w:rsidR="008D0238" w:rsidRPr="008D0238" w:rsidRDefault="008D0238" w:rsidP="008D0238">
      <w:pPr>
        <w:widowControl w:val="0"/>
        <w:autoSpaceDE w:val="0"/>
        <w:autoSpaceDN w:val="0"/>
        <w:adjustRightInd w:val="0"/>
        <w:spacing w:after="120"/>
        <w:ind w:firstLine="708"/>
        <w:jc w:val="both"/>
        <w:rPr>
          <w:rFonts w:ascii="Arial Narrow" w:eastAsia="Calibri" w:hAnsi="Arial Narrow" w:cs="Arial"/>
          <w:lang w:val="bg-BG"/>
        </w:rPr>
      </w:pPr>
      <w:r w:rsidRPr="008D0238">
        <w:rPr>
          <w:rFonts w:ascii="Arial Narrow" w:eastAsia="Calibri" w:hAnsi="Arial Narrow" w:cs="Arial"/>
          <w:lang w:val="bg-BG"/>
        </w:rPr>
        <w:t>Към края на 2024 г. се наблюдава намаление на броя на стопанствата, отглеждащи селскостопански животни, като продължава процесът на тяхното окрупняване. Най-голям спад спрямо година по-рано се отчита при стопанствата със свине – с 33,3% и кози – с 29,4%, следван от тези с говеда – с 16,0% и овце - с 15,7%. Броят на фермите с биволи остава без промяна спрямо 2023 г. Птицефермите, отглеждащи кокошки и подрастващи носачки, са с 8,7% по-малко на годишна база, а тези с пилета за месо - с 23,5%. Броят на стопанствата с пчелни семейства се свива с 5,4%.</w:t>
      </w:r>
    </w:p>
    <w:p w14:paraId="11B29E34" w14:textId="77777777" w:rsidR="008D0238" w:rsidRPr="008D0238" w:rsidRDefault="008D0238" w:rsidP="008D0238">
      <w:pPr>
        <w:widowControl w:val="0"/>
        <w:autoSpaceDE w:val="0"/>
        <w:autoSpaceDN w:val="0"/>
        <w:adjustRightInd w:val="0"/>
        <w:spacing w:after="120"/>
        <w:ind w:firstLine="708"/>
        <w:jc w:val="both"/>
        <w:rPr>
          <w:rFonts w:ascii="Arial Narrow" w:eastAsia="Calibri" w:hAnsi="Arial Narrow" w:cs="Arial"/>
          <w:lang w:val="bg-BG"/>
        </w:rPr>
      </w:pPr>
      <w:r w:rsidRPr="008D0238">
        <w:rPr>
          <w:rFonts w:ascii="Arial Narrow" w:eastAsia="Calibri" w:hAnsi="Arial Narrow" w:cs="Arial"/>
          <w:lang w:val="bg-BG"/>
        </w:rPr>
        <w:t xml:space="preserve">През 2024 г. общият брой на всички видове селскостопански животни намалява спрямо предходната година. По-значително спада броят на козите - с 14,3%, а по-умерено този на птиците - с 6,6%, овцете – с 5,2%, биволите – с 4,6%, свинете - с 3,3% и говедата – с 2,6%. Същевременно броят на пчелните </w:t>
      </w:r>
      <w:r w:rsidRPr="008D0238">
        <w:rPr>
          <w:rFonts w:ascii="Arial Narrow" w:eastAsia="Calibri" w:hAnsi="Arial Narrow" w:cs="Arial"/>
          <w:lang w:val="bg-BG"/>
        </w:rPr>
        <w:lastRenderedPageBreak/>
        <w:t xml:space="preserve">семейства нараства с 2,6%. През годината е отчетен ръст от 16,9% на овцете майки от месодайно направление. </w:t>
      </w:r>
    </w:p>
    <w:p w14:paraId="0C6BF155" w14:textId="77777777" w:rsidR="008D0238" w:rsidRPr="008D0238" w:rsidRDefault="008D0238" w:rsidP="008D0238">
      <w:pPr>
        <w:widowControl w:val="0"/>
        <w:spacing w:after="120"/>
        <w:ind w:firstLine="709"/>
        <w:jc w:val="both"/>
        <w:rPr>
          <w:rFonts w:ascii="Arial Narrow" w:eastAsia="Calibri" w:hAnsi="Arial Narrow" w:cs="Arial"/>
          <w:lang w:val="bg-BG" w:eastAsia="bg-BG"/>
        </w:rPr>
      </w:pPr>
      <w:r w:rsidRPr="008D0238">
        <w:rPr>
          <w:rFonts w:ascii="Arial Narrow" w:eastAsia="Calibri" w:hAnsi="Arial Narrow" w:cs="Arial"/>
          <w:lang w:val="bg-BG" w:eastAsia="bg-BG"/>
        </w:rPr>
        <w:t>При повечето видове и категории селскостопански животни през 2024 г. е налице увеличение на средния размер на стопанствата спрямо предходната година. Средният брой свине общо, отглеждани в едно стопанство, е с 45,1% повече на годишна база (достигайки 1 168 броя), макар при свинете майки да се отчита намаление с 11,9% (до 238 броя). Средният брой кози общо се повишава с 21,6% (до 41,7 броя), а този на кози майки – с 22% (до 35,5 броя). Следват говеда общо с ръст от 15,7% (до 35,4 броя) и крави – с 15,6% (до 23,5 броя). Увеличението на средния брой овце общо е с 12,4% (до 95 броя), а на овцете майки – с 12,9% (до 81,4 броя). Намалява средният размер на стопанствата с биволи (с 4,3%) и биволици (с 4,7%), съответно до 40 броя и 36,5 броя животни.</w:t>
      </w:r>
    </w:p>
    <w:p w14:paraId="24160573" w14:textId="77777777" w:rsidR="008D0238" w:rsidRPr="008D0238" w:rsidRDefault="008D0238" w:rsidP="008D0238">
      <w:pPr>
        <w:widowControl w:val="0"/>
        <w:spacing w:after="120"/>
        <w:jc w:val="both"/>
        <w:rPr>
          <w:rFonts w:ascii="Arial Narrow" w:eastAsia="Calibri" w:hAnsi="Arial Narrow" w:cs="Arial"/>
          <w:b/>
          <w:lang w:val="bg-BG"/>
        </w:rPr>
      </w:pPr>
      <w:r w:rsidRPr="008D0238">
        <w:rPr>
          <w:rFonts w:ascii="Arial Narrow" w:eastAsia="Calibri" w:hAnsi="Arial Narrow" w:cs="Arial"/>
          <w:b/>
          <w:lang w:val="bg-BG"/>
        </w:rPr>
        <w:t>Таблица ІІ.13. Брой животни през 202</w:t>
      </w:r>
      <w:r w:rsidRPr="008D0238">
        <w:rPr>
          <w:rFonts w:ascii="Arial Narrow" w:eastAsia="Calibri" w:hAnsi="Arial Narrow" w:cs="Arial"/>
          <w:b/>
        </w:rPr>
        <w:t>3</w:t>
      </w:r>
      <w:r w:rsidRPr="008D0238">
        <w:rPr>
          <w:rFonts w:ascii="Arial Narrow" w:eastAsia="Calibri" w:hAnsi="Arial Narrow" w:cs="Arial"/>
          <w:b/>
          <w:lang w:val="bg-BG"/>
        </w:rPr>
        <w:t xml:space="preserve"> и 202</w:t>
      </w:r>
      <w:r w:rsidRPr="008D0238">
        <w:rPr>
          <w:rFonts w:ascii="Arial Narrow" w:eastAsia="Calibri" w:hAnsi="Arial Narrow" w:cs="Arial"/>
          <w:b/>
        </w:rPr>
        <w:t>4</w:t>
      </w:r>
      <w:r w:rsidRPr="008D0238">
        <w:rPr>
          <w:rFonts w:ascii="Arial Narrow" w:eastAsia="Calibri" w:hAnsi="Arial Narrow" w:cs="Arial"/>
          <w:b/>
          <w:lang w:val="bg-BG"/>
        </w:rPr>
        <w:t xml:space="preserve"> г. </w:t>
      </w:r>
    </w:p>
    <w:tbl>
      <w:tblPr>
        <w:tblW w:w="497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2"/>
        <w:gridCol w:w="1539"/>
        <w:gridCol w:w="1643"/>
        <w:gridCol w:w="1641"/>
      </w:tblGrid>
      <w:tr w:rsidR="008D0238" w:rsidRPr="008D0238" w14:paraId="24271705" w14:textId="77777777" w:rsidTr="00725099">
        <w:trPr>
          <w:trHeight w:val="565"/>
          <w:tblHeader/>
        </w:trPr>
        <w:tc>
          <w:tcPr>
            <w:tcW w:w="2528" w:type="pct"/>
            <w:vAlign w:val="center"/>
            <w:hideMark/>
          </w:tcPr>
          <w:p w14:paraId="7BDBCFC3" w14:textId="77777777" w:rsidR="008D0238" w:rsidRPr="008D0238" w:rsidRDefault="008D0238" w:rsidP="008D0238">
            <w:pPr>
              <w:widowControl w:val="0"/>
              <w:contextualSpacing/>
              <w:jc w:val="center"/>
              <w:rPr>
                <w:rFonts w:ascii="Arial Narrow" w:hAnsi="Arial Narrow" w:cs="Arial"/>
                <w:b/>
                <w:sz w:val="20"/>
                <w:szCs w:val="20"/>
                <w:lang w:val="bg-BG"/>
              </w:rPr>
            </w:pPr>
            <w:r w:rsidRPr="008D0238">
              <w:rPr>
                <w:rFonts w:ascii="Arial Narrow" w:hAnsi="Arial Narrow" w:cs="Arial"/>
                <w:b/>
                <w:sz w:val="20"/>
                <w:szCs w:val="20"/>
                <w:lang w:val="bg-BG"/>
              </w:rPr>
              <w:t>Вид животни</w:t>
            </w:r>
          </w:p>
        </w:tc>
        <w:tc>
          <w:tcPr>
            <w:tcW w:w="789" w:type="pct"/>
            <w:vAlign w:val="center"/>
          </w:tcPr>
          <w:p w14:paraId="3ABE5484" w14:textId="77777777" w:rsidR="008D0238" w:rsidRPr="008D0238" w:rsidRDefault="008D0238" w:rsidP="008D0238">
            <w:pPr>
              <w:widowControl w:val="0"/>
              <w:contextualSpacing/>
              <w:jc w:val="center"/>
              <w:rPr>
                <w:rFonts w:ascii="Arial Narrow" w:hAnsi="Arial Narrow" w:cs="Arial"/>
                <w:b/>
                <w:sz w:val="20"/>
                <w:szCs w:val="20"/>
                <w:lang w:val="bg-BG"/>
              </w:rPr>
            </w:pPr>
            <w:r w:rsidRPr="008D0238">
              <w:rPr>
                <w:rFonts w:ascii="Arial Narrow" w:hAnsi="Arial Narrow" w:cs="Arial"/>
                <w:b/>
                <w:sz w:val="20"/>
                <w:szCs w:val="20"/>
                <w:lang w:val="bg-BG"/>
              </w:rPr>
              <w:t>2023</w:t>
            </w:r>
          </w:p>
        </w:tc>
        <w:tc>
          <w:tcPr>
            <w:tcW w:w="842" w:type="pct"/>
            <w:vAlign w:val="center"/>
            <w:hideMark/>
          </w:tcPr>
          <w:p w14:paraId="32BD1C5A" w14:textId="77777777" w:rsidR="008D0238" w:rsidRPr="008D0238" w:rsidRDefault="008D0238" w:rsidP="008D0238">
            <w:pPr>
              <w:widowControl w:val="0"/>
              <w:contextualSpacing/>
              <w:jc w:val="center"/>
              <w:rPr>
                <w:rFonts w:ascii="Arial Narrow" w:hAnsi="Arial Narrow" w:cs="Arial"/>
                <w:b/>
                <w:sz w:val="20"/>
                <w:szCs w:val="20"/>
                <w:lang w:val="bg-BG"/>
              </w:rPr>
            </w:pPr>
            <w:r w:rsidRPr="008D0238">
              <w:rPr>
                <w:rFonts w:ascii="Arial Narrow" w:hAnsi="Arial Narrow" w:cs="Arial"/>
                <w:b/>
                <w:sz w:val="20"/>
                <w:szCs w:val="20"/>
                <w:lang w:val="bg-BG"/>
              </w:rPr>
              <w:t xml:space="preserve">2024 </w:t>
            </w:r>
          </w:p>
        </w:tc>
        <w:tc>
          <w:tcPr>
            <w:tcW w:w="841" w:type="pct"/>
            <w:shd w:val="clear" w:color="auto" w:fill="auto"/>
            <w:noWrap/>
            <w:vAlign w:val="center"/>
            <w:hideMark/>
          </w:tcPr>
          <w:p w14:paraId="1BF57EB7" w14:textId="77777777" w:rsidR="008D0238" w:rsidRPr="008D0238" w:rsidRDefault="008D0238" w:rsidP="008D0238">
            <w:pPr>
              <w:widowControl w:val="0"/>
              <w:contextualSpacing/>
              <w:jc w:val="center"/>
              <w:rPr>
                <w:rFonts w:ascii="Arial Narrow" w:hAnsi="Arial Narrow" w:cs="Arial"/>
                <w:b/>
                <w:sz w:val="20"/>
                <w:szCs w:val="20"/>
                <w:lang w:val="bg-BG"/>
              </w:rPr>
            </w:pPr>
            <w:r w:rsidRPr="008D0238">
              <w:rPr>
                <w:rFonts w:ascii="Arial Narrow" w:hAnsi="Arial Narrow" w:cs="Arial"/>
                <w:b/>
                <w:sz w:val="20"/>
                <w:szCs w:val="20"/>
                <w:lang w:val="bg-BG"/>
              </w:rPr>
              <w:t>Изменение</w:t>
            </w:r>
          </w:p>
          <w:p w14:paraId="340AFA0A" w14:textId="77777777" w:rsidR="008D0238" w:rsidRPr="008D0238" w:rsidRDefault="008D0238" w:rsidP="008D0238">
            <w:pPr>
              <w:widowControl w:val="0"/>
              <w:contextualSpacing/>
              <w:jc w:val="center"/>
              <w:rPr>
                <w:rFonts w:ascii="Arial Narrow" w:hAnsi="Arial Narrow" w:cs="Arial"/>
                <w:b/>
                <w:sz w:val="20"/>
                <w:szCs w:val="20"/>
                <w:lang w:val="bg-BG"/>
              </w:rPr>
            </w:pPr>
            <w:r w:rsidRPr="008D0238">
              <w:rPr>
                <w:rFonts w:ascii="Arial Narrow" w:hAnsi="Arial Narrow"/>
                <w:b/>
                <w:sz w:val="20"/>
                <w:szCs w:val="20"/>
                <w:lang w:val="bg-BG"/>
              </w:rPr>
              <w:t>2024/2023</w:t>
            </w:r>
          </w:p>
        </w:tc>
      </w:tr>
      <w:tr w:rsidR="008D0238" w:rsidRPr="008D0238" w14:paraId="29BCB691" w14:textId="77777777" w:rsidTr="00725099">
        <w:trPr>
          <w:trHeight w:val="308"/>
        </w:trPr>
        <w:tc>
          <w:tcPr>
            <w:tcW w:w="2528" w:type="pct"/>
            <w:shd w:val="clear" w:color="auto" w:fill="auto"/>
            <w:noWrap/>
            <w:vAlign w:val="center"/>
            <w:hideMark/>
          </w:tcPr>
          <w:p w14:paraId="0AAAD5F0" w14:textId="77777777" w:rsidR="008D0238" w:rsidRPr="008D0238" w:rsidRDefault="008D0238" w:rsidP="008D0238">
            <w:pPr>
              <w:widowControl w:val="0"/>
              <w:rPr>
                <w:rFonts w:ascii="Arial Narrow" w:hAnsi="Arial Narrow" w:cs="Calibri"/>
                <w:sz w:val="20"/>
                <w:szCs w:val="20"/>
                <w:lang w:val="bg-BG"/>
              </w:rPr>
            </w:pPr>
            <w:r w:rsidRPr="008D0238">
              <w:rPr>
                <w:rFonts w:ascii="Arial Narrow" w:hAnsi="Arial Narrow" w:cs="Calibri"/>
                <w:sz w:val="20"/>
                <w:szCs w:val="20"/>
                <w:lang w:val="bg-BG"/>
              </w:rPr>
              <w:t>Говеда -  общо, в т. ч.:</w:t>
            </w:r>
          </w:p>
        </w:tc>
        <w:tc>
          <w:tcPr>
            <w:tcW w:w="789" w:type="pct"/>
            <w:tcBorders>
              <w:top w:val="nil"/>
              <w:left w:val="nil"/>
              <w:bottom w:val="single" w:sz="4" w:space="0" w:color="auto"/>
              <w:right w:val="single" w:sz="4" w:space="0" w:color="auto"/>
            </w:tcBorders>
            <w:shd w:val="clear" w:color="auto" w:fill="auto"/>
            <w:noWrap/>
            <w:vAlign w:val="center"/>
          </w:tcPr>
          <w:p w14:paraId="56DE17BA" w14:textId="77777777" w:rsidR="008D0238" w:rsidRPr="008D0238" w:rsidRDefault="008D0238" w:rsidP="008D0238">
            <w:pPr>
              <w:widowControl w:val="0"/>
              <w:jc w:val="right"/>
              <w:rPr>
                <w:rFonts w:ascii="Arial Narrow" w:hAnsi="Arial Narrow" w:cs="Calibri"/>
                <w:sz w:val="20"/>
                <w:szCs w:val="20"/>
              </w:rPr>
            </w:pPr>
            <w:r w:rsidRPr="008D0238">
              <w:rPr>
                <w:rFonts w:ascii="Arial Narrow" w:hAnsi="Arial Narrow" w:cs="Calibri"/>
                <w:sz w:val="20"/>
                <w:szCs w:val="20"/>
              </w:rPr>
              <w:t>553 363</w:t>
            </w:r>
          </w:p>
        </w:tc>
        <w:tc>
          <w:tcPr>
            <w:tcW w:w="84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141159C" w14:textId="77777777" w:rsidR="008D0238" w:rsidRPr="008D0238" w:rsidRDefault="008D0238" w:rsidP="008D0238">
            <w:pPr>
              <w:widowControl w:val="0"/>
              <w:jc w:val="right"/>
              <w:rPr>
                <w:rFonts w:ascii="Arial Narrow" w:hAnsi="Arial Narrow" w:cs="Calibri"/>
                <w:sz w:val="20"/>
                <w:szCs w:val="20"/>
              </w:rPr>
            </w:pPr>
            <w:r w:rsidRPr="008D0238">
              <w:rPr>
                <w:rFonts w:ascii="Arial Narrow" w:hAnsi="Arial Narrow" w:cs="Calibri"/>
                <w:sz w:val="20"/>
                <w:szCs w:val="20"/>
              </w:rPr>
              <w:t>538 793</w:t>
            </w:r>
          </w:p>
        </w:tc>
        <w:tc>
          <w:tcPr>
            <w:tcW w:w="841" w:type="pct"/>
            <w:tcBorders>
              <w:top w:val="single" w:sz="4" w:space="0" w:color="auto"/>
              <w:left w:val="nil"/>
              <w:bottom w:val="single" w:sz="4" w:space="0" w:color="auto"/>
              <w:right w:val="single" w:sz="4" w:space="0" w:color="auto"/>
            </w:tcBorders>
            <w:shd w:val="clear" w:color="auto" w:fill="auto"/>
            <w:noWrap/>
            <w:vAlign w:val="center"/>
          </w:tcPr>
          <w:p w14:paraId="58E6CFBF" w14:textId="77777777" w:rsidR="008D0238" w:rsidRPr="008D0238" w:rsidRDefault="008D0238" w:rsidP="008D0238">
            <w:pPr>
              <w:widowControl w:val="0"/>
              <w:jc w:val="right"/>
              <w:rPr>
                <w:rFonts w:ascii="Arial Narrow" w:hAnsi="Arial Narrow" w:cs="Calibri"/>
                <w:sz w:val="20"/>
                <w:szCs w:val="20"/>
              </w:rPr>
            </w:pPr>
            <w:r w:rsidRPr="008D0238">
              <w:rPr>
                <w:rFonts w:ascii="Arial Narrow" w:hAnsi="Arial Narrow" w:cs="Calibri"/>
                <w:sz w:val="20"/>
                <w:szCs w:val="20"/>
              </w:rPr>
              <w:t>-2,6%</w:t>
            </w:r>
          </w:p>
        </w:tc>
      </w:tr>
      <w:tr w:rsidR="008D0238" w:rsidRPr="008D0238" w14:paraId="6013CF88" w14:textId="77777777" w:rsidTr="00725099">
        <w:trPr>
          <w:trHeight w:val="308"/>
        </w:trPr>
        <w:tc>
          <w:tcPr>
            <w:tcW w:w="2528" w:type="pct"/>
            <w:shd w:val="clear" w:color="auto" w:fill="auto"/>
            <w:noWrap/>
            <w:vAlign w:val="center"/>
            <w:hideMark/>
          </w:tcPr>
          <w:p w14:paraId="47B4ACE5" w14:textId="77777777" w:rsidR="008D0238" w:rsidRPr="008D0238" w:rsidRDefault="008D0238" w:rsidP="008D0238">
            <w:pPr>
              <w:widowControl w:val="0"/>
              <w:ind w:left="170"/>
              <w:rPr>
                <w:rFonts w:ascii="Arial Narrow" w:hAnsi="Arial Narrow" w:cs="Calibri"/>
                <w:sz w:val="20"/>
                <w:szCs w:val="20"/>
                <w:lang w:val="bg-BG"/>
              </w:rPr>
            </w:pPr>
            <w:r w:rsidRPr="008D0238">
              <w:rPr>
                <w:rFonts w:ascii="Arial Narrow" w:hAnsi="Arial Narrow" w:cs="Calibri"/>
                <w:sz w:val="20"/>
                <w:szCs w:val="20"/>
                <w:lang w:val="bg-BG"/>
              </w:rPr>
              <w:t>крави - общо, в т. ч.:</w:t>
            </w:r>
          </w:p>
        </w:tc>
        <w:tc>
          <w:tcPr>
            <w:tcW w:w="789" w:type="pct"/>
            <w:tcBorders>
              <w:top w:val="nil"/>
              <w:left w:val="nil"/>
              <w:bottom w:val="single" w:sz="4" w:space="0" w:color="auto"/>
              <w:right w:val="single" w:sz="4" w:space="0" w:color="auto"/>
            </w:tcBorders>
            <w:shd w:val="clear" w:color="auto" w:fill="auto"/>
            <w:noWrap/>
            <w:vAlign w:val="center"/>
          </w:tcPr>
          <w:p w14:paraId="7959AD52" w14:textId="77777777" w:rsidR="008D0238" w:rsidRPr="008D0238" w:rsidRDefault="008D0238" w:rsidP="008D0238">
            <w:pPr>
              <w:widowControl w:val="0"/>
              <w:jc w:val="right"/>
              <w:rPr>
                <w:rFonts w:ascii="Arial Narrow" w:hAnsi="Arial Narrow" w:cs="Calibri"/>
                <w:sz w:val="20"/>
                <w:szCs w:val="20"/>
              </w:rPr>
            </w:pPr>
            <w:r w:rsidRPr="008D0238">
              <w:rPr>
                <w:rFonts w:ascii="Arial Narrow" w:hAnsi="Arial Narrow" w:cs="Calibri"/>
                <w:sz w:val="20"/>
                <w:szCs w:val="20"/>
              </w:rPr>
              <w:t>355 565</w:t>
            </w:r>
          </w:p>
        </w:tc>
        <w:tc>
          <w:tcPr>
            <w:tcW w:w="842" w:type="pct"/>
            <w:tcBorders>
              <w:top w:val="nil"/>
              <w:left w:val="single" w:sz="4" w:space="0" w:color="auto"/>
              <w:bottom w:val="single" w:sz="4" w:space="0" w:color="auto"/>
              <w:right w:val="single" w:sz="4" w:space="0" w:color="auto"/>
            </w:tcBorders>
            <w:shd w:val="clear" w:color="auto" w:fill="auto"/>
            <w:noWrap/>
            <w:vAlign w:val="center"/>
          </w:tcPr>
          <w:p w14:paraId="005B24B8" w14:textId="77777777" w:rsidR="008D0238" w:rsidRPr="008D0238" w:rsidRDefault="008D0238" w:rsidP="008D0238">
            <w:pPr>
              <w:widowControl w:val="0"/>
              <w:jc w:val="right"/>
              <w:rPr>
                <w:rFonts w:ascii="Arial Narrow" w:hAnsi="Arial Narrow" w:cs="Calibri"/>
                <w:sz w:val="20"/>
                <w:szCs w:val="20"/>
              </w:rPr>
            </w:pPr>
            <w:r w:rsidRPr="008D0238">
              <w:rPr>
                <w:rFonts w:ascii="Arial Narrow" w:hAnsi="Arial Narrow" w:cs="Calibri"/>
                <w:sz w:val="20"/>
                <w:szCs w:val="20"/>
              </w:rPr>
              <w:t>338 754</w:t>
            </w:r>
          </w:p>
        </w:tc>
        <w:tc>
          <w:tcPr>
            <w:tcW w:w="841" w:type="pct"/>
            <w:tcBorders>
              <w:top w:val="nil"/>
              <w:left w:val="nil"/>
              <w:bottom w:val="single" w:sz="4" w:space="0" w:color="auto"/>
              <w:right w:val="single" w:sz="4" w:space="0" w:color="auto"/>
            </w:tcBorders>
            <w:shd w:val="clear" w:color="auto" w:fill="auto"/>
            <w:noWrap/>
            <w:vAlign w:val="center"/>
          </w:tcPr>
          <w:p w14:paraId="439C591F" w14:textId="77777777" w:rsidR="008D0238" w:rsidRPr="008D0238" w:rsidRDefault="008D0238" w:rsidP="008D0238">
            <w:pPr>
              <w:widowControl w:val="0"/>
              <w:jc w:val="right"/>
              <w:rPr>
                <w:rFonts w:ascii="Arial Narrow" w:hAnsi="Arial Narrow" w:cs="Calibri"/>
                <w:sz w:val="20"/>
                <w:szCs w:val="20"/>
              </w:rPr>
            </w:pPr>
            <w:r w:rsidRPr="008D0238">
              <w:rPr>
                <w:rFonts w:ascii="Arial Narrow" w:hAnsi="Arial Narrow" w:cs="Calibri"/>
                <w:sz w:val="20"/>
                <w:szCs w:val="20"/>
              </w:rPr>
              <w:t>-4,7%</w:t>
            </w:r>
          </w:p>
        </w:tc>
      </w:tr>
      <w:tr w:rsidR="008D0238" w:rsidRPr="008D0238" w14:paraId="5B69FEA1" w14:textId="77777777" w:rsidTr="00725099">
        <w:trPr>
          <w:trHeight w:val="308"/>
        </w:trPr>
        <w:tc>
          <w:tcPr>
            <w:tcW w:w="2528" w:type="pct"/>
            <w:shd w:val="clear" w:color="auto" w:fill="auto"/>
            <w:noWrap/>
            <w:vAlign w:val="center"/>
            <w:hideMark/>
          </w:tcPr>
          <w:p w14:paraId="730D7164" w14:textId="77777777" w:rsidR="008D0238" w:rsidRPr="008D0238" w:rsidRDefault="008D0238" w:rsidP="008D0238">
            <w:pPr>
              <w:widowControl w:val="0"/>
              <w:ind w:left="170"/>
              <w:rPr>
                <w:rFonts w:ascii="Arial Narrow" w:hAnsi="Arial Narrow" w:cs="Calibri"/>
                <w:sz w:val="20"/>
                <w:szCs w:val="20"/>
                <w:lang w:val="bg-BG"/>
              </w:rPr>
            </w:pPr>
            <w:r w:rsidRPr="008D0238">
              <w:rPr>
                <w:rFonts w:ascii="Arial Narrow" w:hAnsi="Arial Narrow" w:cs="Calibri"/>
                <w:sz w:val="20"/>
                <w:szCs w:val="20"/>
                <w:lang w:val="bg-BG"/>
              </w:rPr>
              <w:t>- млечни крави</w:t>
            </w:r>
          </w:p>
        </w:tc>
        <w:tc>
          <w:tcPr>
            <w:tcW w:w="789" w:type="pct"/>
            <w:tcBorders>
              <w:top w:val="nil"/>
              <w:left w:val="nil"/>
              <w:bottom w:val="single" w:sz="4" w:space="0" w:color="auto"/>
              <w:right w:val="single" w:sz="4" w:space="0" w:color="auto"/>
            </w:tcBorders>
            <w:shd w:val="clear" w:color="auto" w:fill="auto"/>
            <w:noWrap/>
            <w:vAlign w:val="center"/>
          </w:tcPr>
          <w:p w14:paraId="65C3F320" w14:textId="77777777" w:rsidR="008D0238" w:rsidRPr="008D0238" w:rsidRDefault="008D0238" w:rsidP="008D0238">
            <w:pPr>
              <w:widowControl w:val="0"/>
              <w:jc w:val="right"/>
              <w:rPr>
                <w:rFonts w:ascii="Arial Narrow" w:hAnsi="Arial Narrow" w:cs="Calibri"/>
                <w:sz w:val="20"/>
                <w:szCs w:val="20"/>
              </w:rPr>
            </w:pPr>
            <w:r w:rsidRPr="008D0238">
              <w:rPr>
                <w:rFonts w:ascii="Arial Narrow" w:hAnsi="Arial Narrow" w:cs="Calibri"/>
                <w:sz w:val="20"/>
                <w:szCs w:val="20"/>
              </w:rPr>
              <w:t>187 096</w:t>
            </w:r>
          </w:p>
        </w:tc>
        <w:tc>
          <w:tcPr>
            <w:tcW w:w="842" w:type="pct"/>
            <w:tcBorders>
              <w:top w:val="nil"/>
              <w:left w:val="single" w:sz="4" w:space="0" w:color="auto"/>
              <w:bottom w:val="single" w:sz="4" w:space="0" w:color="auto"/>
              <w:right w:val="single" w:sz="4" w:space="0" w:color="auto"/>
            </w:tcBorders>
            <w:shd w:val="clear" w:color="auto" w:fill="auto"/>
            <w:noWrap/>
            <w:vAlign w:val="center"/>
          </w:tcPr>
          <w:p w14:paraId="2952FEC0" w14:textId="77777777" w:rsidR="008D0238" w:rsidRPr="008D0238" w:rsidRDefault="008D0238" w:rsidP="008D0238">
            <w:pPr>
              <w:widowControl w:val="0"/>
              <w:jc w:val="right"/>
              <w:rPr>
                <w:rFonts w:ascii="Arial Narrow" w:hAnsi="Arial Narrow" w:cs="Calibri"/>
                <w:sz w:val="20"/>
                <w:szCs w:val="20"/>
              </w:rPr>
            </w:pPr>
            <w:r w:rsidRPr="008D0238">
              <w:rPr>
                <w:rFonts w:ascii="Arial Narrow" w:hAnsi="Arial Narrow" w:cs="Calibri"/>
                <w:sz w:val="20"/>
                <w:szCs w:val="20"/>
              </w:rPr>
              <w:t>174 970</w:t>
            </w:r>
          </w:p>
        </w:tc>
        <w:tc>
          <w:tcPr>
            <w:tcW w:w="841" w:type="pct"/>
            <w:tcBorders>
              <w:top w:val="nil"/>
              <w:left w:val="nil"/>
              <w:bottom w:val="single" w:sz="4" w:space="0" w:color="auto"/>
              <w:right w:val="single" w:sz="4" w:space="0" w:color="auto"/>
            </w:tcBorders>
            <w:shd w:val="clear" w:color="auto" w:fill="auto"/>
            <w:noWrap/>
            <w:vAlign w:val="center"/>
          </w:tcPr>
          <w:p w14:paraId="7003C358" w14:textId="77777777" w:rsidR="008D0238" w:rsidRPr="008D0238" w:rsidRDefault="008D0238" w:rsidP="008D0238">
            <w:pPr>
              <w:widowControl w:val="0"/>
              <w:jc w:val="right"/>
              <w:rPr>
                <w:rFonts w:ascii="Arial Narrow" w:hAnsi="Arial Narrow" w:cs="Calibri"/>
                <w:sz w:val="20"/>
                <w:szCs w:val="20"/>
              </w:rPr>
            </w:pPr>
            <w:r w:rsidRPr="008D0238">
              <w:rPr>
                <w:rFonts w:ascii="Arial Narrow" w:hAnsi="Arial Narrow" w:cs="Calibri"/>
                <w:sz w:val="20"/>
                <w:szCs w:val="20"/>
              </w:rPr>
              <w:t>-6,5%</w:t>
            </w:r>
          </w:p>
        </w:tc>
      </w:tr>
      <w:tr w:rsidR="008D0238" w:rsidRPr="008D0238" w14:paraId="30CAD4A5" w14:textId="77777777" w:rsidTr="00725099">
        <w:trPr>
          <w:trHeight w:val="308"/>
        </w:trPr>
        <w:tc>
          <w:tcPr>
            <w:tcW w:w="2528" w:type="pct"/>
            <w:shd w:val="clear" w:color="auto" w:fill="auto"/>
            <w:noWrap/>
            <w:vAlign w:val="center"/>
            <w:hideMark/>
          </w:tcPr>
          <w:p w14:paraId="0C5A437A" w14:textId="77777777" w:rsidR="008D0238" w:rsidRPr="008D0238" w:rsidRDefault="008D0238" w:rsidP="008D0238">
            <w:pPr>
              <w:widowControl w:val="0"/>
              <w:ind w:left="170"/>
              <w:rPr>
                <w:rFonts w:ascii="Arial Narrow" w:hAnsi="Arial Narrow" w:cs="Calibri"/>
                <w:sz w:val="20"/>
                <w:szCs w:val="20"/>
                <w:lang w:val="bg-BG"/>
              </w:rPr>
            </w:pPr>
            <w:r w:rsidRPr="008D0238">
              <w:rPr>
                <w:rFonts w:ascii="Arial Narrow" w:hAnsi="Arial Narrow" w:cs="Calibri"/>
                <w:sz w:val="20"/>
                <w:szCs w:val="20"/>
                <w:lang w:val="bg-BG"/>
              </w:rPr>
              <w:t>- месодайни крави</w:t>
            </w:r>
          </w:p>
        </w:tc>
        <w:tc>
          <w:tcPr>
            <w:tcW w:w="789" w:type="pct"/>
            <w:tcBorders>
              <w:top w:val="nil"/>
              <w:left w:val="nil"/>
              <w:bottom w:val="single" w:sz="4" w:space="0" w:color="auto"/>
              <w:right w:val="single" w:sz="4" w:space="0" w:color="auto"/>
            </w:tcBorders>
            <w:shd w:val="clear" w:color="auto" w:fill="auto"/>
            <w:noWrap/>
            <w:vAlign w:val="center"/>
          </w:tcPr>
          <w:p w14:paraId="7DDB62C1" w14:textId="77777777" w:rsidR="008D0238" w:rsidRPr="008D0238" w:rsidRDefault="008D0238" w:rsidP="008D0238">
            <w:pPr>
              <w:widowControl w:val="0"/>
              <w:jc w:val="right"/>
              <w:rPr>
                <w:rFonts w:ascii="Arial Narrow" w:hAnsi="Arial Narrow" w:cs="Calibri"/>
                <w:sz w:val="20"/>
                <w:szCs w:val="20"/>
              </w:rPr>
            </w:pPr>
            <w:r w:rsidRPr="008D0238">
              <w:rPr>
                <w:rFonts w:ascii="Arial Narrow" w:hAnsi="Arial Narrow" w:cs="Calibri"/>
                <w:sz w:val="20"/>
                <w:szCs w:val="20"/>
              </w:rPr>
              <w:t>168 469</w:t>
            </w:r>
          </w:p>
        </w:tc>
        <w:tc>
          <w:tcPr>
            <w:tcW w:w="842" w:type="pct"/>
            <w:tcBorders>
              <w:top w:val="nil"/>
              <w:left w:val="single" w:sz="4" w:space="0" w:color="auto"/>
              <w:bottom w:val="single" w:sz="4" w:space="0" w:color="auto"/>
              <w:right w:val="single" w:sz="4" w:space="0" w:color="auto"/>
            </w:tcBorders>
            <w:shd w:val="clear" w:color="auto" w:fill="auto"/>
            <w:noWrap/>
            <w:vAlign w:val="center"/>
          </w:tcPr>
          <w:p w14:paraId="6468723C" w14:textId="77777777" w:rsidR="008D0238" w:rsidRPr="008D0238" w:rsidRDefault="008D0238" w:rsidP="008D0238">
            <w:pPr>
              <w:widowControl w:val="0"/>
              <w:jc w:val="right"/>
              <w:rPr>
                <w:rFonts w:ascii="Arial Narrow" w:hAnsi="Arial Narrow" w:cs="Calibri"/>
                <w:sz w:val="20"/>
                <w:szCs w:val="20"/>
              </w:rPr>
            </w:pPr>
            <w:r w:rsidRPr="008D0238">
              <w:rPr>
                <w:rFonts w:ascii="Arial Narrow" w:hAnsi="Arial Narrow" w:cs="Calibri"/>
                <w:sz w:val="20"/>
                <w:szCs w:val="20"/>
              </w:rPr>
              <w:t>163 784</w:t>
            </w:r>
          </w:p>
        </w:tc>
        <w:tc>
          <w:tcPr>
            <w:tcW w:w="841" w:type="pct"/>
            <w:tcBorders>
              <w:top w:val="nil"/>
              <w:left w:val="nil"/>
              <w:bottom w:val="single" w:sz="4" w:space="0" w:color="auto"/>
              <w:right w:val="single" w:sz="4" w:space="0" w:color="auto"/>
            </w:tcBorders>
            <w:shd w:val="clear" w:color="auto" w:fill="auto"/>
            <w:noWrap/>
            <w:vAlign w:val="center"/>
          </w:tcPr>
          <w:p w14:paraId="15F345D6" w14:textId="77777777" w:rsidR="008D0238" w:rsidRPr="008D0238" w:rsidRDefault="008D0238" w:rsidP="008D0238">
            <w:pPr>
              <w:widowControl w:val="0"/>
              <w:jc w:val="right"/>
              <w:rPr>
                <w:rFonts w:ascii="Arial Narrow" w:hAnsi="Arial Narrow" w:cs="Calibri"/>
                <w:sz w:val="20"/>
                <w:szCs w:val="20"/>
              </w:rPr>
            </w:pPr>
            <w:r w:rsidRPr="008D0238">
              <w:rPr>
                <w:rFonts w:ascii="Arial Narrow" w:hAnsi="Arial Narrow" w:cs="Calibri"/>
                <w:sz w:val="20"/>
                <w:szCs w:val="20"/>
              </w:rPr>
              <w:t>-2,8%</w:t>
            </w:r>
          </w:p>
        </w:tc>
      </w:tr>
      <w:tr w:rsidR="008D0238" w:rsidRPr="008D0238" w14:paraId="6021E9D0" w14:textId="77777777" w:rsidTr="00725099">
        <w:trPr>
          <w:trHeight w:val="308"/>
        </w:trPr>
        <w:tc>
          <w:tcPr>
            <w:tcW w:w="2528" w:type="pct"/>
            <w:shd w:val="clear" w:color="auto" w:fill="auto"/>
            <w:noWrap/>
            <w:vAlign w:val="center"/>
            <w:hideMark/>
          </w:tcPr>
          <w:p w14:paraId="704C96BB" w14:textId="77777777" w:rsidR="008D0238" w:rsidRPr="008D0238" w:rsidRDefault="008D0238" w:rsidP="008D0238">
            <w:pPr>
              <w:widowControl w:val="0"/>
              <w:rPr>
                <w:rFonts w:ascii="Arial Narrow" w:hAnsi="Arial Narrow" w:cs="Calibri"/>
                <w:sz w:val="20"/>
                <w:szCs w:val="20"/>
                <w:lang w:val="bg-BG"/>
              </w:rPr>
            </w:pPr>
            <w:r w:rsidRPr="008D0238">
              <w:rPr>
                <w:rFonts w:ascii="Arial Narrow" w:hAnsi="Arial Narrow" w:cs="Calibri"/>
                <w:sz w:val="20"/>
                <w:szCs w:val="20"/>
                <w:lang w:val="bg-BG"/>
              </w:rPr>
              <w:t>Биволи - общо, в т. ч.:</w:t>
            </w:r>
          </w:p>
        </w:tc>
        <w:tc>
          <w:tcPr>
            <w:tcW w:w="789" w:type="pct"/>
            <w:tcBorders>
              <w:top w:val="nil"/>
              <w:left w:val="nil"/>
              <w:bottom w:val="single" w:sz="4" w:space="0" w:color="auto"/>
              <w:right w:val="single" w:sz="4" w:space="0" w:color="auto"/>
            </w:tcBorders>
            <w:shd w:val="clear" w:color="auto" w:fill="auto"/>
            <w:noWrap/>
            <w:vAlign w:val="center"/>
          </w:tcPr>
          <w:p w14:paraId="453F6723" w14:textId="77777777" w:rsidR="008D0238" w:rsidRPr="008D0238" w:rsidRDefault="008D0238" w:rsidP="008D0238">
            <w:pPr>
              <w:widowControl w:val="0"/>
              <w:jc w:val="right"/>
              <w:rPr>
                <w:rFonts w:ascii="Arial Narrow" w:hAnsi="Arial Narrow" w:cs="Calibri"/>
                <w:sz w:val="20"/>
                <w:szCs w:val="20"/>
              </w:rPr>
            </w:pPr>
            <w:r w:rsidRPr="008D0238">
              <w:rPr>
                <w:rFonts w:ascii="Arial Narrow" w:hAnsi="Arial Narrow" w:cs="Calibri"/>
                <w:sz w:val="20"/>
                <w:szCs w:val="20"/>
              </w:rPr>
              <w:t>20 941</w:t>
            </w:r>
          </w:p>
        </w:tc>
        <w:tc>
          <w:tcPr>
            <w:tcW w:w="842" w:type="pct"/>
            <w:tcBorders>
              <w:top w:val="nil"/>
              <w:left w:val="single" w:sz="4" w:space="0" w:color="auto"/>
              <w:bottom w:val="single" w:sz="4" w:space="0" w:color="auto"/>
              <w:right w:val="single" w:sz="4" w:space="0" w:color="auto"/>
            </w:tcBorders>
            <w:shd w:val="clear" w:color="auto" w:fill="auto"/>
            <w:noWrap/>
            <w:vAlign w:val="center"/>
          </w:tcPr>
          <w:p w14:paraId="2C649670" w14:textId="77777777" w:rsidR="008D0238" w:rsidRPr="008D0238" w:rsidRDefault="008D0238" w:rsidP="008D0238">
            <w:pPr>
              <w:widowControl w:val="0"/>
              <w:jc w:val="right"/>
              <w:rPr>
                <w:rFonts w:ascii="Arial Narrow" w:hAnsi="Arial Narrow" w:cs="Calibri"/>
                <w:sz w:val="20"/>
                <w:szCs w:val="20"/>
              </w:rPr>
            </w:pPr>
            <w:r w:rsidRPr="008D0238">
              <w:rPr>
                <w:rFonts w:ascii="Arial Narrow" w:hAnsi="Arial Narrow" w:cs="Calibri"/>
                <w:sz w:val="20"/>
                <w:szCs w:val="20"/>
              </w:rPr>
              <w:t>19 980</w:t>
            </w:r>
          </w:p>
        </w:tc>
        <w:tc>
          <w:tcPr>
            <w:tcW w:w="841" w:type="pct"/>
            <w:tcBorders>
              <w:top w:val="nil"/>
              <w:left w:val="nil"/>
              <w:bottom w:val="single" w:sz="4" w:space="0" w:color="auto"/>
              <w:right w:val="single" w:sz="4" w:space="0" w:color="auto"/>
            </w:tcBorders>
            <w:shd w:val="clear" w:color="auto" w:fill="auto"/>
            <w:noWrap/>
            <w:vAlign w:val="center"/>
          </w:tcPr>
          <w:p w14:paraId="29EC0FAB" w14:textId="77777777" w:rsidR="008D0238" w:rsidRPr="008D0238" w:rsidRDefault="008D0238" w:rsidP="008D0238">
            <w:pPr>
              <w:widowControl w:val="0"/>
              <w:jc w:val="right"/>
              <w:rPr>
                <w:rFonts w:ascii="Arial Narrow" w:hAnsi="Arial Narrow" w:cs="Calibri"/>
                <w:sz w:val="20"/>
                <w:szCs w:val="20"/>
              </w:rPr>
            </w:pPr>
            <w:r w:rsidRPr="008D0238">
              <w:rPr>
                <w:rFonts w:ascii="Arial Narrow" w:hAnsi="Arial Narrow" w:cs="Calibri"/>
                <w:sz w:val="20"/>
                <w:szCs w:val="20"/>
              </w:rPr>
              <w:t>-4,6%</w:t>
            </w:r>
          </w:p>
        </w:tc>
      </w:tr>
      <w:tr w:rsidR="008D0238" w:rsidRPr="008D0238" w14:paraId="6B3602AD" w14:textId="77777777" w:rsidTr="00725099">
        <w:trPr>
          <w:trHeight w:val="308"/>
        </w:trPr>
        <w:tc>
          <w:tcPr>
            <w:tcW w:w="2528" w:type="pct"/>
            <w:shd w:val="clear" w:color="auto" w:fill="auto"/>
            <w:noWrap/>
            <w:vAlign w:val="center"/>
            <w:hideMark/>
          </w:tcPr>
          <w:p w14:paraId="1013B079" w14:textId="77777777" w:rsidR="008D0238" w:rsidRPr="008D0238" w:rsidRDefault="008D0238" w:rsidP="008D0238">
            <w:pPr>
              <w:widowControl w:val="0"/>
              <w:ind w:left="170"/>
              <w:rPr>
                <w:rFonts w:ascii="Arial Narrow" w:hAnsi="Arial Narrow" w:cs="Calibri"/>
                <w:sz w:val="20"/>
                <w:szCs w:val="20"/>
                <w:lang w:val="bg-BG"/>
              </w:rPr>
            </w:pPr>
            <w:r w:rsidRPr="008D0238">
              <w:rPr>
                <w:rFonts w:ascii="Arial Narrow" w:hAnsi="Arial Narrow" w:cs="Calibri"/>
                <w:sz w:val="20"/>
                <w:szCs w:val="20"/>
                <w:lang w:val="bg-BG"/>
              </w:rPr>
              <w:t>биволици</w:t>
            </w:r>
          </w:p>
        </w:tc>
        <w:tc>
          <w:tcPr>
            <w:tcW w:w="789" w:type="pct"/>
            <w:tcBorders>
              <w:top w:val="nil"/>
              <w:left w:val="nil"/>
              <w:bottom w:val="single" w:sz="4" w:space="0" w:color="auto"/>
              <w:right w:val="single" w:sz="4" w:space="0" w:color="auto"/>
            </w:tcBorders>
            <w:shd w:val="clear" w:color="auto" w:fill="auto"/>
            <w:noWrap/>
            <w:vAlign w:val="center"/>
          </w:tcPr>
          <w:p w14:paraId="5E65D89D" w14:textId="77777777" w:rsidR="008D0238" w:rsidRPr="008D0238" w:rsidRDefault="008D0238" w:rsidP="008D0238">
            <w:pPr>
              <w:widowControl w:val="0"/>
              <w:jc w:val="right"/>
              <w:rPr>
                <w:rFonts w:ascii="Arial Narrow" w:hAnsi="Arial Narrow" w:cs="Calibri"/>
                <w:sz w:val="20"/>
                <w:szCs w:val="20"/>
              </w:rPr>
            </w:pPr>
            <w:r w:rsidRPr="008D0238">
              <w:rPr>
                <w:rFonts w:ascii="Arial Narrow" w:hAnsi="Arial Narrow" w:cs="Calibri"/>
                <w:sz w:val="20"/>
                <w:szCs w:val="20"/>
              </w:rPr>
              <w:t>15 317</w:t>
            </w:r>
          </w:p>
        </w:tc>
        <w:tc>
          <w:tcPr>
            <w:tcW w:w="842" w:type="pct"/>
            <w:tcBorders>
              <w:top w:val="nil"/>
              <w:left w:val="single" w:sz="4" w:space="0" w:color="auto"/>
              <w:bottom w:val="single" w:sz="4" w:space="0" w:color="auto"/>
              <w:right w:val="single" w:sz="4" w:space="0" w:color="auto"/>
            </w:tcBorders>
            <w:shd w:val="clear" w:color="auto" w:fill="auto"/>
            <w:noWrap/>
            <w:vAlign w:val="center"/>
          </w:tcPr>
          <w:p w14:paraId="0433E3E5" w14:textId="77777777" w:rsidR="008D0238" w:rsidRPr="008D0238" w:rsidRDefault="008D0238" w:rsidP="008D0238">
            <w:pPr>
              <w:widowControl w:val="0"/>
              <w:jc w:val="right"/>
              <w:rPr>
                <w:rFonts w:ascii="Arial Narrow" w:hAnsi="Arial Narrow" w:cs="Calibri"/>
                <w:sz w:val="20"/>
                <w:szCs w:val="20"/>
              </w:rPr>
            </w:pPr>
            <w:r w:rsidRPr="008D0238">
              <w:rPr>
                <w:rFonts w:ascii="Arial Narrow" w:hAnsi="Arial Narrow" w:cs="Calibri"/>
                <w:sz w:val="20"/>
                <w:szCs w:val="20"/>
              </w:rPr>
              <w:t>14 624</w:t>
            </w:r>
          </w:p>
        </w:tc>
        <w:tc>
          <w:tcPr>
            <w:tcW w:w="841" w:type="pct"/>
            <w:tcBorders>
              <w:top w:val="nil"/>
              <w:left w:val="nil"/>
              <w:bottom w:val="single" w:sz="4" w:space="0" w:color="auto"/>
              <w:right w:val="single" w:sz="4" w:space="0" w:color="auto"/>
            </w:tcBorders>
            <w:shd w:val="clear" w:color="auto" w:fill="auto"/>
            <w:noWrap/>
            <w:vAlign w:val="center"/>
          </w:tcPr>
          <w:p w14:paraId="55BA6809" w14:textId="77777777" w:rsidR="008D0238" w:rsidRPr="008D0238" w:rsidRDefault="008D0238" w:rsidP="008D0238">
            <w:pPr>
              <w:widowControl w:val="0"/>
              <w:jc w:val="right"/>
              <w:rPr>
                <w:rFonts w:ascii="Arial Narrow" w:hAnsi="Arial Narrow" w:cs="Calibri"/>
                <w:sz w:val="20"/>
                <w:szCs w:val="20"/>
              </w:rPr>
            </w:pPr>
            <w:r w:rsidRPr="008D0238">
              <w:rPr>
                <w:rFonts w:ascii="Arial Narrow" w:hAnsi="Arial Narrow" w:cs="Calibri"/>
                <w:sz w:val="20"/>
                <w:szCs w:val="20"/>
              </w:rPr>
              <w:t>-4,5%</w:t>
            </w:r>
          </w:p>
        </w:tc>
      </w:tr>
      <w:tr w:rsidR="008D0238" w:rsidRPr="008D0238" w14:paraId="1F6AB3AF" w14:textId="77777777" w:rsidTr="00725099">
        <w:trPr>
          <w:trHeight w:val="308"/>
        </w:trPr>
        <w:tc>
          <w:tcPr>
            <w:tcW w:w="2528" w:type="pct"/>
            <w:shd w:val="clear" w:color="auto" w:fill="auto"/>
            <w:noWrap/>
            <w:vAlign w:val="center"/>
            <w:hideMark/>
          </w:tcPr>
          <w:p w14:paraId="121185C9" w14:textId="77777777" w:rsidR="008D0238" w:rsidRPr="008D0238" w:rsidRDefault="008D0238" w:rsidP="008D0238">
            <w:pPr>
              <w:widowControl w:val="0"/>
              <w:rPr>
                <w:rFonts w:ascii="Arial Narrow" w:hAnsi="Arial Narrow" w:cs="Calibri"/>
                <w:sz w:val="20"/>
                <w:szCs w:val="20"/>
                <w:lang w:val="bg-BG"/>
              </w:rPr>
            </w:pPr>
            <w:r w:rsidRPr="008D0238">
              <w:rPr>
                <w:rFonts w:ascii="Arial Narrow" w:hAnsi="Arial Narrow" w:cs="Calibri"/>
                <w:sz w:val="20"/>
                <w:szCs w:val="20"/>
                <w:lang w:val="bg-BG"/>
              </w:rPr>
              <w:t>Овце - общо, в т. ч.:</w:t>
            </w:r>
          </w:p>
        </w:tc>
        <w:tc>
          <w:tcPr>
            <w:tcW w:w="789" w:type="pct"/>
            <w:tcBorders>
              <w:top w:val="nil"/>
              <w:left w:val="nil"/>
              <w:bottom w:val="single" w:sz="4" w:space="0" w:color="auto"/>
              <w:right w:val="single" w:sz="4" w:space="0" w:color="auto"/>
            </w:tcBorders>
            <w:shd w:val="clear" w:color="auto" w:fill="auto"/>
            <w:noWrap/>
            <w:vAlign w:val="center"/>
          </w:tcPr>
          <w:p w14:paraId="454628E4" w14:textId="77777777" w:rsidR="008D0238" w:rsidRPr="008D0238" w:rsidRDefault="008D0238" w:rsidP="008D0238">
            <w:pPr>
              <w:widowControl w:val="0"/>
              <w:jc w:val="right"/>
              <w:rPr>
                <w:rFonts w:ascii="Arial Narrow" w:hAnsi="Arial Narrow" w:cs="Calibri"/>
                <w:sz w:val="20"/>
                <w:szCs w:val="20"/>
              </w:rPr>
            </w:pPr>
            <w:r w:rsidRPr="008D0238">
              <w:rPr>
                <w:rFonts w:ascii="Arial Narrow" w:hAnsi="Arial Narrow" w:cs="Calibri"/>
                <w:sz w:val="20"/>
                <w:szCs w:val="20"/>
              </w:rPr>
              <w:t>1 072 768</w:t>
            </w:r>
          </w:p>
        </w:tc>
        <w:tc>
          <w:tcPr>
            <w:tcW w:w="842" w:type="pct"/>
            <w:tcBorders>
              <w:top w:val="nil"/>
              <w:left w:val="single" w:sz="4" w:space="0" w:color="auto"/>
              <w:bottom w:val="single" w:sz="4" w:space="0" w:color="auto"/>
              <w:right w:val="single" w:sz="4" w:space="0" w:color="auto"/>
            </w:tcBorders>
            <w:shd w:val="clear" w:color="auto" w:fill="auto"/>
            <w:noWrap/>
            <w:vAlign w:val="center"/>
          </w:tcPr>
          <w:p w14:paraId="2F9B8780" w14:textId="77777777" w:rsidR="008D0238" w:rsidRPr="008D0238" w:rsidRDefault="008D0238" w:rsidP="008D0238">
            <w:pPr>
              <w:widowControl w:val="0"/>
              <w:jc w:val="right"/>
              <w:rPr>
                <w:rFonts w:ascii="Arial Narrow" w:hAnsi="Arial Narrow" w:cs="Calibri"/>
                <w:sz w:val="20"/>
                <w:szCs w:val="20"/>
              </w:rPr>
            </w:pPr>
            <w:r w:rsidRPr="008D0238">
              <w:rPr>
                <w:rFonts w:ascii="Arial Narrow" w:hAnsi="Arial Narrow" w:cs="Calibri"/>
                <w:sz w:val="20"/>
                <w:szCs w:val="20"/>
              </w:rPr>
              <w:t>1 016 698</w:t>
            </w:r>
          </w:p>
        </w:tc>
        <w:tc>
          <w:tcPr>
            <w:tcW w:w="841" w:type="pct"/>
            <w:tcBorders>
              <w:top w:val="nil"/>
              <w:left w:val="nil"/>
              <w:bottom w:val="single" w:sz="4" w:space="0" w:color="auto"/>
              <w:right w:val="single" w:sz="4" w:space="0" w:color="auto"/>
            </w:tcBorders>
            <w:shd w:val="clear" w:color="auto" w:fill="auto"/>
            <w:noWrap/>
            <w:vAlign w:val="center"/>
          </w:tcPr>
          <w:p w14:paraId="7CA9F6B7" w14:textId="77777777" w:rsidR="008D0238" w:rsidRPr="008D0238" w:rsidRDefault="008D0238" w:rsidP="008D0238">
            <w:pPr>
              <w:widowControl w:val="0"/>
              <w:jc w:val="right"/>
              <w:rPr>
                <w:rFonts w:ascii="Arial Narrow" w:hAnsi="Arial Narrow" w:cs="Calibri"/>
                <w:sz w:val="20"/>
                <w:szCs w:val="20"/>
              </w:rPr>
            </w:pPr>
            <w:r w:rsidRPr="008D0238">
              <w:rPr>
                <w:rFonts w:ascii="Arial Narrow" w:hAnsi="Arial Narrow" w:cs="Calibri"/>
                <w:sz w:val="20"/>
                <w:szCs w:val="20"/>
              </w:rPr>
              <w:t>-5,2%</w:t>
            </w:r>
          </w:p>
        </w:tc>
      </w:tr>
      <w:tr w:rsidR="008D0238" w:rsidRPr="008D0238" w14:paraId="3F61E0BD" w14:textId="77777777" w:rsidTr="00725099">
        <w:trPr>
          <w:trHeight w:val="308"/>
        </w:trPr>
        <w:tc>
          <w:tcPr>
            <w:tcW w:w="2528" w:type="pct"/>
            <w:shd w:val="clear" w:color="auto" w:fill="auto"/>
            <w:noWrap/>
            <w:vAlign w:val="center"/>
            <w:hideMark/>
          </w:tcPr>
          <w:p w14:paraId="5B7BF4F3" w14:textId="77777777" w:rsidR="008D0238" w:rsidRPr="008D0238" w:rsidRDefault="008D0238" w:rsidP="008D0238">
            <w:pPr>
              <w:widowControl w:val="0"/>
              <w:ind w:left="170"/>
              <w:rPr>
                <w:rFonts w:ascii="Arial Narrow" w:hAnsi="Arial Narrow" w:cs="Calibri"/>
                <w:sz w:val="20"/>
                <w:szCs w:val="20"/>
                <w:lang w:val="bg-BG"/>
              </w:rPr>
            </w:pPr>
            <w:r w:rsidRPr="008D0238">
              <w:rPr>
                <w:rFonts w:ascii="Arial Narrow" w:hAnsi="Arial Narrow" w:cs="Calibri"/>
                <w:sz w:val="20"/>
                <w:szCs w:val="20"/>
                <w:lang w:val="bg-BG"/>
              </w:rPr>
              <w:t>овце майки - общо, в т. ч.:</w:t>
            </w:r>
          </w:p>
        </w:tc>
        <w:tc>
          <w:tcPr>
            <w:tcW w:w="789" w:type="pct"/>
            <w:tcBorders>
              <w:top w:val="nil"/>
              <w:left w:val="nil"/>
              <w:bottom w:val="single" w:sz="4" w:space="0" w:color="auto"/>
              <w:right w:val="single" w:sz="4" w:space="0" w:color="auto"/>
            </w:tcBorders>
            <w:shd w:val="clear" w:color="auto" w:fill="auto"/>
            <w:noWrap/>
            <w:vAlign w:val="center"/>
          </w:tcPr>
          <w:p w14:paraId="3D70E6D8" w14:textId="77777777" w:rsidR="008D0238" w:rsidRPr="008D0238" w:rsidRDefault="008D0238" w:rsidP="008D0238">
            <w:pPr>
              <w:widowControl w:val="0"/>
              <w:jc w:val="right"/>
              <w:rPr>
                <w:rFonts w:ascii="Arial Narrow" w:hAnsi="Arial Narrow" w:cs="Calibri"/>
                <w:sz w:val="20"/>
                <w:szCs w:val="20"/>
              </w:rPr>
            </w:pPr>
            <w:r w:rsidRPr="008D0238">
              <w:rPr>
                <w:rFonts w:ascii="Arial Narrow" w:hAnsi="Arial Narrow" w:cs="Calibri"/>
                <w:sz w:val="20"/>
                <w:szCs w:val="20"/>
              </w:rPr>
              <w:t>901 209</w:t>
            </w:r>
          </w:p>
        </w:tc>
        <w:tc>
          <w:tcPr>
            <w:tcW w:w="842" w:type="pct"/>
            <w:tcBorders>
              <w:top w:val="nil"/>
              <w:left w:val="single" w:sz="4" w:space="0" w:color="auto"/>
              <w:bottom w:val="single" w:sz="4" w:space="0" w:color="auto"/>
              <w:right w:val="single" w:sz="4" w:space="0" w:color="auto"/>
            </w:tcBorders>
            <w:shd w:val="clear" w:color="auto" w:fill="auto"/>
            <w:noWrap/>
            <w:vAlign w:val="center"/>
          </w:tcPr>
          <w:p w14:paraId="2F54BAC5" w14:textId="77777777" w:rsidR="008D0238" w:rsidRPr="008D0238" w:rsidRDefault="008D0238" w:rsidP="008D0238">
            <w:pPr>
              <w:widowControl w:val="0"/>
              <w:jc w:val="right"/>
              <w:rPr>
                <w:rFonts w:ascii="Arial Narrow" w:hAnsi="Arial Narrow" w:cs="Calibri"/>
                <w:sz w:val="20"/>
                <w:szCs w:val="20"/>
              </w:rPr>
            </w:pPr>
            <w:r w:rsidRPr="008D0238">
              <w:rPr>
                <w:rFonts w:ascii="Arial Narrow" w:hAnsi="Arial Narrow" w:cs="Calibri"/>
                <w:sz w:val="20"/>
                <w:szCs w:val="20"/>
              </w:rPr>
              <w:t>862 929</w:t>
            </w:r>
          </w:p>
        </w:tc>
        <w:tc>
          <w:tcPr>
            <w:tcW w:w="841" w:type="pct"/>
            <w:tcBorders>
              <w:top w:val="nil"/>
              <w:left w:val="nil"/>
              <w:bottom w:val="single" w:sz="4" w:space="0" w:color="auto"/>
              <w:right w:val="single" w:sz="4" w:space="0" w:color="auto"/>
            </w:tcBorders>
            <w:shd w:val="clear" w:color="auto" w:fill="auto"/>
            <w:noWrap/>
            <w:vAlign w:val="center"/>
          </w:tcPr>
          <w:p w14:paraId="608DEA49" w14:textId="77777777" w:rsidR="008D0238" w:rsidRPr="008D0238" w:rsidRDefault="008D0238" w:rsidP="008D0238">
            <w:pPr>
              <w:widowControl w:val="0"/>
              <w:jc w:val="right"/>
              <w:rPr>
                <w:rFonts w:ascii="Arial Narrow" w:hAnsi="Arial Narrow" w:cs="Calibri"/>
                <w:sz w:val="20"/>
                <w:szCs w:val="20"/>
              </w:rPr>
            </w:pPr>
            <w:r w:rsidRPr="008D0238">
              <w:rPr>
                <w:rFonts w:ascii="Arial Narrow" w:hAnsi="Arial Narrow" w:cs="Calibri"/>
                <w:sz w:val="20"/>
                <w:szCs w:val="20"/>
              </w:rPr>
              <w:t>-4,2%</w:t>
            </w:r>
          </w:p>
        </w:tc>
      </w:tr>
      <w:tr w:rsidR="008D0238" w:rsidRPr="008D0238" w14:paraId="0C28CCBB" w14:textId="77777777" w:rsidTr="00725099">
        <w:trPr>
          <w:trHeight w:val="308"/>
        </w:trPr>
        <w:tc>
          <w:tcPr>
            <w:tcW w:w="2528" w:type="pct"/>
            <w:shd w:val="clear" w:color="auto" w:fill="auto"/>
            <w:noWrap/>
            <w:vAlign w:val="center"/>
            <w:hideMark/>
          </w:tcPr>
          <w:p w14:paraId="28F793EB" w14:textId="77777777" w:rsidR="008D0238" w:rsidRPr="008D0238" w:rsidRDefault="008D0238" w:rsidP="008D0238">
            <w:pPr>
              <w:widowControl w:val="0"/>
              <w:ind w:left="170"/>
              <w:rPr>
                <w:rFonts w:ascii="Arial Narrow" w:hAnsi="Arial Narrow" w:cs="Calibri"/>
                <w:sz w:val="20"/>
                <w:szCs w:val="20"/>
                <w:lang w:val="bg-BG"/>
              </w:rPr>
            </w:pPr>
            <w:r w:rsidRPr="008D0238">
              <w:rPr>
                <w:rFonts w:ascii="Arial Narrow" w:hAnsi="Arial Narrow" w:cs="Calibri"/>
                <w:sz w:val="20"/>
                <w:szCs w:val="20"/>
                <w:lang w:val="bg-BG"/>
              </w:rPr>
              <w:t>- млечни овце майки</w:t>
            </w:r>
          </w:p>
        </w:tc>
        <w:tc>
          <w:tcPr>
            <w:tcW w:w="789" w:type="pct"/>
            <w:tcBorders>
              <w:top w:val="nil"/>
              <w:left w:val="nil"/>
              <w:bottom w:val="single" w:sz="4" w:space="0" w:color="auto"/>
              <w:right w:val="single" w:sz="4" w:space="0" w:color="auto"/>
            </w:tcBorders>
            <w:shd w:val="clear" w:color="auto" w:fill="auto"/>
            <w:noWrap/>
            <w:vAlign w:val="center"/>
          </w:tcPr>
          <w:p w14:paraId="3CF26F5E" w14:textId="77777777" w:rsidR="008D0238" w:rsidRPr="008D0238" w:rsidRDefault="008D0238" w:rsidP="008D0238">
            <w:pPr>
              <w:widowControl w:val="0"/>
              <w:jc w:val="right"/>
              <w:rPr>
                <w:rFonts w:ascii="Arial Narrow" w:hAnsi="Arial Narrow" w:cs="Calibri"/>
                <w:sz w:val="20"/>
                <w:szCs w:val="20"/>
              </w:rPr>
            </w:pPr>
            <w:r w:rsidRPr="008D0238">
              <w:rPr>
                <w:rFonts w:ascii="Arial Narrow" w:hAnsi="Arial Narrow" w:cs="Calibri"/>
                <w:sz w:val="20"/>
                <w:szCs w:val="20"/>
              </w:rPr>
              <w:t>718 303</w:t>
            </w:r>
          </w:p>
        </w:tc>
        <w:tc>
          <w:tcPr>
            <w:tcW w:w="842" w:type="pct"/>
            <w:tcBorders>
              <w:top w:val="nil"/>
              <w:left w:val="single" w:sz="4" w:space="0" w:color="auto"/>
              <w:bottom w:val="single" w:sz="4" w:space="0" w:color="auto"/>
              <w:right w:val="single" w:sz="4" w:space="0" w:color="auto"/>
            </w:tcBorders>
            <w:shd w:val="clear" w:color="auto" w:fill="auto"/>
            <w:noWrap/>
            <w:vAlign w:val="center"/>
          </w:tcPr>
          <w:p w14:paraId="3BA7508D" w14:textId="77777777" w:rsidR="008D0238" w:rsidRPr="008D0238" w:rsidRDefault="008D0238" w:rsidP="008D0238">
            <w:pPr>
              <w:widowControl w:val="0"/>
              <w:jc w:val="right"/>
              <w:rPr>
                <w:rFonts w:ascii="Arial Narrow" w:hAnsi="Arial Narrow" w:cs="Calibri"/>
                <w:sz w:val="20"/>
                <w:szCs w:val="20"/>
              </w:rPr>
            </w:pPr>
            <w:r w:rsidRPr="008D0238">
              <w:rPr>
                <w:rFonts w:ascii="Arial Narrow" w:hAnsi="Arial Narrow" w:cs="Calibri"/>
                <w:sz w:val="20"/>
                <w:szCs w:val="20"/>
              </w:rPr>
              <w:t>649 185</w:t>
            </w:r>
          </w:p>
        </w:tc>
        <w:tc>
          <w:tcPr>
            <w:tcW w:w="841" w:type="pct"/>
            <w:tcBorders>
              <w:top w:val="nil"/>
              <w:left w:val="nil"/>
              <w:bottom w:val="single" w:sz="4" w:space="0" w:color="auto"/>
              <w:right w:val="single" w:sz="4" w:space="0" w:color="auto"/>
            </w:tcBorders>
            <w:shd w:val="clear" w:color="auto" w:fill="auto"/>
            <w:noWrap/>
            <w:vAlign w:val="center"/>
          </w:tcPr>
          <w:p w14:paraId="1CC9FE2D" w14:textId="77777777" w:rsidR="008D0238" w:rsidRPr="008D0238" w:rsidRDefault="008D0238" w:rsidP="008D0238">
            <w:pPr>
              <w:widowControl w:val="0"/>
              <w:jc w:val="right"/>
              <w:rPr>
                <w:rFonts w:ascii="Arial Narrow" w:hAnsi="Arial Narrow" w:cs="Calibri"/>
                <w:sz w:val="20"/>
                <w:szCs w:val="20"/>
              </w:rPr>
            </w:pPr>
            <w:r w:rsidRPr="008D0238">
              <w:rPr>
                <w:rFonts w:ascii="Arial Narrow" w:hAnsi="Arial Narrow" w:cs="Calibri"/>
                <w:sz w:val="20"/>
                <w:szCs w:val="20"/>
              </w:rPr>
              <w:t>-9,6%</w:t>
            </w:r>
          </w:p>
        </w:tc>
      </w:tr>
      <w:tr w:rsidR="008D0238" w:rsidRPr="008D0238" w14:paraId="71EA023D" w14:textId="77777777" w:rsidTr="00725099">
        <w:trPr>
          <w:trHeight w:val="308"/>
        </w:trPr>
        <w:tc>
          <w:tcPr>
            <w:tcW w:w="2528" w:type="pct"/>
            <w:shd w:val="clear" w:color="auto" w:fill="auto"/>
            <w:noWrap/>
            <w:vAlign w:val="center"/>
            <w:hideMark/>
          </w:tcPr>
          <w:p w14:paraId="1442E73F" w14:textId="77777777" w:rsidR="008D0238" w:rsidRPr="008D0238" w:rsidRDefault="008D0238" w:rsidP="008D0238">
            <w:pPr>
              <w:widowControl w:val="0"/>
              <w:ind w:left="170"/>
              <w:rPr>
                <w:rFonts w:ascii="Arial Narrow" w:hAnsi="Arial Narrow" w:cs="Calibri"/>
                <w:sz w:val="20"/>
                <w:szCs w:val="20"/>
                <w:lang w:val="bg-BG"/>
              </w:rPr>
            </w:pPr>
            <w:r w:rsidRPr="008D0238">
              <w:rPr>
                <w:rFonts w:ascii="Arial Narrow" w:hAnsi="Arial Narrow" w:cs="Calibri"/>
                <w:sz w:val="20"/>
                <w:szCs w:val="20"/>
                <w:lang w:val="bg-BG"/>
              </w:rPr>
              <w:t>- месодайни овце майки</w:t>
            </w:r>
          </w:p>
        </w:tc>
        <w:tc>
          <w:tcPr>
            <w:tcW w:w="789" w:type="pct"/>
            <w:tcBorders>
              <w:top w:val="nil"/>
              <w:left w:val="nil"/>
              <w:bottom w:val="single" w:sz="4" w:space="0" w:color="auto"/>
              <w:right w:val="single" w:sz="4" w:space="0" w:color="auto"/>
            </w:tcBorders>
            <w:shd w:val="clear" w:color="auto" w:fill="auto"/>
            <w:noWrap/>
            <w:vAlign w:val="center"/>
          </w:tcPr>
          <w:p w14:paraId="65AE1009" w14:textId="77777777" w:rsidR="008D0238" w:rsidRPr="008D0238" w:rsidRDefault="008D0238" w:rsidP="008D0238">
            <w:pPr>
              <w:widowControl w:val="0"/>
              <w:jc w:val="right"/>
              <w:rPr>
                <w:rFonts w:ascii="Arial Narrow" w:hAnsi="Arial Narrow" w:cs="Calibri"/>
                <w:sz w:val="20"/>
                <w:szCs w:val="20"/>
              </w:rPr>
            </w:pPr>
            <w:r w:rsidRPr="008D0238">
              <w:rPr>
                <w:rFonts w:ascii="Arial Narrow" w:hAnsi="Arial Narrow" w:cs="Calibri"/>
                <w:sz w:val="20"/>
                <w:szCs w:val="20"/>
              </w:rPr>
              <w:t>182 906</w:t>
            </w:r>
          </w:p>
        </w:tc>
        <w:tc>
          <w:tcPr>
            <w:tcW w:w="842" w:type="pct"/>
            <w:tcBorders>
              <w:top w:val="nil"/>
              <w:left w:val="single" w:sz="4" w:space="0" w:color="auto"/>
              <w:bottom w:val="single" w:sz="4" w:space="0" w:color="auto"/>
              <w:right w:val="single" w:sz="4" w:space="0" w:color="auto"/>
            </w:tcBorders>
            <w:shd w:val="clear" w:color="auto" w:fill="auto"/>
            <w:noWrap/>
            <w:vAlign w:val="center"/>
          </w:tcPr>
          <w:p w14:paraId="61AA134B" w14:textId="77777777" w:rsidR="008D0238" w:rsidRPr="008D0238" w:rsidRDefault="008D0238" w:rsidP="008D0238">
            <w:pPr>
              <w:widowControl w:val="0"/>
              <w:jc w:val="right"/>
              <w:rPr>
                <w:rFonts w:ascii="Arial Narrow" w:hAnsi="Arial Narrow" w:cs="Calibri"/>
                <w:sz w:val="20"/>
                <w:szCs w:val="20"/>
              </w:rPr>
            </w:pPr>
            <w:r w:rsidRPr="008D0238">
              <w:rPr>
                <w:rFonts w:ascii="Arial Narrow" w:hAnsi="Arial Narrow" w:cs="Calibri"/>
                <w:sz w:val="20"/>
                <w:szCs w:val="20"/>
              </w:rPr>
              <w:t>213 744</w:t>
            </w:r>
          </w:p>
        </w:tc>
        <w:tc>
          <w:tcPr>
            <w:tcW w:w="841" w:type="pct"/>
            <w:tcBorders>
              <w:top w:val="nil"/>
              <w:left w:val="nil"/>
              <w:bottom w:val="single" w:sz="4" w:space="0" w:color="auto"/>
              <w:right w:val="single" w:sz="4" w:space="0" w:color="auto"/>
            </w:tcBorders>
            <w:shd w:val="clear" w:color="auto" w:fill="auto"/>
            <w:noWrap/>
            <w:vAlign w:val="center"/>
          </w:tcPr>
          <w:p w14:paraId="54B2FEE9" w14:textId="77777777" w:rsidR="008D0238" w:rsidRPr="008D0238" w:rsidRDefault="008D0238" w:rsidP="008D0238">
            <w:pPr>
              <w:widowControl w:val="0"/>
              <w:jc w:val="right"/>
              <w:rPr>
                <w:rFonts w:ascii="Arial Narrow" w:hAnsi="Arial Narrow" w:cs="Calibri"/>
                <w:sz w:val="20"/>
                <w:szCs w:val="20"/>
              </w:rPr>
            </w:pPr>
            <w:r w:rsidRPr="008D0238">
              <w:rPr>
                <w:rFonts w:ascii="Arial Narrow" w:hAnsi="Arial Narrow" w:cs="Calibri"/>
                <w:sz w:val="20"/>
                <w:szCs w:val="20"/>
              </w:rPr>
              <w:t>16,9%</w:t>
            </w:r>
          </w:p>
        </w:tc>
      </w:tr>
      <w:tr w:rsidR="008D0238" w:rsidRPr="008D0238" w14:paraId="3317B9E9" w14:textId="77777777" w:rsidTr="00725099">
        <w:trPr>
          <w:trHeight w:val="308"/>
        </w:trPr>
        <w:tc>
          <w:tcPr>
            <w:tcW w:w="2528" w:type="pct"/>
            <w:shd w:val="clear" w:color="auto" w:fill="auto"/>
            <w:noWrap/>
            <w:vAlign w:val="center"/>
            <w:hideMark/>
          </w:tcPr>
          <w:p w14:paraId="3964D6F2" w14:textId="77777777" w:rsidR="008D0238" w:rsidRPr="008D0238" w:rsidRDefault="008D0238" w:rsidP="008D0238">
            <w:pPr>
              <w:widowControl w:val="0"/>
              <w:rPr>
                <w:rFonts w:ascii="Arial Narrow" w:hAnsi="Arial Narrow" w:cs="Calibri"/>
                <w:sz w:val="20"/>
                <w:szCs w:val="20"/>
                <w:lang w:val="bg-BG"/>
              </w:rPr>
            </w:pPr>
            <w:r w:rsidRPr="008D0238">
              <w:rPr>
                <w:rFonts w:ascii="Arial Narrow" w:hAnsi="Arial Narrow" w:cs="Calibri"/>
                <w:sz w:val="20"/>
                <w:szCs w:val="20"/>
                <w:lang w:val="bg-BG"/>
              </w:rPr>
              <w:t>Кози - общо, в т. ч.:</w:t>
            </w:r>
          </w:p>
        </w:tc>
        <w:tc>
          <w:tcPr>
            <w:tcW w:w="789" w:type="pct"/>
            <w:tcBorders>
              <w:top w:val="nil"/>
              <w:left w:val="nil"/>
              <w:bottom w:val="single" w:sz="4" w:space="0" w:color="auto"/>
              <w:right w:val="single" w:sz="4" w:space="0" w:color="auto"/>
            </w:tcBorders>
            <w:shd w:val="clear" w:color="auto" w:fill="auto"/>
            <w:noWrap/>
            <w:vAlign w:val="center"/>
          </w:tcPr>
          <w:p w14:paraId="6C96D442" w14:textId="77777777" w:rsidR="008D0238" w:rsidRPr="008D0238" w:rsidRDefault="008D0238" w:rsidP="008D0238">
            <w:pPr>
              <w:widowControl w:val="0"/>
              <w:jc w:val="right"/>
              <w:rPr>
                <w:rFonts w:ascii="Arial Narrow" w:hAnsi="Arial Narrow" w:cs="Calibri"/>
                <w:sz w:val="20"/>
                <w:szCs w:val="20"/>
              </w:rPr>
            </w:pPr>
            <w:r w:rsidRPr="008D0238">
              <w:rPr>
                <w:rFonts w:ascii="Arial Narrow" w:hAnsi="Arial Narrow" w:cs="Calibri"/>
                <w:sz w:val="20"/>
                <w:szCs w:val="20"/>
              </w:rPr>
              <w:t>174 952</w:t>
            </w:r>
          </w:p>
        </w:tc>
        <w:tc>
          <w:tcPr>
            <w:tcW w:w="842" w:type="pct"/>
            <w:tcBorders>
              <w:top w:val="nil"/>
              <w:left w:val="single" w:sz="4" w:space="0" w:color="auto"/>
              <w:bottom w:val="single" w:sz="4" w:space="0" w:color="auto"/>
              <w:right w:val="single" w:sz="4" w:space="0" w:color="auto"/>
            </w:tcBorders>
            <w:shd w:val="clear" w:color="auto" w:fill="auto"/>
            <w:noWrap/>
            <w:vAlign w:val="center"/>
          </w:tcPr>
          <w:p w14:paraId="7159D9B7" w14:textId="77777777" w:rsidR="008D0238" w:rsidRPr="008D0238" w:rsidRDefault="008D0238" w:rsidP="008D0238">
            <w:pPr>
              <w:widowControl w:val="0"/>
              <w:jc w:val="right"/>
              <w:rPr>
                <w:rFonts w:ascii="Arial Narrow" w:hAnsi="Arial Narrow" w:cs="Calibri"/>
                <w:sz w:val="20"/>
                <w:szCs w:val="20"/>
              </w:rPr>
            </w:pPr>
            <w:r w:rsidRPr="008D0238">
              <w:rPr>
                <w:rFonts w:ascii="Arial Narrow" w:hAnsi="Arial Narrow" w:cs="Calibri"/>
                <w:sz w:val="20"/>
                <w:szCs w:val="20"/>
              </w:rPr>
              <w:t>149 999</w:t>
            </w:r>
          </w:p>
        </w:tc>
        <w:tc>
          <w:tcPr>
            <w:tcW w:w="841" w:type="pct"/>
            <w:tcBorders>
              <w:top w:val="nil"/>
              <w:left w:val="nil"/>
              <w:bottom w:val="single" w:sz="4" w:space="0" w:color="auto"/>
              <w:right w:val="single" w:sz="4" w:space="0" w:color="auto"/>
            </w:tcBorders>
            <w:shd w:val="clear" w:color="auto" w:fill="auto"/>
            <w:noWrap/>
            <w:vAlign w:val="center"/>
          </w:tcPr>
          <w:p w14:paraId="1F02377F" w14:textId="77777777" w:rsidR="008D0238" w:rsidRPr="008D0238" w:rsidRDefault="008D0238" w:rsidP="008D0238">
            <w:pPr>
              <w:widowControl w:val="0"/>
              <w:jc w:val="right"/>
              <w:rPr>
                <w:rFonts w:ascii="Arial Narrow" w:hAnsi="Arial Narrow" w:cs="Calibri"/>
                <w:sz w:val="20"/>
                <w:szCs w:val="20"/>
              </w:rPr>
            </w:pPr>
            <w:r w:rsidRPr="008D0238">
              <w:rPr>
                <w:rFonts w:ascii="Arial Narrow" w:hAnsi="Arial Narrow" w:cs="Calibri"/>
                <w:sz w:val="20"/>
                <w:szCs w:val="20"/>
              </w:rPr>
              <w:t>-14,3%</w:t>
            </w:r>
          </w:p>
        </w:tc>
      </w:tr>
      <w:tr w:rsidR="008D0238" w:rsidRPr="008D0238" w14:paraId="01B4D03D" w14:textId="77777777" w:rsidTr="00725099">
        <w:trPr>
          <w:trHeight w:val="308"/>
        </w:trPr>
        <w:tc>
          <w:tcPr>
            <w:tcW w:w="2528" w:type="pct"/>
            <w:shd w:val="clear" w:color="auto" w:fill="auto"/>
            <w:noWrap/>
            <w:vAlign w:val="center"/>
            <w:hideMark/>
          </w:tcPr>
          <w:p w14:paraId="3043F105" w14:textId="77777777" w:rsidR="008D0238" w:rsidRPr="008D0238" w:rsidRDefault="008D0238" w:rsidP="008D0238">
            <w:pPr>
              <w:widowControl w:val="0"/>
              <w:ind w:left="170"/>
              <w:rPr>
                <w:rFonts w:ascii="Arial Narrow" w:hAnsi="Arial Narrow" w:cs="Calibri"/>
                <w:sz w:val="20"/>
                <w:szCs w:val="20"/>
                <w:lang w:val="bg-BG"/>
              </w:rPr>
            </w:pPr>
            <w:r w:rsidRPr="008D0238">
              <w:rPr>
                <w:rFonts w:ascii="Arial Narrow" w:hAnsi="Arial Narrow" w:cs="Calibri"/>
                <w:sz w:val="20"/>
                <w:szCs w:val="20"/>
                <w:lang w:val="bg-BG"/>
              </w:rPr>
              <w:t>Кози майки</w:t>
            </w:r>
          </w:p>
        </w:tc>
        <w:tc>
          <w:tcPr>
            <w:tcW w:w="789" w:type="pct"/>
            <w:tcBorders>
              <w:top w:val="nil"/>
              <w:left w:val="nil"/>
              <w:bottom w:val="single" w:sz="4" w:space="0" w:color="auto"/>
              <w:right w:val="single" w:sz="4" w:space="0" w:color="auto"/>
            </w:tcBorders>
            <w:shd w:val="clear" w:color="auto" w:fill="auto"/>
            <w:noWrap/>
            <w:vAlign w:val="center"/>
          </w:tcPr>
          <w:p w14:paraId="39820A55" w14:textId="77777777" w:rsidR="008D0238" w:rsidRPr="008D0238" w:rsidRDefault="008D0238" w:rsidP="008D0238">
            <w:pPr>
              <w:widowControl w:val="0"/>
              <w:jc w:val="right"/>
              <w:rPr>
                <w:rFonts w:ascii="Arial Narrow" w:hAnsi="Arial Narrow" w:cs="Calibri"/>
                <w:sz w:val="20"/>
                <w:szCs w:val="20"/>
              </w:rPr>
            </w:pPr>
            <w:r w:rsidRPr="008D0238">
              <w:rPr>
                <w:rFonts w:ascii="Arial Narrow" w:hAnsi="Arial Narrow" w:cs="Calibri"/>
                <w:sz w:val="20"/>
                <w:szCs w:val="20"/>
              </w:rPr>
              <w:t>145 265</w:t>
            </w:r>
          </w:p>
        </w:tc>
        <w:tc>
          <w:tcPr>
            <w:tcW w:w="842" w:type="pct"/>
            <w:tcBorders>
              <w:top w:val="nil"/>
              <w:left w:val="single" w:sz="4" w:space="0" w:color="auto"/>
              <w:bottom w:val="single" w:sz="4" w:space="0" w:color="auto"/>
              <w:right w:val="single" w:sz="4" w:space="0" w:color="auto"/>
            </w:tcBorders>
            <w:shd w:val="clear" w:color="auto" w:fill="auto"/>
            <w:noWrap/>
            <w:vAlign w:val="center"/>
          </w:tcPr>
          <w:p w14:paraId="4CD33D96" w14:textId="77777777" w:rsidR="008D0238" w:rsidRPr="008D0238" w:rsidRDefault="008D0238" w:rsidP="008D0238">
            <w:pPr>
              <w:widowControl w:val="0"/>
              <w:jc w:val="right"/>
              <w:rPr>
                <w:rFonts w:ascii="Arial Narrow" w:hAnsi="Arial Narrow" w:cs="Calibri"/>
                <w:sz w:val="20"/>
                <w:szCs w:val="20"/>
              </w:rPr>
            </w:pPr>
            <w:r w:rsidRPr="008D0238">
              <w:rPr>
                <w:rFonts w:ascii="Arial Narrow" w:hAnsi="Arial Narrow" w:cs="Calibri"/>
                <w:sz w:val="20"/>
                <w:szCs w:val="20"/>
              </w:rPr>
              <w:t>127 774</w:t>
            </w:r>
          </w:p>
        </w:tc>
        <w:tc>
          <w:tcPr>
            <w:tcW w:w="841" w:type="pct"/>
            <w:tcBorders>
              <w:top w:val="nil"/>
              <w:left w:val="nil"/>
              <w:bottom w:val="single" w:sz="4" w:space="0" w:color="auto"/>
              <w:right w:val="single" w:sz="4" w:space="0" w:color="auto"/>
            </w:tcBorders>
            <w:shd w:val="clear" w:color="auto" w:fill="auto"/>
            <w:noWrap/>
            <w:vAlign w:val="center"/>
          </w:tcPr>
          <w:p w14:paraId="5EEE941C" w14:textId="77777777" w:rsidR="008D0238" w:rsidRPr="008D0238" w:rsidRDefault="008D0238" w:rsidP="008D0238">
            <w:pPr>
              <w:widowControl w:val="0"/>
              <w:jc w:val="right"/>
              <w:rPr>
                <w:rFonts w:ascii="Arial Narrow" w:hAnsi="Arial Narrow" w:cs="Calibri"/>
                <w:sz w:val="20"/>
                <w:szCs w:val="20"/>
              </w:rPr>
            </w:pPr>
            <w:r w:rsidRPr="008D0238">
              <w:rPr>
                <w:rFonts w:ascii="Arial Narrow" w:hAnsi="Arial Narrow" w:cs="Calibri"/>
                <w:sz w:val="20"/>
                <w:szCs w:val="20"/>
              </w:rPr>
              <w:t>-12,0%</w:t>
            </w:r>
          </w:p>
        </w:tc>
      </w:tr>
      <w:tr w:rsidR="008D0238" w:rsidRPr="008D0238" w14:paraId="773080EF" w14:textId="77777777" w:rsidTr="00725099">
        <w:trPr>
          <w:trHeight w:val="308"/>
        </w:trPr>
        <w:tc>
          <w:tcPr>
            <w:tcW w:w="2528" w:type="pct"/>
            <w:shd w:val="clear" w:color="auto" w:fill="auto"/>
            <w:noWrap/>
            <w:vAlign w:val="center"/>
            <w:hideMark/>
          </w:tcPr>
          <w:p w14:paraId="10A57460" w14:textId="77777777" w:rsidR="008D0238" w:rsidRPr="008D0238" w:rsidRDefault="008D0238" w:rsidP="008D0238">
            <w:pPr>
              <w:widowControl w:val="0"/>
              <w:rPr>
                <w:rFonts w:ascii="Arial Narrow" w:hAnsi="Arial Narrow" w:cs="Calibri"/>
                <w:sz w:val="20"/>
                <w:szCs w:val="20"/>
                <w:lang w:val="bg-BG"/>
              </w:rPr>
            </w:pPr>
            <w:r w:rsidRPr="008D0238">
              <w:rPr>
                <w:rFonts w:ascii="Arial Narrow" w:hAnsi="Arial Narrow" w:cs="Calibri"/>
                <w:sz w:val="20"/>
                <w:szCs w:val="20"/>
                <w:lang w:val="bg-BG"/>
              </w:rPr>
              <w:t>Свине - общо, в т.ч.:</w:t>
            </w:r>
          </w:p>
        </w:tc>
        <w:tc>
          <w:tcPr>
            <w:tcW w:w="789" w:type="pct"/>
            <w:tcBorders>
              <w:top w:val="nil"/>
              <w:left w:val="nil"/>
              <w:bottom w:val="single" w:sz="4" w:space="0" w:color="auto"/>
              <w:right w:val="single" w:sz="4" w:space="0" w:color="auto"/>
            </w:tcBorders>
            <w:shd w:val="clear" w:color="auto" w:fill="auto"/>
            <w:noWrap/>
            <w:vAlign w:val="center"/>
          </w:tcPr>
          <w:p w14:paraId="366E53E8" w14:textId="77777777" w:rsidR="008D0238" w:rsidRPr="008D0238" w:rsidRDefault="008D0238" w:rsidP="008D0238">
            <w:pPr>
              <w:widowControl w:val="0"/>
              <w:jc w:val="right"/>
              <w:rPr>
                <w:rFonts w:ascii="Arial Narrow" w:hAnsi="Arial Narrow" w:cs="Calibri"/>
                <w:sz w:val="20"/>
                <w:szCs w:val="20"/>
              </w:rPr>
            </w:pPr>
            <w:r w:rsidRPr="008D0238">
              <w:rPr>
                <w:rFonts w:ascii="Arial Narrow" w:hAnsi="Arial Narrow" w:cs="Calibri"/>
                <w:sz w:val="20"/>
                <w:szCs w:val="20"/>
              </w:rPr>
              <w:t>724 745</w:t>
            </w:r>
          </w:p>
        </w:tc>
        <w:tc>
          <w:tcPr>
            <w:tcW w:w="842" w:type="pct"/>
            <w:tcBorders>
              <w:top w:val="nil"/>
              <w:left w:val="single" w:sz="4" w:space="0" w:color="auto"/>
              <w:bottom w:val="single" w:sz="4" w:space="0" w:color="auto"/>
              <w:right w:val="single" w:sz="4" w:space="0" w:color="auto"/>
            </w:tcBorders>
            <w:shd w:val="clear" w:color="auto" w:fill="auto"/>
            <w:noWrap/>
            <w:vAlign w:val="center"/>
          </w:tcPr>
          <w:p w14:paraId="4195AB45" w14:textId="77777777" w:rsidR="008D0238" w:rsidRPr="008D0238" w:rsidRDefault="008D0238" w:rsidP="008D0238">
            <w:pPr>
              <w:widowControl w:val="0"/>
              <w:jc w:val="right"/>
              <w:rPr>
                <w:rFonts w:ascii="Arial Narrow" w:hAnsi="Arial Narrow" w:cs="Calibri"/>
                <w:sz w:val="20"/>
                <w:szCs w:val="20"/>
              </w:rPr>
            </w:pPr>
            <w:r w:rsidRPr="008D0238">
              <w:rPr>
                <w:rFonts w:ascii="Arial Narrow" w:hAnsi="Arial Narrow" w:cs="Calibri"/>
                <w:sz w:val="20"/>
                <w:szCs w:val="20"/>
              </w:rPr>
              <w:t>700 779</w:t>
            </w:r>
          </w:p>
        </w:tc>
        <w:tc>
          <w:tcPr>
            <w:tcW w:w="841" w:type="pct"/>
            <w:tcBorders>
              <w:top w:val="nil"/>
              <w:left w:val="nil"/>
              <w:bottom w:val="single" w:sz="4" w:space="0" w:color="auto"/>
              <w:right w:val="single" w:sz="4" w:space="0" w:color="auto"/>
            </w:tcBorders>
            <w:shd w:val="clear" w:color="auto" w:fill="auto"/>
            <w:noWrap/>
            <w:vAlign w:val="center"/>
          </w:tcPr>
          <w:p w14:paraId="25D8548E" w14:textId="77777777" w:rsidR="008D0238" w:rsidRPr="008D0238" w:rsidRDefault="008D0238" w:rsidP="008D0238">
            <w:pPr>
              <w:widowControl w:val="0"/>
              <w:jc w:val="right"/>
              <w:rPr>
                <w:rFonts w:ascii="Arial Narrow" w:hAnsi="Arial Narrow" w:cs="Calibri"/>
                <w:sz w:val="20"/>
                <w:szCs w:val="20"/>
              </w:rPr>
            </w:pPr>
            <w:r w:rsidRPr="008D0238">
              <w:rPr>
                <w:rFonts w:ascii="Arial Narrow" w:hAnsi="Arial Narrow" w:cs="Calibri"/>
                <w:sz w:val="20"/>
                <w:szCs w:val="20"/>
              </w:rPr>
              <w:t>-3,3%</w:t>
            </w:r>
          </w:p>
        </w:tc>
      </w:tr>
      <w:tr w:rsidR="008D0238" w:rsidRPr="008D0238" w14:paraId="54BA2FAE" w14:textId="77777777" w:rsidTr="00725099">
        <w:trPr>
          <w:trHeight w:val="308"/>
        </w:trPr>
        <w:tc>
          <w:tcPr>
            <w:tcW w:w="2528" w:type="pct"/>
            <w:shd w:val="clear" w:color="auto" w:fill="auto"/>
            <w:noWrap/>
            <w:vAlign w:val="center"/>
            <w:hideMark/>
          </w:tcPr>
          <w:p w14:paraId="1ACF3741" w14:textId="77777777" w:rsidR="008D0238" w:rsidRPr="008D0238" w:rsidRDefault="008D0238" w:rsidP="008D0238">
            <w:pPr>
              <w:widowControl w:val="0"/>
              <w:ind w:left="170"/>
              <w:rPr>
                <w:rFonts w:ascii="Arial Narrow" w:hAnsi="Arial Narrow" w:cs="Calibri"/>
                <w:sz w:val="20"/>
                <w:szCs w:val="20"/>
                <w:lang w:val="bg-BG"/>
              </w:rPr>
            </w:pPr>
            <w:r w:rsidRPr="008D0238">
              <w:rPr>
                <w:rFonts w:ascii="Arial Narrow" w:hAnsi="Arial Narrow" w:cs="Calibri"/>
                <w:sz w:val="20"/>
                <w:szCs w:val="20"/>
                <w:lang w:val="bg-BG"/>
              </w:rPr>
              <w:t>общо разплодни женски свине над 50 кг</w:t>
            </w:r>
          </w:p>
        </w:tc>
        <w:tc>
          <w:tcPr>
            <w:tcW w:w="789" w:type="pct"/>
            <w:tcBorders>
              <w:top w:val="nil"/>
              <w:left w:val="nil"/>
              <w:bottom w:val="single" w:sz="4" w:space="0" w:color="auto"/>
              <w:right w:val="single" w:sz="4" w:space="0" w:color="auto"/>
            </w:tcBorders>
            <w:shd w:val="clear" w:color="auto" w:fill="auto"/>
            <w:noWrap/>
            <w:vAlign w:val="center"/>
          </w:tcPr>
          <w:p w14:paraId="1A8777C8" w14:textId="77777777" w:rsidR="008D0238" w:rsidRPr="008D0238" w:rsidRDefault="008D0238" w:rsidP="008D0238">
            <w:pPr>
              <w:widowControl w:val="0"/>
              <w:jc w:val="right"/>
              <w:rPr>
                <w:rFonts w:ascii="Arial Narrow" w:hAnsi="Arial Narrow" w:cs="Calibri"/>
                <w:sz w:val="20"/>
                <w:szCs w:val="20"/>
              </w:rPr>
            </w:pPr>
            <w:r w:rsidRPr="008D0238">
              <w:rPr>
                <w:rFonts w:ascii="Arial Narrow" w:hAnsi="Arial Narrow" w:cs="Calibri"/>
                <w:sz w:val="20"/>
                <w:szCs w:val="20"/>
              </w:rPr>
              <w:t>79 577</w:t>
            </w:r>
          </w:p>
        </w:tc>
        <w:tc>
          <w:tcPr>
            <w:tcW w:w="842" w:type="pct"/>
            <w:tcBorders>
              <w:top w:val="nil"/>
              <w:left w:val="single" w:sz="4" w:space="0" w:color="auto"/>
              <w:bottom w:val="single" w:sz="4" w:space="0" w:color="auto"/>
              <w:right w:val="single" w:sz="4" w:space="0" w:color="auto"/>
            </w:tcBorders>
            <w:shd w:val="clear" w:color="auto" w:fill="auto"/>
            <w:noWrap/>
            <w:vAlign w:val="center"/>
          </w:tcPr>
          <w:p w14:paraId="5A0AEBDA" w14:textId="77777777" w:rsidR="008D0238" w:rsidRPr="008D0238" w:rsidRDefault="008D0238" w:rsidP="008D0238">
            <w:pPr>
              <w:widowControl w:val="0"/>
              <w:jc w:val="right"/>
              <w:rPr>
                <w:rFonts w:ascii="Arial Narrow" w:hAnsi="Arial Narrow" w:cs="Calibri"/>
                <w:sz w:val="20"/>
                <w:szCs w:val="20"/>
              </w:rPr>
            </w:pPr>
            <w:r w:rsidRPr="008D0238">
              <w:rPr>
                <w:rFonts w:ascii="Arial Narrow" w:hAnsi="Arial Narrow" w:cs="Calibri"/>
                <w:sz w:val="20"/>
                <w:szCs w:val="20"/>
              </w:rPr>
              <w:t>70 359</w:t>
            </w:r>
          </w:p>
        </w:tc>
        <w:tc>
          <w:tcPr>
            <w:tcW w:w="841" w:type="pct"/>
            <w:tcBorders>
              <w:top w:val="nil"/>
              <w:left w:val="nil"/>
              <w:bottom w:val="single" w:sz="4" w:space="0" w:color="auto"/>
              <w:right w:val="single" w:sz="4" w:space="0" w:color="auto"/>
            </w:tcBorders>
            <w:shd w:val="clear" w:color="auto" w:fill="auto"/>
            <w:noWrap/>
            <w:vAlign w:val="center"/>
          </w:tcPr>
          <w:p w14:paraId="7006ECE0" w14:textId="77777777" w:rsidR="008D0238" w:rsidRPr="008D0238" w:rsidRDefault="008D0238" w:rsidP="008D0238">
            <w:pPr>
              <w:widowControl w:val="0"/>
              <w:jc w:val="right"/>
              <w:rPr>
                <w:rFonts w:ascii="Arial Narrow" w:hAnsi="Arial Narrow" w:cs="Calibri"/>
                <w:sz w:val="20"/>
                <w:szCs w:val="20"/>
              </w:rPr>
            </w:pPr>
            <w:r w:rsidRPr="008D0238">
              <w:rPr>
                <w:rFonts w:ascii="Arial Narrow" w:hAnsi="Arial Narrow" w:cs="Calibri"/>
                <w:sz w:val="20"/>
                <w:szCs w:val="20"/>
              </w:rPr>
              <w:t>-11,6%</w:t>
            </w:r>
          </w:p>
        </w:tc>
      </w:tr>
      <w:tr w:rsidR="008D0238" w:rsidRPr="008D0238" w14:paraId="16042F5A" w14:textId="77777777" w:rsidTr="00725099">
        <w:trPr>
          <w:trHeight w:val="308"/>
        </w:trPr>
        <w:tc>
          <w:tcPr>
            <w:tcW w:w="2528" w:type="pct"/>
            <w:shd w:val="clear" w:color="auto" w:fill="auto"/>
            <w:noWrap/>
            <w:vAlign w:val="center"/>
            <w:hideMark/>
          </w:tcPr>
          <w:p w14:paraId="05C40C0B" w14:textId="77777777" w:rsidR="008D0238" w:rsidRPr="008D0238" w:rsidRDefault="008D0238" w:rsidP="008D0238">
            <w:pPr>
              <w:widowControl w:val="0"/>
              <w:rPr>
                <w:rFonts w:ascii="Arial Narrow" w:hAnsi="Arial Narrow" w:cs="Calibri"/>
                <w:sz w:val="20"/>
                <w:szCs w:val="20"/>
                <w:lang w:val="bg-BG"/>
              </w:rPr>
            </w:pPr>
            <w:r w:rsidRPr="008D0238">
              <w:rPr>
                <w:rFonts w:ascii="Arial Narrow" w:hAnsi="Arial Narrow" w:cs="Calibri"/>
                <w:sz w:val="20"/>
                <w:szCs w:val="20"/>
                <w:lang w:val="bg-BG"/>
              </w:rPr>
              <w:t xml:space="preserve">Птици - общо, хил. бр., в т. ч.: </w:t>
            </w:r>
          </w:p>
        </w:tc>
        <w:tc>
          <w:tcPr>
            <w:tcW w:w="789" w:type="pct"/>
            <w:tcBorders>
              <w:top w:val="nil"/>
              <w:left w:val="nil"/>
              <w:bottom w:val="single" w:sz="4" w:space="0" w:color="auto"/>
              <w:right w:val="single" w:sz="4" w:space="0" w:color="auto"/>
            </w:tcBorders>
            <w:shd w:val="clear" w:color="FFFFFF" w:fill="FFFFFF"/>
            <w:noWrap/>
            <w:vAlign w:val="center"/>
          </w:tcPr>
          <w:p w14:paraId="4D0EAFB4" w14:textId="77777777" w:rsidR="008D0238" w:rsidRPr="008D0238" w:rsidRDefault="008D0238" w:rsidP="008D0238">
            <w:pPr>
              <w:widowControl w:val="0"/>
              <w:jc w:val="right"/>
              <w:rPr>
                <w:rFonts w:ascii="Arial Narrow" w:hAnsi="Arial Narrow" w:cs="Calibri"/>
                <w:sz w:val="20"/>
                <w:szCs w:val="20"/>
              </w:rPr>
            </w:pPr>
            <w:r w:rsidRPr="008D0238">
              <w:rPr>
                <w:rFonts w:ascii="Arial Narrow" w:hAnsi="Arial Narrow" w:cs="Calibri"/>
                <w:sz w:val="20"/>
                <w:szCs w:val="20"/>
              </w:rPr>
              <w:t>14 522</w:t>
            </w:r>
          </w:p>
        </w:tc>
        <w:tc>
          <w:tcPr>
            <w:tcW w:w="842" w:type="pct"/>
            <w:tcBorders>
              <w:top w:val="nil"/>
              <w:left w:val="single" w:sz="4" w:space="0" w:color="auto"/>
              <w:bottom w:val="single" w:sz="4" w:space="0" w:color="auto"/>
              <w:right w:val="single" w:sz="4" w:space="0" w:color="auto"/>
            </w:tcBorders>
            <w:shd w:val="clear" w:color="FFFFFF" w:fill="FFFFFF"/>
            <w:noWrap/>
            <w:vAlign w:val="center"/>
          </w:tcPr>
          <w:p w14:paraId="47775E96" w14:textId="77777777" w:rsidR="008D0238" w:rsidRPr="008D0238" w:rsidRDefault="008D0238" w:rsidP="008D0238">
            <w:pPr>
              <w:widowControl w:val="0"/>
              <w:jc w:val="right"/>
              <w:rPr>
                <w:rFonts w:ascii="Arial Narrow" w:hAnsi="Arial Narrow" w:cs="Calibri"/>
                <w:sz w:val="20"/>
                <w:szCs w:val="20"/>
              </w:rPr>
            </w:pPr>
            <w:r w:rsidRPr="008D0238">
              <w:rPr>
                <w:rFonts w:ascii="Arial Narrow" w:hAnsi="Arial Narrow" w:cs="Calibri"/>
                <w:sz w:val="20"/>
                <w:szCs w:val="20"/>
              </w:rPr>
              <w:t>13 560</w:t>
            </w:r>
          </w:p>
        </w:tc>
        <w:tc>
          <w:tcPr>
            <w:tcW w:w="841" w:type="pct"/>
            <w:tcBorders>
              <w:top w:val="nil"/>
              <w:left w:val="nil"/>
              <w:bottom w:val="single" w:sz="4" w:space="0" w:color="auto"/>
              <w:right w:val="single" w:sz="4" w:space="0" w:color="auto"/>
            </w:tcBorders>
            <w:shd w:val="clear" w:color="auto" w:fill="auto"/>
            <w:noWrap/>
            <w:vAlign w:val="center"/>
          </w:tcPr>
          <w:p w14:paraId="4974844C" w14:textId="77777777" w:rsidR="008D0238" w:rsidRPr="008D0238" w:rsidRDefault="008D0238" w:rsidP="008D0238">
            <w:pPr>
              <w:widowControl w:val="0"/>
              <w:jc w:val="right"/>
              <w:rPr>
                <w:rFonts w:ascii="Arial Narrow" w:hAnsi="Arial Narrow" w:cs="Calibri"/>
                <w:sz w:val="20"/>
                <w:szCs w:val="20"/>
              </w:rPr>
            </w:pPr>
            <w:r w:rsidRPr="008D0238">
              <w:rPr>
                <w:rFonts w:ascii="Arial Narrow" w:hAnsi="Arial Narrow" w:cs="Calibri"/>
                <w:sz w:val="20"/>
                <w:szCs w:val="20"/>
              </w:rPr>
              <w:t>-6,6%</w:t>
            </w:r>
          </w:p>
        </w:tc>
      </w:tr>
      <w:tr w:rsidR="008D0238" w:rsidRPr="008D0238" w14:paraId="3788DF17" w14:textId="77777777" w:rsidTr="00725099">
        <w:trPr>
          <w:trHeight w:val="308"/>
        </w:trPr>
        <w:tc>
          <w:tcPr>
            <w:tcW w:w="2528" w:type="pct"/>
            <w:shd w:val="clear" w:color="auto" w:fill="auto"/>
            <w:noWrap/>
            <w:vAlign w:val="center"/>
            <w:hideMark/>
          </w:tcPr>
          <w:p w14:paraId="39995E12" w14:textId="77777777" w:rsidR="008D0238" w:rsidRPr="008D0238" w:rsidRDefault="008D0238" w:rsidP="008D0238">
            <w:pPr>
              <w:widowControl w:val="0"/>
              <w:ind w:left="170"/>
              <w:rPr>
                <w:rFonts w:ascii="Arial Narrow" w:hAnsi="Arial Narrow" w:cs="Calibri"/>
                <w:sz w:val="20"/>
                <w:szCs w:val="20"/>
                <w:lang w:val="bg-BG"/>
              </w:rPr>
            </w:pPr>
            <w:r w:rsidRPr="008D0238">
              <w:rPr>
                <w:rFonts w:ascii="Arial Narrow" w:hAnsi="Arial Narrow" w:cs="Calibri"/>
                <w:sz w:val="20"/>
                <w:szCs w:val="20"/>
                <w:lang w:val="bg-BG"/>
              </w:rPr>
              <w:t>кокошки и подрастващи носачки</w:t>
            </w:r>
          </w:p>
        </w:tc>
        <w:tc>
          <w:tcPr>
            <w:tcW w:w="789" w:type="pct"/>
            <w:tcBorders>
              <w:top w:val="nil"/>
              <w:left w:val="nil"/>
              <w:bottom w:val="single" w:sz="4" w:space="0" w:color="auto"/>
              <w:right w:val="single" w:sz="4" w:space="0" w:color="auto"/>
            </w:tcBorders>
            <w:shd w:val="clear" w:color="auto" w:fill="auto"/>
            <w:noWrap/>
            <w:vAlign w:val="center"/>
          </w:tcPr>
          <w:p w14:paraId="4BBAB23A" w14:textId="77777777" w:rsidR="008D0238" w:rsidRPr="008D0238" w:rsidRDefault="008D0238" w:rsidP="008D0238">
            <w:pPr>
              <w:widowControl w:val="0"/>
              <w:jc w:val="right"/>
              <w:rPr>
                <w:rFonts w:ascii="Arial Narrow" w:hAnsi="Arial Narrow" w:cs="Calibri"/>
                <w:sz w:val="20"/>
                <w:szCs w:val="20"/>
              </w:rPr>
            </w:pPr>
            <w:r w:rsidRPr="008D0238">
              <w:rPr>
                <w:rFonts w:ascii="Arial Narrow" w:hAnsi="Arial Narrow" w:cs="Calibri"/>
                <w:sz w:val="20"/>
                <w:szCs w:val="20"/>
              </w:rPr>
              <w:t>6 583</w:t>
            </w:r>
          </w:p>
        </w:tc>
        <w:tc>
          <w:tcPr>
            <w:tcW w:w="842" w:type="pct"/>
            <w:tcBorders>
              <w:top w:val="nil"/>
              <w:left w:val="single" w:sz="4" w:space="0" w:color="auto"/>
              <w:bottom w:val="single" w:sz="4" w:space="0" w:color="auto"/>
              <w:right w:val="single" w:sz="4" w:space="0" w:color="auto"/>
            </w:tcBorders>
            <w:shd w:val="clear" w:color="auto" w:fill="auto"/>
            <w:noWrap/>
            <w:vAlign w:val="center"/>
          </w:tcPr>
          <w:p w14:paraId="5454452B" w14:textId="77777777" w:rsidR="008D0238" w:rsidRPr="008D0238" w:rsidRDefault="008D0238" w:rsidP="008D0238">
            <w:pPr>
              <w:widowControl w:val="0"/>
              <w:jc w:val="right"/>
              <w:rPr>
                <w:rFonts w:ascii="Arial Narrow" w:hAnsi="Arial Narrow" w:cs="Calibri"/>
                <w:sz w:val="20"/>
                <w:szCs w:val="20"/>
              </w:rPr>
            </w:pPr>
            <w:r w:rsidRPr="008D0238">
              <w:rPr>
                <w:rFonts w:ascii="Arial Narrow" w:hAnsi="Arial Narrow" w:cs="Calibri"/>
                <w:sz w:val="20"/>
                <w:szCs w:val="20"/>
              </w:rPr>
              <w:t>6 743</w:t>
            </w:r>
          </w:p>
        </w:tc>
        <w:tc>
          <w:tcPr>
            <w:tcW w:w="841" w:type="pct"/>
            <w:tcBorders>
              <w:top w:val="nil"/>
              <w:left w:val="nil"/>
              <w:bottom w:val="single" w:sz="4" w:space="0" w:color="auto"/>
              <w:right w:val="single" w:sz="4" w:space="0" w:color="auto"/>
            </w:tcBorders>
            <w:shd w:val="clear" w:color="auto" w:fill="auto"/>
            <w:noWrap/>
            <w:vAlign w:val="center"/>
          </w:tcPr>
          <w:p w14:paraId="3FEE6441" w14:textId="77777777" w:rsidR="008D0238" w:rsidRPr="008D0238" w:rsidRDefault="008D0238" w:rsidP="008D0238">
            <w:pPr>
              <w:widowControl w:val="0"/>
              <w:jc w:val="right"/>
              <w:rPr>
                <w:rFonts w:ascii="Arial Narrow" w:hAnsi="Arial Narrow" w:cs="Calibri"/>
                <w:sz w:val="20"/>
                <w:szCs w:val="20"/>
              </w:rPr>
            </w:pPr>
            <w:r w:rsidRPr="008D0238">
              <w:rPr>
                <w:rFonts w:ascii="Arial Narrow" w:hAnsi="Arial Narrow" w:cs="Calibri"/>
                <w:sz w:val="20"/>
                <w:szCs w:val="20"/>
              </w:rPr>
              <w:t>2,4%</w:t>
            </w:r>
          </w:p>
        </w:tc>
      </w:tr>
      <w:tr w:rsidR="008D0238" w:rsidRPr="008D0238" w14:paraId="26F5FFD6" w14:textId="77777777" w:rsidTr="00725099">
        <w:trPr>
          <w:trHeight w:val="308"/>
        </w:trPr>
        <w:tc>
          <w:tcPr>
            <w:tcW w:w="2528" w:type="pct"/>
            <w:shd w:val="clear" w:color="auto" w:fill="auto"/>
            <w:noWrap/>
            <w:vAlign w:val="center"/>
            <w:hideMark/>
          </w:tcPr>
          <w:p w14:paraId="18E34827" w14:textId="77777777" w:rsidR="008D0238" w:rsidRPr="008D0238" w:rsidRDefault="008D0238" w:rsidP="008D0238">
            <w:pPr>
              <w:widowControl w:val="0"/>
              <w:ind w:left="170"/>
              <w:rPr>
                <w:rFonts w:ascii="Arial Narrow" w:hAnsi="Arial Narrow" w:cs="Calibri"/>
                <w:sz w:val="20"/>
                <w:szCs w:val="20"/>
                <w:lang w:val="bg-BG"/>
              </w:rPr>
            </w:pPr>
            <w:r w:rsidRPr="008D0238">
              <w:rPr>
                <w:rFonts w:ascii="Arial Narrow" w:hAnsi="Arial Narrow" w:cs="Calibri"/>
                <w:sz w:val="20"/>
                <w:szCs w:val="20"/>
                <w:lang w:val="bg-BG"/>
              </w:rPr>
              <w:t>пилета за месо</w:t>
            </w:r>
          </w:p>
        </w:tc>
        <w:tc>
          <w:tcPr>
            <w:tcW w:w="789" w:type="pct"/>
            <w:tcBorders>
              <w:top w:val="nil"/>
              <w:left w:val="nil"/>
              <w:bottom w:val="single" w:sz="4" w:space="0" w:color="auto"/>
              <w:right w:val="single" w:sz="4" w:space="0" w:color="auto"/>
            </w:tcBorders>
            <w:shd w:val="clear" w:color="auto" w:fill="auto"/>
            <w:noWrap/>
            <w:vAlign w:val="center"/>
          </w:tcPr>
          <w:p w14:paraId="6253CEFE" w14:textId="77777777" w:rsidR="008D0238" w:rsidRPr="008D0238" w:rsidRDefault="008D0238" w:rsidP="008D0238">
            <w:pPr>
              <w:widowControl w:val="0"/>
              <w:jc w:val="right"/>
              <w:rPr>
                <w:rFonts w:ascii="Arial Narrow" w:hAnsi="Arial Narrow" w:cs="Calibri"/>
                <w:sz w:val="20"/>
                <w:szCs w:val="20"/>
              </w:rPr>
            </w:pPr>
            <w:r w:rsidRPr="008D0238">
              <w:rPr>
                <w:rFonts w:ascii="Arial Narrow" w:hAnsi="Arial Narrow" w:cs="Calibri"/>
                <w:sz w:val="20"/>
                <w:szCs w:val="20"/>
              </w:rPr>
              <w:t>5 947</w:t>
            </w:r>
          </w:p>
        </w:tc>
        <w:tc>
          <w:tcPr>
            <w:tcW w:w="842"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4438C369" w14:textId="77777777" w:rsidR="008D0238" w:rsidRPr="008D0238" w:rsidRDefault="008D0238" w:rsidP="008D0238">
            <w:pPr>
              <w:widowControl w:val="0"/>
              <w:jc w:val="right"/>
              <w:rPr>
                <w:rFonts w:ascii="Arial Narrow" w:hAnsi="Arial Narrow" w:cs="Calibri"/>
                <w:sz w:val="20"/>
                <w:szCs w:val="20"/>
              </w:rPr>
            </w:pPr>
            <w:r w:rsidRPr="008D0238">
              <w:rPr>
                <w:rFonts w:ascii="Arial Narrow" w:hAnsi="Arial Narrow" w:cs="Calibri"/>
                <w:sz w:val="20"/>
                <w:szCs w:val="20"/>
              </w:rPr>
              <w:t>5 509</w:t>
            </w:r>
          </w:p>
        </w:tc>
        <w:tc>
          <w:tcPr>
            <w:tcW w:w="841" w:type="pct"/>
            <w:tcBorders>
              <w:top w:val="nil"/>
              <w:left w:val="nil"/>
              <w:bottom w:val="single" w:sz="4" w:space="0" w:color="auto"/>
              <w:right w:val="single" w:sz="4" w:space="0" w:color="auto"/>
            </w:tcBorders>
            <w:shd w:val="clear" w:color="auto" w:fill="auto"/>
            <w:noWrap/>
            <w:vAlign w:val="center"/>
          </w:tcPr>
          <w:p w14:paraId="50AD6484" w14:textId="77777777" w:rsidR="008D0238" w:rsidRPr="008D0238" w:rsidRDefault="008D0238" w:rsidP="008D0238">
            <w:pPr>
              <w:widowControl w:val="0"/>
              <w:jc w:val="right"/>
              <w:rPr>
                <w:rFonts w:ascii="Arial Narrow" w:hAnsi="Arial Narrow" w:cs="Calibri"/>
                <w:sz w:val="20"/>
                <w:szCs w:val="20"/>
              </w:rPr>
            </w:pPr>
            <w:r w:rsidRPr="008D0238">
              <w:rPr>
                <w:rFonts w:ascii="Arial Narrow" w:hAnsi="Arial Narrow" w:cs="Calibri"/>
                <w:sz w:val="20"/>
                <w:szCs w:val="20"/>
              </w:rPr>
              <w:t>-7,4%</w:t>
            </w:r>
          </w:p>
        </w:tc>
      </w:tr>
      <w:tr w:rsidR="009F316F" w:rsidRPr="008D0238" w14:paraId="10129B68" w14:textId="77777777" w:rsidTr="00725099">
        <w:trPr>
          <w:trHeight w:val="308"/>
        </w:trPr>
        <w:tc>
          <w:tcPr>
            <w:tcW w:w="2528" w:type="pct"/>
            <w:shd w:val="clear" w:color="auto" w:fill="auto"/>
            <w:noWrap/>
            <w:vAlign w:val="center"/>
            <w:hideMark/>
          </w:tcPr>
          <w:p w14:paraId="46646D17" w14:textId="77777777" w:rsidR="008D0238" w:rsidRPr="008D0238" w:rsidRDefault="008D0238" w:rsidP="008D0238">
            <w:pPr>
              <w:widowControl w:val="0"/>
              <w:ind w:left="170"/>
              <w:rPr>
                <w:rFonts w:ascii="Arial Narrow" w:hAnsi="Arial Narrow" w:cs="Calibri"/>
                <w:sz w:val="20"/>
                <w:szCs w:val="20"/>
                <w:lang w:val="bg-BG"/>
              </w:rPr>
            </w:pPr>
            <w:r w:rsidRPr="008D0238">
              <w:rPr>
                <w:rFonts w:ascii="Arial Narrow" w:hAnsi="Arial Narrow" w:cs="Calibri"/>
                <w:sz w:val="20"/>
                <w:szCs w:val="20"/>
                <w:lang w:val="bg-BG"/>
              </w:rPr>
              <w:t>патици</w:t>
            </w:r>
          </w:p>
        </w:tc>
        <w:tc>
          <w:tcPr>
            <w:tcW w:w="78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5B9D59D" w14:textId="77777777" w:rsidR="008D0238" w:rsidRPr="008D0238" w:rsidRDefault="008D0238" w:rsidP="008D0238">
            <w:pPr>
              <w:widowControl w:val="0"/>
              <w:jc w:val="right"/>
              <w:rPr>
                <w:rFonts w:ascii="Arial Narrow" w:hAnsi="Arial Narrow" w:cs="Calibri"/>
                <w:sz w:val="20"/>
                <w:szCs w:val="20"/>
              </w:rPr>
            </w:pPr>
            <w:r w:rsidRPr="008D0238">
              <w:rPr>
                <w:rFonts w:ascii="Arial Narrow" w:eastAsia="Calibri" w:hAnsi="Arial Narrow" w:cs="Calibri"/>
                <w:sz w:val="20"/>
                <w:szCs w:val="20"/>
                <w:lang w:val="bg-BG"/>
              </w:rPr>
              <w:t>1 919</w:t>
            </w:r>
          </w:p>
        </w:tc>
        <w:tc>
          <w:tcPr>
            <w:tcW w:w="842" w:type="pct"/>
            <w:tcBorders>
              <w:top w:val="single" w:sz="4" w:space="0" w:color="auto"/>
              <w:left w:val="nil"/>
              <w:bottom w:val="single" w:sz="4" w:space="0" w:color="auto"/>
              <w:right w:val="single" w:sz="4" w:space="0" w:color="auto"/>
            </w:tcBorders>
            <w:shd w:val="clear" w:color="auto" w:fill="auto"/>
            <w:noWrap/>
            <w:vAlign w:val="center"/>
          </w:tcPr>
          <w:p w14:paraId="15449BBD" w14:textId="77777777" w:rsidR="008D0238" w:rsidRPr="008D0238" w:rsidRDefault="008D0238" w:rsidP="008D0238">
            <w:pPr>
              <w:widowControl w:val="0"/>
              <w:jc w:val="right"/>
              <w:rPr>
                <w:rFonts w:ascii="Arial Narrow" w:hAnsi="Arial Narrow" w:cs="Calibri"/>
                <w:sz w:val="20"/>
                <w:szCs w:val="20"/>
              </w:rPr>
            </w:pPr>
            <w:r w:rsidRPr="008D0238">
              <w:rPr>
                <w:rFonts w:ascii="Arial Narrow" w:eastAsia="Calibri" w:hAnsi="Arial Narrow" w:cs="Calibri"/>
                <w:sz w:val="20"/>
                <w:szCs w:val="20"/>
                <w:lang w:val="bg-BG"/>
              </w:rPr>
              <w:t>1 248</w:t>
            </w:r>
          </w:p>
        </w:tc>
        <w:tc>
          <w:tcPr>
            <w:tcW w:w="841" w:type="pct"/>
            <w:tcBorders>
              <w:top w:val="single" w:sz="4" w:space="0" w:color="auto"/>
              <w:left w:val="nil"/>
              <w:bottom w:val="single" w:sz="4" w:space="0" w:color="auto"/>
              <w:right w:val="single" w:sz="4" w:space="0" w:color="auto"/>
            </w:tcBorders>
            <w:shd w:val="clear" w:color="auto" w:fill="auto"/>
            <w:noWrap/>
            <w:vAlign w:val="center"/>
          </w:tcPr>
          <w:p w14:paraId="041761E1" w14:textId="77777777" w:rsidR="008D0238" w:rsidRPr="008D0238" w:rsidRDefault="008D0238" w:rsidP="008D0238">
            <w:pPr>
              <w:widowControl w:val="0"/>
              <w:jc w:val="right"/>
              <w:rPr>
                <w:rFonts w:ascii="Arial Narrow" w:hAnsi="Arial Narrow" w:cs="Calibri"/>
                <w:sz w:val="20"/>
                <w:szCs w:val="20"/>
              </w:rPr>
            </w:pPr>
            <w:r w:rsidRPr="008D0238">
              <w:rPr>
                <w:rFonts w:ascii="Arial Narrow" w:eastAsia="Calibri" w:hAnsi="Arial Narrow" w:cs="Calibri"/>
                <w:sz w:val="20"/>
                <w:szCs w:val="20"/>
                <w:lang w:val="bg-BG"/>
              </w:rPr>
              <w:t>-35,0%</w:t>
            </w:r>
          </w:p>
        </w:tc>
      </w:tr>
      <w:tr w:rsidR="009F316F" w:rsidRPr="008D0238" w14:paraId="623D62EB" w14:textId="77777777" w:rsidTr="00725099">
        <w:trPr>
          <w:trHeight w:val="308"/>
        </w:trPr>
        <w:tc>
          <w:tcPr>
            <w:tcW w:w="2528" w:type="pct"/>
            <w:shd w:val="clear" w:color="auto" w:fill="auto"/>
            <w:noWrap/>
            <w:vAlign w:val="center"/>
            <w:hideMark/>
          </w:tcPr>
          <w:p w14:paraId="34E08DC5" w14:textId="77777777" w:rsidR="008D0238" w:rsidRPr="008D0238" w:rsidRDefault="008D0238" w:rsidP="008D0238">
            <w:pPr>
              <w:widowControl w:val="0"/>
              <w:ind w:left="170"/>
              <w:rPr>
                <w:rFonts w:ascii="Arial Narrow" w:hAnsi="Arial Narrow" w:cs="Calibri"/>
                <w:sz w:val="20"/>
                <w:szCs w:val="20"/>
                <w:lang w:val="bg-BG"/>
              </w:rPr>
            </w:pPr>
            <w:r w:rsidRPr="008D0238">
              <w:rPr>
                <w:rFonts w:ascii="Arial Narrow" w:hAnsi="Arial Narrow" w:cs="Calibri"/>
                <w:sz w:val="20"/>
                <w:szCs w:val="20"/>
                <w:lang w:val="bg-BG"/>
              </w:rPr>
              <w:t>други птици</w:t>
            </w:r>
          </w:p>
        </w:tc>
        <w:tc>
          <w:tcPr>
            <w:tcW w:w="789" w:type="pct"/>
            <w:tcBorders>
              <w:top w:val="nil"/>
              <w:left w:val="single" w:sz="4" w:space="0" w:color="auto"/>
              <w:bottom w:val="single" w:sz="4" w:space="0" w:color="auto"/>
              <w:right w:val="single" w:sz="4" w:space="0" w:color="auto"/>
            </w:tcBorders>
            <w:shd w:val="clear" w:color="000000" w:fill="FFFFFF"/>
            <w:noWrap/>
            <w:vAlign w:val="center"/>
          </w:tcPr>
          <w:p w14:paraId="25AB7FC2" w14:textId="77777777" w:rsidR="008D0238" w:rsidRPr="008D0238" w:rsidRDefault="008D0238" w:rsidP="008D0238">
            <w:pPr>
              <w:widowControl w:val="0"/>
              <w:jc w:val="right"/>
              <w:rPr>
                <w:rFonts w:ascii="Arial Narrow" w:hAnsi="Arial Narrow" w:cs="Calibri"/>
                <w:sz w:val="20"/>
                <w:szCs w:val="20"/>
              </w:rPr>
            </w:pPr>
            <w:r w:rsidRPr="008D0238">
              <w:rPr>
                <w:rFonts w:ascii="Arial Narrow" w:eastAsia="Calibri" w:hAnsi="Arial Narrow" w:cs="Calibri"/>
                <w:sz w:val="20"/>
                <w:szCs w:val="20"/>
                <w:lang w:val="bg-BG"/>
              </w:rPr>
              <w:t>73</w:t>
            </w:r>
          </w:p>
        </w:tc>
        <w:tc>
          <w:tcPr>
            <w:tcW w:w="842" w:type="pct"/>
            <w:tcBorders>
              <w:top w:val="nil"/>
              <w:left w:val="nil"/>
              <w:bottom w:val="single" w:sz="4" w:space="0" w:color="auto"/>
              <w:right w:val="single" w:sz="4" w:space="0" w:color="auto"/>
            </w:tcBorders>
            <w:shd w:val="clear" w:color="auto" w:fill="auto"/>
            <w:noWrap/>
            <w:vAlign w:val="center"/>
          </w:tcPr>
          <w:p w14:paraId="3F50EA00" w14:textId="77777777" w:rsidR="008D0238" w:rsidRPr="008D0238" w:rsidRDefault="008D0238" w:rsidP="008D0238">
            <w:pPr>
              <w:widowControl w:val="0"/>
              <w:jc w:val="right"/>
              <w:rPr>
                <w:rFonts w:ascii="Arial Narrow" w:hAnsi="Arial Narrow" w:cs="Calibri"/>
                <w:sz w:val="20"/>
                <w:szCs w:val="20"/>
              </w:rPr>
            </w:pPr>
            <w:r w:rsidRPr="008D0238">
              <w:rPr>
                <w:rFonts w:ascii="Arial Narrow" w:eastAsia="Calibri" w:hAnsi="Arial Narrow" w:cs="Calibri"/>
                <w:sz w:val="20"/>
                <w:szCs w:val="20"/>
                <w:lang w:val="bg-BG"/>
              </w:rPr>
              <w:t>60</w:t>
            </w:r>
          </w:p>
        </w:tc>
        <w:tc>
          <w:tcPr>
            <w:tcW w:w="841" w:type="pct"/>
            <w:tcBorders>
              <w:top w:val="nil"/>
              <w:left w:val="nil"/>
              <w:bottom w:val="single" w:sz="4" w:space="0" w:color="auto"/>
              <w:right w:val="single" w:sz="4" w:space="0" w:color="auto"/>
            </w:tcBorders>
            <w:shd w:val="clear" w:color="auto" w:fill="auto"/>
            <w:noWrap/>
            <w:vAlign w:val="center"/>
          </w:tcPr>
          <w:p w14:paraId="1E2DE881" w14:textId="77777777" w:rsidR="008D0238" w:rsidRPr="008D0238" w:rsidRDefault="008D0238" w:rsidP="008D0238">
            <w:pPr>
              <w:widowControl w:val="0"/>
              <w:jc w:val="right"/>
              <w:rPr>
                <w:rFonts w:ascii="Arial Narrow" w:hAnsi="Arial Narrow" w:cs="Calibri"/>
                <w:sz w:val="20"/>
                <w:szCs w:val="20"/>
              </w:rPr>
            </w:pPr>
            <w:r w:rsidRPr="008D0238">
              <w:rPr>
                <w:rFonts w:ascii="Arial Narrow" w:eastAsia="Calibri" w:hAnsi="Arial Narrow" w:cs="Calibri"/>
                <w:sz w:val="20"/>
                <w:szCs w:val="20"/>
                <w:lang w:val="bg-BG"/>
              </w:rPr>
              <w:t>-17,6%</w:t>
            </w:r>
          </w:p>
        </w:tc>
      </w:tr>
      <w:tr w:rsidR="008D0238" w:rsidRPr="008D0238" w14:paraId="2C520A59" w14:textId="77777777" w:rsidTr="00725099">
        <w:trPr>
          <w:trHeight w:val="308"/>
        </w:trPr>
        <w:tc>
          <w:tcPr>
            <w:tcW w:w="2528" w:type="pct"/>
            <w:shd w:val="clear" w:color="auto" w:fill="auto"/>
            <w:noWrap/>
            <w:vAlign w:val="center"/>
            <w:hideMark/>
          </w:tcPr>
          <w:p w14:paraId="6808CB34" w14:textId="77777777" w:rsidR="008D0238" w:rsidRPr="008D0238" w:rsidRDefault="008D0238" w:rsidP="008D0238">
            <w:pPr>
              <w:widowControl w:val="0"/>
              <w:rPr>
                <w:rFonts w:ascii="Arial Narrow" w:hAnsi="Arial Narrow" w:cs="Calibri"/>
                <w:sz w:val="20"/>
                <w:szCs w:val="20"/>
                <w:lang w:val="bg-BG"/>
              </w:rPr>
            </w:pPr>
            <w:r w:rsidRPr="008D0238">
              <w:rPr>
                <w:rFonts w:ascii="Arial Narrow" w:hAnsi="Arial Narrow" w:cs="Calibri"/>
                <w:sz w:val="20"/>
                <w:szCs w:val="20"/>
                <w:lang w:val="bg-BG"/>
              </w:rPr>
              <w:t xml:space="preserve">Пчелни семейства </w:t>
            </w:r>
          </w:p>
        </w:tc>
        <w:tc>
          <w:tcPr>
            <w:tcW w:w="789" w:type="pct"/>
            <w:tcBorders>
              <w:top w:val="nil"/>
              <w:left w:val="nil"/>
              <w:bottom w:val="single" w:sz="4" w:space="0" w:color="auto"/>
              <w:right w:val="single" w:sz="4" w:space="0" w:color="auto"/>
            </w:tcBorders>
            <w:shd w:val="clear" w:color="auto" w:fill="auto"/>
            <w:noWrap/>
            <w:vAlign w:val="center"/>
          </w:tcPr>
          <w:p w14:paraId="34687111" w14:textId="77777777" w:rsidR="008D0238" w:rsidRPr="008D0238" w:rsidRDefault="008D0238" w:rsidP="008D0238">
            <w:pPr>
              <w:widowControl w:val="0"/>
              <w:jc w:val="right"/>
              <w:rPr>
                <w:rFonts w:ascii="Arial Narrow" w:hAnsi="Arial Narrow" w:cs="Calibri"/>
                <w:sz w:val="20"/>
                <w:szCs w:val="20"/>
              </w:rPr>
            </w:pPr>
            <w:r w:rsidRPr="008D0238">
              <w:rPr>
                <w:rFonts w:ascii="Arial Narrow" w:hAnsi="Arial Narrow" w:cs="Calibri"/>
                <w:sz w:val="20"/>
                <w:szCs w:val="20"/>
              </w:rPr>
              <w:t>816 673</w:t>
            </w:r>
          </w:p>
        </w:tc>
        <w:tc>
          <w:tcPr>
            <w:tcW w:w="842"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25C67796" w14:textId="77777777" w:rsidR="008D0238" w:rsidRPr="008D0238" w:rsidRDefault="008D0238" w:rsidP="008D0238">
            <w:pPr>
              <w:widowControl w:val="0"/>
              <w:jc w:val="right"/>
              <w:rPr>
                <w:rFonts w:ascii="Arial Narrow" w:hAnsi="Arial Narrow" w:cs="Calibri"/>
                <w:sz w:val="20"/>
                <w:szCs w:val="20"/>
              </w:rPr>
            </w:pPr>
            <w:r w:rsidRPr="008D0238">
              <w:rPr>
                <w:rFonts w:ascii="Arial Narrow" w:hAnsi="Arial Narrow" w:cs="Calibri"/>
                <w:sz w:val="20"/>
                <w:szCs w:val="20"/>
              </w:rPr>
              <w:t>838 038</w:t>
            </w:r>
          </w:p>
        </w:tc>
        <w:tc>
          <w:tcPr>
            <w:tcW w:w="841" w:type="pct"/>
            <w:tcBorders>
              <w:top w:val="nil"/>
              <w:left w:val="nil"/>
              <w:bottom w:val="single" w:sz="4" w:space="0" w:color="auto"/>
              <w:right w:val="single" w:sz="4" w:space="0" w:color="auto"/>
            </w:tcBorders>
            <w:shd w:val="clear" w:color="auto" w:fill="auto"/>
            <w:noWrap/>
            <w:vAlign w:val="center"/>
          </w:tcPr>
          <w:p w14:paraId="49E68A3C" w14:textId="77777777" w:rsidR="008D0238" w:rsidRPr="008D0238" w:rsidRDefault="008D0238" w:rsidP="008D0238">
            <w:pPr>
              <w:widowControl w:val="0"/>
              <w:jc w:val="right"/>
              <w:rPr>
                <w:rFonts w:ascii="Arial Narrow" w:hAnsi="Arial Narrow" w:cs="Calibri"/>
                <w:sz w:val="20"/>
                <w:szCs w:val="20"/>
              </w:rPr>
            </w:pPr>
            <w:r w:rsidRPr="008D0238">
              <w:rPr>
                <w:rFonts w:ascii="Arial Narrow" w:hAnsi="Arial Narrow" w:cs="Calibri"/>
                <w:sz w:val="20"/>
                <w:szCs w:val="20"/>
              </w:rPr>
              <w:t>2,6%</w:t>
            </w:r>
          </w:p>
        </w:tc>
      </w:tr>
    </w:tbl>
    <w:p w14:paraId="6263B70C" w14:textId="77777777" w:rsidR="008D0238" w:rsidRPr="00725099" w:rsidRDefault="008D0238" w:rsidP="008D0238">
      <w:pPr>
        <w:widowControl w:val="0"/>
        <w:tabs>
          <w:tab w:val="left" w:pos="268"/>
        </w:tabs>
        <w:jc w:val="both"/>
        <w:rPr>
          <w:rFonts w:ascii="Arial Narrow" w:eastAsia="Calibri" w:hAnsi="Arial Narrow" w:cs="Arial"/>
          <w:sz w:val="18"/>
          <w:szCs w:val="18"/>
          <w:lang w:val="bg-BG"/>
        </w:rPr>
      </w:pPr>
      <w:r w:rsidRPr="00725099">
        <w:rPr>
          <w:rFonts w:ascii="Arial Narrow" w:eastAsia="Calibri" w:hAnsi="Arial Narrow" w:cs="Arial"/>
          <w:i/>
          <w:sz w:val="18"/>
          <w:szCs w:val="18"/>
          <w:lang w:val="bg-BG"/>
        </w:rPr>
        <w:t xml:space="preserve">Източник: </w:t>
      </w:r>
      <w:r w:rsidRPr="00725099">
        <w:rPr>
          <w:rFonts w:ascii="Arial Narrow" w:eastAsia="Calibri" w:hAnsi="Arial Narrow" w:cs="Arial"/>
          <w:sz w:val="18"/>
          <w:szCs w:val="18"/>
          <w:lang w:val="bg-BG"/>
        </w:rPr>
        <w:t xml:space="preserve">МЗХ, отдел „Агростатистика” </w:t>
      </w:r>
    </w:p>
    <w:p w14:paraId="26722279" w14:textId="77777777" w:rsidR="008D0238" w:rsidRPr="004B6F73" w:rsidRDefault="008D0238" w:rsidP="008D0238">
      <w:pPr>
        <w:widowControl w:val="0"/>
        <w:tabs>
          <w:tab w:val="left" w:pos="268"/>
        </w:tabs>
        <w:spacing w:after="120"/>
        <w:jc w:val="both"/>
        <w:rPr>
          <w:rFonts w:ascii="Arial Narrow" w:eastAsia="Calibri" w:hAnsi="Arial Narrow" w:cs="Arial"/>
          <w:sz w:val="16"/>
          <w:szCs w:val="16"/>
          <w:lang w:val="bg-BG"/>
        </w:rPr>
      </w:pPr>
      <w:r w:rsidRPr="00725099">
        <w:rPr>
          <w:rFonts w:ascii="Arial Narrow" w:eastAsia="Calibri" w:hAnsi="Arial Narrow" w:cs="Arial"/>
          <w:sz w:val="18"/>
          <w:szCs w:val="18"/>
          <w:lang w:val="bg-BG"/>
        </w:rPr>
        <w:t>Забележка: данните за животните от рода на ЕРД, ДРД и свинете са към 1-ви ноември, за птиците – към 31-ви декември, а за пчелните семейства – към 1-ви октомври</w:t>
      </w:r>
      <w:r w:rsidRPr="004B6F73">
        <w:rPr>
          <w:rFonts w:ascii="Arial Narrow" w:eastAsia="Calibri" w:hAnsi="Arial Narrow" w:cs="Arial"/>
          <w:sz w:val="16"/>
          <w:szCs w:val="16"/>
          <w:lang w:val="bg-BG"/>
        </w:rPr>
        <w:t>.</w:t>
      </w:r>
    </w:p>
    <w:p w14:paraId="03A15101" w14:textId="77777777" w:rsidR="008D0238" w:rsidRDefault="008D0238" w:rsidP="008D0238">
      <w:pPr>
        <w:widowControl w:val="0"/>
        <w:spacing w:after="120"/>
        <w:ind w:firstLine="709"/>
        <w:jc w:val="both"/>
        <w:rPr>
          <w:rFonts w:ascii="Arial Narrow" w:eastAsia="Calibri" w:hAnsi="Arial Narrow" w:cs="Arial"/>
          <w:lang w:val="bg-BG" w:eastAsia="bg-BG"/>
        </w:rPr>
      </w:pPr>
      <w:r w:rsidRPr="008D0238">
        <w:rPr>
          <w:rFonts w:ascii="Arial Narrow" w:eastAsia="Calibri" w:hAnsi="Arial Narrow" w:cs="Arial"/>
          <w:color w:val="FF0000"/>
          <w:lang w:val="bg-BG" w:eastAsia="bg-BG"/>
        </w:rPr>
        <w:tab/>
      </w:r>
      <w:r w:rsidRPr="008D0238">
        <w:rPr>
          <w:rFonts w:ascii="Arial Narrow" w:eastAsia="Calibri" w:hAnsi="Arial Narrow" w:cs="Arial"/>
          <w:lang w:val="bg-BG" w:eastAsia="bg-BG"/>
        </w:rPr>
        <w:t xml:space="preserve">Общият добив на млечна суровина през 2024 г. е в размер на 770 520 хил. литра - с 2,7% под нивото от предходната година, поради редуцирания брой на всички видове млечни животни. По-чувствително намаление е регистрирано при производството на биволско и овче мляко, съответно с 5,6% и 4,2%, а по-слабо изразено при кравето (с 2,6%) и козето мляко (с 0,8%). </w:t>
      </w:r>
    </w:p>
    <w:p w14:paraId="5EAD4D0E" w14:textId="77777777" w:rsidR="00445BE3" w:rsidRDefault="00445BE3" w:rsidP="008D0238">
      <w:pPr>
        <w:widowControl w:val="0"/>
        <w:spacing w:after="120"/>
        <w:ind w:firstLine="709"/>
        <w:jc w:val="both"/>
        <w:rPr>
          <w:rFonts w:ascii="Arial Narrow" w:eastAsia="Calibri" w:hAnsi="Arial Narrow" w:cs="Arial"/>
          <w:lang w:val="bg-BG" w:eastAsia="bg-BG"/>
        </w:rPr>
      </w:pPr>
    </w:p>
    <w:p w14:paraId="39720D0B" w14:textId="77777777" w:rsidR="00445BE3" w:rsidRDefault="00445BE3" w:rsidP="008D0238">
      <w:pPr>
        <w:widowControl w:val="0"/>
        <w:spacing w:after="120"/>
        <w:ind w:firstLine="709"/>
        <w:jc w:val="both"/>
        <w:rPr>
          <w:rFonts w:ascii="Arial Narrow" w:eastAsia="Calibri" w:hAnsi="Arial Narrow" w:cs="Arial"/>
          <w:lang w:val="bg-BG" w:eastAsia="bg-BG"/>
        </w:rPr>
      </w:pPr>
    </w:p>
    <w:p w14:paraId="676B3B9B" w14:textId="77777777" w:rsidR="00445BE3" w:rsidRDefault="00445BE3" w:rsidP="008D0238">
      <w:pPr>
        <w:widowControl w:val="0"/>
        <w:spacing w:after="120"/>
        <w:ind w:firstLine="709"/>
        <w:jc w:val="both"/>
        <w:rPr>
          <w:rFonts w:ascii="Arial Narrow" w:eastAsia="Calibri" w:hAnsi="Arial Narrow" w:cs="Arial"/>
          <w:lang w:val="bg-BG" w:eastAsia="bg-BG"/>
        </w:rPr>
      </w:pPr>
    </w:p>
    <w:p w14:paraId="17DA96A2" w14:textId="77777777" w:rsidR="00445BE3" w:rsidRDefault="00445BE3" w:rsidP="008D0238">
      <w:pPr>
        <w:widowControl w:val="0"/>
        <w:spacing w:after="120"/>
        <w:ind w:firstLine="709"/>
        <w:jc w:val="both"/>
        <w:rPr>
          <w:rFonts w:ascii="Arial Narrow" w:eastAsia="Calibri" w:hAnsi="Arial Narrow" w:cs="Arial"/>
          <w:lang w:val="bg-BG" w:eastAsia="bg-BG"/>
        </w:rPr>
      </w:pPr>
    </w:p>
    <w:p w14:paraId="37D178DA" w14:textId="77777777" w:rsidR="00445BE3" w:rsidRPr="008D0238" w:rsidRDefault="00445BE3" w:rsidP="008D0238">
      <w:pPr>
        <w:widowControl w:val="0"/>
        <w:spacing w:after="120"/>
        <w:ind w:firstLine="709"/>
        <w:jc w:val="both"/>
        <w:rPr>
          <w:rFonts w:ascii="Arial Narrow" w:eastAsia="Calibri" w:hAnsi="Arial Narrow" w:cs="Arial"/>
          <w:lang w:val="bg-BG" w:eastAsia="bg-BG"/>
        </w:rPr>
      </w:pPr>
    </w:p>
    <w:p w14:paraId="7A161F47" w14:textId="77777777" w:rsidR="009F316F" w:rsidRDefault="008D0238" w:rsidP="008D0238">
      <w:pPr>
        <w:widowControl w:val="0"/>
        <w:spacing w:after="120"/>
        <w:jc w:val="both"/>
        <w:rPr>
          <w:rFonts w:ascii="Arial Narrow" w:eastAsia="Calibri" w:hAnsi="Arial Narrow" w:cs="Arial"/>
          <w:b/>
          <w:lang w:val="bg-BG"/>
        </w:rPr>
      </w:pPr>
      <w:r w:rsidRPr="008D0238">
        <w:rPr>
          <w:rFonts w:ascii="Arial Narrow" w:eastAsia="Calibri" w:hAnsi="Arial Narrow" w:cs="Arial"/>
          <w:b/>
          <w:lang w:val="bg-BG"/>
        </w:rPr>
        <w:t>Таблица ІІ.14. Производство на мляко за периода 01.11.2023 - 31.10.2024 г. по райони на планиране, хил. литри</w:t>
      </w:r>
    </w:p>
    <w:tbl>
      <w:tblPr>
        <w:tblStyle w:val="TableGrid"/>
        <w:tblW w:w="0" w:type="auto"/>
        <w:tblInd w:w="108" w:type="dxa"/>
        <w:tblLook w:val="04A0" w:firstRow="1" w:lastRow="0" w:firstColumn="1" w:lastColumn="0" w:noHBand="0" w:noVBand="1"/>
      </w:tblPr>
      <w:tblGrid>
        <w:gridCol w:w="2478"/>
        <w:gridCol w:w="1707"/>
        <w:gridCol w:w="1430"/>
        <w:gridCol w:w="1608"/>
        <w:gridCol w:w="1099"/>
        <w:gridCol w:w="1370"/>
      </w:tblGrid>
      <w:tr w:rsidR="009F316F" w14:paraId="7689DF1D" w14:textId="77777777" w:rsidTr="00677D77">
        <w:trPr>
          <w:trHeight w:val="526"/>
          <w:tblHeader/>
        </w:trPr>
        <w:tc>
          <w:tcPr>
            <w:tcW w:w="2508" w:type="dxa"/>
            <w:vMerge w:val="restart"/>
            <w:shd w:val="clear" w:color="auto" w:fill="FFFFFF"/>
            <w:vAlign w:val="center"/>
          </w:tcPr>
          <w:p w14:paraId="3DBAF010" w14:textId="77777777" w:rsidR="009F316F" w:rsidRPr="008D0238" w:rsidRDefault="009F316F" w:rsidP="009F316F">
            <w:pPr>
              <w:keepNext/>
              <w:widowControl w:val="0"/>
              <w:jc w:val="center"/>
              <w:rPr>
                <w:rFonts w:ascii="Arial Narrow" w:hAnsi="Arial Narrow" w:cs="Arial"/>
                <w:b/>
                <w:sz w:val="20"/>
                <w:szCs w:val="20"/>
                <w:lang w:val="bg-BG"/>
              </w:rPr>
            </w:pPr>
            <w:r w:rsidRPr="008D0238">
              <w:rPr>
                <w:rFonts w:ascii="Arial Narrow" w:hAnsi="Arial Narrow" w:cs="Arial"/>
                <w:b/>
                <w:sz w:val="20"/>
                <w:szCs w:val="20"/>
                <w:lang w:val="bg-BG"/>
              </w:rPr>
              <w:lastRenderedPageBreak/>
              <w:t>Райони</w:t>
            </w:r>
          </w:p>
        </w:tc>
        <w:tc>
          <w:tcPr>
            <w:tcW w:w="1734" w:type="dxa"/>
            <w:vMerge w:val="restart"/>
            <w:shd w:val="clear" w:color="auto" w:fill="FFFFFF"/>
            <w:vAlign w:val="center"/>
          </w:tcPr>
          <w:p w14:paraId="479866A9" w14:textId="77777777" w:rsidR="009F316F" w:rsidRPr="008D0238" w:rsidRDefault="009F316F" w:rsidP="009F316F">
            <w:pPr>
              <w:keepNext/>
              <w:widowControl w:val="0"/>
              <w:jc w:val="center"/>
              <w:rPr>
                <w:rFonts w:ascii="Arial Narrow" w:hAnsi="Arial Narrow" w:cs="Arial"/>
                <w:b/>
                <w:sz w:val="20"/>
                <w:szCs w:val="20"/>
                <w:lang w:val="bg-BG"/>
              </w:rPr>
            </w:pPr>
            <w:r w:rsidRPr="008D0238">
              <w:rPr>
                <w:rFonts w:ascii="Arial Narrow" w:hAnsi="Arial Narrow" w:cs="Arial"/>
                <w:b/>
                <w:sz w:val="20"/>
                <w:szCs w:val="20"/>
                <w:lang w:val="bg-BG"/>
              </w:rPr>
              <w:t>Общо мляко</w:t>
            </w:r>
          </w:p>
        </w:tc>
        <w:tc>
          <w:tcPr>
            <w:tcW w:w="5571" w:type="dxa"/>
            <w:gridSpan w:val="4"/>
            <w:shd w:val="clear" w:color="auto" w:fill="FFFFFF"/>
            <w:vAlign w:val="center"/>
          </w:tcPr>
          <w:p w14:paraId="3CA73ADC" w14:textId="77777777" w:rsidR="009F316F" w:rsidRDefault="009F316F" w:rsidP="009F316F">
            <w:pPr>
              <w:widowControl w:val="0"/>
              <w:spacing w:after="120"/>
              <w:jc w:val="center"/>
              <w:rPr>
                <w:rFonts w:ascii="Arial Narrow" w:eastAsia="Calibri" w:hAnsi="Arial Narrow" w:cs="Arial"/>
                <w:b/>
                <w:lang w:val="bg-BG"/>
              </w:rPr>
            </w:pPr>
            <w:r w:rsidRPr="008D0238">
              <w:rPr>
                <w:rFonts w:ascii="Arial Narrow" w:hAnsi="Arial Narrow" w:cs="Arial"/>
                <w:b/>
                <w:sz w:val="20"/>
                <w:szCs w:val="20"/>
                <w:lang w:val="bg-BG"/>
              </w:rPr>
              <w:t>В т.ч.:</w:t>
            </w:r>
          </w:p>
        </w:tc>
      </w:tr>
      <w:tr w:rsidR="00FC70C2" w14:paraId="7D83920F" w14:textId="77777777" w:rsidTr="00677D77">
        <w:trPr>
          <w:trHeight w:val="496"/>
          <w:tblHeader/>
        </w:trPr>
        <w:tc>
          <w:tcPr>
            <w:tcW w:w="2508" w:type="dxa"/>
            <w:vMerge/>
            <w:shd w:val="clear" w:color="auto" w:fill="FFFFFF"/>
            <w:vAlign w:val="center"/>
          </w:tcPr>
          <w:p w14:paraId="22414988" w14:textId="77777777" w:rsidR="009F316F" w:rsidRPr="008D0238" w:rsidRDefault="009F316F" w:rsidP="009F316F">
            <w:pPr>
              <w:keepNext/>
              <w:widowControl w:val="0"/>
              <w:jc w:val="center"/>
              <w:rPr>
                <w:rFonts w:ascii="Arial Narrow" w:hAnsi="Arial Narrow" w:cs="Arial"/>
                <w:b/>
                <w:sz w:val="20"/>
                <w:szCs w:val="20"/>
                <w:lang w:val="bg-BG"/>
              </w:rPr>
            </w:pPr>
          </w:p>
        </w:tc>
        <w:tc>
          <w:tcPr>
            <w:tcW w:w="1734" w:type="dxa"/>
            <w:vMerge/>
            <w:shd w:val="clear" w:color="auto" w:fill="FFFFFF"/>
            <w:vAlign w:val="center"/>
          </w:tcPr>
          <w:p w14:paraId="3DAEB2C2" w14:textId="77777777" w:rsidR="009F316F" w:rsidRPr="008D0238" w:rsidRDefault="009F316F" w:rsidP="009F316F">
            <w:pPr>
              <w:keepNext/>
              <w:widowControl w:val="0"/>
              <w:jc w:val="center"/>
              <w:rPr>
                <w:rFonts w:ascii="Arial Narrow" w:hAnsi="Arial Narrow" w:cs="Arial"/>
                <w:b/>
                <w:sz w:val="20"/>
                <w:szCs w:val="20"/>
                <w:lang w:val="bg-BG"/>
              </w:rPr>
            </w:pPr>
          </w:p>
        </w:tc>
        <w:tc>
          <w:tcPr>
            <w:tcW w:w="1450" w:type="dxa"/>
            <w:shd w:val="clear" w:color="auto" w:fill="FFFFFF"/>
            <w:vAlign w:val="center"/>
          </w:tcPr>
          <w:p w14:paraId="720C99D6" w14:textId="77777777" w:rsidR="009F316F" w:rsidRPr="008D0238" w:rsidRDefault="009F316F" w:rsidP="009F316F">
            <w:pPr>
              <w:keepNext/>
              <w:widowControl w:val="0"/>
              <w:jc w:val="center"/>
              <w:rPr>
                <w:rFonts w:ascii="Arial Narrow" w:hAnsi="Arial Narrow" w:cs="Arial"/>
                <w:b/>
                <w:sz w:val="20"/>
                <w:szCs w:val="20"/>
                <w:lang w:val="bg-BG"/>
              </w:rPr>
            </w:pPr>
            <w:r w:rsidRPr="008D0238">
              <w:rPr>
                <w:rFonts w:ascii="Arial Narrow" w:hAnsi="Arial Narrow" w:cs="Arial"/>
                <w:b/>
                <w:sz w:val="20"/>
                <w:szCs w:val="20"/>
                <w:lang w:val="bg-BG"/>
              </w:rPr>
              <w:t>Краве мляко</w:t>
            </w:r>
          </w:p>
        </w:tc>
        <w:tc>
          <w:tcPr>
            <w:tcW w:w="1624" w:type="dxa"/>
            <w:shd w:val="clear" w:color="auto" w:fill="FFFFFF"/>
            <w:vAlign w:val="center"/>
          </w:tcPr>
          <w:p w14:paraId="68768D04" w14:textId="77777777" w:rsidR="009F316F" w:rsidRPr="008D0238" w:rsidRDefault="009F316F" w:rsidP="009F316F">
            <w:pPr>
              <w:keepNext/>
              <w:widowControl w:val="0"/>
              <w:jc w:val="center"/>
              <w:rPr>
                <w:rFonts w:ascii="Arial Narrow" w:hAnsi="Arial Narrow" w:cs="Arial"/>
                <w:b/>
                <w:sz w:val="20"/>
                <w:szCs w:val="20"/>
                <w:lang w:val="bg-BG"/>
              </w:rPr>
            </w:pPr>
            <w:r w:rsidRPr="008D0238">
              <w:rPr>
                <w:rFonts w:ascii="Arial Narrow" w:hAnsi="Arial Narrow" w:cs="Arial"/>
                <w:b/>
                <w:sz w:val="20"/>
                <w:szCs w:val="20"/>
                <w:lang w:val="bg-BG"/>
              </w:rPr>
              <w:t>Биволско мляко</w:t>
            </w:r>
          </w:p>
        </w:tc>
        <w:tc>
          <w:tcPr>
            <w:tcW w:w="1109" w:type="dxa"/>
            <w:shd w:val="clear" w:color="auto" w:fill="FFFFFF"/>
            <w:vAlign w:val="center"/>
          </w:tcPr>
          <w:p w14:paraId="270CD069" w14:textId="77777777" w:rsidR="009F316F" w:rsidRPr="008D0238" w:rsidRDefault="009F316F" w:rsidP="009F316F">
            <w:pPr>
              <w:keepNext/>
              <w:widowControl w:val="0"/>
              <w:jc w:val="center"/>
              <w:rPr>
                <w:rFonts w:ascii="Arial Narrow" w:hAnsi="Arial Narrow" w:cs="Arial"/>
                <w:b/>
                <w:sz w:val="20"/>
                <w:szCs w:val="20"/>
                <w:lang w:val="bg-BG"/>
              </w:rPr>
            </w:pPr>
            <w:r w:rsidRPr="008D0238">
              <w:rPr>
                <w:rFonts w:ascii="Arial Narrow" w:hAnsi="Arial Narrow" w:cs="Arial"/>
                <w:b/>
                <w:sz w:val="20"/>
                <w:szCs w:val="20"/>
                <w:lang w:val="bg-BG"/>
              </w:rPr>
              <w:t>Овче мляко</w:t>
            </w:r>
          </w:p>
        </w:tc>
        <w:tc>
          <w:tcPr>
            <w:tcW w:w="1385" w:type="dxa"/>
            <w:shd w:val="clear" w:color="auto" w:fill="FFFFFF"/>
            <w:vAlign w:val="center"/>
          </w:tcPr>
          <w:p w14:paraId="31A40C96" w14:textId="77777777" w:rsidR="009F316F" w:rsidRPr="008D0238" w:rsidRDefault="009F316F" w:rsidP="009F316F">
            <w:pPr>
              <w:keepNext/>
              <w:widowControl w:val="0"/>
              <w:jc w:val="center"/>
              <w:rPr>
                <w:rFonts w:ascii="Arial Narrow" w:hAnsi="Arial Narrow" w:cs="Arial"/>
                <w:b/>
                <w:sz w:val="20"/>
                <w:szCs w:val="20"/>
                <w:lang w:val="bg-BG"/>
              </w:rPr>
            </w:pPr>
            <w:r w:rsidRPr="008D0238">
              <w:rPr>
                <w:rFonts w:ascii="Arial Narrow" w:hAnsi="Arial Narrow" w:cs="Arial"/>
                <w:b/>
                <w:sz w:val="20"/>
                <w:szCs w:val="20"/>
                <w:lang w:val="bg-BG"/>
              </w:rPr>
              <w:t>Козе мляко</w:t>
            </w:r>
          </w:p>
        </w:tc>
      </w:tr>
      <w:tr w:rsidR="001E53F7" w14:paraId="2CB78056" w14:textId="77777777" w:rsidTr="00677D77">
        <w:trPr>
          <w:trHeight w:val="342"/>
        </w:trPr>
        <w:tc>
          <w:tcPr>
            <w:tcW w:w="2508" w:type="dxa"/>
            <w:vAlign w:val="center"/>
          </w:tcPr>
          <w:p w14:paraId="3B8732CD" w14:textId="77777777" w:rsidR="001E53F7" w:rsidRPr="008D0238" w:rsidRDefault="001E53F7" w:rsidP="001E53F7">
            <w:pPr>
              <w:widowControl w:val="0"/>
              <w:rPr>
                <w:rFonts w:ascii="Arial Narrow" w:hAnsi="Arial Narrow" w:cs="Arial"/>
                <w:sz w:val="20"/>
                <w:szCs w:val="20"/>
                <w:lang w:val="bg-BG"/>
              </w:rPr>
            </w:pPr>
            <w:r w:rsidRPr="008D0238">
              <w:rPr>
                <w:rFonts w:ascii="Arial Narrow" w:hAnsi="Arial Narrow" w:cs="Arial"/>
                <w:sz w:val="20"/>
                <w:szCs w:val="20"/>
                <w:lang w:val="bg-BG"/>
              </w:rPr>
              <w:t>Северозападен</w:t>
            </w:r>
          </w:p>
        </w:tc>
        <w:tc>
          <w:tcPr>
            <w:tcW w:w="1734" w:type="dxa"/>
            <w:tcBorders>
              <w:top w:val="single" w:sz="4" w:space="0" w:color="auto"/>
              <w:left w:val="single" w:sz="4" w:space="0" w:color="auto"/>
              <w:bottom w:val="single" w:sz="4" w:space="0" w:color="auto"/>
              <w:right w:val="single" w:sz="4" w:space="0" w:color="auto"/>
            </w:tcBorders>
            <w:shd w:val="clear" w:color="auto" w:fill="auto"/>
            <w:vAlign w:val="center"/>
          </w:tcPr>
          <w:p w14:paraId="4CB4A4EF" w14:textId="77777777" w:rsidR="001E53F7" w:rsidRPr="008D0238" w:rsidRDefault="001E53F7" w:rsidP="001E53F7">
            <w:pPr>
              <w:widowControl w:val="0"/>
              <w:jc w:val="right"/>
              <w:rPr>
                <w:rFonts w:ascii="Arial Narrow" w:hAnsi="Arial Narrow" w:cs="Calibri"/>
                <w:sz w:val="20"/>
                <w:szCs w:val="20"/>
              </w:rPr>
            </w:pPr>
            <w:r w:rsidRPr="008D0238">
              <w:rPr>
                <w:rFonts w:ascii="Arial Narrow" w:hAnsi="Arial Narrow" w:cs="Calibri"/>
                <w:sz w:val="20"/>
                <w:szCs w:val="20"/>
              </w:rPr>
              <w:t>103 182</w:t>
            </w:r>
          </w:p>
        </w:tc>
        <w:tc>
          <w:tcPr>
            <w:tcW w:w="1450" w:type="dxa"/>
            <w:tcBorders>
              <w:top w:val="single" w:sz="4" w:space="0" w:color="auto"/>
              <w:left w:val="nil"/>
              <w:bottom w:val="single" w:sz="4" w:space="0" w:color="auto"/>
              <w:right w:val="single" w:sz="4" w:space="0" w:color="auto"/>
            </w:tcBorders>
            <w:shd w:val="clear" w:color="auto" w:fill="auto"/>
            <w:vAlign w:val="center"/>
          </w:tcPr>
          <w:p w14:paraId="49284315" w14:textId="77777777" w:rsidR="001E53F7" w:rsidRPr="008D0238" w:rsidRDefault="001E53F7" w:rsidP="001E53F7">
            <w:pPr>
              <w:widowControl w:val="0"/>
              <w:jc w:val="right"/>
              <w:rPr>
                <w:rFonts w:ascii="Arial Narrow" w:hAnsi="Arial Narrow" w:cs="Calibri"/>
                <w:sz w:val="20"/>
                <w:szCs w:val="20"/>
              </w:rPr>
            </w:pPr>
            <w:r w:rsidRPr="008D0238">
              <w:rPr>
                <w:rFonts w:ascii="Arial Narrow" w:hAnsi="Arial Narrow" w:cs="Calibri"/>
                <w:sz w:val="20"/>
                <w:szCs w:val="20"/>
              </w:rPr>
              <w:t>82 954</w:t>
            </w:r>
          </w:p>
        </w:tc>
        <w:tc>
          <w:tcPr>
            <w:tcW w:w="1624" w:type="dxa"/>
            <w:tcBorders>
              <w:top w:val="single" w:sz="4" w:space="0" w:color="auto"/>
              <w:left w:val="nil"/>
              <w:bottom w:val="single" w:sz="4" w:space="0" w:color="auto"/>
              <w:right w:val="single" w:sz="4" w:space="0" w:color="auto"/>
            </w:tcBorders>
            <w:shd w:val="clear" w:color="auto" w:fill="auto"/>
            <w:vAlign w:val="center"/>
          </w:tcPr>
          <w:p w14:paraId="28A269CD" w14:textId="77777777" w:rsidR="001E53F7" w:rsidRPr="008D0238" w:rsidRDefault="001E53F7" w:rsidP="001E53F7">
            <w:pPr>
              <w:widowControl w:val="0"/>
              <w:jc w:val="right"/>
              <w:rPr>
                <w:rFonts w:ascii="Arial Narrow" w:hAnsi="Arial Narrow" w:cs="Calibri"/>
                <w:sz w:val="20"/>
                <w:szCs w:val="20"/>
              </w:rPr>
            </w:pPr>
            <w:r w:rsidRPr="008D0238">
              <w:rPr>
                <w:rFonts w:ascii="Arial Narrow" w:hAnsi="Arial Narrow" w:cs="Calibri"/>
                <w:sz w:val="20"/>
                <w:szCs w:val="20"/>
              </w:rPr>
              <w:t>6 976</w:t>
            </w:r>
          </w:p>
        </w:tc>
        <w:tc>
          <w:tcPr>
            <w:tcW w:w="1109" w:type="dxa"/>
            <w:tcBorders>
              <w:top w:val="single" w:sz="4" w:space="0" w:color="auto"/>
              <w:left w:val="nil"/>
              <w:bottom w:val="single" w:sz="4" w:space="0" w:color="auto"/>
              <w:right w:val="single" w:sz="4" w:space="0" w:color="auto"/>
            </w:tcBorders>
            <w:shd w:val="clear" w:color="auto" w:fill="auto"/>
            <w:vAlign w:val="center"/>
          </w:tcPr>
          <w:p w14:paraId="79C1A9E5" w14:textId="77777777" w:rsidR="001E53F7" w:rsidRPr="008D0238" w:rsidRDefault="001E53F7" w:rsidP="001E53F7">
            <w:pPr>
              <w:widowControl w:val="0"/>
              <w:jc w:val="right"/>
              <w:rPr>
                <w:rFonts w:ascii="Arial Narrow" w:hAnsi="Arial Narrow" w:cs="Calibri"/>
                <w:sz w:val="20"/>
                <w:szCs w:val="20"/>
              </w:rPr>
            </w:pPr>
            <w:r w:rsidRPr="008D0238">
              <w:rPr>
                <w:rFonts w:ascii="Arial Narrow" w:hAnsi="Arial Narrow" w:cs="Calibri"/>
                <w:sz w:val="20"/>
                <w:szCs w:val="20"/>
              </w:rPr>
              <w:t>8 797</w:t>
            </w:r>
          </w:p>
        </w:tc>
        <w:tc>
          <w:tcPr>
            <w:tcW w:w="1385" w:type="dxa"/>
            <w:tcBorders>
              <w:top w:val="single" w:sz="4" w:space="0" w:color="auto"/>
              <w:left w:val="nil"/>
              <w:bottom w:val="single" w:sz="4" w:space="0" w:color="auto"/>
              <w:right w:val="single" w:sz="4" w:space="0" w:color="auto"/>
            </w:tcBorders>
            <w:shd w:val="clear" w:color="auto" w:fill="auto"/>
            <w:vAlign w:val="center"/>
          </w:tcPr>
          <w:p w14:paraId="159FC0E3" w14:textId="77777777" w:rsidR="001E53F7" w:rsidRPr="008D0238" w:rsidRDefault="001E53F7" w:rsidP="001E53F7">
            <w:pPr>
              <w:widowControl w:val="0"/>
              <w:jc w:val="right"/>
              <w:rPr>
                <w:rFonts w:ascii="Arial Narrow" w:hAnsi="Arial Narrow" w:cs="Calibri"/>
                <w:sz w:val="20"/>
                <w:szCs w:val="20"/>
              </w:rPr>
            </w:pPr>
            <w:r w:rsidRPr="008D0238">
              <w:rPr>
                <w:rFonts w:ascii="Arial Narrow" w:hAnsi="Arial Narrow" w:cs="Calibri"/>
                <w:sz w:val="20"/>
                <w:szCs w:val="20"/>
              </w:rPr>
              <w:t>4 455</w:t>
            </w:r>
          </w:p>
        </w:tc>
      </w:tr>
      <w:tr w:rsidR="001E53F7" w14:paraId="0B5C0A91" w14:textId="77777777" w:rsidTr="00677D77">
        <w:trPr>
          <w:trHeight w:val="342"/>
        </w:trPr>
        <w:tc>
          <w:tcPr>
            <w:tcW w:w="2508" w:type="dxa"/>
            <w:vAlign w:val="center"/>
          </w:tcPr>
          <w:p w14:paraId="16C31BBE" w14:textId="77777777" w:rsidR="001E53F7" w:rsidRPr="008D0238" w:rsidRDefault="001E53F7" w:rsidP="001E53F7">
            <w:pPr>
              <w:widowControl w:val="0"/>
              <w:rPr>
                <w:rFonts w:ascii="Arial Narrow" w:hAnsi="Arial Narrow" w:cs="Arial"/>
                <w:sz w:val="20"/>
                <w:szCs w:val="20"/>
                <w:lang w:val="bg-BG"/>
              </w:rPr>
            </w:pPr>
            <w:r w:rsidRPr="008D0238">
              <w:rPr>
                <w:rFonts w:ascii="Arial Narrow" w:hAnsi="Arial Narrow" w:cs="Arial"/>
                <w:sz w:val="20"/>
                <w:szCs w:val="20"/>
                <w:lang w:val="bg-BG"/>
              </w:rPr>
              <w:t>Северен централен</w:t>
            </w:r>
          </w:p>
        </w:tc>
        <w:tc>
          <w:tcPr>
            <w:tcW w:w="1734" w:type="dxa"/>
            <w:tcBorders>
              <w:top w:val="nil"/>
              <w:left w:val="single" w:sz="4" w:space="0" w:color="auto"/>
              <w:bottom w:val="single" w:sz="4" w:space="0" w:color="auto"/>
              <w:right w:val="single" w:sz="4" w:space="0" w:color="auto"/>
            </w:tcBorders>
            <w:shd w:val="clear" w:color="auto" w:fill="auto"/>
            <w:vAlign w:val="center"/>
          </w:tcPr>
          <w:p w14:paraId="560BF9DA" w14:textId="77777777" w:rsidR="001E53F7" w:rsidRPr="008D0238" w:rsidRDefault="001E53F7" w:rsidP="001E53F7">
            <w:pPr>
              <w:widowControl w:val="0"/>
              <w:jc w:val="right"/>
              <w:rPr>
                <w:rFonts w:ascii="Arial Narrow" w:hAnsi="Arial Narrow" w:cs="Calibri"/>
                <w:sz w:val="20"/>
                <w:szCs w:val="20"/>
              </w:rPr>
            </w:pPr>
            <w:r w:rsidRPr="008D0238">
              <w:rPr>
                <w:rFonts w:ascii="Arial Narrow" w:hAnsi="Arial Narrow" w:cs="Calibri"/>
                <w:sz w:val="20"/>
                <w:szCs w:val="20"/>
              </w:rPr>
              <w:t>122 483</w:t>
            </w:r>
          </w:p>
        </w:tc>
        <w:tc>
          <w:tcPr>
            <w:tcW w:w="1450" w:type="dxa"/>
            <w:tcBorders>
              <w:top w:val="nil"/>
              <w:left w:val="nil"/>
              <w:bottom w:val="single" w:sz="4" w:space="0" w:color="auto"/>
              <w:right w:val="single" w:sz="4" w:space="0" w:color="auto"/>
            </w:tcBorders>
            <w:shd w:val="clear" w:color="auto" w:fill="auto"/>
            <w:vAlign w:val="center"/>
          </w:tcPr>
          <w:p w14:paraId="247CF205" w14:textId="77777777" w:rsidR="001E53F7" w:rsidRPr="008D0238" w:rsidRDefault="001E53F7" w:rsidP="001E53F7">
            <w:pPr>
              <w:widowControl w:val="0"/>
              <w:jc w:val="right"/>
              <w:rPr>
                <w:rFonts w:ascii="Arial Narrow" w:hAnsi="Arial Narrow" w:cs="Calibri"/>
                <w:sz w:val="20"/>
                <w:szCs w:val="20"/>
              </w:rPr>
            </w:pPr>
            <w:r w:rsidRPr="008D0238">
              <w:rPr>
                <w:rFonts w:ascii="Arial Narrow" w:hAnsi="Arial Narrow" w:cs="Calibri"/>
                <w:sz w:val="20"/>
                <w:szCs w:val="20"/>
              </w:rPr>
              <w:t>113 018</w:t>
            </w:r>
          </w:p>
        </w:tc>
        <w:tc>
          <w:tcPr>
            <w:tcW w:w="1624" w:type="dxa"/>
            <w:tcBorders>
              <w:top w:val="nil"/>
              <w:left w:val="nil"/>
              <w:bottom w:val="single" w:sz="4" w:space="0" w:color="auto"/>
              <w:right w:val="single" w:sz="4" w:space="0" w:color="auto"/>
            </w:tcBorders>
            <w:shd w:val="clear" w:color="auto" w:fill="auto"/>
            <w:vAlign w:val="center"/>
          </w:tcPr>
          <w:p w14:paraId="685D6AC7" w14:textId="77777777" w:rsidR="001E53F7" w:rsidRPr="008D0238" w:rsidRDefault="001E53F7" w:rsidP="001E53F7">
            <w:pPr>
              <w:widowControl w:val="0"/>
              <w:jc w:val="right"/>
              <w:rPr>
                <w:rFonts w:ascii="Arial Narrow" w:hAnsi="Arial Narrow" w:cs="Calibri"/>
                <w:sz w:val="20"/>
                <w:szCs w:val="20"/>
              </w:rPr>
            </w:pPr>
            <w:r w:rsidRPr="008D0238">
              <w:rPr>
                <w:rFonts w:ascii="Arial Narrow" w:hAnsi="Arial Narrow" w:cs="Calibri"/>
                <w:sz w:val="20"/>
                <w:szCs w:val="20"/>
              </w:rPr>
              <w:t>856</w:t>
            </w:r>
          </w:p>
        </w:tc>
        <w:tc>
          <w:tcPr>
            <w:tcW w:w="1109" w:type="dxa"/>
            <w:tcBorders>
              <w:top w:val="nil"/>
              <w:left w:val="nil"/>
              <w:bottom w:val="single" w:sz="4" w:space="0" w:color="auto"/>
              <w:right w:val="single" w:sz="4" w:space="0" w:color="auto"/>
            </w:tcBorders>
            <w:shd w:val="clear" w:color="auto" w:fill="auto"/>
            <w:vAlign w:val="center"/>
          </w:tcPr>
          <w:p w14:paraId="62D640A3" w14:textId="77777777" w:rsidR="001E53F7" w:rsidRPr="008D0238" w:rsidRDefault="001E53F7" w:rsidP="001E53F7">
            <w:pPr>
              <w:widowControl w:val="0"/>
              <w:jc w:val="right"/>
              <w:rPr>
                <w:rFonts w:ascii="Arial Narrow" w:hAnsi="Arial Narrow" w:cs="Calibri"/>
                <w:sz w:val="20"/>
                <w:szCs w:val="20"/>
              </w:rPr>
            </w:pPr>
            <w:r w:rsidRPr="008D0238">
              <w:rPr>
                <w:rFonts w:ascii="Arial Narrow" w:hAnsi="Arial Narrow" w:cs="Calibri"/>
                <w:sz w:val="20"/>
                <w:szCs w:val="20"/>
              </w:rPr>
              <w:t>4 870</w:t>
            </w:r>
          </w:p>
        </w:tc>
        <w:tc>
          <w:tcPr>
            <w:tcW w:w="1385" w:type="dxa"/>
            <w:tcBorders>
              <w:top w:val="nil"/>
              <w:left w:val="nil"/>
              <w:bottom w:val="single" w:sz="4" w:space="0" w:color="auto"/>
              <w:right w:val="single" w:sz="4" w:space="0" w:color="auto"/>
            </w:tcBorders>
            <w:shd w:val="clear" w:color="auto" w:fill="auto"/>
            <w:vAlign w:val="center"/>
          </w:tcPr>
          <w:p w14:paraId="507AA014" w14:textId="77777777" w:rsidR="001E53F7" w:rsidRPr="008D0238" w:rsidRDefault="001E53F7" w:rsidP="001E53F7">
            <w:pPr>
              <w:widowControl w:val="0"/>
              <w:jc w:val="right"/>
              <w:rPr>
                <w:rFonts w:ascii="Arial Narrow" w:hAnsi="Arial Narrow" w:cs="Calibri"/>
                <w:sz w:val="20"/>
                <w:szCs w:val="20"/>
              </w:rPr>
            </w:pPr>
            <w:r w:rsidRPr="008D0238">
              <w:rPr>
                <w:rFonts w:ascii="Arial Narrow" w:hAnsi="Arial Narrow" w:cs="Calibri"/>
                <w:sz w:val="20"/>
                <w:szCs w:val="20"/>
              </w:rPr>
              <w:t>3 739</w:t>
            </w:r>
          </w:p>
        </w:tc>
      </w:tr>
      <w:tr w:rsidR="001E53F7" w14:paraId="5C1F54DA" w14:textId="77777777" w:rsidTr="00677D77">
        <w:trPr>
          <w:trHeight w:val="342"/>
        </w:trPr>
        <w:tc>
          <w:tcPr>
            <w:tcW w:w="2508" w:type="dxa"/>
            <w:vAlign w:val="center"/>
          </w:tcPr>
          <w:p w14:paraId="650E1458" w14:textId="77777777" w:rsidR="001E53F7" w:rsidRPr="008D0238" w:rsidRDefault="001E53F7" w:rsidP="001E53F7">
            <w:pPr>
              <w:widowControl w:val="0"/>
              <w:rPr>
                <w:rFonts w:ascii="Arial Narrow" w:hAnsi="Arial Narrow" w:cs="Arial"/>
                <w:sz w:val="20"/>
                <w:szCs w:val="20"/>
                <w:lang w:val="bg-BG"/>
              </w:rPr>
            </w:pPr>
            <w:r w:rsidRPr="008D0238">
              <w:rPr>
                <w:rFonts w:ascii="Arial Narrow" w:hAnsi="Arial Narrow" w:cs="Arial"/>
                <w:sz w:val="20"/>
                <w:szCs w:val="20"/>
                <w:lang w:val="bg-BG"/>
              </w:rPr>
              <w:t>Североизточен</w:t>
            </w:r>
          </w:p>
        </w:tc>
        <w:tc>
          <w:tcPr>
            <w:tcW w:w="1734" w:type="dxa"/>
            <w:tcBorders>
              <w:top w:val="nil"/>
              <w:left w:val="single" w:sz="4" w:space="0" w:color="auto"/>
              <w:bottom w:val="single" w:sz="4" w:space="0" w:color="auto"/>
              <w:right w:val="single" w:sz="4" w:space="0" w:color="auto"/>
            </w:tcBorders>
            <w:shd w:val="clear" w:color="000000" w:fill="FFFFFF"/>
            <w:vAlign w:val="center"/>
          </w:tcPr>
          <w:p w14:paraId="682F7298" w14:textId="77777777" w:rsidR="001E53F7" w:rsidRPr="008D0238" w:rsidRDefault="001E53F7" w:rsidP="001E53F7">
            <w:pPr>
              <w:widowControl w:val="0"/>
              <w:jc w:val="right"/>
              <w:rPr>
                <w:rFonts w:ascii="Arial Narrow" w:hAnsi="Arial Narrow" w:cs="Calibri"/>
                <w:sz w:val="20"/>
                <w:szCs w:val="20"/>
              </w:rPr>
            </w:pPr>
            <w:r w:rsidRPr="008D0238">
              <w:rPr>
                <w:rFonts w:ascii="Arial Narrow" w:hAnsi="Arial Narrow" w:cs="Calibri"/>
                <w:sz w:val="20"/>
                <w:szCs w:val="20"/>
              </w:rPr>
              <w:t>143 415</w:t>
            </w:r>
          </w:p>
        </w:tc>
        <w:tc>
          <w:tcPr>
            <w:tcW w:w="1450" w:type="dxa"/>
            <w:tcBorders>
              <w:top w:val="nil"/>
              <w:left w:val="nil"/>
              <w:bottom w:val="single" w:sz="4" w:space="0" w:color="auto"/>
              <w:right w:val="single" w:sz="4" w:space="0" w:color="auto"/>
            </w:tcBorders>
            <w:shd w:val="clear" w:color="auto" w:fill="auto"/>
            <w:vAlign w:val="center"/>
          </w:tcPr>
          <w:p w14:paraId="7F4C305E" w14:textId="77777777" w:rsidR="001E53F7" w:rsidRPr="008D0238" w:rsidRDefault="001E53F7" w:rsidP="001E53F7">
            <w:pPr>
              <w:widowControl w:val="0"/>
              <w:jc w:val="right"/>
              <w:rPr>
                <w:rFonts w:ascii="Arial Narrow" w:hAnsi="Arial Narrow" w:cs="Calibri"/>
                <w:sz w:val="20"/>
                <w:szCs w:val="20"/>
              </w:rPr>
            </w:pPr>
            <w:r w:rsidRPr="008D0238">
              <w:rPr>
                <w:rFonts w:ascii="Arial Narrow" w:hAnsi="Arial Narrow" w:cs="Calibri"/>
                <w:sz w:val="20"/>
                <w:szCs w:val="20"/>
              </w:rPr>
              <w:t>134 778</w:t>
            </w:r>
          </w:p>
        </w:tc>
        <w:tc>
          <w:tcPr>
            <w:tcW w:w="1624" w:type="dxa"/>
            <w:tcBorders>
              <w:top w:val="nil"/>
              <w:left w:val="nil"/>
              <w:bottom w:val="single" w:sz="4" w:space="0" w:color="auto"/>
              <w:right w:val="single" w:sz="4" w:space="0" w:color="auto"/>
            </w:tcBorders>
            <w:shd w:val="clear" w:color="auto" w:fill="auto"/>
            <w:vAlign w:val="center"/>
          </w:tcPr>
          <w:p w14:paraId="28E88FB8" w14:textId="77777777" w:rsidR="001E53F7" w:rsidRPr="008D0238" w:rsidRDefault="001E53F7" w:rsidP="001E53F7">
            <w:pPr>
              <w:widowControl w:val="0"/>
              <w:jc w:val="right"/>
              <w:rPr>
                <w:rFonts w:ascii="Arial Narrow" w:hAnsi="Arial Narrow" w:cs="Calibri"/>
                <w:sz w:val="20"/>
                <w:szCs w:val="20"/>
              </w:rPr>
            </w:pPr>
            <w:r w:rsidRPr="008D0238">
              <w:rPr>
                <w:rFonts w:ascii="Arial Narrow" w:hAnsi="Arial Narrow" w:cs="Calibri"/>
                <w:sz w:val="20"/>
                <w:szCs w:val="20"/>
              </w:rPr>
              <w:t>885</w:t>
            </w:r>
          </w:p>
        </w:tc>
        <w:tc>
          <w:tcPr>
            <w:tcW w:w="1109" w:type="dxa"/>
            <w:tcBorders>
              <w:top w:val="nil"/>
              <w:left w:val="nil"/>
              <w:bottom w:val="single" w:sz="4" w:space="0" w:color="auto"/>
              <w:right w:val="single" w:sz="4" w:space="0" w:color="auto"/>
            </w:tcBorders>
            <w:shd w:val="clear" w:color="auto" w:fill="auto"/>
            <w:vAlign w:val="center"/>
          </w:tcPr>
          <w:p w14:paraId="7CDE4C33" w14:textId="77777777" w:rsidR="001E53F7" w:rsidRPr="008D0238" w:rsidRDefault="001E53F7" w:rsidP="001E53F7">
            <w:pPr>
              <w:widowControl w:val="0"/>
              <w:jc w:val="right"/>
              <w:rPr>
                <w:rFonts w:ascii="Arial Narrow" w:hAnsi="Arial Narrow" w:cs="Calibri"/>
                <w:sz w:val="20"/>
                <w:szCs w:val="20"/>
              </w:rPr>
            </w:pPr>
            <w:r w:rsidRPr="008D0238">
              <w:rPr>
                <w:rFonts w:ascii="Arial Narrow" w:hAnsi="Arial Narrow" w:cs="Calibri"/>
                <w:sz w:val="20"/>
                <w:szCs w:val="20"/>
              </w:rPr>
              <w:t>5 072</w:t>
            </w:r>
          </w:p>
        </w:tc>
        <w:tc>
          <w:tcPr>
            <w:tcW w:w="1385" w:type="dxa"/>
            <w:tcBorders>
              <w:top w:val="nil"/>
              <w:left w:val="nil"/>
              <w:bottom w:val="single" w:sz="4" w:space="0" w:color="auto"/>
              <w:right w:val="single" w:sz="4" w:space="0" w:color="auto"/>
            </w:tcBorders>
            <w:shd w:val="clear" w:color="auto" w:fill="auto"/>
            <w:vAlign w:val="center"/>
          </w:tcPr>
          <w:p w14:paraId="771E2FDE" w14:textId="77777777" w:rsidR="001E53F7" w:rsidRPr="008D0238" w:rsidRDefault="001E53F7" w:rsidP="001E53F7">
            <w:pPr>
              <w:widowControl w:val="0"/>
              <w:jc w:val="right"/>
              <w:rPr>
                <w:rFonts w:ascii="Arial Narrow" w:hAnsi="Arial Narrow" w:cs="Calibri"/>
                <w:sz w:val="20"/>
                <w:szCs w:val="20"/>
              </w:rPr>
            </w:pPr>
            <w:r w:rsidRPr="008D0238">
              <w:rPr>
                <w:rFonts w:ascii="Arial Narrow" w:hAnsi="Arial Narrow" w:cs="Calibri"/>
                <w:sz w:val="20"/>
                <w:szCs w:val="20"/>
              </w:rPr>
              <w:t>2 680</w:t>
            </w:r>
          </w:p>
        </w:tc>
      </w:tr>
      <w:tr w:rsidR="001E53F7" w14:paraId="2C4063AC" w14:textId="77777777" w:rsidTr="00677D77">
        <w:trPr>
          <w:trHeight w:val="342"/>
        </w:trPr>
        <w:tc>
          <w:tcPr>
            <w:tcW w:w="2508" w:type="dxa"/>
            <w:vAlign w:val="center"/>
          </w:tcPr>
          <w:p w14:paraId="39071D1E" w14:textId="77777777" w:rsidR="001E53F7" w:rsidRPr="008D0238" w:rsidRDefault="001E53F7" w:rsidP="001E53F7">
            <w:pPr>
              <w:widowControl w:val="0"/>
              <w:rPr>
                <w:rFonts w:ascii="Arial Narrow" w:hAnsi="Arial Narrow" w:cs="Arial"/>
                <w:sz w:val="20"/>
                <w:szCs w:val="20"/>
                <w:lang w:val="bg-BG"/>
              </w:rPr>
            </w:pPr>
            <w:r w:rsidRPr="008D0238">
              <w:rPr>
                <w:rFonts w:ascii="Arial Narrow" w:hAnsi="Arial Narrow" w:cs="Arial"/>
                <w:sz w:val="20"/>
                <w:szCs w:val="20"/>
                <w:lang w:val="bg-BG"/>
              </w:rPr>
              <w:t>Югоизточен</w:t>
            </w:r>
          </w:p>
        </w:tc>
        <w:tc>
          <w:tcPr>
            <w:tcW w:w="1734" w:type="dxa"/>
            <w:tcBorders>
              <w:top w:val="nil"/>
              <w:left w:val="single" w:sz="4" w:space="0" w:color="auto"/>
              <w:bottom w:val="single" w:sz="4" w:space="0" w:color="auto"/>
              <w:right w:val="single" w:sz="4" w:space="0" w:color="auto"/>
            </w:tcBorders>
            <w:shd w:val="clear" w:color="auto" w:fill="auto"/>
            <w:vAlign w:val="center"/>
          </w:tcPr>
          <w:p w14:paraId="60F4CD48" w14:textId="77777777" w:rsidR="001E53F7" w:rsidRPr="008D0238" w:rsidRDefault="001E53F7" w:rsidP="001E53F7">
            <w:pPr>
              <w:widowControl w:val="0"/>
              <w:jc w:val="right"/>
              <w:rPr>
                <w:rFonts w:ascii="Arial Narrow" w:hAnsi="Arial Narrow" w:cs="Calibri"/>
                <w:sz w:val="20"/>
                <w:szCs w:val="20"/>
              </w:rPr>
            </w:pPr>
            <w:r w:rsidRPr="008D0238">
              <w:rPr>
                <w:rFonts w:ascii="Arial Narrow" w:hAnsi="Arial Narrow" w:cs="Calibri"/>
                <w:sz w:val="20"/>
                <w:szCs w:val="20"/>
              </w:rPr>
              <w:t>152 222</w:t>
            </w:r>
          </w:p>
        </w:tc>
        <w:tc>
          <w:tcPr>
            <w:tcW w:w="1450" w:type="dxa"/>
            <w:tcBorders>
              <w:top w:val="nil"/>
              <w:left w:val="nil"/>
              <w:bottom w:val="single" w:sz="4" w:space="0" w:color="auto"/>
              <w:right w:val="single" w:sz="4" w:space="0" w:color="auto"/>
            </w:tcBorders>
            <w:shd w:val="clear" w:color="auto" w:fill="auto"/>
            <w:vAlign w:val="center"/>
          </w:tcPr>
          <w:p w14:paraId="2A7424A4" w14:textId="77777777" w:rsidR="001E53F7" w:rsidRPr="008D0238" w:rsidRDefault="001E53F7" w:rsidP="001E53F7">
            <w:pPr>
              <w:widowControl w:val="0"/>
              <w:jc w:val="right"/>
              <w:rPr>
                <w:rFonts w:ascii="Arial Narrow" w:hAnsi="Arial Narrow" w:cs="Calibri"/>
                <w:sz w:val="20"/>
                <w:szCs w:val="20"/>
              </w:rPr>
            </w:pPr>
            <w:r w:rsidRPr="008D0238">
              <w:rPr>
                <w:rFonts w:ascii="Arial Narrow" w:hAnsi="Arial Narrow" w:cs="Calibri"/>
                <w:sz w:val="20"/>
                <w:szCs w:val="20"/>
              </w:rPr>
              <w:t>135 414</w:t>
            </w:r>
          </w:p>
        </w:tc>
        <w:tc>
          <w:tcPr>
            <w:tcW w:w="1624" w:type="dxa"/>
            <w:tcBorders>
              <w:top w:val="nil"/>
              <w:left w:val="nil"/>
              <w:bottom w:val="single" w:sz="4" w:space="0" w:color="auto"/>
              <w:right w:val="single" w:sz="4" w:space="0" w:color="auto"/>
            </w:tcBorders>
            <w:shd w:val="clear" w:color="auto" w:fill="auto"/>
            <w:vAlign w:val="center"/>
          </w:tcPr>
          <w:p w14:paraId="44AE671E" w14:textId="77777777" w:rsidR="001E53F7" w:rsidRPr="008D0238" w:rsidRDefault="001E53F7" w:rsidP="001E53F7">
            <w:pPr>
              <w:widowControl w:val="0"/>
              <w:jc w:val="right"/>
              <w:rPr>
                <w:rFonts w:ascii="Arial Narrow" w:hAnsi="Arial Narrow" w:cs="Calibri"/>
                <w:sz w:val="20"/>
                <w:szCs w:val="20"/>
              </w:rPr>
            </w:pPr>
            <w:r w:rsidRPr="008D0238">
              <w:rPr>
                <w:rFonts w:ascii="Arial Narrow" w:hAnsi="Arial Narrow" w:cs="Calibri"/>
                <w:sz w:val="20"/>
                <w:szCs w:val="20"/>
              </w:rPr>
              <w:t>3 299</w:t>
            </w:r>
          </w:p>
        </w:tc>
        <w:tc>
          <w:tcPr>
            <w:tcW w:w="1109" w:type="dxa"/>
            <w:tcBorders>
              <w:top w:val="nil"/>
              <w:left w:val="nil"/>
              <w:bottom w:val="single" w:sz="4" w:space="0" w:color="auto"/>
              <w:right w:val="single" w:sz="4" w:space="0" w:color="auto"/>
            </w:tcBorders>
            <w:shd w:val="clear" w:color="auto" w:fill="auto"/>
            <w:vAlign w:val="center"/>
          </w:tcPr>
          <w:p w14:paraId="71B6C4EF" w14:textId="77777777" w:rsidR="001E53F7" w:rsidRPr="008D0238" w:rsidRDefault="001E53F7" w:rsidP="001E53F7">
            <w:pPr>
              <w:widowControl w:val="0"/>
              <w:jc w:val="right"/>
              <w:rPr>
                <w:rFonts w:ascii="Arial Narrow" w:hAnsi="Arial Narrow" w:cs="Calibri"/>
                <w:sz w:val="20"/>
                <w:szCs w:val="20"/>
              </w:rPr>
            </w:pPr>
            <w:r w:rsidRPr="008D0238">
              <w:rPr>
                <w:rFonts w:ascii="Arial Narrow" w:hAnsi="Arial Narrow" w:cs="Calibri"/>
                <w:sz w:val="20"/>
                <w:szCs w:val="20"/>
              </w:rPr>
              <w:t>10 769</w:t>
            </w:r>
          </w:p>
        </w:tc>
        <w:tc>
          <w:tcPr>
            <w:tcW w:w="1385" w:type="dxa"/>
            <w:tcBorders>
              <w:top w:val="nil"/>
              <w:left w:val="nil"/>
              <w:bottom w:val="single" w:sz="4" w:space="0" w:color="auto"/>
              <w:right w:val="single" w:sz="4" w:space="0" w:color="auto"/>
            </w:tcBorders>
            <w:shd w:val="clear" w:color="auto" w:fill="auto"/>
            <w:vAlign w:val="center"/>
          </w:tcPr>
          <w:p w14:paraId="0BADF944" w14:textId="77777777" w:rsidR="001E53F7" w:rsidRPr="008D0238" w:rsidRDefault="001E53F7" w:rsidP="001E53F7">
            <w:pPr>
              <w:widowControl w:val="0"/>
              <w:jc w:val="right"/>
              <w:rPr>
                <w:rFonts w:ascii="Arial Narrow" w:hAnsi="Arial Narrow" w:cs="Calibri"/>
                <w:sz w:val="20"/>
                <w:szCs w:val="20"/>
              </w:rPr>
            </w:pPr>
            <w:r w:rsidRPr="008D0238">
              <w:rPr>
                <w:rFonts w:ascii="Arial Narrow" w:hAnsi="Arial Narrow" w:cs="Calibri"/>
                <w:sz w:val="20"/>
                <w:szCs w:val="20"/>
              </w:rPr>
              <w:t>2 740</w:t>
            </w:r>
          </w:p>
        </w:tc>
      </w:tr>
      <w:tr w:rsidR="001E53F7" w14:paraId="4695AB74" w14:textId="77777777" w:rsidTr="00677D77">
        <w:trPr>
          <w:trHeight w:val="342"/>
        </w:trPr>
        <w:tc>
          <w:tcPr>
            <w:tcW w:w="2508" w:type="dxa"/>
            <w:vAlign w:val="center"/>
          </w:tcPr>
          <w:p w14:paraId="3D3C7947" w14:textId="77777777" w:rsidR="001E53F7" w:rsidRPr="008D0238" w:rsidRDefault="001E53F7" w:rsidP="001E53F7">
            <w:pPr>
              <w:widowControl w:val="0"/>
              <w:rPr>
                <w:rFonts w:ascii="Arial Narrow" w:hAnsi="Arial Narrow" w:cs="Arial"/>
                <w:sz w:val="20"/>
                <w:szCs w:val="20"/>
                <w:lang w:val="bg-BG"/>
              </w:rPr>
            </w:pPr>
            <w:r w:rsidRPr="008D0238">
              <w:rPr>
                <w:rFonts w:ascii="Arial Narrow" w:hAnsi="Arial Narrow" w:cs="Arial"/>
                <w:sz w:val="20"/>
                <w:szCs w:val="20"/>
                <w:lang w:val="bg-BG"/>
              </w:rPr>
              <w:t>Югозападен</w:t>
            </w:r>
          </w:p>
        </w:tc>
        <w:tc>
          <w:tcPr>
            <w:tcW w:w="1734" w:type="dxa"/>
            <w:tcBorders>
              <w:top w:val="nil"/>
              <w:left w:val="single" w:sz="4" w:space="0" w:color="auto"/>
              <w:bottom w:val="single" w:sz="4" w:space="0" w:color="auto"/>
              <w:right w:val="single" w:sz="4" w:space="0" w:color="auto"/>
            </w:tcBorders>
            <w:shd w:val="clear" w:color="auto" w:fill="auto"/>
            <w:vAlign w:val="center"/>
          </w:tcPr>
          <w:p w14:paraId="540570AF" w14:textId="77777777" w:rsidR="001E53F7" w:rsidRPr="008D0238" w:rsidRDefault="001E53F7" w:rsidP="001E53F7">
            <w:pPr>
              <w:widowControl w:val="0"/>
              <w:jc w:val="right"/>
              <w:rPr>
                <w:rFonts w:ascii="Arial Narrow" w:hAnsi="Arial Narrow" w:cs="Calibri"/>
                <w:sz w:val="20"/>
                <w:szCs w:val="20"/>
              </w:rPr>
            </w:pPr>
            <w:r w:rsidRPr="008D0238">
              <w:rPr>
                <w:rFonts w:ascii="Arial Narrow" w:hAnsi="Arial Narrow" w:cs="Calibri"/>
                <w:sz w:val="20"/>
                <w:szCs w:val="20"/>
              </w:rPr>
              <w:t>63 142</w:t>
            </w:r>
          </w:p>
        </w:tc>
        <w:tc>
          <w:tcPr>
            <w:tcW w:w="1450" w:type="dxa"/>
            <w:tcBorders>
              <w:top w:val="nil"/>
              <w:left w:val="nil"/>
              <w:bottom w:val="single" w:sz="4" w:space="0" w:color="auto"/>
              <w:right w:val="single" w:sz="4" w:space="0" w:color="auto"/>
            </w:tcBorders>
            <w:shd w:val="clear" w:color="auto" w:fill="auto"/>
            <w:vAlign w:val="center"/>
          </w:tcPr>
          <w:p w14:paraId="6FC0C5E2" w14:textId="77777777" w:rsidR="001E53F7" w:rsidRPr="008D0238" w:rsidRDefault="001E53F7" w:rsidP="001E53F7">
            <w:pPr>
              <w:widowControl w:val="0"/>
              <w:jc w:val="right"/>
              <w:rPr>
                <w:rFonts w:ascii="Arial Narrow" w:hAnsi="Arial Narrow" w:cs="Calibri"/>
                <w:sz w:val="20"/>
                <w:szCs w:val="20"/>
              </w:rPr>
            </w:pPr>
            <w:r w:rsidRPr="008D0238">
              <w:rPr>
                <w:rFonts w:ascii="Arial Narrow" w:hAnsi="Arial Narrow" w:cs="Calibri"/>
                <w:sz w:val="20"/>
                <w:szCs w:val="20"/>
              </w:rPr>
              <w:t>53 056</w:t>
            </w:r>
          </w:p>
        </w:tc>
        <w:tc>
          <w:tcPr>
            <w:tcW w:w="1624" w:type="dxa"/>
            <w:tcBorders>
              <w:top w:val="nil"/>
              <w:left w:val="nil"/>
              <w:bottom w:val="single" w:sz="4" w:space="0" w:color="auto"/>
              <w:right w:val="single" w:sz="4" w:space="0" w:color="auto"/>
            </w:tcBorders>
            <w:shd w:val="clear" w:color="auto" w:fill="auto"/>
            <w:vAlign w:val="center"/>
          </w:tcPr>
          <w:p w14:paraId="517466E9" w14:textId="77777777" w:rsidR="001E53F7" w:rsidRPr="008D0238" w:rsidRDefault="001E53F7" w:rsidP="001E53F7">
            <w:pPr>
              <w:widowControl w:val="0"/>
              <w:jc w:val="right"/>
              <w:rPr>
                <w:rFonts w:ascii="Arial Narrow" w:hAnsi="Arial Narrow" w:cs="Calibri"/>
                <w:sz w:val="20"/>
                <w:szCs w:val="20"/>
              </w:rPr>
            </w:pPr>
            <w:r w:rsidRPr="008D0238">
              <w:rPr>
                <w:rFonts w:ascii="Arial Narrow" w:hAnsi="Arial Narrow" w:cs="Calibri"/>
                <w:sz w:val="20"/>
                <w:szCs w:val="20"/>
              </w:rPr>
              <w:t>698</w:t>
            </w:r>
          </w:p>
        </w:tc>
        <w:tc>
          <w:tcPr>
            <w:tcW w:w="1109" w:type="dxa"/>
            <w:tcBorders>
              <w:top w:val="nil"/>
              <w:left w:val="nil"/>
              <w:bottom w:val="single" w:sz="4" w:space="0" w:color="auto"/>
              <w:right w:val="single" w:sz="4" w:space="0" w:color="auto"/>
            </w:tcBorders>
            <w:shd w:val="clear" w:color="auto" w:fill="auto"/>
            <w:vAlign w:val="center"/>
          </w:tcPr>
          <w:p w14:paraId="799CE390" w14:textId="77777777" w:rsidR="001E53F7" w:rsidRPr="008D0238" w:rsidRDefault="001E53F7" w:rsidP="001E53F7">
            <w:pPr>
              <w:widowControl w:val="0"/>
              <w:jc w:val="right"/>
              <w:rPr>
                <w:rFonts w:ascii="Arial Narrow" w:hAnsi="Arial Narrow" w:cs="Calibri"/>
                <w:sz w:val="20"/>
                <w:szCs w:val="20"/>
              </w:rPr>
            </w:pPr>
            <w:r w:rsidRPr="008D0238">
              <w:rPr>
                <w:rFonts w:ascii="Arial Narrow" w:hAnsi="Arial Narrow" w:cs="Calibri"/>
                <w:sz w:val="20"/>
                <w:szCs w:val="20"/>
              </w:rPr>
              <w:t>6 554</w:t>
            </w:r>
          </w:p>
        </w:tc>
        <w:tc>
          <w:tcPr>
            <w:tcW w:w="1385" w:type="dxa"/>
            <w:tcBorders>
              <w:top w:val="nil"/>
              <w:left w:val="nil"/>
              <w:bottom w:val="single" w:sz="4" w:space="0" w:color="auto"/>
              <w:right w:val="single" w:sz="4" w:space="0" w:color="auto"/>
            </w:tcBorders>
            <w:shd w:val="clear" w:color="auto" w:fill="auto"/>
            <w:vAlign w:val="center"/>
          </w:tcPr>
          <w:p w14:paraId="12D3133C" w14:textId="77777777" w:rsidR="001E53F7" w:rsidRPr="008D0238" w:rsidRDefault="001E53F7" w:rsidP="001E53F7">
            <w:pPr>
              <w:widowControl w:val="0"/>
              <w:jc w:val="right"/>
              <w:rPr>
                <w:rFonts w:ascii="Arial Narrow" w:hAnsi="Arial Narrow" w:cs="Calibri"/>
                <w:sz w:val="20"/>
                <w:szCs w:val="20"/>
              </w:rPr>
            </w:pPr>
            <w:r w:rsidRPr="008D0238">
              <w:rPr>
                <w:rFonts w:ascii="Arial Narrow" w:hAnsi="Arial Narrow" w:cs="Calibri"/>
                <w:sz w:val="20"/>
                <w:szCs w:val="20"/>
              </w:rPr>
              <w:t>2 834</w:t>
            </w:r>
          </w:p>
        </w:tc>
      </w:tr>
      <w:tr w:rsidR="001E53F7" w14:paraId="40CD5909" w14:textId="77777777" w:rsidTr="00677D77">
        <w:trPr>
          <w:trHeight w:val="342"/>
        </w:trPr>
        <w:tc>
          <w:tcPr>
            <w:tcW w:w="2508" w:type="dxa"/>
            <w:vAlign w:val="center"/>
          </w:tcPr>
          <w:p w14:paraId="76DF65FE" w14:textId="77777777" w:rsidR="001E53F7" w:rsidRPr="008D0238" w:rsidRDefault="001E53F7" w:rsidP="001E53F7">
            <w:pPr>
              <w:widowControl w:val="0"/>
              <w:rPr>
                <w:rFonts w:ascii="Arial Narrow" w:hAnsi="Arial Narrow" w:cs="Arial"/>
                <w:sz w:val="20"/>
                <w:szCs w:val="20"/>
                <w:lang w:val="bg-BG"/>
              </w:rPr>
            </w:pPr>
            <w:r w:rsidRPr="008D0238">
              <w:rPr>
                <w:rFonts w:ascii="Arial Narrow" w:hAnsi="Arial Narrow" w:cs="Arial"/>
                <w:sz w:val="20"/>
                <w:szCs w:val="20"/>
                <w:lang w:val="bg-BG"/>
              </w:rPr>
              <w:t>Южен централен</w:t>
            </w:r>
          </w:p>
        </w:tc>
        <w:tc>
          <w:tcPr>
            <w:tcW w:w="1734" w:type="dxa"/>
            <w:tcBorders>
              <w:top w:val="nil"/>
              <w:left w:val="single" w:sz="4" w:space="0" w:color="auto"/>
              <w:bottom w:val="single" w:sz="4" w:space="0" w:color="auto"/>
              <w:right w:val="single" w:sz="4" w:space="0" w:color="auto"/>
            </w:tcBorders>
            <w:shd w:val="clear" w:color="auto" w:fill="auto"/>
            <w:vAlign w:val="center"/>
          </w:tcPr>
          <w:p w14:paraId="7358ADD7" w14:textId="77777777" w:rsidR="001E53F7" w:rsidRPr="008D0238" w:rsidRDefault="001E53F7" w:rsidP="001E53F7">
            <w:pPr>
              <w:widowControl w:val="0"/>
              <w:jc w:val="right"/>
              <w:rPr>
                <w:rFonts w:ascii="Arial Narrow" w:hAnsi="Arial Narrow" w:cs="Calibri"/>
                <w:sz w:val="20"/>
                <w:szCs w:val="20"/>
              </w:rPr>
            </w:pPr>
            <w:r w:rsidRPr="008D0238">
              <w:rPr>
                <w:rFonts w:ascii="Arial Narrow" w:hAnsi="Arial Narrow" w:cs="Calibri"/>
                <w:sz w:val="20"/>
                <w:szCs w:val="20"/>
              </w:rPr>
              <w:t>186 076</w:t>
            </w:r>
          </w:p>
        </w:tc>
        <w:tc>
          <w:tcPr>
            <w:tcW w:w="1450" w:type="dxa"/>
            <w:tcBorders>
              <w:top w:val="nil"/>
              <w:left w:val="nil"/>
              <w:bottom w:val="single" w:sz="4" w:space="0" w:color="auto"/>
              <w:right w:val="single" w:sz="4" w:space="0" w:color="auto"/>
            </w:tcBorders>
            <w:shd w:val="clear" w:color="auto" w:fill="auto"/>
            <w:vAlign w:val="center"/>
          </w:tcPr>
          <w:p w14:paraId="2C1218F4" w14:textId="77777777" w:rsidR="001E53F7" w:rsidRPr="008D0238" w:rsidRDefault="001E53F7" w:rsidP="001E53F7">
            <w:pPr>
              <w:widowControl w:val="0"/>
              <w:jc w:val="right"/>
              <w:rPr>
                <w:rFonts w:ascii="Arial Narrow" w:hAnsi="Arial Narrow" w:cs="Calibri"/>
                <w:sz w:val="20"/>
                <w:szCs w:val="20"/>
              </w:rPr>
            </w:pPr>
            <w:r w:rsidRPr="008D0238">
              <w:rPr>
                <w:rFonts w:ascii="Arial Narrow" w:hAnsi="Arial Narrow" w:cs="Calibri"/>
                <w:sz w:val="20"/>
                <w:szCs w:val="20"/>
              </w:rPr>
              <w:t>168 364</w:t>
            </w:r>
          </w:p>
        </w:tc>
        <w:tc>
          <w:tcPr>
            <w:tcW w:w="1624" w:type="dxa"/>
            <w:tcBorders>
              <w:top w:val="nil"/>
              <w:left w:val="nil"/>
              <w:bottom w:val="single" w:sz="4" w:space="0" w:color="auto"/>
              <w:right w:val="single" w:sz="4" w:space="0" w:color="auto"/>
            </w:tcBorders>
            <w:shd w:val="clear" w:color="auto" w:fill="auto"/>
            <w:vAlign w:val="center"/>
          </w:tcPr>
          <w:p w14:paraId="4D540841" w14:textId="77777777" w:rsidR="001E53F7" w:rsidRPr="008D0238" w:rsidRDefault="001E53F7" w:rsidP="001E53F7">
            <w:pPr>
              <w:widowControl w:val="0"/>
              <w:jc w:val="right"/>
              <w:rPr>
                <w:rFonts w:ascii="Arial Narrow" w:hAnsi="Arial Narrow" w:cs="Calibri"/>
                <w:sz w:val="20"/>
                <w:szCs w:val="20"/>
              </w:rPr>
            </w:pPr>
            <w:r w:rsidRPr="008D0238">
              <w:rPr>
                <w:rFonts w:ascii="Arial Narrow" w:hAnsi="Arial Narrow" w:cs="Calibri"/>
                <w:sz w:val="20"/>
                <w:szCs w:val="20"/>
              </w:rPr>
              <w:t>2 730</w:t>
            </w:r>
          </w:p>
        </w:tc>
        <w:tc>
          <w:tcPr>
            <w:tcW w:w="1109" w:type="dxa"/>
            <w:tcBorders>
              <w:top w:val="nil"/>
              <w:left w:val="nil"/>
              <w:bottom w:val="single" w:sz="4" w:space="0" w:color="auto"/>
              <w:right w:val="single" w:sz="4" w:space="0" w:color="auto"/>
            </w:tcBorders>
            <w:shd w:val="clear" w:color="auto" w:fill="auto"/>
            <w:vAlign w:val="center"/>
          </w:tcPr>
          <w:p w14:paraId="2BCD879F" w14:textId="77777777" w:rsidR="001E53F7" w:rsidRPr="008D0238" w:rsidRDefault="001E53F7" w:rsidP="001E53F7">
            <w:pPr>
              <w:widowControl w:val="0"/>
              <w:jc w:val="right"/>
              <w:rPr>
                <w:rFonts w:ascii="Arial Narrow" w:hAnsi="Arial Narrow" w:cs="Calibri"/>
                <w:sz w:val="20"/>
                <w:szCs w:val="20"/>
              </w:rPr>
            </w:pPr>
            <w:r w:rsidRPr="008D0238">
              <w:rPr>
                <w:rFonts w:ascii="Arial Narrow" w:hAnsi="Arial Narrow" w:cs="Calibri"/>
                <w:sz w:val="20"/>
                <w:szCs w:val="20"/>
              </w:rPr>
              <w:t>12 063</w:t>
            </w:r>
          </w:p>
        </w:tc>
        <w:tc>
          <w:tcPr>
            <w:tcW w:w="1385" w:type="dxa"/>
            <w:tcBorders>
              <w:top w:val="nil"/>
              <w:left w:val="nil"/>
              <w:bottom w:val="single" w:sz="4" w:space="0" w:color="auto"/>
              <w:right w:val="single" w:sz="4" w:space="0" w:color="auto"/>
            </w:tcBorders>
            <w:shd w:val="clear" w:color="auto" w:fill="auto"/>
            <w:vAlign w:val="center"/>
          </w:tcPr>
          <w:p w14:paraId="06D8A8B8" w14:textId="77777777" w:rsidR="001E53F7" w:rsidRPr="008D0238" w:rsidRDefault="001E53F7" w:rsidP="001E53F7">
            <w:pPr>
              <w:widowControl w:val="0"/>
              <w:jc w:val="right"/>
              <w:rPr>
                <w:rFonts w:ascii="Arial Narrow" w:hAnsi="Arial Narrow" w:cs="Calibri"/>
                <w:sz w:val="20"/>
                <w:szCs w:val="20"/>
              </w:rPr>
            </w:pPr>
            <w:r w:rsidRPr="008D0238">
              <w:rPr>
                <w:rFonts w:ascii="Arial Narrow" w:hAnsi="Arial Narrow" w:cs="Calibri"/>
                <w:sz w:val="20"/>
                <w:szCs w:val="20"/>
              </w:rPr>
              <w:t>2 919</w:t>
            </w:r>
          </w:p>
        </w:tc>
      </w:tr>
      <w:tr w:rsidR="001E53F7" w14:paraId="42069015" w14:textId="77777777" w:rsidTr="00677D77">
        <w:trPr>
          <w:trHeight w:val="342"/>
        </w:trPr>
        <w:tc>
          <w:tcPr>
            <w:tcW w:w="2508" w:type="dxa"/>
            <w:vAlign w:val="center"/>
          </w:tcPr>
          <w:p w14:paraId="20DD7EF8" w14:textId="77777777" w:rsidR="001E53F7" w:rsidRPr="008D0238" w:rsidRDefault="001E53F7" w:rsidP="001E53F7">
            <w:pPr>
              <w:widowControl w:val="0"/>
              <w:rPr>
                <w:rFonts w:ascii="Arial Narrow" w:hAnsi="Arial Narrow" w:cs="Arial"/>
                <w:b/>
                <w:sz w:val="20"/>
                <w:szCs w:val="20"/>
                <w:lang w:val="bg-BG"/>
              </w:rPr>
            </w:pPr>
            <w:r w:rsidRPr="008D0238">
              <w:rPr>
                <w:rFonts w:ascii="Arial Narrow" w:hAnsi="Arial Narrow" w:cs="Arial"/>
                <w:b/>
                <w:sz w:val="20"/>
                <w:szCs w:val="20"/>
                <w:lang w:val="bg-BG"/>
              </w:rPr>
              <w:t>Общо за страната</w:t>
            </w:r>
          </w:p>
        </w:tc>
        <w:tc>
          <w:tcPr>
            <w:tcW w:w="1734" w:type="dxa"/>
            <w:tcBorders>
              <w:top w:val="nil"/>
              <w:left w:val="single" w:sz="4" w:space="0" w:color="auto"/>
              <w:bottom w:val="single" w:sz="4" w:space="0" w:color="auto"/>
              <w:right w:val="single" w:sz="4" w:space="0" w:color="auto"/>
            </w:tcBorders>
            <w:shd w:val="clear" w:color="auto" w:fill="auto"/>
            <w:vAlign w:val="center"/>
          </w:tcPr>
          <w:p w14:paraId="6C5CBB9E" w14:textId="77777777" w:rsidR="001E53F7" w:rsidRPr="008D0238" w:rsidRDefault="001E53F7" w:rsidP="001E53F7">
            <w:pPr>
              <w:widowControl w:val="0"/>
              <w:jc w:val="right"/>
              <w:rPr>
                <w:rFonts w:ascii="Arial Narrow" w:hAnsi="Arial Narrow" w:cs="Calibri"/>
                <w:b/>
                <w:sz w:val="20"/>
                <w:szCs w:val="20"/>
              </w:rPr>
            </w:pPr>
            <w:r w:rsidRPr="008D0238">
              <w:rPr>
                <w:rFonts w:ascii="Arial Narrow" w:hAnsi="Arial Narrow" w:cs="Calibri"/>
                <w:b/>
                <w:sz w:val="20"/>
                <w:szCs w:val="20"/>
              </w:rPr>
              <w:t>770 520</w:t>
            </w:r>
          </w:p>
        </w:tc>
        <w:tc>
          <w:tcPr>
            <w:tcW w:w="1450" w:type="dxa"/>
            <w:tcBorders>
              <w:top w:val="nil"/>
              <w:left w:val="nil"/>
              <w:bottom w:val="single" w:sz="4" w:space="0" w:color="auto"/>
              <w:right w:val="single" w:sz="4" w:space="0" w:color="auto"/>
            </w:tcBorders>
            <w:shd w:val="clear" w:color="auto" w:fill="auto"/>
            <w:vAlign w:val="center"/>
          </w:tcPr>
          <w:p w14:paraId="3C96A033" w14:textId="77777777" w:rsidR="001E53F7" w:rsidRPr="008D0238" w:rsidRDefault="001E53F7" w:rsidP="001E53F7">
            <w:pPr>
              <w:widowControl w:val="0"/>
              <w:jc w:val="right"/>
              <w:rPr>
                <w:rFonts w:ascii="Arial Narrow" w:hAnsi="Arial Narrow" w:cs="Calibri"/>
                <w:b/>
                <w:sz w:val="20"/>
                <w:szCs w:val="20"/>
              </w:rPr>
            </w:pPr>
            <w:r w:rsidRPr="008D0238">
              <w:rPr>
                <w:rFonts w:ascii="Arial Narrow" w:hAnsi="Arial Narrow" w:cs="Calibri"/>
                <w:b/>
                <w:sz w:val="20"/>
                <w:szCs w:val="20"/>
              </w:rPr>
              <w:t>687 584</w:t>
            </w:r>
          </w:p>
        </w:tc>
        <w:tc>
          <w:tcPr>
            <w:tcW w:w="1624" w:type="dxa"/>
            <w:tcBorders>
              <w:top w:val="nil"/>
              <w:left w:val="nil"/>
              <w:bottom w:val="single" w:sz="4" w:space="0" w:color="auto"/>
              <w:right w:val="single" w:sz="4" w:space="0" w:color="auto"/>
            </w:tcBorders>
            <w:shd w:val="clear" w:color="auto" w:fill="auto"/>
            <w:vAlign w:val="center"/>
          </w:tcPr>
          <w:p w14:paraId="798C8B7B" w14:textId="77777777" w:rsidR="001E53F7" w:rsidRPr="008D0238" w:rsidRDefault="001E53F7" w:rsidP="001E53F7">
            <w:pPr>
              <w:widowControl w:val="0"/>
              <w:jc w:val="right"/>
              <w:rPr>
                <w:rFonts w:ascii="Arial Narrow" w:hAnsi="Arial Narrow" w:cs="Calibri"/>
                <w:b/>
                <w:sz w:val="20"/>
                <w:szCs w:val="20"/>
              </w:rPr>
            </w:pPr>
            <w:r w:rsidRPr="008D0238">
              <w:rPr>
                <w:rFonts w:ascii="Arial Narrow" w:hAnsi="Arial Narrow" w:cs="Calibri"/>
                <w:b/>
                <w:sz w:val="20"/>
                <w:szCs w:val="20"/>
              </w:rPr>
              <w:t>15 444</w:t>
            </w:r>
          </w:p>
        </w:tc>
        <w:tc>
          <w:tcPr>
            <w:tcW w:w="1109" w:type="dxa"/>
            <w:tcBorders>
              <w:top w:val="nil"/>
              <w:left w:val="nil"/>
              <w:bottom w:val="single" w:sz="4" w:space="0" w:color="auto"/>
              <w:right w:val="single" w:sz="4" w:space="0" w:color="auto"/>
            </w:tcBorders>
            <w:shd w:val="clear" w:color="auto" w:fill="auto"/>
            <w:vAlign w:val="center"/>
          </w:tcPr>
          <w:p w14:paraId="1FCFEE6A" w14:textId="77777777" w:rsidR="001E53F7" w:rsidRPr="008D0238" w:rsidRDefault="001E53F7" w:rsidP="001E53F7">
            <w:pPr>
              <w:widowControl w:val="0"/>
              <w:jc w:val="right"/>
              <w:rPr>
                <w:rFonts w:ascii="Arial Narrow" w:hAnsi="Arial Narrow" w:cs="Calibri"/>
                <w:b/>
                <w:sz w:val="20"/>
                <w:szCs w:val="20"/>
              </w:rPr>
            </w:pPr>
            <w:r w:rsidRPr="008D0238">
              <w:rPr>
                <w:rFonts w:ascii="Arial Narrow" w:hAnsi="Arial Narrow" w:cs="Calibri"/>
                <w:b/>
                <w:sz w:val="20"/>
                <w:szCs w:val="20"/>
              </w:rPr>
              <w:t>48 125</w:t>
            </w:r>
          </w:p>
        </w:tc>
        <w:tc>
          <w:tcPr>
            <w:tcW w:w="1385" w:type="dxa"/>
            <w:tcBorders>
              <w:top w:val="nil"/>
              <w:left w:val="nil"/>
              <w:bottom w:val="single" w:sz="4" w:space="0" w:color="auto"/>
              <w:right w:val="single" w:sz="4" w:space="0" w:color="auto"/>
            </w:tcBorders>
            <w:shd w:val="clear" w:color="auto" w:fill="auto"/>
            <w:vAlign w:val="center"/>
          </w:tcPr>
          <w:p w14:paraId="06FA0E63" w14:textId="77777777" w:rsidR="001E53F7" w:rsidRPr="008D0238" w:rsidRDefault="001E53F7" w:rsidP="001E53F7">
            <w:pPr>
              <w:widowControl w:val="0"/>
              <w:jc w:val="right"/>
              <w:rPr>
                <w:rFonts w:ascii="Arial Narrow" w:hAnsi="Arial Narrow" w:cs="Calibri"/>
                <w:b/>
                <w:sz w:val="20"/>
                <w:szCs w:val="20"/>
              </w:rPr>
            </w:pPr>
            <w:r w:rsidRPr="008D0238">
              <w:rPr>
                <w:rFonts w:ascii="Arial Narrow" w:hAnsi="Arial Narrow" w:cs="Calibri"/>
                <w:b/>
                <w:sz w:val="20"/>
                <w:szCs w:val="20"/>
              </w:rPr>
              <w:t>19 367</w:t>
            </w:r>
          </w:p>
        </w:tc>
      </w:tr>
      <w:tr w:rsidR="001E53F7" w14:paraId="08EDF7B8" w14:textId="77777777" w:rsidTr="00677D77">
        <w:trPr>
          <w:trHeight w:val="342"/>
        </w:trPr>
        <w:tc>
          <w:tcPr>
            <w:tcW w:w="2508" w:type="dxa"/>
            <w:vAlign w:val="center"/>
          </w:tcPr>
          <w:p w14:paraId="10D23E3D" w14:textId="77777777" w:rsidR="001E53F7" w:rsidRPr="008D0238" w:rsidRDefault="001E53F7" w:rsidP="001E53F7">
            <w:pPr>
              <w:widowControl w:val="0"/>
              <w:rPr>
                <w:rFonts w:ascii="Arial Narrow" w:hAnsi="Arial Narrow" w:cs="Arial"/>
                <w:b/>
                <w:sz w:val="20"/>
                <w:szCs w:val="20"/>
                <w:lang w:val="bg-BG"/>
              </w:rPr>
            </w:pPr>
            <w:r w:rsidRPr="008D0238">
              <w:rPr>
                <w:rFonts w:ascii="Arial Narrow" w:hAnsi="Arial Narrow" w:cs="Arial"/>
                <w:b/>
                <w:sz w:val="20"/>
                <w:szCs w:val="20"/>
                <w:lang w:val="bg-BG"/>
              </w:rPr>
              <w:t>Изменение 2024/2023</w:t>
            </w:r>
          </w:p>
        </w:tc>
        <w:tc>
          <w:tcPr>
            <w:tcW w:w="1734" w:type="dxa"/>
            <w:tcBorders>
              <w:top w:val="single" w:sz="4" w:space="0" w:color="auto"/>
              <w:left w:val="single" w:sz="4" w:space="0" w:color="auto"/>
              <w:bottom w:val="single" w:sz="4" w:space="0" w:color="auto"/>
              <w:right w:val="single" w:sz="4" w:space="0" w:color="auto"/>
            </w:tcBorders>
            <w:shd w:val="clear" w:color="auto" w:fill="auto"/>
            <w:vAlign w:val="center"/>
          </w:tcPr>
          <w:p w14:paraId="6CAA5E02" w14:textId="77777777" w:rsidR="001E53F7" w:rsidRPr="008D0238" w:rsidRDefault="001E53F7" w:rsidP="001E53F7">
            <w:pPr>
              <w:widowControl w:val="0"/>
              <w:jc w:val="right"/>
              <w:rPr>
                <w:rFonts w:ascii="Arial Narrow" w:hAnsi="Arial Narrow" w:cs="Calibri"/>
                <w:b/>
                <w:sz w:val="20"/>
                <w:szCs w:val="20"/>
              </w:rPr>
            </w:pPr>
            <w:r w:rsidRPr="008D0238">
              <w:rPr>
                <w:rFonts w:ascii="Arial Narrow" w:hAnsi="Arial Narrow" w:cs="Calibri"/>
                <w:b/>
                <w:sz w:val="20"/>
                <w:szCs w:val="20"/>
              </w:rPr>
              <w:t xml:space="preserve">  -2,7%</w:t>
            </w:r>
          </w:p>
        </w:tc>
        <w:tc>
          <w:tcPr>
            <w:tcW w:w="1450" w:type="dxa"/>
            <w:tcBorders>
              <w:top w:val="single" w:sz="4" w:space="0" w:color="auto"/>
              <w:left w:val="nil"/>
              <w:bottom w:val="single" w:sz="4" w:space="0" w:color="auto"/>
              <w:right w:val="single" w:sz="4" w:space="0" w:color="auto"/>
            </w:tcBorders>
            <w:shd w:val="clear" w:color="auto" w:fill="auto"/>
            <w:vAlign w:val="center"/>
          </w:tcPr>
          <w:p w14:paraId="5EE5673D" w14:textId="77777777" w:rsidR="001E53F7" w:rsidRPr="008D0238" w:rsidRDefault="001E53F7" w:rsidP="001E53F7">
            <w:pPr>
              <w:widowControl w:val="0"/>
              <w:jc w:val="right"/>
              <w:rPr>
                <w:rFonts w:ascii="Arial Narrow" w:hAnsi="Arial Narrow" w:cs="Calibri"/>
                <w:b/>
                <w:sz w:val="20"/>
                <w:szCs w:val="20"/>
              </w:rPr>
            </w:pPr>
            <w:r w:rsidRPr="008D0238">
              <w:rPr>
                <w:rFonts w:ascii="Arial Narrow" w:hAnsi="Arial Narrow" w:cs="Calibri"/>
                <w:b/>
                <w:sz w:val="20"/>
                <w:szCs w:val="20"/>
              </w:rPr>
              <w:t xml:space="preserve"> - 2,6%</w:t>
            </w:r>
          </w:p>
        </w:tc>
        <w:tc>
          <w:tcPr>
            <w:tcW w:w="1624" w:type="dxa"/>
            <w:tcBorders>
              <w:top w:val="single" w:sz="4" w:space="0" w:color="auto"/>
              <w:left w:val="nil"/>
              <w:bottom w:val="single" w:sz="4" w:space="0" w:color="auto"/>
              <w:right w:val="single" w:sz="4" w:space="0" w:color="auto"/>
            </w:tcBorders>
            <w:shd w:val="clear" w:color="auto" w:fill="auto"/>
            <w:vAlign w:val="center"/>
          </w:tcPr>
          <w:p w14:paraId="21B67A62" w14:textId="77777777" w:rsidR="001E53F7" w:rsidRPr="008D0238" w:rsidRDefault="001E53F7" w:rsidP="001E53F7">
            <w:pPr>
              <w:widowControl w:val="0"/>
              <w:jc w:val="right"/>
              <w:rPr>
                <w:rFonts w:ascii="Arial Narrow" w:hAnsi="Arial Narrow" w:cs="Calibri"/>
                <w:b/>
                <w:sz w:val="20"/>
                <w:szCs w:val="20"/>
              </w:rPr>
            </w:pPr>
            <w:r w:rsidRPr="008D0238">
              <w:rPr>
                <w:rFonts w:ascii="Arial Narrow" w:hAnsi="Arial Narrow" w:cs="Calibri"/>
                <w:b/>
                <w:sz w:val="20"/>
                <w:szCs w:val="20"/>
              </w:rPr>
              <w:t xml:space="preserve">  -5,6%</w:t>
            </w:r>
          </w:p>
        </w:tc>
        <w:tc>
          <w:tcPr>
            <w:tcW w:w="1109" w:type="dxa"/>
            <w:tcBorders>
              <w:top w:val="single" w:sz="4" w:space="0" w:color="auto"/>
              <w:left w:val="nil"/>
              <w:bottom w:val="single" w:sz="4" w:space="0" w:color="auto"/>
              <w:right w:val="single" w:sz="4" w:space="0" w:color="auto"/>
            </w:tcBorders>
            <w:shd w:val="clear" w:color="auto" w:fill="auto"/>
            <w:vAlign w:val="center"/>
          </w:tcPr>
          <w:p w14:paraId="7081D8AA" w14:textId="77777777" w:rsidR="001E53F7" w:rsidRPr="008D0238" w:rsidRDefault="001E53F7" w:rsidP="001E53F7">
            <w:pPr>
              <w:widowControl w:val="0"/>
              <w:jc w:val="right"/>
              <w:rPr>
                <w:rFonts w:ascii="Arial Narrow" w:hAnsi="Arial Narrow" w:cs="Calibri"/>
                <w:b/>
                <w:sz w:val="20"/>
                <w:szCs w:val="20"/>
              </w:rPr>
            </w:pPr>
            <w:r w:rsidRPr="008D0238">
              <w:rPr>
                <w:rFonts w:ascii="Arial Narrow" w:hAnsi="Arial Narrow" w:cs="Calibri"/>
                <w:b/>
                <w:sz w:val="20"/>
                <w:szCs w:val="20"/>
              </w:rPr>
              <w:t xml:space="preserve"> -4,2%</w:t>
            </w:r>
          </w:p>
        </w:tc>
        <w:tc>
          <w:tcPr>
            <w:tcW w:w="1385" w:type="dxa"/>
            <w:tcBorders>
              <w:top w:val="single" w:sz="4" w:space="0" w:color="auto"/>
              <w:left w:val="nil"/>
              <w:bottom w:val="single" w:sz="4" w:space="0" w:color="auto"/>
              <w:right w:val="single" w:sz="4" w:space="0" w:color="auto"/>
            </w:tcBorders>
            <w:shd w:val="clear" w:color="auto" w:fill="auto"/>
            <w:vAlign w:val="center"/>
          </w:tcPr>
          <w:p w14:paraId="4061F482" w14:textId="77777777" w:rsidR="001E53F7" w:rsidRPr="008D0238" w:rsidRDefault="001E53F7" w:rsidP="001E53F7">
            <w:pPr>
              <w:widowControl w:val="0"/>
              <w:jc w:val="right"/>
              <w:rPr>
                <w:rFonts w:ascii="Arial Narrow" w:hAnsi="Arial Narrow" w:cs="Calibri"/>
                <w:b/>
                <w:sz w:val="20"/>
                <w:szCs w:val="20"/>
              </w:rPr>
            </w:pPr>
            <w:r w:rsidRPr="008D0238">
              <w:rPr>
                <w:rFonts w:ascii="Arial Narrow" w:hAnsi="Arial Narrow" w:cs="Calibri"/>
                <w:b/>
                <w:sz w:val="20"/>
                <w:szCs w:val="20"/>
              </w:rPr>
              <w:t>-0,8%</w:t>
            </w:r>
          </w:p>
        </w:tc>
      </w:tr>
    </w:tbl>
    <w:p w14:paraId="2C45152D" w14:textId="77777777" w:rsidR="008D0238" w:rsidRPr="00725099" w:rsidRDefault="008D0238" w:rsidP="008D0238">
      <w:pPr>
        <w:widowControl w:val="0"/>
        <w:spacing w:after="240"/>
        <w:rPr>
          <w:rFonts w:ascii="Arial Narrow" w:hAnsi="Arial Narrow"/>
          <w:i/>
          <w:sz w:val="18"/>
          <w:szCs w:val="18"/>
          <w:lang w:val="bg-BG"/>
        </w:rPr>
      </w:pPr>
      <w:r w:rsidRPr="00725099">
        <w:rPr>
          <w:rFonts w:ascii="Arial Narrow" w:hAnsi="Arial Narrow"/>
          <w:i/>
          <w:sz w:val="18"/>
          <w:szCs w:val="18"/>
          <w:lang w:val="bg-BG"/>
        </w:rPr>
        <w:t xml:space="preserve">Източник: </w:t>
      </w:r>
      <w:r w:rsidRPr="00725099">
        <w:rPr>
          <w:rFonts w:ascii="Arial Narrow" w:eastAsia="Calibri" w:hAnsi="Arial Narrow"/>
          <w:sz w:val="18"/>
          <w:szCs w:val="18"/>
          <w:lang w:val="bg-BG"/>
        </w:rPr>
        <w:t>МЗХ</w:t>
      </w:r>
      <w:r w:rsidRPr="00725099">
        <w:rPr>
          <w:rFonts w:ascii="Arial Narrow" w:hAnsi="Arial Narrow"/>
          <w:sz w:val="18"/>
          <w:szCs w:val="18"/>
          <w:lang w:val="bg-BG"/>
        </w:rPr>
        <w:t>, отдел „Агростатистика</w:t>
      </w:r>
      <w:r w:rsidRPr="00725099">
        <w:rPr>
          <w:rFonts w:ascii="Arial Narrow" w:hAnsi="Arial Narrow"/>
          <w:i/>
          <w:sz w:val="18"/>
          <w:szCs w:val="18"/>
          <w:lang w:val="bg-BG"/>
        </w:rPr>
        <w:t>”</w:t>
      </w:r>
    </w:p>
    <w:p w14:paraId="714A3630" w14:textId="77777777" w:rsidR="009F316F" w:rsidRPr="008D0238" w:rsidRDefault="009F316F" w:rsidP="009F316F">
      <w:pPr>
        <w:widowControl w:val="0"/>
        <w:spacing w:after="120"/>
        <w:ind w:firstLine="709"/>
        <w:jc w:val="both"/>
        <w:rPr>
          <w:rFonts w:ascii="Arial Narrow" w:eastAsia="Calibri" w:hAnsi="Arial Narrow" w:cs="Arial"/>
          <w:lang w:val="bg-BG" w:eastAsia="bg-BG"/>
        </w:rPr>
      </w:pPr>
      <w:r w:rsidRPr="008D0238">
        <w:rPr>
          <w:rFonts w:ascii="Arial Narrow" w:eastAsia="Calibri" w:hAnsi="Arial Narrow" w:cs="Arial"/>
          <w:lang w:val="bg-BG" w:eastAsia="bg-BG"/>
        </w:rPr>
        <w:t>Традиционно, най-голям дял в общия добив на млечна суровина формира кравето мляко – 89,2%. Овчето мляко заема дял от 6,2%, козето – 2,5%, а биволското – 2%.</w:t>
      </w:r>
    </w:p>
    <w:p w14:paraId="470DBD48" w14:textId="77777777" w:rsidR="009F316F" w:rsidRPr="008D0238" w:rsidRDefault="009F316F" w:rsidP="009F316F">
      <w:pPr>
        <w:widowControl w:val="0"/>
        <w:spacing w:after="120"/>
        <w:ind w:firstLine="709"/>
        <w:jc w:val="both"/>
        <w:rPr>
          <w:rFonts w:ascii="Arial Narrow" w:eastAsia="Calibri" w:hAnsi="Arial Narrow" w:cs="Arial"/>
          <w:lang w:val="bg-BG" w:eastAsia="bg-BG"/>
        </w:rPr>
      </w:pPr>
      <w:r w:rsidRPr="008D0238">
        <w:rPr>
          <w:rFonts w:ascii="Arial Narrow" w:eastAsia="Calibri" w:hAnsi="Arial Narrow" w:cs="Arial"/>
          <w:lang w:val="bg-BG" w:eastAsia="bg-BG"/>
        </w:rPr>
        <w:t>Водещ при общото производство на мляко през 2024 г. остава Южен централен район, представляващ 24,1% от целия обем, следван от Югоизточен район с 19,8%. С дял от 8,2%  Югозападен район регистрира най-нисък добив.</w:t>
      </w:r>
    </w:p>
    <w:p w14:paraId="75235815" w14:textId="77777777" w:rsidR="008D0238" w:rsidRPr="008D0238" w:rsidRDefault="008D0238" w:rsidP="008D0238">
      <w:pPr>
        <w:widowControl w:val="0"/>
        <w:spacing w:after="120"/>
        <w:ind w:firstLine="709"/>
        <w:jc w:val="both"/>
        <w:rPr>
          <w:rFonts w:ascii="Arial Narrow" w:eastAsia="Calibri" w:hAnsi="Arial Narrow" w:cs="Arial"/>
          <w:lang w:val="bg-BG" w:eastAsia="bg-BG"/>
        </w:rPr>
      </w:pPr>
      <w:r w:rsidRPr="008D0238">
        <w:rPr>
          <w:rFonts w:ascii="Arial Narrow" w:eastAsia="Calibri" w:hAnsi="Arial Narrow" w:cs="Arial"/>
          <w:lang w:val="bg-BG" w:eastAsia="bg-BG"/>
        </w:rPr>
        <w:t>През 2024 г. общият добив на месо в страната нараства с 5,8% спрямо предходната година, достигайки 241 433</w:t>
      </w:r>
      <w:r w:rsidRPr="008D0238">
        <w:rPr>
          <w:rFonts w:ascii="Arial Narrow" w:eastAsia="Calibri" w:hAnsi="Arial Narrow" w:cs="Arial"/>
          <w:lang w:eastAsia="bg-BG"/>
        </w:rPr>
        <w:t xml:space="preserve"> </w:t>
      </w:r>
      <w:r w:rsidRPr="008D0238">
        <w:rPr>
          <w:rFonts w:ascii="Arial Narrow" w:eastAsia="Calibri" w:hAnsi="Arial Narrow" w:cs="Arial"/>
          <w:lang w:val="bg-BG" w:eastAsia="bg-BG"/>
        </w:rPr>
        <w:t xml:space="preserve">тона кланично тегло. Производството на червено месо бележи ръст от </w:t>
      </w:r>
      <w:r w:rsidRPr="008D0238">
        <w:rPr>
          <w:rFonts w:ascii="Arial Narrow" w:eastAsia="Calibri" w:hAnsi="Arial Narrow" w:cs="Arial"/>
          <w:lang w:eastAsia="bg-BG"/>
        </w:rPr>
        <w:t>9</w:t>
      </w:r>
      <w:r w:rsidRPr="008D0238">
        <w:rPr>
          <w:rFonts w:ascii="Arial Narrow" w:eastAsia="Calibri" w:hAnsi="Arial Narrow" w:cs="Arial"/>
          <w:lang w:val="bg-BG" w:eastAsia="bg-BG"/>
        </w:rPr>
        <w:t>,</w:t>
      </w:r>
      <w:r w:rsidRPr="008D0238">
        <w:rPr>
          <w:rFonts w:ascii="Arial Narrow" w:eastAsia="Calibri" w:hAnsi="Arial Narrow" w:cs="Arial"/>
          <w:lang w:eastAsia="bg-BG"/>
        </w:rPr>
        <w:t>5</w:t>
      </w:r>
      <w:r w:rsidRPr="008D0238">
        <w:rPr>
          <w:rFonts w:ascii="Arial Narrow" w:eastAsia="Calibri" w:hAnsi="Arial Narrow" w:cs="Arial"/>
          <w:lang w:val="bg-BG" w:eastAsia="bg-BG"/>
        </w:rPr>
        <w:t xml:space="preserve">% на годишна база, до </w:t>
      </w:r>
      <w:r w:rsidRPr="008D0238">
        <w:rPr>
          <w:rFonts w:ascii="Arial Narrow" w:eastAsia="Calibri" w:hAnsi="Arial Narrow" w:cs="Arial"/>
          <w:lang w:eastAsia="bg-BG"/>
        </w:rPr>
        <w:t xml:space="preserve">116 112 </w:t>
      </w:r>
      <w:r w:rsidRPr="008D0238">
        <w:rPr>
          <w:rFonts w:ascii="Arial Narrow" w:eastAsia="Calibri" w:hAnsi="Arial Narrow" w:cs="Arial"/>
          <w:lang w:val="bg-BG" w:eastAsia="bg-BG"/>
        </w:rPr>
        <w:t xml:space="preserve">тона, като добивът в кланиците се увеличава с 5,6%, а този в стопанствата - с 28,5%. Добитото бяло месо е общо 125 321 тона – с 2,7% над нивото от 2023 г., като е налице увеличение както на промишленото производство (с 2,2%), така и на добива в стопанствата (с 45,4%). </w:t>
      </w:r>
    </w:p>
    <w:p w14:paraId="67F7112B" w14:textId="77777777" w:rsidR="008D0238" w:rsidRPr="008D0238" w:rsidRDefault="008D0238" w:rsidP="008D0238">
      <w:pPr>
        <w:keepNext/>
        <w:widowControl w:val="0"/>
        <w:autoSpaceDE w:val="0"/>
        <w:autoSpaceDN w:val="0"/>
        <w:adjustRightInd w:val="0"/>
        <w:spacing w:after="120"/>
        <w:jc w:val="center"/>
        <w:rPr>
          <w:rFonts w:ascii="Arial Narrow" w:eastAsia="Calibri" w:hAnsi="Arial Narrow" w:cs="Arial"/>
          <w:b/>
          <w:i/>
          <w:lang w:val="bg-BG"/>
        </w:rPr>
      </w:pPr>
      <w:r w:rsidRPr="008D0238">
        <w:rPr>
          <w:rFonts w:ascii="Arial Narrow" w:eastAsia="Calibri" w:hAnsi="Arial Narrow" w:cs="Arial"/>
          <w:b/>
          <w:i/>
          <w:lang w:val="bg-BG"/>
        </w:rPr>
        <w:t>Фигура ІІ.3. Производство на месо през периода 2020 – 2024 г., тона</w:t>
      </w:r>
    </w:p>
    <w:p w14:paraId="0C5A7C0F" w14:textId="77777777" w:rsidR="008D0238" w:rsidRPr="008D0238" w:rsidRDefault="008D0238" w:rsidP="008D0238">
      <w:pPr>
        <w:widowControl w:val="0"/>
        <w:spacing w:after="240" w:line="259" w:lineRule="auto"/>
        <w:jc w:val="center"/>
        <w:rPr>
          <w:rFonts w:ascii="Arial Narrow" w:eastAsia="Calibri" w:hAnsi="Arial Narrow" w:cs="Arial"/>
          <w:b/>
          <w:i/>
          <w:lang w:val="bg-BG"/>
        </w:rPr>
      </w:pPr>
      <w:r w:rsidRPr="008D0238">
        <w:rPr>
          <w:rFonts w:ascii="Calibri" w:eastAsia="Calibri" w:hAnsi="Calibri" w:cs="Arial"/>
          <w:noProof/>
          <w:sz w:val="22"/>
          <w:szCs w:val="22"/>
        </w:rPr>
        <w:drawing>
          <wp:inline distT="0" distB="0" distL="0" distR="0" wp14:anchorId="215EFDB9" wp14:editId="5438645E">
            <wp:extent cx="5040000" cy="2880000"/>
            <wp:effectExtent l="0" t="0" r="8255" b="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06561256" w14:textId="77777777" w:rsidR="008D0238" w:rsidRPr="00725099" w:rsidRDefault="008D0238" w:rsidP="008D0238">
      <w:pPr>
        <w:widowControl w:val="0"/>
        <w:spacing w:after="240" w:line="259" w:lineRule="auto"/>
        <w:ind w:left="720" w:firstLine="539"/>
        <w:rPr>
          <w:rFonts w:ascii="Arial Narrow" w:eastAsia="Calibri" w:hAnsi="Arial Narrow" w:cs="Arial"/>
          <w:sz w:val="18"/>
          <w:lang w:val="bg-BG"/>
        </w:rPr>
      </w:pPr>
      <w:r w:rsidRPr="00725099">
        <w:rPr>
          <w:rFonts w:ascii="Arial Narrow" w:eastAsia="Calibri" w:hAnsi="Arial Narrow" w:cs="Arial"/>
          <w:i/>
          <w:sz w:val="18"/>
          <w:lang w:val="bg-BG"/>
        </w:rPr>
        <w:t xml:space="preserve">Източник: </w:t>
      </w:r>
      <w:r w:rsidRPr="00725099">
        <w:rPr>
          <w:rFonts w:ascii="Arial Narrow" w:eastAsia="Calibri" w:hAnsi="Arial Narrow" w:cs="Arial"/>
          <w:sz w:val="18"/>
          <w:lang w:val="bg-BG"/>
        </w:rPr>
        <w:t>МЗХ, отдел „Агростатистика”</w:t>
      </w:r>
    </w:p>
    <w:p w14:paraId="2F0A1A47" w14:textId="77777777" w:rsidR="008D0238" w:rsidRPr="008D0238" w:rsidRDefault="008D0238" w:rsidP="008D0238">
      <w:pPr>
        <w:widowControl w:val="0"/>
        <w:spacing w:after="120"/>
        <w:ind w:firstLine="709"/>
        <w:jc w:val="both"/>
        <w:rPr>
          <w:rFonts w:ascii="Arial Narrow" w:eastAsia="Calibri" w:hAnsi="Arial Narrow" w:cs="Arial"/>
          <w:lang w:val="bg-BG" w:eastAsia="bg-BG"/>
        </w:rPr>
      </w:pPr>
      <w:r w:rsidRPr="008D0238">
        <w:rPr>
          <w:rFonts w:ascii="Arial Narrow" w:eastAsia="Calibri" w:hAnsi="Arial Narrow" w:cs="Arial"/>
          <w:lang w:val="bg-BG" w:eastAsia="bg-BG"/>
        </w:rPr>
        <w:t>Добитото количество пчелен мед през 2024 г. е 10 440 тона - с 6,7% по-малко на годишна база, при среден добив от пчелно семейство в размер на 15 кг.</w:t>
      </w:r>
    </w:p>
    <w:p w14:paraId="319ECFA4" w14:textId="77777777" w:rsidR="008D0238" w:rsidRPr="008D0238" w:rsidRDefault="008D0238" w:rsidP="008D0238">
      <w:pPr>
        <w:widowControl w:val="0"/>
        <w:spacing w:after="120"/>
        <w:ind w:firstLine="709"/>
        <w:jc w:val="both"/>
        <w:rPr>
          <w:rFonts w:ascii="Arial Narrow" w:eastAsia="Calibri" w:hAnsi="Arial Narrow" w:cs="Arial"/>
          <w:lang w:val="bg-BG" w:eastAsia="bg-BG"/>
        </w:rPr>
      </w:pPr>
      <w:r w:rsidRPr="008D0238">
        <w:rPr>
          <w:rFonts w:ascii="Arial Narrow" w:eastAsia="Calibri" w:hAnsi="Arial Narrow" w:cs="Arial"/>
          <w:lang w:val="bg-BG" w:eastAsia="bg-BG"/>
        </w:rPr>
        <w:t>При общото производство на птичи яйца се отчита намаление с 15,8% спрямо предходната година, до 1 175 817 хил. броя, от които 1 157 097 хил. броя (98%) от кокошки.</w:t>
      </w:r>
    </w:p>
    <w:p w14:paraId="349082BF" w14:textId="77777777" w:rsidR="008D0238" w:rsidRPr="008D0238" w:rsidRDefault="008D0238" w:rsidP="008D0238">
      <w:pPr>
        <w:keepNext/>
        <w:widowControl w:val="0"/>
        <w:spacing w:after="120"/>
        <w:jc w:val="both"/>
        <w:rPr>
          <w:rFonts w:ascii="Arial Narrow" w:eastAsia="Calibri" w:hAnsi="Arial Narrow" w:cs="Arial"/>
          <w:b/>
          <w:lang w:val="bg-BG"/>
        </w:rPr>
      </w:pPr>
      <w:r w:rsidRPr="008D0238">
        <w:rPr>
          <w:rFonts w:ascii="Arial Narrow" w:eastAsia="Calibri" w:hAnsi="Arial Narrow" w:cs="Arial"/>
          <w:b/>
          <w:lang w:val="bg-BG"/>
        </w:rPr>
        <w:lastRenderedPageBreak/>
        <w:t xml:space="preserve">Таблица ІІ.15. Производство на животинска продукция през 2023 – 2024 г. </w:t>
      </w:r>
    </w:p>
    <w:tbl>
      <w:tblPr>
        <w:tblW w:w="5000" w:type="pct"/>
        <w:tblInd w:w="70"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663"/>
        <w:gridCol w:w="1709"/>
        <w:gridCol w:w="1709"/>
        <w:gridCol w:w="1709"/>
      </w:tblGrid>
      <w:tr w:rsidR="008D0238" w:rsidRPr="008D0238" w14:paraId="72998D2F" w14:textId="77777777" w:rsidTr="00725099">
        <w:trPr>
          <w:trHeight w:val="586"/>
          <w:tblHeader/>
        </w:trPr>
        <w:tc>
          <w:tcPr>
            <w:tcW w:w="2381" w:type="pct"/>
            <w:tcBorders>
              <w:top w:val="single" w:sz="8" w:space="0" w:color="auto"/>
            </w:tcBorders>
            <w:vAlign w:val="center"/>
          </w:tcPr>
          <w:p w14:paraId="26F4ADC2" w14:textId="77777777" w:rsidR="008D0238" w:rsidRPr="008D0238" w:rsidRDefault="008D0238" w:rsidP="008D0238">
            <w:pPr>
              <w:widowControl w:val="0"/>
              <w:jc w:val="center"/>
              <w:rPr>
                <w:rFonts w:ascii="Arial Narrow" w:hAnsi="Arial Narrow" w:cs="Arial"/>
                <w:b/>
                <w:sz w:val="20"/>
                <w:szCs w:val="20"/>
                <w:lang w:val="bg-BG"/>
              </w:rPr>
            </w:pPr>
            <w:r w:rsidRPr="008D0238">
              <w:rPr>
                <w:rFonts w:ascii="Arial Narrow" w:hAnsi="Arial Narrow" w:cs="Arial"/>
                <w:b/>
                <w:sz w:val="20"/>
                <w:szCs w:val="20"/>
                <w:lang w:val="bg-BG"/>
              </w:rPr>
              <w:t>Продукт</w:t>
            </w:r>
          </w:p>
        </w:tc>
        <w:tc>
          <w:tcPr>
            <w:tcW w:w="873" w:type="pct"/>
            <w:tcBorders>
              <w:top w:val="single" w:sz="8" w:space="0" w:color="auto"/>
            </w:tcBorders>
            <w:vAlign w:val="center"/>
          </w:tcPr>
          <w:p w14:paraId="13BAB330" w14:textId="77777777" w:rsidR="008D0238" w:rsidRPr="008D0238" w:rsidRDefault="008D0238" w:rsidP="008D0238">
            <w:pPr>
              <w:widowControl w:val="0"/>
              <w:jc w:val="center"/>
              <w:rPr>
                <w:rFonts w:ascii="Arial Narrow" w:hAnsi="Arial Narrow" w:cs="Arial"/>
                <w:b/>
                <w:sz w:val="20"/>
                <w:szCs w:val="20"/>
                <w:lang w:val="bg-BG"/>
              </w:rPr>
            </w:pPr>
            <w:r w:rsidRPr="008D0238">
              <w:rPr>
                <w:rFonts w:ascii="Arial Narrow" w:hAnsi="Arial Narrow" w:cs="Arial"/>
                <w:b/>
                <w:sz w:val="20"/>
                <w:szCs w:val="20"/>
                <w:lang w:val="bg-BG"/>
              </w:rPr>
              <w:t>2023</w:t>
            </w:r>
          </w:p>
        </w:tc>
        <w:tc>
          <w:tcPr>
            <w:tcW w:w="873" w:type="pct"/>
            <w:tcBorders>
              <w:top w:val="single" w:sz="8" w:space="0" w:color="auto"/>
            </w:tcBorders>
            <w:vAlign w:val="center"/>
          </w:tcPr>
          <w:p w14:paraId="7C78E564" w14:textId="77777777" w:rsidR="008D0238" w:rsidRPr="008D0238" w:rsidRDefault="008D0238" w:rsidP="008D0238">
            <w:pPr>
              <w:widowControl w:val="0"/>
              <w:jc w:val="center"/>
              <w:rPr>
                <w:rFonts w:ascii="Arial Narrow" w:hAnsi="Arial Narrow" w:cs="Arial"/>
                <w:b/>
                <w:sz w:val="20"/>
                <w:szCs w:val="20"/>
                <w:lang w:val="bg-BG"/>
              </w:rPr>
            </w:pPr>
            <w:r w:rsidRPr="008D0238">
              <w:rPr>
                <w:rFonts w:ascii="Arial Narrow" w:hAnsi="Arial Narrow" w:cs="Arial"/>
                <w:b/>
                <w:sz w:val="20"/>
                <w:szCs w:val="20"/>
                <w:lang w:val="bg-BG"/>
              </w:rPr>
              <w:t>2024</w:t>
            </w:r>
          </w:p>
        </w:tc>
        <w:tc>
          <w:tcPr>
            <w:tcW w:w="873" w:type="pct"/>
            <w:tcBorders>
              <w:top w:val="single" w:sz="8" w:space="0" w:color="auto"/>
            </w:tcBorders>
            <w:vAlign w:val="center"/>
          </w:tcPr>
          <w:p w14:paraId="45052CEE" w14:textId="77777777" w:rsidR="008D0238" w:rsidRPr="008D0238" w:rsidRDefault="008D0238" w:rsidP="008D0238">
            <w:pPr>
              <w:widowControl w:val="0"/>
              <w:jc w:val="center"/>
              <w:rPr>
                <w:rFonts w:ascii="Arial Narrow" w:hAnsi="Arial Narrow" w:cs="Arial"/>
                <w:b/>
                <w:sz w:val="20"/>
                <w:szCs w:val="20"/>
                <w:lang w:val="bg-BG"/>
              </w:rPr>
            </w:pPr>
            <w:r w:rsidRPr="008D0238">
              <w:rPr>
                <w:rFonts w:ascii="Arial Narrow" w:hAnsi="Arial Narrow" w:cs="Arial"/>
                <w:b/>
                <w:sz w:val="20"/>
                <w:szCs w:val="20"/>
                <w:lang w:val="bg-BG"/>
              </w:rPr>
              <w:t xml:space="preserve">Изменение </w:t>
            </w:r>
            <w:r w:rsidRPr="008D0238">
              <w:rPr>
                <w:rFonts w:ascii="Arial Narrow" w:hAnsi="Arial Narrow"/>
                <w:b/>
                <w:sz w:val="20"/>
                <w:szCs w:val="20"/>
                <w:lang w:val="bg-BG"/>
              </w:rPr>
              <w:t>2024/2023</w:t>
            </w:r>
          </w:p>
        </w:tc>
      </w:tr>
      <w:tr w:rsidR="008D0238" w:rsidRPr="008D0238" w14:paraId="1C599C59" w14:textId="77777777" w:rsidTr="00725099">
        <w:trPr>
          <w:trHeight w:val="319"/>
        </w:trPr>
        <w:tc>
          <w:tcPr>
            <w:tcW w:w="2381" w:type="pct"/>
            <w:vAlign w:val="center"/>
          </w:tcPr>
          <w:p w14:paraId="07CA4567" w14:textId="77777777" w:rsidR="008D0238" w:rsidRPr="008D0238" w:rsidRDefault="008D0238" w:rsidP="008D0238">
            <w:pPr>
              <w:widowControl w:val="0"/>
              <w:rPr>
                <w:rFonts w:ascii="Arial Narrow" w:hAnsi="Arial Narrow" w:cs="Arial"/>
                <w:sz w:val="20"/>
                <w:szCs w:val="20"/>
                <w:lang w:val="bg-BG"/>
              </w:rPr>
            </w:pPr>
            <w:r w:rsidRPr="008D0238">
              <w:rPr>
                <w:rFonts w:ascii="Arial Narrow" w:hAnsi="Arial Narrow" w:cs="Arial"/>
                <w:sz w:val="20"/>
                <w:szCs w:val="20"/>
                <w:lang w:val="bg-BG"/>
              </w:rPr>
              <w:t>1. Мляко - всичко (хил. литри), в т. ч.:</w:t>
            </w:r>
          </w:p>
        </w:tc>
        <w:tc>
          <w:tcPr>
            <w:tcW w:w="873" w:type="pct"/>
            <w:tcBorders>
              <w:top w:val="single" w:sz="4" w:space="0" w:color="auto"/>
              <w:left w:val="single" w:sz="4" w:space="0" w:color="auto"/>
              <w:bottom w:val="single" w:sz="4" w:space="0" w:color="auto"/>
              <w:right w:val="single" w:sz="4" w:space="0" w:color="auto"/>
            </w:tcBorders>
            <w:shd w:val="clear" w:color="auto" w:fill="auto"/>
            <w:vAlign w:val="center"/>
          </w:tcPr>
          <w:p w14:paraId="75D547AC" w14:textId="77777777" w:rsidR="008D0238" w:rsidRPr="008D0238" w:rsidRDefault="008D0238" w:rsidP="008D0238">
            <w:pPr>
              <w:widowControl w:val="0"/>
              <w:jc w:val="right"/>
              <w:rPr>
                <w:rFonts w:ascii="Arial Narrow" w:hAnsi="Arial Narrow" w:cs="Calibri"/>
                <w:sz w:val="20"/>
                <w:szCs w:val="20"/>
              </w:rPr>
            </w:pPr>
            <w:r w:rsidRPr="008D0238">
              <w:rPr>
                <w:rFonts w:ascii="Arial Narrow" w:hAnsi="Arial Narrow" w:cs="Calibri"/>
                <w:sz w:val="20"/>
                <w:szCs w:val="20"/>
              </w:rPr>
              <w:t>791 757</w:t>
            </w:r>
          </w:p>
        </w:tc>
        <w:tc>
          <w:tcPr>
            <w:tcW w:w="873" w:type="pct"/>
            <w:tcBorders>
              <w:top w:val="single" w:sz="4" w:space="0" w:color="auto"/>
              <w:left w:val="single" w:sz="4" w:space="0" w:color="auto"/>
              <w:bottom w:val="single" w:sz="4" w:space="0" w:color="auto"/>
              <w:right w:val="single" w:sz="4" w:space="0" w:color="auto"/>
            </w:tcBorders>
            <w:shd w:val="clear" w:color="auto" w:fill="auto"/>
            <w:vAlign w:val="center"/>
          </w:tcPr>
          <w:p w14:paraId="122B87B9" w14:textId="77777777" w:rsidR="008D0238" w:rsidRPr="008D0238" w:rsidRDefault="008D0238" w:rsidP="008D0238">
            <w:pPr>
              <w:widowControl w:val="0"/>
              <w:jc w:val="right"/>
              <w:rPr>
                <w:rFonts w:ascii="Arial Narrow" w:hAnsi="Arial Narrow" w:cs="Calibri"/>
                <w:sz w:val="20"/>
                <w:szCs w:val="20"/>
              </w:rPr>
            </w:pPr>
            <w:r w:rsidRPr="008D0238">
              <w:rPr>
                <w:rFonts w:ascii="Arial Narrow" w:hAnsi="Arial Narrow" w:cs="Calibri"/>
                <w:sz w:val="20"/>
                <w:szCs w:val="20"/>
              </w:rPr>
              <w:t>770 520</w:t>
            </w:r>
          </w:p>
        </w:tc>
        <w:tc>
          <w:tcPr>
            <w:tcW w:w="873" w:type="pct"/>
            <w:tcBorders>
              <w:top w:val="single" w:sz="4" w:space="0" w:color="auto"/>
              <w:left w:val="nil"/>
              <w:bottom w:val="single" w:sz="4" w:space="0" w:color="auto"/>
              <w:right w:val="single" w:sz="4" w:space="0" w:color="auto"/>
            </w:tcBorders>
            <w:shd w:val="clear" w:color="auto" w:fill="auto"/>
            <w:vAlign w:val="center"/>
          </w:tcPr>
          <w:p w14:paraId="2B028FF6" w14:textId="77777777" w:rsidR="008D0238" w:rsidRPr="008D0238" w:rsidRDefault="008D0238" w:rsidP="008D0238">
            <w:pPr>
              <w:widowControl w:val="0"/>
              <w:jc w:val="right"/>
              <w:rPr>
                <w:rFonts w:ascii="Arial Narrow" w:hAnsi="Arial Narrow" w:cs="Calibri"/>
                <w:sz w:val="20"/>
                <w:szCs w:val="20"/>
              </w:rPr>
            </w:pPr>
            <w:r w:rsidRPr="008D0238">
              <w:rPr>
                <w:rFonts w:ascii="Arial Narrow" w:hAnsi="Arial Narrow" w:cs="Calibri"/>
                <w:sz w:val="20"/>
                <w:szCs w:val="20"/>
              </w:rPr>
              <w:t>-2,7%</w:t>
            </w:r>
          </w:p>
        </w:tc>
      </w:tr>
      <w:tr w:rsidR="008D0238" w:rsidRPr="008D0238" w14:paraId="487D1A61" w14:textId="77777777" w:rsidTr="00725099">
        <w:trPr>
          <w:trHeight w:val="319"/>
        </w:trPr>
        <w:tc>
          <w:tcPr>
            <w:tcW w:w="2381" w:type="pct"/>
            <w:vAlign w:val="center"/>
          </w:tcPr>
          <w:p w14:paraId="34CFBCDA" w14:textId="77777777" w:rsidR="008D0238" w:rsidRPr="008D0238" w:rsidRDefault="008D0238" w:rsidP="008D0238">
            <w:pPr>
              <w:widowControl w:val="0"/>
              <w:rPr>
                <w:rFonts w:ascii="Arial Narrow" w:hAnsi="Arial Narrow" w:cs="Arial"/>
                <w:sz w:val="20"/>
                <w:szCs w:val="20"/>
                <w:lang w:val="bg-BG"/>
              </w:rPr>
            </w:pPr>
            <w:r w:rsidRPr="008D0238">
              <w:rPr>
                <w:rFonts w:ascii="Arial Narrow" w:hAnsi="Arial Narrow" w:cs="Arial"/>
                <w:sz w:val="20"/>
                <w:szCs w:val="20"/>
                <w:lang w:val="bg-BG"/>
              </w:rPr>
              <w:t>Краве мляко</w:t>
            </w:r>
          </w:p>
        </w:tc>
        <w:tc>
          <w:tcPr>
            <w:tcW w:w="873" w:type="pct"/>
            <w:tcBorders>
              <w:top w:val="nil"/>
              <w:left w:val="single" w:sz="4" w:space="0" w:color="auto"/>
              <w:bottom w:val="single" w:sz="4" w:space="0" w:color="auto"/>
              <w:right w:val="single" w:sz="4" w:space="0" w:color="auto"/>
            </w:tcBorders>
            <w:shd w:val="clear" w:color="auto" w:fill="auto"/>
            <w:vAlign w:val="center"/>
          </w:tcPr>
          <w:p w14:paraId="208CCBB7" w14:textId="77777777" w:rsidR="008D0238" w:rsidRPr="008D0238" w:rsidRDefault="008D0238" w:rsidP="008D0238">
            <w:pPr>
              <w:widowControl w:val="0"/>
              <w:jc w:val="right"/>
              <w:rPr>
                <w:rFonts w:ascii="Arial Narrow" w:hAnsi="Arial Narrow" w:cs="Calibri"/>
                <w:sz w:val="20"/>
                <w:szCs w:val="20"/>
              </w:rPr>
            </w:pPr>
            <w:r w:rsidRPr="008D0238">
              <w:rPr>
                <w:rFonts w:ascii="Arial Narrow" w:hAnsi="Arial Narrow" w:cs="Calibri"/>
                <w:sz w:val="20"/>
                <w:szCs w:val="20"/>
              </w:rPr>
              <w:t>705 618</w:t>
            </w:r>
          </w:p>
        </w:tc>
        <w:tc>
          <w:tcPr>
            <w:tcW w:w="873" w:type="pct"/>
            <w:tcBorders>
              <w:top w:val="nil"/>
              <w:left w:val="single" w:sz="4" w:space="0" w:color="auto"/>
              <w:bottom w:val="single" w:sz="4" w:space="0" w:color="auto"/>
              <w:right w:val="single" w:sz="4" w:space="0" w:color="auto"/>
            </w:tcBorders>
            <w:shd w:val="clear" w:color="auto" w:fill="auto"/>
            <w:vAlign w:val="center"/>
          </w:tcPr>
          <w:p w14:paraId="5470011F" w14:textId="77777777" w:rsidR="008D0238" w:rsidRPr="008D0238" w:rsidRDefault="008D0238" w:rsidP="008D0238">
            <w:pPr>
              <w:widowControl w:val="0"/>
              <w:jc w:val="right"/>
              <w:rPr>
                <w:rFonts w:ascii="Arial Narrow" w:hAnsi="Arial Narrow" w:cs="Calibri"/>
                <w:sz w:val="20"/>
                <w:szCs w:val="20"/>
              </w:rPr>
            </w:pPr>
            <w:r w:rsidRPr="008D0238">
              <w:rPr>
                <w:rFonts w:ascii="Arial Narrow" w:hAnsi="Arial Narrow" w:cs="Calibri"/>
                <w:sz w:val="20"/>
                <w:szCs w:val="20"/>
              </w:rPr>
              <w:t>687 584</w:t>
            </w:r>
          </w:p>
        </w:tc>
        <w:tc>
          <w:tcPr>
            <w:tcW w:w="873" w:type="pct"/>
            <w:tcBorders>
              <w:top w:val="nil"/>
              <w:left w:val="nil"/>
              <w:bottom w:val="single" w:sz="4" w:space="0" w:color="auto"/>
              <w:right w:val="single" w:sz="4" w:space="0" w:color="auto"/>
            </w:tcBorders>
            <w:shd w:val="clear" w:color="auto" w:fill="auto"/>
            <w:vAlign w:val="center"/>
          </w:tcPr>
          <w:p w14:paraId="67E7F3B3" w14:textId="77777777" w:rsidR="008D0238" w:rsidRPr="008D0238" w:rsidRDefault="008D0238" w:rsidP="008D0238">
            <w:pPr>
              <w:widowControl w:val="0"/>
              <w:jc w:val="right"/>
              <w:rPr>
                <w:rFonts w:ascii="Arial Narrow" w:hAnsi="Arial Narrow" w:cs="Calibri"/>
                <w:sz w:val="20"/>
                <w:szCs w:val="20"/>
              </w:rPr>
            </w:pPr>
            <w:r w:rsidRPr="008D0238">
              <w:rPr>
                <w:rFonts w:ascii="Arial Narrow" w:hAnsi="Arial Narrow" w:cs="Calibri"/>
                <w:sz w:val="20"/>
                <w:szCs w:val="20"/>
              </w:rPr>
              <w:t>-2,6%</w:t>
            </w:r>
          </w:p>
        </w:tc>
      </w:tr>
      <w:tr w:rsidR="008D0238" w:rsidRPr="008D0238" w14:paraId="3BC98FBC" w14:textId="77777777" w:rsidTr="00725099">
        <w:trPr>
          <w:trHeight w:val="319"/>
        </w:trPr>
        <w:tc>
          <w:tcPr>
            <w:tcW w:w="2381" w:type="pct"/>
            <w:vAlign w:val="center"/>
          </w:tcPr>
          <w:p w14:paraId="0269DADA" w14:textId="77777777" w:rsidR="008D0238" w:rsidRPr="008D0238" w:rsidRDefault="008D0238" w:rsidP="008D0238">
            <w:pPr>
              <w:widowControl w:val="0"/>
              <w:rPr>
                <w:rFonts w:ascii="Arial Narrow" w:hAnsi="Arial Narrow" w:cs="Arial"/>
                <w:sz w:val="20"/>
                <w:szCs w:val="20"/>
                <w:lang w:val="bg-BG"/>
              </w:rPr>
            </w:pPr>
            <w:r w:rsidRPr="008D0238">
              <w:rPr>
                <w:rFonts w:ascii="Arial Narrow" w:hAnsi="Arial Narrow" w:cs="Arial"/>
                <w:sz w:val="20"/>
                <w:szCs w:val="20"/>
                <w:lang w:val="bg-BG"/>
              </w:rPr>
              <w:t>Биволско мляко</w:t>
            </w:r>
          </w:p>
        </w:tc>
        <w:tc>
          <w:tcPr>
            <w:tcW w:w="873" w:type="pct"/>
            <w:tcBorders>
              <w:top w:val="nil"/>
              <w:left w:val="single" w:sz="4" w:space="0" w:color="auto"/>
              <w:bottom w:val="single" w:sz="4" w:space="0" w:color="auto"/>
              <w:right w:val="single" w:sz="4" w:space="0" w:color="auto"/>
            </w:tcBorders>
            <w:shd w:val="clear" w:color="auto" w:fill="auto"/>
            <w:vAlign w:val="center"/>
          </w:tcPr>
          <w:p w14:paraId="31FD87FB" w14:textId="77777777" w:rsidR="008D0238" w:rsidRPr="008D0238" w:rsidRDefault="008D0238" w:rsidP="008D0238">
            <w:pPr>
              <w:widowControl w:val="0"/>
              <w:jc w:val="right"/>
              <w:rPr>
                <w:rFonts w:ascii="Arial Narrow" w:hAnsi="Arial Narrow" w:cs="Calibri"/>
                <w:sz w:val="20"/>
                <w:szCs w:val="20"/>
              </w:rPr>
            </w:pPr>
            <w:r w:rsidRPr="008D0238">
              <w:rPr>
                <w:rFonts w:ascii="Arial Narrow" w:hAnsi="Arial Narrow" w:cs="Calibri"/>
                <w:sz w:val="20"/>
                <w:szCs w:val="20"/>
              </w:rPr>
              <w:t>16 354</w:t>
            </w:r>
          </w:p>
        </w:tc>
        <w:tc>
          <w:tcPr>
            <w:tcW w:w="873" w:type="pct"/>
            <w:tcBorders>
              <w:top w:val="nil"/>
              <w:left w:val="single" w:sz="4" w:space="0" w:color="auto"/>
              <w:bottom w:val="single" w:sz="4" w:space="0" w:color="auto"/>
              <w:right w:val="single" w:sz="4" w:space="0" w:color="auto"/>
            </w:tcBorders>
            <w:shd w:val="clear" w:color="auto" w:fill="auto"/>
            <w:vAlign w:val="center"/>
          </w:tcPr>
          <w:p w14:paraId="66567729" w14:textId="77777777" w:rsidR="008D0238" w:rsidRPr="008D0238" w:rsidRDefault="008D0238" w:rsidP="008D0238">
            <w:pPr>
              <w:widowControl w:val="0"/>
              <w:jc w:val="right"/>
              <w:rPr>
                <w:rFonts w:ascii="Arial Narrow" w:hAnsi="Arial Narrow" w:cs="Calibri"/>
                <w:sz w:val="20"/>
                <w:szCs w:val="20"/>
              </w:rPr>
            </w:pPr>
            <w:r w:rsidRPr="008D0238">
              <w:rPr>
                <w:rFonts w:ascii="Arial Narrow" w:hAnsi="Arial Narrow" w:cs="Calibri"/>
                <w:sz w:val="20"/>
                <w:szCs w:val="20"/>
              </w:rPr>
              <w:t>15 444</w:t>
            </w:r>
          </w:p>
        </w:tc>
        <w:tc>
          <w:tcPr>
            <w:tcW w:w="873" w:type="pct"/>
            <w:tcBorders>
              <w:top w:val="nil"/>
              <w:left w:val="nil"/>
              <w:bottom w:val="single" w:sz="4" w:space="0" w:color="auto"/>
              <w:right w:val="single" w:sz="4" w:space="0" w:color="auto"/>
            </w:tcBorders>
            <w:shd w:val="clear" w:color="auto" w:fill="auto"/>
            <w:vAlign w:val="center"/>
          </w:tcPr>
          <w:p w14:paraId="1E263B9C" w14:textId="77777777" w:rsidR="008D0238" w:rsidRPr="008D0238" w:rsidRDefault="008D0238" w:rsidP="008D0238">
            <w:pPr>
              <w:widowControl w:val="0"/>
              <w:jc w:val="right"/>
              <w:rPr>
                <w:rFonts w:ascii="Arial Narrow" w:hAnsi="Arial Narrow" w:cs="Calibri"/>
                <w:sz w:val="20"/>
                <w:szCs w:val="20"/>
              </w:rPr>
            </w:pPr>
            <w:r w:rsidRPr="008D0238">
              <w:rPr>
                <w:rFonts w:ascii="Arial Narrow" w:hAnsi="Arial Narrow" w:cs="Calibri"/>
                <w:sz w:val="20"/>
                <w:szCs w:val="20"/>
              </w:rPr>
              <w:t>-5,6%</w:t>
            </w:r>
          </w:p>
        </w:tc>
      </w:tr>
      <w:tr w:rsidR="008D0238" w:rsidRPr="008D0238" w14:paraId="002A4679" w14:textId="77777777" w:rsidTr="00725099">
        <w:trPr>
          <w:trHeight w:val="319"/>
        </w:trPr>
        <w:tc>
          <w:tcPr>
            <w:tcW w:w="2381" w:type="pct"/>
            <w:vAlign w:val="center"/>
          </w:tcPr>
          <w:p w14:paraId="3E9C04C0" w14:textId="77777777" w:rsidR="008D0238" w:rsidRPr="008D0238" w:rsidRDefault="008D0238" w:rsidP="008D0238">
            <w:pPr>
              <w:widowControl w:val="0"/>
              <w:rPr>
                <w:rFonts w:ascii="Arial Narrow" w:hAnsi="Arial Narrow" w:cs="Arial"/>
                <w:sz w:val="20"/>
                <w:szCs w:val="20"/>
                <w:lang w:val="bg-BG"/>
              </w:rPr>
            </w:pPr>
            <w:r w:rsidRPr="008D0238">
              <w:rPr>
                <w:rFonts w:ascii="Arial Narrow" w:hAnsi="Arial Narrow" w:cs="Arial"/>
                <w:sz w:val="20"/>
                <w:szCs w:val="20"/>
                <w:lang w:val="bg-BG"/>
              </w:rPr>
              <w:t>Овче мляко</w:t>
            </w:r>
          </w:p>
        </w:tc>
        <w:tc>
          <w:tcPr>
            <w:tcW w:w="873" w:type="pct"/>
            <w:tcBorders>
              <w:top w:val="nil"/>
              <w:left w:val="single" w:sz="4" w:space="0" w:color="auto"/>
              <w:bottom w:val="single" w:sz="4" w:space="0" w:color="auto"/>
              <w:right w:val="single" w:sz="4" w:space="0" w:color="auto"/>
            </w:tcBorders>
            <w:shd w:val="clear" w:color="auto" w:fill="auto"/>
            <w:vAlign w:val="center"/>
          </w:tcPr>
          <w:p w14:paraId="026F1158" w14:textId="77777777" w:rsidR="008D0238" w:rsidRPr="008D0238" w:rsidRDefault="008D0238" w:rsidP="008D0238">
            <w:pPr>
              <w:widowControl w:val="0"/>
              <w:jc w:val="right"/>
              <w:rPr>
                <w:rFonts w:ascii="Arial Narrow" w:hAnsi="Arial Narrow" w:cs="Calibri"/>
                <w:sz w:val="20"/>
                <w:szCs w:val="20"/>
              </w:rPr>
            </w:pPr>
            <w:r w:rsidRPr="008D0238">
              <w:rPr>
                <w:rFonts w:ascii="Arial Narrow" w:hAnsi="Arial Narrow" w:cs="Calibri"/>
                <w:sz w:val="20"/>
                <w:szCs w:val="20"/>
              </w:rPr>
              <w:t>50 255</w:t>
            </w:r>
          </w:p>
        </w:tc>
        <w:tc>
          <w:tcPr>
            <w:tcW w:w="873" w:type="pct"/>
            <w:tcBorders>
              <w:top w:val="nil"/>
              <w:left w:val="single" w:sz="4" w:space="0" w:color="auto"/>
              <w:bottom w:val="single" w:sz="4" w:space="0" w:color="auto"/>
              <w:right w:val="single" w:sz="4" w:space="0" w:color="auto"/>
            </w:tcBorders>
            <w:shd w:val="clear" w:color="auto" w:fill="auto"/>
            <w:vAlign w:val="center"/>
          </w:tcPr>
          <w:p w14:paraId="79F91D67" w14:textId="77777777" w:rsidR="008D0238" w:rsidRPr="008D0238" w:rsidRDefault="008D0238" w:rsidP="008D0238">
            <w:pPr>
              <w:widowControl w:val="0"/>
              <w:jc w:val="right"/>
              <w:rPr>
                <w:rFonts w:ascii="Arial Narrow" w:hAnsi="Arial Narrow" w:cs="Calibri"/>
                <w:sz w:val="20"/>
                <w:szCs w:val="20"/>
              </w:rPr>
            </w:pPr>
            <w:r w:rsidRPr="008D0238">
              <w:rPr>
                <w:rFonts w:ascii="Arial Narrow" w:hAnsi="Arial Narrow" w:cs="Calibri"/>
                <w:sz w:val="20"/>
                <w:szCs w:val="20"/>
              </w:rPr>
              <w:t>48 125</w:t>
            </w:r>
          </w:p>
        </w:tc>
        <w:tc>
          <w:tcPr>
            <w:tcW w:w="873" w:type="pct"/>
            <w:tcBorders>
              <w:top w:val="nil"/>
              <w:left w:val="nil"/>
              <w:bottom w:val="single" w:sz="4" w:space="0" w:color="auto"/>
              <w:right w:val="single" w:sz="4" w:space="0" w:color="auto"/>
            </w:tcBorders>
            <w:shd w:val="clear" w:color="auto" w:fill="auto"/>
            <w:vAlign w:val="center"/>
          </w:tcPr>
          <w:p w14:paraId="64EA00B7" w14:textId="77777777" w:rsidR="008D0238" w:rsidRPr="008D0238" w:rsidRDefault="008D0238" w:rsidP="008D0238">
            <w:pPr>
              <w:widowControl w:val="0"/>
              <w:jc w:val="right"/>
              <w:rPr>
                <w:rFonts w:ascii="Arial Narrow" w:hAnsi="Arial Narrow" w:cs="Calibri"/>
                <w:sz w:val="20"/>
                <w:szCs w:val="20"/>
              </w:rPr>
            </w:pPr>
            <w:r w:rsidRPr="008D0238">
              <w:rPr>
                <w:rFonts w:ascii="Arial Narrow" w:hAnsi="Arial Narrow" w:cs="Calibri"/>
                <w:sz w:val="20"/>
                <w:szCs w:val="20"/>
              </w:rPr>
              <w:t>-4,2%</w:t>
            </w:r>
          </w:p>
        </w:tc>
      </w:tr>
      <w:tr w:rsidR="008D0238" w:rsidRPr="008D0238" w14:paraId="61C1A1A1" w14:textId="77777777" w:rsidTr="00725099">
        <w:trPr>
          <w:trHeight w:val="319"/>
        </w:trPr>
        <w:tc>
          <w:tcPr>
            <w:tcW w:w="2381" w:type="pct"/>
            <w:vAlign w:val="center"/>
          </w:tcPr>
          <w:p w14:paraId="70DE4933" w14:textId="77777777" w:rsidR="008D0238" w:rsidRPr="008D0238" w:rsidRDefault="008D0238" w:rsidP="008D0238">
            <w:pPr>
              <w:widowControl w:val="0"/>
              <w:rPr>
                <w:rFonts w:ascii="Arial Narrow" w:hAnsi="Arial Narrow" w:cs="Arial"/>
                <w:sz w:val="20"/>
                <w:szCs w:val="20"/>
                <w:lang w:val="bg-BG"/>
              </w:rPr>
            </w:pPr>
            <w:r w:rsidRPr="008D0238">
              <w:rPr>
                <w:rFonts w:ascii="Arial Narrow" w:hAnsi="Arial Narrow" w:cs="Arial"/>
                <w:sz w:val="20"/>
                <w:szCs w:val="20"/>
                <w:lang w:val="bg-BG"/>
              </w:rPr>
              <w:t>Козе мляко</w:t>
            </w:r>
          </w:p>
        </w:tc>
        <w:tc>
          <w:tcPr>
            <w:tcW w:w="873" w:type="pct"/>
            <w:tcBorders>
              <w:top w:val="nil"/>
              <w:left w:val="single" w:sz="4" w:space="0" w:color="auto"/>
              <w:bottom w:val="nil"/>
              <w:right w:val="single" w:sz="4" w:space="0" w:color="auto"/>
            </w:tcBorders>
            <w:shd w:val="clear" w:color="auto" w:fill="auto"/>
            <w:vAlign w:val="center"/>
          </w:tcPr>
          <w:p w14:paraId="1AAB210B" w14:textId="77777777" w:rsidR="008D0238" w:rsidRPr="008D0238" w:rsidRDefault="008D0238" w:rsidP="008D0238">
            <w:pPr>
              <w:widowControl w:val="0"/>
              <w:jc w:val="right"/>
              <w:rPr>
                <w:rFonts w:ascii="Arial Narrow" w:hAnsi="Arial Narrow" w:cs="Calibri"/>
                <w:sz w:val="20"/>
                <w:szCs w:val="20"/>
              </w:rPr>
            </w:pPr>
            <w:r w:rsidRPr="008D0238">
              <w:rPr>
                <w:rFonts w:ascii="Arial Narrow" w:hAnsi="Arial Narrow" w:cs="Calibri"/>
                <w:sz w:val="20"/>
                <w:szCs w:val="20"/>
              </w:rPr>
              <w:t>19 530</w:t>
            </w:r>
          </w:p>
        </w:tc>
        <w:tc>
          <w:tcPr>
            <w:tcW w:w="873" w:type="pct"/>
            <w:tcBorders>
              <w:top w:val="nil"/>
              <w:left w:val="single" w:sz="4" w:space="0" w:color="auto"/>
              <w:bottom w:val="nil"/>
              <w:right w:val="single" w:sz="4" w:space="0" w:color="auto"/>
            </w:tcBorders>
            <w:shd w:val="clear" w:color="auto" w:fill="auto"/>
            <w:vAlign w:val="center"/>
          </w:tcPr>
          <w:p w14:paraId="321F5A12" w14:textId="77777777" w:rsidR="008D0238" w:rsidRPr="008D0238" w:rsidRDefault="008D0238" w:rsidP="008D0238">
            <w:pPr>
              <w:widowControl w:val="0"/>
              <w:jc w:val="right"/>
              <w:rPr>
                <w:rFonts w:ascii="Arial Narrow" w:hAnsi="Arial Narrow" w:cs="Calibri"/>
                <w:sz w:val="20"/>
                <w:szCs w:val="20"/>
              </w:rPr>
            </w:pPr>
            <w:r w:rsidRPr="008D0238">
              <w:rPr>
                <w:rFonts w:ascii="Arial Narrow" w:hAnsi="Arial Narrow" w:cs="Calibri"/>
                <w:sz w:val="20"/>
                <w:szCs w:val="20"/>
              </w:rPr>
              <w:t>19 367</w:t>
            </w:r>
          </w:p>
        </w:tc>
        <w:tc>
          <w:tcPr>
            <w:tcW w:w="873" w:type="pct"/>
            <w:tcBorders>
              <w:top w:val="nil"/>
              <w:left w:val="nil"/>
              <w:bottom w:val="single" w:sz="4" w:space="0" w:color="auto"/>
              <w:right w:val="single" w:sz="4" w:space="0" w:color="auto"/>
            </w:tcBorders>
            <w:shd w:val="clear" w:color="auto" w:fill="auto"/>
            <w:vAlign w:val="center"/>
          </w:tcPr>
          <w:p w14:paraId="77CF2B6B" w14:textId="77777777" w:rsidR="008D0238" w:rsidRPr="008D0238" w:rsidRDefault="008D0238" w:rsidP="008D0238">
            <w:pPr>
              <w:widowControl w:val="0"/>
              <w:jc w:val="right"/>
              <w:rPr>
                <w:rFonts w:ascii="Arial Narrow" w:hAnsi="Arial Narrow" w:cs="Calibri"/>
                <w:sz w:val="20"/>
                <w:szCs w:val="20"/>
              </w:rPr>
            </w:pPr>
            <w:r w:rsidRPr="008D0238">
              <w:rPr>
                <w:rFonts w:ascii="Arial Narrow" w:hAnsi="Arial Narrow" w:cs="Calibri"/>
                <w:sz w:val="20"/>
                <w:szCs w:val="20"/>
              </w:rPr>
              <w:t>-0,8%</w:t>
            </w:r>
          </w:p>
        </w:tc>
      </w:tr>
      <w:tr w:rsidR="008D0238" w:rsidRPr="008D0238" w14:paraId="5942E002" w14:textId="77777777" w:rsidTr="00725099">
        <w:trPr>
          <w:trHeight w:val="319"/>
        </w:trPr>
        <w:tc>
          <w:tcPr>
            <w:tcW w:w="2381" w:type="pct"/>
            <w:vAlign w:val="center"/>
          </w:tcPr>
          <w:p w14:paraId="5C627DC5" w14:textId="77777777" w:rsidR="008D0238" w:rsidRPr="008D0238" w:rsidRDefault="008D0238" w:rsidP="008D0238">
            <w:pPr>
              <w:widowControl w:val="0"/>
              <w:rPr>
                <w:rFonts w:ascii="Arial Narrow" w:hAnsi="Arial Narrow" w:cs="Arial"/>
                <w:sz w:val="20"/>
                <w:szCs w:val="20"/>
                <w:lang w:val="bg-BG"/>
              </w:rPr>
            </w:pPr>
            <w:r w:rsidRPr="008D0238">
              <w:rPr>
                <w:rFonts w:ascii="Arial Narrow" w:hAnsi="Arial Narrow" w:cs="Arial"/>
                <w:sz w:val="20"/>
                <w:szCs w:val="20"/>
                <w:lang w:val="bg-BG"/>
              </w:rPr>
              <w:t xml:space="preserve">2. Месо – общо в кланично тегло (тона), в т. ч.:  </w:t>
            </w:r>
          </w:p>
        </w:tc>
        <w:tc>
          <w:tcPr>
            <w:tcW w:w="873" w:type="pct"/>
            <w:tcBorders>
              <w:top w:val="single" w:sz="4" w:space="0" w:color="auto"/>
              <w:left w:val="single" w:sz="4" w:space="0" w:color="auto"/>
              <w:bottom w:val="single" w:sz="4" w:space="0" w:color="auto"/>
              <w:right w:val="single" w:sz="4" w:space="0" w:color="auto"/>
            </w:tcBorders>
            <w:shd w:val="clear" w:color="auto" w:fill="auto"/>
            <w:vAlign w:val="center"/>
          </w:tcPr>
          <w:p w14:paraId="497FD811" w14:textId="77777777" w:rsidR="008D0238" w:rsidRPr="008D0238" w:rsidRDefault="008D0238" w:rsidP="008D0238">
            <w:pPr>
              <w:widowControl w:val="0"/>
              <w:jc w:val="right"/>
              <w:rPr>
                <w:rFonts w:ascii="Arial Narrow" w:hAnsi="Arial Narrow" w:cs="Calibri"/>
                <w:sz w:val="20"/>
                <w:szCs w:val="20"/>
              </w:rPr>
            </w:pPr>
            <w:r w:rsidRPr="008D0238">
              <w:rPr>
                <w:rFonts w:ascii="Arial Narrow" w:hAnsi="Arial Narrow" w:cs="Calibri"/>
                <w:sz w:val="20"/>
                <w:szCs w:val="20"/>
              </w:rPr>
              <w:t>228 158</w:t>
            </w:r>
          </w:p>
        </w:tc>
        <w:tc>
          <w:tcPr>
            <w:tcW w:w="873" w:type="pct"/>
            <w:tcBorders>
              <w:top w:val="single" w:sz="4" w:space="0" w:color="auto"/>
              <w:left w:val="single" w:sz="4" w:space="0" w:color="auto"/>
              <w:bottom w:val="single" w:sz="4" w:space="0" w:color="auto"/>
              <w:right w:val="single" w:sz="4" w:space="0" w:color="auto"/>
            </w:tcBorders>
            <w:shd w:val="clear" w:color="000000" w:fill="FFFFFF"/>
            <w:vAlign w:val="center"/>
          </w:tcPr>
          <w:p w14:paraId="4890D46C" w14:textId="77777777" w:rsidR="008D0238" w:rsidRPr="008D0238" w:rsidRDefault="008D0238" w:rsidP="008D0238">
            <w:pPr>
              <w:widowControl w:val="0"/>
              <w:jc w:val="right"/>
              <w:rPr>
                <w:rFonts w:ascii="Arial Narrow" w:hAnsi="Arial Narrow" w:cs="Calibri"/>
                <w:sz w:val="20"/>
                <w:szCs w:val="20"/>
              </w:rPr>
            </w:pPr>
            <w:r w:rsidRPr="008D0238">
              <w:rPr>
                <w:rFonts w:ascii="Arial Narrow" w:hAnsi="Arial Narrow" w:cs="Calibri"/>
                <w:sz w:val="20"/>
                <w:szCs w:val="20"/>
              </w:rPr>
              <w:t>241 433</w:t>
            </w:r>
          </w:p>
        </w:tc>
        <w:tc>
          <w:tcPr>
            <w:tcW w:w="873" w:type="pct"/>
            <w:tcBorders>
              <w:top w:val="nil"/>
              <w:left w:val="nil"/>
              <w:bottom w:val="single" w:sz="4" w:space="0" w:color="auto"/>
              <w:right w:val="single" w:sz="4" w:space="0" w:color="auto"/>
            </w:tcBorders>
            <w:shd w:val="clear" w:color="auto" w:fill="auto"/>
            <w:vAlign w:val="center"/>
          </w:tcPr>
          <w:p w14:paraId="773221AD" w14:textId="77777777" w:rsidR="008D0238" w:rsidRPr="008D0238" w:rsidRDefault="008D0238" w:rsidP="008D0238">
            <w:pPr>
              <w:widowControl w:val="0"/>
              <w:jc w:val="right"/>
              <w:rPr>
                <w:rFonts w:ascii="Arial Narrow" w:hAnsi="Arial Narrow" w:cs="Calibri"/>
                <w:sz w:val="20"/>
                <w:szCs w:val="20"/>
              </w:rPr>
            </w:pPr>
            <w:r w:rsidRPr="008D0238">
              <w:rPr>
                <w:rFonts w:ascii="Arial Narrow" w:hAnsi="Arial Narrow" w:cs="Calibri"/>
                <w:sz w:val="20"/>
                <w:szCs w:val="20"/>
              </w:rPr>
              <w:t>5,8%</w:t>
            </w:r>
          </w:p>
        </w:tc>
      </w:tr>
      <w:tr w:rsidR="008D0238" w:rsidRPr="008D0238" w14:paraId="2722E0D1" w14:textId="77777777" w:rsidTr="00725099">
        <w:trPr>
          <w:trHeight w:val="319"/>
        </w:trPr>
        <w:tc>
          <w:tcPr>
            <w:tcW w:w="2381" w:type="pct"/>
            <w:vAlign w:val="center"/>
          </w:tcPr>
          <w:p w14:paraId="759897CC" w14:textId="77777777" w:rsidR="008D0238" w:rsidRPr="008D0238" w:rsidRDefault="008D0238" w:rsidP="008D0238">
            <w:pPr>
              <w:widowControl w:val="0"/>
              <w:rPr>
                <w:rFonts w:ascii="Arial Narrow" w:hAnsi="Arial Narrow" w:cs="Arial"/>
                <w:sz w:val="20"/>
                <w:szCs w:val="20"/>
                <w:lang w:val="bg-BG"/>
              </w:rPr>
            </w:pPr>
            <w:r w:rsidRPr="008D0238">
              <w:rPr>
                <w:rFonts w:ascii="Arial Narrow" w:hAnsi="Arial Narrow" w:cs="Arial"/>
                <w:sz w:val="20"/>
                <w:szCs w:val="20"/>
                <w:lang w:val="bg-BG"/>
              </w:rPr>
              <w:t>Червени меса</w:t>
            </w:r>
          </w:p>
        </w:tc>
        <w:tc>
          <w:tcPr>
            <w:tcW w:w="873" w:type="pct"/>
            <w:tcBorders>
              <w:top w:val="nil"/>
              <w:left w:val="single" w:sz="4" w:space="0" w:color="auto"/>
              <w:bottom w:val="single" w:sz="4" w:space="0" w:color="auto"/>
              <w:right w:val="single" w:sz="4" w:space="0" w:color="auto"/>
            </w:tcBorders>
            <w:shd w:val="clear" w:color="000000" w:fill="FFFFFF"/>
            <w:vAlign w:val="center"/>
          </w:tcPr>
          <w:p w14:paraId="7A045C99" w14:textId="77777777" w:rsidR="008D0238" w:rsidRPr="008D0238" w:rsidRDefault="008D0238" w:rsidP="008D0238">
            <w:pPr>
              <w:widowControl w:val="0"/>
              <w:jc w:val="right"/>
              <w:rPr>
                <w:rFonts w:ascii="Arial Narrow" w:hAnsi="Arial Narrow" w:cs="Calibri"/>
                <w:sz w:val="20"/>
                <w:szCs w:val="20"/>
              </w:rPr>
            </w:pPr>
            <w:r w:rsidRPr="008D0238">
              <w:rPr>
                <w:rFonts w:ascii="Arial Narrow" w:hAnsi="Arial Narrow" w:cs="Calibri"/>
                <w:sz w:val="20"/>
                <w:szCs w:val="20"/>
              </w:rPr>
              <w:t>106 082</w:t>
            </w:r>
          </w:p>
        </w:tc>
        <w:tc>
          <w:tcPr>
            <w:tcW w:w="873" w:type="pct"/>
            <w:tcBorders>
              <w:top w:val="nil"/>
              <w:left w:val="single" w:sz="4" w:space="0" w:color="auto"/>
              <w:bottom w:val="single" w:sz="4" w:space="0" w:color="auto"/>
              <w:right w:val="single" w:sz="4" w:space="0" w:color="auto"/>
            </w:tcBorders>
            <w:shd w:val="clear" w:color="000000" w:fill="FFFFFF"/>
            <w:vAlign w:val="center"/>
          </w:tcPr>
          <w:p w14:paraId="14616494" w14:textId="77777777" w:rsidR="008D0238" w:rsidRPr="008D0238" w:rsidRDefault="008D0238" w:rsidP="008D0238">
            <w:pPr>
              <w:widowControl w:val="0"/>
              <w:jc w:val="right"/>
              <w:rPr>
                <w:rFonts w:ascii="Arial Narrow" w:hAnsi="Arial Narrow" w:cs="Calibri"/>
                <w:sz w:val="20"/>
                <w:szCs w:val="20"/>
              </w:rPr>
            </w:pPr>
            <w:r w:rsidRPr="008D0238">
              <w:rPr>
                <w:rFonts w:ascii="Arial Narrow" w:hAnsi="Arial Narrow" w:cs="Calibri"/>
                <w:sz w:val="20"/>
                <w:szCs w:val="20"/>
              </w:rPr>
              <w:t>116 112</w:t>
            </w:r>
          </w:p>
        </w:tc>
        <w:tc>
          <w:tcPr>
            <w:tcW w:w="873" w:type="pct"/>
            <w:tcBorders>
              <w:top w:val="nil"/>
              <w:left w:val="nil"/>
              <w:bottom w:val="single" w:sz="4" w:space="0" w:color="auto"/>
              <w:right w:val="single" w:sz="4" w:space="0" w:color="auto"/>
            </w:tcBorders>
            <w:shd w:val="clear" w:color="auto" w:fill="auto"/>
            <w:vAlign w:val="center"/>
          </w:tcPr>
          <w:p w14:paraId="775C3324" w14:textId="77777777" w:rsidR="008D0238" w:rsidRPr="008D0238" w:rsidRDefault="008D0238" w:rsidP="008D0238">
            <w:pPr>
              <w:widowControl w:val="0"/>
              <w:jc w:val="right"/>
              <w:rPr>
                <w:rFonts w:ascii="Arial Narrow" w:hAnsi="Arial Narrow" w:cs="Calibri"/>
                <w:sz w:val="20"/>
                <w:szCs w:val="20"/>
              </w:rPr>
            </w:pPr>
            <w:r w:rsidRPr="008D0238">
              <w:rPr>
                <w:rFonts w:ascii="Arial Narrow" w:hAnsi="Arial Narrow" w:cs="Calibri"/>
                <w:sz w:val="20"/>
                <w:szCs w:val="20"/>
              </w:rPr>
              <w:t>9,5%</w:t>
            </w:r>
          </w:p>
        </w:tc>
      </w:tr>
      <w:tr w:rsidR="008D0238" w:rsidRPr="008D0238" w14:paraId="69546E2D" w14:textId="77777777" w:rsidTr="00725099">
        <w:trPr>
          <w:trHeight w:val="319"/>
        </w:trPr>
        <w:tc>
          <w:tcPr>
            <w:tcW w:w="2381" w:type="pct"/>
            <w:vAlign w:val="center"/>
          </w:tcPr>
          <w:p w14:paraId="00178BC5" w14:textId="77777777" w:rsidR="008D0238" w:rsidRPr="008D0238" w:rsidRDefault="008D0238" w:rsidP="008D0238">
            <w:pPr>
              <w:widowControl w:val="0"/>
              <w:rPr>
                <w:rFonts w:ascii="Arial Narrow" w:hAnsi="Arial Narrow" w:cs="Arial"/>
                <w:sz w:val="20"/>
                <w:szCs w:val="20"/>
                <w:lang w:val="bg-BG"/>
              </w:rPr>
            </w:pPr>
            <w:r w:rsidRPr="008D0238">
              <w:rPr>
                <w:rFonts w:ascii="Arial Narrow" w:hAnsi="Arial Narrow" w:cs="Arial"/>
                <w:sz w:val="20"/>
                <w:szCs w:val="20"/>
                <w:lang w:val="bg-BG"/>
              </w:rPr>
              <w:t xml:space="preserve">Бели меса </w:t>
            </w:r>
          </w:p>
        </w:tc>
        <w:tc>
          <w:tcPr>
            <w:tcW w:w="873" w:type="pct"/>
            <w:tcBorders>
              <w:top w:val="nil"/>
              <w:left w:val="single" w:sz="4" w:space="0" w:color="auto"/>
              <w:bottom w:val="single" w:sz="4" w:space="0" w:color="auto"/>
              <w:right w:val="single" w:sz="4" w:space="0" w:color="auto"/>
            </w:tcBorders>
            <w:shd w:val="clear" w:color="000000" w:fill="FFFFFF"/>
            <w:vAlign w:val="center"/>
          </w:tcPr>
          <w:p w14:paraId="2259AFE1" w14:textId="77777777" w:rsidR="008D0238" w:rsidRPr="008D0238" w:rsidRDefault="008D0238" w:rsidP="008D0238">
            <w:pPr>
              <w:widowControl w:val="0"/>
              <w:jc w:val="right"/>
              <w:rPr>
                <w:rFonts w:ascii="Arial Narrow" w:hAnsi="Arial Narrow" w:cs="Calibri"/>
                <w:sz w:val="20"/>
                <w:szCs w:val="20"/>
              </w:rPr>
            </w:pPr>
            <w:r w:rsidRPr="008D0238">
              <w:rPr>
                <w:rFonts w:ascii="Arial Narrow" w:hAnsi="Arial Narrow" w:cs="Calibri"/>
                <w:sz w:val="20"/>
                <w:szCs w:val="20"/>
              </w:rPr>
              <w:t>122 076</w:t>
            </w:r>
          </w:p>
        </w:tc>
        <w:tc>
          <w:tcPr>
            <w:tcW w:w="873" w:type="pct"/>
            <w:tcBorders>
              <w:top w:val="nil"/>
              <w:left w:val="single" w:sz="4" w:space="0" w:color="auto"/>
              <w:bottom w:val="single" w:sz="4" w:space="0" w:color="auto"/>
              <w:right w:val="single" w:sz="4" w:space="0" w:color="auto"/>
            </w:tcBorders>
            <w:shd w:val="clear" w:color="000000" w:fill="FFFFFF"/>
            <w:vAlign w:val="center"/>
          </w:tcPr>
          <w:p w14:paraId="65BCFDC4" w14:textId="77777777" w:rsidR="008D0238" w:rsidRPr="008D0238" w:rsidRDefault="008D0238" w:rsidP="008D0238">
            <w:pPr>
              <w:widowControl w:val="0"/>
              <w:jc w:val="right"/>
              <w:rPr>
                <w:rFonts w:ascii="Arial Narrow" w:hAnsi="Arial Narrow" w:cs="Calibri"/>
                <w:sz w:val="20"/>
                <w:szCs w:val="20"/>
              </w:rPr>
            </w:pPr>
            <w:r w:rsidRPr="008D0238">
              <w:rPr>
                <w:rFonts w:ascii="Arial Narrow" w:hAnsi="Arial Narrow" w:cs="Calibri"/>
                <w:sz w:val="20"/>
                <w:szCs w:val="20"/>
              </w:rPr>
              <w:t>125 321</w:t>
            </w:r>
          </w:p>
        </w:tc>
        <w:tc>
          <w:tcPr>
            <w:tcW w:w="873" w:type="pct"/>
            <w:tcBorders>
              <w:top w:val="nil"/>
              <w:left w:val="nil"/>
              <w:bottom w:val="single" w:sz="4" w:space="0" w:color="auto"/>
              <w:right w:val="single" w:sz="4" w:space="0" w:color="auto"/>
            </w:tcBorders>
            <w:shd w:val="clear" w:color="auto" w:fill="auto"/>
            <w:vAlign w:val="center"/>
          </w:tcPr>
          <w:p w14:paraId="1E602411" w14:textId="77777777" w:rsidR="008D0238" w:rsidRPr="008D0238" w:rsidRDefault="008D0238" w:rsidP="008D0238">
            <w:pPr>
              <w:widowControl w:val="0"/>
              <w:jc w:val="right"/>
              <w:rPr>
                <w:rFonts w:ascii="Arial Narrow" w:hAnsi="Arial Narrow" w:cs="Calibri"/>
                <w:sz w:val="20"/>
                <w:szCs w:val="20"/>
              </w:rPr>
            </w:pPr>
            <w:r w:rsidRPr="008D0238">
              <w:rPr>
                <w:rFonts w:ascii="Arial Narrow" w:hAnsi="Arial Narrow" w:cs="Calibri"/>
                <w:sz w:val="20"/>
                <w:szCs w:val="20"/>
              </w:rPr>
              <w:t>2,7%</w:t>
            </w:r>
          </w:p>
        </w:tc>
      </w:tr>
      <w:tr w:rsidR="008D0238" w:rsidRPr="008D0238" w14:paraId="2DCC4F3C" w14:textId="77777777" w:rsidTr="00725099">
        <w:trPr>
          <w:trHeight w:val="319"/>
        </w:trPr>
        <w:tc>
          <w:tcPr>
            <w:tcW w:w="2381" w:type="pct"/>
            <w:vAlign w:val="center"/>
          </w:tcPr>
          <w:p w14:paraId="6713918E" w14:textId="77777777" w:rsidR="008D0238" w:rsidRPr="008D0238" w:rsidRDefault="008D0238" w:rsidP="008D0238">
            <w:pPr>
              <w:widowControl w:val="0"/>
              <w:rPr>
                <w:rFonts w:ascii="Arial Narrow" w:hAnsi="Arial Narrow" w:cs="Arial"/>
                <w:sz w:val="20"/>
                <w:szCs w:val="20"/>
                <w:lang w:val="bg-BG"/>
              </w:rPr>
            </w:pPr>
            <w:r w:rsidRPr="008D0238">
              <w:rPr>
                <w:rFonts w:ascii="Arial Narrow" w:hAnsi="Arial Narrow" w:cs="Arial"/>
                <w:sz w:val="20"/>
                <w:szCs w:val="20"/>
                <w:lang w:val="bg-BG"/>
              </w:rPr>
              <w:t>3. Яйца (хил. броя)</w:t>
            </w:r>
          </w:p>
        </w:tc>
        <w:tc>
          <w:tcPr>
            <w:tcW w:w="873" w:type="pct"/>
            <w:tcBorders>
              <w:top w:val="nil"/>
              <w:left w:val="single" w:sz="4" w:space="0" w:color="auto"/>
              <w:bottom w:val="single" w:sz="4" w:space="0" w:color="auto"/>
              <w:right w:val="single" w:sz="4" w:space="0" w:color="auto"/>
            </w:tcBorders>
            <w:shd w:val="clear" w:color="auto" w:fill="auto"/>
            <w:vAlign w:val="center"/>
          </w:tcPr>
          <w:p w14:paraId="74C3F349" w14:textId="77777777" w:rsidR="008D0238" w:rsidRPr="008D0238" w:rsidRDefault="008D0238" w:rsidP="008D0238">
            <w:pPr>
              <w:widowControl w:val="0"/>
              <w:jc w:val="right"/>
              <w:rPr>
                <w:rFonts w:ascii="Arial Narrow" w:hAnsi="Arial Narrow" w:cs="Calibri"/>
                <w:sz w:val="20"/>
                <w:szCs w:val="20"/>
              </w:rPr>
            </w:pPr>
            <w:r w:rsidRPr="008D0238">
              <w:rPr>
                <w:rFonts w:ascii="Arial Narrow" w:hAnsi="Arial Narrow" w:cs="Calibri"/>
                <w:sz w:val="20"/>
                <w:szCs w:val="20"/>
              </w:rPr>
              <w:t>1 397 098</w:t>
            </w:r>
          </w:p>
        </w:tc>
        <w:tc>
          <w:tcPr>
            <w:tcW w:w="873" w:type="pct"/>
            <w:tcBorders>
              <w:top w:val="nil"/>
              <w:left w:val="single" w:sz="4" w:space="0" w:color="auto"/>
              <w:bottom w:val="single" w:sz="4" w:space="0" w:color="auto"/>
              <w:right w:val="single" w:sz="4" w:space="0" w:color="auto"/>
            </w:tcBorders>
            <w:shd w:val="clear" w:color="auto" w:fill="auto"/>
            <w:vAlign w:val="center"/>
          </w:tcPr>
          <w:p w14:paraId="1C593DA5" w14:textId="77777777" w:rsidR="008D0238" w:rsidRPr="008D0238" w:rsidRDefault="008D0238" w:rsidP="008D0238">
            <w:pPr>
              <w:widowControl w:val="0"/>
              <w:jc w:val="right"/>
              <w:rPr>
                <w:rFonts w:ascii="Arial Narrow" w:hAnsi="Arial Narrow" w:cs="Calibri"/>
                <w:sz w:val="20"/>
                <w:szCs w:val="20"/>
              </w:rPr>
            </w:pPr>
            <w:r w:rsidRPr="008D0238">
              <w:rPr>
                <w:rFonts w:ascii="Arial Narrow" w:hAnsi="Arial Narrow" w:cs="Calibri"/>
                <w:sz w:val="20"/>
                <w:szCs w:val="20"/>
              </w:rPr>
              <w:t>1 175 817</w:t>
            </w:r>
          </w:p>
        </w:tc>
        <w:tc>
          <w:tcPr>
            <w:tcW w:w="873" w:type="pct"/>
            <w:tcBorders>
              <w:top w:val="nil"/>
              <w:left w:val="nil"/>
              <w:bottom w:val="single" w:sz="4" w:space="0" w:color="auto"/>
              <w:right w:val="single" w:sz="4" w:space="0" w:color="auto"/>
            </w:tcBorders>
            <w:shd w:val="clear" w:color="auto" w:fill="auto"/>
            <w:vAlign w:val="center"/>
          </w:tcPr>
          <w:p w14:paraId="269E9BD0" w14:textId="77777777" w:rsidR="008D0238" w:rsidRPr="008D0238" w:rsidRDefault="008D0238" w:rsidP="008D0238">
            <w:pPr>
              <w:widowControl w:val="0"/>
              <w:jc w:val="right"/>
              <w:rPr>
                <w:rFonts w:ascii="Arial Narrow" w:hAnsi="Arial Narrow" w:cs="Calibri"/>
                <w:sz w:val="20"/>
                <w:szCs w:val="20"/>
              </w:rPr>
            </w:pPr>
            <w:r w:rsidRPr="008D0238">
              <w:rPr>
                <w:rFonts w:ascii="Arial Narrow" w:hAnsi="Arial Narrow" w:cs="Calibri"/>
                <w:sz w:val="20"/>
                <w:szCs w:val="20"/>
              </w:rPr>
              <w:t>-15,8%</w:t>
            </w:r>
          </w:p>
        </w:tc>
      </w:tr>
      <w:tr w:rsidR="008D0238" w:rsidRPr="008D0238" w14:paraId="52F3B3D1" w14:textId="77777777" w:rsidTr="00725099">
        <w:trPr>
          <w:trHeight w:val="319"/>
        </w:trPr>
        <w:tc>
          <w:tcPr>
            <w:tcW w:w="2381" w:type="pct"/>
            <w:tcBorders>
              <w:bottom w:val="single" w:sz="8" w:space="0" w:color="auto"/>
            </w:tcBorders>
            <w:vAlign w:val="center"/>
          </w:tcPr>
          <w:p w14:paraId="12086E04" w14:textId="77777777" w:rsidR="008D0238" w:rsidRPr="008D0238" w:rsidRDefault="008D0238" w:rsidP="008D0238">
            <w:pPr>
              <w:widowControl w:val="0"/>
              <w:rPr>
                <w:rFonts w:ascii="Arial Narrow" w:hAnsi="Arial Narrow" w:cs="Arial"/>
                <w:sz w:val="20"/>
                <w:szCs w:val="20"/>
                <w:lang w:val="bg-BG"/>
              </w:rPr>
            </w:pPr>
            <w:r w:rsidRPr="008D0238">
              <w:rPr>
                <w:rFonts w:ascii="Arial Narrow" w:hAnsi="Arial Narrow" w:cs="Arial"/>
                <w:sz w:val="20"/>
                <w:szCs w:val="20"/>
                <w:lang w:val="bg-BG"/>
              </w:rPr>
              <w:t>4. Пчелен мед (тона)</w:t>
            </w:r>
          </w:p>
        </w:tc>
        <w:tc>
          <w:tcPr>
            <w:tcW w:w="873" w:type="pct"/>
            <w:tcBorders>
              <w:top w:val="nil"/>
              <w:left w:val="single" w:sz="4" w:space="0" w:color="auto"/>
              <w:bottom w:val="single" w:sz="4" w:space="0" w:color="auto"/>
              <w:right w:val="single" w:sz="4" w:space="0" w:color="auto"/>
            </w:tcBorders>
            <w:shd w:val="clear" w:color="auto" w:fill="auto"/>
            <w:vAlign w:val="center"/>
          </w:tcPr>
          <w:p w14:paraId="68715249" w14:textId="77777777" w:rsidR="008D0238" w:rsidRPr="008D0238" w:rsidRDefault="008D0238" w:rsidP="008D0238">
            <w:pPr>
              <w:widowControl w:val="0"/>
              <w:jc w:val="right"/>
              <w:rPr>
                <w:rFonts w:ascii="Arial Narrow" w:hAnsi="Arial Narrow" w:cs="Calibri"/>
                <w:sz w:val="20"/>
                <w:szCs w:val="20"/>
              </w:rPr>
            </w:pPr>
            <w:r w:rsidRPr="008D0238">
              <w:rPr>
                <w:rFonts w:ascii="Arial Narrow" w:hAnsi="Arial Narrow" w:cs="Calibri"/>
                <w:sz w:val="20"/>
                <w:szCs w:val="20"/>
              </w:rPr>
              <w:t>11 189</w:t>
            </w:r>
          </w:p>
        </w:tc>
        <w:tc>
          <w:tcPr>
            <w:tcW w:w="873" w:type="pct"/>
            <w:tcBorders>
              <w:top w:val="nil"/>
              <w:left w:val="single" w:sz="4" w:space="0" w:color="auto"/>
              <w:bottom w:val="single" w:sz="4" w:space="0" w:color="auto"/>
              <w:right w:val="single" w:sz="4" w:space="0" w:color="auto"/>
            </w:tcBorders>
            <w:shd w:val="clear" w:color="auto" w:fill="auto"/>
            <w:vAlign w:val="center"/>
          </w:tcPr>
          <w:p w14:paraId="5E6EBB9F" w14:textId="77777777" w:rsidR="008D0238" w:rsidRPr="008D0238" w:rsidRDefault="008D0238" w:rsidP="008D0238">
            <w:pPr>
              <w:widowControl w:val="0"/>
              <w:jc w:val="right"/>
              <w:rPr>
                <w:rFonts w:ascii="Arial Narrow" w:hAnsi="Arial Narrow" w:cs="Calibri"/>
                <w:sz w:val="20"/>
                <w:szCs w:val="20"/>
              </w:rPr>
            </w:pPr>
            <w:r w:rsidRPr="008D0238">
              <w:rPr>
                <w:rFonts w:ascii="Arial Narrow" w:hAnsi="Arial Narrow" w:cs="Calibri"/>
                <w:sz w:val="20"/>
                <w:szCs w:val="20"/>
              </w:rPr>
              <w:t>10 440</w:t>
            </w:r>
          </w:p>
        </w:tc>
        <w:tc>
          <w:tcPr>
            <w:tcW w:w="873" w:type="pct"/>
            <w:tcBorders>
              <w:top w:val="nil"/>
              <w:left w:val="nil"/>
              <w:bottom w:val="single" w:sz="4" w:space="0" w:color="auto"/>
              <w:right w:val="single" w:sz="4" w:space="0" w:color="auto"/>
            </w:tcBorders>
            <w:shd w:val="clear" w:color="auto" w:fill="auto"/>
            <w:vAlign w:val="center"/>
          </w:tcPr>
          <w:p w14:paraId="59209B53" w14:textId="77777777" w:rsidR="008D0238" w:rsidRPr="008D0238" w:rsidRDefault="008D0238" w:rsidP="008D0238">
            <w:pPr>
              <w:widowControl w:val="0"/>
              <w:jc w:val="right"/>
              <w:rPr>
                <w:rFonts w:ascii="Arial Narrow" w:hAnsi="Arial Narrow" w:cs="Calibri"/>
                <w:sz w:val="20"/>
                <w:szCs w:val="20"/>
              </w:rPr>
            </w:pPr>
            <w:r w:rsidRPr="008D0238">
              <w:rPr>
                <w:rFonts w:ascii="Arial Narrow" w:hAnsi="Arial Narrow" w:cs="Calibri"/>
                <w:sz w:val="20"/>
                <w:szCs w:val="20"/>
              </w:rPr>
              <w:t>-6,7%</w:t>
            </w:r>
          </w:p>
        </w:tc>
      </w:tr>
    </w:tbl>
    <w:p w14:paraId="6A462BA5" w14:textId="77777777" w:rsidR="008D0238" w:rsidRPr="00E656EE" w:rsidRDefault="008D0238" w:rsidP="008D0238">
      <w:pPr>
        <w:widowControl w:val="0"/>
        <w:spacing w:after="240" w:line="259" w:lineRule="auto"/>
        <w:rPr>
          <w:rFonts w:ascii="Arial Narrow" w:eastAsia="Calibri" w:hAnsi="Arial Narrow" w:cs="Arial"/>
          <w:sz w:val="18"/>
          <w:lang w:val="bg-BG"/>
        </w:rPr>
      </w:pPr>
      <w:r w:rsidRPr="00E656EE">
        <w:rPr>
          <w:rFonts w:ascii="Arial Narrow" w:eastAsia="Calibri" w:hAnsi="Arial Narrow" w:cs="Arial"/>
          <w:i/>
          <w:sz w:val="18"/>
          <w:lang w:val="bg-BG"/>
        </w:rPr>
        <w:t xml:space="preserve">Източник: </w:t>
      </w:r>
      <w:r w:rsidRPr="00E656EE">
        <w:rPr>
          <w:rFonts w:ascii="Arial Narrow" w:eastAsia="Calibri" w:hAnsi="Arial Narrow" w:cs="Arial"/>
          <w:sz w:val="18"/>
          <w:lang w:val="bg-BG"/>
        </w:rPr>
        <w:t>МЗХ, отдел „Агростатистика”</w:t>
      </w:r>
    </w:p>
    <w:p w14:paraId="2105472A" w14:textId="77777777" w:rsidR="008D0238" w:rsidRPr="008D0238" w:rsidRDefault="008D0238" w:rsidP="008D0238">
      <w:pPr>
        <w:widowControl w:val="0"/>
        <w:spacing w:after="120"/>
        <w:ind w:firstLine="720"/>
        <w:jc w:val="both"/>
        <w:rPr>
          <w:rFonts w:ascii="Arial Narrow" w:eastAsia="Calibri" w:hAnsi="Arial Narrow" w:cs="Arial"/>
          <w:b/>
          <w:lang w:val="bg-BG" w:eastAsia="bg-BG"/>
        </w:rPr>
      </w:pPr>
      <w:r w:rsidRPr="008D0238">
        <w:rPr>
          <w:rFonts w:ascii="Arial Narrow" w:eastAsia="Calibri" w:hAnsi="Arial Narrow" w:cs="Arial"/>
          <w:b/>
          <w:lang w:val="bg-BG"/>
        </w:rPr>
        <w:t>Очаквани данни за 2025 г.</w:t>
      </w:r>
      <w:r w:rsidRPr="008D0238">
        <w:rPr>
          <w:rFonts w:ascii="Arial Narrow" w:eastAsia="Calibri" w:hAnsi="Arial Narrow" w:cs="Arial"/>
          <w:b/>
          <w:lang w:val="bg-BG" w:eastAsia="bg-BG"/>
        </w:rPr>
        <w:t xml:space="preserve"> </w:t>
      </w:r>
    </w:p>
    <w:p w14:paraId="6287D126" w14:textId="77777777" w:rsidR="008D0238" w:rsidRPr="008D0238" w:rsidRDefault="008D0238" w:rsidP="008D0238">
      <w:pPr>
        <w:widowControl w:val="0"/>
        <w:spacing w:after="120"/>
        <w:ind w:firstLine="706"/>
        <w:jc w:val="both"/>
        <w:rPr>
          <w:rFonts w:ascii="Arial Narrow" w:eastAsia="Calibri" w:hAnsi="Arial Narrow" w:cs="Arial"/>
          <w:lang w:val="bg-BG" w:eastAsia="bg-BG"/>
        </w:rPr>
      </w:pPr>
      <w:r w:rsidRPr="008D0238">
        <w:rPr>
          <w:rFonts w:ascii="Arial Narrow" w:eastAsia="Calibri" w:hAnsi="Arial Narrow" w:cs="Arial"/>
          <w:lang w:val="bg-BG" w:eastAsia="bg-BG"/>
        </w:rPr>
        <w:t xml:space="preserve">През периода януари – юли 2025 г. в кланиците на страната са произведени общо </w:t>
      </w:r>
      <w:r w:rsidRPr="008D0238">
        <w:rPr>
          <w:rFonts w:ascii="Arial Narrow" w:eastAsia="Calibri" w:hAnsi="Arial Narrow" w:cs="Arial"/>
          <w:lang w:val="bg-BG"/>
        </w:rPr>
        <w:t xml:space="preserve">138 005 </w:t>
      </w:r>
      <w:r w:rsidRPr="008D0238">
        <w:rPr>
          <w:rFonts w:ascii="Arial Narrow" w:eastAsia="Calibri" w:hAnsi="Arial Narrow" w:cs="Arial"/>
          <w:lang w:val="bg-BG" w:eastAsia="bg-BG"/>
        </w:rPr>
        <w:t xml:space="preserve">тона месо – с 12,5% повече на годишна база, в т. ч. 60 422 тона червено месо и 77 583 тона бяло месо. </w:t>
      </w:r>
    </w:p>
    <w:p w14:paraId="0F6F962B" w14:textId="77777777" w:rsidR="008D0238" w:rsidRPr="008D0238" w:rsidRDefault="008D0238" w:rsidP="008D0238">
      <w:pPr>
        <w:widowControl w:val="0"/>
        <w:spacing w:after="120"/>
        <w:ind w:firstLine="706"/>
        <w:jc w:val="both"/>
        <w:rPr>
          <w:rFonts w:ascii="Arial Narrow" w:eastAsia="Calibri" w:hAnsi="Arial Narrow" w:cs="Arial"/>
          <w:lang w:val="bg-BG" w:eastAsia="bg-BG"/>
        </w:rPr>
      </w:pPr>
      <w:r w:rsidRPr="008D0238">
        <w:rPr>
          <w:rFonts w:ascii="Arial Narrow" w:eastAsia="Calibri" w:hAnsi="Arial Narrow" w:cs="Arial"/>
          <w:lang w:val="bg-BG" w:eastAsia="bg-BG"/>
        </w:rPr>
        <w:t>Промишленият добив на червено месо нараства с 16,7%</w:t>
      </w:r>
      <w:r w:rsidRPr="008D0238">
        <w:rPr>
          <w:rFonts w:ascii="Calibri" w:eastAsia="Calibri" w:hAnsi="Calibri" w:cs="Arial"/>
          <w:sz w:val="22"/>
          <w:szCs w:val="22"/>
          <w:lang w:val="bg-BG"/>
        </w:rPr>
        <w:t xml:space="preserve"> </w:t>
      </w:r>
      <w:r w:rsidRPr="008D0238">
        <w:rPr>
          <w:rFonts w:ascii="Arial Narrow" w:eastAsia="Calibri" w:hAnsi="Arial Narrow" w:cs="Arial"/>
          <w:lang w:val="bg-BG" w:eastAsia="bg-BG"/>
        </w:rPr>
        <w:t xml:space="preserve">спрямо същия период на 2024 г., най-вече вследствие на отчетения ръст от 18,5% при свинското месо, до 54 848 тона, което представлява малко над </w:t>
      </w:r>
      <w:r w:rsidRPr="008D0238">
        <w:rPr>
          <w:rFonts w:ascii="Arial Narrow" w:eastAsia="Calibri" w:hAnsi="Arial Narrow" w:cs="Arial"/>
          <w:lang w:eastAsia="bg-BG"/>
        </w:rPr>
        <w:t>90</w:t>
      </w:r>
      <w:r w:rsidRPr="008D0238">
        <w:rPr>
          <w:rFonts w:ascii="Arial Narrow" w:eastAsia="Calibri" w:hAnsi="Arial Narrow" w:cs="Arial"/>
          <w:lang w:val="bg-BG" w:eastAsia="bg-BG"/>
        </w:rPr>
        <w:t xml:space="preserve">% от общото производство на червено месо в кланиците. През първите седем месеца на годината се увеличава и промишленият добив на говеждо месо – с 9,8% (до 4 582 тона), докато този на месо от ДРД, биволи и еднокопитни намалява с 23,8%.  </w:t>
      </w:r>
    </w:p>
    <w:p w14:paraId="46E0B0A9" w14:textId="77777777" w:rsidR="008D0238" w:rsidRPr="008D0238" w:rsidRDefault="008D0238" w:rsidP="008D0238">
      <w:pPr>
        <w:widowControl w:val="0"/>
        <w:autoSpaceDE w:val="0"/>
        <w:autoSpaceDN w:val="0"/>
        <w:adjustRightInd w:val="0"/>
        <w:spacing w:after="120"/>
        <w:ind w:firstLine="706"/>
        <w:jc w:val="both"/>
        <w:rPr>
          <w:rFonts w:ascii="Arial Narrow" w:eastAsia="Calibri" w:hAnsi="Arial Narrow" w:cs="Arial"/>
          <w:bCs/>
          <w:lang w:val="bg-BG"/>
        </w:rPr>
      </w:pPr>
      <w:r w:rsidRPr="008D0238">
        <w:rPr>
          <w:rFonts w:ascii="Arial Narrow" w:eastAsia="Calibri" w:hAnsi="Arial Narrow" w:cs="Arial"/>
          <w:lang w:val="bg-BG" w:eastAsia="bg-BG"/>
        </w:rPr>
        <w:t xml:space="preserve">Общият добив на бяло месо в кланиците за първите седем месеца на 2025 г. възлиза на 77 583 </w:t>
      </w:r>
      <w:r w:rsidRPr="008D0238">
        <w:rPr>
          <w:rFonts w:ascii="Arial Narrow" w:eastAsia="Calibri" w:hAnsi="Arial Narrow" w:cs="Arial"/>
          <w:bCs/>
          <w:lang w:val="bg-BG"/>
        </w:rPr>
        <w:t xml:space="preserve">тона, </w:t>
      </w:r>
      <w:r w:rsidRPr="008D0238">
        <w:rPr>
          <w:rFonts w:ascii="Arial Narrow" w:eastAsia="Calibri" w:hAnsi="Arial Narrow" w:cs="Arial"/>
          <w:lang w:val="bg-BG" w:eastAsia="bg-BG"/>
        </w:rPr>
        <w:t xml:space="preserve">с </w:t>
      </w:r>
      <w:r w:rsidRPr="008D0238">
        <w:rPr>
          <w:rFonts w:ascii="Arial Narrow" w:eastAsia="Calibri" w:hAnsi="Arial Narrow" w:cs="Arial"/>
          <w:bCs/>
          <w:lang w:val="bg-BG"/>
        </w:rPr>
        <w:t>9,5% над нивото, отчетено година по-рано. Около 8</w:t>
      </w:r>
      <w:r w:rsidRPr="008D0238">
        <w:rPr>
          <w:rFonts w:ascii="Arial Narrow" w:eastAsia="Calibri" w:hAnsi="Arial Narrow" w:cs="Arial"/>
          <w:bCs/>
        </w:rPr>
        <w:t>3</w:t>
      </w:r>
      <w:r w:rsidRPr="008D0238">
        <w:rPr>
          <w:rFonts w:ascii="Arial Narrow" w:eastAsia="Calibri" w:hAnsi="Arial Narrow" w:cs="Arial"/>
          <w:bCs/>
          <w:lang w:val="bg-BG"/>
        </w:rPr>
        <w:t xml:space="preserve">% от това количество е месо от пилета бройлери от кокошия вид – </w:t>
      </w:r>
      <w:r w:rsidRPr="008D0238">
        <w:rPr>
          <w:rFonts w:ascii="Arial Narrow" w:eastAsia="Calibri" w:hAnsi="Arial Narrow" w:cs="Arial"/>
          <w:bCs/>
        </w:rPr>
        <w:t>64 122</w:t>
      </w:r>
      <w:r w:rsidRPr="008D0238">
        <w:rPr>
          <w:rFonts w:ascii="Arial Narrow" w:eastAsia="Calibri" w:hAnsi="Arial Narrow" w:cs="Arial"/>
          <w:bCs/>
          <w:lang w:val="bg-BG"/>
        </w:rPr>
        <w:t xml:space="preserve"> тона, което представлява увеличение с </w:t>
      </w:r>
      <w:r w:rsidRPr="008D0238">
        <w:rPr>
          <w:rFonts w:ascii="Arial Narrow" w:eastAsia="Calibri" w:hAnsi="Arial Narrow" w:cs="Arial"/>
          <w:bCs/>
        </w:rPr>
        <w:t>19</w:t>
      </w:r>
      <w:r w:rsidRPr="008D0238">
        <w:rPr>
          <w:rFonts w:ascii="Arial Narrow" w:eastAsia="Calibri" w:hAnsi="Arial Narrow" w:cs="Arial"/>
          <w:bCs/>
          <w:lang w:val="bg-BG"/>
        </w:rPr>
        <w:t>,</w:t>
      </w:r>
      <w:r w:rsidRPr="008D0238">
        <w:rPr>
          <w:rFonts w:ascii="Arial Narrow" w:eastAsia="Calibri" w:hAnsi="Arial Narrow" w:cs="Arial"/>
          <w:bCs/>
        </w:rPr>
        <w:t>3</w:t>
      </w:r>
      <w:r w:rsidRPr="008D0238">
        <w:rPr>
          <w:rFonts w:ascii="Arial Narrow" w:eastAsia="Calibri" w:hAnsi="Arial Narrow" w:cs="Arial"/>
          <w:bCs/>
          <w:lang w:val="bg-BG"/>
        </w:rPr>
        <w:t>% на годишна база. Промишленият добив на месо от патици бележи спад от 27,7%, до 10 471 тона, поради редуцирания брой птици.</w:t>
      </w:r>
    </w:p>
    <w:p w14:paraId="34E61059" w14:textId="77777777" w:rsidR="008D0238" w:rsidRPr="008D0238" w:rsidRDefault="008D0238" w:rsidP="008D0238">
      <w:pPr>
        <w:widowControl w:val="0"/>
        <w:autoSpaceDE w:val="0"/>
        <w:autoSpaceDN w:val="0"/>
        <w:adjustRightInd w:val="0"/>
        <w:spacing w:after="120"/>
        <w:ind w:firstLine="706"/>
        <w:jc w:val="both"/>
        <w:rPr>
          <w:rFonts w:ascii="Arial Narrow" w:eastAsia="Calibri" w:hAnsi="Arial Narrow" w:cs="Arial"/>
          <w:lang w:val="bg-BG" w:eastAsia="bg-BG"/>
        </w:rPr>
      </w:pPr>
      <w:r w:rsidRPr="008D0238">
        <w:rPr>
          <w:rFonts w:ascii="Arial Narrow" w:eastAsia="Calibri" w:hAnsi="Arial Narrow" w:cs="Arial"/>
          <w:lang w:val="bg-BG" w:eastAsia="bg-BG"/>
        </w:rPr>
        <w:t>Предвид данните за периода януари - юли, може да се очаква добивът на червено и бяло месо за цялата 2025 г. да бъде над нивото от 2024 г.</w:t>
      </w:r>
    </w:p>
    <w:p w14:paraId="790DEEB6" w14:textId="77777777" w:rsidR="008D0238" w:rsidRPr="008D0238" w:rsidRDefault="008D0238" w:rsidP="008D0238">
      <w:pPr>
        <w:widowControl w:val="0"/>
        <w:autoSpaceDE w:val="0"/>
        <w:autoSpaceDN w:val="0"/>
        <w:adjustRightInd w:val="0"/>
        <w:spacing w:after="120"/>
        <w:ind w:firstLine="709"/>
        <w:jc w:val="both"/>
        <w:rPr>
          <w:rFonts w:ascii="Arial Narrow" w:hAnsi="Arial Narrow"/>
          <w:lang w:val="bg-BG" w:eastAsia="bg-BG"/>
        </w:rPr>
      </w:pPr>
      <w:r w:rsidRPr="008D0238">
        <w:rPr>
          <w:rFonts w:ascii="Arial Narrow" w:hAnsi="Arial Narrow"/>
          <w:lang w:val="bg-BG" w:eastAsia="bg-BG"/>
        </w:rPr>
        <w:t xml:space="preserve">През първите седем месеца на 2025 г. в млекопреработвателните предприятия са преработени общо 430,2 млн. литра мляко, в т. ч. 405,9 млн. краве мляко, което е </w:t>
      </w:r>
      <w:r w:rsidRPr="008D0238">
        <w:rPr>
          <w:rFonts w:ascii="Arial Narrow" w:hAnsi="Arial Narrow"/>
          <w:bCs/>
          <w:lang w:val="bg-BG"/>
        </w:rPr>
        <w:t xml:space="preserve">съответно с </w:t>
      </w:r>
      <w:r w:rsidRPr="008D0238">
        <w:rPr>
          <w:rFonts w:ascii="Arial Narrow" w:hAnsi="Arial Narrow"/>
          <w:lang w:val="bg-BG" w:eastAsia="bg-BG"/>
        </w:rPr>
        <w:t xml:space="preserve">1,7% </w:t>
      </w:r>
      <w:r w:rsidRPr="008D0238">
        <w:rPr>
          <w:rFonts w:ascii="Arial Narrow" w:hAnsi="Arial Narrow"/>
          <w:bCs/>
          <w:lang w:val="bg-BG"/>
        </w:rPr>
        <w:t>и 2,1</w:t>
      </w:r>
      <w:r w:rsidRPr="008D0238">
        <w:rPr>
          <w:rFonts w:ascii="Arial Narrow" w:hAnsi="Arial Narrow"/>
          <w:lang w:val="bg-BG" w:eastAsia="bg-BG"/>
        </w:rPr>
        <w:t xml:space="preserve">% повече спрямо същия период на 2024 г. Същевременно намаляват вложените в преработка количества овче (с 2,8%), биволско и смесено (с 5,9%), и козе мляко (със 7,7%). </w:t>
      </w:r>
    </w:p>
    <w:p w14:paraId="268BA7CB" w14:textId="77777777" w:rsidR="008D0238" w:rsidRPr="008D0238" w:rsidRDefault="008D0238" w:rsidP="008D0238">
      <w:pPr>
        <w:widowControl w:val="0"/>
        <w:autoSpaceDE w:val="0"/>
        <w:autoSpaceDN w:val="0"/>
        <w:adjustRightInd w:val="0"/>
        <w:spacing w:after="120"/>
        <w:ind w:firstLine="709"/>
        <w:jc w:val="both"/>
        <w:rPr>
          <w:rFonts w:ascii="Arial Narrow" w:eastAsia="Calibri" w:hAnsi="Arial Narrow" w:cs="Arial"/>
          <w:lang w:val="bg-BG" w:eastAsia="bg-BG"/>
        </w:rPr>
      </w:pPr>
      <w:r w:rsidRPr="008D0238">
        <w:rPr>
          <w:rFonts w:ascii="Arial Narrow" w:eastAsia="Calibri" w:hAnsi="Arial Narrow" w:cs="Arial"/>
          <w:lang w:val="bg-BG" w:eastAsia="bg-BG"/>
        </w:rPr>
        <w:t>Отчитайки по-малкия брой млекодайни животни в основно стадо към края на 2024 г., може да се очаква общият добив на млечна суровина през 2025 г. да бъде малко под отчетения за предходната година.</w:t>
      </w:r>
    </w:p>
    <w:p w14:paraId="56B0CAF8" w14:textId="77777777" w:rsidR="008D0238" w:rsidRPr="00B27D33" w:rsidRDefault="008D0238" w:rsidP="00B27D33">
      <w:pPr>
        <w:widowControl w:val="0"/>
        <w:autoSpaceDE w:val="0"/>
        <w:autoSpaceDN w:val="0"/>
        <w:adjustRightInd w:val="0"/>
        <w:spacing w:after="120"/>
        <w:ind w:firstLine="706"/>
        <w:jc w:val="both"/>
        <w:rPr>
          <w:rFonts w:ascii="Arial Narrow" w:eastAsia="Calibri" w:hAnsi="Arial Narrow" w:cs="Arial"/>
          <w:lang w:val="bg-BG" w:eastAsia="bg-BG"/>
        </w:rPr>
      </w:pPr>
      <w:r w:rsidRPr="008D0238">
        <w:rPr>
          <w:rFonts w:ascii="Arial Narrow" w:eastAsia="Calibri" w:hAnsi="Arial Narrow" w:cs="Arial"/>
          <w:lang w:val="bg-BG" w:eastAsia="bg-BG"/>
        </w:rPr>
        <w:t>Предвижда се производството на яйца през 2025 г. да отбележи увеличение на годишна база, а добивът на пчелен мед</w:t>
      </w:r>
      <w:r w:rsidR="00B27D33">
        <w:rPr>
          <w:rFonts w:ascii="Arial Narrow" w:eastAsia="Calibri" w:hAnsi="Arial Narrow" w:cs="Arial"/>
          <w:lang w:val="bg-BG" w:eastAsia="bg-BG"/>
        </w:rPr>
        <w:t xml:space="preserve"> да е без значително изменение.</w:t>
      </w:r>
    </w:p>
    <w:p w14:paraId="57677D16" w14:textId="77777777" w:rsidR="00FC70C2" w:rsidRPr="00FC70C2" w:rsidRDefault="006E060A" w:rsidP="00FC70C2">
      <w:pPr>
        <w:numPr>
          <w:ilvl w:val="2"/>
          <w:numId w:val="8"/>
        </w:numPr>
        <w:tabs>
          <w:tab w:val="left" w:pos="990"/>
        </w:tabs>
        <w:spacing w:after="120"/>
        <w:ind w:left="792" w:hanging="432"/>
        <w:jc w:val="both"/>
        <w:outlineLvl w:val="0"/>
        <w:rPr>
          <w:rFonts w:ascii="Arial Narrow" w:hAnsi="Arial Narrow"/>
          <w:b/>
          <w:lang w:val="bg-BG" w:eastAsia="bg-BG"/>
        </w:rPr>
      </w:pPr>
      <w:bookmarkStart w:id="46" w:name="_Toc23513552"/>
      <w:bookmarkStart w:id="47" w:name="_Toc210747550"/>
      <w:r w:rsidRPr="00FC70C2">
        <w:rPr>
          <w:rFonts w:ascii="Arial Narrow" w:hAnsi="Arial Narrow"/>
          <w:b/>
          <w:lang w:val="bg-BG" w:eastAsia="bg-BG"/>
        </w:rPr>
        <w:t>Говедовъдство</w:t>
      </w:r>
      <w:r w:rsidR="0075536A" w:rsidRPr="00FC70C2">
        <w:rPr>
          <w:rFonts w:ascii="Arial Narrow" w:hAnsi="Arial Narrow"/>
          <w:b/>
          <w:lang w:eastAsia="bg-BG"/>
        </w:rPr>
        <w:t xml:space="preserve"> </w:t>
      </w:r>
      <w:r w:rsidRPr="00FC70C2">
        <w:rPr>
          <w:rFonts w:ascii="Arial Narrow" w:hAnsi="Arial Narrow"/>
          <w:b/>
          <w:lang w:val="bg-BG" w:eastAsia="bg-BG"/>
        </w:rPr>
        <w:t>и биволовъдство</w:t>
      </w:r>
      <w:bookmarkEnd w:id="46"/>
      <w:bookmarkEnd w:id="47"/>
    </w:p>
    <w:p w14:paraId="38368B89" w14:textId="77777777" w:rsidR="00FC70C2" w:rsidRPr="00FC70C2" w:rsidRDefault="00FC70C2" w:rsidP="00FC70C2">
      <w:pPr>
        <w:widowControl w:val="0"/>
        <w:autoSpaceDE w:val="0"/>
        <w:autoSpaceDN w:val="0"/>
        <w:adjustRightInd w:val="0"/>
        <w:spacing w:after="120"/>
        <w:ind w:firstLine="709"/>
        <w:jc w:val="both"/>
        <w:rPr>
          <w:rFonts w:ascii="Arial Narrow" w:eastAsia="Calibri" w:hAnsi="Arial Narrow" w:cs="Arial"/>
          <w:lang w:val="bg-BG" w:eastAsia="bg-BG"/>
        </w:rPr>
      </w:pPr>
      <w:r w:rsidRPr="00FC70C2">
        <w:rPr>
          <w:rFonts w:ascii="Arial Narrow" w:eastAsia="Calibri" w:hAnsi="Arial Narrow" w:cs="Arial"/>
          <w:lang w:val="bg-BG" w:eastAsia="bg-BG"/>
        </w:rPr>
        <w:t>Говедовъдството е подсектор на животновъдството с голямо стопанско значение, осигуряващ основния дял от суровината, необходима за производство на млечни продукти в страната.</w:t>
      </w:r>
    </w:p>
    <w:p w14:paraId="1F93D8BE" w14:textId="77777777" w:rsidR="00FC70C2" w:rsidRPr="00FC70C2" w:rsidRDefault="00FC70C2" w:rsidP="00A27D4A">
      <w:pPr>
        <w:widowControl w:val="0"/>
        <w:autoSpaceDE w:val="0"/>
        <w:autoSpaceDN w:val="0"/>
        <w:adjustRightInd w:val="0"/>
        <w:spacing w:after="120"/>
        <w:ind w:firstLine="709"/>
        <w:jc w:val="both"/>
        <w:rPr>
          <w:rFonts w:ascii="Arial Narrow" w:eastAsia="Calibri" w:hAnsi="Arial Narrow" w:cs="Arial"/>
          <w:lang w:val="bg-BG" w:eastAsia="bg-BG"/>
        </w:rPr>
      </w:pPr>
      <w:r w:rsidRPr="00FC70C2">
        <w:rPr>
          <w:rFonts w:ascii="Arial Narrow" w:eastAsia="Calibri" w:hAnsi="Arial Narrow" w:cs="Arial"/>
          <w:lang w:val="bg-BG" w:eastAsia="bg-BG"/>
        </w:rPr>
        <w:t>Към 01.11.202</w:t>
      </w:r>
      <w:r w:rsidRPr="00FC70C2">
        <w:rPr>
          <w:rFonts w:ascii="Arial Narrow" w:eastAsia="Calibri" w:hAnsi="Arial Narrow" w:cs="Arial"/>
          <w:lang w:eastAsia="bg-BG"/>
        </w:rPr>
        <w:t>4</w:t>
      </w:r>
      <w:r w:rsidRPr="00FC70C2">
        <w:rPr>
          <w:rFonts w:ascii="Arial Narrow" w:eastAsia="Calibri" w:hAnsi="Arial Narrow" w:cs="Arial"/>
          <w:lang w:val="bg-BG" w:eastAsia="bg-BG"/>
        </w:rPr>
        <w:t xml:space="preserve"> г. в страната се отглеждат общо </w:t>
      </w:r>
      <w:r w:rsidRPr="00FC70C2">
        <w:rPr>
          <w:rFonts w:ascii="Arial Narrow" w:eastAsia="Calibri" w:hAnsi="Arial Narrow" w:cs="Arial"/>
          <w:lang w:eastAsia="bg-BG"/>
        </w:rPr>
        <w:t>538 793</w:t>
      </w:r>
      <w:r w:rsidRPr="00FC70C2">
        <w:rPr>
          <w:rFonts w:ascii="Arial Narrow" w:eastAsia="Calibri" w:hAnsi="Arial Narrow" w:cs="Arial"/>
          <w:lang w:val="bg-BG" w:eastAsia="bg-BG"/>
        </w:rPr>
        <w:t xml:space="preserve"> броя говеда - с </w:t>
      </w:r>
      <w:r w:rsidRPr="00FC70C2">
        <w:rPr>
          <w:rFonts w:ascii="Arial Narrow" w:eastAsia="Calibri" w:hAnsi="Arial Narrow" w:cs="Arial"/>
          <w:lang w:eastAsia="bg-BG"/>
        </w:rPr>
        <w:t>2</w:t>
      </w:r>
      <w:r w:rsidRPr="00FC70C2">
        <w:rPr>
          <w:rFonts w:ascii="Arial Narrow" w:eastAsia="Calibri" w:hAnsi="Arial Narrow" w:cs="Arial"/>
          <w:lang w:val="bg-BG" w:eastAsia="bg-BG"/>
        </w:rPr>
        <w:t>,</w:t>
      </w:r>
      <w:r w:rsidRPr="00FC70C2">
        <w:rPr>
          <w:rFonts w:ascii="Arial Narrow" w:eastAsia="Calibri" w:hAnsi="Arial Narrow" w:cs="Arial"/>
          <w:lang w:eastAsia="bg-BG"/>
        </w:rPr>
        <w:t>6</w:t>
      </w:r>
      <w:r w:rsidRPr="00FC70C2">
        <w:rPr>
          <w:rFonts w:ascii="Arial Narrow" w:eastAsia="Calibri" w:hAnsi="Arial Narrow" w:cs="Arial"/>
          <w:lang w:val="bg-BG" w:eastAsia="bg-BG"/>
        </w:rPr>
        <w:t>% по-малко в сравнение с година по-рано. Общият брой крави спада с 4,7%, до 338 754 броя, в резултат на намаление както на кравите от млечно направление - с 6,5% (до 174 970 броя), така и на тези от месодайно направление - с 2,8% (до 163 784 броя). Делът на месодайните крави в общия брой крави се увеличава до 48,3%, при 47,4%, през 2023 г.</w:t>
      </w:r>
    </w:p>
    <w:p w14:paraId="05EEBFED" w14:textId="77777777" w:rsidR="00FC70C2" w:rsidRPr="00FC70C2" w:rsidRDefault="00FC70C2" w:rsidP="00FC70C2">
      <w:pPr>
        <w:widowControl w:val="0"/>
        <w:tabs>
          <w:tab w:val="left" w:pos="180"/>
        </w:tabs>
        <w:spacing w:after="120"/>
        <w:rPr>
          <w:rFonts w:ascii="Arial Narrow" w:eastAsia="Calibri" w:hAnsi="Arial Narrow" w:cs="Arial"/>
          <w:b/>
          <w:iCs/>
          <w:lang w:val="bg-BG"/>
        </w:rPr>
      </w:pPr>
      <w:r w:rsidRPr="00FC70C2">
        <w:rPr>
          <w:rFonts w:ascii="Arial Narrow" w:eastAsia="Calibri" w:hAnsi="Arial Narrow" w:cs="Arial"/>
          <w:b/>
          <w:iCs/>
          <w:lang w:val="bg-BG"/>
        </w:rPr>
        <w:lastRenderedPageBreak/>
        <w:t xml:space="preserve">Таблица ІІ.16. Разпределение на говедата по райони през 2023 и 2024 г. </w:t>
      </w:r>
    </w:p>
    <w:tbl>
      <w:tblPr>
        <w:tblpPr w:leftFromText="141" w:rightFromText="141" w:vertAnchor="text" w:tblpX="108" w:tblpY="1"/>
        <w:tblOverlap w:val="never"/>
        <w:tblW w:w="98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35"/>
        <w:gridCol w:w="979"/>
        <w:gridCol w:w="987"/>
        <w:gridCol w:w="980"/>
        <w:gridCol w:w="989"/>
        <w:gridCol w:w="980"/>
        <w:gridCol w:w="988"/>
        <w:gridCol w:w="980"/>
        <w:gridCol w:w="989"/>
      </w:tblGrid>
      <w:tr w:rsidR="00FC70C2" w:rsidRPr="00FC70C2" w14:paraId="464C0440" w14:textId="77777777" w:rsidTr="00F10FC2">
        <w:trPr>
          <w:trHeight w:val="385"/>
          <w:tblHeader/>
        </w:trPr>
        <w:tc>
          <w:tcPr>
            <w:tcW w:w="1935" w:type="dxa"/>
            <w:vMerge w:val="restart"/>
            <w:vAlign w:val="center"/>
          </w:tcPr>
          <w:p w14:paraId="3345A4D7" w14:textId="77777777" w:rsidR="00FC70C2" w:rsidRPr="00FC70C2" w:rsidRDefault="00FC70C2" w:rsidP="00725099">
            <w:pPr>
              <w:widowControl w:val="0"/>
              <w:jc w:val="center"/>
              <w:rPr>
                <w:rFonts w:ascii="Arial Narrow" w:hAnsi="Arial Narrow"/>
                <w:b/>
                <w:bCs/>
                <w:sz w:val="20"/>
                <w:szCs w:val="20"/>
                <w:lang w:val="bg-BG"/>
              </w:rPr>
            </w:pPr>
            <w:r w:rsidRPr="00FC70C2">
              <w:rPr>
                <w:rFonts w:ascii="Arial Narrow" w:hAnsi="Arial Narrow"/>
                <w:b/>
                <w:bCs/>
                <w:sz w:val="20"/>
                <w:szCs w:val="20"/>
                <w:lang w:val="bg-BG"/>
              </w:rPr>
              <w:t>Райони</w:t>
            </w:r>
          </w:p>
        </w:tc>
        <w:tc>
          <w:tcPr>
            <w:tcW w:w="3935" w:type="dxa"/>
            <w:gridSpan w:val="4"/>
            <w:vAlign w:val="center"/>
          </w:tcPr>
          <w:p w14:paraId="11D1995C" w14:textId="77777777" w:rsidR="00FC70C2" w:rsidRPr="00FC70C2" w:rsidRDefault="00FC70C2" w:rsidP="00725099">
            <w:pPr>
              <w:widowControl w:val="0"/>
              <w:jc w:val="center"/>
              <w:rPr>
                <w:rFonts w:ascii="Arial Narrow" w:hAnsi="Arial Narrow"/>
                <w:b/>
                <w:bCs/>
                <w:sz w:val="20"/>
                <w:szCs w:val="20"/>
                <w:lang w:val="bg-BG"/>
              </w:rPr>
            </w:pPr>
            <w:r w:rsidRPr="00FC70C2">
              <w:rPr>
                <w:rFonts w:ascii="Arial Narrow" w:hAnsi="Arial Narrow"/>
                <w:b/>
                <w:bCs/>
                <w:sz w:val="20"/>
                <w:szCs w:val="20"/>
                <w:lang w:val="bg-BG"/>
              </w:rPr>
              <w:t>01.11.2023 г.</w:t>
            </w:r>
          </w:p>
        </w:tc>
        <w:tc>
          <w:tcPr>
            <w:tcW w:w="3937" w:type="dxa"/>
            <w:gridSpan w:val="4"/>
            <w:vAlign w:val="center"/>
          </w:tcPr>
          <w:p w14:paraId="30F51C50" w14:textId="77777777" w:rsidR="00FC70C2" w:rsidRPr="00FC70C2" w:rsidRDefault="00FC70C2" w:rsidP="00725099">
            <w:pPr>
              <w:widowControl w:val="0"/>
              <w:jc w:val="center"/>
              <w:rPr>
                <w:rFonts w:ascii="Arial Narrow" w:hAnsi="Arial Narrow"/>
                <w:b/>
                <w:bCs/>
                <w:sz w:val="20"/>
                <w:szCs w:val="20"/>
                <w:lang w:val="bg-BG"/>
              </w:rPr>
            </w:pPr>
            <w:r w:rsidRPr="00FC70C2">
              <w:rPr>
                <w:rFonts w:ascii="Arial Narrow" w:hAnsi="Arial Narrow"/>
                <w:b/>
                <w:bCs/>
                <w:sz w:val="20"/>
                <w:szCs w:val="20"/>
                <w:lang w:val="bg-BG"/>
              </w:rPr>
              <w:t>01.11.2024 г.</w:t>
            </w:r>
          </w:p>
        </w:tc>
      </w:tr>
      <w:tr w:rsidR="00FC70C2" w:rsidRPr="00FC70C2" w14:paraId="0C5FD3CA" w14:textId="77777777" w:rsidTr="00F10FC2">
        <w:trPr>
          <w:trHeight w:val="385"/>
          <w:tblHeader/>
        </w:trPr>
        <w:tc>
          <w:tcPr>
            <w:tcW w:w="1935" w:type="dxa"/>
            <w:vMerge/>
          </w:tcPr>
          <w:p w14:paraId="6D4BE742" w14:textId="77777777" w:rsidR="00FC70C2" w:rsidRPr="00FC70C2" w:rsidRDefault="00FC70C2" w:rsidP="00725099">
            <w:pPr>
              <w:widowControl w:val="0"/>
              <w:jc w:val="center"/>
              <w:rPr>
                <w:rFonts w:ascii="Arial Narrow" w:hAnsi="Arial Narrow"/>
                <w:b/>
                <w:bCs/>
                <w:sz w:val="20"/>
                <w:szCs w:val="20"/>
                <w:lang w:val="bg-BG"/>
              </w:rPr>
            </w:pPr>
          </w:p>
        </w:tc>
        <w:tc>
          <w:tcPr>
            <w:tcW w:w="1966" w:type="dxa"/>
            <w:gridSpan w:val="2"/>
            <w:vAlign w:val="center"/>
          </w:tcPr>
          <w:p w14:paraId="13F3D148" w14:textId="77777777" w:rsidR="00FC70C2" w:rsidRPr="00FC70C2" w:rsidRDefault="00FC70C2" w:rsidP="00725099">
            <w:pPr>
              <w:widowControl w:val="0"/>
              <w:jc w:val="center"/>
              <w:rPr>
                <w:rFonts w:ascii="Arial Narrow" w:hAnsi="Arial Narrow" w:cs="Calibri"/>
                <w:b/>
                <w:bCs/>
                <w:sz w:val="20"/>
                <w:szCs w:val="20"/>
              </w:rPr>
            </w:pPr>
            <w:r w:rsidRPr="00FC70C2">
              <w:rPr>
                <w:rFonts w:ascii="Arial Narrow" w:hAnsi="Arial Narrow" w:cs="Calibri"/>
                <w:b/>
                <w:bCs/>
                <w:sz w:val="20"/>
                <w:szCs w:val="20"/>
              </w:rPr>
              <w:t>Говеда</w:t>
            </w:r>
          </w:p>
        </w:tc>
        <w:tc>
          <w:tcPr>
            <w:tcW w:w="1969" w:type="dxa"/>
            <w:gridSpan w:val="2"/>
            <w:vAlign w:val="center"/>
          </w:tcPr>
          <w:p w14:paraId="0BB065D7" w14:textId="77777777" w:rsidR="00FC70C2" w:rsidRPr="00FC70C2" w:rsidRDefault="00FC70C2" w:rsidP="00725099">
            <w:pPr>
              <w:widowControl w:val="0"/>
              <w:jc w:val="center"/>
              <w:rPr>
                <w:rFonts w:ascii="Arial Narrow" w:hAnsi="Arial Narrow" w:cs="Calibri"/>
                <w:b/>
                <w:bCs/>
                <w:sz w:val="20"/>
                <w:szCs w:val="20"/>
              </w:rPr>
            </w:pPr>
            <w:r w:rsidRPr="00FC70C2">
              <w:rPr>
                <w:rFonts w:ascii="Arial Narrow" w:hAnsi="Arial Narrow" w:cs="Calibri"/>
                <w:b/>
                <w:bCs/>
                <w:sz w:val="20"/>
                <w:szCs w:val="20"/>
              </w:rPr>
              <w:t>Крави</w:t>
            </w:r>
          </w:p>
        </w:tc>
        <w:tc>
          <w:tcPr>
            <w:tcW w:w="1968" w:type="dxa"/>
            <w:gridSpan w:val="2"/>
            <w:vAlign w:val="center"/>
          </w:tcPr>
          <w:p w14:paraId="093FA2CE" w14:textId="77777777" w:rsidR="00FC70C2" w:rsidRPr="00FC70C2" w:rsidRDefault="00FC70C2" w:rsidP="00725099">
            <w:pPr>
              <w:widowControl w:val="0"/>
              <w:jc w:val="center"/>
              <w:rPr>
                <w:rFonts w:ascii="Arial Narrow" w:hAnsi="Arial Narrow" w:cs="Calibri"/>
                <w:b/>
                <w:bCs/>
                <w:sz w:val="20"/>
                <w:szCs w:val="20"/>
              </w:rPr>
            </w:pPr>
            <w:r w:rsidRPr="00FC70C2">
              <w:rPr>
                <w:rFonts w:ascii="Arial Narrow" w:hAnsi="Arial Narrow" w:cs="Calibri"/>
                <w:b/>
                <w:bCs/>
                <w:sz w:val="20"/>
                <w:szCs w:val="20"/>
              </w:rPr>
              <w:t>Говеда</w:t>
            </w:r>
          </w:p>
        </w:tc>
        <w:tc>
          <w:tcPr>
            <w:tcW w:w="1969" w:type="dxa"/>
            <w:gridSpan w:val="2"/>
            <w:vAlign w:val="center"/>
          </w:tcPr>
          <w:p w14:paraId="69556711" w14:textId="77777777" w:rsidR="00FC70C2" w:rsidRPr="00FC70C2" w:rsidRDefault="00FC70C2" w:rsidP="00725099">
            <w:pPr>
              <w:widowControl w:val="0"/>
              <w:jc w:val="center"/>
              <w:rPr>
                <w:rFonts w:ascii="Arial Narrow" w:hAnsi="Arial Narrow" w:cs="Calibri"/>
                <w:b/>
                <w:bCs/>
                <w:sz w:val="20"/>
                <w:szCs w:val="20"/>
              </w:rPr>
            </w:pPr>
            <w:r w:rsidRPr="00FC70C2">
              <w:rPr>
                <w:rFonts w:ascii="Arial Narrow" w:hAnsi="Arial Narrow" w:cs="Calibri"/>
                <w:b/>
                <w:bCs/>
                <w:sz w:val="20"/>
                <w:szCs w:val="20"/>
              </w:rPr>
              <w:t>Крави</w:t>
            </w:r>
          </w:p>
        </w:tc>
      </w:tr>
      <w:tr w:rsidR="00FC70C2" w:rsidRPr="00FC70C2" w14:paraId="0422AEB5" w14:textId="77777777" w:rsidTr="00F10FC2">
        <w:trPr>
          <w:trHeight w:val="494"/>
          <w:tblHeader/>
        </w:trPr>
        <w:tc>
          <w:tcPr>
            <w:tcW w:w="1935" w:type="dxa"/>
            <w:vMerge/>
          </w:tcPr>
          <w:p w14:paraId="534CB357" w14:textId="77777777" w:rsidR="00FC70C2" w:rsidRPr="00FC70C2" w:rsidRDefault="00FC70C2" w:rsidP="00725099">
            <w:pPr>
              <w:widowControl w:val="0"/>
              <w:jc w:val="center"/>
              <w:rPr>
                <w:rFonts w:ascii="Arial Narrow" w:hAnsi="Arial Narrow"/>
                <w:b/>
                <w:bCs/>
                <w:sz w:val="20"/>
                <w:szCs w:val="20"/>
                <w:lang w:val="bg-BG"/>
              </w:rPr>
            </w:pPr>
          </w:p>
        </w:tc>
        <w:tc>
          <w:tcPr>
            <w:tcW w:w="979" w:type="dxa"/>
            <w:vAlign w:val="center"/>
          </w:tcPr>
          <w:p w14:paraId="4088EAF8" w14:textId="77777777" w:rsidR="00FC70C2" w:rsidRPr="00FC70C2" w:rsidRDefault="00FC70C2" w:rsidP="00725099">
            <w:pPr>
              <w:widowControl w:val="0"/>
              <w:jc w:val="center"/>
              <w:rPr>
                <w:rFonts w:ascii="Arial Narrow" w:hAnsi="Arial Narrow"/>
                <w:b/>
                <w:bCs/>
                <w:sz w:val="20"/>
                <w:szCs w:val="20"/>
                <w:lang w:val="bg-BG"/>
              </w:rPr>
            </w:pPr>
            <w:r w:rsidRPr="00FC70C2">
              <w:rPr>
                <w:rFonts w:ascii="Arial Narrow" w:hAnsi="Arial Narrow"/>
                <w:b/>
                <w:bCs/>
                <w:sz w:val="20"/>
                <w:szCs w:val="20"/>
                <w:lang w:val="bg-BG"/>
              </w:rPr>
              <w:t>хил. броя</w:t>
            </w:r>
          </w:p>
        </w:tc>
        <w:tc>
          <w:tcPr>
            <w:tcW w:w="986" w:type="dxa"/>
            <w:vAlign w:val="center"/>
          </w:tcPr>
          <w:p w14:paraId="5FAB082E" w14:textId="77777777" w:rsidR="00FC70C2" w:rsidRPr="00FC70C2" w:rsidRDefault="00FC70C2" w:rsidP="00725099">
            <w:pPr>
              <w:widowControl w:val="0"/>
              <w:jc w:val="center"/>
              <w:rPr>
                <w:rFonts w:ascii="Arial Narrow" w:hAnsi="Arial Narrow"/>
                <w:b/>
                <w:bCs/>
                <w:sz w:val="20"/>
                <w:szCs w:val="20"/>
                <w:lang w:val="bg-BG"/>
              </w:rPr>
            </w:pPr>
            <w:r w:rsidRPr="00FC70C2">
              <w:rPr>
                <w:rFonts w:ascii="Arial Narrow" w:hAnsi="Arial Narrow"/>
                <w:b/>
                <w:bCs/>
                <w:sz w:val="20"/>
                <w:szCs w:val="20"/>
                <w:lang w:val="bg-BG"/>
              </w:rPr>
              <w:t>хил. броя</w:t>
            </w:r>
          </w:p>
        </w:tc>
        <w:tc>
          <w:tcPr>
            <w:tcW w:w="980" w:type="dxa"/>
            <w:vAlign w:val="center"/>
          </w:tcPr>
          <w:p w14:paraId="3F65AF9E" w14:textId="77777777" w:rsidR="00FC70C2" w:rsidRPr="00FC70C2" w:rsidRDefault="00FC70C2" w:rsidP="00725099">
            <w:pPr>
              <w:widowControl w:val="0"/>
              <w:jc w:val="center"/>
              <w:rPr>
                <w:rFonts w:ascii="Arial Narrow" w:hAnsi="Arial Narrow"/>
                <w:b/>
                <w:bCs/>
                <w:sz w:val="20"/>
                <w:szCs w:val="20"/>
                <w:lang w:val="bg-BG"/>
              </w:rPr>
            </w:pPr>
            <w:r w:rsidRPr="00FC70C2">
              <w:rPr>
                <w:rFonts w:ascii="Arial Narrow" w:hAnsi="Arial Narrow"/>
                <w:b/>
                <w:bCs/>
                <w:sz w:val="20"/>
                <w:szCs w:val="20"/>
                <w:lang w:val="bg-BG"/>
              </w:rPr>
              <w:t>хил. броя</w:t>
            </w:r>
          </w:p>
        </w:tc>
        <w:tc>
          <w:tcPr>
            <w:tcW w:w="988" w:type="dxa"/>
            <w:vAlign w:val="center"/>
          </w:tcPr>
          <w:p w14:paraId="3B0F113F" w14:textId="77777777" w:rsidR="00FC70C2" w:rsidRPr="00FC70C2" w:rsidRDefault="00FC70C2" w:rsidP="00725099">
            <w:pPr>
              <w:widowControl w:val="0"/>
              <w:jc w:val="center"/>
              <w:rPr>
                <w:rFonts w:ascii="Arial Narrow" w:hAnsi="Arial Narrow"/>
                <w:b/>
                <w:bCs/>
                <w:sz w:val="20"/>
                <w:szCs w:val="20"/>
                <w:lang w:val="bg-BG"/>
              </w:rPr>
            </w:pPr>
            <w:r w:rsidRPr="00FC70C2">
              <w:rPr>
                <w:rFonts w:ascii="Arial Narrow" w:hAnsi="Arial Narrow"/>
                <w:b/>
                <w:bCs/>
                <w:sz w:val="20"/>
                <w:szCs w:val="20"/>
                <w:lang w:val="bg-BG"/>
              </w:rPr>
              <w:t>хил. броя</w:t>
            </w:r>
          </w:p>
        </w:tc>
        <w:tc>
          <w:tcPr>
            <w:tcW w:w="980" w:type="dxa"/>
            <w:vAlign w:val="center"/>
          </w:tcPr>
          <w:p w14:paraId="4C15775A" w14:textId="77777777" w:rsidR="00FC70C2" w:rsidRPr="00FC70C2" w:rsidRDefault="00FC70C2" w:rsidP="00725099">
            <w:pPr>
              <w:widowControl w:val="0"/>
              <w:jc w:val="center"/>
              <w:rPr>
                <w:rFonts w:ascii="Arial Narrow" w:hAnsi="Arial Narrow"/>
                <w:b/>
                <w:bCs/>
                <w:sz w:val="20"/>
                <w:szCs w:val="20"/>
                <w:lang w:val="bg-BG"/>
              </w:rPr>
            </w:pPr>
            <w:r w:rsidRPr="00FC70C2">
              <w:rPr>
                <w:rFonts w:ascii="Arial Narrow" w:hAnsi="Arial Narrow"/>
                <w:b/>
                <w:bCs/>
                <w:sz w:val="20"/>
                <w:szCs w:val="20"/>
                <w:lang w:val="bg-BG"/>
              </w:rPr>
              <w:t>хил. броя</w:t>
            </w:r>
          </w:p>
        </w:tc>
        <w:tc>
          <w:tcPr>
            <w:tcW w:w="987" w:type="dxa"/>
            <w:vAlign w:val="center"/>
          </w:tcPr>
          <w:p w14:paraId="6E908CE3" w14:textId="77777777" w:rsidR="00FC70C2" w:rsidRPr="00FC70C2" w:rsidRDefault="00FC70C2" w:rsidP="00725099">
            <w:pPr>
              <w:widowControl w:val="0"/>
              <w:jc w:val="center"/>
              <w:rPr>
                <w:rFonts w:ascii="Arial Narrow" w:hAnsi="Arial Narrow"/>
                <w:b/>
                <w:bCs/>
                <w:sz w:val="20"/>
                <w:szCs w:val="20"/>
                <w:lang w:val="bg-BG"/>
              </w:rPr>
            </w:pPr>
            <w:r w:rsidRPr="00FC70C2">
              <w:rPr>
                <w:rFonts w:ascii="Arial Narrow" w:hAnsi="Arial Narrow"/>
                <w:b/>
                <w:bCs/>
                <w:sz w:val="20"/>
                <w:szCs w:val="20"/>
                <w:lang w:val="bg-BG"/>
              </w:rPr>
              <w:t>дял</w:t>
            </w:r>
          </w:p>
        </w:tc>
        <w:tc>
          <w:tcPr>
            <w:tcW w:w="980" w:type="dxa"/>
            <w:vAlign w:val="center"/>
          </w:tcPr>
          <w:p w14:paraId="3A79CE76" w14:textId="77777777" w:rsidR="00FC70C2" w:rsidRPr="00FC70C2" w:rsidRDefault="00FC70C2" w:rsidP="00725099">
            <w:pPr>
              <w:widowControl w:val="0"/>
              <w:jc w:val="center"/>
              <w:rPr>
                <w:rFonts w:ascii="Arial Narrow" w:hAnsi="Arial Narrow"/>
                <w:b/>
                <w:bCs/>
                <w:sz w:val="20"/>
                <w:szCs w:val="20"/>
                <w:lang w:val="bg-BG"/>
              </w:rPr>
            </w:pPr>
            <w:r w:rsidRPr="00FC70C2">
              <w:rPr>
                <w:rFonts w:ascii="Arial Narrow" w:hAnsi="Arial Narrow"/>
                <w:b/>
                <w:bCs/>
                <w:sz w:val="20"/>
                <w:szCs w:val="20"/>
                <w:lang w:val="bg-BG"/>
              </w:rPr>
              <w:t>хил. броя</w:t>
            </w:r>
          </w:p>
        </w:tc>
        <w:tc>
          <w:tcPr>
            <w:tcW w:w="988" w:type="dxa"/>
            <w:vAlign w:val="center"/>
          </w:tcPr>
          <w:p w14:paraId="6DF25137" w14:textId="77777777" w:rsidR="00FC70C2" w:rsidRPr="00FC70C2" w:rsidRDefault="00FC70C2" w:rsidP="00725099">
            <w:pPr>
              <w:widowControl w:val="0"/>
              <w:jc w:val="center"/>
              <w:rPr>
                <w:rFonts w:ascii="Arial Narrow" w:hAnsi="Arial Narrow"/>
                <w:b/>
                <w:bCs/>
                <w:sz w:val="20"/>
                <w:szCs w:val="20"/>
                <w:lang w:val="bg-BG"/>
              </w:rPr>
            </w:pPr>
            <w:r w:rsidRPr="00FC70C2">
              <w:rPr>
                <w:rFonts w:ascii="Arial Narrow" w:hAnsi="Arial Narrow"/>
                <w:b/>
                <w:bCs/>
                <w:sz w:val="20"/>
                <w:szCs w:val="20"/>
                <w:lang w:val="bg-BG"/>
              </w:rPr>
              <w:t>дял</w:t>
            </w:r>
          </w:p>
        </w:tc>
      </w:tr>
      <w:tr w:rsidR="00FC70C2" w:rsidRPr="00FC70C2" w14:paraId="2E660E5B" w14:textId="77777777" w:rsidTr="00F10FC2">
        <w:trPr>
          <w:trHeight w:val="330"/>
        </w:trPr>
        <w:tc>
          <w:tcPr>
            <w:tcW w:w="1935" w:type="dxa"/>
            <w:vAlign w:val="center"/>
          </w:tcPr>
          <w:p w14:paraId="419515D1" w14:textId="77777777" w:rsidR="00FC70C2" w:rsidRPr="00FC70C2" w:rsidRDefault="00FC70C2" w:rsidP="00725099">
            <w:pPr>
              <w:widowControl w:val="0"/>
              <w:rPr>
                <w:rFonts w:ascii="Arial Narrow" w:hAnsi="Arial Narrow" w:cs="Arial"/>
                <w:sz w:val="20"/>
                <w:szCs w:val="20"/>
                <w:lang w:val="bg-BG"/>
              </w:rPr>
            </w:pPr>
            <w:r w:rsidRPr="00FC70C2">
              <w:rPr>
                <w:rFonts w:ascii="Arial Narrow" w:hAnsi="Arial Narrow" w:cs="Arial"/>
                <w:sz w:val="20"/>
                <w:szCs w:val="20"/>
                <w:lang w:val="bg-BG"/>
              </w:rPr>
              <w:t>Северозападен</w:t>
            </w:r>
          </w:p>
        </w:tc>
        <w:tc>
          <w:tcPr>
            <w:tcW w:w="979" w:type="dxa"/>
            <w:tcBorders>
              <w:top w:val="single" w:sz="4" w:space="0" w:color="auto"/>
              <w:left w:val="single" w:sz="4" w:space="0" w:color="auto"/>
              <w:bottom w:val="single" w:sz="4" w:space="0" w:color="auto"/>
              <w:right w:val="single" w:sz="4" w:space="0" w:color="auto"/>
            </w:tcBorders>
            <w:shd w:val="clear" w:color="auto" w:fill="auto"/>
            <w:vAlign w:val="center"/>
          </w:tcPr>
          <w:p w14:paraId="0F72D862" w14:textId="77777777" w:rsidR="00FC70C2" w:rsidRPr="00FC70C2" w:rsidRDefault="00FC70C2" w:rsidP="00725099">
            <w:pPr>
              <w:widowControl w:val="0"/>
              <w:jc w:val="right"/>
              <w:rPr>
                <w:rFonts w:ascii="Arial Narrow" w:hAnsi="Arial Narrow" w:cs="Arial"/>
                <w:sz w:val="20"/>
                <w:szCs w:val="20"/>
                <w:lang w:val="bg-BG"/>
              </w:rPr>
            </w:pPr>
            <w:r w:rsidRPr="00FC70C2">
              <w:rPr>
                <w:rFonts w:ascii="Arial Narrow" w:hAnsi="Arial Narrow" w:cs="Arial"/>
                <w:sz w:val="20"/>
                <w:szCs w:val="20"/>
                <w:lang w:val="bg-BG"/>
              </w:rPr>
              <w:t>58,5</w:t>
            </w:r>
          </w:p>
        </w:tc>
        <w:tc>
          <w:tcPr>
            <w:tcW w:w="986" w:type="dxa"/>
            <w:tcBorders>
              <w:top w:val="single" w:sz="4" w:space="0" w:color="auto"/>
              <w:left w:val="nil"/>
              <w:bottom w:val="single" w:sz="4" w:space="0" w:color="auto"/>
              <w:right w:val="single" w:sz="4" w:space="0" w:color="auto"/>
            </w:tcBorders>
            <w:shd w:val="clear" w:color="auto" w:fill="auto"/>
            <w:vAlign w:val="center"/>
          </w:tcPr>
          <w:p w14:paraId="43E3D8D4" w14:textId="77777777" w:rsidR="00FC70C2" w:rsidRPr="00FC70C2" w:rsidRDefault="00FC70C2" w:rsidP="00725099">
            <w:pPr>
              <w:widowControl w:val="0"/>
              <w:jc w:val="right"/>
              <w:rPr>
                <w:rFonts w:ascii="Arial Narrow" w:hAnsi="Arial Narrow" w:cs="Arial"/>
                <w:sz w:val="20"/>
                <w:szCs w:val="20"/>
                <w:lang w:val="bg-BG"/>
              </w:rPr>
            </w:pPr>
            <w:r w:rsidRPr="00FC70C2">
              <w:rPr>
                <w:rFonts w:ascii="Arial Narrow" w:hAnsi="Arial Narrow" w:cs="Arial"/>
                <w:sz w:val="20"/>
                <w:szCs w:val="20"/>
                <w:lang w:val="bg-BG"/>
              </w:rPr>
              <w:t>10,6%</w:t>
            </w:r>
          </w:p>
        </w:tc>
        <w:tc>
          <w:tcPr>
            <w:tcW w:w="980" w:type="dxa"/>
            <w:tcBorders>
              <w:top w:val="single" w:sz="4" w:space="0" w:color="auto"/>
              <w:left w:val="nil"/>
              <w:bottom w:val="single" w:sz="4" w:space="0" w:color="auto"/>
              <w:right w:val="single" w:sz="4" w:space="0" w:color="auto"/>
            </w:tcBorders>
            <w:shd w:val="clear" w:color="auto" w:fill="auto"/>
            <w:vAlign w:val="center"/>
          </w:tcPr>
          <w:p w14:paraId="170223D2" w14:textId="77777777" w:rsidR="00FC70C2" w:rsidRPr="00FC70C2" w:rsidRDefault="00FC70C2" w:rsidP="00725099">
            <w:pPr>
              <w:widowControl w:val="0"/>
              <w:jc w:val="right"/>
              <w:rPr>
                <w:rFonts w:ascii="Arial Narrow" w:hAnsi="Arial Narrow" w:cs="Arial"/>
                <w:sz w:val="20"/>
                <w:szCs w:val="20"/>
                <w:lang w:val="bg-BG"/>
              </w:rPr>
            </w:pPr>
            <w:r w:rsidRPr="00FC70C2">
              <w:rPr>
                <w:rFonts w:ascii="Arial Narrow" w:hAnsi="Arial Narrow" w:cs="Arial"/>
                <w:sz w:val="20"/>
                <w:szCs w:val="20"/>
                <w:lang w:val="bg-BG"/>
              </w:rPr>
              <w:t>37,4</w:t>
            </w:r>
          </w:p>
        </w:tc>
        <w:tc>
          <w:tcPr>
            <w:tcW w:w="988" w:type="dxa"/>
            <w:tcBorders>
              <w:top w:val="single" w:sz="4" w:space="0" w:color="auto"/>
              <w:left w:val="nil"/>
              <w:bottom w:val="single" w:sz="4" w:space="0" w:color="auto"/>
              <w:right w:val="single" w:sz="4" w:space="0" w:color="auto"/>
            </w:tcBorders>
            <w:shd w:val="clear" w:color="auto" w:fill="auto"/>
            <w:vAlign w:val="center"/>
          </w:tcPr>
          <w:p w14:paraId="4824EADB" w14:textId="77777777" w:rsidR="00FC70C2" w:rsidRPr="00FC70C2" w:rsidRDefault="00FC70C2" w:rsidP="00725099">
            <w:pPr>
              <w:widowControl w:val="0"/>
              <w:jc w:val="right"/>
              <w:rPr>
                <w:rFonts w:ascii="Arial Narrow" w:hAnsi="Arial Narrow" w:cs="Arial"/>
                <w:sz w:val="20"/>
                <w:szCs w:val="20"/>
                <w:lang w:val="bg-BG"/>
              </w:rPr>
            </w:pPr>
            <w:r w:rsidRPr="00FC70C2">
              <w:rPr>
                <w:rFonts w:ascii="Arial Narrow" w:hAnsi="Arial Narrow" w:cs="Arial"/>
                <w:sz w:val="20"/>
                <w:szCs w:val="20"/>
                <w:lang w:val="bg-BG"/>
              </w:rPr>
              <w:t>10,5%</w:t>
            </w:r>
          </w:p>
        </w:tc>
        <w:tc>
          <w:tcPr>
            <w:tcW w:w="980" w:type="dxa"/>
            <w:tcBorders>
              <w:top w:val="single" w:sz="4" w:space="0" w:color="auto"/>
              <w:left w:val="single" w:sz="4" w:space="0" w:color="auto"/>
              <w:bottom w:val="single" w:sz="4" w:space="0" w:color="auto"/>
              <w:right w:val="single" w:sz="4" w:space="0" w:color="auto"/>
            </w:tcBorders>
            <w:shd w:val="clear" w:color="auto" w:fill="auto"/>
            <w:vAlign w:val="center"/>
          </w:tcPr>
          <w:p w14:paraId="4B52BCE8" w14:textId="77777777" w:rsidR="00FC70C2" w:rsidRPr="00FC70C2" w:rsidRDefault="00FC70C2" w:rsidP="00725099">
            <w:pPr>
              <w:widowControl w:val="0"/>
              <w:jc w:val="right"/>
              <w:rPr>
                <w:rFonts w:ascii="Arial Narrow" w:hAnsi="Arial Narrow" w:cs="Arial"/>
                <w:sz w:val="20"/>
                <w:szCs w:val="20"/>
                <w:lang w:val="bg-BG"/>
              </w:rPr>
            </w:pPr>
            <w:r w:rsidRPr="00FC70C2">
              <w:rPr>
                <w:rFonts w:ascii="Arial Narrow" w:hAnsi="Arial Narrow" w:cs="Arial"/>
                <w:sz w:val="20"/>
                <w:szCs w:val="20"/>
                <w:lang w:val="bg-BG"/>
              </w:rPr>
              <w:t>56,2</w:t>
            </w:r>
          </w:p>
        </w:tc>
        <w:tc>
          <w:tcPr>
            <w:tcW w:w="987" w:type="dxa"/>
            <w:tcBorders>
              <w:top w:val="single" w:sz="4" w:space="0" w:color="auto"/>
              <w:left w:val="nil"/>
              <w:bottom w:val="single" w:sz="4" w:space="0" w:color="auto"/>
              <w:right w:val="single" w:sz="4" w:space="0" w:color="auto"/>
            </w:tcBorders>
            <w:shd w:val="clear" w:color="auto" w:fill="auto"/>
            <w:vAlign w:val="center"/>
          </w:tcPr>
          <w:p w14:paraId="4025F8F5" w14:textId="77777777" w:rsidR="00FC70C2" w:rsidRPr="00FC70C2" w:rsidRDefault="00FC70C2" w:rsidP="00725099">
            <w:pPr>
              <w:widowControl w:val="0"/>
              <w:jc w:val="right"/>
              <w:rPr>
                <w:rFonts w:ascii="Arial Narrow" w:hAnsi="Arial Narrow" w:cs="Calibri"/>
                <w:sz w:val="20"/>
                <w:szCs w:val="20"/>
              </w:rPr>
            </w:pPr>
            <w:r w:rsidRPr="00FC70C2">
              <w:rPr>
                <w:rFonts w:ascii="Arial Narrow" w:hAnsi="Arial Narrow" w:cs="Calibri"/>
                <w:sz w:val="20"/>
                <w:szCs w:val="20"/>
              </w:rPr>
              <w:t>10,4%</w:t>
            </w:r>
          </w:p>
        </w:tc>
        <w:tc>
          <w:tcPr>
            <w:tcW w:w="980" w:type="dxa"/>
            <w:tcBorders>
              <w:top w:val="single" w:sz="4" w:space="0" w:color="auto"/>
              <w:left w:val="nil"/>
              <w:bottom w:val="single" w:sz="4" w:space="0" w:color="auto"/>
              <w:right w:val="single" w:sz="4" w:space="0" w:color="auto"/>
            </w:tcBorders>
            <w:shd w:val="clear" w:color="auto" w:fill="auto"/>
            <w:vAlign w:val="center"/>
          </w:tcPr>
          <w:p w14:paraId="0BCC9F55" w14:textId="77777777" w:rsidR="00FC70C2" w:rsidRPr="00FC70C2" w:rsidRDefault="00FC70C2" w:rsidP="00725099">
            <w:pPr>
              <w:widowControl w:val="0"/>
              <w:jc w:val="right"/>
              <w:rPr>
                <w:rFonts w:ascii="Arial Narrow" w:hAnsi="Arial Narrow" w:cs="Calibri"/>
                <w:sz w:val="20"/>
                <w:szCs w:val="20"/>
              </w:rPr>
            </w:pPr>
            <w:r w:rsidRPr="00FC70C2">
              <w:rPr>
                <w:rFonts w:ascii="Arial Narrow" w:hAnsi="Arial Narrow" w:cs="Calibri"/>
                <w:sz w:val="20"/>
                <w:szCs w:val="20"/>
              </w:rPr>
              <w:t>35,7</w:t>
            </w:r>
          </w:p>
        </w:tc>
        <w:tc>
          <w:tcPr>
            <w:tcW w:w="988" w:type="dxa"/>
            <w:tcBorders>
              <w:top w:val="single" w:sz="4" w:space="0" w:color="auto"/>
              <w:left w:val="nil"/>
              <w:bottom w:val="single" w:sz="4" w:space="0" w:color="auto"/>
              <w:right w:val="single" w:sz="4" w:space="0" w:color="auto"/>
            </w:tcBorders>
            <w:shd w:val="clear" w:color="auto" w:fill="auto"/>
            <w:vAlign w:val="center"/>
          </w:tcPr>
          <w:p w14:paraId="44092891" w14:textId="77777777" w:rsidR="00FC70C2" w:rsidRPr="00FC70C2" w:rsidRDefault="00FC70C2" w:rsidP="00725099">
            <w:pPr>
              <w:widowControl w:val="0"/>
              <w:jc w:val="right"/>
              <w:rPr>
                <w:rFonts w:ascii="Arial Narrow" w:hAnsi="Arial Narrow" w:cs="Calibri"/>
                <w:sz w:val="20"/>
                <w:szCs w:val="20"/>
              </w:rPr>
            </w:pPr>
            <w:r w:rsidRPr="00FC70C2">
              <w:rPr>
                <w:rFonts w:ascii="Arial Narrow" w:hAnsi="Arial Narrow" w:cs="Calibri"/>
                <w:sz w:val="20"/>
                <w:szCs w:val="20"/>
              </w:rPr>
              <w:t>10,5%</w:t>
            </w:r>
          </w:p>
        </w:tc>
      </w:tr>
      <w:tr w:rsidR="00FC70C2" w:rsidRPr="00FC70C2" w14:paraId="2B0D92D1" w14:textId="77777777" w:rsidTr="00F10FC2">
        <w:trPr>
          <w:trHeight w:val="330"/>
        </w:trPr>
        <w:tc>
          <w:tcPr>
            <w:tcW w:w="1935" w:type="dxa"/>
            <w:vAlign w:val="center"/>
          </w:tcPr>
          <w:p w14:paraId="1C417E12" w14:textId="77777777" w:rsidR="00FC70C2" w:rsidRPr="00FC70C2" w:rsidRDefault="00FC70C2" w:rsidP="00725099">
            <w:pPr>
              <w:widowControl w:val="0"/>
              <w:rPr>
                <w:rFonts w:ascii="Arial Narrow" w:hAnsi="Arial Narrow" w:cs="Arial"/>
                <w:sz w:val="20"/>
                <w:szCs w:val="20"/>
                <w:lang w:val="bg-BG"/>
              </w:rPr>
            </w:pPr>
            <w:r w:rsidRPr="00FC70C2">
              <w:rPr>
                <w:rFonts w:ascii="Arial Narrow" w:hAnsi="Arial Narrow" w:cs="Arial"/>
                <w:sz w:val="20"/>
                <w:szCs w:val="20"/>
                <w:lang w:val="bg-BG"/>
              </w:rPr>
              <w:t>Северен централен</w:t>
            </w:r>
          </w:p>
        </w:tc>
        <w:tc>
          <w:tcPr>
            <w:tcW w:w="979" w:type="dxa"/>
            <w:tcBorders>
              <w:top w:val="nil"/>
              <w:left w:val="single" w:sz="4" w:space="0" w:color="auto"/>
              <w:bottom w:val="single" w:sz="4" w:space="0" w:color="auto"/>
              <w:right w:val="single" w:sz="4" w:space="0" w:color="auto"/>
            </w:tcBorders>
            <w:shd w:val="clear" w:color="auto" w:fill="auto"/>
            <w:vAlign w:val="center"/>
          </w:tcPr>
          <w:p w14:paraId="178E372F" w14:textId="77777777" w:rsidR="00FC70C2" w:rsidRPr="00FC70C2" w:rsidRDefault="00FC70C2" w:rsidP="00725099">
            <w:pPr>
              <w:widowControl w:val="0"/>
              <w:jc w:val="right"/>
              <w:rPr>
                <w:rFonts w:ascii="Arial Narrow" w:hAnsi="Arial Narrow" w:cs="Arial"/>
                <w:sz w:val="20"/>
                <w:szCs w:val="20"/>
                <w:lang w:val="bg-BG"/>
              </w:rPr>
            </w:pPr>
            <w:r w:rsidRPr="00FC70C2">
              <w:rPr>
                <w:rFonts w:ascii="Arial Narrow" w:hAnsi="Arial Narrow" w:cs="Arial"/>
                <w:sz w:val="20"/>
                <w:szCs w:val="20"/>
                <w:lang w:val="bg-BG"/>
              </w:rPr>
              <w:t>61,2</w:t>
            </w:r>
          </w:p>
        </w:tc>
        <w:tc>
          <w:tcPr>
            <w:tcW w:w="986" w:type="dxa"/>
            <w:tcBorders>
              <w:top w:val="nil"/>
              <w:left w:val="nil"/>
              <w:bottom w:val="single" w:sz="4" w:space="0" w:color="auto"/>
              <w:right w:val="single" w:sz="4" w:space="0" w:color="auto"/>
            </w:tcBorders>
            <w:shd w:val="clear" w:color="auto" w:fill="auto"/>
            <w:vAlign w:val="center"/>
          </w:tcPr>
          <w:p w14:paraId="45E7B3DB" w14:textId="77777777" w:rsidR="00FC70C2" w:rsidRPr="00FC70C2" w:rsidRDefault="00FC70C2" w:rsidP="00725099">
            <w:pPr>
              <w:widowControl w:val="0"/>
              <w:jc w:val="right"/>
              <w:rPr>
                <w:rFonts w:ascii="Arial Narrow" w:hAnsi="Arial Narrow" w:cs="Arial"/>
                <w:sz w:val="20"/>
                <w:szCs w:val="20"/>
                <w:lang w:val="bg-BG"/>
              </w:rPr>
            </w:pPr>
            <w:r w:rsidRPr="00FC70C2">
              <w:rPr>
                <w:rFonts w:ascii="Arial Narrow" w:hAnsi="Arial Narrow" w:cs="Arial"/>
                <w:sz w:val="20"/>
                <w:szCs w:val="20"/>
                <w:lang w:val="bg-BG"/>
              </w:rPr>
              <w:t>11,1%</w:t>
            </w:r>
          </w:p>
        </w:tc>
        <w:tc>
          <w:tcPr>
            <w:tcW w:w="980" w:type="dxa"/>
            <w:tcBorders>
              <w:top w:val="nil"/>
              <w:left w:val="nil"/>
              <w:bottom w:val="single" w:sz="4" w:space="0" w:color="auto"/>
              <w:right w:val="single" w:sz="4" w:space="0" w:color="auto"/>
            </w:tcBorders>
            <w:shd w:val="clear" w:color="auto" w:fill="auto"/>
            <w:vAlign w:val="center"/>
          </w:tcPr>
          <w:p w14:paraId="64EBB1B9" w14:textId="77777777" w:rsidR="00FC70C2" w:rsidRPr="00FC70C2" w:rsidRDefault="00FC70C2" w:rsidP="00725099">
            <w:pPr>
              <w:widowControl w:val="0"/>
              <w:jc w:val="right"/>
              <w:rPr>
                <w:rFonts w:ascii="Arial Narrow" w:hAnsi="Arial Narrow" w:cs="Arial"/>
                <w:sz w:val="20"/>
                <w:szCs w:val="20"/>
                <w:lang w:val="bg-BG"/>
              </w:rPr>
            </w:pPr>
            <w:r w:rsidRPr="00FC70C2">
              <w:rPr>
                <w:rFonts w:ascii="Arial Narrow" w:hAnsi="Arial Narrow" w:cs="Arial"/>
                <w:sz w:val="20"/>
                <w:szCs w:val="20"/>
                <w:lang w:val="bg-BG"/>
              </w:rPr>
              <w:t>35,7</w:t>
            </w:r>
          </w:p>
        </w:tc>
        <w:tc>
          <w:tcPr>
            <w:tcW w:w="988" w:type="dxa"/>
            <w:tcBorders>
              <w:top w:val="nil"/>
              <w:left w:val="nil"/>
              <w:bottom w:val="single" w:sz="4" w:space="0" w:color="auto"/>
              <w:right w:val="single" w:sz="4" w:space="0" w:color="auto"/>
            </w:tcBorders>
            <w:shd w:val="clear" w:color="auto" w:fill="auto"/>
            <w:vAlign w:val="center"/>
          </w:tcPr>
          <w:p w14:paraId="410DE5E4" w14:textId="77777777" w:rsidR="00FC70C2" w:rsidRPr="00FC70C2" w:rsidRDefault="00FC70C2" w:rsidP="00725099">
            <w:pPr>
              <w:widowControl w:val="0"/>
              <w:jc w:val="right"/>
              <w:rPr>
                <w:rFonts w:ascii="Arial Narrow" w:hAnsi="Arial Narrow" w:cs="Arial"/>
                <w:sz w:val="20"/>
                <w:szCs w:val="20"/>
                <w:lang w:val="bg-BG"/>
              </w:rPr>
            </w:pPr>
            <w:r w:rsidRPr="00FC70C2">
              <w:rPr>
                <w:rFonts w:ascii="Arial Narrow" w:hAnsi="Arial Narrow" w:cs="Arial"/>
                <w:sz w:val="20"/>
                <w:szCs w:val="20"/>
                <w:lang w:val="bg-BG"/>
              </w:rPr>
              <w:t>10,0%</w:t>
            </w:r>
          </w:p>
        </w:tc>
        <w:tc>
          <w:tcPr>
            <w:tcW w:w="980" w:type="dxa"/>
            <w:tcBorders>
              <w:top w:val="nil"/>
              <w:left w:val="single" w:sz="4" w:space="0" w:color="auto"/>
              <w:bottom w:val="single" w:sz="4" w:space="0" w:color="auto"/>
              <w:right w:val="single" w:sz="4" w:space="0" w:color="auto"/>
            </w:tcBorders>
            <w:shd w:val="clear" w:color="auto" w:fill="auto"/>
            <w:vAlign w:val="center"/>
          </w:tcPr>
          <w:p w14:paraId="4D3933F1" w14:textId="77777777" w:rsidR="00FC70C2" w:rsidRPr="00FC70C2" w:rsidRDefault="00FC70C2" w:rsidP="00725099">
            <w:pPr>
              <w:widowControl w:val="0"/>
              <w:jc w:val="right"/>
              <w:rPr>
                <w:rFonts w:ascii="Arial Narrow" w:hAnsi="Arial Narrow" w:cs="Arial"/>
                <w:sz w:val="20"/>
                <w:szCs w:val="20"/>
                <w:lang w:val="bg-BG"/>
              </w:rPr>
            </w:pPr>
            <w:r w:rsidRPr="00FC70C2">
              <w:rPr>
                <w:rFonts w:ascii="Arial Narrow" w:hAnsi="Arial Narrow" w:cs="Arial"/>
                <w:sz w:val="20"/>
                <w:szCs w:val="20"/>
                <w:lang w:val="bg-BG"/>
              </w:rPr>
              <w:t>60,6</w:t>
            </w:r>
          </w:p>
        </w:tc>
        <w:tc>
          <w:tcPr>
            <w:tcW w:w="987" w:type="dxa"/>
            <w:tcBorders>
              <w:top w:val="nil"/>
              <w:left w:val="nil"/>
              <w:bottom w:val="single" w:sz="4" w:space="0" w:color="auto"/>
              <w:right w:val="single" w:sz="4" w:space="0" w:color="auto"/>
            </w:tcBorders>
            <w:shd w:val="clear" w:color="auto" w:fill="auto"/>
            <w:vAlign w:val="center"/>
          </w:tcPr>
          <w:p w14:paraId="268A95C5" w14:textId="77777777" w:rsidR="00FC70C2" w:rsidRPr="00FC70C2" w:rsidRDefault="00FC70C2" w:rsidP="00725099">
            <w:pPr>
              <w:widowControl w:val="0"/>
              <w:jc w:val="right"/>
              <w:rPr>
                <w:rFonts w:ascii="Arial Narrow" w:hAnsi="Arial Narrow" w:cs="Calibri"/>
                <w:sz w:val="20"/>
                <w:szCs w:val="20"/>
              </w:rPr>
            </w:pPr>
            <w:r w:rsidRPr="00FC70C2">
              <w:rPr>
                <w:rFonts w:ascii="Arial Narrow" w:hAnsi="Arial Narrow" w:cs="Calibri"/>
                <w:sz w:val="20"/>
                <w:szCs w:val="20"/>
              </w:rPr>
              <w:t>11,3%</w:t>
            </w:r>
          </w:p>
        </w:tc>
        <w:tc>
          <w:tcPr>
            <w:tcW w:w="980" w:type="dxa"/>
            <w:tcBorders>
              <w:top w:val="nil"/>
              <w:left w:val="nil"/>
              <w:bottom w:val="single" w:sz="4" w:space="0" w:color="auto"/>
              <w:right w:val="single" w:sz="4" w:space="0" w:color="auto"/>
            </w:tcBorders>
            <w:shd w:val="clear" w:color="auto" w:fill="auto"/>
            <w:vAlign w:val="center"/>
          </w:tcPr>
          <w:p w14:paraId="2DA06BA7" w14:textId="77777777" w:rsidR="00FC70C2" w:rsidRPr="00FC70C2" w:rsidRDefault="00FC70C2" w:rsidP="00725099">
            <w:pPr>
              <w:widowControl w:val="0"/>
              <w:jc w:val="right"/>
              <w:rPr>
                <w:rFonts w:ascii="Arial Narrow" w:hAnsi="Arial Narrow" w:cs="Calibri"/>
                <w:sz w:val="20"/>
                <w:szCs w:val="20"/>
              </w:rPr>
            </w:pPr>
            <w:r w:rsidRPr="00FC70C2">
              <w:rPr>
                <w:rFonts w:ascii="Arial Narrow" w:hAnsi="Arial Narrow" w:cs="Calibri"/>
                <w:sz w:val="20"/>
                <w:szCs w:val="20"/>
              </w:rPr>
              <w:t>34,3</w:t>
            </w:r>
          </w:p>
        </w:tc>
        <w:tc>
          <w:tcPr>
            <w:tcW w:w="988" w:type="dxa"/>
            <w:tcBorders>
              <w:top w:val="nil"/>
              <w:left w:val="nil"/>
              <w:bottom w:val="single" w:sz="4" w:space="0" w:color="auto"/>
              <w:right w:val="single" w:sz="4" w:space="0" w:color="auto"/>
            </w:tcBorders>
            <w:shd w:val="clear" w:color="auto" w:fill="auto"/>
            <w:vAlign w:val="center"/>
          </w:tcPr>
          <w:p w14:paraId="7E4EAB46" w14:textId="77777777" w:rsidR="00FC70C2" w:rsidRPr="00FC70C2" w:rsidRDefault="00FC70C2" w:rsidP="00725099">
            <w:pPr>
              <w:widowControl w:val="0"/>
              <w:jc w:val="right"/>
              <w:rPr>
                <w:rFonts w:ascii="Arial Narrow" w:hAnsi="Arial Narrow" w:cs="Calibri"/>
                <w:sz w:val="20"/>
                <w:szCs w:val="20"/>
              </w:rPr>
            </w:pPr>
            <w:r w:rsidRPr="00FC70C2">
              <w:rPr>
                <w:rFonts w:ascii="Arial Narrow" w:hAnsi="Arial Narrow" w:cs="Calibri"/>
                <w:sz w:val="20"/>
                <w:szCs w:val="20"/>
              </w:rPr>
              <w:t>10,1%</w:t>
            </w:r>
          </w:p>
        </w:tc>
      </w:tr>
      <w:tr w:rsidR="00FC70C2" w:rsidRPr="00FC70C2" w14:paraId="13004E80" w14:textId="77777777" w:rsidTr="00F10FC2">
        <w:trPr>
          <w:trHeight w:val="330"/>
        </w:trPr>
        <w:tc>
          <w:tcPr>
            <w:tcW w:w="1935" w:type="dxa"/>
            <w:vAlign w:val="center"/>
          </w:tcPr>
          <w:p w14:paraId="42C63577" w14:textId="77777777" w:rsidR="00FC70C2" w:rsidRPr="00FC70C2" w:rsidRDefault="00FC70C2" w:rsidP="00725099">
            <w:pPr>
              <w:widowControl w:val="0"/>
              <w:rPr>
                <w:rFonts w:ascii="Arial Narrow" w:hAnsi="Arial Narrow" w:cs="Arial"/>
                <w:sz w:val="20"/>
                <w:szCs w:val="20"/>
                <w:lang w:val="bg-BG"/>
              </w:rPr>
            </w:pPr>
            <w:r w:rsidRPr="00FC70C2">
              <w:rPr>
                <w:rFonts w:ascii="Arial Narrow" w:hAnsi="Arial Narrow" w:cs="Arial"/>
                <w:sz w:val="20"/>
                <w:szCs w:val="20"/>
                <w:lang w:val="bg-BG"/>
              </w:rPr>
              <w:t>Североизточен</w:t>
            </w:r>
          </w:p>
        </w:tc>
        <w:tc>
          <w:tcPr>
            <w:tcW w:w="979" w:type="dxa"/>
            <w:tcBorders>
              <w:top w:val="nil"/>
              <w:left w:val="single" w:sz="4" w:space="0" w:color="auto"/>
              <w:bottom w:val="single" w:sz="4" w:space="0" w:color="auto"/>
              <w:right w:val="single" w:sz="4" w:space="0" w:color="auto"/>
            </w:tcBorders>
            <w:shd w:val="clear" w:color="auto" w:fill="auto"/>
            <w:vAlign w:val="center"/>
          </w:tcPr>
          <w:p w14:paraId="48FDF264" w14:textId="77777777" w:rsidR="00FC70C2" w:rsidRPr="00FC70C2" w:rsidRDefault="00FC70C2" w:rsidP="00725099">
            <w:pPr>
              <w:widowControl w:val="0"/>
              <w:jc w:val="right"/>
              <w:rPr>
                <w:rFonts w:ascii="Arial Narrow" w:hAnsi="Arial Narrow" w:cs="Arial"/>
                <w:sz w:val="20"/>
                <w:szCs w:val="20"/>
                <w:lang w:val="bg-BG"/>
              </w:rPr>
            </w:pPr>
            <w:r w:rsidRPr="00FC70C2">
              <w:rPr>
                <w:rFonts w:ascii="Arial Narrow" w:hAnsi="Arial Narrow" w:cs="Arial"/>
                <w:sz w:val="20"/>
                <w:szCs w:val="20"/>
                <w:lang w:val="bg-BG"/>
              </w:rPr>
              <w:t>61,2</w:t>
            </w:r>
          </w:p>
        </w:tc>
        <w:tc>
          <w:tcPr>
            <w:tcW w:w="986" w:type="dxa"/>
            <w:tcBorders>
              <w:top w:val="nil"/>
              <w:left w:val="nil"/>
              <w:bottom w:val="single" w:sz="4" w:space="0" w:color="auto"/>
              <w:right w:val="single" w:sz="4" w:space="0" w:color="auto"/>
            </w:tcBorders>
            <w:shd w:val="clear" w:color="auto" w:fill="auto"/>
            <w:vAlign w:val="center"/>
          </w:tcPr>
          <w:p w14:paraId="5148D033" w14:textId="77777777" w:rsidR="00FC70C2" w:rsidRPr="00FC70C2" w:rsidRDefault="00FC70C2" w:rsidP="00725099">
            <w:pPr>
              <w:widowControl w:val="0"/>
              <w:jc w:val="right"/>
              <w:rPr>
                <w:rFonts w:ascii="Arial Narrow" w:hAnsi="Arial Narrow" w:cs="Arial"/>
                <w:sz w:val="20"/>
                <w:szCs w:val="20"/>
                <w:lang w:val="bg-BG"/>
              </w:rPr>
            </w:pPr>
            <w:r w:rsidRPr="00FC70C2">
              <w:rPr>
                <w:rFonts w:ascii="Arial Narrow" w:hAnsi="Arial Narrow" w:cs="Arial"/>
                <w:sz w:val="20"/>
                <w:szCs w:val="20"/>
                <w:lang w:val="bg-BG"/>
              </w:rPr>
              <w:t>11,1%</w:t>
            </w:r>
          </w:p>
        </w:tc>
        <w:tc>
          <w:tcPr>
            <w:tcW w:w="980" w:type="dxa"/>
            <w:tcBorders>
              <w:top w:val="nil"/>
              <w:left w:val="nil"/>
              <w:bottom w:val="single" w:sz="4" w:space="0" w:color="auto"/>
              <w:right w:val="single" w:sz="4" w:space="0" w:color="auto"/>
            </w:tcBorders>
            <w:shd w:val="clear" w:color="auto" w:fill="auto"/>
            <w:vAlign w:val="center"/>
          </w:tcPr>
          <w:p w14:paraId="7168279D" w14:textId="77777777" w:rsidR="00FC70C2" w:rsidRPr="00FC70C2" w:rsidRDefault="00FC70C2" w:rsidP="00725099">
            <w:pPr>
              <w:widowControl w:val="0"/>
              <w:jc w:val="right"/>
              <w:rPr>
                <w:rFonts w:ascii="Arial Narrow" w:hAnsi="Arial Narrow" w:cs="Arial"/>
                <w:sz w:val="20"/>
                <w:szCs w:val="20"/>
                <w:lang w:val="bg-BG"/>
              </w:rPr>
            </w:pPr>
            <w:r w:rsidRPr="00FC70C2">
              <w:rPr>
                <w:rFonts w:ascii="Arial Narrow" w:hAnsi="Arial Narrow" w:cs="Arial"/>
                <w:sz w:val="20"/>
                <w:szCs w:val="20"/>
                <w:lang w:val="bg-BG"/>
              </w:rPr>
              <w:t>33,7</w:t>
            </w:r>
          </w:p>
        </w:tc>
        <w:tc>
          <w:tcPr>
            <w:tcW w:w="988" w:type="dxa"/>
            <w:tcBorders>
              <w:top w:val="nil"/>
              <w:left w:val="nil"/>
              <w:bottom w:val="single" w:sz="4" w:space="0" w:color="auto"/>
              <w:right w:val="single" w:sz="4" w:space="0" w:color="auto"/>
            </w:tcBorders>
            <w:shd w:val="clear" w:color="auto" w:fill="auto"/>
            <w:vAlign w:val="center"/>
          </w:tcPr>
          <w:p w14:paraId="43C4B23D" w14:textId="77777777" w:rsidR="00FC70C2" w:rsidRPr="00FC70C2" w:rsidRDefault="00FC70C2" w:rsidP="00725099">
            <w:pPr>
              <w:widowControl w:val="0"/>
              <w:jc w:val="right"/>
              <w:rPr>
                <w:rFonts w:ascii="Arial Narrow" w:hAnsi="Arial Narrow" w:cs="Arial"/>
                <w:sz w:val="20"/>
                <w:szCs w:val="20"/>
                <w:lang w:val="bg-BG"/>
              </w:rPr>
            </w:pPr>
            <w:r w:rsidRPr="00FC70C2">
              <w:rPr>
                <w:rFonts w:ascii="Arial Narrow" w:hAnsi="Arial Narrow" w:cs="Arial"/>
                <w:sz w:val="20"/>
                <w:szCs w:val="20"/>
                <w:lang w:val="bg-BG"/>
              </w:rPr>
              <w:t>9,5%</w:t>
            </w:r>
          </w:p>
        </w:tc>
        <w:tc>
          <w:tcPr>
            <w:tcW w:w="980" w:type="dxa"/>
            <w:tcBorders>
              <w:top w:val="nil"/>
              <w:left w:val="single" w:sz="4" w:space="0" w:color="auto"/>
              <w:bottom w:val="single" w:sz="4" w:space="0" w:color="auto"/>
              <w:right w:val="single" w:sz="4" w:space="0" w:color="auto"/>
            </w:tcBorders>
            <w:shd w:val="clear" w:color="auto" w:fill="auto"/>
            <w:vAlign w:val="center"/>
          </w:tcPr>
          <w:p w14:paraId="6BF69FE8" w14:textId="77777777" w:rsidR="00FC70C2" w:rsidRPr="00FC70C2" w:rsidRDefault="00FC70C2" w:rsidP="00725099">
            <w:pPr>
              <w:widowControl w:val="0"/>
              <w:jc w:val="right"/>
              <w:rPr>
                <w:rFonts w:ascii="Arial Narrow" w:hAnsi="Arial Narrow" w:cs="Arial"/>
                <w:sz w:val="20"/>
                <w:szCs w:val="20"/>
                <w:lang w:val="bg-BG"/>
              </w:rPr>
            </w:pPr>
            <w:r w:rsidRPr="00FC70C2">
              <w:rPr>
                <w:rFonts w:ascii="Arial Narrow" w:hAnsi="Arial Narrow" w:cs="Arial"/>
                <w:sz w:val="20"/>
                <w:szCs w:val="20"/>
                <w:lang w:val="bg-BG"/>
              </w:rPr>
              <w:t>58,2</w:t>
            </w:r>
          </w:p>
        </w:tc>
        <w:tc>
          <w:tcPr>
            <w:tcW w:w="987" w:type="dxa"/>
            <w:tcBorders>
              <w:top w:val="nil"/>
              <w:left w:val="nil"/>
              <w:bottom w:val="single" w:sz="4" w:space="0" w:color="auto"/>
              <w:right w:val="single" w:sz="4" w:space="0" w:color="auto"/>
            </w:tcBorders>
            <w:shd w:val="clear" w:color="auto" w:fill="auto"/>
            <w:vAlign w:val="center"/>
          </w:tcPr>
          <w:p w14:paraId="6F6167A3" w14:textId="77777777" w:rsidR="00FC70C2" w:rsidRPr="00FC70C2" w:rsidRDefault="00FC70C2" w:rsidP="00725099">
            <w:pPr>
              <w:widowControl w:val="0"/>
              <w:jc w:val="right"/>
              <w:rPr>
                <w:rFonts w:ascii="Arial Narrow" w:hAnsi="Arial Narrow" w:cs="Calibri"/>
                <w:sz w:val="20"/>
                <w:szCs w:val="20"/>
              </w:rPr>
            </w:pPr>
            <w:r w:rsidRPr="00FC70C2">
              <w:rPr>
                <w:rFonts w:ascii="Arial Narrow" w:hAnsi="Arial Narrow" w:cs="Calibri"/>
                <w:sz w:val="20"/>
                <w:szCs w:val="20"/>
              </w:rPr>
              <w:t>10,8%</w:t>
            </w:r>
          </w:p>
        </w:tc>
        <w:tc>
          <w:tcPr>
            <w:tcW w:w="980" w:type="dxa"/>
            <w:tcBorders>
              <w:top w:val="nil"/>
              <w:left w:val="nil"/>
              <w:bottom w:val="single" w:sz="4" w:space="0" w:color="auto"/>
              <w:right w:val="single" w:sz="4" w:space="0" w:color="auto"/>
            </w:tcBorders>
            <w:shd w:val="clear" w:color="auto" w:fill="auto"/>
            <w:vAlign w:val="center"/>
          </w:tcPr>
          <w:p w14:paraId="06D1C8D6" w14:textId="77777777" w:rsidR="00FC70C2" w:rsidRPr="00FC70C2" w:rsidRDefault="00FC70C2" w:rsidP="00725099">
            <w:pPr>
              <w:widowControl w:val="0"/>
              <w:jc w:val="right"/>
              <w:rPr>
                <w:rFonts w:ascii="Arial Narrow" w:hAnsi="Arial Narrow" w:cs="Calibri"/>
                <w:sz w:val="20"/>
                <w:szCs w:val="20"/>
              </w:rPr>
            </w:pPr>
            <w:r w:rsidRPr="00FC70C2">
              <w:rPr>
                <w:rFonts w:ascii="Arial Narrow" w:hAnsi="Arial Narrow" w:cs="Calibri"/>
                <w:sz w:val="20"/>
                <w:szCs w:val="20"/>
              </w:rPr>
              <w:t>32,0</w:t>
            </w:r>
          </w:p>
        </w:tc>
        <w:tc>
          <w:tcPr>
            <w:tcW w:w="988" w:type="dxa"/>
            <w:tcBorders>
              <w:top w:val="nil"/>
              <w:left w:val="nil"/>
              <w:bottom w:val="single" w:sz="4" w:space="0" w:color="auto"/>
              <w:right w:val="single" w:sz="4" w:space="0" w:color="auto"/>
            </w:tcBorders>
            <w:shd w:val="clear" w:color="auto" w:fill="auto"/>
            <w:vAlign w:val="center"/>
          </w:tcPr>
          <w:p w14:paraId="39126D85" w14:textId="77777777" w:rsidR="00FC70C2" w:rsidRPr="00FC70C2" w:rsidRDefault="00FC70C2" w:rsidP="00725099">
            <w:pPr>
              <w:widowControl w:val="0"/>
              <w:jc w:val="right"/>
              <w:rPr>
                <w:rFonts w:ascii="Arial Narrow" w:hAnsi="Arial Narrow" w:cs="Calibri"/>
                <w:sz w:val="20"/>
                <w:szCs w:val="20"/>
              </w:rPr>
            </w:pPr>
            <w:r w:rsidRPr="00FC70C2">
              <w:rPr>
                <w:rFonts w:ascii="Arial Narrow" w:hAnsi="Arial Narrow" w:cs="Calibri"/>
                <w:sz w:val="20"/>
                <w:szCs w:val="20"/>
              </w:rPr>
              <w:t>9,5%</w:t>
            </w:r>
          </w:p>
        </w:tc>
      </w:tr>
      <w:tr w:rsidR="00FC70C2" w:rsidRPr="00FC70C2" w14:paraId="694391A5" w14:textId="77777777" w:rsidTr="00F10FC2">
        <w:trPr>
          <w:trHeight w:val="330"/>
        </w:trPr>
        <w:tc>
          <w:tcPr>
            <w:tcW w:w="1935" w:type="dxa"/>
            <w:vAlign w:val="center"/>
          </w:tcPr>
          <w:p w14:paraId="0DD04D69" w14:textId="77777777" w:rsidR="00FC70C2" w:rsidRPr="00FC70C2" w:rsidRDefault="00FC70C2" w:rsidP="00725099">
            <w:pPr>
              <w:widowControl w:val="0"/>
              <w:rPr>
                <w:rFonts w:ascii="Arial Narrow" w:hAnsi="Arial Narrow"/>
                <w:sz w:val="20"/>
                <w:szCs w:val="20"/>
                <w:lang w:val="bg-BG"/>
              </w:rPr>
            </w:pPr>
            <w:r w:rsidRPr="00FC70C2">
              <w:rPr>
                <w:rFonts w:ascii="Arial Narrow" w:hAnsi="Arial Narrow" w:cs="Arial"/>
                <w:sz w:val="20"/>
                <w:szCs w:val="20"/>
                <w:lang w:val="bg-BG"/>
              </w:rPr>
              <w:t>Югоизточен</w:t>
            </w:r>
          </w:p>
        </w:tc>
        <w:tc>
          <w:tcPr>
            <w:tcW w:w="979" w:type="dxa"/>
            <w:tcBorders>
              <w:top w:val="nil"/>
              <w:left w:val="single" w:sz="4" w:space="0" w:color="auto"/>
              <w:bottom w:val="single" w:sz="4" w:space="0" w:color="auto"/>
              <w:right w:val="single" w:sz="4" w:space="0" w:color="auto"/>
            </w:tcBorders>
            <w:shd w:val="clear" w:color="auto" w:fill="auto"/>
            <w:vAlign w:val="center"/>
          </w:tcPr>
          <w:p w14:paraId="0B365E82" w14:textId="77777777" w:rsidR="00FC70C2" w:rsidRPr="00FC70C2" w:rsidRDefault="00FC70C2" w:rsidP="00725099">
            <w:pPr>
              <w:widowControl w:val="0"/>
              <w:jc w:val="right"/>
              <w:rPr>
                <w:rFonts w:ascii="Arial Narrow" w:hAnsi="Arial Narrow" w:cs="Arial"/>
                <w:sz w:val="20"/>
                <w:szCs w:val="20"/>
                <w:lang w:val="bg-BG"/>
              </w:rPr>
            </w:pPr>
            <w:r w:rsidRPr="00FC70C2">
              <w:rPr>
                <w:rFonts w:ascii="Arial Narrow" w:hAnsi="Arial Narrow" w:cs="Arial"/>
                <w:sz w:val="20"/>
                <w:szCs w:val="20"/>
                <w:lang w:val="bg-BG"/>
              </w:rPr>
              <w:t>106,1</w:t>
            </w:r>
          </w:p>
        </w:tc>
        <w:tc>
          <w:tcPr>
            <w:tcW w:w="986" w:type="dxa"/>
            <w:tcBorders>
              <w:top w:val="nil"/>
              <w:left w:val="nil"/>
              <w:bottom w:val="single" w:sz="4" w:space="0" w:color="auto"/>
              <w:right w:val="single" w:sz="4" w:space="0" w:color="auto"/>
            </w:tcBorders>
            <w:shd w:val="clear" w:color="auto" w:fill="auto"/>
            <w:vAlign w:val="center"/>
          </w:tcPr>
          <w:p w14:paraId="3FD45EE5" w14:textId="77777777" w:rsidR="00FC70C2" w:rsidRPr="00FC70C2" w:rsidRDefault="00FC70C2" w:rsidP="00725099">
            <w:pPr>
              <w:widowControl w:val="0"/>
              <w:jc w:val="right"/>
              <w:rPr>
                <w:rFonts w:ascii="Arial Narrow" w:hAnsi="Arial Narrow" w:cs="Arial"/>
                <w:sz w:val="20"/>
                <w:szCs w:val="20"/>
                <w:lang w:val="bg-BG"/>
              </w:rPr>
            </w:pPr>
            <w:r w:rsidRPr="00FC70C2">
              <w:rPr>
                <w:rFonts w:ascii="Arial Narrow" w:hAnsi="Arial Narrow" w:cs="Arial"/>
                <w:sz w:val="20"/>
                <w:szCs w:val="20"/>
                <w:lang w:val="bg-BG"/>
              </w:rPr>
              <w:t>19,1%</w:t>
            </w:r>
          </w:p>
        </w:tc>
        <w:tc>
          <w:tcPr>
            <w:tcW w:w="980" w:type="dxa"/>
            <w:tcBorders>
              <w:top w:val="nil"/>
              <w:left w:val="nil"/>
              <w:bottom w:val="single" w:sz="4" w:space="0" w:color="auto"/>
              <w:right w:val="single" w:sz="4" w:space="0" w:color="auto"/>
            </w:tcBorders>
            <w:shd w:val="clear" w:color="auto" w:fill="auto"/>
            <w:vAlign w:val="center"/>
          </w:tcPr>
          <w:p w14:paraId="51493D79" w14:textId="77777777" w:rsidR="00FC70C2" w:rsidRPr="00FC70C2" w:rsidRDefault="00FC70C2" w:rsidP="00725099">
            <w:pPr>
              <w:widowControl w:val="0"/>
              <w:jc w:val="right"/>
              <w:rPr>
                <w:rFonts w:ascii="Arial Narrow" w:hAnsi="Arial Narrow" w:cs="Arial"/>
                <w:sz w:val="20"/>
                <w:szCs w:val="20"/>
                <w:lang w:val="bg-BG"/>
              </w:rPr>
            </w:pPr>
            <w:r w:rsidRPr="00FC70C2">
              <w:rPr>
                <w:rFonts w:ascii="Arial Narrow" w:hAnsi="Arial Narrow" w:cs="Arial"/>
                <w:sz w:val="20"/>
                <w:szCs w:val="20"/>
                <w:lang w:val="bg-BG"/>
              </w:rPr>
              <w:t>68,2</w:t>
            </w:r>
          </w:p>
        </w:tc>
        <w:tc>
          <w:tcPr>
            <w:tcW w:w="988" w:type="dxa"/>
            <w:tcBorders>
              <w:top w:val="nil"/>
              <w:left w:val="nil"/>
              <w:bottom w:val="single" w:sz="4" w:space="0" w:color="auto"/>
              <w:right w:val="single" w:sz="4" w:space="0" w:color="auto"/>
            </w:tcBorders>
            <w:shd w:val="clear" w:color="auto" w:fill="auto"/>
            <w:vAlign w:val="center"/>
          </w:tcPr>
          <w:p w14:paraId="01C83356" w14:textId="77777777" w:rsidR="00FC70C2" w:rsidRPr="00FC70C2" w:rsidRDefault="00FC70C2" w:rsidP="00725099">
            <w:pPr>
              <w:widowControl w:val="0"/>
              <w:jc w:val="right"/>
              <w:rPr>
                <w:rFonts w:ascii="Arial Narrow" w:hAnsi="Arial Narrow" w:cs="Arial"/>
                <w:sz w:val="20"/>
                <w:szCs w:val="20"/>
                <w:lang w:val="bg-BG"/>
              </w:rPr>
            </w:pPr>
            <w:r w:rsidRPr="00FC70C2">
              <w:rPr>
                <w:rFonts w:ascii="Arial Narrow" w:hAnsi="Arial Narrow" w:cs="Arial"/>
                <w:sz w:val="20"/>
                <w:szCs w:val="20"/>
                <w:lang w:val="bg-BG"/>
              </w:rPr>
              <w:t>19,2%</w:t>
            </w:r>
          </w:p>
        </w:tc>
        <w:tc>
          <w:tcPr>
            <w:tcW w:w="980" w:type="dxa"/>
            <w:tcBorders>
              <w:top w:val="nil"/>
              <w:left w:val="single" w:sz="4" w:space="0" w:color="auto"/>
              <w:bottom w:val="single" w:sz="4" w:space="0" w:color="auto"/>
              <w:right w:val="single" w:sz="4" w:space="0" w:color="auto"/>
            </w:tcBorders>
            <w:shd w:val="clear" w:color="auto" w:fill="auto"/>
            <w:vAlign w:val="center"/>
          </w:tcPr>
          <w:p w14:paraId="78661EB0" w14:textId="77777777" w:rsidR="00FC70C2" w:rsidRPr="00FC70C2" w:rsidRDefault="00FC70C2" w:rsidP="00725099">
            <w:pPr>
              <w:widowControl w:val="0"/>
              <w:jc w:val="right"/>
              <w:rPr>
                <w:rFonts w:ascii="Arial Narrow" w:hAnsi="Arial Narrow" w:cs="Arial"/>
                <w:sz w:val="20"/>
                <w:szCs w:val="20"/>
                <w:lang w:val="bg-BG"/>
              </w:rPr>
            </w:pPr>
            <w:r w:rsidRPr="00FC70C2">
              <w:rPr>
                <w:rFonts w:ascii="Arial Narrow" w:hAnsi="Arial Narrow" w:cs="Arial"/>
                <w:sz w:val="20"/>
                <w:szCs w:val="20"/>
                <w:lang w:val="bg-BG"/>
              </w:rPr>
              <w:t>104,0</w:t>
            </w:r>
          </w:p>
        </w:tc>
        <w:tc>
          <w:tcPr>
            <w:tcW w:w="987" w:type="dxa"/>
            <w:tcBorders>
              <w:top w:val="nil"/>
              <w:left w:val="nil"/>
              <w:bottom w:val="single" w:sz="4" w:space="0" w:color="auto"/>
              <w:right w:val="single" w:sz="4" w:space="0" w:color="auto"/>
            </w:tcBorders>
            <w:shd w:val="clear" w:color="auto" w:fill="auto"/>
            <w:vAlign w:val="center"/>
          </w:tcPr>
          <w:p w14:paraId="00B44BD7" w14:textId="77777777" w:rsidR="00FC70C2" w:rsidRPr="00FC70C2" w:rsidRDefault="00FC70C2" w:rsidP="00725099">
            <w:pPr>
              <w:widowControl w:val="0"/>
              <w:jc w:val="right"/>
              <w:rPr>
                <w:rFonts w:ascii="Arial Narrow" w:hAnsi="Arial Narrow" w:cs="Calibri"/>
                <w:sz w:val="20"/>
                <w:szCs w:val="20"/>
              </w:rPr>
            </w:pPr>
            <w:r w:rsidRPr="00FC70C2">
              <w:rPr>
                <w:rFonts w:ascii="Arial Narrow" w:hAnsi="Arial Narrow" w:cs="Calibri"/>
                <w:sz w:val="20"/>
                <w:szCs w:val="20"/>
              </w:rPr>
              <w:t>19,3%</w:t>
            </w:r>
          </w:p>
        </w:tc>
        <w:tc>
          <w:tcPr>
            <w:tcW w:w="980" w:type="dxa"/>
            <w:tcBorders>
              <w:top w:val="nil"/>
              <w:left w:val="nil"/>
              <w:bottom w:val="single" w:sz="4" w:space="0" w:color="auto"/>
              <w:right w:val="single" w:sz="4" w:space="0" w:color="auto"/>
            </w:tcBorders>
            <w:shd w:val="clear" w:color="auto" w:fill="auto"/>
            <w:vAlign w:val="center"/>
          </w:tcPr>
          <w:p w14:paraId="1FCE31ED" w14:textId="77777777" w:rsidR="00FC70C2" w:rsidRPr="00FC70C2" w:rsidRDefault="00FC70C2" w:rsidP="00725099">
            <w:pPr>
              <w:widowControl w:val="0"/>
              <w:jc w:val="right"/>
              <w:rPr>
                <w:rFonts w:ascii="Arial Narrow" w:hAnsi="Arial Narrow" w:cs="Calibri"/>
                <w:sz w:val="20"/>
                <w:szCs w:val="20"/>
              </w:rPr>
            </w:pPr>
            <w:r w:rsidRPr="00FC70C2">
              <w:rPr>
                <w:rFonts w:ascii="Arial Narrow" w:hAnsi="Arial Narrow" w:cs="Calibri"/>
                <w:sz w:val="20"/>
                <w:szCs w:val="20"/>
              </w:rPr>
              <w:t>65,0</w:t>
            </w:r>
          </w:p>
        </w:tc>
        <w:tc>
          <w:tcPr>
            <w:tcW w:w="988" w:type="dxa"/>
            <w:tcBorders>
              <w:top w:val="nil"/>
              <w:left w:val="nil"/>
              <w:bottom w:val="single" w:sz="4" w:space="0" w:color="auto"/>
              <w:right w:val="single" w:sz="4" w:space="0" w:color="auto"/>
            </w:tcBorders>
            <w:shd w:val="clear" w:color="auto" w:fill="auto"/>
            <w:vAlign w:val="center"/>
          </w:tcPr>
          <w:p w14:paraId="445E1B21" w14:textId="77777777" w:rsidR="00FC70C2" w:rsidRPr="00FC70C2" w:rsidRDefault="00FC70C2" w:rsidP="00725099">
            <w:pPr>
              <w:widowControl w:val="0"/>
              <w:jc w:val="right"/>
              <w:rPr>
                <w:rFonts w:ascii="Arial Narrow" w:hAnsi="Arial Narrow" w:cs="Calibri"/>
                <w:sz w:val="20"/>
                <w:szCs w:val="20"/>
              </w:rPr>
            </w:pPr>
            <w:r w:rsidRPr="00FC70C2">
              <w:rPr>
                <w:rFonts w:ascii="Arial Narrow" w:hAnsi="Arial Narrow" w:cs="Calibri"/>
                <w:sz w:val="20"/>
                <w:szCs w:val="20"/>
              </w:rPr>
              <w:t>19,2%</w:t>
            </w:r>
          </w:p>
        </w:tc>
      </w:tr>
      <w:tr w:rsidR="00FC70C2" w:rsidRPr="00FC70C2" w14:paraId="4E7A6CAF" w14:textId="77777777" w:rsidTr="00F10FC2">
        <w:trPr>
          <w:trHeight w:val="330"/>
        </w:trPr>
        <w:tc>
          <w:tcPr>
            <w:tcW w:w="1935" w:type="dxa"/>
            <w:vAlign w:val="center"/>
          </w:tcPr>
          <w:p w14:paraId="60376891" w14:textId="77777777" w:rsidR="00FC70C2" w:rsidRPr="00FC70C2" w:rsidRDefault="00FC70C2" w:rsidP="00725099">
            <w:pPr>
              <w:widowControl w:val="0"/>
              <w:rPr>
                <w:rFonts w:ascii="Arial Narrow" w:hAnsi="Arial Narrow" w:cs="Arial"/>
                <w:sz w:val="20"/>
                <w:szCs w:val="20"/>
                <w:lang w:val="bg-BG"/>
              </w:rPr>
            </w:pPr>
            <w:r w:rsidRPr="00FC70C2">
              <w:rPr>
                <w:rFonts w:ascii="Arial Narrow" w:hAnsi="Arial Narrow" w:cs="Arial"/>
                <w:sz w:val="20"/>
                <w:szCs w:val="20"/>
                <w:lang w:val="bg-BG"/>
              </w:rPr>
              <w:t>Югозападен</w:t>
            </w:r>
          </w:p>
        </w:tc>
        <w:tc>
          <w:tcPr>
            <w:tcW w:w="979" w:type="dxa"/>
            <w:tcBorders>
              <w:top w:val="nil"/>
              <w:left w:val="single" w:sz="4" w:space="0" w:color="auto"/>
              <w:bottom w:val="single" w:sz="4" w:space="0" w:color="auto"/>
              <w:right w:val="single" w:sz="4" w:space="0" w:color="auto"/>
            </w:tcBorders>
            <w:shd w:val="clear" w:color="auto" w:fill="auto"/>
            <w:vAlign w:val="center"/>
          </w:tcPr>
          <w:p w14:paraId="48B365A8" w14:textId="77777777" w:rsidR="00FC70C2" w:rsidRPr="00FC70C2" w:rsidRDefault="00FC70C2" w:rsidP="00725099">
            <w:pPr>
              <w:widowControl w:val="0"/>
              <w:jc w:val="right"/>
              <w:rPr>
                <w:rFonts w:ascii="Arial Narrow" w:hAnsi="Arial Narrow" w:cs="Arial"/>
                <w:sz w:val="20"/>
                <w:szCs w:val="20"/>
                <w:lang w:val="bg-BG"/>
              </w:rPr>
            </w:pPr>
            <w:r w:rsidRPr="00FC70C2">
              <w:rPr>
                <w:rFonts w:ascii="Arial Narrow" w:hAnsi="Arial Narrow" w:cs="Arial"/>
                <w:sz w:val="20"/>
                <w:szCs w:val="20"/>
                <w:lang w:val="bg-BG"/>
              </w:rPr>
              <w:t>86,9</w:t>
            </w:r>
          </w:p>
        </w:tc>
        <w:tc>
          <w:tcPr>
            <w:tcW w:w="986" w:type="dxa"/>
            <w:tcBorders>
              <w:top w:val="nil"/>
              <w:left w:val="nil"/>
              <w:bottom w:val="single" w:sz="4" w:space="0" w:color="auto"/>
              <w:right w:val="single" w:sz="4" w:space="0" w:color="auto"/>
            </w:tcBorders>
            <w:shd w:val="clear" w:color="auto" w:fill="auto"/>
            <w:vAlign w:val="center"/>
          </w:tcPr>
          <w:p w14:paraId="254FB5D9" w14:textId="77777777" w:rsidR="00FC70C2" w:rsidRPr="00FC70C2" w:rsidRDefault="00FC70C2" w:rsidP="00725099">
            <w:pPr>
              <w:widowControl w:val="0"/>
              <w:jc w:val="right"/>
              <w:rPr>
                <w:rFonts w:ascii="Arial Narrow" w:hAnsi="Arial Narrow" w:cs="Arial"/>
                <w:sz w:val="20"/>
                <w:szCs w:val="20"/>
                <w:lang w:val="bg-BG"/>
              </w:rPr>
            </w:pPr>
            <w:r w:rsidRPr="00FC70C2">
              <w:rPr>
                <w:rFonts w:ascii="Arial Narrow" w:hAnsi="Arial Narrow" w:cs="Arial"/>
                <w:sz w:val="20"/>
                <w:szCs w:val="20"/>
                <w:lang w:val="bg-BG"/>
              </w:rPr>
              <w:t>15,7%</w:t>
            </w:r>
          </w:p>
        </w:tc>
        <w:tc>
          <w:tcPr>
            <w:tcW w:w="980" w:type="dxa"/>
            <w:tcBorders>
              <w:top w:val="nil"/>
              <w:left w:val="nil"/>
              <w:bottom w:val="single" w:sz="4" w:space="0" w:color="auto"/>
              <w:right w:val="single" w:sz="4" w:space="0" w:color="auto"/>
            </w:tcBorders>
            <w:shd w:val="clear" w:color="auto" w:fill="auto"/>
            <w:vAlign w:val="center"/>
          </w:tcPr>
          <w:p w14:paraId="7E001B2C" w14:textId="77777777" w:rsidR="00FC70C2" w:rsidRPr="00FC70C2" w:rsidRDefault="00FC70C2" w:rsidP="00725099">
            <w:pPr>
              <w:widowControl w:val="0"/>
              <w:jc w:val="right"/>
              <w:rPr>
                <w:rFonts w:ascii="Arial Narrow" w:hAnsi="Arial Narrow" w:cs="Arial"/>
                <w:sz w:val="20"/>
                <w:szCs w:val="20"/>
                <w:lang w:val="bg-BG"/>
              </w:rPr>
            </w:pPr>
            <w:r w:rsidRPr="00FC70C2">
              <w:rPr>
                <w:rFonts w:ascii="Arial Narrow" w:hAnsi="Arial Narrow" w:cs="Arial"/>
                <w:sz w:val="20"/>
                <w:szCs w:val="20"/>
                <w:lang w:val="bg-BG"/>
              </w:rPr>
              <w:t>56,7</w:t>
            </w:r>
          </w:p>
        </w:tc>
        <w:tc>
          <w:tcPr>
            <w:tcW w:w="988" w:type="dxa"/>
            <w:tcBorders>
              <w:top w:val="nil"/>
              <w:left w:val="nil"/>
              <w:bottom w:val="single" w:sz="4" w:space="0" w:color="auto"/>
              <w:right w:val="single" w:sz="4" w:space="0" w:color="auto"/>
            </w:tcBorders>
            <w:shd w:val="clear" w:color="auto" w:fill="auto"/>
            <w:vAlign w:val="center"/>
          </w:tcPr>
          <w:p w14:paraId="651F62EA" w14:textId="77777777" w:rsidR="00FC70C2" w:rsidRPr="00FC70C2" w:rsidRDefault="00FC70C2" w:rsidP="00725099">
            <w:pPr>
              <w:widowControl w:val="0"/>
              <w:jc w:val="right"/>
              <w:rPr>
                <w:rFonts w:ascii="Arial Narrow" w:hAnsi="Arial Narrow" w:cs="Arial"/>
                <w:sz w:val="20"/>
                <w:szCs w:val="20"/>
                <w:lang w:val="bg-BG"/>
              </w:rPr>
            </w:pPr>
            <w:r w:rsidRPr="00FC70C2">
              <w:rPr>
                <w:rFonts w:ascii="Arial Narrow" w:hAnsi="Arial Narrow" w:cs="Arial"/>
                <w:sz w:val="20"/>
                <w:szCs w:val="20"/>
                <w:lang w:val="bg-BG"/>
              </w:rPr>
              <w:t>15,9%</w:t>
            </w:r>
          </w:p>
        </w:tc>
        <w:tc>
          <w:tcPr>
            <w:tcW w:w="980" w:type="dxa"/>
            <w:tcBorders>
              <w:top w:val="nil"/>
              <w:left w:val="single" w:sz="4" w:space="0" w:color="auto"/>
              <w:bottom w:val="single" w:sz="4" w:space="0" w:color="auto"/>
              <w:right w:val="single" w:sz="4" w:space="0" w:color="auto"/>
            </w:tcBorders>
            <w:shd w:val="clear" w:color="auto" w:fill="auto"/>
            <w:vAlign w:val="center"/>
          </w:tcPr>
          <w:p w14:paraId="002295A3" w14:textId="77777777" w:rsidR="00FC70C2" w:rsidRPr="00FC70C2" w:rsidRDefault="00FC70C2" w:rsidP="00725099">
            <w:pPr>
              <w:widowControl w:val="0"/>
              <w:jc w:val="right"/>
              <w:rPr>
                <w:rFonts w:ascii="Arial Narrow" w:hAnsi="Arial Narrow" w:cs="Arial"/>
                <w:sz w:val="20"/>
                <w:szCs w:val="20"/>
                <w:lang w:val="bg-BG"/>
              </w:rPr>
            </w:pPr>
            <w:r w:rsidRPr="00FC70C2">
              <w:rPr>
                <w:rFonts w:ascii="Arial Narrow" w:hAnsi="Arial Narrow" w:cs="Arial"/>
                <w:sz w:val="20"/>
                <w:szCs w:val="20"/>
                <w:lang w:val="bg-BG"/>
              </w:rPr>
              <w:t>85,3</w:t>
            </w:r>
          </w:p>
        </w:tc>
        <w:tc>
          <w:tcPr>
            <w:tcW w:w="987" w:type="dxa"/>
            <w:tcBorders>
              <w:top w:val="nil"/>
              <w:left w:val="nil"/>
              <w:bottom w:val="single" w:sz="4" w:space="0" w:color="auto"/>
              <w:right w:val="single" w:sz="4" w:space="0" w:color="auto"/>
            </w:tcBorders>
            <w:shd w:val="clear" w:color="auto" w:fill="auto"/>
            <w:vAlign w:val="center"/>
          </w:tcPr>
          <w:p w14:paraId="49D32D89" w14:textId="77777777" w:rsidR="00FC70C2" w:rsidRPr="00FC70C2" w:rsidRDefault="00FC70C2" w:rsidP="00725099">
            <w:pPr>
              <w:widowControl w:val="0"/>
              <w:jc w:val="right"/>
              <w:rPr>
                <w:rFonts w:ascii="Arial Narrow" w:hAnsi="Arial Narrow" w:cs="Calibri"/>
                <w:sz w:val="20"/>
                <w:szCs w:val="20"/>
              </w:rPr>
            </w:pPr>
            <w:r w:rsidRPr="00FC70C2">
              <w:rPr>
                <w:rFonts w:ascii="Arial Narrow" w:hAnsi="Arial Narrow" w:cs="Calibri"/>
                <w:sz w:val="20"/>
                <w:szCs w:val="20"/>
              </w:rPr>
              <w:t>15,8%</w:t>
            </w:r>
          </w:p>
        </w:tc>
        <w:tc>
          <w:tcPr>
            <w:tcW w:w="980" w:type="dxa"/>
            <w:tcBorders>
              <w:top w:val="nil"/>
              <w:left w:val="nil"/>
              <w:bottom w:val="single" w:sz="4" w:space="0" w:color="auto"/>
              <w:right w:val="single" w:sz="4" w:space="0" w:color="auto"/>
            </w:tcBorders>
            <w:shd w:val="clear" w:color="auto" w:fill="auto"/>
            <w:vAlign w:val="center"/>
          </w:tcPr>
          <w:p w14:paraId="4586B7C3" w14:textId="77777777" w:rsidR="00FC70C2" w:rsidRPr="00FC70C2" w:rsidRDefault="00FC70C2" w:rsidP="00725099">
            <w:pPr>
              <w:widowControl w:val="0"/>
              <w:jc w:val="right"/>
              <w:rPr>
                <w:rFonts w:ascii="Arial Narrow" w:hAnsi="Arial Narrow" w:cs="Calibri"/>
                <w:sz w:val="20"/>
                <w:szCs w:val="20"/>
              </w:rPr>
            </w:pPr>
            <w:r w:rsidRPr="00FC70C2">
              <w:rPr>
                <w:rFonts w:ascii="Arial Narrow" w:hAnsi="Arial Narrow" w:cs="Calibri"/>
                <w:sz w:val="20"/>
                <w:szCs w:val="20"/>
              </w:rPr>
              <w:t>54,1</w:t>
            </w:r>
          </w:p>
        </w:tc>
        <w:tc>
          <w:tcPr>
            <w:tcW w:w="988" w:type="dxa"/>
            <w:tcBorders>
              <w:top w:val="nil"/>
              <w:left w:val="nil"/>
              <w:bottom w:val="single" w:sz="4" w:space="0" w:color="auto"/>
              <w:right w:val="single" w:sz="4" w:space="0" w:color="auto"/>
            </w:tcBorders>
            <w:shd w:val="clear" w:color="auto" w:fill="auto"/>
            <w:vAlign w:val="center"/>
          </w:tcPr>
          <w:p w14:paraId="5C4497A5" w14:textId="77777777" w:rsidR="00FC70C2" w:rsidRPr="00FC70C2" w:rsidRDefault="00FC70C2" w:rsidP="00725099">
            <w:pPr>
              <w:widowControl w:val="0"/>
              <w:jc w:val="right"/>
              <w:rPr>
                <w:rFonts w:ascii="Arial Narrow" w:hAnsi="Arial Narrow" w:cs="Calibri"/>
                <w:sz w:val="20"/>
                <w:szCs w:val="20"/>
              </w:rPr>
            </w:pPr>
            <w:r w:rsidRPr="00FC70C2">
              <w:rPr>
                <w:rFonts w:ascii="Arial Narrow" w:hAnsi="Arial Narrow" w:cs="Calibri"/>
                <w:sz w:val="20"/>
                <w:szCs w:val="20"/>
              </w:rPr>
              <w:t>16,0%</w:t>
            </w:r>
          </w:p>
        </w:tc>
      </w:tr>
      <w:tr w:rsidR="00FC70C2" w:rsidRPr="00FC70C2" w14:paraId="3924D6B2" w14:textId="77777777" w:rsidTr="00F10FC2">
        <w:trPr>
          <w:trHeight w:val="330"/>
        </w:trPr>
        <w:tc>
          <w:tcPr>
            <w:tcW w:w="1935" w:type="dxa"/>
            <w:vAlign w:val="center"/>
          </w:tcPr>
          <w:p w14:paraId="49A843F3" w14:textId="77777777" w:rsidR="00FC70C2" w:rsidRPr="00FC70C2" w:rsidRDefault="00FC70C2" w:rsidP="00725099">
            <w:pPr>
              <w:widowControl w:val="0"/>
              <w:rPr>
                <w:rFonts w:ascii="Arial Narrow" w:hAnsi="Arial Narrow" w:cs="Arial"/>
                <w:sz w:val="20"/>
                <w:szCs w:val="20"/>
                <w:lang w:val="bg-BG"/>
              </w:rPr>
            </w:pPr>
            <w:r w:rsidRPr="00FC70C2">
              <w:rPr>
                <w:rFonts w:ascii="Arial Narrow" w:hAnsi="Arial Narrow" w:cs="Arial"/>
                <w:sz w:val="20"/>
                <w:szCs w:val="20"/>
                <w:lang w:val="bg-BG"/>
              </w:rPr>
              <w:t>Южен централен</w:t>
            </w:r>
          </w:p>
        </w:tc>
        <w:tc>
          <w:tcPr>
            <w:tcW w:w="979" w:type="dxa"/>
            <w:tcBorders>
              <w:top w:val="nil"/>
              <w:left w:val="single" w:sz="4" w:space="0" w:color="auto"/>
              <w:bottom w:val="single" w:sz="4" w:space="0" w:color="auto"/>
              <w:right w:val="single" w:sz="4" w:space="0" w:color="auto"/>
            </w:tcBorders>
            <w:shd w:val="clear" w:color="auto" w:fill="auto"/>
            <w:vAlign w:val="center"/>
          </w:tcPr>
          <w:p w14:paraId="57439AF7" w14:textId="77777777" w:rsidR="00FC70C2" w:rsidRPr="00FC70C2" w:rsidRDefault="00FC70C2" w:rsidP="00725099">
            <w:pPr>
              <w:widowControl w:val="0"/>
              <w:jc w:val="right"/>
              <w:rPr>
                <w:rFonts w:ascii="Arial Narrow" w:hAnsi="Arial Narrow" w:cs="Arial"/>
                <w:sz w:val="20"/>
                <w:szCs w:val="20"/>
                <w:lang w:val="bg-BG"/>
              </w:rPr>
            </w:pPr>
            <w:r w:rsidRPr="00FC70C2">
              <w:rPr>
                <w:rFonts w:ascii="Arial Narrow" w:hAnsi="Arial Narrow" w:cs="Arial"/>
                <w:sz w:val="20"/>
                <w:szCs w:val="20"/>
                <w:lang w:val="bg-BG"/>
              </w:rPr>
              <w:t>179,5</w:t>
            </w:r>
          </w:p>
        </w:tc>
        <w:tc>
          <w:tcPr>
            <w:tcW w:w="986" w:type="dxa"/>
            <w:tcBorders>
              <w:top w:val="nil"/>
              <w:left w:val="nil"/>
              <w:bottom w:val="single" w:sz="4" w:space="0" w:color="auto"/>
              <w:right w:val="single" w:sz="4" w:space="0" w:color="auto"/>
            </w:tcBorders>
            <w:shd w:val="clear" w:color="auto" w:fill="auto"/>
            <w:vAlign w:val="center"/>
          </w:tcPr>
          <w:p w14:paraId="579CDFD4" w14:textId="77777777" w:rsidR="00FC70C2" w:rsidRPr="00FC70C2" w:rsidRDefault="00FC70C2" w:rsidP="00725099">
            <w:pPr>
              <w:widowControl w:val="0"/>
              <w:jc w:val="right"/>
              <w:rPr>
                <w:rFonts w:ascii="Arial Narrow" w:hAnsi="Arial Narrow" w:cs="Arial"/>
                <w:sz w:val="20"/>
                <w:szCs w:val="20"/>
                <w:lang w:val="bg-BG"/>
              </w:rPr>
            </w:pPr>
            <w:r w:rsidRPr="00FC70C2">
              <w:rPr>
                <w:rFonts w:ascii="Arial Narrow" w:hAnsi="Arial Narrow" w:cs="Arial"/>
                <w:sz w:val="20"/>
                <w:szCs w:val="20"/>
                <w:lang w:val="bg-BG"/>
              </w:rPr>
              <w:t>32,4%</w:t>
            </w:r>
          </w:p>
        </w:tc>
        <w:tc>
          <w:tcPr>
            <w:tcW w:w="980" w:type="dxa"/>
            <w:tcBorders>
              <w:top w:val="nil"/>
              <w:left w:val="nil"/>
              <w:bottom w:val="single" w:sz="4" w:space="0" w:color="auto"/>
              <w:right w:val="single" w:sz="4" w:space="0" w:color="auto"/>
            </w:tcBorders>
            <w:shd w:val="clear" w:color="auto" w:fill="auto"/>
            <w:vAlign w:val="center"/>
          </w:tcPr>
          <w:p w14:paraId="3843A9A6" w14:textId="77777777" w:rsidR="00FC70C2" w:rsidRPr="00FC70C2" w:rsidRDefault="00FC70C2" w:rsidP="00725099">
            <w:pPr>
              <w:widowControl w:val="0"/>
              <w:jc w:val="right"/>
              <w:rPr>
                <w:rFonts w:ascii="Arial Narrow" w:hAnsi="Arial Narrow" w:cs="Arial"/>
                <w:sz w:val="20"/>
                <w:szCs w:val="20"/>
                <w:lang w:val="bg-BG"/>
              </w:rPr>
            </w:pPr>
            <w:r w:rsidRPr="00FC70C2">
              <w:rPr>
                <w:rFonts w:ascii="Arial Narrow" w:hAnsi="Arial Narrow" w:cs="Arial"/>
                <w:sz w:val="20"/>
                <w:szCs w:val="20"/>
                <w:lang w:val="bg-BG"/>
              </w:rPr>
              <w:t>123,9</w:t>
            </w:r>
          </w:p>
        </w:tc>
        <w:tc>
          <w:tcPr>
            <w:tcW w:w="988" w:type="dxa"/>
            <w:tcBorders>
              <w:top w:val="nil"/>
              <w:left w:val="nil"/>
              <w:bottom w:val="single" w:sz="4" w:space="0" w:color="auto"/>
              <w:right w:val="single" w:sz="4" w:space="0" w:color="auto"/>
            </w:tcBorders>
            <w:shd w:val="clear" w:color="auto" w:fill="auto"/>
            <w:vAlign w:val="center"/>
          </w:tcPr>
          <w:p w14:paraId="16D012C9" w14:textId="77777777" w:rsidR="00FC70C2" w:rsidRPr="00FC70C2" w:rsidRDefault="00FC70C2" w:rsidP="00725099">
            <w:pPr>
              <w:widowControl w:val="0"/>
              <w:jc w:val="right"/>
              <w:rPr>
                <w:rFonts w:ascii="Arial Narrow" w:hAnsi="Arial Narrow" w:cs="Arial"/>
                <w:sz w:val="20"/>
                <w:szCs w:val="20"/>
                <w:lang w:val="bg-BG"/>
              </w:rPr>
            </w:pPr>
            <w:r w:rsidRPr="00FC70C2">
              <w:rPr>
                <w:rFonts w:ascii="Arial Narrow" w:hAnsi="Arial Narrow" w:cs="Arial"/>
                <w:sz w:val="20"/>
                <w:szCs w:val="20"/>
                <w:lang w:val="bg-BG"/>
              </w:rPr>
              <w:t>34,8%</w:t>
            </w:r>
          </w:p>
        </w:tc>
        <w:tc>
          <w:tcPr>
            <w:tcW w:w="980" w:type="dxa"/>
            <w:tcBorders>
              <w:top w:val="nil"/>
              <w:left w:val="single" w:sz="4" w:space="0" w:color="auto"/>
              <w:bottom w:val="single" w:sz="4" w:space="0" w:color="auto"/>
              <w:right w:val="single" w:sz="4" w:space="0" w:color="auto"/>
            </w:tcBorders>
            <w:shd w:val="clear" w:color="auto" w:fill="auto"/>
            <w:vAlign w:val="center"/>
          </w:tcPr>
          <w:p w14:paraId="476D5574" w14:textId="77777777" w:rsidR="00FC70C2" w:rsidRPr="00FC70C2" w:rsidRDefault="00FC70C2" w:rsidP="00725099">
            <w:pPr>
              <w:widowControl w:val="0"/>
              <w:jc w:val="right"/>
              <w:rPr>
                <w:rFonts w:ascii="Arial Narrow" w:hAnsi="Arial Narrow" w:cs="Arial"/>
                <w:sz w:val="20"/>
                <w:szCs w:val="20"/>
                <w:lang w:val="bg-BG"/>
              </w:rPr>
            </w:pPr>
            <w:r w:rsidRPr="00FC70C2">
              <w:rPr>
                <w:rFonts w:ascii="Arial Narrow" w:hAnsi="Arial Narrow" w:cs="Arial"/>
                <w:sz w:val="20"/>
                <w:szCs w:val="20"/>
                <w:lang w:val="bg-BG"/>
              </w:rPr>
              <w:t>174,6</w:t>
            </w:r>
          </w:p>
        </w:tc>
        <w:tc>
          <w:tcPr>
            <w:tcW w:w="987" w:type="dxa"/>
            <w:tcBorders>
              <w:top w:val="nil"/>
              <w:left w:val="nil"/>
              <w:bottom w:val="single" w:sz="4" w:space="0" w:color="auto"/>
              <w:right w:val="single" w:sz="4" w:space="0" w:color="auto"/>
            </w:tcBorders>
            <w:shd w:val="clear" w:color="auto" w:fill="auto"/>
            <w:vAlign w:val="center"/>
          </w:tcPr>
          <w:p w14:paraId="487411F7" w14:textId="77777777" w:rsidR="00FC70C2" w:rsidRPr="00FC70C2" w:rsidRDefault="00FC70C2" w:rsidP="00725099">
            <w:pPr>
              <w:widowControl w:val="0"/>
              <w:jc w:val="right"/>
              <w:rPr>
                <w:rFonts w:ascii="Arial Narrow" w:hAnsi="Arial Narrow" w:cs="Calibri"/>
                <w:sz w:val="20"/>
                <w:szCs w:val="20"/>
              </w:rPr>
            </w:pPr>
            <w:r w:rsidRPr="00FC70C2">
              <w:rPr>
                <w:rFonts w:ascii="Arial Narrow" w:hAnsi="Arial Narrow" w:cs="Calibri"/>
                <w:sz w:val="20"/>
                <w:szCs w:val="20"/>
              </w:rPr>
              <w:t>32,4%</w:t>
            </w:r>
          </w:p>
        </w:tc>
        <w:tc>
          <w:tcPr>
            <w:tcW w:w="980" w:type="dxa"/>
            <w:tcBorders>
              <w:top w:val="nil"/>
              <w:left w:val="nil"/>
              <w:bottom w:val="single" w:sz="4" w:space="0" w:color="auto"/>
              <w:right w:val="single" w:sz="4" w:space="0" w:color="auto"/>
            </w:tcBorders>
            <w:shd w:val="clear" w:color="auto" w:fill="auto"/>
            <w:vAlign w:val="center"/>
          </w:tcPr>
          <w:p w14:paraId="27E20DDE" w14:textId="77777777" w:rsidR="00FC70C2" w:rsidRPr="00FC70C2" w:rsidRDefault="00FC70C2" w:rsidP="00725099">
            <w:pPr>
              <w:widowControl w:val="0"/>
              <w:jc w:val="right"/>
              <w:rPr>
                <w:rFonts w:ascii="Arial Narrow" w:hAnsi="Arial Narrow" w:cs="Calibri"/>
                <w:sz w:val="20"/>
                <w:szCs w:val="20"/>
              </w:rPr>
            </w:pPr>
            <w:r w:rsidRPr="00FC70C2">
              <w:rPr>
                <w:rFonts w:ascii="Arial Narrow" w:hAnsi="Arial Narrow" w:cs="Calibri"/>
                <w:sz w:val="20"/>
                <w:szCs w:val="20"/>
              </w:rPr>
              <w:t>117,6</w:t>
            </w:r>
          </w:p>
        </w:tc>
        <w:tc>
          <w:tcPr>
            <w:tcW w:w="988" w:type="dxa"/>
            <w:tcBorders>
              <w:top w:val="nil"/>
              <w:left w:val="nil"/>
              <w:bottom w:val="single" w:sz="4" w:space="0" w:color="auto"/>
              <w:right w:val="single" w:sz="4" w:space="0" w:color="auto"/>
            </w:tcBorders>
            <w:shd w:val="clear" w:color="auto" w:fill="auto"/>
            <w:vAlign w:val="center"/>
          </w:tcPr>
          <w:p w14:paraId="263ACF06" w14:textId="77777777" w:rsidR="00FC70C2" w:rsidRPr="00FC70C2" w:rsidRDefault="00FC70C2" w:rsidP="00725099">
            <w:pPr>
              <w:widowControl w:val="0"/>
              <w:jc w:val="right"/>
              <w:rPr>
                <w:rFonts w:ascii="Arial Narrow" w:hAnsi="Arial Narrow" w:cs="Calibri"/>
                <w:sz w:val="20"/>
                <w:szCs w:val="20"/>
              </w:rPr>
            </w:pPr>
            <w:r w:rsidRPr="00FC70C2">
              <w:rPr>
                <w:rFonts w:ascii="Arial Narrow" w:hAnsi="Arial Narrow" w:cs="Calibri"/>
                <w:sz w:val="20"/>
                <w:szCs w:val="20"/>
              </w:rPr>
              <w:t>34,7%</w:t>
            </w:r>
          </w:p>
        </w:tc>
      </w:tr>
      <w:tr w:rsidR="00FC70C2" w:rsidRPr="00FC70C2" w14:paraId="24058D79" w14:textId="77777777" w:rsidTr="00F10FC2">
        <w:trPr>
          <w:trHeight w:val="330"/>
        </w:trPr>
        <w:tc>
          <w:tcPr>
            <w:tcW w:w="1935" w:type="dxa"/>
            <w:vAlign w:val="center"/>
          </w:tcPr>
          <w:p w14:paraId="554D495F" w14:textId="77777777" w:rsidR="00FC70C2" w:rsidRPr="00FC70C2" w:rsidRDefault="00FC70C2" w:rsidP="00725099">
            <w:pPr>
              <w:widowControl w:val="0"/>
              <w:rPr>
                <w:rFonts w:ascii="Arial Narrow" w:hAnsi="Arial Narrow" w:cs="Arial"/>
                <w:b/>
                <w:sz w:val="20"/>
                <w:szCs w:val="20"/>
                <w:lang w:val="bg-BG"/>
              </w:rPr>
            </w:pPr>
            <w:r w:rsidRPr="00FC70C2">
              <w:rPr>
                <w:rFonts w:ascii="Arial Narrow" w:hAnsi="Arial Narrow" w:cs="Arial"/>
                <w:b/>
                <w:sz w:val="20"/>
                <w:szCs w:val="20"/>
                <w:lang w:val="bg-BG"/>
              </w:rPr>
              <w:t>Общо за страната</w:t>
            </w:r>
          </w:p>
        </w:tc>
        <w:tc>
          <w:tcPr>
            <w:tcW w:w="979" w:type="dxa"/>
            <w:tcBorders>
              <w:top w:val="nil"/>
              <w:left w:val="single" w:sz="4" w:space="0" w:color="auto"/>
              <w:bottom w:val="single" w:sz="4" w:space="0" w:color="auto"/>
              <w:right w:val="single" w:sz="4" w:space="0" w:color="auto"/>
            </w:tcBorders>
            <w:shd w:val="clear" w:color="auto" w:fill="auto"/>
            <w:vAlign w:val="center"/>
          </w:tcPr>
          <w:p w14:paraId="1104B222" w14:textId="77777777" w:rsidR="00FC70C2" w:rsidRPr="00FC70C2" w:rsidRDefault="00FC70C2" w:rsidP="00725099">
            <w:pPr>
              <w:widowControl w:val="0"/>
              <w:jc w:val="right"/>
              <w:rPr>
                <w:rFonts w:ascii="Arial Narrow" w:hAnsi="Arial Narrow" w:cs="Arial"/>
                <w:b/>
                <w:sz w:val="20"/>
                <w:szCs w:val="20"/>
                <w:lang w:val="bg-BG"/>
              </w:rPr>
            </w:pPr>
            <w:r w:rsidRPr="00FC70C2">
              <w:rPr>
                <w:rFonts w:ascii="Arial Narrow" w:hAnsi="Arial Narrow" w:cs="Arial"/>
                <w:b/>
                <w:sz w:val="20"/>
                <w:szCs w:val="20"/>
                <w:lang w:val="bg-BG"/>
              </w:rPr>
              <w:t>553,4</w:t>
            </w:r>
          </w:p>
        </w:tc>
        <w:tc>
          <w:tcPr>
            <w:tcW w:w="986" w:type="dxa"/>
            <w:tcBorders>
              <w:top w:val="nil"/>
              <w:left w:val="nil"/>
              <w:bottom w:val="single" w:sz="4" w:space="0" w:color="auto"/>
              <w:right w:val="single" w:sz="4" w:space="0" w:color="auto"/>
            </w:tcBorders>
            <w:shd w:val="clear" w:color="auto" w:fill="auto"/>
            <w:vAlign w:val="center"/>
          </w:tcPr>
          <w:p w14:paraId="7C32760C" w14:textId="77777777" w:rsidR="00FC70C2" w:rsidRPr="00FC70C2" w:rsidRDefault="00FC70C2" w:rsidP="00725099">
            <w:pPr>
              <w:widowControl w:val="0"/>
              <w:jc w:val="right"/>
              <w:rPr>
                <w:rFonts w:ascii="Arial Narrow" w:hAnsi="Arial Narrow" w:cs="Arial"/>
                <w:b/>
                <w:sz w:val="20"/>
                <w:szCs w:val="20"/>
                <w:lang w:val="bg-BG"/>
              </w:rPr>
            </w:pPr>
            <w:r w:rsidRPr="00FC70C2">
              <w:rPr>
                <w:rFonts w:ascii="Arial Narrow" w:hAnsi="Arial Narrow" w:cs="Arial"/>
                <w:b/>
                <w:sz w:val="20"/>
                <w:szCs w:val="20"/>
                <w:lang w:val="bg-BG"/>
              </w:rPr>
              <w:t>100%</w:t>
            </w:r>
          </w:p>
        </w:tc>
        <w:tc>
          <w:tcPr>
            <w:tcW w:w="980" w:type="dxa"/>
            <w:tcBorders>
              <w:top w:val="nil"/>
              <w:left w:val="nil"/>
              <w:bottom w:val="single" w:sz="4" w:space="0" w:color="auto"/>
              <w:right w:val="single" w:sz="4" w:space="0" w:color="auto"/>
            </w:tcBorders>
            <w:shd w:val="clear" w:color="auto" w:fill="auto"/>
            <w:vAlign w:val="center"/>
          </w:tcPr>
          <w:p w14:paraId="36E7B74D" w14:textId="77777777" w:rsidR="00FC70C2" w:rsidRPr="00FC70C2" w:rsidRDefault="00FC70C2" w:rsidP="00725099">
            <w:pPr>
              <w:widowControl w:val="0"/>
              <w:jc w:val="right"/>
              <w:rPr>
                <w:rFonts w:ascii="Arial Narrow" w:hAnsi="Arial Narrow" w:cs="Arial"/>
                <w:b/>
                <w:sz w:val="20"/>
                <w:szCs w:val="20"/>
                <w:lang w:val="bg-BG"/>
              </w:rPr>
            </w:pPr>
            <w:r w:rsidRPr="00FC70C2">
              <w:rPr>
                <w:rFonts w:ascii="Arial Narrow" w:hAnsi="Arial Narrow" w:cs="Arial"/>
                <w:b/>
                <w:sz w:val="20"/>
                <w:szCs w:val="20"/>
                <w:lang w:val="bg-BG"/>
              </w:rPr>
              <w:t>355,6</w:t>
            </w:r>
          </w:p>
        </w:tc>
        <w:tc>
          <w:tcPr>
            <w:tcW w:w="988" w:type="dxa"/>
            <w:tcBorders>
              <w:top w:val="nil"/>
              <w:left w:val="nil"/>
              <w:bottom w:val="single" w:sz="4" w:space="0" w:color="auto"/>
              <w:right w:val="single" w:sz="4" w:space="0" w:color="auto"/>
            </w:tcBorders>
            <w:shd w:val="clear" w:color="auto" w:fill="auto"/>
            <w:vAlign w:val="center"/>
          </w:tcPr>
          <w:p w14:paraId="726FD212" w14:textId="77777777" w:rsidR="00FC70C2" w:rsidRPr="00FC70C2" w:rsidRDefault="00FC70C2" w:rsidP="00725099">
            <w:pPr>
              <w:widowControl w:val="0"/>
              <w:jc w:val="right"/>
              <w:rPr>
                <w:rFonts w:ascii="Arial Narrow" w:hAnsi="Arial Narrow" w:cs="Arial"/>
                <w:b/>
                <w:sz w:val="20"/>
                <w:szCs w:val="20"/>
                <w:lang w:val="bg-BG"/>
              </w:rPr>
            </w:pPr>
            <w:r w:rsidRPr="00FC70C2">
              <w:rPr>
                <w:rFonts w:ascii="Arial Narrow" w:hAnsi="Arial Narrow" w:cs="Arial"/>
                <w:b/>
                <w:sz w:val="20"/>
                <w:szCs w:val="20"/>
                <w:lang w:val="bg-BG"/>
              </w:rPr>
              <w:t>100%</w:t>
            </w:r>
          </w:p>
        </w:tc>
        <w:tc>
          <w:tcPr>
            <w:tcW w:w="980" w:type="dxa"/>
            <w:tcBorders>
              <w:top w:val="nil"/>
              <w:left w:val="single" w:sz="4" w:space="0" w:color="auto"/>
              <w:bottom w:val="single" w:sz="4" w:space="0" w:color="auto"/>
              <w:right w:val="single" w:sz="4" w:space="0" w:color="auto"/>
            </w:tcBorders>
            <w:shd w:val="clear" w:color="auto" w:fill="auto"/>
            <w:vAlign w:val="center"/>
          </w:tcPr>
          <w:p w14:paraId="46DAF938" w14:textId="77777777" w:rsidR="00FC70C2" w:rsidRPr="00FC70C2" w:rsidRDefault="00FC70C2" w:rsidP="00725099">
            <w:pPr>
              <w:widowControl w:val="0"/>
              <w:jc w:val="right"/>
              <w:rPr>
                <w:rFonts w:ascii="Arial Narrow" w:hAnsi="Arial Narrow" w:cs="Arial"/>
                <w:b/>
                <w:sz w:val="20"/>
                <w:szCs w:val="20"/>
                <w:lang w:val="bg-BG"/>
              </w:rPr>
            </w:pPr>
            <w:r w:rsidRPr="00FC70C2">
              <w:rPr>
                <w:rFonts w:ascii="Arial Narrow" w:hAnsi="Arial Narrow" w:cs="Arial"/>
                <w:b/>
                <w:sz w:val="20"/>
                <w:szCs w:val="20"/>
                <w:lang w:val="bg-BG"/>
              </w:rPr>
              <w:t>538,8</w:t>
            </w:r>
          </w:p>
        </w:tc>
        <w:tc>
          <w:tcPr>
            <w:tcW w:w="987" w:type="dxa"/>
            <w:tcBorders>
              <w:top w:val="nil"/>
              <w:left w:val="nil"/>
              <w:bottom w:val="single" w:sz="4" w:space="0" w:color="auto"/>
              <w:right w:val="single" w:sz="4" w:space="0" w:color="auto"/>
            </w:tcBorders>
            <w:shd w:val="clear" w:color="auto" w:fill="auto"/>
            <w:vAlign w:val="center"/>
          </w:tcPr>
          <w:p w14:paraId="5997BCC6" w14:textId="77777777" w:rsidR="00FC70C2" w:rsidRPr="00FC70C2" w:rsidRDefault="00FC70C2" w:rsidP="00725099">
            <w:pPr>
              <w:widowControl w:val="0"/>
              <w:jc w:val="right"/>
              <w:rPr>
                <w:rFonts w:ascii="Arial Narrow" w:hAnsi="Arial Narrow" w:cs="Calibri"/>
                <w:b/>
                <w:sz w:val="20"/>
                <w:szCs w:val="20"/>
              </w:rPr>
            </w:pPr>
            <w:r w:rsidRPr="00FC70C2">
              <w:rPr>
                <w:rFonts w:ascii="Arial Narrow" w:hAnsi="Arial Narrow" w:cs="Calibri"/>
                <w:b/>
                <w:sz w:val="20"/>
                <w:szCs w:val="20"/>
              </w:rPr>
              <w:t>100,0%</w:t>
            </w:r>
          </w:p>
        </w:tc>
        <w:tc>
          <w:tcPr>
            <w:tcW w:w="980" w:type="dxa"/>
            <w:tcBorders>
              <w:top w:val="nil"/>
              <w:left w:val="nil"/>
              <w:bottom w:val="single" w:sz="4" w:space="0" w:color="auto"/>
              <w:right w:val="single" w:sz="4" w:space="0" w:color="auto"/>
            </w:tcBorders>
            <w:shd w:val="clear" w:color="auto" w:fill="auto"/>
            <w:vAlign w:val="center"/>
          </w:tcPr>
          <w:p w14:paraId="2D31D332" w14:textId="77777777" w:rsidR="00FC70C2" w:rsidRPr="00FC70C2" w:rsidRDefault="00FC70C2" w:rsidP="00725099">
            <w:pPr>
              <w:widowControl w:val="0"/>
              <w:jc w:val="right"/>
              <w:rPr>
                <w:rFonts w:ascii="Arial Narrow" w:hAnsi="Arial Narrow" w:cs="Calibri"/>
                <w:b/>
                <w:sz w:val="20"/>
                <w:szCs w:val="20"/>
              </w:rPr>
            </w:pPr>
            <w:r w:rsidRPr="00FC70C2">
              <w:rPr>
                <w:rFonts w:ascii="Arial Narrow" w:hAnsi="Arial Narrow" w:cs="Calibri"/>
                <w:b/>
                <w:sz w:val="20"/>
                <w:szCs w:val="20"/>
              </w:rPr>
              <w:t>338,7</w:t>
            </w:r>
          </w:p>
        </w:tc>
        <w:tc>
          <w:tcPr>
            <w:tcW w:w="988" w:type="dxa"/>
            <w:tcBorders>
              <w:top w:val="nil"/>
              <w:left w:val="nil"/>
              <w:bottom w:val="single" w:sz="4" w:space="0" w:color="auto"/>
              <w:right w:val="single" w:sz="4" w:space="0" w:color="auto"/>
            </w:tcBorders>
            <w:shd w:val="clear" w:color="auto" w:fill="auto"/>
            <w:vAlign w:val="center"/>
          </w:tcPr>
          <w:p w14:paraId="6B7FE1C7" w14:textId="77777777" w:rsidR="00FC70C2" w:rsidRPr="00FC70C2" w:rsidRDefault="00FC70C2" w:rsidP="00725099">
            <w:pPr>
              <w:widowControl w:val="0"/>
              <w:jc w:val="right"/>
              <w:rPr>
                <w:rFonts w:ascii="Arial Narrow" w:hAnsi="Arial Narrow" w:cs="Calibri"/>
                <w:b/>
                <w:sz w:val="20"/>
                <w:szCs w:val="20"/>
              </w:rPr>
            </w:pPr>
            <w:r w:rsidRPr="00FC70C2">
              <w:rPr>
                <w:rFonts w:ascii="Arial Narrow" w:hAnsi="Arial Narrow" w:cs="Calibri"/>
                <w:b/>
                <w:sz w:val="20"/>
                <w:szCs w:val="20"/>
              </w:rPr>
              <w:t>100,0%</w:t>
            </w:r>
          </w:p>
        </w:tc>
      </w:tr>
    </w:tbl>
    <w:p w14:paraId="0411304E" w14:textId="77777777" w:rsidR="00FC70C2" w:rsidRPr="00E656EE" w:rsidRDefault="00FC70C2" w:rsidP="00FC70C2">
      <w:pPr>
        <w:widowControl w:val="0"/>
        <w:spacing w:after="240"/>
        <w:rPr>
          <w:rFonts w:ascii="Arial Narrow" w:hAnsi="Arial Narrow"/>
          <w:sz w:val="18"/>
          <w:szCs w:val="18"/>
          <w:lang w:val="bg-BG"/>
        </w:rPr>
      </w:pPr>
      <w:r w:rsidRPr="00E656EE">
        <w:rPr>
          <w:rFonts w:ascii="Arial Narrow" w:hAnsi="Arial Narrow"/>
          <w:i/>
          <w:sz w:val="18"/>
          <w:szCs w:val="18"/>
          <w:lang w:val="bg-BG"/>
        </w:rPr>
        <w:t xml:space="preserve">Източник: </w:t>
      </w:r>
      <w:r w:rsidRPr="00E656EE">
        <w:rPr>
          <w:rFonts w:ascii="Arial Narrow" w:hAnsi="Arial Narrow"/>
          <w:sz w:val="18"/>
          <w:szCs w:val="18"/>
          <w:lang w:val="bg-BG"/>
        </w:rPr>
        <w:t>МЗХ , отдел „Агростатистика”</w:t>
      </w:r>
    </w:p>
    <w:p w14:paraId="2276CF8B" w14:textId="77777777" w:rsidR="00FC70C2" w:rsidRPr="00FC70C2" w:rsidRDefault="00FC70C2" w:rsidP="00FC70C2">
      <w:pPr>
        <w:widowControl w:val="0"/>
        <w:autoSpaceDE w:val="0"/>
        <w:autoSpaceDN w:val="0"/>
        <w:adjustRightInd w:val="0"/>
        <w:spacing w:after="120"/>
        <w:ind w:firstLine="709"/>
        <w:jc w:val="both"/>
        <w:rPr>
          <w:rFonts w:ascii="Arial Narrow" w:eastAsia="Calibri" w:hAnsi="Arial Narrow" w:cs="Arial"/>
          <w:lang w:val="bg-BG" w:eastAsia="bg-BG"/>
        </w:rPr>
      </w:pPr>
      <w:r w:rsidRPr="00FC70C2">
        <w:rPr>
          <w:rFonts w:ascii="Arial Narrow" w:eastAsia="Calibri" w:hAnsi="Arial Narrow" w:cs="Arial"/>
          <w:lang w:val="bg-BG" w:eastAsia="bg-BG"/>
        </w:rPr>
        <w:t>Говедовъдството е концентрирано в Южна България, където се отглеждат 67,5% от общия брой говеда в страната през 2024 г. В Южен централен район се отглеждат над една трета от кравите, в т.ч. 26,6% от млечните и 43,5% - от месодайните.</w:t>
      </w:r>
    </w:p>
    <w:p w14:paraId="4304CB9B" w14:textId="77777777" w:rsidR="00FC70C2" w:rsidRPr="00FC70C2" w:rsidRDefault="00FC70C2" w:rsidP="00FC70C2">
      <w:pPr>
        <w:widowControl w:val="0"/>
        <w:tabs>
          <w:tab w:val="left" w:pos="180"/>
        </w:tabs>
        <w:spacing w:after="120"/>
        <w:jc w:val="both"/>
        <w:rPr>
          <w:rFonts w:ascii="Arial Narrow" w:eastAsia="Calibri" w:hAnsi="Arial Narrow" w:cs="Arial"/>
          <w:b/>
          <w:iCs/>
          <w:lang w:val="bg-BG"/>
        </w:rPr>
      </w:pPr>
      <w:r w:rsidRPr="00FC70C2">
        <w:rPr>
          <w:rFonts w:ascii="Arial Narrow" w:eastAsia="Calibri" w:hAnsi="Arial Narrow" w:cs="Arial"/>
          <w:b/>
          <w:iCs/>
          <w:lang w:val="bg-BG"/>
        </w:rPr>
        <w:t xml:space="preserve">Таблица </w:t>
      </w:r>
      <w:r w:rsidRPr="00FC70C2">
        <w:rPr>
          <w:rFonts w:ascii="Arial Narrow" w:eastAsia="Calibri" w:hAnsi="Arial Narrow" w:cs="Arial"/>
          <w:b/>
          <w:lang w:val="bg-BG"/>
        </w:rPr>
        <w:t xml:space="preserve">ІІ.17. </w:t>
      </w:r>
      <w:r w:rsidRPr="00FC70C2">
        <w:rPr>
          <w:rFonts w:ascii="Arial Narrow" w:eastAsia="Calibri" w:hAnsi="Arial Narrow" w:cs="Arial"/>
          <w:b/>
          <w:iCs/>
          <w:lang w:val="bg-BG"/>
        </w:rPr>
        <w:t>Разпределение на млечните крави според броя на отглежданите животни в стопанство към 01.11.2024 г.</w:t>
      </w:r>
    </w:p>
    <w:tbl>
      <w:tblPr>
        <w:tblpPr w:leftFromText="141" w:rightFromText="141" w:vertAnchor="text" w:tblpXSpec="center" w:tblpY="1"/>
        <w:tblOverlap w:val="never"/>
        <w:tblW w:w="97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44"/>
        <w:gridCol w:w="1781"/>
        <w:gridCol w:w="2113"/>
        <w:gridCol w:w="1789"/>
        <w:gridCol w:w="2114"/>
      </w:tblGrid>
      <w:tr w:rsidR="00FC70C2" w:rsidRPr="00FC70C2" w14:paraId="78FDAE91" w14:textId="77777777" w:rsidTr="00E656EE">
        <w:trPr>
          <w:trHeight w:val="432"/>
          <w:tblHeader/>
        </w:trPr>
        <w:tc>
          <w:tcPr>
            <w:tcW w:w="1944" w:type="dxa"/>
            <w:vMerge w:val="restart"/>
            <w:vAlign w:val="center"/>
          </w:tcPr>
          <w:p w14:paraId="2A03D76C" w14:textId="77777777" w:rsidR="00FC70C2" w:rsidRPr="00FC70C2" w:rsidRDefault="00FC70C2" w:rsidP="00FC70C2">
            <w:pPr>
              <w:widowControl w:val="0"/>
              <w:jc w:val="center"/>
              <w:rPr>
                <w:rFonts w:ascii="Arial Narrow" w:hAnsi="Arial Narrow"/>
                <w:b/>
                <w:bCs/>
                <w:sz w:val="20"/>
                <w:szCs w:val="20"/>
                <w:lang w:val="bg-BG"/>
              </w:rPr>
            </w:pPr>
            <w:r w:rsidRPr="00FC70C2">
              <w:rPr>
                <w:rFonts w:ascii="Arial Narrow" w:hAnsi="Arial Narrow"/>
                <w:b/>
                <w:bCs/>
                <w:sz w:val="20"/>
                <w:szCs w:val="20"/>
                <w:lang w:val="bg-BG"/>
              </w:rPr>
              <w:t>Брой</w:t>
            </w:r>
          </w:p>
          <w:p w14:paraId="706C031A" w14:textId="77777777" w:rsidR="00FC70C2" w:rsidRPr="00FC70C2" w:rsidRDefault="00FC70C2" w:rsidP="00FC70C2">
            <w:pPr>
              <w:widowControl w:val="0"/>
              <w:jc w:val="center"/>
              <w:rPr>
                <w:rFonts w:ascii="Arial Narrow" w:hAnsi="Arial Narrow"/>
                <w:b/>
                <w:bCs/>
                <w:sz w:val="20"/>
                <w:szCs w:val="20"/>
                <w:lang w:val="bg-BG"/>
              </w:rPr>
            </w:pPr>
            <w:r w:rsidRPr="00FC70C2">
              <w:rPr>
                <w:rFonts w:ascii="Arial Narrow" w:hAnsi="Arial Narrow"/>
                <w:b/>
                <w:bCs/>
                <w:sz w:val="20"/>
                <w:szCs w:val="20"/>
                <w:lang w:val="bg-BG"/>
              </w:rPr>
              <w:t>животни в стопанство</w:t>
            </w:r>
          </w:p>
        </w:tc>
        <w:tc>
          <w:tcPr>
            <w:tcW w:w="3894" w:type="dxa"/>
            <w:gridSpan w:val="2"/>
            <w:vAlign w:val="center"/>
          </w:tcPr>
          <w:p w14:paraId="7ABFF779" w14:textId="77777777" w:rsidR="00FC70C2" w:rsidRPr="00FC70C2" w:rsidRDefault="00FC70C2" w:rsidP="00FC70C2">
            <w:pPr>
              <w:widowControl w:val="0"/>
              <w:jc w:val="center"/>
              <w:rPr>
                <w:rFonts w:ascii="Arial Narrow" w:hAnsi="Arial Narrow"/>
                <w:b/>
                <w:bCs/>
                <w:sz w:val="20"/>
                <w:szCs w:val="20"/>
                <w:lang w:val="bg-BG"/>
              </w:rPr>
            </w:pPr>
            <w:r w:rsidRPr="00FC70C2">
              <w:rPr>
                <w:rFonts w:ascii="Arial Narrow" w:hAnsi="Arial Narrow"/>
                <w:b/>
                <w:bCs/>
                <w:sz w:val="20"/>
                <w:szCs w:val="20"/>
                <w:lang w:val="bg-BG"/>
              </w:rPr>
              <w:t>Стопанства</w:t>
            </w:r>
          </w:p>
        </w:tc>
        <w:tc>
          <w:tcPr>
            <w:tcW w:w="3903" w:type="dxa"/>
            <w:gridSpan w:val="2"/>
            <w:vAlign w:val="center"/>
          </w:tcPr>
          <w:p w14:paraId="3185E70D" w14:textId="77777777" w:rsidR="00FC70C2" w:rsidRPr="00FC70C2" w:rsidRDefault="00FC70C2" w:rsidP="00FC70C2">
            <w:pPr>
              <w:widowControl w:val="0"/>
              <w:jc w:val="center"/>
              <w:rPr>
                <w:rFonts w:ascii="Arial Narrow" w:hAnsi="Arial Narrow"/>
                <w:b/>
                <w:bCs/>
                <w:sz w:val="20"/>
                <w:szCs w:val="20"/>
                <w:lang w:val="bg-BG"/>
              </w:rPr>
            </w:pPr>
            <w:r w:rsidRPr="00FC70C2">
              <w:rPr>
                <w:rFonts w:ascii="Arial Narrow" w:hAnsi="Arial Narrow"/>
                <w:b/>
                <w:bCs/>
                <w:sz w:val="20"/>
                <w:szCs w:val="20"/>
                <w:lang w:val="bg-BG"/>
              </w:rPr>
              <w:t>Млечни крави</w:t>
            </w:r>
          </w:p>
        </w:tc>
      </w:tr>
      <w:tr w:rsidR="00FC70C2" w:rsidRPr="00FC70C2" w14:paraId="642A7E8E" w14:textId="77777777" w:rsidTr="00E656EE">
        <w:trPr>
          <w:trHeight w:val="595"/>
          <w:tblHeader/>
        </w:trPr>
        <w:tc>
          <w:tcPr>
            <w:tcW w:w="1944" w:type="dxa"/>
            <w:vMerge/>
          </w:tcPr>
          <w:p w14:paraId="371EF081" w14:textId="77777777" w:rsidR="00FC70C2" w:rsidRPr="00FC70C2" w:rsidRDefault="00FC70C2" w:rsidP="00FC70C2">
            <w:pPr>
              <w:widowControl w:val="0"/>
              <w:jc w:val="center"/>
              <w:rPr>
                <w:rFonts w:ascii="Arial Narrow" w:hAnsi="Arial Narrow"/>
                <w:b/>
                <w:bCs/>
                <w:sz w:val="20"/>
                <w:szCs w:val="20"/>
                <w:lang w:val="bg-BG"/>
              </w:rPr>
            </w:pPr>
          </w:p>
        </w:tc>
        <w:tc>
          <w:tcPr>
            <w:tcW w:w="1781" w:type="dxa"/>
            <w:tcBorders>
              <w:bottom w:val="single" w:sz="4" w:space="0" w:color="auto"/>
            </w:tcBorders>
            <w:vAlign w:val="center"/>
          </w:tcPr>
          <w:p w14:paraId="38FD5A35" w14:textId="77777777" w:rsidR="00FC70C2" w:rsidRPr="00FC70C2" w:rsidRDefault="00FC70C2" w:rsidP="00FC70C2">
            <w:pPr>
              <w:widowControl w:val="0"/>
              <w:jc w:val="center"/>
              <w:rPr>
                <w:rFonts w:ascii="Arial Narrow" w:hAnsi="Arial Narrow"/>
                <w:b/>
                <w:bCs/>
                <w:sz w:val="20"/>
                <w:szCs w:val="20"/>
                <w:lang w:val="bg-BG"/>
              </w:rPr>
            </w:pPr>
            <w:r w:rsidRPr="00FC70C2">
              <w:rPr>
                <w:rFonts w:ascii="Arial Narrow" w:hAnsi="Arial Narrow"/>
                <w:b/>
                <w:bCs/>
                <w:sz w:val="20"/>
                <w:szCs w:val="20"/>
                <w:lang w:val="bg-BG"/>
              </w:rPr>
              <w:t>брой</w:t>
            </w:r>
          </w:p>
        </w:tc>
        <w:tc>
          <w:tcPr>
            <w:tcW w:w="2113" w:type="dxa"/>
            <w:tcBorders>
              <w:bottom w:val="single" w:sz="4" w:space="0" w:color="auto"/>
            </w:tcBorders>
            <w:vAlign w:val="center"/>
          </w:tcPr>
          <w:p w14:paraId="6A7A78D2" w14:textId="77777777" w:rsidR="00FC70C2" w:rsidRPr="00FC70C2" w:rsidRDefault="00FC70C2" w:rsidP="00FC70C2">
            <w:pPr>
              <w:widowControl w:val="0"/>
              <w:jc w:val="center"/>
              <w:rPr>
                <w:rFonts w:ascii="Arial Narrow" w:hAnsi="Arial Narrow"/>
                <w:b/>
                <w:bCs/>
                <w:sz w:val="20"/>
                <w:szCs w:val="20"/>
                <w:lang w:val="bg-BG"/>
              </w:rPr>
            </w:pPr>
            <w:r w:rsidRPr="00FC70C2">
              <w:rPr>
                <w:rFonts w:ascii="Arial Narrow" w:hAnsi="Arial Narrow"/>
                <w:b/>
                <w:bCs/>
                <w:sz w:val="20"/>
                <w:szCs w:val="20"/>
                <w:lang w:val="bg-BG"/>
              </w:rPr>
              <w:t>Изменение</w:t>
            </w:r>
          </w:p>
          <w:p w14:paraId="7779FAC2" w14:textId="77777777" w:rsidR="00FC70C2" w:rsidRPr="00FC70C2" w:rsidRDefault="00FC70C2" w:rsidP="00FC70C2">
            <w:pPr>
              <w:widowControl w:val="0"/>
              <w:jc w:val="center"/>
              <w:rPr>
                <w:rFonts w:ascii="Arial Narrow" w:hAnsi="Arial Narrow"/>
                <w:b/>
                <w:bCs/>
                <w:sz w:val="20"/>
                <w:szCs w:val="20"/>
                <w:lang w:val="bg-BG"/>
              </w:rPr>
            </w:pPr>
            <w:r w:rsidRPr="00FC70C2">
              <w:rPr>
                <w:rFonts w:ascii="Arial Narrow" w:hAnsi="Arial Narrow"/>
                <w:b/>
                <w:sz w:val="20"/>
                <w:szCs w:val="20"/>
                <w:lang w:val="bg-BG"/>
              </w:rPr>
              <w:t>2024/2023</w:t>
            </w:r>
          </w:p>
        </w:tc>
        <w:tc>
          <w:tcPr>
            <w:tcW w:w="1789" w:type="dxa"/>
            <w:tcBorders>
              <w:bottom w:val="single" w:sz="4" w:space="0" w:color="auto"/>
            </w:tcBorders>
            <w:vAlign w:val="center"/>
          </w:tcPr>
          <w:p w14:paraId="1D95E8F4" w14:textId="77777777" w:rsidR="00FC70C2" w:rsidRPr="00FC70C2" w:rsidRDefault="00FC70C2" w:rsidP="00FC70C2">
            <w:pPr>
              <w:widowControl w:val="0"/>
              <w:jc w:val="center"/>
              <w:rPr>
                <w:rFonts w:ascii="Arial Narrow" w:hAnsi="Arial Narrow"/>
                <w:b/>
                <w:bCs/>
                <w:sz w:val="20"/>
                <w:szCs w:val="20"/>
                <w:lang w:val="bg-BG"/>
              </w:rPr>
            </w:pPr>
            <w:r w:rsidRPr="00FC70C2">
              <w:rPr>
                <w:rFonts w:ascii="Arial Narrow" w:hAnsi="Arial Narrow"/>
                <w:b/>
                <w:bCs/>
                <w:sz w:val="20"/>
                <w:szCs w:val="20"/>
                <w:lang w:val="bg-BG"/>
              </w:rPr>
              <w:t>хил. броя</w:t>
            </w:r>
          </w:p>
        </w:tc>
        <w:tc>
          <w:tcPr>
            <w:tcW w:w="2114" w:type="dxa"/>
            <w:tcBorders>
              <w:bottom w:val="single" w:sz="4" w:space="0" w:color="auto"/>
            </w:tcBorders>
            <w:vAlign w:val="center"/>
          </w:tcPr>
          <w:p w14:paraId="1B169184" w14:textId="77777777" w:rsidR="00FC70C2" w:rsidRPr="00FC70C2" w:rsidRDefault="00FC70C2" w:rsidP="00FC70C2">
            <w:pPr>
              <w:widowControl w:val="0"/>
              <w:jc w:val="center"/>
              <w:rPr>
                <w:rFonts w:ascii="Arial Narrow" w:hAnsi="Arial Narrow"/>
                <w:b/>
                <w:bCs/>
                <w:sz w:val="20"/>
                <w:szCs w:val="20"/>
                <w:lang w:val="bg-BG"/>
              </w:rPr>
            </w:pPr>
            <w:r w:rsidRPr="00FC70C2">
              <w:rPr>
                <w:rFonts w:ascii="Arial Narrow" w:hAnsi="Arial Narrow"/>
                <w:b/>
                <w:bCs/>
                <w:sz w:val="20"/>
                <w:szCs w:val="20"/>
                <w:lang w:val="bg-BG"/>
              </w:rPr>
              <w:t>Изменение</w:t>
            </w:r>
          </w:p>
          <w:p w14:paraId="4BD92342" w14:textId="77777777" w:rsidR="00FC70C2" w:rsidRPr="00FC70C2" w:rsidRDefault="00FC70C2" w:rsidP="00FC70C2">
            <w:pPr>
              <w:widowControl w:val="0"/>
              <w:jc w:val="center"/>
              <w:rPr>
                <w:rFonts w:ascii="Arial Narrow" w:hAnsi="Arial Narrow"/>
                <w:b/>
                <w:bCs/>
                <w:sz w:val="20"/>
                <w:szCs w:val="20"/>
                <w:lang w:val="bg-BG"/>
              </w:rPr>
            </w:pPr>
            <w:r w:rsidRPr="00FC70C2">
              <w:rPr>
                <w:rFonts w:ascii="Arial Narrow" w:hAnsi="Arial Narrow"/>
                <w:b/>
                <w:sz w:val="20"/>
                <w:szCs w:val="20"/>
                <w:lang w:val="bg-BG"/>
              </w:rPr>
              <w:t>2024/2023</w:t>
            </w:r>
          </w:p>
        </w:tc>
      </w:tr>
      <w:tr w:rsidR="00FC70C2" w:rsidRPr="00FC70C2" w14:paraId="3000D4BD" w14:textId="77777777" w:rsidTr="00E656EE">
        <w:trPr>
          <w:trHeight w:val="324"/>
        </w:trPr>
        <w:tc>
          <w:tcPr>
            <w:tcW w:w="1944" w:type="dxa"/>
            <w:vAlign w:val="center"/>
          </w:tcPr>
          <w:p w14:paraId="4D45F6C9" w14:textId="77777777" w:rsidR="00FC70C2" w:rsidRPr="00FC70C2" w:rsidRDefault="00FC70C2" w:rsidP="00FC70C2">
            <w:pPr>
              <w:widowControl w:val="0"/>
              <w:rPr>
                <w:rFonts w:ascii="Arial Narrow" w:hAnsi="Arial Narrow" w:cs="Arial"/>
                <w:sz w:val="20"/>
                <w:szCs w:val="20"/>
                <w:lang w:val="bg-BG"/>
              </w:rPr>
            </w:pPr>
            <w:r w:rsidRPr="00FC70C2">
              <w:rPr>
                <w:rFonts w:ascii="Arial Narrow" w:hAnsi="Arial Narrow" w:cs="Arial"/>
                <w:sz w:val="20"/>
                <w:szCs w:val="20"/>
                <w:lang w:val="bg-BG"/>
              </w:rPr>
              <w:t>1 - 2</w:t>
            </w:r>
          </w:p>
        </w:tc>
        <w:tc>
          <w:tcPr>
            <w:tcW w:w="1781" w:type="dxa"/>
            <w:tcBorders>
              <w:top w:val="single" w:sz="4" w:space="0" w:color="auto"/>
              <w:left w:val="single" w:sz="4" w:space="0" w:color="auto"/>
              <w:bottom w:val="single" w:sz="4" w:space="0" w:color="auto"/>
              <w:right w:val="single" w:sz="4" w:space="0" w:color="auto"/>
            </w:tcBorders>
            <w:shd w:val="clear" w:color="auto" w:fill="auto"/>
            <w:vAlign w:val="center"/>
          </w:tcPr>
          <w:p w14:paraId="101957C3" w14:textId="77777777" w:rsidR="00FC70C2" w:rsidRPr="00FC70C2" w:rsidRDefault="00FC70C2" w:rsidP="00FC70C2">
            <w:pPr>
              <w:widowControl w:val="0"/>
              <w:jc w:val="right"/>
              <w:rPr>
                <w:rFonts w:ascii="Arial Narrow" w:hAnsi="Arial Narrow" w:cs="Arial"/>
                <w:sz w:val="20"/>
                <w:szCs w:val="20"/>
                <w:lang w:val="bg-BG"/>
              </w:rPr>
            </w:pPr>
            <w:r w:rsidRPr="00FC70C2">
              <w:rPr>
                <w:rFonts w:ascii="Arial Narrow" w:hAnsi="Arial Narrow" w:cs="Arial"/>
                <w:sz w:val="20"/>
                <w:szCs w:val="20"/>
                <w:lang w:val="bg-BG"/>
              </w:rPr>
              <w:t>3 300</w:t>
            </w:r>
          </w:p>
        </w:tc>
        <w:tc>
          <w:tcPr>
            <w:tcW w:w="2113" w:type="dxa"/>
            <w:tcBorders>
              <w:top w:val="single" w:sz="4" w:space="0" w:color="auto"/>
              <w:left w:val="nil"/>
              <w:bottom w:val="single" w:sz="4" w:space="0" w:color="auto"/>
              <w:right w:val="single" w:sz="4" w:space="0" w:color="auto"/>
            </w:tcBorders>
            <w:shd w:val="clear" w:color="000000" w:fill="FFFFFF"/>
            <w:vAlign w:val="center"/>
          </w:tcPr>
          <w:p w14:paraId="3748860B" w14:textId="77777777" w:rsidR="00FC70C2" w:rsidRPr="00FC70C2" w:rsidRDefault="00FC70C2" w:rsidP="00FC70C2">
            <w:pPr>
              <w:widowControl w:val="0"/>
              <w:jc w:val="right"/>
              <w:rPr>
                <w:rFonts w:ascii="Arial Narrow" w:hAnsi="Arial Narrow" w:cs="Arial"/>
                <w:sz w:val="20"/>
                <w:szCs w:val="20"/>
                <w:lang w:val="bg-BG"/>
              </w:rPr>
            </w:pPr>
            <w:r w:rsidRPr="00FC70C2">
              <w:rPr>
                <w:rFonts w:ascii="Arial Narrow" w:hAnsi="Arial Narrow" w:cs="Arial"/>
                <w:sz w:val="20"/>
                <w:szCs w:val="20"/>
                <w:lang w:val="bg-BG"/>
              </w:rPr>
              <w:t>-31,8%</w:t>
            </w:r>
          </w:p>
        </w:tc>
        <w:tc>
          <w:tcPr>
            <w:tcW w:w="1789" w:type="dxa"/>
            <w:tcBorders>
              <w:top w:val="single" w:sz="4" w:space="0" w:color="auto"/>
              <w:left w:val="nil"/>
              <w:bottom w:val="single" w:sz="4" w:space="0" w:color="auto"/>
              <w:right w:val="single" w:sz="4" w:space="0" w:color="auto"/>
            </w:tcBorders>
            <w:shd w:val="clear" w:color="000000" w:fill="FFFFFF"/>
            <w:vAlign w:val="center"/>
          </w:tcPr>
          <w:p w14:paraId="744B224B" w14:textId="77777777" w:rsidR="00FC70C2" w:rsidRPr="00FC70C2" w:rsidRDefault="00FC70C2" w:rsidP="00FC70C2">
            <w:pPr>
              <w:widowControl w:val="0"/>
              <w:jc w:val="right"/>
              <w:rPr>
                <w:rFonts w:ascii="Arial Narrow" w:hAnsi="Arial Narrow" w:cs="Arial"/>
                <w:sz w:val="20"/>
                <w:szCs w:val="20"/>
                <w:lang w:val="bg-BG"/>
              </w:rPr>
            </w:pPr>
            <w:r w:rsidRPr="00FC70C2">
              <w:rPr>
                <w:rFonts w:ascii="Arial Narrow" w:hAnsi="Arial Narrow" w:cs="Arial"/>
                <w:sz w:val="20"/>
                <w:szCs w:val="20"/>
                <w:lang w:val="bg-BG"/>
              </w:rPr>
              <w:t>4,1</w:t>
            </w:r>
          </w:p>
        </w:tc>
        <w:tc>
          <w:tcPr>
            <w:tcW w:w="2114" w:type="dxa"/>
            <w:tcBorders>
              <w:top w:val="single" w:sz="4" w:space="0" w:color="auto"/>
              <w:left w:val="nil"/>
              <w:bottom w:val="single" w:sz="4" w:space="0" w:color="auto"/>
              <w:right w:val="single" w:sz="4" w:space="0" w:color="auto"/>
            </w:tcBorders>
            <w:shd w:val="clear" w:color="000000" w:fill="FFFFFF"/>
            <w:vAlign w:val="center"/>
          </w:tcPr>
          <w:p w14:paraId="016F9056" w14:textId="77777777" w:rsidR="00FC70C2" w:rsidRPr="00FC70C2" w:rsidRDefault="00FC70C2" w:rsidP="00FC70C2">
            <w:pPr>
              <w:widowControl w:val="0"/>
              <w:jc w:val="right"/>
              <w:rPr>
                <w:rFonts w:ascii="Arial Narrow" w:hAnsi="Arial Narrow" w:cs="Arial"/>
                <w:sz w:val="20"/>
                <w:szCs w:val="20"/>
                <w:lang w:val="bg-BG"/>
              </w:rPr>
            </w:pPr>
            <w:r w:rsidRPr="00FC70C2">
              <w:rPr>
                <w:rFonts w:ascii="Arial Narrow" w:hAnsi="Arial Narrow" w:cs="Arial"/>
                <w:sz w:val="20"/>
                <w:szCs w:val="20"/>
                <w:lang w:val="bg-BG"/>
              </w:rPr>
              <w:t>-</w:t>
            </w:r>
            <w:r w:rsidRPr="00FC70C2">
              <w:rPr>
                <w:rFonts w:ascii="Arial Narrow" w:hAnsi="Arial Narrow" w:cs="Arial"/>
                <w:sz w:val="20"/>
                <w:szCs w:val="20"/>
              </w:rPr>
              <w:t>29.3</w:t>
            </w:r>
            <w:r w:rsidRPr="00FC70C2">
              <w:rPr>
                <w:rFonts w:ascii="Arial Narrow" w:hAnsi="Arial Narrow" w:cs="Arial"/>
                <w:sz w:val="20"/>
                <w:szCs w:val="20"/>
                <w:lang w:val="bg-BG"/>
              </w:rPr>
              <w:t>%</w:t>
            </w:r>
          </w:p>
        </w:tc>
      </w:tr>
      <w:tr w:rsidR="00FC70C2" w:rsidRPr="00FC70C2" w14:paraId="2AF40E49" w14:textId="77777777" w:rsidTr="00E656EE">
        <w:trPr>
          <w:trHeight w:val="324"/>
        </w:trPr>
        <w:tc>
          <w:tcPr>
            <w:tcW w:w="1944" w:type="dxa"/>
            <w:vAlign w:val="center"/>
          </w:tcPr>
          <w:p w14:paraId="2AEE118E" w14:textId="77777777" w:rsidR="00FC70C2" w:rsidRPr="00FC70C2" w:rsidRDefault="00FC70C2" w:rsidP="00FC70C2">
            <w:pPr>
              <w:widowControl w:val="0"/>
              <w:rPr>
                <w:rFonts w:ascii="Arial Narrow" w:hAnsi="Arial Narrow" w:cs="Arial"/>
                <w:sz w:val="20"/>
                <w:szCs w:val="20"/>
                <w:lang w:val="bg-BG"/>
              </w:rPr>
            </w:pPr>
            <w:r w:rsidRPr="00FC70C2">
              <w:rPr>
                <w:rFonts w:ascii="Arial Narrow" w:hAnsi="Arial Narrow" w:cs="Arial"/>
                <w:sz w:val="20"/>
                <w:szCs w:val="20"/>
                <w:lang w:val="bg-BG"/>
              </w:rPr>
              <w:t>3 - 9</w:t>
            </w:r>
          </w:p>
        </w:tc>
        <w:tc>
          <w:tcPr>
            <w:tcW w:w="1781" w:type="dxa"/>
            <w:tcBorders>
              <w:top w:val="nil"/>
              <w:left w:val="single" w:sz="4" w:space="0" w:color="auto"/>
              <w:bottom w:val="single" w:sz="4" w:space="0" w:color="auto"/>
              <w:right w:val="single" w:sz="4" w:space="0" w:color="auto"/>
            </w:tcBorders>
            <w:shd w:val="clear" w:color="auto" w:fill="auto"/>
            <w:vAlign w:val="center"/>
          </w:tcPr>
          <w:p w14:paraId="0A245117" w14:textId="77777777" w:rsidR="00FC70C2" w:rsidRPr="00FC70C2" w:rsidRDefault="00FC70C2" w:rsidP="00FC70C2">
            <w:pPr>
              <w:widowControl w:val="0"/>
              <w:jc w:val="right"/>
              <w:rPr>
                <w:rFonts w:ascii="Arial Narrow" w:hAnsi="Arial Narrow" w:cs="Arial"/>
                <w:sz w:val="20"/>
                <w:szCs w:val="20"/>
                <w:lang w:val="bg-BG"/>
              </w:rPr>
            </w:pPr>
            <w:r w:rsidRPr="00FC70C2">
              <w:rPr>
                <w:rFonts w:ascii="Arial Narrow" w:hAnsi="Arial Narrow" w:cs="Arial"/>
                <w:sz w:val="20"/>
                <w:szCs w:val="20"/>
                <w:lang w:val="bg-BG"/>
              </w:rPr>
              <w:t>1 299</w:t>
            </w:r>
          </w:p>
        </w:tc>
        <w:tc>
          <w:tcPr>
            <w:tcW w:w="2113" w:type="dxa"/>
            <w:tcBorders>
              <w:top w:val="nil"/>
              <w:left w:val="nil"/>
              <w:bottom w:val="single" w:sz="4" w:space="0" w:color="auto"/>
              <w:right w:val="single" w:sz="4" w:space="0" w:color="auto"/>
            </w:tcBorders>
            <w:shd w:val="clear" w:color="000000" w:fill="FFFFFF"/>
            <w:vAlign w:val="center"/>
          </w:tcPr>
          <w:p w14:paraId="2E4788AE" w14:textId="77777777" w:rsidR="00FC70C2" w:rsidRPr="00FC70C2" w:rsidRDefault="00FC70C2" w:rsidP="00FC70C2">
            <w:pPr>
              <w:widowControl w:val="0"/>
              <w:jc w:val="right"/>
              <w:rPr>
                <w:rFonts w:ascii="Arial Narrow" w:hAnsi="Arial Narrow" w:cs="Arial"/>
                <w:sz w:val="20"/>
                <w:szCs w:val="20"/>
                <w:lang w:val="bg-BG"/>
              </w:rPr>
            </w:pPr>
            <w:r w:rsidRPr="00FC70C2">
              <w:rPr>
                <w:rFonts w:ascii="Arial Narrow" w:hAnsi="Arial Narrow" w:cs="Arial"/>
                <w:sz w:val="20"/>
                <w:szCs w:val="20"/>
                <w:lang w:val="bg-BG"/>
              </w:rPr>
              <w:t>4,8%</w:t>
            </w:r>
          </w:p>
        </w:tc>
        <w:tc>
          <w:tcPr>
            <w:tcW w:w="1789" w:type="dxa"/>
            <w:tcBorders>
              <w:top w:val="nil"/>
              <w:left w:val="nil"/>
              <w:bottom w:val="single" w:sz="4" w:space="0" w:color="auto"/>
              <w:right w:val="single" w:sz="4" w:space="0" w:color="auto"/>
            </w:tcBorders>
            <w:shd w:val="clear" w:color="000000" w:fill="FFFFFF"/>
            <w:vAlign w:val="center"/>
          </w:tcPr>
          <w:p w14:paraId="09534894" w14:textId="77777777" w:rsidR="00FC70C2" w:rsidRPr="00FC70C2" w:rsidRDefault="00FC70C2" w:rsidP="00FC70C2">
            <w:pPr>
              <w:widowControl w:val="0"/>
              <w:jc w:val="right"/>
              <w:rPr>
                <w:rFonts w:ascii="Arial Narrow" w:hAnsi="Arial Narrow" w:cs="Arial"/>
                <w:sz w:val="20"/>
                <w:szCs w:val="20"/>
                <w:lang w:val="bg-BG"/>
              </w:rPr>
            </w:pPr>
            <w:r w:rsidRPr="00FC70C2">
              <w:rPr>
                <w:rFonts w:ascii="Arial Narrow" w:hAnsi="Arial Narrow" w:cs="Arial"/>
                <w:sz w:val="20"/>
                <w:szCs w:val="20"/>
                <w:lang w:val="bg-BG"/>
              </w:rPr>
              <w:t>7,8</w:t>
            </w:r>
          </w:p>
        </w:tc>
        <w:tc>
          <w:tcPr>
            <w:tcW w:w="2114" w:type="dxa"/>
            <w:tcBorders>
              <w:top w:val="nil"/>
              <w:left w:val="nil"/>
              <w:bottom w:val="single" w:sz="4" w:space="0" w:color="auto"/>
              <w:right w:val="single" w:sz="4" w:space="0" w:color="auto"/>
            </w:tcBorders>
            <w:shd w:val="clear" w:color="000000" w:fill="FFFFFF"/>
            <w:vAlign w:val="center"/>
          </w:tcPr>
          <w:p w14:paraId="5B140AED" w14:textId="77777777" w:rsidR="00FC70C2" w:rsidRPr="00FC70C2" w:rsidRDefault="00FC70C2" w:rsidP="00FC70C2">
            <w:pPr>
              <w:widowControl w:val="0"/>
              <w:jc w:val="right"/>
              <w:rPr>
                <w:rFonts w:ascii="Arial Narrow" w:hAnsi="Arial Narrow" w:cs="Arial"/>
                <w:sz w:val="20"/>
                <w:szCs w:val="20"/>
                <w:lang w:val="bg-BG"/>
              </w:rPr>
            </w:pPr>
            <w:r w:rsidRPr="00FC70C2">
              <w:rPr>
                <w:rFonts w:ascii="Arial Narrow" w:hAnsi="Arial Narrow" w:cs="Arial"/>
                <w:sz w:val="20"/>
                <w:szCs w:val="20"/>
                <w:lang w:val="bg-BG"/>
              </w:rPr>
              <w:t>2,6%</w:t>
            </w:r>
          </w:p>
        </w:tc>
      </w:tr>
      <w:tr w:rsidR="00FC70C2" w:rsidRPr="00FC70C2" w14:paraId="0ED4F5AA" w14:textId="77777777" w:rsidTr="00E656EE">
        <w:trPr>
          <w:trHeight w:val="324"/>
        </w:trPr>
        <w:tc>
          <w:tcPr>
            <w:tcW w:w="1944" w:type="dxa"/>
            <w:vAlign w:val="center"/>
          </w:tcPr>
          <w:p w14:paraId="6FD4E321" w14:textId="77777777" w:rsidR="00FC70C2" w:rsidRPr="00FC70C2" w:rsidRDefault="00FC70C2" w:rsidP="00FC70C2">
            <w:pPr>
              <w:widowControl w:val="0"/>
              <w:rPr>
                <w:rFonts w:ascii="Arial Narrow" w:hAnsi="Arial Narrow" w:cs="Arial"/>
                <w:sz w:val="20"/>
                <w:szCs w:val="20"/>
                <w:lang w:val="bg-BG"/>
              </w:rPr>
            </w:pPr>
            <w:r w:rsidRPr="00FC70C2">
              <w:rPr>
                <w:rFonts w:ascii="Arial Narrow" w:hAnsi="Arial Narrow" w:cs="Arial"/>
                <w:sz w:val="20"/>
                <w:szCs w:val="20"/>
                <w:lang w:val="bg-BG"/>
              </w:rPr>
              <w:t>10 -19</w:t>
            </w:r>
          </w:p>
        </w:tc>
        <w:tc>
          <w:tcPr>
            <w:tcW w:w="1781" w:type="dxa"/>
            <w:tcBorders>
              <w:top w:val="nil"/>
              <w:left w:val="single" w:sz="4" w:space="0" w:color="auto"/>
              <w:bottom w:val="single" w:sz="4" w:space="0" w:color="auto"/>
              <w:right w:val="single" w:sz="4" w:space="0" w:color="auto"/>
            </w:tcBorders>
            <w:shd w:val="clear" w:color="auto" w:fill="auto"/>
            <w:vAlign w:val="center"/>
          </w:tcPr>
          <w:p w14:paraId="551A564F" w14:textId="77777777" w:rsidR="00FC70C2" w:rsidRPr="00FC70C2" w:rsidRDefault="00FC70C2" w:rsidP="00FC70C2">
            <w:pPr>
              <w:widowControl w:val="0"/>
              <w:jc w:val="right"/>
              <w:rPr>
                <w:rFonts w:ascii="Arial Narrow" w:hAnsi="Arial Narrow" w:cs="Arial"/>
                <w:sz w:val="20"/>
                <w:szCs w:val="20"/>
                <w:lang w:val="bg-BG"/>
              </w:rPr>
            </w:pPr>
            <w:r w:rsidRPr="00FC70C2">
              <w:rPr>
                <w:rFonts w:ascii="Arial Narrow" w:hAnsi="Arial Narrow" w:cs="Arial"/>
                <w:sz w:val="20"/>
                <w:szCs w:val="20"/>
                <w:lang w:val="bg-BG"/>
              </w:rPr>
              <w:t>645</w:t>
            </w:r>
          </w:p>
        </w:tc>
        <w:tc>
          <w:tcPr>
            <w:tcW w:w="2113" w:type="dxa"/>
            <w:tcBorders>
              <w:top w:val="nil"/>
              <w:left w:val="nil"/>
              <w:bottom w:val="single" w:sz="4" w:space="0" w:color="auto"/>
              <w:right w:val="single" w:sz="4" w:space="0" w:color="auto"/>
            </w:tcBorders>
            <w:shd w:val="clear" w:color="000000" w:fill="FFFFFF"/>
            <w:vAlign w:val="center"/>
          </w:tcPr>
          <w:p w14:paraId="6E6DEF23" w14:textId="77777777" w:rsidR="00FC70C2" w:rsidRPr="00FC70C2" w:rsidRDefault="00FC70C2" w:rsidP="00FC70C2">
            <w:pPr>
              <w:widowControl w:val="0"/>
              <w:jc w:val="right"/>
              <w:rPr>
                <w:rFonts w:ascii="Arial Narrow" w:hAnsi="Arial Narrow" w:cs="Arial"/>
                <w:sz w:val="20"/>
                <w:szCs w:val="20"/>
                <w:lang w:val="bg-BG"/>
              </w:rPr>
            </w:pPr>
            <w:r w:rsidRPr="00FC70C2">
              <w:rPr>
                <w:rFonts w:ascii="Arial Narrow" w:hAnsi="Arial Narrow" w:cs="Arial"/>
                <w:sz w:val="20"/>
                <w:szCs w:val="20"/>
                <w:lang w:val="bg-BG"/>
              </w:rPr>
              <w:t>-13,8%</w:t>
            </w:r>
          </w:p>
        </w:tc>
        <w:tc>
          <w:tcPr>
            <w:tcW w:w="1789" w:type="dxa"/>
            <w:tcBorders>
              <w:top w:val="nil"/>
              <w:left w:val="nil"/>
              <w:bottom w:val="single" w:sz="4" w:space="0" w:color="auto"/>
              <w:right w:val="single" w:sz="4" w:space="0" w:color="auto"/>
            </w:tcBorders>
            <w:shd w:val="clear" w:color="000000" w:fill="FFFFFF"/>
            <w:vAlign w:val="center"/>
          </w:tcPr>
          <w:p w14:paraId="0A7BF4C6" w14:textId="77777777" w:rsidR="00FC70C2" w:rsidRPr="00FC70C2" w:rsidRDefault="00FC70C2" w:rsidP="00FC70C2">
            <w:pPr>
              <w:widowControl w:val="0"/>
              <w:jc w:val="right"/>
              <w:rPr>
                <w:rFonts w:ascii="Arial Narrow" w:hAnsi="Arial Narrow" w:cs="Arial"/>
                <w:sz w:val="20"/>
                <w:szCs w:val="20"/>
                <w:lang w:val="bg-BG"/>
              </w:rPr>
            </w:pPr>
            <w:r w:rsidRPr="00FC70C2">
              <w:rPr>
                <w:rFonts w:ascii="Arial Narrow" w:hAnsi="Arial Narrow" w:cs="Arial"/>
                <w:sz w:val="20"/>
                <w:szCs w:val="20"/>
                <w:lang w:val="bg-BG"/>
              </w:rPr>
              <w:t>9,2</w:t>
            </w:r>
          </w:p>
        </w:tc>
        <w:tc>
          <w:tcPr>
            <w:tcW w:w="2114" w:type="dxa"/>
            <w:tcBorders>
              <w:top w:val="nil"/>
              <w:left w:val="nil"/>
              <w:bottom w:val="single" w:sz="4" w:space="0" w:color="auto"/>
              <w:right w:val="single" w:sz="4" w:space="0" w:color="auto"/>
            </w:tcBorders>
            <w:shd w:val="clear" w:color="000000" w:fill="FFFFFF"/>
            <w:vAlign w:val="center"/>
          </w:tcPr>
          <w:p w14:paraId="506A0880" w14:textId="77777777" w:rsidR="00FC70C2" w:rsidRPr="00FC70C2" w:rsidRDefault="00FC70C2" w:rsidP="00FC70C2">
            <w:pPr>
              <w:widowControl w:val="0"/>
              <w:jc w:val="right"/>
              <w:rPr>
                <w:rFonts w:ascii="Arial Narrow" w:hAnsi="Arial Narrow" w:cs="Arial"/>
                <w:sz w:val="20"/>
                <w:szCs w:val="20"/>
                <w:lang w:val="bg-BG"/>
              </w:rPr>
            </w:pPr>
            <w:r w:rsidRPr="00FC70C2">
              <w:rPr>
                <w:rFonts w:ascii="Arial Narrow" w:hAnsi="Arial Narrow" w:cs="Arial"/>
                <w:sz w:val="20"/>
                <w:szCs w:val="20"/>
                <w:lang w:val="bg-BG"/>
              </w:rPr>
              <w:t>-</w:t>
            </w:r>
            <w:r w:rsidRPr="00FC70C2">
              <w:rPr>
                <w:rFonts w:ascii="Arial Narrow" w:hAnsi="Arial Narrow" w:cs="Arial"/>
                <w:sz w:val="20"/>
                <w:szCs w:val="20"/>
              </w:rPr>
              <w:t>8</w:t>
            </w:r>
            <w:r w:rsidRPr="00FC70C2">
              <w:rPr>
                <w:rFonts w:ascii="Arial Narrow" w:hAnsi="Arial Narrow" w:cs="Arial"/>
                <w:sz w:val="20"/>
                <w:szCs w:val="20"/>
                <w:lang w:val="bg-BG"/>
              </w:rPr>
              <w:t>,0%</w:t>
            </w:r>
          </w:p>
        </w:tc>
      </w:tr>
      <w:tr w:rsidR="00FC70C2" w:rsidRPr="00FC70C2" w14:paraId="75D97BB5" w14:textId="77777777" w:rsidTr="00E656EE">
        <w:trPr>
          <w:trHeight w:val="324"/>
        </w:trPr>
        <w:tc>
          <w:tcPr>
            <w:tcW w:w="1944" w:type="dxa"/>
            <w:vAlign w:val="center"/>
          </w:tcPr>
          <w:p w14:paraId="1AE12219" w14:textId="77777777" w:rsidR="00FC70C2" w:rsidRPr="00FC70C2" w:rsidRDefault="00FC70C2" w:rsidP="00FC70C2">
            <w:pPr>
              <w:widowControl w:val="0"/>
              <w:rPr>
                <w:rFonts w:ascii="Arial Narrow" w:hAnsi="Arial Narrow" w:cs="Arial"/>
                <w:sz w:val="20"/>
                <w:szCs w:val="20"/>
                <w:lang w:val="bg-BG"/>
              </w:rPr>
            </w:pPr>
            <w:r w:rsidRPr="00FC70C2">
              <w:rPr>
                <w:rFonts w:ascii="Arial Narrow" w:hAnsi="Arial Narrow" w:cs="Arial"/>
                <w:sz w:val="20"/>
                <w:szCs w:val="20"/>
                <w:lang w:val="bg-BG"/>
              </w:rPr>
              <w:t>20 -49</w:t>
            </w:r>
          </w:p>
        </w:tc>
        <w:tc>
          <w:tcPr>
            <w:tcW w:w="1781" w:type="dxa"/>
            <w:tcBorders>
              <w:top w:val="nil"/>
              <w:left w:val="single" w:sz="4" w:space="0" w:color="auto"/>
              <w:bottom w:val="single" w:sz="4" w:space="0" w:color="auto"/>
              <w:right w:val="single" w:sz="4" w:space="0" w:color="auto"/>
            </w:tcBorders>
            <w:shd w:val="clear" w:color="auto" w:fill="auto"/>
            <w:vAlign w:val="center"/>
          </w:tcPr>
          <w:p w14:paraId="49E5DA6B" w14:textId="77777777" w:rsidR="00FC70C2" w:rsidRPr="00FC70C2" w:rsidRDefault="00FC70C2" w:rsidP="00FC70C2">
            <w:pPr>
              <w:widowControl w:val="0"/>
              <w:jc w:val="right"/>
              <w:rPr>
                <w:rFonts w:ascii="Arial Narrow" w:hAnsi="Arial Narrow" w:cs="Arial"/>
                <w:sz w:val="20"/>
                <w:szCs w:val="20"/>
                <w:lang w:val="bg-BG"/>
              </w:rPr>
            </w:pPr>
            <w:r w:rsidRPr="00FC70C2">
              <w:rPr>
                <w:rFonts w:ascii="Arial Narrow" w:hAnsi="Arial Narrow" w:cs="Arial"/>
                <w:sz w:val="20"/>
                <w:szCs w:val="20"/>
                <w:lang w:val="bg-BG"/>
              </w:rPr>
              <w:t>1 322</w:t>
            </w:r>
          </w:p>
        </w:tc>
        <w:tc>
          <w:tcPr>
            <w:tcW w:w="2113" w:type="dxa"/>
            <w:tcBorders>
              <w:top w:val="nil"/>
              <w:left w:val="nil"/>
              <w:bottom w:val="single" w:sz="4" w:space="0" w:color="auto"/>
              <w:right w:val="single" w:sz="4" w:space="0" w:color="auto"/>
            </w:tcBorders>
            <w:shd w:val="clear" w:color="000000" w:fill="FFFFFF"/>
            <w:vAlign w:val="center"/>
          </w:tcPr>
          <w:p w14:paraId="11F923B3" w14:textId="77777777" w:rsidR="00FC70C2" w:rsidRPr="00FC70C2" w:rsidRDefault="00FC70C2" w:rsidP="00FC70C2">
            <w:pPr>
              <w:widowControl w:val="0"/>
              <w:jc w:val="right"/>
              <w:rPr>
                <w:rFonts w:ascii="Arial Narrow" w:hAnsi="Arial Narrow" w:cs="Arial"/>
                <w:sz w:val="20"/>
                <w:szCs w:val="20"/>
                <w:lang w:val="bg-BG"/>
              </w:rPr>
            </w:pPr>
            <w:r w:rsidRPr="00FC70C2">
              <w:rPr>
                <w:rFonts w:ascii="Arial Narrow" w:hAnsi="Arial Narrow" w:cs="Arial"/>
                <w:sz w:val="20"/>
                <w:szCs w:val="20"/>
                <w:lang w:val="bg-BG"/>
              </w:rPr>
              <w:t>-12,2%</w:t>
            </w:r>
          </w:p>
        </w:tc>
        <w:tc>
          <w:tcPr>
            <w:tcW w:w="1789" w:type="dxa"/>
            <w:tcBorders>
              <w:top w:val="nil"/>
              <w:left w:val="nil"/>
              <w:bottom w:val="single" w:sz="4" w:space="0" w:color="auto"/>
              <w:right w:val="single" w:sz="4" w:space="0" w:color="auto"/>
            </w:tcBorders>
            <w:shd w:val="clear" w:color="000000" w:fill="FFFFFF"/>
            <w:vAlign w:val="center"/>
          </w:tcPr>
          <w:p w14:paraId="1DDB41ED" w14:textId="77777777" w:rsidR="00FC70C2" w:rsidRPr="00FC70C2" w:rsidRDefault="00FC70C2" w:rsidP="00FC70C2">
            <w:pPr>
              <w:widowControl w:val="0"/>
              <w:jc w:val="right"/>
              <w:rPr>
                <w:rFonts w:ascii="Arial Narrow" w:hAnsi="Arial Narrow" w:cs="Arial"/>
                <w:sz w:val="20"/>
                <w:szCs w:val="20"/>
                <w:lang w:val="bg-BG"/>
              </w:rPr>
            </w:pPr>
            <w:r w:rsidRPr="00FC70C2">
              <w:rPr>
                <w:rFonts w:ascii="Arial Narrow" w:hAnsi="Arial Narrow" w:cs="Arial"/>
                <w:sz w:val="20"/>
                <w:szCs w:val="20"/>
                <w:lang w:val="bg-BG"/>
              </w:rPr>
              <w:t>42,5</w:t>
            </w:r>
          </w:p>
        </w:tc>
        <w:tc>
          <w:tcPr>
            <w:tcW w:w="2114" w:type="dxa"/>
            <w:tcBorders>
              <w:top w:val="nil"/>
              <w:left w:val="nil"/>
              <w:bottom w:val="single" w:sz="4" w:space="0" w:color="auto"/>
              <w:right w:val="single" w:sz="4" w:space="0" w:color="auto"/>
            </w:tcBorders>
            <w:shd w:val="clear" w:color="000000" w:fill="FFFFFF"/>
            <w:vAlign w:val="center"/>
          </w:tcPr>
          <w:p w14:paraId="7F7CE7E7" w14:textId="77777777" w:rsidR="00FC70C2" w:rsidRPr="00FC70C2" w:rsidRDefault="00FC70C2" w:rsidP="00FC70C2">
            <w:pPr>
              <w:widowControl w:val="0"/>
              <w:jc w:val="right"/>
              <w:rPr>
                <w:rFonts w:ascii="Arial Narrow" w:hAnsi="Arial Narrow" w:cs="Arial"/>
                <w:sz w:val="20"/>
                <w:szCs w:val="20"/>
                <w:lang w:val="bg-BG"/>
              </w:rPr>
            </w:pPr>
            <w:r w:rsidRPr="00FC70C2">
              <w:rPr>
                <w:rFonts w:ascii="Arial Narrow" w:hAnsi="Arial Narrow" w:cs="Arial"/>
                <w:sz w:val="20"/>
                <w:szCs w:val="20"/>
                <w:lang w:val="bg-BG"/>
              </w:rPr>
              <w:t>-12,0%</w:t>
            </w:r>
          </w:p>
        </w:tc>
      </w:tr>
      <w:tr w:rsidR="00FC70C2" w:rsidRPr="00FC70C2" w14:paraId="55B417FE" w14:textId="77777777" w:rsidTr="00E656EE">
        <w:trPr>
          <w:trHeight w:val="324"/>
        </w:trPr>
        <w:tc>
          <w:tcPr>
            <w:tcW w:w="1944" w:type="dxa"/>
            <w:vAlign w:val="center"/>
          </w:tcPr>
          <w:p w14:paraId="336BB316" w14:textId="77777777" w:rsidR="00FC70C2" w:rsidRPr="00FC70C2" w:rsidRDefault="00FC70C2" w:rsidP="00FC70C2">
            <w:pPr>
              <w:widowControl w:val="0"/>
              <w:rPr>
                <w:rFonts w:ascii="Arial Narrow" w:hAnsi="Arial Narrow" w:cs="Arial"/>
                <w:sz w:val="20"/>
                <w:szCs w:val="20"/>
                <w:lang w:val="bg-BG"/>
              </w:rPr>
            </w:pPr>
            <w:r w:rsidRPr="00FC70C2">
              <w:rPr>
                <w:rFonts w:ascii="Arial Narrow" w:hAnsi="Arial Narrow" w:cs="Arial"/>
                <w:sz w:val="20"/>
                <w:szCs w:val="20"/>
                <w:lang w:val="bg-BG"/>
              </w:rPr>
              <w:t>50 - 99</w:t>
            </w:r>
          </w:p>
        </w:tc>
        <w:tc>
          <w:tcPr>
            <w:tcW w:w="1781" w:type="dxa"/>
            <w:tcBorders>
              <w:top w:val="nil"/>
              <w:left w:val="single" w:sz="4" w:space="0" w:color="auto"/>
              <w:bottom w:val="single" w:sz="4" w:space="0" w:color="auto"/>
              <w:right w:val="single" w:sz="4" w:space="0" w:color="auto"/>
            </w:tcBorders>
            <w:shd w:val="clear" w:color="auto" w:fill="auto"/>
            <w:vAlign w:val="center"/>
          </w:tcPr>
          <w:p w14:paraId="45C20EDC" w14:textId="77777777" w:rsidR="00FC70C2" w:rsidRPr="00FC70C2" w:rsidRDefault="00FC70C2" w:rsidP="00FC70C2">
            <w:pPr>
              <w:widowControl w:val="0"/>
              <w:jc w:val="right"/>
              <w:rPr>
                <w:rFonts w:ascii="Arial Narrow" w:hAnsi="Arial Narrow" w:cs="Arial"/>
                <w:sz w:val="20"/>
                <w:szCs w:val="20"/>
                <w:lang w:val="bg-BG"/>
              </w:rPr>
            </w:pPr>
            <w:r w:rsidRPr="00FC70C2">
              <w:rPr>
                <w:rFonts w:ascii="Arial Narrow" w:hAnsi="Arial Narrow" w:cs="Arial"/>
                <w:sz w:val="20"/>
                <w:szCs w:val="20"/>
                <w:lang w:val="bg-BG"/>
              </w:rPr>
              <w:t>532</w:t>
            </w:r>
          </w:p>
        </w:tc>
        <w:tc>
          <w:tcPr>
            <w:tcW w:w="2113" w:type="dxa"/>
            <w:tcBorders>
              <w:top w:val="nil"/>
              <w:left w:val="nil"/>
              <w:bottom w:val="single" w:sz="4" w:space="0" w:color="auto"/>
              <w:right w:val="single" w:sz="4" w:space="0" w:color="auto"/>
            </w:tcBorders>
            <w:shd w:val="clear" w:color="000000" w:fill="FFFFFF"/>
            <w:vAlign w:val="center"/>
          </w:tcPr>
          <w:p w14:paraId="40C0ECC8" w14:textId="77777777" w:rsidR="00FC70C2" w:rsidRPr="00FC70C2" w:rsidRDefault="00FC70C2" w:rsidP="00FC70C2">
            <w:pPr>
              <w:widowControl w:val="0"/>
              <w:jc w:val="right"/>
              <w:rPr>
                <w:rFonts w:ascii="Arial Narrow" w:hAnsi="Arial Narrow" w:cs="Arial"/>
                <w:sz w:val="20"/>
                <w:szCs w:val="20"/>
                <w:lang w:val="bg-BG"/>
              </w:rPr>
            </w:pPr>
            <w:r w:rsidRPr="00FC70C2">
              <w:rPr>
                <w:rFonts w:ascii="Arial Narrow" w:hAnsi="Arial Narrow" w:cs="Arial"/>
                <w:sz w:val="20"/>
                <w:szCs w:val="20"/>
                <w:lang w:val="bg-BG"/>
              </w:rPr>
              <w:t>-5,7%</w:t>
            </w:r>
          </w:p>
        </w:tc>
        <w:tc>
          <w:tcPr>
            <w:tcW w:w="1789" w:type="dxa"/>
            <w:tcBorders>
              <w:top w:val="nil"/>
              <w:left w:val="nil"/>
              <w:bottom w:val="single" w:sz="4" w:space="0" w:color="auto"/>
              <w:right w:val="single" w:sz="4" w:space="0" w:color="auto"/>
            </w:tcBorders>
            <w:shd w:val="clear" w:color="000000" w:fill="FFFFFF"/>
            <w:vAlign w:val="center"/>
          </w:tcPr>
          <w:p w14:paraId="44488CD9" w14:textId="77777777" w:rsidR="00FC70C2" w:rsidRPr="00FC70C2" w:rsidRDefault="00FC70C2" w:rsidP="00FC70C2">
            <w:pPr>
              <w:widowControl w:val="0"/>
              <w:jc w:val="right"/>
              <w:rPr>
                <w:rFonts w:ascii="Arial Narrow" w:hAnsi="Arial Narrow" w:cs="Arial"/>
                <w:sz w:val="20"/>
                <w:szCs w:val="20"/>
                <w:lang w:val="bg-BG"/>
              </w:rPr>
            </w:pPr>
            <w:r w:rsidRPr="00FC70C2">
              <w:rPr>
                <w:rFonts w:ascii="Arial Narrow" w:hAnsi="Arial Narrow" w:cs="Arial"/>
                <w:sz w:val="20"/>
                <w:szCs w:val="20"/>
                <w:lang w:val="bg-BG"/>
              </w:rPr>
              <w:t>35,8</w:t>
            </w:r>
          </w:p>
        </w:tc>
        <w:tc>
          <w:tcPr>
            <w:tcW w:w="2114" w:type="dxa"/>
            <w:tcBorders>
              <w:top w:val="nil"/>
              <w:left w:val="nil"/>
              <w:bottom w:val="single" w:sz="4" w:space="0" w:color="auto"/>
              <w:right w:val="single" w:sz="4" w:space="0" w:color="auto"/>
            </w:tcBorders>
            <w:shd w:val="clear" w:color="000000" w:fill="FFFFFF"/>
            <w:vAlign w:val="center"/>
          </w:tcPr>
          <w:p w14:paraId="2E5032A8" w14:textId="77777777" w:rsidR="00FC70C2" w:rsidRPr="00FC70C2" w:rsidRDefault="00FC70C2" w:rsidP="00FC70C2">
            <w:pPr>
              <w:widowControl w:val="0"/>
              <w:jc w:val="right"/>
              <w:rPr>
                <w:rFonts w:ascii="Arial Narrow" w:hAnsi="Arial Narrow" w:cs="Arial"/>
                <w:sz w:val="20"/>
                <w:szCs w:val="20"/>
                <w:lang w:val="bg-BG"/>
              </w:rPr>
            </w:pPr>
            <w:r w:rsidRPr="00FC70C2">
              <w:rPr>
                <w:rFonts w:ascii="Arial Narrow" w:hAnsi="Arial Narrow" w:cs="Arial"/>
                <w:sz w:val="20"/>
                <w:szCs w:val="20"/>
                <w:lang w:val="bg-BG"/>
              </w:rPr>
              <w:t>-7,5%</w:t>
            </w:r>
          </w:p>
        </w:tc>
      </w:tr>
      <w:tr w:rsidR="00FC70C2" w:rsidRPr="00FC70C2" w14:paraId="5CA584D6" w14:textId="77777777" w:rsidTr="00E656EE">
        <w:trPr>
          <w:trHeight w:val="324"/>
        </w:trPr>
        <w:tc>
          <w:tcPr>
            <w:tcW w:w="1944" w:type="dxa"/>
            <w:vAlign w:val="center"/>
          </w:tcPr>
          <w:p w14:paraId="7909579E" w14:textId="77777777" w:rsidR="00FC70C2" w:rsidRPr="00FC70C2" w:rsidRDefault="00FC70C2" w:rsidP="00FC70C2">
            <w:pPr>
              <w:widowControl w:val="0"/>
              <w:rPr>
                <w:rFonts w:ascii="Arial Narrow" w:hAnsi="Arial Narrow" w:cs="Arial"/>
                <w:sz w:val="20"/>
                <w:szCs w:val="20"/>
                <w:lang w:val="bg-BG"/>
              </w:rPr>
            </w:pPr>
            <w:r w:rsidRPr="00FC70C2">
              <w:rPr>
                <w:rFonts w:ascii="Arial Narrow" w:hAnsi="Arial Narrow" w:cs="Arial"/>
                <w:sz w:val="20"/>
                <w:szCs w:val="20"/>
                <w:lang w:val="bg-BG"/>
              </w:rPr>
              <w:t>100 и повече</w:t>
            </w:r>
          </w:p>
        </w:tc>
        <w:tc>
          <w:tcPr>
            <w:tcW w:w="1781" w:type="dxa"/>
            <w:tcBorders>
              <w:top w:val="nil"/>
              <w:left w:val="single" w:sz="4" w:space="0" w:color="auto"/>
              <w:bottom w:val="single" w:sz="4" w:space="0" w:color="auto"/>
              <w:right w:val="single" w:sz="4" w:space="0" w:color="auto"/>
            </w:tcBorders>
            <w:shd w:val="clear" w:color="auto" w:fill="auto"/>
            <w:vAlign w:val="center"/>
          </w:tcPr>
          <w:p w14:paraId="76733B43" w14:textId="77777777" w:rsidR="00FC70C2" w:rsidRPr="00FC70C2" w:rsidRDefault="00FC70C2" w:rsidP="00FC70C2">
            <w:pPr>
              <w:widowControl w:val="0"/>
              <w:jc w:val="right"/>
              <w:rPr>
                <w:rFonts w:ascii="Arial Narrow" w:hAnsi="Arial Narrow" w:cs="Arial"/>
                <w:sz w:val="20"/>
                <w:szCs w:val="20"/>
                <w:lang w:val="bg-BG"/>
              </w:rPr>
            </w:pPr>
            <w:r w:rsidRPr="00FC70C2">
              <w:rPr>
                <w:rFonts w:ascii="Arial Narrow" w:hAnsi="Arial Narrow" w:cs="Arial"/>
                <w:sz w:val="20"/>
                <w:szCs w:val="20"/>
                <w:lang w:val="bg-BG"/>
              </w:rPr>
              <w:t>324</w:t>
            </w:r>
          </w:p>
        </w:tc>
        <w:tc>
          <w:tcPr>
            <w:tcW w:w="2113" w:type="dxa"/>
            <w:tcBorders>
              <w:top w:val="nil"/>
              <w:left w:val="nil"/>
              <w:bottom w:val="single" w:sz="4" w:space="0" w:color="auto"/>
              <w:right w:val="single" w:sz="4" w:space="0" w:color="auto"/>
            </w:tcBorders>
            <w:shd w:val="clear" w:color="000000" w:fill="FFFFFF"/>
            <w:vAlign w:val="center"/>
          </w:tcPr>
          <w:p w14:paraId="3DB564B6" w14:textId="77777777" w:rsidR="00FC70C2" w:rsidRPr="00FC70C2" w:rsidRDefault="00FC70C2" w:rsidP="00FC70C2">
            <w:pPr>
              <w:widowControl w:val="0"/>
              <w:jc w:val="right"/>
              <w:rPr>
                <w:rFonts w:ascii="Arial Narrow" w:hAnsi="Arial Narrow" w:cs="Arial"/>
                <w:sz w:val="20"/>
                <w:szCs w:val="20"/>
                <w:lang w:val="bg-BG"/>
              </w:rPr>
            </w:pPr>
            <w:r w:rsidRPr="00FC70C2">
              <w:rPr>
                <w:rFonts w:ascii="Arial Narrow" w:hAnsi="Arial Narrow" w:cs="Arial"/>
                <w:sz w:val="20"/>
                <w:szCs w:val="20"/>
                <w:lang w:val="bg-BG"/>
              </w:rPr>
              <w:t>-2,7%</w:t>
            </w:r>
          </w:p>
        </w:tc>
        <w:tc>
          <w:tcPr>
            <w:tcW w:w="1789" w:type="dxa"/>
            <w:tcBorders>
              <w:top w:val="nil"/>
              <w:left w:val="nil"/>
              <w:bottom w:val="single" w:sz="4" w:space="0" w:color="auto"/>
              <w:right w:val="single" w:sz="4" w:space="0" w:color="auto"/>
            </w:tcBorders>
            <w:shd w:val="clear" w:color="000000" w:fill="FFFFFF"/>
            <w:vAlign w:val="center"/>
          </w:tcPr>
          <w:p w14:paraId="72E57F31" w14:textId="77777777" w:rsidR="00FC70C2" w:rsidRPr="00FC70C2" w:rsidRDefault="00FC70C2" w:rsidP="00FC70C2">
            <w:pPr>
              <w:widowControl w:val="0"/>
              <w:jc w:val="right"/>
              <w:rPr>
                <w:rFonts w:ascii="Arial Narrow" w:hAnsi="Arial Narrow" w:cs="Arial"/>
                <w:sz w:val="20"/>
                <w:szCs w:val="20"/>
                <w:lang w:val="bg-BG"/>
              </w:rPr>
            </w:pPr>
            <w:r w:rsidRPr="00FC70C2">
              <w:rPr>
                <w:rFonts w:ascii="Arial Narrow" w:hAnsi="Arial Narrow" w:cs="Arial"/>
                <w:sz w:val="20"/>
                <w:szCs w:val="20"/>
                <w:lang w:val="bg-BG"/>
              </w:rPr>
              <w:t>75,6</w:t>
            </w:r>
          </w:p>
        </w:tc>
        <w:tc>
          <w:tcPr>
            <w:tcW w:w="2114" w:type="dxa"/>
            <w:tcBorders>
              <w:top w:val="nil"/>
              <w:left w:val="nil"/>
              <w:bottom w:val="single" w:sz="4" w:space="0" w:color="auto"/>
              <w:right w:val="single" w:sz="4" w:space="0" w:color="auto"/>
            </w:tcBorders>
            <w:shd w:val="clear" w:color="000000" w:fill="FFFFFF"/>
            <w:vAlign w:val="center"/>
          </w:tcPr>
          <w:p w14:paraId="694D7C46" w14:textId="77777777" w:rsidR="00FC70C2" w:rsidRPr="00FC70C2" w:rsidRDefault="00FC70C2" w:rsidP="00FC70C2">
            <w:pPr>
              <w:widowControl w:val="0"/>
              <w:jc w:val="right"/>
              <w:rPr>
                <w:rFonts w:ascii="Arial Narrow" w:hAnsi="Arial Narrow" w:cs="Arial"/>
                <w:sz w:val="20"/>
                <w:szCs w:val="20"/>
                <w:lang w:val="bg-BG"/>
              </w:rPr>
            </w:pPr>
            <w:r w:rsidRPr="00FC70C2">
              <w:rPr>
                <w:rFonts w:ascii="Arial Narrow" w:hAnsi="Arial Narrow" w:cs="Arial"/>
                <w:sz w:val="20"/>
                <w:szCs w:val="20"/>
                <w:lang w:val="bg-BG"/>
              </w:rPr>
              <w:t>-1,4%</w:t>
            </w:r>
          </w:p>
        </w:tc>
      </w:tr>
      <w:tr w:rsidR="00FC70C2" w:rsidRPr="00FC70C2" w14:paraId="0BCB0F56" w14:textId="77777777" w:rsidTr="00E656EE">
        <w:trPr>
          <w:trHeight w:val="324"/>
        </w:trPr>
        <w:tc>
          <w:tcPr>
            <w:tcW w:w="1944" w:type="dxa"/>
            <w:vAlign w:val="center"/>
          </w:tcPr>
          <w:p w14:paraId="54E5E5CD" w14:textId="77777777" w:rsidR="00FC70C2" w:rsidRPr="00FC70C2" w:rsidRDefault="00FC70C2" w:rsidP="00FC70C2">
            <w:pPr>
              <w:widowControl w:val="0"/>
              <w:rPr>
                <w:rFonts w:ascii="Arial Narrow" w:hAnsi="Arial Narrow" w:cs="Arial"/>
                <w:b/>
                <w:sz w:val="20"/>
                <w:szCs w:val="20"/>
                <w:lang w:val="bg-BG"/>
              </w:rPr>
            </w:pPr>
            <w:r w:rsidRPr="00FC70C2">
              <w:rPr>
                <w:rFonts w:ascii="Arial Narrow" w:hAnsi="Arial Narrow" w:cs="Arial"/>
                <w:b/>
                <w:sz w:val="20"/>
                <w:szCs w:val="20"/>
                <w:lang w:val="bg-BG"/>
              </w:rPr>
              <w:t>Общо</w:t>
            </w:r>
          </w:p>
        </w:tc>
        <w:tc>
          <w:tcPr>
            <w:tcW w:w="1781" w:type="dxa"/>
            <w:tcBorders>
              <w:top w:val="nil"/>
              <w:left w:val="single" w:sz="4" w:space="0" w:color="auto"/>
              <w:bottom w:val="single" w:sz="4" w:space="0" w:color="auto"/>
              <w:right w:val="single" w:sz="4" w:space="0" w:color="auto"/>
            </w:tcBorders>
            <w:shd w:val="clear" w:color="auto" w:fill="auto"/>
            <w:vAlign w:val="center"/>
          </w:tcPr>
          <w:p w14:paraId="12ADBE12" w14:textId="77777777" w:rsidR="00FC70C2" w:rsidRPr="00FC70C2" w:rsidRDefault="00FC70C2" w:rsidP="00FC70C2">
            <w:pPr>
              <w:widowControl w:val="0"/>
              <w:jc w:val="right"/>
              <w:rPr>
                <w:rFonts w:ascii="Arial Narrow" w:hAnsi="Arial Narrow" w:cs="Arial"/>
                <w:b/>
                <w:sz w:val="20"/>
                <w:szCs w:val="20"/>
                <w:lang w:val="bg-BG"/>
              </w:rPr>
            </w:pPr>
            <w:r w:rsidRPr="00FC70C2">
              <w:rPr>
                <w:rFonts w:ascii="Arial Narrow" w:hAnsi="Arial Narrow" w:cs="Arial"/>
                <w:b/>
                <w:sz w:val="20"/>
                <w:szCs w:val="20"/>
                <w:lang w:val="bg-BG"/>
              </w:rPr>
              <w:t>7 422</w:t>
            </w:r>
          </w:p>
        </w:tc>
        <w:tc>
          <w:tcPr>
            <w:tcW w:w="2113" w:type="dxa"/>
            <w:tcBorders>
              <w:top w:val="nil"/>
              <w:left w:val="nil"/>
              <w:bottom w:val="single" w:sz="4" w:space="0" w:color="auto"/>
              <w:right w:val="single" w:sz="4" w:space="0" w:color="auto"/>
            </w:tcBorders>
            <w:shd w:val="clear" w:color="000000" w:fill="FFFFFF"/>
            <w:vAlign w:val="center"/>
          </w:tcPr>
          <w:p w14:paraId="2E616ECA" w14:textId="77777777" w:rsidR="00FC70C2" w:rsidRPr="00FC70C2" w:rsidRDefault="00FC70C2" w:rsidP="00FC70C2">
            <w:pPr>
              <w:widowControl w:val="0"/>
              <w:jc w:val="right"/>
              <w:rPr>
                <w:rFonts w:ascii="Arial Narrow" w:hAnsi="Arial Narrow" w:cs="Arial"/>
                <w:b/>
                <w:sz w:val="20"/>
                <w:szCs w:val="20"/>
                <w:lang w:val="bg-BG"/>
              </w:rPr>
            </w:pPr>
            <w:r w:rsidRPr="00FC70C2">
              <w:rPr>
                <w:rFonts w:ascii="Arial Narrow" w:hAnsi="Arial Narrow" w:cs="Arial"/>
                <w:b/>
                <w:sz w:val="20"/>
                <w:szCs w:val="20"/>
                <w:lang w:val="bg-BG"/>
              </w:rPr>
              <w:t>-19,6%</w:t>
            </w:r>
          </w:p>
        </w:tc>
        <w:tc>
          <w:tcPr>
            <w:tcW w:w="1789" w:type="dxa"/>
            <w:tcBorders>
              <w:top w:val="nil"/>
              <w:left w:val="nil"/>
              <w:bottom w:val="single" w:sz="4" w:space="0" w:color="auto"/>
              <w:right w:val="single" w:sz="4" w:space="0" w:color="auto"/>
            </w:tcBorders>
            <w:shd w:val="clear" w:color="000000" w:fill="FFFFFF"/>
            <w:vAlign w:val="center"/>
          </w:tcPr>
          <w:p w14:paraId="6AE40256" w14:textId="77777777" w:rsidR="00FC70C2" w:rsidRPr="00FC70C2" w:rsidRDefault="00FC70C2" w:rsidP="00FC70C2">
            <w:pPr>
              <w:widowControl w:val="0"/>
              <w:jc w:val="right"/>
              <w:rPr>
                <w:rFonts w:ascii="Arial Narrow" w:hAnsi="Arial Narrow" w:cs="Arial"/>
                <w:b/>
                <w:sz w:val="20"/>
                <w:szCs w:val="20"/>
                <w:lang w:val="bg-BG"/>
              </w:rPr>
            </w:pPr>
            <w:r w:rsidRPr="00FC70C2">
              <w:rPr>
                <w:rFonts w:ascii="Arial Narrow" w:hAnsi="Arial Narrow" w:cs="Arial"/>
                <w:b/>
                <w:sz w:val="20"/>
                <w:szCs w:val="20"/>
                <w:lang w:val="bg-BG"/>
              </w:rPr>
              <w:t>175,0</w:t>
            </w:r>
          </w:p>
        </w:tc>
        <w:tc>
          <w:tcPr>
            <w:tcW w:w="2114" w:type="dxa"/>
            <w:tcBorders>
              <w:top w:val="nil"/>
              <w:left w:val="nil"/>
              <w:bottom w:val="single" w:sz="4" w:space="0" w:color="auto"/>
              <w:right w:val="single" w:sz="4" w:space="0" w:color="auto"/>
            </w:tcBorders>
            <w:shd w:val="clear" w:color="000000" w:fill="FFFFFF"/>
            <w:vAlign w:val="center"/>
          </w:tcPr>
          <w:p w14:paraId="483A9DF8" w14:textId="77777777" w:rsidR="00FC70C2" w:rsidRPr="00FC70C2" w:rsidRDefault="00FC70C2" w:rsidP="00FC70C2">
            <w:pPr>
              <w:widowControl w:val="0"/>
              <w:jc w:val="right"/>
              <w:rPr>
                <w:rFonts w:ascii="Arial Narrow" w:hAnsi="Arial Narrow" w:cs="Arial"/>
                <w:b/>
                <w:sz w:val="20"/>
                <w:szCs w:val="20"/>
                <w:lang w:val="bg-BG"/>
              </w:rPr>
            </w:pPr>
            <w:r w:rsidRPr="00FC70C2">
              <w:rPr>
                <w:rFonts w:ascii="Arial Narrow" w:hAnsi="Arial Narrow" w:cs="Arial"/>
                <w:b/>
                <w:sz w:val="20"/>
                <w:szCs w:val="20"/>
                <w:lang w:val="bg-BG"/>
              </w:rPr>
              <w:t>-6,5%</w:t>
            </w:r>
          </w:p>
        </w:tc>
      </w:tr>
    </w:tbl>
    <w:p w14:paraId="0817FA5D" w14:textId="77777777" w:rsidR="00FC70C2" w:rsidRPr="00E656EE" w:rsidRDefault="00FC70C2" w:rsidP="00FC70C2">
      <w:pPr>
        <w:widowControl w:val="0"/>
        <w:spacing w:after="120"/>
        <w:rPr>
          <w:rFonts w:ascii="Arial Narrow" w:hAnsi="Arial Narrow" w:cs="Calibri"/>
          <w:bCs/>
          <w:i/>
          <w:iCs/>
          <w:sz w:val="18"/>
          <w:lang w:val="bg-BG" w:eastAsia="bg-BG" w:bidi="yi-Hebr"/>
        </w:rPr>
      </w:pPr>
      <w:r w:rsidRPr="00E656EE">
        <w:rPr>
          <w:rFonts w:ascii="Arial Narrow" w:hAnsi="Arial Narrow" w:cs="Calibri"/>
          <w:bCs/>
          <w:i/>
          <w:iCs/>
          <w:sz w:val="18"/>
          <w:lang w:val="bg-BG" w:eastAsia="bg-BG" w:bidi="yi-Hebr"/>
        </w:rPr>
        <w:t xml:space="preserve">Източник: </w:t>
      </w:r>
      <w:r w:rsidRPr="00E656EE">
        <w:rPr>
          <w:rFonts w:ascii="Arial Narrow" w:hAnsi="Arial Narrow" w:cs="Calibri"/>
          <w:i/>
          <w:iCs/>
          <w:sz w:val="18"/>
          <w:lang w:val="bg-BG" w:eastAsia="bg-BG" w:bidi="yi-Hebr"/>
        </w:rPr>
        <w:t>МЗХ, отдел "Агростатистика"</w:t>
      </w:r>
    </w:p>
    <w:p w14:paraId="1AEC6408" w14:textId="77777777" w:rsidR="00FC70C2" w:rsidRPr="00FC70C2" w:rsidRDefault="00FC70C2" w:rsidP="00FC70C2">
      <w:pPr>
        <w:widowControl w:val="0"/>
        <w:autoSpaceDE w:val="0"/>
        <w:autoSpaceDN w:val="0"/>
        <w:adjustRightInd w:val="0"/>
        <w:spacing w:after="120"/>
        <w:ind w:firstLine="709"/>
        <w:jc w:val="both"/>
        <w:rPr>
          <w:rFonts w:ascii="Arial Narrow" w:eastAsia="Calibri" w:hAnsi="Arial Narrow" w:cs="Arial"/>
          <w:lang w:val="bg-BG" w:eastAsia="bg-BG"/>
        </w:rPr>
      </w:pPr>
      <w:r w:rsidRPr="00FC70C2">
        <w:rPr>
          <w:rFonts w:ascii="Arial Narrow" w:eastAsia="Calibri" w:hAnsi="Arial Narrow" w:cs="Arial"/>
          <w:lang w:val="bg-BG" w:eastAsia="bg-BG"/>
        </w:rPr>
        <w:t>Към 1 ноември 2024 г. стопанствата, отглеждащи млечни крави, са 7 422 броя, с 19,6% по-малко спрямо година по-рано. Наблюдава се намаление на почти всички категории стопанства, най-значително при малките стопанства с 1 - 2 броя животни – с 31,8%, както и на отглежданите млечни крави в тях – с 29,3%. При останалите категории стопанства намалението е с между 2,7% и 13,8%, като животните, отглеждани в тях намаляват с между 1,4% и 12%. Единствено стопанствата с 3 – 9 животни се увеличават на годишна база - с 4,8%, а кравите в тях – с 2,6%. През 2024 г. 43,2% от всички млечни крави в страната се отглеждат в големи ферми със 100 и повече животни.</w:t>
      </w:r>
    </w:p>
    <w:p w14:paraId="79C63AC1" w14:textId="77777777" w:rsidR="00FC70C2" w:rsidRPr="00FC70C2" w:rsidRDefault="00FC70C2" w:rsidP="00FC70C2">
      <w:pPr>
        <w:widowControl w:val="0"/>
        <w:autoSpaceDE w:val="0"/>
        <w:autoSpaceDN w:val="0"/>
        <w:adjustRightInd w:val="0"/>
        <w:spacing w:after="120"/>
        <w:ind w:firstLine="709"/>
        <w:jc w:val="both"/>
        <w:rPr>
          <w:rFonts w:ascii="Arial Narrow" w:eastAsia="Calibri" w:hAnsi="Arial Narrow" w:cs="Arial"/>
          <w:lang w:val="bg-BG" w:eastAsia="bg-BG"/>
        </w:rPr>
      </w:pPr>
      <w:r w:rsidRPr="00FC70C2">
        <w:rPr>
          <w:rFonts w:ascii="Arial Narrow" w:eastAsia="Calibri" w:hAnsi="Arial Narrow" w:cs="Arial"/>
          <w:lang w:val="bg-BG" w:eastAsia="bg-BG"/>
        </w:rPr>
        <w:t>В резултат на редуцирания брой млечни крави, през 2024 г. производството на краве мляко се свива с 2,6% спрямо предходната година, до 687 584 хил. литра.</w:t>
      </w:r>
    </w:p>
    <w:p w14:paraId="44C8F2A0" w14:textId="77777777" w:rsidR="00FC70C2" w:rsidRDefault="00FC70C2" w:rsidP="00FC70C2">
      <w:pPr>
        <w:widowControl w:val="0"/>
        <w:autoSpaceDE w:val="0"/>
        <w:autoSpaceDN w:val="0"/>
        <w:adjustRightInd w:val="0"/>
        <w:spacing w:after="120"/>
        <w:ind w:firstLine="709"/>
        <w:jc w:val="both"/>
        <w:rPr>
          <w:rFonts w:ascii="Arial Narrow" w:eastAsia="Calibri" w:hAnsi="Arial Narrow" w:cs="Arial"/>
          <w:lang w:val="bg-BG" w:eastAsia="bg-BG"/>
        </w:rPr>
      </w:pPr>
      <w:r w:rsidRPr="00FC70C2">
        <w:rPr>
          <w:rFonts w:ascii="Arial Narrow" w:eastAsia="Calibri" w:hAnsi="Arial Narrow" w:cs="Arial"/>
          <w:lang w:val="bg-BG" w:eastAsia="bg-BG"/>
        </w:rPr>
        <w:t>Традиционно, най-голям дял в общия добив на краве мляко заема Южен централен район – 24,5%, следван от Югоизточен район с 19,7%. Най-малък е делът на произведеното краве мляко в Югозападен район – 7,7%.</w:t>
      </w:r>
    </w:p>
    <w:p w14:paraId="6C10CF58" w14:textId="77777777" w:rsidR="00FC70C2" w:rsidRPr="00C82890" w:rsidRDefault="00FC70C2" w:rsidP="00FC70C2">
      <w:pPr>
        <w:widowControl w:val="0"/>
        <w:autoSpaceDE w:val="0"/>
        <w:autoSpaceDN w:val="0"/>
        <w:adjustRightInd w:val="0"/>
        <w:spacing w:after="120"/>
        <w:ind w:firstLine="706"/>
        <w:jc w:val="both"/>
        <w:rPr>
          <w:rFonts w:ascii="Arial Narrow" w:eastAsia="Calibri" w:hAnsi="Arial Narrow" w:cs="Arial"/>
          <w:lang w:val="bg-BG" w:eastAsia="bg-BG"/>
        </w:rPr>
      </w:pPr>
      <w:r w:rsidRPr="00FC70C2">
        <w:rPr>
          <w:rFonts w:ascii="Arial Narrow" w:eastAsia="Calibri" w:hAnsi="Arial Narrow" w:cs="Arial"/>
          <w:lang w:val="bg-BG" w:eastAsia="bg-BG"/>
        </w:rPr>
        <w:t>Стопанствата, отглеждащи биволици към края на 2024 г., намаляват със 7,6% на годишна база, до 355, а броят на отглежданите в тях биволици - с 4,6%, до 14,6 хиляди. Сериозен спад е регистриран при малките с</w:t>
      </w:r>
      <w:r w:rsidR="00A27D4A">
        <w:rPr>
          <w:rFonts w:ascii="Arial Narrow" w:eastAsia="Calibri" w:hAnsi="Arial Narrow" w:cs="Arial"/>
          <w:lang w:val="bg-BG" w:eastAsia="bg-BG"/>
        </w:rPr>
        <w:t>топанства с 1 - 2 броя животни -</w:t>
      </w:r>
      <w:r w:rsidRPr="00FC70C2">
        <w:rPr>
          <w:rFonts w:ascii="Arial Narrow" w:eastAsia="Calibri" w:hAnsi="Arial Narrow" w:cs="Arial"/>
          <w:lang w:val="bg-BG" w:eastAsia="bg-BG"/>
        </w:rPr>
        <w:t xml:space="preserve"> с 21,9</w:t>
      </w:r>
      <w:r w:rsidR="00A27D4A">
        <w:rPr>
          <w:rFonts w:ascii="Arial Narrow" w:eastAsia="Calibri" w:hAnsi="Arial Narrow" w:cs="Arial"/>
          <w:lang w:val="bg-BG" w:eastAsia="bg-BG"/>
        </w:rPr>
        <w:t>%, както и на биволиците в тях -</w:t>
      </w:r>
      <w:r w:rsidRPr="00FC70C2">
        <w:rPr>
          <w:rFonts w:ascii="Arial Narrow" w:eastAsia="Calibri" w:hAnsi="Arial Narrow" w:cs="Arial"/>
          <w:lang w:val="bg-BG" w:eastAsia="bg-BG"/>
        </w:rPr>
        <w:t xml:space="preserve"> със 1</w:t>
      </w:r>
      <w:r w:rsidR="00A27D4A">
        <w:rPr>
          <w:rFonts w:ascii="Arial Narrow" w:eastAsia="Calibri" w:hAnsi="Arial Narrow" w:cs="Arial"/>
          <w:lang w:val="bg-BG" w:eastAsia="bg-BG"/>
        </w:rPr>
        <w:t>7,6%. Намаляват и фермите с 10 -</w:t>
      </w:r>
      <w:r w:rsidRPr="00FC70C2">
        <w:rPr>
          <w:rFonts w:ascii="Arial Narrow" w:eastAsia="Calibri" w:hAnsi="Arial Narrow" w:cs="Arial"/>
          <w:lang w:val="bg-BG" w:eastAsia="bg-BG"/>
        </w:rPr>
        <w:t xml:space="preserve"> 19 броя (с 13,1%) и с 20 - 99 броя животни (с 8,2%), където и отглежданите биволици са </w:t>
      </w:r>
      <w:r w:rsidRPr="00FC70C2">
        <w:rPr>
          <w:rFonts w:ascii="Arial Narrow" w:eastAsia="Calibri" w:hAnsi="Arial Narrow" w:cs="Arial"/>
          <w:lang w:val="bg-BG" w:eastAsia="bg-BG"/>
        </w:rPr>
        <w:lastRenderedPageBreak/>
        <w:t>респективно със 17,3% и 6,7% по-малко. При стопанствата, отглеждащи от 3 до 9 животни и големите ферми със 100 и повече животни е отчетено увеличение съответно с 8% и 3,1% спрямо година по-рано, като биволиците в тях са респективно с 10,3% и 0,8% повече. Около 90% от биволиците в страната се отглеждат в стопанствата с 20 и повече животни.</w:t>
      </w:r>
    </w:p>
    <w:p w14:paraId="5BEF6066" w14:textId="77777777" w:rsidR="00FC70C2" w:rsidRPr="00FC70C2" w:rsidRDefault="00FC70C2" w:rsidP="00FC70C2">
      <w:pPr>
        <w:widowControl w:val="0"/>
        <w:tabs>
          <w:tab w:val="left" w:pos="180"/>
        </w:tabs>
        <w:spacing w:after="120"/>
        <w:rPr>
          <w:rFonts w:ascii="Arial Narrow" w:eastAsia="Calibri" w:hAnsi="Arial Narrow" w:cs="Arial"/>
          <w:b/>
          <w:iCs/>
          <w:lang w:val="bg-BG"/>
        </w:rPr>
      </w:pPr>
      <w:r w:rsidRPr="00FC70C2">
        <w:rPr>
          <w:rFonts w:ascii="Arial Narrow" w:eastAsia="Calibri" w:hAnsi="Arial Narrow" w:cs="Arial"/>
          <w:b/>
          <w:iCs/>
          <w:lang w:val="bg-BG"/>
        </w:rPr>
        <w:t xml:space="preserve">Таблица ІІ.18. Разпределение на биволите по райони през 2023 и 2024 г. </w:t>
      </w:r>
    </w:p>
    <w:tbl>
      <w:tblPr>
        <w:tblW w:w="97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
        <w:gridCol w:w="2082"/>
        <w:gridCol w:w="1086"/>
        <w:gridCol w:w="811"/>
        <w:gridCol w:w="1087"/>
        <w:gridCol w:w="814"/>
        <w:gridCol w:w="1110"/>
        <w:gridCol w:w="829"/>
        <w:gridCol w:w="1110"/>
        <w:gridCol w:w="832"/>
      </w:tblGrid>
      <w:tr w:rsidR="00FC70C2" w:rsidRPr="00FC70C2" w14:paraId="2C847960" w14:textId="77777777" w:rsidTr="00E656EE">
        <w:trPr>
          <w:trHeight w:val="397"/>
          <w:tblHeader/>
          <w:jc w:val="center"/>
        </w:trPr>
        <w:tc>
          <w:tcPr>
            <w:tcW w:w="2106" w:type="dxa"/>
            <w:gridSpan w:val="2"/>
            <w:vMerge w:val="restart"/>
            <w:shd w:val="clear" w:color="auto" w:fill="auto"/>
            <w:noWrap/>
            <w:vAlign w:val="center"/>
            <w:hideMark/>
          </w:tcPr>
          <w:p w14:paraId="09520598" w14:textId="77777777" w:rsidR="00FC70C2" w:rsidRPr="00FC70C2" w:rsidRDefault="00FC70C2" w:rsidP="00FC70C2">
            <w:pPr>
              <w:widowControl w:val="0"/>
              <w:jc w:val="center"/>
              <w:rPr>
                <w:rFonts w:ascii="Arial Narrow" w:hAnsi="Arial Narrow" w:cs="Calibri"/>
                <w:b/>
                <w:bCs/>
                <w:sz w:val="20"/>
                <w:szCs w:val="20"/>
                <w:lang w:val="bg-BG"/>
              </w:rPr>
            </w:pPr>
            <w:r w:rsidRPr="00FC70C2">
              <w:rPr>
                <w:rFonts w:ascii="Arial Narrow" w:hAnsi="Arial Narrow" w:cs="Calibri"/>
                <w:b/>
                <w:bCs/>
                <w:sz w:val="20"/>
                <w:szCs w:val="20"/>
                <w:lang w:val="bg-BG"/>
              </w:rPr>
              <w:t>Райони</w:t>
            </w:r>
          </w:p>
        </w:tc>
        <w:tc>
          <w:tcPr>
            <w:tcW w:w="3798" w:type="dxa"/>
            <w:gridSpan w:val="4"/>
            <w:shd w:val="clear" w:color="auto" w:fill="auto"/>
            <w:noWrap/>
            <w:vAlign w:val="center"/>
            <w:hideMark/>
          </w:tcPr>
          <w:p w14:paraId="2AAD5836" w14:textId="77777777" w:rsidR="00FC70C2" w:rsidRPr="00FC70C2" w:rsidRDefault="00FC70C2" w:rsidP="00FC70C2">
            <w:pPr>
              <w:widowControl w:val="0"/>
              <w:jc w:val="center"/>
              <w:rPr>
                <w:rFonts w:ascii="Arial Narrow" w:hAnsi="Arial Narrow"/>
                <w:b/>
                <w:bCs/>
                <w:sz w:val="20"/>
                <w:szCs w:val="20"/>
                <w:lang w:val="bg-BG"/>
              </w:rPr>
            </w:pPr>
            <w:r w:rsidRPr="00FC70C2">
              <w:rPr>
                <w:rFonts w:ascii="Arial Narrow" w:hAnsi="Arial Narrow"/>
                <w:b/>
                <w:bCs/>
                <w:sz w:val="20"/>
                <w:szCs w:val="20"/>
                <w:lang w:val="bg-BG"/>
              </w:rPr>
              <w:t>01.11.2023 г.</w:t>
            </w:r>
          </w:p>
        </w:tc>
        <w:tc>
          <w:tcPr>
            <w:tcW w:w="3881" w:type="dxa"/>
            <w:gridSpan w:val="4"/>
            <w:shd w:val="clear" w:color="auto" w:fill="auto"/>
            <w:noWrap/>
            <w:vAlign w:val="center"/>
            <w:hideMark/>
          </w:tcPr>
          <w:p w14:paraId="571DC7BD" w14:textId="77777777" w:rsidR="00FC70C2" w:rsidRPr="00FC70C2" w:rsidRDefault="00FC70C2" w:rsidP="00FC70C2">
            <w:pPr>
              <w:widowControl w:val="0"/>
              <w:jc w:val="center"/>
              <w:rPr>
                <w:rFonts w:ascii="Arial Narrow" w:hAnsi="Arial Narrow"/>
                <w:b/>
                <w:bCs/>
                <w:sz w:val="20"/>
                <w:szCs w:val="20"/>
                <w:lang w:val="bg-BG"/>
              </w:rPr>
            </w:pPr>
            <w:r w:rsidRPr="00FC70C2">
              <w:rPr>
                <w:rFonts w:ascii="Arial Narrow" w:hAnsi="Arial Narrow"/>
                <w:b/>
                <w:bCs/>
                <w:sz w:val="20"/>
                <w:szCs w:val="20"/>
                <w:lang w:val="bg-BG"/>
              </w:rPr>
              <w:t>01.11.2024 г.</w:t>
            </w:r>
          </w:p>
        </w:tc>
      </w:tr>
      <w:tr w:rsidR="00FC70C2" w:rsidRPr="00FC70C2" w14:paraId="46FA2F04" w14:textId="77777777" w:rsidTr="00E656EE">
        <w:trPr>
          <w:trHeight w:val="397"/>
          <w:tblHeader/>
          <w:jc w:val="center"/>
        </w:trPr>
        <w:tc>
          <w:tcPr>
            <w:tcW w:w="2106" w:type="dxa"/>
            <w:gridSpan w:val="2"/>
            <w:vMerge/>
            <w:vAlign w:val="center"/>
            <w:hideMark/>
          </w:tcPr>
          <w:p w14:paraId="713117F0" w14:textId="77777777" w:rsidR="00FC70C2" w:rsidRPr="00FC70C2" w:rsidRDefault="00FC70C2" w:rsidP="00FC70C2">
            <w:pPr>
              <w:widowControl w:val="0"/>
              <w:rPr>
                <w:rFonts w:ascii="Arial Narrow" w:hAnsi="Arial Narrow" w:cs="Calibri"/>
                <w:b/>
                <w:bCs/>
                <w:sz w:val="20"/>
                <w:szCs w:val="20"/>
                <w:lang w:val="bg-BG"/>
              </w:rPr>
            </w:pPr>
          </w:p>
        </w:tc>
        <w:tc>
          <w:tcPr>
            <w:tcW w:w="1897" w:type="dxa"/>
            <w:gridSpan w:val="2"/>
            <w:shd w:val="clear" w:color="auto" w:fill="auto"/>
            <w:noWrap/>
            <w:vAlign w:val="center"/>
            <w:hideMark/>
          </w:tcPr>
          <w:p w14:paraId="037037A5" w14:textId="77777777" w:rsidR="00FC70C2" w:rsidRPr="00FC70C2" w:rsidRDefault="00FC70C2" w:rsidP="00FC70C2">
            <w:pPr>
              <w:widowControl w:val="0"/>
              <w:jc w:val="center"/>
              <w:rPr>
                <w:rFonts w:ascii="Arial Narrow" w:hAnsi="Arial Narrow" w:cs="Calibri"/>
                <w:b/>
                <w:bCs/>
                <w:sz w:val="20"/>
                <w:szCs w:val="20"/>
                <w:lang w:val="bg-BG"/>
              </w:rPr>
            </w:pPr>
            <w:r w:rsidRPr="00FC70C2">
              <w:rPr>
                <w:rFonts w:ascii="Arial Narrow" w:hAnsi="Arial Narrow" w:cs="Calibri"/>
                <w:b/>
                <w:bCs/>
                <w:sz w:val="20"/>
                <w:szCs w:val="20"/>
                <w:lang w:val="bg-BG"/>
              </w:rPr>
              <w:t>Биволи общо</w:t>
            </w:r>
          </w:p>
        </w:tc>
        <w:tc>
          <w:tcPr>
            <w:tcW w:w="1901" w:type="dxa"/>
            <w:gridSpan w:val="2"/>
            <w:shd w:val="clear" w:color="auto" w:fill="auto"/>
            <w:noWrap/>
            <w:vAlign w:val="center"/>
            <w:hideMark/>
          </w:tcPr>
          <w:p w14:paraId="03136653" w14:textId="77777777" w:rsidR="00FC70C2" w:rsidRPr="00FC70C2" w:rsidRDefault="00FC70C2" w:rsidP="00FC70C2">
            <w:pPr>
              <w:widowControl w:val="0"/>
              <w:jc w:val="center"/>
              <w:rPr>
                <w:rFonts w:ascii="Arial Narrow" w:hAnsi="Arial Narrow" w:cs="Calibri"/>
                <w:b/>
                <w:bCs/>
                <w:sz w:val="20"/>
                <w:szCs w:val="20"/>
                <w:lang w:val="bg-BG"/>
              </w:rPr>
            </w:pPr>
            <w:r w:rsidRPr="00FC70C2">
              <w:rPr>
                <w:rFonts w:ascii="Arial Narrow" w:hAnsi="Arial Narrow" w:cs="Calibri"/>
                <w:b/>
                <w:bCs/>
                <w:sz w:val="20"/>
                <w:szCs w:val="20"/>
                <w:lang w:val="bg-BG"/>
              </w:rPr>
              <w:t>Биволици</w:t>
            </w:r>
          </w:p>
        </w:tc>
        <w:tc>
          <w:tcPr>
            <w:tcW w:w="1939" w:type="dxa"/>
            <w:gridSpan w:val="2"/>
            <w:shd w:val="clear" w:color="auto" w:fill="auto"/>
            <w:noWrap/>
            <w:vAlign w:val="center"/>
            <w:hideMark/>
          </w:tcPr>
          <w:p w14:paraId="1A49262B" w14:textId="77777777" w:rsidR="00FC70C2" w:rsidRPr="00FC70C2" w:rsidRDefault="00FC70C2" w:rsidP="00FC70C2">
            <w:pPr>
              <w:widowControl w:val="0"/>
              <w:jc w:val="center"/>
              <w:rPr>
                <w:rFonts w:ascii="Arial Narrow" w:hAnsi="Arial Narrow" w:cs="Calibri"/>
                <w:b/>
                <w:bCs/>
                <w:sz w:val="20"/>
                <w:szCs w:val="20"/>
                <w:lang w:val="bg-BG"/>
              </w:rPr>
            </w:pPr>
            <w:r w:rsidRPr="00FC70C2">
              <w:rPr>
                <w:rFonts w:ascii="Arial Narrow" w:hAnsi="Arial Narrow" w:cs="Calibri"/>
                <w:b/>
                <w:bCs/>
                <w:sz w:val="20"/>
                <w:szCs w:val="20"/>
                <w:lang w:val="bg-BG"/>
              </w:rPr>
              <w:t>Биволи общо</w:t>
            </w:r>
          </w:p>
        </w:tc>
        <w:tc>
          <w:tcPr>
            <w:tcW w:w="1942" w:type="dxa"/>
            <w:gridSpan w:val="2"/>
            <w:shd w:val="clear" w:color="auto" w:fill="auto"/>
            <w:noWrap/>
            <w:vAlign w:val="center"/>
            <w:hideMark/>
          </w:tcPr>
          <w:p w14:paraId="0349F2F4" w14:textId="77777777" w:rsidR="00FC70C2" w:rsidRPr="00FC70C2" w:rsidRDefault="00FC70C2" w:rsidP="00FC70C2">
            <w:pPr>
              <w:widowControl w:val="0"/>
              <w:jc w:val="center"/>
              <w:rPr>
                <w:rFonts w:ascii="Arial Narrow" w:hAnsi="Arial Narrow" w:cs="Calibri"/>
                <w:b/>
                <w:bCs/>
                <w:sz w:val="20"/>
                <w:szCs w:val="20"/>
                <w:lang w:val="bg-BG"/>
              </w:rPr>
            </w:pPr>
            <w:r w:rsidRPr="00FC70C2">
              <w:rPr>
                <w:rFonts w:ascii="Arial Narrow" w:hAnsi="Arial Narrow" w:cs="Calibri"/>
                <w:b/>
                <w:bCs/>
                <w:sz w:val="20"/>
                <w:szCs w:val="20"/>
                <w:lang w:val="bg-BG"/>
              </w:rPr>
              <w:t>Биволици</w:t>
            </w:r>
          </w:p>
        </w:tc>
      </w:tr>
      <w:tr w:rsidR="00FC70C2" w:rsidRPr="00FC70C2" w14:paraId="5CFCDE0A" w14:textId="77777777" w:rsidTr="00E656EE">
        <w:trPr>
          <w:trHeight w:val="397"/>
          <w:tblHeader/>
          <w:jc w:val="center"/>
        </w:trPr>
        <w:tc>
          <w:tcPr>
            <w:tcW w:w="2106" w:type="dxa"/>
            <w:gridSpan w:val="2"/>
            <w:vMerge/>
            <w:vAlign w:val="center"/>
            <w:hideMark/>
          </w:tcPr>
          <w:p w14:paraId="06EA8506" w14:textId="77777777" w:rsidR="00FC70C2" w:rsidRPr="00FC70C2" w:rsidRDefault="00FC70C2" w:rsidP="00FC70C2">
            <w:pPr>
              <w:widowControl w:val="0"/>
              <w:rPr>
                <w:rFonts w:ascii="Arial Narrow" w:hAnsi="Arial Narrow" w:cs="Calibri"/>
                <w:b/>
                <w:bCs/>
                <w:sz w:val="20"/>
                <w:szCs w:val="20"/>
                <w:lang w:val="bg-BG"/>
              </w:rPr>
            </w:pPr>
          </w:p>
        </w:tc>
        <w:tc>
          <w:tcPr>
            <w:tcW w:w="1086" w:type="dxa"/>
            <w:shd w:val="clear" w:color="auto" w:fill="auto"/>
            <w:noWrap/>
            <w:vAlign w:val="center"/>
            <w:hideMark/>
          </w:tcPr>
          <w:p w14:paraId="6DFDF61E" w14:textId="77777777" w:rsidR="00FC70C2" w:rsidRPr="00FC70C2" w:rsidRDefault="00FC70C2" w:rsidP="00FC70C2">
            <w:pPr>
              <w:widowControl w:val="0"/>
              <w:jc w:val="center"/>
              <w:rPr>
                <w:rFonts w:ascii="Arial Narrow" w:hAnsi="Arial Narrow" w:cs="Calibri"/>
                <w:b/>
                <w:bCs/>
                <w:sz w:val="20"/>
                <w:szCs w:val="20"/>
                <w:lang w:val="bg-BG"/>
              </w:rPr>
            </w:pPr>
            <w:r w:rsidRPr="00FC70C2">
              <w:rPr>
                <w:rFonts w:ascii="Arial Narrow" w:hAnsi="Arial Narrow" w:cs="Calibri"/>
                <w:b/>
                <w:bCs/>
                <w:sz w:val="20"/>
                <w:szCs w:val="20"/>
                <w:lang w:val="bg-BG"/>
              </w:rPr>
              <w:t>хил. броя</w:t>
            </w:r>
          </w:p>
        </w:tc>
        <w:tc>
          <w:tcPr>
            <w:tcW w:w="811" w:type="dxa"/>
            <w:shd w:val="clear" w:color="auto" w:fill="auto"/>
            <w:noWrap/>
            <w:vAlign w:val="center"/>
            <w:hideMark/>
          </w:tcPr>
          <w:p w14:paraId="42D7CCEB" w14:textId="77777777" w:rsidR="00FC70C2" w:rsidRPr="00FC70C2" w:rsidRDefault="00FC70C2" w:rsidP="00FC70C2">
            <w:pPr>
              <w:widowControl w:val="0"/>
              <w:jc w:val="center"/>
              <w:rPr>
                <w:rFonts w:ascii="Arial Narrow" w:hAnsi="Arial Narrow" w:cs="Calibri"/>
                <w:b/>
                <w:bCs/>
                <w:sz w:val="20"/>
                <w:szCs w:val="20"/>
                <w:lang w:val="bg-BG"/>
              </w:rPr>
            </w:pPr>
            <w:r w:rsidRPr="00FC70C2">
              <w:rPr>
                <w:rFonts w:ascii="Arial Narrow" w:hAnsi="Arial Narrow" w:cs="Calibri"/>
                <w:b/>
                <w:bCs/>
                <w:sz w:val="20"/>
                <w:szCs w:val="20"/>
                <w:lang w:val="bg-BG"/>
              </w:rPr>
              <w:t>дял</w:t>
            </w:r>
          </w:p>
        </w:tc>
        <w:tc>
          <w:tcPr>
            <w:tcW w:w="1087" w:type="dxa"/>
            <w:shd w:val="clear" w:color="auto" w:fill="auto"/>
            <w:noWrap/>
            <w:vAlign w:val="center"/>
            <w:hideMark/>
          </w:tcPr>
          <w:p w14:paraId="6BDD1C20" w14:textId="77777777" w:rsidR="00FC70C2" w:rsidRPr="00FC70C2" w:rsidRDefault="00FC70C2" w:rsidP="00FC70C2">
            <w:pPr>
              <w:widowControl w:val="0"/>
              <w:jc w:val="center"/>
              <w:rPr>
                <w:rFonts w:ascii="Arial Narrow" w:hAnsi="Arial Narrow" w:cs="Calibri"/>
                <w:b/>
                <w:bCs/>
                <w:sz w:val="20"/>
                <w:szCs w:val="20"/>
                <w:lang w:val="bg-BG"/>
              </w:rPr>
            </w:pPr>
            <w:r w:rsidRPr="00FC70C2">
              <w:rPr>
                <w:rFonts w:ascii="Arial Narrow" w:hAnsi="Arial Narrow" w:cs="Calibri"/>
                <w:b/>
                <w:bCs/>
                <w:sz w:val="20"/>
                <w:szCs w:val="20"/>
                <w:lang w:val="bg-BG"/>
              </w:rPr>
              <w:t>хил. броя</w:t>
            </w:r>
          </w:p>
        </w:tc>
        <w:tc>
          <w:tcPr>
            <w:tcW w:w="814" w:type="dxa"/>
            <w:shd w:val="clear" w:color="auto" w:fill="auto"/>
            <w:noWrap/>
            <w:vAlign w:val="center"/>
            <w:hideMark/>
          </w:tcPr>
          <w:p w14:paraId="1C8CDFC7" w14:textId="77777777" w:rsidR="00FC70C2" w:rsidRPr="00FC70C2" w:rsidRDefault="00FC70C2" w:rsidP="00FC70C2">
            <w:pPr>
              <w:widowControl w:val="0"/>
              <w:jc w:val="center"/>
              <w:rPr>
                <w:rFonts w:ascii="Arial Narrow" w:hAnsi="Arial Narrow" w:cs="Calibri"/>
                <w:b/>
                <w:bCs/>
                <w:sz w:val="20"/>
                <w:szCs w:val="20"/>
                <w:lang w:val="bg-BG"/>
              </w:rPr>
            </w:pPr>
            <w:r w:rsidRPr="00FC70C2">
              <w:rPr>
                <w:rFonts w:ascii="Arial Narrow" w:hAnsi="Arial Narrow" w:cs="Calibri"/>
                <w:b/>
                <w:bCs/>
                <w:sz w:val="20"/>
                <w:szCs w:val="20"/>
                <w:lang w:val="bg-BG"/>
              </w:rPr>
              <w:t>дял</w:t>
            </w:r>
          </w:p>
        </w:tc>
        <w:tc>
          <w:tcPr>
            <w:tcW w:w="1110" w:type="dxa"/>
            <w:shd w:val="clear" w:color="auto" w:fill="auto"/>
            <w:noWrap/>
            <w:vAlign w:val="center"/>
            <w:hideMark/>
          </w:tcPr>
          <w:p w14:paraId="63719B59" w14:textId="77777777" w:rsidR="00FC70C2" w:rsidRPr="00FC70C2" w:rsidRDefault="00FC70C2" w:rsidP="00FC70C2">
            <w:pPr>
              <w:widowControl w:val="0"/>
              <w:jc w:val="center"/>
              <w:rPr>
                <w:rFonts w:ascii="Arial Narrow" w:hAnsi="Arial Narrow" w:cs="Calibri"/>
                <w:b/>
                <w:bCs/>
                <w:sz w:val="20"/>
                <w:szCs w:val="20"/>
                <w:lang w:val="bg-BG"/>
              </w:rPr>
            </w:pPr>
            <w:r w:rsidRPr="00FC70C2">
              <w:rPr>
                <w:rFonts w:ascii="Arial Narrow" w:hAnsi="Arial Narrow" w:cs="Calibri"/>
                <w:b/>
                <w:bCs/>
                <w:sz w:val="20"/>
                <w:szCs w:val="20"/>
                <w:lang w:val="bg-BG"/>
              </w:rPr>
              <w:t>хил. броя</w:t>
            </w:r>
          </w:p>
        </w:tc>
        <w:tc>
          <w:tcPr>
            <w:tcW w:w="829" w:type="dxa"/>
            <w:shd w:val="clear" w:color="auto" w:fill="auto"/>
            <w:noWrap/>
            <w:vAlign w:val="center"/>
            <w:hideMark/>
          </w:tcPr>
          <w:p w14:paraId="18619F2B" w14:textId="77777777" w:rsidR="00FC70C2" w:rsidRPr="00FC70C2" w:rsidRDefault="00FC70C2" w:rsidP="00FC70C2">
            <w:pPr>
              <w:widowControl w:val="0"/>
              <w:jc w:val="center"/>
              <w:rPr>
                <w:rFonts w:ascii="Arial Narrow" w:hAnsi="Arial Narrow" w:cs="Calibri"/>
                <w:b/>
                <w:bCs/>
                <w:sz w:val="20"/>
                <w:szCs w:val="20"/>
                <w:lang w:val="bg-BG"/>
              </w:rPr>
            </w:pPr>
            <w:r w:rsidRPr="00FC70C2">
              <w:rPr>
                <w:rFonts w:ascii="Arial Narrow" w:hAnsi="Arial Narrow" w:cs="Calibri"/>
                <w:b/>
                <w:bCs/>
                <w:sz w:val="20"/>
                <w:szCs w:val="20"/>
                <w:lang w:val="bg-BG"/>
              </w:rPr>
              <w:t>дял</w:t>
            </w:r>
          </w:p>
        </w:tc>
        <w:tc>
          <w:tcPr>
            <w:tcW w:w="1110" w:type="dxa"/>
            <w:shd w:val="clear" w:color="auto" w:fill="auto"/>
            <w:noWrap/>
            <w:vAlign w:val="center"/>
            <w:hideMark/>
          </w:tcPr>
          <w:p w14:paraId="7423F56E" w14:textId="77777777" w:rsidR="00FC70C2" w:rsidRPr="00FC70C2" w:rsidRDefault="00FC70C2" w:rsidP="00FC70C2">
            <w:pPr>
              <w:widowControl w:val="0"/>
              <w:jc w:val="center"/>
              <w:rPr>
                <w:rFonts w:ascii="Arial Narrow" w:hAnsi="Arial Narrow" w:cs="Calibri"/>
                <w:b/>
                <w:bCs/>
                <w:sz w:val="20"/>
                <w:szCs w:val="20"/>
                <w:lang w:val="bg-BG"/>
              </w:rPr>
            </w:pPr>
            <w:r w:rsidRPr="00FC70C2">
              <w:rPr>
                <w:rFonts w:ascii="Arial Narrow" w:hAnsi="Arial Narrow" w:cs="Calibri"/>
                <w:b/>
                <w:bCs/>
                <w:sz w:val="20"/>
                <w:szCs w:val="20"/>
                <w:lang w:val="bg-BG"/>
              </w:rPr>
              <w:t>хил. броя</w:t>
            </w:r>
          </w:p>
        </w:tc>
        <w:tc>
          <w:tcPr>
            <w:tcW w:w="832" w:type="dxa"/>
            <w:shd w:val="clear" w:color="auto" w:fill="auto"/>
            <w:noWrap/>
            <w:vAlign w:val="center"/>
            <w:hideMark/>
          </w:tcPr>
          <w:p w14:paraId="228B81BC" w14:textId="77777777" w:rsidR="00FC70C2" w:rsidRPr="00FC70C2" w:rsidRDefault="00FC70C2" w:rsidP="00FC70C2">
            <w:pPr>
              <w:widowControl w:val="0"/>
              <w:jc w:val="center"/>
              <w:rPr>
                <w:rFonts w:ascii="Arial Narrow" w:hAnsi="Arial Narrow" w:cs="Calibri"/>
                <w:b/>
                <w:bCs/>
                <w:sz w:val="20"/>
                <w:szCs w:val="20"/>
                <w:lang w:val="bg-BG"/>
              </w:rPr>
            </w:pPr>
            <w:r w:rsidRPr="00FC70C2">
              <w:rPr>
                <w:rFonts w:ascii="Arial Narrow" w:hAnsi="Arial Narrow" w:cs="Calibri"/>
                <w:b/>
                <w:bCs/>
                <w:sz w:val="20"/>
                <w:szCs w:val="20"/>
                <w:lang w:val="bg-BG"/>
              </w:rPr>
              <w:t>дял</w:t>
            </w:r>
          </w:p>
        </w:tc>
      </w:tr>
      <w:tr w:rsidR="00FC70C2" w:rsidRPr="00FC70C2" w14:paraId="3D711F97" w14:textId="77777777" w:rsidTr="00E656EE">
        <w:trPr>
          <w:gridBefore w:val="1"/>
          <w:wBefore w:w="24" w:type="dxa"/>
          <w:cantSplit/>
          <w:trHeight w:val="340"/>
          <w:tblHeader/>
          <w:jc w:val="center"/>
        </w:trPr>
        <w:tc>
          <w:tcPr>
            <w:tcW w:w="2082" w:type="dxa"/>
            <w:shd w:val="clear" w:color="auto" w:fill="auto"/>
            <w:noWrap/>
            <w:vAlign w:val="center"/>
          </w:tcPr>
          <w:p w14:paraId="6BDF102E" w14:textId="77777777" w:rsidR="00FC70C2" w:rsidRPr="00FC70C2" w:rsidRDefault="00FC70C2" w:rsidP="00FC70C2">
            <w:pPr>
              <w:widowControl w:val="0"/>
              <w:rPr>
                <w:rFonts w:ascii="Arial Narrow" w:hAnsi="Arial Narrow" w:cs="Calibri"/>
                <w:sz w:val="20"/>
                <w:szCs w:val="20"/>
                <w:lang w:val="bg-BG"/>
              </w:rPr>
            </w:pPr>
            <w:r w:rsidRPr="00FC70C2">
              <w:rPr>
                <w:rFonts w:ascii="Arial Narrow" w:hAnsi="Arial Narrow" w:cs="Calibri"/>
                <w:sz w:val="20"/>
                <w:szCs w:val="20"/>
                <w:lang w:val="bg-BG"/>
              </w:rPr>
              <w:t>Северозападен</w:t>
            </w:r>
          </w:p>
        </w:tc>
        <w:tc>
          <w:tcPr>
            <w:tcW w:w="108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7C99CA" w14:textId="77777777" w:rsidR="00FC70C2" w:rsidRPr="00FC70C2" w:rsidRDefault="00FC70C2" w:rsidP="00FC70C2">
            <w:pPr>
              <w:widowControl w:val="0"/>
              <w:jc w:val="right"/>
              <w:rPr>
                <w:rFonts w:ascii="Arial Narrow" w:hAnsi="Arial Narrow" w:cs="Calibri"/>
                <w:sz w:val="20"/>
                <w:szCs w:val="20"/>
              </w:rPr>
            </w:pPr>
            <w:r w:rsidRPr="00FC70C2">
              <w:rPr>
                <w:rFonts w:ascii="Arial Narrow" w:hAnsi="Arial Narrow" w:cs="Calibri"/>
                <w:sz w:val="20"/>
                <w:szCs w:val="20"/>
              </w:rPr>
              <w:t>6,7</w:t>
            </w:r>
          </w:p>
        </w:tc>
        <w:tc>
          <w:tcPr>
            <w:tcW w:w="811" w:type="dxa"/>
            <w:tcBorders>
              <w:top w:val="single" w:sz="4" w:space="0" w:color="auto"/>
              <w:left w:val="nil"/>
              <w:bottom w:val="single" w:sz="4" w:space="0" w:color="auto"/>
              <w:right w:val="single" w:sz="4" w:space="0" w:color="auto"/>
            </w:tcBorders>
            <w:shd w:val="clear" w:color="auto" w:fill="auto"/>
            <w:noWrap/>
            <w:vAlign w:val="center"/>
          </w:tcPr>
          <w:p w14:paraId="3224B592" w14:textId="77777777" w:rsidR="00FC70C2" w:rsidRPr="00FC70C2" w:rsidRDefault="00FC70C2" w:rsidP="00FC70C2">
            <w:pPr>
              <w:widowControl w:val="0"/>
              <w:jc w:val="right"/>
              <w:rPr>
                <w:rFonts w:ascii="Arial Narrow" w:hAnsi="Arial Narrow" w:cs="Calibri"/>
                <w:sz w:val="20"/>
                <w:szCs w:val="20"/>
              </w:rPr>
            </w:pPr>
            <w:r w:rsidRPr="00FC70C2">
              <w:rPr>
                <w:rFonts w:ascii="Arial Narrow" w:hAnsi="Arial Narrow" w:cs="Calibri"/>
                <w:sz w:val="20"/>
                <w:szCs w:val="20"/>
              </w:rPr>
              <w:t>31,9%</w:t>
            </w:r>
          </w:p>
        </w:tc>
        <w:tc>
          <w:tcPr>
            <w:tcW w:w="1087" w:type="dxa"/>
            <w:tcBorders>
              <w:top w:val="single" w:sz="4" w:space="0" w:color="auto"/>
              <w:left w:val="nil"/>
              <w:bottom w:val="single" w:sz="4" w:space="0" w:color="auto"/>
              <w:right w:val="single" w:sz="4" w:space="0" w:color="auto"/>
            </w:tcBorders>
            <w:shd w:val="clear" w:color="auto" w:fill="auto"/>
            <w:noWrap/>
            <w:vAlign w:val="center"/>
          </w:tcPr>
          <w:p w14:paraId="45567E0D" w14:textId="77777777" w:rsidR="00FC70C2" w:rsidRPr="00FC70C2" w:rsidRDefault="00FC70C2" w:rsidP="00FC70C2">
            <w:pPr>
              <w:widowControl w:val="0"/>
              <w:jc w:val="right"/>
              <w:rPr>
                <w:rFonts w:ascii="Arial Narrow" w:hAnsi="Arial Narrow" w:cs="Calibri"/>
                <w:sz w:val="20"/>
                <w:szCs w:val="20"/>
              </w:rPr>
            </w:pPr>
            <w:r w:rsidRPr="00FC70C2">
              <w:rPr>
                <w:rFonts w:ascii="Arial Narrow" w:hAnsi="Arial Narrow" w:cs="Calibri"/>
                <w:sz w:val="20"/>
                <w:szCs w:val="20"/>
              </w:rPr>
              <w:t>4,9</w:t>
            </w:r>
          </w:p>
        </w:tc>
        <w:tc>
          <w:tcPr>
            <w:tcW w:w="814" w:type="dxa"/>
            <w:tcBorders>
              <w:top w:val="single" w:sz="4" w:space="0" w:color="auto"/>
              <w:left w:val="nil"/>
              <w:bottom w:val="single" w:sz="4" w:space="0" w:color="auto"/>
              <w:right w:val="single" w:sz="4" w:space="0" w:color="auto"/>
            </w:tcBorders>
            <w:shd w:val="clear" w:color="auto" w:fill="auto"/>
            <w:noWrap/>
            <w:vAlign w:val="center"/>
          </w:tcPr>
          <w:p w14:paraId="222E94A9" w14:textId="77777777" w:rsidR="00FC70C2" w:rsidRPr="00FC70C2" w:rsidRDefault="00FC70C2" w:rsidP="00FC70C2">
            <w:pPr>
              <w:widowControl w:val="0"/>
              <w:jc w:val="right"/>
              <w:rPr>
                <w:rFonts w:ascii="Arial Narrow" w:hAnsi="Arial Narrow" w:cs="Calibri"/>
                <w:sz w:val="20"/>
                <w:szCs w:val="20"/>
              </w:rPr>
            </w:pPr>
            <w:r w:rsidRPr="00FC70C2">
              <w:rPr>
                <w:rFonts w:ascii="Arial Narrow" w:hAnsi="Arial Narrow" w:cs="Calibri"/>
                <w:sz w:val="20"/>
                <w:szCs w:val="20"/>
              </w:rPr>
              <w:t>32,3%</w:t>
            </w:r>
          </w:p>
        </w:tc>
        <w:tc>
          <w:tcPr>
            <w:tcW w:w="1110" w:type="dxa"/>
            <w:tcBorders>
              <w:top w:val="single" w:sz="6" w:space="0" w:color="auto"/>
              <w:left w:val="single" w:sz="6" w:space="0" w:color="auto"/>
              <w:bottom w:val="single" w:sz="6" w:space="0" w:color="auto"/>
              <w:right w:val="single" w:sz="6" w:space="0" w:color="auto"/>
            </w:tcBorders>
            <w:noWrap/>
            <w:vAlign w:val="center"/>
          </w:tcPr>
          <w:p w14:paraId="7009EC5C" w14:textId="77777777" w:rsidR="00FC70C2" w:rsidRPr="00FC70C2" w:rsidRDefault="00FC70C2" w:rsidP="00FC70C2">
            <w:pPr>
              <w:widowControl w:val="0"/>
              <w:jc w:val="right"/>
              <w:rPr>
                <w:rFonts w:ascii="Arial Narrow" w:hAnsi="Arial Narrow" w:cs="Calibri"/>
                <w:sz w:val="20"/>
                <w:szCs w:val="20"/>
              </w:rPr>
            </w:pPr>
            <w:r w:rsidRPr="00FC70C2">
              <w:rPr>
                <w:rFonts w:ascii="Arial Narrow" w:hAnsi="Arial Narrow" w:cs="Calibri"/>
                <w:sz w:val="20"/>
                <w:szCs w:val="20"/>
              </w:rPr>
              <w:t>6,2</w:t>
            </w:r>
          </w:p>
        </w:tc>
        <w:tc>
          <w:tcPr>
            <w:tcW w:w="829" w:type="dxa"/>
            <w:tcBorders>
              <w:top w:val="single" w:sz="6" w:space="0" w:color="auto"/>
              <w:left w:val="single" w:sz="6" w:space="0" w:color="auto"/>
              <w:bottom w:val="single" w:sz="6" w:space="0" w:color="auto"/>
              <w:right w:val="single" w:sz="6" w:space="0" w:color="auto"/>
            </w:tcBorders>
            <w:noWrap/>
            <w:vAlign w:val="center"/>
          </w:tcPr>
          <w:p w14:paraId="47BD84E0" w14:textId="77777777" w:rsidR="00FC70C2" w:rsidRPr="00FC70C2" w:rsidRDefault="00FC70C2" w:rsidP="00FC70C2">
            <w:pPr>
              <w:widowControl w:val="0"/>
              <w:jc w:val="right"/>
              <w:rPr>
                <w:rFonts w:ascii="Arial Narrow" w:hAnsi="Arial Narrow" w:cs="Calibri"/>
                <w:sz w:val="20"/>
                <w:szCs w:val="20"/>
              </w:rPr>
            </w:pPr>
            <w:r w:rsidRPr="00FC70C2">
              <w:rPr>
                <w:rFonts w:ascii="Arial Narrow" w:hAnsi="Arial Narrow" w:cs="Calibri"/>
                <w:sz w:val="20"/>
                <w:szCs w:val="20"/>
              </w:rPr>
              <w:t>31,1%</w:t>
            </w:r>
          </w:p>
        </w:tc>
        <w:tc>
          <w:tcPr>
            <w:tcW w:w="1110" w:type="dxa"/>
            <w:tcBorders>
              <w:top w:val="single" w:sz="6" w:space="0" w:color="auto"/>
              <w:left w:val="single" w:sz="6" w:space="0" w:color="auto"/>
              <w:bottom w:val="single" w:sz="6" w:space="0" w:color="auto"/>
              <w:right w:val="single" w:sz="6" w:space="0" w:color="auto"/>
            </w:tcBorders>
            <w:noWrap/>
            <w:vAlign w:val="center"/>
          </w:tcPr>
          <w:p w14:paraId="4C9F5E2A" w14:textId="77777777" w:rsidR="00FC70C2" w:rsidRPr="00FC70C2" w:rsidRDefault="00FC70C2" w:rsidP="00FC70C2">
            <w:pPr>
              <w:widowControl w:val="0"/>
              <w:jc w:val="right"/>
              <w:rPr>
                <w:rFonts w:ascii="Arial Narrow" w:hAnsi="Arial Narrow" w:cs="Calibri"/>
                <w:sz w:val="20"/>
                <w:szCs w:val="20"/>
              </w:rPr>
            </w:pPr>
            <w:r w:rsidRPr="00FC70C2">
              <w:rPr>
                <w:rFonts w:ascii="Arial Narrow" w:hAnsi="Arial Narrow" w:cs="Calibri"/>
                <w:sz w:val="20"/>
                <w:szCs w:val="20"/>
              </w:rPr>
              <w:t>4,6</w:t>
            </w:r>
          </w:p>
        </w:tc>
        <w:tc>
          <w:tcPr>
            <w:tcW w:w="832" w:type="dxa"/>
            <w:tcBorders>
              <w:top w:val="single" w:sz="6" w:space="0" w:color="auto"/>
              <w:left w:val="single" w:sz="6" w:space="0" w:color="auto"/>
              <w:bottom w:val="single" w:sz="6" w:space="0" w:color="auto"/>
              <w:right w:val="single" w:sz="6" w:space="0" w:color="auto"/>
            </w:tcBorders>
            <w:noWrap/>
            <w:vAlign w:val="center"/>
          </w:tcPr>
          <w:p w14:paraId="18EC5477" w14:textId="77777777" w:rsidR="00FC70C2" w:rsidRPr="00FC70C2" w:rsidRDefault="00FC70C2" w:rsidP="00FC70C2">
            <w:pPr>
              <w:widowControl w:val="0"/>
              <w:jc w:val="right"/>
              <w:rPr>
                <w:rFonts w:ascii="Arial Narrow" w:hAnsi="Arial Narrow" w:cs="Calibri"/>
                <w:sz w:val="20"/>
                <w:szCs w:val="20"/>
              </w:rPr>
            </w:pPr>
            <w:r w:rsidRPr="00FC70C2">
              <w:rPr>
                <w:rFonts w:ascii="Arial Narrow" w:hAnsi="Arial Narrow" w:cs="Calibri"/>
                <w:sz w:val="20"/>
                <w:szCs w:val="20"/>
              </w:rPr>
              <w:t>31,7%</w:t>
            </w:r>
          </w:p>
        </w:tc>
      </w:tr>
      <w:tr w:rsidR="00FC70C2" w:rsidRPr="00FC70C2" w14:paraId="641504A0" w14:textId="77777777" w:rsidTr="00E656EE">
        <w:trPr>
          <w:gridBefore w:val="1"/>
          <w:wBefore w:w="24" w:type="dxa"/>
          <w:cantSplit/>
          <w:trHeight w:val="340"/>
          <w:tblHeader/>
          <w:jc w:val="center"/>
        </w:trPr>
        <w:tc>
          <w:tcPr>
            <w:tcW w:w="2082" w:type="dxa"/>
            <w:shd w:val="clear" w:color="auto" w:fill="auto"/>
            <w:noWrap/>
            <w:vAlign w:val="center"/>
          </w:tcPr>
          <w:p w14:paraId="37D5ACD6" w14:textId="77777777" w:rsidR="00FC70C2" w:rsidRPr="00FC70C2" w:rsidRDefault="00FC70C2" w:rsidP="00FC70C2">
            <w:pPr>
              <w:widowControl w:val="0"/>
              <w:rPr>
                <w:rFonts w:ascii="Arial Narrow" w:hAnsi="Arial Narrow" w:cs="Calibri"/>
                <w:sz w:val="20"/>
                <w:szCs w:val="20"/>
                <w:lang w:val="bg-BG"/>
              </w:rPr>
            </w:pPr>
            <w:r w:rsidRPr="00FC70C2">
              <w:rPr>
                <w:rFonts w:ascii="Arial Narrow" w:hAnsi="Arial Narrow" w:cs="Calibri"/>
                <w:sz w:val="20"/>
                <w:szCs w:val="20"/>
                <w:lang w:val="bg-BG"/>
              </w:rPr>
              <w:t>Северен централен</w:t>
            </w:r>
          </w:p>
        </w:tc>
        <w:tc>
          <w:tcPr>
            <w:tcW w:w="1086" w:type="dxa"/>
            <w:tcBorders>
              <w:top w:val="nil"/>
              <w:left w:val="single" w:sz="4" w:space="0" w:color="auto"/>
              <w:bottom w:val="single" w:sz="4" w:space="0" w:color="auto"/>
              <w:right w:val="single" w:sz="4" w:space="0" w:color="auto"/>
            </w:tcBorders>
            <w:shd w:val="clear" w:color="auto" w:fill="auto"/>
            <w:noWrap/>
            <w:vAlign w:val="center"/>
          </w:tcPr>
          <w:p w14:paraId="1B546470" w14:textId="77777777" w:rsidR="00FC70C2" w:rsidRPr="00FC70C2" w:rsidRDefault="00FC70C2" w:rsidP="00FC70C2">
            <w:pPr>
              <w:widowControl w:val="0"/>
              <w:jc w:val="right"/>
              <w:rPr>
                <w:rFonts w:ascii="Arial Narrow" w:hAnsi="Arial Narrow" w:cs="Calibri"/>
                <w:sz w:val="20"/>
                <w:szCs w:val="20"/>
              </w:rPr>
            </w:pPr>
            <w:r w:rsidRPr="00FC70C2">
              <w:rPr>
                <w:rFonts w:ascii="Arial Narrow" w:hAnsi="Arial Narrow" w:cs="Calibri"/>
                <w:sz w:val="20"/>
                <w:szCs w:val="20"/>
              </w:rPr>
              <w:t>1,8</w:t>
            </w:r>
          </w:p>
        </w:tc>
        <w:tc>
          <w:tcPr>
            <w:tcW w:w="811" w:type="dxa"/>
            <w:tcBorders>
              <w:top w:val="nil"/>
              <w:left w:val="nil"/>
              <w:bottom w:val="single" w:sz="4" w:space="0" w:color="auto"/>
              <w:right w:val="single" w:sz="4" w:space="0" w:color="auto"/>
            </w:tcBorders>
            <w:shd w:val="clear" w:color="auto" w:fill="auto"/>
            <w:noWrap/>
            <w:vAlign w:val="center"/>
          </w:tcPr>
          <w:p w14:paraId="0F9DD63C" w14:textId="77777777" w:rsidR="00FC70C2" w:rsidRPr="00FC70C2" w:rsidRDefault="00FC70C2" w:rsidP="00FC70C2">
            <w:pPr>
              <w:widowControl w:val="0"/>
              <w:jc w:val="right"/>
              <w:rPr>
                <w:rFonts w:ascii="Arial Narrow" w:hAnsi="Arial Narrow" w:cs="Calibri"/>
                <w:sz w:val="20"/>
                <w:szCs w:val="20"/>
              </w:rPr>
            </w:pPr>
            <w:r w:rsidRPr="00FC70C2">
              <w:rPr>
                <w:rFonts w:ascii="Arial Narrow" w:hAnsi="Arial Narrow" w:cs="Calibri"/>
                <w:sz w:val="20"/>
                <w:szCs w:val="20"/>
              </w:rPr>
              <w:t>8,8%</w:t>
            </w:r>
          </w:p>
        </w:tc>
        <w:tc>
          <w:tcPr>
            <w:tcW w:w="1087" w:type="dxa"/>
            <w:tcBorders>
              <w:top w:val="nil"/>
              <w:left w:val="nil"/>
              <w:bottom w:val="single" w:sz="4" w:space="0" w:color="auto"/>
              <w:right w:val="single" w:sz="4" w:space="0" w:color="auto"/>
            </w:tcBorders>
            <w:shd w:val="clear" w:color="auto" w:fill="auto"/>
            <w:noWrap/>
            <w:vAlign w:val="center"/>
          </w:tcPr>
          <w:p w14:paraId="35308275" w14:textId="77777777" w:rsidR="00FC70C2" w:rsidRPr="00FC70C2" w:rsidRDefault="00FC70C2" w:rsidP="00FC70C2">
            <w:pPr>
              <w:widowControl w:val="0"/>
              <w:jc w:val="right"/>
              <w:rPr>
                <w:rFonts w:ascii="Arial Narrow" w:hAnsi="Arial Narrow" w:cs="Calibri"/>
                <w:sz w:val="20"/>
                <w:szCs w:val="20"/>
              </w:rPr>
            </w:pPr>
            <w:r w:rsidRPr="00FC70C2">
              <w:rPr>
                <w:rFonts w:ascii="Arial Narrow" w:hAnsi="Arial Narrow" w:cs="Calibri"/>
                <w:sz w:val="20"/>
                <w:szCs w:val="20"/>
              </w:rPr>
              <w:t>1,1</w:t>
            </w:r>
          </w:p>
        </w:tc>
        <w:tc>
          <w:tcPr>
            <w:tcW w:w="814" w:type="dxa"/>
            <w:tcBorders>
              <w:top w:val="nil"/>
              <w:left w:val="nil"/>
              <w:bottom w:val="single" w:sz="4" w:space="0" w:color="auto"/>
              <w:right w:val="single" w:sz="4" w:space="0" w:color="auto"/>
            </w:tcBorders>
            <w:shd w:val="clear" w:color="auto" w:fill="auto"/>
            <w:noWrap/>
            <w:vAlign w:val="center"/>
          </w:tcPr>
          <w:p w14:paraId="210980FF" w14:textId="77777777" w:rsidR="00FC70C2" w:rsidRPr="00FC70C2" w:rsidRDefault="00FC70C2" w:rsidP="00FC70C2">
            <w:pPr>
              <w:widowControl w:val="0"/>
              <w:jc w:val="right"/>
              <w:rPr>
                <w:rFonts w:ascii="Arial Narrow" w:hAnsi="Arial Narrow" w:cs="Calibri"/>
                <w:sz w:val="20"/>
                <w:szCs w:val="20"/>
              </w:rPr>
            </w:pPr>
            <w:r w:rsidRPr="00FC70C2">
              <w:rPr>
                <w:rFonts w:ascii="Arial Narrow" w:hAnsi="Arial Narrow" w:cs="Calibri"/>
                <w:sz w:val="20"/>
                <w:szCs w:val="20"/>
              </w:rPr>
              <w:t>7,0%</w:t>
            </w:r>
          </w:p>
        </w:tc>
        <w:tc>
          <w:tcPr>
            <w:tcW w:w="1110" w:type="dxa"/>
            <w:tcBorders>
              <w:top w:val="single" w:sz="6" w:space="0" w:color="auto"/>
              <w:left w:val="single" w:sz="6" w:space="0" w:color="auto"/>
              <w:bottom w:val="single" w:sz="6" w:space="0" w:color="auto"/>
              <w:right w:val="single" w:sz="6" w:space="0" w:color="auto"/>
            </w:tcBorders>
            <w:noWrap/>
            <w:vAlign w:val="center"/>
          </w:tcPr>
          <w:p w14:paraId="04A67CD9" w14:textId="77777777" w:rsidR="00FC70C2" w:rsidRPr="00FC70C2" w:rsidRDefault="00FC70C2" w:rsidP="00FC70C2">
            <w:pPr>
              <w:widowControl w:val="0"/>
              <w:jc w:val="right"/>
              <w:rPr>
                <w:rFonts w:ascii="Arial Narrow" w:hAnsi="Arial Narrow" w:cs="Calibri"/>
                <w:sz w:val="20"/>
                <w:szCs w:val="20"/>
              </w:rPr>
            </w:pPr>
            <w:r w:rsidRPr="00FC70C2">
              <w:rPr>
                <w:rFonts w:ascii="Arial Narrow" w:hAnsi="Arial Narrow" w:cs="Calibri"/>
                <w:sz w:val="20"/>
                <w:szCs w:val="20"/>
              </w:rPr>
              <w:t>1,6</w:t>
            </w:r>
          </w:p>
        </w:tc>
        <w:tc>
          <w:tcPr>
            <w:tcW w:w="829" w:type="dxa"/>
            <w:tcBorders>
              <w:top w:val="single" w:sz="6" w:space="0" w:color="auto"/>
              <w:left w:val="single" w:sz="6" w:space="0" w:color="auto"/>
              <w:bottom w:val="single" w:sz="6" w:space="0" w:color="auto"/>
              <w:right w:val="single" w:sz="6" w:space="0" w:color="auto"/>
            </w:tcBorders>
            <w:noWrap/>
            <w:vAlign w:val="center"/>
          </w:tcPr>
          <w:p w14:paraId="02104BE1" w14:textId="77777777" w:rsidR="00FC70C2" w:rsidRPr="00FC70C2" w:rsidRDefault="00FC70C2" w:rsidP="00FC70C2">
            <w:pPr>
              <w:widowControl w:val="0"/>
              <w:jc w:val="right"/>
              <w:rPr>
                <w:rFonts w:ascii="Arial Narrow" w:hAnsi="Arial Narrow" w:cs="Calibri"/>
                <w:sz w:val="20"/>
                <w:szCs w:val="20"/>
              </w:rPr>
            </w:pPr>
            <w:r w:rsidRPr="00FC70C2">
              <w:rPr>
                <w:rFonts w:ascii="Arial Narrow" w:hAnsi="Arial Narrow" w:cs="Calibri"/>
                <w:sz w:val="20"/>
                <w:szCs w:val="20"/>
              </w:rPr>
              <w:t>8,2%</w:t>
            </w:r>
          </w:p>
        </w:tc>
        <w:tc>
          <w:tcPr>
            <w:tcW w:w="1110" w:type="dxa"/>
            <w:tcBorders>
              <w:top w:val="single" w:sz="6" w:space="0" w:color="auto"/>
              <w:left w:val="single" w:sz="6" w:space="0" w:color="auto"/>
              <w:bottom w:val="single" w:sz="6" w:space="0" w:color="auto"/>
              <w:right w:val="single" w:sz="6" w:space="0" w:color="auto"/>
            </w:tcBorders>
            <w:noWrap/>
            <w:vAlign w:val="center"/>
          </w:tcPr>
          <w:p w14:paraId="463BAF4F" w14:textId="77777777" w:rsidR="00FC70C2" w:rsidRPr="00FC70C2" w:rsidRDefault="00FC70C2" w:rsidP="00FC70C2">
            <w:pPr>
              <w:widowControl w:val="0"/>
              <w:jc w:val="right"/>
              <w:rPr>
                <w:rFonts w:ascii="Arial Narrow" w:hAnsi="Arial Narrow" w:cs="Calibri"/>
                <w:sz w:val="20"/>
                <w:szCs w:val="20"/>
              </w:rPr>
            </w:pPr>
            <w:r w:rsidRPr="00FC70C2">
              <w:rPr>
                <w:rFonts w:ascii="Arial Narrow" w:hAnsi="Arial Narrow" w:cs="Calibri"/>
                <w:sz w:val="20"/>
                <w:szCs w:val="20"/>
              </w:rPr>
              <w:t>0,9</w:t>
            </w:r>
          </w:p>
        </w:tc>
        <w:tc>
          <w:tcPr>
            <w:tcW w:w="832" w:type="dxa"/>
            <w:tcBorders>
              <w:top w:val="single" w:sz="6" w:space="0" w:color="auto"/>
              <w:left w:val="single" w:sz="6" w:space="0" w:color="auto"/>
              <w:bottom w:val="single" w:sz="6" w:space="0" w:color="auto"/>
              <w:right w:val="single" w:sz="6" w:space="0" w:color="auto"/>
            </w:tcBorders>
            <w:noWrap/>
            <w:vAlign w:val="center"/>
          </w:tcPr>
          <w:p w14:paraId="7AC148DB" w14:textId="77777777" w:rsidR="00FC70C2" w:rsidRPr="00FC70C2" w:rsidRDefault="00FC70C2" w:rsidP="00FC70C2">
            <w:pPr>
              <w:widowControl w:val="0"/>
              <w:jc w:val="right"/>
              <w:rPr>
                <w:rFonts w:ascii="Arial Narrow" w:hAnsi="Arial Narrow" w:cs="Calibri"/>
                <w:sz w:val="20"/>
                <w:szCs w:val="20"/>
              </w:rPr>
            </w:pPr>
            <w:r w:rsidRPr="00FC70C2">
              <w:rPr>
                <w:rFonts w:ascii="Arial Narrow" w:hAnsi="Arial Narrow" w:cs="Calibri"/>
                <w:sz w:val="20"/>
                <w:szCs w:val="20"/>
              </w:rPr>
              <w:t>6,2%</w:t>
            </w:r>
          </w:p>
        </w:tc>
      </w:tr>
      <w:tr w:rsidR="00FC70C2" w:rsidRPr="00FC70C2" w14:paraId="372F3EB5" w14:textId="77777777" w:rsidTr="00E656EE">
        <w:trPr>
          <w:gridBefore w:val="1"/>
          <w:wBefore w:w="24" w:type="dxa"/>
          <w:cantSplit/>
          <w:trHeight w:val="340"/>
          <w:tblHeader/>
          <w:jc w:val="center"/>
        </w:trPr>
        <w:tc>
          <w:tcPr>
            <w:tcW w:w="2082" w:type="dxa"/>
            <w:shd w:val="clear" w:color="auto" w:fill="auto"/>
            <w:noWrap/>
            <w:vAlign w:val="center"/>
          </w:tcPr>
          <w:p w14:paraId="155F4CC3" w14:textId="77777777" w:rsidR="00FC70C2" w:rsidRPr="00FC70C2" w:rsidRDefault="00FC70C2" w:rsidP="00FC70C2">
            <w:pPr>
              <w:widowControl w:val="0"/>
              <w:rPr>
                <w:rFonts w:ascii="Arial Narrow" w:hAnsi="Arial Narrow" w:cs="Calibri"/>
                <w:sz w:val="20"/>
                <w:szCs w:val="20"/>
                <w:lang w:val="bg-BG"/>
              </w:rPr>
            </w:pPr>
            <w:r w:rsidRPr="00FC70C2">
              <w:rPr>
                <w:rFonts w:ascii="Arial Narrow" w:hAnsi="Arial Narrow" w:cs="Calibri"/>
                <w:sz w:val="20"/>
                <w:szCs w:val="20"/>
                <w:lang w:val="bg-BG"/>
              </w:rPr>
              <w:t>Североизточен</w:t>
            </w:r>
          </w:p>
        </w:tc>
        <w:tc>
          <w:tcPr>
            <w:tcW w:w="1086" w:type="dxa"/>
            <w:tcBorders>
              <w:top w:val="nil"/>
              <w:left w:val="single" w:sz="4" w:space="0" w:color="auto"/>
              <w:bottom w:val="single" w:sz="4" w:space="0" w:color="auto"/>
              <w:right w:val="single" w:sz="4" w:space="0" w:color="auto"/>
            </w:tcBorders>
            <w:shd w:val="clear" w:color="auto" w:fill="auto"/>
            <w:noWrap/>
            <w:vAlign w:val="center"/>
          </w:tcPr>
          <w:p w14:paraId="04109821" w14:textId="77777777" w:rsidR="00FC70C2" w:rsidRPr="00FC70C2" w:rsidRDefault="00FC70C2" w:rsidP="00FC70C2">
            <w:pPr>
              <w:widowControl w:val="0"/>
              <w:jc w:val="right"/>
              <w:rPr>
                <w:rFonts w:ascii="Arial Narrow" w:hAnsi="Arial Narrow" w:cs="Calibri"/>
                <w:sz w:val="20"/>
                <w:szCs w:val="20"/>
              </w:rPr>
            </w:pPr>
            <w:r w:rsidRPr="00FC70C2">
              <w:rPr>
                <w:rFonts w:ascii="Arial Narrow" w:hAnsi="Arial Narrow" w:cs="Calibri"/>
                <w:sz w:val="20"/>
                <w:szCs w:val="20"/>
              </w:rPr>
              <w:t>1,4</w:t>
            </w:r>
          </w:p>
        </w:tc>
        <w:tc>
          <w:tcPr>
            <w:tcW w:w="811" w:type="dxa"/>
            <w:tcBorders>
              <w:top w:val="nil"/>
              <w:left w:val="nil"/>
              <w:bottom w:val="single" w:sz="4" w:space="0" w:color="auto"/>
              <w:right w:val="single" w:sz="4" w:space="0" w:color="auto"/>
            </w:tcBorders>
            <w:shd w:val="clear" w:color="auto" w:fill="auto"/>
            <w:noWrap/>
            <w:vAlign w:val="center"/>
          </w:tcPr>
          <w:p w14:paraId="0BA8E1D0" w14:textId="77777777" w:rsidR="00FC70C2" w:rsidRPr="00FC70C2" w:rsidRDefault="00FC70C2" w:rsidP="00FC70C2">
            <w:pPr>
              <w:widowControl w:val="0"/>
              <w:jc w:val="right"/>
              <w:rPr>
                <w:rFonts w:ascii="Arial Narrow" w:hAnsi="Arial Narrow" w:cs="Calibri"/>
                <w:sz w:val="20"/>
                <w:szCs w:val="20"/>
              </w:rPr>
            </w:pPr>
            <w:r w:rsidRPr="00FC70C2">
              <w:rPr>
                <w:rFonts w:ascii="Arial Narrow" w:hAnsi="Arial Narrow" w:cs="Calibri"/>
                <w:sz w:val="20"/>
                <w:szCs w:val="20"/>
              </w:rPr>
              <w:t>6,6%</w:t>
            </w:r>
          </w:p>
        </w:tc>
        <w:tc>
          <w:tcPr>
            <w:tcW w:w="1087" w:type="dxa"/>
            <w:tcBorders>
              <w:top w:val="nil"/>
              <w:left w:val="nil"/>
              <w:bottom w:val="single" w:sz="4" w:space="0" w:color="auto"/>
              <w:right w:val="single" w:sz="4" w:space="0" w:color="auto"/>
            </w:tcBorders>
            <w:shd w:val="clear" w:color="auto" w:fill="auto"/>
            <w:noWrap/>
            <w:vAlign w:val="center"/>
          </w:tcPr>
          <w:p w14:paraId="68EBA866" w14:textId="77777777" w:rsidR="00FC70C2" w:rsidRPr="00FC70C2" w:rsidRDefault="00FC70C2" w:rsidP="00FC70C2">
            <w:pPr>
              <w:widowControl w:val="0"/>
              <w:jc w:val="right"/>
              <w:rPr>
                <w:rFonts w:ascii="Arial Narrow" w:hAnsi="Arial Narrow" w:cs="Calibri"/>
                <w:sz w:val="20"/>
                <w:szCs w:val="20"/>
              </w:rPr>
            </w:pPr>
            <w:r w:rsidRPr="00FC70C2">
              <w:rPr>
                <w:rFonts w:ascii="Arial Narrow" w:hAnsi="Arial Narrow" w:cs="Calibri"/>
                <w:sz w:val="20"/>
                <w:szCs w:val="20"/>
              </w:rPr>
              <w:t>0,9</w:t>
            </w:r>
          </w:p>
        </w:tc>
        <w:tc>
          <w:tcPr>
            <w:tcW w:w="814" w:type="dxa"/>
            <w:tcBorders>
              <w:top w:val="nil"/>
              <w:left w:val="nil"/>
              <w:bottom w:val="single" w:sz="4" w:space="0" w:color="auto"/>
              <w:right w:val="single" w:sz="4" w:space="0" w:color="auto"/>
            </w:tcBorders>
            <w:shd w:val="clear" w:color="auto" w:fill="auto"/>
            <w:noWrap/>
            <w:vAlign w:val="center"/>
          </w:tcPr>
          <w:p w14:paraId="33A847F8" w14:textId="77777777" w:rsidR="00FC70C2" w:rsidRPr="00FC70C2" w:rsidRDefault="00FC70C2" w:rsidP="00FC70C2">
            <w:pPr>
              <w:widowControl w:val="0"/>
              <w:jc w:val="right"/>
              <w:rPr>
                <w:rFonts w:ascii="Arial Narrow" w:hAnsi="Arial Narrow" w:cs="Calibri"/>
                <w:sz w:val="20"/>
                <w:szCs w:val="20"/>
              </w:rPr>
            </w:pPr>
            <w:r w:rsidRPr="00FC70C2">
              <w:rPr>
                <w:rFonts w:ascii="Arial Narrow" w:hAnsi="Arial Narrow" w:cs="Calibri"/>
                <w:sz w:val="20"/>
                <w:szCs w:val="20"/>
              </w:rPr>
              <w:t>5,8%</w:t>
            </w:r>
          </w:p>
        </w:tc>
        <w:tc>
          <w:tcPr>
            <w:tcW w:w="1110" w:type="dxa"/>
            <w:tcBorders>
              <w:top w:val="single" w:sz="6" w:space="0" w:color="auto"/>
              <w:left w:val="single" w:sz="6" w:space="0" w:color="auto"/>
              <w:bottom w:val="single" w:sz="6" w:space="0" w:color="auto"/>
              <w:right w:val="single" w:sz="6" w:space="0" w:color="auto"/>
            </w:tcBorders>
            <w:noWrap/>
            <w:vAlign w:val="center"/>
          </w:tcPr>
          <w:p w14:paraId="59DDB2AF" w14:textId="77777777" w:rsidR="00FC70C2" w:rsidRPr="00FC70C2" w:rsidRDefault="00FC70C2" w:rsidP="00FC70C2">
            <w:pPr>
              <w:widowControl w:val="0"/>
              <w:jc w:val="right"/>
              <w:rPr>
                <w:rFonts w:ascii="Arial Narrow" w:hAnsi="Arial Narrow" w:cs="Calibri"/>
                <w:sz w:val="20"/>
                <w:szCs w:val="20"/>
              </w:rPr>
            </w:pPr>
            <w:r w:rsidRPr="00FC70C2">
              <w:rPr>
                <w:rFonts w:ascii="Arial Narrow" w:hAnsi="Arial Narrow" w:cs="Calibri"/>
                <w:sz w:val="20"/>
                <w:szCs w:val="20"/>
              </w:rPr>
              <w:t>1,4</w:t>
            </w:r>
          </w:p>
        </w:tc>
        <w:tc>
          <w:tcPr>
            <w:tcW w:w="829" w:type="dxa"/>
            <w:tcBorders>
              <w:top w:val="single" w:sz="6" w:space="0" w:color="auto"/>
              <w:left w:val="single" w:sz="6" w:space="0" w:color="auto"/>
              <w:bottom w:val="single" w:sz="6" w:space="0" w:color="auto"/>
              <w:right w:val="single" w:sz="6" w:space="0" w:color="auto"/>
            </w:tcBorders>
            <w:noWrap/>
            <w:vAlign w:val="center"/>
          </w:tcPr>
          <w:p w14:paraId="291CC941" w14:textId="77777777" w:rsidR="00FC70C2" w:rsidRPr="00FC70C2" w:rsidRDefault="00FC70C2" w:rsidP="00FC70C2">
            <w:pPr>
              <w:widowControl w:val="0"/>
              <w:jc w:val="right"/>
              <w:rPr>
                <w:rFonts w:ascii="Arial Narrow" w:hAnsi="Arial Narrow" w:cs="Calibri"/>
                <w:sz w:val="20"/>
                <w:szCs w:val="20"/>
              </w:rPr>
            </w:pPr>
            <w:r w:rsidRPr="00FC70C2">
              <w:rPr>
                <w:rFonts w:ascii="Arial Narrow" w:hAnsi="Arial Narrow" w:cs="Calibri"/>
                <w:sz w:val="20"/>
                <w:szCs w:val="20"/>
              </w:rPr>
              <w:t>7,0%</w:t>
            </w:r>
          </w:p>
        </w:tc>
        <w:tc>
          <w:tcPr>
            <w:tcW w:w="1110" w:type="dxa"/>
            <w:tcBorders>
              <w:top w:val="single" w:sz="6" w:space="0" w:color="auto"/>
              <w:left w:val="single" w:sz="6" w:space="0" w:color="auto"/>
              <w:bottom w:val="single" w:sz="6" w:space="0" w:color="auto"/>
              <w:right w:val="single" w:sz="6" w:space="0" w:color="auto"/>
            </w:tcBorders>
            <w:noWrap/>
            <w:vAlign w:val="center"/>
          </w:tcPr>
          <w:p w14:paraId="506188BF" w14:textId="77777777" w:rsidR="00FC70C2" w:rsidRPr="00FC70C2" w:rsidRDefault="00FC70C2" w:rsidP="00FC70C2">
            <w:pPr>
              <w:widowControl w:val="0"/>
              <w:jc w:val="right"/>
              <w:rPr>
                <w:rFonts w:ascii="Arial Narrow" w:hAnsi="Arial Narrow" w:cs="Calibri"/>
                <w:sz w:val="20"/>
                <w:szCs w:val="20"/>
              </w:rPr>
            </w:pPr>
            <w:r w:rsidRPr="00FC70C2">
              <w:rPr>
                <w:rFonts w:ascii="Arial Narrow" w:hAnsi="Arial Narrow" w:cs="Calibri"/>
                <w:sz w:val="20"/>
                <w:szCs w:val="20"/>
              </w:rPr>
              <w:t>1,0</w:t>
            </w:r>
          </w:p>
        </w:tc>
        <w:tc>
          <w:tcPr>
            <w:tcW w:w="832" w:type="dxa"/>
            <w:tcBorders>
              <w:top w:val="single" w:sz="6" w:space="0" w:color="auto"/>
              <w:left w:val="single" w:sz="6" w:space="0" w:color="auto"/>
              <w:bottom w:val="single" w:sz="6" w:space="0" w:color="auto"/>
              <w:right w:val="single" w:sz="6" w:space="0" w:color="auto"/>
            </w:tcBorders>
            <w:noWrap/>
            <w:vAlign w:val="center"/>
          </w:tcPr>
          <w:p w14:paraId="48C7E1D3" w14:textId="77777777" w:rsidR="00FC70C2" w:rsidRPr="00FC70C2" w:rsidRDefault="00FC70C2" w:rsidP="00FC70C2">
            <w:pPr>
              <w:widowControl w:val="0"/>
              <w:jc w:val="right"/>
              <w:rPr>
                <w:rFonts w:ascii="Arial Narrow" w:hAnsi="Arial Narrow" w:cs="Calibri"/>
                <w:sz w:val="20"/>
                <w:szCs w:val="20"/>
              </w:rPr>
            </w:pPr>
            <w:r w:rsidRPr="00FC70C2">
              <w:rPr>
                <w:rFonts w:ascii="Arial Narrow" w:hAnsi="Arial Narrow" w:cs="Calibri"/>
                <w:sz w:val="20"/>
                <w:szCs w:val="20"/>
              </w:rPr>
              <w:t>6,5%</w:t>
            </w:r>
          </w:p>
        </w:tc>
      </w:tr>
      <w:tr w:rsidR="00FC70C2" w:rsidRPr="00FC70C2" w14:paraId="79485903" w14:textId="77777777" w:rsidTr="00E656EE">
        <w:trPr>
          <w:gridBefore w:val="1"/>
          <w:wBefore w:w="24" w:type="dxa"/>
          <w:cantSplit/>
          <w:trHeight w:val="340"/>
          <w:tblHeader/>
          <w:jc w:val="center"/>
        </w:trPr>
        <w:tc>
          <w:tcPr>
            <w:tcW w:w="2082" w:type="dxa"/>
            <w:shd w:val="clear" w:color="auto" w:fill="auto"/>
            <w:noWrap/>
            <w:vAlign w:val="center"/>
          </w:tcPr>
          <w:p w14:paraId="2A85848A" w14:textId="77777777" w:rsidR="00FC70C2" w:rsidRPr="00FC70C2" w:rsidRDefault="00FC70C2" w:rsidP="00FC70C2">
            <w:pPr>
              <w:widowControl w:val="0"/>
              <w:rPr>
                <w:rFonts w:ascii="Arial Narrow" w:hAnsi="Arial Narrow" w:cs="Calibri"/>
                <w:sz w:val="20"/>
                <w:szCs w:val="20"/>
                <w:lang w:val="bg-BG"/>
              </w:rPr>
            </w:pPr>
            <w:r w:rsidRPr="00FC70C2">
              <w:rPr>
                <w:rFonts w:ascii="Arial Narrow" w:hAnsi="Arial Narrow" w:cs="Calibri"/>
                <w:sz w:val="20"/>
                <w:szCs w:val="20"/>
                <w:lang w:val="bg-BG"/>
              </w:rPr>
              <w:t>Югоизточен</w:t>
            </w:r>
          </w:p>
        </w:tc>
        <w:tc>
          <w:tcPr>
            <w:tcW w:w="1086" w:type="dxa"/>
            <w:tcBorders>
              <w:top w:val="nil"/>
              <w:left w:val="single" w:sz="4" w:space="0" w:color="auto"/>
              <w:bottom w:val="single" w:sz="4" w:space="0" w:color="auto"/>
              <w:right w:val="single" w:sz="4" w:space="0" w:color="auto"/>
            </w:tcBorders>
            <w:shd w:val="clear" w:color="auto" w:fill="auto"/>
            <w:noWrap/>
            <w:vAlign w:val="center"/>
          </w:tcPr>
          <w:p w14:paraId="5F3A735A" w14:textId="77777777" w:rsidR="00FC70C2" w:rsidRPr="00FC70C2" w:rsidRDefault="00FC70C2" w:rsidP="00FC70C2">
            <w:pPr>
              <w:widowControl w:val="0"/>
              <w:jc w:val="right"/>
              <w:rPr>
                <w:rFonts w:ascii="Arial Narrow" w:hAnsi="Arial Narrow" w:cs="Calibri"/>
                <w:sz w:val="20"/>
                <w:szCs w:val="20"/>
              </w:rPr>
            </w:pPr>
            <w:r w:rsidRPr="00FC70C2">
              <w:rPr>
                <w:rFonts w:ascii="Arial Narrow" w:hAnsi="Arial Narrow" w:cs="Calibri"/>
                <w:sz w:val="20"/>
                <w:szCs w:val="20"/>
              </w:rPr>
              <w:t>5,2</w:t>
            </w:r>
          </w:p>
        </w:tc>
        <w:tc>
          <w:tcPr>
            <w:tcW w:w="811" w:type="dxa"/>
            <w:tcBorders>
              <w:top w:val="nil"/>
              <w:left w:val="nil"/>
              <w:bottom w:val="single" w:sz="4" w:space="0" w:color="auto"/>
              <w:right w:val="single" w:sz="4" w:space="0" w:color="auto"/>
            </w:tcBorders>
            <w:shd w:val="clear" w:color="auto" w:fill="auto"/>
            <w:noWrap/>
            <w:vAlign w:val="center"/>
          </w:tcPr>
          <w:p w14:paraId="60684000" w14:textId="77777777" w:rsidR="00FC70C2" w:rsidRPr="00FC70C2" w:rsidRDefault="00FC70C2" w:rsidP="00FC70C2">
            <w:pPr>
              <w:widowControl w:val="0"/>
              <w:jc w:val="right"/>
              <w:rPr>
                <w:rFonts w:ascii="Arial Narrow" w:hAnsi="Arial Narrow" w:cs="Calibri"/>
                <w:sz w:val="20"/>
                <w:szCs w:val="20"/>
              </w:rPr>
            </w:pPr>
            <w:r w:rsidRPr="00FC70C2">
              <w:rPr>
                <w:rFonts w:ascii="Arial Narrow" w:hAnsi="Arial Narrow" w:cs="Calibri"/>
                <w:sz w:val="20"/>
                <w:szCs w:val="20"/>
              </w:rPr>
              <w:t>24,8%</w:t>
            </w:r>
          </w:p>
        </w:tc>
        <w:tc>
          <w:tcPr>
            <w:tcW w:w="1087" w:type="dxa"/>
            <w:tcBorders>
              <w:top w:val="nil"/>
              <w:left w:val="nil"/>
              <w:bottom w:val="single" w:sz="4" w:space="0" w:color="auto"/>
              <w:right w:val="single" w:sz="4" w:space="0" w:color="auto"/>
            </w:tcBorders>
            <w:shd w:val="clear" w:color="auto" w:fill="auto"/>
            <w:noWrap/>
            <w:vAlign w:val="center"/>
          </w:tcPr>
          <w:p w14:paraId="1A6C26F4" w14:textId="77777777" w:rsidR="00FC70C2" w:rsidRPr="00FC70C2" w:rsidRDefault="00FC70C2" w:rsidP="00FC70C2">
            <w:pPr>
              <w:widowControl w:val="0"/>
              <w:jc w:val="right"/>
              <w:rPr>
                <w:rFonts w:ascii="Arial Narrow" w:hAnsi="Arial Narrow" w:cs="Calibri"/>
                <w:sz w:val="20"/>
                <w:szCs w:val="20"/>
              </w:rPr>
            </w:pPr>
            <w:r w:rsidRPr="00FC70C2">
              <w:rPr>
                <w:rFonts w:ascii="Arial Narrow" w:hAnsi="Arial Narrow" w:cs="Calibri"/>
                <w:sz w:val="20"/>
                <w:szCs w:val="20"/>
              </w:rPr>
              <w:t>4,1</w:t>
            </w:r>
          </w:p>
        </w:tc>
        <w:tc>
          <w:tcPr>
            <w:tcW w:w="814" w:type="dxa"/>
            <w:tcBorders>
              <w:top w:val="nil"/>
              <w:left w:val="nil"/>
              <w:bottom w:val="single" w:sz="4" w:space="0" w:color="auto"/>
              <w:right w:val="single" w:sz="4" w:space="0" w:color="auto"/>
            </w:tcBorders>
            <w:shd w:val="clear" w:color="auto" w:fill="auto"/>
            <w:noWrap/>
            <w:vAlign w:val="center"/>
          </w:tcPr>
          <w:p w14:paraId="421F2825" w14:textId="77777777" w:rsidR="00FC70C2" w:rsidRPr="00FC70C2" w:rsidRDefault="00FC70C2" w:rsidP="00FC70C2">
            <w:pPr>
              <w:widowControl w:val="0"/>
              <w:jc w:val="right"/>
              <w:rPr>
                <w:rFonts w:ascii="Arial Narrow" w:hAnsi="Arial Narrow" w:cs="Calibri"/>
                <w:sz w:val="20"/>
                <w:szCs w:val="20"/>
              </w:rPr>
            </w:pPr>
            <w:r w:rsidRPr="00FC70C2">
              <w:rPr>
                <w:rFonts w:ascii="Arial Narrow" w:hAnsi="Arial Narrow" w:cs="Calibri"/>
                <w:sz w:val="20"/>
                <w:szCs w:val="20"/>
              </w:rPr>
              <w:t>26,5%</w:t>
            </w:r>
          </w:p>
        </w:tc>
        <w:tc>
          <w:tcPr>
            <w:tcW w:w="1110" w:type="dxa"/>
            <w:tcBorders>
              <w:top w:val="single" w:sz="6" w:space="0" w:color="auto"/>
              <w:left w:val="single" w:sz="6" w:space="0" w:color="auto"/>
              <w:bottom w:val="single" w:sz="6" w:space="0" w:color="auto"/>
              <w:right w:val="single" w:sz="6" w:space="0" w:color="auto"/>
            </w:tcBorders>
            <w:noWrap/>
            <w:vAlign w:val="center"/>
          </w:tcPr>
          <w:p w14:paraId="4053F48C" w14:textId="77777777" w:rsidR="00FC70C2" w:rsidRPr="00FC70C2" w:rsidRDefault="00FC70C2" w:rsidP="00FC70C2">
            <w:pPr>
              <w:widowControl w:val="0"/>
              <w:jc w:val="right"/>
              <w:rPr>
                <w:rFonts w:ascii="Arial Narrow" w:hAnsi="Arial Narrow" w:cs="Calibri"/>
                <w:sz w:val="20"/>
                <w:szCs w:val="20"/>
              </w:rPr>
            </w:pPr>
            <w:r w:rsidRPr="00FC70C2">
              <w:rPr>
                <w:rFonts w:ascii="Arial Narrow" w:hAnsi="Arial Narrow" w:cs="Calibri"/>
                <w:sz w:val="20"/>
                <w:szCs w:val="20"/>
              </w:rPr>
              <w:t>5,2</w:t>
            </w:r>
          </w:p>
        </w:tc>
        <w:tc>
          <w:tcPr>
            <w:tcW w:w="829" w:type="dxa"/>
            <w:tcBorders>
              <w:top w:val="single" w:sz="6" w:space="0" w:color="auto"/>
              <w:left w:val="single" w:sz="6" w:space="0" w:color="auto"/>
              <w:bottom w:val="single" w:sz="6" w:space="0" w:color="auto"/>
              <w:right w:val="single" w:sz="6" w:space="0" w:color="auto"/>
            </w:tcBorders>
            <w:noWrap/>
            <w:vAlign w:val="center"/>
          </w:tcPr>
          <w:p w14:paraId="6FD98848" w14:textId="77777777" w:rsidR="00FC70C2" w:rsidRPr="00FC70C2" w:rsidRDefault="00FC70C2" w:rsidP="00FC70C2">
            <w:pPr>
              <w:widowControl w:val="0"/>
              <w:jc w:val="right"/>
              <w:rPr>
                <w:rFonts w:ascii="Arial Narrow" w:hAnsi="Arial Narrow" w:cs="Calibri"/>
                <w:sz w:val="20"/>
                <w:szCs w:val="20"/>
              </w:rPr>
            </w:pPr>
            <w:r w:rsidRPr="00FC70C2">
              <w:rPr>
                <w:rFonts w:ascii="Arial Narrow" w:hAnsi="Arial Narrow" w:cs="Calibri"/>
                <w:sz w:val="20"/>
                <w:szCs w:val="20"/>
              </w:rPr>
              <w:t>25,8%</w:t>
            </w:r>
          </w:p>
        </w:tc>
        <w:tc>
          <w:tcPr>
            <w:tcW w:w="1110" w:type="dxa"/>
            <w:tcBorders>
              <w:top w:val="single" w:sz="6" w:space="0" w:color="auto"/>
              <w:left w:val="single" w:sz="6" w:space="0" w:color="auto"/>
              <w:bottom w:val="single" w:sz="6" w:space="0" w:color="auto"/>
              <w:right w:val="single" w:sz="6" w:space="0" w:color="auto"/>
            </w:tcBorders>
            <w:noWrap/>
            <w:vAlign w:val="center"/>
          </w:tcPr>
          <w:p w14:paraId="074E21CE" w14:textId="77777777" w:rsidR="00FC70C2" w:rsidRPr="00FC70C2" w:rsidRDefault="00FC70C2" w:rsidP="00FC70C2">
            <w:pPr>
              <w:widowControl w:val="0"/>
              <w:jc w:val="right"/>
              <w:rPr>
                <w:rFonts w:ascii="Arial Narrow" w:hAnsi="Arial Narrow" w:cs="Calibri"/>
                <w:sz w:val="20"/>
                <w:szCs w:val="20"/>
              </w:rPr>
            </w:pPr>
            <w:r w:rsidRPr="00FC70C2">
              <w:rPr>
                <w:rFonts w:ascii="Arial Narrow" w:hAnsi="Arial Narrow" w:cs="Calibri"/>
                <w:sz w:val="20"/>
                <w:szCs w:val="20"/>
              </w:rPr>
              <w:t>4,0</w:t>
            </w:r>
          </w:p>
        </w:tc>
        <w:tc>
          <w:tcPr>
            <w:tcW w:w="832" w:type="dxa"/>
            <w:tcBorders>
              <w:top w:val="single" w:sz="6" w:space="0" w:color="auto"/>
              <w:left w:val="single" w:sz="6" w:space="0" w:color="auto"/>
              <w:bottom w:val="single" w:sz="6" w:space="0" w:color="auto"/>
              <w:right w:val="single" w:sz="6" w:space="0" w:color="auto"/>
            </w:tcBorders>
            <w:noWrap/>
            <w:vAlign w:val="center"/>
          </w:tcPr>
          <w:p w14:paraId="5B7381D3" w14:textId="77777777" w:rsidR="00FC70C2" w:rsidRPr="00FC70C2" w:rsidRDefault="00FC70C2" w:rsidP="00FC70C2">
            <w:pPr>
              <w:widowControl w:val="0"/>
              <w:jc w:val="right"/>
              <w:rPr>
                <w:rFonts w:ascii="Arial Narrow" w:hAnsi="Arial Narrow" w:cs="Calibri"/>
                <w:sz w:val="20"/>
                <w:szCs w:val="20"/>
              </w:rPr>
            </w:pPr>
            <w:r w:rsidRPr="00FC70C2">
              <w:rPr>
                <w:rFonts w:ascii="Arial Narrow" w:hAnsi="Arial Narrow" w:cs="Calibri"/>
                <w:sz w:val="20"/>
                <w:szCs w:val="20"/>
              </w:rPr>
              <w:t>27,2%</w:t>
            </w:r>
          </w:p>
        </w:tc>
      </w:tr>
      <w:tr w:rsidR="00FC70C2" w:rsidRPr="00FC70C2" w14:paraId="640F329A" w14:textId="77777777" w:rsidTr="00E656EE">
        <w:trPr>
          <w:gridBefore w:val="1"/>
          <w:wBefore w:w="24" w:type="dxa"/>
          <w:cantSplit/>
          <w:trHeight w:val="340"/>
          <w:tblHeader/>
          <w:jc w:val="center"/>
        </w:trPr>
        <w:tc>
          <w:tcPr>
            <w:tcW w:w="2082" w:type="dxa"/>
            <w:shd w:val="clear" w:color="auto" w:fill="auto"/>
            <w:noWrap/>
            <w:vAlign w:val="center"/>
          </w:tcPr>
          <w:p w14:paraId="678BAE5D" w14:textId="77777777" w:rsidR="00FC70C2" w:rsidRPr="00FC70C2" w:rsidRDefault="00FC70C2" w:rsidP="00FC70C2">
            <w:pPr>
              <w:widowControl w:val="0"/>
              <w:rPr>
                <w:rFonts w:ascii="Arial Narrow" w:hAnsi="Arial Narrow" w:cs="Calibri"/>
                <w:sz w:val="20"/>
                <w:szCs w:val="20"/>
                <w:lang w:val="bg-BG"/>
              </w:rPr>
            </w:pPr>
            <w:r w:rsidRPr="00FC70C2">
              <w:rPr>
                <w:rFonts w:ascii="Arial Narrow" w:hAnsi="Arial Narrow" w:cs="Calibri"/>
                <w:sz w:val="20"/>
                <w:szCs w:val="20"/>
                <w:lang w:val="bg-BG"/>
              </w:rPr>
              <w:t>Югозападен</w:t>
            </w:r>
          </w:p>
        </w:tc>
        <w:tc>
          <w:tcPr>
            <w:tcW w:w="1086" w:type="dxa"/>
            <w:tcBorders>
              <w:top w:val="nil"/>
              <w:left w:val="single" w:sz="4" w:space="0" w:color="auto"/>
              <w:bottom w:val="single" w:sz="4" w:space="0" w:color="auto"/>
              <w:right w:val="single" w:sz="4" w:space="0" w:color="auto"/>
            </w:tcBorders>
            <w:shd w:val="clear" w:color="auto" w:fill="auto"/>
            <w:noWrap/>
            <w:vAlign w:val="center"/>
          </w:tcPr>
          <w:p w14:paraId="74AD23BD" w14:textId="77777777" w:rsidR="00FC70C2" w:rsidRPr="00FC70C2" w:rsidRDefault="00FC70C2" w:rsidP="00FC70C2">
            <w:pPr>
              <w:widowControl w:val="0"/>
              <w:jc w:val="right"/>
              <w:rPr>
                <w:rFonts w:ascii="Arial Narrow" w:hAnsi="Arial Narrow" w:cs="Calibri"/>
                <w:sz w:val="20"/>
                <w:szCs w:val="20"/>
              </w:rPr>
            </w:pPr>
            <w:r w:rsidRPr="00FC70C2">
              <w:rPr>
                <w:rFonts w:ascii="Arial Narrow" w:hAnsi="Arial Narrow" w:cs="Calibri"/>
                <w:sz w:val="20"/>
                <w:szCs w:val="20"/>
              </w:rPr>
              <w:t>1,4</w:t>
            </w:r>
          </w:p>
        </w:tc>
        <w:tc>
          <w:tcPr>
            <w:tcW w:w="811" w:type="dxa"/>
            <w:tcBorders>
              <w:top w:val="nil"/>
              <w:left w:val="nil"/>
              <w:bottom w:val="single" w:sz="4" w:space="0" w:color="auto"/>
              <w:right w:val="single" w:sz="4" w:space="0" w:color="auto"/>
            </w:tcBorders>
            <w:shd w:val="clear" w:color="auto" w:fill="auto"/>
            <w:noWrap/>
            <w:vAlign w:val="center"/>
          </w:tcPr>
          <w:p w14:paraId="3140F077" w14:textId="77777777" w:rsidR="00FC70C2" w:rsidRPr="00FC70C2" w:rsidRDefault="00FC70C2" w:rsidP="00FC70C2">
            <w:pPr>
              <w:widowControl w:val="0"/>
              <w:jc w:val="right"/>
              <w:rPr>
                <w:rFonts w:ascii="Arial Narrow" w:hAnsi="Arial Narrow" w:cs="Calibri"/>
                <w:sz w:val="20"/>
                <w:szCs w:val="20"/>
              </w:rPr>
            </w:pPr>
            <w:r w:rsidRPr="00FC70C2">
              <w:rPr>
                <w:rFonts w:ascii="Arial Narrow" w:hAnsi="Arial Narrow" w:cs="Calibri"/>
                <w:sz w:val="20"/>
                <w:szCs w:val="20"/>
              </w:rPr>
              <w:t>6,6%</w:t>
            </w:r>
          </w:p>
        </w:tc>
        <w:tc>
          <w:tcPr>
            <w:tcW w:w="1087" w:type="dxa"/>
            <w:tcBorders>
              <w:top w:val="nil"/>
              <w:left w:val="nil"/>
              <w:bottom w:val="single" w:sz="4" w:space="0" w:color="auto"/>
              <w:right w:val="single" w:sz="4" w:space="0" w:color="auto"/>
            </w:tcBorders>
            <w:shd w:val="clear" w:color="auto" w:fill="auto"/>
            <w:noWrap/>
            <w:vAlign w:val="center"/>
          </w:tcPr>
          <w:p w14:paraId="2355C0CD" w14:textId="77777777" w:rsidR="00FC70C2" w:rsidRPr="00FC70C2" w:rsidRDefault="00FC70C2" w:rsidP="00FC70C2">
            <w:pPr>
              <w:widowControl w:val="0"/>
              <w:jc w:val="right"/>
              <w:rPr>
                <w:rFonts w:ascii="Arial Narrow" w:hAnsi="Arial Narrow" w:cs="Calibri"/>
                <w:sz w:val="20"/>
                <w:szCs w:val="20"/>
              </w:rPr>
            </w:pPr>
            <w:r w:rsidRPr="00FC70C2">
              <w:rPr>
                <w:rFonts w:ascii="Arial Narrow" w:hAnsi="Arial Narrow" w:cs="Calibri"/>
                <w:sz w:val="20"/>
                <w:szCs w:val="20"/>
              </w:rPr>
              <w:t>0,9</w:t>
            </w:r>
          </w:p>
        </w:tc>
        <w:tc>
          <w:tcPr>
            <w:tcW w:w="814" w:type="dxa"/>
            <w:tcBorders>
              <w:top w:val="nil"/>
              <w:left w:val="nil"/>
              <w:bottom w:val="single" w:sz="4" w:space="0" w:color="auto"/>
              <w:right w:val="single" w:sz="4" w:space="0" w:color="auto"/>
            </w:tcBorders>
            <w:shd w:val="clear" w:color="auto" w:fill="auto"/>
            <w:noWrap/>
            <w:vAlign w:val="center"/>
          </w:tcPr>
          <w:p w14:paraId="2BD23B76" w14:textId="77777777" w:rsidR="00FC70C2" w:rsidRPr="00FC70C2" w:rsidRDefault="00FC70C2" w:rsidP="00FC70C2">
            <w:pPr>
              <w:widowControl w:val="0"/>
              <w:jc w:val="right"/>
              <w:rPr>
                <w:rFonts w:ascii="Arial Narrow" w:hAnsi="Arial Narrow" w:cs="Calibri"/>
                <w:sz w:val="20"/>
                <w:szCs w:val="20"/>
              </w:rPr>
            </w:pPr>
            <w:r w:rsidRPr="00FC70C2">
              <w:rPr>
                <w:rFonts w:ascii="Arial Narrow" w:hAnsi="Arial Narrow" w:cs="Calibri"/>
                <w:sz w:val="20"/>
                <w:szCs w:val="20"/>
              </w:rPr>
              <w:t>6,0%</w:t>
            </w:r>
          </w:p>
        </w:tc>
        <w:tc>
          <w:tcPr>
            <w:tcW w:w="1110" w:type="dxa"/>
            <w:tcBorders>
              <w:top w:val="single" w:sz="6" w:space="0" w:color="auto"/>
              <w:left w:val="single" w:sz="6" w:space="0" w:color="auto"/>
              <w:bottom w:val="single" w:sz="6" w:space="0" w:color="auto"/>
              <w:right w:val="single" w:sz="6" w:space="0" w:color="auto"/>
            </w:tcBorders>
            <w:noWrap/>
            <w:vAlign w:val="center"/>
          </w:tcPr>
          <w:p w14:paraId="3B3FE02E" w14:textId="77777777" w:rsidR="00FC70C2" w:rsidRPr="00FC70C2" w:rsidRDefault="00FC70C2" w:rsidP="00FC70C2">
            <w:pPr>
              <w:widowControl w:val="0"/>
              <w:jc w:val="right"/>
              <w:rPr>
                <w:rFonts w:ascii="Arial Narrow" w:hAnsi="Arial Narrow" w:cs="Calibri"/>
                <w:sz w:val="20"/>
                <w:szCs w:val="20"/>
              </w:rPr>
            </w:pPr>
            <w:r w:rsidRPr="00FC70C2">
              <w:rPr>
                <w:rFonts w:ascii="Arial Narrow" w:hAnsi="Arial Narrow" w:cs="Calibri"/>
                <w:sz w:val="20"/>
                <w:szCs w:val="20"/>
              </w:rPr>
              <w:t>1,2</w:t>
            </w:r>
          </w:p>
        </w:tc>
        <w:tc>
          <w:tcPr>
            <w:tcW w:w="829" w:type="dxa"/>
            <w:tcBorders>
              <w:top w:val="single" w:sz="6" w:space="0" w:color="auto"/>
              <w:left w:val="single" w:sz="6" w:space="0" w:color="auto"/>
              <w:bottom w:val="single" w:sz="6" w:space="0" w:color="auto"/>
              <w:right w:val="single" w:sz="6" w:space="0" w:color="auto"/>
            </w:tcBorders>
            <w:noWrap/>
            <w:vAlign w:val="center"/>
          </w:tcPr>
          <w:p w14:paraId="1C881509" w14:textId="77777777" w:rsidR="00FC70C2" w:rsidRPr="00FC70C2" w:rsidRDefault="00FC70C2" w:rsidP="00FC70C2">
            <w:pPr>
              <w:widowControl w:val="0"/>
              <w:jc w:val="right"/>
              <w:rPr>
                <w:rFonts w:ascii="Arial Narrow" w:hAnsi="Arial Narrow" w:cs="Calibri"/>
                <w:sz w:val="20"/>
                <w:szCs w:val="20"/>
              </w:rPr>
            </w:pPr>
            <w:r w:rsidRPr="00FC70C2">
              <w:rPr>
                <w:rFonts w:ascii="Arial Narrow" w:hAnsi="Arial Narrow" w:cs="Calibri"/>
                <w:sz w:val="20"/>
                <w:szCs w:val="20"/>
              </w:rPr>
              <w:t>6,2%</w:t>
            </w:r>
          </w:p>
        </w:tc>
        <w:tc>
          <w:tcPr>
            <w:tcW w:w="1110" w:type="dxa"/>
            <w:tcBorders>
              <w:top w:val="single" w:sz="6" w:space="0" w:color="auto"/>
              <w:left w:val="single" w:sz="6" w:space="0" w:color="auto"/>
              <w:bottom w:val="single" w:sz="6" w:space="0" w:color="auto"/>
              <w:right w:val="single" w:sz="6" w:space="0" w:color="auto"/>
            </w:tcBorders>
            <w:noWrap/>
            <w:vAlign w:val="center"/>
          </w:tcPr>
          <w:p w14:paraId="2B9BC952" w14:textId="77777777" w:rsidR="00FC70C2" w:rsidRPr="00FC70C2" w:rsidRDefault="00FC70C2" w:rsidP="00FC70C2">
            <w:pPr>
              <w:widowControl w:val="0"/>
              <w:jc w:val="right"/>
              <w:rPr>
                <w:rFonts w:ascii="Arial Narrow" w:hAnsi="Arial Narrow" w:cs="Calibri"/>
                <w:sz w:val="20"/>
                <w:szCs w:val="20"/>
              </w:rPr>
            </w:pPr>
            <w:r w:rsidRPr="00FC70C2">
              <w:rPr>
                <w:rFonts w:ascii="Arial Narrow" w:hAnsi="Arial Narrow" w:cs="Calibri"/>
                <w:sz w:val="20"/>
                <w:szCs w:val="20"/>
              </w:rPr>
              <w:t>0,8</w:t>
            </w:r>
          </w:p>
        </w:tc>
        <w:tc>
          <w:tcPr>
            <w:tcW w:w="832" w:type="dxa"/>
            <w:tcBorders>
              <w:top w:val="single" w:sz="6" w:space="0" w:color="auto"/>
              <w:left w:val="single" w:sz="6" w:space="0" w:color="auto"/>
              <w:bottom w:val="single" w:sz="6" w:space="0" w:color="auto"/>
              <w:right w:val="single" w:sz="6" w:space="0" w:color="auto"/>
            </w:tcBorders>
            <w:noWrap/>
            <w:vAlign w:val="center"/>
          </w:tcPr>
          <w:p w14:paraId="12871A78" w14:textId="77777777" w:rsidR="00FC70C2" w:rsidRPr="00FC70C2" w:rsidRDefault="00FC70C2" w:rsidP="00FC70C2">
            <w:pPr>
              <w:widowControl w:val="0"/>
              <w:jc w:val="right"/>
              <w:rPr>
                <w:rFonts w:ascii="Arial Narrow" w:hAnsi="Arial Narrow" w:cs="Calibri"/>
                <w:sz w:val="20"/>
                <w:szCs w:val="20"/>
              </w:rPr>
            </w:pPr>
            <w:r w:rsidRPr="00FC70C2">
              <w:rPr>
                <w:rFonts w:ascii="Arial Narrow" w:hAnsi="Arial Narrow" w:cs="Calibri"/>
                <w:sz w:val="20"/>
                <w:szCs w:val="20"/>
              </w:rPr>
              <w:t>5,7%</w:t>
            </w:r>
          </w:p>
        </w:tc>
      </w:tr>
      <w:tr w:rsidR="00FC70C2" w:rsidRPr="00FC70C2" w14:paraId="18DB4CA9" w14:textId="77777777" w:rsidTr="00E656EE">
        <w:trPr>
          <w:gridBefore w:val="1"/>
          <w:wBefore w:w="24" w:type="dxa"/>
          <w:cantSplit/>
          <w:trHeight w:val="340"/>
          <w:tblHeader/>
          <w:jc w:val="center"/>
        </w:trPr>
        <w:tc>
          <w:tcPr>
            <w:tcW w:w="2082" w:type="dxa"/>
            <w:shd w:val="clear" w:color="auto" w:fill="auto"/>
            <w:noWrap/>
            <w:vAlign w:val="center"/>
          </w:tcPr>
          <w:p w14:paraId="361522F3" w14:textId="77777777" w:rsidR="00FC70C2" w:rsidRPr="00FC70C2" w:rsidRDefault="00FC70C2" w:rsidP="00FC70C2">
            <w:pPr>
              <w:widowControl w:val="0"/>
              <w:rPr>
                <w:rFonts w:ascii="Arial Narrow" w:hAnsi="Arial Narrow" w:cs="Calibri"/>
                <w:sz w:val="20"/>
                <w:szCs w:val="20"/>
                <w:lang w:val="bg-BG"/>
              </w:rPr>
            </w:pPr>
            <w:r w:rsidRPr="00FC70C2">
              <w:rPr>
                <w:rFonts w:ascii="Arial Narrow" w:hAnsi="Arial Narrow" w:cs="Calibri"/>
                <w:sz w:val="20"/>
                <w:szCs w:val="20"/>
                <w:lang w:val="bg-BG"/>
              </w:rPr>
              <w:t>Южен централен</w:t>
            </w:r>
          </w:p>
        </w:tc>
        <w:tc>
          <w:tcPr>
            <w:tcW w:w="1086" w:type="dxa"/>
            <w:tcBorders>
              <w:top w:val="nil"/>
              <w:left w:val="single" w:sz="4" w:space="0" w:color="auto"/>
              <w:bottom w:val="single" w:sz="4" w:space="0" w:color="auto"/>
              <w:right w:val="single" w:sz="4" w:space="0" w:color="auto"/>
            </w:tcBorders>
            <w:shd w:val="clear" w:color="auto" w:fill="auto"/>
            <w:noWrap/>
            <w:vAlign w:val="center"/>
          </w:tcPr>
          <w:p w14:paraId="63EA986C" w14:textId="77777777" w:rsidR="00FC70C2" w:rsidRPr="00FC70C2" w:rsidRDefault="00FC70C2" w:rsidP="00FC70C2">
            <w:pPr>
              <w:widowControl w:val="0"/>
              <w:jc w:val="right"/>
              <w:rPr>
                <w:rFonts w:ascii="Arial Narrow" w:hAnsi="Arial Narrow" w:cs="Calibri"/>
                <w:sz w:val="20"/>
                <w:szCs w:val="20"/>
              </w:rPr>
            </w:pPr>
            <w:r w:rsidRPr="00FC70C2">
              <w:rPr>
                <w:rFonts w:ascii="Arial Narrow" w:hAnsi="Arial Narrow" w:cs="Calibri"/>
                <w:sz w:val="20"/>
                <w:szCs w:val="20"/>
              </w:rPr>
              <w:t>4,4</w:t>
            </w:r>
          </w:p>
        </w:tc>
        <w:tc>
          <w:tcPr>
            <w:tcW w:w="811" w:type="dxa"/>
            <w:tcBorders>
              <w:top w:val="nil"/>
              <w:left w:val="nil"/>
              <w:bottom w:val="single" w:sz="4" w:space="0" w:color="auto"/>
              <w:right w:val="single" w:sz="4" w:space="0" w:color="auto"/>
            </w:tcBorders>
            <w:shd w:val="clear" w:color="auto" w:fill="auto"/>
            <w:noWrap/>
            <w:vAlign w:val="center"/>
          </w:tcPr>
          <w:p w14:paraId="39E64066" w14:textId="77777777" w:rsidR="00FC70C2" w:rsidRPr="00FC70C2" w:rsidRDefault="00FC70C2" w:rsidP="00FC70C2">
            <w:pPr>
              <w:widowControl w:val="0"/>
              <w:jc w:val="right"/>
              <w:rPr>
                <w:rFonts w:ascii="Arial Narrow" w:hAnsi="Arial Narrow" w:cs="Calibri"/>
                <w:sz w:val="20"/>
                <w:szCs w:val="20"/>
              </w:rPr>
            </w:pPr>
            <w:r w:rsidRPr="00FC70C2">
              <w:rPr>
                <w:rFonts w:ascii="Arial Narrow" w:hAnsi="Arial Narrow" w:cs="Calibri"/>
                <w:sz w:val="20"/>
                <w:szCs w:val="20"/>
              </w:rPr>
              <w:t>21,4%</w:t>
            </w:r>
          </w:p>
        </w:tc>
        <w:tc>
          <w:tcPr>
            <w:tcW w:w="1087" w:type="dxa"/>
            <w:tcBorders>
              <w:top w:val="nil"/>
              <w:left w:val="nil"/>
              <w:bottom w:val="single" w:sz="4" w:space="0" w:color="auto"/>
              <w:right w:val="single" w:sz="4" w:space="0" w:color="auto"/>
            </w:tcBorders>
            <w:shd w:val="clear" w:color="auto" w:fill="auto"/>
            <w:noWrap/>
            <w:vAlign w:val="center"/>
          </w:tcPr>
          <w:p w14:paraId="514168BD" w14:textId="77777777" w:rsidR="00FC70C2" w:rsidRPr="00FC70C2" w:rsidRDefault="00FC70C2" w:rsidP="00FC70C2">
            <w:pPr>
              <w:widowControl w:val="0"/>
              <w:jc w:val="right"/>
              <w:rPr>
                <w:rFonts w:ascii="Arial Narrow" w:hAnsi="Arial Narrow" w:cs="Calibri"/>
                <w:sz w:val="20"/>
                <w:szCs w:val="20"/>
              </w:rPr>
            </w:pPr>
            <w:r w:rsidRPr="00FC70C2">
              <w:rPr>
                <w:rFonts w:ascii="Arial Narrow" w:hAnsi="Arial Narrow" w:cs="Calibri"/>
                <w:sz w:val="20"/>
                <w:szCs w:val="20"/>
              </w:rPr>
              <w:t>3,4</w:t>
            </w:r>
          </w:p>
        </w:tc>
        <w:tc>
          <w:tcPr>
            <w:tcW w:w="814" w:type="dxa"/>
            <w:tcBorders>
              <w:top w:val="nil"/>
              <w:left w:val="nil"/>
              <w:bottom w:val="single" w:sz="4" w:space="0" w:color="auto"/>
              <w:right w:val="single" w:sz="4" w:space="0" w:color="auto"/>
            </w:tcBorders>
            <w:shd w:val="clear" w:color="auto" w:fill="auto"/>
            <w:noWrap/>
            <w:vAlign w:val="center"/>
          </w:tcPr>
          <w:p w14:paraId="555BF2C6" w14:textId="77777777" w:rsidR="00FC70C2" w:rsidRPr="00FC70C2" w:rsidRDefault="00FC70C2" w:rsidP="00FC70C2">
            <w:pPr>
              <w:widowControl w:val="0"/>
              <w:jc w:val="right"/>
              <w:rPr>
                <w:rFonts w:ascii="Arial Narrow" w:hAnsi="Arial Narrow" w:cs="Calibri"/>
                <w:sz w:val="20"/>
                <w:szCs w:val="20"/>
              </w:rPr>
            </w:pPr>
            <w:r w:rsidRPr="00FC70C2">
              <w:rPr>
                <w:rFonts w:ascii="Arial Narrow" w:hAnsi="Arial Narrow" w:cs="Calibri"/>
                <w:sz w:val="20"/>
                <w:szCs w:val="20"/>
              </w:rPr>
              <w:t>22,4%</w:t>
            </w:r>
          </w:p>
        </w:tc>
        <w:tc>
          <w:tcPr>
            <w:tcW w:w="1110" w:type="dxa"/>
            <w:tcBorders>
              <w:top w:val="single" w:sz="6" w:space="0" w:color="auto"/>
              <w:left w:val="single" w:sz="6" w:space="0" w:color="auto"/>
              <w:bottom w:val="single" w:sz="6" w:space="0" w:color="auto"/>
              <w:right w:val="single" w:sz="6" w:space="0" w:color="auto"/>
            </w:tcBorders>
            <w:noWrap/>
            <w:vAlign w:val="center"/>
          </w:tcPr>
          <w:p w14:paraId="437D8725" w14:textId="77777777" w:rsidR="00FC70C2" w:rsidRPr="00FC70C2" w:rsidRDefault="00FC70C2" w:rsidP="00FC70C2">
            <w:pPr>
              <w:widowControl w:val="0"/>
              <w:jc w:val="right"/>
              <w:rPr>
                <w:rFonts w:ascii="Arial Narrow" w:hAnsi="Arial Narrow" w:cs="Calibri"/>
                <w:sz w:val="20"/>
                <w:szCs w:val="20"/>
              </w:rPr>
            </w:pPr>
            <w:r w:rsidRPr="00FC70C2">
              <w:rPr>
                <w:rFonts w:ascii="Arial Narrow" w:hAnsi="Arial Narrow" w:cs="Calibri"/>
                <w:sz w:val="20"/>
                <w:szCs w:val="20"/>
              </w:rPr>
              <w:t>4,3</w:t>
            </w:r>
          </w:p>
        </w:tc>
        <w:tc>
          <w:tcPr>
            <w:tcW w:w="829" w:type="dxa"/>
            <w:tcBorders>
              <w:top w:val="single" w:sz="6" w:space="0" w:color="auto"/>
              <w:left w:val="single" w:sz="6" w:space="0" w:color="auto"/>
              <w:bottom w:val="single" w:sz="6" w:space="0" w:color="auto"/>
              <w:right w:val="single" w:sz="6" w:space="0" w:color="auto"/>
            </w:tcBorders>
            <w:noWrap/>
            <w:vAlign w:val="center"/>
          </w:tcPr>
          <w:p w14:paraId="41B681E4" w14:textId="77777777" w:rsidR="00FC70C2" w:rsidRPr="00FC70C2" w:rsidRDefault="00FC70C2" w:rsidP="00FC70C2">
            <w:pPr>
              <w:widowControl w:val="0"/>
              <w:jc w:val="right"/>
              <w:rPr>
                <w:rFonts w:ascii="Arial Narrow" w:hAnsi="Arial Narrow" w:cs="Calibri"/>
                <w:sz w:val="20"/>
                <w:szCs w:val="20"/>
              </w:rPr>
            </w:pPr>
            <w:r w:rsidRPr="00FC70C2">
              <w:rPr>
                <w:rFonts w:ascii="Arial Narrow" w:hAnsi="Arial Narrow" w:cs="Calibri"/>
                <w:sz w:val="20"/>
                <w:szCs w:val="20"/>
              </w:rPr>
              <w:t>21,7%</w:t>
            </w:r>
          </w:p>
        </w:tc>
        <w:tc>
          <w:tcPr>
            <w:tcW w:w="1110" w:type="dxa"/>
            <w:tcBorders>
              <w:top w:val="single" w:sz="6" w:space="0" w:color="auto"/>
              <w:left w:val="single" w:sz="6" w:space="0" w:color="auto"/>
              <w:bottom w:val="single" w:sz="6" w:space="0" w:color="auto"/>
              <w:right w:val="single" w:sz="6" w:space="0" w:color="auto"/>
            </w:tcBorders>
            <w:noWrap/>
            <w:vAlign w:val="center"/>
          </w:tcPr>
          <w:p w14:paraId="11A1CD71" w14:textId="77777777" w:rsidR="00FC70C2" w:rsidRPr="00FC70C2" w:rsidRDefault="00FC70C2" w:rsidP="00FC70C2">
            <w:pPr>
              <w:widowControl w:val="0"/>
              <w:jc w:val="right"/>
              <w:rPr>
                <w:rFonts w:ascii="Arial Narrow" w:hAnsi="Arial Narrow" w:cs="Calibri"/>
                <w:sz w:val="20"/>
                <w:szCs w:val="20"/>
              </w:rPr>
            </w:pPr>
            <w:r w:rsidRPr="00FC70C2">
              <w:rPr>
                <w:rFonts w:ascii="Arial Narrow" w:hAnsi="Arial Narrow" w:cs="Calibri"/>
                <w:sz w:val="20"/>
                <w:szCs w:val="20"/>
              </w:rPr>
              <w:t>3,3</w:t>
            </w:r>
          </w:p>
        </w:tc>
        <w:tc>
          <w:tcPr>
            <w:tcW w:w="832" w:type="dxa"/>
            <w:tcBorders>
              <w:top w:val="single" w:sz="6" w:space="0" w:color="auto"/>
              <w:left w:val="single" w:sz="6" w:space="0" w:color="auto"/>
              <w:bottom w:val="single" w:sz="6" w:space="0" w:color="auto"/>
              <w:right w:val="single" w:sz="6" w:space="0" w:color="auto"/>
            </w:tcBorders>
            <w:noWrap/>
            <w:vAlign w:val="center"/>
          </w:tcPr>
          <w:p w14:paraId="075311B7" w14:textId="77777777" w:rsidR="00FC70C2" w:rsidRPr="00FC70C2" w:rsidRDefault="00FC70C2" w:rsidP="00FC70C2">
            <w:pPr>
              <w:widowControl w:val="0"/>
              <w:jc w:val="right"/>
              <w:rPr>
                <w:rFonts w:ascii="Arial Narrow" w:hAnsi="Arial Narrow" w:cs="Calibri"/>
                <w:sz w:val="20"/>
                <w:szCs w:val="20"/>
              </w:rPr>
            </w:pPr>
            <w:r w:rsidRPr="00FC70C2">
              <w:rPr>
                <w:rFonts w:ascii="Arial Narrow" w:hAnsi="Arial Narrow" w:cs="Calibri"/>
                <w:sz w:val="20"/>
                <w:szCs w:val="20"/>
              </w:rPr>
              <w:t>22,7%</w:t>
            </w:r>
          </w:p>
        </w:tc>
      </w:tr>
      <w:tr w:rsidR="00FC70C2" w:rsidRPr="00FC70C2" w14:paraId="632F4C95" w14:textId="77777777" w:rsidTr="00E656EE">
        <w:trPr>
          <w:gridBefore w:val="1"/>
          <w:wBefore w:w="24" w:type="dxa"/>
          <w:cantSplit/>
          <w:trHeight w:val="340"/>
          <w:tblHeader/>
          <w:jc w:val="center"/>
        </w:trPr>
        <w:tc>
          <w:tcPr>
            <w:tcW w:w="2082" w:type="dxa"/>
            <w:shd w:val="clear" w:color="auto" w:fill="auto"/>
            <w:noWrap/>
            <w:vAlign w:val="center"/>
          </w:tcPr>
          <w:p w14:paraId="3018A532" w14:textId="77777777" w:rsidR="00FC70C2" w:rsidRPr="00FC70C2" w:rsidRDefault="00FC70C2" w:rsidP="00FC70C2">
            <w:pPr>
              <w:widowControl w:val="0"/>
              <w:rPr>
                <w:rFonts w:ascii="Arial Narrow" w:hAnsi="Arial Narrow" w:cs="Calibri"/>
                <w:b/>
                <w:bCs/>
                <w:sz w:val="20"/>
                <w:szCs w:val="20"/>
                <w:lang w:val="bg-BG"/>
              </w:rPr>
            </w:pPr>
            <w:r w:rsidRPr="00FC70C2">
              <w:rPr>
                <w:rFonts w:ascii="Arial Narrow" w:hAnsi="Arial Narrow" w:cs="Calibri"/>
                <w:b/>
                <w:bCs/>
                <w:sz w:val="20"/>
                <w:szCs w:val="20"/>
                <w:lang w:val="bg-BG"/>
              </w:rPr>
              <w:t>Общо за страната</w:t>
            </w:r>
          </w:p>
        </w:tc>
        <w:tc>
          <w:tcPr>
            <w:tcW w:w="1086" w:type="dxa"/>
            <w:tcBorders>
              <w:top w:val="nil"/>
              <w:left w:val="single" w:sz="4" w:space="0" w:color="auto"/>
              <w:bottom w:val="single" w:sz="4" w:space="0" w:color="auto"/>
              <w:right w:val="single" w:sz="4" w:space="0" w:color="auto"/>
            </w:tcBorders>
            <w:shd w:val="clear" w:color="auto" w:fill="auto"/>
            <w:noWrap/>
            <w:vAlign w:val="center"/>
          </w:tcPr>
          <w:p w14:paraId="3C8632AD" w14:textId="77777777" w:rsidR="00FC70C2" w:rsidRPr="00FC70C2" w:rsidRDefault="00FC70C2" w:rsidP="00FC70C2">
            <w:pPr>
              <w:widowControl w:val="0"/>
              <w:jc w:val="right"/>
              <w:rPr>
                <w:rFonts w:ascii="Arial Narrow" w:hAnsi="Arial Narrow" w:cs="Calibri"/>
                <w:b/>
                <w:sz w:val="20"/>
                <w:szCs w:val="20"/>
              </w:rPr>
            </w:pPr>
            <w:r w:rsidRPr="00FC70C2">
              <w:rPr>
                <w:rFonts w:ascii="Arial Narrow" w:hAnsi="Arial Narrow" w:cs="Calibri"/>
                <w:b/>
                <w:sz w:val="20"/>
                <w:szCs w:val="20"/>
              </w:rPr>
              <w:t>20,9</w:t>
            </w:r>
          </w:p>
        </w:tc>
        <w:tc>
          <w:tcPr>
            <w:tcW w:w="811" w:type="dxa"/>
            <w:tcBorders>
              <w:top w:val="nil"/>
              <w:left w:val="nil"/>
              <w:bottom w:val="single" w:sz="4" w:space="0" w:color="auto"/>
              <w:right w:val="single" w:sz="4" w:space="0" w:color="auto"/>
            </w:tcBorders>
            <w:shd w:val="clear" w:color="auto" w:fill="auto"/>
            <w:noWrap/>
            <w:vAlign w:val="center"/>
          </w:tcPr>
          <w:p w14:paraId="0352E394" w14:textId="77777777" w:rsidR="00FC70C2" w:rsidRPr="00FC70C2" w:rsidRDefault="00FC70C2" w:rsidP="00FC70C2">
            <w:pPr>
              <w:widowControl w:val="0"/>
              <w:jc w:val="right"/>
              <w:rPr>
                <w:rFonts w:ascii="Arial Narrow" w:hAnsi="Arial Narrow" w:cs="Calibri"/>
                <w:b/>
                <w:sz w:val="20"/>
                <w:szCs w:val="20"/>
              </w:rPr>
            </w:pPr>
            <w:r w:rsidRPr="00FC70C2">
              <w:rPr>
                <w:rFonts w:ascii="Arial Narrow" w:hAnsi="Arial Narrow" w:cs="Calibri"/>
                <w:b/>
                <w:sz w:val="20"/>
                <w:szCs w:val="20"/>
              </w:rPr>
              <w:t>100%</w:t>
            </w:r>
          </w:p>
        </w:tc>
        <w:tc>
          <w:tcPr>
            <w:tcW w:w="1087" w:type="dxa"/>
            <w:tcBorders>
              <w:top w:val="nil"/>
              <w:left w:val="nil"/>
              <w:bottom w:val="single" w:sz="4" w:space="0" w:color="auto"/>
              <w:right w:val="single" w:sz="4" w:space="0" w:color="auto"/>
            </w:tcBorders>
            <w:shd w:val="clear" w:color="auto" w:fill="auto"/>
            <w:noWrap/>
            <w:vAlign w:val="center"/>
          </w:tcPr>
          <w:p w14:paraId="1DF1583E" w14:textId="77777777" w:rsidR="00FC70C2" w:rsidRPr="00FC70C2" w:rsidRDefault="00FC70C2" w:rsidP="00FC70C2">
            <w:pPr>
              <w:widowControl w:val="0"/>
              <w:jc w:val="right"/>
              <w:rPr>
                <w:rFonts w:ascii="Arial Narrow" w:hAnsi="Arial Narrow" w:cs="Calibri"/>
                <w:b/>
                <w:sz w:val="20"/>
                <w:szCs w:val="20"/>
              </w:rPr>
            </w:pPr>
            <w:r w:rsidRPr="00FC70C2">
              <w:rPr>
                <w:rFonts w:ascii="Arial Narrow" w:hAnsi="Arial Narrow" w:cs="Calibri"/>
                <w:b/>
                <w:sz w:val="20"/>
                <w:szCs w:val="20"/>
              </w:rPr>
              <w:t>15,3</w:t>
            </w:r>
          </w:p>
        </w:tc>
        <w:tc>
          <w:tcPr>
            <w:tcW w:w="814" w:type="dxa"/>
            <w:tcBorders>
              <w:top w:val="nil"/>
              <w:left w:val="nil"/>
              <w:bottom w:val="single" w:sz="4" w:space="0" w:color="auto"/>
              <w:right w:val="single" w:sz="4" w:space="0" w:color="auto"/>
            </w:tcBorders>
            <w:shd w:val="clear" w:color="auto" w:fill="auto"/>
            <w:noWrap/>
            <w:vAlign w:val="center"/>
          </w:tcPr>
          <w:p w14:paraId="4ED31432" w14:textId="77777777" w:rsidR="00FC70C2" w:rsidRPr="00FC70C2" w:rsidRDefault="00FC70C2" w:rsidP="00FC70C2">
            <w:pPr>
              <w:widowControl w:val="0"/>
              <w:jc w:val="right"/>
              <w:rPr>
                <w:rFonts w:ascii="Arial Narrow" w:hAnsi="Arial Narrow" w:cs="Calibri"/>
                <w:b/>
                <w:sz w:val="20"/>
                <w:szCs w:val="20"/>
              </w:rPr>
            </w:pPr>
            <w:r w:rsidRPr="00FC70C2">
              <w:rPr>
                <w:rFonts w:ascii="Arial Narrow" w:hAnsi="Arial Narrow" w:cs="Calibri"/>
                <w:b/>
                <w:sz w:val="20"/>
                <w:szCs w:val="20"/>
              </w:rPr>
              <w:t>100%</w:t>
            </w:r>
          </w:p>
        </w:tc>
        <w:tc>
          <w:tcPr>
            <w:tcW w:w="1110" w:type="dxa"/>
            <w:tcBorders>
              <w:top w:val="single" w:sz="6" w:space="0" w:color="auto"/>
              <w:left w:val="single" w:sz="6" w:space="0" w:color="auto"/>
              <w:bottom w:val="single" w:sz="6" w:space="0" w:color="auto"/>
              <w:right w:val="single" w:sz="6" w:space="0" w:color="auto"/>
            </w:tcBorders>
            <w:noWrap/>
            <w:vAlign w:val="center"/>
          </w:tcPr>
          <w:p w14:paraId="12BAB28F" w14:textId="77777777" w:rsidR="00FC70C2" w:rsidRPr="00FC70C2" w:rsidRDefault="00FC70C2" w:rsidP="00FC70C2">
            <w:pPr>
              <w:widowControl w:val="0"/>
              <w:jc w:val="right"/>
              <w:rPr>
                <w:rFonts w:ascii="Arial Narrow" w:hAnsi="Arial Narrow" w:cs="Calibri"/>
                <w:b/>
                <w:sz w:val="20"/>
                <w:szCs w:val="20"/>
              </w:rPr>
            </w:pPr>
            <w:r w:rsidRPr="00FC70C2">
              <w:rPr>
                <w:rFonts w:ascii="Arial Narrow" w:hAnsi="Arial Narrow" w:cs="Calibri"/>
                <w:b/>
                <w:sz w:val="20"/>
                <w:szCs w:val="20"/>
              </w:rPr>
              <w:t>19,9</w:t>
            </w:r>
          </w:p>
        </w:tc>
        <w:tc>
          <w:tcPr>
            <w:tcW w:w="829" w:type="dxa"/>
            <w:tcBorders>
              <w:top w:val="single" w:sz="6" w:space="0" w:color="auto"/>
              <w:left w:val="single" w:sz="6" w:space="0" w:color="auto"/>
              <w:bottom w:val="single" w:sz="6" w:space="0" w:color="auto"/>
              <w:right w:val="single" w:sz="6" w:space="0" w:color="auto"/>
            </w:tcBorders>
            <w:noWrap/>
            <w:vAlign w:val="center"/>
          </w:tcPr>
          <w:p w14:paraId="1F60DD1C" w14:textId="77777777" w:rsidR="00FC70C2" w:rsidRPr="00FC70C2" w:rsidRDefault="00FC70C2" w:rsidP="00FC70C2">
            <w:pPr>
              <w:widowControl w:val="0"/>
              <w:jc w:val="right"/>
              <w:rPr>
                <w:rFonts w:ascii="Arial Narrow" w:hAnsi="Arial Narrow" w:cs="Calibri"/>
                <w:b/>
                <w:sz w:val="20"/>
                <w:szCs w:val="20"/>
              </w:rPr>
            </w:pPr>
            <w:r w:rsidRPr="00FC70C2">
              <w:rPr>
                <w:rFonts w:ascii="Arial Narrow" w:hAnsi="Arial Narrow" w:cs="Calibri"/>
                <w:b/>
                <w:sz w:val="20"/>
                <w:szCs w:val="20"/>
              </w:rPr>
              <w:t>100,0%</w:t>
            </w:r>
          </w:p>
        </w:tc>
        <w:tc>
          <w:tcPr>
            <w:tcW w:w="1110" w:type="dxa"/>
            <w:tcBorders>
              <w:top w:val="single" w:sz="6" w:space="0" w:color="auto"/>
              <w:left w:val="single" w:sz="6" w:space="0" w:color="auto"/>
              <w:bottom w:val="single" w:sz="6" w:space="0" w:color="auto"/>
              <w:right w:val="single" w:sz="6" w:space="0" w:color="auto"/>
            </w:tcBorders>
            <w:noWrap/>
            <w:vAlign w:val="center"/>
          </w:tcPr>
          <w:p w14:paraId="620F47BF" w14:textId="77777777" w:rsidR="00FC70C2" w:rsidRPr="00FC70C2" w:rsidRDefault="00FC70C2" w:rsidP="00FC70C2">
            <w:pPr>
              <w:widowControl w:val="0"/>
              <w:jc w:val="right"/>
              <w:rPr>
                <w:rFonts w:ascii="Arial Narrow" w:hAnsi="Arial Narrow" w:cs="Calibri"/>
                <w:b/>
                <w:sz w:val="20"/>
                <w:szCs w:val="20"/>
              </w:rPr>
            </w:pPr>
            <w:r w:rsidRPr="00FC70C2">
              <w:rPr>
                <w:rFonts w:ascii="Arial Narrow" w:hAnsi="Arial Narrow" w:cs="Calibri"/>
                <w:b/>
                <w:sz w:val="20"/>
                <w:szCs w:val="20"/>
              </w:rPr>
              <w:t>14,6</w:t>
            </w:r>
          </w:p>
        </w:tc>
        <w:tc>
          <w:tcPr>
            <w:tcW w:w="832" w:type="dxa"/>
            <w:tcBorders>
              <w:top w:val="single" w:sz="6" w:space="0" w:color="auto"/>
              <w:left w:val="single" w:sz="6" w:space="0" w:color="auto"/>
              <w:bottom w:val="single" w:sz="6" w:space="0" w:color="auto"/>
              <w:right w:val="single" w:sz="6" w:space="0" w:color="auto"/>
            </w:tcBorders>
            <w:noWrap/>
            <w:vAlign w:val="center"/>
          </w:tcPr>
          <w:p w14:paraId="7F405CA6" w14:textId="77777777" w:rsidR="00FC70C2" w:rsidRPr="00FC70C2" w:rsidRDefault="00FC70C2" w:rsidP="00FC70C2">
            <w:pPr>
              <w:widowControl w:val="0"/>
              <w:jc w:val="right"/>
              <w:rPr>
                <w:rFonts w:ascii="Arial Narrow" w:hAnsi="Arial Narrow" w:cs="Calibri"/>
                <w:b/>
                <w:sz w:val="20"/>
                <w:szCs w:val="20"/>
              </w:rPr>
            </w:pPr>
            <w:r w:rsidRPr="00FC70C2">
              <w:rPr>
                <w:rFonts w:ascii="Arial Narrow" w:hAnsi="Arial Narrow" w:cs="Calibri"/>
                <w:b/>
                <w:sz w:val="20"/>
                <w:szCs w:val="20"/>
              </w:rPr>
              <w:t>100,0%</w:t>
            </w:r>
          </w:p>
        </w:tc>
      </w:tr>
    </w:tbl>
    <w:p w14:paraId="2899C8C5" w14:textId="77777777" w:rsidR="00FC70C2" w:rsidRPr="00E656EE" w:rsidRDefault="00FC70C2" w:rsidP="00FC70C2">
      <w:pPr>
        <w:widowControl w:val="0"/>
        <w:spacing w:after="240" w:line="259" w:lineRule="auto"/>
        <w:jc w:val="both"/>
        <w:rPr>
          <w:rFonts w:ascii="Arial Narrow" w:eastAsia="Calibri" w:hAnsi="Arial Narrow" w:cs="Arial"/>
          <w:i/>
          <w:sz w:val="18"/>
          <w:lang w:val="bg-BG"/>
        </w:rPr>
      </w:pPr>
      <w:r w:rsidRPr="00E656EE">
        <w:rPr>
          <w:rFonts w:ascii="Arial Narrow" w:eastAsia="Calibri" w:hAnsi="Arial Narrow" w:cs="Arial"/>
          <w:i/>
          <w:sz w:val="18"/>
          <w:lang w:val="bg-BG"/>
        </w:rPr>
        <w:t xml:space="preserve">Източник: </w:t>
      </w:r>
      <w:r w:rsidRPr="00E656EE">
        <w:rPr>
          <w:rFonts w:ascii="Arial Narrow" w:eastAsia="Calibri" w:hAnsi="Arial Narrow" w:cs="Arial"/>
          <w:sz w:val="18"/>
          <w:lang w:val="bg-BG"/>
        </w:rPr>
        <w:t>МЗХ, отдел „Агростатистика</w:t>
      </w:r>
      <w:r w:rsidRPr="00E656EE">
        <w:rPr>
          <w:rFonts w:ascii="Arial Narrow" w:eastAsia="Calibri" w:hAnsi="Arial Narrow" w:cs="Arial"/>
          <w:i/>
          <w:sz w:val="18"/>
          <w:lang w:val="bg-BG"/>
        </w:rPr>
        <w:t>”</w:t>
      </w:r>
    </w:p>
    <w:p w14:paraId="2EB802D6" w14:textId="77777777" w:rsidR="00FC70C2" w:rsidRPr="00FC70C2" w:rsidRDefault="00FC70C2" w:rsidP="00FC70C2">
      <w:pPr>
        <w:widowControl w:val="0"/>
        <w:autoSpaceDE w:val="0"/>
        <w:autoSpaceDN w:val="0"/>
        <w:adjustRightInd w:val="0"/>
        <w:spacing w:after="120"/>
        <w:ind w:firstLine="706"/>
        <w:jc w:val="both"/>
        <w:rPr>
          <w:rFonts w:ascii="Arial Narrow" w:eastAsia="Calibri" w:hAnsi="Arial Narrow" w:cs="Arial"/>
          <w:lang w:val="bg-BG" w:eastAsia="bg-BG"/>
        </w:rPr>
      </w:pPr>
      <w:r w:rsidRPr="00FC70C2">
        <w:rPr>
          <w:rFonts w:ascii="Arial Narrow" w:eastAsia="Calibri" w:hAnsi="Arial Narrow" w:cs="Arial"/>
          <w:lang w:val="bg-BG" w:eastAsia="bg-BG"/>
        </w:rPr>
        <w:t xml:space="preserve">Водещи в биволовъдството през 2024 г. остават Северозападен, Югоизточен и Южен централен райони, където са концентрирани около 79% от поголовието. </w:t>
      </w:r>
    </w:p>
    <w:p w14:paraId="64519A57" w14:textId="77777777" w:rsidR="00FC70C2" w:rsidRPr="00FC70C2" w:rsidRDefault="00FC70C2" w:rsidP="00FC70C2">
      <w:pPr>
        <w:widowControl w:val="0"/>
        <w:autoSpaceDE w:val="0"/>
        <w:autoSpaceDN w:val="0"/>
        <w:adjustRightInd w:val="0"/>
        <w:spacing w:after="120"/>
        <w:ind w:firstLine="709"/>
        <w:jc w:val="both"/>
        <w:rPr>
          <w:rFonts w:ascii="Arial Narrow" w:eastAsia="Calibri" w:hAnsi="Arial Narrow" w:cs="Arial"/>
          <w:lang w:val="bg-BG" w:eastAsia="bg-BG"/>
        </w:rPr>
      </w:pPr>
      <w:r w:rsidRPr="00FC70C2">
        <w:rPr>
          <w:rFonts w:ascii="Arial Narrow" w:eastAsia="Calibri" w:hAnsi="Arial Narrow" w:cs="Arial"/>
          <w:lang w:val="bg-BG" w:eastAsia="bg-BG"/>
        </w:rPr>
        <w:t>През 2024 г. в страната са добити общо 15</w:t>
      </w:r>
      <w:r w:rsidR="00A27D4A">
        <w:rPr>
          <w:rFonts w:ascii="Arial Narrow" w:eastAsia="Calibri" w:hAnsi="Arial Narrow" w:cs="Arial"/>
          <w:lang w:val="bg-BG" w:eastAsia="bg-BG"/>
        </w:rPr>
        <w:t> 444 хил. литра биволско мляко -</w:t>
      </w:r>
      <w:r w:rsidRPr="00FC70C2">
        <w:rPr>
          <w:rFonts w:ascii="Arial Narrow" w:eastAsia="Calibri" w:hAnsi="Arial Narrow" w:cs="Arial"/>
          <w:lang w:val="bg-BG" w:eastAsia="bg-BG"/>
        </w:rPr>
        <w:t xml:space="preserve"> с 5,6% по-малко на годишна база, в резултат на редуцирания брой биволици. Северозападен район е водещ в производството на биволско мляко, формирайки 45% от общия обем за страната. Следват Югоизточен (с 21,4%) и Южен централен райони (със 17,7%). </w:t>
      </w:r>
    </w:p>
    <w:p w14:paraId="299AEA34" w14:textId="77777777" w:rsidR="00FC70C2" w:rsidRPr="00FC70C2" w:rsidRDefault="00FC70C2" w:rsidP="00FC70C2">
      <w:pPr>
        <w:widowControl w:val="0"/>
        <w:autoSpaceDE w:val="0"/>
        <w:autoSpaceDN w:val="0"/>
        <w:adjustRightInd w:val="0"/>
        <w:spacing w:after="120"/>
        <w:ind w:firstLine="709"/>
        <w:jc w:val="both"/>
        <w:rPr>
          <w:rFonts w:ascii="Arial Narrow" w:eastAsia="Calibri" w:hAnsi="Arial Narrow" w:cs="Arial"/>
          <w:lang w:val="bg-BG" w:eastAsia="bg-BG"/>
        </w:rPr>
      </w:pPr>
      <w:r w:rsidRPr="00FC70C2">
        <w:rPr>
          <w:rFonts w:ascii="Arial Narrow" w:eastAsia="Calibri" w:hAnsi="Arial Narrow" w:cs="Arial"/>
          <w:lang w:val="bg-BG" w:eastAsia="bg-BG"/>
        </w:rPr>
        <w:t xml:space="preserve">Общото производство на говеждо месо през 2024 г. е в размер на 18 818 тона, с </w:t>
      </w:r>
      <w:r w:rsidRPr="00FC70C2">
        <w:rPr>
          <w:rFonts w:ascii="Arial Narrow" w:eastAsia="Calibri" w:hAnsi="Arial Narrow" w:cs="Arial"/>
          <w:lang w:eastAsia="bg-BG"/>
        </w:rPr>
        <w:t>16</w:t>
      </w:r>
      <w:r w:rsidRPr="00FC70C2">
        <w:rPr>
          <w:rFonts w:ascii="Arial Narrow" w:eastAsia="Calibri" w:hAnsi="Arial Narrow" w:cs="Arial"/>
          <w:lang w:val="bg-BG" w:eastAsia="bg-BG"/>
        </w:rPr>
        <w:t>,</w:t>
      </w:r>
      <w:r w:rsidRPr="00FC70C2">
        <w:rPr>
          <w:rFonts w:ascii="Arial Narrow" w:eastAsia="Calibri" w:hAnsi="Arial Narrow" w:cs="Arial"/>
          <w:lang w:eastAsia="bg-BG"/>
        </w:rPr>
        <w:t>2</w:t>
      </w:r>
      <w:r w:rsidRPr="00FC70C2">
        <w:rPr>
          <w:rFonts w:ascii="Arial Narrow" w:eastAsia="Calibri" w:hAnsi="Arial Narrow" w:cs="Arial"/>
          <w:lang w:val="bg-BG" w:eastAsia="bg-BG"/>
        </w:rPr>
        <w:t>% над нивото от предходната година. Добивът в стопанствата нараства с 26,5%, до 11 422 тона, а този в кланиците - с 5,3%, до 7 397 тона. Говеждото месо формира малко над 16% от общия обем произведено червено месо през годината.</w:t>
      </w:r>
    </w:p>
    <w:p w14:paraId="37178443" w14:textId="77777777" w:rsidR="00FC70C2" w:rsidRPr="00FC70C2" w:rsidRDefault="00FC70C2" w:rsidP="00FC70C2">
      <w:pPr>
        <w:widowControl w:val="0"/>
        <w:tabs>
          <w:tab w:val="left" w:pos="180"/>
        </w:tabs>
        <w:spacing w:after="120"/>
        <w:rPr>
          <w:rFonts w:ascii="Arial Narrow" w:eastAsia="Calibri" w:hAnsi="Arial Narrow" w:cs="Arial"/>
          <w:b/>
          <w:iCs/>
          <w:lang w:val="bg-BG"/>
        </w:rPr>
      </w:pPr>
      <w:r w:rsidRPr="00FC70C2">
        <w:rPr>
          <w:rFonts w:ascii="Arial Narrow" w:eastAsia="Calibri" w:hAnsi="Arial Narrow" w:cs="Arial"/>
          <w:b/>
          <w:iCs/>
          <w:lang w:val="bg-BG"/>
        </w:rPr>
        <w:t>Таблица ІІ.19. Производство на говеждо месо през 2023 и 2024 г. (тона кланично тегло)</w:t>
      </w:r>
    </w:p>
    <w:tbl>
      <w:tblPr>
        <w:tblW w:w="491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7"/>
        <w:gridCol w:w="858"/>
        <w:gridCol w:w="769"/>
        <w:gridCol w:w="1105"/>
        <w:gridCol w:w="841"/>
        <w:gridCol w:w="771"/>
        <w:gridCol w:w="1151"/>
        <w:gridCol w:w="858"/>
        <w:gridCol w:w="860"/>
        <w:gridCol w:w="1041"/>
      </w:tblGrid>
      <w:tr w:rsidR="00FC70C2" w:rsidRPr="00FC70C2" w14:paraId="730C6B29" w14:textId="77777777" w:rsidTr="00A27D4A">
        <w:trPr>
          <w:trHeight w:val="451"/>
          <w:tblHeader/>
          <w:jc w:val="center"/>
        </w:trPr>
        <w:tc>
          <w:tcPr>
            <w:tcW w:w="719" w:type="pct"/>
            <w:vMerge w:val="restart"/>
            <w:shd w:val="clear" w:color="auto" w:fill="auto"/>
            <w:vAlign w:val="center"/>
            <w:hideMark/>
          </w:tcPr>
          <w:p w14:paraId="1C39E119" w14:textId="77777777" w:rsidR="00FC70C2" w:rsidRPr="00FC70C2" w:rsidRDefault="00FC70C2" w:rsidP="00FC70C2">
            <w:pPr>
              <w:widowControl w:val="0"/>
              <w:jc w:val="center"/>
              <w:rPr>
                <w:rFonts w:ascii="Arial Narrow" w:hAnsi="Arial Narrow" w:cs="Calibri"/>
                <w:b/>
                <w:bCs/>
                <w:sz w:val="20"/>
                <w:szCs w:val="20"/>
                <w:lang w:val="bg-BG"/>
              </w:rPr>
            </w:pPr>
            <w:r w:rsidRPr="00FC70C2">
              <w:rPr>
                <w:rFonts w:ascii="Arial Narrow" w:hAnsi="Arial Narrow" w:cs="Calibri"/>
                <w:b/>
                <w:bCs/>
                <w:sz w:val="20"/>
                <w:szCs w:val="20"/>
                <w:lang w:val="bg-BG"/>
              </w:rPr>
              <w:t>Категории животни</w:t>
            </w:r>
          </w:p>
        </w:tc>
        <w:tc>
          <w:tcPr>
            <w:tcW w:w="1417" w:type="pct"/>
            <w:gridSpan w:val="3"/>
            <w:shd w:val="clear" w:color="auto" w:fill="auto"/>
            <w:vAlign w:val="center"/>
            <w:hideMark/>
          </w:tcPr>
          <w:p w14:paraId="737D3EFD" w14:textId="77777777" w:rsidR="00FC70C2" w:rsidRPr="00FC70C2" w:rsidRDefault="00FC70C2" w:rsidP="00FC70C2">
            <w:pPr>
              <w:widowControl w:val="0"/>
              <w:jc w:val="center"/>
              <w:rPr>
                <w:rFonts w:ascii="Arial Narrow" w:hAnsi="Arial Narrow" w:cs="Calibri"/>
                <w:b/>
                <w:bCs/>
                <w:sz w:val="20"/>
                <w:szCs w:val="20"/>
                <w:lang w:val="bg-BG"/>
              </w:rPr>
            </w:pPr>
            <w:r w:rsidRPr="00FC70C2">
              <w:rPr>
                <w:rFonts w:ascii="Arial Narrow" w:hAnsi="Arial Narrow" w:cs="Calibri"/>
                <w:b/>
                <w:bCs/>
                <w:sz w:val="20"/>
                <w:szCs w:val="20"/>
                <w:lang w:val="bg-BG"/>
              </w:rPr>
              <w:t>В кланици</w:t>
            </w:r>
          </w:p>
        </w:tc>
        <w:tc>
          <w:tcPr>
            <w:tcW w:w="1433" w:type="pct"/>
            <w:gridSpan w:val="3"/>
            <w:shd w:val="clear" w:color="auto" w:fill="auto"/>
            <w:vAlign w:val="center"/>
            <w:hideMark/>
          </w:tcPr>
          <w:p w14:paraId="26E677FB" w14:textId="77777777" w:rsidR="00FC70C2" w:rsidRPr="00FC70C2" w:rsidRDefault="00FC70C2" w:rsidP="00FC70C2">
            <w:pPr>
              <w:widowControl w:val="0"/>
              <w:jc w:val="center"/>
              <w:rPr>
                <w:rFonts w:ascii="Arial Narrow" w:hAnsi="Arial Narrow" w:cs="Calibri"/>
                <w:b/>
                <w:bCs/>
                <w:sz w:val="20"/>
                <w:szCs w:val="20"/>
                <w:lang w:val="bg-BG"/>
              </w:rPr>
            </w:pPr>
            <w:r w:rsidRPr="00FC70C2">
              <w:rPr>
                <w:rFonts w:ascii="Arial Narrow" w:hAnsi="Arial Narrow" w:cs="Calibri"/>
                <w:b/>
                <w:bCs/>
                <w:sz w:val="20"/>
                <w:szCs w:val="20"/>
                <w:lang w:val="bg-BG"/>
              </w:rPr>
              <w:t>В стопанства</w:t>
            </w:r>
          </w:p>
        </w:tc>
        <w:tc>
          <w:tcPr>
            <w:tcW w:w="1431" w:type="pct"/>
            <w:gridSpan w:val="3"/>
            <w:shd w:val="clear" w:color="auto" w:fill="auto"/>
            <w:vAlign w:val="center"/>
            <w:hideMark/>
          </w:tcPr>
          <w:p w14:paraId="7295ACA0" w14:textId="77777777" w:rsidR="00FC70C2" w:rsidRPr="00FC70C2" w:rsidRDefault="00FC70C2" w:rsidP="00FC70C2">
            <w:pPr>
              <w:widowControl w:val="0"/>
              <w:jc w:val="center"/>
              <w:rPr>
                <w:rFonts w:ascii="Arial Narrow" w:hAnsi="Arial Narrow" w:cs="Calibri"/>
                <w:b/>
                <w:bCs/>
                <w:sz w:val="20"/>
                <w:szCs w:val="20"/>
                <w:lang w:val="bg-BG"/>
              </w:rPr>
            </w:pPr>
            <w:r w:rsidRPr="00FC70C2">
              <w:rPr>
                <w:rFonts w:ascii="Arial Narrow" w:hAnsi="Arial Narrow" w:cs="Calibri"/>
                <w:b/>
                <w:bCs/>
                <w:sz w:val="20"/>
                <w:szCs w:val="20"/>
                <w:lang w:val="bg-BG"/>
              </w:rPr>
              <w:t xml:space="preserve">Общо производство </w:t>
            </w:r>
          </w:p>
        </w:tc>
      </w:tr>
      <w:tr w:rsidR="00FC70C2" w:rsidRPr="00FC70C2" w14:paraId="695FD3B4" w14:textId="77777777" w:rsidTr="00A27D4A">
        <w:trPr>
          <w:trHeight w:val="721"/>
          <w:tblHeader/>
          <w:jc w:val="center"/>
        </w:trPr>
        <w:tc>
          <w:tcPr>
            <w:tcW w:w="719" w:type="pct"/>
            <w:vMerge/>
            <w:vAlign w:val="center"/>
            <w:hideMark/>
          </w:tcPr>
          <w:p w14:paraId="3E77F99B" w14:textId="77777777" w:rsidR="00FC70C2" w:rsidRPr="00FC70C2" w:rsidRDefault="00FC70C2" w:rsidP="00FC70C2">
            <w:pPr>
              <w:widowControl w:val="0"/>
              <w:rPr>
                <w:rFonts w:ascii="Arial Narrow" w:hAnsi="Arial Narrow" w:cs="Calibri"/>
                <w:b/>
                <w:bCs/>
                <w:sz w:val="20"/>
                <w:szCs w:val="20"/>
                <w:lang w:val="bg-BG"/>
              </w:rPr>
            </w:pPr>
          </w:p>
        </w:tc>
        <w:tc>
          <w:tcPr>
            <w:tcW w:w="445" w:type="pct"/>
            <w:shd w:val="clear" w:color="auto" w:fill="auto"/>
            <w:vAlign w:val="center"/>
            <w:hideMark/>
          </w:tcPr>
          <w:p w14:paraId="1BAF96F0" w14:textId="77777777" w:rsidR="00FC70C2" w:rsidRPr="00FC70C2" w:rsidRDefault="00FC70C2" w:rsidP="00FC70C2">
            <w:pPr>
              <w:widowControl w:val="0"/>
              <w:jc w:val="center"/>
              <w:rPr>
                <w:rFonts w:ascii="Arial Narrow" w:hAnsi="Arial Narrow" w:cs="Calibri"/>
                <w:b/>
                <w:bCs/>
                <w:sz w:val="20"/>
                <w:szCs w:val="20"/>
                <w:lang w:val="bg-BG"/>
              </w:rPr>
            </w:pPr>
            <w:r w:rsidRPr="00FC70C2">
              <w:rPr>
                <w:rFonts w:ascii="Arial Narrow" w:hAnsi="Arial Narrow" w:cs="Calibri"/>
                <w:b/>
                <w:bCs/>
                <w:sz w:val="20"/>
                <w:szCs w:val="20"/>
              </w:rPr>
              <w:t>202</w:t>
            </w:r>
            <w:r w:rsidRPr="00FC70C2">
              <w:rPr>
                <w:rFonts w:ascii="Arial Narrow" w:hAnsi="Arial Narrow" w:cs="Calibri"/>
                <w:b/>
                <w:bCs/>
                <w:sz w:val="20"/>
                <w:szCs w:val="20"/>
                <w:lang w:val="bg-BG"/>
              </w:rPr>
              <w:t>3</w:t>
            </w:r>
          </w:p>
        </w:tc>
        <w:tc>
          <w:tcPr>
            <w:tcW w:w="399" w:type="pct"/>
            <w:shd w:val="clear" w:color="auto" w:fill="auto"/>
            <w:noWrap/>
            <w:vAlign w:val="center"/>
            <w:hideMark/>
          </w:tcPr>
          <w:p w14:paraId="3A3E30AE" w14:textId="77777777" w:rsidR="00FC70C2" w:rsidRPr="00FC70C2" w:rsidRDefault="00FC70C2" w:rsidP="00FC70C2">
            <w:pPr>
              <w:widowControl w:val="0"/>
              <w:jc w:val="center"/>
              <w:rPr>
                <w:rFonts w:ascii="Arial Narrow" w:hAnsi="Arial Narrow" w:cs="Calibri"/>
                <w:b/>
                <w:bCs/>
                <w:sz w:val="20"/>
                <w:szCs w:val="20"/>
                <w:lang w:val="bg-BG"/>
              </w:rPr>
            </w:pPr>
            <w:r w:rsidRPr="00FC70C2">
              <w:rPr>
                <w:rFonts w:ascii="Arial Narrow" w:hAnsi="Arial Narrow" w:cs="Calibri"/>
                <w:b/>
                <w:bCs/>
                <w:sz w:val="20"/>
                <w:szCs w:val="20"/>
              </w:rPr>
              <w:t>202</w:t>
            </w:r>
            <w:r w:rsidRPr="00FC70C2">
              <w:rPr>
                <w:rFonts w:ascii="Arial Narrow" w:hAnsi="Arial Narrow" w:cs="Calibri"/>
                <w:b/>
                <w:bCs/>
                <w:sz w:val="20"/>
                <w:szCs w:val="20"/>
                <w:lang w:val="bg-BG"/>
              </w:rPr>
              <w:t>4</w:t>
            </w:r>
          </w:p>
        </w:tc>
        <w:tc>
          <w:tcPr>
            <w:tcW w:w="573" w:type="pct"/>
            <w:shd w:val="clear" w:color="auto" w:fill="auto"/>
            <w:vAlign w:val="center"/>
            <w:hideMark/>
          </w:tcPr>
          <w:p w14:paraId="7EDE6597" w14:textId="77777777" w:rsidR="00FC70C2" w:rsidRPr="00FC70C2" w:rsidRDefault="00FC70C2" w:rsidP="00FC70C2">
            <w:pPr>
              <w:widowControl w:val="0"/>
              <w:jc w:val="center"/>
              <w:rPr>
                <w:rFonts w:ascii="Arial Narrow" w:hAnsi="Arial Narrow" w:cs="Calibri"/>
                <w:b/>
                <w:bCs/>
                <w:sz w:val="20"/>
                <w:szCs w:val="20"/>
                <w:lang w:val="bg-BG"/>
              </w:rPr>
            </w:pPr>
            <w:r w:rsidRPr="00FC70C2">
              <w:rPr>
                <w:rFonts w:ascii="Arial Narrow" w:hAnsi="Arial Narrow" w:cs="Calibri"/>
                <w:b/>
                <w:bCs/>
                <w:sz w:val="20"/>
                <w:szCs w:val="20"/>
                <w:lang w:val="bg-BG"/>
              </w:rPr>
              <w:t xml:space="preserve">Изм. </w:t>
            </w:r>
            <w:r w:rsidRPr="00FC70C2">
              <w:rPr>
                <w:rFonts w:ascii="Arial Narrow" w:hAnsi="Arial Narrow"/>
                <w:b/>
                <w:sz w:val="20"/>
                <w:szCs w:val="20"/>
                <w:lang w:val="bg-BG"/>
              </w:rPr>
              <w:t>2024/2023</w:t>
            </w:r>
          </w:p>
        </w:tc>
        <w:tc>
          <w:tcPr>
            <w:tcW w:w="436" w:type="pct"/>
            <w:shd w:val="clear" w:color="auto" w:fill="auto"/>
            <w:vAlign w:val="center"/>
            <w:hideMark/>
          </w:tcPr>
          <w:p w14:paraId="34EC3EA7" w14:textId="77777777" w:rsidR="00FC70C2" w:rsidRPr="00FC70C2" w:rsidRDefault="00FC70C2" w:rsidP="00FC70C2">
            <w:pPr>
              <w:widowControl w:val="0"/>
              <w:jc w:val="center"/>
              <w:rPr>
                <w:rFonts w:ascii="Arial Narrow" w:hAnsi="Arial Narrow" w:cs="Calibri"/>
                <w:b/>
                <w:bCs/>
                <w:sz w:val="20"/>
                <w:szCs w:val="20"/>
                <w:lang w:val="bg-BG"/>
              </w:rPr>
            </w:pPr>
            <w:r w:rsidRPr="00FC70C2">
              <w:rPr>
                <w:rFonts w:ascii="Arial Narrow" w:hAnsi="Arial Narrow" w:cs="Calibri"/>
                <w:b/>
                <w:bCs/>
                <w:sz w:val="20"/>
                <w:szCs w:val="20"/>
              </w:rPr>
              <w:t>202</w:t>
            </w:r>
            <w:r w:rsidRPr="00FC70C2">
              <w:rPr>
                <w:rFonts w:ascii="Arial Narrow" w:hAnsi="Arial Narrow" w:cs="Calibri"/>
                <w:b/>
                <w:bCs/>
                <w:sz w:val="20"/>
                <w:szCs w:val="20"/>
                <w:lang w:val="bg-BG"/>
              </w:rPr>
              <w:t>3</w:t>
            </w:r>
          </w:p>
        </w:tc>
        <w:tc>
          <w:tcPr>
            <w:tcW w:w="400" w:type="pct"/>
            <w:shd w:val="clear" w:color="auto" w:fill="auto"/>
            <w:noWrap/>
            <w:vAlign w:val="center"/>
            <w:hideMark/>
          </w:tcPr>
          <w:p w14:paraId="662C5C9D" w14:textId="77777777" w:rsidR="00FC70C2" w:rsidRPr="00FC70C2" w:rsidRDefault="00FC70C2" w:rsidP="00FC70C2">
            <w:pPr>
              <w:widowControl w:val="0"/>
              <w:jc w:val="center"/>
              <w:rPr>
                <w:rFonts w:ascii="Arial Narrow" w:hAnsi="Arial Narrow" w:cs="Calibri"/>
                <w:b/>
                <w:bCs/>
                <w:sz w:val="20"/>
                <w:szCs w:val="20"/>
                <w:lang w:val="bg-BG"/>
              </w:rPr>
            </w:pPr>
            <w:r w:rsidRPr="00FC70C2">
              <w:rPr>
                <w:rFonts w:ascii="Arial Narrow" w:hAnsi="Arial Narrow" w:cs="Calibri"/>
                <w:b/>
                <w:bCs/>
                <w:sz w:val="20"/>
                <w:szCs w:val="20"/>
              </w:rPr>
              <w:t>202</w:t>
            </w:r>
            <w:r w:rsidRPr="00FC70C2">
              <w:rPr>
                <w:rFonts w:ascii="Arial Narrow" w:hAnsi="Arial Narrow" w:cs="Calibri"/>
                <w:b/>
                <w:bCs/>
                <w:sz w:val="20"/>
                <w:szCs w:val="20"/>
                <w:lang w:val="bg-BG"/>
              </w:rPr>
              <w:t>4</w:t>
            </w:r>
          </w:p>
        </w:tc>
        <w:tc>
          <w:tcPr>
            <w:tcW w:w="597" w:type="pct"/>
            <w:shd w:val="clear" w:color="auto" w:fill="auto"/>
            <w:vAlign w:val="center"/>
            <w:hideMark/>
          </w:tcPr>
          <w:p w14:paraId="4EE9EBF8" w14:textId="77777777" w:rsidR="00FC70C2" w:rsidRPr="00FC70C2" w:rsidRDefault="00FC70C2" w:rsidP="00FC70C2">
            <w:pPr>
              <w:widowControl w:val="0"/>
              <w:jc w:val="center"/>
              <w:rPr>
                <w:rFonts w:ascii="Arial Narrow" w:hAnsi="Arial Narrow" w:cs="Calibri"/>
                <w:b/>
                <w:bCs/>
                <w:sz w:val="20"/>
                <w:szCs w:val="20"/>
                <w:lang w:val="bg-BG"/>
              </w:rPr>
            </w:pPr>
            <w:r w:rsidRPr="00FC70C2">
              <w:rPr>
                <w:rFonts w:ascii="Arial Narrow" w:hAnsi="Arial Narrow" w:cs="Calibri"/>
                <w:b/>
                <w:bCs/>
                <w:sz w:val="20"/>
                <w:szCs w:val="20"/>
                <w:lang w:val="bg-BG"/>
              </w:rPr>
              <w:t xml:space="preserve">Изм. </w:t>
            </w:r>
            <w:r w:rsidRPr="00FC70C2">
              <w:rPr>
                <w:rFonts w:ascii="Arial Narrow" w:hAnsi="Arial Narrow"/>
                <w:b/>
                <w:sz w:val="20"/>
                <w:szCs w:val="20"/>
                <w:lang w:val="bg-BG"/>
              </w:rPr>
              <w:t>2024/2023</w:t>
            </w:r>
          </w:p>
        </w:tc>
        <w:tc>
          <w:tcPr>
            <w:tcW w:w="445" w:type="pct"/>
            <w:shd w:val="clear" w:color="auto" w:fill="auto"/>
            <w:vAlign w:val="center"/>
            <w:hideMark/>
          </w:tcPr>
          <w:p w14:paraId="7F0E6960" w14:textId="77777777" w:rsidR="00FC70C2" w:rsidRPr="00FC70C2" w:rsidRDefault="00FC70C2" w:rsidP="00FC70C2">
            <w:pPr>
              <w:widowControl w:val="0"/>
              <w:jc w:val="center"/>
              <w:rPr>
                <w:rFonts w:ascii="Arial Narrow" w:hAnsi="Arial Narrow" w:cs="Calibri"/>
                <w:b/>
                <w:bCs/>
                <w:sz w:val="20"/>
                <w:szCs w:val="20"/>
                <w:lang w:val="bg-BG"/>
              </w:rPr>
            </w:pPr>
            <w:r w:rsidRPr="00FC70C2">
              <w:rPr>
                <w:rFonts w:ascii="Arial Narrow" w:hAnsi="Arial Narrow" w:cs="Calibri"/>
                <w:b/>
                <w:bCs/>
                <w:sz w:val="20"/>
                <w:szCs w:val="20"/>
              </w:rPr>
              <w:t>202</w:t>
            </w:r>
            <w:r w:rsidRPr="00FC70C2">
              <w:rPr>
                <w:rFonts w:ascii="Arial Narrow" w:hAnsi="Arial Narrow" w:cs="Calibri"/>
                <w:b/>
                <w:bCs/>
                <w:sz w:val="20"/>
                <w:szCs w:val="20"/>
                <w:lang w:val="bg-BG"/>
              </w:rPr>
              <w:t>3</w:t>
            </w:r>
          </w:p>
        </w:tc>
        <w:tc>
          <w:tcPr>
            <w:tcW w:w="446" w:type="pct"/>
            <w:shd w:val="clear" w:color="auto" w:fill="auto"/>
            <w:noWrap/>
            <w:vAlign w:val="center"/>
            <w:hideMark/>
          </w:tcPr>
          <w:p w14:paraId="66ED715F" w14:textId="77777777" w:rsidR="00FC70C2" w:rsidRPr="00FC70C2" w:rsidRDefault="00FC70C2" w:rsidP="00FC70C2">
            <w:pPr>
              <w:widowControl w:val="0"/>
              <w:jc w:val="center"/>
              <w:rPr>
                <w:rFonts w:ascii="Arial Narrow" w:hAnsi="Arial Narrow" w:cs="Calibri"/>
                <w:b/>
                <w:bCs/>
                <w:sz w:val="20"/>
                <w:szCs w:val="20"/>
                <w:lang w:val="bg-BG"/>
              </w:rPr>
            </w:pPr>
            <w:r w:rsidRPr="00FC70C2">
              <w:rPr>
                <w:rFonts w:ascii="Arial Narrow" w:hAnsi="Arial Narrow" w:cs="Calibri"/>
                <w:b/>
                <w:bCs/>
                <w:sz w:val="20"/>
                <w:szCs w:val="20"/>
              </w:rPr>
              <w:t>202</w:t>
            </w:r>
            <w:r w:rsidRPr="00FC70C2">
              <w:rPr>
                <w:rFonts w:ascii="Arial Narrow" w:hAnsi="Arial Narrow" w:cs="Calibri"/>
                <w:b/>
                <w:bCs/>
                <w:sz w:val="20"/>
                <w:szCs w:val="20"/>
                <w:lang w:val="bg-BG"/>
              </w:rPr>
              <w:t>4</w:t>
            </w:r>
          </w:p>
        </w:tc>
        <w:tc>
          <w:tcPr>
            <w:tcW w:w="541" w:type="pct"/>
            <w:shd w:val="clear" w:color="auto" w:fill="auto"/>
            <w:vAlign w:val="center"/>
            <w:hideMark/>
          </w:tcPr>
          <w:p w14:paraId="3E234020" w14:textId="77777777" w:rsidR="00FC70C2" w:rsidRPr="00FC70C2" w:rsidRDefault="00FC70C2" w:rsidP="00FC70C2">
            <w:pPr>
              <w:widowControl w:val="0"/>
              <w:jc w:val="center"/>
              <w:rPr>
                <w:rFonts w:ascii="Arial Narrow" w:hAnsi="Arial Narrow" w:cs="Calibri"/>
                <w:b/>
                <w:bCs/>
                <w:sz w:val="20"/>
                <w:szCs w:val="20"/>
                <w:lang w:val="bg-BG"/>
              </w:rPr>
            </w:pPr>
            <w:r w:rsidRPr="00FC70C2">
              <w:rPr>
                <w:rFonts w:ascii="Arial Narrow" w:hAnsi="Arial Narrow" w:cs="Calibri"/>
                <w:b/>
                <w:bCs/>
                <w:sz w:val="20"/>
                <w:szCs w:val="20"/>
                <w:lang w:val="bg-BG"/>
              </w:rPr>
              <w:t xml:space="preserve">Изм. </w:t>
            </w:r>
            <w:r w:rsidRPr="00FC70C2">
              <w:rPr>
                <w:rFonts w:ascii="Arial Narrow" w:hAnsi="Arial Narrow"/>
                <w:b/>
                <w:sz w:val="20"/>
                <w:szCs w:val="20"/>
                <w:lang w:val="bg-BG"/>
              </w:rPr>
              <w:t>2024/2023</w:t>
            </w:r>
          </w:p>
        </w:tc>
      </w:tr>
      <w:tr w:rsidR="00FC70C2" w:rsidRPr="00FC70C2" w14:paraId="5E5D599B" w14:textId="77777777" w:rsidTr="00A27D4A">
        <w:trPr>
          <w:trHeight w:val="567"/>
          <w:jc w:val="center"/>
        </w:trPr>
        <w:tc>
          <w:tcPr>
            <w:tcW w:w="719" w:type="pct"/>
            <w:shd w:val="clear" w:color="auto" w:fill="auto"/>
            <w:vAlign w:val="center"/>
            <w:hideMark/>
          </w:tcPr>
          <w:p w14:paraId="1C49968E" w14:textId="77777777" w:rsidR="00FC70C2" w:rsidRPr="00FC70C2" w:rsidRDefault="00FC70C2" w:rsidP="00FC70C2">
            <w:pPr>
              <w:widowControl w:val="0"/>
              <w:rPr>
                <w:rFonts w:ascii="Arial Narrow" w:hAnsi="Arial Narrow" w:cs="Calibri"/>
                <w:sz w:val="20"/>
                <w:szCs w:val="20"/>
                <w:lang w:val="bg-BG"/>
              </w:rPr>
            </w:pPr>
            <w:r w:rsidRPr="00FC70C2">
              <w:rPr>
                <w:rFonts w:ascii="Arial Narrow" w:hAnsi="Arial Narrow" w:cs="Calibri"/>
                <w:sz w:val="20"/>
                <w:szCs w:val="20"/>
                <w:lang w:val="bg-BG"/>
              </w:rPr>
              <w:t>Телета и млади говеда</w:t>
            </w:r>
          </w:p>
        </w:tc>
        <w:tc>
          <w:tcPr>
            <w:tcW w:w="445" w:type="pct"/>
            <w:shd w:val="clear" w:color="auto" w:fill="auto"/>
            <w:vAlign w:val="center"/>
          </w:tcPr>
          <w:p w14:paraId="4E218A38" w14:textId="77777777" w:rsidR="00FC70C2" w:rsidRPr="00FC70C2" w:rsidRDefault="00FC70C2" w:rsidP="00FC70C2">
            <w:pPr>
              <w:widowControl w:val="0"/>
              <w:jc w:val="right"/>
              <w:rPr>
                <w:rFonts w:ascii="Arial Narrow" w:eastAsia="Calibri" w:hAnsi="Arial Narrow" w:cs="Calibri"/>
                <w:sz w:val="20"/>
                <w:szCs w:val="20"/>
                <w:lang w:val="bg-BG"/>
              </w:rPr>
            </w:pPr>
            <w:r w:rsidRPr="00FC70C2">
              <w:rPr>
                <w:rFonts w:ascii="Arial Narrow" w:eastAsia="Calibri" w:hAnsi="Arial Narrow" w:cs="Calibri"/>
                <w:sz w:val="20"/>
                <w:szCs w:val="20"/>
                <w:lang w:val="bg-BG"/>
              </w:rPr>
              <w:t>491</w:t>
            </w:r>
          </w:p>
        </w:tc>
        <w:tc>
          <w:tcPr>
            <w:tcW w:w="399" w:type="pct"/>
            <w:tcBorders>
              <w:top w:val="single" w:sz="6" w:space="0" w:color="auto"/>
              <w:left w:val="single" w:sz="6" w:space="0" w:color="auto"/>
              <w:bottom w:val="single" w:sz="6" w:space="0" w:color="auto"/>
              <w:right w:val="single" w:sz="6" w:space="0" w:color="auto"/>
            </w:tcBorders>
            <w:noWrap/>
            <w:vAlign w:val="center"/>
          </w:tcPr>
          <w:p w14:paraId="77C06EDE" w14:textId="77777777" w:rsidR="00FC70C2" w:rsidRPr="00FC70C2" w:rsidRDefault="00FC70C2" w:rsidP="00FC70C2">
            <w:pPr>
              <w:widowControl w:val="0"/>
              <w:jc w:val="right"/>
              <w:rPr>
                <w:rFonts w:ascii="Arial Narrow" w:eastAsia="Calibri" w:hAnsi="Arial Narrow" w:cs="Calibri"/>
                <w:sz w:val="20"/>
                <w:szCs w:val="20"/>
                <w:lang w:val="bg-BG"/>
              </w:rPr>
            </w:pPr>
            <w:r w:rsidRPr="00FC70C2">
              <w:rPr>
                <w:rFonts w:ascii="Arial Narrow" w:eastAsia="Calibri" w:hAnsi="Arial Narrow" w:cs="Calibri"/>
                <w:sz w:val="20"/>
                <w:szCs w:val="20"/>
                <w:lang w:val="bg-BG"/>
              </w:rPr>
              <w:t>529</w:t>
            </w:r>
          </w:p>
        </w:tc>
        <w:tc>
          <w:tcPr>
            <w:tcW w:w="573" w:type="pct"/>
            <w:tcBorders>
              <w:top w:val="single" w:sz="6" w:space="0" w:color="auto"/>
              <w:left w:val="single" w:sz="6" w:space="0" w:color="auto"/>
              <w:bottom w:val="single" w:sz="6" w:space="0" w:color="auto"/>
              <w:right w:val="single" w:sz="6" w:space="0" w:color="auto"/>
            </w:tcBorders>
            <w:vAlign w:val="center"/>
          </w:tcPr>
          <w:p w14:paraId="2C6A2366" w14:textId="77777777" w:rsidR="00FC70C2" w:rsidRPr="00FC70C2" w:rsidRDefault="00FC70C2" w:rsidP="00FC70C2">
            <w:pPr>
              <w:widowControl w:val="0"/>
              <w:jc w:val="right"/>
              <w:rPr>
                <w:rFonts w:ascii="Arial Narrow" w:eastAsia="Calibri" w:hAnsi="Arial Narrow" w:cs="Calibri"/>
                <w:sz w:val="20"/>
                <w:szCs w:val="20"/>
                <w:lang w:val="bg-BG"/>
              </w:rPr>
            </w:pPr>
            <w:r w:rsidRPr="00FC70C2">
              <w:rPr>
                <w:rFonts w:ascii="Arial Narrow" w:eastAsia="Calibri" w:hAnsi="Arial Narrow" w:cs="Calibri"/>
                <w:sz w:val="20"/>
                <w:szCs w:val="20"/>
                <w:lang w:val="bg-BG"/>
              </w:rPr>
              <w:t>7,8%</w:t>
            </w:r>
          </w:p>
        </w:tc>
        <w:tc>
          <w:tcPr>
            <w:tcW w:w="436" w:type="pct"/>
            <w:shd w:val="clear" w:color="auto" w:fill="auto"/>
            <w:vAlign w:val="center"/>
          </w:tcPr>
          <w:p w14:paraId="7EDCD77E" w14:textId="77777777" w:rsidR="00FC70C2" w:rsidRPr="00FC70C2" w:rsidRDefault="00FC70C2" w:rsidP="00FC70C2">
            <w:pPr>
              <w:widowControl w:val="0"/>
              <w:jc w:val="right"/>
              <w:rPr>
                <w:rFonts w:ascii="Arial Narrow" w:eastAsia="Calibri" w:hAnsi="Arial Narrow" w:cs="Calibri"/>
                <w:sz w:val="20"/>
                <w:szCs w:val="20"/>
                <w:lang w:val="bg-BG"/>
              </w:rPr>
            </w:pPr>
            <w:r w:rsidRPr="00FC70C2">
              <w:rPr>
                <w:rFonts w:ascii="Arial Narrow" w:eastAsia="Calibri" w:hAnsi="Arial Narrow" w:cs="Calibri"/>
                <w:sz w:val="20"/>
                <w:szCs w:val="20"/>
                <w:lang w:val="bg-BG"/>
              </w:rPr>
              <w:t>4 318</w:t>
            </w:r>
          </w:p>
        </w:tc>
        <w:tc>
          <w:tcPr>
            <w:tcW w:w="400" w:type="pct"/>
            <w:tcBorders>
              <w:top w:val="single" w:sz="6" w:space="0" w:color="auto"/>
              <w:left w:val="single" w:sz="6" w:space="0" w:color="auto"/>
              <w:bottom w:val="single" w:sz="6" w:space="0" w:color="auto"/>
              <w:right w:val="single" w:sz="6" w:space="0" w:color="auto"/>
            </w:tcBorders>
            <w:noWrap/>
            <w:vAlign w:val="center"/>
          </w:tcPr>
          <w:p w14:paraId="7943FC00" w14:textId="77777777" w:rsidR="00FC70C2" w:rsidRPr="00FC70C2" w:rsidRDefault="00FC70C2" w:rsidP="00FC70C2">
            <w:pPr>
              <w:widowControl w:val="0"/>
              <w:jc w:val="right"/>
              <w:rPr>
                <w:rFonts w:ascii="Arial Narrow" w:eastAsia="Calibri" w:hAnsi="Arial Narrow" w:cs="Calibri"/>
                <w:sz w:val="20"/>
                <w:szCs w:val="20"/>
                <w:lang w:val="bg-BG"/>
              </w:rPr>
            </w:pPr>
            <w:r w:rsidRPr="00FC70C2">
              <w:rPr>
                <w:rFonts w:ascii="Arial Narrow" w:eastAsia="Calibri" w:hAnsi="Arial Narrow" w:cs="Calibri"/>
                <w:sz w:val="20"/>
                <w:szCs w:val="20"/>
                <w:lang w:val="bg-BG"/>
              </w:rPr>
              <w:t>5 638</w:t>
            </w:r>
          </w:p>
        </w:tc>
        <w:tc>
          <w:tcPr>
            <w:tcW w:w="597" w:type="pct"/>
            <w:tcBorders>
              <w:top w:val="single" w:sz="6" w:space="0" w:color="auto"/>
              <w:left w:val="single" w:sz="6" w:space="0" w:color="auto"/>
              <w:bottom w:val="single" w:sz="6" w:space="0" w:color="auto"/>
              <w:right w:val="single" w:sz="6" w:space="0" w:color="auto"/>
            </w:tcBorders>
            <w:vAlign w:val="center"/>
          </w:tcPr>
          <w:p w14:paraId="40277653" w14:textId="77777777" w:rsidR="00FC70C2" w:rsidRPr="00FC70C2" w:rsidRDefault="00FC70C2" w:rsidP="00FC70C2">
            <w:pPr>
              <w:widowControl w:val="0"/>
              <w:jc w:val="right"/>
              <w:rPr>
                <w:rFonts w:ascii="Arial Narrow" w:eastAsia="Calibri" w:hAnsi="Arial Narrow" w:cs="Calibri"/>
                <w:sz w:val="20"/>
                <w:szCs w:val="20"/>
                <w:lang w:val="bg-BG"/>
              </w:rPr>
            </w:pPr>
            <w:r w:rsidRPr="00FC70C2">
              <w:rPr>
                <w:rFonts w:ascii="Arial Narrow" w:eastAsia="Calibri" w:hAnsi="Arial Narrow" w:cs="Calibri"/>
                <w:sz w:val="20"/>
                <w:szCs w:val="20"/>
                <w:lang w:val="bg-BG"/>
              </w:rPr>
              <w:t>30,5%</w:t>
            </w:r>
          </w:p>
        </w:tc>
        <w:tc>
          <w:tcPr>
            <w:tcW w:w="445" w:type="pct"/>
            <w:shd w:val="clear" w:color="auto" w:fill="auto"/>
            <w:noWrap/>
            <w:vAlign w:val="center"/>
          </w:tcPr>
          <w:p w14:paraId="44F31E67" w14:textId="77777777" w:rsidR="00FC70C2" w:rsidRPr="00FC70C2" w:rsidRDefault="00FC70C2" w:rsidP="00FC70C2">
            <w:pPr>
              <w:widowControl w:val="0"/>
              <w:jc w:val="right"/>
              <w:rPr>
                <w:rFonts w:ascii="Arial Narrow" w:eastAsia="Calibri" w:hAnsi="Arial Narrow" w:cs="Calibri"/>
                <w:sz w:val="20"/>
                <w:szCs w:val="20"/>
                <w:lang w:val="bg-BG"/>
              </w:rPr>
            </w:pPr>
            <w:r w:rsidRPr="00FC70C2">
              <w:rPr>
                <w:rFonts w:ascii="Arial Narrow" w:eastAsia="Calibri" w:hAnsi="Arial Narrow" w:cs="Calibri"/>
                <w:sz w:val="20"/>
                <w:szCs w:val="20"/>
                <w:lang w:val="bg-BG"/>
              </w:rPr>
              <w:t>4 809</w:t>
            </w:r>
          </w:p>
        </w:tc>
        <w:tc>
          <w:tcPr>
            <w:tcW w:w="446" w:type="pct"/>
            <w:tcBorders>
              <w:top w:val="single" w:sz="6" w:space="0" w:color="auto"/>
              <w:left w:val="single" w:sz="6" w:space="0" w:color="auto"/>
              <w:bottom w:val="single" w:sz="6" w:space="0" w:color="auto"/>
              <w:right w:val="single" w:sz="6" w:space="0" w:color="auto"/>
            </w:tcBorders>
            <w:noWrap/>
            <w:vAlign w:val="center"/>
          </w:tcPr>
          <w:p w14:paraId="3DE21D80" w14:textId="77777777" w:rsidR="00FC70C2" w:rsidRPr="00FC70C2" w:rsidRDefault="00FC70C2" w:rsidP="00FC70C2">
            <w:pPr>
              <w:widowControl w:val="0"/>
              <w:jc w:val="right"/>
              <w:rPr>
                <w:rFonts w:ascii="Arial Narrow" w:eastAsia="Calibri" w:hAnsi="Arial Narrow" w:cs="Calibri"/>
                <w:sz w:val="20"/>
                <w:szCs w:val="20"/>
                <w:lang w:val="bg-BG"/>
              </w:rPr>
            </w:pPr>
            <w:r w:rsidRPr="00FC70C2">
              <w:rPr>
                <w:rFonts w:ascii="Arial Narrow" w:eastAsia="Calibri" w:hAnsi="Arial Narrow" w:cs="Calibri"/>
                <w:sz w:val="20"/>
                <w:szCs w:val="20"/>
                <w:lang w:val="bg-BG"/>
              </w:rPr>
              <w:t>6 166</w:t>
            </w:r>
          </w:p>
        </w:tc>
        <w:tc>
          <w:tcPr>
            <w:tcW w:w="541" w:type="pct"/>
            <w:tcBorders>
              <w:top w:val="single" w:sz="6" w:space="0" w:color="auto"/>
              <w:left w:val="single" w:sz="6" w:space="0" w:color="auto"/>
              <w:bottom w:val="single" w:sz="6" w:space="0" w:color="auto"/>
              <w:right w:val="single" w:sz="6" w:space="0" w:color="auto"/>
            </w:tcBorders>
            <w:noWrap/>
            <w:vAlign w:val="center"/>
          </w:tcPr>
          <w:p w14:paraId="2692874D" w14:textId="77777777" w:rsidR="00FC70C2" w:rsidRPr="00FC70C2" w:rsidRDefault="00FC70C2" w:rsidP="00FC70C2">
            <w:pPr>
              <w:widowControl w:val="0"/>
              <w:jc w:val="right"/>
              <w:rPr>
                <w:rFonts w:ascii="Arial Narrow" w:eastAsia="Calibri" w:hAnsi="Arial Narrow" w:cs="Calibri"/>
                <w:sz w:val="20"/>
                <w:szCs w:val="20"/>
                <w:lang w:val="bg-BG"/>
              </w:rPr>
            </w:pPr>
            <w:r w:rsidRPr="00FC70C2">
              <w:rPr>
                <w:rFonts w:ascii="Arial Narrow" w:eastAsia="Calibri" w:hAnsi="Arial Narrow" w:cs="Calibri"/>
                <w:sz w:val="20"/>
                <w:szCs w:val="20"/>
                <w:lang w:val="bg-BG"/>
              </w:rPr>
              <w:t>28,2%</w:t>
            </w:r>
          </w:p>
        </w:tc>
      </w:tr>
      <w:tr w:rsidR="00FC70C2" w:rsidRPr="00FC70C2" w14:paraId="0C3A515E" w14:textId="77777777" w:rsidTr="00A27D4A">
        <w:trPr>
          <w:trHeight w:val="394"/>
          <w:jc w:val="center"/>
        </w:trPr>
        <w:tc>
          <w:tcPr>
            <w:tcW w:w="719" w:type="pct"/>
            <w:shd w:val="clear" w:color="auto" w:fill="auto"/>
            <w:vAlign w:val="center"/>
            <w:hideMark/>
          </w:tcPr>
          <w:p w14:paraId="3E4377D6" w14:textId="77777777" w:rsidR="00FC70C2" w:rsidRPr="00FC70C2" w:rsidRDefault="00FC70C2" w:rsidP="00FC70C2">
            <w:pPr>
              <w:widowControl w:val="0"/>
              <w:rPr>
                <w:rFonts w:ascii="Arial Narrow" w:hAnsi="Arial Narrow" w:cs="Calibri"/>
                <w:sz w:val="20"/>
                <w:szCs w:val="20"/>
                <w:lang w:val="bg-BG"/>
              </w:rPr>
            </w:pPr>
            <w:r w:rsidRPr="00FC70C2">
              <w:rPr>
                <w:rFonts w:ascii="Arial Narrow" w:hAnsi="Arial Narrow" w:cs="Calibri"/>
                <w:sz w:val="20"/>
                <w:szCs w:val="20"/>
                <w:lang w:val="bg-BG"/>
              </w:rPr>
              <w:t xml:space="preserve">Други говеда </w:t>
            </w:r>
          </w:p>
        </w:tc>
        <w:tc>
          <w:tcPr>
            <w:tcW w:w="445" w:type="pct"/>
            <w:shd w:val="clear" w:color="auto" w:fill="auto"/>
            <w:vAlign w:val="center"/>
          </w:tcPr>
          <w:p w14:paraId="3D590F21" w14:textId="77777777" w:rsidR="00FC70C2" w:rsidRPr="00FC70C2" w:rsidRDefault="00FC70C2" w:rsidP="00FC70C2">
            <w:pPr>
              <w:widowControl w:val="0"/>
              <w:jc w:val="right"/>
              <w:rPr>
                <w:rFonts w:ascii="Arial Narrow" w:eastAsia="Calibri" w:hAnsi="Arial Narrow" w:cs="Calibri"/>
                <w:sz w:val="20"/>
                <w:szCs w:val="20"/>
                <w:lang w:val="bg-BG"/>
              </w:rPr>
            </w:pPr>
            <w:r w:rsidRPr="00FC70C2">
              <w:rPr>
                <w:rFonts w:ascii="Arial Narrow" w:eastAsia="Calibri" w:hAnsi="Arial Narrow" w:cs="Calibri"/>
                <w:sz w:val="20"/>
                <w:szCs w:val="20"/>
                <w:lang w:val="bg-BG"/>
              </w:rPr>
              <w:t>6 536</w:t>
            </w:r>
          </w:p>
        </w:tc>
        <w:tc>
          <w:tcPr>
            <w:tcW w:w="399" w:type="pct"/>
            <w:tcBorders>
              <w:top w:val="single" w:sz="6" w:space="0" w:color="auto"/>
              <w:left w:val="single" w:sz="6" w:space="0" w:color="auto"/>
              <w:bottom w:val="single" w:sz="6" w:space="0" w:color="auto"/>
              <w:right w:val="single" w:sz="6" w:space="0" w:color="auto"/>
            </w:tcBorders>
            <w:noWrap/>
            <w:vAlign w:val="center"/>
          </w:tcPr>
          <w:p w14:paraId="1CA63C48" w14:textId="77777777" w:rsidR="00FC70C2" w:rsidRPr="00FC70C2" w:rsidRDefault="00FC70C2" w:rsidP="00FC70C2">
            <w:pPr>
              <w:widowControl w:val="0"/>
              <w:jc w:val="right"/>
              <w:rPr>
                <w:rFonts w:ascii="Arial Narrow" w:eastAsia="Calibri" w:hAnsi="Arial Narrow" w:cs="Calibri"/>
                <w:sz w:val="20"/>
                <w:szCs w:val="20"/>
                <w:lang w:val="bg-BG"/>
              </w:rPr>
            </w:pPr>
            <w:r w:rsidRPr="00FC70C2">
              <w:rPr>
                <w:rFonts w:ascii="Arial Narrow" w:eastAsia="Calibri" w:hAnsi="Arial Narrow" w:cs="Calibri"/>
                <w:sz w:val="20"/>
                <w:szCs w:val="20"/>
                <w:lang w:val="bg-BG"/>
              </w:rPr>
              <w:t>6 868</w:t>
            </w:r>
          </w:p>
        </w:tc>
        <w:tc>
          <w:tcPr>
            <w:tcW w:w="573" w:type="pct"/>
            <w:tcBorders>
              <w:top w:val="single" w:sz="6" w:space="0" w:color="auto"/>
              <w:left w:val="single" w:sz="6" w:space="0" w:color="auto"/>
              <w:bottom w:val="single" w:sz="6" w:space="0" w:color="auto"/>
              <w:right w:val="single" w:sz="6" w:space="0" w:color="auto"/>
            </w:tcBorders>
            <w:vAlign w:val="center"/>
          </w:tcPr>
          <w:p w14:paraId="30636116" w14:textId="77777777" w:rsidR="00FC70C2" w:rsidRPr="00FC70C2" w:rsidRDefault="00FC70C2" w:rsidP="00FC70C2">
            <w:pPr>
              <w:widowControl w:val="0"/>
              <w:jc w:val="right"/>
              <w:rPr>
                <w:rFonts w:ascii="Arial Narrow" w:eastAsia="Calibri" w:hAnsi="Arial Narrow" w:cs="Calibri"/>
                <w:sz w:val="20"/>
                <w:szCs w:val="20"/>
                <w:lang w:val="bg-BG"/>
              </w:rPr>
            </w:pPr>
            <w:r w:rsidRPr="00FC70C2">
              <w:rPr>
                <w:rFonts w:ascii="Arial Narrow" w:eastAsia="Calibri" w:hAnsi="Arial Narrow" w:cs="Calibri"/>
                <w:sz w:val="20"/>
                <w:szCs w:val="20"/>
                <w:lang w:val="bg-BG"/>
              </w:rPr>
              <w:t>5,1%</w:t>
            </w:r>
          </w:p>
        </w:tc>
        <w:tc>
          <w:tcPr>
            <w:tcW w:w="436" w:type="pct"/>
            <w:shd w:val="clear" w:color="auto" w:fill="auto"/>
            <w:vAlign w:val="center"/>
          </w:tcPr>
          <w:p w14:paraId="6F90550B" w14:textId="77777777" w:rsidR="00FC70C2" w:rsidRPr="00FC70C2" w:rsidRDefault="00FC70C2" w:rsidP="00FC70C2">
            <w:pPr>
              <w:widowControl w:val="0"/>
              <w:jc w:val="right"/>
              <w:rPr>
                <w:rFonts w:ascii="Arial Narrow" w:eastAsia="Calibri" w:hAnsi="Arial Narrow" w:cs="Calibri"/>
                <w:sz w:val="20"/>
                <w:szCs w:val="20"/>
                <w:lang w:val="bg-BG"/>
              </w:rPr>
            </w:pPr>
            <w:r w:rsidRPr="00FC70C2">
              <w:rPr>
                <w:rFonts w:ascii="Arial Narrow" w:eastAsia="Calibri" w:hAnsi="Arial Narrow" w:cs="Calibri"/>
                <w:sz w:val="20"/>
                <w:szCs w:val="20"/>
                <w:lang w:val="bg-BG"/>
              </w:rPr>
              <w:t>4 848</w:t>
            </w:r>
          </w:p>
        </w:tc>
        <w:tc>
          <w:tcPr>
            <w:tcW w:w="400" w:type="pct"/>
            <w:tcBorders>
              <w:top w:val="nil"/>
              <w:left w:val="nil"/>
              <w:bottom w:val="nil"/>
              <w:right w:val="nil"/>
            </w:tcBorders>
            <w:noWrap/>
            <w:vAlign w:val="center"/>
          </w:tcPr>
          <w:p w14:paraId="0F1B6EDA" w14:textId="77777777" w:rsidR="00FC70C2" w:rsidRPr="00FC70C2" w:rsidRDefault="00FC70C2" w:rsidP="00FC70C2">
            <w:pPr>
              <w:widowControl w:val="0"/>
              <w:jc w:val="right"/>
              <w:rPr>
                <w:rFonts w:ascii="Arial Narrow" w:eastAsia="Calibri" w:hAnsi="Arial Narrow" w:cs="Calibri"/>
                <w:sz w:val="20"/>
                <w:szCs w:val="20"/>
                <w:lang w:val="bg-BG"/>
              </w:rPr>
            </w:pPr>
            <w:r w:rsidRPr="00FC70C2">
              <w:rPr>
                <w:rFonts w:ascii="Arial Narrow" w:eastAsia="Calibri" w:hAnsi="Arial Narrow" w:cs="Calibri"/>
                <w:sz w:val="20"/>
                <w:szCs w:val="20"/>
                <w:lang w:val="bg-BG"/>
              </w:rPr>
              <w:t>5 784</w:t>
            </w:r>
          </w:p>
        </w:tc>
        <w:tc>
          <w:tcPr>
            <w:tcW w:w="597" w:type="pct"/>
            <w:tcBorders>
              <w:top w:val="single" w:sz="6" w:space="0" w:color="auto"/>
              <w:left w:val="single" w:sz="6" w:space="0" w:color="auto"/>
              <w:bottom w:val="single" w:sz="6" w:space="0" w:color="auto"/>
              <w:right w:val="single" w:sz="6" w:space="0" w:color="auto"/>
            </w:tcBorders>
            <w:vAlign w:val="center"/>
          </w:tcPr>
          <w:p w14:paraId="2A784B62" w14:textId="77777777" w:rsidR="00FC70C2" w:rsidRPr="00FC70C2" w:rsidRDefault="00FC70C2" w:rsidP="00FC70C2">
            <w:pPr>
              <w:widowControl w:val="0"/>
              <w:jc w:val="right"/>
              <w:rPr>
                <w:rFonts w:ascii="Arial Narrow" w:eastAsia="Calibri" w:hAnsi="Arial Narrow" w:cs="Calibri"/>
                <w:sz w:val="20"/>
                <w:szCs w:val="20"/>
                <w:lang w:val="bg-BG"/>
              </w:rPr>
            </w:pPr>
            <w:r w:rsidRPr="00FC70C2">
              <w:rPr>
                <w:rFonts w:ascii="Arial Narrow" w:eastAsia="Calibri" w:hAnsi="Arial Narrow" w:cs="Calibri"/>
                <w:sz w:val="20"/>
                <w:szCs w:val="20"/>
                <w:lang w:val="bg-BG"/>
              </w:rPr>
              <w:t>19,3%</w:t>
            </w:r>
          </w:p>
        </w:tc>
        <w:tc>
          <w:tcPr>
            <w:tcW w:w="445" w:type="pct"/>
            <w:shd w:val="clear" w:color="auto" w:fill="auto"/>
            <w:noWrap/>
            <w:vAlign w:val="center"/>
          </w:tcPr>
          <w:p w14:paraId="63F0AC31" w14:textId="77777777" w:rsidR="00FC70C2" w:rsidRPr="00FC70C2" w:rsidRDefault="00FC70C2" w:rsidP="00FC70C2">
            <w:pPr>
              <w:widowControl w:val="0"/>
              <w:jc w:val="right"/>
              <w:rPr>
                <w:rFonts w:ascii="Arial Narrow" w:eastAsia="Calibri" w:hAnsi="Arial Narrow" w:cs="Calibri"/>
                <w:sz w:val="20"/>
                <w:szCs w:val="20"/>
                <w:lang w:val="bg-BG"/>
              </w:rPr>
            </w:pPr>
            <w:r w:rsidRPr="00FC70C2">
              <w:rPr>
                <w:rFonts w:ascii="Arial Narrow" w:eastAsia="Calibri" w:hAnsi="Arial Narrow" w:cs="Calibri"/>
                <w:sz w:val="20"/>
                <w:szCs w:val="20"/>
                <w:lang w:val="bg-BG"/>
              </w:rPr>
              <w:t>11 384</w:t>
            </w:r>
          </w:p>
        </w:tc>
        <w:tc>
          <w:tcPr>
            <w:tcW w:w="446" w:type="pct"/>
            <w:tcBorders>
              <w:top w:val="single" w:sz="6" w:space="0" w:color="auto"/>
              <w:left w:val="single" w:sz="6" w:space="0" w:color="auto"/>
              <w:bottom w:val="single" w:sz="6" w:space="0" w:color="auto"/>
              <w:right w:val="single" w:sz="6" w:space="0" w:color="auto"/>
            </w:tcBorders>
            <w:noWrap/>
            <w:vAlign w:val="center"/>
          </w:tcPr>
          <w:p w14:paraId="230AB97B" w14:textId="77777777" w:rsidR="00FC70C2" w:rsidRPr="00FC70C2" w:rsidRDefault="00FC70C2" w:rsidP="00FC70C2">
            <w:pPr>
              <w:widowControl w:val="0"/>
              <w:jc w:val="right"/>
              <w:rPr>
                <w:rFonts w:ascii="Arial Narrow" w:eastAsia="Calibri" w:hAnsi="Arial Narrow" w:cs="Calibri"/>
                <w:sz w:val="20"/>
                <w:szCs w:val="20"/>
                <w:lang w:val="bg-BG"/>
              </w:rPr>
            </w:pPr>
            <w:r w:rsidRPr="00FC70C2">
              <w:rPr>
                <w:rFonts w:ascii="Arial Narrow" w:eastAsia="Calibri" w:hAnsi="Arial Narrow" w:cs="Calibri"/>
                <w:sz w:val="20"/>
                <w:szCs w:val="20"/>
                <w:lang w:val="bg-BG"/>
              </w:rPr>
              <w:t>12 652</w:t>
            </w:r>
          </w:p>
        </w:tc>
        <w:tc>
          <w:tcPr>
            <w:tcW w:w="541" w:type="pct"/>
            <w:tcBorders>
              <w:top w:val="single" w:sz="6" w:space="0" w:color="auto"/>
              <w:left w:val="single" w:sz="6" w:space="0" w:color="auto"/>
              <w:bottom w:val="single" w:sz="6" w:space="0" w:color="auto"/>
              <w:right w:val="single" w:sz="6" w:space="0" w:color="auto"/>
            </w:tcBorders>
            <w:noWrap/>
            <w:vAlign w:val="center"/>
          </w:tcPr>
          <w:p w14:paraId="6D7A69D0" w14:textId="77777777" w:rsidR="00FC70C2" w:rsidRPr="00FC70C2" w:rsidRDefault="00FC70C2" w:rsidP="00FC70C2">
            <w:pPr>
              <w:widowControl w:val="0"/>
              <w:jc w:val="right"/>
              <w:rPr>
                <w:rFonts w:ascii="Arial Narrow" w:eastAsia="Calibri" w:hAnsi="Arial Narrow" w:cs="Calibri"/>
                <w:sz w:val="20"/>
                <w:szCs w:val="20"/>
                <w:lang w:val="bg-BG"/>
              </w:rPr>
            </w:pPr>
            <w:r w:rsidRPr="00FC70C2">
              <w:rPr>
                <w:rFonts w:ascii="Arial Narrow" w:eastAsia="Calibri" w:hAnsi="Arial Narrow" w:cs="Calibri"/>
                <w:sz w:val="20"/>
                <w:szCs w:val="20"/>
                <w:lang w:val="bg-BG"/>
              </w:rPr>
              <w:t>11,1%</w:t>
            </w:r>
          </w:p>
        </w:tc>
      </w:tr>
      <w:tr w:rsidR="00FC70C2" w:rsidRPr="00FC70C2" w14:paraId="2B1131BE" w14:textId="77777777" w:rsidTr="00A27D4A">
        <w:trPr>
          <w:trHeight w:val="567"/>
          <w:jc w:val="center"/>
        </w:trPr>
        <w:tc>
          <w:tcPr>
            <w:tcW w:w="719" w:type="pct"/>
            <w:shd w:val="clear" w:color="auto" w:fill="auto"/>
            <w:vAlign w:val="center"/>
            <w:hideMark/>
          </w:tcPr>
          <w:p w14:paraId="34503FEB" w14:textId="77777777" w:rsidR="00FC70C2" w:rsidRPr="00FC70C2" w:rsidRDefault="00FC70C2" w:rsidP="00FC70C2">
            <w:pPr>
              <w:widowControl w:val="0"/>
              <w:rPr>
                <w:rFonts w:ascii="Arial Narrow" w:hAnsi="Arial Narrow" w:cs="Calibri"/>
                <w:b/>
                <w:bCs/>
                <w:sz w:val="20"/>
                <w:szCs w:val="20"/>
                <w:lang w:val="bg-BG"/>
              </w:rPr>
            </w:pPr>
            <w:r w:rsidRPr="00FC70C2">
              <w:rPr>
                <w:rFonts w:ascii="Arial Narrow" w:hAnsi="Arial Narrow" w:cs="Calibri"/>
                <w:b/>
                <w:bCs/>
                <w:sz w:val="20"/>
                <w:szCs w:val="20"/>
                <w:lang w:val="bg-BG"/>
              </w:rPr>
              <w:t>Общо за страната</w:t>
            </w:r>
          </w:p>
        </w:tc>
        <w:tc>
          <w:tcPr>
            <w:tcW w:w="445" w:type="pct"/>
            <w:shd w:val="clear" w:color="auto" w:fill="auto"/>
            <w:vAlign w:val="center"/>
          </w:tcPr>
          <w:p w14:paraId="05B0D9C4" w14:textId="77777777" w:rsidR="00FC70C2" w:rsidRPr="00FC70C2" w:rsidRDefault="00FC70C2" w:rsidP="00FC70C2">
            <w:pPr>
              <w:widowControl w:val="0"/>
              <w:jc w:val="right"/>
              <w:rPr>
                <w:rFonts w:ascii="Arial Narrow" w:eastAsia="Calibri" w:hAnsi="Arial Narrow" w:cs="Calibri"/>
                <w:b/>
                <w:bCs/>
                <w:sz w:val="20"/>
                <w:szCs w:val="20"/>
                <w:lang w:val="bg-BG"/>
              </w:rPr>
            </w:pPr>
            <w:r w:rsidRPr="00FC70C2">
              <w:rPr>
                <w:rFonts w:ascii="Arial Narrow" w:eastAsia="Calibri" w:hAnsi="Arial Narrow" w:cs="Calibri"/>
                <w:b/>
                <w:bCs/>
                <w:sz w:val="20"/>
                <w:szCs w:val="20"/>
                <w:lang w:val="bg-BG"/>
              </w:rPr>
              <w:t>7 027</w:t>
            </w:r>
          </w:p>
        </w:tc>
        <w:tc>
          <w:tcPr>
            <w:tcW w:w="399" w:type="pct"/>
            <w:tcBorders>
              <w:top w:val="single" w:sz="6" w:space="0" w:color="auto"/>
              <w:left w:val="single" w:sz="6" w:space="0" w:color="auto"/>
              <w:bottom w:val="single" w:sz="6" w:space="0" w:color="auto"/>
              <w:right w:val="single" w:sz="6" w:space="0" w:color="auto"/>
            </w:tcBorders>
            <w:vAlign w:val="center"/>
          </w:tcPr>
          <w:p w14:paraId="6C9EDAF0" w14:textId="77777777" w:rsidR="00FC70C2" w:rsidRPr="00FC70C2" w:rsidRDefault="00FC70C2" w:rsidP="00FC70C2">
            <w:pPr>
              <w:widowControl w:val="0"/>
              <w:jc w:val="right"/>
              <w:rPr>
                <w:rFonts w:ascii="Arial Narrow" w:eastAsia="Calibri" w:hAnsi="Arial Narrow" w:cs="Calibri"/>
                <w:b/>
                <w:sz w:val="20"/>
                <w:szCs w:val="20"/>
                <w:lang w:val="bg-BG"/>
              </w:rPr>
            </w:pPr>
            <w:r w:rsidRPr="00FC70C2">
              <w:rPr>
                <w:rFonts w:ascii="Arial Narrow" w:eastAsia="Calibri" w:hAnsi="Arial Narrow" w:cs="Calibri"/>
                <w:b/>
                <w:sz w:val="20"/>
                <w:szCs w:val="20"/>
                <w:lang w:val="bg-BG"/>
              </w:rPr>
              <w:t>7 397</w:t>
            </w:r>
          </w:p>
        </w:tc>
        <w:tc>
          <w:tcPr>
            <w:tcW w:w="573" w:type="pct"/>
            <w:tcBorders>
              <w:top w:val="single" w:sz="6" w:space="0" w:color="auto"/>
              <w:left w:val="single" w:sz="6" w:space="0" w:color="auto"/>
              <w:bottom w:val="single" w:sz="6" w:space="0" w:color="auto"/>
              <w:right w:val="single" w:sz="6" w:space="0" w:color="auto"/>
            </w:tcBorders>
            <w:vAlign w:val="center"/>
          </w:tcPr>
          <w:p w14:paraId="254225DF" w14:textId="77777777" w:rsidR="00FC70C2" w:rsidRPr="00FC70C2" w:rsidRDefault="00FC70C2" w:rsidP="00FC70C2">
            <w:pPr>
              <w:widowControl w:val="0"/>
              <w:jc w:val="right"/>
              <w:rPr>
                <w:rFonts w:ascii="Arial Narrow" w:eastAsia="Calibri" w:hAnsi="Arial Narrow" w:cs="Calibri"/>
                <w:b/>
                <w:sz w:val="20"/>
                <w:szCs w:val="20"/>
                <w:lang w:val="bg-BG"/>
              </w:rPr>
            </w:pPr>
            <w:r w:rsidRPr="00FC70C2">
              <w:rPr>
                <w:rFonts w:ascii="Arial Narrow" w:eastAsia="Calibri" w:hAnsi="Arial Narrow" w:cs="Calibri"/>
                <w:b/>
                <w:sz w:val="20"/>
                <w:szCs w:val="20"/>
                <w:lang w:val="bg-BG"/>
              </w:rPr>
              <w:t>5,3%</w:t>
            </w:r>
          </w:p>
        </w:tc>
        <w:tc>
          <w:tcPr>
            <w:tcW w:w="436" w:type="pct"/>
            <w:shd w:val="clear" w:color="auto" w:fill="auto"/>
            <w:vAlign w:val="center"/>
          </w:tcPr>
          <w:p w14:paraId="75B39913" w14:textId="77777777" w:rsidR="00FC70C2" w:rsidRPr="00FC70C2" w:rsidRDefault="00FC70C2" w:rsidP="00FC70C2">
            <w:pPr>
              <w:widowControl w:val="0"/>
              <w:jc w:val="right"/>
              <w:rPr>
                <w:rFonts w:ascii="Arial Narrow" w:eastAsia="Calibri" w:hAnsi="Arial Narrow" w:cs="Calibri"/>
                <w:b/>
                <w:sz w:val="20"/>
                <w:szCs w:val="20"/>
                <w:lang w:val="bg-BG"/>
              </w:rPr>
            </w:pPr>
            <w:r w:rsidRPr="00FC70C2">
              <w:rPr>
                <w:rFonts w:ascii="Arial Narrow" w:eastAsia="Calibri" w:hAnsi="Arial Narrow" w:cs="Calibri"/>
                <w:b/>
                <w:sz w:val="20"/>
                <w:szCs w:val="20"/>
                <w:lang w:val="bg-BG"/>
              </w:rPr>
              <w:t>9 166</w:t>
            </w:r>
          </w:p>
        </w:tc>
        <w:tc>
          <w:tcPr>
            <w:tcW w:w="400" w:type="pct"/>
            <w:tcBorders>
              <w:top w:val="single" w:sz="6" w:space="0" w:color="auto"/>
              <w:left w:val="single" w:sz="6" w:space="0" w:color="auto"/>
              <w:bottom w:val="single" w:sz="6" w:space="0" w:color="auto"/>
              <w:right w:val="single" w:sz="6" w:space="0" w:color="auto"/>
            </w:tcBorders>
            <w:vAlign w:val="center"/>
          </w:tcPr>
          <w:p w14:paraId="06046F88" w14:textId="77777777" w:rsidR="00FC70C2" w:rsidRPr="00FC70C2" w:rsidRDefault="00FC70C2" w:rsidP="00FC70C2">
            <w:pPr>
              <w:widowControl w:val="0"/>
              <w:jc w:val="right"/>
              <w:rPr>
                <w:rFonts w:ascii="Arial Narrow" w:eastAsia="Calibri" w:hAnsi="Arial Narrow" w:cs="Calibri"/>
                <w:b/>
                <w:sz w:val="20"/>
                <w:szCs w:val="20"/>
                <w:lang w:val="bg-BG"/>
              </w:rPr>
            </w:pPr>
            <w:r w:rsidRPr="00FC70C2">
              <w:rPr>
                <w:rFonts w:ascii="Arial Narrow" w:eastAsia="Calibri" w:hAnsi="Arial Narrow" w:cs="Calibri"/>
                <w:b/>
                <w:sz w:val="20"/>
                <w:szCs w:val="20"/>
                <w:lang w:val="bg-BG"/>
              </w:rPr>
              <w:t>11 422</w:t>
            </w:r>
          </w:p>
        </w:tc>
        <w:tc>
          <w:tcPr>
            <w:tcW w:w="597" w:type="pct"/>
            <w:tcBorders>
              <w:top w:val="single" w:sz="6" w:space="0" w:color="auto"/>
              <w:left w:val="single" w:sz="6" w:space="0" w:color="auto"/>
              <w:bottom w:val="single" w:sz="6" w:space="0" w:color="auto"/>
              <w:right w:val="single" w:sz="6" w:space="0" w:color="auto"/>
            </w:tcBorders>
            <w:vAlign w:val="center"/>
          </w:tcPr>
          <w:p w14:paraId="7337712C" w14:textId="77777777" w:rsidR="00FC70C2" w:rsidRPr="00FC70C2" w:rsidRDefault="00FC70C2" w:rsidP="00FC70C2">
            <w:pPr>
              <w:widowControl w:val="0"/>
              <w:jc w:val="right"/>
              <w:rPr>
                <w:rFonts w:ascii="Arial Narrow" w:eastAsia="Calibri" w:hAnsi="Arial Narrow" w:cs="Calibri"/>
                <w:b/>
                <w:sz w:val="20"/>
                <w:szCs w:val="20"/>
                <w:lang w:val="bg-BG"/>
              </w:rPr>
            </w:pPr>
            <w:r w:rsidRPr="00FC70C2">
              <w:rPr>
                <w:rFonts w:ascii="Arial Narrow" w:eastAsia="Calibri" w:hAnsi="Arial Narrow" w:cs="Calibri"/>
                <w:b/>
                <w:sz w:val="20"/>
                <w:szCs w:val="20"/>
                <w:lang w:val="bg-BG"/>
              </w:rPr>
              <w:t>24,6%</w:t>
            </w:r>
          </w:p>
        </w:tc>
        <w:tc>
          <w:tcPr>
            <w:tcW w:w="445" w:type="pct"/>
            <w:shd w:val="clear" w:color="auto" w:fill="auto"/>
            <w:noWrap/>
            <w:vAlign w:val="center"/>
          </w:tcPr>
          <w:p w14:paraId="30FD8ABD" w14:textId="77777777" w:rsidR="00FC70C2" w:rsidRPr="00FC70C2" w:rsidRDefault="00FC70C2" w:rsidP="00FC70C2">
            <w:pPr>
              <w:widowControl w:val="0"/>
              <w:jc w:val="right"/>
              <w:rPr>
                <w:rFonts w:ascii="Arial Narrow" w:eastAsia="Calibri" w:hAnsi="Arial Narrow" w:cs="Calibri"/>
                <w:b/>
                <w:sz w:val="20"/>
                <w:szCs w:val="20"/>
                <w:lang w:val="bg-BG"/>
              </w:rPr>
            </w:pPr>
            <w:r w:rsidRPr="00FC70C2">
              <w:rPr>
                <w:rFonts w:ascii="Arial Narrow" w:eastAsia="Calibri" w:hAnsi="Arial Narrow" w:cs="Calibri"/>
                <w:b/>
                <w:sz w:val="20"/>
                <w:szCs w:val="20"/>
                <w:lang w:val="bg-BG"/>
              </w:rPr>
              <w:t>16 193</w:t>
            </w:r>
          </w:p>
        </w:tc>
        <w:tc>
          <w:tcPr>
            <w:tcW w:w="446" w:type="pct"/>
            <w:tcBorders>
              <w:top w:val="single" w:sz="6" w:space="0" w:color="auto"/>
              <w:left w:val="single" w:sz="6" w:space="0" w:color="auto"/>
              <w:bottom w:val="single" w:sz="6" w:space="0" w:color="auto"/>
              <w:right w:val="single" w:sz="6" w:space="0" w:color="auto"/>
            </w:tcBorders>
            <w:noWrap/>
            <w:vAlign w:val="center"/>
          </w:tcPr>
          <w:p w14:paraId="09C041EA" w14:textId="77777777" w:rsidR="00FC70C2" w:rsidRPr="00FC70C2" w:rsidRDefault="00FC70C2" w:rsidP="00FC70C2">
            <w:pPr>
              <w:widowControl w:val="0"/>
              <w:jc w:val="right"/>
              <w:rPr>
                <w:rFonts w:ascii="Arial Narrow" w:eastAsia="Calibri" w:hAnsi="Arial Narrow" w:cs="Calibri"/>
                <w:b/>
                <w:sz w:val="20"/>
                <w:szCs w:val="20"/>
                <w:lang w:val="bg-BG"/>
              </w:rPr>
            </w:pPr>
            <w:r w:rsidRPr="00FC70C2">
              <w:rPr>
                <w:rFonts w:ascii="Arial Narrow" w:eastAsia="Calibri" w:hAnsi="Arial Narrow" w:cs="Calibri"/>
                <w:b/>
                <w:sz w:val="20"/>
                <w:szCs w:val="20"/>
                <w:lang w:val="bg-BG"/>
              </w:rPr>
              <w:t>18 818</w:t>
            </w:r>
          </w:p>
        </w:tc>
        <w:tc>
          <w:tcPr>
            <w:tcW w:w="541" w:type="pct"/>
            <w:tcBorders>
              <w:top w:val="single" w:sz="6" w:space="0" w:color="auto"/>
              <w:left w:val="single" w:sz="6" w:space="0" w:color="auto"/>
              <w:bottom w:val="single" w:sz="6" w:space="0" w:color="auto"/>
              <w:right w:val="single" w:sz="6" w:space="0" w:color="auto"/>
            </w:tcBorders>
            <w:noWrap/>
            <w:vAlign w:val="center"/>
          </w:tcPr>
          <w:p w14:paraId="2FAD6BE6" w14:textId="77777777" w:rsidR="00FC70C2" w:rsidRPr="00FC70C2" w:rsidRDefault="00FC70C2" w:rsidP="00FC70C2">
            <w:pPr>
              <w:widowControl w:val="0"/>
              <w:jc w:val="right"/>
              <w:rPr>
                <w:rFonts w:ascii="Arial Narrow" w:eastAsia="Calibri" w:hAnsi="Arial Narrow" w:cs="Calibri"/>
                <w:b/>
                <w:sz w:val="20"/>
                <w:szCs w:val="20"/>
                <w:lang w:val="bg-BG"/>
              </w:rPr>
            </w:pPr>
            <w:r w:rsidRPr="00FC70C2">
              <w:rPr>
                <w:rFonts w:ascii="Arial Narrow" w:eastAsia="Calibri" w:hAnsi="Arial Narrow" w:cs="Calibri"/>
                <w:b/>
                <w:sz w:val="20"/>
                <w:szCs w:val="20"/>
                <w:lang w:val="bg-BG"/>
              </w:rPr>
              <w:t>16,2%</w:t>
            </w:r>
          </w:p>
        </w:tc>
      </w:tr>
    </w:tbl>
    <w:p w14:paraId="4DAE2209" w14:textId="77777777" w:rsidR="00FC70C2" w:rsidRPr="00E656EE" w:rsidRDefault="00FC70C2" w:rsidP="00FC70C2">
      <w:pPr>
        <w:widowControl w:val="0"/>
        <w:autoSpaceDE w:val="0"/>
        <w:autoSpaceDN w:val="0"/>
        <w:adjustRightInd w:val="0"/>
        <w:spacing w:after="120"/>
        <w:jc w:val="both"/>
        <w:rPr>
          <w:rFonts w:ascii="Arial Narrow" w:eastAsia="Calibri" w:hAnsi="Arial Narrow" w:cs="Arial"/>
          <w:sz w:val="18"/>
          <w:szCs w:val="18"/>
          <w:lang w:val="bg-BG" w:eastAsia="bg-BG"/>
        </w:rPr>
      </w:pPr>
      <w:r w:rsidRPr="00E656EE">
        <w:rPr>
          <w:rFonts w:ascii="Arial Narrow" w:eastAsia="Calibri" w:hAnsi="Arial Narrow" w:cs="Arial"/>
          <w:i/>
          <w:sz w:val="18"/>
          <w:szCs w:val="18"/>
          <w:lang w:val="bg-BG" w:eastAsia="bg-BG"/>
        </w:rPr>
        <w:t>Източник:</w:t>
      </w:r>
      <w:r w:rsidRPr="00E656EE">
        <w:rPr>
          <w:rFonts w:ascii="Arial Narrow" w:eastAsia="Calibri" w:hAnsi="Arial Narrow" w:cs="Arial"/>
          <w:sz w:val="18"/>
          <w:szCs w:val="18"/>
          <w:lang w:val="bg-BG" w:eastAsia="bg-BG"/>
        </w:rPr>
        <w:t xml:space="preserve"> МЗХ, отдел „Агростатистика”</w:t>
      </w:r>
    </w:p>
    <w:p w14:paraId="2C5C8F35" w14:textId="77777777" w:rsidR="00FC70C2" w:rsidRPr="00FC70C2" w:rsidRDefault="00FC70C2" w:rsidP="00FC70C2">
      <w:pPr>
        <w:widowControl w:val="0"/>
        <w:autoSpaceDE w:val="0"/>
        <w:autoSpaceDN w:val="0"/>
        <w:adjustRightInd w:val="0"/>
        <w:spacing w:after="120"/>
        <w:ind w:firstLine="709"/>
        <w:jc w:val="both"/>
        <w:rPr>
          <w:rFonts w:ascii="Arial Narrow" w:eastAsia="Calibri" w:hAnsi="Arial Narrow" w:cs="Arial"/>
          <w:lang w:val="bg-BG" w:eastAsia="bg-BG"/>
        </w:rPr>
      </w:pPr>
      <w:r w:rsidRPr="00FC70C2">
        <w:rPr>
          <w:rFonts w:ascii="Arial Narrow" w:eastAsia="Calibri" w:hAnsi="Arial Narrow" w:cs="Arial"/>
          <w:lang w:val="bg-BG" w:eastAsia="bg-BG"/>
        </w:rPr>
        <w:t xml:space="preserve">В рамките на 2024 г. по скалата на Съюза за класификация са класифицирани общо 15 973 броя говеда на възраст над 8 месеца, което е с 12,7 % повече  в сравнение с 2023 г. Кланиците, извършващи класификация на кланични трупове от говеда през годината са десет, без промяна спрямо предходната година. Най-голям е делът на кравите категория „D“ – 62,1%, следван от говедата с категория „А“- млад бик (17,4%), „E“- юница ( 12,6%), „B“- бик (4,8%), „Z“ – животно на възраст от 8 до 12 месеца (3,2% ). За поредна година няма класифицирани говеда категория „С“. Основна част от класифицираното говеждо месо е добито от животни млечно направление, чиито кланични трупове са с нисък рандеман и слабо развита конформация. Поради това, най-голям е делът на класифицираните кланични трупове от говеда </w:t>
      </w:r>
      <w:r w:rsidRPr="00FC70C2">
        <w:rPr>
          <w:rFonts w:ascii="Arial Narrow" w:eastAsia="Calibri" w:hAnsi="Arial Narrow" w:cs="Arial"/>
          <w:lang w:val="bg-BG" w:eastAsia="bg-BG"/>
        </w:rPr>
        <w:lastRenderedPageBreak/>
        <w:t>с клас по конформация Р (слаб) – 59,5%, следвани от О (добър) – 29,5%, клас R (доста добър) – 10,8% и U (много добър) – 0,3%. При определяне на класовете по степен на залоеност най-голям е броят на кланични трупове с клас 1 (много слаба) – 38,6%, клас 2 (слаба) – 37,9%, клас 3 (средна) – 21,7%, клас 4 (висока) – 1,8% и клас 5 (много висок) – 0,01%.</w:t>
      </w:r>
    </w:p>
    <w:p w14:paraId="75EEB938" w14:textId="77777777" w:rsidR="00FC70C2" w:rsidRPr="00FC70C2" w:rsidRDefault="00FC70C2" w:rsidP="00FC70C2">
      <w:pPr>
        <w:numPr>
          <w:ilvl w:val="2"/>
          <w:numId w:val="8"/>
        </w:numPr>
        <w:tabs>
          <w:tab w:val="left" w:pos="990"/>
        </w:tabs>
        <w:spacing w:after="120"/>
        <w:ind w:left="792" w:hanging="432"/>
        <w:jc w:val="both"/>
        <w:outlineLvl w:val="0"/>
        <w:rPr>
          <w:rFonts w:ascii="Arial Narrow" w:eastAsia="Calibri" w:hAnsi="Arial Narrow" w:cs="Arial"/>
          <w:b/>
          <w:bCs/>
          <w:lang w:val="bg-BG"/>
        </w:rPr>
      </w:pPr>
      <w:bookmarkStart w:id="48" w:name="_Toc147747421"/>
      <w:bookmarkStart w:id="49" w:name="_Toc210747551"/>
      <w:r w:rsidRPr="00FC70C2">
        <w:rPr>
          <w:rFonts w:ascii="Arial Narrow" w:eastAsia="Calibri" w:hAnsi="Arial Narrow" w:cs="Arial"/>
          <w:b/>
          <w:bCs/>
          <w:lang w:val="bg-BG"/>
        </w:rPr>
        <w:t>Овцевъдство и козевъдство</w:t>
      </w:r>
      <w:bookmarkEnd w:id="48"/>
      <w:bookmarkEnd w:id="49"/>
    </w:p>
    <w:p w14:paraId="624498CC" w14:textId="77777777" w:rsidR="00FC70C2" w:rsidRPr="00FC70C2" w:rsidRDefault="00FC70C2" w:rsidP="00FC70C2">
      <w:pPr>
        <w:widowControl w:val="0"/>
        <w:autoSpaceDE w:val="0"/>
        <w:autoSpaceDN w:val="0"/>
        <w:adjustRightInd w:val="0"/>
        <w:spacing w:after="120"/>
        <w:ind w:firstLine="709"/>
        <w:jc w:val="both"/>
        <w:rPr>
          <w:rFonts w:ascii="Arial Narrow" w:eastAsia="Calibri" w:hAnsi="Arial Narrow" w:cs="Arial"/>
          <w:lang w:val="bg-BG" w:eastAsia="bg-BG"/>
        </w:rPr>
      </w:pPr>
      <w:r w:rsidRPr="00FC70C2">
        <w:rPr>
          <w:rFonts w:ascii="Arial Narrow" w:eastAsia="Calibri" w:hAnsi="Arial Narrow" w:cs="Arial"/>
          <w:lang w:val="bg-BG" w:eastAsia="bg-BG"/>
        </w:rPr>
        <w:t>Развитието на овцевъдството в страната е благоприятствано от подходящите природо-климатични условия и дългогодишните традиции. То е широко застъпено както в равнинните, така и в планинските и полупланинските райони, осигурявайки поминък на голяма част от населението в селските райони.</w:t>
      </w:r>
    </w:p>
    <w:p w14:paraId="7CA6A2E5" w14:textId="77777777" w:rsidR="00FC70C2" w:rsidRPr="00FC70C2" w:rsidRDefault="00FC70C2" w:rsidP="00FC70C2">
      <w:pPr>
        <w:widowControl w:val="0"/>
        <w:autoSpaceDE w:val="0"/>
        <w:autoSpaceDN w:val="0"/>
        <w:adjustRightInd w:val="0"/>
        <w:spacing w:after="120"/>
        <w:ind w:firstLine="709"/>
        <w:jc w:val="both"/>
        <w:rPr>
          <w:rFonts w:ascii="Arial Narrow" w:eastAsia="Calibri" w:hAnsi="Arial Narrow" w:cs="Arial"/>
          <w:lang w:val="bg-BG" w:eastAsia="bg-BG"/>
        </w:rPr>
      </w:pPr>
      <w:r w:rsidRPr="00FC70C2">
        <w:rPr>
          <w:rFonts w:ascii="Arial Narrow" w:eastAsia="Calibri" w:hAnsi="Arial Narrow" w:cs="Arial"/>
          <w:lang w:val="bg-BG" w:eastAsia="bg-BG"/>
        </w:rPr>
        <w:t xml:space="preserve">Към 1 ноември 2024 г. в страната се отглеждат общо 1 016 698 овце - с 5,2% по-малко в сравнение с година по-рано. Общият брой овце майки намалява с 4,2%, вследствие на регистрирания спад от 9,6% при животните от млечното направление, докато месодайните овце майки нарастват с 16,9%. </w:t>
      </w:r>
    </w:p>
    <w:p w14:paraId="1FC434C3" w14:textId="77777777" w:rsidR="00FC70C2" w:rsidRPr="00FC70C2" w:rsidRDefault="00FC70C2" w:rsidP="00FC70C2">
      <w:pPr>
        <w:widowControl w:val="0"/>
        <w:autoSpaceDE w:val="0"/>
        <w:autoSpaceDN w:val="0"/>
        <w:adjustRightInd w:val="0"/>
        <w:spacing w:after="120"/>
        <w:ind w:firstLine="709"/>
        <w:jc w:val="both"/>
        <w:rPr>
          <w:rFonts w:ascii="Arial Narrow" w:eastAsia="Calibri" w:hAnsi="Arial Narrow" w:cs="Arial"/>
          <w:lang w:val="bg-BG" w:eastAsia="bg-BG"/>
        </w:rPr>
      </w:pPr>
      <w:r w:rsidRPr="00FC70C2">
        <w:rPr>
          <w:rFonts w:ascii="Arial Narrow" w:eastAsia="Calibri" w:hAnsi="Arial Narrow" w:cs="Arial"/>
          <w:lang w:val="bg-BG" w:eastAsia="bg-BG"/>
        </w:rPr>
        <w:t>Броят на стопанствата, отглеждащи овце и овце майки, е съответно с 15,7% и 15,2% под отчетения към края на предходната 2023 г.</w:t>
      </w:r>
    </w:p>
    <w:p w14:paraId="4528E333" w14:textId="77777777" w:rsidR="00FC70C2" w:rsidRPr="00FC70C2" w:rsidRDefault="00FC70C2" w:rsidP="00FC70C2">
      <w:pPr>
        <w:widowControl w:val="0"/>
        <w:autoSpaceDE w:val="0"/>
        <w:autoSpaceDN w:val="0"/>
        <w:adjustRightInd w:val="0"/>
        <w:spacing w:after="120"/>
        <w:ind w:firstLine="709"/>
        <w:jc w:val="both"/>
        <w:rPr>
          <w:rFonts w:ascii="Arial Narrow" w:eastAsia="Calibri" w:hAnsi="Arial Narrow" w:cs="Arial"/>
          <w:lang w:val="bg-BG" w:eastAsia="bg-BG"/>
        </w:rPr>
      </w:pPr>
      <w:r w:rsidRPr="00FC70C2">
        <w:rPr>
          <w:rFonts w:ascii="Arial Narrow" w:eastAsia="Calibri" w:hAnsi="Arial Narrow" w:cs="Arial"/>
          <w:lang w:val="bg-BG" w:eastAsia="bg-BG"/>
        </w:rPr>
        <w:t>Традиционно, овцевъдството е съсредоточено предимно в Южна България, където през 2024 г. се отглеждат 6</w:t>
      </w:r>
      <w:r w:rsidRPr="00FC70C2">
        <w:rPr>
          <w:rFonts w:ascii="Arial Narrow" w:eastAsia="Calibri" w:hAnsi="Arial Narrow" w:cs="Arial"/>
          <w:lang w:eastAsia="bg-BG"/>
        </w:rPr>
        <w:t>5</w:t>
      </w:r>
      <w:r w:rsidRPr="00FC70C2">
        <w:rPr>
          <w:rFonts w:ascii="Arial Narrow" w:eastAsia="Calibri" w:hAnsi="Arial Narrow" w:cs="Arial"/>
          <w:lang w:val="bg-BG" w:eastAsia="bg-BG"/>
        </w:rPr>
        <w:t xml:space="preserve">,1% от цялото поголовие. Над една четвърт от овцете майки се намират в Южен централен район. </w:t>
      </w:r>
    </w:p>
    <w:p w14:paraId="4CA0E482" w14:textId="77777777" w:rsidR="00FC70C2" w:rsidRPr="00FC70C2" w:rsidRDefault="00FC70C2" w:rsidP="00FC70C2">
      <w:pPr>
        <w:widowControl w:val="0"/>
        <w:tabs>
          <w:tab w:val="left" w:pos="180"/>
        </w:tabs>
        <w:spacing w:after="120"/>
        <w:rPr>
          <w:rFonts w:ascii="Arial Narrow" w:eastAsia="Calibri" w:hAnsi="Arial Narrow" w:cs="Arial"/>
          <w:b/>
          <w:iCs/>
          <w:lang w:val="bg-BG"/>
        </w:rPr>
      </w:pPr>
      <w:r w:rsidRPr="00FC70C2">
        <w:rPr>
          <w:rFonts w:ascii="Arial Narrow" w:eastAsia="Calibri" w:hAnsi="Arial Narrow" w:cs="Arial"/>
          <w:b/>
          <w:iCs/>
          <w:lang w:val="bg-BG"/>
        </w:rPr>
        <w:t>Таблица ІІ.20. Разпределение на овцете по райони през 2023 и 2024 г. (хил. броя)</w:t>
      </w:r>
    </w:p>
    <w:tbl>
      <w:tblPr>
        <w:tblW w:w="9796" w:type="dxa"/>
        <w:jc w:val="center"/>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885"/>
        <w:gridCol w:w="1500"/>
        <w:gridCol w:w="1442"/>
        <w:gridCol w:w="1250"/>
        <w:gridCol w:w="1266"/>
        <w:gridCol w:w="1263"/>
        <w:gridCol w:w="1190"/>
      </w:tblGrid>
      <w:tr w:rsidR="00FC70C2" w:rsidRPr="00FC70C2" w14:paraId="49D8286A" w14:textId="77777777" w:rsidTr="003A2D79">
        <w:trPr>
          <w:trHeight w:hRule="exact" w:val="454"/>
          <w:tblHeader/>
          <w:jc w:val="center"/>
        </w:trPr>
        <w:tc>
          <w:tcPr>
            <w:tcW w:w="1885" w:type="dxa"/>
            <w:vMerge w:val="restart"/>
            <w:tcBorders>
              <w:top w:val="single" w:sz="4" w:space="0" w:color="auto"/>
              <w:right w:val="single" w:sz="4" w:space="0" w:color="auto"/>
            </w:tcBorders>
            <w:vAlign w:val="center"/>
          </w:tcPr>
          <w:p w14:paraId="536B25EB" w14:textId="77777777" w:rsidR="00FC70C2" w:rsidRPr="00FC70C2" w:rsidRDefault="00FC70C2" w:rsidP="00FC70C2">
            <w:pPr>
              <w:widowControl w:val="0"/>
              <w:jc w:val="center"/>
              <w:rPr>
                <w:rFonts w:ascii="Arial Narrow" w:hAnsi="Arial Narrow" w:cs="Arial"/>
                <w:b/>
                <w:sz w:val="20"/>
                <w:szCs w:val="20"/>
                <w:lang w:val="bg-BG"/>
              </w:rPr>
            </w:pPr>
            <w:r w:rsidRPr="00FC70C2">
              <w:rPr>
                <w:rFonts w:ascii="Arial Narrow" w:hAnsi="Arial Narrow" w:cs="Arial"/>
                <w:b/>
                <w:sz w:val="20"/>
                <w:szCs w:val="20"/>
                <w:lang w:val="bg-BG"/>
              </w:rPr>
              <w:t>Райони</w:t>
            </w:r>
          </w:p>
        </w:tc>
        <w:tc>
          <w:tcPr>
            <w:tcW w:w="4192" w:type="dxa"/>
            <w:gridSpan w:val="3"/>
            <w:tcBorders>
              <w:top w:val="single" w:sz="4" w:space="0" w:color="auto"/>
              <w:left w:val="single" w:sz="4" w:space="0" w:color="auto"/>
              <w:bottom w:val="single" w:sz="4" w:space="0" w:color="auto"/>
              <w:right w:val="single" w:sz="4" w:space="0" w:color="auto"/>
            </w:tcBorders>
            <w:vAlign w:val="center"/>
          </w:tcPr>
          <w:p w14:paraId="509A8847" w14:textId="77777777" w:rsidR="00FC70C2" w:rsidRPr="00FC70C2" w:rsidRDefault="00FC70C2" w:rsidP="00FC70C2">
            <w:pPr>
              <w:widowControl w:val="0"/>
              <w:jc w:val="center"/>
              <w:rPr>
                <w:rFonts w:ascii="Arial Narrow" w:hAnsi="Arial Narrow" w:cs="Arial"/>
                <w:b/>
                <w:sz w:val="20"/>
                <w:szCs w:val="20"/>
                <w:lang w:val="bg-BG"/>
              </w:rPr>
            </w:pPr>
            <w:r w:rsidRPr="00FC70C2">
              <w:rPr>
                <w:rFonts w:ascii="Arial Narrow" w:hAnsi="Arial Narrow" w:cs="Arial"/>
                <w:b/>
                <w:sz w:val="20"/>
                <w:szCs w:val="20"/>
                <w:lang w:val="bg-BG"/>
              </w:rPr>
              <w:t>Овце общо</w:t>
            </w:r>
          </w:p>
        </w:tc>
        <w:tc>
          <w:tcPr>
            <w:tcW w:w="3719" w:type="dxa"/>
            <w:gridSpan w:val="3"/>
            <w:tcBorders>
              <w:top w:val="single" w:sz="4" w:space="0" w:color="auto"/>
              <w:left w:val="single" w:sz="4" w:space="0" w:color="auto"/>
              <w:bottom w:val="single" w:sz="4" w:space="0" w:color="auto"/>
            </w:tcBorders>
            <w:vAlign w:val="center"/>
          </w:tcPr>
          <w:p w14:paraId="536AF8D0" w14:textId="77777777" w:rsidR="00FC70C2" w:rsidRPr="00FC70C2" w:rsidRDefault="00FC70C2" w:rsidP="00FC70C2">
            <w:pPr>
              <w:widowControl w:val="0"/>
              <w:jc w:val="center"/>
              <w:rPr>
                <w:rFonts w:ascii="Arial Narrow" w:hAnsi="Arial Narrow" w:cs="Arial"/>
                <w:b/>
                <w:sz w:val="20"/>
                <w:szCs w:val="20"/>
                <w:lang w:val="bg-BG"/>
              </w:rPr>
            </w:pPr>
            <w:r w:rsidRPr="00FC70C2">
              <w:rPr>
                <w:rFonts w:ascii="Arial Narrow" w:hAnsi="Arial Narrow" w:cs="Arial"/>
                <w:b/>
                <w:sz w:val="20"/>
                <w:szCs w:val="20"/>
                <w:lang w:val="bg-BG"/>
              </w:rPr>
              <w:t>В т.ч. овце майки</w:t>
            </w:r>
          </w:p>
        </w:tc>
      </w:tr>
      <w:tr w:rsidR="00FC70C2" w:rsidRPr="00FC70C2" w14:paraId="648C0732" w14:textId="77777777" w:rsidTr="003A2D79">
        <w:trPr>
          <w:trHeight w:hRule="exact" w:val="634"/>
          <w:tblHeader/>
          <w:jc w:val="center"/>
        </w:trPr>
        <w:tc>
          <w:tcPr>
            <w:tcW w:w="1885" w:type="dxa"/>
            <w:vMerge/>
            <w:tcBorders>
              <w:bottom w:val="single" w:sz="4" w:space="0" w:color="auto"/>
              <w:right w:val="single" w:sz="4" w:space="0" w:color="auto"/>
            </w:tcBorders>
            <w:vAlign w:val="center"/>
          </w:tcPr>
          <w:p w14:paraId="04935715" w14:textId="77777777" w:rsidR="00FC70C2" w:rsidRPr="00FC70C2" w:rsidRDefault="00FC70C2" w:rsidP="00FC70C2">
            <w:pPr>
              <w:widowControl w:val="0"/>
              <w:jc w:val="center"/>
              <w:rPr>
                <w:rFonts w:ascii="Arial Narrow" w:hAnsi="Arial Narrow" w:cs="Arial"/>
                <w:b/>
                <w:sz w:val="20"/>
                <w:szCs w:val="20"/>
                <w:lang w:val="bg-BG"/>
              </w:rPr>
            </w:pPr>
          </w:p>
        </w:tc>
        <w:tc>
          <w:tcPr>
            <w:tcW w:w="1500" w:type="dxa"/>
            <w:tcBorders>
              <w:top w:val="single" w:sz="4" w:space="0" w:color="auto"/>
              <w:left w:val="outset" w:sz="6" w:space="0" w:color="auto"/>
              <w:bottom w:val="single" w:sz="4" w:space="0" w:color="auto"/>
              <w:right w:val="single" w:sz="4" w:space="0" w:color="auto"/>
            </w:tcBorders>
            <w:vAlign w:val="center"/>
          </w:tcPr>
          <w:p w14:paraId="23807BAD" w14:textId="77777777" w:rsidR="00FC70C2" w:rsidRPr="00FC70C2" w:rsidRDefault="00FC70C2" w:rsidP="00FC70C2">
            <w:pPr>
              <w:widowControl w:val="0"/>
              <w:jc w:val="center"/>
              <w:rPr>
                <w:rFonts w:ascii="Arial Narrow" w:hAnsi="Arial Narrow" w:cs="Arial"/>
                <w:b/>
                <w:sz w:val="20"/>
                <w:szCs w:val="20"/>
                <w:lang w:val="bg-BG"/>
              </w:rPr>
            </w:pPr>
            <w:r w:rsidRPr="00FC70C2">
              <w:rPr>
                <w:rFonts w:ascii="Arial Narrow" w:hAnsi="Arial Narrow" w:cs="Arial"/>
                <w:b/>
                <w:sz w:val="20"/>
                <w:szCs w:val="20"/>
                <w:lang w:val="bg-BG"/>
              </w:rPr>
              <w:t>01.11.2023 г.</w:t>
            </w:r>
          </w:p>
        </w:tc>
        <w:tc>
          <w:tcPr>
            <w:tcW w:w="1442" w:type="dxa"/>
            <w:tcBorders>
              <w:top w:val="single" w:sz="4" w:space="0" w:color="auto"/>
              <w:left w:val="outset" w:sz="6" w:space="0" w:color="auto"/>
              <w:bottom w:val="single" w:sz="4" w:space="0" w:color="auto"/>
              <w:right w:val="single" w:sz="4" w:space="0" w:color="auto"/>
            </w:tcBorders>
            <w:vAlign w:val="center"/>
          </w:tcPr>
          <w:p w14:paraId="1315546C" w14:textId="77777777" w:rsidR="00FC70C2" w:rsidRPr="00FC70C2" w:rsidRDefault="00FC70C2" w:rsidP="00FC70C2">
            <w:pPr>
              <w:widowControl w:val="0"/>
              <w:jc w:val="center"/>
              <w:rPr>
                <w:rFonts w:ascii="Arial Narrow" w:hAnsi="Arial Narrow" w:cs="Arial"/>
                <w:b/>
                <w:sz w:val="20"/>
                <w:szCs w:val="20"/>
                <w:lang w:val="bg-BG"/>
              </w:rPr>
            </w:pPr>
            <w:r w:rsidRPr="00FC70C2">
              <w:rPr>
                <w:rFonts w:ascii="Arial Narrow" w:hAnsi="Arial Narrow" w:cs="Arial"/>
                <w:b/>
                <w:sz w:val="20"/>
                <w:szCs w:val="20"/>
                <w:lang w:val="bg-BG"/>
              </w:rPr>
              <w:t>01.11.2024 г.</w:t>
            </w:r>
          </w:p>
        </w:tc>
        <w:tc>
          <w:tcPr>
            <w:tcW w:w="1250" w:type="dxa"/>
            <w:tcBorders>
              <w:top w:val="single" w:sz="4" w:space="0" w:color="auto"/>
              <w:left w:val="outset" w:sz="6" w:space="0" w:color="auto"/>
              <w:bottom w:val="single" w:sz="4" w:space="0" w:color="auto"/>
              <w:right w:val="single" w:sz="4" w:space="0" w:color="auto"/>
            </w:tcBorders>
            <w:vAlign w:val="center"/>
          </w:tcPr>
          <w:p w14:paraId="34546C08" w14:textId="77777777" w:rsidR="00FC70C2" w:rsidRPr="00FC70C2" w:rsidRDefault="00FC70C2" w:rsidP="00FC70C2">
            <w:pPr>
              <w:widowControl w:val="0"/>
              <w:jc w:val="center"/>
              <w:rPr>
                <w:rFonts w:ascii="Arial Narrow" w:hAnsi="Arial Narrow" w:cs="Arial"/>
                <w:b/>
                <w:sz w:val="20"/>
                <w:szCs w:val="20"/>
                <w:lang w:val="bg-BG"/>
              </w:rPr>
            </w:pPr>
            <w:r w:rsidRPr="00FC70C2">
              <w:rPr>
                <w:rFonts w:ascii="Arial Narrow" w:hAnsi="Arial Narrow" w:cs="Arial"/>
                <w:b/>
                <w:sz w:val="20"/>
                <w:szCs w:val="20"/>
                <w:lang w:val="bg-BG"/>
              </w:rPr>
              <w:t xml:space="preserve">Дял </w:t>
            </w:r>
          </w:p>
          <w:p w14:paraId="25C13C9C" w14:textId="77777777" w:rsidR="00FC70C2" w:rsidRPr="00FC70C2" w:rsidRDefault="00FC70C2" w:rsidP="00FC70C2">
            <w:pPr>
              <w:widowControl w:val="0"/>
              <w:jc w:val="center"/>
              <w:rPr>
                <w:rFonts w:ascii="Arial Narrow" w:hAnsi="Arial Narrow" w:cs="Arial"/>
                <w:b/>
                <w:sz w:val="20"/>
                <w:szCs w:val="20"/>
                <w:lang w:val="bg-BG"/>
              </w:rPr>
            </w:pPr>
            <w:r w:rsidRPr="00FC70C2">
              <w:rPr>
                <w:rFonts w:ascii="Arial Narrow" w:hAnsi="Arial Narrow" w:cs="Arial"/>
                <w:b/>
                <w:sz w:val="20"/>
                <w:szCs w:val="20"/>
                <w:lang w:val="bg-BG"/>
              </w:rPr>
              <w:t>(2024 г.)</w:t>
            </w:r>
          </w:p>
        </w:tc>
        <w:tc>
          <w:tcPr>
            <w:tcW w:w="1266" w:type="dxa"/>
            <w:tcBorders>
              <w:top w:val="single" w:sz="4" w:space="0" w:color="auto"/>
              <w:left w:val="outset" w:sz="6" w:space="0" w:color="auto"/>
              <w:bottom w:val="single" w:sz="4" w:space="0" w:color="auto"/>
              <w:right w:val="single" w:sz="4" w:space="0" w:color="auto"/>
            </w:tcBorders>
            <w:vAlign w:val="center"/>
          </w:tcPr>
          <w:p w14:paraId="013EEE03" w14:textId="77777777" w:rsidR="00FC70C2" w:rsidRPr="00FC70C2" w:rsidRDefault="00FC70C2" w:rsidP="00FC70C2">
            <w:pPr>
              <w:widowControl w:val="0"/>
              <w:jc w:val="center"/>
              <w:rPr>
                <w:rFonts w:ascii="Arial Narrow" w:hAnsi="Arial Narrow" w:cs="Arial"/>
                <w:b/>
                <w:sz w:val="20"/>
                <w:szCs w:val="20"/>
                <w:lang w:val="bg-BG"/>
              </w:rPr>
            </w:pPr>
            <w:r w:rsidRPr="00FC70C2">
              <w:rPr>
                <w:rFonts w:ascii="Arial Narrow" w:hAnsi="Arial Narrow" w:cs="Arial"/>
                <w:b/>
                <w:sz w:val="20"/>
                <w:szCs w:val="20"/>
                <w:lang w:val="bg-BG"/>
              </w:rPr>
              <w:t>01.11.2023 г.</w:t>
            </w:r>
          </w:p>
        </w:tc>
        <w:tc>
          <w:tcPr>
            <w:tcW w:w="1263" w:type="dxa"/>
            <w:tcBorders>
              <w:top w:val="single" w:sz="4" w:space="0" w:color="auto"/>
              <w:left w:val="outset" w:sz="6" w:space="0" w:color="auto"/>
              <w:bottom w:val="single" w:sz="4" w:space="0" w:color="auto"/>
              <w:right w:val="single" w:sz="4" w:space="0" w:color="auto"/>
            </w:tcBorders>
            <w:vAlign w:val="center"/>
          </w:tcPr>
          <w:p w14:paraId="663DAB8D" w14:textId="77777777" w:rsidR="00FC70C2" w:rsidRPr="00FC70C2" w:rsidRDefault="00FC70C2" w:rsidP="00FC70C2">
            <w:pPr>
              <w:widowControl w:val="0"/>
              <w:jc w:val="center"/>
              <w:rPr>
                <w:rFonts w:ascii="Arial Narrow" w:hAnsi="Arial Narrow" w:cs="Arial"/>
                <w:b/>
                <w:sz w:val="20"/>
                <w:szCs w:val="20"/>
                <w:lang w:val="bg-BG"/>
              </w:rPr>
            </w:pPr>
            <w:r w:rsidRPr="00FC70C2">
              <w:rPr>
                <w:rFonts w:ascii="Arial Narrow" w:hAnsi="Arial Narrow" w:cs="Arial"/>
                <w:b/>
                <w:sz w:val="20"/>
                <w:szCs w:val="20"/>
                <w:lang w:val="bg-BG"/>
              </w:rPr>
              <w:t>01.11.2024 г.</w:t>
            </w:r>
          </w:p>
        </w:tc>
        <w:tc>
          <w:tcPr>
            <w:tcW w:w="1190" w:type="dxa"/>
            <w:tcBorders>
              <w:top w:val="single" w:sz="4" w:space="0" w:color="auto"/>
              <w:left w:val="outset" w:sz="6" w:space="0" w:color="auto"/>
              <w:bottom w:val="single" w:sz="4" w:space="0" w:color="auto"/>
            </w:tcBorders>
            <w:vAlign w:val="center"/>
          </w:tcPr>
          <w:p w14:paraId="66EB1E7B" w14:textId="77777777" w:rsidR="00FC70C2" w:rsidRPr="00FC70C2" w:rsidRDefault="00FC70C2" w:rsidP="00FC70C2">
            <w:pPr>
              <w:widowControl w:val="0"/>
              <w:jc w:val="center"/>
              <w:rPr>
                <w:rFonts w:ascii="Arial Narrow" w:hAnsi="Arial Narrow" w:cs="Arial"/>
                <w:b/>
                <w:sz w:val="20"/>
                <w:szCs w:val="20"/>
                <w:lang w:val="bg-BG"/>
              </w:rPr>
            </w:pPr>
            <w:r w:rsidRPr="00FC70C2">
              <w:rPr>
                <w:rFonts w:ascii="Arial Narrow" w:hAnsi="Arial Narrow" w:cs="Arial"/>
                <w:b/>
                <w:sz w:val="20"/>
                <w:szCs w:val="20"/>
                <w:lang w:val="bg-BG"/>
              </w:rPr>
              <w:t xml:space="preserve">Дял </w:t>
            </w:r>
          </w:p>
          <w:p w14:paraId="64FD4D51" w14:textId="77777777" w:rsidR="00FC70C2" w:rsidRPr="00FC70C2" w:rsidRDefault="00FC70C2" w:rsidP="00FC70C2">
            <w:pPr>
              <w:widowControl w:val="0"/>
              <w:jc w:val="center"/>
              <w:rPr>
                <w:rFonts w:ascii="Arial Narrow" w:hAnsi="Arial Narrow" w:cs="Arial"/>
                <w:b/>
                <w:sz w:val="20"/>
                <w:szCs w:val="20"/>
                <w:lang w:val="bg-BG"/>
              </w:rPr>
            </w:pPr>
            <w:r w:rsidRPr="00FC70C2">
              <w:rPr>
                <w:rFonts w:ascii="Arial Narrow" w:hAnsi="Arial Narrow" w:cs="Arial"/>
                <w:b/>
                <w:sz w:val="20"/>
                <w:szCs w:val="20"/>
                <w:lang w:val="bg-BG"/>
              </w:rPr>
              <w:t>(2024 г.)</w:t>
            </w:r>
          </w:p>
        </w:tc>
      </w:tr>
      <w:tr w:rsidR="00FC70C2" w:rsidRPr="00FC70C2" w14:paraId="65E72668" w14:textId="77777777" w:rsidTr="003A2D79">
        <w:trPr>
          <w:trHeight w:hRule="exact" w:val="340"/>
          <w:jc w:val="center"/>
        </w:trPr>
        <w:tc>
          <w:tcPr>
            <w:tcW w:w="1885" w:type="dxa"/>
            <w:tcBorders>
              <w:top w:val="single" w:sz="4" w:space="0" w:color="auto"/>
              <w:bottom w:val="single" w:sz="4" w:space="0" w:color="auto"/>
              <w:right w:val="single" w:sz="4" w:space="0" w:color="auto"/>
            </w:tcBorders>
            <w:vAlign w:val="center"/>
          </w:tcPr>
          <w:p w14:paraId="6AFD0325" w14:textId="77777777" w:rsidR="00FC70C2" w:rsidRPr="00FC70C2" w:rsidRDefault="00FC70C2" w:rsidP="00FC70C2">
            <w:pPr>
              <w:widowControl w:val="0"/>
              <w:rPr>
                <w:rFonts w:ascii="Arial Narrow" w:hAnsi="Arial Narrow" w:cs="Arial"/>
                <w:sz w:val="20"/>
                <w:szCs w:val="20"/>
                <w:lang w:val="bg-BG"/>
              </w:rPr>
            </w:pPr>
            <w:r w:rsidRPr="00FC70C2">
              <w:rPr>
                <w:rFonts w:ascii="Arial Narrow" w:hAnsi="Arial Narrow" w:cs="Arial"/>
                <w:sz w:val="20"/>
                <w:szCs w:val="20"/>
                <w:lang w:val="bg-BG"/>
              </w:rPr>
              <w:t>Северозападен</w:t>
            </w:r>
          </w:p>
        </w:tc>
        <w:tc>
          <w:tcPr>
            <w:tcW w:w="1500" w:type="dxa"/>
            <w:tcBorders>
              <w:top w:val="nil"/>
              <w:left w:val="nil"/>
              <w:bottom w:val="single" w:sz="4" w:space="0" w:color="auto"/>
              <w:right w:val="single" w:sz="4" w:space="0" w:color="auto"/>
            </w:tcBorders>
            <w:shd w:val="clear" w:color="auto" w:fill="auto"/>
            <w:vAlign w:val="center"/>
          </w:tcPr>
          <w:p w14:paraId="076E978F" w14:textId="77777777" w:rsidR="00FC70C2" w:rsidRPr="00FC70C2" w:rsidRDefault="00FC70C2" w:rsidP="00FC70C2">
            <w:pPr>
              <w:widowControl w:val="0"/>
              <w:jc w:val="right"/>
              <w:rPr>
                <w:rFonts w:ascii="Arial Narrow" w:hAnsi="Arial Narrow" w:cs="Arial"/>
                <w:sz w:val="20"/>
                <w:szCs w:val="20"/>
                <w:lang w:val="bg-BG"/>
              </w:rPr>
            </w:pPr>
            <w:r w:rsidRPr="00FC70C2">
              <w:rPr>
                <w:rFonts w:ascii="Arial Narrow" w:hAnsi="Arial Narrow" w:cs="Arial"/>
                <w:sz w:val="20"/>
                <w:szCs w:val="20"/>
                <w:lang w:val="bg-BG"/>
              </w:rPr>
              <w:t>125,3</w:t>
            </w:r>
          </w:p>
        </w:tc>
        <w:tc>
          <w:tcPr>
            <w:tcW w:w="1442" w:type="dxa"/>
            <w:tcBorders>
              <w:top w:val="single" w:sz="4" w:space="0" w:color="auto"/>
              <w:left w:val="single" w:sz="4" w:space="0" w:color="auto"/>
              <w:bottom w:val="single" w:sz="4" w:space="0" w:color="auto"/>
              <w:right w:val="single" w:sz="4" w:space="0" w:color="auto"/>
            </w:tcBorders>
            <w:shd w:val="clear" w:color="auto" w:fill="auto"/>
            <w:vAlign w:val="center"/>
          </w:tcPr>
          <w:p w14:paraId="38B8F8D4" w14:textId="77777777" w:rsidR="00FC70C2" w:rsidRPr="00FC70C2" w:rsidRDefault="00FC70C2" w:rsidP="00FC70C2">
            <w:pPr>
              <w:widowControl w:val="0"/>
              <w:jc w:val="right"/>
              <w:rPr>
                <w:rFonts w:ascii="Arial Narrow" w:hAnsi="Arial Narrow" w:cs="Arial"/>
                <w:sz w:val="20"/>
                <w:szCs w:val="20"/>
                <w:lang w:val="bg-BG"/>
              </w:rPr>
            </w:pPr>
            <w:r w:rsidRPr="00FC70C2">
              <w:rPr>
                <w:rFonts w:ascii="Arial Narrow" w:hAnsi="Arial Narrow" w:cs="Arial"/>
                <w:sz w:val="20"/>
                <w:szCs w:val="20"/>
                <w:lang w:val="bg-BG"/>
              </w:rPr>
              <w:t>124,0</w:t>
            </w:r>
          </w:p>
        </w:tc>
        <w:tc>
          <w:tcPr>
            <w:tcW w:w="1250" w:type="dxa"/>
            <w:tcBorders>
              <w:top w:val="single" w:sz="4" w:space="0" w:color="auto"/>
              <w:left w:val="nil"/>
              <w:bottom w:val="single" w:sz="4" w:space="0" w:color="auto"/>
              <w:right w:val="single" w:sz="4" w:space="0" w:color="auto"/>
            </w:tcBorders>
            <w:shd w:val="clear" w:color="auto" w:fill="auto"/>
            <w:vAlign w:val="center"/>
          </w:tcPr>
          <w:p w14:paraId="2B2EB97B" w14:textId="77777777" w:rsidR="00FC70C2" w:rsidRPr="00FC70C2" w:rsidRDefault="00FC70C2" w:rsidP="00FC70C2">
            <w:pPr>
              <w:widowControl w:val="0"/>
              <w:jc w:val="right"/>
              <w:rPr>
                <w:rFonts w:ascii="Arial Narrow" w:hAnsi="Arial Narrow" w:cs="Arial"/>
                <w:sz w:val="20"/>
                <w:szCs w:val="20"/>
                <w:lang w:val="bg-BG"/>
              </w:rPr>
            </w:pPr>
            <w:r w:rsidRPr="00FC70C2">
              <w:rPr>
                <w:rFonts w:ascii="Arial Narrow" w:hAnsi="Arial Narrow" w:cs="Arial"/>
                <w:sz w:val="20"/>
                <w:szCs w:val="20"/>
                <w:lang w:val="bg-BG"/>
              </w:rPr>
              <w:t>12,2%</w:t>
            </w:r>
          </w:p>
        </w:tc>
        <w:tc>
          <w:tcPr>
            <w:tcW w:w="1266" w:type="dxa"/>
            <w:tcBorders>
              <w:top w:val="nil"/>
              <w:left w:val="nil"/>
              <w:bottom w:val="single" w:sz="4" w:space="0" w:color="auto"/>
              <w:right w:val="single" w:sz="4" w:space="0" w:color="auto"/>
            </w:tcBorders>
            <w:shd w:val="clear" w:color="auto" w:fill="auto"/>
            <w:vAlign w:val="center"/>
          </w:tcPr>
          <w:p w14:paraId="3A8E5CB4" w14:textId="77777777" w:rsidR="00FC70C2" w:rsidRPr="00FC70C2" w:rsidRDefault="00FC70C2" w:rsidP="00FC70C2">
            <w:pPr>
              <w:widowControl w:val="0"/>
              <w:jc w:val="right"/>
              <w:rPr>
                <w:rFonts w:ascii="Arial Narrow" w:hAnsi="Arial Narrow" w:cs="Arial"/>
                <w:sz w:val="20"/>
                <w:szCs w:val="20"/>
                <w:lang w:val="bg-BG"/>
              </w:rPr>
            </w:pPr>
            <w:r w:rsidRPr="00FC70C2">
              <w:rPr>
                <w:rFonts w:ascii="Arial Narrow" w:hAnsi="Arial Narrow" w:cs="Arial"/>
                <w:sz w:val="20"/>
                <w:szCs w:val="20"/>
                <w:lang w:val="bg-BG"/>
              </w:rPr>
              <w:t>107,6</w:t>
            </w:r>
          </w:p>
        </w:tc>
        <w:tc>
          <w:tcPr>
            <w:tcW w:w="1263" w:type="dxa"/>
            <w:tcBorders>
              <w:top w:val="single" w:sz="4" w:space="0" w:color="auto"/>
              <w:left w:val="single" w:sz="4" w:space="0" w:color="auto"/>
              <w:bottom w:val="single" w:sz="4" w:space="0" w:color="auto"/>
              <w:right w:val="single" w:sz="4" w:space="0" w:color="auto"/>
            </w:tcBorders>
            <w:shd w:val="clear" w:color="auto" w:fill="auto"/>
            <w:vAlign w:val="center"/>
          </w:tcPr>
          <w:p w14:paraId="02874800" w14:textId="77777777" w:rsidR="00FC70C2" w:rsidRPr="00FC70C2" w:rsidRDefault="00FC70C2" w:rsidP="00FC70C2">
            <w:pPr>
              <w:widowControl w:val="0"/>
              <w:jc w:val="right"/>
              <w:rPr>
                <w:rFonts w:ascii="Arial Narrow" w:hAnsi="Arial Narrow" w:cs="Arial"/>
                <w:sz w:val="20"/>
                <w:szCs w:val="20"/>
                <w:lang w:val="bg-BG"/>
              </w:rPr>
            </w:pPr>
            <w:r w:rsidRPr="00FC70C2">
              <w:rPr>
                <w:rFonts w:ascii="Arial Narrow" w:hAnsi="Arial Narrow" w:cs="Arial"/>
                <w:sz w:val="20"/>
                <w:szCs w:val="20"/>
                <w:lang w:val="bg-BG"/>
              </w:rPr>
              <w:t>105,4</w:t>
            </w:r>
          </w:p>
        </w:tc>
        <w:tc>
          <w:tcPr>
            <w:tcW w:w="1190" w:type="dxa"/>
            <w:tcBorders>
              <w:top w:val="single" w:sz="4" w:space="0" w:color="auto"/>
              <w:left w:val="nil"/>
              <w:bottom w:val="single" w:sz="4" w:space="0" w:color="auto"/>
              <w:right w:val="single" w:sz="4" w:space="0" w:color="auto"/>
            </w:tcBorders>
            <w:shd w:val="clear" w:color="auto" w:fill="auto"/>
            <w:vAlign w:val="center"/>
          </w:tcPr>
          <w:p w14:paraId="1AE1DCFA" w14:textId="77777777" w:rsidR="00FC70C2" w:rsidRPr="00FC70C2" w:rsidRDefault="00FC70C2" w:rsidP="00FC70C2">
            <w:pPr>
              <w:widowControl w:val="0"/>
              <w:jc w:val="right"/>
              <w:rPr>
                <w:rFonts w:ascii="Arial Narrow" w:hAnsi="Arial Narrow" w:cs="Arial"/>
                <w:sz w:val="20"/>
                <w:szCs w:val="20"/>
                <w:lang w:val="bg-BG"/>
              </w:rPr>
            </w:pPr>
            <w:r w:rsidRPr="00FC70C2">
              <w:rPr>
                <w:rFonts w:ascii="Arial Narrow" w:hAnsi="Arial Narrow" w:cs="Arial"/>
                <w:sz w:val="20"/>
                <w:szCs w:val="20"/>
                <w:lang w:val="bg-BG"/>
              </w:rPr>
              <w:t>12,2%</w:t>
            </w:r>
          </w:p>
        </w:tc>
      </w:tr>
      <w:tr w:rsidR="00FC70C2" w:rsidRPr="00FC70C2" w14:paraId="35D38B0E" w14:textId="77777777" w:rsidTr="003A2D79">
        <w:trPr>
          <w:trHeight w:hRule="exact" w:val="340"/>
          <w:jc w:val="center"/>
        </w:trPr>
        <w:tc>
          <w:tcPr>
            <w:tcW w:w="1885" w:type="dxa"/>
            <w:tcBorders>
              <w:top w:val="single" w:sz="4" w:space="0" w:color="auto"/>
              <w:bottom w:val="single" w:sz="4" w:space="0" w:color="auto"/>
              <w:right w:val="single" w:sz="4" w:space="0" w:color="auto"/>
            </w:tcBorders>
            <w:vAlign w:val="center"/>
          </w:tcPr>
          <w:p w14:paraId="6FB94E7A" w14:textId="77777777" w:rsidR="00FC70C2" w:rsidRPr="00FC70C2" w:rsidRDefault="00FC70C2" w:rsidP="00FC70C2">
            <w:pPr>
              <w:widowControl w:val="0"/>
              <w:rPr>
                <w:rFonts w:ascii="Arial Narrow" w:hAnsi="Arial Narrow" w:cs="Arial"/>
                <w:sz w:val="20"/>
                <w:szCs w:val="20"/>
                <w:lang w:val="bg-BG"/>
              </w:rPr>
            </w:pPr>
            <w:r w:rsidRPr="00FC70C2">
              <w:rPr>
                <w:rFonts w:ascii="Arial Narrow" w:hAnsi="Arial Narrow" w:cs="Arial"/>
                <w:sz w:val="20"/>
                <w:szCs w:val="20"/>
                <w:lang w:val="bg-BG"/>
              </w:rPr>
              <w:t xml:space="preserve">Северен централен </w:t>
            </w:r>
          </w:p>
        </w:tc>
        <w:tc>
          <w:tcPr>
            <w:tcW w:w="1500" w:type="dxa"/>
            <w:tcBorders>
              <w:top w:val="nil"/>
              <w:left w:val="nil"/>
              <w:bottom w:val="single" w:sz="4" w:space="0" w:color="auto"/>
              <w:right w:val="single" w:sz="4" w:space="0" w:color="auto"/>
            </w:tcBorders>
            <w:shd w:val="clear" w:color="auto" w:fill="auto"/>
            <w:vAlign w:val="center"/>
          </w:tcPr>
          <w:p w14:paraId="33049156" w14:textId="77777777" w:rsidR="00FC70C2" w:rsidRPr="00FC70C2" w:rsidRDefault="00FC70C2" w:rsidP="00FC70C2">
            <w:pPr>
              <w:widowControl w:val="0"/>
              <w:jc w:val="right"/>
              <w:rPr>
                <w:rFonts w:ascii="Arial Narrow" w:hAnsi="Arial Narrow" w:cs="Arial"/>
                <w:sz w:val="20"/>
                <w:szCs w:val="20"/>
                <w:lang w:val="bg-BG"/>
              </w:rPr>
            </w:pPr>
            <w:r w:rsidRPr="00FC70C2">
              <w:rPr>
                <w:rFonts w:ascii="Arial Narrow" w:hAnsi="Arial Narrow" w:cs="Arial"/>
                <w:sz w:val="20"/>
                <w:szCs w:val="20"/>
                <w:lang w:val="bg-BG"/>
              </w:rPr>
              <w:t>107,6</w:t>
            </w:r>
          </w:p>
        </w:tc>
        <w:tc>
          <w:tcPr>
            <w:tcW w:w="1442" w:type="dxa"/>
            <w:tcBorders>
              <w:top w:val="nil"/>
              <w:left w:val="single" w:sz="4" w:space="0" w:color="auto"/>
              <w:bottom w:val="single" w:sz="4" w:space="0" w:color="auto"/>
              <w:right w:val="single" w:sz="4" w:space="0" w:color="auto"/>
            </w:tcBorders>
            <w:shd w:val="clear" w:color="auto" w:fill="auto"/>
            <w:vAlign w:val="center"/>
          </w:tcPr>
          <w:p w14:paraId="51486330" w14:textId="77777777" w:rsidR="00FC70C2" w:rsidRPr="00FC70C2" w:rsidRDefault="00FC70C2" w:rsidP="00FC70C2">
            <w:pPr>
              <w:widowControl w:val="0"/>
              <w:jc w:val="right"/>
              <w:rPr>
                <w:rFonts w:ascii="Arial Narrow" w:hAnsi="Arial Narrow" w:cs="Arial"/>
                <w:sz w:val="20"/>
                <w:szCs w:val="20"/>
                <w:lang w:val="bg-BG"/>
              </w:rPr>
            </w:pPr>
            <w:r w:rsidRPr="00FC70C2">
              <w:rPr>
                <w:rFonts w:ascii="Arial Narrow" w:hAnsi="Arial Narrow" w:cs="Arial"/>
                <w:sz w:val="20"/>
                <w:szCs w:val="20"/>
                <w:lang w:val="bg-BG"/>
              </w:rPr>
              <w:t>106,0</w:t>
            </w:r>
          </w:p>
        </w:tc>
        <w:tc>
          <w:tcPr>
            <w:tcW w:w="1250" w:type="dxa"/>
            <w:tcBorders>
              <w:top w:val="nil"/>
              <w:left w:val="nil"/>
              <w:bottom w:val="single" w:sz="4" w:space="0" w:color="auto"/>
              <w:right w:val="single" w:sz="4" w:space="0" w:color="auto"/>
            </w:tcBorders>
            <w:shd w:val="clear" w:color="auto" w:fill="auto"/>
            <w:vAlign w:val="center"/>
          </w:tcPr>
          <w:p w14:paraId="61120532" w14:textId="77777777" w:rsidR="00FC70C2" w:rsidRPr="00FC70C2" w:rsidRDefault="00FC70C2" w:rsidP="00FC70C2">
            <w:pPr>
              <w:widowControl w:val="0"/>
              <w:jc w:val="right"/>
              <w:rPr>
                <w:rFonts w:ascii="Arial Narrow" w:hAnsi="Arial Narrow" w:cs="Arial"/>
                <w:sz w:val="20"/>
                <w:szCs w:val="20"/>
                <w:lang w:val="bg-BG"/>
              </w:rPr>
            </w:pPr>
            <w:r w:rsidRPr="00FC70C2">
              <w:rPr>
                <w:rFonts w:ascii="Arial Narrow" w:hAnsi="Arial Narrow" w:cs="Arial"/>
                <w:sz w:val="20"/>
                <w:szCs w:val="20"/>
                <w:lang w:val="bg-BG"/>
              </w:rPr>
              <w:t>10,4%</w:t>
            </w:r>
          </w:p>
        </w:tc>
        <w:tc>
          <w:tcPr>
            <w:tcW w:w="1266" w:type="dxa"/>
            <w:tcBorders>
              <w:top w:val="nil"/>
              <w:left w:val="nil"/>
              <w:bottom w:val="single" w:sz="4" w:space="0" w:color="auto"/>
              <w:right w:val="single" w:sz="4" w:space="0" w:color="auto"/>
            </w:tcBorders>
            <w:shd w:val="clear" w:color="auto" w:fill="auto"/>
            <w:vAlign w:val="center"/>
          </w:tcPr>
          <w:p w14:paraId="0B5E4A6D" w14:textId="77777777" w:rsidR="00FC70C2" w:rsidRPr="00FC70C2" w:rsidRDefault="00FC70C2" w:rsidP="00FC70C2">
            <w:pPr>
              <w:widowControl w:val="0"/>
              <w:jc w:val="right"/>
              <w:rPr>
                <w:rFonts w:ascii="Arial Narrow" w:hAnsi="Arial Narrow" w:cs="Arial"/>
                <w:sz w:val="20"/>
                <w:szCs w:val="20"/>
                <w:lang w:val="bg-BG"/>
              </w:rPr>
            </w:pPr>
            <w:r w:rsidRPr="00FC70C2">
              <w:rPr>
                <w:rFonts w:ascii="Arial Narrow" w:hAnsi="Arial Narrow" w:cs="Arial"/>
                <w:sz w:val="20"/>
                <w:szCs w:val="20"/>
                <w:lang w:val="bg-BG"/>
              </w:rPr>
              <w:t>87,7</w:t>
            </w:r>
          </w:p>
        </w:tc>
        <w:tc>
          <w:tcPr>
            <w:tcW w:w="1263" w:type="dxa"/>
            <w:tcBorders>
              <w:top w:val="nil"/>
              <w:left w:val="single" w:sz="4" w:space="0" w:color="auto"/>
              <w:bottom w:val="single" w:sz="4" w:space="0" w:color="auto"/>
              <w:right w:val="single" w:sz="4" w:space="0" w:color="auto"/>
            </w:tcBorders>
            <w:shd w:val="clear" w:color="auto" w:fill="auto"/>
            <w:vAlign w:val="center"/>
          </w:tcPr>
          <w:p w14:paraId="3B59E35B" w14:textId="77777777" w:rsidR="00FC70C2" w:rsidRPr="00FC70C2" w:rsidRDefault="00FC70C2" w:rsidP="00FC70C2">
            <w:pPr>
              <w:widowControl w:val="0"/>
              <w:jc w:val="right"/>
              <w:rPr>
                <w:rFonts w:ascii="Arial Narrow" w:hAnsi="Arial Narrow" w:cs="Arial"/>
                <w:sz w:val="20"/>
                <w:szCs w:val="20"/>
                <w:lang w:val="bg-BG"/>
              </w:rPr>
            </w:pPr>
            <w:r w:rsidRPr="00FC70C2">
              <w:rPr>
                <w:rFonts w:ascii="Arial Narrow" w:hAnsi="Arial Narrow" w:cs="Arial"/>
                <w:sz w:val="20"/>
                <w:szCs w:val="20"/>
                <w:lang w:val="bg-BG"/>
              </w:rPr>
              <w:t>84,4</w:t>
            </w:r>
          </w:p>
        </w:tc>
        <w:tc>
          <w:tcPr>
            <w:tcW w:w="1190" w:type="dxa"/>
            <w:tcBorders>
              <w:top w:val="nil"/>
              <w:left w:val="nil"/>
              <w:bottom w:val="single" w:sz="4" w:space="0" w:color="auto"/>
              <w:right w:val="single" w:sz="4" w:space="0" w:color="auto"/>
            </w:tcBorders>
            <w:shd w:val="clear" w:color="auto" w:fill="auto"/>
            <w:vAlign w:val="center"/>
          </w:tcPr>
          <w:p w14:paraId="0273F6E6" w14:textId="77777777" w:rsidR="00FC70C2" w:rsidRPr="00FC70C2" w:rsidRDefault="00FC70C2" w:rsidP="00FC70C2">
            <w:pPr>
              <w:widowControl w:val="0"/>
              <w:jc w:val="right"/>
              <w:rPr>
                <w:rFonts w:ascii="Arial Narrow" w:hAnsi="Arial Narrow" w:cs="Arial"/>
                <w:sz w:val="20"/>
                <w:szCs w:val="20"/>
                <w:lang w:val="bg-BG"/>
              </w:rPr>
            </w:pPr>
            <w:r w:rsidRPr="00FC70C2">
              <w:rPr>
                <w:rFonts w:ascii="Arial Narrow" w:hAnsi="Arial Narrow" w:cs="Arial"/>
                <w:sz w:val="20"/>
                <w:szCs w:val="20"/>
                <w:lang w:val="bg-BG"/>
              </w:rPr>
              <w:t>9,8%</w:t>
            </w:r>
          </w:p>
        </w:tc>
      </w:tr>
      <w:tr w:rsidR="00FC70C2" w:rsidRPr="00FC70C2" w14:paraId="0B295E6B" w14:textId="77777777" w:rsidTr="003A2D79">
        <w:trPr>
          <w:trHeight w:hRule="exact" w:val="340"/>
          <w:jc w:val="center"/>
        </w:trPr>
        <w:tc>
          <w:tcPr>
            <w:tcW w:w="1885" w:type="dxa"/>
            <w:tcBorders>
              <w:top w:val="single" w:sz="4" w:space="0" w:color="auto"/>
              <w:bottom w:val="single" w:sz="4" w:space="0" w:color="auto"/>
              <w:right w:val="single" w:sz="4" w:space="0" w:color="auto"/>
            </w:tcBorders>
            <w:vAlign w:val="center"/>
          </w:tcPr>
          <w:p w14:paraId="0F8A6618" w14:textId="77777777" w:rsidR="00FC70C2" w:rsidRPr="00FC70C2" w:rsidRDefault="00FC70C2" w:rsidP="00FC70C2">
            <w:pPr>
              <w:widowControl w:val="0"/>
              <w:rPr>
                <w:rFonts w:ascii="Arial Narrow" w:hAnsi="Arial Narrow" w:cs="Arial"/>
                <w:sz w:val="20"/>
                <w:szCs w:val="20"/>
                <w:lang w:val="bg-BG"/>
              </w:rPr>
            </w:pPr>
            <w:r w:rsidRPr="00FC70C2">
              <w:rPr>
                <w:rFonts w:ascii="Arial Narrow" w:hAnsi="Arial Narrow" w:cs="Arial"/>
                <w:sz w:val="20"/>
                <w:szCs w:val="20"/>
                <w:lang w:val="bg-BG"/>
              </w:rPr>
              <w:t>Североизточен</w:t>
            </w:r>
          </w:p>
        </w:tc>
        <w:tc>
          <w:tcPr>
            <w:tcW w:w="1500" w:type="dxa"/>
            <w:tcBorders>
              <w:top w:val="nil"/>
              <w:left w:val="nil"/>
              <w:bottom w:val="single" w:sz="4" w:space="0" w:color="auto"/>
              <w:right w:val="single" w:sz="4" w:space="0" w:color="auto"/>
            </w:tcBorders>
            <w:shd w:val="clear" w:color="auto" w:fill="auto"/>
            <w:vAlign w:val="center"/>
          </w:tcPr>
          <w:p w14:paraId="4B7B4E35" w14:textId="77777777" w:rsidR="00FC70C2" w:rsidRPr="00FC70C2" w:rsidRDefault="00FC70C2" w:rsidP="00FC70C2">
            <w:pPr>
              <w:widowControl w:val="0"/>
              <w:jc w:val="right"/>
              <w:rPr>
                <w:rFonts w:ascii="Arial Narrow" w:hAnsi="Arial Narrow" w:cs="Arial"/>
                <w:sz w:val="20"/>
                <w:szCs w:val="20"/>
                <w:lang w:val="bg-BG"/>
              </w:rPr>
            </w:pPr>
            <w:r w:rsidRPr="00FC70C2">
              <w:rPr>
                <w:rFonts w:ascii="Arial Narrow" w:hAnsi="Arial Narrow" w:cs="Arial"/>
                <w:sz w:val="20"/>
                <w:szCs w:val="20"/>
                <w:lang w:val="bg-BG"/>
              </w:rPr>
              <w:t>135,8</w:t>
            </w:r>
          </w:p>
        </w:tc>
        <w:tc>
          <w:tcPr>
            <w:tcW w:w="1442" w:type="dxa"/>
            <w:tcBorders>
              <w:top w:val="nil"/>
              <w:left w:val="single" w:sz="4" w:space="0" w:color="auto"/>
              <w:bottom w:val="single" w:sz="4" w:space="0" w:color="auto"/>
              <w:right w:val="single" w:sz="4" w:space="0" w:color="auto"/>
            </w:tcBorders>
            <w:shd w:val="clear" w:color="auto" w:fill="auto"/>
            <w:vAlign w:val="center"/>
          </w:tcPr>
          <w:p w14:paraId="54741687" w14:textId="77777777" w:rsidR="00FC70C2" w:rsidRPr="00FC70C2" w:rsidRDefault="00FC70C2" w:rsidP="00FC70C2">
            <w:pPr>
              <w:widowControl w:val="0"/>
              <w:jc w:val="right"/>
              <w:rPr>
                <w:rFonts w:ascii="Arial Narrow" w:hAnsi="Arial Narrow" w:cs="Arial"/>
                <w:sz w:val="20"/>
                <w:szCs w:val="20"/>
                <w:lang w:val="bg-BG"/>
              </w:rPr>
            </w:pPr>
            <w:r w:rsidRPr="00FC70C2">
              <w:rPr>
                <w:rFonts w:ascii="Arial Narrow" w:hAnsi="Arial Narrow" w:cs="Arial"/>
                <w:sz w:val="20"/>
                <w:szCs w:val="20"/>
                <w:lang w:val="bg-BG"/>
              </w:rPr>
              <w:t>125,1</w:t>
            </w:r>
          </w:p>
        </w:tc>
        <w:tc>
          <w:tcPr>
            <w:tcW w:w="1250" w:type="dxa"/>
            <w:tcBorders>
              <w:top w:val="nil"/>
              <w:left w:val="nil"/>
              <w:bottom w:val="single" w:sz="4" w:space="0" w:color="auto"/>
              <w:right w:val="single" w:sz="4" w:space="0" w:color="auto"/>
            </w:tcBorders>
            <w:shd w:val="clear" w:color="auto" w:fill="auto"/>
            <w:vAlign w:val="center"/>
          </w:tcPr>
          <w:p w14:paraId="049119A1" w14:textId="77777777" w:rsidR="00FC70C2" w:rsidRPr="00FC70C2" w:rsidRDefault="00FC70C2" w:rsidP="00FC70C2">
            <w:pPr>
              <w:widowControl w:val="0"/>
              <w:jc w:val="right"/>
              <w:rPr>
                <w:rFonts w:ascii="Arial Narrow" w:hAnsi="Arial Narrow" w:cs="Arial"/>
                <w:sz w:val="20"/>
                <w:szCs w:val="20"/>
                <w:lang w:val="bg-BG"/>
              </w:rPr>
            </w:pPr>
            <w:r w:rsidRPr="00FC70C2">
              <w:rPr>
                <w:rFonts w:ascii="Arial Narrow" w:hAnsi="Arial Narrow" w:cs="Arial"/>
                <w:sz w:val="20"/>
                <w:szCs w:val="20"/>
                <w:lang w:val="bg-BG"/>
              </w:rPr>
              <w:t>12,3%</w:t>
            </w:r>
          </w:p>
        </w:tc>
        <w:tc>
          <w:tcPr>
            <w:tcW w:w="1266" w:type="dxa"/>
            <w:tcBorders>
              <w:top w:val="nil"/>
              <w:left w:val="nil"/>
              <w:bottom w:val="single" w:sz="4" w:space="0" w:color="auto"/>
              <w:right w:val="single" w:sz="4" w:space="0" w:color="auto"/>
            </w:tcBorders>
            <w:shd w:val="clear" w:color="auto" w:fill="auto"/>
            <w:vAlign w:val="center"/>
          </w:tcPr>
          <w:p w14:paraId="4D90EE22" w14:textId="77777777" w:rsidR="00FC70C2" w:rsidRPr="00FC70C2" w:rsidRDefault="00FC70C2" w:rsidP="00FC70C2">
            <w:pPr>
              <w:widowControl w:val="0"/>
              <w:jc w:val="right"/>
              <w:rPr>
                <w:rFonts w:ascii="Arial Narrow" w:hAnsi="Arial Narrow" w:cs="Arial"/>
                <w:sz w:val="20"/>
                <w:szCs w:val="20"/>
                <w:lang w:val="bg-BG"/>
              </w:rPr>
            </w:pPr>
            <w:r w:rsidRPr="00FC70C2">
              <w:rPr>
                <w:rFonts w:ascii="Arial Narrow" w:hAnsi="Arial Narrow" w:cs="Arial"/>
                <w:sz w:val="20"/>
                <w:szCs w:val="20"/>
                <w:lang w:val="bg-BG"/>
              </w:rPr>
              <w:t>106,2</w:t>
            </w:r>
          </w:p>
        </w:tc>
        <w:tc>
          <w:tcPr>
            <w:tcW w:w="1263" w:type="dxa"/>
            <w:tcBorders>
              <w:top w:val="nil"/>
              <w:left w:val="single" w:sz="4" w:space="0" w:color="auto"/>
              <w:bottom w:val="single" w:sz="4" w:space="0" w:color="auto"/>
              <w:right w:val="single" w:sz="4" w:space="0" w:color="auto"/>
            </w:tcBorders>
            <w:shd w:val="clear" w:color="auto" w:fill="auto"/>
            <w:vAlign w:val="center"/>
          </w:tcPr>
          <w:p w14:paraId="4C0C747A" w14:textId="77777777" w:rsidR="00FC70C2" w:rsidRPr="00FC70C2" w:rsidRDefault="00FC70C2" w:rsidP="00FC70C2">
            <w:pPr>
              <w:widowControl w:val="0"/>
              <w:jc w:val="right"/>
              <w:rPr>
                <w:rFonts w:ascii="Arial Narrow" w:hAnsi="Arial Narrow" w:cs="Arial"/>
                <w:sz w:val="20"/>
                <w:szCs w:val="20"/>
                <w:lang w:val="bg-BG"/>
              </w:rPr>
            </w:pPr>
            <w:r w:rsidRPr="00FC70C2">
              <w:rPr>
                <w:rFonts w:ascii="Arial Narrow" w:hAnsi="Arial Narrow" w:cs="Arial"/>
                <w:sz w:val="20"/>
                <w:szCs w:val="20"/>
                <w:lang w:val="bg-BG"/>
              </w:rPr>
              <w:t>104,7</w:t>
            </w:r>
          </w:p>
        </w:tc>
        <w:tc>
          <w:tcPr>
            <w:tcW w:w="1190" w:type="dxa"/>
            <w:tcBorders>
              <w:top w:val="nil"/>
              <w:left w:val="nil"/>
              <w:bottom w:val="single" w:sz="4" w:space="0" w:color="auto"/>
              <w:right w:val="single" w:sz="4" w:space="0" w:color="auto"/>
            </w:tcBorders>
            <w:shd w:val="clear" w:color="auto" w:fill="auto"/>
            <w:vAlign w:val="center"/>
          </w:tcPr>
          <w:p w14:paraId="14DD5C44" w14:textId="77777777" w:rsidR="00FC70C2" w:rsidRPr="00FC70C2" w:rsidRDefault="00FC70C2" w:rsidP="00FC70C2">
            <w:pPr>
              <w:widowControl w:val="0"/>
              <w:jc w:val="right"/>
              <w:rPr>
                <w:rFonts w:ascii="Arial Narrow" w:hAnsi="Arial Narrow" w:cs="Arial"/>
                <w:sz w:val="20"/>
                <w:szCs w:val="20"/>
                <w:lang w:val="bg-BG"/>
              </w:rPr>
            </w:pPr>
            <w:r w:rsidRPr="00FC70C2">
              <w:rPr>
                <w:rFonts w:ascii="Arial Narrow" w:hAnsi="Arial Narrow" w:cs="Arial"/>
                <w:sz w:val="20"/>
                <w:szCs w:val="20"/>
                <w:lang w:val="bg-BG"/>
              </w:rPr>
              <w:t>12,1%</w:t>
            </w:r>
          </w:p>
        </w:tc>
      </w:tr>
      <w:tr w:rsidR="00FC70C2" w:rsidRPr="00FC70C2" w14:paraId="55A06EE3" w14:textId="77777777" w:rsidTr="003A2D79">
        <w:trPr>
          <w:trHeight w:hRule="exact" w:val="340"/>
          <w:jc w:val="center"/>
        </w:trPr>
        <w:tc>
          <w:tcPr>
            <w:tcW w:w="1885" w:type="dxa"/>
            <w:tcBorders>
              <w:top w:val="single" w:sz="4" w:space="0" w:color="auto"/>
              <w:bottom w:val="single" w:sz="4" w:space="0" w:color="auto"/>
              <w:right w:val="single" w:sz="4" w:space="0" w:color="auto"/>
            </w:tcBorders>
            <w:vAlign w:val="center"/>
          </w:tcPr>
          <w:p w14:paraId="4D17EDCF" w14:textId="77777777" w:rsidR="00FC70C2" w:rsidRPr="00FC70C2" w:rsidRDefault="00FC70C2" w:rsidP="00FC70C2">
            <w:pPr>
              <w:widowControl w:val="0"/>
              <w:rPr>
                <w:rFonts w:ascii="Arial Narrow" w:hAnsi="Arial Narrow" w:cs="Arial"/>
                <w:sz w:val="20"/>
                <w:szCs w:val="20"/>
                <w:lang w:val="bg-BG"/>
              </w:rPr>
            </w:pPr>
            <w:r w:rsidRPr="00FC70C2">
              <w:rPr>
                <w:rFonts w:ascii="Arial Narrow" w:hAnsi="Arial Narrow" w:cs="Arial"/>
                <w:sz w:val="20"/>
                <w:szCs w:val="20"/>
                <w:lang w:val="bg-BG"/>
              </w:rPr>
              <w:t>Югоизточен</w:t>
            </w:r>
          </w:p>
        </w:tc>
        <w:tc>
          <w:tcPr>
            <w:tcW w:w="1500" w:type="dxa"/>
            <w:tcBorders>
              <w:top w:val="nil"/>
              <w:left w:val="nil"/>
              <w:bottom w:val="single" w:sz="4" w:space="0" w:color="auto"/>
              <w:right w:val="single" w:sz="4" w:space="0" w:color="auto"/>
            </w:tcBorders>
            <w:shd w:val="clear" w:color="auto" w:fill="auto"/>
            <w:vAlign w:val="center"/>
          </w:tcPr>
          <w:p w14:paraId="2A0B0E38" w14:textId="77777777" w:rsidR="00FC70C2" w:rsidRPr="00FC70C2" w:rsidRDefault="00FC70C2" w:rsidP="00FC70C2">
            <w:pPr>
              <w:widowControl w:val="0"/>
              <w:jc w:val="right"/>
              <w:rPr>
                <w:rFonts w:ascii="Arial Narrow" w:hAnsi="Arial Narrow" w:cs="Arial"/>
                <w:sz w:val="20"/>
                <w:szCs w:val="20"/>
                <w:lang w:val="bg-BG"/>
              </w:rPr>
            </w:pPr>
            <w:r w:rsidRPr="00FC70C2">
              <w:rPr>
                <w:rFonts w:ascii="Arial Narrow" w:hAnsi="Arial Narrow" w:cs="Arial"/>
                <w:sz w:val="20"/>
                <w:szCs w:val="20"/>
                <w:lang w:val="bg-BG"/>
              </w:rPr>
              <w:t>219,3</w:t>
            </w:r>
          </w:p>
        </w:tc>
        <w:tc>
          <w:tcPr>
            <w:tcW w:w="1442" w:type="dxa"/>
            <w:tcBorders>
              <w:top w:val="nil"/>
              <w:left w:val="single" w:sz="4" w:space="0" w:color="auto"/>
              <w:bottom w:val="single" w:sz="4" w:space="0" w:color="auto"/>
              <w:right w:val="single" w:sz="4" w:space="0" w:color="auto"/>
            </w:tcBorders>
            <w:shd w:val="clear" w:color="auto" w:fill="auto"/>
            <w:vAlign w:val="center"/>
          </w:tcPr>
          <w:p w14:paraId="052D4307" w14:textId="77777777" w:rsidR="00FC70C2" w:rsidRPr="00FC70C2" w:rsidRDefault="00FC70C2" w:rsidP="00FC70C2">
            <w:pPr>
              <w:widowControl w:val="0"/>
              <w:jc w:val="right"/>
              <w:rPr>
                <w:rFonts w:ascii="Arial Narrow" w:hAnsi="Arial Narrow" w:cs="Arial"/>
                <w:sz w:val="20"/>
                <w:szCs w:val="20"/>
                <w:lang w:val="bg-BG"/>
              </w:rPr>
            </w:pPr>
            <w:r w:rsidRPr="00FC70C2">
              <w:rPr>
                <w:rFonts w:ascii="Arial Narrow" w:hAnsi="Arial Narrow" w:cs="Arial"/>
                <w:sz w:val="20"/>
                <w:szCs w:val="20"/>
                <w:lang w:val="bg-BG"/>
              </w:rPr>
              <w:t>208,9</w:t>
            </w:r>
          </w:p>
        </w:tc>
        <w:tc>
          <w:tcPr>
            <w:tcW w:w="1250" w:type="dxa"/>
            <w:tcBorders>
              <w:top w:val="nil"/>
              <w:left w:val="nil"/>
              <w:bottom w:val="single" w:sz="4" w:space="0" w:color="auto"/>
              <w:right w:val="single" w:sz="4" w:space="0" w:color="auto"/>
            </w:tcBorders>
            <w:shd w:val="clear" w:color="auto" w:fill="auto"/>
            <w:vAlign w:val="center"/>
          </w:tcPr>
          <w:p w14:paraId="34711E5D" w14:textId="77777777" w:rsidR="00FC70C2" w:rsidRPr="00FC70C2" w:rsidRDefault="00FC70C2" w:rsidP="00FC70C2">
            <w:pPr>
              <w:widowControl w:val="0"/>
              <w:jc w:val="right"/>
              <w:rPr>
                <w:rFonts w:ascii="Arial Narrow" w:hAnsi="Arial Narrow" w:cs="Arial"/>
                <w:sz w:val="20"/>
                <w:szCs w:val="20"/>
                <w:lang w:val="bg-BG"/>
              </w:rPr>
            </w:pPr>
            <w:r w:rsidRPr="00FC70C2">
              <w:rPr>
                <w:rFonts w:ascii="Arial Narrow" w:hAnsi="Arial Narrow" w:cs="Arial"/>
                <w:sz w:val="20"/>
                <w:szCs w:val="20"/>
                <w:lang w:val="bg-BG"/>
              </w:rPr>
              <w:t>20,6%</w:t>
            </w:r>
          </w:p>
        </w:tc>
        <w:tc>
          <w:tcPr>
            <w:tcW w:w="1266" w:type="dxa"/>
            <w:tcBorders>
              <w:top w:val="nil"/>
              <w:left w:val="nil"/>
              <w:bottom w:val="single" w:sz="4" w:space="0" w:color="auto"/>
              <w:right w:val="single" w:sz="4" w:space="0" w:color="auto"/>
            </w:tcBorders>
            <w:shd w:val="clear" w:color="auto" w:fill="auto"/>
            <w:vAlign w:val="center"/>
          </w:tcPr>
          <w:p w14:paraId="72A69FD0" w14:textId="77777777" w:rsidR="00FC70C2" w:rsidRPr="00FC70C2" w:rsidRDefault="00FC70C2" w:rsidP="00FC70C2">
            <w:pPr>
              <w:widowControl w:val="0"/>
              <w:jc w:val="right"/>
              <w:rPr>
                <w:rFonts w:ascii="Arial Narrow" w:hAnsi="Arial Narrow" w:cs="Arial"/>
                <w:sz w:val="20"/>
                <w:szCs w:val="20"/>
                <w:lang w:val="bg-BG"/>
              </w:rPr>
            </w:pPr>
            <w:r w:rsidRPr="00FC70C2">
              <w:rPr>
                <w:rFonts w:ascii="Arial Narrow" w:hAnsi="Arial Narrow" w:cs="Arial"/>
                <w:sz w:val="20"/>
                <w:szCs w:val="20"/>
                <w:lang w:val="bg-BG"/>
              </w:rPr>
              <w:t>186,5</w:t>
            </w:r>
          </w:p>
        </w:tc>
        <w:tc>
          <w:tcPr>
            <w:tcW w:w="1263" w:type="dxa"/>
            <w:tcBorders>
              <w:top w:val="nil"/>
              <w:left w:val="single" w:sz="4" w:space="0" w:color="auto"/>
              <w:bottom w:val="single" w:sz="4" w:space="0" w:color="auto"/>
              <w:right w:val="single" w:sz="4" w:space="0" w:color="auto"/>
            </w:tcBorders>
            <w:shd w:val="clear" w:color="auto" w:fill="auto"/>
            <w:vAlign w:val="center"/>
          </w:tcPr>
          <w:p w14:paraId="7D4DDA15" w14:textId="77777777" w:rsidR="00FC70C2" w:rsidRPr="00FC70C2" w:rsidRDefault="00FC70C2" w:rsidP="00FC70C2">
            <w:pPr>
              <w:widowControl w:val="0"/>
              <w:jc w:val="right"/>
              <w:rPr>
                <w:rFonts w:ascii="Arial Narrow" w:hAnsi="Arial Narrow" w:cs="Arial"/>
                <w:sz w:val="20"/>
                <w:szCs w:val="20"/>
                <w:lang w:val="bg-BG"/>
              </w:rPr>
            </w:pPr>
            <w:r w:rsidRPr="00FC70C2">
              <w:rPr>
                <w:rFonts w:ascii="Arial Narrow" w:hAnsi="Arial Narrow" w:cs="Arial"/>
                <w:sz w:val="20"/>
                <w:szCs w:val="20"/>
                <w:lang w:val="bg-BG"/>
              </w:rPr>
              <w:t>184,3</w:t>
            </w:r>
          </w:p>
        </w:tc>
        <w:tc>
          <w:tcPr>
            <w:tcW w:w="1190" w:type="dxa"/>
            <w:tcBorders>
              <w:top w:val="nil"/>
              <w:left w:val="nil"/>
              <w:bottom w:val="single" w:sz="4" w:space="0" w:color="auto"/>
              <w:right w:val="single" w:sz="4" w:space="0" w:color="auto"/>
            </w:tcBorders>
            <w:shd w:val="clear" w:color="auto" w:fill="auto"/>
            <w:vAlign w:val="center"/>
          </w:tcPr>
          <w:p w14:paraId="2EB44AA5" w14:textId="77777777" w:rsidR="00FC70C2" w:rsidRPr="00FC70C2" w:rsidRDefault="00FC70C2" w:rsidP="00FC70C2">
            <w:pPr>
              <w:widowControl w:val="0"/>
              <w:jc w:val="right"/>
              <w:rPr>
                <w:rFonts w:ascii="Arial Narrow" w:hAnsi="Arial Narrow" w:cs="Arial"/>
                <w:sz w:val="20"/>
                <w:szCs w:val="20"/>
                <w:lang w:val="bg-BG"/>
              </w:rPr>
            </w:pPr>
            <w:r w:rsidRPr="00FC70C2">
              <w:rPr>
                <w:rFonts w:ascii="Arial Narrow" w:hAnsi="Arial Narrow" w:cs="Arial"/>
                <w:sz w:val="20"/>
                <w:szCs w:val="20"/>
                <w:lang w:val="bg-BG"/>
              </w:rPr>
              <w:t>21,4%</w:t>
            </w:r>
          </w:p>
        </w:tc>
      </w:tr>
      <w:tr w:rsidR="00FC70C2" w:rsidRPr="00FC70C2" w14:paraId="147B01CF" w14:textId="77777777" w:rsidTr="003A2D79">
        <w:trPr>
          <w:trHeight w:hRule="exact" w:val="340"/>
          <w:jc w:val="center"/>
        </w:trPr>
        <w:tc>
          <w:tcPr>
            <w:tcW w:w="1885" w:type="dxa"/>
            <w:tcBorders>
              <w:top w:val="single" w:sz="4" w:space="0" w:color="auto"/>
              <w:bottom w:val="single" w:sz="4" w:space="0" w:color="auto"/>
              <w:right w:val="single" w:sz="4" w:space="0" w:color="auto"/>
            </w:tcBorders>
            <w:vAlign w:val="center"/>
          </w:tcPr>
          <w:p w14:paraId="06CAD73B" w14:textId="77777777" w:rsidR="00FC70C2" w:rsidRPr="00FC70C2" w:rsidRDefault="00FC70C2" w:rsidP="00FC70C2">
            <w:pPr>
              <w:widowControl w:val="0"/>
              <w:rPr>
                <w:rFonts w:ascii="Arial Narrow" w:hAnsi="Arial Narrow" w:cs="Arial"/>
                <w:sz w:val="20"/>
                <w:szCs w:val="20"/>
                <w:lang w:val="bg-BG"/>
              </w:rPr>
            </w:pPr>
            <w:r w:rsidRPr="00FC70C2">
              <w:rPr>
                <w:rFonts w:ascii="Arial Narrow" w:hAnsi="Arial Narrow" w:cs="Arial"/>
                <w:sz w:val="20"/>
                <w:szCs w:val="20"/>
                <w:lang w:val="bg-BG"/>
              </w:rPr>
              <w:t>Югозападен</w:t>
            </w:r>
          </w:p>
        </w:tc>
        <w:tc>
          <w:tcPr>
            <w:tcW w:w="1500" w:type="dxa"/>
            <w:tcBorders>
              <w:top w:val="nil"/>
              <w:left w:val="nil"/>
              <w:bottom w:val="single" w:sz="4" w:space="0" w:color="auto"/>
              <w:right w:val="single" w:sz="4" w:space="0" w:color="auto"/>
            </w:tcBorders>
            <w:shd w:val="clear" w:color="auto" w:fill="auto"/>
            <w:vAlign w:val="center"/>
          </w:tcPr>
          <w:p w14:paraId="2EAFA0F7" w14:textId="77777777" w:rsidR="00FC70C2" w:rsidRPr="00FC70C2" w:rsidRDefault="00FC70C2" w:rsidP="00FC70C2">
            <w:pPr>
              <w:widowControl w:val="0"/>
              <w:jc w:val="right"/>
              <w:rPr>
                <w:rFonts w:ascii="Arial Narrow" w:hAnsi="Arial Narrow" w:cs="Arial"/>
                <w:sz w:val="20"/>
                <w:szCs w:val="20"/>
                <w:lang w:val="bg-BG"/>
              </w:rPr>
            </w:pPr>
            <w:r w:rsidRPr="00FC70C2">
              <w:rPr>
                <w:rFonts w:ascii="Arial Narrow" w:hAnsi="Arial Narrow" w:cs="Arial"/>
                <w:sz w:val="20"/>
                <w:szCs w:val="20"/>
                <w:lang w:val="bg-BG"/>
              </w:rPr>
              <w:t>200,5</w:t>
            </w:r>
          </w:p>
        </w:tc>
        <w:tc>
          <w:tcPr>
            <w:tcW w:w="1442" w:type="dxa"/>
            <w:tcBorders>
              <w:top w:val="nil"/>
              <w:left w:val="single" w:sz="4" w:space="0" w:color="auto"/>
              <w:bottom w:val="single" w:sz="4" w:space="0" w:color="auto"/>
              <w:right w:val="single" w:sz="4" w:space="0" w:color="auto"/>
            </w:tcBorders>
            <w:shd w:val="clear" w:color="auto" w:fill="auto"/>
            <w:vAlign w:val="center"/>
          </w:tcPr>
          <w:p w14:paraId="22BEF5DB" w14:textId="77777777" w:rsidR="00FC70C2" w:rsidRPr="00FC70C2" w:rsidRDefault="00FC70C2" w:rsidP="00FC70C2">
            <w:pPr>
              <w:widowControl w:val="0"/>
              <w:jc w:val="right"/>
              <w:rPr>
                <w:rFonts w:ascii="Arial Narrow" w:hAnsi="Arial Narrow" w:cs="Arial"/>
                <w:sz w:val="20"/>
                <w:szCs w:val="20"/>
                <w:lang w:val="bg-BG"/>
              </w:rPr>
            </w:pPr>
            <w:r w:rsidRPr="00FC70C2">
              <w:rPr>
                <w:rFonts w:ascii="Arial Narrow" w:hAnsi="Arial Narrow" w:cs="Arial"/>
                <w:sz w:val="20"/>
                <w:szCs w:val="20"/>
                <w:lang w:val="bg-BG"/>
              </w:rPr>
              <w:t>180,1</w:t>
            </w:r>
          </w:p>
        </w:tc>
        <w:tc>
          <w:tcPr>
            <w:tcW w:w="1250" w:type="dxa"/>
            <w:tcBorders>
              <w:top w:val="nil"/>
              <w:left w:val="nil"/>
              <w:bottom w:val="single" w:sz="4" w:space="0" w:color="auto"/>
              <w:right w:val="single" w:sz="4" w:space="0" w:color="auto"/>
            </w:tcBorders>
            <w:shd w:val="clear" w:color="auto" w:fill="auto"/>
            <w:vAlign w:val="center"/>
          </w:tcPr>
          <w:p w14:paraId="12EA8909" w14:textId="77777777" w:rsidR="00FC70C2" w:rsidRPr="00FC70C2" w:rsidRDefault="00FC70C2" w:rsidP="00FC70C2">
            <w:pPr>
              <w:widowControl w:val="0"/>
              <w:jc w:val="right"/>
              <w:rPr>
                <w:rFonts w:ascii="Arial Narrow" w:hAnsi="Arial Narrow" w:cs="Arial"/>
                <w:sz w:val="20"/>
                <w:szCs w:val="20"/>
                <w:lang w:val="bg-BG"/>
              </w:rPr>
            </w:pPr>
            <w:r w:rsidRPr="00FC70C2">
              <w:rPr>
                <w:rFonts w:ascii="Arial Narrow" w:hAnsi="Arial Narrow" w:cs="Arial"/>
                <w:sz w:val="20"/>
                <w:szCs w:val="20"/>
                <w:lang w:val="bg-BG"/>
              </w:rPr>
              <w:t>17,7%</w:t>
            </w:r>
          </w:p>
        </w:tc>
        <w:tc>
          <w:tcPr>
            <w:tcW w:w="1266" w:type="dxa"/>
            <w:tcBorders>
              <w:top w:val="nil"/>
              <w:left w:val="nil"/>
              <w:bottom w:val="single" w:sz="4" w:space="0" w:color="auto"/>
              <w:right w:val="single" w:sz="4" w:space="0" w:color="auto"/>
            </w:tcBorders>
            <w:shd w:val="clear" w:color="auto" w:fill="auto"/>
            <w:vAlign w:val="center"/>
          </w:tcPr>
          <w:p w14:paraId="4A97D3C5" w14:textId="77777777" w:rsidR="00FC70C2" w:rsidRPr="00FC70C2" w:rsidRDefault="00FC70C2" w:rsidP="00FC70C2">
            <w:pPr>
              <w:widowControl w:val="0"/>
              <w:jc w:val="right"/>
              <w:rPr>
                <w:rFonts w:ascii="Arial Narrow" w:hAnsi="Arial Narrow" w:cs="Arial"/>
                <w:sz w:val="20"/>
                <w:szCs w:val="20"/>
                <w:lang w:val="bg-BG"/>
              </w:rPr>
            </w:pPr>
            <w:r w:rsidRPr="00FC70C2">
              <w:rPr>
                <w:rFonts w:ascii="Arial Narrow" w:hAnsi="Arial Narrow" w:cs="Arial"/>
                <w:sz w:val="20"/>
                <w:szCs w:val="20"/>
                <w:lang w:val="bg-BG"/>
              </w:rPr>
              <w:t>164,0</w:t>
            </w:r>
          </w:p>
        </w:tc>
        <w:tc>
          <w:tcPr>
            <w:tcW w:w="1263" w:type="dxa"/>
            <w:tcBorders>
              <w:top w:val="nil"/>
              <w:left w:val="single" w:sz="4" w:space="0" w:color="auto"/>
              <w:bottom w:val="single" w:sz="4" w:space="0" w:color="auto"/>
              <w:right w:val="single" w:sz="4" w:space="0" w:color="auto"/>
            </w:tcBorders>
            <w:shd w:val="clear" w:color="auto" w:fill="auto"/>
            <w:vAlign w:val="center"/>
          </w:tcPr>
          <w:p w14:paraId="3DA3FA91" w14:textId="77777777" w:rsidR="00FC70C2" w:rsidRPr="00FC70C2" w:rsidRDefault="00FC70C2" w:rsidP="00FC70C2">
            <w:pPr>
              <w:widowControl w:val="0"/>
              <w:jc w:val="right"/>
              <w:rPr>
                <w:rFonts w:ascii="Arial Narrow" w:hAnsi="Arial Narrow" w:cs="Arial"/>
                <w:sz w:val="20"/>
                <w:szCs w:val="20"/>
                <w:lang w:val="bg-BG"/>
              </w:rPr>
            </w:pPr>
            <w:r w:rsidRPr="00FC70C2">
              <w:rPr>
                <w:rFonts w:ascii="Arial Narrow" w:hAnsi="Arial Narrow" w:cs="Arial"/>
                <w:sz w:val="20"/>
                <w:szCs w:val="20"/>
                <w:lang w:val="bg-BG"/>
              </w:rPr>
              <w:t>147,1</w:t>
            </w:r>
          </w:p>
        </w:tc>
        <w:tc>
          <w:tcPr>
            <w:tcW w:w="1190" w:type="dxa"/>
            <w:tcBorders>
              <w:top w:val="nil"/>
              <w:left w:val="nil"/>
              <w:bottom w:val="single" w:sz="4" w:space="0" w:color="auto"/>
              <w:right w:val="single" w:sz="4" w:space="0" w:color="auto"/>
            </w:tcBorders>
            <w:shd w:val="clear" w:color="auto" w:fill="auto"/>
            <w:vAlign w:val="center"/>
          </w:tcPr>
          <w:p w14:paraId="56D069E3" w14:textId="77777777" w:rsidR="00FC70C2" w:rsidRPr="00FC70C2" w:rsidRDefault="00FC70C2" w:rsidP="00FC70C2">
            <w:pPr>
              <w:widowControl w:val="0"/>
              <w:jc w:val="right"/>
              <w:rPr>
                <w:rFonts w:ascii="Arial Narrow" w:hAnsi="Arial Narrow" w:cs="Arial"/>
                <w:sz w:val="20"/>
                <w:szCs w:val="20"/>
                <w:lang w:val="bg-BG"/>
              </w:rPr>
            </w:pPr>
            <w:r w:rsidRPr="00FC70C2">
              <w:rPr>
                <w:rFonts w:ascii="Arial Narrow" w:hAnsi="Arial Narrow" w:cs="Arial"/>
                <w:sz w:val="20"/>
                <w:szCs w:val="20"/>
                <w:lang w:val="bg-BG"/>
              </w:rPr>
              <w:t>17,0%</w:t>
            </w:r>
          </w:p>
        </w:tc>
      </w:tr>
      <w:tr w:rsidR="00FC70C2" w:rsidRPr="00FC70C2" w14:paraId="4E5A04BA" w14:textId="77777777" w:rsidTr="003A2D79">
        <w:trPr>
          <w:trHeight w:hRule="exact" w:val="340"/>
          <w:jc w:val="center"/>
        </w:trPr>
        <w:tc>
          <w:tcPr>
            <w:tcW w:w="1885" w:type="dxa"/>
            <w:tcBorders>
              <w:top w:val="single" w:sz="4" w:space="0" w:color="auto"/>
              <w:bottom w:val="single" w:sz="4" w:space="0" w:color="auto"/>
              <w:right w:val="single" w:sz="4" w:space="0" w:color="auto"/>
            </w:tcBorders>
            <w:vAlign w:val="center"/>
          </w:tcPr>
          <w:p w14:paraId="4E011B98" w14:textId="77777777" w:rsidR="00FC70C2" w:rsidRPr="00FC70C2" w:rsidRDefault="00FC70C2" w:rsidP="00FC70C2">
            <w:pPr>
              <w:widowControl w:val="0"/>
              <w:rPr>
                <w:rFonts w:ascii="Arial Narrow" w:hAnsi="Arial Narrow" w:cs="Arial"/>
                <w:sz w:val="20"/>
                <w:szCs w:val="20"/>
                <w:lang w:val="bg-BG"/>
              </w:rPr>
            </w:pPr>
            <w:r w:rsidRPr="00FC70C2">
              <w:rPr>
                <w:rFonts w:ascii="Arial Narrow" w:hAnsi="Arial Narrow" w:cs="Arial"/>
                <w:sz w:val="20"/>
                <w:szCs w:val="20"/>
                <w:lang w:val="bg-BG"/>
              </w:rPr>
              <w:t>Южен централен</w:t>
            </w:r>
          </w:p>
        </w:tc>
        <w:tc>
          <w:tcPr>
            <w:tcW w:w="1500" w:type="dxa"/>
            <w:tcBorders>
              <w:top w:val="nil"/>
              <w:left w:val="nil"/>
              <w:bottom w:val="single" w:sz="4" w:space="0" w:color="auto"/>
              <w:right w:val="single" w:sz="4" w:space="0" w:color="auto"/>
            </w:tcBorders>
            <w:shd w:val="clear" w:color="auto" w:fill="auto"/>
            <w:vAlign w:val="center"/>
          </w:tcPr>
          <w:p w14:paraId="1B8C754E" w14:textId="77777777" w:rsidR="00FC70C2" w:rsidRPr="00FC70C2" w:rsidRDefault="00FC70C2" w:rsidP="00FC70C2">
            <w:pPr>
              <w:widowControl w:val="0"/>
              <w:jc w:val="right"/>
              <w:rPr>
                <w:rFonts w:ascii="Arial Narrow" w:hAnsi="Arial Narrow" w:cs="Arial"/>
                <w:sz w:val="20"/>
                <w:szCs w:val="20"/>
                <w:lang w:val="bg-BG"/>
              </w:rPr>
            </w:pPr>
            <w:r w:rsidRPr="00FC70C2">
              <w:rPr>
                <w:rFonts w:ascii="Arial Narrow" w:hAnsi="Arial Narrow" w:cs="Arial"/>
                <w:sz w:val="20"/>
                <w:szCs w:val="20"/>
                <w:lang w:val="bg-BG"/>
              </w:rPr>
              <w:t>284,3</w:t>
            </w:r>
          </w:p>
        </w:tc>
        <w:tc>
          <w:tcPr>
            <w:tcW w:w="1442" w:type="dxa"/>
            <w:tcBorders>
              <w:top w:val="nil"/>
              <w:left w:val="single" w:sz="4" w:space="0" w:color="auto"/>
              <w:bottom w:val="single" w:sz="4" w:space="0" w:color="auto"/>
              <w:right w:val="single" w:sz="4" w:space="0" w:color="auto"/>
            </w:tcBorders>
            <w:shd w:val="clear" w:color="auto" w:fill="auto"/>
            <w:vAlign w:val="center"/>
          </w:tcPr>
          <w:p w14:paraId="767CF811" w14:textId="77777777" w:rsidR="00FC70C2" w:rsidRPr="00FC70C2" w:rsidRDefault="00FC70C2" w:rsidP="00FC70C2">
            <w:pPr>
              <w:widowControl w:val="0"/>
              <w:jc w:val="right"/>
              <w:rPr>
                <w:rFonts w:ascii="Arial Narrow" w:hAnsi="Arial Narrow" w:cs="Arial"/>
                <w:sz w:val="20"/>
                <w:szCs w:val="20"/>
                <w:lang w:val="bg-BG"/>
              </w:rPr>
            </w:pPr>
            <w:r w:rsidRPr="00FC70C2">
              <w:rPr>
                <w:rFonts w:ascii="Arial Narrow" w:hAnsi="Arial Narrow" w:cs="Arial"/>
                <w:sz w:val="20"/>
                <w:szCs w:val="20"/>
                <w:lang w:val="bg-BG"/>
              </w:rPr>
              <w:t>272,6</w:t>
            </w:r>
          </w:p>
        </w:tc>
        <w:tc>
          <w:tcPr>
            <w:tcW w:w="1250" w:type="dxa"/>
            <w:tcBorders>
              <w:top w:val="nil"/>
              <w:left w:val="nil"/>
              <w:bottom w:val="single" w:sz="4" w:space="0" w:color="auto"/>
              <w:right w:val="single" w:sz="4" w:space="0" w:color="auto"/>
            </w:tcBorders>
            <w:shd w:val="clear" w:color="auto" w:fill="auto"/>
            <w:vAlign w:val="center"/>
          </w:tcPr>
          <w:p w14:paraId="33459000" w14:textId="77777777" w:rsidR="00FC70C2" w:rsidRPr="00FC70C2" w:rsidRDefault="00FC70C2" w:rsidP="00FC70C2">
            <w:pPr>
              <w:widowControl w:val="0"/>
              <w:jc w:val="right"/>
              <w:rPr>
                <w:rFonts w:ascii="Arial Narrow" w:hAnsi="Arial Narrow" w:cs="Arial"/>
                <w:sz w:val="20"/>
                <w:szCs w:val="20"/>
                <w:lang w:val="bg-BG"/>
              </w:rPr>
            </w:pPr>
            <w:r w:rsidRPr="00FC70C2">
              <w:rPr>
                <w:rFonts w:ascii="Arial Narrow" w:hAnsi="Arial Narrow" w:cs="Arial"/>
                <w:sz w:val="20"/>
                <w:szCs w:val="20"/>
                <w:lang w:val="bg-BG"/>
              </w:rPr>
              <w:t>26,8%</w:t>
            </w:r>
          </w:p>
        </w:tc>
        <w:tc>
          <w:tcPr>
            <w:tcW w:w="1266" w:type="dxa"/>
            <w:tcBorders>
              <w:top w:val="nil"/>
              <w:left w:val="nil"/>
              <w:bottom w:val="single" w:sz="4" w:space="0" w:color="auto"/>
              <w:right w:val="single" w:sz="4" w:space="0" w:color="auto"/>
            </w:tcBorders>
            <w:shd w:val="clear" w:color="auto" w:fill="auto"/>
            <w:vAlign w:val="center"/>
          </w:tcPr>
          <w:p w14:paraId="0EB2122A" w14:textId="77777777" w:rsidR="00FC70C2" w:rsidRPr="00FC70C2" w:rsidRDefault="00FC70C2" w:rsidP="00FC70C2">
            <w:pPr>
              <w:widowControl w:val="0"/>
              <w:jc w:val="right"/>
              <w:rPr>
                <w:rFonts w:ascii="Arial Narrow" w:hAnsi="Arial Narrow" w:cs="Arial"/>
                <w:sz w:val="20"/>
                <w:szCs w:val="20"/>
                <w:lang w:val="bg-BG"/>
              </w:rPr>
            </w:pPr>
            <w:r w:rsidRPr="00FC70C2">
              <w:rPr>
                <w:rFonts w:ascii="Arial Narrow" w:hAnsi="Arial Narrow" w:cs="Arial"/>
                <w:sz w:val="20"/>
                <w:szCs w:val="20"/>
                <w:lang w:val="bg-BG"/>
              </w:rPr>
              <w:t>249,1</w:t>
            </w:r>
          </w:p>
        </w:tc>
        <w:tc>
          <w:tcPr>
            <w:tcW w:w="1263" w:type="dxa"/>
            <w:tcBorders>
              <w:top w:val="nil"/>
              <w:left w:val="single" w:sz="4" w:space="0" w:color="auto"/>
              <w:bottom w:val="single" w:sz="4" w:space="0" w:color="auto"/>
              <w:right w:val="single" w:sz="4" w:space="0" w:color="auto"/>
            </w:tcBorders>
            <w:shd w:val="clear" w:color="auto" w:fill="auto"/>
            <w:vAlign w:val="center"/>
          </w:tcPr>
          <w:p w14:paraId="606F97A5" w14:textId="77777777" w:rsidR="00FC70C2" w:rsidRPr="00FC70C2" w:rsidRDefault="00FC70C2" w:rsidP="00FC70C2">
            <w:pPr>
              <w:widowControl w:val="0"/>
              <w:jc w:val="right"/>
              <w:rPr>
                <w:rFonts w:ascii="Arial Narrow" w:hAnsi="Arial Narrow" w:cs="Arial"/>
                <w:sz w:val="20"/>
                <w:szCs w:val="20"/>
                <w:lang w:val="bg-BG"/>
              </w:rPr>
            </w:pPr>
            <w:r w:rsidRPr="00FC70C2">
              <w:rPr>
                <w:rFonts w:ascii="Arial Narrow" w:hAnsi="Arial Narrow" w:cs="Arial"/>
                <w:sz w:val="20"/>
                <w:szCs w:val="20"/>
                <w:lang w:val="bg-BG"/>
              </w:rPr>
              <w:t>237,1</w:t>
            </w:r>
          </w:p>
        </w:tc>
        <w:tc>
          <w:tcPr>
            <w:tcW w:w="1190" w:type="dxa"/>
            <w:tcBorders>
              <w:top w:val="nil"/>
              <w:left w:val="nil"/>
              <w:bottom w:val="single" w:sz="4" w:space="0" w:color="auto"/>
              <w:right w:val="single" w:sz="4" w:space="0" w:color="auto"/>
            </w:tcBorders>
            <w:shd w:val="clear" w:color="auto" w:fill="auto"/>
            <w:vAlign w:val="center"/>
          </w:tcPr>
          <w:p w14:paraId="34196C3C" w14:textId="77777777" w:rsidR="00FC70C2" w:rsidRPr="00FC70C2" w:rsidRDefault="00FC70C2" w:rsidP="00FC70C2">
            <w:pPr>
              <w:widowControl w:val="0"/>
              <w:jc w:val="right"/>
              <w:rPr>
                <w:rFonts w:ascii="Arial Narrow" w:hAnsi="Arial Narrow" w:cs="Arial"/>
                <w:sz w:val="20"/>
                <w:szCs w:val="20"/>
                <w:lang w:val="bg-BG"/>
              </w:rPr>
            </w:pPr>
            <w:r w:rsidRPr="00FC70C2">
              <w:rPr>
                <w:rFonts w:ascii="Arial Narrow" w:hAnsi="Arial Narrow" w:cs="Arial"/>
                <w:sz w:val="20"/>
                <w:szCs w:val="20"/>
                <w:lang w:val="bg-BG"/>
              </w:rPr>
              <w:t>27,5%</w:t>
            </w:r>
          </w:p>
        </w:tc>
      </w:tr>
      <w:tr w:rsidR="00FC70C2" w:rsidRPr="00FC70C2" w14:paraId="21F3CC5C" w14:textId="77777777" w:rsidTr="003A2D79">
        <w:trPr>
          <w:trHeight w:hRule="exact" w:val="340"/>
          <w:jc w:val="center"/>
        </w:trPr>
        <w:tc>
          <w:tcPr>
            <w:tcW w:w="1885" w:type="dxa"/>
            <w:tcBorders>
              <w:top w:val="single" w:sz="4" w:space="0" w:color="auto"/>
              <w:bottom w:val="single" w:sz="4" w:space="0" w:color="auto"/>
              <w:right w:val="single" w:sz="4" w:space="0" w:color="auto"/>
            </w:tcBorders>
            <w:vAlign w:val="center"/>
          </w:tcPr>
          <w:p w14:paraId="6E741F9F" w14:textId="77777777" w:rsidR="00FC70C2" w:rsidRPr="00FC70C2" w:rsidRDefault="00FC70C2" w:rsidP="00FC70C2">
            <w:pPr>
              <w:widowControl w:val="0"/>
              <w:rPr>
                <w:rFonts w:ascii="Arial Narrow" w:hAnsi="Arial Narrow" w:cs="Arial"/>
                <w:b/>
                <w:sz w:val="20"/>
                <w:szCs w:val="20"/>
                <w:lang w:val="bg-BG"/>
              </w:rPr>
            </w:pPr>
            <w:r w:rsidRPr="00FC70C2">
              <w:rPr>
                <w:rFonts w:ascii="Arial Narrow" w:hAnsi="Arial Narrow" w:cs="Arial"/>
                <w:b/>
                <w:sz w:val="20"/>
                <w:szCs w:val="20"/>
                <w:lang w:val="bg-BG"/>
              </w:rPr>
              <w:t>Общо за страната</w:t>
            </w:r>
          </w:p>
        </w:tc>
        <w:tc>
          <w:tcPr>
            <w:tcW w:w="1500" w:type="dxa"/>
            <w:tcBorders>
              <w:top w:val="nil"/>
              <w:left w:val="nil"/>
              <w:bottom w:val="single" w:sz="4" w:space="0" w:color="auto"/>
              <w:right w:val="single" w:sz="4" w:space="0" w:color="auto"/>
            </w:tcBorders>
            <w:shd w:val="clear" w:color="auto" w:fill="auto"/>
            <w:vAlign w:val="center"/>
          </w:tcPr>
          <w:p w14:paraId="77EDFE9C" w14:textId="77777777" w:rsidR="00FC70C2" w:rsidRPr="00FC70C2" w:rsidRDefault="00FC70C2" w:rsidP="00FC70C2">
            <w:pPr>
              <w:widowControl w:val="0"/>
              <w:jc w:val="right"/>
              <w:rPr>
                <w:rFonts w:ascii="Arial Narrow" w:hAnsi="Arial Narrow" w:cs="Arial"/>
                <w:b/>
                <w:sz w:val="20"/>
                <w:szCs w:val="20"/>
                <w:lang w:val="bg-BG"/>
              </w:rPr>
            </w:pPr>
            <w:r w:rsidRPr="00FC70C2">
              <w:rPr>
                <w:rFonts w:ascii="Arial Narrow" w:hAnsi="Arial Narrow" w:cs="Arial"/>
                <w:b/>
                <w:sz w:val="20"/>
                <w:szCs w:val="20"/>
                <w:lang w:val="bg-BG"/>
              </w:rPr>
              <w:t>1 072,8</w:t>
            </w:r>
          </w:p>
        </w:tc>
        <w:tc>
          <w:tcPr>
            <w:tcW w:w="1442" w:type="dxa"/>
            <w:tcBorders>
              <w:top w:val="nil"/>
              <w:left w:val="single" w:sz="4" w:space="0" w:color="auto"/>
              <w:bottom w:val="single" w:sz="4" w:space="0" w:color="auto"/>
              <w:right w:val="single" w:sz="4" w:space="0" w:color="auto"/>
            </w:tcBorders>
            <w:shd w:val="clear" w:color="auto" w:fill="auto"/>
            <w:vAlign w:val="center"/>
          </w:tcPr>
          <w:p w14:paraId="004D9D96" w14:textId="77777777" w:rsidR="00FC70C2" w:rsidRPr="00FC70C2" w:rsidRDefault="00FC70C2" w:rsidP="00FC70C2">
            <w:pPr>
              <w:widowControl w:val="0"/>
              <w:jc w:val="right"/>
              <w:rPr>
                <w:rFonts w:ascii="Arial Narrow" w:hAnsi="Arial Narrow" w:cs="Arial"/>
                <w:b/>
                <w:sz w:val="20"/>
                <w:szCs w:val="20"/>
                <w:lang w:val="bg-BG"/>
              </w:rPr>
            </w:pPr>
            <w:r w:rsidRPr="00FC70C2">
              <w:rPr>
                <w:rFonts w:ascii="Arial Narrow" w:hAnsi="Arial Narrow" w:cs="Arial"/>
                <w:b/>
                <w:sz w:val="20"/>
                <w:szCs w:val="20"/>
                <w:lang w:val="bg-BG"/>
              </w:rPr>
              <w:t>1 016,7</w:t>
            </w:r>
          </w:p>
        </w:tc>
        <w:tc>
          <w:tcPr>
            <w:tcW w:w="1250" w:type="dxa"/>
            <w:tcBorders>
              <w:top w:val="nil"/>
              <w:left w:val="nil"/>
              <w:bottom w:val="single" w:sz="4" w:space="0" w:color="auto"/>
              <w:right w:val="single" w:sz="4" w:space="0" w:color="auto"/>
            </w:tcBorders>
            <w:shd w:val="clear" w:color="auto" w:fill="auto"/>
            <w:vAlign w:val="center"/>
          </w:tcPr>
          <w:p w14:paraId="3CA34129" w14:textId="77777777" w:rsidR="00FC70C2" w:rsidRPr="00FC70C2" w:rsidRDefault="00FC70C2" w:rsidP="00FC70C2">
            <w:pPr>
              <w:widowControl w:val="0"/>
              <w:jc w:val="right"/>
              <w:rPr>
                <w:rFonts w:ascii="Arial Narrow" w:hAnsi="Arial Narrow" w:cs="Arial"/>
                <w:b/>
                <w:sz w:val="20"/>
                <w:szCs w:val="20"/>
                <w:lang w:val="bg-BG"/>
              </w:rPr>
            </w:pPr>
            <w:r w:rsidRPr="00FC70C2">
              <w:rPr>
                <w:rFonts w:ascii="Arial Narrow" w:hAnsi="Arial Narrow" w:cs="Arial"/>
                <w:b/>
                <w:sz w:val="20"/>
                <w:szCs w:val="20"/>
                <w:lang w:val="bg-BG"/>
              </w:rPr>
              <w:t>100%</w:t>
            </w:r>
          </w:p>
        </w:tc>
        <w:tc>
          <w:tcPr>
            <w:tcW w:w="1266" w:type="dxa"/>
            <w:tcBorders>
              <w:top w:val="nil"/>
              <w:left w:val="nil"/>
              <w:bottom w:val="single" w:sz="4" w:space="0" w:color="auto"/>
              <w:right w:val="single" w:sz="4" w:space="0" w:color="auto"/>
            </w:tcBorders>
            <w:shd w:val="clear" w:color="auto" w:fill="auto"/>
            <w:vAlign w:val="center"/>
          </w:tcPr>
          <w:p w14:paraId="5E07882D" w14:textId="77777777" w:rsidR="00FC70C2" w:rsidRPr="00FC70C2" w:rsidRDefault="00FC70C2" w:rsidP="00FC70C2">
            <w:pPr>
              <w:widowControl w:val="0"/>
              <w:jc w:val="right"/>
              <w:rPr>
                <w:rFonts w:ascii="Arial Narrow" w:hAnsi="Arial Narrow" w:cs="Arial"/>
                <w:b/>
                <w:sz w:val="20"/>
                <w:szCs w:val="20"/>
                <w:lang w:val="bg-BG"/>
              </w:rPr>
            </w:pPr>
            <w:r w:rsidRPr="00FC70C2">
              <w:rPr>
                <w:rFonts w:ascii="Arial Narrow" w:hAnsi="Arial Narrow" w:cs="Arial"/>
                <w:b/>
                <w:sz w:val="20"/>
                <w:szCs w:val="20"/>
                <w:lang w:val="bg-BG"/>
              </w:rPr>
              <w:t>901,2</w:t>
            </w:r>
          </w:p>
        </w:tc>
        <w:tc>
          <w:tcPr>
            <w:tcW w:w="1263" w:type="dxa"/>
            <w:tcBorders>
              <w:top w:val="nil"/>
              <w:left w:val="single" w:sz="4" w:space="0" w:color="auto"/>
              <w:bottom w:val="single" w:sz="4" w:space="0" w:color="auto"/>
              <w:right w:val="single" w:sz="4" w:space="0" w:color="auto"/>
            </w:tcBorders>
            <w:shd w:val="clear" w:color="auto" w:fill="auto"/>
            <w:vAlign w:val="center"/>
          </w:tcPr>
          <w:p w14:paraId="62001D1B" w14:textId="77777777" w:rsidR="00FC70C2" w:rsidRPr="00FC70C2" w:rsidRDefault="00FC70C2" w:rsidP="00FC70C2">
            <w:pPr>
              <w:widowControl w:val="0"/>
              <w:jc w:val="right"/>
              <w:rPr>
                <w:rFonts w:ascii="Arial Narrow" w:hAnsi="Arial Narrow" w:cs="Arial"/>
                <w:b/>
                <w:sz w:val="20"/>
                <w:szCs w:val="20"/>
                <w:lang w:val="bg-BG"/>
              </w:rPr>
            </w:pPr>
            <w:r w:rsidRPr="00FC70C2">
              <w:rPr>
                <w:rFonts w:ascii="Arial Narrow" w:hAnsi="Arial Narrow" w:cs="Arial"/>
                <w:b/>
                <w:sz w:val="20"/>
                <w:szCs w:val="20"/>
                <w:lang w:val="bg-BG"/>
              </w:rPr>
              <w:t>862,9</w:t>
            </w:r>
          </w:p>
        </w:tc>
        <w:tc>
          <w:tcPr>
            <w:tcW w:w="1190" w:type="dxa"/>
            <w:tcBorders>
              <w:top w:val="nil"/>
              <w:left w:val="nil"/>
              <w:bottom w:val="single" w:sz="4" w:space="0" w:color="auto"/>
              <w:right w:val="single" w:sz="4" w:space="0" w:color="auto"/>
            </w:tcBorders>
            <w:shd w:val="clear" w:color="auto" w:fill="auto"/>
            <w:vAlign w:val="center"/>
          </w:tcPr>
          <w:p w14:paraId="39699131" w14:textId="77777777" w:rsidR="00FC70C2" w:rsidRPr="00FC70C2" w:rsidRDefault="00FC70C2" w:rsidP="00FC70C2">
            <w:pPr>
              <w:widowControl w:val="0"/>
              <w:jc w:val="right"/>
              <w:rPr>
                <w:rFonts w:ascii="Arial Narrow" w:hAnsi="Arial Narrow" w:cs="Arial"/>
                <w:b/>
                <w:sz w:val="20"/>
                <w:szCs w:val="20"/>
                <w:lang w:val="bg-BG"/>
              </w:rPr>
            </w:pPr>
            <w:r w:rsidRPr="00FC70C2">
              <w:rPr>
                <w:rFonts w:ascii="Arial Narrow" w:hAnsi="Arial Narrow" w:cs="Arial"/>
                <w:b/>
                <w:sz w:val="20"/>
                <w:szCs w:val="20"/>
                <w:lang w:val="bg-BG"/>
              </w:rPr>
              <w:t>100%</w:t>
            </w:r>
          </w:p>
        </w:tc>
      </w:tr>
    </w:tbl>
    <w:p w14:paraId="20F3AACF" w14:textId="77777777" w:rsidR="00FC70C2" w:rsidRPr="00725099" w:rsidRDefault="00FC70C2" w:rsidP="00FC70C2">
      <w:pPr>
        <w:widowControl w:val="0"/>
        <w:spacing w:after="240" w:line="259" w:lineRule="auto"/>
        <w:jc w:val="both"/>
        <w:rPr>
          <w:rFonts w:ascii="Arial Narrow" w:eastAsia="Calibri" w:hAnsi="Arial Narrow" w:cs="Arial"/>
          <w:sz w:val="18"/>
          <w:lang w:val="bg-BG"/>
        </w:rPr>
      </w:pPr>
      <w:r w:rsidRPr="00725099">
        <w:rPr>
          <w:rFonts w:ascii="Arial Narrow" w:eastAsia="Calibri" w:hAnsi="Arial Narrow" w:cs="Arial"/>
          <w:i/>
          <w:sz w:val="18"/>
          <w:lang w:val="bg-BG"/>
        </w:rPr>
        <w:t xml:space="preserve">Източник: </w:t>
      </w:r>
      <w:r w:rsidRPr="00725099">
        <w:rPr>
          <w:rFonts w:ascii="Arial Narrow" w:eastAsia="Calibri" w:hAnsi="Arial Narrow" w:cs="Arial"/>
          <w:sz w:val="18"/>
          <w:lang w:val="bg-BG"/>
        </w:rPr>
        <w:t xml:space="preserve">МЗХ, отдел „Агростатистика” </w:t>
      </w:r>
    </w:p>
    <w:p w14:paraId="3EEC8251" w14:textId="77777777" w:rsidR="00FC70C2" w:rsidRPr="00FC70C2" w:rsidRDefault="00FC70C2" w:rsidP="00FC70C2">
      <w:pPr>
        <w:widowControl w:val="0"/>
        <w:autoSpaceDE w:val="0"/>
        <w:autoSpaceDN w:val="0"/>
        <w:adjustRightInd w:val="0"/>
        <w:spacing w:after="120"/>
        <w:ind w:firstLine="709"/>
        <w:jc w:val="both"/>
        <w:rPr>
          <w:rFonts w:ascii="Arial Narrow" w:eastAsia="Calibri" w:hAnsi="Arial Narrow" w:cs="Arial"/>
          <w:lang w:val="bg-BG" w:eastAsia="bg-BG"/>
        </w:rPr>
      </w:pPr>
      <w:r w:rsidRPr="00FC70C2">
        <w:rPr>
          <w:rFonts w:ascii="Arial Narrow" w:eastAsia="Calibri" w:hAnsi="Arial Narrow" w:cs="Arial"/>
          <w:lang w:val="bg-BG" w:eastAsia="bg-BG"/>
        </w:rPr>
        <w:t>Броят на стопанствата със заплодени овце и дзвиски намалява с 15,2% на годишна база (до 10 636), а животните в тях – с 4,9% (до 896,6 хил. бр.). Най-голям e спадът при малките стопанства с 1 - 9 животни (с 29,7%) и 10 - 19 животни (с 28,5 %), съответно и на отглежданите в тях овце и дзвиски – с 31,3% и 28,3%. При останалите категории стопанства намалението е с между 0,7% и 10,6%, а на животните в тях – с между 1,2% и 12,8% .</w:t>
      </w:r>
    </w:p>
    <w:p w14:paraId="12504355" w14:textId="77777777" w:rsidR="00FC70C2" w:rsidRPr="00FC70C2" w:rsidRDefault="00FC70C2" w:rsidP="00FC70C2">
      <w:pPr>
        <w:widowControl w:val="0"/>
        <w:tabs>
          <w:tab w:val="left" w:pos="180"/>
        </w:tabs>
        <w:spacing w:after="120"/>
        <w:rPr>
          <w:rFonts w:ascii="Arial Narrow" w:eastAsia="Calibri" w:hAnsi="Arial Narrow" w:cs="Arial"/>
          <w:b/>
          <w:iCs/>
          <w:lang w:val="bg-BG"/>
        </w:rPr>
      </w:pPr>
      <w:r w:rsidRPr="00FC70C2">
        <w:rPr>
          <w:rFonts w:ascii="Arial Narrow" w:eastAsia="Calibri" w:hAnsi="Arial Narrow" w:cs="Arial"/>
          <w:b/>
          <w:iCs/>
          <w:lang w:val="bg-BG"/>
        </w:rPr>
        <w:t>Таблица ІІ.21. Разпределение на козите по райони през 2023 и 2024 г. (хил. броя)</w:t>
      </w:r>
    </w:p>
    <w:tbl>
      <w:tblPr>
        <w:tblW w:w="9796" w:type="dxa"/>
        <w:jc w:val="center"/>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885"/>
        <w:gridCol w:w="1500"/>
        <w:gridCol w:w="1442"/>
        <w:gridCol w:w="1250"/>
        <w:gridCol w:w="1266"/>
        <w:gridCol w:w="1263"/>
        <w:gridCol w:w="1190"/>
      </w:tblGrid>
      <w:tr w:rsidR="00FC70C2" w:rsidRPr="00FC70C2" w14:paraId="6FB53B9F" w14:textId="77777777" w:rsidTr="003A2D79">
        <w:trPr>
          <w:trHeight w:hRule="exact" w:val="454"/>
          <w:tblHeader/>
          <w:jc w:val="center"/>
        </w:trPr>
        <w:tc>
          <w:tcPr>
            <w:tcW w:w="1885" w:type="dxa"/>
            <w:vMerge w:val="restart"/>
            <w:tcBorders>
              <w:top w:val="single" w:sz="4" w:space="0" w:color="auto"/>
              <w:right w:val="single" w:sz="4" w:space="0" w:color="auto"/>
            </w:tcBorders>
            <w:vAlign w:val="center"/>
          </w:tcPr>
          <w:p w14:paraId="2C33C88E" w14:textId="77777777" w:rsidR="00FC70C2" w:rsidRPr="00FC70C2" w:rsidRDefault="00FC70C2" w:rsidP="00FC70C2">
            <w:pPr>
              <w:widowControl w:val="0"/>
              <w:jc w:val="center"/>
              <w:rPr>
                <w:rFonts w:ascii="Arial Narrow" w:hAnsi="Arial Narrow" w:cs="Arial"/>
                <w:b/>
                <w:sz w:val="20"/>
                <w:szCs w:val="20"/>
                <w:lang w:val="bg-BG"/>
              </w:rPr>
            </w:pPr>
            <w:r w:rsidRPr="00FC70C2">
              <w:rPr>
                <w:rFonts w:ascii="Arial Narrow" w:hAnsi="Arial Narrow" w:cs="Arial"/>
                <w:b/>
                <w:sz w:val="20"/>
                <w:szCs w:val="20"/>
                <w:lang w:val="bg-BG"/>
              </w:rPr>
              <w:t>Райони</w:t>
            </w:r>
          </w:p>
        </w:tc>
        <w:tc>
          <w:tcPr>
            <w:tcW w:w="4192" w:type="dxa"/>
            <w:gridSpan w:val="3"/>
            <w:tcBorders>
              <w:top w:val="single" w:sz="4" w:space="0" w:color="auto"/>
              <w:left w:val="single" w:sz="4" w:space="0" w:color="auto"/>
              <w:bottom w:val="single" w:sz="4" w:space="0" w:color="auto"/>
              <w:right w:val="single" w:sz="4" w:space="0" w:color="auto"/>
            </w:tcBorders>
            <w:vAlign w:val="center"/>
          </w:tcPr>
          <w:p w14:paraId="59A1BDA9" w14:textId="77777777" w:rsidR="00FC70C2" w:rsidRPr="00FC70C2" w:rsidRDefault="00FC70C2" w:rsidP="00FC70C2">
            <w:pPr>
              <w:widowControl w:val="0"/>
              <w:jc w:val="center"/>
              <w:rPr>
                <w:rFonts w:ascii="Arial Narrow" w:hAnsi="Arial Narrow" w:cs="Arial"/>
                <w:b/>
                <w:sz w:val="20"/>
                <w:szCs w:val="20"/>
                <w:lang w:val="bg-BG"/>
              </w:rPr>
            </w:pPr>
            <w:r w:rsidRPr="00FC70C2">
              <w:rPr>
                <w:rFonts w:ascii="Arial Narrow" w:hAnsi="Arial Narrow" w:cs="Arial"/>
                <w:b/>
                <w:sz w:val="20"/>
                <w:szCs w:val="20"/>
                <w:lang w:val="bg-BG"/>
              </w:rPr>
              <w:t>Кози общо</w:t>
            </w:r>
          </w:p>
        </w:tc>
        <w:tc>
          <w:tcPr>
            <w:tcW w:w="3719" w:type="dxa"/>
            <w:gridSpan w:val="3"/>
            <w:tcBorders>
              <w:top w:val="single" w:sz="4" w:space="0" w:color="auto"/>
              <w:left w:val="single" w:sz="4" w:space="0" w:color="auto"/>
              <w:bottom w:val="single" w:sz="4" w:space="0" w:color="auto"/>
            </w:tcBorders>
            <w:vAlign w:val="center"/>
          </w:tcPr>
          <w:p w14:paraId="2CF5E093" w14:textId="77777777" w:rsidR="00FC70C2" w:rsidRPr="00FC70C2" w:rsidRDefault="00FC70C2" w:rsidP="00FC70C2">
            <w:pPr>
              <w:widowControl w:val="0"/>
              <w:jc w:val="center"/>
              <w:rPr>
                <w:rFonts w:ascii="Arial Narrow" w:hAnsi="Arial Narrow" w:cs="Arial"/>
                <w:b/>
                <w:sz w:val="20"/>
                <w:szCs w:val="20"/>
                <w:lang w:val="bg-BG"/>
              </w:rPr>
            </w:pPr>
            <w:r w:rsidRPr="00FC70C2">
              <w:rPr>
                <w:rFonts w:ascii="Arial Narrow" w:hAnsi="Arial Narrow" w:cs="Arial"/>
                <w:b/>
                <w:sz w:val="20"/>
                <w:szCs w:val="20"/>
                <w:lang w:val="bg-BG"/>
              </w:rPr>
              <w:t>В т.ч. кози майки</w:t>
            </w:r>
          </w:p>
        </w:tc>
      </w:tr>
      <w:tr w:rsidR="00FC70C2" w:rsidRPr="00FC70C2" w14:paraId="5C3439E9" w14:textId="77777777" w:rsidTr="003A2D79">
        <w:trPr>
          <w:trHeight w:hRule="exact" w:val="634"/>
          <w:tblHeader/>
          <w:jc w:val="center"/>
        </w:trPr>
        <w:tc>
          <w:tcPr>
            <w:tcW w:w="1885" w:type="dxa"/>
            <w:vMerge/>
            <w:tcBorders>
              <w:bottom w:val="single" w:sz="4" w:space="0" w:color="auto"/>
              <w:right w:val="single" w:sz="4" w:space="0" w:color="auto"/>
            </w:tcBorders>
            <w:vAlign w:val="center"/>
          </w:tcPr>
          <w:p w14:paraId="16BD22E6" w14:textId="77777777" w:rsidR="00FC70C2" w:rsidRPr="00FC70C2" w:rsidRDefault="00FC70C2" w:rsidP="00FC70C2">
            <w:pPr>
              <w:widowControl w:val="0"/>
              <w:jc w:val="center"/>
              <w:rPr>
                <w:rFonts w:ascii="Arial Narrow" w:hAnsi="Arial Narrow" w:cs="Arial"/>
                <w:b/>
                <w:sz w:val="20"/>
                <w:szCs w:val="20"/>
                <w:lang w:val="bg-BG"/>
              </w:rPr>
            </w:pPr>
          </w:p>
        </w:tc>
        <w:tc>
          <w:tcPr>
            <w:tcW w:w="1500" w:type="dxa"/>
            <w:tcBorders>
              <w:top w:val="single" w:sz="4" w:space="0" w:color="auto"/>
              <w:left w:val="outset" w:sz="6" w:space="0" w:color="auto"/>
              <w:bottom w:val="single" w:sz="4" w:space="0" w:color="auto"/>
              <w:right w:val="single" w:sz="4" w:space="0" w:color="auto"/>
            </w:tcBorders>
            <w:vAlign w:val="center"/>
          </w:tcPr>
          <w:p w14:paraId="70F086D3" w14:textId="77777777" w:rsidR="00FC70C2" w:rsidRPr="00FC70C2" w:rsidRDefault="00FC70C2" w:rsidP="00FC70C2">
            <w:pPr>
              <w:widowControl w:val="0"/>
              <w:jc w:val="center"/>
              <w:rPr>
                <w:rFonts w:ascii="Arial Narrow" w:hAnsi="Arial Narrow" w:cs="Arial"/>
                <w:b/>
                <w:sz w:val="20"/>
                <w:szCs w:val="20"/>
                <w:lang w:val="bg-BG"/>
              </w:rPr>
            </w:pPr>
            <w:r w:rsidRPr="00FC70C2">
              <w:rPr>
                <w:rFonts w:ascii="Arial Narrow" w:hAnsi="Arial Narrow" w:cs="Arial"/>
                <w:b/>
                <w:sz w:val="20"/>
                <w:szCs w:val="20"/>
                <w:lang w:val="bg-BG"/>
              </w:rPr>
              <w:t>01.11.2023 г.</w:t>
            </w:r>
          </w:p>
        </w:tc>
        <w:tc>
          <w:tcPr>
            <w:tcW w:w="1442" w:type="dxa"/>
            <w:tcBorders>
              <w:top w:val="single" w:sz="4" w:space="0" w:color="auto"/>
              <w:left w:val="outset" w:sz="6" w:space="0" w:color="auto"/>
              <w:bottom w:val="single" w:sz="4" w:space="0" w:color="auto"/>
              <w:right w:val="single" w:sz="4" w:space="0" w:color="auto"/>
            </w:tcBorders>
            <w:vAlign w:val="center"/>
          </w:tcPr>
          <w:p w14:paraId="56715279" w14:textId="77777777" w:rsidR="00FC70C2" w:rsidRPr="00FC70C2" w:rsidRDefault="00FC70C2" w:rsidP="00FC70C2">
            <w:pPr>
              <w:widowControl w:val="0"/>
              <w:jc w:val="center"/>
              <w:rPr>
                <w:rFonts w:ascii="Arial Narrow" w:hAnsi="Arial Narrow" w:cs="Arial"/>
                <w:b/>
                <w:sz w:val="20"/>
                <w:szCs w:val="20"/>
                <w:lang w:val="bg-BG"/>
              </w:rPr>
            </w:pPr>
            <w:r w:rsidRPr="00FC70C2">
              <w:rPr>
                <w:rFonts w:ascii="Arial Narrow" w:hAnsi="Arial Narrow" w:cs="Arial"/>
                <w:b/>
                <w:sz w:val="20"/>
                <w:szCs w:val="20"/>
                <w:lang w:val="bg-BG"/>
              </w:rPr>
              <w:t>01.11.2024 г.</w:t>
            </w:r>
          </w:p>
        </w:tc>
        <w:tc>
          <w:tcPr>
            <w:tcW w:w="1250" w:type="dxa"/>
            <w:tcBorders>
              <w:top w:val="single" w:sz="4" w:space="0" w:color="auto"/>
              <w:left w:val="outset" w:sz="6" w:space="0" w:color="auto"/>
              <w:bottom w:val="single" w:sz="4" w:space="0" w:color="auto"/>
              <w:right w:val="single" w:sz="4" w:space="0" w:color="auto"/>
            </w:tcBorders>
            <w:vAlign w:val="center"/>
          </w:tcPr>
          <w:p w14:paraId="5475D5AE" w14:textId="77777777" w:rsidR="00FC70C2" w:rsidRPr="00FC70C2" w:rsidRDefault="00FC70C2" w:rsidP="00FC70C2">
            <w:pPr>
              <w:widowControl w:val="0"/>
              <w:jc w:val="center"/>
              <w:rPr>
                <w:rFonts w:ascii="Arial Narrow" w:hAnsi="Arial Narrow" w:cs="Arial"/>
                <w:b/>
                <w:sz w:val="20"/>
                <w:szCs w:val="20"/>
                <w:lang w:val="bg-BG"/>
              </w:rPr>
            </w:pPr>
            <w:r w:rsidRPr="00FC70C2">
              <w:rPr>
                <w:rFonts w:ascii="Arial Narrow" w:hAnsi="Arial Narrow" w:cs="Arial"/>
                <w:b/>
                <w:sz w:val="20"/>
                <w:szCs w:val="20"/>
                <w:lang w:val="bg-BG"/>
              </w:rPr>
              <w:t xml:space="preserve">Дял </w:t>
            </w:r>
          </w:p>
          <w:p w14:paraId="4793595D" w14:textId="77777777" w:rsidR="00FC70C2" w:rsidRPr="00FC70C2" w:rsidRDefault="00FC70C2" w:rsidP="00FC70C2">
            <w:pPr>
              <w:widowControl w:val="0"/>
              <w:jc w:val="center"/>
              <w:rPr>
                <w:rFonts w:ascii="Arial Narrow" w:hAnsi="Arial Narrow" w:cs="Arial"/>
                <w:b/>
                <w:sz w:val="20"/>
                <w:szCs w:val="20"/>
                <w:lang w:val="bg-BG"/>
              </w:rPr>
            </w:pPr>
            <w:r w:rsidRPr="00FC70C2">
              <w:rPr>
                <w:rFonts w:ascii="Arial Narrow" w:hAnsi="Arial Narrow" w:cs="Arial"/>
                <w:b/>
                <w:sz w:val="20"/>
                <w:szCs w:val="20"/>
                <w:lang w:val="bg-BG"/>
              </w:rPr>
              <w:t>(2024 г.)</w:t>
            </w:r>
          </w:p>
        </w:tc>
        <w:tc>
          <w:tcPr>
            <w:tcW w:w="1266" w:type="dxa"/>
            <w:tcBorders>
              <w:top w:val="single" w:sz="4" w:space="0" w:color="auto"/>
              <w:left w:val="outset" w:sz="6" w:space="0" w:color="auto"/>
              <w:bottom w:val="single" w:sz="4" w:space="0" w:color="auto"/>
              <w:right w:val="single" w:sz="4" w:space="0" w:color="auto"/>
            </w:tcBorders>
            <w:vAlign w:val="center"/>
          </w:tcPr>
          <w:p w14:paraId="7AD826DD" w14:textId="77777777" w:rsidR="00FC70C2" w:rsidRPr="00FC70C2" w:rsidRDefault="00FC70C2" w:rsidP="00FC70C2">
            <w:pPr>
              <w:widowControl w:val="0"/>
              <w:jc w:val="center"/>
              <w:rPr>
                <w:rFonts w:ascii="Arial Narrow" w:hAnsi="Arial Narrow" w:cs="Arial"/>
                <w:b/>
                <w:sz w:val="20"/>
                <w:szCs w:val="20"/>
                <w:lang w:val="bg-BG"/>
              </w:rPr>
            </w:pPr>
            <w:r w:rsidRPr="00FC70C2">
              <w:rPr>
                <w:rFonts w:ascii="Arial Narrow" w:hAnsi="Arial Narrow" w:cs="Arial"/>
                <w:b/>
                <w:sz w:val="20"/>
                <w:szCs w:val="20"/>
                <w:lang w:val="bg-BG"/>
              </w:rPr>
              <w:t>01.11.2023 г.</w:t>
            </w:r>
          </w:p>
        </w:tc>
        <w:tc>
          <w:tcPr>
            <w:tcW w:w="1263" w:type="dxa"/>
            <w:tcBorders>
              <w:top w:val="single" w:sz="4" w:space="0" w:color="auto"/>
              <w:left w:val="outset" w:sz="6" w:space="0" w:color="auto"/>
              <w:bottom w:val="single" w:sz="4" w:space="0" w:color="auto"/>
              <w:right w:val="single" w:sz="4" w:space="0" w:color="auto"/>
            </w:tcBorders>
            <w:vAlign w:val="center"/>
          </w:tcPr>
          <w:p w14:paraId="5157E392" w14:textId="77777777" w:rsidR="00FC70C2" w:rsidRPr="00FC70C2" w:rsidRDefault="00FC70C2" w:rsidP="00FC70C2">
            <w:pPr>
              <w:widowControl w:val="0"/>
              <w:jc w:val="center"/>
              <w:rPr>
                <w:rFonts w:ascii="Arial Narrow" w:hAnsi="Arial Narrow" w:cs="Arial"/>
                <w:b/>
                <w:sz w:val="20"/>
                <w:szCs w:val="20"/>
                <w:lang w:val="bg-BG"/>
              </w:rPr>
            </w:pPr>
            <w:r w:rsidRPr="00FC70C2">
              <w:rPr>
                <w:rFonts w:ascii="Arial Narrow" w:hAnsi="Arial Narrow" w:cs="Arial"/>
                <w:b/>
                <w:sz w:val="20"/>
                <w:szCs w:val="20"/>
                <w:lang w:val="bg-BG"/>
              </w:rPr>
              <w:t>01.11.2024 г.</w:t>
            </w:r>
          </w:p>
        </w:tc>
        <w:tc>
          <w:tcPr>
            <w:tcW w:w="1190" w:type="dxa"/>
            <w:tcBorders>
              <w:top w:val="single" w:sz="4" w:space="0" w:color="auto"/>
              <w:left w:val="outset" w:sz="6" w:space="0" w:color="auto"/>
              <w:bottom w:val="single" w:sz="4" w:space="0" w:color="auto"/>
            </w:tcBorders>
            <w:vAlign w:val="center"/>
          </w:tcPr>
          <w:p w14:paraId="33C23879" w14:textId="77777777" w:rsidR="00FC70C2" w:rsidRPr="00FC70C2" w:rsidRDefault="00FC70C2" w:rsidP="00FC70C2">
            <w:pPr>
              <w:widowControl w:val="0"/>
              <w:jc w:val="center"/>
              <w:rPr>
                <w:rFonts w:ascii="Arial Narrow" w:hAnsi="Arial Narrow" w:cs="Arial"/>
                <w:b/>
                <w:sz w:val="20"/>
                <w:szCs w:val="20"/>
                <w:lang w:val="bg-BG"/>
              </w:rPr>
            </w:pPr>
            <w:r w:rsidRPr="00FC70C2">
              <w:rPr>
                <w:rFonts w:ascii="Arial Narrow" w:hAnsi="Arial Narrow" w:cs="Arial"/>
                <w:b/>
                <w:sz w:val="20"/>
                <w:szCs w:val="20"/>
                <w:lang w:val="bg-BG"/>
              </w:rPr>
              <w:t xml:space="preserve">Дял </w:t>
            </w:r>
          </w:p>
          <w:p w14:paraId="3CFD4B08" w14:textId="77777777" w:rsidR="00FC70C2" w:rsidRPr="00FC70C2" w:rsidRDefault="00FC70C2" w:rsidP="00FC70C2">
            <w:pPr>
              <w:widowControl w:val="0"/>
              <w:jc w:val="center"/>
              <w:rPr>
                <w:rFonts w:ascii="Arial Narrow" w:hAnsi="Arial Narrow" w:cs="Arial"/>
                <w:b/>
                <w:sz w:val="20"/>
                <w:szCs w:val="20"/>
                <w:lang w:val="bg-BG"/>
              </w:rPr>
            </w:pPr>
            <w:r w:rsidRPr="00FC70C2">
              <w:rPr>
                <w:rFonts w:ascii="Arial Narrow" w:hAnsi="Arial Narrow" w:cs="Arial"/>
                <w:b/>
                <w:sz w:val="20"/>
                <w:szCs w:val="20"/>
                <w:lang w:val="bg-BG"/>
              </w:rPr>
              <w:t>(2024 г.)</w:t>
            </w:r>
          </w:p>
        </w:tc>
      </w:tr>
      <w:tr w:rsidR="00FC70C2" w:rsidRPr="00FC70C2" w14:paraId="5AE0EBA9" w14:textId="77777777" w:rsidTr="003A2D79">
        <w:trPr>
          <w:trHeight w:hRule="exact" w:val="340"/>
          <w:jc w:val="center"/>
        </w:trPr>
        <w:tc>
          <w:tcPr>
            <w:tcW w:w="1885" w:type="dxa"/>
            <w:tcBorders>
              <w:top w:val="single" w:sz="4" w:space="0" w:color="auto"/>
              <w:bottom w:val="single" w:sz="4" w:space="0" w:color="auto"/>
              <w:right w:val="single" w:sz="4" w:space="0" w:color="auto"/>
            </w:tcBorders>
            <w:vAlign w:val="center"/>
          </w:tcPr>
          <w:p w14:paraId="5A9E8ED6" w14:textId="77777777" w:rsidR="00FC70C2" w:rsidRPr="00FC70C2" w:rsidRDefault="00FC70C2" w:rsidP="00FC70C2">
            <w:pPr>
              <w:widowControl w:val="0"/>
              <w:rPr>
                <w:rFonts w:ascii="Arial Narrow" w:hAnsi="Arial Narrow" w:cs="Arial"/>
                <w:sz w:val="20"/>
                <w:szCs w:val="20"/>
                <w:lang w:val="bg-BG"/>
              </w:rPr>
            </w:pPr>
            <w:r w:rsidRPr="00FC70C2">
              <w:rPr>
                <w:rFonts w:ascii="Arial Narrow" w:hAnsi="Arial Narrow" w:cs="Arial"/>
                <w:sz w:val="20"/>
                <w:szCs w:val="20"/>
                <w:lang w:val="bg-BG"/>
              </w:rPr>
              <w:t>Северозападен</w:t>
            </w:r>
          </w:p>
        </w:tc>
        <w:tc>
          <w:tcPr>
            <w:tcW w:w="1500" w:type="dxa"/>
            <w:tcBorders>
              <w:top w:val="nil"/>
              <w:left w:val="nil"/>
              <w:bottom w:val="single" w:sz="4" w:space="0" w:color="auto"/>
              <w:right w:val="single" w:sz="4" w:space="0" w:color="auto"/>
            </w:tcBorders>
            <w:shd w:val="clear" w:color="auto" w:fill="auto"/>
            <w:vAlign w:val="center"/>
          </w:tcPr>
          <w:p w14:paraId="0FDA96DD" w14:textId="77777777" w:rsidR="00FC70C2" w:rsidRPr="00FC70C2" w:rsidRDefault="00FC70C2" w:rsidP="00FC70C2">
            <w:pPr>
              <w:widowControl w:val="0"/>
              <w:jc w:val="right"/>
              <w:rPr>
                <w:rFonts w:ascii="Arial Narrow" w:hAnsi="Arial Narrow"/>
                <w:sz w:val="20"/>
                <w:szCs w:val="20"/>
                <w:lang w:val="bg-BG" w:eastAsia="bg-BG" w:bidi="yi-Hebr"/>
              </w:rPr>
            </w:pPr>
            <w:r w:rsidRPr="00FC70C2">
              <w:rPr>
                <w:rFonts w:ascii="Arial Narrow" w:hAnsi="Arial Narrow"/>
                <w:sz w:val="20"/>
                <w:szCs w:val="20"/>
                <w:lang w:val="bg-BG" w:eastAsia="bg-BG" w:bidi="yi-Hebr"/>
              </w:rPr>
              <w:t>27,6</w:t>
            </w:r>
          </w:p>
        </w:tc>
        <w:tc>
          <w:tcPr>
            <w:tcW w:w="1442" w:type="dxa"/>
            <w:tcBorders>
              <w:top w:val="single" w:sz="4" w:space="0" w:color="auto"/>
              <w:left w:val="single" w:sz="4" w:space="0" w:color="auto"/>
              <w:bottom w:val="single" w:sz="4" w:space="0" w:color="auto"/>
              <w:right w:val="single" w:sz="4" w:space="0" w:color="auto"/>
            </w:tcBorders>
            <w:shd w:val="clear" w:color="auto" w:fill="auto"/>
            <w:vAlign w:val="center"/>
          </w:tcPr>
          <w:p w14:paraId="4FDA5E12" w14:textId="77777777" w:rsidR="00FC70C2" w:rsidRPr="00FC70C2" w:rsidRDefault="00FC70C2" w:rsidP="00FC70C2">
            <w:pPr>
              <w:widowControl w:val="0"/>
              <w:jc w:val="right"/>
              <w:rPr>
                <w:rFonts w:ascii="Arial Narrow" w:hAnsi="Arial Narrow"/>
                <w:sz w:val="20"/>
                <w:szCs w:val="20"/>
                <w:lang w:val="bg-BG" w:eastAsia="bg-BG" w:bidi="yi-Hebr"/>
              </w:rPr>
            </w:pPr>
            <w:r w:rsidRPr="00FC70C2">
              <w:rPr>
                <w:rFonts w:ascii="Arial Narrow" w:hAnsi="Arial Narrow"/>
                <w:sz w:val="20"/>
                <w:szCs w:val="20"/>
                <w:lang w:val="bg-BG" w:eastAsia="bg-BG" w:bidi="yi-Hebr"/>
              </w:rPr>
              <w:t>23,3</w:t>
            </w:r>
          </w:p>
        </w:tc>
        <w:tc>
          <w:tcPr>
            <w:tcW w:w="1250" w:type="dxa"/>
            <w:tcBorders>
              <w:top w:val="single" w:sz="4" w:space="0" w:color="auto"/>
              <w:left w:val="nil"/>
              <w:bottom w:val="single" w:sz="4" w:space="0" w:color="auto"/>
              <w:right w:val="single" w:sz="4" w:space="0" w:color="auto"/>
            </w:tcBorders>
            <w:shd w:val="clear" w:color="auto" w:fill="auto"/>
            <w:vAlign w:val="center"/>
          </w:tcPr>
          <w:p w14:paraId="0757C4D0" w14:textId="77777777" w:rsidR="00FC70C2" w:rsidRPr="00FC70C2" w:rsidRDefault="00FC70C2" w:rsidP="00FC70C2">
            <w:pPr>
              <w:widowControl w:val="0"/>
              <w:jc w:val="right"/>
              <w:rPr>
                <w:rFonts w:ascii="Arial Narrow" w:hAnsi="Arial Narrow"/>
                <w:sz w:val="20"/>
                <w:szCs w:val="20"/>
                <w:lang w:val="bg-BG" w:eastAsia="bg-BG" w:bidi="yi-Hebr"/>
              </w:rPr>
            </w:pPr>
            <w:r w:rsidRPr="00FC70C2">
              <w:rPr>
                <w:rFonts w:ascii="Arial Narrow" w:hAnsi="Arial Narrow"/>
                <w:sz w:val="20"/>
                <w:szCs w:val="20"/>
                <w:lang w:val="bg-BG" w:eastAsia="bg-BG" w:bidi="yi-Hebr"/>
              </w:rPr>
              <w:t>15,5%</w:t>
            </w:r>
          </w:p>
        </w:tc>
        <w:tc>
          <w:tcPr>
            <w:tcW w:w="1266" w:type="dxa"/>
            <w:tcBorders>
              <w:top w:val="nil"/>
              <w:left w:val="nil"/>
              <w:bottom w:val="single" w:sz="4" w:space="0" w:color="auto"/>
              <w:right w:val="single" w:sz="4" w:space="0" w:color="auto"/>
            </w:tcBorders>
            <w:shd w:val="clear" w:color="auto" w:fill="auto"/>
            <w:vAlign w:val="center"/>
          </w:tcPr>
          <w:p w14:paraId="4D262518" w14:textId="77777777" w:rsidR="00FC70C2" w:rsidRPr="00FC70C2" w:rsidRDefault="00FC70C2" w:rsidP="00FC70C2">
            <w:pPr>
              <w:widowControl w:val="0"/>
              <w:jc w:val="right"/>
              <w:rPr>
                <w:rFonts w:ascii="Arial Narrow" w:hAnsi="Arial Narrow"/>
                <w:sz w:val="20"/>
                <w:szCs w:val="20"/>
                <w:lang w:val="bg-BG" w:eastAsia="bg-BG" w:bidi="yi-Hebr"/>
              </w:rPr>
            </w:pPr>
            <w:r w:rsidRPr="00FC70C2">
              <w:rPr>
                <w:rFonts w:ascii="Arial Narrow" w:hAnsi="Arial Narrow"/>
                <w:sz w:val="20"/>
                <w:szCs w:val="20"/>
                <w:lang w:val="bg-BG" w:eastAsia="bg-BG" w:bidi="yi-Hebr"/>
              </w:rPr>
              <w:t>23,8</w:t>
            </w:r>
          </w:p>
        </w:tc>
        <w:tc>
          <w:tcPr>
            <w:tcW w:w="1263" w:type="dxa"/>
            <w:tcBorders>
              <w:top w:val="single" w:sz="4" w:space="0" w:color="auto"/>
              <w:left w:val="single" w:sz="4" w:space="0" w:color="auto"/>
              <w:bottom w:val="single" w:sz="4" w:space="0" w:color="auto"/>
              <w:right w:val="single" w:sz="4" w:space="0" w:color="auto"/>
            </w:tcBorders>
            <w:shd w:val="clear" w:color="auto" w:fill="auto"/>
            <w:vAlign w:val="center"/>
          </w:tcPr>
          <w:p w14:paraId="4B69F923" w14:textId="77777777" w:rsidR="00FC70C2" w:rsidRPr="00FC70C2" w:rsidRDefault="00FC70C2" w:rsidP="00FC70C2">
            <w:pPr>
              <w:widowControl w:val="0"/>
              <w:jc w:val="right"/>
              <w:rPr>
                <w:rFonts w:ascii="Arial Narrow" w:hAnsi="Arial Narrow"/>
                <w:sz w:val="20"/>
                <w:szCs w:val="20"/>
                <w:lang w:val="bg-BG" w:eastAsia="bg-BG" w:bidi="yi-Hebr"/>
              </w:rPr>
            </w:pPr>
            <w:r w:rsidRPr="00FC70C2">
              <w:rPr>
                <w:rFonts w:ascii="Arial Narrow" w:hAnsi="Arial Narrow"/>
                <w:sz w:val="20"/>
                <w:szCs w:val="20"/>
                <w:lang w:val="bg-BG" w:eastAsia="bg-BG" w:bidi="yi-Hebr"/>
              </w:rPr>
              <w:t>21,2</w:t>
            </w:r>
          </w:p>
        </w:tc>
        <w:tc>
          <w:tcPr>
            <w:tcW w:w="1190" w:type="dxa"/>
            <w:tcBorders>
              <w:top w:val="single" w:sz="4" w:space="0" w:color="auto"/>
              <w:left w:val="nil"/>
              <w:bottom w:val="single" w:sz="4" w:space="0" w:color="auto"/>
              <w:right w:val="single" w:sz="4" w:space="0" w:color="auto"/>
            </w:tcBorders>
            <w:shd w:val="clear" w:color="auto" w:fill="auto"/>
            <w:vAlign w:val="center"/>
          </w:tcPr>
          <w:p w14:paraId="3B879160" w14:textId="77777777" w:rsidR="00FC70C2" w:rsidRPr="00FC70C2" w:rsidRDefault="00FC70C2" w:rsidP="00FC70C2">
            <w:pPr>
              <w:widowControl w:val="0"/>
              <w:jc w:val="right"/>
              <w:rPr>
                <w:rFonts w:ascii="Arial Narrow" w:hAnsi="Arial Narrow"/>
                <w:sz w:val="20"/>
                <w:szCs w:val="20"/>
                <w:lang w:val="bg-BG" w:eastAsia="bg-BG" w:bidi="yi-Hebr"/>
              </w:rPr>
            </w:pPr>
            <w:r w:rsidRPr="00FC70C2">
              <w:rPr>
                <w:rFonts w:ascii="Arial Narrow" w:hAnsi="Arial Narrow"/>
                <w:sz w:val="20"/>
                <w:szCs w:val="20"/>
                <w:lang w:val="bg-BG" w:eastAsia="bg-BG" w:bidi="yi-Hebr"/>
              </w:rPr>
              <w:t>16,5%</w:t>
            </w:r>
          </w:p>
        </w:tc>
      </w:tr>
      <w:tr w:rsidR="00FC70C2" w:rsidRPr="00FC70C2" w14:paraId="30A0C58A" w14:textId="77777777" w:rsidTr="003A2D79">
        <w:trPr>
          <w:trHeight w:hRule="exact" w:val="340"/>
          <w:jc w:val="center"/>
        </w:trPr>
        <w:tc>
          <w:tcPr>
            <w:tcW w:w="1885" w:type="dxa"/>
            <w:tcBorders>
              <w:top w:val="single" w:sz="4" w:space="0" w:color="auto"/>
              <w:bottom w:val="single" w:sz="4" w:space="0" w:color="auto"/>
              <w:right w:val="single" w:sz="4" w:space="0" w:color="auto"/>
            </w:tcBorders>
            <w:vAlign w:val="center"/>
          </w:tcPr>
          <w:p w14:paraId="01BD9FCB" w14:textId="77777777" w:rsidR="00FC70C2" w:rsidRPr="00FC70C2" w:rsidRDefault="00FC70C2" w:rsidP="00FC70C2">
            <w:pPr>
              <w:widowControl w:val="0"/>
              <w:rPr>
                <w:rFonts w:ascii="Arial Narrow" w:hAnsi="Arial Narrow" w:cs="Arial"/>
                <w:sz w:val="20"/>
                <w:szCs w:val="20"/>
                <w:lang w:val="bg-BG"/>
              </w:rPr>
            </w:pPr>
            <w:r w:rsidRPr="00FC70C2">
              <w:rPr>
                <w:rFonts w:ascii="Arial Narrow" w:hAnsi="Arial Narrow" w:cs="Arial"/>
                <w:sz w:val="20"/>
                <w:szCs w:val="20"/>
                <w:lang w:val="bg-BG"/>
              </w:rPr>
              <w:t xml:space="preserve">Северен централен </w:t>
            </w:r>
          </w:p>
        </w:tc>
        <w:tc>
          <w:tcPr>
            <w:tcW w:w="1500" w:type="dxa"/>
            <w:tcBorders>
              <w:top w:val="nil"/>
              <w:left w:val="nil"/>
              <w:bottom w:val="single" w:sz="4" w:space="0" w:color="auto"/>
              <w:right w:val="single" w:sz="4" w:space="0" w:color="auto"/>
            </w:tcBorders>
            <w:shd w:val="clear" w:color="auto" w:fill="auto"/>
            <w:vAlign w:val="center"/>
          </w:tcPr>
          <w:p w14:paraId="62A7E9B6" w14:textId="77777777" w:rsidR="00FC70C2" w:rsidRPr="00FC70C2" w:rsidRDefault="00FC70C2" w:rsidP="00FC70C2">
            <w:pPr>
              <w:widowControl w:val="0"/>
              <w:jc w:val="right"/>
              <w:rPr>
                <w:rFonts w:ascii="Arial Narrow" w:hAnsi="Arial Narrow"/>
                <w:sz w:val="20"/>
                <w:szCs w:val="20"/>
                <w:lang w:val="bg-BG" w:eastAsia="bg-BG" w:bidi="yi-Hebr"/>
              </w:rPr>
            </w:pPr>
            <w:r w:rsidRPr="00FC70C2">
              <w:rPr>
                <w:rFonts w:ascii="Arial Narrow" w:hAnsi="Arial Narrow"/>
                <w:sz w:val="20"/>
                <w:szCs w:val="20"/>
                <w:lang w:val="bg-BG" w:eastAsia="bg-BG" w:bidi="yi-Hebr"/>
              </w:rPr>
              <w:t>24,4</w:t>
            </w:r>
          </w:p>
        </w:tc>
        <w:tc>
          <w:tcPr>
            <w:tcW w:w="1442" w:type="dxa"/>
            <w:tcBorders>
              <w:top w:val="nil"/>
              <w:left w:val="single" w:sz="4" w:space="0" w:color="auto"/>
              <w:bottom w:val="single" w:sz="4" w:space="0" w:color="auto"/>
              <w:right w:val="single" w:sz="4" w:space="0" w:color="auto"/>
            </w:tcBorders>
            <w:shd w:val="clear" w:color="auto" w:fill="auto"/>
            <w:vAlign w:val="center"/>
          </w:tcPr>
          <w:p w14:paraId="5EBDE972" w14:textId="77777777" w:rsidR="00FC70C2" w:rsidRPr="00FC70C2" w:rsidRDefault="00FC70C2" w:rsidP="00FC70C2">
            <w:pPr>
              <w:widowControl w:val="0"/>
              <w:jc w:val="right"/>
              <w:rPr>
                <w:rFonts w:ascii="Arial Narrow" w:hAnsi="Arial Narrow"/>
                <w:sz w:val="20"/>
                <w:szCs w:val="20"/>
                <w:lang w:val="bg-BG" w:eastAsia="bg-BG" w:bidi="yi-Hebr"/>
              </w:rPr>
            </w:pPr>
            <w:r w:rsidRPr="00FC70C2">
              <w:rPr>
                <w:rFonts w:ascii="Arial Narrow" w:hAnsi="Arial Narrow"/>
                <w:sz w:val="20"/>
                <w:szCs w:val="20"/>
                <w:lang w:val="bg-BG" w:eastAsia="bg-BG" w:bidi="yi-Hebr"/>
              </w:rPr>
              <w:t>22,6</w:t>
            </w:r>
          </w:p>
        </w:tc>
        <w:tc>
          <w:tcPr>
            <w:tcW w:w="1250" w:type="dxa"/>
            <w:tcBorders>
              <w:top w:val="nil"/>
              <w:left w:val="nil"/>
              <w:bottom w:val="single" w:sz="4" w:space="0" w:color="auto"/>
              <w:right w:val="single" w:sz="4" w:space="0" w:color="auto"/>
            </w:tcBorders>
            <w:shd w:val="clear" w:color="auto" w:fill="auto"/>
            <w:vAlign w:val="center"/>
          </w:tcPr>
          <w:p w14:paraId="36B1B4B3" w14:textId="77777777" w:rsidR="00FC70C2" w:rsidRPr="00FC70C2" w:rsidRDefault="00FC70C2" w:rsidP="00FC70C2">
            <w:pPr>
              <w:widowControl w:val="0"/>
              <w:jc w:val="right"/>
              <w:rPr>
                <w:rFonts w:ascii="Arial Narrow" w:hAnsi="Arial Narrow"/>
                <w:sz w:val="20"/>
                <w:szCs w:val="20"/>
                <w:lang w:val="bg-BG" w:eastAsia="bg-BG" w:bidi="yi-Hebr"/>
              </w:rPr>
            </w:pPr>
            <w:r w:rsidRPr="00FC70C2">
              <w:rPr>
                <w:rFonts w:ascii="Arial Narrow" w:hAnsi="Arial Narrow"/>
                <w:sz w:val="20"/>
                <w:szCs w:val="20"/>
                <w:lang w:val="bg-BG" w:eastAsia="bg-BG" w:bidi="yi-Hebr"/>
              </w:rPr>
              <w:t>15,1%</w:t>
            </w:r>
          </w:p>
        </w:tc>
        <w:tc>
          <w:tcPr>
            <w:tcW w:w="1266" w:type="dxa"/>
            <w:tcBorders>
              <w:top w:val="nil"/>
              <w:left w:val="nil"/>
              <w:bottom w:val="single" w:sz="4" w:space="0" w:color="auto"/>
              <w:right w:val="single" w:sz="4" w:space="0" w:color="auto"/>
            </w:tcBorders>
            <w:shd w:val="clear" w:color="auto" w:fill="auto"/>
            <w:vAlign w:val="center"/>
          </w:tcPr>
          <w:p w14:paraId="5A6DFB49" w14:textId="77777777" w:rsidR="00FC70C2" w:rsidRPr="00FC70C2" w:rsidRDefault="00FC70C2" w:rsidP="00FC70C2">
            <w:pPr>
              <w:widowControl w:val="0"/>
              <w:jc w:val="right"/>
              <w:rPr>
                <w:rFonts w:ascii="Arial Narrow" w:hAnsi="Arial Narrow"/>
                <w:sz w:val="20"/>
                <w:szCs w:val="20"/>
                <w:lang w:val="bg-BG" w:eastAsia="bg-BG" w:bidi="yi-Hebr"/>
              </w:rPr>
            </w:pPr>
            <w:r w:rsidRPr="00FC70C2">
              <w:rPr>
                <w:rFonts w:ascii="Arial Narrow" w:hAnsi="Arial Narrow"/>
                <w:sz w:val="20"/>
                <w:szCs w:val="20"/>
                <w:lang w:val="bg-BG" w:eastAsia="bg-BG" w:bidi="yi-Hebr"/>
              </w:rPr>
              <w:t>19,8</w:t>
            </w:r>
          </w:p>
        </w:tc>
        <w:tc>
          <w:tcPr>
            <w:tcW w:w="1263" w:type="dxa"/>
            <w:tcBorders>
              <w:top w:val="nil"/>
              <w:left w:val="single" w:sz="4" w:space="0" w:color="auto"/>
              <w:bottom w:val="single" w:sz="4" w:space="0" w:color="auto"/>
              <w:right w:val="single" w:sz="4" w:space="0" w:color="auto"/>
            </w:tcBorders>
            <w:shd w:val="clear" w:color="auto" w:fill="auto"/>
            <w:vAlign w:val="center"/>
          </w:tcPr>
          <w:p w14:paraId="484E0B91" w14:textId="77777777" w:rsidR="00FC70C2" w:rsidRPr="00FC70C2" w:rsidRDefault="00FC70C2" w:rsidP="00FC70C2">
            <w:pPr>
              <w:widowControl w:val="0"/>
              <w:jc w:val="right"/>
              <w:rPr>
                <w:rFonts w:ascii="Arial Narrow" w:hAnsi="Arial Narrow"/>
                <w:sz w:val="20"/>
                <w:szCs w:val="20"/>
                <w:lang w:val="bg-BG" w:eastAsia="bg-BG" w:bidi="yi-Hebr"/>
              </w:rPr>
            </w:pPr>
            <w:r w:rsidRPr="00FC70C2">
              <w:rPr>
                <w:rFonts w:ascii="Arial Narrow" w:hAnsi="Arial Narrow"/>
                <w:sz w:val="20"/>
                <w:szCs w:val="20"/>
                <w:lang w:val="bg-BG" w:eastAsia="bg-BG" w:bidi="yi-Hebr"/>
              </w:rPr>
              <w:t>18,1</w:t>
            </w:r>
          </w:p>
        </w:tc>
        <w:tc>
          <w:tcPr>
            <w:tcW w:w="1190" w:type="dxa"/>
            <w:tcBorders>
              <w:top w:val="nil"/>
              <w:left w:val="nil"/>
              <w:bottom w:val="single" w:sz="4" w:space="0" w:color="auto"/>
              <w:right w:val="single" w:sz="4" w:space="0" w:color="auto"/>
            </w:tcBorders>
            <w:shd w:val="clear" w:color="auto" w:fill="auto"/>
            <w:vAlign w:val="center"/>
          </w:tcPr>
          <w:p w14:paraId="751E90AA" w14:textId="77777777" w:rsidR="00FC70C2" w:rsidRPr="00FC70C2" w:rsidRDefault="00FC70C2" w:rsidP="00FC70C2">
            <w:pPr>
              <w:widowControl w:val="0"/>
              <w:jc w:val="right"/>
              <w:rPr>
                <w:rFonts w:ascii="Arial Narrow" w:hAnsi="Arial Narrow"/>
                <w:sz w:val="20"/>
                <w:szCs w:val="20"/>
                <w:lang w:val="bg-BG" w:eastAsia="bg-BG" w:bidi="yi-Hebr"/>
              </w:rPr>
            </w:pPr>
            <w:r w:rsidRPr="00FC70C2">
              <w:rPr>
                <w:rFonts w:ascii="Arial Narrow" w:hAnsi="Arial Narrow"/>
                <w:sz w:val="20"/>
                <w:szCs w:val="20"/>
                <w:lang w:val="bg-BG" w:eastAsia="bg-BG" w:bidi="yi-Hebr"/>
              </w:rPr>
              <w:t>14,2%</w:t>
            </w:r>
          </w:p>
        </w:tc>
      </w:tr>
      <w:tr w:rsidR="00FC70C2" w:rsidRPr="00FC70C2" w14:paraId="10AE7912" w14:textId="77777777" w:rsidTr="003A2D79">
        <w:trPr>
          <w:trHeight w:hRule="exact" w:val="340"/>
          <w:jc w:val="center"/>
        </w:trPr>
        <w:tc>
          <w:tcPr>
            <w:tcW w:w="1885" w:type="dxa"/>
            <w:tcBorders>
              <w:top w:val="single" w:sz="4" w:space="0" w:color="auto"/>
              <w:bottom w:val="single" w:sz="4" w:space="0" w:color="auto"/>
              <w:right w:val="single" w:sz="4" w:space="0" w:color="auto"/>
            </w:tcBorders>
            <w:vAlign w:val="center"/>
          </w:tcPr>
          <w:p w14:paraId="22C71BAC" w14:textId="77777777" w:rsidR="00FC70C2" w:rsidRPr="00FC70C2" w:rsidRDefault="00FC70C2" w:rsidP="00FC70C2">
            <w:pPr>
              <w:widowControl w:val="0"/>
              <w:rPr>
                <w:rFonts w:ascii="Arial Narrow" w:hAnsi="Arial Narrow" w:cs="Arial"/>
                <w:sz w:val="20"/>
                <w:szCs w:val="20"/>
                <w:lang w:val="bg-BG"/>
              </w:rPr>
            </w:pPr>
            <w:r w:rsidRPr="00FC70C2">
              <w:rPr>
                <w:rFonts w:ascii="Arial Narrow" w:hAnsi="Arial Narrow" w:cs="Arial"/>
                <w:sz w:val="20"/>
                <w:szCs w:val="20"/>
                <w:lang w:val="bg-BG"/>
              </w:rPr>
              <w:t>Североизточен</w:t>
            </w:r>
          </w:p>
        </w:tc>
        <w:tc>
          <w:tcPr>
            <w:tcW w:w="1500" w:type="dxa"/>
            <w:tcBorders>
              <w:top w:val="nil"/>
              <w:left w:val="nil"/>
              <w:bottom w:val="single" w:sz="4" w:space="0" w:color="auto"/>
              <w:right w:val="single" w:sz="4" w:space="0" w:color="auto"/>
            </w:tcBorders>
            <w:shd w:val="clear" w:color="auto" w:fill="auto"/>
            <w:vAlign w:val="center"/>
          </w:tcPr>
          <w:p w14:paraId="4B7D5579" w14:textId="77777777" w:rsidR="00FC70C2" w:rsidRPr="00FC70C2" w:rsidRDefault="00FC70C2" w:rsidP="00FC70C2">
            <w:pPr>
              <w:widowControl w:val="0"/>
              <w:jc w:val="right"/>
              <w:rPr>
                <w:rFonts w:ascii="Arial Narrow" w:hAnsi="Arial Narrow"/>
                <w:sz w:val="20"/>
                <w:szCs w:val="20"/>
                <w:lang w:val="bg-BG" w:eastAsia="bg-BG" w:bidi="yi-Hebr"/>
              </w:rPr>
            </w:pPr>
            <w:r w:rsidRPr="00FC70C2">
              <w:rPr>
                <w:rFonts w:ascii="Arial Narrow" w:hAnsi="Arial Narrow"/>
                <w:sz w:val="20"/>
                <w:szCs w:val="20"/>
                <w:lang w:val="bg-BG" w:eastAsia="bg-BG" w:bidi="yi-Hebr"/>
              </w:rPr>
              <w:t>20,2</w:t>
            </w:r>
          </w:p>
        </w:tc>
        <w:tc>
          <w:tcPr>
            <w:tcW w:w="1442" w:type="dxa"/>
            <w:tcBorders>
              <w:top w:val="nil"/>
              <w:left w:val="single" w:sz="4" w:space="0" w:color="auto"/>
              <w:bottom w:val="single" w:sz="4" w:space="0" w:color="auto"/>
              <w:right w:val="single" w:sz="4" w:space="0" w:color="auto"/>
            </w:tcBorders>
            <w:shd w:val="clear" w:color="auto" w:fill="auto"/>
            <w:vAlign w:val="center"/>
          </w:tcPr>
          <w:p w14:paraId="2244E172" w14:textId="77777777" w:rsidR="00FC70C2" w:rsidRPr="00FC70C2" w:rsidRDefault="00FC70C2" w:rsidP="00FC70C2">
            <w:pPr>
              <w:widowControl w:val="0"/>
              <w:jc w:val="right"/>
              <w:rPr>
                <w:rFonts w:ascii="Arial Narrow" w:hAnsi="Arial Narrow"/>
                <w:sz w:val="20"/>
                <w:szCs w:val="20"/>
                <w:lang w:val="bg-BG" w:eastAsia="bg-BG" w:bidi="yi-Hebr"/>
              </w:rPr>
            </w:pPr>
            <w:r w:rsidRPr="00FC70C2">
              <w:rPr>
                <w:rFonts w:ascii="Arial Narrow" w:hAnsi="Arial Narrow"/>
                <w:sz w:val="20"/>
                <w:szCs w:val="20"/>
                <w:lang w:val="bg-BG" w:eastAsia="bg-BG" w:bidi="yi-Hebr"/>
              </w:rPr>
              <w:t>17,6</w:t>
            </w:r>
          </w:p>
        </w:tc>
        <w:tc>
          <w:tcPr>
            <w:tcW w:w="1250" w:type="dxa"/>
            <w:tcBorders>
              <w:top w:val="nil"/>
              <w:left w:val="nil"/>
              <w:bottom w:val="single" w:sz="4" w:space="0" w:color="auto"/>
              <w:right w:val="single" w:sz="4" w:space="0" w:color="auto"/>
            </w:tcBorders>
            <w:shd w:val="clear" w:color="auto" w:fill="auto"/>
            <w:vAlign w:val="center"/>
          </w:tcPr>
          <w:p w14:paraId="478987C3" w14:textId="77777777" w:rsidR="00FC70C2" w:rsidRPr="00FC70C2" w:rsidRDefault="00FC70C2" w:rsidP="00FC70C2">
            <w:pPr>
              <w:widowControl w:val="0"/>
              <w:jc w:val="right"/>
              <w:rPr>
                <w:rFonts w:ascii="Arial Narrow" w:hAnsi="Arial Narrow"/>
                <w:sz w:val="20"/>
                <w:szCs w:val="20"/>
                <w:lang w:val="bg-BG" w:eastAsia="bg-BG" w:bidi="yi-Hebr"/>
              </w:rPr>
            </w:pPr>
            <w:r w:rsidRPr="00FC70C2">
              <w:rPr>
                <w:rFonts w:ascii="Arial Narrow" w:hAnsi="Arial Narrow"/>
                <w:sz w:val="20"/>
                <w:szCs w:val="20"/>
                <w:lang w:val="bg-BG" w:eastAsia="bg-BG" w:bidi="yi-Hebr"/>
              </w:rPr>
              <w:t>11,7%</w:t>
            </w:r>
          </w:p>
        </w:tc>
        <w:tc>
          <w:tcPr>
            <w:tcW w:w="1266" w:type="dxa"/>
            <w:tcBorders>
              <w:top w:val="nil"/>
              <w:left w:val="nil"/>
              <w:bottom w:val="single" w:sz="4" w:space="0" w:color="auto"/>
              <w:right w:val="single" w:sz="4" w:space="0" w:color="auto"/>
            </w:tcBorders>
            <w:shd w:val="clear" w:color="auto" w:fill="auto"/>
            <w:vAlign w:val="center"/>
          </w:tcPr>
          <w:p w14:paraId="022A2A45" w14:textId="77777777" w:rsidR="00FC70C2" w:rsidRPr="00FC70C2" w:rsidRDefault="00FC70C2" w:rsidP="00FC70C2">
            <w:pPr>
              <w:widowControl w:val="0"/>
              <w:jc w:val="right"/>
              <w:rPr>
                <w:rFonts w:ascii="Arial Narrow" w:hAnsi="Arial Narrow"/>
                <w:sz w:val="20"/>
                <w:szCs w:val="20"/>
                <w:lang w:val="bg-BG" w:eastAsia="bg-BG" w:bidi="yi-Hebr"/>
              </w:rPr>
            </w:pPr>
            <w:r w:rsidRPr="00FC70C2">
              <w:rPr>
                <w:rFonts w:ascii="Arial Narrow" w:hAnsi="Arial Narrow"/>
                <w:sz w:val="20"/>
                <w:szCs w:val="20"/>
                <w:lang w:val="bg-BG" w:eastAsia="bg-BG" w:bidi="yi-Hebr"/>
              </w:rPr>
              <w:t>15,6</w:t>
            </w:r>
          </w:p>
        </w:tc>
        <w:tc>
          <w:tcPr>
            <w:tcW w:w="1263" w:type="dxa"/>
            <w:tcBorders>
              <w:top w:val="nil"/>
              <w:left w:val="single" w:sz="4" w:space="0" w:color="auto"/>
              <w:bottom w:val="single" w:sz="4" w:space="0" w:color="auto"/>
              <w:right w:val="single" w:sz="4" w:space="0" w:color="auto"/>
            </w:tcBorders>
            <w:shd w:val="clear" w:color="auto" w:fill="auto"/>
            <w:vAlign w:val="center"/>
          </w:tcPr>
          <w:p w14:paraId="26A45828" w14:textId="77777777" w:rsidR="00FC70C2" w:rsidRPr="00FC70C2" w:rsidRDefault="00FC70C2" w:rsidP="00FC70C2">
            <w:pPr>
              <w:widowControl w:val="0"/>
              <w:jc w:val="right"/>
              <w:rPr>
                <w:rFonts w:ascii="Arial Narrow" w:hAnsi="Arial Narrow"/>
                <w:sz w:val="20"/>
                <w:szCs w:val="20"/>
                <w:lang w:val="bg-BG" w:eastAsia="bg-BG" w:bidi="yi-Hebr"/>
              </w:rPr>
            </w:pPr>
            <w:r w:rsidRPr="00FC70C2">
              <w:rPr>
                <w:rFonts w:ascii="Arial Narrow" w:hAnsi="Arial Narrow"/>
                <w:sz w:val="20"/>
                <w:szCs w:val="20"/>
                <w:lang w:val="bg-BG" w:eastAsia="bg-BG" w:bidi="yi-Hebr"/>
              </w:rPr>
              <w:t>14,0</w:t>
            </w:r>
          </w:p>
        </w:tc>
        <w:tc>
          <w:tcPr>
            <w:tcW w:w="1190" w:type="dxa"/>
            <w:tcBorders>
              <w:top w:val="nil"/>
              <w:left w:val="nil"/>
              <w:bottom w:val="single" w:sz="4" w:space="0" w:color="auto"/>
              <w:right w:val="single" w:sz="4" w:space="0" w:color="auto"/>
            </w:tcBorders>
            <w:shd w:val="clear" w:color="auto" w:fill="auto"/>
            <w:vAlign w:val="center"/>
          </w:tcPr>
          <w:p w14:paraId="09D6CE21" w14:textId="77777777" w:rsidR="00FC70C2" w:rsidRPr="00FC70C2" w:rsidRDefault="00FC70C2" w:rsidP="00FC70C2">
            <w:pPr>
              <w:widowControl w:val="0"/>
              <w:jc w:val="right"/>
              <w:rPr>
                <w:rFonts w:ascii="Arial Narrow" w:hAnsi="Arial Narrow"/>
                <w:sz w:val="20"/>
                <w:szCs w:val="20"/>
                <w:lang w:val="bg-BG" w:eastAsia="bg-BG" w:bidi="yi-Hebr"/>
              </w:rPr>
            </w:pPr>
            <w:r w:rsidRPr="00FC70C2">
              <w:rPr>
                <w:rFonts w:ascii="Arial Narrow" w:hAnsi="Arial Narrow"/>
                <w:sz w:val="20"/>
                <w:szCs w:val="20"/>
                <w:lang w:val="bg-BG" w:eastAsia="bg-BG" w:bidi="yi-Hebr"/>
              </w:rPr>
              <w:t>10,9%</w:t>
            </w:r>
          </w:p>
        </w:tc>
      </w:tr>
      <w:tr w:rsidR="00FC70C2" w:rsidRPr="00FC70C2" w14:paraId="4A41EC84" w14:textId="77777777" w:rsidTr="003A2D79">
        <w:trPr>
          <w:trHeight w:hRule="exact" w:val="340"/>
          <w:jc w:val="center"/>
        </w:trPr>
        <w:tc>
          <w:tcPr>
            <w:tcW w:w="1885" w:type="dxa"/>
            <w:tcBorders>
              <w:top w:val="single" w:sz="4" w:space="0" w:color="auto"/>
              <w:bottom w:val="single" w:sz="4" w:space="0" w:color="auto"/>
              <w:right w:val="single" w:sz="4" w:space="0" w:color="auto"/>
            </w:tcBorders>
            <w:vAlign w:val="center"/>
          </w:tcPr>
          <w:p w14:paraId="10675A0B" w14:textId="77777777" w:rsidR="00FC70C2" w:rsidRPr="00FC70C2" w:rsidRDefault="00FC70C2" w:rsidP="00FC70C2">
            <w:pPr>
              <w:widowControl w:val="0"/>
              <w:rPr>
                <w:rFonts w:ascii="Arial Narrow" w:hAnsi="Arial Narrow" w:cs="Arial"/>
                <w:sz w:val="20"/>
                <w:szCs w:val="20"/>
                <w:lang w:val="bg-BG"/>
              </w:rPr>
            </w:pPr>
            <w:r w:rsidRPr="00FC70C2">
              <w:rPr>
                <w:rFonts w:ascii="Arial Narrow" w:hAnsi="Arial Narrow" w:cs="Arial"/>
                <w:sz w:val="20"/>
                <w:szCs w:val="20"/>
                <w:lang w:val="bg-BG"/>
              </w:rPr>
              <w:t>Югоизточен</w:t>
            </w:r>
          </w:p>
        </w:tc>
        <w:tc>
          <w:tcPr>
            <w:tcW w:w="1500" w:type="dxa"/>
            <w:tcBorders>
              <w:top w:val="nil"/>
              <w:left w:val="nil"/>
              <w:bottom w:val="single" w:sz="4" w:space="0" w:color="auto"/>
              <w:right w:val="single" w:sz="4" w:space="0" w:color="auto"/>
            </w:tcBorders>
            <w:shd w:val="clear" w:color="auto" w:fill="auto"/>
            <w:vAlign w:val="center"/>
          </w:tcPr>
          <w:p w14:paraId="67F61BCE" w14:textId="77777777" w:rsidR="00FC70C2" w:rsidRPr="00FC70C2" w:rsidRDefault="00FC70C2" w:rsidP="00FC70C2">
            <w:pPr>
              <w:widowControl w:val="0"/>
              <w:jc w:val="right"/>
              <w:rPr>
                <w:rFonts w:ascii="Arial Narrow" w:hAnsi="Arial Narrow"/>
                <w:sz w:val="20"/>
                <w:szCs w:val="20"/>
                <w:lang w:val="bg-BG" w:eastAsia="bg-BG" w:bidi="yi-Hebr"/>
              </w:rPr>
            </w:pPr>
            <w:r w:rsidRPr="00FC70C2">
              <w:rPr>
                <w:rFonts w:ascii="Arial Narrow" w:hAnsi="Arial Narrow"/>
                <w:sz w:val="20"/>
                <w:szCs w:val="20"/>
                <w:lang w:val="bg-BG" w:eastAsia="bg-BG" w:bidi="yi-Hebr"/>
              </w:rPr>
              <w:t>29,1</w:t>
            </w:r>
          </w:p>
        </w:tc>
        <w:tc>
          <w:tcPr>
            <w:tcW w:w="1442" w:type="dxa"/>
            <w:tcBorders>
              <w:top w:val="nil"/>
              <w:left w:val="single" w:sz="4" w:space="0" w:color="auto"/>
              <w:bottom w:val="single" w:sz="4" w:space="0" w:color="auto"/>
              <w:right w:val="single" w:sz="4" w:space="0" w:color="auto"/>
            </w:tcBorders>
            <w:shd w:val="clear" w:color="auto" w:fill="auto"/>
            <w:vAlign w:val="center"/>
          </w:tcPr>
          <w:p w14:paraId="6795966F" w14:textId="77777777" w:rsidR="00FC70C2" w:rsidRPr="00FC70C2" w:rsidRDefault="00FC70C2" w:rsidP="00FC70C2">
            <w:pPr>
              <w:widowControl w:val="0"/>
              <w:jc w:val="right"/>
              <w:rPr>
                <w:rFonts w:ascii="Arial Narrow" w:hAnsi="Arial Narrow"/>
                <w:sz w:val="20"/>
                <w:szCs w:val="20"/>
                <w:lang w:val="bg-BG" w:eastAsia="bg-BG" w:bidi="yi-Hebr"/>
              </w:rPr>
            </w:pPr>
            <w:r w:rsidRPr="00FC70C2">
              <w:rPr>
                <w:rFonts w:ascii="Arial Narrow" w:hAnsi="Arial Narrow"/>
                <w:sz w:val="20"/>
                <w:szCs w:val="20"/>
                <w:lang w:val="bg-BG" w:eastAsia="bg-BG" w:bidi="yi-Hebr"/>
              </w:rPr>
              <w:t>26,8</w:t>
            </w:r>
          </w:p>
        </w:tc>
        <w:tc>
          <w:tcPr>
            <w:tcW w:w="1250" w:type="dxa"/>
            <w:tcBorders>
              <w:top w:val="nil"/>
              <w:left w:val="nil"/>
              <w:bottom w:val="single" w:sz="4" w:space="0" w:color="auto"/>
              <w:right w:val="single" w:sz="4" w:space="0" w:color="auto"/>
            </w:tcBorders>
            <w:shd w:val="clear" w:color="auto" w:fill="auto"/>
            <w:vAlign w:val="center"/>
          </w:tcPr>
          <w:p w14:paraId="70B9100A" w14:textId="77777777" w:rsidR="00FC70C2" w:rsidRPr="00FC70C2" w:rsidRDefault="00FC70C2" w:rsidP="00FC70C2">
            <w:pPr>
              <w:widowControl w:val="0"/>
              <w:jc w:val="right"/>
              <w:rPr>
                <w:rFonts w:ascii="Arial Narrow" w:hAnsi="Arial Narrow"/>
                <w:sz w:val="20"/>
                <w:szCs w:val="20"/>
                <w:lang w:val="bg-BG" w:eastAsia="bg-BG" w:bidi="yi-Hebr"/>
              </w:rPr>
            </w:pPr>
            <w:r w:rsidRPr="00FC70C2">
              <w:rPr>
                <w:rFonts w:ascii="Arial Narrow" w:hAnsi="Arial Narrow"/>
                <w:sz w:val="20"/>
                <w:szCs w:val="20"/>
                <w:lang w:val="bg-BG" w:eastAsia="bg-BG" w:bidi="yi-Hebr"/>
              </w:rPr>
              <w:t>17,9%</w:t>
            </w:r>
          </w:p>
        </w:tc>
        <w:tc>
          <w:tcPr>
            <w:tcW w:w="1266" w:type="dxa"/>
            <w:tcBorders>
              <w:top w:val="nil"/>
              <w:left w:val="nil"/>
              <w:bottom w:val="single" w:sz="4" w:space="0" w:color="auto"/>
              <w:right w:val="single" w:sz="4" w:space="0" w:color="auto"/>
            </w:tcBorders>
            <w:shd w:val="clear" w:color="auto" w:fill="auto"/>
            <w:vAlign w:val="center"/>
          </w:tcPr>
          <w:p w14:paraId="06A9492C" w14:textId="77777777" w:rsidR="00FC70C2" w:rsidRPr="00FC70C2" w:rsidRDefault="00FC70C2" w:rsidP="00FC70C2">
            <w:pPr>
              <w:widowControl w:val="0"/>
              <w:jc w:val="right"/>
              <w:rPr>
                <w:rFonts w:ascii="Arial Narrow" w:hAnsi="Arial Narrow"/>
                <w:sz w:val="20"/>
                <w:szCs w:val="20"/>
                <w:lang w:val="bg-BG" w:eastAsia="bg-BG" w:bidi="yi-Hebr"/>
              </w:rPr>
            </w:pPr>
            <w:r w:rsidRPr="00FC70C2">
              <w:rPr>
                <w:rFonts w:ascii="Arial Narrow" w:hAnsi="Arial Narrow"/>
                <w:sz w:val="20"/>
                <w:szCs w:val="20"/>
                <w:lang w:val="bg-BG" w:eastAsia="bg-BG" w:bidi="yi-Hebr"/>
              </w:rPr>
              <w:t>25,8</w:t>
            </w:r>
          </w:p>
        </w:tc>
        <w:tc>
          <w:tcPr>
            <w:tcW w:w="1263" w:type="dxa"/>
            <w:tcBorders>
              <w:top w:val="nil"/>
              <w:left w:val="single" w:sz="4" w:space="0" w:color="auto"/>
              <w:bottom w:val="single" w:sz="4" w:space="0" w:color="auto"/>
              <w:right w:val="single" w:sz="4" w:space="0" w:color="auto"/>
            </w:tcBorders>
            <w:shd w:val="clear" w:color="auto" w:fill="auto"/>
            <w:vAlign w:val="center"/>
          </w:tcPr>
          <w:p w14:paraId="2768C213" w14:textId="77777777" w:rsidR="00FC70C2" w:rsidRPr="00FC70C2" w:rsidRDefault="00FC70C2" w:rsidP="00FC70C2">
            <w:pPr>
              <w:widowControl w:val="0"/>
              <w:jc w:val="right"/>
              <w:rPr>
                <w:rFonts w:ascii="Arial Narrow" w:hAnsi="Arial Narrow"/>
                <w:sz w:val="20"/>
                <w:szCs w:val="20"/>
                <w:lang w:val="bg-BG" w:eastAsia="bg-BG" w:bidi="yi-Hebr"/>
              </w:rPr>
            </w:pPr>
            <w:r w:rsidRPr="00FC70C2">
              <w:rPr>
                <w:rFonts w:ascii="Arial Narrow" w:hAnsi="Arial Narrow"/>
                <w:sz w:val="20"/>
                <w:szCs w:val="20"/>
                <w:lang w:val="bg-BG" w:eastAsia="bg-BG" w:bidi="yi-Hebr"/>
              </w:rPr>
              <w:t>23,7</w:t>
            </w:r>
          </w:p>
        </w:tc>
        <w:tc>
          <w:tcPr>
            <w:tcW w:w="1190" w:type="dxa"/>
            <w:tcBorders>
              <w:top w:val="nil"/>
              <w:left w:val="nil"/>
              <w:bottom w:val="single" w:sz="4" w:space="0" w:color="auto"/>
              <w:right w:val="single" w:sz="4" w:space="0" w:color="auto"/>
            </w:tcBorders>
            <w:shd w:val="clear" w:color="auto" w:fill="auto"/>
            <w:vAlign w:val="center"/>
          </w:tcPr>
          <w:p w14:paraId="78EA295E" w14:textId="77777777" w:rsidR="00FC70C2" w:rsidRPr="00FC70C2" w:rsidRDefault="00FC70C2" w:rsidP="00FC70C2">
            <w:pPr>
              <w:widowControl w:val="0"/>
              <w:jc w:val="right"/>
              <w:rPr>
                <w:rFonts w:ascii="Arial Narrow" w:hAnsi="Arial Narrow"/>
                <w:sz w:val="20"/>
                <w:szCs w:val="20"/>
                <w:lang w:val="bg-BG" w:eastAsia="bg-BG" w:bidi="yi-Hebr"/>
              </w:rPr>
            </w:pPr>
            <w:r w:rsidRPr="00FC70C2">
              <w:rPr>
                <w:rFonts w:ascii="Arial Narrow" w:hAnsi="Arial Narrow"/>
                <w:sz w:val="20"/>
                <w:szCs w:val="20"/>
                <w:lang w:val="bg-BG" w:eastAsia="bg-BG" w:bidi="yi-Hebr"/>
              </w:rPr>
              <w:t>18,6%</w:t>
            </w:r>
          </w:p>
        </w:tc>
      </w:tr>
      <w:tr w:rsidR="00FC70C2" w:rsidRPr="00FC70C2" w14:paraId="091DB90F" w14:textId="77777777" w:rsidTr="003A2D79">
        <w:trPr>
          <w:trHeight w:hRule="exact" w:val="340"/>
          <w:jc w:val="center"/>
        </w:trPr>
        <w:tc>
          <w:tcPr>
            <w:tcW w:w="1885" w:type="dxa"/>
            <w:tcBorders>
              <w:top w:val="single" w:sz="4" w:space="0" w:color="auto"/>
              <w:bottom w:val="single" w:sz="4" w:space="0" w:color="auto"/>
              <w:right w:val="single" w:sz="4" w:space="0" w:color="auto"/>
            </w:tcBorders>
            <w:vAlign w:val="center"/>
          </w:tcPr>
          <w:p w14:paraId="5E1B570C" w14:textId="77777777" w:rsidR="00FC70C2" w:rsidRPr="00FC70C2" w:rsidRDefault="00FC70C2" w:rsidP="00FC70C2">
            <w:pPr>
              <w:widowControl w:val="0"/>
              <w:rPr>
                <w:rFonts w:ascii="Arial Narrow" w:hAnsi="Arial Narrow" w:cs="Arial"/>
                <w:sz w:val="20"/>
                <w:szCs w:val="20"/>
                <w:lang w:val="bg-BG"/>
              </w:rPr>
            </w:pPr>
            <w:r w:rsidRPr="00FC70C2">
              <w:rPr>
                <w:rFonts w:ascii="Arial Narrow" w:hAnsi="Arial Narrow" w:cs="Arial"/>
                <w:sz w:val="20"/>
                <w:szCs w:val="20"/>
                <w:lang w:val="bg-BG"/>
              </w:rPr>
              <w:t>Югозападен</w:t>
            </w:r>
          </w:p>
        </w:tc>
        <w:tc>
          <w:tcPr>
            <w:tcW w:w="1500" w:type="dxa"/>
            <w:tcBorders>
              <w:top w:val="nil"/>
              <w:left w:val="nil"/>
              <w:bottom w:val="single" w:sz="4" w:space="0" w:color="auto"/>
              <w:right w:val="single" w:sz="4" w:space="0" w:color="auto"/>
            </w:tcBorders>
            <w:shd w:val="clear" w:color="auto" w:fill="auto"/>
            <w:vAlign w:val="center"/>
          </w:tcPr>
          <w:p w14:paraId="59E7520E" w14:textId="77777777" w:rsidR="00FC70C2" w:rsidRPr="00FC70C2" w:rsidRDefault="00FC70C2" w:rsidP="00FC70C2">
            <w:pPr>
              <w:widowControl w:val="0"/>
              <w:jc w:val="right"/>
              <w:rPr>
                <w:rFonts w:ascii="Arial Narrow" w:hAnsi="Arial Narrow"/>
                <w:sz w:val="20"/>
                <w:szCs w:val="20"/>
                <w:lang w:val="bg-BG" w:eastAsia="bg-BG" w:bidi="yi-Hebr"/>
              </w:rPr>
            </w:pPr>
            <w:r w:rsidRPr="00FC70C2">
              <w:rPr>
                <w:rFonts w:ascii="Arial Narrow" w:hAnsi="Arial Narrow"/>
                <w:sz w:val="20"/>
                <w:szCs w:val="20"/>
                <w:lang w:val="bg-BG" w:eastAsia="bg-BG" w:bidi="yi-Hebr"/>
              </w:rPr>
              <w:t>40,4</w:t>
            </w:r>
          </w:p>
        </w:tc>
        <w:tc>
          <w:tcPr>
            <w:tcW w:w="1442" w:type="dxa"/>
            <w:tcBorders>
              <w:top w:val="nil"/>
              <w:left w:val="single" w:sz="4" w:space="0" w:color="auto"/>
              <w:bottom w:val="single" w:sz="4" w:space="0" w:color="auto"/>
              <w:right w:val="single" w:sz="4" w:space="0" w:color="auto"/>
            </w:tcBorders>
            <w:shd w:val="clear" w:color="auto" w:fill="auto"/>
            <w:vAlign w:val="center"/>
          </w:tcPr>
          <w:p w14:paraId="1A43D61A" w14:textId="77777777" w:rsidR="00FC70C2" w:rsidRPr="00FC70C2" w:rsidRDefault="00FC70C2" w:rsidP="00FC70C2">
            <w:pPr>
              <w:widowControl w:val="0"/>
              <w:jc w:val="right"/>
              <w:rPr>
                <w:rFonts w:ascii="Arial Narrow" w:hAnsi="Arial Narrow"/>
                <w:sz w:val="20"/>
                <w:szCs w:val="20"/>
                <w:lang w:val="bg-BG" w:eastAsia="bg-BG" w:bidi="yi-Hebr"/>
              </w:rPr>
            </w:pPr>
            <w:r w:rsidRPr="00FC70C2">
              <w:rPr>
                <w:rFonts w:ascii="Arial Narrow" w:hAnsi="Arial Narrow"/>
                <w:sz w:val="20"/>
                <w:szCs w:val="20"/>
                <w:lang w:val="bg-BG" w:eastAsia="bg-BG" w:bidi="yi-Hebr"/>
              </w:rPr>
              <w:t>30,6</w:t>
            </w:r>
          </w:p>
        </w:tc>
        <w:tc>
          <w:tcPr>
            <w:tcW w:w="1250" w:type="dxa"/>
            <w:tcBorders>
              <w:top w:val="nil"/>
              <w:left w:val="nil"/>
              <w:bottom w:val="single" w:sz="4" w:space="0" w:color="auto"/>
              <w:right w:val="single" w:sz="4" w:space="0" w:color="auto"/>
            </w:tcBorders>
            <w:shd w:val="clear" w:color="auto" w:fill="auto"/>
            <w:vAlign w:val="center"/>
          </w:tcPr>
          <w:p w14:paraId="37797651" w14:textId="77777777" w:rsidR="00FC70C2" w:rsidRPr="00FC70C2" w:rsidRDefault="00FC70C2" w:rsidP="00FC70C2">
            <w:pPr>
              <w:widowControl w:val="0"/>
              <w:jc w:val="right"/>
              <w:rPr>
                <w:rFonts w:ascii="Arial Narrow" w:hAnsi="Arial Narrow"/>
                <w:sz w:val="20"/>
                <w:szCs w:val="20"/>
                <w:lang w:val="bg-BG" w:eastAsia="bg-BG" w:bidi="yi-Hebr"/>
              </w:rPr>
            </w:pPr>
            <w:r w:rsidRPr="00FC70C2">
              <w:rPr>
                <w:rFonts w:ascii="Arial Narrow" w:hAnsi="Arial Narrow"/>
                <w:sz w:val="20"/>
                <w:szCs w:val="20"/>
                <w:lang w:val="bg-BG" w:eastAsia="bg-BG" w:bidi="yi-Hebr"/>
              </w:rPr>
              <w:t>20,4%</w:t>
            </w:r>
          </w:p>
        </w:tc>
        <w:tc>
          <w:tcPr>
            <w:tcW w:w="1266" w:type="dxa"/>
            <w:tcBorders>
              <w:top w:val="nil"/>
              <w:left w:val="nil"/>
              <w:bottom w:val="single" w:sz="4" w:space="0" w:color="auto"/>
              <w:right w:val="single" w:sz="4" w:space="0" w:color="auto"/>
            </w:tcBorders>
            <w:shd w:val="clear" w:color="auto" w:fill="auto"/>
            <w:vAlign w:val="center"/>
          </w:tcPr>
          <w:p w14:paraId="49BCD738" w14:textId="77777777" w:rsidR="00FC70C2" w:rsidRPr="00FC70C2" w:rsidRDefault="00FC70C2" w:rsidP="00FC70C2">
            <w:pPr>
              <w:widowControl w:val="0"/>
              <w:jc w:val="right"/>
              <w:rPr>
                <w:rFonts w:ascii="Arial Narrow" w:hAnsi="Arial Narrow"/>
                <w:sz w:val="20"/>
                <w:szCs w:val="20"/>
                <w:lang w:val="bg-BG" w:eastAsia="bg-BG" w:bidi="yi-Hebr"/>
              </w:rPr>
            </w:pPr>
            <w:r w:rsidRPr="00FC70C2">
              <w:rPr>
                <w:rFonts w:ascii="Arial Narrow" w:hAnsi="Arial Narrow"/>
                <w:sz w:val="20"/>
                <w:szCs w:val="20"/>
                <w:lang w:val="bg-BG" w:eastAsia="bg-BG" w:bidi="yi-Hebr"/>
              </w:rPr>
              <w:t>30,6</w:t>
            </w:r>
          </w:p>
        </w:tc>
        <w:tc>
          <w:tcPr>
            <w:tcW w:w="1263" w:type="dxa"/>
            <w:tcBorders>
              <w:top w:val="nil"/>
              <w:left w:val="single" w:sz="4" w:space="0" w:color="auto"/>
              <w:bottom w:val="single" w:sz="4" w:space="0" w:color="auto"/>
              <w:right w:val="single" w:sz="4" w:space="0" w:color="auto"/>
            </w:tcBorders>
            <w:shd w:val="clear" w:color="auto" w:fill="auto"/>
            <w:vAlign w:val="center"/>
          </w:tcPr>
          <w:p w14:paraId="6C99585B" w14:textId="77777777" w:rsidR="00FC70C2" w:rsidRPr="00FC70C2" w:rsidRDefault="00FC70C2" w:rsidP="00FC70C2">
            <w:pPr>
              <w:widowControl w:val="0"/>
              <w:jc w:val="right"/>
              <w:rPr>
                <w:rFonts w:ascii="Arial Narrow" w:hAnsi="Arial Narrow"/>
                <w:sz w:val="20"/>
                <w:szCs w:val="20"/>
                <w:lang w:val="bg-BG" w:eastAsia="bg-BG" w:bidi="yi-Hebr"/>
              </w:rPr>
            </w:pPr>
            <w:r w:rsidRPr="00FC70C2">
              <w:rPr>
                <w:rFonts w:ascii="Arial Narrow" w:hAnsi="Arial Narrow"/>
                <w:sz w:val="20"/>
                <w:szCs w:val="20"/>
                <w:lang w:val="bg-BG" w:eastAsia="bg-BG" w:bidi="yi-Hebr"/>
              </w:rPr>
              <w:t>25,3</w:t>
            </w:r>
          </w:p>
        </w:tc>
        <w:tc>
          <w:tcPr>
            <w:tcW w:w="1190" w:type="dxa"/>
            <w:tcBorders>
              <w:top w:val="nil"/>
              <w:left w:val="nil"/>
              <w:bottom w:val="single" w:sz="4" w:space="0" w:color="auto"/>
              <w:right w:val="single" w:sz="4" w:space="0" w:color="auto"/>
            </w:tcBorders>
            <w:shd w:val="clear" w:color="auto" w:fill="auto"/>
            <w:vAlign w:val="center"/>
          </w:tcPr>
          <w:p w14:paraId="51DF932B" w14:textId="77777777" w:rsidR="00FC70C2" w:rsidRPr="00FC70C2" w:rsidRDefault="00FC70C2" w:rsidP="00FC70C2">
            <w:pPr>
              <w:widowControl w:val="0"/>
              <w:jc w:val="right"/>
              <w:rPr>
                <w:rFonts w:ascii="Arial Narrow" w:hAnsi="Arial Narrow"/>
                <w:sz w:val="20"/>
                <w:szCs w:val="20"/>
                <w:lang w:val="bg-BG" w:eastAsia="bg-BG" w:bidi="yi-Hebr"/>
              </w:rPr>
            </w:pPr>
            <w:r w:rsidRPr="00FC70C2">
              <w:rPr>
                <w:rFonts w:ascii="Arial Narrow" w:hAnsi="Arial Narrow"/>
                <w:sz w:val="20"/>
                <w:szCs w:val="20"/>
                <w:lang w:val="bg-BG" w:eastAsia="bg-BG" w:bidi="yi-Hebr"/>
              </w:rPr>
              <w:t>19,8%</w:t>
            </w:r>
          </w:p>
        </w:tc>
      </w:tr>
      <w:tr w:rsidR="00FC70C2" w:rsidRPr="00FC70C2" w14:paraId="708CDF0B" w14:textId="77777777" w:rsidTr="003A2D79">
        <w:trPr>
          <w:trHeight w:hRule="exact" w:val="340"/>
          <w:jc w:val="center"/>
        </w:trPr>
        <w:tc>
          <w:tcPr>
            <w:tcW w:w="1885" w:type="dxa"/>
            <w:tcBorders>
              <w:top w:val="single" w:sz="4" w:space="0" w:color="auto"/>
              <w:bottom w:val="single" w:sz="4" w:space="0" w:color="auto"/>
              <w:right w:val="single" w:sz="4" w:space="0" w:color="auto"/>
            </w:tcBorders>
            <w:vAlign w:val="center"/>
          </w:tcPr>
          <w:p w14:paraId="54511F28" w14:textId="77777777" w:rsidR="00FC70C2" w:rsidRPr="00FC70C2" w:rsidRDefault="00FC70C2" w:rsidP="00FC70C2">
            <w:pPr>
              <w:widowControl w:val="0"/>
              <w:rPr>
                <w:rFonts w:ascii="Arial Narrow" w:hAnsi="Arial Narrow" w:cs="Arial"/>
                <w:sz w:val="20"/>
                <w:szCs w:val="20"/>
                <w:lang w:val="bg-BG"/>
              </w:rPr>
            </w:pPr>
            <w:r w:rsidRPr="00FC70C2">
              <w:rPr>
                <w:rFonts w:ascii="Arial Narrow" w:hAnsi="Arial Narrow" w:cs="Arial"/>
                <w:sz w:val="20"/>
                <w:szCs w:val="20"/>
                <w:lang w:val="bg-BG"/>
              </w:rPr>
              <w:t>Южен централен</w:t>
            </w:r>
          </w:p>
        </w:tc>
        <w:tc>
          <w:tcPr>
            <w:tcW w:w="1500" w:type="dxa"/>
            <w:tcBorders>
              <w:top w:val="nil"/>
              <w:left w:val="nil"/>
              <w:bottom w:val="single" w:sz="4" w:space="0" w:color="auto"/>
              <w:right w:val="single" w:sz="4" w:space="0" w:color="auto"/>
            </w:tcBorders>
            <w:shd w:val="clear" w:color="auto" w:fill="auto"/>
            <w:vAlign w:val="center"/>
          </w:tcPr>
          <w:p w14:paraId="47252FE7" w14:textId="77777777" w:rsidR="00FC70C2" w:rsidRPr="00FC70C2" w:rsidRDefault="00FC70C2" w:rsidP="00FC70C2">
            <w:pPr>
              <w:widowControl w:val="0"/>
              <w:jc w:val="right"/>
              <w:rPr>
                <w:rFonts w:ascii="Arial Narrow" w:hAnsi="Arial Narrow"/>
                <w:sz w:val="20"/>
                <w:szCs w:val="20"/>
                <w:lang w:val="bg-BG" w:eastAsia="bg-BG" w:bidi="yi-Hebr"/>
              </w:rPr>
            </w:pPr>
            <w:r w:rsidRPr="00FC70C2">
              <w:rPr>
                <w:rFonts w:ascii="Arial Narrow" w:hAnsi="Arial Narrow"/>
                <w:sz w:val="20"/>
                <w:szCs w:val="20"/>
                <w:lang w:val="bg-BG" w:eastAsia="bg-BG" w:bidi="yi-Hebr"/>
              </w:rPr>
              <w:t>33,3</w:t>
            </w:r>
          </w:p>
        </w:tc>
        <w:tc>
          <w:tcPr>
            <w:tcW w:w="1442" w:type="dxa"/>
            <w:tcBorders>
              <w:top w:val="nil"/>
              <w:left w:val="single" w:sz="4" w:space="0" w:color="auto"/>
              <w:bottom w:val="single" w:sz="4" w:space="0" w:color="auto"/>
              <w:right w:val="single" w:sz="4" w:space="0" w:color="auto"/>
            </w:tcBorders>
            <w:shd w:val="clear" w:color="auto" w:fill="auto"/>
            <w:vAlign w:val="center"/>
          </w:tcPr>
          <w:p w14:paraId="78AB79BF" w14:textId="77777777" w:rsidR="00FC70C2" w:rsidRPr="00FC70C2" w:rsidRDefault="00FC70C2" w:rsidP="00FC70C2">
            <w:pPr>
              <w:widowControl w:val="0"/>
              <w:jc w:val="right"/>
              <w:rPr>
                <w:rFonts w:ascii="Arial Narrow" w:hAnsi="Arial Narrow"/>
                <w:sz w:val="20"/>
                <w:szCs w:val="20"/>
                <w:lang w:val="bg-BG" w:eastAsia="bg-BG" w:bidi="yi-Hebr"/>
              </w:rPr>
            </w:pPr>
            <w:r w:rsidRPr="00FC70C2">
              <w:rPr>
                <w:rFonts w:ascii="Arial Narrow" w:hAnsi="Arial Narrow"/>
                <w:sz w:val="20"/>
                <w:szCs w:val="20"/>
                <w:lang w:val="bg-BG" w:eastAsia="bg-BG" w:bidi="yi-Hebr"/>
              </w:rPr>
              <w:t>29,1</w:t>
            </w:r>
          </w:p>
        </w:tc>
        <w:tc>
          <w:tcPr>
            <w:tcW w:w="1250" w:type="dxa"/>
            <w:tcBorders>
              <w:top w:val="nil"/>
              <w:left w:val="nil"/>
              <w:bottom w:val="single" w:sz="4" w:space="0" w:color="auto"/>
              <w:right w:val="single" w:sz="4" w:space="0" w:color="auto"/>
            </w:tcBorders>
            <w:shd w:val="clear" w:color="auto" w:fill="auto"/>
            <w:vAlign w:val="center"/>
          </w:tcPr>
          <w:p w14:paraId="656A8381" w14:textId="77777777" w:rsidR="00FC70C2" w:rsidRPr="00FC70C2" w:rsidRDefault="00FC70C2" w:rsidP="00FC70C2">
            <w:pPr>
              <w:widowControl w:val="0"/>
              <w:jc w:val="right"/>
              <w:rPr>
                <w:rFonts w:ascii="Arial Narrow" w:hAnsi="Arial Narrow"/>
                <w:sz w:val="20"/>
                <w:szCs w:val="20"/>
                <w:lang w:val="bg-BG" w:eastAsia="bg-BG" w:bidi="yi-Hebr"/>
              </w:rPr>
            </w:pPr>
            <w:r w:rsidRPr="00FC70C2">
              <w:rPr>
                <w:rFonts w:ascii="Arial Narrow" w:hAnsi="Arial Narrow"/>
                <w:sz w:val="20"/>
                <w:szCs w:val="20"/>
                <w:lang w:val="bg-BG" w:eastAsia="bg-BG" w:bidi="yi-Hebr"/>
              </w:rPr>
              <w:t>19,4%</w:t>
            </w:r>
          </w:p>
        </w:tc>
        <w:tc>
          <w:tcPr>
            <w:tcW w:w="1266" w:type="dxa"/>
            <w:tcBorders>
              <w:top w:val="nil"/>
              <w:left w:val="nil"/>
              <w:bottom w:val="single" w:sz="4" w:space="0" w:color="auto"/>
              <w:right w:val="single" w:sz="4" w:space="0" w:color="auto"/>
            </w:tcBorders>
            <w:shd w:val="clear" w:color="auto" w:fill="auto"/>
            <w:vAlign w:val="center"/>
          </w:tcPr>
          <w:p w14:paraId="4243D417" w14:textId="77777777" w:rsidR="00FC70C2" w:rsidRPr="00FC70C2" w:rsidRDefault="00FC70C2" w:rsidP="00FC70C2">
            <w:pPr>
              <w:widowControl w:val="0"/>
              <w:jc w:val="right"/>
              <w:rPr>
                <w:rFonts w:ascii="Arial Narrow" w:hAnsi="Arial Narrow"/>
                <w:sz w:val="20"/>
                <w:szCs w:val="20"/>
                <w:lang w:val="bg-BG" w:eastAsia="bg-BG" w:bidi="yi-Hebr"/>
              </w:rPr>
            </w:pPr>
            <w:r w:rsidRPr="00FC70C2">
              <w:rPr>
                <w:rFonts w:ascii="Arial Narrow" w:hAnsi="Arial Narrow"/>
                <w:sz w:val="20"/>
                <w:szCs w:val="20"/>
                <w:lang w:val="bg-BG" w:eastAsia="bg-BG" w:bidi="yi-Hebr"/>
              </w:rPr>
              <w:t>29,6</w:t>
            </w:r>
          </w:p>
        </w:tc>
        <w:tc>
          <w:tcPr>
            <w:tcW w:w="1263" w:type="dxa"/>
            <w:tcBorders>
              <w:top w:val="nil"/>
              <w:left w:val="single" w:sz="4" w:space="0" w:color="auto"/>
              <w:bottom w:val="single" w:sz="4" w:space="0" w:color="auto"/>
              <w:right w:val="single" w:sz="4" w:space="0" w:color="auto"/>
            </w:tcBorders>
            <w:shd w:val="clear" w:color="auto" w:fill="auto"/>
            <w:vAlign w:val="center"/>
          </w:tcPr>
          <w:p w14:paraId="3F2C433B" w14:textId="77777777" w:rsidR="00FC70C2" w:rsidRPr="00FC70C2" w:rsidRDefault="00FC70C2" w:rsidP="00FC70C2">
            <w:pPr>
              <w:widowControl w:val="0"/>
              <w:jc w:val="right"/>
              <w:rPr>
                <w:rFonts w:ascii="Arial Narrow" w:hAnsi="Arial Narrow"/>
                <w:sz w:val="20"/>
                <w:szCs w:val="20"/>
                <w:lang w:val="bg-BG" w:eastAsia="bg-BG" w:bidi="yi-Hebr"/>
              </w:rPr>
            </w:pPr>
            <w:r w:rsidRPr="00FC70C2">
              <w:rPr>
                <w:rFonts w:ascii="Arial Narrow" w:hAnsi="Arial Narrow"/>
                <w:sz w:val="20"/>
                <w:szCs w:val="20"/>
                <w:lang w:val="bg-BG" w:eastAsia="bg-BG" w:bidi="yi-Hebr"/>
              </w:rPr>
              <w:t>25,5</w:t>
            </w:r>
          </w:p>
        </w:tc>
        <w:tc>
          <w:tcPr>
            <w:tcW w:w="1190" w:type="dxa"/>
            <w:tcBorders>
              <w:top w:val="nil"/>
              <w:left w:val="nil"/>
              <w:bottom w:val="single" w:sz="4" w:space="0" w:color="auto"/>
              <w:right w:val="single" w:sz="4" w:space="0" w:color="auto"/>
            </w:tcBorders>
            <w:shd w:val="clear" w:color="auto" w:fill="auto"/>
            <w:vAlign w:val="center"/>
          </w:tcPr>
          <w:p w14:paraId="201C1636" w14:textId="77777777" w:rsidR="00FC70C2" w:rsidRPr="00FC70C2" w:rsidRDefault="00FC70C2" w:rsidP="00FC70C2">
            <w:pPr>
              <w:widowControl w:val="0"/>
              <w:jc w:val="right"/>
              <w:rPr>
                <w:rFonts w:ascii="Arial Narrow" w:hAnsi="Arial Narrow"/>
                <w:sz w:val="20"/>
                <w:szCs w:val="20"/>
                <w:lang w:val="bg-BG" w:eastAsia="bg-BG" w:bidi="yi-Hebr"/>
              </w:rPr>
            </w:pPr>
            <w:r w:rsidRPr="00FC70C2">
              <w:rPr>
                <w:rFonts w:ascii="Arial Narrow" w:hAnsi="Arial Narrow"/>
                <w:sz w:val="20"/>
                <w:szCs w:val="20"/>
                <w:lang w:val="bg-BG" w:eastAsia="bg-BG" w:bidi="yi-Hebr"/>
              </w:rPr>
              <w:t>20,0%</w:t>
            </w:r>
          </w:p>
        </w:tc>
      </w:tr>
      <w:tr w:rsidR="00FC70C2" w:rsidRPr="00FC70C2" w14:paraId="2F013F70" w14:textId="77777777" w:rsidTr="003A2D79">
        <w:trPr>
          <w:trHeight w:hRule="exact" w:val="340"/>
          <w:jc w:val="center"/>
        </w:trPr>
        <w:tc>
          <w:tcPr>
            <w:tcW w:w="1885" w:type="dxa"/>
            <w:tcBorders>
              <w:top w:val="single" w:sz="4" w:space="0" w:color="auto"/>
              <w:bottom w:val="single" w:sz="4" w:space="0" w:color="auto"/>
              <w:right w:val="single" w:sz="4" w:space="0" w:color="auto"/>
            </w:tcBorders>
            <w:vAlign w:val="center"/>
          </w:tcPr>
          <w:p w14:paraId="6755A97F" w14:textId="77777777" w:rsidR="00FC70C2" w:rsidRPr="00FC70C2" w:rsidRDefault="00FC70C2" w:rsidP="00FC70C2">
            <w:pPr>
              <w:widowControl w:val="0"/>
              <w:rPr>
                <w:rFonts w:ascii="Arial Narrow" w:hAnsi="Arial Narrow" w:cs="Arial"/>
                <w:b/>
                <w:sz w:val="20"/>
                <w:szCs w:val="20"/>
                <w:lang w:val="bg-BG"/>
              </w:rPr>
            </w:pPr>
            <w:r w:rsidRPr="00FC70C2">
              <w:rPr>
                <w:rFonts w:ascii="Arial Narrow" w:hAnsi="Arial Narrow" w:cs="Arial"/>
                <w:b/>
                <w:sz w:val="20"/>
                <w:szCs w:val="20"/>
                <w:lang w:val="bg-BG"/>
              </w:rPr>
              <w:t>Общо за страната</w:t>
            </w:r>
          </w:p>
        </w:tc>
        <w:tc>
          <w:tcPr>
            <w:tcW w:w="1500" w:type="dxa"/>
            <w:tcBorders>
              <w:top w:val="nil"/>
              <w:left w:val="nil"/>
              <w:bottom w:val="single" w:sz="4" w:space="0" w:color="auto"/>
              <w:right w:val="single" w:sz="4" w:space="0" w:color="auto"/>
            </w:tcBorders>
            <w:shd w:val="clear" w:color="auto" w:fill="auto"/>
            <w:vAlign w:val="center"/>
          </w:tcPr>
          <w:p w14:paraId="5C545AC1" w14:textId="77777777" w:rsidR="00FC70C2" w:rsidRPr="00FC70C2" w:rsidRDefault="00FC70C2" w:rsidP="00FC70C2">
            <w:pPr>
              <w:widowControl w:val="0"/>
              <w:jc w:val="right"/>
              <w:rPr>
                <w:rFonts w:ascii="Arial Narrow" w:hAnsi="Arial Narrow"/>
                <w:b/>
                <w:bCs/>
                <w:sz w:val="20"/>
                <w:szCs w:val="20"/>
                <w:lang w:val="bg-BG" w:eastAsia="bg-BG" w:bidi="yi-Hebr"/>
              </w:rPr>
            </w:pPr>
            <w:r w:rsidRPr="00FC70C2">
              <w:rPr>
                <w:rFonts w:ascii="Arial Narrow" w:hAnsi="Arial Narrow"/>
                <w:b/>
                <w:bCs/>
                <w:sz w:val="20"/>
                <w:szCs w:val="20"/>
                <w:lang w:val="bg-BG" w:eastAsia="bg-BG" w:bidi="yi-Hebr"/>
              </w:rPr>
              <w:t>175,0</w:t>
            </w:r>
          </w:p>
        </w:tc>
        <w:tc>
          <w:tcPr>
            <w:tcW w:w="1442" w:type="dxa"/>
            <w:tcBorders>
              <w:top w:val="nil"/>
              <w:left w:val="single" w:sz="4" w:space="0" w:color="auto"/>
              <w:bottom w:val="single" w:sz="4" w:space="0" w:color="auto"/>
              <w:right w:val="single" w:sz="4" w:space="0" w:color="auto"/>
            </w:tcBorders>
            <w:shd w:val="clear" w:color="auto" w:fill="auto"/>
            <w:vAlign w:val="center"/>
          </w:tcPr>
          <w:p w14:paraId="2B2A945A" w14:textId="77777777" w:rsidR="00FC70C2" w:rsidRPr="00FC70C2" w:rsidRDefault="00FC70C2" w:rsidP="00FC70C2">
            <w:pPr>
              <w:widowControl w:val="0"/>
              <w:jc w:val="right"/>
              <w:rPr>
                <w:rFonts w:ascii="Arial Narrow" w:hAnsi="Arial Narrow"/>
                <w:b/>
                <w:sz w:val="20"/>
                <w:szCs w:val="20"/>
                <w:lang w:val="bg-BG" w:eastAsia="bg-BG" w:bidi="yi-Hebr"/>
              </w:rPr>
            </w:pPr>
            <w:r w:rsidRPr="00FC70C2">
              <w:rPr>
                <w:rFonts w:ascii="Arial Narrow" w:hAnsi="Arial Narrow"/>
                <w:b/>
                <w:sz w:val="20"/>
                <w:szCs w:val="20"/>
                <w:lang w:val="bg-BG" w:eastAsia="bg-BG" w:bidi="yi-Hebr"/>
              </w:rPr>
              <w:t>150,0</w:t>
            </w:r>
          </w:p>
        </w:tc>
        <w:tc>
          <w:tcPr>
            <w:tcW w:w="1250" w:type="dxa"/>
            <w:tcBorders>
              <w:top w:val="nil"/>
              <w:left w:val="nil"/>
              <w:bottom w:val="single" w:sz="4" w:space="0" w:color="auto"/>
              <w:right w:val="single" w:sz="4" w:space="0" w:color="auto"/>
            </w:tcBorders>
            <w:shd w:val="clear" w:color="auto" w:fill="auto"/>
            <w:vAlign w:val="center"/>
          </w:tcPr>
          <w:p w14:paraId="1B8A0C4D" w14:textId="77777777" w:rsidR="00FC70C2" w:rsidRPr="00FC70C2" w:rsidRDefault="00FC70C2" w:rsidP="00FC70C2">
            <w:pPr>
              <w:widowControl w:val="0"/>
              <w:jc w:val="right"/>
              <w:rPr>
                <w:rFonts w:ascii="Arial Narrow" w:hAnsi="Arial Narrow"/>
                <w:b/>
                <w:sz w:val="20"/>
                <w:szCs w:val="20"/>
                <w:lang w:val="bg-BG" w:eastAsia="bg-BG" w:bidi="yi-Hebr"/>
              </w:rPr>
            </w:pPr>
            <w:r w:rsidRPr="00FC70C2">
              <w:rPr>
                <w:rFonts w:ascii="Arial Narrow" w:hAnsi="Arial Narrow"/>
                <w:b/>
                <w:sz w:val="20"/>
                <w:szCs w:val="20"/>
                <w:lang w:val="bg-BG" w:eastAsia="bg-BG" w:bidi="yi-Hebr"/>
              </w:rPr>
              <w:t>100%</w:t>
            </w:r>
          </w:p>
        </w:tc>
        <w:tc>
          <w:tcPr>
            <w:tcW w:w="1266" w:type="dxa"/>
            <w:tcBorders>
              <w:top w:val="nil"/>
              <w:left w:val="nil"/>
              <w:bottom w:val="single" w:sz="4" w:space="0" w:color="auto"/>
              <w:right w:val="single" w:sz="4" w:space="0" w:color="auto"/>
            </w:tcBorders>
            <w:shd w:val="clear" w:color="auto" w:fill="auto"/>
            <w:vAlign w:val="center"/>
          </w:tcPr>
          <w:p w14:paraId="1A06A404" w14:textId="77777777" w:rsidR="00FC70C2" w:rsidRPr="00FC70C2" w:rsidRDefault="00FC70C2" w:rsidP="00FC70C2">
            <w:pPr>
              <w:widowControl w:val="0"/>
              <w:jc w:val="right"/>
              <w:rPr>
                <w:rFonts w:ascii="Arial Narrow" w:hAnsi="Arial Narrow"/>
                <w:b/>
                <w:sz w:val="20"/>
                <w:szCs w:val="20"/>
                <w:lang w:val="bg-BG" w:eastAsia="bg-BG" w:bidi="yi-Hebr"/>
              </w:rPr>
            </w:pPr>
            <w:r w:rsidRPr="00FC70C2">
              <w:rPr>
                <w:rFonts w:ascii="Arial Narrow" w:hAnsi="Arial Narrow"/>
                <w:b/>
                <w:sz w:val="20"/>
                <w:szCs w:val="20"/>
                <w:lang w:val="bg-BG" w:eastAsia="bg-BG" w:bidi="yi-Hebr"/>
              </w:rPr>
              <w:t>145,3</w:t>
            </w:r>
          </w:p>
        </w:tc>
        <w:tc>
          <w:tcPr>
            <w:tcW w:w="1263" w:type="dxa"/>
            <w:tcBorders>
              <w:top w:val="nil"/>
              <w:left w:val="single" w:sz="4" w:space="0" w:color="auto"/>
              <w:bottom w:val="single" w:sz="4" w:space="0" w:color="auto"/>
              <w:right w:val="single" w:sz="4" w:space="0" w:color="auto"/>
            </w:tcBorders>
            <w:shd w:val="clear" w:color="auto" w:fill="auto"/>
            <w:vAlign w:val="center"/>
          </w:tcPr>
          <w:p w14:paraId="0BCEF038" w14:textId="77777777" w:rsidR="00FC70C2" w:rsidRPr="00FC70C2" w:rsidRDefault="00FC70C2" w:rsidP="00FC70C2">
            <w:pPr>
              <w:widowControl w:val="0"/>
              <w:jc w:val="right"/>
              <w:rPr>
                <w:rFonts w:ascii="Arial Narrow" w:hAnsi="Arial Narrow"/>
                <w:b/>
                <w:sz w:val="20"/>
                <w:szCs w:val="20"/>
                <w:lang w:val="bg-BG" w:eastAsia="bg-BG" w:bidi="yi-Hebr"/>
              </w:rPr>
            </w:pPr>
            <w:r w:rsidRPr="00FC70C2">
              <w:rPr>
                <w:rFonts w:ascii="Arial Narrow" w:hAnsi="Arial Narrow"/>
                <w:b/>
                <w:sz w:val="20"/>
                <w:szCs w:val="20"/>
                <w:lang w:val="bg-BG" w:eastAsia="bg-BG" w:bidi="yi-Hebr"/>
              </w:rPr>
              <w:t>127,8</w:t>
            </w:r>
          </w:p>
        </w:tc>
        <w:tc>
          <w:tcPr>
            <w:tcW w:w="1190" w:type="dxa"/>
            <w:tcBorders>
              <w:top w:val="nil"/>
              <w:left w:val="nil"/>
              <w:bottom w:val="single" w:sz="4" w:space="0" w:color="auto"/>
              <w:right w:val="single" w:sz="4" w:space="0" w:color="auto"/>
            </w:tcBorders>
            <w:shd w:val="clear" w:color="auto" w:fill="auto"/>
            <w:vAlign w:val="center"/>
          </w:tcPr>
          <w:p w14:paraId="1CE241C1" w14:textId="77777777" w:rsidR="00FC70C2" w:rsidRPr="00FC70C2" w:rsidRDefault="00FC70C2" w:rsidP="00FC70C2">
            <w:pPr>
              <w:widowControl w:val="0"/>
              <w:jc w:val="right"/>
              <w:rPr>
                <w:rFonts w:ascii="Arial Narrow" w:hAnsi="Arial Narrow"/>
                <w:b/>
                <w:sz w:val="20"/>
                <w:szCs w:val="20"/>
                <w:lang w:val="bg-BG" w:eastAsia="bg-BG" w:bidi="yi-Hebr"/>
              </w:rPr>
            </w:pPr>
            <w:r w:rsidRPr="00FC70C2">
              <w:rPr>
                <w:rFonts w:ascii="Arial Narrow" w:hAnsi="Arial Narrow"/>
                <w:b/>
                <w:sz w:val="20"/>
                <w:szCs w:val="20"/>
                <w:lang w:val="bg-BG" w:eastAsia="bg-BG" w:bidi="yi-Hebr"/>
              </w:rPr>
              <w:t>100%</w:t>
            </w:r>
          </w:p>
        </w:tc>
      </w:tr>
    </w:tbl>
    <w:p w14:paraId="5DEB799D" w14:textId="77777777" w:rsidR="00FC70C2" w:rsidRPr="00725099" w:rsidRDefault="00FC70C2" w:rsidP="00FC70C2">
      <w:pPr>
        <w:widowControl w:val="0"/>
        <w:spacing w:after="240" w:line="259" w:lineRule="auto"/>
        <w:jc w:val="both"/>
        <w:rPr>
          <w:rFonts w:ascii="Arial Narrow" w:eastAsia="Calibri" w:hAnsi="Arial Narrow" w:cs="Arial"/>
          <w:i/>
          <w:sz w:val="18"/>
          <w:szCs w:val="18"/>
          <w:lang w:val="bg-BG"/>
        </w:rPr>
      </w:pPr>
      <w:r w:rsidRPr="00725099">
        <w:rPr>
          <w:rFonts w:ascii="Arial Narrow" w:eastAsia="Calibri" w:hAnsi="Arial Narrow" w:cs="Arial"/>
          <w:i/>
          <w:sz w:val="18"/>
          <w:szCs w:val="18"/>
          <w:lang w:val="bg-BG"/>
        </w:rPr>
        <w:lastRenderedPageBreak/>
        <w:t xml:space="preserve">Източник: МЗХ, отдел „Агростатистика” </w:t>
      </w:r>
    </w:p>
    <w:p w14:paraId="2DA55247" w14:textId="77777777" w:rsidR="00FC70C2" w:rsidRPr="00FC70C2" w:rsidRDefault="00FC70C2" w:rsidP="00FC70C2">
      <w:pPr>
        <w:widowControl w:val="0"/>
        <w:autoSpaceDE w:val="0"/>
        <w:autoSpaceDN w:val="0"/>
        <w:adjustRightInd w:val="0"/>
        <w:spacing w:after="120"/>
        <w:ind w:firstLine="706"/>
        <w:jc w:val="both"/>
        <w:rPr>
          <w:rFonts w:ascii="Arial Narrow" w:eastAsia="Calibri" w:hAnsi="Arial Narrow" w:cs="Arial"/>
          <w:lang w:val="bg-BG" w:eastAsia="bg-BG"/>
        </w:rPr>
      </w:pPr>
      <w:r w:rsidRPr="00FC70C2">
        <w:rPr>
          <w:rFonts w:ascii="Arial Narrow" w:eastAsia="Calibri" w:hAnsi="Arial Narrow" w:cs="Arial"/>
          <w:lang w:val="bg-BG" w:eastAsia="bg-BG"/>
        </w:rPr>
        <w:t xml:space="preserve">Към края на 2024 г. общият брой кози е с 14,3% по-малко на годишна база. При всички категории кози се наблюдава намаление спрямо предходната година както следва: кози майки – с 12%, млади кози, заплодени за първи път - с 16,7%, ярета – с 28,6% и пръчове - с 27,4%. </w:t>
      </w:r>
    </w:p>
    <w:p w14:paraId="3A524A41" w14:textId="77777777" w:rsidR="00FC70C2" w:rsidRPr="00FC70C2" w:rsidRDefault="00FC70C2" w:rsidP="00FC70C2">
      <w:pPr>
        <w:widowControl w:val="0"/>
        <w:autoSpaceDE w:val="0"/>
        <w:autoSpaceDN w:val="0"/>
        <w:adjustRightInd w:val="0"/>
        <w:spacing w:after="120"/>
        <w:ind w:firstLine="706"/>
        <w:jc w:val="both"/>
        <w:rPr>
          <w:rFonts w:ascii="Arial Narrow" w:eastAsia="Calibri" w:hAnsi="Arial Narrow" w:cs="Arial"/>
          <w:lang w:val="bg-BG" w:eastAsia="bg-BG"/>
        </w:rPr>
      </w:pPr>
      <w:r w:rsidRPr="00FC70C2">
        <w:rPr>
          <w:rFonts w:ascii="Arial Narrow" w:eastAsia="Calibri" w:hAnsi="Arial Narrow" w:cs="Arial"/>
          <w:lang w:val="bg-BG" w:eastAsia="bg-BG"/>
        </w:rPr>
        <w:t xml:space="preserve">Налице е съществен спад на стопанствата с кози – с 29,4% при фермите, отглеждащи кози общо и с 28% - при тези с кози майки. </w:t>
      </w:r>
    </w:p>
    <w:p w14:paraId="01F77F00" w14:textId="77777777" w:rsidR="00FC70C2" w:rsidRPr="00FC70C2" w:rsidRDefault="00FC70C2" w:rsidP="00FC70C2">
      <w:pPr>
        <w:widowControl w:val="0"/>
        <w:autoSpaceDE w:val="0"/>
        <w:autoSpaceDN w:val="0"/>
        <w:adjustRightInd w:val="0"/>
        <w:spacing w:after="120"/>
        <w:ind w:firstLine="706"/>
        <w:jc w:val="both"/>
        <w:rPr>
          <w:rFonts w:ascii="Arial Narrow" w:eastAsia="Calibri" w:hAnsi="Arial Narrow" w:cs="Arial"/>
          <w:lang w:val="bg-BG" w:eastAsia="bg-BG"/>
        </w:rPr>
      </w:pPr>
      <w:r w:rsidRPr="00FC70C2">
        <w:rPr>
          <w:rFonts w:ascii="Arial Narrow" w:eastAsia="Calibri" w:hAnsi="Arial Narrow" w:cs="Arial"/>
          <w:lang w:val="bg-BG" w:eastAsia="bg-BG"/>
        </w:rPr>
        <w:t xml:space="preserve">През 2024 г. са регистрирани 3 615 броя стопанства със заплодени кози, което е с 27,2% по-малко спрямо предходната година, а животните в тях намаляват с 12,3% (до 134,5 хил. броя). Най-сериозно намаляват малките стопанства с 1 - 9 животни - с 36,6% и 10 - 19 броя - с 28,9%, както и козите в тях, съответно с 38,8% и с 31,7%. Стопанствата с 20 - 49 заплодени кози са със 7,5% по-малко, а животните в тях – с 9,4%. С 15% се свиват големите ферми със 100 и повече животни, а козите, отглеждани в тях – с 13,9%. Независимо от отчетеното намаление, тази категория стопанства запазва своя дял от около 60% от общо заплодените кози. Изключение правят фермите с 50 - 99 броя, които нарастват с 2,5%, а животните в тях - със 7,3%.  </w:t>
      </w:r>
    </w:p>
    <w:p w14:paraId="0ECFDF3F" w14:textId="77777777" w:rsidR="00FC70C2" w:rsidRPr="00FC70C2" w:rsidRDefault="00FC70C2" w:rsidP="00FC70C2">
      <w:pPr>
        <w:widowControl w:val="0"/>
        <w:autoSpaceDE w:val="0"/>
        <w:autoSpaceDN w:val="0"/>
        <w:adjustRightInd w:val="0"/>
        <w:spacing w:after="120"/>
        <w:ind w:firstLine="706"/>
        <w:jc w:val="both"/>
        <w:rPr>
          <w:rFonts w:ascii="Arial Narrow" w:eastAsia="Calibri" w:hAnsi="Arial Narrow" w:cs="Arial"/>
          <w:lang w:val="bg-BG" w:eastAsia="bg-BG"/>
        </w:rPr>
      </w:pPr>
      <w:r w:rsidRPr="00FC70C2">
        <w:rPr>
          <w:rFonts w:ascii="Arial Narrow" w:eastAsia="Calibri" w:hAnsi="Arial Narrow" w:cs="Arial"/>
          <w:lang w:val="bg-BG" w:eastAsia="bg-BG"/>
        </w:rPr>
        <w:t>Около 60% от поголовието кози през 2024 г. се отглеждат в южните райони на страната. Водещ остава Югозападен район с дял от 20,4% от общия им брой и около 19,8% от козите майки. Най-много кози майки се отглеждат в Южен централен район - 20%.</w:t>
      </w:r>
    </w:p>
    <w:p w14:paraId="57B428DD" w14:textId="77777777" w:rsidR="00FC70C2" w:rsidRPr="00FC70C2" w:rsidRDefault="00FC70C2" w:rsidP="00FC70C2">
      <w:pPr>
        <w:widowControl w:val="0"/>
        <w:autoSpaceDE w:val="0"/>
        <w:autoSpaceDN w:val="0"/>
        <w:adjustRightInd w:val="0"/>
        <w:spacing w:after="120"/>
        <w:ind w:firstLine="706"/>
        <w:jc w:val="both"/>
        <w:rPr>
          <w:rFonts w:ascii="Arial Narrow" w:eastAsia="Calibri" w:hAnsi="Arial Narrow" w:cs="Arial"/>
          <w:lang w:eastAsia="bg-BG"/>
        </w:rPr>
      </w:pPr>
      <w:r w:rsidRPr="00FC70C2">
        <w:rPr>
          <w:rFonts w:ascii="Arial Narrow" w:eastAsia="Calibri" w:hAnsi="Arial Narrow" w:cs="Arial"/>
          <w:lang w:val="bg-BG" w:eastAsia="bg-BG"/>
        </w:rPr>
        <w:t xml:space="preserve">През 2024 г. в страната са произведени общо 67 492 хил. литра сурово мляко от дребен рогат добитък, в т.ч.: 48 125 хил. литра овче и 19 367 хил. литра козе, което е съответно с 4,2% и 0,8% по-малко на годишна база. </w:t>
      </w:r>
    </w:p>
    <w:p w14:paraId="359080E0" w14:textId="77777777" w:rsidR="00FC70C2" w:rsidRPr="00FC70C2" w:rsidRDefault="00FC70C2" w:rsidP="00FC70C2">
      <w:pPr>
        <w:widowControl w:val="0"/>
        <w:autoSpaceDE w:val="0"/>
        <w:autoSpaceDN w:val="0"/>
        <w:adjustRightInd w:val="0"/>
        <w:spacing w:after="120"/>
        <w:ind w:firstLine="706"/>
        <w:jc w:val="both"/>
        <w:rPr>
          <w:rFonts w:ascii="Arial Narrow" w:eastAsia="Calibri" w:hAnsi="Arial Narrow" w:cs="Arial"/>
          <w:lang w:eastAsia="bg-BG"/>
        </w:rPr>
      </w:pPr>
      <w:r w:rsidRPr="00FC70C2">
        <w:rPr>
          <w:rFonts w:ascii="Arial Narrow" w:eastAsia="Calibri" w:hAnsi="Arial Narrow" w:cs="Arial"/>
          <w:lang w:val="bg-BG" w:eastAsia="bg-BG"/>
        </w:rPr>
        <w:t>Добивът на месо от ДРД през 202</w:t>
      </w:r>
      <w:r w:rsidRPr="00FC70C2">
        <w:rPr>
          <w:rFonts w:ascii="Arial Narrow" w:eastAsia="Calibri" w:hAnsi="Arial Narrow" w:cs="Arial"/>
          <w:lang w:eastAsia="bg-BG"/>
        </w:rPr>
        <w:t>4</w:t>
      </w:r>
      <w:r w:rsidRPr="00FC70C2">
        <w:rPr>
          <w:rFonts w:ascii="Arial Narrow" w:eastAsia="Calibri" w:hAnsi="Arial Narrow" w:cs="Arial"/>
          <w:lang w:val="bg-BG" w:eastAsia="bg-BG"/>
        </w:rPr>
        <w:t xml:space="preserve"> г. e в размер на 9 </w:t>
      </w:r>
      <w:r w:rsidRPr="00FC70C2">
        <w:rPr>
          <w:rFonts w:ascii="Arial Narrow" w:eastAsia="Calibri" w:hAnsi="Arial Narrow" w:cs="Arial"/>
          <w:lang w:eastAsia="bg-BG"/>
        </w:rPr>
        <w:t>674</w:t>
      </w:r>
      <w:r w:rsidRPr="00FC70C2">
        <w:rPr>
          <w:rFonts w:ascii="Arial Narrow" w:eastAsia="Calibri" w:hAnsi="Arial Narrow" w:cs="Arial"/>
          <w:lang w:val="bg-BG" w:eastAsia="bg-BG"/>
        </w:rPr>
        <w:t xml:space="preserve"> тона (около 8% от общото производство на червено месо през годината) - с </w:t>
      </w:r>
      <w:r w:rsidRPr="00FC70C2">
        <w:rPr>
          <w:rFonts w:ascii="Arial Narrow" w:eastAsia="Calibri" w:hAnsi="Arial Narrow" w:cs="Arial"/>
          <w:lang w:eastAsia="bg-BG"/>
        </w:rPr>
        <w:t>3,3</w:t>
      </w:r>
      <w:r w:rsidRPr="00FC70C2">
        <w:rPr>
          <w:rFonts w:ascii="Arial Narrow" w:eastAsia="Calibri" w:hAnsi="Arial Narrow" w:cs="Arial"/>
          <w:lang w:val="bg-BG" w:eastAsia="bg-BG"/>
        </w:rPr>
        <w:t xml:space="preserve">% над нивото от 2023 г., като е налице увеличение както при овчето (с 2,6%), така и при козето месо (с 8,3%). Производството на месо от ДРД в кланиците спада с 25,3% спрямо предходната година, до </w:t>
      </w:r>
      <w:r w:rsidRPr="00FC70C2">
        <w:rPr>
          <w:rFonts w:ascii="Arial Narrow" w:eastAsia="Calibri" w:hAnsi="Arial Narrow" w:cs="Arial"/>
          <w:lang w:eastAsia="bg-BG"/>
        </w:rPr>
        <w:t>1</w:t>
      </w:r>
      <w:r w:rsidRPr="00FC70C2">
        <w:rPr>
          <w:rFonts w:ascii="Arial Narrow" w:eastAsia="Calibri" w:hAnsi="Arial Narrow" w:cs="Arial"/>
          <w:lang w:val="bg-BG" w:eastAsia="bg-BG"/>
        </w:rPr>
        <w:t xml:space="preserve"> </w:t>
      </w:r>
      <w:r w:rsidRPr="00FC70C2">
        <w:rPr>
          <w:rFonts w:ascii="Arial Narrow" w:eastAsia="Calibri" w:hAnsi="Arial Narrow" w:cs="Arial"/>
          <w:lang w:eastAsia="bg-BG"/>
        </w:rPr>
        <w:t>518</w:t>
      </w:r>
      <w:r w:rsidRPr="00FC70C2">
        <w:rPr>
          <w:rFonts w:ascii="Arial Narrow" w:eastAsia="Calibri" w:hAnsi="Arial Narrow" w:cs="Arial"/>
          <w:lang w:val="bg-BG" w:eastAsia="bg-BG"/>
        </w:rPr>
        <w:t xml:space="preserve"> тона, докато това в стопанствата нараства с 11,3%, до 8 156 тона. </w:t>
      </w:r>
    </w:p>
    <w:p w14:paraId="03ACDC02" w14:textId="77777777" w:rsidR="00FC70C2" w:rsidRPr="00FC70C2" w:rsidRDefault="00FC70C2" w:rsidP="00FC70C2">
      <w:pPr>
        <w:widowControl w:val="0"/>
        <w:autoSpaceDE w:val="0"/>
        <w:autoSpaceDN w:val="0"/>
        <w:adjustRightInd w:val="0"/>
        <w:spacing w:after="120"/>
        <w:ind w:firstLine="706"/>
        <w:jc w:val="both"/>
        <w:rPr>
          <w:rFonts w:ascii="Arial Narrow" w:eastAsia="Calibri" w:hAnsi="Arial Narrow" w:cs="Arial"/>
          <w:lang w:val="bg-BG"/>
        </w:rPr>
      </w:pPr>
      <w:r w:rsidRPr="00FC70C2">
        <w:rPr>
          <w:rFonts w:ascii="Arial Narrow" w:eastAsia="Calibri" w:hAnsi="Arial Narrow" w:cs="Arial"/>
          <w:lang w:val="bg-BG"/>
        </w:rPr>
        <w:t>През 2024 г. класификацията на леки и тежки трупове от овце (агнета) се прилага в пет кланици, колкото и през предходната година. Класифицирани са общо 7 205 броя кланични трупове от овце (агнета), което e с 40,8% по малко спрямо 2023 г. Класифицираните леки трупове (до 13 кг) са 5 776 броя, като около 94,5% са класифицирани като първо качество, а 5,5% са второ качество. Най-голям е делът на леките кланични трупове с тегло от 7,1 кг до 10 кг - категория В с 57,5%. Следват тези с тегло от 10,1 кг до 13 кг - категория С – 41,7%,  а агнетата с тегло до 7 кг, класифицирани в категория А са 0,8%. Класифицираните кланични трупове от овце на възраст до 12 месеца и над 13 кг са 1 429 броя.</w:t>
      </w:r>
    </w:p>
    <w:p w14:paraId="1980E8E8" w14:textId="77777777" w:rsidR="00FC70C2" w:rsidRPr="00FC70C2" w:rsidRDefault="008D3B3A" w:rsidP="00FC70C2">
      <w:pPr>
        <w:numPr>
          <w:ilvl w:val="2"/>
          <w:numId w:val="8"/>
        </w:numPr>
        <w:tabs>
          <w:tab w:val="left" w:pos="990"/>
        </w:tabs>
        <w:spacing w:after="120"/>
        <w:ind w:left="792" w:hanging="432"/>
        <w:jc w:val="both"/>
        <w:outlineLvl w:val="0"/>
        <w:rPr>
          <w:rFonts w:ascii="Arial Narrow" w:hAnsi="Arial Narrow"/>
          <w:b/>
          <w:bCs/>
          <w:lang w:val="bg-BG"/>
        </w:rPr>
      </w:pPr>
      <w:bookmarkStart w:id="50" w:name="_Toc23513554"/>
      <w:bookmarkStart w:id="51" w:name="_Toc210747552"/>
      <w:r w:rsidRPr="00FC70C2">
        <w:rPr>
          <w:rFonts w:ascii="Arial Narrow" w:hAnsi="Arial Narrow"/>
          <w:b/>
          <w:bCs/>
          <w:lang w:val="bg-BG"/>
        </w:rPr>
        <w:t>Свиневъдство</w:t>
      </w:r>
      <w:bookmarkEnd w:id="50"/>
      <w:bookmarkEnd w:id="51"/>
    </w:p>
    <w:p w14:paraId="0173DE42" w14:textId="77777777" w:rsidR="00FC70C2" w:rsidRPr="00FC70C2" w:rsidRDefault="00FC70C2" w:rsidP="00FC70C2">
      <w:pPr>
        <w:widowControl w:val="0"/>
        <w:autoSpaceDE w:val="0"/>
        <w:autoSpaceDN w:val="0"/>
        <w:adjustRightInd w:val="0"/>
        <w:spacing w:after="120"/>
        <w:ind w:firstLine="706"/>
        <w:jc w:val="both"/>
        <w:rPr>
          <w:rFonts w:ascii="Arial Narrow" w:eastAsia="Calibri" w:hAnsi="Arial Narrow" w:cs="Arial"/>
          <w:lang w:val="bg-BG" w:eastAsia="bg-BG"/>
        </w:rPr>
      </w:pPr>
      <w:r w:rsidRPr="00FC70C2">
        <w:rPr>
          <w:rFonts w:ascii="Arial Narrow" w:eastAsia="Calibri" w:hAnsi="Arial Narrow" w:cs="Arial"/>
          <w:lang w:val="bg-BG" w:eastAsia="bg-BG"/>
        </w:rPr>
        <w:t>Свиневъдният сектор в страната е добре структуриран и специализиран, което е предпоставка за неговата устойчивост. Продължава тенденцията на концентриране на производството в по-малко на брой окрупнени стопанства.</w:t>
      </w:r>
    </w:p>
    <w:p w14:paraId="55223283" w14:textId="77777777" w:rsidR="00FC70C2" w:rsidRPr="00FC70C2" w:rsidRDefault="00FC70C2" w:rsidP="00FC70C2">
      <w:pPr>
        <w:widowControl w:val="0"/>
        <w:autoSpaceDE w:val="0"/>
        <w:autoSpaceDN w:val="0"/>
        <w:adjustRightInd w:val="0"/>
        <w:spacing w:after="120"/>
        <w:ind w:firstLine="706"/>
        <w:jc w:val="both"/>
        <w:rPr>
          <w:rFonts w:ascii="Arial Narrow" w:eastAsia="Calibri" w:hAnsi="Arial Narrow" w:cs="Arial"/>
          <w:lang w:val="bg-BG" w:eastAsia="bg-BG"/>
        </w:rPr>
      </w:pPr>
      <w:r w:rsidRPr="00FC70C2">
        <w:rPr>
          <w:rFonts w:ascii="Arial Narrow" w:eastAsia="Calibri" w:hAnsi="Arial Narrow" w:cs="Arial"/>
          <w:lang w:val="bg-BG" w:eastAsia="bg-BG"/>
        </w:rPr>
        <w:t xml:space="preserve">Към 1 ноември 2024 г. броят на стопанствата, отглеждащи свине общо бележи спад от 33,3% на годишна база, а този с основни свине майки остава без промяна. </w:t>
      </w:r>
    </w:p>
    <w:p w14:paraId="1BF8AFB3" w14:textId="77777777" w:rsidR="00FC70C2" w:rsidRPr="00FC70C2" w:rsidRDefault="00FC70C2" w:rsidP="00FC70C2">
      <w:pPr>
        <w:widowControl w:val="0"/>
        <w:autoSpaceDE w:val="0"/>
        <w:autoSpaceDN w:val="0"/>
        <w:adjustRightInd w:val="0"/>
        <w:spacing w:after="120"/>
        <w:ind w:firstLine="706"/>
        <w:jc w:val="both"/>
        <w:rPr>
          <w:rFonts w:ascii="Arial Narrow" w:eastAsia="Calibri" w:hAnsi="Arial Narrow" w:cs="Arial"/>
          <w:lang w:val="bg-BG" w:eastAsia="bg-BG"/>
        </w:rPr>
      </w:pPr>
      <w:r w:rsidRPr="00FC70C2">
        <w:rPr>
          <w:rFonts w:ascii="Arial Narrow" w:eastAsia="Calibri" w:hAnsi="Arial Narrow" w:cs="Arial"/>
          <w:lang w:val="bg-BG" w:eastAsia="bg-BG"/>
        </w:rPr>
        <w:t xml:space="preserve">При общия брой на свинете се отчита намаление с 3,3% спрямо предходната година, до 700 779. Общо разплодните женски свине (70 359) са с 11,6% по-малко, а основните свине-майки (47 552) - с 11,9%.  </w:t>
      </w:r>
    </w:p>
    <w:p w14:paraId="2E791861" w14:textId="77777777" w:rsidR="00FC70C2" w:rsidRPr="00FC70C2" w:rsidRDefault="00FC70C2" w:rsidP="00FC70C2">
      <w:pPr>
        <w:widowControl w:val="0"/>
        <w:autoSpaceDE w:val="0"/>
        <w:autoSpaceDN w:val="0"/>
        <w:adjustRightInd w:val="0"/>
        <w:spacing w:after="120"/>
        <w:ind w:firstLine="706"/>
        <w:jc w:val="both"/>
        <w:rPr>
          <w:rFonts w:ascii="Arial Narrow" w:eastAsia="Calibri" w:hAnsi="Arial Narrow" w:cs="Arial"/>
          <w:lang w:val="bg-BG" w:eastAsia="bg-BG"/>
        </w:rPr>
      </w:pPr>
      <w:r w:rsidRPr="00FC70C2">
        <w:rPr>
          <w:rFonts w:ascii="Arial Narrow" w:eastAsia="Calibri" w:hAnsi="Arial Narrow" w:cs="Arial"/>
          <w:lang w:val="bg-BG" w:eastAsia="bg-BG"/>
        </w:rPr>
        <w:t>Около 86% от всички свине през годината се отглеждат в три района на планиране - Югоизточен (33,8%), Северен централен (27,6%) и Североизточен (24,4%). В същите райони е съсредоточен и най-голям брой от основните свине-майки, съответно 20,2%, 34,2% и 22,7%. Югозападен район заема най-малък дял от отглежданите свине общо (1%) и свине-майки (2,5%).</w:t>
      </w:r>
    </w:p>
    <w:p w14:paraId="76A91D79" w14:textId="77777777" w:rsidR="00FC70C2" w:rsidRPr="00FC70C2" w:rsidRDefault="00FC70C2" w:rsidP="00FC70C2">
      <w:pPr>
        <w:widowControl w:val="0"/>
        <w:tabs>
          <w:tab w:val="left" w:pos="180"/>
        </w:tabs>
        <w:spacing w:after="120"/>
        <w:rPr>
          <w:rFonts w:ascii="Arial Narrow" w:eastAsia="Calibri" w:hAnsi="Arial Narrow" w:cs="Arial"/>
          <w:b/>
          <w:lang w:val="bg-BG"/>
        </w:rPr>
      </w:pPr>
      <w:r w:rsidRPr="00FC70C2">
        <w:rPr>
          <w:rFonts w:ascii="Arial Narrow" w:eastAsia="Calibri" w:hAnsi="Arial Narrow" w:cs="Arial"/>
          <w:b/>
          <w:lang w:val="bg-BG"/>
        </w:rPr>
        <w:t>Таблица ІІ.22. Разпределение на свинете по райони през 2023 и 2024 г. (хил. броя)</w:t>
      </w:r>
    </w:p>
    <w:tbl>
      <w:tblPr>
        <w:tblW w:w="9796" w:type="dxa"/>
        <w:jc w:val="center"/>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885"/>
        <w:gridCol w:w="1500"/>
        <w:gridCol w:w="1442"/>
        <w:gridCol w:w="1250"/>
        <w:gridCol w:w="1266"/>
        <w:gridCol w:w="1263"/>
        <w:gridCol w:w="1190"/>
      </w:tblGrid>
      <w:tr w:rsidR="00FC70C2" w:rsidRPr="00FC70C2" w14:paraId="0770359E" w14:textId="77777777" w:rsidTr="003A2D79">
        <w:trPr>
          <w:trHeight w:hRule="exact" w:val="454"/>
          <w:tblHeader/>
          <w:jc w:val="center"/>
        </w:trPr>
        <w:tc>
          <w:tcPr>
            <w:tcW w:w="1885" w:type="dxa"/>
            <w:vMerge w:val="restart"/>
            <w:tcBorders>
              <w:top w:val="single" w:sz="4" w:space="0" w:color="auto"/>
              <w:right w:val="single" w:sz="4" w:space="0" w:color="auto"/>
            </w:tcBorders>
            <w:vAlign w:val="center"/>
          </w:tcPr>
          <w:p w14:paraId="50DC9BCC" w14:textId="77777777" w:rsidR="00FC70C2" w:rsidRPr="00FC70C2" w:rsidRDefault="00FC70C2" w:rsidP="00FC70C2">
            <w:pPr>
              <w:widowControl w:val="0"/>
              <w:jc w:val="center"/>
              <w:rPr>
                <w:rFonts w:ascii="Arial Narrow" w:hAnsi="Arial Narrow" w:cs="Arial"/>
                <w:b/>
                <w:sz w:val="20"/>
                <w:szCs w:val="20"/>
                <w:lang w:val="bg-BG"/>
              </w:rPr>
            </w:pPr>
            <w:r w:rsidRPr="00FC70C2">
              <w:rPr>
                <w:rFonts w:ascii="Arial Narrow" w:hAnsi="Arial Narrow" w:cs="Arial"/>
                <w:b/>
                <w:sz w:val="20"/>
                <w:szCs w:val="20"/>
                <w:lang w:val="bg-BG"/>
              </w:rPr>
              <w:lastRenderedPageBreak/>
              <w:t>Райони</w:t>
            </w:r>
          </w:p>
        </w:tc>
        <w:tc>
          <w:tcPr>
            <w:tcW w:w="4192" w:type="dxa"/>
            <w:gridSpan w:val="3"/>
            <w:tcBorders>
              <w:top w:val="single" w:sz="4" w:space="0" w:color="auto"/>
              <w:left w:val="single" w:sz="4" w:space="0" w:color="auto"/>
              <w:bottom w:val="single" w:sz="4" w:space="0" w:color="auto"/>
              <w:right w:val="single" w:sz="4" w:space="0" w:color="auto"/>
            </w:tcBorders>
            <w:vAlign w:val="center"/>
          </w:tcPr>
          <w:p w14:paraId="3A51D03B" w14:textId="77777777" w:rsidR="00FC70C2" w:rsidRPr="00FC70C2" w:rsidRDefault="00FC70C2" w:rsidP="00FC70C2">
            <w:pPr>
              <w:widowControl w:val="0"/>
              <w:jc w:val="center"/>
              <w:rPr>
                <w:rFonts w:ascii="Arial Narrow" w:hAnsi="Arial Narrow" w:cs="Arial"/>
                <w:b/>
                <w:sz w:val="20"/>
                <w:szCs w:val="20"/>
                <w:lang w:val="bg-BG"/>
              </w:rPr>
            </w:pPr>
            <w:r w:rsidRPr="00FC70C2">
              <w:rPr>
                <w:rFonts w:ascii="Arial Narrow" w:hAnsi="Arial Narrow" w:cs="Arial"/>
                <w:b/>
                <w:sz w:val="20"/>
                <w:szCs w:val="20"/>
                <w:lang w:val="bg-BG"/>
              </w:rPr>
              <w:t>Свине общо</w:t>
            </w:r>
          </w:p>
        </w:tc>
        <w:tc>
          <w:tcPr>
            <w:tcW w:w="3719" w:type="dxa"/>
            <w:gridSpan w:val="3"/>
            <w:tcBorders>
              <w:top w:val="single" w:sz="4" w:space="0" w:color="auto"/>
              <w:left w:val="single" w:sz="4" w:space="0" w:color="auto"/>
              <w:bottom w:val="single" w:sz="4" w:space="0" w:color="auto"/>
            </w:tcBorders>
            <w:vAlign w:val="center"/>
          </w:tcPr>
          <w:p w14:paraId="6FAE2938" w14:textId="77777777" w:rsidR="00FC70C2" w:rsidRPr="00FC70C2" w:rsidRDefault="00FC70C2" w:rsidP="00FC70C2">
            <w:pPr>
              <w:widowControl w:val="0"/>
              <w:jc w:val="center"/>
              <w:rPr>
                <w:rFonts w:ascii="Arial Narrow" w:hAnsi="Arial Narrow" w:cs="Arial"/>
                <w:b/>
                <w:sz w:val="20"/>
                <w:szCs w:val="20"/>
                <w:lang w:val="bg-BG"/>
              </w:rPr>
            </w:pPr>
            <w:r w:rsidRPr="00FC70C2">
              <w:rPr>
                <w:rFonts w:ascii="Arial Narrow" w:hAnsi="Arial Narrow" w:cs="Arial"/>
                <w:b/>
                <w:sz w:val="20"/>
                <w:szCs w:val="20"/>
                <w:lang w:val="bg-BG"/>
              </w:rPr>
              <w:t xml:space="preserve">В т.ч. основни свине майки </w:t>
            </w:r>
          </w:p>
        </w:tc>
      </w:tr>
      <w:tr w:rsidR="00FC70C2" w:rsidRPr="00FC70C2" w14:paraId="2722AA1A" w14:textId="77777777" w:rsidTr="003A2D79">
        <w:trPr>
          <w:trHeight w:hRule="exact" w:val="634"/>
          <w:tblHeader/>
          <w:jc w:val="center"/>
        </w:trPr>
        <w:tc>
          <w:tcPr>
            <w:tcW w:w="1885" w:type="dxa"/>
            <w:vMerge/>
            <w:tcBorders>
              <w:bottom w:val="single" w:sz="4" w:space="0" w:color="auto"/>
              <w:right w:val="single" w:sz="4" w:space="0" w:color="auto"/>
            </w:tcBorders>
            <w:vAlign w:val="center"/>
          </w:tcPr>
          <w:p w14:paraId="76C5B401" w14:textId="77777777" w:rsidR="00FC70C2" w:rsidRPr="00FC70C2" w:rsidRDefault="00FC70C2" w:rsidP="00FC70C2">
            <w:pPr>
              <w:widowControl w:val="0"/>
              <w:jc w:val="center"/>
              <w:rPr>
                <w:rFonts w:ascii="Arial Narrow" w:hAnsi="Arial Narrow" w:cs="Arial"/>
                <w:b/>
                <w:sz w:val="20"/>
                <w:szCs w:val="20"/>
                <w:lang w:val="bg-BG"/>
              </w:rPr>
            </w:pPr>
          </w:p>
        </w:tc>
        <w:tc>
          <w:tcPr>
            <w:tcW w:w="1500" w:type="dxa"/>
            <w:tcBorders>
              <w:top w:val="single" w:sz="4" w:space="0" w:color="auto"/>
              <w:left w:val="outset" w:sz="6" w:space="0" w:color="auto"/>
              <w:bottom w:val="single" w:sz="4" w:space="0" w:color="auto"/>
              <w:right w:val="single" w:sz="4" w:space="0" w:color="auto"/>
            </w:tcBorders>
            <w:vAlign w:val="center"/>
          </w:tcPr>
          <w:p w14:paraId="199780C1" w14:textId="77777777" w:rsidR="00FC70C2" w:rsidRPr="00FC70C2" w:rsidRDefault="00FC70C2" w:rsidP="00FC70C2">
            <w:pPr>
              <w:widowControl w:val="0"/>
              <w:jc w:val="center"/>
              <w:rPr>
                <w:rFonts w:ascii="Arial Narrow" w:hAnsi="Arial Narrow" w:cs="Arial"/>
                <w:b/>
                <w:sz w:val="20"/>
                <w:szCs w:val="20"/>
                <w:lang w:val="bg-BG"/>
              </w:rPr>
            </w:pPr>
            <w:r w:rsidRPr="00FC70C2">
              <w:rPr>
                <w:rFonts w:ascii="Arial Narrow" w:hAnsi="Arial Narrow" w:cs="Arial"/>
                <w:b/>
                <w:sz w:val="20"/>
                <w:szCs w:val="20"/>
                <w:lang w:val="bg-BG"/>
              </w:rPr>
              <w:t>01.11.2023 г.</w:t>
            </w:r>
          </w:p>
        </w:tc>
        <w:tc>
          <w:tcPr>
            <w:tcW w:w="1442" w:type="dxa"/>
            <w:tcBorders>
              <w:top w:val="single" w:sz="4" w:space="0" w:color="auto"/>
              <w:left w:val="outset" w:sz="6" w:space="0" w:color="auto"/>
              <w:bottom w:val="single" w:sz="4" w:space="0" w:color="auto"/>
              <w:right w:val="single" w:sz="4" w:space="0" w:color="auto"/>
            </w:tcBorders>
            <w:vAlign w:val="center"/>
          </w:tcPr>
          <w:p w14:paraId="64331F4A" w14:textId="77777777" w:rsidR="00FC70C2" w:rsidRPr="00FC70C2" w:rsidRDefault="00FC70C2" w:rsidP="00FC70C2">
            <w:pPr>
              <w:widowControl w:val="0"/>
              <w:jc w:val="center"/>
              <w:rPr>
                <w:rFonts w:ascii="Arial Narrow" w:hAnsi="Arial Narrow" w:cs="Arial"/>
                <w:b/>
                <w:sz w:val="20"/>
                <w:szCs w:val="20"/>
                <w:lang w:val="bg-BG"/>
              </w:rPr>
            </w:pPr>
            <w:r w:rsidRPr="00FC70C2">
              <w:rPr>
                <w:rFonts w:ascii="Arial Narrow" w:hAnsi="Arial Narrow" w:cs="Arial"/>
                <w:b/>
                <w:sz w:val="20"/>
                <w:szCs w:val="20"/>
                <w:lang w:val="bg-BG"/>
              </w:rPr>
              <w:t>01.11.2024 г.</w:t>
            </w:r>
          </w:p>
        </w:tc>
        <w:tc>
          <w:tcPr>
            <w:tcW w:w="1250" w:type="dxa"/>
            <w:tcBorders>
              <w:top w:val="single" w:sz="4" w:space="0" w:color="auto"/>
              <w:left w:val="outset" w:sz="6" w:space="0" w:color="auto"/>
              <w:bottom w:val="single" w:sz="4" w:space="0" w:color="auto"/>
              <w:right w:val="single" w:sz="4" w:space="0" w:color="auto"/>
            </w:tcBorders>
            <w:vAlign w:val="center"/>
          </w:tcPr>
          <w:p w14:paraId="1844360C" w14:textId="77777777" w:rsidR="00FC70C2" w:rsidRPr="00FC70C2" w:rsidRDefault="00FC70C2" w:rsidP="00FC70C2">
            <w:pPr>
              <w:widowControl w:val="0"/>
              <w:jc w:val="center"/>
              <w:rPr>
                <w:rFonts w:ascii="Arial Narrow" w:hAnsi="Arial Narrow" w:cs="Arial"/>
                <w:b/>
                <w:sz w:val="20"/>
                <w:szCs w:val="20"/>
                <w:lang w:val="bg-BG"/>
              </w:rPr>
            </w:pPr>
            <w:r w:rsidRPr="00FC70C2">
              <w:rPr>
                <w:rFonts w:ascii="Arial Narrow" w:hAnsi="Arial Narrow" w:cs="Arial"/>
                <w:b/>
                <w:sz w:val="20"/>
                <w:szCs w:val="20"/>
                <w:lang w:val="bg-BG"/>
              </w:rPr>
              <w:t xml:space="preserve">Дял </w:t>
            </w:r>
          </w:p>
          <w:p w14:paraId="0BDA2DE0" w14:textId="77777777" w:rsidR="00FC70C2" w:rsidRPr="00FC70C2" w:rsidRDefault="00FC70C2" w:rsidP="00FC70C2">
            <w:pPr>
              <w:widowControl w:val="0"/>
              <w:jc w:val="center"/>
              <w:rPr>
                <w:rFonts w:ascii="Arial Narrow" w:hAnsi="Arial Narrow" w:cs="Arial"/>
                <w:b/>
                <w:sz w:val="20"/>
                <w:szCs w:val="20"/>
                <w:lang w:val="bg-BG"/>
              </w:rPr>
            </w:pPr>
            <w:r w:rsidRPr="00FC70C2">
              <w:rPr>
                <w:rFonts w:ascii="Arial Narrow" w:hAnsi="Arial Narrow" w:cs="Arial"/>
                <w:b/>
                <w:sz w:val="20"/>
                <w:szCs w:val="20"/>
                <w:lang w:val="bg-BG"/>
              </w:rPr>
              <w:t>(2024 г.)</w:t>
            </w:r>
          </w:p>
        </w:tc>
        <w:tc>
          <w:tcPr>
            <w:tcW w:w="1266" w:type="dxa"/>
            <w:tcBorders>
              <w:top w:val="single" w:sz="4" w:space="0" w:color="auto"/>
              <w:left w:val="outset" w:sz="6" w:space="0" w:color="auto"/>
              <w:bottom w:val="single" w:sz="4" w:space="0" w:color="auto"/>
              <w:right w:val="single" w:sz="4" w:space="0" w:color="auto"/>
            </w:tcBorders>
            <w:vAlign w:val="center"/>
          </w:tcPr>
          <w:p w14:paraId="4C1E90BD" w14:textId="77777777" w:rsidR="00FC70C2" w:rsidRPr="00FC70C2" w:rsidRDefault="00FC70C2" w:rsidP="00FC70C2">
            <w:pPr>
              <w:widowControl w:val="0"/>
              <w:jc w:val="center"/>
              <w:rPr>
                <w:rFonts w:ascii="Arial Narrow" w:hAnsi="Arial Narrow" w:cs="Arial"/>
                <w:b/>
                <w:sz w:val="20"/>
                <w:szCs w:val="20"/>
                <w:lang w:val="bg-BG"/>
              </w:rPr>
            </w:pPr>
            <w:r w:rsidRPr="00FC70C2">
              <w:rPr>
                <w:rFonts w:ascii="Arial Narrow" w:hAnsi="Arial Narrow" w:cs="Arial"/>
                <w:b/>
                <w:sz w:val="20"/>
                <w:szCs w:val="20"/>
                <w:lang w:val="bg-BG"/>
              </w:rPr>
              <w:t>01.11.2023 г.</w:t>
            </w:r>
          </w:p>
        </w:tc>
        <w:tc>
          <w:tcPr>
            <w:tcW w:w="1263" w:type="dxa"/>
            <w:tcBorders>
              <w:top w:val="single" w:sz="4" w:space="0" w:color="auto"/>
              <w:left w:val="outset" w:sz="6" w:space="0" w:color="auto"/>
              <w:bottom w:val="single" w:sz="4" w:space="0" w:color="auto"/>
              <w:right w:val="single" w:sz="4" w:space="0" w:color="auto"/>
            </w:tcBorders>
            <w:vAlign w:val="center"/>
          </w:tcPr>
          <w:p w14:paraId="4BA37C80" w14:textId="77777777" w:rsidR="00FC70C2" w:rsidRPr="00FC70C2" w:rsidRDefault="00FC70C2" w:rsidP="00FC70C2">
            <w:pPr>
              <w:widowControl w:val="0"/>
              <w:jc w:val="center"/>
              <w:rPr>
                <w:rFonts w:ascii="Arial Narrow" w:hAnsi="Arial Narrow" w:cs="Arial"/>
                <w:b/>
                <w:sz w:val="20"/>
                <w:szCs w:val="20"/>
                <w:lang w:val="bg-BG"/>
              </w:rPr>
            </w:pPr>
            <w:r w:rsidRPr="00FC70C2">
              <w:rPr>
                <w:rFonts w:ascii="Arial Narrow" w:hAnsi="Arial Narrow" w:cs="Arial"/>
                <w:b/>
                <w:sz w:val="20"/>
                <w:szCs w:val="20"/>
                <w:lang w:val="bg-BG"/>
              </w:rPr>
              <w:t>01.11.2024 г.</w:t>
            </w:r>
          </w:p>
        </w:tc>
        <w:tc>
          <w:tcPr>
            <w:tcW w:w="1190" w:type="dxa"/>
            <w:tcBorders>
              <w:top w:val="single" w:sz="4" w:space="0" w:color="auto"/>
              <w:left w:val="outset" w:sz="6" w:space="0" w:color="auto"/>
              <w:bottom w:val="single" w:sz="4" w:space="0" w:color="auto"/>
            </w:tcBorders>
            <w:vAlign w:val="center"/>
          </w:tcPr>
          <w:p w14:paraId="59EC0C2C" w14:textId="77777777" w:rsidR="00FC70C2" w:rsidRPr="00FC70C2" w:rsidRDefault="00FC70C2" w:rsidP="00FC70C2">
            <w:pPr>
              <w:widowControl w:val="0"/>
              <w:jc w:val="center"/>
              <w:rPr>
                <w:rFonts w:ascii="Arial Narrow" w:hAnsi="Arial Narrow" w:cs="Arial"/>
                <w:b/>
                <w:sz w:val="20"/>
                <w:szCs w:val="20"/>
                <w:lang w:val="bg-BG"/>
              </w:rPr>
            </w:pPr>
            <w:r w:rsidRPr="00FC70C2">
              <w:rPr>
                <w:rFonts w:ascii="Arial Narrow" w:hAnsi="Arial Narrow" w:cs="Arial"/>
                <w:b/>
                <w:sz w:val="20"/>
                <w:szCs w:val="20"/>
                <w:lang w:val="bg-BG"/>
              </w:rPr>
              <w:t xml:space="preserve">Дял </w:t>
            </w:r>
          </w:p>
          <w:p w14:paraId="4F9BCD60" w14:textId="77777777" w:rsidR="00FC70C2" w:rsidRPr="00FC70C2" w:rsidRDefault="00FC70C2" w:rsidP="00FC70C2">
            <w:pPr>
              <w:widowControl w:val="0"/>
              <w:jc w:val="center"/>
              <w:rPr>
                <w:rFonts w:ascii="Arial Narrow" w:hAnsi="Arial Narrow" w:cs="Arial"/>
                <w:b/>
                <w:sz w:val="20"/>
                <w:szCs w:val="20"/>
                <w:lang w:val="bg-BG"/>
              </w:rPr>
            </w:pPr>
            <w:r w:rsidRPr="00FC70C2">
              <w:rPr>
                <w:rFonts w:ascii="Arial Narrow" w:hAnsi="Arial Narrow" w:cs="Arial"/>
                <w:b/>
                <w:sz w:val="20"/>
                <w:szCs w:val="20"/>
                <w:lang w:val="bg-BG"/>
              </w:rPr>
              <w:t>(2024 г.)</w:t>
            </w:r>
          </w:p>
        </w:tc>
      </w:tr>
      <w:tr w:rsidR="00FC70C2" w:rsidRPr="00FC70C2" w14:paraId="7A5DD7BC" w14:textId="77777777" w:rsidTr="003A2D79">
        <w:trPr>
          <w:trHeight w:hRule="exact" w:val="340"/>
          <w:jc w:val="center"/>
        </w:trPr>
        <w:tc>
          <w:tcPr>
            <w:tcW w:w="1885" w:type="dxa"/>
            <w:tcBorders>
              <w:top w:val="single" w:sz="4" w:space="0" w:color="auto"/>
              <w:bottom w:val="single" w:sz="4" w:space="0" w:color="auto"/>
              <w:right w:val="single" w:sz="4" w:space="0" w:color="auto"/>
            </w:tcBorders>
            <w:vAlign w:val="center"/>
          </w:tcPr>
          <w:p w14:paraId="77E47332" w14:textId="77777777" w:rsidR="00FC70C2" w:rsidRPr="00FC70C2" w:rsidRDefault="00FC70C2" w:rsidP="00FC70C2">
            <w:pPr>
              <w:widowControl w:val="0"/>
              <w:rPr>
                <w:rFonts w:ascii="Arial Narrow" w:hAnsi="Arial Narrow" w:cs="Arial"/>
                <w:sz w:val="20"/>
                <w:szCs w:val="20"/>
                <w:lang w:val="bg-BG"/>
              </w:rPr>
            </w:pPr>
            <w:r w:rsidRPr="00FC70C2">
              <w:rPr>
                <w:rFonts w:ascii="Arial Narrow" w:hAnsi="Arial Narrow" w:cs="Arial"/>
                <w:sz w:val="20"/>
                <w:szCs w:val="20"/>
                <w:lang w:val="bg-BG"/>
              </w:rPr>
              <w:t>Северозападен</w:t>
            </w:r>
          </w:p>
        </w:tc>
        <w:tc>
          <w:tcPr>
            <w:tcW w:w="1500" w:type="dxa"/>
            <w:tcBorders>
              <w:top w:val="single" w:sz="4" w:space="0" w:color="auto"/>
              <w:left w:val="nil"/>
              <w:bottom w:val="single" w:sz="4" w:space="0" w:color="auto"/>
              <w:right w:val="single" w:sz="4" w:space="0" w:color="auto"/>
            </w:tcBorders>
            <w:shd w:val="clear" w:color="auto" w:fill="auto"/>
            <w:vAlign w:val="center"/>
          </w:tcPr>
          <w:p w14:paraId="12243782" w14:textId="77777777" w:rsidR="00FC70C2" w:rsidRPr="00FC70C2" w:rsidRDefault="00FC70C2" w:rsidP="00FC70C2">
            <w:pPr>
              <w:widowControl w:val="0"/>
              <w:jc w:val="right"/>
              <w:rPr>
                <w:rFonts w:ascii="Arial Narrow" w:hAnsi="Arial Narrow" w:cs="Arial"/>
                <w:sz w:val="20"/>
                <w:szCs w:val="20"/>
                <w:lang w:val="bg-BG"/>
              </w:rPr>
            </w:pPr>
            <w:r w:rsidRPr="00FC70C2">
              <w:rPr>
                <w:rFonts w:ascii="Arial Narrow" w:hAnsi="Arial Narrow" w:cs="Arial"/>
                <w:sz w:val="20"/>
                <w:szCs w:val="20"/>
                <w:lang w:val="bg-BG"/>
              </w:rPr>
              <w:t>46,9</w:t>
            </w:r>
          </w:p>
        </w:tc>
        <w:tc>
          <w:tcPr>
            <w:tcW w:w="1442" w:type="dxa"/>
            <w:tcBorders>
              <w:top w:val="single" w:sz="4" w:space="0" w:color="auto"/>
              <w:left w:val="single" w:sz="4" w:space="0" w:color="auto"/>
              <w:bottom w:val="single" w:sz="4" w:space="0" w:color="auto"/>
              <w:right w:val="single" w:sz="4" w:space="0" w:color="auto"/>
            </w:tcBorders>
            <w:shd w:val="clear" w:color="auto" w:fill="auto"/>
            <w:vAlign w:val="center"/>
          </w:tcPr>
          <w:p w14:paraId="127230E6" w14:textId="77777777" w:rsidR="00FC70C2" w:rsidRPr="00FC70C2" w:rsidRDefault="00FC70C2" w:rsidP="00FC70C2">
            <w:pPr>
              <w:widowControl w:val="0"/>
              <w:jc w:val="right"/>
              <w:rPr>
                <w:rFonts w:ascii="Arial Narrow" w:hAnsi="Arial Narrow" w:cs="Arial"/>
                <w:sz w:val="20"/>
                <w:szCs w:val="20"/>
                <w:lang w:val="bg-BG"/>
              </w:rPr>
            </w:pPr>
            <w:r w:rsidRPr="00FC70C2">
              <w:rPr>
                <w:rFonts w:ascii="Arial Narrow" w:hAnsi="Arial Narrow" w:cs="Arial"/>
                <w:sz w:val="20"/>
                <w:szCs w:val="20"/>
                <w:lang w:val="bg-BG"/>
              </w:rPr>
              <w:t>53,8</w:t>
            </w:r>
          </w:p>
        </w:tc>
        <w:tc>
          <w:tcPr>
            <w:tcW w:w="1250" w:type="dxa"/>
            <w:tcBorders>
              <w:top w:val="single" w:sz="4" w:space="0" w:color="auto"/>
              <w:left w:val="nil"/>
              <w:bottom w:val="single" w:sz="4" w:space="0" w:color="auto"/>
              <w:right w:val="single" w:sz="4" w:space="0" w:color="auto"/>
            </w:tcBorders>
            <w:shd w:val="clear" w:color="auto" w:fill="auto"/>
            <w:vAlign w:val="center"/>
          </w:tcPr>
          <w:p w14:paraId="41CAA3A6" w14:textId="77777777" w:rsidR="00FC70C2" w:rsidRPr="00FC70C2" w:rsidRDefault="00FC70C2" w:rsidP="00FC70C2">
            <w:pPr>
              <w:widowControl w:val="0"/>
              <w:jc w:val="right"/>
              <w:rPr>
                <w:rFonts w:ascii="Arial Narrow" w:hAnsi="Arial Narrow" w:cs="Arial"/>
                <w:sz w:val="20"/>
                <w:szCs w:val="20"/>
                <w:lang w:val="bg-BG"/>
              </w:rPr>
            </w:pPr>
            <w:r w:rsidRPr="00FC70C2">
              <w:rPr>
                <w:rFonts w:ascii="Arial Narrow" w:hAnsi="Arial Narrow" w:cs="Arial"/>
                <w:sz w:val="20"/>
                <w:szCs w:val="20"/>
                <w:lang w:val="bg-BG"/>
              </w:rPr>
              <w:t>7,7%</w:t>
            </w:r>
          </w:p>
        </w:tc>
        <w:tc>
          <w:tcPr>
            <w:tcW w:w="1266" w:type="dxa"/>
            <w:tcBorders>
              <w:top w:val="single" w:sz="4" w:space="0" w:color="auto"/>
              <w:left w:val="nil"/>
              <w:bottom w:val="single" w:sz="4" w:space="0" w:color="auto"/>
              <w:right w:val="single" w:sz="4" w:space="0" w:color="auto"/>
            </w:tcBorders>
            <w:shd w:val="clear" w:color="auto" w:fill="auto"/>
            <w:vAlign w:val="center"/>
          </w:tcPr>
          <w:p w14:paraId="15F4E4B5" w14:textId="77777777" w:rsidR="00FC70C2" w:rsidRPr="00FC70C2" w:rsidRDefault="00FC70C2" w:rsidP="00FC70C2">
            <w:pPr>
              <w:widowControl w:val="0"/>
              <w:jc w:val="right"/>
              <w:rPr>
                <w:rFonts w:ascii="Arial Narrow" w:hAnsi="Arial Narrow" w:cs="Arial"/>
                <w:sz w:val="20"/>
                <w:szCs w:val="20"/>
                <w:lang w:val="bg-BG"/>
              </w:rPr>
            </w:pPr>
            <w:r w:rsidRPr="00FC70C2">
              <w:rPr>
                <w:rFonts w:ascii="Arial Narrow" w:hAnsi="Arial Narrow" w:cs="Arial"/>
                <w:sz w:val="20"/>
                <w:szCs w:val="20"/>
                <w:lang w:val="bg-BG"/>
              </w:rPr>
              <w:t>3,6</w:t>
            </w:r>
          </w:p>
        </w:tc>
        <w:tc>
          <w:tcPr>
            <w:tcW w:w="1263" w:type="dxa"/>
            <w:tcBorders>
              <w:top w:val="single" w:sz="4" w:space="0" w:color="auto"/>
              <w:left w:val="single" w:sz="4" w:space="0" w:color="auto"/>
              <w:bottom w:val="single" w:sz="4" w:space="0" w:color="auto"/>
              <w:right w:val="single" w:sz="4" w:space="0" w:color="auto"/>
            </w:tcBorders>
            <w:shd w:val="clear" w:color="auto" w:fill="auto"/>
            <w:vAlign w:val="center"/>
          </w:tcPr>
          <w:p w14:paraId="6EF6BF94" w14:textId="77777777" w:rsidR="00FC70C2" w:rsidRPr="00FC70C2" w:rsidRDefault="00FC70C2" w:rsidP="00FC70C2">
            <w:pPr>
              <w:widowControl w:val="0"/>
              <w:jc w:val="right"/>
              <w:rPr>
                <w:rFonts w:ascii="Arial Narrow" w:hAnsi="Arial Narrow" w:cs="Arial"/>
                <w:sz w:val="20"/>
                <w:szCs w:val="20"/>
                <w:lang w:val="bg-BG"/>
              </w:rPr>
            </w:pPr>
            <w:r w:rsidRPr="00FC70C2">
              <w:rPr>
                <w:rFonts w:ascii="Arial Narrow" w:hAnsi="Arial Narrow" w:cs="Arial"/>
                <w:sz w:val="20"/>
                <w:szCs w:val="20"/>
                <w:lang w:val="bg-BG"/>
              </w:rPr>
              <w:t>4,6</w:t>
            </w:r>
          </w:p>
        </w:tc>
        <w:tc>
          <w:tcPr>
            <w:tcW w:w="1190" w:type="dxa"/>
            <w:tcBorders>
              <w:top w:val="single" w:sz="4" w:space="0" w:color="auto"/>
              <w:left w:val="nil"/>
              <w:bottom w:val="single" w:sz="4" w:space="0" w:color="auto"/>
              <w:right w:val="single" w:sz="4" w:space="0" w:color="auto"/>
            </w:tcBorders>
            <w:shd w:val="clear" w:color="auto" w:fill="auto"/>
            <w:vAlign w:val="center"/>
          </w:tcPr>
          <w:p w14:paraId="0B208A14" w14:textId="77777777" w:rsidR="00FC70C2" w:rsidRPr="00FC70C2" w:rsidRDefault="00FC70C2" w:rsidP="00FC70C2">
            <w:pPr>
              <w:widowControl w:val="0"/>
              <w:jc w:val="right"/>
              <w:rPr>
                <w:rFonts w:ascii="Arial Narrow" w:hAnsi="Arial Narrow" w:cs="Arial"/>
                <w:sz w:val="20"/>
                <w:szCs w:val="20"/>
                <w:lang w:val="bg-BG"/>
              </w:rPr>
            </w:pPr>
            <w:r w:rsidRPr="00FC70C2">
              <w:rPr>
                <w:rFonts w:ascii="Arial Narrow" w:hAnsi="Arial Narrow" w:cs="Arial"/>
                <w:sz w:val="20"/>
                <w:szCs w:val="20"/>
                <w:lang w:val="bg-BG"/>
              </w:rPr>
              <w:t>9,6%</w:t>
            </w:r>
          </w:p>
        </w:tc>
      </w:tr>
      <w:tr w:rsidR="00FC70C2" w:rsidRPr="00FC70C2" w14:paraId="01F5F4F1" w14:textId="77777777" w:rsidTr="003A2D79">
        <w:trPr>
          <w:trHeight w:hRule="exact" w:val="340"/>
          <w:jc w:val="center"/>
        </w:trPr>
        <w:tc>
          <w:tcPr>
            <w:tcW w:w="1885" w:type="dxa"/>
            <w:tcBorders>
              <w:top w:val="single" w:sz="4" w:space="0" w:color="auto"/>
              <w:bottom w:val="single" w:sz="4" w:space="0" w:color="auto"/>
              <w:right w:val="single" w:sz="4" w:space="0" w:color="auto"/>
            </w:tcBorders>
            <w:vAlign w:val="center"/>
          </w:tcPr>
          <w:p w14:paraId="7D2A4985" w14:textId="77777777" w:rsidR="00FC70C2" w:rsidRPr="00FC70C2" w:rsidRDefault="00FC70C2" w:rsidP="00FC70C2">
            <w:pPr>
              <w:widowControl w:val="0"/>
              <w:rPr>
                <w:rFonts w:ascii="Arial Narrow" w:hAnsi="Arial Narrow" w:cs="Arial"/>
                <w:sz w:val="20"/>
                <w:szCs w:val="20"/>
                <w:lang w:val="bg-BG"/>
              </w:rPr>
            </w:pPr>
            <w:r w:rsidRPr="00FC70C2">
              <w:rPr>
                <w:rFonts w:ascii="Arial Narrow" w:hAnsi="Arial Narrow" w:cs="Arial"/>
                <w:sz w:val="20"/>
                <w:szCs w:val="20"/>
                <w:lang w:val="bg-BG"/>
              </w:rPr>
              <w:t xml:space="preserve">Северен централен </w:t>
            </w:r>
          </w:p>
        </w:tc>
        <w:tc>
          <w:tcPr>
            <w:tcW w:w="1500" w:type="dxa"/>
            <w:tcBorders>
              <w:top w:val="nil"/>
              <w:left w:val="nil"/>
              <w:bottom w:val="single" w:sz="4" w:space="0" w:color="auto"/>
              <w:right w:val="single" w:sz="4" w:space="0" w:color="auto"/>
            </w:tcBorders>
            <w:shd w:val="clear" w:color="auto" w:fill="auto"/>
            <w:vAlign w:val="center"/>
          </w:tcPr>
          <w:p w14:paraId="5A5367D4" w14:textId="77777777" w:rsidR="00FC70C2" w:rsidRPr="00FC70C2" w:rsidRDefault="00FC70C2" w:rsidP="00FC70C2">
            <w:pPr>
              <w:widowControl w:val="0"/>
              <w:jc w:val="right"/>
              <w:rPr>
                <w:rFonts w:ascii="Arial Narrow" w:hAnsi="Arial Narrow" w:cs="Arial"/>
                <w:sz w:val="20"/>
                <w:szCs w:val="20"/>
                <w:lang w:val="bg-BG"/>
              </w:rPr>
            </w:pPr>
            <w:r w:rsidRPr="00FC70C2">
              <w:rPr>
                <w:rFonts w:ascii="Arial Narrow" w:hAnsi="Arial Narrow" w:cs="Arial"/>
                <w:sz w:val="20"/>
                <w:szCs w:val="20"/>
                <w:lang w:val="bg-BG"/>
              </w:rPr>
              <w:t>183,3</w:t>
            </w:r>
          </w:p>
        </w:tc>
        <w:tc>
          <w:tcPr>
            <w:tcW w:w="1442" w:type="dxa"/>
            <w:tcBorders>
              <w:top w:val="nil"/>
              <w:left w:val="single" w:sz="4" w:space="0" w:color="auto"/>
              <w:bottom w:val="single" w:sz="4" w:space="0" w:color="auto"/>
              <w:right w:val="single" w:sz="4" w:space="0" w:color="auto"/>
            </w:tcBorders>
            <w:shd w:val="clear" w:color="auto" w:fill="auto"/>
            <w:vAlign w:val="center"/>
          </w:tcPr>
          <w:p w14:paraId="4CC31B3D" w14:textId="77777777" w:rsidR="00FC70C2" w:rsidRPr="00FC70C2" w:rsidRDefault="00FC70C2" w:rsidP="00FC70C2">
            <w:pPr>
              <w:widowControl w:val="0"/>
              <w:jc w:val="right"/>
              <w:rPr>
                <w:rFonts w:ascii="Arial Narrow" w:hAnsi="Arial Narrow" w:cs="Arial"/>
                <w:sz w:val="20"/>
                <w:szCs w:val="20"/>
                <w:lang w:val="bg-BG"/>
              </w:rPr>
            </w:pPr>
            <w:r w:rsidRPr="00FC70C2">
              <w:rPr>
                <w:rFonts w:ascii="Arial Narrow" w:hAnsi="Arial Narrow" w:cs="Arial"/>
                <w:sz w:val="20"/>
                <w:szCs w:val="20"/>
                <w:lang w:val="bg-BG"/>
              </w:rPr>
              <w:t>193,1</w:t>
            </w:r>
          </w:p>
        </w:tc>
        <w:tc>
          <w:tcPr>
            <w:tcW w:w="1250" w:type="dxa"/>
            <w:tcBorders>
              <w:top w:val="nil"/>
              <w:left w:val="nil"/>
              <w:bottom w:val="single" w:sz="4" w:space="0" w:color="auto"/>
              <w:right w:val="single" w:sz="4" w:space="0" w:color="auto"/>
            </w:tcBorders>
            <w:shd w:val="clear" w:color="auto" w:fill="auto"/>
            <w:vAlign w:val="center"/>
          </w:tcPr>
          <w:p w14:paraId="73F8CA39" w14:textId="77777777" w:rsidR="00FC70C2" w:rsidRPr="00FC70C2" w:rsidRDefault="00FC70C2" w:rsidP="00FC70C2">
            <w:pPr>
              <w:widowControl w:val="0"/>
              <w:jc w:val="right"/>
              <w:rPr>
                <w:rFonts w:ascii="Arial Narrow" w:hAnsi="Arial Narrow" w:cs="Arial"/>
                <w:sz w:val="20"/>
                <w:szCs w:val="20"/>
                <w:lang w:val="bg-BG"/>
              </w:rPr>
            </w:pPr>
            <w:r w:rsidRPr="00FC70C2">
              <w:rPr>
                <w:rFonts w:ascii="Arial Narrow" w:hAnsi="Arial Narrow" w:cs="Arial"/>
                <w:sz w:val="20"/>
                <w:szCs w:val="20"/>
                <w:lang w:val="bg-BG"/>
              </w:rPr>
              <w:t>27,6%</w:t>
            </w:r>
          </w:p>
        </w:tc>
        <w:tc>
          <w:tcPr>
            <w:tcW w:w="1266" w:type="dxa"/>
            <w:tcBorders>
              <w:top w:val="nil"/>
              <w:left w:val="nil"/>
              <w:bottom w:val="single" w:sz="4" w:space="0" w:color="auto"/>
              <w:right w:val="single" w:sz="4" w:space="0" w:color="auto"/>
            </w:tcBorders>
            <w:shd w:val="clear" w:color="auto" w:fill="auto"/>
            <w:vAlign w:val="center"/>
          </w:tcPr>
          <w:p w14:paraId="2A72EF75" w14:textId="77777777" w:rsidR="00FC70C2" w:rsidRPr="00FC70C2" w:rsidRDefault="00FC70C2" w:rsidP="00FC70C2">
            <w:pPr>
              <w:widowControl w:val="0"/>
              <w:jc w:val="right"/>
              <w:rPr>
                <w:rFonts w:ascii="Arial Narrow" w:hAnsi="Arial Narrow" w:cs="Arial"/>
                <w:sz w:val="20"/>
                <w:szCs w:val="20"/>
                <w:lang w:val="bg-BG"/>
              </w:rPr>
            </w:pPr>
            <w:r w:rsidRPr="00FC70C2">
              <w:rPr>
                <w:rFonts w:ascii="Arial Narrow" w:hAnsi="Arial Narrow" w:cs="Arial"/>
                <w:sz w:val="20"/>
                <w:szCs w:val="20"/>
                <w:lang w:val="bg-BG"/>
              </w:rPr>
              <w:t>13,1</w:t>
            </w:r>
          </w:p>
        </w:tc>
        <w:tc>
          <w:tcPr>
            <w:tcW w:w="1263" w:type="dxa"/>
            <w:tcBorders>
              <w:top w:val="nil"/>
              <w:left w:val="single" w:sz="4" w:space="0" w:color="auto"/>
              <w:bottom w:val="single" w:sz="4" w:space="0" w:color="auto"/>
              <w:right w:val="single" w:sz="4" w:space="0" w:color="auto"/>
            </w:tcBorders>
            <w:shd w:val="clear" w:color="auto" w:fill="auto"/>
            <w:vAlign w:val="center"/>
          </w:tcPr>
          <w:p w14:paraId="165933FF" w14:textId="77777777" w:rsidR="00FC70C2" w:rsidRPr="00FC70C2" w:rsidRDefault="00FC70C2" w:rsidP="00FC70C2">
            <w:pPr>
              <w:widowControl w:val="0"/>
              <w:jc w:val="right"/>
              <w:rPr>
                <w:rFonts w:ascii="Arial Narrow" w:hAnsi="Arial Narrow" w:cs="Arial"/>
                <w:sz w:val="20"/>
                <w:szCs w:val="20"/>
                <w:lang w:val="bg-BG"/>
              </w:rPr>
            </w:pPr>
            <w:r w:rsidRPr="00FC70C2">
              <w:rPr>
                <w:rFonts w:ascii="Arial Narrow" w:hAnsi="Arial Narrow" w:cs="Arial"/>
                <w:sz w:val="20"/>
                <w:szCs w:val="20"/>
                <w:lang w:val="bg-BG"/>
              </w:rPr>
              <w:t>16,2</w:t>
            </w:r>
          </w:p>
        </w:tc>
        <w:tc>
          <w:tcPr>
            <w:tcW w:w="1190" w:type="dxa"/>
            <w:tcBorders>
              <w:top w:val="nil"/>
              <w:left w:val="nil"/>
              <w:bottom w:val="single" w:sz="4" w:space="0" w:color="auto"/>
              <w:right w:val="single" w:sz="4" w:space="0" w:color="auto"/>
            </w:tcBorders>
            <w:shd w:val="clear" w:color="auto" w:fill="auto"/>
            <w:vAlign w:val="center"/>
          </w:tcPr>
          <w:p w14:paraId="772C84F7" w14:textId="77777777" w:rsidR="00FC70C2" w:rsidRPr="00FC70C2" w:rsidRDefault="00FC70C2" w:rsidP="00FC70C2">
            <w:pPr>
              <w:widowControl w:val="0"/>
              <w:jc w:val="right"/>
              <w:rPr>
                <w:rFonts w:ascii="Arial Narrow" w:hAnsi="Arial Narrow" w:cs="Arial"/>
                <w:sz w:val="20"/>
                <w:szCs w:val="20"/>
                <w:lang w:val="bg-BG"/>
              </w:rPr>
            </w:pPr>
            <w:r w:rsidRPr="00FC70C2">
              <w:rPr>
                <w:rFonts w:ascii="Arial Narrow" w:hAnsi="Arial Narrow" w:cs="Arial"/>
                <w:sz w:val="20"/>
                <w:szCs w:val="20"/>
                <w:lang w:val="bg-BG"/>
              </w:rPr>
              <w:t>34,2%</w:t>
            </w:r>
          </w:p>
        </w:tc>
      </w:tr>
      <w:tr w:rsidR="00FC70C2" w:rsidRPr="00FC70C2" w14:paraId="55DF3615" w14:textId="77777777" w:rsidTr="003A2D79">
        <w:trPr>
          <w:trHeight w:hRule="exact" w:val="340"/>
          <w:jc w:val="center"/>
        </w:trPr>
        <w:tc>
          <w:tcPr>
            <w:tcW w:w="1885" w:type="dxa"/>
            <w:tcBorders>
              <w:top w:val="single" w:sz="4" w:space="0" w:color="auto"/>
              <w:bottom w:val="single" w:sz="4" w:space="0" w:color="auto"/>
              <w:right w:val="single" w:sz="4" w:space="0" w:color="auto"/>
            </w:tcBorders>
            <w:vAlign w:val="center"/>
          </w:tcPr>
          <w:p w14:paraId="53C262BE" w14:textId="77777777" w:rsidR="00FC70C2" w:rsidRPr="00FC70C2" w:rsidRDefault="00FC70C2" w:rsidP="00FC70C2">
            <w:pPr>
              <w:widowControl w:val="0"/>
              <w:rPr>
                <w:rFonts w:ascii="Arial Narrow" w:hAnsi="Arial Narrow" w:cs="Arial"/>
                <w:sz w:val="20"/>
                <w:szCs w:val="20"/>
                <w:lang w:val="bg-BG"/>
              </w:rPr>
            </w:pPr>
            <w:r w:rsidRPr="00FC70C2">
              <w:rPr>
                <w:rFonts w:ascii="Arial Narrow" w:hAnsi="Arial Narrow" w:cs="Arial"/>
                <w:sz w:val="20"/>
                <w:szCs w:val="20"/>
                <w:lang w:val="bg-BG"/>
              </w:rPr>
              <w:t>Североизточен</w:t>
            </w:r>
          </w:p>
        </w:tc>
        <w:tc>
          <w:tcPr>
            <w:tcW w:w="1500" w:type="dxa"/>
            <w:tcBorders>
              <w:top w:val="nil"/>
              <w:left w:val="nil"/>
              <w:bottom w:val="single" w:sz="4" w:space="0" w:color="auto"/>
              <w:right w:val="single" w:sz="4" w:space="0" w:color="auto"/>
            </w:tcBorders>
            <w:shd w:val="clear" w:color="auto" w:fill="auto"/>
            <w:vAlign w:val="center"/>
          </w:tcPr>
          <w:p w14:paraId="6352FEC5" w14:textId="77777777" w:rsidR="00FC70C2" w:rsidRPr="00FC70C2" w:rsidRDefault="00FC70C2" w:rsidP="00FC70C2">
            <w:pPr>
              <w:widowControl w:val="0"/>
              <w:jc w:val="right"/>
              <w:rPr>
                <w:rFonts w:ascii="Arial Narrow" w:hAnsi="Arial Narrow" w:cs="Arial"/>
                <w:sz w:val="20"/>
                <w:szCs w:val="20"/>
                <w:lang w:val="bg-BG"/>
              </w:rPr>
            </w:pPr>
            <w:r w:rsidRPr="00FC70C2">
              <w:rPr>
                <w:rFonts w:ascii="Arial Narrow" w:hAnsi="Arial Narrow" w:cs="Arial"/>
                <w:sz w:val="20"/>
                <w:szCs w:val="20"/>
                <w:lang w:val="bg-BG"/>
              </w:rPr>
              <w:t>163,8</w:t>
            </w:r>
          </w:p>
        </w:tc>
        <w:tc>
          <w:tcPr>
            <w:tcW w:w="1442" w:type="dxa"/>
            <w:tcBorders>
              <w:top w:val="nil"/>
              <w:left w:val="single" w:sz="4" w:space="0" w:color="auto"/>
              <w:bottom w:val="single" w:sz="4" w:space="0" w:color="auto"/>
              <w:right w:val="single" w:sz="4" w:space="0" w:color="auto"/>
            </w:tcBorders>
            <w:shd w:val="clear" w:color="auto" w:fill="auto"/>
            <w:vAlign w:val="center"/>
          </w:tcPr>
          <w:p w14:paraId="0204C40E" w14:textId="77777777" w:rsidR="00FC70C2" w:rsidRPr="00FC70C2" w:rsidRDefault="00FC70C2" w:rsidP="00FC70C2">
            <w:pPr>
              <w:widowControl w:val="0"/>
              <w:jc w:val="right"/>
              <w:rPr>
                <w:rFonts w:ascii="Arial Narrow" w:hAnsi="Arial Narrow" w:cs="Arial"/>
                <w:sz w:val="20"/>
                <w:szCs w:val="20"/>
                <w:lang w:val="bg-BG"/>
              </w:rPr>
            </w:pPr>
            <w:r w:rsidRPr="00FC70C2">
              <w:rPr>
                <w:rFonts w:ascii="Arial Narrow" w:hAnsi="Arial Narrow" w:cs="Arial"/>
                <w:sz w:val="20"/>
                <w:szCs w:val="20"/>
                <w:lang w:val="bg-BG"/>
              </w:rPr>
              <w:t>171,3</w:t>
            </w:r>
          </w:p>
        </w:tc>
        <w:tc>
          <w:tcPr>
            <w:tcW w:w="1250" w:type="dxa"/>
            <w:tcBorders>
              <w:top w:val="nil"/>
              <w:left w:val="nil"/>
              <w:bottom w:val="single" w:sz="4" w:space="0" w:color="auto"/>
              <w:right w:val="single" w:sz="4" w:space="0" w:color="auto"/>
            </w:tcBorders>
            <w:shd w:val="clear" w:color="auto" w:fill="auto"/>
            <w:vAlign w:val="center"/>
          </w:tcPr>
          <w:p w14:paraId="0BE20390" w14:textId="77777777" w:rsidR="00FC70C2" w:rsidRPr="00FC70C2" w:rsidRDefault="00FC70C2" w:rsidP="00FC70C2">
            <w:pPr>
              <w:widowControl w:val="0"/>
              <w:jc w:val="right"/>
              <w:rPr>
                <w:rFonts w:ascii="Arial Narrow" w:hAnsi="Arial Narrow" w:cs="Arial"/>
                <w:sz w:val="20"/>
                <w:szCs w:val="20"/>
                <w:lang w:val="bg-BG"/>
              </w:rPr>
            </w:pPr>
            <w:r w:rsidRPr="00FC70C2">
              <w:rPr>
                <w:rFonts w:ascii="Arial Narrow" w:hAnsi="Arial Narrow" w:cs="Arial"/>
                <w:sz w:val="20"/>
                <w:szCs w:val="20"/>
                <w:lang w:val="bg-BG"/>
              </w:rPr>
              <w:t>24,4%</w:t>
            </w:r>
          </w:p>
        </w:tc>
        <w:tc>
          <w:tcPr>
            <w:tcW w:w="1266" w:type="dxa"/>
            <w:tcBorders>
              <w:top w:val="nil"/>
              <w:left w:val="nil"/>
              <w:bottom w:val="single" w:sz="4" w:space="0" w:color="auto"/>
              <w:right w:val="single" w:sz="4" w:space="0" w:color="auto"/>
            </w:tcBorders>
            <w:shd w:val="clear" w:color="auto" w:fill="auto"/>
            <w:vAlign w:val="center"/>
          </w:tcPr>
          <w:p w14:paraId="78AF60CF" w14:textId="77777777" w:rsidR="00FC70C2" w:rsidRPr="00FC70C2" w:rsidRDefault="00FC70C2" w:rsidP="00FC70C2">
            <w:pPr>
              <w:widowControl w:val="0"/>
              <w:jc w:val="right"/>
              <w:rPr>
                <w:rFonts w:ascii="Arial Narrow" w:hAnsi="Arial Narrow" w:cs="Arial"/>
                <w:sz w:val="20"/>
                <w:szCs w:val="20"/>
                <w:lang w:val="bg-BG"/>
              </w:rPr>
            </w:pPr>
            <w:r w:rsidRPr="00FC70C2">
              <w:rPr>
                <w:rFonts w:ascii="Arial Narrow" w:hAnsi="Arial Narrow" w:cs="Arial"/>
                <w:sz w:val="20"/>
                <w:szCs w:val="20"/>
                <w:lang w:val="bg-BG"/>
              </w:rPr>
              <w:t>19,4</w:t>
            </w:r>
          </w:p>
        </w:tc>
        <w:tc>
          <w:tcPr>
            <w:tcW w:w="1263" w:type="dxa"/>
            <w:tcBorders>
              <w:top w:val="nil"/>
              <w:left w:val="single" w:sz="4" w:space="0" w:color="auto"/>
              <w:bottom w:val="single" w:sz="4" w:space="0" w:color="auto"/>
              <w:right w:val="single" w:sz="4" w:space="0" w:color="auto"/>
            </w:tcBorders>
            <w:shd w:val="clear" w:color="auto" w:fill="auto"/>
            <w:vAlign w:val="center"/>
          </w:tcPr>
          <w:p w14:paraId="7B21F08E" w14:textId="77777777" w:rsidR="00FC70C2" w:rsidRPr="00FC70C2" w:rsidRDefault="00FC70C2" w:rsidP="00FC70C2">
            <w:pPr>
              <w:widowControl w:val="0"/>
              <w:jc w:val="right"/>
              <w:rPr>
                <w:rFonts w:ascii="Arial Narrow" w:hAnsi="Arial Narrow" w:cs="Arial"/>
                <w:sz w:val="20"/>
                <w:szCs w:val="20"/>
                <w:lang w:val="bg-BG"/>
              </w:rPr>
            </w:pPr>
            <w:r w:rsidRPr="00FC70C2">
              <w:rPr>
                <w:rFonts w:ascii="Arial Narrow" w:hAnsi="Arial Narrow" w:cs="Arial"/>
                <w:sz w:val="20"/>
                <w:szCs w:val="20"/>
                <w:lang w:val="bg-BG"/>
              </w:rPr>
              <w:t>10,8</w:t>
            </w:r>
          </w:p>
        </w:tc>
        <w:tc>
          <w:tcPr>
            <w:tcW w:w="1190" w:type="dxa"/>
            <w:tcBorders>
              <w:top w:val="nil"/>
              <w:left w:val="nil"/>
              <w:bottom w:val="single" w:sz="4" w:space="0" w:color="auto"/>
              <w:right w:val="single" w:sz="4" w:space="0" w:color="auto"/>
            </w:tcBorders>
            <w:shd w:val="clear" w:color="auto" w:fill="auto"/>
            <w:vAlign w:val="center"/>
          </w:tcPr>
          <w:p w14:paraId="601662F5" w14:textId="77777777" w:rsidR="00FC70C2" w:rsidRPr="00FC70C2" w:rsidRDefault="00FC70C2" w:rsidP="00FC70C2">
            <w:pPr>
              <w:widowControl w:val="0"/>
              <w:jc w:val="right"/>
              <w:rPr>
                <w:rFonts w:ascii="Arial Narrow" w:hAnsi="Arial Narrow" w:cs="Arial"/>
                <w:sz w:val="20"/>
                <w:szCs w:val="20"/>
                <w:lang w:val="bg-BG"/>
              </w:rPr>
            </w:pPr>
            <w:r w:rsidRPr="00FC70C2">
              <w:rPr>
                <w:rFonts w:ascii="Arial Narrow" w:hAnsi="Arial Narrow" w:cs="Arial"/>
                <w:sz w:val="20"/>
                <w:szCs w:val="20"/>
                <w:lang w:val="bg-BG"/>
              </w:rPr>
              <w:t>22,7%</w:t>
            </w:r>
          </w:p>
        </w:tc>
      </w:tr>
      <w:tr w:rsidR="00FC70C2" w:rsidRPr="00FC70C2" w14:paraId="45BE48BD" w14:textId="77777777" w:rsidTr="003A2D79">
        <w:trPr>
          <w:trHeight w:hRule="exact" w:val="340"/>
          <w:jc w:val="center"/>
        </w:trPr>
        <w:tc>
          <w:tcPr>
            <w:tcW w:w="1885" w:type="dxa"/>
            <w:tcBorders>
              <w:top w:val="single" w:sz="4" w:space="0" w:color="auto"/>
              <w:bottom w:val="single" w:sz="4" w:space="0" w:color="auto"/>
              <w:right w:val="single" w:sz="4" w:space="0" w:color="auto"/>
            </w:tcBorders>
            <w:vAlign w:val="center"/>
          </w:tcPr>
          <w:p w14:paraId="6F2A9EBD" w14:textId="77777777" w:rsidR="00FC70C2" w:rsidRPr="00FC70C2" w:rsidRDefault="00FC70C2" w:rsidP="00FC70C2">
            <w:pPr>
              <w:widowControl w:val="0"/>
              <w:rPr>
                <w:rFonts w:ascii="Arial Narrow" w:hAnsi="Arial Narrow" w:cs="Arial"/>
                <w:sz w:val="20"/>
                <w:szCs w:val="20"/>
                <w:lang w:val="bg-BG"/>
              </w:rPr>
            </w:pPr>
            <w:r w:rsidRPr="00FC70C2">
              <w:rPr>
                <w:rFonts w:ascii="Arial Narrow" w:hAnsi="Arial Narrow" w:cs="Arial"/>
                <w:sz w:val="20"/>
                <w:szCs w:val="20"/>
                <w:lang w:val="bg-BG"/>
              </w:rPr>
              <w:t>Югоизточен</w:t>
            </w:r>
          </w:p>
        </w:tc>
        <w:tc>
          <w:tcPr>
            <w:tcW w:w="1500" w:type="dxa"/>
            <w:tcBorders>
              <w:top w:val="nil"/>
              <w:left w:val="nil"/>
              <w:bottom w:val="single" w:sz="4" w:space="0" w:color="auto"/>
              <w:right w:val="single" w:sz="4" w:space="0" w:color="auto"/>
            </w:tcBorders>
            <w:shd w:val="clear" w:color="auto" w:fill="auto"/>
            <w:vAlign w:val="center"/>
          </w:tcPr>
          <w:p w14:paraId="5118B411" w14:textId="77777777" w:rsidR="00FC70C2" w:rsidRPr="00FC70C2" w:rsidRDefault="00FC70C2" w:rsidP="00FC70C2">
            <w:pPr>
              <w:widowControl w:val="0"/>
              <w:jc w:val="right"/>
              <w:rPr>
                <w:rFonts w:ascii="Arial Narrow" w:hAnsi="Arial Narrow" w:cs="Arial"/>
                <w:sz w:val="20"/>
                <w:szCs w:val="20"/>
                <w:lang w:val="bg-BG"/>
              </w:rPr>
            </w:pPr>
            <w:r w:rsidRPr="00FC70C2">
              <w:rPr>
                <w:rFonts w:ascii="Arial Narrow" w:hAnsi="Arial Narrow" w:cs="Arial"/>
                <w:sz w:val="20"/>
                <w:szCs w:val="20"/>
                <w:lang w:val="bg-BG"/>
              </w:rPr>
              <w:t>244,8</w:t>
            </w:r>
          </w:p>
        </w:tc>
        <w:tc>
          <w:tcPr>
            <w:tcW w:w="1442" w:type="dxa"/>
            <w:tcBorders>
              <w:top w:val="nil"/>
              <w:left w:val="single" w:sz="4" w:space="0" w:color="auto"/>
              <w:bottom w:val="single" w:sz="4" w:space="0" w:color="auto"/>
              <w:right w:val="single" w:sz="4" w:space="0" w:color="auto"/>
            </w:tcBorders>
            <w:shd w:val="clear" w:color="auto" w:fill="auto"/>
            <w:vAlign w:val="center"/>
          </w:tcPr>
          <w:p w14:paraId="3BC0D04F" w14:textId="77777777" w:rsidR="00FC70C2" w:rsidRPr="00FC70C2" w:rsidRDefault="00FC70C2" w:rsidP="00FC70C2">
            <w:pPr>
              <w:widowControl w:val="0"/>
              <w:jc w:val="right"/>
              <w:rPr>
                <w:rFonts w:ascii="Arial Narrow" w:hAnsi="Arial Narrow" w:cs="Arial"/>
                <w:sz w:val="20"/>
                <w:szCs w:val="20"/>
                <w:lang w:val="bg-BG"/>
              </w:rPr>
            </w:pPr>
            <w:r w:rsidRPr="00FC70C2">
              <w:rPr>
                <w:rFonts w:ascii="Arial Narrow" w:hAnsi="Arial Narrow" w:cs="Arial"/>
                <w:sz w:val="20"/>
                <w:szCs w:val="20"/>
                <w:lang w:val="bg-BG"/>
              </w:rPr>
              <w:t>237,2</w:t>
            </w:r>
          </w:p>
        </w:tc>
        <w:tc>
          <w:tcPr>
            <w:tcW w:w="1250" w:type="dxa"/>
            <w:tcBorders>
              <w:top w:val="nil"/>
              <w:left w:val="nil"/>
              <w:bottom w:val="single" w:sz="4" w:space="0" w:color="auto"/>
              <w:right w:val="single" w:sz="4" w:space="0" w:color="auto"/>
            </w:tcBorders>
            <w:shd w:val="clear" w:color="auto" w:fill="auto"/>
            <w:vAlign w:val="center"/>
          </w:tcPr>
          <w:p w14:paraId="6F044242" w14:textId="77777777" w:rsidR="00FC70C2" w:rsidRPr="00FC70C2" w:rsidRDefault="00FC70C2" w:rsidP="00FC70C2">
            <w:pPr>
              <w:widowControl w:val="0"/>
              <w:jc w:val="right"/>
              <w:rPr>
                <w:rFonts w:ascii="Arial Narrow" w:hAnsi="Arial Narrow" w:cs="Arial"/>
                <w:sz w:val="20"/>
                <w:szCs w:val="20"/>
                <w:lang w:val="bg-BG"/>
              </w:rPr>
            </w:pPr>
            <w:r w:rsidRPr="00FC70C2">
              <w:rPr>
                <w:rFonts w:ascii="Arial Narrow" w:hAnsi="Arial Narrow" w:cs="Arial"/>
                <w:sz w:val="20"/>
                <w:szCs w:val="20"/>
                <w:lang w:val="bg-BG"/>
              </w:rPr>
              <w:t>33,8%</w:t>
            </w:r>
          </w:p>
        </w:tc>
        <w:tc>
          <w:tcPr>
            <w:tcW w:w="1266" w:type="dxa"/>
            <w:tcBorders>
              <w:top w:val="nil"/>
              <w:left w:val="nil"/>
              <w:bottom w:val="single" w:sz="4" w:space="0" w:color="auto"/>
              <w:right w:val="single" w:sz="4" w:space="0" w:color="auto"/>
            </w:tcBorders>
            <w:shd w:val="clear" w:color="auto" w:fill="auto"/>
            <w:vAlign w:val="center"/>
          </w:tcPr>
          <w:p w14:paraId="116EDCD5" w14:textId="77777777" w:rsidR="00FC70C2" w:rsidRPr="00FC70C2" w:rsidRDefault="00FC70C2" w:rsidP="00FC70C2">
            <w:pPr>
              <w:widowControl w:val="0"/>
              <w:jc w:val="right"/>
              <w:rPr>
                <w:rFonts w:ascii="Arial Narrow" w:hAnsi="Arial Narrow" w:cs="Arial"/>
                <w:sz w:val="20"/>
                <w:szCs w:val="20"/>
                <w:lang w:val="bg-BG"/>
              </w:rPr>
            </w:pPr>
            <w:r w:rsidRPr="00FC70C2">
              <w:rPr>
                <w:rFonts w:ascii="Arial Narrow" w:hAnsi="Arial Narrow" w:cs="Arial"/>
                <w:sz w:val="20"/>
                <w:szCs w:val="20"/>
                <w:lang w:val="bg-BG"/>
              </w:rPr>
              <w:t>11,4</w:t>
            </w:r>
          </w:p>
        </w:tc>
        <w:tc>
          <w:tcPr>
            <w:tcW w:w="1263" w:type="dxa"/>
            <w:tcBorders>
              <w:top w:val="nil"/>
              <w:left w:val="single" w:sz="4" w:space="0" w:color="auto"/>
              <w:bottom w:val="single" w:sz="4" w:space="0" w:color="auto"/>
              <w:right w:val="single" w:sz="4" w:space="0" w:color="auto"/>
            </w:tcBorders>
            <w:shd w:val="clear" w:color="auto" w:fill="auto"/>
            <w:vAlign w:val="center"/>
          </w:tcPr>
          <w:p w14:paraId="651A9EC9" w14:textId="77777777" w:rsidR="00FC70C2" w:rsidRPr="00FC70C2" w:rsidRDefault="00FC70C2" w:rsidP="00FC70C2">
            <w:pPr>
              <w:widowControl w:val="0"/>
              <w:jc w:val="right"/>
              <w:rPr>
                <w:rFonts w:ascii="Arial Narrow" w:hAnsi="Arial Narrow" w:cs="Arial"/>
                <w:sz w:val="20"/>
                <w:szCs w:val="20"/>
                <w:lang w:val="bg-BG"/>
              </w:rPr>
            </w:pPr>
            <w:r w:rsidRPr="00FC70C2">
              <w:rPr>
                <w:rFonts w:ascii="Arial Narrow" w:hAnsi="Arial Narrow" w:cs="Arial"/>
                <w:sz w:val="20"/>
                <w:szCs w:val="20"/>
                <w:lang w:val="bg-BG"/>
              </w:rPr>
              <w:t>9,6</w:t>
            </w:r>
          </w:p>
        </w:tc>
        <w:tc>
          <w:tcPr>
            <w:tcW w:w="1190" w:type="dxa"/>
            <w:tcBorders>
              <w:top w:val="nil"/>
              <w:left w:val="nil"/>
              <w:bottom w:val="single" w:sz="4" w:space="0" w:color="auto"/>
              <w:right w:val="single" w:sz="4" w:space="0" w:color="auto"/>
            </w:tcBorders>
            <w:shd w:val="clear" w:color="auto" w:fill="auto"/>
            <w:vAlign w:val="center"/>
          </w:tcPr>
          <w:p w14:paraId="494A62D4" w14:textId="77777777" w:rsidR="00FC70C2" w:rsidRPr="00FC70C2" w:rsidRDefault="00FC70C2" w:rsidP="00FC70C2">
            <w:pPr>
              <w:widowControl w:val="0"/>
              <w:jc w:val="right"/>
              <w:rPr>
                <w:rFonts w:ascii="Arial Narrow" w:hAnsi="Arial Narrow" w:cs="Arial"/>
                <w:sz w:val="20"/>
                <w:szCs w:val="20"/>
                <w:lang w:val="bg-BG"/>
              </w:rPr>
            </w:pPr>
            <w:r w:rsidRPr="00FC70C2">
              <w:rPr>
                <w:rFonts w:ascii="Arial Narrow" w:hAnsi="Arial Narrow" w:cs="Arial"/>
                <w:sz w:val="20"/>
                <w:szCs w:val="20"/>
                <w:lang w:val="bg-BG"/>
              </w:rPr>
              <w:t>20,2%</w:t>
            </w:r>
          </w:p>
        </w:tc>
      </w:tr>
      <w:tr w:rsidR="00FC70C2" w:rsidRPr="00FC70C2" w14:paraId="40B69B4B" w14:textId="77777777" w:rsidTr="003A2D79">
        <w:trPr>
          <w:trHeight w:hRule="exact" w:val="340"/>
          <w:jc w:val="center"/>
        </w:trPr>
        <w:tc>
          <w:tcPr>
            <w:tcW w:w="1885" w:type="dxa"/>
            <w:tcBorders>
              <w:top w:val="single" w:sz="4" w:space="0" w:color="auto"/>
              <w:bottom w:val="single" w:sz="4" w:space="0" w:color="auto"/>
              <w:right w:val="single" w:sz="4" w:space="0" w:color="auto"/>
            </w:tcBorders>
            <w:vAlign w:val="center"/>
          </w:tcPr>
          <w:p w14:paraId="2FF95FD1" w14:textId="77777777" w:rsidR="00FC70C2" w:rsidRPr="00FC70C2" w:rsidRDefault="00FC70C2" w:rsidP="00FC70C2">
            <w:pPr>
              <w:widowControl w:val="0"/>
              <w:rPr>
                <w:rFonts w:ascii="Arial Narrow" w:hAnsi="Arial Narrow" w:cs="Arial"/>
                <w:sz w:val="20"/>
                <w:szCs w:val="20"/>
                <w:lang w:val="bg-BG"/>
              </w:rPr>
            </w:pPr>
            <w:r w:rsidRPr="00FC70C2">
              <w:rPr>
                <w:rFonts w:ascii="Arial Narrow" w:hAnsi="Arial Narrow" w:cs="Arial"/>
                <w:sz w:val="20"/>
                <w:szCs w:val="20"/>
                <w:lang w:val="bg-BG"/>
              </w:rPr>
              <w:t>Югозападен</w:t>
            </w:r>
          </w:p>
        </w:tc>
        <w:tc>
          <w:tcPr>
            <w:tcW w:w="1500" w:type="dxa"/>
            <w:tcBorders>
              <w:top w:val="nil"/>
              <w:left w:val="nil"/>
              <w:bottom w:val="single" w:sz="4" w:space="0" w:color="auto"/>
              <w:right w:val="single" w:sz="4" w:space="0" w:color="auto"/>
            </w:tcBorders>
            <w:shd w:val="clear" w:color="auto" w:fill="auto"/>
            <w:vAlign w:val="center"/>
          </w:tcPr>
          <w:p w14:paraId="0CDD90A6" w14:textId="77777777" w:rsidR="00FC70C2" w:rsidRPr="00FC70C2" w:rsidRDefault="00FC70C2" w:rsidP="00FC70C2">
            <w:pPr>
              <w:widowControl w:val="0"/>
              <w:jc w:val="right"/>
              <w:rPr>
                <w:rFonts w:ascii="Arial Narrow" w:hAnsi="Arial Narrow" w:cs="Arial"/>
                <w:sz w:val="20"/>
                <w:szCs w:val="20"/>
                <w:lang w:val="bg-BG"/>
              </w:rPr>
            </w:pPr>
            <w:r w:rsidRPr="00FC70C2">
              <w:rPr>
                <w:rFonts w:ascii="Arial Narrow" w:hAnsi="Arial Narrow" w:cs="Arial"/>
                <w:sz w:val="20"/>
                <w:szCs w:val="20"/>
                <w:lang w:val="bg-BG"/>
              </w:rPr>
              <w:t>10,3</w:t>
            </w:r>
          </w:p>
        </w:tc>
        <w:tc>
          <w:tcPr>
            <w:tcW w:w="1442" w:type="dxa"/>
            <w:tcBorders>
              <w:top w:val="nil"/>
              <w:left w:val="single" w:sz="4" w:space="0" w:color="auto"/>
              <w:bottom w:val="single" w:sz="4" w:space="0" w:color="auto"/>
              <w:right w:val="single" w:sz="4" w:space="0" w:color="auto"/>
            </w:tcBorders>
            <w:shd w:val="clear" w:color="auto" w:fill="auto"/>
            <w:vAlign w:val="center"/>
          </w:tcPr>
          <w:p w14:paraId="2B02DADE" w14:textId="77777777" w:rsidR="00FC70C2" w:rsidRPr="00FC70C2" w:rsidRDefault="00FC70C2" w:rsidP="00FC70C2">
            <w:pPr>
              <w:widowControl w:val="0"/>
              <w:jc w:val="right"/>
              <w:rPr>
                <w:rFonts w:ascii="Arial Narrow" w:hAnsi="Arial Narrow" w:cs="Arial"/>
                <w:sz w:val="20"/>
                <w:szCs w:val="20"/>
                <w:lang w:val="bg-BG"/>
              </w:rPr>
            </w:pPr>
            <w:r w:rsidRPr="00FC70C2">
              <w:rPr>
                <w:rFonts w:ascii="Arial Narrow" w:hAnsi="Arial Narrow" w:cs="Arial"/>
                <w:sz w:val="20"/>
                <w:szCs w:val="20"/>
                <w:lang w:val="bg-BG"/>
              </w:rPr>
              <w:t>6,9</w:t>
            </w:r>
          </w:p>
        </w:tc>
        <w:tc>
          <w:tcPr>
            <w:tcW w:w="1250" w:type="dxa"/>
            <w:tcBorders>
              <w:top w:val="nil"/>
              <w:left w:val="nil"/>
              <w:bottom w:val="single" w:sz="4" w:space="0" w:color="auto"/>
              <w:right w:val="single" w:sz="4" w:space="0" w:color="auto"/>
            </w:tcBorders>
            <w:shd w:val="clear" w:color="auto" w:fill="auto"/>
            <w:vAlign w:val="center"/>
          </w:tcPr>
          <w:p w14:paraId="279330B8" w14:textId="77777777" w:rsidR="00FC70C2" w:rsidRPr="00FC70C2" w:rsidRDefault="00FC70C2" w:rsidP="00FC70C2">
            <w:pPr>
              <w:widowControl w:val="0"/>
              <w:jc w:val="right"/>
              <w:rPr>
                <w:rFonts w:ascii="Arial Narrow" w:hAnsi="Arial Narrow" w:cs="Arial"/>
                <w:sz w:val="20"/>
                <w:szCs w:val="20"/>
                <w:lang w:val="bg-BG"/>
              </w:rPr>
            </w:pPr>
            <w:r w:rsidRPr="00FC70C2">
              <w:rPr>
                <w:rFonts w:ascii="Arial Narrow" w:hAnsi="Arial Narrow" w:cs="Arial"/>
                <w:sz w:val="20"/>
                <w:szCs w:val="20"/>
                <w:lang w:val="bg-BG"/>
              </w:rPr>
              <w:t>1,0%</w:t>
            </w:r>
          </w:p>
        </w:tc>
        <w:tc>
          <w:tcPr>
            <w:tcW w:w="1266" w:type="dxa"/>
            <w:tcBorders>
              <w:top w:val="nil"/>
              <w:left w:val="nil"/>
              <w:bottom w:val="single" w:sz="4" w:space="0" w:color="auto"/>
              <w:right w:val="single" w:sz="4" w:space="0" w:color="auto"/>
            </w:tcBorders>
            <w:shd w:val="clear" w:color="auto" w:fill="auto"/>
            <w:vAlign w:val="center"/>
          </w:tcPr>
          <w:p w14:paraId="54C0D3EA" w14:textId="77777777" w:rsidR="00FC70C2" w:rsidRPr="00FC70C2" w:rsidRDefault="00FC70C2" w:rsidP="00FC70C2">
            <w:pPr>
              <w:widowControl w:val="0"/>
              <w:jc w:val="right"/>
              <w:rPr>
                <w:rFonts w:ascii="Arial Narrow" w:hAnsi="Arial Narrow" w:cs="Arial"/>
                <w:sz w:val="20"/>
                <w:szCs w:val="20"/>
                <w:lang w:val="bg-BG"/>
              </w:rPr>
            </w:pPr>
            <w:r w:rsidRPr="00FC70C2">
              <w:rPr>
                <w:rFonts w:ascii="Arial Narrow" w:hAnsi="Arial Narrow" w:cs="Arial"/>
                <w:sz w:val="20"/>
                <w:szCs w:val="20"/>
                <w:lang w:val="bg-BG"/>
              </w:rPr>
              <w:t>1,2</w:t>
            </w:r>
          </w:p>
        </w:tc>
        <w:tc>
          <w:tcPr>
            <w:tcW w:w="1263" w:type="dxa"/>
            <w:tcBorders>
              <w:top w:val="nil"/>
              <w:left w:val="single" w:sz="4" w:space="0" w:color="auto"/>
              <w:bottom w:val="single" w:sz="4" w:space="0" w:color="auto"/>
              <w:right w:val="single" w:sz="4" w:space="0" w:color="auto"/>
            </w:tcBorders>
            <w:shd w:val="clear" w:color="auto" w:fill="auto"/>
            <w:vAlign w:val="center"/>
          </w:tcPr>
          <w:p w14:paraId="048EA662" w14:textId="77777777" w:rsidR="00FC70C2" w:rsidRPr="00FC70C2" w:rsidRDefault="00FC70C2" w:rsidP="00FC70C2">
            <w:pPr>
              <w:widowControl w:val="0"/>
              <w:jc w:val="right"/>
              <w:rPr>
                <w:rFonts w:ascii="Arial Narrow" w:hAnsi="Arial Narrow" w:cs="Arial"/>
                <w:sz w:val="20"/>
                <w:szCs w:val="20"/>
                <w:lang w:val="bg-BG"/>
              </w:rPr>
            </w:pPr>
            <w:r w:rsidRPr="00FC70C2">
              <w:rPr>
                <w:rFonts w:ascii="Arial Narrow" w:hAnsi="Arial Narrow" w:cs="Arial"/>
                <w:sz w:val="20"/>
                <w:szCs w:val="20"/>
                <w:lang w:val="bg-BG"/>
              </w:rPr>
              <w:t>1,2</w:t>
            </w:r>
          </w:p>
        </w:tc>
        <w:tc>
          <w:tcPr>
            <w:tcW w:w="1190" w:type="dxa"/>
            <w:tcBorders>
              <w:top w:val="nil"/>
              <w:left w:val="nil"/>
              <w:bottom w:val="single" w:sz="4" w:space="0" w:color="auto"/>
              <w:right w:val="single" w:sz="4" w:space="0" w:color="auto"/>
            </w:tcBorders>
            <w:shd w:val="clear" w:color="auto" w:fill="auto"/>
            <w:vAlign w:val="center"/>
          </w:tcPr>
          <w:p w14:paraId="6F91A011" w14:textId="77777777" w:rsidR="00FC70C2" w:rsidRPr="00FC70C2" w:rsidRDefault="00FC70C2" w:rsidP="00FC70C2">
            <w:pPr>
              <w:widowControl w:val="0"/>
              <w:jc w:val="right"/>
              <w:rPr>
                <w:rFonts w:ascii="Arial Narrow" w:hAnsi="Arial Narrow" w:cs="Arial"/>
                <w:sz w:val="20"/>
                <w:szCs w:val="20"/>
                <w:lang w:val="bg-BG"/>
              </w:rPr>
            </w:pPr>
            <w:r w:rsidRPr="00FC70C2">
              <w:rPr>
                <w:rFonts w:ascii="Arial Narrow" w:hAnsi="Arial Narrow" w:cs="Arial"/>
                <w:sz w:val="20"/>
                <w:szCs w:val="20"/>
                <w:lang w:val="bg-BG"/>
              </w:rPr>
              <w:t>2,5%</w:t>
            </w:r>
          </w:p>
        </w:tc>
      </w:tr>
      <w:tr w:rsidR="00FC70C2" w:rsidRPr="00FC70C2" w14:paraId="076B0886" w14:textId="77777777" w:rsidTr="003A2D79">
        <w:trPr>
          <w:trHeight w:hRule="exact" w:val="340"/>
          <w:jc w:val="center"/>
        </w:trPr>
        <w:tc>
          <w:tcPr>
            <w:tcW w:w="1885" w:type="dxa"/>
            <w:tcBorders>
              <w:top w:val="single" w:sz="4" w:space="0" w:color="auto"/>
              <w:bottom w:val="single" w:sz="4" w:space="0" w:color="auto"/>
              <w:right w:val="single" w:sz="4" w:space="0" w:color="auto"/>
            </w:tcBorders>
            <w:vAlign w:val="center"/>
          </w:tcPr>
          <w:p w14:paraId="38707479" w14:textId="77777777" w:rsidR="00FC70C2" w:rsidRPr="00FC70C2" w:rsidRDefault="00FC70C2" w:rsidP="00FC70C2">
            <w:pPr>
              <w:widowControl w:val="0"/>
              <w:rPr>
                <w:rFonts w:ascii="Arial Narrow" w:hAnsi="Arial Narrow" w:cs="Arial"/>
                <w:sz w:val="20"/>
                <w:szCs w:val="20"/>
                <w:lang w:val="bg-BG"/>
              </w:rPr>
            </w:pPr>
            <w:r w:rsidRPr="00FC70C2">
              <w:rPr>
                <w:rFonts w:ascii="Arial Narrow" w:hAnsi="Arial Narrow" w:cs="Arial"/>
                <w:sz w:val="20"/>
                <w:szCs w:val="20"/>
                <w:lang w:val="bg-BG"/>
              </w:rPr>
              <w:t>Южен централен</w:t>
            </w:r>
          </w:p>
        </w:tc>
        <w:tc>
          <w:tcPr>
            <w:tcW w:w="1500" w:type="dxa"/>
            <w:tcBorders>
              <w:top w:val="nil"/>
              <w:left w:val="nil"/>
              <w:bottom w:val="single" w:sz="4" w:space="0" w:color="auto"/>
              <w:right w:val="single" w:sz="4" w:space="0" w:color="auto"/>
            </w:tcBorders>
            <w:shd w:val="clear" w:color="auto" w:fill="auto"/>
            <w:vAlign w:val="center"/>
          </w:tcPr>
          <w:p w14:paraId="4D3112D5" w14:textId="77777777" w:rsidR="00FC70C2" w:rsidRPr="00FC70C2" w:rsidRDefault="00FC70C2" w:rsidP="00FC70C2">
            <w:pPr>
              <w:widowControl w:val="0"/>
              <w:jc w:val="right"/>
              <w:rPr>
                <w:rFonts w:ascii="Arial Narrow" w:hAnsi="Arial Narrow" w:cs="Arial"/>
                <w:sz w:val="20"/>
                <w:szCs w:val="20"/>
                <w:lang w:val="bg-BG"/>
              </w:rPr>
            </w:pPr>
            <w:r w:rsidRPr="00FC70C2">
              <w:rPr>
                <w:rFonts w:ascii="Arial Narrow" w:hAnsi="Arial Narrow" w:cs="Arial"/>
                <w:sz w:val="20"/>
                <w:szCs w:val="20"/>
                <w:lang w:val="bg-BG"/>
              </w:rPr>
              <w:t>75,6</w:t>
            </w:r>
          </w:p>
        </w:tc>
        <w:tc>
          <w:tcPr>
            <w:tcW w:w="1442" w:type="dxa"/>
            <w:tcBorders>
              <w:top w:val="nil"/>
              <w:left w:val="single" w:sz="4" w:space="0" w:color="auto"/>
              <w:bottom w:val="single" w:sz="4" w:space="0" w:color="auto"/>
              <w:right w:val="single" w:sz="4" w:space="0" w:color="auto"/>
            </w:tcBorders>
            <w:shd w:val="clear" w:color="auto" w:fill="auto"/>
            <w:vAlign w:val="center"/>
          </w:tcPr>
          <w:p w14:paraId="6EAC5D27" w14:textId="77777777" w:rsidR="00FC70C2" w:rsidRPr="00FC70C2" w:rsidRDefault="00FC70C2" w:rsidP="00FC70C2">
            <w:pPr>
              <w:widowControl w:val="0"/>
              <w:jc w:val="right"/>
              <w:rPr>
                <w:rFonts w:ascii="Arial Narrow" w:hAnsi="Arial Narrow" w:cs="Arial"/>
                <w:sz w:val="20"/>
                <w:szCs w:val="20"/>
                <w:lang w:val="bg-BG"/>
              </w:rPr>
            </w:pPr>
            <w:r w:rsidRPr="00FC70C2">
              <w:rPr>
                <w:rFonts w:ascii="Arial Narrow" w:hAnsi="Arial Narrow" w:cs="Arial"/>
                <w:sz w:val="20"/>
                <w:szCs w:val="20"/>
                <w:lang w:val="bg-BG"/>
              </w:rPr>
              <w:t>38,5</w:t>
            </w:r>
          </w:p>
        </w:tc>
        <w:tc>
          <w:tcPr>
            <w:tcW w:w="1250" w:type="dxa"/>
            <w:tcBorders>
              <w:top w:val="nil"/>
              <w:left w:val="nil"/>
              <w:bottom w:val="single" w:sz="4" w:space="0" w:color="auto"/>
              <w:right w:val="single" w:sz="4" w:space="0" w:color="auto"/>
            </w:tcBorders>
            <w:shd w:val="clear" w:color="auto" w:fill="auto"/>
            <w:vAlign w:val="center"/>
          </w:tcPr>
          <w:p w14:paraId="657E90F6" w14:textId="77777777" w:rsidR="00FC70C2" w:rsidRPr="00FC70C2" w:rsidRDefault="00FC70C2" w:rsidP="00FC70C2">
            <w:pPr>
              <w:widowControl w:val="0"/>
              <w:jc w:val="right"/>
              <w:rPr>
                <w:rFonts w:ascii="Arial Narrow" w:hAnsi="Arial Narrow" w:cs="Arial"/>
                <w:sz w:val="20"/>
                <w:szCs w:val="20"/>
                <w:lang w:val="bg-BG"/>
              </w:rPr>
            </w:pPr>
            <w:r w:rsidRPr="00FC70C2">
              <w:rPr>
                <w:rFonts w:ascii="Arial Narrow" w:hAnsi="Arial Narrow" w:cs="Arial"/>
                <w:sz w:val="20"/>
                <w:szCs w:val="20"/>
                <w:lang w:val="bg-BG"/>
              </w:rPr>
              <w:t>5,5%</w:t>
            </w:r>
          </w:p>
        </w:tc>
        <w:tc>
          <w:tcPr>
            <w:tcW w:w="1266" w:type="dxa"/>
            <w:tcBorders>
              <w:top w:val="nil"/>
              <w:left w:val="nil"/>
              <w:bottom w:val="single" w:sz="4" w:space="0" w:color="auto"/>
              <w:right w:val="single" w:sz="4" w:space="0" w:color="auto"/>
            </w:tcBorders>
            <w:shd w:val="clear" w:color="auto" w:fill="auto"/>
            <w:vAlign w:val="center"/>
          </w:tcPr>
          <w:p w14:paraId="438C0782" w14:textId="77777777" w:rsidR="00FC70C2" w:rsidRPr="00FC70C2" w:rsidRDefault="00FC70C2" w:rsidP="00FC70C2">
            <w:pPr>
              <w:widowControl w:val="0"/>
              <w:jc w:val="right"/>
              <w:rPr>
                <w:rFonts w:ascii="Arial Narrow" w:hAnsi="Arial Narrow" w:cs="Arial"/>
                <w:sz w:val="20"/>
                <w:szCs w:val="20"/>
                <w:lang w:val="bg-BG"/>
              </w:rPr>
            </w:pPr>
            <w:r w:rsidRPr="00FC70C2">
              <w:rPr>
                <w:rFonts w:ascii="Arial Narrow" w:hAnsi="Arial Narrow" w:cs="Arial"/>
                <w:sz w:val="20"/>
                <w:szCs w:val="20"/>
                <w:lang w:val="bg-BG"/>
              </w:rPr>
              <w:t>5,3</w:t>
            </w:r>
          </w:p>
        </w:tc>
        <w:tc>
          <w:tcPr>
            <w:tcW w:w="1263" w:type="dxa"/>
            <w:tcBorders>
              <w:top w:val="nil"/>
              <w:left w:val="single" w:sz="4" w:space="0" w:color="auto"/>
              <w:bottom w:val="single" w:sz="4" w:space="0" w:color="auto"/>
              <w:right w:val="single" w:sz="4" w:space="0" w:color="auto"/>
            </w:tcBorders>
            <w:shd w:val="clear" w:color="auto" w:fill="auto"/>
            <w:vAlign w:val="center"/>
          </w:tcPr>
          <w:p w14:paraId="6E08CD68" w14:textId="77777777" w:rsidR="00FC70C2" w:rsidRPr="00FC70C2" w:rsidRDefault="00FC70C2" w:rsidP="00FC70C2">
            <w:pPr>
              <w:widowControl w:val="0"/>
              <w:jc w:val="right"/>
              <w:rPr>
                <w:rFonts w:ascii="Arial Narrow" w:hAnsi="Arial Narrow" w:cs="Arial"/>
                <w:sz w:val="20"/>
                <w:szCs w:val="20"/>
                <w:lang w:val="bg-BG"/>
              </w:rPr>
            </w:pPr>
            <w:r w:rsidRPr="00FC70C2">
              <w:rPr>
                <w:rFonts w:ascii="Arial Narrow" w:hAnsi="Arial Narrow" w:cs="Arial"/>
                <w:sz w:val="20"/>
                <w:szCs w:val="20"/>
                <w:lang w:val="bg-BG"/>
              </w:rPr>
              <w:t>5,2</w:t>
            </w:r>
          </w:p>
        </w:tc>
        <w:tc>
          <w:tcPr>
            <w:tcW w:w="1190" w:type="dxa"/>
            <w:tcBorders>
              <w:top w:val="nil"/>
              <w:left w:val="nil"/>
              <w:bottom w:val="single" w:sz="4" w:space="0" w:color="auto"/>
              <w:right w:val="single" w:sz="4" w:space="0" w:color="auto"/>
            </w:tcBorders>
            <w:shd w:val="clear" w:color="auto" w:fill="auto"/>
            <w:vAlign w:val="center"/>
          </w:tcPr>
          <w:p w14:paraId="62BCFE0C" w14:textId="77777777" w:rsidR="00FC70C2" w:rsidRPr="00FC70C2" w:rsidRDefault="00FC70C2" w:rsidP="00FC70C2">
            <w:pPr>
              <w:widowControl w:val="0"/>
              <w:jc w:val="right"/>
              <w:rPr>
                <w:rFonts w:ascii="Arial Narrow" w:hAnsi="Arial Narrow" w:cs="Arial"/>
                <w:sz w:val="20"/>
                <w:szCs w:val="20"/>
                <w:lang w:val="bg-BG"/>
              </w:rPr>
            </w:pPr>
            <w:r w:rsidRPr="00FC70C2">
              <w:rPr>
                <w:rFonts w:ascii="Arial Narrow" w:hAnsi="Arial Narrow" w:cs="Arial"/>
                <w:sz w:val="20"/>
                <w:szCs w:val="20"/>
                <w:lang w:val="bg-BG"/>
              </w:rPr>
              <w:t>10,8%</w:t>
            </w:r>
          </w:p>
        </w:tc>
      </w:tr>
      <w:tr w:rsidR="00FC70C2" w:rsidRPr="00FC70C2" w14:paraId="16C6F849" w14:textId="77777777" w:rsidTr="003A2D79">
        <w:trPr>
          <w:trHeight w:hRule="exact" w:val="340"/>
          <w:jc w:val="center"/>
        </w:trPr>
        <w:tc>
          <w:tcPr>
            <w:tcW w:w="1885" w:type="dxa"/>
            <w:tcBorders>
              <w:top w:val="single" w:sz="4" w:space="0" w:color="auto"/>
              <w:bottom w:val="single" w:sz="4" w:space="0" w:color="auto"/>
              <w:right w:val="single" w:sz="4" w:space="0" w:color="auto"/>
            </w:tcBorders>
            <w:vAlign w:val="center"/>
          </w:tcPr>
          <w:p w14:paraId="3032C151" w14:textId="77777777" w:rsidR="00FC70C2" w:rsidRPr="00FC70C2" w:rsidRDefault="00FC70C2" w:rsidP="00FC70C2">
            <w:pPr>
              <w:widowControl w:val="0"/>
              <w:rPr>
                <w:rFonts w:ascii="Arial Narrow" w:hAnsi="Arial Narrow" w:cs="Arial"/>
                <w:b/>
                <w:sz w:val="20"/>
                <w:szCs w:val="20"/>
                <w:lang w:val="bg-BG"/>
              </w:rPr>
            </w:pPr>
            <w:r w:rsidRPr="00FC70C2">
              <w:rPr>
                <w:rFonts w:ascii="Arial Narrow" w:hAnsi="Arial Narrow" w:cs="Arial"/>
                <w:b/>
                <w:sz w:val="20"/>
                <w:szCs w:val="20"/>
                <w:lang w:val="bg-BG"/>
              </w:rPr>
              <w:t>Общо за страната</w:t>
            </w:r>
          </w:p>
        </w:tc>
        <w:tc>
          <w:tcPr>
            <w:tcW w:w="1500" w:type="dxa"/>
            <w:tcBorders>
              <w:top w:val="nil"/>
              <w:left w:val="nil"/>
              <w:bottom w:val="single" w:sz="4" w:space="0" w:color="auto"/>
              <w:right w:val="single" w:sz="4" w:space="0" w:color="auto"/>
            </w:tcBorders>
            <w:shd w:val="clear" w:color="auto" w:fill="auto"/>
            <w:vAlign w:val="center"/>
          </w:tcPr>
          <w:p w14:paraId="262F0297" w14:textId="77777777" w:rsidR="00FC70C2" w:rsidRPr="00FC70C2" w:rsidRDefault="00FC70C2" w:rsidP="00FC70C2">
            <w:pPr>
              <w:widowControl w:val="0"/>
              <w:jc w:val="right"/>
              <w:rPr>
                <w:rFonts w:ascii="Arial Narrow" w:hAnsi="Arial Narrow" w:cs="Arial"/>
                <w:b/>
                <w:sz w:val="20"/>
                <w:szCs w:val="20"/>
                <w:lang w:val="bg-BG"/>
              </w:rPr>
            </w:pPr>
            <w:r w:rsidRPr="00FC70C2">
              <w:rPr>
                <w:rFonts w:ascii="Arial Narrow" w:hAnsi="Arial Narrow" w:cs="Arial"/>
                <w:b/>
                <w:sz w:val="20"/>
                <w:szCs w:val="20"/>
                <w:lang w:val="bg-BG"/>
              </w:rPr>
              <w:t>724,7</w:t>
            </w:r>
          </w:p>
        </w:tc>
        <w:tc>
          <w:tcPr>
            <w:tcW w:w="1442" w:type="dxa"/>
            <w:tcBorders>
              <w:top w:val="nil"/>
              <w:left w:val="single" w:sz="4" w:space="0" w:color="auto"/>
              <w:bottom w:val="single" w:sz="4" w:space="0" w:color="auto"/>
              <w:right w:val="single" w:sz="4" w:space="0" w:color="auto"/>
            </w:tcBorders>
            <w:shd w:val="clear" w:color="auto" w:fill="auto"/>
            <w:vAlign w:val="center"/>
          </w:tcPr>
          <w:p w14:paraId="74831D3D" w14:textId="77777777" w:rsidR="00FC70C2" w:rsidRPr="00FC70C2" w:rsidRDefault="00FC70C2" w:rsidP="00FC70C2">
            <w:pPr>
              <w:widowControl w:val="0"/>
              <w:jc w:val="right"/>
              <w:rPr>
                <w:rFonts w:ascii="Arial Narrow" w:hAnsi="Arial Narrow" w:cs="Arial"/>
                <w:b/>
                <w:sz w:val="20"/>
                <w:szCs w:val="20"/>
                <w:lang w:val="bg-BG"/>
              </w:rPr>
            </w:pPr>
            <w:r w:rsidRPr="00FC70C2">
              <w:rPr>
                <w:rFonts w:ascii="Arial Narrow" w:hAnsi="Arial Narrow" w:cs="Arial"/>
                <w:b/>
                <w:sz w:val="20"/>
                <w:szCs w:val="20"/>
                <w:lang w:val="bg-BG"/>
              </w:rPr>
              <w:t>700,8</w:t>
            </w:r>
          </w:p>
        </w:tc>
        <w:tc>
          <w:tcPr>
            <w:tcW w:w="1250" w:type="dxa"/>
            <w:tcBorders>
              <w:top w:val="nil"/>
              <w:left w:val="nil"/>
              <w:bottom w:val="single" w:sz="4" w:space="0" w:color="auto"/>
              <w:right w:val="single" w:sz="4" w:space="0" w:color="auto"/>
            </w:tcBorders>
            <w:shd w:val="clear" w:color="auto" w:fill="auto"/>
            <w:vAlign w:val="center"/>
          </w:tcPr>
          <w:p w14:paraId="6505AAD0" w14:textId="77777777" w:rsidR="00FC70C2" w:rsidRPr="00FC70C2" w:rsidRDefault="00FC70C2" w:rsidP="00FC70C2">
            <w:pPr>
              <w:widowControl w:val="0"/>
              <w:jc w:val="right"/>
              <w:rPr>
                <w:rFonts w:ascii="Arial Narrow" w:hAnsi="Arial Narrow" w:cs="Arial"/>
                <w:b/>
                <w:sz w:val="20"/>
                <w:szCs w:val="20"/>
                <w:lang w:val="bg-BG"/>
              </w:rPr>
            </w:pPr>
            <w:r w:rsidRPr="00FC70C2">
              <w:rPr>
                <w:rFonts w:ascii="Arial Narrow" w:hAnsi="Arial Narrow" w:cs="Arial"/>
                <w:b/>
                <w:sz w:val="20"/>
                <w:szCs w:val="20"/>
                <w:lang w:val="bg-BG"/>
              </w:rPr>
              <w:t>100%</w:t>
            </w:r>
          </w:p>
        </w:tc>
        <w:tc>
          <w:tcPr>
            <w:tcW w:w="1266" w:type="dxa"/>
            <w:tcBorders>
              <w:top w:val="nil"/>
              <w:left w:val="nil"/>
              <w:bottom w:val="single" w:sz="4" w:space="0" w:color="auto"/>
              <w:right w:val="single" w:sz="4" w:space="0" w:color="auto"/>
            </w:tcBorders>
            <w:shd w:val="clear" w:color="auto" w:fill="auto"/>
            <w:vAlign w:val="center"/>
          </w:tcPr>
          <w:p w14:paraId="2576DEEE" w14:textId="77777777" w:rsidR="00FC70C2" w:rsidRPr="00FC70C2" w:rsidRDefault="00FC70C2" w:rsidP="00FC70C2">
            <w:pPr>
              <w:widowControl w:val="0"/>
              <w:jc w:val="right"/>
              <w:rPr>
                <w:rFonts w:ascii="Arial Narrow" w:hAnsi="Arial Narrow" w:cs="Arial"/>
                <w:b/>
                <w:sz w:val="20"/>
                <w:szCs w:val="20"/>
                <w:lang w:val="bg-BG"/>
              </w:rPr>
            </w:pPr>
            <w:r w:rsidRPr="00FC70C2">
              <w:rPr>
                <w:rFonts w:ascii="Arial Narrow" w:hAnsi="Arial Narrow" w:cs="Arial"/>
                <w:b/>
                <w:sz w:val="20"/>
                <w:szCs w:val="20"/>
                <w:lang w:val="bg-BG"/>
              </w:rPr>
              <w:t>54,0</w:t>
            </w:r>
          </w:p>
        </w:tc>
        <w:tc>
          <w:tcPr>
            <w:tcW w:w="1263" w:type="dxa"/>
            <w:tcBorders>
              <w:top w:val="nil"/>
              <w:left w:val="single" w:sz="4" w:space="0" w:color="auto"/>
              <w:bottom w:val="single" w:sz="4" w:space="0" w:color="auto"/>
              <w:right w:val="single" w:sz="4" w:space="0" w:color="auto"/>
            </w:tcBorders>
            <w:shd w:val="clear" w:color="auto" w:fill="auto"/>
            <w:vAlign w:val="center"/>
          </w:tcPr>
          <w:p w14:paraId="5C53237B" w14:textId="77777777" w:rsidR="00FC70C2" w:rsidRPr="00FC70C2" w:rsidRDefault="00FC70C2" w:rsidP="00FC70C2">
            <w:pPr>
              <w:widowControl w:val="0"/>
              <w:jc w:val="right"/>
              <w:rPr>
                <w:rFonts w:ascii="Arial Narrow" w:hAnsi="Arial Narrow" w:cs="Arial"/>
                <w:b/>
                <w:sz w:val="20"/>
                <w:szCs w:val="20"/>
                <w:lang w:val="bg-BG"/>
              </w:rPr>
            </w:pPr>
            <w:r w:rsidRPr="00FC70C2">
              <w:rPr>
                <w:rFonts w:ascii="Arial Narrow" w:hAnsi="Arial Narrow" w:cs="Arial"/>
                <w:b/>
                <w:sz w:val="20"/>
                <w:szCs w:val="20"/>
                <w:lang w:val="bg-BG"/>
              </w:rPr>
              <w:t>47,6</w:t>
            </w:r>
          </w:p>
        </w:tc>
        <w:tc>
          <w:tcPr>
            <w:tcW w:w="1190" w:type="dxa"/>
            <w:tcBorders>
              <w:top w:val="nil"/>
              <w:left w:val="nil"/>
              <w:bottom w:val="single" w:sz="4" w:space="0" w:color="auto"/>
              <w:right w:val="single" w:sz="4" w:space="0" w:color="auto"/>
            </w:tcBorders>
            <w:shd w:val="clear" w:color="auto" w:fill="auto"/>
            <w:vAlign w:val="center"/>
          </w:tcPr>
          <w:p w14:paraId="7C850969" w14:textId="77777777" w:rsidR="00FC70C2" w:rsidRPr="00FC70C2" w:rsidRDefault="00FC70C2" w:rsidP="00FC70C2">
            <w:pPr>
              <w:widowControl w:val="0"/>
              <w:jc w:val="right"/>
              <w:rPr>
                <w:rFonts w:ascii="Arial Narrow" w:hAnsi="Arial Narrow" w:cs="Arial"/>
                <w:b/>
                <w:sz w:val="20"/>
                <w:szCs w:val="20"/>
                <w:lang w:val="bg-BG"/>
              </w:rPr>
            </w:pPr>
            <w:r w:rsidRPr="00FC70C2">
              <w:rPr>
                <w:rFonts w:ascii="Arial Narrow" w:hAnsi="Arial Narrow" w:cs="Arial"/>
                <w:b/>
                <w:sz w:val="20"/>
                <w:szCs w:val="20"/>
                <w:lang w:val="bg-BG"/>
              </w:rPr>
              <w:t>100%</w:t>
            </w:r>
          </w:p>
        </w:tc>
      </w:tr>
    </w:tbl>
    <w:p w14:paraId="6A2FB4CD" w14:textId="77777777" w:rsidR="00FC70C2" w:rsidRPr="00725099" w:rsidRDefault="00FC70C2" w:rsidP="00FC70C2">
      <w:pPr>
        <w:widowControl w:val="0"/>
        <w:spacing w:after="120"/>
        <w:rPr>
          <w:rFonts w:ascii="Arial Narrow" w:eastAsia="Calibri" w:hAnsi="Arial Narrow" w:cs="Arial"/>
          <w:bCs/>
          <w:sz w:val="18"/>
          <w:szCs w:val="18"/>
          <w:u w:val="single"/>
        </w:rPr>
      </w:pPr>
      <w:r w:rsidRPr="00725099">
        <w:rPr>
          <w:rFonts w:ascii="Arial Narrow" w:eastAsia="Calibri" w:hAnsi="Arial Narrow" w:cs="Arial"/>
          <w:i/>
          <w:sz w:val="18"/>
          <w:szCs w:val="18"/>
          <w:lang w:val="bg-BG"/>
        </w:rPr>
        <w:t xml:space="preserve">Източник: </w:t>
      </w:r>
      <w:r w:rsidRPr="00725099">
        <w:rPr>
          <w:rFonts w:ascii="Arial Narrow" w:eastAsia="Calibri" w:hAnsi="Arial Narrow" w:cs="Arial"/>
          <w:sz w:val="18"/>
          <w:szCs w:val="18"/>
          <w:lang w:val="bg-BG"/>
        </w:rPr>
        <w:t xml:space="preserve">МЗХ, отдел „Агростатистика”    </w:t>
      </w:r>
    </w:p>
    <w:p w14:paraId="433803B9" w14:textId="77777777" w:rsidR="00FC70C2" w:rsidRPr="00FC70C2" w:rsidRDefault="00FC70C2" w:rsidP="00FC70C2">
      <w:pPr>
        <w:widowControl w:val="0"/>
        <w:autoSpaceDE w:val="0"/>
        <w:autoSpaceDN w:val="0"/>
        <w:adjustRightInd w:val="0"/>
        <w:spacing w:after="120"/>
        <w:ind w:firstLine="709"/>
        <w:jc w:val="both"/>
        <w:rPr>
          <w:rFonts w:ascii="Arial Narrow" w:eastAsia="Calibri" w:hAnsi="Arial Narrow" w:cs="Arial"/>
          <w:lang w:val="bg-BG" w:eastAsia="bg-BG"/>
        </w:rPr>
      </w:pPr>
      <w:r w:rsidRPr="00FC70C2">
        <w:rPr>
          <w:rFonts w:ascii="Arial Narrow" w:eastAsia="Calibri" w:hAnsi="Arial Narrow" w:cs="Arial"/>
          <w:lang w:val="bg-BG" w:eastAsia="bg-BG"/>
        </w:rPr>
        <w:t>Към края на 2024 г. общият брой на стопанствата, отглеждащи женски свине за разплод (над 50 кг) е с 16,5% под нивото отпреди една година, а броят на животните в тях - с 11,6%. Макар дребните стопанства с 1 - 2 животни да спадат с 40,6%, общият брой на отглежданите в тях свине се запазва.</w:t>
      </w:r>
      <w:r w:rsidRPr="00FC70C2">
        <w:rPr>
          <w:rFonts w:ascii="Calibri" w:eastAsia="Calibri" w:hAnsi="Calibri" w:cs="Arial"/>
          <w:sz w:val="22"/>
          <w:szCs w:val="22"/>
          <w:lang w:val="bg-BG"/>
        </w:rPr>
        <w:t xml:space="preserve"> </w:t>
      </w:r>
      <w:r w:rsidRPr="00FC70C2">
        <w:rPr>
          <w:rFonts w:ascii="Arial Narrow" w:eastAsia="Calibri" w:hAnsi="Arial Narrow" w:cs="Arial"/>
          <w:lang w:val="bg-BG" w:eastAsia="bg-BG"/>
        </w:rPr>
        <w:t>Стопанствата с 3 - 9 женски свине са с 24,4% по-малко на годишна база, а животните в тях – с 33,3%. Единствено при броя на големите свинекомплекси с 200 и повече животни се наблюдава увеличение - с 15,4%, но свинете в тях намаляват с 11,4%. В тези стопанства се отглеждат около 95% от всички женски свине за разплод в страната.</w:t>
      </w:r>
    </w:p>
    <w:p w14:paraId="56F3B595" w14:textId="77777777" w:rsidR="00FC70C2" w:rsidRPr="00FC70C2" w:rsidRDefault="00FC70C2" w:rsidP="00FC70C2">
      <w:pPr>
        <w:widowControl w:val="0"/>
        <w:tabs>
          <w:tab w:val="left" w:pos="180"/>
        </w:tabs>
        <w:spacing w:after="120"/>
        <w:jc w:val="both"/>
        <w:rPr>
          <w:rFonts w:ascii="Arial Narrow" w:eastAsia="Calibri" w:hAnsi="Arial Narrow" w:cs="Arial"/>
          <w:b/>
          <w:lang w:val="bg-BG"/>
        </w:rPr>
      </w:pPr>
      <w:r w:rsidRPr="00FC70C2">
        <w:rPr>
          <w:rFonts w:ascii="Arial Narrow" w:eastAsia="Calibri" w:hAnsi="Arial Narrow" w:cs="Arial"/>
          <w:b/>
          <w:lang w:val="bg-BG"/>
        </w:rPr>
        <w:t>Таблица ІІ.23. Разпределение на женските свине за разплод над 50 кг според броя на отглежданите животни в стопанство към 01.11.2024 г.</w:t>
      </w:r>
    </w:p>
    <w:tbl>
      <w:tblPr>
        <w:tblW w:w="97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97"/>
        <w:gridCol w:w="1987"/>
        <w:gridCol w:w="2092"/>
        <w:gridCol w:w="1978"/>
        <w:gridCol w:w="2093"/>
      </w:tblGrid>
      <w:tr w:rsidR="00FC70C2" w:rsidRPr="00FC70C2" w14:paraId="0AEE8579" w14:textId="77777777" w:rsidTr="003A2D79">
        <w:trPr>
          <w:trHeight w:val="397"/>
          <w:tblHeader/>
          <w:jc w:val="center"/>
        </w:trPr>
        <w:tc>
          <w:tcPr>
            <w:tcW w:w="1597" w:type="dxa"/>
            <w:vMerge w:val="restart"/>
            <w:vAlign w:val="center"/>
          </w:tcPr>
          <w:p w14:paraId="5E8A0C1D" w14:textId="77777777" w:rsidR="00FC70C2" w:rsidRPr="00FC70C2" w:rsidRDefault="00FC70C2" w:rsidP="00FC70C2">
            <w:pPr>
              <w:keepNext/>
              <w:widowControl w:val="0"/>
              <w:jc w:val="center"/>
              <w:rPr>
                <w:rFonts w:ascii="Arial Narrow" w:hAnsi="Arial Narrow"/>
                <w:b/>
                <w:sz w:val="20"/>
                <w:szCs w:val="20"/>
                <w:lang w:val="bg-BG"/>
              </w:rPr>
            </w:pPr>
            <w:r w:rsidRPr="00FC70C2">
              <w:rPr>
                <w:rFonts w:ascii="Arial Narrow" w:hAnsi="Arial Narrow"/>
                <w:b/>
                <w:sz w:val="20"/>
                <w:szCs w:val="20"/>
                <w:lang w:val="bg-BG"/>
              </w:rPr>
              <w:t>Брой животни в стопанство</w:t>
            </w:r>
          </w:p>
        </w:tc>
        <w:tc>
          <w:tcPr>
            <w:tcW w:w="4079" w:type="dxa"/>
            <w:gridSpan w:val="2"/>
            <w:vAlign w:val="center"/>
          </w:tcPr>
          <w:p w14:paraId="70FF9F75" w14:textId="77777777" w:rsidR="00FC70C2" w:rsidRPr="00FC70C2" w:rsidRDefault="00FC70C2" w:rsidP="00FC70C2">
            <w:pPr>
              <w:keepNext/>
              <w:widowControl w:val="0"/>
              <w:jc w:val="center"/>
              <w:rPr>
                <w:rFonts w:ascii="Arial Narrow" w:hAnsi="Arial Narrow"/>
                <w:b/>
                <w:sz w:val="20"/>
                <w:szCs w:val="20"/>
                <w:lang w:val="bg-BG"/>
              </w:rPr>
            </w:pPr>
            <w:r w:rsidRPr="00FC70C2">
              <w:rPr>
                <w:rFonts w:ascii="Arial Narrow" w:hAnsi="Arial Narrow"/>
                <w:b/>
                <w:sz w:val="20"/>
                <w:szCs w:val="20"/>
                <w:lang w:val="bg-BG"/>
              </w:rPr>
              <w:t>Стопанства</w:t>
            </w:r>
          </w:p>
        </w:tc>
        <w:tc>
          <w:tcPr>
            <w:tcW w:w="4071" w:type="dxa"/>
            <w:gridSpan w:val="2"/>
            <w:vAlign w:val="center"/>
          </w:tcPr>
          <w:p w14:paraId="19952D10" w14:textId="77777777" w:rsidR="00FC70C2" w:rsidRPr="00FC70C2" w:rsidRDefault="00FC70C2" w:rsidP="00FC70C2">
            <w:pPr>
              <w:keepNext/>
              <w:widowControl w:val="0"/>
              <w:jc w:val="center"/>
              <w:rPr>
                <w:rFonts w:ascii="Arial Narrow" w:hAnsi="Arial Narrow"/>
                <w:b/>
                <w:sz w:val="20"/>
                <w:szCs w:val="20"/>
                <w:lang w:val="bg-BG"/>
              </w:rPr>
            </w:pPr>
            <w:r w:rsidRPr="00FC70C2">
              <w:rPr>
                <w:rFonts w:ascii="Arial Narrow" w:hAnsi="Arial Narrow"/>
                <w:b/>
                <w:sz w:val="20"/>
                <w:szCs w:val="20"/>
                <w:lang w:val="bg-BG"/>
              </w:rPr>
              <w:t>Женски свине за разплод над 50 кг</w:t>
            </w:r>
          </w:p>
        </w:tc>
      </w:tr>
      <w:tr w:rsidR="00FC70C2" w:rsidRPr="00FC70C2" w14:paraId="5C15FB7B" w14:textId="77777777" w:rsidTr="003A2D79">
        <w:trPr>
          <w:trHeight w:val="624"/>
          <w:tblHeader/>
          <w:jc w:val="center"/>
        </w:trPr>
        <w:tc>
          <w:tcPr>
            <w:tcW w:w="1597" w:type="dxa"/>
            <w:vMerge/>
            <w:vAlign w:val="center"/>
          </w:tcPr>
          <w:p w14:paraId="7B833172" w14:textId="77777777" w:rsidR="00FC70C2" w:rsidRPr="00FC70C2" w:rsidRDefault="00FC70C2" w:rsidP="00FC70C2">
            <w:pPr>
              <w:widowControl w:val="0"/>
              <w:jc w:val="center"/>
              <w:rPr>
                <w:rFonts w:ascii="Arial Narrow" w:hAnsi="Arial Narrow"/>
                <w:sz w:val="20"/>
                <w:szCs w:val="20"/>
                <w:lang w:val="bg-BG"/>
              </w:rPr>
            </w:pPr>
          </w:p>
        </w:tc>
        <w:tc>
          <w:tcPr>
            <w:tcW w:w="1987" w:type="dxa"/>
            <w:vAlign w:val="center"/>
          </w:tcPr>
          <w:p w14:paraId="730CCEFB" w14:textId="77777777" w:rsidR="00FC70C2" w:rsidRPr="00FC70C2" w:rsidRDefault="00FC70C2" w:rsidP="00FC70C2">
            <w:pPr>
              <w:widowControl w:val="0"/>
              <w:jc w:val="center"/>
              <w:rPr>
                <w:rFonts w:ascii="Arial Narrow" w:hAnsi="Arial Narrow"/>
                <w:b/>
                <w:sz w:val="20"/>
                <w:szCs w:val="20"/>
                <w:lang w:val="bg-BG"/>
              </w:rPr>
            </w:pPr>
            <w:r w:rsidRPr="00FC70C2">
              <w:rPr>
                <w:rFonts w:ascii="Arial Narrow" w:hAnsi="Arial Narrow"/>
                <w:b/>
                <w:sz w:val="20"/>
                <w:szCs w:val="20"/>
                <w:lang w:val="bg-BG"/>
              </w:rPr>
              <w:t>Брой</w:t>
            </w:r>
          </w:p>
        </w:tc>
        <w:tc>
          <w:tcPr>
            <w:tcW w:w="2092" w:type="dxa"/>
            <w:vAlign w:val="center"/>
          </w:tcPr>
          <w:p w14:paraId="4D6D7B07" w14:textId="77777777" w:rsidR="00FC70C2" w:rsidRPr="00FC70C2" w:rsidRDefault="00FC70C2" w:rsidP="00FC70C2">
            <w:pPr>
              <w:widowControl w:val="0"/>
              <w:jc w:val="center"/>
              <w:rPr>
                <w:rFonts w:ascii="Arial Narrow" w:hAnsi="Arial Narrow"/>
                <w:b/>
                <w:sz w:val="20"/>
                <w:szCs w:val="20"/>
                <w:lang w:val="bg-BG"/>
              </w:rPr>
            </w:pPr>
            <w:r w:rsidRPr="00FC70C2">
              <w:rPr>
                <w:rFonts w:ascii="Arial Narrow" w:hAnsi="Arial Narrow"/>
                <w:b/>
                <w:sz w:val="20"/>
                <w:szCs w:val="20"/>
                <w:lang w:val="bg-BG"/>
              </w:rPr>
              <w:t>Изменение</w:t>
            </w:r>
          </w:p>
          <w:p w14:paraId="7C15A184" w14:textId="77777777" w:rsidR="00FC70C2" w:rsidRPr="00FC70C2" w:rsidRDefault="00FC70C2" w:rsidP="00FC70C2">
            <w:pPr>
              <w:widowControl w:val="0"/>
              <w:jc w:val="center"/>
              <w:rPr>
                <w:rFonts w:ascii="Arial Narrow" w:hAnsi="Arial Narrow"/>
                <w:b/>
                <w:sz w:val="20"/>
                <w:szCs w:val="20"/>
              </w:rPr>
            </w:pPr>
            <w:r w:rsidRPr="00FC70C2">
              <w:rPr>
                <w:rFonts w:ascii="Arial Narrow" w:hAnsi="Arial Narrow"/>
                <w:b/>
                <w:sz w:val="20"/>
                <w:szCs w:val="20"/>
                <w:lang w:val="bg-BG"/>
              </w:rPr>
              <w:t>2024/2023</w:t>
            </w:r>
          </w:p>
        </w:tc>
        <w:tc>
          <w:tcPr>
            <w:tcW w:w="1978" w:type="dxa"/>
            <w:vAlign w:val="center"/>
          </w:tcPr>
          <w:p w14:paraId="64E24D52" w14:textId="77777777" w:rsidR="00FC70C2" w:rsidRPr="00FC70C2" w:rsidRDefault="00FC70C2" w:rsidP="00FC70C2">
            <w:pPr>
              <w:widowControl w:val="0"/>
              <w:jc w:val="center"/>
              <w:rPr>
                <w:rFonts w:ascii="Arial Narrow" w:hAnsi="Arial Narrow"/>
                <w:b/>
                <w:sz w:val="20"/>
                <w:szCs w:val="20"/>
                <w:lang w:val="bg-BG"/>
              </w:rPr>
            </w:pPr>
            <w:r w:rsidRPr="00FC70C2">
              <w:rPr>
                <w:rFonts w:ascii="Arial Narrow" w:hAnsi="Arial Narrow"/>
                <w:b/>
                <w:sz w:val="20"/>
                <w:szCs w:val="20"/>
                <w:lang w:val="bg-BG"/>
              </w:rPr>
              <w:t>Хил. броя</w:t>
            </w:r>
          </w:p>
        </w:tc>
        <w:tc>
          <w:tcPr>
            <w:tcW w:w="2093" w:type="dxa"/>
            <w:vAlign w:val="center"/>
          </w:tcPr>
          <w:p w14:paraId="58BD331B" w14:textId="77777777" w:rsidR="00FC70C2" w:rsidRPr="00FC70C2" w:rsidRDefault="00FC70C2" w:rsidP="00FC70C2">
            <w:pPr>
              <w:widowControl w:val="0"/>
              <w:jc w:val="center"/>
              <w:rPr>
                <w:rFonts w:ascii="Arial Narrow" w:hAnsi="Arial Narrow"/>
                <w:b/>
                <w:sz w:val="20"/>
                <w:szCs w:val="20"/>
                <w:lang w:val="bg-BG"/>
              </w:rPr>
            </w:pPr>
            <w:r w:rsidRPr="00FC70C2">
              <w:rPr>
                <w:rFonts w:ascii="Arial Narrow" w:hAnsi="Arial Narrow"/>
                <w:b/>
                <w:sz w:val="20"/>
                <w:szCs w:val="20"/>
                <w:lang w:val="bg-BG"/>
              </w:rPr>
              <w:t>Изменение</w:t>
            </w:r>
          </w:p>
          <w:p w14:paraId="6D5E775C" w14:textId="77777777" w:rsidR="00FC70C2" w:rsidRPr="00FC70C2" w:rsidRDefault="00FC70C2" w:rsidP="00FC70C2">
            <w:pPr>
              <w:widowControl w:val="0"/>
              <w:jc w:val="center"/>
              <w:rPr>
                <w:rFonts w:ascii="Arial Narrow" w:hAnsi="Arial Narrow"/>
                <w:b/>
                <w:sz w:val="20"/>
                <w:szCs w:val="20"/>
              </w:rPr>
            </w:pPr>
            <w:r w:rsidRPr="00FC70C2">
              <w:rPr>
                <w:rFonts w:ascii="Arial Narrow" w:hAnsi="Arial Narrow"/>
                <w:b/>
                <w:sz w:val="20"/>
                <w:szCs w:val="20"/>
                <w:lang w:val="bg-BG"/>
              </w:rPr>
              <w:t>2024/2023</w:t>
            </w:r>
          </w:p>
        </w:tc>
      </w:tr>
      <w:tr w:rsidR="00FC70C2" w:rsidRPr="00FC70C2" w14:paraId="155E42F0" w14:textId="77777777" w:rsidTr="003A2D79">
        <w:trPr>
          <w:trHeight w:val="340"/>
          <w:jc w:val="center"/>
        </w:trPr>
        <w:tc>
          <w:tcPr>
            <w:tcW w:w="1597" w:type="dxa"/>
            <w:vAlign w:val="center"/>
          </w:tcPr>
          <w:p w14:paraId="525D8FA6" w14:textId="77777777" w:rsidR="00FC70C2" w:rsidRPr="00FC70C2" w:rsidRDefault="00FC70C2" w:rsidP="00FC70C2">
            <w:pPr>
              <w:widowControl w:val="0"/>
              <w:rPr>
                <w:rFonts w:ascii="Arial Narrow" w:hAnsi="Arial Narrow"/>
                <w:sz w:val="20"/>
                <w:szCs w:val="20"/>
                <w:lang w:val="bg-BG" w:eastAsia="bg-BG"/>
              </w:rPr>
            </w:pPr>
            <w:r w:rsidRPr="00FC70C2">
              <w:rPr>
                <w:rFonts w:ascii="Arial Narrow" w:hAnsi="Arial Narrow"/>
                <w:sz w:val="20"/>
                <w:szCs w:val="20"/>
                <w:lang w:val="bg-BG" w:eastAsia="bg-BG"/>
              </w:rPr>
              <w:t>1-2</w:t>
            </w:r>
          </w:p>
        </w:tc>
        <w:tc>
          <w:tcPr>
            <w:tcW w:w="1987" w:type="dxa"/>
            <w:tcBorders>
              <w:top w:val="single" w:sz="4" w:space="0" w:color="auto"/>
              <w:left w:val="single" w:sz="4" w:space="0" w:color="auto"/>
              <w:bottom w:val="single" w:sz="4" w:space="0" w:color="auto"/>
              <w:right w:val="single" w:sz="4" w:space="0" w:color="auto"/>
            </w:tcBorders>
            <w:shd w:val="clear" w:color="auto" w:fill="auto"/>
            <w:vAlign w:val="center"/>
          </w:tcPr>
          <w:p w14:paraId="6A5CB7B5" w14:textId="77777777" w:rsidR="00FC70C2" w:rsidRPr="00FC70C2" w:rsidRDefault="00FC70C2" w:rsidP="00FC70C2">
            <w:pPr>
              <w:widowControl w:val="0"/>
              <w:jc w:val="right"/>
              <w:rPr>
                <w:rFonts w:ascii="Arial Narrow" w:hAnsi="Arial Narrow"/>
                <w:sz w:val="20"/>
                <w:szCs w:val="20"/>
                <w:lang w:val="bg-BG" w:eastAsia="bg-BG"/>
              </w:rPr>
            </w:pPr>
            <w:r w:rsidRPr="00FC70C2">
              <w:rPr>
                <w:rFonts w:ascii="Arial Narrow" w:hAnsi="Arial Narrow"/>
                <w:sz w:val="20"/>
                <w:szCs w:val="20"/>
                <w:lang w:val="bg-BG" w:eastAsia="bg-BG"/>
              </w:rPr>
              <w:t>41</w:t>
            </w:r>
          </w:p>
        </w:tc>
        <w:tc>
          <w:tcPr>
            <w:tcW w:w="2092" w:type="dxa"/>
            <w:tcBorders>
              <w:top w:val="single" w:sz="4" w:space="0" w:color="auto"/>
              <w:left w:val="nil"/>
              <w:bottom w:val="single" w:sz="4" w:space="0" w:color="auto"/>
              <w:right w:val="single" w:sz="4" w:space="0" w:color="auto"/>
            </w:tcBorders>
            <w:shd w:val="clear" w:color="auto" w:fill="auto"/>
            <w:vAlign w:val="center"/>
          </w:tcPr>
          <w:p w14:paraId="020083E2" w14:textId="77777777" w:rsidR="00FC70C2" w:rsidRPr="00FC70C2" w:rsidRDefault="00FC70C2" w:rsidP="00FC70C2">
            <w:pPr>
              <w:widowControl w:val="0"/>
              <w:jc w:val="right"/>
              <w:rPr>
                <w:rFonts w:ascii="Arial Narrow" w:hAnsi="Arial Narrow"/>
                <w:sz w:val="20"/>
                <w:szCs w:val="20"/>
                <w:lang w:val="bg-BG" w:eastAsia="bg-BG"/>
              </w:rPr>
            </w:pPr>
            <w:r w:rsidRPr="00FC70C2">
              <w:rPr>
                <w:rFonts w:ascii="Arial Narrow" w:hAnsi="Arial Narrow"/>
                <w:sz w:val="20"/>
                <w:szCs w:val="20"/>
                <w:lang w:val="bg-BG" w:eastAsia="bg-BG"/>
              </w:rPr>
              <w:t>-40,6%</w:t>
            </w:r>
          </w:p>
        </w:tc>
        <w:tc>
          <w:tcPr>
            <w:tcW w:w="1978" w:type="dxa"/>
            <w:tcBorders>
              <w:top w:val="single" w:sz="4" w:space="0" w:color="auto"/>
              <w:left w:val="nil"/>
              <w:bottom w:val="single" w:sz="4" w:space="0" w:color="auto"/>
              <w:right w:val="single" w:sz="4" w:space="0" w:color="auto"/>
            </w:tcBorders>
            <w:shd w:val="clear" w:color="auto" w:fill="auto"/>
            <w:vAlign w:val="center"/>
          </w:tcPr>
          <w:p w14:paraId="68D02282" w14:textId="77777777" w:rsidR="00FC70C2" w:rsidRPr="00FC70C2" w:rsidRDefault="00FC70C2" w:rsidP="00FC70C2">
            <w:pPr>
              <w:widowControl w:val="0"/>
              <w:jc w:val="right"/>
              <w:rPr>
                <w:rFonts w:ascii="Arial Narrow" w:hAnsi="Arial Narrow"/>
                <w:sz w:val="20"/>
                <w:szCs w:val="20"/>
                <w:lang w:val="bg-BG" w:eastAsia="bg-BG"/>
              </w:rPr>
            </w:pPr>
            <w:r w:rsidRPr="00FC70C2">
              <w:rPr>
                <w:rFonts w:ascii="Arial Narrow" w:hAnsi="Arial Narrow"/>
                <w:sz w:val="20"/>
                <w:szCs w:val="20"/>
                <w:lang w:val="bg-BG" w:eastAsia="bg-BG"/>
              </w:rPr>
              <w:t>0,1</w:t>
            </w:r>
          </w:p>
        </w:tc>
        <w:tc>
          <w:tcPr>
            <w:tcW w:w="2093" w:type="dxa"/>
            <w:tcBorders>
              <w:top w:val="single" w:sz="4" w:space="0" w:color="auto"/>
              <w:left w:val="nil"/>
              <w:bottom w:val="single" w:sz="4" w:space="0" w:color="auto"/>
              <w:right w:val="single" w:sz="4" w:space="0" w:color="auto"/>
            </w:tcBorders>
            <w:shd w:val="clear" w:color="auto" w:fill="auto"/>
            <w:vAlign w:val="center"/>
          </w:tcPr>
          <w:p w14:paraId="13C8B1EB" w14:textId="77777777" w:rsidR="00FC70C2" w:rsidRPr="00FC70C2" w:rsidRDefault="00FC70C2" w:rsidP="00FC70C2">
            <w:pPr>
              <w:widowControl w:val="0"/>
              <w:jc w:val="right"/>
              <w:rPr>
                <w:rFonts w:ascii="Arial Narrow" w:hAnsi="Arial Narrow"/>
                <w:sz w:val="20"/>
                <w:szCs w:val="20"/>
                <w:lang w:val="bg-BG" w:eastAsia="bg-BG"/>
              </w:rPr>
            </w:pPr>
            <w:r w:rsidRPr="00FC70C2">
              <w:rPr>
                <w:rFonts w:ascii="Arial Narrow" w:hAnsi="Arial Narrow"/>
                <w:sz w:val="20"/>
                <w:szCs w:val="20"/>
                <w:lang w:val="bg-BG" w:eastAsia="bg-BG"/>
              </w:rPr>
              <w:t>0,0%</w:t>
            </w:r>
          </w:p>
        </w:tc>
      </w:tr>
      <w:tr w:rsidR="00FC70C2" w:rsidRPr="00FC70C2" w14:paraId="6725C32A" w14:textId="77777777" w:rsidTr="003A2D79">
        <w:trPr>
          <w:trHeight w:val="340"/>
          <w:jc w:val="center"/>
        </w:trPr>
        <w:tc>
          <w:tcPr>
            <w:tcW w:w="1597" w:type="dxa"/>
            <w:vAlign w:val="center"/>
          </w:tcPr>
          <w:p w14:paraId="5C3ABE5D" w14:textId="77777777" w:rsidR="00FC70C2" w:rsidRPr="00FC70C2" w:rsidRDefault="00FC70C2" w:rsidP="00FC70C2">
            <w:pPr>
              <w:widowControl w:val="0"/>
              <w:rPr>
                <w:rFonts w:ascii="Arial Narrow" w:hAnsi="Arial Narrow"/>
                <w:sz w:val="20"/>
                <w:szCs w:val="20"/>
                <w:lang w:val="bg-BG" w:eastAsia="bg-BG"/>
              </w:rPr>
            </w:pPr>
            <w:r w:rsidRPr="00FC70C2">
              <w:rPr>
                <w:rFonts w:ascii="Arial Narrow" w:hAnsi="Arial Narrow"/>
                <w:sz w:val="20"/>
                <w:szCs w:val="20"/>
                <w:lang w:val="bg-BG" w:eastAsia="bg-BG"/>
              </w:rPr>
              <w:t>3-9</w:t>
            </w:r>
          </w:p>
        </w:tc>
        <w:tc>
          <w:tcPr>
            <w:tcW w:w="1987" w:type="dxa"/>
            <w:tcBorders>
              <w:top w:val="nil"/>
              <w:left w:val="single" w:sz="4" w:space="0" w:color="auto"/>
              <w:bottom w:val="single" w:sz="4" w:space="0" w:color="auto"/>
              <w:right w:val="single" w:sz="4" w:space="0" w:color="auto"/>
            </w:tcBorders>
            <w:shd w:val="clear" w:color="auto" w:fill="auto"/>
            <w:vAlign w:val="center"/>
          </w:tcPr>
          <w:p w14:paraId="54A5D312" w14:textId="77777777" w:rsidR="00FC70C2" w:rsidRPr="00FC70C2" w:rsidRDefault="00FC70C2" w:rsidP="00FC70C2">
            <w:pPr>
              <w:widowControl w:val="0"/>
              <w:jc w:val="right"/>
              <w:rPr>
                <w:rFonts w:ascii="Arial Narrow" w:hAnsi="Arial Narrow"/>
                <w:sz w:val="20"/>
                <w:szCs w:val="20"/>
                <w:lang w:val="bg-BG" w:eastAsia="bg-BG"/>
              </w:rPr>
            </w:pPr>
            <w:r w:rsidRPr="00FC70C2">
              <w:rPr>
                <w:rFonts w:ascii="Arial Narrow" w:hAnsi="Arial Narrow"/>
                <w:sz w:val="20"/>
                <w:szCs w:val="20"/>
                <w:lang w:val="bg-BG" w:eastAsia="bg-BG"/>
              </w:rPr>
              <w:t>31</w:t>
            </w:r>
          </w:p>
        </w:tc>
        <w:tc>
          <w:tcPr>
            <w:tcW w:w="2092" w:type="dxa"/>
            <w:tcBorders>
              <w:top w:val="nil"/>
              <w:left w:val="nil"/>
              <w:bottom w:val="single" w:sz="4" w:space="0" w:color="auto"/>
              <w:right w:val="single" w:sz="4" w:space="0" w:color="auto"/>
            </w:tcBorders>
            <w:shd w:val="clear" w:color="auto" w:fill="auto"/>
            <w:vAlign w:val="center"/>
          </w:tcPr>
          <w:p w14:paraId="789F38D8" w14:textId="77777777" w:rsidR="00FC70C2" w:rsidRPr="00FC70C2" w:rsidRDefault="00FC70C2" w:rsidP="00FC70C2">
            <w:pPr>
              <w:widowControl w:val="0"/>
              <w:jc w:val="right"/>
              <w:rPr>
                <w:rFonts w:ascii="Arial Narrow" w:hAnsi="Arial Narrow"/>
                <w:sz w:val="20"/>
                <w:szCs w:val="20"/>
                <w:lang w:val="bg-BG" w:eastAsia="bg-BG"/>
              </w:rPr>
            </w:pPr>
            <w:r w:rsidRPr="00FC70C2">
              <w:rPr>
                <w:rFonts w:ascii="Arial Narrow" w:hAnsi="Arial Narrow"/>
                <w:sz w:val="20"/>
                <w:szCs w:val="20"/>
                <w:lang w:val="bg-BG" w:eastAsia="bg-BG"/>
              </w:rPr>
              <w:t>-24,4%</w:t>
            </w:r>
          </w:p>
        </w:tc>
        <w:tc>
          <w:tcPr>
            <w:tcW w:w="1978" w:type="dxa"/>
            <w:tcBorders>
              <w:top w:val="nil"/>
              <w:left w:val="nil"/>
              <w:bottom w:val="single" w:sz="4" w:space="0" w:color="auto"/>
              <w:right w:val="single" w:sz="4" w:space="0" w:color="auto"/>
            </w:tcBorders>
            <w:shd w:val="clear" w:color="auto" w:fill="auto"/>
            <w:vAlign w:val="center"/>
          </w:tcPr>
          <w:p w14:paraId="0F54B879" w14:textId="77777777" w:rsidR="00FC70C2" w:rsidRPr="00FC70C2" w:rsidRDefault="00FC70C2" w:rsidP="00FC70C2">
            <w:pPr>
              <w:widowControl w:val="0"/>
              <w:jc w:val="right"/>
              <w:rPr>
                <w:rFonts w:ascii="Arial Narrow" w:hAnsi="Arial Narrow"/>
                <w:sz w:val="20"/>
                <w:szCs w:val="20"/>
                <w:lang w:val="bg-BG" w:eastAsia="bg-BG"/>
              </w:rPr>
            </w:pPr>
            <w:r w:rsidRPr="00FC70C2">
              <w:rPr>
                <w:rFonts w:ascii="Arial Narrow" w:hAnsi="Arial Narrow"/>
                <w:sz w:val="20"/>
                <w:szCs w:val="20"/>
                <w:lang w:val="bg-BG" w:eastAsia="bg-BG"/>
              </w:rPr>
              <w:t>0,2</w:t>
            </w:r>
          </w:p>
        </w:tc>
        <w:tc>
          <w:tcPr>
            <w:tcW w:w="2093" w:type="dxa"/>
            <w:tcBorders>
              <w:top w:val="nil"/>
              <w:left w:val="nil"/>
              <w:bottom w:val="single" w:sz="4" w:space="0" w:color="auto"/>
              <w:right w:val="single" w:sz="4" w:space="0" w:color="auto"/>
            </w:tcBorders>
            <w:shd w:val="clear" w:color="auto" w:fill="auto"/>
            <w:vAlign w:val="center"/>
          </w:tcPr>
          <w:p w14:paraId="4035B321" w14:textId="77777777" w:rsidR="00FC70C2" w:rsidRPr="00FC70C2" w:rsidRDefault="00FC70C2" w:rsidP="00FC70C2">
            <w:pPr>
              <w:widowControl w:val="0"/>
              <w:jc w:val="right"/>
              <w:rPr>
                <w:rFonts w:ascii="Arial Narrow" w:hAnsi="Arial Narrow"/>
                <w:sz w:val="20"/>
                <w:szCs w:val="20"/>
                <w:lang w:val="bg-BG" w:eastAsia="bg-BG"/>
              </w:rPr>
            </w:pPr>
            <w:r w:rsidRPr="00FC70C2">
              <w:rPr>
                <w:rFonts w:ascii="Arial Narrow" w:hAnsi="Arial Narrow"/>
                <w:sz w:val="20"/>
                <w:szCs w:val="20"/>
                <w:lang w:val="bg-BG" w:eastAsia="bg-BG"/>
              </w:rPr>
              <w:t>-33,3%</w:t>
            </w:r>
          </w:p>
        </w:tc>
      </w:tr>
      <w:tr w:rsidR="00FC70C2" w:rsidRPr="00FC70C2" w14:paraId="7603FEAA" w14:textId="77777777" w:rsidTr="003A2D79">
        <w:trPr>
          <w:trHeight w:val="340"/>
          <w:jc w:val="center"/>
        </w:trPr>
        <w:tc>
          <w:tcPr>
            <w:tcW w:w="1597" w:type="dxa"/>
            <w:vAlign w:val="center"/>
          </w:tcPr>
          <w:p w14:paraId="2EBD1BB8" w14:textId="77777777" w:rsidR="00FC70C2" w:rsidRPr="00FC70C2" w:rsidRDefault="00FC70C2" w:rsidP="00FC70C2">
            <w:pPr>
              <w:widowControl w:val="0"/>
              <w:rPr>
                <w:rFonts w:ascii="Arial Narrow" w:hAnsi="Arial Narrow"/>
                <w:sz w:val="20"/>
                <w:szCs w:val="20"/>
                <w:lang w:val="bg-BG" w:eastAsia="bg-BG"/>
              </w:rPr>
            </w:pPr>
            <w:r w:rsidRPr="00FC70C2">
              <w:rPr>
                <w:rFonts w:ascii="Arial Narrow" w:hAnsi="Arial Narrow"/>
                <w:sz w:val="20"/>
                <w:szCs w:val="20"/>
                <w:lang w:val="bg-BG" w:eastAsia="bg-BG"/>
              </w:rPr>
              <w:t>10-49</w:t>
            </w:r>
          </w:p>
        </w:tc>
        <w:tc>
          <w:tcPr>
            <w:tcW w:w="1987" w:type="dxa"/>
            <w:tcBorders>
              <w:top w:val="nil"/>
              <w:left w:val="single" w:sz="4" w:space="0" w:color="auto"/>
              <w:bottom w:val="single" w:sz="4" w:space="0" w:color="auto"/>
              <w:right w:val="single" w:sz="4" w:space="0" w:color="auto"/>
            </w:tcBorders>
            <w:shd w:val="clear" w:color="auto" w:fill="auto"/>
            <w:vAlign w:val="center"/>
          </w:tcPr>
          <w:p w14:paraId="27DD262E" w14:textId="77777777" w:rsidR="00FC70C2" w:rsidRPr="00FC70C2" w:rsidRDefault="00FC70C2" w:rsidP="00FC70C2">
            <w:pPr>
              <w:widowControl w:val="0"/>
              <w:jc w:val="right"/>
              <w:rPr>
                <w:rFonts w:ascii="Arial Narrow" w:hAnsi="Arial Narrow"/>
                <w:sz w:val="20"/>
                <w:szCs w:val="20"/>
                <w:lang w:val="bg-BG" w:eastAsia="bg-BG"/>
              </w:rPr>
            </w:pPr>
            <w:r w:rsidRPr="00FC70C2">
              <w:rPr>
                <w:rFonts w:ascii="Arial Narrow" w:hAnsi="Arial Narrow"/>
                <w:sz w:val="20"/>
                <w:szCs w:val="20"/>
                <w:lang w:val="bg-BG" w:eastAsia="bg-BG"/>
              </w:rPr>
              <w:t>51</w:t>
            </w:r>
          </w:p>
        </w:tc>
        <w:tc>
          <w:tcPr>
            <w:tcW w:w="2092" w:type="dxa"/>
            <w:tcBorders>
              <w:top w:val="nil"/>
              <w:left w:val="nil"/>
              <w:bottom w:val="single" w:sz="4" w:space="0" w:color="auto"/>
              <w:right w:val="single" w:sz="4" w:space="0" w:color="auto"/>
            </w:tcBorders>
            <w:shd w:val="clear" w:color="auto" w:fill="auto"/>
            <w:vAlign w:val="center"/>
          </w:tcPr>
          <w:p w14:paraId="6A0E7F5C" w14:textId="77777777" w:rsidR="00FC70C2" w:rsidRPr="00FC70C2" w:rsidRDefault="00FC70C2" w:rsidP="00FC70C2">
            <w:pPr>
              <w:widowControl w:val="0"/>
              <w:jc w:val="right"/>
              <w:rPr>
                <w:rFonts w:ascii="Arial Narrow" w:hAnsi="Arial Narrow"/>
                <w:sz w:val="20"/>
                <w:szCs w:val="20"/>
                <w:lang w:val="bg-BG" w:eastAsia="bg-BG"/>
              </w:rPr>
            </w:pPr>
            <w:r w:rsidRPr="00FC70C2">
              <w:rPr>
                <w:rFonts w:ascii="Arial Narrow" w:hAnsi="Arial Narrow"/>
                <w:sz w:val="20"/>
                <w:szCs w:val="20"/>
                <w:lang w:val="bg-BG" w:eastAsia="bg-BG"/>
              </w:rPr>
              <w:t>-7,3%</w:t>
            </w:r>
          </w:p>
        </w:tc>
        <w:tc>
          <w:tcPr>
            <w:tcW w:w="1978" w:type="dxa"/>
            <w:tcBorders>
              <w:top w:val="nil"/>
              <w:left w:val="nil"/>
              <w:bottom w:val="single" w:sz="4" w:space="0" w:color="auto"/>
              <w:right w:val="single" w:sz="4" w:space="0" w:color="auto"/>
            </w:tcBorders>
            <w:shd w:val="clear" w:color="auto" w:fill="auto"/>
            <w:vAlign w:val="center"/>
          </w:tcPr>
          <w:p w14:paraId="4938E5A8" w14:textId="77777777" w:rsidR="00FC70C2" w:rsidRPr="00FC70C2" w:rsidRDefault="00FC70C2" w:rsidP="00FC70C2">
            <w:pPr>
              <w:widowControl w:val="0"/>
              <w:jc w:val="right"/>
              <w:rPr>
                <w:rFonts w:ascii="Arial Narrow" w:hAnsi="Arial Narrow"/>
                <w:sz w:val="20"/>
                <w:szCs w:val="20"/>
                <w:lang w:val="bg-BG" w:eastAsia="bg-BG"/>
              </w:rPr>
            </w:pPr>
            <w:r w:rsidRPr="00FC70C2">
              <w:rPr>
                <w:rFonts w:ascii="Arial Narrow" w:hAnsi="Arial Narrow"/>
                <w:sz w:val="20"/>
                <w:szCs w:val="20"/>
                <w:lang w:val="bg-BG" w:eastAsia="bg-BG"/>
              </w:rPr>
              <w:t>1,0</w:t>
            </w:r>
          </w:p>
        </w:tc>
        <w:tc>
          <w:tcPr>
            <w:tcW w:w="2093" w:type="dxa"/>
            <w:tcBorders>
              <w:top w:val="nil"/>
              <w:left w:val="nil"/>
              <w:bottom w:val="single" w:sz="4" w:space="0" w:color="auto"/>
              <w:right w:val="single" w:sz="4" w:space="0" w:color="auto"/>
            </w:tcBorders>
            <w:shd w:val="clear" w:color="auto" w:fill="auto"/>
            <w:vAlign w:val="center"/>
          </w:tcPr>
          <w:p w14:paraId="26CF33D3" w14:textId="77777777" w:rsidR="00FC70C2" w:rsidRPr="00FC70C2" w:rsidRDefault="00FC70C2" w:rsidP="00FC70C2">
            <w:pPr>
              <w:widowControl w:val="0"/>
              <w:jc w:val="right"/>
              <w:rPr>
                <w:rFonts w:ascii="Arial Narrow" w:hAnsi="Arial Narrow"/>
                <w:sz w:val="20"/>
                <w:szCs w:val="20"/>
                <w:lang w:val="bg-BG" w:eastAsia="bg-BG"/>
              </w:rPr>
            </w:pPr>
            <w:r w:rsidRPr="00FC70C2">
              <w:rPr>
                <w:rFonts w:ascii="Arial Narrow" w:hAnsi="Arial Narrow"/>
                <w:sz w:val="20"/>
                <w:szCs w:val="20"/>
                <w:lang w:val="bg-BG" w:eastAsia="bg-BG"/>
              </w:rPr>
              <w:t>0,0%</w:t>
            </w:r>
          </w:p>
        </w:tc>
      </w:tr>
      <w:tr w:rsidR="00FC70C2" w:rsidRPr="00FC70C2" w14:paraId="52FFF138" w14:textId="77777777" w:rsidTr="003A2D79">
        <w:trPr>
          <w:trHeight w:val="340"/>
          <w:jc w:val="center"/>
        </w:trPr>
        <w:tc>
          <w:tcPr>
            <w:tcW w:w="1597" w:type="dxa"/>
            <w:vAlign w:val="center"/>
          </w:tcPr>
          <w:p w14:paraId="124DB7DF" w14:textId="77777777" w:rsidR="00FC70C2" w:rsidRPr="00FC70C2" w:rsidRDefault="00FC70C2" w:rsidP="00FC70C2">
            <w:pPr>
              <w:widowControl w:val="0"/>
              <w:rPr>
                <w:rFonts w:ascii="Arial Narrow" w:hAnsi="Arial Narrow"/>
                <w:sz w:val="20"/>
                <w:szCs w:val="20"/>
                <w:lang w:val="bg-BG" w:eastAsia="bg-BG"/>
              </w:rPr>
            </w:pPr>
            <w:r w:rsidRPr="00FC70C2">
              <w:rPr>
                <w:rFonts w:ascii="Arial Narrow" w:hAnsi="Arial Narrow"/>
                <w:sz w:val="20"/>
                <w:szCs w:val="20"/>
                <w:lang w:val="bg-BG" w:eastAsia="bg-BG"/>
              </w:rPr>
              <w:t>50-199</w:t>
            </w:r>
          </w:p>
        </w:tc>
        <w:tc>
          <w:tcPr>
            <w:tcW w:w="1987" w:type="dxa"/>
            <w:tcBorders>
              <w:top w:val="nil"/>
              <w:left w:val="single" w:sz="4" w:space="0" w:color="auto"/>
              <w:bottom w:val="single" w:sz="4" w:space="0" w:color="auto"/>
              <w:right w:val="single" w:sz="4" w:space="0" w:color="auto"/>
            </w:tcBorders>
            <w:shd w:val="clear" w:color="auto" w:fill="auto"/>
            <w:vAlign w:val="center"/>
          </w:tcPr>
          <w:p w14:paraId="4A93A015" w14:textId="77777777" w:rsidR="00FC70C2" w:rsidRPr="00FC70C2" w:rsidRDefault="00FC70C2" w:rsidP="00FC70C2">
            <w:pPr>
              <w:widowControl w:val="0"/>
              <w:jc w:val="right"/>
              <w:rPr>
                <w:rFonts w:ascii="Arial Narrow" w:hAnsi="Arial Narrow"/>
                <w:sz w:val="20"/>
                <w:szCs w:val="20"/>
                <w:lang w:val="bg-BG" w:eastAsia="bg-BG"/>
              </w:rPr>
            </w:pPr>
            <w:r w:rsidRPr="00FC70C2">
              <w:rPr>
                <w:rFonts w:ascii="Arial Narrow" w:hAnsi="Arial Narrow"/>
                <w:sz w:val="20"/>
                <w:szCs w:val="20"/>
                <w:lang w:val="bg-BG" w:eastAsia="bg-BG"/>
              </w:rPr>
              <w:t>24</w:t>
            </w:r>
          </w:p>
        </w:tc>
        <w:tc>
          <w:tcPr>
            <w:tcW w:w="2092" w:type="dxa"/>
            <w:tcBorders>
              <w:top w:val="nil"/>
              <w:left w:val="nil"/>
              <w:bottom w:val="single" w:sz="4" w:space="0" w:color="auto"/>
              <w:right w:val="single" w:sz="4" w:space="0" w:color="auto"/>
            </w:tcBorders>
            <w:shd w:val="clear" w:color="auto" w:fill="auto"/>
            <w:vAlign w:val="center"/>
          </w:tcPr>
          <w:p w14:paraId="1C7116B4" w14:textId="77777777" w:rsidR="00FC70C2" w:rsidRPr="00FC70C2" w:rsidRDefault="00FC70C2" w:rsidP="00FC70C2">
            <w:pPr>
              <w:widowControl w:val="0"/>
              <w:jc w:val="right"/>
              <w:rPr>
                <w:rFonts w:ascii="Arial Narrow" w:hAnsi="Arial Narrow"/>
                <w:sz w:val="20"/>
                <w:szCs w:val="20"/>
                <w:lang w:val="bg-BG" w:eastAsia="bg-BG"/>
              </w:rPr>
            </w:pPr>
            <w:r w:rsidRPr="00FC70C2">
              <w:rPr>
                <w:rFonts w:ascii="Arial Narrow" w:hAnsi="Arial Narrow"/>
                <w:sz w:val="20"/>
                <w:szCs w:val="20"/>
                <w:lang w:val="bg-BG" w:eastAsia="bg-BG"/>
              </w:rPr>
              <w:t>-7,7%</w:t>
            </w:r>
          </w:p>
        </w:tc>
        <w:tc>
          <w:tcPr>
            <w:tcW w:w="1978" w:type="dxa"/>
            <w:tcBorders>
              <w:top w:val="nil"/>
              <w:left w:val="nil"/>
              <w:bottom w:val="single" w:sz="4" w:space="0" w:color="auto"/>
              <w:right w:val="single" w:sz="4" w:space="0" w:color="auto"/>
            </w:tcBorders>
            <w:shd w:val="clear" w:color="auto" w:fill="auto"/>
            <w:vAlign w:val="center"/>
          </w:tcPr>
          <w:p w14:paraId="3980BF66" w14:textId="77777777" w:rsidR="00FC70C2" w:rsidRPr="00FC70C2" w:rsidRDefault="00FC70C2" w:rsidP="00FC70C2">
            <w:pPr>
              <w:widowControl w:val="0"/>
              <w:jc w:val="right"/>
              <w:rPr>
                <w:rFonts w:ascii="Arial Narrow" w:hAnsi="Arial Narrow"/>
                <w:sz w:val="20"/>
                <w:szCs w:val="20"/>
                <w:lang w:val="bg-BG" w:eastAsia="bg-BG"/>
              </w:rPr>
            </w:pPr>
            <w:r w:rsidRPr="00FC70C2">
              <w:rPr>
                <w:rFonts w:ascii="Arial Narrow" w:hAnsi="Arial Narrow"/>
                <w:sz w:val="20"/>
                <w:szCs w:val="20"/>
                <w:lang w:val="bg-BG" w:eastAsia="bg-BG"/>
              </w:rPr>
              <w:t>2,2</w:t>
            </w:r>
          </w:p>
        </w:tc>
        <w:tc>
          <w:tcPr>
            <w:tcW w:w="2093" w:type="dxa"/>
            <w:tcBorders>
              <w:top w:val="nil"/>
              <w:left w:val="nil"/>
              <w:bottom w:val="single" w:sz="4" w:space="0" w:color="auto"/>
              <w:right w:val="single" w:sz="4" w:space="0" w:color="auto"/>
            </w:tcBorders>
            <w:shd w:val="clear" w:color="auto" w:fill="auto"/>
            <w:vAlign w:val="center"/>
          </w:tcPr>
          <w:p w14:paraId="1B3B74E3" w14:textId="77777777" w:rsidR="00FC70C2" w:rsidRPr="00FC70C2" w:rsidRDefault="00FC70C2" w:rsidP="00FC70C2">
            <w:pPr>
              <w:widowControl w:val="0"/>
              <w:jc w:val="right"/>
              <w:rPr>
                <w:rFonts w:ascii="Arial Narrow" w:hAnsi="Arial Narrow"/>
                <w:sz w:val="20"/>
                <w:szCs w:val="20"/>
                <w:lang w:val="bg-BG" w:eastAsia="bg-BG"/>
              </w:rPr>
            </w:pPr>
            <w:r w:rsidRPr="00FC70C2">
              <w:rPr>
                <w:rFonts w:ascii="Arial Narrow" w:hAnsi="Arial Narrow"/>
                <w:sz w:val="20"/>
                <w:szCs w:val="20"/>
                <w:lang w:val="bg-BG" w:eastAsia="bg-BG"/>
              </w:rPr>
              <w:t xml:space="preserve"> -18,5%</w:t>
            </w:r>
          </w:p>
        </w:tc>
      </w:tr>
      <w:tr w:rsidR="00FC70C2" w:rsidRPr="00FC70C2" w14:paraId="04BD7EA7" w14:textId="77777777" w:rsidTr="003A2D79">
        <w:trPr>
          <w:trHeight w:val="340"/>
          <w:jc w:val="center"/>
        </w:trPr>
        <w:tc>
          <w:tcPr>
            <w:tcW w:w="1597" w:type="dxa"/>
            <w:vAlign w:val="center"/>
          </w:tcPr>
          <w:p w14:paraId="3FD5D97F" w14:textId="77777777" w:rsidR="00FC70C2" w:rsidRPr="00FC70C2" w:rsidRDefault="00FC70C2" w:rsidP="00FC70C2">
            <w:pPr>
              <w:widowControl w:val="0"/>
              <w:rPr>
                <w:rFonts w:ascii="Arial Narrow" w:hAnsi="Arial Narrow"/>
                <w:sz w:val="20"/>
                <w:szCs w:val="20"/>
                <w:lang w:val="bg-BG" w:eastAsia="bg-BG"/>
              </w:rPr>
            </w:pPr>
            <w:r w:rsidRPr="00FC70C2">
              <w:rPr>
                <w:rFonts w:ascii="Arial Narrow" w:hAnsi="Arial Narrow"/>
                <w:sz w:val="20"/>
                <w:szCs w:val="20"/>
                <w:lang w:val="bg-BG" w:eastAsia="bg-BG"/>
              </w:rPr>
              <w:t>200 и повече</w:t>
            </w:r>
          </w:p>
        </w:tc>
        <w:tc>
          <w:tcPr>
            <w:tcW w:w="1987" w:type="dxa"/>
            <w:tcBorders>
              <w:top w:val="nil"/>
              <w:left w:val="single" w:sz="4" w:space="0" w:color="auto"/>
              <w:bottom w:val="single" w:sz="4" w:space="0" w:color="auto"/>
              <w:right w:val="single" w:sz="4" w:space="0" w:color="auto"/>
            </w:tcBorders>
            <w:shd w:val="clear" w:color="auto" w:fill="auto"/>
            <w:vAlign w:val="center"/>
          </w:tcPr>
          <w:p w14:paraId="0A05A30C" w14:textId="77777777" w:rsidR="00FC70C2" w:rsidRPr="00FC70C2" w:rsidRDefault="00FC70C2" w:rsidP="00FC70C2">
            <w:pPr>
              <w:widowControl w:val="0"/>
              <w:jc w:val="right"/>
              <w:rPr>
                <w:rFonts w:ascii="Arial Narrow" w:hAnsi="Arial Narrow"/>
                <w:sz w:val="20"/>
                <w:szCs w:val="20"/>
                <w:lang w:val="bg-BG" w:eastAsia="bg-BG"/>
              </w:rPr>
            </w:pPr>
            <w:r w:rsidRPr="00FC70C2">
              <w:rPr>
                <w:rFonts w:ascii="Arial Narrow" w:hAnsi="Arial Narrow"/>
                <w:sz w:val="20"/>
                <w:szCs w:val="20"/>
                <w:lang w:val="bg-BG" w:eastAsia="bg-BG"/>
              </w:rPr>
              <w:t>45</w:t>
            </w:r>
          </w:p>
        </w:tc>
        <w:tc>
          <w:tcPr>
            <w:tcW w:w="2092" w:type="dxa"/>
            <w:tcBorders>
              <w:top w:val="nil"/>
              <w:left w:val="nil"/>
              <w:bottom w:val="single" w:sz="4" w:space="0" w:color="auto"/>
              <w:right w:val="single" w:sz="4" w:space="0" w:color="auto"/>
            </w:tcBorders>
            <w:shd w:val="clear" w:color="auto" w:fill="auto"/>
            <w:vAlign w:val="center"/>
          </w:tcPr>
          <w:p w14:paraId="154CC8E5" w14:textId="77777777" w:rsidR="00FC70C2" w:rsidRPr="00FC70C2" w:rsidRDefault="00FC70C2" w:rsidP="00FC70C2">
            <w:pPr>
              <w:widowControl w:val="0"/>
              <w:jc w:val="right"/>
              <w:rPr>
                <w:rFonts w:ascii="Arial Narrow" w:hAnsi="Arial Narrow"/>
                <w:sz w:val="20"/>
                <w:szCs w:val="20"/>
                <w:lang w:val="bg-BG" w:eastAsia="bg-BG"/>
              </w:rPr>
            </w:pPr>
            <w:r w:rsidRPr="00FC70C2">
              <w:rPr>
                <w:rFonts w:ascii="Arial Narrow" w:hAnsi="Arial Narrow"/>
                <w:sz w:val="20"/>
                <w:szCs w:val="20"/>
                <w:lang w:val="bg-BG" w:eastAsia="bg-BG"/>
              </w:rPr>
              <w:t>15,4%</w:t>
            </w:r>
          </w:p>
        </w:tc>
        <w:tc>
          <w:tcPr>
            <w:tcW w:w="1978" w:type="dxa"/>
            <w:tcBorders>
              <w:top w:val="nil"/>
              <w:left w:val="nil"/>
              <w:bottom w:val="single" w:sz="4" w:space="0" w:color="auto"/>
              <w:right w:val="single" w:sz="4" w:space="0" w:color="auto"/>
            </w:tcBorders>
            <w:shd w:val="clear" w:color="auto" w:fill="auto"/>
            <w:vAlign w:val="center"/>
          </w:tcPr>
          <w:p w14:paraId="3DC3C23F" w14:textId="77777777" w:rsidR="00FC70C2" w:rsidRPr="00FC70C2" w:rsidRDefault="00FC70C2" w:rsidP="00FC70C2">
            <w:pPr>
              <w:widowControl w:val="0"/>
              <w:jc w:val="right"/>
              <w:rPr>
                <w:rFonts w:ascii="Arial Narrow" w:hAnsi="Arial Narrow"/>
                <w:sz w:val="20"/>
                <w:szCs w:val="20"/>
                <w:lang w:val="bg-BG" w:eastAsia="bg-BG"/>
              </w:rPr>
            </w:pPr>
            <w:r w:rsidRPr="00FC70C2">
              <w:rPr>
                <w:rFonts w:ascii="Arial Narrow" w:hAnsi="Arial Narrow"/>
                <w:sz w:val="20"/>
                <w:szCs w:val="20"/>
                <w:lang w:val="bg-BG" w:eastAsia="bg-BG"/>
              </w:rPr>
              <w:t>66,9</w:t>
            </w:r>
          </w:p>
        </w:tc>
        <w:tc>
          <w:tcPr>
            <w:tcW w:w="2093" w:type="dxa"/>
            <w:tcBorders>
              <w:top w:val="nil"/>
              <w:left w:val="nil"/>
              <w:bottom w:val="single" w:sz="4" w:space="0" w:color="auto"/>
              <w:right w:val="single" w:sz="4" w:space="0" w:color="auto"/>
            </w:tcBorders>
            <w:shd w:val="clear" w:color="auto" w:fill="auto"/>
            <w:vAlign w:val="center"/>
          </w:tcPr>
          <w:p w14:paraId="19FFC88D" w14:textId="77777777" w:rsidR="00FC70C2" w:rsidRPr="00FC70C2" w:rsidRDefault="00FC70C2" w:rsidP="00FC70C2">
            <w:pPr>
              <w:widowControl w:val="0"/>
              <w:jc w:val="right"/>
              <w:rPr>
                <w:rFonts w:ascii="Arial Narrow" w:hAnsi="Arial Narrow"/>
                <w:sz w:val="20"/>
                <w:szCs w:val="20"/>
                <w:lang w:val="bg-BG" w:eastAsia="bg-BG"/>
              </w:rPr>
            </w:pPr>
            <w:r w:rsidRPr="00FC70C2">
              <w:rPr>
                <w:rFonts w:ascii="Arial Narrow" w:hAnsi="Arial Narrow"/>
                <w:sz w:val="20"/>
                <w:szCs w:val="20"/>
                <w:lang w:val="bg-BG" w:eastAsia="bg-BG"/>
              </w:rPr>
              <w:t xml:space="preserve"> -11,4%</w:t>
            </w:r>
          </w:p>
        </w:tc>
      </w:tr>
      <w:tr w:rsidR="00FC70C2" w:rsidRPr="00FC70C2" w14:paraId="081239B1" w14:textId="77777777" w:rsidTr="003A2D79">
        <w:trPr>
          <w:trHeight w:val="340"/>
          <w:jc w:val="center"/>
        </w:trPr>
        <w:tc>
          <w:tcPr>
            <w:tcW w:w="1597" w:type="dxa"/>
            <w:vAlign w:val="center"/>
          </w:tcPr>
          <w:p w14:paraId="74B06D55" w14:textId="77777777" w:rsidR="00FC70C2" w:rsidRPr="00FC70C2" w:rsidRDefault="00FC70C2" w:rsidP="00FC70C2">
            <w:pPr>
              <w:widowControl w:val="0"/>
              <w:rPr>
                <w:rFonts w:ascii="Arial Narrow" w:hAnsi="Arial Narrow"/>
                <w:b/>
                <w:sz w:val="20"/>
                <w:szCs w:val="20"/>
                <w:lang w:val="bg-BG" w:eastAsia="bg-BG"/>
              </w:rPr>
            </w:pPr>
            <w:r w:rsidRPr="00FC70C2">
              <w:rPr>
                <w:rFonts w:ascii="Arial Narrow" w:hAnsi="Arial Narrow"/>
                <w:b/>
                <w:sz w:val="20"/>
                <w:szCs w:val="20"/>
                <w:lang w:val="bg-BG" w:eastAsia="bg-BG"/>
              </w:rPr>
              <w:t>Общо</w:t>
            </w:r>
          </w:p>
        </w:tc>
        <w:tc>
          <w:tcPr>
            <w:tcW w:w="1987" w:type="dxa"/>
            <w:tcBorders>
              <w:top w:val="nil"/>
              <w:left w:val="single" w:sz="4" w:space="0" w:color="auto"/>
              <w:bottom w:val="single" w:sz="4" w:space="0" w:color="auto"/>
              <w:right w:val="single" w:sz="4" w:space="0" w:color="auto"/>
            </w:tcBorders>
            <w:shd w:val="clear" w:color="auto" w:fill="auto"/>
            <w:vAlign w:val="center"/>
          </w:tcPr>
          <w:p w14:paraId="2F5F5D93" w14:textId="77777777" w:rsidR="00FC70C2" w:rsidRPr="00FC70C2" w:rsidRDefault="00FC70C2" w:rsidP="00FC70C2">
            <w:pPr>
              <w:widowControl w:val="0"/>
              <w:jc w:val="right"/>
              <w:rPr>
                <w:rFonts w:ascii="Arial Narrow" w:hAnsi="Arial Narrow"/>
                <w:b/>
                <w:sz w:val="20"/>
                <w:szCs w:val="20"/>
                <w:lang w:val="bg-BG" w:eastAsia="bg-BG"/>
              </w:rPr>
            </w:pPr>
            <w:r w:rsidRPr="00FC70C2">
              <w:rPr>
                <w:rFonts w:ascii="Arial Narrow" w:hAnsi="Arial Narrow"/>
                <w:b/>
                <w:sz w:val="20"/>
                <w:szCs w:val="20"/>
                <w:lang w:val="bg-BG" w:eastAsia="bg-BG"/>
              </w:rPr>
              <w:t>192</w:t>
            </w:r>
          </w:p>
        </w:tc>
        <w:tc>
          <w:tcPr>
            <w:tcW w:w="2092" w:type="dxa"/>
            <w:tcBorders>
              <w:top w:val="nil"/>
              <w:left w:val="nil"/>
              <w:bottom w:val="single" w:sz="4" w:space="0" w:color="auto"/>
              <w:right w:val="single" w:sz="4" w:space="0" w:color="auto"/>
            </w:tcBorders>
            <w:shd w:val="clear" w:color="auto" w:fill="auto"/>
            <w:vAlign w:val="center"/>
          </w:tcPr>
          <w:p w14:paraId="7895A871" w14:textId="77777777" w:rsidR="00FC70C2" w:rsidRPr="00FC70C2" w:rsidRDefault="00FC70C2" w:rsidP="00FC70C2">
            <w:pPr>
              <w:widowControl w:val="0"/>
              <w:jc w:val="right"/>
              <w:rPr>
                <w:rFonts w:ascii="Arial Narrow" w:hAnsi="Arial Narrow"/>
                <w:b/>
                <w:sz w:val="20"/>
                <w:szCs w:val="20"/>
                <w:lang w:val="bg-BG" w:eastAsia="bg-BG"/>
              </w:rPr>
            </w:pPr>
            <w:r w:rsidRPr="00FC70C2">
              <w:rPr>
                <w:rFonts w:ascii="Arial Narrow" w:hAnsi="Arial Narrow"/>
                <w:b/>
                <w:sz w:val="20"/>
                <w:szCs w:val="20"/>
                <w:lang w:val="bg-BG" w:eastAsia="bg-BG"/>
              </w:rPr>
              <w:t>-16,5%</w:t>
            </w:r>
          </w:p>
        </w:tc>
        <w:tc>
          <w:tcPr>
            <w:tcW w:w="1978" w:type="dxa"/>
            <w:tcBorders>
              <w:top w:val="nil"/>
              <w:left w:val="nil"/>
              <w:bottom w:val="single" w:sz="4" w:space="0" w:color="auto"/>
              <w:right w:val="single" w:sz="4" w:space="0" w:color="auto"/>
            </w:tcBorders>
            <w:shd w:val="clear" w:color="auto" w:fill="auto"/>
            <w:vAlign w:val="center"/>
          </w:tcPr>
          <w:p w14:paraId="206BE14D" w14:textId="77777777" w:rsidR="00FC70C2" w:rsidRPr="00FC70C2" w:rsidRDefault="00FC70C2" w:rsidP="00FC70C2">
            <w:pPr>
              <w:widowControl w:val="0"/>
              <w:jc w:val="right"/>
              <w:rPr>
                <w:rFonts w:ascii="Arial Narrow" w:hAnsi="Arial Narrow"/>
                <w:b/>
                <w:sz w:val="20"/>
                <w:szCs w:val="20"/>
                <w:lang w:val="bg-BG" w:eastAsia="bg-BG"/>
              </w:rPr>
            </w:pPr>
            <w:r w:rsidRPr="00FC70C2">
              <w:rPr>
                <w:rFonts w:ascii="Arial Narrow" w:hAnsi="Arial Narrow"/>
                <w:b/>
                <w:sz w:val="20"/>
                <w:szCs w:val="20"/>
                <w:lang w:val="bg-BG" w:eastAsia="bg-BG"/>
              </w:rPr>
              <w:t>70,4</w:t>
            </w:r>
          </w:p>
        </w:tc>
        <w:tc>
          <w:tcPr>
            <w:tcW w:w="2093" w:type="dxa"/>
            <w:tcBorders>
              <w:top w:val="nil"/>
              <w:left w:val="nil"/>
              <w:bottom w:val="single" w:sz="4" w:space="0" w:color="auto"/>
              <w:right w:val="single" w:sz="4" w:space="0" w:color="auto"/>
            </w:tcBorders>
            <w:shd w:val="clear" w:color="auto" w:fill="auto"/>
            <w:vAlign w:val="center"/>
          </w:tcPr>
          <w:p w14:paraId="65AF1053" w14:textId="77777777" w:rsidR="00FC70C2" w:rsidRPr="00FC70C2" w:rsidRDefault="00FC70C2" w:rsidP="00FC70C2">
            <w:pPr>
              <w:widowControl w:val="0"/>
              <w:jc w:val="right"/>
              <w:rPr>
                <w:rFonts w:ascii="Arial Narrow" w:hAnsi="Arial Narrow"/>
                <w:b/>
                <w:sz w:val="20"/>
                <w:szCs w:val="20"/>
                <w:lang w:val="bg-BG" w:eastAsia="bg-BG"/>
              </w:rPr>
            </w:pPr>
            <w:r w:rsidRPr="00FC70C2">
              <w:rPr>
                <w:rFonts w:ascii="Arial Narrow" w:hAnsi="Arial Narrow"/>
                <w:b/>
                <w:sz w:val="20"/>
                <w:szCs w:val="20"/>
                <w:lang w:val="bg-BG" w:eastAsia="bg-BG"/>
              </w:rPr>
              <w:t xml:space="preserve"> -11,6%</w:t>
            </w:r>
          </w:p>
        </w:tc>
      </w:tr>
    </w:tbl>
    <w:p w14:paraId="3E3BE03E" w14:textId="77777777" w:rsidR="00FC70C2" w:rsidRPr="00725099" w:rsidRDefault="00FC70C2" w:rsidP="00FC70C2">
      <w:pPr>
        <w:widowControl w:val="0"/>
        <w:spacing w:after="120"/>
        <w:jc w:val="both"/>
        <w:rPr>
          <w:rFonts w:ascii="Arial Narrow" w:eastAsia="Calibri" w:hAnsi="Arial Narrow" w:cs="Arial"/>
          <w:i/>
          <w:sz w:val="18"/>
          <w:lang w:val="bg-BG"/>
        </w:rPr>
      </w:pPr>
      <w:r w:rsidRPr="00725099">
        <w:rPr>
          <w:rFonts w:ascii="Arial Narrow" w:eastAsia="Calibri" w:hAnsi="Arial Narrow" w:cs="Arial"/>
          <w:i/>
          <w:sz w:val="18"/>
          <w:lang w:val="bg-BG"/>
        </w:rPr>
        <w:t xml:space="preserve">Източник: </w:t>
      </w:r>
      <w:r w:rsidRPr="00725099">
        <w:rPr>
          <w:rFonts w:ascii="Arial Narrow" w:eastAsia="Calibri" w:hAnsi="Arial Narrow" w:cs="Arial"/>
          <w:sz w:val="18"/>
          <w:lang w:val="bg-BG"/>
        </w:rPr>
        <w:t>МЗХ, отдел „Агростатистика</w:t>
      </w:r>
      <w:r w:rsidRPr="00725099">
        <w:rPr>
          <w:rFonts w:ascii="Arial Narrow" w:eastAsia="Calibri" w:hAnsi="Arial Narrow" w:cs="Arial"/>
          <w:i/>
          <w:sz w:val="18"/>
          <w:lang w:val="bg-BG"/>
        </w:rPr>
        <w:t xml:space="preserve">”    </w:t>
      </w:r>
    </w:p>
    <w:p w14:paraId="1A16730F" w14:textId="77777777" w:rsidR="00FC70C2" w:rsidRPr="00FC70C2" w:rsidRDefault="00FC70C2" w:rsidP="00FC70C2">
      <w:pPr>
        <w:widowControl w:val="0"/>
        <w:autoSpaceDE w:val="0"/>
        <w:autoSpaceDN w:val="0"/>
        <w:adjustRightInd w:val="0"/>
        <w:spacing w:after="120"/>
        <w:ind w:firstLine="709"/>
        <w:jc w:val="both"/>
        <w:rPr>
          <w:rFonts w:ascii="Arial Narrow" w:eastAsia="Calibri" w:hAnsi="Arial Narrow" w:cs="Arial"/>
          <w:lang w:val="bg-BG" w:eastAsia="bg-BG"/>
        </w:rPr>
      </w:pPr>
      <w:r w:rsidRPr="00FC70C2">
        <w:rPr>
          <w:rFonts w:ascii="Arial Narrow" w:eastAsia="Calibri" w:hAnsi="Arial Narrow" w:cs="Arial"/>
          <w:lang w:val="bg-BG" w:eastAsia="bg-BG"/>
        </w:rPr>
        <w:t>През 2024 г. продължава да се прилага схемата на държавна помощ за реализиране на доброволно поети петгодишни ангажименти за хуманно отношение към свинете. Субсидиите се предоставят годишно и покриват допълнителните разходи или пропуснатите доходи, свързани с тези ангажименти.</w:t>
      </w:r>
    </w:p>
    <w:p w14:paraId="6A48B354" w14:textId="77777777" w:rsidR="003A2D79" w:rsidRPr="00CD3FE8" w:rsidRDefault="00FC70C2" w:rsidP="00CD3FE8">
      <w:pPr>
        <w:widowControl w:val="0"/>
        <w:autoSpaceDE w:val="0"/>
        <w:autoSpaceDN w:val="0"/>
        <w:adjustRightInd w:val="0"/>
        <w:spacing w:after="120"/>
        <w:ind w:firstLine="709"/>
        <w:jc w:val="both"/>
        <w:rPr>
          <w:rFonts w:ascii="Arial Narrow" w:eastAsia="Calibri" w:hAnsi="Arial Narrow" w:cs="Arial"/>
          <w:lang w:val="bg-BG" w:eastAsia="bg-BG"/>
        </w:rPr>
      </w:pPr>
      <w:r w:rsidRPr="00FC70C2">
        <w:rPr>
          <w:rFonts w:ascii="Arial Narrow" w:eastAsia="Calibri" w:hAnsi="Arial Narrow" w:cs="Arial"/>
          <w:lang w:val="bg-BG" w:eastAsia="bg-BG"/>
        </w:rPr>
        <w:t xml:space="preserve">Общото производство на свинско месо през 2024 г. възлиза на 86 998 тона (около 75% от общия добив на червени меса през годината), отбелязвайки увеличение с 9% на годишна база. Добивът в кланиците нараства с 6,6%, а този в животновъдните стопанства (който по принцип е ограничен) – близо три пъти.  </w:t>
      </w:r>
    </w:p>
    <w:p w14:paraId="02149627" w14:textId="77777777" w:rsidR="00FC70C2" w:rsidRPr="00FC70C2" w:rsidRDefault="00FC70C2" w:rsidP="00FC70C2">
      <w:pPr>
        <w:widowControl w:val="0"/>
        <w:autoSpaceDE w:val="0"/>
        <w:autoSpaceDN w:val="0"/>
        <w:adjustRightInd w:val="0"/>
        <w:spacing w:after="120"/>
        <w:jc w:val="center"/>
        <w:rPr>
          <w:rFonts w:ascii="Arial Narrow" w:eastAsia="Calibri" w:hAnsi="Arial Narrow" w:cs="Arial"/>
          <w:b/>
          <w:i/>
          <w:lang w:val="bg-BG"/>
        </w:rPr>
      </w:pPr>
      <w:r w:rsidRPr="00FC70C2">
        <w:rPr>
          <w:rFonts w:ascii="Arial Narrow" w:eastAsia="Calibri" w:hAnsi="Arial Narrow" w:cs="Arial"/>
          <w:b/>
          <w:i/>
          <w:lang w:val="bg-BG"/>
        </w:rPr>
        <w:t>Фигура ІІ.4. Производство на свинско месо през 2023 и 2024 г., тона</w:t>
      </w:r>
    </w:p>
    <w:p w14:paraId="6AD11A93" w14:textId="77777777" w:rsidR="00FC70C2" w:rsidRPr="00FC70C2" w:rsidRDefault="00FC70C2" w:rsidP="00FC70C2">
      <w:pPr>
        <w:widowControl w:val="0"/>
        <w:autoSpaceDE w:val="0"/>
        <w:autoSpaceDN w:val="0"/>
        <w:adjustRightInd w:val="0"/>
        <w:spacing w:after="120" w:line="259" w:lineRule="auto"/>
        <w:jc w:val="center"/>
        <w:rPr>
          <w:rFonts w:ascii="Arial Narrow" w:eastAsia="Calibri" w:hAnsi="Arial Narrow" w:cs="Arial"/>
          <w:b/>
          <w:i/>
        </w:rPr>
      </w:pPr>
      <w:r w:rsidRPr="00FC70C2">
        <w:rPr>
          <w:rFonts w:ascii="Calibri" w:eastAsia="Calibri" w:hAnsi="Calibri" w:cs="Arial"/>
          <w:noProof/>
          <w:sz w:val="22"/>
          <w:szCs w:val="22"/>
        </w:rPr>
        <w:lastRenderedPageBreak/>
        <w:drawing>
          <wp:inline distT="0" distB="0" distL="0" distR="0" wp14:anchorId="126F52E7" wp14:editId="53CC18D8">
            <wp:extent cx="5040000" cy="3060000"/>
            <wp:effectExtent l="0" t="0" r="8255" b="762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72F57363" w14:textId="77777777" w:rsidR="00FC70C2" w:rsidRPr="00725099" w:rsidRDefault="00FC70C2" w:rsidP="00FC70C2">
      <w:pPr>
        <w:widowControl w:val="0"/>
        <w:spacing w:after="120"/>
        <w:ind w:firstLine="902"/>
        <w:rPr>
          <w:rFonts w:ascii="Arial Narrow" w:eastAsia="Calibri" w:hAnsi="Arial Narrow" w:cs="Arial"/>
          <w:i/>
          <w:sz w:val="18"/>
          <w:lang w:val="bg-BG"/>
        </w:rPr>
      </w:pPr>
      <w:r w:rsidRPr="00725099">
        <w:rPr>
          <w:rFonts w:ascii="Arial Narrow" w:eastAsia="Calibri" w:hAnsi="Arial Narrow" w:cs="Arial"/>
          <w:i/>
          <w:sz w:val="18"/>
          <w:lang w:val="bg-BG"/>
        </w:rPr>
        <w:t xml:space="preserve">      Източник: </w:t>
      </w:r>
      <w:r w:rsidRPr="00725099">
        <w:rPr>
          <w:rFonts w:ascii="Arial Narrow" w:eastAsia="Calibri" w:hAnsi="Arial Narrow" w:cs="Arial"/>
          <w:sz w:val="18"/>
          <w:lang w:val="bg-BG"/>
        </w:rPr>
        <w:t>МЗХ, отдел “Агростатистика”</w:t>
      </w:r>
      <w:r w:rsidRPr="00725099">
        <w:rPr>
          <w:rFonts w:ascii="Arial Narrow" w:eastAsia="Calibri" w:hAnsi="Arial Narrow" w:cs="Arial"/>
          <w:i/>
          <w:sz w:val="18"/>
          <w:lang w:val="bg-BG"/>
        </w:rPr>
        <w:t xml:space="preserve">    </w:t>
      </w:r>
    </w:p>
    <w:p w14:paraId="4D5882CB" w14:textId="77777777" w:rsidR="00FC70C2" w:rsidRPr="00FC70C2" w:rsidRDefault="00FC70C2" w:rsidP="00FC70C2">
      <w:pPr>
        <w:widowControl w:val="0"/>
        <w:spacing w:after="120"/>
        <w:ind w:firstLine="709"/>
        <w:jc w:val="both"/>
        <w:rPr>
          <w:rFonts w:ascii="Arial Narrow" w:eastAsia="Calibri" w:hAnsi="Arial Narrow" w:cs="Arial"/>
          <w:lang w:val="bg-BG" w:eastAsia="bg-BG"/>
        </w:rPr>
      </w:pPr>
      <w:r w:rsidRPr="00FC70C2">
        <w:rPr>
          <w:rFonts w:ascii="Arial Narrow" w:eastAsia="Calibri" w:hAnsi="Arial Narrow" w:cs="Arial"/>
          <w:lang w:val="bg-BG" w:eastAsia="bg-BG"/>
        </w:rPr>
        <w:t>През 2024 г. по скалата на Съюза за класификация на кланични трупове от свине са класифицирани общо 150 689 броя, което е с 12,6</w:t>
      </w:r>
      <w:r w:rsidRPr="00FC70C2">
        <w:rPr>
          <w:rFonts w:ascii="Arial Narrow" w:eastAsia="Calibri" w:hAnsi="Arial Narrow" w:cs="Arial"/>
          <w:lang w:eastAsia="bg-BG"/>
        </w:rPr>
        <w:t xml:space="preserve">% </w:t>
      </w:r>
      <w:r w:rsidRPr="00FC70C2">
        <w:rPr>
          <w:rFonts w:ascii="Arial Narrow" w:eastAsia="Calibri" w:hAnsi="Arial Narrow" w:cs="Arial"/>
          <w:lang w:val="bg-BG" w:eastAsia="bg-BG"/>
        </w:rPr>
        <w:t>повече в сравнение с 2023 г.</w:t>
      </w:r>
      <w:r w:rsidRPr="00FC70C2">
        <w:rPr>
          <w:rFonts w:ascii="Arial Narrow" w:eastAsia="Calibri" w:hAnsi="Arial Narrow" w:cs="Arial"/>
          <w:lang w:eastAsia="bg-BG"/>
        </w:rPr>
        <w:t xml:space="preserve"> </w:t>
      </w:r>
      <w:r w:rsidRPr="00FC70C2">
        <w:rPr>
          <w:rFonts w:ascii="Arial Narrow" w:eastAsia="Calibri" w:hAnsi="Arial Narrow" w:cs="Arial"/>
          <w:lang w:val="bg-BG" w:eastAsia="bg-BG"/>
        </w:rPr>
        <w:t>Както и през предходната година, класификация е извършвана от една кланица.</w:t>
      </w:r>
    </w:p>
    <w:p w14:paraId="579E79E4" w14:textId="77777777" w:rsidR="00FC70C2" w:rsidRPr="00FC70C2" w:rsidRDefault="00FC70C2" w:rsidP="00FC70C2">
      <w:pPr>
        <w:widowControl w:val="0"/>
        <w:tabs>
          <w:tab w:val="left" w:pos="180"/>
        </w:tabs>
        <w:spacing w:after="120"/>
        <w:rPr>
          <w:rFonts w:ascii="Arial Narrow" w:eastAsia="Calibri" w:hAnsi="Arial Narrow" w:cs="Arial"/>
          <w:b/>
          <w:lang w:val="bg-BG"/>
        </w:rPr>
      </w:pPr>
      <w:r w:rsidRPr="00FC70C2">
        <w:rPr>
          <w:rFonts w:ascii="Arial Narrow" w:eastAsia="Calibri" w:hAnsi="Arial Narrow" w:cs="Arial"/>
          <w:b/>
          <w:lang w:val="bg-BG"/>
        </w:rPr>
        <w:t>Таблица ІІ.24. Класифицирани кланични трупове от свине според съдържанието на постно месо</w:t>
      </w:r>
    </w:p>
    <w:tbl>
      <w:tblPr>
        <w:tblW w:w="97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131"/>
        <w:gridCol w:w="1448"/>
        <w:gridCol w:w="1306"/>
        <w:gridCol w:w="1306"/>
        <w:gridCol w:w="1060"/>
        <w:gridCol w:w="966"/>
        <w:gridCol w:w="1330"/>
        <w:gridCol w:w="1194"/>
      </w:tblGrid>
      <w:tr w:rsidR="00FC70C2" w:rsidRPr="00FC70C2" w14:paraId="09364017" w14:textId="77777777" w:rsidTr="00725099">
        <w:trPr>
          <w:trHeight w:val="851"/>
          <w:tblHeader/>
          <w:jc w:val="center"/>
        </w:trPr>
        <w:tc>
          <w:tcPr>
            <w:tcW w:w="1131" w:type="dxa"/>
            <w:shd w:val="clear" w:color="auto" w:fill="FFFFFF"/>
            <w:vAlign w:val="center"/>
          </w:tcPr>
          <w:p w14:paraId="75B6F8FD" w14:textId="77777777" w:rsidR="00FC70C2" w:rsidRPr="00FC70C2" w:rsidRDefault="00FC70C2" w:rsidP="00FC70C2">
            <w:pPr>
              <w:widowControl w:val="0"/>
              <w:jc w:val="center"/>
              <w:rPr>
                <w:rFonts w:ascii="Arial Narrow" w:hAnsi="Arial Narrow" w:cs="Arial"/>
                <w:b/>
                <w:bCs/>
                <w:sz w:val="20"/>
                <w:szCs w:val="20"/>
                <w:lang w:val="bg-BG"/>
              </w:rPr>
            </w:pPr>
            <w:r w:rsidRPr="00FC70C2">
              <w:rPr>
                <w:rFonts w:ascii="Arial Narrow" w:hAnsi="Arial Narrow" w:cs="Arial"/>
                <w:b/>
                <w:bCs/>
                <w:sz w:val="20"/>
                <w:szCs w:val="20"/>
                <w:lang w:val="bg-BG"/>
              </w:rPr>
              <w:t>Година</w:t>
            </w:r>
          </w:p>
        </w:tc>
        <w:tc>
          <w:tcPr>
            <w:tcW w:w="1448" w:type="dxa"/>
            <w:shd w:val="clear" w:color="auto" w:fill="FFFFFF"/>
            <w:vAlign w:val="center"/>
          </w:tcPr>
          <w:p w14:paraId="077B07F6" w14:textId="77777777" w:rsidR="00FC70C2" w:rsidRPr="00FC70C2" w:rsidRDefault="00FC70C2" w:rsidP="00FC70C2">
            <w:pPr>
              <w:widowControl w:val="0"/>
              <w:jc w:val="center"/>
              <w:rPr>
                <w:rFonts w:ascii="Arial Narrow" w:hAnsi="Arial Narrow" w:cs="Arial"/>
                <w:b/>
                <w:bCs/>
                <w:sz w:val="20"/>
                <w:szCs w:val="20"/>
                <w:lang w:val="bg-BG"/>
              </w:rPr>
            </w:pPr>
            <w:r w:rsidRPr="00FC70C2">
              <w:rPr>
                <w:rFonts w:ascii="Arial Narrow" w:hAnsi="Arial Narrow" w:cs="Arial"/>
                <w:b/>
                <w:bCs/>
                <w:sz w:val="20"/>
                <w:szCs w:val="20"/>
                <w:lang w:val="bg-BG"/>
              </w:rPr>
              <w:t xml:space="preserve">S                     </w:t>
            </w:r>
            <w:r w:rsidRPr="00FC70C2">
              <w:rPr>
                <w:rFonts w:ascii="Arial Narrow" w:hAnsi="Arial Narrow" w:cs="Arial"/>
                <w:sz w:val="20"/>
                <w:szCs w:val="20"/>
                <w:lang w:val="bg-BG"/>
              </w:rPr>
              <w:t xml:space="preserve"> 60% и повече</w:t>
            </w:r>
          </w:p>
        </w:tc>
        <w:tc>
          <w:tcPr>
            <w:tcW w:w="1306" w:type="dxa"/>
            <w:shd w:val="clear" w:color="auto" w:fill="FFFFFF"/>
            <w:vAlign w:val="center"/>
          </w:tcPr>
          <w:p w14:paraId="15ED1A33" w14:textId="77777777" w:rsidR="00FC70C2" w:rsidRPr="00FC70C2" w:rsidRDefault="00FC70C2" w:rsidP="00FC70C2">
            <w:pPr>
              <w:widowControl w:val="0"/>
              <w:jc w:val="center"/>
              <w:rPr>
                <w:rFonts w:ascii="Arial Narrow" w:hAnsi="Arial Narrow" w:cs="Arial"/>
                <w:b/>
                <w:bCs/>
                <w:sz w:val="20"/>
                <w:szCs w:val="20"/>
                <w:lang w:val="bg-BG"/>
              </w:rPr>
            </w:pPr>
            <w:r w:rsidRPr="00FC70C2">
              <w:rPr>
                <w:rFonts w:ascii="Arial Narrow" w:hAnsi="Arial Narrow" w:cs="Arial"/>
                <w:b/>
                <w:bCs/>
                <w:sz w:val="20"/>
                <w:szCs w:val="20"/>
                <w:lang w:val="bg-BG"/>
              </w:rPr>
              <w:t xml:space="preserve">E                    </w:t>
            </w:r>
            <w:r w:rsidRPr="00FC70C2">
              <w:rPr>
                <w:rFonts w:ascii="Arial Narrow" w:hAnsi="Arial Narrow" w:cs="Arial"/>
                <w:sz w:val="20"/>
                <w:szCs w:val="20"/>
                <w:lang w:val="bg-BG"/>
              </w:rPr>
              <w:t xml:space="preserve">  от 55 до 60%</w:t>
            </w:r>
          </w:p>
        </w:tc>
        <w:tc>
          <w:tcPr>
            <w:tcW w:w="1306" w:type="dxa"/>
            <w:shd w:val="clear" w:color="auto" w:fill="FFFFFF"/>
            <w:vAlign w:val="center"/>
          </w:tcPr>
          <w:p w14:paraId="4412C1FC" w14:textId="77777777" w:rsidR="00FC70C2" w:rsidRPr="00FC70C2" w:rsidRDefault="00FC70C2" w:rsidP="00FC70C2">
            <w:pPr>
              <w:widowControl w:val="0"/>
              <w:jc w:val="center"/>
              <w:rPr>
                <w:rFonts w:ascii="Arial Narrow" w:hAnsi="Arial Narrow" w:cs="Arial"/>
                <w:sz w:val="20"/>
                <w:szCs w:val="20"/>
              </w:rPr>
            </w:pPr>
            <w:r w:rsidRPr="00FC70C2">
              <w:rPr>
                <w:rFonts w:ascii="Arial Narrow" w:hAnsi="Arial Narrow" w:cs="Arial"/>
                <w:b/>
                <w:bCs/>
                <w:sz w:val="20"/>
                <w:szCs w:val="20"/>
                <w:lang w:val="bg-BG"/>
              </w:rPr>
              <w:t xml:space="preserve">U                  </w:t>
            </w:r>
            <w:r w:rsidRPr="00FC70C2">
              <w:rPr>
                <w:rFonts w:ascii="Arial Narrow" w:hAnsi="Arial Narrow" w:cs="Arial"/>
                <w:sz w:val="20"/>
                <w:szCs w:val="20"/>
                <w:lang w:val="bg-BG"/>
              </w:rPr>
              <w:t xml:space="preserve"> </w:t>
            </w:r>
          </w:p>
          <w:p w14:paraId="1EA8C7E0" w14:textId="77777777" w:rsidR="00FC70C2" w:rsidRPr="00FC70C2" w:rsidRDefault="00FC70C2" w:rsidP="00FC70C2">
            <w:pPr>
              <w:widowControl w:val="0"/>
              <w:jc w:val="center"/>
              <w:rPr>
                <w:rFonts w:ascii="Arial Narrow" w:hAnsi="Arial Narrow" w:cs="Arial"/>
                <w:b/>
                <w:bCs/>
                <w:sz w:val="20"/>
                <w:szCs w:val="20"/>
                <w:lang w:val="bg-BG"/>
              </w:rPr>
            </w:pPr>
            <w:r w:rsidRPr="00FC70C2">
              <w:rPr>
                <w:rFonts w:ascii="Arial Narrow" w:hAnsi="Arial Narrow" w:cs="Arial"/>
                <w:sz w:val="20"/>
                <w:szCs w:val="20"/>
                <w:lang w:val="bg-BG"/>
              </w:rPr>
              <w:t>от 50 до 55%</w:t>
            </w:r>
          </w:p>
        </w:tc>
        <w:tc>
          <w:tcPr>
            <w:tcW w:w="1060" w:type="dxa"/>
            <w:shd w:val="clear" w:color="auto" w:fill="FFFFFF"/>
            <w:vAlign w:val="center"/>
          </w:tcPr>
          <w:p w14:paraId="4C08A25C" w14:textId="77777777" w:rsidR="00FC70C2" w:rsidRPr="00FC70C2" w:rsidRDefault="00FC70C2" w:rsidP="00FC70C2">
            <w:pPr>
              <w:widowControl w:val="0"/>
              <w:jc w:val="center"/>
              <w:rPr>
                <w:rFonts w:ascii="Arial Narrow" w:hAnsi="Arial Narrow" w:cs="Arial"/>
                <w:b/>
                <w:bCs/>
                <w:sz w:val="20"/>
                <w:szCs w:val="20"/>
                <w:lang w:val="bg-BG"/>
              </w:rPr>
            </w:pPr>
            <w:r w:rsidRPr="00FC70C2">
              <w:rPr>
                <w:rFonts w:ascii="Arial Narrow" w:hAnsi="Arial Narrow" w:cs="Arial"/>
                <w:b/>
                <w:bCs/>
                <w:sz w:val="20"/>
                <w:szCs w:val="20"/>
                <w:lang w:val="bg-BG"/>
              </w:rPr>
              <w:t xml:space="preserve">R                  </w:t>
            </w:r>
            <w:r w:rsidRPr="00FC70C2">
              <w:rPr>
                <w:rFonts w:ascii="Arial Narrow" w:hAnsi="Arial Narrow" w:cs="Arial"/>
                <w:sz w:val="20"/>
                <w:szCs w:val="20"/>
                <w:lang w:val="bg-BG"/>
              </w:rPr>
              <w:t xml:space="preserve"> от 45 до 50 %</w:t>
            </w:r>
          </w:p>
        </w:tc>
        <w:tc>
          <w:tcPr>
            <w:tcW w:w="966" w:type="dxa"/>
            <w:shd w:val="clear" w:color="auto" w:fill="FFFFFF"/>
            <w:vAlign w:val="center"/>
          </w:tcPr>
          <w:p w14:paraId="02496FEE" w14:textId="77777777" w:rsidR="00FC70C2" w:rsidRPr="00FC70C2" w:rsidRDefault="00FC70C2" w:rsidP="00FC70C2">
            <w:pPr>
              <w:widowControl w:val="0"/>
              <w:jc w:val="center"/>
              <w:rPr>
                <w:rFonts w:ascii="Arial Narrow" w:hAnsi="Arial Narrow" w:cs="Arial"/>
                <w:b/>
                <w:bCs/>
                <w:sz w:val="20"/>
                <w:szCs w:val="20"/>
                <w:lang w:val="bg-BG"/>
              </w:rPr>
            </w:pPr>
            <w:r w:rsidRPr="00FC70C2">
              <w:rPr>
                <w:rFonts w:ascii="Arial Narrow" w:hAnsi="Arial Narrow" w:cs="Arial"/>
                <w:b/>
                <w:bCs/>
                <w:sz w:val="20"/>
                <w:szCs w:val="20"/>
                <w:lang w:val="bg-BG"/>
              </w:rPr>
              <w:t xml:space="preserve">О                   </w:t>
            </w:r>
            <w:r w:rsidRPr="00FC70C2">
              <w:rPr>
                <w:rFonts w:ascii="Arial Narrow" w:hAnsi="Arial Narrow" w:cs="Arial"/>
                <w:sz w:val="20"/>
                <w:szCs w:val="20"/>
                <w:lang w:val="bg-BG"/>
              </w:rPr>
              <w:t xml:space="preserve"> от 40 до 45%</w:t>
            </w:r>
          </w:p>
        </w:tc>
        <w:tc>
          <w:tcPr>
            <w:tcW w:w="1330" w:type="dxa"/>
            <w:shd w:val="clear" w:color="auto" w:fill="FFFFFF"/>
            <w:vAlign w:val="center"/>
          </w:tcPr>
          <w:p w14:paraId="56579C08" w14:textId="77777777" w:rsidR="00FC70C2" w:rsidRPr="00FC70C2" w:rsidRDefault="00FC70C2" w:rsidP="00FC70C2">
            <w:pPr>
              <w:widowControl w:val="0"/>
              <w:jc w:val="center"/>
              <w:rPr>
                <w:rFonts w:ascii="Arial Narrow" w:hAnsi="Arial Narrow" w:cs="Arial"/>
                <w:b/>
                <w:bCs/>
                <w:sz w:val="20"/>
                <w:szCs w:val="20"/>
                <w:lang w:val="bg-BG"/>
              </w:rPr>
            </w:pPr>
            <w:r w:rsidRPr="00FC70C2">
              <w:rPr>
                <w:rFonts w:ascii="Arial Narrow" w:hAnsi="Arial Narrow" w:cs="Arial"/>
                <w:b/>
                <w:bCs/>
                <w:sz w:val="20"/>
                <w:szCs w:val="20"/>
                <w:lang w:val="bg-BG"/>
              </w:rPr>
              <w:t xml:space="preserve">P                            </w:t>
            </w:r>
            <w:r w:rsidRPr="00FC70C2">
              <w:rPr>
                <w:rFonts w:ascii="Arial Narrow" w:hAnsi="Arial Narrow" w:cs="Arial"/>
                <w:sz w:val="20"/>
                <w:szCs w:val="20"/>
                <w:lang w:val="bg-BG"/>
              </w:rPr>
              <w:t xml:space="preserve"> 40% по-малко</w:t>
            </w:r>
          </w:p>
        </w:tc>
        <w:tc>
          <w:tcPr>
            <w:tcW w:w="1194" w:type="dxa"/>
            <w:shd w:val="clear" w:color="auto" w:fill="FFFFFF"/>
            <w:vAlign w:val="center"/>
          </w:tcPr>
          <w:p w14:paraId="7A09BCF1" w14:textId="77777777" w:rsidR="00FC70C2" w:rsidRPr="00FC70C2" w:rsidRDefault="00FC70C2" w:rsidP="00FC70C2">
            <w:pPr>
              <w:widowControl w:val="0"/>
              <w:jc w:val="center"/>
              <w:rPr>
                <w:rFonts w:ascii="Arial Narrow" w:hAnsi="Arial Narrow" w:cs="Arial"/>
                <w:b/>
                <w:bCs/>
                <w:sz w:val="20"/>
                <w:szCs w:val="20"/>
                <w:lang w:val="bg-BG"/>
              </w:rPr>
            </w:pPr>
            <w:r w:rsidRPr="00FC70C2">
              <w:rPr>
                <w:rFonts w:ascii="Arial Narrow" w:hAnsi="Arial Narrow" w:cs="Arial"/>
                <w:b/>
                <w:bCs/>
                <w:sz w:val="20"/>
                <w:szCs w:val="20"/>
                <w:lang w:val="bg-BG"/>
              </w:rPr>
              <w:t>Общо</w:t>
            </w:r>
          </w:p>
          <w:p w14:paraId="62A258D1" w14:textId="77777777" w:rsidR="00FC70C2" w:rsidRPr="00FC70C2" w:rsidRDefault="00FC70C2" w:rsidP="00FC70C2">
            <w:pPr>
              <w:widowControl w:val="0"/>
              <w:jc w:val="center"/>
              <w:rPr>
                <w:rFonts w:ascii="Arial Narrow" w:hAnsi="Arial Narrow" w:cs="Arial"/>
                <w:b/>
                <w:bCs/>
                <w:sz w:val="20"/>
                <w:szCs w:val="20"/>
                <w:lang w:val="bg-BG"/>
              </w:rPr>
            </w:pPr>
            <w:r w:rsidRPr="00FC70C2">
              <w:rPr>
                <w:rFonts w:ascii="Arial Narrow" w:hAnsi="Arial Narrow" w:cs="Arial"/>
                <w:b/>
                <w:bCs/>
                <w:sz w:val="20"/>
                <w:szCs w:val="20"/>
                <w:lang w:val="bg-BG"/>
              </w:rPr>
              <w:t>(Брой)</w:t>
            </w:r>
          </w:p>
        </w:tc>
      </w:tr>
      <w:tr w:rsidR="00FC70C2" w:rsidRPr="00FC70C2" w14:paraId="0E2C63FA" w14:textId="77777777" w:rsidTr="00725099">
        <w:trPr>
          <w:trHeight w:val="340"/>
          <w:jc w:val="center"/>
        </w:trPr>
        <w:tc>
          <w:tcPr>
            <w:tcW w:w="1131" w:type="dxa"/>
            <w:shd w:val="clear" w:color="auto" w:fill="FFFFFF"/>
            <w:noWrap/>
            <w:vAlign w:val="center"/>
          </w:tcPr>
          <w:p w14:paraId="014576FE" w14:textId="77777777" w:rsidR="00FC70C2" w:rsidRPr="00FC70C2" w:rsidRDefault="00FC70C2" w:rsidP="00FC70C2">
            <w:pPr>
              <w:widowControl w:val="0"/>
              <w:rPr>
                <w:rFonts w:ascii="Arial Narrow" w:hAnsi="Arial Narrow"/>
                <w:sz w:val="20"/>
                <w:szCs w:val="20"/>
                <w:lang w:val="bg-BG" w:eastAsia="bg-BG"/>
              </w:rPr>
            </w:pPr>
            <w:r w:rsidRPr="00FC70C2">
              <w:rPr>
                <w:rFonts w:ascii="Arial Narrow" w:hAnsi="Arial Narrow"/>
                <w:sz w:val="20"/>
                <w:szCs w:val="20"/>
                <w:lang w:val="bg-BG" w:eastAsia="bg-BG"/>
              </w:rPr>
              <w:t>2018</w:t>
            </w:r>
          </w:p>
        </w:tc>
        <w:tc>
          <w:tcPr>
            <w:tcW w:w="1448" w:type="dxa"/>
            <w:shd w:val="clear" w:color="auto" w:fill="FFFFFF"/>
            <w:noWrap/>
            <w:vAlign w:val="center"/>
          </w:tcPr>
          <w:p w14:paraId="60F2B06F" w14:textId="77777777" w:rsidR="00FC70C2" w:rsidRPr="00FC70C2" w:rsidRDefault="00FC70C2" w:rsidP="00FC70C2">
            <w:pPr>
              <w:widowControl w:val="0"/>
              <w:jc w:val="right"/>
              <w:rPr>
                <w:rFonts w:ascii="Arial Narrow" w:hAnsi="Arial Narrow"/>
                <w:sz w:val="20"/>
                <w:szCs w:val="20"/>
                <w:lang w:val="bg-BG" w:eastAsia="bg-BG"/>
              </w:rPr>
            </w:pPr>
            <w:r w:rsidRPr="00FC70C2">
              <w:rPr>
                <w:rFonts w:ascii="Arial Narrow" w:hAnsi="Arial Narrow"/>
                <w:sz w:val="20"/>
                <w:szCs w:val="20"/>
                <w:lang w:val="bg-BG" w:eastAsia="bg-BG"/>
              </w:rPr>
              <w:t>318</w:t>
            </w:r>
          </w:p>
        </w:tc>
        <w:tc>
          <w:tcPr>
            <w:tcW w:w="1306" w:type="dxa"/>
            <w:shd w:val="clear" w:color="auto" w:fill="FFFFFF"/>
            <w:noWrap/>
            <w:vAlign w:val="center"/>
          </w:tcPr>
          <w:p w14:paraId="59677B13" w14:textId="77777777" w:rsidR="00FC70C2" w:rsidRPr="00FC70C2" w:rsidRDefault="00FC70C2" w:rsidP="00FC70C2">
            <w:pPr>
              <w:widowControl w:val="0"/>
              <w:jc w:val="right"/>
              <w:rPr>
                <w:rFonts w:ascii="Arial Narrow" w:hAnsi="Arial Narrow"/>
                <w:sz w:val="20"/>
                <w:szCs w:val="20"/>
                <w:lang w:val="bg-BG" w:eastAsia="bg-BG"/>
              </w:rPr>
            </w:pPr>
            <w:r w:rsidRPr="00FC70C2">
              <w:rPr>
                <w:rFonts w:ascii="Arial Narrow" w:hAnsi="Arial Narrow"/>
                <w:sz w:val="20"/>
                <w:szCs w:val="20"/>
                <w:lang w:val="bg-BG" w:eastAsia="bg-BG"/>
              </w:rPr>
              <w:t>70 422</w:t>
            </w:r>
          </w:p>
        </w:tc>
        <w:tc>
          <w:tcPr>
            <w:tcW w:w="1306" w:type="dxa"/>
            <w:shd w:val="clear" w:color="auto" w:fill="FFFFFF"/>
            <w:noWrap/>
            <w:vAlign w:val="center"/>
          </w:tcPr>
          <w:p w14:paraId="71E96AA8" w14:textId="77777777" w:rsidR="00FC70C2" w:rsidRPr="00FC70C2" w:rsidRDefault="00FC70C2" w:rsidP="00FC70C2">
            <w:pPr>
              <w:widowControl w:val="0"/>
              <w:jc w:val="right"/>
              <w:rPr>
                <w:rFonts w:ascii="Arial Narrow" w:hAnsi="Arial Narrow"/>
                <w:sz w:val="20"/>
                <w:szCs w:val="20"/>
                <w:lang w:val="bg-BG" w:eastAsia="bg-BG"/>
              </w:rPr>
            </w:pPr>
            <w:r w:rsidRPr="00FC70C2">
              <w:rPr>
                <w:rFonts w:ascii="Arial Narrow" w:hAnsi="Arial Narrow"/>
                <w:sz w:val="20"/>
                <w:szCs w:val="20"/>
                <w:lang w:val="bg-BG" w:eastAsia="bg-BG"/>
              </w:rPr>
              <w:t>18 888</w:t>
            </w:r>
          </w:p>
        </w:tc>
        <w:tc>
          <w:tcPr>
            <w:tcW w:w="1060" w:type="dxa"/>
            <w:shd w:val="clear" w:color="auto" w:fill="FFFFFF"/>
            <w:noWrap/>
            <w:vAlign w:val="center"/>
          </w:tcPr>
          <w:p w14:paraId="22AD984F" w14:textId="77777777" w:rsidR="00FC70C2" w:rsidRPr="00FC70C2" w:rsidRDefault="00FC70C2" w:rsidP="00FC70C2">
            <w:pPr>
              <w:widowControl w:val="0"/>
              <w:jc w:val="right"/>
              <w:rPr>
                <w:rFonts w:ascii="Arial Narrow" w:hAnsi="Arial Narrow"/>
                <w:sz w:val="20"/>
                <w:szCs w:val="20"/>
                <w:lang w:val="bg-BG" w:eastAsia="bg-BG"/>
              </w:rPr>
            </w:pPr>
            <w:r w:rsidRPr="00FC70C2">
              <w:rPr>
                <w:rFonts w:ascii="Arial Narrow" w:hAnsi="Arial Narrow"/>
                <w:sz w:val="20"/>
                <w:szCs w:val="20"/>
                <w:lang w:val="bg-BG" w:eastAsia="bg-BG"/>
              </w:rPr>
              <w:t>134</w:t>
            </w:r>
          </w:p>
        </w:tc>
        <w:tc>
          <w:tcPr>
            <w:tcW w:w="966" w:type="dxa"/>
            <w:shd w:val="clear" w:color="auto" w:fill="FFFFFF"/>
            <w:noWrap/>
            <w:vAlign w:val="center"/>
          </w:tcPr>
          <w:p w14:paraId="78B8CA1D" w14:textId="77777777" w:rsidR="00FC70C2" w:rsidRPr="00FC70C2" w:rsidRDefault="00FC70C2" w:rsidP="00FC70C2">
            <w:pPr>
              <w:widowControl w:val="0"/>
              <w:jc w:val="right"/>
              <w:rPr>
                <w:rFonts w:ascii="Arial Narrow" w:hAnsi="Arial Narrow"/>
                <w:sz w:val="20"/>
                <w:szCs w:val="20"/>
                <w:lang w:val="bg-BG" w:eastAsia="bg-BG"/>
              </w:rPr>
            </w:pPr>
            <w:r w:rsidRPr="00FC70C2">
              <w:rPr>
                <w:rFonts w:ascii="Arial Narrow" w:hAnsi="Arial Narrow"/>
                <w:sz w:val="20"/>
                <w:szCs w:val="20"/>
                <w:lang w:val="bg-BG" w:eastAsia="bg-BG"/>
              </w:rPr>
              <w:t>0</w:t>
            </w:r>
          </w:p>
        </w:tc>
        <w:tc>
          <w:tcPr>
            <w:tcW w:w="1330" w:type="dxa"/>
            <w:shd w:val="clear" w:color="auto" w:fill="FFFFFF"/>
            <w:noWrap/>
            <w:vAlign w:val="center"/>
          </w:tcPr>
          <w:p w14:paraId="642EBC4F" w14:textId="77777777" w:rsidR="00FC70C2" w:rsidRPr="00FC70C2" w:rsidRDefault="00FC70C2" w:rsidP="00FC70C2">
            <w:pPr>
              <w:widowControl w:val="0"/>
              <w:jc w:val="right"/>
              <w:rPr>
                <w:rFonts w:ascii="Arial Narrow" w:hAnsi="Arial Narrow"/>
                <w:sz w:val="20"/>
                <w:szCs w:val="20"/>
                <w:lang w:val="bg-BG" w:eastAsia="bg-BG"/>
              </w:rPr>
            </w:pPr>
            <w:r w:rsidRPr="00FC70C2">
              <w:rPr>
                <w:rFonts w:ascii="Arial Narrow" w:hAnsi="Arial Narrow"/>
                <w:sz w:val="20"/>
                <w:szCs w:val="20"/>
                <w:lang w:val="bg-BG" w:eastAsia="bg-BG"/>
              </w:rPr>
              <w:t>0</w:t>
            </w:r>
          </w:p>
        </w:tc>
        <w:tc>
          <w:tcPr>
            <w:tcW w:w="1194" w:type="dxa"/>
            <w:shd w:val="clear" w:color="auto" w:fill="FFFFFF"/>
            <w:noWrap/>
            <w:vAlign w:val="center"/>
          </w:tcPr>
          <w:p w14:paraId="6FFB139D" w14:textId="77777777" w:rsidR="00FC70C2" w:rsidRPr="00FC70C2" w:rsidRDefault="00FC70C2" w:rsidP="00FC70C2">
            <w:pPr>
              <w:widowControl w:val="0"/>
              <w:jc w:val="right"/>
              <w:rPr>
                <w:rFonts w:ascii="Arial Narrow" w:hAnsi="Arial Narrow"/>
                <w:sz w:val="20"/>
                <w:szCs w:val="20"/>
                <w:lang w:val="bg-BG" w:eastAsia="bg-BG"/>
              </w:rPr>
            </w:pPr>
            <w:r w:rsidRPr="00FC70C2">
              <w:rPr>
                <w:rFonts w:ascii="Arial Narrow" w:hAnsi="Arial Narrow"/>
                <w:sz w:val="20"/>
                <w:szCs w:val="20"/>
                <w:lang w:val="bg-BG" w:eastAsia="bg-BG"/>
              </w:rPr>
              <w:t>89 762</w:t>
            </w:r>
          </w:p>
        </w:tc>
      </w:tr>
      <w:tr w:rsidR="00FC70C2" w:rsidRPr="00FC70C2" w14:paraId="7ABCBEEC" w14:textId="77777777" w:rsidTr="00725099">
        <w:trPr>
          <w:trHeight w:val="340"/>
          <w:jc w:val="center"/>
        </w:trPr>
        <w:tc>
          <w:tcPr>
            <w:tcW w:w="1131" w:type="dxa"/>
            <w:shd w:val="clear" w:color="auto" w:fill="FFFFFF"/>
            <w:noWrap/>
            <w:vAlign w:val="center"/>
          </w:tcPr>
          <w:p w14:paraId="58041DB3" w14:textId="77777777" w:rsidR="00FC70C2" w:rsidRPr="00FC70C2" w:rsidRDefault="00FC70C2" w:rsidP="00FC70C2">
            <w:pPr>
              <w:widowControl w:val="0"/>
              <w:rPr>
                <w:rFonts w:ascii="Arial Narrow" w:hAnsi="Arial Narrow"/>
                <w:sz w:val="20"/>
                <w:szCs w:val="20"/>
                <w:lang w:val="bg-BG" w:eastAsia="bg-BG"/>
              </w:rPr>
            </w:pPr>
            <w:r w:rsidRPr="00FC70C2">
              <w:rPr>
                <w:rFonts w:ascii="Arial Narrow" w:hAnsi="Arial Narrow"/>
                <w:sz w:val="20"/>
                <w:szCs w:val="20"/>
                <w:lang w:val="bg-BG" w:eastAsia="bg-BG"/>
              </w:rPr>
              <w:t>2019</w:t>
            </w:r>
          </w:p>
        </w:tc>
        <w:tc>
          <w:tcPr>
            <w:tcW w:w="1448" w:type="dxa"/>
            <w:shd w:val="clear" w:color="auto" w:fill="FFFFFF"/>
            <w:noWrap/>
            <w:vAlign w:val="center"/>
          </w:tcPr>
          <w:p w14:paraId="30F4387D" w14:textId="77777777" w:rsidR="00FC70C2" w:rsidRPr="00FC70C2" w:rsidRDefault="00FC70C2" w:rsidP="00FC70C2">
            <w:pPr>
              <w:widowControl w:val="0"/>
              <w:jc w:val="right"/>
              <w:rPr>
                <w:rFonts w:ascii="Arial Narrow" w:hAnsi="Arial Narrow"/>
                <w:sz w:val="20"/>
                <w:szCs w:val="20"/>
                <w:lang w:val="bg-BG" w:eastAsia="bg-BG"/>
              </w:rPr>
            </w:pPr>
            <w:r w:rsidRPr="00FC70C2">
              <w:rPr>
                <w:rFonts w:ascii="Arial Narrow" w:hAnsi="Arial Narrow"/>
                <w:sz w:val="20"/>
                <w:szCs w:val="20"/>
                <w:lang w:val="bg-BG" w:eastAsia="bg-BG"/>
              </w:rPr>
              <w:t>151</w:t>
            </w:r>
          </w:p>
        </w:tc>
        <w:tc>
          <w:tcPr>
            <w:tcW w:w="1306" w:type="dxa"/>
            <w:shd w:val="clear" w:color="auto" w:fill="FFFFFF"/>
            <w:noWrap/>
            <w:vAlign w:val="center"/>
          </w:tcPr>
          <w:p w14:paraId="2427F2CC" w14:textId="77777777" w:rsidR="00FC70C2" w:rsidRPr="00FC70C2" w:rsidRDefault="00FC70C2" w:rsidP="00FC70C2">
            <w:pPr>
              <w:widowControl w:val="0"/>
              <w:jc w:val="right"/>
              <w:rPr>
                <w:rFonts w:ascii="Arial Narrow" w:hAnsi="Arial Narrow"/>
                <w:sz w:val="20"/>
                <w:szCs w:val="20"/>
                <w:lang w:val="bg-BG" w:eastAsia="bg-BG"/>
              </w:rPr>
            </w:pPr>
            <w:r w:rsidRPr="00FC70C2">
              <w:rPr>
                <w:rFonts w:ascii="Arial Narrow" w:hAnsi="Arial Narrow"/>
                <w:sz w:val="20"/>
                <w:szCs w:val="20"/>
                <w:lang w:val="bg-BG" w:eastAsia="bg-BG"/>
              </w:rPr>
              <w:t>37 081</w:t>
            </w:r>
          </w:p>
        </w:tc>
        <w:tc>
          <w:tcPr>
            <w:tcW w:w="1306" w:type="dxa"/>
            <w:shd w:val="clear" w:color="auto" w:fill="FFFFFF"/>
            <w:noWrap/>
            <w:vAlign w:val="center"/>
          </w:tcPr>
          <w:p w14:paraId="2B9A385A" w14:textId="77777777" w:rsidR="00FC70C2" w:rsidRPr="00FC70C2" w:rsidRDefault="00FC70C2" w:rsidP="00FC70C2">
            <w:pPr>
              <w:widowControl w:val="0"/>
              <w:jc w:val="right"/>
              <w:rPr>
                <w:rFonts w:ascii="Arial Narrow" w:hAnsi="Arial Narrow"/>
                <w:sz w:val="20"/>
                <w:szCs w:val="20"/>
                <w:lang w:val="bg-BG" w:eastAsia="bg-BG"/>
              </w:rPr>
            </w:pPr>
            <w:r w:rsidRPr="00FC70C2">
              <w:rPr>
                <w:rFonts w:ascii="Arial Narrow" w:hAnsi="Arial Narrow"/>
                <w:sz w:val="20"/>
                <w:szCs w:val="20"/>
                <w:lang w:val="bg-BG" w:eastAsia="bg-BG"/>
              </w:rPr>
              <w:t>9 491</w:t>
            </w:r>
          </w:p>
        </w:tc>
        <w:tc>
          <w:tcPr>
            <w:tcW w:w="1060" w:type="dxa"/>
            <w:shd w:val="clear" w:color="auto" w:fill="FFFFFF"/>
            <w:noWrap/>
            <w:vAlign w:val="center"/>
          </w:tcPr>
          <w:p w14:paraId="5670B008" w14:textId="77777777" w:rsidR="00FC70C2" w:rsidRPr="00FC70C2" w:rsidRDefault="00FC70C2" w:rsidP="00FC70C2">
            <w:pPr>
              <w:widowControl w:val="0"/>
              <w:jc w:val="right"/>
              <w:rPr>
                <w:rFonts w:ascii="Arial Narrow" w:hAnsi="Arial Narrow"/>
                <w:sz w:val="20"/>
                <w:szCs w:val="20"/>
                <w:lang w:val="bg-BG" w:eastAsia="bg-BG"/>
              </w:rPr>
            </w:pPr>
            <w:r w:rsidRPr="00FC70C2">
              <w:rPr>
                <w:rFonts w:ascii="Arial Narrow" w:hAnsi="Arial Narrow"/>
                <w:sz w:val="20"/>
                <w:szCs w:val="20"/>
                <w:lang w:val="bg-BG" w:eastAsia="bg-BG"/>
              </w:rPr>
              <w:t>35</w:t>
            </w:r>
          </w:p>
        </w:tc>
        <w:tc>
          <w:tcPr>
            <w:tcW w:w="966" w:type="dxa"/>
            <w:shd w:val="clear" w:color="auto" w:fill="FFFFFF"/>
            <w:noWrap/>
            <w:vAlign w:val="center"/>
          </w:tcPr>
          <w:p w14:paraId="3C1E0CDB" w14:textId="77777777" w:rsidR="00FC70C2" w:rsidRPr="00FC70C2" w:rsidRDefault="00FC70C2" w:rsidP="00FC70C2">
            <w:pPr>
              <w:widowControl w:val="0"/>
              <w:jc w:val="right"/>
              <w:rPr>
                <w:rFonts w:ascii="Arial Narrow" w:hAnsi="Arial Narrow"/>
                <w:sz w:val="20"/>
                <w:szCs w:val="20"/>
                <w:lang w:val="bg-BG" w:eastAsia="bg-BG"/>
              </w:rPr>
            </w:pPr>
            <w:r w:rsidRPr="00FC70C2">
              <w:rPr>
                <w:rFonts w:ascii="Arial Narrow" w:hAnsi="Arial Narrow"/>
                <w:sz w:val="20"/>
                <w:szCs w:val="20"/>
                <w:lang w:val="bg-BG" w:eastAsia="bg-BG"/>
              </w:rPr>
              <w:t>0</w:t>
            </w:r>
          </w:p>
        </w:tc>
        <w:tc>
          <w:tcPr>
            <w:tcW w:w="1330" w:type="dxa"/>
            <w:shd w:val="clear" w:color="auto" w:fill="FFFFFF"/>
            <w:noWrap/>
            <w:vAlign w:val="center"/>
          </w:tcPr>
          <w:p w14:paraId="67E00140" w14:textId="77777777" w:rsidR="00FC70C2" w:rsidRPr="00FC70C2" w:rsidRDefault="00FC70C2" w:rsidP="00FC70C2">
            <w:pPr>
              <w:widowControl w:val="0"/>
              <w:jc w:val="right"/>
              <w:rPr>
                <w:rFonts w:ascii="Arial Narrow" w:hAnsi="Arial Narrow"/>
                <w:sz w:val="20"/>
                <w:szCs w:val="20"/>
                <w:lang w:val="bg-BG" w:eastAsia="bg-BG"/>
              </w:rPr>
            </w:pPr>
            <w:r w:rsidRPr="00FC70C2">
              <w:rPr>
                <w:rFonts w:ascii="Arial Narrow" w:hAnsi="Arial Narrow"/>
                <w:sz w:val="20"/>
                <w:szCs w:val="20"/>
                <w:lang w:val="bg-BG" w:eastAsia="bg-BG"/>
              </w:rPr>
              <w:t>0</w:t>
            </w:r>
          </w:p>
        </w:tc>
        <w:tc>
          <w:tcPr>
            <w:tcW w:w="1194" w:type="dxa"/>
            <w:shd w:val="clear" w:color="auto" w:fill="FFFFFF"/>
            <w:noWrap/>
            <w:vAlign w:val="center"/>
          </w:tcPr>
          <w:p w14:paraId="179CF056" w14:textId="77777777" w:rsidR="00FC70C2" w:rsidRPr="00FC70C2" w:rsidRDefault="00FC70C2" w:rsidP="00FC70C2">
            <w:pPr>
              <w:widowControl w:val="0"/>
              <w:jc w:val="right"/>
              <w:rPr>
                <w:rFonts w:ascii="Arial Narrow" w:hAnsi="Arial Narrow"/>
                <w:sz w:val="20"/>
                <w:szCs w:val="20"/>
                <w:lang w:val="bg-BG" w:eastAsia="bg-BG"/>
              </w:rPr>
            </w:pPr>
            <w:r w:rsidRPr="00FC70C2">
              <w:rPr>
                <w:rFonts w:ascii="Arial Narrow" w:hAnsi="Arial Narrow"/>
                <w:sz w:val="20"/>
                <w:szCs w:val="20"/>
                <w:lang w:val="bg-BG" w:eastAsia="bg-BG"/>
              </w:rPr>
              <w:t>46 758</w:t>
            </w:r>
          </w:p>
        </w:tc>
      </w:tr>
      <w:tr w:rsidR="00FC70C2" w:rsidRPr="00FC70C2" w14:paraId="430AA4AA" w14:textId="77777777" w:rsidTr="00725099">
        <w:trPr>
          <w:trHeight w:val="340"/>
          <w:jc w:val="center"/>
        </w:trPr>
        <w:tc>
          <w:tcPr>
            <w:tcW w:w="1131" w:type="dxa"/>
            <w:shd w:val="clear" w:color="auto" w:fill="FFFFFF"/>
            <w:noWrap/>
            <w:vAlign w:val="center"/>
          </w:tcPr>
          <w:p w14:paraId="35F55FF7" w14:textId="77777777" w:rsidR="00FC70C2" w:rsidRPr="00FC70C2" w:rsidRDefault="00FC70C2" w:rsidP="00FC70C2">
            <w:pPr>
              <w:widowControl w:val="0"/>
              <w:rPr>
                <w:rFonts w:ascii="Arial Narrow" w:hAnsi="Arial Narrow"/>
                <w:sz w:val="20"/>
                <w:szCs w:val="20"/>
                <w:lang w:val="bg-BG" w:eastAsia="bg-BG"/>
              </w:rPr>
            </w:pPr>
            <w:r w:rsidRPr="00FC70C2">
              <w:rPr>
                <w:rFonts w:ascii="Arial Narrow" w:hAnsi="Arial Narrow"/>
                <w:sz w:val="20"/>
                <w:szCs w:val="20"/>
                <w:lang w:val="bg-BG" w:eastAsia="bg-BG"/>
              </w:rPr>
              <w:t>2020</w:t>
            </w:r>
          </w:p>
        </w:tc>
        <w:tc>
          <w:tcPr>
            <w:tcW w:w="1448" w:type="dxa"/>
            <w:shd w:val="clear" w:color="auto" w:fill="FFFFFF"/>
            <w:noWrap/>
            <w:vAlign w:val="center"/>
          </w:tcPr>
          <w:p w14:paraId="216F66DE" w14:textId="77777777" w:rsidR="00FC70C2" w:rsidRPr="00FC70C2" w:rsidRDefault="00FC70C2" w:rsidP="00FC70C2">
            <w:pPr>
              <w:widowControl w:val="0"/>
              <w:jc w:val="right"/>
              <w:rPr>
                <w:rFonts w:ascii="Arial Narrow" w:hAnsi="Arial Narrow"/>
                <w:sz w:val="20"/>
                <w:szCs w:val="20"/>
                <w:lang w:eastAsia="bg-BG"/>
              </w:rPr>
            </w:pPr>
            <w:r w:rsidRPr="00FC70C2">
              <w:rPr>
                <w:rFonts w:ascii="Arial Narrow" w:hAnsi="Arial Narrow"/>
                <w:sz w:val="20"/>
                <w:szCs w:val="20"/>
                <w:lang w:eastAsia="bg-BG"/>
              </w:rPr>
              <w:t>161</w:t>
            </w:r>
          </w:p>
        </w:tc>
        <w:tc>
          <w:tcPr>
            <w:tcW w:w="1306" w:type="dxa"/>
            <w:shd w:val="clear" w:color="auto" w:fill="FFFFFF"/>
            <w:noWrap/>
            <w:vAlign w:val="center"/>
          </w:tcPr>
          <w:p w14:paraId="49CA07D9" w14:textId="77777777" w:rsidR="00FC70C2" w:rsidRPr="00FC70C2" w:rsidRDefault="00FC70C2" w:rsidP="00FC70C2">
            <w:pPr>
              <w:widowControl w:val="0"/>
              <w:jc w:val="right"/>
              <w:rPr>
                <w:rFonts w:ascii="Arial Narrow" w:hAnsi="Arial Narrow"/>
                <w:sz w:val="20"/>
                <w:szCs w:val="20"/>
                <w:lang w:eastAsia="bg-BG"/>
              </w:rPr>
            </w:pPr>
            <w:r w:rsidRPr="00FC70C2">
              <w:rPr>
                <w:rFonts w:ascii="Arial Narrow" w:hAnsi="Arial Narrow"/>
                <w:sz w:val="20"/>
                <w:szCs w:val="20"/>
                <w:lang w:eastAsia="bg-BG"/>
              </w:rPr>
              <w:t>33</w:t>
            </w:r>
            <w:r w:rsidRPr="00FC70C2">
              <w:rPr>
                <w:rFonts w:ascii="Arial Narrow" w:hAnsi="Arial Narrow"/>
                <w:sz w:val="20"/>
                <w:szCs w:val="20"/>
                <w:lang w:val="bg-BG" w:eastAsia="bg-BG"/>
              </w:rPr>
              <w:t xml:space="preserve"> </w:t>
            </w:r>
            <w:r w:rsidRPr="00FC70C2">
              <w:rPr>
                <w:rFonts w:ascii="Arial Narrow" w:hAnsi="Arial Narrow"/>
                <w:sz w:val="20"/>
                <w:szCs w:val="20"/>
                <w:lang w:eastAsia="bg-BG"/>
              </w:rPr>
              <w:t>079</w:t>
            </w:r>
          </w:p>
        </w:tc>
        <w:tc>
          <w:tcPr>
            <w:tcW w:w="1306" w:type="dxa"/>
            <w:shd w:val="clear" w:color="auto" w:fill="FFFFFF"/>
            <w:noWrap/>
            <w:vAlign w:val="center"/>
          </w:tcPr>
          <w:p w14:paraId="669BE852" w14:textId="77777777" w:rsidR="00FC70C2" w:rsidRPr="00FC70C2" w:rsidRDefault="00FC70C2" w:rsidP="00FC70C2">
            <w:pPr>
              <w:widowControl w:val="0"/>
              <w:jc w:val="right"/>
              <w:rPr>
                <w:rFonts w:ascii="Arial Narrow" w:hAnsi="Arial Narrow"/>
                <w:sz w:val="20"/>
                <w:szCs w:val="20"/>
                <w:lang w:eastAsia="bg-BG"/>
              </w:rPr>
            </w:pPr>
            <w:r w:rsidRPr="00FC70C2">
              <w:rPr>
                <w:rFonts w:ascii="Arial Narrow" w:hAnsi="Arial Narrow"/>
                <w:sz w:val="20"/>
                <w:szCs w:val="20"/>
                <w:lang w:eastAsia="bg-BG"/>
              </w:rPr>
              <w:t>7</w:t>
            </w:r>
            <w:r w:rsidRPr="00FC70C2">
              <w:rPr>
                <w:rFonts w:ascii="Arial Narrow" w:hAnsi="Arial Narrow"/>
                <w:sz w:val="20"/>
                <w:szCs w:val="20"/>
                <w:lang w:val="bg-BG" w:eastAsia="bg-BG"/>
              </w:rPr>
              <w:t xml:space="preserve"> </w:t>
            </w:r>
            <w:r w:rsidRPr="00FC70C2">
              <w:rPr>
                <w:rFonts w:ascii="Arial Narrow" w:hAnsi="Arial Narrow"/>
                <w:sz w:val="20"/>
                <w:szCs w:val="20"/>
                <w:lang w:eastAsia="bg-BG"/>
              </w:rPr>
              <w:t>050</w:t>
            </w:r>
          </w:p>
        </w:tc>
        <w:tc>
          <w:tcPr>
            <w:tcW w:w="1060" w:type="dxa"/>
            <w:shd w:val="clear" w:color="auto" w:fill="FFFFFF"/>
            <w:noWrap/>
            <w:vAlign w:val="center"/>
          </w:tcPr>
          <w:p w14:paraId="062C7F7D" w14:textId="77777777" w:rsidR="00FC70C2" w:rsidRPr="00FC70C2" w:rsidRDefault="00FC70C2" w:rsidP="00FC70C2">
            <w:pPr>
              <w:widowControl w:val="0"/>
              <w:jc w:val="right"/>
              <w:rPr>
                <w:rFonts w:ascii="Arial Narrow" w:hAnsi="Arial Narrow"/>
                <w:sz w:val="20"/>
                <w:szCs w:val="20"/>
                <w:lang w:eastAsia="bg-BG"/>
              </w:rPr>
            </w:pPr>
            <w:r w:rsidRPr="00FC70C2">
              <w:rPr>
                <w:rFonts w:ascii="Arial Narrow" w:hAnsi="Arial Narrow"/>
                <w:sz w:val="20"/>
                <w:szCs w:val="20"/>
                <w:lang w:eastAsia="bg-BG"/>
              </w:rPr>
              <w:t>31</w:t>
            </w:r>
          </w:p>
        </w:tc>
        <w:tc>
          <w:tcPr>
            <w:tcW w:w="966" w:type="dxa"/>
            <w:shd w:val="clear" w:color="auto" w:fill="FFFFFF"/>
            <w:noWrap/>
            <w:vAlign w:val="center"/>
          </w:tcPr>
          <w:p w14:paraId="74238EE3" w14:textId="77777777" w:rsidR="00FC70C2" w:rsidRPr="00FC70C2" w:rsidRDefault="00FC70C2" w:rsidP="00FC70C2">
            <w:pPr>
              <w:widowControl w:val="0"/>
              <w:jc w:val="right"/>
              <w:rPr>
                <w:rFonts w:ascii="Arial Narrow" w:hAnsi="Arial Narrow"/>
                <w:sz w:val="20"/>
                <w:szCs w:val="20"/>
                <w:lang w:eastAsia="bg-BG"/>
              </w:rPr>
            </w:pPr>
            <w:r w:rsidRPr="00FC70C2">
              <w:rPr>
                <w:rFonts w:ascii="Arial Narrow" w:hAnsi="Arial Narrow"/>
                <w:sz w:val="20"/>
                <w:szCs w:val="20"/>
                <w:lang w:eastAsia="bg-BG"/>
              </w:rPr>
              <w:t>0</w:t>
            </w:r>
          </w:p>
        </w:tc>
        <w:tc>
          <w:tcPr>
            <w:tcW w:w="1330" w:type="dxa"/>
            <w:shd w:val="clear" w:color="auto" w:fill="FFFFFF"/>
            <w:noWrap/>
            <w:vAlign w:val="center"/>
          </w:tcPr>
          <w:p w14:paraId="132D8850" w14:textId="77777777" w:rsidR="00FC70C2" w:rsidRPr="00FC70C2" w:rsidRDefault="00FC70C2" w:rsidP="00FC70C2">
            <w:pPr>
              <w:widowControl w:val="0"/>
              <w:jc w:val="right"/>
              <w:rPr>
                <w:rFonts w:ascii="Arial Narrow" w:hAnsi="Arial Narrow"/>
                <w:sz w:val="20"/>
                <w:szCs w:val="20"/>
                <w:lang w:eastAsia="bg-BG"/>
              </w:rPr>
            </w:pPr>
            <w:r w:rsidRPr="00FC70C2">
              <w:rPr>
                <w:rFonts w:ascii="Arial Narrow" w:hAnsi="Arial Narrow"/>
                <w:sz w:val="20"/>
                <w:szCs w:val="20"/>
                <w:lang w:eastAsia="bg-BG"/>
              </w:rPr>
              <w:t>0</w:t>
            </w:r>
          </w:p>
        </w:tc>
        <w:tc>
          <w:tcPr>
            <w:tcW w:w="1194" w:type="dxa"/>
            <w:shd w:val="clear" w:color="auto" w:fill="FFFFFF"/>
            <w:noWrap/>
            <w:vAlign w:val="center"/>
          </w:tcPr>
          <w:p w14:paraId="54D323A0" w14:textId="77777777" w:rsidR="00FC70C2" w:rsidRPr="00FC70C2" w:rsidRDefault="00FC70C2" w:rsidP="00FC70C2">
            <w:pPr>
              <w:widowControl w:val="0"/>
              <w:jc w:val="right"/>
              <w:rPr>
                <w:rFonts w:ascii="Arial Narrow" w:hAnsi="Arial Narrow"/>
                <w:sz w:val="20"/>
                <w:szCs w:val="20"/>
                <w:lang w:eastAsia="bg-BG"/>
              </w:rPr>
            </w:pPr>
            <w:r w:rsidRPr="00FC70C2">
              <w:rPr>
                <w:rFonts w:ascii="Arial Narrow" w:hAnsi="Arial Narrow"/>
                <w:sz w:val="20"/>
                <w:szCs w:val="20"/>
                <w:lang w:eastAsia="bg-BG"/>
              </w:rPr>
              <w:t>40</w:t>
            </w:r>
            <w:r w:rsidRPr="00FC70C2">
              <w:rPr>
                <w:rFonts w:ascii="Arial Narrow" w:hAnsi="Arial Narrow"/>
                <w:sz w:val="20"/>
                <w:szCs w:val="20"/>
                <w:lang w:val="bg-BG" w:eastAsia="bg-BG"/>
              </w:rPr>
              <w:t xml:space="preserve"> </w:t>
            </w:r>
            <w:r w:rsidRPr="00FC70C2">
              <w:rPr>
                <w:rFonts w:ascii="Arial Narrow" w:hAnsi="Arial Narrow"/>
                <w:sz w:val="20"/>
                <w:szCs w:val="20"/>
                <w:lang w:eastAsia="bg-BG"/>
              </w:rPr>
              <w:t>321</w:t>
            </w:r>
          </w:p>
        </w:tc>
      </w:tr>
      <w:tr w:rsidR="00FC70C2" w:rsidRPr="00FC70C2" w14:paraId="65F23C33" w14:textId="77777777" w:rsidTr="00725099">
        <w:trPr>
          <w:trHeight w:val="340"/>
          <w:jc w:val="center"/>
        </w:trPr>
        <w:tc>
          <w:tcPr>
            <w:tcW w:w="1131" w:type="dxa"/>
            <w:shd w:val="clear" w:color="auto" w:fill="FFFFFF"/>
            <w:noWrap/>
            <w:vAlign w:val="center"/>
          </w:tcPr>
          <w:p w14:paraId="0A5BEB0C" w14:textId="77777777" w:rsidR="00FC70C2" w:rsidRPr="00FC70C2" w:rsidRDefault="00FC70C2" w:rsidP="00FC70C2">
            <w:pPr>
              <w:widowControl w:val="0"/>
              <w:rPr>
                <w:rFonts w:ascii="Arial Narrow" w:hAnsi="Arial Narrow"/>
                <w:sz w:val="20"/>
                <w:szCs w:val="20"/>
                <w:lang w:val="bg-BG" w:eastAsia="bg-BG"/>
              </w:rPr>
            </w:pPr>
            <w:r w:rsidRPr="00FC70C2">
              <w:rPr>
                <w:rFonts w:ascii="Arial Narrow" w:hAnsi="Arial Narrow"/>
                <w:sz w:val="20"/>
                <w:szCs w:val="20"/>
                <w:lang w:val="bg-BG" w:eastAsia="bg-BG"/>
              </w:rPr>
              <w:t>2021</w:t>
            </w:r>
          </w:p>
        </w:tc>
        <w:tc>
          <w:tcPr>
            <w:tcW w:w="1448" w:type="dxa"/>
            <w:shd w:val="clear" w:color="auto" w:fill="FFFFFF"/>
            <w:noWrap/>
            <w:vAlign w:val="center"/>
          </w:tcPr>
          <w:p w14:paraId="0354E44F" w14:textId="77777777" w:rsidR="00FC70C2" w:rsidRPr="00FC70C2" w:rsidRDefault="00FC70C2" w:rsidP="00FC70C2">
            <w:pPr>
              <w:widowControl w:val="0"/>
              <w:jc w:val="right"/>
              <w:rPr>
                <w:rFonts w:ascii="Arial Narrow" w:eastAsia="Calibri" w:hAnsi="Arial Narrow"/>
                <w:sz w:val="20"/>
                <w:szCs w:val="20"/>
                <w:lang w:eastAsia="bg-BG"/>
              </w:rPr>
            </w:pPr>
            <w:r w:rsidRPr="00FC70C2">
              <w:rPr>
                <w:rFonts w:ascii="Arial Narrow" w:eastAsia="Calibri" w:hAnsi="Arial Narrow"/>
                <w:sz w:val="20"/>
                <w:szCs w:val="20"/>
                <w:lang w:eastAsia="bg-BG"/>
              </w:rPr>
              <w:t>218</w:t>
            </w:r>
          </w:p>
        </w:tc>
        <w:tc>
          <w:tcPr>
            <w:tcW w:w="1306" w:type="dxa"/>
            <w:shd w:val="clear" w:color="auto" w:fill="FFFFFF"/>
            <w:noWrap/>
            <w:vAlign w:val="center"/>
          </w:tcPr>
          <w:p w14:paraId="6AC75FF9" w14:textId="77777777" w:rsidR="00FC70C2" w:rsidRPr="00FC70C2" w:rsidRDefault="00FC70C2" w:rsidP="00FC70C2">
            <w:pPr>
              <w:widowControl w:val="0"/>
              <w:jc w:val="right"/>
              <w:rPr>
                <w:rFonts w:ascii="Arial Narrow" w:eastAsia="Calibri" w:hAnsi="Arial Narrow"/>
                <w:sz w:val="20"/>
                <w:szCs w:val="20"/>
                <w:lang w:eastAsia="bg-BG"/>
              </w:rPr>
            </w:pPr>
            <w:r w:rsidRPr="00FC70C2">
              <w:rPr>
                <w:rFonts w:ascii="Arial Narrow" w:eastAsia="Calibri" w:hAnsi="Arial Narrow"/>
                <w:sz w:val="20"/>
                <w:szCs w:val="20"/>
                <w:lang w:eastAsia="bg-BG"/>
              </w:rPr>
              <w:t>61 580</w:t>
            </w:r>
          </w:p>
        </w:tc>
        <w:tc>
          <w:tcPr>
            <w:tcW w:w="1306" w:type="dxa"/>
            <w:shd w:val="clear" w:color="auto" w:fill="FFFFFF"/>
            <w:noWrap/>
            <w:vAlign w:val="center"/>
          </w:tcPr>
          <w:p w14:paraId="7DB9B2EA" w14:textId="77777777" w:rsidR="00FC70C2" w:rsidRPr="00FC70C2" w:rsidRDefault="00FC70C2" w:rsidP="00FC70C2">
            <w:pPr>
              <w:widowControl w:val="0"/>
              <w:jc w:val="right"/>
              <w:rPr>
                <w:rFonts w:ascii="Arial Narrow" w:eastAsia="Calibri" w:hAnsi="Arial Narrow"/>
                <w:sz w:val="20"/>
                <w:szCs w:val="20"/>
                <w:lang w:eastAsia="bg-BG"/>
              </w:rPr>
            </w:pPr>
            <w:r w:rsidRPr="00FC70C2">
              <w:rPr>
                <w:rFonts w:ascii="Arial Narrow" w:eastAsia="Calibri" w:hAnsi="Arial Narrow"/>
                <w:sz w:val="20"/>
                <w:szCs w:val="20"/>
                <w:lang w:eastAsia="bg-BG"/>
              </w:rPr>
              <w:t>6 130</w:t>
            </w:r>
          </w:p>
        </w:tc>
        <w:tc>
          <w:tcPr>
            <w:tcW w:w="1060" w:type="dxa"/>
            <w:shd w:val="clear" w:color="auto" w:fill="FFFFFF"/>
            <w:noWrap/>
            <w:vAlign w:val="center"/>
          </w:tcPr>
          <w:p w14:paraId="5811BBA9" w14:textId="77777777" w:rsidR="00FC70C2" w:rsidRPr="00FC70C2" w:rsidRDefault="00FC70C2" w:rsidP="00FC70C2">
            <w:pPr>
              <w:widowControl w:val="0"/>
              <w:jc w:val="right"/>
              <w:rPr>
                <w:rFonts w:ascii="Arial Narrow" w:eastAsia="Calibri" w:hAnsi="Arial Narrow"/>
                <w:sz w:val="20"/>
                <w:szCs w:val="20"/>
                <w:lang w:eastAsia="bg-BG"/>
              </w:rPr>
            </w:pPr>
            <w:r w:rsidRPr="00FC70C2">
              <w:rPr>
                <w:rFonts w:ascii="Arial Narrow" w:eastAsia="Calibri" w:hAnsi="Arial Narrow"/>
                <w:sz w:val="20"/>
                <w:szCs w:val="20"/>
                <w:lang w:eastAsia="bg-BG"/>
              </w:rPr>
              <w:t>80</w:t>
            </w:r>
          </w:p>
        </w:tc>
        <w:tc>
          <w:tcPr>
            <w:tcW w:w="966" w:type="dxa"/>
            <w:shd w:val="clear" w:color="auto" w:fill="FFFFFF"/>
            <w:noWrap/>
            <w:vAlign w:val="center"/>
          </w:tcPr>
          <w:p w14:paraId="3B591797" w14:textId="77777777" w:rsidR="00FC70C2" w:rsidRPr="00FC70C2" w:rsidRDefault="00FC70C2" w:rsidP="00FC70C2">
            <w:pPr>
              <w:widowControl w:val="0"/>
              <w:jc w:val="right"/>
              <w:rPr>
                <w:rFonts w:ascii="Arial Narrow" w:eastAsia="Calibri" w:hAnsi="Arial Narrow"/>
                <w:sz w:val="20"/>
                <w:szCs w:val="20"/>
                <w:lang w:eastAsia="bg-BG"/>
              </w:rPr>
            </w:pPr>
            <w:r w:rsidRPr="00FC70C2">
              <w:rPr>
                <w:rFonts w:ascii="Arial Narrow" w:eastAsia="Calibri" w:hAnsi="Arial Narrow"/>
                <w:sz w:val="20"/>
                <w:szCs w:val="20"/>
                <w:lang w:eastAsia="bg-BG"/>
              </w:rPr>
              <w:t>0</w:t>
            </w:r>
          </w:p>
        </w:tc>
        <w:tc>
          <w:tcPr>
            <w:tcW w:w="1330" w:type="dxa"/>
            <w:shd w:val="clear" w:color="auto" w:fill="FFFFFF"/>
            <w:noWrap/>
            <w:vAlign w:val="center"/>
          </w:tcPr>
          <w:p w14:paraId="63EAC37C" w14:textId="77777777" w:rsidR="00FC70C2" w:rsidRPr="00FC70C2" w:rsidRDefault="00FC70C2" w:rsidP="00FC70C2">
            <w:pPr>
              <w:widowControl w:val="0"/>
              <w:jc w:val="right"/>
              <w:rPr>
                <w:rFonts w:ascii="Arial Narrow" w:eastAsia="Calibri" w:hAnsi="Arial Narrow"/>
                <w:sz w:val="20"/>
                <w:szCs w:val="20"/>
                <w:lang w:eastAsia="bg-BG"/>
              </w:rPr>
            </w:pPr>
            <w:r w:rsidRPr="00FC70C2">
              <w:rPr>
                <w:rFonts w:ascii="Arial Narrow" w:eastAsia="Calibri" w:hAnsi="Arial Narrow"/>
                <w:sz w:val="20"/>
                <w:szCs w:val="20"/>
                <w:lang w:eastAsia="bg-BG"/>
              </w:rPr>
              <w:t>0</w:t>
            </w:r>
          </w:p>
        </w:tc>
        <w:tc>
          <w:tcPr>
            <w:tcW w:w="1194" w:type="dxa"/>
            <w:shd w:val="clear" w:color="auto" w:fill="FFFFFF"/>
            <w:noWrap/>
            <w:vAlign w:val="center"/>
          </w:tcPr>
          <w:p w14:paraId="405A5EC3" w14:textId="77777777" w:rsidR="00FC70C2" w:rsidRPr="00FC70C2" w:rsidRDefault="00FC70C2" w:rsidP="00FC70C2">
            <w:pPr>
              <w:widowControl w:val="0"/>
              <w:jc w:val="right"/>
              <w:rPr>
                <w:rFonts w:ascii="Arial Narrow" w:eastAsia="Calibri" w:hAnsi="Arial Narrow"/>
                <w:sz w:val="20"/>
                <w:szCs w:val="20"/>
                <w:lang w:eastAsia="bg-BG"/>
              </w:rPr>
            </w:pPr>
            <w:r w:rsidRPr="00FC70C2">
              <w:rPr>
                <w:rFonts w:ascii="Arial Narrow" w:eastAsia="Calibri" w:hAnsi="Arial Narrow"/>
                <w:sz w:val="20"/>
                <w:szCs w:val="20"/>
                <w:lang w:eastAsia="bg-BG"/>
              </w:rPr>
              <w:t>68 008</w:t>
            </w:r>
          </w:p>
        </w:tc>
      </w:tr>
      <w:tr w:rsidR="00FC70C2" w:rsidRPr="00FC70C2" w14:paraId="0C5FDC22" w14:textId="77777777" w:rsidTr="00725099">
        <w:trPr>
          <w:trHeight w:val="340"/>
          <w:jc w:val="center"/>
        </w:trPr>
        <w:tc>
          <w:tcPr>
            <w:tcW w:w="1131" w:type="dxa"/>
            <w:shd w:val="clear" w:color="auto" w:fill="FFFFFF"/>
            <w:noWrap/>
            <w:vAlign w:val="center"/>
          </w:tcPr>
          <w:p w14:paraId="18FC56CF" w14:textId="77777777" w:rsidR="00FC70C2" w:rsidRPr="00FC70C2" w:rsidRDefault="00FC70C2" w:rsidP="00FC70C2">
            <w:pPr>
              <w:widowControl w:val="0"/>
              <w:rPr>
                <w:rFonts w:ascii="Arial Narrow" w:hAnsi="Arial Narrow"/>
                <w:sz w:val="20"/>
                <w:szCs w:val="20"/>
                <w:lang w:val="bg-BG" w:eastAsia="bg-BG"/>
              </w:rPr>
            </w:pPr>
            <w:r w:rsidRPr="00FC70C2">
              <w:rPr>
                <w:rFonts w:ascii="Arial Narrow" w:hAnsi="Arial Narrow"/>
                <w:sz w:val="20"/>
                <w:szCs w:val="20"/>
                <w:lang w:val="bg-BG" w:eastAsia="bg-BG"/>
              </w:rPr>
              <w:t>2022</w:t>
            </w:r>
          </w:p>
        </w:tc>
        <w:tc>
          <w:tcPr>
            <w:tcW w:w="1448" w:type="dxa"/>
            <w:shd w:val="clear" w:color="auto" w:fill="FFFFFF"/>
            <w:noWrap/>
            <w:vAlign w:val="center"/>
          </w:tcPr>
          <w:p w14:paraId="239AF45B" w14:textId="77777777" w:rsidR="00FC70C2" w:rsidRPr="00FC70C2" w:rsidRDefault="00FC70C2" w:rsidP="00FC70C2">
            <w:pPr>
              <w:widowControl w:val="0"/>
              <w:jc w:val="right"/>
              <w:rPr>
                <w:rFonts w:ascii="Arial Narrow" w:eastAsia="Calibri" w:hAnsi="Arial Narrow"/>
                <w:sz w:val="20"/>
                <w:szCs w:val="20"/>
                <w:lang w:val="bg-BG" w:eastAsia="bg-BG"/>
              </w:rPr>
            </w:pPr>
            <w:r w:rsidRPr="00FC70C2">
              <w:rPr>
                <w:rFonts w:ascii="Arial Narrow" w:eastAsia="Calibri" w:hAnsi="Arial Narrow"/>
                <w:sz w:val="20"/>
                <w:szCs w:val="20"/>
                <w:lang w:val="bg-BG" w:eastAsia="bg-BG"/>
              </w:rPr>
              <w:t>2 370</w:t>
            </w:r>
          </w:p>
        </w:tc>
        <w:tc>
          <w:tcPr>
            <w:tcW w:w="1306" w:type="dxa"/>
            <w:shd w:val="clear" w:color="auto" w:fill="FFFFFF"/>
            <w:noWrap/>
            <w:vAlign w:val="center"/>
          </w:tcPr>
          <w:p w14:paraId="0A9D0088" w14:textId="77777777" w:rsidR="00FC70C2" w:rsidRPr="00FC70C2" w:rsidRDefault="00FC70C2" w:rsidP="00FC70C2">
            <w:pPr>
              <w:widowControl w:val="0"/>
              <w:jc w:val="right"/>
              <w:rPr>
                <w:rFonts w:ascii="Arial Narrow" w:eastAsia="Calibri" w:hAnsi="Arial Narrow"/>
                <w:sz w:val="20"/>
                <w:szCs w:val="20"/>
                <w:lang w:val="bg-BG" w:eastAsia="bg-BG"/>
              </w:rPr>
            </w:pPr>
            <w:r w:rsidRPr="00FC70C2">
              <w:rPr>
                <w:rFonts w:ascii="Arial Narrow" w:eastAsia="Calibri" w:hAnsi="Arial Narrow"/>
                <w:sz w:val="20"/>
                <w:szCs w:val="20"/>
                <w:lang w:val="bg-BG" w:eastAsia="bg-BG"/>
              </w:rPr>
              <w:t>57 240</w:t>
            </w:r>
          </w:p>
        </w:tc>
        <w:tc>
          <w:tcPr>
            <w:tcW w:w="1306" w:type="dxa"/>
            <w:shd w:val="clear" w:color="auto" w:fill="FFFFFF"/>
            <w:noWrap/>
            <w:vAlign w:val="center"/>
          </w:tcPr>
          <w:p w14:paraId="442A2118" w14:textId="77777777" w:rsidR="00FC70C2" w:rsidRPr="00FC70C2" w:rsidRDefault="00FC70C2" w:rsidP="00FC70C2">
            <w:pPr>
              <w:widowControl w:val="0"/>
              <w:jc w:val="right"/>
              <w:rPr>
                <w:rFonts w:ascii="Arial Narrow" w:eastAsia="Calibri" w:hAnsi="Arial Narrow"/>
                <w:sz w:val="20"/>
                <w:szCs w:val="20"/>
                <w:lang w:val="bg-BG" w:eastAsia="bg-BG"/>
              </w:rPr>
            </w:pPr>
            <w:r w:rsidRPr="00FC70C2">
              <w:rPr>
                <w:rFonts w:ascii="Arial Narrow" w:eastAsia="Calibri" w:hAnsi="Arial Narrow"/>
                <w:sz w:val="20"/>
                <w:szCs w:val="20"/>
                <w:lang w:val="bg-BG" w:eastAsia="bg-BG"/>
              </w:rPr>
              <w:t>13 182</w:t>
            </w:r>
          </w:p>
        </w:tc>
        <w:tc>
          <w:tcPr>
            <w:tcW w:w="1060" w:type="dxa"/>
            <w:shd w:val="clear" w:color="auto" w:fill="FFFFFF"/>
            <w:noWrap/>
            <w:vAlign w:val="center"/>
          </w:tcPr>
          <w:p w14:paraId="1F447EB2" w14:textId="77777777" w:rsidR="00FC70C2" w:rsidRPr="00FC70C2" w:rsidRDefault="00FC70C2" w:rsidP="00FC70C2">
            <w:pPr>
              <w:widowControl w:val="0"/>
              <w:jc w:val="right"/>
              <w:rPr>
                <w:rFonts w:ascii="Arial Narrow" w:eastAsia="Calibri" w:hAnsi="Arial Narrow"/>
                <w:sz w:val="20"/>
                <w:szCs w:val="20"/>
                <w:lang w:val="bg-BG" w:eastAsia="bg-BG"/>
              </w:rPr>
            </w:pPr>
            <w:r w:rsidRPr="00FC70C2">
              <w:rPr>
                <w:rFonts w:ascii="Arial Narrow" w:eastAsia="Calibri" w:hAnsi="Arial Narrow"/>
                <w:sz w:val="20"/>
                <w:szCs w:val="20"/>
                <w:lang w:val="bg-BG" w:eastAsia="bg-BG"/>
              </w:rPr>
              <w:t>11</w:t>
            </w:r>
          </w:p>
        </w:tc>
        <w:tc>
          <w:tcPr>
            <w:tcW w:w="966" w:type="dxa"/>
            <w:shd w:val="clear" w:color="auto" w:fill="FFFFFF"/>
            <w:noWrap/>
            <w:vAlign w:val="center"/>
          </w:tcPr>
          <w:p w14:paraId="21BD3880" w14:textId="77777777" w:rsidR="00FC70C2" w:rsidRPr="00FC70C2" w:rsidRDefault="00FC70C2" w:rsidP="00FC70C2">
            <w:pPr>
              <w:widowControl w:val="0"/>
              <w:jc w:val="right"/>
              <w:rPr>
                <w:rFonts w:ascii="Arial Narrow" w:eastAsia="Calibri" w:hAnsi="Arial Narrow"/>
                <w:sz w:val="20"/>
                <w:szCs w:val="20"/>
                <w:lang w:val="bg-BG" w:eastAsia="bg-BG"/>
              </w:rPr>
            </w:pPr>
            <w:r w:rsidRPr="00FC70C2">
              <w:rPr>
                <w:rFonts w:ascii="Arial Narrow" w:eastAsia="Calibri" w:hAnsi="Arial Narrow"/>
                <w:sz w:val="20"/>
                <w:szCs w:val="20"/>
                <w:lang w:val="bg-BG" w:eastAsia="bg-BG"/>
              </w:rPr>
              <w:t>0</w:t>
            </w:r>
          </w:p>
        </w:tc>
        <w:tc>
          <w:tcPr>
            <w:tcW w:w="1330" w:type="dxa"/>
            <w:shd w:val="clear" w:color="auto" w:fill="FFFFFF"/>
            <w:noWrap/>
            <w:vAlign w:val="center"/>
          </w:tcPr>
          <w:p w14:paraId="732D4510" w14:textId="77777777" w:rsidR="00FC70C2" w:rsidRPr="00FC70C2" w:rsidRDefault="00FC70C2" w:rsidP="00FC70C2">
            <w:pPr>
              <w:widowControl w:val="0"/>
              <w:jc w:val="right"/>
              <w:rPr>
                <w:rFonts w:ascii="Arial Narrow" w:eastAsia="Calibri" w:hAnsi="Arial Narrow"/>
                <w:sz w:val="20"/>
                <w:szCs w:val="20"/>
                <w:lang w:val="bg-BG" w:eastAsia="bg-BG"/>
              </w:rPr>
            </w:pPr>
            <w:r w:rsidRPr="00FC70C2">
              <w:rPr>
                <w:rFonts w:ascii="Arial Narrow" w:eastAsia="Calibri" w:hAnsi="Arial Narrow"/>
                <w:sz w:val="20"/>
                <w:szCs w:val="20"/>
                <w:lang w:val="bg-BG" w:eastAsia="bg-BG"/>
              </w:rPr>
              <w:t>0</w:t>
            </w:r>
          </w:p>
        </w:tc>
        <w:tc>
          <w:tcPr>
            <w:tcW w:w="1194" w:type="dxa"/>
            <w:shd w:val="clear" w:color="auto" w:fill="FFFFFF"/>
            <w:noWrap/>
            <w:vAlign w:val="center"/>
          </w:tcPr>
          <w:p w14:paraId="2ABF6A5B" w14:textId="77777777" w:rsidR="00FC70C2" w:rsidRPr="00FC70C2" w:rsidRDefault="00FC70C2" w:rsidP="00FC70C2">
            <w:pPr>
              <w:widowControl w:val="0"/>
              <w:jc w:val="right"/>
              <w:rPr>
                <w:rFonts w:ascii="Arial Narrow" w:eastAsia="Calibri" w:hAnsi="Arial Narrow"/>
                <w:sz w:val="20"/>
                <w:szCs w:val="20"/>
                <w:lang w:val="bg-BG" w:eastAsia="bg-BG"/>
              </w:rPr>
            </w:pPr>
            <w:r w:rsidRPr="00FC70C2">
              <w:rPr>
                <w:rFonts w:ascii="Arial Narrow" w:eastAsia="Calibri" w:hAnsi="Arial Narrow"/>
                <w:sz w:val="20"/>
                <w:szCs w:val="20"/>
                <w:lang w:val="bg-BG" w:eastAsia="bg-BG"/>
              </w:rPr>
              <w:t>72 803</w:t>
            </w:r>
          </w:p>
        </w:tc>
      </w:tr>
      <w:tr w:rsidR="00FC70C2" w:rsidRPr="00FC70C2" w14:paraId="16F6A426" w14:textId="77777777" w:rsidTr="00725099">
        <w:trPr>
          <w:trHeight w:val="340"/>
          <w:jc w:val="center"/>
        </w:trPr>
        <w:tc>
          <w:tcPr>
            <w:tcW w:w="1131" w:type="dxa"/>
            <w:shd w:val="clear" w:color="auto" w:fill="FFFFFF"/>
            <w:noWrap/>
            <w:vAlign w:val="center"/>
          </w:tcPr>
          <w:p w14:paraId="548CCB3C" w14:textId="77777777" w:rsidR="00FC70C2" w:rsidRPr="00FC70C2" w:rsidRDefault="00FC70C2" w:rsidP="00FC70C2">
            <w:pPr>
              <w:widowControl w:val="0"/>
              <w:rPr>
                <w:rFonts w:ascii="Arial Narrow" w:hAnsi="Arial Narrow"/>
                <w:sz w:val="20"/>
                <w:szCs w:val="20"/>
                <w:lang w:eastAsia="bg-BG"/>
              </w:rPr>
            </w:pPr>
            <w:r w:rsidRPr="00FC70C2">
              <w:rPr>
                <w:rFonts w:ascii="Arial Narrow" w:hAnsi="Arial Narrow"/>
                <w:sz w:val="20"/>
                <w:szCs w:val="20"/>
                <w:lang w:eastAsia="bg-BG"/>
              </w:rPr>
              <w:t>2023</w:t>
            </w:r>
          </w:p>
        </w:tc>
        <w:tc>
          <w:tcPr>
            <w:tcW w:w="1448" w:type="dxa"/>
            <w:tcBorders>
              <w:top w:val="single" w:sz="4" w:space="0" w:color="auto"/>
              <w:left w:val="single" w:sz="4" w:space="0" w:color="auto"/>
              <w:bottom w:val="single" w:sz="4" w:space="0" w:color="auto"/>
              <w:right w:val="single" w:sz="4" w:space="0" w:color="auto"/>
            </w:tcBorders>
            <w:noWrap/>
            <w:vAlign w:val="center"/>
          </w:tcPr>
          <w:p w14:paraId="385D9031" w14:textId="77777777" w:rsidR="00FC70C2" w:rsidRPr="00FC70C2" w:rsidRDefault="00FC70C2" w:rsidP="00FC70C2">
            <w:pPr>
              <w:widowControl w:val="0"/>
              <w:jc w:val="right"/>
              <w:rPr>
                <w:rFonts w:ascii="Arial Narrow" w:eastAsia="Calibri" w:hAnsi="Arial Narrow"/>
                <w:sz w:val="20"/>
                <w:szCs w:val="20"/>
                <w:lang w:eastAsia="bg-BG"/>
              </w:rPr>
            </w:pPr>
            <w:r w:rsidRPr="00FC70C2">
              <w:rPr>
                <w:rFonts w:ascii="Arial Narrow" w:eastAsia="Calibri" w:hAnsi="Arial Narrow"/>
                <w:sz w:val="20"/>
                <w:szCs w:val="20"/>
                <w:lang w:eastAsia="bg-BG"/>
              </w:rPr>
              <w:t>4 355</w:t>
            </w:r>
          </w:p>
        </w:tc>
        <w:tc>
          <w:tcPr>
            <w:tcW w:w="1306" w:type="dxa"/>
            <w:tcBorders>
              <w:top w:val="single" w:sz="4" w:space="0" w:color="auto"/>
              <w:left w:val="single" w:sz="4" w:space="0" w:color="auto"/>
              <w:bottom w:val="single" w:sz="4" w:space="0" w:color="auto"/>
              <w:right w:val="single" w:sz="4" w:space="0" w:color="auto"/>
            </w:tcBorders>
            <w:noWrap/>
            <w:vAlign w:val="center"/>
          </w:tcPr>
          <w:p w14:paraId="78718801" w14:textId="77777777" w:rsidR="00FC70C2" w:rsidRPr="00FC70C2" w:rsidRDefault="00FC70C2" w:rsidP="00FC70C2">
            <w:pPr>
              <w:widowControl w:val="0"/>
              <w:jc w:val="right"/>
              <w:rPr>
                <w:rFonts w:ascii="Arial Narrow" w:eastAsia="Calibri" w:hAnsi="Arial Narrow"/>
                <w:sz w:val="20"/>
                <w:szCs w:val="20"/>
                <w:lang w:eastAsia="bg-BG"/>
              </w:rPr>
            </w:pPr>
            <w:r w:rsidRPr="00FC70C2">
              <w:rPr>
                <w:rFonts w:ascii="Arial Narrow" w:eastAsia="Calibri" w:hAnsi="Arial Narrow"/>
                <w:sz w:val="20"/>
                <w:szCs w:val="20"/>
                <w:lang w:eastAsia="bg-BG"/>
              </w:rPr>
              <w:t>110 141</w:t>
            </w:r>
          </w:p>
        </w:tc>
        <w:tc>
          <w:tcPr>
            <w:tcW w:w="1306" w:type="dxa"/>
            <w:tcBorders>
              <w:top w:val="single" w:sz="4" w:space="0" w:color="auto"/>
              <w:left w:val="single" w:sz="4" w:space="0" w:color="auto"/>
              <w:bottom w:val="single" w:sz="4" w:space="0" w:color="auto"/>
              <w:right w:val="single" w:sz="4" w:space="0" w:color="auto"/>
            </w:tcBorders>
            <w:noWrap/>
            <w:vAlign w:val="center"/>
          </w:tcPr>
          <w:p w14:paraId="367B9742" w14:textId="77777777" w:rsidR="00FC70C2" w:rsidRPr="00FC70C2" w:rsidRDefault="00FC70C2" w:rsidP="00FC70C2">
            <w:pPr>
              <w:widowControl w:val="0"/>
              <w:jc w:val="right"/>
              <w:rPr>
                <w:rFonts w:ascii="Arial Narrow" w:eastAsia="Calibri" w:hAnsi="Arial Narrow"/>
                <w:sz w:val="20"/>
                <w:szCs w:val="20"/>
                <w:lang w:eastAsia="bg-BG"/>
              </w:rPr>
            </w:pPr>
            <w:r w:rsidRPr="00FC70C2">
              <w:rPr>
                <w:rFonts w:ascii="Arial Narrow" w:eastAsia="Calibri" w:hAnsi="Arial Narrow"/>
                <w:sz w:val="20"/>
                <w:szCs w:val="20"/>
                <w:lang w:eastAsia="bg-BG"/>
              </w:rPr>
              <w:t>19 297</w:t>
            </w:r>
          </w:p>
        </w:tc>
        <w:tc>
          <w:tcPr>
            <w:tcW w:w="1060" w:type="dxa"/>
            <w:tcBorders>
              <w:top w:val="single" w:sz="4" w:space="0" w:color="auto"/>
              <w:left w:val="single" w:sz="4" w:space="0" w:color="auto"/>
              <w:bottom w:val="single" w:sz="4" w:space="0" w:color="auto"/>
              <w:right w:val="single" w:sz="4" w:space="0" w:color="auto"/>
            </w:tcBorders>
            <w:noWrap/>
            <w:vAlign w:val="center"/>
          </w:tcPr>
          <w:p w14:paraId="3E66936C" w14:textId="77777777" w:rsidR="00FC70C2" w:rsidRPr="00FC70C2" w:rsidRDefault="00FC70C2" w:rsidP="00FC70C2">
            <w:pPr>
              <w:widowControl w:val="0"/>
              <w:jc w:val="right"/>
              <w:rPr>
                <w:rFonts w:ascii="Arial Narrow" w:eastAsia="Calibri" w:hAnsi="Arial Narrow"/>
                <w:sz w:val="20"/>
                <w:szCs w:val="20"/>
                <w:lang w:eastAsia="bg-BG"/>
              </w:rPr>
            </w:pPr>
            <w:r w:rsidRPr="00FC70C2">
              <w:rPr>
                <w:rFonts w:ascii="Arial Narrow" w:eastAsia="Calibri" w:hAnsi="Arial Narrow"/>
                <w:sz w:val="20"/>
                <w:szCs w:val="20"/>
                <w:lang w:eastAsia="bg-BG"/>
              </w:rPr>
              <w:t>17</w:t>
            </w:r>
          </w:p>
        </w:tc>
        <w:tc>
          <w:tcPr>
            <w:tcW w:w="966" w:type="dxa"/>
            <w:tcBorders>
              <w:top w:val="single" w:sz="4" w:space="0" w:color="auto"/>
              <w:left w:val="single" w:sz="4" w:space="0" w:color="auto"/>
              <w:bottom w:val="single" w:sz="4" w:space="0" w:color="auto"/>
              <w:right w:val="single" w:sz="4" w:space="0" w:color="auto"/>
            </w:tcBorders>
            <w:noWrap/>
            <w:vAlign w:val="center"/>
          </w:tcPr>
          <w:p w14:paraId="003264EA" w14:textId="77777777" w:rsidR="00FC70C2" w:rsidRPr="00FC70C2" w:rsidRDefault="00FC70C2" w:rsidP="00FC70C2">
            <w:pPr>
              <w:widowControl w:val="0"/>
              <w:jc w:val="right"/>
              <w:rPr>
                <w:rFonts w:ascii="Arial Narrow" w:eastAsia="Calibri" w:hAnsi="Arial Narrow"/>
                <w:sz w:val="20"/>
                <w:szCs w:val="20"/>
                <w:lang w:eastAsia="bg-BG"/>
              </w:rPr>
            </w:pPr>
            <w:r w:rsidRPr="00FC70C2">
              <w:rPr>
                <w:rFonts w:ascii="Arial Narrow" w:eastAsia="Calibri" w:hAnsi="Arial Narrow"/>
                <w:sz w:val="20"/>
                <w:szCs w:val="20"/>
                <w:lang w:eastAsia="bg-BG"/>
              </w:rPr>
              <w:t>0</w:t>
            </w:r>
          </w:p>
        </w:tc>
        <w:tc>
          <w:tcPr>
            <w:tcW w:w="1330" w:type="dxa"/>
            <w:tcBorders>
              <w:top w:val="single" w:sz="4" w:space="0" w:color="auto"/>
              <w:left w:val="single" w:sz="4" w:space="0" w:color="auto"/>
              <w:bottom w:val="single" w:sz="4" w:space="0" w:color="auto"/>
              <w:right w:val="single" w:sz="4" w:space="0" w:color="auto"/>
            </w:tcBorders>
            <w:noWrap/>
            <w:vAlign w:val="center"/>
          </w:tcPr>
          <w:p w14:paraId="28560DD8" w14:textId="77777777" w:rsidR="00FC70C2" w:rsidRPr="00FC70C2" w:rsidRDefault="00FC70C2" w:rsidP="00FC70C2">
            <w:pPr>
              <w:widowControl w:val="0"/>
              <w:jc w:val="right"/>
              <w:rPr>
                <w:rFonts w:ascii="Arial Narrow" w:eastAsia="Calibri" w:hAnsi="Arial Narrow"/>
                <w:sz w:val="20"/>
                <w:szCs w:val="20"/>
                <w:lang w:eastAsia="bg-BG"/>
              </w:rPr>
            </w:pPr>
            <w:r w:rsidRPr="00FC70C2">
              <w:rPr>
                <w:rFonts w:ascii="Arial Narrow" w:eastAsia="Calibri" w:hAnsi="Arial Narrow"/>
                <w:sz w:val="20"/>
                <w:szCs w:val="20"/>
                <w:lang w:eastAsia="bg-BG"/>
              </w:rPr>
              <w:t>0</w:t>
            </w:r>
          </w:p>
        </w:tc>
        <w:tc>
          <w:tcPr>
            <w:tcW w:w="1194" w:type="dxa"/>
            <w:tcBorders>
              <w:top w:val="single" w:sz="4" w:space="0" w:color="auto"/>
              <w:left w:val="single" w:sz="4" w:space="0" w:color="auto"/>
              <w:bottom w:val="single" w:sz="4" w:space="0" w:color="auto"/>
              <w:right w:val="single" w:sz="4" w:space="0" w:color="auto"/>
            </w:tcBorders>
            <w:noWrap/>
            <w:vAlign w:val="center"/>
          </w:tcPr>
          <w:p w14:paraId="085DF117" w14:textId="77777777" w:rsidR="00FC70C2" w:rsidRPr="00FC70C2" w:rsidRDefault="00FC70C2" w:rsidP="00FC70C2">
            <w:pPr>
              <w:widowControl w:val="0"/>
              <w:jc w:val="right"/>
              <w:rPr>
                <w:rFonts w:ascii="Arial Narrow" w:eastAsia="Calibri" w:hAnsi="Arial Narrow"/>
                <w:sz w:val="20"/>
                <w:szCs w:val="20"/>
                <w:lang w:eastAsia="bg-BG"/>
              </w:rPr>
            </w:pPr>
            <w:r w:rsidRPr="00FC70C2">
              <w:rPr>
                <w:rFonts w:ascii="Arial Narrow" w:eastAsia="Calibri" w:hAnsi="Arial Narrow"/>
                <w:sz w:val="20"/>
                <w:szCs w:val="20"/>
                <w:lang w:eastAsia="bg-BG"/>
              </w:rPr>
              <w:t>133 810</w:t>
            </w:r>
          </w:p>
        </w:tc>
      </w:tr>
      <w:tr w:rsidR="00FC70C2" w:rsidRPr="00FC70C2" w14:paraId="14A6FB65" w14:textId="77777777" w:rsidTr="00725099">
        <w:trPr>
          <w:trHeight w:val="340"/>
          <w:jc w:val="center"/>
        </w:trPr>
        <w:tc>
          <w:tcPr>
            <w:tcW w:w="1131" w:type="dxa"/>
            <w:shd w:val="clear" w:color="auto" w:fill="FFFFFF"/>
            <w:noWrap/>
            <w:vAlign w:val="center"/>
          </w:tcPr>
          <w:p w14:paraId="0F040067" w14:textId="77777777" w:rsidR="00FC70C2" w:rsidRPr="00FC70C2" w:rsidRDefault="00FC70C2" w:rsidP="00FC70C2">
            <w:pPr>
              <w:widowControl w:val="0"/>
              <w:rPr>
                <w:rFonts w:ascii="Arial Narrow" w:hAnsi="Arial Narrow"/>
                <w:sz w:val="20"/>
                <w:szCs w:val="20"/>
                <w:lang w:val="bg-BG" w:eastAsia="bg-BG"/>
              </w:rPr>
            </w:pPr>
            <w:r w:rsidRPr="00FC70C2">
              <w:rPr>
                <w:rFonts w:ascii="Arial Narrow" w:hAnsi="Arial Narrow"/>
                <w:sz w:val="20"/>
                <w:szCs w:val="20"/>
                <w:lang w:val="bg-BG" w:eastAsia="bg-BG"/>
              </w:rPr>
              <w:t>2024</w:t>
            </w:r>
          </w:p>
        </w:tc>
        <w:tc>
          <w:tcPr>
            <w:tcW w:w="1448" w:type="dxa"/>
            <w:shd w:val="clear" w:color="000000" w:fill="FFFFFF"/>
            <w:noWrap/>
            <w:vAlign w:val="center"/>
          </w:tcPr>
          <w:p w14:paraId="2790248B" w14:textId="77777777" w:rsidR="00FC70C2" w:rsidRPr="00FC70C2" w:rsidRDefault="00FC70C2" w:rsidP="00FC70C2">
            <w:pPr>
              <w:widowControl w:val="0"/>
              <w:jc w:val="right"/>
              <w:rPr>
                <w:rFonts w:ascii="Arial Narrow" w:eastAsia="Calibri" w:hAnsi="Arial Narrow"/>
                <w:sz w:val="20"/>
                <w:szCs w:val="20"/>
                <w:lang w:eastAsia="bg-BG"/>
              </w:rPr>
            </w:pPr>
            <w:r w:rsidRPr="00FC70C2">
              <w:rPr>
                <w:rFonts w:ascii="Arial Narrow" w:eastAsia="Calibri" w:hAnsi="Arial Narrow"/>
                <w:sz w:val="20"/>
                <w:szCs w:val="20"/>
                <w:lang w:eastAsia="bg-BG"/>
              </w:rPr>
              <w:t>9 605</w:t>
            </w:r>
          </w:p>
        </w:tc>
        <w:tc>
          <w:tcPr>
            <w:tcW w:w="1306" w:type="dxa"/>
            <w:shd w:val="clear" w:color="000000" w:fill="FFFFFF"/>
            <w:noWrap/>
            <w:vAlign w:val="center"/>
          </w:tcPr>
          <w:p w14:paraId="5FD6BA04" w14:textId="77777777" w:rsidR="00FC70C2" w:rsidRPr="00FC70C2" w:rsidRDefault="00FC70C2" w:rsidP="00FC70C2">
            <w:pPr>
              <w:widowControl w:val="0"/>
              <w:jc w:val="right"/>
              <w:rPr>
                <w:rFonts w:ascii="Arial Narrow" w:eastAsia="Calibri" w:hAnsi="Arial Narrow"/>
                <w:sz w:val="20"/>
                <w:szCs w:val="20"/>
                <w:lang w:eastAsia="bg-BG"/>
              </w:rPr>
            </w:pPr>
            <w:r w:rsidRPr="00FC70C2">
              <w:rPr>
                <w:rFonts w:ascii="Arial Narrow" w:eastAsia="Calibri" w:hAnsi="Arial Narrow"/>
                <w:sz w:val="20"/>
                <w:szCs w:val="20"/>
                <w:lang w:eastAsia="bg-BG"/>
              </w:rPr>
              <w:t>127 276</w:t>
            </w:r>
          </w:p>
        </w:tc>
        <w:tc>
          <w:tcPr>
            <w:tcW w:w="1306" w:type="dxa"/>
            <w:shd w:val="clear" w:color="000000" w:fill="FFFFFF"/>
            <w:noWrap/>
            <w:vAlign w:val="center"/>
          </w:tcPr>
          <w:p w14:paraId="4BAB1D45" w14:textId="77777777" w:rsidR="00FC70C2" w:rsidRPr="00FC70C2" w:rsidRDefault="00FC70C2" w:rsidP="00FC70C2">
            <w:pPr>
              <w:widowControl w:val="0"/>
              <w:jc w:val="right"/>
              <w:rPr>
                <w:rFonts w:ascii="Arial Narrow" w:eastAsia="Calibri" w:hAnsi="Arial Narrow"/>
                <w:sz w:val="20"/>
                <w:szCs w:val="20"/>
                <w:lang w:eastAsia="bg-BG"/>
              </w:rPr>
            </w:pPr>
            <w:r w:rsidRPr="00FC70C2">
              <w:rPr>
                <w:rFonts w:ascii="Arial Narrow" w:eastAsia="Calibri" w:hAnsi="Arial Narrow"/>
                <w:sz w:val="20"/>
                <w:szCs w:val="20"/>
                <w:lang w:eastAsia="bg-BG"/>
              </w:rPr>
              <w:t>13 804</w:t>
            </w:r>
          </w:p>
        </w:tc>
        <w:tc>
          <w:tcPr>
            <w:tcW w:w="1060" w:type="dxa"/>
            <w:shd w:val="clear" w:color="000000" w:fill="FFFFFF"/>
            <w:noWrap/>
            <w:vAlign w:val="center"/>
          </w:tcPr>
          <w:p w14:paraId="7E8EB688" w14:textId="77777777" w:rsidR="00FC70C2" w:rsidRPr="00FC70C2" w:rsidRDefault="00FC70C2" w:rsidP="00FC70C2">
            <w:pPr>
              <w:widowControl w:val="0"/>
              <w:jc w:val="right"/>
              <w:rPr>
                <w:rFonts w:ascii="Arial Narrow" w:eastAsia="Calibri" w:hAnsi="Arial Narrow"/>
                <w:sz w:val="20"/>
                <w:szCs w:val="20"/>
                <w:lang w:eastAsia="bg-BG"/>
              </w:rPr>
            </w:pPr>
            <w:r w:rsidRPr="00FC70C2">
              <w:rPr>
                <w:rFonts w:ascii="Arial Narrow" w:eastAsia="Calibri" w:hAnsi="Arial Narrow"/>
                <w:sz w:val="20"/>
                <w:szCs w:val="20"/>
                <w:lang w:eastAsia="bg-BG"/>
              </w:rPr>
              <w:t>4</w:t>
            </w:r>
          </w:p>
        </w:tc>
        <w:tc>
          <w:tcPr>
            <w:tcW w:w="966" w:type="dxa"/>
            <w:shd w:val="clear" w:color="000000" w:fill="FFFFFF"/>
            <w:noWrap/>
            <w:vAlign w:val="center"/>
          </w:tcPr>
          <w:p w14:paraId="43FD70C6" w14:textId="77777777" w:rsidR="00FC70C2" w:rsidRPr="00FC70C2" w:rsidRDefault="00FC70C2" w:rsidP="00FC70C2">
            <w:pPr>
              <w:widowControl w:val="0"/>
              <w:jc w:val="right"/>
              <w:rPr>
                <w:rFonts w:ascii="Arial Narrow" w:eastAsia="Calibri" w:hAnsi="Arial Narrow"/>
                <w:sz w:val="20"/>
                <w:szCs w:val="20"/>
                <w:lang w:eastAsia="bg-BG"/>
              </w:rPr>
            </w:pPr>
            <w:r w:rsidRPr="00FC70C2">
              <w:rPr>
                <w:rFonts w:ascii="Arial Narrow" w:eastAsia="Calibri" w:hAnsi="Arial Narrow"/>
                <w:sz w:val="20"/>
                <w:szCs w:val="20"/>
                <w:lang w:eastAsia="bg-BG"/>
              </w:rPr>
              <w:t>0</w:t>
            </w:r>
          </w:p>
        </w:tc>
        <w:tc>
          <w:tcPr>
            <w:tcW w:w="1330" w:type="dxa"/>
            <w:shd w:val="clear" w:color="000000" w:fill="FFFFFF"/>
            <w:noWrap/>
            <w:vAlign w:val="center"/>
          </w:tcPr>
          <w:p w14:paraId="6CDC2F06" w14:textId="77777777" w:rsidR="00FC70C2" w:rsidRPr="00FC70C2" w:rsidRDefault="00FC70C2" w:rsidP="00FC70C2">
            <w:pPr>
              <w:widowControl w:val="0"/>
              <w:jc w:val="right"/>
              <w:rPr>
                <w:rFonts w:ascii="Arial Narrow" w:eastAsia="Calibri" w:hAnsi="Arial Narrow"/>
                <w:sz w:val="20"/>
                <w:szCs w:val="20"/>
                <w:lang w:eastAsia="bg-BG"/>
              </w:rPr>
            </w:pPr>
            <w:r w:rsidRPr="00FC70C2">
              <w:rPr>
                <w:rFonts w:ascii="Arial Narrow" w:eastAsia="Calibri" w:hAnsi="Arial Narrow"/>
                <w:sz w:val="20"/>
                <w:szCs w:val="20"/>
                <w:lang w:eastAsia="bg-BG"/>
              </w:rPr>
              <w:t>0</w:t>
            </w:r>
          </w:p>
        </w:tc>
        <w:tc>
          <w:tcPr>
            <w:tcW w:w="1194" w:type="dxa"/>
            <w:shd w:val="clear" w:color="000000" w:fill="FFFFFF"/>
            <w:noWrap/>
            <w:vAlign w:val="center"/>
          </w:tcPr>
          <w:p w14:paraId="5604E3E0" w14:textId="77777777" w:rsidR="00FC70C2" w:rsidRPr="00FC70C2" w:rsidRDefault="00FC70C2" w:rsidP="00FC70C2">
            <w:pPr>
              <w:widowControl w:val="0"/>
              <w:jc w:val="right"/>
              <w:rPr>
                <w:rFonts w:ascii="Arial Narrow" w:eastAsia="Calibri" w:hAnsi="Arial Narrow"/>
                <w:sz w:val="20"/>
                <w:szCs w:val="20"/>
                <w:lang w:eastAsia="bg-BG"/>
              </w:rPr>
            </w:pPr>
            <w:r w:rsidRPr="00FC70C2">
              <w:rPr>
                <w:rFonts w:ascii="Arial Narrow" w:eastAsia="Calibri" w:hAnsi="Arial Narrow"/>
                <w:sz w:val="20"/>
                <w:szCs w:val="20"/>
                <w:lang w:eastAsia="bg-BG"/>
              </w:rPr>
              <w:t>150 689</w:t>
            </w:r>
          </w:p>
        </w:tc>
      </w:tr>
    </w:tbl>
    <w:p w14:paraId="6506FE32" w14:textId="77777777" w:rsidR="00FC70C2" w:rsidRPr="00725099" w:rsidRDefault="00FC70C2" w:rsidP="00FC70C2">
      <w:pPr>
        <w:widowControl w:val="0"/>
        <w:tabs>
          <w:tab w:val="num" w:pos="2880"/>
        </w:tabs>
        <w:spacing w:after="240" w:line="259" w:lineRule="auto"/>
        <w:rPr>
          <w:rFonts w:ascii="Arial Narrow" w:eastAsia="Calibri" w:hAnsi="Arial Narrow" w:cs="Arial"/>
          <w:sz w:val="18"/>
          <w:lang w:val="bg-BG"/>
        </w:rPr>
      </w:pPr>
      <w:r w:rsidRPr="00725099">
        <w:rPr>
          <w:rFonts w:ascii="Arial Narrow" w:eastAsia="Calibri" w:hAnsi="Arial Narrow" w:cs="Arial"/>
          <w:i/>
          <w:sz w:val="18"/>
          <w:lang w:val="bg-BG"/>
        </w:rPr>
        <w:t xml:space="preserve">Източник: </w:t>
      </w:r>
      <w:r w:rsidRPr="00725099">
        <w:rPr>
          <w:rFonts w:ascii="Arial Narrow" w:eastAsia="Calibri" w:hAnsi="Arial Narrow" w:cs="Arial"/>
          <w:sz w:val="18"/>
          <w:lang w:val="bg-BG"/>
        </w:rPr>
        <w:t>МЗХ, дирекция „Животновъдство”</w:t>
      </w:r>
    </w:p>
    <w:p w14:paraId="5852C052" w14:textId="77777777" w:rsidR="00FC70C2" w:rsidRPr="00FC70C2" w:rsidRDefault="00FC70C2" w:rsidP="00FC70C2">
      <w:pPr>
        <w:widowControl w:val="0"/>
        <w:spacing w:after="120"/>
        <w:ind w:firstLine="706"/>
        <w:jc w:val="both"/>
        <w:rPr>
          <w:rFonts w:ascii="Arial Narrow" w:eastAsia="Calibri" w:hAnsi="Arial Narrow" w:cs="Arial"/>
          <w:lang w:val="bg-BG" w:eastAsia="bg-BG"/>
        </w:rPr>
      </w:pPr>
      <w:r w:rsidRPr="00FC70C2">
        <w:rPr>
          <w:rFonts w:ascii="Arial Narrow" w:eastAsia="Calibri" w:hAnsi="Arial Narrow" w:cs="Arial"/>
          <w:lang w:val="bg-BG" w:eastAsia="bg-BG"/>
        </w:rPr>
        <w:t>Над 84,5% от класифицираните през 2024 г. свине са от клас Е, със съдържание на постно месо от 55% до 60% от теглото на трупа, 9,2% са с клас по конформация U – от 50% до 55% съдържание на постно месо и 6,4 % клас по конформация S, със съдържание на постно месо над 60% от теглото на трупа.</w:t>
      </w:r>
    </w:p>
    <w:p w14:paraId="79A8E2CD" w14:textId="77777777" w:rsidR="00FC70C2" w:rsidRPr="003A2D79" w:rsidRDefault="00FC70C2" w:rsidP="003A2D79">
      <w:pPr>
        <w:widowControl w:val="0"/>
        <w:spacing w:after="120"/>
        <w:ind w:firstLine="706"/>
        <w:jc w:val="both"/>
        <w:rPr>
          <w:rFonts w:ascii="Arial Narrow" w:eastAsia="Calibri" w:hAnsi="Arial Narrow" w:cs="Arial"/>
          <w:lang w:val="bg-BG"/>
        </w:rPr>
      </w:pPr>
      <w:r w:rsidRPr="00FC70C2">
        <w:rPr>
          <w:rFonts w:ascii="Arial Narrow" w:eastAsia="Calibri" w:hAnsi="Arial Narrow" w:cs="Arial"/>
          <w:lang w:val="bg-BG"/>
        </w:rPr>
        <w:t>С прилаганото в България регресионно уравнение се класифицират само парени трупове от угоени свине. През годината са класифицирани близо 89% от общо закланите и обработени чрез парене угоени свине, но едва 12,4% от общо закланите угоени свине в промишлени условия в страната.</w:t>
      </w:r>
      <w:r w:rsidRPr="00FC70C2">
        <w:rPr>
          <w:rFonts w:ascii="Arial Narrow" w:eastAsia="Calibri" w:hAnsi="Arial Narrow" w:cs="Arial"/>
        </w:rPr>
        <w:t xml:space="preserve"> </w:t>
      </w:r>
    </w:p>
    <w:p w14:paraId="5F11CA95" w14:textId="77777777" w:rsidR="003A2D79" w:rsidRPr="003A2D79" w:rsidRDefault="008D3B3A" w:rsidP="003A2D79">
      <w:pPr>
        <w:numPr>
          <w:ilvl w:val="2"/>
          <w:numId w:val="8"/>
        </w:numPr>
        <w:tabs>
          <w:tab w:val="left" w:pos="990"/>
        </w:tabs>
        <w:spacing w:after="120"/>
        <w:ind w:left="792" w:hanging="432"/>
        <w:outlineLvl w:val="0"/>
        <w:rPr>
          <w:rFonts w:ascii="Arial Narrow" w:hAnsi="Arial Narrow"/>
          <w:b/>
          <w:bCs/>
          <w:lang w:val="bg-BG"/>
        </w:rPr>
      </w:pPr>
      <w:bookmarkStart w:id="52" w:name="_Toc23513555"/>
      <w:bookmarkStart w:id="53" w:name="_Toc210747553"/>
      <w:r w:rsidRPr="003A2D79">
        <w:rPr>
          <w:rFonts w:ascii="Arial Narrow" w:hAnsi="Arial Narrow"/>
          <w:b/>
          <w:bCs/>
          <w:lang w:val="bg-BG"/>
        </w:rPr>
        <w:t>К</w:t>
      </w:r>
      <w:r w:rsidRPr="003A2D79">
        <w:rPr>
          <w:rFonts w:ascii="Arial Narrow" w:hAnsi="Arial Narrow" w:cs="ArialNarrow-Bold"/>
          <w:b/>
          <w:bCs/>
          <w:lang w:val="bg-BG"/>
        </w:rPr>
        <w:t>оневъдство</w:t>
      </w:r>
      <w:bookmarkEnd w:id="52"/>
      <w:bookmarkEnd w:id="53"/>
    </w:p>
    <w:p w14:paraId="48959690" w14:textId="77777777" w:rsidR="003A2D79" w:rsidRPr="008A5BF6" w:rsidRDefault="003A2D79" w:rsidP="003A2D79">
      <w:pPr>
        <w:widowControl w:val="0"/>
        <w:autoSpaceDE w:val="0"/>
        <w:autoSpaceDN w:val="0"/>
        <w:adjustRightInd w:val="0"/>
        <w:spacing w:after="120"/>
        <w:ind w:firstLine="709"/>
        <w:jc w:val="both"/>
        <w:rPr>
          <w:rFonts w:ascii="Arial Narrow" w:hAnsi="Arial Narrow"/>
          <w:lang w:eastAsia="bg-BG"/>
        </w:rPr>
      </w:pPr>
      <w:r w:rsidRPr="008A5BF6">
        <w:rPr>
          <w:rFonts w:ascii="Arial Narrow" w:hAnsi="Arial Narrow"/>
          <w:lang w:eastAsia="bg-BG"/>
        </w:rPr>
        <w:t xml:space="preserve">По експертна оценка, през 2024 г. броят на еднокопитните животни (в т. ч. конете) в България се задържа на около 116 хиляди. Основното им предназначение е за работа в селското стопанство. </w:t>
      </w:r>
    </w:p>
    <w:p w14:paraId="2DBDE363" w14:textId="77777777" w:rsidR="003A2D79" w:rsidRPr="008A5BF6" w:rsidRDefault="003A2D79" w:rsidP="003A2D79">
      <w:pPr>
        <w:widowControl w:val="0"/>
        <w:autoSpaceDE w:val="0"/>
        <w:autoSpaceDN w:val="0"/>
        <w:adjustRightInd w:val="0"/>
        <w:spacing w:after="120"/>
        <w:ind w:firstLine="709"/>
        <w:jc w:val="both"/>
        <w:rPr>
          <w:rFonts w:ascii="Arial Narrow" w:hAnsi="Arial Narrow"/>
          <w:lang w:eastAsia="bg-BG"/>
        </w:rPr>
      </w:pPr>
      <w:r w:rsidRPr="008A5BF6">
        <w:rPr>
          <w:rFonts w:ascii="Arial Narrow" w:hAnsi="Arial Narrow"/>
          <w:lang w:eastAsia="bg-BG"/>
        </w:rPr>
        <w:t>Конезавод „Кабиюк“ е единственото държавно предприятие, функциониращо в сектора, в което се отглеждат български и чужди племенни породи коне, като Каракачански кон, Източнобългарски кон, Плевенски кон, Чистокръвен Английски кон, Чистокръвен Арабски кон, Арабска Шагия и др. Останалите коне се отглеждат в частния сектор.</w:t>
      </w:r>
    </w:p>
    <w:p w14:paraId="68C914F8" w14:textId="77777777" w:rsidR="003A2D79" w:rsidRPr="008A5BF6" w:rsidRDefault="003A2D79" w:rsidP="003A2D79">
      <w:pPr>
        <w:widowControl w:val="0"/>
        <w:autoSpaceDE w:val="0"/>
        <w:autoSpaceDN w:val="0"/>
        <w:adjustRightInd w:val="0"/>
        <w:spacing w:after="120"/>
        <w:ind w:firstLine="709"/>
        <w:jc w:val="both"/>
        <w:rPr>
          <w:rFonts w:ascii="Arial Narrow" w:hAnsi="Arial Narrow"/>
          <w:lang w:eastAsia="bg-BG"/>
        </w:rPr>
      </w:pPr>
      <w:r w:rsidRPr="008A5BF6">
        <w:rPr>
          <w:rFonts w:ascii="Arial Narrow" w:hAnsi="Arial Narrow"/>
          <w:lang w:eastAsia="bg-BG"/>
        </w:rPr>
        <w:lastRenderedPageBreak/>
        <w:t xml:space="preserve">Работата, свързана със запазване и развитие на генетичните ресурси в коневъдството, продължава и през 2024 г. </w:t>
      </w:r>
    </w:p>
    <w:p w14:paraId="05365D4B" w14:textId="77777777" w:rsidR="003A2D79" w:rsidRPr="004314BC" w:rsidRDefault="003A2D79" w:rsidP="004314BC">
      <w:pPr>
        <w:numPr>
          <w:ilvl w:val="2"/>
          <w:numId w:val="8"/>
        </w:numPr>
        <w:tabs>
          <w:tab w:val="left" w:pos="990"/>
        </w:tabs>
        <w:spacing w:after="120"/>
        <w:ind w:left="792" w:hanging="432"/>
        <w:outlineLvl w:val="0"/>
        <w:rPr>
          <w:rFonts w:ascii="Arial Narrow" w:hAnsi="Arial Narrow"/>
          <w:b/>
          <w:bCs/>
          <w:lang w:val="bg-BG"/>
        </w:rPr>
      </w:pPr>
      <w:bookmarkStart w:id="54" w:name="_Toc210747554"/>
      <w:r w:rsidRPr="004314BC">
        <w:rPr>
          <w:rFonts w:ascii="Arial Narrow" w:hAnsi="Arial Narrow"/>
          <w:b/>
          <w:bCs/>
          <w:lang w:val="bg-BG"/>
        </w:rPr>
        <w:t>Птицевъдство</w:t>
      </w:r>
      <w:bookmarkEnd w:id="54"/>
    </w:p>
    <w:p w14:paraId="11A5A8A4" w14:textId="77777777" w:rsidR="003A2D79" w:rsidRPr="003339CC" w:rsidRDefault="003A2D79" w:rsidP="003A2D79">
      <w:pPr>
        <w:widowControl w:val="0"/>
        <w:autoSpaceDE w:val="0"/>
        <w:autoSpaceDN w:val="0"/>
        <w:adjustRightInd w:val="0"/>
        <w:spacing w:after="120"/>
        <w:ind w:firstLine="709"/>
        <w:jc w:val="both"/>
        <w:rPr>
          <w:rFonts w:ascii="Arial Narrow" w:hAnsi="Arial Narrow"/>
          <w:lang w:eastAsia="bg-BG"/>
        </w:rPr>
      </w:pPr>
      <w:r w:rsidRPr="003339CC">
        <w:rPr>
          <w:rFonts w:ascii="Arial Narrow" w:hAnsi="Arial Narrow"/>
          <w:lang w:eastAsia="bg-BG"/>
        </w:rPr>
        <w:t>Птицевъдството е интензив</w:t>
      </w:r>
      <w:r>
        <w:rPr>
          <w:rFonts w:ascii="Arial Narrow" w:hAnsi="Arial Narrow"/>
          <w:lang w:eastAsia="bg-BG"/>
        </w:rPr>
        <w:t>е</w:t>
      </w:r>
      <w:r w:rsidRPr="003339CC">
        <w:rPr>
          <w:rFonts w:ascii="Arial Narrow" w:hAnsi="Arial Narrow"/>
          <w:lang w:eastAsia="bg-BG"/>
        </w:rPr>
        <w:t xml:space="preserve">н сектор, с широко застъпени механизация и автоматизация на производствените процеси, което </w:t>
      </w:r>
      <w:r>
        <w:rPr>
          <w:rFonts w:ascii="Arial Narrow" w:hAnsi="Arial Narrow"/>
          <w:lang w:eastAsia="bg-BG"/>
        </w:rPr>
        <w:t>позволява</w:t>
      </w:r>
      <w:r w:rsidRPr="003339CC">
        <w:rPr>
          <w:rFonts w:ascii="Arial Narrow" w:hAnsi="Arial Narrow"/>
          <w:lang w:eastAsia="bg-BG"/>
        </w:rPr>
        <w:t xml:space="preserve"> високоефективно промишлено производство.</w:t>
      </w:r>
    </w:p>
    <w:p w14:paraId="1B435D5E" w14:textId="77777777" w:rsidR="003A2D79" w:rsidRPr="003339CC" w:rsidRDefault="003A2D79" w:rsidP="003A2D79">
      <w:pPr>
        <w:widowControl w:val="0"/>
        <w:spacing w:after="120"/>
        <w:ind w:firstLine="706"/>
        <w:jc w:val="both"/>
        <w:rPr>
          <w:rFonts w:ascii="Arial Narrow" w:hAnsi="Arial Narrow"/>
          <w:lang w:eastAsia="bg-BG"/>
        </w:rPr>
      </w:pPr>
      <w:r w:rsidRPr="003339CC">
        <w:rPr>
          <w:rFonts w:ascii="Arial Narrow" w:hAnsi="Arial Narrow"/>
          <w:lang w:eastAsia="bg-BG"/>
        </w:rPr>
        <w:t xml:space="preserve">Към 31.12.2024 г. в страната се отглеждат общо 13 560 хил. броя птици - с 6,6% по-малко спрямо година по-рано, в т.ч.: 6 743 хил. броя кокошки и подрастващи носачки, 5 509 хил. броя пилета за месо (от кокошия вид), 8,7 хил. броя пуйки, 1 248 хил. броя патици, 3 хил. броя гъски и 48 хил. броя – други птици. Около 90% от всички отглеждани </w:t>
      </w:r>
      <w:r>
        <w:rPr>
          <w:rFonts w:ascii="Arial Narrow" w:hAnsi="Arial Narrow"/>
          <w:lang w:eastAsia="bg-BG"/>
        </w:rPr>
        <w:t>птици</w:t>
      </w:r>
      <w:r w:rsidRPr="003339CC">
        <w:rPr>
          <w:rFonts w:ascii="Arial Narrow" w:hAnsi="Arial Narrow"/>
          <w:lang w:eastAsia="bg-BG"/>
        </w:rPr>
        <w:t xml:space="preserve"> са от кокошия вид.</w:t>
      </w:r>
    </w:p>
    <w:p w14:paraId="0261A510" w14:textId="77777777" w:rsidR="003A2D79" w:rsidRPr="00BC686E" w:rsidRDefault="003A2D79" w:rsidP="003A2D79">
      <w:pPr>
        <w:widowControl w:val="0"/>
        <w:spacing w:after="120"/>
        <w:ind w:firstLine="706"/>
        <w:jc w:val="both"/>
        <w:rPr>
          <w:rFonts w:ascii="Arial Narrow" w:hAnsi="Arial Narrow"/>
          <w:lang w:eastAsia="bg-BG"/>
        </w:rPr>
      </w:pPr>
      <w:r>
        <w:rPr>
          <w:rFonts w:ascii="Arial Narrow" w:hAnsi="Arial Narrow"/>
          <w:lang w:eastAsia="bg-BG"/>
        </w:rPr>
        <w:t>П</w:t>
      </w:r>
      <w:r w:rsidRPr="00BC686E">
        <w:rPr>
          <w:rFonts w:ascii="Arial Narrow" w:hAnsi="Arial Narrow"/>
          <w:lang w:eastAsia="bg-BG"/>
        </w:rPr>
        <w:t xml:space="preserve">ри </w:t>
      </w:r>
      <w:r>
        <w:rPr>
          <w:rFonts w:ascii="Arial Narrow" w:hAnsi="Arial Narrow"/>
          <w:lang w:eastAsia="bg-BG"/>
        </w:rPr>
        <w:t xml:space="preserve">почти </w:t>
      </w:r>
      <w:r w:rsidRPr="00BC686E">
        <w:rPr>
          <w:rFonts w:ascii="Arial Narrow" w:hAnsi="Arial Narrow"/>
          <w:lang w:eastAsia="bg-BG"/>
        </w:rPr>
        <w:t>всички видове птици</w:t>
      </w:r>
      <w:r>
        <w:rPr>
          <w:rFonts w:ascii="Arial Narrow" w:hAnsi="Arial Narrow"/>
          <w:lang w:eastAsia="bg-BG"/>
        </w:rPr>
        <w:t xml:space="preserve"> се наблюдава намаление спрямо предходната година</w:t>
      </w:r>
      <w:r w:rsidRPr="00BC686E">
        <w:rPr>
          <w:rFonts w:ascii="Arial Narrow" w:hAnsi="Arial Narrow"/>
          <w:lang w:eastAsia="bg-BG"/>
        </w:rPr>
        <w:t>, най-</w:t>
      </w:r>
      <w:r>
        <w:rPr>
          <w:rFonts w:ascii="Arial Narrow" w:hAnsi="Arial Narrow"/>
          <w:lang w:eastAsia="bg-BG"/>
        </w:rPr>
        <w:t>значително</w:t>
      </w:r>
      <w:r w:rsidRPr="00BC686E">
        <w:rPr>
          <w:rFonts w:ascii="Arial Narrow" w:hAnsi="Arial Narrow"/>
          <w:lang w:eastAsia="bg-BG"/>
        </w:rPr>
        <w:t xml:space="preserve"> при пуйките </w:t>
      </w:r>
      <w:r>
        <w:rPr>
          <w:rFonts w:ascii="Arial Narrow" w:hAnsi="Arial Narrow"/>
          <w:lang w:eastAsia="bg-BG"/>
        </w:rPr>
        <w:t xml:space="preserve">- </w:t>
      </w:r>
      <w:r w:rsidRPr="00BC686E">
        <w:rPr>
          <w:rFonts w:ascii="Arial Narrow" w:hAnsi="Arial Narrow"/>
          <w:lang w:eastAsia="bg-BG"/>
        </w:rPr>
        <w:t>с 42%</w:t>
      </w:r>
      <w:r>
        <w:rPr>
          <w:rFonts w:ascii="Arial Narrow" w:hAnsi="Arial Narrow"/>
          <w:lang w:eastAsia="bg-BG"/>
        </w:rPr>
        <w:t xml:space="preserve"> и </w:t>
      </w:r>
      <w:r w:rsidRPr="00BC686E">
        <w:rPr>
          <w:rFonts w:ascii="Arial Narrow" w:hAnsi="Arial Narrow"/>
          <w:lang w:eastAsia="bg-BG"/>
        </w:rPr>
        <w:t>патици</w:t>
      </w:r>
      <w:r>
        <w:rPr>
          <w:rFonts w:ascii="Arial Narrow" w:hAnsi="Arial Narrow"/>
          <w:lang w:eastAsia="bg-BG"/>
        </w:rPr>
        <w:t xml:space="preserve">те </w:t>
      </w:r>
      <w:r w:rsidRPr="00BC686E">
        <w:rPr>
          <w:rFonts w:ascii="Arial Narrow" w:hAnsi="Arial Narrow"/>
          <w:lang w:eastAsia="bg-BG"/>
        </w:rPr>
        <w:t xml:space="preserve"> – с 35%</w:t>
      </w:r>
      <w:r>
        <w:rPr>
          <w:rFonts w:ascii="Arial Narrow" w:hAnsi="Arial Narrow"/>
          <w:lang w:eastAsia="bg-BG"/>
        </w:rPr>
        <w:t>.</w:t>
      </w:r>
      <w:r w:rsidRPr="00BC686E">
        <w:rPr>
          <w:rFonts w:ascii="Arial Narrow" w:hAnsi="Arial Narrow"/>
          <w:lang w:eastAsia="bg-BG"/>
        </w:rPr>
        <w:t xml:space="preserve"> </w:t>
      </w:r>
      <w:r>
        <w:rPr>
          <w:rFonts w:ascii="Arial Narrow" w:hAnsi="Arial Narrow"/>
          <w:lang w:eastAsia="bg-BG"/>
        </w:rPr>
        <w:t>П</w:t>
      </w:r>
      <w:r w:rsidRPr="00BC686E">
        <w:rPr>
          <w:rFonts w:ascii="Arial Narrow" w:hAnsi="Arial Narrow"/>
          <w:lang w:eastAsia="bg-BG"/>
        </w:rPr>
        <w:t xml:space="preserve">илетата за месо </w:t>
      </w:r>
      <w:r>
        <w:rPr>
          <w:rFonts w:ascii="Arial Narrow" w:hAnsi="Arial Narrow"/>
          <w:lang w:eastAsia="bg-BG"/>
        </w:rPr>
        <w:t xml:space="preserve">от кокошия вид са </w:t>
      </w:r>
      <w:r w:rsidRPr="00BC686E">
        <w:rPr>
          <w:rFonts w:ascii="Arial Narrow" w:hAnsi="Arial Narrow"/>
          <w:lang w:eastAsia="bg-BG"/>
        </w:rPr>
        <w:t>със 7,4%</w:t>
      </w:r>
      <w:r>
        <w:rPr>
          <w:rFonts w:ascii="Arial Narrow" w:hAnsi="Arial Narrow"/>
          <w:lang w:eastAsia="bg-BG"/>
        </w:rPr>
        <w:t xml:space="preserve"> по-малко</w:t>
      </w:r>
      <w:r w:rsidRPr="00BC686E">
        <w:rPr>
          <w:rFonts w:ascii="Arial Narrow" w:hAnsi="Arial Narrow"/>
          <w:lang w:eastAsia="bg-BG"/>
        </w:rPr>
        <w:t xml:space="preserve">, </w:t>
      </w:r>
      <w:r>
        <w:rPr>
          <w:rFonts w:ascii="Arial Narrow" w:hAnsi="Arial Narrow"/>
          <w:lang w:eastAsia="bg-BG"/>
        </w:rPr>
        <w:t>а п</w:t>
      </w:r>
      <w:r w:rsidRPr="00BC686E">
        <w:rPr>
          <w:rFonts w:ascii="Arial Narrow" w:hAnsi="Arial Narrow"/>
          <w:lang w:eastAsia="bg-BG"/>
        </w:rPr>
        <w:t>тиците от категория други (</w:t>
      </w:r>
      <w:r>
        <w:rPr>
          <w:rFonts w:ascii="Arial Narrow" w:hAnsi="Arial Narrow"/>
          <w:lang w:eastAsia="bg-BG"/>
        </w:rPr>
        <w:t xml:space="preserve">гъски, </w:t>
      </w:r>
      <w:r w:rsidRPr="00BC686E">
        <w:rPr>
          <w:rFonts w:ascii="Arial Narrow" w:hAnsi="Arial Narrow"/>
          <w:lang w:eastAsia="bg-BG"/>
        </w:rPr>
        <w:t>пъдпъдъци, щрауси и токачки), които нямат голямо стопанско значение</w:t>
      </w:r>
      <w:r>
        <w:rPr>
          <w:rFonts w:ascii="Arial Narrow" w:hAnsi="Arial Narrow"/>
          <w:lang w:eastAsia="bg-BG"/>
        </w:rPr>
        <w:t xml:space="preserve"> –</w:t>
      </w:r>
      <w:r w:rsidRPr="00BC686E">
        <w:rPr>
          <w:rFonts w:ascii="Arial Narrow" w:hAnsi="Arial Narrow"/>
          <w:lang w:eastAsia="bg-BG"/>
        </w:rPr>
        <w:t xml:space="preserve"> с</w:t>
      </w:r>
      <w:r>
        <w:rPr>
          <w:rFonts w:ascii="Arial Narrow" w:hAnsi="Arial Narrow"/>
          <w:lang w:eastAsia="bg-BG"/>
        </w:rPr>
        <w:t xml:space="preserve"> 11,3</w:t>
      </w:r>
      <w:r w:rsidRPr="00BC686E">
        <w:rPr>
          <w:rFonts w:ascii="Arial Narrow" w:hAnsi="Arial Narrow"/>
          <w:lang w:eastAsia="bg-BG"/>
        </w:rPr>
        <w:t>%.</w:t>
      </w:r>
      <w:r>
        <w:rPr>
          <w:rFonts w:ascii="Arial Narrow" w:hAnsi="Arial Narrow"/>
          <w:lang w:eastAsia="bg-BG"/>
        </w:rPr>
        <w:t xml:space="preserve"> Единствено при категорията </w:t>
      </w:r>
      <w:r w:rsidRPr="00BC686E">
        <w:rPr>
          <w:rFonts w:ascii="Arial Narrow" w:hAnsi="Arial Narrow"/>
          <w:lang w:eastAsia="bg-BG"/>
        </w:rPr>
        <w:t xml:space="preserve">кокошки и подрастващи носачки </w:t>
      </w:r>
      <w:r>
        <w:rPr>
          <w:rFonts w:ascii="Arial Narrow" w:hAnsi="Arial Narrow"/>
          <w:lang w:eastAsia="bg-BG"/>
        </w:rPr>
        <w:t>е налице увеличение -</w:t>
      </w:r>
      <w:r w:rsidRPr="00BC686E">
        <w:rPr>
          <w:rFonts w:ascii="Arial Narrow" w:hAnsi="Arial Narrow"/>
          <w:lang w:eastAsia="bg-BG"/>
        </w:rPr>
        <w:t xml:space="preserve"> с 2,4%.</w:t>
      </w:r>
    </w:p>
    <w:p w14:paraId="7705F5FB" w14:textId="77777777" w:rsidR="003A2D79" w:rsidRPr="008E3134" w:rsidRDefault="003A2D79" w:rsidP="003A2D79">
      <w:pPr>
        <w:widowControl w:val="0"/>
        <w:spacing w:after="120"/>
        <w:jc w:val="both"/>
        <w:rPr>
          <w:rFonts w:ascii="Arial Narrow" w:hAnsi="Arial Narrow"/>
          <w:b/>
        </w:rPr>
      </w:pPr>
      <w:r w:rsidRPr="008E3134">
        <w:rPr>
          <w:rFonts w:ascii="Arial Narrow" w:hAnsi="Arial Narrow"/>
          <w:b/>
        </w:rPr>
        <w:t>Таблица ІІ.25. Брой птици в края на годината, хил. броя</w:t>
      </w:r>
    </w:p>
    <w:tbl>
      <w:tblPr>
        <w:tblW w:w="97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304"/>
        <w:gridCol w:w="1586"/>
        <w:gridCol w:w="1727"/>
        <w:gridCol w:w="1727"/>
        <w:gridCol w:w="1413"/>
      </w:tblGrid>
      <w:tr w:rsidR="003A2D79" w:rsidRPr="008E3134" w14:paraId="56A60997" w14:textId="77777777" w:rsidTr="004314BC">
        <w:trPr>
          <w:trHeight w:val="624"/>
          <w:tblHeader/>
          <w:jc w:val="center"/>
        </w:trPr>
        <w:tc>
          <w:tcPr>
            <w:tcW w:w="3304" w:type="dxa"/>
            <w:noWrap/>
            <w:vAlign w:val="center"/>
          </w:tcPr>
          <w:p w14:paraId="3ABA8D9B" w14:textId="77777777" w:rsidR="003A2D79" w:rsidRPr="008E3134" w:rsidRDefault="003A2D79" w:rsidP="003A2D79">
            <w:pPr>
              <w:widowControl w:val="0"/>
              <w:jc w:val="center"/>
              <w:rPr>
                <w:rFonts w:ascii="Arial Narrow" w:hAnsi="Arial Narrow" w:cs="Arial"/>
                <w:b/>
                <w:bCs/>
                <w:sz w:val="20"/>
                <w:szCs w:val="20"/>
              </w:rPr>
            </w:pPr>
            <w:r w:rsidRPr="008E3134">
              <w:rPr>
                <w:rFonts w:ascii="Arial Narrow" w:hAnsi="Arial Narrow" w:cs="Arial"/>
                <w:b/>
                <w:bCs/>
                <w:sz w:val="20"/>
                <w:szCs w:val="20"/>
              </w:rPr>
              <w:t>Вид птици</w:t>
            </w:r>
          </w:p>
        </w:tc>
        <w:tc>
          <w:tcPr>
            <w:tcW w:w="1586" w:type="dxa"/>
            <w:vAlign w:val="center"/>
          </w:tcPr>
          <w:p w14:paraId="21D7419C" w14:textId="77777777" w:rsidR="003A2D79" w:rsidRPr="008E3134" w:rsidRDefault="003A2D79" w:rsidP="003A2D79">
            <w:pPr>
              <w:widowControl w:val="0"/>
              <w:jc w:val="center"/>
              <w:rPr>
                <w:rFonts w:ascii="Arial Narrow" w:hAnsi="Arial Narrow" w:cs="Arial"/>
                <w:b/>
                <w:bCs/>
                <w:sz w:val="20"/>
                <w:szCs w:val="20"/>
              </w:rPr>
            </w:pPr>
            <w:r w:rsidRPr="008E3134">
              <w:rPr>
                <w:rFonts w:ascii="Arial Narrow" w:hAnsi="Arial Narrow" w:cs="Arial"/>
                <w:b/>
                <w:bCs/>
                <w:sz w:val="20"/>
                <w:szCs w:val="20"/>
              </w:rPr>
              <w:t>2022</w:t>
            </w:r>
          </w:p>
        </w:tc>
        <w:tc>
          <w:tcPr>
            <w:tcW w:w="1727" w:type="dxa"/>
            <w:vAlign w:val="center"/>
          </w:tcPr>
          <w:p w14:paraId="59FCD064" w14:textId="77777777" w:rsidR="003A2D79" w:rsidRPr="008E3134" w:rsidRDefault="003A2D79" w:rsidP="003A2D79">
            <w:pPr>
              <w:widowControl w:val="0"/>
              <w:jc w:val="center"/>
              <w:rPr>
                <w:rFonts w:ascii="Arial Narrow" w:hAnsi="Arial Narrow" w:cs="Arial"/>
                <w:b/>
                <w:bCs/>
                <w:sz w:val="20"/>
                <w:szCs w:val="20"/>
              </w:rPr>
            </w:pPr>
            <w:r w:rsidRPr="008E3134">
              <w:rPr>
                <w:rFonts w:ascii="Arial Narrow" w:hAnsi="Arial Narrow" w:cs="Arial"/>
                <w:b/>
                <w:bCs/>
                <w:sz w:val="20"/>
                <w:szCs w:val="20"/>
              </w:rPr>
              <w:t>202</w:t>
            </w:r>
            <w:r>
              <w:rPr>
                <w:rFonts w:ascii="Arial Narrow" w:hAnsi="Arial Narrow" w:cs="Arial"/>
                <w:b/>
                <w:bCs/>
                <w:sz w:val="20"/>
                <w:szCs w:val="20"/>
              </w:rPr>
              <w:t>3</w:t>
            </w:r>
          </w:p>
        </w:tc>
        <w:tc>
          <w:tcPr>
            <w:tcW w:w="1727" w:type="dxa"/>
            <w:vAlign w:val="center"/>
          </w:tcPr>
          <w:p w14:paraId="52D37A8C" w14:textId="77777777" w:rsidR="003A2D79" w:rsidRPr="008E3134" w:rsidRDefault="003A2D79" w:rsidP="003A2D79">
            <w:pPr>
              <w:widowControl w:val="0"/>
              <w:jc w:val="center"/>
              <w:rPr>
                <w:rFonts w:ascii="Arial Narrow" w:hAnsi="Arial Narrow" w:cs="Arial"/>
                <w:b/>
                <w:bCs/>
                <w:sz w:val="20"/>
                <w:szCs w:val="20"/>
              </w:rPr>
            </w:pPr>
            <w:r w:rsidRPr="008E3134">
              <w:rPr>
                <w:rFonts w:ascii="Arial Narrow" w:hAnsi="Arial Narrow" w:cs="Arial"/>
                <w:b/>
                <w:bCs/>
                <w:sz w:val="20"/>
                <w:szCs w:val="20"/>
              </w:rPr>
              <w:t>2024</w:t>
            </w:r>
          </w:p>
        </w:tc>
        <w:tc>
          <w:tcPr>
            <w:tcW w:w="1413" w:type="dxa"/>
            <w:noWrap/>
            <w:vAlign w:val="center"/>
          </w:tcPr>
          <w:p w14:paraId="16112E1F" w14:textId="77777777" w:rsidR="003A2D79" w:rsidRPr="008E3134" w:rsidRDefault="003A2D79" w:rsidP="003A2D79">
            <w:pPr>
              <w:widowControl w:val="0"/>
              <w:jc w:val="center"/>
              <w:rPr>
                <w:rFonts w:ascii="Arial Narrow" w:hAnsi="Arial Narrow"/>
                <w:b/>
                <w:sz w:val="20"/>
                <w:szCs w:val="20"/>
              </w:rPr>
            </w:pPr>
            <w:r w:rsidRPr="008E3134">
              <w:rPr>
                <w:rFonts w:ascii="Arial Narrow" w:hAnsi="Arial Narrow"/>
                <w:b/>
                <w:sz w:val="20"/>
                <w:szCs w:val="20"/>
              </w:rPr>
              <w:t>Изменение</w:t>
            </w:r>
          </w:p>
          <w:p w14:paraId="2C2305E6" w14:textId="77777777" w:rsidR="003A2D79" w:rsidRPr="008E3134" w:rsidRDefault="003A2D79" w:rsidP="003A2D79">
            <w:pPr>
              <w:widowControl w:val="0"/>
              <w:jc w:val="center"/>
              <w:rPr>
                <w:rFonts w:ascii="Arial Narrow" w:hAnsi="Arial Narrow" w:cs="Arial"/>
                <w:sz w:val="20"/>
                <w:szCs w:val="20"/>
              </w:rPr>
            </w:pPr>
            <w:r w:rsidRPr="008E3134">
              <w:rPr>
                <w:rFonts w:ascii="Arial Narrow" w:hAnsi="Arial Narrow"/>
                <w:b/>
                <w:sz w:val="20"/>
                <w:szCs w:val="20"/>
              </w:rPr>
              <w:t>2024/2023</w:t>
            </w:r>
          </w:p>
        </w:tc>
      </w:tr>
      <w:tr w:rsidR="003A2D79" w:rsidRPr="008E3134" w14:paraId="54A300FC" w14:textId="77777777" w:rsidTr="004314BC">
        <w:trPr>
          <w:trHeight w:val="567"/>
          <w:jc w:val="center"/>
        </w:trPr>
        <w:tc>
          <w:tcPr>
            <w:tcW w:w="3304" w:type="dxa"/>
            <w:noWrap/>
            <w:vAlign w:val="center"/>
          </w:tcPr>
          <w:p w14:paraId="3ACAD92C" w14:textId="77777777" w:rsidR="003A2D79" w:rsidRPr="008E3134" w:rsidRDefault="003A2D79" w:rsidP="003A2D79">
            <w:pPr>
              <w:widowControl w:val="0"/>
              <w:rPr>
                <w:rFonts w:ascii="Arial Narrow" w:hAnsi="Arial Narrow"/>
                <w:sz w:val="20"/>
                <w:szCs w:val="20"/>
                <w:lang w:eastAsia="bg-BG"/>
              </w:rPr>
            </w:pPr>
            <w:r w:rsidRPr="008E3134">
              <w:rPr>
                <w:rFonts w:ascii="Arial Narrow" w:hAnsi="Arial Narrow"/>
                <w:sz w:val="20"/>
                <w:szCs w:val="20"/>
                <w:lang w:eastAsia="bg-BG"/>
              </w:rPr>
              <w:t>Кокошки носачки и подрастващи носачки</w:t>
            </w:r>
          </w:p>
        </w:tc>
        <w:tc>
          <w:tcPr>
            <w:tcW w:w="1586" w:type="dxa"/>
            <w:vAlign w:val="center"/>
          </w:tcPr>
          <w:p w14:paraId="12FA355E" w14:textId="77777777" w:rsidR="003A2D79" w:rsidRPr="008E3134" w:rsidRDefault="003A2D79" w:rsidP="003A2D79">
            <w:pPr>
              <w:widowControl w:val="0"/>
              <w:jc w:val="right"/>
              <w:rPr>
                <w:rFonts w:ascii="Arial Narrow" w:hAnsi="Arial Narrow" w:cs="Calibri"/>
                <w:sz w:val="20"/>
                <w:szCs w:val="20"/>
              </w:rPr>
            </w:pPr>
            <w:r w:rsidRPr="008E3134">
              <w:rPr>
                <w:rFonts w:ascii="Arial Narrow" w:hAnsi="Arial Narrow" w:cs="Calibri"/>
                <w:sz w:val="20"/>
                <w:szCs w:val="20"/>
              </w:rPr>
              <w:t>7 139</w:t>
            </w:r>
          </w:p>
        </w:tc>
        <w:tc>
          <w:tcPr>
            <w:tcW w:w="1727" w:type="dxa"/>
            <w:tcBorders>
              <w:top w:val="nil"/>
              <w:left w:val="nil"/>
              <w:bottom w:val="single" w:sz="4" w:space="0" w:color="auto"/>
              <w:right w:val="single" w:sz="4" w:space="0" w:color="auto"/>
            </w:tcBorders>
            <w:shd w:val="clear" w:color="auto" w:fill="auto"/>
            <w:vAlign w:val="center"/>
          </w:tcPr>
          <w:p w14:paraId="23DE1C76" w14:textId="77777777" w:rsidR="003A2D79" w:rsidRPr="008E3134" w:rsidRDefault="003A2D79" w:rsidP="003A2D79">
            <w:pPr>
              <w:widowControl w:val="0"/>
              <w:jc w:val="right"/>
              <w:rPr>
                <w:rFonts w:ascii="Arial Narrow" w:hAnsi="Arial Narrow" w:cs="Calibri"/>
                <w:sz w:val="20"/>
                <w:szCs w:val="20"/>
              </w:rPr>
            </w:pPr>
            <w:r w:rsidRPr="008E3134">
              <w:rPr>
                <w:rFonts w:ascii="Arial Narrow" w:hAnsi="Arial Narrow" w:cs="Calibri"/>
                <w:sz w:val="20"/>
                <w:szCs w:val="20"/>
              </w:rPr>
              <w:t>6 583</w:t>
            </w:r>
          </w:p>
        </w:tc>
        <w:tc>
          <w:tcPr>
            <w:tcW w:w="1727" w:type="dxa"/>
            <w:tcBorders>
              <w:top w:val="single" w:sz="4" w:space="0" w:color="auto"/>
              <w:left w:val="single" w:sz="4" w:space="0" w:color="auto"/>
              <w:bottom w:val="single" w:sz="4" w:space="0" w:color="auto"/>
              <w:right w:val="single" w:sz="4" w:space="0" w:color="auto"/>
            </w:tcBorders>
            <w:shd w:val="clear" w:color="auto" w:fill="auto"/>
            <w:vAlign w:val="center"/>
          </w:tcPr>
          <w:p w14:paraId="1AF68F05" w14:textId="77777777" w:rsidR="003A2D79" w:rsidRPr="008E3134" w:rsidRDefault="003A2D79" w:rsidP="003A2D79">
            <w:pPr>
              <w:widowControl w:val="0"/>
              <w:jc w:val="right"/>
              <w:rPr>
                <w:rFonts w:ascii="Arial Narrow" w:hAnsi="Arial Narrow" w:cs="Calibri"/>
                <w:sz w:val="20"/>
                <w:szCs w:val="20"/>
              </w:rPr>
            </w:pPr>
            <w:r w:rsidRPr="008E3134">
              <w:rPr>
                <w:rFonts w:ascii="Arial Narrow" w:hAnsi="Arial Narrow" w:cs="Calibri"/>
                <w:sz w:val="20"/>
                <w:szCs w:val="20"/>
              </w:rPr>
              <w:t>6 743</w:t>
            </w:r>
          </w:p>
        </w:tc>
        <w:tc>
          <w:tcPr>
            <w:tcW w:w="1413" w:type="dxa"/>
            <w:tcBorders>
              <w:top w:val="single" w:sz="4" w:space="0" w:color="auto"/>
              <w:left w:val="nil"/>
              <w:bottom w:val="single" w:sz="4" w:space="0" w:color="auto"/>
              <w:right w:val="single" w:sz="4" w:space="0" w:color="auto"/>
            </w:tcBorders>
            <w:shd w:val="clear" w:color="auto" w:fill="auto"/>
            <w:noWrap/>
            <w:vAlign w:val="center"/>
          </w:tcPr>
          <w:p w14:paraId="7FD97679" w14:textId="77777777" w:rsidR="003A2D79" w:rsidRPr="008E3134" w:rsidRDefault="003A2D79" w:rsidP="003A2D79">
            <w:pPr>
              <w:widowControl w:val="0"/>
              <w:jc w:val="right"/>
              <w:rPr>
                <w:rFonts w:ascii="Arial Narrow" w:hAnsi="Arial Narrow" w:cs="Calibri"/>
                <w:sz w:val="20"/>
                <w:szCs w:val="20"/>
              </w:rPr>
            </w:pPr>
            <w:r w:rsidRPr="008E3134">
              <w:rPr>
                <w:rFonts w:ascii="Arial Narrow" w:hAnsi="Arial Narrow" w:cs="Calibri"/>
                <w:sz w:val="20"/>
                <w:szCs w:val="20"/>
              </w:rPr>
              <w:t>2,4%</w:t>
            </w:r>
          </w:p>
        </w:tc>
      </w:tr>
      <w:tr w:rsidR="003A2D79" w:rsidRPr="008E3134" w14:paraId="7BDD23C2" w14:textId="77777777" w:rsidTr="004314BC">
        <w:trPr>
          <w:trHeight w:val="340"/>
          <w:jc w:val="center"/>
        </w:trPr>
        <w:tc>
          <w:tcPr>
            <w:tcW w:w="3304" w:type="dxa"/>
            <w:noWrap/>
            <w:vAlign w:val="center"/>
          </w:tcPr>
          <w:p w14:paraId="0C69954C" w14:textId="77777777" w:rsidR="003A2D79" w:rsidRPr="008E3134" w:rsidRDefault="003A2D79" w:rsidP="003A2D79">
            <w:pPr>
              <w:widowControl w:val="0"/>
              <w:rPr>
                <w:rFonts w:ascii="Arial Narrow" w:hAnsi="Arial Narrow"/>
                <w:sz w:val="20"/>
                <w:szCs w:val="20"/>
                <w:lang w:eastAsia="bg-BG"/>
              </w:rPr>
            </w:pPr>
            <w:r w:rsidRPr="008E3134">
              <w:rPr>
                <w:rFonts w:ascii="Arial Narrow" w:hAnsi="Arial Narrow"/>
                <w:sz w:val="20"/>
                <w:szCs w:val="20"/>
                <w:lang w:eastAsia="bg-BG"/>
              </w:rPr>
              <w:t>Пилета за месо</w:t>
            </w:r>
          </w:p>
        </w:tc>
        <w:tc>
          <w:tcPr>
            <w:tcW w:w="1586" w:type="dxa"/>
            <w:vAlign w:val="center"/>
          </w:tcPr>
          <w:p w14:paraId="49913E9B" w14:textId="77777777" w:rsidR="003A2D79" w:rsidRPr="008E3134" w:rsidRDefault="003A2D79" w:rsidP="003A2D79">
            <w:pPr>
              <w:widowControl w:val="0"/>
              <w:jc w:val="right"/>
              <w:rPr>
                <w:rFonts w:ascii="Arial Narrow" w:hAnsi="Arial Narrow" w:cs="Calibri"/>
                <w:sz w:val="20"/>
                <w:szCs w:val="20"/>
              </w:rPr>
            </w:pPr>
            <w:r w:rsidRPr="008E3134">
              <w:rPr>
                <w:rFonts w:ascii="Arial Narrow" w:hAnsi="Arial Narrow" w:cs="Calibri"/>
                <w:sz w:val="20"/>
                <w:szCs w:val="20"/>
              </w:rPr>
              <w:t>6 673</w:t>
            </w:r>
          </w:p>
        </w:tc>
        <w:tc>
          <w:tcPr>
            <w:tcW w:w="1727" w:type="dxa"/>
            <w:tcBorders>
              <w:top w:val="nil"/>
              <w:left w:val="nil"/>
              <w:bottom w:val="single" w:sz="4" w:space="0" w:color="auto"/>
              <w:right w:val="single" w:sz="4" w:space="0" w:color="auto"/>
            </w:tcBorders>
            <w:shd w:val="clear" w:color="auto" w:fill="auto"/>
            <w:vAlign w:val="center"/>
          </w:tcPr>
          <w:p w14:paraId="641B8A69" w14:textId="77777777" w:rsidR="003A2D79" w:rsidRPr="008E3134" w:rsidRDefault="003A2D79" w:rsidP="003A2D79">
            <w:pPr>
              <w:widowControl w:val="0"/>
              <w:jc w:val="right"/>
              <w:rPr>
                <w:rFonts w:ascii="Arial Narrow" w:hAnsi="Arial Narrow" w:cs="Calibri"/>
                <w:sz w:val="20"/>
                <w:szCs w:val="20"/>
              </w:rPr>
            </w:pPr>
            <w:r w:rsidRPr="008E3134">
              <w:rPr>
                <w:rFonts w:ascii="Arial Narrow" w:hAnsi="Arial Narrow" w:cs="Calibri"/>
                <w:sz w:val="20"/>
                <w:szCs w:val="20"/>
              </w:rPr>
              <w:t>5 947</w:t>
            </w:r>
          </w:p>
        </w:tc>
        <w:tc>
          <w:tcPr>
            <w:tcW w:w="1727" w:type="dxa"/>
            <w:tcBorders>
              <w:top w:val="nil"/>
              <w:left w:val="single" w:sz="4" w:space="0" w:color="auto"/>
              <w:bottom w:val="single" w:sz="4" w:space="0" w:color="auto"/>
              <w:right w:val="single" w:sz="4" w:space="0" w:color="auto"/>
            </w:tcBorders>
            <w:shd w:val="clear" w:color="auto" w:fill="auto"/>
            <w:vAlign w:val="center"/>
          </w:tcPr>
          <w:p w14:paraId="0F99D0A3" w14:textId="77777777" w:rsidR="003A2D79" w:rsidRPr="008E3134" w:rsidRDefault="003A2D79" w:rsidP="003A2D79">
            <w:pPr>
              <w:widowControl w:val="0"/>
              <w:jc w:val="right"/>
              <w:rPr>
                <w:rFonts w:ascii="Arial Narrow" w:hAnsi="Arial Narrow" w:cs="Calibri"/>
                <w:sz w:val="20"/>
                <w:szCs w:val="20"/>
              </w:rPr>
            </w:pPr>
            <w:r w:rsidRPr="008E3134">
              <w:rPr>
                <w:rFonts w:ascii="Arial Narrow" w:hAnsi="Arial Narrow" w:cs="Calibri"/>
                <w:sz w:val="20"/>
                <w:szCs w:val="20"/>
              </w:rPr>
              <w:t>5 509</w:t>
            </w:r>
          </w:p>
        </w:tc>
        <w:tc>
          <w:tcPr>
            <w:tcW w:w="1413" w:type="dxa"/>
            <w:tcBorders>
              <w:top w:val="nil"/>
              <w:left w:val="nil"/>
              <w:bottom w:val="single" w:sz="4" w:space="0" w:color="auto"/>
              <w:right w:val="single" w:sz="4" w:space="0" w:color="auto"/>
            </w:tcBorders>
            <w:shd w:val="clear" w:color="auto" w:fill="auto"/>
            <w:noWrap/>
            <w:vAlign w:val="center"/>
          </w:tcPr>
          <w:p w14:paraId="1AE5C5AC" w14:textId="77777777" w:rsidR="003A2D79" w:rsidRPr="008E3134" w:rsidRDefault="003A2D79" w:rsidP="003A2D79">
            <w:pPr>
              <w:widowControl w:val="0"/>
              <w:jc w:val="right"/>
              <w:rPr>
                <w:rFonts w:ascii="Arial Narrow" w:hAnsi="Arial Narrow" w:cs="Calibri"/>
                <w:sz w:val="20"/>
                <w:szCs w:val="20"/>
              </w:rPr>
            </w:pPr>
            <w:r w:rsidRPr="008E3134">
              <w:rPr>
                <w:rFonts w:ascii="Arial Narrow" w:hAnsi="Arial Narrow" w:cs="Calibri"/>
                <w:sz w:val="20"/>
                <w:szCs w:val="20"/>
              </w:rPr>
              <w:t>-7,4%</w:t>
            </w:r>
          </w:p>
        </w:tc>
      </w:tr>
      <w:tr w:rsidR="003A2D79" w:rsidRPr="008E3134" w14:paraId="44E094F7" w14:textId="77777777" w:rsidTr="004314BC">
        <w:trPr>
          <w:trHeight w:val="340"/>
          <w:jc w:val="center"/>
        </w:trPr>
        <w:tc>
          <w:tcPr>
            <w:tcW w:w="3304" w:type="dxa"/>
            <w:noWrap/>
            <w:vAlign w:val="center"/>
          </w:tcPr>
          <w:p w14:paraId="6DB1C63B" w14:textId="77777777" w:rsidR="003A2D79" w:rsidRPr="008E3134" w:rsidRDefault="003A2D79" w:rsidP="003A2D79">
            <w:pPr>
              <w:widowControl w:val="0"/>
              <w:rPr>
                <w:rFonts w:ascii="Arial Narrow" w:hAnsi="Arial Narrow"/>
                <w:sz w:val="20"/>
                <w:szCs w:val="20"/>
                <w:lang w:eastAsia="bg-BG"/>
              </w:rPr>
            </w:pPr>
            <w:r w:rsidRPr="008E3134">
              <w:rPr>
                <w:rFonts w:ascii="Arial Narrow" w:hAnsi="Arial Narrow"/>
                <w:sz w:val="20"/>
                <w:szCs w:val="20"/>
                <w:lang w:eastAsia="bg-BG"/>
              </w:rPr>
              <w:t>Пуйки</w:t>
            </w:r>
          </w:p>
        </w:tc>
        <w:tc>
          <w:tcPr>
            <w:tcW w:w="1586" w:type="dxa"/>
            <w:vAlign w:val="center"/>
          </w:tcPr>
          <w:p w14:paraId="580EAFE8" w14:textId="77777777" w:rsidR="003A2D79" w:rsidRPr="008E3134" w:rsidRDefault="003A2D79" w:rsidP="003A2D79">
            <w:pPr>
              <w:widowControl w:val="0"/>
              <w:jc w:val="right"/>
              <w:rPr>
                <w:rFonts w:ascii="Arial Narrow" w:hAnsi="Arial Narrow" w:cs="Calibri"/>
                <w:sz w:val="20"/>
                <w:szCs w:val="20"/>
              </w:rPr>
            </w:pPr>
            <w:r w:rsidRPr="008E3134">
              <w:rPr>
                <w:rFonts w:ascii="Arial Narrow" w:hAnsi="Arial Narrow" w:cs="Calibri"/>
                <w:sz w:val="20"/>
                <w:szCs w:val="20"/>
              </w:rPr>
              <w:t>8</w:t>
            </w:r>
          </w:p>
        </w:tc>
        <w:tc>
          <w:tcPr>
            <w:tcW w:w="1727" w:type="dxa"/>
            <w:tcBorders>
              <w:top w:val="nil"/>
              <w:left w:val="nil"/>
              <w:bottom w:val="single" w:sz="4" w:space="0" w:color="auto"/>
              <w:right w:val="single" w:sz="4" w:space="0" w:color="auto"/>
            </w:tcBorders>
            <w:shd w:val="clear" w:color="auto" w:fill="auto"/>
            <w:vAlign w:val="center"/>
          </w:tcPr>
          <w:p w14:paraId="467F3577" w14:textId="77777777" w:rsidR="003A2D79" w:rsidRPr="008E3134" w:rsidRDefault="003A2D79" w:rsidP="003A2D79">
            <w:pPr>
              <w:widowControl w:val="0"/>
              <w:jc w:val="right"/>
              <w:rPr>
                <w:rFonts w:ascii="Arial Narrow" w:hAnsi="Arial Narrow" w:cs="Calibri"/>
                <w:sz w:val="20"/>
                <w:szCs w:val="20"/>
              </w:rPr>
            </w:pPr>
            <w:r w:rsidRPr="008E3134">
              <w:rPr>
                <w:rFonts w:ascii="Arial Narrow" w:hAnsi="Arial Narrow" w:cs="Calibri"/>
                <w:sz w:val="20"/>
                <w:szCs w:val="20"/>
              </w:rPr>
              <w:t>15</w:t>
            </w:r>
          </w:p>
        </w:tc>
        <w:tc>
          <w:tcPr>
            <w:tcW w:w="1727" w:type="dxa"/>
            <w:tcBorders>
              <w:top w:val="nil"/>
              <w:left w:val="single" w:sz="4" w:space="0" w:color="auto"/>
              <w:bottom w:val="single" w:sz="4" w:space="0" w:color="auto"/>
              <w:right w:val="single" w:sz="4" w:space="0" w:color="auto"/>
            </w:tcBorders>
            <w:shd w:val="clear" w:color="auto" w:fill="auto"/>
            <w:vAlign w:val="center"/>
          </w:tcPr>
          <w:p w14:paraId="1932FC6F" w14:textId="77777777" w:rsidR="003A2D79" w:rsidRPr="00F23101" w:rsidRDefault="003A2D79" w:rsidP="003A2D79">
            <w:pPr>
              <w:widowControl w:val="0"/>
              <w:jc w:val="right"/>
              <w:rPr>
                <w:rFonts w:ascii="Arial Narrow" w:hAnsi="Arial Narrow" w:cs="Calibri"/>
                <w:sz w:val="20"/>
                <w:szCs w:val="20"/>
              </w:rPr>
            </w:pPr>
            <w:r>
              <w:rPr>
                <w:rFonts w:ascii="Arial Narrow" w:hAnsi="Arial Narrow" w:cs="Calibri"/>
                <w:sz w:val="20"/>
                <w:szCs w:val="20"/>
              </w:rPr>
              <w:t>8,7</w:t>
            </w:r>
          </w:p>
        </w:tc>
        <w:tc>
          <w:tcPr>
            <w:tcW w:w="1413" w:type="dxa"/>
            <w:tcBorders>
              <w:top w:val="nil"/>
              <w:left w:val="nil"/>
              <w:bottom w:val="single" w:sz="4" w:space="0" w:color="auto"/>
              <w:right w:val="single" w:sz="4" w:space="0" w:color="auto"/>
            </w:tcBorders>
            <w:shd w:val="clear" w:color="auto" w:fill="auto"/>
            <w:noWrap/>
            <w:vAlign w:val="center"/>
          </w:tcPr>
          <w:p w14:paraId="540AFEDF" w14:textId="77777777" w:rsidR="003A2D79" w:rsidRPr="008E3134" w:rsidRDefault="003A2D79" w:rsidP="003A2D79">
            <w:pPr>
              <w:widowControl w:val="0"/>
              <w:jc w:val="right"/>
              <w:rPr>
                <w:rFonts w:ascii="Arial Narrow" w:hAnsi="Arial Narrow" w:cs="Calibri"/>
                <w:sz w:val="20"/>
                <w:szCs w:val="20"/>
              </w:rPr>
            </w:pPr>
            <w:r w:rsidRPr="008E3134">
              <w:rPr>
                <w:rFonts w:ascii="Arial Narrow" w:hAnsi="Arial Narrow" w:cs="Calibri"/>
                <w:sz w:val="20"/>
                <w:szCs w:val="20"/>
              </w:rPr>
              <w:t>-4</w:t>
            </w:r>
            <w:r>
              <w:rPr>
                <w:rFonts w:ascii="Arial Narrow" w:hAnsi="Arial Narrow" w:cs="Calibri"/>
                <w:sz w:val="20"/>
                <w:szCs w:val="20"/>
              </w:rPr>
              <w:t>2</w:t>
            </w:r>
            <w:r w:rsidRPr="008E3134">
              <w:rPr>
                <w:rFonts w:ascii="Arial Narrow" w:hAnsi="Arial Narrow" w:cs="Calibri"/>
                <w:sz w:val="20"/>
                <w:szCs w:val="20"/>
              </w:rPr>
              <w:t>,0%</w:t>
            </w:r>
          </w:p>
        </w:tc>
      </w:tr>
      <w:tr w:rsidR="003A2D79" w:rsidRPr="008E3134" w14:paraId="19C52364" w14:textId="77777777" w:rsidTr="004314BC">
        <w:trPr>
          <w:trHeight w:val="340"/>
          <w:jc w:val="center"/>
        </w:trPr>
        <w:tc>
          <w:tcPr>
            <w:tcW w:w="3304" w:type="dxa"/>
            <w:noWrap/>
            <w:vAlign w:val="center"/>
          </w:tcPr>
          <w:p w14:paraId="76BFAD68" w14:textId="77777777" w:rsidR="003A2D79" w:rsidRPr="008E3134" w:rsidRDefault="003A2D79" w:rsidP="003A2D79">
            <w:pPr>
              <w:widowControl w:val="0"/>
              <w:rPr>
                <w:rFonts w:ascii="Arial Narrow" w:hAnsi="Arial Narrow"/>
                <w:sz w:val="20"/>
                <w:szCs w:val="20"/>
                <w:lang w:eastAsia="bg-BG"/>
              </w:rPr>
            </w:pPr>
            <w:r w:rsidRPr="008E3134">
              <w:rPr>
                <w:rFonts w:ascii="Arial Narrow" w:hAnsi="Arial Narrow"/>
                <w:sz w:val="20"/>
                <w:szCs w:val="20"/>
                <w:lang w:eastAsia="bg-BG"/>
              </w:rPr>
              <w:t>Патици</w:t>
            </w:r>
          </w:p>
        </w:tc>
        <w:tc>
          <w:tcPr>
            <w:tcW w:w="1586" w:type="dxa"/>
            <w:vAlign w:val="center"/>
          </w:tcPr>
          <w:p w14:paraId="326C5B47" w14:textId="77777777" w:rsidR="003A2D79" w:rsidRPr="008E3134" w:rsidRDefault="003A2D79" w:rsidP="003A2D79">
            <w:pPr>
              <w:widowControl w:val="0"/>
              <w:jc w:val="right"/>
              <w:rPr>
                <w:rFonts w:ascii="Arial Narrow" w:hAnsi="Arial Narrow" w:cs="Calibri"/>
                <w:sz w:val="20"/>
                <w:szCs w:val="20"/>
              </w:rPr>
            </w:pPr>
            <w:r w:rsidRPr="008E3134">
              <w:rPr>
                <w:rFonts w:ascii="Arial Narrow" w:hAnsi="Arial Narrow" w:cs="Calibri"/>
                <w:sz w:val="20"/>
                <w:szCs w:val="20"/>
              </w:rPr>
              <w:t>1 627</w:t>
            </w:r>
          </w:p>
        </w:tc>
        <w:tc>
          <w:tcPr>
            <w:tcW w:w="1727" w:type="dxa"/>
            <w:tcBorders>
              <w:top w:val="nil"/>
              <w:left w:val="nil"/>
              <w:bottom w:val="single" w:sz="4" w:space="0" w:color="auto"/>
              <w:right w:val="single" w:sz="4" w:space="0" w:color="auto"/>
            </w:tcBorders>
            <w:shd w:val="clear" w:color="auto" w:fill="auto"/>
            <w:vAlign w:val="center"/>
          </w:tcPr>
          <w:p w14:paraId="01F68D3C" w14:textId="77777777" w:rsidR="003A2D79" w:rsidRPr="008E3134" w:rsidRDefault="003A2D79" w:rsidP="003A2D79">
            <w:pPr>
              <w:widowControl w:val="0"/>
              <w:jc w:val="right"/>
              <w:rPr>
                <w:rFonts w:ascii="Arial Narrow" w:hAnsi="Arial Narrow" w:cs="Calibri"/>
                <w:sz w:val="20"/>
                <w:szCs w:val="20"/>
              </w:rPr>
            </w:pPr>
            <w:r w:rsidRPr="008E3134">
              <w:rPr>
                <w:rFonts w:ascii="Arial Narrow" w:hAnsi="Arial Narrow" w:cs="Calibri"/>
                <w:sz w:val="20"/>
                <w:szCs w:val="20"/>
              </w:rPr>
              <w:t>1 919</w:t>
            </w:r>
          </w:p>
        </w:tc>
        <w:tc>
          <w:tcPr>
            <w:tcW w:w="1727" w:type="dxa"/>
            <w:tcBorders>
              <w:top w:val="nil"/>
              <w:left w:val="single" w:sz="4" w:space="0" w:color="auto"/>
              <w:bottom w:val="single" w:sz="4" w:space="0" w:color="auto"/>
              <w:right w:val="single" w:sz="4" w:space="0" w:color="auto"/>
            </w:tcBorders>
            <w:shd w:val="clear" w:color="auto" w:fill="auto"/>
            <w:vAlign w:val="center"/>
          </w:tcPr>
          <w:p w14:paraId="6A94F37D" w14:textId="77777777" w:rsidR="003A2D79" w:rsidRPr="008E3134" w:rsidRDefault="003A2D79" w:rsidP="003A2D79">
            <w:pPr>
              <w:widowControl w:val="0"/>
              <w:jc w:val="right"/>
              <w:rPr>
                <w:rFonts w:ascii="Arial Narrow" w:hAnsi="Arial Narrow" w:cs="Calibri"/>
                <w:sz w:val="20"/>
                <w:szCs w:val="20"/>
              </w:rPr>
            </w:pPr>
            <w:r w:rsidRPr="008E3134">
              <w:rPr>
                <w:rFonts w:ascii="Arial Narrow" w:hAnsi="Arial Narrow" w:cs="Calibri"/>
                <w:sz w:val="20"/>
                <w:szCs w:val="20"/>
              </w:rPr>
              <w:t>1 248</w:t>
            </w:r>
          </w:p>
        </w:tc>
        <w:tc>
          <w:tcPr>
            <w:tcW w:w="1413" w:type="dxa"/>
            <w:tcBorders>
              <w:top w:val="nil"/>
              <w:left w:val="nil"/>
              <w:bottom w:val="single" w:sz="4" w:space="0" w:color="auto"/>
              <w:right w:val="single" w:sz="4" w:space="0" w:color="auto"/>
            </w:tcBorders>
            <w:shd w:val="clear" w:color="auto" w:fill="auto"/>
            <w:noWrap/>
            <w:vAlign w:val="center"/>
          </w:tcPr>
          <w:p w14:paraId="6F4DE132" w14:textId="77777777" w:rsidR="003A2D79" w:rsidRPr="008E3134" w:rsidRDefault="003A2D79" w:rsidP="003A2D79">
            <w:pPr>
              <w:widowControl w:val="0"/>
              <w:jc w:val="right"/>
              <w:rPr>
                <w:rFonts w:ascii="Arial Narrow" w:hAnsi="Arial Narrow" w:cs="Calibri"/>
                <w:sz w:val="20"/>
                <w:szCs w:val="20"/>
              </w:rPr>
            </w:pPr>
            <w:r w:rsidRPr="008E3134">
              <w:rPr>
                <w:rFonts w:ascii="Arial Narrow" w:hAnsi="Arial Narrow" w:cs="Calibri"/>
                <w:sz w:val="20"/>
                <w:szCs w:val="20"/>
              </w:rPr>
              <w:t>-35,0%</w:t>
            </w:r>
          </w:p>
        </w:tc>
      </w:tr>
      <w:tr w:rsidR="003A2D79" w:rsidRPr="008E3134" w14:paraId="0CE4AFCD" w14:textId="77777777" w:rsidTr="004314BC">
        <w:trPr>
          <w:trHeight w:val="567"/>
          <w:jc w:val="center"/>
        </w:trPr>
        <w:tc>
          <w:tcPr>
            <w:tcW w:w="3304" w:type="dxa"/>
            <w:noWrap/>
            <w:vAlign w:val="center"/>
          </w:tcPr>
          <w:p w14:paraId="3AEB8048" w14:textId="77777777" w:rsidR="003A2D79" w:rsidRPr="008E3134" w:rsidRDefault="003A2D79" w:rsidP="003A2D79">
            <w:pPr>
              <w:widowControl w:val="0"/>
              <w:rPr>
                <w:rFonts w:ascii="Arial Narrow" w:hAnsi="Arial Narrow"/>
                <w:sz w:val="20"/>
                <w:szCs w:val="20"/>
                <w:lang w:eastAsia="bg-BG"/>
              </w:rPr>
            </w:pPr>
            <w:r w:rsidRPr="008E3134">
              <w:rPr>
                <w:rFonts w:ascii="Arial Narrow" w:hAnsi="Arial Narrow"/>
                <w:sz w:val="20"/>
                <w:szCs w:val="20"/>
                <w:lang w:eastAsia="bg-BG"/>
              </w:rPr>
              <w:t>Други птици (</w:t>
            </w:r>
            <w:r>
              <w:rPr>
                <w:rFonts w:ascii="Arial Narrow" w:hAnsi="Arial Narrow"/>
                <w:sz w:val="20"/>
                <w:szCs w:val="20"/>
                <w:lang w:eastAsia="bg-BG"/>
              </w:rPr>
              <w:t xml:space="preserve">гъски, </w:t>
            </w:r>
            <w:r w:rsidRPr="008E3134">
              <w:rPr>
                <w:rFonts w:ascii="Arial Narrow" w:hAnsi="Arial Narrow"/>
                <w:sz w:val="20"/>
                <w:szCs w:val="20"/>
                <w:lang w:eastAsia="bg-BG"/>
              </w:rPr>
              <w:t>пъдпъдъци, щрауси и токачки)</w:t>
            </w:r>
          </w:p>
        </w:tc>
        <w:tc>
          <w:tcPr>
            <w:tcW w:w="1586" w:type="dxa"/>
            <w:vAlign w:val="center"/>
          </w:tcPr>
          <w:p w14:paraId="77A51289" w14:textId="77777777" w:rsidR="003A2D79" w:rsidRPr="00AC5586" w:rsidRDefault="003A2D79" w:rsidP="003A2D79">
            <w:pPr>
              <w:widowControl w:val="0"/>
              <w:jc w:val="right"/>
              <w:rPr>
                <w:rFonts w:ascii="Arial Narrow" w:hAnsi="Arial Narrow" w:cs="Calibri"/>
                <w:sz w:val="20"/>
                <w:szCs w:val="20"/>
                <w:lang w:val="bg-BG"/>
              </w:rPr>
            </w:pPr>
            <w:r>
              <w:rPr>
                <w:rFonts w:ascii="Arial Narrow" w:hAnsi="Arial Narrow" w:cs="Calibri"/>
                <w:sz w:val="20"/>
                <w:szCs w:val="20"/>
              </w:rPr>
              <w:t>60</w:t>
            </w:r>
          </w:p>
        </w:tc>
        <w:tc>
          <w:tcPr>
            <w:tcW w:w="1727" w:type="dxa"/>
            <w:tcBorders>
              <w:top w:val="nil"/>
              <w:left w:val="nil"/>
              <w:bottom w:val="single" w:sz="4" w:space="0" w:color="auto"/>
              <w:right w:val="single" w:sz="4" w:space="0" w:color="auto"/>
            </w:tcBorders>
            <w:shd w:val="clear" w:color="auto" w:fill="auto"/>
            <w:vAlign w:val="center"/>
          </w:tcPr>
          <w:p w14:paraId="12C4FD72" w14:textId="77777777" w:rsidR="003A2D79" w:rsidRPr="00AC5586" w:rsidRDefault="003A2D79" w:rsidP="003A2D79">
            <w:pPr>
              <w:widowControl w:val="0"/>
              <w:jc w:val="right"/>
              <w:rPr>
                <w:rFonts w:ascii="Arial Narrow" w:hAnsi="Arial Narrow" w:cs="Calibri"/>
                <w:sz w:val="20"/>
                <w:szCs w:val="20"/>
                <w:lang w:val="bg-BG"/>
              </w:rPr>
            </w:pPr>
            <w:r>
              <w:rPr>
                <w:rFonts w:ascii="Arial Narrow" w:hAnsi="Arial Narrow" w:cs="Calibri"/>
                <w:sz w:val="20"/>
                <w:szCs w:val="20"/>
              </w:rPr>
              <w:t>58</w:t>
            </w:r>
          </w:p>
        </w:tc>
        <w:tc>
          <w:tcPr>
            <w:tcW w:w="1727" w:type="dxa"/>
            <w:tcBorders>
              <w:top w:val="nil"/>
              <w:left w:val="single" w:sz="4" w:space="0" w:color="auto"/>
              <w:bottom w:val="single" w:sz="4" w:space="0" w:color="auto"/>
              <w:right w:val="single" w:sz="4" w:space="0" w:color="auto"/>
            </w:tcBorders>
            <w:shd w:val="clear" w:color="000000" w:fill="FFFFFF"/>
            <w:vAlign w:val="center"/>
          </w:tcPr>
          <w:p w14:paraId="2A3BB2A4" w14:textId="77777777" w:rsidR="003A2D79" w:rsidRPr="00AC5586" w:rsidRDefault="003A2D79" w:rsidP="003A2D79">
            <w:pPr>
              <w:widowControl w:val="0"/>
              <w:jc w:val="right"/>
              <w:rPr>
                <w:rFonts w:ascii="Arial Narrow" w:hAnsi="Arial Narrow" w:cs="Calibri"/>
                <w:sz w:val="20"/>
                <w:szCs w:val="20"/>
                <w:lang w:val="bg-BG"/>
              </w:rPr>
            </w:pPr>
            <w:r>
              <w:rPr>
                <w:rFonts w:ascii="Arial Narrow" w:hAnsi="Arial Narrow" w:cs="Calibri"/>
                <w:sz w:val="20"/>
                <w:szCs w:val="20"/>
              </w:rPr>
              <w:t>51</w:t>
            </w:r>
          </w:p>
        </w:tc>
        <w:tc>
          <w:tcPr>
            <w:tcW w:w="1413" w:type="dxa"/>
            <w:tcBorders>
              <w:top w:val="nil"/>
              <w:left w:val="nil"/>
              <w:bottom w:val="single" w:sz="4" w:space="0" w:color="auto"/>
              <w:right w:val="single" w:sz="4" w:space="0" w:color="auto"/>
            </w:tcBorders>
            <w:shd w:val="clear" w:color="000000" w:fill="FFFFFF"/>
            <w:noWrap/>
            <w:vAlign w:val="center"/>
          </w:tcPr>
          <w:p w14:paraId="4F410835" w14:textId="77777777" w:rsidR="003A2D79" w:rsidRPr="008E3134" w:rsidRDefault="003A2D79" w:rsidP="003A2D79">
            <w:pPr>
              <w:widowControl w:val="0"/>
              <w:jc w:val="right"/>
              <w:rPr>
                <w:rFonts w:ascii="Arial Narrow" w:hAnsi="Arial Narrow" w:cs="Calibri"/>
                <w:sz w:val="20"/>
                <w:szCs w:val="20"/>
              </w:rPr>
            </w:pPr>
            <w:r w:rsidRPr="008E3134">
              <w:rPr>
                <w:rFonts w:ascii="Arial Narrow" w:hAnsi="Arial Narrow" w:cs="Calibri"/>
                <w:sz w:val="20"/>
                <w:szCs w:val="20"/>
              </w:rPr>
              <w:t>-</w:t>
            </w:r>
            <w:r>
              <w:rPr>
                <w:rFonts w:ascii="Arial Narrow" w:hAnsi="Arial Narrow" w:cs="Calibri"/>
                <w:sz w:val="20"/>
                <w:szCs w:val="20"/>
              </w:rPr>
              <w:t>11,3</w:t>
            </w:r>
            <w:r w:rsidRPr="008E3134">
              <w:rPr>
                <w:rFonts w:ascii="Arial Narrow" w:hAnsi="Arial Narrow" w:cs="Calibri"/>
                <w:sz w:val="20"/>
                <w:szCs w:val="20"/>
              </w:rPr>
              <w:t>%</w:t>
            </w:r>
          </w:p>
        </w:tc>
      </w:tr>
      <w:tr w:rsidR="003A2D79" w:rsidRPr="008E3134" w14:paraId="4395DEAA" w14:textId="77777777" w:rsidTr="004314BC">
        <w:trPr>
          <w:trHeight w:val="340"/>
          <w:jc w:val="center"/>
        </w:trPr>
        <w:tc>
          <w:tcPr>
            <w:tcW w:w="3304" w:type="dxa"/>
            <w:noWrap/>
            <w:vAlign w:val="center"/>
          </w:tcPr>
          <w:p w14:paraId="3C38F715" w14:textId="77777777" w:rsidR="003A2D79" w:rsidRPr="008E3134" w:rsidRDefault="003A2D79" w:rsidP="003A2D79">
            <w:pPr>
              <w:widowControl w:val="0"/>
              <w:rPr>
                <w:rFonts w:ascii="Arial Narrow" w:hAnsi="Arial Narrow"/>
                <w:b/>
                <w:sz w:val="20"/>
                <w:szCs w:val="20"/>
                <w:lang w:eastAsia="bg-BG"/>
              </w:rPr>
            </w:pPr>
            <w:r w:rsidRPr="008E3134">
              <w:rPr>
                <w:rFonts w:ascii="Arial Narrow" w:hAnsi="Arial Narrow"/>
                <w:b/>
                <w:sz w:val="20"/>
                <w:szCs w:val="20"/>
                <w:lang w:eastAsia="bg-BG"/>
              </w:rPr>
              <w:t>Общо</w:t>
            </w:r>
          </w:p>
        </w:tc>
        <w:tc>
          <w:tcPr>
            <w:tcW w:w="1586" w:type="dxa"/>
            <w:vAlign w:val="center"/>
          </w:tcPr>
          <w:p w14:paraId="706BAF87" w14:textId="77777777" w:rsidR="003A2D79" w:rsidRPr="008E3134" w:rsidRDefault="003A2D79" w:rsidP="003A2D79">
            <w:pPr>
              <w:widowControl w:val="0"/>
              <w:jc w:val="right"/>
              <w:rPr>
                <w:rFonts w:ascii="Arial Narrow" w:hAnsi="Arial Narrow" w:cs="Calibri"/>
                <w:b/>
                <w:bCs/>
                <w:sz w:val="20"/>
                <w:szCs w:val="20"/>
              </w:rPr>
            </w:pPr>
            <w:r w:rsidRPr="008E3134">
              <w:rPr>
                <w:rFonts w:ascii="Arial Narrow" w:hAnsi="Arial Narrow" w:cs="Calibri"/>
                <w:b/>
                <w:bCs/>
                <w:sz w:val="20"/>
                <w:szCs w:val="20"/>
              </w:rPr>
              <w:t>15 507</w:t>
            </w:r>
          </w:p>
        </w:tc>
        <w:tc>
          <w:tcPr>
            <w:tcW w:w="1727" w:type="dxa"/>
            <w:tcBorders>
              <w:top w:val="nil"/>
              <w:left w:val="nil"/>
              <w:bottom w:val="single" w:sz="4" w:space="0" w:color="auto"/>
              <w:right w:val="single" w:sz="4" w:space="0" w:color="auto"/>
            </w:tcBorders>
            <w:shd w:val="clear" w:color="auto" w:fill="auto"/>
            <w:vAlign w:val="center"/>
          </w:tcPr>
          <w:p w14:paraId="6E39B225" w14:textId="77777777" w:rsidR="003A2D79" w:rsidRPr="008E3134" w:rsidRDefault="003A2D79" w:rsidP="003A2D79">
            <w:pPr>
              <w:widowControl w:val="0"/>
              <w:jc w:val="right"/>
              <w:rPr>
                <w:rFonts w:ascii="Arial Narrow" w:hAnsi="Arial Narrow" w:cs="Calibri"/>
                <w:b/>
                <w:sz w:val="20"/>
                <w:szCs w:val="20"/>
              </w:rPr>
            </w:pPr>
            <w:r w:rsidRPr="008E3134">
              <w:rPr>
                <w:rFonts w:ascii="Arial Narrow" w:hAnsi="Arial Narrow" w:cs="Calibri"/>
                <w:b/>
                <w:sz w:val="20"/>
                <w:szCs w:val="20"/>
              </w:rPr>
              <w:t>14 522</w:t>
            </w:r>
          </w:p>
        </w:tc>
        <w:tc>
          <w:tcPr>
            <w:tcW w:w="1727" w:type="dxa"/>
            <w:tcBorders>
              <w:top w:val="nil"/>
              <w:left w:val="single" w:sz="4" w:space="0" w:color="auto"/>
              <w:bottom w:val="single" w:sz="4" w:space="0" w:color="auto"/>
              <w:right w:val="single" w:sz="4" w:space="0" w:color="auto"/>
            </w:tcBorders>
            <w:shd w:val="clear" w:color="auto" w:fill="auto"/>
            <w:vAlign w:val="center"/>
          </w:tcPr>
          <w:p w14:paraId="3674290F" w14:textId="77777777" w:rsidR="003A2D79" w:rsidRPr="008E3134" w:rsidRDefault="003A2D79" w:rsidP="003A2D79">
            <w:pPr>
              <w:widowControl w:val="0"/>
              <w:jc w:val="right"/>
              <w:rPr>
                <w:rFonts w:ascii="Arial Narrow" w:hAnsi="Arial Narrow" w:cs="Calibri"/>
                <w:b/>
                <w:sz w:val="20"/>
                <w:szCs w:val="20"/>
              </w:rPr>
            </w:pPr>
            <w:r w:rsidRPr="008E3134">
              <w:rPr>
                <w:rFonts w:ascii="Arial Narrow" w:hAnsi="Arial Narrow" w:cs="Calibri"/>
                <w:b/>
                <w:sz w:val="20"/>
                <w:szCs w:val="20"/>
              </w:rPr>
              <w:t>13 560</w:t>
            </w:r>
          </w:p>
        </w:tc>
        <w:tc>
          <w:tcPr>
            <w:tcW w:w="1413" w:type="dxa"/>
            <w:tcBorders>
              <w:top w:val="nil"/>
              <w:left w:val="nil"/>
              <w:bottom w:val="single" w:sz="4" w:space="0" w:color="auto"/>
              <w:right w:val="single" w:sz="4" w:space="0" w:color="auto"/>
            </w:tcBorders>
            <w:shd w:val="clear" w:color="auto" w:fill="auto"/>
            <w:noWrap/>
            <w:vAlign w:val="center"/>
          </w:tcPr>
          <w:p w14:paraId="2157E26B" w14:textId="77777777" w:rsidR="003A2D79" w:rsidRPr="008E3134" w:rsidRDefault="003A2D79" w:rsidP="003A2D79">
            <w:pPr>
              <w:widowControl w:val="0"/>
              <w:jc w:val="right"/>
              <w:rPr>
                <w:rFonts w:ascii="Arial Narrow" w:hAnsi="Arial Narrow" w:cs="Calibri"/>
                <w:b/>
                <w:sz w:val="20"/>
                <w:szCs w:val="20"/>
              </w:rPr>
            </w:pPr>
            <w:r w:rsidRPr="008E3134">
              <w:rPr>
                <w:rFonts w:ascii="Arial Narrow" w:hAnsi="Arial Narrow" w:cs="Calibri"/>
                <w:b/>
                <w:sz w:val="20"/>
                <w:szCs w:val="20"/>
              </w:rPr>
              <w:t>-6,6%</w:t>
            </w:r>
          </w:p>
        </w:tc>
      </w:tr>
    </w:tbl>
    <w:p w14:paraId="678BF7A6" w14:textId="77777777" w:rsidR="003A2D79" w:rsidRPr="00725099" w:rsidRDefault="003A2D79" w:rsidP="003A2D79">
      <w:pPr>
        <w:widowControl w:val="0"/>
        <w:tabs>
          <w:tab w:val="left" w:pos="180"/>
        </w:tabs>
        <w:spacing w:after="240"/>
        <w:rPr>
          <w:rFonts w:ascii="Arial Narrow" w:hAnsi="Arial Narrow" w:cs="Arial"/>
          <w:sz w:val="18"/>
        </w:rPr>
      </w:pPr>
      <w:r w:rsidRPr="00725099">
        <w:rPr>
          <w:rFonts w:ascii="Arial Narrow" w:hAnsi="Arial Narrow" w:cs="Arial"/>
          <w:bCs/>
          <w:i/>
          <w:sz w:val="18"/>
        </w:rPr>
        <w:t>Източник:</w:t>
      </w:r>
      <w:r w:rsidRPr="00725099">
        <w:rPr>
          <w:rFonts w:ascii="Arial Narrow" w:hAnsi="Arial Narrow" w:cs="Arial"/>
          <w:i/>
          <w:sz w:val="18"/>
        </w:rPr>
        <w:t xml:space="preserve"> </w:t>
      </w:r>
      <w:r w:rsidRPr="00725099">
        <w:rPr>
          <w:rFonts w:ascii="Arial Narrow" w:hAnsi="Arial Narrow"/>
          <w:sz w:val="18"/>
        </w:rPr>
        <w:t>МЗХ</w:t>
      </w:r>
      <w:r w:rsidRPr="00725099">
        <w:rPr>
          <w:rFonts w:ascii="Arial Narrow" w:hAnsi="Arial Narrow" w:cs="Arial"/>
          <w:sz w:val="18"/>
        </w:rPr>
        <w:t>, отдел „Агростатистика"</w:t>
      </w:r>
    </w:p>
    <w:p w14:paraId="7FA8779D" w14:textId="77777777" w:rsidR="003A2D79" w:rsidRPr="00577845" w:rsidRDefault="003A2D79" w:rsidP="003A2D79">
      <w:pPr>
        <w:widowControl w:val="0"/>
        <w:autoSpaceDE w:val="0"/>
        <w:autoSpaceDN w:val="0"/>
        <w:adjustRightInd w:val="0"/>
        <w:spacing w:after="120"/>
        <w:ind w:firstLine="709"/>
        <w:jc w:val="both"/>
        <w:rPr>
          <w:rFonts w:ascii="Arial Narrow" w:hAnsi="Arial Narrow"/>
          <w:lang w:eastAsia="bg-BG"/>
        </w:rPr>
      </w:pPr>
      <w:r w:rsidRPr="00577845">
        <w:rPr>
          <w:rFonts w:ascii="Arial Narrow" w:hAnsi="Arial Narrow"/>
          <w:lang w:eastAsia="bg-BG"/>
        </w:rPr>
        <w:t>Към края на 2024 г. около 68</w:t>
      </w:r>
      <w:r>
        <w:rPr>
          <w:rFonts w:ascii="Arial Narrow" w:hAnsi="Arial Narrow"/>
          <w:lang w:eastAsia="bg-BG"/>
        </w:rPr>
        <w:t>,4</w:t>
      </w:r>
      <w:r w:rsidRPr="00577845">
        <w:rPr>
          <w:rFonts w:ascii="Arial Narrow" w:hAnsi="Arial Narrow"/>
          <w:lang w:eastAsia="bg-BG"/>
        </w:rPr>
        <w:t>% от птиците се отглеждат в Северен централен и Североизточен райони на страната, а едва 2,5% - в Югозападен район.</w:t>
      </w:r>
    </w:p>
    <w:p w14:paraId="7D01B9D8" w14:textId="77777777" w:rsidR="003A2D79" w:rsidRPr="00F23101" w:rsidRDefault="003A2D79" w:rsidP="003A2D79">
      <w:pPr>
        <w:widowControl w:val="0"/>
        <w:tabs>
          <w:tab w:val="left" w:pos="180"/>
        </w:tabs>
        <w:spacing w:after="120"/>
        <w:rPr>
          <w:rFonts w:ascii="Arial Narrow" w:hAnsi="Arial Narrow"/>
          <w:b/>
        </w:rPr>
      </w:pPr>
      <w:r w:rsidRPr="00F23101">
        <w:rPr>
          <w:rFonts w:ascii="Arial Narrow" w:hAnsi="Arial Narrow"/>
          <w:b/>
        </w:rPr>
        <w:t>Таблица ІІ.26. Брой птици по видове и райони през 2024 г., хил. броя</w:t>
      </w:r>
    </w:p>
    <w:tbl>
      <w:tblPr>
        <w:tblW w:w="97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893"/>
        <w:gridCol w:w="1238"/>
        <w:gridCol w:w="769"/>
        <w:gridCol w:w="1123"/>
        <w:gridCol w:w="1123"/>
        <w:gridCol w:w="1123"/>
        <w:gridCol w:w="688"/>
        <w:gridCol w:w="780"/>
        <w:gridCol w:w="1034"/>
      </w:tblGrid>
      <w:tr w:rsidR="003A2D79" w:rsidRPr="00F23101" w14:paraId="0AD29902" w14:textId="77777777" w:rsidTr="004314BC">
        <w:trPr>
          <w:trHeight w:val="851"/>
          <w:tblHeader/>
          <w:jc w:val="center"/>
        </w:trPr>
        <w:tc>
          <w:tcPr>
            <w:tcW w:w="969" w:type="pct"/>
            <w:noWrap/>
            <w:vAlign w:val="center"/>
          </w:tcPr>
          <w:p w14:paraId="46437E64" w14:textId="77777777" w:rsidR="003A2D79" w:rsidRPr="00F23101" w:rsidRDefault="003A2D79" w:rsidP="003A2D79">
            <w:pPr>
              <w:widowControl w:val="0"/>
              <w:jc w:val="center"/>
              <w:rPr>
                <w:rFonts w:ascii="Arial Narrow" w:hAnsi="Arial Narrow"/>
                <w:b/>
                <w:bCs/>
                <w:sz w:val="20"/>
                <w:szCs w:val="20"/>
              </w:rPr>
            </w:pPr>
            <w:r w:rsidRPr="00F23101">
              <w:rPr>
                <w:rFonts w:ascii="Arial Narrow" w:hAnsi="Arial Narrow"/>
                <w:b/>
                <w:bCs/>
                <w:sz w:val="20"/>
                <w:szCs w:val="20"/>
              </w:rPr>
              <w:t>Район</w:t>
            </w:r>
          </w:p>
        </w:tc>
        <w:tc>
          <w:tcPr>
            <w:tcW w:w="634" w:type="pct"/>
            <w:shd w:val="clear" w:color="auto" w:fill="FFFFFF"/>
            <w:vAlign w:val="center"/>
          </w:tcPr>
          <w:p w14:paraId="2654A3F6" w14:textId="77777777" w:rsidR="003A2D79" w:rsidRPr="00F23101" w:rsidRDefault="003A2D79" w:rsidP="003A2D79">
            <w:pPr>
              <w:widowControl w:val="0"/>
              <w:jc w:val="center"/>
              <w:rPr>
                <w:rFonts w:ascii="Arial Narrow" w:hAnsi="Arial Narrow"/>
                <w:b/>
                <w:bCs/>
                <w:sz w:val="20"/>
                <w:szCs w:val="20"/>
              </w:rPr>
            </w:pPr>
            <w:r w:rsidRPr="00F23101">
              <w:rPr>
                <w:rFonts w:ascii="Arial Narrow" w:hAnsi="Arial Narrow"/>
                <w:b/>
                <w:bCs/>
                <w:sz w:val="20"/>
                <w:szCs w:val="20"/>
              </w:rPr>
              <w:t>Кокошки носачки и подрастващи</w:t>
            </w:r>
          </w:p>
        </w:tc>
        <w:tc>
          <w:tcPr>
            <w:tcW w:w="394" w:type="pct"/>
            <w:shd w:val="clear" w:color="auto" w:fill="FFFFFF"/>
            <w:vAlign w:val="center"/>
          </w:tcPr>
          <w:p w14:paraId="1822E1D9" w14:textId="77777777" w:rsidR="003A2D79" w:rsidRPr="00F23101" w:rsidRDefault="003A2D79" w:rsidP="003A2D79">
            <w:pPr>
              <w:widowControl w:val="0"/>
              <w:jc w:val="center"/>
              <w:rPr>
                <w:rFonts w:ascii="Arial Narrow" w:hAnsi="Arial Narrow"/>
                <w:b/>
                <w:bCs/>
                <w:sz w:val="20"/>
                <w:szCs w:val="20"/>
              </w:rPr>
            </w:pPr>
            <w:r w:rsidRPr="00F23101">
              <w:rPr>
                <w:rFonts w:ascii="Arial Narrow" w:hAnsi="Arial Narrow"/>
                <w:b/>
                <w:bCs/>
                <w:sz w:val="20"/>
                <w:szCs w:val="20"/>
              </w:rPr>
              <w:t>Пилета за месо</w:t>
            </w:r>
          </w:p>
        </w:tc>
        <w:tc>
          <w:tcPr>
            <w:tcW w:w="575" w:type="pct"/>
            <w:shd w:val="clear" w:color="auto" w:fill="FFFFFF"/>
            <w:vAlign w:val="center"/>
          </w:tcPr>
          <w:p w14:paraId="0D3EEE45" w14:textId="77777777" w:rsidR="003A2D79" w:rsidRPr="00F23101" w:rsidRDefault="003A2D79" w:rsidP="003A2D79">
            <w:pPr>
              <w:widowControl w:val="0"/>
              <w:jc w:val="center"/>
              <w:rPr>
                <w:rFonts w:ascii="Arial Narrow" w:hAnsi="Arial Narrow"/>
                <w:b/>
                <w:bCs/>
                <w:sz w:val="20"/>
                <w:szCs w:val="20"/>
              </w:rPr>
            </w:pPr>
            <w:r w:rsidRPr="00F23101">
              <w:rPr>
                <w:rFonts w:ascii="Arial Narrow" w:hAnsi="Arial Narrow"/>
                <w:b/>
                <w:bCs/>
                <w:sz w:val="20"/>
                <w:szCs w:val="20"/>
              </w:rPr>
              <w:t>Кокошки и пилета общо</w:t>
            </w:r>
          </w:p>
        </w:tc>
        <w:tc>
          <w:tcPr>
            <w:tcW w:w="575" w:type="pct"/>
            <w:shd w:val="clear" w:color="auto" w:fill="FFFFFF"/>
            <w:vAlign w:val="center"/>
          </w:tcPr>
          <w:p w14:paraId="42477587" w14:textId="77777777" w:rsidR="003A2D79" w:rsidRPr="00F23101" w:rsidRDefault="003A2D79" w:rsidP="003A2D79">
            <w:pPr>
              <w:widowControl w:val="0"/>
              <w:jc w:val="center"/>
              <w:rPr>
                <w:rFonts w:ascii="Arial Narrow" w:hAnsi="Arial Narrow"/>
                <w:b/>
                <w:bCs/>
                <w:sz w:val="20"/>
                <w:szCs w:val="20"/>
              </w:rPr>
            </w:pPr>
            <w:r w:rsidRPr="00F23101">
              <w:rPr>
                <w:rFonts w:ascii="Arial Narrow" w:hAnsi="Arial Narrow"/>
                <w:b/>
                <w:bCs/>
                <w:sz w:val="20"/>
                <w:szCs w:val="20"/>
              </w:rPr>
              <w:t>Пуйки</w:t>
            </w:r>
          </w:p>
        </w:tc>
        <w:tc>
          <w:tcPr>
            <w:tcW w:w="575" w:type="pct"/>
            <w:shd w:val="clear" w:color="auto" w:fill="FFFFFF"/>
            <w:vAlign w:val="center"/>
          </w:tcPr>
          <w:p w14:paraId="4A74992E" w14:textId="77777777" w:rsidR="003A2D79" w:rsidRPr="00F23101" w:rsidRDefault="003A2D79" w:rsidP="003A2D79">
            <w:pPr>
              <w:widowControl w:val="0"/>
              <w:jc w:val="center"/>
              <w:rPr>
                <w:rFonts w:ascii="Arial Narrow" w:hAnsi="Arial Narrow"/>
                <w:b/>
                <w:bCs/>
                <w:sz w:val="20"/>
                <w:szCs w:val="20"/>
              </w:rPr>
            </w:pPr>
            <w:r w:rsidRPr="00F23101">
              <w:rPr>
                <w:rFonts w:ascii="Arial Narrow" w:hAnsi="Arial Narrow"/>
                <w:b/>
                <w:bCs/>
                <w:sz w:val="20"/>
                <w:szCs w:val="20"/>
              </w:rPr>
              <w:t>Патици</w:t>
            </w:r>
          </w:p>
        </w:tc>
        <w:tc>
          <w:tcPr>
            <w:tcW w:w="352" w:type="pct"/>
            <w:shd w:val="clear" w:color="auto" w:fill="FFFFFF"/>
            <w:vAlign w:val="center"/>
          </w:tcPr>
          <w:p w14:paraId="76254B15" w14:textId="77777777" w:rsidR="003A2D79" w:rsidRPr="00F23101" w:rsidRDefault="003A2D79" w:rsidP="003A2D79">
            <w:pPr>
              <w:widowControl w:val="0"/>
              <w:jc w:val="center"/>
              <w:rPr>
                <w:rFonts w:ascii="Arial Narrow" w:hAnsi="Arial Narrow"/>
                <w:b/>
                <w:bCs/>
                <w:sz w:val="20"/>
                <w:szCs w:val="20"/>
              </w:rPr>
            </w:pPr>
            <w:r w:rsidRPr="00F23101">
              <w:rPr>
                <w:rFonts w:ascii="Arial Narrow" w:hAnsi="Arial Narrow"/>
                <w:b/>
                <w:bCs/>
                <w:sz w:val="20"/>
                <w:szCs w:val="20"/>
              </w:rPr>
              <w:t>Други птици</w:t>
            </w:r>
          </w:p>
        </w:tc>
        <w:tc>
          <w:tcPr>
            <w:tcW w:w="399" w:type="pct"/>
            <w:shd w:val="clear" w:color="auto" w:fill="FFFFFF"/>
            <w:vAlign w:val="center"/>
          </w:tcPr>
          <w:p w14:paraId="0FBE4883" w14:textId="77777777" w:rsidR="003A2D79" w:rsidRPr="00F23101" w:rsidRDefault="003A2D79" w:rsidP="003A2D79">
            <w:pPr>
              <w:widowControl w:val="0"/>
              <w:jc w:val="center"/>
              <w:rPr>
                <w:rFonts w:ascii="Arial Narrow" w:hAnsi="Arial Narrow"/>
                <w:b/>
                <w:bCs/>
                <w:sz w:val="20"/>
                <w:szCs w:val="20"/>
              </w:rPr>
            </w:pPr>
            <w:r w:rsidRPr="00F23101">
              <w:rPr>
                <w:rFonts w:ascii="Arial Narrow" w:hAnsi="Arial Narrow"/>
                <w:b/>
                <w:bCs/>
                <w:sz w:val="20"/>
                <w:szCs w:val="20"/>
              </w:rPr>
              <w:t>Птици общо</w:t>
            </w:r>
          </w:p>
        </w:tc>
        <w:tc>
          <w:tcPr>
            <w:tcW w:w="529" w:type="pct"/>
            <w:shd w:val="clear" w:color="auto" w:fill="FFFFFF"/>
            <w:vAlign w:val="center"/>
          </w:tcPr>
          <w:p w14:paraId="11F08204" w14:textId="77777777" w:rsidR="003A2D79" w:rsidRPr="00F23101" w:rsidRDefault="003A2D79" w:rsidP="003A2D79">
            <w:pPr>
              <w:widowControl w:val="0"/>
              <w:jc w:val="center"/>
              <w:rPr>
                <w:rFonts w:ascii="Arial Narrow" w:hAnsi="Arial Narrow"/>
                <w:b/>
                <w:sz w:val="20"/>
                <w:szCs w:val="20"/>
              </w:rPr>
            </w:pPr>
            <w:r w:rsidRPr="00F23101">
              <w:rPr>
                <w:rFonts w:ascii="Arial Narrow" w:hAnsi="Arial Narrow"/>
                <w:b/>
                <w:bCs/>
                <w:sz w:val="20"/>
                <w:szCs w:val="20"/>
              </w:rPr>
              <w:t xml:space="preserve">Изменение </w:t>
            </w:r>
            <w:r w:rsidRPr="00F23101">
              <w:rPr>
                <w:rFonts w:ascii="Arial Narrow" w:hAnsi="Arial Narrow"/>
                <w:b/>
                <w:sz w:val="20"/>
                <w:szCs w:val="20"/>
              </w:rPr>
              <w:t>2024/2023</w:t>
            </w:r>
          </w:p>
          <w:p w14:paraId="52B87E50" w14:textId="77777777" w:rsidR="003A2D79" w:rsidRPr="00F23101" w:rsidRDefault="003A2D79" w:rsidP="003A2D79">
            <w:pPr>
              <w:widowControl w:val="0"/>
              <w:jc w:val="center"/>
              <w:rPr>
                <w:rFonts w:ascii="Arial Narrow" w:hAnsi="Arial Narrow"/>
                <w:b/>
                <w:bCs/>
                <w:sz w:val="20"/>
                <w:szCs w:val="20"/>
              </w:rPr>
            </w:pPr>
            <w:r w:rsidRPr="00F23101">
              <w:rPr>
                <w:rFonts w:ascii="Arial Narrow" w:hAnsi="Arial Narrow"/>
                <w:b/>
                <w:bCs/>
                <w:sz w:val="20"/>
                <w:szCs w:val="20"/>
              </w:rPr>
              <w:t>птици общо</w:t>
            </w:r>
          </w:p>
        </w:tc>
      </w:tr>
      <w:tr w:rsidR="003A2D79" w:rsidRPr="00F23101" w14:paraId="35ABC3DC" w14:textId="77777777" w:rsidTr="004314BC">
        <w:trPr>
          <w:trHeight w:val="340"/>
          <w:jc w:val="center"/>
        </w:trPr>
        <w:tc>
          <w:tcPr>
            <w:tcW w:w="969" w:type="pct"/>
            <w:noWrap/>
            <w:vAlign w:val="center"/>
          </w:tcPr>
          <w:p w14:paraId="4C44A250" w14:textId="77777777" w:rsidR="003A2D79" w:rsidRPr="00F23101" w:rsidRDefault="003A2D79" w:rsidP="003A2D79">
            <w:pPr>
              <w:widowControl w:val="0"/>
              <w:rPr>
                <w:rFonts w:ascii="Arial Narrow" w:hAnsi="Arial Narrow"/>
                <w:sz w:val="20"/>
                <w:szCs w:val="20"/>
                <w:lang w:eastAsia="bg-BG"/>
              </w:rPr>
            </w:pPr>
            <w:r w:rsidRPr="00F23101">
              <w:rPr>
                <w:rFonts w:ascii="Arial Narrow" w:hAnsi="Arial Narrow"/>
                <w:sz w:val="20"/>
                <w:szCs w:val="20"/>
                <w:lang w:eastAsia="bg-BG"/>
              </w:rPr>
              <w:t>Северозападен</w:t>
            </w:r>
          </w:p>
        </w:tc>
        <w:tc>
          <w:tcPr>
            <w:tcW w:w="63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013C6EF" w14:textId="77777777" w:rsidR="003A2D79" w:rsidRPr="00F23101" w:rsidRDefault="003A2D79" w:rsidP="003A2D79">
            <w:pPr>
              <w:widowControl w:val="0"/>
              <w:jc w:val="right"/>
              <w:rPr>
                <w:rFonts w:ascii="Arial Narrow" w:hAnsi="Arial Narrow"/>
                <w:sz w:val="20"/>
                <w:szCs w:val="20"/>
                <w:lang w:eastAsia="bg-BG"/>
              </w:rPr>
            </w:pPr>
            <w:r w:rsidRPr="00F23101">
              <w:rPr>
                <w:rFonts w:ascii="Arial Narrow" w:hAnsi="Arial Narrow"/>
                <w:sz w:val="20"/>
                <w:szCs w:val="20"/>
                <w:lang w:eastAsia="bg-BG"/>
              </w:rPr>
              <w:t>с</w:t>
            </w:r>
          </w:p>
        </w:tc>
        <w:tc>
          <w:tcPr>
            <w:tcW w:w="394" w:type="pct"/>
            <w:tcBorders>
              <w:top w:val="single" w:sz="4" w:space="0" w:color="auto"/>
              <w:left w:val="nil"/>
              <w:bottom w:val="single" w:sz="4" w:space="0" w:color="auto"/>
              <w:right w:val="single" w:sz="4" w:space="0" w:color="auto"/>
            </w:tcBorders>
            <w:shd w:val="clear" w:color="auto" w:fill="auto"/>
            <w:noWrap/>
            <w:vAlign w:val="center"/>
          </w:tcPr>
          <w:p w14:paraId="11C37992" w14:textId="77777777" w:rsidR="003A2D79" w:rsidRPr="00F23101" w:rsidRDefault="003A2D79" w:rsidP="003A2D79">
            <w:pPr>
              <w:widowControl w:val="0"/>
              <w:jc w:val="right"/>
              <w:rPr>
                <w:rFonts w:ascii="Arial Narrow" w:hAnsi="Arial Narrow"/>
                <w:sz w:val="20"/>
                <w:szCs w:val="20"/>
                <w:lang w:eastAsia="bg-BG"/>
              </w:rPr>
            </w:pPr>
            <w:r w:rsidRPr="00F23101">
              <w:rPr>
                <w:rFonts w:ascii="Arial Narrow" w:hAnsi="Arial Narrow"/>
                <w:sz w:val="20"/>
                <w:szCs w:val="20"/>
                <w:lang w:eastAsia="bg-BG"/>
              </w:rPr>
              <w:t>с</w:t>
            </w:r>
          </w:p>
        </w:tc>
        <w:tc>
          <w:tcPr>
            <w:tcW w:w="575" w:type="pct"/>
            <w:tcBorders>
              <w:top w:val="single" w:sz="4" w:space="0" w:color="auto"/>
              <w:left w:val="nil"/>
              <w:bottom w:val="single" w:sz="4" w:space="0" w:color="auto"/>
              <w:right w:val="single" w:sz="4" w:space="0" w:color="auto"/>
            </w:tcBorders>
            <w:shd w:val="clear" w:color="auto" w:fill="auto"/>
            <w:noWrap/>
            <w:vAlign w:val="center"/>
          </w:tcPr>
          <w:p w14:paraId="131B991B" w14:textId="77777777" w:rsidR="003A2D79" w:rsidRPr="00F23101" w:rsidRDefault="003A2D79" w:rsidP="003A2D79">
            <w:pPr>
              <w:widowControl w:val="0"/>
              <w:jc w:val="right"/>
              <w:rPr>
                <w:rFonts w:ascii="Arial Narrow" w:hAnsi="Arial Narrow"/>
                <w:sz w:val="20"/>
                <w:szCs w:val="20"/>
                <w:lang w:eastAsia="bg-BG"/>
              </w:rPr>
            </w:pPr>
            <w:r w:rsidRPr="00F23101">
              <w:rPr>
                <w:rFonts w:ascii="Arial Narrow" w:hAnsi="Arial Narrow"/>
                <w:sz w:val="20"/>
                <w:szCs w:val="20"/>
                <w:lang w:eastAsia="bg-BG"/>
              </w:rPr>
              <w:t>769,5</w:t>
            </w:r>
          </w:p>
        </w:tc>
        <w:tc>
          <w:tcPr>
            <w:tcW w:w="575" w:type="pct"/>
            <w:tcBorders>
              <w:top w:val="single" w:sz="4" w:space="0" w:color="auto"/>
              <w:left w:val="nil"/>
              <w:bottom w:val="single" w:sz="4" w:space="0" w:color="auto"/>
              <w:right w:val="single" w:sz="4" w:space="0" w:color="auto"/>
            </w:tcBorders>
            <w:shd w:val="clear" w:color="auto" w:fill="auto"/>
            <w:noWrap/>
            <w:vAlign w:val="center"/>
          </w:tcPr>
          <w:p w14:paraId="24CD5162" w14:textId="77777777" w:rsidR="003A2D79" w:rsidRPr="00F23101" w:rsidRDefault="003A2D79" w:rsidP="003A2D79">
            <w:pPr>
              <w:widowControl w:val="0"/>
              <w:jc w:val="right"/>
              <w:rPr>
                <w:rFonts w:ascii="Arial Narrow" w:hAnsi="Arial Narrow"/>
                <w:sz w:val="20"/>
                <w:szCs w:val="20"/>
                <w:lang w:eastAsia="bg-BG"/>
              </w:rPr>
            </w:pPr>
            <w:r w:rsidRPr="00F23101">
              <w:rPr>
                <w:rFonts w:ascii="Arial Narrow" w:hAnsi="Arial Narrow"/>
                <w:sz w:val="20"/>
                <w:szCs w:val="20"/>
                <w:lang w:eastAsia="bg-BG"/>
              </w:rPr>
              <w:t>1,6</w:t>
            </w:r>
          </w:p>
        </w:tc>
        <w:tc>
          <w:tcPr>
            <w:tcW w:w="575" w:type="pct"/>
            <w:tcBorders>
              <w:top w:val="single" w:sz="4" w:space="0" w:color="auto"/>
              <w:left w:val="nil"/>
              <w:bottom w:val="single" w:sz="4" w:space="0" w:color="auto"/>
              <w:right w:val="single" w:sz="4" w:space="0" w:color="auto"/>
            </w:tcBorders>
            <w:shd w:val="clear" w:color="auto" w:fill="auto"/>
            <w:noWrap/>
            <w:vAlign w:val="center"/>
          </w:tcPr>
          <w:p w14:paraId="73B7E333" w14:textId="77777777" w:rsidR="003A2D79" w:rsidRPr="00F23101" w:rsidRDefault="003A2D79" w:rsidP="003A2D79">
            <w:pPr>
              <w:widowControl w:val="0"/>
              <w:jc w:val="right"/>
              <w:rPr>
                <w:rFonts w:ascii="Arial Narrow" w:hAnsi="Arial Narrow"/>
                <w:sz w:val="20"/>
                <w:szCs w:val="20"/>
                <w:lang w:eastAsia="bg-BG"/>
              </w:rPr>
            </w:pPr>
            <w:r w:rsidRPr="00F23101">
              <w:rPr>
                <w:rFonts w:ascii="Arial Narrow" w:hAnsi="Arial Narrow"/>
                <w:sz w:val="20"/>
                <w:szCs w:val="20"/>
                <w:lang w:eastAsia="bg-BG"/>
              </w:rPr>
              <w:t>115,0</w:t>
            </w:r>
          </w:p>
        </w:tc>
        <w:tc>
          <w:tcPr>
            <w:tcW w:w="352" w:type="pct"/>
            <w:tcBorders>
              <w:top w:val="single" w:sz="4" w:space="0" w:color="auto"/>
              <w:left w:val="nil"/>
              <w:bottom w:val="single" w:sz="4" w:space="0" w:color="auto"/>
              <w:right w:val="single" w:sz="4" w:space="0" w:color="auto"/>
            </w:tcBorders>
            <w:shd w:val="clear" w:color="auto" w:fill="auto"/>
            <w:noWrap/>
            <w:vAlign w:val="center"/>
          </w:tcPr>
          <w:p w14:paraId="709417E8" w14:textId="77777777" w:rsidR="003A2D79" w:rsidRPr="00F23101" w:rsidRDefault="003A2D79" w:rsidP="003A2D79">
            <w:pPr>
              <w:widowControl w:val="0"/>
              <w:jc w:val="right"/>
              <w:rPr>
                <w:rFonts w:ascii="Arial Narrow" w:hAnsi="Arial Narrow"/>
                <w:sz w:val="20"/>
                <w:szCs w:val="20"/>
                <w:lang w:eastAsia="bg-BG"/>
              </w:rPr>
            </w:pPr>
            <w:r w:rsidRPr="00F23101">
              <w:rPr>
                <w:rFonts w:ascii="Arial Narrow" w:hAnsi="Arial Narrow"/>
                <w:sz w:val="20"/>
                <w:szCs w:val="20"/>
                <w:lang w:eastAsia="bg-BG"/>
              </w:rPr>
              <w:t>2,0</w:t>
            </w:r>
          </w:p>
        </w:tc>
        <w:tc>
          <w:tcPr>
            <w:tcW w:w="399" w:type="pct"/>
            <w:tcBorders>
              <w:top w:val="single" w:sz="4" w:space="0" w:color="auto"/>
              <w:left w:val="nil"/>
              <w:bottom w:val="single" w:sz="4" w:space="0" w:color="auto"/>
              <w:right w:val="single" w:sz="4" w:space="0" w:color="auto"/>
            </w:tcBorders>
            <w:shd w:val="clear" w:color="auto" w:fill="auto"/>
            <w:noWrap/>
            <w:vAlign w:val="center"/>
          </w:tcPr>
          <w:p w14:paraId="7C660D33" w14:textId="77777777" w:rsidR="003A2D79" w:rsidRPr="00F23101" w:rsidRDefault="003A2D79" w:rsidP="003A2D79">
            <w:pPr>
              <w:widowControl w:val="0"/>
              <w:jc w:val="right"/>
              <w:rPr>
                <w:rFonts w:ascii="Arial Narrow" w:hAnsi="Arial Narrow"/>
                <w:sz w:val="20"/>
                <w:szCs w:val="20"/>
                <w:lang w:eastAsia="bg-BG"/>
              </w:rPr>
            </w:pPr>
            <w:r w:rsidRPr="00F23101">
              <w:rPr>
                <w:rFonts w:ascii="Arial Narrow" w:hAnsi="Arial Narrow"/>
                <w:sz w:val="20"/>
                <w:szCs w:val="20"/>
                <w:lang w:eastAsia="bg-BG"/>
              </w:rPr>
              <w:t>888,1</w:t>
            </w:r>
          </w:p>
        </w:tc>
        <w:tc>
          <w:tcPr>
            <w:tcW w:w="529" w:type="pct"/>
            <w:tcBorders>
              <w:top w:val="single" w:sz="4" w:space="0" w:color="auto"/>
              <w:left w:val="nil"/>
              <w:bottom w:val="single" w:sz="4" w:space="0" w:color="auto"/>
              <w:right w:val="single" w:sz="4" w:space="0" w:color="auto"/>
            </w:tcBorders>
            <w:shd w:val="clear" w:color="auto" w:fill="auto"/>
            <w:noWrap/>
            <w:vAlign w:val="center"/>
          </w:tcPr>
          <w:p w14:paraId="72154959" w14:textId="77777777" w:rsidR="003A2D79" w:rsidRPr="00F23101" w:rsidRDefault="003A2D79" w:rsidP="003A2D79">
            <w:pPr>
              <w:widowControl w:val="0"/>
              <w:jc w:val="right"/>
              <w:rPr>
                <w:rFonts w:ascii="Arial Narrow" w:hAnsi="Arial Narrow"/>
                <w:sz w:val="20"/>
                <w:szCs w:val="20"/>
                <w:lang w:eastAsia="bg-BG"/>
              </w:rPr>
            </w:pPr>
            <w:r w:rsidRPr="00F23101">
              <w:rPr>
                <w:rFonts w:ascii="Arial Narrow" w:hAnsi="Arial Narrow"/>
                <w:sz w:val="20"/>
                <w:szCs w:val="20"/>
                <w:lang w:eastAsia="bg-BG"/>
              </w:rPr>
              <w:t>-47,1%</w:t>
            </w:r>
          </w:p>
        </w:tc>
      </w:tr>
      <w:tr w:rsidR="003A2D79" w:rsidRPr="00F23101" w14:paraId="14427723" w14:textId="77777777" w:rsidTr="004314BC">
        <w:trPr>
          <w:trHeight w:val="340"/>
          <w:jc w:val="center"/>
        </w:trPr>
        <w:tc>
          <w:tcPr>
            <w:tcW w:w="969" w:type="pct"/>
            <w:noWrap/>
            <w:vAlign w:val="center"/>
          </w:tcPr>
          <w:p w14:paraId="19859163" w14:textId="77777777" w:rsidR="003A2D79" w:rsidRPr="00F23101" w:rsidRDefault="003A2D79" w:rsidP="003A2D79">
            <w:pPr>
              <w:widowControl w:val="0"/>
              <w:rPr>
                <w:rFonts w:ascii="Arial Narrow" w:hAnsi="Arial Narrow"/>
                <w:sz w:val="20"/>
                <w:szCs w:val="20"/>
                <w:lang w:eastAsia="bg-BG"/>
              </w:rPr>
            </w:pPr>
            <w:r w:rsidRPr="00F23101">
              <w:rPr>
                <w:rFonts w:ascii="Arial Narrow" w:hAnsi="Arial Narrow"/>
                <w:sz w:val="20"/>
                <w:szCs w:val="20"/>
                <w:lang w:eastAsia="bg-BG"/>
              </w:rPr>
              <w:t>Северен централен</w:t>
            </w:r>
          </w:p>
        </w:tc>
        <w:tc>
          <w:tcPr>
            <w:tcW w:w="634" w:type="pct"/>
            <w:tcBorders>
              <w:top w:val="nil"/>
              <w:left w:val="single" w:sz="4" w:space="0" w:color="auto"/>
              <w:bottom w:val="single" w:sz="4" w:space="0" w:color="auto"/>
              <w:right w:val="single" w:sz="4" w:space="0" w:color="auto"/>
            </w:tcBorders>
            <w:shd w:val="clear" w:color="auto" w:fill="auto"/>
            <w:noWrap/>
            <w:vAlign w:val="center"/>
          </w:tcPr>
          <w:p w14:paraId="34273ADD" w14:textId="77777777" w:rsidR="003A2D79" w:rsidRPr="00F23101" w:rsidRDefault="003A2D79" w:rsidP="003A2D79">
            <w:pPr>
              <w:widowControl w:val="0"/>
              <w:jc w:val="right"/>
              <w:rPr>
                <w:rFonts w:ascii="Arial Narrow" w:hAnsi="Arial Narrow"/>
                <w:sz w:val="20"/>
                <w:szCs w:val="20"/>
                <w:lang w:eastAsia="bg-BG"/>
              </w:rPr>
            </w:pPr>
            <w:r w:rsidRPr="00F23101">
              <w:rPr>
                <w:rFonts w:ascii="Arial Narrow" w:hAnsi="Arial Narrow"/>
                <w:sz w:val="20"/>
                <w:szCs w:val="20"/>
                <w:lang w:eastAsia="bg-BG"/>
              </w:rPr>
              <w:t>2 219,6</w:t>
            </w:r>
          </w:p>
        </w:tc>
        <w:tc>
          <w:tcPr>
            <w:tcW w:w="394" w:type="pct"/>
            <w:tcBorders>
              <w:top w:val="nil"/>
              <w:left w:val="nil"/>
              <w:bottom w:val="single" w:sz="4" w:space="0" w:color="auto"/>
              <w:right w:val="single" w:sz="4" w:space="0" w:color="auto"/>
            </w:tcBorders>
            <w:shd w:val="clear" w:color="auto" w:fill="auto"/>
            <w:noWrap/>
            <w:vAlign w:val="center"/>
          </w:tcPr>
          <w:p w14:paraId="6009F717" w14:textId="77777777" w:rsidR="003A2D79" w:rsidRPr="00F23101" w:rsidRDefault="003A2D79" w:rsidP="003A2D79">
            <w:pPr>
              <w:widowControl w:val="0"/>
              <w:jc w:val="right"/>
              <w:rPr>
                <w:rFonts w:ascii="Arial Narrow" w:hAnsi="Arial Narrow"/>
                <w:sz w:val="20"/>
                <w:szCs w:val="20"/>
                <w:lang w:eastAsia="bg-BG"/>
              </w:rPr>
            </w:pPr>
            <w:r w:rsidRPr="00F23101">
              <w:rPr>
                <w:rFonts w:ascii="Arial Narrow" w:hAnsi="Arial Narrow"/>
                <w:sz w:val="20"/>
                <w:szCs w:val="20"/>
                <w:lang w:eastAsia="bg-BG"/>
              </w:rPr>
              <w:t>3 882,4</w:t>
            </w:r>
          </w:p>
        </w:tc>
        <w:tc>
          <w:tcPr>
            <w:tcW w:w="575" w:type="pct"/>
            <w:tcBorders>
              <w:top w:val="nil"/>
              <w:left w:val="nil"/>
              <w:bottom w:val="single" w:sz="4" w:space="0" w:color="auto"/>
              <w:right w:val="single" w:sz="4" w:space="0" w:color="auto"/>
            </w:tcBorders>
            <w:shd w:val="clear" w:color="auto" w:fill="auto"/>
            <w:noWrap/>
            <w:vAlign w:val="center"/>
          </w:tcPr>
          <w:p w14:paraId="79592024" w14:textId="77777777" w:rsidR="003A2D79" w:rsidRPr="00F23101" w:rsidRDefault="003A2D79" w:rsidP="003A2D79">
            <w:pPr>
              <w:widowControl w:val="0"/>
              <w:jc w:val="right"/>
              <w:rPr>
                <w:rFonts w:ascii="Arial Narrow" w:hAnsi="Arial Narrow"/>
                <w:sz w:val="20"/>
                <w:szCs w:val="20"/>
                <w:lang w:eastAsia="bg-BG"/>
              </w:rPr>
            </w:pPr>
            <w:r w:rsidRPr="00F23101">
              <w:rPr>
                <w:rFonts w:ascii="Arial Narrow" w:hAnsi="Arial Narrow"/>
                <w:sz w:val="20"/>
                <w:szCs w:val="20"/>
                <w:lang w:eastAsia="bg-BG"/>
              </w:rPr>
              <w:t>6 102,0</w:t>
            </w:r>
          </w:p>
        </w:tc>
        <w:tc>
          <w:tcPr>
            <w:tcW w:w="575" w:type="pct"/>
            <w:tcBorders>
              <w:top w:val="nil"/>
              <w:left w:val="nil"/>
              <w:bottom w:val="single" w:sz="4" w:space="0" w:color="auto"/>
              <w:right w:val="single" w:sz="4" w:space="0" w:color="auto"/>
            </w:tcBorders>
            <w:shd w:val="clear" w:color="auto" w:fill="auto"/>
            <w:noWrap/>
            <w:vAlign w:val="center"/>
          </w:tcPr>
          <w:p w14:paraId="6B330FC5" w14:textId="77777777" w:rsidR="003A2D79" w:rsidRPr="00F23101" w:rsidRDefault="003A2D79" w:rsidP="003A2D79">
            <w:pPr>
              <w:widowControl w:val="0"/>
              <w:jc w:val="right"/>
              <w:rPr>
                <w:rFonts w:ascii="Arial Narrow" w:hAnsi="Arial Narrow"/>
                <w:sz w:val="20"/>
                <w:szCs w:val="20"/>
                <w:lang w:eastAsia="bg-BG"/>
              </w:rPr>
            </w:pPr>
            <w:r w:rsidRPr="00F23101">
              <w:rPr>
                <w:rFonts w:ascii="Arial Narrow" w:hAnsi="Arial Narrow"/>
                <w:sz w:val="20"/>
                <w:szCs w:val="20"/>
                <w:lang w:eastAsia="bg-BG"/>
              </w:rPr>
              <w:t>0,2</w:t>
            </w:r>
          </w:p>
        </w:tc>
        <w:tc>
          <w:tcPr>
            <w:tcW w:w="575" w:type="pct"/>
            <w:tcBorders>
              <w:top w:val="nil"/>
              <w:left w:val="nil"/>
              <w:bottom w:val="single" w:sz="4" w:space="0" w:color="auto"/>
              <w:right w:val="single" w:sz="4" w:space="0" w:color="auto"/>
            </w:tcBorders>
            <w:shd w:val="clear" w:color="auto" w:fill="auto"/>
            <w:noWrap/>
            <w:vAlign w:val="center"/>
          </w:tcPr>
          <w:p w14:paraId="20F0DACD" w14:textId="77777777" w:rsidR="003A2D79" w:rsidRPr="00F23101" w:rsidRDefault="003A2D79" w:rsidP="003A2D79">
            <w:pPr>
              <w:widowControl w:val="0"/>
              <w:jc w:val="right"/>
              <w:rPr>
                <w:rFonts w:ascii="Arial Narrow" w:hAnsi="Arial Narrow"/>
                <w:sz w:val="20"/>
                <w:szCs w:val="20"/>
                <w:lang w:eastAsia="bg-BG"/>
              </w:rPr>
            </w:pPr>
            <w:r w:rsidRPr="00F23101">
              <w:rPr>
                <w:rFonts w:ascii="Arial Narrow" w:hAnsi="Arial Narrow"/>
                <w:sz w:val="20"/>
                <w:szCs w:val="20"/>
                <w:lang w:eastAsia="bg-BG"/>
              </w:rPr>
              <w:t>123,4</w:t>
            </w:r>
          </w:p>
        </w:tc>
        <w:tc>
          <w:tcPr>
            <w:tcW w:w="352" w:type="pct"/>
            <w:tcBorders>
              <w:top w:val="nil"/>
              <w:left w:val="nil"/>
              <w:bottom w:val="single" w:sz="4" w:space="0" w:color="auto"/>
              <w:right w:val="single" w:sz="4" w:space="0" w:color="auto"/>
            </w:tcBorders>
            <w:shd w:val="clear" w:color="auto" w:fill="auto"/>
            <w:noWrap/>
            <w:vAlign w:val="center"/>
          </w:tcPr>
          <w:p w14:paraId="5306A30B" w14:textId="77777777" w:rsidR="003A2D79" w:rsidRPr="00F23101" w:rsidRDefault="003A2D79" w:rsidP="003A2D79">
            <w:pPr>
              <w:widowControl w:val="0"/>
              <w:jc w:val="right"/>
              <w:rPr>
                <w:rFonts w:ascii="Arial Narrow" w:hAnsi="Arial Narrow"/>
                <w:sz w:val="20"/>
                <w:szCs w:val="20"/>
                <w:lang w:eastAsia="bg-BG"/>
              </w:rPr>
            </w:pPr>
            <w:r w:rsidRPr="00F23101">
              <w:rPr>
                <w:rFonts w:ascii="Arial Narrow" w:hAnsi="Arial Narrow"/>
                <w:sz w:val="20"/>
                <w:szCs w:val="20"/>
                <w:lang w:eastAsia="bg-BG"/>
              </w:rPr>
              <w:t>1,1</w:t>
            </w:r>
          </w:p>
        </w:tc>
        <w:tc>
          <w:tcPr>
            <w:tcW w:w="399" w:type="pct"/>
            <w:tcBorders>
              <w:top w:val="nil"/>
              <w:left w:val="nil"/>
              <w:bottom w:val="single" w:sz="4" w:space="0" w:color="auto"/>
              <w:right w:val="single" w:sz="4" w:space="0" w:color="auto"/>
            </w:tcBorders>
            <w:shd w:val="clear" w:color="auto" w:fill="auto"/>
            <w:noWrap/>
            <w:vAlign w:val="center"/>
          </w:tcPr>
          <w:p w14:paraId="40A9BC28" w14:textId="77777777" w:rsidR="003A2D79" w:rsidRPr="00F23101" w:rsidRDefault="003A2D79" w:rsidP="003A2D79">
            <w:pPr>
              <w:widowControl w:val="0"/>
              <w:jc w:val="right"/>
              <w:rPr>
                <w:rFonts w:ascii="Arial Narrow" w:hAnsi="Arial Narrow"/>
                <w:sz w:val="20"/>
                <w:szCs w:val="20"/>
                <w:lang w:eastAsia="bg-BG"/>
              </w:rPr>
            </w:pPr>
            <w:r w:rsidRPr="00F23101">
              <w:rPr>
                <w:rFonts w:ascii="Arial Narrow" w:hAnsi="Arial Narrow"/>
                <w:sz w:val="20"/>
                <w:szCs w:val="20"/>
                <w:lang w:eastAsia="bg-BG"/>
              </w:rPr>
              <w:t>6 266,7</w:t>
            </w:r>
          </w:p>
        </w:tc>
        <w:tc>
          <w:tcPr>
            <w:tcW w:w="529" w:type="pct"/>
            <w:tcBorders>
              <w:top w:val="nil"/>
              <w:left w:val="nil"/>
              <w:bottom w:val="single" w:sz="4" w:space="0" w:color="auto"/>
              <w:right w:val="single" w:sz="4" w:space="0" w:color="auto"/>
            </w:tcBorders>
            <w:shd w:val="clear" w:color="auto" w:fill="auto"/>
            <w:noWrap/>
            <w:vAlign w:val="center"/>
          </w:tcPr>
          <w:p w14:paraId="4AA4183B" w14:textId="77777777" w:rsidR="003A2D79" w:rsidRPr="00F23101" w:rsidRDefault="003A2D79" w:rsidP="003A2D79">
            <w:pPr>
              <w:widowControl w:val="0"/>
              <w:jc w:val="right"/>
              <w:rPr>
                <w:rFonts w:ascii="Arial Narrow" w:hAnsi="Arial Narrow"/>
                <w:sz w:val="20"/>
                <w:szCs w:val="20"/>
                <w:lang w:eastAsia="bg-BG"/>
              </w:rPr>
            </w:pPr>
            <w:r w:rsidRPr="00F23101">
              <w:rPr>
                <w:rFonts w:ascii="Arial Narrow" w:hAnsi="Arial Narrow"/>
                <w:sz w:val="20"/>
                <w:szCs w:val="20"/>
                <w:lang w:eastAsia="bg-BG"/>
              </w:rPr>
              <w:t>29,1%</w:t>
            </w:r>
          </w:p>
        </w:tc>
      </w:tr>
      <w:tr w:rsidR="003A2D79" w:rsidRPr="00F23101" w14:paraId="15793CB0" w14:textId="77777777" w:rsidTr="004314BC">
        <w:trPr>
          <w:trHeight w:val="340"/>
          <w:jc w:val="center"/>
        </w:trPr>
        <w:tc>
          <w:tcPr>
            <w:tcW w:w="969" w:type="pct"/>
            <w:noWrap/>
            <w:vAlign w:val="center"/>
          </w:tcPr>
          <w:p w14:paraId="54E13C2D" w14:textId="77777777" w:rsidR="003A2D79" w:rsidRPr="00F23101" w:rsidRDefault="003A2D79" w:rsidP="003A2D79">
            <w:pPr>
              <w:widowControl w:val="0"/>
              <w:rPr>
                <w:rFonts w:ascii="Arial Narrow" w:hAnsi="Arial Narrow"/>
                <w:sz w:val="20"/>
                <w:szCs w:val="20"/>
                <w:lang w:eastAsia="bg-BG"/>
              </w:rPr>
            </w:pPr>
            <w:r w:rsidRPr="00F23101">
              <w:rPr>
                <w:rFonts w:ascii="Arial Narrow" w:hAnsi="Arial Narrow"/>
                <w:sz w:val="20"/>
                <w:szCs w:val="20"/>
                <w:lang w:eastAsia="bg-BG"/>
              </w:rPr>
              <w:t>Североизточен</w:t>
            </w:r>
          </w:p>
        </w:tc>
        <w:tc>
          <w:tcPr>
            <w:tcW w:w="634" w:type="pct"/>
            <w:tcBorders>
              <w:top w:val="nil"/>
              <w:left w:val="single" w:sz="4" w:space="0" w:color="auto"/>
              <w:bottom w:val="single" w:sz="4" w:space="0" w:color="auto"/>
              <w:right w:val="single" w:sz="4" w:space="0" w:color="auto"/>
            </w:tcBorders>
            <w:shd w:val="clear" w:color="auto" w:fill="auto"/>
            <w:noWrap/>
            <w:vAlign w:val="center"/>
          </w:tcPr>
          <w:p w14:paraId="5FCE689B" w14:textId="77777777" w:rsidR="003A2D79" w:rsidRPr="00F23101" w:rsidRDefault="003A2D79" w:rsidP="003A2D79">
            <w:pPr>
              <w:widowControl w:val="0"/>
              <w:jc w:val="right"/>
              <w:rPr>
                <w:rFonts w:ascii="Arial Narrow" w:hAnsi="Arial Narrow"/>
                <w:sz w:val="20"/>
                <w:szCs w:val="20"/>
                <w:lang w:eastAsia="bg-BG"/>
              </w:rPr>
            </w:pPr>
            <w:r w:rsidRPr="00F23101">
              <w:rPr>
                <w:rFonts w:ascii="Arial Narrow" w:hAnsi="Arial Narrow"/>
                <w:sz w:val="20"/>
                <w:szCs w:val="20"/>
                <w:lang w:eastAsia="bg-BG"/>
              </w:rPr>
              <w:t>1 686,8</w:t>
            </w:r>
          </w:p>
        </w:tc>
        <w:tc>
          <w:tcPr>
            <w:tcW w:w="394" w:type="pct"/>
            <w:tcBorders>
              <w:top w:val="nil"/>
              <w:left w:val="nil"/>
              <w:bottom w:val="single" w:sz="4" w:space="0" w:color="auto"/>
              <w:right w:val="single" w:sz="4" w:space="0" w:color="auto"/>
            </w:tcBorders>
            <w:shd w:val="clear" w:color="auto" w:fill="auto"/>
            <w:noWrap/>
            <w:vAlign w:val="center"/>
          </w:tcPr>
          <w:p w14:paraId="0C8FEF7C" w14:textId="77777777" w:rsidR="003A2D79" w:rsidRPr="00F23101" w:rsidRDefault="003A2D79" w:rsidP="003A2D79">
            <w:pPr>
              <w:widowControl w:val="0"/>
              <w:jc w:val="right"/>
              <w:rPr>
                <w:rFonts w:ascii="Arial Narrow" w:hAnsi="Arial Narrow"/>
                <w:sz w:val="20"/>
                <w:szCs w:val="20"/>
                <w:lang w:eastAsia="bg-BG"/>
              </w:rPr>
            </w:pPr>
            <w:r w:rsidRPr="00F23101">
              <w:rPr>
                <w:rFonts w:ascii="Arial Narrow" w:hAnsi="Arial Narrow"/>
                <w:sz w:val="20"/>
                <w:szCs w:val="20"/>
                <w:lang w:eastAsia="bg-BG"/>
              </w:rPr>
              <w:t>1 220,0</w:t>
            </w:r>
          </w:p>
        </w:tc>
        <w:tc>
          <w:tcPr>
            <w:tcW w:w="575" w:type="pct"/>
            <w:tcBorders>
              <w:top w:val="nil"/>
              <w:left w:val="nil"/>
              <w:bottom w:val="single" w:sz="4" w:space="0" w:color="auto"/>
              <w:right w:val="single" w:sz="4" w:space="0" w:color="auto"/>
            </w:tcBorders>
            <w:shd w:val="clear" w:color="auto" w:fill="auto"/>
            <w:noWrap/>
            <w:vAlign w:val="center"/>
          </w:tcPr>
          <w:p w14:paraId="08E30E1D" w14:textId="77777777" w:rsidR="003A2D79" w:rsidRPr="00F23101" w:rsidRDefault="003A2D79" w:rsidP="003A2D79">
            <w:pPr>
              <w:widowControl w:val="0"/>
              <w:jc w:val="right"/>
              <w:rPr>
                <w:rFonts w:ascii="Arial Narrow" w:hAnsi="Arial Narrow"/>
                <w:sz w:val="20"/>
                <w:szCs w:val="20"/>
                <w:lang w:eastAsia="bg-BG"/>
              </w:rPr>
            </w:pPr>
            <w:r w:rsidRPr="00F23101">
              <w:rPr>
                <w:rFonts w:ascii="Arial Narrow" w:hAnsi="Arial Narrow"/>
                <w:sz w:val="20"/>
                <w:szCs w:val="20"/>
                <w:lang w:eastAsia="bg-BG"/>
              </w:rPr>
              <w:t>2 906,8</w:t>
            </w:r>
          </w:p>
        </w:tc>
        <w:tc>
          <w:tcPr>
            <w:tcW w:w="575" w:type="pct"/>
            <w:tcBorders>
              <w:top w:val="nil"/>
              <w:left w:val="nil"/>
              <w:bottom w:val="single" w:sz="4" w:space="0" w:color="auto"/>
              <w:right w:val="single" w:sz="4" w:space="0" w:color="auto"/>
            </w:tcBorders>
            <w:shd w:val="clear" w:color="auto" w:fill="auto"/>
            <w:noWrap/>
            <w:vAlign w:val="center"/>
          </w:tcPr>
          <w:p w14:paraId="09A12C81" w14:textId="77777777" w:rsidR="003A2D79" w:rsidRPr="00F23101" w:rsidRDefault="003A2D79" w:rsidP="003A2D79">
            <w:pPr>
              <w:widowControl w:val="0"/>
              <w:jc w:val="right"/>
              <w:rPr>
                <w:rFonts w:ascii="Arial Narrow" w:hAnsi="Arial Narrow"/>
                <w:sz w:val="20"/>
                <w:szCs w:val="20"/>
                <w:lang w:eastAsia="bg-BG"/>
              </w:rPr>
            </w:pPr>
            <w:r w:rsidRPr="00F23101">
              <w:rPr>
                <w:rFonts w:ascii="Arial Narrow" w:hAnsi="Arial Narrow"/>
                <w:sz w:val="20"/>
                <w:szCs w:val="20"/>
                <w:lang w:eastAsia="bg-BG"/>
              </w:rPr>
              <w:t>0,7</w:t>
            </w:r>
          </w:p>
        </w:tc>
        <w:tc>
          <w:tcPr>
            <w:tcW w:w="575" w:type="pct"/>
            <w:tcBorders>
              <w:top w:val="nil"/>
              <w:left w:val="nil"/>
              <w:bottom w:val="single" w:sz="4" w:space="0" w:color="auto"/>
              <w:right w:val="single" w:sz="4" w:space="0" w:color="auto"/>
            </w:tcBorders>
            <w:shd w:val="clear" w:color="auto" w:fill="auto"/>
            <w:noWrap/>
            <w:vAlign w:val="center"/>
          </w:tcPr>
          <w:p w14:paraId="07350CA9" w14:textId="77777777" w:rsidR="003A2D79" w:rsidRPr="00F23101" w:rsidRDefault="003A2D79" w:rsidP="003A2D79">
            <w:pPr>
              <w:widowControl w:val="0"/>
              <w:jc w:val="right"/>
              <w:rPr>
                <w:rFonts w:ascii="Arial Narrow" w:hAnsi="Arial Narrow"/>
                <w:sz w:val="20"/>
                <w:szCs w:val="20"/>
                <w:lang w:eastAsia="bg-BG"/>
              </w:rPr>
            </w:pPr>
            <w:r w:rsidRPr="00F23101">
              <w:rPr>
                <w:rFonts w:ascii="Arial Narrow" w:hAnsi="Arial Narrow"/>
                <w:sz w:val="20"/>
                <w:szCs w:val="20"/>
                <w:lang w:eastAsia="bg-BG"/>
              </w:rPr>
              <w:t>93,0</w:t>
            </w:r>
          </w:p>
        </w:tc>
        <w:tc>
          <w:tcPr>
            <w:tcW w:w="352" w:type="pct"/>
            <w:tcBorders>
              <w:top w:val="nil"/>
              <w:left w:val="nil"/>
              <w:bottom w:val="single" w:sz="4" w:space="0" w:color="auto"/>
              <w:right w:val="single" w:sz="4" w:space="0" w:color="auto"/>
            </w:tcBorders>
            <w:shd w:val="clear" w:color="auto" w:fill="auto"/>
            <w:noWrap/>
            <w:vAlign w:val="center"/>
          </w:tcPr>
          <w:p w14:paraId="193360ED" w14:textId="77777777" w:rsidR="003A2D79" w:rsidRPr="00F23101" w:rsidRDefault="003A2D79" w:rsidP="003A2D79">
            <w:pPr>
              <w:widowControl w:val="0"/>
              <w:jc w:val="right"/>
              <w:rPr>
                <w:rFonts w:ascii="Arial Narrow" w:hAnsi="Arial Narrow"/>
                <w:sz w:val="20"/>
                <w:szCs w:val="20"/>
                <w:lang w:eastAsia="bg-BG"/>
              </w:rPr>
            </w:pPr>
            <w:r w:rsidRPr="00F23101">
              <w:rPr>
                <w:rFonts w:ascii="Arial Narrow" w:hAnsi="Arial Narrow"/>
                <w:sz w:val="20"/>
                <w:szCs w:val="20"/>
                <w:lang w:eastAsia="bg-BG"/>
              </w:rPr>
              <w:t>1,3</w:t>
            </w:r>
          </w:p>
        </w:tc>
        <w:tc>
          <w:tcPr>
            <w:tcW w:w="399" w:type="pct"/>
            <w:tcBorders>
              <w:top w:val="nil"/>
              <w:left w:val="nil"/>
              <w:bottom w:val="single" w:sz="4" w:space="0" w:color="auto"/>
              <w:right w:val="single" w:sz="4" w:space="0" w:color="auto"/>
            </w:tcBorders>
            <w:shd w:val="clear" w:color="auto" w:fill="auto"/>
            <w:noWrap/>
            <w:vAlign w:val="center"/>
          </w:tcPr>
          <w:p w14:paraId="631A1A0B" w14:textId="77777777" w:rsidR="003A2D79" w:rsidRPr="00F23101" w:rsidRDefault="003A2D79" w:rsidP="003A2D79">
            <w:pPr>
              <w:widowControl w:val="0"/>
              <w:jc w:val="right"/>
              <w:rPr>
                <w:rFonts w:ascii="Arial Narrow" w:hAnsi="Arial Narrow"/>
                <w:sz w:val="20"/>
                <w:szCs w:val="20"/>
                <w:lang w:eastAsia="bg-BG"/>
              </w:rPr>
            </w:pPr>
            <w:r w:rsidRPr="00F23101">
              <w:rPr>
                <w:rFonts w:ascii="Arial Narrow" w:hAnsi="Arial Narrow"/>
                <w:sz w:val="20"/>
                <w:szCs w:val="20"/>
                <w:lang w:eastAsia="bg-BG"/>
              </w:rPr>
              <w:t>3 001,8</w:t>
            </w:r>
          </w:p>
        </w:tc>
        <w:tc>
          <w:tcPr>
            <w:tcW w:w="529" w:type="pct"/>
            <w:tcBorders>
              <w:top w:val="nil"/>
              <w:left w:val="nil"/>
              <w:bottom w:val="single" w:sz="4" w:space="0" w:color="auto"/>
              <w:right w:val="single" w:sz="4" w:space="0" w:color="auto"/>
            </w:tcBorders>
            <w:shd w:val="clear" w:color="auto" w:fill="auto"/>
            <w:noWrap/>
            <w:vAlign w:val="center"/>
          </w:tcPr>
          <w:p w14:paraId="7B660FCE" w14:textId="77777777" w:rsidR="003A2D79" w:rsidRPr="00F23101" w:rsidRDefault="003A2D79" w:rsidP="003A2D79">
            <w:pPr>
              <w:widowControl w:val="0"/>
              <w:jc w:val="right"/>
              <w:rPr>
                <w:rFonts w:ascii="Arial Narrow" w:hAnsi="Arial Narrow"/>
                <w:sz w:val="20"/>
                <w:szCs w:val="20"/>
                <w:lang w:eastAsia="bg-BG"/>
              </w:rPr>
            </w:pPr>
            <w:r w:rsidRPr="00F23101">
              <w:rPr>
                <w:rFonts w:ascii="Arial Narrow" w:hAnsi="Arial Narrow"/>
                <w:sz w:val="20"/>
                <w:szCs w:val="20"/>
                <w:lang w:eastAsia="bg-BG"/>
              </w:rPr>
              <w:t>-3,7%</w:t>
            </w:r>
          </w:p>
        </w:tc>
      </w:tr>
      <w:tr w:rsidR="003A2D79" w:rsidRPr="00F23101" w14:paraId="42095B08" w14:textId="77777777" w:rsidTr="004314BC">
        <w:trPr>
          <w:trHeight w:val="340"/>
          <w:jc w:val="center"/>
        </w:trPr>
        <w:tc>
          <w:tcPr>
            <w:tcW w:w="969" w:type="pct"/>
            <w:noWrap/>
            <w:vAlign w:val="center"/>
          </w:tcPr>
          <w:p w14:paraId="6719E04F" w14:textId="77777777" w:rsidR="003A2D79" w:rsidRPr="00F23101" w:rsidRDefault="003A2D79" w:rsidP="003A2D79">
            <w:pPr>
              <w:widowControl w:val="0"/>
              <w:rPr>
                <w:rFonts w:ascii="Arial Narrow" w:hAnsi="Arial Narrow"/>
                <w:sz w:val="20"/>
                <w:szCs w:val="20"/>
                <w:lang w:eastAsia="bg-BG"/>
              </w:rPr>
            </w:pPr>
            <w:r w:rsidRPr="00F23101">
              <w:rPr>
                <w:rFonts w:ascii="Arial Narrow" w:hAnsi="Arial Narrow"/>
                <w:sz w:val="20"/>
                <w:szCs w:val="20"/>
                <w:lang w:eastAsia="bg-BG"/>
              </w:rPr>
              <w:t>Югоизточен</w:t>
            </w:r>
          </w:p>
        </w:tc>
        <w:tc>
          <w:tcPr>
            <w:tcW w:w="634" w:type="pct"/>
            <w:tcBorders>
              <w:top w:val="nil"/>
              <w:left w:val="single" w:sz="4" w:space="0" w:color="auto"/>
              <w:bottom w:val="single" w:sz="4" w:space="0" w:color="auto"/>
              <w:right w:val="single" w:sz="4" w:space="0" w:color="auto"/>
            </w:tcBorders>
            <w:shd w:val="clear" w:color="auto" w:fill="auto"/>
            <w:noWrap/>
            <w:vAlign w:val="center"/>
          </w:tcPr>
          <w:p w14:paraId="66BF35A0" w14:textId="77777777" w:rsidR="003A2D79" w:rsidRPr="00F23101" w:rsidRDefault="003A2D79" w:rsidP="003A2D79">
            <w:pPr>
              <w:widowControl w:val="0"/>
              <w:jc w:val="right"/>
              <w:rPr>
                <w:rFonts w:ascii="Arial Narrow" w:hAnsi="Arial Narrow"/>
                <w:sz w:val="20"/>
                <w:szCs w:val="20"/>
                <w:lang w:eastAsia="bg-BG"/>
              </w:rPr>
            </w:pPr>
            <w:r w:rsidRPr="00F23101">
              <w:rPr>
                <w:rFonts w:ascii="Arial Narrow" w:hAnsi="Arial Narrow"/>
                <w:sz w:val="20"/>
                <w:szCs w:val="20"/>
                <w:lang w:eastAsia="bg-BG"/>
              </w:rPr>
              <w:t>с</w:t>
            </w:r>
          </w:p>
        </w:tc>
        <w:tc>
          <w:tcPr>
            <w:tcW w:w="394" w:type="pct"/>
            <w:tcBorders>
              <w:top w:val="nil"/>
              <w:left w:val="nil"/>
              <w:bottom w:val="single" w:sz="4" w:space="0" w:color="auto"/>
              <w:right w:val="single" w:sz="4" w:space="0" w:color="auto"/>
            </w:tcBorders>
            <w:shd w:val="clear" w:color="auto" w:fill="auto"/>
            <w:noWrap/>
            <w:vAlign w:val="center"/>
          </w:tcPr>
          <w:p w14:paraId="50792FCA" w14:textId="77777777" w:rsidR="003A2D79" w:rsidRPr="00F23101" w:rsidRDefault="003A2D79" w:rsidP="003A2D79">
            <w:pPr>
              <w:widowControl w:val="0"/>
              <w:jc w:val="right"/>
              <w:rPr>
                <w:rFonts w:ascii="Arial Narrow" w:hAnsi="Arial Narrow"/>
                <w:sz w:val="20"/>
                <w:szCs w:val="20"/>
                <w:lang w:eastAsia="bg-BG"/>
              </w:rPr>
            </w:pPr>
            <w:r w:rsidRPr="00F23101">
              <w:rPr>
                <w:rFonts w:ascii="Arial Narrow" w:hAnsi="Arial Narrow"/>
                <w:sz w:val="20"/>
                <w:szCs w:val="20"/>
                <w:lang w:eastAsia="bg-BG"/>
              </w:rPr>
              <w:t>с</w:t>
            </w:r>
          </w:p>
        </w:tc>
        <w:tc>
          <w:tcPr>
            <w:tcW w:w="575" w:type="pct"/>
            <w:tcBorders>
              <w:top w:val="nil"/>
              <w:left w:val="nil"/>
              <w:bottom w:val="single" w:sz="4" w:space="0" w:color="auto"/>
              <w:right w:val="single" w:sz="4" w:space="0" w:color="auto"/>
            </w:tcBorders>
            <w:shd w:val="clear" w:color="auto" w:fill="auto"/>
            <w:noWrap/>
            <w:vAlign w:val="center"/>
          </w:tcPr>
          <w:p w14:paraId="542B2B1A" w14:textId="77777777" w:rsidR="003A2D79" w:rsidRPr="00F23101" w:rsidRDefault="003A2D79" w:rsidP="003A2D79">
            <w:pPr>
              <w:widowControl w:val="0"/>
              <w:jc w:val="right"/>
              <w:rPr>
                <w:rFonts w:ascii="Arial Narrow" w:hAnsi="Arial Narrow"/>
                <w:sz w:val="20"/>
                <w:szCs w:val="20"/>
                <w:lang w:eastAsia="bg-BG"/>
              </w:rPr>
            </w:pPr>
            <w:r w:rsidRPr="00F23101">
              <w:rPr>
                <w:rFonts w:ascii="Arial Narrow" w:hAnsi="Arial Narrow"/>
                <w:sz w:val="20"/>
                <w:szCs w:val="20"/>
                <w:lang w:eastAsia="bg-BG"/>
              </w:rPr>
              <w:t>970,3</w:t>
            </w:r>
          </w:p>
        </w:tc>
        <w:tc>
          <w:tcPr>
            <w:tcW w:w="575" w:type="pct"/>
            <w:tcBorders>
              <w:top w:val="nil"/>
              <w:left w:val="nil"/>
              <w:bottom w:val="single" w:sz="4" w:space="0" w:color="auto"/>
              <w:right w:val="single" w:sz="4" w:space="0" w:color="auto"/>
            </w:tcBorders>
            <w:shd w:val="clear" w:color="auto" w:fill="auto"/>
            <w:noWrap/>
            <w:vAlign w:val="center"/>
          </w:tcPr>
          <w:p w14:paraId="172172AB" w14:textId="77777777" w:rsidR="003A2D79" w:rsidRPr="00F23101" w:rsidRDefault="003A2D79" w:rsidP="003A2D79">
            <w:pPr>
              <w:widowControl w:val="0"/>
              <w:jc w:val="right"/>
              <w:rPr>
                <w:rFonts w:ascii="Arial Narrow" w:hAnsi="Arial Narrow"/>
                <w:sz w:val="20"/>
                <w:szCs w:val="20"/>
                <w:lang w:eastAsia="bg-BG"/>
              </w:rPr>
            </w:pPr>
            <w:r w:rsidRPr="00F23101">
              <w:rPr>
                <w:rFonts w:ascii="Arial Narrow" w:hAnsi="Arial Narrow"/>
                <w:sz w:val="20"/>
                <w:szCs w:val="20"/>
                <w:lang w:eastAsia="bg-BG"/>
              </w:rPr>
              <w:t>1,2</w:t>
            </w:r>
          </w:p>
        </w:tc>
        <w:tc>
          <w:tcPr>
            <w:tcW w:w="575" w:type="pct"/>
            <w:tcBorders>
              <w:top w:val="nil"/>
              <w:left w:val="nil"/>
              <w:bottom w:val="single" w:sz="4" w:space="0" w:color="auto"/>
              <w:right w:val="single" w:sz="4" w:space="0" w:color="auto"/>
            </w:tcBorders>
            <w:shd w:val="clear" w:color="auto" w:fill="auto"/>
            <w:noWrap/>
            <w:vAlign w:val="center"/>
          </w:tcPr>
          <w:p w14:paraId="7938C503" w14:textId="77777777" w:rsidR="003A2D79" w:rsidRPr="00F23101" w:rsidRDefault="003A2D79" w:rsidP="003A2D79">
            <w:pPr>
              <w:widowControl w:val="0"/>
              <w:jc w:val="right"/>
              <w:rPr>
                <w:rFonts w:ascii="Arial Narrow" w:hAnsi="Arial Narrow"/>
                <w:sz w:val="20"/>
                <w:szCs w:val="20"/>
                <w:lang w:eastAsia="bg-BG"/>
              </w:rPr>
            </w:pPr>
            <w:r w:rsidRPr="00F23101">
              <w:rPr>
                <w:rFonts w:ascii="Arial Narrow" w:hAnsi="Arial Narrow"/>
                <w:sz w:val="20"/>
                <w:szCs w:val="20"/>
                <w:lang w:eastAsia="bg-BG"/>
              </w:rPr>
              <w:t>299,3</w:t>
            </w:r>
          </w:p>
        </w:tc>
        <w:tc>
          <w:tcPr>
            <w:tcW w:w="352" w:type="pct"/>
            <w:tcBorders>
              <w:top w:val="nil"/>
              <w:left w:val="nil"/>
              <w:bottom w:val="single" w:sz="4" w:space="0" w:color="auto"/>
              <w:right w:val="single" w:sz="4" w:space="0" w:color="auto"/>
            </w:tcBorders>
            <w:shd w:val="clear" w:color="auto" w:fill="auto"/>
            <w:noWrap/>
            <w:vAlign w:val="center"/>
          </w:tcPr>
          <w:p w14:paraId="11EAFB74" w14:textId="77777777" w:rsidR="003A2D79" w:rsidRPr="00F23101" w:rsidRDefault="003A2D79" w:rsidP="003A2D79">
            <w:pPr>
              <w:widowControl w:val="0"/>
              <w:jc w:val="right"/>
              <w:rPr>
                <w:rFonts w:ascii="Arial Narrow" w:hAnsi="Arial Narrow"/>
                <w:sz w:val="20"/>
                <w:szCs w:val="20"/>
                <w:lang w:eastAsia="bg-BG"/>
              </w:rPr>
            </w:pPr>
            <w:r w:rsidRPr="00F23101">
              <w:rPr>
                <w:rFonts w:ascii="Arial Narrow" w:hAnsi="Arial Narrow"/>
                <w:sz w:val="20"/>
                <w:szCs w:val="20"/>
                <w:lang w:eastAsia="bg-BG"/>
              </w:rPr>
              <w:t>13,1</w:t>
            </w:r>
          </w:p>
        </w:tc>
        <w:tc>
          <w:tcPr>
            <w:tcW w:w="399" w:type="pct"/>
            <w:tcBorders>
              <w:top w:val="nil"/>
              <w:left w:val="nil"/>
              <w:bottom w:val="single" w:sz="4" w:space="0" w:color="auto"/>
              <w:right w:val="single" w:sz="4" w:space="0" w:color="auto"/>
            </w:tcBorders>
            <w:shd w:val="clear" w:color="auto" w:fill="auto"/>
            <w:noWrap/>
            <w:vAlign w:val="center"/>
          </w:tcPr>
          <w:p w14:paraId="7EBD5240" w14:textId="77777777" w:rsidR="003A2D79" w:rsidRPr="00F23101" w:rsidRDefault="003A2D79" w:rsidP="003A2D79">
            <w:pPr>
              <w:widowControl w:val="0"/>
              <w:jc w:val="right"/>
              <w:rPr>
                <w:rFonts w:ascii="Arial Narrow" w:hAnsi="Arial Narrow"/>
                <w:sz w:val="20"/>
                <w:szCs w:val="20"/>
                <w:lang w:eastAsia="bg-BG"/>
              </w:rPr>
            </w:pPr>
            <w:r w:rsidRPr="00F23101">
              <w:rPr>
                <w:rFonts w:ascii="Arial Narrow" w:hAnsi="Arial Narrow"/>
                <w:sz w:val="20"/>
                <w:szCs w:val="20"/>
                <w:lang w:eastAsia="bg-BG"/>
              </w:rPr>
              <w:t>1 283,9</w:t>
            </w:r>
          </w:p>
        </w:tc>
        <w:tc>
          <w:tcPr>
            <w:tcW w:w="529" w:type="pct"/>
            <w:tcBorders>
              <w:top w:val="nil"/>
              <w:left w:val="nil"/>
              <w:bottom w:val="single" w:sz="4" w:space="0" w:color="auto"/>
              <w:right w:val="single" w:sz="4" w:space="0" w:color="auto"/>
            </w:tcBorders>
            <w:shd w:val="clear" w:color="auto" w:fill="auto"/>
            <w:noWrap/>
            <w:vAlign w:val="center"/>
          </w:tcPr>
          <w:p w14:paraId="40095B89" w14:textId="77777777" w:rsidR="003A2D79" w:rsidRPr="00F23101" w:rsidRDefault="003A2D79" w:rsidP="003A2D79">
            <w:pPr>
              <w:widowControl w:val="0"/>
              <w:jc w:val="right"/>
              <w:rPr>
                <w:rFonts w:ascii="Arial Narrow" w:hAnsi="Arial Narrow"/>
                <w:sz w:val="20"/>
                <w:szCs w:val="20"/>
                <w:lang w:eastAsia="bg-BG"/>
              </w:rPr>
            </w:pPr>
            <w:r w:rsidRPr="00F23101">
              <w:rPr>
                <w:rFonts w:ascii="Arial Narrow" w:hAnsi="Arial Narrow"/>
                <w:sz w:val="20"/>
                <w:szCs w:val="20"/>
                <w:lang w:eastAsia="bg-BG"/>
              </w:rPr>
              <w:t>-50,4%</w:t>
            </w:r>
          </w:p>
        </w:tc>
      </w:tr>
      <w:tr w:rsidR="003A2D79" w:rsidRPr="00F23101" w14:paraId="7A5219F9" w14:textId="77777777" w:rsidTr="004314BC">
        <w:trPr>
          <w:trHeight w:val="340"/>
          <w:jc w:val="center"/>
        </w:trPr>
        <w:tc>
          <w:tcPr>
            <w:tcW w:w="969" w:type="pct"/>
            <w:noWrap/>
            <w:vAlign w:val="center"/>
          </w:tcPr>
          <w:p w14:paraId="7BF60796" w14:textId="77777777" w:rsidR="003A2D79" w:rsidRPr="00F23101" w:rsidRDefault="003A2D79" w:rsidP="003A2D79">
            <w:pPr>
              <w:widowControl w:val="0"/>
              <w:rPr>
                <w:rFonts w:ascii="Arial Narrow" w:hAnsi="Arial Narrow"/>
                <w:sz w:val="20"/>
                <w:szCs w:val="20"/>
              </w:rPr>
            </w:pPr>
            <w:r w:rsidRPr="00F23101">
              <w:rPr>
                <w:rFonts w:ascii="Arial Narrow" w:hAnsi="Arial Narrow"/>
                <w:sz w:val="20"/>
                <w:szCs w:val="20"/>
                <w:lang w:eastAsia="bg-BG"/>
              </w:rPr>
              <w:t>Югозападен</w:t>
            </w:r>
          </w:p>
        </w:tc>
        <w:tc>
          <w:tcPr>
            <w:tcW w:w="634" w:type="pct"/>
            <w:tcBorders>
              <w:top w:val="nil"/>
              <w:left w:val="single" w:sz="4" w:space="0" w:color="auto"/>
              <w:bottom w:val="single" w:sz="4" w:space="0" w:color="auto"/>
              <w:right w:val="single" w:sz="4" w:space="0" w:color="auto"/>
            </w:tcBorders>
            <w:shd w:val="clear" w:color="auto" w:fill="auto"/>
            <w:noWrap/>
            <w:vAlign w:val="center"/>
          </w:tcPr>
          <w:p w14:paraId="288E02D9" w14:textId="77777777" w:rsidR="003A2D79" w:rsidRPr="00F23101" w:rsidRDefault="003A2D79" w:rsidP="003A2D79">
            <w:pPr>
              <w:widowControl w:val="0"/>
              <w:jc w:val="right"/>
              <w:rPr>
                <w:rFonts w:ascii="Arial Narrow" w:hAnsi="Arial Narrow"/>
                <w:sz w:val="20"/>
                <w:szCs w:val="20"/>
                <w:lang w:eastAsia="bg-BG"/>
              </w:rPr>
            </w:pPr>
            <w:r w:rsidRPr="00F23101">
              <w:rPr>
                <w:rFonts w:ascii="Arial Narrow" w:hAnsi="Arial Narrow"/>
                <w:sz w:val="20"/>
                <w:szCs w:val="20"/>
                <w:lang w:eastAsia="bg-BG"/>
              </w:rPr>
              <w:t>с</w:t>
            </w:r>
          </w:p>
        </w:tc>
        <w:tc>
          <w:tcPr>
            <w:tcW w:w="394" w:type="pct"/>
            <w:tcBorders>
              <w:top w:val="nil"/>
              <w:left w:val="nil"/>
              <w:bottom w:val="single" w:sz="4" w:space="0" w:color="auto"/>
              <w:right w:val="single" w:sz="4" w:space="0" w:color="auto"/>
            </w:tcBorders>
            <w:shd w:val="clear" w:color="auto" w:fill="auto"/>
            <w:noWrap/>
            <w:vAlign w:val="center"/>
          </w:tcPr>
          <w:p w14:paraId="6B101453" w14:textId="77777777" w:rsidR="003A2D79" w:rsidRPr="00F23101" w:rsidRDefault="003A2D79" w:rsidP="003A2D79">
            <w:pPr>
              <w:widowControl w:val="0"/>
              <w:jc w:val="right"/>
              <w:rPr>
                <w:rFonts w:ascii="Arial Narrow" w:hAnsi="Arial Narrow"/>
                <w:sz w:val="20"/>
                <w:szCs w:val="20"/>
                <w:lang w:eastAsia="bg-BG"/>
              </w:rPr>
            </w:pPr>
            <w:r w:rsidRPr="00F23101">
              <w:rPr>
                <w:rFonts w:ascii="Arial Narrow" w:hAnsi="Arial Narrow"/>
                <w:sz w:val="20"/>
                <w:szCs w:val="20"/>
                <w:lang w:eastAsia="bg-BG"/>
              </w:rPr>
              <w:t>с</w:t>
            </w:r>
          </w:p>
        </w:tc>
        <w:tc>
          <w:tcPr>
            <w:tcW w:w="575" w:type="pct"/>
            <w:tcBorders>
              <w:top w:val="nil"/>
              <w:left w:val="nil"/>
              <w:bottom w:val="single" w:sz="4" w:space="0" w:color="auto"/>
              <w:right w:val="single" w:sz="4" w:space="0" w:color="auto"/>
            </w:tcBorders>
            <w:shd w:val="clear" w:color="auto" w:fill="auto"/>
            <w:noWrap/>
            <w:vAlign w:val="center"/>
          </w:tcPr>
          <w:p w14:paraId="62E897A8" w14:textId="77777777" w:rsidR="003A2D79" w:rsidRPr="00F23101" w:rsidRDefault="003A2D79" w:rsidP="003A2D79">
            <w:pPr>
              <w:widowControl w:val="0"/>
              <w:jc w:val="right"/>
              <w:rPr>
                <w:rFonts w:ascii="Arial Narrow" w:hAnsi="Arial Narrow"/>
                <w:sz w:val="20"/>
                <w:szCs w:val="20"/>
                <w:lang w:eastAsia="bg-BG"/>
              </w:rPr>
            </w:pPr>
            <w:r w:rsidRPr="00F23101">
              <w:rPr>
                <w:rFonts w:ascii="Arial Narrow" w:hAnsi="Arial Narrow"/>
                <w:sz w:val="20"/>
                <w:szCs w:val="20"/>
                <w:lang w:eastAsia="bg-BG"/>
              </w:rPr>
              <w:t>300,3</w:t>
            </w:r>
          </w:p>
        </w:tc>
        <w:tc>
          <w:tcPr>
            <w:tcW w:w="575" w:type="pct"/>
            <w:tcBorders>
              <w:top w:val="nil"/>
              <w:left w:val="nil"/>
              <w:bottom w:val="single" w:sz="4" w:space="0" w:color="auto"/>
              <w:right w:val="single" w:sz="4" w:space="0" w:color="auto"/>
            </w:tcBorders>
            <w:shd w:val="clear" w:color="auto" w:fill="auto"/>
            <w:noWrap/>
            <w:vAlign w:val="center"/>
          </w:tcPr>
          <w:p w14:paraId="100EEA44" w14:textId="77777777" w:rsidR="003A2D79" w:rsidRPr="00F23101" w:rsidRDefault="003A2D79" w:rsidP="003A2D79">
            <w:pPr>
              <w:widowControl w:val="0"/>
              <w:jc w:val="right"/>
              <w:rPr>
                <w:rFonts w:ascii="Arial Narrow" w:hAnsi="Arial Narrow"/>
                <w:sz w:val="20"/>
                <w:szCs w:val="20"/>
                <w:lang w:eastAsia="bg-BG"/>
              </w:rPr>
            </w:pPr>
            <w:r w:rsidRPr="00F23101">
              <w:rPr>
                <w:rFonts w:ascii="Arial Narrow" w:hAnsi="Arial Narrow"/>
                <w:sz w:val="20"/>
                <w:szCs w:val="20"/>
                <w:lang w:eastAsia="bg-BG"/>
              </w:rPr>
              <w:t>1,3</w:t>
            </w:r>
          </w:p>
        </w:tc>
        <w:tc>
          <w:tcPr>
            <w:tcW w:w="575" w:type="pct"/>
            <w:tcBorders>
              <w:top w:val="nil"/>
              <w:left w:val="nil"/>
              <w:bottom w:val="single" w:sz="4" w:space="0" w:color="auto"/>
              <w:right w:val="single" w:sz="4" w:space="0" w:color="auto"/>
            </w:tcBorders>
            <w:shd w:val="clear" w:color="auto" w:fill="auto"/>
            <w:noWrap/>
            <w:vAlign w:val="center"/>
          </w:tcPr>
          <w:p w14:paraId="273DEB33" w14:textId="77777777" w:rsidR="003A2D79" w:rsidRPr="00F23101" w:rsidRDefault="003A2D79" w:rsidP="003A2D79">
            <w:pPr>
              <w:widowControl w:val="0"/>
              <w:jc w:val="right"/>
              <w:rPr>
                <w:rFonts w:ascii="Arial Narrow" w:hAnsi="Arial Narrow"/>
                <w:sz w:val="20"/>
                <w:szCs w:val="20"/>
                <w:lang w:eastAsia="bg-BG"/>
              </w:rPr>
            </w:pPr>
            <w:r w:rsidRPr="00F23101">
              <w:rPr>
                <w:rFonts w:ascii="Arial Narrow" w:hAnsi="Arial Narrow"/>
                <w:sz w:val="20"/>
                <w:szCs w:val="20"/>
                <w:lang w:eastAsia="bg-BG"/>
              </w:rPr>
              <w:t>1,9</w:t>
            </w:r>
          </w:p>
        </w:tc>
        <w:tc>
          <w:tcPr>
            <w:tcW w:w="352" w:type="pct"/>
            <w:tcBorders>
              <w:top w:val="nil"/>
              <w:left w:val="nil"/>
              <w:bottom w:val="single" w:sz="4" w:space="0" w:color="auto"/>
              <w:right w:val="single" w:sz="4" w:space="0" w:color="auto"/>
            </w:tcBorders>
            <w:shd w:val="clear" w:color="auto" w:fill="auto"/>
            <w:noWrap/>
            <w:vAlign w:val="center"/>
          </w:tcPr>
          <w:p w14:paraId="0D74DBB9" w14:textId="77777777" w:rsidR="003A2D79" w:rsidRPr="00F23101" w:rsidRDefault="003A2D79" w:rsidP="003A2D79">
            <w:pPr>
              <w:widowControl w:val="0"/>
              <w:jc w:val="right"/>
              <w:rPr>
                <w:rFonts w:ascii="Arial Narrow" w:hAnsi="Arial Narrow"/>
                <w:sz w:val="20"/>
                <w:szCs w:val="20"/>
                <w:lang w:eastAsia="bg-BG"/>
              </w:rPr>
            </w:pPr>
            <w:r w:rsidRPr="00F23101">
              <w:rPr>
                <w:rFonts w:ascii="Arial Narrow" w:hAnsi="Arial Narrow"/>
                <w:sz w:val="20"/>
                <w:szCs w:val="20"/>
                <w:lang w:eastAsia="bg-BG"/>
              </w:rPr>
              <w:t>31,3</w:t>
            </w:r>
          </w:p>
        </w:tc>
        <w:tc>
          <w:tcPr>
            <w:tcW w:w="399" w:type="pct"/>
            <w:tcBorders>
              <w:top w:val="nil"/>
              <w:left w:val="nil"/>
              <w:bottom w:val="single" w:sz="4" w:space="0" w:color="auto"/>
              <w:right w:val="single" w:sz="4" w:space="0" w:color="auto"/>
            </w:tcBorders>
            <w:shd w:val="clear" w:color="auto" w:fill="auto"/>
            <w:noWrap/>
            <w:vAlign w:val="center"/>
          </w:tcPr>
          <w:p w14:paraId="571DF3AA" w14:textId="77777777" w:rsidR="003A2D79" w:rsidRPr="00F23101" w:rsidRDefault="003A2D79" w:rsidP="003A2D79">
            <w:pPr>
              <w:widowControl w:val="0"/>
              <w:jc w:val="right"/>
              <w:rPr>
                <w:rFonts w:ascii="Arial Narrow" w:hAnsi="Arial Narrow"/>
                <w:sz w:val="20"/>
                <w:szCs w:val="20"/>
                <w:lang w:eastAsia="bg-BG"/>
              </w:rPr>
            </w:pPr>
            <w:r w:rsidRPr="00F23101">
              <w:rPr>
                <w:rFonts w:ascii="Arial Narrow" w:hAnsi="Arial Narrow"/>
                <w:sz w:val="20"/>
                <w:szCs w:val="20"/>
                <w:lang w:eastAsia="bg-BG"/>
              </w:rPr>
              <w:t>334,8</w:t>
            </w:r>
          </w:p>
        </w:tc>
        <w:tc>
          <w:tcPr>
            <w:tcW w:w="529" w:type="pct"/>
            <w:tcBorders>
              <w:top w:val="nil"/>
              <w:left w:val="nil"/>
              <w:bottom w:val="single" w:sz="4" w:space="0" w:color="auto"/>
              <w:right w:val="single" w:sz="4" w:space="0" w:color="auto"/>
            </w:tcBorders>
            <w:shd w:val="clear" w:color="auto" w:fill="auto"/>
            <w:noWrap/>
            <w:vAlign w:val="center"/>
          </w:tcPr>
          <w:p w14:paraId="3319A816" w14:textId="77777777" w:rsidR="003A2D79" w:rsidRPr="00F23101" w:rsidRDefault="003A2D79" w:rsidP="003A2D79">
            <w:pPr>
              <w:widowControl w:val="0"/>
              <w:jc w:val="right"/>
              <w:rPr>
                <w:rFonts w:ascii="Arial Narrow" w:hAnsi="Arial Narrow"/>
                <w:sz w:val="20"/>
                <w:szCs w:val="20"/>
                <w:lang w:eastAsia="bg-BG"/>
              </w:rPr>
            </w:pPr>
            <w:r w:rsidRPr="00F23101">
              <w:rPr>
                <w:rFonts w:ascii="Arial Narrow" w:hAnsi="Arial Narrow"/>
                <w:sz w:val="20"/>
                <w:szCs w:val="20"/>
                <w:lang w:eastAsia="bg-BG"/>
              </w:rPr>
              <w:t>2,1%</w:t>
            </w:r>
          </w:p>
        </w:tc>
      </w:tr>
      <w:tr w:rsidR="003A2D79" w:rsidRPr="00F23101" w14:paraId="07870960" w14:textId="77777777" w:rsidTr="004314BC">
        <w:trPr>
          <w:trHeight w:val="340"/>
          <w:jc w:val="center"/>
        </w:trPr>
        <w:tc>
          <w:tcPr>
            <w:tcW w:w="969" w:type="pct"/>
            <w:noWrap/>
            <w:vAlign w:val="center"/>
          </w:tcPr>
          <w:p w14:paraId="3ABB5853" w14:textId="77777777" w:rsidR="003A2D79" w:rsidRPr="00F23101" w:rsidRDefault="003A2D79" w:rsidP="003A2D79">
            <w:pPr>
              <w:widowControl w:val="0"/>
              <w:rPr>
                <w:rFonts w:ascii="Arial Narrow" w:hAnsi="Arial Narrow"/>
                <w:sz w:val="20"/>
                <w:szCs w:val="20"/>
              </w:rPr>
            </w:pPr>
            <w:r w:rsidRPr="00F23101">
              <w:rPr>
                <w:rFonts w:ascii="Arial Narrow" w:hAnsi="Arial Narrow"/>
                <w:sz w:val="20"/>
                <w:szCs w:val="20"/>
                <w:lang w:eastAsia="bg-BG"/>
              </w:rPr>
              <w:t>Южен централен</w:t>
            </w:r>
          </w:p>
        </w:tc>
        <w:tc>
          <w:tcPr>
            <w:tcW w:w="634" w:type="pct"/>
            <w:tcBorders>
              <w:top w:val="nil"/>
              <w:left w:val="single" w:sz="4" w:space="0" w:color="auto"/>
              <w:bottom w:val="single" w:sz="4" w:space="0" w:color="auto"/>
              <w:right w:val="single" w:sz="4" w:space="0" w:color="auto"/>
            </w:tcBorders>
            <w:shd w:val="clear" w:color="auto" w:fill="auto"/>
            <w:noWrap/>
            <w:vAlign w:val="center"/>
          </w:tcPr>
          <w:p w14:paraId="40382D29" w14:textId="77777777" w:rsidR="003A2D79" w:rsidRPr="00F23101" w:rsidRDefault="003A2D79" w:rsidP="003A2D79">
            <w:pPr>
              <w:widowControl w:val="0"/>
              <w:jc w:val="right"/>
              <w:rPr>
                <w:rFonts w:ascii="Arial Narrow" w:hAnsi="Arial Narrow"/>
                <w:sz w:val="20"/>
                <w:szCs w:val="20"/>
                <w:lang w:eastAsia="bg-BG"/>
              </w:rPr>
            </w:pPr>
            <w:r w:rsidRPr="00F23101">
              <w:rPr>
                <w:rFonts w:ascii="Arial Narrow" w:hAnsi="Arial Narrow"/>
                <w:sz w:val="20"/>
                <w:szCs w:val="20"/>
                <w:lang w:eastAsia="bg-BG"/>
              </w:rPr>
              <w:t>с</w:t>
            </w:r>
          </w:p>
        </w:tc>
        <w:tc>
          <w:tcPr>
            <w:tcW w:w="394" w:type="pct"/>
            <w:tcBorders>
              <w:top w:val="nil"/>
              <w:left w:val="nil"/>
              <w:bottom w:val="single" w:sz="4" w:space="0" w:color="auto"/>
              <w:right w:val="single" w:sz="4" w:space="0" w:color="auto"/>
            </w:tcBorders>
            <w:shd w:val="clear" w:color="auto" w:fill="auto"/>
            <w:noWrap/>
            <w:vAlign w:val="center"/>
          </w:tcPr>
          <w:p w14:paraId="462962E6" w14:textId="77777777" w:rsidR="003A2D79" w:rsidRPr="00F23101" w:rsidRDefault="003A2D79" w:rsidP="003A2D79">
            <w:pPr>
              <w:widowControl w:val="0"/>
              <w:jc w:val="right"/>
              <w:rPr>
                <w:rFonts w:ascii="Arial Narrow" w:hAnsi="Arial Narrow"/>
                <w:sz w:val="20"/>
                <w:szCs w:val="20"/>
                <w:lang w:eastAsia="bg-BG"/>
              </w:rPr>
            </w:pPr>
            <w:r w:rsidRPr="00F23101">
              <w:rPr>
                <w:rFonts w:ascii="Arial Narrow" w:hAnsi="Arial Narrow"/>
                <w:sz w:val="20"/>
                <w:szCs w:val="20"/>
                <w:lang w:eastAsia="bg-BG"/>
              </w:rPr>
              <w:t>с</w:t>
            </w:r>
          </w:p>
        </w:tc>
        <w:tc>
          <w:tcPr>
            <w:tcW w:w="575" w:type="pct"/>
            <w:tcBorders>
              <w:top w:val="nil"/>
              <w:left w:val="nil"/>
              <w:bottom w:val="single" w:sz="4" w:space="0" w:color="auto"/>
              <w:right w:val="single" w:sz="4" w:space="0" w:color="auto"/>
            </w:tcBorders>
            <w:shd w:val="clear" w:color="auto" w:fill="auto"/>
            <w:noWrap/>
            <w:vAlign w:val="center"/>
          </w:tcPr>
          <w:p w14:paraId="3CC3E5B3" w14:textId="77777777" w:rsidR="003A2D79" w:rsidRPr="00F23101" w:rsidRDefault="003A2D79" w:rsidP="003A2D79">
            <w:pPr>
              <w:widowControl w:val="0"/>
              <w:jc w:val="right"/>
              <w:rPr>
                <w:rFonts w:ascii="Arial Narrow" w:hAnsi="Arial Narrow"/>
                <w:sz w:val="20"/>
                <w:szCs w:val="20"/>
                <w:lang w:eastAsia="bg-BG"/>
              </w:rPr>
            </w:pPr>
            <w:r w:rsidRPr="00F23101">
              <w:rPr>
                <w:rFonts w:ascii="Arial Narrow" w:hAnsi="Arial Narrow"/>
                <w:sz w:val="20"/>
                <w:szCs w:val="20"/>
                <w:lang w:eastAsia="bg-BG"/>
              </w:rPr>
              <w:t>1 202,6</w:t>
            </w:r>
          </w:p>
        </w:tc>
        <w:tc>
          <w:tcPr>
            <w:tcW w:w="575" w:type="pct"/>
            <w:tcBorders>
              <w:top w:val="nil"/>
              <w:left w:val="nil"/>
              <w:bottom w:val="single" w:sz="4" w:space="0" w:color="auto"/>
              <w:right w:val="single" w:sz="4" w:space="0" w:color="auto"/>
            </w:tcBorders>
            <w:shd w:val="clear" w:color="auto" w:fill="auto"/>
            <w:noWrap/>
            <w:vAlign w:val="center"/>
          </w:tcPr>
          <w:p w14:paraId="424FDD31" w14:textId="77777777" w:rsidR="003A2D79" w:rsidRPr="00F23101" w:rsidRDefault="003A2D79" w:rsidP="003A2D79">
            <w:pPr>
              <w:widowControl w:val="0"/>
              <w:jc w:val="right"/>
              <w:rPr>
                <w:rFonts w:ascii="Arial Narrow" w:hAnsi="Arial Narrow"/>
                <w:sz w:val="20"/>
                <w:szCs w:val="20"/>
                <w:lang w:eastAsia="bg-BG"/>
              </w:rPr>
            </w:pPr>
            <w:r w:rsidRPr="00F23101">
              <w:rPr>
                <w:rFonts w:ascii="Arial Narrow" w:hAnsi="Arial Narrow"/>
                <w:sz w:val="20"/>
                <w:szCs w:val="20"/>
                <w:lang w:eastAsia="bg-BG"/>
              </w:rPr>
              <w:t>3,7</w:t>
            </w:r>
          </w:p>
        </w:tc>
        <w:tc>
          <w:tcPr>
            <w:tcW w:w="575" w:type="pct"/>
            <w:tcBorders>
              <w:top w:val="nil"/>
              <w:left w:val="nil"/>
              <w:bottom w:val="single" w:sz="4" w:space="0" w:color="auto"/>
              <w:right w:val="single" w:sz="4" w:space="0" w:color="auto"/>
            </w:tcBorders>
            <w:shd w:val="clear" w:color="auto" w:fill="auto"/>
            <w:noWrap/>
            <w:vAlign w:val="center"/>
          </w:tcPr>
          <w:p w14:paraId="0CE5807D" w14:textId="77777777" w:rsidR="003A2D79" w:rsidRPr="00F23101" w:rsidRDefault="003A2D79" w:rsidP="003A2D79">
            <w:pPr>
              <w:widowControl w:val="0"/>
              <w:jc w:val="right"/>
              <w:rPr>
                <w:rFonts w:ascii="Arial Narrow" w:hAnsi="Arial Narrow"/>
                <w:sz w:val="20"/>
                <w:szCs w:val="20"/>
                <w:lang w:eastAsia="bg-BG"/>
              </w:rPr>
            </w:pPr>
            <w:r w:rsidRPr="00F23101">
              <w:rPr>
                <w:rFonts w:ascii="Arial Narrow" w:hAnsi="Arial Narrow"/>
                <w:sz w:val="20"/>
                <w:szCs w:val="20"/>
                <w:lang w:eastAsia="bg-BG"/>
              </w:rPr>
              <w:t>615,6</w:t>
            </w:r>
          </w:p>
        </w:tc>
        <w:tc>
          <w:tcPr>
            <w:tcW w:w="352" w:type="pct"/>
            <w:tcBorders>
              <w:top w:val="nil"/>
              <w:left w:val="nil"/>
              <w:bottom w:val="single" w:sz="4" w:space="0" w:color="auto"/>
              <w:right w:val="single" w:sz="4" w:space="0" w:color="auto"/>
            </w:tcBorders>
            <w:shd w:val="clear" w:color="auto" w:fill="auto"/>
            <w:noWrap/>
            <w:vAlign w:val="center"/>
          </w:tcPr>
          <w:p w14:paraId="5B7EED29" w14:textId="77777777" w:rsidR="003A2D79" w:rsidRPr="00F23101" w:rsidRDefault="003A2D79" w:rsidP="003A2D79">
            <w:pPr>
              <w:widowControl w:val="0"/>
              <w:jc w:val="right"/>
              <w:rPr>
                <w:rFonts w:ascii="Arial Narrow" w:hAnsi="Arial Narrow"/>
                <w:sz w:val="20"/>
                <w:szCs w:val="20"/>
                <w:lang w:eastAsia="bg-BG"/>
              </w:rPr>
            </w:pPr>
            <w:r w:rsidRPr="00F23101">
              <w:rPr>
                <w:rFonts w:ascii="Arial Narrow" w:hAnsi="Arial Narrow"/>
                <w:sz w:val="20"/>
                <w:szCs w:val="20"/>
                <w:lang w:eastAsia="bg-BG"/>
              </w:rPr>
              <w:t>2,3</w:t>
            </w:r>
          </w:p>
        </w:tc>
        <w:tc>
          <w:tcPr>
            <w:tcW w:w="399" w:type="pct"/>
            <w:tcBorders>
              <w:top w:val="nil"/>
              <w:left w:val="nil"/>
              <w:bottom w:val="single" w:sz="4" w:space="0" w:color="auto"/>
              <w:right w:val="single" w:sz="4" w:space="0" w:color="auto"/>
            </w:tcBorders>
            <w:shd w:val="clear" w:color="auto" w:fill="auto"/>
            <w:noWrap/>
            <w:vAlign w:val="center"/>
          </w:tcPr>
          <w:p w14:paraId="2F5D2F1D" w14:textId="77777777" w:rsidR="003A2D79" w:rsidRPr="00F23101" w:rsidRDefault="003A2D79" w:rsidP="003A2D79">
            <w:pPr>
              <w:widowControl w:val="0"/>
              <w:jc w:val="right"/>
              <w:rPr>
                <w:rFonts w:ascii="Arial Narrow" w:hAnsi="Arial Narrow"/>
                <w:sz w:val="20"/>
                <w:szCs w:val="20"/>
                <w:lang w:eastAsia="bg-BG"/>
              </w:rPr>
            </w:pPr>
            <w:r w:rsidRPr="00F23101">
              <w:rPr>
                <w:rFonts w:ascii="Arial Narrow" w:hAnsi="Arial Narrow"/>
                <w:sz w:val="20"/>
                <w:szCs w:val="20"/>
                <w:lang w:eastAsia="bg-BG"/>
              </w:rPr>
              <w:t>1 824,2</w:t>
            </w:r>
          </w:p>
        </w:tc>
        <w:tc>
          <w:tcPr>
            <w:tcW w:w="529" w:type="pct"/>
            <w:tcBorders>
              <w:top w:val="nil"/>
              <w:left w:val="nil"/>
              <w:bottom w:val="single" w:sz="4" w:space="0" w:color="auto"/>
              <w:right w:val="single" w:sz="4" w:space="0" w:color="auto"/>
            </w:tcBorders>
            <w:shd w:val="clear" w:color="auto" w:fill="auto"/>
            <w:noWrap/>
            <w:vAlign w:val="center"/>
          </w:tcPr>
          <w:p w14:paraId="24E5309F" w14:textId="77777777" w:rsidR="003A2D79" w:rsidRPr="00F23101" w:rsidRDefault="003A2D79" w:rsidP="003A2D79">
            <w:pPr>
              <w:widowControl w:val="0"/>
              <w:jc w:val="right"/>
              <w:rPr>
                <w:rFonts w:ascii="Arial Narrow" w:hAnsi="Arial Narrow"/>
                <w:sz w:val="20"/>
                <w:szCs w:val="20"/>
                <w:lang w:eastAsia="bg-BG"/>
              </w:rPr>
            </w:pPr>
            <w:r w:rsidRPr="00F23101">
              <w:rPr>
                <w:rFonts w:ascii="Arial Narrow" w:hAnsi="Arial Narrow"/>
                <w:sz w:val="20"/>
                <w:szCs w:val="20"/>
                <w:lang w:eastAsia="bg-BG"/>
              </w:rPr>
              <w:t>-7,9%</w:t>
            </w:r>
          </w:p>
        </w:tc>
      </w:tr>
      <w:tr w:rsidR="003A2D79" w:rsidRPr="00F23101" w14:paraId="7705574E" w14:textId="77777777" w:rsidTr="004314BC">
        <w:trPr>
          <w:trHeight w:val="340"/>
          <w:jc w:val="center"/>
        </w:trPr>
        <w:tc>
          <w:tcPr>
            <w:tcW w:w="969" w:type="pct"/>
            <w:noWrap/>
            <w:vAlign w:val="center"/>
          </w:tcPr>
          <w:p w14:paraId="627F5189" w14:textId="77777777" w:rsidR="003A2D79" w:rsidRPr="00F23101" w:rsidRDefault="003A2D79" w:rsidP="003A2D79">
            <w:pPr>
              <w:widowControl w:val="0"/>
              <w:rPr>
                <w:rFonts w:ascii="Arial Narrow" w:hAnsi="Arial Narrow"/>
                <w:b/>
                <w:sz w:val="20"/>
                <w:szCs w:val="20"/>
                <w:lang w:eastAsia="bg-BG"/>
              </w:rPr>
            </w:pPr>
            <w:r w:rsidRPr="00F23101">
              <w:rPr>
                <w:rFonts w:ascii="Arial Narrow" w:hAnsi="Arial Narrow"/>
                <w:b/>
                <w:sz w:val="20"/>
                <w:szCs w:val="20"/>
                <w:lang w:eastAsia="bg-BG"/>
              </w:rPr>
              <w:t>Общо за страната</w:t>
            </w:r>
          </w:p>
        </w:tc>
        <w:tc>
          <w:tcPr>
            <w:tcW w:w="634" w:type="pct"/>
            <w:tcBorders>
              <w:top w:val="nil"/>
              <w:left w:val="single" w:sz="4" w:space="0" w:color="auto"/>
              <w:bottom w:val="nil"/>
              <w:right w:val="single" w:sz="4" w:space="0" w:color="auto"/>
            </w:tcBorders>
            <w:shd w:val="clear" w:color="auto" w:fill="auto"/>
            <w:noWrap/>
            <w:vAlign w:val="center"/>
          </w:tcPr>
          <w:p w14:paraId="4967CE4F" w14:textId="77777777" w:rsidR="003A2D79" w:rsidRPr="00F23101" w:rsidRDefault="003A2D79" w:rsidP="003A2D79">
            <w:pPr>
              <w:widowControl w:val="0"/>
              <w:jc w:val="right"/>
              <w:rPr>
                <w:rFonts w:ascii="Arial Narrow" w:hAnsi="Arial Narrow"/>
                <w:b/>
                <w:sz w:val="20"/>
                <w:szCs w:val="20"/>
                <w:lang w:eastAsia="bg-BG"/>
              </w:rPr>
            </w:pPr>
            <w:r w:rsidRPr="00F23101">
              <w:rPr>
                <w:rFonts w:ascii="Arial Narrow" w:hAnsi="Arial Narrow"/>
                <w:b/>
                <w:sz w:val="20"/>
                <w:szCs w:val="20"/>
                <w:lang w:eastAsia="bg-BG"/>
              </w:rPr>
              <w:t>6 742,7</w:t>
            </w:r>
          </w:p>
        </w:tc>
        <w:tc>
          <w:tcPr>
            <w:tcW w:w="394" w:type="pct"/>
            <w:tcBorders>
              <w:top w:val="nil"/>
              <w:left w:val="nil"/>
              <w:bottom w:val="nil"/>
              <w:right w:val="single" w:sz="4" w:space="0" w:color="auto"/>
            </w:tcBorders>
            <w:shd w:val="clear" w:color="auto" w:fill="auto"/>
            <w:noWrap/>
            <w:vAlign w:val="center"/>
          </w:tcPr>
          <w:p w14:paraId="2E6288DD" w14:textId="77777777" w:rsidR="003A2D79" w:rsidRPr="00F23101" w:rsidRDefault="003A2D79" w:rsidP="003A2D79">
            <w:pPr>
              <w:widowControl w:val="0"/>
              <w:jc w:val="right"/>
              <w:rPr>
                <w:rFonts w:ascii="Arial Narrow" w:hAnsi="Arial Narrow"/>
                <w:b/>
                <w:sz w:val="20"/>
                <w:szCs w:val="20"/>
                <w:lang w:eastAsia="bg-BG"/>
              </w:rPr>
            </w:pPr>
            <w:r w:rsidRPr="00F23101">
              <w:rPr>
                <w:rFonts w:ascii="Arial Narrow" w:hAnsi="Arial Narrow"/>
                <w:b/>
                <w:sz w:val="20"/>
                <w:szCs w:val="20"/>
                <w:lang w:eastAsia="bg-BG"/>
              </w:rPr>
              <w:t>5 508,8</w:t>
            </w:r>
          </w:p>
        </w:tc>
        <w:tc>
          <w:tcPr>
            <w:tcW w:w="575" w:type="pct"/>
            <w:tcBorders>
              <w:top w:val="nil"/>
              <w:left w:val="nil"/>
              <w:bottom w:val="nil"/>
              <w:right w:val="single" w:sz="4" w:space="0" w:color="auto"/>
            </w:tcBorders>
            <w:shd w:val="clear" w:color="auto" w:fill="auto"/>
            <w:noWrap/>
            <w:vAlign w:val="center"/>
          </w:tcPr>
          <w:p w14:paraId="152949CC" w14:textId="77777777" w:rsidR="003A2D79" w:rsidRPr="00F23101" w:rsidRDefault="003A2D79" w:rsidP="003A2D79">
            <w:pPr>
              <w:widowControl w:val="0"/>
              <w:jc w:val="right"/>
              <w:rPr>
                <w:rFonts w:ascii="Arial Narrow" w:hAnsi="Arial Narrow"/>
                <w:b/>
                <w:sz w:val="20"/>
                <w:szCs w:val="20"/>
                <w:lang w:eastAsia="bg-BG"/>
              </w:rPr>
            </w:pPr>
            <w:r w:rsidRPr="00F23101">
              <w:rPr>
                <w:rFonts w:ascii="Arial Narrow" w:hAnsi="Arial Narrow"/>
                <w:b/>
                <w:sz w:val="20"/>
                <w:szCs w:val="20"/>
                <w:lang w:eastAsia="bg-BG"/>
              </w:rPr>
              <w:t>12 251,5</w:t>
            </w:r>
          </w:p>
        </w:tc>
        <w:tc>
          <w:tcPr>
            <w:tcW w:w="575" w:type="pct"/>
            <w:tcBorders>
              <w:top w:val="nil"/>
              <w:left w:val="nil"/>
              <w:bottom w:val="nil"/>
              <w:right w:val="single" w:sz="4" w:space="0" w:color="auto"/>
            </w:tcBorders>
            <w:shd w:val="clear" w:color="auto" w:fill="auto"/>
            <w:noWrap/>
            <w:vAlign w:val="center"/>
          </w:tcPr>
          <w:p w14:paraId="6C00E3D5" w14:textId="77777777" w:rsidR="003A2D79" w:rsidRPr="00F23101" w:rsidRDefault="003A2D79" w:rsidP="003A2D79">
            <w:pPr>
              <w:widowControl w:val="0"/>
              <w:jc w:val="right"/>
              <w:rPr>
                <w:rFonts w:ascii="Arial Narrow" w:hAnsi="Arial Narrow"/>
                <w:b/>
                <w:sz w:val="20"/>
                <w:szCs w:val="20"/>
                <w:lang w:eastAsia="bg-BG"/>
              </w:rPr>
            </w:pPr>
            <w:r w:rsidRPr="00F23101">
              <w:rPr>
                <w:rFonts w:ascii="Arial Narrow" w:hAnsi="Arial Narrow"/>
                <w:b/>
                <w:sz w:val="20"/>
                <w:szCs w:val="20"/>
                <w:lang w:eastAsia="bg-BG"/>
              </w:rPr>
              <w:t>8,7</w:t>
            </w:r>
          </w:p>
        </w:tc>
        <w:tc>
          <w:tcPr>
            <w:tcW w:w="575" w:type="pct"/>
            <w:tcBorders>
              <w:top w:val="nil"/>
              <w:left w:val="nil"/>
              <w:bottom w:val="nil"/>
              <w:right w:val="single" w:sz="4" w:space="0" w:color="auto"/>
            </w:tcBorders>
            <w:shd w:val="clear" w:color="auto" w:fill="auto"/>
            <w:noWrap/>
            <w:vAlign w:val="center"/>
          </w:tcPr>
          <w:p w14:paraId="79316294" w14:textId="77777777" w:rsidR="003A2D79" w:rsidRPr="00F23101" w:rsidRDefault="003A2D79" w:rsidP="003A2D79">
            <w:pPr>
              <w:widowControl w:val="0"/>
              <w:jc w:val="right"/>
              <w:rPr>
                <w:rFonts w:ascii="Arial Narrow" w:hAnsi="Arial Narrow"/>
                <w:b/>
                <w:sz w:val="20"/>
                <w:szCs w:val="20"/>
                <w:lang w:eastAsia="bg-BG"/>
              </w:rPr>
            </w:pPr>
            <w:r w:rsidRPr="00F23101">
              <w:rPr>
                <w:rFonts w:ascii="Arial Narrow" w:hAnsi="Arial Narrow"/>
                <w:b/>
                <w:sz w:val="20"/>
                <w:szCs w:val="20"/>
                <w:lang w:eastAsia="bg-BG"/>
              </w:rPr>
              <w:t>1 248,2</w:t>
            </w:r>
          </w:p>
        </w:tc>
        <w:tc>
          <w:tcPr>
            <w:tcW w:w="352" w:type="pct"/>
            <w:tcBorders>
              <w:top w:val="nil"/>
              <w:left w:val="nil"/>
              <w:bottom w:val="nil"/>
              <w:right w:val="single" w:sz="4" w:space="0" w:color="auto"/>
            </w:tcBorders>
            <w:shd w:val="clear" w:color="auto" w:fill="auto"/>
            <w:noWrap/>
            <w:vAlign w:val="center"/>
          </w:tcPr>
          <w:p w14:paraId="769FBFDF" w14:textId="77777777" w:rsidR="003A2D79" w:rsidRPr="00F23101" w:rsidRDefault="003A2D79" w:rsidP="003A2D79">
            <w:pPr>
              <w:widowControl w:val="0"/>
              <w:jc w:val="right"/>
              <w:rPr>
                <w:rFonts w:ascii="Arial Narrow" w:hAnsi="Arial Narrow"/>
                <w:b/>
                <w:sz w:val="20"/>
                <w:szCs w:val="20"/>
                <w:lang w:eastAsia="bg-BG"/>
              </w:rPr>
            </w:pPr>
            <w:r w:rsidRPr="00F23101">
              <w:rPr>
                <w:rFonts w:ascii="Arial Narrow" w:hAnsi="Arial Narrow"/>
                <w:b/>
                <w:sz w:val="20"/>
                <w:szCs w:val="20"/>
                <w:lang w:eastAsia="bg-BG"/>
              </w:rPr>
              <w:t>51,1</w:t>
            </w:r>
          </w:p>
        </w:tc>
        <w:tc>
          <w:tcPr>
            <w:tcW w:w="399" w:type="pct"/>
            <w:tcBorders>
              <w:top w:val="nil"/>
              <w:left w:val="nil"/>
              <w:bottom w:val="nil"/>
              <w:right w:val="single" w:sz="4" w:space="0" w:color="auto"/>
            </w:tcBorders>
            <w:shd w:val="clear" w:color="auto" w:fill="auto"/>
            <w:noWrap/>
            <w:vAlign w:val="center"/>
          </w:tcPr>
          <w:p w14:paraId="6990D4CE" w14:textId="77777777" w:rsidR="003A2D79" w:rsidRPr="00F23101" w:rsidRDefault="003A2D79" w:rsidP="003A2D79">
            <w:pPr>
              <w:widowControl w:val="0"/>
              <w:jc w:val="right"/>
              <w:rPr>
                <w:rFonts w:ascii="Arial Narrow" w:hAnsi="Arial Narrow"/>
                <w:b/>
                <w:sz w:val="20"/>
                <w:szCs w:val="20"/>
                <w:lang w:eastAsia="bg-BG"/>
              </w:rPr>
            </w:pPr>
            <w:r w:rsidRPr="00F23101">
              <w:rPr>
                <w:rFonts w:ascii="Arial Narrow" w:hAnsi="Arial Narrow"/>
                <w:b/>
                <w:sz w:val="20"/>
                <w:szCs w:val="20"/>
                <w:lang w:eastAsia="bg-BG"/>
              </w:rPr>
              <w:t>13 559,5</w:t>
            </w:r>
          </w:p>
        </w:tc>
        <w:tc>
          <w:tcPr>
            <w:tcW w:w="529" w:type="pct"/>
            <w:tcBorders>
              <w:top w:val="nil"/>
              <w:left w:val="nil"/>
              <w:bottom w:val="single" w:sz="4" w:space="0" w:color="auto"/>
              <w:right w:val="single" w:sz="4" w:space="0" w:color="auto"/>
            </w:tcBorders>
            <w:shd w:val="clear" w:color="auto" w:fill="auto"/>
            <w:noWrap/>
            <w:vAlign w:val="center"/>
          </w:tcPr>
          <w:p w14:paraId="7440DA58" w14:textId="77777777" w:rsidR="003A2D79" w:rsidRPr="00F23101" w:rsidRDefault="003A2D79" w:rsidP="003A2D79">
            <w:pPr>
              <w:widowControl w:val="0"/>
              <w:jc w:val="right"/>
              <w:rPr>
                <w:rFonts w:ascii="Arial Narrow" w:hAnsi="Arial Narrow"/>
                <w:b/>
                <w:sz w:val="20"/>
                <w:szCs w:val="20"/>
                <w:lang w:eastAsia="bg-BG"/>
              </w:rPr>
            </w:pPr>
            <w:r w:rsidRPr="00F23101">
              <w:rPr>
                <w:rFonts w:ascii="Arial Narrow" w:hAnsi="Arial Narrow"/>
                <w:b/>
                <w:sz w:val="20"/>
                <w:szCs w:val="20"/>
                <w:lang w:eastAsia="bg-BG"/>
              </w:rPr>
              <w:t>-6,6%</w:t>
            </w:r>
          </w:p>
        </w:tc>
      </w:tr>
      <w:tr w:rsidR="003A2D79" w:rsidRPr="00F23101" w14:paraId="3773B7F2" w14:textId="77777777" w:rsidTr="004314BC">
        <w:trPr>
          <w:trHeight w:val="340"/>
          <w:jc w:val="center"/>
        </w:trPr>
        <w:tc>
          <w:tcPr>
            <w:tcW w:w="969" w:type="pct"/>
            <w:noWrap/>
            <w:vAlign w:val="center"/>
          </w:tcPr>
          <w:p w14:paraId="22F3368F" w14:textId="77777777" w:rsidR="003A2D79" w:rsidRPr="00F23101" w:rsidRDefault="003A2D79" w:rsidP="003A2D79">
            <w:pPr>
              <w:widowControl w:val="0"/>
              <w:rPr>
                <w:rFonts w:ascii="Arial Narrow" w:hAnsi="Arial Narrow"/>
                <w:b/>
                <w:sz w:val="20"/>
                <w:szCs w:val="20"/>
                <w:lang w:eastAsia="bg-BG"/>
              </w:rPr>
            </w:pPr>
            <w:r w:rsidRPr="00F23101">
              <w:rPr>
                <w:rFonts w:ascii="Arial Narrow" w:hAnsi="Arial Narrow"/>
                <w:b/>
                <w:bCs/>
                <w:sz w:val="20"/>
                <w:szCs w:val="20"/>
              </w:rPr>
              <w:t xml:space="preserve">Изменение </w:t>
            </w:r>
            <w:r w:rsidRPr="00F23101">
              <w:rPr>
                <w:rFonts w:ascii="Arial Narrow" w:hAnsi="Arial Narrow"/>
                <w:b/>
                <w:sz w:val="20"/>
                <w:szCs w:val="20"/>
              </w:rPr>
              <w:t>2024/2023</w:t>
            </w:r>
          </w:p>
        </w:tc>
        <w:tc>
          <w:tcPr>
            <w:tcW w:w="63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780E317" w14:textId="77777777" w:rsidR="003A2D79" w:rsidRPr="00F23101" w:rsidRDefault="003A2D79" w:rsidP="003A2D79">
            <w:pPr>
              <w:widowControl w:val="0"/>
              <w:jc w:val="right"/>
              <w:rPr>
                <w:rFonts w:ascii="Arial Narrow" w:hAnsi="Arial Narrow"/>
                <w:b/>
                <w:sz w:val="20"/>
                <w:szCs w:val="20"/>
                <w:lang w:eastAsia="bg-BG"/>
              </w:rPr>
            </w:pPr>
            <w:r w:rsidRPr="00F23101">
              <w:rPr>
                <w:rFonts w:ascii="Arial Narrow" w:hAnsi="Arial Narrow"/>
                <w:b/>
                <w:sz w:val="20"/>
                <w:szCs w:val="20"/>
                <w:lang w:eastAsia="bg-BG"/>
              </w:rPr>
              <w:t>2,4%</w:t>
            </w:r>
          </w:p>
        </w:tc>
        <w:tc>
          <w:tcPr>
            <w:tcW w:w="394" w:type="pct"/>
            <w:tcBorders>
              <w:top w:val="single" w:sz="4" w:space="0" w:color="auto"/>
              <w:left w:val="nil"/>
              <w:bottom w:val="single" w:sz="4" w:space="0" w:color="auto"/>
              <w:right w:val="single" w:sz="4" w:space="0" w:color="auto"/>
            </w:tcBorders>
            <w:shd w:val="clear" w:color="auto" w:fill="auto"/>
            <w:noWrap/>
            <w:vAlign w:val="center"/>
          </w:tcPr>
          <w:p w14:paraId="5694CCB6" w14:textId="77777777" w:rsidR="003A2D79" w:rsidRPr="00F23101" w:rsidRDefault="003A2D79" w:rsidP="003A2D79">
            <w:pPr>
              <w:widowControl w:val="0"/>
              <w:jc w:val="right"/>
              <w:rPr>
                <w:rFonts w:ascii="Arial Narrow" w:hAnsi="Arial Narrow"/>
                <w:b/>
                <w:sz w:val="20"/>
                <w:szCs w:val="20"/>
                <w:lang w:eastAsia="bg-BG"/>
              </w:rPr>
            </w:pPr>
            <w:r w:rsidRPr="00F23101">
              <w:rPr>
                <w:rFonts w:ascii="Arial Narrow" w:hAnsi="Arial Narrow"/>
                <w:b/>
                <w:sz w:val="20"/>
                <w:szCs w:val="20"/>
                <w:lang w:eastAsia="bg-BG"/>
              </w:rPr>
              <w:t>-7,4%</w:t>
            </w:r>
          </w:p>
        </w:tc>
        <w:tc>
          <w:tcPr>
            <w:tcW w:w="575" w:type="pct"/>
            <w:tcBorders>
              <w:top w:val="single" w:sz="4" w:space="0" w:color="auto"/>
              <w:left w:val="nil"/>
              <w:bottom w:val="single" w:sz="4" w:space="0" w:color="auto"/>
              <w:right w:val="single" w:sz="4" w:space="0" w:color="auto"/>
            </w:tcBorders>
            <w:shd w:val="clear" w:color="auto" w:fill="auto"/>
            <w:noWrap/>
            <w:vAlign w:val="center"/>
          </w:tcPr>
          <w:p w14:paraId="257E366A" w14:textId="77777777" w:rsidR="003A2D79" w:rsidRPr="00F23101" w:rsidRDefault="003A2D79" w:rsidP="003A2D79">
            <w:pPr>
              <w:widowControl w:val="0"/>
              <w:jc w:val="right"/>
              <w:rPr>
                <w:rFonts w:ascii="Arial Narrow" w:hAnsi="Arial Narrow"/>
                <w:b/>
                <w:sz w:val="20"/>
                <w:szCs w:val="20"/>
                <w:lang w:eastAsia="bg-BG"/>
              </w:rPr>
            </w:pPr>
            <w:r w:rsidRPr="00F23101">
              <w:rPr>
                <w:rFonts w:ascii="Arial Narrow" w:hAnsi="Arial Narrow"/>
                <w:b/>
                <w:sz w:val="20"/>
                <w:szCs w:val="20"/>
                <w:lang w:eastAsia="bg-BG"/>
              </w:rPr>
              <w:t>-2,2%</w:t>
            </w:r>
          </w:p>
        </w:tc>
        <w:tc>
          <w:tcPr>
            <w:tcW w:w="575" w:type="pct"/>
            <w:tcBorders>
              <w:top w:val="single" w:sz="4" w:space="0" w:color="auto"/>
              <w:left w:val="nil"/>
              <w:bottom w:val="single" w:sz="4" w:space="0" w:color="auto"/>
              <w:right w:val="single" w:sz="4" w:space="0" w:color="auto"/>
            </w:tcBorders>
            <w:shd w:val="clear" w:color="auto" w:fill="auto"/>
            <w:noWrap/>
            <w:vAlign w:val="center"/>
          </w:tcPr>
          <w:p w14:paraId="75FA413E" w14:textId="77777777" w:rsidR="003A2D79" w:rsidRPr="00F23101" w:rsidRDefault="003A2D79" w:rsidP="003A2D79">
            <w:pPr>
              <w:widowControl w:val="0"/>
              <w:jc w:val="right"/>
              <w:rPr>
                <w:rFonts w:ascii="Arial Narrow" w:hAnsi="Arial Narrow"/>
                <w:b/>
                <w:sz w:val="20"/>
                <w:szCs w:val="20"/>
                <w:lang w:eastAsia="bg-BG"/>
              </w:rPr>
            </w:pPr>
            <w:r w:rsidRPr="00F23101">
              <w:rPr>
                <w:rFonts w:ascii="Arial Narrow" w:hAnsi="Arial Narrow"/>
                <w:b/>
                <w:sz w:val="20"/>
                <w:szCs w:val="20"/>
                <w:lang w:eastAsia="bg-BG"/>
              </w:rPr>
              <w:t>-42,0%</w:t>
            </w:r>
          </w:p>
        </w:tc>
        <w:tc>
          <w:tcPr>
            <w:tcW w:w="575" w:type="pct"/>
            <w:tcBorders>
              <w:top w:val="single" w:sz="4" w:space="0" w:color="auto"/>
              <w:left w:val="nil"/>
              <w:bottom w:val="single" w:sz="4" w:space="0" w:color="auto"/>
              <w:right w:val="single" w:sz="4" w:space="0" w:color="auto"/>
            </w:tcBorders>
            <w:shd w:val="clear" w:color="auto" w:fill="auto"/>
            <w:noWrap/>
            <w:vAlign w:val="center"/>
          </w:tcPr>
          <w:p w14:paraId="1CA5E555" w14:textId="77777777" w:rsidR="003A2D79" w:rsidRPr="00F23101" w:rsidRDefault="003A2D79" w:rsidP="003A2D79">
            <w:pPr>
              <w:widowControl w:val="0"/>
              <w:jc w:val="right"/>
              <w:rPr>
                <w:rFonts w:ascii="Arial Narrow" w:hAnsi="Arial Narrow"/>
                <w:b/>
                <w:sz w:val="20"/>
                <w:szCs w:val="20"/>
                <w:lang w:eastAsia="bg-BG"/>
              </w:rPr>
            </w:pPr>
            <w:r w:rsidRPr="00F23101">
              <w:rPr>
                <w:rFonts w:ascii="Arial Narrow" w:hAnsi="Arial Narrow"/>
                <w:b/>
                <w:sz w:val="20"/>
                <w:szCs w:val="20"/>
                <w:lang w:eastAsia="bg-BG"/>
              </w:rPr>
              <w:t>-35,0%</w:t>
            </w:r>
          </w:p>
        </w:tc>
        <w:tc>
          <w:tcPr>
            <w:tcW w:w="352" w:type="pct"/>
            <w:tcBorders>
              <w:top w:val="single" w:sz="4" w:space="0" w:color="auto"/>
              <w:left w:val="nil"/>
              <w:bottom w:val="single" w:sz="4" w:space="0" w:color="auto"/>
              <w:right w:val="single" w:sz="4" w:space="0" w:color="auto"/>
            </w:tcBorders>
            <w:shd w:val="clear" w:color="auto" w:fill="auto"/>
            <w:noWrap/>
            <w:vAlign w:val="center"/>
          </w:tcPr>
          <w:p w14:paraId="235BA075" w14:textId="77777777" w:rsidR="003A2D79" w:rsidRPr="00F23101" w:rsidRDefault="003A2D79" w:rsidP="003A2D79">
            <w:pPr>
              <w:widowControl w:val="0"/>
              <w:jc w:val="right"/>
              <w:rPr>
                <w:rFonts w:ascii="Arial Narrow" w:hAnsi="Arial Narrow"/>
                <w:b/>
                <w:sz w:val="20"/>
                <w:szCs w:val="20"/>
                <w:lang w:eastAsia="bg-BG"/>
              </w:rPr>
            </w:pPr>
            <w:r w:rsidRPr="00F23101">
              <w:rPr>
                <w:rFonts w:ascii="Arial Narrow" w:hAnsi="Arial Narrow"/>
                <w:b/>
                <w:sz w:val="20"/>
                <w:szCs w:val="20"/>
                <w:lang w:eastAsia="bg-BG"/>
              </w:rPr>
              <w:t>-11,3%</w:t>
            </w:r>
          </w:p>
        </w:tc>
        <w:tc>
          <w:tcPr>
            <w:tcW w:w="399" w:type="pct"/>
            <w:tcBorders>
              <w:top w:val="single" w:sz="4" w:space="0" w:color="auto"/>
              <w:left w:val="nil"/>
              <w:bottom w:val="single" w:sz="4" w:space="0" w:color="auto"/>
              <w:right w:val="single" w:sz="4" w:space="0" w:color="auto"/>
            </w:tcBorders>
            <w:shd w:val="clear" w:color="auto" w:fill="auto"/>
            <w:noWrap/>
            <w:vAlign w:val="center"/>
          </w:tcPr>
          <w:p w14:paraId="0D277349" w14:textId="77777777" w:rsidR="003A2D79" w:rsidRPr="00F23101" w:rsidRDefault="003A2D79" w:rsidP="003A2D79">
            <w:pPr>
              <w:widowControl w:val="0"/>
              <w:jc w:val="right"/>
              <w:rPr>
                <w:rFonts w:ascii="Arial Narrow" w:hAnsi="Arial Narrow"/>
                <w:b/>
                <w:sz w:val="20"/>
                <w:szCs w:val="20"/>
                <w:lang w:eastAsia="bg-BG"/>
              </w:rPr>
            </w:pPr>
            <w:r w:rsidRPr="00F23101">
              <w:rPr>
                <w:rFonts w:ascii="Arial Narrow" w:hAnsi="Arial Narrow"/>
                <w:b/>
                <w:sz w:val="20"/>
                <w:szCs w:val="20"/>
                <w:lang w:eastAsia="bg-BG"/>
              </w:rPr>
              <w:t>-6,6%</w:t>
            </w:r>
          </w:p>
        </w:tc>
        <w:tc>
          <w:tcPr>
            <w:tcW w:w="529" w:type="pct"/>
            <w:tcBorders>
              <w:top w:val="nil"/>
              <w:left w:val="nil"/>
              <w:bottom w:val="single" w:sz="4" w:space="0" w:color="auto"/>
              <w:right w:val="single" w:sz="4" w:space="0" w:color="auto"/>
            </w:tcBorders>
            <w:shd w:val="clear" w:color="auto" w:fill="auto"/>
            <w:noWrap/>
            <w:vAlign w:val="center"/>
          </w:tcPr>
          <w:p w14:paraId="3D7E75A3" w14:textId="77777777" w:rsidR="003A2D79" w:rsidRPr="00F23101" w:rsidRDefault="003A2D79" w:rsidP="003A2D79">
            <w:pPr>
              <w:widowControl w:val="0"/>
              <w:jc w:val="right"/>
              <w:rPr>
                <w:rFonts w:ascii="Arial Narrow" w:hAnsi="Arial Narrow"/>
                <w:sz w:val="20"/>
                <w:szCs w:val="20"/>
                <w:lang w:eastAsia="bg-BG"/>
              </w:rPr>
            </w:pPr>
            <w:r w:rsidRPr="00F23101">
              <w:rPr>
                <w:rFonts w:ascii="Arial Narrow" w:hAnsi="Arial Narrow"/>
                <w:sz w:val="20"/>
                <w:szCs w:val="20"/>
                <w:lang w:eastAsia="bg-BG"/>
              </w:rPr>
              <w:t> </w:t>
            </w:r>
          </w:p>
        </w:tc>
      </w:tr>
    </w:tbl>
    <w:p w14:paraId="6D648E8F" w14:textId="77777777" w:rsidR="003A2D79" w:rsidRPr="00725099" w:rsidRDefault="003A2D79" w:rsidP="003A2D79">
      <w:pPr>
        <w:widowControl w:val="0"/>
        <w:tabs>
          <w:tab w:val="left" w:pos="0"/>
        </w:tabs>
        <w:spacing w:after="240"/>
        <w:rPr>
          <w:rFonts w:ascii="Arial Narrow" w:hAnsi="Arial Narrow" w:cs="Arial"/>
          <w:bCs/>
          <w:sz w:val="18"/>
        </w:rPr>
      </w:pPr>
      <w:r w:rsidRPr="00725099">
        <w:rPr>
          <w:rFonts w:ascii="Arial Narrow" w:hAnsi="Arial Narrow" w:cs="Arial"/>
          <w:bCs/>
          <w:i/>
          <w:sz w:val="18"/>
        </w:rPr>
        <w:t>Източник:</w:t>
      </w:r>
      <w:r w:rsidRPr="00725099">
        <w:rPr>
          <w:rFonts w:ascii="Arial Narrow" w:hAnsi="Arial Narrow" w:cs="Arial"/>
          <w:i/>
          <w:sz w:val="18"/>
        </w:rPr>
        <w:t xml:space="preserve"> </w:t>
      </w:r>
      <w:r w:rsidRPr="00725099">
        <w:rPr>
          <w:rFonts w:ascii="Arial Narrow" w:hAnsi="Arial Narrow"/>
          <w:sz w:val="18"/>
        </w:rPr>
        <w:t>МЗХ</w:t>
      </w:r>
      <w:r w:rsidRPr="00725099">
        <w:rPr>
          <w:rFonts w:ascii="Arial Narrow" w:hAnsi="Arial Narrow" w:cs="Arial"/>
          <w:sz w:val="18"/>
        </w:rPr>
        <w:t xml:space="preserve">, отдел „Агростатистика", с- конфиденциални данни </w:t>
      </w:r>
    </w:p>
    <w:p w14:paraId="45BE0760" w14:textId="77777777" w:rsidR="003A2D79" w:rsidRPr="00D32E7F" w:rsidRDefault="003A2D79" w:rsidP="003A2D79">
      <w:pPr>
        <w:widowControl w:val="0"/>
        <w:autoSpaceDE w:val="0"/>
        <w:autoSpaceDN w:val="0"/>
        <w:adjustRightInd w:val="0"/>
        <w:spacing w:after="120"/>
        <w:ind w:firstLine="709"/>
        <w:jc w:val="both"/>
        <w:rPr>
          <w:rFonts w:ascii="Arial Narrow" w:hAnsi="Arial Narrow"/>
          <w:lang w:eastAsia="bg-BG"/>
        </w:rPr>
      </w:pPr>
      <w:r w:rsidRPr="00D32E7F">
        <w:rPr>
          <w:rFonts w:ascii="Arial Narrow" w:hAnsi="Arial Narrow"/>
          <w:lang w:eastAsia="bg-BG"/>
        </w:rPr>
        <w:t>През 2024 г. стопанствата, отглеждащи кокошки носачки и подрастващи намаляват с 8,7% на годишна база,</w:t>
      </w:r>
      <w:r>
        <w:rPr>
          <w:rFonts w:ascii="Arial Narrow" w:hAnsi="Arial Narrow"/>
          <w:lang w:eastAsia="bg-BG"/>
        </w:rPr>
        <w:t xml:space="preserve"> до 13 093 броя</w:t>
      </w:r>
      <w:r w:rsidRPr="00D32E7F">
        <w:rPr>
          <w:rFonts w:ascii="Arial Narrow" w:hAnsi="Arial Narrow"/>
          <w:lang w:eastAsia="bg-BG"/>
        </w:rPr>
        <w:t>. Най-съществен спад се наблюдава при промишлените птицеферми с</w:t>
      </w:r>
      <w:r>
        <w:rPr>
          <w:rFonts w:ascii="Arial Narrow" w:hAnsi="Arial Narrow"/>
          <w:lang w:eastAsia="bg-BG"/>
        </w:rPr>
        <w:t>ъс</w:t>
      </w:r>
      <w:r w:rsidRPr="00D32E7F">
        <w:rPr>
          <w:rFonts w:ascii="Arial Narrow" w:hAnsi="Arial Narrow"/>
          <w:lang w:eastAsia="bg-BG"/>
        </w:rPr>
        <w:t xml:space="preserve"> 100 000 и повече птици – с 11,1%, </w:t>
      </w:r>
      <w:r>
        <w:rPr>
          <w:rFonts w:ascii="Arial Narrow" w:hAnsi="Arial Narrow"/>
          <w:lang w:eastAsia="bg-BG"/>
        </w:rPr>
        <w:t>но</w:t>
      </w:r>
      <w:r w:rsidRPr="00D32E7F">
        <w:rPr>
          <w:rFonts w:ascii="Arial Narrow" w:hAnsi="Arial Narrow"/>
          <w:lang w:eastAsia="bg-BG"/>
        </w:rPr>
        <w:t xml:space="preserve"> кокошките носачки в тях намаляват незначително - с 0,9%. Дребните </w:t>
      </w:r>
      <w:r w:rsidRPr="00D32E7F">
        <w:rPr>
          <w:rFonts w:ascii="Arial Narrow" w:hAnsi="Arial Narrow"/>
          <w:lang w:eastAsia="bg-BG"/>
        </w:rPr>
        <w:lastRenderedPageBreak/>
        <w:t xml:space="preserve">птицеферми (с 1 до 99 птици) </w:t>
      </w:r>
      <w:r>
        <w:rPr>
          <w:rFonts w:ascii="Arial Narrow" w:hAnsi="Arial Narrow"/>
          <w:lang w:eastAsia="bg-BG"/>
        </w:rPr>
        <w:t>са</w:t>
      </w:r>
      <w:r w:rsidRPr="00D32E7F">
        <w:rPr>
          <w:rFonts w:ascii="Arial Narrow" w:hAnsi="Arial Narrow"/>
          <w:lang w:eastAsia="bg-BG"/>
        </w:rPr>
        <w:t xml:space="preserve"> с 8,8%</w:t>
      </w:r>
      <w:r>
        <w:rPr>
          <w:rFonts w:ascii="Arial Narrow" w:hAnsi="Arial Narrow"/>
          <w:lang w:eastAsia="bg-BG"/>
        </w:rPr>
        <w:t xml:space="preserve"> по-малко</w:t>
      </w:r>
      <w:r w:rsidRPr="00D32E7F">
        <w:rPr>
          <w:rFonts w:ascii="Arial Narrow" w:hAnsi="Arial Narrow"/>
          <w:lang w:eastAsia="bg-BG"/>
        </w:rPr>
        <w:t xml:space="preserve">, а отглежданите в тях птици – с 6,6%. </w:t>
      </w:r>
      <w:r>
        <w:rPr>
          <w:rFonts w:ascii="Arial Narrow" w:hAnsi="Arial Narrow"/>
          <w:lang w:eastAsia="bg-BG"/>
        </w:rPr>
        <w:t>Макар</w:t>
      </w:r>
      <w:r w:rsidRPr="00D32E7F">
        <w:rPr>
          <w:rFonts w:ascii="Arial Narrow" w:hAnsi="Arial Narrow"/>
          <w:lang w:eastAsia="bg-BG"/>
        </w:rPr>
        <w:t xml:space="preserve"> птицефермите със 100 –  9 999 кокошки носачки и подрастващи </w:t>
      </w:r>
      <w:r>
        <w:rPr>
          <w:rFonts w:ascii="Arial Narrow" w:hAnsi="Arial Narrow"/>
          <w:lang w:eastAsia="bg-BG"/>
        </w:rPr>
        <w:t>да нарастват</w:t>
      </w:r>
      <w:r w:rsidRPr="00D32E7F">
        <w:rPr>
          <w:rFonts w:ascii="Arial Narrow" w:hAnsi="Arial Narrow"/>
          <w:lang w:eastAsia="bg-BG"/>
        </w:rPr>
        <w:t xml:space="preserve"> с 1%, птиците в тях </w:t>
      </w:r>
      <w:r>
        <w:rPr>
          <w:rFonts w:ascii="Arial Narrow" w:hAnsi="Arial Narrow"/>
          <w:lang w:eastAsia="bg-BG"/>
        </w:rPr>
        <w:t>спадат</w:t>
      </w:r>
      <w:r w:rsidRPr="00D32E7F">
        <w:rPr>
          <w:rFonts w:ascii="Arial Narrow" w:hAnsi="Arial Narrow"/>
          <w:lang w:eastAsia="bg-BG"/>
        </w:rPr>
        <w:t xml:space="preserve"> с 24,9%. Броят на стопанствата, отглеждащи между 10 000 </w:t>
      </w:r>
      <w:r>
        <w:rPr>
          <w:rFonts w:ascii="Arial Narrow" w:hAnsi="Arial Narrow"/>
          <w:lang w:eastAsia="bg-BG"/>
        </w:rPr>
        <w:t>и</w:t>
      </w:r>
      <w:r w:rsidRPr="00D32E7F">
        <w:rPr>
          <w:rFonts w:ascii="Arial Narrow" w:hAnsi="Arial Narrow"/>
          <w:lang w:eastAsia="bg-BG"/>
        </w:rPr>
        <w:t xml:space="preserve"> 99 999 птици </w:t>
      </w:r>
      <w:r>
        <w:rPr>
          <w:rFonts w:ascii="Arial Narrow" w:hAnsi="Arial Narrow"/>
          <w:lang w:eastAsia="bg-BG"/>
        </w:rPr>
        <w:t>е</w:t>
      </w:r>
      <w:r w:rsidRPr="00D32E7F">
        <w:rPr>
          <w:rFonts w:ascii="Arial Narrow" w:hAnsi="Arial Narrow"/>
          <w:lang w:eastAsia="bg-BG"/>
        </w:rPr>
        <w:t xml:space="preserve"> с 4,4% </w:t>
      </w:r>
      <w:r>
        <w:rPr>
          <w:rFonts w:ascii="Arial Narrow" w:hAnsi="Arial Narrow"/>
          <w:lang w:eastAsia="bg-BG"/>
        </w:rPr>
        <w:t>над отчетения за</w:t>
      </w:r>
      <w:r w:rsidRPr="00D32E7F">
        <w:rPr>
          <w:rFonts w:ascii="Arial Narrow" w:hAnsi="Arial Narrow"/>
          <w:lang w:eastAsia="bg-BG"/>
        </w:rPr>
        <w:t xml:space="preserve"> 2023 г., а  </w:t>
      </w:r>
      <w:r>
        <w:rPr>
          <w:rFonts w:ascii="Arial Narrow" w:hAnsi="Arial Narrow"/>
          <w:lang w:eastAsia="bg-BG"/>
        </w:rPr>
        <w:t xml:space="preserve">този на </w:t>
      </w:r>
      <w:r w:rsidRPr="00D32E7F">
        <w:rPr>
          <w:rFonts w:ascii="Arial Narrow" w:hAnsi="Arial Narrow"/>
          <w:lang w:eastAsia="bg-BG"/>
        </w:rPr>
        <w:t>кокошките носачки в тях - със 17,2%.</w:t>
      </w:r>
    </w:p>
    <w:p w14:paraId="262DB86E" w14:textId="77777777" w:rsidR="003A2D79" w:rsidRPr="00213F96" w:rsidRDefault="003A2D79" w:rsidP="003A2D79">
      <w:pPr>
        <w:widowControl w:val="0"/>
        <w:autoSpaceDE w:val="0"/>
        <w:autoSpaceDN w:val="0"/>
        <w:adjustRightInd w:val="0"/>
        <w:spacing w:after="120"/>
        <w:ind w:firstLine="709"/>
        <w:jc w:val="both"/>
        <w:rPr>
          <w:rFonts w:ascii="Arial Narrow" w:hAnsi="Arial Narrow"/>
          <w:lang w:eastAsia="bg-BG"/>
        </w:rPr>
      </w:pPr>
      <w:r w:rsidRPr="00213F96">
        <w:rPr>
          <w:rFonts w:ascii="Arial Narrow" w:hAnsi="Arial Narrow"/>
          <w:lang w:eastAsia="bg-BG"/>
        </w:rPr>
        <w:t>Към края на 2024 г. броят на стопанствата, отглеждащи пилета за месо</w:t>
      </w:r>
      <w:r>
        <w:rPr>
          <w:rFonts w:ascii="Arial Narrow" w:hAnsi="Arial Narrow"/>
          <w:lang w:eastAsia="bg-BG"/>
        </w:rPr>
        <w:t xml:space="preserve">, се свива с 23,5% </w:t>
      </w:r>
      <w:r w:rsidRPr="00213F96">
        <w:rPr>
          <w:rFonts w:ascii="Arial Narrow" w:hAnsi="Arial Narrow"/>
          <w:lang w:eastAsia="bg-BG"/>
        </w:rPr>
        <w:t xml:space="preserve">спрямо година по-рано. </w:t>
      </w:r>
      <w:r>
        <w:rPr>
          <w:rFonts w:ascii="Arial Narrow" w:hAnsi="Arial Narrow"/>
          <w:lang w:eastAsia="bg-BG"/>
        </w:rPr>
        <w:t>М</w:t>
      </w:r>
      <w:r w:rsidRPr="00213F96">
        <w:rPr>
          <w:rFonts w:ascii="Arial Narrow" w:hAnsi="Arial Narrow"/>
          <w:lang w:eastAsia="bg-BG"/>
        </w:rPr>
        <w:t xml:space="preserve">алките стопанства (1 - 199 броя) </w:t>
      </w:r>
      <w:r>
        <w:rPr>
          <w:rFonts w:ascii="Arial Narrow" w:hAnsi="Arial Narrow"/>
          <w:lang w:eastAsia="bg-BG"/>
        </w:rPr>
        <w:t xml:space="preserve">спадат </w:t>
      </w:r>
      <w:r w:rsidRPr="00213F96">
        <w:rPr>
          <w:rFonts w:ascii="Arial Narrow" w:hAnsi="Arial Narrow"/>
          <w:lang w:eastAsia="bg-BG"/>
        </w:rPr>
        <w:t xml:space="preserve">с 54,1%, </w:t>
      </w:r>
      <w:r>
        <w:rPr>
          <w:rFonts w:ascii="Arial Narrow" w:hAnsi="Arial Narrow"/>
          <w:lang w:eastAsia="bg-BG"/>
        </w:rPr>
        <w:t>а</w:t>
      </w:r>
      <w:r w:rsidRPr="00213F96">
        <w:rPr>
          <w:rFonts w:ascii="Arial Narrow" w:hAnsi="Arial Narrow"/>
          <w:lang w:eastAsia="bg-BG"/>
        </w:rPr>
        <w:t xml:space="preserve"> пилетата за месо в тях – с 50%. </w:t>
      </w:r>
      <w:r>
        <w:rPr>
          <w:rFonts w:ascii="Arial Narrow" w:hAnsi="Arial Narrow"/>
          <w:lang w:eastAsia="bg-BG"/>
        </w:rPr>
        <w:t>Съществено по-малко са и п</w:t>
      </w:r>
      <w:r w:rsidRPr="00213F96">
        <w:rPr>
          <w:rFonts w:ascii="Arial Narrow" w:hAnsi="Arial Narrow"/>
          <w:lang w:eastAsia="bg-BG"/>
        </w:rPr>
        <w:t xml:space="preserve">тицефермите с 200 – 9 999 птици </w:t>
      </w:r>
      <w:r>
        <w:rPr>
          <w:rFonts w:ascii="Arial Narrow" w:hAnsi="Arial Narrow"/>
          <w:lang w:eastAsia="bg-BG"/>
        </w:rPr>
        <w:t>-</w:t>
      </w:r>
      <w:r w:rsidRPr="00213F96">
        <w:rPr>
          <w:rFonts w:ascii="Arial Narrow" w:hAnsi="Arial Narrow"/>
          <w:lang w:eastAsia="bg-BG"/>
        </w:rPr>
        <w:t xml:space="preserve"> с 33,3%, </w:t>
      </w:r>
      <w:r>
        <w:rPr>
          <w:rFonts w:ascii="Arial Narrow" w:hAnsi="Arial Narrow"/>
          <w:lang w:eastAsia="bg-BG"/>
        </w:rPr>
        <w:t>както и</w:t>
      </w:r>
      <w:r w:rsidRPr="00213F96">
        <w:rPr>
          <w:rFonts w:ascii="Arial Narrow" w:hAnsi="Arial Narrow"/>
          <w:lang w:eastAsia="bg-BG"/>
        </w:rPr>
        <w:t xml:space="preserve"> отглежданите в тях птици – с 34,3%.  При стопанствата с 10 000 – 99 999 </w:t>
      </w:r>
      <w:r>
        <w:rPr>
          <w:rFonts w:ascii="Arial Narrow" w:hAnsi="Arial Narrow"/>
          <w:lang w:eastAsia="bg-BG"/>
        </w:rPr>
        <w:t>птици</w:t>
      </w:r>
      <w:r w:rsidRPr="00213F96">
        <w:rPr>
          <w:rFonts w:ascii="Arial Narrow" w:hAnsi="Arial Narrow"/>
          <w:lang w:eastAsia="bg-BG"/>
        </w:rPr>
        <w:t xml:space="preserve"> има увеличение както на броя ферми – с 23,1%, така и на пилетата в тях – с 10,8%. Промишлените птицеферми (100 000 и повече бр</w:t>
      </w:r>
      <w:r>
        <w:rPr>
          <w:rFonts w:ascii="Arial Narrow" w:hAnsi="Arial Narrow"/>
          <w:lang w:eastAsia="bg-BG"/>
        </w:rPr>
        <w:t>оя</w:t>
      </w:r>
      <w:r w:rsidRPr="00213F96">
        <w:rPr>
          <w:rFonts w:ascii="Arial Narrow" w:hAnsi="Arial Narrow"/>
          <w:lang w:eastAsia="bg-BG"/>
        </w:rPr>
        <w:t xml:space="preserve">) нарастват с 18,2%, </w:t>
      </w:r>
      <w:r>
        <w:rPr>
          <w:rFonts w:ascii="Arial Narrow" w:hAnsi="Arial Narrow"/>
          <w:lang w:eastAsia="bg-BG"/>
        </w:rPr>
        <w:t>но</w:t>
      </w:r>
      <w:r w:rsidRPr="00213F96">
        <w:rPr>
          <w:rFonts w:ascii="Arial Narrow" w:hAnsi="Arial Narrow"/>
          <w:lang w:eastAsia="bg-BG"/>
        </w:rPr>
        <w:t xml:space="preserve"> към края на годината </w:t>
      </w:r>
      <w:r>
        <w:rPr>
          <w:rFonts w:ascii="Arial Narrow" w:hAnsi="Arial Narrow"/>
          <w:lang w:eastAsia="bg-BG"/>
        </w:rPr>
        <w:t xml:space="preserve">в тях са отчетени </w:t>
      </w:r>
      <w:r w:rsidRPr="00213F96">
        <w:rPr>
          <w:rFonts w:ascii="Arial Narrow" w:hAnsi="Arial Narrow"/>
          <w:lang w:eastAsia="bg-BG"/>
        </w:rPr>
        <w:t>с 19,2% по-малко</w:t>
      </w:r>
      <w:r>
        <w:rPr>
          <w:rFonts w:ascii="Arial Narrow" w:hAnsi="Arial Narrow"/>
          <w:lang w:eastAsia="bg-BG"/>
        </w:rPr>
        <w:t xml:space="preserve"> птици</w:t>
      </w:r>
      <w:r w:rsidRPr="00213F96">
        <w:rPr>
          <w:rFonts w:ascii="Arial Narrow" w:hAnsi="Arial Narrow"/>
          <w:lang w:eastAsia="bg-BG"/>
        </w:rPr>
        <w:t>.</w:t>
      </w:r>
    </w:p>
    <w:p w14:paraId="43092389" w14:textId="77777777" w:rsidR="003A2D79" w:rsidRPr="00E972CF" w:rsidRDefault="003A2D79" w:rsidP="003A2D79">
      <w:pPr>
        <w:widowControl w:val="0"/>
        <w:tabs>
          <w:tab w:val="left" w:pos="180"/>
        </w:tabs>
        <w:spacing w:after="120"/>
        <w:jc w:val="both"/>
        <w:rPr>
          <w:rFonts w:ascii="Arial Narrow" w:hAnsi="Arial Narrow"/>
          <w:b/>
        </w:rPr>
      </w:pPr>
      <w:r w:rsidRPr="00E972CF">
        <w:rPr>
          <w:rFonts w:ascii="Arial Narrow" w:hAnsi="Arial Narrow"/>
          <w:b/>
        </w:rPr>
        <w:t>Таблица ІІ.27. Производство на яйца през 2024 г. по райони за планиране, хил. броя</w:t>
      </w:r>
    </w:p>
    <w:tbl>
      <w:tblPr>
        <w:tblpPr w:leftFromText="141" w:rightFromText="141" w:vertAnchor="text" w:tblpXSpec="center" w:tblpY="1"/>
        <w:tblOverlap w:val="never"/>
        <w:tblW w:w="97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50"/>
        <w:gridCol w:w="1636"/>
        <w:gridCol w:w="1637"/>
        <w:gridCol w:w="1637"/>
        <w:gridCol w:w="1637"/>
      </w:tblGrid>
      <w:tr w:rsidR="003A2D79" w:rsidRPr="00E972CF" w14:paraId="76553C1A" w14:textId="77777777" w:rsidTr="00CD3FE8">
        <w:trPr>
          <w:trHeight w:val="624"/>
          <w:tblHeader/>
        </w:trPr>
        <w:tc>
          <w:tcPr>
            <w:tcW w:w="3250" w:type="dxa"/>
            <w:vAlign w:val="center"/>
          </w:tcPr>
          <w:p w14:paraId="50A514DD" w14:textId="77777777" w:rsidR="003A2D79" w:rsidRPr="00E972CF" w:rsidRDefault="003A2D79" w:rsidP="003A2D79">
            <w:pPr>
              <w:widowControl w:val="0"/>
              <w:tabs>
                <w:tab w:val="left" w:pos="709"/>
              </w:tabs>
              <w:jc w:val="center"/>
              <w:rPr>
                <w:rFonts w:ascii="Arial Narrow" w:hAnsi="Arial Narrow"/>
                <w:b/>
                <w:sz w:val="20"/>
                <w:szCs w:val="20"/>
              </w:rPr>
            </w:pPr>
            <w:r w:rsidRPr="00E972CF">
              <w:rPr>
                <w:rFonts w:ascii="Arial Narrow" w:hAnsi="Arial Narrow"/>
                <w:b/>
                <w:sz w:val="20"/>
                <w:szCs w:val="20"/>
              </w:rPr>
              <w:t>Район</w:t>
            </w:r>
          </w:p>
        </w:tc>
        <w:tc>
          <w:tcPr>
            <w:tcW w:w="1636" w:type="dxa"/>
            <w:vAlign w:val="center"/>
          </w:tcPr>
          <w:p w14:paraId="681E30CF" w14:textId="77777777" w:rsidR="003A2D79" w:rsidRPr="00E972CF" w:rsidRDefault="003A2D79" w:rsidP="003A2D79">
            <w:pPr>
              <w:widowControl w:val="0"/>
              <w:jc w:val="center"/>
              <w:rPr>
                <w:rFonts w:ascii="Arial Narrow" w:hAnsi="Arial Narrow"/>
                <w:b/>
                <w:bCs/>
                <w:sz w:val="20"/>
                <w:szCs w:val="20"/>
              </w:rPr>
            </w:pPr>
            <w:r w:rsidRPr="00E972CF">
              <w:rPr>
                <w:rFonts w:ascii="Arial Narrow" w:hAnsi="Arial Narrow"/>
                <w:b/>
                <w:bCs/>
                <w:sz w:val="20"/>
                <w:szCs w:val="20"/>
              </w:rPr>
              <w:t>Яйца от кокошки</w:t>
            </w:r>
          </w:p>
        </w:tc>
        <w:tc>
          <w:tcPr>
            <w:tcW w:w="1637" w:type="dxa"/>
            <w:vAlign w:val="center"/>
          </w:tcPr>
          <w:p w14:paraId="69435CD3" w14:textId="77777777" w:rsidR="003A2D79" w:rsidRPr="00E972CF" w:rsidRDefault="003A2D79" w:rsidP="003A2D79">
            <w:pPr>
              <w:widowControl w:val="0"/>
              <w:jc w:val="center"/>
              <w:rPr>
                <w:rFonts w:ascii="Arial Narrow" w:hAnsi="Arial Narrow"/>
                <w:b/>
                <w:bCs/>
                <w:sz w:val="20"/>
                <w:szCs w:val="20"/>
              </w:rPr>
            </w:pPr>
            <w:r w:rsidRPr="00E972CF">
              <w:rPr>
                <w:rFonts w:ascii="Arial Narrow" w:hAnsi="Arial Narrow"/>
                <w:b/>
                <w:bCs/>
                <w:sz w:val="20"/>
                <w:szCs w:val="20"/>
              </w:rPr>
              <w:t>Яйца от други птици</w:t>
            </w:r>
          </w:p>
        </w:tc>
        <w:tc>
          <w:tcPr>
            <w:tcW w:w="1637" w:type="dxa"/>
            <w:vAlign w:val="center"/>
          </w:tcPr>
          <w:p w14:paraId="584CEC82" w14:textId="77777777" w:rsidR="003A2D79" w:rsidRPr="00E972CF" w:rsidRDefault="003A2D79" w:rsidP="003A2D79">
            <w:pPr>
              <w:widowControl w:val="0"/>
              <w:jc w:val="center"/>
              <w:rPr>
                <w:rFonts w:ascii="Arial Narrow" w:hAnsi="Arial Narrow"/>
                <w:b/>
                <w:bCs/>
                <w:sz w:val="20"/>
                <w:szCs w:val="20"/>
              </w:rPr>
            </w:pPr>
            <w:r w:rsidRPr="00E972CF">
              <w:rPr>
                <w:rFonts w:ascii="Arial Narrow" w:hAnsi="Arial Narrow"/>
                <w:b/>
                <w:bCs/>
                <w:sz w:val="20"/>
                <w:szCs w:val="20"/>
              </w:rPr>
              <w:t>Общо яйца</w:t>
            </w:r>
          </w:p>
        </w:tc>
        <w:tc>
          <w:tcPr>
            <w:tcW w:w="1637" w:type="dxa"/>
            <w:vAlign w:val="center"/>
          </w:tcPr>
          <w:p w14:paraId="1A1A199C" w14:textId="77777777" w:rsidR="003A2D79" w:rsidRPr="00E972CF" w:rsidRDefault="003A2D79" w:rsidP="003A2D79">
            <w:pPr>
              <w:widowControl w:val="0"/>
              <w:jc w:val="center"/>
              <w:rPr>
                <w:rFonts w:ascii="Arial Narrow" w:hAnsi="Arial Narrow"/>
                <w:b/>
                <w:bCs/>
                <w:sz w:val="20"/>
                <w:szCs w:val="20"/>
              </w:rPr>
            </w:pPr>
            <w:r w:rsidRPr="00E972CF">
              <w:rPr>
                <w:rFonts w:ascii="Arial Narrow" w:hAnsi="Arial Narrow"/>
                <w:b/>
                <w:bCs/>
                <w:sz w:val="20"/>
                <w:szCs w:val="20"/>
              </w:rPr>
              <w:t xml:space="preserve">Изменение общо яйца </w:t>
            </w:r>
            <w:r w:rsidRPr="00E972CF">
              <w:rPr>
                <w:rFonts w:ascii="Arial Narrow" w:hAnsi="Arial Narrow"/>
                <w:b/>
                <w:sz w:val="20"/>
                <w:szCs w:val="20"/>
              </w:rPr>
              <w:t>2024/2023</w:t>
            </w:r>
          </w:p>
        </w:tc>
      </w:tr>
      <w:tr w:rsidR="003A2D79" w:rsidRPr="00E972CF" w14:paraId="3E73AB67" w14:textId="77777777" w:rsidTr="00CD3FE8">
        <w:trPr>
          <w:trHeight w:val="340"/>
        </w:trPr>
        <w:tc>
          <w:tcPr>
            <w:tcW w:w="3250" w:type="dxa"/>
            <w:vAlign w:val="center"/>
          </w:tcPr>
          <w:p w14:paraId="3EEFA7C2" w14:textId="77777777" w:rsidR="003A2D79" w:rsidRPr="00E972CF" w:rsidRDefault="003A2D79" w:rsidP="003A2D79">
            <w:pPr>
              <w:widowControl w:val="0"/>
              <w:rPr>
                <w:rFonts w:ascii="Arial Narrow" w:hAnsi="Arial Narrow"/>
                <w:sz w:val="20"/>
                <w:szCs w:val="20"/>
                <w:lang w:eastAsia="bg-BG"/>
              </w:rPr>
            </w:pPr>
            <w:r w:rsidRPr="00E972CF">
              <w:rPr>
                <w:rFonts w:ascii="Arial Narrow" w:hAnsi="Arial Narrow"/>
                <w:sz w:val="20"/>
                <w:szCs w:val="20"/>
                <w:lang w:eastAsia="bg-BG"/>
              </w:rPr>
              <w:t>Северозападен</w:t>
            </w:r>
          </w:p>
        </w:tc>
        <w:tc>
          <w:tcPr>
            <w:tcW w:w="1636" w:type="dxa"/>
            <w:shd w:val="clear" w:color="auto" w:fill="auto"/>
            <w:vAlign w:val="center"/>
          </w:tcPr>
          <w:p w14:paraId="0B039020" w14:textId="77777777" w:rsidR="003A2D79" w:rsidRPr="00E972CF" w:rsidRDefault="003A2D79" w:rsidP="003A2D79">
            <w:pPr>
              <w:widowControl w:val="0"/>
              <w:jc w:val="right"/>
              <w:rPr>
                <w:rFonts w:ascii="Arial Narrow" w:hAnsi="Arial Narrow"/>
                <w:sz w:val="20"/>
                <w:szCs w:val="20"/>
                <w:lang w:eastAsia="bg-BG"/>
              </w:rPr>
            </w:pPr>
            <w:r w:rsidRPr="00E972CF">
              <w:rPr>
                <w:rFonts w:ascii="Arial Narrow" w:hAnsi="Arial Narrow"/>
                <w:sz w:val="20"/>
                <w:szCs w:val="20"/>
                <w:lang w:eastAsia="bg-BG"/>
              </w:rPr>
              <w:t>83 004</w:t>
            </w:r>
          </w:p>
        </w:tc>
        <w:tc>
          <w:tcPr>
            <w:tcW w:w="1637" w:type="dxa"/>
            <w:shd w:val="clear" w:color="auto" w:fill="auto"/>
            <w:vAlign w:val="center"/>
          </w:tcPr>
          <w:p w14:paraId="22BCDC84" w14:textId="77777777" w:rsidR="003A2D79" w:rsidRPr="00E972CF" w:rsidRDefault="003A2D79" w:rsidP="003A2D79">
            <w:pPr>
              <w:widowControl w:val="0"/>
              <w:jc w:val="right"/>
              <w:rPr>
                <w:rFonts w:ascii="Arial Narrow" w:hAnsi="Arial Narrow"/>
                <w:sz w:val="20"/>
                <w:szCs w:val="20"/>
                <w:lang w:eastAsia="bg-BG"/>
              </w:rPr>
            </w:pPr>
            <w:r w:rsidRPr="00E972CF">
              <w:rPr>
                <w:rFonts w:ascii="Arial Narrow" w:hAnsi="Arial Narrow"/>
                <w:sz w:val="20"/>
                <w:szCs w:val="20"/>
                <w:lang w:eastAsia="bg-BG"/>
              </w:rPr>
              <w:t>447</w:t>
            </w:r>
          </w:p>
        </w:tc>
        <w:tc>
          <w:tcPr>
            <w:tcW w:w="1637" w:type="dxa"/>
            <w:shd w:val="clear" w:color="auto" w:fill="auto"/>
            <w:vAlign w:val="center"/>
          </w:tcPr>
          <w:p w14:paraId="426472F8" w14:textId="77777777" w:rsidR="003A2D79" w:rsidRPr="00E972CF" w:rsidRDefault="003A2D79" w:rsidP="003A2D79">
            <w:pPr>
              <w:widowControl w:val="0"/>
              <w:jc w:val="right"/>
              <w:rPr>
                <w:rFonts w:ascii="Arial Narrow" w:hAnsi="Arial Narrow"/>
                <w:sz w:val="20"/>
                <w:szCs w:val="20"/>
                <w:lang w:eastAsia="bg-BG"/>
              </w:rPr>
            </w:pPr>
            <w:r w:rsidRPr="00E972CF">
              <w:rPr>
                <w:rFonts w:ascii="Arial Narrow" w:hAnsi="Arial Narrow"/>
                <w:sz w:val="20"/>
                <w:szCs w:val="20"/>
                <w:lang w:eastAsia="bg-BG"/>
              </w:rPr>
              <w:t>83 451</w:t>
            </w:r>
          </w:p>
        </w:tc>
        <w:tc>
          <w:tcPr>
            <w:tcW w:w="1637" w:type="dxa"/>
            <w:shd w:val="clear" w:color="auto" w:fill="auto"/>
            <w:vAlign w:val="center"/>
          </w:tcPr>
          <w:p w14:paraId="229B64B8" w14:textId="77777777" w:rsidR="003A2D79" w:rsidRPr="00E972CF" w:rsidRDefault="003A2D79" w:rsidP="003A2D79">
            <w:pPr>
              <w:widowControl w:val="0"/>
              <w:jc w:val="right"/>
              <w:rPr>
                <w:rFonts w:ascii="Arial Narrow" w:hAnsi="Arial Narrow"/>
                <w:sz w:val="20"/>
                <w:szCs w:val="20"/>
                <w:lang w:eastAsia="bg-BG"/>
              </w:rPr>
            </w:pPr>
            <w:r w:rsidRPr="00E972CF">
              <w:rPr>
                <w:rFonts w:ascii="Arial Narrow" w:hAnsi="Arial Narrow"/>
                <w:sz w:val="20"/>
                <w:szCs w:val="20"/>
                <w:lang w:eastAsia="bg-BG"/>
              </w:rPr>
              <w:t>2,4%</w:t>
            </w:r>
          </w:p>
        </w:tc>
      </w:tr>
      <w:tr w:rsidR="003A2D79" w:rsidRPr="00E972CF" w14:paraId="58E12DAC" w14:textId="77777777" w:rsidTr="00CD3FE8">
        <w:trPr>
          <w:trHeight w:val="340"/>
        </w:trPr>
        <w:tc>
          <w:tcPr>
            <w:tcW w:w="3250" w:type="dxa"/>
            <w:vAlign w:val="center"/>
          </w:tcPr>
          <w:p w14:paraId="76836FF9" w14:textId="77777777" w:rsidR="003A2D79" w:rsidRPr="00E972CF" w:rsidRDefault="003A2D79" w:rsidP="003A2D79">
            <w:pPr>
              <w:widowControl w:val="0"/>
              <w:rPr>
                <w:rFonts w:ascii="Arial Narrow" w:hAnsi="Arial Narrow"/>
                <w:sz w:val="20"/>
                <w:szCs w:val="20"/>
                <w:lang w:eastAsia="bg-BG"/>
              </w:rPr>
            </w:pPr>
            <w:r w:rsidRPr="00E972CF">
              <w:rPr>
                <w:rFonts w:ascii="Arial Narrow" w:hAnsi="Arial Narrow"/>
                <w:sz w:val="20"/>
                <w:szCs w:val="20"/>
                <w:lang w:eastAsia="bg-BG"/>
              </w:rPr>
              <w:t>Северен централен</w:t>
            </w:r>
          </w:p>
        </w:tc>
        <w:tc>
          <w:tcPr>
            <w:tcW w:w="1636" w:type="dxa"/>
            <w:shd w:val="clear" w:color="auto" w:fill="auto"/>
            <w:vAlign w:val="center"/>
          </w:tcPr>
          <w:p w14:paraId="2B6B9054" w14:textId="77777777" w:rsidR="003A2D79" w:rsidRPr="00E972CF" w:rsidRDefault="003A2D79" w:rsidP="003A2D79">
            <w:pPr>
              <w:widowControl w:val="0"/>
              <w:jc w:val="right"/>
              <w:rPr>
                <w:rFonts w:ascii="Arial Narrow" w:hAnsi="Arial Narrow"/>
                <w:sz w:val="20"/>
                <w:szCs w:val="20"/>
                <w:lang w:eastAsia="bg-BG"/>
              </w:rPr>
            </w:pPr>
            <w:r w:rsidRPr="00E972CF">
              <w:rPr>
                <w:rFonts w:ascii="Arial Narrow" w:hAnsi="Arial Narrow"/>
                <w:sz w:val="20"/>
                <w:szCs w:val="20"/>
                <w:lang w:eastAsia="bg-BG"/>
              </w:rPr>
              <w:t>290 971</w:t>
            </w:r>
          </w:p>
        </w:tc>
        <w:tc>
          <w:tcPr>
            <w:tcW w:w="1637" w:type="dxa"/>
            <w:shd w:val="clear" w:color="auto" w:fill="auto"/>
            <w:vAlign w:val="center"/>
          </w:tcPr>
          <w:p w14:paraId="588CBD82" w14:textId="77777777" w:rsidR="003A2D79" w:rsidRPr="00E972CF" w:rsidRDefault="003A2D79" w:rsidP="003A2D79">
            <w:pPr>
              <w:widowControl w:val="0"/>
              <w:jc w:val="right"/>
              <w:rPr>
                <w:rFonts w:ascii="Arial Narrow" w:hAnsi="Arial Narrow"/>
                <w:sz w:val="20"/>
                <w:szCs w:val="20"/>
                <w:lang w:eastAsia="bg-BG"/>
              </w:rPr>
            </w:pPr>
            <w:r w:rsidRPr="00E972CF">
              <w:rPr>
                <w:rFonts w:ascii="Arial Narrow" w:hAnsi="Arial Narrow"/>
                <w:sz w:val="20"/>
                <w:szCs w:val="20"/>
                <w:lang w:eastAsia="bg-BG"/>
              </w:rPr>
              <w:t>1 621</w:t>
            </w:r>
          </w:p>
        </w:tc>
        <w:tc>
          <w:tcPr>
            <w:tcW w:w="1637" w:type="dxa"/>
            <w:shd w:val="clear" w:color="auto" w:fill="auto"/>
            <w:vAlign w:val="center"/>
          </w:tcPr>
          <w:p w14:paraId="2A4EF9A5" w14:textId="77777777" w:rsidR="003A2D79" w:rsidRPr="00E972CF" w:rsidRDefault="003A2D79" w:rsidP="003A2D79">
            <w:pPr>
              <w:widowControl w:val="0"/>
              <w:jc w:val="right"/>
              <w:rPr>
                <w:rFonts w:ascii="Arial Narrow" w:hAnsi="Arial Narrow"/>
                <w:sz w:val="20"/>
                <w:szCs w:val="20"/>
                <w:lang w:eastAsia="bg-BG"/>
              </w:rPr>
            </w:pPr>
            <w:r w:rsidRPr="00E972CF">
              <w:rPr>
                <w:rFonts w:ascii="Arial Narrow" w:hAnsi="Arial Narrow"/>
                <w:sz w:val="20"/>
                <w:szCs w:val="20"/>
                <w:lang w:eastAsia="bg-BG"/>
              </w:rPr>
              <w:t>292 592</w:t>
            </w:r>
          </w:p>
        </w:tc>
        <w:tc>
          <w:tcPr>
            <w:tcW w:w="1637" w:type="dxa"/>
            <w:shd w:val="clear" w:color="auto" w:fill="auto"/>
            <w:vAlign w:val="center"/>
          </w:tcPr>
          <w:p w14:paraId="32CC0B7B" w14:textId="77777777" w:rsidR="003A2D79" w:rsidRPr="00E972CF" w:rsidRDefault="003A2D79" w:rsidP="003A2D79">
            <w:pPr>
              <w:widowControl w:val="0"/>
              <w:jc w:val="right"/>
              <w:rPr>
                <w:rFonts w:ascii="Arial Narrow" w:hAnsi="Arial Narrow"/>
                <w:sz w:val="20"/>
                <w:szCs w:val="20"/>
                <w:lang w:eastAsia="bg-BG"/>
              </w:rPr>
            </w:pPr>
            <w:r w:rsidRPr="00E972CF">
              <w:rPr>
                <w:rFonts w:ascii="Arial Narrow" w:hAnsi="Arial Narrow"/>
                <w:sz w:val="20"/>
                <w:szCs w:val="20"/>
                <w:lang w:eastAsia="bg-BG"/>
              </w:rPr>
              <w:t>-26,2%</w:t>
            </w:r>
          </w:p>
        </w:tc>
      </w:tr>
      <w:tr w:rsidR="003A2D79" w:rsidRPr="00E972CF" w14:paraId="7596EF0A" w14:textId="77777777" w:rsidTr="00CD3FE8">
        <w:trPr>
          <w:trHeight w:val="340"/>
        </w:trPr>
        <w:tc>
          <w:tcPr>
            <w:tcW w:w="3250" w:type="dxa"/>
            <w:vAlign w:val="center"/>
          </w:tcPr>
          <w:p w14:paraId="51A1FDF8" w14:textId="77777777" w:rsidR="003A2D79" w:rsidRPr="00E972CF" w:rsidRDefault="003A2D79" w:rsidP="003A2D79">
            <w:pPr>
              <w:widowControl w:val="0"/>
              <w:rPr>
                <w:rFonts w:ascii="Arial Narrow" w:hAnsi="Arial Narrow"/>
                <w:sz w:val="20"/>
                <w:szCs w:val="20"/>
                <w:lang w:eastAsia="bg-BG"/>
              </w:rPr>
            </w:pPr>
            <w:r w:rsidRPr="00E972CF">
              <w:rPr>
                <w:rFonts w:ascii="Arial Narrow" w:hAnsi="Arial Narrow"/>
                <w:sz w:val="20"/>
                <w:szCs w:val="20"/>
                <w:lang w:eastAsia="bg-BG"/>
              </w:rPr>
              <w:t>Североизточен</w:t>
            </w:r>
          </w:p>
        </w:tc>
        <w:tc>
          <w:tcPr>
            <w:tcW w:w="1636" w:type="dxa"/>
            <w:shd w:val="clear" w:color="auto" w:fill="auto"/>
            <w:vAlign w:val="center"/>
          </w:tcPr>
          <w:p w14:paraId="4E98EECE" w14:textId="77777777" w:rsidR="003A2D79" w:rsidRPr="00E972CF" w:rsidRDefault="003A2D79" w:rsidP="003A2D79">
            <w:pPr>
              <w:widowControl w:val="0"/>
              <w:jc w:val="right"/>
              <w:rPr>
                <w:rFonts w:ascii="Arial Narrow" w:hAnsi="Arial Narrow"/>
                <w:sz w:val="20"/>
                <w:szCs w:val="20"/>
                <w:lang w:eastAsia="bg-BG"/>
              </w:rPr>
            </w:pPr>
            <w:r w:rsidRPr="00E972CF">
              <w:rPr>
                <w:rFonts w:ascii="Arial Narrow" w:hAnsi="Arial Narrow"/>
                <w:sz w:val="20"/>
                <w:szCs w:val="20"/>
                <w:lang w:eastAsia="bg-BG"/>
              </w:rPr>
              <w:t>283 431</w:t>
            </w:r>
          </w:p>
        </w:tc>
        <w:tc>
          <w:tcPr>
            <w:tcW w:w="1637" w:type="dxa"/>
            <w:shd w:val="clear" w:color="auto" w:fill="auto"/>
            <w:vAlign w:val="center"/>
          </w:tcPr>
          <w:p w14:paraId="5C0E3B43" w14:textId="77777777" w:rsidR="003A2D79" w:rsidRPr="00E972CF" w:rsidRDefault="003A2D79" w:rsidP="003A2D79">
            <w:pPr>
              <w:widowControl w:val="0"/>
              <w:jc w:val="right"/>
              <w:rPr>
                <w:rFonts w:ascii="Arial Narrow" w:hAnsi="Arial Narrow"/>
                <w:sz w:val="20"/>
                <w:szCs w:val="20"/>
                <w:lang w:eastAsia="bg-BG"/>
              </w:rPr>
            </w:pPr>
            <w:r w:rsidRPr="00E972CF">
              <w:rPr>
                <w:rFonts w:ascii="Arial Narrow" w:hAnsi="Arial Narrow"/>
                <w:sz w:val="20"/>
                <w:szCs w:val="20"/>
                <w:lang w:eastAsia="bg-BG"/>
              </w:rPr>
              <w:t>60</w:t>
            </w:r>
          </w:p>
        </w:tc>
        <w:tc>
          <w:tcPr>
            <w:tcW w:w="1637" w:type="dxa"/>
            <w:shd w:val="clear" w:color="auto" w:fill="auto"/>
            <w:vAlign w:val="center"/>
          </w:tcPr>
          <w:p w14:paraId="29045ECB" w14:textId="77777777" w:rsidR="003A2D79" w:rsidRPr="00E972CF" w:rsidRDefault="003A2D79" w:rsidP="003A2D79">
            <w:pPr>
              <w:widowControl w:val="0"/>
              <w:jc w:val="right"/>
              <w:rPr>
                <w:rFonts w:ascii="Arial Narrow" w:hAnsi="Arial Narrow"/>
                <w:sz w:val="20"/>
                <w:szCs w:val="20"/>
                <w:lang w:eastAsia="bg-BG"/>
              </w:rPr>
            </w:pPr>
            <w:r w:rsidRPr="00E972CF">
              <w:rPr>
                <w:rFonts w:ascii="Arial Narrow" w:hAnsi="Arial Narrow"/>
                <w:sz w:val="20"/>
                <w:szCs w:val="20"/>
                <w:lang w:eastAsia="bg-BG"/>
              </w:rPr>
              <w:t>283 491</w:t>
            </w:r>
          </w:p>
        </w:tc>
        <w:tc>
          <w:tcPr>
            <w:tcW w:w="1637" w:type="dxa"/>
            <w:shd w:val="clear" w:color="auto" w:fill="auto"/>
            <w:vAlign w:val="center"/>
          </w:tcPr>
          <w:p w14:paraId="27B56957" w14:textId="77777777" w:rsidR="003A2D79" w:rsidRPr="00E972CF" w:rsidRDefault="003A2D79" w:rsidP="003A2D79">
            <w:pPr>
              <w:widowControl w:val="0"/>
              <w:jc w:val="right"/>
              <w:rPr>
                <w:rFonts w:ascii="Arial Narrow" w:hAnsi="Arial Narrow"/>
                <w:sz w:val="20"/>
                <w:szCs w:val="20"/>
                <w:lang w:eastAsia="bg-BG"/>
              </w:rPr>
            </w:pPr>
            <w:r w:rsidRPr="00E972CF">
              <w:rPr>
                <w:rFonts w:ascii="Arial Narrow" w:hAnsi="Arial Narrow"/>
                <w:sz w:val="20"/>
                <w:szCs w:val="20"/>
                <w:lang w:eastAsia="bg-BG"/>
              </w:rPr>
              <w:t>-25,1%</w:t>
            </w:r>
          </w:p>
        </w:tc>
      </w:tr>
      <w:tr w:rsidR="003A2D79" w:rsidRPr="00E972CF" w14:paraId="23CFDE63" w14:textId="77777777" w:rsidTr="00CD3FE8">
        <w:trPr>
          <w:trHeight w:val="340"/>
        </w:trPr>
        <w:tc>
          <w:tcPr>
            <w:tcW w:w="3250" w:type="dxa"/>
            <w:vAlign w:val="center"/>
          </w:tcPr>
          <w:p w14:paraId="3A5D5AEE" w14:textId="77777777" w:rsidR="003A2D79" w:rsidRPr="00E972CF" w:rsidRDefault="003A2D79" w:rsidP="003A2D79">
            <w:pPr>
              <w:widowControl w:val="0"/>
              <w:rPr>
                <w:rFonts w:ascii="Arial Narrow" w:hAnsi="Arial Narrow"/>
                <w:sz w:val="20"/>
                <w:szCs w:val="20"/>
                <w:lang w:eastAsia="bg-BG"/>
              </w:rPr>
            </w:pPr>
            <w:r w:rsidRPr="00E972CF">
              <w:rPr>
                <w:rFonts w:ascii="Arial Narrow" w:hAnsi="Arial Narrow"/>
                <w:sz w:val="20"/>
                <w:szCs w:val="20"/>
                <w:lang w:eastAsia="bg-BG"/>
              </w:rPr>
              <w:t>Югоизточен</w:t>
            </w:r>
          </w:p>
        </w:tc>
        <w:tc>
          <w:tcPr>
            <w:tcW w:w="1636" w:type="dxa"/>
            <w:shd w:val="clear" w:color="auto" w:fill="auto"/>
            <w:vAlign w:val="center"/>
          </w:tcPr>
          <w:p w14:paraId="2A761F86" w14:textId="77777777" w:rsidR="003A2D79" w:rsidRPr="00E972CF" w:rsidRDefault="003A2D79" w:rsidP="003A2D79">
            <w:pPr>
              <w:widowControl w:val="0"/>
              <w:jc w:val="right"/>
              <w:rPr>
                <w:rFonts w:ascii="Arial Narrow" w:hAnsi="Arial Narrow"/>
                <w:sz w:val="20"/>
                <w:szCs w:val="20"/>
                <w:lang w:eastAsia="bg-BG"/>
              </w:rPr>
            </w:pPr>
            <w:r w:rsidRPr="00E972CF">
              <w:rPr>
                <w:rFonts w:ascii="Arial Narrow" w:hAnsi="Arial Narrow"/>
                <w:sz w:val="20"/>
                <w:szCs w:val="20"/>
                <w:lang w:eastAsia="bg-BG"/>
              </w:rPr>
              <w:t>248 786</w:t>
            </w:r>
          </w:p>
        </w:tc>
        <w:tc>
          <w:tcPr>
            <w:tcW w:w="1637" w:type="dxa"/>
            <w:shd w:val="clear" w:color="auto" w:fill="auto"/>
            <w:vAlign w:val="center"/>
          </w:tcPr>
          <w:p w14:paraId="10A420F6" w14:textId="77777777" w:rsidR="003A2D79" w:rsidRPr="00E972CF" w:rsidRDefault="003A2D79" w:rsidP="003A2D79">
            <w:pPr>
              <w:widowControl w:val="0"/>
              <w:jc w:val="right"/>
              <w:rPr>
                <w:rFonts w:ascii="Arial Narrow" w:hAnsi="Arial Narrow"/>
                <w:sz w:val="20"/>
                <w:szCs w:val="20"/>
                <w:lang w:eastAsia="bg-BG"/>
              </w:rPr>
            </w:pPr>
            <w:r w:rsidRPr="00E972CF">
              <w:rPr>
                <w:rFonts w:ascii="Arial Narrow" w:hAnsi="Arial Narrow"/>
                <w:sz w:val="20"/>
                <w:szCs w:val="20"/>
                <w:lang w:eastAsia="bg-BG"/>
              </w:rPr>
              <w:t>9 202</w:t>
            </w:r>
          </w:p>
        </w:tc>
        <w:tc>
          <w:tcPr>
            <w:tcW w:w="1637" w:type="dxa"/>
            <w:shd w:val="clear" w:color="auto" w:fill="auto"/>
            <w:vAlign w:val="center"/>
          </w:tcPr>
          <w:p w14:paraId="03914993" w14:textId="77777777" w:rsidR="003A2D79" w:rsidRPr="00E972CF" w:rsidRDefault="003A2D79" w:rsidP="003A2D79">
            <w:pPr>
              <w:widowControl w:val="0"/>
              <w:jc w:val="right"/>
              <w:rPr>
                <w:rFonts w:ascii="Arial Narrow" w:hAnsi="Arial Narrow"/>
                <w:sz w:val="20"/>
                <w:szCs w:val="20"/>
                <w:lang w:eastAsia="bg-BG"/>
              </w:rPr>
            </w:pPr>
            <w:r w:rsidRPr="00E972CF">
              <w:rPr>
                <w:rFonts w:ascii="Arial Narrow" w:hAnsi="Arial Narrow"/>
                <w:sz w:val="20"/>
                <w:szCs w:val="20"/>
                <w:lang w:eastAsia="bg-BG"/>
              </w:rPr>
              <w:t>257 988</w:t>
            </w:r>
          </w:p>
        </w:tc>
        <w:tc>
          <w:tcPr>
            <w:tcW w:w="1637" w:type="dxa"/>
            <w:shd w:val="clear" w:color="auto" w:fill="auto"/>
            <w:vAlign w:val="center"/>
          </w:tcPr>
          <w:p w14:paraId="77C03576" w14:textId="77777777" w:rsidR="003A2D79" w:rsidRPr="00E972CF" w:rsidRDefault="003A2D79" w:rsidP="003A2D79">
            <w:pPr>
              <w:widowControl w:val="0"/>
              <w:jc w:val="right"/>
              <w:rPr>
                <w:rFonts w:ascii="Arial Narrow" w:hAnsi="Arial Narrow"/>
                <w:sz w:val="20"/>
                <w:szCs w:val="20"/>
                <w:lang w:eastAsia="bg-BG"/>
              </w:rPr>
            </w:pPr>
            <w:r w:rsidRPr="00E972CF">
              <w:rPr>
                <w:rFonts w:ascii="Arial Narrow" w:hAnsi="Arial Narrow"/>
                <w:sz w:val="20"/>
                <w:szCs w:val="20"/>
                <w:lang w:eastAsia="bg-BG"/>
              </w:rPr>
              <w:t>19,3%</w:t>
            </w:r>
          </w:p>
        </w:tc>
      </w:tr>
      <w:tr w:rsidR="003A2D79" w:rsidRPr="00E972CF" w14:paraId="0767D8DE" w14:textId="77777777" w:rsidTr="00CD3FE8">
        <w:trPr>
          <w:trHeight w:val="340"/>
        </w:trPr>
        <w:tc>
          <w:tcPr>
            <w:tcW w:w="3250" w:type="dxa"/>
            <w:vAlign w:val="center"/>
          </w:tcPr>
          <w:p w14:paraId="789352CE" w14:textId="77777777" w:rsidR="003A2D79" w:rsidRPr="00E972CF" w:rsidRDefault="003A2D79" w:rsidP="003A2D79">
            <w:pPr>
              <w:widowControl w:val="0"/>
              <w:rPr>
                <w:rFonts w:ascii="Arial Narrow" w:hAnsi="Arial Narrow"/>
                <w:sz w:val="20"/>
                <w:szCs w:val="20"/>
                <w:lang w:eastAsia="bg-BG"/>
              </w:rPr>
            </w:pPr>
            <w:r w:rsidRPr="00E972CF">
              <w:rPr>
                <w:rFonts w:ascii="Arial Narrow" w:hAnsi="Arial Narrow"/>
                <w:sz w:val="20"/>
                <w:szCs w:val="20"/>
                <w:lang w:eastAsia="bg-BG"/>
              </w:rPr>
              <w:t>Югозападен</w:t>
            </w:r>
          </w:p>
        </w:tc>
        <w:tc>
          <w:tcPr>
            <w:tcW w:w="1636" w:type="dxa"/>
            <w:shd w:val="clear" w:color="auto" w:fill="auto"/>
            <w:vAlign w:val="center"/>
          </w:tcPr>
          <w:p w14:paraId="46DC96AE" w14:textId="77777777" w:rsidR="003A2D79" w:rsidRPr="00E972CF" w:rsidRDefault="003A2D79" w:rsidP="003A2D79">
            <w:pPr>
              <w:widowControl w:val="0"/>
              <w:jc w:val="right"/>
              <w:rPr>
                <w:rFonts w:ascii="Arial Narrow" w:hAnsi="Arial Narrow"/>
                <w:sz w:val="20"/>
                <w:szCs w:val="20"/>
                <w:lang w:eastAsia="bg-BG"/>
              </w:rPr>
            </w:pPr>
            <w:r w:rsidRPr="00E972CF">
              <w:rPr>
                <w:rFonts w:ascii="Arial Narrow" w:hAnsi="Arial Narrow"/>
                <w:sz w:val="20"/>
                <w:szCs w:val="20"/>
                <w:lang w:eastAsia="bg-BG"/>
              </w:rPr>
              <w:t>54 306</w:t>
            </w:r>
          </w:p>
        </w:tc>
        <w:tc>
          <w:tcPr>
            <w:tcW w:w="1637" w:type="dxa"/>
            <w:shd w:val="clear" w:color="auto" w:fill="auto"/>
            <w:vAlign w:val="center"/>
          </w:tcPr>
          <w:p w14:paraId="178D7624" w14:textId="77777777" w:rsidR="003A2D79" w:rsidRPr="00E972CF" w:rsidRDefault="003A2D79" w:rsidP="003A2D79">
            <w:pPr>
              <w:widowControl w:val="0"/>
              <w:jc w:val="right"/>
              <w:rPr>
                <w:rFonts w:ascii="Arial Narrow" w:hAnsi="Arial Narrow"/>
                <w:sz w:val="20"/>
                <w:szCs w:val="20"/>
                <w:lang w:eastAsia="bg-BG"/>
              </w:rPr>
            </w:pPr>
            <w:r w:rsidRPr="00E972CF">
              <w:rPr>
                <w:rFonts w:ascii="Arial Narrow" w:hAnsi="Arial Narrow"/>
                <w:sz w:val="20"/>
                <w:szCs w:val="20"/>
                <w:lang w:eastAsia="bg-BG"/>
              </w:rPr>
              <w:t>4 496</w:t>
            </w:r>
          </w:p>
        </w:tc>
        <w:tc>
          <w:tcPr>
            <w:tcW w:w="1637" w:type="dxa"/>
            <w:shd w:val="clear" w:color="auto" w:fill="auto"/>
            <w:vAlign w:val="center"/>
          </w:tcPr>
          <w:p w14:paraId="28FA1042" w14:textId="77777777" w:rsidR="003A2D79" w:rsidRPr="00E972CF" w:rsidRDefault="003A2D79" w:rsidP="003A2D79">
            <w:pPr>
              <w:widowControl w:val="0"/>
              <w:jc w:val="right"/>
              <w:rPr>
                <w:rFonts w:ascii="Arial Narrow" w:hAnsi="Arial Narrow"/>
                <w:sz w:val="20"/>
                <w:szCs w:val="20"/>
                <w:lang w:eastAsia="bg-BG"/>
              </w:rPr>
            </w:pPr>
            <w:r w:rsidRPr="00E972CF">
              <w:rPr>
                <w:rFonts w:ascii="Arial Narrow" w:hAnsi="Arial Narrow"/>
                <w:sz w:val="20"/>
                <w:szCs w:val="20"/>
                <w:lang w:eastAsia="bg-BG"/>
              </w:rPr>
              <w:t>58 802</w:t>
            </w:r>
          </w:p>
        </w:tc>
        <w:tc>
          <w:tcPr>
            <w:tcW w:w="1637" w:type="dxa"/>
            <w:shd w:val="clear" w:color="auto" w:fill="auto"/>
            <w:vAlign w:val="center"/>
          </w:tcPr>
          <w:p w14:paraId="1C4E6AE7" w14:textId="77777777" w:rsidR="003A2D79" w:rsidRPr="00E972CF" w:rsidRDefault="003A2D79" w:rsidP="003A2D79">
            <w:pPr>
              <w:widowControl w:val="0"/>
              <w:jc w:val="right"/>
              <w:rPr>
                <w:rFonts w:ascii="Arial Narrow" w:hAnsi="Arial Narrow"/>
                <w:sz w:val="20"/>
                <w:szCs w:val="20"/>
                <w:lang w:eastAsia="bg-BG"/>
              </w:rPr>
            </w:pPr>
            <w:r w:rsidRPr="00E972CF">
              <w:rPr>
                <w:rFonts w:ascii="Arial Narrow" w:hAnsi="Arial Narrow"/>
                <w:sz w:val="20"/>
                <w:szCs w:val="20"/>
                <w:lang w:eastAsia="bg-BG"/>
              </w:rPr>
              <w:t>-12,6%</w:t>
            </w:r>
          </w:p>
        </w:tc>
      </w:tr>
      <w:tr w:rsidR="003A2D79" w:rsidRPr="00E972CF" w14:paraId="1762FDD1" w14:textId="77777777" w:rsidTr="00CD3FE8">
        <w:trPr>
          <w:trHeight w:val="340"/>
        </w:trPr>
        <w:tc>
          <w:tcPr>
            <w:tcW w:w="3250" w:type="dxa"/>
            <w:vAlign w:val="center"/>
          </w:tcPr>
          <w:p w14:paraId="35F771EC" w14:textId="77777777" w:rsidR="003A2D79" w:rsidRPr="00E972CF" w:rsidRDefault="003A2D79" w:rsidP="003A2D79">
            <w:pPr>
              <w:widowControl w:val="0"/>
              <w:rPr>
                <w:rFonts w:ascii="Arial Narrow" w:hAnsi="Arial Narrow"/>
                <w:sz w:val="20"/>
                <w:szCs w:val="20"/>
                <w:lang w:eastAsia="bg-BG"/>
              </w:rPr>
            </w:pPr>
            <w:r w:rsidRPr="00E972CF">
              <w:rPr>
                <w:rFonts w:ascii="Arial Narrow" w:hAnsi="Arial Narrow"/>
                <w:sz w:val="20"/>
                <w:szCs w:val="20"/>
                <w:lang w:eastAsia="bg-BG"/>
              </w:rPr>
              <w:t>Южен централен</w:t>
            </w:r>
          </w:p>
        </w:tc>
        <w:tc>
          <w:tcPr>
            <w:tcW w:w="1636" w:type="dxa"/>
            <w:shd w:val="clear" w:color="auto" w:fill="auto"/>
            <w:vAlign w:val="center"/>
          </w:tcPr>
          <w:p w14:paraId="70DA4A31" w14:textId="77777777" w:rsidR="003A2D79" w:rsidRPr="00E972CF" w:rsidRDefault="003A2D79" w:rsidP="003A2D79">
            <w:pPr>
              <w:widowControl w:val="0"/>
              <w:jc w:val="right"/>
              <w:rPr>
                <w:rFonts w:ascii="Arial Narrow" w:hAnsi="Arial Narrow"/>
                <w:sz w:val="20"/>
                <w:szCs w:val="20"/>
                <w:lang w:eastAsia="bg-BG"/>
              </w:rPr>
            </w:pPr>
            <w:r w:rsidRPr="00E972CF">
              <w:rPr>
                <w:rFonts w:ascii="Arial Narrow" w:hAnsi="Arial Narrow"/>
                <w:sz w:val="20"/>
                <w:szCs w:val="20"/>
                <w:lang w:eastAsia="bg-BG"/>
              </w:rPr>
              <w:t>196 599</w:t>
            </w:r>
          </w:p>
        </w:tc>
        <w:tc>
          <w:tcPr>
            <w:tcW w:w="1637" w:type="dxa"/>
            <w:shd w:val="clear" w:color="auto" w:fill="auto"/>
            <w:vAlign w:val="center"/>
          </w:tcPr>
          <w:p w14:paraId="015D2361" w14:textId="77777777" w:rsidR="003A2D79" w:rsidRPr="00E972CF" w:rsidRDefault="003A2D79" w:rsidP="003A2D79">
            <w:pPr>
              <w:widowControl w:val="0"/>
              <w:jc w:val="right"/>
              <w:rPr>
                <w:rFonts w:ascii="Arial Narrow" w:hAnsi="Arial Narrow"/>
                <w:sz w:val="20"/>
                <w:szCs w:val="20"/>
                <w:lang w:eastAsia="bg-BG"/>
              </w:rPr>
            </w:pPr>
            <w:r w:rsidRPr="00E972CF">
              <w:rPr>
                <w:rFonts w:ascii="Arial Narrow" w:hAnsi="Arial Narrow"/>
                <w:sz w:val="20"/>
                <w:szCs w:val="20"/>
                <w:lang w:eastAsia="bg-BG"/>
              </w:rPr>
              <w:t>2 894</w:t>
            </w:r>
          </w:p>
        </w:tc>
        <w:tc>
          <w:tcPr>
            <w:tcW w:w="1637" w:type="dxa"/>
            <w:shd w:val="clear" w:color="auto" w:fill="auto"/>
            <w:vAlign w:val="center"/>
          </w:tcPr>
          <w:p w14:paraId="6D22F12A" w14:textId="77777777" w:rsidR="003A2D79" w:rsidRPr="00E972CF" w:rsidRDefault="003A2D79" w:rsidP="003A2D79">
            <w:pPr>
              <w:widowControl w:val="0"/>
              <w:jc w:val="right"/>
              <w:rPr>
                <w:rFonts w:ascii="Arial Narrow" w:hAnsi="Arial Narrow"/>
                <w:sz w:val="20"/>
                <w:szCs w:val="20"/>
                <w:lang w:eastAsia="bg-BG"/>
              </w:rPr>
            </w:pPr>
            <w:r w:rsidRPr="00E972CF">
              <w:rPr>
                <w:rFonts w:ascii="Arial Narrow" w:hAnsi="Arial Narrow"/>
                <w:sz w:val="20"/>
                <w:szCs w:val="20"/>
                <w:lang w:eastAsia="bg-BG"/>
              </w:rPr>
              <w:t>199 493</w:t>
            </w:r>
          </w:p>
        </w:tc>
        <w:tc>
          <w:tcPr>
            <w:tcW w:w="1637" w:type="dxa"/>
            <w:shd w:val="clear" w:color="auto" w:fill="auto"/>
            <w:vAlign w:val="center"/>
          </w:tcPr>
          <w:p w14:paraId="708AC98C" w14:textId="77777777" w:rsidR="003A2D79" w:rsidRPr="00E972CF" w:rsidRDefault="003A2D79" w:rsidP="003A2D79">
            <w:pPr>
              <w:widowControl w:val="0"/>
              <w:jc w:val="right"/>
              <w:rPr>
                <w:rFonts w:ascii="Arial Narrow" w:hAnsi="Arial Narrow"/>
                <w:sz w:val="20"/>
                <w:szCs w:val="20"/>
                <w:lang w:eastAsia="bg-BG"/>
              </w:rPr>
            </w:pPr>
            <w:r w:rsidRPr="00E972CF">
              <w:rPr>
                <w:rFonts w:ascii="Arial Narrow" w:hAnsi="Arial Narrow"/>
                <w:sz w:val="20"/>
                <w:szCs w:val="20"/>
                <w:lang w:eastAsia="bg-BG"/>
              </w:rPr>
              <w:t>-22,3%</w:t>
            </w:r>
          </w:p>
        </w:tc>
      </w:tr>
      <w:tr w:rsidR="003A2D79" w:rsidRPr="00E972CF" w14:paraId="08D887D3" w14:textId="77777777" w:rsidTr="00CD3FE8">
        <w:trPr>
          <w:trHeight w:val="340"/>
        </w:trPr>
        <w:tc>
          <w:tcPr>
            <w:tcW w:w="3250" w:type="dxa"/>
            <w:vAlign w:val="center"/>
          </w:tcPr>
          <w:p w14:paraId="4BAFFB70" w14:textId="77777777" w:rsidR="003A2D79" w:rsidRPr="00E972CF" w:rsidRDefault="003A2D79" w:rsidP="003A2D79">
            <w:pPr>
              <w:widowControl w:val="0"/>
              <w:rPr>
                <w:rFonts w:ascii="Arial Narrow" w:hAnsi="Arial Narrow"/>
                <w:b/>
                <w:sz w:val="20"/>
                <w:szCs w:val="20"/>
                <w:lang w:eastAsia="bg-BG"/>
              </w:rPr>
            </w:pPr>
            <w:r w:rsidRPr="00E972CF">
              <w:rPr>
                <w:rFonts w:ascii="Arial Narrow" w:hAnsi="Arial Narrow"/>
                <w:b/>
                <w:sz w:val="20"/>
                <w:szCs w:val="20"/>
                <w:lang w:eastAsia="bg-BG"/>
              </w:rPr>
              <w:t>Общо за страната</w:t>
            </w:r>
          </w:p>
        </w:tc>
        <w:tc>
          <w:tcPr>
            <w:tcW w:w="1636" w:type="dxa"/>
            <w:shd w:val="clear" w:color="auto" w:fill="auto"/>
            <w:vAlign w:val="center"/>
          </w:tcPr>
          <w:p w14:paraId="394DE096" w14:textId="77777777" w:rsidR="003A2D79" w:rsidRPr="00E972CF" w:rsidRDefault="003A2D79" w:rsidP="003A2D79">
            <w:pPr>
              <w:widowControl w:val="0"/>
              <w:jc w:val="right"/>
              <w:rPr>
                <w:rFonts w:ascii="Arial Narrow" w:hAnsi="Arial Narrow"/>
                <w:b/>
                <w:sz w:val="20"/>
                <w:szCs w:val="20"/>
                <w:lang w:eastAsia="bg-BG"/>
              </w:rPr>
            </w:pPr>
            <w:r w:rsidRPr="00E972CF">
              <w:rPr>
                <w:rFonts w:ascii="Arial Narrow" w:hAnsi="Arial Narrow"/>
                <w:b/>
                <w:sz w:val="20"/>
                <w:szCs w:val="20"/>
                <w:lang w:eastAsia="bg-BG"/>
              </w:rPr>
              <w:t>1 157 097</w:t>
            </w:r>
          </w:p>
        </w:tc>
        <w:tc>
          <w:tcPr>
            <w:tcW w:w="1637" w:type="dxa"/>
            <w:shd w:val="clear" w:color="auto" w:fill="auto"/>
            <w:vAlign w:val="center"/>
          </w:tcPr>
          <w:p w14:paraId="7BADBFB8" w14:textId="77777777" w:rsidR="003A2D79" w:rsidRPr="00E972CF" w:rsidRDefault="003A2D79" w:rsidP="003A2D79">
            <w:pPr>
              <w:widowControl w:val="0"/>
              <w:jc w:val="right"/>
              <w:rPr>
                <w:rFonts w:ascii="Arial Narrow" w:hAnsi="Arial Narrow"/>
                <w:b/>
                <w:sz w:val="20"/>
                <w:szCs w:val="20"/>
                <w:lang w:eastAsia="bg-BG"/>
              </w:rPr>
            </w:pPr>
            <w:r w:rsidRPr="00E972CF">
              <w:rPr>
                <w:rFonts w:ascii="Arial Narrow" w:hAnsi="Arial Narrow"/>
                <w:b/>
                <w:sz w:val="20"/>
                <w:szCs w:val="20"/>
                <w:lang w:eastAsia="bg-BG"/>
              </w:rPr>
              <w:t>18 720</w:t>
            </w:r>
          </w:p>
        </w:tc>
        <w:tc>
          <w:tcPr>
            <w:tcW w:w="1637" w:type="dxa"/>
            <w:shd w:val="clear" w:color="auto" w:fill="auto"/>
            <w:vAlign w:val="center"/>
          </w:tcPr>
          <w:p w14:paraId="53A0DEE4" w14:textId="77777777" w:rsidR="003A2D79" w:rsidRPr="00E972CF" w:rsidRDefault="003A2D79" w:rsidP="003A2D79">
            <w:pPr>
              <w:widowControl w:val="0"/>
              <w:jc w:val="right"/>
              <w:rPr>
                <w:rFonts w:ascii="Arial Narrow" w:hAnsi="Arial Narrow"/>
                <w:b/>
                <w:sz w:val="20"/>
                <w:szCs w:val="20"/>
                <w:lang w:eastAsia="bg-BG"/>
              </w:rPr>
            </w:pPr>
            <w:r w:rsidRPr="00E972CF">
              <w:rPr>
                <w:rFonts w:ascii="Arial Narrow" w:hAnsi="Arial Narrow"/>
                <w:b/>
                <w:sz w:val="20"/>
                <w:szCs w:val="20"/>
                <w:lang w:eastAsia="bg-BG"/>
              </w:rPr>
              <w:t>1 175 817</w:t>
            </w:r>
          </w:p>
        </w:tc>
        <w:tc>
          <w:tcPr>
            <w:tcW w:w="1637" w:type="dxa"/>
            <w:shd w:val="clear" w:color="auto" w:fill="auto"/>
            <w:vAlign w:val="center"/>
          </w:tcPr>
          <w:p w14:paraId="5D93C424" w14:textId="77777777" w:rsidR="003A2D79" w:rsidRPr="00E972CF" w:rsidRDefault="003A2D79" w:rsidP="003A2D79">
            <w:pPr>
              <w:widowControl w:val="0"/>
              <w:jc w:val="right"/>
              <w:rPr>
                <w:rFonts w:ascii="Arial Narrow" w:hAnsi="Arial Narrow"/>
                <w:b/>
                <w:sz w:val="20"/>
                <w:szCs w:val="20"/>
                <w:lang w:eastAsia="bg-BG"/>
              </w:rPr>
            </w:pPr>
            <w:r w:rsidRPr="00E972CF">
              <w:rPr>
                <w:rFonts w:ascii="Arial Narrow" w:hAnsi="Arial Narrow"/>
                <w:b/>
                <w:sz w:val="20"/>
                <w:szCs w:val="20"/>
                <w:lang w:eastAsia="bg-BG"/>
              </w:rPr>
              <w:t>-15,8%</w:t>
            </w:r>
          </w:p>
        </w:tc>
      </w:tr>
    </w:tbl>
    <w:p w14:paraId="75DF6EF5" w14:textId="77777777" w:rsidR="003A2D79" w:rsidRPr="00725099" w:rsidRDefault="003A2D79" w:rsidP="003A2D79">
      <w:pPr>
        <w:widowControl w:val="0"/>
        <w:spacing w:after="120"/>
        <w:rPr>
          <w:rFonts w:ascii="Arial Narrow" w:hAnsi="Arial Narrow"/>
          <w:sz w:val="18"/>
          <w:lang w:eastAsia="bg-BG"/>
        </w:rPr>
      </w:pPr>
      <w:r w:rsidRPr="00725099">
        <w:rPr>
          <w:rFonts w:ascii="Arial Narrow" w:hAnsi="Arial Narrow"/>
          <w:i/>
          <w:sz w:val="18"/>
          <w:lang w:eastAsia="bg-BG"/>
        </w:rPr>
        <w:t xml:space="preserve">Източник: </w:t>
      </w:r>
      <w:r w:rsidRPr="00725099">
        <w:rPr>
          <w:rFonts w:ascii="Arial Narrow" w:hAnsi="Arial Narrow"/>
          <w:sz w:val="18"/>
        </w:rPr>
        <w:t>МЗХ</w:t>
      </w:r>
      <w:r w:rsidRPr="00725099">
        <w:rPr>
          <w:rFonts w:ascii="Arial Narrow" w:hAnsi="Arial Narrow"/>
          <w:sz w:val="18"/>
          <w:lang w:eastAsia="bg-BG"/>
        </w:rPr>
        <w:t>, отдел „Агростатистика”</w:t>
      </w:r>
    </w:p>
    <w:p w14:paraId="17B0ADE2" w14:textId="77777777" w:rsidR="003A2D79" w:rsidRPr="00213F96" w:rsidRDefault="003A2D79" w:rsidP="003A2D79">
      <w:pPr>
        <w:widowControl w:val="0"/>
        <w:autoSpaceDE w:val="0"/>
        <w:autoSpaceDN w:val="0"/>
        <w:adjustRightInd w:val="0"/>
        <w:spacing w:after="120"/>
        <w:ind w:firstLine="709"/>
        <w:jc w:val="both"/>
        <w:rPr>
          <w:rFonts w:ascii="Arial Narrow" w:hAnsi="Arial Narrow"/>
          <w:lang w:eastAsia="bg-BG"/>
        </w:rPr>
      </w:pPr>
      <w:r>
        <w:rPr>
          <w:rFonts w:ascii="Arial Narrow" w:hAnsi="Arial Narrow"/>
          <w:lang w:eastAsia="bg-BG"/>
        </w:rPr>
        <w:t>О</w:t>
      </w:r>
      <w:r w:rsidRPr="00213F96">
        <w:rPr>
          <w:rFonts w:ascii="Arial Narrow" w:hAnsi="Arial Narrow"/>
          <w:lang w:eastAsia="bg-BG"/>
        </w:rPr>
        <w:t>бщо</w:t>
      </w:r>
      <w:r>
        <w:rPr>
          <w:rFonts w:ascii="Arial Narrow" w:hAnsi="Arial Narrow"/>
          <w:lang w:eastAsia="bg-BG"/>
        </w:rPr>
        <w:t>то производство на яйца през 2024 г. възлиза на</w:t>
      </w:r>
      <w:r w:rsidRPr="00213F96">
        <w:rPr>
          <w:rFonts w:ascii="Arial Narrow" w:hAnsi="Arial Narrow"/>
          <w:lang w:eastAsia="bg-BG"/>
        </w:rPr>
        <w:t xml:space="preserve"> 1</w:t>
      </w:r>
      <w:r w:rsidR="00584551">
        <w:rPr>
          <w:rFonts w:ascii="Arial Narrow" w:hAnsi="Arial Narrow"/>
          <w:lang w:eastAsia="bg-BG"/>
        </w:rPr>
        <w:t> </w:t>
      </w:r>
      <w:r w:rsidR="00584551">
        <w:rPr>
          <w:rFonts w:ascii="Arial Narrow" w:hAnsi="Arial Narrow"/>
          <w:lang w:val="bg-BG" w:eastAsia="bg-BG"/>
        </w:rPr>
        <w:t>175 817</w:t>
      </w:r>
      <w:r w:rsidRPr="00213F96">
        <w:rPr>
          <w:rFonts w:ascii="Arial Narrow" w:hAnsi="Arial Narrow"/>
          <w:lang w:eastAsia="bg-BG"/>
        </w:rPr>
        <w:t xml:space="preserve"> хил. броя, с 15,8% </w:t>
      </w:r>
      <w:r>
        <w:rPr>
          <w:rFonts w:ascii="Arial Narrow" w:hAnsi="Arial Narrow"/>
          <w:lang w:eastAsia="bg-BG"/>
        </w:rPr>
        <w:t>под нивото от</w:t>
      </w:r>
      <w:r w:rsidRPr="00213F96">
        <w:rPr>
          <w:rFonts w:ascii="Arial Narrow" w:hAnsi="Arial Narrow"/>
          <w:lang w:eastAsia="bg-BG"/>
        </w:rPr>
        <w:t xml:space="preserve"> предходната година. От тях, 1 157 097 хил. броя (98%) са яйца от кокошия вид, в т.ч. 205 279 хиляди – разплодни (с 3,2% повече на годишна база) и 951 818 хиляди – за консумация (с 19,6% по-малко). </w:t>
      </w:r>
    </w:p>
    <w:p w14:paraId="700B7AC2" w14:textId="77777777" w:rsidR="003A2D79" w:rsidRPr="00213F96" w:rsidRDefault="003A2D79" w:rsidP="003A2D79">
      <w:pPr>
        <w:widowControl w:val="0"/>
        <w:autoSpaceDE w:val="0"/>
        <w:autoSpaceDN w:val="0"/>
        <w:adjustRightInd w:val="0"/>
        <w:spacing w:after="120"/>
        <w:ind w:firstLine="709"/>
        <w:jc w:val="both"/>
        <w:rPr>
          <w:rFonts w:ascii="Arial Narrow" w:hAnsi="Arial Narrow"/>
          <w:lang w:eastAsia="bg-BG"/>
        </w:rPr>
      </w:pPr>
      <w:r>
        <w:rPr>
          <w:rFonts w:ascii="Arial Narrow" w:hAnsi="Arial Narrow"/>
          <w:lang w:eastAsia="bg-BG"/>
        </w:rPr>
        <w:t>В</w:t>
      </w:r>
      <w:r w:rsidRPr="00213F96">
        <w:rPr>
          <w:rFonts w:ascii="Arial Narrow" w:hAnsi="Arial Narrow"/>
          <w:lang w:eastAsia="bg-BG"/>
        </w:rPr>
        <w:t xml:space="preserve">одещ в производството на яйца </w:t>
      </w:r>
      <w:r>
        <w:rPr>
          <w:rFonts w:ascii="Arial Narrow" w:hAnsi="Arial Narrow"/>
          <w:lang w:eastAsia="bg-BG"/>
        </w:rPr>
        <w:t xml:space="preserve">през годината </w:t>
      </w:r>
      <w:r w:rsidRPr="00213F96">
        <w:rPr>
          <w:rFonts w:ascii="Arial Narrow" w:hAnsi="Arial Narrow"/>
          <w:lang w:eastAsia="bg-BG"/>
        </w:rPr>
        <w:t>е Северен централен район</w:t>
      </w:r>
      <w:r>
        <w:rPr>
          <w:rFonts w:ascii="Arial Narrow" w:hAnsi="Arial Narrow"/>
          <w:lang w:eastAsia="bg-BG"/>
        </w:rPr>
        <w:t>, представляващ</w:t>
      </w:r>
      <w:r w:rsidRPr="00213F96">
        <w:rPr>
          <w:rFonts w:ascii="Arial Narrow" w:hAnsi="Arial Narrow"/>
          <w:lang w:eastAsia="bg-BG"/>
        </w:rPr>
        <w:t xml:space="preserve"> 24,9% от общия обем за страната. Следват Североизточен, Югоизточен и Южен централен райони, съответно с дял от 24,1%, 21,9% и 17%.  </w:t>
      </w:r>
    </w:p>
    <w:p w14:paraId="03716582" w14:textId="77777777" w:rsidR="003A2D79" w:rsidRPr="002F2179" w:rsidRDefault="003A2D79" w:rsidP="003A2D79">
      <w:pPr>
        <w:widowControl w:val="0"/>
        <w:autoSpaceDE w:val="0"/>
        <w:autoSpaceDN w:val="0"/>
        <w:adjustRightInd w:val="0"/>
        <w:spacing w:after="120"/>
        <w:ind w:firstLine="709"/>
        <w:jc w:val="both"/>
        <w:rPr>
          <w:rFonts w:ascii="Arial Narrow" w:hAnsi="Arial Narrow"/>
          <w:lang w:eastAsia="bg-BG"/>
        </w:rPr>
      </w:pPr>
      <w:r w:rsidRPr="002F2179">
        <w:rPr>
          <w:rFonts w:ascii="Arial Narrow" w:hAnsi="Arial Narrow"/>
          <w:lang w:eastAsia="bg-BG"/>
        </w:rPr>
        <w:t xml:space="preserve">Общият добив на птиче месо и субпродукти в страната през 2024 г. </w:t>
      </w:r>
      <w:r>
        <w:rPr>
          <w:rFonts w:ascii="Arial Narrow" w:hAnsi="Arial Narrow"/>
          <w:lang w:eastAsia="bg-BG"/>
        </w:rPr>
        <w:t>нараства</w:t>
      </w:r>
      <w:r w:rsidRPr="002F2179">
        <w:rPr>
          <w:rFonts w:ascii="Arial Narrow" w:hAnsi="Arial Narrow"/>
          <w:lang w:eastAsia="bg-BG"/>
        </w:rPr>
        <w:t xml:space="preserve"> с 2,7% на годишна база, до 125 320 тона. Промишленото производство </w:t>
      </w:r>
      <w:r>
        <w:rPr>
          <w:rFonts w:ascii="Arial Narrow" w:hAnsi="Arial Narrow"/>
          <w:lang w:eastAsia="bg-BG"/>
        </w:rPr>
        <w:t>(формиращо почти 99% от общия добив) е</w:t>
      </w:r>
      <w:r w:rsidRPr="002F2179">
        <w:rPr>
          <w:rFonts w:ascii="Arial Narrow" w:hAnsi="Arial Narrow"/>
          <w:lang w:eastAsia="bg-BG"/>
        </w:rPr>
        <w:t xml:space="preserve"> с 2,2%</w:t>
      </w:r>
      <w:r>
        <w:rPr>
          <w:rFonts w:ascii="Arial Narrow" w:hAnsi="Arial Narrow"/>
          <w:lang w:eastAsia="bg-BG"/>
        </w:rPr>
        <w:t xml:space="preserve"> повече</w:t>
      </w:r>
      <w:r w:rsidRPr="002F2179">
        <w:rPr>
          <w:rFonts w:ascii="Arial Narrow" w:hAnsi="Arial Narrow"/>
          <w:lang w:eastAsia="bg-BG"/>
        </w:rPr>
        <w:t>. Добитото месо в стопанствата отбелязва ръст от 45,4%, но остава незначително като количество. Около 82% от произведеното в страната месо през 2024 г. е от кокошия вид.</w:t>
      </w:r>
    </w:p>
    <w:p w14:paraId="304FD79D" w14:textId="77777777" w:rsidR="003A2D79" w:rsidRPr="003339CC" w:rsidRDefault="003A2D79" w:rsidP="003A2D79">
      <w:pPr>
        <w:widowControl w:val="0"/>
        <w:tabs>
          <w:tab w:val="left" w:pos="180"/>
        </w:tabs>
        <w:spacing w:after="120"/>
        <w:rPr>
          <w:rFonts w:ascii="Arial Narrow" w:hAnsi="Arial Narrow"/>
          <w:b/>
        </w:rPr>
      </w:pPr>
      <w:r w:rsidRPr="003339CC">
        <w:rPr>
          <w:rFonts w:ascii="Arial Narrow" w:hAnsi="Arial Narrow"/>
          <w:b/>
        </w:rPr>
        <w:t>Таблица ІІ.28. Производство на птиче месо и субпродукти през периода 2023 - 2024 г.</w:t>
      </w:r>
    </w:p>
    <w:tbl>
      <w:tblPr>
        <w:tblW w:w="9797" w:type="dxa"/>
        <w:tblInd w:w="108" w:type="dxa"/>
        <w:tblLayout w:type="fixed"/>
        <w:tblLook w:val="04A0" w:firstRow="1" w:lastRow="0" w:firstColumn="1" w:lastColumn="0" w:noHBand="0" w:noVBand="1"/>
      </w:tblPr>
      <w:tblGrid>
        <w:gridCol w:w="1307"/>
        <w:gridCol w:w="1414"/>
        <w:gridCol w:w="1414"/>
        <w:gridCol w:w="1417"/>
        <w:gridCol w:w="1414"/>
        <w:gridCol w:w="1414"/>
        <w:gridCol w:w="1417"/>
      </w:tblGrid>
      <w:tr w:rsidR="003A2D79" w:rsidRPr="003339CC" w14:paraId="193097CE" w14:textId="77777777" w:rsidTr="00F10FC2">
        <w:trPr>
          <w:trHeight w:val="389"/>
          <w:tblHeader/>
        </w:trPr>
        <w:tc>
          <w:tcPr>
            <w:tcW w:w="1307" w:type="dxa"/>
            <w:vMerge w:val="restart"/>
            <w:tcBorders>
              <w:top w:val="single" w:sz="4" w:space="0" w:color="auto"/>
              <w:left w:val="single" w:sz="4" w:space="0" w:color="auto"/>
              <w:bottom w:val="single" w:sz="4" w:space="0" w:color="000000"/>
              <w:right w:val="single" w:sz="4" w:space="0" w:color="auto"/>
            </w:tcBorders>
            <w:shd w:val="clear" w:color="000000" w:fill="FFFFFF"/>
            <w:noWrap/>
            <w:vAlign w:val="center"/>
            <w:hideMark/>
          </w:tcPr>
          <w:p w14:paraId="020F5C09" w14:textId="77777777" w:rsidR="003A2D79" w:rsidRPr="003339CC" w:rsidRDefault="003A2D79" w:rsidP="003A2D79">
            <w:pPr>
              <w:widowControl w:val="0"/>
              <w:rPr>
                <w:rFonts w:ascii="Arial Narrow" w:hAnsi="Arial Narrow" w:cs="Calibri"/>
                <w:b/>
                <w:bCs/>
                <w:sz w:val="20"/>
                <w:szCs w:val="20"/>
              </w:rPr>
            </w:pPr>
          </w:p>
        </w:tc>
        <w:tc>
          <w:tcPr>
            <w:tcW w:w="4245" w:type="dxa"/>
            <w:gridSpan w:val="3"/>
            <w:tcBorders>
              <w:top w:val="single" w:sz="4" w:space="0" w:color="auto"/>
              <w:left w:val="nil"/>
              <w:bottom w:val="single" w:sz="4" w:space="0" w:color="auto"/>
              <w:right w:val="single" w:sz="4" w:space="0" w:color="000000"/>
            </w:tcBorders>
            <w:shd w:val="clear" w:color="000000" w:fill="FFFFFF"/>
            <w:noWrap/>
            <w:vAlign w:val="center"/>
            <w:hideMark/>
          </w:tcPr>
          <w:p w14:paraId="224A6903" w14:textId="77777777" w:rsidR="003A2D79" w:rsidRPr="003339CC" w:rsidRDefault="003A2D79" w:rsidP="003A2D79">
            <w:pPr>
              <w:widowControl w:val="0"/>
              <w:jc w:val="center"/>
              <w:rPr>
                <w:rFonts w:ascii="Arial Narrow" w:hAnsi="Arial Narrow" w:cs="Calibri"/>
                <w:b/>
                <w:bCs/>
                <w:sz w:val="20"/>
                <w:szCs w:val="20"/>
              </w:rPr>
            </w:pPr>
            <w:r w:rsidRPr="003339CC">
              <w:rPr>
                <w:rFonts w:ascii="Arial Narrow" w:hAnsi="Arial Narrow" w:cs="Calibri"/>
                <w:b/>
                <w:bCs/>
                <w:sz w:val="20"/>
                <w:szCs w:val="20"/>
              </w:rPr>
              <w:t>Заклани птици - хил. бр.</w:t>
            </w:r>
          </w:p>
        </w:tc>
        <w:tc>
          <w:tcPr>
            <w:tcW w:w="4245" w:type="dxa"/>
            <w:gridSpan w:val="3"/>
            <w:tcBorders>
              <w:top w:val="single" w:sz="4" w:space="0" w:color="auto"/>
              <w:left w:val="nil"/>
              <w:bottom w:val="single" w:sz="4" w:space="0" w:color="auto"/>
              <w:right w:val="single" w:sz="4" w:space="0" w:color="000000"/>
            </w:tcBorders>
            <w:shd w:val="clear" w:color="000000" w:fill="FFFFFF"/>
            <w:noWrap/>
            <w:vAlign w:val="center"/>
            <w:hideMark/>
          </w:tcPr>
          <w:p w14:paraId="1BAB6439" w14:textId="77777777" w:rsidR="003A2D79" w:rsidRPr="003339CC" w:rsidRDefault="003A2D79" w:rsidP="003A2D79">
            <w:pPr>
              <w:widowControl w:val="0"/>
              <w:jc w:val="center"/>
              <w:rPr>
                <w:rFonts w:ascii="Arial Narrow" w:hAnsi="Arial Narrow" w:cs="Calibri"/>
                <w:b/>
                <w:bCs/>
                <w:sz w:val="20"/>
                <w:szCs w:val="20"/>
              </w:rPr>
            </w:pPr>
            <w:r w:rsidRPr="003339CC">
              <w:rPr>
                <w:rFonts w:ascii="Arial Narrow" w:hAnsi="Arial Narrow" w:cs="Calibri"/>
                <w:b/>
                <w:bCs/>
                <w:sz w:val="20"/>
                <w:szCs w:val="20"/>
              </w:rPr>
              <w:t>Общо месо и субпродукти - тона</w:t>
            </w:r>
          </w:p>
        </w:tc>
      </w:tr>
      <w:tr w:rsidR="003A2D79" w:rsidRPr="003339CC" w14:paraId="5C5BB91D" w14:textId="77777777" w:rsidTr="00F10FC2">
        <w:trPr>
          <w:trHeight w:val="535"/>
          <w:tblHeader/>
        </w:trPr>
        <w:tc>
          <w:tcPr>
            <w:tcW w:w="1307" w:type="dxa"/>
            <w:vMerge/>
            <w:tcBorders>
              <w:top w:val="single" w:sz="4" w:space="0" w:color="auto"/>
              <w:left w:val="single" w:sz="4" w:space="0" w:color="auto"/>
              <w:bottom w:val="single" w:sz="4" w:space="0" w:color="000000"/>
              <w:right w:val="single" w:sz="4" w:space="0" w:color="auto"/>
            </w:tcBorders>
            <w:vAlign w:val="center"/>
            <w:hideMark/>
          </w:tcPr>
          <w:p w14:paraId="783C7D0B" w14:textId="77777777" w:rsidR="003A2D79" w:rsidRPr="003339CC" w:rsidRDefault="003A2D79" w:rsidP="003A2D79">
            <w:pPr>
              <w:widowControl w:val="0"/>
              <w:rPr>
                <w:rFonts w:ascii="Arial Narrow" w:hAnsi="Arial Narrow" w:cs="Calibri"/>
                <w:b/>
                <w:bCs/>
                <w:sz w:val="20"/>
                <w:szCs w:val="20"/>
              </w:rPr>
            </w:pPr>
          </w:p>
        </w:tc>
        <w:tc>
          <w:tcPr>
            <w:tcW w:w="1414" w:type="dxa"/>
            <w:tcBorders>
              <w:top w:val="nil"/>
              <w:left w:val="nil"/>
              <w:bottom w:val="single" w:sz="4" w:space="0" w:color="auto"/>
              <w:right w:val="single" w:sz="4" w:space="0" w:color="auto"/>
            </w:tcBorders>
            <w:shd w:val="clear" w:color="auto" w:fill="auto"/>
            <w:noWrap/>
            <w:vAlign w:val="center"/>
            <w:hideMark/>
          </w:tcPr>
          <w:p w14:paraId="43960C93" w14:textId="77777777" w:rsidR="003A2D79" w:rsidRPr="003339CC" w:rsidRDefault="003A2D79" w:rsidP="003A2D79">
            <w:pPr>
              <w:widowControl w:val="0"/>
              <w:jc w:val="center"/>
              <w:rPr>
                <w:rFonts w:ascii="Arial Narrow" w:hAnsi="Arial Narrow" w:cs="Calibri"/>
                <w:b/>
                <w:bCs/>
                <w:sz w:val="20"/>
                <w:szCs w:val="20"/>
              </w:rPr>
            </w:pPr>
            <w:r w:rsidRPr="003339CC">
              <w:rPr>
                <w:rFonts w:ascii="Arial Narrow" w:hAnsi="Arial Narrow" w:cs="Calibri"/>
                <w:b/>
                <w:bCs/>
                <w:sz w:val="20"/>
                <w:szCs w:val="20"/>
              </w:rPr>
              <w:t>2023</w:t>
            </w:r>
          </w:p>
        </w:tc>
        <w:tc>
          <w:tcPr>
            <w:tcW w:w="1414" w:type="dxa"/>
            <w:tcBorders>
              <w:top w:val="nil"/>
              <w:left w:val="nil"/>
              <w:bottom w:val="single" w:sz="4" w:space="0" w:color="auto"/>
              <w:right w:val="single" w:sz="4" w:space="0" w:color="auto"/>
            </w:tcBorders>
            <w:shd w:val="clear" w:color="auto" w:fill="auto"/>
            <w:noWrap/>
            <w:vAlign w:val="center"/>
            <w:hideMark/>
          </w:tcPr>
          <w:p w14:paraId="6E6D4DB9" w14:textId="77777777" w:rsidR="003A2D79" w:rsidRPr="003339CC" w:rsidRDefault="003A2D79" w:rsidP="003A2D79">
            <w:pPr>
              <w:widowControl w:val="0"/>
              <w:jc w:val="center"/>
              <w:rPr>
                <w:rFonts w:ascii="Arial Narrow" w:hAnsi="Arial Narrow" w:cs="Calibri"/>
                <w:b/>
                <w:bCs/>
                <w:sz w:val="20"/>
                <w:szCs w:val="20"/>
              </w:rPr>
            </w:pPr>
            <w:r w:rsidRPr="003339CC">
              <w:rPr>
                <w:rFonts w:ascii="Arial Narrow" w:hAnsi="Arial Narrow" w:cs="Calibri"/>
                <w:b/>
                <w:bCs/>
                <w:sz w:val="20"/>
                <w:szCs w:val="20"/>
              </w:rPr>
              <w:t>2024</w:t>
            </w:r>
          </w:p>
        </w:tc>
        <w:tc>
          <w:tcPr>
            <w:tcW w:w="1416" w:type="dxa"/>
            <w:tcBorders>
              <w:top w:val="nil"/>
              <w:left w:val="nil"/>
              <w:bottom w:val="single" w:sz="4" w:space="0" w:color="auto"/>
              <w:right w:val="single" w:sz="4" w:space="0" w:color="auto"/>
            </w:tcBorders>
            <w:shd w:val="clear" w:color="000000" w:fill="FFFFFF"/>
            <w:noWrap/>
            <w:vAlign w:val="center"/>
            <w:hideMark/>
          </w:tcPr>
          <w:p w14:paraId="724BA8BE" w14:textId="77777777" w:rsidR="003A2D79" w:rsidRPr="003339CC" w:rsidRDefault="003A2D79" w:rsidP="003A2D79">
            <w:pPr>
              <w:widowControl w:val="0"/>
              <w:jc w:val="center"/>
              <w:rPr>
                <w:rFonts w:ascii="Arial Narrow" w:hAnsi="Arial Narrow" w:cs="Calibri"/>
                <w:b/>
                <w:bCs/>
                <w:sz w:val="20"/>
                <w:szCs w:val="20"/>
              </w:rPr>
            </w:pPr>
            <w:r w:rsidRPr="003339CC">
              <w:rPr>
                <w:rFonts w:ascii="Arial Narrow" w:hAnsi="Arial Narrow" w:cs="Calibri"/>
                <w:b/>
                <w:bCs/>
                <w:sz w:val="20"/>
                <w:szCs w:val="20"/>
              </w:rPr>
              <w:t>Изменение 2024/2023</w:t>
            </w:r>
          </w:p>
        </w:tc>
        <w:tc>
          <w:tcPr>
            <w:tcW w:w="1414" w:type="dxa"/>
            <w:tcBorders>
              <w:top w:val="nil"/>
              <w:left w:val="nil"/>
              <w:bottom w:val="single" w:sz="4" w:space="0" w:color="auto"/>
              <w:right w:val="single" w:sz="4" w:space="0" w:color="auto"/>
            </w:tcBorders>
            <w:shd w:val="clear" w:color="auto" w:fill="auto"/>
            <w:noWrap/>
            <w:vAlign w:val="center"/>
            <w:hideMark/>
          </w:tcPr>
          <w:p w14:paraId="5B9568A6" w14:textId="77777777" w:rsidR="003A2D79" w:rsidRPr="003339CC" w:rsidRDefault="003A2D79" w:rsidP="003A2D79">
            <w:pPr>
              <w:widowControl w:val="0"/>
              <w:jc w:val="center"/>
              <w:rPr>
                <w:rFonts w:ascii="Arial Narrow" w:hAnsi="Arial Narrow" w:cs="Calibri"/>
                <w:b/>
                <w:bCs/>
                <w:sz w:val="20"/>
                <w:szCs w:val="20"/>
              </w:rPr>
            </w:pPr>
            <w:r w:rsidRPr="003339CC">
              <w:rPr>
                <w:rFonts w:ascii="Arial Narrow" w:hAnsi="Arial Narrow" w:cs="Calibri"/>
                <w:b/>
                <w:bCs/>
                <w:sz w:val="20"/>
                <w:szCs w:val="20"/>
              </w:rPr>
              <w:t>2023</w:t>
            </w:r>
          </w:p>
        </w:tc>
        <w:tc>
          <w:tcPr>
            <w:tcW w:w="1414" w:type="dxa"/>
            <w:tcBorders>
              <w:top w:val="nil"/>
              <w:left w:val="nil"/>
              <w:bottom w:val="single" w:sz="4" w:space="0" w:color="auto"/>
              <w:right w:val="single" w:sz="4" w:space="0" w:color="auto"/>
            </w:tcBorders>
            <w:shd w:val="clear" w:color="auto" w:fill="auto"/>
            <w:noWrap/>
            <w:vAlign w:val="center"/>
            <w:hideMark/>
          </w:tcPr>
          <w:p w14:paraId="0DDC8A3D" w14:textId="77777777" w:rsidR="003A2D79" w:rsidRPr="003339CC" w:rsidRDefault="003A2D79" w:rsidP="003A2D79">
            <w:pPr>
              <w:widowControl w:val="0"/>
              <w:jc w:val="center"/>
              <w:rPr>
                <w:rFonts w:ascii="Arial Narrow" w:hAnsi="Arial Narrow" w:cs="Calibri"/>
                <w:b/>
                <w:bCs/>
                <w:sz w:val="20"/>
                <w:szCs w:val="20"/>
              </w:rPr>
            </w:pPr>
            <w:r w:rsidRPr="003339CC">
              <w:rPr>
                <w:rFonts w:ascii="Arial Narrow" w:hAnsi="Arial Narrow" w:cs="Calibri"/>
                <w:b/>
                <w:bCs/>
                <w:sz w:val="20"/>
                <w:szCs w:val="20"/>
              </w:rPr>
              <w:t>2024</w:t>
            </w:r>
          </w:p>
        </w:tc>
        <w:tc>
          <w:tcPr>
            <w:tcW w:w="1416" w:type="dxa"/>
            <w:tcBorders>
              <w:top w:val="nil"/>
              <w:left w:val="nil"/>
              <w:bottom w:val="single" w:sz="4" w:space="0" w:color="auto"/>
              <w:right w:val="single" w:sz="4" w:space="0" w:color="auto"/>
            </w:tcBorders>
            <w:shd w:val="clear" w:color="000000" w:fill="FFFFFF"/>
            <w:noWrap/>
            <w:vAlign w:val="center"/>
            <w:hideMark/>
          </w:tcPr>
          <w:p w14:paraId="60B00925" w14:textId="77777777" w:rsidR="003A2D79" w:rsidRPr="003339CC" w:rsidRDefault="003A2D79" w:rsidP="003A2D79">
            <w:pPr>
              <w:widowControl w:val="0"/>
              <w:jc w:val="center"/>
              <w:rPr>
                <w:rFonts w:ascii="Arial Narrow" w:hAnsi="Arial Narrow" w:cs="Calibri"/>
                <w:b/>
                <w:bCs/>
                <w:sz w:val="20"/>
                <w:szCs w:val="20"/>
              </w:rPr>
            </w:pPr>
            <w:r w:rsidRPr="003339CC">
              <w:rPr>
                <w:rFonts w:ascii="Arial Narrow" w:hAnsi="Arial Narrow" w:cs="Calibri"/>
                <w:b/>
                <w:bCs/>
                <w:sz w:val="20"/>
                <w:szCs w:val="20"/>
              </w:rPr>
              <w:t>Изменение 2024/2023</w:t>
            </w:r>
          </w:p>
        </w:tc>
      </w:tr>
      <w:tr w:rsidR="003A2D79" w:rsidRPr="003339CC" w14:paraId="1E3F57AE" w14:textId="77777777" w:rsidTr="00F10FC2">
        <w:trPr>
          <w:trHeight w:val="357"/>
        </w:trPr>
        <w:tc>
          <w:tcPr>
            <w:tcW w:w="1307" w:type="dxa"/>
            <w:tcBorders>
              <w:top w:val="nil"/>
              <w:left w:val="single" w:sz="4" w:space="0" w:color="auto"/>
              <w:bottom w:val="nil"/>
              <w:right w:val="single" w:sz="4" w:space="0" w:color="auto"/>
            </w:tcBorders>
            <w:shd w:val="clear" w:color="000000" w:fill="FFFFFF"/>
            <w:noWrap/>
            <w:vAlign w:val="center"/>
            <w:hideMark/>
          </w:tcPr>
          <w:p w14:paraId="45D98439" w14:textId="77777777" w:rsidR="003A2D79" w:rsidRPr="003339CC" w:rsidRDefault="003A2D79" w:rsidP="003A2D79">
            <w:pPr>
              <w:widowControl w:val="0"/>
              <w:rPr>
                <w:rFonts w:ascii="Arial Narrow" w:hAnsi="Arial Narrow" w:cs="Calibri"/>
                <w:sz w:val="20"/>
                <w:szCs w:val="20"/>
              </w:rPr>
            </w:pPr>
            <w:r w:rsidRPr="003339CC">
              <w:rPr>
                <w:rFonts w:ascii="Arial Narrow" w:hAnsi="Arial Narrow" w:cs="Calibri"/>
                <w:sz w:val="20"/>
                <w:szCs w:val="20"/>
              </w:rPr>
              <w:t>В кланици</w:t>
            </w:r>
          </w:p>
        </w:tc>
        <w:tc>
          <w:tcPr>
            <w:tcW w:w="1414" w:type="dxa"/>
            <w:tcBorders>
              <w:top w:val="single" w:sz="4" w:space="0" w:color="auto"/>
              <w:left w:val="nil"/>
              <w:bottom w:val="single" w:sz="4" w:space="0" w:color="auto"/>
              <w:right w:val="single" w:sz="4" w:space="0" w:color="auto"/>
            </w:tcBorders>
            <w:shd w:val="clear" w:color="000000" w:fill="FFFFFF"/>
            <w:noWrap/>
            <w:vAlign w:val="center"/>
          </w:tcPr>
          <w:p w14:paraId="44B24DC2" w14:textId="77777777" w:rsidR="003A2D79" w:rsidRPr="003339CC" w:rsidRDefault="003A2D79" w:rsidP="003A2D79">
            <w:pPr>
              <w:widowControl w:val="0"/>
              <w:jc w:val="right"/>
              <w:rPr>
                <w:rFonts w:ascii="Arial Narrow" w:hAnsi="Arial Narrow" w:cs="Calibri"/>
                <w:sz w:val="20"/>
                <w:szCs w:val="20"/>
              </w:rPr>
            </w:pPr>
            <w:r w:rsidRPr="003339CC">
              <w:rPr>
                <w:rFonts w:ascii="Arial Narrow" w:hAnsi="Arial Narrow" w:cs="Calibri"/>
                <w:sz w:val="20"/>
                <w:szCs w:val="20"/>
              </w:rPr>
              <w:t>61 145</w:t>
            </w:r>
          </w:p>
        </w:tc>
        <w:tc>
          <w:tcPr>
            <w:tcW w:w="141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5DD728" w14:textId="77777777" w:rsidR="003A2D79" w:rsidRPr="003339CC" w:rsidRDefault="003A2D79" w:rsidP="003A2D79">
            <w:pPr>
              <w:widowControl w:val="0"/>
              <w:jc w:val="right"/>
              <w:rPr>
                <w:rFonts w:ascii="Arial Narrow" w:hAnsi="Arial Narrow" w:cs="Calibri"/>
                <w:sz w:val="20"/>
                <w:szCs w:val="20"/>
              </w:rPr>
            </w:pPr>
            <w:r w:rsidRPr="003339CC">
              <w:rPr>
                <w:rFonts w:ascii="Arial Narrow" w:hAnsi="Arial Narrow" w:cs="Calibri"/>
                <w:sz w:val="20"/>
                <w:szCs w:val="20"/>
              </w:rPr>
              <w:t>63 691</w:t>
            </w:r>
          </w:p>
        </w:tc>
        <w:tc>
          <w:tcPr>
            <w:tcW w:w="1416" w:type="dxa"/>
            <w:tcBorders>
              <w:top w:val="single" w:sz="4" w:space="0" w:color="auto"/>
              <w:left w:val="nil"/>
              <w:bottom w:val="single" w:sz="4" w:space="0" w:color="auto"/>
              <w:right w:val="single" w:sz="4" w:space="0" w:color="auto"/>
            </w:tcBorders>
            <w:shd w:val="clear" w:color="000000" w:fill="FFFFFF"/>
            <w:noWrap/>
            <w:vAlign w:val="center"/>
          </w:tcPr>
          <w:p w14:paraId="3613DE8B" w14:textId="77777777" w:rsidR="003A2D79" w:rsidRPr="003339CC" w:rsidRDefault="003A2D79" w:rsidP="003A2D79">
            <w:pPr>
              <w:widowControl w:val="0"/>
              <w:jc w:val="right"/>
              <w:rPr>
                <w:rFonts w:ascii="Arial Narrow" w:hAnsi="Arial Narrow" w:cs="Calibri"/>
                <w:sz w:val="20"/>
                <w:szCs w:val="20"/>
              </w:rPr>
            </w:pPr>
            <w:r w:rsidRPr="003339CC">
              <w:rPr>
                <w:rFonts w:ascii="Arial Narrow" w:hAnsi="Arial Narrow" w:cs="Calibri"/>
                <w:sz w:val="20"/>
                <w:szCs w:val="20"/>
              </w:rPr>
              <w:t>4,2%</w:t>
            </w:r>
          </w:p>
        </w:tc>
        <w:tc>
          <w:tcPr>
            <w:tcW w:w="1414" w:type="dxa"/>
            <w:tcBorders>
              <w:top w:val="single" w:sz="4" w:space="0" w:color="auto"/>
              <w:left w:val="nil"/>
              <w:bottom w:val="single" w:sz="4" w:space="0" w:color="auto"/>
              <w:right w:val="single" w:sz="4" w:space="0" w:color="auto"/>
            </w:tcBorders>
            <w:shd w:val="clear" w:color="000000" w:fill="FFFFFF"/>
            <w:noWrap/>
            <w:vAlign w:val="center"/>
          </w:tcPr>
          <w:p w14:paraId="334D3923" w14:textId="77777777" w:rsidR="003A2D79" w:rsidRPr="003339CC" w:rsidRDefault="003A2D79" w:rsidP="003A2D79">
            <w:pPr>
              <w:widowControl w:val="0"/>
              <w:jc w:val="right"/>
              <w:rPr>
                <w:rFonts w:ascii="Arial Narrow" w:hAnsi="Arial Narrow" w:cs="Calibri"/>
                <w:sz w:val="20"/>
                <w:szCs w:val="20"/>
              </w:rPr>
            </w:pPr>
            <w:r w:rsidRPr="003339CC">
              <w:rPr>
                <w:rFonts w:ascii="Arial Narrow" w:hAnsi="Arial Narrow" w:cs="Calibri"/>
                <w:sz w:val="20"/>
                <w:szCs w:val="20"/>
              </w:rPr>
              <w:t>120 883</w:t>
            </w:r>
          </w:p>
        </w:tc>
        <w:tc>
          <w:tcPr>
            <w:tcW w:w="141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95C7DC" w14:textId="77777777" w:rsidR="003A2D79" w:rsidRPr="003339CC" w:rsidRDefault="003A2D79" w:rsidP="003A2D79">
            <w:pPr>
              <w:widowControl w:val="0"/>
              <w:jc w:val="right"/>
              <w:rPr>
                <w:rFonts w:ascii="Arial Narrow" w:hAnsi="Arial Narrow" w:cs="Calibri"/>
                <w:sz w:val="20"/>
                <w:szCs w:val="20"/>
              </w:rPr>
            </w:pPr>
            <w:r w:rsidRPr="003339CC">
              <w:rPr>
                <w:rFonts w:ascii="Arial Narrow" w:hAnsi="Arial Narrow" w:cs="Calibri"/>
                <w:sz w:val="20"/>
                <w:szCs w:val="20"/>
              </w:rPr>
              <w:t>123 585</w:t>
            </w:r>
          </w:p>
        </w:tc>
        <w:tc>
          <w:tcPr>
            <w:tcW w:w="1416" w:type="dxa"/>
            <w:tcBorders>
              <w:top w:val="single" w:sz="4" w:space="0" w:color="auto"/>
              <w:left w:val="nil"/>
              <w:bottom w:val="single" w:sz="4" w:space="0" w:color="auto"/>
              <w:right w:val="single" w:sz="4" w:space="0" w:color="auto"/>
            </w:tcBorders>
            <w:shd w:val="clear" w:color="auto" w:fill="auto"/>
            <w:noWrap/>
            <w:vAlign w:val="center"/>
          </w:tcPr>
          <w:p w14:paraId="71211C15" w14:textId="77777777" w:rsidR="003A2D79" w:rsidRPr="003339CC" w:rsidRDefault="003A2D79" w:rsidP="003A2D79">
            <w:pPr>
              <w:widowControl w:val="0"/>
              <w:jc w:val="right"/>
              <w:rPr>
                <w:rFonts w:ascii="Arial Narrow" w:hAnsi="Arial Narrow" w:cs="Calibri"/>
                <w:sz w:val="20"/>
                <w:szCs w:val="20"/>
              </w:rPr>
            </w:pPr>
            <w:r w:rsidRPr="003339CC">
              <w:rPr>
                <w:rFonts w:ascii="Arial Narrow" w:hAnsi="Arial Narrow" w:cs="Calibri"/>
                <w:sz w:val="20"/>
                <w:szCs w:val="20"/>
              </w:rPr>
              <w:t>2,2%</w:t>
            </w:r>
          </w:p>
        </w:tc>
      </w:tr>
      <w:tr w:rsidR="003A2D79" w:rsidRPr="003339CC" w14:paraId="449A0E6D" w14:textId="77777777" w:rsidTr="00F10FC2">
        <w:trPr>
          <w:trHeight w:val="357"/>
        </w:trPr>
        <w:tc>
          <w:tcPr>
            <w:tcW w:w="130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F136009" w14:textId="77777777" w:rsidR="003A2D79" w:rsidRPr="003339CC" w:rsidRDefault="003A2D79" w:rsidP="003A2D79">
            <w:pPr>
              <w:widowControl w:val="0"/>
              <w:rPr>
                <w:rFonts w:ascii="Arial Narrow" w:hAnsi="Arial Narrow" w:cs="Calibri"/>
                <w:sz w:val="20"/>
                <w:szCs w:val="20"/>
              </w:rPr>
            </w:pPr>
            <w:r w:rsidRPr="003339CC">
              <w:rPr>
                <w:rFonts w:ascii="Arial Narrow" w:hAnsi="Arial Narrow" w:cs="Calibri"/>
                <w:sz w:val="20"/>
                <w:szCs w:val="20"/>
              </w:rPr>
              <w:t>В стопанства</w:t>
            </w:r>
          </w:p>
        </w:tc>
        <w:tc>
          <w:tcPr>
            <w:tcW w:w="1414" w:type="dxa"/>
            <w:tcBorders>
              <w:top w:val="nil"/>
              <w:left w:val="nil"/>
              <w:bottom w:val="single" w:sz="4" w:space="0" w:color="auto"/>
              <w:right w:val="single" w:sz="4" w:space="0" w:color="auto"/>
            </w:tcBorders>
            <w:shd w:val="clear" w:color="000000" w:fill="FFFFFF"/>
            <w:noWrap/>
            <w:vAlign w:val="center"/>
          </w:tcPr>
          <w:p w14:paraId="25583175" w14:textId="77777777" w:rsidR="003A2D79" w:rsidRPr="003339CC" w:rsidRDefault="003A2D79" w:rsidP="003A2D79">
            <w:pPr>
              <w:widowControl w:val="0"/>
              <w:jc w:val="right"/>
              <w:rPr>
                <w:rFonts w:ascii="Arial Narrow" w:hAnsi="Arial Narrow" w:cs="Calibri"/>
                <w:sz w:val="20"/>
                <w:szCs w:val="20"/>
              </w:rPr>
            </w:pPr>
            <w:r w:rsidRPr="003339CC">
              <w:rPr>
                <w:rFonts w:ascii="Arial Narrow" w:hAnsi="Arial Narrow" w:cs="Calibri"/>
                <w:sz w:val="20"/>
                <w:szCs w:val="20"/>
              </w:rPr>
              <w:t>558</w:t>
            </w:r>
          </w:p>
        </w:tc>
        <w:tc>
          <w:tcPr>
            <w:tcW w:w="1414" w:type="dxa"/>
            <w:tcBorders>
              <w:top w:val="nil"/>
              <w:left w:val="single" w:sz="4" w:space="0" w:color="auto"/>
              <w:bottom w:val="single" w:sz="4" w:space="0" w:color="auto"/>
              <w:right w:val="single" w:sz="4" w:space="0" w:color="auto"/>
            </w:tcBorders>
            <w:shd w:val="clear" w:color="auto" w:fill="auto"/>
            <w:noWrap/>
            <w:vAlign w:val="center"/>
          </w:tcPr>
          <w:p w14:paraId="436E1678" w14:textId="77777777" w:rsidR="003A2D79" w:rsidRPr="003339CC" w:rsidRDefault="003A2D79" w:rsidP="003A2D79">
            <w:pPr>
              <w:widowControl w:val="0"/>
              <w:jc w:val="right"/>
              <w:rPr>
                <w:rFonts w:ascii="Arial Narrow" w:hAnsi="Arial Narrow" w:cs="Calibri"/>
                <w:sz w:val="20"/>
                <w:szCs w:val="20"/>
              </w:rPr>
            </w:pPr>
            <w:r w:rsidRPr="003339CC">
              <w:rPr>
                <w:rFonts w:ascii="Arial Narrow" w:hAnsi="Arial Narrow" w:cs="Calibri"/>
                <w:sz w:val="20"/>
                <w:szCs w:val="20"/>
              </w:rPr>
              <w:t>929</w:t>
            </w:r>
          </w:p>
        </w:tc>
        <w:tc>
          <w:tcPr>
            <w:tcW w:w="1416" w:type="dxa"/>
            <w:tcBorders>
              <w:top w:val="nil"/>
              <w:left w:val="nil"/>
              <w:bottom w:val="single" w:sz="4" w:space="0" w:color="auto"/>
              <w:right w:val="single" w:sz="4" w:space="0" w:color="auto"/>
            </w:tcBorders>
            <w:shd w:val="clear" w:color="000000" w:fill="FFFFFF"/>
            <w:noWrap/>
            <w:vAlign w:val="center"/>
          </w:tcPr>
          <w:p w14:paraId="7160BF93" w14:textId="77777777" w:rsidR="003A2D79" w:rsidRPr="003339CC" w:rsidRDefault="003A2D79" w:rsidP="003A2D79">
            <w:pPr>
              <w:widowControl w:val="0"/>
              <w:jc w:val="right"/>
              <w:rPr>
                <w:rFonts w:ascii="Arial Narrow" w:hAnsi="Arial Narrow" w:cs="Calibri"/>
                <w:sz w:val="20"/>
                <w:szCs w:val="20"/>
              </w:rPr>
            </w:pPr>
            <w:r w:rsidRPr="003339CC">
              <w:rPr>
                <w:rFonts w:ascii="Arial Narrow" w:hAnsi="Arial Narrow" w:cs="Calibri"/>
                <w:sz w:val="20"/>
                <w:szCs w:val="20"/>
              </w:rPr>
              <w:t>66,5%</w:t>
            </w:r>
          </w:p>
        </w:tc>
        <w:tc>
          <w:tcPr>
            <w:tcW w:w="1414" w:type="dxa"/>
            <w:tcBorders>
              <w:top w:val="nil"/>
              <w:left w:val="nil"/>
              <w:bottom w:val="single" w:sz="4" w:space="0" w:color="auto"/>
              <w:right w:val="single" w:sz="4" w:space="0" w:color="auto"/>
            </w:tcBorders>
            <w:shd w:val="clear" w:color="000000" w:fill="FFFFFF"/>
            <w:noWrap/>
            <w:vAlign w:val="center"/>
          </w:tcPr>
          <w:p w14:paraId="27A25D45" w14:textId="77777777" w:rsidR="003A2D79" w:rsidRPr="003339CC" w:rsidRDefault="003A2D79" w:rsidP="003A2D79">
            <w:pPr>
              <w:widowControl w:val="0"/>
              <w:jc w:val="right"/>
              <w:rPr>
                <w:rFonts w:ascii="Arial Narrow" w:hAnsi="Arial Narrow" w:cs="Calibri"/>
                <w:sz w:val="20"/>
                <w:szCs w:val="20"/>
              </w:rPr>
            </w:pPr>
            <w:r w:rsidRPr="003339CC">
              <w:rPr>
                <w:rFonts w:ascii="Arial Narrow" w:hAnsi="Arial Narrow" w:cs="Calibri"/>
                <w:sz w:val="20"/>
                <w:szCs w:val="20"/>
              </w:rPr>
              <w:t>1 193</w:t>
            </w:r>
          </w:p>
        </w:tc>
        <w:tc>
          <w:tcPr>
            <w:tcW w:w="1414" w:type="dxa"/>
            <w:tcBorders>
              <w:top w:val="nil"/>
              <w:left w:val="single" w:sz="4" w:space="0" w:color="auto"/>
              <w:bottom w:val="single" w:sz="4" w:space="0" w:color="auto"/>
              <w:right w:val="single" w:sz="4" w:space="0" w:color="auto"/>
            </w:tcBorders>
            <w:shd w:val="clear" w:color="auto" w:fill="auto"/>
            <w:noWrap/>
            <w:vAlign w:val="center"/>
          </w:tcPr>
          <w:p w14:paraId="1AE0E514" w14:textId="77777777" w:rsidR="003A2D79" w:rsidRPr="003339CC" w:rsidRDefault="003A2D79" w:rsidP="003A2D79">
            <w:pPr>
              <w:widowControl w:val="0"/>
              <w:jc w:val="right"/>
              <w:rPr>
                <w:rFonts w:ascii="Arial Narrow" w:hAnsi="Arial Narrow" w:cs="Calibri"/>
                <w:sz w:val="20"/>
                <w:szCs w:val="20"/>
              </w:rPr>
            </w:pPr>
            <w:r w:rsidRPr="003339CC">
              <w:rPr>
                <w:rFonts w:ascii="Arial Narrow" w:hAnsi="Arial Narrow" w:cs="Calibri"/>
                <w:sz w:val="20"/>
                <w:szCs w:val="20"/>
              </w:rPr>
              <w:t>1 735</w:t>
            </w:r>
          </w:p>
        </w:tc>
        <w:tc>
          <w:tcPr>
            <w:tcW w:w="1416" w:type="dxa"/>
            <w:tcBorders>
              <w:top w:val="nil"/>
              <w:left w:val="nil"/>
              <w:bottom w:val="single" w:sz="4" w:space="0" w:color="auto"/>
              <w:right w:val="single" w:sz="4" w:space="0" w:color="auto"/>
            </w:tcBorders>
            <w:shd w:val="clear" w:color="auto" w:fill="auto"/>
            <w:noWrap/>
            <w:vAlign w:val="center"/>
          </w:tcPr>
          <w:p w14:paraId="40C0EEE8" w14:textId="77777777" w:rsidR="003A2D79" w:rsidRPr="003339CC" w:rsidRDefault="003A2D79" w:rsidP="003A2D79">
            <w:pPr>
              <w:widowControl w:val="0"/>
              <w:jc w:val="right"/>
              <w:rPr>
                <w:rFonts w:ascii="Arial Narrow" w:hAnsi="Arial Narrow" w:cs="Calibri"/>
                <w:sz w:val="20"/>
                <w:szCs w:val="20"/>
              </w:rPr>
            </w:pPr>
            <w:r w:rsidRPr="003339CC">
              <w:rPr>
                <w:rFonts w:ascii="Arial Narrow" w:hAnsi="Arial Narrow" w:cs="Calibri"/>
                <w:sz w:val="20"/>
                <w:szCs w:val="20"/>
              </w:rPr>
              <w:t>45,4%</w:t>
            </w:r>
          </w:p>
        </w:tc>
      </w:tr>
      <w:tr w:rsidR="003A2D79" w:rsidRPr="003339CC" w14:paraId="181E5B4A" w14:textId="77777777" w:rsidTr="00F10FC2">
        <w:trPr>
          <w:trHeight w:val="357"/>
        </w:trPr>
        <w:tc>
          <w:tcPr>
            <w:tcW w:w="1307" w:type="dxa"/>
            <w:tcBorders>
              <w:top w:val="nil"/>
              <w:left w:val="single" w:sz="4" w:space="0" w:color="auto"/>
              <w:bottom w:val="single" w:sz="4" w:space="0" w:color="auto"/>
              <w:right w:val="single" w:sz="4" w:space="0" w:color="auto"/>
            </w:tcBorders>
            <w:shd w:val="clear" w:color="000000" w:fill="FFFFFF"/>
            <w:noWrap/>
            <w:vAlign w:val="center"/>
            <w:hideMark/>
          </w:tcPr>
          <w:p w14:paraId="652844C3" w14:textId="77777777" w:rsidR="003A2D79" w:rsidRPr="003339CC" w:rsidRDefault="003A2D79" w:rsidP="003A2D79">
            <w:pPr>
              <w:widowControl w:val="0"/>
              <w:rPr>
                <w:rFonts w:ascii="Arial Narrow" w:hAnsi="Arial Narrow" w:cs="Calibri"/>
                <w:b/>
                <w:bCs/>
                <w:sz w:val="20"/>
                <w:szCs w:val="20"/>
              </w:rPr>
            </w:pPr>
            <w:r w:rsidRPr="003339CC">
              <w:rPr>
                <w:rFonts w:ascii="Arial Narrow" w:hAnsi="Arial Narrow" w:cs="Calibri"/>
                <w:b/>
                <w:bCs/>
                <w:sz w:val="20"/>
                <w:szCs w:val="20"/>
              </w:rPr>
              <w:t>Общо</w:t>
            </w:r>
          </w:p>
        </w:tc>
        <w:tc>
          <w:tcPr>
            <w:tcW w:w="1414" w:type="dxa"/>
            <w:tcBorders>
              <w:top w:val="nil"/>
              <w:left w:val="nil"/>
              <w:bottom w:val="single" w:sz="4" w:space="0" w:color="auto"/>
              <w:right w:val="single" w:sz="4" w:space="0" w:color="auto"/>
            </w:tcBorders>
            <w:shd w:val="clear" w:color="000000" w:fill="FFFFFF"/>
            <w:noWrap/>
            <w:vAlign w:val="center"/>
          </w:tcPr>
          <w:p w14:paraId="54E2CC86" w14:textId="77777777" w:rsidR="003A2D79" w:rsidRPr="003339CC" w:rsidRDefault="003A2D79" w:rsidP="003A2D79">
            <w:pPr>
              <w:widowControl w:val="0"/>
              <w:jc w:val="right"/>
              <w:rPr>
                <w:rFonts w:ascii="Arial Narrow" w:hAnsi="Arial Narrow" w:cs="Calibri"/>
                <w:b/>
                <w:sz w:val="20"/>
                <w:szCs w:val="20"/>
              </w:rPr>
            </w:pPr>
            <w:r w:rsidRPr="003339CC">
              <w:rPr>
                <w:rFonts w:ascii="Arial Narrow" w:hAnsi="Arial Narrow" w:cs="Calibri"/>
                <w:b/>
                <w:sz w:val="20"/>
                <w:szCs w:val="20"/>
              </w:rPr>
              <w:t>61 703</w:t>
            </w:r>
          </w:p>
        </w:tc>
        <w:tc>
          <w:tcPr>
            <w:tcW w:w="1414" w:type="dxa"/>
            <w:tcBorders>
              <w:top w:val="nil"/>
              <w:left w:val="single" w:sz="4" w:space="0" w:color="auto"/>
              <w:bottom w:val="single" w:sz="4" w:space="0" w:color="auto"/>
              <w:right w:val="single" w:sz="4" w:space="0" w:color="auto"/>
            </w:tcBorders>
            <w:shd w:val="clear" w:color="auto" w:fill="auto"/>
            <w:noWrap/>
            <w:vAlign w:val="center"/>
          </w:tcPr>
          <w:p w14:paraId="1BCD08CC" w14:textId="77777777" w:rsidR="003A2D79" w:rsidRPr="003339CC" w:rsidRDefault="003A2D79" w:rsidP="003A2D79">
            <w:pPr>
              <w:widowControl w:val="0"/>
              <w:jc w:val="right"/>
              <w:rPr>
                <w:rFonts w:ascii="Arial Narrow" w:hAnsi="Arial Narrow" w:cs="Calibri"/>
                <w:b/>
                <w:sz w:val="20"/>
                <w:szCs w:val="20"/>
              </w:rPr>
            </w:pPr>
            <w:r w:rsidRPr="003339CC">
              <w:rPr>
                <w:rFonts w:ascii="Arial Narrow" w:hAnsi="Arial Narrow" w:cs="Calibri"/>
                <w:b/>
                <w:sz w:val="20"/>
                <w:szCs w:val="20"/>
              </w:rPr>
              <w:t>64 620</w:t>
            </w:r>
          </w:p>
        </w:tc>
        <w:tc>
          <w:tcPr>
            <w:tcW w:w="1416" w:type="dxa"/>
            <w:tcBorders>
              <w:top w:val="nil"/>
              <w:left w:val="nil"/>
              <w:bottom w:val="single" w:sz="4" w:space="0" w:color="auto"/>
              <w:right w:val="single" w:sz="4" w:space="0" w:color="auto"/>
            </w:tcBorders>
            <w:shd w:val="clear" w:color="000000" w:fill="FFFFFF"/>
            <w:noWrap/>
            <w:vAlign w:val="center"/>
          </w:tcPr>
          <w:p w14:paraId="23D744F7" w14:textId="77777777" w:rsidR="003A2D79" w:rsidRPr="003339CC" w:rsidRDefault="003A2D79" w:rsidP="003A2D79">
            <w:pPr>
              <w:widowControl w:val="0"/>
              <w:jc w:val="right"/>
              <w:rPr>
                <w:rFonts w:ascii="Arial Narrow" w:hAnsi="Arial Narrow" w:cs="Calibri"/>
                <w:b/>
                <w:sz w:val="20"/>
                <w:szCs w:val="20"/>
              </w:rPr>
            </w:pPr>
            <w:r w:rsidRPr="003339CC">
              <w:rPr>
                <w:rFonts w:ascii="Arial Narrow" w:hAnsi="Arial Narrow" w:cs="Calibri"/>
                <w:b/>
                <w:sz w:val="20"/>
                <w:szCs w:val="20"/>
              </w:rPr>
              <w:t>4,7%</w:t>
            </w:r>
          </w:p>
        </w:tc>
        <w:tc>
          <w:tcPr>
            <w:tcW w:w="1414" w:type="dxa"/>
            <w:tcBorders>
              <w:top w:val="nil"/>
              <w:left w:val="nil"/>
              <w:bottom w:val="single" w:sz="4" w:space="0" w:color="auto"/>
              <w:right w:val="single" w:sz="4" w:space="0" w:color="auto"/>
            </w:tcBorders>
            <w:shd w:val="clear" w:color="000000" w:fill="FFFFFF"/>
            <w:noWrap/>
            <w:vAlign w:val="center"/>
          </w:tcPr>
          <w:p w14:paraId="147D7CD1" w14:textId="77777777" w:rsidR="003A2D79" w:rsidRPr="003339CC" w:rsidRDefault="003A2D79" w:rsidP="003A2D79">
            <w:pPr>
              <w:widowControl w:val="0"/>
              <w:jc w:val="right"/>
              <w:rPr>
                <w:rFonts w:ascii="Arial Narrow" w:hAnsi="Arial Narrow" w:cs="Calibri"/>
                <w:b/>
                <w:sz w:val="20"/>
                <w:szCs w:val="20"/>
              </w:rPr>
            </w:pPr>
            <w:r w:rsidRPr="003339CC">
              <w:rPr>
                <w:rFonts w:ascii="Arial Narrow" w:hAnsi="Arial Narrow" w:cs="Calibri"/>
                <w:b/>
                <w:sz w:val="20"/>
                <w:szCs w:val="20"/>
              </w:rPr>
              <w:t>122 076</w:t>
            </w:r>
          </w:p>
        </w:tc>
        <w:tc>
          <w:tcPr>
            <w:tcW w:w="1414" w:type="dxa"/>
            <w:tcBorders>
              <w:top w:val="nil"/>
              <w:left w:val="single" w:sz="4" w:space="0" w:color="auto"/>
              <w:bottom w:val="single" w:sz="4" w:space="0" w:color="auto"/>
              <w:right w:val="single" w:sz="4" w:space="0" w:color="auto"/>
            </w:tcBorders>
            <w:shd w:val="clear" w:color="auto" w:fill="auto"/>
            <w:noWrap/>
            <w:vAlign w:val="center"/>
          </w:tcPr>
          <w:p w14:paraId="2D2A2389" w14:textId="77777777" w:rsidR="003A2D79" w:rsidRPr="003339CC" w:rsidRDefault="003A2D79" w:rsidP="003A2D79">
            <w:pPr>
              <w:widowControl w:val="0"/>
              <w:jc w:val="right"/>
              <w:rPr>
                <w:rFonts w:ascii="Arial Narrow" w:hAnsi="Arial Narrow" w:cs="Calibri"/>
                <w:b/>
                <w:sz w:val="20"/>
                <w:szCs w:val="20"/>
              </w:rPr>
            </w:pPr>
            <w:r w:rsidRPr="003339CC">
              <w:rPr>
                <w:rFonts w:ascii="Arial Narrow" w:hAnsi="Arial Narrow" w:cs="Calibri"/>
                <w:b/>
                <w:sz w:val="20"/>
                <w:szCs w:val="20"/>
              </w:rPr>
              <w:t>125 320</w:t>
            </w:r>
          </w:p>
        </w:tc>
        <w:tc>
          <w:tcPr>
            <w:tcW w:w="1416" w:type="dxa"/>
            <w:tcBorders>
              <w:top w:val="nil"/>
              <w:left w:val="nil"/>
              <w:bottom w:val="single" w:sz="4" w:space="0" w:color="auto"/>
              <w:right w:val="single" w:sz="4" w:space="0" w:color="auto"/>
            </w:tcBorders>
            <w:shd w:val="clear" w:color="auto" w:fill="auto"/>
            <w:noWrap/>
            <w:vAlign w:val="center"/>
          </w:tcPr>
          <w:p w14:paraId="44A20ECB" w14:textId="77777777" w:rsidR="003A2D79" w:rsidRPr="003339CC" w:rsidRDefault="003A2D79" w:rsidP="003A2D79">
            <w:pPr>
              <w:widowControl w:val="0"/>
              <w:jc w:val="right"/>
              <w:rPr>
                <w:rFonts w:ascii="Arial Narrow" w:hAnsi="Arial Narrow" w:cs="Calibri"/>
                <w:b/>
                <w:sz w:val="20"/>
                <w:szCs w:val="20"/>
              </w:rPr>
            </w:pPr>
            <w:r w:rsidRPr="003339CC">
              <w:rPr>
                <w:rFonts w:ascii="Arial Narrow" w:hAnsi="Arial Narrow" w:cs="Calibri"/>
                <w:b/>
                <w:sz w:val="20"/>
                <w:szCs w:val="20"/>
              </w:rPr>
              <w:t>2,7%</w:t>
            </w:r>
          </w:p>
        </w:tc>
      </w:tr>
    </w:tbl>
    <w:p w14:paraId="5FA0DBAE" w14:textId="77777777" w:rsidR="003A2D79" w:rsidRPr="00725099" w:rsidRDefault="003A2D79" w:rsidP="003A2D79">
      <w:pPr>
        <w:widowControl w:val="0"/>
        <w:spacing w:after="240"/>
        <w:rPr>
          <w:rFonts w:ascii="Arial Narrow" w:hAnsi="Arial Narrow"/>
          <w:sz w:val="18"/>
          <w:szCs w:val="18"/>
        </w:rPr>
      </w:pPr>
      <w:r w:rsidRPr="00725099">
        <w:rPr>
          <w:rFonts w:ascii="Arial Narrow" w:hAnsi="Arial Narrow"/>
          <w:i/>
          <w:sz w:val="18"/>
          <w:szCs w:val="18"/>
        </w:rPr>
        <w:t xml:space="preserve">Източник: </w:t>
      </w:r>
      <w:r w:rsidRPr="00725099">
        <w:rPr>
          <w:rFonts w:ascii="Arial Narrow" w:hAnsi="Arial Narrow"/>
          <w:sz w:val="18"/>
          <w:szCs w:val="18"/>
        </w:rPr>
        <w:t>МЗХ, отдел „Агростатистика”</w:t>
      </w:r>
    </w:p>
    <w:p w14:paraId="39188C16" w14:textId="77777777" w:rsidR="003A2D79" w:rsidRPr="004314BC" w:rsidRDefault="003A2D79" w:rsidP="004314BC">
      <w:pPr>
        <w:widowControl w:val="0"/>
        <w:autoSpaceDE w:val="0"/>
        <w:autoSpaceDN w:val="0"/>
        <w:adjustRightInd w:val="0"/>
        <w:spacing w:after="120"/>
        <w:ind w:firstLine="709"/>
        <w:jc w:val="both"/>
        <w:rPr>
          <w:rFonts w:ascii="Arial Narrow" w:hAnsi="Arial Narrow"/>
          <w:lang w:eastAsia="bg-BG"/>
        </w:rPr>
      </w:pPr>
      <w:r w:rsidRPr="00137BFE">
        <w:rPr>
          <w:rFonts w:ascii="Arial Narrow" w:hAnsi="Arial Narrow"/>
          <w:lang w:eastAsia="bg-BG"/>
        </w:rPr>
        <w:t>За развитието на птицевъдството през последните години допринася схемата на държавна помощ за реализиране на доброволно поети ангажименти за хуманно отношение към птиците (за угояване и за яйценосно направление) за период от пет години, чието прилагане продължава и през 2024 г.</w:t>
      </w:r>
    </w:p>
    <w:p w14:paraId="7DC2F4B7" w14:textId="77777777" w:rsidR="004314BC" w:rsidRPr="004314BC" w:rsidRDefault="008D3B3A" w:rsidP="004314BC">
      <w:pPr>
        <w:numPr>
          <w:ilvl w:val="2"/>
          <w:numId w:val="8"/>
        </w:numPr>
        <w:tabs>
          <w:tab w:val="left" w:pos="990"/>
        </w:tabs>
        <w:spacing w:after="120"/>
        <w:ind w:left="792" w:hanging="432"/>
        <w:outlineLvl w:val="0"/>
        <w:rPr>
          <w:b/>
          <w:lang w:val="bg-BG"/>
        </w:rPr>
      </w:pPr>
      <w:bookmarkStart w:id="55" w:name="_Toc23513557"/>
      <w:bookmarkStart w:id="56" w:name="_Toc210747555"/>
      <w:r w:rsidRPr="004314BC">
        <w:rPr>
          <w:rFonts w:ascii="Arial Narrow" w:hAnsi="Arial Narrow" w:cs="ArialNarrow-Bold"/>
          <w:b/>
          <w:bCs/>
          <w:lang w:val="bg-BG"/>
        </w:rPr>
        <w:t>Пчеларство</w:t>
      </w:r>
      <w:bookmarkEnd w:id="55"/>
      <w:bookmarkEnd w:id="56"/>
    </w:p>
    <w:p w14:paraId="3B3310AF" w14:textId="77777777" w:rsidR="004314BC" w:rsidRPr="004314BC" w:rsidRDefault="004314BC" w:rsidP="004314BC">
      <w:pPr>
        <w:widowControl w:val="0"/>
        <w:autoSpaceDE w:val="0"/>
        <w:autoSpaceDN w:val="0"/>
        <w:adjustRightInd w:val="0"/>
        <w:spacing w:after="120"/>
        <w:ind w:firstLine="709"/>
        <w:jc w:val="both"/>
        <w:rPr>
          <w:rFonts w:ascii="Arial Narrow" w:eastAsia="Calibri" w:hAnsi="Arial Narrow" w:cs="Arial"/>
          <w:lang w:val="bg-BG" w:eastAsia="bg-BG"/>
        </w:rPr>
      </w:pPr>
      <w:r w:rsidRPr="004314BC">
        <w:rPr>
          <w:rFonts w:ascii="Arial Narrow" w:eastAsia="Calibri" w:hAnsi="Arial Narrow" w:cs="Arial"/>
          <w:lang w:val="bg-BG" w:eastAsia="bg-BG"/>
        </w:rPr>
        <w:t xml:space="preserve">Развитието на пчеларството в България е благоприятствано от подходящите природни, климатични и екологични условия в страната, както и от дългогодишните традиции. Незаменимите лечебни </w:t>
      </w:r>
      <w:r w:rsidRPr="004314BC">
        <w:rPr>
          <w:rFonts w:ascii="Arial Narrow" w:eastAsia="Calibri" w:hAnsi="Arial Narrow" w:cs="Arial"/>
          <w:lang w:val="bg-BG" w:eastAsia="bg-BG"/>
        </w:rPr>
        <w:lastRenderedPageBreak/>
        <w:t xml:space="preserve">свойства на пчелния мед и пчелните продукти водят до силно търсене от страна на потребителите, а добрите качествени параметри на българския мед го правят до голяма степен експортно ориентиран. </w:t>
      </w:r>
    </w:p>
    <w:p w14:paraId="3113DB52" w14:textId="77777777" w:rsidR="004314BC" w:rsidRPr="004314BC" w:rsidRDefault="004314BC" w:rsidP="004314BC">
      <w:pPr>
        <w:widowControl w:val="0"/>
        <w:autoSpaceDE w:val="0"/>
        <w:autoSpaceDN w:val="0"/>
        <w:adjustRightInd w:val="0"/>
        <w:spacing w:after="120"/>
        <w:ind w:firstLine="709"/>
        <w:jc w:val="both"/>
        <w:rPr>
          <w:rFonts w:ascii="Arial Narrow" w:eastAsia="Calibri" w:hAnsi="Arial Narrow" w:cs="Arial"/>
          <w:lang w:val="bg-BG" w:eastAsia="bg-BG"/>
        </w:rPr>
      </w:pPr>
      <w:r w:rsidRPr="004314BC">
        <w:rPr>
          <w:rFonts w:ascii="Arial Narrow" w:eastAsia="Calibri" w:hAnsi="Arial Narrow" w:cs="Arial"/>
          <w:lang w:val="bg-BG" w:eastAsia="bg-BG"/>
        </w:rPr>
        <w:t xml:space="preserve">Пчеларството представлява алтернативна заетост за населението в слаборазвитите селски райони, осигуряваща допълнителни доходи. </w:t>
      </w:r>
    </w:p>
    <w:p w14:paraId="61D1B925" w14:textId="77777777" w:rsidR="004314BC" w:rsidRPr="004314BC" w:rsidRDefault="004314BC" w:rsidP="004314BC">
      <w:pPr>
        <w:widowControl w:val="0"/>
        <w:spacing w:after="120"/>
        <w:jc w:val="both"/>
        <w:rPr>
          <w:rFonts w:ascii="Arial Narrow" w:eastAsia="Calibri" w:hAnsi="Arial Narrow" w:cs="Arial"/>
          <w:b/>
          <w:lang w:val="bg-BG"/>
        </w:rPr>
      </w:pPr>
      <w:r w:rsidRPr="004314BC">
        <w:rPr>
          <w:rFonts w:ascii="Arial Narrow" w:eastAsia="Calibri" w:hAnsi="Arial Narrow" w:cs="Arial"/>
          <w:b/>
          <w:iCs/>
          <w:lang w:val="bg-BG"/>
        </w:rPr>
        <w:t xml:space="preserve">Таблица ІІ.29. Брой </w:t>
      </w:r>
      <w:r w:rsidRPr="004314BC">
        <w:rPr>
          <w:rFonts w:ascii="Arial Narrow" w:eastAsia="Calibri" w:hAnsi="Arial Narrow" w:cs="Arial"/>
          <w:b/>
          <w:lang w:val="bg-BG"/>
        </w:rPr>
        <w:t>пчелни стопанства и пчелни семейства към 1 октомври</w:t>
      </w:r>
    </w:p>
    <w:tbl>
      <w:tblPr>
        <w:tblW w:w="985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80"/>
        <w:gridCol w:w="834"/>
        <w:gridCol w:w="834"/>
        <w:gridCol w:w="1099"/>
        <w:gridCol w:w="903"/>
        <w:gridCol w:w="903"/>
        <w:gridCol w:w="1100"/>
        <w:gridCol w:w="903"/>
        <w:gridCol w:w="903"/>
        <w:gridCol w:w="1100"/>
      </w:tblGrid>
      <w:tr w:rsidR="004314BC" w:rsidRPr="004314BC" w14:paraId="50DB4D11" w14:textId="77777777" w:rsidTr="00F10FC2">
        <w:trPr>
          <w:trHeight w:val="453"/>
          <w:tblHeader/>
        </w:trPr>
        <w:tc>
          <w:tcPr>
            <w:tcW w:w="1280" w:type="dxa"/>
            <w:vMerge w:val="restart"/>
            <w:vAlign w:val="center"/>
          </w:tcPr>
          <w:p w14:paraId="45B8B0E9" w14:textId="77777777" w:rsidR="004314BC" w:rsidRPr="004314BC" w:rsidRDefault="004314BC" w:rsidP="004314BC">
            <w:pPr>
              <w:widowControl w:val="0"/>
              <w:jc w:val="center"/>
              <w:rPr>
                <w:rFonts w:ascii="Arial Narrow" w:hAnsi="Arial Narrow"/>
                <w:b/>
                <w:bCs/>
                <w:sz w:val="20"/>
                <w:szCs w:val="20"/>
                <w:lang w:val="bg-BG"/>
              </w:rPr>
            </w:pPr>
            <w:r w:rsidRPr="004314BC">
              <w:rPr>
                <w:rFonts w:ascii="Arial Narrow" w:hAnsi="Arial Narrow"/>
                <w:b/>
                <w:bCs/>
                <w:sz w:val="20"/>
                <w:szCs w:val="20"/>
                <w:lang w:val="bg-BG"/>
              </w:rPr>
              <w:t>Брой пчелни семейства в стопанство</w:t>
            </w:r>
          </w:p>
        </w:tc>
        <w:tc>
          <w:tcPr>
            <w:tcW w:w="2767" w:type="dxa"/>
            <w:gridSpan w:val="3"/>
            <w:noWrap/>
            <w:vAlign w:val="center"/>
          </w:tcPr>
          <w:p w14:paraId="5967A6C5" w14:textId="77777777" w:rsidR="004314BC" w:rsidRPr="004314BC" w:rsidRDefault="004314BC" w:rsidP="004314BC">
            <w:pPr>
              <w:widowControl w:val="0"/>
              <w:jc w:val="center"/>
              <w:rPr>
                <w:rFonts w:ascii="Arial Narrow" w:hAnsi="Arial Narrow"/>
                <w:b/>
                <w:bCs/>
                <w:sz w:val="20"/>
                <w:szCs w:val="20"/>
                <w:lang w:val="bg-BG"/>
              </w:rPr>
            </w:pPr>
            <w:r w:rsidRPr="004314BC">
              <w:rPr>
                <w:rFonts w:ascii="Arial Narrow" w:hAnsi="Arial Narrow"/>
                <w:b/>
                <w:bCs/>
                <w:sz w:val="20"/>
                <w:szCs w:val="20"/>
                <w:lang w:val="bg-BG"/>
              </w:rPr>
              <w:t>Брой стопанства</w:t>
            </w:r>
          </w:p>
        </w:tc>
        <w:tc>
          <w:tcPr>
            <w:tcW w:w="2906" w:type="dxa"/>
            <w:gridSpan w:val="3"/>
            <w:noWrap/>
            <w:vAlign w:val="center"/>
          </w:tcPr>
          <w:p w14:paraId="7875C262" w14:textId="77777777" w:rsidR="004314BC" w:rsidRPr="004314BC" w:rsidRDefault="004314BC" w:rsidP="004314BC">
            <w:pPr>
              <w:widowControl w:val="0"/>
              <w:jc w:val="center"/>
              <w:rPr>
                <w:rFonts w:ascii="Arial Narrow" w:hAnsi="Arial Narrow"/>
                <w:b/>
                <w:bCs/>
                <w:sz w:val="20"/>
                <w:szCs w:val="20"/>
                <w:lang w:val="bg-BG"/>
              </w:rPr>
            </w:pPr>
            <w:r w:rsidRPr="004314BC">
              <w:rPr>
                <w:rFonts w:ascii="Arial Narrow" w:hAnsi="Arial Narrow"/>
                <w:b/>
                <w:bCs/>
                <w:sz w:val="20"/>
                <w:szCs w:val="20"/>
                <w:lang w:val="bg-BG"/>
              </w:rPr>
              <w:t>Брой пчелни семейства</w:t>
            </w:r>
          </w:p>
        </w:tc>
        <w:tc>
          <w:tcPr>
            <w:tcW w:w="2906" w:type="dxa"/>
            <w:gridSpan w:val="3"/>
            <w:noWrap/>
            <w:vAlign w:val="center"/>
          </w:tcPr>
          <w:p w14:paraId="58AF1C3E" w14:textId="77777777" w:rsidR="004314BC" w:rsidRPr="004314BC" w:rsidRDefault="004314BC" w:rsidP="004314BC">
            <w:pPr>
              <w:widowControl w:val="0"/>
              <w:jc w:val="center"/>
              <w:rPr>
                <w:rFonts w:ascii="Arial Narrow" w:hAnsi="Arial Narrow"/>
                <w:b/>
                <w:bCs/>
                <w:sz w:val="20"/>
                <w:szCs w:val="20"/>
                <w:lang w:val="bg-BG"/>
              </w:rPr>
            </w:pPr>
            <w:r w:rsidRPr="004314BC">
              <w:rPr>
                <w:rFonts w:ascii="Arial Narrow" w:hAnsi="Arial Narrow"/>
                <w:b/>
                <w:bCs/>
                <w:sz w:val="20"/>
                <w:szCs w:val="20"/>
                <w:lang w:val="bg-BG"/>
              </w:rPr>
              <w:t>Среден брой пчелни семейства</w:t>
            </w:r>
          </w:p>
        </w:tc>
      </w:tr>
      <w:tr w:rsidR="004314BC" w:rsidRPr="004314BC" w14:paraId="5CD4BB58" w14:textId="77777777" w:rsidTr="00F10FC2">
        <w:trPr>
          <w:trHeight w:val="627"/>
          <w:tblHeader/>
        </w:trPr>
        <w:tc>
          <w:tcPr>
            <w:tcW w:w="1280" w:type="dxa"/>
            <w:vMerge/>
            <w:vAlign w:val="center"/>
          </w:tcPr>
          <w:p w14:paraId="08285727" w14:textId="77777777" w:rsidR="004314BC" w:rsidRPr="004314BC" w:rsidRDefault="004314BC" w:rsidP="004314BC">
            <w:pPr>
              <w:widowControl w:val="0"/>
              <w:jc w:val="center"/>
              <w:rPr>
                <w:rFonts w:ascii="Arial Narrow" w:hAnsi="Arial Narrow"/>
                <w:b/>
                <w:bCs/>
                <w:sz w:val="20"/>
                <w:szCs w:val="20"/>
                <w:lang w:val="bg-BG"/>
              </w:rPr>
            </w:pPr>
          </w:p>
        </w:tc>
        <w:tc>
          <w:tcPr>
            <w:tcW w:w="834" w:type="dxa"/>
            <w:vAlign w:val="center"/>
          </w:tcPr>
          <w:p w14:paraId="0EA41BB5" w14:textId="77777777" w:rsidR="004314BC" w:rsidRPr="004314BC" w:rsidRDefault="004314BC" w:rsidP="004314BC">
            <w:pPr>
              <w:widowControl w:val="0"/>
              <w:jc w:val="center"/>
              <w:rPr>
                <w:rFonts w:ascii="Arial Narrow" w:hAnsi="Arial Narrow"/>
                <w:b/>
                <w:bCs/>
                <w:sz w:val="20"/>
                <w:szCs w:val="20"/>
                <w:lang w:val="bg-BG"/>
              </w:rPr>
            </w:pPr>
            <w:r w:rsidRPr="004314BC">
              <w:rPr>
                <w:rFonts w:ascii="Arial Narrow" w:hAnsi="Arial Narrow"/>
                <w:b/>
                <w:bCs/>
                <w:sz w:val="20"/>
                <w:szCs w:val="20"/>
                <w:lang w:val="bg-BG"/>
              </w:rPr>
              <w:t>2023</w:t>
            </w:r>
          </w:p>
        </w:tc>
        <w:tc>
          <w:tcPr>
            <w:tcW w:w="834" w:type="dxa"/>
            <w:tcBorders>
              <w:right w:val="single" w:sz="4" w:space="0" w:color="auto"/>
            </w:tcBorders>
            <w:vAlign w:val="center"/>
          </w:tcPr>
          <w:p w14:paraId="48C7AC7F" w14:textId="77777777" w:rsidR="004314BC" w:rsidRPr="004314BC" w:rsidRDefault="004314BC" w:rsidP="004314BC">
            <w:pPr>
              <w:widowControl w:val="0"/>
              <w:jc w:val="center"/>
              <w:rPr>
                <w:rFonts w:ascii="Arial Narrow" w:hAnsi="Arial Narrow"/>
                <w:b/>
                <w:bCs/>
                <w:sz w:val="20"/>
                <w:szCs w:val="20"/>
                <w:lang w:val="bg-BG"/>
              </w:rPr>
            </w:pPr>
            <w:r w:rsidRPr="004314BC">
              <w:rPr>
                <w:rFonts w:ascii="Arial Narrow" w:hAnsi="Arial Narrow"/>
                <w:b/>
                <w:bCs/>
                <w:sz w:val="20"/>
                <w:szCs w:val="20"/>
                <w:lang w:val="bg-BG"/>
              </w:rPr>
              <w:t>2024</w:t>
            </w:r>
          </w:p>
        </w:tc>
        <w:tc>
          <w:tcPr>
            <w:tcW w:w="1099" w:type="dxa"/>
            <w:tcBorders>
              <w:top w:val="single" w:sz="4" w:space="0" w:color="auto"/>
              <w:left w:val="single" w:sz="4" w:space="0" w:color="auto"/>
              <w:right w:val="single" w:sz="4" w:space="0" w:color="auto"/>
            </w:tcBorders>
            <w:noWrap/>
            <w:vAlign w:val="center"/>
          </w:tcPr>
          <w:p w14:paraId="2F315164" w14:textId="77777777" w:rsidR="004314BC" w:rsidRPr="004314BC" w:rsidRDefault="004314BC" w:rsidP="004314BC">
            <w:pPr>
              <w:widowControl w:val="0"/>
              <w:jc w:val="center"/>
              <w:rPr>
                <w:rFonts w:ascii="Arial Narrow" w:hAnsi="Arial Narrow"/>
                <w:b/>
                <w:bCs/>
                <w:sz w:val="20"/>
                <w:szCs w:val="20"/>
                <w:lang w:val="bg-BG"/>
              </w:rPr>
            </w:pPr>
            <w:r w:rsidRPr="004314BC">
              <w:rPr>
                <w:rFonts w:ascii="Arial Narrow" w:hAnsi="Arial Narrow"/>
                <w:b/>
                <w:bCs/>
                <w:sz w:val="20"/>
                <w:szCs w:val="20"/>
                <w:lang w:val="bg-BG"/>
              </w:rPr>
              <w:t>Изменение</w:t>
            </w:r>
          </w:p>
          <w:p w14:paraId="120C2739" w14:textId="77777777" w:rsidR="004314BC" w:rsidRPr="004314BC" w:rsidRDefault="004314BC" w:rsidP="004314BC">
            <w:pPr>
              <w:widowControl w:val="0"/>
              <w:jc w:val="center"/>
              <w:rPr>
                <w:rFonts w:ascii="Arial Narrow" w:hAnsi="Arial Narrow"/>
                <w:b/>
                <w:bCs/>
                <w:sz w:val="20"/>
                <w:szCs w:val="20"/>
              </w:rPr>
            </w:pPr>
            <w:r w:rsidRPr="004314BC">
              <w:rPr>
                <w:rFonts w:ascii="Arial Narrow" w:hAnsi="Arial Narrow"/>
                <w:b/>
                <w:bCs/>
                <w:sz w:val="20"/>
                <w:szCs w:val="20"/>
                <w:lang w:val="bg-BG"/>
              </w:rPr>
              <w:t>2024/2023</w:t>
            </w:r>
          </w:p>
        </w:tc>
        <w:tc>
          <w:tcPr>
            <w:tcW w:w="903" w:type="dxa"/>
            <w:vAlign w:val="center"/>
          </w:tcPr>
          <w:p w14:paraId="77496A87" w14:textId="77777777" w:rsidR="004314BC" w:rsidRPr="004314BC" w:rsidRDefault="004314BC" w:rsidP="004314BC">
            <w:pPr>
              <w:widowControl w:val="0"/>
              <w:jc w:val="center"/>
              <w:rPr>
                <w:rFonts w:ascii="Arial Narrow" w:hAnsi="Arial Narrow"/>
                <w:b/>
                <w:bCs/>
                <w:sz w:val="20"/>
                <w:szCs w:val="20"/>
                <w:lang w:val="bg-BG"/>
              </w:rPr>
            </w:pPr>
            <w:r w:rsidRPr="004314BC">
              <w:rPr>
                <w:rFonts w:ascii="Arial Narrow" w:hAnsi="Arial Narrow"/>
                <w:b/>
                <w:bCs/>
                <w:sz w:val="20"/>
                <w:szCs w:val="20"/>
                <w:lang w:val="bg-BG"/>
              </w:rPr>
              <w:t>2023</w:t>
            </w:r>
          </w:p>
        </w:tc>
        <w:tc>
          <w:tcPr>
            <w:tcW w:w="903" w:type="dxa"/>
            <w:tcBorders>
              <w:right w:val="single" w:sz="4" w:space="0" w:color="auto"/>
            </w:tcBorders>
            <w:vAlign w:val="center"/>
          </w:tcPr>
          <w:p w14:paraId="5688BF6B" w14:textId="77777777" w:rsidR="004314BC" w:rsidRPr="004314BC" w:rsidRDefault="004314BC" w:rsidP="004314BC">
            <w:pPr>
              <w:widowControl w:val="0"/>
              <w:jc w:val="center"/>
              <w:rPr>
                <w:rFonts w:ascii="Arial Narrow" w:hAnsi="Arial Narrow"/>
                <w:b/>
                <w:bCs/>
                <w:sz w:val="20"/>
                <w:szCs w:val="20"/>
                <w:lang w:val="bg-BG"/>
              </w:rPr>
            </w:pPr>
            <w:r w:rsidRPr="004314BC">
              <w:rPr>
                <w:rFonts w:ascii="Arial Narrow" w:hAnsi="Arial Narrow"/>
                <w:b/>
                <w:bCs/>
                <w:sz w:val="20"/>
                <w:szCs w:val="20"/>
                <w:lang w:val="bg-BG"/>
              </w:rPr>
              <w:t>2024</w:t>
            </w:r>
          </w:p>
        </w:tc>
        <w:tc>
          <w:tcPr>
            <w:tcW w:w="1100" w:type="dxa"/>
            <w:tcBorders>
              <w:top w:val="single" w:sz="4" w:space="0" w:color="auto"/>
              <w:left w:val="single" w:sz="4" w:space="0" w:color="auto"/>
              <w:right w:val="single" w:sz="4" w:space="0" w:color="auto"/>
            </w:tcBorders>
            <w:noWrap/>
            <w:vAlign w:val="center"/>
          </w:tcPr>
          <w:p w14:paraId="572447CF" w14:textId="77777777" w:rsidR="004314BC" w:rsidRPr="004314BC" w:rsidRDefault="004314BC" w:rsidP="004314BC">
            <w:pPr>
              <w:widowControl w:val="0"/>
              <w:jc w:val="center"/>
              <w:rPr>
                <w:rFonts w:ascii="Arial Narrow" w:hAnsi="Arial Narrow"/>
                <w:b/>
                <w:bCs/>
                <w:sz w:val="20"/>
                <w:szCs w:val="20"/>
                <w:lang w:val="bg-BG"/>
              </w:rPr>
            </w:pPr>
            <w:r w:rsidRPr="004314BC">
              <w:rPr>
                <w:rFonts w:ascii="Arial Narrow" w:hAnsi="Arial Narrow"/>
                <w:b/>
                <w:bCs/>
                <w:sz w:val="20"/>
                <w:szCs w:val="20"/>
                <w:lang w:val="bg-BG"/>
              </w:rPr>
              <w:t>Изменение</w:t>
            </w:r>
          </w:p>
          <w:p w14:paraId="25E3A52B" w14:textId="77777777" w:rsidR="004314BC" w:rsidRPr="004314BC" w:rsidRDefault="004314BC" w:rsidP="004314BC">
            <w:pPr>
              <w:widowControl w:val="0"/>
              <w:jc w:val="center"/>
              <w:rPr>
                <w:rFonts w:ascii="Arial Narrow" w:hAnsi="Arial Narrow"/>
                <w:b/>
                <w:bCs/>
                <w:sz w:val="20"/>
                <w:szCs w:val="20"/>
                <w:lang w:val="bg-BG"/>
              </w:rPr>
            </w:pPr>
            <w:r w:rsidRPr="004314BC">
              <w:rPr>
                <w:rFonts w:ascii="Arial Narrow" w:hAnsi="Arial Narrow"/>
                <w:b/>
                <w:bCs/>
                <w:sz w:val="20"/>
                <w:szCs w:val="20"/>
                <w:lang w:val="bg-BG"/>
              </w:rPr>
              <w:t>2024/2023</w:t>
            </w:r>
          </w:p>
        </w:tc>
        <w:tc>
          <w:tcPr>
            <w:tcW w:w="903" w:type="dxa"/>
            <w:vAlign w:val="center"/>
          </w:tcPr>
          <w:p w14:paraId="29443BB6" w14:textId="77777777" w:rsidR="004314BC" w:rsidRPr="004314BC" w:rsidRDefault="004314BC" w:rsidP="004314BC">
            <w:pPr>
              <w:widowControl w:val="0"/>
              <w:jc w:val="center"/>
              <w:rPr>
                <w:rFonts w:ascii="Arial Narrow" w:hAnsi="Arial Narrow"/>
                <w:b/>
                <w:bCs/>
                <w:sz w:val="20"/>
                <w:szCs w:val="20"/>
                <w:lang w:val="bg-BG"/>
              </w:rPr>
            </w:pPr>
            <w:r w:rsidRPr="004314BC">
              <w:rPr>
                <w:rFonts w:ascii="Arial Narrow" w:hAnsi="Arial Narrow"/>
                <w:b/>
                <w:bCs/>
                <w:sz w:val="20"/>
                <w:szCs w:val="20"/>
                <w:lang w:val="bg-BG"/>
              </w:rPr>
              <w:t>2023</w:t>
            </w:r>
          </w:p>
        </w:tc>
        <w:tc>
          <w:tcPr>
            <w:tcW w:w="903" w:type="dxa"/>
            <w:tcBorders>
              <w:right w:val="single" w:sz="4" w:space="0" w:color="auto"/>
            </w:tcBorders>
            <w:vAlign w:val="center"/>
          </w:tcPr>
          <w:p w14:paraId="39B38DD5" w14:textId="77777777" w:rsidR="004314BC" w:rsidRPr="004314BC" w:rsidRDefault="004314BC" w:rsidP="004314BC">
            <w:pPr>
              <w:widowControl w:val="0"/>
              <w:jc w:val="center"/>
              <w:rPr>
                <w:rFonts w:ascii="Arial Narrow" w:hAnsi="Arial Narrow"/>
                <w:b/>
                <w:bCs/>
                <w:sz w:val="20"/>
                <w:szCs w:val="20"/>
              </w:rPr>
            </w:pPr>
            <w:r w:rsidRPr="004314BC">
              <w:rPr>
                <w:rFonts w:ascii="Arial Narrow" w:hAnsi="Arial Narrow"/>
                <w:b/>
                <w:bCs/>
                <w:sz w:val="20"/>
                <w:szCs w:val="20"/>
                <w:lang w:val="bg-BG"/>
              </w:rPr>
              <w:t>2024</w:t>
            </w:r>
          </w:p>
        </w:tc>
        <w:tc>
          <w:tcPr>
            <w:tcW w:w="1100" w:type="dxa"/>
            <w:tcBorders>
              <w:top w:val="single" w:sz="4" w:space="0" w:color="auto"/>
              <w:left w:val="single" w:sz="4" w:space="0" w:color="auto"/>
              <w:right w:val="single" w:sz="4" w:space="0" w:color="auto"/>
            </w:tcBorders>
            <w:noWrap/>
            <w:vAlign w:val="center"/>
          </w:tcPr>
          <w:p w14:paraId="3855009E" w14:textId="77777777" w:rsidR="004314BC" w:rsidRPr="004314BC" w:rsidRDefault="004314BC" w:rsidP="004314BC">
            <w:pPr>
              <w:widowControl w:val="0"/>
              <w:jc w:val="center"/>
              <w:rPr>
                <w:rFonts w:ascii="Arial Narrow" w:hAnsi="Arial Narrow"/>
                <w:b/>
                <w:bCs/>
                <w:sz w:val="20"/>
                <w:szCs w:val="20"/>
                <w:lang w:val="bg-BG"/>
              </w:rPr>
            </w:pPr>
            <w:r w:rsidRPr="004314BC">
              <w:rPr>
                <w:rFonts w:ascii="Arial Narrow" w:hAnsi="Arial Narrow"/>
                <w:b/>
                <w:bCs/>
                <w:sz w:val="20"/>
                <w:szCs w:val="20"/>
                <w:lang w:val="bg-BG"/>
              </w:rPr>
              <w:t>Изменение</w:t>
            </w:r>
          </w:p>
          <w:p w14:paraId="300577E1" w14:textId="77777777" w:rsidR="004314BC" w:rsidRPr="004314BC" w:rsidRDefault="004314BC" w:rsidP="004314BC">
            <w:pPr>
              <w:widowControl w:val="0"/>
              <w:jc w:val="center"/>
              <w:rPr>
                <w:rFonts w:ascii="Arial Narrow" w:hAnsi="Arial Narrow"/>
                <w:b/>
                <w:bCs/>
                <w:sz w:val="20"/>
                <w:szCs w:val="20"/>
              </w:rPr>
            </w:pPr>
            <w:r w:rsidRPr="004314BC">
              <w:rPr>
                <w:rFonts w:ascii="Arial Narrow" w:hAnsi="Arial Narrow"/>
                <w:b/>
                <w:bCs/>
                <w:sz w:val="20"/>
                <w:szCs w:val="20"/>
                <w:lang w:val="bg-BG"/>
              </w:rPr>
              <w:t>2024/2023</w:t>
            </w:r>
          </w:p>
        </w:tc>
      </w:tr>
      <w:tr w:rsidR="004314BC" w:rsidRPr="004314BC" w14:paraId="2B8E51ED" w14:textId="77777777" w:rsidTr="00F10FC2">
        <w:trPr>
          <w:trHeight w:val="379"/>
        </w:trPr>
        <w:tc>
          <w:tcPr>
            <w:tcW w:w="1280" w:type="dxa"/>
            <w:vAlign w:val="center"/>
          </w:tcPr>
          <w:p w14:paraId="6823F92E" w14:textId="77777777" w:rsidR="004314BC" w:rsidRPr="004314BC" w:rsidRDefault="004314BC" w:rsidP="004314BC">
            <w:pPr>
              <w:widowControl w:val="0"/>
              <w:rPr>
                <w:rFonts w:ascii="Arial Narrow" w:hAnsi="Arial Narrow"/>
                <w:sz w:val="20"/>
                <w:szCs w:val="20"/>
                <w:lang w:val="bg-BG" w:eastAsia="bg-BG"/>
              </w:rPr>
            </w:pPr>
            <w:r w:rsidRPr="004314BC">
              <w:rPr>
                <w:rFonts w:ascii="Arial Narrow" w:hAnsi="Arial Narrow"/>
                <w:sz w:val="20"/>
                <w:szCs w:val="20"/>
                <w:lang w:val="bg-BG" w:eastAsia="bg-BG"/>
              </w:rPr>
              <w:t>от 1 до 9</w:t>
            </w:r>
          </w:p>
        </w:tc>
        <w:tc>
          <w:tcPr>
            <w:tcW w:w="834" w:type="dxa"/>
            <w:tcBorders>
              <w:top w:val="nil"/>
              <w:left w:val="nil"/>
              <w:bottom w:val="single" w:sz="4" w:space="0" w:color="auto"/>
              <w:right w:val="single" w:sz="4" w:space="0" w:color="auto"/>
            </w:tcBorders>
            <w:shd w:val="clear" w:color="auto" w:fill="auto"/>
            <w:vAlign w:val="center"/>
          </w:tcPr>
          <w:p w14:paraId="471B4E39" w14:textId="77777777" w:rsidR="004314BC" w:rsidRPr="004314BC" w:rsidRDefault="004314BC" w:rsidP="004314BC">
            <w:pPr>
              <w:widowControl w:val="0"/>
              <w:jc w:val="right"/>
              <w:rPr>
                <w:rFonts w:ascii="Arial Narrow" w:hAnsi="Arial Narrow" w:cs="Calibri"/>
                <w:sz w:val="20"/>
                <w:szCs w:val="20"/>
                <w:lang w:val="bg-BG" w:eastAsia="bg-BG"/>
              </w:rPr>
            </w:pPr>
            <w:r w:rsidRPr="004314BC">
              <w:rPr>
                <w:rFonts w:ascii="Arial Narrow" w:hAnsi="Arial Narrow" w:cs="Calibri"/>
                <w:sz w:val="20"/>
                <w:szCs w:val="20"/>
                <w:lang w:val="bg-BG" w:eastAsia="bg-BG"/>
              </w:rPr>
              <w:t>949</w:t>
            </w:r>
          </w:p>
        </w:tc>
        <w:tc>
          <w:tcPr>
            <w:tcW w:w="834" w:type="dxa"/>
            <w:tcBorders>
              <w:top w:val="nil"/>
              <w:left w:val="nil"/>
              <w:bottom w:val="single" w:sz="4" w:space="0" w:color="auto"/>
              <w:right w:val="single" w:sz="4" w:space="0" w:color="auto"/>
            </w:tcBorders>
            <w:shd w:val="clear" w:color="auto" w:fill="auto"/>
            <w:vAlign w:val="center"/>
          </w:tcPr>
          <w:p w14:paraId="7D94CBDA" w14:textId="77777777" w:rsidR="004314BC" w:rsidRPr="004314BC" w:rsidRDefault="004314BC" w:rsidP="004314BC">
            <w:pPr>
              <w:widowControl w:val="0"/>
              <w:jc w:val="right"/>
              <w:rPr>
                <w:rFonts w:ascii="Arial Narrow" w:hAnsi="Arial Narrow" w:cs="Calibri"/>
                <w:sz w:val="20"/>
                <w:szCs w:val="20"/>
                <w:lang w:val="bg-BG" w:eastAsia="bg-BG"/>
              </w:rPr>
            </w:pPr>
            <w:r w:rsidRPr="004314BC">
              <w:rPr>
                <w:rFonts w:ascii="Arial Narrow" w:hAnsi="Arial Narrow" w:cs="Calibri"/>
                <w:sz w:val="20"/>
                <w:szCs w:val="20"/>
                <w:lang w:val="bg-BG" w:eastAsia="bg-BG"/>
              </w:rPr>
              <w:t>804</w:t>
            </w:r>
          </w:p>
        </w:tc>
        <w:tc>
          <w:tcPr>
            <w:tcW w:w="1099" w:type="dxa"/>
            <w:tcBorders>
              <w:top w:val="single" w:sz="4" w:space="0" w:color="auto"/>
              <w:left w:val="nil"/>
              <w:bottom w:val="single" w:sz="4" w:space="0" w:color="auto"/>
              <w:right w:val="single" w:sz="4" w:space="0" w:color="auto"/>
            </w:tcBorders>
            <w:shd w:val="clear" w:color="auto" w:fill="auto"/>
            <w:vAlign w:val="center"/>
          </w:tcPr>
          <w:p w14:paraId="505D60A8" w14:textId="77777777" w:rsidR="004314BC" w:rsidRPr="004314BC" w:rsidRDefault="004314BC" w:rsidP="004314BC">
            <w:pPr>
              <w:widowControl w:val="0"/>
              <w:jc w:val="right"/>
              <w:rPr>
                <w:rFonts w:ascii="Arial Narrow" w:hAnsi="Arial Narrow" w:cs="Calibri"/>
                <w:sz w:val="20"/>
                <w:szCs w:val="20"/>
                <w:lang w:val="bg-BG" w:eastAsia="bg-BG"/>
              </w:rPr>
            </w:pPr>
            <w:r w:rsidRPr="004314BC">
              <w:rPr>
                <w:rFonts w:ascii="Arial Narrow" w:hAnsi="Arial Narrow" w:cs="Calibri"/>
                <w:sz w:val="20"/>
                <w:szCs w:val="20"/>
                <w:lang w:val="bg-BG" w:eastAsia="bg-BG"/>
              </w:rPr>
              <w:t>-15,3%</w:t>
            </w:r>
          </w:p>
        </w:tc>
        <w:tc>
          <w:tcPr>
            <w:tcW w:w="903" w:type="dxa"/>
            <w:tcBorders>
              <w:top w:val="nil"/>
              <w:left w:val="nil"/>
              <w:bottom w:val="single" w:sz="4" w:space="0" w:color="auto"/>
              <w:right w:val="single" w:sz="4" w:space="0" w:color="auto"/>
            </w:tcBorders>
            <w:shd w:val="clear" w:color="auto" w:fill="auto"/>
            <w:noWrap/>
            <w:vAlign w:val="center"/>
          </w:tcPr>
          <w:p w14:paraId="2951ED9E" w14:textId="77777777" w:rsidR="004314BC" w:rsidRPr="004314BC" w:rsidRDefault="004314BC" w:rsidP="004314BC">
            <w:pPr>
              <w:widowControl w:val="0"/>
              <w:jc w:val="right"/>
              <w:rPr>
                <w:rFonts w:ascii="Arial Narrow" w:hAnsi="Arial Narrow" w:cs="Calibri"/>
                <w:sz w:val="20"/>
                <w:szCs w:val="20"/>
                <w:lang w:val="bg-BG" w:eastAsia="bg-BG"/>
              </w:rPr>
            </w:pPr>
            <w:r w:rsidRPr="004314BC">
              <w:rPr>
                <w:rFonts w:ascii="Arial Narrow" w:hAnsi="Arial Narrow" w:cs="Calibri"/>
                <w:sz w:val="20"/>
                <w:szCs w:val="20"/>
                <w:lang w:val="bg-BG" w:eastAsia="bg-BG"/>
              </w:rPr>
              <w:t>4 108</w:t>
            </w:r>
          </w:p>
        </w:tc>
        <w:tc>
          <w:tcPr>
            <w:tcW w:w="903" w:type="dxa"/>
            <w:tcBorders>
              <w:top w:val="nil"/>
              <w:left w:val="nil"/>
              <w:bottom w:val="single" w:sz="4" w:space="0" w:color="auto"/>
              <w:right w:val="single" w:sz="4" w:space="0" w:color="auto"/>
            </w:tcBorders>
            <w:shd w:val="clear" w:color="auto" w:fill="auto"/>
            <w:noWrap/>
            <w:vAlign w:val="center"/>
          </w:tcPr>
          <w:p w14:paraId="47157F0B" w14:textId="77777777" w:rsidR="004314BC" w:rsidRPr="004314BC" w:rsidRDefault="004314BC" w:rsidP="004314BC">
            <w:pPr>
              <w:jc w:val="right"/>
              <w:rPr>
                <w:rFonts w:ascii="Arial Narrow" w:hAnsi="Arial Narrow" w:cs="Calibri"/>
                <w:sz w:val="20"/>
                <w:szCs w:val="20"/>
                <w:lang w:val="bg-BG" w:eastAsia="bg-BG" w:bidi="yi-Hebr"/>
              </w:rPr>
            </w:pPr>
            <w:r w:rsidRPr="004314BC">
              <w:rPr>
                <w:rFonts w:ascii="Arial Narrow" w:hAnsi="Arial Narrow" w:cs="Calibri"/>
                <w:sz w:val="20"/>
                <w:szCs w:val="20"/>
                <w:lang w:val="bg-BG" w:eastAsia="bg-BG" w:bidi="yi-Hebr"/>
              </w:rPr>
              <w:t>3 526</w:t>
            </w:r>
          </w:p>
        </w:tc>
        <w:tc>
          <w:tcPr>
            <w:tcW w:w="1100" w:type="dxa"/>
            <w:tcBorders>
              <w:top w:val="single" w:sz="4" w:space="0" w:color="auto"/>
              <w:left w:val="nil"/>
              <w:bottom w:val="single" w:sz="4" w:space="0" w:color="auto"/>
              <w:right w:val="single" w:sz="4" w:space="0" w:color="auto"/>
            </w:tcBorders>
            <w:shd w:val="clear" w:color="auto" w:fill="auto"/>
            <w:noWrap/>
            <w:vAlign w:val="center"/>
          </w:tcPr>
          <w:p w14:paraId="1EB7AF20" w14:textId="77777777" w:rsidR="004314BC" w:rsidRPr="004314BC" w:rsidRDefault="004314BC" w:rsidP="004314BC">
            <w:pPr>
              <w:jc w:val="right"/>
              <w:rPr>
                <w:rFonts w:ascii="Arial Narrow" w:hAnsi="Arial Narrow" w:cs="Calibri"/>
                <w:sz w:val="20"/>
                <w:szCs w:val="20"/>
                <w:lang w:val="bg-BG" w:eastAsia="bg-BG" w:bidi="yi-Hebr"/>
              </w:rPr>
            </w:pPr>
            <w:r w:rsidRPr="004314BC">
              <w:rPr>
                <w:rFonts w:ascii="Arial Narrow" w:hAnsi="Arial Narrow" w:cs="Calibri"/>
                <w:sz w:val="20"/>
                <w:szCs w:val="20"/>
                <w:lang w:val="bg-BG" w:eastAsia="bg-BG" w:bidi="yi-Hebr"/>
              </w:rPr>
              <w:t>14,2%</w:t>
            </w:r>
          </w:p>
        </w:tc>
        <w:tc>
          <w:tcPr>
            <w:tcW w:w="903" w:type="dxa"/>
            <w:tcBorders>
              <w:top w:val="nil"/>
              <w:left w:val="nil"/>
              <w:bottom w:val="single" w:sz="4" w:space="0" w:color="auto"/>
              <w:right w:val="single" w:sz="4" w:space="0" w:color="auto"/>
            </w:tcBorders>
            <w:shd w:val="clear" w:color="auto" w:fill="auto"/>
            <w:noWrap/>
            <w:vAlign w:val="center"/>
          </w:tcPr>
          <w:p w14:paraId="07C62835" w14:textId="77777777" w:rsidR="004314BC" w:rsidRPr="004314BC" w:rsidRDefault="004314BC" w:rsidP="004314BC">
            <w:pPr>
              <w:jc w:val="right"/>
              <w:rPr>
                <w:rFonts w:ascii="Arial Narrow" w:hAnsi="Arial Narrow" w:cs="Calibri"/>
                <w:sz w:val="20"/>
                <w:szCs w:val="20"/>
                <w:lang w:val="bg-BG" w:eastAsia="bg-BG" w:bidi="yi-Hebr"/>
              </w:rPr>
            </w:pPr>
            <w:r w:rsidRPr="004314BC">
              <w:rPr>
                <w:rFonts w:ascii="Arial Narrow" w:hAnsi="Arial Narrow" w:cs="Calibri"/>
                <w:sz w:val="20"/>
                <w:szCs w:val="20"/>
                <w:lang w:val="bg-BG" w:eastAsia="bg-BG" w:bidi="yi-Hebr"/>
              </w:rPr>
              <w:t>4,3</w:t>
            </w:r>
          </w:p>
        </w:tc>
        <w:tc>
          <w:tcPr>
            <w:tcW w:w="903" w:type="dxa"/>
            <w:tcBorders>
              <w:top w:val="nil"/>
              <w:left w:val="nil"/>
              <w:bottom w:val="single" w:sz="4" w:space="0" w:color="auto"/>
              <w:right w:val="single" w:sz="4" w:space="0" w:color="auto"/>
            </w:tcBorders>
            <w:shd w:val="clear" w:color="auto" w:fill="auto"/>
            <w:noWrap/>
            <w:vAlign w:val="center"/>
          </w:tcPr>
          <w:p w14:paraId="58013AF7" w14:textId="77777777" w:rsidR="004314BC" w:rsidRPr="004314BC" w:rsidRDefault="004314BC" w:rsidP="004314BC">
            <w:pPr>
              <w:jc w:val="right"/>
              <w:rPr>
                <w:rFonts w:ascii="Arial Narrow" w:hAnsi="Arial Narrow" w:cs="Calibri"/>
                <w:sz w:val="20"/>
                <w:szCs w:val="20"/>
                <w:lang w:val="bg-BG" w:eastAsia="bg-BG" w:bidi="yi-Hebr"/>
              </w:rPr>
            </w:pPr>
            <w:r w:rsidRPr="004314BC">
              <w:rPr>
                <w:rFonts w:ascii="Arial Narrow" w:hAnsi="Arial Narrow" w:cs="Calibri"/>
                <w:sz w:val="20"/>
                <w:szCs w:val="20"/>
                <w:lang w:val="bg-BG" w:eastAsia="bg-BG" w:bidi="yi-Hebr"/>
              </w:rPr>
              <w:t>4,4</w:t>
            </w:r>
          </w:p>
        </w:tc>
        <w:tc>
          <w:tcPr>
            <w:tcW w:w="1100" w:type="dxa"/>
            <w:tcBorders>
              <w:top w:val="single" w:sz="4" w:space="0" w:color="auto"/>
              <w:left w:val="nil"/>
              <w:bottom w:val="single" w:sz="4" w:space="0" w:color="auto"/>
              <w:right w:val="single" w:sz="4" w:space="0" w:color="auto"/>
            </w:tcBorders>
            <w:shd w:val="clear" w:color="auto" w:fill="auto"/>
            <w:noWrap/>
            <w:vAlign w:val="center"/>
          </w:tcPr>
          <w:p w14:paraId="423FFB09" w14:textId="77777777" w:rsidR="004314BC" w:rsidRPr="004314BC" w:rsidRDefault="004314BC" w:rsidP="004314BC">
            <w:pPr>
              <w:jc w:val="right"/>
              <w:rPr>
                <w:rFonts w:ascii="Arial Narrow" w:hAnsi="Arial Narrow" w:cs="Calibri"/>
                <w:sz w:val="20"/>
                <w:szCs w:val="20"/>
                <w:lang w:val="bg-BG" w:eastAsia="bg-BG" w:bidi="yi-Hebr"/>
              </w:rPr>
            </w:pPr>
            <w:r w:rsidRPr="004314BC">
              <w:rPr>
                <w:rFonts w:ascii="Arial Narrow" w:hAnsi="Arial Narrow" w:cs="Calibri"/>
                <w:sz w:val="20"/>
                <w:szCs w:val="20"/>
                <w:lang w:val="bg-BG" w:eastAsia="bg-BG" w:bidi="yi-Hebr"/>
              </w:rPr>
              <w:t>2,3%</w:t>
            </w:r>
          </w:p>
        </w:tc>
      </w:tr>
      <w:tr w:rsidR="004314BC" w:rsidRPr="004314BC" w14:paraId="015B903E" w14:textId="77777777" w:rsidTr="00F10FC2">
        <w:trPr>
          <w:trHeight w:val="379"/>
        </w:trPr>
        <w:tc>
          <w:tcPr>
            <w:tcW w:w="1280" w:type="dxa"/>
            <w:vAlign w:val="center"/>
          </w:tcPr>
          <w:p w14:paraId="0DE9B9C8" w14:textId="77777777" w:rsidR="004314BC" w:rsidRPr="004314BC" w:rsidRDefault="004314BC" w:rsidP="004314BC">
            <w:pPr>
              <w:widowControl w:val="0"/>
              <w:rPr>
                <w:rFonts w:ascii="Arial Narrow" w:hAnsi="Arial Narrow"/>
                <w:sz w:val="20"/>
                <w:szCs w:val="20"/>
                <w:lang w:val="bg-BG" w:eastAsia="bg-BG"/>
              </w:rPr>
            </w:pPr>
            <w:r w:rsidRPr="004314BC">
              <w:rPr>
                <w:rFonts w:ascii="Arial Narrow" w:hAnsi="Arial Narrow"/>
                <w:sz w:val="20"/>
                <w:szCs w:val="20"/>
                <w:lang w:val="bg-BG" w:eastAsia="bg-BG"/>
              </w:rPr>
              <w:t>от 10 до 49</w:t>
            </w:r>
          </w:p>
        </w:tc>
        <w:tc>
          <w:tcPr>
            <w:tcW w:w="834" w:type="dxa"/>
            <w:tcBorders>
              <w:top w:val="nil"/>
              <w:left w:val="nil"/>
              <w:bottom w:val="single" w:sz="4" w:space="0" w:color="auto"/>
              <w:right w:val="single" w:sz="4" w:space="0" w:color="auto"/>
            </w:tcBorders>
            <w:shd w:val="clear" w:color="auto" w:fill="auto"/>
            <w:vAlign w:val="center"/>
          </w:tcPr>
          <w:p w14:paraId="5A88E879" w14:textId="77777777" w:rsidR="004314BC" w:rsidRPr="004314BC" w:rsidRDefault="004314BC" w:rsidP="004314BC">
            <w:pPr>
              <w:widowControl w:val="0"/>
              <w:jc w:val="right"/>
              <w:rPr>
                <w:rFonts w:ascii="Arial Narrow" w:hAnsi="Arial Narrow" w:cs="Calibri"/>
                <w:sz w:val="20"/>
                <w:szCs w:val="20"/>
                <w:lang w:val="bg-BG" w:eastAsia="bg-BG"/>
              </w:rPr>
            </w:pPr>
            <w:r w:rsidRPr="004314BC">
              <w:rPr>
                <w:rFonts w:ascii="Arial Narrow" w:hAnsi="Arial Narrow" w:cs="Calibri"/>
                <w:sz w:val="20"/>
                <w:szCs w:val="20"/>
                <w:lang w:val="bg-BG" w:eastAsia="bg-BG"/>
              </w:rPr>
              <w:t>3 136</w:t>
            </w:r>
          </w:p>
        </w:tc>
        <w:tc>
          <w:tcPr>
            <w:tcW w:w="834" w:type="dxa"/>
            <w:tcBorders>
              <w:top w:val="nil"/>
              <w:left w:val="nil"/>
              <w:bottom w:val="single" w:sz="4" w:space="0" w:color="auto"/>
              <w:right w:val="single" w:sz="4" w:space="0" w:color="auto"/>
            </w:tcBorders>
            <w:shd w:val="clear" w:color="auto" w:fill="auto"/>
            <w:vAlign w:val="center"/>
          </w:tcPr>
          <w:p w14:paraId="514B5A59" w14:textId="77777777" w:rsidR="004314BC" w:rsidRPr="004314BC" w:rsidRDefault="004314BC" w:rsidP="004314BC">
            <w:pPr>
              <w:widowControl w:val="0"/>
              <w:jc w:val="right"/>
              <w:rPr>
                <w:rFonts w:ascii="Arial Narrow" w:hAnsi="Arial Narrow" w:cs="Calibri"/>
                <w:sz w:val="20"/>
                <w:szCs w:val="20"/>
                <w:lang w:val="bg-BG" w:eastAsia="bg-BG"/>
              </w:rPr>
            </w:pPr>
            <w:r w:rsidRPr="004314BC">
              <w:rPr>
                <w:rFonts w:ascii="Arial Narrow" w:hAnsi="Arial Narrow" w:cs="Calibri"/>
                <w:sz w:val="20"/>
                <w:szCs w:val="20"/>
                <w:lang w:val="bg-BG" w:eastAsia="bg-BG"/>
              </w:rPr>
              <w:t>2 595</w:t>
            </w:r>
          </w:p>
        </w:tc>
        <w:tc>
          <w:tcPr>
            <w:tcW w:w="1099" w:type="dxa"/>
            <w:tcBorders>
              <w:top w:val="nil"/>
              <w:left w:val="nil"/>
              <w:bottom w:val="single" w:sz="4" w:space="0" w:color="auto"/>
              <w:right w:val="single" w:sz="4" w:space="0" w:color="auto"/>
            </w:tcBorders>
            <w:shd w:val="clear" w:color="auto" w:fill="auto"/>
            <w:vAlign w:val="center"/>
          </w:tcPr>
          <w:p w14:paraId="52D5F3DA" w14:textId="77777777" w:rsidR="004314BC" w:rsidRPr="004314BC" w:rsidRDefault="004314BC" w:rsidP="004314BC">
            <w:pPr>
              <w:widowControl w:val="0"/>
              <w:jc w:val="right"/>
              <w:rPr>
                <w:rFonts w:ascii="Arial Narrow" w:hAnsi="Arial Narrow" w:cs="Calibri"/>
                <w:sz w:val="20"/>
                <w:szCs w:val="20"/>
                <w:lang w:val="bg-BG" w:eastAsia="bg-BG"/>
              </w:rPr>
            </w:pPr>
            <w:r w:rsidRPr="004314BC">
              <w:rPr>
                <w:rFonts w:ascii="Arial Narrow" w:hAnsi="Arial Narrow" w:cs="Calibri"/>
                <w:sz w:val="20"/>
                <w:szCs w:val="20"/>
                <w:lang w:val="bg-BG" w:eastAsia="bg-BG"/>
              </w:rPr>
              <w:t>-17,3%</w:t>
            </w:r>
          </w:p>
        </w:tc>
        <w:tc>
          <w:tcPr>
            <w:tcW w:w="903" w:type="dxa"/>
            <w:tcBorders>
              <w:top w:val="nil"/>
              <w:left w:val="nil"/>
              <w:bottom w:val="single" w:sz="4" w:space="0" w:color="auto"/>
              <w:right w:val="single" w:sz="4" w:space="0" w:color="auto"/>
            </w:tcBorders>
            <w:shd w:val="clear" w:color="auto" w:fill="auto"/>
            <w:noWrap/>
            <w:vAlign w:val="center"/>
          </w:tcPr>
          <w:p w14:paraId="74F8E522" w14:textId="77777777" w:rsidR="004314BC" w:rsidRPr="004314BC" w:rsidRDefault="004314BC" w:rsidP="004314BC">
            <w:pPr>
              <w:widowControl w:val="0"/>
              <w:jc w:val="right"/>
              <w:rPr>
                <w:rFonts w:ascii="Arial Narrow" w:hAnsi="Arial Narrow" w:cs="Calibri"/>
                <w:sz w:val="20"/>
                <w:szCs w:val="20"/>
                <w:lang w:val="bg-BG" w:eastAsia="bg-BG"/>
              </w:rPr>
            </w:pPr>
            <w:r w:rsidRPr="004314BC">
              <w:rPr>
                <w:rFonts w:ascii="Arial Narrow" w:hAnsi="Arial Narrow" w:cs="Calibri"/>
                <w:sz w:val="20"/>
                <w:szCs w:val="20"/>
                <w:lang w:val="bg-BG" w:eastAsia="bg-BG"/>
              </w:rPr>
              <w:t>73 792</w:t>
            </w:r>
          </w:p>
        </w:tc>
        <w:tc>
          <w:tcPr>
            <w:tcW w:w="903" w:type="dxa"/>
            <w:tcBorders>
              <w:top w:val="nil"/>
              <w:left w:val="nil"/>
              <w:bottom w:val="single" w:sz="4" w:space="0" w:color="auto"/>
              <w:right w:val="single" w:sz="4" w:space="0" w:color="auto"/>
            </w:tcBorders>
            <w:shd w:val="clear" w:color="auto" w:fill="auto"/>
            <w:noWrap/>
            <w:vAlign w:val="center"/>
          </w:tcPr>
          <w:p w14:paraId="0B7B3B9F" w14:textId="77777777" w:rsidR="004314BC" w:rsidRPr="004314BC" w:rsidRDefault="004314BC" w:rsidP="004314BC">
            <w:pPr>
              <w:jc w:val="right"/>
              <w:rPr>
                <w:rFonts w:ascii="Arial Narrow" w:hAnsi="Arial Narrow" w:cs="Calibri"/>
                <w:sz w:val="20"/>
                <w:szCs w:val="20"/>
                <w:lang w:val="bg-BG" w:eastAsia="bg-BG" w:bidi="yi-Hebr"/>
              </w:rPr>
            </w:pPr>
            <w:r w:rsidRPr="004314BC">
              <w:rPr>
                <w:rFonts w:ascii="Arial Narrow" w:hAnsi="Arial Narrow" w:cs="Calibri"/>
                <w:sz w:val="20"/>
                <w:szCs w:val="20"/>
                <w:lang w:val="bg-BG" w:eastAsia="bg-BG" w:bidi="yi-Hebr"/>
              </w:rPr>
              <w:t>61 404</w:t>
            </w:r>
          </w:p>
        </w:tc>
        <w:tc>
          <w:tcPr>
            <w:tcW w:w="1100" w:type="dxa"/>
            <w:tcBorders>
              <w:top w:val="nil"/>
              <w:left w:val="nil"/>
              <w:bottom w:val="single" w:sz="4" w:space="0" w:color="auto"/>
              <w:right w:val="single" w:sz="4" w:space="0" w:color="auto"/>
            </w:tcBorders>
            <w:shd w:val="clear" w:color="auto" w:fill="auto"/>
            <w:noWrap/>
            <w:vAlign w:val="center"/>
          </w:tcPr>
          <w:p w14:paraId="11AAF664" w14:textId="77777777" w:rsidR="004314BC" w:rsidRPr="004314BC" w:rsidRDefault="004314BC" w:rsidP="004314BC">
            <w:pPr>
              <w:jc w:val="right"/>
              <w:rPr>
                <w:rFonts w:ascii="Arial Narrow" w:hAnsi="Arial Narrow" w:cs="Calibri"/>
                <w:sz w:val="20"/>
                <w:szCs w:val="20"/>
                <w:lang w:val="bg-BG" w:eastAsia="bg-BG" w:bidi="yi-Hebr"/>
              </w:rPr>
            </w:pPr>
            <w:r w:rsidRPr="004314BC">
              <w:rPr>
                <w:rFonts w:ascii="Arial Narrow" w:hAnsi="Arial Narrow" w:cs="Calibri"/>
                <w:sz w:val="20"/>
                <w:szCs w:val="20"/>
                <w:lang w:val="bg-BG" w:eastAsia="bg-BG" w:bidi="yi-Hebr"/>
              </w:rPr>
              <w:t>-16,8%</w:t>
            </w:r>
          </w:p>
        </w:tc>
        <w:tc>
          <w:tcPr>
            <w:tcW w:w="903" w:type="dxa"/>
            <w:tcBorders>
              <w:top w:val="nil"/>
              <w:left w:val="nil"/>
              <w:bottom w:val="single" w:sz="4" w:space="0" w:color="auto"/>
              <w:right w:val="single" w:sz="4" w:space="0" w:color="auto"/>
            </w:tcBorders>
            <w:shd w:val="clear" w:color="auto" w:fill="auto"/>
            <w:noWrap/>
            <w:vAlign w:val="center"/>
          </w:tcPr>
          <w:p w14:paraId="66BB1392" w14:textId="77777777" w:rsidR="004314BC" w:rsidRPr="004314BC" w:rsidRDefault="004314BC" w:rsidP="004314BC">
            <w:pPr>
              <w:jc w:val="right"/>
              <w:rPr>
                <w:rFonts w:ascii="Arial Narrow" w:hAnsi="Arial Narrow" w:cs="Calibri"/>
                <w:sz w:val="20"/>
                <w:szCs w:val="20"/>
                <w:lang w:val="bg-BG" w:eastAsia="bg-BG" w:bidi="yi-Hebr"/>
              </w:rPr>
            </w:pPr>
            <w:r w:rsidRPr="004314BC">
              <w:rPr>
                <w:rFonts w:ascii="Arial Narrow" w:hAnsi="Arial Narrow" w:cs="Calibri"/>
                <w:sz w:val="20"/>
                <w:szCs w:val="20"/>
                <w:lang w:val="bg-BG" w:eastAsia="bg-BG" w:bidi="yi-Hebr"/>
              </w:rPr>
              <w:t>23,5</w:t>
            </w:r>
          </w:p>
        </w:tc>
        <w:tc>
          <w:tcPr>
            <w:tcW w:w="903" w:type="dxa"/>
            <w:tcBorders>
              <w:top w:val="nil"/>
              <w:left w:val="nil"/>
              <w:bottom w:val="single" w:sz="4" w:space="0" w:color="auto"/>
              <w:right w:val="single" w:sz="4" w:space="0" w:color="auto"/>
            </w:tcBorders>
            <w:shd w:val="clear" w:color="auto" w:fill="auto"/>
            <w:noWrap/>
            <w:vAlign w:val="center"/>
          </w:tcPr>
          <w:p w14:paraId="31EABF8D" w14:textId="77777777" w:rsidR="004314BC" w:rsidRPr="004314BC" w:rsidRDefault="004314BC" w:rsidP="004314BC">
            <w:pPr>
              <w:jc w:val="right"/>
              <w:rPr>
                <w:rFonts w:ascii="Arial Narrow" w:hAnsi="Arial Narrow" w:cs="Calibri"/>
                <w:sz w:val="20"/>
                <w:szCs w:val="20"/>
                <w:lang w:val="bg-BG" w:eastAsia="bg-BG" w:bidi="yi-Hebr"/>
              </w:rPr>
            </w:pPr>
            <w:r w:rsidRPr="004314BC">
              <w:rPr>
                <w:rFonts w:ascii="Arial Narrow" w:hAnsi="Arial Narrow" w:cs="Calibri"/>
                <w:sz w:val="20"/>
                <w:szCs w:val="20"/>
                <w:lang w:val="bg-BG" w:eastAsia="bg-BG" w:bidi="yi-Hebr"/>
              </w:rPr>
              <w:t>23,7</w:t>
            </w:r>
          </w:p>
        </w:tc>
        <w:tc>
          <w:tcPr>
            <w:tcW w:w="1100" w:type="dxa"/>
            <w:tcBorders>
              <w:top w:val="nil"/>
              <w:left w:val="nil"/>
              <w:bottom w:val="single" w:sz="4" w:space="0" w:color="auto"/>
              <w:right w:val="single" w:sz="4" w:space="0" w:color="auto"/>
            </w:tcBorders>
            <w:shd w:val="clear" w:color="auto" w:fill="auto"/>
            <w:noWrap/>
            <w:vAlign w:val="center"/>
          </w:tcPr>
          <w:p w14:paraId="15C35333" w14:textId="77777777" w:rsidR="004314BC" w:rsidRPr="004314BC" w:rsidRDefault="004314BC" w:rsidP="004314BC">
            <w:pPr>
              <w:jc w:val="right"/>
              <w:rPr>
                <w:rFonts w:ascii="Arial Narrow" w:hAnsi="Arial Narrow" w:cs="Calibri"/>
                <w:sz w:val="20"/>
                <w:szCs w:val="20"/>
                <w:lang w:val="bg-BG" w:eastAsia="bg-BG" w:bidi="yi-Hebr"/>
              </w:rPr>
            </w:pPr>
            <w:r w:rsidRPr="004314BC">
              <w:rPr>
                <w:rFonts w:ascii="Arial Narrow" w:hAnsi="Arial Narrow" w:cs="Calibri"/>
                <w:sz w:val="20"/>
                <w:szCs w:val="20"/>
                <w:lang w:val="bg-BG" w:eastAsia="bg-BG" w:bidi="yi-Hebr"/>
              </w:rPr>
              <w:t>0,9%</w:t>
            </w:r>
          </w:p>
        </w:tc>
      </w:tr>
      <w:tr w:rsidR="004314BC" w:rsidRPr="004314BC" w14:paraId="6685F6F4" w14:textId="77777777" w:rsidTr="00F10FC2">
        <w:trPr>
          <w:trHeight w:val="379"/>
        </w:trPr>
        <w:tc>
          <w:tcPr>
            <w:tcW w:w="1280" w:type="dxa"/>
            <w:vAlign w:val="center"/>
          </w:tcPr>
          <w:p w14:paraId="30B93D4B" w14:textId="77777777" w:rsidR="004314BC" w:rsidRPr="004314BC" w:rsidRDefault="004314BC" w:rsidP="004314BC">
            <w:pPr>
              <w:widowControl w:val="0"/>
              <w:rPr>
                <w:rFonts w:ascii="Arial Narrow" w:hAnsi="Arial Narrow"/>
                <w:sz w:val="20"/>
                <w:szCs w:val="20"/>
                <w:lang w:val="bg-BG" w:eastAsia="bg-BG"/>
              </w:rPr>
            </w:pPr>
            <w:r w:rsidRPr="004314BC">
              <w:rPr>
                <w:rFonts w:ascii="Arial Narrow" w:hAnsi="Arial Narrow"/>
                <w:sz w:val="20"/>
                <w:szCs w:val="20"/>
                <w:lang w:val="bg-BG" w:eastAsia="bg-BG"/>
              </w:rPr>
              <w:t>от 50 до 149</w:t>
            </w:r>
          </w:p>
        </w:tc>
        <w:tc>
          <w:tcPr>
            <w:tcW w:w="834" w:type="dxa"/>
            <w:tcBorders>
              <w:top w:val="nil"/>
              <w:left w:val="nil"/>
              <w:bottom w:val="single" w:sz="4" w:space="0" w:color="auto"/>
              <w:right w:val="single" w:sz="4" w:space="0" w:color="auto"/>
            </w:tcBorders>
            <w:shd w:val="clear" w:color="auto" w:fill="auto"/>
            <w:vAlign w:val="center"/>
          </w:tcPr>
          <w:p w14:paraId="4D712483" w14:textId="77777777" w:rsidR="004314BC" w:rsidRPr="004314BC" w:rsidRDefault="004314BC" w:rsidP="004314BC">
            <w:pPr>
              <w:widowControl w:val="0"/>
              <w:jc w:val="right"/>
              <w:rPr>
                <w:rFonts w:ascii="Arial Narrow" w:hAnsi="Arial Narrow" w:cs="Calibri"/>
                <w:sz w:val="20"/>
                <w:szCs w:val="20"/>
                <w:lang w:val="bg-BG" w:eastAsia="bg-BG"/>
              </w:rPr>
            </w:pPr>
            <w:r w:rsidRPr="004314BC">
              <w:rPr>
                <w:rFonts w:ascii="Arial Narrow" w:hAnsi="Arial Narrow" w:cs="Calibri"/>
                <w:sz w:val="20"/>
                <w:szCs w:val="20"/>
                <w:lang w:val="bg-BG" w:eastAsia="bg-BG"/>
              </w:rPr>
              <w:t>3 112</w:t>
            </w:r>
          </w:p>
        </w:tc>
        <w:tc>
          <w:tcPr>
            <w:tcW w:w="834" w:type="dxa"/>
            <w:tcBorders>
              <w:top w:val="nil"/>
              <w:left w:val="nil"/>
              <w:bottom w:val="single" w:sz="4" w:space="0" w:color="auto"/>
              <w:right w:val="single" w:sz="4" w:space="0" w:color="auto"/>
            </w:tcBorders>
            <w:shd w:val="clear" w:color="auto" w:fill="auto"/>
            <w:vAlign w:val="center"/>
          </w:tcPr>
          <w:p w14:paraId="089298C3" w14:textId="77777777" w:rsidR="004314BC" w:rsidRPr="004314BC" w:rsidRDefault="004314BC" w:rsidP="004314BC">
            <w:pPr>
              <w:widowControl w:val="0"/>
              <w:jc w:val="right"/>
              <w:rPr>
                <w:rFonts w:ascii="Arial Narrow" w:hAnsi="Arial Narrow" w:cs="Calibri"/>
                <w:sz w:val="20"/>
                <w:szCs w:val="20"/>
                <w:lang w:val="bg-BG" w:eastAsia="bg-BG"/>
              </w:rPr>
            </w:pPr>
            <w:r w:rsidRPr="004314BC">
              <w:rPr>
                <w:rFonts w:ascii="Arial Narrow" w:hAnsi="Arial Narrow" w:cs="Calibri"/>
                <w:sz w:val="20"/>
                <w:szCs w:val="20"/>
                <w:lang w:val="bg-BG" w:eastAsia="bg-BG"/>
              </w:rPr>
              <w:t>3 261</w:t>
            </w:r>
          </w:p>
        </w:tc>
        <w:tc>
          <w:tcPr>
            <w:tcW w:w="1099" w:type="dxa"/>
            <w:tcBorders>
              <w:top w:val="nil"/>
              <w:left w:val="nil"/>
              <w:bottom w:val="single" w:sz="4" w:space="0" w:color="auto"/>
              <w:right w:val="single" w:sz="4" w:space="0" w:color="auto"/>
            </w:tcBorders>
            <w:shd w:val="clear" w:color="auto" w:fill="auto"/>
            <w:vAlign w:val="center"/>
          </w:tcPr>
          <w:p w14:paraId="7AFB207E" w14:textId="77777777" w:rsidR="004314BC" w:rsidRPr="004314BC" w:rsidRDefault="004314BC" w:rsidP="004314BC">
            <w:pPr>
              <w:widowControl w:val="0"/>
              <w:jc w:val="right"/>
              <w:rPr>
                <w:rFonts w:ascii="Arial Narrow" w:hAnsi="Arial Narrow" w:cs="Calibri"/>
                <w:sz w:val="20"/>
                <w:szCs w:val="20"/>
                <w:lang w:val="bg-BG" w:eastAsia="bg-BG"/>
              </w:rPr>
            </w:pPr>
            <w:r w:rsidRPr="004314BC">
              <w:rPr>
                <w:rFonts w:ascii="Arial Narrow" w:hAnsi="Arial Narrow" w:cs="Calibri"/>
                <w:sz w:val="20"/>
                <w:szCs w:val="20"/>
                <w:lang w:val="bg-BG" w:eastAsia="bg-BG"/>
              </w:rPr>
              <w:t>4,8%</w:t>
            </w:r>
          </w:p>
        </w:tc>
        <w:tc>
          <w:tcPr>
            <w:tcW w:w="903" w:type="dxa"/>
            <w:tcBorders>
              <w:top w:val="nil"/>
              <w:left w:val="nil"/>
              <w:bottom w:val="single" w:sz="4" w:space="0" w:color="auto"/>
              <w:right w:val="single" w:sz="4" w:space="0" w:color="auto"/>
            </w:tcBorders>
            <w:shd w:val="clear" w:color="auto" w:fill="auto"/>
            <w:noWrap/>
            <w:vAlign w:val="center"/>
          </w:tcPr>
          <w:p w14:paraId="0F1A6FB2" w14:textId="77777777" w:rsidR="004314BC" w:rsidRPr="004314BC" w:rsidRDefault="004314BC" w:rsidP="004314BC">
            <w:pPr>
              <w:widowControl w:val="0"/>
              <w:jc w:val="right"/>
              <w:rPr>
                <w:rFonts w:ascii="Arial Narrow" w:hAnsi="Arial Narrow" w:cs="Calibri"/>
                <w:sz w:val="20"/>
                <w:szCs w:val="20"/>
                <w:lang w:val="bg-BG" w:eastAsia="bg-BG"/>
              </w:rPr>
            </w:pPr>
            <w:r w:rsidRPr="004314BC">
              <w:rPr>
                <w:rFonts w:ascii="Arial Narrow" w:hAnsi="Arial Narrow" w:cs="Calibri"/>
                <w:sz w:val="20"/>
                <w:szCs w:val="20"/>
                <w:lang w:val="bg-BG" w:eastAsia="bg-BG"/>
              </w:rPr>
              <w:t>277 730</w:t>
            </w:r>
          </w:p>
        </w:tc>
        <w:tc>
          <w:tcPr>
            <w:tcW w:w="903" w:type="dxa"/>
            <w:tcBorders>
              <w:top w:val="nil"/>
              <w:left w:val="nil"/>
              <w:bottom w:val="single" w:sz="4" w:space="0" w:color="auto"/>
              <w:right w:val="single" w:sz="4" w:space="0" w:color="auto"/>
            </w:tcBorders>
            <w:shd w:val="clear" w:color="auto" w:fill="auto"/>
            <w:noWrap/>
            <w:vAlign w:val="center"/>
          </w:tcPr>
          <w:p w14:paraId="043BC520" w14:textId="77777777" w:rsidR="004314BC" w:rsidRPr="004314BC" w:rsidRDefault="004314BC" w:rsidP="004314BC">
            <w:pPr>
              <w:jc w:val="right"/>
              <w:rPr>
                <w:rFonts w:ascii="Arial Narrow" w:hAnsi="Arial Narrow" w:cs="Calibri"/>
                <w:sz w:val="20"/>
                <w:szCs w:val="20"/>
                <w:lang w:val="bg-BG" w:eastAsia="bg-BG" w:bidi="yi-Hebr"/>
              </w:rPr>
            </w:pPr>
            <w:r w:rsidRPr="004314BC">
              <w:rPr>
                <w:rFonts w:ascii="Arial Narrow" w:hAnsi="Arial Narrow" w:cs="Calibri"/>
                <w:sz w:val="20"/>
                <w:szCs w:val="20"/>
                <w:lang w:val="bg-BG" w:eastAsia="bg-BG" w:bidi="yi-Hebr"/>
              </w:rPr>
              <w:t>296 921</w:t>
            </w:r>
          </w:p>
        </w:tc>
        <w:tc>
          <w:tcPr>
            <w:tcW w:w="1100" w:type="dxa"/>
            <w:tcBorders>
              <w:top w:val="nil"/>
              <w:left w:val="nil"/>
              <w:bottom w:val="nil"/>
              <w:right w:val="nil"/>
            </w:tcBorders>
            <w:shd w:val="clear" w:color="auto" w:fill="auto"/>
            <w:noWrap/>
            <w:vAlign w:val="center"/>
          </w:tcPr>
          <w:p w14:paraId="04061EB7" w14:textId="77777777" w:rsidR="004314BC" w:rsidRPr="004314BC" w:rsidRDefault="004314BC" w:rsidP="004314BC">
            <w:pPr>
              <w:jc w:val="right"/>
              <w:rPr>
                <w:rFonts w:ascii="Arial Narrow" w:hAnsi="Arial Narrow" w:cs="Calibri"/>
                <w:sz w:val="20"/>
                <w:szCs w:val="20"/>
                <w:lang w:val="bg-BG" w:eastAsia="bg-BG" w:bidi="yi-Hebr"/>
              </w:rPr>
            </w:pPr>
            <w:r w:rsidRPr="004314BC">
              <w:rPr>
                <w:rFonts w:ascii="Arial Narrow" w:hAnsi="Arial Narrow" w:cs="Calibri"/>
                <w:sz w:val="20"/>
                <w:szCs w:val="20"/>
                <w:lang w:val="bg-BG" w:eastAsia="bg-BG" w:bidi="yi-Hebr"/>
              </w:rPr>
              <w:t>6,9%</w:t>
            </w:r>
          </w:p>
        </w:tc>
        <w:tc>
          <w:tcPr>
            <w:tcW w:w="903" w:type="dxa"/>
            <w:tcBorders>
              <w:top w:val="nil"/>
              <w:left w:val="single" w:sz="4" w:space="0" w:color="auto"/>
              <w:bottom w:val="single" w:sz="4" w:space="0" w:color="auto"/>
              <w:right w:val="single" w:sz="4" w:space="0" w:color="auto"/>
            </w:tcBorders>
            <w:shd w:val="clear" w:color="auto" w:fill="auto"/>
            <w:noWrap/>
            <w:vAlign w:val="center"/>
          </w:tcPr>
          <w:p w14:paraId="79D50DE5" w14:textId="77777777" w:rsidR="004314BC" w:rsidRPr="004314BC" w:rsidRDefault="004314BC" w:rsidP="004314BC">
            <w:pPr>
              <w:jc w:val="right"/>
              <w:rPr>
                <w:rFonts w:ascii="Arial Narrow" w:hAnsi="Arial Narrow" w:cs="Calibri"/>
                <w:sz w:val="20"/>
                <w:szCs w:val="20"/>
                <w:lang w:val="bg-BG" w:eastAsia="bg-BG" w:bidi="yi-Hebr"/>
              </w:rPr>
            </w:pPr>
            <w:r w:rsidRPr="004314BC">
              <w:rPr>
                <w:rFonts w:ascii="Arial Narrow" w:hAnsi="Arial Narrow" w:cs="Calibri"/>
                <w:sz w:val="20"/>
                <w:szCs w:val="20"/>
                <w:lang w:val="bg-BG" w:eastAsia="bg-BG" w:bidi="yi-Hebr"/>
              </w:rPr>
              <w:t>89,2</w:t>
            </w:r>
          </w:p>
        </w:tc>
        <w:tc>
          <w:tcPr>
            <w:tcW w:w="903" w:type="dxa"/>
            <w:tcBorders>
              <w:top w:val="nil"/>
              <w:left w:val="nil"/>
              <w:bottom w:val="single" w:sz="4" w:space="0" w:color="auto"/>
              <w:right w:val="single" w:sz="4" w:space="0" w:color="auto"/>
            </w:tcBorders>
            <w:shd w:val="clear" w:color="auto" w:fill="auto"/>
            <w:noWrap/>
            <w:vAlign w:val="center"/>
          </w:tcPr>
          <w:p w14:paraId="7D830BF7" w14:textId="77777777" w:rsidR="004314BC" w:rsidRPr="004314BC" w:rsidRDefault="004314BC" w:rsidP="004314BC">
            <w:pPr>
              <w:jc w:val="right"/>
              <w:rPr>
                <w:rFonts w:ascii="Arial Narrow" w:hAnsi="Arial Narrow" w:cs="Calibri"/>
                <w:sz w:val="20"/>
                <w:szCs w:val="20"/>
                <w:lang w:val="bg-BG" w:eastAsia="bg-BG" w:bidi="yi-Hebr"/>
              </w:rPr>
            </w:pPr>
            <w:r w:rsidRPr="004314BC">
              <w:rPr>
                <w:rFonts w:ascii="Arial Narrow" w:hAnsi="Arial Narrow" w:cs="Calibri"/>
                <w:sz w:val="20"/>
                <w:szCs w:val="20"/>
                <w:lang w:val="bg-BG" w:eastAsia="bg-BG" w:bidi="yi-Hebr"/>
              </w:rPr>
              <w:t>91,1</w:t>
            </w:r>
          </w:p>
        </w:tc>
        <w:tc>
          <w:tcPr>
            <w:tcW w:w="1100" w:type="dxa"/>
            <w:tcBorders>
              <w:top w:val="nil"/>
              <w:left w:val="nil"/>
              <w:bottom w:val="single" w:sz="4" w:space="0" w:color="auto"/>
              <w:right w:val="single" w:sz="4" w:space="0" w:color="auto"/>
            </w:tcBorders>
            <w:shd w:val="clear" w:color="auto" w:fill="auto"/>
            <w:noWrap/>
            <w:vAlign w:val="center"/>
          </w:tcPr>
          <w:p w14:paraId="276EF3A6" w14:textId="77777777" w:rsidR="004314BC" w:rsidRPr="004314BC" w:rsidRDefault="004314BC" w:rsidP="004314BC">
            <w:pPr>
              <w:jc w:val="right"/>
              <w:rPr>
                <w:rFonts w:ascii="Arial Narrow" w:hAnsi="Arial Narrow" w:cs="Calibri"/>
                <w:sz w:val="20"/>
                <w:szCs w:val="20"/>
                <w:lang w:val="bg-BG" w:eastAsia="bg-BG" w:bidi="yi-Hebr"/>
              </w:rPr>
            </w:pPr>
            <w:r w:rsidRPr="004314BC">
              <w:rPr>
                <w:rFonts w:ascii="Arial Narrow" w:hAnsi="Arial Narrow" w:cs="Calibri"/>
                <w:sz w:val="20"/>
                <w:szCs w:val="20"/>
                <w:lang w:val="bg-BG" w:eastAsia="bg-BG" w:bidi="yi-Hebr"/>
              </w:rPr>
              <w:t>2,1%</w:t>
            </w:r>
          </w:p>
        </w:tc>
      </w:tr>
      <w:tr w:rsidR="004314BC" w:rsidRPr="004314BC" w14:paraId="11F8D9A7" w14:textId="77777777" w:rsidTr="00F10FC2">
        <w:trPr>
          <w:trHeight w:val="379"/>
        </w:trPr>
        <w:tc>
          <w:tcPr>
            <w:tcW w:w="1280" w:type="dxa"/>
            <w:vAlign w:val="center"/>
          </w:tcPr>
          <w:p w14:paraId="3C5FCBB4" w14:textId="77777777" w:rsidR="004314BC" w:rsidRPr="004314BC" w:rsidRDefault="004314BC" w:rsidP="004314BC">
            <w:pPr>
              <w:widowControl w:val="0"/>
              <w:rPr>
                <w:rFonts w:ascii="Arial Narrow" w:hAnsi="Arial Narrow"/>
                <w:sz w:val="20"/>
                <w:szCs w:val="20"/>
                <w:lang w:val="bg-BG" w:eastAsia="bg-BG"/>
              </w:rPr>
            </w:pPr>
            <w:r w:rsidRPr="004314BC">
              <w:rPr>
                <w:rFonts w:ascii="Arial Narrow" w:hAnsi="Arial Narrow"/>
                <w:sz w:val="20"/>
                <w:szCs w:val="20"/>
                <w:lang w:val="bg-BG" w:eastAsia="bg-BG"/>
              </w:rPr>
              <w:t>150 и повече</w:t>
            </w:r>
          </w:p>
        </w:tc>
        <w:tc>
          <w:tcPr>
            <w:tcW w:w="834" w:type="dxa"/>
            <w:tcBorders>
              <w:top w:val="nil"/>
              <w:left w:val="nil"/>
              <w:bottom w:val="single" w:sz="4" w:space="0" w:color="auto"/>
              <w:right w:val="single" w:sz="4" w:space="0" w:color="auto"/>
            </w:tcBorders>
            <w:shd w:val="clear" w:color="auto" w:fill="auto"/>
            <w:vAlign w:val="center"/>
          </w:tcPr>
          <w:p w14:paraId="421682CB" w14:textId="77777777" w:rsidR="004314BC" w:rsidRPr="004314BC" w:rsidRDefault="004314BC" w:rsidP="004314BC">
            <w:pPr>
              <w:widowControl w:val="0"/>
              <w:jc w:val="right"/>
              <w:rPr>
                <w:rFonts w:ascii="Arial Narrow" w:hAnsi="Arial Narrow" w:cs="Calibri"/>
                <w:sz w:val="20"/>
                <w:szCs w:val="20"/>
                <w:lang w:val="bg-BG" w:eastAsia="bg-BG"/>
              </w:rPr>
            </w:pPr>
            <w:r w:rsidRPr="004314BC">
              <w:rPr>
                <w:rFonts w:ascii="Arial Narrow" w:hAnsi="Arial Narrow" w:cs="Calibri"/>
                <w:sz w:val="20"/>
                <w:szCs w:val="20"/>
                <w:lang w:val="bg-BG" w:eastAsia="bg-BG"/>
              </w:rPr>
              <w:t>2 236</w:t>
            </w:r>
          </w:p>
        </w:tc>
        <w:tc>
          <w:tcPr>
            <w:tcW w:w="834" w:type="dxa"/>
            <w:tcBorders>
              <w:top w:val="nil"/>
              <w:left w:val="nil"/>
              <w:bottom w:val="single" w:sz="4" w:space="0" w:color="auto"/>
              <w:right w:val="single" w:sz="4" w:space="0" w:color="auto"/>
            </w:tcBorders>
            <w:shd w:val="clear" w:color="auto" w:fill="auto"/>
            <w:vAlign w:val="center"/>
          </w:tcPr>
          <w:p w14:paraId="74A48DBE" w14:textId="77777777" w:rsidR="004314BC" w:rsidRPr="004314BC" w:rsidRDefault="004314BC" w:rsidP="004314BC">
            <w:pPr>
              <w:widowControl w:val="0"/>
              <w:jc w:val="right"/>
              <w:rPr>
                <w:rFonts w:ascii="Arial Narrow" w:hAnsi="Arial Narrow" w:cs="Calibri"/>
                <w:sz w:val="20"/>
                <w:szCs w:val="20"/>
                <w:lang w:val="bg-BG" w:eastAsia="bg-BG"/>
              </w:rPr>
            </w:pPr>
            <w:r w:rsidRPr="004314BC">
              <w:rPr>
                <w:rFonts w:ascii="Arial Narrow" w:hAnsi="Arial Narrow" w:cs="Calibri"/>
                <w:sz w:val="20"/>
                <w:szCs w:val="20"/>
                <w:lang w:val="bg-BG" w:eastAsia="bg-BG"/>
              </w:rPr>
              <w:t>2 263</w:t>
            </w:r>
          </w:p>
        </w:tc>
        <w:tc>
          <w:tcPr>
            <w:tcW w:w="1099" w:type="dxa"/>
            <w:tcBorders>
              <w:top w:val="nil"/>
              <w:left w:val="nil"/>
              <w:bottom w:val="single" w:sz="4" w:space="0" w:color="auto"/>
              <w:right w:val="single" w:sz="4" w:space="0" w:color="auto"/>
            </w:tcBorders>
            <w:shd w:val="clear" w:color="auto" w:fill="auto"/>
            <w:vAlign w:val="center"/>
          </w:tcPr>
          <w:p w14:paraId="67DEB6B8" w14:textId="77777777" w:rsidR="004314BC" w:rsidRPr="004314BC" w:rsidRDefault="004314BC" w:rsidP="004314BC">
            <w:pPr>
              <w:widowControl w:val="0"/>
              <w:jc w:val="right"/>
              <w:rPr>
                <w:rFonts w:ascii="Arial Narrow" w:hAnsi="Arial Narrow" w:cs="Calibri"/>
                <w:sz w:val="20"/>
                <w:szCs w:val="20"/>
                <w:lang w:val="bg-BG" w:eastAsia="bg-BG"/>
              </w:rPr>
            </w:pPr>
            <w:r w:rsidRPr="004314BC">
              <w:rPr>
                <w:rFonts w:ascii="Arial Narrow" w:hAnsi="Arial Narrow" w:cs="Calibri"/>
                <w:sz w:val="20"/>
                <w:szCs w:val="20"/>
                <w:lang w:val="bg-BG" w:eastAsia="bg-BG"/>
              </w:rPr>
              <w:t>1,2%</w:t>
            </w:r>
          </w:p>
        </w:tc>
        <w:tc>
          <w:tcPr>
            <w:tcW w:w="903" w:type="dxa"/>
            <w:tcBorders>
              <w:top w:val="nil"/>
              <w:left w:val="nil"/>
              <w:bottom w:val="single" w:sz="4" w:space="0" w:color="auto"/>
              <w:right w:val="single" w:sz="4" w:space="0" w:color="auto"/>
            </w:tcBorders>
            <w:shd w:val="clear" w:color="auto" w:fill="auto"/>
            <w:noWrap/>
            <w:vAlign w:val="center"/>
          </w:tcPr>
          <w:p w14:paraId="6614A50E" w14:textId="77777777" w:rsidR="004314BC" w:rsidRPr="004314BC" w:rsidRDefault="004314BC" w:rsidP="004314BC">
            <w:pPr>
              <w:widowControl w:val="0"/>
              <w:jc w:val="right"/>
              <w:rPr>
                <w:rFonts w:ascii="Arial Narrow" w:hAnsi="Arial Narrow" w:cs="Calibri"/>
                <w:sz w:val="20"/>
                <w:szCs w:val="20"/>
                <w:lang w:val="bg-BG" w:eastAsia="bg-BG"/>
              </w:rPr>
            </w:pPr>
            <w:r w:rsidRPr="004314BC">
              <w:rPr>
                <w:rFonts w:ascii="Arial Narrow" w:hAnsi="Arial Narrow" w:cs="Calibri"/>
                <w:sz w:val="20"/>
                <w:szCs w:val="20"/>
                <w:lang w:val="bg-BG" w:eastAsia="bg-BG"/>
              </w:rPr>
              <w:t>461 043</w:t>
            </w:r>
          </w:p>
        </w:tc>
        <w:tc>
          <w:tcPr>
            <w:tcW w:w="903" w:type="dxa"/>
            <w:tcBorders>
              <w:top w:val="nil"/>
              <w:left w:val="nil"/>
              <w:bottom w:val="single" w:sz="4" w:space="0" w:color="auto"/>
              <w:right w:val="single" w:sz="4" w:space="0" w:color="auto"/>
            </w:tcBorders>
            <w:shd w:val="clear" w:color="auto" w:fill="auto"/>
            <w:noWrap/>
            <w:vAlign w:val="center"/>
          </w:tcPr>
          <w:p w14:paraId="410CFFB9" w14:textId="77777777" w:rsidR="004314BC" w:rsidRPr="004314BC" w:rsidRDefault="004314BC" w:rsidP="004314BC">
            <w:pPr>
              <w:jc w:val="right"/>
              <w:rPr>
                <w:rFonts w:ascii="Arial Narrow" w:hAnsi="Arial Narrow" w:cs="Calibri"/>
                <w:sz w:val="20"/>
                <w:szCs w:val="20"/>
                <w:lang w:val="bg-BG" w:eastAsia="bg-BG" w:bidi="yi-Hebr"/>
              </w:rPr>
            </w:pPr>
            <w:r w:rsidRPr="004314BC">
              <w:rPr>
                <w:rFonts w:ascii="Arial Narrow" w:hAnsi="Arial Narrow" w:cs="Calibri"/>
                <w:sz w:val="20"/>
                <w:szCs w:val="20"/>
                <w:lang w:val="bg-BG" w:eastAsia="bg-BG" w:bidi="yi-Hebr"/>
              </w:rPr>
              <w:t>476 187</w:t>
            </w:r>
          </w:p>
        </w:tc>
        <w:tc>
          <w:tcPr>
            <w:tcW w:w="1100" w:type="dxa"/>
            <w:tcBorders>
              <w:top w:val="single" w:sz="4" w:space="0" w:color="auto"/>
              <w:left w:val="nil"/>
              <w:bottom w:val="single" w:sz="4" w:space="0" w:color="auto"/>
              <w:right w:val="single" w:sz="4" w:space="0" w:color="auto"/>
            </w:tcBorders>
            <w:shd w:val="clear" w:color="auto" w:fill="auto"/>
            <w:noWrap/>
            <w:vAlign w:val="center"/>
          </w:tcPr>
          <w:p w14:paraId="2ABB3CCB" w14:textId="77777777" w:rsidR="004314BC" w:rsidRPr="004314BC" w:rsidRDefault="004314BC" w:rsidP="004314BC">
            <w:pPr>
              <w:jc w:val="right"/>
              <w:rPr>
                <w:rFonts w:ascii="Arial Narrow" w:hAnsi="Arial Narrow" w:cs="Calibri"/>
                <w:sz w:val="20"/>
                <w:szCs w:val="20"/>
                <w:lang w:val="bg-BG" w:eastAsia="bg-BG" w:bidi="yi-Hebr"/>
              </w:rPr>
            </w:pPr>
            <w:r w:rsidRPr="004314BC">
              <w:rPr>
                <w:rFonts w:ascii="Arial Narrow" w:hAnsi="Arial Narrow" w:cs="Calibri"/>
                <w:sz w:val="20"/>
                <w:szCs w:val="20"/>
                <w:lang w:val="bg-BG" w:eastAsia="bg-BG" w:bidi="yi-Hebr"/>
              </w:rPr>
              <w:t>3,3%</w:t>
            </w:r>
          </w:p>
        </w:tc>
        <w:tc>
          <w:tcPr>
            <w:tcW w:w="903" w:type="dxa"/>
            <w:tcBorders>
              <w:top w:val="nil"/>
              <w:left w:val="nil"/>
              <w:bottom w:val="single" w:sz="4" w:space="0" w:color="auto"/>
              <w:right w:val="single" w:sz="4" w:space="0" w:color="auto"/>
            </w:tcBorders>
            <w:shd w:val="clear" w:color="auto" w:fill="auto"/>
            <w:noWrap/>
            <w:vAlign w:val="center"/>
          </w:tcPr>
          <w:p w14:paraId="6C17F064" w14:textId="77777777" w:rsidR="004314BC" w:rsidRPr="004314BC" w:rsidRDefault="004314BC" w:rsidP="004314BC">
            <w:pPr>
              <w:jc w:val="right"/>
              <w:rPr>
                <w:rFonts w:ascii="Arial Narrow" w:hAnsi="Arial Narrow" w:cs="Calibri"/>
                <w:sz w:val="20"/>
                <w:szCs w:val="20"/>
                <w:lang w:val="bg-BG" w:eastAsia="bg-BG" w:bidi="yi-Hebr"/>
              </w:rPr>
            </w:pPr>
            <w:r w:rsidRPr="004314BC">
              <w:rPr>
                <w:rFonts w:ascii="Arial Narrow" w:hAnsi="Arial Narrow" w:cs="Calibri"/>
                <w:sz w:val="20"/>
                <w:szCs w:val="20"/>
                <w:lang w:val="bg-BG" w:eastAsia="bg-BG" w:bidi="yi-Hebr"/>
              </w:rPr>
              <w:t>206,2</w:t>
            </w:r>
          </w:p>
        </w:tc>
        <w:tc>
          <w:tcPr>
            <w:tcW w:w="903" w:type="dxa"/>
            <w:tcBorders>
              <w:top w:val="nil"/>
              <w:left w:val="nil"/>
              <w:bottom w:val="single" w:sz="4" w:space="0" w:color="auto"/>
              <w:right w:val="single" w:sz="4" w:space="0" w:color="auto"/>
            </w:tcBorders>
            <w:shd w:val="clear" w:color="auto" w:fill="auto"/>
            <w:noWrap/>
            <w:vAlign w:val="center"/>
          </w:tcPr>
          <w:p w14:paraId="6D6E1274" w14:textId="77777777" w:rsidR="004314BC" w:rsidRPr="004314BC" w:rsidRDefault="004314BC" w:rsidP="004314BC">
            <w:pPr>
              <w:jc w:val="right"/>
              <w:rPr>
                <w:rFonts w:ascii="Arial Narrow" w:hAnsi="Arial Narrow" w:cs="Calibri"/>
                <w:sz w:val="20"/>
                <w:szCs w:val="20"/>
                <w:lang w:val="bg-BG" w:eastAsia="bg-BG" w:bidi="yi-Hebr"/>
              </w:rPr>
            </w:pPr>
            <w:r w:rsidRPr="004314BC">
              <w:rPr>
                <w:rFonts w:ascii="Arial Narrow" w:hAnsi="Arial Narrow" w:cs="Calibri"/>
                <w:sz w:val="20"/>
                <w:szCs w:val="20"/>
                <w:lang w:val="bg-BG" w:eastAsia="bg-BG" w:bidi="yi-Hebr"/>
              </w:rPr>
              <w:t>210,4</w:t>
            </w:r>
          </w:p>
        </w:tc>
        <w:tc>
          <w:tcPr>
            <w:tcW w:w="1100" w:type="dxa"/>
            <w:tcBorders>
              <w:top w:val="nil"/>
              <w:left w:val="nil"/>
              <w:bottom w:val="single" w:sz="4" w:space="0" w:color="auto"/>
              <w:right w:val="single" w:sz="4" w:space="0" w:color="auto"/>
            </w:tcBorders>
            <w:shd w:val="clear" w:color="auto" w:fill="auto"/>
            <w:noWrap/>
            <w:vAlign w:val="center"/>
          </w:tcPr>
          <w:p w14:paraId="32C6DC29" w14:textId="77777777" w:rsidR="004314BC" w:rsidRPr="004314BC" w:rsidRDefault="004314BC" w:rsidP="004314BC">
            <w:pPr>
              <w:jc w:val="right"/>
              <w:rPr>
                <w:rFonts w:ascii="Arial Narrow" w:hAnsi="Arial Narrow" w:cs="Calibri"/>
                <w:sz w:val="20"/>
                <w:szCs w:val="20"/>
                <w:lang w:val="bg-BG" w:eastAsia="bg-BG" w:bidi="yi-Hebr"/>
              </w:rPr>
            </w:pPr>
            <w:r w:rsidRPr="004314BC">
              <w:rPr>
                <w:rFonts w:ascii="Arial Narrow" w:hAnsi="Arial Narrow" w:cs="Calibri"/>
                <w:sz w:val="20"/>
                <w:szCs w:val="20"/>
                <w:lang w:val="bg-BG" w:eastAsia="bg-BG" w:bidi="yi-Hebr"/>
              </w:rPr>
              <w:t>2,0%</w:t>
            </w:r>
          </w:p>
        </w:tc>
      </w:tr>
      <w:tr w:rsidR="004314BC" w:rsidRPr="004314BC" w14:paraId="3949B639" w14:textId="77777777" w:rsidTr="00F10FC2">
        <w:trPr>
          <w:trHeight w:val="379"/>
        </w:trPr>
        <w:tc>
          <w:tcPr>
            <w:tcW w:w="1280" w:type="dxa"/>
            <w:vAlign w:val="center"/>
          </w:tcPr>
          <w:p w14:paraId="12C29D75" w14:textId="77777777" w:rsidR="004314BC" w:rsidRPr="004314BC" w:rsidRDefault="004314BC" w:rsidP="004314BC">
            <w:pPr>
              <w:widowControl w:val="0"/>
              <w:rPr>
                <w:rFonts w:ascii="Arial Narrow" w:hAnsi="Arial Narrow"/>
                <w:b/>
                <w:sz w:val="20"/>
                <w:szCs w:val="20"/>
                <w:lang w:val="bg-BG" w:eastAsia="bg-BG"/>
              </w:rPr>
            </w:pPr>
            <w:r w:rsidRPr="004314BC">
              <w:rPr>
                <w:rFonts w:ascii="Arial Narrow" w:hAnsi="Arial Narrow"/>
                <w:b/>
                <w:sz w:val="20"/>
                <w:szCs w:val="20"/>
                <w:lang w:val="bg-BG" w:eastAsia="bg-BG"/>
              </w:rPr>
              <w:t>Общо</w:t>
            </w:r>
          </w:p>
        </w:tc>
        <w:tc>
          <w:tcPr>
            <w:tcW w:w="834" w:type="dxa"/>
            <w:tcBorders>
              <w:top w:val="nil"/>
              <w:left w:val="nil"/>
              <w:bottom w:val="single" w:sz="4" w:space="0" w:color="auto"/>
              <w:right w:val="single" w:sz="4" w:space="0" w:color="auto"/>
            </w:tcBorders>
            <w:shd w:val="clear" w:color="auto" w:fill="auto"/>
            <w:vAlign w:val="center"/>
          </w:tcPr>
          <w:p w14:paraId="4F1F5769" w14:textId="77777777" w:rsidR="004314BC" w:rsidRPr="004314BC" w:rsidRDefault="004314BC" w:rsidP="004314BC">
            <w:pPr>
              <w:widowControl w:val="0"/>
              <w:jc w:val="right"/>
              <w:rPr>
                <w:rFonts w:ascii="Arial Narrow" w:hAnsi="Arial Narrow" w:cs="Calibri"/>
                <w:bCs/>
                <w:sz w:val="20"/>
                <w:szCs w:val="20"/>
                <w:lang w:val="bg-BG" w:eastAsia="bg-BG"/>
              </w:rPr>
            </w:pPr>
            <w:r w:rsidRPr="004314BC">
              <w:rPr>
                <w:rFonts w:ascii="Arial Narrow" w:hAnsi="Arial Narrow" w:cs="Calibri"/>
                <w:bCs/>
                <w:sz w:val="20"/>
                <w:szCs w:val="20"/>
                <w:lang w:val="bg-BG" w:eastAsia="bg-BG"/>
              </w:rPr>
              <w:t>9 433</w:t>
            </w:r>
          </w:p>
        </w:tc>
        <w:tc>
          <w:tcPr>
            <w:tcW w:w="834" w:type="dxa"/>
            <w:tcBorders>
              <w:top w:val="nil"/>
              <w:left w:val="nil"/>
              <w:bottom w:val="single" w:sz="4" w:space="0" w:color="auto"/>
              <w:right w:val="single" w:sz="4" w:space="0" w:color="auto"/>
            </w:tcBorders>
            <w:shd w:val="clear" w:color="auto" w:fill="auto"/>
            <w:vAlign w:val="center"/>
          </w:tcPr>
          <w:p w14:paraId="0069430C" w14:textId="77777777" w:rsidR="004314BC" w:rsidRPr="004314BC" w:rsidRDefault="004314BC" w:rsidP="004314BC">
            <w:pPr>
              <w:widowControl w:val="0"/>
              <w:jc w:val="right"/>
              <w:rPr>
                <w:rFonts w:ascii="Arial Narrow" w:hAnsi="Arial Narrow" w:cs="Calibri"/>
                <w:sz w:val="20"/>
                <w:szCs w:val="20"/>
                <w:lang w:val="bg-BG" w:eastAsia="bg-BG"/>
              </w:rPr>
            </w:pPr>
            <w:r w:rsidRPr="004314BC">
              <w:rPr>
                <w:rFonts w:ascii="Arial Narrow" w:hAnsi="Arial Narrow" w:cs="Calibri"/>
                <w:sz w:val="20"/>
                <w:szCs w:val="20"/>
                <w:lang w:val="bg-BG" w:eastAsia="bg-BG"/>
              </w:rPr>
              <w:t>8 923</w:t>
            </w:r>
          </w:p>
        </w:tc>
        <w:tc>
          <w:tcPr>
            <w:tcW w:w="1099" w:type="dxa"/>
            <w:tcBorders>
              <w:top w:val="nil"/>
              <w:left w:val="nil"/>
              <w:bottom w:val="single" w:sz="4" w:space="0" w:color="auto"/>
              <w:right w:val="single" w:sz="4" w:space="0" w:color="auto"/>
            </w:tcBorders>
            <w:shd w:val="clear" w:color="auto" w:fill="auto"/>
            <w:vAlign w:val="center"/>
          </w:tcPr>
          <w:p w14:paraId="613DC60D" w14:textId="77777777" w:rsidR="004314BC" w:rsidRPr="004314BC" w:rsidRDefault="004314BC" w:rsidP="004314BC">
            <w:pPr>
              <w:widowControl w:val="0"/>
              <w:jc w:val="right"/>
              <w:rPr>
                <w:rFonts w:ascii="Arial Narrow" w:hAnsi="Arial Narrow" w:cs="Calibri"/>
                <w:sz w:val="20"/>
                <w:szCs w:val="20"/>
                <w:lang w:val="bg-BG" w:eastAsia="bg-BG"/>
              </w:rPr>
            </w:pPr>
            <w:r w:rsidRPr="004314BC">
              <w:rPr>
                <w:rFonts w:ascii="Arial Narrow" w:hAnsi="Arial Narrow" w:cs="Calibri"/>
                <w:sz w:val="20"/>
                <w:szCs w:val="20"/>
                <w:lang w:val="bg-BG" w:eastAsia="bg-BG"/>
              </w:rPr>
              <w:t>-5,4%</w:t>
            </w:r>
          </w:p>
        </w:tc>
        <w:tc>
          <w:tcPr>
            <w:tcW w:w="903" w:type="dxa"/>
            <w:tcBorders>
              <w:top w:val="nil"/>
              <w:left w:val="nil"/>
              <w:bottom w:val="single" w:sz="4" w:space="0" w:color="auto"/>
              <w:right w:val="single" w:sz="4" w:space="0" w:color="auto"/>
            </w:tcBorders>
            <w:shd w:val="clear" w:color="auto" w:fill="auto"/>
            <w:noWrap/>
            <w:vAlign w:val="center"/>
          </w:tcPr>
          <w:p w14:paraId="19E3BE63" w14:textId="77777777" w:rsidR="004314BC" w:rsidRPr="004314BC" w:rsidRDefault="004314BC" w:rsidP="004314BC">
            <w:pPr>
              <w:widowControl w:val="0"/>
              <w:jc w:val="right"/>
              <w:rPr>
                <w:rFonts w:ascii="Arial Narrow" w:hAnsi="Arial Narrow" w:cs="Calibri"/>
                <w:b/>
                <w:bCs/>
                <w:sz w:val="20"/>
                <w:szCs w:val="20"/>
                <w:lang w:val="bg-BG" w:eastAsia="bg-BG"/>
              </w:rPr>
            </w:pPr>
            <w:r w:rsidRPr="004314BC">
              <w:rPr>
                <w:rFonts w:ascii="Arial Narrow" w:hAnsi="Arial Narrow" w:cs="Calibri"/>
                <w:b/>
                <w:bCs/>
                <w:sz w:val="20"/>
                <w:szCs w:val="20"/>
                <w:lang w:val="bg-BG" w:eastAsia="bg-BG"/>
              </w:rPr>
              <w:t>816 673</w:t>
            </w:r>
          </w:p>
        </w:tc>
        <w:tc>
          <w:tcPr>
            <w:tcW w:w="903" w:type="dxa"/>
            <w:tcBorders>
              <w:top w:val="nil"/>
              <w:left w:val="nil"/>
              <w:bottom w:val="single" w:sz="4" w:space="0" w:color="auto"/>
              <w:right w:val="single" w:sz="4" w:space="0" w:color="auto"/>
            </w:tcBorders>
            <w:shd w:val="clear" w:color="auto" w:fill="auto"/>
            <w:noWrap/>
            <w:vAlign w:val="center"/>
          </w:tcPr>
          <w:p w14:paraId="510B9FC6" w14:textId="77777777" w:rsidR="004314BC" w:rsidRPr="004314BC" w:rsidRDefault="004314BC" w:rsidP="004314BC">
            <w:pPr>
              <w:jc w:val="right"/>
              <w:rPr>
                <w:rFonts w:ascii="Arial Narrow" w:hAnsi="Arial Narrow" w:cs="Calibri"/>
                <w:b/>
                <w:bCs/>
                <w:sz w:val="20"/>
                <w:szCs w:val="20"/>
                <w:lang w:val="bg-BG" w:eastAsia="bg-BG" w:bidi="yi-Hebr"/>
              </w:rPr>
            </w:pPr>
            <w:r w:rsidRPr="004314BC">
              <w:rPr>
                <w:rFonts w:ascii="Arial Narrow" w:hAnsi="Arial Narrow" w:cs="Calibri"/>
                <w:b/>
                <w:bCs/>
                <w:sz w:val="20"/>
                <w:szCs w:val="20"/>
                <w:lang w:val="bg-BG" w:eastAsia="bg-BG" w:bidi="yi-Hebr"/>
              </w:rPr>
              <w:t>838 038</w:t>
            </w:r>
          </w:p>
        </w:tc>
        <w:tc>
          <w:tcPr>
            <w:tcW w:w="1100" w:type="dxa"/>
            <w:tcBorders>
              <w:top w:val="nil"/>
              <w:left w:val="nil"/>
              <w:bottom w:val="single" w:sz="4" w:space="0" w:color="auto"/>
              <w:right w:val="single" w:sz="4" w:space="0" w:color="auto"/>
            </w:tcBorders>
            <w:shd w:val="clear" w:color="auto" w:fill="auto"/>
            <w:noWrap/>
            <w:vAlign w:val="center"/>
          </w:tcPr>
          <w:p w14:paraId="45FD5788" w14:textId="77777777" w:rsidR="004314BC" w:rsidRPr="004314BC" w:rsidRDefault="004314BC" w:rsidP="004314BC">
            <w:pPr>
              <w:jc w:val="right"/>
              <w:rPr>
                <w:rFonts w:ascii="Arial Narrow" w:hAnsi="Arial Narrow" w:cs="Calibri"/>
                <w:b/>
                <w:bCs/>
                <w:sz w:val="20"/>
                <w:szCs w:val="20"/>
                <w:lang w:val="bg-BG" w:eastAsia="bg-BG" w:bidi="yi-Hebr"/>
              </w:rPr>
            </w:pPr>
            <w:r w:rsidRPr="004314BC">
              <w:rPr>
                <w:rFonts w:ascii="Arial Narrow" w:hAnsi="Arial Narrow" w:cs="Calibri"/>
                <w:b/>
                <w:bCs/>
                <w:sz w:val="20"/>
                <w:szCs w:val="20"/>
                <w:lang w:val="bg-BG" w:eastAsia="bg-BG" w:bidi="yi-Hebr"/>
              </w:rPr>
              <w:t>2,6%</w:t>
            </w:r>
          </w:p>
        </w:tc>
        <w:tc>
          <w:tcPr>
            <w:tcW w:w="903" w:type="dxa"/>
            <w:tcBorders>
              <w:top w:val="nil"/>
              <w:left w:val="nil"/>
              <w:bottom w:val="single" w:sz="4" w:space="0" w:color="auto"/>
              <w:right w:val="single" w:sz="4" w:space="0" w:color="auto"/>
            </w:tcBorders>
            <w:shd w:val="clear" w:color="auto" w:fill="auto"/>
            <w:noWrap/>
            <w:vAlign w:val="center"/>
          </w:tcPr>
          <w:p w14:paraId="2313C5C3" w14:textId="77777777" w:rsidR="004314BC" w:rsidRPr="004314BC" w:rsidRDefault="004314BC" w:rsidP="004314BC">
            <w:pPr>
              <w:jc w:val="right"/>
              <w:rPr>
                <w:rFonts w:ascii="Arial Narrow" w:hAnsi="Arial Narrow" w:cs="Calibri"/>
                <w:b/>
                <w:bCs/>
                <w:sz w:val="20"/>
                <w:szCs w:val="20"/>
                <w:lang w:val="bg-BG" w:eastAsia="bg-BG" w:bidi="yi-Hebr"/>
              </w:rPr>
            </w:pPr>
            <w:r w:rsidRPr="004314BC">
              <w:rPr>
                <w:rFonts w:ascii="Arial Narrow" w:hAnsi="Arial Narrow" w:cs="Calibri"/>
                <w:b/>
                <w:bCs/>
                <w:sz w:val="20"/>
                <w:szCs w:val="20"/>
                <w:lang w:val="bg-BG" w:eastAsia="bg-BG" w:bidi="yi-Hebr"/>
              </w:rPr>
              <w:t>86,6</w:t>
            </w:r>
          </w:p>
        </w:tc>
        <w:tc>
          <w:tcPr>
            <w:tcW w:w="903" w:type="dxa"/>
            <w:tcBorders>
              <w:top w:val="nil"/>
              <w:left w:val="nil"/>
              <w:bottom w:val="single" w:sz="4" w:space="0" w:color="auto"/>
              <w:right w:val="single" w:sz="4" w:space="0" w:color="auto"/>
            </w:tcBorders>
            <w:shd w:val="clear" w:color="auto" w:fill="auto"/>
            <w:noWrap/>
            <w:vAlign w:val="center"/>
          </w:tcPr>
          <w:p w14:paraId="48969D03" w14:textId="77777777" w:rsidR="004314BC" w:rsidRPr="004314BC" w:rsidRDefault="004314BC" w:rsidP="004314BC">
            <w:pPr>
              <w:jc w:val="right"/>
              <w:rPr>
                <w:rFonts w:ascii="Arial Narrow" w:hAnsi="Arial Narrow" w:cs="Calibri"/>
                <w:b/>
                <w:bCs/>
                <w:sz w:val="20"/>
                <w:szCs w:val="20"/>
                <w:lang w:val="bg-BG" w:eastAsia="bg-BG" w:bidi="yi-Hebr"/>
              </w:rPr>
            </w:pPr>
            <w:r w:rsidRPr="004314BC">
              <w:rPr>
                <w:rFonts w:ascii="Arial Narrow" w:hAnsi="Arial Narrow" w:cs="Calibri"/>
                <w:b/>
                <w:bCs/>
                <w:sz w:val="20"/>
                <w:szCs w:val="20"/>
                <w:lang w:val="bg-BG" w:eastAsia="bg-BG" w:bidi="yi-Hebr"/>
              </w:rPr>
              <w:t>93,9</w:t>
            </w:r>
          </w:p>
        </w:tc>
        <w:tc>
          <w:tcPr>
            <w:tcW w:w="1100" w:type="dxa"/>
            <w:tcBorders>
              <w:top w:val="nil"/>
              <w:left w:val="nil"/>
              <w:bottom w:val="single" w:sz="4" w:space="0" w:color="auto"/>
              <w:right w:val="single" w:sz="4" w:space="0" w:color="auto"/>
            </w:tcBorders>
            <w:shd w:val="clear" w:color="auto" w:fill="auto"/>
            <w:noWrap/>
            <w:vAlign w:val="center"/>
          </w:tcPr>
          <w:p w14:paraId="55124764" w14:textId="77777777" w:rsidR="004314BC" w:rsidRPr="004314BC" w:rsidRDefault="004314BC" w:rsidP="004314BC">
            <w:pPr>
              <w:jc w:val="right"/>
              <w:rPr>
                <w:rFonts w:ascii="Arial Narrow" w:hAnsi="Arial Narrow" w:cs="Calibri"/>
                <w:b/>
                <w:bCs/>
                <w:sz w:val="20"/>
                <w:szCs w:val="20"/>
                <w:lang w:val="bg-BG" w:eastAsia="bg-BG" w:bidi="yi-Hebr"/>
              </w:rPr>
            </w:pPr>
            <w:r w:rsidRPr="004314BC">
              <w:rPr>
                <w:rFonts w:ascii="Arial Narrow" w:hAnsi="Arial Narrow" w:cs="Calibri"/>
                <w:b/>
                <w:bCs/>
                <w:sz w:val="20"/>
                <w:szCs w:val="20"/>
                <w:lang w:val="bg-BG" w:eastAsia="bg-BG" w:bidi="yi-Hebr"/>
              </w:rPr>
              <w:t>8,5%</w:t>
            </w:r>
          </w:p>
        </w:tc>
      </w:tr>
    </w:tbl>
    <w:p w14:paraId="5BE07BF3" w14:textId="77777777" w:rsidR="004314BC" w:rsidRPr="00725099" w:rsidRDefault="004314BC" w:rsidP="004314BC">
      <w:pPr>
        <w:widowControl w:val="0"/>
        <w:spacing w:after="240" w:line="259" w:lineRule="auto"/>
        <w:jc w:val="both"/>
        <w:rPr>
          <w:rFonts w:ascii="Arial Narrow" w:eastAsia="Calibri" w:hAnsi="Arial Narrow" w:cs="Arial"/>
          <w:i/>
          <w:sz w:val="18"/>
          <w:lang w:val="bg-BG"/>
        </w:rPr>
      </w:pPr>
      <w:r w:rsidRPr="00725099">
        <w:rPr>
          <w:rFonts w:ascii="Arial Narrow" w:eastAsia="Calibri" w:hAnsi="Arial Narrow" w:cs="Arial"/>
          <w:i/>
          <w:sz w:val="18"/>
          <w:lang w:val="bg-BG"/>
        </w:rPr>
        <w:t xml:space="preserve">Източник: </w:t>
      </w:r>
      <w:r w:rsidRPr="00725099">
        <w:rPr>
          <w:rFonts w:ascii="Arial Narrow" w:eastAsia="Calibri" w:hAnsi="Arial Narrow" w:cs="Arial"/>
          <w:sz w:val="18"/>
          <w:lang w:val="bg-BG"/>
        </w:rPr>
        <w:t>МЗХ, отдел „Агростатистика”</w:t>
      </w:r>
      <w:r w:rsidRPr="00725099">
        <w:rPr>
          <w:rFonts w:ascii="Arial Narrow" w:eastAsia="Calibri" w:hAnsi="Arial Narrow" w:cs="Arial"/>
          <w:i/>
          <w:sz w:val="18"/>
          <w:lang w:val="bg-BG"/>
        </w:rPr>
        <w:t xml:space="preserve"> </w:t>
      </w:r>
    </w:p>
    <w:p w14:paraId="4E0011E9" w14:textId="77777777" w:rsidR="004314BC" w:rsidRPr="004314BC" w:rsidRDefault="004314BC" w:rsidP="004314BC">
      <w:pPr>
        <w:widowControl w:val="0"/>
        <w:autoSpaceDE w:val="0"/>
        <w:autoSpaceDN w:val="0"/>
        <w:adjustRightInd w:val="0"/>
        <w:spacing w:after="120"/>
        <w:ind w:firstLine="709"/>
        <w:jc w:val="both"/>
        <w:rPr>
          <w:rFonts w:ascii="Arial Narrow" w:eastAsia="Calibri" w:hAnsi="Arial Narrow" w:cs="Arial"/>
          <w:lang w:val="bg-BG" w:eastAsia="bg-BG"/>
        </w:rPr>
      </w:pPr>
      <w:r w:rsidRPr="004314BC">
        <w:rPr>
          <w:rFonts w:ascii="Arial Narrow" w:eastAsia="Calibri" w:hAnsi="Arial Narrow" w:cs="Arial"/>
          <w:lang w:val="bg-BG" w:eastAsia="bg-BG"/>
        </w:rPr>
        <w:t>Към 1 октомври 2024 г. в страната са отчетени 8 923 пчелни стопанства, в които се отглеждат 838 038 пчелни семейства. Броят на пчелните стопанства намалява с 5,4% на годишна база, докато  пчелните семейства са с 2,6% повече. Средният брой пчелни семейства в стопанство нараства с 8,4%, достигайки 93,9 броя (при 86,6 броя през 2023 г.).</w:t>
      </w:r>
    </w:p>
    <w:p w14:paraId="73BC026A" w14:textId="77777777" w:rsidR="004314BC" w:rsidRPr="004314BC" w:rsidRDefault="004314BC" w:rsidP="004314BC">
      <w:pPr>
        <w:widowControl w:val="0"/>
        <w:autoSpaceDE w:val="0"/>
        <w:autoSpaceDN w:val="0"/>
        <w:adjustRightInd w:val="0"/>
        <w:spacing w:after="120"/>
        <w:ind w:firstLine="709"/>
        <w:jc w:val="both"/>
        <w:rPr>
          <w:rFonts w:ascii="Arial Narrow" w:eastAsia="Calibri" w:hAnsi="Arial Narrow" w:cs="Arial"/>
          <w:lang w:val="bg-BG" w:eastAsia="bg-BG"/>
        </w:rPr>
      </w:pPr>
      <w:r w:rsidRPr="004314BC">
        <w:rPr>
          <w:rFonts w:ascii="Arial Narrow" w:eastAsia="Calibri" w:hAnsi="Arial Narrow" w:cs="Arial"/>
          <w:lang w:val="bg-BG" w:eastAsia="bg-BG"/>
        </w:rPr>
        <w:t>Пчеларството е по-широко застъпено в Северна и Югоизточна България, където през 2024 г. се отглеждат около 83% от всички пчелни семейства, в т. ч.: Северен централен район – 23,1%, Североизточен – 23%, Югоизточен – 21,7% , Северозападен – 15,6%.</w:t>
      </w:r>
    </w:p>
    <w:p w14:paraId="0EB5967F" w14:textId="77777777" w:rsidR="004314BC" w:rsidRPr="004314BC" w:rsidRDefault="004314BC" w:rsidP="004314BC">
      <w:pPr>
        <w:widowControl w:val="0"/>
        <w:autoSpaceDE w:val="0"/>
        <w:autoSpaceDN w:val="0"/>
        <w:adjustRightInd w:val="0"/>
        <w:spacing w:after="120"/>
        <w:jc w:val="center"/>
        <w:rPr>
          <w:rFonts w:ascii="Arial Narrow" w:eastAsia="Calibri" w:hAnsi="Arial Narrow" w:cs="Arial"/>
          <w:b/>
          <w:i/>
          <w:lang w:val="bg-BG"/>
        </w:rPr>
      </w:pPr>
      <w:r w:rsidRPr="004314BC">
        <w:rPr>
          <w:rFonts w:ascii="Arial Narrow" w:eastAsia="Calibri" w:hAnsi="Arial Narrow" w:cs="Arial"/>
          <w:b/>
          <w:i/>
          <w:lang w:val="bg-BG"/>
        </w:rPr>
        <w:t xml:space="preserve">Фигура ІІ.5. Брой пчелни семейства по райони през 2023 и 2024 г. </w:t>
      </w:r>
    </w:p>
    <w:p w14:paraId="675B2E85" w14:textId="77777777" w:rsidR="004314BC" w:rsidRPr="004314BC" w:rsidRDefault="004314BC" w:rsidP="004314BC">
      <w:pPr>
        <w:widowControl w:val="0"/>
        <w:autoSpaceDE w:val="0"/>
        <w:autoSpaceDN w:val="0"/>
        <w:adjustRightInd w:val="0"/>
        <w:spacing w:after="120"/>
        <w:jc w:val="center"/>
        <w:rPr>
          <w:rFonts w:ascii="Arial Narrow" w:eastAsia="Calibri" w:hAnsi="Arial Narrow" w:cs="Arial"/>
          <w:b/>
          <w:i/>
          <w:lang w:val="bg-BG"/>
        </w:rPr>
      </w:pPr>
      <w:r w:rsidRPr="004314BC">
        <w:rPr>
          <w:rFonts w:ascii="Calibri" w:eastAsia="Calibri" w:hAnsi="Calibri" w:cs="Arial"/>
          <w:noProof/>
          <w:sz w:val="22"/>
          <w:szCs w:val="22"/>
        </w:rPr>
        <w:drawing>
          <wp:inline distT="0" distB="0" distL="0" distR="0" wp14:anchorId="57E207C2" wp14:editId="15508FE5">
            <wp:extent cx="5040000" cy="3240000"/>
            <wp:effectExtent l="0" t="0" r="8255" b="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3014A0D9" w14:textId="77777777" w:rsidR="004314BC" w:rsidRPr="00725099" w:rsidRDefault="004314BC" w:rsidP="004314BC">
      <w:pPr>
        <w:widowControl w:val="0"/>
        <w:autoSpaceDE w:val="0"/>
        <w:autoSpaceDN w:val="0"/>
        <w:adjustRightInd w:val="0"/>
        <w:spacing w:after="120"/>
        <w:ind w:left="720"/>
        <w:rPr>
          <w:rFonts w:ascii="Arial Narrow" w:eastAsia="Calibri" w:hAnsi="Arial Narrow" w:cs="Arial"/>
          <w:sz w:val="18"/>
          <w:szCs w:val="18"/>
          <w:lang w:val="bg-BG"/>
        </w:rPr>
      </w:pPr>
      <w:r w:rsidRPr="00725099">
        <w:rPr>
          <w:rFonts w:ascii="Arial Narrow" w:eastAsia="Calibri" w:hAnsi="Arial Narrow" w:cs="Arial"/>
          <w:i/>
        </w:rPr>
        <w:t xml:space="preserve">      </w:t>
      </w:r>
      <w:r w:rsidRPr="00725099">
        <w:rPr>
          <w:rFonts w:ascii="Arial Narrow" w:eastAsia="Calibri" w:hAnsi="Arial Narrow" w:cs="Arial"/>
          <w:i/>
          <w:sz w:val="18"/>
          <w:szCs w:val="18"/>
          <w:lang w:val="bg-BG"/>
        </w:rPr>
        <w:t xml:space="preserve">Източник: </w:t>
      </w:r>
      <w:r w:rsidRPr="00725099">
        <w:rPr>
          <w:rFonts w:ascii="Arial Narrow" w:eastAsia="Calibri" w:hAnsi="Arial Narrow" w:cs="Arial"/>
          <w:sz w:val="18"/>
          <w:szCs w:val="18"/>
          <w:lang w:val="bg-BG"/>
        </w:rPr>
        <w:t>МЗХ, отдел „Агростатистика”</w:t>
      </w:r>
    </w:p>
    <w:p w14:paraId="226B7A54" w14:textId="77777777" w:rsidR="004314BC" w:rsidRPr="004314BC" w:rsidRDefault="004314BC" w:rsidP="004314BC">
      <w:pPr>
        <w:widowControl w:val="0"/>
        <w:autoSpaceDE w:val="0"/>
        <w:autoSpaceDN w:val="0"/>
        <w:adjustRightInd w:val="0"/>
        <w:spacing w:after="120"/>
        <w:ind w:firstLine="709"/>
        <w:jc w:val="both"/>
        <w:rPr>
          <w:rFonts w:ascii="Arial Narrow" w:eastAsia="Calibri" w:hAnsi="Arial Narrow" w:cs="Arial"/>
          <w:lang w:val="bg-BG" w:eastAsia="bg-BG"/>
        </w:rPr>
      </w:pPr>
      <w:r w:rsidRPr="004314BC">
        <w:rPr>
          <w:rFonts w:ascii="Arial Narrow" w:eastAsia="Calibri" w:hAnsi="Arial Narrow" w:cs="Arial"/>
          <w:lang w:val="bg-BG" w:eastAsia="bg-BG"/>
        </w:rPr>
        <w:t>През 2024 г. пчелните семейства, от които е добиван мед, са 695 244 броя, с 5,5% повече в сравнение с предходната година. При 11,8% по-нисък среден добив от 15 кг/пчелно семейство, производството на пчелен мед намалява с 6,6% на годишна база, възлизайки на 10 440 тона.</w:t>
      </w:r>
    </w:p>
    <w:p w14:paraId="1040A5A9" w14:textId="77777777" w:rsidR="004314BC" w:rsidRPr="004314BC" w:rsidRDefault="004314BC" w:rsidP="004314BC">
      <w:pPr>
        <w:widowControl w:val="0"/>
        <w:autoSpaceDE w:val="0"/>
        <w:autoSpaceDN w:val="0"/>
        <w:adjustRightInd w:val="0"/>
        <w:spacing w:after="120"/>
        <w:jc w:val="center"/>
        <w:rPr>
          <w:rFonts w:ascii="Arial Narrow" w:eastAsia="Calibri" w:hAnsi="Arial Narrow" w:cs="Arial"/>
          <w:b/>
          <w:i/>
          <w:lang w:val="bg-BG"/>
        </w:rPr>
      </w:pPr>
      <w:r w:rsidRPr="004314BC">
        <w:rPr>
          <w:rFonts w:ascii="Arial Narrow" w:eastAsia="Calibri" w:hAnsi="Arial Narrow" w:cs="Arial"/>
          <w:b/>
          <w:i/>
          <w:lang w:val="bg-BG"/>
        </w:rPr>
        <w:t>Фигура ІІ.6. Производство на пчелен мед през периода 2020 - 2024 г., тона</w:t>
      </w:r>
    </w:p>
    <w:p w14:paraId="1B200044" w14:textId="77777777" w:rsidR="004314BC" w:rsidRPr="004314BC" w:rsidRDefault="004314BC" w:rsidP="004314BC">
      <w:pPr>
        <w:widowControl w:val="0"/>
        <w:autoSpaceDE w:val="0"/>
        <w:autoSpaceDN w:val="0"/>
        <w:adjustRightInd w:val="0"/>
        <w:spacing w:after="120" w:line="259" w:lineRule="auto"/>
        <w:jc w:val="center"/>
        <w:rPr>
          <w:rFonts w:ascii="Arial Narrow" w:eastAsia="Calibri" w:hAnsi="Arial Narrow" w:cs="Arial"/>
          <w:b/>
          <w:i/>
          <w:lang w:val="bg-BG"/>
        </w:rPr>
      </w:pPr>
      <w:r w:rsidRPr="004314BC">
        <w:rPr>
          <w:rFonts w:ascii="Calibri" w:eastAsia="Calibri" w:hAnsi="Calibri" w:cs="Arial"/>
          <w:noProof/>
          <w:sz w:val="22"/>
          <w:szCs w:val="22"/>
        </w:rPr>
        <w:lastRenderedPageBreak/>
        <w:drawing>
          <wp:inline distT="0" distB="0" distL="0" distR="0" wp14:anchorId="4EAD05AE" wp14:editId="5EBFB49C">
            <wp:extent cx="5040000" cy="2880000"/>
            <wp:effectExtent l="0" t="0" r="8255" b="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35B6E933" w14:textId="77777777" w:rsidR="004314BC" w:rsidRPr="00725099" w:rsidRDefault="004314BC" w:rsidP="004314BC">
      <w:pPr>
        <w:widowControl w:val="0"/>
        <w:spacing w:after="120"/>
        <w:ind w:left="1259"/>
        <w:jc w:val="both"/>
        <w:rPr>
          <w:rFonts w:ascii="Arial Narrow" w:eastAsia="Calibri" w:hAnsi="Arial Narrow" w:cs="Arial"/>
          <w:sz w:val="18"/>
          <w:szCs w:val="18"/>
          <w:lang w:val="bg-BG"/>
        </w:rPr>
      </w:pPr>
      <w:r w:rsidRPr="00725099">
        <w:rPr>
          <w:rFonts w:ascii="Arial Narrow" w:eastAsia="Calibri" w:hAnsi="Arial Narrow" w:cs="Arial"/>
          <w:i/>
          <w:sz w:val="18"/>
          <w:szCs w:val="18"/>
          <w:lang w:val="bg-BG"/>
        </w:rPr>
        <w:t xml:space="preserve">Източник: </w:t>
      </w:r>
      <w:r w:rsidRPr="00725099">
        <w:rPr>
          <w:rFonts w:ascii="Arial Narrow" w:eastAsia="Calibri" w:hAnsi="Arial Narrow" w:cs="Arial"/>
          <w:sz w:val="18"/>
          <w:szCs w:val="18"/>
          <w:lang w:val="bg-BG"/>
        </w:rPr>
        <w:t>МЗХ, отдел „Агростатистика”</w:t>
      </w:r>
    </w:p>
    <w:p w14:paraId="451D21B8" w14:textId="77777777" w:rsidR="004314BC" w:rsidRPr="004314BC" w:rsidRDefault="004314BC" w:rsidP="004314BC">
      <w:pPr>
        <w:widowControl w:val="0"/>
        <w:autoSpaceDE w:val="0"/>
        <w:autoSpaceDN w:val="0"/>
        <w:adjustRightInd w:val="0"/>
        <w:spacing w:after="120"/>
        <w:ind w:firstLine="709"/>
        <w:jc w:val="both"/>
        <w:rPr>
          <w:rFonts w:ascii="Arial Narrow" w:eastAsia="Calibri" w:hAnsi="Arial Narrow" w:cs="Arial"/>
          <w:bCs/>
          <w:lang w:val="bg-BG"/>
        </w:rPr>
      </w:pPr>
      <w:r w:rsidRPr="004314BC">
        <w:rPr>
          <w:rFonts w:ascii="Arial Narrow" w:eastAsia="Calibri" w:hAnsi="Arial Narrow" w:cs="Arial"/>
          <w:bCs/>
          <w:lang w:val="bg-BG"/>
        </w:rPr>
        <w:t>Реализацията на пчелен мед и средните продажни цени (без ДДС) през 2024 г. са, както следва (включва и количества, произведени през предходни години):</w:t>
      </w:r>
    </w:p>
    <w:p w14:paraId="09A361AB" w14:textId="77777777" w:rsidR="004314BC" w:rsidRPr="004314BC" w:rsidRDefault="004314BC" w:rsidP="004314BC">
      <w:pPr>
        <w:widowControl w:val="0"/>
        <w:numPr>
          <w:ilvl w:val="0"/>
          <w:numId w:val="5"/>
        </w:numPr>
        <w:autoSpaceDE w:val="0"/>
        <w:autoSpaceDN w:val="0"/>
        <w:adjustRightInd w:val="0"/>
        <w:spacing w:after="120" w:line="259" w:lineRule="auto"/>
        <w:ind w:left="714" w:hanging="357"/>
        <w:jc w:val="both"/>
        <w:rPr>
          <w:rFonts w:ascii="Arial Narrow" w:eastAsia="SimSun" w:hAnsi="Arial Narrow" w:cs="Arial"/>
          <w:bCs/>
          <w:lang w:val="bg-BG" w:eastAsia="zh-CN"/>
        </w:rPr>
      </w:pPr>
      <w:r w:rsidRPr="004314BC">
        <w:rPr>
          <w:rFonts w:ascii="Arial Narrow" w:eastAsia="SimSun" w:hAnsi="Arial Narrow" w:cs="Arial"/>
          <w:bCs/>
          <w:lang w:val="bg-BG" w:eastAsia="zh-CN"/>
        </w:rPr>
        <w:t>Директни продажби на краен потребител - 2 248 тона - 8,90 лева/кг;</w:t>
      </w:r>
    </w:p>
    <w:p w14:paraId="5BE69E15" w14:textId="77777777" w:rsidR="004314BC" w:rsidRPr="004314BC" w:rsidRDefault="004314BC" w:rsidP="004314BC">
      <w:pPr>
        <w:widowControl w:val="0"/>
        <w:numPr>
          <w:ilvl w:val="0"/>
          <w:numId w:val="5"/>
        </w:numPr>
        <w:autoSpaceDE w:val="0"/>
        <w:autoSpaceDN w:val="0"/>
        <w:adjustRightInd w:val="0"/>
        <w:spacing w:after="120" w:line="259" w:lineRule="auto"/>
        <w:ind w:left="714" w:hanging="357"/>
        <w:jc w:val="both"/>
        <w:rPr>
          <w:rFonts w:ascii="Arial Narrow" w:eastAsia="SimSun" w:hAnsi="Arial Narrow" w:cs="Arial"/>
          <w:bCs/>
          <w:lang w:val="bg-BG" w:eastAsia="zh-CN"/>
        </w:rPr>
      </w:pPr>
      <w:r w:rsidRPr="004314BC">
        <w:rPr>
          <w:rFonts w:ascii="Arial Narrow" w:eastAsia="SimSun" w:hAnsi="Arial Narrow" w:cs="Arial"/>
          <w:bCs/>
          <w:lang w:val="bg-BG" w:eastAsia="zh-CN"/>
        </w:rPr>
        <w:t>Директни продажби на търговци на дребно - 470 тона - 7,78 лева/кг;</w:t>
      </w:r>
    </w:p>
    <w:p w14:paraId="394B77FA" w14:textId="77777777" w:rsidR="004314BC" w:rsidRPr="004314BC" w:rsidRDefault="004314BC" w:rsidP="004314BC">
      <w:pPr>
        <w:widowControl w:val="0"/>
        <w:numPr>
          <w:ilvl w:val="0"/>
          <w:numId w:val="5"/>
        </w:numPr>
        <w:autoSpaceDE w:val="0"/>
        <w:autoSpaceDN w:val="0"/>
        <w:adjustRightInd w:val="0"/>
        <w:spacing w:after="120" w:line="259" w:lineRule="auto"/>
        <w:ind w:left="714" w:hanging="357"/>
        <w:jc w:val="both"/>
        <w:rPr>
          <w:rFonts w:ascii="Arial Narrow" w:eastAsia="SimSun" w:hAnsi="Arial Narrow" w:cs="Arial"/>
          <w:bCs/>
          <w:lang w:val="bg-BG" w:eastAsia="zh-CN"/>
        </w:rPr>
      </w:pPr>
      <w:r w:rsidRPr="004314BC">
        <w:rPr>
          <w:rFonts w:ascii="Arial Narrow" w:eastAsia="SimSun" w:hAnsi="Arial Narrow" w:cs="Arial"/>
          <w:bCs/>
          <w:lang w:val="bg-BG" w:eastAsia="zh-CN"/>
        </w:rPr>
        <w:t>Продажби на преработвателни предприятия - 6 992 тона - 4,40 лева/кг;</w:t>
      </w:r>
    </w:p>
    <w:p w14:paraId="1F467E53" w14:textId="77777777" w:rsidR="004314BC" w:rsidRPr="004314BC" w:rsidRDefault="004314BC" w:rsidP="004314BC">
      <w:pPr>
        <w:widowControl w:val="0"/>
        <w:numPr>
          <w:ilvl w:val="0"/>
          <w:numId w:val="5"/>
        </w:numPr>
        <w:autoSpaceDE w:val="0"/>
        <w:autoSpaceDN w:val="0"/>
        <w:adjustRightInd w:val="0"/>
        <w:spacing w:after="120" w:line="259" w:lineRule="auto"/>
        <w:ind w:left="714" w:hanging="357"/>
        <w:jc w:val="both"/>
        <w:rPr>
          <w:rFonts w:ascii="Arial Narrow" w:eastAsia="SimSun" w:hAnsi="Arial Narrow" w:cs="Arial"/>
          <w:bCs/>
          <w:lang w:val="bg-BG" w:eastAsia="zh-CN"/>
        </w:rPr>
      </w:pPr>
      <w:r w:rsidRPr="004314BC">
        <w:rPr>
          <w:rFonts w:ascii="Arial Narrow" w:eastAsia="SimSun" w:hAnsi="Arial Narrow" w:cs="Arial"/>
          <w:bCs/>
          <w:lang w:val="bg-BG" w:eastAsia="zh-CN"/>
        </w:rPr>
        <w:t>Продажби за промишлеността - 744 тона - 4,23 лева/кг;</w:t>
      </w:r>
    </w:p>
    <w:p w14:paraId="6E68FB15" w14:textId="77777777" w:rsidR="004314BC" w:rsidRPr="004314BC" w:rsidRDefault="004314BC" w:rsidP="004314BC">
      <w:pPr>
        <w:widowControl w:val="0"/>
        <w:numPr>
          <w:ilvl w:val="0"/>
          <w:numId w:val="5"/>
        </w:numPr>
        <w:autoSpaceDE w:val="0"/>
        <w:autoSpaceDN w:val="0"/>
        <w:adjustRightInd w:val="0"/>
        <w:spacing w:after="120" w:line="259" w:lineRule="auto"/>
        <w:ind w:left="714" w:hanging="357"/>
        <w:jc w:val="both"/>
        <w:rPr>
          <w:rFonts w:ascii="Arial Narrow" w:eastAsia="SimSun" w:hAnsi="Arial Narrow" w:cs="Arial"/>
          <w:bCs/>
          <w:lang w:val="bg-BG" w:eastAsia="zh-CN"/>
        </w:rPr>
      </w:pPr>
      <w:r w:rsidRPr="004314BC">
        <w:rPr>
          <w:rFonts w:ascii="Arial Narrow" w:eastAsia="SimSun" w:hAnsi="Arial Narrow" w:cs="Arial"/>
          <w:bCs/>
          <w:lang w:val="bg-BG" w:eastAsia="zh-CN"/>
        </w:rPr>
        <w:t>За собствена консумация и подхранване на пчелите – 1 410 тона.</w:t>
      </w:r>
    </w:p>
    <w:p w14:paraId="4C755907" w14:textId="77777777" w:rsidR="004314BC" w:rsidRPr="004314BC" w:rsidRDefault="004314BC" w:rsidP="004314BC">
      <w:pPr>
        <w:widowControl w:val="0"/>
        <w:autoSpaceDE w:val="0"/>
        <w:autoSpaceDN w:val="0"/>
        <w:adjustRightInd w:val="0"/>
        <w:spacing w:after="120"/>
        <w:ind w:right="142" w:firstLine="720"/>
        <w:jc w:val="both"/>
        <w:rPr>
          <w:rFonts w:ascii="Arial Narrow" w:eastAsia="Calibri" w:hAnsi="Arial Narrow" w:cs="Arial"/>
          <w:lang w:val="bg-BG" w:eastAsia="bg-BG"/>
        </w:rPr>
      </w:pPr>
      <w:r w:rsidRPr="004314BC">
        <w:rPr>
          <w:rFonts w:ascii="Arial Narrow" w:eastAsia="Calibri" w:hAnsi="Arial Narrow" w:cs="Arial"/>
          <w:lang w:val="bg-BG" w:eastAsia="bg-BG"/>
        </w:rPr>
        <w:t>Общо реализираното количество пчелен мед през 2024 г. нараства с 21,3% на годишна база (до 10 454 тона), главно поради регистрирания ръст на продажбите на преработвателните предприятия с 43,6%. С между 2,7% и 14,4% намаляват директните продажби на краен потребител, продажбите на промишлеността и директните продажби на търговци на дребно. Отразявайки по-слабия добив през годината, количеството пчелен мед, предназначено за собствена консумация и подхранване на пчелите е с 1,5% под отчетеното за 2023 г.</w:t>
      </w:r>
    </w:p>
    <w:p w14:paraId="4CE539E2" w14:textId="77777777" w:rsidR="004314BC" w:rsidRPr="004314BC" w:rsidRDefault="004314BC" w:rsidP="004314BC">
      <w:pPr>
        <w:widowControl w:val="0"/>
        <w:autoSpaceDE w:val="0"/>
        <w:autoSpaceDN w:val="0"/>
        <w:adjustRightInd w:val="0"/>
        <w:spacing w:after="120"/>
        <w:ind w:right="142" w:firstLine="720"/>
        <w:jc w:val="both"/>
        <w:rPr>
          <w:rFonts w:ascii="Arial Narrow" w:eastAsia="Calibri" w:hAnsi="Arial Narrow" w:cs="Arial"/>
          <w:lang w:val="bg-BG" w:eastAsia="bg-BG"/>
        </w:rPr>
      </w:pPr>
      <w:r w:rsidRPr="004314BC">
        <w:rPr>
          <w:rFonts w:ascii="Arial Narrow" w:eastAsia="Calibri" w:hAnsi="Arial Narrow" w:cs="Arial"/>
          <w:lang w:val="bg-BG" w:eastAsia="bg-BG"/>
        </w:rPr>
        <w:t>В резултат от отравяне, болести, глад и други причини, през 2024 г. са унищожени общ</w:t>
      </w:r>
      <w:r>
        <w:rPr>
          <w:rFonts w:ascii="Arial Narrow" w:eastAsia="Calibri" w:hAnsi="Arial Narrow" w:cs="Arial"/>
          <w:lang w:val="bg-BG" w:eastAsia="bg-BG"/>
        </w:rPr>
        <w:t>о 34 603 броя пчелни семейства -</w:t>
      </w:r>
      <w:r w:rsidRPr="004314BC">
        <w:rPr>
          <w:rFonts w:ascii="Arial Narrow" w:eastAsia="Calibri" w:hAnsi="Arial Narrow" w:cs="Arial"/>
          <w:lang w:val="bg-BG" w:eastAsia="bg-BG"/>
        </w:rPr>
        <w:t xml:space="preserve"> с 15% по-малко спрямо предходната година, в т.ч.: 6 930 броя - от отравяне, 5 906 броя - от болести, 5 431 броя - от глад и 16 336 броя – по други причини.</w:t>
      </w:r>
    </w:p>
    <w:p w14:paraId="10EA72DD" w14:textId="77777777" w:rsidR="004314BC" w:rsidRPr="004314BC" w:rsidRDefault="004314BC" w:rsidP="004314BC">
      <w:pPr>
        <w:widowControl w:val="0"/>
        <w:autoSpaceDE w:val="0"/>
        <w:autoSpaceDN w:val="0"/>
        <w:adjustRightInd w:val="0"/>
        <w:spacing w:after="120"/>
        <w:ind w:right="142" w:firstLine="720"/>
        <w:jc w:val="both"/>
        <w:rPr>
          <w:rFonts w:ascii="Arial Narrow" w:eastAsia="Calibri" w:hAnsi="Arial Narrow" w:cs="Arial"/>
          <w:lang w:val="bg-BG" w:eastAsia="bg-BG"/>
        </w:rPr>
      </w:pPr>
      <w:r w:rsidRPr="004314BC">
        <w:rPr>
          <w:rFonts w:ascii="Arial Narrow" w:eastAsia="Calibri" w:hAnsi="Arial Narrow" w:cs="Arial"/>
          <w:lang w:val="bg-BG" w:eastAsia="bg-BG"/>
        </w:rPr>
        <w:t>Вароатозата е разпространено заболяване в Европа, включително и в България. Нейното нашествие влияе съществено върху добивите, а свързаните с това мерки за третиране - върху качеството на пчелния мед. През 2024 г. са третирани 820 793 броя пчелни семейства (97,9% от общия им брой), при среден разход за третиране 6,26 лева.</w:t>
      </w:r>
    </w:p>
    <w:p w14:paraId="0D454102" w14:textId="77777777" w:rsidR="004314BC" w:rsidRPr="004314BC" w:rsidRDefault="004314BC" w:rsidP="004314BC">
      <w:pPr>
        <w:widowControl w:val="0"/>
        <w:autoSpaceDE w:val="0"/>
        <w:autoSpaceDN w:val="0"/>
        <w:adjustRightInd w:val="0"/>
        <w:spacing w:after="120"/>
        <w:ind w:right="142" w:firstLine="720"/>
        <w:jc w:val="both"/>
        <w:rPr>
          <w:rFonts w:ascii="Arial Narrow" w:eastAsia="Calibri" w:hAnsi="Arial Narrow" w:cs="Arial"/>
          <w:lang w:val="bg-BG" w:eastAsia="bg-BG"/>
        </w:rPr>
      </w:pPr>
      <w:r w:rsidRPr="004314BC">
        <w:rPr>
          <w:rFonts w:ascii="Arial Narrow" w:eastAsia="Calibri" w:hAnsi="Arial Narrow" w:cs="Arial"/>
          <w:lang w:val="bg-BG" w:eastAsia="bg-BG"/>
        </w:rPr>
        <w:t>В подхранване на пчелните семейства пре</w:t>
      </w:r>
      <w:r>
        <w:rPr>
          <w:rFonts w:ascii="Arial Narrow" w:eastAsia="Calibri" w:hAnsi="Arial Narrow" w:cs="Arial"/>
          <w:lang w:val="bg-BG" w:eastAsia="bg-BG"/>
        </w:rPr>
        <w:t>з годината се включват: есенно -</w:t>
      </w:r>
      <w:r w:rsidRPr="004314BC">
        <w:rPr>
          <w:rFonts w:ascii="Arial Narrow" w:eastAsia="Calibri" w:hAnsi="Arial Narrow" w:cs="Arial"/>
          <w:lang w:val="bg-BG" w:eastAsia="bg-BG"/>
        </w:rPr>
        <w:t xml:space="preserve"> 545 594 </w:t>
      </w:r>
      <w:r>
        <w:rPr>
          <w:rFonts w:ascii="Arial Narrow" w:eastAsia="Calibri" w:hAnsi="Arial Narrow" w:cs="Arial"/>
          <w:lang w:val="bg-BG" w:eastAsia="bg-BG"/>
        </w:rPr>
        <w:t>броя, зимно -</w:t>
      </w:r>
      <w:r w:rsidRPr="004314BC">
        <w:rPr>
          <w:rFonts w:ascii="Arial Narrow" w:eastAsia="Calibri" w:hAnsi="Arial Narrow" w:cs="Arial"/>
          <w:lang w:val="bg-BG" w:eastAsia="bg-BG"/>
        </w:rPr>
        <w:t xml:space="preserve"> 499 191 </w:t>
      </w:r>
      <w:r>
        <w:rPr>
          <w:rFonts w:ascii="Arial Narrow" w:eastAsia="Calibri" w:hAnsi="Arial Narrow" w:cs="Arial"/>
          <w:lang w:val="bg-BG" w:eastAsia="bg-BG"/>
        </w:rPr>
        <w:t>броя и пролетно подхранване -</w:t>
      </w:r>
      <w:r w:rsidRPr="004314BC">
        <w:rPr>
          <w:rFonts w:ascii="Arial Narrow" w:eastAsia="Calibri" w:hAnsi="Arial Narrow" w:cs="Arial"/>
          <w:lang w:val="bg-BG" w:eastAsia="bg-BG"/>
        </w:rPr>
        <w:t xml:space="preserve"> 555 350 броя пчелни семейства.</w:t>
      </w:r>
    </w:p>
    <w:p w14:paraId="34DBB076" w14:textId="77777777" w:rsidR="004314BC" w:rsidRPr="004314BC" w:rsidRDefault="004314BC" w:rsidP="004314BC">
      <w:pPr>
        <w:widowControl w:val="0"/>
        <w:autoSpaceDE w:val="0"/>
        <w:autoSpaceDN w:val="0"/>
        <w:adjustRightInd w:val="0"/>
        <w:spacing w:after="120"/>
        <w:ind w:right="142" w:firstLine="720"/>
        <w:jc w:val="both"/>
        <w:rPr>
          <w:rFonts w:ascii="Arial Narrow" w:eastAsia="Calibri" w:hAnsi="Arial Narrow" w:cs="Arial"/>
          <w:lang w:val="bg-BG" w:eastAsia="bg-BG"/>
        </w:rPr>
      </w:pPr>
      <w:r w:rsidRPr="004314BC">
        <w:rPr>
          <w:rFonts w:ascii="Arial Narrow" w:eastAsia="Calibri" w:hAnsi="Arial Narrow" w:cs="Arial"/>
          <w:lang w:val="bg-BG" w:eastAsia="bg-BG"/>
        </w:rPr>
        <w:t>През 2024 г. стопанствата, практикували подвижно пчеларство, намаляват с 27,2% спрямо предходната година, до 193 броя, а броят на пчелните семейства в тях - с 9,7%, до 19 323. Стойността на транспортните разходи и ветеринарните свидетелства през годината е 14,00 лева/пчелно семейство - с 1,3% по-ниска спрямо 2023 г.</w:t>
      </w:r>
    </w:p>
    <w:p w14:paraId="6B0D6453" w14:textId="77777777" w:rsidR="004314BC" w:rsidRDefault="004314BC" w:rsidP="004314BC">
      <w:pPr>
        <w:widowControl w:val="0"/>
        <w:autoSpaceDE w:val="0"/>
        <w:autoSpaceDN w:val="0"/>
        <w:adjustRightInd w:val="0"/>
        <w:spacing w:after="120"/>
        <w:ind w:firstLine="709"/>
        <w:jc w:val="both"/>
        <w:rPr>
          <w:rFonts w:ascii="Arial Narrow" w:hAnsi="Arial Narrow"/>
          <w:color w:val="FF0000"/>
          <w:lang w:eastAsia="bg-BG"/>
        </w:rPr>
      </w:pPr>
      <w:r w:rsidRPr="004314BC">
        <w:rPr>
          <w:rFonts w:ascii="Arial Narrow" w:eastAsia="Calibri" w:hAnsi="Arial Narrow" w:cs="Arial"/>
          <w:lang w:val="bg-BG" w:eastAsia="bg-BG"/>
        </w:rPr>
        <w:t xml:space="preserve">През 2024 г., втората година от прилагане на интервенциите в сектор пчеларство, заложени в Стратегическия план за развитие на земеделието и селските райони за периода 2023-2027 г., са подадени 1 729 заявления, с около 21% повече спрямо 2023 г. След извършване на съответните административни проверки са подписани 1 583 договора с кандидатите. От общия бюджет в размер на 10 091 365 лева (40% </w:t>
      </w:r>
      <w:r w:rsidRPr="004314BC">
        <w:rPr>
          <w:rFonts w:ascii="Arial Narrow" w:eastAsia="Calibri" w:hAnsi="Arial Narrow" w:cs="Arial"/>
          <w:lang w:val="bg-BG" w:eastAsia="bg-BG"/>
        </w:rPr>
        <w:lastRenderedPageBreak/>
        <w:t>от ЕФГЗ и 60% от НБ), разполагаемият бюджет за прием 2024 г. е в размер на 6 286 800 лева, заради извършени плащания във финансовата 2024 г. по заявления за подпомагане и плащане, подадени от бенефициерите през 2023 г. (3 798 512 лева). Общият размер на изплатената помощ за финансовата 2024 г. е  9 397 733 лева по отделните интервенции.</w:t>
      </w:r>
    </w:p>
    <w:p w14:paraId="7BCEAC99" w14:textId="77777777" w:rsidR="004314BC" w:rsidRPr="004314BC" w:rsidRDefault="008D3B3A" w:rsidP="004314BC">
      <w:pPr>
        <w:numPr>
          <w:ilvl w:val="2"/>
          <w:numId w:val="8"/>
        </w:numPr>
        <w:tabs>
          <w:tab w:val="left" w:pos="990"/>
        </w:tabs>
        <w:spacing w:after="120"/>
        <w:ind w:left="792" w:hanging="432"/>
        <w:outlineLvl w:val="0"/>
        <w:rPr>
          <w:rFonts w:ascii="Arial Narrow" w:hAnsi="Arial Narrow"/>
          <w:b/>
          <w:lang w:val="bg-BG"/>
        </w:rPr>
      </w:pPr>
      <w:bookmarkStart w:id="57" w:name="_Toc210747556"/>
      <w:r w:rsidRPr="004314BC">
        <w:rPr>
          <w:rFonts w:ascii="Arial Narrow" w:hAnsi="Arial Narrow"/>
          <w:b/>
          <w:lang w:val="bg-BG"/>
        </w:rPr>
        <w:t>Зайцевъдство</w:t>
      </w:r>
      <w:bookmarkEnd w:id="57"/>
    </w:p>
    <w:p w14:paraId="42C071E0" w14:textId="77777777" w:rsidR="004314BC" w:rsidRPr="004314BC" w:rsidRDefault="004314BC" w:rsidP="004314BC">
      <w:pPr>
        <w:widowControl w:val="0"/>
        <w:autoSpaceDE w:val="0"/>
        <w:autoSpaceDN w:val="0"/>
        <w:adjustRightInd w:val="0"/>
        <w:spacing w:after="120"/>
        <w:ind w:right="142" w:firstLine="720"/>
        <w:jc w:val="both"/>
        <w:rPr>
          <w:rFonts w:ascii="Arial Narrow" w:eastAsia="Calibri" w:hAnsi="Arial Narrow" w:cs="Arial"/>
          <w:lang w:val="bg-BG" w:eastAsia="bg-BG"/>
        </w:rPr>
      </w:pPr>
      <w:r w:rsidRPr="004314BC">
        <w:rPr>
          <w:rFonts w:ascii="Arial Narrow" w:eastAsia="Calibri" w:hAnsi="Arial Narrow" w:cs="Arial"/>
          <w:lang w:val="bg-BG" w:eastAsia="bg-BG"/>
        </w:rPr>
        <w:t xml:space="preserve">Въпреки добрите природно-климатични условия и наличието на традиции в отглеждането, през последните години зайцевъдството е слабо застъпено в страната, като има по-скоро любителски характер. По експертна оценка, общият брой на зайците през 2024 г. е около 115 хиляди. </w:t>
      </w:r>
    </w:p>
    <w:p w14:paraId="6BDD87CC" w14:textId="77777777" w:rsidR="004314BC" w:rsidRPr="004314BC" w:rsidRDefault="004314BC" w:rsidP="004314BC">
      <w:pPr>
        <w:widowControl w:val="0"/>
        <w:autoSpaceDE w:val="0"/>
        <w:autoSpaceDN w:val="0"/>
        <w:adjustRightInd w:val="0"/>
        <w:spacing w:after="120"/>
        <w:ind w:right="142" w:firstLine="720"/>
        <w:jc w:val="both"/>
        <w:rPr>
          <w:rFonts w:ascii="Arial Narrow" w:eastAsia="SimSun" w:hAnsi="Arial Narrow" w:cs="Arial"/>
          <w:bCs/>
          <w:lang w:val="bg-BG" w:eastAsia="zh-CN"/>
        </w:rPr>
      </w:pPr>
      <w:r w:rsidRPr="004314BC">
        <w:rPr>
          <w:rFonts w:ascii="Arial Narrow" w:eastAsia="Calibri" w:hAnsi="Arial Narrow" w:cs="Arial"/>
          <w:lang w:val="bg-BG" w:eastAsia="bg-BG"/>
        </w:rPr>
        <w:t xml:space="preserve">Основните трудности за развитие на сектора са: </w:t>
      </w:r>
      <w:r w:rsidRPr="004314BC">
        <w:rPr>
          <w:rFonts w:ascii="Arial Narrow" w:eastAsia="SimSun" w:hAnsi="Arial Narrow" w:cs="Arial"/>
          <w:bCs/>
          <w:lang w:val="bg-BG" w:eastAsia="zh-CN"/>
        </w:rPr>
        <w:t>остаряло оборудване; високи производствени разходи; липса на стабилни експортни пазари и партньори; силна зависимост на износа на заешко месо от конюнктурата на външните пазари; липса на директни субсидии за фермерите-зайцевъди; недостатъчно развит научен потенциал за осигуряване на сектора; недостатъчен маркетинг и мениджмънт на българския пазар.</w:t>
      </w:r>
    </w:p>
    <w:p w14:paraId="2CAF8CC1" w14:textId="77777777" w:rsidR="00EA02F6" w:rsidRPr="00EA02F6" w:rsidRDefault="00FA119D" w:rsidP="00EA02F6">
      <w:pPr>
        <w:pStyle w:val="ListParagraph"/>
        <w:numPr>
          <w:ilvl w:val="1"/>
          <w:numId w:val="8"/>
        </w:numPr>
        <w:spacing w:after="120"/>
        <w:contextualSpacing w:val="0"/>
        <w:jc w:val="both"/>
        <w:outlineLvl w:val="0"/>
        <w:rPr>
          <w:rFonts w:ascii="Arial Narrow" w:hAnsi="Arial Narrow"/>
          <w:b/>
          <w:lang w:val="bg-BG" w:eastAsia="bg-BG"/>
        </w:rPr>
      </w:pPr>
      <w:bookmarkStart w:id="58" w:name="_Toc210747557"/>
      <w:r w:rsidRPr="00EA02F6">
        <w:rPr>
          <w:rFonts w:ascii="Arial Narrow" w:hAnsi="Arial Narrow"/>
          <w:b/>
          <w:lang w:val="bg-BG"/>
        </w:rPr>
        <w:t xml:space="preserve">Състояние на биологичното производство в България през </w:t>
      </w:r>
      <w:r w:rsidR="002B430E" w:rsidRPr="00EA02F6">
        <w:rPr>
          <w:rFonts w:ascii="Arial Narrow" w:hAnsi="Arial Narrow"/>
          <w:b/>
          <w:lang w:val="bg-BG"/>
        </w:rPr>
        <w:t>202</w:t>
      </w:r>
      <w:r w:rsidR="003F3468">
        <w:rPr>
          <w:rFonts w:ascii="Arial Narrow" w:hAnsi="Arial Narrow"/>
          <w:b/>
          <w:lang w:val="bg-BG"/>
        </w:rPr>
        <w:t>4</w:t>
      </w:r>
      <w:r w:rsidR="00C55F76" w:rsidRPr="00EA02F6">
        <w:rPr>
          <w:rFonts w:ascii="Arial Narrow" w:hAnsi="Arial Narrow"/>
          <w:b/>
          <w:lang w:val="bg-BG"/>
        </w:rPr>
        <w:t xml:space="preserve"> </w:t>
      </w:r>
      <w:r w:rsidRPr="00EA02F6">
        <w:rPr>
          <w:rFonts w:ascii="Arial Narrow" w:hAnsi="Arial Narrow"/>
          <w:b/>
          <w:lang w:val="bg-BG"/>
        </w:rPr>
        <w:t>г.</w:t>
      </w:r>
      <w:bookmarkEnd w:id="58"/>
    </w:p>
    <w:p w14:paraId="65B79477" w14:textId="77777777" w:rsidR="00EA02F6" w:rsidRPr="00EA02F6" w:rsidRDefault="00EA02F6" w:rsidP="00EA02F6">
      <w:pPr>
        <w:spacing w:before="120" w:after="120"/>
        <w:ind w:firstLine="708"/>
        <w:jc w:val="both"/>
        <w:rPr>
          <w:rFonts w:ascii="Arial Narrow" w:hAnsi="Arial Narrow"/>
          <w:color w:val="000000"/>
          <w:lang w:val="bg-BG" w:eastAsia="bg-BG"/>
        </w:rPr>
      </w:pPr>
      <w:r w:rsidRPr="00EA02F6">
        <w:rPr>
          <w:rFonts w:ascii="Arial Narrow" w:hAnsi="Arial Narrow"/>
          <w:color w:val="000000"/>
          <w:lang w:val="bg-BG" w:eastAsia="bg-BG"/>
        </w:rPr>
        <w:t xml:space="preserve">Благодарение на положителното си въздействие върху околната среда и климата </w:t>
      </w:r>
      <w:r w:rsidR="00F22B04">
        <w:rPr>
          <w:rFonts w:ascii="Arial Narrow" w:hAnsi="Arial Narrow"/>
          <w:color w:val="000000"/>
          <w:lang w:val="bg-BG" w:eastAsia="bg-BG"/>
        </w:rPr>
        <w:t xml:space="preserve">- </w:t>
      </w:r>
      <w:r w:rsidRPr="00EA02F6">
        <w:rPr>
          <w:rFonts w:ascii="Arial Narrow" w:hAnsi="Arial Narrow"/>
          <w:color w:val="000000"/>
          <w:lang w:val="bg-BG" w:eastAsia="bg-BG"/>
        </w:rPr>
        <w:t>посредством подобряване на секвестирането на въглерод</w:t>
      </w:r>
      <w:r w:rsidR="00F22B04">
        <w:rPr>
          <w:rFonts w:ascii="Arial Narrow" w:hAnsi="Arial Narrow"/>
          <w:color w:val="000000"/>
          <w:lang w:val="bg-BG" w:eastAsia="bg-BG"/>
        </w:rPr>
        <w:t>,</w:t>
      </w:r>
      <w:r w:rsidRPr="00EA02F6">
        <w:rPr>
          <w:rFonts w:ascii="Arial Narrow" w:hAnsi="Arial Narrow"/>
          <w:color w:val="000000"/>
          <w:lang w:val="bg-BG" w:eastAsia="bg-BG"/>
        </w:rPr>
        <w:t xml:space="preserve"> състоянието на почвите, опазването на биологичното разнообразие</w:t>
      </w:r>
      <w:r w:rsidR="00F22B04">
        <w:rPr>
          <w:rFonts w:ascii="Arial Narrow" w:hAnsi="Arial Narrow"/>
          <w:color w:val="000000"/>
          <w:lang w:val="bg-BG" w:eastAsia="bg-BG"/>
        </w:rPr>
        <w:t>,</w:t>
      </w:r>
      <w:r w:rsidRPr="00EA02F6">
        <w:rPr>
          <w:rFonts w:ascii="Arial Narrow" w:hAnsi="Arial Narrow"/>
          <w:color w:val="000000"/>
          <w:lang w:val="bg-BG" w:eastAsia="bg-BG"/>
        </w:rPr>
        <w:t xml:space="preserve"> хуманното отношение към животните, както и </w:t>
      </w:r>
      <w:r w:rsidR="00F22B04">
        <w:rPr>
          <w:rFonts w:ascii="Arial Narrow" w:hAnsi="Arial Narrow"/>
          <w:color w:val="000000"/>
          <w:lang w:val="bg-BG" w:eastAsia="bg-BG"/>
        </w:rPr>
        <w:t xml:space="preserve">чрез осигуряването на </w:t>
      </w:r>
      <w:r w:rsidRPr="00EA02F6">
        <w:rPr>
          <w:rFonts w:ascii="Arial Narrow" w:hAnsi="Arial Narrow"/>
          <w:color w:val="000000"/>
          <w:lang w:val="bg-BG" w:eastAsia="bg-BG"/>
        </w:rPr>
        <w:t>допълнителни екосистемни услуги</w:t>
      </w:r>
      <w:r w:rsidR="00F22B04">
        <w:rPr>
          <w:rFonts w:ascii="Arial Narrow" w:hAnsi="Arial Narrow"/>
          <w:color w:val="000000"/>
          <w:lang w:val="bg-BG" w:eastAsia="bg-BG"/>
        </w:rPr>
        <w:t xml:space="preserve"> -</w:t>
      </w:r>
      <w:r w:rsidRPr="00EA02F6">
        <w:rPr>
          <w:rFonts w:ascii="Arial Narrow" w:hAnsi="Arial Narrow"/>
          <w:color w:val="000000"/>
          <w:lang w:val="bg-BG" w:eastAsia="bg-BG"/>
        </w:rPr>
        <w:t xml:space="preserve"> биологичното земеделие допринася за постигане</w:t>
      </w:r>
      <w:r w:rsidR="00F22B04">
        <w:rPr>
          <w:rFonts w:ascii="Arial Narrow" w:hAnsi="Arial Narrow"/>
          <w:color w:val="000000"/>
          <w:lang w:val="bg-BG" w:eastAsia="bg-BG"/>
        </w:rPr>
        <w:t>то</w:t>
      </w:r>
      <w:r w:rsidRPr="00EA02F6">
        <w:rPr>
          <w:rFonts w:ascii="Arial Narrow" w:hAnsi="Arial Narrow"/>
          <w:color w:val="000000"/>
          <w:lang w:val="bg-BG" w:eastAsia="bg-BG"/>
        </w:rPr>
        <w:t xml:space="preserve"> на целите на Европейския зелен пакт, на стратегията на ЕС „От фермата до трапезата“ и на Стратегията на ЕС за биологичното разнообразие за 2030 г.</w:t>
      </w:r>
    </w:p>
    <w:p w14:paraId="4EC77697" w14:textId="77777777" w:rsidR="00EA02F6" w:rsidRPr="00EA02F6" w:rsidRDefault="00EA02F6" w:rsidP="00EA02F6">
      <w:pPr>
        <w:spacing w:before="120" w:after="120"/>
        <w:ind w:firstLine="708"/>
        <w:jc w:val="both"/>
        <w:rPr>
          <w:rFonts w:ascii="Arial Narrow" w:hAnsi="Arial Narrow"/>
          <w:color w:val="000000"/>
          <w:lang w:val="bg-BG" w:eastAsia="bg-BG"/>
        </w:rPr>
      </w:pPr>
      <w:r w:rsidRPr="00EA02F6">
        <w:rPr>
          <w:rFonts w:ascii="Arial Narrow" w:hAnsi="Arial Narrow"/>
          <w:color w:val="000000"/>
          <w:lang w:val="bg-BG" w:eastAsia="bg-BG"/>
        </w:rPr>
        <w:t xml:space="preserve">Биологичното производство </w:t>
      </w:r>
      <w:r w:rsidR="00F22B04">
        <w:rPr>
          <w:rFonts w:ascii="Arial Narrow" w:hAnsi="Arial Narrow"/>
          <w:color w:val="000000"/>
          <w:lang w:val="bg-BG" w:eastAsia="bg-BG"/>
        </w:rPr>
        <w:t>представлява</w:t>
      </w:r>
      <w:r w:rsidR="00F22B04" w:rsidRPr="00EA02F6">
        <w:rPr>
          <w:rFonts w:ascii="Arial Narrow" w:hAnsi="Arial Narrow"/>
          <w:color w:val="000000"/>
          <w:lang w:val="bg-BG" w:eastAsia="bg-BG"/>
        </w:rPr>
        <w:t xml:space="preserve"> </w:t>
      </w:r>
      <w:r w:rsidRPr="00EA02F6">
        <w:rPr>
          <w:rFonts w:ascii="Arial Narrow" w:hAnsi="Arial Narrow"/>
          <w:color w:val="000000"/>
          <w:lang w:val="bg-BG" w:eastAsia="bg-BG"/>
        </w:rPr>
        <w:t>устойчива система за управление, която запазва елементите на природния ландшафт и използва по отговорен начин енергията и природните ресурси.</w:t>
      </w:r>
    </w:p>
    <w:p w14:paraId="551D6522" w14:textId="77777777" w:rsidR="00EA02F6" w:rsidRPr="00EA02F6" w:rsidRDefault="00EA02F6" w:rsidP="00EA02F6">
      <w:pPr>
        <w:spacing w:before="120" w:after="120"/>
        <w:ind w:firstLine="708"/>
        <w:jc w:val="both"/>
        <w:rPr>
          <w:rFonts w:ascii="Arial Narrow" w:hAnsi="Arial Narrow"/>
          <w:color w:val="000000"/>
          <w:lang w:val="bg-BG" w:eastAsia="bg-BG"/>
        </w:rPr>
      </w:pPr>
      <w:r w:rsidRPr="00EA02F6">
        <w:rPr>
          <w:rFonts w:ascii="Arial Narrow" w:hAnsi="Arial Narrow"/>
          <w:color w:val="000000"/>
          <w:lang w:val="bg-BG" w:eastAsia="bg-BG"/>
        </w:rPr>
        <w:t>Заложеният темп на нарастване на площите в биологичното земеделие, в съчетание с агроекологичните мерки</w:t>
      </w:r>
      <w:r w:rsidR="00F22B04">
        <w:rPr>
          <w:rFonts w:ascii="Arial Narrow" w:hAnsi="Arial Narrow"/>
          <w:color w:val="000000"/>
          <w:lang w:val="bg-BG" w:eastAsia="bg-BG"/>
        </w:rPr>
        <w:t>,</w:t>
      </w:r>
      <w:r w:rsidRPr="00EA02F6">
        <w:rPr>
          <w:rFonts w:ascii="Arial Narrow" w:hAnsi="Arial Narrow"/>
          <w:color w:val="000000"/>
          <w:lang w:val="bg-BG" w:eastAsia="bg-BG"/>
        </w:rPr>
        <w:t xml:space="preserve"> води до високи и мултиаспектни ползи, както за постигане на целите </w:t>
      </w:r>
      <w:r w:rsidR="00F22B04">
        <w:rPr>
          <w:rFonts w:ascii="Arial Narrow" w:hAnsi="Arial Narrow"/>
          <w:color w:val="000000"/>
          <w:lang w:val="bg-BG" w:eastAsia="bg-BG"/>
        </w:rPr>
        <w:t>по</w:t>
      </w:r>
      <w:r w:rsidR="00F22B04" w:rsidRPr="00EA02F6">
        <w:rPr>
          <w:rFonts w:ascii="Arial Narrow" w:hAnsi="Arial Narrow"/>
          <w:color w:val="000000"/>
          <w:lang w:val="bg-BG" w:eastAsia="bg-BG"/>
        </w:rPr>
        <w:t xml:space="preserve"> </w:t>
      </w:r>
      <w:r w:rsidRPr="00EA02F6">
        <w:rPr>
          <w:rFonts w:ascii="Arial Narrow" w:hAnsi="Arial Narrow"/>
          <w:color w:val="000000"/>
          <w:lang w:val="bg-BG" w:eastAsia="bg-BG"/>
        </w:rPr>
        <w:t>опазване на биоразнообразието, така и за смекчаване на въздействието на климатичните промени и за подобр</w:t>
      </w:r>
      <w:r w:rsidR="00F22B04">
        <w:rPr>
          <w:rFonts w:ascii="Arial Narrow" w:hAnsi="Arial Narrow"/>
          <w:color w:val="000000"/>
          <w:lang w:val="bg-BG" w:eastAsia="bg-BG"/>
        </w:rPr>
        <w:t>яване на</w:t>
      </w:r>
      <w:r w:rsidRPr="00EA02F6">
        <w:rPr>
          <w:rFonts w:ascii="Arial Narrow" w:hAnsi="Arial Narrow"/>
          <w:color w:val="000000"/>
          <w:lang w:val="bg-BG" w:eastAsia="bg-BG"/>
        </w:rPr>
        <w:t xml:space="preserve"> качество</w:t>
      </w:r>
      <w:r w:rsidR="00F22B04">
        <w:rPr>
          <w:rFonts w:ascii="Arial Narrow" w:hAnsi="Arial Narrow"/>
          <w:color w:val="000000"/>
          <w:lang w:val="bg-BG" w:eastAsia="bg-BG"/>
        </w:rPr>
        <w:t>то</w:t>
      </w:r>
      <w:r w:rsidRPr="00EA02F6">
        <w:rPr>
          <w:rFonts w:ascii="Arial Narrow" w:hAnsi="Arial Narrow"/>
          <w:color w:val="000000"/>
          <w:lang w:val="bg-BG" w:eastAsia="bg-BG"/>
        </w:rPr>
        <w:t xml:space="preserve"> на води</w:t>
      </w:r>
      <w:r w:rsidR="00F22B04">
        <w:rPr>
          <w:rFonts w:ascii="Arial Narrow" w:hAnsi="Arial Narrow"/>
          <w:color w:val="000000"/>
          <w:lang w:val="bg-BG" w:eastAsia="bg-BG"/>
        </w:rPr>
        <w:t>те,</w:t>
      </w:r>
      <w:r w:rsidRPr="00EA02F6">
        <w:rPr>
          <w:rFonts w:ascii="Arial Narrow" w:hAnsi="Arial Narrow"/>
          <w:color w:val="000000"/>
          <w:lang w:val="bg-BG" w:eastAsia="bg-BG"/>
        </w:rPr>
        <w:t xml:space="preserve"> почви</w:t>
      </w:r>
      <w:r w:rsidR="00F22B04">
        <w:rPr>
          <w:rFonts w:ascii="Arial Narrow" w:hAnsi="Arial Narrow"/>
          <w:color w:val="000000"/>
          <w:lang w:val="bg-BG" w:eastAsia="bg-BG"/>
        </w:rPr>
        <w:t>те</w:t>
      </w:r>
      <w:r w:rsidRPr="00EA02F6">
        <w:rPr>
          <w:rFonts w:ascii="Arial Narrow" w:hAnsi="Arial Narrow"/>
          <w:color w:val="000000"/>
          <w:lang w:val="bg-BG" w:eastAsia="bg-BG"/>
        </w:rPr>
        <w:t xml:space="preserve"> и почвеното биоразнообразие, поради неупотребата на минерални торове и химични пестициди. Прилагането на практиките на биологичното производството </w:t>
      </w:r>
      <w:r w:rsidR="00F22B04">
        <w:rPr>
          <w:rFonts w:ascii="Arial Narrow" w:hAnsi="Arial Narrow"/>
          <w:color w:val="000000"/>
          <w:lang w:val="bg-BG" w:eastAsia="bg-BG"/>
        </w:rPr>
        <w:t>оказва</w:t>
      </w:r>
      <w:r w:rsidR="00F22B04" w:rsidRPr="00EA02F6">
        <w:rPr>
          <w:rFonts w:ascii="Arial Narrow" w:hAnsi="Arial Narrow"/>
          <w:color w:val="000000"/>
          <w:lang w:val="bg-BG" w:eastAsia="bg-BG"/>
        </w:rPr>
        <w:t xml:space="preserve"> </w:t>
      </w:r>
      <w:r w:rsidRPr="00EA02F6">
        <w:rPr>
          <w:rFonts w:ascii="Arial Narrow" w:hAnsi="Arial Narrow"/>
          <w:color w:val="000000"/>
          <w:lang w:val="bg-BG" w:eastAsia="bg-BG"/>
        </w:rPr>
        <w:t xml:space="preserve">индиректно </w:t>
      </w:r>
      <w:r w:rsidR="00F22B04">
        <w:rPr>
          <w:rFonts w:ascii="Arial Narrow" w:hAnsi="Arial Narrow"/>
          <w:color w:val="000000"/>
          <w:lang w:val="bg-BG" w:eastAsia="bg-BG"/>
        </w:rPr>
        <w:t>положително въздействие върху</w:t>
      </w:r>
      <w:r w:rsidRPr="00EA02F6">
        <w:rPr>
          <w:rFonts w:ascii="Arial Narrow" w:hAnsi="Arial Narrow"/>
          <w:color w:val="000000"/>
          <w:lang w:val="bg-BG" w:eastAsia="bg-BG"/>
        </w:rPr>
        <w:t xml:space="preserve"> подобряване</w:t>
      </w:r>
      <w:r w:rsidR="00F22B04">
        <w:rPr>
          <w:rFonts w:ascii="Arial Narrow" w:hAnsi="Arial Narrow"/>
          <w:color w:val="000000"/>
          <w:lang w:val="bg-BG" w:eastAsia="bg-BG"/>
        </w:rPr>
        <w:t>то</w:t>
      </w:r>
      <w:r w:rsidRPr="00EA02F6">
        <w:rPr>
          <w:rFonts w:ascii="Arial Narrow" w:hAnsi="Arial Narrow"/>
          <w:color w:val="000000"/>
          <w:lang w:val="bg-BG" w:eastAsia="bg-BG"/>
        </w:rPr>
        <w:t xml:space="preserve"> или поддържане</w:t>
      </w:r>
      <w:r w:rsidR="00F22B04">
        <w:rPr>
          <w:rFonts w:ascii="Arial Narrow" w:hAnsi="Arial Narrow"/>
          <w:color w:val="000000"/>
          <w:lang w:val="bg-BG" w:eastAsia="bg-BG"/>
        </w:rPr>
        <w:t>то</w:t>
      </w:r>
      <w:r w:rsidRPr="00EA02F6">
        <w:rPr>
          <w:rFonts w:ascii="Arial Narrow" w:hAnsi="Arial Narrow"/>
          <w:color w:val="000000"/>
          <w:lang w:val="bg-BG" w:eastAsia="bg-BG"/>
        </w:rPr>
        <w:t xml:space="preserve"> на доброто състояние на природните местообитания и видове от Натура 2000.</w:t>
      </w:r>
    </w:p>
    <w:p w14:paraId="63BDA0DE" w14:textId="77777777" w:rsidR="00EA02F6" w:rsidRPr="00EA02F6" w:rsidRDefault="00EA02F6" w:rsidP="00EA02F6">
      <w:pPr>
        <w:spacing w:before="120" w:after="120"/>
        <w:ind w:firstLine="708"/>
        <w:jc w:val="both"/>
        <w:rPr>
          <w:rFonts w:ascii="Arial Narrow" w:hAnsi="Arial Narrow"/>
          <w:color w:val="000000"/>
          <w:lang w:val="bg-BG" w:eastAsia="bg-BG"/>
        </w:rPr>
      </w:pPr>
      <w:r w:rsidRPr="00EA02F6">
        <w:rPr>
          <w:rFonts w:ascii="Arial Narrow" w:hAnsi="Arial Narrow"/>
          <w:color w:val="000000"/>
          <w:lang w:val="bg-BG" w:eastAsia="bg-BG"/>
        </w:rPr>
        <w:t xml:space="preserve">Развитието на биологичното производство в България е благоприятствано от наличието на качествен поземлен ресурс, </w:t>
      </w:r>
      <w:r w:rsidR="00F22B04">
        <w:rPr>
          <w:rFonts w:ascii="Arial Narrow" w:hAnsi="Arial Narrow"/>
          <w:color w:val="000000"/>
          <w:lang w:val="bg-BG" w:eastAsia="bg-BG"/>
        </w:rPr>
        <w:t xml:space="preserve">подходящи </w:t>
      </w:r>
      <w:r w:rsidRPr="00EA02F6">
        <w:rPr>
          <w:rFonts w:ascii="Arial Narrow" w:hAnsi="Arial Narrow"/>
          <w:color w:val="000000"/>
          <w:lang w:val="bg-BG" w:eastAsia="bg-BG"/>
        </w:rPr>
        <w:t>климатични условия</w:t>
      </w:r>
      <w:r w:rsidR="00F22B04">
        <w:rPr>
          <w:rFonts w:ascii="Arial Narrow" w:hAnsi="Arial Narrow"/>
          <w:color w:val="000000"/>
          <w:lang w:val="bg-BG" w:eastAsia="bg-BG"/>
        </w:rPr>
        <w:t xml:space="preserve"> и утвърдени</w:t>
      </w:r>
      <w:r w:rsidRPr="00EA02F6">
        <w:rPr>
          <w:rFonts w:ascii="Arial Narrow" w:hAnsi="Arial Narrow"/>
          <w:color w:val="000000"/>
          <w:lang w:val="bg-BG" w:eastAsia="bg-BG"/>
        </w:rPr>
        <w:t xml:space="preserve"> традиции в аграрния сектор. Определящ за сектора на биоземеделието е специфичният метод на производство, който поддържа екологичните баланси и произвежда продукция, </w:t>
      </w:r>
      <w:r w:rsidR="00F22B04">
        <w:rPr>
          <w:rFonts w:ascii="Arial Narrow" w:hAnsi="Arial Narrow"/>
          <w:color w:val="000000"/>
          <w:lang w:val="bg-BG" w:eastAsia="bg-BG"/>
        </w:rPr>
        <w:t>отговаряща на</w:t>
      </w:r>
      <w:r w:rsidR="00F22B04" w:rsidRPr="00EA02F6">
        <w:rPr>
          <w:rFonts w:ascii="Arial Narrow" w:hAnsi="Arial Narrow"/>
          <w:color w:val="000000"/>
          <w:lang w:val="bg-BG" w:eastAsia="bg-BG"/>
        </w:rPr>
        <w:t xml:space="preserve"> </w:t>
      </w:r>
      <w:r w:rsidRPr="00EA02F6">
        <w:rPr>
          <w:rFonts w:ascii="Arial Narrow" w:hAnsi="Arial Narrow"/>
          <w:color w:val="000000"/>
          <w:lang w:val="bg-BG" w:eastAsia="bg-BG"/>
        </w:rPr>
        <w:t>принципите на екологичните цикли за непрекъснатото движение в природата чрез превръщане на вещества като вода, минерали, азот, кислород и въглерод в различни форми между живите същества, водата, въздуха и почвата.</w:t>
      </w:r>
    </w:p>
    <w:p w14:paraId="7CD1447A" w14:textId="77777777" w:rsidR="00EA02F6" w:rsidRPr="00EA02F6" w:rsidRDefault="00EA02F6" w:rsidP="00EA02F6">
      <w:pPr>
        <w:spacing w:before="120" w:after="120"/>
        <w:ind w:firstLine="708"/>
        <w:jc w:val="both"/>
        <w:rPr>
          <w:rFonts w:ascii="Arial Narrow" w:hAnsi="Arial Narrow"/>
          <w:color w:val="000000"/>
          <w:lang w:val="bg-BG" w:eastAsia="bg-BG"/>
        </w:rPr>
      </w:pPr>
      <w:r w:rsidRPr="00EA02F6">
        <w:rPr>
          <w:rFonts w:ascii="Arial Narrow" w:hAnsi="Arial Narrow"/>
          <w:color w:val="000000"/>
          <w:lang w:val="bg-BG" w:eastAsia="bg-BG"/>
        </w:rPr>
        <w:t>Информацията за състоянието на биологичното производство в България през 2024 г. е основана на данните от годишните отчети на одобрените от министъра на земеделието и храните</w:t>
      </w:r>
      <w:r w:rsidR="00F22B04">
        <w:rPr>
          <w:rFonts w:ascii="Arial Narrow" w:hAnsi="Arial Narrow"/>
          <w:color w:val="000000"/>
          <w:lang w:val="bg-BG" w:eastAsia="bg-BG"/>
        </w:rPr>
        <w:t>,</w:t>
      </w:r>
      <w:r w:rsidRPr="00EA02F6">
        <w:rPr>
          <w:rFonts w:ascii="Arial Narrow" w:hAnsi="Arial Narrow"/>
          <w:color w:val="000000"/>
          <w:lang w:val="bg-BG" w:eastAsia="bg-BG"/>
        </w:rPr>
        <w:t xml:space="preserve"> общо 17 контролиращи лица</w:t>
      </w:r>
      <w:r w:rsidR="00F22B04">
        <w:rPr>
          <w:rFonts w:ascii="Arial Narrow" w:hAnsi="Arial Narrow"/>
          <w:color w:val="000000"/>
          <w:lang w:val="bg-BG" w:eastAsia="bg-BG"/>
        </w:rPr>
        <w:t>,</w:t>
      </w:r>
      <w:r w:rsidRPr="00EA02F6">
        <w:rPr>
          <w:rFonts w:ascii="Arial Narrow" w:hAnsi="Arial Narrow"/>
          <w:color w:val="000000"/>
          <w:lang w:val="bg-BG" w:eastAsia="bg-BG"/>
        </w:rPr>
        <w:t xml:space="preserve"> </w:t>
      </w:r>
      <w:r w:rsidR="006C2254">
        <w:rPr>
          <w:rFonts w:ascii="Arial Narrow" w:hAnsi="Arial Narrow"/>
          <w:color w:val="000000"/>
          <w:lang w:val="bg-BG" w:eastAsia="bg-BG"/>
        </w:rPr>
        <w:t xml:space="preserve">които следят за спазване на правилата </w:t>
      </w:r>
      <w:r w:rsidRPr="00EA02F6">
        <w:rPr>
          <w:rFonts w:ascii="Arial Narrow" w:hAnsi="Arial Narrow"/>
          <w:color w:val="000000"/>
          <w:lang w:val="bg-BG" w:eastAsia="bg-BG"/>
        </w:rPr>
        <w:t>на биологично производство.</w:t>
      </w:r>
    </w:p>
    <w:p w14:paraId="033D08BD" w14:textId="77777777" w:rsidR="00EA02F6" w:rsidRPr="00EA02F6" w:rsidRDefault="00FA119D" w:rsidP="00EA02F6">
      <w:pPr>
        <w:numPr>
          <w:ilvl w:val="2"/>
          <w:numId w:val="8"/>
        </w:numPr>
        <w:tabs>
          <w:tab w:val="left" w:pos="990"/>
        </w:tabs>
        <w:spacing w:after="120"/>
        <w:ind w:left="792" w:hanging="432"/>
        <w:outlineLvl w:val="0"/>
        <w:rPr>
          <w:rFonts w:ascii="Arial Narrow" w:hAnsi="Arial Narrow"/>
          <w:b/>
          <w:lang w:val="bg-BG" w:eastAsia="bg-BG"/>
        </w:rPr>
      </w:pPr>
      <w:bookmarkStart w:id="59" w:name="_Toc210747558"/>
      <w:r w:rsidRPr="00EA02F6">
        <w:rPr>
          <w:rFonts w:ascii="Arial Narrow" w:hAnsi="Arial Narrow"/>
          <w:b/>
          <w:lang w:val="bg-BG" w:eastAsia="bg-BG"/>
        </w:rPr>
        <w:t>Оператори в система на контрол</w:t>
      </w:r>
      <w:bookmarkEnd w:id="59"/>
    </w:p>
    <w:p w14:paraId="5784FD6C" w14:textId="77777777" w:rsidR="00EA02F6" w:rsidRPr="00EA02F6" w:rsidRDefault="00EA02F6" w:rsidP="00EA02F6">
      <w:pPr>
        <w:spacing w:before="120" w:after="120"/>
        <w:ind w:firstLine="708"/>
        <w:jc w:val="both"/>
        <w:rPr>
          <w:rFonts w:ascii="Arial Narrow" w:hAnsi="Arial Narrow"/>
          <w:color w:val="000000"/>
          <w:lang w:val="bg-BG" w:eastAsia="bg-BG"/>
        </w:rPr>
      </w:pPr>
      <w:r w:rsidRPr="00EA02F6">
        <w:rPr>
          <w:rFonts w:ascii="Arial Narrow" w:hAnsi="Arial Narrow"/>
          <w:color w:val="000000"/>
          <w:lang w:val="bg-BG" w:eastAsia="bg-BG"/>
        </w:rPr>
        <w:t xml:space="preserve">Събирането на информацията от системата на контрол на биологичното производство е в рамките на календарната година. </w:t>
      </w:r>
    </w:p>
    <w:p w14:paraId="23FAEC02" w14:textId="77777777" w:rsidR="00EA02F6" w:rsidRPr="00EA02F6" w:rsidRDefault="00EA02F6" w:rsidP="00EA02F6">
      <w:pPr>
        <w:spacing w:before="120" w:after="120"/>
        <w:ind w:firstLine="708"/>
        <w:jc w:val="both"/>
        <w:rPr>
          <w:rFonts w:ascii="Arial Narrow" w:hAnsi="Arial Narrow"/>
          <w:color w:val="000000"/>
          <w:lang w:val="bg-BG" w:eastAsia="bg-BG"/>
        </w:rPr>
      </w:pPr>
      <w:r w:rsidRPr="00EA02F6">
        <w:rPr>
          <w:rFonts w:ascii="Arial Narrow" w:hAnsi="Arial Narrow"/>
          <w:color w:val="000000"/>
          <w:lang w:val="bg-BG" w:eastAsia="bg-BG"/>
        </w:rPr>
        <w:t>В края на 2024 г. общо регистрираните в МЗХ биологични оператори са 5</w:t>
      </w:r>
      <w:r w:rsidRPr="00EA02F6">
        <w:rPr>
          <w:rFonts w:ascii="Arial Narrow" w:hAnsi="Arial Narrow"/>
          <w:color w:val="000000"/>
          <w:lang w:eastAsia="bg-BG"/>
        </w:rPr>
        <w:t xml:space="preserve"> </w:t>
      </w:r>
      <w:r w:rsidRPr="00EA02F6">
        <w:rPr>
          <w:rFonts w:ascii="Arial Narrow" w:hAnsi="Arial Narrow"/>
          <w:color w:val="000000"/>
          <w:lang w:val="bg-BG" w:eastAsia="bg-BG"/>
        </w:rPr>
        <w:t>646 броя – с 620 повече спрямо година по-рано, от които 4</w:t>
      </w:r>
      <w:r w:rsidRPr="00EA02F6">
        <w:rPr>
          <w:rFonts w:ascii="Arial Narrow" w:hAnsi="Arial Narrow"/>
          <w:color w:val="000000"/>
          <w:lang w:eastAsia="bg-BG"/>
        </w:rPr>
        <w:t xml:space="preserve"> </w:t>
      </w:r>
      <w:r w:rsidRPr="00EA02F6">
        <w:rPr>
          <w:rFonts w:ascii="Arial Narrow" w:hAnsi="Arial Narrow"/>
          <w:color w:val="000000"/>
          <w:lang w:val="bg-BG" w:eastAsia="bg-BG"/>
        </w:rPr>
        <w:t>9</w:t>
      </w:r>
      <w:r w:rsidR="006C2254">
        <w:rPr>
          <w:rFonts w:ascii="Arial Narrow" w:hAnsi="Arial Narrow"/>
          <w:color w:val="000000"/>
          <w:lang w:val="bg-BG" w:eastAsia="bg-BG"/>
        </w:rPr>
        <w:t>7</w:t>
      </w:r>
      <w:r w:rsidRPr="00EA02F6">
        <w:rPr>
          <w:rFonts w:ascii="Arial Narrow" w:hAnsi="Arial Narrow"/>
          <w:color w:val="000000"/>
          <w:lang w:val="bg-BG" w:eastAsia="bg-BG"/>
        </w:rPr>
        <w:t>8 броя са селскостопански производители. Операторите, сертифицирани с основна или допълнителна дейност преработка са 391 броя, с дейност търговия - 706 броя, с дейност внос - 114 броя и с дейност износ - 119 броя. През 2024 г. броят на биологичните оператори в система на контрол представлява 7,3% от общо регистрираните земеделски стопани по Наредба № 3 от 29 януари 1999 г. за създаване и поддържане на регистър на земеделските стопани. Наблюдава се увеличение с близо 1 процентен пункт в сравнение с предходната година.</w:t>
      </w:r>
    </w:p>
    <w:p w14:paraId="6C3CD60D" w14:textId="77777777" w:rsidR="006C238D" w:rsidRPr="006C238D" w:rsidRDefault="000D3989" w:rsidP="006C238D">
      <w:pPr>
        <w:numPr>
          <w:ilvl w:val="2"/>
          <w:numId w:val="8"/>
        </w:numPr>
        <w:tabs>
          <w:tab w:val="left" w:pos="990"/>
        </w:tabs>
        <w:spacing w:after="120"/>
        <w:ind w:left="792" w:hanging="432"/>
        <w:outlineLvl w:val="0"/>
        <w:rPr>
          <w:rFonts w:ascii="Arial Narrow" w:hAnsi="Arial Narrow"/>
          <w:b/>
          <w:lang w:val="bg-BG"/>
        </w:rPr>
      </w:pPr>
      <w:bookmarkStart w:id="60" w:name="_Toc210747559"/>
      <w:r w:rsidRPr="006C238D">
        <w:rPr>
          <w:rFonts w:ascii="Arial Narrow" w:hAnsi="Arial Narrow"/>
          <w:b/>
          <w:lang w:val="bg-BG"/>
        </w:rPr>
        <w:lastRenderedPageBreak/>
        <w:t>Биологично растениевъдство</w:t>
      </w:r>
      <w:bookmarkEnd w:id="60"/>
    </w:p>
    <w:p w14:paraId="74EC9BF1" w14:textId="77777777" w:rsidR="006C238D" w:rsidRPr="006C238D" w:rsidRDefault="006C238D" w:rsidP="006C238D">
      <w:pPr>
        <w:spacing w:before="120" w:after="120"/>
        <w:ind w:firstLine="708"/>
        <w:jc w:val="both"/>
        <w:rPr>
          <w:rFonts w:ascii="Arial Narrow" w:hAnsi="Arial Narrow"/>
          <w:color w:val="000000"/>
          <w:lang w:val="bg-BG" w:eastAsia="bg-BG"/>
        </w:rPr>
      </w:pPr>
      <w:r w:rsidRPr="006C238D">
        <w:rPr>
          <w:rFonts w:ascii="Arial Narrow" w:hAnsi="Arial Narrow"/>
          <w:color w:val="000000"/>
          <w:lang w:val="bg-BG" w:eastAsia="bg-BG"/>
        </w:rPr>
        <w:t>Общите площи, върху които се прилагат методите на биологично производство (площи в период на преход и биологични площи) през 2024 г. са в размер на 198 050,9 ха, с 34% над отчетените за 2023 г. и представляват 3,9</w:t>
      </w:r>
      <w:r w:rsidR="006C2254">
        <w:rPr>
          <w:rFonts w:ascii="Arial Narrow" w:hAnsi="Arial Narrow"/>
          <w:color w:val="000000"/>
          <w:lang w:val="bg-BG" w:eastAsia="bg-BG"/>
        </w:rPr>
        <w:t>5</w:t>
      </w:r>
      <w:r w:rsidRPr="006C238D">
        <w:rPr>
          <w:rFonts w:ascii="Arial Narrow" w:hAnsi="Arial Narrow"/>
          <w:color w:val="000000"/>
          <w:lang w:val="bg-BG" w:eastAsia="bg-BG"/>
        </w:rPr>
        <w:t>% от използваната земеделска площ в страната. Биологичните площи със зърнено-житни култури нарастват с 24,8% спрямо предходната година, а общите площи в система на контрол, заети с тази група култури – с близо 60%. Съществено повече са и площите в система на контрол със зърнено-бобови и протеинови култури – с 15,9% и с пресни зеленчуци, пъпеши, ягоди и култивирани гъби (оранжерийно и полско производство) - с над 39%. При техническите култури също е налице увеличение, макар и по-слабо – с 4,6%.</w:t>
      </w:r>
    </w:p>
    <w:p w14:paraId="34276A0F" w14:textId="77777777" w:rsidR="006C238D" w:rsidRPr="006C238D" w:rsidRDefault="00AB4A2A" w:rsidP="006C238D">
      <w:pPr>
        <w:spacing w:before="120" w:after="120"/>
        <w:jc w:val="both"/>
        <w:rPr>
          <w:rFonts w:ascii="Arial Narrow" w:hAnsi="Arial Narrow"/>
          <w:color w:val="000000"/>
          <w:lang w:val="bg-BG" w:eastAsia="bg-BG"/>
        </w:rPr>
      </w:pPr>
      <w:r>
        <w:rPr>
          <w:rFonts w:ascii="Arial Narrow" w:hAnsi="Arial Narrow"/>
          <w:b/>
          <w:lang w:val="bg-BG"/>
        </w:rPr>
        <w:t xml:space="preserve">Таблица </w:t>
      </w:r>
      <w:r>
        <w:rPr>
          <w:rFonts w:ascii="Arial Narrow" w:eastAsia="Calibri" w:hAnsi="Arial Narrow" w:cs="Arial"/>
          <w:b/>
          <w:iCs/>
          <w:lang w:val="bg-BG"/>
        </w:rPr>
        <w:t>ІІ.30.</w:t>
      </w:r>
      <w:r w:rsidR="006C238D" w:rsidRPr="006C238D">
        <w:rPr>
          <w:rFonts w:ascii="Arial Narrow" w:hAnsi="Arial Narrow"/>
          <w:b/>
          <w:iCs/>
          <w:lang w:val="bg-BG"/>
        </w:rPr>
        <w:t xml:space="preserve"> </w:t>
      </w:r>
      <w:r w:rsidR="006C238D" w:rsidRPr="006C238D">
        <w:rPr>
          <w:rFonts w:ascii="Arial Narrow" w:hAnsi="Arial Narrow"/>
          <w:b/>
          <w:lang w:val="bg-BG"/>
        </w:rPr>
        <w:t>Площи в система на контрол, в т. ч. „в преход“ и „биологични“ (ха)</w:t>
      </w:r>
    </w:p>
    <w:tbl>
      <w:tblPr>
        <w:tblW w:w="9851" w:type="dxa"/>
        <w:tblInd w:w="108" w:type="dxa"/>
        <w:tblLook w:val="04A0" w:firstRow="1" w:lastRow="0" w:firstColumn="1" w:lastColumn="0" w:noHBand="0" w:noVBand="1"/>
      </w:tblPr>
      <w:tblGrid>
        <w:gridCol w:w="6032"/>
        <w:gridCol w:w="1909"/>
        <w:gridCol w:w="1910"/>
      </w:tblGrid>
      <w:tr w:rsidR="006C238D" w:rsidRPr="006C238D" w14:paraId="3693C62F" w14:textId="77777777" w:rsidTr="004E30CA">
        <w:trPr>
          <w:trHeight w:val="487"/>
          <w:tblHeader/>
        </w:trPr>
        <w:tc>
          <w:tcPr>
            <w:tcW w:w="603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71C7E84" w14:textId="77777777" w:rsidR="006C238D" w:rsidRPr="006C238D" w:rsidRDefault="006C238D" w:rsidP="006C238D">
            <w:pPr>
              <w:jc w:val="center"/>
              <w:rPr>
                <w:rFonts w:ascii="Arial Narrow" w:hAnsi="Arial Narrow" w:cs="Calibri"/>
                <w:b/>
                <w:bCs/>
                <w:color w:val="000000"/>
                <w:sz w:val="20"/>
                <w:szCs w:val="20"/>
              </w:rPr>
            </w:pPr>
            <w:r w:rsidRPr="006C238D">
              <w:rPr>
                <w:rFonts w:ascii="Arial Narrow" w:hAnsi="Arial Narrow" w:cs="Calibri"/>
                <w:b/>
                <w:bCs/>
                <w:color w:val="000000"/>
                <w:sz w:val="20"/>
                <w:szCs w:val="20"/>
                <w:lang w:val="bg-BG"/>
              </w:rPr>
              <w:t>Вид култури</w:t>
            </w:r>
          </w:p>
        </w:tc>
        <w:tc>
          <w:tcPr>
            <w:tcW w:w="1909" w:type="dxa"/>
            <w:tcBorders>
              <w:top w:val="single" w:sz="4" w:space="0" w:color="auto"/>
              <w:left w:val="nil"/>
              <w:bottom w:val="single" w:sz="4" w:space="0" w:color="auto"/>
              <w:right w:val="single" w:sz="4" w:space="0" w:color="auto"/>
            </w:tcBorders>
            <w:shd w:val="clear" w:color="000000" w:fill="FFFFFF"/>
            <w:vAlign w:val="center"/>
            <w:hideMark/>
          </w:tcPr>
          <w:p w14:paraId="4B2E6937" w14:textId="77777777" w:rsidR="006C238D" w:rsidRPr="006C238D" w:rsidRDefault="006C238D" w:rsidP="006C238D">
            <w:pPr>
              <w:jc w:val="center"/>
              <w:rPr>
                <w:rFonts w:ascii="Arial Narrow" w:hAnsi="Arial Narrow" w:cs="Calibri"/>
                <w:b/>
                <w:bCs/>
                <w:color w:val="000000"/>
                <w:sz w:val="20"/>
                <w:szCs w:val="20"/>
              </w:rPr>
            </w:pPr>
            <w:r w:rsidRPr="006C238D">
              <w:rPr>
                <w:rFonts w:ascii="Arial Narrow" w:hAnsi="Arial Narrow" w:cs="Calibri"/>
                <w:b/>
                <w:bCs/>
                <w:color w:val="000000"/>
                <w:sz w:val="20"/>
                <w:szCs w:val="20"/>
                <w:lang w:val="bg-BG"/>
              </w:rPr>
              <w:t>2023</w:t>
            </w:r>
          </w:p>
        </w:tc>
        <w:tc>
          <w:tcPr>
            <w:tcW w:w="1910" w:type="dxa"/>
            <w:tcBorders>
              <w:top w:val="single" w:sz="4" w:space="0" w:color="auto"/>
              <w:left w:val="nil"/>
              <w:bottom w:val="single" w:sz="4" w:space="0" w:color="auto"/>
              <w:right w:val="single" w:sz="4" w:space="0" w:color="auto"/>
            </w:tcBorders>
            <w:shd w:val="clear" w:color="000000" w:fill="FFFFFF"/>
            <w:vAlign w:val="center"/>
            <w:hideMark/>
          </w:tcPr>
          <w:p w14:paraId="4E8745F6" w14:textId="77777777" w:rsidR="006C238D" w:rsidRPr="006C238D" w:rsidRDefault="006C238D" w:rsidP="006C238D">
            <w:pPr>
              <w:jc w:val="center"/>
              <w:rPr>
                <w:rFonts w:ascii="Arial Narrow" w:hAnsi="Arial Narrow" w:cs="Calibri"/>
                <w:b/>
                <w:bCs/>
                <w:color w:val="000000"/>
                <w:sz w:val="20"/>
                <w:szCs w:val="20"/>
              </w:rPr>
            </w:pPr>
            <w:r w:rsidRPr="006C238D">
              <w:rPr>
                <w:rFonts w:ascii="Arial Narrow" w:hAnsi="Arial Narrow" w:cs="Calibri"/>
                <w:b/>
                <w:bCs/>
                <w:color w:val="000000"/>
                <w:sz w:val="20"/>
                <w:szCs w:val="20"/>
                <w:lang w:val="bg-BG"/>
              </w:rPr>
              <w:t>2024</w:t>
            </w:r>
          </w:p>
        </w:tc>
      </w:tr>
      <w:tr w:rsidR="006C238D" w:rsidRPr="006C238D" w14:paraId="0AB15E02" w14:textId="77777777" w:rsidTr="004E30CA">
        <w:trPr>
          <w:trHeight w:val="392"/>
        </w:trPr>
        <w:tc>
          <w:tcPr>
            <w:tcW w:w="6032" w:type="dxa"/>
            <w:tcBorders>
              <w:top w:val="nil"/>
              <w:left w:val="single" w:sz="4" w:space="0" w:color="auto"/>
              <w:bottom w:val="single" w:sz="4" w:space="0" w:color="auto"/>
              <w:right w:val="single" w:sz="4" w:space="0" w:color="auto"/>
            </w:tcBorders>
            <w:shd w:val="clear" w:color="auto" w:fill="auto"/>
            <w:vAlign w:val="center"/>
            <w:hideMark/>
          </w:tcPr>
          <w:p w14:paraId="5E26CE6B" w14:textId="77777777" w:rsidR="006C238D" w:rsidRPr="006C238D" w:rsidRDefault="006C238D" w:rsidP="006C238D">
            <w:pPr>
              <w:rPr>
                <w:rFonts w:ascii="Arial Narrow" w:hAnsi="Arial Narrow" w:cs="Calibri"/>
                <w:color w:val="000000"/>
                <w:sz w:val="20"/>
                <w:szCs w:val="20"/>
              </w:rPr>
            </w:pPr>
            <w:r w:rsidRPr="006C238D">
              <w:rPr>
                <w:rFonts w:ascii="Arial Narrow" w:hAnsi="Arial Narrow" w:cs="Calibri"/>
                <w:color w:val="000000"/>
                <w:sz w:val="20"/>
                <w:szCs w:val="20"/>
                <w:lang w:val="bg-BG"/>
              </w:rPr>
              <w:t>Зърнено-житни култури, вкл. ориз</w:t>
            </w:r>
          </w:p>
        </w:tc>
        <w:tc>
          <w:tcPr>
            <w:tcW w:w="1909" w:type="dxa"/>
            <w:tcBorders>
              <w:top w:val="nil"/>
              <w:left w:val="nil"/>
              <w:bottom w:val="single" w:sz="4" w:space="0" w:color="auto"/>
              <w:right w:val="single" w:sz="4" w:space="0" w:color="auto"/>
            </w:tcBorders>
            <w:shd w:val="clear" w:color="auto" w:fill="auto"/>
            <w:vAlign w:val="center"/>
            <w:hideMark/>
          </w:tcPr>
          <w:p w14:paraId="11C9B471" w14:textId="77777777" w:rsidR="006C238D" w:rsidRPr="006C238D" w:rsidRDefault="006C238D" w:rsidP="006C238D">
            <w:pPr>
              <w:jc w:val="right"/>
              <w:rPr>
                <w:rFonts w:ascii="Arial Narrow" w:hAnsi="Arial Narrow" w:cs="Calibri"/>
                <w:color w:val="000000"/>
                <w:sz w:val="20"/>
                <w:szCs w:val="20"/>
              </w:rPr>
            </w:pPr>
            <w:r w:rsidRPr="006C238D">
              <w:rPr>
                <w:rFonts w:ascii="Arial Narrow" w:hAnsi="Arial Narrow" w:cs="Calibri"/>
                <w:color w:val="000000"/>
                <w:sz w:val="20"/>
                <w:szCs w:val="20"/>
                <w:lang w:val="bg-BG"/>
              </w:rPr>
              <w:t>18 439,2</w:t>
            </w:r>
          </w:p>
        </w:tc>
        <w:tc>
          <w:tcPr>
            <w:tcW w:w="1910" w:type="dxa"/>
            <w:tcBorders>
              <w:top w:val="nil"/>
              <w:left w:val="nil"/>
              <w:bottom w:val="single" w:sz="4" w:space="0" w:color="auto"/>
              <w:right w:val="single" w:sz="4" w:space="0" w:color="auto"/>
            </w:tcBorders>
            <w:shd w:val="clear" w:color="auto" w:fill="auto"/>
            <w:vAlign w:val="center"/>
            <w:hideMark/>
          </w:tcPr>
          <w:p w14:paraId="021C172A" w14:textId="77777777" w:rsidR="006C238D" w:rsidRPr="006C238D" w:rsidRDefault="006C238D" w:rsidP="006C238D">
            <w:pPr>
              <w:jc w:val="right"/>
              <w:rPr>
                <w:rFonts w:ascii="Arial Narrow" w:hAnsi="Arial Narrow" w:cs="Calibri"/>
                <w:color w:val="000000"/>
                <w:sz w:val="20"/>
                <w:szCs w:val="20"/>
              </w:rPr>
            </w:pPr>
            <w:r w:rsidRPr="006C238D">
              <w:rPr>
                <w:rFonts w:ascii="Arial Narrow" w:hAnsi="Arial Narrow" w:cs="Calibri"/>
                <w:color w:val="000000"/>
                <w:sz w:val="20"/>
                <w:szCs w:val="20"/>
                <w:lang w:val="en-AU"/>
              </w:rPr>
              <w:t>29 418,2</w:t>
            </w:r>
          </w:p>
        </w:tc>
      </w:tr>
      <w:tr w:rsidR="006C238D" w:rsidRPr="006C238D" w14:paraId="16304477" w14:textId="77777777" w:rsidTr="004E30CA">
        <w:trPr>
          <w:trHeight w:val="392"/>
        </w:trPr>
        <w:tc>
          <w:tcPr>
            <w:tcW w:w="6032" w:type="dxa"/>
            <w:tcBorders>
              <w:top w:val="nil"/>
              <w:left w:val="single" w:sz="4" w:space="0" w:color="auto"/>
              <w:bottom w:val="single" w:sz="4" w:space="0" w:color="auto"/>
              <w:right w:val="single" w:sz="4" w:space="0" w:color="auto"/>
            </w:tcBorders>
            <w:shd w:val="clear" w:color="auto" w:fill="auto"/>
            <w:vAlign w:val="center"/>
            <w:hideMark/>
          </w:tcPr>
          <w:p w14:paraId="51702B99" w14:textId="77777777" w:rsidR="006C238D" w:rsidRPr="006C238D" w:rsidRDefault="006C238D" w:rsidP="006C238D">
            <w:pPr>
              <w:rPr>
                <w:rFonts w:ascii="Arial Narrow" w:hAnsi="Arial Narrow" w:cs="Calibri"/>
                <w:color w:val="000000"/>
                <w:sz w:val="20"/>
                <w:szCs w:val="20"/>
              </w:rPr>
            </w:pPr>
            <w:r w:rsidRPr="006C238D">
              <w:rPr>
                <w:rFonts w:ascii="Arial Narrow" w:hAnsi="Arial Narrow" w:cs="Calibri"/>
                <w:color w:val="000000"/>
                <w:sz w:val="20"/>
                <w:szCs w:val="20"/>
                <w:lang w:val="bg-BG"/>
              </w:rPr>
              <w:t>Зърнено-бобови, протеинови култури за производство на зърно</w:t>
            </w:r>
          </w:p>
        </w:tc>
        <w:tc>
          <w:tcPr>
            <w:tcW w:w="1909" w:type="dxa"/>
            <w:tcBorders>
              <w:top w:val="nil"/>
              <w:left w:val="nil"/>
              <w:bottom w:val="single" w:sz="4" w:space="0" w:color="auto"/>
              <w:right w:val="single" w:sz="4" w:space="0" w:color="auto"/>
            </w:tcBorders>
            <w:shd w:val="clear" w:color="auto" w:fill="auto"/>
            <w:vAlign w:val="center"/>
            <w:hideMark/>
          </w:tcPr>
          <w:p w14:paraId="5745783E" w14:textId="77777777" w:rsidR="006C238D" w:rsidRPr="006C238D" w:rsidRDefault="006C238D" w:rsidP="006C238D">
            <w:pPr>
              <w:jc w:val="right"/>
              <w:rPr>
                <w:rFonts w:ascii="Arial Narrow" w:hAnsi="Arial Narrow" w:cs="Calibri"/>
                <w:color w:val="000000"/>
                <w:sz w:val="20"/>
                <w:szCs w:val="20"/>
              </w:rPr>
            </w:pPr>
            <w:r w:rsidRPr="006C238D">
              <w:rPr>
                <w:rFonts w:ascii="Arial Narrow" w:hAnsi="Arial Narrow" w:cs="Calibri"/>
                <w:color w:val="000000"/>
                <w:sz w:val="20"/>
                <w:szCs w:val="20"/>
                <w:lang w:val="bg-BG"/>
              </w:rPr>
              <w:t>7 839,9</w:t>
            </w:r>
          </w:p>
        </w:tc>
        <w:tc>
          <w:tcPr>
            <w:tcW w:w="1910" w:type="dxa"/>
            <w:tcBorders>
              <w:top w:val="nil"/>
              <w:left w:val="nil"/>
              <w:bottom w:val="single" w:sz="4" w:space="0" w:color="auto"/>
              <w:right w:val="single" w:sz="4" w:space="0" w:color="auto"/>
            </w:tcBorders>
            <w:shd w:val="clear" w:color="auto" w:fill="auto"/>
            <w:vAlign w:val="center"/>
            <w:hideMark/>
          </w:tcPr>
          <w:p w14:paraId="1F22D41E" w14:textId="77777777" w:rsidR="006C238D" w:rsidRPr="006C238D" w:rsidRDefault="006C238D" w:rsidP="006C238D">
            <w:pPr>
              <w:jc w:val="right"/>
              <w:rPr>
                <w:rFonts w:ascii="Arial Narrow" w:hAnsi="Arial Narrow" w:cs="Calibri"/>
                <w:color w:val="000000"/>
                <w:sz w:val="20"/>
                <w:szCs w:val="20"/>
              </w:rPr>
            </w:pPr>
            <w:r w:rsidRPr="006C238D">
              <w:rPr>
                <w:rFonts w:ascii="Arial Narrow" w:hAnsi="Arial Narrow" w:cs="Calibri"/>
                <w:color w:val="000000"/>
                <w:sz w:val="20"/>
                <w:szCs w:val="20"/>
                <w:lang w:val="en-AU"/>
              </w:rPr>
              <w:t>9 087,7</w:t>
            </w:r>
          </w:p>
        </w:tc>
      </w:tr>
      <w:tr w:rsidR="006C238D" w:rsidRPr="006C238D" w14:paraId="7DAF7C71" w14:textId="77777777" w:rsidTr="004E30CA">
        <w:trPr>
          <w:trHeight w:val="392"/>
        </w:trPr>
        <w:tc>
          <w:tcPr>
            <w:tcW w:w="6032" w:type="dxa"/>
            <w:tcBorders>
              <w:top w:val="nil"/>
              <w:left w:val="single" w:sz="4" w:space="0" w:color="auto"/>
              <w:bottom w:val="single" w:sz="4" w:space="0" w:color="auto"/>
              <w:right w:val="single" w:sz="4" w:space="0" w:color="auto"/>
            </w:tcBorders>
            <w:shd w:val="clear" w:color="auto" w:fill="auto"/>
            <w:vAlign w:val="center"/>
            <w:hideMark/>
          </w:tcPr>
          <w:p w14:paraId="54BF3A3C" w14:textId="77777777" w:rsidR="006C238D" w:rsidRPr="006C238D" w:rsidRDefault="006C238D" w:rsidP="006C238D">
            <w:pPr>
              <w:rPr>
                <w:rFonts w:ascii="Arial Narrow" w:hAnsi="Arial Narrow" w:cs="Calibri"/>
                <w:color w:val="000000"/>
                <w:sz w:val="20"/>
                <w:szCs w:val="20"/>
              </w:rPr>
            </w:pPr>
            <w:r w:rsidRPr="006C238D">
              <w:rPr>
                <w:rFonts w:ascii="Arial Narrow" w:hAnsi="Arial Narrow" w:cs="Calibri"/>
                <w:color w:val="000000"/>
                <w:sz w:val="20"/>
                <w:szCs w:val="20"/>
                <w:lang w:val="bg-BG"/>
              </w:rPr>
              <w:t>Кореноплодни култури</w:t>
            </w:r>
          </w:p>
        </w:tc>
        <w:tc>
          <w:tcPr>
            <w:tcW w:w="1909" w:type="dxa"/>
            <w:tcBorders>
              <w:top w:val="nil"/>
              <w:left w:val="nil"/>
              <w:bottom w:val="single" w:sz="4" w:space="0" w:color="auto"/>
              <w:right w:val="single" w:sz="4" w:space="0" w:color="auto"/>
            </w:tcBorders>
            <w:shd w:val="clear" w:color="auto" w:fill="auto"/>
            <w:vAlign w:val="center"/>
            <w:hideMark/>
          </w:tcPr>
          <w:p w14:paraId="4729E1B2" w14:textId="77777777" w:rsidR="006C238D" w:rsidRPr="006C238D" w:rsidRDefault="006C238D" w:rsidP="006C238D">
            <w:pPr>
              <w:jc w:val="right"/>
              <w:rPr>
                <w:rFonts w:ascii="Arial Narrow" w:hAnsi="Arial Narrow" w:cs="Calibri"/>
                <w:color w:val="000000"/>
                <w:sz w:val="20"/>
                <w:szCs w:val="20"/>
              </w:rPr>
            </w:pPr>
            <w:r w:rsidRPr="006C238D">
              <w:rPr>
                <w:rFonts w:ascii="Arial Narrow" w:hAnsi="Arial Narrow" w:cs="Calibri"/>
                <w:color w:val="000000"/>
                <w:sz w:val="20"/>
                <w:szCs w:val="20"/>
                <w:lang w:val="bg-BG"/>
              </w:rPr>
              <w:t>226,2</w:t>
            </w:r>
          </w:p>
        </w:tc>
        <w:tc>
          <w:tcPr>
            <w:tcW w:w="1910" w:type="dxa"/>
            <w:tcBorders>
              <w:top w:val="nil"/>
              <w:left w:val="nil"/>
              <w:bottom w:val="single" w:sz="4" w:space="0" w:color="auto"/>
              <w:right w:val="single" w:sz="4" w:space="0" w:color="auto"/>
            </w:tcBorders>
            <w:shd w:val="clear" w:color="auto" w:fill="auto"/>
            <w:vAlign w:val="center"/>
            <w:hideMark/>
          </w:tcPr>
          <w:p w14:paraId="2CC43199" w14:textId="77777777" w:rsidR="006C238D" w:rsidRPr="006C238D" w:rsidRDefault="006C238D" w:rsidP="006C238D">
            <w:pPr>
              <w:jc w:val="right"/>
              <w:rPr>
                <w:rFonts w:ascii="Arial Narrow" w:hAnsi="Arial Narrow" w:cs="Calibri"/>
                <w:color w:val="000000"/>
                <w:sz w:val="20"/>
                <w:szCs w:val="20"/>
              </w:rPr>
            </w:pPr>
            <w:r w:rsidRPr="006C238D">
              <w:rPr>
                <w:rFonts w:ascii="Arial Narrow" w:hAnsi="Arial Narrow" w:cs="Calibri"/>
                <w:color w:val="000000"/>
                <w:sz w:val="20"/>
                <w:szCs w:val="20"/>
                <w:lang w:val="en-AU"/>
              </w:rPr>
              <w:t>155,7</w:t>
            </w:r>
          </w:p>
        </w:tc>
      </w:tr>
      <w:tr w:rsidR="006C238D" w:rsidRPr="006C238D" w14:paraId="58638C92" w14:textId="77777777" w:rsidTr="004E30CA">
        <w:trPr>
          <w:trHeight w:val="392"/>
        </w:trPr>
        <w:tc>
          <w:tcPr>
            <w:tcW w:w="6032" w:type="dxa"/>
            <w:tcBorders>
              <w:top w:val="nil"/>
              <w:left w:val="single" w:sz="4" w:space="0" w:color="auto"/>
              <w:bottom w:val="single" w:sz="4" w:space="0" w:color="auto"/>
              <w:right w:val="single" w:sz="4" w:space="0" w:color="auto"/>
            </w:tcBorders>
            <w:shd w:val="clear" w:color="auto" w:fill="auto"/>
            <w:vAlign w:val="center"/>
            <w:hideMark/>
          </w:tcPr>
          <w:p w14:paraId="5045EE4A" w14:textId="77777777" w:rsidR="006C238D" w:rsidRPr="006C238D" w:rsidRDefault="006C238D" w:rsidP="006C238D">
            <w:pPr>
              <w:rPr>
                <w:rFonts w:ascii="Arial Narrow" w:hAnsi="Arial Narrow" w:cs="Calibri"/>
                <w:color w:val="000000"/>
                <w:sz w:val="20"/>
                <w:szCs w:val="20"/>
              </w:rPr>
            </w:pPr>
            <w:r w:rsidRPr="006C238D">
              <w:rPr>
                <w:rFonts w:ascii="Arial Narrow" w:hAnsi="Arial Narrow" w:cs="Calibri"/>
                <w:color w:val="000000"/>
                <w:sz w:val="20"/>
                <w:szCs w:val="20"/>
                <w:lang w:val="bg-BG"/>
              </w:rPr>
              <w:t>Технически култури – общо</w:t>
            </w:r>
          </w:p>
        </w:tc>
        <w:tc>
          <w:tcPr>
            <w:tcW w:w="1909" w:type="dxa"/>
            <w:tcBorders>
              <w:top w:val="nil"/>
              <w:left w:val="nil"/>
              <w:bottom w:val="single" w:sz="4" w:space="0" w:color="auto"/>
              <w:right w:val="single" w:sz="4" w:space="0" w:color="auto"/>
            </w:tcBorders>
            <w:shd w:val="clear" w:color="auto" w:fill="auto"/>
            <w:vAlign w:val="center"/>
            <w:hideMark/>
          </w:tcPr>
          <w:p w14:paraId="25D374CF" w14:textId="77777777" w:rsidR="006C238D" w:rsidRPr="006C238D" w:rsidRDefault="006C238D" w:rsidP="006C238D">
            <w:pPr>
              <w:jc w:val="right"/>
              <w:rPr>
                <w:rFonts w:ascii="Arial Narrow" w:hAnsi="Arial Narrow" w:cs="Calibri"/>
                <w:color w:val="000000"/>
                <w:sz w:val="20"/>
                <w:szCs w:val="20"/>
              </w:rPr>
            </w:pPr>
            <w:r w:rsidRPr="006C238D">
              <w:rPr>
                <w:rFonts w:ascii="Arial Narrow" w:hAnsi="Arial Narrow" w:cs="Calibri"/>
                <w:color w:val="000000"/>
                <w:sz w:val="20"/>
                <w:szCs w:val="20"/>
                <w:lang w:val="bg-BG"/>
              </w:rPr>
              <w:t>18 753,9</w:t>
            </w:r>
          </w:p>
        </w:tc>
        <w:tc>
          <w:tcPr>
            <w:tcW w:w="1910" w:type="dxa"/>
            <w:tcBorders>
              <w:top w:val="nil"/>
              <w:left w:val="nil"/>
              <w:bottom w:val="single" w:sz="4" w:space="0" w:color="auto"/>
              <w:right w:val="single" w:sz="4" w:space="0" w:color="auto"/>
            </w:tcBorders>
            <w:shd w:val="clear" w:color="auto" w:fill="auto"/>
            <w:vAlign w:val="center"/>
            <w:hideMark/>
          </w:tcPr>
          <w:p w14:paraId="3C350091" w14:textId="77777777" w:rsidR="006C238D" w:rsidRPr="006C238D" w:rsidRDefault="006C238D" w:rsidP="006C238D">
            <w:pPr>
              <w:jc w:val="right"/>
              <w:rPr>
                <w:rFonts w:ascii="Arial Narrow" w:hAnsi="Arial Narrow" w:cs="Calibri"/>
                <w:color w:val="000000"/>
                <w:sz w:val="20"/>
                <w:szCs w:val="20"/>
              </w:rPr>
            </w:pPr>
            <w:r w:rsidRPr="006C238D">
              <w:rPr>
                <w:rFonts w:ascii="Arial Narrow" w:hAnsi="Arial Narrow" w:cs="Calibri"/>
                <w:color w:val="000000"/>
                <w:sz w:val="20"/>
                <w:szCs w:val="20"/>
                <w:lang w:val="en-AU"/>
              </w:rPr>
              <w:t>19 625,4</w:t>
            </w:r>
          </w:p>
        </w:tc>
      </w:tr>
      <w:tr w:rsidR="006C238D" w:rsidRPr="006C238D" w14:paraId="4E4B5D4C" w14:textId="77777777" w:rsidTr="004E30CA">
        <w:trPr>
          <w:trHeight w:val="392"/>
        </w:trPr>
        <w:tc>
          <w:tcPr>
            <w:tcW w:w="6032" w:type="dxa"/>
            <w:tcBorders>
              <w:top w:val="nil"/>
              <w:left w:val="single" w:sz="4" w:space="0" w:color="auto"/>
              <w:bottom w:val="single" w:sz="4" w:space="0" w:color="auto"/>
              <w:right w:val="single" w:sz="4" w:space="0" w:color="auto"/>
            </w:tcBorders>
            <w:shd w:val="clear" w:color="auto" w:fill="auto"/>
            <w:vAlign w:val="center"/>
            <w:hideMark/>
          </w:tcPr>
          <w:p w14:paraId="7E14AB54" w14:textId="77777777" w:rsidR="006C238D" w:rsidRPr="006C238D" w:rsidRDefault="006C238D" w:rsidP="006C238D">
            <w:pPr>
              <w:rPr>
                <w:rFonts w:ascii="Arial Narrow" w:hAnsi="Arial Narrow" w:cs="Calibri"/>
                <w:color w:val="000000"/>
                <w:sz w:val="20"/>
                <w:szCs w:val="20"/>
              </w:rPr>
            </w:pPr>
            <w:r w:rsidRPr="006C238D">
              <w:rPr>
                <w:rFonts w:ascii="Arial Narrow" w:hAnsi="Arial Narrow" w:cs="Calibri"/>
                <w:color w:val="000000"/>
                <w:sz w:val="20"/>
                <w:szCs w:val="20"/>
                <w:lang w:val="bg-BG"/>
              </w:rPr>
              <w:t>Култури за зелено/Фуражни култури от обработваеми земи</w:t>
            </w:r>
          </w:p>
        </w:tc>
        <w:tc>
          <w:tcPr>
            <w:tcW w:w="1909" w:type="dxa"/>
            <w:tcBorders>
              <w:top w:val="nil"/>
              <w:left w:val="nil"/>
              <w:bottom w:val="single" w:sz="4" w:space="0" w:color="auto"/>
              <w:right w:val="single" w:sz="4" w:space="0" w:color="auto"/>
            </w:tcBorders>
            <w:shd w:val="clear" w:color="auto" w:fill="auto"/>
            <w:vAlign w:val="center"/>
            <w:hideMark/>
          </w:tcPr>
          <w:p w14:paraId="79FDC41A" w14:textId="77777777" w:rsidR="006C238D" w:rsidRPr="006C238D" w:rsidRDefault="006C238D" w:rsidP="006C238D">
            <w:pPr>
              <w:jc w:val="right"/>
              <w:rPr>
                <w:rFonts w:ascii="Arial Narrow" w:hAnsi="Arial Narrow" w:cs="Calibri"/>
                <w:color w:val="000000"/>
                <w:sz w:val="20"/>
                <w:szCs w:val="20"/>
              </w:rPr>
            </w:pPr>
            <w:r w:rsidRPr="006C238D">
              <w:rPr>
                <w:rFonts w:ascii="Arial Narrow" w:hAnsi="Arial Narrow" w:cs="Calibri"/>
                <w:color w:val="000000"/>
                <w:sz w:val="20"/>
                <w:szCs w:val="20"/>
                <w:lang w:val="bg-BG"/>
              </w:rPr>
              <w:t>1 171,0</w:t>
            </w:r>
          </w:p>
        </w:tc>
        <w:tc>
          <w:tcPr>
            <w:tcW w:w="1910" w:type="dxa"/>
            <w:tcBorders>
              <w:top w:val="nil"/>
              <w:left w:val="nil"/>
              <w:bottom w:val="single" w:sz="4" w:space="0" w:color="auto"/>
              <w:right w:val="single" w:sz="4" w:space="0" w:color="auto"/>
            </w:tcBorders>
            <w:shd w:val="clear" w:color="auto" w:fill="auto"/>
            <w:vAlign w:val="center"/>
            <w:hideMark/>
          </w:tcPr>
          <w:p w14:paraId="17590CC3" w14:textId="77777777" w:rsidR="006C238D" w:rsidRPr="006C238D" w:rsidRDefault="006C238D" w:rsidP="006C238D">
            <w:pPr>
              <w:jc w:val="right"/>
              <w:rPr>
                <w:rFonts w:ascii="Arial Narrow" w:hAnsi="Arial Narrow" w:cs="Calibri"/>
                <w:color w:val="000000"/>
                <w:sz w:val="20"/>
                <w:szCs w:val="20"/>
              </w:rPr>
            </w:pPr>
            <w:r w:rsidRPr="006C238D">
              <w:rPr>
                <w:rFonts w:ascii="Arial Narrow" w:hAnsi="Arial Narrow" w:cs="Calibri"/>
                <w:color w:val="000000"/>
                <w:sz w:val="20"/>
                <w:szCs w:val="20"/>
                <w:lang w:val="en-AU"/>
              </w:rPr>
              <w:t>2 236,6</w:t>
            </w:r>
          </w:p>
        </w:tc>
      </w:tr>
      <w:tr w:rsidR="006C238D" w:rsidRPr="006C238D" w14:paraId="606E7F25" w14:textId="77777777" w:rsidTr="004E30CA">
        <w:trPr>
          <w:trHeight w:val="686"/>
        </w:trPr>
        <w:tc>
          <w:tcPr>
            <w:tcW w:w="6032" w:type="dxa"/>
            <w:tcBorders>
              <w:top w:val="nil"/>
              <w:left w:val="single" w:sz="4" w:space="0" w:color="auto"/>
              <w:bottom w:val="single" w:sz="4" w:space="0" w:color="auto"/>
              <w:right w:val="single" w:sz="4" w:space="0" w:color="auto"/>
            </w:tcBorders>
            <w:shd w:val="clear" w:color="auto" w:fill="auto"/>
            <w:vAlign w:val="center"/>
            <w:hideMark/>
          </w:tcPr>
          <w:p w14:paraId="3C46F8E3" w14:textId="77777777" w:rsidR="006C238D" w:rsidRPr="006C238D" w:rsidRDefault="006C238D" w:rsidP="006C238D">
            <w:pPr>
              <w:rPr>
                <w:rFonts w:ascii="Arial Narrow" w:hAnsi="Arial Narrow" w:cs="Calibri"/>
                <w:color w:val="000000"/>
                <w:sz w:val="20"/>
                <w:szCs w:val="20"/>
              </w:rPr>
            </w:pPr>
            <w:r w:rsidRPr="006C238D">
              <w:rPr>
                <w:rFonts w:ascii="Arial Narrow" w:hAnsi="Arial Narrow" w:cs="Calibri"/>
                <w:color w:val="000000"/>
                <w:sz w:val="20"/>
                <w:szCs w:val="20"/>
                <w:lang w:val="bg-BG"/>
              </w:rPr>
              <w:t>Пресни зеленчуци, пъпеши, ягоди, култивирани гъби (оранжерийно и полско производство)</w:t>
            </w:r>
          </w:p>
        </w:tc>
        <w:tc>
          <w:tcPr>
            <w:tcW w:w="1909" w:type="dxa"/>
            <w:tcBorders>
              <w:top w:val="nil"/>
              <w:left w:val="nil"/>
              <w:bottom w:val="single" w:sz="4" w:space="0" w:color="auto"/>
              <w:right w:val="single" w:sz="4" w:space="0" w:color="auto"/>
            </w:tcBorders>
            <w:shd w:val="clear" w:color="auto" w:fill="auto"/>
            <w:vAlign w:val="center"/>
            <w:hideMark/>
          </w:tcPr>
          <w:p w14:paraId="09C6F2DC" w14:textId="77777777" w:rsidR="006C238D" w:rsidRPr="006C238D" w:rsidRDefault="006C238D" w:rsidP="006C238D">
            <w:pPr>
              <w:jc w:val="right"/>
              <w:rPr>
                <w:rFonts w:ascii="Arial Narrow" w:hAnsi="Arial Narrow" w:cs="Calibri"/>
                <w:color w:val="000000"/>
                <w:sz w:val="20"/>
                <w:szCs w:val="20"/>
              </w:rPr>
            </w:pPr>
            <w:r w:rsidRPr="006C238D">
              <w:rPr>
                <w:rFonts w:ascii="Arial Narrow" w:hAnsi="Arial Narrow" w:cs="Calibri"/>
                <w:color w:val="000000"/>
                <w:sz w:val="20"/>
                <w:szCs w:val="20"/>
                <w:lang w:val="bg-BG"/>
              </w:rPr>
              <w:t>1 726,4</w:t>
            </w:r>
          </w:p>
        </w:tc>
        <w:tc>
          <w:tcPr>
            <w:tcW w:w="1910" w:type="dxa"/>
            <w:tcBorders>
              <w:top w:val="nil"/>
              <w:left w:val="nil"/>
              <w:bottom w:val="single" w:sz="4" w:space="0" w:color="auto"/>
              <w:right w:val="single" w:sz="4" w:space="0" w:color="auto"/>
            </w:tcBorders>
            <w:shd w:val="clear" w:color="auto" w:fill="auto"/>
            <w:vAlign w:val="center"/>
            <w:hideMark/>
          </w:tcPr>
          <w:p w14:paraId="305FA5F5" w14:textId="77777777" w:rsidR="006C238D" w:rsidRPr="006C238D" w:rsidRDefault="006C238D" w:rsidP="006C238D">
            <w:pPr>
              <w:jc w:val="right"/>
              <w:rPr>
                <w:rFonts w:ascii="Arial Narrow" w:hAnsi="Arial Narrow" w:cs="Calibri"/>
                <w:color w:val="000000"/>
                <w:sz w:val="20"/>
                <w:szCs w:val="20"/>
              </w:rPr>
            </w:pPr>
            <w:r w:rsidRPr="006C238D">
              <w:rPr>
                <w:rFonts w:ascii="Arial Narrow" w:hAnsi="Arial Narrow" w:cs="Calibri"/>
                <w:color w:val="000000"/>
                <w:sz w:val="20"/>
                <w:szCs w:val="20"/>
                <w:lang w:val="en-AU"/>
              </w:rPr>
              <w:t>2 402,1</w:t>
            </w:r>
          </w:p>
        </w:tc>
      </w:tr>
      <w:tr w:rsidR="006C238D" w:rsidRPr="006C238D" w14:paraId="492BEEC2" w14:textId="77777777" w:rsidTr="004E30CA">
        <w:trPr>
          <w:trHeight w:val="392"/>
        </w:trPr>
        <w:tc>
          <w:tcPr>
            <w:tcW w:w="6032" w:type="dxa"/>
            <w:tcBorders>
              <w:top w:val="nil"/>
              <w:left w:val="single" w:sz="4" w:space="0" w:color="auto"/>
              <w:bottom w:val="single" w:sz="4" w:space="0" w:color="auto"/>
              <w:right w:val="single" w:sz="4" w:space="0" w:color="auto"/>
            </w:tcBorders>
            <w:shd w:val="clear" w:color="auto" w:fill="auto"/>
            <w:vAlign w:val="center"/>
            <w:hideMark/>
          </w:tcPr>
          <w:p w14:paraId="0A1091CD" w14:textId="77777777" w:rsidR="006C238D" w:rsidRPr="006C238D" w:rsidRDefault="006C238D" w:rsidP="006C238D">
            <w:pPr>
              <w:rPr>
                <w:rFonts w:ascii="Arial Narrow" w:hAnsi="Arial Narrow" w:cs="Calibri"/>
                <w:color w:val="000000"/>
                <w:sz w:val="20"/>
                <w:szCs w:val="20"/>
              </w:rPr>
            </w:pPr>
            <w:r w:rsidRPr="006C238D">
              <w:rPr>
                <w:rFonts w:ascii="Arial Narrow" w:hAnsi="Arial Narrow" w:cs="Calibri"/>
                <w:color w:val="000000"/>
                <w:sz w:val="20"/>
                <w:szCs w:val="20"/>
                <w:lang w:val="bg-BG"/>
              </w:rPr>
              <w:t>Трайни насаждения</w:t>
            </w:r>
          </w:p>
        </w:tc>
        <w:tc>
          <w:tcPr>
            <w:tcW w:w="1909" w:type="dxa"/>
            <w:tcBorders>
              <w:top w:val="nil"/>
              <w:left w:val="nil"/>
              <w:bottom w:val="single" w:sz="4" w:space="0" w:color="auto"/>
              <w:right w:val="single" w:sz="4" w:space="0" w:color="auto"/>
            </w:tcBorders>
            <w:shd w:val="clear" w:color="auto" w:fill="auto"/>
            <w:vAlign w:val="center"/>
            <w:hideMark/>
          </w:tcPr>
          <w:p w14:paraId="38B61368" w14:textId="77777777" w:rsidR="006C238D" w:rsidRPr="006C238D" w:rsidRDefault="006C238D" w:rsidP="006C238D">
            <w:pPr>
              <w:jc w:val="right"/>
              <w:rPr>
                <w:rFonts w:ascii="Arial Narrow" w:hAnsi="Arial Narrow" w:cs="Calibri"/>
                <w:color w:val="000000"/>
                <w:sz w:val="20"/>
                <w:szCs w:val="20"/>
              </w:rPr>
            </w:pPr>
            <w:r w:rsidRPr="006C238D">
              <w:rPr>
                <w:rFonts w:ascii="Arial Narrow" w:hAnsi="Arial Narrow" w:cs="Calibri"/>
                <w:color w:val="000000"/>
                <w:sz w:val="20"/>
                <w:szCs w:val="20"/>
                <w:lang w:val="bg-BG"/>
              </w:rPr>
              <w:t>22 503,6</w:t>
            </w:r>
          </w:p>
        </w:tc>
        <w:tc>
          <w:tcPr>
            <w:tcW w:w="1910" w:type="dxa"/>
            <w:tcBorders>
              <w:top w:val="nil"/>
              <w:left w:val="nil"/>
              <w:bottom w:val="single" w:sz="4" w:space="0" w:color="auto"/>
              <w:right w:val="single" w:sz="4" w:space="0" w:color="auto"/>
            </w:tcBorders>
            <w:shd w:val="clear" w:color="auto" w:fill="auto"/>
            <w:vAlign w:val="center"/>
            <w:hideMark/>
          </w:tcPr>
          <w:p w14:paraId="3C133D85" w14:textId="77777777" w:rsidR="006C238D" w:rsidRPr="006C238D" w:rsidRDefault="006C238D" w:rsidP="006C238D">
            <w:pPr>
              <w:jc w:val="right"/>
              <w:rPr>
                <w:rFonts w:ascii="Arial Narrow" w:hAnsi="Arial Narrow" w:cs="Calibri"/>
                <w:color w:val="000000"/>
                <w:sz w:val="20"/>
                <w:szCs w:val="20"/>
              </w:rPr>
            </w:pPr>
            <w:r w:rsidRPr="006C238D">
              <w:rPr>
                <w:rFonts w:ascii="Arial Narrow" w:hAnsi="Arial Narrow" w:cs="Calibri"/>
                <w:color w:val="000000"/>
                <w:sz w:val="20"/>
                <w:szCs w:val="20"/>
                <w:lang w:val="en-AU"/>
              </w:rPr>
              <w:t>23 022,0</w:t>
            </w:r>
          </w:p>
        </w:tc>
      </w:tr>
      <w:tr w:rsidR="006C238D" w:rsidRPr="006C238D" w14:paraId="30205C8C" w14:textId="77777777" w:rsidTr="004E30CA">
        <w:trPr>
          <w:trHeight w:val="392"/>
        </w:trPr>
        <w:tc>
          <w:tcPr>
            <w:tcW w:w="6032" w:type="dxa"/>
            <w:tcBorders>
              <w:top w:val="nil"/>
              <w:left w:val="single" w:sz="4" w:space="0" w:color="auto"/>
              <w:bottom w:val="single" w:sz="4" w:space="0" w:color="auto"/>
              <w:right w:val="single" w:sz="4" w:space="0" w:color="auto"/>
            </w:tcBorders>
            <w:shd w:val="clear" w:color="auto" w:fill="auto"/>
            <w:vAlign w:val="center"/>
            <w:hideMark/>
          </w:tcPr>
          <w:p w14:paraId="35736158" w14:textId="77777777" w:rsidR="006C238D" w:rsidRPr="006C238D" w:rsidRDefault="006C238D" w:rsidP="006C238D">
            <w:pPr>
              <w:rPr>
                <w:rFonts w:ascii="Arial Narrow" w:hAnsi="Arial Narrow" w:cs="Calibri"/>
                <w:color w:val="000000"/>
                <w:sz w:val="20"/>
                <w:szCs w:val="20"/>
              </w:rPr>
            </w:pPr>
            <w:r w:rsidRPr="006C238D">
              <w:rPr>
                <w:rFonts w:ascii="Arial Narrow" w:hAnsi="Arial Narrow" w:cs="Calibri"/>
                <w:color w:val="000000"/>
                <w:sz w:val="20"/>
                <w:szCs w:val="20"/>
                <w:lang w:val="bg-BG"/>
              </w:rPr>
              <w:t>Постоянни ливади и пасища</w:t>
            </w:r>
          </w:p>
        </w:tc>
        <w:tc>
          <w:tcPr>
            <w:tcW w:w="1909" w:type="dxa"/>
            <w:tcBorders>
              <w:top w:val="nil"/>
              <w:left w:val="nil"/>
              <w:bottom w:val="single" w:sz="4" w:space="0" w:color="auto"/>
              <w:right w:val="single" w:sz="4" w:space="0" w:color="auto"/>
            </w:tcBorders>
            <w:shd w:val="clear" w:color="auto" w:fill="auto"/>
            <w:vAlign w:val="center"/>
            <w:hideMark/>
          </w:tcPr>
          <w:p w14:paraId="266A30C8" w14:textId="77777777" w:rsidR="006C238D" w:rsidRPr="006C238D" w:rsidRDefault="006C238D" w:rsidP="006C238D">
            <w:pPr>
              <w:jc w:val="right"/>
              <w:rPr>
                <w:rFonts w:ascii="Arial Narrow" w:hAnsi="Arial Narrow" w:cs="Calibri"/>
                <w:color w:val="000000"/>
                <w:sz w:val="20"/>
                <w:szCs w:val="20"/>
              </w:rPr>
            </w:pPr>
            <w:r w:rsidRPr="006C238D">
              <w:rPr>
                <w:rFonts w:ascii="Arial Narrow" w:hAnsi="Arial Narrow" w:cs="Calibri"/>
                <w:color w:val="000000"/>
                <w:sz w:val="20"/>
                <w:szCs w:val="20"/>
                <w:lang w:val="bg-BG"/>
              </w:rPr>
              <w:t>69 894,7</w:t>
            </w:r>
          </w:p>
        </w:tc>
        <w:tc>
          <w:tcPr>
            <w:tcW w:w="1910" w:type="dxa"/>
            <w:tcBorders>
              <w:top w:val="nil"/>
              <w:left w:val="nil"/>
              <w:bottom w:val="single" w:sz="4" w:space="0" w:color="auto"/>
              <w:right w:val="single" w:sz="4" w:space="0" w:color="auto"/>
            </w:tcBorders>
            <w:shd w:val="clear" w:color="auto" w:fill="auto"/>
            <w:vAlign w:val="center"/>
            <w:hideMark/>
          </w:tcPr>
          <w:p w14:paraId="52DE2AE4" w14:textId="77777777" w:rsidR="006C238D" w:rsidRPr="006C238D" w:rsidRDefault="006C238D" w:rsidP="006C238D">
            <w:pPr>
              <w:jc w:val="right"/>
              <w:rPr>
                <w:rFonts w:ascii="Arial Narrow" w:hAnsi="Arial Narrow" w:cs="Calibri"/>
                <w:color w:val="000000"/>
                <w:sz w:val="20"/>
                <w:szCs w:val="20"/>
              </w:rPr>
            </w:pPr>
            <w:r w:rsidRPr="006C238D">
              <w:rPr>
                <w:rFonts w:ascii="Arial Narrow" w:hAnsi="Arial Narrow" w:cs="Calibri"/>
                <w:color w:val="000000"/>
                <w:sz w:val="20"/>
                <w:szCs w:val="20"/>
                <w:lang w:val="en-AU"/>
              </w:rPr>
              <w:t>94 110,7</w:t>
            </w:r>
          </w:p>
        </w:tc>
      </w:tr>
      <w:tr w:rsidR="006C238D" w:rsidRPr="006C238D" w14:paraId="2972750D" w14:textId="77777777" w:rsidTr="004E30CA">
        <w:trPr>
          <w:trHeight w:val="392"/>
        </w:trPr>
        <w:tc>
          <w:tcPr>
            <w:tcW w:w="6032" w:type="dxa"/>
            <w:tcBorders>
              <w:top w:val="nil"/>
              <w:left w:val="single" w:sz="4" w:space="0" w:color="auto"/>
              <w:bottom w:val="single" w:sz="4" w:space="0" w:color="auto"/>
              <w:right w:val="single" w:sz="4" w:space="0" w:color="auto"/>
            </w:tcBorders>
            <w:shd w:val="clear" w:color="auto" w:fill="auto"/>
            <w:vAlign w:val="center"/>
            <w:hideMark/>
          </w:tcPr>
          <w:p w14:paraId="648B3A07" w14:textId="77777777" w:rsidR="006C238D" w:rsidRPr="006C238D" w:rsidRDefault="006C238D" w:rsidP="006C238D">
            <w:pPr>
              <w:rPr>
                <w:rFonts w:ascii="Arial Narrow" w:hAnsi="Arial Narrow" w:cs="Calibri"/>
                <w:color w:val="000000"/>
                <w:sz w:val="20"/>
                <w:szCs w:val="20"/>
              </w:rPr>
            </w:pPr>
            <w:r w:rsidRPr="006C238D">
              <w:rPr>
                <w:rFonts w:ascii="Arial Narrow" w:hAnsi="Arial Narrow" w:cs="Calibri"/>
                <w:color w:val="000000"/>
                <w:sz w:val="20"/>
                <w:szCs w:val="20"/>
                <w:lang w:val="bg-BG"/>
              </w:rPr>
              <w:t>Угар</w:t>
            </w:r>
          </w:p>
        </w:tc>
        <w:tc>
          <w:tcPr>
            <w:tcW w:w="1909" w:type="dxa"/>
            <w:tcBorders>
              <w:top w:val="nil"/>
              <w:left w:val="nil"/>
              <w:bottom w:val="single" w:sz="4" w:space="0" w:color="auto"/>
              <w:right w:val="single" w:sz="4" w:space="0" w:color="auto"/>
            </w:tcBorders>
            <w:shd w:val="clear" w:color="auto" w:fill="auto"/>
            <w:vAlign w:val="center"/>
            <w:hideMark/>
          </w:tcPr>
          <w:p w14:paraId="4C3E1035" w14:textId="77777777" w:rsidR="006C238D" w:rsidRPr="006C238D" w:rsidRDefault="006C238D" w:rsidP="006C238D">
            <w:pPr>
              <w:jc w:val="right"/>
              <w:rPr>
                <w:rFonts w:ascii="Arial Narrow" w:hAnsi="Arial Narrow" w:cs="Calibri"/>
                <w:color w:val="000000"/>
                <w:sz w:val="20"/>
                <w:szCs w:val="20"/>
              </w:rPr>
            </w:pPr>
            <w:r w:rsidRPr="006C238D">
              <w:rPr>
                <w:rFonts w:ascii="Arial Narrow" w:hAnsi="Arial Narrow" w:cs="Calibri"/>
                <w:color w:val="000000"/>
                <w:sz w:val="20"/>
                <w:szCs w:val="20"/>
                <w:lang w:val="bg-BG"/>
              </w:rPr>
              <w:t>7 243,3</w:t>
            </w:r>
          </w:p>
        </w:tc>
        <w:tc>
          <w:tcPr>
            <w:tcW w:w="1910" w:type="dxa"/>
            <w:tcBorders>
              <w:top w:val="nil"/>
              <w:left w:val="nil"/>
              <w:bottom w:val="single" w:sz="4" w:space="0" w:color="auto"/>
              <w:right w:val="single" w:sz="4" w:space="0" w:color="auto"/>
            </w:tcBorders>
            <w:shd w:val="clear" w:color="auto" w:fill="auto"/>
            <w:vAlign w:val="center"/>
            <w:hideMark/>
          </w:tcPr>
          <w:p w14:paraId="0400B027" w14:textId="77777777" w:rsidR="006C238D" w:rsidRPr="006C238D" w:rsidRDefault="006C238D" w:rsidP="006C238D">
            <w:pPr>
              <w:jc w:val="right"/>
              <w:rPr>
                <w:rFonts w:ascii="Arial Narrow" w:hAnsi="Arial Narrow" w:cs="Calibri"/>
                <w:color w:val="000000"/>
                <w:sz w:val="20"/>
                <w:szCs w:val="20"/>
              </w:rPr>
            </w:pPr>
            <w:r w:rsidRPr="006C238D">
              <w:rPr>
                <w:rFonts w:ascii="Arial Narrow" w:hAnsi="Arial Narrow" w:cs="Calibri"/>
                <w:color w:val="000000"/>
                <w:sz w:val="20"/>
                <w:szCs w:val="20"/>
                <w:lang w:val="bg-BG"/>
              </w:rPr>
              <w:t>17 992,5</w:t>
            </w:r>
          </w:p>
        </w:tc>
      </w:tr>
      <w:tr w:rsidR="006C238D" w:rsidRPr="006C238D" w14:paraId="7E609AEE" w14:textId="77777777" w:rsidTr="004E30CA">
        <w:trPr>
          <w:trHeight w:val="392"/>
        </w:trPr>
        <w:tc>
          <w:tcPr>
            <w:tcW w:w="6032" w:type="dxa"/>
            <w:tcBorders>
              <w:top w:val="nil"/>
              <w:left w:val="single" w:sz="4" w:space="0" w:color="auto"/>
              <w:bottom w:val="single" w:sz="4" w:space="0" w:color="auto"/>
              <w:right w:val="single" w:sz="4" w:space="0" w:color="auto"/>
            </w:tcBorders>
            <w:shd w:val="clear" w:color="auto" w:fill="auto"/>
            <w:vAlign w:val="center"/>
            <w:hideMark/>
          </w:tcPr>
          <w:p w14:paraId="270145FF" w14:textId="77777777" w:rsidR="006C238D" w:rsidRPr="006C238D" w:rsidRDefault="006C238D" w:rsidP="006C238D">
            <w:pPr>
              <w:rPr>
                <w:rFonts w:ascii="Arial Narrow" w:hAnsi="Arial Narrow" w:cs="Calibri"/>
                <w:b/>
                <w:bCs/>
                <w:color w:val="000000"/>
                <w:sz w:val="20"/>
                <w:szCs w:val="20"/>
              </w:rPr>
            </w:pPr>
            <w:r w:rsidRPr="006C238D">
              <w:rPr>
                <w:rFonts w:ascii="Arial Narrow" w:hAnsi="Arial Narrow" w:cs="Calibri"/>
                <w:b/>
                <w:bCs/>
                <w:color w:val="000000"/>
                <w:sz w:val="20"/>
                <w:szCs w:val="20"/>
                <w:lang w:val="bg-BG"/>
              </w:rPr>
              <w:t>Общо площи в система на контрол</w:t>
            </w:r>
          </w:p>
        </w:tc>
        <w:tc>
          <w:tcPr>
            <w:tcW w:w="1909" w:type="dxa"/>
            <w:tcBorders>
              <w:top w:val="nil"/>
              <w:left w:val="nil"/>
              <w:bottom w:val="single" w:sz="4" w:space="0" w:color="auto"/>
              <w:right w:val="single" w:sz="4" w:space="0" w:color="auto"/>
            </w:tcBorders>
            <w:shd w:val="clear" w:color="auto" w:fill="auto"/>
            <w:vAlign w:val="center"/>
            <w:hideMark/>
          </w:tcPr>
          <w:p w14:paraId="76E70C0B" w14:textId="77777777" w:rsidR="006C238D" w:rsidRPr="006C238D" w:rsidRDefault="006C238D" w:rsidP="006C238D">
            <w:pPr>
              <w:jc w:val="right"/>
              <w:rPr>
                <w:rFonts w:ascii="Arial Narrow" w:hAnsi="Arial Narrow" w:cs="Calibri"/>
                <w:b/>
                <w:bCs/>
                <w:color w:val="000000"/>
                <w:sz w:val="20"/>
                <w:szCs w:val="20"/>
              </w:rPr>
            </w:pPr>
            <w:r w:rsidRPr="006C238D">
              <w:rPr>
                <w:rFonts w:ascii="Arial Narrow" w:hAnsi="Arial Narrow" w:cs="Calibri"/>
                <w:b/>
                <w:bCs/>
                <w:color w:val="000000"/>
                <w:sz w:val="20"/>
                <w:szCs w:val="20"/>
                <w:lang w:val="bg-BG"/>
              </w:rPr>
              <w:t>147 798,2</w:t>
            </w:r>
          </w:p>
        </w:tc>
        <w:tc>
          <w:tcPr>
            <w:tcW w:w="1910" w:type="dxa"/>
            <w:tcBorders>
              <w:top w:val="nil"/>
              <w:left w:val="nil"/>
              <w:bottom w:val="single" w:sz="4" w:space="0" w:color="auto"/>
              <w:right w:val="single" w:sz="4" w:space="0" w:color="auto"/>
            </w:tcBorders>
            <w:shd w:val="clear" w:color="auto" w:fill="auto"/>
            <w:vAlign w:val="center"/>
            <w:hideMark/>
          </w:tcPr>
          <w:p w14:paraId="18C5FBFB" w14:textId="77777777" w:rsidR="006C238D" w:rsidRPr="006C238D" w:rsidRDefault="006C238D" w:rsidP="006C238D">
            <w:pPr>
              <w:jc w:val="right"/>
              <w:rPr>
                <w:rFonts w:ascii="Arial Narrow" w:hAnsi="Arial Narrow" w:cs="Calibri"/>
                <w:b/>
                <w:bCs/>
                <w:color w:val="000000"/>
                <w:sz w:val="20"/>
                <w:szCs w:val="20"/>
              </w:rPr>
            </w:pPr>
            <w:r w:rsidRPr="006C238D">
              <w:rPr>
                <w:rFonts w:ascii="Arial Narrow" w:hAnsi="Arial Narrow" w:cs="Calibri"/>
                <w:b/>
                <w:bCs/>
                <w:color w:val="000000"/>
                <w:sz w:val="20"/>
                <w:szCs w:val="20"/>
                <w:lang w:val="bg-BG"/>
              </w:rPr>
              <w:t>198 050,9</w:t>
            </w:r>
          </w:p>
        </w:tc>
      </w:tr>
    </w:tbl>
    <w:p w14:paraId="5B2498FE" w14:textId="77777777" w:rsidR="006C238D" w:rsidRPr="00725099" w:rsidRDefault="006C238D" w:rsidP="006C238D">
      <w:pPr>
        <w:autoSpaceDE w:val="0"/>
        <w:autoSpaceDN w:val="0"/>
        <w:adjustRightInd w:val="0"/>
        <w:spacing w:after="240"/>
        <w:jc w:val="both"/>
        <w:rPr>
          <w:rFonts w:ascii="Arial Narrow" w:hAnsi="Arial Narrow"/>
          <w:sz w:val="18"/>
          <w:szCs w:val="18"/>
          <w:lang w:val="bg-BG" w:eastAsia="bg-BG"/>
        </w:rPr>
      </w:pPr>
      <w:r w:rsidRPr="00725099">
        <w:rPr>
          <w:rFonts w:ascii="Arial Narrow" w:eastAsia="Calibri" w:hAnsi="Arial Narrow" w:cs="Arial"/>
          <w:i/>
          <w:sz w:val="18"/>
          <w:szCs w:val="18"/>
          <w:lang w:val="bg-BG"/>
        </w:rPr>
        <w:t>Източник:</w:t>
      </w:r>
      <w:r w:rsidRPr="00725099">
        <w:rPr>
          <w:rFonts w:ascii="Arial Narrow" w:hAnsi="Arial Narrow"/>
          <w:sz w:val="16"/>
          <w:szCs w:val="16"/>
          <w:lang w:val="bg-BG" w:eastAsia="bg-BG"/>
        </w:rPr>
        <w:t xml:space="preserve"> </w:t>
      </w:r>
      <w:r w:rsidRPr="00725099">
        <w:rPr>
          <w:rFonts w:ascii="Arial Narrow" w:hAnsi="Arial Narrow"/>
          <w:sz w:val="18"/>
          <w:szCs w:val="18"/>
          <w:lang w:val="bg-BG" w:eastAsia="bg-BG"/>
        </w:rPr>
        <w:t>МЗХ, по данни от контролиращите лица въведени в регистъра по чл. 16а, ал. 1, т. 1 от Закон за прилагане на Общата организация на пазарите на земеделски продукти на Европейския съюз.</w:t>
      </w:r>
    </w:p>
    <w:p w14:paraId="260E1DEB" w14:textId="77777777" w:rsidR="006C238D" w:rsidRPr="006C238D" w:rsidRDefault="00AB4A2A" w:rsidP="006C238D">
      <w:pPr>
        <w:spacing w:after="120"/>
        <w:jc w:val="both"/>
        <w:rPr>
          <w:rFonts w:ascii="Arial Narrow" w:hAnsi="Arial Narrow"/>
          <w:b/>
          <w:lang w:val="bg-BG" w:eastAsia="bg-BG"/>
        </w:rPr>
      </w:pPr>
      <w:r>
        <w:rPr>
          <w:rFonts w:ascii="Arial Narrow" w:hAnsi="Arial Narrow"/>
          <w:b/>
          <w:lang w:val="bg-BG" w:eastAsia="bg-BG"/>
        </w:rPr>
        <w:t>Таблица</w:t>
      </w:r>
      <w:r w:rsidRPr="00AB4A2A">
        <w:rPr>
          <w:rFonts w:ascii="Arial Narrow" w:eastAsia="Calibri" w:hAnsi="Arial Narrow" w:cs="Arial"/>
          <w:b/>
          <w:iCs/>
          <w:lang w:val="bg-BG"/>
        </w:rPr>
        <w:t xml:space="preserve"> </w:t>
      </w:r>
      <w:r>
        <w:rPr>
          <w:rFonts w:ascii="Arial Narrow" w:eastAsia="Calibri" w:hAnsi="Arial Narrow" w:cs="Arial"/>
          <w:b/>
          <w:iCs/>
          <w:lang w:val="bg-BG"/>
        </w:rPr>
        <w:t>ІІ.31</w:t>
      </w:r>
      <w:r w:rsidR="006C238D" w:rsidRPr="006C238D">
        <w:rPr>
          <w:rFonts w:ascii="Arial Narrow" w:hAnsi="Arial Narrow"/>
          <w:b/>
          <w:lang w:val="bg-BG" w:eastAsia="bg-BG"/>
        </w:rPr>
        <w:t xml:space="preserve"> Площи на земеделски култури, отглеждани по биологичен начин и площи в преход (ха)</w:t>
      </w:r>
    </w:p>
    <w:tbl>
      <w:tblPr>
        <w:tblW w:w="4906" w:type="pct"/>
        <w:tblInd w:w="108" w:type="dxa"/>
        <w:tblLook w:val="04A0" w:firstRow="1" w:lastRow="0" w:firstColumn="1" w:lastColumn="0" w:noHBand="0" w:noVBand="1"/>
      </w:tblPr>
      <w:tblGrid>
        <w:gridCol w:w="2973"/>
        <w:gridCol w:w="1107"/>
        <w:gridCol w:w="1107"/>
        <w:gridCol w:w="1107"/>
        <w:gridCol w:w="1107"/>
        <w:gridCol w:w="1107"/>
        <w:gridCol w:w="1108"/>
      </w:tblGrid>
      <w:tr w:rsidR="006C238D" w:rsidRPr="006C238D" w14:paraId="2FD63318" w14:textId="77777777" w:rsidTr="006C238D">
        <w:trPr>
          <w:trHeight w:val="737"/>
          <w:tblHeader/>
        </w:trPr>
        <w:tc>
          <w:tcPr>
            <w:tcW w:w="293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69E8B74" w14:textId="77777777" w:rsidR="006C238D" w:rsidRPr="006C238D" w:rsidRDefault="006C238D" w:rsidP="006C238D">
            <w:pPr>
              <w:jc w:val="center"/>
              <w:rPr>
                <w:rFonts w:ascii="Arial Narrow" w:hAnsi="Arial Narrow" w:cs="Calibri"/>
                <w:b/>
                <w:bCs/>
                <w:color w:val="000000"/>
                <w:sz w:val="20"/>
                <w:szCs w:val="20"/>
              </w:rPr>
            </w:pPr>
            <w:r w:rsidRPr="006C238D">
              <w:rPr>
                <w:rFonts w:ascii="Arial Narrow" w:hAnsi="Arial Narrow" w:cs="Calibri"/>
                <w:b/>
                <w:bCs/>
                <w:color w:val="000000"/>
                <w:sz w:val="20"/>
                <w:szCs w:val="20"/>
                <w:lang w:val="bg-BG"/>
              </w:rPr>
              <w:t>Вид култури</w:t>
            </w:r>
          </w:p>
        </w:tc>
        <w:tc>
          <w:tcPr>
            <w:tcW w:w="2188" w:type="dxa"/>
            <w:gridSpan w:val="2"/>
            <w:tcBorders>
              <w:top w:val="single" w:sz="4" w:space="0" w:color="auto"/>
              <w:left w:val="nil"/>
              <w:bottom w:val="single" w:sz="4" w:space="0" w:color="auto"/>
              <w:right w:val="single" w:sz="4" w:space="0" w:color="auto"/>
            </w:tcBorders>
            <w:shd w:val="clear" w:color="auto" w:fill="auto"/>
            <w:vAlign w:val="center"/>
            <w:hideMark/>
          </w:tcPr>
          <w:p w14:paraId="0B5894C5" w14:textId="77777777" w:rsidR="006C238D" w:rsidRPr="006C238D" w:rsidRDefault="006C238D" w:rsidP="006C238D">
            <w:pPr>
              <w:jc w:val="center"/>
              <w:rPr>
                <w:rFonts w:ascii="Arial Narrow" w:hAnsi="Arial Narrow" w:cs="Calibri"/>
                <w:b/>
                <w:bCs/>
                <w:color w:val="000000"/>
                <w:sz w:val="20"/>
                <w:szCs w:val="20"/>
              </w:rPr>
            </w:pPr>
            <w:r w:rsidRPr="006C238D">
              <w:rPr>
                <w:rFonts w:ascii="Arial Narrow" w:hAnsi="Arial Narrow" w:cs="Calibri"/>
                <w:b/>
                <w:bCs/>
                <w:color w:val="000000"/>
                <w:sz w:val="20"/>
                <w:szCs w:val="20"/>
                <w:lang w:val="bg-BG"/>
              </w:rPr>
              <w:t>Площи в преходен период</w:t>
            </w:r>
          </w:p>
        </w:tc>
        <w:tc>
          <w:tcPr>
            <w:tcW w:w="2188" w:type="dxa"/>
            <w:gridSpan w:val="2"/>
            <w:tcBorders>
              <w:top w:val="single" w:sz="4" w:space="0" w:color="auto"/>
              <w:left w:val="nil"/>
              <w:bottom w:val="single" w:sz="4" w:space="0" w:color="auto"/>
              <w:right w:val="single" w:sz="4" w:space="0" w:color="auto"/>
            </w:tcBorders>
            <w:shd w:val="clear" w:color="auto" w:fill="auto"/>
            <w:vAlign w:val="center"/>
            <w:hideMark/>
          </w:tcPr>
          <w:p w14:paraId="605002CF" w14:textId="77777777" w:rsidR="006C238D" w:rsidRPr="006C238D" w:rsidRDefault="006C238D" w:rsidP="006C238D">
            <w:pPr>
              <w:jc w:val="center"/>
              <w:rPr>
                <w:rFonts w:ascii="Arial Narrow" w:hAnsi="Arial Narrow" w:cs="Calibri"/>
                <w:b/>
                <w:bCs/>
                <w:color w:val="000000"/>
                <w:sz w:val="20"/>
                <w:szCs w:val="20"/>
              </w:rPr>
            </w:pPr>
            <w:r w:rsidRPr="006C238D">
              <w:rPr>
                <w:rFonts w:ascii="Arial Narrow" w:hAnsi="Arial Narrow" w:cs="Calibri"/>
                <w:b/>
                <w:bCs/>
                <w:color w:val="000000"/>
                <w:sz w:val="20"/>
                <w:szCs w:val="20"/>
                <w:lang w:val="bg-BG"/>
              </w:rPr>
              <w:t>Площи, преминали периода на преход</w:t>
            </w:r>
          </w:p>
        </w:tc>
        <w:tc>
          <w:tcPr>
            <w:tcW w:w="2189" w:type="dxa"/>
            <w:gridSpan w:val="2"/>
            <w:tcBorders>
              <w:top w:val="single" w:sz="4" w:space="0" w:color="auto"/>
              <w:left w:val="nil"/>
              <w:bottom w:val="single" w:sz="4" w:space="0" w:color="auto"/>
              <w:right w:val="single" w:sz="4" w:space="0" w:color="auto"/>
            </w:tcBorders>
            <w:shd w:val="clear" w:color="auto" w:fill="auto"/>
            <w:vAlign w:val="center"/>
            <w:hideMark/>
          </w:tcPr>
          <w:p w14:paraId="7888B6B5" w14:textId="77777777" w:rsidR="006C238D" w:rsidRPr="006C238D" w:rsidRDefault="006C238D" w:rsidP="006C238D">
            <w:pPr>
              <w:jc w:val="center"/>
              <w:rPr>
                <w:rFonts w:ascii="Arial Narrow" w:hAnsi="Arial Narrow" w:cs="Calibri"/>
                <w:b/>
                <w:bCs/>
                <w:color w:val="000000"/>
                <w:sz w:val="20"/>
                <w:szCs w:val="20"/>
              </w:rPr>
            </w:pPr>
            <w:r w:rsidRPr="006C238D">
              <w:rPr>
                <w:rFonts w:ascii="Arial Narrow" w:hAnsi="Arial Narrow" w:cs="Calibri"/>
                <w:b/>
                <w:bCs/>
                <w:color w:val="000000"/>
                <w:sz w:val="20"/>
                <w:szCs w:val="20"/>
                <w:lang w:val="bg-BG"/>
              </w:rPr>
              <w:t>Общо площи</w:t>
            </w:r>
          </w:p>
        </w:tc>
      </w:tr>
      <w:tr w:rsidR="006C238D" w:rsidRPr="006C238D" w14:paraId="46BCA4AB" w14:textId="77777777" w:rsidTr="006C238D">
        <w:trPr>
          <w:trHeight w:val="407"/>
          <w:tblHeader/>
        </w:trPr>
        <w:tc>
          <w:tcPr>
            <w:tcW w:w="2937" w:type="dxa"/>
            <w:vMerge/>
            <w:tcBorders>
              <w:top w:val="single" w:sz="4" w:space="0" w:color="auto"/>
              <w:left w:val="single" w:sz="4" w:space="0" w:color="auto"/>
              <w:bottom w:val="single" w:sz="4" w:space="0" w:color="auto"/>
              <w:right w:val="single" w:sz="4" w:space="0" w:color="auto"/>
            </w:tcBorders>
            <w:vAlign w:val="center"/>
            <w:hideMark/>
          </w:tcPr>
          <w:p w14:paraId="4772E494" w14:textId="77777777" w:rsidR="006C238D" w:rsidRPr="006C238D" w:rsidRDefault="006C238D" w:rsidP="006C238D">
            <w:pPr>
              <w:rPr>
                <w:rFonts w:ascii="Arial Narrow" w:hAnsi="Arial Narrow" w:cs="Calibri"/>
                <w:b/>
                <w:bCs/>
                <w:color w:val="000000"/>
                <w:sz w:val="20"/>
                <w:szCs w:val="20"/>
              </w:rPr>
            </w:pPr>
          </w:p>
        </w:tc>
        <w:tc>
          <w:tcPr>
            <w:tcW w:w="1094" w:type="dxa"/>
            <w:tcBorders>
              <w:top w:val="nil"/>
              <w:left w:val="nil"/>
              <w:bottom w:val="single" w:sz="4" w:space="0" w:color="auto"/>
              <w:right w:val="single" w:sz="4" w:space="0" w:color="auto"/>
            </w:tcBorders>
            <w:shd w:val="clear" w:color="000000" w:fill="FFFFFF"/>
            <w:vAlign w:val="center"/>
            <w:hideMark/>
          </w:tcPr>
          <w:p w14:paraId="1DB7D8D6" w14:textId="77777777" w:rsidR="006C238D" w:rsidRPr="006C238D" w:rsidRDefault="006C238D" w:rsidP="006C238D">
            <w:pPr>
              <w:jc w:val="center"/>
              <w:rPr>
                <w:rFonts w:ascii="Arial Narrow" w:hAnsi="Arial Narrow" w:cs="Calibri"/>
                <w:b/>
                <w:bCs/>
                <w:color w:val="000000"/>
                <w:sz w:val="20"/>
                <w:szCs w:val="20"/>
              </w:rPr>
            </w:pPr>
            <w:r w:rsidRPr="006C238D">
              <w:rPr>
                <w:rFonts w:ascii="Arial Narrow" w:hAnsi="Arial Narrow" w:cs="Calibri"/>
                <w:b/>
                <w:bCs/>
                <w:color w:val="000000"/>
                <w:sz w:val="20"/>
                <w:szCs w:val="20"/>
                <w:lang w:val="bg-BG"/>
              </w:rPr>
              <w:t>2023</w:t>
            </w:r>
          </w:p>
        </w:tc>
        <w:tc>
          <w:tcPr>
            <w:tcW w:w="1094" w:type="dxa"/>
            <w:tcBorders>
              <w:top w:val="nil"/>
              <w:left w:val="nil"/>
              <w:bottom w:val="single" w:sz="4" w:space="0" w:color="auto"/>
              <w:right w:val="single" w:sz="4" w:space="0" w:color="auto"/>
            </w:tcBorders>
            <w:shd w:val="clear" w:color="000000" w:fill="FFFFFF"/>
            <w:vAlign w:val="center"/>
            <w:hideMark/>
          </w:tcPr>
          <w:p w14:paraId="31063FC4" w14:textId="77777777" w:rsidR="006C238D" w:rsidRPr="006C238D" w:rsidRDefault="006C238D" w:rsidP="006C238D">
            <w:pPr>
              <w:jc w:val="center"/>
              <w:rPr>
                <w:rFonts w:ascii="Arial Narrow" w:hAnsi="Arial Narrow" w:cs="Calibri"/>
                <w:b/>
                <w:bCs/>
                <w:color w:val="000000"/>
                <w:sz w:val="20"/>
                <w:szCs w:val="20"/>
              </w:rPr>
            </w:pPr>
            <w:r w:rsidRPr="006C238D">
              <w:rPr>
                <w:rFonts w:ascii="Arial Narrow" w:hAnsi="Arial Narrow" w:cs="Calibri"/>
                <w:b/>
                <w:bCs/>
                <w:color w:val="000000"/>
                <w:sz w:val="20"/>
                <w:szCs w:val="20"/>
                <w:lang w:val="bg-BG"/>
              </w:rPr>
              <w:t>2024</w:t>
            </w:r>
          </w:p>
        </w:tc>
        <w:tc>
          <w:tcPr>
            <w:tcW w:w="1094" w:type="dxa"/>
            <w:tcBorders>
              <w:top w:val="nil"/>
              <w:left w:val="nil"/>
              <w:bottom w:val="single" w:sz="4" w:space="0" w:color="auto"/>
              <w:right w:val="single" w:sz="4" w:space="0" w:color="auto"/>
            </w:tcBorders>
            <w:shd w:val="clear" w:color="000000" w:fill="FFFFFF"/>
            <w:vAlign w:val="center"/>
            <w:hideMark/>
          </w:tcPr>
          <w:p w14:paraId="57C91A9E" w14:textId="77777777" w:rsidR="006C238D" w:rsidRPr="006C238D" w:rsidRDefault="006C238D" w:rsidP="006C238D">
            <w:pPr>
              <w:jc w:val="center"/>
              <w:rPr>
                <w:rFonts w:ascii="Arial Narrow" w:hAnsi="Arial Narrow" w:cs="Calibri"/>
                <w:b/>
                <w:bCs/>
                <w:color w:val="000000"/>
                <w:sz w:val="20"/>
                <w:szCs w:val="20"/>
              </w:rPr>
            </w:pPr>
            <w:r w:rsidRPr="006C238D">
              <w:rPr>
                <w:rFonts w:ascii="Arial Narrow" w:hAnsi="Arial Narrow" w:cs="Calibri"/>
                <w:b/>
                <w:bCs/>
                <w:color w:val="000000"/>
                <w:sz w:val="20"/>
                <w:szCs w:val="20"/>
                <w:lang w:val="bg-BG"/>
              </w:rPr>
              <w:t>2023</w:t>
            </w:r>
          </w:p>
        </w:tc>
        <w:tc>
          <w:tcPr>
            <w:tcW w:w="1094" w:type="dxa"/>
            <w:tcBorders>
              <w:top w:val="nil"/>
              <w:left w:val="nil"/>
              <w:bottom w:val="single" w:sz="4" w:space="0" w:color="auto"/>
              <w:right w:val="single" w:sz="4" w:space="0" w:color="auto"/>
            </w:tcBorders>
            <w:shd w:val="clear" w:color="000000" w:fill="FFFFFF"/>
            <w:vAlign w:val="center"/>
            <w:hideMark/>
          </w:tcPr>
          <w:p w14:paraId="590F0620" w14:textId="77777777" w:rsidR="006C238D" w:rsidRPr="006C238D" w:rsidRDefault="006C238D" w:rsidP="006C238D">
            <w:pPr>
              <w:jc w:val="center"/>
              <w:rPr>
                <w:rFonts w:ascii="Arial Narrow" w:hAnsi="Arial Narrow" w:cs="Calibri"/>
                <w:b/>
                <w:bCs/>
                <w:color w:val="000000"/>
                <w:sz w:val="20"/>
                <w:szCs w:val="20"/>
              </w:rPr>
            </w:pPr>
            <w:r w:rsidRPr="006C238D">
              <w:rPr>
                <w:rFonts w:ascii="Arial Narrow" w:hAnsi="Arial Narrow" w:cs="Calibri"/>
                <w:b/>
                <w:bCs/>
                <w:color w:val="000000"/>
                <w:sz w:val="20"/>
                <w:szCs w:val="20"/>
                <w:lang w:val="bg-BG"/>
              </w:rPr>
              <w:t>2024</w:t>
            </w:r>
          </w:p>
        </w:tc>
        <w:tc>
          <w:tcPr>
            <w:tcW w:w="1094" w:type="dxa"/>
            <w:tcBorders>
              <w:top w:val="nil"/>
              <w:left w:val="nil"/>
              <w:bottom w:val="single" w:sz="4" w:space="0" w:color="auto"/>
              <w:right w:val="single" w:sz="4" w:space="0" w:color="auto"/>
            </w:tcBorders>
            <w:shd w:val="clear" w:color="000000" w:fill="FFFFFF"/>
            <w:vAlign w:val="center"/>
            <w:hideMark/>
          </w:tcPr>
          <w:p w14:paraId="306AD497" w14:textId="77777777" w:rsidR="006C238D" w:rsidRPr="006C238D" w:rsidRDefault="006C238D" w:rsidP="006C238D">
            <w:pPr>
              <w:jc w:val="center"/>
              <w:rPr>
                <w:rFonts w:ascii="Arial Narrow" w:hAnsi="Arial Narrow" w:cs="Calibri"/>
                <w:b/>
                <w:bCs/>
                <w:color w:val="000000"/>
                <w:sz w:val="20"/>
                <w:szCs w:val="20"/>
              </w:rPr>
            </w:pPr>
            <w:r w:rsidRPr="006C238D">
              <w:rPr>
                <w:rFonts w:ascii="Arial Narrow" w:hAnsi="Arial Narrow" w:cs="Calibri"/>
                <w:b/>
                <w:bCs/>
                <w:color w:val="000000"/>
                <w:sz w:val="20"/>
                <w:szCs w:val="20"/>
                <w:lang w:val="bg-BG"/>
              </w:rPr>
              <w:t>2023</w:t>
            </w:r>
          </w:p>
        </w:tc>
        <w:tc>
          <w:tcPr>
            <w:tcW w:w="1095" w:type="dxa"/>
            <w:tcBorders>
              <w:top w:val="nil"/>
              <w:left w:val="nil"/>
              <w:bottom w:val="single" w:sz="4" w:space="0" w:color="auto"/>
              <w:right w:val="single" w:sz="4" w:space="0" w:color="auto"/>
            </w:tcBorders>
            <w:shd w:val="clear" w:color="000000" w:fill="FFFFFF"/>
            <w:vAlign w:val="center"/>
            <w:hideMark/>
          </w:tcPr>
          <w:p w14:paraId="0D6A6BF7" w14:textId="77777777" w:rsidR="006C238D" w:rsidRPr="006C238D" w:rsidRDefault="006C238D" w:rsidP="006C238D">
            <w:pPr>
              <w:jc w:val="center"/>
              <w:rPr>
                <w:rFonts w:ascii="Arial Narrow" w:hAnsi="Arial Narrow" w:cs="Calibri"/>
                <w:b/>
                <w:bCs/>
                <w:color w:val="000000"/>
                <w:sz w:val="20"/>
                <w:szCs w:val="20"/>
              </w:rPr>
            </w:pPr>
            <w:r w:rsidRPr="006C238D">
              <w:rPr>
                <w:rFonts w:ascii="Arial Narrow" w:hAnsi="Arial Narrow" w:cs="Calibri"/>
                <w:b/>
                <w:bCs/>
                <w:color w:val="000000"/>
                <w:sz w:val="20"/>
                <w:szCs w:val="20"/>
                <w:lang w:val="bg-BG"/>
              </w:rPr>
              <w:t>2024</w:t>
            </w:r>
          </w:p>
        </w:tc>
      </w:tr>
      <w:tr w:rsidR="006C238D" w:rsidRPr="006C238D" w14:paraId="0ADDF27B" w14:textId="77777777" w:rsidTr="00BA7C7F">
        <w:trPr>
          <w:trHeight w:val="407"/>
        </w:trPr>
        <w:tc>
          <w:tcPr>
            <w:tcW w:w="2937" w:type="dxa"/>
            <w:tcBorders>
              <w:top w:val="nil"/>
              <w:left w:val="single" w:sz="4" w:space="0" w:color="auto"/>
              <w:bottom w:val="single" w:sz="4" w:space="0" w:color="auto"/>
              <w:right w:val="single" w:sz="4" w:space="0" w:color="auto"/>
            </w:tcBorders>
            <w:shd w:val="clear" w:color="auto" w:fill="auto"/>
            <w:vAlign w:val="center"/>
            <w:hideMark/>
          </w:tcPr>
          <w:p w14:paraId="4E0607F7" w14:textId="77777777" w:rsidR="006C238D" w:rsidRPr="006C238D" w:rsidRDefault="006C238D" w:rsidP="006C238D">
            <w:pPr>
              <w:rPr>
                <w:rFonts w:ascii="Arial Narrow" w:hAnsi="Arial Narrow" w:cs="Calibri"/>
                <w:color w:val="000000"/>
                <w:sz w:val="20"/>
                <w:szCs w:val="20"/>
              </w:rPr>
            </w:pPr>
            <w:r w:rsidRPr="006C238D">
              <w:rPr>
                <w:rFonts w:ascii="Arial Narrow" w:hAnsi="Arial Narrow" w:cs="Calibri"/>
                <w:color w:val="000000"/>
                <w:sz w:val="20"/>
                <w:szCs w:val="20"/>
                <w:lang w:val="bg-BG"/>
              </w:rPr>
              <w:t>Зърнено-житни култури, вкл. ориз</w:t>
            </w:r>
          </w:p>
        </w:tc>
        <w:tc>
          <w:tcPr>
            <w:tcW w:w="1094" w:type="dxa"/>
            <w:tcBorders>
              <w:top w:val="nil"/>
              <w:left w:val="nil"/>
              <w:bottom w:val="single" w:sz="4" w:space="0" w:color="auto"/>
              <w:right w:val="single" w:sz="4" w:space="0" w:color="auto"/>
            </w:tcBorders>
            <w:shd w:val="clear" w:color="auto" w:fill="auto"/>
            <w:vAlign w:val="center"/>
            <w:hideMark/>
          </w:tcPr>
          <w:p w14:paraId="586C7262" w14:textId="77777777" w:rsidR="006C238D" w:rsidRPr="006C238D" w:rsidRDefault="006C238D" w:rsidP="006C238D">
            <w:pPr>
              <w:jc w:val="right"/>
              <w:rPr>
                <w:rFonts w:ascii="Arial Narrow" w:hAnsi="Arial Narrow" w:cs="Calibri"/>
                <w:color w:val="000000"/>
                <w:sz w:val="20"/>
                <w:szCs w:val="20"/>
              </w:rPr>
            </w:pPr>
            <w:r w:rsidRPr="006C238D">
              <w:rPr>
                <w:rFonts w:ascii="Arial Narrow" w:hAnsi="Arial Narrow" w:cs="Calibri"/>
                <w:color w:val="000000"/>
                <w:sz w:val="20"/>
                <w:szCs w:val="20"/>
                <w:lang w:val="bg-BG"/>
              </w:rPr>
              <w:t>8 087,9</w:t>
            </w:r>
          </w:p>
        </w:tc>
        <w:tc>
          <w:tcPr>
            <w:tcW w:w="1094" w:type="dxa"/>
            <w:tcBorders>
              <w:top w:val="nil"/>
              <w:left w:val="nil"/>
              <w:bottom w:val="single" w:sz="4" w:space="0" w:color="auto"/>
              <w:right w:val="single" w:sz="4" w:space="0" w:color="auto"/>
            </w:tcBorders>
            <w:shd w:val="clear" w:color="auto" w:fill="auto"/>
            <w:vAlign w:val="center"/>
            <w:hideMark/>
          </w:tcPr>
          <w:p w14:paraId="536D09C5" w14:textId="77777777" w:rsidR="006C238D" w:rsidRPr="006C238D" w:rsidRDefault="006C238D" w:rsidP="006C238D">
            <w:pPr>
              <w:jc w:val="right"/>
              <w:rPr>
                <w:rFonts w:ascii="Arial Narrow" w:hAnsi="Arial Narrow" w:cs="Calibri"/>
                <w:color w:val="000000"/>
                <w:sz w:val="20"/>
                <w:szCs w:val="20"/>
              </w:rPr>
            </w:pPr>
            <w:r w:rsidRPr="006C238D">
              <w:rPr>
                <w:rFonts w:ascii="Arial Narrow" w:hAnsi="Arial Narrow" w:cs="Calibri"/>
                <w:color w:val="000000"/>
                <w:sz w:val="20"/>
                <w:szCs w:val="20"/>
                <w:lang w:val="bg-BG"/>
              </w:rPr>
              <w:t>16 504,7</w:t>
            </w:r>
          </w:p>
        </w:tc>
        <w:tc>
          <w:tcPr>
            <w:tcW w:w="1094" w:type="dxa"/>
            <w:tcBorders>
              <w:top w:val="nil"/>
              <w:left w:val="nil"/>
              <w:bottom w:val="single" w:sz="4" w:space="0" w:color="auto"/>
              <w:right w:val="single" w:sz="4" w:space="0" w:color="auto"/>
            </w:tcBorders>
            <w:shd w:val="clear" w:color="auto" w:fill="auto"/>
            <w:vAlign w:val="center"/>
            <w:hideMark/>
          </w:tcPr>
          <w:p w14:paraId="191CA130" w14:textId="77777777" w:rsidR="006C238D" w:rsidRPr="006C238D" w:rsidRDefault="006C238D" w:rsidP="006C238D">
            <w:pPr>
              <w:jc w:val="right"/>
              <w:rPr>
                <w:rFonts w:ascii="Arial Narrow" w:hAnsi="Arial Narrow" w:cs="Calibri"/>
                <w:color w:val="000000"/>
                <w:sz w:val="20"/>
                <w:szCs w:val="20"/>
              </w:rPr>
            </w:pPr>
            <w:r w:rsidRPr="006C238D">
              <w:rPr>
                <w:rFonts w:ascii="Arial Narrow" w:hAnsi="Arial Narrow" w:cs="Calibri"/>
                <w:color w:val="000000"/>
                <w:sz w:val="20"/>
                <w:szCs w:val="20"/>
                <w:lang w:val="bg-BG"/>
              </w:rPr>
              <w:t>10 351,3</w:t>
            </w:r>
          </w:p>
        </w:tc>
        <w:tc>
          <w:tcPr>
            <w:tcW w:w="1094" w:type="dxa"/>
            <w:tcBorders>
              <w:top w:val="nil"/>
              <w:left w:val="nil"/>
              <w:bottom w:val="single" w:sz="4" w:space="0" w:color="auto"/>
              <w:right w:val="single" w:sz="4" w:space="0" w:color="auto"/>
            </w:tcBorders>
            <w:shd w:val="clear" w:color="auto" w:fill="auto"/>
            <w:vAlign w:val="center"/>
            <w:hideMark/>
          </w:tcPr>
          <w:p w14:paraId="7A606103" w14:textId="77777777" w:rsidR="006C238D" w:rsidRPr="006C238D" w:rsidRDefault="006C238D" w:rsidP="006C238D">
            <w:pPr>
              <w:jc w:val="right"/>
              <w:rPr>
                <w:rFonts w:ascii="Arial Narrow" w:hAnsi="Arial Narrow" w:cs="Calibri"/>
                <w:color w:val="000000"/>
                <w:sz w:val="20"/>
                <w:szCs w:val="20"/>
              </w:rPr>
            </w:pPr>
            <w:r w:rsidRPr="006C238D">
              <w:rPr>
                <w:rFonts w:ascii="Arial Narrow" w:hAnsi="Arial Narrow" w:cs="Calibri"/>
                <w:color w:val="000000"/>
                <w:sz w:val="20"/>
                <w:szCs w:val="20"/>
                <w:lang w:val="bg-BG"/>
              </w:rPr>
              <w:t>12 913,5</w:t>
            </w:r>
          </w:p>
        </w:tc>
        <w:tc>
          <w:tcPr>
            <w:tcW w:w="1094" w:type="dxa"/>
            <w:tcBorders>
              <w:top w:val="nil"/>
              <w:left w:val="nil"/>
              <w:bottom w:val="single" w:sz="4" w:space="0" w:color="auto"/>
              <w:right w:val="single" w:sz="4" w:space="0" w:color="auto"/>
            </w:tcBorders>
            <w:shd w:val="clear" w:color="auto" w:fill="auto"/>
            <w:vAlign w:val="center"/>
            <w:hideMark/>
          </w:tcPr>
          <w:p w14:paraId="5E76A13B" w14:textId="77777777" w:rsidR="006C238D" w:rsidRPr="006C238D" w:rsidRDefault="006C238D" w:rsidP="006C238D">
            <w:pPr>
              <w:jc w:val="right"/>
              <w:rPr>
                <w:rFonts w:ascii="Arial Narrow" w:hAnsi="Arial Narrow" w:cs="Calibri"/>
                <w:color w:val="000000"/>
                <w:sz w:val="20"/>
                <w:szCs w:val="20"/>
              </w:rPr>
            </w:pPr>
            <w:r w:rsidRPr="006C238D">
              <w:rPr>
                <w:rFonts w:ascii="Arial Narrow" w:hAnsi="Arial Narrow" w:cs="Calibri"/>
                <w:color w:val="000000"/>
                <w:sz w:val="20"/>
                <w:szCs w:val="20"/>
                <w:lang w:val="bg-BG"/>
              </w:rPr>
              <w:t>18 439,2</w:t>
            </w:r>
          </w:p>
        </w:tc>
        <w:tc>
          <w:tcPr>
            <w:tcW w:w="1095" w:type="dxa"/>
            <w:tcBorders>
              <w:top w:val="nil"/>
              <w:left w:val="nil"/>
              <w:bottom w:val="single" w:sz="4" w:space="0" w:color="auto"/>
              <w:right w:val="single" w:sz="4" w:space="0" w:color="auto"/>
            </w:tcBorders>
            <w:shd w:val="clear" w:color="auto" w:fill="auto"/>
            <w:vAlign w:val="center"/>
            <w:hideMark/>
          </w:tcPr>
          <w:p w14:paraId="08143911" w14:textId="77777777" w:rsidR="006C238D" w:rsidRPr="006C238D" w:rsidRDefault="006C238D" w:rsidP="006C238D">
            <w:pPr>
              <w:jc w:val="right"/>
              <w:rPr>
                <w:rFonts w:ascii="Arial Narrow" w:hAnsi="Arial Narrow" w:cs="Calibri"/>
                <w:color w:val="000000"/>
                <w:sz w:val="20"/>
                <w:szCs w:val="20"/>
              </w:rPr>
            </w:pPr>
            <w:r w:rsidRPr="006C238D">
              <w:rPr>
                <w:rFonts w:ascii="Arial Narrow" w:hAnsi="Arial Narrow" w:cs="Calibri"/>
                <w:color w:val="000000"/>
                <w:sz w:val="20"/>
                <w:szCs w:val="20"/>
                <w:lang w:val="bg-BG"/>
              </w:rPr>
              <w:t>29 418,2</w:t>
            </w:r>
          </w:p>
        </w:tc>
      </w:tr>
      <w:tr w:rsidR="006C238D" w:rsidRPr="006C238D" w14:paraId="0E978151" w14:textId="77777777" w:rsidTr="00BA7C7F">
        <w:trPr>
          <w:trHeight w:val="624"/>
        </w:trPr>
        <w:tc>
          <w:tcPr>
            <w:tcW w:w="2937" w:type="dxa"/>
            <w:tcBorders>
              <w:top w:val="nil"/>
              <w:left w:val="single" w:sz="4" w:space="0" w:color="auto"/>
              <w:bottom w:val="single" w:sz="4" w:space="0" w:color="auto"/>
              <w:right w:val="single" w:sz="4" w:space="0" w:color="auto"/>
            </w:tcBorders>
            <w:shd w:val="clear" w:color="auto" w:fill="auto"/>
            <w:vAlign w:val="center"/>
            <w:hideMark/>
          </w:tcPr>
          <w:p w14:paraId="7FAC2016" w14:textId="77777777" w:rsidR="006C238D" w:rsidRPr="006C238D" w:rsidRDefault="006C238D" w:rsidP="006C238D">
            <w:pPr>
              <w:rPr>
                <w:rFonts w:ascii="Arial Narrow" w:hAnsi="Arial Narrow" w:cs="Calibri"/>
                <w:color w:val="000000"/>
                <w:sz w:val="20"/>
                <w:szCs w:val="20"/>
              </w:rPr>
            </w:pPr>
            <w:r w:rsidRPr="006C238D">
              <w:rPr>
                <w:rFonts w:ascii="Arial Narrow" w:hAnsi="Arial Narrow" w:cs="Calibri"/>
                <w:color w:val="000000"/>
                <w:sz w:val="20"/>
                <w:szCs w:val="20"/>
                <w:lang w:val="bg-BG"/>
              </w:rPr>
              <w:t>Зърнено-бобови, протеинови култури за производство на зърно</w:t>
            </w:r>
          </w:p>
        </w:tc>
        <w:tc>
          <w:tcPr>
            <w:tcW w:w="1094" w:type="dxa"/>
            <w:tcBorders>
              <w:top w:val="nil"/>
              <w:left w:val="nil"/>
              <w:bottom w:val="single" w:sz="4" w:space="0" w:color="auto"/>
              <w:right w:val="single" w:sz="4" w:space="0" w:color="auto"/>
            </w:tcBorders>
            <w:shd w:val="clear" w:color="auto" w:fill="auto"/>
            <w:vAlign w:val="center"/>
            <w:hideMark/>
          </w:tcPr>
          <w:p w14:paraId="0957F02B" w14:textId="77777777" w:rsidR="006C238D" w:rsidRPr="006C238D" w:rsidRDefault="006C238D" w:rsidP="006C238D">
            <w:pPr>
              <w:jc w:val="right"/>
              <w:rPr>
                <w:rFonts w:ascii="Arial Narrow" w:hAnsi="Arial Narrow" w:cs="Calibri"/>
                <w:color w:val="000000"/>
                <w:sz w:val="20"/>
                <w:szCs w:val="20"/>
              </w:rPr>
            </w:pPr>
            <w:r w:rsidRPr="006C238D">
              <w:rPr>
                <w:rFonts w:ascii="Arial Narrow" w:hAnsi="Arial Narrow" w:cs="Calibri"/>
                <w:color w:val="000000"/>
                <w:sz w:val="20"/>
                <w:szCs w:val="20"/>
                <w:lang w:val="bg-BG"/>
              </w:rPr>
              <w:t>3 911,6</w:t>
            </w:r>
          </w:p>
        </w:tc>
        <w:tc>
          <w:tcPr>
            <w:tcW w:w="1094" w:type="dxa"/>
            <w:tcBorders>
              <w:top w:val="nil"/>
              <w:left w:val="nil"/>
              <w:bottom w:val="single" w:sz="4" w:space="0" w:color="auto"/>
              <w:right w:val="single" w:sz="4" w:space="0" w:color="auto"/>
            </w:tcBorders>
            <w:shd w:val="clear" w:color="auto" w:fill="auto"/>
            <w:vAlign w:val="center"/>
            <w:hideMark/>
          </w:tcPr>
          <w:p w14:paraId="0DA564FC" w14:textId="77777777" w:rsidR="006C238D" w:rsidRPr="006C238D" w:rsidRDefault="006C238D" w:rsidP="006C238D">
            <w:pPr>
              <w:jc w:val="right"/>
              <w:rPr>
                <w:rFonts w:ascii="Arial Narrow" w:hAnsi="Arial Narrow" w:cs="Calibri"/>
                <w:color w:val="000000"/>
                <w:sz w:val="20"/>
                <w:szCs w:val="20"/>
              </w:rPr>
            </w:pPr>
            <w:r w:rsidRPr="006C238D">
              <w:rPr>
                <w:rFonts w:ascii="Arial Narrow" w:hAnsi="Arial Narrow" w:cs="Calibri"/>
                <w:color w:val="000000"/>
                <w:sz w:val="20"/>
                <w:szCs w:val="20"/>
                <w:lang w:val="bg-BG"/>
              </w:rPr>
              <w:t>5 128,5</w:t>
            </w:r>
          </w:p>
        </w:tc>
        <w:tc>
          <w:tcPr>
            <w:tcW w:w="1094" w:type="dxa"/>
            <w:tcBorders>
              <w:top w:val="nil"/>
              <w:left w:val="nil"/>
              <w:bottom w:val="single" w:sz="4" w:space="0" w:color="auto"/>
              <w:right w:val="single" w:sz="4" w:space="0" w:color="auto"/>
            </w:tcBorders>
            <w:shd w:val="clear" w:color="auto" w:fill="auto"/>
            <w:vAlign w:val="center"/>
            <w:hideMark/>
          </w:tcPr>
          <w:p w14:paraId="1D1FD657" w14:textId="77777777" w:rsidR="006C238D" w:rsidRPr="006C238D" w:rsidRDefault="006C238D" w:rsidP="006C238D">
            <w:pPr>
              <w:jc w:val="right"/>
              <w:rPr>
                <w:rFonts w:ascii="Arial Narrow" w:hAnsi="Arial Narrow" w:cs="Calibri"/>
                <w:color w:val="000000"/>
                <w:sz w:val="20"/>
                <w:szCs w:val="20"/>
              </w:rPr>
            </w:pPr>
            <w:r w:rsidRPr="006C238D">
              <w:rPr>
                <w:rFonts w:ascii="Arial Narrow" w:hAnsi="Arial Narrow" w:cs="Calibri"/>
                <w:color w:val="000000"/>
                <w:sz w:val="20"/>
                <w:szCs w:val="20"/>
                <w:lang w:val="bg-BG"/>
              </w:rPr>
              <w:t>3 928,3</w:t>
            </w:r>
          </w:p>
        </w:tc>
        <w:tc>
          <w:tcPr>
            <w:tcW w:w="1094" w:type="dxa"/>
            <w:tcBorders>
              <w:top w:val="nil"/>
              <w:left w:val="nil"/>
              <w:bottom w:val="single" w:sz="4" w:space="0" w:color="auto"/>
              <w:right w:val="single" w:sz="4" w:space="0" w:color="auto"/>
            </w:tcBorders>
            <w:shd w:val="clear" w:color="auto" w:fill="auto"/>
            <w:vAlign w:val="center"/>
            <w:hideMark/>
          </w:tcPr>
          <w:p w14:paraId="696E8352" w14:textId="77777777" w:rsidR="006C238D" w:rsidRPr="006C238D" w:rsidRDefault="006C238D" w:rsidP="006C238D">
            <w:pPr>
              <w:jc w:val="right"/>
              <w:rPr>
                <w:rFonts w:ascii="Arial Narrow" w:hAnsi="Arial Narrow" w:cs="Calibri"/>
                <w:color w:val="000000"/>
                <w:sz w:val="20"/>
                <w:szCs w:val="20"/>
              </w:rPr>
            </w:pPr>
            <w:r w:rsidRPr="006C238D">
              <w:rPr>
                <w:rFonts w:ascii="Arial Narrow" w:hAnsi="Arial Narrow" w:cs="Calibri"/>
                <w:color w:val="000000"/>
                <w:sz w:val="20"/>
                <w:szCs w:val="20"/>
                <w:lang w:val="bg-BG"/>
              </w:rPr>
              <w:t>3 959,2</w:t>
            </w:r>
          </w:p>
        </w:tc>
        <w:tc>
          <w:tcPr>
            <w:tcW w:w="1094" w:type="dxa"/>
            <w:tcBorders>
              <w:top w:val="nil"/>
              <w:left w:val="nil"/>
              <w:bottom w:val="single" w:sz="4" w:space="0" w:color="auto"/>
              <w:right w:val="single" w:sz="4" w:space="0" w:color="auto"/>
            </w:tcBorders>
            <w:shd w:val="clear" w:color="auto" w:fill="auto"/>
            <w:vAlign w:val="center"/>
            <w:hideMark/>
          </w:tcPr>
          <w:p w14:paraId="4FB0D813" w14:textId="77777777" w:rsidR="006C238D" w:rsidRPr="006C238D" w:rsidRDefault="006C238D" w:rsidP="006C238D">
            <w:pPr>
              <w:jc w:val="right"/>
              <w:rPr>
                <w:rFonts w:ascii="Arial Narrow" w:hAnsi="Arial Narrow" w:cs="Calibri"/>
                <w:color w:val="000000"/>
                <w:sz w:val="20"/>
                <w:szCs w:val="20"/>
              </w:rPr>
            </w:pPr>
            <w:r w:rsidRPr="006C238D">
              <w:rPr>
                <w:rFonts w:ascii="Arial Narrow" w:hAnsi="Arial Narrow" w:cs="Calibri"/>
                <w:color w:val="000000"/>
                <w:sz w:val="20"/>
                <w:szCs w:val="20"/>
                <w:lang w:val="bg-BG"/>
              </w:rPr>
              <w:t>7 839,9</w:t>
            </w:r>
          </w:p>
        </w:tc>
        <w:tc>
          <w:tcPr>
            <w:tcW w:w="1095" w:type="dxa"/>
            <w:tcBorders>
              <w:top w:val="nil"/>
              <w:left w:val="nil"/>
              <w:bottom w:val="single" w:sz="4" w:space="0" w:color="auto"/>
              <w:right w:val="single" w:sz="4" w:space="0" w:color="auto"/>
            </w:tcBorders>
            <w:shd w:val="clear" w:color="auto" w:fill="auto"/>
            <w:vAlign w:val="center"/>
            <w:hideMark/>
          </w:tcPr>
          <w:p w14:paraId="4E5E3156" w14:textId="77777777" w:rsidR="006C238D" w:rsidRPr="006C238D" w:rsidRDefault="006C238D" w:rsidP="006C238D">
            <w:pPr>
              <w:jc w:val="right"/>
              <w:rPr>
                <w:rFonts w:ascii="Arial Narrow" w:hAnsi="Arial Narrow" w:cs="Calibri"/>
                <w:color w:val="000000"/>
                <w:sz w:val="20"/>
                <w:szCs w:val="20"/>
              </w:rPr>
            </w:pPr>
            <w:r w:rsidRPr="006C238D">
              <w:rPr>
                <w:rFonts w:ascii="Arial Narrow" w:hAnsi="Arial Narrow" w:cs="Calibri"/>
                <w:color w:val="000000"/>
                <w:sz w:val="20"/>
                <w:szCs w:val="20"/>
                <w:lang w:val="bg-BG"/>
              </w:rPr>
              <w:t>9 087,7</w:t>
            </w:r>
          </w:p>
        </w:tc>
      </w:tr>
      <w:tr w:rsidR="006C238D" w:rsidRPr="006C238D" w14:paraId="61B24D5C" w14:textId="77777777" w:rsidTr="00BA7C7F">
        <w:trPr>
          <w:trHeight w:val="407"/>
        </w:trPr>
        <w:tc>
          <w:tcPr>
            <w:tcW w:w="2937" w:type="dxa"/>
            <w:tcBorders>
              <w:top w:val="nil"/>
              <w:left w:val="single" w:sz="4" w:space="0" w:color="auto"/>
              <w:bottom w:val="single" w:sz="4" w:space="0" w:color="auto"/>
              <w:right w:val="single" w:sz="4" w:space="0" w:color="auto"/>
            </w:tcBorders>
            <w:shd w:val="clear" w:color="auto" w:fill="auto"/>
            <w:vAlign w:val="center"/>
            <w:hideMark/>
          </w:tcPr>
          <w:p w14:paraId="6548C86E" w14:textId="77777777" w:rsidR="006C238D" w:rsidRPr="006C238D" w:rsidRDefault="006C238D" w:rsidP="006C238D">
            <w:pPr>
              <w:rPr>
                <w:rFonts w:ascii="Arial Narrow" w:hAnsi="Arial Narrow" w:cs="Calibri"/>
                <w:color w:val="000000"/>
                <w:sz w:val="20"/>
                <w:szCs w:val="20"/>
              </w:rPr>
            </w:pPr>
            <w:r w:rsidRPr="006C238D">
              <w:rPr>
                <w:rFonts w:ascii="Arial Narrow" w:hAnsi="Arial Narrow" w:cs="Calibri"/>
                <w:color w:val="000000"/>
                <w:sz w:val="20"/>
                <w:szCs w:val="20"/>
                <w:lang w:val="bg-BG"/>
              </w:rPr>
              <w:t>Кореноплодни култури</w:t>
            </w:r>
          </w:p>
        </w:tc>
        <w:tc>
          <w:tcPr>
            <w:tcW w:w="1094" w:type="dxa"/>
            <w:tcBorders>
              <w:top w:val="nil"/>
              <w:left w:val="nil"/>
              <w:bottom w:val="single" w:sz="4" w:space="0" w:color="auto"/>
              <w:right w:val="single" w:sz="4" w:space="0" w:color="auto"/>
            </w:tcBorders>
            <w:shd w:val="clear" w:color="auto" w:fill="auto"/>
            <w:vAlign w:val="center"/>
            <w:hideMark/>
          </w:tcPr>
          <w:p w14:paraId="343E1328" w14:textId="77777777" w:rsidR="006C238D" w:rsidRPr="006C238D" w:rsidRDefault="006C238D" w:rsidP="006C238D">
            <w:pPr>
              <w:jc w:val="right"/>
              <w:rPr>
                <w:rFonts w:ascii="Arial Narrow" w:hAnsi="Arial Narrow" w:cs="Calibri"/>
                <w:color w:val="000000"/>
                <w:sz w:val="20"/>
                <w:szCs w:val="20"/>
              </w:rPr>
            </w:pPr>
            <w:r w:rsidRPr="006C238D">
              <w:rPr>
                <w:rFonts w:ascii="Arial Narrow" w:hAnsi="Arial Narrow" w:cs="Calibri"/>
                <w:color w:val="000000"/>
                <w:sz w:val="20"/>
                <w:szCs w:val="20"/>
                <w:lang w:val="bg-BG"/>
              </w:rPr>
              <w:t>50,8</w:t>
            </w:r>
          </w:p>
        </w:tc>
        <w:tc>
          <w:tcPr>
            <w:tcW w:w="1094" w:type="dxa"/>
            <w:tcBorders>
              <w:top w:val="nil"/>
              <w:left w:val="nil"/>
              <w:bottom w:val="single" w:sz="4" w:space="0" w:color="auto"/>
              <w:right w:val="single" w:sz="4" w:space="0" w:color="auto"/>
            </w:tcBorders>
            <w:shd w:val="clear" w:color="auto" w:fill="auto"/>
            <w:vAlign w:val="center"/>
            <w:hideMark/>
          </w:tcPr>
          <w:p w14:paraId="4C71AE49" w14:textId="77777777" w:rsidR="006C238D" w:rsidRPr="006C238D" w:rsidRDefault="006C238D" w:rsidP="006C238D">
            <w:pPr>
              <w:jc w:val="right"/>
              <w:rPr>
                <w:rFonts w:ascii="Arial Narrow" w:hAnsi="Arial Narrow" w:cs="Calibri"/>
                <w:color w:val="000000"/>
                <w:sz w:val="20"/>
                <w:szCs w:val="20"/>
              </w:rPr>
            </w:pPr>
            <w:r w:rsidRPr="006C238D">
              <w:rPr>
                <w:rFonts w:ascii="Arial Narrow" w:hAnsi="Arial Narrow" w:cs="Calibri"/>
                <w:color w:val="000000"/>
                <w:sz w:val="20"/>
                <w:szCs w:val="20"/>
                <w:lang w:val="bg-BG"/>
              </w:rPr>
              <w:t>37,2</w:t>
            </w:r>
          </w:p>
        </w:tc>
        <w:tc>
          <w:tcPr>
            <w:tcW w:w="1094" w:type="dxa"/>
            <w:tcBorders>
              <w:top w:val="nil"/>
              <w:left w:val="nil"/>
              <w:bottom w:val="single" w:sz="4" w:space="0" w:color="auto"/>
              <w:right w:val="single" w:sz="4" w:space="0" w:color="auto"/>
            </w:tcBorders>
            <w:shd w:val="clear" w:color="auto" w:fill="auto"/>
            <w:vAlign w:val="center"/>
            <w:hideMark/>
          </w:tcPr>
          <w:p w14:paraId="40380EAC" w14:textId="77777777" w:rsidR="006C238D" w:rsidRPr="006C238D" w:rsidRDefault="006C238D" w:rsidP="006C238D">
            <w:pPr>
              <w:jc w:val="right"/>
              <w:rPr>
                <w:rFonts w:ascii="Arial Narrow" w:hAnsi="Arial Narrow" w:cs="Calibri"/>
                <w:color w:val="000000"/>
                <w:sz w:val="20"/>
                <w:szCs w:val="20"/>
              </w:rPr>
            </w:pPr>
            <w:r w:rsidRPr="006C238D">
              <w:rPr>
                <w:rFonts w:ascii="Arial Narrow" w:hAnsi="Arial Narrow" w:cs="Calibri"/>
                <w:color w:val="000000"/>
                <w:sz w:val="20"/>
                <w:szCs w:val="20"/>
                <w:lang w:val="bg-BG"/>
              </w:rPr>
              <w:t>175,4</w:t>
            </w:r>
          </w:p>
        </w:tc>
        <w:tc>
          <w:tcPr>
            <w:tcW w:w="1094" w:type="dxa"/>
            <w:tcBorders>
              <w:top w:val="nil"/>
              <w:left w:val="nil"/>
              <w:bottom w:val="single" w:sz="4" w:space="0" w:color="auto"/>
              <w:right w:val="single" w:sz="4" w:space="0" w:color="auto"/>
            </w:tcBorders>
            <w:shd w:val="clear" w:color="auto" w:fill="auto"/>
            <w:vAlign w:val="center"/>
            <w:hideMark/>
          </w:tcPr>
          <w:p w14:paraId="4197A265" w14:textId="77777777" w:rsidR="006C238D" w:rsidRPr="006C238D" w:rsidRDefault="006C238D" w:rsidP="006C238D">
            <w:pPr>
              <w:jc w:val="right"/>
              <w:rPr>
                <w:rFonts w:ascii="Arial Narrow" w:hAnsi="Arial Narrow" w:cs="Calibri"/>
                <w:color w:val="000000"/>
                <w:sz w:val="20"/>
                <w:szCs w:val="20"/>
              </w:rPr>
            </w:pPr>
            <w:r w:rsidRPr="006C238D">
              <w:rPr>
                <w:rFonts w:ascii="Arial Narrow" w:hAnsi="Arial Narrow" w:cs="Calibri"/>
                <w:color w:val="000000"/>
                <w:sz w:val="20"/>
                <w:szCs w:val="20"/>
                <w:lang w:val="bg-BG"/>
              </w:rPr>
              <w:t>118,6</w:t>
            </w:r>
          </w:p>
        </w:tc>
        <w:tc>
          <w:tcPr>
            <w:tcW w:w="1094" w:type="dxa"/>
            <w:tcBorders>
              <w:top w:val="nil"/>
              <w:left w:val="nil"/>
              <w:bottom w:val="single" w:sz="4" w:space="0" w:color="auto"/>
              <w:right w:val="single" w:sz="4" w:space="0" w:color="auto"/>
            </w:tcBorders>
            <w:shd w:val="clear" w:color="auto" w:fill="auto"/>
            <w:vAlign w:val="center"/>
            <w:hideMark/>
          </w:tcPr>
          <w:p w14:paraId="713DC239" w14:textId="77777777" w:rsidR="006C238D" w:rsidRPr="006C238D" w:rsidRDefault="006C238D" w:rsidP="006C238D">
            <w:pPr>
              <w:jc w:val="right"/>
              <w:rPr>
                <w:rFonts w:ascii="Arial Narrow" w:hAnsi="Arial Narrow" w:cs="Calibri"/>
                <w:color w:val="000000"/>
                <w:sz w:val="20"/>
                <w:szCs w:val="20"/>
              </w:rPr>
            </w:pPr>
            <w:r w:rsidRPr="006C238D">
              <w:rPr>
                <w:rFonts w:ascii="Arial Narrow" w:hAnsi="Arial Narrow" w:cs="Calibri"/>
                <w:color w:val="000000"/>
                <w:sz w:val="20"/>
                <w:szCs w:val="20"/>
                <w:lang w:val="bg-BG"/>
              </w:rPr>
              <w:t>226,2</w:t>
            </w:r>
          </w:p>
        </w:tc>
        <w:tc>
          <w:tcPr>
            <w:tcW w:w="1095" w:type="dxa"/>
            <w:tcBorders>
              <w:top w:val="nil"/>
              <w:left w:val="nil"/>
              <w:bottom w:val="single" w:sz="4" w:space="0" w:color="auto"/>
              <w:right w:val="single" w:sz="4" w:space="0" w:color="auto"/>
            </w:tcBorders>
            <w:shd w:val="clear" w:color="auto" w:fill="auto"/>
            <w:vAlign w:val="center"/>
            <w:hideMark/>
          </w:tcPr>
          <w:p w14:paraId="6950F420" w14:textId="77777777" w:rsidR="006C238D" w:rsidRPr="006C238D" w:rsidRDefault="006C238D" w:rsidP="006C238D">
            <w:pPr>
              <w:jc w:val="right"/>
              <w:rPr>
                <w:rFonts w:ascii="Arial Narrow" w:hAnsi="Arial Narrow" w:cs="Calibri"/>
                <w:color w:val="000000"/>
                <w:sz w:val="20"/>
                <w:szCs w:val="20"/>
              </w:rPr>
            </w:pPr>
            <w:r w:rsidRPr="006C238D">
              <w:rPr>
                <w:rFonts w:ascii="Arial Narrow" w:hAnsi="Arial Narrow" w:cs="Calibri"/>
                <w:color w:val="000000"/>
                <w:sz w:val="20"/>
                <w:szCs w:val="20"/>
                <w:lang w:val="bg-BG"/>
              </w:rPr>
              <w:t>155,7</w:t>
            </w:r>
          </w:p>
        </w:tc>
      </w:tr>
      <w:tr w:rsidR="006C238D" w:rsidRPr="006C238D" w14:paraId="33650DC1" w14:textId="77777777" w:rsidTr="00BA7C7F">
        <w:trPr>
          <w:trHeight w:val="407"/>
        </w:trPr>
        <w:tc>
          <w:tcPr>
            <w:tcW w:w="2937" w:type="dxa"/>
            <w:tcBorders>
              <w:top w:val="nil"/>
              <w:left w:val="single" w:sz="4" w:space="0" w:color="auto"/>
              <w:bottom w:val="single" w:sz="4" w:space="0" w:color="auto"/>
              <w:right w:val="single" w:sz="4" w:space="0" w:color="auto"/>
            </w:tcBorders>
            <w:shd w:val="clear" w:color="auto" w:fill="auto"/>
            <w:vAlign w:val="center"/>
            <w:hideMark/>
          </w:tcPr>
          <w:p w14:paraId="104EA52E" w14:textId="77777777" w:rsidR="006C238D" w:rsidRPr="006C238D" w:rsidRDefault="006C238D" w:rsidP="006C238D">
            <w:pPr>
              <w:rPr>
                <w:rFonts w:ascii="Arial Narrow" w:hAnsi="Arial Narrow" w:cs="Calibri"/>
                <w:color w:val="000000"/>
                <w:sz w:val="20"/>
                <w:szCs w:val="20"/>
              </w:rPr>
            </w:pPr>
            <w:r w:rsidRPr="006C238D">
              <w:rPr>
                <w:rFonts w:ascii="Arial Narrow" w:hAnsi="Arial Narrow" w:cs="Calibri"/>
                <w:color w:val="000000"/>
                <w:sz w:val="20"/>
                <w:szCs w:val="20"/>
                <w:lang w:val="bg-BG"/>
              </w:rPr>
              <w:t xml:space="preserve">Технически култури </w:t>
            </w:r>
          </w:p>
        </w:tc>
        <w:tc>
          <w:tcPr>
            <w:tcW w:w="1094" w:type="dxa"/>
            <w:tcBorders>
              <w:top w:val="nil"/>
              <w:left w:val="nil"/>
              <w:bottom w:val="single" w:sz="4" w:space="0" w:color="auto"/>
              <w:right w:val="single" w:sz="4" w:space="0" w:color="auto"/>
            </w:tcBorders>
            <w:shd w:val="clear" w:color="auto" w:fill="auto"/>
            <w:vAlign w:val="center"/>
            <w:hideMark/>
          </w:tcPr>
          <w:p w14:paraId="3423989F" w14:textId="77777777" w:rsidR="006C238D" w:rsidRPr="006C238D" w:rsidRDefault="006C238D" w:rsidP="006C238D">
            <w:pPr>
              <w:jc w:val="right"/>
              <w:rPr>
                <w:rFonts w:ascii="Arial Narrow" w:hAnsi="Arial Narrow" w:cs="Calibri"/>
                <w:color w:val="000000"/>
                <w:sz w:val="20"/>
                <w:szCs w:val="20"/>
              </w:rPr>
            </w:pPr>
            <w:r w:rsidRPr="006C238D">
              <w:rPr>
                <w:rFonts w:ascii="Arial Narrow" w:hAnsi="Arial Narrow" w:cs="Calibri"/>
                <w:color w:val="000000"/>
                <w:sz w:val="20"/>
                <w:szCs w:val="20"/>
                <w:lang w:val="bg-BG"/>
              </w:rPr>
              <w:t>6 240,1</w:t>
            </w:r>
          </w:p>
        </w:tc>
        <w:tc>
          <w:tcPr>
            <w:tcW w:w="1094" w:type="dxa"/>
            <w:tcBorders>
              <w:top w:val="nil"/>
              <w:left w:val="nil"/>
              <w:bottom w:val="single" w:sz="4" w:space="0" w:color="auto"/>
              <w:right w:val="single" w:sz="4" w:space="0" w:color="auto"/>
            </w:tcBorders>
            <w:shd w:val="clear" w:color="auto" w:fill="auto"/>
            <w:vAlign w:val="center"/>
            <w:hideMark/>
          </w:tcPr>
          <w:p w14:paraId="54A2ED78" w14:textId="77777777" w:rsidR="006C238D" w:rsidRPr="006C238D" w:rsidRDefault="006C238D" w:rsidP="006C238D">
            <w:pPr>
              <w:jc w:val="right"/>
              <w:rPr>
                <w:rFonts w:ascii="Arial Narrow" w:hAnsi="Arial Narrow" w:cs="Calibri"/>
                <w:color w:val="000000"/>
                <w:sz w:val="20"/>
                <w:szCs w:val="20"/>
              </w:rPr>
            </w:pPr>
            <w:r w:rsidRPr="006C238D">
              <w:rPr>
                <w:rFonts w:ascii="Arial Narrow" w:hAnsi="Arial Narrow" w:cs="Calibri"/>
                <w:color w:val="000000"/>
                <w:sz w:val="20"/>
                <w:szCs w:val="20"/>
                <w:lang w:val="bg-BG"/>
              </w:rPr>
              <w:t>4 228,4</w:t>
            </w:r>
          </w:p>
        </w:tc>
        <w:tc>
          <w:tcPr>
            <w:tcW w:w="1094" w:type="dxa"/>
            <w:tcBorders>
              <w:top w:val="nil"/>
              <w:left w:val="nil"/>
              <w:bottom w:val="single" w:sz="4" w:space="0" w:color="auto"/>
              <w:right w:val="single" w:sz="4" w:space="0" w:color="auto"/>
            </w:tcBorders>
            <w:shd w:val="clear" w:color="auto" w:fill="auto"/>
            <w:vAlign w:val="center"/>
            <w:hideMark/>
          </w:tcPr>
          <w:p w14:paraId="097CE90B" w14:textId="77777777" w:rsidR="006C238D" w:rsidRPr="006C238D" w:rsidRDefault="006C238D" w:rsidP="006C238D">
            <w:pPr>
              <w:jc w:val="right"/>
              <w:rPr>
                <w:rFonts w:ascii="Arial Narrow" w:hAnsi="Arial Narrow" w:cs="Calibri"/>
                <w:color w:val="000000"/>
                <w:sz w:val="20"/>
                <w:szCs w:val="20"/>
              </w:rPr>
            </w:pPr>
            <w:r w:rsidRPr="006C238D">
              <w:rPr>
                <w:rFonts w:ascii="Arial Narrow" w:hAnsi="Arial Narrow" w:cs="Calibri"/>
                <w:color w:val="000000"/>
                <w:sz w:val="20"/>
                <w:szCs w:val="20"/>
                <w:lang w:val="bg-BG"/>
              </w:rPr>
              <w:t>12 513,8</w:t>
            </w:r>
          </w:p>
        </w:tc>
        <w:tc>
          <w:tcPr>
            <w:tcW w:w="1094" w:type="dxa"/>
            <w:tcBorders>
              <w:top w:val="nil"/>
              <w:left w:val="nil"/>
              <w:bottom w:val="single" w:sz="4" w:space="0" w:color="auto"/>
              <w:right w:val="single" w:sz="4" w:space="0" w:color="auto"/>
            </w:tcBorders>
            <w:shd w:val="clear" w:color="auto" w:fill="auto"/>
            <w:vAlign w:val="center"/>
            <w:hideMark/>
          </w:tcPr>
          <w:p w14:paraId="1804F34F" w14:textId="77777777" w:rsidR="006C238D" w:rsidRPr="006C238D" w:rsidRDefault="006C238D" w:rsidP="006C238D">
            <w:pPr>
              <w:jc w:val="right"/>
              <w:rPr>
                <w:rFonts w:ascii="Arial Narrow" w:hAnsi="Arial Narrow" w:cs="Calibri"/>
                <w:color w:val="000000"/>
                <w:sz w:val="20"/>
                <w:szCs w:val="20"/>
              </w:rPr>
            </w:pPr>
            <w:r w:rsidRPr="006C238D">
              <w:rPr>
                <w:rFonts w:ascii="Arial Narrow" w:hAnsi="Arial Narrow" w:cs="Calibri"/>
                <w:color w:val="000000"/>
                <w:sz w:val="20"/>
                <w:szCs w:val="20"/>
                <w:lang w:val="bg-BG"/>
              </w:rPr>
              <w:t>15 397,0</w:t>
            </w:r>
          </w:p>
        </w:tc>
        <w:tc>
          <w:tcPr>
            <w:tcW w:w="1094" w:type="dxa"/>
            <w:tcBorders>
              <w:top w:val="nil"/>
              <w:left w:val="nil"/>
              <w:bottom w:val="single" w:sz="4" w:space="0" w:color="auto"/>
              <w:right w:val="single" w:sz="4" w:space="0" w:color="auto"/>
            </w:tcBorders>
            <w:shd w:val="clear" w:color="auto" w:fill="auto"/>
            <w:vAlign w:val="center"/>
            <w:hideMark/>
          </w:tcPr>
          <w:p w14:paraId="10F6ECE7" w14:textId="77777777" w:rsidR="006C238D" w:rsidRPr="006C238D" w:rsidRDefault="006C238D" w:rsidP="006C238D">
            <w:pPr>
              <w:jc w:val="right"/>
              <w:rPr>
                <w:rFonts w:ascii="Arial Narrow" w:hAnsi="Arial Narrow" w:cs="Calibri"/>
                <w:color w:val="000000"/>
                <w:sz w:val="20"/>
                <w:szCs w:val="20"/>
              </w:rPr>
            </w:pPr>
            <w:r w:rsidRPr="006C238D">
              <w:rPr>
                <w:rFonts w:ascii="Arial Narrow" w:hAnsi="Arial Narrow" w:cs="Calibri"/>
                <w:color w:val="000000"/>
                <w:sz w:val="20"/>
                <w:szCs w:val="20"/>
                <w:lang w:val="bg-BG"/>
              </w:rPr>
              <w:t>18 753,9</w:t>
            </w:r>
          </w:p>
        </w:tc>
        <w:tc>
          <w:tcPr>
            <w:tcW w:w="1095" w:type="dxa"/>
            <w:tcBorders>
              <w:top w:val="nil"/>
              <w:left w:val="nil"/>
              <w:bottom w:val="single" w:sz="4" w:space="0" w:color="auto"/>
              <w:right w:val="single" w:sz="4" w:space="0" w:color="auto"/>
            </w:tcBorders>
            <w:shd w:val="clear" w:color="auto" w:fill="auto"/>
            <w:vAlign w:val="center"/>
            <w:hideMark/>
          </w:tcPr>
          <w:p w14:paraId="6BEB0D2B" w14:textId="77777777" w:rsidR="006C238D" w:rsidRPr="006C238D" w:rsidRDefault="006C238D" w:rsidP="006C238D">
            <w:pPr>
              <w:jc w:val="right"/>
              <w:rPr>
                <w:rFonts w:ascii="Arial Narrow" w:hAnsi="Arial Narrow" w:cs="Calibri"/>
                <w:color w:val="000000"/>
                <w:sz w:val="20"/>
                <w:szCs w:val="20"/>
              </w:rPr>
            </w:pPr>
            <w:r w:rsidRPr="006C238D">
              <w:rPr>
                <w:rFonts w:ascii="Arial Narrow" w:hAnsi="Arial Narrow" w:cs="Calibri"/>
                <w:color w:val="000000"/>
                <w:sz w:val="20"/>
                <w:szCs w:val="20"/>
                <w:lang w:val="bg-BG"/>
              </w:rPr>
              <w:t>19 625,4</w:t>
            </w:r>
          </w:p>
        </w:tc>
      </w:tr>
      <w:tr w:rsidR="006C238D" w:rsidRPr="006C238D" w14:paraId="6B6B1E7D" w14:textId="77777777" w:rsidTr="00BA7C7F">
        <w:trPr>
          <w:trHeight w:val="407"/>
        </w:trPr>
        <w:tc>
          <w:tcPr>
            <w:tcW w:w="2937" w:type="dxa"/>
            <w:tcBorders>
              <w:top w:val="nil"/>
              <w:left w:val="single" w:sz="4" w:space="0" w:color="auto"/>
              <w:bottom w:val="single" w:sz="4" w:space="0" w:color="auto"/>
              <w:right w:val="single" w:sz="4" w:space="0" w:color="auto"/>
            </w:tcBorders>
            <w:shd w:val="clear" w:color="auto" w:fill="auto"/>
            <w:vAlign w:val="center"/>
            <w:hideMark/>
          </w:tcPr>
          <w:p w14:paraId="46CD6494" w14:textId="77777777" w:rsidR="006C238D" w:rsidRPr="006C238D" w:rsidRDefault="006C238D" w:rsidP="006C238D">
            <w:pPr>
              <w:rPr>
                <w:rFonts w:ascii="Arial Narrow" w:hAnsi="Arial Narrow" w:cs="Calibri"/>
                <w:color w:val="000000"/>
                <w:sz w:val="20"/>
                <w:szCs w:val="20"/>
              </w:rPr>
            </w:pPr>
            <w:r w:rsidRPr="006C238D">
              <w:rPr>
                <w:rFonts w:ascii="Arial Narrow" w:hAnsi="Arial Narrow" w:cs="Calibri"/>
                <w:color w:val="000000"/>
                <w:sz w:val="20"/>
                <w:szCs w:val="20"/>
                <w:lang w:val="bg-BG"/>
              </w:rPr>
              <w:t>Пресни зеленчуци, пъпеши и ягоди</w:t>
            </w:r>
          </w:p>
        </w:tc>
        <w:tc>
          <w:tcPr>
            <w:tcW w:w="1094" w:type="dxa"/>
            <w:tcBorders>
              <w:top w:val="nil"/>
              <w:left w:val="nil"/>
              <w:bottom w:val="single" w:sz="4" w:space="0" w:color="auto"/>
              <w:right w:val="single" w:sz="4" w:space="0" w:color="auto"/>
            </w:tcBorders>
            <w:shd w:val="clear" w:color="auto" w:fill="auto"/>
            <w:vAlign w:val="center"/>
            <w:hideMark/>
          </w:tcPr>
          <w:p w14:paraId="509855D6" w14:textId="77777777" w:rsidR="006C238D" w:rsidRPr="006C238D" w:rsidRDefault="006C238D" w:rsidP="006C238D">
            <w:pPr>
              <w:jc w:val="right"/>
              <w:rPr>
                <w:rFonts w:ascii="Arial Narrow" w:hAnsi="Arial Narrow" w:cs="Calibri"/>
                <w:color w:val="000000"/>
                <w:sz w:val="20"/>
                <w:szCs w:val="20"/>
              </w:rPr>
            </w:pPr>
            <w:r w:rsidRPr="006C238D">
              <w:rPr>
                <w:rFonts w:ascii="Arial Narrow" w:hAnsi="Arial Narrow" w:cs="Calibri"/>
                <w:color w:val="000000"/>
                <w:sz w:val="20"/>
                <w:szCs w:val="20"/>
                <w:lang w:val="bg-BG"/>
              </w:rPr>
              <w:t>622,2</w:t>
            </w:r>
          </w:p>
        </w:tc>
        <w:tc>
          <w:tcPr>
            <w:tcW w:w="1094" w:type="dxa"/>
            <w:tcBorders>
              <w:top w:val="nil"/>
              <w:left w:val="nil"/>
              <w:bottom w:val="single" w:sz="4" w:space="0" w:color="auto"/>
              <w:right w:val="single" w:sz="4" w:space="0" w:color="auto"/>
            </w:tcBorders>
            <w:shd w:val="clear" w:color="auto" w:fill="auto"/>
            <w:vAlign w:val="center"/>
            <w:hideMark/>
          </w:tcPr>
          <w:p w14:paraId="7F21C4EF" w14:textId="77777777" w:rsidR="006C238D" w:rsidRPr="006C238D" w:rsidRDefault="006C238D" w:rsidP="006C238D">
            <w:pPr>
              <w:jc w:val="right"/>
              <w:rPr>
                <w:rFonts w:ascii="Arial Narrow" w:hAnsi="Arial Narrow" w:cs="Calibri"/>
                <w:color w:val="000000"/>
                <w:sz w:val="20"/>
                <w:szCs w:val="20"/>
              </w:rPr>
            </w:pPr>
            <w:r w:rsidRPr="006C238D">
              <w:rPr>
                <w:rFonts w:ascii="Arial Narrow" w:hAnsi="Arial Narrow" w:cs="Calibri"/>
                <w:color w:val="000000"/>
                <w:sz w:val="20"/>
                <w:szCs w:val="20"/>
                <w:lang w:val="bg-BG"/>
              </w:rPr>
              <w:t>630,3</w:t>
            </w:r>
          </w:p>
        </w:tc>
        <w:tc>
          <w:tcPr>
            <w:tcW w:w="1094" w:type="dxa"/>
            <w:tcBorders>
              <w:top w:val="nil"/>
              <w:left w:val="nil"/>
              <w:bottom w:val="single" w:sz="4" w:space="0" w:color="auto"/>
              <w:right w:val="single" w:sz="4" w:space="0" w:color="auto"/>
            </w:tcBorders>
            <w:shd w:val="clear" w:color="auto" w:fill="auto"/>
            <w:vAlign w:val="center"/>
            <w:hideMark/>
          </w:tcPr>
          <w:p w14:paraId="4D8D0EFE" w14:textId="77777777" w:rsidR="006C238D" w:rsidRPr="006C238D" w:rsidRDefault="006C238D" w:rsidP="006C238D">
            <w:pPr>
              <w:jc w:val="right"/>
              <w:rPr>
                <w:rFonts w:ascii="Arial Narrow" w:hAnsi="Arial Narrow" w:cs="Calibri"/>
                <w:color w:val="000000"/>
                <w:sz w:val="20"/>
                <w:szCs w:val="20"/>
              </w:rPr>
            </w:pPr>
            <w:r w:rsidRPr="006C238D">
              <w:rPr>
                <w:rFonts w:ascii="Arial Narrow" w:hAnsi="Arial Narrow" w:cs="Calibri"/>
                <w:color w:val="000000"/>
                <w:sz w:val="20"/>
                <w:szCs w:val="20"/>
                <w:lang w:val="bg-BG"/>
              </w:rPr>
              <w:t>1 104,1</w:t>
            </w:r>
          </w:p>
        </w:tc>
        <w:tc>
          <w:tcPr>
            <w:tcW w:w="1094" w:type="dxa"/>
            <w:tcBorders>
              <w:top w:val="nil"/>
              <w:left w:val="nil"/>
              <w:bottom w:val="single" w:sz="4" w:space="0" w:color="auto"/>
              <w:right w:val="single" w:sz="4" w:space="0" w:color="auto"/>
            </w:tcBorders>
            <w:shd w:val="clear" w:color="auto" w:fill="auto"/>
            <w:vAlign w:val="center"/>
            <w:hideMark/>
          </w:tcPr>
          <w:p w14:paraId="3784FE04" w14:textId="77777777" w:rsidR="006C238D" w:rsidRPr="006C238D" w:rsidRDefault="006C238D" w:rsidP="006C238D">
            <w:pPr>
              <w:jc w:val="right"/>
              <w:rPr>
                <w:rFonts w:ascii="Arial Narrow" w:hAnsi="Arial Narrow" w:cs="Calibri"/>
                <w:color w:val="000000"/>
                <w:sz w:val="20"/>
                <w:szCs w:val="20"/>
              </w:rPr>
            </w:pPr>
            <w:r w:rsidRPr="006C238D">
              <w:rPr>
                <w:rFonts w:ascii="Arial Narrow" w:hAnsi="Arial Narrow" w:cs="Calibri"/>
                <w:color w:val="000000"/>
                <w:sz w:val="20"/>
                <w:szCs w:val="20"/>
                <w:lang w:val="bg-BG"/>
              </w:rPr>
              <w:t>1 771,8</w:t>
            </w:r>
          </w:p>
        </w:tc>
        <w:tc>
          <w:tcPr>
            <w:tcW w:w="1094" w:type="dxa"/>
            <w:tcBorders>
              <w:top w:val="nil"/>
              <w:left w:val="nil"/>
              <w:bottom w:val="single" w:sz="4" w:space="0" w:color="auto"/>
              <w:right w:val="single" w:sz="4" w:space="0" w:color="auto"/>
            </w:tcBorders>
            <w:shd w:val="clear" w:color="auto" w:fill="auto"/>
            <w:vAlign w:val="center"/>
            <w:hideMark/>
          </w:tcPr>
          <w:p w14:paraId="0411ADD5" w14:textId="77777777" w:rsidR="006C238D" w:rsidRPr="006C238D" w:rsidRDefault="006C238D" w:rsidP="006C238D">
            <w:pPr>
              <w:jc w:val="right"/>
              <w:rPr>
                <w:rFonts w:ascii="Arial Narrow" w:hAnsi="Arial Narrow" w:cs="Calibri"/>
                <w:color w:val="000000"/>
                <w:sz w:val="20"/>
                <w:szCs w:val="20"/>
              </w:rPr>
            </w:pPr>
            <w:r w:rsidRPr="006C238D">
              <w:rPr>
                <w:rFonts w:ascii="Arial Narrow" w:hAnsi="Arial Narrow" w:cs="Calibri"/>
                <w:color w:val="000000"/>
                <w:sz w:val="20"/>
                <w:szCs w:val="20"/>
                <w:lang w:val="bg-BG"/>
              </w:rPr>
              <w:t>1 726,4</w:t>
            </w:r>
          </w:p>
        </w:tc>
        <w:tc>
          <w:tcPr>
            <w:tcW w:w="1095" w:type="dxa"/>
            <w:tcBorders>
              <w:top w:val="nil"/>
              <w:left w:val="nil"/>
              <w:bottom w:val="single" w:sz="4" w:space="0" w:color="auto"/>
              <w:right w:val="single" w:sz="4" w:space="0" w:color="auto"/>
            </w:tcBorders>
            <w:shd w:val="clear" w:color="auto" w:fill="auto"/>
            <w:vAlign w:val="center"/>
            <w:hideMark/>
          </w:tcPr>
          <w:p w14:paraId="354677B5" w14:textId="77777777" w:rsidR="006C238D" w:rsidRPr="006C238D" w:rsidRDefault="006C238D" w:rsidP="006C238D">
            <w:pPr>
              <w:jc w:val="right"/>
              <w:rPr>
                <w:rFonts w:ascii="Arial Narrow" w:hAnsi="Arial Narrow" w:cs="Calibri"/>
                <w:color w:val="000000"/>
                <w:sz w:val="20"/>
                <w:szCs w:val="20"/>
              </w:rPr>
            </w:pPr>
            <w:r w:rsidRPr="006C238D">
              <w:rPr>
                <w:rFonts w:ascii="Arial Narrow" w:hAnsi="Arial Narrow" w:cs="Calibri"/>
                <w:color w:val="000000"/>
                <w:sz w:val="20"/>
                <w:szCs w:val="20"/>
                <w:lang w:val="bg-BG"/>
              </w:rPr>
              <w:t>2 402,1</w:t>
            </w:r>
          </w:p>
        </w:tc>
      </w:tr>
      <w:tr w:rsidR="006C238D" w:rsidRPr="006C238D" w14:paraId="16FB986D" w14:textId="77777777" w:rsidTr="00BA7C7F">
        <w:trPr>
          <w:trHeight w:val="407"/>
        </w:trPr>
        <w:tc>
          <w:tcPr>
            <w:tcW w:w="2937" w:type="dxa"/>
            <w:tcBorders>
              <w:top w:val="nil"/>
              <w:left w:val="single" w:sz="4" w:space="0" w:color="auto"/>
              <w:bottom w:val="single" w:sz="4" w:space="0" w:color="auto"/>
              <w:right w:val="single" w:sz="4" w:space="0" w:color="auto"/>
            </w:tcBorders>
            <w:shd w:val="clear" w:color="auto" w:fill="auto"/>
            <w:vAlign w:val="center"/>
            <w:hideMark/>
          </w:tcPr>
          <w:p w14:paraId="077D830C" w14:textId="77777777" w:rsidR="006C238D" w:rsidRPr="006C238D" w:rsidRDefault="006C238D" w:rsidP="006C238D">
            <w:pPr>
              <w:rPr>
                <w:rFonts w:ascii="Arial Narrow" w:hAnsi="Arial Narrow" w:cs="Calibri"/>
                <w:color w:val="000000"/>
                <w:sz w:val="20"/>
                <w:szCs w:val="20"/>
              </w:rPr>
            </w:pPr>
            <w:r w:rsidRPr="006C238D">
              <w:rPr>
                <w:rFonts w:ascii="Arial Narrow" w:hAnsi="Arial Narrow" w:cs="Calibri"/>
                <w:color w:val="000000"/>
                <w:sz w:val="20"/>
                <w:szCs w:val="20"/>
                <w:lang w:val="bg-BG"/>
              </w:rPr>
              <w:t>Трайни насаждения</w:t>
            </w:r>
          </w:p>
        </w:tc>
        <w:tc>
          <w:tcPr>
            <w:tcW w:w="1094" w:type="dxa"/>
            <w:tcBorders>
              <w:top w:val="nil"/>
              <w:left w:val="nil"/>
              <w:bottom w:val="single" w:sz="4" w:space="0" w:color="auto"/>
              <w:right w:val="single" w:sz="4" w:space="0" w:color="auto"/>
            </w:tcBorders>
            <w:shd w:val="clear" w:color="auto" w:fill="auto"/>
            <w:vAlign w:val="center"/>
            <w:hideMark/>
          </w:tcPr>
          <w:p w14:paraId="75190A8B" w14:textId="77777777" w:rsidR="006C238D" w:rsidRPr="006C238D" w:rsidRDefault="006C238D" w:rsidP="006C238D">
            <w:pPr>
              <w:jc w:val="right"/>
              <w:rPr>
                <w:rFonts w:ascii="Arial Narrow" w:hAnsi="Arial Narrow" w:cs="Calibri"/>
                <w:color w:val="000000"/>
                <w:sz w:val="20"/>
                <w:szCs w:val="20"/>
              </w:rPr>
            </w:pPr>
            <w:r w:rsidRPr="006C238D">
              <w:rPr>
                <w:rFonts w:ascii="Arial Narrow" w:hAnsi="Arial Narrow" w:cs="Calibri"/>
                <w:color w:val="000000"/>
                <w:sz w:val="20"/>
                <w:szCs w:val="20"/>
                <w:lang w:val="bg-BG"/>
              </w:rPr>
              <w:t>5 639,5</w:t>
            </w:r>
          </w:p>
        </w:tc>
        <w:tc>
          <w:tcPr>
            <w:tcW w:w="1094" w:type="dxa"/>
            <w:tcBorders>
              <w:top w:val="nil"/>
              <w:left w:val="nil"/>
              <w:bottom w:val="single" w:sz="4" w:space="0" w:color="auto"/>
              <w:right w:val="single" w:sz="4" w:space="0" w:color="auto"/>
            </w:tcBorders>
            <w:shd w:val="clear" w:color="auto" w:fill="auto"/>
            <w:vAlign w:val="center"/>
            <w:hideMark/>
          </w:tcPr>
          <w:p w14:paraId="5CB6769F" w14:textId="77777777" w:rsidR="006C238D" w:rsidRPr="006C238D" w:rsidRDefault="006C238D" w:rsidP="006C238D">
            <w:pPr>
              <w:jc w:val="right"/>
              <w:rPr>
                <w:rFonts w:ascii="Arial Narrow" w:hAnsi="Arial Narrow" w:cs="Calibri"/>
                <w:color w:val="000000"/>
                <w:sz w:val="20"/>
                <w:szCs w:val="20"/>
              </w:rPr>
            </w:pPr>
            <w:r w:rsidRPr="006C238D">
              <w:rPr>
                <w:rFonts w:ascii="Arial Narrow" w:hAnsi="Arial Narrow" w:cs="Calibri"/>
                <w:color w:val="000000"/>
                <w:sz w:val="20"/>
                <w:szCs w:val="20"/>
                <w:lang w:val="bg-BG"/>
              </w:rPr>
              <w:t>5 985,5</w:t>
            </w:r>
          </w:p>
        </w:tc>
        <w:tc>
          <w:tcPr>
            <w:tcW w:w="1094" w:type="dxa"/>
            <w:tcBorders>
              <w:top w:val="nil"/>
              <w:left w:val="nil"/>
              <w:bottom w:val="single" w:sz="4" w:space="0" w:color="auto"/>
              <w:right w:val="single" w:sz="4" w:space="0" w:color="auto"/>
            </w:tcBorders>
            <w:shd w:val="clear" w:color="auto" w:fill="auto"/>
            <w:vAlign w:val="center"/>
            <w:hideMark/>
          </w:tcPr>
          <w:p w14:paraId="5EF1A2FA" w14:textId="77777777" w:rsidR="006C238D" w:rsidRPr="006C238D" w:rsidRDefault="006C238D" w:rsidP="006C238D">
            <w:pPr>
              <w:jc w:val="right"/>
              <w:rPr>
                <w:rFonts w:ascii="Arial Narrow" w:hAnsi="Arial Narrow" w:cs="Calibri"/>
                <w:color w:val="000000"/>
                <w:sz w:val="20"/>
                <w:szCs w:val="20"/>
              </w:rPr>
            </w:pPr>
            <w:r w:rsidRPr="006C238D">
              <w:rPr>
                <w:rFonts w:ascii="Arial Narrow" w:hAnsi="Arial Narrow" w:cs="Calibri"/>
                <w:color w:val="000000"/>
                <w:sz w:val="20"/>
                <w:szCs w:val="20"/>
                <w:lang w:val="bg-BG"/>
              </w:rPr>
              <w:t>16 864,1</w:t>
            </w:r>
          </w:p>
        </w:tc>
        <w:tc>
          <w:tcPr>
            <w:tcW w:w="1094" w:type="dxa"/>
            <w:tcBorders>
              <w:top w:val="nil"/>
              <w:left w:val="nil"/>
              <w:bottom w:val="single" w:sz="4" w:space="0" w:color="auto"/>
              <w:right w:val="single" w:sz="4" w:space="0" w:color="auto"/>
            </w:tcBorders>
            <w:shd w:val="clear" w:color="auto" w:fill="auto"/>
            <w:vAlign w:val="center"/>
            <w:hideMark/>
          </w:tcPr>
          <w:p w14:paraId="77063C44" w14:textId="77777777" w:rsidR="006C238D" w:rsidRPr="006C238D" w:rsidRDefault="006C238D" w:rsidP="006C238D">
            <w:pPr>
              <w:jc w:val="right"/>
              <w:rPr>
                <w:rFonts w:ascii="Arial Narrow" w:hAnsi="Arial Narrow" w:cs="Calibri"/>
                <w:color w:val="000000"/>
                <w:sz w:val="20"/>
                <w:szCs w:val="20"/>
              </w:rPr>
            </w:pPr>
            <w:r w:rsidRPr="006C238D">
              <w:rPr>
                <w:rFonts w:ascii="Arial Narrow" w:hAnsi="Arial Narrow" w:cs="Calibri"/>
                <w:color w:val="000000"/>
                <w:sz w:val="20"/>
                <w:szCs w:val="20"/>
                <w:lang w:val="bg-BG"/>
              </w:rPr>
              <w:t>17 036,5</w:t>
            </w:r>
          </w:p>
        </w:tc>
        <w:tc>
          <w:tcPr>
            <w:tcW w:w="1094" w:type="dxa"/>
            <w:tcBorders>
              <w:top w:val="nil"/>
              <w:left w:val="nil"/>
              <w:bottom w:val="single" w:sz="4" w:space="0" w:color="auto"/>
              <w:right w:val="single" w:sz="4" w:space="0" w:color="auto"/>
            </w:tcBorders>
            <w:shd w:val="clear" w:color="auto" w:fill="auto"/>
            <w:vAlign w:val="center"/>
            <w:hideMark/>
          </w:tcPr>
          <w:p w14:paraId="4542E8AD" w14:textId="77777777" w:rsidR="006C238D" w:rsidRPr="006C238D" w:rsidRDefault="006C238D" w:rsidP="006C238D">
            <w:pPr>
              <w:jc w:val="right"/>
              <w:rPr>
                <w:rFonts w:ascii="Arial Narrow" w:hAnsi="Arial Narrow" w:cs="Calibri"/>
                <w:color w:val="000000"/>
                <w:sz w:val="20"/>
                <w:szCs w:val="20"/>
              </w:rPr>
            </w:pPr>
            <w:r w:rsidRPr="006C238D">
              <w:rPr>
                <w:rFonts w:ascii="Arial Narrow" w:hAnsi="Arial Narrow" w:cs="Calibri"/>
                <w:color w:val="000000"/>
                <w:sz w:val="20"/>
                <w:szCs w:val="20"/>
                <w:lang w:val="bg-BG"/>
              </w:rPr>
              <w:t>22 503,6</w:t>
            </w:r>
          </w:p>
        </w:tc>
        <w:tc>
          <w:tcPr>
            <w:tcW w:w="1095" w:type="dxa"/>
            <w:tcBorders>
              <w:top w:val="nil"/>
              <w:left w:val="nil"/>
              <w:bottom w:val="single" w:sz="4" w:space="0" w:color="auto"/>
              <w:right w:val="single" w:sz="4" w:space="0" w:color="auto"/>
            </w:tcBorders>
            <w:shd w:val="clear" w:color="auto" w:fill="auto"/>
            <w:vAlign w:val="center"/>
            <w:hideMark/>
          </w:tcPr>
          <w:p w14:paraId="32E504F2" w14:textId="77777777" w:rsidR="006C238D" w:rsidRPr="006C238D" w:rsidRDefault="006C238D" w:rsidP="006C238D">
            <w:pPr>
              <w:jc w:val="right"/>
              <w:rPr>
                <w:rFonts w:ascii="Arial Narrow" w:hAnsi="Arial Narrow" w:cs="Calibri"/>
                <w:color w:val="000000"/>
                <w:sz w:val="20"/>
                <w:szCs w:val="20"/>
              </w:rPr>
            </w:pPr>
            <w:r w:rsidRPr="006C238D">
              <w:rPr>
                <w:rFonts w:ascii="Arial Narrow" w:hAnsi="Arial Narrow" w:cs="Calibri"/>
                <w:color w:val="000000"/>
                <w:sz w:val="20"/>
                <w:szCs w:val="20"/>
                <w:lang w:val="bg-BG"/>
              </w:rPr>
              <w:t>23 022,0</w:t>
            </w:r>
          </w:p>
        </w:tc>
      </w:tr>
      <w:tr w:rsidR="006C238D" w:rsidRPr="006C238D" w14:paraId="2F42022E" w14:textId="77777777" w:rsidTr="00BA7C7F">
        <w:trPr>
          <w:trHeight w:val="407"/>
        </w:trPr>
        <w:tc>
          <w:tcPr>
            <w:tcW w:w="2937" w:type="dxa"/>
            <w:tcBorders>
              <w:top w:val="nil"/>
              <w:left w:val="single" w:sz="4" w:space="0" w:color="auto"/>
              <w:bottom w:val="single" w:sz="4" w:space="0" w:color="auto"/>
              <w:right w:val="single" w:sz="4" w:space="0" w:color="auto"/>
            </w:tcBorders>
            <w:shd w:val="clear" w:color="auto" w:fill="auto"/>
            <w:vAlign w:val="center"/>
            <w:hideMark/>
          </w:tcPr>
          <w:p w14:paraId="4D133F46" w14:textId="77777777" w:rsidR="006C238D" w:rsidRPr="006C238D" w:rsidRDefault="006C238D" w:rsidP="006C238D">
            <w:pPr>
              <w:rPr>
                <w:rFonts w:ascii="Arial Narrow" w:hAnsi="Arial Narrow" w:cs="Calibri"/>
                <w:color w:val="000000"/>
                <w:sz w:val="20"/>
                <w:szCs w:val="20"/>
              </w:rPr>
            </w:pPr>
            <w:r w:rsidRPr="006C238D">
              <w:rPr>
                <w:rFonts w:ascii="Arial Narrow" w:hAnsi="Arial Narrow" w:cs="Calibri"/>
                <w:color w:val="000000"/>
                <w:sz w:val="20"/>
                <w:szCs w:val="20"/>
                <w:lang w:val="bg-BG"/>
              </w:rPr>
              <w:t>Постоянни ливади и пасища</w:t>
            </w:r>
          </w:p>
        </w:tc>
        <w:tc>
          <w:tcPr>
            <w:tcW w:w="1094" w:type="dxa"/>
            <w:tcBorders>
              <w:top w:val="nil"/>
              <w:left w:val="nil"/>
              <w:bottom w:val="single" w:sz="4" w:space="0" w:color="auto"/>
              <w:right w:val="single" w:sz="4" w:space="0" w:color="auto"/>
            </w:tcBorders>
            <w:shd w:val="clear" w:color="auto" w:fill="auto"/>
            <w:vAlign w:val="center"/>
            <w:hideMark/>
          </w:tcPr>
          <w:p w14:paraId="766F4AAD" w14:textId="77777777" w:rsidR="006C238D" w:rsidRPr="006C238D" w:rsidRDefault="006C238D" w:rsidP="006C238D">
            <w:pPr>
              <w:jc w:val="right"/>
              <w:rPr>
                <w:rFonts w:ascii="Arial Narrow" w:hAnsi="Arial Narrow" w:cs="Calibri"/>
                <w:color w:val="000000"/>
                <w:sz w:val="20"/>
                <w:szCs w:val="20"/>
              </w:rPr>
            </w:pPr>
            <w:r w:rsidRPr="006C238D">
              <w:rPr>
                <w:rFonts w:ascii="Arial Narrow" w:hAnsi="Arial Narrow" w:cs="Calibri"/>
                <w:color w:val="000000"/>
                <w:sz w:val="20"/>
                <w:szCs w:val="20"/>
                <w:lang w:val="bg-BG"/>
              </w:rPr>
              <w:t>57 038,6</w:t>
            </w:r>
          </w:p>
        </w:tc>
        <w:tc>
          <w:tcPr>
            <w:tcW w:w="1094" w:type="dxa"/>
            <w:tcBorders>
              <w:top w:val="nil"/>
              <w:left w:val="nil"/>
              <w:bottom w:val="single" w:sz="4" w:space="0" w:color="auto"/>
              <w:right w:val="single" w:sz="4" w:space="0" w:color="auto"/>
            </w:tcBorders>
            <w:shd w:val="clear" w:color="auto" w:fill="auto"/>
            <w:vAlign w:val="center"/>
            <w:hideMark/>
          </w:tcPr>
          <w:p w14:paraId="2690BE6B" w14:textId="77777777" w:rsidR="006C238D" w:rsidRPr="006C238D" w:rsidRDefault="006C238D" w:rsidP="006C238D">
            <w:pPr>
              <w:jc w:val="right"/>
              <w:rPr>
                <w:rFonts w:ascii="Arial Narrow" w:hAnsi="Arial Narrow" w:cs="Calibri"/>
                <w:color w:val="000000"/>
                <w:sz w:val="20"/>
                <w:szCs w:val="20"/>
              </w:rPr>
            </w:pPr>
            <w:r w:rsidRPr="006C238D">
              <w:rPr>
                <w:rFonts w:ascii="Arial Narrow" w:hAnsi="Arial Narrow" w:cs="Calibri"/>
                <w:color w:val="000000"/>
                <w:sz w:val="20"/>
                <w:szCs w:val="20"/>
                <w:lang w:val="bg-BG"/>
              </w:rPr>
              <w:t>71 059,8</w:t>
            </w:r>
          </w:p>
        </w:tc>
        <w:tc>
          <w:tcPr>
            <w:tcW w:w="1094" w:type="dxa"/>
            <w:tcBorders>
              <w:top w:val="nil"/>
              <w:left w:val="nil"/>
              <w:bottom w:val="single" w:sz="4" w:space="0" w:color="auto"/>
              <w:right w:val="single" w:sz="4" w:space="0" w:color="auto"/>
            </w:tcBorders>
            <w:shd w:val="clear" w:color="auto" w:fill="auto"/>
            <w:vAlign w:val="center"/>
            <w:hideMark/>
          </w:tcPr>
          <w:p w14:paraId="19E5D42F" w14:textId="77777777" w:rsidR="006C238D" w:rsidRPr="006C238D" w:rsidRDefault="006C238D" w:rsidP="006C238D">
            <w:pPr>
              <w:jc w:val="right"/>
              <w:rPr>
                <w:rFonts w:ascii="Arial Narrow" w:hAnsi="Arial Narrow" w:cs="Calibri"/>
                <w:color w:val="000000"/>
                <w:sz w:val="20"/>
                <w:szCs w:val="20"/>
              </w:rPr>
            </w:pPr>
            <w:r w:rsidRPr="006C238D">
              <w:rPr>
                <w:rFonts w:ascii="Arial Narrow" w:hAnsi="Arial Narrow" w:cs="Calibri"/>
                <w:color w:val="000000"/>
                <w:sz w:val="20"/>
                <w:szCs w:val="20"/>
                <w:lang w:val="bg-BG"/>
              </w:rPr>
              <w:t>12 856,1</w:t>
            </w:r>
          </w:p>
        </w:tc>
        <w:tc>
          <w:tcPr>
            <w:tcW w:w="1094" w:type="dxa"/>
            <w:tcBorders>
              <w:top w:val="nil"/>
              <w:left w:val="nil"/>
              <w:bottom w:val="single" w:sz="4" w:space="0" w:color="auto"/>
              <w:right w:val="single" w:sz="4" w:space="0" w:color="auto"/>
            </w:tcBorders>
            <w:shd w:val="clear" w:color="auto" w:fill="auto"/>
            <w:vAlign w:val="center"/>
            <w:hideMark/>
          </w:tcPr>
          <w:p w14:paraId="2109C33A" w14:textId="77777777" w:rsidR="006C238D" w:rsidRPr="006C238D" w:rsidRDefault="006C238D" w:rsidP="006C238D">
            <w:pPr>
              <w:jc w:val="right"/>
              <w:rPr>
                <w:rFonts w:ascii="Arial Narrow" w:hAnsi="Arial Narrow" w:cs="Calibri"/>
                <w:color w:val="000000"/>
                <w:sz w:val="20"/>
                <w:szCs w:val="20"/>
              </w:rPr>
            </w:pPr>
            <w:r w:rsidRPr="006C238D">
              <w:rPr>
                <w:rFonts w:ascii="Arial Narrow" w:hAnsi="Arial Narrow" w:cs="Calibri"/>
                <w:color w:val="000000"/>
                <w:sz w:val="20"/>
                <w:szCs w:val="20"/>
                <w:lang w:val="bg-BG"/>
              </w:rPr>
              <w:t>23 050,9</w:t>
            </w:r>
          </w:p>
        </w:tc>
        <w:tc>
          <w:tcPr>
            <w:tcW w:w="1094" w:type="dxa"/>
            <w:tcBorders>
              <w:top w:val="nil"/>
              <w:left w:val="nil"/>
              <w:bottom w:val="single" w:sz="4" w:space="0" w:color="auto"/>
              <w:right w:val="single" w:sz="4" w:space="0" w:color="auto"/>
            </w:tcBorders>
            <w:shd w:val="clear" w:color="auto" w:fill="auto"/>
            <w:vAlign w:val="center"/>
            <w:hideMark/>
          </w:tcPr>
          <w:p w14:paraId="0E934BBC" w14:textId="77777777" w:rsidR="006C238D" w:rsidRPr="006C238D" w:rsidRDefault="006C238D" w:rsidP="006C238D">
            <w:pPr>
              <w:jc w:val="right"/>
              <w:rPr>
                <w:rFonts w:ascii="Arial Narrow" w:hAnsi="Arial Narrow" w:cs="Calibri"/>
                <w:color w:val="000000"/>
                <w:sz w:val="20"/>
                <w:szCs w:val="20"/>
              </w:rPr>
            </w:pPr>
            <w:r w:rsidRPr="006C238D">
              <w:rPr>
                <w:rFonts w:ascii="Arial Narrow" w:hAnsi="Arial Narrow" w:cs="Calibri"/>
                <w:color w:val="000000"/>
                <w:sz w:val="20"/>
                <w:szCs w:val="20"/>
                <w:lang w:val="bg-BG"/>
              </w:rPr>
              <w:t>69 894,7</w:t>
            </w:r>
          </w:p>
        </w:tc>
        <w:tc>
          <w:tcPr>
            <w:tcW w:w="1095" w:type="dxa"/>
            <w:tcBorders>
              <w:top w:val="nil"/>
              <w:left w:val="nil"/>
              <w:bottom w:val="single" w:sz="4" w:space="0" w:color="auto"/>
              <w:right w:val="single" w:sz="4" w:space="0" w:color="auto"/>
            </w:tcBorders>
            <w:shd w:val="clear" w:color="auto" w:fill="auto"/>
            <w:vAlign w:val="center"/>
            <w:hideMark/>
          </w:tcPr>
          <w:p w14:paraId="43CD1F99" w14:textId="77777777" w:rsidR="006C238D" w:rsidRPr="006C238D" w:rsidRDefault="006C238D" w:rsidP="006C238D">
            <w:pPr>
              <w:jc w:val="right"/>
              <w:rPr>
                <w:rFonts w:ascii="Arial Narrow" w:hAnsi="Arial Narrow" w:cs="Calibri"/>
                <w:color w:val="000000"/>
                <w:sz w:val="20"/>
                <w:szCs w:val="20"/>
              </w:rPr>
            </w:pPr>
            <w:r w:rsidRPr="006C238D">
              <w:rPr>
                <w:rFonts w:ascii="Arial Narrow" w:hAnsi="Arial Narrow" w:cs="Calibri"/>
                <w:color w:val="000000"/>
                <w:sz w:val="20"/>
                <w:szCs w:val="20"/>
                <w:lang w:val="bg-BG"/>
              </w:rPr>
              <w:t>94 110,7</w:t>
            </w:r>
          </w:p>
        </w:tc>
      </w:tr>
      <w:tr w:rsidR="006C238D" w:rsidRPr="006C238D" w14:paraId="1AFFCB95" w14:textId="77777777" w:rsidTr="00BA7C7F">
        <w:trPr>
          <w:trHeight w:val="624"/>
        </w:trPr>
        <w:tc>
          <w:tcPr>
            <w:tcW w:w="2937" w:type="dxa"/>
            <w:tcBorders>
              <w:top w:val="nil"/>
              <w:left w:val="single" w:sz="4" w:space="0" w:color="auto"/>
              <w:bottom w:val="single" w:sz="4" w:space="0" w:color="auto"/>
              <w:right w:val="single" w:sz="4" w:space="0" w:color="auto"/>
            </w:tcBorders>
            <w:shd w:val="clear" w:color="auto" w:fill="auto"/>
            <w:vAlign w:val="center"/>
            <w:hideMark/>
          </w:tcPr>
          <w:p w14:paraId="125A7123" w14:textId="77777777" w:rsidR="006C238D" w:rsidRPr="006C238D" w:rsidRDefault="006C238D" w:rsidP="006C238D">
            <w:pPr>
              <w:rPr>
                <w:rFonts w:ascii="Arial Narrow" w:hAnsi="Arial Narrow" w:cs="Calibri"/>
                <w:color w:val="000000"/>
                <w:sz w:val="20"/>
                <w:szCs w:val="20"/>
              </w:rPr>
            </w:pPr>
            <w:r w:rsidRPr="006C238D">
              <w:rPr>
                <w:rFonts w:ascii="Arial Narrow" w:hAnsi="Arial Narrow" w:cs="Calibri"/>
                <w:color w:val="000000"/>
                <w:sz w:val="20"/>
                <w:szCs w:val="20"/>
                <w:lang w:val="bg-BG"/>
              </w:rPr>
              <w:t>Фуражни култури от обработваеми земи (култури за зелено)</w:t>
            </w:r>
          </w:p>
        </w:tc>
        <w:tc>
          <w:tcPr>
            <w:tcW w:w="1094" w:type="dxa"/>
            <w:tcBorders>
              <w:top w:val="nil"/>
              <w:left w:val="nil"/>
              <w:bottom w:val="single" w:sz="4" w:space="0" w:color="auto"/>
              <w:right w:val="single" w:sz="4" w:space="0" w:color="auto"/>
            </w:tcBorders>
            <w:shd w:val="clear" w:color="auto" w:fill="auto"/>
            <w:vAlign w:val="center"/>
            <w:hideMark/>
          </w:tcPr>
          <w:p w14:paraId="32B2F7B3" w14:textId="77777777" w:rsidR="006C238D" w:rsidRPr="006C238D" w:rsidRDefault="006C238D" w:rsidP="006C238D">
            <w:pPr>
              <w:jc w:val="right"/>
              <w:rPr>
                <w:rFonts w:ascii="Arial Narrow" w:hAnsi="Arial Narrow" w:cs="Calibri"/>
                <w:color w:val="000000"/>
                <w:sz w:val="20"/>
                <w:szCs w:val="20"/>
              </w:rPr>
            </w:pPr>
            <w:r w:rsidRPr="006C238D">
              <w:rPr>
                <w:rFonts w:ascii="Arial Narrow" w:hAnsi="Arial Narrow" w:cs="Calibri"/>
                <w:color w:val="000000"/>
                <w:sz w:val="20"/>
                <w:szCs w:val="20"/>
                <w:lang w:val="bg-BG"/>
              </w:rPr>
              <w:t>448,3</w:t>
            </w:r>
          </w:p>
        </w:tc>
        <w:tc>
          <w:tcPr>
            <w:tcW w:w="1094" w:type="dxa"/>
            <w:tcBorders>
              <w:top w:val="nil"/>
              <w:left w:val="nil"/>
              <w:bottom w:val="single" w:sz="4" w:space="0" w:color="auto"/>
              <w:right w:val="single" w:sz="4" w:space="0" w:color="auto"/>
            </w:tcBorders>
            <w:shd w:val="clear" w:color="auto" w:fill="auto"/>
            <w:vAlign w:val="center"/>
            <w:hideMark/>
          </w:tcPr>
          <w:p w14:paraId="16D55968" w14:textId="77777777" w:rsidR="006C238D" w:rsidRPr="006C238D" w:rsidRDefault="006C238D" w:rsidP="006C238D">
            <w:pPr>
              <w:jc w:val="right"/>
              <w:rPr>
                <w:rFonts w:ascii="Arial Narrow" w:hAnsi="Arial Narrow" w:cs="Calibri"/>
                <w:color w:val="000000"/>
                <w:sz w:val="20"/>
                <w:szCs w:val="20"/>
              </w:rPr>
            </w:pPr>
            <w:r w:rsidRPr="006C238D">
              <w:rPr>
                <w:rFonts w:ascii="Arial Narrow" w:hAnsi="Arial Narrow" w:cs="Calibri"/>
                <w:color w:val="000000"/>
                <w:sz w:val="20"/>
                <w:szCs w:val="20"/>
                <w:lang w:val="bg-BG"/>
              </w:rPr>
              <w:t>672,0</w:t>
            </w:r>
          </w:p>
        </w:tc>
        <w:tc>
          <w:tcPr>
            <w:tcW w:w="1094" w:type="dxa"/>
            <w:tcBorders>
              <w:top w:val="nil"/>
              <w:left w:val="nil"/>
              <w:bottom w:val="single" w:sz="4" w:space="0" w:color="auto"/>
              <w:right w:val="single" w:sz="4" w:space="0" w:color="auto"/>
            </w:tcBorders>
            <w:shd w:val="clear" w:color="auto" w:fill="auto"/>
            <w:vAlign w:val="center"/>
            <w:hideMark/>
          </w:tcPr>
          <w:p w14:paraId="11D3BA49" w14:textId="77777777" w:rsidR="006C238D" w:rsidRPr="006C238D" w:rsidRDefault="006C238D" w:rsidP="006C238D">
            <w:pPr>
              <w:jc w:val="right"/>
              <w:rPr>
                <w:rFonts w:ascii="Arial Narrow" w:hAnsi="Arial Narrow" w:cs="Calibri"/>
                <w:color w:val="000000"/>
                <w:sz w:val="20"/>
                <w:szCs w:val="20"/>
              </w:rPr>
            </w:pPr>
            <w:r w:rsidRPr="006C238D">
              <w:rPr>
                <w:rFonts w:ascii="Arial Narrow" w:hAnsi="Arial Narrow" w:cs="Calibri"/>
                <w:color w:val="000000"/>
                <w:sz w:val="20"/>
                <w:szCs w:val="20"/>
                <w:lang w:val="bg-BG"/>
              </w:rPr>
              <w:t>722,7</w:t>
            </w:r>
          </w:p>
        </w:tc>
        <w:tc>
          <w:tcPr>
            <w:tcW w:w="1094" w:type="dxa"/>
            <w:tcBorders>
              <w:top w:val="nil"/>
              <w:left w:val="nil"/>
              <w:bottom w:val="single" w:sz="4" w:space="0" w:color="auto"/>
              <w:right w:val="single" w:sz="4" w:space="0" w:color="auto"/>
            </w:tcBorders>
            <w:shd w:val="clear" w:color="auto" w:fill="auto"/>
            <w:vAlign w:val="center"/>
            <w:hideMark/>
          </w:tcPr>
          <w:p w14:paraId="029E2B49" w14:textId="77777777" w:rsidR="006C238D" w:rsidRPr="006C238D" w:rsidRDefault="006C238D" w:rsidP="006C238D">
            <w:pPr>
              <w:jc w:val="right"/>
              <w:rPr>
                <w:rFonts w:ascii="Arial Narrow" w:hAnsi="Arial Narrow" w:cs="Calibri"/>
                <w:color w:val="000000"/>
                <w:sz w:val="20"/>
                <w:szCs w:val="20"/>
              </w:rPr>
            </w:pPr>
            <w:r w:rsidRPr="006C238D">
              <w:rPr>
                <w:rFonts w:ascii="Arial Narrow" w:hAnsi="Arial Narrow" w:cs="Calibri"/>
                <w:color w:val="000000"/>
                <w:sz w:val="20"/>
                <w:szCs w:val="20"/>
                <w:lang w:val="bg-BG"/>
              </w:rPr>
              <w:t>1 564,7</w:t>
            </w:r>
          </w:p>
        </w:tc>
        <w:tc>
          <w:tcPr>
            <w:tcW w:w="1094" w:type="dxa"/>
            <w:tcBorders>
              <w:top w:val="nil"/>
              <w:left w:val="nil"/>
              <w:bottom w:val="single" w:sz="4" w:space="0" w:color="auto"/>
              <w:right w:val="single" w:sz="4" w:space="0" w:color="auto"/>
            </w:tcBorders>
            <w:shd w:val="clear" w:color="auto" w:fill="auto"/>
            <w:vAlign w:val="center"/>
            <w:hideMark/>
          </w:tcPr>
          <w:p w14:paraId="08EF3BCE" w14:textId="77777777" w:rsidR="006C238D" w:rsidRPr="006C238D" w:rsidRDefault="006C238D" w:rsidP="006C238D">
            <w:pPr>
              <w:jc w:val="right"/>
              <w:rPr>
                <w:rFonts w:ascii="Arial Narrow" w:hAnsi="Arial Narrow" w:cs="Calibri"/>
                <w:color w:val="000000"/>
                <w:sz w:val="20"/>
                <w:szCs w:val="20"/>
              </w:rPr>
            </w:pPr>
            <w:r w:rsidRPr="006C238D">
              <w:rPr>
                <w:rFonts w:ascii="Arial Narrow" w:hAnsi="Arial Narrow" w:cs="Calibri"/>
                <w:color w:val="000000"/>
                <w:sz w:val="20"/>
                <w:szCs w:val="20"/>
                <w:lang w:val="bg-BG"/>
              </w:rPr>
              <w:t>1 171,0</w:t>
            </w:r>
          </w:p>
        </w:tc>
        <w:tc>
          <w:tcPr>
            <w:tcW w:w="1095" w:type="dxa"/>
            <w:tcBorders>
              <w:top w:val="nil"/>
              <w:left w:val="nil"/>
              <w:bottom w:val="single" w:sz="4" w:space="0" w:color="auto"/>
              <w:right w:val="single" w:sz="4" w:space="0" w:color="auto"/>
            </w:tcBorders>
            <w:shd w:val="clear" w:color="auto" w:fill="auto"/>
            <w:vAlign w:val="center"/>
            <w:hideMark/>
          </w:tcPr>
          <w:p w14:paraId="5CD60EBA" w14:textId="77777777" w:rsidR="006C238D" w:rsidRPr="006C238D" w:rsidRDefault="006C238D" w:rsidP="006C238D">
            <w:pPr>
              <w:jc w:val="right"/>
              <w:rPr>
                <w:rFonts w:ascii="Arial Narrow" w:hAnsi="Arial Narrow" w:cs="Calibri"/>
                <w:color w:val="000000"/>
                <w:sz w:val="20"/>
                <w:szCs w:val="20"/>
              </w:rPr>
            </w:pPr>
            <w:r w:rsidRPr="006C238D">
              <w:rPr>
                <w:rFonts w:ascii="Arial Narrow" w:hAnsi="Arial Narrow" w:cs="Calibri"/>
                <w:color w:val="000000"/>
                <w:sz w:val="20"/>
                <w:szCs w:val="20"/>
                <w:lang w:val="bg-BG"/>
              </w:rPr>
              <w:t>2 236,6</w:t>
            </w:r>
          </w:p>
        </w:tc>
      </w:tr>
      <w:tr w:rsidR="006C238D" w:rsidRPr="006C238D" w14:paraId="1700F218" w14:textId="77777777" w:rsidTr="006C238D">
        <w:trPr>
          <w:trHeight w:val="407"/>
        </w:trPr>
        <w:tc>
          <w:tcPr>
            <w:tcW w:w="2937" w:type="dxa"/>
            <w:tcBorders>
              <w:top w:val="nil"/>
              <w:left w:val="single" w:sz="4" w:space="0" w:color="auto"/>
              <w:bottom w:val="single" w:sz="4" w:space="0" w:color="auto"/>
              <w:right w:val="single" w:sz="4" w:space="0" w:color="auto"/>
            </w:tcBorders>
            <w:shd w:val="clear" w:color="auto" w:fill="auto"/>
            <w:vAlign w:val="center"/>
            <w:hideMark/>
          </w:tcPr>
          <w:p w14:paraId="6231CB66" w14:textId="77777777" w:rsidR="006C238D" w:rsidRPr="006C238D" w:rsidRDefault="006C238D" w:rsidP="006C238D">
            <w:pPr>
              <w:rPr>
                <w:rFonts w:ascii="Arial Narrow" w:hAnsi="Arial Narrow" w:cs="Calibri"/>
                <w:color w:val="000000"/>
                <w:sz w:val="20"/>
                <w:szCs w:val="20"/>
              </w:rPr>
            </w:pPr>
            <w:r w:rsidRPr="006C238D">
              <w:rPr>
                <w:rFonts w:ascii="Arial Narrow" w:hAnsi="Arial Narrow" w:cs="Calibri"/>
                <w:color w:val="000000"/>
                <w:sz w:val="20"/>
                <w:szCs w:val="20"/>
                <w:lang w:val="bg-BG"/>
              </w:rPr>
              <w:t>Угар</w:t>
            </w:r>
          </w:p>
        </w:tc>
        <w:tc>
          <w:tcPr>
            <w:tcW w:w="1094" w:type="dxa"/>
            <w:tcBorders>
              <w:top w:val="nil"/>
              <w:left w:val="nil"/>
              <w:bottom w:val="single" w:sz="4" w:space="0" w:color="auto"/>
              <w:right w:val="single" w:sz="4" w:space="0" w:color="auto"/>
            </w:tcBorders>
            <w:shd w:val="clear" w:color="auto" w:fill="auto"/>
            <w:vAlign w:val="center"/>
            <w:hideMark/>
          </w:tcPr>
          <w:p w14:paraId="2B54F1B5" w14:textId="77777777" w:rsidR="006C238D" w:rsidRPr="006C238D" w:rsidRDefault="006C238D" w:rsidP="006C238D">
            <w:pPr>
              <w:jc w:val="right"/>
              <w:rPr>
                <w:rFonts w:ascii="Arial Narrow" w:hAnsi="Arial Narrow" w:cs="Calibri"/>
                <w:color w:val="000000"/>
                <w:sz w:val="20"/>
                <w:szCs w:val="20"/>
              </w:rPr>
            </w:pPr>
            <w:r w:rsidRPr="006C238D">
              <w:rPr>
                <w:rFonts w:ascii="Arial Narrow" w:hAnsi="Arial Narrow" w:cs="Calibri"/>
                <w:color w:val="000000"/>
                <w:sz w:val="20"/>
                <w:szCs w:val="20"/>
                <w:lang w:val="bg-BG"/>
              </w:rPr>
              <w:t>5 523,4</w:t>
            </w:r>
          </w:p>
        </w:tc>
        <w:tc>
          <w:tcPr>
            <w:tcW w:w="1094" w:type="dxa"/>
            <w:tcBorders>
              <w:top w:val="nil"/>
              <w:left w:val="nil"/>
              <w:bottom w:val="single" w:sz="4" w:space="0" w:color="auto"/>
              <w:right w:val="single" w:sz="4" w:space="0" w:color="auto"/>
            </w:tcBorders>
            <w:shd w:val="clear" w:color="auto" w:fill="auto"/>
            <w:vAlign w:val="center"/>
            <w:hideMark/>
          </w:tcPr>
          <w:p w14:paraId="74C96493" w14:textId="77777777" w:rsidR="006C238D" w:rsidRPr="006C238D" w:rsidRDefault="006C238D" w:rsidP="006C238D">
            <w:pPr>
              <w:jc w:val="right"/>
              <w:rPr>
                <w:rFonts w:ascii="Arial Narrow" w:hAnsi="Arial Narrow" w:cs="Calibri"/>
                <w:color w:val="000000"/>
                <w:sz w:val="20"/>
                <w:szCs w:val="20"/>
              </w:rPr>
            </w:pPr>
            <w:r w:rsidRPr="006C238D">
              <w:rPr>
                <w:rFonts w:ascii="Arial Narrow" w:hAnsi="Arial Narrow" w:cs="Calibri"/>
                <w:color w:val="000000"/>
                <w:sz w:val="20"/>
                <w:szCs w:val="20"/>
                <w:lang w:val="bg-BG"/>
              </w:rPr>
              <w:t>15 180,7</w:t>
            </w:r>
          </w:p>
        </w:tc>
        <w:tc>
          <w:tcPr>
            <w:tcW w:w="1094" w:type="dxa"/>
            <w:tcBorders>
              <w:top w:val="nil"/>
              <w:left w:val="nil"/>
              <w:bottom w:val="single" w:sz="4" w:space="0" w:color="auto"/>
              <w:right w:val="single" w:sz="4" w:space="0" w:color="auto"/>
            </w:tcBorders>
            <w:shd w:val="clear" w:color="auto" w:fill="auto"/>
            <w:vAlign w:val="center"/>
            <w:hideMark/>
          </w:tcPr>
          <w:p w14:paraId="6D24419A" w14:textId="77777777" w:rsidR="006C238D" w:rsidRPr="006C238D" w:rsidRDefault="006C238D" w:rsidP="006C238D">
            <w:pPr>
              <w:jc w:val="right"/>
              <w:rPr>
                <w:rFonts w:ascii="Arial Narrow" w:hAnsi="Arial Narrow" w:cs="Calibri"/>
                <w:color w:val="000000"/>
                <w:sz w:val="20"/>
                <w:szCs w:val="20"/>
              </w:rPr>
            </w:pPr>
            <w:r w:rsidRPr="006C238D">
              <w:rPr>
                <w:rFonts w:ascii="Arial Narrow" w:hAnsi="Arial Narrow" w:cs="Calibri"/>
                <w:color w:val="000000"/>
                <w:sz w:val="20"/>
                <w:szCs w:val="20"/>
                <w:lang w:val="bg-BG"/>
              </w:rPr>
              <w:t>1 719,9</w:t>
            </w:r>
          </w:p>
        </w:tc>
        <w:tc>
          <w:tcPr>
            <w:tcW w:w="1094" w:type="dxa"/>
            <w:tcBorders>
              <w:top w:val="nil"/>
              <w:left w:val="nil"/>
              <w:bottom w:val="single" w:sz="4" w:space="0" w:color="auto"/>
              <w:right w:val="single" w:sz="4" w:space="0" w:color="auto"/>
            </w:tcBorders>
            <w:shd w:val="clear" w:color="auto" w:fill="auto"/>
            <w:vAlign w:val="center"/>
            <w:hideMark/>
          </w:tcPr>
          <w:p w14:paraId="22F5A7DC" w14:textId="77777777" w:rsidR="006C238D" w:rsidRPr="006C238D" w:rsidRDefault="006C238D" w:rsidP="006C238D">
            <w:pPr>
              <w:jc w:val="right"/>
              <w:rPr>
                <w:rFonts w:ascii="Arial Narrow" w:hAnsi="Arial Narrow" w:cs="Calibri"/>
                <w:color w:val="000000"/>
                <w:sz w:val="20"/>
                <w:szCs w:val="20"/>
              </w:rPr>
            </w:pPr>
            <w:r w:rsidRPr="006C238D">
              <w:rPr>
                <w:rFonts w:ascii="Arial Narrow" w:hAnsi="Arial Narrow" w:cs="Calibri"/>
                <w:color w:val="000000"/>
                <w:sz w:val="20"/>
                <w:szCs w:val="20"/>
                <w:lang w:val="bg-BG"/>
              </w:rPr>
              <w:t>2 811,8</w:t>
            </w:r>
          </w:p>
        </w:tc>
        <w:tc>
          <w:tcPr>
            <w:tcW w:w="1094" w:type="dxa"/>
            <w:tcBorders>
              <w:top w:val="nil"/>
              <w:left w:val="nil"/>
              <w:bottom w:val="single" w:sz="4" w:space="0" w:color="auto"/>
              <w:right w:val="single" w:sz="4" w:space="0" w:color="auto"/>
            </w:tcBorders>
            <w:shd w:val="clear" w:color="auto" w:fill="auto"/>
            <w:vAlign w:val="center"/>
            <w:hideMark/>
          </w:tcPr>
          <w:p w14:paraId="45356096" w14:textId="77777777" w:rsidR="006C238D" w:rsidRPr="006C238D" w:rsidRDefault="006C238D" w:rsidP="006C238D">
            <w:pPr>
              <w:jc w:val="right"/>
              <w:rPr>
                <w:rFonts w:ascii="Arial Narrow" w:hAnsi="Arial Narrow" w:cs="Calibri"/>
                <w:color w:val="000000"/>
                <w:sz w:val="20"/>
                <w:szCs w:val="20"/>
              </w:rPr>
            </w:pPr>
            <w:r w:rsidRPr="006C238D">
              <w:rPr>
                <w:rFonts w:ascii="Arial Narrow" w:hAnsi="Arial Narrow" w:cs="Calibri"/>
                <w:color w:val="000000"/>
                <w:sz w:val="20"/>
                <w:szCs w:val="20"/>
                <w:lang w:val="bg-BG"/>
              </w:rPr>
              <w:t>7 243,3</w:t>
            </w:r>
          </w:p>
        </w:tc>
        <w:tc>
          <w:tcPr>
            <w:tcW w:w="1095" w:type="dxa"/>
            <w:tcBorders>
              <w:top w:val="nil"/>
              <w:left w:val="nil"/>
              <w:bottom w:val="single" w:sz="4" w:space="0" w:color="auto"/>
              <w:right w:val="single" w:sz="4" w:space="0" w:color="auto"/>
            </w:tcBorders>
            <w:shd w:val="clear" w:color="auto" w:fill="auto"/>
            <w:vAlign w:val="center"/>
            <w:hideMark/>
          </w:tcPr>
          <w:p w14:paraId="2BC74724" w14:textId="77777777" w:rsidR="006C238D" w:rsidRPr="006C238D" w:rsidRDefault="006C238D" w:rsidP="006C238D">
            <w:pPr>
              <w:jc w:val="right"/>
              <w:rPr>
                <w:rFonts w:ascii="Arial Narrow" w:hAnsi="Arial Narrow" w:cs="Calibri"/>
                <w:color w:val="000000"/>
                <w:sz w:val="20"/>
                <w:szCs w:val="20"/>
              </w:rPr>
            </w:pPr>
            <w:r w:rsidRPr="006C238D">
              <w:rPr>
                <w:rFonts w:ascii="Arial Narrow" w:hAnsi="Arial Narrow" w:cs="Calibri"/>
                <w:color w:val="000000"/>
                <w:sz w:val="20"/>
                <w:szCs w:val="20"/>
                <w:lang w:val="bg-BG"/>
              </w:rPr>
              <w:t>17 992,5</w:t>
            </w:r>
          </w:p>
        </w:tc>
      </w:tr>
    </w:tbl>
    <w:p w14:paraId="1A54372C" w14:textId="77777777" w:rsidR="006C238D" w:rsidRPr="006C238D" w:rsidRDefault="006C238D" w:rsidP="006C238D">
      <w:pPr>
        <w:autoSpaceDE w:val="0"/>
        <w:autoSpaceDN w:val="0"/>
        <w:adjustRightInd w:val="0"/>
        <w:spacing w:after="120"/>
        <w:jc w:val="both"/>
        <w:rPr>
          <w:rFonts w:ascii="Arial Narrow" w:hAnsi="Arial Narrow"/>
          <w:sz w:val="18"/>
          <w:szCs w:val="18"/>
          <w:lang w:val="bg-BG" w:eastAsia="bg-BG"/>
        </w:rPr>
      </w:pPr>
      <w:r w:rsidRPr="00725099">
        <w:rPr>
          <w:rFonts w:ascii="Arial Narrow" w:hAnsi="Arial Narrow"/>
          <w:i/>
          <w:sz w:val="18"/>
          <w:szCs w:val="18"/>
          <w:lang w:val="bg-BG" w:eastAsia="bg-BG"/>
        </w:rPr>
        <w:t>Източник</w:t>
      </w:r>
      <w:r w:rsidRPr="006C238D">
        <w:rPr>
          <w:rFonts w:ascii="Arial Narrow" w:hAnsi="Arial Narrow"/>
          <w:b/>
          <w:i/>
          <w:sz w:val="18"/>
          <w:szCs w:val="18"/>
          <w:lang w:val="bg-BG" w:eastAsia="bg-BG"/>
        </w:rPr>
        <w:t>:</w:t>
      </w:r>
      <w:r w:rsidRPr="006C238D">
        <w:rPr>
          <w:rFonts w:ascii="Arial Narrow" w:hAnsi="Arial Narrow"/>
          <w:i/>
          <w:sz w:val="18"/>
          <w:szCs w:val="18"/>
          <w:lang w:val="bg-BG" w:eastAsia="bg-BG"/>
        </w:rPr>
        <w:t xml:space="preserve"> </w:t>
      </w:r>
      <w:r w:rsidRPr="006C238D">
        <w:rPr>
          <w:rFonts w:ascii="Arial Narrow" w:hAnsi="Arial Narrow"/>
          <w:sz w:val="18"/>
          <w:szCs w:val="18"/>
          <w:lang w:val="bg-BG" w:eastAsia="bg-BG"/>
        </w:rPr>
        <w:t>МЗХ, по данни от контролиращите лица въведени в регистъра по чл. 16а, ал. 1, т. 1 от Закон за прилагане на Общата организация на пазарите на земеделски продукти на Европейския съюз.</w:t>
      </w:r>
    </w:p>
    <w:p w14:paraId="2BD54C28" w14:textId="77777777" w:rsidR="006C238D" w:rsidRPr="006C238D" w:rsidRDefault="00A57FF6" w:rsidP="006C238D">
      <w:pPr>
        <w:numPr>
          <w:ilvl w:val="2"/>
          <w:numId w:val="8"/>
        </w:numPr>
        <w:tabs>
          <w:tab w:val="left" w:pos="990"/>
        </w:tabs>
        <w:spacing w:after="120"/>
        <w:ind w:left="792" w:hanging="432"/>
        <w:outlineLvl w:val="0"/>
        <w:rPr>
          <w:rFonts w:ascii="Arial Narrow" w:hAnsi="Arial Narrow"/>
          <w:b/>
          <w:lang w:val="bg-BG"/>
        </w:rPr>
      </w:pPr>
      <w:bookmarkStart w:id="61" w:name="_Toc210747560"/>
      <w:r w:rsidRPr="006C238D">
        <w:rPr>
          <w:rFonts w:ascii="Arial Narrow" w:hAnsi="Arial Narrow"/>
          <w:b/>
          <w:lang w:val="bg-BG"/>
        </w:rPr>
        <w:lastRenderedPageBreak/>
        <w:t>Биологично животновъдство</w:t>
      </w:r>
      <w:bookmarkEnd w:id="61"/>
    </w:p>
    <w:p w14:paraId="30D764B6" w14:textId="77777777" w:rsidR="006C238D" w:rsidRPr="006C238D" w:rsidRDefault="006C238D" w:rsidP="006C238D">
      <w:pPr>
        <w:autoSpaceDE w:val="0"/>
        <w:autoSpaceDN w:val="0"/>
        <w:adjustRightInd w:val="0"/>
        <w:spacing w:after="120"/>
        <w:ind w:firstLine="708"/>
        <w:jc w:val="both"/>
        <w:rPr>
          <w:rFonts w:ascii="Arial Narrow" w:hAnsi="Arial Narrow"/>
          <w:lang w:val="bg-BG" w:eastAsia="bg-BG"/>
        </w:rPr>
      </w:pPr>
      <w:r w:rsidRPr="006C238D">
        <w:rPr>
          <w:rFonts w:ascii="Arial Narrow" w:hAnsi="Arial Narrow"/>
          <w:lang w:val="bg-BG" w:eastAsia="bg-BG"/>
        </w:rPr>
        <w:t>През 2024 г. се наблюдава положително развитие в сектора на биологичното животновъдство. Общият брой на овцете, отглеждани по биологичен начин, бележи ръст от 81,6% спрямо предходната година. Значително се увеличава броят на говедата и биволите в система на контрол – с 32,8%, както и на козите – с 34,6%. По-умерено нарастване на годишна база се отчита при пчелните семейства – с 10,6%.</w:t>
      </w:r>
    </w:p>
    <w:p w14:paraId="523F6D36" w14:textId="77777777" w:rsidR="006C238D" w:rsidRPr="006C238D" w:rsidRDefault="006C238D" w:rsidP="006C238D">
      <w:pPr>
        <w:keepNext/>
        <w:autoSpaceDE w:val="0"/>
        <w:autoSpaceDN w:val="0"/>
        <w:adjustRightInd w:val="0"/>
        <w:spacing w:after="120"/>
        <w:jc w:val="both"/>
        <w:rPr>
          <w:rFonts w:ascii="Arial Narrow" w:hAnsi="Arial Narrow"/>
          <w:b/>
          <w:lang w:val="bg-BG" w:eastAsia="bg-BG"/>
        </w:rPr>
      </w:pPr>
      <w:r w:rsidRPr="006C238D">
        <w:rPr>
          <w:rFonts w:ascii="Arial Narrow" w:hAnsi="Arial Narrow"/>
          <w:b/>
          <w:lang w:val="bg-BG" w:eastAsia="bg-BG"/>
        </w:rPr>
        <w:t xml:space="preserve">Таблица </w:t>
      </w:r>
      <w:r w:rsidR="00AB4A2A">
        <w:rPr>
          <w:rFonts w:ascii="Arial Narrow" w:eastAsia="Calibri" w:hAnsi="Arial Narrow" w:cs="Arial"/>
          <w:b/>
          <w:iCs/>
          <w:lang w:val="bg-BG"/>
        </w:rPr>
        <w:t>ІІ.32.</w:t>
      </w:r>
      <w:r w:rsidRPr="006C238D">
        <w:rPr>
          <w:rFonts w:ascii="Arial Narrow" w:hAnsi="Arial Narrow"/>
          <w:b/>
          <w:iCs/>
          <w:lang w:val="bg-BG" w:eastAsia="bg-BG"/>
        </w:rPr>
        <w:t xml:space="preserve"> </w:t>
      </w:r>
      <w:r w:rsidRPr="006C238D">
        <w:rPr>
          <w:rFonts w:ascii="Arial Narrow" w:hAnsi="Arial Narrow"/>
          <w:b/>
          <w:lang w:val="bg-BG" w:eastAsia="bg-BG"/>
        </w:rPr>
        <w:t>Селскостопански животни в система на контрол</w:t>
      </w:r>
    </w:p>
    <w:tbl>
      <w:tblPr>
        <w:tblW w:w="5000" w:type="pct"/>
        <w:tblInd w:w="108" w:type="dxa"/>
        <w:tblLook w:val="04A0" w:firstRow="1" w:lastRow="0" w:firstColumn="1" w:lastColumn="0" w:noHBand="0" w:noVBand="1"/>
      </w:tblPr>
      <w:tblGrid>
        <w:gridCol w:w="2427"/>
        <w:gridCol w:w="1849"/>
        <w:gridCol w:w="1849"/>
        <w:gridCol w:w="1814"/>
        <w:gridCol w:w="1861"/>
      </w:tblGrid>
      <w:tr w:rsidR="006C238D" w:rsidRPr="006C238D" w14:paraId="7739DD44" w14:textId="77777777" w:rsidTr="00F10FC2">
        <w:trPr>
          <w:trHeight w:val="1057"/>
          <w:tblHeader/>
        </w:trPr>
        <w:tc>
          <w:tcPr>
            <w:tcW w:w="249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64D9B50" w14:textId="77777777" w:rsidR="006C238D" w:rsidRPr="006C238D" w:rsidRDefault="006C238D" w:rsidP="006C238D">
            <w:pPr>
              <w:jc w:val="both"/>
              <w:rPr>
                <w:rFonts w:ascii="Arial Narrow" w:hAnsi="Arial Narrow" w:cs="Calibri"/>
                <w:color w:val="000000"/>
                <w:sz w:val="20"/>
                <w:szCs w:val="20"/>
                <w:lang w:val="bg-BG" w:eastAsia="bg-BG"/>
              </w:rPr>
            </w:pPr>
          </w:p>
        </w:tc>
        <w:tc>
          <w:tcPr>
            <w:tcW w:w="3827" w:type="dxa"/>
            <w:gridSpan w:val="2"/>
            <w:tcBorders>
              <w:top w:val="single" w:sz="4" w:space="0" w:color="auto"/>
              <w:left w:val="nil"/>
              <w:bottom w:val="single" w:sz="4" w:space="0" w:color="auto"/>
              <w:right w:val="single" w:sz="4" w:space="0" w:color="auto"/>
            </w:tcBorders>
            <w:shd w:val="clear" w:color="auto" w:fill="auto"/>
            <w:vAlign w:val="center"/>
            <w:hideMark/>
          </w:tcPr>
          <w:p w14:paraId="4A4C3F14" w14:textId="77777777" w:rsidR="006C238D" w:rsidRPr="006C238D" w:rsidRDefault="006C238D" w:rsidP="006C238D">
            <w:pPr>
              <w:jc w:val="center"/>
              <w:rPr>
                <w:rFonts w:ascii="Arial Narrow" w:hAnsi="Arial Narrow" w:cs="Calibri"/>
                <w:b/>
                <w:bCs/>
                <w:color w:val="000000"/>
                <w:sz w:val="20"/>
                <w:szCs w:val="20"/>
                <w:lang w:val="bg-BG" w:eastAsia="bg-BG"/>
              </w:rPr>
            </w:pPr>
            <w:r w:rsidRPr="006C238D">
              <w:rPr>
                <w:rFonts w:ascii="Arial Narrow" w:hAnsi="Arial Narrow" w:cs="Calibri"/>
                <w:b/>
                <w:bCs/>
                <w:color w:val="000000"/>
                <w:sz w:val="20"/>
                <w:szCs w:val="20"/>
                <w:lang w:val="bg-BG" w:eastAsia="bg-BG"/>
              </w:rPr>
              <w:t>Брой животни, отглеждани по биологичен начин (в преход и биологични)</w:t>
            </w:r>
          </w:p>
        </w:tc>
        <w:tc>
          <w:tcPr>
            <w:tcW w:w="186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A1CB522" w14:textId="77777777" w:rsidR="006C238D" w:rsidRPr="006C238D" w:rsidRDefault="006C238D" w:rsidP="006C238D">
            <w:pPr>
              <w:jc w:val="center"/>
              <w:rPr>
                <w:rFonts w:ascii="Arial Narrow" w:hAnsi="Arial Narrow" w:cs="Calibri"/>
                <w:b/>
                <w:bCs/>
                <w:color w:val="000000"/>
                <w:sz w:val="20"/>
                <w:szCs w:val="20"/>
                <w:lang w:val="bg-BG" w:eastAsia="bg-BG"/>
              </w:rPr>
            </w:pPr>
            <w:r w:rsidRPr="006C238D">
              <w:rPr>
                <w:rFonts w:ascii="Arial Narrow" w:hAnsi="Arial Narrow" w:cs="Calibri"/>
                <w:b/>
                <w:bCs/>
                <w:color w:val="000000"/>
                <w:sz w:val="20"/>
                <w:szCs w:val="20"/>
                <w:lang w:val="bg-BG" w:eastAsia="bg-BG"/>
              </w:rPr>
              <w:t xml:space="preserve">Общ брой животни към 1-ви ноември </w:t>
            </w:r>
          </w:p>
          <w:p w14:paraId="6A5DD581" w14:textId="77777777" w:rsidR="006C238D" w:rsidRPr="006C238D" w:rsidRDefault="006C238D" w:rsidP="006C238D">
            <w:pPr>
              <w:jc w:val="center"/>
              <w:rPr>
                <w:rFonts w:ascii="Arial Narrow" w:hAnsi="Arial Narrow" w:cs="Calibri"/>
                <w:b/>
                <w:bCs/>
                <w:color w:val="000000"/>
                <w:sz w:val="20"/>
                <w:szCs w:val="20"/>
                <w:lang w:val="bg-BG" w:eastAsia="bg-BG"/>
              </w:rPr>
            </w:pPr>
            <w:r w:rsidRPr="006C238D">
              <w:rPr>
                <w:rFonts w:ascii="Arial Narrow" w:hAnsi="Arial Narrow" w:cs="Calibri"/>
                <w:b/>
                <w:bCs/>
                <w:color w:val="000000"/>
                <w:sz w:val="20"/>
                <w:szCs w:val="20"/>
                <w:lang w:val="bg-BG" w:eastAsia="bg-BG"/>
              </w:rPr>
              <w:t>2024 г.</w:t>
            </w:r>
          </w:p>
        </w:tc>
        <w:tc>
          <w:tcPr>
            <w:tcW w:w="186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CD4B53E" w14:textId="77777777" w:rsidR="006C238D" w:rsidRPr="006C238D" w:rsidRDefault="006C238D" w:rsidP="006C238D">
            <w:pPr>
              <w:jc w:val="center"/>
              <w:rPr>
                <w:rFonts w:ascii="Arial Narrow" w:hAnsi="Arial Narrow" w:cs="Calibri"/>
                <w:b/>
                <w:bCs/>
                <w:color w:val="000000"/>
                <w:sz w:val="20"/>
                <w:szCs w:val="20"/>
                <w:lang w:val="bg-BG" w:eastAsia="bg-BG"/>
              </w:rPr>
            </w:pPr>
            <w:r w:rsidRPr="006C238D">
              <w:rPr>
                <w:rFonts w:ascii="Arial Narrow" w:hAnsi="Arial Narrow" w:cs="Calibri"/>
                <w:b/>
                <w:bCs/>
                <w:color w:val="000000"/>
                <w:sz w:val="20"/>
                <w:szCs w:val="20"/>
                <w:lang w:val="bg-BG" w:eastAsia="bg-BG"/>
              </w:rPr>
              <w:t>Дял на животните, отглеждани по биологичен начин от общия брой животни към 1-ви ноември 2024 г.</w:t>
            </w:r>
          </w:p>
        </w:tc>
      </w:tr>
      <w:tr w:rsidR="006C238D" w:rsidRPr="006C238D" w14:paraId="7F1898D0" w14:textId="77777777" w:rsidTr="00F10FC2">
        <w:trPr>
          <w:trHeight w:val="787"/>
          <w:tblHeader/>
        </w:trPr>
        <w:tc>
          <w:tcPr>
            <w:tcW w:w="2499" w:type="dxa"/>
            <w:vMerge/>
            <w:tcBorders>
              <w:top w:val="single" w:sz="4" w:space="0" w:color="auto"/>
              <w:left w:val="single" w:sz="4" w:space="0" w:color="auto"/>
              <w:bottom w:val="single" w:sz="4" w:space="0" w:color="auto"/>
              <w:right w:val="single" w:sz="4" w:space="0" w:color="auto"/>
            </w:tcBorders>
            <w:vAlign w:val="center"/>
            <w:hideMark/>
          </w:tcPr>
          <w:p w14:paraId="01EA806E" w14:textId="77777777" w:rsidR="006C238D" w:rsidRPr="006C238D" w:rsidRDefault="006C238D" w:rsidP="006C238D">
            <w:pPr>
              <w:rPr>
                <w:rFonts w:ascii="Arial Narrow" w:hAnsi="Arial Narrow" w:cs="Calibri"/>
                <w:color w:val="000000"/>
                <w:sz w:val="20"/>
                <w:szCs w:val="20"/>
                <w:lang w:val="bg-BG" w:eastAsia="bg-BG"/>
              </w:rPr>
            </w:pPr>
          </w:p>
        </w:tc>
        <w:tc>
          <w:tcPr>
            <w:tcW w:w="1913" w:type="dxa"/>
            <w:tcBorders>
              <w:top w:val="nil"/>
              <w:left w:val="nil"/>
              <w:bottom w:val="single" w:sz="4" w:space="0" w:color="auto"/>
              <w:right w:val="single" w:sz="4" w:space="0" w:color="auto"/>
            </w:tcBorders>
            <w:shd w:val="clear" w:color="auto" w:fill="auto"/>
            <w:vAlign w:val="center"/>
            <w:hideMark/>
          </w:tcPr>
          <w:p w14:paraId="1C4D9FDB" w14:textId="77777777" w:rsidR="006C238D" w:rsidRPr="006C238D" w:rsidRDefault="006C238D" w:rsidP="006C238D">
            <w:pPr>
              <w:jc w:val="center"/>
              <w:rPr>
                <w:rFonts w:ascii="Arial Narrow" w:hAnsi="Arial Narrow" w:cs="Calibri"/>
                <w:b/>
                <w:bCs/>
                <w:color w:val="000000"/>
                <w:sz w:val="20"/>
                <w:szCs w:val="20"/>
                <w:lang w:val="bg-BG" w:eastAsia="bg-BG"/>
              </w:rPr>
            </w:pPr>
            <w:r w:rsidRPr="006C238D">
              <w:rPr>
                <w:rFonts w:ascii="Arial Narrow" w:hAnsi="Arial Narrow" w:cs="Calibri"/>
                <w:b/>
                <w:bCs/>
                <w:color w:val="000000"/>
                <w:sz w:val="20"/>
                <w:szCs w:val="20"/>
                <w:lang w:val="bg-BG" w:eastAsia="bg-BG"/>
              </w:rPr>
              <w:t>2023</w:t>
            </w:r>
          </w:p>
        </w:tc>
        <w:tc>
          <w:tcPr>
            <w:tcW w:w="1913" w:type="dxa"/>
            <w:tcBorders>
              <w:top w:val="nil"/>
              <w:left w:val="nil"/>
              <w:bottom w:val="single" w:sz="4" w:space="0" w:color="auto"/>
              <w:right w:val="single" w:sz="4" w:space="0" w:color="auto"/>
            </w:tcBorders>
            <w:shd w:val="clear" w:color="auto" w:fill="auto"/>
            <w:vAlign w:val="center"/>
            <w:hideMark/>
          </w:tcPr>
          <w:p w14:paraId="68FA4842" w14:textId="77777777" w:rsidR="006C238D" w:rsidRPr="006C238D" w:rsidRDefault="006C238D" w:rsidP="006C238D">
            <w:pPr>
              <w:jc w:val="center"/>
              <w:rPr>
                <w:rFonts w:ascii="Arial Narrow" w:hAnsi="Arial Narrow" w:cs="Calibri"/>
                <w:b/>
                <w:bCs/>
                <w:color w:val="000000"/>
                <w:sz w:val="20"/>
                <w:szCs w:val="20"/>
                <w:lang w:val="bg-BG" w:eastAsia="bg-BG"/>
              </w:rPr>
            </w:pPr>
            <w:r w:rsidRPr="006C238D">
              <w:rPr>
                <w:rFonts w:ascii="Arial Narrow" w:hAnsi="Arial Narrow" w:cs="Calibri"/>
                <w:b/>
                <w:bCs/>
                <w:color w:val="000000"/>
                <w:sz w:val="20"/>
                <w:szCs w:val="20"/>
                <w:lang w:val="bg-BG" w:eastAsia="bg-BG"/>
              </w:rPr>
              <w:t>2024</w:t>
            </w:r>
          </w:p>
        </w:tc>
        <w:tc>
          <w:tcPr>
            <w:tcW w:w="1861" w:type="dxa"/>
            <w:vMerge/>
            <w:tcBorders>
              <w:top w:val="single" w:sz="4" w:space="0" w:color="auto"/>
              <w:left w:val="single" w:sz="4" w:space="0" w:color="auto"/>
              <w:bottom w:val="single" w:sz="4" w:space="0" w:color="000000"/>
              <w:right w:val="single" w:sz="4" w:space="0" w:color="auto"/>
            </w:tcBorders>
            <w:vAlign w:val="center"/>
            <w:hideMark/>
          </w:tcPr>
          <w:p w14:paraId="64B3098E" w14:textId="77777777" w:rsidR="006C238D" w:rsidRPr="006C238D" w:rsidRDefault="006C238D" w:rsidP="006C238D">
            <w:pPr>
              <w:rPr>
                <w:rFonts w:ascii="Arial Narrow" w:hAnsi="Arial Narrow" w:cs="Calibri"/>
                <w:b/>
                <w:bCs/>
                <w:color w:val="000000"/>
                <w:sz w:val="20"/>
                <w:szCs w:val="20"/>
                <w:lang w:val="bg-BG" w:eastAsia="bg-BG"/>
              </w:rPr>
            </w:pPr>
          </w:p>
        </w:tc>
        <w:tc>
          <w:tcPr>
            <w:tcW w:w="1861" w:type="dxa"/>
            <w:vMerge/>
            <w:tcBorders>
              <w:top w:val="single" w:sz="4" w:space="0" w:color="auto"/>
              <w:left w:val="single" w:sz="4" w:space="0" w:color="auto"/>
              <w:bottom w:val="single" w:sz="4" w:space="0" w:color="auto"/>
              <w:right w:val="single" w:sz="4" w:space="0" w:color="auto"/>
            </w:tcBorders>
            <w:vAlign w:val="center"/>
            <w:hideMark/>
          </w:tcPr>
          <w:p w14:paraId="438276E9" w14:textId="77777777" w:rsidR="006C238D" w:rsidRPr="006C238D" w:rsidRDefault="006C238D" w:rsidP="006C238D">
            <w:pPr>
              <w:rPr>
                <w:rFonts w:ascii="Arial Narrow" w:hAnsi="Arial Narrow" w:cs="Calibri"/>
                <w:b/>
                <w:bCs/>
                <w:color w:val="000000"/>
                <w:sz w:val="20"/>
                <w:szCs w:val="20"/>
                <w:lang w:val="bg-BG" w:eastAsia="bg-BG"/>
              </w:rPr>
            </w:pPr>
          </w:p>
        </w:tc>
      </w:tr>
      <w:tr w:rsidR="006C238D" w:rsidRPr="006C238D" w14:paraId="5823FA00" w14:textId="77777777" w:rsidTr="00F10FC2">
        <w:trPr>
          <w:trHeight w:val="368"/>
        </w:trPr>
        <w:tc>
          <w:tcPr>
            <w:tcW w:w="2499" w:type="dxa"/>
            <w:tcBorders>
              <w:top w:val="nil"/>
              <w:left w:val="single" w:sz="4" w:space="0" w:color="auto"/>
              <w:bottom w:val="single" w:sz="4" w:space="0" w:color="auto"/>
              <w:right w:val="single" w:sz="4" w:space="0" w:color="auto"/>
            </w:tcBorders>
            <w:shd w:val="clear" w:color="auto" w:fill="auto"/>
            <w:vAlign w:val="center"/>
            <w:hideMark/>
          </w:tcPr>
          <w:p w14:paraId="6DAB7166" w14:textId="77777777" w:rsidR="006C238D" w:rsidRPr="006C238D" w:rsidRDefault="006C238D" w:rsidP="006C238D">
            <w:pPr>
              <w:jc w:val="both"/>
              <w:rPr>
                <w:rFonts w:ascii="Arial Narrow" w:hAnsi="Arial Narrow" w:cs="Calibri"/>
                <w:color w:val="000000"/>
                <w:sz w:val="20"/>
                <w:szCs w:val="20"/>
                <w:lang w:val="bg-BG" w:eastAsia="bg-BG"/>
              </w:rPr>
            </w:pPr>
            <w:r w:rsidRPr="006C238D">
              <w:rPr>
                <w:rFonts w:ascii="Arial Narrow" w:hAnsi="Arial Narrow" w:cs="Calibri"/>
                <w:color w:val="000000"/>
                <w:sz w:val="20"/>
                <w:szCs w:val="20"/>
                <w:lang w:val="bg-BG" w:eastAsia="bg-BG"/>
              </w:rPr>
              <w:t>Говеда и биволи</w:t>
            </w:r>
          </w:p>
        </w:tc>
        <w:tc>
          <w:tcPr>
            <w:tcW w:w="1913" w:type="dxa"/>
            <w:tcBorders>
              <w:top w:val="nil"/>
              <w:left w:val="nil"/>
              <w:bottom w:val="single" w:sz="4" w:space="0" w:color="auto"/>
              <w:right w:val="single" w:sz="4" w:space="0" w:color="auto"/>
            </w:tcBorders>
            <w:shd w:val="clear" w:color="auto" w:fill="auto"/>
            <w:vAlign w:val="center"/>
            <w:hideMark/>
          </w:tcPr>
          <w:p w14:paraId="652A5069" w14:textId="77777777" w:rsidR="006C238D" w:rsidRPr="006C238D" w:rsidRDefault="006C238D" w:rsidP="006C238D">
            <w:pPr>
              <w:jc w:val="right"/>
              <w:rPr>
                <w:rFonts w:ascii="Arial Narrow" w:hAnsi="Arial Narrow" w:cs="Calibri"/>
                <w:color w:val="000000"/>
                <w:sz w:val="20"/>
                <w:szCs w:val="20"/>
                <w:lang w:val="bg-BG" w:eastAsia="bg-BG"/>
              </w:rPr>
            </w:pPr>
            <w:r w:rsidRPr="006C238D">
              <w:rPr>
                <w:rFonts w:ascii="Arial Narrow" w:hAnsi="Arial Narrow" w:cs="Calibri"/>
                <w:color w:val="000000"/>
                <w:sz w:val="20"/>
                <w:szCs w:val="20"/>
                <w:lang w:val="bg-BG" w:eastAsia="bg-BG"/>
              </w:rPr>
              <w:t>30 494</w:t>
            </w:r>
          </w:p>
        </w:tc>
        <w:tc>
          <w:tcPr>
            <w:tcW w:w="1913" w:type="dxa"/>
            <w:tcBorders>
              <w:top w:val="nil"/>
              <w:left w:val="nil"/>
              <w:bottom w:val="single" w:sz="4" w:space="0" w:color="auto"/>
              <w:right w:val="single" w:sz="4" w:space="0" w:color="auto"/>
            </w:tcBorders>
            <w:shd w:val="clear" w:color="auto" w:fill="auto"/>
            <w:vAlign w:val="center"/>
            <w:hideMark/>
          </w:tcPr>
          <w:p w14:paraId="235BBDD0" w14:textId="77777777" w:rsidR="006C238D" w:rsidRPr="006C238D" w:rsidRDefault="006C238D" w:rsidP="006C238D">
            <w:pPr>
              <w:jc w:val="right"/>
              <w:rPr>
                <w:rFonts w:ascii="Arial Narrow" w:hAnsi="Arial Narrow" w:cs="Calibri"/>
                <w:color w:val="000000"/>
                <w:sz w:val="20"/>
                <w:szCs w:val="20"/>
                <w:lang w:val="bg-BG" w:eastAsia="bg-BG"/>
              </w:rPr>
            </w:pPr>
            <w:r w:rsidRPr="006C238D">
              <w:rPr>
                <w:rFonts w:ascii="Arial Narrow" w:hAnsi="Arial Narrow" w:cs="Calibri"/>
                <w:color w:val="000000"/>
                <w:sz w:val="20"/>
                <w:szCs w:val="20"/>
                <w:lang w:val="bg-BG" w:eastAsia="bg-BG"/>
              </w:rPr>
              <w:t>40 500</w:t>
            </w:r>
          </w:p>
        </w:tc>
        <w:tc>
          <w:tcPr>
            <w:tcW w:w="1861" w:type="dxa"/>
            <w:tcBorders>
              <w:top w:val="nil"/>
              <w:left w:val="nil"/>
              <w:bottom w:val="single" w:sz="4" w:space="0" w:color="auto"/>
              <w:right w:val="single" w:sz="4" w:space="0" w:color="auto"/>
            </w:tcBorders>
            <w:shd w:val="clear" w:color="auto" w:fill="auto"/>
            <w:vAlign w:val="center"/>
            <w:hideMark/>
          </w:tcPr>
          <w:p w14:paraId="118D9D19" w14:textId="77777777" w:rsidR="006C238D" w:rsidRPr="006C238D" w:rsidRDefault="006C238D" w:rsidP="006C238D">
            <w:pPr>
              <w:jc w:val="right"/>
              <w:rPr>
                <w:rFonts w:ascii="Arial Narrow" w:hAnsi="Arial Narrow" w:cs="Calibri"/>
                <w:color w:val="000000"/>
                <w:sz w:val="20"/>
                <w:szCs w:val="20"/>
                <w:lang w:val="bg-BG" w:eastAsia="bg-BG"/>
              </w:rPr>
            </w:pPr>
            <w:r w:rsidRPr="006C238D">
              <w:rPr>
                <w:rFonts w:ascii="Arial Narrow" w:hAnsi="Arial Narrow" w:cs="Calibri"/>
                <w:color w:val="000000"/>
                <w:sz w:val="20"/>
                <w:szCs w:val="20"/>
                <w:lang w:val="bg-BG" w:eastAsia="bg-BG"/>
              </w:rPr>
              <w:t>558 773</w:t>
            </w:r>
          </w:p>
        </w:tc>
        <w:tc>
          <w:tcPr>
            <w:tcW w:w="1861" w:type="dxa"/>
            <w:tcBorders>
              <w:top w:val="nil"/>
              <w:left w:val="nil"/>
              <w:bottom w:val="single" w:sz="4" w:space="0" w:color="auto"/>
              <w:right w:val="single" w:sz="4" w:space="0" w:color="auto"/>
            </w:tcBorders>
            <w:shd w:val="clear" w:color="auto" w:fill="auto"/>
            <w:noWrap/>
            <w:vAlign w:val="center"/>
            <w:hideMark/>
          </w:tcPr>
          <w:p w14:paraId="00D074F8" w14:textId="77777777" w:rsidR="006C238D" w:rsidRPr="006C238D" w:rsidRDefault="006C238D" w:rsidP="006C238D">
            <w:pPr>
              <w:jc w:val="right"/>
              <w:rPr>
                <w:rFonts w:ascii="Arial Narrow" w:hAnsi="Arial Narrow" w:cs="Calibri"/>
                <w:color w:val="000000"/>
                <w:sz w:val="20"/>
                <w:szCs w:val="20"/>
                <w:lang w:val="bg-BG" w:eastAsia="bg-BG"/>
              </w:rPr>
            </w:pPr>
            <w:r w:rsidRPr="006C238D">
              <w:rPr>
                <w:rFonts w:ascii="Arial Narrow" w:hAnsi="Arial Narrow" w:cs="Calibri"/>
                <w:color w:val="000000"/>
                <w:sz w:val="20"/>
                <w:szCs w:val="20"/>
                <w:lang w:val="bg-BG" w:eastAsia="bg-BG"/>
              </w:rPr>
              <w:t>7,2%</w:t>
            </w:r>
          </w:p>
        </w:tc>
      </w:tr>
      <w:tr w:rsidR="006C238D" w:rsidRPr="006C238D" w14:paraId="1BB50791" w14:textId="77777777" w:rsidTr="00F10FC2">
        <w:trPr>
          <w:trHeight w:val="368"/>
        </w:trPr>
        <w:tc>
          <w:tcPr>
            <w:tcW w:w="2499" w:type="dxa"/>
            <w:tcBorders>
              <w:top w:val="nil"/>
              <w:left w:val="single" w:sz="4" w:space="0" w:color="auto"/>
              <w:bottom w:val="single" w:sz="4" w:space="0" w:color="auto"/>
              <w:right w:val="single" w:sz="4" w:space="0" w:color="auto"/>
            </w:tcBorders>
            <w:shd w:val="clear" w:color="auto" w:fill="auto"/>
            <w:vAlign w:val="center"/>
            <w:hideMark/>
          </w:tcPr>
          <w:p w14:paraId="773ABCC5" w14:textId="77777777" w:rsidR="006C238D" w:rsidRPr="006C238D" w:rsidRDefault="006C238D" w:rsidP="006C238D">
            <w:pPr>
              <w:jc w:val="both"/>
              <w:rPr>
                <w:rFonts w:ascii="Arial Narrow" w:hAnsi="Arial Narrow" w:cs="Calibri"/>
                <w:color w:val="000000"/>
                <w:sz w:val="20"/>
                <w:szCs w:val="20"/>
                <w:lang w:val="bg-BG" w:eastAsia="bg-BG"/>
              </w:rPr>
            </w:pPr>
            <w:r w:rsidRPr="006C238D">
              <w:rPr>
                <w:rFonts w:ascii="Arial Narrow" w:hAnsi="Arial Narrow" w:cs="Calibri"/>
                <w:color w:val="000000"/>
                <w:sz w:val="20"/>
                <w:szCs w:val="20"/>
                <w:lang w:val="bg-BG" w:eastAsia="bg-BG"/>
              </w:rPr>
              <w:t>Овце</w:t>
            </w:r>
          </w:p>
        </w:tc>
        <w:tc>
          <w:tcPr>
            <w:tcW w:w="1913" w:type="dxa"/>
            <w:tcBorders>
              <w:top w:val="nil"/>
              <w:left w:val="nil"/>
              <w:bottom w:val="single" w:sz="4" w:space="0" w:color="auto"/>
              <w:right w:val="single" w:sz="4" w:space="0" w:color="auto"/>
            </w:tcBorders>
            <w:shd w:val="clear" w:color="auto" w:fill="auto"/>
            <w:vAlign w:val="center"/>
            <w:hideMark/>
          </w:tcPr>
          <w:p w14:paraId="2368D704" w14:textId="77777777" w:rsidR="006C238D" w:rsidRPr="006C238D" w:rsidRDefault="006C238D" w:rsidP="006C238D">
            <w:pPr>
              <w:jc w:val="right"/>
              <w:rPr>
                <w:rFonts w:ascii="Arial Narrow" w:hAnsi="Arial Narrow" w:cs="Calibri"/>
                <w:color w:val="000000"/>
                <w:sz w:val="20"/>
                <w:szCs w:val="20"/>
                <w:lang w:val="bg-BG" w:eastAsia="bg-BG"/>
              </w:rPr>
            </w:pPr>
            <w:r w:rsidRPr="006C238D">
              <w:rPr>
                <w:rFonts w:ascii="Arial Narrow" w:hAnsi="Arial Narrow" w:cs="Calibri"/>
                <w:color w:val="000000"/>
                <w:sz w:val="20"/>
                <w:szCs w:val="20"/>
                <w:lang w:val="bg-BG" w:eastAsia="bg-BG"/>
              </w:rPr>
              <w:t>39 497</w:t>
            </w:r>
          </w:p>
        </w:tc>
        <w:tc>
          <w:tcPr>
            <w:tcW w:w="1913" w:type="dxa"/>
            <w:tcBorders>
              <w:top w:val="nil"/>
              <w:left w:val="nil"/>
              <w:bottom w:val="single" w:sz="4" w:space="0" w:color="auto"/>
              <w:right w:val="single" w:sz="4" w:space="0" w:color="auto"/>
            </w:tcBorders>
            <w:shd w:val="clear" w:color="auto" w:fill="auto"/>
            <w:vAlign w:val="center"/>
            <w:hideMark/>
          </w:tcPr>
          <w:p w14:paraId="080D7B44" w14:textId="77777777" w:rsidR="006C238D" w:rsidRPr="006C238D" w:rsidRDefault="006C238D" w:rsidP="006C238D">
            <w:pPr>
              <w:jc w:val="right"/>
              <w:rPr>
                <w:rFonts w:ascii="Arial Narrow" w:hAnsi="Arial Narrow" w:cs="Calibri"/>
                <w:color w:val="000000"/>
                <w:sz w:val="20"/>
                <w:szCs w:val="20"/>
                <w:lang w:val="bg-BG" w:eastAsia="bg-BG"/>
              </w:rPr>
            </w:pPr>
            <w:r w:rsidRPr="006C238D">
              <w:rPr>
                <w:rFonts w:ascii="Arial Narrow" w:hAnsi="Arial Narrow" w:cs="Calibri"/>
                <w:color w:val="000000"/>
                <w:sz w:val="20"/>
                <w:szCs w:val="20"/>
                <w:lang w:val="bg-BG" w:eastAsia="bg-BG"/>
              </w:rPr>
              <w:t>71 713</w:t>
            </w:r>
          </w:p>
        </w:tc>
        <w:tc>
          <w:tcPr>
            <w:tcW w:w="1861" w:type="dxa"/>
            <w:tcBorders>
              <w:top w:val="nil"/>
              <w:left w:val="nil"/>
              <w:bottom w:val="single" w:sz="4" w:space="0" w:color="auto"/>
              <w:right w:val="single" w:sz="4" w:space="0" w:color="auto"/>
            </w:tcBorders>
            <w:shd w:val="clear" w:color="auto" w:fill="auto"/>
            <w:vAlign w:val="center"/>
            <w:hideMark/>
          </w:tcPr>
          <w:p w14:paraId="083E85C5" w14:textId="77777777" w:rsidR="006C238D" w:rsidRPr="006C238D" w:rsidRDefault="006C238D" w:rsidP="006C238D">
            <w:pPr>
              <w:jc w:val="right"/>
              <w:rPr>
                <w:rFonts w:ascii="Arial Narrow" w:hAnsi="Arial Narrow" w:cs="Calibri"/>
                <w:color w:val="000000"/>
                <w:sz w:val="20"/>
                <w:szCs w:val="20"/>
                <w:lang w:val="bg-BG" w:eastAsia="bg-BG"/>
              </w:rPr>
            </w:pPr>
            <w:r w:rsidRPr="006C238D">
              <w:rPr>
                <w:rFonts w:ascii="Arial Narrow" w:hAnsi="Arial Narrow" w:cs="Calibri"/>
                <w:color w:val="000000"/>
                <w:sz w:val="20"/>
                <w:szCs w:val="20"/>
                <w:lang w:val="bg-BG" w:eastAsia="bg-BG"/>
              </w:rPr>
              <w:t>1 016 698</w:t>
            </w:r>
          </w:p>
        </w:tc>
        <w:tc>
          <w:tcPr>
            <w:tcW w:w="1861" w:type="dxa"/>
            <w:tcBorders>
              <w:top w:val="nil"/>
              <w:left w:val="nil"/>
              <w:bottom w:val="single" w:sz="4" w:space="0" w:color="auto"/>
              <w:right w:val="single" w:sz="4" w:space="0" w:color="auto"/>
            </w:tcBorders>
            <w:shd w:val="clear" w:color="auto" w:fill="auto"/>
            <w:noWrap/>
            <w:vAlign w:val="center"/>
            <w:hideMark/>
          </w:tcPr>
          <w:p w14:paraId="619E9488" w14:textId="77777777" w:rsidR="006C238D" w:rsidRPr="006C238D" w:rsidRDefault="006C238D" w:rsidP="006C238D">
            <w:pPr>
              <w:jc w:val="right"/>
              <w:rPr>
                <w:rFonts w:ascii="Arial Narrow" w:hAnsi="Arial Narrow" w:cs="Calibri"/>
                <w:color w:val="000000"/>
                <w:sz w:val="20"/>
                <w:szCs w:val="20"/>
                <w:lang w:val="bg-BG" w:eastAsia="bg-BG"/>
              </w:rPr>
            </w:pPr>
            <w:r w:rsidRPr="006C238D">
              <w:rPr>
                <w:rFonts w:ascii="Arial Narrow" w:hAnsi="Arial Narrow" w:cs="Calibri"/>
                <w:color w:val="000000"/>
                <w:sz w:val="20"/>
                <w:szCs w:val="20"/>
                <w:lang w:val="bg-BG" w:eastAsia="bg-BG"/>
              </w:rPr>
              <w:t>7,1%</w:t>
            </w:r>
          </w:p>
        </w:tc>
      </w:tr>
      <w:tr w:rsidR="006C238D" w:rsidRPr="006C238D" w14:paraId="1D9D768C" w14:textId="77777777" w:rsidTr="00F10FC2">
        <w:trPr>
          <w:trHeight w:val="368"/>
        </w:trPr>
        <w:tc>
          <w:tcPr>
            <w:tcW w:w="2499" w:type="dxa"/>
            <w:tcBorders>
              <w:top w:val="nil"/>
              <w:left w:val="single" w:sz="4" w:space="0" w:color="auto"/>
              <w:bottom w:val="single" w:sz="4" w:space="0" w:color="auto"/>
              <w:right w:val="single" w:sz="4" w:space="0" w:color="auto"/>
            </w:tcBorders>
            <w:shd w:val="clear" w:color="auto" w:fill="auto"/>
            <w:vAlign w:val="center"/>
            <w:hideMark/>
          </w:tcPr>
          <w:p w14:paraId="0AEFF735" w14:textId="77777777" w:rsidR="006C238D" w:rsidRPr="006C238D" w:rsidRDefault="006C238D" w:rsidP="006C238D">
            <w:pPr>
              <w:jc w:val="both"/>
              <w:rPr>
                <w:rFonts w:ascii="Arial Narrow" w:hAnsi="Arial Narrow" w:cs="Calibri"/>
                <w:color w:val="000000"/>
                <w:sz w:val="20"/>
                <w:szCs w:val="20"/>
                <w:lang w:val="bg-BG" w:eastAsia="bg-BG"/>
              </w:rPr>
            </w:pPr>
            <w:r w:rsidRPr="006C238D">
              <w:rPr>
                <w:rFonts w:ascii="Arial Narrow" w:hAnsi="Arial Narrow" w:cs="Calibri"/>
                <w:color w:val="000000"/>
                <w:sz w:val="20"/>
                <w:szCs w:val="20"/>
                <w:lang w:val="bg-BG" w:eastAsia="bg-BG"/>
              </w:rPr>
              <w:t>Кози</w:t>
            </w:r>
          </w:p>
        </w:tc>
        <w:tc>
          <w:tcPr>
            <w:tcW w:w="1913" w:type="dxa"/>
            <w:tcBorders>
              <w:top w:val="nil"/>
              <w:left w:val="nil"/>
              <w:bottom w:val="single" w:sz="4" w:space="0" w:color="auto"/>
              <w:right w:val="single" w:sz="4" w:space="0" w:color="auto"/>
            </w:tcBorders>
            <w:shd w:val="clear" w:color="auto" w:fill="auto"/>
            <w:vAlign w:val="center"/>
            <w:hideMark/>
          </w:tcPr>
          <w:p w14:paraId="32EB6234" w14:textId="77777777" w:rsidR="006C238D" w:rsidRPr="006C238D" w:rsidRDefault="006C238D" w:rsidP="006C238D">
            <w:pPr>
              <w:jc w:val="right"/>
              <w:rPr>
                <w:rFonts w:ascii="Arial Narrow" w:hAnsi="Arial Narrow" w:cs="Calibri"/>
                <w:color w:val="000000"/>
                <w:sz w:val="20"/>
                <w:szCs w:val="20"/>
                <w:lang w:val="bg-BG" w:eastAsia="bg-BG"/>
              </w:rPr>
            </w:pPr>
            <w:r w:rsidRPr="006C238D">
              <w:rPr>
                <w:rFonts w:ascii="Arial Narrow" w:hAnsi="Arial Narrow" w:cs="Calibri"/>
                <w:color w:val="000000"/>
                <w:sz w:val="20"/>
                <w:szCs w:val="20"/>
                <w:lang w:val="bg-BG" w:eastAsia="bg-BG"/>
              </w:rPr>
              <w:t>7 951</w:t>
            </w:r>
          </w:p>
        </w:tc>
        <w:tc>
          <w:tcPr>
            <w:tcW w:w="1913" w:type="dxa"/>
            <w:tcBorders>
              <w:top w:val="nil"/>
              <w:left w:val="nil"/>
              <w:bottom w:val="single" w:sz="4" w:space="0" w:color="auto"/>
              <w:right w:val="single" w:sz="4" w:space="0" w:color="auto"/>
            </w:tcBorders>
            <w:shd w:val="clear" w:color="auto" w:fill="auto"/>
            <w:vAlign w:val="center"/>
            <w:hideMark/>
          </w:tcPr>
          <w:p w14:paraId="0B233657" w14:textId="77777777" w:rsidR="006C238D" w:rsidRPr="006C238D" w:rsidRDefault="006C238D" w:rsidP="006C238D">
            <w:pPr>
              <w:jc w:val="right"/>
              <w:rPr>
                <w:rFonts w:ascii="Arial Narrow" w:hAnsi="Arial Narrow" w:cs="Calibri"/>
                <w:color w:val="000000"/>
                <w:sz w:val="20"/>
                <w:szCs w:val="20"/>
                <w:lang w:val="bg-BG" w:eastAsia="bg-BG"/>
              </w:rPr>
            </w:pPr>
            <w:r w:rsidRPr="006C238D">
              <w:rPr>
                <w:rFonts w:ascii="Arial Narrow" w:hAnsi="Arial Narrow" w:cs="Calibri"/>
                <w:color w:val="000000"/>
                <w:sz w:val="20"/>
                <w:szCs w:val="20"/>
                <w:lang w:val="bg-BG" w:eastAsia="bg-BG"/>
              </w:rPr>
              <w:t>10 700</w:t>
            </w:r>
          </w:p>
        </w:tc>
        <w:tc>
          <w:tcPr>
            <w:tcW w:w="1861" w:type="dxa"/>
            <w:tcBorders>
              <w:top w:val="nil"/>
              <w:left w:val="nil"/>
              <w:bottom w:val="single" w:sz="4" w:space="0" w:color="auto"/>
              <w:right w:val="single" w:sz="4" w:space="0" w:color="auto"/>
            </w:tcBorders>
            <w:shd w:val="clear" w:color="auto" w:fill="auto"/>
            <w:vAlign w:val="center"/>
            <w:hideMark/>
          </w:tcPr>
          <w:p w14:paraId="60E86C17" w14:textId="77777777" w:rsidR="006C238D" w:rsidRPr="006C238D" w:rsidRDefault="006C238D" w:rsidP="006C238D">
            <w:pPr>
              <w:jc w:val="right"/>
              <w:rPr>
                <w:rFonts w:ascii="Arial Narrow" w:hAnsi="Arial Narrow" w:cs="Calibri"/>
                <w:color w:val="000000"/>
                <w:sz w:val="20"/>
                <w:szCs w:val="20"/>
                <w:lang w:val="bg-BG" w:eastAsia="bg-BG"/>
              </w:rPr>
            </w:pPr>
            <w:r w:rsidRPr="006C238D">
              <w:rPr>
                <w:rFonts w:ascii="Arial Narrow" w:hAnsi="Arial Narrow" w:cs="Calibri"/>
                <w:color w:val="000000"/>
                <w:sz w:val="20"/>
                <w:szCs w:val="20"/>
                <w:lang w:val="bg-BG" w:eastAsia="bg-BG"/>
              </w:rPr>
              <w:t>149 999</w:t>
            </w:r>
          </w:p>
        </w:tc>
        <w:tc>
          <w:tcPr>
            <w:tcW w:w="1861" w:type="dxa"/>
            <w:tcBorders>
              <w:top w:val="nil"/>
              <w:left w:val="nil"/>
              <w:bottom w:val="single" w:sz="4" w:space="0" w:color="auto"/>
              <w:right w:val="single" w:sz="4" w:space="0" w:color="auto"/>
            </w:tcBorders>
            <w:shd w:val="clear" w:color="auto" w:fill="auto"/>
            <w:noWrap/>
            <w:vAlign w:val="center"/>
            <w:hideMark/>
          </w:tcPr>
          <w:p w14:paraId="4F8788F1" w14:textId="77777777" w:rsidR="006C238D" w:rsidRPr="006C238D" w:rsidRDefault="006C238D" w:rsidP="006C238D">
            <w:pPr>
              <w:jc w:val="right"/>
              <w:rPr>
                <w:rFonts w:ascii="Arial Narrow" w:hAnsi="Arial Narrow" w:cs="Calibri"/>
                <w:color w:val="000000"/>
                <w:sz w:val="20"/>
                <w:szCs w:val="20"/>
                <w:lang w:val="bg-BG" w:eastAsia="bg-BG"/>
              </w:rPr>
            </w:pPr>
            <w:r w:rsidRPr="006C238D">
              <w:rPr>
                <w:rFonts w:ascii="Arial Narrow" w:hAnsi="Arial Narrow" w:cs="Calibri"/>
                <w:color w:val="000000"/>
                <w:sz w:val="20"/>
                <w:szCs w:val="20"/>
                <w:lang w:val="bg-BG" w:eastAsia="bg-BG"/>
              </w:rPr>
              <w:t>7,1%</w:t>
            </w:r>
          </w:p>
        </w:tc>
      </w:tr>
      <w:tr w:rsidR="006C238D" w:rsidRPr="006C238D" w14:paraId="3E6BC4E3" w14:textId="77777777" w:rsidTr="00F10FC2">
        <w:trPr>
          <w:trHeight w:val="368"/>
        </w:trPr>
        <w:tc>
          <w:tcPr>
            <w:tcW w:w="2499" w:type="dxa"/>
            <w:tcBorders>
              <w:top w:val="nil"/>
              <w:left w:val="single" w:sz="4" w:space="0" w:color="auto"/>
              <w:bottom w:val="single" w:sz="4" w:space="0" w:color="auto"/>
              <w:right w:val="single" w:sz="4" w:space="0" w:color="auto"/>
            </w:tcBorders>
            <w:shd w:val="clear" w:color="auto" w:fill="auto"/>
            <w:vAlign w:val="center"/>
            <w:hideMark/>
          </w:tcPr>
          <w:p w14:paraId="3CD9890A" w14:textId="77777777" w:rsidR="006C238D" w:rsidRPr="006C238D" w:rsidRDefault="006C238D" w:rsidP="006C238D">
            <w:pPr>
              <w:jc w:val="both"/>
              <w:rPr>
                <w:rFonts w:ascii="Arial Narrow" w:hAnsi="Arial Narrow" w:cs="Calibri"/>
                <w:color w:val="000000"/>
                <w:sz w:val="20"/>
                <w:szCs w:val="20"/>
                <w:lang w:val="bg-BG" w:eastAsia="bg-BG"/>
              </w:rPr>
            </w:pPr>
            <w:r w:rsidRPr="006C238D">
              <w:rPr>
                <w:rFonts w:ascii="Arial Narrow" w:hAnsi="Arial Narrow" w:cs="Calibri"/>
                <w:color w:val="000000"/>
                <w:sz w:val="20"/>
                <w:szCs w:val="20"/>
                <w:lang w:val="bg-BG" w:eastAsia="bg-BG"/>
              </w:rPr>
              <w:t>Пчелни семейства*</w:t>
            </w:r>
          </w:p>
        </w:tc>
        <w:tc>
          <w:tcPr>
            <w:tcW w:w="1913" w:type="dxa"/>
            <w:tcBorders>
              <w:top w:val="nil"/>
              <w:left w:val="nil"/>
              <w:bottom w:val="single" w:sz="4" w:space="0" w:color="auto"/>
              <w:right w:val="single" w:sz="4" w:space="0" w:color="auto"/>
            </w:tcBorders>
            <w:shd w:val="clear" w:color="auto" w:fill="auto"/>
            <w:vAlign w:val="center"/>
            <w:hideMark/>
          </w:tcPr>
          <w:p w14:paraId="006B169C" w14:textId="77777777" w:rsidR="006C238D" w:rsidRPr="006C238D" w:rsidRDefault="006C238D" w:rsidP="006C238D">
            <w:pPr>
              <w:jc w:val="right"/>
              <w:rPr>
                <w:rFonts w:ascii="Arial Narrow" w:hAnsi="Arial Narrow" w:cs="Calibri"/>
                <w:color w:val="000000"/>
                <w:sz w:val="20"/>
                <w:szCs w:val="20"/>
                <w:lang w:val="bg-BG" w:eastAsia="bg-BG"/>
              </w:rPr>
            </w:pPr>
            <w:r w:rsidRPr="006C238D">
              <w:rPr>
                <w:rFonts w:ascii="Arial Narrow" w:hAnsi="Arial Narrow" w:cs="Calibri"/>
                <w:color w:val="000000"/>
                <w:sz w:val="20"/>
                <w:szCs w:val="20"/>
                <w:lang w:val="bg-BG" w:eastAsia="bg-BG"/>
              </w:rPr>
              <w:t>233 920</w:t>
            </w:r>
          </w:p>
        </w:tc>
        <w:tc>
          <w:tcPr>
            <w:tcW w:w="1913" w:type="dxa"/>
            <w:tcBorders>
              <w:top w:val="nil"/>
              <w:left w:val="nil"/>
              <w:bottom w:val="single" w:sz="4" w:space="0" w:color="auto"/>
              <w:right w:val="single" w:sz="4" w:space="0" w:color="auto"/>
            </w:tcBorders>
            <w:shd w:val="clear" w:color="auto" w:fill="auto"/>
            <w:vAlign w:val="center"/>
            <w:hideMark/>
          </w:tcPr>
          <w:p w14:paraId="274F0736" w14:textId="77777777" w:rsidR="006C238D" w:rsidRPr="006C238D" w:rsidRDefault="006C238D" w:rsidP="006C238D">
            <w:pPr>
              <w:jc w:val="right"/>
              <w:rPr>
                <w:rFonts w:ascii="Arial Narrow" w:hAnsi="Arial Narrow" w:cs="Calibri"/>
                <w:color w:val="000000"/>
                <w:sz w:val="20"/>
                <w:szCs w:val="20"/>
                <w:lang w:val="bg-BG" w:eastAsia="bg-BG"/>
              </w:rPr>
            </w:pPr>
            <w:r w:rsidRPr="006C238D">
              <w:rPr>
                <w:rFonts w:ascii="Arial Narrow" w:hAnsi="Arial Narrow" w:cs="Calibri"/>
                <w:color w:val="000000"/>
                <w:sz w:val="20"/>
                <w:szCs w:val="20"/>
                <w:lang w:val="bg-BG" w:eastAsia="bg-BG"/>
              </w:rPr>
              <w:t>258 776</w:t>
            </w:r>
          </w:p>
        </w:tc>
        <w:tc>
          <w:tcPr>
            <w:tcW w:w="1861" w:type="dxa"/>
            <w:tcBorders>
              <w:top w:val="nil"/>
              <w:left w:val="nil"/>
              <w:bottom w:val="single" w:sz="4" w:space="0" w:color="auto"/>
              <w:right w:val="single" w:sz="4" w:space="0" w:color="auto"/>
            </w:tcBorders>
            <w:shd w:val="clear" w:color="auto" w:fill="auto"/>
            <w:vAlign w:val="center"/>
            <w:hideMark/>
          </w:tcPr>
          <w:p w14:paraId="1DD4605D" w14:textId="77777777" w:rsidR="006C238D" w:rsidRPr="006C238D" w:rsidRDefault="006C238D" w:rsidP="006C238D">
            <w:pPr>
              <w:jc w:val="right"/>
              <w:rPr>
                <w:rFonts w:ascii="Arial Narrow" w:hAnsi="Arial Narrow" w:cs="Calibri"/>
                <w:color w:val="000000"/>
                <w:sz w:val="20"/>
                <w:szCs w:val="20"/>
                <w:lang w:val="bg-BG" w:eastAsia="bg-BG"/>
              </w:rPr>
            </w:pPr>
            <w:r w:rsidRPr="006C238D">
              <w:rPr>
                <w:rFonts w:ascii="Arial Narrow" w:hAnsi="Arial Narrow" w:cs="Calibri"/>
                <w:color w:val="000000"/>
                <w:sz w:val="20"/>
                <w:szCs w:val="20"/>
                <w:lang w:val="bg-BG" w:eastAsia="bg-BG"/>
              </w:rPr>
              <w:t>838 038</w:t>
            </w:r>
          </w:p>
        </w:tc>
        <w:tc>
          <w:tcPr>
            <w:tcW w:w="1861" w:type="dxa"/>
            <w:tcBorders>
              <w:top w:val="nil"/>
              <w:left w:val="nil"/>
              <w:bottom w:val="single" w:sz="4" w:space="0" w:color="auto"/>
              <w:right w:val="single" w:sz="4" w:space="0" w:color="auto"/>
            </w:tcBorders>
            <w:shd w:val="clear" w:color="auto" w:fill="auto"/>
            <w:noWrap/>
            <w:vAlign w:val="center"/>
            <w:hideMark/>
          </w:tcPr>
          <w:p w14:paraId="7781822C" w14:textId="77777777" w:rsidR="006C238D" w:rsidRPr="006C238D" w:rsidRDefault="006C238D" w:rsidP="006C238D">
            <w:pPr>
              <w:jc w:val="right"/>
              <w:rPr>
                <w:rFonts w:ascii="Arial Narrow" w:hAnsi="Arial Narrow" w:cs="Calibri"/>
                <w:color w:val="000000"/>
                <w:sz w:val="20"/>
                <w:szCs w:val="20"/>
                <w:lang w:val="bg-BG" w:eastAsia="bg-BG"/>
              </w:rPr>
            </w:pPr>
            <w:r w:rsidRPr="006C238D">
              <w:rPr>
                <w:rFonts w:ascii="Arial Narrow" w:hAnsi="Arial Narrow" w:cs="Calibri"/>
                <w:color w:val="000000"/>
                <w:sz w:val="20"/>
                <w:szCs w:val="20"/>
                <w:lang w:val="bg-BG" w:eastAsia="bg-BG"/>
              </w:rPr>
              <w:t>30,9%</w:t>
            </w:r>
          </w:p>
        </w:tc>
      </w:tr>
    </w:tbl>
    <w:p w14:paraId="476D141A" w14:textId="77777777" w:rsidR="006C238D" w:rsidRPr="006C238D" w:rsidRDefault="006C238D" w:rsidP="006C238D">
      <w:pPr>
        <w:autoSpaceDE w:val="0"/>
        <w:autoSpaceDN w:val="0"/>
        <w:adjustRightInd w:val="0"/>
        <w:spacing w:after="60"/>
        <w:jc w:val="both"/>
        <w:rPr>
          <w:rFonts w:ascii="Arial Narrow" w:hAnsi="Arial Narrow"/>
          <w:sz w:val="18"/>
          <w:szCs w:val="18"/>
          <w:lang w:val="bg-BG" w:eastAsia="bg-BG"/>
        </w:rPr>
      </w:pPr>
      <w:r w:rsidRPr="00725099">
        <w:rPr>
          <w:rFonts w:ascii="Arial Narrow" w:hAnsi="Arial Narrow"/>
          <w:i/>
          <w:sz w:val="18"/>
          <w:szCs w:val="18"/>
          <w:lang w:val="bg-BG" w:eastAsia="bg-BG"/>
        </w:rPr>
        <w:t>Източник</w:t>
      </w:r>
      <w:r w:rsidRPr="006C238D">
        <w:rPr>
          <w:rFonts w:ascii="Arial Narrow" w:hAnsi="Arial Narrow"/>
          <w:b/>
          <w:i/>
          <w:sz w:val="18"/>
          <w:szCs w:val="18"/>
          <w:lang w:val="bg-BG" w:eastAsia="bg-BG"/>
        </w:rPr>
        <w:t>:</w:t>
      </w:r>
      <w:r w:rsidRPr="006C238D">
        <w:rPr>
          <w:rFonts w:ascii="Arial Narrow" w:hAnsi="Arial Narrow"/>
          <w:sz w:val="18"/>
          <w:szCs w:val="18"/>
          <w:lang w:val="bg-BG" w:eastAsia="bg-BG"/>
        </w:rPr>
        <w:t xml:space="preserve"> МЗХ, по данни от контролиращите лица въведени в регистъра по чл. 16а, ал. 1, т. 1 от Закона за прилагане на Общата организация на пазарите на земеделски продукти на Европейския съюз.</w:t>
      </w:r>
    </w:p>
    <w:p w14:paraId="3EA908E8" w14:textId="77777777" w:rsidR="006C238D" w:rsidRPr="006C238D" w:rsidRDefault="006C238D" w:rsidP="006C238D">
      <w:pPr>
        <w:autoSpaceDE w:val="0"/>
        <w:autoSpaceDN w:val="0"/>
        <w:adjustRightInd w:val="0"/>
        <w:spacing w:after="240"/>
        <w:jc w:val="both"/>
        <w:rPr>
          <w:rFonts w:ascii="Arial Narrow" w:hAnsi="Arial Narrow"/>
          <w:sz w:val="18"/>
          <w:szCs w:val="18"/>
          <w:lang w:val="bg-BG" w:eastAsia="bg-BG"/>
        </w:rPr>
      </w:pPr>
      <w:r w:rsidRPr="006C238D">
        <w:rPr>
          <w:rFonts w:ascii="Arial Narrow" w:hAnsi="Arial Narrow"/>
          <w:sz w:val="18"/>
          <w:szCs w:val="18"/>
          <w:lang w:val="bg-BG" w:eastAsia="bg-BG"/>
        </w:rPr>
        <w:t>*Данните за общия брой пчелни семейства са към 1-ви октомври 2024 г.</w:t>
      </w:r>
    </w:p>
    <w:p w14:paraId="75C76F7D" w14:textId="77777777" w:rsidR="006C238D" w:rsidRPr="006C238D" w:rsidRDefault="006C238D" w:rsidP="006C238D">
      <w:pPr>
        <w:autoSpaceDE w:val="0"/>
        <w:autoSpaceDN w:val="0"/>
        <w:adjustRightInd w:val="0"/>
        <w:spacing w:after="120"/>
        <w:ind w:firstLine="851"/>
        <w:jc w:val="both"/>
        <w:rPr>
          <w:rFonts w:ascii="Arial Narrow" w:hAnsi="Arial Narrow"/>
          <w:color w:val="000000"/>
          <w:lang w:val="bg-BG" w:eastAsia="bg-BG"/>
        </w:rPr>
      </w:pPr>
      <w:r w:rsidRPr="006C238D">
        <w:rPr>
          <w:rFonts w:ascii="Arial Narrow" w:hAnsi="Arial Narrow"/>
          <w:color w:val="000000"/>
          <w:lang w:val="bg-BG" w:eastAsia="bg-BG"/>
        </w:rPr>
        <w:t xml:space="preserve">През 2024 г. от сертифицирани животновъдни стопанства са получени 11 239,4 тона сурово мляко, </w:t>
      </w:r>
      <w:r w:rsidRPr="006C238D">
        <w:rPr>
          <w:rFonts w:ascii="Arial Narrow" w:hAnsi="Arial Narrow" w:cs="Calibri"/>
          <w:color w:val="000000"/>
          <w:lang w:val="bg-BG"/>
        </w:rPr>
        <w:t xml:space="preserve">371 </w:t>
      </w:r>
      <w:r w:rsidRPr="006C238D">
        <w:rPr>
          <w:rFonts w:ascii="Arial Narrow" w:hAnsi="Arial Narrow"/>
          <w:lang w:val="bg-BG" w:eastAsia="bg-BG"/>
        </w:rPr>
        <w:t>670</w:t>
      </w:r>
      <w:r w:rsidRPr="006C238D">
        <w:rPr>
          <w:rFonts w:ascii="Arial Narrow" w:hAnsi="Arial Narrow" w:cs="Calibri"/>
          <w:color w:val="000000"/>
          <w:lang w:val="bg-BG"/>
        </w:rPr>
        <w:t xml:space="preserve"> броя яйца</w:t>
      </w:r>
      <w:r w:rsidRPr="006C238D">
        <w:rPr>
          <w:rFonts w:ascii="Arial Narrow" w:hAnsi="Arial Narrow"/>
          <w:color w:val="000000"/>
          <w:lang w:val="bg-BG" w:eastAsia="bg-BG"/>
        </w:rPr>
        <w:t>, 2 951,6 тона пчелен мед и продукти от пчеларството.</w:t>
      </w:r>
    </w:p>
    <w:p w14:paraId="7F0D0BFD" w14:textId="77777777" w:rsidR="00220826" w:rsidRPr="00220826" w:rsidRDefault="00001CA0" w:rsidP="00220826">
      <w:pPr>
        <w:numPr>
          <w:ilvl w:val="2"/>
          <w:numId w:val="8"/>
        </w:numPr>
        <w:tabs>
          <w:tab w:val="left" w:pos="990"/>
        </w:tabs>
        <w:spacing w:after="120"/>
        <w:ind w:left="792" w:hanging="432"/>
        <w:outlineLvl w:val="0"/>
        <w:rPr>
          <w:rFonts w:ascii="Arial Narrow" w:hAnsi="Arial Narrow"/>
          <w:b/>
          <w:lang w:val="bg-BG"/>
        </w:rPr>
      </w:pPr>
      <w:bookmarkStart w:id="62" w:name="_Toc210747561"/>
      <w:r w:rsidRPr="00220826">
        <w:rPr>
          <w:rFonts w:ascii="Arial Narrow" w:hAnsi="Arial Narrow"/>
          <w:b/>
          <w:lang w:val="bg-BG"/>
        </w:rPr>
        <w:t>Пазар на биологични продукти</w:t>
      </w:r>
      <w:bookmarkEnd w:id="62"/>
    </w:p>
    <w:p w14:paraId="3291D33C" w14:textId="77777777" w:rsidR="00220826" w:rsidRDefault="00220826" w:rsidP="00220826">
      <w:pPr>
        <w:autoSpaceDE w:val="0"/>
        <w:autoSpaceDN w:val="0"/>
        <w:adjustRightInd w:val="0"/>
        <w:spacing w:after="120"/>
        <w:ind w:firstLine="708"/>
        <w:jc w:val="both"/>
        <w:rPr>
          <w:rFonts w:ascii="Arial Narrow" w:hAnsi="Arial Narrow"/>
          <w:lang w:val="bg-BG" w:eastAsia="bg-BG"/>
        </w:rPr>
      </w:pPr>
      <w:r w:rsidRPr="00220826">
        <w:rPr>
          <w:rFonts w:ascii="Arial Narrow" w:hAnsi="Arial Narrow"/>
          <w:lang w:val="bg-BG" w:eastAsia="bg-BG"/>
        </w:rPr>
        <w:t>Преобладаваща част от биологичните храни, произвеждани в страната, са предназначени за износ, предимно на европейския пазар. България изнася основно сертифицирани диви сушени горски плодове и билки. Доб</w:t>
      </w:r>
      <w:r w:rsidR="006C2254">
        <w:rPr>
          <w:rFonts w:ascii="Arial Narrow" w:hAnsi="Arial Narrow"/>
          <w:lang w:val="bg-BG" w:eastAsia="bg-BG"/>
        </w:rPr>
        <w:t>ро пазарно позициониране</w:t>
      </w:r>
      <w:r w:rsidRPr="00220826">
        <w:rPr>
          <w:rFonts w:ascii="Arial Narrow" w:hAnsi="Arial Narrow"/>
          <w:lang w:val="bg-BG" w:eastAsia="bg-BG"/>
        </w:rPr>
        <w:t xml:space="preserve"> на международните пазари намират замразените плодове (ягоди, малини и боровинки), мед, сирене, кашкавал, конфитюри, етерични масла от роза, лавандула и мента. През 2024 г. продължава тенденцията на увеличение на броя на специализираните магазини за продажба на биохрани, както и търговските обекти, които </w:t>
      </w:r>
      <w:r w:rsidR="006C2254">
        <w:rPr>
          <w:rFonts w:ascii="Arial Narrow" w:hAnsi="Arial Narrow"/>
          <w:lang w:val="bg-BG" w:eastAsia="bg-BG"/>
        </w:rPr>
        <w:t>участват</w:t>
      </w:r>
      <w:r w:rsidRPr="00220826">
        <w:rPr>
          <w:rFonts w:ascii="Arial Narrow" w:hAnsi="Arial Narrow"/>
          <w:lang w:val="bg-BG" w:eastAsia="bg-BG"/>
        </w:rPr>
        <w:t xml:space="preserve"> в дистрибуцията </w:t>
      </w:r>
      <w:r w:rsidR="006C2254">
        <w:rPr>
          <w:rFonts w:ascii="Arial Narrow" w:hAnsi="Arial Narrow"/>
          <w:lang w:val="bg-BG" w:eastAsia="bg-BG"/>
        </w:rPr>
        <w:t>им</w:t>
      </w:r>
      <w:r w:rsidRPr="00220826">
        <w:rPr>
          <w:rFonts w:ascii="Arial Narrow" w:hAnsi="Arial Narrow"/>
          <w:lang w:val="bg-BG" w:eastAsia="bg-BG"/>
        </w:rPr>
        <w:t xml:space="preserve">. Министерството на земеделието и храните осъществява ефективен надзор и контрол в областта на биологичното земеделие, което </w:t>
      </w:r>
      <w:r w:rsidR="006C2254">
        <w:rPr>
          <w:rFonts w:ascii="Arial Narrow" w:hAnsi="Arial Narrow"/>
          <w:lang w:val="bg-BG" w:eastAsia="bg-BG"/>
        </w:rPr>
        <w:t>гарантира легитимността и доверието към</w:t>
      </w:r>
      <w:r w:rsidR="006C2254" w:rsidRPr="00220826">
        <w:rPr>
          <w:rFonts w:ascii="Arial Narrow" w:hAnsi="Arial Narrow"/>
          <w:lang w:val="bg-BG" w:eastAsia="bg-BG"/>
        </w:rPr>
        <w:t xml:space="preserve"> </w:t>
      </w:r>
      <w:r w:rsidRPr="00220826">
        <w:rPr>
          <w:rFonts w:ascii="Arial Narrow" w:hAnsi="Arial Narrow"/>
          <w:lang w:val="bg-BG" w:eastAsia="bg-BG"/>
        </w:rPr>
        <w:t xml:space="preserve">българските биопродукти на общия пазар на ЕС. Развитието на сектора се </w:t>
      </w:r>
      <w:r w:rsidR="006C2254">
        <w:rPr>
          <w:rFonts w:ascii="Arial Narrow" w:hAnsi="Arial Narrow"/>
          <w:lang w:val="bg-BG" w:eastAsia="bg-BG"/>
        </w:rPr>
        <w:t>подкрепя</w:t>
      </w:r>
      <w:r w:rsidR="006C2254" w:rsidRPr="00220826">
        <w:rPr>
          <w:rFonts w:ascii="Arial Narrow" w:hAnsi="Arial Narrow"/>
          <w:lang w:val="bg-BG" w:eastAsia="bg-BG"/>
        </w:rPr>
        <w:t xml:space="preserve"> </w:t>
      </w:r>
      <w:r w:rsidR="006C2254">
        <w:rPr>
          <w:rFonts w:ascii="Arial Narrow" w:hAnsi="Arial Narrow"/>
          <w:lang w:val="bg-BG" w:eastAsia="bg-BG"/>
        </w:rPr>
        <w:t xml:space="preserve">и </w:t>
      </w:r>
      <w:r w:rsidRPr="00220826">
        <w:rPr>
          <w:rFonts w:ascii="Arial Narrow" w:hAnsi="Arial Narrow"/>
          <w:lang w:val="bg-BG" w:eastAsia="bg-BG"/>
        </w:rPr>
        <w:t xml:space="preserve">чрез </w:t>
      </w:r>
      <w:r w:rsidR="006C2254">
        <w:rPr>
          <w:rFonts w:ascii="Arial Narrow" w:hAnsi="Arial Narrow"/>
          <w:lang w:val="bg-BG" w:eastAsia="bg-BG"/>
        </w:rPr>
        <w:t xml:space="preserve">провеждане на </w:t>
      </w:r>
      <w:r w:rsidRPr="00220826">
        <w:rPr>
          <w:rFonts w:ascii="Arial Narrow" w:hAnsi="Arial Narrow"/>
          <w:lang w:val="bg-BG" w:eastAsia="bg-BG"/>
        </w:rPr>
        <w:t xml:space="preserve">информационни </w:t>
      </w:r>
      <w:r w:rsidR="006C2254">
        <w:rPr>
          <w:rFonts w:ascii="Arial Narrow" w:hAnsi="Arial Narrow"/>
          <w:lang w:val="bg-BG" w:eastAsia="bg-BG"/>
        </w:rPr>
        <w:t>кампании и събития</w:t>
      </w:r>
      <w:r w:rsidRPr="00220826">
        <w:rPr>
          <w:rFonts w:ascii="Arial Narrow" w:hAnsi="Arial Narrow"/>
          <w:lang w:val="bg-BG" w:eastAsia="bg-BG"/>
        </w:rPr>
        <w:t xml:space="preserve"> за </w:t>
      </w:r>
      <w:r w:rsidR="006C2254">
        <w:rPr>
          <w:rFonts w:ascii="Arial Narrow" w:hAnsi="Arial Narrow"/>
          <w:lang w:val="bg-BG" w:eastAsia="bg-BG"/>
        </w:rPr>
        <w:t xml:space="preserve">популяризиране на </w:t>
      </w:r>
      <w:r w:rsidRPr="00220826">
        <w:rPr>
          <w:rFonts w:ascii="Arial Narrow" w:hAnsi="Arial Narrow"/>
          <w:lang w:val="bg-BG" w:eastAsia="bg-BG"/>
        </w:rPr>
        <w:t>ползите и предимствата на биологичното земеделие.</w:t>
      </w:r>
    </w:p>
    <w:p w14:paraId="1F61750C" w14:textId="77777777" w:rsidR="00F10FC2" w:rsidRDefault="00F10FC2" w:rsidP="00220826">
      <w:pPr>
        <w:autoSpaceDE w:val="0"/>
        <w:autoSpaceDN w:val="0"/>
        <w:adjustRightInd w:val="0"/>
        <w:spacing w:after="120"/>
        <w:ind w:firstLine="708"/>
        <w:jc w:val="both"/>
        <w:rPr>
          <w:rFonts w:ascii="Arial Narrow" w:hAnsi="Arial Narrow"/>
          <w:lang w:val="bg-BG" w:eastAsia="bg-BG"/>
        </w:rPr>
      </w:pPr>
    </w:p>
    <w:p w14:paraId="78D41570" w14:textId="77777777" w:rsidR="00F10FC2" w:rsidRDefault="00F10FC2" w:rsidP="00220826">
      <w:pPr>
        <w:autoSpaceDE w:val="0"/>
        <w:autoSpaceDN w:val="0"/>
        <w:adjustRightInd w:val="0"/>
        <w:spacing w:after="120"/>
        <w:ind w:firstLine="708"/>
        <w:jc w:val="both"/>
        <w:rPr>
          <w:rFonts w:ascii="Arial Narrow" w:hAnsi="Arial Narrow"/>
          <w:lang w:val="bg-BG" w:eastAsia="bg-BG"/>
        </w:rPr>
      </w:pPr>
    </w:p>
    <w:p w14:paraId="7B475FD9" w14:textId="77777777" w:rsidR="00F10FC2" w:rsidRPr="00220826" w:rsidRDefault="00F10FC2" w:rsidP="00220826">
      <w:pPr>
        <w:autoSpaceDE w:val="0"/>
        <w:autoSpaceDN w:val="0"/>
        <w:adjustRightInd w:val="0"/>
        <w:spacing w:after="120"/>
        <w:ind w:firstLine="708"/>
        <w:jc w:val="both"/>
        <w:rPr>
          <w:rFonts w:ascii="Arial Narrow" w:hAnsi="Arial Narrow"/>
          <w:lang w:val="bg-BG" w:eastAsia="bg-BG"/>
        </w:rPr>
      </w:pPr>
    </w:p>
    <w:p w14:paraId="7C34F2E7" w14:textId="77777777" w:rsidR="002A0280" w:rsidRPr="00CD3FE8" w:rsidRDefault="00EA01C3" w:rsidP="00B94DC2">
      <w:pPr>
        <w:pStyle w:val="ListParagraph"/>
        <w:numPr>
          <w:ilvl w:val="1"/>
          <w:numId w:val="8"/>
        </w:numPr>
        <w:spacing w:after="120"/>
        <w:contextualSpacing w:val="0"/>
        <w:jc w:val="both"/>
        <w:outlineLvl w:val="0"/>
        <w:rPr>
          <w:rFonts w:ascii="Arial Narrow" w:hAnsi="Arial Narrow" w:cs="Arial"/>
          <w:b/>
          <w:bCs/>
          <w:kern w:val="32"/>
          <w:lang w:val="bg-BG"/>
        </w:rPr>
      </w:pPr>
      <w:bookmarkStart w:id="63" w:name="_Toc210747562"/>
      <w:r w:rsidRPr="00CD3FE8">
        <w:rPr>
          <w:rFonts w:ascii="Arial Narrow" w:hAnsi="Arial Narrow" w:cs="Arial"/>
          <w:b/>
          <w:bCs/>
          <w:kern w:val="32"/>
          <w:lang w:val="bg-BG"/>
        </w:rPr>
        <w:t>Лозарство и винопроизводство</w:t>
      </w:r>
      <w:bookmarkEnd w:id="63"/>
    </w:p>
    <w:p w14:paraId="1657777D" w14:textId="77777777" w:rsidR="0066404A" w:rsidRPr="00CD3FE8" w:rsidRDefault="00EA01C3" w:rsidP="0066404A">
      <w:pPr>
        <w:numPr>
          <w:ilvl w:val="2"/>
          <w:numId w:val="8"/>
        </w:numPr>
        <w:tabs>
          <w:tab w:val="left" w:pos="990"/>
        </w:tabs>
        <w:spacing w:after="120"/>
        <w:ind w:left="792" w:hanging="432"/>
        <w:outlineLvl w:val="0"/>
        <w:rPr>
          <w:rFonts w:ascii="Arial Narrow" w:hAnsi="Arial Narrow"/>
          <w:b/>
          <w:lang w:val="bg-BG"/>
        </w:rPr>
      </w:pPr>
      <w:bookmarkStart w:id="64" w:name="_Toc210747563"/>
      <w:r w:rsidRPr="00CD3FE8">
        <w:rPr>
          <w:rFonts w:ascii="Arial Narrow" w:hAnsi="Arial Narrow"/>
          <w:b/>
          <w:lang w:val="bg-BG"/>
        </w:rPr>
        <w:t>Производство на грозде</w:t>
      </w:r>
      <w:bookmarkEnd w:id="64"/>
    </w:p>
    <w:p w14:paraId="348FBBB8" w14:textId="77777777" w:rsidR="00CD3FE8" w:rsidRPr="00CD3FE8" w:rsidRDefault="00CD3FE8" w:rsidP="00CD3FE8">
      <w:pPr>
        <w:tabs>
          <w:tab w:val="left" w:pos="1935"/>
        </w:tabs>
        <w:spacing w:after="120"/>
        <w:ind w:firstLine="720"/>
        <w:jc w:val="both"/>
        <w:rPr>
          <w:rFonts w:ascii="Arial Narrow" w:hAnsi="Arial Narrow"/>
          <w:b/>
          <w:lang w:val="bg-BG"/>
        </w:rPr>
      </w:pPr>
      <w:r w:rsidRPr="00CD3FE8">
        <w:rPr>
          <w:rFonts w:ascii="Arial Narrow" w:hAnsi="Arial Narrow"/>
          <w:b/>
          <w:lang w:val="bg-BG"/>
        </w:rPr>
        <w:t>Площи</w:t>
      </w:r>
    </w:p>
    <w:p w14:paraId="09215C5C" w14:textId="77777777" w:rsidR="00CD3FE8" w:rsidRPr="00CD3FE8" w:rsidRDefault="00CD3FE8" w:rsidP="00CD3FE8">
      <w:pPr>
        <w:spacing w:after="120"/>
        <w:ind w:firstLine="720"/>
        <w:jc w:val="both"/>
        <w:rPr>
          <w:rFonts w:ascii="Arial Narrow" w:hAnsi="Arial Narrow"/>
          <w:lang w:val="bg-BG"/>
        </w:rPr>
      </w:pPr>
      <w:r w:rsidRPr="00CD3FE8">
        <w:rPr>
          <w:rFonts w:ascii="Arial Narrow" w:hAnsi="Arial Narrow"/>
          <w:lang w:val="bg-BG"/>
        </w:rPr>
        <w:t>През 2024 г. площите с лозови насаждения в земеделските стопанствата, включващи плододаващите (вкл. изоставените, с възможност за възстановяване) и младите невстъпили в плододаване лозя, възлизат на 31 536 ха. От тях, 1,4% са млади, невстъпили в плододаване лозя.</w:t>
      </w:r>
    </w:p>
    <w:p w14:paraId="5FE0F915" w14:textId="77777777" w:rsidR="00CD3FE8" w:rsidRPr="00CD3FE8" w:rsidRDefault="00CD3FE8" w:rsidP="00CD3FE8">
      <w:pPr>
        <w:spacing w:after="120"/>
        <w:ind w:firstLine="720"/>
        <w:jc w:val="both"/>
        <w:rPr>
          <w:rFonts w:ascii="Arial Narrow" w:hAnsi="Arial Narrow"/>
          <w:lang w:val="bg-BG"/>
        </w:rPr>
      </w:pPr>
      <w:r w:rsidRPr="00CD3FE8">
        <w:rPr>
          <w:rFonts w:ascii="Arial Narrow" w:hAnsi="Arial Narrow"/>
          <w:lang w:val="bg-BG"/>
        </w:rPr>
        <w:t>Новозасадените лозови насаждения са 213 ха.</w:t>
      </w:r>
    </w:p>
    <w:p w14:paraId="54C0754B" w14:textId="77777777" w:rsidR="00CD3FE8" w:rsidRPr="00CD3FE8" w:rsidRDefault="00CD3FE8" w:rsidP="00CD3FE8">
      <w:pPr>
        <w:spacing w:after="120"/>
        <w:ind w:firstLine="720"/>
        <w:jc w:val="both"/>
        <w:rPr>
          <w:rFonts w:ascii="Arial Narrow" w:hAnsi="Arial Narrow"/>
          <w:lang w:val="bg-BG"/>
        </w:rPr>
      </w:pPr>
      <w:r w:rsidRPr="00CD3FE8">
        <w:rPr>
          <w:rFonts w:ascii="Arial Narrow" w:hAnsi="Arial Narrow"/>
          <w:lang w:val="bg-BG"/>
        </w:rPr>
        <w:t xml:space="preserve">Реколтираните площи с лозя през 2024 г. са общо 27 728 ха, с 2,4% по-малко спрямо предходната година. </w:t>
      </w:r>
    </w:p>
    <w:p w14:paraId="76608FD7" w14:textId="77777777" w:rsidR="00CD3FE8" w:rsidRPr="00CD3FE8" w:rsidRDefault="00CD3FE8" w:rsidP="00CD3FE8">
      <w:pPr>
        <w:spacing w:after="120"/>
        <w:ind w:firstLine="720"/>
        <w:jc w:val="both"/>
        <w:rPr>
          <w:rFonts w:ascii="Arial Narrow" w:hAnsi="Arial Narrow"/>
          <w:bCs/>
          <w:lang w:val="bg-BG"/>
        </w:rPr>
      </w:pPr>
      <w:r w:rsidRPr="00CD3FE8">
        <w:rPr>
          <w:rFonts w:ascii="Arial Narrow" w:hAnsi="Arial Narrow"/>
          <w:bCs/>
          <w:lang w:val="bg-BG"/>
        </w:rPr>
        <w:lastRenderedPageBreak/>
        <w:t>Общо реколтираните площи с червени винени сортове се свиват с 3,6% на годишна база, като в почти всички райони на планиране е налице намаление, най-значително в Северния централен и Северозападния райони, съответно с 8,3% и 7,1%. Единствено в Югозападния район реколтираните площи с тези сортове нарастват - с 3,5%.</w:t>
      </w:r>
    </w:p>
    <w:p w14:paraId="717B23E3" w14:textId="77777777" w:rsidR="00CD3FE8" w:rsidRPr="00CD3FE8" w:rsidRDefault="00CD3FE8" w:rsidP="00CD3FE8">
      <w:pPr>
        <w:spacing w:after="120"/>
        <w:ind w:firstLine="720"/>
        <w:jc w:val="both"/>
        <w:rPr>
          <w:rFonts w:ascii="Arial Narrow" w:hAnsi="Arial Narrow"/>
          <w:bCs/>
          <w:lang w:val="bg-BG"/>
        </w:rPr>
      </w:pPr>
      <w:r w:rsidRPr="00CD3FE8">
        <w:rPr>
          <w:rFonts w:ascii="Arial Narrow" w:hAnsi="Arial Narrow"/>
          <w:lang w:val="bg-BG"/>
        </w:rPr>
        <w:t>При белите винени сортове лозя се наблюдава запазване на общо реколтираните площи на нивото от 2023 г.</w:t>
      </w:r>
      <w:r w:rsidRPr="00CD3FE8">
        <w:rPr>
          <w:rFonts w:ascii="Arial Narrow" w:hAnsi="Arial Narrow"/>
          <w:bCs/>
          <w:lang w:val="bg-BG"/>
        </w:rPr>
        <w:t xml:space="preserve"> Намалението на тези площи в Северния централен район (със 7,8%) и в Североизточния район (с 5,3%) е компенсирано от увеличение в Северозападния и Югозападния райони (съответно с 11,8% и 9,5%).</w:t>
      </w:r>
    </w:p>
    <w:p w14:paraId="1C1CB42D" w14:textId="77777777" w:rsidR="00CD3FE8" w:rsidRPr="00CD3FE8" w:rsidRDefault="00CD3FE8" w:rsidP="00CD3FE8">
      <w:pPr>
        <w:spacing w:after="120"/>
        <w:ind w:firstLine="720"/>
        <w:jc w:val="both"/>
        <w:rPr>
          <w:rFonts w:ascii="Arial Narrow" w:hAnsi="Arial Narrow"/>
          <w:bCs/>
          <w:lang w:val="bg-BG"/>
        </w:rPr>
      </w:pPr>
      <w:r w:rsidRPr="00CD3FE8">
        <w:rPr>
          <w:rFonts w:ascii="Arial Narrow" w:hAnsi="Arial Narrow"/>
          <w:lang w:val="bg-BG"/>
        </w:rPr>
        <w:t xml:space="preserve"> О</w:t>
      </w:r>
      <w:r w:rsidRPr="00CD3FE8">
        <w:rPr>
          <w:rFonts w:ascii="Arial Narrow" w:hAnsi="Arial Narrow"/>
          <w:bCs/>
          <w:lang w:val="bg-BG"/>
        </w:rPr>
        <w:t xml:space="preserve">бщо реколтираните площи с десертни сортове лозя са с 4,3,% под нивото от 2023 г. В Южния централен, Североизточния, Югозападния и Северния централен райони реколтираните площи с десертни сортове лозя са с между 1% и 7,5% повече на годишна база, докато тези в Югоизточния и Северозападния райони намаляват съответно с 16,2% и 37,2%. </w:t>
      </w:r>
    </w:p>
    <w:p w14:paraId="1438EDCE" w14:textId="77777777" w:rsidR="00CD3FE8" w:rsidRPr="00CD3FE8" w:rsidRDefault="00CD3FE8" w:rsidP="00CD3FE8">
      <w:pPr>
        <w:spacing w:after="120"/>
        <w:ind w:firstLine="720"/>
        <w:jc w:val="both"/>
        <w:rPr>
          <w:rFonts w:ascii="Arial Narrow" w:hAnsi="Arial Narrow"/>
          <w:lang w:val="bg-BG"/>
        </w:rPr>
      </w:pPr>
      <w:r w:rsidRPr="00CD3FE8">
        <w:rPr>
          <w:rFonts w:ascii="Arial Narrow" w:hAnsi="Arial Narrow"/>
          <w:lang w:val="bg-BG"/>
        </w:rPr>
        <w:t>Вследствие на лоши климатични условия, от 1 023 ха плододаващи лозя не е прибрана продукция.</w:t>
      </w:r>
    </w:p>
    <w:p w14:paraId="6707A7F0" w14:textId="77777777" w:rsidR="00CD3FE8" w:rsidRPr="00CD3FE8" w:rsidRDefault="00CD3FE8" w:rsidP="00CD3FE8">
      <w:pPr>
        <w:keepNext/>
        <w:spacing w:after="120"/>
        <w:jc w:val="both"/>
        <w:rPr>
          <w:rFonts w:ascii="Arial Narrow" w:hAnsi="Arial Narrow"/>
          <w:b/>
          <w:iCs/>
          <w:lang w:val="bg-BG"/>
        </w:rPr>
      </w:pPr>
      <w:r w:rsidRPr="00CD3FE8">
        <w:rPr>
          <w:rFonts w:ascii="Arial Narrow" w:hAnsi="Arial Narrow"/>
          <w:b/>
          <w:iCs/>
          <w:lang w:val="bg-BG"/>
        </w:rPr>
        <w:t>Таблица ІІ.33.  Разпределение на реколтираните лозя през 2023 - 2024 г. по статистически райони</w:t>
      </w:r>
    </w:p>
    <w:tbl>
      <w:tblPr>
        <w:tblW w:w="4878" w:type="pct"/>
        <w:tblInd w:w="108" w:type="dxa"/>
        <w:tblLook w:val="04A0" w:firstRow="1" w:lastRow="0" w:firstColumn="1" w:lastColumn="0" w:noHBand="0" w:noVBand="1"/>
      </w:tblPr>
      <w:tblGrid>
        <w:gridCol w:w="1886"/>
        <w:gridCol w:w="976"/>
        <w:gridCol w:w="976"/>
        <w:gridCol w:w="977"/>
        <w:gridCol w:w="977"/>
        <w:gridCol w:w="977"/>
        <w:gridCol w:w="977"/>
        <w:gridCol w:w="977"/>
        <w:gridCol w:w="838"/>
      </w:tblGrid>
      <w:tr w:rsidR="00CD3FE8" w:rsidRPr="00CD3FE8" w14:paraId="14ADFC1C" w14:textId="77777777" w:rsidTr="00CD3FE8">
        <w:trPr>
          <w:trHeight w:val="692"/>
        </w:trPr>
        <w:tc>
          <w:tcPr>
            <w:tcW w:w="98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BC2938E" w14:textId="77777777" w:rsidR="00CD3FE8" w:rsidRPr="00CD3FE8" w:rsidRDefault="00CD3FE8" w:rsidP="00CD3FE8">
            <w:pPr>
              <w:jc w:val="center"/>
              <w:rPr>
                <w:rFonts w:ascii="Arial Narrow" w:hAnsi="Arial Narrow" w:cs="Arial"/>
                <w:b/>
                <w:bCs/>
                <w:sz w:val="20"/>
                <w:szCs w:val="20"/>
                <w:lang w:val="bg-BG"/>
              </w:rPr>
            </w:pPr>
            <w:r w:rsidRPr="00CD3FE8">
              <w:rPr>
                <w:rFonts w:ascii="Arial Narrow" w:hAnsi="Arial Narrow" w:cs="Arial"/>
                <w:b/>
                <w:bCs/>
                <w:sz w:val="20"/>
                <w:szCs w:val="20"/>
                <w:lang w:val="bg-BG"/>
              </w:rPr>
              <w:t>Райони</w:t>
            </w:r>
          </w:p>
        </w:tc>
        <w:tc>
          <w:tcPr>
            <w:tcW w:w="1020" w:type="pct"/>
            <w:gridSpan w:val="2"/>
            <w:tcBorders>
              <w:top w:val="single" w:sz="4" w:space="0" w:color="auto"/>
              <w:left w:val="nil"/>
              <w:bottom w:val="single" w:sz="4" w:space="0" w:color="auto"/>
              <w:right w:val="single" w:sz="4" w:space="0" w:color="auto"/>
            </w:tcBorders>
            <w:shd w:val="clear" w:color="auto" w:fill="auto"/>
            <w:vAlign w:val="center"/>
            <w:hideMark/>
          </w:tcPr>
          <w:p w14:paraId="62A3819B" w14:textId="77777777" w:rsidR="00CD3FE8" w:rsidRPr="00CD3FE8" w:rsidRDefault="00CD3FE8" w:rsidP="00CD3FE8">
            <w:pPr>
              <w:jc w:val="center"/>
              <w:rPr>
                <w:rFonts w:ascii="Arial Narrow" w:hAnsi="Arial Narrow" w:cs="Arial"/>
                <w:b/>
                <w:bCs/>
                <w:sz w:val="20"/>
                <w:szCs w:val="20"/>
                <w:lang w:val="bg-BG"/>
              </w:rPr>
            </w:pPr>
            <w:r w:rsidRPr="00CD3FE8">
              <w:rPr>
                <w:rFonts w:ascii="Arial Narrow" w:hAnsi="Arial Narrow" w:cs="Arial"/>
                <w:b/>
                <w:bCs/>
                <w:sz w:val="20"/>
                <w:szCs w:val="20"/>
                <w:lang w:val="bg-BG"/>
              </w:rPr>
              <w:t>Червени винени сортове (ха)</w:t>
            </w:r>
          </w:p>
        </w:tc>
        <w:tc>
          <w:tcPr>
            <w:tcW w:w="1022" w:type="pct"/>
            <w:gridSpan w:val="2"/>
            <w:tcBorders>
              <w:top w:val="single" w:sz="4" w:space="0" w:color="auto"/>
              <w:left w:val="nil"/>
              <w:bottom w:val="single" w:sz="4" w:space="0" w:color="auto"/>
              <w:right w:val="single" w:sz="4" w:space="0" w:color="auto"/>
            </w:tcBorders>
            <w:shd w:val="clear" w:color="auto" w:fill="auto"/>
            <w:vAlign w:val="center"/>
            <w:hideMark/>
          </w:tcPr>
          <w:p w14:paraId="35AFFB0A" w14:textId="77777777" w:rsidR="00CD3FE8" w:rsidRPr="00CD3FE8" w:rsidRDefault="00CD3FE8" w:rsidP="00CD3FE8">
            <w:pPr>
              <w:jc w:val="center"/>
              <w:rPr>
                <w:rFonts w:ascii="Arial Narrow" w:hAnsi="Arial Narrow" w:cs="Arial"/>
                <w:b/>
                <w:bCs/>
                <w:sz w:val="20"/>
                <w:szCs w:val="20"/>
                <w:lang w:val="bg-BG"/>
              </w:rPr>
            </w:pPr>
            <w:r w:rsidRPr="00CD3FE8">
              <w:rPr>
                <w:rFonts w:ascii="Arial Narrow" w:hAnsi="Arial Narrow" w:cs="Arial"/>
                <w:b/>
                <w:bCs/>
                <w:sz w:val="20"/>
                <w:szCs w:val="20"/>
                <w:lang w:val="bg-BG"/>
              </w:rPr>
              <w:t>Бели винени сортове (ха)</w:t>
            </w:r>
          </w:p>
        </w:tc>
        <w:tc>
          <w:tcPr>
            <w:tcW w:w="1022" w:type="pct"/>
            <w:gridSpan w:val="2"/>
            <w:tcBorders>
              <w:top w:val="single" w:sz="4" w:space="0" w:color="auto"/>
              <w:left w:val="nil"/>
              <w:bottom w:val="single" w:sz="4" w:space="0" w:color="auto"/>
              <w:right w:val="single" w:sz="4" w:space="0" w:color="auto"/>
            </w:tcBorders>
            <w:shd w:val="clear" w:color="auto" w:fill="auto"/>
            <w:vAlign w:val="center"/>
            <w:hideMark/>
          </w:tcPr>
          <w:p w14:paraId="3B3E7F68" w14:textId="77777777" w:rsidR="00CD3FE8" w:rsidRPr="00CD3FE8" w:rsidRDefault="00CD3FE8" w:rsidP="00CD3FE8">
            <w:pPr>
              <w:jc w:val="center"/>
              <w:rPr>
                <w:rFonts w:ascii="Arial Narrow" w:hAnsi="Arial Narrow" w:cs="Arial"/>
                <w:b/>
                <w:bCs/>
                <w:sz w:val="20"/>
                <w:szCs w:val="20"/>
                <w:lang w:val="bg-BG"/>
              </w:rPr>
            </w:pPr>
            <w:r w:rsidRPr="00CD3FE8">
              <w:rPr>
                <w:rFonts w:ascii="Arial Narrow" w:hAnsi="Arial Narrow" w:cs="Arial"/>
                <w:b/>
                <w:bCs/>
                <w:sz w:val="20"/>
                <w:szCs w:val="20"/>
                <w:lang w:val="bg-BG"/>
              </w:rPr>
              <w:t>Десертни сортове (ха)</w:t>
            </w:r>
          </w:p>
        </w:tc>
        <w:tc>
          <w:tcPr>
            <w:tcW w:w="949" w:type="pct"/>
            <w:gridSpan w:val="2"/>
            <w:tcBorders>
              <w:top w:val="single" w:sz="4" w:space="0" w:color="auto"/>
              <w:left w:val="nil"/>
              <w:bottom w:val="single" w:sz="4" w:space="0" w:color="auto"/>
              <w:right w:val="single" w:sz="4" w:space="0" w:color="auto"/>
            </w:tcBorders>
            <w:shd w:val="clear" w:color="auto" w:fill="auto"/>
            <w:vAlign w:val="center"/>
            <w:hideMark/>
          </w:tcPr>
          <w:p w14:paraId="67AA8B46" w14:textId="77777777" w:rsidR="00CD3FE8" w:rsidRPr="00CD3FE8" w:rsidRDefault="00CD3FE8" w:rsidP="00CD3FE8">
            <w:pPr>
              <w:jc w:val="center"/>
              <w:rPr>
                <w:rFonts w:ascii="Arial Narrow" w:hAnsi="Arial Narrow" w:cs="Arial"/>
                <w:b/>
                <w:bCs/>
                <w:sz w:val="20"/>
                <w:szCs w:val="20"/>
                <w:lang w:val="bg-BG"/>
              </w:rPr>
            </w:pPr>
            <w:r w:rsidRPr="00CD3FE8">
              <w:rPr>
                <w:rFonts w:ascii="Arial Narrow" w:hAnsi="Arial Narrow" w:cs="Arial"/>
                <w:b/>
                <w:bCs/>
                <w:sz w:val="20"/>
                <w:szCs w:val="20"/>
                <w:lang w:val="bg-BG"/>
              </w:rPr>
              <w:t>Общо лозя (ха)</w:t>
            </w:r>
          </w:p>
        </w:tc>
      </w:tr>
      <w:tr w:rsidR="00CD3FE8" w:rsidRPr="00CD3FE8" w14:paraId="0F297665" w14:textId="77777777" w:rsidTr="00CD3FE8">
        <w:trPr>
          <w:trHeight w:val="361"/>
        </w:trPr>
        <w:tc>
          <w:tcPr>
            <w:tcW w:w="986" w:type="pct"/>
            <w:vMerge/>
            <w:tcBorders>
              <w:top w:val="single" w:sz="4" w:space="0" w:color="auto"/>
              <w:left w:val="single" w:sz="4" w:space="0" w:color="auto"/>
              <w:bottom w:val="single" w:sz="4" w:space="0" w:color="auto"/>
              <w:right w:val="single" w:sz="4" w:space="0" w:color="auto"/>
            </w:tcBorders>
            <w:vAlign w:val="center"/>
            <w:hideMark/>
          </w:tcPr>
          <w:p w14:paraId="71AD856D" w14:textId="77777777" w:rsidR="00CD3FE8" w:rsidRPr="00CD3FE8" w:rsidRDefault="00CD3FE8" w:rsidP="00CD3FE8">
            <w:pPr>
              <w:rPr>
                <w:rFonts w:ascii="Arial Narrow" w:hAnsi="Arial Narrow" w:cs="Arial"/>
                <w:b/>
                <w:bCs/>
                <w:sz w:val="20"/>
                <w:szCs w:val="20"/>
                <w:lang w:val="bg-BG"/>
              </w:rPr>
            </w:pPr>
          </w:p>
        </w:tc>
        <w:tc>
          <w:tcPr>
            <w:tcW w:w="510" w:type="pct"/>
            <w:tcBorders>
              <w:top w:val="nil"/>
              <w:left w:val="nil"/>
              <w:bottom w:val="single" w:sz="4" w:space="0" w:color="auto"/>
              <w:right w:val="single" w:sz="4" w:space="0" w:color="auto"/>
            </w:tcBorders>
            <w:shd w:val="clear" w:color="auto" w:fill="auto"/>
            <w:vAlign w:val="center"/>
            <w:hideMark/>
          </w:tcPr>
          <w:p w14:paraId="28E49CD6" w14:textId="77777777" w:rsidR="00CD3FE8" w:rsidRPr="00CD3FE8" w:rsidRDefault="00CD3FE8" w:rsidP="00CD3FE8">
            <w:pPr>
              <w:jc w:val="center"/>
              <w:rPr>
                <w:rFonts w:ascii="Arial Narrow" w:hAnsi="Arial Narrow" w:cs="Arial"/>
                <w:b/>
                <w:bCs/>
                <w:sz w:val="20"/>
                <w:szCs w:val="20"/>
                <w:lang w:val="bg-BG"/>
              </w:rPr>
            </w:pPr>
            <w:r w:rsidRPr="00CD3FE8">
              <w:rPr>
                <w:rFonts w:ascii="Arial Narrow" w:hAnsi="Arial Narrow" w:cs="Arial"/>
                <w:b/>
                <w:bCs/>
                <w:sz w:val="20"/>
                <w:szCs w:val="20"/>
                <w:lang w:val="bg-BG"/>
              </w:rPr>
              <w:t>2023</w:t>
            </w:r>
          </w:p>
        </w:tc>
        <w:tc>
          <w:tcPr>
            <w:tcW w:w="510" w:type="pct"/>
            <w:tcBorders>
              <w:top w:val="nil"/>
              <w:left w:val="nil"/>
              <w:bottom w:val="single" w:sz="4" w:space="0" w:color="auto"/>
              <w:right w:val="single" w:sz="4" w:space="0" w:color="auto"/>
            </w:tcBorders>
            <w:shd w:val="clear" w:color="auto" w:fill="auto"/>
            <w:vAlign w:val="center"/>
            <w:hideMark/>
          </w:tcPr>
          <w:p w14:paraId="6561897E" w14:textId="77777777" w:rsidR="00CD3FE8" w:rsidRPr="00CD3FE8" w:rsidRDefault="00CD3FE8" w:rsidP="00CD3FE8">
            <w:pPr>
              <w:jc w:val="center"/>
              <w:rPr>
                <w:rFonts w:ascii="Arial Narrow" w:hAnsi="Arial Narrow" w:cs="Arial"/>
                <w:b/>
                <w:bCs/>
                <w:sz w:val="20"/>
                <w:szCs w:val="20"/>
                <w:lang w:val="bg-BG"/>
              </w:rPr>
            </w:pPr>
            <w:r w:rsidRPr="00CD3FE8">
              <w:rPr>
                <w:rFonts w:ascii="Arial Narrow" w:hAnsi="Arial Narrow" w:cs="Arial"/>
                <w:b/>
                <w:bCs/>
                <w:sz w:val="20"/>
                <w:szCs w:val="20"/>
                <w:lang w:val="bg-BG"/>
              </w:rPr>
              <w:t>2024</w:t>
            </w:r>
          </w:p>
        </w:tc>
        <w:tc>
          <w:tcPr>
            <w:tcW w:w="511" w:type="pct"/>
            <w:tcBorders>
              <w:top w:val="nil"/>
              <w:left w:val="nil"/>
              <w:bottom w:val="nil"/>
              <w:right w:val="single" w:sz="4" w:space="0" w:color="auto"/>
            </w:tcBorders>
            <w:shd w:val="clear" w:color="auto" w:fill="auto"/>
            <w:vAlign w:val="center"/>
            <w:hideMark/>
          </w:tcPr>
          <w:p w14:paraId="69E4991D" w14:textId="77777777" w:rsidR="00CD3FE8" w:rsidRPr="00CD3FE8" w:rsidRDefault="00CD3FE8" w:rsidP="00CD3FE8">
            <w:pPr>
              <w:jc w:val="center"/>
              <w:rPr>
                <w:rFonts w:ascii="Arial Narrow" w:hAnsi="Arial Narrow" w:cs="Arial"/>
                <w:b/>
                <w:bCs/>
                <w:sz w:val="20"/>
                <w:szCs w:val="20"/>
                <w:lang w:val="bg-BG"/>
              </w:rPr>
            </w:pPr>
            <w:r w:rsidRPr="00CD3FE8">
              <w:rPr>
                <w:rFonts w:ascii="Arial Narrow" w:hAnsi="Arial Narrow" w:cs="Arial"/>
                <w:b/>
                <w:bCs/>
                <w:sz w:val="20"/>
                <w:szCs w:val="20"/>
                <w:lang w:val="bg-BG"/>
              </w:rPr>
              <w:t>2023</w:t>
            </w:r>
          </w:p>
        </w:tc>
        <w:tc>
          <w:tcPr>
            <w:tcW w:w="511" w:type="pct"/>
            <w:tcBorders>
              <w:top w:val="nil"/>
              <w:left w:val="nil"/>
              <w:bottom w:val="single" w:sz="4" w:space="0" w:color="auto"/>
              <w:right w:val="single" w:sz="4" w:space="0" w:color="auto"/>
            </w:tcBorders>
            <w:shd w:val="clear" w:color="auto" w:fill="auto"/>
            <w:vAlign w:val="center"/>
            <w:hideMark/>
          </w:tcPr>
          <w:p w14:paraId="01D2CE6C" w14:textId="77777777" w:rsidR="00CD3FE8" w:rsidRPr="00CD3FE8" w:rsidRDefault="00CD3FE8" w:rsidP="00CD3FE8">
            <w:pPr>
              <w:jc w:val="center"/>
              <w:rPr>
                <w:rFonts w:ascii="Arial Narrow" w:hAnsi="Arial Narrow" w:cs="Arial"/>
                <w:b/>
                <w:bCs/>
                <w:sz w:val="20"/>
                <w:szCs w:val="20"/>
                <w:lang w:val="bg-BG"/>
              </w:rPr>
            </w:pPr>
            <w:r w:rsidRPr="00CD3FE8">
              <w:rPr>
                <w:rFonts w:ascii="Arial Narrow" w:hAnsi="Arial Narrow" w:cs="Arial"/>
                <w:b/>
                <w:bCs/>
                <w:sz w:val="20"/>
                <w:szCs w:val="20"/>
                <w:lang w:val="bg-BG"/>
              </w:rPr>
              <w:t>2024</w:t>
            </w:r>
          </w:p>
        </w:tc>
        <w:tc>
          <w:tcPr>
            <w:tcW w:w="511" w:type="pct"/>
            <w:tcBorders>
              <w:top w:val="nil"/>
              <w:left w:val="nil"/>
              <w:bottom w:val="nil"/>
              <w:right w:val="single" w:sz="4" w:space="0" w:color="auto"/>
            </w:tcBorders>
            <w:shd w:val="clear" w:color="auto" w:fill="auto"/>
            <w:vAlign w:val="center"/>
            <w:hideMark/>
          </w:tcPr>
          <w:p w14:paraId="0F45B365" w14:textId="77777777" w:rsidR="00CD3FE8" w:rsidRPr="00CD3FE8" w:rsidRDefault="00CD3FE8" w:rsidP="00CD3FE8">
            <w:pPr>
              <w:jc w:val="center"/>
              <w:rPr>
                <w:rFonts w:ascii="Arial Narrow" w:hAnsi="Arial Narrow" w:cs="Arial"/>
                <w:b/>
                <w:bCs/>
                <w:sz w:val="20"/>
                <w:szCs w:val="20"/>
                <w:lang w:val="bg-BG"/>
              </w:rPr>
            </w:pPr>
            <w:r w:rsidRPr="00CD3FE8">
              <w:rPr>
                <w:rFonts w:ascii="Arial Narrow" w:hAnsi="Arial Narrow" w:cs="Arial"/>
                <w:b/>
                <w:bCs/>
                <w:sz w:val="20"/>
                <w:szCs w:val="20"/>
                <w:lang w:val="bg-BG"/>
              </w:rPr>
              <w:t>2023</w:t>
            </w:r>
          </w:p>
        </w:tc>
        <w:tc>
          <w:tcPr>
            <w:tcW w:w="511" w:type="pct"/>
            <w:tcBorders>
              <w:top w:val="nil"/>
              <w:left w:val="nil"/>
              <w:bottom w:val="single" w:sz="4" w:space="0" w:color="auto"/>
              <w:right w:val="single" w:sz="4" w:space="0" w:color="auto"/>
            </w:tcBorders>
            <w:shd w:val="clear" w:color="auto" w:fill="auto"/>
            <w:vAlign w:val="center"/>
            <w:hideMark/>
          </w:tcPr>
          <w:p w14:paraId="7FFFD8F8" w14:textId="77777777" w:rsidR="00CD3FE8" w:rsidRPr="00CD3FE8" w:rsidRDefault="00CD3FE8" w:rsidP="00CD3FE8">
            <w:pPr>
              <w:jc w:val="center"/>
              <w:rPr>
                <w:rFonts w:ascii="Arial Narrow" w:hAnsi="Arial Narrow" w:cs="Arial"/>
                <w:b/>
                <w:bCs/>
                <w:sz w:val="20"/>
                <w:szCs w:val="20"/>
                <w:lang w:val="bg-BG"/>
              </w:rPr>
            </w:pPr>
            <w:r w:rsidRPr="00CD3FE8">
              <w:rPr>
                <w:rFonts w:ascii="Arial Narrow" w:hAnsi="Arial Narrow" w:cs="Arial"/>
                <w:b/>
                <w:bCs/>
                <w:sz w:val="20"/>
                <w:szCs w:val="20"/>
                <w:lang w:val="bg-BG"/>
              </w:rPr>
              <w:t>2024</w:t>
            </w:r>
          </w:p>
        </w:tc>
        <w:tc>
          <w:tcPr>
            <w:tcW w:w="511" w:type="pct"/>
            <w:tcBorders>
              <w:top w:val="nil"/>
              <w:left w:val="nil"/>
              <w:bottom w:val="nil"/>
              <w:right w:val="single" w:sz="4" w:space="0" w:color="auto"/>
            </w:tcBorders>
            <w:shd w:val="clear" w:color="auto" w:fill="auto"/>
            <w:vAlign w:val="center"/>
            <w:hideMark/>
          </w:tcPr>
          <w:p w14:paraId="1533AA8B" w14:textId="77777777" w:rsidR="00CD3FE8" w:rsidRPr="00CD3FE8" w:rsidRDefault="00CD3FE8" w:rsidP="00CD3FE8">
            <w:pPr>
              <w:jc w:val="center"/>
              <w:rPr>
                <w:rFonts w:ascii="Arial Narrow" w:hAnsi="Arial Narrow" w:cs="Arial"/>
                <w:b/>
                <w:bCs/>
                <w:sz w:val="20"/>
                <w:szCs w:val="20"/>
                <w:lang w:val="bg-BG"/>
              </w:rPr>
            </w:pPr>
            <w:r w:rsidRPr="00CD3FE8">
              <w:rPr>
                <w:rFonts w:ascii="Arial Narrow" w:hAnsi="Arial Narrow" w:cs="Arial"/>
                <w:b/>
                <w:bCs/>
                <w:sz w:val="20"/>
                <w:szCs w:val="20"/>
                <w:lang w:val="bg-BG"/>
              </w:rPr>
              <w:t>2023</w:t>
            </w:r>
          </w:p>
        </w:tc>
        <w:tc>
          <w:tcPr>
            <w:tcW w:w="438" w:type="pct"/>
            <w:tcBorders>
              <w:top w:val="nil"/>
              <w:left w:val="nil"/>
              <w:bottom w:val="single" w:sz="4" w:space="0" w:color="auto"/>
              <w:right w:val="single" w:sz="4" w:space="0" w:color="auto"/>
            </w:tcBorders>
            <w:shd w:val="clear" w:color="auto" w:fill="auto"/>
            <w:vAlign w:val="center"/>
            <w:hideMark/>
          </w:tcPr>
          <w:p w14:paraId="7A224121" w14:textId="77777777" w:rsidR="00CD3FE8" w:rsidRPr="00CD3FE8" w:rsidRDefault="00CD3FE8" w:rsidP="00CD3FE8">
            <w:pPr>
              <w:jc w:val="center"/>
              <w:rPr>
                <w:rFonts w:ascii="Arial Narrow" w:hAnsi="Arial Narrow" w:cs="Arial"/>
                <w:b/>
                <w:bCs/>
                <w:sz w:val="20"/>
                <w:szCs w:val="20"/>
                <w:lang w:val="bg-BG"/>
              </w:rPr>
            </w:pPr>
            <w:r w:rsidRPr="00CD3FE8">
              <w:rPr>
                <w:rFonts w:ascii="Arial Narrow" w:hAnsi="Arial Narrow" w:cs="Arial"/>
                <w:b/>
                <w:bCs/>
                <w:sz w:val="20"/>
                <w:szCs w:val="20"/>
                <w:lang w:val="bg-BG"/>
              </w:rPr>
              <w:t>2024</w:t>
            </w:r>
          </w:p>
        </w:tc>
      </w:tr>
      <w:tr w:rsidR="00CD3FE8" w:rsidRPr="00CD3FE8" w14:paraId="644E73E6" w14:textId="77777777" w:rsidTr="00CD3FE8">
        <w:trPr>
          <w:trHeight w:val="346"/>
        </w:trPr>
        <w:tc>
          <w:tcPr>
            <w:tcW w:w="986" w:type="pct"/>
            <w:tcBorders>
              <w:top w:val="nil"/>
              <w:left w:val="single" w:sz="4" w:space="0" w:color="auto"/>
              <w:bottom w:val="single" w:sz="4" w:space="0" w:color="auto"/>
              <w:right w:val="single" w:sz="4" w:space="0" w:color="auto"/>
            </w:tcBorders>
            <w:shd w:val="clear" w:color="000000" w:fill="FFFFFF"/>
            <w:vAlign w:val="center"/>
            <w:hideMark/>
          </w:tcPr>
          <w:p w14:paraId="44AFA748" w14:textId="77777777" w:rsidR="00CD3FE8" w:rsidRPr="00CD3FE8" w:rsidRDefault="00CD3FE8" w:rsidP="00CD3FE8">
            <w:pPr>
              <w:rPr>
                <w:rFonts w:ascii="Arial Narrow" w:hAnsi="Arial Narrow" w:cs="Arial"/>
                <w:sz w:val="20"/>
                <w:szCs w:val="20"/>
                <w:lang w:val="bg-BG"/>
              </w:rPr>
            </w:pPr>
            <w:r w:rsidRPr="00CD3FE8">
              <w:rPr>
                <w:rFonts w:ascii="Arial Narrow" w:hAnsi="Arial Narrow" w:cs="Arial"/>
                <w:sz w:val="20"/>
                <w:szCs w:val="20"/>
                <w:lang w:val="bg-BG"/>
              </w:rPr>
              <w:t>Северозападен</w:t>
            </w:r>
          </w:p>
        </w:tc>
        <w:tc>
          <w:tcPr>
            <w:tcW w:w="510" w:type="pct"/>
            <w:tcBorders>
              <w:top w:val="nil"/>
              <w:left w:val="nil"/>
              <w:bottom w:val="single" w:sz="4" w:space="0" w:color="auto"/>
              <w:right w:val="single" w:sz="4" w:space="0" w:color="auto"/>
            </w:tcBorders>
            <w:shd w:val="clear" w:color="000000" w:fill="FFFFFF"/>
            <w:vAlign w:val="center"/>
            <w:hideMark/>
          </w:tcPr>
          <w:p w14:paraId="21B13D8A" w14:textId="77777777" w:rsidR="00CD3FE8" w:rsidRPr="00CD3FE8" w:rsidRDefault="00CD3FE8" w:rsidP="00CD3FE8">
            <w:pPr>
              <w:jc w:val="right"/>
              <w:rPr>
                <w:rFonts w:ascii="Arial Narrow" w:hAnsi="Arial Narrow" w:cs="Arial"/>
                <w:sz w:val="20"/>
                <w:szCs w:val="20"/>
                <w:lang w:val="bg-BG"/>
              </w:rPr>
            </w:pPr>
            <w:r w:rsidRPr="00CD3FE8">
              <w:rPr>
                <w:rFonts w:ascii="Arial Narrow" w:hAnsi="Arial Narrow" w:cs="Arial"/>
                <w:sz w:val="20"/>
                <w:szCs w:val="20"/>
                <w:lang w:val="bg-BG"/>
              </w:rPr>
              <w:t>1 280</w:t>
            </w:r>
          </w:p>
        </w:tc>
        <w:tc>
          <w:tcPr>
            <w:tcW w:w="510" w:type="pct"/>
            <w:tcBorders>
              <w:top w:val="nil"/>
              <w:left w:val="nil"/>
              <w:bottom w:val="single" w:sz="4" w:space="0" w:color="auto"/>
              <w:right w:val="single" w:sz="4" w:space="0" w:color="auto"/>
            </w:tcBorders>
            <w:shd w:val="clear" w:color="000000" w:fill="FFFFFF"/>
            <w:noWrap/>
            <w:vAlign w:val="center"/>
            <w:hideMark/>
          </w:tcPr>
          <w:p w14:paraId="27929C71" w14:textId="77777777" w:rsidR="00CD3FE8" w:rsidRPr="00CD3FE8" w:rsidRDefault="00CD3FE8" w:rsidP="00CD3FE8">
            <w:pPr>
              <w:jc w:val="right"/>
              <w:rPr>
                <w:rFonts w:ascii="Arial Narrow" w:hAnsi="Arial Narrow" w:cs="Arial"/>
                <w:sz w:val="20"/>
                <w:szCs w:val="20"/>
                <w:lang w:val="bg-BG"/>
              </w:rPr>
            </w:pPr>
            <w:r w:rsidRPr="00CD3FE8">
              <w:rPr>
                <w:rFonts w:ascii="Arial Narrow" w:hAnsi="Arial Narrow" w:cs="Arial"/>
                <w:sz w:val="20"/>
                <w:szCs w:val="20"/>
                <w:lang w:val="bg-BG"/>
              </w:rPr>
              <w:t>1 189</w:t>
            </w:r>
          </w:p>
        </w:tc>
        <w:tc>
          <w:tcPr>
            <w:tcW w:w="511" w:type="pct"/>
            <w:tcBorders>
              <w:top w:val="single" w:sz="4" w:space="0" w:color="auto"/>
              <w:left w:val="nil"/>
              <w:bottom w:val="single" w:sz="4" w:space="0" w:color="auto"/>
              <w:right w:val="single" w:sz="4" w:space="0" w:color="auto"/>
            </w:tcBorders>
            <w:shd w:val="clear" w:color="000000" w:fill="FFFFFF"/>
            <w:vAlign w:val="center"/>
            <w:hideMark/>
          </w:tcPr>
          <w:p w14:paraId="3E887591" w14:textId="77777777" w:rsidR="00CD3FE8" w:rsidRPr="00CD3FE8" w:rsidRDefault="00CD3FE8" w:rsidP="00CD3FE8">
            <w:pPr>
              <w:jc w:val="right"/>
              <w:rPr>
                <w:rFonts w:ascii="Arial Narrow" w:hAnsi="Arial Narrow" w:cs="Arial"/>
                <w:sz w:val="20"/>
                <w:szCs w:val="20"/>
                <w:lang w:val="bg-BG"/>
              </w:rPr>
            </w:pPr>
            <w:r w:rsidRPr="00CD3FE8">
              <w:rPr>
                <w:rFonts w:ascii="Arial Narrow" w:hAnsi="Arial Narrow" w:cs="Arial"/>
                <w:sz w:val="20"/>
                <w:szCs w:val="20"/>
                <w:lang w:val="bg-BG"/>
              </w:rPr>
              <w:t>743</w:t>
            </w:r>
          </w:p>
        </w:tc>
        <w:tc>
          <w:tcPr>
            <w:tcW w:w="511" w:type="pct"/>
            <w:tcBorders>
              <w:top w:val="nil"/>
              <w:left w:val="nil"/>
              <w:bottom w:val="single" w:sz="4" w:space="0" w:color="auto"/>
              <w:right w:val="single" w:sz="4" w:space="0" w:color="auto"/>
            </w:tcBorders>
            <w:shd w:val="clear" w:color="000000" w:fill="FFFFFF"/>
            <w:noWrap/>
            <w:vAlign w:val="center"/>
            <w:hideMark/>
          </w:tcPr>
          <w:p w14:paraId="1412FF57" w14:textId="77777777" w:rsidR="00CD3FE8" w:rsidRPr="00CD3FE8" w:rsidRDefault="00CD3FE8" w:rsidP="00CD3FE8">
            <w:pPr>
              <w:jc w:val="right"/>
              <w:rPr>
                <w:rFonts w:ascii="Arial Narrow" w:hAnsi="Arial Narrow" w:cs="Arial"/>
                <w:sz w:val="20"/>
                <w:szCs w:val="20"/>
                <w:lang w:val="bg-BG"/>
              </w:rPr>
            </w:pPr>
            <w:r w:rsidRPr="00CD3FE8">
              <w:rPr>
                <w:rFonts w:ascii="Arial Narrow" w:hAnsi="Arial Narrow" w:cs="Arial"/>
                <w:sz w:val="20"/>
                <w:szCs w:val="20"/>
                <w:lang w:val="bg-BG"/>
              </w:rPr>
              <w:t>831</w:t>
            </w:r>
          </w:p>
        </w:tc>
        <w:tc>
          <w:tcPr>
            <w:tcW w:w="511" w:type="pct"/>
            <w:tcBorders>
              <w:top w:val="single" w:sz="4" w:space="0" w:color="auto"/>
              <w:left w:val="nil"/>
              <w:bottom w:val="single" w:sz="4" w:space="0" w:color="auto"/>
              <w:right w:val="single" w:sz="4" w:space="0" w:color="auto"/>
            </w:tcBorders>
            <w:shd w:val="clear" w:color="000000" w:fill="FFFFFF"/>
            <w:vAlign w:val="center"/>
            <w:hideMark/>
          </w:tcPr>
          <w:p w14:paraId="37DA60E8" w14:textId="77777777" w:rsidR="00CD3FE8" w:rsidRPr="00CD3FE8" w:rsidRDefault="00CD3FE8" w:rsidP="00CD3FE8">
            <w:pPr>
              <w:jc w:val="right"/>
              <w:rPr>
                <w:rFonts w:ascii="Arial Narrow" w:hAnsi="Arial Narrow" w:cs="Arial"/>
                <w:sz w:val="20"/>
                <w:szCs w:val="20"/>
                <w:lang w:val="bg-BG"/>
              </w:rPr>
            </w:pPr>
            <w:r w:rsidRPr="00CD3FE8">
              <w:rPr>
                <w:rFonts w:ascii="Arial Narrow" w:hAnsi="Arial Narrow" w:cs="Arial"/>
                <w:sz w:val="20"/>
                <w:szCs w:val="20"/>
                <w:lang w:val="bg-BG"/>
              </w:rPr>
              <w:t>43</w:t>
            </w:r>
          </w:p>
        </w:tc>
        <w:tc>
          <w:tcPr>
            <w:tcW w:w="511" w:type="pct"/>
            <w:tcBorders>
              <w:top w:val="nil"/>
              <w:left w:val="nil"/>
              <w:bottom w:val="single" w:sz="4" w:space="0" w:color="auto"/>
              <w:right w:val="single" w:sz="4" w:space="0" w:color="auto"/>
            </w:tcBorders>
            <w:shd w:val="clear" w:color="000000" w:fill="FFFFFF"/>
            <w:noWrap/>
            <w:vAlign w:val="center"/>
            <w:hideMark/>
          </w:tcPr>
          <w:p w14:paraId="4FC475E1" w14:textId="77777777" w:rsidR="00CD3FE8" w:rsidRPr="00CD3FE8" w:rsidRDefault="00CD3FE8" w:rsidP="00CD3FE8">
            <w:pPr>
              <w:jc w:val="right"/>
              <w:rPr>
                <w:rFonts w:ascii="Arial Narrow" w:hAnsi="Arial Narrow" w:cs="Arial"/>
                <w:sz w:val="20"/>
                <w:szCs w:val="20"/>
                <w:lang w:val="bg-BG"/>
              </w:rPr>
            </w:pPr>
            <w:r w:rsidRPr="00CD3FE8">
              <w:rPr>
                <w:rFonts w:ascii="Arial Narrow" w:hAnsi="Arial Narrow" w:cs="Arial"/>
                <w:sz w:val="20"/>
                <w:szCs w:val="20"/>
                <w:lang w:val="bg-BG"/>
              </w:rPr>
              <w:t>27</w:t>
            </w:r>
          </w:p>
        </w:tc>
        <w:tc>
          <w:tcPr>
            <w:tcW w:w="511" w:type="pct"/>
            <w:tcBorders>
              <w:top w:val="single" w:sz="4" w:space="0" w:color="auto"/>
              <w:left w:val="nil"/>
              <w:bottom w:val="single" w:sz="4" w:space="0" w:color="auto"/>
              <w:right w:val="single" w:sz="4" w:space="0" w:color="auto"/>
            </w:tcBorders>
            <w:shd w:val="clear" w:color="000000" w:fill="FFFFFF"/>
            <w:vAlign w:val="center"/>
            <w:hideMark/>
          </w:tcPr>
          <w:p w14:paraId="3EEB0B29" w14:textId="77777777" w:rsidR="00CD3FE8" w:rsidRPr="00CD3FE8" w:rsidRDefault="00CD3FE8" w:rsidP="00CD3FE8">
            <w:pPr>
              <w:jc w:val="right"/>
              <w:rPr>
                <w:rFonts w:ascii="Arial Narrow" w:hAnsi="Arial Narrow" w:cs="Arial"/>
                <w:sz w:val="20"/>
                <w:szCs w:val="20"/>
                <w:lang w:val="bg-BG"/>
              </w:rPr>
            </w:pPr>
            <w:r w:rsidRPr="00CD3FE8">
              <w:rPr>
                <w:rFonts w:ascii="Arial Narrow" w:hAnsi="Arial Narrow" w:cs="Arial"/>
                <w:sz w:val="20"/>
                <w:szCs w:val="20"/>
                <w:lang w:val="bg-BG"/>
              </w:rPr>
              <w:t>2 066</w:t>
            </w:r>
          </w:p>
        </w:tc>
        <w:tc>
          <w:tcPr>
            <w:tcW w:w="438" w:type="pct"/>
            <w:tcBorders>
              <w:top w:val="nil"/>
              <w:left w:val="nil"/>
              <w:bottom w:val="single" w:sz="4" w:space="0" w:color="auto"/>
              <w:right w:val="single" w:sz="4" w:space="0" w:color="auto"/>
            </w:tcBorders>
            <w:shd w:val="clear" w:color="000000" w:fill="FFFFFF"/>
            <w:noWrap/>
            <w:vAlign w:val="center"/>
            <w:hideMark/>
          </w:tcPr>
          <w:p w14:paraId="5A17F63D" w14:textId="77777777" w:rsidR="00CD3FE8" w:rsidRPr="00CD3FE8" w:rsidRDefault="00CD3FE8" w:rsidP="00CD3FE8">
            <w:pPr>
              <w:jc w:val="right"/>
              <w:rPr>
                <w:rFonts w:ascii="Arial Narrow" w:hAnsi="Arial Narrow" w:cs="Arial"/>
                <w:sz w:val="20"/>
                <w:szCs w:val="20"/>
                <w:lang w:val="bg-BG"/>
              </w:rPr>
            </w:pPr>
            <w:r w:rsidRPr="00CD3FE8">
              <w:rPr>
                <w:rFonts w:ascii="Arial Narrow" w:hAnsi="Arial Narrow" w:cs="Arial"/>
                <w:sz w:val="20"/>
                <w:szCs w:val="20"/>
                <w:lang w:val="bg-BG"/>
              </w:rPr>
              <w:t>2 047</w:t>
            </w:r>
          </w:p>
        </w:tc>
      </w:tr>
      <w:tr w:rsidR="00CD3FE8" w:rsidRPr="00CD3FE8" w14:paraId="1E91F2DD" w14:textId="77777777" w:rsidTr="00CD3FE8">
        <w:trPr>
          <w:trHeight w:val="346"/>
        </w:trPr>
        <w:tc>
          <w:tcPr>
            <w:tcW w:w="986" w:type="pct"/>
            <w:tcBorders>
              <w:top w:val="nil"/>
              <w:left w:val="single" w:sz="4" w:space="0" w:color="auto"/>
              <w:bottom w:val="single" w:sz="4" w:space="0" w:color="auto"/>
              <w:right w:val="single" w:sz="4" w:space="0" w:color="auto"/>
            </w:tcBorders>
            <w:shd w:val="clear" w:color="auto" w:fill="auto"/>
            <w:vAlign w:val="center"/>
            <w:hideMark/>
          </w:tcPr>
          <w:p w14:paraId="30C1346B" w14:textId="77777777" w:rsidR="00CD3FE8" w:rsidRPr="00CD3FE8" w:rsidRDefault="00CD3FE8" w:rsidP="00CD3FE8">
            <w:pPr>
              <w:rPr>
                <w:rFonts w:ascii="Arial Narrow" w:hAnsi="Arial Narrow" w:cs="Arial"/>
                <w:sz w:val="20"/>
                <w:szCs w:val="20"/>
                <w:lang w:val="bg-BG"/>
              </w:rPr>
            </w:pPr>
            <w:r w:rsidRPr="00CD3FE8">
              <w:rPr>
                <w:rFonts w:ascii="Arial Narrow" w:hAnsi="Arial Narrow" w:cs="Arial"/>
                <w:sz w:val="20"/>
                <w:szCs w:val="20"/>
                <w:lang w:val="bg-BG"/>
              </w:rPr>
              <w:t>Северен централен</w:t>
            </w:r>
          </w:p>
        </w:tc>
        <w:tc>
          <w:tcPr>
            <w:tcW w:w="510" w:type="pct"/>
            <w:tcBorders>
              <w:top w:val="nil"/>
              <w:left w:val="nil"/>
              <w:bottom w:val="single" w:sz="4" w:space="0" w:color="auto"/>
              <w:right w:val="single" w:sz="4" w:space="0" w:color="auto"/>
            </w:tcBorders>
            <w:shd w:val="clear" w:color="000000" w:fill="FFFFFF"/>
            <w:vAlign w:val="center"/>
            <w:hideMark/>
          </w:tcPr>
          <w:p w14:paraId="7F04BBFE" w14:textId="77777777" w:rsidR="00CD3FE8" w:rsidRPr="00CD3FE8" w:rsidRDefault="00CD3FE8" w:rsidP="00CD3FE8">
            <w:pPr>
              <w:jc w:val="right"/>
              <w:rPr>
                <w:rFonts w:ascii="Arial Narrow" w:hAnsi="Arial Narrow" w:cs="Arial"/>
                <w:sz w:val="20"/>
                <w:szCs w:val="20"/>
                <w:lang w:val="bg-BG"/>
              </w:rPr>
            </w:pPr>
            <w:r w:rsidRPr="00CD3FE8">
              <w:rPr>
                <w:rFonts w:ascii="Arial Narrow" w:hAnsi="Arial Narrow" w:cs="Arial"/>
                <w:sz w:val="20"/>
                <w:szCs w:val="20"/>
                <w:lang w:val="bg-BG"/>
              </w:rPr>
              <w:t>424</w:t>
            </w:r>
          </w:p>
        </w:tc>
        <w:tc>
          <w:tcPr>
            <w:tcW w:w="510" w:type="pct"/>
            <w:tcBorders>
              <w:top w:val="nil"/>
              <w:left w:val="nil"/>
              <w:bottom w:val="single" w:sz="4" w:space="0" w:color="auto"/>
              <w:right w:val="single" w:sz="4" w:space="0" w:color="auto"/>
            </w:tcBorders>
            <w:shd w:val="clear" w:color="000000" w:fill="FFFFFF"/>
            <w:noWrap/>
            <w:vAlign w:val="center"/>
            <w:hideMark/>
          </w:tcPr>
          <w:p w14:paraId="73ACF848" w14:textId="77777777" w:rsidR="00CD3FE8" w:rsidRPr="00CD3FE8" w:rsidRDefault="00CD3FE8" w:rsidP="00CD3FE8">
            <w:pPr>
              <w:jc w:val="right"/>
              <w:rPr>
                <w:rFonts w:ascii="Arial Narrow" w:hAnsi="Arial Narrow" w:cs="Arial"/>
                <w:sz w:val="20"/>
                <w:szCs w:val="20"/>
                <w:lang w:val="bg-BG"/>
              </w:rPr>
            </w:pPr>
            <w:r w:rsidRPr="00CD3FE8">
              <w:rPr>
                <w:rFonts w:ascii="Arial Narrow" w:hAnsi="Arial Narrow" w:cs="Arial"/>
                <w:sz w:val="20"/>
                <w:szCs w:val="20"/>
                <w:lang w:val="bg-BG"/>
              </w:rPr>
              <w:t>389</w:t>
            </w:r>
          </w:p>
        </w:tc>
        <w:tc>
          <w:tcPr>
            <w:tcW w:w="511" w:type="pct"/>
            <w:tcBorders>
              <w:top w:val="nil"/>
              <w:left w:val="nil"/>
              <w:bottom w:val="single" w:sz="4" w:space="0" w:color="auto"/>
              <w:right w:val="single" w:sz="4" w:space="0" w:color="auto"/>
            </w:tcBorders>
            <w:shd w:val="clear" w:color="000000" w:fill="FFFFFF"/>
            <w:vAlign w:val="center"/>
            <w:hideMark/>
          </w:tcPr>
          <w:p w14:paraId="4DBDC97B" w14:textId="77777777" w:rsidR="00CD3FE8" w:rsidRPr="00CD3FE8" w:rsidRDefault="00CD3FE8" w:rsidP="00CD3FE8">
            <w:pPr>
              <w:jc w:val="right"/>
              <w:rPr>
                <w:rFonts w:ascii="Arial Narrow" w:hAnsi="Arial Narrow" w:cs="Arial"/>
                <w:sz w:val="20"/>
                <w:szCs w:val="20"/>
                <w:lang w:val="bg-BG"/>
              </w:rPr>
            </w:pPr>
            <w:r w:rsidRPr="00CD3FE8">
              <w:rPr>
                <w:rFonts w:ascii="Arial Narrow" w:hAnsi="Arial Narrow" w:cs="Arial"/>
                <w:sz w:val="20"/>
                <w:szCs w:val="20"/>
                <w:lang w:val="bg-BG"/>
              </w:rPr>
              <w:t>615</w:t>
            </w:r>
          </w:p>
        </w:tc>
        <w:tc>
          <w:tcPr>
            <w:tcW w:w="511" w:type="pct"/>
            <w:tcBorders>
              <w:top w:val="nil"/>
              <w:left w:val="nil"/>
              <w:bottom w:val="single" w:sz="4" w:space="0" w:color="auto"/>
              <w:right w:val="single" w:sz="4" w:space="0" w:color="auto"/>
            </w:tcBorders>
            <w:shd w:val="clear" w:color="000000" w:fill="FFFFFF"/>
            <w:noWrap/>
            <w:vAlign w:val="center"/>
            <w:hideMark/>
          </w:tcPr>
          <w:p w14:paraId="04E7601C" w14:textId="77777777" w:rsidR="00CD3FE8" w:rsidRPr="00CD3FE8" w:rsidRDefault="00CD3FE8" w:rsidP="00CD3FE8">
            <w:pPr>
              <w:jc w:val="right"/>
              <w:rPr>
                <w:rFonts w:ascii="Arial Narrow" w:hAnsi="Arial Narrow" w:cs="Arial"/>
                <w:sz w:val="20"/>
                <w:szCs w:val="20"/>
                <w:lang w:val="bg-BG"/>
              </w:rPr>
            </w:pPr>
            <w:r w:rsidRPr="00CD3FE8">
              <w:rPr>
                <w:rFonts w:ascii="Arial Narrow" w:hAnsi="Arial Narrow" w:cs="Arial"/>
                <w:sz w:val="20"/>
                <w:szCs w:val="20"/>
                <w:lang w:val="bg-BG"/>
              </w:rPr>
              <w:t>567</w:t>
            </w:r>
          </w:p>
        </w:tc>
        <w:tc>
          <w:tcPr>
            <w:tcW w:w="511" w:type="pct"/>
            <w:tcBorders>
              <w:top w:val="nil"/>
              <w:left w:val="nil"/>
              <w:bottom w:val="single" w:sz="4" w:space="0" w:color="auto"/>
              <w:right w:val="single" w:sz="4" w:space="0" w:color="auto"/>
            </w:tcBorders>
            <w:shd w:val="clear" w:color="000000" w:fill="FFFFFF"/>
            <w:vAlign w:val="center"/>
            <w:hideMark/>
          </w:tcPr>
          <w:p w14:paraId="3B5EBF48" w14:textId="77777777" w:rsidR="00CD3FE8" w:rsidRPr="00CD3FE8" w:rsidRDefault="00CD3FE8" w:rsidP="00CD3FE8">
            <w:pPr>
              <w:jc w:val="right"/>
              <w:rPr>
                <w:rFonts w:ascii="Arial Narrow" w:hAnsi="Arial Narrow" w:cs="Arial"/>
                <w:sz w:val="20"/>
                <w:szCs w:val="20"/>
                <w:lang w:val="bg-BG"/>
              </w:rPr>
            </w:pPr>
            <w:r w:rsidRPr="00CD3FE8">
              <w:rPr>
                <w:rFonts w:ascii="Arial Narrow" w:hAnsi="Arial Narrow" w:cs="Arial"/>
                <w:sz w:val="20"/>
                <w:szCs w:val="20"/>
                <w:lang w:val="bg-BG"/>
              </w:rPr>
              <w:t>67</w:t>
            </w:r>
          </w:p>
        </w:tc>
        <w:tc>
          <w:tcPr>
            <w:tcW w:w="511" w:type="pct"/>
            <w:tcBorders>
              <w:top w:val="nil"/>
              <w:left w:val="nil"/>
              <w:bottom w:val="single" w:sz="4" w:space="0" w:color="auto"/>
              <w:right w:val="single" w:sz="4" w:space="0" w:color="auto"/>
            </w:tcBorders>
            <w:shd w:val="clear" w:color="000000" w:fill="FFFFFF"/>
            <w:noWrap/>
            <w:vAlign w:val="center"/>
            <w:hideMark/>
          </w:tcPr>
          <w:p w14:paraId="3CDCEDF8" w14:textId="77777777" w:rsidR="00CD3FE8" w:rsidRPr="00CD3FE8" w:rsidRDefault="00CD3FE8" w:rsidP="00CD3FE8">
            <w:pPr>
              <w:jc w:val="right"/>
              <w:rPr>
                <w:rFonts w:ascii="Arial Narrow" w:hAnsi="Arial Narrow" w:cs="Arial"/>
                <w:sz w:val="20"/>
                <w:szCs w:val="20"/>
                <w:lang w:val="bg-BG"/>
              </w:rPr>
            </w:pPr>
            <w:r w:rsidRPr="00CD3FE8">
              <w:rPr>
                <w:rFonts w:ascii="Arial Narrow" w:hAnsi="Arial Narrow" w:cs="Arial"/>
                <w:sz w:val="20"/>
                <w:szCs w:val="20"/>
                <w:lang w:val="bg-BG"/>
              </w:rPr>
              <w:t>72</w:t>
            </w:r>
          </w:p>
        </w:tc>
        <w:tc>
          <w:tcPr>
            <w:tcW w:w="511" w:type="pct"/>
            <w:tcBorders>
              <w:top w:val="nil"/>
              <w:left w:val="nil"/>
              <w:bottom w:val="single" w:sz="4" w:space="0" w:color="auto"/>
              <w:right w:val="single" w:sz="4" w:space="0" w:color="auto"/>
            </w:tcBorders>
            <w:shd w:val="clear" w:color="000000" w:fill="FFFFFF"/>
            <w:vAlign w:val="center"/>
            <w:hideMark/>
          </w:tcPr>
          <w:p w14:paraId="02A22182" w14:textId="77777777" w:rsidR="00CD3FE8" w:rsidRPr="00CD3FE8" w:rsidRDefault="00CD3FE8" w:rsidP="00CD3FE8">
            <w:pPr>
              <w:jc w:val="right"/>
              <w:rPr>
                <w:rFonts w:ascii="Arial Narrow" w:hAnsi="Arial Narrow" w:cs="Arial"/>
                <w:sz w:val="20"/>
                <w:szCs w:val="20"/>
                <w:lang w:val="bg-BG"/>
              </w:rPr>
            </w:pPr>
            <w:r w:rsidRPr="00CD3FE8">
              <w:rPr>
                <w:rFonts w:ascii="Arial Narrow" w:hAnsi="Arial Narrow" w:cs="Arial"/>
                <w:sz w:val="20"/>
                <w:szCs w:val="20"/>
                <w:lang w:val="bg-BG"/>
              </w:rPr>
              <w:t>1 106</w:t>
            </w:r>
          </w:p>
        </w:tc>
        <w:tc>
          <w:tcPr>
            <w:tcW w:w="438" w:type="pct"/>
            <w:tcBorders>
              <w:top w:val="nil"/>
              <w:left w:val="nil"/>
              <w:bottom w:val="single" w:sz="4" w:space="0" w:color="auto"/>
              <w:right w:val="single" w:sz="4" w:space="0" w:color="auto"/>
            </w:tcBorders>
            <w:shd w:val="clear" w:color="000000" w:fill="FFFFFF"/>
            <w:noWrap/>
            <w:vAlign w:val="center"/>
            <w:hideMark/>
          </w:tcPr>
          <w:p w14:paraId="20EC269C" w14:textId="77777777" w:rsidR="00CD3FE8" w:rsidRPr="00CD3FE8" w:rsidRDefault="00CD3FE8" w:rsidP="00CD3FE8">
            <w:pPr>
              <w:jc w:val="right"/>
              <w:rPr>
                <w:rFonts w:ascii="Arial Narrow" w:hAnsi="Arial Narrow" w:cs="Arial"/>
                <w:sz w:val="20"/>
                <w:szCs w:val="20"/>
                <w:lang w:val="bg-BG"/>
              </w:rPr>
            </w:pPr>
            <w:r w:rsidRPr="00CD3FE8">
              <w:rPr>
                <w:rFonts w:ascii="Arial Narrow" w:hAnsi="Arial Narrow" w:cs="Arial"/>
                <w:sz w:val="20"/>
                <w:szCs w:val="20"/>
                <w:lang w:val="bg-BG"/>
              </w:rPr>
              <w:t>1 028</w:t>
            </w:r>
          </w:p>
        </w:tc>
      </w:tr>
      <w:tr w:rsidR="00CD3FE8" w:rsidRPr="00CD3FE8" w14:paraId="5390B086" w14:textId="77777777" w:rsidTr="00CD3FE8">
        <w:trPr>
          <w:trHeight w:val="346"/>
        </w:trPr>
        <w:tc>
          <w:tcPr>
            <w:tcW w:w="986" w:type="pct"/>
            <w:tcBorders>
              <w:top w:val="nil"/>
              <w:left w:val="single" w:sz="4" w:space="0" w:color="auto"/>
              <w:bottom w:val="single" w:sz="4" w:space="0" w:color="auto"/>
              <w:right w:val="single" w:sz="4" w:space="0" w:color="auto"/>
            </w:tcBorders>
            <w:shd w:val="clear" w:color="000000" w:fill="FFFFFF"/>
            <w:vAlign w:val="center"/>
            <w:hideMark/>
          </w:tcPr>
          <w:p w14:paraId="601EB7A3" w14:textId="77777777" w:rsidR="00CD3FE8" w:rsidRPr="00CD3FE8" w:rsidRDefault="00CD3FE8" w:rsidP="00CD3FE8">
            <w:pPr>
              <w:rPr>
                <w:rFonts w:ascii="Arial Narrow" w:hAnsi="Arial Narrow" w:cs="Arial"/>
                <w:sz w:val="20"/>
                <w:szCs w:val="20"/>
                <w:lang w:val="bg-BG"/>
              </w:rPr>
            </w:pPr>
            <w:r w:rsidRPr="00CD3FE8">
              <w:rPr>
                <w:rFonts w:ascii="Arial Narrow" w:hAnsi="Arial Narrow" w:cs="Arial"/>
                <w:sz w:val="20"/>
                <w:szCs w:val="20"/>
                <w:lang w:val="bg-BG"/>
              </w:rPr>
              <w:t>Североизточен</w:t>
            </w:r>
          </w:p>
        </w:tc>
        <w:tc>
          <w:tcPr>
            <w:tcW w:w="510" w:type="pct"/>
            <w:tcBorders>
              <w:top w:val="nil"/>
              <w:left w:val="nil"/>
              <w:bottom w:val="single" w:sz="4" w:space="0" w:color="auto"/>
              <w:right w:val="single" w:sz="4" w:space="0" w:color="auto"/>
            </w:tcBorders>
            <w:shd w:val="clear" w:color="000000" w:fill="FFFFFF"/>
            <w:vAlign w:val="center"/>
            <w:hideMark/>
          </w:tcPr>
          <w:p w14:paraId="1577E0A1" w14:textId="77777777" w:rsidR="00CD3FE8" w:rsidRPr="00CD3FE8" w:rsidRDefault="00CD3FE8" w:rsidP="00CD3FE8">
            <w:pPr>
              <w:jc w:val="right"/>
              <w:rPr>
                <w:rFonts w:ascii="Arial Narrow" w:hAnsi="Arial Narrow" w:cs="Arial"/>
                <w:sz w:val="20"/>
                <w:szCs w:val="20"/>
                <w:lang w:val="bg-BG"/>
              </w:rPr>
            </w:pPr>
            <w:r w:rsidRPr="00CD3FE8">
              <w:rPr>
                <w:rFonts w:ascii="Arial Narrow" w:hAnsi="Arial Narrow" w:cs="Arial"/>
                <w:sz w:val="20"/>
                <w:szCs w:val="20"/>
                <w:lang w:val="bg-BG"/>
              </w:rPr>
              <w:t>615</w:t>
            </w:r>
          </w:p>
        </w:tc>
        <w:tc>
          <w:tcPr>
            <w:tcW w:w="510" w:type="pct"/>
            <w:tcBorders>
              <w:top w:val="nil"/>
              <w:left w:val="nil"/>
              <w:bottom w:val="single" w:sz="4" w:space="0" w:color="auto"/>
              <w:right w:val="single" w:sz="4" w:space="0" w:color="auto"/>
            </w:tcBorders>
            <w:shd w:val="clear" w:color="000000" w:fill="FFFFFF"/>
            <w:noWrap/>
            <w:vAlign w:val="center"/>
            <w:hideMark/>
          </w:tcPr>
          <w:p w14:paraId="32F12FFE" w14:textId="77777777" w:rsidR="00CD3FE8" w:rsidRPr="00CD3FE8" w:rsidRDefault="00CD3FE8" w:rsidP="00CD3FE8">
            <w:pPr>
              <w:jc w:val="right"/>
              <w:rPr>
                <w:rFonts w:ascii="Arial Narrow" w:hAnsi="Arial Narrow" w:cs="Arial"/>
                <w:sz w:val="20"/>
                <w:szCs w:val="20"/>
                <w:lang w:val="bg-BG"/>
              </w:rPr>
            </w:pPr>
            <w:r w:rsidRPr="00CD3FE8">
              <w:rPr>
                <w:rFonts w:ascii="Arial Narrow" w:hAnsi="Arial Narrow" w:cs="Arial"/>
                <w:sz w:val="20"/>
                <w:szCs w:val="20"/>
                <w:lang w:val="bg-BG"/>
              </w:rPr>
              <w:t>603</w:t>
            </w:r>
          </w:p>
        </w:tc>
        <w:tc>
          <w:tcPr>
            <w:tcW w:w="511" w:type="pct"/>
            <w:tcBorders>
              <w:top w:val="nil"/>
              <w:left w:val="nil"/>
              <w:bottom w:val="single" w:sz="4" w:space="0" w:color="auto"/>
              <w:right w:val="single" w:sz="4" w:space="0" w:color="auto"/>
            </w:tcBorders>
            <w:shd w:val="clear" w:color="000000" w:fill="FFFFFF"/>
            <w:vAlign w:val="center"/>
            <w:hideMark/>
          </w:tcPr>
          <w:p w14:paraId="69CB0341" w14:textId="77777777" w:rsidR="00CD3FE8" w:rsidRPr="00CD3FE8" w:rsidRDefault="00CD3FE8" w:rsidP="00CD3FE8">
            <w:pPr>
              <w:jc w:val="right"/>
              <w:rPr>
                <w:rFonts w:ascii="Arial Narrow" w:hAnsi="Arial Narrow" w:cs="Arial"/>
                <w:sz w:val="20"/>
                <w:szCs w:val="20"/>
                <w:lang w:val="bg-BG"/>
              </w:rPr>
            </w:pPr>
            <w:r w:rsidRPr="00CD3FE8">
              <w:rPr>
                <w:rFonts w:ascii="Arial Narrow" w:hAnsi="Arial Narrow" w:cs="Arial"/>
                <w:sz w:val="20"/>
                <w:szCs w:val="20"/>
                <w:lang w:val="bg-BG"/>
              </w:rPr>
              <w:t>1 687</w:t>
            </w:r>
          </w:p>
        </w:tc>
        <w:tc>
          <w:tcPr>
            <w:tcW w:w="511" w:type="pct"/>
            <w:tcBorders>
              <w:top w:val="nil"/>
              <w:left w:val="nil"/>
              <w:bottom w:val="single" w:sz="4" w:space="0" w:color="auto"/>
              <w:right w:val="single" w:sz="4" w:space="0" w:color="auto"/>
            </w:tcBorders>
            <w:shd w:val="clear" w:color="000000" w:fill="FFFFFF"/>
            <w:noWrap/>
            <w:vAlign w:val="center"/>
            <w:hideMark/>
          </w:tcPr>
          <w:p w14:paraId="2C48C89B" w14:textId="77777777" w:rsidR="00CD3FE8" w:rsidRPr="00CD3FE8" w:rsidRDefault="00CD3FE8" w:rsidP="00CD3FE8">
            <w:pPr>
              <w:jc w:val="right"/>
              <w:rPr>
                <w:rFonts w:ascii="Arial Narrow" w:hAnsi="Arial Narrow" w:cs="Arial"/>
                <w:sz w:val="20"/>
                <w:szCs w:val="20"/>
                <w:lang w:val="bg-BG"/>
              </w:rPr>
            </w:pPr>
            <w:r w:rsidRPr="00CD3FE8">
              <w:rPr>
                <w:rFonts w:ascii="Arial Narrow" w:hAnsi="Arial Narrow" w:cs="Arial"/>
                <w:sz w:val="20"/>
                <w:szCs w:val="20"/>
                <w:lang w:val="bg-BG"/>
              </w:rPr>
              <w:t>1 597</w:t>
            </w:r>
          </w:p>
        </w:tc>
        <w:tc>
          <w:tcPr>
            <w:tcW w:w="511" w:type="pct"/>
            <w:tcBorders>
              <w:top w:val="nil"/>
              <w:left w:val="nil"/>
              <w:bottom w:val="single" w:sz="4" w:space="0" w:color="auto"/>
              <w:right w:val="single" w:sz="4" w:space="0" w:color="auto"/>
            </w:tcBorders>
            <w:shd w:val="clear" w:color="000000" w:fill="FFFFFF"/>
            <w:vAlign w:val="center"/>
            <w:hideMark/>
          </w:tcPr>
          <w:p w14:paraId="7F449CAD" w14:textId="77777777" w:rsidR="00CD3FE8" w:rsidRPr="00CD3FE8" w:rsidRDefault="00CD3FE8" w:rsidP="00CD3FE8">
            <w:pPr>
              <w:jc w:val="right"/>
              <w:rPr>
                <w:rFonts w:ascii="Arial Narrow" w:hAnsi="Arial Narrow" w:cs="Arial"/>
                <w:sz w:val="20"/>
                <w:szCs w:val="20"/>
                <w:lang w:val="bg-BG"/>
              </w:rPr>
            </w:pPr>
            <w:r w:rsidRPr="00CD3FE8">
              <w:rPr>
                <w:rFonts w:ascii="Arial Narrow" w:hAnsi="Arial Narrow" w:cs="Arial"/>
                <w:sz w:val="20"/>
                <w:szCs w:val="20"/>
                <w:lang w:val="bg-BG"/>
              </w:rPr>
              <w:t>80</w:t>
            </w:r>
          </w:p>
        </w:tc>
        <w:tc>
          <w:tcPr>
            <w:tcW w:w="511" w:type="pct"/>
            <w:tcBorders>
              <w:top w:val="nil"/>
              <w:left w:val="nil"/>
              <w:bottom w:val="single" w:sz="4" w:space="0" w:color="auto"/>
              <w:right w:val="single" w:sz="4" w:space="0" w:color="auto"/>
            </w:tcBorders>
            <w:shd w:val="clear" w:color="000000" w:fill="FFFFFF"/>
            <w:noWrap/>
            <w:vAlign w:val="center"/>
            <w:hideMark/>
          </w:tcPr>
          <w:p w14:paraId="063B85CC" w14:textId="77777777" w:rsidR="00CD3FE8" w:rsidRPr="00CD3FE8" w:rsidRDefault="00CD3FE8" w:rsidP="00CD3FE8">
            <w:pPr>
              <w:jc w:val="right"/>
              <w:rPr>
                <w:rFonts w:ascii="Arial Narrow" w:hAnsi="Arial Narrow" w:cs="Arial"/>
                <w:sz w:val="20"/>
                <w:szCs w:val="20"/>
                <w:lang w:val="bg-BG"/>
              </w:rPr>
            </w:pPr>
            <w:r w:rsidRPr="00CD3FE8">
              <w:rPr>
                <w:rFonts w:ascii="Arial Narrow" w:hAnsi="Arial Narrow" w:cs="Arial"/>
                <w:sz w:val="20"/>
                <w:szCs w:val="20"/>
                <w:lang w:val="bg-BG"/>
              </w:rPr>
              <w:t>83</w:t>
            </w:r>
          </w:p>
        </w:tc>
        <w:tc>
          <w:tcPr>
            <w:tcW w:w="511" w:type="pct"/>
            <w:tcBorders>
              <w:top w:val="nil"/>
              <w:left w:val="nil"/>
              <w:bottom w:val="single" w:sz="4" w:space="0" w:color="auto"/>
              <w:right w:val="single" w:sz="4" w:space="0" w:color="auto"/>
            </w:tcBorders>
            <w:shd w:val="clear" w:color="000000" w:fill="FFFFFF"/>
            <w:vAlign w:val="center"/>
            <w:hideMark/>
          </w:tcPr>
          <w:p w14:paraId="34889AC8" w14:textId="77777777" w:rsidR="00CD3FE8" w:rsidRPr="00CD3FE8" w:rsidRDefault="00CD3FE8" w:rsidP="00CD3FE8">
            <w:pPr>
              <w:jc w:val="right"/>
              <w:rPr>
                <w:rFonts w:ascii="Arial Narrow" w:hAnsi="Arial Narrow" w:cs="Arial"/>
                <w:sz w:val="20"/>
                <w:szCs w:val="20"/>
                <w:lang w:val="bg-BG"/>
              </w:rPr>
            </w:pPr>
            <w:r w:rsidRPr="00CD3FE8">
              <w:rPr>
                <w:rFonts w:ascii="Arial Narrow" w:hAnsi="Arial Narrow" w:cs="Arial"/>
                <w:sz w:val="20"/>
                <w:szCs w:val="20"/>
                <w:lang w:val="bg-BG"/>
              </w:rPr>
              <w:t>2 382</w:t>
            </w:r>
          </w:p>
        </w:tc>
        <w:tc>
          <w:tcPr>
            <w:tcW w:w="438" w:type="pct"/>
            <w:tcBorders>
              <w:top w:val="nil"/>
              <w:left w:val="nil"/>
              <w:bottom w:val="single" w:sz="4" w:space="0" w:color="auto"/>
              <w:right w:val="single" w:sz="4" w:space="0" w:color="auto"/>
            </w:tcBorders>
            <w:shd w:val="clear" w:color="000000" w:fill="FFFFFF"/>
            <w:noWrap/>
            <w:vAlign w:val="center"/>
            <w:hideMark/>
          </w:tcPr>
          <w:p w14:paraId="77A6C2EB" w14:textId="77777777" w:rsidR="00CD3FE8" w:rsidRPr="00CD3FE8" w:rsidRDefault="00CD3FE8" w:rsidP="00CD3FE8">
            <w:pPr>
              <w:jc w:val="right"/>
              <w:rPr>
                <w:rFonts w:ascii="Arial Narrow" w:hAnsi="Arial Narrow" w:cs="Arial"/>
                <w:sz w:val="20"/>
                <w:szCs w:val="20"/>
                <w:lang w:val="bg-BG"/>
              </w:rPr>
            </w:pPr>
            <w:r w:rsidRPr="00CD3FE8">
              <w:rPr>
                <w:rFonts w:ascii="Arial Narrow" w:hAnsi="Arial Narrow" w:cs="Arial"/>
                <w:sz w:val="20"/>
                <w:szCs w:val="20"/>
                <w:lang w:val="bg-BG"/>
              </w:rPr>
              <w:t>2 283</w:t>
            </w:r>
          </w:p>
        </w:tc>
      </w:tr>
      <w:tr w:rsidR="00CD3FE8" w:rsidRPr="00CD3FE8" w14:paraId="71C1DDCC" w14:textId="77777777" w:rsidTr="00CD3FE8">
        <w:trPr>
          <w:trHeight w:val="346"/>
        </w:trPr>
        <w:tc>
          <w:tcPr>
            <w:tcW w:w="986" w:type="pct"/>
            <w:tcBorders>
              <w:top w:val="nil"/>
              <w:left w:val="single" w:sz="4" w:space="0" w:color="auto"/>
              <w:bottom w:val="single" w:sz="4" w:space="0" w:color="auto"/>
              <w:right w:val="single" w:sz="4" w:space="0" w:color="auto"/>
            </w:tcBorders>
            <w:shd w:val="clear" w:color="auto" w:fill="auto"/>
            <w:vAlign w:val="center"/>
            <w:hideMark/>
          </w:tcPr>
          <w:p w14:paraId="70D0E7F5" w14:textId="77777777" w:rsidR="00CD3FE8" w:rsidRPr="00CD3FE8" w:rsidRDefault="00CD3FE8" w:rsidP="00CD3FE8">
            <w:pPr>
              <w:rPr>
                <w:rFonts w:ascii="Arial Narrow" w:hAnsi="Arial Narrow" w:cs="Arial"/>
                <w:sz w:val="20"/>
                <w:szCs w:val="20"/>
                <w:lang w:val="bg-BG"/>
              </w:rPr>
            </w:pPr>
            <w:r w:rsidRPr="00CD3FE8">
              <w:rPr>
                <w:rFonts w:ascii="Arial Narrow" w:hAnsi="Arial Narrow" w:cs="Arial"/>
                <w:sz w:val="20"/>
                <w:szCs w:val="20"/>
                <w:lang w:val="bg-BG"/>
              </w:rPr>
              <w:t>Югоизточен</w:t>
            </w:r>
          </w:p>
        </w:tc>
        <w:tc>
          <w:tcPr>
            <w:tcW w:w="510" w:type="pct"/>
            <w:tcBorders>
              <w:top w:val="nil"/>
              <w:left w:val="nil"/>
              <w:bottom w:val="single" w:sz="4" w:space="0" w:color="auto"/>
              <w:right w:val="single" w:sz="4" w:space="0" w:color="auto"/>
            </w:tcBorders>
            <w:shd w:val="clear" w:color="000000" w:fill="FFFFFF"/>
            <w:vAlign w:val="center"/>
            <w:hideMark/>
          </w:tcPr>
          <w:p w14:paraId="195F95B2" w14:textId="77777777" w:rsidR="00CD3FE8" w:rsidRPr="00CD3FE8" w:rsidRDefault="00CD3FE8" w:rsidP="00CD3FE8">
            <w:pPr>
              <w:jc w:val="right"/>
              <w:rPr>
                <w:rFonts w:ascii="Arial Narrow" w:hAnsi="Arial Narrow" w:cs="Arial"/>
                <w:sz w:val="20"/>
                <w:szCs w:val="20"/>
                <w:lang w:val="bg-BG"/>
              </w:rPr>
            </w:pPr>
            <w:r w:rsidRPr="00CD3FE8">
              <w:rPr>
                <w:rFonts w:ascii="Arial Narrow" w:hAnsi="Arial Narrow" w:cs="Arial"/>
                <w:sz w:val="20"/>
                <w:szCs w:val="20"/>
                <w:lang w:val="bg-BG"/>
              </w:rPr>
              <w:t>4 312</w:t>
            </w:r>
          </w:p>
        </w:tc>
        <w:tc>
          <w:tcPr>
            <w:tcW w:w="510" w:type="pct"/>
            <w:tcBorders>
              <w:top w:val="nil"/>
              <w:left w:val="nil"/>
              <w:bottom w:val="single" w:sz="4" w:space="0" w:color="auto"/>
              <w:right w:val="single" w:sz="4" w:space="0" w:color="auto"/>
            </w:tcBorders>
            <w:shd w:val="clear" w:color="000000" w:fill="FFFFFF"/>
            <w:noWrap/>
            <w:vAlign w:val="center"/>
            <w:hideMark/>
          </w:tcPr>
          <w:p w14:paraId="02FE9287" w14:textId="77777777" w:rsidR="00CD3FE8" w:rsidRPr="00CD3FE8" w:rsidRDefault="00CD3FE8" w:rsidP="00CD3FE8">
            <w:pPr>
              <w:jc w:val="right"/>
              <w:rPr>
                <w:rFonts w:ascii="Arial Narrow" w:hAnsi="Arial Narrow" w:cs="Arial"/>
                <w:sz w:val="20"/>
                <w:szCs w:val="20"/>
                <w:lang w:val="bg-BG"/>
              </w:rPr>
            </w:pPr>
            <w:r w:rsidRPr="00CD3FE8">
              <w:rPr>
                <w:rFonts w:ascii="Arial Narrow" w:hAnsi="Arial Narrow" w:cs="Arial"/>
                <w:sz w:val="20"/>
                <w:szCs w:val="20"/>
                <w:lang w:val="bg-BG"/>
              </w:rPr>
              <w:t>4 046</w:t>
            </w:r>
          </w:p>
        </w:tc>
        <w:tc>
          <w:tcPr>
            <w:tcW w:w="511" w:type="pct"/>
            <w:tcBorders>
              <w:top w:val="nil"/>
              <w:left w:val="nil"/>
              <w:bottom w:val="single" w:sz="4" w:space="0" w:color="auto"/>
              <w:right w:val="single" w:sz="4" w:space="0" w:color="auto"/>
            </w:tcBorders>
            <w:shd w:val="clear" w:color="000000" w:fill="FFFFFF"/>
            <w:vAlign w:val="center"/>
            <w:hideMark/>
          </w:tcPr>
          <w:p w14:paraId="7B47F5BE" w14:textId="77777777" w:rsidR="00CD3FE8" w:rsidRPr="00CD3FE8" w:rsidRDefault="00CD3FE8" w:rsidP="00CD3FE8">
            <w:pPr>
              <w:jc w:val="right"/>
              <w:rPr>
                <w:rFonts w:ascii="Arial Narrow" w:hAnsi="Arial Narrow" w:cs="Arial"/>
                <w:sz w:val="20"/>
                <w:szCs w:val="20"/>
                <w:lang w:val="bg-BG"/>
              </w:rPr>
            </w:pPr>
            <w:r w:rsidRPr="00CD3FE8">
              <w:rPr>
                <w:rFonts w:ascii="Arial Narrow" w:hAnsi="Arial Narrow" w:cs="Arial"/>
                <w:sz w:val="20"/>
                <w:szCs w:val="20"/>
                <w:lang w:val="bg-BG"/>
              </w:rPr>
              <w:t>5 353</w:t>
            </w:r>
          </w:p>
        </w:tc>
        <w:tc>
          <w:tcPr>
            <w:tcW w:w="511" w:type="pct"/>
            <w:tcBorders>
              <w:top w:val="nil"/>
              <w:left w:val="nil"/>
              <w:bottom w:val="single" w:sz="4" w:space="0" w:color="auto"/>
              <w:right w:val="single" w:sz="4" w:space="0" w:color="auto"/>
            </w:tcBorders>
            <w:shd w:val="clear" w:color="000000" w:fill="FFFFFF"/>
            <w:noWrap/>
            <w:vAlign w:val="center"/>
            <w:hideMark/>
          </w:tcPr>
          <w:p w14:paraId="12AB7CC7" w14:textId="77777777" w:rsidR="00CD3FE8" w:rsidRPr="00CD3FE8" w:rsidRDefault="00CD3FE8" w:rsidP="00CD3FE8">
            <w:pPr>
              <w:jc w:val="right"/>
              <w:rPr>
                <w:rFonts w:ascii="Arial Narrow" w:hAnsi="Arial Narrow" w:cs="Arial"/>
                <w:sz w:val="20"/>
                <w:szCs w:val="20"/>
                <w:lang w:val="bg-BG"/>
              </w:rPr>
            </w:pPr>
            <w:r w:rsidRPr="00CD3FE8">
              <w:rPr>
                <w:rFonts w:ascii="Arial Narrow" w:hAnsi="Arial Narrow" w:cs="Arial"/>
                <w:sz w:val="20"/>
                <w:szCs w:val="20"/>
                <w:lang w:val="bg-BG"/>
              </w:rPr>
              <w:t>5 391</w:t>
            </w:r>
          </w:p>
        </w:tc>
        <w:tc>
          <w:tcPr>
            <w:tcW w:w="511" w:type="pct"/>
            <w:tcBorders>
              <w:top w:val="nil"/>
              <w:left w:val="nil"/>
              <w:bottom w:val="single" w:sz="4" w:space="0" w:color="auto"/>
              <w:right w:val="single" w:sz="4" w:space="0" w:color="auto"/>
            </w:tcBorders>
            <w:shd w:val="clear" w:color="000000" w:fill="FFFFFF"/>
            <w:vAlign w:val="center"/>
            <w:hideMark/>
          </w:tcPr>
          <w:p w14:paraId="57DEA759" w14:textId="77777777" w:rsidR="00CD3FE8" w:rsidRPr="00CD3FE8" w:rsidRDefault="00CD3FE8" w:rsidP="00CD3FE8">
            <w:pPr>
              <w:jc w:val="right"/>
              <w:rPr>
                <w:rFonts w:ascii="Arial Narrow" w:hAnsi="Arial Narrow" w:cs="Arial"/>
                <w:sz w:val="20"/>
                <w:szCs w:val="20"/>
                <w:lang w:val="bg-BG"/>
              </w:rPr>
            </w:pPr>
            <w:r w:rsidRPr="00CD3FE8">
              <w:rPr>
                <w:rFonts w:ascii="Arial Narrow" w:hAnsi="Arial Narrow" w:cs="Arial"/>
                <w:sz w:val="20"/>
                <w:szCs w:val="20"/>
                <w:lang w:val="bg-BG"/>
              </w:rPr>
              <w:t>647</w:t>
            </w:r>
          </w:p>
        </w:tc>
        <w:tc>
          <w:tcPr>
            <w:tcW w:w="511" w:type="pct"/>
            <w:tcBorders>
              <w:top w:val="nil"/>
              <w:left w:val="nil"/>
              <w:bottom w:val="single" w:sz="4" w:space="0" w:color="auto"/>
              <w:right w:val="single" w:sz="4" w:space="0" w:color="auto"/>
            </w:tcBorders>
            <w:shd w:val="clear" w:color="000000" w:fill="FFFFFF"/>
            <w:noWrap/>
            <w:vAlign w:val="center"/>
            <w:hideMark/>
          </w:tcPr>
          <w:p w14:paraId="13C6DEFF" w14:textId="77777777" w:rsidR="00CD3FE8" w:rsidRPr="00CD3FE8" w:rsidRDefault="00CD3FE8" w:rsidP="00CD3FE8">
            <w:pPr>
              <w:jc w:val="right"/>
              <w:rPr>
                <w:rFonts w:ascii="Arial Narrow" w:hAnsi="Arial Narrow" w:cs="Arial"/>
                <w:sz w:val="20"/>
                <w:szCs w:val="20"/>
                <w:lang w:val="bg-BG"/>
              </w:rPr>
            </w:pPr>
            <w:r w:rsidRPr="00CD3FE8">
              <w:rPr>
                <w:rFonts w:ascii="Arial Narrow" w:hAnsi="Arial Narrow" w:cs="Arial"/>
                <w:sz w:val="20"/>
                <w:szCs w:val="20"/>
                <w:lang w:val="bg-BG"/>
              </w:rPr>
              <w:t>542</w:t>
            </w:r>
          </w:p>
        </w:tc>
        <w:tc>
          <w:tcPr>
            <w:tcW w:w="511" w:type="pct"/>
            <w:tcBorders>
              <w:top w:val="nil"/>
              <w:left w:val="nil"/>
              <w:bottom w:val="single" w:sz="4" w:space="0" w:color="auto"/>
              <w:right w:val="single" w:sz="4" w:space="0" w:color="auto"/>
            </w:tcBorders>
            <w:shd w:val="clear" w:color="000000" w:fill="FFFFFF"/>
            <w:vAlign w:val="center"/>
            <w:hideMark/>
          </w:tcPr>
          <w:p w14:paraId="4F65920F" w14:textId="77777777" w:rsidR="00CD3FE8" w:rsidRPr="00CD3FE8" w:rsidRDefault="00CD3FE8" w:rsidP="00CD3FE8">
            <w:pPr>
              <w:jc w:val="right"/>
              <w:rPr>
                <w:rFonts w:ascii="Arial Narrow" w:hAnsi="Arial Narrow" w:cs="Arial"/>
                <w:sz w:val="20"/>
                <w:szCs w:val="20"/>
                <w:lang w:val="bg-BG"/>
              </w:rPr>
            </w:pPr>
            <w:r w:rsidRPr="00CD3FE8">
              <w:rPr>
                <w:rFonts w:ascii="Arial Narrow" w:hAnsi="Arial Narrow" w:cs="Arial"/>
                <w:sz w:val="20"/>
                <w:szCs w:val="20"/>
                <w:lang w:val="bg-BG"/>
              </w:rPr>
              <w:t>10 312</w:t>
            </w:r>
          </w:p>
        </w:tc>
        <w:tc>
          <w:tcPr>
            <w:tcW w:w="438" w:type="pct"/>
            <w:tcBorders>
              <w:top w:val="nil"/>
              <w:left w:val="nil"/>
              <w:bottom w:val="single" w:sz="4" w:space="0" w:color="auto"/>
              <w:right w:val="single" w:sz="4" w:space="0" w:color="auto"/>
            </w:tcBorders>
            <w:shd w:val="clear" w:color="000000" w:fill="FFFFFF"/>
            <w:noWrap/>
            <w:vAlign w:val="center"/>
            <w:hideMark/>
          </w:tcPr>
          <w:p w14:paraId="06A136D9" w14:textId="77777777" w:rsidR="00CD3FE8" w:rsidRPr="00CD3FE8" w:rsidRDefault="00CD3FE8" w:rsidP="00CD3FE8">
            <w:pPr>
              <w:jc w:val="right"/>
              <w:rPr>
                <w:rFonts w:ascii="Arial Narrow" w:hAnsi="Arial Narrow" w:cs="Arial"/>
                <w:sz w:val="20"/>
                <w:szCs w:val="20"/>
                <w:lang w:val="bg-BG"/>
              </w:rPr>
            </w:pPr>
            <w:r w:rsidRPr="00CD3FE8">
              <w:rPr>
                <w:rFonts w:ascii="Arial Narrow" w:hAnsi="Arial Narrow" w:cs="Arial"/>
                <w:sz w:val="20"/>
                <w:szCs w:val="20"/>
                <w:lang w:val="bg-BG"/>
              </w:rPr>
              <w:t>9 979</w:t>
            </w:r>
          </w:p>
        </w:tc>
      </w:tr>
      <w:tr w:rsidR="00CD3FE8" w:rsidRPr="00CD3FE8" w14:paraId="3C41BE73" w14:textId="77777777" w:rsidTr="00CD3FE8">
        <w:trPr>
          <w:trHeight w:val="346"/>
        </w:trPr>
        <w:tc>
          <w:tcPr>
            <w:tcW w:w="986" w:type="pct"/>
            <w:tcBorders>
              <w:top w:val="nil"/>
              <w:left w:val="single" w:sz="4" w:space="0" w:color="auto"/>
              <w:bottom w:val="single" w:sz="4" w:space="0" w:color="auto"/>
              <w:right w:val="single" w:sz="4" w:space="0" w:color="auto"/>
            </w:tcBorders>
            <w:shd w:val="clear" w:color="000000" w:fill="FFFFFF"/>
            <w:vAlign w:val="center"/>
            <w:hideMark/>
          </w:tcPr>
          <w:p w14:paraId="3566D971" w14:textId="77777777" w:rsidR="00CD3FE8" w:rsidRPr="00CD3FE8" w:rsidRDefault="00CD3FE8" w:rsidP="00CD3FE8">
            <w:pPr>
              <w:rPr>
                <w:rFonts w:ascii="Arial Narrow" w:hAnsi="Arial Narrow" w:cs="Arial"/>
                <w:sz w:val="20"/>
                <w:szCs w:val="20"/>
                <w:lang w:val="bg-BG"/>
              </w:rPr>
            </w:pPr>
            <w:r w:rsidRPr="00CD3FE8">
              <w:rPr>
                <w:rFonts w:ascii="Arial Narrow" w:hAnsi="Arial Narrow" w:cs="Arial"/>
                <w:sz w:val="20"/>
                <w:szCs w:val="20"/>
                <w:lang w:val="bg-BG"/>
              </w:rPr>
              <w:t>Югозападен</w:t>
            </w:r>
          </w:p>
        </w:tc>
        <w:tc>
          <w:tcPr>
            <w:tcW w:w="510" w:type="pct"/>
            <w:tcBorders>
              <w:top w:val="nil"/>
              <w:left w:val="nil"/>
              <w:bottom w:val="single" w:sz="4" w:space="0" w:color="auto"/>
              <w:right w:val="single" w:sz="4" w:space="0" w:color="auto"/>
            </w:tcBorders>
            <w:shd w:val="clear" w:color="000000" w:fill="FFFFFF"/>
            <w:vAlign w:val="center"/>
            <w:hideMark/>
          </w:tcPr>
          <w:p w14:paraId="45B0811E" w14:textId="77777777" w:rsidR="00CD3FE8" w:rsidRPr="00CD3FE8" w:rsidRDefault="00CD3FE8" w:rsidP="00CD3FE8">
            <w:pPr>
              <w:jc w:val="right"/>
              <w:rPr>
                <w:rFonts w:ascii="Arial Narrow" w:hAnsi="Arial Narrow" w:cs="Arial"/>
                <w:sz w:val="20"/>
                <w:szCs w:val="20"/>
                <w:lang w:val="bg-BG"/>
              </w:rPr>
            </w:pPr>
            <w:r w:rsidRPr="00CD3FE8">
              <w:rPr>
                <w:rFonts w:ascii="Arial Narrow" w:hAnsi="Arial Narrow" w:cs="Arial"/>
                <w:sz w:val="20"/>
                <w:szCs w:val="20"/>
                <w:lang w:val="bg-BG"/>
              </w:rPr>
              <w:t>1 717</w:t>
            </w:r>
          </w:p>
        </w:tc>
        <w:tc>
          <w:tcPr>
            <w:tcW w:w="510" w:type="pct"/>
            <w:tcBorders>
              <w:top w:val="nil"/>
              <w:left w:val="nil"/>
              <w:bottom w:val="single" w:sz="4" w:space="0" w:color="auto"/>
              <w:right w:val="single" w:sz="4" w:space="0" w:color="auto"/>
            </w:tcBorders>
            <w:shd w:val="clear" w:color="000000" w:fill="FFFFFF"/>
            <w:noWrap/>
            <w:vAlign w:val="center"/>
            <w:hideMark/>
          </w:tcPr>
          <w:p w14:paraId="1F56372A" w14:textId="77777777" w:rsidR="00CD3FE8" w:rsidRPr="00CD3FE8" w:rsidRDefault="00CD3FE8" w:rsidP="00CD3FE8">
            <w:pPr>
              <w:jc w:val="right"/>
              <w:rPr>
                <w:rFonts w:ascii="Arial Narrow" w:hAnsi="Arial Narrow" w:cs="Arial"/>
                <w:sz w:val="20"/>
                <w:szCs w:val="20"/>
                <w:lang w:val="bg-BG"/>
              </w:rPr>
            </w:pPr>
            <w:r w:rsidRPr="00CD3FE8">
              <w:rPr>
                <w:rFonts w:ascii="Arial Narrow" w:hAnsi="Arial Narrow" w:cs="Arial"/>
                <w:sz w:val="20"/>
                <w:szCs w:val="20"/>
                <w:lang w:val="bg-BG"/>
              </w:rPr>
              <w:t>1 777</w:t>
            </w:r>
          </w:p>
        </w:tc>
        <w:tc>
          <w:tcPr>
            <w:tcW w:w="511" w:type="pct"/>
            <w:tcBorders>
              <w:top w:val="nil"/>
              <w:left w:val="nil"/>
              <w:bottom w:val="single" w:sz="4" w:space="0" w:color="auto"/>
              <w:right w:val="single" w:sz="4" w:space="0" w:color="auto"/>
            </w:tcBorders>
            <w:shd w:val="clear" w:color="000000" w:fill="FFFFFF"/>
            <w:vAlign w:val="center"/>
            <w:hideMark/>
          </w:tcPr>
          <w:p w14:paraId="498F02E0" w14:textId="77777777" w:rsidR="00CD3FE8" w:rsidRPr="00CD3FE8" w:rsidRDefault="00CD3FE8" w:rsidP="00CD3FE8">
            <w:pPr>
              <w:jc w:val="right"/>
              <w:rPr>
                <w:rFonts w:ascii="Arial Narrow" w:hAnsi="Arial Narrow" w:cs="Arial"/>
                <w:sz w:val="20"/>
                <w:szCs w:val="20"/>
                <w:lang w:val="bg-BG"/>
              </w:rPr>
            </w:pPr>
            <w:r w:rsidRPr="00CD3FE8">
              <w:rPr>
                <w:rFonts w:ascii="Arial Narrow" w:hAnsi="Arial Narrow" w:cs="Arial"/>
                <w:sz w:val="20"/>
                <w:szCs w:val="20"/>
                <w:lang w:val="bg-BG"/>
              </w:rPr>
              <w:t>169</w:t>
            </w:r>
          </w:p>
        </w:tc>
        <w:tc>
          <w:tcPr>
            <w:tcW w:w="511" w:type="pct"/>
            <w:tcBorders>
              <w:top w:val="nil"/>
              <w:left w:val="nil"/>
              <w:bottom w:val="single" w:sz="4" w:space="0" w:color="auto"/>
              <w:right w:val="single" w:sz="4" w:space="0" w:color="auto"/>
            </w:tcBorders>
            <w:shd w:val="clear" w:color="000000" w:fill="FFFFFF"/>
            <w:noWrap/>
            <w:vAlign w:val="center"/>
            <w:hideMark/>
          </w:tcPr>
          <w:p w14:paraId="0E6E2332" w14:textId="77777777" w:rsidR="00CD3FE8" w:rsidRPr="00CD3FE8" w:rsidRDefault="00CD3FE8" w:rsidP="00CD3FE8">
            <w:pPr>
              <w:jc w:val="right"/>
              <w:rPr>
                <w:rFonts w:ascii="Arial Narrow" w:hAnsi="Arial Narrow" w:cs="Arial"/>
                <w:sz w:val="20"/>
                <w:szCs w:val="20"/>
                <w:lang w:val="bg-BG"/>
              </w:rPr>
            </w:pPr>
            <w:r w:rsidRPr="00CD3FE8">
              <w:rPr>
                <w:rFonts w:ascii="Arial Narrow" w:hAnsi="Arial Narrow" w:cs="Arial"/>
                <w:sz w:val="20"/>
                <w:szCs w:val="20"/>
                <w:lang w:val="bg-BG"/>
              </w:rPr>
              <w:t>185</w:t>
            </w:r>
          </w:p>
        </w:tc>
        <w:tc>
          <w:tcPr>
            <w:tcW w:w="511" w:type="pct"/>
            <w:tcBorders>
              <w:top w:val="nil"/>
              <w:left w:val="nil"/>
              <w:bottom w:val="single" w:sz="4" w:space="0" w:color="auto"/>
              <w:right w:val="single" w:sz="4" w:space="0" w:color="auto"/>
            </w:tcBorders>
            <w:shd w:val="clear" w:color="000000" w:fill="FFFFFF"/>
            <w:vAlign w:val="center"/>
            <w:hideMark/>
          </w:tcPr>
          <w:p w14:paraId="3248E425" w14:textId="77777777" w:rsidR="00CD3FE8" w:rsidRPr="00CD3FE8" w:rsidRDefault="00CD3FE8" w:rsidP="00CD3FE8">
            <w:pPr>
              <w:jc w:val="right"/>
              <w:rPr>
                <w:rFonts w:ascii="Arial Narrow" w:hAnsi="Arial Narrow" w:cs="Arial"/>
                <w:sz w:val="20"/>
                <w:szCs w:val="20"/>
                <w:lang w:val="bg-BG"/>
              </w:rPr>
            </w:pPr>
            <w:r w:rsidRPr="00CD3FE8">
              <w:rPr>
                <w:rFonts w:ascii="Arial Narrow" w:hAnsi="Arial Narrow" w:cs="Arial"/>
                <w:sz w:val="20"/>
                <w:szCs w:val="20"/>
                <w:lang w:val="bg-BG"/>
              </w:rPr>
              <w:t>127</w:t>
            </w:r>
          </w:p>
        </w:tc>
        <w:tc>
          <w:tcPr>
            <w:tcW w:w="511" w:type="pct"/>
            <w:tcBorders>
              <w:top w:val="nil"/>
              <w:left w:val="nil"/>
              <w:bottom w:val="single" w:sz="4" w:space="0" w:color="auto"/>
              <w:right w:val="single" w:sz="4" w:space="0" w:color="auto"/>
            </w:tcBorders>
            <w:shd w:val="clear" w:color="000000" w:fill="FFFFFF"/>
            <w:noWrap/>
            <w:vAlign w:val="center"/>
            <w:hideMark/>
          </w:tcPr>
          <w:p w14:paraId="31653503" w14:textId="77777777" w:rsidR="00CD3FE8" w:rsidRPr="00CD3FE8" w:rsidRDefault="00CD3FE8" w:rsidP="00CD3FE8">
            <w:pPr>
              <w:jc w:val="right"/>
              <w:rPr>
                <w:rFonts w:ascii="Arial Narrow" w:hAnsi="Arial Narrow" w:cs="Arial"/>
                <w:sz w:val="20"/>
                <w:szCs w:val="20"/>
                <w:lang w:val="bg-BG"/>
              </w:rPr>
            </w:pPr>
            <w:r w:rsidRPr="00CD3FE8">
              <w:rPr>
                <w:rFonts w:ascii="Arial Narrow" w:hAnsi="Arial Narrow" w:cs="Arial"/>
                <w:sz w:val="20"/>
                <w:szCs w:val="20"/>
                <w:lang w:val="bg-BG"/>
              </w:rPr>
              <w:t>133</w:t>
            </w:r>
          </w:p>
        </w:tc>
        <w:tc>
          <w:tcPr>
            <w:tcW w:w="511" w:type="pct"/>
            <w:tcBorders>
              <w:top w:val="nil"/>
              <w:left w:val="nil"/>
              <w:bottom w:val="single" w:sz="4" w:space="0" w:color="auto"/>
              <w:right w:val="single" w:sz="4" w:space="0" w:color="auto"/>
            </w:tcBorders>
            <w:shd w:val="clear" w:color="000000" w:fill="FFFFFF"/>
            <w:vAlign w:val="center"/>
            <w:hideMark/>
          </w:tcPr>
          <w:p w14:paraId="12AF7834" w14:textId="77777777" w:rsidR="00CD3FE8" w:rsidRPr="00CD3FE8" w:rsidRDefault="00CD3FE8" w:rsidP="00CD3FE8">
            <w:pPr>
              <w:jc w:val="right"/>
              <w:rPr>
                <w:rFonts w:ascii="Arial Narrow" w:hAnsi="Arial Narrow" w:cs="Arial"/>
                <w:sz w:val="20"/>
                <w:szCs w:val="20"/>
                <w:lang w:val="bg-BG"/>
              </w:rPr>
            </w:pPr>
            <w:r w:rsidRPr="00CD3FE8">
              <w:rPr>
                <w:rFonts w:ascii="Arial Narrow" w:hAnsi="Arial Narrow" w:cs="Arial"/>
                <w:sz w:val="20"/>
                <w:szCs w:val="20"/>
                <w:lang w:val="bg-BG"/>
              </w:rPr>
              <w:t>2 013</w:t>
            </w:r>
          </w:p>
        </w:tc>
        <w:tc>
          <w:tcPr>
            <w:tcW w:w="438" w:type="pct"/>
            <w:tcBorders>
              <w:top w:val="nil"/>
              <w:left w:val="nil"/>
              <w:bottom w:val="single" w:sz="4" w:space="0" w:color="auto"/>
              <w:right w:val="single" w:sz="4" w:space="0" w:color="auto"/>
            </w:tcBorders>
            <w:shd w:val="clear" w:color="000000" w:fill="FFFFFF"/>
            <w:noWrap/>
            <w:vAlign w:val="center"/>
            <w:hideMark/>
          </w:tcPr>
          <w:p w14:paraId="70A31AA2" w14:textId="77777777" w:rsidR="00CD3FE8" w:rsidRPr="00CD3FE8" w:rsidRDefault="00CD3FE8" w:rsidP="00CD3FE8">
            <w:pPr>
              <w:jc w:val="right"/>
              <w:rPr>
                <w:rFonts w:ascii="Arial Narrow" w:hAnsi="Arial Narrow" w:cs="Arial"/>
                <w:sz w:val="20"/>
                <w:szCs w:val="20"/>
                <w:lang w:val="bg-BG"/>
              </w:rPr>
            </w:pPr>
            <w:r w:rsidRPr="00CD3FE8">
              <w:rPr>
                <w:rFonts w:ascii="Arial Narrow" w:hAnsi="Arial Narrow" w:cs="Arial"/>
                <w:sz w:val="20"/>
                <w:szCs w:val="20"/>
                <w:lang w:val="bg-BG"/>
              </w:rPr>
              <w:t>2 095</w:t>
            </w:r>
          </w:p>
        </w:tc>
      </w:tr>
      <w:tr w:rsidR="00CD3FE8" w:rsidRPr="00CD3FE8" w14:paraId="02DD5093" w14:textId="77777777" w:rsidTr="00CD3FE8">
        <w:trPr>
          <w:trHeight w:val="346"/>
        </w:trPr>
        <w:tc>
          <w:tcPr>
            <w:tcW w:w="986" w:type="pct"/>
            <w:tcBorders>
              <w:top w:val="nil"/>
              <w:left w:val="single" w:sz="4" w:space="0" w:color="auto"/>
              <w:bottom w:val="single" w:sz="4" w:space="0" w:color="auto"/>
              <w:right w:val="single" w:sz="4" w:space="0" w:color="auto"/>
            </w:tcBorders>
            <w:shd w:val="clear" w:color="auto" w:fill="auto"/>
            <w:vAlign w:val="center"/>
            <w:hideMark/>
          </w:tcPr>
          <w:p w14:paraId="41341686" w14:textId="77777777" w:rsidR="00CD3FE8" w:rsidRPr="00CD3FE8" w:rsidRDefault="00CD3FE8" w:rsidP="00CD3FE8">
            <w:pPr>
              <w:rPr>
                <w:rFonts w:ascii="Arial Narrow" w:hAnsi="Arial Narrow" w:cs="Arial"/>
                <w:sz w:val="20"/>
                <w:szCs w:val="20"/>
                <w:lang w:val="bg-BG"/>
              </w:rPr>
            </w:pPr>
            <w:r w:rsidRPr="00CD3FE8">
              <w:rPr>
                <w:rFonts w:ascii="Arial Narrow" w:hAnsi="Arial Narrow" w:cs="Arial"/>
                <w:sz w:val="20"/>
                <w:szCs w:val="20"/>
                <w:lang w:val="bg-BG"/>
              </w:rPr>
              <w:t>Южен централен</w:t>
            </w:r>
          </w:p>
        </w:tc>
        <w:tc>
          <w:tcPr>
            <w:tcW w:w="510" w:type="pct"/>
            <w:tcBorders>
              <w:top w:val="nil"/>
              <w:left w:val="nil"/>
              <w:bottom w:val="single" w:sz="4" w:space="0" w:color="auto"/>
              <w:right w:val="single" w:sz="4" w:space="0" w:color="auto"/>
            </w:tcBorders>
            <w:shd w:val="clear" w:color="000000" w:fill="FFFFFF"/>
            <w:vAlign w:val="center"/>
            <w:hideMark/>
          </w:tcPr>
          <w:p w14:paraId="0650D6DE" w14:textId="77777777" w:rsidR="00CD3FE8" w:rsidRPr="00CD3FE8" w:rsidRDefault="00CD3FE8" w:rsidP="00CD3FE8">
            <w:pPr>
              <w:jc w:val="right"/>
              <w:rPr>
                <w:rFonts w:ascii="Arial Narrow" w:hAnsi="Arial Narrow" w:cs="Arial"/>
                <w:sz w:val="20"/>
                <w:szCs w:val="20"/>
                <w:lang w:val="bg-BG"/>
              </w:rPr>
            </w:pPr>
            <w:r w:rsidRPr="00CD3FE8">
              <w:rPr>
                <w:rFonts w:ascii="Arial Narrow" w:hAnsi="Arial Narrow" w:cs="Arial"/>
                <w:sz w:val="20"/>
                <w:szCs w:val="20"/>
                <w:lang w:val="bg-BG"/>
              </w:rPr>
              <w:t>7 728</w:t>
            </w:r>
          </w:p>
        </w:tc>
        <w:tc>
          <w:tcPr>
            <w:tcW w:w="510" w:type="pct"/>
            <w:tcBorders>
              <w:top w:val="nil"/>
              <w:left w:val="nil"/>
              <w:bottom w:val="single" w:sz="4" w:space="0" w:color="auto"/>
              <w:right w:val="single" w:sz="4" w:space="0" w:color="auto"/>
            </w:tcBorders>
            <w:shd w:val="clear" w:color="000000" w:fill="FFFFFF"/>
            <w:noWrap/>
            <w:vAlign w:val="center"/>
            <w:hideMark/>
          </w:tcPr>
          <w:p w14:paraId="664FC15D" w14:textId="77777777" w:rsidR="00CD3FE8" w:rsidRPr="00CD3FE8" w:rsidRDefault="00CD3FE8" w:rsidP="00CD3FE8">
            <w:pPr>
              <w:jc w:val="right"/>
              <w:rPr>
                <w:rFonts w:ascii="Arial Narrow" w:hAnsi="Arial Narrow" w:cs="Arial"/>
                <w:sz w:val="20"/>
                <w:szCs w:val="20"/>
                <w:lang w:val="bg-BG"/>
              </w:rPr>
            </w:pPr>
            <w:r w:rsidRPr="00CD3FE8">
              <w:rPr>
                <w:rFonts w:ascii="Arial Narrow" w:hAnsi="Arial Narrow" w:cs="Arial"/>
                <w:sz w:val="20"/>
                <w:szCs w:val="20"/>
                <w:lang w:val="bg-BG"/>
              </w:rPr>
              <w:t>7 489</w:t>
            </w:r>
          </w:p>
        </w:tc>
        <w:tc>
          <w:tcPr>
            <w:tcW w:w="511" w:type="pct"/>
            <w:tcBorders>
              <w:top w:val="nil"/>
              <w:left w:val="nil"/>
              <w:bottom w:val="single" w:sz="4" w:space="0" w:color="auto"/>
              <w:right w:val="single" w:sz="4" w:space="0" w:color="auto"/>
            </w:tcBorders>
            <w:shd w:val="clear" w:color="000000" w:fill="FFFFFF"/>
            <w:vAlign w:val="center"/>
            <w:hideMark/>
          </w:tcPr>
          <w:p w14:paraId="1CB9E7E7" w14:textId="77777777" w:rsidR="00CD3FE8" w:rsidRPr="00CD3FE8" w:rsidRDefault="00CD3FE8" w:rsidP="00CD3FE8">
            <w:pPr>
              <w:jc w:val="right"/>
              <w:rPr>
                <w:rFonts w:ascii="Arial Narrow" w:hAnsi="Arial Narrow" w:cs="Arial"/>
                <w:sz w:val="20"/>
                <w:szCs w:val="20"/>
                <w:lang w:val="bg-BG"/>
              </w:rPr>
            </w:pPr>
            <w:r w:rsidRPr="00CD3FE8">
              <w:rPr>
                <w:rFonts w:ascii="Arial Narrow" w:hAnsi="Arial Narrow" w:cs="Arial"/>
                <w:sz w:val="20"/>
                <w:szCs w:val="20"/>
                <w:lang w:val="bg-BG"/>
              </w:rPr>
              <w:t>1 574</w:t>
            </w:r>
          </w:p>
        </w:tc>
        <w:tc>
          <w:tcPr>
            <w:tcW w:w="511" w:type="pct"/>
            <w:tcBorders>
              <w:top w:val="nil"/>
              <w:left w:val="nil"/>
              <w:bottom w:val="single" w:sz="4" w:space="0" w:color="auto"/>
              <w:right w:val="single" w:sz="4" w:space="0" w:color="auto"/>
            </w:tcBorders>
            <w:shd w:val="clear" w:color="000000" w:fill="FFFFFF"/>
            <w:noWrap/>
            <w:vAlign w:val="center"/>
            <w:hideMark/>
          </w:tcPr>
          <w:p w14:paraId="2302379A" w14:textId="77777777" w:rsidR="00CD3FE8" w:rsidRPr="00CD3FE8" w:rsidRDefault="00CD3FE8" w:rsidP="00CD3FE8">
            <w:pPr>
              <w:jc w:val="right"/>
              <w:rPr>
                <w:rFonts w:ascii="Arial Narrow" w:hAnsi="Arial Narrow" w:cs="Arial"/>
                <w:sz w:val="20"/>
                <w:szCs w:val="20"/>
                <w:lang w:val="bg-BG"/>
              </w:rPr>
            </w:pPr>
            <w:r w:rsidRPr="00CD3FE8">
              <w:rPr>
                <w:rFonts w:ascii="Arial Narrow" w:hAnsi="Arial Narrow" w:cs="Arial"/>
                <w:sz w:val="20"/>
                <w:szCs w:val="20"/>
                <w:lang w:val="bg-BG"/>
              </w:rPr>
              <w:t>1 574</w:t>
            </w:r>
          </w:p>
        </w:tc>
        <w:tc>
          <w:tcPr>
            <w:tcW w:w="511" w:type="pct"/>
            <w:tcBorders>
              <w:top w:val="nil"/>
              <w:left w:val="nil"/>
              <w:bottom w:val="single" w:sz="4" w:space="0" w:color="auto"/>
              <w:right w:val="single" w:sz="4" w:space="0" w:color="auto"/>
            </w:tcBorders>
            <w:shd w:val="clear" w:color="000000" w:fill="FFFFFF"/>
            <w:vAlign w:val="center"/>
            <w:hideMark/>
          </w:tcPr>
          <w:p w14:paraId="271BC8A4" w14:textId="77777777" w:rsidR="00CD3FE8" w:rsidRPr="00CD3FE8" w:rsidRDefault="00CD3FE8" w:rsidP="00CD3FE8">
            <w:pPr>
              <w:jc w:val="right"/>
              <w:rPr>
                <w:rFonts w:ascii="Arial Narrow" w:hAnsi="Arial Narrow" w:cs="Arial"/>
                <w:sz w:val="20"/>
                <w:szCs w:val="20"/>
                <w:lang w:val="bg-BG"/>
              </w:rPr>
            </w:pPr>
            <w:r w:rsidRPr="00CD3FE8">
              <w:rPr>
                <w:rFonts w:ascii="Arial Narrow" w:hAnsi="Arial Narrow" w:cs="Arial"/>
                <w:sz w:val="20"/>
                <w:szCs w:val="20"/>
                <w:lang w:val="bg-BG"/>
              </w:rPr>
              <w:t>1 221</w:t>
            </w:r>
          </w:p>
        </w:tc>
        <w:tc>
          <w:tcPr>
            <w:tcW w:w="511" w:type="pct"/>
            <w:tcBorders>
              <w:top w:val="nil"/>
              <w:left w:val="nil"/>
              <w:bottom w:val="single" w:sz="4" w:space="0" w:color="auto"/>
              <w:right w:val="single" w:sz="4" w:space="0" w:color="auto"/>
            </w:tcBorders>
            <w:shd w:val="clear" w:color="000000" w:fill="FFFFFF"/>
            <w:noWrap/>
            <w:vAlign w:val="center"/>
            <w:hideMark/>
          </w:tcPr>
          <w:p w14:paraId="6FED102B" w14:textId="77777777" w:rsidR="00CD3FE8" w:rsidRPr="00CD3FE8" w:rsidRDefault="00CD3FE8" w:rsidP="00CD3FE8">
            <w:pPr>
              <w:jc w:val="right"/>
              <w:rPr>
                <w:rFonts w:ascii="Arial Narrow" w:hAnsi="Arial Narrow" w:cs="Arial"/>
                <w:sz w:val="20"/>
                <w:szCs w:val="20"/>
                <w:lang w:val="bg-BG"/>
              </w:rPr>
            </w:pPr>
            <w:r w:rsidRPr="00CD3FE8">
              <w:rPr>
                <w:rFonts w:ascii="Arial Narrow" w:hAnsi="Arial Narrow" w:cs="Arial"/>
                <w:sz w:val="20"/>
                <w:szCs w:val="20"/>
                <w:lang w:val="bg-BG"/>
              </w:rPr>
              <w:t>1 233</w:t>
            </w:r>
          </w:p>
        </w:tc>
        <w:tc>
          <w:tcPr>
            <w:tcW w:w="511" w:type="pct"/>
            <w:tcBorders>
              <w:top w:val="nil"/>
              <w:left w:val="nil"/>
              <w:bottom w:val="single" w:sz="4" w:space="0" w:color="auto"/>
              <w:right w:val="single" w:sz="4" w:space="0" w:color="auto"/>
            </w:tcBorders>
            <w:shd w:val="clear" w:color="000000" w:fill="FFFFFF"/>
            <w:vAlign w:val="center"/>
            <w:hideMark/>
          </w:tcPr>
          <w:p w14:paraId="74924498" w14:textId="77777777" w:rsidR="00CD3FE8" w:rsidRPr="00CD3FE8" w:rsidRDefault="00CD3FE8" w:rsidP="00CD3FE8">
            <w:pPr>
              <w:jc w:val="right"/>
              <w:rPr>
                <w:rFonts w:ascii="Arial Narrow" w:hAnsi="Arial Narrow" w:cs="Arial"/>
                <w:sz w:val="20"/>
                <w:szCs w:val="20"/>
                <w:lang w:val="bg-BG"/>
              </w:rPr>
            </w:pPr>
            <w:r w:rsidRPr="00CD3FE8">
              <w:rPr>
                <w:rFonts w:ascii="Arial Narrow" w:hAnsi="Arial Narrow" w:cs="Arial"/>
                <w:sz w:val="20"/>
                <w:szCs w:val="20"/>
                <w:lang w:val="bg-BG"/>
              </w:rPr>
              <w:t>10 523</w:t>
            </w:r>
          </w:p>
        </w:tc>
        <w:tc>
          <w:tcPr>
            <w:tcW w:w="438" w:type="pct"/>
            <w:tcBorders>
              <w:top w:val="nil"/>
              <w:left w:val="nil"/>
              <w:bottom w:val="single" w:sz="4" w:space="0" w:color="auto"/>
              <w:right w:val="single" w:sz="4" w:space="0" w:color="auto"/>
            </w:tcBorders>
            <w:shd w:val="clear" w:color="000000" w:fill="FFFFFF"/>
            <w:noWrap/>
            <w:vAlign w:val="center"/>
            <w:hideMark/>
          </w:tcPr>
          <w:p w14:paraId="2A5E688A" w14:textId="77777777" w:rsidR="00CD3FE8" w:rsidRPr="00CD3FE8" w:rsidRDefault="00CD3FE8" w:rsidP="00CD3FE8">
            <w:pPr>
              <w:jc w:val="right"/>
              <w:rPr>
                <w:rFonts w:ascii="Arial Narrow" w:hAnsi="Arial Narrow" w:cs="Arial"/>
                <w:sz w:val="20"/>
                <w:szCs w:val="20"/>
                <w:lang w:val="bg-BG"/>
              </w:rPr>
            </w:pPr>
            <w:r w:rsidRPr="00CD3FE8">
              <w:rPr>
                <w:rFonts w:ascii="Arial Narrow" w:hAnsi="Arial Narrow" w:cs="Arial"/>
                <w:sz w:val="20"/>
                <w:szCs w:val="20"/>
                <w:lang w:val="bg-BG"/>
              </w:rPr>
              <w:t>10 296</w:t>
            </w:r>
          </w:p>
        </w:tc>
      </w:tr>
      <w:tr w:rsidR="00CD3FE8" w:rsidRPr="00CD3FE8" w14:paraId="0655E73C" w14:textId="77777777" w:rsidTr="00CD3FE8">
        <w:trPr>
          <w:trHeight w:val="346"/>
        </w:trPr>
        <w:tc>
          <w:tcPr>
            <w:tcW w:w="986" w:type="pct"/>
            <w:tcBorders>
              <w:top w:val="nil"/>
              <w:left w:val="single" w:sz="4" w:space="0" w:color="auto"/>
              <w:bottom w:val="single" w:sz="4" w:space="0" w:color="auto"/>
              <w:right w:val="single" w:sz="4" w:space="0" w:color="auto"/>
            </w:tcBorders>
            <w:shd w:val="clear" w:color="000000" w:fill="FFFFFF"/>
            <w:vAlign w:val="center"/>
            <w:hideMark/>
          </w:tcPr>
          <w:p w14:paraId="7F68D417" w14:textId="77777777" w:rsidR="00CD3FE8" w:rsidRPr="00CD3FE8" w:rsidRDefault="00CD3FE8" w:rsidP="00CD3FE8">
            <w:pPr>
              <w:rPr>
                <w:rFonts w:ascii="Arial Narrow" w:hAnsi="Arial Narrow" w:cs="Arial"/>
                <w:b/>
                <w:bCs/>
                <w:sz w:val="20"/>
                <w:szCs w:val="20"/>
                <w:lang w:val="bg-BG"/>
              </w:rPr>
            </w:pPr>
            <w:r w:rsidRPr="00CD3FE8">
              <w:rPr>
                <w:rFonts w:ascii="Arial Narrow" w:hAnsi="Arial Narrow" w:cs="Arial"/>
                <w:b/>
                <w:bCs/>
                <w:sz w:val="20"/>
                <w:szCs w:val="20"/>
                <w:lang w:val="bg-BG"/>
              </w:rPr>
              <w:t>Общо</w:t>
            </w:r>
          </w:p>
        </w:tc>
        <w:tc>
          <w:tcPr>
            <w:tcW w:w="510" w:type="pct"/>
            <w:tcBorders>
              <w:top w:val="nil"/>
              <w:left w:val="nil"/>
              <w:bottom w:val="single" w:sz="4" w:space="0" w:color="auto"/>
              <w:right w:val="single" w:sz="4" w:space="0" w:color="auto"/>
            </w:tcBorders>
            <w:shd w:val="clear" w:color="000000" w:fill="FFFFFF"/>
            <w:vAlign w:val="center"/>
            <w:hideMark/>
          </w:tcPr>
          <w:p w14:paraId="739D7B81" w14:textId="77777777" w:rsidR="00CD3FE8" w:rsidRPr="00CD3FE8" w:rsidRDefault="00CD3FE8" w:rsidP="00CD3FE8">
            <w:pPr>
              <w:jc w:val="right"/>
              <w:rPr>
                <w:rFonts w:ascii="Arial Narrow" w:hAnsi="Arial Narrow" w:cs="Arial"/>
                <w:b/>
                <w:bCs/>
                <w:sz w:val="20"/>
                <w:szCs w:val="20"/>
                <w:lang w:val="bg-BG"/>
              </w:rPr>
            </w:pPr>
            <w:r w:rsidRPr="00CD3FE8">
              <w:rPr>
                <w:rFonts w:ascii="Arial Narrow" w:hAnsi="Arial Narrow" w:cs="Arial"/>
                <w:b/>
                <w:bCs/>
                <w:sz w:val="20"/>
                <w:szCs w:val="20"/>
                <w:lang w:val="bg-BG"/>
              </w:rPr>
              <w:t>16 076</w:t>
            </w:r>
          </w:p>
        </w:tc>
        <w:tc>
          <w:tcPr>
            <w:tcW w:w="510" w:type="pct"/>
            <w:tcBorders>
              <w:top w:val="nil"/>
              <w:left w:val="nil"/>
              <w:bottom w:val="single" w:sz="4" w:space="0" w:color="auto"/>
              <w:right w:val="single" w:sz="4" w:space="0" w:color="auto"/>
            </w:tcBorders>
            <w:shd w:val="clear" w:color="000000" w:fill="FFFFFF"/>
            <w:noWrap/>
            <w:vAlign w:val="center"/>
            <w:hideMark/>
          </w:tcPr>
          <w:p w14:paraId="7B97EC16" w14:textId="77777777" w:rsidR="00CD3FE8" w:rsidRPr="00CD3FE8" w:rsidRDefault="00CD3FE8" w:rsidP="00CD3FE8">
            <w:pPr>
              <w:jc w:val="right"/>
              <w:rPr>
                <w:rFonts w:ascii="Arial Narrow" w:hAnsi="Arial Narrow" w:cs="Arial"/>
                <w:b/>
                <w:bCs/>
                <w:sz w:val="20"/>
                <w:szCs w:val="20"/>
                <w:lang w:val="bg-BG"/>
              </w:rPr>
            </w:pPr>
            <w:r w:rsidRPr="00CD3FE8">
              <w:rPr>
                <w:rFonts w:ascii="Arial Narrow" w:hAnsi="Arial Narrow" w:cs="Arial"/>
                <w:b/>
                <w:bCs/>
                <w:sz w:val="20"/>
                <w:szCs w:val="20"/>
                <w:lang w:val="bg-BG"/>
              </w:rPr>
              <w:t>15 493</w:t>
            </w:r>
          </w:p>
        </w:tc>
        <w:tc>
          <w:tcPr>
            <w:tcW w:w="511" w:type="pct"/>
            <w:tcBorders>
              <w:top w:val="nil"/>
              <w:left w:val="nil"/>
              <w:bottom w:val="single" w:sz="4" w:space="0" w:color="auto"/>
              <w:right w:val="single" w:sz="4" w:space="0" w:color="auto"/>
            </w:tcBorders>
            <w:shd w:val="clear" w:color="000000" w:fill="FFFFFF"/>
            <w:vAlign w:val="center"/>
            <w:hideMark/>
          </w:tcPr>
          <w:p w14:paraId="0E48FB4F" w14:textId="77777777" w:rsidR="00CD3FE8" w:rsidRPr="00CD3FE8" w:rsidRDefault="00CD3FE8" w:rsidP="00CD3FE8">
            <w:pPr>
              <w:jc w:val="right"/>
              <w:rPr>
                <w:rFonts w:ascii="Arial Narrow" w:hAnsi="Arial Narrow" w:cs="Arial"/>
                <w:b/>
                <w:bCs/>
                <w:sz w:val="20"/>
                <w:szCs w:val="20"/>
                <w:lang w:val="bg-BG"/>
              </w:rPr>
            </w:pPr>
            <w:r w:rsidRPr="00CD3FE8">
              <w:rPr>
                <w:rFonts w:ascii="Arial Narrow" w:hAnsi="Arial Narrow" w:cs="Arial"/>
                <w:b/>
                <w:bCs/>
                <w:sz w:val="20"/>
                <w:szCs w:val="20"/>
                <w:lang w:val="bg-BG"/>
              </w:rPr>
              <w:t>10 141</w:t>
            </w:r>
          </w:p>
        </w:tc>
        <w:tc>
          <w:tcPr>
            <w:tcW w:w="511" w:type="pct"/>
            <w:tcBorders>
              <w:top w:val="nil"/>
              <w:left w:val="nil"/>
              <w:bottom w:val="single" w:sz="4" w:space="0" w:color="auto"/>
              <w:right w:val="single" w:sz="4" w:space="0" w:color="auto"/>
            </w:tcBorders>
            <w:shd w:val="clear" w:color="000000" w:fill="FFFFFF"/>
            <w:noWrap/>
            <w:vAlign w:val="center"/>
            <w:hideMark/>
          </w:tcPr>
          <w:p w14:paraId="20DDCE28" w14:textId="77777777" w:rsidR="00CD3FE8" w:rsidRPr="00CD3FE8" w:rsidRDefault="00CD3FE8" w:rsidP="00CD3FE8">
            <w:pPr>
              <w:jc w:val="right"/>
              <w:rPr>
                <w:rFonts w:ascii="Arial Narrow" w:hAnsi="Arial Narrow" w:cs="Arial"/>
                <w:b/>
                <w:bCs/>
                <w:sz w:val="20"/>
                <w:szCs w:val="20"/>
                <w:lang w:val="bg-BG"/>
              </w:rPr>
            </w:pPr>
            <w:r w:rsidRPr="00CD3FE8">
              <w:rPr>
                <w:rFonts w:ascii="Arial Narrow" w:hAnsi="Arial Narrow" w:cs="Arial"/>
                <w:b/>
                <w:bCs/>
                <w:sz w:val="20"/>
                <w:szCs w:val="20"/>
                <w:lang w:val="bg-BG"/>
              </w:rPr>
              <w:t>10 145</w:t>
            </w:r>
          </w:p>
        </w:tc>
        <w:tc>
          <w:tcPr>
            <w:tcW w:w="511" w:type="pct"/>
            <w:tcBorders>
              <w:top w:val="nil"/>
              <w:left w:val="nil"/>
              <w:bottom w:val="single" w:sz="4" w:space="0" w:color="auto"/>
              <w:right w:val="single" w:sz="4" w:space="0" w:color="auto"/>
            </w:tcBorders>
            <w:shd w:val="clear" w:color="000000" w:fill="FFFFFF"/>
            <w:vAlign w:val="center"/>
            <w:hideMark/>
          </w:tcPr>
          <w:p w14:paraId="783AA0CE" w14:textId="77777777" w:rsidR="00CD3FE8" w:rsidRPr="00CD3FE8" w:rsidRDefault="00CD3FE8" w:rsidP="00CD3FE8">
            <w:pPr>
              <w:jc w:val="right"/>
              <w:rPr>
                <w:rFonts w:ascii="Arial Narrow" w:hAnsi="Arial Narrow" w:cs="Arial"/>
                <w:b/>
                <w:bCs/>
                <w:sz w:val="20"/>
                <w:szCs w:val="20"/>
                <w:lang w:val="bg-BG"/>
              </w:rPr>
            </w:pPr>
            <w:r w:rsidRPr="00CD3FE8">
              <w:rPr>
                <w:rFonts w:ascii="Arial Narrow" w:hAnsi="Arial Narrow" w:cs="Arial"/>
                <w:b/>
                <w:bCs/>
                <w:sz w:val="20"/>
                <w:szCs w:val="20"/>
                <w:lang w:val="bg-BG"/>
              </w:rPr>
              <w:t>2 185</w:t>
            </w:r>
          </w:p>
        </w:tc>
        <w:tc>
          <w:tcPr>
            <w:tcW w:w="511" w:type="pct"/>
            <w:tcBorders>
              <w:top w:val="nil"/>
              <w:left w:val="nil"/>
              <w:bottom w:val="single" w:sz="4" w:space="0" w:color="auto"/>
              <w:right w:val="single" w:sz="4" w:space="0" w:color="auto"/>
            </w:tcBorders>
            <w:shd w:val="clear" w:color="000000" w:fill="FFFFFF"/>
            <w:noWrap/>
            <w:vAlign w:val="center"/>
            <w:hideMark/>
          </w:tcPr>
          <w:p w14:paraId="7C37FB97" w14:textId="77777777" w:rsidR="00CD3FE8" w:rsidRPr="00CD3FE8" w:rsidRDefault="00CD3FE8" w:rsidP="00CD3FE8">
            <w:pPr>
              <w:jc w:val="right"/>
              <w:rPr>
                <w:rFonts w:ascii="Arial Narrow" w:hAnsi="Arial Narrow" w:cs="Arial"/>
                <w:b/>
                <w:bCs/>
                <w:sz w:val="20"/>
                <w:szCs w:val="20"/>
                <w:lang w:val="bg-BG"/>
              </w:rPr>
            </w:pPr>
            <w:r w:rsidRPr="00CD3FE8">
              <w:rPr>
                <w:rFonts w:ascii="Arial Narrow" w:hAnsi="Arial Narrow" w:cs="Arial"/>
                <w:b/>
                <w:bCs/>
                <w:sz w:val="20"/>
                <w:szCs w:val="20"/>
                <w:lang w:val="bg-BG"/>
              </w:rPr>
              <w:t>2 090</w:t>
            </w:r>
          </w:p>
        </w:tc>
        <w:tc>
          <w:tcPr>
            <w:tcW w:w="511" w:type="pct"/>
            <w:tcBorders>
              <w:top w:val="nil"/>
              <w:left w:val="nil"/>
              <w:bottom w:val="single" w:sz="4" w:space="0" w:color="auto"/>
              <w:right w:val="single" w:sz="4" w:space="0" w:color="auto"/>
            </w:tcBorders>
            <w:shd w:val="clear" w:color="000000" w:fill="FFFFFF"/>
            <w:vAlign w:val="center"/>
            <w:hideMark/>
          </w:tcPr>
          <w:p w14:paraId="0ABBBA55" w14:textId="77777777" w:rsidR="00CD3FE8" w:rsidRPr="00CD3FE8" w:rsidRDefault="00CD3FE8" w:rsidP="00CD3FE8">
            <w:pPr>
              <w:jc w:val="right"/>
              <w:rPr>
                <w:rFonts w:ascii="Arial Narrow" w:hAnsi="Arial Narrow" w:cs="Arial"/>
                <w:b/>
                <w:bCs/>
                <w:sz w:val="20"/>
                <w:szCs w:val="20"/>
                <w:lang w:val="bg-BG"/>
              </w:rPr>
            </w:pPr>
            <w:r w:rsidRPr="00CD3FE8">
              <w:rPr>
                <w:rFonts w:ascii="Arial Narrow" w:hAnsi="Arial Narrow" w:cs="Arial"/>
                <w:b/>
                <w:bCs/>
                <w:sz w:val="20"/>
                <w:szCs w:val="20"/>
                <w:lang w:val="bg-BG"/>
              </w:rPr>
              <w:t>28 402</w:t>
            </w:r>
          </w:p>
        </w:tc>
        <w:tc>
          <w:tcPr>
            <w:tcW w:w="438" w:type="pct"/>
            <w:tcBorders>
              <w:top w:val="nil"/>
              <w:left w:val="nil"/>
              <w:bottom w:val="single" w:sz="4" w:space="0" w:color="auto"/>
              <w:right w:val="single" w:sz="4" w:space="0" w:color="auto"/>
            </w:tcBorders>
            <w:shd w:val="clear" w:color="000000" w:fill="FFFFFF"/>
            <w:noWrap/>
            <w:vAlign w:val="center"/>
            <w:hideMark/>
          </w:tcPr>
          <w:p w14:paraId="5EE806B3" w14:textId="77777777" w:rsidR="00CD3FE8" w:rsidRPr="00CD3FE8" w:rsidRDefault="00CD3FE8" w:rsidP="00CD3FE8">
            <w:pPr>
              <w:jc w:val="right"/>
              <w:rPr>
                <w:rFonts w:ascii="Arial Narrow" w:hAnsi="Arial Narrow" w:cs="Arial"/>
                <w:b/>
                <w:bCs/>
                <w:sz w:val="20"/>
                <w:szCs w:val="20"/>
                <w:lang w:val="bg-BG"/>
              </w:rPr>
            </w:pPr>
            <w:r w:rsidRPr="00CD3FE8">
              <w:rPr>
                <w:rFonts w:ascii="Arial Narrow" w:hAnsi="Arial Narrow" w:cs="Arial"/>
                <w:b/>
                <w:bCs/>
                <w:sz w:val="20"/>
                <w:szCs w:val="20"/>
                <w:lang w:val="bg-BG"/>
              </w:rPr>
              <w:t>27 728</w:t>
            </w:r>
          </w:p>
        </w:tc>
      </w:tr>
    </w:tbl>
    <w:p w14:paraId="289492FC" w14:textId="77777777" w:rsidR="00CD3FE8" w:rsidRPr="00CD3FE8" w:rsidRDefault="00CD3FE8" w:rsidP="00CD3FE8">
      <w:pPr>
        <w:spacing w:after="240"/>
        <w:jc w:val="both"/>
        <w:rPr>
          <w:rFonts w:ascii="Arial Narrow" w:hAnsi="Arial Narrow" w:cs="Arial"/>
          <w:iCs/>
          <w:sz w:val="18"/>
          <w:szCs w:val="18"/>
          <w:lang w:val="bg-BG"/>
        </w:rPr>
      </w:pPr>
      <w:r w:rsidRPr="00CD3FE8">
        <w:rPr>
          <w:rFonts w:ascii="Arial Narrow" w:hAnsi="Arial Narrow" w:cs="Arial"/>
          <w:bCs/>
          <w:i/>
          <w:iCs/>
          <w:sz w:val="18"/>
          <w:szCs w:val="18"/>
          <w:lang w:val="bg-BG"/>
        </w:rPr>
        <w:t>Източник:</w:t>
      </w:r>
      <w:r w:rsidRPr="00CD3FE8">
        <w:rPr>
          <w:rFonts w:ascii="Arial Narrow" w:hAnsi="Arial Narrow" w:cs="Arial"/>
          <w:i/>
          <w:iCs/>
          <w:sz w:val="18"/>
          <w:szCs w:val="18"/>
          <w:lang w:val="bg-BG"/>
        </w:rPr>
        <w:t xml:space="preserve"> </w:t>
      </w:r>
      <w:r w:rsidRPr="00CD3FE8">
        <w:rPr>
          <w:rFonts w:ascii="Arial Narrow" w:hAnsi="Arial Narrow" w:cs="Arial"/>
          <w:iCs/>
          <w:sz w:val="18"/>
          <w:szCs w:val="18"/>
          <w:lang w:val="bg-BG"/>
        </w:rPr>
        <w:t xml:space="preserve">МЗХ отдел </w:t>
      </w:r>
      <w:r w:rsidRPr="00CD3FE8">
        <w:rPr>
          <w:rFonts w:ascii="Arial Narrow" w:hAnsi="Arial Narrow"/>
          <w:sz w:val="18"/>
          <w:szCs w:val="18"/>
          <w:lang w:val="bg-BG"/>
        </w:rPr>
        <w:t>„</w:t>
      </w:r>
      <w:r w:rsidRPr="00CD3FE8">
        <w:rPr>
          <w:rFonts w:ascii="Arial Narrow" w:hAnsi="Arial Narrow" w:cs="Arial"/>
          <w:iCs/>
          <w:sz w:val="18"/>
          <w:szCs w:val="18"/>
          <w:lang w:val="bg-BG"/>
        </w:rPr>
        <w:t>Агростатистика“</w:t>
      </w:r>
    </w:p>
    <w:p w14:paraId="66D78B23" w14:textId="77777777" w:rsidR="00CD3FE8" w:rsidRPr="00CD3FE8" w:rsidRDefault="00CD3FE8" w:rsidP="00CD3FE8">
      <w:pPr>
        <w:spacing w:after="120"/>
        <w:ind w:firstLine="720"/>
        <w:jc w:val="both"/>
        <w:rPr>
          <w:rFonts w:ascii="Arial Narrow" w:hAnsi="Arial Narrow"/>
          <w:lang w:val="bg-BG"/>
        </w:rPr>
      </w:pPr>
      <w:r w:rsidRPr="00CD3FE8">
        <w:rPr>
          <w:rFonts w:ascii="Arial Narrow" w:hAnsi="Arial Narrow"/>
          <w:lang w:val="bg-BG"/>
        </w:rPr>
        <w:t>От общо реколтираните площи с лозя през 2024 г., 5</w:t>
      </w:r>
      <w:r w:rsidRPr="00CD3FE8">
        <w:rPr>
          <w:rFonts w:ascii="Arial Narrow" w:hAnsi="Arial Narrow"/>
        </w:rPr>
        <w:t>5</w:t>
      </w:r>
      <w:r w:rsidRPr="00CD3FE8">
        <w:rPr>
          <w:rFonts w:ascii="Arial Narrow" w:hAnsi="Arial Narrow"/>
          <w:lang w:val="bg-BG"/>
        </w:rPr>
        <w:t>,</w:t>
      </w:r>
      <w:r w:rsidRPr="00CD3FE8">
        <w:rPr>
          <w:rFonts w:ascii="Arial Narrow" w:hAnsi="Arial Narrow"/>
        </w:rPr>
        <w:t>9</w:t>
      </w:r>
      <w:r w:rsidRPr="00CD3FE8">
        <w:rPr>
          <w:rFonts w:ascii="Arial Narrow" w:hAnsi="Arial Narrow"/>
          <w:lang w:val="bg-BG"/>
        </w:rPr>
        <w:t>% са с червени винени сортове, 3</w:t>
      </w:r>
      <w:r w:rsidRPr="00CD3FE8">
        <w:rPr>
          <w:rFonts w:ascii="Arial Narrow" w:hAnsi="Arial Narrow"/>
        </w:rPr>
        <w:t>6</w:t>
      </w:r>
      <w:r w:rsidRPr="00CD3FE8">
        <w:rPr>
          <w:rFonts w:ascii="Arial Narrow" w:hAnsi="Arial Narrow"/>
          <w:lang w:val="bg-BG"/>
        </w:rPr>
        <w:t>,</w:t>
      </w:r>
      <w:r w:rsidRPr="00CD3FE8">
        <w:rPr>
          <w:rFonts w:ascii="Arial Narrow" w:hAnsi="Arial Narrow"/>
        </w:rPr>
        <w:t>6</w:t>
      </w:r>
      <w:r w:rsidRPr="00CD3FE8">
        <w:rPr>
          <w:rFonts w:ascii="Arial Narrow" w:hAnsi="Arial Narrow"/>
          <w:lang w:val="bg-BG"/>
        </w:rPr>
        <w:t>% с бели винени сортове и 7,</w:t>
      </w:r>
      <w:r w:rsidRPr="00CD3FE8">
        <w:rPr>
          <w:rFonts w:ascii="Arial Narrow" w:hAnsi="Arial Narrow"/>
        </w:rPr>
        <w:t>5</w:t>
      </w:r>
      <w:r w:rsidRPr="00CD3FE8">
        <w:rPr>
          <w:rFonts w:ascii="Arial Narrow" w:hAnsi="Arial Narrow"/>
          <w:lang w:val="bg-BG"/>
        </w:rPr>
        <w:t>% с десертни сортове.</w:t>
      </w:r>
    </w:p>
    <w:p w14:paraId="7601A364" w14:textId="77777777" w:rsidR="00CD3FE8" w:rsidRPr="00CD3FE8" w:rsidRDefault="00CD3FE8" w:rsidP="00CD3FE8">
      <w:pPr>
        <w:keepNext/>
        <w:tabs>
          <w:tab w:val="left" w:pos="1935"/>
        </w:tabs>
        <w:spacing w:after="120"/>
        <w:ind w:firstLine="720"/>
        <w:jc w:val="both"/>
        <w:rPr>
          <w:rFonts w:ascii="Arial Narrow" w:hAnsi="Arial Narrow"/>
          <w:b/>
          <w:lang w:val="bg-BG"/>
        </w:rPr>
      </w:pPr>
      <w:r w:rsidRPr="00CD3FE8">
        <w:rPr>
          <w:rFonts w:ascii="Arial Narrow" w:hAnsi="Arial Narrow"/>
          <w:b/>
          <w:lang w:val="bg-BG"/>
        </w:rPr>
        <w:t xml:space="preserve">Средни добиви </w:t>
      </w:r>
    </w:p>
    <w:p w14:paraId="37E61FD3" w14:textId="77777777" w:rsidR="00CD3FE8" w:rsidRPr="00CD3FE8" w:rsidRDefault="00CD3FE8" w:rsidP="00CD3FE8">
      <w:pPr>
        <w:tabs>
          <w:tab w:val="left" w:pos="1935"/>
        </w:tabs>
        <w:spacing w:after="120" w:line="276" w:lineRule="auto"/>
        <w:ind w:firstLine="720"/>
        <w:jc w:val="both"/>
        <w:rPr>
          <w:rFonts w:ascii="Arial Narrow" w:hAnsi="Arial Narrow"/>
          <w:lang w:val="bg-BG"/>
        </w:rPr>
      </w:pPr>
      <w:r w:rsidRPr="00CD3FE8">
        <w:rPr>
          <w:rFonts w:ascii="Arial Narrow" w:hAnsi="Arial Narrow"/>
          <w:lang w:val="bg-BG"/>
        </w:rPr>
        <w:t>През 2024 г. е налице понижение на средните добиви от лозя спрямо предходната година, както при винените сортове - с 6,2%, до 4 843 кг/ха, така и при десертните – с 11%, до 5 011 кг/ха.</w:t>
      </w:r>
    </w:p>
    <w:p w14:paraId="125FBC18" w14:textId="77777777" w:rsidR="00CD3FE8" w:rsidRPr="00CD3FE8" w:rsidRDefault="00CD3FE8" w:rsidP="00CD3FE8">
      <w:pPr>
        <w:tabs>
          <w:tab w:val="left" w:pos="1935"/>
        </w:tabs>
        <w:spacing w:after="120" w:line="276" w:lineRule="auto"/>
        <w:ind w:firstLine="720"/>
        <w:jc w:val="both"/>
        <w:rPr>
          <w:rFonts w:ascii="Arial Narrow" w:hAnsi="Arial Narrow"/>
          <w:lang w:val="bg-BG"/>
        </w:rPr>
      </w:pPr>
      <w:r w:rsidRPr="00CD3FE8">
        <w:rPr>
          <w:rFonts w:ascii="Arial Narrow" w:hAnsi="Arial Narrow"/>
          <w:lang w:val="bg-BG"/>
        </w:rPr>
        <w:t>Най-високи средни добиви за винените сортове са отчетени в Североизточния район - 6 214 кг/ха, а за десертните сортове в Югоизточния район – 5 642 кг/ха.</w:t>
      </w:r>
    </w:p>
    <w:p w14:paraId="7DBFA168" w14:textId="77777777" w:rsidR="00CD3FE8" w:rsidRPr="00CD3FE8" w:rsidRDefault="00CD3FE8" w:rsidP="00CD3FE8">
      <w:pPr>
        <w:keepNext/>
        <w:spacing w:after="120"/>
        <w:jc w:val="both"/>
        <w:rPr>
          <w:rFonts w:ascii="Arial Narrow" w:hAnsi="Arial Narrow"/>
          <w:b/>
          <w:iCs/>
          <w:lang w:val="bg-BG"/>
        </w:rPr>
      </w:pPr>
      <w:r w:rsidRPr="00CD3FE8">
        <w:rPr>
          <w:rFonts w:ascii="Arial Narrow" w:hAnsi="Arial Narrow"/>
          <w:b/>
          <w:iCs/>
          <w:lang w:val="bg-BG"/>
        </w:rPr>
        <w:t>Таблица ІІ.34. Средни добиви на грозде от лозя – реколта `2024</w:t>
      </w:r>
    </w:p>
    <w:tbl>
      <w:tblPr>
        <w:tblW w:w="4878" w:type="pct"/>
        <w:tblInd w:w="108" w:type="dxa"/>
        <w:tblLook w:val="04A0" w:firstRow="1" w:lastRow="0" w:firstColumn="1" w:lastColumn="0" w:noHBand="0" w:noVBand="1"/>
      </w:tblPr>
      <w:tblGrid>
        <w:gridCol w:w="2641"/>
        <w:gridCol w:w="3526"/>
        <w:gridCol w:w="3394"/>
      </w:tblGrid>
      <w:tr w:rsidR="00CD3FE8" w:rsidRPr="00CD3FE8" w14:paraId="58B5AD63" w14:textId="77777777" w:rsidTr="00CD3FE8">
        <w:trPr>
          <w:trHeight w:val="375"/>
        </w:trPr>
        <w:tc>
          <w:tcPr>
            <w:tcW w:w="1381"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BA017EE" w14:textId="77777777" w:rsidR="00CD3FE8" w:rsidRPr="00CD3FE8" w:rsidRDefault="00CD3FE8" w:rsidP="00CD3FE8">
            <w:pPr>
              <w:jc w:val="center"/>
              <w:rPr>
                <w:rFonts w:ascii="Arial Narrow" w:hAnsi="Arial Narrow" w:cs="Arial"/>
                <w:b/>
                <w:bCs/>
                <w:sz w:val="20"/>
                <w:szCs w:val="20"/>
                <w:lang w:val="bg-BG"/>
              </w:rPr>
            </w:pPr>
            <w:r w:rsidRPr="00CD3FE8">
              <w:rPr>
                <w:rFonts w:ascii="Arial Narrow" w:hAnsi="Arial Narrow" w:cs="Arial"/>
                <w:b/>
                <w:bCs/>
                <w:sz w:val="20"/>
                <w:szCs w:val="20"/>
                <w:lang w:val="bg-BG"/>
              </w:rPr>
              <w:t>Райони</w:t>
            </w:r>
          </w:p>
        </w:tc>
        <w:tc>
          <w:tcPr>
            <w:tcW w:w="3619" w:type="pct"/>
            <w:gridSpan w:val="2"/>
            <w:tcBorders>
              <w:top w:val="single" w:sz="4" w:space="0" w:color="auto"/>
              <w:left w:val="nil"/>
              <w:bottom w:val="single" w:sz="4" w:space="0" w:color="auto"/>
              <w:right w:val="single" w:sz="4" w:space="0" w:color="auto"/>
            </w:tcBorders>
            <w:shd w:val="clear" w:color="auto" w:fill="auto"/>
            <w:noWrap/>
            <w:vAlign w:val="center"/>
            <w:hideMark/>
          </w:tcPr>
          <w:p w14:paraId="07C2D6C3" w14:textId="77777777" w:rsidR="00CD3FE8" w:rsidRPr="00CD3FE8" w:rsidRDefault="00CD3FE8" w:rsidP="00CD3FE8">
            <w:pPr>
              <w:jc w:val="center"/>
              <w:rPr>
                <w:rFonts w:ascii="Arial Narrow" w:hAnsi="Arial Narrow" w:cs="Arial"/>
                <w:b/>
                <w:bCs/>
                <w:sz w:val="20"/>
                <w:szCs w:val="20"/>
                <w:lang w:val="bg-BG"/>
              </w:rPr>
            </w:pPr>
            <w:r w:rsidRPr="00CD3FE8">
              <w:rPr>
                <w:rFonts w:ascii="Arial Narrow" w:hAnsi="Arial Narrow" w:cs="Arial"/>
                <w:b/>
                <w:bCs/>
                <w:sz w:val="20"/>
                <w:szCs w:val="20"/>
                <w:lang w:val="bg-BG"/>
              </w:rPr>
              <w:t>Средни добиви от лозя (кг/ха)</w:t>
            </w:r>
          </w:p>
        </w:tc>
      </w:tr>
      <w:tr w:rsidR="00CD3FE8" w:rsidRPr="00CD3FE8" w14:paraId="3E8D7008" w14:textId="77777777" w:rsidTr="00CD3FE8">
        <w:trPr>
          <w:trHeight w:val="345"/>
        </w:trPr>
        <w:tc>
          <w:tcPr>
            <w:tcW w:w="1381" w:type="pct"/>
            <w:vMerge/>
            <w:tcBorders>
              <w:top w:val="single" w:sz="4" w:space="0" w:color="auto"/>
              <w:left w:val="single" w:sz="4" w:space="0" w:color="auto"/>
              <w:bottom w:val="single" w:sz="4" w:space="0" w:color="000000"/>
              <w:right w:val="single" w:sz="4" w:space="0" w:color="auto"/>
            </w:tcBorders>
            <w:vAlign w:val="center"/>
            <w:hideMark/>
          </w:tcPr>
          <w:p w14:paraId="4CC991CB" w14:textId="77777777" w:rsidR="00CD3FE8" w:rsidRPr="00CD3FE8" w:rsidRDefault="00CD3FE8" w:rsidP="00CD3FE8">
            <w:pPr>
              <w:rPr>
                <w:rFonts w:ascii="Arial Narrow" w:hAnsi="Arial Narrow" w:cs="Arial"/>
                <w:b/>
                <w:bCs/>
                <w:sz w:val="20"/>
                <w:szCs w:val="20"/>
                <w:lang w:val="bg-BG"/>
              </w:rPr>
            </w:pPr>
          </w:p>
        </w:tc>
        <w:tc>
          <w:tcPr>
            <w:tcW w:w="1844" w:type="pct"/>
            <w:tcBorders>
              <w:top w:val="nil"/>
              <w:left w:val="nil"/>
              <w:bottom w:val="single" w:sz="4" w:space="0" w:color="auto"/>
              <w:right w:val="single" w:sz="4" w:space="0" w:color="auto"/>
            </w:tcBorders>
            <w:shd w:val="clear" w:color="auto" w:fill="auto"/>
            <w:vAlign w:val="center"/>
            <w:hideMark/>
          </w:tcPr>
          <w:p w14:paraId="6BEB08FC" w14:textId="77777777" w:rsidR="00CD3FE8" w:rsidRPr="00CD3FE8" w:rsidRDefault="00CD3FE8" w:rsidP="00CD3FE8">
            <w:pPr>
              <w:jc w:val="center"/>
              <w:rPr>
                <w:rFonts w:ascii="Arial Narrow" w:hAnsi="Arial Narrow" w:cs="Arial"/>
                <w:b/>
                <w:bCs/>
                <w:sz w:val="20"/>
                <w:szCs w:val="20"/>
                <w:lang w:val="bg-BG"/>
              </w:rPr>
            </w:pPr>
            <w:r w:rsidRPr="00CD3FE8">
              <w:rPr>
                <w:rFonts w:ascii="Arial Narrow" w:hAnsi="Arial Narrow" w:cs="Arial"/>
                <w:b/>
                <w:bCs/>
                <w:sz w:val="20"/>
                <w:szCs w:val="20"/>
                <w:lang w:val="bg-BG"/>
              </w:rPr>
              <w:t>Винени сортове</w:t>
            </w:r>
          </w:p>
        </w:tc>
        <w:tc>
          <w:tcPr>
            <w:tcW w:w="1774" w:type="pct"/>
            <w:tcBorders>
              <w:top w:val="nil"/>
              <w:left w:val="nil"/>
              <w:bottom w:val="single" w:sz="4" w:space="0" w:color="auto"/>
              <w:right w:val="single" w:sz="4" w:space="0" w:color="auto"/>
            </w:tcBorders>
            <w:shd w:val="clear" w:color="auto" w:fill="auto"/>
            <w:vAlign w:val="center"/>
            <w:hideMark/>
          </w:tcPr>
          <w:p w14:paraId="32C4AF7F" w14:textId="77777777" w:rsidR="00CD3FE8" w:rsidRPr="00CD3FE8" w:rsidRDefault="00CD3FE8" w:rsidP="00CD3FE8">
            <w:pPr>
              <w:jc w:val="center"/>
              <w:rPr>
                <w:rFonts w:ascii="Arial Narrow" w:hAnsi="Arial Narrow" w:cs="Arial"/>
                <w:b/>
                <w:bCs/>
                <w:sz w:val="20"/>
                <w:szCs w:val="20"/>
                <w:lang w:val="bg-BG"/>
              </w:rPr>
            </w:pPr>
            <w:r w:rsidRPr="00CD3FE8">
              <w:rPr>
                <w:rFonts w:ascii="Arial Narrow" w:hAnsi="Arial Narrow" w:cs="Arial"/>
                <w:b/>
                <w:bCs/>
                <w:sz w:val="20"/>
                <w:szCs w:val="20"/>
                <w:lang w:val="bg-BG"/>
              </w:rPr>
              <w:t>Десертни сортове</w:t>
            </w:r>
          </w:p>
        </w:tc>
      </w:tr>
      <w:tr w:rsidR="00CD3FE8" w:rsidRPr="00CD3FE8" w14:paraId="72A9DE71" w14:textId="77777777" w:rsidTr="00CD3FE8">
        <w:trPr>
          <w:trHeight w:val="345"/>
        </w:trPr>
        <w:tc>
          <w:tcPr>
            <w:tcW w:w="1381" w:type="pct"/>
            <w:tcBorders>
              <w:top w:val="nil"/>
              <w:left w:val="single" w:sz="4" w:space="0" w:color="auto"/>
              <w:bottom w:val="single" w:sz="4" w:space="0" w:color="auto"/>
              <w:right w:val="single" w:sz="4" w:space="0" w:color="auto"/>
            </w:tcBorders>
            <w:shd w:val="clear" w:color="000000" w:fill="FFFFFF"/>
            <w:vAlign w:val="center"/>
            <w:hideMark/>
          </w:tcPr>
          <w:p w14:paraId="530FB507" w14:textId="77777777" w:rsidR="00CD3FE8" w:rsidRPr="00CD3FE8" w:rsidRDefault="00CD3FE8" w:rsidP="00CD3FE8">
            <w:pPr>
              <w:rPr>
                <w:rFonts w:ascii="Arial Narrow" w:hAnsi="Arial Narrow" w:cs="Arial"/>
                <w:sz w:val="20"/>
                <w:szCs w:val="20"/>
                <w:lang w:val="bg-BG"/>
              </w:rPr>
            </w:pPr>
            <w:r w:rsidRPr="00CD3FE8">
              <w:rPr>
                <w:rFonts w:ascii="Arial Narrow" w:hAnsi="Arial Narrow" w:cs="Arial"/>
                <w:sz w:val="20"/>
                <w:szCs w:val="20"/>
                <w:lang w:val="bg-BG"/>
              </w:rPr>
              <w:t>Северозападен</w:t>
            </w:r>
          </w:p>
        </w:tc>
        <w:tc>
          <w:tcPr>
            <w:tcW w:w="1844" w:type="pct"/>
            <w:tcBorders>
              <w:top w:val="nil"/>
              <w:left w:val="nil"/>
              <w:bottom w:val="single" w:sz="4" w:space="0" w:color="auto"/>
              <w:right w:val="single" w:sz="4" w:space="0" w:color="auto"/>
            </w:tcBorders>
            <w:shd w:val="clear" w:color="auto" w:fill="auto"/>
            <w:noWrap/>
            <w:vAlign w:val="center"/>
            <w:hideMark/>
          </w:tcPr>
          <w:p w14:paraId="1CA0AA62" w14:textId="77777777" w:rsidR="00CD3FE8" w:rsidRPr="00CD3FE8" w:rsidRDefault="00CD3FE8" w:rsidP="00CD3FE8">
            <w:pPr>
              <w:jc w:val="right"/>
              <w:rPr>
                <w:rFonts w:ascii="Arial Narrow" w:hAnsi="Arial Narrow" w:cs="Arial"/>
                <w:sz w:val="20"/>
                <w:szCs w:val="20"/>
                <w:lang w:val="bg-BG"/>
              </w:rPr>
            </w:pPr>
            <w:r w:rsidRPr="00CD3FE8">
              <w:rPr>
                <w:rFonts w:ascii="Arial Narrow" w:hAnsi="Arial Narrow" w:cs="Arial"/>
                <w:sz w:val="20"/>
                <w:szCs w:val="20"/>
                <w:lang w:val="bg-BG"/>
              </w:rPr>
              <w:t>3 120</w:t>
            </w:r>
          </w:p>
        </w:tc>
        <w:tc>
          <w:tcPr>
            <w:tcW w:w="1774" w:type="pct"/>
            <w:tcBorders>
              <w:top w:val="nil"/>
              <w:left w:val="nil"/>
              <w:bottom w:val="single" w:sz="4" w:space="0" w:color="auto"/>
              <w:right w:val="single" w:sz="4" w:space="0" w:color="auto"/>
            </w:tcBorders>
            <w:shd w:val="clear" w:color="auto" w:fill="auto"/>
            <w:noWrap/>
            <w:vAlign w:val="center"/>
            <w:hideMark/>
          </w:tcPr>
          <w:p w14:paraId="5AB52719" w14:textId="77777777" w:rsidR="00CD3FE8" w:rsidRPr="00CD3FE8" w:rsidRDefault="00CD3FE8" w:rsidP="00CD3FE8">
            <w:pPr>
              <w:jc w:val="right"/>
              <w:rPr>
                <w:rFonts w:ascii="Arial Narrow" w:hAnsi="Arial Narrow" w:cs="Arial"/>
                <w:sz w:val="20"/>
                <w:szCs w:val="20"/>
                <w:lang w:val="bg-BG"/>
              </w:rPr>
            </w:pPr>
            <w:r w:rsidRPr="00CD3FE8">
              <w:rPr>
                <w:rFonts w:ascii="Arial Narrow" w:hAnsi="Arial Narrow" w:cs="Arial"/>
                <w:sz w:val="20"/>
                <w:szCs w:val="20"/>
                <w:lang w:val="bg-BG"/>
              </w:rPr>
              <w:t>2 815</w:t>
            </w:r>
          </w:p>
        </w:tc>
      </w:tr>
      <w:tr w:rsidR="00CD3FE8" w:rsidRPr="00CD3FE8" w14:paraId="48ADE6F1" w14:textId="77777777" w:rsidTr="00CD3FE8">
        <w:trPr>
          <w:trHeight w:val="345"/>
        </w:trPr>
        <w:tc>
          <w:tcPr>
            <w:tcW w:w="1381" w:type="pct"/>
            <w:tcBorders>
              <w:top w:val="nil"/>
              <w:left w:val="single" w:sz="4" w:space="0" w:color="auto"/>
              <w:bottom w:val="single" w:sz="4" w:space="0" w:color="auto"/>
              <w:right w:val="single" w:sz="4" w:space="0" w:color="auto"/>
            </w:tcBorders>
            <w:shd w:val="clear" w:color="auto" w:fill="auto"/>
            <w:vAlign w:val="center"/>
            <w:hideMark/>
          </w:tcPr>
          <w:p w14:paraId="79C7989F" w14:textId="77777777" w:rsidR="00CD3FE8" w:rsidRPr="00CD3FE8" w:rsidRDefault="00CD3FE8" w:rsidP="00CD3FE8">
            <w:pPr>
              <w:rPr>
                <w:rFonts w:ascii="Arial Narrow" w:hAnsi="Arial Narrow" w:cs="Arial"/>
                <w:sz w:val="20"/>
                <w:szCs w:val="20"/>
                <w:lang w:val="bg-BG"/>
              </w:rPr>
            </w:pPr>
            <w:r w:rsidRPr="00CD3FE8">
              <w:rPr>
                <w:rFonts w:ascii="Arial Narrow" w:hAnsi="Arial Narrow" w:cs="Arial"/>
                <w:sz w:val="20"/>
                <w:szCs w:val="20"/>
                <w:lang w:val="bg-BG"/>
              </w:rPr>
              <w:t>Северен централен</w:t>
            </w:r>
          </w:p>
        </w:tc>
        <w:tc>
          <w:tcPr>
            <w:tcW w:w="1844" w:type="pct"/>
            <w:tcBorders>
              <w:top w:val="nil"/>
              <w:left w:val="nil"/>
              <w:bottom w:val="single" w:sz="4" w:space="0" w:color="auto"/>
              <w:right w:val="single" w:sz="4" w:space="0" w:color="auto"/>
            </w:tcBorders>
            <w:shd w:val="clear" w:color="auto" w:fill="auto"/>
            <w:noWrap/>
            <w:vAlign w:val="center"/>
            <w:hideMark/>
          </w:tcPr>
          <w:p w14:paraId="79370A76" w14:textId="77777777" w:rsidR="00CD3FE8" w:rsidRPr="00CD3FE8" w:rsidRDefault="00CD3FE8" w:rsidP="00CD3FE8">
            <w:pPr>
              <w:jc w:val="right"/>
              <w:rPr>
                <w:rFonts w:ascii="Arial Narrow" w:hAnsi="Arial Narrow" w:cs="Arial"/>
                <w:sz w:val="20"/>
                <w:szCs w:val="20"/>
                <w:lang w:val="bg-BG"/>
              </w:rPr>
            </w:pPr>
            <w:r w:rsidRPr="00CD3FE8">
              <w:rPr>
                <w:rFonts w:ascii="Arial Narrow" w:hAnsi="Arial Narrow" w:cs="Arial"/>
                <w:sz w:val="20"/>
                <w:szCs w:val="20"/>
                <w:lang w:val="bg-BG"/>
              </w:rPr>
              <w:t>4 410</w:t>
            </w:r>
          </w:p>
        </w:tc>
        <w:tc>
          <w:tcPr>
            <w:tcW w:w="1774" w:type="pct"/>
            <w:tcBorders>
              <w:top w:val="nil"/>
              <w:left w:val="nil"/>
              <w:bottom w:val="single" w:sz="4" w:space="0" w:color="auto"/>
              <w:right w:val="single" w:sz="4" w:space="0" w:color="auto"/>
            </w:tcBorders>
            <w:shd w:val="clear" w:color="auto" w:fill="auto"/>
            <w:noWrap/>
            <w:vAlign w:val="center"/>
            <w:hideMark/>
          </w:tcPr>
          <w:p w14:paraId="4F995710" w14:textId="77777777" w:rsidR="00CD3FE8" w:rsidRPr="00CD3FE8" w:rsidRDefault="00CD3FE8" w:rsidP="00CD3FE8">
            <w:pPr>
              <w:jc w:val="right"/>
              <w:rPr>
                <w:rFonts w:ascii="Arial Narrow" w:hAnsi="Arial Narrow" w:cs="Arial"/>
                <w:sz w:val="20"/>
                <w:szCs w:val="20"/>
                <w:lang w:val="bg-BG"/>
              </w:rPr>
            </w:pPr>
            <w:r w:rsidRPr="00CD3FE8">
              <w:rPr>
                <w:rFonts w:ascii="Arial Narrow" w:hAnsi="Arial Narrow" w:cs="Arial"/>
                <w:sz w:val="20"/>
                <w:szCs w:val="20"/>
                <w:lang w:val="bg-BG"/>
              </w:rPr>
              <w:t>4 125</w:t>
            </w:r>
          </w:p>
        </w:tc>
      </w:tr>
      <w:tr w:rsidR="00CD3FE8" w:rsidRPr="00CD3FE8" w14:paraId="78A6FA8D" w14:textId="77777777" w:rsidTr="00CD3FE8">
        <w:trPr>
          <w:trHeight w:val="345"/>
        </w:trPr>
        <w:tc>
          <w:tcPr>
            <w:tcW w:w="1381" w:type="pct"/>
            <w:tcBorders>
              <w:top w:val="nil"/>
              <w:left w:val="single" w:sz="4" w:space="0" w:color="auto"/>
              <w:bottom w:val="single" w:sz="4" w:space="0" w:color="auto"/>
              <w:right w:val="single" w:sz="4" w:space="0" w:color="auto"/>
            </w:tcBorders>
            <w:shd w:val="clear" w:color="000000" w:fill="FFFFFF"/>
            <w:vAlign w:val="center"/>
            <w:hideMark/>
          </w:tcPr>
          <w:p w14:paraId="52817521" w14:textId="77777777" w:rsidR="00CD3FE8" w:rsidRPr="00CD3FE8" w:rsidRDefault="00CD3FE8" w:rsidP="00CD3FE8">
            <w:pPr>
              <w:rPr>
                <w:rFonts w:ascii="Arial Narrow" w:hAnsi="Arial Narrow" w:cs="Arial"/>
                <w:sz w:val="20"/>
                <w:szCs w:val="20"/>
                <w:lang w:val="bg-BG"/>
              </w:rPr>
            </w:pPr>
            <w:r w:rsidRPr="00CD3FE8">
              <w:rPr>
                <w:rFonts w:ascii="Arial Narrow" w:hAnsi="Arial Narrow" w:cs="Arial"/>
                <w:sz w:val="20"/>
                <w:szCs w:val="20"/>
                <w:lang w:val="bg-BG"/>
              </w:rPr>
              <w:t>Североизточен</w:t>
            </w:r>
          </w:p>
        </w:tc>
        <w:tc>
          <w:tcPr>
            <w:tcW w:w="1844" w:type="pct"/>
            <w:tcBorders>
              <w:top w:val="nil"/>
              <w:left w:val="nil"/>
              <w:bottom w:val="single" w:sz="4" w:space="0" w:color="auto"/>
              <w:right w:val="single" w:sz="4" w:space="0" w:color="auto"/>
            </w:tcBorders>
            <w:shd w:val="clear" w:color="auto" w:fill="auto"/>
            <w:noWrap/>
            <w:vAlign w:val="center"/>
            <w:hideMark/>
          </w:tcPr>
          <w:p w14:paraId="4B775B10" w14:textId="77777777" w:rsidR="00CD3FE8" w:rsidRPr="00CD3FE8" w:rsidRDefault="00CD3FE8" w:rsidP="00CD3FE8">
            <w:pPr>
              <w:jc w:val="right"/>
              <w:rPr>
                <w:rFonts w:ascii="Arial Narrow" w:hAnsi="Arial Narrow" w:cs="Arial"/>
                <w:sz w:val="20"/>
                <w:szCs w:val="20"/>
                <w:lang w:val="bg-BG"/>
              </w:rPr>
            </w:pPr>
            <w:r w:rsidRPr="00CD3FE8">
              <w:rPr>
                <w:rFonts w:ascii="Arial Narrow" w:hAnsi="Arial Narrow" w:cs="Arial"/>
                <w:sz w:val="20"/>
                <w:szCs w:val="20"/>
                <w:lang w:val="bg-BG"/>
              </w:rPr>
              <w:t>6 214</w:t>
            </w:r>
          </w:p>
        </w:tc>
        <w:tc>
          <w:tcPr>
            <w:tcW w:w="1774" w:type="pct"/>
            <w:tcBorders>
              <w:top w:val="nil"/>
              <w:left w:val="nil"/>
              <w:bottom w:val="single" w:sz="4" w:space="0" w:color="auto"/>
              <w:right w:val="single" w:sz="4" w:space="0" w:color="auto"/>
            </w:tcBorders>
            <w:shd w:val="clear" w:color="auto" w:fill="auto"/>
            <w:noWrap/>
            <w:vAlign w:val="center"/>
            <w:hideMark/>
          </w:tcPr>
          <w:p w14:paraId="3CED5A1E" w14:textId="77777777" w:rsidR="00CD3FE8" w:rsidRPr="00CD3FE8" w:rsidRDefault="00CD3FE8" w:rsidP="00CD3FE8">
            <w:pPr>
              <w:jc w:val="right"/>
              <w:rPr>
                <w:rFonts w:ascii="Arial Narrow" w:hAnsi="Arial Narrow" w:cs="Arial"/>
                <w:sz w:val="20"/>
                <w:szCs w:val="20"/>
                <w:lang w:val="bg-BG"/>
              </w:rPr>
            </w:pPr>
            <w:r w:rsidRPr="00CD3FE8">
              <w:rPr>
                <w:rFonts w:ascii="Arial Narrow" w:hAnsi="Arial Narrow" w:cs="Arial"/>
                <w:sz w:val="20"/>
                <w:szCs w:val="20"/>
                <w:lang w:val="bg-BG"/>
              </w:rPr>
              <w:t>4 795</w:t>
            </w:r>
          </w:p>
        </w:tc>
      </w:tr>
      <w:tr w:rsidR="00CD3FE8" w:rsidRPr="00CD3FE8" w14:paraId="08FD3A15" w14:textId="77777777" w:rsidTr="00CD3FE8">
        <w:trPr>
          <w:trHeight w:val="345"/>
        </w:trPr>
        <w:tc>
          <w:tcPr>
            <w:tcW w:w="1381" w:type="pct"/>
            <w:tcBorders>
              <w:top w:val="nil"/>
              <w:left w:val="single" w:sz="4" w:space="0" w:color="auto"/>
              <w:bottom w:val="single" w:sz="4" w:space="0" w:color="auto"/>
              <w:right w:val="single" w:sz="4" w:space="0" w:color="auto"/>
            </w:tcBorders>
            <w:shd w:val="clear" w:color="auto" w:fill="auto"/>
            <w:vAlign w:val="center"/>
            <w:hideMark/>
          </w:tcPr>
          <w:p w14:paraId="38E6E244" w14:textId="77777777" w:rsidR="00CD3FE8" w:rsidRPr="00CD3FE8" w:rsidRDefault="00CD3FE8" w:rsidP="00CD3FE8">
            <w:pPr>
              <w:rPr>
                <w:rFonts w:ascii="Arial Narrow" w:hAnsi="Arial Narrow" w:cs="Arial"/>
                <w:sz w:val="20"/>
                <w:szCs w:val="20"/>
                <w:lang w:val="bg-BG"/>
              </w:rPr>
            </w:pPr>
            <w:r w:rsidRPr="00CD3FE8">
              <w:rPr>
                <w:rFonts w:ascii="Arial Narrow" w:hAnsi="Arial Narrow" w:cs="Arial"/>
                <w:sz w:val="20"/>
                <w:szCs w:val="20"/>
                <w:lang w:val="bg-BG"/>
              </w:rPr>
              <w:t>Югоизточен</w:t>
            </w:r>
          </w:p>
        </w:tc>
        <w:tc>
          <w:tcPr>
            <w:tcW w:w="1844" w:type="pct"/>
            <w:tcBorders>
              <w:top w:val="nil"/>
              <w:left w:val="nil"/>
              <w:bottom w:val="single" w:sz="4" w:space="0" w:color="auto"/>
              <w:right w:val="single" w:sz="4" w:space="0" w:color="auto"/>
            </w:tcBorders>
            <w:shd w:val="clear" w:color="auto" w:fill="auto"/>
            <w:noWrap/>
            <w:vAlign w:val="center"/>
            <w:hideMark/>
          </w:tcPr>
          <w:p w14:paraId="0C832C0A" w14:textId="77777777" w:rsidR="00CD3FE8" w:rsidRPr="00CD3FE8" w:rsidRDefault="00CD3FE8" w:rsidP="00CD3FE8">
            <w:pPr>
              <w:jc w:val="right"/>
              <w:rPr>
                <w:rFonts w:ascii="Arial Narrow" w:hAnsi="Arial Narrow" w:cs="Arial"/>
                <w:sz w:val="20"/>
                <w:szCs w:val="20"/>
                <w:lang w:val="bg-BG"/>
              </w:rPr>
            </w:pPr>
            <w:r w:rsidRPr="00CD3FE8">
              <w:rPr>
                <w:rFonts w:ascii="Arial Narrow" w:hAnsi="Arial Narrow" w:cs="Arial"/>
                <w:sz w:val="20"/>
                <w:szCs w:val="20"/>
                <w:lang w:val="bg-BG"/>
              </w:rPr>
              <w:t>5 642</w:t>
            </w:r>
          </w:p>
        </w:tc>
        <w:tc>
          <w:tcPr>
            <w:tcW w:w="1774" w:type="pct"/>
            <w:tcBorders>
              <w:top w:val="nil"/>
              <w:left w:val="nil"/>
              <w:bottom w:val="single" w:sz="4" w:space="0" w:color="auto"/>
              <w:right w:val="single" w:sz="4" w:space="0" w:color="auto"/>
            </w:tcBorders>
            <w:shd w:val="clear" w:color="auto" w:fill="auto"/>
            <w:noWrap/>
            <w:vAlign w:val="center"/>
            <w:hideMark/>
          </w:tcPr>
          <w:p w14:paraId="1F3D2D3D" w14:textId="77777777" w:rsidR="00CD3FE8" w:rsidRPr="00CD3FE8" w:rsidRDefault="00CD3FE8" w:rsidP="00CD3FE8">
            <w:pPr>
              <w:jc w:val="right"/>
              <w:rPr>
                <w:rFonts w:ascii="Arial Narrow" w:hAnsi="Arial Narrow" w:cs="Arial"/>
                <w:sz w:val="20"/>
                <w:szCs w:val="20"/>
                <w:lang w:val="bg-BG"/>
              </w:rPr>
            </w:pPr>
            <w:r w:rsidRPr="00CD3FE8">
              <w:rPr>
                <w:rFonts w:ascii="Arial Narrow" w:hAnsi="Arial Narrow" w:cs="Arial"/>
                <w:sz w:val="20"/>
                <w:szCs w:val="20"/>
                <w:lang w:val="bg-BG"/>
              </w:rPr>
              <w:t>5 642</w:t>
            </w:r>
          </w:p>
        </w:tc>
      </w:tr>
      <w:tr w:rsidR="00CD3FE8" w:rsidRPr="00CD3FE8" w14:paraId="46A77923" w14:textId="77777777" w:rsidTr="00CD3FE8">
        <w:trPr>
          <w:trHeight w:val="345"/>
        </w:trPr>
        <w:tc>
          <w:tcPr>
            <w:tcW w:w="1381" w:type="pct"/>
            <w:tcBorders>
              <w:top w:val="nil"/>
              <w:left w:val="single" w:sz="4" w:space="0" w:color="auto"/>
              <w:bottom w:val="single" w:sz="4" w:space="0" w:color="auto"/>
              <w:right w:val="single" w:sz="4" w:space="0" w:color="auto"/>
            </w:tcBorders>
            <w:shd w:val="clear" w:color="000000" w:fill="FFFFFF"/>
            <w:vAlign w:val="center"/>
            <w:hideMark/>
          </w:tcPr>
          <w:p w14:paraId="75A9DE97" w14:textId="77777777" w:rsidR="00CD3FE8" w:rsidRPr="00CD3FE8" w:rsidRDefault="00CD3FE8" w:rsidP="00CD3FE8">
            <w:pPr>
              <w:rPr>
                <w:rFonts w:ascii="Arial Narrow" w:hAnsi="Arial Narrow" w:cs="Arial"/>
                <w:sz w:val="20"/>
                <w:szCs w:val="20"/>
                <w:lang w:val="bg-BG"/>
              </w:rPr>
            </w:pPr>
            <w:r w:rsidRPr="00CD3FE8">
              <w:rPr>
                <w:rFonts w:ascii="Arial Narrow" w:hAnsi="Arial Narrow" w:cs="Arial"/>
                <w:sz w:val="20"/>
                <w:szCs w:val="20"/>
                <w:lang w:val="bg-BG"/>
              </w:rPr>
              <w:t>Югозападен</w:t>
            </w:r>
          </w:p>
        </w:tc>
        <w:tc>
          <w:tcPr>
            <w:tcW w:w="1844" w:type="pct"/>
            <w:tcBorders>
              <w:top w:val="nil"/>
              <w:left w:val="nil"/>
              <w:bottom w:val="single" w:sz="4" w:space="0" w:color="auto"/>
              <w:right w:val="single" w:sz="4" w:space="0" w:color="auto"/>
            </w:tcBorders>
            <w:shd w:val="clear" w:color="auto" w:fill="auto"/>
            <w:noWrap/>
            <w:vAlign w:val="center"/>
            <w:hideMark/>
          </w:tcPr>
          <w:p w14:paraId="10CD3215" w14:textId="77777777" w:rsidR="00CD3FE8" w:rsidRPr="00CD3FE8" w:rsidRDefault="00CD3FE8" w:rsidP="00CD3FE8">
            <w:pPr>
              <w:jc w:val="right"/>
              <w:rPr>
                <w:rFonts w:ascii="Arial Narrow" w:hAnsi="Arial Narrow" w:cs="Arial"/>
                <w:sz w:val="20"/>
                <w:szCs w:val="20"/>
                <w:lang w:val="bg-BG"/>
              </w:rPr>
            </w:pPr>
            <w:r w:rsidRPr="00CD3FE8">
              <w:rPr>
                <w:rFonts w:ascii="Arial Narrow" w:hAnsi="Arial Narrow" w:cs="Arial"/>
                <w:sz w:val="20"/>
                <w:szCs w:val="20"/>
                <w:lang w:val="bg-BG"/>
              </w:rPr>
              <w:t>3 340</w:t>
            </w:r>
          </w:p>
        </w:tc>
        <w:tc>
          <w:tcPr>
            <w:tcW w:w="1774" w:type="pct"/>
            <w:tcBorders>
              <w:top w:val="nil"/>
              <w:left w:val="nil"/>
              <w:bottom w:val="single" w:sz="4" w:space="0" w:color="auto"/>
              <w:right w:val="single" w:sz="4" w:space="0" w:color="auto"/>
            </w:tcBorders>
            <w:shd w:val="clear" w:color="auto" w:fill="auto"/>
            <w:noWrap/>
            <w:vAlign w:val="center"/>
            <w:hideMark/>
          </w:tcPr>
          <w:p w14:paraId="2B070069" w14:textId="77777777" w:rsidR="00CD3FE8" w:rsidRPr="00CD3FE8" w:rsidRDefault="00CD3FE8" w:rsidP="00CD3FE8">
            <w:pPr>
              <w:jc w:val="right"/>
              <w:rPr>
                <w:rFonts w:ascii="Arial Narrow" w:hAnsi="Arial Narrow" w:cs="Arial"/>
                <w:sz w:val="20"/>
                <w:szCs w:val="20"/>
                <w:lang w:val="bg-BG"/>
              </w:rPr>
            </w:pPr>
            <w:r w:rsidRPr="00CD3FE8">
              <w:rPr>
                <w:rFonts w:ascii="Arial Narrow" w:hAnsi="Arial Narrow" w:cs="Arial"/>
                <w:sz w:val="20"/>
                <w:szCs w:val="20"/>
                <w:lang w:val="bg-BG"/>
              </w:rPr>
              <w:t>4 564</w:t>
            </w:r>
          </w:p>
        </w:tc>
      </w:tr>
      <w:tr w:rsidR="00CD3FE8" w:rsidRPr="00CD3FE8" w14:paraId="221A405F" w14:textId="77777777" w:rsidTr="00CD3FE8">
        <w:trPr>
          <w:trHeight w:val="345"/>
        </w:trPr>
        <w:tc>
          <w:tcPr>
            <w:tcW w:w="1381" w:type="pct"/>
            <w:tcBorders>
              <w:top w:val="nil"/>
              <w:left w:val="single" w:sz="4" w:space="0" w:color="auto"/>
              <w:bottom w:val="single" w:sz="4" w:space="0" w:color="auto"/>
              <w:right w:val="single" w:sz="4" w:space="0" w:color="auto"/>
            </w:tcBorders>
            <w:shd w:val="clear" w:color="auto" w:fill="auto"/>
            <w:vAlign w:val="center"/>
            <w:hideMark/>
          </w:tcPr>
          <w:p w14:paraId="21DF0803" w14:textId="77777777" w:rsidR="00CD3FE8" w:rsidRPr="00CD3FE8" w:rsidRDefault="00CD3FE8" w:rsidP="00CD3FE8">
            <w:pPr>
              <w:rPr>
                <w:rFonts w:ascii="Arial Narrow" w:hAnsi="Arial Narrow" w:cs="Arial"/>
                <w:sz w:val="20"/>
                <w:szCs w:val="20"/>
                <w:lang w:val="bg-BG"/>
              </w:rPr>
            </w:pPr>
            <w:r w:rsidRPr="00CD3FE8">
              <w:rPr>
                <w:rFonts w:ascii="Arial Narrow" w:hAnsi="Arial Narrow" w:cs="Arial"/>
                <w:sz w:val="20"/>
                <w:szCs w:val="20"/>
                <w:lang w:val="bg-BG"/>
              </w:rPr>
              <w:t>Южен централен</w:t>
            </w:r>
          </w:p>
        </w:tc>
        <w:tc>
          <w:tcPr>
            <w:tcW w:w="1844" w:type="pct"/>
            <w:tcBorders>
              <w:top w:val="nil"/>
              <w:left w:val="nil"/>
              <w:bottom w:val="single" w:sz="4" w:space="0" w:color="auto"/>
              <w:right w:val="single" w:sz="4" w:space="0" w:color="auto"/>
            </w:tcBorders>
            <w:shd w:val="clear" w:color="auto" w:fill="auto"/>
            <w:noWrap/>
            <w:vAlign w:val="center"/>
            <w:hideMark/>
          </w:tcPr>
          <w:p w14:paraId="04431BD5" w14:textId="77777777" w:rsidR="00CD3FE8" w:rsidRPr="00CD3FE8" w:rsidRDefault="00CD3FE8" w:rsidP="00CD3FE8">
            <w:pPr>
              <w:jc w:val="right"/>
              <w:rPr>
                <w:rFonts w:ascii="Arial Narrow" w:hAnsi="Arial Narrow" w:cs="Arial"/>
                <w:sz w:val="20"/>
                <w:szCs w:val="20"/>
                <w:lang w:val="bg-BG"/>
              </w:rPr>
            </w:pPr>
            <w:r w:rsidRPr="00CD3FE8">
              <w:rPr>
                <w:rFonts w:ascii="Arial Narrow" w:hAnsi="Arial Narrow" w:cs="Arial"/>
                <w:sz w:val="20"/>
                <w:szCs w:val="20"/>
                <w:lang w:val="bg-BG"/>
              </w:rPr>
              <w:t>4 433</w:t>
            </w:r>
          </w:p>
        </w:tc>
        <w:tc>
          <w:tcPr>
            <w:tcW w:w="1774" w:type="pct"/>
            <w:tcBorders>
              <w:top w:val="nil"/>
              <w:left w:val="nil"/>
              <w:bottom w:val="single" w:sz="4" w:space="0" w:color="auto"/>
              <w:right w:val="single" w:sz="4" w:space="0" w:color="auto"/>
            </w:tcBorders>
            <w:shd w:val="clear" w:color="auto" w:fill="auto"/>
            <w:noWrap/>
            <w:vAlign w:val="center"/>
            <w:hideMark/>
          </w:tcPr>
          <w:p w14:paraId="1D8F6B76" w14:textId="77777777" w:rsidR="00CD3FE8" w:rsidRPr="00CD3FE8" w:rsidRDefault="00CD3FE8" w:rsidP="00CD3FE8">
            <w:pPr>
              <w:jc w:val="right"/>
              <w:rPr>
                <w:rFonts w:ascii="Arial Narrow" w:hAnsi="Arial Narrow" w:cs="Arial"/>
                <w:sz w:val="20"/>
                <w:szCs w:val="20"/>
                <w:lang w:val="bg-BG"/>
              </w:rPr>
            </w:pPr>
            <w:r w:rsidRPr="00CD3FE8">
              <w:rPr>
                <w:rFonts w:ascii="Arial Narrow" w:hAnsi="Arial Narrow" w:cs="Arial"/>
                <w:sz w:val="20"/>
                <w:szCs w:val="20"/>
                <w:lang w:val="bg-BG"/>
              </w:rPr>
              <w:t>4 896</w:t>
            </w:r>
          </w:p>
        </w:tc>
      </w:tr>
      <w:tr w:rsidR="00CD3FE8" w:rsidRPr="00CD3FE8" w14:paraId="48E31FBF" w14:textId="77777777" w:rsidTr="00CD3FE8">
        <w:trPr>
          <w:trHeight w:val="345"/>
        </w:trPr>
        <w:tc>
          <w:tcPr>
            <w:tcW w:w="1381" w:type="pct"/>
            <w:tcBorders>
              <w:top w:val="nil"/>
              <w:left w:val="single" w:sz="4" w:space="0" w:color="auto"/>
              <w:bottom w:val="single" w:sz="4" w:space="0" w:color="auto"/>
              <w:right w:val="single" w:sz="4" w:space="0" w:color="auto"/>
            </w:tcBorders>
            <w:shd w:val="clear" w:color="000000" w:fill="FFFFFF"/>
            <w:vAlign w:val="center"/>
            <w:hideMark/>
          </w:tcPr>
          <w:p w14:paraId="64244052" w14:textId="77777777" w:rsidR="00CD3FE8" w:rsidRPr="00CD3FE8" w:rsidRDefault="00CD3FE8" w:rsidP="00CD3FE8">
            <w:pPr>
              <w:rPr>
                <w:rFonts w:ascii="Arial Narrow" w:hAnsi="Arial Narrow" w:cs="Arial"/>
                <w:b/>
                <w:bCs/>
                <w:sz w:val="20"/>
                <w:szCs w:val="20"/>
                <w:lang w:val="bg-BG"/>
              </w:rPr>
            </w:pPr>
            <w:r w:rsidRPr="00CD3FE8">
              <w:rPr>
                <w:rFonts w:ascii="Arial Narrow" w:hAnsi="Arial Narrow" w:cs="Arial"/>
                <w:b/>
                <w:bCs/>
                <w:sz w:val="20"/>
                <w:szCs w:val="20"/>
                <w:lang w:val="bg-BG"/>
              </w:rPr>
              <w:t>България</w:t>
            </w:r>
          </w:p>
        </w:tc>
        <w:tc>
          <w:tcPr>
            <w:tcW w:w="1844" w:type="pct"/>
            <w:tcBorders>
              <w:top w:val="nil"/>
              <w:left w:val="nil"/>
              <w:bottom w:val="single" w:sz="4" w:space="0" w:color="auto"/>
              <w:right w:val="single" w:sz="4" w:space="0" w:color="auto"/>
            </w:tcBorders>
            <w:shd w:val="clear" w:color="auto" w:fill="auto"/>
            <w:noWrap/>
            <w:vAlign w:val="center"/>
            <w:hideMark/>
          </w:tcPr>
          <w:p w14:paraId="5DC47263" w14:textId="77777777" w:rsidR="00CD3FE8" w:rsidRPr="00CD3FE8" w:rsidRDefault="00CD3FE8" w:rsidP="00CD3FE8">
            <w:pPr>
              <w:jc w:val="right"/>
              <w:rPr>
                <w:rFonts w:ascii="Arial Narrow" w:hAnsi="Arial Narrow" w:cs="Arial"/>
                <w:b/>
                <w:bCs/>
                <w:sz w:val="20"/>
                <w:szCs w:val="20"/>
                <w:lang w:val="bg-BG"/>
              </w:rPr>
            </w:pPr>
            <w:r w:rsidRPr="00CD3FE8">
              <w:rPr>
                <w:rFonts w:ascii="Arial Narrow" w:hAnsi="Arial Narrow" w:cs="Arial"/>
                <w:b/>
                <w:bCs/>
                <w:sz w:val="20"/>
                <w:szCs w:val="20"/>
                <w:lang w:val="bg-BG"/>
              </w:rPr>
              <w:t>4 843</w:t>
            </w:r>
          </w:p>
        </w:tc>
        <w:tc>
          <w:tcPr>
            <w:tcW w:w="1774" w:type="pct"/>
            <w:tcBorders>
              <w:top w:val="nil"/>
              <w:left w:val="nil"/>
              <w:bottom w:val="single" w:sz="4" w:space="0" w:color="auto"/>
              <w:right w:val="single" w:sz="4" w:space="0" w:color="auto"/>
            </w:tcBorders>
            <w:shd w:val="clear" w:color="auto" w:fill="auto"/>
            <w:noWrap/>
            <w:vAlign w:val="center"/>
            <w:hideMark/>
          </w:tcPr>
          <w:p w14:paraId="54652FAF" w14:textId="77777777" w:rsidR="00CD3FE8" w:rsidRPr="00CD3FE8" w:rsidRDefault="00CD3FE8" w:rsidP="00CD3FE8">
            <w:pPr>
              <w:jc w:val="right"/>
              <w:rPr>
                <w:rFonts w:ascii="Arial Narrow" w:hAnsi="Arial Narrow" w:cs="Arial"/>
                <w:b/>
                <w:bCs/>
                <w:sz w:val="20"/>
                <w:szCs w:val="20"/>
                <w:lang w:val="bg-BG"/>
              </w:rPr>
            </w:pPr>
            <w:r w:rsidRPr="00CD3FE8">
              <w:rPr>
                <w:rFonts w:ascii="Arial Narrow" w:hAnsi="Arial Narrow" w:cs="Arial"/>
                <w:b/>
                <w:bCs/>
                <w:sz w:val="20"/>
                <w:szCs w:val="20"/>
                <w:lang w:val="bg-BG"/>
              </w:rPr>
              <w:t>5 011</w:t>
            </w:r>
          </w:p>
        </w:tc>
      </w:tr>
    </w:tbl>
    <w:p w14:paraId="4C45ADB0" w14:textId="77777777" w:rsidR="00CD3FE8" w:rsidRPr="00CD3FE8" w:rsidRDefault="00CD3FE8" w:rsidP="00CD3FE8">
      <w:pPr>
        <w:spacing w:after="240"/>
        <w:rPr>
          <w:rFonts w:ascii="Arial Narrow" w:hAnsi="Arial Narrow"/>
          <w:sz w:val="18"/>
          <w:szCs w:val="18"/>
          <w:lang w:val="bg-BG"/>
        </w:rPr>
      </w:pPr>
      <w:r w:rsidRPr="00CD3FE8">
        <w:rPr>
          <w:rFonts w:ascii="Arial Narrow" w:hAnsi="Arial Narrow"/>
          <w:i/>
          <w:sz w:val="18"/>
          <w:szCs w:val="18"/>
          <w:lang w:val="bg-BG"/>
        </w:rPr>
        <w:lastRenderedPageBreak/>
        <w:t xml:space="preserve">Източник: </w:t>
      </w:r>
      <w:r w:rsidRPr="00CD3FE8">
        <w:rPr>
          <w:rFonts w:ascii="Arial Narrow" w:hAnsi="Arial Narrow"/>
          <w:sz w:val="18"/>
          <w:szCs w:val="18"/>
          <w:lang w:val="bg-BG"/>
        </w:rPr>
        <w:t>МЗХ, отдел „ Агростатистика”</w:t>
      </w:r>
    </w:p>
    <w:p w14:paraId="282527D5" w14:textId="77777777" w:rsidR="00CD3FE8" w:rsidRPr="00CD3FE8" w:rsidRDefault="00CD3FE8" w:rsidP="00CD3FE8">
      <w:pPr>
        <w:autoSpaceDE w:val="0"/>
        <w:autoSpaceDN w:val="0"/>
        <w:adjustRightInd w:val="0"/>
        <w:spacing w:after="120"/>
        <w:ind w:firstLine="720"/>
        <w:jc w:val="both"/>
        <w:rPr>
          <w:rFonts w:ascii="Arial Narrow" w:hAnsi="Arial Narrow" w:cs="TimesNewRoman"/>
          <w:b/>
          <w:lang w:val="bg-BG"/>
        </w:rPr>
      </w:pPr>
      <w:r w:rsidRPr="00CD3FE8">
        <w:rPr>
          <w:rFonts w:ascii="Arial Narrow" w:hAnsi="Arial Narrow" w:cs="TimesNewRoman"/>
          <w:b/>
          <w:lang w:val="bg-BG"/>
        </w:rPr>
        <w:t>Производство</w:t>
      </w:r>
    </w:p>
    <w:p w14:paraId="3475E9A0" w14:textId="77777777" w:rsidR="00CD3FE8" w:rsidRPr="00CD3FE8" w:rsidRDefault="00CD3FE8" w:rsidP="00CD3FE8">
      <w:pPr>
        <w:spacing w:after="120"/>
        <w:ind w:firstLine="720"/>
        <w:jc w:val="both"/>
        <w:rPr>
          <w:rFonts w:ascii="Arial Narrow" w:eastAsia="Calibri" w:hAnsi="Arial Narrow" w:cs="TimesNewRoman"/>
          <w:lang w:val="bg-BG"/>
        </w:rPr>
      </w:pPr>
      <w:r w:rsidRPr="00CD3FE8">
        <w:rPr>
          <w:rFonts w:ascii="Arial Narrow" w:hAnsi="Arial Narrow"/>
          <w:lang w:val="bg-BG"/>
        </w:rPr>
        <w:t>Общото производство на грозде в страната през 2024 г. възлиза на 134 749 тона, което е с 8,8% по-малко на годишна база. Добитото грозде от лозя е в размер на 134 634 тона - с 8,9% под нивото от предходната година, в съотношение винено – 92% и десертно – 8%. В сравнение с 2023 г., прибраната продукция от винено грозде намалява с 8,3%, до 124 161 тона, а тази от десертно грозде - с 14,8%, до 10 473 тона. Производството на грозде от асми бележи ръст от 18,6%, до 115 тона.</w:t>
      </w:r>
      <w:r w:rsidRPr="00CD3FE8">
        <w:rPr>
          <w:rFonts w:ascii="Arial Narrow" w:eastAsia="Calibri" w:hAnsi="Arial Narrow" w:cs="TimesNewRoman"/>
          <w:lang w:val="bg-BG"/>
        </w:rPr>
        <w:t xml:space="preserve"> </w:t>
      </w:r>
    </w:p>
    <w:p w14:paraId="2A907166" w14:textId="77777777" w:rsidR="00CD3FE8" w:rsidRPr="00CD3FE8" w:rsidRDefault="00CD3FE8" w:rsidP="00CD3FE8">
      <w:pPr>
        <w:spacing w:after="120"/>
        <w:ind w:firstLine="720"/>
        <w:jc w:val="both"/>
        <w:rPr>
          <w:rFonts w:ascii="Arial Narrow" w:hAnsi="Arial Narrow"/>
          <w:lang w:val="bg-BG"/>
        </w:rPr>
      </w:pPr>
      <w:r w:rsidRPr="00CD3FE8">
        <w:rPr>
          <w:rFonts w:ascii="Arial Narrow" w:hAnsi="Arial Narrow"/>
          <w:lang w:val="bg-BG"/>
        </w:rPr>
        <w:t xml:space="preserve">Традиционно, най-голямо производство от лозя е отчетено в Югоизточен и Южен централен райони, където са концентрирани около 76% от цялата продукция. </w:t>
      </w:r>
    </w:p>
    <w:p w14:paraId="025B1A78" w14:textId="77777777" w:rsidR="00CD3FE8" w:rsidRPr="00CD3FE8" w:rsidRDefault="00CD3FE8" w:rsidP="00CD3FE8">
      <w:pPr>
        <w:spacing w:after="120"/>
        <w:ind w:firstLine="720"/>
        <w:jc w:val="both"/>
        <w:rPr>
          <w:rFonts w:ascii="Arial Narrow" w:hAnsi="Arial Narrow"/>
          <w:lang w:val="bg-BG"/>
        </w:rPr>
      </w:pPr>
      <w:r w:rsidRPr="00CD3FE8">
        <w:rPr>
          <w:rFonts w:ascii="Arial Narrow" w:hAnsi="Arial Narrow"/>
          <w:lang w:val="bg-BG"/>
        </w:rPr>
        <w:t xml:space="preserve">В почти всички райони на страната е налице намаление на производството на грозде от лозя спрямо предходната 2023 г., вариращо от 5,4% в Северния централен до 12,1% в Южния централен район. Изключение правят Североизточният и Югозападният райони, където е отчетено увеличение на производството от грозде от лозя съответно с 4,5% и 5,5%. </w:t>
      </w:r>
    </w:p>
    <w:p w14:paraId="7C131AD9" w14:textId="77777777" w:rsidR="00CD3FE8" w:rsidRPr="00CD3FE8" w:rsidRDefault="00CD3FE8" w:rsidP="00CD3FE8">
      <w:pPr>
        <w:spacing w:after="120"/>
        <w:jc w:val="both"/>
        <w:rPr>
          <w:rFonts w:ascii="Arial Narrow" w:hAnsi="Arial Narrow"/>
          <w:b/>
          <w:iCs/>
          <w:lang w:val="bg-BG"/>
        </w:rPr>
      </w:pPr>
      <w:r w:rsidRPr="00CD3FE8">
        <w:rPr>
          <w:rFonts w:ascii="Arial Narrow" w:hAnsi="Arial Narrow"/>
          <w:b/>
          <w:iCs/>
          <w:lang w:val="bg-BG"/>
        </w:rPr>
        <w:t>Таблица ІІ.35. Производство на грозде – реколта `2024 г.</w:t>
      </w:r>
    </w:p>
    <w:tbl>
      <w:tblPr>
        <w:tblW w:w="4878" w:type="pct"/>
        <w:tblInd w:w="108" w:type="dxa"/>
        <w:tblLook w:val="04A0" w:firstRow="1" w:lastRow="0" w:firstColumn="1" w:lastColumn="0" w:noHBand="0" w:noVBand="1"/>
      </w:tblPr>
      <w:tblGrid>
        <w:gridCol w:w="2152"/>
        <w:gridCol w:w="1346"/>
        <w:gridCol w:w="1348"/>
        <w:gridCol w:w="1826"/>
        <w:gridCol w:w="1451"/>
        <w:gridCol w:w="1438"/>
      </w:tblGrid>
      <w:tr w:rsidR="00CD3FE8" w:rsidRPr="00CD3FE8" w14:paraId="4EF347AF" w14:textId="77777777" w:rsidTr="00CD3FE8">
        <w:trPr>
          <w:trHeight w:val="412"/>
        </w:trPr>
        <w:tc>
          <w:tcPr>
            <w:tcW w:w="112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3F9EBF4" w14:textId="77777777" w:rsidR="00CD3FE8" w:rsidRPr="00CD3FE8" w:rsidRDefault="00CD3FE8" w:rsidP="00CD3FE8">
            <w:pPr>
              <w:jc w:val="center"/>
              <w:rPr>
                <w:rFonts w:ascii="Arial Narrow" w:hAnsi="Arial Narrow" w:cs="Arial"/>
                <w:b/>
                <w:bCs/>
                <w:sz w:val="20"/>
                <w:szCs w:val="20"/>
                <w:lang w:val="bg-BG"/>
              </w:rPr>
            </w:pPr>
            <w:r w:rsidRPr="00CD3FE8">
              <w:rPr>
                <w:rFonts w:ascii="Arial Narrow" w:hAnsi="Arial Narrow" w:cs="Arial"/>
                <w:b/>
                <w:bCs/>
                <w:sz w:val="20"/>
                <w:szCs w:val="20"/>
                <w:lang w:val="bg-BG"/>
              </w:rPr>
              <w:t>Райони</w:t>
            </w:r>
          </w:p>
        </w:tc>
        <w:tc>
          <w:tcPr>
            <w:tcW w:w="2364" w:type="pct"/>
            <w:gridSpan w:val="3"/>
            <w:tcBorders>
              <w:top w:val="single" w:sz="4" w:space="0" w:color="auto"/>
              <w:left w:val="nil"/>
              <w:bottom w:val="single" w:sz="4" w:space="0" w:color="auto"/>
              <w:right w:val="single" w:sz="4" w:space="0" w:color="auto"/>
            </w:tcBorders>
            <w:shd w:val="clear" w:color="auto" w:fill="auto"/>
            <w:vAlign w:val="center"/>
            <w:hideMark/>
          </w:tcPr>
          <w:p w14:paraId="25DD9016" w14:textId="77777777" w:rsidR="00CD3FE8" w:rsidRPr="00CD3FE8" w:rsidRDefault="00CD3FE8" w:rsidP="00CD3FE8">
            <w:pPr>
              <w:jc w:val="center"/>
              <w:rPr>
                <w:rFonts w:ascii="Arial Narrow" w:hAnsi="Arial Narrow" w:cs="Arial"/>
                <w:b/>
                <w:bCs/>
                <w:sz w:val="20"/>
                <w:szCs w:val="20"/>
                <w:lang w:val="bg-BG"/>
              </w:rPr>
            </w:pPr>
            <w:r w:rsidRPr="00CD3FE8">
              <w:rPr>
                <w:rFonts w:ascii="Arial Narrow" w:hAnsi="Arial Narrow" w:cs="Arial"/>
                <w:b/>
                <w:bCs/>
                <w:sz w:val="20"/>
                <w:szCs w:val="20"/>
                <w:lang w:val="bg-BG"/>
              </w:rPr>
              <w:t>Грозде от лозя</w:t>
            </w:r>
          </w:p>
        </w:tc>
        <w:tc>
          <w:tcPr>
            <w:tcW w:w="75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FED686B" w14:textId="77777777" w:rsidR="00CD3FE8" w:rsidRPr="00CD3FE8" w:rsidRDefault="00CD3FE8" w:rsidP="00CD3FE8">
            <w:pPr>
              <w:jc w:val="center"/>
              <w:rPr>
                <w:rFonts w:ascii="Arial Narrow" w:hAnsi="Arial Narrow" w:cs="Arial"/>
                <w:b/>
                <w:bCs/>
                <w:sz w:val="20"/>
                <w:szCs w:val="20"/>
                <w:lang w:val="bg-BG"/>
              </w:rPr>
            </w:pPr>
            <w:r w:rsidRPr="00CD3FE8">
              <w:rPr>
                <w:rFonts w:ascii="Arial Narrow" w:hAnsi="Arial Narrow" w:cs="Arial"/>
                <w:b/>
                <w:bCs/>
                <w:sz w:val="20"/>
                <w:szCs w:val="20"/>
                <w:lang w:val="bg-BG"/>
              </w:rPr>
              <w:t>Грозде от асми</w:t>
            </w:r>
            <w:r w:rsidRPr="00CD3FE8">
              <w:rPr>
                <w:rFonts w:ascii="Arial Narrow" w:hAnsi="Arial Narrow" w:cs="Arial"/>
                <w:b/>
                <w:bCs/>
                <w:sz w:val="20"/>
                <w:szCs w:val="20"/>
                <w:lang w:val="bg-BG"/>
              </w:rPr>
              <w:br/>
              <w:t>(тона)</w:t>
            </w:r>
          </w:p>
        </w:tc>
        <w:tc>
          <w:tcPr>
            <w:tcW w:w="75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1CBB534" w14:textId="77777777" w:rsidR="00CD3FE8" w:rsidRPr="00CD3FE8" w:rsidRDefault="00CD3FE8" w:rsidP="00CD3FE8">
            <w:pPr>
              <w:jc w:val="center"/>
              <w:rPr>
                <w:rFonts w:ascii="Arial Narrow" w:hAnsi="Arial Narrow" w:cs="Arial"/>
                <w:b/>
                <w:bCs/>
                <w:sz w:val="20"/>
                <w:szCs w:val="20"/>
                <w:lang w:val="bg-BG"/>
              </w:rPr>
            </w:pPr>
            <w:r w:rsidRPr="00CD3FE8">
              <w:rPr>
                <w:rFonts w:ascii="Arial Narrow" w:hAnsi="Arial Narrow" w:cs="Arial"/>
                <w:b/>
                <w:bCs/>
                <w:sz w:val="20"/>
                <w:szCs w:val="20"/>
                <w:lang w:val="bg-BG"/>
              </w:rPr>
              <w:t xml:space="preserve">Общо произведено грозде </w:t>
            </w:r>
            <w:r w:rsidRPr="00CD3FE8">
              <w:rPr>
                <w:rFonts w:ascii="Arial Narrow" w:hAnsi="Arial Narrow" w:cs="Arial"/>
                <w:b/>
                <w:bCs/>
                <w:sz w:val="20"/>
                <w:szCs w:val="20"/>
                <w:lang w:val="bg-BG"/>
              </w:rPr>
              <w:br/>
              <w:t>(тона)</w:t>
            </w:r>
          </w:p>
        </w:tc>
      </w:tr>
      <w:tr w:rsidR="00CD3FE8" w:rsidRPr="00CD3FE8" w14:paraId="09CB3084" w14:textId="77777777" w:rsidTr="00CD3FE8">
        <w:trPr>
          <w:trHeight w:val="931"/>
        </w:trPr>
        <w:tc>
          <w:tcPr>
            <w:tcW w:w="1125" w:type="pct"/>
            <w:vMerge/>
            <w:tcBorders>
              <w:top w:val="single" w:sz="4" w:space="0" w:color="auto"/>
              <w:left w:val="single" w:sz="4" w:space="0" w:color="auto"/>
              <w:bottom w:val="single" w:sz="4" w:space="0" w:color="auto"/>
              <w:right w:val="single" w:sz="4" w:space="0" w:color="auto"/>
            </w:tcBorders>
            <w:vAlign w:val="center"/>
            <w:hideMark/>
          </w:tcPr>
          <w:p w14:paraId="6611DC77" w14:textId="77777777" w:rsidR="00CD3FE8" w:rsidRPr="00CD3FE8" w:rsidRDefault="00CD3FE8" w:rsidP="00CD3FE8">
            <w:pPr>
              <w:rPr>
                <w:rFonts w:ascii="Arial Narrow" w:hAnsi="Arial Narrow" w:cs="Arial"/>
                <w:b/>
                <w:bCs/>
                <w:sz w:val="20"/>
                <w:szCs w:val="20"/>
                <w:lang w:val="bg-BG"/>
              </w:rPr>
            </w:pPr>
          </w:p>
        </w:tc>
        <w:tc>
          <w:tcPr>
            <w:tcW w:w="704" w:type="pct"/>
            <w:tcBorders>
              <w:top w:val="nil"/>
              <w:left w:val="nil"/>
              <w:bottom w:val="single" w:sz="4" w:space="0" w:color="auto"/>
              <w:right w:val="single" w:sz="4" w:space="0" w:color="auto"/>
            </w:tcBorders>
            <w:shd w:val="clear" w:color="auto" w:fill="auto"/>
            <w:vAlign w:val="center"/>
            <w:hideMark/>
          </w:tcPr>
          <w:p w14:paraId="56439D8B" w14:textId="77777777" w:rsidR="00CD3FE8" w:rsidRPr="00CD3FE8" w:rsidRDefault="00CD3FE8" w:rsidP="00CD3FE8">
            <w:pPr>
              <w:jc w:val="center"/>
              <w:rPr>
                <w:rFonts w:ascii="Arial Narrow" w:hAnsi="Arial Narrow" w:cs="Arial"/>
                <w:b/>
                <w:bCs/>
                <w:sz w:val="20"/>
                <w:szCs w:val="20"/>
                <w:lang w:val="bg-BG"/>
              </w:rPr>
            </w:pPr>
            <w:r w:rsidRPr="00CD3FE8">
              <w:rPr>
                <w:rFonts w:ascii="Arial Narrow" w:hAnsi="Arial Narrow" w:cs="Arial"/>
                <w:b/>
                <w:bCs/>
                <w:sz w:val="20"/>
                <w:szCs w:val="20"/>
                <w:lang w:val="bg-BG"/>
              </w:rPr>
              <w:t>Винено</w:t>
            </w:r>
            <w:r w:rsidRPr="00CD3FE8">
              <w:rPr>
                <w:rFonts w:ascii="Arial Narrow" w:hAnsi="Arial Narrow" w:cs="Arial"/>
                <w:b/>
                <w:bCs/>
                <w:sz w:val="20"/>
                <w:szCs w:val="20"/>
                <w:lang w:val="bg-BG"/>
              </w:rPr>
              <w:br/>
              <w:t>(тона)</w:t>
            </w:r>
          </w:p>
        </w:tc>
        <w:tc>
          <w:tcPr>
            <w:tcW w:w="705" w:type="pct"/>
            <w:tcBorders>
              <w:top w:val="nil"/>
              <w:left w:val="nil"/>
              <w:bottom w:val="single" w:sz="4" w:space="0" w:color="auto"/>
              <w:right w:val="single" w:sz="4" w:space="0" w:color="auto"/>
            </w:tcBorders>
            <w:shd w:val="clear" w:color="auto" w:fill="auto"/>
            <w:vAlign w:val="center"/>
            <w:hideMark/>
          </w:tcPr>
          <w:p w14:paraId="7AFFAEF1" w14:textId="77777777" w:rsidR="00CD3FE8" w:rsidRPr="00CD3FE8" w:rsidRDefault="00CD3FE8" w:rsidP="00CD3FE8">
            <w:pPr>
              <w:jc w:val="center"/>
              <w:rPr>
                <w:rFonts w:ascii="Arial Narrow" w:hAnsi="Arial Narrow" w:cs="Arial"/>
                <w:b/>
                <w:bCs/>
                <w:sz w:val="20"/>
                <w:szCs w:val="20"/>
                <w:lang w:val="bg-BG"/>
              </w:rPr>
            </w:pPr>
            <w:r w:rsidRPr="00CD3FE8">
              <w:rPr>
                <w:rFonts w:ascii="Arial Narrow" w:hAnsi="Arial Narrow" w:cs="Arial"/>
                <w:b/>
                <w:bCs/>
                <w:sz w:val="20"/>
                <w:szCs w:val="20"/>
                <w:lang w:val="bg-BG"/>
              </w:rPr>
              <w:t>Десертно</w:t>
            </w:r>
            <w:r w:rsidRPr="00CD3FE8">
              <w:rPr>
                <w:rFonts w:ascii="Arial Narrow" w:hAnsi="Arial Narrow" w:cs="Arial"/>
                <w:b/>
                <w:bCs/>
                <w:sz w:val="20"/>
                <w:szCs w:val="20"/>
                <w:lang w:val="bg-BG"/>
              </w:rPr>
              <w:br/>
              <w:t>(тона)</w:t>
            </w:r>
          </w:p>
        </w:tc>
        <w:tc>
          <w:tcPr>
            <w:tcW w:w="954" w:type="pct"/>
            <w:tcBorders>
              <w:top w:val="nil"/>
              <w:left w:val="nil"/>
              <w:bottom w:val="single" w:sz="4" w:space="0" w:color="auto"/>
              <w:right w:val="single" w:sz="4" w:space="0" w:color="auto"/>
            </w:tcBorders>
            <w:shd w:val="clear" w:color="auto" w:fill="auto"/>
            <w:vAlign w:val="center"/>
            <w:hideMark/>
          </w:tcPr>
          <w:p w14:paraId="3DE73E66" w14:textId="77777777" w:rsidR="00CD3FE8" w:rsidRPr="00CD3FE8" w:rsidRDefault="00CD3FE8" w:rsidP="00CD3FE8">
            <w:pPr>
              <w:jc w:val="center"/>
              <w:rPr>
                <w:rFonts w:ascii="Arial Narrow" w:hAnsi="Arial Narrow" w:cs="Arial"/>
                <w:b/>
                <w:bCs/>
                <w:sz w:val="20"/>
                <w:szCs w:val="20"/>
                <w:lang w:val="bg-BG"/>
              </w:rPr>
            </w:pPr>
            <w:r w:rsidRPr="00CD3FE8">
              <w:rPr>
                <w:rFonts w:ascii="Arial Narrow" w:hAnsi="Arial Narrow" w:cs="Arial"/>
                <w:b/>
                <w:bCs/>
                <w:sz w:val="20"/>
                <w:szCs w:val="20"/>
                <w:lang w:val="bg-BG"/>
              </w:rPr>
              <w:t>Общо произведено грозде от лозя</w:t>
            </w:r>
            <w:r w:rsidRPr="00CD3FE8">
              <w:rPr>
                <w:rFonts w:ascii="Arial Narrow" w:hAnsi="Arial Narrow" w:cs="Arial"/>
                <w:b/>
                <w:bCs/>
                <w:sz w:val="20"/>
                <w:szCs w:val="20"/>
                <w:lang w:val="bg-BG"/>
              </w:rPr>
              <w:br/>
              <w:t>(тона)</w:t>
            </w:r>
          </w:p>
        </w:tc>
        <w:tc>
          <w:tcPr>
            <w:tcW w:w="759" w:type="pct"/>
            <w:vMerge/>
            <w:tcBorders>
              <w:top w:val="single" w:sz="4" w:space="0" w:color="auto"/>
              <w:left w:val="single" w:sz="4" w:space="0" w:color="auto"/>
              <w:bottom w:val="single" w:sz="4" w:space="0" w:color="auto"/>
              <w:right w:val="single" w:sz="4" w:space="0" w:color="auto"/>
            </w:tcBorders>
            <w:vAlign w:val="center"/>
            <w:hideMark/>
          </w:tcPr>
          <w:p w14:paraId="6B51A9CA" w14:textId="77777777" w:rsidR="00CD3FE8" w:rsidRPr="00CD3FE8" w:rsidRDefault="00CD3FE8" w:rsidP="00CD3FE8">
            <w:pPr>
              <w:rPr>
                <w:rFonts w:ascii="Arial Narrow" w:hAnsi="Arial Narrow" w:cs="Arial"/>
                <w:b/>
                <w:bCs/>
                <w:sz w:val="20"/>
                <w:szCs w:val="20"/>
                <w:lang w:val="bg-BG"/>
              </w:rPr>
            </w:pPr>
          </w:p>
        </w:tc>
        <w:tc>
          <w:tcPr>
            <w:tcW w:w="752" w:type="pct"/>
            <w:vMerge/>
            <w:tcBorders>
              <w:top w:val="single" w:sz="4" w:space="0" w:color="auto"/>
              <w:left w:val="single" w:sz="4" w:space="0" w:color="auto"/>
              <w:bottom w:val="single" w:sz="4" w:space="0" w:color="auto"/>
              <w:right w:val="single" w:sz="4" w:space="0" w:color="auto"/>
            </w:tcBorders>
            <w:vAlign w:val="center"/>
            <w:hideMark/>
          </w:tcPr>
          <w:p w14:paraId="36EBA950" w14:textId="77777777" w:rsidR="00CD3FE8" w:rsidRPr="00CD3FE8" w:rsidRDefault="00CD3FE8" w:rsidP="00CD3FE8">
            <w:pPr>
              <w:rPr>
                <w:rFonts w:ascii="Arial Narrow" w:hAnsi="Arial Narrow" w:cs="Arial"/>
                <w:b/>
                <w:bCs/>
                <w:sz w:val="20"/>
                <w:szCs w:val="20"/>
                <w:lang w:val="bg-BG"/>
              </w:rPr>
            </w:pPr>
          </w:p>
        </w:tc>
      </w:tr>
      <w:tr w:rsidR="00CD3FE8" w:rsidRPr="00CD3FE8" w14:paraId="4049B40B" w14:textId="77777777" w:rsidTr="00CD3FE8">
        <w:trPr>
          <w:trHeight w:val="305"/>
        </w:trPr>
        <w:tc>
          <w:tcPr>
            <w:tcW w:w="1125" w:type="pct"/>
            <w:tcBorders>
              <w:top w:val="nil"/>
              <w:left w:val="single" w:sz="4" w:space="0" w:color="auto"/>
              <w:bottom w:val="single" w:sz="4" w:space="0" w:color="auto"/>
              <w:right w:val="single" w:sz="4" w:space="0" w:color="auto"/>
            </w:tcBorders>
            <w:shd w:val="clear" w:color="000000" w:fill="FFFFFF"/>
            <w:noWrap/>
            <w:vAlign w:val="center"/>
            <w:hideMark/>
          </w:tcPr>
          <w:p w14:paraId="5310F23F" w14:textId="77777777" w:rsidR="00CD3FE8" w:rsidRPr="00CD3FE8" w:rsidRDefault="00CD3FE8" w:rsidP="00CD3FE8">
            <w:pPr>
              <w:rPr>
                <w:rFonts w:ascii="Arial Narrow" w:hAnsi="Arial Narrow" w:cs="Arial"/>
                <w:sz w:val="20"/>
                <w:szCs w:val="20"/>
                <w:lang w:val="bg-BG"/>
              </w:rPr>
            </w:pPr>
            <w:r w:rsidRPr="00CD3FE8">
              <w:rPr>
                <w:rFonts w:ascii="Arial Narrow" w:hAnsi="Arial Narrow" w:cs="Arial"/>
                <w:sz w:val="20"/>
                <w:szCs w:val="20"/>
                <w:lang w:val="bg-BG"/>
              </w:rPr>
              <w:t>Северозападен</w:t>
            </w:r>
          </w:p>
        </w:tc>
        <w:tc>
          <w:tcPr>
            <w:tcW w:w="704" w:type="pct"/>
            <w:tcBorders>
              <w:top w:val="nil"/>
              <w:left w:val="nil"/>
              <w:bottom w:val="single" w:sz="4" w:space="0" w:color="auto"/>
              <w:right w:val="single" w:sz="4" w:space="0" w:color="auto"/>
            </w:tcBorders>
            <w:shd w:val="clear" w:color="auto" w:fill="auto"/>
            <w:noWrap/>
            <w:vAlign w:val="center"/>
            <w:hideMark/>
          </w:tcPr>
          <w:p w14:paraId="4C2A40DD" w14:textId="77777777" w:rsidR="00CD3FE8" w:rsidRPr="00CD3FE8" w:rsidRDefault="00CD3FE8" w:rsidP="00CD3FE8">
            <w:pPr>
              <w:jc w:val="right"/>
              <w:rPr>
                <w:rFonts w:ascii="Arial Narrow" w:hAnsi="Arial Narrow" w:cs="Arial"/>
                <w:sz w:val="20"/>
                <w:szCs w:val="20"/>
                <w:lang w:val="bg-BG"/>
              </w:rPr>
            </w:pPr>
            <w:r w:rsidRPr="00CD3FE8">
              <w:rPr>
                <w:rFonts w:ascii="Arial Narrow" w:hAnsi="Arial Narrow" w:cs="Arial"/>
                <w:sz w:val="20"/>
                <w:szCs w:val="20"/>
                <w:lang w:val="bg-BG"/>
              </w:rPr>
              <w:t>6 303</w:t>
            </w:r>
          </w:p>
        </w:tc>
        <w:tc>
          <w:tcPr>
            <w:tcW w:w="705" w:type="pct"/>
            <w:tcBorders>
              <w:top w:val="nil"/>
              <w:left w:val="nil"/>
              <w:bottom w:val="single" w:sz="4" w:space="0" w:color="auto"/>
              <w:right w:val="single" w:sz="4" w:space="0" w:color="auto"/>
            </w:tcBorders>
            <w:shd w:val="clear" w:color="auto" w:fill="auto"/>
            <w:noWrap/>
            <w:vAlign w:val="center"/>
            <w:hideMark/>
          </w:tcPr>
          <w:p w14:paraId="0C07404B" w14:textId="77777777" w:rsidR="00CD3FE8" w:rsidRPr="00CD3FE8" w:rsidRDefault="00CD3FE8" w:rsidP="00CD3FE8">
            <w:pPr>
              <w:jc w:val="right"/>
              <w:rPr>
                <w:rFonts w:ascii="Arial Narrow" w:hAnsi="Arial Narrow" w:cs="Arial"/>
                <w:sz w:val="20"/>
                <w:szCs w:val="20"/>
                <w:lang w:val="bg-BG"/>
              </w:rPr>
            </w:pPr>
            <w:r w:rsidRPr="00CD3FE8">
              <w:rPr>
                <w:rFonts w:ascii="Arial Narrow" w:hAnsi="Arial Narrow" w:cs="Arial"/>
                <w:sz w:val="20"/>
                <w:szCs w:val="20"/>
                <w:lang w:val="bg-BG"/>
              </w:rPr>
              <w:t>76</w:t>
            </w:r>
          </w:p>
        </w:tc>
        <w:tc>
          <w:tcPr>
            <w:tcW w:w="954" w:type="pct"/>
            <w:tcBorders>
              <w:top w:val="nil"/>
              <w:left w:val="nil"/>
              <w:bottom w:val="single" w:sz="4" w:space="0" w:color="auto"/>
              <w:right w:val="single" w:sz="4" w:space="0" w:color="auto"/>
            </w:tcBorders>
            <w:shd w:val="clear" w:color="auto" w:fill="auto"/>
            <w:noWrap/>
            <w:vAlign w:val="center"/>
            <w:hideMark/>
          </w:tcPr>
          <w:p w14:paraId="0D3A4734" w14:textId="77777777" w:rsidR="00CD3FE8" w:rsidRPr="00CD3FE8" w:rsidRDefault="00CD3FE8" w:rsidP="00CD3FE8">
            <w:pPr>
              <w:jc w:val="right"/>
              <w:rPr>
                <w:rFonts w:ascii="Arial Narrow" w:hAnsi="Arial Narrow" w:cs="Arial"/>
                <w:sz w:val="20"/>
                <w:szCs w:val="20"/>
                <w:lang w:val="bg-BG"/>
              </w:rPr>
            </w:pPr>
            <w:r w:rsidRPr="00CD3FE8">
              <w:rPr>
                <w:rFonts w:ascii="Arial Narrow" w:hAnsi="Arial Narrow" w:cs="Arial"/>
                <w:sz w:val="20"/>
                <w:szCs w:val="20"/>
                <w:lang w:val="bg-BG"/>
              </w:rPr>
              <w:t>6 379</w:t>
            </w:r>
          </w:p>
        </w:tc>
        <w:tc>
          <w:tcPr>
            <w:tcW w:w="759" w:type="pct"/>
            <w:tcBorders>
              <w:top w:val="nil"/>
              <w:left w:val="nil"/>
              <w:bottom w:val="single" w:sz="4" w:space="0" w:color="auto"/>
              <w:right w:val="single" w:sz="4" w:space="0" w:color="auto"/>
            </w:tcBorders>
            <w:shd w:val="clear" w:color="auto" w:fill="auto"/>
            <w:noWrap/>
            <w:vAlign w:val="center"/>
            <w:hideMark/>
          </w:tcPr>
          <w:p w14:paraId="0FCA5416" w14:textId="77777777" w:rsidR="00CD3FE8" w:rsidRPr="00CD3FE8" w:rsidRDefault="00CD3FE8" w:rsidP="00CD3FE8">
            <w:pPr>
              <w:jc w:val="right"/>
              <w:rPr>
                <w:sz w:val="18"/>
                <w:szCs w:val="18"/>
                <w:lang w:val="bg-BG"/>
              </w:rPr>
            </w:pPr>
            <w:r w:rsidRPr="00CD3FE8">
              <w:rPr>
                <w:sz w:val="18"/>
                <w:szCs w:val="18"/>
                <w:lang w:val="bg-BG"/>
              </w:rPr>
              <w:t>-</w:t>
            </w:r>
          </w:p>
        </w:tc>
        <w:tc>
          <w:tcPr>
            <w:tcW w:w="752" w:type="pct"/>
            <w:tcBorders>
              <w:top w:val="nil"/>
              <w:left w:val="nil"/>
              <w:bottom w:val="single" w:sz="4" w:space="0" w:color="auto"/>
              <w:right w:val="single" w:sz="4" w:space="0" w:color="auto"/>
            </w:tcBorders>
            <w:shd w:val="clear" w:color="auto" w:fill="auto"/>
            <w:noWrap/>
            <w:vAlign w:val="center"/>
            <w:hideMark/>
          </w:tcPr>
          <w:p w14:paraId="60087A53" w14:textId="77777777" w:rsidR="00CD3FE8" w:rsidRPr="00CD3FE8" w:rsidRDefault="00CD3FE8" w:rsidP="00CD3FE8">
            <w:pPr>
              <w:jc w:val="right"/>
              <w:rPr>
                <w:rFonts w:ascii="Arial Narrow" w:hAnsi="Arial Narrow" w:cs="Arial"/>
                <w:sz w:val="20"/>
                <w:szCs w:val="20"/>
                <w:lang w:val="bg-BG"/>
              </w:rPr>
            </w:pPr>
            <w:r w:rsidRPr="00CD3FE8">
              <w:rPr>
                <w:rFonts w:ascii="Arial Narrow" w:hAnsi="Arial Narrow" w:cs="Arial"/>
                <w:sz w:val="20"/>
                <w:szCs w:val="20"/>
                <w:lang w:val="bg-BG"/>
              </w:rPr>
              <w:t>-</w:t>
            </w:r>
          </w:p>
        </w:tc>
      </w:tr>
      <w:tr w:rsidR="00CD3FE8" w:rsidRPr="00CD3FE8" w14:paraId="22C52F8F" w14:textId="77777777" w:rsidTr="00CD3FE8">
        <w:trPr>
          <w:trHeight w:val="305"/>
        </w:trPr>
        <w:tc>
          <w:tcPr>
            <w:tcW w:w="1125" w:type="pct"/>
            <w:tcBorders>
              <w:top w:val="nil"/>
              <w:left w:val="single" w:sz="4" w:space="0" w:color="auto"/>
              <w:bottom w:val="single" w:sz="4" w:space="0" w:color="auto"/>
              <w:right w:val="single" w:sz="4" w:space="0" w:color="auto"/>
            </w:tcBorders>
            <w:shd w:val="clear" w:color="auto" w:fill="auto"/>
            <w:noWrap/>
            <w:vAlign w:val="center"/>
            <w:hideMark/>
          </w:tcPr>
          <w:p w14:paraId="668CE76E" w14:textId="77777777" w:rsidR="00CD3FE8" w:rsidRPr="00CD3FE8" w:rsidRDefault="00CD3FE8" w:rsidP="00CD3FE8">
            <w:pPr>
              <w:rPr>
                <w:rFonts w:ascii="Arial Narrow" w:hAnsi="Arial Narrow" w:cs="Arial"/>
                <w:sz w:val="20"/>
                <w:szCs w:val="20"/>
                <w:lang w:val="bg-BG"/>
              </w:rPr>
            </w:pPr>
            <w:r w:rsidRPr="00CD3FE8">
              <w:rPr>
                <w:rFonts w:ascii="Arial Narrow" w:hAnsi="Arial Narrow" w:cs="Arial"/>
                <w:sz w:val="20"/>
                <w:szCs w:val="20"/>
                <w:lang w:val="bg-BG"/>
              </w:rPr>
              <w:t>Северен централен</w:t>
            </w:r>
          </w:p>
        </w:tc>
        <w:tc>
          <w:tcPr>
            <w:tcW w:w="704" w:type="pct"/>
            <w:tcBorders>
              <w:top w:val="nil"/>
              <w:left w:val="nil"/>
              <w:bottom w:val="single" w:sz="4" w:space="0" w:color="auto"/>
              <w:right w:val="single" w:sz="4" w:space="0" w:color="auto"/>
            </w:tcBorders>
            <w:shd w:val="clear" w:color="auto" w:fill="auto"/>
            <w:noWrap/>
            <w:vAlign w:val="center"/>
            <w:hideMark/>
          </w:tcPr>
          <w:p w14:paraId="46975435" w14:textId="77777777" w:rsidR="00CD3FE8" w:rsidRPr="00CD3FE8" w:rsidRDefault="00CD3FE8" w:rsidP="00CD3FE8">
            <w:pPr>
              <w:jc w:val="right"/>
              <w:rPr>
                <w:rFonts w:ascii="Arial Narrow" w:hAnsi="Arial Narrow" w:cs="Arial"/>
                <w:sz w:val="20"/>
                <w:szCs w:val="20"/>
                <w:lang w:val="bg-BG"/>
              </w:rPr>
            </w:pPr>
            <w:r w:rsidRPr="00CD3FE8">
              <w:rPr>
                <w:rFonts w:ascii="Arial Narrow" w:hAnsi="Arial Narrow" w:cs="Arial"/>
                <w:sz w:val="20"/>
                <w:szCs w:val="20"/>
                <w:lang w:val="bg-BG"/>
              </w:rPr>
              <w:t>4 216</w:t>
            </w:r>
          </w:p>
        </w:tc>
        <w:tc>
          <w:tcPr>
            <w:tcW w:w="705" w:type="pct"/>
            <w:tcBorders>
              <w:top w:val="nil"/>
              <w:left w:val="nil"/>
              <w:bottom w:val="single" w:sz="4" w:space="0" w:color="auto"/>
              <w:right w:val="single" w:sz="4" w:space="0" w:color="auto"/>
            </w:tcBorders>
            <w:shd w:val="clear" w:color="auto" w:fill="auto"/>
            <w:noWrap/>
            <w:vAlign w:val="center"/>
            <w:hideMark/>
          </w:tcPr>
          <w:p w14:paraId="368648A6" w14:textId="77777777" w:rsidR="00CD3FE8" w:rsidRPr="00CD3FE8" w:rsidRDefault="00CD3FE8" w:rsidP="00CD3FE8">
            <w:pPr>
              <w:jc w:val="right"/>
              <w:rPr>
                <w:rFonts w:ascii="Arial Narrow" w:hAnsi="Arial Narrow" w:cs="Arial"/>
                <w:sz w:val="20"/>
                <w:szCs w:val="20"/>
                <w:lang w:val="bg-BG"/>
              </w:rPr>
            </w:pPr>
            <w:r w:rsidRPr="00CD3FE8">
              <w:rPr>
                <w:rFonts w:ascii="Arial Narrow" w:hAnsi="Arial Narrow" w:cs="Arial"/>
                <w:sz w:val="20"/>
                <w:szCs w:val="20"/>
                <w:lang w:val="bg-BG"/>
              </w:rPr>
              <w:t>297</w:t>
            </w:r>
          </w:p>
        </w:tc>
        <w:tc>
          <w:tcPr>
            <w:tcW w:w="954" w:type="pct"/>
            <w:tcBorders>
              <w:top w:val="nil"/>
              <w:left w:val="nil"/>
              <w:bottom w:val="single" w:sz="4" w:space="0" w:color="auto"/>
              <w:right w:val="single" w:sz="4" w:space="0" w:color="auto"/>
            </w:tcBorders>
            <w:shd w:val="clear" w:color="auto" w:fill="auto"/>
            <w:noWrap/>
            <w:vAlign w:val="center"/>
            <w:hideMark/>
          </w:tcPr>
          <w:p w14:paraId="589DE883" w14:textId="77777777" w:rsidR="00CD3FE8" w:rsidRPr="00CD3FE8" w:rsidRDefault="00CD3FE8" w:rsidP="00CD3FE8">
            <w:pPr>
              <w:jc w:val="right"/>
              <w:rPr>
                <w:rFonts w:ascii="Arial Narrow" w:hAnsi="Arial Narrow" w:cs="Arial"/>
                <w:sz w:val="20"/>
                <w:szCs w:val="20"/>
                <w:lang w:val="bg-BG"/>
              </w:rPr>
            </w:pPr>
            <w:r w:rsidRPr="00CD3FE8">
              <w:rPr>
                <w:rFonts w:ascii="Arial Narrow" w:hAnsi="Arial Narrow" w:cs="Arial"/>
                <w:sz w:val="20"/>
                <w:szCs w:val="20"/>
                <w:lang w:val="bg-BG"/>
              </w:rPr>
              <w:t>4 513</w:t>
            </w:r>
          </w:p>
        </w:tc>
        <w:tc>
          <w:tcPr>
            <w:tcW w:w="759" w:type="pct"/>
            <w:tcBorders>
              <w:top w:val="nil"/>
              <w:left w:val="nil"/>
              <w:bottom w:val="single" w:sz="4" w:space="0" w:color="auto"/>
              <w:right w:val="single" w:sz="4" w:space="0" w:color="auto"/>
            </w:tcBorders>
            <w:shd w:val="clear" w:color="auto" w:fill="auto"/>
            <w:noWrap/>
            <w:vAlign w:val="center"/>
            <w:hideMark/>
          </w:tcPr>
          <w:p w14:paraId="3CEDCC1F" w14:textId="77777777" w:rsidR="00CD3FE8" w:rsidRPr="00CD3FE8" w:rsidRDefault="00CD3FE8" w:rsidP="00CD3FE8">
            <w:pPr>
              <w:jc w:val="right"/>
              <w:rPr>
                <w:sz w:val="18"/>
                <w:szCs w:val="18"/>
                <w:lang w:val="bg-BG"/>
              </w:rPr>
            </w:pPr>
            <w:r w:rsidRPr="00CD3FE8">
              <w:rPr>
                <w:sz w:val="18"/>
                <w:szCs w:val="18"/>
                <w:lang w:val="bg-BG"/>
              </w:rPr>
              <w:t>-</w:t>
            </w:r>
          </w:p>
        </w:tc>
        <w:tc>
          <w:tcPr>
            <w:tcW w:w="752" w:type="pct"/>
            <w:tcBorders>
              <w:top w:val="nil"/>
              <w:left w:val="nil"/>
              <w:bottom w:val="single" w:sz="4" w:space="0" w:color="auto"/>
              <w:right w:val="single" w:sz="4" w:space="0" w:color="auto"/>
            </w:tcBorders>
            <w:shd w:val="clear" w:color="auto" w:fill="auto"/>
            <w:noWrap/>
            <w:vAlign w:val="center"/>
            <w:hideMark/>
          </w:tcPr>
          <w:p w14:paraId="09BC95A2" w14:textId="77777777" w:rsidR="00CD3FE8" w:rsidRPr="00CD3FE8" w:rsidRDefault="00CD3FE8" w:rsidP="00CD3FE8">
            <w:pPr>
              <w:jc w:val="right"/>
              <w:rPr>
                <w:rFonts w:ascii="Arial Narrow" w:hAnsi="Arial Narrow" w:cs="Arial"/>
                <w:sz w:val="20"/>
                <w:szCs w:val="20"/>
                <w:lang w:val="bg-BG"/>
              </w:rPr>
            </w:pPr>
            <w:r w:rsidRPr="00CD3FE8">
              <w:rPr>
                <w:rFonts w:ascii="Arial Narrow" w:hAnsi="Arial Narrow" w:cs="Arial"/>
                <w:sz w:val="20"/>
                <w:szCs w:val="20"/>
                <w:lang w:val="bg-BG"/>
              </w:rPr>
              <w:t>-</w:t>
            </w:r>
          </w:p>
        </w:tc>
      </w:tr>
      <w:tr w:rsidR="00CD3FE8" w:rsidRPr="00CD3FE8" w14:paraId="3629A0E1" w14:textId="77777777" w:rsidTr="00CD3FE8">
        <w:trPr>
          <w:trHeight w:val="305"/>
        </w:trPr>
        <w:tc>
          <w:tcPr>
            <w:tcW w:w="1125" w:type="pct"/>
            <w:tcBorders>
              <w:top w:val="nil"/>
              <w:left w:val="single" w:sz="4" w:space="0" w:color="auto"/>
              <w:bottom w:val="single" w:sz="4" w:space="0" w:color="auto"/>
              <w:right w:val="single" w:sz="4" w:space="0" w:color="auto"/>
            </w:tcBorders>
            <w:shd w:val="clear" w:color="000000" w:fill="FFFFFF"/>
            <w:noWrap/>
            <w:vAlign w:val="center"/>
            <w:hideMark/>
          </w:tcPr>
          <w:p w14:paraId="01BE5446" w14:textId="77777777" w:rsidR="00CD3FE8" w:rsidRPr="00CD3FE8" w:rsidRDefault="00CD3FE8" w:rsidP="00CD3FE8">
            <w:pPr>
              <w:rPr>
                <w:rFonts w:ascii="Arial Narrow" w:hAnsi="Arial Narrow" w:cs="Arial"/>
                <w:sz w:val="20"/>
                <w:szCs w:val="20"/>
                <w:lang w:val="bg-BG"/>
              </w:rPr>
            </w:pPr>
            <w:r w:rsidRPr="00CD3FE8">
              <w:rPr>
                <w:rFonts w:ascii="Arial Narrow" w:hAnsi="Arial Narrow" w:cs="Arial"/>
                <w:sz w:val="20"/>
                <w:szCs w:val="20"/>
                <w:lang w:val="bg-BG"/>
              </w:rPr>
              <w:t>Североизточен</w:t>
            </w:r>
          </w:p>
        </w:tc>
        <w:tc>
          <w:tcPr>
            <w:tcW w:w="704" w:type="pct"/>
            <w:tcBorders>
              <w:top w:val="nil"/>
              <w:left w:val="nil"/>
              <w:bottom w:val="single" w:sz="4" w:space="0" w:color="auto"/>
              <w:right w:val="single" w:sz="4" w:space="0" w:color="auto"/>
            </w:tcBorders>
            <w:shd w:val="clear" w:color="auto" w:fill="auto"/>
            <w:noWrap/>
            <w:vAlign w:val="center"/>
            <w:hideMark/>
          </w:tcPr>
          <w:p w14:paraId="7DB3B44D" w14:textId="77777777" w:rsidR="00CD3FE8" w:rsidRPr="00CD3FE8" w:rsidRDefault="00CD3FE8" w:rsidP="00CD3FE8">
            <w:pPr>
              <w:jc w:val="right"/>
              <w:rPr>
                <w:rFonts w:ascii="Arial Narrow" w:hAnsi="Arial Narrow" w:cs="Arial"/>
                <w:sz w:val="20"/>
                <w:szCs w:val="20"/>
                <w:lang w:val="bg-BG"/>
              </w:rPr>
            </w:pPr>
            <w:r w:rsidRPr="00CD3FE8">
              <w:rPr>
                <w:rFonts w:ascii="Arial Narrow" w:hAnsi="Arial Narrow" w:cs="Arial"/>
                <w:sz w:val="20"/>
                <w:szCs w:val="20"/>
                <w:lang w:val="bg-BG"/>
              </w:rPr>
              <w:t>13 671</w:t>
            </w:r>
          </w:p>
        </w:tc>
        <w:tc>
          <w:tcPr>
            <w:tcW w:w="705" w:type="pct"/>
            <w:tcBorders>
              <w:top w:val="nil"/>
              <w:left w:val="nil"/>
              <w:bottom w:val="single" w:sz="4" w:space="0" w:color="auto"/>
              <w:right w:val="single" w:sz="4" w:space="0" w:color="auto"/>
            </w:tcBorders>
            <w:shd w:val="clear" w:color="auto" w:fill="auto"/>
            <w:noWrap/>
            <w:vAlign w:val="center"/>
            <w:hideMark/>
          </w:tcPr>
          <w:p w14:paraId="7218FAFD" w14:textId="77777777" w:rsidR="00CD3FE8" w:rsidRPr="00CD3FE8" w:rsidRDefault="00CD3FE8" w:rsidP="00CD3FE8">
            <w:pPr>
              <w:jc w:val="right"/>
              <w:rPr>
                <w:rFonts w:ascii="Arial Narrow" w:hAnsi="Arial Narrow" w:cs="Arial"/>
                <w:sz w:val="20"/>
                <w:szCs w:val="20"/>
                <w:lang w:val="bg-BG"/>
              </w:rPr>
            </w:pPr>
            <w:r w:rsidRPr="00CD3FE8">
              <w:rPr>
                <w:rFonts w:ascii="Arial Narrow" w:hAnsi="Arial Narrow" w:cs="Arial"/>
                <w:sz w:val="20"/>
                <w:szCs w:val="20"/>
                <w:lang w:val="bg-BG"/>
              </w:rPr>
              <w:t>398</w:t>
            </w:r>
          </w:p>
        </w:tc>
        <w:tc>
          <w:tcPr>
            <w:tcW w:w="954" w:type="pct"/>
            <w:tcBorders>
              <w:top w:val="nil"/>
              <w:left w:val="nil"/>
              <w:bottom w:val="single" w:sz="4" w:space="0" w:color="auto"/>
              <w:right w:val="single" w:sz="4" w:space="0" w:color="auto"/>
            </w:tcBorders>
            <w:shd w:val="clear" w:color="auto" w:fill="auto"/>
            <w:noWrap/>
            <w:vAlign w:val="center"/>
            <w:hideMark/>
          </w:tcPr>
          <w:p w14:paraId="4361A6FC" w14:textId="77777777" w:rsidR="00CD3FE8" w:rsidRPr="00CD3FE8" w:rsidRDefault="00CD3FE8" w:rsidP="00CD3FE8">
            <w:pPr>
              <w:jc w:val="right"/>
              <w:rPr>
                <w:rFonts w:ascii="Arial Narrow" w:hAnsi="Arial Narrow" w:cs="Arial"/>
                <w:sz w:val="20"/>
                <w:szCs w:val="20"/>
                <w:lang w:val="bg-BG"/>
              </w:rPr>
            </w:pPr>
            <w:r w:rsidRPr="00CD3FE8">
              <w:rPr>
                <w:rFonts w:ascii="Arial Narrow" w:hAnsi="Arial Narrow" w:cs="Arial"/>
                <w:sz w:val="20"/>
                <w:szCs w:val="20"/>
                <w:lang w:val="bg-BG"/>
              </w:rPr>
              <w:t>14 069</w:t>
            </w:r>
          </w:p>
        </w:tc>
        <w:tc>
          <w:tcPr>
            <w:tcW w:w="759" w:type="pct"/>
            <w:tcBorders>
              <w:top w:val="nil"/>
              <w:left w:val="nil"/>
              <w:bottom w:val="single" w:sz="4" w:space="0" w:color="auto"/>
              <w:right w:val="single" w:sz="4" w:space="0" w:color="auto"/>
            </w:tcBorders>
            <w:shd w:val="clear" w:color="auto" w:fill="auto"/>
            <w:noWrap/>
            <w:vAlign w:val="center"/>
            <w:hideMark/>
          </w:tcPr>
          <w:p w14:paraId="144FDAC1" w14:textId="77777777" w:rsidR="00CD3FE8" w:rsidRPr="00CD3FE8" w:rsidRDefault="00CD3FE8" w:rsidP="00CD3FE8">
            <w:pPr>
              <w:jc w:val="right"/>
              <w:rPr>
                <w:sz w:val="18"/>
                <w:szCs w:val="18"/>
                <w:lang w:val="bg-BG"/>
              </w:rPr>
            </w:pPr>
            <w:r w:rsidRPr="00CD3FE8">
              <w:rPr>
                <w:sz w:val="18"/>
                <w:szCs w:val="18"/>
                <w:lang w:val="bg-BG"/>
              </w:rPr>
              <w:t>-</w:t>
            </w:r>
          </w:p>
        </w:tc>
        <w:tc>
          <w:tcPr>
            <w:tcW w:w="752" w:type="pct"/>
            <w:tcBorders>
              <w:top w:val="nil"/>
              <w:left w:val="nil"/>
              <w:bottom w:val="single" w:sz="4" w:space="0" w:color="auto"/>
              <w:right w:val="single" w:sz="4" w:space="0" w:color="auto"/>
            </w:tcBorders>
            <w:shd w:val="clear" w:color="auto" w:fill="auto"/>
            <w:noWrap/>
            <w:vAlign w:val="center"/>
            <w:hideMark/>
          </w:tcPr>
          <w:p w14:paraId="5687E359" w14:textId="77777777" w:rsidR="00CD3FE8" w:rsidRPr="00CD3FE8" w:rsidRDefault="00CD3FE8" w:rsidP="00CD3FE8">
            <w:pPr>
              <w:jc w:val="right"/>
              <w:rPr>
                <w:rFonts w:ascii="Arial Narrow" w:hAnsi="Arial Narrow" w:cs="Arial"/>
                <w:sz w:val="20"/>
                <w:szCs w:val="20"/>
                <w:lang w:val="bg-BG"/>
              </w:rPr>
            </w:pPr>
            <w:r w:rsidRPr="00CD3FE8">
              <w:rPr>
                <w:rFonts w:ascii="Arial Narrow" w:hAnsi="Arial Narrow" w:cs="Arial"/>
                <w:sz w:val="20"/>
                <w:szCs w:val="20"/>
                <w:lang w:val="bg-BG"/>
              </w:rPr>
              <w:t>-</w:t>
            </w:r>
          </w:p>
        </w:tc>
      </w:tr>
      <w:tr w:rsidR="00CD3FE8" w:rsidRPr="00CD3FE8" w14:paraId="2D6D91D8" w14:textId="77777777" w:rsidTr="00CD3FE8">
        <w:trPr>
          <w:trHeight w:val="305"/>
        </w:trPr>
        <w:tc>
          <w:tcPr>
            <w:tcW w:w="1125" w:type="pct"/>
            <w:tcBorders>
              <w:top w:val="nil"/>
              <w:left w:val="single" w:sz="4" w:space="0" w:color="auto"/>
              <w:bottom w:val="single" w:sz="4" w:space="0" w:color="auto"/>
              <w:right w:val="single" w:sz="4" w:space="0" w:color="auto"/>
            </w:tcBorders>
            <w:shd w:val="clear" w:color="auto" w:fill="auto"/>
            <w:noWrap/>
            <w:vAlign w:val="center"/>
            <w:hideMark/>
          </w:tcPr>
          <w:p w14:paraId="760D9F84" w14:textId="77777777" w:rsidR="00CD3FE8" w:rsidRPr="00CD3FE8" w:rsidRDefault="00CD3FE8" w:rsidP="00CD3FE8">
            <w:pPr>
              <w:rPr>
                <w:rFonts w:ascii="Arial Narrow" w:hAnsi="Arial Narrow" w:cs="Arial"/>
                <w:sz w:val="20"/>
                <w:szCs w:val="20"/>
                <w:lang w:val="bg-BG"/>
              </w:rPr>
            </w:pPr>
            <w:r w:rsidRPr="00CD3FE8">
              <w:rPr>
                <w:rFonts w:ascii="Arial Narrow" w:hAnsi="Arial Narrow" w:cs="Arial"/>
                <w:sz w:val="20"/>
                <w:szCs w:val="20"/>
                <w:lang w:val="bg-BG"/>
              </w:rPr>
              <w:t>Югоизточен</w:t>
            </w:r>
          </w:p>
        </w:tc>
        <w:tc>
          <w:tcPr>
            <w:tcW w:w="704" w:type="pct"/>
            <w:tcBorders>
              <w:top w:val="nil"/>
              <w:left w:val="nil"/>
              <w:bottom w:val="single" w:sz="4" w:space="0" w:color="auto"/>
              <w:right w:val="single" w:sz="4" w:space="0" w:color="auto"/>
            </w:tcBorders>
            <w:shd w:val="clear" w:color="auto" w:fill="auto"/>
            <w:noWrap/>
            <w:vAlign w:val="center"/>
            <w:hideMark/>
          </w:tcPr>
          <w:p w14:paraId="03AD8B9C" w14:textId="77777777" w:rsidR="00CD3FE8" w:rsidRPr="00CD3FE8" w:rsidRDefault="00CD3FE8" w:rsidP="00CD3FE8">
            <w:pPr>
              <w:jc w:val="right"/>
              <w:rPr>
                <w:rFonts w:ascii="Arial Narrow" w:hAnsi="Arial Narrow" w:cs="Arial"/>
                <w:sz w:val="20"/>
                <w:szCs w:val="20"/>
                <w:lang w:val="bg-BG"/>
              </w:rPr>
            </w:pPr>
            <w:r w:rsidRPr="00CD3FE8">
              <w:rPr>
                <w:rFonts w:ascii="Arial Narrow" w:hAnsi="Arial Narrow" w:cs="Arial"/>
                <w:sz w:val="20"/>
                <w:szCs w:val="20"/>
                <w:lang w:val="bg-BG"/>
              </w:rPr>
              <w:t>53 239</w:t>
            </w:r>
          </w:p>
        </w:tc>
        <w:tc>
          <w:tcPr>
            <w:tcW w:w="705" w:type="pct"/>
            <w:tcBorders>
              <w:top w:val="nil"/>
              <w:left w:val="nil"/>
              <w:bottom w:val="single" w:sz="4" w:space="0" w:color="auto"/>
              <w:right w:val="single" w:sz="4" w:space="0" w:color="auto"/>
            </w:tcBorders>
            <w:shd w:val="clear" w:color="auto" w:fill="auto"/>
            <w:noWrap/>
            <w:vAlign w:val="center"/>
            <w:hideMark/>
          </w:tcPr>
          <w:p w14:paraId="33D18E81" w14:textId="77777777" w:rsidR="00CD3FE8" w:rsidRPr="00CD3FE8" w:rsidRDefault="00CD3FE8" w:rsidP="00CD3FE8">
            <w:pPr>
              <w:jc w:val="right"/>
              <w:rPr>
                <w:rFonts w:ascii="Arial Narrow" w:hAnsi="Arial Narrow" w:cs="Arial"/>
                <w:sz w:val="20"/>
                <w:szCs w:val="20"/>
                <w:lang w:val="bg-BG"/>
              </w:rPr>
            </w:pPr>
            <w:r w:rsidRPr="00CD3FE8">
              <w:rPr>
                <w:rFonts w:ascii="Arial Narrow" w:hAnsi="Arial Narrow" w:cs="Arial"/>
                <w:sz w:val="20"/>
                <w:szCs w:val="20"/>
                <w:lang w:val="bg-BG"/>
              </w:rPr>
              <w:t>3 058</w:t>
            </w:r>
          </w:p>
        </w:tc>
        <w:tc>
          <w:tcPr>
            <w:tcW w:w="954" w:type="pct"/>
            <w:tcBorders>
              <w:top w:val="nil"/>
              <w:left w:val="nil"/>
              <w:bottom w:val="single" w:sz="4" w:space="0" w:color="auto"/>
              <w:right w:val="single" w:sz="4" w:space="0" w:color="auto"/>
            </w:tcBorders>
            <w:shd w:val="clear" w:color="auto" w:fill="auto"/>
            <w:noWrap/>
            <w:vAlign w:val="center"/>
            <w:hideMark/>
          </w:tcPr>
          <w:p w14:paraId="0954B280" w14:textId="77777777" w:rsidR="00CD3FE8" w:rsidRPr="00CD3FE8" w:rsidRDefault="00CD3FE8" w:rsidP="00CD3FE8">
            <w:pPr>
              <w:jc w:val="right"/>
              <w:rPr>
                <w:rFonts w:ascii="Arial Narrow" w:hAnsi="Arial Narrow" w:cs="Arial"/>
                <w:sz w:val="20"/>
                <w:szCs w:val="20"/>
                <w:lang w:val="bg-BG"/>
              </w:rPr>
            </w:pPr>
            <w:r w:rsidRPr="00CD3FE8">
              <w:rPr>
                <w:rFonts w:ascii="Arial Narrow" w:hAnsi="Arial Narrow" w:cs="Arial"/>
                <w:sz w:val="20"/>
                <w:szCs w:val="20"/>
                <w:lang w:val="bg-BG"/>
              </w:rPr>
              <w:t>56 297</w:t>
            </w:r>
          </w:p>
        </w:tc>
        <w:tc>
          <w:tcPr>
            <w:tcW w:w="759" w:type="pct"/>
            <w:tcBorders>
              <w:top w:val="nil"/>
              <w:left w:val="nil"/>
              <w:bottom w:val="single" w:sz="4" w:space="0" w:color="auto"/>
              <w:right w:val="single" w:sz="4" w:space="0" w:color="auto"/>
            </w:tcBorders>
            <w:shd w:val="clear" w:color="auto" w:fill="auto"/>
            <w:noWrap/>
            <w:vAlign w:val="center"/>
            <w:hideMark/>
          </w:tcPr>
          <w:p w14:paraId="11507E7E" w14:textId="77777777" w:rsidR="00CD3FE8" w:rsidRPr="00CD3FE8" w:rsidRDefault="00CD3FE8" w:rsidP="00CD3FE8">
            <w:pPr>
              <w:jc w:val="right"/>
              <w:rPr>
                <w:sz w:val="18"/>
                <w:szCs w:val="18"/>
                <w:lang w:val="bg-BG"/>
              </w:rPr>
            </w:pPr>
            <w:r w:rsidRPr="00CD3FE8">
              <w:rPr>
                <w:sz w:val="18"/>
                <w:szCs w:val="18"/>
                <w:lang w:val="bg-BG"/>
              </w:rPr>
              <w:t>-</w:t>
            </w:r>
          </w:p>
        </w:tc>
        <w:tc>
          <w:tcPr>
            <w:tcW w:w="752" w:type="pct"/>
            <w:tcBorders>
              <w:top w:val="nil"/>
              <w:left w:val="nil"/>
              <w:bottom w:val="single" w:sz="4" w:space="0" w:color="auto"/>
              <w:right w:val="single" w:sz="4" w:space="0" w:color="auto"/>
            </w:tcBorders>
            <w:shd w:val="clear" w:color="auto" w:fill="auto"/>
            <w:noWrap/>
            <w:vAlign w:val="center"/>
            <w:hideMark/>
          </w:tcPr>
          <w:p w14:paraId="58115EC5" w14:textId="77777777" w:rsidR="00CD3FE8" w:rsidRPr="00CD3FE8" w:rsidRDefault="00CD3FE8" w:rsidP="00CD3FE8">
            <w:pPr>
              <w:jc w:val="right"/>
              <w:rPr>
                <w:rFonts w:ascii="Arial Narrow" w:hAnsi="Arial Narrow" w:cs="Arial"/>
                <w:sz w:val="20"/>
                <w:szCs w:val="20"/>
                <w:lang w:val="bg-BG"/>
              </w:rPr>
            </w:pPr>
            <w:r w:rsidRPr="00CD3FE8">
              <w:rPr>
                <w:rFonts w:ascii="Arial Narrow" w:hAnsi="Arial Narrow" w:cs="Arial"/>
                <w:sz w:val="20"/>
                <w:szCs w:val="20"/>
                <w:lang w:val="bg-BG"/>
              </w:rPr>
              <w:t>-</w:t>
            </w:r>
          </w:p>
        </w:tc>
      </w:tr>
      <w:tr w:rsidR="00CD3FE8" w:rsidRPr="00CD3FE8" w14:paraId="6ED9F893" w14:textId="77777777" w:rsidTr="00CD3FE8">
        <w:trPr>
          <w:trHeight w:val="305"/>
        </w:trPr>
        <w:tc>
          <w:tcPr>
            <w:tcW w:w="1125" w:type="pct"/>
            <w:tcBorders>
              <w:top w:val="nil"/>
              <w:left w:val="single" w:sz="4" w:space="0" w:color="auto"/>
              <w:bottom w:val="single" w:sz="4" w:space="0" w:color="auto"/>
              <w:right w:val="single" w:sz="4" w:space="0" w:color="auto"/>
            </w:tcBorders>
            <w:shd w:val="clear" w:color="000000" w:fill="FFFFFF"/>
            <w:noWrap/>
            <w:vAlign w:val="center"/>
            <w:hideMark/>
          </w:tcPr>
          <w:p w14:paraId="5F80E2FC" w14:textId="77777777" w:rsidR="00CD3FE8" w:rsidRPr="00CD3FE8" w:rsidRDefault="00CD3FE8" w:rsidP="00CD3FE8">
            <w:pPr>
              <w:rPr>
                <w:rFonts w:ascii="Arial Narrow" w:hAnsi="Arial Narrow" w:cs="Arial"/>
                <w:sz w:val="20"/>
                <w:szCs w:val="20"/>
                <w:lang w:val="bg-BG"/>
              </w:rPr>
            </w:pPr>
            <w:r w:rsidRPr="00CD3FE8">
              <w:rPr>
                <w:rFonts w:ascii="Arial Narrow" w:hAnsi="Arial Narrow" w:cs="Arial"/>
                <w:sz w:val="20"/>
                <w:szCs w:val="20"/>
                <w:lang w:val="bg-BG"/>
              </w:rPr>
              <w:t>Югозападен</w:t>
            </w:r>
          </w:p>
        </w:tc>
        <w:tc>
          <w:tcPr>
            <w:tcW w:w="704" w:type="pct"/>
            <w:tcBorders>
              <w:top w:val="nil"/>
              <w:left w:val="nil"/>
              <w:bottom w:val="single" w:sz="4" w:space="0" w:color="auto"/>
              <w:right w:val="single" w:sz="4" w:space="0" w:color="auto"/>
            </w:tcBorders>
            <w:shd w:val="clear" w:color="auto" w:fill="auto"/>
            <w:noWrap/>
            <w:vAlign w:val="center"/>
            <w:hideMark/>
          </w:tcPr>
          <w:p w14:paraId="6E90BD61" w14:textId="77777777" w:rsidR="00CD3FE8" w:rsidRPr="00CD3FE8" w:rsidRDefault="00CD3FE8" w:rsidP="00CD3FE8">
            <w:pPr>
              <w:jc w:val="right"/>
              <w:rPr>
                <w:rFonts w:ascii="Arial Narrow" w:hAnsi="Arial Narrow" w:cs="Arial"/>
                <w:sz w:val="20"/>
                <w:szCs w:val="20"/>
                <w:lang w:val="bg-BG"/>
              </w:rPr>
            </w:pPr>
            <w:r w:rsidRPr="00CD3FE8">
              <w:rPr>
                <w:rFonts w:ascii="Arial Narrow" w:hAnsi="Arial Narrow" w:cs="Arial"/>
                <w:sz w:val="20"/>
                <w:szCs w:val="20"/>
                <w:lang w:val="bg-BG"/>
              </w:rPr>
              <w:t>6 554</w:t>
            </w:r>
          </w:p>
        </w:tc>
        <w:tc>
          <w:tcPr>
            <w:tcW w:w="705" w:type="pct"/>
            <w:tcBorders>
              <w:top w:val="nil"/>
              <w:left w:val="nil"/>
              <w:bottom w:val="single" w:sz="4" w:space="0" w:color="auto"/>
              <w:right w:val="single" w:sz="4" w:space="0" w:color="auto"/>
            </w:tcBorders>
            <w:shd w:val="clear" w:color="auto" w:fill="auto"/>
            <w:noWrap/>
            <w:vAlign w:val="center"/>
            <w:hideMark/>
          </w:tcPr>
          <w:p w14:paraId="41BE184A" w14:textId="77777777" w:rsidR="00CD3FE8" w:rsidRPr="00CD3FE8" w:rsidRDefault="00CD3FE8" w:rsidP="00CD3FE8">
            <w:pPr>
              <w:jc w:val="right"/>
              <w:rPr>
                <w:rFonts w:ascii="Arial Narrow" w:hAnsi="Arial Narrow" w:cs="Arial"/>
                <w:sz w:val="20"/>
                <w:szCs w:val="20"/>
                <w:lang w:val="bg-BG"/>
              </w:rPr>
            </w:pPr>
            <w:r w:rsidRPr="00CD3FE8">
              <w:rPr>
                <w:rFonts w:ascii="Arial Narrow" w:hAnsi="Arial Narrow" w:cs="Arial"/>
                <w:sz w:val="20"/>
                <w:szCs w:val="20"/>
                <w:lang w:val="bg-BG"/>
              </w:rPr>
              <w:t>607</w:t>
            </w:r>
          </w:p>
        </w:tc>
        <w:tc>
          <w:tcPr>
            <w:tcW w:w="954" w:type="pct"/>
            <w:tcBorders>
              <w:top w:val="nil"/>
              <w:left w:val="nil"/>
              <w:bottom w:val="single" w:sz="4" w:space="0" w:color="auto"/>
              <w:right w:val="single" w:sz="4" w:space="0" w:color="auto"/>
            </w:tcBorders>
            <w:shd w:val="clear" w:color="auto" w:fill="auto"/>
            <w:noWrap/>
            <w:vAlign w:val="center"/>
            <w:hideMark/>
          </w:tcPr>
          <w:p w14:paraId="34B6B802" w14:textId="77777777" w:rsidR="00CD3FE8" w:rsidRPr="00CD3FE8" w:rsidRDefault="00CD3FE8" w:rsidP="00CD3FE8">
            <w:pPr>
              <w:jc w:val="right"/>
              <w:rPr>
                <w:rFonts w:ascii="Arial Narrow" w:hAnsi="Arial Narrow" w:cs="Arial"/>
                <w:sz w:val="20"/>
                <w:szCs w:val="20"/>
                <w:lang w:val="bg-BG"/>
              </w:rPr>
            </w:pPr>
            <w:r w:rsidRPr="00CD3FE8">
              <w:rPr>
                <w:rFonts w:ascii="Arial Narrow" w:hAnsi="Arial Narrow" w:cs="Arial"/>
                <w:sz w:val="20"/>
                <w:szCs w:val="20"/>
                <w:lang w:val="bg-BG"/>
              </w:rPr>
              <w:t>7 161</w:t>
            </w:r>
          </w:p>
        </w:tc>
        <w:tc>
          <w:tcPr>
            <w:tcW w:w="759" w:type="pct"/>
            <w:tcBorders>
              <w:top w:val="nil"/>
              <w:left w:val="nil"/>
              <w:bottom w:val="single" w:sz="4" w:space="0" w:color="auto"/>
              <w:right w:val="single" w:sz="4" w:space="0" w:color="auto"/>
            </w:tcBorders>
            <w:shd w:val="clear" w:color="auto" w:fill="auto"/>
            <w:noWrap/>
            <w:vAlign w:val="center"/>
            <w:hideMark/>
          </w:tcPr>
          <w:p w14:paraId="60BDF87F" w14:textId="77777777" w:rsidR="00CD3FE8" w:rsidRPr="00CD3FE8" w:rsidRDefault="00CD3FE8" w:rsidP="00CD3FE8">
            <w:pPr>
              <w:jc w:val="right"/>
              <w:rPr>
                <w:sz w:val="18"/>
                <w:szCs w:val="18"/>
                <w:lang w:val="bg-BG"/>
              </w:rPr>
            </w:pPr>
            <w:r w:rsidRPr="00CD3FE8">
              <w:rPr>
                <w:sz w:val="18"/>
                <w:szCs w:val="18"/>
                <w:lang w:val="bg-BG"/>
              </w:rPr>
              <w:t>-</w:t>
            </w:r>
          </w:p>
        </w:tc>
        <w:tc>
          <w:tcPr>
            <w:tcW w:w="752" w:type="pct"/>
            <w:tcBorders>
              <w:top w:val="nil"/>
              <w:left w:val="nil"/>
              <w:bottom w:val="single" w:sz="4" w:space="0" w:color="auto"/>
              <w:right w:val="single" w:sz="4" w:space="0" w:color="auto"/>
            </w:tcBorders>
            <w:shd w:val="clear" w:color="auto" w:fill="auto"/>
            <w:noWrap/>
            <w:vAlign w:val="center"/>
            <w:hideMark/>
          </w:tcPr>
          <w:p w14:paraId="72F2FCD2" w14:textId="77777777" w:rsidR="00CD3FE8" w:rsidRPr="00CD3FE8" w:rsidRDefault="00CD3FE8" w:rsidP="00CD3FE8">
            <w:pPr>
              <w:jc w:val="right"/>
              <w:rPr>
                <w:rFonts w:ascii="Arial Narrow" w:hAnsi="Arial Narrow" w:cs="Arial"/>
                <w:sz w:val="20"/>
                <w:szCs w:val="20"/>
                <w:lang w:val="bg-BG"/>
              </w:rPr>
            </w:pPr>
            <w:r w:rsidRPr="00CD3FE8">
              <w:rPr>
                <w:rFonts w:ascii="Arial Narrow" w:hAnsi="Arial Narrow" w:cs="Arial"/>
                <w:sz w:val="20"/>
                <w:szCs w:val="20"/>
                <w:lang w:val="bg-BG"/>
              </w:rPr>
              <w:t>-</w:t>
            </w:r>
          </w:p>
        </w:tc>
      </w:tr>
      <w:tr w:rsidR="00CD3FE8" w:rsidRPr="00CD3FE8" w14:paraId="4FDF49E0" w14:textId="77777777" w:rsidTr="00CD3FE8">
        <w:trPr>
          <w:trHeight w:val="305"/>
        </w:trPr>
        <w:tc>
          <w:tcPr>
            <w:tcW w:w="1125" w:type="pct"/>
            <w:tcBorders>
              <w:top w:val="nil"/>
              <w:left w:val="single" w:sz="4" w:space="0" w:color="auto"/>
              <w:bottom w:val="single" w:sz="4" w:space="0" w:color="auto"/>
              <w:right w:val="single" w:sz="4" w:space="0" w:color="auto"/>
            </w:tcBorders>
            <w:shd w:val="clear" w:color="auto" w:fill="auto"/>
            <w:noWrap/>
            <w:vAlign w:val="center"/>
            <w:hideMark/>
          </w:tcPr>
          <w:p w14:paraId="3B221C02" w14:textId="77777777" w:rsidR="00CD3FE8" w:rsidRPr="00CD3FE8" w:rsidRDefault="00CD3FE8" w:rsidP="00CD3FE8">
            <w:pPr>
              <w:rPr>
                <w:rFonts w:ascii="Arial Narrow" w:hAnsi="Arial Narrow" w:cs="Arial"/>
                <w:sz w:val="20"/>
                <w:szCs w:val="20"/>
                <w:lang w:val="bg-BG"/>
              </w:rPr>
            </w:pPr>
            <w:r w:rsidRPr="00CD3FE8">
              <w:rPr>
                <w:rFonts w:ascii="Arial Narrow" w:hAnsi="Arial Narrow" w:cs="Arial"/>
                <w:sz w:val="20"/>
                <w:szCs w:val="20"/>
                <w:lang w:val="bg-BG"/>
              </w:rPr>
              <w:t>Южен централен</w:t>
            </w:r>
          </w:p>
        </w:tc>
        <w:tc>
          <w:tcPr>
            <w:tcW w:w="704" w:type="pct"/>
            <w:tcBorders>
              <w:top w:val="nil"/>
              <w:left w:val="nil"/>
              <w:bottom w:val="single" w:sz="4" w:space="0" w:color="auto"/>
              <w:right w:val="single" w:sz="4" w:space="0" w:color="auto"/>
            </w:tcBorders>
            <w:shd w:val="clear" w:color="auto" w:fill="auto"/>
            <w:noWrap/>
            <w:vAlign w:val="center"/>
            <w:hideMark/>
          </w:tcPr>
          <w:p w14:paraId="26995544" w14:textId="77777777" w:rsidR="00CD3FE8" w:rsidRPr="00CD3FE8" w:rsidRDefault="00CD3FE8" w:rsidP="00CD3FE8">
            <w:pPr>
              <w:jc w:val="right"/>
              <w:rPr>
                <w:rFonts w:ascii="Arial Narrow" w:hAnsi="Arial Narrow" w:cs="Arial"/>
                <w:sz w:val="20"/>
                <w:szCs w:val="20"/>
                <w:lang w:val="bg-BG"/>
              </w:rPr>
            </w:pPr>
            <w:r w:rsidRPr="00CD3FE8">
              <w:rPr>
                <w:rFonts w:ascii="Arial Narrow" w:hAnsi="Arial Narrow" w:cs="Arial"/>
                <w:sz w:val="20"/>
                <w:szCs w:val="20"/>
                <w:lang w:val="bg-BG"/>
              </w:rPr>
              <w:t>40 178</w:t>
            </w:r>
          </w:p>
        </w:tc>
        <w:tc>
          <w:tcPr>
            <w:tcW w:w="705" w:type="pct"/>
            <w:tcBorders>
              <w:top w:val="nil"/>
              <w:left w:val="nil"/>
              <w:bottom w:val="single" w:sz="4" w:space="0" w:color="auto"/>
              <w:right w:val="single" w:sz="4" w:space="0" w:color="auto"/>
            </w:tcBorders>
            <w:shd w:val="clear" w:color="auto" w:fill="auto"/>
            <w:noWrap/>
            <w:vAlign w:val="center"/>
            <w:hideMark/>
          </w:tcPr>
          <w:p w14:paraId="6368D1B1" w14:textId="77777777" w:rsidR="00CD3FE8" w:rsidRPr="00CD3FE8" w:rsidRDefault="00CD3FE8" w:rsidP="00CD3FE8">
            <w:pPr>
              <w:jc w:val="right"/>
              <w:rPr>
                <w:rFonts w:ascii="Arial Narrow" w:hAnsi="Arial Narrow" w:cs="Arial"/>
                <w:sz w:val="20"/>
                <w:szCs w:val="20"/>
                <w:lang w:val="bg-BG"/>
              </w:rPr>
            </w:pPr>
            <w:r w:rsidRPr="00CD3FE8">
              <w:rPr>
                <w:rFonts w:ascii="Arial Narrow" w:hAnsi="Arial Narrow" w:cs="Arial"/>
                <w:sz w:val="20"/>
                <w:szCs w:val="20"/>
                <w:lang w:val="bg-BG"/>
              </w:rPr>
              <w:t>6 037</w:t>
            </w:r>
          </w:p>
        </w:tc>
        <w:tc>
          <w:tcPr>
            <w:tcW w:w="954" w:type="pct"/>
            <w:tcBorders>
              <w:top w:val="nil"/>
              <w:left w:val="nil"/>
              <w:bottom w:val="single" w:sz="4" w:space="0" w:color="auto"/>
              <w:right w:val="single" w:sz="4" w:space="0" w:color="auto"/>
            </w:tcBorders>
            <w:shd w:val="clear" w:color="auto" w:fill="auto"/>
            <w:noWrap/>
            <w:vAlign w:val="center"/>
            <w:hideMark/>
          </w:tcPr>
          <w:p w14:paraId="474151C9" w14:textId="77777777" w:rsidR="00CD3FE8" w:rsidRPr="00CD3FE8" w:rsidRDefault="00CD3FE8" w:rsidP="00CD3FE8">
            <w:pPr>
              <w:jc w:val="right"/>
              <w:rPr>
                <w:rFonts w:ascii="Arial Narrow" w:hAnsi="Arial Narrow" w:cs="Arial"/>
                <w:sz w:val="20"/>
                <w:szCs w:val="20"/>
                <w:lang w:val="bg-BG"/>
              </w:rPr>
            </w:pPr>
            <w:r w:rsidRPr="00CD3FE8">
              <w:rPr>
                <w:rFonts w:ascii="Arial Narrow" w:hAnsi="Arial Narrow" w:cs="Arial"/>
                <w:sz w:val="20"/>
                <w:szCs w:val="20"/>
                <w:lang w:val="bg-BG"/>
              </w:rPr>
              <w:t>46 215</w:t>
            </w:r>
          </w:p>
        </w:tc>
        <w:tc>
          <w:tcPr>
            <w:tcW w:w="759" w:type="pct"/>
            <w:tcBorders>
              <w:top w:val="nil"/>
              <w:left w:val="nil"/>
              <w:bottom w:val="single" w:sz="4" w:space="0" w:color="auto"/>
              <w:right w:val="single" w:sz="4" w:space="0" w:color="auto"/>
            </w:tcBorders>
            <w:shd w:val="clear" w:color="auto" w:fill="auto"/>
            <w:noWrap/>
            <w:vAlign w:val="center"/>
            <w:hideMark/>
          </w:tcPr>
          <w:p w14:paraId="2FEB67BC" w14:textId="77777777" w:rsidR="00CD3FE8" w:rsidRPr="00CD3FE8" w:rsidRDefault="00CD3FE8" w:rsidP="00CD3FE8">
            <w:pPr>
              <w:jc w:val="right"/>
              <w:rPr>
                <w:sz w:val="18"/>
                <w:szCs w:val="18"/>
                <w:lang w:val="bg-BG"/>
              </w:rPr>
            </w:pPr>
            <w:r w:rsidRPr="00CD3FE8">
              <w:rPr>
                <w:sz w:val="18"/>
                <w:szCs w:val="18"/>
                <w:lang w:val="bg-BG"/>
              </w:rPr>
              <w:t>-</w:t>
            </w:r>
          </w:p>
        </w:tc>
        <w:tc>
          <w:tcPr>
            <w:tcW w:w="752" w:type="pct"/>
            <w:tcBorders>
              <w:top w:val="nil"/>
              <w:left w:val="nil"/>
              <w:bottom w:val="single" w:sz="4" w:space="0" w:color="auto"/>
              <w:right w:val="single" w:sz="4" w:space="0" w:color="auto"/>
            </w:tcBorders>
            <w:shd w:val="clear" w:color="auto" w:fill="auto"/>
            <w:noWrap/>
            <w:vAlign w:val="center"/>
            <w:hideMark/>
          </w:tcPr>
          <w:p w14:paraId="74F7575C" w14:textId="77777777" w:rsidR="00CD3FE8" w:rsidRPr="00CD3FE8" w:rsidRDefault="00CD3FE8" w:rsidP="00CD3FE8">
            <w:pPr>
              <w:jc w:val="right"/>
              <w:rPr>
                <w:rFonts w:ascii="Arial Narrow" w:hAnsi="Arial Narrow" w:cs="Arial"/>
                <w:sz w:val="20"/>
                <w:szCs w:val="20"/>
                <w:lang w:val="bg-BG"/>
              </w:rPr>
            </w:pPr>
            <w:r w:rsidRPr="00CD3FE8">
              <w:rPr>
                <w:rFonts w:ascii="Arial Narrow" w:hAnsi="Arial Narrow" w:cs="Arial"/>
                <w:sz w:val="20"/>
                <w:szCs w:val="20"/>
                <w:lang w:val="bg-BG"/>
              </w:rPr>
              <w:t>-</w:t>
            </w:r>
          </w:p>
        </w:tc>
      </w:tr>
      <w:tr w:rsidR="00CD3FE8" w:rsidRPr="00CD3FE8" w14:paraId="109E2972" w14:textId="77777777" w:rsidTr="00CD3FE8">
        <w:trPr>
          <w:trHeight w:val="305"/>
        </w:trPr>
        <w:tc>
          <w:tcPr>
            <w:tcW w:w="1125" w:type="pct"/>
            <w:tcBorders>
              <w:top w:val="nil"/>
              <w:left w:val="single" w:sz="4" w:space="0" w:color="auto"/>
              <w:bottom w:val="single" w:sz="4" w:space="0" w:color="auto"/>
              <w:right w:val="single" w:sz="4" w:space="0" w:color="auto"/>
            </w:tcBorders>
            <w:shd w:val="clear" w:color="000000" w:fill="FFFFFF"/>
            <w:noWrap/>
            <w:vAlign w:val="center"/>
            <w:hideMark/>
          </w:tcPr>
          <w:p w14:paraId="4421EE1E" w14:textId="77777777" w:rsidR="00CD3FE8" w:rsidRPr="00CD3FE8" w:rsidRDefault="00CD3FE8" w:rsidP="00CD3FE8">
            <w:pPr>
              <w:rPr>
                <w:rFonts w:ascii="Arial Narrow" w:hAnsi="Arial Narrow" w:cs="Arial"/>
                <w:sz w:val="20"/>
                <w:szCs w:val="20"/>
                <w:lang w:val="bg-BG"/>
              </w:rPr>
            </w:pPr>
            <w:r w:rsidRPr="00CD3FE8">
              <w:rPr>
                <w:rFonts w:ascii="Arial Narrow" w:hAnsi="Arial Narrow" w:cs="Arial"/>
                <w:sz w:val="20"/>
                <w:szCs w:val="20"/>
                <w:lang w:val="bg-BG"/>
              </w:rPr>
              <w:t xml:space="preserve"> </w:t>
            </w:r>
            <w:r w:rsidRPr="00CD3FE8">
              <w:rPr>
                <w:rFonts w:ascii="Arial Narrow" w:hAnsi="Arial Narrow" w:cs="Arial"/>
                <w:b/>
                <w:bCs/>
                <w:sz w:val="20"/>
                <w:szCs w:val="20"/>
                <w:lang w:val="bg-BG"/>
              </w:rPr>
              <w:t>Общо</w:t>
            </w:r>
          </w:p>
        </w:tc>
        <w:tc>
          <w:tcPr>
            <w:tcW w:w="704" w:type="pct"/>
            <w:tcBorders>
              <w:top w:val="nil"/>
              <w:left w:val="nil"/>
              <w:bottom w:val="single" w:sz="4" w:space="0" w:color="auto"/>
              <w:right w:val="single" w:sz="4" w:space="0" w:color="auto"/>
            </w:tcBorders>
            <w:shd w:val="clear" w:color="auto" w:fill="auto"/>
            <w:noWrap/>
            <w:vAlign w:val="center"/>
            <w:hideMark/>
          </w:tcPr>
          <w:p w14:paraId="64B8C346" w14:textId="77777777" w:rsidR="00CD3FE8" w:rsidRPr="00CD3FE8" w:rsidRDefault="00CD3FE8" w:rsidP="00CD3FE8">
            <w:pPr>
              <w:jc w:val="right"/>
              <w:rPr>
                <w:rFonts w:ascii="Arial Narrow" w:hAnsi="Arial Narrow" w:cs="Arial"/>
                <w:b/>
                <w:bCs/>
                <w:sz w:val="20"/>
                <w:szCs w:val="20"/>
                <w:lang w:val="bg-BG"/>
              </w:rPr>
            </w:pPr>
            <w:r w:rsidRPr="00CD3FE8">
              <w:rPr>
                <w:rFonts w:ascii="Arial Narrow" w:hAnsi="Arial Narrow" w:cs="Arial"/>
                <w:b/>
                <w:bCs/>
                <w:sz w:val="20"/>
                <w:szCs w:val="20"/>
                <w:lang w:val="bg-BG"/>
              </w:rPr>
              <w:t>124 161</w:t>
            </w:r>
          </w:p>
        </w:tc>
        <w:tc>
          <w:tcPr>
            <w:tcW w:w="705" w:type="pct"/>
            <w:tcBorders>
              <w:top w:val="nil"/>
              <w:left w:val="nil"/>
              <w:bottom w:val="single" w:sz="4" w:space="0" w:color="auto"/>
              <w:right w:val="single" w:sz="4" w:space="0" w:color="auto"/>
            </w:tcBorders>
            <w:shd w:val="clear" w:color="auto" w:fill="auto"/>
            <w:noWrap/>
            <w:vAlign w:val="center"/>
            <w:hideMark/>
          </w:tcPr>
          <w:p w14:paraId="1F282E1F" w14:textId="77777777" w:rsidR="00CD3FE8" w:rsidRPr="00CD3FE8" w:rsidRDefault="00CD3FE8" w:rsidP="00CD3FE8">
            <w:pPr>
              <w:jc w:val="right"/>
              <w:rPr>
                <w:rFonts w:ascii="Arial Narrow" w:hAnsi="Arial Narrow" w:cs="Arial"/>
                <w:b/>
                <w:bCs/>
                <w:sz w:val="20"/>
                <w:szCs w:val="20"/>
                <w:lang w:val="bg-BG"/>
              </w:rPr>
            </w:pPr>
            <w:r w:rsidRPr="00CD3FE8">
              <w:rPr>
                <w:rFonts w:ascii="Arial Narrow" w:hAnsi="Arial Narrow" w:cs="Arial"/>
                <w:b/>
                <w:bCs/>
                <w:sz w:val="20"/>
                <w:szCs w:val="20"/>
                <w:lang w:val="bg-BG"/>
              </w:rPr>
              <w:t>10 473</w:t>
            </w:r>
          </w:p>
        </w:tc>
        <w:tc>
          <w:tcPr>
            <w:tcW w:w="954" w:type="pct"/>
            <w:tcBorders>
              <w:top w:val="nil"/>
              <w:left w:val="nil"/>
              <w:bottom w:val="single" w:sz="4" w:space="0" w:color="auto"/>
              <w:right w:val="single" w:sz="4" w:space="0" w:color="auto"/>
            </w:tcBorders>
            <w:shd w:val="clear" w:color="auto" w:fill="auto"/>
            <w:noWrap/>
            <w:vAlign w:val="center"/>
            <w:hideMark/>
          </w:tcPr>
          <w:p w14:paraId="637E1EFF" w14:textId="77777777" w:rsidR="00CD3FE8" w:rsidRPr="00CD3FE8" w:rsidRDefault="00CD3FE8" w:rsidP="00CD3FE8">
            <w:pPr>
              <w:jc w:val="right"/>
              <w:rPr>
                <w:rFonts w:ascii="Arial Narrow" w:hAnsi="Arial Narrow" w:cs="Arial"/>
                <w:b/>
                <w:bCs/>
                <w:sz w:val="20"/>
                <w:szCs w:val="20"/>
                <w:lang w:val="bg-BG"/>
              </w:rPr>
            </w:pPr>
            <w:r w:rsidRPr="00CD3FE8">
              <w:rPr>
                <w:rFonts w:ascii="Arial Narrow" w:hAnsi="Arial Narrow" w:cs="Arial"/>
                <w:b/>
                <w:bCs/>
                <w:sz w:val="20"/>
                <w:szCs w:val="20"/>
                <w:lang w:val="bg-BG"/>
              </w:rPr>
              <w:t>134 634</w:t>
            </w:r>
          </w:p>
        </w:tc>
        <w:tc>
          <w:tcPr>
            <w:tcW w:w="759" w:type="pct"/>
            <w:tcBorders>
              <w:top w:val="nil"/>
              <w:left w:val="nil"/>
              <w:bottom w:val="single" w:sz="4" w:space="0" w:color="auto"/>
              <w:right w:val="single" w:sz="4" w:space="0" w:color="auto"/>
            </w:tcBorders>
            <w:shd w:val="clear" w:color="auto" w:fill="auto"/>
            <w:noWrap/>
            <w:vAlign w:val="center"/>
            <w:hideMark/>
          </w:tcPr>
          <w:p w14:paraId="7877FE44" w14:textId="77777777" w:rsidR="00CD3FE8" w:rsidRPr="00CD3FE8" w:rsidRDefault="00CD3FE8" w:rsidP="00CD3FE8">
            <w:pPr>
              <w:jc w:val="right"/>
              <w:rPr>
                <w:rFonts w:ascii="Arial Narrow" w:hAnsi="Arial Narrow" w:cs="Arial"/>
                <w:b/>
                <w:bCs/>
                <w:sz w:val="20"/>
                <w:szCs w:val="20"/>
                <w:lang w:val="bg-BG"/>
              </w:rPr>
            </w:pPr>
            <w:r w:rsidRPr="00CD3FE8">
              <w:rPr>
                <w:rFonts w:ascii="Arial Narrow" w:hAnsi="Arial Narrow" w:cs="Arial"/>
                <w:b/>
                <w:bCs/>
                <w:sz w:val="20"/>
                <w:szCs w:val="20"/>
                <w:lang w:val="bg-BG"/>
              </w:rPr>
              <w:t>115</w:t>
            </w:r>
          </w:p>
        </w:tc>
        <w:tc>
          <w:tcPr>
            <w:tcW w:w="752" w:type="pct"/>
            <w:tcBorders>
              <w:top w:val="nil"/>
              <w:left w:val="nil"/>
              <w:bottom w:val="single" w:sz="4" w:space="0" w:color="auto"/>
              <w:right w:val="single" w:sz="4" w:space="0" w:color="auto"/>
            </w:tcBorders>
            <w:shd w:val="clear" w:color="auto" w:fill="auto"/>
            <w:noWrap/>
            <w:vAlign w:val="center"/>
            <w:hideMark/>
          </w:tcPr>
          <w:p w14:paraId="2E626A8B" w14:textId="77777777" w:rsidR="00CD3FE8" w:rsidRPr="00CD3FE8" w:rsidRDefault="00CD3FE8" w:rsidP="00CD3FE8">
            <w:pPr>
              <w:jc w:val="right"/>
              <w:rPr>
                <w:rFonts w:ascii="Arial Narrow" w:hAnsi="Arial Narrow" w:cs="Arial"/>
                <w:b/>
                <w:bCs/>
                <w:sz w:val="20"/>
                <w:szCs w:val="20"/>
                <w:lang w:val="bg-BG"/>
              </w:rPr>
            </w:pPr>
            <w:r w:rsidRPr="00CD3FE8">
              <w:rPr>
                <w:rFonts w:ascii="Arial Narrow" w:hAnsi="Arial Narrow" w:cs="Arial"/>
                <w:b/>
                <w:bCs/>
                <w:sz w:val="20"/>
                <w:szCs w:val="20"/>
                <w:lang w:val="bg-BG"/>
              </w:rPr>
              <w:t>134 749</w:t>
            </w:r>
          </w:p>
        </w:tc>
      </w:tr>
    </w:tbl>
    <w:p w14:paraId="1EA8B0D0" w14:textId="77777777" w:rsidR="00CD3FE8" w:rsidRPr="00CD3FE8" w:rsidRDefault="00CD3FE8" w:rsidP="00CD3FE8">
      <w:pPr>
        <w:autoSpaceDE w:val="0"/>
        <w:autoSpaceDN w:val="0"/>
        <w:adjustRightInd w:val="0"/>
        <w:spacing w:after="240"/>
        <w:jc w:val="both"/>
        <w:rPr>
          <w:rFonts w:ascii="Arial Narrow" w:hAnsi="Arial Narrow"/>
          <w:sz w:val="18"/>
          <w:szCs w:val="18"/>
          <w:lang w:val="bg-BG"/>
        </w:rPr>
      </w:pPr>
      <w:r w:rsidRPr="00CD3FE8">
        <w:rPr>
          <w:rFonts w:ascii="Arial Narrow" w:hAnsi="Arial Narrow"/>
          <w:i/>
          <w:sz w:val="18"/>
          <w:szCs w:val="18"/>
          <w:lang w:val="bg-BG"/>
        </w:rPr>
        <w:t xml:space="preserve">Източник: </w:t>
      </w:r>
      <w:r w:rsidRPr="00CD3FE8">
        <w:rPr>
          <w:rFonts w:ascii="Arial Narrow" w:hAnsi="Arial Narrow"/>
          <w:sz w:val="18"/>
          <w:szCs w:val="18"/>
          <w:lang w:val="bg-BG"/>
        </w:rPr>
        <w:t>МЗХ, отдел „Агростатистика”</w:t>
      </w:r>
    </w:p>
    <w:p w14:paraId="4893F075" w14:textId="77777777" w:rsidR="00CD3FE8" w:rsidRPr="00CD3FE8" w:rsidRDefault="00CD3FE8" w:rsidP="00CD3FE8">
      <w:pPr>
        <w:spacing w:after="120"/>
        <w:ind w:firstLine="720"/>
        <w:jc w:val="both"/>
        <w:rPr>
          <w:rFonts w:ascii="Arial Narrow" w:hAnsi="Arial Narrow"/>
          <w:lang w:val="bg-BG"/>
        </w:rPr>
      </w:pPr>
      <w:r w:rsidRPr="00CD3FE8">
        <w:rPr>
          <w:rFonts w:ascii="Arial Narrow" w:hAnsi="Arial Narrow"/>
          <w:lang w:val="bg-BG"/>
        </w:rPr>
        <w:t xml:space="preserve">От общо произведеното грозде през годината, </w:t>
      </w:r>
      <w:r w:rsidR="00272DFB">
        <w:rPr>
          <w:rFonts w:ascii="Arial Narrow" w:hAnsi="Arial Narrow"/>
          <w:lang w:val="bg-BG"/>
        </w:rPr>
        <w:t>126 194 тона</w:t>
      </w:r>
      <w:r w:rsidRPr="00CD3FE8">
        <w:rPr>
          <w:rFonts w:ascii="Arial Narrow" w:hAnsi="Arial Narrow"/>
          <w:lang w:val="bg-BG"/>
        </w:rPr>
        <w:t xml:space="preserve"> са насочени за преработка, а </w:t>
      </w:r>
      <w:r w:rsidR="00272DFB">
        <w:rPr>
          <w:rFonts w:ascii="Arial Narrow" w:hAnsi="Arial Narrow"/>
          <w:lang w:val="bg-BG"/>
        </w:rPr>
        <w:t>8 555 тона</w:t>
      </w:r>
      <w:r w:rsidRPr="00CD3FE8">
        <w:rPr>
          <w:rFonts w:ascii="Arial Narrow" w:hAnsi="Arial Narrow"/>
          <w:lang w:val="bg-BG"/>
        </w:rPr>
        <w:t xml:space="preserve"> - за консумация в прясно състояние.</w:t>
      </w:r>
    </w:p>
    <w:p w14:paraId="6E7C8A9F" w14:textId="77777777" w:rsidR="00CD3FE8" w:rsidRPr="00CD3FE8" w:rsidRDefault="00CD3FE8" w:rsidP="00CD3FE8">
      <w:pPr>
        <w:keepNext/>
        <w:autoSpaceDE w:val="0"/>
        <w:autoSpaceDN w:val="0"/>
        <w:adjustRightInd w:val="0"/>
        <w:spacing w:after="120"/>
        <w:jc w:val="center"/>
        <w:rPr>
          <w:rFonts w:ascii="Arial Narrow" w:hAnsi="Arial Narrow"/>
          <w:b/>
          <w:i/>
          <w:lang w:val="bg-BG"/>
        </w:rPr>
      </w:pPr>
      <w:r w:rsidRPr="00CD3FE8">
        <w:rPr>
          <w:rFonts w:ascii="Arial Narrow" w:hAnsi="Arial Narrow"/>
          <w:b/>
          <w:i/>
          <w:lang w:val="bg-BG"/>
        </w:rPr>
        <w:lastRenderedPageBreak/>
        <w:t>Фигура ІІ.7.  Разпределение на произведеното грозде – реколта `2024, тона</w:t>
      </w:r>
    </w:p>
    <w:p w14:paraId="3ADEF8F6" w14:textId="77777777" w:rsidR="00CD3FE8" w:rsidRPr="00CD3FE8" w:rsidRDefault="00136004" w:rsidP="00CD3FE8">
      <w:pPr>
        <w:keepNext/>
        <w:autoSpaceDE w:val="0"/>
        <w:autoSpaceDN w:val="0"/>
        <w:adjustRightInd w:val="0"/>
        <w:spacing w:after="120"/>
        <w:jc w:val="center"/>
        <w:rPr>
          <w:rFonts w:ascii="Arial Narrow" w:hAnsi="Arial Narrow"/>
          <w:b/>
          <w:i/>
          <w:lang w:val="bg-BG"/>
        </w:rPr>
      </w:pPr>
      <w:r w:rsidRPr="00136004">
        <w:rPr>
          <w:noProof/>
        </w:rPr>
        <w:t xml:space="preserve"> </w:t>
      </w:r>
      <w:r>
        <w:rPr>
          <w:noProof/>
        </w:rPr>
        <w:drawing>
          <wp:inline distT="0" distB="0" distL="0" distR="0" wp14:anchorId="7B809AB0" wp14:editId="0FBB3FDC">
            <wp:extent cx="5219700" cy="3238500"/>
            <wp:effectExtent l="0" t="0" r="0" b="0"/>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1701D14F" w14:textId="77777777" w:rsidR="00CD3FE8" w:rsidRPr="00CD3FE8" w:rsidRDefault="00CD3FE8" w:rsidP="00CD3FE8">
      <w:pPr>
        <w:keepNext/>
        <w:autoSpaceDE w:val="0"/>
        <w:autoSpaceDN w:val="0"/>
        <w:adjustRightInd w:val="0"/>
        <w:spacing w:after="120"/>
        <w:ind w:firstLine="708"/>
        <w:rPr>
          <w:rFonts w:ascii="Arial Narrow" w:hAnsi="Arial Narrow"/>
          <w:lang w:val="bg-BG"/>
        </w:rPr>
      </w:pPr>
      <w:r w:rsidRPr="00CD3FE8">
        <w:rPr>
          <w:rFonts w:ascii="Arial Narrow" w:hAnsi="Arial Narrow"/>
          <w:i/>
          <w:sz w:val="18"/>
          <w:szCs w:val="18"/>
          <w:lang w:val="bg-BG"/>
        </w:rPr>
        <w:t xml:space="preserve">Източник: </w:t>
      </w:r>
      <w:r w:rsidRPr="00CD3FE8">
        <w:rPr>
          <w:rFonts w:ascii="Arial Narrow" w:hAnsi="Arial Narrow"/>
          <w:sz w:val="18"/>
          <w:szCs w:val="18"/>
          <w:lang w:val="bg-BG"/>
        </w:rPr>
        <w:t>МЗХ, отдел „Агростатистика”</w:t>
      </w:r>
    </w:p>
    <w:p w14:paraId="3BC7724E" w14:textId="77777777" w:rsidR="00272DFB" w:rsidRPr="00CD3FE8" w:rsidRDefault="00272DFB" w:rsidP="00272DFB">
      <w:pPr>
        <w:spacing w:after="120"/>
        <w:ind w:firstLine="720"/>
        <w:jc w:val="both"/>
        <w:rPr>
          <w:rFonts w:ascii="Arial Narrow" w:hAnsi="Arial Narrow"/>
          <w:lang w:val="bg-BG"/>
        </w:rPr>
      </w:pPr>
      <w:r w:rsidRPr="00CD3FE8">
        <w:rPr>
          <w:rFonts w:ascii="Arial Narrow" w:hAnsi="Arial Narrow"/>
          <w:lang w:val="bg-BG"/>
        </w:rPr>
        <w:t>По данни на Изпълнителната агенция по лозата и виното, през 202</w:t>
      </w:r>
      <w:r w:rsidRPr="00CD3FE8">
        <w:rPr>
          <w:rFonts w:ascii="Arial Narrow" w:hAnsi="Arial Narrow"/>
        </w:rPr>
        <w:t>4</w:t>
      </w:r>
      <w:r w:rsidRPr="00CD3FE8">
        <w:rPr>
          <w:rFonts w:ascii="Arial Narrow" w:hAnsi="Arial Narrow"/>
          <w:lang w:val="bg-BG"/>
        </w:rPr>
        <w:t xml:space="preserve"> г. изкупеното и преработено количество винено грозде от винарските предприятия възлиза на </w:t>
      </w:r>
      <w:r w:rsidRPr="00CD3FE8">
        <w:rPr>
          <w:rFonts w:ascii="Arial Narrow" w:hAnsi="Arial Narrow"/>
        </w:rPr>
        <w:t>94 685</w:t>
      </w:r>
      <w:r w:rsidRPr="00CD3FE8">
        <w:rPr>
          <w:rFonts w:ascii="Arial Narrow" w:hAnsi="Arial Narrow"/>
          <w:lang w:val="bg-BG"/>
        </w:rPr>
        <w:t xml:space="preserve"> тона, което е с </w:t>
      </w:r>
      <w:r w:rsidRPr="00CD3FE8">
        <w:rPr>
          <w:rFonts w:ascii="Arial Narrow" w:hAnsi="Arial Narrow"/>
        </w:rPr>
        <w:t xml:space="preserve">6 118 </w:t>
      </w:r>
      <w:r w:rsidRPr="00CD3FE8">
        <w:rPr>
          <w:rFonts w:ascii="Arial Narrow" w:hAnsi="Arial Narrow"/>
          <w:lang w:val="bg-BG"/>
        </w:rPr>
        <w:t>тона по-малко спрямо предходната година.</w:t>
      </w:r>
    </w:p>
    <w:p w14:paraId="6D78F36C" w14:textId="77777777" w:rsidR="00CD3FE8" w:rsidRPr="00CD3FE8" w:rsidRDefault="00CD3FE8" w:rsidP="00CD3FE8">
      <w:pPr>
        <w:spacing w:after="200" w:line="276" w:lineRule="auto"/>
        <w:ind w:firstLine="708"/>
        <w:jc w:val="both"/>
        <w:rPr>
          <w:rFonts w:ascii="Arial Narrow" w:hAnsi="Arial Narrow"/>
          <w:lang w:val="bg-BG"/>
        </w:rPr>
      </w:pPr>
      <w:r w:rsidRPr="00CD3FE8">
        <w:rPr>
          <w:rFonts w:ascii="Arial Narrow" w:hAnsi="Arial Narrow"/>
          <w:lang w:val="bg-BG"/>
        </w:rPr>
        <w:t>Гроздето, предназначеното за преработка в извънпромишлени условия е в размер на 28 360</w:t>
      </w:r>
      <w:r w:rsidRPr="00CD3FE8">
        <w:rPr>
          <w:rFonts w:ascii="Arial" w:hAnsi="Arial" w:cs="Arial"/>
          <w:sz w:val="20"/>
          <w:szCs w:val="20"/>
          <w:lang w:val="bg-BG" w:eastAsia="bg-BG"/>
        </w:rPr>
        <w:t xml:space="preserve"> </w:t>
      </w:r>
      <w:r w:rsidRPr="00CD3FE8">
        <w:rPr>
          <w:rFonts w:ascii="Arial Narrow" w:hAnsi="Arial Narrow"/>
          <w:lang w:val="bg-BG"/>
        </w:rPr>
        <w:t>тона, а 3 149 тона от преработеното грозде е потребено за други продукти, различни от вино и гроздова мъст.</w:t>
      </w:r>
    </w:p>
    <w:p w14:paraId="541F7550" w14:textId="77777777" w:rsidR="00CD3FE8" w:rsidRPr="00CD3FE8" w:rsidRDefault="00CD3FE8" w:rsidP="00CD3FE8">
      <w:pPr>
        <w:keepNext/>
        <w:autoSpaceDE w:val="0"/>
        <w:autoSpaceDN w:val="0"/>
        <w:adjustRightInd w:val="0"/>
        <w:spacing w:after="120"/>
        <w:jc w:val="center"/>
        <w:rPr>
          <w:rFonts w:ascii="Arial Narrow" w:hAnsi="Arial Narrow"/>
          <w:b/>
          <w:i/>
          <w:lang w:val="bg-BG"/>
        </w:rPr>
      </w:pPr>
      <w:r w:rsidRPr="00CD3FE8">
        <w:rPr>
          <w:rFonts w:ascii="Arial Narrow" w:hAnsi="Arial Narrow"/>
          <w:b/>
          <w:i/>
          <w:lang w:val="bg-BG"/>
        </w:rPr>
        <w:t>Фигура ІІ.8. Разпределение на гроздето – реколта `2024, предназначено за преработка, тона и процентен дял</w:t>
      </w:r>
    </w:p>
    <w:p w14:paraId="55E45A4C" w14:textId="77777777" w:rsidR="00CD3FE8" w:rsidRPr="00CD3FE8" w:rsidRDefault="00CD3FE8" w:rsidP="00CD3FE8">
      <w:pPr>
        <w:spacing w:after="120"/>
        <w:jc w:val="center"/>
        <w:rPr>
          <w:rFonts w:ascii="Arial Narrow" w:hAnsi="Arial Narrow"/>
          <w:lang w:val="bg-BG"/>
        </w:rPr>
      </w:pPr>
      <w:r w:rsidRPr="00CD3FE8">
        <w:rPr>
          <w:noProof/>
        </w:rPr>
        <w:drawing>
          <wp:inline distT="0" distB="0" distL="0" distR="0" wp14:anchorId="1D8DA062" wp14:editId="5D4E91B0">
            <wp:extent cx="5220000" cy="3240000"/>
            <wp:effectExtent l="0" t="0" r="0" b="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34690674" w14:textId="77777777" w:rsidR="00CD3FE8" w:rsidRPr="00CD3FE8" w:rsidRDefault="00CD3FE8" w:rsidP="00CD3FE8">
      <w:pPr>
        <w:autoSpaceDE w:val="0"/>
        <w:autoSpaceDN w:val="0"/>
        <w:adjustRightInd w:val="0"/>
        <w:spacing w:after="120"/>
        <w:ind w:firstLine="360"/>
        <w:rPr>
          <w:rFonts w:ascii="Arial Narrow" w:hAnsi="Arial Narrow"/>
          <w:sz w:val="18"/>
          <w:szCs w:val="18"/>
          <w:lang w:val="bg-BG"/>
        </w:rPr>
      </w:pPr>
      <w:r w:rsidRPr="00CD3FE8">
        <w:rPr>
          <w:rFonts w:ascii="Arial Narrow" w:hAnsi="Arial Narrow"/>
          <w:i/>
          <w:sz w:val="18"/>
          <w:szCs w:val="18"/>
          <w:lang w:val="bg-BG"/>
        </w:rPr>
        <w:t xml:space="preserve">Източник: </w:t>
      </w:r>
      <w:r w:rsidRPr="00CD3FE8">
        <w:rPr>
          <w:rFonts w:ascii="Arial Narrow" w:hAnsi="Arial Narrow"/>
          <w:sz w:val="18"/>
          <w:szCs w:val="18"/>
          <w:lang w:val="bg-BG"/>
        </w:rPr>
        <w:t xml:space="preserve">МЗХ, отдел „Агростатистика” </w:t>
      </w:r>
    </w:p>
    <w:p w14:paraId="3C2958BF" w14:textId="77777777" w:rsidR="00C30072" w:rsidRPr="00CD3FE8" w:rsidRDefault="00C30072" w:rsidP="00A843AB">
      <w:pPr>
        <w:keepNext/>
        <w:numPr>
          <w:ilvl w:val="2"/>
          <w:numId w:val="8"/>
        </w:numPr>
        <w:tabs>
          <w:tab w:val="left" w:pos="990"/>
        </w:tabs>
        <w:spacing w:after="120"/>
        <w:ind w:left="792" w:hanging="432"/>
        <w:outlineLvl w:val="0"/>
        <w:rPr>
          <w:rFonts w:ascii="Arial Narrow" w:hAnsi="Arial Narrow"/>
          <w:bCs/>
        </w:rPr>
      </w:pPr>
      <w:bookmarkStart w:id="65" w:name="_Toc210747564"/>
      <w:r w:rsidRPr="00CD3FE8">
        <w:rPr>
          <w:rFonts w:ascii="Arial Narrow" w:hAnsi="Arial Narrow" w:cs="ArialNarrow"/>
          <w:b/>
          <w:lang w:val="bg-BG"/>
        </w:rPr>
        <w:lastRenderedPageBreak/>
        <w:t>Винопроизводство</w:t>
      </w:r>
      <w:bookmarkEnd w:id="65"/>
    </w:p>
    <w:p w14:paraId="193E719A" w14:textId="77777777" w:rsidR="00CD3FE8" w:rsidRPr="00CD3FE8" w:rsidRDefault="00CD3FE8" w:rsidP="00CD3FE8">
      <w:pPr>
        <w:keepNext/>
        <w:keepLines/>
        <w:autoSpaceDE w:val="0"/>
        <w:autoSpaceDN w:val="0"/>
        <w:adjustRightInd w:val="0"/>
        <w:spacing w:after="120"/>
        <w:ind w:firstLine="706"/>
        <w:jc w:val="both"/>
        <w:rPr>
          <w:rFonts w:ascii="Arial Narrow" w:hAnsi="Arial Narrow"/>
          <w:bCs/>
          <w:lang w:val="bg-BG"/>
        </w:rPr>
      </w:pPr>
      <w:r w:rsidRPr="00CD3FE8">
        <w:rPr>
          <w:rFonts w:ascii="Arial Narrow" w:hAnsi="Arial Narrow"/>
          <w:bCs/>
          <w:lang w:val="bg-BG"/>
        </w:rPr>
        <w:t>Общото производство на вино от реколта `2024, декларирано от регистрираните винопроизводители, възлиза на 634 6</w:t>
      </w:r>
      <w:r w:rsidRPr="00CD3FE8">
        <w:rPr>
          <w:rFonts w:ascii="Arial Narrow" w:hAnsi="Arial Narrow"/>
          <w:bCs/>
        </w:rPr>
        <w:t>49</w:t>
      </w:r>
      <w:r w:rsidRPr="00CD3FE8">
        <w:rPr>
          <w:rFonts w:ascii="Arial Narrow" w:hAnsi="Arial Narrow"/>
          <w:bCs/>
          <w:lang w:val="bg-BG"/>
        </w:rPr>
        <w:t xml:space="preserve"> хектолитра, с 6,1% по-малко спрямо преходната година. Производството на червени вина и розе спада с 4,2% на годишна база, до 259 039 хектолитра, а това на бели вина - със 7,3%, до 375 61</w:t>
      </w:r>
      <w:r w:rsidRPr="00CD3FE8">
        <w:rPr>
          <w:rFonts w:ascii="Arial Narrow" w:hAnsi="Arial Narrow"/>
          <w:bCs/>
        </w:rPr>
        <w:t>0</w:t>
      </w:r>
      <w:r w:rsidRPr="00CD3FE8">
        <w:rPr>
          <w:rFonts w:ascii="Arial Narrow" w:hAnsi="Arial Narrow"/>
          <w:bCs/>
          <w:lang w:val="bg-BG"/>
        </w:rPr>
        <w:t xml:space="preserve"> хектолитра.</w:t>
      </w:r>
    </w:p>
    <w:p w14:paraId="0B98EF19" w14:textId="77777777" w:rsidR="00CD3FE8" w:rsidRPr="00CD3FE8" w:rsidRDefault="00CD3FE8" w:rsidP="00CD3FE8">
      <w:pPr>
        <w:autoSpaceDE w:val="0"/>
        <w:autoSpaceDN w:val="0"/>
        <w:adjustRightInd w:val="0"/>
        <w:spacing w:after="120"/>
        <w:ind w:firstLine="706"/>
        <w:jc w:val="both"/>
        <w:rPr>
          <w:rFonts w:ascii="Arial Narrow" w:hAnsi="Arial Narrow"/>
          <w:bCs/>
          <w:lang w:val="bg-BG"/>
        </w:rPr>
      </w:pPr>
      <w:r w:rsidRPr="00CD3FE8">
        <w:rPr>
          <w:rFonts w:ascii="Arial Narrow" w:hAnsi="Arial Narrow"/>
          <w:bCs/>
          <w:lang w:val="bg-BG"/>
        </w:rPr>
        <w:t>С най-голям дял от промишленото производство на вина - реколта `202</w:t>
      </w:r>
      <w:r w:rsidRPr="00CD3FE8">
        <w:rPr>
          <w:rFonts w:ascii="Arial Narrow" w:hAnsi="Arial Narrow"/>
          <w:bCs/>
        </w:rPr>
        <w:t>4</w:t>
      </w:r>
      <w:r w:rsidRPr="00CD3FE8">
        <w:rPr>
          <w:rFonts w:ascii="Arial Narrow" w:hAnsi="Arial Narrow"/>
          <w:bCs/>
          <w:lang w:val="bg-BG"/>
        </w:rPr>
        <w:t xml:space="preserve"> са трапезните вина (вина без защитено наименование за произход или защитено географско указание) – 5</w:t>
      </w:r>
      <w:r w:rsidRPr="00CD3FE8">
        <w:rPr>
          <w:rFonts w:ascii="Arial Narrow" w:hAnsi="Arial Narrow"/>
          <w:bCs/>
        </w:rPr>
        <w:t>6</w:t>
      </w:r>
      <w:r w:rsidRPr="00CD3FE8">
        <w:rPr>
          <w:rFonts w:ascii="Arial Narrow" w:hAnsi="Arial Narrow"/>
          <w:bCs/>
          <w:lang w:val="bg-BG"/>
        </w:rPr>
        <w:t xml:space="preserve">,8%, следвани от регионалните вина (вина със защитено географско указание) с 42,9%. Делът на вината със защитено наименование за произход е едва 0,3%. </w:t>
      </w:r>
    </w:p>
    <w:p w14:paraId="051956DF" w14:textId="77777777" w:rsidR="00CD3FE8" w:rsidRPr="00CD3FE8" w:rsidRDefault="00CD3FE8" w:rsidP="00CD3FE8">
      <w:pPr>
        <w:autoSpaceDE w:val="0"/>
        <w:autoSpaceDN w:val="0"/>
        <w:adjustRightInd w:val="0"/>
        <w:spacing w:after="120"/>
        <w:ind w:firstLine="706"/>
        <w:jc w:val="both"/>
        <w:rPr>
          <w:rFonts w:ascii="Arial Narrow" w:hAnsi="Arial Narrow"/>
          <w:b/>
          <w:iCs/>
          <w:lang w:val="bg-BG"/>
        </w:rPr>
      </w:pPr>
      <w:r w:rsidRPr="00CD3FE8">
        <w:rPr>
          <w:rFonts w:ascii="Arial Narrow" w:hAnsi="Arial Narrow"/>
          <w:bCs/>
          <w:lang w:val="bg-BG"/>
        </w:rPr>
        <w:t>Водещ в производството на вино през 2024 г. е Югоизточният район с 57,5% от общото количество, следван от Южен централен район с 18,5%. Най-малък е делът на произведеното вино в Северозападния район – 2,7%.</w:t>
      </w:r>
    </w:p>
    <w:p w14:paraId="382652BF" w14:textId="77777777" w:rsidR="00CD3FE8" w:rsidRPr="00CD3FE8" w:rsidRDefault="00CD3FE8" w:rsidP="00CD3FE8">
      <w:pPr>
        <w:spacing w:after="120"/>
        <w:jc w:val="both"/>
        <w:rPr>
          <w:rFonts w:ascii="Arial Narrow" w:hAnsi="Arial Narrow"/>
          <w:b/>
          <w:iCs/>
          <w:lang w:val="bg-BG"/>
        </w:rPr>
      </w:pPr>
      <w:r w:rsidRPr="00CD3FE8">
        <w:rPr>
          <w:rFonts w:ascii="Arial Narrow" w:hAnsi="Arial Narrow"/>
          <w:b/>
          <w:iCs/>
          <w:lang w:val="bg-BG"/>
        </w:rPr>
        <w:t>Таблица ІІ.36. Количество произведено вино и гроздова мъст от предприятията за винопроизводство, реколта `2024</w:t>
      </w:r>
    </w:p>
    <w:tbl>
      <w:tblPr>
        <w:tblW w:w="5000" w:type="pct"/>
        <w:tblInd w:w="108" w:type="dxa"/>
        <w:tblLook w:val="04A0" w:firstRow="1" w:lastRow="0" w:firstColumn="1" w:lastColumn="0" w:noHBand="0" w:noVBand="1"/>
      </w:tblPr>
      <w:tblGrid>
        <w:gridCol w:w="2285"/>
        <w:gridCol w:w="692"/>
        <w:gridCol w:w="853"/>
        <w:gridCol w:w="851"/>
        <w:gridCol w:w="853"/>
        <w:gridCol w:w="851"/>
        <w:gridCol w:w="853"/>
        <w:gridCol w:w="851"/>
        <w:gridCol w:w="852"/>
        <w:gridCol w:w="852"/>
        <w:gridCol w:w="7"/>
      </w:tblGrid>
      <w:tr w:rsidR="00CD3FE8" w:rsidRPr="00CD3FE8" w14:paraId="5174F7AE" w14:textId="77777777" w:rsidTr="004E30CA">
        <w:trPr>
          <w:trHeight w:val="585"/>
        </w:trPr>
        <w:tc>
          <w:tcPr>
            <w:tcW w:w="2280"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14149E5" w14:textId="77777777" w:rsidR="00CD3FE8" w:rsidRPr="00CD3FE8" w:rsidRDefault="00CD3FE8" w:rsidP="00CD3FE8">
            <w:pPr>
              <w:jc w:val="center"/>
              <w:rPr>
                <w:rFonts w:ascii="Arial Narrow" w:hAnsi="Arial Narrow" w:cs="Arial"/>
                <w:b/>
                <w:bCs/>
                <w:sz w:val="18"/>
                <w:szCs w:val="18"/>
                <w:lang w:val="bg-BG"/>
              </w:rPr>
            </w:pPr>
            <w:r w:rsidRPr="00CD3FE8">
              <w:rPr>
                <w:rFonts w:ascii="Arial Narrow" w:hAnsi="Arial Narrow" w:cs="Arial"/>
                <w:b/>
                <w:bCs/>
                <w:sz w:val="18"/>
                <w:szCs w:val="18"/>
                <w:lang w:val="bg-BG"/>
              </w:rPr>
              <w:t>Район</w:t>
            </w:r>
          </w:p>
        </w:tc>
        <w:tc>
          <w:tcPr>
            <w:tcW w:w="7494" w:type="dxa"/>
            <w:gridSpan w:val="10"/>
            <w:tcBorders>
              <w:top w:val="single" w:sz="4" w:space="0" w:color="auto"/>
              <w:left w:val="nil"/>
              <w:bottom w:val="single" w:sz="4" w:space="0" w:color="auto"/>
              <w:right w:val="single" w:sz="4" w:space="0" w:color="auto"/>
            </w:tcBorders>
            <w:shd w:val="clear" w:color="auto" w:fill="auto"/>
            <w:noWrap/>
            <w:vAlign w:val="center"/>
            <w:hideMark/>
          </w:tcPr>
          <w:p w14:paraId="30BCAE3C" w14:textId="77777777" w:rsidR="00CD3FE8" w:rsidRPr="00CD3FE8" w:rsidRDefault="00CD3FE8" w:rsidP="00CD3FE8">
            <w:pPr>
              <w:jc w:val="center"/>
              <w:rPr>
                <w:rFonts w:ascii="Arial Narrow" w:hAnsi="Arial Narrow" w:cs="Arial"/>
                <w:b/>
                <w:bCs/>
                <w:sz w:val="20"/>
                <w:szCs w:val="20"/>
                <w:lang w:val="bg-BG"/>
              </w:rPr>
            </w:pPr>
            <w:r w:rsidRPr="00CD3FE8">
              <w:rPr>
                <w:rFonts w:ascii="Arial Narrow" w:hAnsi="Arial Narrow" w:cs="Arial"/>
                <w:b/>
                <w:bCs/>
                <w:sz w:val="20"/>
                <w:szCs w:val="20"/>
                <w:lang w:val="bg-BG"/>
              </w:rPr>
              <w:t>Количество произведено вино и гроздова мъст, хектолитра</w:t>
            </w:r>
          </w:p>
        </w:tc>
      </w:tr>
      <w:tr w:rsidR="00CD3FE8" w:rsidRPr="00CD3FE8" w14:paraId="07DE61F7" w14:textId="77777777" w:rsidTr="004E30CA">
        <w:trPr>
          <w:trHeight w:val="769"/>
        </w:trPr>
        <w:tc>
          <w:tcPr>
            <w:tcW w:w="2280" w:type="dxa"/>
            <w:vMerge/>
            <w:tcBorders>
              <w:top w:val="single" w:sz="4" w:space="0" w:color="auto"/>
              <w:left w:val="single" w:sz="4" w:space="0" w:color="auto"/>
              <w:bottom w:val="single" w:sz="4" w:space="0" w:color="auto"/>
              <w:right w:val="single" w:sz="4" w:space="0" w:color="auto"/>
            </w:tcBorders>
            <w:vAlign w:val="center"/>
            <w:hideMark/>
          </w:tcPr>
          <w:p w14:paraId="0F4EBDC8" w14:textId="77777777" w:rsidR="00CD3FE8" w:rsidRPr="00CD3FE8" w:rsidRDefault="00CD3FE8" w:rsidP="00CD3FE8">
            <w:pPr>
              <w:rPr>
                <w:rFonts w:ascii="Arial Narrow" w:hAnsi="Arial Narrow" w:cs="Arial"/>
                <w:b/>
                <w:bCs/>
                <w:sz w:val="18"/>
                <w:szCs w:val="18"/>
                <w:lang w:val="bg-BG"/>
              </w:rPr>
            </w:pPr>
          </w:p>
        </w:tc>
        <w:tc>
          <w:tcPr>
            <w:tcW w:w="1541" w:type="dxa"/>
            <w:gridSpan w:val="2"/>
            <w:tcBorders>
              <w:top w:val="single" w:sz="4" w:space="0" w:color="auto"/>
              <w:left w:val="nil"/>
              <w:bottom w:val="single" w:sz="4" w:space="0" w:color="auto"/>
              <w:right w:val="single" w:sz="4" w:space="0" w:color="auto"/>
            </w:tcBorders>
            <w:shd w:val="clear" w:color="auto" w:fill="auto"/>
            <w:vAlign w:val="center"/>
            <w:hideMark/>
          </w:tcPr>
          <w:p w14:paraId="5AD366E4" w14:textId="77777777" w:rsidR="00CD3FE8" w:rsidRPr="00CD3FE8" w:rsidRDefault="00CD3FE8" w:rsidP="00CD3FE8">
            <w:pPr>
              <w:jc w:val="center"/>
              <w:rPr>
                <w:rFonts w:ascii="Arial Narrow" w:hAnsi="Arial Narrow" w:cs="Arial"/>
                <w:b/>
                <w:bCs/>
                <w:sz w:val="18"/>
                <w:szCs w:val="18"/>
                <w:lang w:val="bg-BG"/>
              </w:rPr>
            </w:pPr>
            <w:r w:rsidRPr="00CD3FE8">
              <w:rPr>
                <w:rFonts w:ascii="Arial Narrow" w:hAnsi="Arial Narrow" w:cs="Arial"/>
                <w:b/>
                <w:bCs/>
                <w:sz w:val="18"/>
                <w:szCs w:val="18"/>
                <w:lang w:val="bg-BG"/>
              </w:rPr>
              <w:t xml:space="preserve">  Вина със ЗНП* (качествени)</w:t>
            </w:r>
          </w:p>
        </w:tc>
        <w:tc>
          <w:tcPr>
            <w:tcW w:w="1700" w:type="dxa"/>
            <w:gridSpan w:val="2"/>
            <w:tcBorders>
              <w:top w:val="single" w:sz="4" w:space="0" w:color="auto"/>
              <w:left w:val="nil"/>
              <w:bottom w:val="single" w:sz="4" w:space="0" w:color="auto"/>
              <w:right w:val="single" w:sz="4" w:space="0" w:color="auto"/>
            </w:tcBorders>
            <w:shd w:val="clear" w:color="auto" w:fill="auto"/>
            <w:vAlign w:val="center"/>
            <w:hideMark/>
          </w:tcPr>
          <w:p w14:paraId="7B1F0C5F" w14:textId="77777777" w:rsidR="00CD3FE8" w:rsidRPr="00CD3FE8" w:rsidRDefault="00CD3FE8" w:rsidP="00CD3FE8">
            <w:pPr>
              <w:jc w:val="center"/>
              <w:rPr>
                <w:rFonts w:ascii="Arial Narrow" w:hAnsi="Arial Narrow" w:cs="Arial"/>
                <w:b/>
                <w:bCs/>
                <w:sz w:val="18"/>
                <w:szCs w:val="18"/>
                <w:lang w:val="bg-BG"/>
              </w:rPr>
            </w:pPr>
            <w:r w:rsidRPr="00CD3FE8">
              <w:rPr>
                <w:rFonts w:ascii="Arial Narrow" w:hAnsi="Arial Narrow" w:cs="Arial"/>
                <w:b/>
                <w:bCs/>
                <w:sz w:val="18"/>
                <w:szCs w:val="18"/>
                <w:lang w:val="bg-BG"/>
              </w:rPr>
              <w:t xml:space="preserve"> Вина със ЗГУ** (регионални)</w:t>
            </w:r>
          </w:p>
        </w:tc>
        <w:tc>
          <w:tcPr>
            <w:tcW w:w="1700" w:type="dxa"/>
            <w:gridSpan w:val="2"/>
            <w:tcBorders>
              <w:top w:val="single" w:sz="4" w:space="0" w:color="auto"/>
              <w:left w:val="nil"/>
              <w:bottom w:val="single" w:sz="4" w:space="0" w:color="auto"/>
              <w:right w:val="single" w:sz="4" w:space="0" w:color="auto"/>
            </w:tcBorders>
            <w:shd w:val="clear" w:color="auto" w:fill="auto"/>
            <w:vAlign w:val="center"/>
            <w:hideMark/>
          </w:tcPr>
          <w:p w14:paraId="712A86A7" w14:textId="77777777" w:rsidR="00CD3FE8" w:rsidRPr="00CD3FE8" w:rsidRDefault="00CD3FE8" w:rsidP="00CD3FE8">
            <w:pPr>
              <w:jc w:val="center"/>
              <w:rPr>
                <w:rFonts w:ascii="Arial Narrow" w:hAnsi="Arial Narrow" w:cs="Arial"/>
                <w:b/>
                <w:bCs/>
                <w:sz w:val="18"/>
                <w:szCs w:val="18"/>
                <w:lang w:val="bg-BG"/>
              </w:rPr>
            </w:pPr>
            <w:r w:rsidRPr="00CD3FE8">
              <w:rPr>
                <w:rFonts w:ascii="Arial Narrow" w:hAnsi="Arial Narrow" w:cs="Arial"/>
                <w:b/>
                <w:bCs/>
                <w:sz w:val="18"/>
                <w:szCs w:val="18"/>
                <w:lang w:val="bg-BG"/>
              </w:rPr>
              <w:t>Други вина</w:t>
            </w:r>
            <w:r w:rsidRPr="00CD3FE8">
              <w:rPr>
                <w:rFonts w:ascii="Arial Narrow" w:hAnsi="Arial Narrow" w:cs="Arial"/>
                <w:b/>
                <w:bCs/>
                <w:sz w:val="18"/>
                <w:szCs w:val="18"/>
                <w:lang w:val="bg-BG"/>
              </w:rPr>
              <w:br/>
              <w:t>(в т. ч. трапезни)</w:t>
            </w:r>
          </w:p>
        </w:tc>
        <w:tc>
          <w:tcPr>
            <w:tcW w:w="84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77CB579" w14:textId="77777777" w:rsidR="00CD3FE8" w:rsidRPr="00CD3FE8" w:rsidRDefault="00CD3FE8" w:rsidP="00CD3FE8">
            <w:pPr>
              <w:jc w:val="center"/>
              <w:rPr>
                <w:rFonts w:ascii="Arial Narrow" w:hAnsi="Arial Narrow" w:cs="Arial"/>
                <w:b/>
                <w:bCs/>
                <w:sz w:val="18"/>
                <w:szCs w:val="18"/>
                <w:lang w:val="bg-BG"/>
              </w:rPr>
            </w:pPr>
            <w:r w:rsidRPr="00CD3FE8">
              <w:rPr>
                <w:rFonts w:ascii="Arial Narrow" w:hAnsi="Arial Narrow" w:cs="Arial"/>
                <w:b/>
                <w:bCs/>
                <w:sz w:val="18"/>
                <w:szCs w:val="18"/>
                <w:lang w:val="bg-BG"/>
              </w:rPr>
              <w:t>Мъст</w:t>
            </w:r>
          </w:p>
        </w:tc>
        <w:tc>
          <w:tcPr>
            <w:tcW w:w="1701" w:type="dxa"/>
            <w:gridSpan w:val="3"/>
            <w:tcBorders>
              <w:top w:val="single" w:sz="4" w:space="0" w:color="auto"/>
              <w:left w:val="nil"/>
              <w:bottom w:val="single" w:sz="4" w:space="0" w:color="auto"/>
              <w:right w:val="single" w:sz="4" w:space="0" w:color="auto"/>
            </w:tcBorders>
            <w:shd w:val="clear" w:color="auto" w:fill="auto"/>
            <w:vAlign w:val="center"/>
            <w:hideMark/>
          </w:tcPr>
          <w:p w14:paraId="564A9FB9" w14:textId="77777777" w:rsidR="00CD3FE8" w:rsidRPr="00CD3FE8" w:rsidRDefault="00CD3FE8" w:rsidP="00CD3FE8">
            <w:pPr>
              <w:jc w:val="center"/>
              <w:rPr>
                <w:rFonts w:ascii="Arial Narrow" w:hAnsi="Arial Narrow" w:cs="Arial"/>
                <w:b/>
                <w:bCs/>
                <w:sz w:val="18"/>
                <w:szCs w:val="18"/>
                <w:lang w:val="bg-BG"/>
              </w:rPr>
            </w:pPr>
            <w:r w:rsidRPr="00CD3FE8">
              <w:rPr>
                <w:rFonts w:ascii="Arial Narrow" w:hAnsi="Arial Narrow" w:cs="Arial"/>
                <w:b/>
                <w:bCs/>
                <w:sz w:val="18"/>
                <w:szCs w:val="18"/>
                <w:lang w:val="bg-BG"/>
              </w:rPr>
              <w:t>Общо вина</w:t>
            </w:r>
          </w:p>
        </w:tc>
      </w:tr>
      <w:tr w:rsidR="00CD3FE8" w:rsidRPr="00CD3FE8" w14:paraId="07978868" w14:textId="77777777" w:rsidTr="004E30CA">
        <w:trPr>
          <w:gridAfter w:val="1"/>
          <w:wAfter w:w="7" w:type="dxa"/>
          <w:trHeight w:val="694"/>
        </w:trPr>
        <w:tc>
          <w:tcPr>
            <w:tcW w:w="2280" w:type="dxa"/>
            <w:vMerge/>
            <w:tcBorders>
              <w:top w:val="single" w:sz="4" w:space="0" w:color="auto"/>
              <w:left w:val="single" w:sz="4" w:space="0" w:color="auto"/>
              <w:bottom w:val="single" w:sz="4" w:space="0" w:color="auto"/>
              <w:right w:val="single" w:sz="4" w:space="0" w:color="auto"/>
            </w:tcBorders>
            <w:vAlign w:val="center"/>
            <w:hideMark/>
          </w:tcPr>
          <w:p w14:paraId="7960E777" w14:textId="77777777" w:rsidR="00CD3FE8" w:rsidRPr="00CD3FE8" w:rsidRDefault="00CD3FE8" w:rsidP="00CD3FE8">
            <w:pPr>
              <w:rPr>
                <w:rFonts w:ascii="Arial Narrow" w:hAnsi="Arial Narrow" w:cs="Arial"/>
                <w:b/>
                <w:bCs/>
                <w:sz w:val="18"/>
                <w:szCs w:val="18"/>
                <w:lang w:val="bg-BG"/>
              </w:rPr>
            </w:pPr>
          </w:p>
        </w:tc>
        <w:tc>
          <w:tcPr>
            <w:tcW w:w="690" w:type="dxa"/>
            <w:tcBorders>
              <w:top w:val="nil"/>
              <w:left w:val="nil"/>
              <w:bottom w:val="single" w:sz="4" w:space="0" w:color="auto"/>
              <w:right w:val="single" w:sz="4" w:space="0" w:color="auto"/>
            </w:tcBorders>
            <w:shd w:val="clear" w:color="auto" w:fill="auto"/>
            <w:vAlign w:val="center"/>
            <w:hideMark/>
          </w:tcPr>
          <w:p w14:paraId="159CBCEA" w14:textId="77777777" w:rsidR="00CD3FE8" w:rsidRPr="00CD3FE8" w:rsidRDefault="00CD3FE8" w:rsidP="00CD3FE8">
            <w:pPr>
              <w:jc w:val="center"/>
              <w:rPr>
                <w:rFonts w:ascii="Arial Narrow" w:hAnsi="Arial Narrow" w:cs="Arial"/>
                <w:sz w:val="18"/>
                <w:szCs w:val="18"/>
                <w:lang w:val="bg-BG"/>
              </w:rPr>
            </w:pPr>
            <w:r w:rsidRPr="00CD3FE8">
              <w:rPr>
                <w:rFonts w:ascii="Arial Narrow" w:hAnsi="Arial Narrow" w:cs="Arial"/>
                <w:sz w:val="18"/>
                <w:szCs w:val="18"/>
                <w:lang w:val="bg-BG"/>
              </w:rPr>
              <w:t>бели</w:t>
            </w:r>
          </w:p>
        </w:tc>
        <w:tc>
          <w:tcPr>
            <w:tcW w:w="850" w:type="dxa"/>
            <w:tcBorders>
              <w:top w:val="nil"/>
              <w:left w:val="nil"/>
              <w:bottom w:val="single" w:sz="4" w:space="0" w:color="auto"/>
              <w:right w:val="single" w:sz="4" w:space="0" w:color="auto"/>
            </w:tcBorders>
            <w:shd w:val="clear" w:color="auto" w:fill="auto"/>
            <w:vAlign w:val="center"/>
            <w:hideMark/>
          </w:tcPr>
          <w:p w14:paraId="39081A13" w14:textId="77777777" w:rsidR="00CD3FE8" w:rsidRPr="00CD3FE8" w:rsidRDefault="00CD3FE8" w:rsidP="00CD3FE8">
            <w:pPr>
              <w:jc w:val="center"/>
              <w:rPr>
                <w:rFonts w:ascii="Arial Narrow" w:hAnsi="Arial Narrow" w:cs="Arial"/>
                <w:sz w:val="18"/>
                <w:szCs w:val="18"/>
                <w:lang w:val="bg-BG"/>
              </w:rPr>
            </w:pPr>
            <w:r w:rsidRPr="00CD3FE8">
              <w:rPr>
                <w:rFonts w:ascii="Arial Narrow" w:hAnsi="Arial Narrow" w:cs="Arial"/>
                <w:sz w:val="18"/>
                <w:szCs w:val="18"/>
                <w:lang w:val="bg-BG"/>
              </w:rPr>
              <w:t>червени и розе</w:t>
            </w:r>
          </w:p>
        </w:tc>
        <w:tc>
          <w:tcPr>
            <w:tcW w:w="849" w:type="dxa"/>
            <w:tcBorders>
              <w:top w:val="nil"/>
              <w:left w:val="nil"/>
              <w:bottom w:val="single" w:sz="4" w:space="0" w:color="auto"/>
              <w:right w:val="single" w:sz="4" w:space="0" w:color="auto"/>
            </w:tcBorders>
            <w:shd w:val="clear" w:color="auto" w:fill="auto"/>
            <w:vAlign w:val="center"/>
            <w:hideMark/>
          </w:tcPr>
          <w:p w14:paraId="06DD262B" w14:textId="77777777" w:rsidR="00CD3FE8" w:rsidRPr="00CD3FE8" w:rsidRDefault="00CD3FE8" w:rsidP="00CD3FE8">
            <w:pPr>
              <w:jc w:val="center"/>
              <w:rPr>
                <w:rFonts w:ascii="Arial Narrow" w:hAnsi="Arial Narrow" w:cs="Arial"/>
                <w:sz w:val="18"/>
                <w:szCs w:val="18"/>
                <w:lang w:val="bg-BG"/>
              </w:rPr>
            </w:pPr>
            <w:r w:rsidRPr="00CD3FE8">
              <w:rPr>
                <w:rFonts w:ascii="Arial Narrow" w:hAnsi="Arial Narrow" w:cs="Arial"/>
                <w:sz w:val="18"/>
                <w:szCs w:val="18"/>
                <w:lang w:val="bg-BG"/>
              </w:rPr>
              <w:t>бели</w:t>
            </w:r>
          </w:p>
        </w:tc>
        <w:tc>
          <w:tcPr>
            <w:tcW w:w="850" w:type="dxa"/>
            <w:tcBorders>
              <w:top w:val="nil"/>
              <w:left w:val="nil"/>
              <w:bottom w:val="single" w:sz="4" w:space="0" w:color="auto"/>
              <w:right w:val="single" w:sz="4" w:space="0" w:color="auto"/>
            </w:tcBorders>
            <w:shd w:val="clear" w:color="auto" w:fill="auto"/>
            <w:vAlign w:val="center"/>
            <w:hideMark/>
          </w:tcPr>
          <w:p w14:paraId="6D0DFC3C" w14:textId="77777777" w:rsidR="00CD3FE8" w:rsidRPr="00CD3FE8" w:rsidRDefault="00CD3FE8" w:rsidP="00CD3FE8">
            <w:pPr>
              <w:jc w:val="center"/>
              <w:rPr>
                <w:rFonts w:ascii="Arial Narrow" w:hAnsi="Arial Narrow" w:cs="Arial"/>
                <w:sz w:val="18"/>
                <w:szCs w:val="18"/>
                <w:lang w:val="bg-BG"/>
              </w:rPr>
            </w:pPr>
            <w:r w:rsidRPr="00CD3FE8">
              <w:rPr>
                <w:rFonts w:ascii="Arial Narrow" w:hAnsi="Arial Narrow" w:cs="Arial"/>
                <w:sz w:val="18"/>
                <w:szCs w:val="18"/>
                <w:lang w:val="bg-BG"/>
              </w:rPr>
              <w:t>червени и розе</w:t>
            </w:r>
          </w:p>
        </w:tc>
        <w:tc>
          <w:tcPr>
            <w:tcW w:w="849" w:type="dxa"/>
            <w:tcBorders>
              <w:top w:val="nil"/>
              <w:left w:val="nil"/>
              <w:bottom w:val="single" w:sz="4" w:space="0" w:color="auto"/>
              <w:right w:val="single" w:sz="4" w:space="0" w:color="auto"/>
            </w:tcBorders>
            <w:shd w:val="clear" w:color="auto" w:fill="auto"/>
            <w:vAlign w:val="center"/>
            <w:hideMark/>
          </w:tcPr>
          <w:p w14:paraId="4C9287FA" w14:textId="77777777" w:rsidR="00CD3FE8" w:rsidRPr="00CD3FE8" w:rsidRDefault="00CD3FE8" w:rsidP="00CD3FE8">
            <w:pPr>
              <w:jc w:val="center"/>
              <w:rPr>
                <w:rFonts w:ascii="Arial Narrow" w:hAnsi="Arial Narrow" w:cs="Arial"/>
                <w:sz w:val="18"/>
                <w:szCs w:val="18"/>
                <w:lang w:val="bg-BG"/>
              </w:rPr>
            </w:pPr>
            <w:r w:rsidRPr="00CD3FE8">
              <w:rPr>
                <w:rFonts w:ascii="Arial Narrow" w:hAnsi="Arial Narrow" w:cs="Arial"/>
                <w:sz w:val="18"/>
                <w:szCs w:val="18"/>
                <w:lang w:val="bg-BG"/>
              </w:rPr>
              <w:t>бели</w:t>
            </w:r>
          </w:p>
        </w:tc>
        <w:tc>
          <w:tcPr>
            <w:tcW w:w="850" w:type="dxa"/>
            <w:tcBorders>
              <w:top w:val="nil"/>
              <w:left w:val="nil"/>
              <w:bottom w:val="single" w:sz="4" w:space="0" w:color="auto"/>
              <w:right w:val="single" w:sz="4" w:space="0" w:color="auto"/>
            </w:tcBorders>
            <w:shd w:val="clear" w:color="auto" w:fill="auto"/>
            <w:vAlign w:val="center"/>
            <w:hideMark/>
          </w:tcPr>
          <w:p w14:paraId="2C77572A" w14:textId="77777777" w:rsidR="00CD3FE8" w:rsidRPr="00CD3FE8" w:rsidRDefault="00CD3FE8" w:rsidP="00CD3FE8">
            <w:pPr>
              <w:jc w:val="center"/>
              <w:rPr>
                <w:rFonts w:ascii="Arial Narrow" w:hAnsi="Arial Narrow" w:cs="Arial"/>
                <w:sz w:val="18"/>
                <w:szCs w:val="18"/>
                <w:lang w:val="bg-BG"/>
              </w:rPr>
            </w:pPr>
            <w:r w:rsidRPr="00CD3FE8">
              <w:rPr>
                <w:rFonts w:ascii="Arial Narrow" w:hAnsi="Arial Narrow" w:cs="Arial"/>
                <w:sz w:val="18"/>
                <w:szCs w:val="18"/>
                <w:lang w:val="bg-BG"/>
              </w:rPr>
              <w:t>червени и розе</w:t>
            </w:r>
          </w:p>
        </w:tc>
        <w:tc>
          <w:tcPr>
            <w:tcW w:w="849" w:type="dxa"/>
            <w:vMerge/>
            <w:tcBorders>
              <w:top w:val="nil"/>
              <w:left w:val="single" w:sz="4" w:space="0" w:color="auto"/>
              <w:bottom w:val="single" w:sz="4" w:space="0" w:color="auto"/>
              <w:right w:val="single" w:sz="4" w:space="0" w:color="auto"/>
            </w:tcBorders>
            <w:vAlign w:val="center"/>
            <w:hideMark/>
          </w:tcPr>
          <w:p w14:paraId="7957BBD3" w14:textId="77777777" w:rsidR="00CD3FE8" w:rsidRPr="00CD3FE8" w:rsidRDefault="00CD3FE8" w:rsidP="00CD3FE8">
            <w:pPr>
              <w:rPr>
                <w:rFonts w:ascii="Arial Narrow" w:hAnsi="Arial Narrow" w:cs="Arial"/>
                <w:b/>
                <w:bCs/>
                <w:sz w:val="18"/>
                <w:szCs w:val="18"/>
                <w:lang w:val="bg-BG"/>
              </w:rPr>
            </w:pPr>
          </w:p>
        </w:tc>
        <w:tc>
          <w:tcPr>
            <w:tcW w:w="850" w:type="dxa"/>
            <w:tcBorders>
              <w:top w:val="nil"/>
              <w:left w:val="nil"/>
              <w:bottom w:val="single" w:sz="4" w:space="0" w:color="auto"/>
              <w:right w:val="single" w:sz="4" w:space="0" w:color="auto"/>
            </w:tcBorders>
            <w:shd w:val="clear" w:color="auto" w:fill="auto"/>
            <w:vAlign w:val="center"/>
            <w:hideMark/>
          </w:tcPr>
          <w:p w14:paraId="35CD7820" w14:textId="77777777" w:rsidR="00CD3FE8" w:rsidRPr="00CD3FE8" w:rsidRDefault="00CD3FE8" w:rsidP="00CD3FE8">
            <w:pPr>
              <w:jc w:val="center"/>
              <w:rPr>
                <w:rFonts w:ascii="Arial Narrow" w:hAnsi="Arial Narrow" w:cs="Arial"/>
                <w:sz w:val="18"/>
                <w:szCs w:val="18"/>
                <w:lang w:val="bg-BG"/>
              </w:rPr>
            </w:pPr>
            <w:r w:rsidRPr="00CD3FE8">
              <w:rPr>
                <w:rFonts w:ascii="Arial Narrow" w:hAnsi="Arial Narrow" w:cs="Arial"/>
                <w:sz w:val="18"/>
                <w:szCs w:val="18"/>
                <w:lang w:val="bg-BG"/>
              </w:rPr>
              <w:t>бели</w:t>
            </w:r>
          </w:p>
        </w:tc>
        <w:tc>
          <w:tcPr>
            <w:tcW w:w="850" w:type="dxa"/>
            <w:tcBorders>
              <w:top w:val="nil"/>
              <w:left w:val="nil"/>
              <w:bottom w:val="single" w:sz="4" w:space="0" w:color="auto"/>
              <w:right w:val="single" w:sz="4" w:space="0" w:color="auto"/>
            </w:tcBorders>
            <w:shd w:val="clear" w:color="auto" w:fill="auto"/>
            <w:vAlign w:val="center"/>
            <w:hideMark/>
          </w:tcPr>
          <w:p w14:paraId="268641D0" w14:textId="77777777" w:rsidR="00CD3FE8" w:rsidRPr="00CD3FE8" w:rsidRDefault="00CD3FE8" w:rsidP="00CD3FE8">
            <w:pPr>
              <w:jc w:val="center"/>
              <w:rPr>
                <w:rFonts w:ascii="Arial Narrow" w:hAnsi="Arial Narrow" w:cs="Arial"/>
                <w:sz w:val="18"/>
                <w:szCs w:val="18"/>
                <w:lang w:val="bg-BG"/>
              </w:rPr>
            </w:pPr>
            <w:r w:rsidRPr="00CD3FE8">
              <w:rPr>
                <w:rFonts w:ascii="Arial Narrow" w:hAnsi="Arial Narrow" w:cs="Arial"/>
                <w:sz w:val="18"/>
                <w:szCs w:val="18"/>
                <w:lang w:val="bg-BG"/>
              </w:rPr>
              <w:t>червени и розе</w:t>
            </w:r>
          </w:p>
        </w:tc>
      </w:tr>
      <w:tr w:rsidR="00CD3FE8" w:rsidRPr="00CD3FE8" w14:paraId="32887B5A" w14:textId="77777777" w:rsidTr="004E30CA">
        <w:trPr>
          <w:gridAfter w:val="1"/>
          <w:wAfter w:w="7" w:type="dxa"/>
          <w:trHeight w:val="352"/>
        </w:trPr>
        <w:tc>
          <w:tcPr>
            <w:tcW w:w="2280" w:type="dxa"/>
            <w:tcBorders>
              <w:top w:val="nil"/>
              <w:left w:val="single" w:sz="4" w:space="0" w:color="auto"/>
              <w:bottom w:val="single" w:sz="4" w:space="0" w:color="auto"/>
              <w:right w:val="single" w:sz="4" w:space="0" w:color="auto"/>
            </w:tcBorders>
            <w:shd w:val="clear" w:color="auto" w:fill="auto"/>
            <w:noWrap/>
            <w:vAlign w:val="center"/>
            <w:hideMark/>
          </w:tcPr>
          <w:p w14:paraId="5B58A7F7" w14:textId="77777777" w:rsidR="00CD3FE8" w:rsidRPr="00CD3FE8" w:rsidRDefault="00CD3FE8" w:rsidP="00CD3FE8">
            <w:pPr>
              <w:rPr>
                <w:rFonts w:ascii="Arial Narrow" w:hAnsi="Arial Narrow" w:cs="Arial"/>
                <w:sz w:val="20"/>
                <w:szCs w:val="20"/>
                <w:lang w:val="bg-BG"/>
              </w:rPr>
            </w:pPr>
            <w:r w:rsidRPr="00CD3FE8">
              <w:rPr>
                <w:rFonts w:ascii="Arial Narrow" w:hAnsi="Arial Narrow" w:cs="Arial"/>
                <w:sz w:val="20"/>
                <w:szCs w:val="20"/>
                <w:lang w:val="bg-BG"/>
              </w:rPr>
              <w:t>Северозападен район</w:t>
            </w:r>
          </w:p>
        </w:tc>
        <w:tc>
          <w:tcPr>
            <w:tcW w:w="690" w:type="dxa"/>
            <w:tcBorders>
              <w:top w:val="nil"/>
              <w:left w:val="nil"/>
              <w:bottom w:val="single" w:sz="4" w:space="0" w:color="auto"/>
              <w:right w:val="single" w:sz="4" w:space="0" w:color="auto"/>
            </w:tcBorders>
            <w:shd w:val="clear" w:color="auto" w:fill="auto"/>
            <w:noWrap/>
            <w:vAlign w:val="center"/>
            <w:hideMark/>
          </w:tcPr>
          <w:p w14:paraId="733092AF" w14:textId="77777777" w:rsidR="00CD3FE8" w:rsidRPr="00CD3FE8" w:rsidRDefault="00CD3FE8" w:rsidP="00CD3FE8">
            <w:pPr>
              <w:jc w:val="right"/>
              <w:rPr>
                <w:rFonts w:ascii="Arial Narrow" w:hAnsi="Arial Narrow" w:cs="Arial"/>
                <w:sz w:val="20"/>
                <w:szCs w:val="20"/>
                <w:lang w:val="bg-BG"/>
              </w:rPr>
            </w:pPr>
            <w:r w:rsidRPr="00CD3FE8">
              <w:rPr>
                <w:rFonts w:ascii="Arial Narrow" w:hAnsi="Arial Narrow" w:cs="Arial"/>
                <w:sz w:val="20"/>
                <w:szCs w:val="20"/>
                <w:lang w:val="bg-BG"/>
              </w:rPr>
              <w:t>0</w:t>
            </w:r>
          </w:p>
        </w:tc>
        <w:tc>
          <w:tcPr>
            <w:tcW w:w="850" w:type="dxa"/>
            <w:tcBorders>
              <w:top w:val="nil"/>
              <w:left w:val="nil"/>
              <w:bottom w:val="single" w:sz="4" w:space="0" w:color="auto"/>
              <w:right w:val="single" w:sz="4" w:space="0" w:color="auto"/>
            </w:tcBorders>
            <w:shd w:val="clear" w:color="auto" w:fill="auto"/>
            <w:noWrap/>
            <w:vAlign w:val="center"/>
            <w:hideMark/>
          </w:tcPr>
          <w:p w14:paraId="29782941" w14:textId="77777777" w:rsidR="00CD3FE8" w:rsidRPr="00CD3FE8" w:rsidRDefault="00CD3FE8" w:rsidP="00CD3FE8">
            <w:pPr>
              <w:jc w:val="right"/>
              <w:rPr>
                <w:rFonts w:ascii="Arial Narrow" w:hAnsi="Arial Narrow" w:cs="Arial"/>
                <w:sz w:val="20"/>
                <w:szCs w:val="20"/>
                <w:lang w:val="bg-BG"/>
              </w:rPr>
            </w:pPr>
            <w:r w:rsidRPr="00CD3FE8">
              <w:rPr>
                <w:rFonts w:ascii="Arial Narrow" w:hAnsi="Arial Narrow" w:cs="Arial"/>
                <w:sz w:val="20"/>
                <w:szCs w:val="20"/>
                <w:lang w:val="bg-BG"/>
              </w:rPr>
              <w:t>0</w:t>
            </w:r>
          </w:p>
        </w:tc>
        <w:tc>
          <w:tcPr>
            <w:tcW w:w="849" w:type="dxa"/>
            <w:tcBorders>
              <w:top w:val="nil"/>
              <w:left w:val="nil"/>
              <w:bottom w:val="single" w:sz="4" w:space="0" w:color="auto"/>
              <w:right w:val="single" w:sz="4" w:space="0" w:color="auto"/>
            </w:tcBorders>
            <w:shd w:val="clear" w:color="auto" w:fill="auto"/>
            <w:noWrap/>
            <w:vAlign w:val="center"/>
            <w:hideMark/>
          </w:tcPr>
          <w:p w14:paraId="01D368D3" w14:textId="77777777" w:rsidR="00CD3FE8" w:rsidRPr="00CD3FE8" w:rsidRDefault="00CD3FE8" w:rsidP="00CD3FE8">
            <w:pPr>
              <w:jc w:val="right"/>
              <w:rPr>
                <w:rFonts w:ascii="Arial Narrow" w:hAnsi="Arial Narrow" w:cs="Arial"/>
                <w:sz w:val="20"/>
                <w:szCs w:val="20"/>
                <w:lang w:val="bg-BG"/>
              </w:rPr>
            </w:pPr>
            <w:r w:rsidRPr="00CD3FE8">
              <w:rPr>
                <w:rFonts w:ascii="Arial Narrow" w:hAnsi="Arial Narrow" w:cs="Arial"/>
                <w:sz w:val="20"/>
                <w:szCs w:val="20"/>
                <w:lang w:val="bg-BG"/>
              </w:rPr>
              <w:t>6 970</w:t>
            </w:r>
          </w:p>
        </w:tc>
        <w:tc>
          <w:tcPr>
            <w:tcW w:w="850" w:type="dxa"/>
            <w:tcBorders>
              <w:top w:val="nil"/>
              <w:left w:val="nil"/>
              <w:bottom w:val="single" w:sz="4" w:space="0" w:color="auto"/>
              <w:right w:val="single" w:sz="4" w:space="0" w:color="auto"/>
            </w:tcBorders>
            <w:shd w:val="clear" w:color="auto" w:fill="auto"/>
            <w:noWrap/>
            <w:vAlign w:val="center"/>
            <w:hideMark/>
          </w:tcPr>
          <w:p w14:paraId="266921B3" w14:textId="77777777" w:rsidR="00CD3FE8" w:rsidRPr="00CD3FE8" w:rsidRDefault="00CD3FE8" w:rsidP="00CD3FE8">
            <w:pPr>
              <w:jc w:val="right"/>
              <w:rPr>
                <w:rFonts w:ascii="Arial Narrow" w:hAnsi="Arial Narrow" w:cs="Arial"/>
                <w:sz w:val="20"/>
                <w:szCs w:val="20"/>
                <w:lang w:val="bg-BG"/>
              </w:rPr>
            </w:pPr>
            <w:r w:rsidRPr="00CD3FE8">
              <w:rPr>
                <w:rFonts w:ascii="Arial Narrow" w:hAnsi="Arial Narrow" w:cs="Arial"/>
                <w:sz w:val="20"/>
                <w:szCs w:val="20"/>
                <w:lang w:val="bg-BG"/>
              </w:rPr>
              <w:t>4 179</w:t>
            </w:r>
          </w:p>
        </w:tc>
        <w:tc>
          <w:tcPr>
            <w:tcW w:w="849" w:type="dxa"/>
            <w:tcBorders>
              <w:top w:val="nil"/>
              <w:left w:val="nil"/>
              <w:bottom w:val="single" w:sz="4" w:space="0" w:color="auto"/>
              <w:right w:val="single" w:sz="4" w:space="0" w:color="auto"/>
            </w:tcBorders>
            <w:shd w:val="clear" w:color="auto" w:fill="auto"/>
            <w:noWrap/>
            <w:vAlign w:val="center"/>
            <w:hideMark/>
          </w:tcPr>
          <w:p w14:paraId="2A3E889A" w14:textId="77777777" w:rsidR="00CD3FE8" w:rsidRPr="00CD3FE8" w:rsidRDefault="00CD3FE8" w:rsidP="00CD3FE8">
            <w:pPr>
              <w:jc w:val="right"/>
              <w:rPr>
                <w:rFonts w:ascii="Arial Narrow" w:hAnsi="Arial Narrow" w:cs="Arial"/>
                <w:sz w:val="20"/>
                <w:szCs w:val="20"/>
                <w:lang w:val="bg-BG"/>
              </w:rPr>
            </w:pPr>
            <w:r w:rsidRPr="00CD3FE8">
              <w:rPr>
                <w:rFonts w:ascii="Arial Narrow" w:hAnsi="Arial Narrow" w:cs="Arial"/>
                <w:sz w:val="20"/>
                <w:szCs w:val="20"/>
                <w:lang w:val="bg-BG"/>
              </w:rPr>
              <w:t>1 498</w:t>
            </w:r>
          </w:p>
        </w:tc>
        <w:tc>
          <w:tcPr>
            <w:tcW w:w="850" w:type="dxa"/>
            <w:tcBorders>
              <w:top w:val="nil"/>
              <w:left w:val="nil"/>
              <w:bottom w:val="single" w:sz="4" w:space="0" w:color="auto"/>
              <w:right w:val="single" w:sz="4" w:space="0" w:color="auto"/>
            </w:tcBorders>
            <w:shd w:val="clear" w:color="auto" w:fill="auto"/>
            <w:noWrap/>
            <w:vAlign w:val="center"/>
            <w:hideMark/>
          </w:tcPr>
          <w:p w14:paraId="3C0B4BBF" w14:textId="77777777" w:rsidR="00CD3FE8" w:rsidRPr="00CD3FE8" w:rsidRDefault="00CD3FE8" w:rsidP="00CD3FE8">
            <w:pPr>
              <w:jc w:val="right"/>
              <w:rPr>
                <w:rFonts w:ascii="Arial Narrow" w:hAnsi="Arial Narrow" w:cs="Arial"/>
                <w:sz w:val="20"/>
                <w:szCs w:val="20"/>
                <w:lang w:val="bg-BG"/>
              </w:rPr>
            </w:pPr>
            <w:r w:rsidRPr="00CD3FE8">
              <w:rPr>
                <w:rFonts w:ascii="Arial Narrow" w:hAnsi="Arial Narrow" w:cs="Arial"/>
                <w:sz w:val="20"/>
                <w:szCs w:val="20"/>
                <w:lang w:val="bg-BG"/>
              </w:rPr>
              <w:t>4 203</w:t>
            </w:r>
          </w:p>
        </w:tc>
        <w:tc>
          <w:tcPr>
            <w:tcW w:w="849" w:type="dxa"/>
            <w:tcBorders>
              <w:top w:val="nil"/>
              <w:left w:val="nil"/>
              <w:bottom w:val="single" w:sz="4" w:space="0" w:color="auto"/>
              <w:right w:val="single" w:sz="4" w:space="0" w:color="auto"/>
            </w:tcBorders>
            <w:shd w:val="clear" w:color="auto" w:fill="auto"/>
            <w:noWrap/>
            <w:vAlign w:val="center"/>
            <w:hideMark/>
          </w:tcPr>
          <w:p w14:paraId="1865A306" w14:textId="77777777" w:rsidR="00CD3FE8" w:rsidRPr="00CD3FE8" w:rsidRDefault="00CD3FE8" w:rsidP="00CD3FE8">
            <w:pPr>
              <w:jc w:val="right"/>
              <w:rPr>
                <w:rFonts w:ascii="Arial Narrow" w:hAnsi="Arial Narrow" w:cs="Arial"/>
                <w:sz w:val="20"/>
                <w:szCs w:val="20"/>
                <w:lang w:val="bg-BG"/>
              </w:rPr>
            </w:pPr>
            <w:r w:rsidRPr="00CD3FE8">
              <w:rPr>
                <w:rFonts w:ascii="Arial Narrow" w:hAnsi="Arial Narrow" w:cs="Arial"/>
                <w:sz w:val="20"/>
                <w:szCs w:val="20"/>
                <w:lang w:val="bg-BG"/>
              </w:rPr>
              <w:t>131</w:t>
            </w:r>
          </w:p>
        </w:tc>
        <w:tc>
          <w:tcPr>
            <w:tcW w:w="850" w:type="dxa"/>
            <w:tcBorders>
              <w:top w:val="nil"/>
              <w:left w:val="nil"/>
              <w:bottom w:val="single" w:sz="4" w:space="0" w:color="auto"/>
              <w:right w:val="single" w:sz="4" w:space="0" w:color="auto"/>
            </w:tcBorders>
            <w:shd w:val="clear" w:color="auto" w:fill="auto"/>
            <w:noWrap/>
            <w:vAlign w:val="center"/>
            <w:hideMark/>
          </w:tcPr>
          <w:p w14:paraId="0E2BDF58" w14:textId="77777777" w:rsidR="00CD3FE8" w:rsidRPr="00CD3FE8" w:rsidRDefault="00CD3FE8" w:rsidP="00CD3FE8">
            <w:pPr>
              <w:jc w:val="right"/>
              <w:rPr>
                <w:rFonts w:ascii="Arial Narrow" w:hAnsi="Arial Narrow" w:cs="Arial"/>
                <w:sz w:val="20"/>
                <w:szCs w:val="20"/>
                <w:lang w:val="bg-BG"/>
              </w:rPr>
            </w:pPr>
            <w:r w:rsidRPr="00CD3FE8">
              <w:rPr>
                <w:rFonts w:ascii="Arial Narrow" w:hAnsi="Arial Narrow" w:cs="Arial"/>
                <w:sz w:val="20"/>
                <w:szCs w:val="20"/>
                <w:lang w:val="bg-BG"/>
              </w:rPr>
              <w:t>8 468</w:t>
            </w:r>
          </w:p>
        </w:tc>
        <w:tc>
          <w:tcPr>
            <w:tcW w:w="850" w:type="dxa"/>
            <w:tcBorders>
              <w:top w:val="nil"/>
              <w:left w:val="nil"/>
              <w:bottom w:val="single" w:sz="4" w:space="0" w:color="auto"/>
              <w:right w:val="single" w:sz="4" w:space="0" w:color="auto"/>
            </w:tcBorders>
            <w:shd w:val="clear" w:color="auto" w:fill="auto"/>
            <w:noWrap/>
            <w:vAlign w:val="center"/>
            <w:hideMark/>
          </w:tcPr>
          <w:p w14:paraId="4423F55B" w14:textId="77777777" w:rsidR="00CD3FE8" w:rsidRPr="00CD3FE8" w:rsidRDefault="00CD3FE8" w:rsidP="00CD3FE8">
            <w:pPr>
              <w:jc w:val="right"/>
              <w:rPr>
                <w:rFonts w:ascii="Arial Narrow" w:hAnsi="Arial Narrow" w:cs="Arial"/>
                <w:sz w:val="20"/>
                <w:szCs w:val="20"/>
                <w:lang w:val="bg-BG"/>
              </w:rPr>
            </w:pPr>
            <w:r w:rsidRPr="00CD3FE8">
              <w:rPr>
                <w:rFonts w:ascii="Arial Narrow" w:hAnsi="Arial Narrow" w:cs="Arial"/>
                <w:sz w:val="20"/>
                <w:szCs w:val="20"/>
                <w:lang w:val="bg-BG"/>
              </w:rPr>
              <w:t>8 382</w:t>
            </w:r>
          </w:p>
        </w:tc>
      </w:tr>
      <w:tr w:rsidR="00CD3FE8" w:rsidRPr="00CD3FE8" w14:paraId="2D73D4B3" w14:textId="77777777" w:rsidTr="004E30CA">
        <w:trPr>
          <w:gridAfter w:val="1"/>
          <w:wAfter w:w="7" w:type="dxa"/>
          <w:trHeight w:val="352"/>
        </w:trPr>
        <w:tc>
          <w:tcPr>
            <w:tcW w:w="2280" w:type="dxa"/>
            <w:tcBorders>
              <w:top w:val="nil"/>
              <w:left w:val="single" w:sz="4" w:space="0" w:color="auto"/>
              <w:bottom w:val="single" w:sz="4" w:space="0" w:color="auto"/>
              <w:right w:val="single" w:sz="4" w:space="0" w:color="auto"/>
            </w:tcBorders>
            <w:shd w:val="clear" w:color="auto" w:fill="auto"/>
            <w:noWrap/>
            <w:vAlign w:val="center"/>
            <w:hideMark/>
          </w:tcPr>
          <w:p w14:paraId="38F0F6A0" w14:textId="77777777" w:rsidR="00CD3FE8" w:rsidRPr="00CD3FE8" w:rsidRDefault="00CD3FE8" w:rsidP="00CD3FE8">
            <w:pPr>
              <w:rPr>
                <w:rFonts w:ascii="Arial Narrow" w:hAnsi="Arial Narrow" w:cs="Arial"/>
                <w:sz w:val="20"/>
                <w:szCs w:val="20"/>
                <w:lang w:val="bg-BG"/>
              </w:rPr>
            </w:pPr>
            <w:r w:rsidRPr="00CD3FE8">
              <w:rPr>
                <w:rFonts w:ascii="Arial Narrow" w:hAnsi="Arial Narrow" w:cs="Arial"/>
                <w:sz w:val="20"/>
                <w:szCs w:val="20"/>
                <w:lang w:val="bg-BG"/>
              </w:rPr>
              <w:t>Северен централен район</w:t>
            </w:r>
          </w:p>
        </w:tc>
        <w:tc>
          <w:tcPr>
            <w:tcW w:w="690" w:type="dxa"/>
            <w:tcBorders>
              <w:top w:val="nil"/>
              <w:left w:val="nil"/>
              <w:bottom w:val="single" w:sz="4" w:space="0" w:color="auto"/>
              <w:right w:val="single" w:sz="4" w:space="0" w:color="auto"/>
            </w:tcBorders>
            <w:shd w:val="clear" w:color="auto" w:fill="auto"/>
            <w:noWrap/>
            <w:vAlign w:val="center"/>
            <w:hideMark/>
          </w:tcPr>
          <w:p w14:paraId="0F32242E" w14:textId="77777777" w:rsidR="00CD3FE8" w:rsidRPr="00CD3FE8" w:rsidRDefault="00CD3FE8" w:rsidP="00CD3FE8">
            <w:pPr>
              <w:jc w:val="right"/>
              <w:rPr>
                <w:rFonts w:ascii="Arial Narrow" w:hAnsi="Arial Narrow" w:cs="Arial"/>
                <w:sz w:val="20"/>
                <w:szCs w:val="20"/>
                <w:lang w:val="bg-BG"/>
              </w:rPr>
            </w:pPr>
            <w:r w:rsidRPr="00CD3FE8">
              <w:rPr>
                <w:rFonts w:ascii="Arial Narrow" w:hAnsi="Arial Narrow" w:cs="Arial"/>
                <w:sz w:val="20"/>
                <w:szCs w:val="20"/>
                <w:lang w:val="bg-BG"/>
              </w:rPr>
              <w:t>0</w:t>
            </w:r>
          </w:p>
        </w:tc>
        <w:tc>
          <w:tcPr>
            <w:tcW w:w="850" w:type="dxa"/>
            <w:tcBorders>
              <w:top w:val="nil"/>
              <w:left w:val="nil"/>
              <w:bottom w:val="single" w:sz="4" w:space="0" w:color="auto"/>
              <w:right w:val="single" w:sz="4" w:space="0" w:color="auto"/>
            </w:tcBorders>
            <w:shd w:val="clear" w:color="auto" w:fill="auto"/>
            <w:noWrap/>
            <w:vAlign w:val="center"/>
            <w:hideMark/>
          </w:tcPr>
          <w:p w14:paraId="11A2BA34" w14:textId="77777777" w:rsidR="00CD3FE8" w:rsidRPr="00CD3FE8" w:rsidRDefault="00CD3FE8" w:rsidP="00CD3FE8">
            <w:pPr>
              <w:jc w:val="right"/>
              <w:rPr>
                <w:rFonts w:ascii="Arial Narrow" w:hAnsi="Arial Narrow" w:cs="Arial"/>
                <w:sz w:val="20"/>
                <w:szCs w:val="20"/>
                <w:lang w:val="bg-BG"/>
              </w:rPr>
            </w:pPr>
            <w:r w:rsidRPr="00CD3FE8">
              <w:rPr>
                <w:rFonts w:ascii="Arial Narrow" w:hAnsi="Arial Narrow" w:cs="Arial"/>
                <w:sz w:val="20"/>
                <w:szCs w:val="20"/>
                <w:lang w:val="bg-BG"/>
              </w:rPr>
              <w:t>0</w:t>
            </w:r>
          </w:p>
        </w:tc>
        <w:tc>
          <w:tcPr>
            <w:tcW w:w="849" w:type="dxa"/>
            <w:tcBorders>
              <w:top w:val="nil"/>
              <w:left w:val="nil"/>
              <w:bottom w:val="single" w:sz="4" w:space="0" w:color="auto"/>
              <w:right w:val="single" w:sz="4" w:space="0" w:color="auto"/>
            </w:tcBorders>
            <w:shd w:val="clear" w:color="auto" w:fill="auto"/>
            <w:noWrap/>
            <w:vAlign w:val="center"/>
            <w:hideMark/>
          </w:tcPr>
          <w:p w14:paraId="2ACE06ED" w14:textId="77777777" w:rsidR="00CD3FE8" w:rsidRPr="00CD3FE8" w:rsidRDefault="00CD3FE8" w:rsidP="00CD3FE8">
            <w:pPr>
              <w:jc w:val="right"/>
              <w:rPr>
                <w:rFonts w:ascii="Arial Narrow" w:hAnsi="Arial Narrow" w:cs="Arial"/>
                <w:sz w:val="20"/>
                <w:szCs w:val="20"/>
                <w:lang w:val="bg-BG"/>
              </w:rPr>
            </w:pPr>
            <w:r w:rsidRPr="00CD3FE8">
              <w:rPr>
                <w:rFonts w:ascii="Arial Narrow" w:hAnsi="Arial Narrow" w:cs="Arial"/>
                <w:sz w:val="20"/>
                <w:szCs w:val="20"/>
                <w:lang w:val="bg-BG"/>
              </w:rPr>
              <w:t>9 144</w:t>
            </w:r>
          </w:p>
        </w:tc>
        <w:tc>
          <w:tcPr>
            <w:tcW w:w="850" w:type="dxa"/>
            <w:tcBorders>
              <w:top w:val="nil"/>
              <w:left w:val="nil"/>
              <w:bottom w:val="single" w:sz="4" w:space="0" w:color="auto"/>
              <w:right w:val="single" w:sz="4" w:space="0" w:color="auto"/>
            </w:tcBorders>
            <w:shd w:val="clear" w:color="auto" w:fill="auto"/>
            <w:noWrap/>
            <w:vAlign w:val="center"/>
            <w:hideMark/>
          </w:tcPr>
          <w:p w14:paraId="3CEC881E" w14:textId="77777777" w:rsidR="00CD3FE8" w:rsidRPr="00CD3FE8" w:rsidRDefault="00CD3FE8" w:rsidP="00CD3FE8">
            <w:pPr>
              <w:jc w:val="right"/>
              <w:rPr>
                <w:rFonts w:ascii="Arial Narrow" w:hAnsi="Arial Narrow" w:cs="Arial"/>
                <w:sz w:val="20"/>
                <w:szCs w:val="20"/>
                <w:lang w:val="bg-BG"/>
              </w:rPr>
            </w:pPr>
            <w:r w:rsidRPr="00CD3FE8">
              <w:rPr>
                <w:rFonts w:ascii="Arial Narrow" w:hAnsi="Arial Narrow" w:cs="Arial"/>
                <w:sz w:val="20"/>
                <w:szCs w:val="20"/>
                <w:lang w:val="bg-BG"/>
              </w:rPr>
              <w:t>7 764</w:t>
            </w:r>
          </w:p>
        </w:tc>
        <w:tc>
          <w:tcPr>
            <w:tcW w:w="849" w:type="dxa"/>
            <w:tcBorders>
              <w:top w:val="nil"/>
              <w:left w:val="nil"/>
              <w:bottom w:val="single" w:sz="4" w:space="0" w:color="auto"/>
              <w:right w:val="single" w:sz="4" w:space="0" w:color="auto"/>
            </w:tcBorders>
            <w:shd w:val="clear" w:color="auto" w:fill="auto"/>
            <w:noWrap/>
            <w:vAlign w:val="center"/>
            <w:hideMark/>
          </w:tcPr>
          <w:p w14:paraId="592EAE74" w14:textId="77777777" w:rsidR="00CD3FE8" w:rsidRPr="00CD3FE8" w:rsidRDefault="00CD3FE8" w:rsidP="00CD3FE8">
            <w:pPr>
              <w:jc w:val="right"/>
              <w:rPr>
                <w:rFonts w:ascii="Arial Narrow" w:hAnsi="Arial Narrow" w:cs="Arial"/>
                <w:sz w:val="20"/>
                <w:szCs w:val="20"/>
                <w:lang w:val="bg-BG"/>
              </w:rPr>
            </w:pPr>
            <w:r w:rsidRPr="00CD3FE8">
              <w:rPr>
                <w:rFonts w:ascii="Arial Narrow" w:hAnsi="Arial Narrow" w:cs="Arial"/>
                <w:sz w:val="20"/>
                <w:szCs w:val="20"/>
                <w:lang w:val="bg-BG"/>
              </w:rPr>
              <w:t>16 915</w:t>
            </w:r>
          </w:p>
        </w:tc>
        <w:tc>
          <w:tcPr>
            <w:tcW w:w="850" w:type="dxa"/>
            <w:tcBorders>
              <w:top w:val="nil"/>
              <w:left w:val="nil"/>
              <w:bottom w:val="single" w:sz="4" w:space="0" w:color="auto"/>
              <w:right w:val="single" w:sz="4" w:space="0" w:color="auto"/>
            </w:tcBorders>
            <w:shd w:val="clear" w:color="auto" w:fill="auto"/>
            <w:noWrap/>
            <w:vAlign w:val="center"/>
            <w:hideMark/>
          </w:tcPr>
          <w:p w14:paraId="6EE783E3" w14:textId="77777777" w:rsidR="00CD3FE8" w:rsidRPr="00CD3FE8" w:rsidRDefault="00CD3FE8" w:rsidP="00CD3FE8">
            <w:pPr>
              <w:jc w:val="right"/>
              <w:rPr>
                <w:rFonts w:ascii="Arial Narrow" w:hAnsi="Arial Narrow" w:cs="Arial"/>
                <w:sz w:val="20"/>
                <w:szCs w:val="20"/>
                <w:lang w:val="bg-BG"/>
              </w:rPr>
            </w:pPr>
            <w:r w:rsidRPr="00CD3FE8">
              <w:rPr>
                <w:rFonts w:ascii="Arial Narrow" w:hAnsi="Arial Narrow" w:cs="Arial"/>
                <w:sz w:val="20"/>
                <w:szCs w:val="20"/>
                <w:lang w:val="bg-BG"/>
              </w:rPr>
              <w:t>8 114</w:t>
            </w:r>
          </w:p>
        </w:tc>
        <w:tc>
          <w:tcPr>
            <w:tcW w:w="849" w:type="dxa"/>
            <w:tcBorders>
              <w:top w:val="nil"/>
              <w:left w:val="nil"/>
              <w:bottom w:val="single" w:sz="4" w:space="0" w:color="auto"/>
              <w:right w:val="single" w:sz="4" w:space="0" w:color="auto"/>
            </w:tcBorders>
            <w:shd w:val="clear" w:color="auto" w:fill="auto"/>
            <w:noWrap/>
            <w:vAlign w:val="center"/>
            <w:hideMark/>
          </w:tcPr>
          <w:p w14:paraId="42BB7CF2" w14:textId="77777777" w:rsidR="00CD3FE8" w:rsidRPr="00CD3FE8" w:rsidRDefault="00CD3FE8" w:rsidP="00CD3FE8">
            <w:pPr>
              <w:jc w:val="right"/>
              <w:rPr>
                <w:rFonts w:ascii="Arial Narrow" w:hAnsi="Arial Narrow" w:cs="Arial"/>
                <w:sz w:val="20"/>
                <w:szCs w:val="20"/>
                <w:lang w:val="bg-BG"/>
              </w:rPr>
            </w:pPr>
            <w:r w:rsidRPr="00CD3FE8">
              <w:rPr>
                <w:rFonts w:ascii="Arial Narrow" w:hAnsi="Arial Narrow" w:cs="Arial"/>
                <w:sz w:val="20"/>
                <w:szCs w:val="20"/>
                <w:lang w:val="bg-BG"/>
              </w:rPr>
              <w:t>490</w:t>
            </w:r>
          </w:p>
        </w:tc>
        <w:tc>
          <w:tcPr>
            <w:tcW w:w="850" w:type="dxa"/>
            <w:tcBorders>
              <w:top w:val="nil"/>
              <w:left w:val="nil"/>
              <w:bottom w:val="single" w:sz="4" w:space="0" w:color="auto"/>
              <w:right w:val="single" w:sz="4" w:space="0" w:color="auto"/>
            </w:tcBorders>
            <w:shd w:val="clear" w:color="auto" w:fill="auto"/>
            <w:noWrap/>
            <w:vAlign w:val="center"/>
            <w:hideMark/>
          </w:tcPr>
          <w:p w14:paraId="2DB535E5" w14:textId="77777777" w:rsidR="00CD3FE8" w:rsidRPr="00CD3FE8" w:rsidRDefault="00CD3FE8" w:rsidP="00CD3FE8">
            <w:pPr>
              <w:jc w:val="right"/>
              <w:rPr>
                <w:rFonts w:ascii="Arial Narrow" w:hAnsi="Arial Narrow" w:cs="Arial"/>
                <w:sz w:val="20"/>
                <w:szCs w:val="20"/>
                <w:lang w:val="bg-BG"/>
              </w:rPr>
            </w:pPr>
            <w:r w:rsidRPr="00CD3FE8">
              <w:rPr>
                <w:rFonts w:ascii="Arial Narrow" w:hAnsi="Arial Narrow" w:cs="Arial"/>
                <w:sz w:val="20"/>
                <w:szCs w:val="20"/>
                <w:lang w:val="bg-BG"/>
              </w:rPr>
              <w:t>26 058</w:t>
            </w:r>
          </w:p>
        </w:tc>
        <w:tc>
          <w:tcPr>
            <w:tcW w:w="850" w:type="dxa"/>
            <w:tcBorders>
              <w:top w:val="nil"/>
              <w:left w:val="nil"/>
              <w:bottom w:val="single" w:sz="4" w:space="0" w:color="auto"/>
              <w:right w:val="single" w:sz="4" w:space="0" w:color="auto"/>
            </w:tcBorders>
            <w:shd w:val="clear" w:color="auto" w:fill="auto"/>
            <w:noWrap/>
            <w:vAlign w:val="center"/>
            <w:hideMark/>
          </w:tcPr>
          <w:p w14:paraId="1BE14DD6" w14:textId="77777777" w:rsidR="00CD3FE8" w:rsidRPr="00CD3FE8" w:rsidRDefault="00CD3FE8" w:rsidP="00CD3FE8">
            <w:pPr>
              <w:jc w:val="right"/>
              <w:rPr>
                <w:rFonts w:ascii="Arial Narrow" w:hAnsi="Arial Narrow" w:cs="Arial"/>
                <w:sz w:val="20"/>
                <w:szCs w:val="20"/>
                <w:lang w:val="bg-BG"/>
              </w:rPr>
            </w:pPr>
            <w:r w:rsidRPr="00CD3FE8">
              <w:rPr>
                <w:rFonts w:ascii="Arial Narrow" w:hAnsi="Arial Narrow" w:cs="Arial"/>
                <w:sz w:val="20"/>
                <w:szCs w:val="20"/>
                <w:lang w:val="bg-BG"/>
              </w:rPr>
              <w:t>15 878</w:t>
            </w:r>
          </w:p>
        </w:tc>
      </w:tr>
      <w:tr w:rsidR="00CD3FE8" w:rsidRPr="00CD3FE8" w14:paraId="4E1B04EE" w14:textId="77777777" w:rsidTr="004E30CA">
        <w:trPr>
          <w:gridAfter w:val="1"/>
          <w:wAfter w:w="7" w:type="dxa"/>
          <w:trHeight w:val="352"/>
        </w:trPr>
        <w:tc>
          <w:tcPr>
            <w:tcW w:w="2280" w:type="dxa"/>
            <w:tcBorders>
              <w:top w:val="nil"/>
              <w:left w:val="single" w:sz="4" w:space="0" w:color="auto"/>
              <w:bottom w:val="single" w:sz="4" w:space="0" w:color="auto"/>
              <w:right w:val="single" w:sz="4" w:space="0" w:color="auto"/>
            </w:tcBorders>
            <w:shd w:val="clear" w:color="auto" w:fill="auto"/>
            <w:noWrap/>
            <w:vAlign w:val="center"/>
            <w:hideMark/>
          </w:tcPr>
          <w:p w14:paraId="4FB39538" w14:textId="77777777" w:rsidR="00CD3FE8" w:rsidRPr="00CD3FE8" w:rsidRDefault="00CD3FE8" w:rsidP="00CD3FE8">
            <w:pPr>
              <w:rPr>
                <w:rFonts w:ascii="Arial Narrow" w:hAnsi="Arial Narrow" w:cs="Arial"/>
                <w:sz w:val="20"/>
                <w:szCs w:val="20"/>
                <w:lang w:val="bg-BG"/>
              </w:rPr>
            </w:pPr>
            <w:r w:rsidRPr="00CD3FE8">
              <w:rPr>
                <w:rFonts w:ascii="Arial Narrow" w:hAnsi="Arial Narrow" w:cs="Arial"/>
                <w:sz w:val="20"/>
                <w:szCs w:val="20"/>
                <w:lang w:val="bg-BG"/>
              </w:rPr>
              <w:t>Североизточен район</w:t>
            </w:r>
          </w:p>
        </w:tc>
        <w:tc>
          <w:tcPr>
            <w:tcW w:w="690" w:type="dxa"/>
            <w:tcBorders>
              <w:top w:val="nil"/>
              <w:left w:val="nil"/>
              <w:bottom w:val="single" w:sz="4" w:space="0" w:color="auto"/>
              <w:right w:val="single" w:sz="4" w:space="0" w:color="auto"/>
            </w:tcBorders>
            <w:shd w:val="clear" w:color="auto" w:fill="auto"/>
            <w:noWrap/>
            <w:vAlign w:val="center"/>
            <w:hideMark/>
          </w:tcPr>
          <w:p w14:paraId="3770560B" w14:textId="77777777" w:rsidR="00CD3FE8" w:rsidRPr="00CD3FE8" w:rsidRDefault="00CD3FE8" w:rsidP="00CD3FE8">
            <w:pPr>
              <w:jc w:val="right"/>
              <w:rPr>
                <w:rFonts w:ascii="Arial Narrow" w:hAnsi="Arial Narrow" w:cs="Arial"/>
                <w:sz w:val="20"/>
                <w:szCs w:val="20"/>
                <w:lang w:val="bg-BG"/>
              </w:rPr>
            </w:pPr>
            <w:r w:rsidRPr="00CD3FE8">
              <w:rPr>
                <w:rFonts w:ascii="Arial Narrow" w:hAnsi="Arial Narrow" w:cs="Arial"/>
                <w:sz w:val="20"/>
                <w:szCs w:val="20"/>
                <w:lang w:val="bg-BG"/>
              </w:rPr>
              <w:t>58</w:t>
            </w:r>
          </w:p>
        </w:tc>
        <w:tc>
          <w:tcPr>
            <w:tcW w:w="850" w:type="dxa"/>
            <w:tcBorders>
              <w:top w:val="nil"/>
              <w:left w:val="nil"/>
              <w:bottom w:val="single" w:sz="4" w:space="0" w:color="auto"/>
              <w:right w:val="single" w:sz="4" w:space="0" w:color="auto"/>
            </w:tcBorders>
            <w:shd w:val="clear" w:color="auto" w:fill="auto"/>
            <w:noWrap/>
            <w:vAlign w:val="center"/>
            <w:hideMark/>
          </w:tcPr>
          <w:p w14:paraId="6BA1AF85" w14:textId="77777777" w:rsidR="00CD3FE8" w:rsidRPr="00CD3FE8" w:rsidRDefault="00CD3FE8" w:rsidP="00CD3FE8">
            <w:pPr>
              <w:jc w:val="right"/>
              <w:rPr>
                <w:rFonts w:ascii="Arial Narrow" w:hAnsi="Arial Narrow" w:cs="Arial"/>
                <w:sz w:val="20"/>
                <w:szCs w:val="20"/>
                <w:lang w:val="bg-BG"/>
              </w:rPr>
            </w:pPr>
            <w:r w:rsidRPr="00CD3FE8">
              <w:rPr>
                <w:rFonts w:ascii="Arial Narrow" w:hAnsi="Arial Narrow" w:cs="Arial"/>
                <w:sz w:val="20"/>
                <w:szCs w:val="20"/>
                <w:lang w:val="bg-BG"/>
              </w:rPr>
              <w:t>0</w:t>
            </w:r>
          </w:p>
        </w:tc>
        <w:tc>
          <w:tcPr>
            <w:tcW w:w="849" w:type="dxa"/>
            <w:tcBorders>
              <w:top w:val="nil"/>
              <w:left w:val="nil"/>
              <w:bottom w:val="single" w:sz="4" w:space="0" w:color="auto"/>
              <w:right w:val="single" w:sz="4" w:space="0" w:color="auto"/>
            </w:tcBorders>
            <w:shd w:val="clear" w:color="auto" w:fill="auto"/>
            <w:noWrap/>
            <w:vAlign w:val="center"/>
            <w:hideMark/>
          </w:tcPr>
          <w:p w14:paraId="34D7851E" w14:textId="77777777" w:rsidR="00CD3FE8" w:rsidRPr="00CD3FE8" w:rsidRDefault="00CD3FE8" w:rsidP="00CD3FE8">
            <w:pPr>
              <w:jc w:val="right"/>
              <w:rPr>
                <w:rFonts w:ascii="Arial Narrow" w:hAnsi="Arial Narrow" w:cs="Arial"/>
                <w:sz w:val="20"/>
                <w:szCs w:val="20"/>
                <w:lang w:val="bg-BG"/>
              </w:rPr>
            </w:pPr>
            <w:r w:rsidRPr="00CD3FE8">
              <w:rPr>
                <w:rFonts w:ascii="Arial Narrow" w:hAnsi="Arial Narrow" w:cs="Arial"/>
                <w:sz w:val="20"/>
                <w:szCs w:val="20"/>
                <w:lang w:val="bg-BG"/>
              </w:rPr>
              <w:t>31 516</w:t>
            </w:r>
          </w:p>
        </w:tc>
        <w:tc>
          <w:tcPr>
            <w:tcW w:w="850" w:type="dxa"/>
            <w:tcBorders>
              <w:top w:val="nil"/>
              <w:left w:val="nil"/>
              <w:bottom w:val="single" w:sz="4" w:space="0" w:color="auto"/>
              <w:right w:val="single" w:sz="4" w:space="0" w:color="auto"/>
            </w:tcBorders>
            <w:shd w:val="clear" w:color="auto" w:fill="auto"/>
            <w:noWrap/>
            <w:vAlign w:val="center"/>
            <w:hideMark/>
          </w:tcPr>
          <w:p w14:paraId="4B1A96DB" w14:textId="77777777" w:rsidR="00CD3FE8" w:rsidRPr="00CD3FE8" w:rsidRDefault="00CD3FE8" w:rsidP="00CD3FE8">
            <w:pPr>
              <w:jc w:val="right"/>
              <w:rPr>
                <w:rFonts w:ascii="Arial Narrow" w:hAnsi="Arial Narrow" w:cs="Arial"/>
                <w:sz w:val="20"/>
                <w:szCs w:val="20"/>
                <w:lang w:val="bg-BG"/>
              </w:rPr>
            </w:pPr>
            <w:r w:rsidRPr="00CD3FE8">
              <w:rPr>
                <w:rFonts w:ascii="Arial Narrow" w:hAnsi="Arial Narrow" w:cs="Arial"/>
                <w:sz w:val="20"/>
                <w:szCs w:val="20"/>
                <w:lang w:val="bg-BG"/>
              </w:rPr>
              <w:t>10 152</w:t>
            </w:r>
          </w:p>
        </w:tc>
        <w:tc>
          <w:tcPr>
            <w:tcW w:w="849" w:type="dxa"/>
            <w:tcBorders>
              <w:top w:val="nil"/>
              <w:left w:val="nil"/>
              <w:bottom w:val="single" w:sz="4" w:space="0" w:color="auto"/>
              <w:right w:val="single" w:sz="4" w:space="0" w:color="auto"/>
            </w:tcBorders>
            <w:shd w:val="clear" w:color="auto" w:fill="auto"/>
            <w:noWrap/>
            <w:vAlign w:val="center"/>
            <w:hideMark/>
          </w:tcPr>
          <w:p w14:paraId="561A29EC" w14:textId="77777777" w:rsidR="00CD3FE8" w:rsidRPr="00CD3FE8" w:rsidRDefault="00CD3FE8" w:rsidP="00CD3FE8">
            <w:pPr>
              <w:jc w:val="right"/>
              <w:rPr>
                <w:rFonts w:ascii="Arial Narrow" w:hAnsi="Arial Narrow" w:cs="Arial"/>
                <w:sz w:val="20"/>
                <w:szCs w:val="20"/>
                <w:lang w:val="bg-BG"/>
              </w:rPr>
            </w:pPr>
            <w:r w:rsidRPr="00CD3FE8">
              <w:rPr>
                <w:rFonts w:ascii="Arial Narrow" w:hAnsi="Arial Narrow" w:cs="Arial"/>
                <w:sz w:val="20"/>
                <w:szCs w:val="20"/>
                <w:lang w:val="bg-BG"/>
              </w:rPr>
              <w:t>17 454</w:t>
            </w:r>
          </w:p>
        </w:tc>
        <w:tc>
          <w:tcPr>
            <w:tcW w:w="850" w:type="dxa"/>
            <w:tcBorders>
              <w:top w:val="nil"/>
              <w:left w:val="nil"/>
              <w:bottom w:val="single" w:sz="4" w:space="0" w:color="auto"/>
              <w:right w:val="single" w:sz="4" w:space="0" w:color="auto"/>
            </w:tcBorders>
            <w:shd w:val="clear" w:color="auto" w:fill="auto"/>
            <w:noWrap/>
            <w:vAlign w:val="center"/>
            <w:hideMark/>
          </w:tcPr>
          <w:p w14:paraId="44C71ED2" w14:textId="77777777" w:rsidR="00CD3FE8" w:rsidRPr="00CD3FE8" w:rsidRDefault="00CD3FE8" w:rsidP="00CD3FE8">
            <w:pPr>
              <w:jc w:val="right"/>
              <w:rPr>
                <w:rFonts w:ascii="Arial Narrow" w:hAnsi="Arial Narrow" w:cs="Arial"/>
                <w:sz w:val="20"/>
                <w:szCs w:val="20"/>
                <w:lang w:val="bg-BG"/>
              </w:rPr>
            </w:pPr>
            <w:r w:rsidRPr="00CD3FE8">
              <w:rPr>
                <w:rFonts w:ascii="Arial Narrow" w:hAnsi="Arial Narrow" w:cs="Arial"/>
                <w:sz w:val="20"/>
                <w:szCs w:val="20"/>
                <w:lang w:val="bg-BG"/>
              </w:rPr>
              <w:t>5 134</w:t>
            </w:r>
          </w:p>
        </w:tc>
        <w:tc>
          <w:tcPr>
            <w:tcW w:w="849" w:type="dxa"/>
            <w:tcBorders>
              <w:top w:val="nil"/>
              <w:left w:val="nil"/>
              <w:bottom w:val="single" w:sz="4" w:space="0" w:color="auto"/>
              <w:right w:val="single" w:sz="4" w:space="0" w:color="auto"/>
            </w:tcBorders>
            <w:shd w:val="clear" w:color="auto" w:fill="auto"/>
            <w:noWrap/>
            <w:vAlign w:val="center"/>
            <w:hideMark/>
          </w:tcPr>
          <w:p w14:paraId="25F64132" w14:textId="77777777" w:rsidR="00CD3FE8" w:rsidRPr="00CD3FE8" w:rsidRDefault="00CD3FE8" w:rsidP="00CD3FE8">
            <w:pPr>
              <w:jc w:val="right"/>
              <w:rPr>
                <w:rFonts w:ascii="Arial Narrow" w:hAnsi="Arial Narrow" w:cs="Arial"/>
                <w:sz w:val="20"/>
                <w:szCs w:val="20"/>
                <w:lang w:val="bg-BG"/>
              </w:rPr>
            </w:pPr>
            <w:r w:rsidRPr="00CD3FE8">
              <w:rPr>
                <w:rFonts w:ascii="Arial Narrow" w:hAnsi="Arial Narrow" w:cs="Arial"/>
                <w:sz w:val="20"/>
                <w:szCs w:val="20"/>
                <w:lang w:val="bg-BG"/>
              </w:rPr>
              <w:t>220</w:t>
            </w:r>
          </w:p>
        </w:tc>
        <w:tc>
          <w:tcPr>
            <w:tcW w:w="850" w:type="dxa"/>
            <w:tcBorders>
              <w:top w:val="nil"/>
              <w:left w:val="nil"/>
              <w:bottom w:val="single" w:sz="4" w:space="0" w:color="auto"/>
              <w:right w:val="single" w:sz="4" w:space="0" w:color="auto"/>
            </w:tcBorders>
            <w:shd w:val="clear" w:color="auto" w:fill="auto"/>
            <w:noWrap/>
            <w:vAlign w:val="center"/>
            <w:hideMark/>
          </w:tcPr>
          <w:p w14:paraId="732FEC02" w14:textId="77777777" w:rsidR="00CD3FE8" w:rsidRPr="00CD3FE8" w:rsidRDefault="00CD3FE8" w:rsidP="00CD3FE8">
            <w:pPr>
              <w:jc w:val="right"/>
              <w:rPr>
                <w:rFonts w:ascii="Arial Narrow" w:hAnsi="Arial Narrow" w:cs="Arial"/>
                <w:sz w:val="20"/>
                <w:szCs w:val="20"/>
                <w:lang w:val="bg-BG"/>
              </w:rPr>
            </w:pPr>
            <w:r w:rsidRPr="00CD3FE8">
              <w:rPr>
                <w:rFonts w:ascii="Arial Narrow" w:hAnsi="Arial Narrow" w:cs="Arial"/>
                <w:sz w:val="20"/>
                <w:szCs w:val="20"/>
                <w:lang w:val="bg-BG"/>
              </w:rPr>
              <w:t>49 027</w:t>
            </w:r>
          </w:p>
        </w:tc>
        <w:tc>
          <w:tcPr>
            <w:tcW w:w="850" w:type="dxa"/>
            <w:tcBorders>
              <w:top w:val="nil"/>
              <w:left w:val="nil"/>
              <w:bottom w:val="single" w:sz="4" w:space="0" w:color="auto"/>
              <w:right w:val="single" w:sz="4" w:space="0" w:color="auto"/>
            </w:tcBorders>
            <w:shd w:val="clear" w:color="auto" w:fill="auto"/>
            <w:noWrap/>
            <w:vAlign w:val="center"/>
            <w:hideMark/>
          </w:tcPr>
          <w:p w14:paraId="107E088F" w14:textId="77777777" w:rsidR="00CD3FE8" w:rsidRPr="00CD3FE8" w:rsidRDefault="00CD3FE8" w:rsidP="00CD3FE8">
            <w:pPr>
              <w:jc w:val="right"/>
              <w:rPr>
                <w:rFonts w:ascii="Arial Narrow" w:hAnsi="Arial Narrow" w:cs="Arial"/>
                <w:sz w:val="20"/>
                <w:szCs w:val="20"/>
                <w:lang w:val="bg-BG"/>
              </w:rPr>
            </w:pPr>
            <w:r w:rsidRPr="00CD3FE8">
              <w:rPr>
                <w:rFonts w:ascii="Arial Narrow" w:hAnsi="Arial Narrow" w:cs="Arial"/>
                <w:sz w:val="20"/>
                <w:szCs w:val="20"/>
                <w:lang w:val="bg-BG"/>
              </w:rPr>
              <w:t>15 286</w:t>
            </w:r>
          </w:p>
        </w:tc>
      </w:tr>
      <w:tr w:rsidR="00CD3FE8" w:rsidRPr="00CD3FE8" w14:paraId="35C7FADE" w14:textId="77777777" w:rsidTr="004E30CA">
        <w:trPr>
          <w:gridAfter w:val="1"/>
          <w:wAfter w:w="7" w:type="dxa"/>
          <w:trHeight w:val="352"/>
        </w:trPr>
        <w:tc>
          <w:tcPr>
            <w:tcW w:w="2280" w:type="dxa"/>
            <w:tcBorders>
              <w:top w:val="nil"/>
              <w:left w:val="single" w:sz="4" w:space="0" w:color="auto"/>
              <w:bottom w:val="single" w:sz="4" w:space="0" w:color="auto"/>
              <w:right w:val="single" w:sz="4" w:space="0" w:color="auto"/>
            </w:tcBorders>
            <w:shd w:val="clear" w:color="auto" w:fill="auto"/>
            <w:noWrap/>
            <w:vAlign w:val="center"/>
            <w:hideMark/>
          </w:tcPr>
          <w:p w14:paraId="7D98F407" w14:textId="77777777" w:rsidR="00CD3FE8" w:rsidRPr="00CD3FE8" w:rsidRDefault="00CD3FE8" w:rsidP="00CD3FE8">
            <w:pPr>
              <w:rPr>
                <w:rFonts w:ascii="Arial Narrow" w:hAnsi="Arial Narrow" w:cs="Arial"/>
                <w:sz w:val="20"/>
                <w:szCs w:val="20"/>
                <w:lang w:val="bg-BG"/>
              </w:rPr>
            </w:pPr>
            <w:r w:rsidRPr="00CD3FE8">
              <w:rPr>
                <w:rFonts w:ascii="Arial Narrow" w:hAnsi="Arial Narrow" w:cs="Arial"/>
                <w:sz w:val="20"/>
                <w:szCs w:val="20"/>
                <w:lang w:val="bg-BG"/>
              </w:rPr>
              <w:t>Югоизточен район</w:t>
            </w:r>
          </w:p>
        </w:tc>
        <w:tc>
          <w:tcPr>
            <w:tcW w:w="690" w:type="dxa"/>
            <w:tcBorders>
              <w:top w:val="nil"/>
              <w:left w:val="nil"/>
              <w:bottom w:val="single" w:sz="4" w:space="0" w:color="auto"/>
              <w:right w:val="single" w:sz="4" w:space="0" w:color="auto"/>
            </w:tcBorders>
            <w:shd w:val="clear" w:color="auto" w:fill="auto"/>
            <w:noWrap/>
            <w:vAlign w:val="center"/>
            <w:hideMark/>
          </w:tcPr>
          <w:p w14:paraId="6FD69B03" w14:textId="77777777" w:rsidR="00CD3FE8" w:rsidRPr="00CD3FE8" w:rsidRDefault="00CD3FE8" w:rsidP="00CD3FE8">
            <w:pPr>
              <w:jc w:val="right"/>
              <w:rPr>
                <w:rFonts w:ascii="Arial Narrow" w:hAnsi="Arial Narrow" w:cs="Arial"/>
                <w:sz w:val="20"/>
                <w:szCs w:val="20"/>
                <w:lang w:val="bg-BG"/>
              </w:rPr>
            </w:pPr>
            <w:r w:rsidRPr="00CD3FE8">
              <w:rPr>
                <w:rFonts w:ascii="Arial Narrow" w:hAnsi="Arial Narrow" w:cs="Arial"/>
                <w:sz w:val="20"/>
                <w:szCs w:val="20"/>
                <w:lang w:val="bg-BG"/>
              </w:rPr>
              <w:t>296</w:t>
            </w:r>
          </w:p>
        </w:tc>
        <w:tc>
          <w:tcPr>
            <w:tcW w:w="850" w:type="dxa"/>
            <w:tcBorders>
              <w:top w:val="nil"/>
              <w:left w:val="nil"/>
              <w:bottom w:val="single" w:sz="4" w:space="0" w:color="auto"/>
              <w:right w:val="single" w:sz="4" w:space="0" w:color="auto"/>
            </w:tcBorders>
            <w:shd w:val="clear" w:color="auto" w:fill="auto"/>
            <w:noWrap/>
            <w:vAlign w:val="center"/>
            <w:hideMark/>
          </w:tcPr>
          <w:p w14:paraId="1705C6A4" w14:textId="77777777" w:rsidR="00CD3FE8" w:rsidRPr="00CD3FE8" w:rsidRDefault="00CD3FE8" w:rsidP="00CD3FE8">
            <w:pPr>
              <w:jc w:val="right"/>
              <w:rPr>
                <w:rFonts w:ascii="Arial Narrow" w:hAnsi="Arial Narrow" w:cs="Arial"/>
                <w:sz w:val="20"/>
                <w:szCs w:val="20"/>
                <w:lang w:val="bg-BG"/>
              </w:rPr>
            </w:pPr>
            <w:r w:rsidRPr="00CD3FE8">
              <w:rPr>
                <w:rFonts w:ascii="Arial Narrow" w:hAnsi="Arial Narrow" w:cs="Arial"/>
                <w:sz w:val="20"/>
                <w:szCs w:val="20"/>
                <w:lang w:val="bg-BG"/>
              </w:rPr>
              <w:t>814</w:t>
            </w:r>
          </w:p>
        </w:tc>
        <w:tc>
          <w:tcPr>
            <w:tcW w:w="849" w:type="dxa"/>
            <w:tcBorders>
              <w:top w:val="nil"/>
              <w:left w:val="nil"/>
              <w:bottom w:val="single" w:sz="4" w:space="0" w:color="auto"/>
              <w:right w:val="single" w:sz="4" w:space="0" w:color="auto"/>
            </w:tcBorders>
            <w:shd w:val="clear" w:color="auto" w:fill="auto"/>
            <w:noWrap/>
            <w:vAlign w:val="center"/>
            <w:hideMark/>
          </w:tcPr>
          <w:p w14:paraId="53A2417E" w14:textId="77777777" w:rsidR="00CD3FE8" w:rsidRPr="00CD3FE8" w:rsidRDefault="00CD3FE8" w:rsidP="00CD3FE8">
            <w:pPr>
              <w:jc w:val="right"/>
              <w:rPr>
                <w:rFonts w:ascii="Arial Narrow" w:hAnsi="Arial Narrow" w:cs="Arial"/>
                <w:sz w:val="20"/>
                <w:szCs w:val="20"/>
                <w:lang w:val="bg-BG"/>
              </w:rPr>
            </w:pPr>
            <w:r w:rsidRPr="00CD3FE8">
              <w:rPr>
                <w:rFonts w:ascii="Arial Narrow" w:hAnsi="Arial Narrow" w:cs="Arial"/>
                <w:sz w:val="20"/>
                <w:szCs w:val="20"/>
                <w:lang w:val="bg-BG"/>
              </w:rPr>
              <w:t>75 906</w:t>
            </w:r>
          </w:p>
        </w:tc>
        <w:tc>
          <w:tcPr>
            <w:tcW w:w="850" w:type="dxa"/>
            <w:tcBorders>
              <w:top w:val="nil"/>
              <w:left w:val="nil"/>
              <w:bottom w:val="single" w:sz="4" w:space="0" w:color="auto"/>
              <w:right w:val="single" w:sz="4" w:space="0" w:color="auto"/>
            </w:tcBorders>
            <w:shd w:val="clear" w:color="auto" w:fill="auto"/>
            <w:noWrap/>
            <w:vAlign w:val="center"/>
            <w:hideMark/>
          </w:tcPr>
          <w:p w14:paraId="12B7564B" w14:textId="77777777" w:rsidR="00CD3FE8" w:rsidRPr="00CD3FE8" w:rsidRDefault="00CD3FE8" w:rsidP="00CD3FE8">
            <w:pPr>
              <w:jc w:val="right"/>
              <w:rPr>
                <w:rFonts w:ascii="Arial Narrow" w:hAnsi="Arial Narrow" w:cs="Arial"/>
                <w:sz w:val="20"/>
                <w:szCs w:val="20"/>
                <w:lang w:val="bg-BG"/>
              </w:rPr>
            </w:pPr>
            <w:r w:rsidRPr="00CD3FE8">
              <w:rPr>
                <w:rFonts w:ascii="Arial Narrow" w:hAnsi="Arial Narrow" w:cs="Arial"/>
                <w:sz w:val="20"/>
                <w:szCs w:val="20"/>
                <w:lang w:val="bg-BG"/>
              </w:rPr>
              <w:t>55 407</w:t>
            </w:r>
          </w:p>
        </w:tc>
        <w:tc>
          <w:tcPr>
            <w:tcW w:w="849" w:type="dxa"/>
            <w:tcBorders>
              <w:top w:val="nil"/>
              <w:left w:val="nil"/>
              <w:bottom w:val="single" w:sz="4" w:space="0" w:color="auto"/>
              <w:right w:val="single" w:sz="4" w:space="0" w:color="auto"/>
            </w:tcBorders>
            <w:shd w:val="clear" w:color="auto" w:fill="auto"/>
            <w:noWrap/>
            <w:vAlign w:val="center"/>
            <w:hideMark/>
          </w:tcPr>
          <w:p w14:paraId="1E7634B8" w14:textId="77777777" w:rsidR="00CD3FE8" w:rsidRPr="00CD3FE8" w:rsidRDefault="00CD3FE8" w:rsidP="00CD3FE8">
            <w:pPr>
              <w:jc w:val="right"/>
              <w:rPr>
                <w:rFonts w:ascii="Arial Narrow" w:hAnsi="Arial Narrow" w:cs="Arial"/>
                <w:sz w:val="20"/>
                <w:szCs w:val="20"/>
                <w:lang w:val="bg-BG"/>
              </w:rPr>
            </w:pPr>
            <w:r w:rsidRPr="00CD3FE8">
              <w:rPr>
                <w:rFonts w:ascii="Arial Narrow" w:hAnsi="Arial Narrow" w:cs="Arial"/>
                <w:sz w:val="20"/>
                <w:szCs w:val="20"/>
                <w:lang w:val="bg-BG"/>
              </w:rPr>
              <w:t>159 310</w:t>
            </w:r>
          </w:p>
        </w:tc>
        <w:tc>
          <w:tcPr>
            <w:tcW w:w="850" w:type="dxa"/>
            <w:tcBorders>
              <w:top w:val="nil"/>
              <w:left w:val="nil"/>
              <w:bottom w:val="single" w:sz="4" w:space="0" w:color="auto"/>
              <w:right w:val="single" w:sz="4" w:space="0" w:color="auto"/>
            </w:tcBorders>
            <w:shd w:val="clear" w:color="auto" w:fill="auto"/>
            <w:noWrap/>
            <w:vAlign w:val="center"/>
            <w:hideMark/>
          </w:tcPr>
          <w:p w14:paraId="37D13689" w14:textId="77777777" w:rsidR="00CD3FE8" w:rsidRPr="00CD3FE8" w:rsidRDefault="00CD3FE8" w:rsidP="00CD3FE8">
            <w:pPr>
              <w:jc w:val="right"/>
              <w:rPr>
                <w:rFonts w:ascii="Arial Narrow" w:hAnsi="Arial Narrow" w:cs="Arial"/>
                <w:sz w:val="20"/>
                <w:szCs w:val="20"/>
                <w:lang w:val="bg-BG"/>
              </w:rPr>
            </w:pPr>
            <w:r w:rsidRPr="00CD3FE8">
              <w:rPr>
                <w:rFonts w:ascii="Arial Narrow" w:hAnsi="Arial Narrow" w:cs="Arial"/>
                <w:sz w:val="20"/>
                <w:szCs w:val="20"/>
                <w:lang w:val="bg-BG"/>
              </w:rPr>
              <w:t>73 401</w:t>
            </w:r>
          </w:p>
        </w:tc>
        <w:tc>
          <w:tcPr>
            <w:tcW w:w="849" w:type="dxa"/>
            <w:tcBorders>
              <w:top w:val="nil"/>
              <w:left w:val="nil"/>
              <w:bottom w:val="single" w:sz="4" w:space="0" w:color="auto"/>
              <w:right w:val="single" w:sz="4" w:space="0" w:color="auto"/>
            </w:tcBorders>
            <w:shd w:val="clear" w:color="auto" w:fill="auto"/>
            <w:noWrap/>
            <w:vAlign w:val="center"/>
            <w:hideMark/>
          </w:tcPr>
          <w:p w14:paraId="7025E861" w14:textId="77777777" w:rsidR="00CD3FE8" w:rsidRPr="00CD3FE8" w:rsidRDefault="00CD3FE8" w:rsidP="00CD3FE8">
            <w:pPr>
              <w:jc w:val="right"/>
              <w:rPr>
                <w:rFonts w:ascii="Arial Narrow" w:hAnsi="Arial Narrow" w:cs="Arial"/>
                <w:sz w:val="20"/>
                <w:szCs w:val="20"/>
                <w:lang w:val="bg-BG"/>
              </w:rPr>
            </w:pPr>
            <w:r w:rsidRPr="00CD3FE8">
              <w:rPr>
                <w:rFonts w:ascii="Arial Narrow" w:hAnsi="Arial Narrow" w:cs="Arial"/>
                <w:sz w:val="20"/>
                <w:szCs w:val="20"/>
                <w:lang w:val="bg-BG"/>
              </w:rPr>
              <w:t>14 742</w:t>
            </w:r>
          </w:p>
        </w:tc>
        <w:tc>
          <w:tcPr>
            <w:tcW w:w="850" w:type="dxa"/>
            <w:tcBorders>
              <w:top w:val="nil"/>
              <w:left w:val="nil"/>
              <w:bottom w:val="single" w:sz="4" w:space="0" w:color="auto"/>
              <w:right w:val="single" w:sz="4" w:space="0" w:color="auto"/>
            </w:tcBorders>
            <w:shd w:val="clear" w:color="auto" w:fill="auto"/>
            <w:noWrap/>
            <w:vAlign w:val="center"/>
            <w:hideMark/>
          </w:tcPr>
          <w:p w14:paraId="7950BD6E" w14:textId="77777777" w:rsidR="00CD3FE8" w:rsidRPr="00CD3FE8" w:rsidRDefault="00CD3FE8" w:rsidP="00CD3FE8">
            <w:pPr>
              <w:jc w:val="right"/>
              <w:rPr>
                <w:rFonts w:ascii="Arial Narrow" w:hAnsi="Arial Narrow" w:cs="Arial"/>
                <w:sz w:val="20"/>
                <w:szCs w:val="20"/>
                <w:lang w:val="bg-BG"/>
              </w:rPr>
            </w:pPr>
            <w:r w:rsidRPr="00CD3FE8">
              <w:rPr>
                <w:rFonts w:ascii="Arial Narrow" w:hAnsi="Arial Narrow" w:cs="Arial"/>
                <w:sz w:val="20"/>
                <w:szCs w:val="20"/>
                <w:lang w:val="bg-BG"/>
              </w:rPr>
              <w:t>235 512</w:t>
            </w:r>
          </w:p>
        </w:tc>
        <w:tc>
          <w:tcPr>
            <w:tcW w:w="850" w:type="dxa"/>
            <w:tcBorders>
              <w:top w:val="nil"/>
              <w:left w:val="nil"/>
              <w:bottom w:val="single" w:sz="4" w:space="0" w:color="auto"/>
              <w:right w:val="single" w:sz="4" w:space="0" w:color="auto"/>
            </w:tcBorders>
            <w:shd w:val="clear" w:color="auto" w:fill="auto"/>
            <w:noWrap/>
            <w:vAlign w:val="center"/>
            <w:hideMark/>
          </w:tcPr>
          <w:p w14:paraId="29803041" w14:textId="77777777" w:rsidR="00CD3FE8" w:rsidRPr="00CD3FE8" w:rsidRDefault="00CD3FE8" w:rsidP="00CD3FE8">
            <w:pPr>
              <w:jc w:val="right"/>
              <w:rPr>
                <w:rFonts w:ascii="Arial Narrow" w:hAnsi="Arial Narrow" w:cs="Arial"/>
                <w:sz w:val="20"/>
                <w:szCs w:val="20"/>
                <w:lang w:val="bg-BG"/>
              </w:rPr>
            </w:pPr>
            <w:r w:rsidRPr="00CD3FE8">
              <w:rPr>
                <w:rFonts w:ascii="Arial Narrow" w:hAnsi="Arial Narrow" w:cs="Arial"/>
                <w:sz w:val="20"/>
                <w:szCs w:val="20"/>
                <w:lang w:val="bg-BG"/>
              </w:rPr>
              <w:t>129 622</w:t>
            </w:r>
          </w:p>
        </w:tc>
      </w:tr>
      <w:tr w:rsidR="00CD3FE8" w:rsidRPr="00CD3FE8" w14:paraId="12BAE5D1" w14:textId="77777777" w:rsidTr="004E30CA">
        <w:trPr>
          <w:gridAfter w:val="1"/>
          <w:wAfter w:w="7" w:type="dxa"/>
          <w:trHeight w:val="352"/>
        </w:trPr>
        <w:tc>
          <w:tcPr>
            <w:tcW w:w="2280" w:type="dxa"/>
            <w:tcBorders>
              <w:top w:val="nil"/>
              <w:left w:val="single" w:sz="4" w:space="0" w:color="auto"/>
              <w:bottom w:val="single" w:sz="4" w:space="0" w:color="auto"/>
              <w:right w:val="single" w:sz="4" w:space="0" w:color="auto"/>
            </w:tcBorders>
            <w:shd w:val="clear" w:color="auto" w:fill="auto"/>
            <w:noWrap/>
            <w:vAlign w:val="center"/>
            <w:hideMark/>
          </w:tcPr>
          <w:p w14:paraId="53EFD48A" w14:textId="77777777" w:rsidR="00CD3FE8" w:rsidRPr="00CD3FE8" w:rsidRDefault="00CD3FE8" w:rsidP="00CD3FE8">
            <w:pPr>
              <w:rPr>
                <w:rFonts w:ascii="Arial Narrow" w:hAnsi="Arial Narrow" w:cs="Arial"/>
                <w:sz w:val="20"/>
                <w:szCs w:val="20"/>
                <w:lang w:val="bg-BG"/>
              </w:rPr>
            </w:pPr>
            <w:r w:rsidRPr="00CD3FE8">
              <w:rPr>
                <w:rFonts w:ascii="Arial Narrow" w:hAnsi="Arial Narrow" w:cs="Arial"/>
                <w:sz w:val="20"/>
                <w:szCs w:val="20"/>
                <w:lang w:val="bg-BG"/>
              </w:rPr>
              <w:t>Югозападен район</w:t>
            </w:r>
          </w:p>
        </w:tc>
        <w:tc>
          <w:tcPr>
            <w:tcW w:w="690" w:type="dxa"/>
            <w:tcBorders>
              <w:top w:val="nil"/>
              <w:left w:val="nil"/>
              <w:bottom w:val="single" w:sz="4" w:space="0" w:color="auto"/>
              <w:right w:val="single" w:sz="4" w:space="0" w:color="auto"/>
            </w:tcBorders>
            <w:shd w:val="clear" w:color="auto" w:fill="auto"/>
            <w:noWrap/>
            <w:vAlign w:val="center"/>
            <w:hideMark/>
          </w:tcPr>
          <w:p w14:paraId="32B98D52" w14:textId="77777777" w:rsidR="00CD3FE8" w:rsidRPr="00CD3FE8" w:rsidRDefault="00CD3FE8" w:rsidP="00CD3FE8">
            <w:pPr>
              <w:jc w:val="right"/>
              <w:rPr>
                <w:rFonts w:ascii="Arial Narrow" w:hAnsi="Arial Narrow" w:cs="Arial"/>
                <w:sz w:val="20"/>
                <w:szCs w:val="20"/>
                <w:lang w:val="bg-BG"/>
              </w:rPr>
            </w:pPr>
            <w:r w:rsidRPr="00CD3FE8">
              <w:rPr>
                <w:rFonts w:ascii="Arial Narrow" w:hAnsi="Arial Narrow" w:cs="Arial"/>
                <w:sz w:val="20"/>
                <w:szCs w:val="20"/>
                <w:lang w:val="bg-BG"/>
              </w:rPr>
              <w:t>180</w:t>
            </w:r>
          </w:p>
        </w:tc>
        <w:tc>
          <w:tcPr>
            <w:tcW w:w="850" w:type="dxa"/>
            <w:tcBorders>
              <w:top w:val="nil"/>
              <w:left w:val="nil"/>
              <w:bottom w:val="single" w:sz="4" w:space="0" w:color="auto"/>
              <w:right w:val="single" w:sz="4" w:space="0" w:color="auto"/>
            </w:tcBorders>
            <w:shd w:val="clear" w:color="auto" w:fill="auto"/>
            <w:noWrap/>
            <w:vAlign w:val="center"/>
            <w:hideMark/>
          </w:tcPr>
          <w:p w14:paraId="136F5ECE" w14:textId="77777777" w:rsidR="00CD3FE8" w:rsidRPr="00CD3FE8" w:rsidRDefault="00CD3FE8" w:rsidP="00CD3FE8">
            <w:pPr>
              <w:jc w:val="right"/>
              <w:rPr>
                <w:rFonts w:ascii="Arial Narrow" w:hAnsi="Arial Narrow" w:cs="Arial"/>
                <w:sz w:val="20"/>
                <w:szCs w:val="20"/>
                <w:lang w:val="bg-BG"/>
              </w:rPr>
            </w:pPr>
            <w:r w:rsidRPr="00CD3FE8">
              <w:rPr>
                <w:rFonts w:ascii="Arial Narrow" w:hAnsi="Arial Narrow" w:cs="Arial"/>
                <w:sz w:val="20"/>
                <w:szCs w:val="20"/>
                <w:lang w:val="bg-BG"/>
              </w:rPr>
              <w:t>552</w:t>
            </w:r>
          </w:p>
        </w:tc>
        <w:tc>
          <w:tcPr>
            <w:tcW w:w="849" w:type="dxa"/>
            <w:tcBorders>
              <w:top w:val="nil"/>
              <w:left w:val="nil"/>
              <w:bottom w:val="single" w:sz="4" w:space="0" w:color="auto"/>
              <w:right w:val="single" w:sz="4" w:space="0" w:color="auto"/>
            </w:tcBorders>
            <w:shd w:val="clear" w:color="auto" w:fill="auto"/>
            <w:noWrap/>
            <w:vAlign w:val="center"/>
            <w:hideMark/>
          </w:tcPr>
          <w:p w14:paraId="3294BA69" w14:textId="77777777" w:rsidR="00CD3FE8" w:rsidRPr="00CD3FE8" w:rsidRDefault="00CD3FE8" w:rsidP="00CD3FE8">
            <w:pPr>
              <w:jc w:val="right"/>
              <w:rPr>
                <w:rFonts w:ascii="Arial Narrow" w:hAnsi="Arial Narrow" w:cs="Arial"/>
                <w:sz w:val="20"/>
                <w:szCs w:val="20"/>
                <w:lang w:val="bg-BG"/>
              </w:rPr>
            </w:pPr>
            <w:r w:rsidRPr="00CD3FE8">
              <w:rPr>
                <w:rFonts w:ascii="Arial Narrow" w:hAnsi="Arial Narrow" w:cs="Arial"/>
                <w:sz w:val="20"/>
                <w:szCs w:val="20"/>
                <w:lang w:val="bg-BG"/>
              </w:rPr>
              <w:t>4 465</w:t>
            </w:r>
          </w:p>
        </w:tc>
        <w:tc>
          <w:tcPr>
            <w:tcW w:w="850" w:type="dxa"/>
            <w:tcBorders>
              <w:top w:val="nil"/>
              <w:left w:val="nil"/>
              <w:bottom w:val="single" w:sz="4" w:space="0" w:color="auto"/>
              <w:right w:val="single" w:sz="4" w:space="0" w:color="auto"/>
            </w:tcBorders>
            <w:shd w:val="clear" w:color="auto" w:fill="auto"/>
            <w:noWrap/>
            <w:vAlign w:val="center"/>
            <w:hideMark/>
          </w:tcPr>
          <w:p w14:paraId="0EC0231E" w14:textId="77777777" w:rsidR="00CD3FE8" w:rsidRPr="00CD3FE8" w:rsidRDefault="00CD3FE8" w:rsidP="00CD3FE8">
            <w:pPr>
              <w:jc w:val="right"/>
              <w:rPr>
                <w:rFonts w:ascii="Arial Narrow" w:hAnsi="Arial Narrow" w:cs="Arial"/>
                <w:sz w:val="20"/>
                <w:szCs w:val="20"/>
                <w:lang w:val="bg-BG"/>
              </w:rPr>
            </w:pPr>
            <w:r w:rsidRPr="00CD3FE8">
              <w:rPr>
                <w:rFonts w:ascii="Arial Narrow" w:hAnsi="Arial Narrow" w:cs="Arial"/>
                <w:sz w:val="20"/>
                <w:szCs w:val="20"/>
                <w:lang w:val="bg-BG"/>
              </w:rPr>
              <w:t>10 169</w:t>
            </w:r>
          </w:p>
        </w:tc>
        <w:tc>
          <w:tcPr>
            <w:tcW w:w="849" w:type="dxa"/>
            <w:tcBorders>
              <w:top w:val="nil"/>
              <w:left w:val="nil"/>
              <w:bottom w:val="single" w:sz="4" w:space="0" w:color="auto"/>
              <w:right w:val="single" w:sz="4" w:space="0" w:color="auto"/>
            </w:tcBorders>
            <w:shd w:val="clear" w:color="auto" w:fill="auto"/>
            <w:noWrap/>
            <w:vAlign w:val="center"/>
            <w:hideMark/>
          </w:tcPr>
          <w:p w14:paraId="7C0FE89F" w14:textId="77777777" w:rsidR="00CD3FE8" w:rsidRPr="00CD3FE8" w:rsidRDefault="00CD3FE8" w:rsidP="00CD3FE8">
            <w:pPr>
              <w:jc w:val="right"/>
              <w:rPr>
                <w:rFonts w:ascii="Arial Narrow" w:hAnsi="Arial Narrow" w:cs="Arial"/>
                <w:sz w:val="20"/>
                <w:szCs w:val="20"/>
                <w:lang w:val="bg-BG"/>
              </w:rPr>
            </w:pPr>
            <w:r w:rsidRPr="00CD3FE8">
              <w:rPr>
                <w:rFonts w:ascii="Arial Narrow" w:hAnsi="Arial Narrow" w:cs="Arial"/>
                <w:sz w:val="20"/>
                <w:szCs w:val="20"/>
                <w:lang w:val="bg-BG"/>
              </w:rPr>
              <w:t>7 072</w:t>
            </w:r>
          </w:p>
        </w:tc>
        <w:tc>
          <w:tcPr>
            <w:tcW w:w="850" w:type="dxa"/>
            <w:tcBorders>
              <w:top w:val="nil"/>
              <w:left w:val="nil"/>
              <w:bottom w:val="single" w:sz="4" w:space="0" w:color="auto"/>
              <w:right w:val="single" w:sz="4" w:space="0" w:color="auto"/>
            </w:tcBorders>
            <w:shd w:val="clear" w:color="auto" w:fill="auto"/>
            <w:noWrap/>
            <w:vAlign w:val="center"/>
            <w:hideMark/>
          </w:tcPr>
          <w:p w14:paraId="095C1AD8" w14:textId="77777777" w:rsidR="00CD3FE8" w:rsidRPr="00CD3FE8" w:rsidRDefault="00CD3FE8" w:rsidP="00CD3FE8">
            <w:pPr>
              <w:jc w:val="right"/>
              <w:rPr>
                <w:rFonts w:ascii="Arial Narrow" w:hAnsi="Arial Narrow" w:cs="Arial"/>
                <w:sz w:val="20"/>
                <w:szCs w:val="20"/>
                <w:lang w:val="bg-BG"/>
              </w:rPr>
            </w:pPr>
            <w:r w:rsidRPr="00CD3FE8">
              <w:rPr>
                <w:rFonts w:ascii="Arial Narrow" w:hAnsi="Arial Narrow" w:cs="Arial"/>
                <w:sz w:val="20"/>
                <w:szCs w:val="20"/>
                <w:lang w:val="bg-BG"/>
              </w:rPr>
              <w:t>6 797</w:t>
            </w:r>
          </w:p>
        </w:tc>
        <w:tc>
          <w:tcPr>
            <w:tcW w:w="849" w:type="dxa"/>
            <w:tcBorders>
              <w:top w:val="nil"/>
              <w:left w:val="nil"/>
              <w:bottom w:val="single" w:sz="4" w:space="0" w:color="auto"/>
              <w:right w:val="single" w:sz="4" w:space="0" w:color="auto"/>
            </w:tcBorders>
            <w:shd w:val="clear" w:color="auto" w:fill="auto"/>
            <w:noWrap/>
            <w:vAlign w:val="center"/>
            <w:hideMark/>
          </w:tcPr>
          <w:p w14:paraId="2D7E8658" w14:textId="77777777" w:rsidR="00CD3FE8" w:rsidRPr="00CD3FE8" w:rsidRDefault="00CD3FE8" w:rsidP="00CD3FE8">
            <w:pPr>
              <w:jc w:val="right"/>
              <w:rPr>
                <w:rFonts w:ascii="Arial Narrow" w:hAnsi="Arial Narrow" w:cs="Arial"/>
                <w:sz w:val="20"/>
                <w:szCs w:val="20"/>
                <w:lang w:val="bg-BG"/>
              </w:rPr>
            </w:pPr>
            <w:r w:rsidRPr="00CD3FE8">
              <w:rPr>
                <w:rFonts w:ascii="Arial Narrow" w:hAnsi="Arial Narrow" w:cs="Arial"/>
                <w:sz w:val="20"/>
                <w:szCs w:val="20"/>
                <w:lang w:val="bg-BG"/>
              </w:rPr>
              <w:t>0</w:t>
            </w:r>
          </w:p>
        </w:tc>
        <w:tc>
          <w:tcPr>
            <w:tcW w:w="850" w:type="dxa"/>
            <w:tcBorders>
              <w:top w:val="nil"/>
              <w:left w:val="nil"/>
              <w:bottom w:val="single" w:sz="4" w:space="0" w:color="auto"/>
              <w:right w:val="single" w:sz="4" w:space="0" w:color="auto"/>
            </w:tcBorders>
            <w:shd w:val="clear" w:color="auto" w:fill="auto"/>
            <w:noWrap/>
            <w:vAlign w:val="center"/>
            <w:hideMark/>
          </w:tcPr>
          <w:p w14:paraId="69F4A872" w14:textId="77777777" w:rsidR="00CD3FE8" w:rsidRPr="00CD3FE8" w:rsidRDefault="00CD3FE8" w:rsidP="00CD3FE8">
            <w:pPr>
              <w:jc w:val="right"/>
              <w:rPr>
                <w:rFonts w:ascii="Arial Narrow" w:hAnsi="Arial Narrow" w:cs="Arial"/>
                <w:sz w:val="20"/>
                <w:szCs w:val="20"/>
                <w:lang w:val="bg-BG"/>
              </w:rPr>
            </w:pPr>
            <w:r w:rsidRPr="00CD3FE8">
              <w:rPr>
                <w:rFonts w:ascii="Arial Narrow" w:hAnsi="Arial Narrow" w:cs="Arial"/>
                <w:sz w:val="20"/>
                <w:szCs w:val="20"/>
                <w:lang w:val="bg-BG"/>
              </w:rPr>
              <w:t>11 717</w:t>
            </w:r>
          </w:p>
        </w:tc>
        <w:tc>
          <w:tcPr>
            <w:tcW w:w="850" w:type="dxa"/>
            <w:tcBorders>
              <w:top w:val="nil"/>
              <w:left w:val="nil"/>
              <w:bottom w:val="single" w:sz="4" w:space="0" w:color="auto"/>
              <w:right w:val="single" w:sz="4" w:space="0" w:color="auto"/>
            </w:tcBorders>
            <w:shd w:val="clear" w:color="auto" w:fill="auto"/>
            <w:noWrap/>
            <w:vAlign w:val="center"/>
            <w:hideMark/>
          </w:tcPr>
          <w:p w14:paraId="69EF0C61" w14:textId="77777777" w:rsidR="00CD3FE8" w:rsidRPr="00CD3FE8" w:rsidRDefault="00CD3FE8" w:rsidP="00CD3FE8">
            <w:pPr>
              <w:jc w:val="right"/>
              <w:rPr>
                <w:rFonts w:ascii="Arial Narrow" w:hAnsi="Arial Narrow" w:cs="Arial"/>
                <w:sz w:val="20"/>
                <w:szCs w:val="20"/>
                <w:lang w:val="bg-BG"/>
              </w:rPr>
            </w:pPr>
            <w:r w:rsidRPr="00CD3FE8">
              <w:rPr>
                <w:rFonts w:ascii="Arial Narrow" w:hAnsi="Arial Narrow" w:cs="Arial"/>
                <w:sz w:val="20"/>
                <w:szCs w:val="20"/>
                <w:lang w:val="bg-BG"/>
              </w:rPr>
              <w:t>17 519</w:t>
            </w:r>
          </w:p>
        </w:tc>
      </w:tr>
      <w:tr w:rsidR="00CD3FE8" w:rsidRPr="00CD3FE8" w14:paraId="53A11261" w14:textId="77777777" w:rsidTr="004E30CA">
        <w:trPr>
          <w:gridAfter w:val="1"/>
          <w:wAfter w:w="7" w:type="dxa"/>
          <w:trHeight w:val="352"/>
        </w:trPr>
        <w:tc>
          <w:tcPr>
            <w:tcW w:w="2280" w:type="dxa"/>
            <w:tcBorders>
              <w:top w:val="nil"/>
              <w:left w:val="single" w:sz="4" w:space="0" w:color="auto"/>
              <w:bottom w:val="single" w:sz="4" w:space="0" w:color="auto"/>
              <w:right w:val="single" w:sz="4" w:space="0" w:color="auto"/>
            </w:tcBorders>
            <w:shd w:val="clear" w:color="auto" w:fill="auto"/>
            <w:noWrap/>
            <w:vAlign w:val="center"/>
            <w:hideMark/>
          </w:tcPr>
          <w:p w14:paraId="270F5114" w14:textId="77777777" w:rsidR="00CD3FE8" w:rsidRPr="00CD3FE8" w:rsidRDefault="00CD3FE8" w:rsidP="00CD3FE8">
            <w:pPr>
              <w:rPr>
                <w:rFonts w:ascii="Arial Narrow" w:hAnsi="Arial Narrow" w:cs="Arial"/>
                <w:sz w:val="20"/>
                <w:szCs w:val="20"/>
                <w:lang w:val="bg-BG"/>
              </w:rPr>
            </w:pPr>
            <w:r w:rsidRPr="00CD3FE8">
              <w:rPr>
                <w:rFonts w:ascii="Arial Narrow" w:hAnsi="Arial Narrow" w:cs="Arial"/>
                <w:sz w:val="20"/>
                <w:szCs w:val="20"/>
                <w:lang w:val="bg-BG"/>
              </w:rPr>
              <w:t>Южен централен район</w:t>
            </w:r>
          </w:p>
        </w:tc>
        <w:tc>
          <w:tcPr>
            <w:tcW w:w="690" w:type="dxa"/>
            <w:tcBorders>
              <w:top w:val="nil"/>
              <w:left w:val="nil"/>
              <w:bottom w:val="single" w:sz="4" w:space="0" w:color="auto"/>
              <w:right w:val="single" w:sz="4" w:space="0" w:color="auto"/>
            </w:tcBorders>
            <w:shd w:val="clear" w:color="auto" w:fill="auto"/>
            <w:noWrap/>
            <w:vAlign w:val="center"/>
            <w:hideMark/>
          </w:tcPr>
          <w:p w14:paraId="11A6310E" w14:textId="77777777" w:rsidR="00CD3FE8" w:rsidRPr="00CD3FE8" w:rsidRDefault="00CD3FE8" w:rsidP="00CD3FE8">
            <w:pPr>
              <w:jc w:val="right"/>
              <w:rPr>
                <w:rFonts w:ascii="Arial Narrow" w:hAnsi="Arial Narrow" w:cs="Arial"/>
                <w:sz w:val="20"/>
                <w:szCs w:val="20"/>
                <w:lang w:val="bg-BG"/>
              </w:rPr>
            </w:pPr>
            <w:r w:rsidRPr="00CD3FE8">
              <w:rPr>
                <w:rFonts w:ascii="Arial Narrow" w:hAnsi="Arial Narrow" w:cs="Arial"/>
                <w:sz w:val="20"/>
                <w:szCs w:val="20"/>
                <w:lang w:val="bg-BG"/>
              </w:rPr>
              <w:t>0</w:t>
            </w:r>
          </w:p>
        </w:tc>
        <w:tc>
          <w:tcPr>
            <w:tcW w:w="850" w:type="dxa"/>
            <w:tcBorders>
              <w:top w:val="nil"/>
              <w:left w:val="nil"/>
              <w:bottom w:val="single" w:sz="4" w:space="0" w:color="auto"/>
              <w:right w:val="single" w:sz="4" w:space="0" w:color="auto"/>
            </w:tcBorders>
            <w:shd w:val="clear" w:color="auto" w:fill="auto"/>
            <w:noWrap/>
            <w:vAlign w:val="center"/>
            <w:hideMark/>
          </w:tcPr>
          <w:p w14:paraId="2FB48FD3" w14:textId="77777777" w:rsidR="00CD3FE8" w:rsidRPr="00CD3FE8" w:rsidRDefault="00CD3FE8" w:rsidP="00CD3FE8">
            <w:pPr>
              <w:jc w:val="right"/>
              <w:rPr>
                <w:rFonts w:ascii="Arial Narrow" w:hAnsi="Arial Narrow" w:cs="Arial"/>
                <w:sz w:val="20"/>
                <w:szCs w:val="20"/>
                <w:lang w:val="bg-BG"/>
              </w:rPr>
            </w:pPr>
            <w:r w:rsidRPr="00CD3FE8">
              <w:rPr>
                <w:rFonts w:ascii="Arial Narrow" w:hAnsi="Arial Narrow" w:cs="Arial"/>
                <w:sz w:val="20"/>
                <w:szCs w:val="20"/>
                <w:lang w:val="bg-BG"/>
              </w:rPr>
              <w:t>0</w:t>
            </w:r>
          </w:p>
        </w:tc>
        <w:tc>
          <w:tcPr>
            <w:tcW w:w="849" w:type="dxa"/>
            <w:tcBorders>
              <w:top w:val="nil"/>
              <w:left w:val="nil"/>
              <w:bottom w:val="single" w:sz="4" w:space="0" w:color="auto"/>
              <w:right w:val="single" w:sz="4" w:space="0" w:color="auto"/>
            </w:tcBorders>
            <w:shd w:val="clear" w:color="auto" w:fill="auto"/>
            <w:noWrap/>
            <w:vAlign w:val="center"/>
            <w:hideMark/>
          </w:tcPr>
          <w:p w14:paraId="3CFE4BCC" w14:textId="77777777" w:rsidR="00CD3FE8" w:rsidRPr="00CD3FE8" w:rsidRDefault="00CD3FE8" w:rsidP="00CD3FE8">
            <w:pPr>
              <w:jc w:val="right"/>
              <w:rPr>
                <w:rFonts w:ascii="Arial Narrow" w:hAnsi="Arial Narrow" w:cs="Arial"/>
                <w:sz w:val="20"/>
                <w:szCs w:val="20"/>
                <w:lang w:val="bg-BG"/>
              </w:rPr>
            </w:pPr>
            <w:r w:rsidRPr="00CD3FE8">
              <w:rPr>
                <w:rFonts w:ascii="Arial Narrow" w:hAnsi="Arial Narrow" w:cs="Arial"/>
                <w:sz w:val="20"/>
                <w:szCs w:val="20"/>
                <w:lang w:val="bg-BG"/>
              </w:rPr>
              <w:t>21 531</w:t>
            </w:r>
          </w:p>
        </w:tc>
        <w:tc>
          <w:tcPr>
            <w:tcW w:w="850" w:type="dxa"/>
            <w:tcBorders>
              <w:top w:val="nil"/>
              <w:left w:val="nil"/>
              <w:bottom w:val="single" w:sz="4" w:space="0" w:color="auto"/>
              <w:right w:val="single" w:sz="4" w:space="0" w:color="auto"/>
            </w:tcBorders>
            <w:shd w:val="clear" w:color="auto" w:fill="auto"/>
            <w:noWrap/>
            <w:vAlign w:val="center"/>
            <w:hideMark/>
          </w:tcPr>
          <w:p w14:paraId="02AEA927" w14:textId="77777777" w:rsidR="00CD3FE8" w:rsidRPr="00CD3FE8" w:rsidRDefault="00CD3FE8" w:rsidP="00CD3FE8">
            <w:pPr>
              <w:jc w:val="right"/>
              <w:rPr>
                <w:rFonts w:ascii="Arial Narrow" w:hAnsi="Arial Narrow" w:cs="Arial"/>
                <w:sz w:val="20"/>
                <w:szCs w:val="20"/>
                <w:lang w:val="bg-BG"/>
              </w:rPr>
            </w:pPr>
            <w:r w:rsidRPr="00CD3FE8">
              <w:rPr>
                <w:rFonts w:ascii="Arial Narrow" w:hAnsi="Arial Narrow" w:cs="Arial"/>
                <w:sz w:val="20"/>
                <w:szCs w:val="20"/>
                <w:lang w:val="bg-BG"/>
              </w:rPr>
              <w:t>35 201</w:t>
            </w:r>
          </w:p>
        </w:tc>
        <w:tc>
          <w:tcPr>
            <w:tcW w:w="849" w:type="dxa"/>
            <w:tcBorders>
              <w:top w:val="nil"/>
              <w:left w:val="nil"/>
              <w:bottom w:val="single" w:sz="4" w:space="0" w:color="auto"/>
              <w:right w:val="single" w:sz="4" w:space="0" w:color="auto"/>
            </w:tcBorders>
            <w:shd w:val="clear" w:color="auto" w:fill="auto"/>
            <w:noWrap/>
            <w:vAlign w:val="center"/>
            <w:hideMark/>
          </w:tcPr>
          <w:p w14:paraId="019C010F" w14:textId="77777777" w:rsidR="00CD3FE8" w:rsidRPr="00CD3FE8" w:rsidRDefault="00CD3FE8" w:rsidP="00CD3FE8">
            <w:pPr>
              <w:jc w:val="right"/>
              <w:rPr>
                <w:rFonts w:ascii="Arial Narrow" w:hAnsi="Arial Narrow" w:cs="Arial"/>
                <w:sz w:val="20"/>
                <w:szCs w:val="20"/>
                <w:lang w:val="bg-BG"/>
              </w:rPr>
            </w:pPr>
            <w:r w:rsidRPr="00CD3FE8">
              <w:rPr>
                <w:rFonts w:ascii="Arial Narrow" w:hAnsi="Arial Narrow" w:cs="Arial"/>
                <w:sz w:val="20"/>
                <w:szCs w:val="20"/>
                <w:lang w:val="bg-BG"/>
              </w:rPr>
              <w:t>23 297</w:t>
            </w:r>
          </w:p>
        </w:tc>
        <w:tc>
          <w:tcPr>
            <w:tcW w:w="850" w:type="dxa"/>
            <w:tcBorders>
              <w:top w:val="nil"/>
              <w:left w:val="nil"/>
              <w:bottom w:val="single" w:sz="4" w:space="0" w:color="auto"/>
              <w:right w:val="single" w:sz="4" w:space="0" w:color="auto"/>
            </w:tcBorders>
            <w:shd w:val="clear" w:color="auto" w:fill="auto"/>
            <w:noWrap/>
            <w:vAlign w:val="center"/>
            <w:hideMark/>
          </w:tcPr>
          <w:p w14:paraId="58E13F4B" w14:textId="77777777" w:rsidR="00CD3FE8" w:rsidRPr="00CD3FE8" w:rsidRDefault="00CD3FE8" w:rsidP="00CD3FE8">
            <w:pPr>
              <w:jc w:val="right"/>
              <w:rPr>
                <w:rFonts w:ascii="Arial Narrow" w:hAnsi="Arial Narrow" w:cs="Arial"/>
                <w:sz w:val="20"/>
                <w:szCs w:val="20"/>
                <w:lang w:val="bg-BG"/>
              </w:rPr>
            </w:pPr>
            <w:r w:rsidRPr="00CD3FE8">
              <w:rPr>
                <w:rFonts w:ascii="Arial Narrow" w:hAnsi="Arial Narrow" w:cs="Arial"/>
                <w:sz w:val="20"/>
                <w:szCs w:val="20"/>
                <w:lang w:val="bg-BG"/>
              </w:rPr>
              <w:t>37 151</w:t>
            </w:r>
          </w:p>
        </w:tc>
        <w:tc>
          <w:tcPr>
            <w:tcW w:w="849" w:type="dxa"/>
            <w:tcBorders>
              <w:top w:val="nil"/>
              <w:left w:val="nil"/>
              <w:bottom w:val="single" w:sz="4" w:space="0" w:color="auto"/>
              <w:right w:val="single" w:sz="4" w:space="0" w:color="auto"/>
            </w:tcBorders>
            <w:shd w:val="clear" w:color="auto" w:fill="auto"/>
            <w:noWrap/>
            <w:vAlign w:val="center"/>
            <w:hideMark/>
          </w:tcPr>
          <w:p w14:paraId="5445FC7A" w14:textId="77777777" w:rsidR="00CD3FE8" w:rsidRPr="00CD3FE8" w:rsidRDefault="00CD3FE8" w:rsidP="00CD3FE8">
            <w:pPr>
              <w:jc w:val="right"/>
              <w:rPr>
                <w:rFonts w:ascii="Arial Narrow" w:hAnsi="Arial Narrow" w:cs="Arial"/>
                <w:sz w:val="20"/>
                <w:szCs w:val="20"/>
                <w:lang w:val="bg-BG"/>
              </w:rPr>
            </w:pPr>
            <w:r w:rsidRPr="00CD3FE8">
              <w:rPr>
                <w:rFonts w:ascii="Arial Narrow" w:hAnsi="Arial Narrow" w:cs="Arial"/>
                <w:sz w:val="20"/>
                <w:szCs w:val="20"/>
                <w:lang w:val="bg-BG"/>
              </w:rPr>
              <w:t>18 089</w:t>
            </w:r>
          </w:p>
        </w:tc>
        <w:tc>
          <w:tcPr>
            <w:tcW w:w="850" w:type="dxa"/>
            <w:tcBorders>
              <w:top w:val="nil"/>
              <w:left w:val="nil"/>
              <w:bottom w:val="single" w:sz="4" w:space="0" w:color="auto"/>
              <w:right w:val="single" w:sz="4" w:space="0" w:color="auto"/>
            </w:tcBorders>
            <w:shd w:val="clear" w:color="auto" w:fill="auto"/>
            <w:noWrap/>
            <w:vAlign w:val="center"/>
            <w:hideMark/>
          </w:tcPr>
          <w:p w14:paraId="1BF3B20F" w14:textId="77777777" w:rsidR="00CD3FE8" w:rsidRPr="00CD3FE8" w:rsidRDefault="00CD3FE8" w:rsidP="00CD3FE8">
            <w:pPr>
              <w:jc w:val="right"/>
              <w:rPr>
                <w:rFonts w:ascii="Arial Narrow" w:hAnsi="Arial Narrow" w:cs="Arial"/>
                <w:sz w:val="20"/>
                <w:szCs w:val="20"/>
                <w:lang w:val="bg-BG"/>
              </w:rPr>
            </w:pPr>
            <w:r w:rsidRPr="00CD3FE8">
              <w:rPr>
                <w:rFonts w:ascii="Arial Narrow" w:hAnsi="Arial Narrow" w:cs="Arial"/>
                <w:sz w:val="20"/>
                <w:szCs w:val="20"/>
                <w:lang w:val="bg-BG"/>
              </w:rPr>
              <w:t>44 828</w:t>
            </w:r>
          </w:p>
        </w:tc>
        <w:tc>
          <w:tcPr>
            <w:tcW w:w="850" w:type="dxa"/>
            <w:tcBorders>
              <w:top w:val="nil"/>
              <w:left w:val="nil"/>
              <w:bottom w:val="single" w:sz="4" w:space="0" w:color="auto"/>
              <w:right w:val="single" w:sz="4" w:space="0" w:color="auto"/>
            </w:tcBorders>
            <w:shd w:val="clear" w:color="auto" w:fill="auto"/>
            <w:noWrap/>
            <w:vAlign w:val="center"/>
            <w:hideMark/>
          </w:tcPr>
          <w:p w14:paraId="6F02A5D7" w14:textId="77777777" w:rsidR="00CD3FE8" w:rsidRPr="00CD3FE8" w:rsidRDefault="00CD3FE8" w:rsidP="00CD3FE8">
            <w:pPr>
              <w:jc w:val="right"/>
              <w:rPr>
                <w:rFonts w:ascii="Arial Narrow" w:hAnsi="Arial Narrow" w:cs="Arial"/>
                <w:sz w:val="20"/>
                <w:szCs w:val="20"/>
                <w:lang w:val="bg-BG"/>
              </w:rPr>
            </w:pPr>
            <w:r w:rsidRPr="00CD3FE8">
              <w:rPr>
                <w:rFonts w:ascii="Arial Narrow" w:hAnsi="Arial Narrow" w:cs="Arial"/>
                <w:sz w:val="20"/>
                <w:szCs w:val="20"/>
                <w:lang w:val="bg-BG"/>
              </w:rPr>
              <w:t>72 352</w:t>
            </w:r>
          </w:p>
        </w:tc>
      </w:tr>
      <w:tr w:rsidR="00CD3FE8" w:rsidRPr="00CD3FE8" w14:paraId="55FDD6FD" w14:textId="77777777" w:rsidTr="004E30CA">
        <w:trPr>
          <w:gridAfter w:val="1"/>
          <w:wAfter w:w="7" w:type="dxa"/>
          <w:trHeight w:val="352"/>
        </w:trPr>
        <w:tc>
          <w:tcPr>
            <w:tcW w:w="2280" w:type="dxa"/>
            <w:tcBorders>
              <w:top w:val="nil"/>
              <w:left w:val="single" w:sz="4" w:space="0" w:color="auto"/>
              <w:bottom w:val="single" w:sz="4" w:space="0" w:color="auto"/>
              <w:right w:val="single" w:sz="4" w:space="0" w:color="auto"/>
            </w:tcBorders>
            <w:shd w:val="clear" w:color="auto" w:fill="auto"/>
            <w:noWrap/>
            <w:vAlign w:val="center"/>
            <w:hideMark/>
          </w:tcPr>
          <w:p w14:paraId="654AF505" w14:textId="77777777" w:rsidR="00CD3FE8" w:rsidRPr="00CD3FE8" w:rsidRDefault="00CD3FE8" w:rsidP="00CD3FE8">
            <w:pPr>
              <w:rPr>
                <w:rFonts w:ascii="Arial Narrow" w:hAnsi="Arial Narrow" w:cs="Arial"/>
                <w:sz w:val="20"/>
                <w:szCs w:val="20"/>
                <w:lang w:val="bg-BG"/>
              </w:rPr>
            </w:pPr>
            <w:r w:rsidRPr="00CD3FE8">
              <w:rPr>
                <w:rFonts w:ascii="Arial Narrow" w:hAnsi="Arial Narrow" w:cs="Arial"/>
                <w:sz w:val="20"/>
                <w:szCs w:val="20"/>
                <w:lang w:val="bg-BG"/>
              </w:rPr>
              <w:t>ОБЩО ВИНО:</w:t>
            </w:r>
          </w:p>
        </w:tc>
        <w:tc>
          <w:tcPr>
            <w:tcW w:w="690" w:type="dxa"/>
            <w:tcBorders>
              <w:top w:val="nil"/>
              <w:left w:val="nil"/>
              <w:bottom w:val="single" w:sz="4" w:space="0" w:color="auto"/>
              <w:right w:val="single" w:sz="4" w:space="0" w:color="auto"/>
            </w:tcBorders>
            <w:shd w:val="clear" w:color="auto" w:fill="auto"/>
            <w:noWrap/>
            <w:vAlign w:val="center"/>
            <w:hideMark/>
          </w:tcPr>
          <w:p w14:paraId="07A69C3C" w14:textId="77777777" w:rsidR="00CD3FE8" w:rsidRPr="00CD3FE8" w:rsidRDefault="00CD3FE8" w:rsidP="00CD3FE8">
            <w:pPr>
              <w:jc w:val="right"/>
              <w:rPr>
                <w:rFonts w:ascii="Arial Narrow" w:hAnsi="Arial Narrow" w:cs="Arial"/>
                <w:b/>
                <w:sz w:val="20"/>
                <w:szCs w:val="20"/>
                <w:lang w:val="bg-BG"/>
              </w:rPr>
            </w:pPr>
            <w:r w:rsidRPr="00CD3FE8">
              <w:rPr>
                <w:rFonts w:ascii="Arial Narrow" w:hAnsi="Arial Narrow" w:cs="Arial"/>
                <w:b/>
                <w:sz w:val="20"/>
                <w:szCs w:val="20"/>
                <w:lang w:val="bg-BG"/>
              </w:rPr>
              <w:t>534</w:t>
            </w:r>
          </w:p>
        </w:tc>
        <w:tc>
          <w:tcPr>
            <w:tcW w:w="850" w:type="dxa"/>
            <w:tcBorders>
              <w:top w:val="nil"/>
              <w:left w:val="nil"/>
              <w:bottom w:val="single" w:sz="4" w:space="0" w:color="auto"/>
              <w:right w:val="single" w:sz="4" w:space="0" w:color="auto"/>
            </w:tcBorders>
            <w:shd w:val="clear" w:color="auto" w:fill="auto"/>
            <w:noWrap/>
            <w:vAlign w:val="center"/>
            <w:hideMark/>
          </w:tcPr>
          <w:p w14:paraId="1DC44DFD" w14:textId="77777777" w:rsidR="00CD3FE8" w:rsidRPr="00CD3FE8" w:rsidRDefault="00CD3FE8" w:rsidP="00CD3FE8">
            <w:pPr>
              <w:jc w:val="right"/>
              <w:rPr>
                <w:rFonts w:ascii="Arial Narrow" w:hAnsi="Arial Narrow" w:cs="Arial"/>
                <w:b/>
                <w:sz w:val="20"/>
                <w:szCs w:val="20"/>
                <w:lang w:val="bg-BG"/>
              </w:rPr>
            </w:pPr>
            <w:r w:rsidRPr="00CD3FE8">
              <w:rPr>
                <w:rFonts w:ascii="Arial Narrow" w:hAnsi="Arial Narrow" w:cs="Arial"/>
                <w:b/>
                <w:sz w:val="20"/>
                <w:szCs w:val="20"/>
                <w:lang w:val="bg-BG"/>
              </w:rPr>
              <w:t>1 366</w:t>
            </w:r>
          </w:p>
        </w:tc>
        <w:tc>
          <w:tcPr>
            <w:tcW w:w="849" w:type="dxa"/>
            <w:tcBorders>
              <w:top w:val="nil"/>
              <w:left w:val="nil"/>
              <w:bottom w:val="single" w:sz="4" w:space="0" w:color="auto"/>
              <w:right w:val="single" w:sz="4" w:space="0" w:color="auto"/>
            </w:tcBorders>
            <w:shd w:val="clear" w:color="auto" w:fill="auto"/>
            <w:noWrap/>
            <w:vAlign w:val="center"/>
            <w:hideMark/>
          </w:tcPr>
          <w:p w14:paraId="0EF0B27D" w14:textId="77777777" w:rsidR="00CD3FE8" w:rsidRPr="00CD3FE8" w:rsidRDefault="00CD3FE8" w:rsidP="00CD3FE8">
            <w:pPr>
              <w:jc w:val="right"/>
              <w:rPr>
                <w:rFonts w:ascii="Arial Narrow" w:hAnsi="Arial Narrow" w:cs="Arial"/>
                <w:b/>
                <w:sz w:val="20"/>
                <w:szCs w:val="20"/>
                <w:lang w:val="bg-BG"/>
              </w:rPr>
            </w:pPr>
            <w:r w:rsidRPr="00CD3FE8">
              <w:rPr>
                <w:rFonts w:ascii="Arial Narrow" w:hAnsi="Arial Narrow" w:cs="Arial"/>
                <w:b/>
                <w:sz w:val="20"/>
                <w:szCs w:val="20"/>
                <w:lang w:val="bg-BG"/>
              </w:rPr>
              <w:t>149 532</w:t>
            </w:r>
          </w:p>
        </w:tc>
        <w:tc>
          <w:tcPr>
            <w:tcW w:w="850" w:type="dxa"/>
            <w:tcBorders>
              <w:top w:val="nil"/>
              <w:left w:val="nil"/>
              <w:bottom w:val="single" w:sz="4" w:space="0" w:color="auto"/>
              <w:right w:val="single" w:sz="4" w:space="0" w:color="auto"/>
            </w:tcBorders>
            <w:shd w:val="clear" w:color="auto" w:fill="auto"/>
            <w:noWrap/>
            <w:vAlign w:val="center"/>
            <w:hideMark/>
          </w:tcPr>
          <w:p w14:paraId="42FC1524" w14:textId="77777777" w:rsidR="00CD3FE8" w:rsidRPr="00CD3FE8" w:rsidRDefault="00CD3FE8" w:rsidP="00CD3FE8">
            <w:pPr>
              <w:jc w:val="right"/>
              <w:rPr>
                <w:rFonts w:ascii="Arial Narrow" w:hAnsi="Arial Narrow" w:cs="Arial"/>
                <w:b/>
                <w:sz w:val="20"/>
                <w:szCs w:val="20"/>
                <w:lang w:val="bg-BG"/>
              </w:rPr>
            </w:pPr>
            <w:r w:rsidRPr="00CD3FE8">
              <w:rPr>
                <w:rFonts w:ascii="Arial Narrow" w:hAnsi="Arial Narrow" w:cs="Arial"/>
                <w:b/>
                <w:sz w:val="20"/>
                <w:szCs w:val="20"/>
                <w:lang w:val="bg-BG"/>
              </w:rPr>
              <w:t>122 872</w:t>
            </w:r>
          </w:p>
        </w:tc>
        <w:tc>
          <w:tcPr>
            <w:tcW w:w="849" w:type="dxa"/>
            <w:tcBorders>
              <w:top w:val="nil"/>
              <w:left w:val="nil"/>
              <w:bottom w:val="single" w:sz="4" w:space="0" w:color="auto"/>
              <w:right w:val="single" w:sz="4" w:space="0" w:color="auto"/>
            </w:tcBorders>
            <w:shd w:val="clear" w:color="auto" w:fill="auto"/>
            <w:noWrap/>
            <w:vAlign w:val="center"/>
            <w:hideMark/>
          </w:tcPr>
          <w:p w14:paraId="5BC3D49A" w14:textId="77777777" w:rsidR="00CD3FE8" w:rsidRPr="00CD3FE8" w:rsidRDefault="00CD3FE8" w:rsidP="00CD3FE8">
            <w:pPr>
              <w:jc w:val="right"/>
              <w:rPr>
                <w:rFonts w:ascii="Arial Narrow" w:hAnsi="Arial Narrow" w:cs="Arial"/>
                <w:b/>
                <w:sz w:val="20"/>
                <w:szCs w:val="20"/>
                <w:lang w:val="bg-BG"/>
              </w:rPr>
            </w:pPr>
            <w:r w:rsidRPr="00CD3FE8">
              <w:rPr>
                <w:rFonts w:ascii="Arial Narrow" w:hAnsi="Arial Narrow" w:cs="Arial"/>
                <w:b/>
                <w:sz w:val="20"/>
                <w:szCs w:val="20"/>
                <w:lang w:val="bg-BG"/>
              </w:rPr>
              <w:t>225 546</w:t>
            </w:r>
          </w:p>
        </w:tc>
        <w:tc>
          <w:tcPr>
            <w:tcW w:w="850" w:type="dxa"/>
            <w:tcBorders>
              <w:top w:val="nil"/>
              <w:left w:val="nil"/>
              <w:bottom w:val="single" w:sz="4" w:space="0" w:color="auto"/>
              <w:right w:val="single" w:sz="4" w:space="0" w:color="auto"/>
            </w:tcBorders>
            <w:shd w:val="clear" w:color="auto" w:fill="auto"/>
            <w:noWrap/>
            <w:vAlign w:val="center"/>
            <w:hideMark/>
          </w:tcPr>
          <w:p w14:paraId="02BFFF93" w14:textId="77777777" w:rsidR="00CD3FE8" w:rsidRPr="00CD3FE8" w:rsidRDefault="00CD3FE8" w:rsidP="00CD3FE8">
            <w:pPr>
              <w:jc w:val="right"/>
              <w:rPr>
                <w:rFonts w:ascii="Arial Narrow" w:hAnsi="Arial Narrow" w:cs="Arial"/>
                <w:b/>
                <w:sz w:val="20"/>
                <w:szCs w:val="20"/>
                <w:lang w:val="bg-BG"/>
              </w:rPr>
            </w:pPr>
            <w:r w:rsidRPr="00CD3FE8">
              <w:rPr>
                <w:rFonts w:ascii="Arial Narrow" w:hAnsi="Arial Narrow" w:cs="Arial"/>
                <w:b/>
                <w:sz w:val="20"/>
                <w:szCs w:val="20"/>
                <w:lang w:val="bg-BG"/>
              </w:rPr>
              <w:t>134 800</w:t>
            </w:r>
          </w:p>
        </w:tc>
        <w:tc>
          <w:tcPr>
            <w:tcW w:w="849" w:type="dxa"/>
            <w:tcBorders>
              <w:top w:val="nil"/>
              <w:left w:val="nil"/>
              <w:bottom w:val="single" w:sz="4" w:space="0" w:color="auto"/>
              <w:right w:val="single" w:sz="4" w:space="0" w:color="auto"/>
            </w:tcBorders>
            <w:shd w:val="clear" w:color="auto" w:fill="auto"/>
            <w:noWrap/>
            <w:vAlign w:val="center"/>
            <w:hideMark/>
          </w:tcPr>
          <w:p w14:paraId="1ABC65E6" w14:textId="77777777" w:rsidR="00CD3FE8" w:rsidRPr="00CD3FE8" w:rsidRDefault="00CD3FE8" w:rsidP="00CD3FE8">
            <w:pPr>
              <w:jc w:val="right"/>
              <w:rPr>
                <w:rFonts w:ascii="Arial Narrow" w:hAnsi="Arial Narrow" w:cs="Arial"/>
                <w:b/>
                <w:sz w:val="20"/>
                <w:szCs w:val="20"/>
                <w:lang w:val="bg-BG"/>
              </w:rPr>
            </w:pPr>
            <w:r w:rsidRPr="00CD3FE8">
              <w:rPr>
                <w:rFonts w:ascii="Arial Narrow" w:hAnsi="Arial Narrow" w:cs="Arial"/>
                <w:b/>
                <w:sz w:val="20"/>
                <w:szCs w:val="20"/>
                <w:lang w:val="bg-BG"/>
              </w:rPr>
              <w:t>33 672</w:t>
            </w:r>
          </w:p>
        </w:tc>
        <w:tc>
          <w:tcPr>
            <w:tcW w:w="850" w:type="dxa"/>
            <w:tcBorders>
              <w:top w:val="nil"/>
              <w:left w:val="nil"/>
              <w:bottom w:val="single" w:sz="4" w:space="0" w:color="auto"/>
              <w:right w:val="single" w:sz="4" w:space="0" w:color="auto"/>
            </w:tcBorders>
            <w:shd w:val="clear" w:color="auto" w:fill="auto"/>
            <w:noWrap/>
            <w:vAlign w:val="center"/>
            <w:hideMark/>
          </w:tcPr>
          <w:p w14:paraId="489DE493" w14:textId="77777777" w:rsidR="00CD3FE8" w:rsidRPr="00CD3FE8" w:rsidRDefault="00CD3FE8" w:rsidP="00CD3FE8">
            <w:pPr>
              <w:jc w:val="right"/>
              <w:rPr>
                <w:rFonts w:ascii="Arial Narrow" w:hAnsi="Arial Narrow" w:cs="Arial"/>
                <w:b/>
                <w:sz w:val="20"/>
                <w:szCs w:val="20"/>
                <w:lang w:val="bg-BG"/>
              </w:rPr>
            </w:pPr>
            <w:r w:rsidRPr="00CD3FE8">
              <w:rPr>
                <w:rFonts w:ascii="Arial Narrow" w:hAnsi="Arial Narrow" w:cs="Arial"/>
                <w:b/>
                <w:sz w:val="20"/>
                <w:szCs w:val="20"/>
                <w:lang w:val="bg-BG"/>
              </w:rPr>
              <w:t>375 610</w:t>
            </w:r>
          </w:p>
        </w:tc>
        <w:tc>
          <w:tcPr>
            <w:tcW w:w="850" w:type="dxa"/>
            <w:tcBorders>
              <w:top w:val="nil"/>
              <w:left w:val="nil"/>
              <w:bottom w:val="single" w:sz="4" w:space="0" w:color="auto"/>
              <w:right w:val="single" w:sz="4" w:space="0" w:color="auto"/>
            </w:tcBorders>
            <w:shd w:val="clear" w:color="auto" w:fill="auto"/>
            <w:noWrap/>
            <w:vAlign w:val="center"/>
            <w:hideMark/>
          </w:tcPr>
          <w:p w14:paraId="6C56B8D6" w14:textId="77777777" w:rsidR="00CD3FE8" w:rsidRPr="00CD3FE8" w:rsidRDefault="00CD3FE8" w:rsidP="00CD3FE8">
            <w:pPr>
              <w:jc w:val="right"/>
              <w:rPr>
                <w:rFonts w:ascii="Arial Narrow" w:hAnsi="Arial Narrow" w:cs="Arial"/>
                <w:b/>
                <w:sz w:val="20"/>
                <w:szCs w:val="20"/>
                <w:lang w:val="bg-BG"/>
              </w:rPr>
            </w:pPr>
            <w:r w:rsidRPr="00CD3FE8">
              <w:rPr>
                <w:rFonts w:ascii="Arial Narrow" w:hAnsi="Arial Narrow" w:cs="Arial"/>
                <w:b/>
                <w:sz w:val="20"/>
                <w:szCs w:val="20"/>
                <w:lang w:val="bg-BG"/>
              </w:rPr>
              <w:t>259 039</w:t>
            </w:r>
          </w:p>
        </w:tc>
      </w:tr>
    </w:tbl>
    <w:p w14:paraId="062D7B76" w14:textId="77777777" w:rsidR="00CD3FE8" w:rsidRPr="00CD3FE8" w:rsidRDefault="00CD3FE8" w:rsidP="00CD3FE8">
      <w:pPr>
        <w:autoSpaceDE w:val="0"/>
        <w:autoSpaceDN w:val="0"/>
        <w:adjustRightInd w:val="0"/>
        <w:jc w:val="both"/>
        <w:rPr>
          <w:rFonts w:ascii="Arial Narrow" w:hAnsi="Arial Narrow" w:cs="ArialNarrow"/>
          <w:sz w:val="18"/>
          <w:szCs w:val="18"/>
          <w:lang w:val="bg-BG"/>
        </w:rPr>
      </w:pPr>
      <w:r w:rsidRPr="00CD3FE8">
        <w:rPr>
          <w:rFonts w:ascii="Arial Narrow" w:hAnsi="Arial Narrow" w:cs="ArialNarrow,Bold"/>
          <w:bCs/>
          <w:i/>
          <w:sz w:val="18"/>
          <w:szCs w:val="18"/>
          <w:lang w:val="bg-BG"/>
        </w:rPr>
        <w:t xml:space="preserve">Източник: </w:t>
      </w:r>
      <w:r w:rsidRPr="00CD3FE8">
        <w:rPr>
          <w:rFonts w:ascii="Arial Narrow" w:hAnsi="Arial Narrow" w:cs="ArialNarrow,Bold"/>
          <w:bCs/>
          <w:sz w:val="18"/>
          <w:szCs w:val="18"/>
          <w:lang w:val="bg-BG"/>
        </w:rPr>
        <w:t>Изпълнителна агенция по лозата и виното</w:t>
      </w:r>
    </w:p>
    <w:p w14:paraId="19E5FF4A" w14:textId="77777777" w:rsidR="00CD3FE8" w:rsidRPr="00CD3FE8" w:rsidRDefault="00CD3FE8" w:rsidP="00CD3FE8">
      <w:pPr>
        <w:autoSpaceDE w:val="0"/>
        <w:autoSpaceDN w:val="0"/>
        <w:adjustRightInd w:val="0"/>
        <w:spacing w:after="240"/>
        <w:jc w:val="both"/>
        <w:rPr>
          <w:rFonts w:ascii="Arial Narrow" w:hAnsi="Arial Narrow" w:cs="TimesNewRoman"/>
          <w:sz w:val="18"/>
          <w:szCs w:val="18"/>
          <w:lang w:val="bg-BG"/>
        </w:rPr>
      </w:pPr>
      <w:r w:rsidRPr="00CD3FE8">
        <w:rPr>
          <w:rFonts w:ascii="Arial Narrow" w:hAnsi="Arial Narrow"/>
          <w:iCs/>
          <w:sz w:val="18"/>
          <w:szCs w:val="18"/>
          <w:lang w:val="bg-BG"/>
        </w:rPr>
        <w:t>*</w:t>
      </w:r>
      <w:r w:rsidRPr="00CD3FE8">
        <w:rPr>
          <w:rFonts w:ascii="Arial Narrow" w:hAnsi="Arial Narrow" w:cs="TimesNewRoman"/>
          <w:sz w:val="18"/>
          <w:szCs w:val="18"/>
          <w:lang w:val="bg-BG"/>
        </w:rPr>
        <w:t xml:space="preserve">ЗНП </w:t>
      </w:r>
      <w:r w:rsidRPr="00CD3FE8">
        <w:rPr>
          <w:rFonts w:ascii="Arial Narrow" w:hAnsi="Arial Narrow"/>
          <w:iCs/>
          <w:sz w:val="18"/>
          <w:szCs w:val="18"/>
          <w:lang w:val="bg-BG"/>
        </w:rPr>
        <w:t xml:space="preserve">– </w:t>
      </w:r>
      <w:r w:rsidRPr="00CD3FE8">
        <w:rPr>
          <w:rFonts w:ascii="Arial Narrow" w:hAnsi="Arial Narrow" w:cs="TimesNewRoman"/>
          <w:sz w:val="18"/>
          <w:szCs w:val="18"/>
          <w:lang w:val="bg-BG"/>
        </w:rPr>
        <w:t xml:space="preserve">Защитено наименование за произход; </w:t>
      </w:r>
      <w:r w:rsidRPr="00CD3FE8">
        <w:rPr>
          <w:rFonts w:ascii="Arial Narrow" w:hAnsi="Arial Narrow"/>
          <w:iCs/>
          <w:sz w:val="18"/>
          <w:szCs w:val="18"/>
          <w:lang w:val="bg-BG"/>
        </w:rPr>
        <w:t>**</w:t>
      </w:r>
      <w:r w:rsidRPr="00CD3FE8">
        <w:rPr>
          <w:rFonts w:ascii="Arial Narrow" w:hAnsi="Arial Narrow" w:cs="TimesNewRoman"/>
          <w:sz w:val="18"/>
          <w:szCs w:val="18"/>
          <w:lang w:val="bg-BG"/>
        </w:rPr>
        <w:t xml:space="preserve">ЗГУ </w:t>
      </w:r>
      <w:r w:rsidRPr="00CD3FE8">
        <w:rPr>
          <w:rFonts w:ascii="Arial Narrow" w:hAnsi="Arial Narrow"/>
          <w:iCs/>
          <w:sz w:val="18"/>
          <w:szCs w:val="18"/>
          <w:lang w:val="bg-BG"/>
        </w:rPr>
        <w:t xml:space="preserve">– </w:t>
      </w:r>
      <w:r w:rsidRPr="00CD3FE8">
        <w:rPr>
          <w:rFonts w:ascii="Arial Narrow" w:hAnsi="Arial Narrow" w:cs="TimesNewRoman"/>
          <w:sz w:val="18"/>
          <w:szCs w:val="18"/>
          <w:lang w:val="bg-BG"/>
        </w:rPr>
        <w:t>Защитено географско указание</w:t>
      </w:r>
    </w:p>
    <w:p w14:paraId="277F6DCF" w14:textId="77777777" w:rsidR="00CD3FE8" w:rsidRPr="00CD3FE8" w:rsidRDefault="00CD3FE8" w:rsidP="00CD3FE8">
      <w:pPr>
        <w:spacing w:after="120"/>
        <w:ind w:firstLine="720"/>
        <w:jc w:val="both"/>
        <w:rPr>
          <w:rFonts w:ascii="Arial Narrow" w:hAnsi="Arial Narrow"/>
          <w:lang w:val="bg-BG"/>
        </w:rPr>
      </w:pPr>
      <w:r w:rsidRPr="00CD3FE8">
        <w:rPr>
          <w:rFonts w:ascii="Arial Narrow" w:hAnsi="Arial Narrow"/>
          <w:lang w:val="bg-BG"/>
        </w:rPr>
        <w:t>В извънпромишлени условия през 2024 г. са произведени 128 661 хектолитра вино, при 168 695 хектолитра за предходната година.</w:t>
      </w:r>
    </w:p>
    <w:p w14:paraId="5EA47351" w14:textId="77777777" w:rsidR="00CD3FE8" w:rsidRDefault="00CD3FE8" w:rsidP="00CD3FE8">
      <w:pPr>
        <w:keepNext/>
        <w:keepLines/>
        <w:autoSpaceDE w:val="0"/>
        <w:autoSpaceDN w:val="0"/>
        <w:adjustRightInd w:val="0"/>
        <w:spacing w:after="120"/>
        <w:ind w:firstLine="706"/>
        <w:jc w:val="both"/>
        <w:rPr>
          <w:rFonts w:ascii="Arial Narrow" w:hAnsi="Arial Narrow"/>
          <w:bCs/>
          <w:color w:val="FF0000"/>
          <w:lang w:val="bg-BG"/>
        </w:rPr>
      </w:pPr>
      <w:r w:rsidRPr="00CD3FE8">
        <w:rPr>
          <w:rFonts w:ascii="Arial Narrow" w:hAnsi="Arial Narrow"/>
          <w:lang w:val="bg-BG"/>
        </w:rPr>
        <w:t>Така, общото производство на вино - реколта `2024 възлиза на 763 310</w:t>
      </w:r>
      <w:r w:rsidRPr="00CD3FE8">
        <w:rPr>
          <w:rFonts w:ascii="Arial Narrow" w:hAnsi="Arial Narrow" w:cs="Arial"/>
          <w:sz w:val="20"/>
          <w:szCs w:val="20"/>
          <w:lang w:val="bg-BG" w:eastAsia="bg-BG"/>
        </w:rPr>
        <w:t xml:space="preserve"> </w:t>
      </w:r>
      <w:r w:rsidRPr="00CD3FE8">
        <w:rPr>
          <w:rFonts w:ascii="Arial Narrow" w:hAnsi="Arial Narrow"/>
          <w:lang w:val="bg-BG"/>
        </w:rPr>
        <w:t>хектолитра, с 10% по-малко в сравнение с реколта `2023.</w:t>
      </w:r>
    </w:p>
    <w:p w14:paraId="65E8D173" w14:textId="77777777" w:rsidR="000F0FE9" w:rsidRPr="00CD3FE8" w:rsidRDefault="004615A7" w:rsidP="000F0FE9">
      <w:pPr>
        <w:numPr>
          <w:ilvl w:val="2"/>
          <w:numId w:val="8"/>
        </w:numPr>
        <w:tabs>
          <w:tab w:val="left" w:pos="990"/>
        </w:tabs>
        <w:spacing w:after="120"/>
        <w:ind w:left="792" w:hanging="432"/>
        <w:outlineLvl w:val="0"/>
        <w:rPr>
          <w:rFonts w:ascii="Arial Narrow" w:hAnsi="Arial Narrow" w:cs="TimesNewRoman"/>
          <w:b/>
          <w:lang w:val="bg-BG"/>
        </w:rPr>
      </w:pPr>
      <w:bookmarkStart w:id="66" w:name="_Toc210747565"/>
      <w:r w:rsidRPr="00CD3FE8">
        <w:rPr>
          <w:rFonts w:ascii="Arial Narrow" w:hAnsi="Arial Narrow" w:cs="TimesNewRoman"/>
          <w:b/>
          <w:lang w:val="bg-BG"/>
        </w:rPr>
        <w:t>Износ и внос на вино</w:t>
      </w:r>
      <w:bookmarkEnd w:id="66"/>
    </w:p>
    <w:p w14:paraId="2FB81F9D" w14:textId="77777777" w:rsidR="00CD3FE8" w:rsidRPr="00CD3FE8" w:rsidRDefault="00CD3FE8" w:rsidP="00CD3FE8">
      <w:pPr>
        <w:autoSpaceDE w:val="0"/>
        <w:autoSpaceDN w:val="0"/>
        <w:adjustRightInd w:val="0"/>
        <w:spacing w:after="120"/>
        <w:ind w:firstLine="706"/>
        <w:jc w:val="both"/>
        <w:rPr>
          <w:rFonts w:ascii="Arial Narrow" w:hAnsi="Arial Narrow"/>
          <w:bCs/>
          <w:lang w:val="bg-BG"/>
        </w:rPr>
      </w:pPr>
      <w:r w:rsidRPr="00CD3FE8">
        <w:rPr>
          <w:rFonts w:ascii="Arial Narrow" w:hAnsi="Arial Narrow"/>
          <w:bCs/>
          <w:lang w:val="bg-BG"/>
        </w:rPr>
        <w:t xml:space="preserve">През 2024 г. се наблюдава съществено увеличение на вноса на вино в страната и същевременно намаление на износа. Така, за втора поредна година се формира отрицателно салдо във външната търговия на България с вино. </w:t>
      </w:r>
    </w:p>
    <w:p w14:paraId="45A1A705" w14:textId="77777777" w:rsidR="00CD3FE8" w:rsidRPr="00CD3FE8" w:rsidRDefault="00CD3FE8" w:rsidP="00CD3FE8">
      <w:pPr>
        <w:keepNext/>
        <w:autoSpaceDE w:val="0"/>
        <w:autoSpaceDN w:val="0"/>
        <w:adjustRightInd w:val="0"/>
        <w:spacing w:after="120"/>
        <w:jc w:val="center"/>
        <w:rPr>
          <w:rFonts w:ascii="Arial Narrow" w:eastAsia="Calibri" w:hAnsi="Arial Narrow"/>
          <w:b/>
          <w:i/>
          <w:lang w:val="bg-BG"/>
        </w:rPr>
      </w:pPr>
      <w:r w:rsidRPr="00CD3FE8">
        <w:rPr>
          <w:rFonts w:ascii="Arial Narrow" w:eastAsia="Calibri" w:hAnsi="Arial Narrow"/>
          <w:b/>
          <w:i/>
          <w:lang w:val="bg-BG"/>
        </w:rPr>
        <w:lastRenderedPageBreak/>
        <w:t>Фигура ІІ.9. Външна търговия с вино през периода 2023 – 2024 г., хил. литра</w:t>
      </w:r>
    </w:p>
    <w:p w14:paraId="6591549D" w14:textId="77777777" w:rsidR="00CD3FE8" w:rsidRPr="00CD3FE8" w:rsidRDefault="00CD3FE8" w:rsidP="00CD3FE8">
      <w:pPr>
        <w:keepNext/>
        <w:autoSpaceDE w:val="0"/>
        <w:autoSpaceDN w:val="0"/>
        <w:adjustRightInd w:val="0"/>
        <w:spacing w:after="120"/>
        <w:jc w:val="center"/>
        <w:rPr>
          <w:rFonts w:ascii="Arial Narrow" w:eastAsia="Calibri" w:hAnsi="Arial Narrow"/>
          <w:b/>
          <w:i/>
          <w:lang w:val="bg-BG"/>
        </w:rPr>
      </w:pPr>
      <w:r w:rsidRPr="00CD3FE8">
        <w:rPr>
          <w:noProof/>
        </w:rPr>
        <w:t xml:space="preserve"> </w:t>
      </w:r>
      <w:r w:rsidR="00FE123E">
        <w:rPr>
          <w:noProof/>
        </w:rPr>
        <w:drawing>
          <wp:inline distT="0" distB="0" distL="0" distR="0" wp14:anchorId="2A37EEB8" wp14:editId="3ECDE442">
            <wp:extent cx="5638800" cy="3657600"/>
            <wp:effectExtent l="0" t="0" r="0"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r w:rsidRPr="00CD3FE8">
        <w:rPr>
          <w:rFonts w:ascii="Calibri" w:eastAsia="Calibri" w:hAnsi="Calibri"/>
          <w:noProof/>
          <w:sz w:val="22"/>
          <w:szCs w:val="22"/>
        </w:rPr>
        <w:t xml:space="preserve"> </w:t>
      </w:r>
    </w:p>
    <w:p w14:paraId="1367F729" w14:textId="77777777" w:rsidR="00CD3FE8" w:rsidRPr="00CD3FE8" w:rsidRDefault="00CD3FE8" w:rsidP="00CD3FE8">
      <w:pPr>
        <w:autoSpaceDE w:val="0"/>
        <w:autoSpaceDN w:val="0"/>
        <w:adjustRightInd w:val="0"/>
        <w:spacing w:after="240"/>
        <w:ind w:firstLine="720"/>
        <w:jc w:val="both"/>
        <w:rPr>
          <w:rFonts w:ascii="Arial Narrow" w:hAnsi="Arial Narrow" w:cs="Arial"/>
          <w:sz w:val="18"/>
          <w:szCs w:val="18"/>
          <w:lang w:val="bg-BG"/>
        </w:rPr>
      </w:pPr>
      <w:r w:rsidRPr="00CD3FE8">
        <w:rPr>
          <w:rFonts w:ascii="Arial Narrow" w:hAnsi="Arial Narrow" w:cs="Arial"/>
          <w:i/>
          <w:sz w:val="18"/>
          <w:szCs w:val="18"/>
          <w:lang w:val="bg-BG"/>
        </w:rPr>
        <w:t>Източник:</w:t>
      </w:r>
      <w:r w:rsidRPr="00CD3FE8">
        <w:rPr>
          <w:rFonts w:ascii="Arial Narrow" w:hAnsi="Arial Narrow" w:cs="Arial"/>
          <w:b/>
          <w:i/>
          <w:sz w:val="18"/>
          <w:szCs w:val="18"/>
          <w:lang w:val="bg-BG"/>
        </w:rPr>
        <w:t xml:space="preserve"> </w:t>
      </w:r>
      <w:r w:rsidRPr="00CD3FE8">
        <w:rPr>
          <w:rFonts w:ascii="Arial Narrow" w:hAnsi="Arial Narrow" w:cs="Arial"/>
          <w:sz w:val="18"/>
          <w:szCs w:val="18"/>
          <w:lang w:val="bg-BG"/>
        </w:rPr>
        <w:t>НСИ</w:t>
      </w:r>
    </w:p>
    <w:p w14:paraId="1681977F" w14:textId="77777777" w:rsidR="00CD3FE8" w:rsidRPr="00CD3FE8" w:rsidRDefault="00CD3FE8" w:rsidP="00CD3FE8">
      <w:pPr>
        <w:autoSpaceDE w:val="0"/>
        <w:autoSpaceDN w:val="0"/>
        <w:adjustRightInd w:val="0"/>
        <w:spacing w:after="120"/>
        <w:ind w:firstLine="720"/>
        <w:jc w:val="both"/>
        <w:rPr>
          <w:rFonts w:ascii="Arial Narrow" w:hAnsi="Arial Narrow"/>
          <w:b/>
          <w:lang w:val="bg-BG"/>
        </w:rPr>
      </w:pPr>
      <w:r w:rsidRPr="00CD3FE8">
        <w:rPr>
          <w:rFonts w:ascii="Arial Narrow" w:hAnsi="Arial Narrow"/>
          <w:b/>
          <w:lang w:val="bg-BG"/>
        </w:rPr>
        <w:t>Износ</w:t>
      </w:r>
    </w:p>
    <w:p w14:paraId="049D8E13" w14:textId="77777777" w:rsidR="00CD3FE8" w:rsidRPr="00CD3FE8" w:rsidRDefault="00CD3FE8" w:rsidP="00CD3FE8">
      <w:pPr>
        <w:autoSpaceDE w:val="0"/>
        <w:autoSpaceDN w:val="0"/>
        <w:adjustRightInd w:val="0"/>
        <w:spacing w:after="120"/>
        <w:ind w:firstLine="706"/>
        <w:jc w:val="both"/>
        <w:rPr>
          <w:rFonts w:ascii="Arial Narrow" w:hAnsi="Arial Narrow"/>
          <w:bCs/>
          <w:lang w:val="bg-BG"/>
        </w:rPr>
      </w:pPr>
      <w:r w:rsidRPr="00CD3FE8">
        <w:rPr>
          <w:rFonts w:ascii="Arial Narrow" w:hAnsi="Arial Narrow"/>
          <w:bCs/>
          <w:lang w:val="bg-BG"/>
        </w:rPr>
        <w:t>По данни на НСИ, през 2024 г. износът на вино възлиза на 8 68</w:t>
      </w:r>
      <w:r w:rsidR="00FE123E">
        <w:rPr>
          <w:rFonts w:ascii="Arial Narrow" w:hAnsi="Arial Narrow"/>
          <w:bCs/>
        </w:rPr>
        <w:t>4</w:t>
      </w:r>
      <w:r w:rsidRPr="00CD3FE8">
        <w:rPr>
          <w:rFonts w:ascii="Arial Narrow" w:hAnsi="Arial Narrow"/>
          <w:bCs/>
          <w:lang w:val="bg-BG"/>
        </w:rPr>
        <w:t xml:space="preserve"> хил. литра – със значителните 27,5% под нивото от предходната година. В стойностно изражение експортът се понижава малко по-слабо – с 26,4%, до 16 670 хил. евро, поради отчетената с 1,4% по-висока средна износна цена от 1,92 евро/литър. </w:t>
      </w:r>
    </w:p>
    <w:p w14:paraId="2B602574" w14:textId="77777777" w:rsidR="00CD3FE8" w:rsidRPr="00CD3FE8" w:rsidRDefault="00CD3FE8" w:rsidP="00CD3FE8">
      <w:pPr>
        <w:autoSpaceDE w:val="0"/>
        <w:autoSpaceDN w:val="0"/>
        <w:adjustRightInd w:val="0"/>
        <w:spacing w:after="120"/>
        <w:ind w:firstLine="706"/>
        <w:jc w:val="both"/>
        <w:rPr>
          <w:rFonts w:ascii="Arial Narrow" w:hAnsi="Arial Narrow"/>
          <w:bCs/>
          <w:lang w:val="bg-BG"/>
        </w:rPr>
      </w:pPr>
      <w:r w:rsidRPr="00CD3FE8">
        <w:rPr>
          <w:rFonts w:ascii="Arial Narrow" w:hAnsi="Arial Narrow"/>
          <w:bCs/>
          <w:lang w:val="bg-BG"/>
        </w:rPr>
        <w:t>Общото количество вино, насочено за ЕС през 2024 г., се свива с 25,4% на годишна база, до 6 624 хил. литра (76,3% от целия износ). Водещи дестинации в рамките на ЕС през годината са Швеция и Полша, макар пратките за там да намаляват съответно с 8,4% и 34,1%. При повечето от останалите по-важни партньори от Съюза също се отчита понижение на износа спрямо предходната година, вариращо от 7% (Италия) до 93,6% (Чехия). Същевременно изпращанията за Гърция отбелязват многократен ръст – от 7 хил. литра през 2023 г. до 366 хил. литра през 2024 г. Значително повече са и реализираните количества в Нидерландия (с 36,5%), Испания (с 46,2%) и Румъния (с 54,</w:t>
      </w:r>
      <w:r w:rsidR="00FE123E">
        <w:rPr>
          <w:rFonts w:ascii="Arial Narrow" w:hAnsi="Arial Narrow"/>
          <w:bCs/>
          <w:lang w:val="bg-BG"/>
        </w:rPr>
        <w:t>5</w:t>
      </w:r>
      <w:r w:rsidRPr="00CD3FE8">
        <w:rPr>
          <w:rFonts w:ascii="Arial Narrow" w:hAnsi="Arial Narrow"/>
          <w:bCs/>
          <w:lang w:val="bg-BG"/>
        </w:rPr>
        <w:t xml:space="preserve">%).    </w:t>
      </w:r>
    </w:p>
    <w:p w14:paraId="22898F9C" w14:textId="77777777" w:rsidR="00CD3FE8" w:rsidRPr="00CD3FE8" w:rsidRDefault="00CD3FE8" w:rsidP="00F10FC2">
      <w:pPr>
        <w:autoSpaceDE w:val="0"/>
        <w:autoSpaceDN w:val="0"/>
        <w:adjustRightInd w:val="0"/>
        <w:spacing w:after="120"/>
        <w:ind w:firstLine="706"/>
        <w:jc w:val="both"/>
        <w:rPr>
          <w:rFonts w:ascii="Arial Narrow" w:hAnsi="Arial Narrow"/>
          <w:bCs/>
          <w:lang w:val="bg-BG"/>
        </w:rPr>
      </w:pPr>
      <w:r w:rsidRPr="00CD3FE8">
        <w:rPr>
          <w:rFonts w:ascii="Arial Narrow" w:hAnsi="Arial Narrow"/>
          <w:bCs/>
          <w:lang w:val="bg-BG"/>
        </w:rPr>
        <w:t>При износа на вино за трети страни през 2024 г. се наблюдава още по-сериозен спад спрямо предходната година – с 33,3%, до 2 0</w:t>
      </w:r>
      <w:r w:rsidR="00F47ABD">
        <w:rPr>
          <w:rFonts w:ascii="Arial Narrow" w:hAnsi="Arial Narrow"/>
          <w:bCs/>
          <w:lang w:val="bg-BG"/>
        </w:rPr>
        <w:t>60</w:t>
      </w:r>
      <w:r w:rsidRPr="00CD3FE8">
        <w:rPr>
          <w:rFonts w:ascii="Arial Narrow" w:hAnsi="Arial Narrow"/>
          <w:bCs/>
          <w:lang w:val="bg-BG"/>
        </w:rPr>
        <w:t xml:space="preserve"> хил. литра. Съществено намаляват количествата, насочени за пазарите на Обединеното кралство (със 7</w:t>
      </w:r>
      <w:r w:rsidR="00F47ABD">
        <w:rPr>
          <w:rFonts w:ascii="Arial Narrow" w:hAnsi="Arial Narrow"/>
          <w:bCs/>
          <w:lang w:val="bg-BG"/>
        </w:rPr>
        <w:t>,1</w:t>
      </w:r>
      <w:r w:rsidRPr="00CD3FE8">
        <w:rPr>
          <w:rFonts w:ascii="Arial Narrow" w:hAnsi="Arial Narrow"/>
          <w:bCs/>
          <w:lang w:val="bg-BG"/>
        </w:rPr>
        <w:t xml:space="preserve">%), Япония (с 12,9%), Руската федерация (с 65%), Норвегия (със 74%) и Нигерия (с 93,5%), което е само частично компенсирано от разширяване на реализацията в САЩ, Швейцария, Кот д' Ивоар и Гана.        </w:t>
      </w:r>
    </w:p>
    <w:p w14:paraId="12571D8E" w14:textId="77777777" w:rsidR="00CD3FE8" w:rsidRPr="00CD3FE8" w:rsidRDefault="00CD3FE8" w:rsidP="00CD3FE8">
      <w:pPr>
        <w:spacing w:before="120" w:after="120"/>
        <w:jc w:val="both"/>
        <w:rPr>
          <w:rFonts w:ascii="Arial Narrow" w:hAnsi="Arial Narrow" w:cs="Arial"/>
          <w:b/>
          <w:bCs/>
          <w:lang w:val="bg-BG"/>
        </w:rPr>
      </w:pPr>
      <w:r w:rsidRPr="00CD3FE8">
        <w:rPr>
          <w:rFonts w:ascii="Arial Narrow" w:hAnsi="Arial Narrow"/>
          <w:b/>
          <w:lang w:val="bg-BG"/>
        </w:rPr>
        <w:t>Таблица</w:t>
      </w:r>
      <w:r w:rsidRPr="00CD3FE8">
        <w:rPr>
          <w:rFonts w:ascii="Arial Narrow" w:hAnsi="Arial Narrow" w:cs="TimesNewRoman"/>
          <w:b/>
          <w:lang w:val="bg-BG"/>
        </w:rPr>
        <w:t xml:space="preserve"> ІІ.37. </w:t>
      </w:r>
      <w:r w:rsidRPr="00CD3FE8">
        <w:rPr>
          <w:rFonts w:ascii="Arial Narrow" w:hAnsi="Arial Narrow"/>
          <w:b/>
          <w:lang w:val="bg-BG"/>
        </w:rPr>
        <w:t xml:space="preserve">Износ на вина през 2023 и 2024 г., </w:t>
      </w:r>
      <w:r w:rsidRPr="00CD3FE8">
        <w:rPr>
          <w:rFonts w:ascii="Arial Narrow" w:hAnsi="Arial Narrow" w:cs="Arial"/>
          <w:b/>
          <w:bCs/>
          <w:lang w:val="bg-BG"/>
        </w:rPr>
        <w:t>литри</w:t>
      </w:r>
    </w:p>
    <w:tbl>
      <w:tblPr>
        <w:tblW w:w="5000" w:type="pct"/>
        <w:tblLook w:val="04A0" w:firstRow="1" w:lastRow="0" w:firstColumn="1" w:lastColumn="0" w:noHBand="0" w:noVBand="1"/>
      </w:tblPr>
      <w:tblGrid>
        <w:gridCol w:w="3574"/>
        <w:gridCol w:w="1556"/>
        <w:gridCol w:w="1556"/>
        <w:gridCol w:w="1699"/>
        <w:gridCol w:w="1415"/>
      </w:tblGrid>
      <w:tr w:rsidR="00FE123E" w:rsidRPr="00FE123E" w14:paraId="5271A036" w14:textId="77777777" w:rsidTr="00CD44F3">
        <w:trPr>
          <w:trHeight w:val="360"/>
          <w:tblHeader/>
        </w:trPr>
        <w:tc>
          <w:tcPr>
            <w:tcW w:w="1823"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331587CF" w14:textId="77777777" w:rsidR="00FE123E" w:rsidRPr="00FE123E" w:rsidRDefault="00FE123E" w:rsidP="00FE123E">
            <w:pPr>
              <w:jc w:val="center"/>
              <w:rPr>
                <w:rFonts w:ascii="Arial Narrow" w:hAnsi="Arial Narrow" w:cs="Arial"/>
                <w:b/>
                <w:bCs/>
                <w:sz w:val="20"/>
                <w:szCs w:val="20"/>
              </w:rPr>
            </w:pPr>
            <w:r w:rsidRPr="00FE123E">
              <w:rPr>
                <w:rFonts w:ascii="Arial Narrow" w:hAnsi="Arial Narrow" w:cs="Arial"/>
                <w:b/>
                <w:bCs/>
                <w:sz w:val="20"/>
                <w:szCs w:val="20"/>
              </w:rPr>
              <w:t>Страни</w:t>
            </w:r>
          </w:p>
        </w:tc>
        <w:tc>
          <w:tcPr>
            <w:tcW w:w="794"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5C07E504" w14:textId="77777777" w:rsidR="00FE123E" w:rsidRPr="00FE123E" w:rsidRDefault="00FE123E" w:rsidP="000B1530">
            <w:pPr>
              <w:jc w:val="center"/>
              <w:rPr>
                <w:rFonts w:ascii="Arial Narrow" w:hAnsi="Arial Narrow" w:cs="Arial"/>
                <w:b/>
                <w:bCs/>
                <w:sz w:val="20"/>
                <w:szCs w:val="20"/>
              </w:rPr>
            </w:pPr>
            <w:r w:rsidRPr="00FE123E">
              <w:rPr>
                <w:rFonts w:ascii="Arial Narrow" w:hAnsi="Arial Narrow" w:cs="Arial"/>
                <w:b/>
                <w:bCs/>
                <w:sz w:val="20"/>
                <w:szCs w:val="20"/>
              </w:rPr>
              <w:t>2023</w:t>
            </w:r>
          </w:p>
        </w:tc>
        <w:tc>
          <w:tcPr>
            <w:tcW w:w="794"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35E9BBF8" w14:textId="77777777" w:rsidR="00FE123E" w:rsidRPr="00FE123E" w:rsidRDefault="00FE123E" w:rsidP="000B1530">
            <w:pPr>
              <w:jc w:val="center"/>
              <w:rPr>
                <w:rFonts w:ascii="Arial Narrow" w:hAnsi="Arial Narrow" w:cs="Arial"/>
                <w:b/>
                <w:bCs/>
                <w:sz w:val="20"/>
                <w:szCs w:val="20"/>
              </w:rPr>
            </w:pPr>
            <w:r w:rsidRPr="00FE123E">
              <w:rPr>
                <w:rFonts w:ascii="Arial Narrow" w:hAnsi="Arial Narrow" w:cs="Arial"/>
                <w:b/>
                <w:bCs/>
                <w:sz w:val="20"/>
                <w:szCs w:val="20"/>
              </w:rPr>
              <w:t>2024</w:t>
            </w:r>
          </w:p>
        </w:tc>
        <w:tc>
          <w:tcPr>
            <w:tcW w:w="1588"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62DCFA0D" w14:textId="77777777" w:rsidR="00FE123E" w:rsidRPr="00FE123E" w:rsidRDefault="00FE123E" w:rsidP="00FE123E">
            <w:pPr>
              <w:jc w:val="center"/>
              <w:rPr>
                <w:rFonts w:ascii="Arial Narrow" w:hAnsi="Arial Narrow" w:cs="Arial"/>
                <w:b/>
                <w:bCs/>
                <w:sz w:val="20"/>
                <w:szCs w:val="20"/>
              </w:rPr>
            </w:pPr>
            <w:r w:rsidRPr="00FE123E">
              <w:rPr>
                <w:rFonts w:ascii="Arial Narrow" w:hAnsi="Arial Narrow" w:cs="Arial"/>
                <w:b/>
                <w:bCs/>
                <w:sz w:val="20"/>
                <w:szCs w:val="20"/>
              </w:rPr>
              <w:t>Изм. 2024/2023</w:t>
            </w:r>
          </w:p>
        </w:tc>
      </w:tr>
      <w:tr w:rsidR="00FE123E" w:rsidRPr="00FE123E" w14:paraId="41AB17A7" w14:textId="77777777" w:rsidTr="00CD44F3">
        <w:trPr>
          <w:trHeight w:val="360"/>
          <w:tblHeader/>
        </w:trPr>
        <w:tc>
          <w:tcPr>
            <w:tcW w:w="1823" w:type="pct"/>
            <w:vMerge/>
            <w:tcBorders>
              <w:top w:val="single" w:sz="4" w:space="0" w:color="auto"/>
              <w:left w:val="single" w:sz="4" w:space="0" w:color="auto"/>
              <w:bottom w:val="single" w:sz="4" w:space="0" w:color="000000"/>
              <w:right w:val="single" w:sz="4" w:space="0" w:color="auto"/>
            </w:tcBorders>
            <w:vAlign w:val="center"/>
            <w:hideMark/>
          </w:tcPr>
          <w:p w14:paraId="6C1C0923" w14:textId="77777777" w:rsidR="00FE123E" w:rsidRPr="00FE123E" w:rsidRDefault="00FE123E" w:rsidP="00FE123E">
            <w:pPr>
              <w:rPr>
                <w:rFonts w:ascii="Arial Narrow" w:hAnsi="Arial Narrow" w:cs="Arial"/>
                <w:b/>
                <w:bCs/>
                <w:sz w:val="20"/>
                <w:szCs w:val="20"/>
              </w:rPr>
            </w:pPr>
          </w:p>
        </w:tc>
        <w:tc>
          <w:tcPr>
            <w:tcW w:w="794" w:type="pct"/>
            <w:vMerge/>
            <w:tcBorders>
              <w:top w:val="single" w:sz="4" w:space="0" w:color="auto"/>
              <w:left w:val="single" w:sz="4" w:space="0" w:color="auto"/>
              <w:bottom w:val="single" w:sz="4" w:space="0" w:color="000000"/>
              <w:right w:val="single" w:sz="4" w:space="0" w:color="auto"/>
            </w:tcBorders>
            <w:vAlign w:val="center"/>
            <w:hideMark/>
          </w:tcPr>
          <w:p w14:paraId="0A977589" w14:textId="77777777" w:rsidR="00FE123E" w:rsidRPr="00FE123E" w:rsidRDefault="00FE123E" w:rsidP="00FE123E">
            <w:pPr>
              <w:rPr>
                <w:rFonts w:ascii="Arial Narrow" w:hAnsi="Arial Narrow" w:cs="Arial"/>
                <w:b/>
                <w:bCs/>
                <w:sz w:val="20"/>
                <w:szCs w:val="20"/>
              </w:rPr>
            </w:pPr>
          </w:p>
        </w:tc>
        <w:tc>
          <w:tcPr>
            <w:tcW w:w="794" w:type="pct"/>
            <w:vMerge/>
            <w:tcBorders>
              <w:top w:val="single" w:sz="4" w:space="0" w:color="auto"/>
              <w:left w:val="single" w:sz="4" w:space="0" w:color="auto"/>
              <w:bottom w:val="single" w:sz="4" w:space="0" w:color="000000"/>
              <w:right w:val="single" w:sz="4" w:space="0" w:color="auto"/>
            </w:tcBorders>
            <w:vAlign w:val="center"/>
            <w:hideMark/>
          </w:tcPr>
          <w:p w14:paraId="6F84B8F2" w14:textId="77777777" w:rsidR="00FE123E" w:rsidRPr="00FE123E" w:rsidRDefault="00FE123E" w:rsidP="00FE123E">
            <w:pPr>
              <w:rPr>
                <w:rFonts w:ascii="Arial Narrow" w:hAnsi="Arial Narrow" w:cs="Arial"/>
                <w:b/>
                <w:bCs/>
                <w:sz w:val="20"/>
                <w:szCs w:val="20"/>
              </w:rPr>
            </w:pPr>
          </w:p>
        </w:tc>
        <w:tc>
          <w:tcPr>
            <w:tcW w:w="867" w:type="pct"/>
            <w:tcBorders>
              <w:top w:val="nil"/>
              <w:left w:val="nil"/>
              <w:bottom w:val="single" w:sz="4" w:space="0" w:color="auto"/>
              <w:right w:val="single" w:sz="4" w:space="0" w:color="auto"/>
            </w:tcBorders>
            <w:shd w:val="clear" w:color="auto" w:fill="auto"/>
            <w:noWrap/>
            <w:vAlign w:val="center"/>
            <w:hideMark/>
          </w:tcPr>
          <w:p w14:paraId="51B81440" w14:textId="77777777" w:rsidR="00FE123E" w:rsidRPr="00FE123E" w:rsidRDefault="00FE123E" w:rsidP="00FE123E">
            <w:pPr>
              <w:jc w:val="center"/>
              <w:rPr>
                <w:rFonts w:ascii="Arial Narrow" w:hAnsi="Arial Narrow" w:cs="Arial"/>
                <w:b/>
                <w:bCs/>
                <w:sz w:val="20"/>
                <w:szCs w:val="20"/>
              </w:rPr>
            </w:pPr>
            <w:r w:rsidRPr="00FE123E">
              <w:rPr>
                <w:rFonts w:ascii="Arial Narrow" w:hAnsi="Arial Narrow" w:cs="Arial"/>
                <w:b/>
                <w:bCs/>
                <w:sz w:val="20"/>
                <w:szCs w:val="20"/>
              </w:rPr>
              <w:t>литра</w:t>
            </w:r>
          </w:p>
        </w:tc>
        <w:tc>
          <w:tcPr>
            <w:tcW w:w="722" w:type="pct"/>
            <w:tcBorders>
              <w:top w:val="nil"/>
              <w:left w:val="nil"/>
              <w:bottom w:val="single" w:sz="4" w:space="0" w:color="auto"/>
              <w:right w:val="single" w:sz="4" w:space="0" w:color="auto"/>
            </w:tcBorders>
            <w:shd w:val="clear" w:color="auto" w:fill="auto"/>
            <w:noWrap/>
            <w:vAlign w:val="center"/>
            <w:hideMark/>
          </w:tcPr>
          <w:p w14:paraId="1DEDAA4D" w14:textId="77777777" w:rsidR="00FE123E" w:rsidRPr="00FE123E" w:rsidRDefault="00FE123E" w:rsidP="00FE123E">
            <w:pPr>
              <w:jc w:val="center"/>
              <w:rPr>
                <w:rFonts w:ascii="Arial Narrow" w:hAnsi="Arial Narrow" w:cs="Arial"/>
                <w:b/>
                <w:bCs/>
                <w:sz w:val="20"/>
                <w:szCs w:val="20"/>
              </w:rPr>
            </w:pPr>
            <w:r w:rsidRPr="00FE123E">
              <w:rPr>
                <w:rFonts w:ascii="Arial Narrow" w:hAnsi="Arial Narrow" w:cs="Arial"/>
                <w:b/>
                <w:bCs/>
                <w:sz w:val="20"/>
                <w:szCs w:val="20"/>
              </w:rPr>
              <w:t>%</w:t>
            </w:r>
          </w:p>
        </w:tc>
      </w:tr>
      <w:tr w:rsidR="00FE123E" w:rsidRPr="00FE123E" w14:paraId="2B00DC5E" w14:textId="77777777" w:rsidTr="00CD44F3">
        <w:trPr>
          <w:trHeight w:val="360"/>
        </w:trPr>
        <w:tc>
          <w:tcPr>
            <w:tcW w:w="1823" w:type="pct"/>
            <w:tcBorders>
              <w:top w:val="nil"/>
              <w:left w:val="single" w:sz="4" w:space="0" w:color="auto"/>
              <w:bottom w:val="single" w:sz="4" w:space="0" w:color="auto"/>
              <w:right w:val="single" w:sz="4" w:space="0" w:color="auto"/>
            </w:tcBorders>
            <w:shd w:val="clear" w:color="auto" w:fill="auto"/>
            <w:noWrap/>
            <w:vAlign w:val="center"/>
            <w:hideMark/>
          </w:tcPr>
          <w:p w14:paraId="5BB726AD" w14:textId="77777777" w:rsidR="00FE123E" w:rsidRPr="00FE123E" w:rsidRDefault="00FE123E" w:rsidP="00FE123E">
            <w:pPr>
              <w:rPr>
                <w:rFonts w:ascii="Arial Narrow" w:hAnsi="Arial Narrow" w:cs="Arial"/>
                <w:b/>
                <w:bCs/>
                <w:sz w:val="20"/>
                <w:szCs w:val="20"/>
              </w:rPr>
            </w:pPr>
            <w:r w:rsidRPr="00FE123E">
              <w:rPr>
                <w:rFonts w:ascii="Arial Narrow" w:hAnsi="Arial Narrow" w:cs="Arial"/>
                <w:b/>
                <w:bCs/>
                <w:sz w:val="20"/>
                <w:szCs w:val="20"/>
              </w:rPr>
              <w:t>ЕС - общо, в т. ч.:</w:t>
            </w:r>
          </w:p>
        </w:tc>
        <w:tc>
          <w:tcPr>
            <w:tcW w:w="794" w:type="pct"/>
            <w:tcBorders>
              <w:top w:val="nil"/>
              <w:left w:val="nil"/>
              <w:bottom w:val="single" w:sz="4" w:space="0" w:color="auto"/>
              <w:right w:val="single" w:sz="4" w:space="0" w:color="auto"/>
            </w:tcBorders>
            <w:shd w:val="clear" w:color="auto" w:fill="auto"/>
            <w:noWrap/>
            <w:vAlign w:val="center"/>
            <w:hideMark/>
          </w:tcPr>
          <w:p w14:paraId="1C539FDA" w14:textId="77777777" w:rsidR="00FE123E" w:rsidRPr="00FE123E" w:rsidRDefault="00FE123E" w:rsidP="00FE123E">
            <w:pPr>
              <w:jc w:val="right"/>
              <w:rPr>
                <w:rFonts w:ascii="Arial Narrow" w:hAnsi="Arial Narrow" w:cs="Arial"/>
                <w:b/>
                <w:bCs/>
                <w:sz w:val="20"/>
                <w:szCs w:val="20"/>
              </w:rPr>
            </w:pPr>
            <w:r w:rsidRPr="00FE123E">
              <w:rPr>
                <w:rFonts w:ascii="Arial Narrow" w:hAnsi="Arial Narrow" w:cs="Arial"/>
                <w:b/>
                <w:bCs/>
                <w:sz w:val="20"/>
                <w:szCs w:val="20"/>
              </w:rPr>
              <w:t>8 880 005</w:t>
            </w:r>
          </w:p>
        </w:tc>
        <w:tc>
          <w:tcPr>
            <w:tcW w:w="794" w:type="pct"/>
            <w:tcBorders>
              <w:top w:val="nil"/>
              <w:left w:val="nil"/>
              <w:bottom w:val="single" w:sz="4" w:space="0" w:color="auto"/>
              <w:right w:val="single" w:sz="4" w:space="0" w:color="auto"/>
            </w:tcBorders>
            <w:shd w:val="clear" w:color="auto" w:fill="auto"/>
            <w:noWrap/>
            <w:vAlign w:val="center"/>
            <w:hideMark/>
          </w:tcPr>
          <w:p w14:paraId="4F284257" w14:textId="77777777" w:rsidR="00FE123E" w:rsidRPr="00FE123E" w:rsidRDefault="00FE123E" w:rsidP="00FE123E">
            <w:pPr>
              <w:jc w:val="right"/>
              <w:rPr>
                <w:rFonts w:ascii="Arial Narrow" w:hAnsi="Arial Narrow" w:cs="Arial"/>
                <w:b/>
                <w:bCs/>
                <w:sz w:val="20"/>
                <w:szCs w:val="20"/>
              </w:rPr>
            </w:pPr>
            <w:r w:rsidRPr="00FE123E">
              <w:rPr>
                <w:rFonts w:ascii="Arial Narrow" w:hAnsi="Arial Narrow" w:cs="Arial"/>
                <w:b/>
                <w:bCs/>
                <w:sz w:val="20"/>
                <w:szCs w:val="20"/>
              </w:rPr>
              <w:t>6 623 700</w:t>
            </w:r>
          </w:p>
        </w:tc>
        <w:tc>
          <w:tcPr>
            <w:tcW w:w="867" w:type="pct"/>
            <w:tcBorders>
              <w:top w:val="nil"/>
              <w:left w:val="nil"/>
              <w:bottom w:val="single" w:sz="4" w:space="0" w:color="auto"/>
              <w:right w:val="single" w:sz="4" w:space="0" w:color="auto"/>
            </w:tcBorders>
            <w:shd w:val="clear" w:color="auto" w:fill="auto"/>
            <w:noWrap/>
            <w:vAlign w:val="center"/>
            <w:hideMark/>
          </w:tcPr>
          <w:p w14:paraId="5685DCC5" w14:textId="77777777" w:rsidR="00FE123E" w:rsidRPr="00FE123E" w:rsidRDefault="00FE123E" w:rsidP="00FE123E">
            <w:pPr>
              <w:jc w:val="right"/>
              <w:rPr>
                <w:rFonts w:ascii="Arial Narrow" w:hAnsi="Arial Narrow" w:cs="Arial"/>
                <w:b/>
                <w:bCs/>
                <w:sz w:val="20"/>
                <w:szCs w:val="20"/>
              </w:rPr>
            </w:pPr>
            <w:r w:rsidRPr="00FE123E">
              <w:rPr>
                <w:rFonts w:ascii="Arial Narrow" w:hAnsi="Arial Narrow" w:cs="Arial"/>
                <w:b/>
                <w:bCs/>
                <w:sz w:val="20"/>
                <w:szCs w:val="20"/>
              </w:rPr>
              <w:t>-2 256 305</w:t>
            </w:r>
          </w:p>
        </w:tc>
        <w:tc>
          <w:tcPr>
            <w:tcW w:w="722" w:type="pct"/>
            <w:tcBorders>
              <w:top w:val="nil"/>
              <w:left w:val="nil"/>
              <w:bottom w:val="single" w:sz="4" w:space="0" w:color="auto"/>
              <w:right w:val="single" w:sz="4" w:space="0" w:color="auto"/>
            </w:tcBorders>
            <w:shd w:val="clear" w:color="auto" w:fill="auto"/>
            <w:noWrap/>
            <w:vAlign w:val="center"/>
            <w:hideMark/>
          </w:tcPr>
          <w:p w14:paraId="6873513F" w14:textId="77777777" w:rsidR="00FE123E" w:rsidRPr="00FE123E" w:rsidRDefault="00FE123E" w:rsidP="00FE123E">
            <w:pPr>
              <w:jc w:val="right"/>
              <w:rPr>
                <w:rFonts w:ascii="Arial Narrow" w:hAnsi="Arial Narrow" w:cs="Arial"/>
                <w:b/>
                <w:bCs/>
                <w:sz w:val="20"/>
                <w:szCs w:val="20"/>
              </w:rPr>
            </w:pPr>
            <w:r w:rsidRPr="00FE123E">
              <w:rPr>
                <w:rFonts w:ascii="Arial Narrow" w:hAnsi="Arial Narrow" w:cs="Arial"/>
                <w:b/>
                <w:bCs/>
                <w:sz w:val="20"/>
                <w:szCs w:val="20"/>
              </w:rPr>
              <w:t>-25,4%</w:t>
            </w:r>
          </w:p>
        </w:tc>
      </w:tr>
      <w:tr w:rsidR="00FE123E" w:rsidRPr="00FE123E" w14:paraId="28B78ED5" w14:textId="77777777" w:rsidTr="00CD44F3">
        <w:trPr>
          <w:trHeight w:val="360"/>
        </w:trPr>
        <w:tc>
          <w:tcPr>
            <w:tcW w:w="1823" w:type="pct"/>
            <w:tcBorders>
              <w:top w:val="nil"/>
              <w:left w:val="single" w:sz="4" w:space="0" w:color="auto"/>
              <w:bottom w:val="single" w:sz="4" w:space="0" w:color="auto"/>
              <w:right w:val="single" w:sz="4" w:space="0" w:color="auto"/>
            </w:tcBorders>
            <w:shd w:val="clear" w:color="auto" w:fill="auto"/>
            <w:noWrap/>
            <w:vAlign w:val="center"/>
            <w:hideMark/>
          </w:tcPr>
          <w:p w14:paraId="5B12CD00" w14:textId="77777777" w:rsidR="00FE123E" w:rsidRPr="00FE123E" w:rsidRDefault="00FE123E" w:rsidP="00FE123E">
            <w:pPr>
              <w:ind w:firstLineChars="100" w:firstLine="200"/>
              <w:rPr>
                <w:rFonts w:ascii="Arial Narrow" w:hAnsi="Arial Narrow" w:cs="Arial"/>
                <w:sz w:val="20"/>
                <w:szCs w:val="20"/>
              </w:rPr>
            </w:pPr>
            <w:r w:rsidRPr="00FE123E">
              <w:rPr>
                <w:rFonts w:ascii="Arial Narrow" w:hAnsi="Arial Narrow" w:cs="Arial"/>
                <w:sz w:val="20"/>
                <w:szCs w:val="20"/>
              </w:rPr>
              <w:t>Швеция</w:t>
            </w:r>
          </w:p>
        </w:tc>
        <w:tc>
          <w:tcPr>
            <w:tcW w:w="794" w:type="pct"/>
            <w:tcBorders>
              <w:top w:val="nil"/>
              <w:left w:val="nil"/>
              <w:bottom w:val="single" w:sz="4" w:space="0" w:color="auto"/>
              <w:right w:val="single" w:sz="4" w:space="0" w:color="auto"/>
            </w:tcBorders>
            <w:shd w:val="clear" w:color="auto" w:fill="auto"/>
            <w:noWrap/>
            <w:vAlign w:val="center"/>
            <w:hideMark/>
          </w:tcPr>
          <w:p w14:paraId="7B4F6472" w14:textId="77777777" w:rsidR="00FE123E" w:rsidRPr="00FE123E" w:rsidRDefault="00FE123E" w:rsidP="00FE123E">
            <w:pPr>
              <w:jc w:val="right"/>
              <w:rPr>
                <w:rFonts w:ascii="Arial Narrow" w:hAnsi="Arial Narrow" w:cs="Arial"/>
                <w:sz w:val="20"/>
                <w:szCs w:val="20"/>
              </w:rPr>
            </w:pPr>
            <w:r w:rsidRPr="00FE123E">
              <w:rPr>
                <w:rFonts w:ascii="Arial Narrow" w:hAnsi="Arial Narrow" w:cs="Arial"/>
                <w:sz w:val="20"/>
                <w:szCs w:val="20"/>
              </w:rPr>
              <w:t>3 138 775</w:t>
            </w:r>
          </w:p>
        </w:tc>
        <w:tc>
          <w:tcPr>
            <w:tcW w:w="794" w:type="pct"/>
            <w:tcBorders>
              <w:top w:val="nil"/>
              <w:left w:val="nil"/>
              <w:bottom w:val="single" w:sz="4" w:space="0" w:color="auto"/>
              <w:right w:val="single" w:sz="4" w:space="0" w:color="auto"/>
            </w:tcBorders>
            <w:shd w:val="clear" w:color="auto" w:fill="auto"/>
            <w:noWrap/>
            <w:vAlign w:val="center"/>
            <w:hideMark/>
          </w:tcPr>
          <w:p w14:paraId="2FCD5563" w14:textId="77777777" w:rsidR="00FE123E" w:rsidRPr="00FE123E" w:rsidRDefault="00FE123E" w:rsidP="00FE123E">
            <w:pPr>
              <w:jc w:val="right"/>
              <w:rPr>
                <w:rFonts w:ascii="Arial Narrow" w:hAnsi="Arial Narrow" w:cs="Arial"/>
                <w:sz w:val="20"/>
                <w:szCs w:val="20"/>
              </w:rPr>
            </w:pPr>
            <w:r w:rsidRPr="00FE123E">
              <w:rPr>
                <w:rFonts w:ascii="Arial Narrow" w:hAnsi="Arial Narrow" w:cs="Arial"/>
                <w:sz w:val="20"/>
                <w:szCs w:val="20"/>
              </w:rPr>
              <w:t>2 875 047</w:t>
            </w:r>
          </w:p>
        </w:tc>
        <w:tc>
          <w:tcPr>
            <w:tcW w:w="867" w:type="pct"/>
            <w:tcBorders>
              <w:top w:val="nil"/>
              <w:left w:val="nil"/>
              <w:bottom w:val="single" w:sz="4" w:space="0" w:color="auto"/>
              <w:right w:val="single" w:sz="4" w:space="0" w:color="auto"/>
            </w:tcBorders>
            <w:shd w:val="clear" w:color="auto" w:fill="auto"/>
            <w:noWrap/>
            <w:vAlign w:val="center"/>
            <w:hideMark/>
          </w:tcPr>
          <w:p w14:paraId="7351870F" w14:textId="77777777" w:rsidR="00FE123E" w:rsidRPr="00FE123E" w:rsidRDefault="00FE123E" w:rsidP="00FE123E">
            <w:pPr>
              <w:jc w:val="right"/>
              <w:rPr>
                <w:rFonts w:ascii="Arial Narrow" w:hAnsi="Arial Narrow" w:cs="Arial"/>
                <w:sz w:val="20"/>
                <w:szCs w:val="20"/>
              </w:rPr>
            </w:pPr>
            <w:r w:rsidRPr="00FE123E">
              <w:rPr>
                <w:rFonts w:ascii="Arial Narrow" w:hAnsi="Arial Narrow" w:cs="Arial"/>
                <w:sz w:val="20"/>
                <w:szCs w:val="20"/>
              </w:rPr>
              <w:t>-263 728</w:t>
            </w:r>
          </w:p>
        </w:tc>
        <w:tc>
          <w:tcPr>
            <w:tcW w:w="722" w:type="pct"/>
            <w:tcBorders>
              <w:top w:val="nil"/>
              <w:left w:val="nil"/>
              <w:bottom w:val="single" w:sz="4" w:space="0" w:color="auto"/>
              <w:right w:val="single" w:sz="4" w:space="0" w:color="auto"/>
            </w:tcBorders>
            <w:shd w:val="clear" w:color="auto" w:fill="auto"/>
            <w:noWrap/>
            <w:vAlign w:val="center"/>
            <w:hideMark/>
          </w:tcPr>
          <w:p w14:paraId="19B75153" w14:textId="77777777" w:rsidR="00FE123E" w:rsidRPr="00FE123E" w:rsidRDefault="00FE123E" w:rsidP="00FE123E">
            <w:pPr>
              <w:jc w:val="right"/>
              <w:rPr>
                <w:rFonts w:ascii="Arial Narrow" w:hAnsi="Arial Narrow" w:cs="Arial"/>
                <w:sz w:val="20"/>
                <w:szCs w:val="20"/>
              </w:rPr>
            </w:pPr>
            <w:r w:rsidRPr="00FE123E">
              <w:rPr>
                <w:rFonts w:ascii="Arial Narrow" w:hAnsi="Arial Narrow" w:cs="Arial"/>
                <w:sz w:val="20"/>
                <w:szCs w:val="20"/>
              </w:rPr>
              <w:t>-8,4%</w:t>
            </w:r>
          </w:p>
        </w:tc>
      </w:tr>
      <w:tr w:rsidR="00FE123E" w:rsidRPr="00FE123E" w14:paraId="30F8D422" w14:textId="77777777" w:rsidTr="00CD44F3">
        <w:trPr>
          <w:trHeight w:val="360"/>
        </w:trPr>
        <w:tc>
          <w:tcPr>
            <w:tcW w:w="1823" w:type="pct"/>
            <w:tcBorders>
              <w:top w:val="nil"/>
              <w:left w:val="single" w:sz="4" w:space="0" w:color="auto"/>
              <w:bottom w:val="single" w:sz="4" w:space="0" w:color="auto"/>
              <w:right w:val="single" w:sz="4" w:space="0" w:color="auto"/>
            </w:tcBorders>
            <w:shd w:val="clear" w:color="auto" w:fill="auto"/>
            <w:noWrap/>
            <w:vAlign w:val="center"/>
            <w:hideMark/>
          </w:tcPr>
          <w:p w14:paraId="24EF4544" w14:textId="77777777" w:rsidR="00FE123E" w:rsidRPr="00FE123E" w:rsidRDefault="00FE123E" w:rsidP="00FE123E">
            <w:pPr>
              <w:ind w:firstLineChars="100" w:firstLine="200"/>
              <w:rPr>
                <w:rFonts w:ascii="Arial Narrow" w:hAnsi="Arial Narrow" w:cs="Arial"/>
                <w:sz w:val="20"/>
                <w:szCs w:val="20"/>
              </w:rPr>
            </w:pPr>
            <w:r w:rsidRPr="00FE123E">
              <w:rPr>
                <w:rFonts w:ascii="Arial Narrow" w:hAnsi="Arial Narrow" w:cs="Arial"/>
                <w:sz w:val="20"/>
                <w:szCs w:val="20"/>
              </w:rPr>
              <w:t>Полша</w:t>
            </w:r>
          </w:p>
        </w:tc>
        <w:tc>
          <w:tcPr>
            <w:tcW w:w="794" w:type="pct"/>
            <w:tcBorders>
              <w:top w:val="nil"/>
              <w:left w:val="nil"/>
              <w:bottom w:val="single" w:sz="4" w:space="0" w:color="auto"/>
              <w:right w:val="single" w:sz="4" w:space="0" w:color="auto"/>
            </w:tcBorders>
            <w:shd w:val="clear" w:color="auto" w:fill="auto"/>
            <w:noWrap/>
            <w:vAlign w:val="center"/>
            <w:hideMark/>
          </w:tcPr>
          <w:p w14:paraId="0A410AE9" w14:textId="77777777" w:rsidR="00FE123E" w:rsidRPr="00FE123E" w:rsidRDefault="00FE123E" w:rsidP="00FE123E">
            <w:pPr>
              <w:jc w:val="right"/>
              <w:rPr>
                <w:rFonts w:ascii="Arial Narrow" w:hAnsi="Arial Narrow" w:cs="Arial"/>
                <w:sz w:val="20"/>
                <w:szCs w:val="20"/>
              </w:rPr>
            </w:pPr>
            <w:r w:rsidRPr="00FE123E">
              <w:rPr>
                <w:rFonts w:ascii="Arial Narrow" w:hAnsi="Arial Narrow" w:cs="Arial"/>
                <w:sz w:val="20"/>
                <w:szCs w:val="20"/>
              </w:rPr>
              <w:t>3 620 856</w:t>
            </w:r>
          </w:p>
        </w:tc>
        <w:tc>
          <w:tcPr>
            <w:tcW w:w="794" w:type="pct"/>
            <w:tcBorders>
              <w:top w:val="nil"/>
              <w:left w:val="nil"/>
              <w:bottom w:val="single" w:sz="4" w:space="0" w:color="auto"/>
              <w:right w:val="single" w:sz="4" w:space="0" w:color="auto"/>
            </w:tcBorders>
            <w:shd w:val="clear" w:color="auto" w:fill="auto"/>
            <w:noWrap/>
            <w:vAlign w:val="center"/>
            <w:hideMark/>
          </w:tcPr>
          <w:p w14:paraId="7C4C51E0" w14:textId="77777777" w:rsidR="00FE123E" w:rsidRPr="00FE123E" w:rsidRDefault="00FE123E" w:rsidP="00FE123E">
            <w:pPr>
              <w:jc w:val="right"/>
              <w:rPr>
                <w:rFonts w:ascii="Arial Narrow" w:hAnsi="Arial Narrow" w:cs="Arial"/>
                <w:sz w:val="20"/>
                <w:szCs w:val="20"/>
              </w:rPr>
            </w:pPr>
            <w:r w:rsidRPr="00FE123E">
              <w:rPr>
                <w:rFonts w:ascii="Arial Narrow" w:hAnsi="Arial Narrow" w:cs="Arial"/>
                <w:sz w:val="20"/>
                <w:szCs w:val="20"/>
              </w:rPr>
              <w:t>2 386 996</w:t>
            </w:r>
          </w:p>
        </w:tc>
        <w:tc>
          <w:tcPr>
            <w:tcW w:w="867" w:type="pct"/>
            <w:tcBorders>
              <w:top w:val="nil"/>
              <w:left w:val="nil"/>
              <w:bottom w:val="single" w:sz="4" w:space="0" w:color="auto"/>
              <w:right w:val="single" w:sz="4" w:space="0" w:color="auto"/>
            </w:tcBorders>
            <w:shd w:val="clear" w:color="auto" w:fill="auto"/>
            <w:noWrap/>
            <w:vAlign w:val="center"/>
            <w:hideMark/>
          </w:tcPr>
          <w:p w14:paraId="16EDF849" w14:textId="77777777" w:rsidR="00FE123E" w:rsidRPr="00FE123E" w:rsidRDefault="00FE123E" w:rsidP="00FE123E">
            <w:pPr>
              <w:jc w:val="right"/>
              <w:rPr>
                <w:rFonts w:ascii="Arial Narrow" w:hAnsi="Arial Narrow" w:cs="Arial"/>
                <w:sz w:val="20"/>
                <w:szCs w:val="20"/>
              </w:rPr>
            </w:pPr>
            <w:r w:rsidRPr="00FE123E">
              <w:rPr>
                <w:rFonts w:ascii="Arial Narrow" w:hAnsi="Arial Narrow" w:cs="Arial"/>
                <w:sz w:val="20"/>
                <w:szCs w:val="20"/>
              </w:rPr>
              <w:t>-1 233 860</w:t>
            </w:r>
          </w:p>
        </w:tc>
        <w:tc>
          <w:tcPr>
            <w:tcW w:w="722" w:type="pct"/>
            <w:tcBorders>
              <w:top w:val="nil"/>
              <w:left w:val="nil"/>
              <w:bottom w:val="single" w:sz="4" w:space="0" w:color="auto"/>
              <w:right w:val="single" w:sz="4" w:space="0" w:color="auto"/>
            </w:tcBorders>
            <w:shd w:val="clear" w:color="auto" w:fill="auto"/>
            <w:noWrap/>
            <w:vAlign w:val="center"/>
            <w:hideMark/>
          </w:tcPr>
          <w:p w14:paraId="425AD060" w14:textId="77777777" w:rsidR="00FE123E" w:rsidRPr="00FE123E" w:rsidRDefault="00FE123E" w:rsidP="00FE123E">
            <w:pPr>
              <w:jc w:val="right"/>
              <w:rPr>
                <w:rFonts w:ascii="Arial Narrow" w:hAnsi="Arial Narrow" w:cs="Arial"/>
                <w:sz w:val="20"/>
                <w:szCs w:val="20"/>
              </w:rPr>
            </w:pPr>
            <w:r w:rsidRPr="00FE123E">
              <w:rPr>
                <w:rFonts w:ascii="Arial Narrow" w:hAnsi="Arial Narrow" w:cs="Arial"/>
                <w:sz w:val="20"/>
                <w:szCs w:val="20"/>
              </w:rPr>
              <w:t>-34,1%</w:t>
            </w:r>
          </w:p>
        </w:tc>
      </w:tr>
      <w:tr w:rsidR="00FE123E" w:rsidRPr="00FE123E" w14:paraId="50D36F4C" w14:textId="77777777" w:rsidTr="00CD44F3">
        <w:trPr>
          <w:trHeight w:val="360"/>
        </w:trPr>
        <w:tc>
          <w:tcPr>
            <w:tcW w:w="1823" w:type="pct"/>
            <w:tcBorders>
              <w:top w:val="nil"/>
              <w:left w:val="single" w:sz="4" w:space="0" w:color="auto"/>
              <w:bottom w:val="single" w:sz="4" w:space="0" w:color="auto"/>
              <w:right w:val="single" w:sz="4" w:space="0" w:color="auto"/>
            </w:tcBorders>
            <w:shd w:val="clear" w:color="auto" w:fill="auto"/>
            <w:noWrap/>
            <w:vAlign w:val="center"/>
            <w:hideMark/>
          </w:tcPr>
          <w:p w14:paraId="54EEED59" w14:textId="77777777" w:rsidR="00FE123E" w:rsidRPr="00FE123E" w:rsidRDefault="00FE123E" w:rsidP="00FE123E">
            <w:pPr>
              <w:ind w:firstLineChars="100" w:firstLine="200"/>
              <w:rPr>
                <w:rFonts w:ascii="Arial Narrow" w:hAnsi="Arial Narrow" w:cs="Arial"/>
                <w:sz w:val="20"/>
                <w:szCs w:val="20"/>
              </w:rPr>
            </w:pPr>
            <w:r w:rsidRPr="00FE123E">
              <w:rPr>
                <w:rFonts w:ascii="Arial Narrow" w:hAnsi="Arial Narrow" w:cs="Arial"/>
                <w:sz w:val="20"/>
                <w:szCs w:val="20"/>
              </w:rPr>
              <w:t>Гърция</w:t>
            </w:r>
          </w:p>
        </w:tc>
        <w:tc>
          <w:tcPr>
            <w:tcW w:w="794" w:type="pct"/>
            <w:tcBorders>
              <w:top w:val="nil"/>
              <w:left w:val="nil"/>
              <w:bottom w:val="single" w:sz="4" w:space="0" w:color="auto"/>
              <w:right w:val="single" w:sz="4" w:space="0" w:color="auto"/>
            </w:tcBorders>
            <w:shd w:val="clear" w:color="auto" w:fill="auto"/>
            <w:noWrap/>
            <w:vAlign w:val="center"/>
            <w:hideMark/>
          </w:tcPr>
          <w:p w14:paraId="6D1456BB" w14:textId="77777777" w:rsidR="00FE123E" w:rsidRPr="00FE123E" w:rsidRDefault="00FE123E" w:rsidP="00FE123E">
            <w:pPr>
              <w:jc w:val="right"/>
              <w:rPr>
                <w:rFonts w:ascii="Arial Narrow" w:hAnsi="Arial Narrow" w:cs="Arial"/>
                <w:sz w:val="20"/>
                <w:szCs w:val="20"/>
              </w:rPr>
            </w:pPr>
            <w:r w:rsidRPr="00FE123E">
              <w:rPr>
                <w:rFonts w:ascii="Arial Narrow" w:hAnsi="Arial Narrow" w:cs="Arial"/>
                <w:sz w:val="20"/>
                <w:szCs w:val="20"/>
              </w:rPr>
              <w:t>6 649</w:t>
            </w:r>
          </w:p>
        </w:tc>
        <w:tc>
          <w:tcPr>
            <w:tcW w:w="794" w:type="pct"/>
            <w:tcBorders>
              <w:top w:val="nil"/>
              <w:left w:val="nil"/>
              <w:bottom w:val="single" w:sz="4" w:space="0" w:color="auto"/>
              <w:right w:val="single" w:sz="4" w:space="0" w:color="auto"/>
            </w:tcBorders>
            <w:shd w:val="clear" w:color="auto" w:fill="auto"/>
            <w:noWrap/>
            <w:vAlign w:val="center"/>
            <w:hideMark/>
          </w:tcPr>
          <w:p w14:paraId="40503740" w14:textId="77777777" w:rsidR="00FE123E" w:rsidRPr="00FE123E" w:rsidRDefault="00FE123E" w:rsidP="00FE123E">
            <w:pPr>
              <w:jc w:val="right"/>
              <w:rPr>
                <w:rFonts w:ascii="Arial Narrow" w:hAnsi="Arial Narrow" w:cs="Arial"/>
                <w:sz w:val="20"/>
                <w:szCs w:val="20"/>
              </w:rPr>
            </w:pPr>
            <w:r w:rsidRPr="00FE123E">
              <w:rPr>
                <w:rFonts w:ascii="Arial Narrow" w:hAnsi="Arial Narrow" w:cs="Arial"/>
                <w:sz w:val="20"/>
                <w:szCs w:val="20"/>
              </w:rPr>
              <w:t>366 206</w:t>
            </w:r>
          </w:p>
        </w:tc>
        <w:tc>
          <w:tcPr>
            <w:tcW w:w="867" w:type="pct"/>
            <w:tcBorders>
              <w:top w:val="nil"/>
              <w:left w:val="nil"/>
              <w:bottom w:val="single" w:sz="4" w:space="0" w:color="auto"/>
              <w:right w:val="single" w:sz="4" w:space="0" w:color="auto"/>
            </w:tcBorders>
            <w:shd w:val="clear" w:color="auto" w:fill="auto"/>
            <w:noWrap/>
            <w:vAlign w:val="center"/>
            <w:hideMark/>
          </w:tcPr>
          <w:p w14:paraId="60645AB4" w14:textId="77777777" w:rsidR="00FE123E" w:rsidRPr="00FE123E" w:rsidRDefault="00FE123E" w:rsidP="00FE123E">
            <w:pPr>
              <w:jc w:val="right"/>
              <w:rPr>
                <w:rFonts w:ascii="Arial Narrow" w:hAnsi="Arial Narrow" w:cs="Arial"/>
                <w:sz w:val="20"/>
                <w:szCs w:val="20"/>
              </w:rPr>
            </w:pPr>
            <w:r w:rsidRPr="00FE123E">
              <w:rPr>
                <w:rFonts w:ascii="Arial Narrow" w:hAnsi="Arial Narrow" w:cs="Arial"/>
                <w:sz w:val="20"/>
                <w:szCs w:val="20"/>
              </w:rPr>
              <w:t>359 557</w:t>
            </w:r>
          </w:p>
        </w:tc>
        <w:tc>
          <w:tcPr>
            <w:tcW w:w="722" w:type="pct"/>
            <w:tcBorders>
              <w:top w:val="nil"/>
              <w:left w:val="nil"/>
              <w:bottom w:val="single" w:sz="4" w:space="0" w:color="auto"/>
              <w:right w:val="single" w:sz="4" w:space="0" w:color="auto"/>
            </w:tcBorders>
            <w:shd w:val="clear" w:color="auto" w:fill="auto"/>
            <w:noWrap/>
            <w:vAlign w:val="center"/>
            <w:hideMark/>
          </w:tcPr>
          <w:p w14:paraId="04F89E09" w14:textId="77777777" w:rsidR="00FE123E" w:rsidRPr="00FE123E" w:rsidRDefault="00FE123E" w:rsidP="00FE123E">
            <w:pPr>
              <w:jc w:val="right"/>
              <w:rPr>
                <w:rFonts w:ascii="Arial Narrow" w:hAnsi="Arial Narrow" w:cs="Arial"/>
                <w:sz w:val="20"/>
                <w:szCs w:val="20"/>
              </w:rPr>
            </w:pPr>
            <w:r w:rsidRPr="00FE123E">
              <w:rPr>
                <w:rFonts w:ascii="Arial Narrow" w:hAnsi="Arial Narrow" w:cs="Arial"/>
                <w:sz w:val="20"/>
                <w:szCs w:val="20"/>
              </w:rPr>
              <w:t>5407,7%</w:t>
            </w:r>
          </w:p>
        </w:tc>
      </w:tr>
      <w:tr w:rsidR="00FE123E" w:rsidRPr="00FE123E" w14:paraId="6DC1B992" w14:textId="77777777" w:rsidTr="00CD44F3">
        <w:trPr>
          <w:trHeight w:val="360"/>
        </w:trPr>
        <w:tc>
          <w:tcPr>
            <w:tcW w:w="1823" w:type="pct"/>
            <w:tcBorders>
              <w:top w:val="nil"/>
              <w:left w:val="single" w:sz="4" w:space="0" w:color="auto"/>
              <w:bottom w:val="single" w:sz="4" w:space="0" w:color="auto"/>
              <w:right w:val="single" w:sz="4" w:space="0" w:color="auto"/>
            </w:tcBorders>
            <w:shd w:val="clear" w:color="auto" w:fill="auto"/>
            <w:noWrap/>
            <w:vAlign w:val="center"/>
            <w:hideMark/>
          </w:tcPr>
          <w:p w14:paraId="5A61A102" w14:textId="77777777" w:rsidR="00FE123E" w:rsidRPr="00FE123E" w:rsidRDefault="00FE123E" w:rsidP="00FE123E">
            <w:pPr>
              <w:ind w:firstLineChars="100" w:firstLine="200"/>
              <w:rPr>
                <w:rFonts w:ascii="Arial Narrow" w:hAnsi="Arial Narrow" w:cs="Arial"/>
                <w:sz w:val="20"/>
                <w:szCs w:val="20"/>
              </w:rPr>
            </w:pPr>
            <w:r w:rsidRPr="00FE123E">
              <w:rPr>
                <w:rFonts w:ascii="Arial Narrow" w:hAnsi="Arial Narrow" w:cs="Arial"/>
                <w:sz w:val="20"/>
                <w:szCs w:val="20"/>
              </w:rPr>
              <w:lastRenderedPageBreak/>
              <w:t>Белгия</w:t>
            </w:r>
          </w:p>
        </w:tc>
        <w:tc>
          <w:tcPr>
            <w:tcW w:w="794" w:type="pct"/>
            <w:tcBorders>
              <w:top w:val="nil"/>
              <w:left w:val="nil"/>
              <w:bottom w:val="single" w:sz="4" w:space="0" w:color="auto"/>
              <w:right w:val="single" w:sz="4" w:space="0" w:color="auto"/>
            </w:tcBorders>
            <w:shd w:val="clear" w:color="auto" w:fill="auto"/>
            <w:noWrap/>
            <w:vAlign w:val="center"/>
            <w:hideMark/>
          </w:tcPr>
          <w:p w14:paraId="6E6AA0DE" w14:textId="77777777" w:rsidR="00FE123E" w:rsidRPr="00FE123E" w:rsidRDefault="00FE123E" w:rsidP="00FE123E">
            <w:pPr>
              <w:jc w:val="right"/>
              <w:rPr>
                <w:rFonts w:ascii="Arial Narrow" w:hAnsi="Arial Narrow" w:cs="Arial"/>
                <w:sz w:val="20"/>
                <w:szCs w:val="20"/>
              </w:rPr>
            </w:pPr>
            <w:r w:rsidRPr="00FE123E">
              <w:rPr>
                <w:rFonts w:ascii="Arial Narrow" w:hAnsi="Arial Narrow" w:cs="Arial"/>
                <w:sz w:val="20"/>
                <w:szCs w:val="20"/>
              </w:rPr>
              <w:t>428 602</w:t>
            </w:r>
          </w:p>
        </w:tc>
        <w:tc>
          <w:tcPr>
            <w:tcW w:w="794" w:type="pct"/>
            <w:tcBorders>
              <w:top w:val="nil"/>
              <w:left w:val="nil"/>
              <w:bottom w:val="single" w:sz="4" w:space="0" w:color="auto"/>
              <w:right w:val="single" w:sz="4" w:space="0" w:color="auto"/>
            </w:tcBorders>
            <w:shd w:val="clear" w:color="auto" w:fill="auto"/>
            <w:noWrap/>
            <w:vAlign w:val="center"/>
            <w:hideMark/>
          </w:tcPr>
          <w:p w14:paraId="0BAA4802" w14:textId="77777777" w:rsidR="00FE123E" w:rsidRPr="00FE123E" w:rsidRDefault="00FE123E" w:rsidP="00FE123E">
            <w:pPr>
              <w:jc w:val="right"/>
              <w:rPr>
                <w:rFonts w:ascii="Arial Narrow" w:hAnsi="Arial Narrow" w:cs="Arial"/>
                <w:sz w:val="20"/>
                <w:szCs w:val="20"/>
              </w:rPr>
            </w:pPr>
            <w:r w:rsidRPr="00FE123E">
              <w:rPr>
                <w:rFonts w:ascii="Arial Narrow" w:hAnsi="Arial Narrow" w:cs="Arial"/>
                <w:sz w:val="20"/>
                <w:szCs w:val="20"/>
              </w:rPr>
              <w:t>359 798</w:t>
            </w:r>
          </w:p>
        </w:tc>
        <w:tc>
          <w:tcPr>
            <w:tcW w:w="867" w:type="pct"/>
            <w:tcBorders>
              <w:top w:val="nil"/>
              <w:left w:val="nil"/>
              <w:bottom w:val="single" w:sz="4" w:space="0" w:color="auto"/>
              <w:right w:val="single" w:sz="4" w:space="0" w:color="auto"/>
            </w:tcBorders>
            <w:shd w:val="clear" w:color="auto" w:fill="auto"/>
            <w:noWrap/>
            <w:vAlign w:val="center"/>
            <w:hideMark/>
          </w:tcPr>
          <w:p w14:paraId="1E9922CF" w14:textId="77777777" w:rsidR="00FE123E" w:rsidRPr="00FE123E" w:rsidRDefault="00FE123E" w:rsidP="00FE123E">
            <w:pPr>
              <w:jc w:val="right"/>
              <w:rPr>
                <w:rFonts w:ascii="Arial Narrow" w:hAnsi="Arial Narrow" w:cs="Arial"/>
                <w:sz w:val="20"/>
                <w:szCs w:val="20"/>
              </w:rPr>
            </w:pPr>
            <w:r w:rsidRPr="00FE123E">
              <w:rPr>
                <w:rFonts w:ascii="Arial Narrow" w:hAnsi="Arial Narrow" w:cs="Arial"/>
                <w:sz w:val="20"/>
                <w:szCs w:val="20"/>
              </w:rPr>
              <w:t>-68 804</w:t>
            </w:r>
          </w:p>
        </w:tc>
        <w:tc>
          <w:tcPr>
            <w:tcW w:w="722" w:type="pct"/>
            <w:tcBorders>
              <w:top w:val="nil"/>
              <w:left w:val="nil"/>
              <w:bottom w:val="single" w:sz="4" w:space="0" w:color="auto"/>
              <w:right w:val="single" w:sz="4" w:space="0" w:color="auto"/>
            </w:tcBorders>
            <w:shd w:val="clear" w:color="auto" w:fill="auto"/>
            <w:noWrap/>
            <w:vAlign w:val="center"/>
            <w:hideMark/>
          </w:tcPr>
          <w:p w14:paraId="73D92DDF" w14:textId="77777777" w:rsidR="00FE123E" w:rsidRPr="00FE123E" w:rsidRDefault="00FE123E" w:rsidP="00FE123E">
            <w:pPr>
              <w:jc w:val="right"/>
              <w:rPr>
                <w:rFonts w:ascii="Arial Narrow" w:hAnsi="Arial Narrow" w:cs="Arial"/>
                <w:sz w:val="20"/>
                <w:szCs w:val="20"/>
              </w:rPr>
            </w:pPr>
            <w:r w:rsidRPr="00FE123E">
              <w:rPr>
                <w:rFonts w:ascii="Arial Narrow" w:hAnsi="Arial Narrow" w:cs="Arial"/>
                <w:sz w:val="20"/>
                <w:szCs w:val="20"/>
              </w:rPr>
              <w:t>-16,1%</w:t>
            </w:r>
          </w:p>
        </w:tc>
      </w:tr>
      <w:tr w:rsidR="00FE123E" w:rsidRPr="00FE123E" w14:paraId="214365F6" w14:textId="77777777" w:rsidTr="00CD44F3">
        <w:trPr>
          <w:trHeight w:val="360"/>
        </w:trPr>
        <w:tc>
          <w:tcPr>
            <w:tcW w:w="1823" w:type="pct"/>
            <w:tcBorders>
              <w:top w:val="nil"/>
              <w:left w:val="single" w:sz="4" w:space="0" w:color="auto"/>
              <w:bottom w:val="single" w:sz="4" w:space="0" w:color="auto"/>
              <w:right w:val="single" w:sz="4" w:space="0" w:color="auto"/>
            </w:tcBorders>
            <w:shd w:val="clear" w:color="auto" w:fill="auto"/>
            <w:noWrap/>
            <w:vAlign w:val="center"/>
            <w:hideMark/>
          </w:tcPr>
          <w:p w14:paraId="3BF91618" w14:textId="77777777" w:rsidR="00FE123E" w:rsidRPr="00FE123E" w:rsidRDefault="00FE123E" w:rsidP="00FE123E">
            <w:pPr>
              <w:ind w:firstLineChars="100" w:firstLine="200"/>
              <w:rPr>
                <w:rFonts w:ascii="Arial Narrow" w:hAnsi="Arial Narrow" w:cs="Arial"/>
                <w:sz w:val="20"/>
                <w:szCs w:val="20"/>
              </w:rPr>
            </w:pPr>
            <w:r w:rsidRPr="00FE123E">
              <w:rPr>
                <w:rFonts w:ascii="Arial Narrow" w:hAnsi="Arial Narrow" w:cs="Arial"/>
                <w:sz w:val="20"/>
                <w:szCs w:val="20"/>
              </w:rPr>
              <w:t>Нидерландия</w:t>
            </w:r>
          </w:p>
        </w:tc>
        <w:tc>
          <w:tcPr>
            <w:tcW w:w="794" w:type="pct"/>
            <w:tcBorders>
              <w:top w:val="nil"/>
              <w:left w:val="nil"/>
              <w:bottom w:val="single" w:sz="4" w:space="0" w:color="auto"/>
              <w:right w:val="single" w:sz="4" w:space="0" w:color="auto"/>
            </w:tcBorders>
            <w:shd w:val="clear" w:color="auto" w:fill="auto"/>
            <w:noWrap/>
            <w:vAlign w:val="center"/>
            <w:hideMark/>
          </w:tcPr>
          <w:p w14:paraId="5DD15A87" w14:textId="77777777" w:rsidR="00FE123E" w:rsidRPr="00FE123E" w:rsidRDefault="00FE123E" w:rsidP="00FE123E">
            <w:pPr>
              <w:jc w:val="right"/>
              <w:rPr>
                <w:rFonts w:ascii="Arial Narrow" w:hAnsi="Arial Narrow" w:cs="Arial"/>
                <w:sz w:val="20"/>
                <w:szCs w:val="20"/>
              </w:rPr>
            </w:pPr>
            <w:r w:rsidRPr="00FE123E">
              <w:rPr>
                <w:rFonts w:ascii="Arial Narrow" w:hAnsi="Arial Narrow" w:cs="Arial"/>
                <w:sz w:val="20"/>
                <w:szCs w:val="20"/>
              </w:rPr>
              <w:t>183 611</w:t>
            </w:r>
          </w:p>
        </w:tc>
        <w:tc>
          <w:tcPr>
            <w:tcW w:w="794" w:type="pct"/>
            <w:tcBorders>
              <w:top w:val="nil"/>
              <w:left w:val="nil"/>
              <w:bottom w:val="single" w:sz="4" w:space="0" w:color="auto"/>
              <w:right w:val="single" w:sz="4" w:space="0" w:color="auto"/>
            </w:tcBorders>
            <w:shd w:val="clear" w:color="auto" w:fill="auto"/>
            <w:noWrap/>
            <w:vAlign w:val="center"/>
            <w:hideMark/>
          </w:tcPr>
          <w:p w14:paraId="438AD5A5" w14:textId="77777777" w:rsidR="00FE123E" w:rsidRPr="00FE123E" w:rsidRDefault="00FE123E" w:rsidP="00FE123E">
            <w:pPr>
              <w:jc w:val="right"/>
              <w:rPr>
                <w:rFonts w:ascii="Arial Narrow" w:hAnsi="Arial Narrow" w:cs="Arial"/>
                <w:sz w:val="20"/>
                <w:szCs w:val="20"/>
              </w:rPr>
            </w:pPr>
            <w:r w:rsidRPr="00FE123E">
              <w:rPr>
                <w:rFonts w:ascii="Arial Narrow" w:hAnsi="Arial Narrow" w:cs="Arial"/>
                <w:sz w:val="20"/>
                <w:szCs w:val="20"/>
              </w:rPr>
              <w:t>250 554</w:t>
            </w:r>
          </w:p>
        </w:tc>
        <w:tc>
          <w:tcPr>
            <w:tcW w:w="867" w:type="pct"/>
            <w:tcBorders>
              <w:top w:val="nil"/>
              <w:left w:val="nil"/>
              <w:bottom w:val="single" w:sz="4" w:space="0" w:color="auto"/>
              <w:right w:val="single" w:sz="4" w:space="0" w:color="auto"/>
            </w:tcBorders>
            <w:shd w:val="clear" w:color="auto" w:fill="auto"/>
            <w:noWrap/>
            <w:vAlign w:val="center"/>
            <w:hideMark/>
          </w:tcPr>
          <w:p w14:paraId="4032E44C" w14:textId="77777777" w:rsidR="00FE123E" w:rsidRPr="00FE123E" w:rsidRDefault="00FE123E" w:rsidP="00FE123E">
            <w:pPr>
              <w:jc w:val="right"/>
              <w:rPr>
                <w:rFonts w:ascii="Arial Narrow" w:hAnsi="Arial Narrow" w:cs="Arial"/>
                <w:sz w:val="20"/>
                <w:szCs w:val="20"/>
              </w:rPr>
            </w:pPr>
            <w:r w:rsidRPr="00FE123E">
              <w:rPr>
                <w:rFonts w:ascii="Arial Narrow" w:hAnsi="Arial Narrow" w:cs="Arial"/>
                <w:sz w:val="20"/>
                <w:szCs w:val="20"/>
              </w:rPr>
              <w:t>66 943</w:t>
            </w:r>
          </w:p>
        </w:tc>
        <w:tc>
          <w:tcPr>
            <w:tcW w:w="722" w:type="pct"/>
            <w:tcBorders>
              <w:top w:val="nil"/>
              <w:left w:val="nil"/>
              <w:bottom w:val="single" w:sz="4" w:space="0" w:color="auto"/>
              <w:right w:val="single" w:sz="4" w:space="0" w:color="auto"/>
            </w:tcBorders>
            <w:shd w:val="clear" w:color="auto" w:fill="auto"/>
            <w:noWrap/>
            <w:vAlign w:val="center"/>
            <w:hideMark/>
          </w:tcPr>
          <w:p w14:paraId="7B6D0AC7" w14:textId="77777777" w:rsidR="00FE123E" w:rsidRPr="00FE123E" w:rsidRDefault="00FE123E" w:rsidP="00FE123E">
            <w:pPr>
              <w:jc w:val="right"/>
              <w:rPr>
                <w:rFonts w:ascii="Arial Narrow" w:hAnsi="Arial Narrow" w:cs="Arial"/>
                <w:sz w:val="20"/>
                <w:szCs w:val="20"/>
              </w:rPr>
            </w:pPr>
            <w:r w:rsidRPr="00FE123E">
              <w:rPr>
                <w:rFonts w:ascii="Arial Narrow" w:hAnsi="Arial Narrow" w:cs="Arial"/>
                <w:sz w:val="20"/>
                <w:szCs w:val="20"/>
              </w:rPr>
              <w:t>36,5%</w:t>
            </w:r>
          </w:p>
        </w:tc>
      </w:tr>
      <w:tr w:rsidR="00FE123E" w:rsidRPr="00FE123E" w14:paraId="76B83D96" w14:textId="77777777" w:rsidTr="00CD44F3">
        <w:trPr>
          <w:trHeight w:val="360"/>
        </w:trPr>
        <w:tc>
          <w:tcPr>
            <w:tcW w:w="1823" w:type="pct"/>
            <w:tcBorders>
              <w:top w:val="nil"/>
              <w:left w:val="single" w:sz="4" w:space="0" w:color="auto"/>
              <w:bottom w:val="single" w:sz="4" w:space="0" w:color="auto"/>
              <w:right w:val="single" w:sz="4" w:space="0" w:color="auto"/>
            </w:tcBorders>
            <w:shd w:val="clear" w:color="auto" w:fill="auto"/>
            <w:noWrap/>
            <w:vAlign w:val="center"/>
            <w:hideMark/>
          </w:tcPr>
          <w:p w14:paraId="31AB56F9" w14:textId="77777777" w:rsidR="00FE123E" w:rsidRPr="00FE123E" w:rsidRDefault="00FE123E" w:rsidP="00FE123E">
            <w:pPr>
              <w:ind w:firstLineChars="100" w:firstLine="200"/>
              <w:rPr>
                <w:rFonts w:ascii="Arial Narrow" w:hAnsi="Arial Narrow" w:cs="Arial"/>
                <w:sz w:val="20"/>
                <w:szCs w:val="20"/>
              </w:rPr>
            </w:pPr>
            <w:r w:rsidRPr="00FE123E">
              <w:rPr>
                <w:rFonts w:ascii="Arial Narrow" w:hAnsi="Arial Narrow" w:cs="Arial"/>
                <w:sz w:val="20"/>
                <w:szCs w:val="20"/>
              </w:rPr>
              <w:t>Италия</w:t>
            </w:r>
          </w:p>
        </w:tc>
        <w:tc>
          <w:tcPr>
            <w:tcW w:w="794" w:type="pct"/>
            <w:tcBorders>
              <w:top w:val="nil"/>
              <w:left w:val="nil"/>
              <w:bottom w:val="single" w:sz="4" w:space="0" w:color="auto"/>
              <w:right w:val="single" w:sz="4" w:space="0" w:color="auto"/>
            </w:tcBorders>
            <w:shd w:val="clear" w:color="auto" w:fill="auto"/>
            <w:noWrap/>
            <w:vAlign w:val="center"/>
            <w:hideMark/>
          </w:tcPr>
          <w:p w14:paraId="153468AC" w14:textId="77777777" w:rsidR="00FE123E" w:rsidRPr="00FE123E" w:rsidRDefault="00FE123E" w:rsidP="00FE123E">
            <w:pPr>
              <w:jc w:val="right"/>
              <w:rPr>
                <w:rFonts w:ascii="Arial Narrow" w:hAnsi="Arial Narrow" w:cs="Arial"/>
                <w:sz w:val="20"/>
                <w:szCs w:val="20"/>
              </w:rPr>
            </w:pPr>
            <w:r w:rsidRPr="00FE123E">
              <w:rPr>
                <w:rFonts w:ascii="Arial Narrow" w:hAnsi="Arial Narrow" w:cs="Arial"/>
                <w:sz w:val="20"/>
                <w:szCs w:val="20"/>
              </w:rPr>
              <w:t>117 315</w:t>
            </w:r>
          </w:p>
        </w:tc>
        <w:tc>
          <w:tcPr>
            <w:tcW w:w="794" w:type="pct"/>
            <w:tcBorders>
              <w:top w:val="nil"/>
              <w:left w:val="nil"/>
              <w:bottom w:val="single" w:sz="4" w:space="0" w:color="auto"/>
              <w:right w:val="single" w:sz="4" w:space="0" w:color="auto"/>
            </w:tcBorders>
            <w:shd w:val="clear" w:color="auto" w:fill="auto"/>
            <w:noWrap/>
            <w:vAlign w:val="center"/>
            <w:hideMark/>
          </w:tcPr>
          <w:p w14:paraId="16A05CA3" w14:textId="77777777" w:rsidR="00FE123E" w:rsidRPr="00FE123E" w:rsidRDefault="00FE123E" w:rsidP="00FE123E">
            <w:pPr>
              <w:jc w:val="right"/>
              <w:rPr>
                <w:rFonts w:ascii="Arial Narrow" w:hAnsi="Arial Narrow" w:cs="Arial"/>
                <w:sz w:val="20"/>
                <w:szCs w:val="20"/>
              </w:rPr>
            </w:pPr>
            <w:r w:rsidRPr="00FE123E">
              <w:rPr>
                <w:rFonts w:ascii="Arial Narrow" w:hAnsi="Arial Narrow" w:cs="Arial"/>
                <w:sz w:val="20"/>
                <w:szCs w:val="20"/>
              </w:rPr>
              <w:t>109 064</w:t>
            </w:r>
          </w:p>
        </w:tc>
        <w:tc>
          <w:tcPr>
            <w:tcW w:w="867" w:type="pct"/>
            <w:tcBorders>
              <w:top w:val="nil"/>
              <w:left w:val="nil"/>
              <w:bottom w:val="single" w:sz="4" w:space="0" w:color="auto"/>
              <w:right w:val="single" w:sz="4" w:space="0" w:color="auto"/>
            </w:tcBorders>
            <w:shd w:val="clear" w:color="auto" w:fill="auto"/>
            <w:noWrap/>
            <w:vAlign w:val="center"/>
            <w:hideMark/>
          </w:tcPr>
          <w:p w14:paraId="210E9E00" w14:textId="77777777" w:rsidR="00FE123E" w:rsidRPr="00FE123E" w:rsidRDefault="00FE123E" w:rsidP="00FE123E">
            <w:pPr>
              <w:jc w:val="right"/>
              <w:rPr>
                <w:rFonts w:ascii="Arial Narrow" w:hAnsi="Arial Narrow" w:cs="Arial"/>
                <w:sz w:val="20"/>
                <w:szCs w:val="20"/>
              </w:rPr>
            </w:pPr>
            <w:r w:rsidRPr="00FE123E">
              <w:rPr>
                <w:rFonts w:ascii="Arial Narrow" w:hAnsi="Arial Narrow" w:cs="Arial"/>
                <w:sz w:val="20"/>
                <w:szCs w:val="20"/>
              </w:rPr>
              <w:t>-8 251</w:t>
            </w:r>
          </w:p>
        </w:tc>
        <w:tc>
          <w:tcPr>
            <w:tcW w:w="722" w:type="pct"/>
            <w:tcBorders>
              <w:top w:val="nil"/>
              <w:left w:val="nil"/>
              <w:bottom w:val="single" w:sz="4" w:space="0" w:color="auto"/>
              <w:right w:val="single" w:sz="4" w:space="0" w:color="auto"/>
            </w:tcBorders>
            <w:shd w:val="clear" w:color="auto" w:fill="auto"/>
            <w:noWrap/>
            <w:vAlign w:val="center"/>
            <w:hideMark/>
          </w:tcPr>
          <w:p w14:paraId="48D03619" w14:textId="77777777" w:rsidR="00FE123E" w:rsidRPr="00FE123E" w:rsidRDefault="00FE123E" w:rsidP="00FE123E">
            <w:pPr>
              <w:jc w:val="right"/>
              <w:rPr>
                <w:rFonts w:ascii="Arial Narrow" w:hAnsi="Arial Narrow" w:cs="Arial"/>
                <w:sz w:val="20"/>
                <w:szCs w:val="20"/>
              </w:rPr>
            </w:pPr>
            <w:r w:rsidRPr="00FE123E">
              <w:rPr>
                <w:rFonts w:ascii="Arial Narrow" w:hAnsi="Arial Narrow" w:cs="Arial"/>
                <w:sz w:val="20"/>
                <w:szCs w:val="20"/>
              </w:rPr>
              <w:t>-7,0%</w:t>
            </w:r>
          </w:p>
        </w:tc>
      </w:tr>
      <w:tr w:rsidR="00FE123E" w:rsidRPr="00FE123E" w14:paraId="36709E31" w14:textId="77777777" w:rsidTr="00CD44F3">
        <w:trPr>
          <w:trHeight w:val="360"/>
        </w:trPr>
        <w:tc>
          <w:tcPr>
            <w:tcW w:w="1823" w:type="pct"/>
            <w:tcBorders>
              <w:top w:val="nil"/>
              <w:left w:val="single" w:sz="4" w:space="0" w:color="auto"/>
              <w:bottom w:val="single" w:sz="4" w:space="0" w:color="auto"/>
              <w:right w:val="single" w:sz="4" w:space="0" w:color="auto"/>
            </w:tcBorders>
            <w:shd w:val="clear" w:color="auto" w:fill="auto"/>
            <w:noWrap/>
            <w:vAlign w:val="center"/>
            <w:hideMark/>
          </w:tcPr>
          <w:p w14:paraId="151FA1E6" w14:textId="77777777" w:rsidR="00FE123E" w:rsidRPr="00FE123E" w:rsidRDefault="00FE123E" w:rsidP="00FE123E">
            <w:pPr>
              <w:ind w:firstLineChars="100" w:firstLine="200"/>
              <w:rPr>
                <w:rFonts w:ascii="Arial Narrow" w:hAnsi="Arial Narrow" w:cs="Arial"/>
                <w:sz w:val="20"/>
                <w:szCs w:val="20"/>
              </w:rPr>
            </w:pPr>
            <w:r w:rsidRPr="00FE123E">
              <w:rPr>
                <w:rFonts w:ascii="Arial Narrow" w:hAnsi="Arial Narrow" w:cs="Arial"/>
                <w:sz w:val="20"/>
                <w:szCs w:val="20"/>
              </w:rPr>
              <w:t>Чехия</w:t>
            </w:r>
          </w:p>
        </w:tc>
        <w:tc>
          <w:tcPr>
            <w:tcW w:w="794" w:type="pct"/>
            <w:tcBorders>
              <w:top w:val="nil"/>
              <w:left w:val="nil"/>
              <w:bottom w:val="single" w:sz="4" w:space="0" w:color="auto"/>
              <w:right w:val="single" w:sz="4" w:space="0" w:color="auto"/>
            </w:tcBorders>
            <w:shd w:val="clear" w:color="auto" w:fill="auto"/>
            <w:noWrap/>
            <w:vAlign w:val="center"/>
            <w:hideMark/>
          </w:tcPr>
          <w:p w14:paraId="7992B883" w14:textId="77777777" w:rsidR="00FE123E" w:rsidRPr="00FE123E" w:rsidRDefault="00FE123E" w:rsidP="00FE123E">
            <w:pPr>
              <w:jc w:val="right"/>
              <w:rPr>
                <w:rFonts w:ascii="Arial Narrow" w:hAnsi="Arial Narrow" w:cs="Arial"/>
                <w:sz w:val="20"/>
                <w:szCs w:val="20"/>
              </w:rPr>
            </w:pPr>
            <w:r w:rsidRPr="00FE123E">
              <w:rPr>
                <w:rFonts w:ascii="Arial Narrow" w:hAnsi="Arial Narrow" w:cs="Arial"/>
                <w:sz w:val="20"/>
                <w:szCs w:val="20"/>
              </w:rPr>
              <w:t>1 042 302</w:t>
            </w:r>
          </w:p>
        </w:tc>
        <w:tc>
          <w:tcPr>
            <w:tcW w:w="794" w:type="pct"/>
            <w:tcBorders>
              <w:top w:val="nil"/>
              <w:left w:val="nil"/>
              <w:bottom w:val="single" w:sz="4" w:space="0" w:color="auto"/>
              <w:right w:val="single" w:sz="4" w:space="0" w:color="auto"/>
            </w:tcBorders>
            <w:shd w:val="clear" w:color="auto" w:fill="auto"/>
            <w:noWrap/>
            <w:vAlign w:val="center"/>
            <w:hideMark/>
          </w:tcPr>
          <w:p w14:paraId="0CBD7021" w14:textId="77777777" w:rsidR="00FE123E" w:rsidRPr="00FE123E" w:rsidRDefault="00FE123E" w:rsidP="00FE123E">
            <w:pPr>
              <w:jc w:val="right"/>
              <w:rPr>
                <w:rFonts w:ascii="Arial Narrow" w:hAnsi="Arial Narrow" w:cs="Arial"/>
                <w:sz w:val="20"/>
                <w:szCs w:val="20"/>
              </w:rPr>
            </w:pPr>
            <w:r w:rsidRPr="00FE123E">
              <w:rPr>
                <w:rFonts w:ascii="Arial Narrow" w:hAnsi="Arial Narrow" w:cs="Arial"/>
                <w:sz w:val="20"/>
                <w:szCs w:val="20"/>
              </w:rPr>
              <w:t>66 656</w:t>
            </w:r>
          </w:p>
        </w:tc>
        <w:tc>
          <w:tcPr>
            <w:tcW w:w="867" w:type="pct"/>
            <w:tcBorders>
              <w:top w:val="nil"/>
              <w:left w:val="nil"/>
              <w:bottom w:val="single" w:sz="4" w:space="0" w:color="auto"/>
              <w:right w:val="single" w:sz="4" w:space="0" w:color="auto"/>
            </w:tcBorders>
            <w:shd w:val="clear" w:color="auto" w:fill="auto"/>
            <w:noWrap/>
            <w:vAlign w:val="center"/>
            <w:hideMark/>
          </w:tcPr>
          <w:p w14:paraId="5A836340" w14:textId="77777777" w:rsidR="00FE123E" w:rsidRPr="00FE123E" w:rsidRDefault="00FE123E" w:rsidP="00FE123E">
            <w:pPr>
              <w:jc w:val="right"/>
              <w:rPr>
                <w:rFonts w:ascii="Arial Narrow" w:hAnsi="Arial Narrow" w:cs="Arial"/>
                <w:sz w:val="20"/>
                <w:szCs w:val="20"/>
              </w:rPr>
            </w:pPr>
            <w:r w:rsidRPr="00FE123E">
              <w:rPr>
                <w:rFonts w:ascii="Arial Narrow" w:hAnsi="Arial Narrow" w:cs="Arial"/>
                <w:sz w:val="20"/>
                <w:szCs w:val="20"/>
              </w:rPr>
              <w:t>-975 646</w:t>
            </w:r>
          </w:p>
        </w:tc>
        <w:tc>
          <w:tcPr>
            <w:tcW w:w="722" w:type="pct"/>
            <w:tcBorders>
              <w:top w:val="nil"/>
              <w:left w:val="nil"/>
              <w:bottom w:val="single" w:sz="4" w:space="0" w:color="auto"/>
              <w:right w:val="single" w:sz="4" w:space="0" w:color="auto"/>
            </w:tcBorders>
            <w:shd w:val="clear" w:color="auto" w:fill="auto"/>
            <w:noWrap/>
            <w:vAlign w:val="center"/>
            <w:hideMark/>
          </w:tcPr>
          <w:p w14:paraId="7D83701A" w14:textId="77777777" w:rsidR="00FE123E" w:rsidRPr="00FE123E" w:rsidRDefault="00FE123E" w:rsidP="00FE123E">
            <w:pPr>
              <w:jc w:val="right"/>
              <w:rPr>
                <w:rFonts w:ascii="Arial Narrow" w:hAnsi="Arial Narrow" w:cs="Arial"/>
                <w:sz w:val="20"/>
                <w:szCs w:val="20"/>
              </w:rPr>
            </w:pPr>
            <w:r w:rsidRPr="00FE123E">
              <w:rPr>
                <w:rFonts w:ascii="Arial Narrow" w:hAnsi="Arial Narrow" w:cs="Arial"/>
                <w:sz w:val="20"/>
                <w:szCs w:val="20"/>
              </w:rPr>
              <w:t>-93,6%</w:t>
            </w:r>
          </w:p>
        </w:tc>
      </w:tr>
      <w:tr w:rsidR="00FE123E" w:rsidRPr="00FE123E" w14:paraId="154A5A0D" w14:textId="77777777" w:rsidTr="00CD44F3">
        <w:trPr>
          <w:trHeight w:val="360"/>
        </w:trPr>
        <w:tc>
          <w:tcPr>
            <w:tcW w:w="1823" w:type="pct"/>
            <w:tcBorders>
              <w:top w:val="nil"/>
              <w:left w:val="single" w:sz="4" w:space="0" w:color="auto"/>
              <w:bottom w:val="single" w:sz="4" w:space="0" w:color="auto"/>
              <w:right w:val="single" w:sz="4" w:space="0" w:color="auto"/>
            </w:tcBorders>
            <w:shd w:val="clear" w:color="auto" w:fill="auto"/>
            <w:noWrap/>
            <w:vAlign w:val="center"/>
            <w:hideMark/>
          </w:tcPr>
          <w:p w14:paraId="19718450" w14:textId="77777777" w:rsidR="00FE123E" w:rsidRPr="00FE123E" w:rsidRDefault="00FE123E" w:rsidP="00FE123E">
            <w:pPr>
              <w:ind w:firstLineChars="100" w:firstLine="200"/>
              <w:rPr>
                <w:rFonts w:ascii="Arial Narrow" w:hAnsi="Arial Narrow" w:cs="Arial"/>
                <w:sz w:val="20"/>
                <w:szCs w:val="20"/>
              </w:rPr>
            </w:pPr>
            <w:r w:rsidRPr="00FE123E">
              <w:rPr>
                <w:rFonts w:ascii="Arial Narrow" w:hAnsi="Arial Narrow" w:cs="Arial"/>
                <w:sz w:val="20"/>
                <w:szCs w:val="20"/>
              </w:rPr>
              <w:t>Германия</w:t>
            </w:r>
          </w:p>
        </w:tc>
        <w:tc>
          <w:tcPr>
            <w:tcW w:w="794" w:type="pct"/>
            <w:tcBorders>
              <w:top w:val="nil"/>
              <w:left w:val="nil"/>
              <w:bottom w:val="single" w:sz="4" w:space="0" w:color="auto"/>
              <w:right w:val="single" w:sz="4" w:space="0" w:color="auto"/>
            </w:tcBorders>
            <w:shd w:val="clear" w:color="auto" w:fill="auto"/>
            <w:noWrap/>
            <w:vAlign w:val="center"/>
            <w:hideMark/>
          </w:tcPr>
          <w:p w14:paraId="32EDA19E" w14:textId="77777777" w:rsidR="00FE123E" w:rsidRPr="00FE123E" w:rsidRDefault="00FE123E" w:rsidP="00FE123E">
            <w:pPr>
              <w:jc w:val="right"/>
              <w:rPr>
                <w:rFonts w:ascii="Arial Narrow" w:hAnsi="Arial Narrow" w:cs="Arial"/>
                <w:sz w:val="20"/>
                <w:szCs w:val="20"/>
              </w:rPr>
            </w:pPr>
            <w:r w:rsidRPr="00FE123E">
              <w:rPr>
                <w:rFonts w:ascii="Arial Narrow" w:hAnsi="Arial Narrow" w:cs="Arial"/>
                <w:sz w:val="20"/>
                <w:szCs w:val="20"/>
              </w:rPr>
              <w:t>136 457</w:t>
            </w:r>
          </w:p>
        </w:tc>
        <w:tc>
          <w:tcPr>
            <w:tcW w:w="794" w:type="pct"/>
            <w:tcBorders>
              <w:top w:val="nil"/>
              <w:left w:val="nil"/>
              <w:bottom w:val="single" w:sz="4" w:space="0" w:color="auto"/>
              <w:right w:val="single" w:sz="4" w:space="0" w:color="auto"/>
            </w:tcBorders>
            <w:shd w:val="clear" w:color="auto" w:fill="auto"/>
            <w:noWrap/>
            <w:vAlign w:val="center"/>
            <w:hideMark/>
          </w:tcPr>
          <w:p w14:paraId="615DF8D9" w14:textId="77777777" w:rsidR="00FE123E" w:rsidRPr="00FE123E" w:rsidRDefault="00FE123E" w:rsidP="00FE123E">
            <w:pPr>
              <w:jc w:val="right"/>
              <w:rPr>
                <w:rFonts w:ascii="Arial Narrow" w:hAnsi="Arial Narrow" w:cs="Arial"/>
                <w:sz w:val="20"/>
                <w:szCs w:val="20"/>
              </w:rPr>
            </w:pPr>
            <w:r w:rsidRPr="00FE123E">
              <w:rPr>
                <w:rFonts w:ascii="Arial Narrow" w:hAnsi="Arial Narrow" w:cs="Arial"/>
                <w:sz w:val="20"/>
                <w:szCs w:val="20"/>
              </w:rPr>
              <w:t>61 630</w:t>
            </w:r>
          </w:p>
        </w:tc>
        <w:tc>
          <w:tcPr>
            <w:tcW w:w="867" w:type="pct"/>
            <w:tcBorders>
              <w:top w:val="nil"/>
              <w:left w:val="nil"/>
              <w:bottom w:val="single" w:sz="4" w:space="0" w:color="auto"/>
              <w:right w:val="single" w:sz="4" w:space="0" w:color="auto"/>
            </w:tcBorders>
            <w:shd w:val="clear" w:color="auto" w:fill="auto"/>
            <w:noWrap/>
            <w:vAlign w:val="center"/>
            <w:hideMark/>
          </w:tcPr>
          <w:p w14:paraId="6D207D7D" w14:textId="77777777" w:rsidR="00FE123E" w:rsidRPr="00FE123E" w:rsidRDefault="00FE123E" w:rsidP="00FE123E">
            <w:pPr>
              <w:jc w:val="right"/>
              <w:rPr>
                <w:rFonts w:ascii="Arial Narrow" w:hAnsi="Arial Narrow" w:cs="Arial"/>
                <w:sz w:val="20"/>
                <w:szCs w:val="20"/>
              </w:rPr>
            </w:pPr>
            <w:r w:rsidRPr="00FE123E">
              <w:rPr>
                <w:rFonts w:ascii="Arial Narrow" w:hAnsi="Arial Narrow" w:cs="Arial"/>
                <w:sz w:val="20"/>
                <w:szCs w:val="20"/>
              </w:rPr>
              <w:t>-74 827</w:t>
            </w:r>
          </w:p>
        </w:tc>
        <w:tc>
          <w:tcPr>
            <w:tcW w:w="722" w:type="pct"/>
            <w:tcBorders>
              <w:top w:val="nil"/>
              <w:left w:val="nil"/>
              <w:bottom w:val="single" w:sz="4" w:space="0" w:color="auto"/>
              <w:right w:val="single" w:sz="4" w:space="0" w:color="auto"/>
            </w:tcBorders>
            <w:shd w:val="clear" w:color="auto" w:fill="auto"/>
            <w:noWrap/>
            <w:vAlign w:val="center"/>
            <w:hideMark/>
          </w:tcPr>
          <w:p w14:paraId="127B0A64" w14:textId="77777777" w:rsidR="00FE123E" w:rsidRPr="00FE123E" w:rsidRDefault="00FE123E" w:rsidP="00FE123E">
            <w:pPr>
              <w:jc w:val="right"/>
              <w:rPr>
                <w:rFonts w:ascii="Arial Narrow" w:hAnsi="Arial Narrow" w:cs="Arial"/>
                <w:sz w:val="20"/>
                <w:szCs w:val="20"/>
              </w:rPr>
            </w:pPr>
            <w:r w:rsidRPr="00FE123E">
              <w:rPr>
                <w:rFonts w:ascii="Arial Narrow" w:hAnsi="Arial Narrow" w:cs="Arial"/>
                <w:sz w:val="20"/>
                <w:szCs w:val="20"/>
              </w:rPr>
              <w:t>-54,8%</w:t>
            </w:r>
          </w:p>
        </w:tc>
      </w:tr>
      <w:tr w:rsidR="00FE123E" w:rsidRPr="00FE123E" w14:paraId="2D7CF65B" w14:textId="77777777" w:rsidTr="00CD44F3">
        <w:trPr>
          <w:trHeight w:val="360"/>
        </w:trPr>
        <w:tc>
          <w:tcPr>
            <w:tcW w:w="1823" w:type="pct"/>
            <w:tcBorders>
              <w:top w:val="nil"/>
              <w:left w:val="single" w:sz="4" w:space="0" w:color="auto"/>
              <w:bottom w:val="single" w:sz="4" w:space="0" w:color="auto"/>
              <w:right w:val="single" w:sz="4" w:space="0" w:color="auto"/>
            </w:tcBorders>
            <w:shd w:val="clear" w:color="auto" w:fill="auto"/>
            <w:noWrap/>
            <w:vAlign w:val="center"/>
            <w:hideMark/>
          </w:tcPr>
          <w:p w14:paraId="606D4F48" w14:textId="77777777" w:rsidR="00FE123E" w:rsidRPr="00FE123E" w:rsidRDefault="00FE123E" w:rsidP="00FE123E">
            <w:pPr>
              <w:ind w:firstLineChars="100" w:firstLine="200"/>
              <w:rPr>
                <w:rFonts w:ascii="Arial Narrow" w:hAnsi="Arial Narrow" w:cs="Arial"/>
                <w:sz w:val="20"/>
                <w:szCs w:val="20"/>
              </w:rPr>
            </w:pPr>
            <w:r w:rsidRPr="00FE123E">
              <w:rPr>
                <w:rFonts w:ascii="Arial Narrow" w:hAnsi="Arial Narrow" w:cs="Arial"/>
                <w:sz w:val="20"/>
                <w:szCs w:val="20"/>
              </w:rPr>
              <w:t>Дания</w:t>
            </w:r>
          </w:p>
        </w:tc>
        <w:tc>
          <w:tcPr>
            <w:tcW w:w="794" w:type="pct"/>
            <w:tcBorders>
              <w:top w:val="nil"/>
              <w:left w:val="nil"/>
              <w:bottom w:val="single" w:sz="4" w:space="0" w:color="auto"/>
              <w:right w:val="single" w:sz="4" w:space="0" w:color="auto"/>
            </w:tcBorders>
            <w:shd w:val="clear" w:color="auto" w:fill="auto"/>
            <w:noWrap/>
            <w:vAlign w:val="center"/>
            <w:hideMark/>
          </w:tcPr>
          <w:p w14:paraId="5C875D96" w14:textId="77777777" w:rsidR="00FE123E" w:rsidRPr="00FE123E" w:rsidRDefault="00FE123E" w:rsidP="00FE123E">
            <w:pPr>
              <w:jc w:val="right"/>
              <w:rPr>
                <w:rFonts w:ascii="Arial Narrow" w:hAnsi="Arial Narrow" w:cs="Arial"/>
                <w:sz w:val="20"/>
                <w:szCs w:val="20"/>
              </w:rPr>
            </w:pPr>
            <w:r w:rsidRPr="00FE123E">
              <w:rPr>
                <w:rFonts w:ascii="Arial Narrow" w:hAnsi="Arial Narrow" w:cs="Arial"/>
                <w:sz w:val="20"/>
                <w:szCs w:val="20"/>
              </w:rPr>
              <w:t>60 888</w:t>
            </w:r>
          </w:p>
        </w:tc>
        <w:tc>
          <w:tcPr>
            <w:tcW w:w="794" w:type="pct"/>
            <w:tcBorders>
              <w:top w:val="nil"/>
              <w:left w:val="nil"/>
              <w:bottom w:val="single" w:sz="4" w:space="0" w:color="auto"/>
              <w:right w:val="single" w:sz="4" w:space="0" w:color="auto"/>
            </w:tcBorders>
            <w:shd w:val="clear" w:color="auto" w:fill="auto"/>
            <w:noWrap/>
            <w:vAlign w:val="center"/>
            <w:hideMark/>
          </w:tcPr>
          <w:p w14:paraId="501E3AED" w14:textId="77777777" w:rsidR="00FE123E" w:rsidRPr="00FE123E" w:rsidRDefault="00FE123E" w:rsidP="00FE123E">
            <w:pPr>
              <w:jc w:val="right"/>
              <w:rPr>
                <w:rFonts w:ascii="Arial Narrow" w:hAnsi="Arial Narrow" w:cs="Arial"/>
                <w:sz w:val="20"/>
                <w:szCs w:val="20"/>
              </w:rPr>
            </w:pPr>
            <w:r w:rsidRPr="00FE123E">
              <w:rPr>
                <w:rFonts w:ascii="Arial Narrow" w:hAnsi="Arial Narrow" w:cs="Arial"/>
                <w:sz w:val="20"/>
                <w:szCs w:val="20"/>
              </w:rPr>
              <w:t>37 830</w:t>
            </w:r>
          </w:p>
        </w:tc>
        <w:tc>
          <w:tcPr>
            <w:tcW w:w="867" w:type="pct"/>
            <w:tcBorders>
              <w:top w:val="nil"/>
              <w:left w:val="nil"/>
              <w:bottom w:val="single" w:sz="4" w:space="0" w:color="auto"/>
              <w:right w:val="single" w:sz="4" w:space="0" w:color="auto"/>
            </w:tcBorders>
            <w:shd w:val="clear" w:color="auto" w:fill="auto"/>
            <w:noWrap/>
            <w:vAlign w:val="center"/>
            <w:hideMark/>
          </w:tcPr>
          <w:p w14:paraId="32C78478" w14:textId="77777777" w:rsidR="00FE123E" w:rsidRPr="00FE123E" w:rsidRDefault="00FE123E" w:rsidP="00FE123E">
            <w:pPr>
              <w:jc w:val="right"/>
              <w:rPr>
                <w:rFonts w:ascii="Arial Narrow" w:hAnsi="Arial Narrow" w:cs="Arial"/>
                <w:sz w:val="20"/>
                <w:szCs w:val="20"/>
              </w:rPr>
            </w:pPr>
            <w:r w:rsidRPr="00FE123E">
              <w:rPr>
                <w:rFonts w:ascii="Arial Narrow" w:hAnsi="Arial Narrow" w:cs="Arial"/>
                <w:sz w:val="20"/>
                <w:szCs w:val="20"/>
              </w:rPr>
              <w:t>-23 058</w:t>
            </w:r>
          </w:p>
        </w:tc>
        <w:tc>
          <w:tcPr>
            <w:tcW w:w="722" w:type="pct"/>
            <w:tcBorders>
              <w:top w:val="nil"/>
              <w:left w:val="nil"/>
              <w:bottom w:val="single" w:sz="4" w:space="0" w:color="auto"/>
              <w:right w:val="single" w:sz="4" w:space="0" w:color="auto"/>
            </w:tcBorders>
            <w:shd w:val="clear" w:color="auto" w:fill="auto"/>
            <w:noWrap/>
            <w:vAlign w:val="center"/>
            <w:hideMark/>
          </w:tcPr>
          <w:p w14:paraId="2B31B86D" w14:textId="77777777" w:rsidR="00FE123E" w:rsidRPr="00FE123E" w:rsidRDefault="00FE123E" w:rsidP="00FE123E">
            <w:pPr>
              <w:jc w:val="right"/>
              <w:rPr>
                <w:rFonts w:ascii="Arial Narrow" w:hAnsi="Arial Narrow" w:cs="Arial"/>
                <w:sz w:val="20"/>
                <w:szCs w:val="20"/>
              </w:rPr>
            </w:pPr>
            <w:r w:rsidRPr="00FE123E">
              <w:rPr>
                <w:rFonts w:ascii="Arial Narrow" w:hAnsi="Arial Narrow" w:cs="Arial"/>
                <w:sz w:val="20"/>
                <w:szCs w:val="20"/>
              </w:rPr>
              <w:t>-37,9%</w:t>
            </w:r>
          </w:p>
        </w:tc>
      </w:tr>
      <w:tr w:rsidR="00FE123E" w:rsidRPr="00FE123E" w14:paraId="31C89EF8" w14:textId="77777777" w:rsidTr="00CD44F3">
        <w:trPr>
          <w:trHeight w:val="360"/>
        </w:trPr>
        <w:tc>
          <w:tcPr>
            <w:tcW w:w="1823" w:type="pct"/>
            <w:tcBorders>
              <w:top w:val="nil"/>
              <w:left w:val="single" w:sz="4" w:space="0" w:color="auto"/>
              <w:bottom w:val="single" w:sz="4" w:space="0" w:color="auto"/>
              <w:right w:val="single" w:sz="4" w:space="0" w:color="auto"/>
            </w:tcBorders>
            <w:shd w:val="clear" w:color="auto" w:fill="auto"/>
            <w:noWrap/>
            <w:vAlign w:val="center"/>
            <w:hideMark/>
          </w:tcPr>
          <w:p w14:paraId="2E03C2D9" w14:textId="77777777" w:rsidR="00FE123E" w:rsidRPr="00FE123E" w:rsidRDefault="00FE123E" w:rsidP="00FE123E">
            <w:pPr>
              <w:ind w:firstLineChars="100" w:firstLine="200"/>
              <w:rPr>
                <w:rFonts w:ascii="Arial Narrow" w:hAnsi="Arial Narrow" w:cs="Arial"/>
                <w:sz w:val="20"/>
                <w:szCs w:val="20"/>
              </w:rPr>
            </w:pPr>
            <w:r w:rsidRPr="00FE123E">
              <w:rPr>
                <w:rFonts w:ascii="Arial Narrow" w:hAnsi="Arial Narrow" w:cs="Arial"/>
                <w:sz w:val="20"/>
                <w:szCs w:val="20"/>
              </w:rPr>
              <w:t>Румъния</w:t>
            </w:r>
          </w:p>
        </w:tc>
        <w:tc>
          <w:tcPr>
            <w:tcW w:w="794" w:type="pct"/>
            <w:tcBorders>
              <w:top w:val="nil"/>
              <w:left w:val="nil"/>
              <w:bottom w:val="single" w:sz="4" w:space="0" w:color="auto"/>
              <w:right w:val="single" w:sz="4" w:space="0" w:color="auto"/>
            </w:tcBorders>
            <w:shd w:val="clear" w:color="auto" w:fill="auto"/>
            <w:noWrap/>
            <w:vAlign w:val="center"/>
            <w:hideMark/>
          </w:tcPr>
          <w:p w14:paraId="6156C4BD" w14:textId="77777777" w:rsidR="00FE123E" w:rsidRPr="00FE123E" w:rsidRDefault="00FE123E" w:rsidP="00FE123E">
            <w:pPr>
              <w:jc w:val="right"/>
              <w:rPr>
                <w:rFonts w:ascii="Arial Narrow" w:hAnsi="Arial Narrow" w:cs="Arial"/>
                <w:sz w:val="20"/>
                <w:szCs w:val="20"/>
              </w:rPr>
            </w:pPr>
            <w:r w:rsidRPr="00FE123E">
              <w:rPr>
                <w:rFonts w:ascii="Arial Narrow" w:hAnsi="Arial Narrow" w:cs="Arial"/>
                <w:sz w:val="20"/>
                <w:szCs w:val="20"/>
              </w:rPr>
              <w:t>13 981</w:t>
            </w:r>
          </w:p>
        </w:tc>
        <w:tc>
          <w:tcPr>
            <w:tcW w:w="794" w:type="pct"/>
            <w:tcBorders>
              <w:top w:val="nil"/>
              <w:left w:val="nil"/>
              <w:bottom w:val="single" w:sz="4" w:space="0" w:color="auto"/>
              <w:right w:val="single" w:sz="4" w:space="0" w:color="auto"/>
            </w:tcBorders>
            <w:shd w:val="clear" w:color="auto" w:fill="auto"/>
            <w:noWrap/>
            <w:vAlign w:val="center"/>
            <w:hideMark/>
          </w:tcPr>
          <w:p w14:paraId="58C6728E" w14:textId="77777777" w:rsidR="00FE123E" w:rsidRPr="00FE123E" w:rsidRDefault="00FE123E" w:rsidP="00FE123E">
            <w:pPr>
              <w:jc w:val="right"/>
              <w:rPr>
                <w:rFonts w:ascii="Arial Narrow" w:hAnsi="Arial Narrow" w:cs="Arial"/>
                <w:sz w:val="20"/>
                <w:szCs w:val="20"/>
              </w:rPr>
            </w:pPr>
            <w:r w:rsidRPr="00FE123E">
              <w:rPr>
                <w:rFonts w:ascii="Arial Narrow" w:hAnsi="Arial Narrow" w:cs="Arial"/>
                <w:sz w:val="20"/>
                <w:szCs w:val="20"/>
              </w:rPr>
              <w:t>21 600</w:t>
            </w:r>
          </w:p>
        </w:tc>
        <w:tc>
          <w:tcPr>
            <w:tcW w:w="867" w:type="pct"/>
            <w:tcBorders>
              <w:top w:val="nil"/>
              <w:left w:val="nil"/>
              <w:bottom w:val="single" w:sz="4" w:space="0" w:color="auto"/>
              <w:right w:val="single" w:sz="4" w:space="0" w:color="auto"/>
            </w:tcBorders>
            <w:shd w:val="clear" w:color="auto" w:fill="auto"/>
            <w:noWrap/>
            <w:vAlign w:val="center"/>
            <w:hideMark/>
          </w:tcPr>
          <w:p w14:paraId="5025A101" w14:textId="77777777" w:rsidR="00FE123E" w:rsidRPr="00FE123E" w:rsidRDefault="00FE123E" w:rsidP="00FE123E">
            <w:pPr>
              <w:jc w:val="right"/>
              <w:rPr>
                <w:rFonts w:ascii="Arial Narrow" w:hAnsi="Arial Narrow" w:cs="Arial"/>
                <w:sz w:val="20"/>
                <w:szCs w:val="20"/>
              </w:rPr>
            </w:pPr>
            <w:r w:rsidRPr="00FE123E">
              <w:rPr>
                <w:rFonts w:ascii="Arial Narrow" w:hAnsi="Arial Narrow" w:cs="Arial"/>
                <w:sz w:val="20"/>
                <w:szCs w:val="20"/>
              </w:rPr>
              <w:t>7 619</w:t>
            </w:r>
          </w:p>
        </w:tc>
        <w:tc>
          <w:tcPr>
            <w:tcW w:w="722" w:type="pct"/>
            <w:tcBorders>
              <w:top w:val="nil"/>
              <w:left w:val="nil"/>
              <w:bottom w:val="single" w:sz="4" w:space="0" w:color="auto"/>
              <w:right w:val="single" w:sz="4" w:space="0" w:color="auto"/>
            </w:tcBorders>
            <w:shd w:val="clear" w:color="auto" w:fill="auto"/>
            <w:noWrap/>
            <w:vAlign w:val="center"/>
            <w:hideMark/>
          </w:tcPr>
          <w:p w14:paraId="4E9E8106" w14:textId="77777777" w:rsidR="00FE123E" w:rsidRPr="00FE123E" w:rsidRDefault="00FE123E" w:rsidP="00FE123E">
            <w:pPr>
              <w:jc w:val="right"/>
              <w:rPr>
                <w:rFonts w:ascii="Arial Narrow" w:hAnsi="Arial Narrow" w:cs="Arial"/>
                <w:sz w:val="20"/>
                <w:szCs w:val="20"/>
              </w:rPr>
            </w:pPr>
            <w:r w:rsidRPr="00FE123E">
              <w:rPr>
                <w:rFonts w:ascii="Arial Narrow" w:hAnsi="Arial Narrow" w:cs="Arial"/>
                <w:sz w:val="20"/>
                <w:szCs w:val="20"/>
              </w:rPr>
              <w:t>54,5%</w:t>
            </w:r>
          </w:p>
        </w:tc>
      </w:tr>
      <w:tr w:rsidR="00FE123E" w:rsidRPr="00FE123E" w14:paraId="0945ABD9" w14:textId="77777777" w:rsidTr="00CD44F3">
        <w:trPr>
          <w:trHeight w:val="360"/>
        </w:trPr>
        <w:tc>
          <w:tcPr>
            <w:tcW w:w="1823" w:type="pct"/>
            <w:tcBorders>
              <w:top w:val="nil"/>
              <w:left w:val="single" w:sz="4" w:space="0" w:color="auto"/>
              <w:bottom w:val="single" w:sz="4" w:space="0" w:color="auto"/>
              <w:right w:val="single" w:sz="4" w:space="0" w:color="auto"/>
            </w:tcBorders>
            <w:shd w:val="clear" w:color="auto" w:fill="auto"/>
            <w:noWrap/>
            <w:vAlign w:val="center"/>
            <w:hideMark/>
          </w:tcPr>
          <w:p w14:paraId="7887571F" w14:textId="77777777" w:rsidR="00FE123E" w:rsidRPr="00FE123E" w:rsidRDefault="00FE123E" w:rsidP="00FE123E">
            <w:pPr>
              <w:ind w:firstLineChars="100" w:firstLine="200"/>
              <w:rPr>
                <w:rFonts w:ascii="Arial Narrow" w:hAnsi="Arial Narrow" w:cs="Arial"/>
                <w:sz w:val="20"/>
                <w:szCs w:val="20"/>
              </w:rPr>
            </w:pPr>
            <w:r w:rsidRPr="00FE123E">
              <w:rPr>
                <w:rFonts w:ascii="Arial Narrow" w:hAnsi="Arial Narrow" w:cs="Arial"/>
                <w:sz w:val="20"/>
                <w:szCs w:val="20"/>
              </w:rPr>
              <w:t>Кипър</w:t>
            </w:r>
          </w:p>
        </w:tc>
        <w:tc>
          <w:tcPr>
            <w:tcW w:w="794" w:type="pct"/>
            <w:tcBorders>
              <w:top w:val="nil"/>
              <w:left w:val="nil"/>
              <w:bottom w:val="single" w:sz="4" w:space="0" w:color="auto"/>
              <w:right w:val="single" w:sz="4" w:space="0" w:color="auto"/>
            </w:tcBorders>
            <w:shd w:val="clear" w:color="auto" w:fill="auto"/>
            <w:noWrap/>
            <w:vAlign w:val="center"/>
            <w:hideMark/>
          </w:tcPr>
          <w:p w14:paraId="7B2647F4" w14:textId="77777777" w:rsidR="00FE123E" w:rsidRPr="00FE123E" w:rsidRDefault="00FE123E" w:rsidP="00FE123E">
            <w:pPr>
              <w:jc w:val="right"/>
              <w:rPr>
                <w:rFonts w:ascii="Arial Narrow" w:hAnsi="Arial Narrow" w:cs="Arial"/>
                <w:sz w:val="20"/>
                <w:szCs w:val="20"/>
              </w:rPr>
            </w:pPr>
            <w:r w:rsidRPr="00FE123E">
              <w:rPr>
                <w:rFonts w:ascii="Arial Narrow" w:hAnsi="Arial Narrow" w:cs="Arial"/>
                <w:sz w:val="20"/>
                <w:szCs w:val="20"/>
              </w:rPr>
              <w:t>19 135</w:t>
            </w:r>
          </w:p>
        </w:tc>
        <w:tc>
          <w:tcPr>
            <w:tcW w:w="794" w:type="pct"/>
            <w:tcBorders>
              <w:top w:val="nil"/>
              <w:left w:val="nil"/>
              <w:bottom w:val="single" w:sz="4" w:space="0" w:color="auto"/>
              <w:right w:val="single" w:sz="4" w:space="0" w:color="auto"/>
            </w:tcBorders>
            <w:shd w:val="clear" w:color="auto" w:fill="auto"/>
            <w:noWrap/>
            <w:vAlign w:val="center"/>
            <w:hideMark/>
          </w:tcPr>
          <w:p w14:paraId="06A35A0C" w14:textId="77777777" w:rsidR="00FE123E" w:rsidRPr="00FE123E" w:rsidRDefault="00FE123E" w:rsidP="00FE123E">
            <w:pPr>
              <w:jc w:val="right"/>
              <w:rPr>
                <w:rFonts w:ascii="Arial Narrow" w:hAnsi="Arial Narrow" w:cs="Arial"/>
                <w:sz w:val="20"/>
                <w:szCs w:val="20"/>
              </w:rPr>
            </w:pPr>
            <w:r w:rsidRPr="00FE123E">
              <w:rPr>
                <w:rFonts w:ascii="Arial Narrow" w:hAnsi="Arial Narrow" w:cs="Arial"/>
                <w:sz w:val="20"/>
                <w:szCs w:val="20"/>
              </w:rPr>
              <w:t>19 250</w:t>
            </w:r>
          </w:p>
        </w:tc>
        <w:tc>
          <w:tcPr>
            <w:tcW w:w="867" w:type="pct"/>
            <w:tcBorders>
              <w:top w:val="nil"/>
              <w:left w:val="nil"/>
              <w:bottom w:val="single" w:sz="4" w:space="0" w:color="auto"/>
              <w:right w:val="single" w:sz="4" w:space="0" w:color="auto"/>
            </w:tcBorders>
            <w:shd w:val="clear" w:color="auto" w:fill="auto"/>
            <w:noWrap/>
            <w:vAlign w:val="center"/>
            <w:hideMark/>
          </w:tcPr>
          <w:p w14:paraId="43C24252" w14:textId="77777777" w:rsidR="00FE123E" w:rsidRPr="00FE123E" w:rsidRDefault="00FE123E" w:rsidP="00FE123E">
            <w:pPr>
              <w:jc w:val="right"/>
              <w:rPr>
                <w:rFonts w:ascii="Arial Narrow" w:hAnsi="Arial Narrow" w:cs="Arial"/>
                <w:sz w:val="20"/>
                <w:szCs w:val="20"/>
              </w:rPr>
            </w:pPr>
            <w:r w:rsidRPr="00FE123E">
              <w:rPr>
                <w:rFonts w:ascii="Arial Narrow" w:hAnsi="Arial Narrow" w:cs="Arial"/>
                <w:sz w:val="20"/>
                <w:szCs w:val="20"/>
              </w:rPr>
              <w:t>115</w:t>
            </w:r>
          </w:p>
        </w:tc>
        <w:tc>
          <w:tcPr>
            <w:tcW w:w="722" w:type="pct"/>
            <w:tcBorders>
              <w:top w:val="nil"/>
              <w:left w:val="nil"/>
              <w:bottom w:val="single" w:sz="4" w:space="0" w:color="auto"/>
              <w:right w:val="single" w:sz="4" w:space="0" w:color="auto"/>
            </w:tcBorders>
            <w:shd w:val="clear" w:color="auto" w:fill="auto"/>
            <w:noWrap/>
            <w:vAlign w:val="center"/>
            <w:hideMark/>
          </w:tcPr>
          <w:p w14:paraId="0E7713F7" w14:textId="77777777" w:rsidR="00FE123E" w:rsidRPr="00FE123E" w:rsidRDefault="00FE123E" w:rsidP="00FE123E">
            <w:pPr>
              <w:jc w:val="right"/>
              <w:rPr>
                <w:rFonts w:ascii="Arial Narrow" w:hAnsi="Arial Narrow" w:cs="Arial"/>
                <w:sz w:val="20"/>
                <w:szCs w:val="20"/>
              </w:rPr>
            </w:pPr>
            <w:r w:rsidRPr="00FE123E">
              <w:rPr>
                <w:rFonts w:ascii="Arial Narrow" w:hAnsi="Arial Narrow" w:cs="Arial"/>
                <w:sz w:val="20"/>
                <w:szCs w:val="20"/>
              </w:rPr>
              <w:t>0,6%</w:t>
            </w:r>
          </w:p>
        </w:tc>
      </w:tr>
      <w:tr w:rsidR="00FE123E" w:rsidRPr="00FE123E" w14:paraId="6F00FB50" w14:textId="77777777" w:rsidTr="00CD44F3">
        <w:trPr>
          <w:trHeight w:val="360"/>
        </w:trPr>
        <w:tc>
          <w:tcPr>
            <w:tcW w:w="1823" w:type="pct"/>
            <w:tcBorders>
              <w:top w:val="nil"/>
              <w:left w:val="single" w:sz="4" w:space="0" w:color="auto"/>
              <w:bottom w:val="single" w:sz="4" w:space="0" w:color="auto"/>
              <w:right w:val="single" w:sz="4" w:space="0" w:color="auto"/>
            </w:tcBorders>
            <w:shd w:val="clear" w:color="auto" w:fill="auto"/>
            <w:noWrap/>
            <w:vAlign w:val="center"/>
            <w:hideMark/>
          </w:tcPr>
          <w:p w14:paraId="50DE5163" w14:textId="77777777" w:rsidR="00FE123E" w:rsidRPr="00FE123E" w:rsidRDefault="00FE123E" w:rsidP="00FE123E">
            <w:pPr>
              <w:ind w:firstLineChars="100" w:firstLine="200"/>
              <w:rPr>
                <w:rFonts w:ascii="Arial Narrow" w:hAnsi="Arial Narrow" w:cs="Arial"/>
                <w:sz w:val="20"/>
                <w:szCs w:val="20"/>
              </w:rPr>
            </w:pPr>
            <w:r w:rsidRPr="00FE123E">
              <w:rPr>
                <w:rFonts w:ascii="Arial Narrow" w:hAnsi="Arial Narrow" w:cs="Arial"/>
                <w:sz w:val="20"/>
                <w:szCs w:val="20"/>
              </w:rPr>
              <w:t>Литва</w:t>
            </w:r>
          </w:p>
        </w:tc>
        <w:tc>
          <w:tcPr>
            <w:tcW w:w="794" w:type="pct"/>
            <w:tcBorders>
              <w:top w:val="nil"/>
              <w:left w:val="nil"/>
              <w:bottom w:val="single" w:sz="4" w:space="0" w:color="auto"/>
              <w:right w:val="single" w:sz="4" w:space="0" w:color="auto"/>
            </w:tcBorders>
            <w:shd w:val="clear" w:color="auto" w:fill="auto"/>
            <w:noWrap/>
            <w:vAlign w:val="center"/>
            <w:hideMark/>
          </w:tcPr>
          <w:p w14:paraId="7BE52D96" w14:textId="77777777" w:rsidR="00FE123E" w:rsidRPr="00FE123E" w:rsidRDefault="00FE123E" w:rsidP="00FE123E">
            <w:pPr>
              <w:jc w:val="right"/>
              <w:rPr>
                <w:rFonts w:ascii="Arial Narrow" w:hAnsi="Arial Narrow" w:cs="Arial"/>
                <w:sz w:val="20"/>
                <w:szCs w:val="20"/>
              </w:rPr>
            </w:pPr>
            <w:r w:rsidRPr="00FE123E">
              <w:rPr>
                <w:rFonts w:ascii="Arial Narrow" w:hAnsi="Arial Narrow" w:cs="Arial"/>
                <w:sz w:val="20"/>
                <w:szCs w:val="20"/>
              </w:rPr>
              <w:t>24 764</w:t>
            </w:r>
          </w:p>
        </w:tc>
        <w:tc>
          <w:tcPr>
            <w:tcW w:w="794" w:type="pct"/>
            <w:tcBorders>
              <w:top w:val="nil"/>
              <w:left w:val="nil"/>
              <w:bottom w:val="single" w:sz="4" w:space="0" w:color="auto"/>
              <w:right w:val="single" w:sz="4" w:space="0" w:color="auto"/>
            </w:tcBorders>
            <w:shd w:val="clear" w:color="auto" w:fill="auto"/>
            <w:noWrap/>
            <w:vAlign w:val="center"/>
            <w:hideMark/>
          </w:tcPr>
          <w:p w14:paraId="2212BF8A" w14:textId="77777777" w:rsidR="00FE123E" w:rsidRPr="00FE123E" w:rsidRDefault="00FE123E" w:rsidP="00FE123E">
            <w:pPr>
              <w:jc w:val="right"/>
              <w:rPr>
                <w:rFonts w:ascii="Arial Narrow" w:hAnsi="Arial Narrow" w:cs="Arial"/>
                <w:sz w:val="20"/>
                <w:szCs w:val="20"/>
              </w:rPr>
            </w:pPr>
            <w:r w:rsidRPr="00FE123E">
              <w:rPr>
                <w:rFonts w:ascii="Arial Narrow" w:hAnsi="Arial Narrow" w:cs="Arial"/>
                <w:sz w:val="20"/>
                <w:szCs w:val="20"/>
              </w:rPr>
              <w:t>17 748</w:t>
            </w:r>
          </w:p>
        </w:tc>
        <w:tc>
          <w:tcPr>
            <w:tcW w:w="867" w:type="pct"/>
            <w:tcBorders>
              <w:top w:val="nil"/>
              <w:left w:val="nil"/>
              <w:bottom w:val="single" w:sz="4" w:space="0" w:color="auto"/>
              <w:right w:val="single" w:sz="4" w:space="0" w:color="auto"/>
            </w:tcBorders>
            <w:shd w:val="clear" w:color="auto" w:fill="auto"/>
            <w:noWrap/>
            <w:vAlign w:val="center"/>
            <w:hideMark/>
          </w:tcPr>
          <w:p w14:paraId="444AE846" w14:textId="77777777" w:rsidR="00FE123E" w:rsidRPr="00FE123E" w:rsidRDefault="00FE123E" w:rsidP="00FE123E">
            <w:pPr>
              <w:jc w:val="right"/>
              <w:rPr>
                <w:rFonts w:ascii="Arial Narrow" w:hAnsi="Arial Narrow" w:cs="Arial"/>
                <w:sz w:val="20"/>
                <w:szCs w:val="20"/>
              </w:rPr>
            </w:pPr>
            <w:r w:rsidRPr="00FE123E">
              <w:rPr>
                <w:rFonts w:ascii="Arial Narrow" w:hAnsi="Arial Narrow" w:cs="Arial"/>
                <w:sz w:val="20"/>
                <w:szCs w:val="20"/>
              </w:rPr>
              <w:t>-7 016</w:t>
            </w:r>
          </w:p>
        </w:tc>
        <w:tc>
          <w:tcPr>
            <w:tcW w:w="722" w:type="pct"/>
            <w:tcBorders>
              <w:top w:val="nil"/>
              <w:left w:val="nil"/>
              <w:bottom w:val="single" w:sz="4" w:space="0" w:color="auto"/>
              <w:right w:val="single" w:sz="4" w:space="0" w:color="auto"/>
            </w:tcBorders>
            <w:shd w:val="clear" w:color="auto" w:fill="auto"/>
            <w:noWrap/>
            <w:vAlign w:val="center"/>
            <w:hideMark/>
          </w:tcPr>
          <w:p w14:paraId="08BDA8CA" w14:textId="77777777" w:rsidR="00FE123E" w:rsidRPr="00FE123E" w:rsidRDefault="00FE123E" w:rsidP="00FE123E">
            <w:pPr>
              <w:jc w:val="right"/>
              <w:rPr>
                <w:rFonts w:ascii="Arial Narrow" w:hAnsi="Arial Narrow" w:cs="Arial"/>
                <w:sz w:val="20"/>
                <w:szCs w:val="20"/>
              </w:rPr>
            </w:pPr>
            <w:r w:rsidRPr="00FE123E">
              <w:rPr>
                <w:rFonts w:ascii="Arial Narrow" w:hAnsi="Arial Narrow" w:cs="Arial"/>
                <w:sz w:val="20"/>
                <w:szCs w:val="20"/>
              </w:rPr>
              <w:t>-28,3%</w:t>
            </w:r>
          </w:p>
        </w:tc>
      </w:tr>
      <w:tr w:rsidR="00FE123E" w:rsidRPr="00FE123E" w14:paraId="01EB524E" w14:textId="77777777" w:rsidTr="00CD44F3">
        <w:trPr>
          <w:trHeight w:val="360"/>
        </w:trPr>
        <w:tc>
          <w:tcPr>
            <w:tcW w:w="1823" w:type="pct"/>
            <w:tcBorders>
              <w:top w:val="nil"/>
              <w:left w:val="single" w:sz="4" w:space="0" w:color="auto"/>
              <w:bottom w:val="single" w:sz="4" w:space="0" w:color="auto"/>
              <w:right w:val="single" w:sz="4" w:space="0" w:color="auto"/>
            </w:tcBorders>
            <w:shd w:val="clear" w:color="auto" w:fill="auto"/>
            <w:noWrap/>
            <w:vAlign w:val="center"/>
            <w:hideMark/>
          </w:tcPr>
          <w:p w14:paraId="13B6132B" w14:textId="77777777" w:rsidR="00FE123E" w:rsidRPr="00FE123E" w:rsidRDefault="00FE123E" w:rsidP="00FE123E">
            <w:pPr>
              <w:ind w:firstLineChars="100" w:firstLine="200"/>
              <w:rPr>
                <w:rFonts w:ascii="Arial Narrow" w:hAnsi="Arial Narrow" w:cs="Arial"/>
                <w:sz w:val="20"/>
                <w:szCs w:val="20"/>
              </w:rPr>
            </w:pPr>
            <w:r w:rsidRPr="00FE123E">
              <w:rPr>
                <w:rFonts w:ascii="Arial Narrow" w:hAnsi="Arial Narrow" w:cs="Arial"/>
                <w:sz w:val="20"/>
                <w:szCs w:val="20"/>
              </w:rPr>
              <w:t>Франция</w:t>
            </w:r>
          </w:p>
        </w:tc>
        <w:tc>
          <w:tcPr>
            <w:tcW w:w="794" w:type="pct"/>
            <w:tcBorders>
              <w:top w:val="nil"/>
              <w:left w:val="nil"/>
              <w:bottom w:val="single" w:sz="4" w:space="0" w:color="auto"/>
              <w:right w:val="single" w:sz="4" w:space="0" w:color="auto"/>
            </w:tcBorders>
            <w:shd w:val="clear" w:color="auto" w:fill="auto"/>
            <w:noWrap/>
            <w:vAlign w:val="center"/>
            <w:hideMark/>
          </w:tcPr>
          <w:p w14:paraId="4B0A09B3" w14:textId="77777777" w:rsidR="00FE123E" w:rsidRPr="00FE123E" w:rsidRDefault="00FE123E" w:rsidP="00FE123E">
            <w:pPr>
              <w:jc w:val="right"/>
              <w:rPr>
                <w:rFonts w:ascii="Arial Narrow" w:hAnsi="Arial Narrow" w:cs="Arial"/>
                <w:sz w:val="20"/>
                <w:szCs w:val="20"/>
              </w:rPr>
            </w:pPr>
            <w:r w:rsidRPr="00FE123E">
              <w:rPr>
                <w:rFonts w:ascii="Arial Narrow" w:hAnsi="Arial Narrow" w:cs="Arial"/>
                <w:sz w:val="20"/>
                <w:szCs w:val="20"/>
              </w:rPr>
              <w:t>24 538</w:t>
            </w:r>
          </w:p>
        </w:tc>
        <w:tc>
          <w:tcPr>
            <w:tcW w:w="794" w:type="pct"/>
            <w:tcBorders>
              <w:top w:val="nil"/>
              <w:left w:val="nil"/>
              <w:bottom w:val="single" w:sz="4" w:space="0" w:color="auto"/>
              <w:right w:val="single" w:sz="4" w:space="0" w:color="auto"/>
            </w:tcBorders>
            <w:shd w:val="clear" w:color="auto" w:fill="auto"/>
            <w:noWrap/>
            <w:vAlign w:val="center"/>
            <w:hideMark/>
          </w:tcPr>
          <w:p w14:paraId="5B22F0E4" w14:textId="77777777" w:rsidR="00FE123E" w:rsidRPr="00FE123E" w:rsidRDefault="00FE123E" w:rsidP="00FE123E">
            <w:pPr>
              <w:jc w:val="right"/>
              <w:rPr>
                <w:rFonts w:ascii="Arial Narrow" w:hAnsi="Arial Narrow" w:cs="Arial"/>
                <w:sz w:val="20"/>
                <w:szCs w:val="20"/>
              </w:rPr>
            </w:pPr>
            <w:r w:rsidRPr="00FE123E">
              <w:rPr>
                <w:rFonts w:ascii="Arial Narrow" w:hAnsi="Arial Narrow" w:cs="Arial"/>
                <w:sz w:val="20"/>
                <w:szCs w:val="20"/>
              </w:rPr>
              <w:t>13 264</w:t>
            </w:r>
          </w:p>
        </w:tc>
        <w:tc>
          <w:tcPr>
            <w:tcW w:w="867" w:type="pct"/>
            <w:tcBorders>
              <w:top w:val="nil"/>
              <w:left w:val="nil"/>
              <w:bottom w:val="single" w:sz="4" w:space="0" w:color="auto"/>
              <w:right w:val="single" w:sz="4" w:space="0" w:color="auto"/>
            </w:tcBorders>
            <w:shd w:val="clear" w:color="auto" w:fill="auto"/>
            <w:noWrap/>
            <w:vAlign w:val="center"/>
            <w:hideMark/>
          </w:tcPr>
          <w:p w14:paraId="66804500" w14:textId="77777777" w:rsidR="00FE123E" w:rsidRPr="00FE123E" w:rsidRDefault="00FE123E" w:rsidP="00FE123E">
            <w:pPr>
              <w:jc w:val="right"/>
              <w:rPr>
                <w:rFonts w:ascii="Arial Narrow" w:hAnsi="Arial Narrow" w:cs="Arial"/>
                <w:sz w:val="20"/>
                <w:szCs w:val="20"/>
              </w:rPr>
            </w:pPr>
            <w:r w:rsidRPr="00FE123E">
              <w:rPr>
                <w:rFonts w:ascii="Arial Narrow" w:hAnsi="Arial Narrow" w:cs="Arial"/>
                <w:sz w:val="20"/>
                <w:szCs w:val="20"/>
              </w:rPr>
              <w:t>-11 274</w:t>
            </w:r>
          </w:p>
        </w:tc>
        <w:tc>
          <w:tcPr>
            <w:tcW w:w="722" w:type="pct"/>
            <w:tcBorders>
              <w:top w:val="nil"/>
              <w:left w:val="nil"/>
              <w:bottom w:val="single" w:sz="4" w:space="0" w:color="auto"/>
              <w:right w:val="single" w:sz="4" w:space="0" w:color="auto"/>
            </w:tcBorders>
            <w:shd w:val="clear" w:color="auto" w:fill="auto"/>
            <w:noWrap/>
            <w:vAlign w:val="center"/>
            <w:hideMark/>
          </w:tcPr>
          <w:p w14:paraId="61E3F999" w14:textId="77777777" w:rsidR="00FE123E" w:rsidRPr="00FE123E" w:rsidRDefault="00FE123E" w:rsidP="00FE123E">
            <w:pPr>
              <w:jc w:val="right"/>
              <w:rPr>
                <w:rFonts w:ascii="Arial Narrow" w:hAnsi="Arial Narrow" w:cs="Arial"/>
                <w:sz w:val="20"/>
                <w:szCs w:val="20"/>
              </w:rPr>
            </w:pPr>
            <w:r w:rsidRPr="00FE123E">
              <w:rPr>
                <w:rFonts w:ascii="Arial Narrow" w:hAnsi="Arial Narrow" w:cs="Arial"/>
                <w:sz w:val="20"/>
                <w:szCs w:val="20"/>
              </w:rPr>
              <w:t>-45,9%</w:t>
            </w:r>
          </w:p>
        </w:tc>
      </w:tr>
      <w:tr w:rsidR="00FE123E" w:rsidRPr="00FE123E" w14:paraId="37757409" w14:textId="77777777" w:rsidTr="00CD44F3">
        <w:trPr>
          <w:trHeight w:val="360"/>
        </w:trPr>
        <w:tc>
          <w:tcPr>
            <w:tcW w:w="1823" w:type="pct"/>
            <w:tcBorders>
              <w:top w:val="nil"/>
              <w:left w:val="single" w:sz="4" w:space="0" w:color="auto"/>
              <w:bottom w:val="single" w:sz="4" w:space="0" w:color="auto"/>
              <w:right w:val="single" w:sz="4" w:space="0" w:color="auto"/>
            </w:tcBorders>
            <w:shd w:val="clear" w:color="auto" w:fill="auto"/>
            <w:noWrap/>
            <w:vAlign w:val="center"/>
            <w:hideMark/>
          </w:tcPr>
          <w:p w14:paraId="3BC12725" w14:textId="77777777" w:rsidR="00FE123E" w:rsidRPr="00FE123E" w:rsidRDefault="00FE123E" w:rsidP="00FE123E">
            <w:pPr>
              <w:ind w:firstLineChars="100" w:firstLine="200"/>
              <w:rPr>
                <w:rFonts w:ascii="Arial Narrow" w:hAnsi="Arial Narrow" w:cs="Arial"/>
                <w:sz w:val="20"/>
                <w:szCs w:val="20"/>
              </w:rPr>
            </w:pPr>
            <w:r w:rsidRPr="00FE123E">
              <w:rPr>
                <w:rFonts w:ascii="Arial Narrow" w:hAnsi="Arial Narrow" w:cs="Arial"/>
                <w:sz w:val="20"/>
                <w:szCs w:val="20"/>
              </w:rPr>
              <w:t>Испания</w:t>
            </w:r>
          </w:p>
        </w:tc>
        <w:tc>
          <w:tcPr>
            <w:tcW w:w="794" w:type="pct"/>
            <w:tcBorders>
              <w:top w:val="nil"/>
              <w:left w:val="nil"/>
              <w:bottom w:val="single" w:sz="4" w:space="0" w:color="auto"/>
              <w:right w:val="single" w:sz="4" w:space="0" w:color="auto"/>
            </w:tcBorders>
            <w:shd w:val="clear" w:color="auto" w:fill="auto"/>
            <w:noWrap/>
            <w:vAlign w:val="center"/>
            <w:hideMark/>
          </w:tcPr>
          <w:p w14:paraId="7C0781BE" w14:textId="77777777" w:rsidR="00FE123E" w:rsidRPr="00FE123E" w:rsidRDefault="00FE123E" w:rsidP="00FE123E">
            <w:pPr>
              <w:jc w:val="right"/>
              <w:rPr>
                <w:rFonts w:ascii="Arial Narrow" w:hAnsi="Arial Narrow" w:cs="Arial"/>
                <w:sz w:val="20"/>
                <w:szCs w:val="20"/>
              </w:rPr>
            </w:pPr>
            <w:r w:rsidRPr="00FE123E">
              <w:rPr>
                <w:rFonts w:ascii="Arial Narrow" w:hAnsi="Arial Narrow" w:cs="Arial"/>
                <w:sz w:val="20"/>
                <w:szCs w:val="20"/>
              </w:rPr>
              <w:t>7 480</w:t>
            </w:r>
          </w:p>
        </w:tc>
        <w:tc>
          <w:tcPr>
            <w:tcW w:w="794" w:type="pct"/>
            <w:tcBorders>
              <w:top w:val="nil"/>
              <w:left w:val="nil"/>
              <w:bottom w:val="single" w:sz="4" w:space="0" w:color="auto"/>
              <w:right w:val="single" w:sz="4" w:space="0" w:color="auto"/>
            </w:tcBorders>
            <w:shd w:val="clear" w:color="auto" w:fill="auto"/>
            <w:noWrap/>
            <w:vAlign w:val="center"/>
            <w:hideMark/>
          </w:tcPr>
          <w:p w14:paraId="47095BEC" w14:textId="77777777" w:rsidR="00FE123E" w:rsidRPr="00FE123E" w:rsidRDefault="00FE123E" w:rsidP="00FE123E">
            <w:pPr>
              <w:jc w:val="right"/>
              <w:rPr>
                <w:rFonts w:ascii="Arial Narrow" w:hAnsi="Arial Narrow" w:cs="Arial"/>
                <w:sz w:val="20"/>
                <w:szCs w:val="20"/>
              </w:rPr>
            </w:pPr>
            <w:r w:rsidRPr="00FE123E">
              <w:rPr>
                <w:rFonts w:ascii="Arial Narrow" w:hAnsi="Arial Narrow" w:cs="Arial"/>
                <w:sz w:val="20"/>
                <w:szCs w:val="20"/>
              </w:rPr>
              <w:t>10 936</w:t>
            </w:r>
          </w:p>
        </w:tc>
        <w:tc>
          <w:tcPr>
            <w:tcW w:w="867" w:type="pct"/>
            <w:tcBorders>
              <w:top w:val="nil"/>
              <w:left w:val="nil"/>
              <w:bottom w:val="single" w:sz="4" w:space="0" w:color="auto"/>
              <w:right w:val="single" w:sz="4" w:space="0" w:color="auto"/>
            </w:tcBorders>
            <w:shd w:val="clear" w:color="auto" w:fill="auto"/>
            <w:noWrap/>
            <w:vAlign w:val="center"/>
            <w:hideMark/>
          </w:tcPr>
          <w:p w14:paraId="4D1836FD" w14:textId="77777777" w:rsidR="00FE123E" w:rsidRPr="00FE123E" w:rsidRDefault="00FE123E" w:rsidP="00FE123E">
            <w:pPr>
              <w:jc w:val="right"/>
              <w:rPr>
                <w:rFonts w:ascii="Arial Narrow" w:hAnsi="Arial Narrow" w:cs="Arial"/>
                <w:sz w:val="20"/>
                <w:szCs w:val="20"/>
              </w:rPr>
            </w:pPr>
            <w:r w:rsidRPr="00FE123E">
              <w:rPr>
                <w:rFonts w:ascii="Arial Narrow" w:hAnsi="Arial Narrow" w:cs="Arial"/>
                <w:sz w:val="20"/>
                <w:szCs w:val="20"/>
              </w:rPr>
              <w:t>3 456</w:t>
            </w:r>
          </w:p>
        </w:tc>
        <w:tc>
          <w:tcPr>
            <w:tcW w:w="722" w:type="pct"/>
            <w:tcBorders>
              <w:top w:val="nil"/>
              <w:left w:val="nil"/>
              <w:bottom w:val="single" w:sz="4" w:space="0" w:color="auto"/>
              <w:right w:val="single" w:sz="4" w:space="0" w:color="auto"/>
            </w:tcBorders>
            <w:shd w:val="clear" w:color="auto" w:fill="auto"/>
            <w:noWrap/>
            <w:vAlign w:val="center"/>
            <w:hideMark/>
          </w:tcPr>
          <w:p w14:paraId="350261FA" w14:textId="77777777" w:rsidR="00FE123E" w:rsidRPr="00FE123E" w:rsidRDefault="00FE123E" w:rsidP="00FE123E">
            <w:pPr>
              <w:jc w:val="right"/>
              <w:rPr>
                <w:rFonts w:ascii="Arial Narrow" w:hAnsi="Arial Narrow" w:cs="Arial"/>
                <w:sz w:val="20"/>
                <w:szCs w:val="20"/>
              </w:rPr>
            </w:pPr>
            <w:r w:rsidRPr="00FE123E">
              <w:rPr>
                <w:rFonts w:ascii="Arial Narrow" w:hAnsi="Arial Narrow" w:cs="Arial"/>
                <w:sz w:val="20"/>
                <w:szCs w:val="20"/>
              </w:rPr>
              <w:t>46,2%</w:t>
            </w:r>
          </w:p>
        </w:tc>
      </w:tr>
      <w:tr w:rsidR="00FE123E" w:rsidRPr="00FE123E" w14:paraId="707B78EC" w14:textId="77777777" w:rsidTr="00CD44F3">
        <w:trPr>
          <w:trHeight w:val="360"/>
        </w:trPr>
        <w:tc>
          <w:tcPr>
            <w:tcW w:w="1823" w:type="pct"/>
            <w:tcBorders>
              <w:top w:val="nil"/>
              <w:left w:val="single" w:sz="4" w:space="0" w:color="auto"/>
              <w:bottom w:val="single" w:sz="4" w:space="0" w:color="auto"/>
              <w:right w:val="single" w:sz="4" w:space="0" w:color="auto"/>
            </w:tcBorders>
            <w:shd w:val="clear" w:color="auto" w:fill="auto"/>
            <w:noWrap/>
            <w:vAlign w:val="center"/>
            <w:hideMark/>
          </w:tcPr>
          <w:p w14:paraId="2FF14A4C" w14:textId="77777777" w:rsidR="00FE123E" w:rsidRPr="00FE123E" w:rsidRDefault="00FE123E" w:rsidP="00FE123E">
            <w:pPr>
              <w:ind w:firstLineChars="100" w:firstLine="200"/>
              <w:rPr>
                <w:rFonts w:ascii="Arial Narrow" w:hAnsi="Arial Narrow" w:cs="Arial"/>
                <w:sz w:val="20"/>
                <w:szCs w:val="20"/>
              </w:rPr>
            </w:pPr>
            <w:r w:rsidRPr="00FE123E">
              <w:rPr>
                <w:rFonts w:ascii="Arial Narrow" w:hAnsi="Arial Narrow" w:cs="Arial"/>
                <w:sz w:val="20"/>
                <w:szCs w:val="20"/>
              </w:rPr>
              <w:t>Люксембург</w:t>
            </w:r>
          </w:p>
        </w:tc>
        <w:tc>
          <w:tcPr>
            <w:tcW w:w="794" w:type="pct"/>
            <w:tcBorders>
              <w:top w:val="nil"/>
              <w:left w:val="nil"/>
              <w:bottom w:val="single" w:sz="4" w:space="0" w:color="auto"/>
              <w:right w:val="single" w:sz="4" w:space="0" w:color="auto"/>
            </w:tcBorders>
            <w:shd w:val="clear" w:color="auto" w:fill="auto"/>
            <w:noWrap/>
            <w:vAlign w:val="center"/>
            <w:hideMark/>
          </w:tcPr>
          <w:p w14:paraId="56BC14F5" w14:textId="77777777" w:rsidR="00FE123E" w:rsidRPr="00FE123E" w:rsidRDefault="00FE123E" w:rsidP="00FE123E">
            <w:pPr>
              <w:jc w:val="right"/>
              <w:rPr>
                <w:rFonts w:ascii="Arial Narrow" w:hAnsi="Arial Narrow" w:cs="Arial"/>
                <w:sz w:val="20"/>
                <w:szCs w:val="20"/>
              </w:rPr>
            </w:pPr>
            <w:r w:rsidRPr="00FE123E">
              <w:rPr>
                <w:rFonts w:ascii="Arial Narrow" w:hAnsi="Arial Narrow" w:cs="Arial"/>
                <w:sz w:val="20"/>
                <w:szCs w:val="20"/>
              </w:rPr>
              <w:t>18 940</w:t>
            </w:r>
          </w:p>
        </w:tc>
        <w:tc>
          <w:tcPr>
            <w:tcW w:w="794" w:type="pct"/>
            <w:tcBorders>
              <w:top w:val="nil"/>
              <w:left w:val="nil"/>
              <w:bottom w:val="single" w:sz="4" w:space="0" w:color="auto"/>
              <w:right w:val="single" w:sz="4" w:space="0" w:color="auto"/>
            </w:tcBorders>
            <w:shd w:val="clear" w:color="auto" w:fill="auto"/>
            <w:noWrap/>
            <w:vAlign w:val="center"/>
            <w:hideMark/>
          </w:tcPr>
          <w:p w14:paraId="087CE28F" w14:textId="77777777" w:rsidR="00FE123E" w:rsidRPr="00FE123E" w:rsidRDefault="00FE123E" w:rsidP="00FE123E">
            <w:pPr>
              <w:jc w:val="right"/>
              <w:rPr>
                <w:rFonts w:ascii="Arial Narrow" w:hAnsi="Arial Narrow" w:cs="Arial"/>
                <w:sz w:val="20"/>
                <w:szCs w:val="20"/>
              </w:rPr>
            </w:pPr>
            <w:r w:rsidRPr="00FE123E">
              <w:rPr>
                <w:rFonts w:ascii="Arial Narrow" w:hAnsi="Arial Narrow" w:cs="Arial"/>
                <w:sz w:val="20"/>
                <w:szCs w:val="20"/>
              </w:rPr>
              <w:t>10 562</w:t>
            </w:r>
          </w:p>
        </w:tc>
        <w:tc>
          <w:tcPr>
            <w:tcW w:w="867" w:type="pct"/>
            <w:tcBorders>
              <w:top w:val="nil"/>
              <w:left w:val="nil"/>
              <w:bottom w:val="single" w:sz="4" w:space="0" w:color="auto"/>
              <w:right w:val="single" w:sz="4" w:space="0" w:color="auto"/>
            </w:tcBorders>
            <w:shd w:val="clear" w:color="auto" w:fill="auto"/>
            <w:noWrap/>
            <w:vAlign w:val="center"/>
            <w:hideMark/>
          </w:tcPr>
          <w:p w14:paraId="3A0C3C7A" w14:textId="77777777" w:rsidR="00FE123E" w:rsidRPr="00FE123E" w:rsidRDefault="00FE123E" w:rsidP="00FE123E">
            <w:pPr>
              <w:jc w:val="right"/>
              <w:rPr>
                <w:rFonts w:ascii="Arial Narrow" w:hAnsi="Arial Narrow" w:cs="Arial"/>
                <w:sz w:val="20"/>
                <w:szCs w:val="20"/>
              </w:rPr>
            </w:pPr>
            <w:r w:rsidRPr="00FE123E">
              <w:rPr>
                <w:rFonts w:ascii="Arial Narrow" w:hAnsi="Arial Narrow" w:cs="Arial"/>
                <w:sz w:val="20"/>
                <w:szCs w:val="20"/>
              </w:rPr>
              <w:t>-8 378</w:t>
            </w:r>
          </w:p>
        </w:tc>
        <w:tc>
          <w:tcPr>
            <w:tcW w:w="722" w:type="pct"/>
            <w:tcBorders>
              <w:top w:val="nil"/>
              <w:left w:val="nil"/>
              <w:bottom w:val="single" w:sz="4" w:space="0" w:color="auto"/>
              <w:right w:val="single" w:sz="4" w:space="0" w:color="auto"/>
            </w:tcBorders>
            <w:shd w:val="clear" w:color="auto" w:fill="auto"/>
            <w:noWrap/>
            <w:vAlign w:val="center"/>
            <w:hideMark/>
          </w:tcPr>
          <w:p w14:paraId="0278D477" w14:textId="77777777" w:rsidR="00FE123E" w:rsidRPr="00FE123E" w:rsidRDefault="00FE123E" w:rsidP="00FE123E">
            <w:pPr>
              <w:jc w:val="right"/>
              <w:rPr>
                <w:rFonts w:ascii="Arial Narrow" w:hAnsi="Arial Narrow" w:cs="Arial"/>
                <w:sz w:val="20"/>
                <w:szCs w:val="20"/>
              </w:rPr>
            </w:pPr>
            <w:r w:rsidRPr="00FE123E">
              <w:rPr>
                <w:rFonts w:ascii="Arial Narrow" w:hAnsi="Arial Narrow" w:cs="Arial"/>
                <w:sz w:val="20"/>
                <w:szCs w:val="20"/>
              </w:rPr>
              <w:t>-44,2%</w:t>
            </w:r>
          </w:p>
        </w:tc>
      </w:tr>
      <w:tr w:rsidR="00FE123E" w:rsidRPr="00FE123E" w14:paraId="6C5CCAF1" w14:textId="77777777" w:rsidTr="00CD44F3">
        <w:trPr>
          <w:trHeight w:val="360"/>
        </w:trPr>
        <w:tc>
          <w:tcPr>
            <w:tcW w:w="1823" w:type="pct"/>
            <w:tcBorders>
              <w:top w:val="nil"/>
              <w:left w:val="single" w:sz="4" w:space="0" w:color="auto"/>
              <w:bottom w:val="single" w:sz="4" w:space="0" w:color="auto"/>
              <w:right w:val="single" w:sz="4" w:space="0" w:color="auto"/>
            </w:tcBorders>
            <w:shd w:val="clear" w:color="auto" w:fill="auto"/>
            <w:noWrap/>
            <w:vAlign w:val="center"/>
            <w:hideMark/>
          </w:tcPr>
          <w:p w14:paraId="4BDAEF92" w14:textId="77777777" w:rsidR="00FE123E" w:rsidRPr="00FE123E" w:rsidRDefault="00FE123E" w:rsidP="00FE123E">
            <w:pPr>
              <w:ind w:firstLineChars="100" w:firstLine="200"/>
              <w:rPr>
                <w:rFonts w:ascii="Arial Narrow" w:hAnsi="Arial Narrow" w:cs="Arial"/>
                <w:sz w:val="20"/>
                <w:szCs w:val="20"/>
              </w:rPr>
            </w:pPr>
            <w:r w:rsidRPr="00FE123E">
              <w:rPr>
                <w:rFonts w:ascii="Arial Narrow" w:hAnsi="Arial Narrow" w:cs="Arial"/>
                <w:sz w:val="20"/>
                <w:szCs w:val="20"/>
              </w:rPr>
              <w:t>Словакия</w:t>
            </w:r>
          </w:p>
        </w:tc>
        <w:tc>
          <w:tcPr>
            <w:tcW w:w="794" w:type="pct"/>
            <w:tcBorders>
              <w:top w:val="nil"/>
              <w:left w:val="nil"/>
              <w:bottom w:val="single" w:sz="4" w:space="0" w:color="auto"/>
              <w:right w:val="single" w:sz="4" w:space="0" w:color="auto"/>
            </w:tcBorders>
            <w:shd w:val="clear" w:color="auto" w:fill="auto"/>
            <w:noWrap/>
            <w:vAlign w:val="center"/>
            <w:hideMark/>
          </w:tcPr>
          <w:p w14:paraId="29258BEF" w14:textId="77777777" w:rsidR="00FE123E" w:rsidRPr="00FE123E" w:rsidRDefault="00FE123E" w:rsidP="00FE123E">
            <w:pPr>
              <w:jc w:val="right"/>
              <w:rPr>
                <w:rFonts w:ascii="Arial Narrow" w:hAnsi="Arial Narrow" w:cs="Arial"/>
                <w:sz w:val="20"/>
                <w:szCs w:val="20"/>
              </w:rPr>
            </w:pPr>
            <w:r w:rsidRPr="00FE123E">
              <w:rPr>
                <w:rFonts w:ascii="Arial Narrow" w:hAnsi="Arial Narrow" w:cs="Arial"/>
                <w:sz w:val="20"/>
                <w:szCs w:val="20"/>
              </w:rPr>
              <w:t>12 129</w:t>
            </w:r>
          </w:p>
        </w:tc>
        <w:tc>
          <w:tcPr>
            <w:tcW w:w="794" w:type="pct"/>
            <w:tcBorders>
              <w:top w:val="nil"/>
              <w:left w:val="nil"/>
              <w:bottom w:val="single" w:sz="4" w:space="0" w:color="auto"/>
              <w:right w:val="single" w:sz="4" w:space="0" w:color="auto"/>
            </w:tcBorders>
            <w:shd w:val="clear" w:color="auto" w:fill="auto"/>
            <w:noWrap/>
            <w:vAlign w:val="center"/>
            <w:hideMark/>
          </w:tcPr>
          <w:p w14:paraId="207605C6" w14:textId="77777777" w:rsidR="00FE123E" w:rsidRPr="00FE123E" w:rsidRDefault="00FE123E" w:rsidP="00FE123E">
            <w:pPr>
              <w:jc w:val="right"/>
              <w:rPr>
                <w:rFonts w:ascii="Arial Narrow" w:hAnsi="Arial Narrow" w:cs="Arial"/>
                <w:sz w:val="20"/>
                <w:szCs w:val="20"/>
              </w:rPr>
            </w:pPr>
            <w:r w:rsidRPr="00FE123E">
              <w:rPr>
                <w:rFonts w:ascii="Arial Narrow" w:hAnsi="Arial Narrow" w:cs="Arial"/>
                <w:sz w:val="20"/>
                <w:szCs w:val="20"/>
              </w:rPr>
              <w:t>6 848</w:t>
            </w:r>
          </w:p>
        </w:tc>
        <w:tc>
          <w:tcPr>
            <w:tcW w:w="867" w:type="pct"/>
            <w:tcBorders>
              <w:top w:val="nil"/>
              <w:left w:val="nil"/>
              <w:bottom w:val="single" w:sz="4" w:space="0" w:color="auto"/>
              <w:right w:val="single" w:sz="4" w:space="0" w:color="auto"/>
            </w:tcBorders>
            <w:shd w:val="clear" w:color="auto" w:fill="auto"/>
            <w:noWrap/>
            <w:vAlign w:val="center"/>
            <w:hideMark/>
          </w:tcPr>
          <w:p w14:paraId="6AC84E60" w14:textId="77777777" w:rsidR="00FE123E" w:rsidRPr="00FE123E" w:rsidRDefault="00FE123E" w:rsidP="00FE123E">
            <w:pPr>
              <w:jc w:val="right"/>
              <w:rPr>
                <w:rFonts w:ascii="Arial Narrow" w:hAnsi="Arial Narrow" w:cs="Arial"/>
                <w:sz w:val="20"/>
                <w:szCs w:val="20"/>
              </w:rPr>
            </w:pPr>
            <w:r w:rsidRPr="00FE123E">
              <w:rPr>
                <w:rFonts w:ascii="Arial Narrow" w:hAnsi="Arial Narrow" w:cs="Arial"/>
                <w:sz w:val="20"/>
                <w:szCs w:val="20"/>
              </w:rPr>
              <w:t>-5 281</w:t>
            </w:r>
          </w:p>
        </w:tc>
        <w:tc>
          <w:tcPr>
            <w:tcW w:w="722" w:type="pct"/>
            <w:tcBorders>
              <w:top w:val="nil"/>
              <w:left w:val="nil"/>
              <w:bottom w:val="single" w:sz="4" w:space="0" w:color="auto"/>
              <w:right w:val="single" w:sz="4" w:space="0" w:color="auto"/>
            </w:tcBorders>
            <w:shd w:val="clear" w:color="auto" w:fill="auto"/>
            <w:noWrap/>
            <w:vAlign w:val="center"/>
            <w:hideMark/>
          </w:tcPr>
          <w:p w14:paraId="2173A3BA" w14:textId="77777777" w:rsidR="00FE123E" w:rsidRPr="00FE123E" w:rsidRDefault="00FE123E" w:rsidP="00FE123E">
            <w:pPr>
              <w:jc w:val="right"/>
              <w:rPr>
                <w:rFonts w:ascii="Arial Narrow" w:hAnsi="Arial Narrow" w:cs="Arial"/>
                <w:sz w:val="20"/>
                <w:szCs w:val="20"/>
              </w:rPr>
            </w:pPr>
            <w:r w:rsidRPr="00FE123E">
              <w:rPr>
                <w:rFonts w:ascii="Arial Narrow" w:hAnsi="Arial Narrow" w:cs="Arial"/>
                <w:sz w:val="20"/>
                <w:szCs w:val="20"/>
              </w:rPr>
              <w:t>-43,5%</w:t>
            </w:r>
          </w:p>
        </w:tc>
      </w:tr>
      <w:tr w:rsidR="00FE123E" w:rsidRPr="00FE123E" w14:paraId="7F833402" w14:textId="77777777" w:rsidTr="00CD44F3">
        <w:trPr>
          <w:trHeight w:val="360"/>
        </w:trPr>
        <w:tc>
          <w:tcPr>
            <w:tcW w:w="1823" w:type="pct"/>
            <w:tcBorders>
              <w:top w:val="nil"/>
              <w:left w:val="single" w:sz="4" w:space="0" w:color="auto"/>
              <w:bottom w:val="single" w:sz="4" w:space="0" w:color="auto"/>
              <w:right w:val="single" w:sz="4" w:space="0" w:color="auto"/>
            </w:tcBorders>
            <w:shd w:val="clear" w:color="auto" w:fill="auto"/>
            <w:noWrap/>
            <w:vAlign w:val="center"/>
            <w:hideMark/>
          </w:tcPr>
          <w:p w14:paraId="3EE27E7B" w14:textId="77777777" w:rsidR="00FE123E" w:rsidRPr="00FE123E" w:rsidRDefault="00FE123E" w:rsidP="00FE123E">
            <w:pPr>
              <w:ind w:firstLineChars="100" w:firstLine="200"/>
              <w:rPr>
                <w:rFonts w:ascii="Arial Narrow" w:hAnsi="Arial Narrow" w:cs="Arial"/>
                <w:sz w:val="20"/>
                <w:szCs w:val="20"/>
              </w:rPr>
            </w:pPr>
            <w:r w:rsidRPr="00FE123E">
              <w:rPr>
                <w:rFonts w:ascii="Arial Narrow" w:hAnsi="Arial Narrow" w:cs="Arial"/>
                <w:sz w:val="20"/>
                <w:szCs w:val="20"/>
              </w:rPr>
              <w:t>Други</w:t>
            </w:r>
          </w:p>
        </w:tc>
        <w:tc>
          <w:tcPr>
            <w:tcW w:w="794" w:type="pct"/>
            <w:tcBorders>
              <w:top w:val="nil"/>
              <w:left w:val="nil"/>
              <w:bottom w:val="single" w:sz="4" w:space="0" w:color="auto"/>
              <w:right w:val="single" w:sz="4" w:space="0" w:color="auto"/>
            </w:tcBorders>
            <w:shd w:val="clear" w:color="auto" w:fill="auto"/>
            <w:noWrap/>
            <w:vAlign w:val="center"/>
            <w:hideMark/>
          </w:tcPr>
          <w:p w14:paraId="121B0323" w14:textId="77777777" w:rsidR="00FE123E" w:rsidRPr="00FE123E" w:rsidRDefault="00FE123E" w:rsidP="00FE123E">
            <w:pPr>
              <w:jc w:val="right"/>
              <w:rPr>
                <w:rFonts w:ascii="Arial Narrow" w:hAnsi="Arial Narrow" w:cs="Arial"/>
                <w:sz w:val="20"/>
                <w:szCs w:val="20"/>
              </w:rPr>
            </w:pPr>
            <w:r w:rsidRPr="00FE123E">
              <w:rPr>
                <w:rFonts w:ascii="Arial Narrow" w:hAnsi="Arial Narrow" w:cs="Arial"/>
                <w:sz w:val="20"/>
                <w:szCs w:val="20"/>
              </w:rPr>
              <w:t>23 583</w:t>
            </w:r>
          </w:p>
        </w:tc>
        <w:tc>
          <w:tcPr>
            <w:tcW w:w="794" w:type="pct"/>
            <w:tcBorders>
              <w:top w:val="nil"/>
              <w:left w:val="nil"/>
              <w:bottom w:val="single" w:sz="4" w:space="0" w:color="auto"/>
              <w:right w:val="single" w:sz="4" w:space="0" w:color="auto"/>
            </w:tcBorders>
            <w:shd w:val="clear" w:color="auto" w:fill="auto"/>
            <w:noWrap/>
            <w:vAlign w:val="center"/>
            <w:hideMark/>
          </w:tcPr>
          <w:p w14:paraId="31541003" w14:textId="77777777" w:rsidR="00FE123E" w:rsidRPr="00FE123E" w:rsidRDefault="00FE123E" w:rsidP="00FE123E">
            <w:pPr>
              <w:jc w:val="right"/>
              <w:rPr>
                <w:rFonts w:ascii="Arial Narrow" w:hAnsi="Arial Narrow" w:cs="Arial"/>
                <w:sz w:val="20"/>
                <w:szCs w:val="20"/>
              </w:rPr>
            </w:pPr>
            <w:r w:rsidRPr="00FE123E">
              <w:rPr>
                <w:rFonts w:ascii="Arial Narrow" w:hAnsi="Arial Narrow" w:cs="Arial"/>
                <w:sz w:val="20"/>
                <w:szCs w:val="20"/>
              </w:rPr>
              <w:t>9 711</w:t>
            </w:r>
          </w:p>
        </w:tc>
        <w:tc>
          <w:tcPr>
            <w:tcW w:w="867" w:type="pct"/>
            <w:tcBorders>
              <w:top w:val="nil"/>
              <w:left w:val="nil"/>
              <w:bottom w:val="single" w:sz="4" w:space="0" w:color="auto"/>
              <w:right w:val="single" w:sz="4" w:space="0" w:color="auto"/>
            </w:tcBorders>
            <w:shd w:val="clear" w:color="auto" w:fill="auto"/>
            <w:noWrap/>
            <w:vAlign w:val="center"/>
            <w:hideMark/>
          </w:tcPr>
          <w:p w14:paraId="00F702B5" w14:textId="77777777" w:rsidR="00FE123E" w:rsidRPr="00FE123E" w:rsidRDefault="00FE123E" w:rsidP="00FE123E">
            <w:pPr>
              <w:jc w:val="right"/>
              <w:rPr>
                <w:rFonts w:ascii="Arial Narrow" w:hAnsi="Arial Narrow" w:cs="Arial"/>
                <w:sz w:val="20"/>
                <w:szCs w:val="20"/>
              </w:rPr>
            </w:pPr>
            <w:r w:rsidRPr="00FE123E">
              <w:rPr>
                <w:rFonts w:ascii="Arial Narrow" w:hAnsi="Arial Narrow" w:cs="Arial"/>
                <w:sz w:val="20"/>
                <w:szCs w:val="20"/>
              </w:rPr>
              <w:t>-13 872</w:t>
            </w:r>
          </w:p>
        </w:tc>
        <w:tc>
          <w:tcPr>
            <w:tcW w:w="722" w:type="pct"/>
            <w:tcBorders>
              <w:top w:val="nil"/>
              <w:left w:val="nil"/>
              <w:bottom w:val="single" w:sz="4" w:space="0" w:color="auto"/>
              <w:right w:val="single" w:sz="4" w:space="0" w:color="auto"/>
            </w:tcBorders>
            <w:shd w:val="clear" w:color="auto" w:fill="auto"/>
            <w:noWrap/>
            <w:vAlign w:val="center"/>
            <w:hideMark/>
          </w:tcPr>
          <w:p w14:paraId="1F2F9566" w14:textId="77777777" w:rsidR="00FE123E" w:rsidRPr="00FE123E" w:rsidRDefault="00FE123E" w:rsidP="00FE123E">
            <w:pPr>
              <w:jc w:val="right"/>
              <w:rPr>
                <w:rFonts w:ascii="Arial Narrow" w:hAnsi="Arial Narrow" w:cs="Arial"/>
                <w:sz w:val="20"/>
                <w:szCs w:val="20"/>
              </w:rPr>
            </w:pPr>
            <w:r w:rsidRPr="00FE123E">
              <w:rPr>
                <w:rFonts w:ascii="Arial Narrow" w:hAnsi="Arial Narrow" w:cs="Arial"/>
                <w:sz w:val="20"/>
                <w:szCs w:val="20"/>
              </w:rPr>
              <w:t>-58,8%</w:t>
            </w:r>
          </w:p>
        </w:tc>
      </w:tr>
      <w:tr w:rsidR="00FE123E" w:rsidRPr="00FE123E" w14:paraId="083D0290" w14:textId="77777777" w:rsidTr="00CD44F3">
        <w:trPr>
          <w:trHeight w:val="360"/>
        </w:trPr>
        <w:tc>
          <w:tcPr>
            <w:tcW w:w="1823" w:type="pct"/>
            <w:tcBorders>
              <w:top w:val="nil"/>
              <w:left w:val="single" w:sz="4" w:space="0" w:color="auto"/>
              <w:bottom w:val="single" w:sz="4" w:space="0" w:color="auto"/>
              <w:right w:val="single" w:sz="4" w:space="0" w:color="auto"/>
            </w:tcBorders>
            <w:shd w:val="clear" w:color="auto" w:fill="auto"/>
            <w:noWrap/>
            <w:vAlign w:val="center"/>
            <w:hideMark/>
          </w:tcPr>
          <w:p w14:paraId="676F20C8" w14:textId="77777777" w:rsidR="00FE123E" w:rsidRPr="00FE123E" w:rsidRDefault="00FE123E" w:rsidP="00FE123E">
            <w:pPr>
              <w:rPr>
                <w:rFonts w:ascii="Arial Narrow" w:hAnsi="Arial Narrow" w:cs="Arial"/>
                <w:b/>
                <w:bCs/>
                <w:sz w:val="20"/>
                <w:szCs w:val="20"/>
              </w:rPr>
            </w:pPr>
            <w:r w:rsidRPr="00FE123E">
              <w:rPr>
                <w:rFonts w:ascii="Arial Narrow" w:hAnsi="Arial Narrow" w:cs="Arial"/>
                <w:b/>
                <w:bCs/>
                <w:sz w:val="20"/>
                <w:szCs w:val="20"/>
              </w:rPr>
              <w:t>Трети страни - общо, в т. ч.:</w:t>
            </w:r>
          </w:p>
        </w:tc>
        <w:tc>
          <w:tcPr>
            <w:tcW w:w="794" w:type="pct"/>
            <w:tcBorders>
              <w:top w:val="nil"/>
              <w:left w:val="nil"/>
              <w:bottom w:val="single" w:sz="4" w:space="0" w:color="auto"/>
              <w:right w:val="single" w:sz="4" w:space="0" w:color="auto"/>
            </w:tcBorders>
            <w:shd w:val="clear" w:color="auto" w:fill="auto"/>
            <w:noWrap/>
            <w:vAlign w:val="center"/>
            <w:hideMark/>
          </w:tcPr>
          <w:p w14:paraId="2D49780B" w14:textId="77777777" w:rsidR="00FE123E" w:rsidRPr="00FE123E" w:rsidRDefault="00FE123E" w:rsidP="00FE123E">
            <w:pPr>
              <w:jc w:val="right"/>
              <w:rPr>
                <w:rFonts w:ascii="Arial Narrow" w:hAnsi="Arial Narrow" w:cs="Arial"/>
                <w:b/>
                <w:bCs/>
                <w:sz w:val="20"/>
                <w:szCs w:val="20"/>
              </w:rPr>
            </w:pPr>
            <w:r w:rsidRPr="00FE123E">
              <w:rPr>
                <w:rFonts w:ascii="Arial Narrow" w:hAnsi="Arial Narrow" w:cs="Arial"/>
                <w:b/>
                <w:bCs/>
                <w:sz w:val="20"/>
                <w:szCs w:val="20"/>
              </w:rPr>
              <w:t>3 090 119</w:t>
            </w:r>
          </w:p>
        </w:tc>
        <w:tc>
          <w:tcPr>
            <w:tcW w:w="794" w:type="pct"/>
            <w:tcBorders>
              <w:top w:val="nil"/>
              <w:left w:val="nil"/>
              <w:bottom w:val="single" w:sz="4" w:space="0" w:color="auto"/>
              <w:right w:val="single" w:sz="4" w:space="0" w:color="auto"/>
            </w:tcBorders>
            <w:shd w:val="clear" w:color="auto" w:fill="auto"/>
            <w:noWrap/>
            <w:vAlign w:val="center"/>
            <w:hideMark/>
          </w:tcPr>
          <w:p w14:paraId="768EFA3C" w14:textId="77777777" w:rsidR="00FE123E" w:rsidRPr="00FE123E" w:rsidRDefault="00FE123E" w:rsidP="00FE123E">
            <w:pPr>
              <w:jc w:val="right"/>
              <w:rPr>
                <w:rFonts w:ascii="Arial Narrow" w:hAnsi="Arial Narrow" w:cs="Arial"/>
                <w:b/>
                <w:bCs/>
                <w:sz w:val="20"/>
                <w:szCs w:val="20"/>
              </w:rPr>
            </w:pPr>
            <w:r w:rsidRPr="00FE123E">
              <w:rPr>
                <w:rFonts w:ascii="Arial Narrow" w:hAnsi="Arial Narrow" w:cs="Arial"/>
                <w:b/>
                <w:bCs/>
                <w:sz w:val="20"/>
                <w:szCs w:val="20"/>
              </w:rPr>
              <w:t>2 060 476</w:t>
            </w:r>
          </w:p>
        </w:tc>
        <w:tc>
          <w:tcPr>
            <w:tcW w:w="867" w:type="pct"/>
            <w:tcBorders>
              <w:top w:val="nil"/>
              <w:left w:val="nil"/>
              <w:bottom w:val="single" w:sz="4" w:space="0" w:color="auto"/>
              <w:right w:val="single" w:sz="4" w:space="0" w:color="auto"/>
            </w:tcBorders>
            <w:shd w:val="clear" w:color="auto" w:fill="auto"/>
            <w:noWrap/>
            <w:vAlign w:val="center"/>
            <w:hideMark/>
          </w:tcPr>
          <w:p w14:paraId="6622D17F" w14:textId="77777777" w:rsidR="00FE123E" w:rsidRPr="00FE123E" w:rsidRDefault="00FE123E" w:rsidP="00FE123E">
            <w:pPr>
              <w:jc w:val="right"/>
              <w:rPr>
                <w:rFonts w:ascii="Arial Narrow" w:hAnsi="Arial Narrow" w:cs="Arial"/>
                <w:b/>
                <w:bCs/>
                <w:sz w:val="20"/>
                <w:szCs w:val="20"/>
              </w:rPr>
            </w:pPr>
            <w:r w:rsidRPr="00FE123E">
              <w:rPr>
                <w:rFonts w:ascii="Arial Narrow" w:hAnsi="Arial Narrow" w:cs="Arial"/>
                <w:b/>
                <w:bCs/>
                <w:sz w:val="20"/>
                <w:szCs w:val="20"/>
              </w:rPr>
              <w:t>-1 029 643</w:t>
            </w:r>
          </w:p>
        </w:tc>
        <w:tc>
          <w:tcPr>
            <w:tcW w:w="722" w:type="pct"/>
            <w:tcBorders>
              <w:top w:val="nil"/>
              <w:left w:val="nil"/>
              <w:bottom w:val="single" w:sz="4" w:space="0" w:color="auto"/>
              <w:right w:val="single" w:sz="4" w:space="0" w:color="auto"/>
            </w:tcBorders>
            <w:shd w:val="clear" w:color="auto" w:fill="auto"/>
            <w:noWrap/>
            <w:vAlign w:val="center"/>
            <w:hideMark/>
          </w:tcPr>
          <w:p w14:paraId="60CBDF29" w14:textId="77777777" w:rsidR="00FE123E" w:rsidRPr="00FE123E" w:rsidRDefault="00FE123E" w:rsidP="00FE123E">
            <w:pPr>
              <w:jc w:val="right"/>
              <w:rPr>
                <w:rFonts w:ascii="Arial Narrow" w:hAnsi="Arial Narrow" w:cs="Arial"/>
                <w:b/>
                <w:bCs/>
                <w:sz w:val="20"/>
                <w:szCs w:val="20"/>
              </w:rPr>
            </w:pPr>
            <w:r w:rsidRPr="00FE123E">
              <w:rPr>
                <w:rFonts w:ascii="Arial Narrow" w:hAnsi="Arial Narrow" w:cs="Arial"/>
                <w:b/>
                <w:bCs/>
                <w:sz w:val="20"/>
                <w:szCs w:val="20"/>
              </w:rPr>
              <w:t>-33,3%</w:t>
            </w:r>
          </w:p>
        </w:tc>
      </w:tr>
      <w:tr w:rsidR="00FE123E" w:rsidRPr="00FE123E" w14:paraId="0BC1354F" w14:textId="77777777" w:rsidTr="00CD44F3">
        <w:trPr>
          <w:trHeight w:val="360"/>
        </w:trPr>
        <w:tc>
          <w:tcPr>
            <w:tcW w:w="1823" w:type="pct"/>
            <w:tcBorders>
              <w:top w:val="nil"/>
              <w:left w:val="single" w:sz="4" w:space="0" w:color="auto"/>
              <w:bottom w:val="single" w:sz="4" w:space="0" w:color="auto"/>
              <w:right w:val="single" w:sz="4" w:space="0" w:color="auto"/>
            </w:tcBorders>
            <w:shd w:val="clear" w:color="auto" w:fill="auto"/>
            <w:noWrap/>
            <w:vAlign w:val="center"/>
            <w:hideMark/>
          </w:tcPr>
          <w:p w14:paraId="2797F98C" w14:textId="77777777" w:rsidR="00FE123E" w:rsidRPr="00FE123E" w:rsidRDefault="00FE123E" w:rsidP="00FE123E">
            <w:pPr>
              <w:ind w:firstLineChars="100" w:firstLine="200"/>
              <w:rPr>
                <w:rFonts w:ascii="Arial Narrow" w:hAnsi="Arial Narrow" w:cs="Arial"/>
                <w:sz w:val="20"/>
                <w:szCs w:val="20"/>
              </w:rPr>
            </w:pPr>
            <w:r w:rsidRPr="00FE123E">
              <w:rPr>
                <w:rFonts w:ascii="Arial Narrow" w:hAnsi="Arial Narrow" w:cs="Arial"/>
                <w:sz w:val="20"/>
                <w:szCs w:val="20"/>
              </w:rPr>
              <w:t>Обединено кралство</w:t>
            </w:r>
          </w:p>
        </w:tc>
        <w:tc>
          <w:tcPr>
            <w:tcW w:w="794" w:type="pct"/>
            <w:tcBorders>
              <w:top w:val="nil"/>
              <w:left w:val="nil"/>
              <w:bottom w:val="single" w:sz="4" w:space="0" w:color="auto"/>
              <w:right w:val="single" w:sz="4" w:space="0" w:color="auto"/>
            </w:tcBorders>
            <w:shd w:val="clear" w:color="auto" w:fill="auto"/>
            <w:noWrap/>
            <w:vAlign w:val="center"/>
            <w:hideMark/>
          </w:tcPr>
          <w:p w14:paraId="0C4D4249" w14:textId="77777777" w:rsidR="00FE123E" w:rsidRPr="00FE123E" w:rsidRDefault="00FE123E" w:rsidP="00FE123E">
            <w:pPr>
              <w:jc w:val="right"/>
              <w:rPr>
                <w:rFonts w:ascii="Arial Narrow" w:hAnsi="Arial Narrow" w:cs="Arial"/>
                <w:sz w:val="20"/>
                <w:szCs w:val="20"/>
              </w:rPr>
            </w:pPr>
            <w:r w:rsidRPr="00FE123E">
              <w:rPr>
                <w:rFonts w:ascii="Arial Narrow" w:hAnsi="Arial Narrow" w:cs="Arial"/>
                <w:sz w:val="20"/>
                <w:szCs w:val="20"/>
              </w:rPr>
              <w:t>530 041</w:t>
            </w:r>
          </w:p>
        </w:tc>
        <w:tc>
          <w:tcPr>
            <w:tcW w:w="794" w:type="pct"/>
            <w:tcBorders>
              <w:top w:val="nil"/>
              <w:left w:val="nil"/>
              <w:bottom w:val="single" w:sz="4" w:space="0" w:color="auto"/>
              <w:right w:val="single" w:sz="4" w:space="0" w:color="auto"/>
            </w:tcBorders>
            <w:shd w:val="clear" w:color="auto" w:fill="auto"/>
            <w:noWrap/>
            <w:vAlign w:val="center"/>
            <w:hideMark/>
          </w:tcPr>
          <w:p w14:paraId="0AF49682" w14:textId="77777777" w:rsidR="00FE123E" w:rsidRPr="00FE123E" w:rsidRDefault="00FE123E" w:rsidP="00FE123E">
            <w:pPr>
              <w:jc w:val="right"/>
              <w:rPr>
                <w:rFonts w:ascii="Arial Narrow" w:hAnsi="Arial Narrow" w:cs="Arial"/>
                <w:sz w:val="20"/>
                <w:szCs w:val="20"/>
              </w:rPr>
            </w:pPr>
            <w:r w:rsidRPr="00FE123E">
              <w:rPr>
                <w:rFonts w:ascii="Arial Narrow" w:hAnsi="Arial Narrow" w:cs="Arial"/>
                <w:sz w:val="20"/>
                <w:szCs w:val="20"/>
              </w:rPr>
              <w:t>492 655</w:t>
            </w:r>
          </w:p>
        </w:tc>
        <w:tc>
          <w:tcPr>
            <w:tcW w:w="867" w:type="pct"/>
            <w:tcBorders>
              <w:top w:val="nil"/>
              <w:left w:val="nil"/>
              <w:bottom w:val="single" w:sz="4" w:space="0" w:color="auto"/>
              <w:right w:val="single" w:sz="4" w:space="0" w:color="auto"/>
            </w:tcBorders>
            <w:shd w:val="clear" w:color="auto" w:fill="auto"/>
            <w:noWrap/>
            <w:vAlign w:val="center"/>
            <w:hideMark/>
          </w:tcPr>
          <w:p w14:paraId="643E9E3D" w14:textId="77777777" w:rsidR="00FE123E" w:rsidRPr="00FE123E" w:rsidRDefault="00FE123E" w:rsidP="00FE123E">
            <w:pPr>
              <w:jc w:val="right"/>
              <w:rPr>
                <w:rFonts w:ascii="Arial Narrow" w:hAnsi="Arial Narrow" w:cs="Arial"/>
                <w:sz w:val="20"/>
                <w:szCs w:val="20"/>
              </w:rPr>
            </w:pPr>
            <w:r w:rsidRPr="00FE123E">
              <w:rPr>
                <w:rFonts w:ascii="Arial Narrow" w:hAnsi="Arial Narrow" w:cs="Arial"/>
                <w:sz w:val="20"/>
                <w:szCs w:val="20"/>
              </w:rPr>
              <w:t>-37 386</w:t>
            </w:r>
          </w:p>
        </w:tc>
        <w:tc>
          <w:tcPr>
            <w:tcW w:w="722" w:type="pct"/>
            <w:tcBorders>
              <w:top w:val="nil"/>
              <w:left w:val="nil"/>
              <w:bottom w:val="single" w:sz="4" w:space="0" w:color="auto"/>
              <w:right w:val="single" w:sz="4" w:space="0" w:color="auto"/>
            </w:tcBorders>
            <w:shd w:val="clear" w:color="auto" w:fill="auto"/>
            <w:noWrap/>
            <w:vAlign w:val="center"/>
            <w:hideMark/>
          </w:tcPr>
          <w:p w14:paraId="51498006" w14:textId="77777777" w:rsidR="00FE123E" w:rsidRPr="00FE123E" w:rsidRDefault="00FE123E" w:rsidP="00FE123E">
            <w:pPr>
              <w:jc w:val="right"/>
              <w:rPr>
                <w:rFonts w:ascii="Arial Narrow" w:hAnsi="Arial Narrow" w:cs="Arial"/>
                <w:sz w:val="20"/>
                <w:szCs w:val="20"/>
              </w:rPr>
            </w:pPr>
            <w:r w:rsidRPr="00FE123E">
              <w:rPr>
                <w:rFonts w:ascii="Arial Narrow" w:hAnsi="Arial Narrow" w:cs="Arial"/>
                <w:sz w:val="20"/>
                <w:szCs w:val="20"/>
              </w:rPr>
              <w:t>-7,1%</w:t>
            </w:r>
          </w:p>
        </w:tc>
      </w:tr>
      <w:tr w:rsidR="00FE123E" w:rsidRPr="00FE123E" w14:paraId="55DFE9D1" w14:textId="77777777" w:rsidTr="00CD44F3">
        <w:trPr>
          <w:trHeight w:val="360"/>
        </w:trPr>
        <w:tc>
          <w:tcPr>
            <w:tcW w:w="1823" w:type="pct"/>
            <w:tcBorders>
              <w:top w:val="nil"/>
              <w:left w:val="single" w:sz="4" w:space="0" w:color="auto"/>
              <w:bottom w:val="single" w:sz="4" w:space="0" w:color="auto"/>
              <w:right w:val="single" w:sz="4" w:space="0" w:color="auto"/>
            </w:tcBorders>
            <w:shd w:val="clear" w:color="auto" w:fill="auto"/>
            <w:noWrap/>
            <w:vAlign w:val="center"/>
            <w:hideMark/>
          </w:tcPr>
          <w:p w14:paraId="0E26C3FC" w14:textId="77777777" w:rsidR="00FE123E" w:rsidRPr="00FE123E" w:rsidRDefault="00FE123E" w:rsidP="00FE123E">
            <w:pPr>
              <w:ind w:firstLineChars="100" w:firstLine="200"/>
              <w:rPr>
                <w:rFonts w:ascii="Arial Narrow" w:hAnsi="Arial Narrow" w:cs="Arial"/>
                <w:sz w:val="20"/>
                <w:szCs w:val="20"/>
              </w:rPr>
            </w:pPr>
            <w:r w:rsidRPr="00FE123E">
              <w:rPr>
                <w:rFonts w:ascii="Arial Narrow" w:hAnsi="Arial Narrow" w:cs="Arial"/>
                <w:sz w:val="20"/>
                <w:szCs w:val="20"/>
              </w:rPr>
              <w:t>САЩ</w:t>
            </w:r>
          </w:p>
        </w:tc>
        <w:tc>
          <w:tcPr>
            <w:tcW w:w="794" w:type="pct"/>
            <w:tcBorders>
              <w:top w:val="nil"/>
              <w:left w:val="nil"/>
              <w:bottom w:val="single" w:sz="4" w:space="0" w:color="auto"/>
              <w:right w:val="single" w:sz="4" w:space="0" w:color="auto"/>
            </w:tcBorders>
            <w:shd w:val="clear" w:color="auto" w:fill="auto"/>
            <w:noWrap/>
            <w:vAlign w:val="center"/>
            <w:hideMark/>
          </w:tcPr>
          <w:p w14:paraId="00395B70" w14:textId="77777777" w:rsidR="00FE123E" w:rsidRPr="00FE123E" w:rsidRDefault="00FE123E" w:rsidP="00FE123E">
            <w:pPr>
              <w:jc w:val="right"/>
              <w:rPr>
                <w:rFonts w:ascii="Arial Narrow" w:hAnsi="Arial Narrow" w:cs="Arial"/>
                <w:sz w:val="20"/>
                <w:szCs w:val="20"/>
              </w:rPr>
            </w:pPr>
            <w:r w:rsidRPr="00FE123E">
              <w:rPr>
                <w:rFonts w:ascii="Arial Narrow" w:hAnsi="Arial Narrow" w:cs="Arial"/>
                <w:sz w:val="20"/>
                <w:szCs w:val="20"/>
              </w:rPr>
              <w:t>410 588</w:t>
            </w:r>
          </w:p>
        </w:tc>
        <w:tc>
          <w:tcPr>
            <w:tcW w:w="794" w:type="pct"/>
            <w:tcBorders>
              <w:top w:val="nil"/>
              <w:left w:val="nil"/>
              <w:bottom w:val="single" w:sz="4" w:space="0" w:color="auto"/>
              <w:right w:val="single" w:sz="4" w:space="0" w:color="auto"/>
            </w:tcBorders>
            <w:shd w:val="clear" w:color="auto" w:fill="auto"/>
            <w:noWrap/>
            <w:vAlign w:val="center"/>
            <w:hideMark/>
          </w:tcPr>
          <w:p w14:paraId="337596B4" w14:textId="77777777" w:rsidR="00FE123E" w:rsidRPr="00FE123E" w:rsidRDefault="00FE123E" w:rsidP="00FE123E">
            <w:pPr>
              <w:jc w:val="right"/>
              <w:rPr>
                <w:rFonts w:ascii="Arial Narrow" w:hAnsi="Arial Narrow" w:cs="Arial"/>
                <w:sz w:val="20"/>
                <w:szCs w:val="20"/>
              </w:rPr>
            </w:pPr>
            <w:r w:rsidRPr="00FE123E">
              <w:rPr>
                <w:rFonts w:ascii="Arial Narrow" w:hAnsi="Arial Narrow" w:cs="Arial"/>
                <w:sz w:val="20"/>
                <w:szCs w:val="20"/>
              </w:rPr>
              <w:t>414 534</w:t>
            </w:r>
          </w:p>
        </w:tc>
        <w:tc>
          <w:tcPr>
            <w:tcW w:w="867" w:type="pct"/>
            <w:tcBorders>
              <w:top w:val="nil"/>
              <w:left w:val="nil"/>
              <w:bottom w:val="single" w:sz="4" w:space="0" w:color="auto"/>
              <w:right w:val="single" w:sz="4" w:space="0" w:color="auto"/>
            </w:tcBorders>
            <w:shd w:val="clear" w:color="auto" w:fill="auto"/>
            <w:noWrap/>
            <w:vAlign w:val="center"/>
            <w:hideMark/>
          </w:tcPr>
          <w:p w14:paraId="41234804" w14:textId="77777777" w:rsidR="00FE123E" w:rsidRPr="00FE123E" w:rsidRDefault="00FE123E" w:rsidP="00FE123E">
            <w:pPr>
              <w:jc w:val="right"/>
              <w:rPr>
                <w:rFonts w:ascii="Arial Narrow" w:hAnsi="Arial Narrow" w:cs="Arial"/>
                <w:sz w:val="20"/>
                <w:szCs w:val="20"/>
              </w:rPr>
            </w:pPr>
            <w:r w:rsidRPr="00FE123E">
              <w:rPr>
                <w:rFonts w:ascii="Arial Narrow" w:hAnsi="Arial Narrow" w:cs="Arial"/>
                <w:sz w:val="20"/>
                <w:szCs w:val="20"/>
              </w:rPr>
              <w:t>3 946</w:t>
            </w:r>
          </w:p>
        </w:tc>
        <w:tc>
          <w:tcPr>
            <w:tcW w:w="722" w:type="pct"/>
            <w:tcBorders>
              <w:top w:val="nil"/>
              <w:left w:val="nil"/>
              <w:bottom w:val="single" w:sz="4" w:space="0" w:color="auto"/>
              <w:right w:val="single" w:sz="4" w:space="0" w:color="auto"/>
            </w:tcBorders>
            <w:shd w:val="clear" w:color="auto" w:fill="auto"/>
            <w:noWrap/>
            <w:vAlign w:val="center"/>
            <w:hideMark/>
          </w:tcPr>
          <w:p w14:paraId="018E9467" w14:textId="77777777" w:rsidR="00FE123E" w:rsidRPr="00FE123E" w:rsidRDefault="00FE123E" w:rsidP="00FE123E">
            <w:pPr>
              <w:jc w:val="right"/>
              <w:rPr>
                <w:rFonts w:ascii="Arial Narrow" w:hAnsi="Arial Narrow" w:cs="Arial"/>
                <w:sz w:val="20"/>
                <w:szCs w:val="20"/>
              </w:rPr>
            </w:pPr>
            <w:r w:rsidRPr="00FE123E">
              <w:rPr>
                <w:rFonts w:ascii="Arial Narrow" w:hAnsi="Arial Narrow" w:cs="Arial"/>
                <w:sz w:val="20"/>
                <w:szCs w:val="20"/>
              </w:rPr>
              <w:t>1,0%</w:t>
            </w:r>
          </w:p>
        </w:tc>
      </w:tr>
      <w:tr w:rsidR="00FE123E" w:rsidRPr="00FE123E" w14:paraId="219081F6" w14:textId="77777777" w:rsidTr="00CD44F3">
        <w:trPr>
          <w:trHeight w:val="360"/>
        </w:trPr>
        <w:tc>
          <w:tcPr>
            <w:tcW w:w="1823" w:type="pct"/>
            <w:tcBorders>
              <w:top w:val="nil"/>
              <w:left w:val="single" w:sz="4" w:space="0" w:color="auto"/>
              <w:bottom w:val="single" w:sz="4" w:space="0" w:color="auto"/>
              <w:right w:val="single" w:sz="4" w:space="0" w:color="auto"/>
            </w:tcBorders>
            <w:shd w:val="clear" w:color="auto" w:fill="auto"/>
            <w:noWrap/>
            <w:vAlign w:val="center"/>
            <w:hideMark/>
          </w:tcPr>
          <w:p w14:paraId="0A19CBD3" w14:textId="77777777" w:rsidR="00FE123E" w:rsidRPr="00FE123E" w:rsidRDefault="00FE123E" w:rsidP="00FE123E">
            <w:pPr>
              <w:ind w:firstLineChars="100" w:firstLine="200"/>
              <w:rPr>
                <w:rFonts w:ascii="Arial Narrow" w:hAnsi="Arial Narrow" w:cs="Arial"/>
                <w:sz w:val="20"/>
                <w:szCs w:val="20"/>
              </w:rPr>
            </w:pPr>
            <w:r w:rsidRPr="00FE123E">
              <w:rPr>
                <w:rFonts w:ascii="Arial Narrow" w:hAnsi="Arial Narrow" w:cs="Arial"/>
                <w:sz w:val="20"/>
                <w:szCs w:val="20"/>
              </w:rPr>
              <w:t>Япония</w:t>
            </w:r>
          </w:p>
        </w:tc>
        <w:tc>
          <w:tcPr>
            <w:tcW w:w="794" w:type="pct"/>
            <w:tcBorders>
              <w:top w:val="nil"/>
              <w:left w:val="nil"/>
              <w:bottom w:val="single" w:sz="4" w:space="0" w:color="auto"/>
              <w:right w:val="single" w:sz="4" w:space="0" w:color="auto"/>
            </w:tcBorders>
            <w:shd w:val="clear" w:color="auto" w:fill="auto"/>
            <w:noWrap/>
            <w:vAlign w:val="center"/>
            <w:hideMark/>
          </w:tcPr>
          <w:p w14:paraId="1AAD14E1" w14:textId="77777777" w:rsidR="00FE123E" w:rsidRPr="00FE123E" w:rsidRDefault="00FE123E" w:rsidP="00FE123E">
            <w:pPr>
              <w:jc w:val="right"/>
              <w:rPr>
                <w:rFonts w:ascii="Arial Narrow" w:hAnsi="Arial Narrow" w:cs="Arial"/>
                <w:sz w:val="20"/>
                <w:szCs w:val="20"/>
              </w:rPr>
            </w:pPr>
            <w:r w:rsidRPr="00FE123E">
              <w:rPr>
                <w:rFonts w:ascii="Arial Narrow" w:hAnsi="Arial Narrow" w:cs="Arial"/>
                <w:sz w:val="20"/>
                <w:szCs w:val="20"/>
              </w:rPr>
              <w:t>371 561</w:t>
            </w:r>
          </w:p>
        </w:tc>
        <w:tc>
          <w:tcPr>
            <w:tcW w:w="794" w:type="pct"/>
            <w:tcBorders>
              <w:top w:val="nil"/>
              <w:left w:val="nil"/>
              <w:bottom w:val="single" w:sz="4" w:space="0" w:color="auto"/>
              <w:right w:val="single" w:sz="4" w:space="0" w:color="auto"/>
            </w:tcBorders>
            <w:shd w:val="clear" w:color="auto" w:fill="auto"/>
            <w:noWrap/>
            <w:vAlign w:val="center"/>
            <w:hideMark/>
          </w:tcPr>
          <w:p w14:paraId="7D06AA31" w14:textId="77777777" w:rsidR="00FE123E" w:rsidRPr="00FE123E" w:rsidRDefault="00FE123E" w:rsidP="00FE123E">
            <w:pPr>
              <w:jc w:val="right"/>
              <w:rPr>
                <w:rFonts w:ascii="Arial Narrow" w:hAnsi="Arial Narrow" w:cs="Arial"/>
                <w:sz w:val="20"/>
                <w:szCs w:val="20"/>
              </w:rPr>
            </w:pPr>
            <w:r w:rsidRPr="00FE123E">
              <w:rPr>
                <w:rFonts w:ascii="Arial Narrow" w:hAnsi="Arial Narrow" w:cs="Arial"/>
                <w:sz w:val="20"/>
                <w:szCs w:val="20"/>
              </w:rPr>
              <w:t>323 700</w:t>
            </w:r>
          </w:p>
        </w:tc>
        <w:tc>
          <w:tcPr>
            <w:tcW w:w="867" w:type="pct"/>
            <w:tcBorders>
              <w:top w:val="nil"/>
              <w:left w:val="nil"/>
              <w:bottom w:val="single" w:sz="4" w:space="0" w:color="auto"/>
              <w:right w:val="single" w:sz="4" w:space="0" w:color="auto"/>
            </w:tcBorders>
            <w:shd w:val="clear" w:color="auto" w:fill="auto"/>
            <w:noWrap/>
            <w:vAlign w:val="center"/>
            <w:hideMark/>
          </w:tcPr>
          <w:p w14:paraId="03BC0B52" w14:textId="77777777" w:rsidR="00FE123E" w:rsidRPr="00FE123E" w:rsidRDefault="00FE123E" w:rsidP="00FE123E">
            <w:pPr>
              <w:jc w:val="right"/>
              <w:rPr>
                <w:rFonts w:ascii="Arial Narrow" w:hAnsi="Arial Narrow" w:cs="Arial"/>
                <w:sz w:val="20"/>
                <w:szCs w:val="20"/>
              </w:rPr>
            </w:pPr>
            <w:r w:rsidRPr="00FE123E">
              <w:rPr>
                <w:rFonts w:ascii="Arial Narrow" w:hAnsi="Arial Narrow" w:cs="Arial"/>
                <w:sz w:val="20"/>
                <w:szCs w:val="20"/>
              </w:rPr>
              <w:t>-47 861</w:t>
            </w:r>
          </w:p>
        </w:tc>
        <w:tc>
          <w:tcPr>
            <w:tcW w:w="722" w:type="pct"/>
            <w:tcBorders>
              <w:top w:val="nil"/>
              <w:left w:val="nil"/>
              <w:bottom w:val="single" w:sz="4" w:space="0" w:color="auto"/>
              <w:right w:val="single" w:sz="4" w:space="0" w:color="auto"/>
            </w:tcBorders>
            <w:shd w:val="clear" w:color="auto" w:fill="auto"/>
            <w:noWrap/>
            <w:vAlign w:val="center"/>
            <w:hideMark/>
          </w:tcPr>
          <w:p w14:paraId="600B0375" w14:textId="77777777" w:rsidR="00FE123E" w:rsidRPr="00FE123E" w:rsidRDefault="00FE123E" w:rsidP="00FE123E">
            <w:pPr>
              <w:jc w:val="right"/>
              <w:rPr>
                <w:rFonts w:ascii="Arial Narrow" w:hAnsi="Arial Narrow" w:cs="Arial"/>
                <w:sz w:val="20"/>
                <w:szCs w:val="20"/>
              </w:rPr>
            </w:pPr>
            <w:r w:rsidRPr="00FE123E">
              <w:rPr>
                <w:rFonts w:ascii="Arial Narrow" w:hAnsi="Arial Narrow" w:cs="Arial"/>
                <w:sz w:val="20"/>
                <w:szCs w:val="20"/>
              </w:rPr>
              <w:t>-12,9%</w:t>
            </w:r>
          </w:p>
        </w:tc>
      </w:tr>
      <w:tr w:rsidR="00FE123E" w:rsidRPr="00FE123E" w14:paraId="4A967358" w14:textId="77777777" w:rsidTr="00CD44F3">
        <w:trPr>
          <w:trHeight w:val="360"/>
        </w:trPr>
        <w:tc>
          <w:tcPr>
            <w:tcW w:w="1823" w:type="pct"/>
            <w:tcBorders>
              <w:top w:val="nil"/>
              <w:left w:val="single" w:sz="4" w:space="0" w:color="auto"/>
              <w:bottom w:val="single" w:sz="4" w:space="0" w:color="auto"/>
              <w:right w:val="single" w:sz="4" w:space="0" w:color="auto"/>
            </w:tcBorders>
            <w:shd w:val="clear" w:color="auto" w:fill="auto"/>
            <w:noWrap/>
            <w:vAlign w:val="center"/>
            <w:hideMark/>
          </w:tcPr>
          <w:p w14:paraId="3FD687C5" w14:textId="77777777" w:rsidR="00FE123E" w:rsidRPr="00FE123E" w:rsidRDefault="00FE123E" w:rsidP="00FE123E">
            <w:pPr>
              <w:ind w:firstLineChars="100" w:firstLine="200"/>
              <w:rPr>
                <w:rFonts w:ascii="Arial Narrow" w:hAnsi="Arial Narrow" w:cs="Arial"/>
                <w:sz w:val="20"/>
                <w:szCs w:val="20"/>
              </w:rPr>
            </w:pPr>
            <w:r w:rsidRPr="00FE123E">
              <w:rPr>
                <w:rFonts w:ascii="Arial Narrow" w:hAnsi="Arial Narrow" w:cs="Arial"/>
                <w:sz w:val="20"/>
                <w:szCs w:val="20"/>
              </w:rPr>
              <w:t>Руска Федерация</w:t>
            </w:r>
          </w:p>
        </w:tc>
        <w:tc>
          <w:tcPr>
            <w:tcW w:w="794" w:type="pct"/>
            <w:tcBorders>
              <w:top w:val="nil"/>
              <w:left w:val="nil"/>
              <w:bottom w:val="single" w:sz="4" w:space="0" w:color="auto"/>
              <w:right w:val="single" w:sz="4" w:space="0" w:color="auto"/>
            </w:tcBorders>
            <w:shd w:val="clear" w:color="auto" w:fill="auto"/>
            <w:noWrap/>
            <w:vAlign w:val="center"/>
            <w:hideMark/>
          </w:tcPr>
          <w:p w14:paraId="24235C65" w14:textId="77777777" w:rsidR="00FE123E" w:rsidRPr="00FE123E" w:rsidRDefault="00FE123E" w:rsidP="00FE123E">
            <w:pPr>
              <w:jc w:val="right"/>
              <w:rPr>
                <w:rFonts w:ascii="Arial Narrow" w:hAnsi="Arial Narrow" w:cs="Arial"/>
                <w:sz w:val="20"/>
                <w:szCs w:val="20"/>
              </w:rPr>
            </w:pPr>
            <w:r w:rsidRPr="00FE123E">
              <w:rPr>
                <w:rFonts w:ascii="Arial Narrow" w:hAnsi="Arial Narrow" w:cs="Arial"/>
                <w:sz w:val="20"/>
                <w:szCs w:val="20"/>
              </w:rPr>
              <w:t>658 013</w:t>
            </w:r>
          </w:p>
        </w:tc>
        <w:tc>
          <w:tcPr>
            <w:tcW w:w="794" w:type="pct"/>
            <w:tcBorders>
              <w:top w:val="nil"/>
              <w:left w:val="nil"/>
              <w:bottom w:val="single" w:sz="4" w:space="0" w:color="auto"/>
              <w:right w:val="single" w:sz="4" w:space="0" w:color="auto"/>
            </w:tcBorders>
            <w:shd w:val="clear" w:color="auto" w:fill="auto"/>
            <w:noWrap/>
            <w:vAlign w:val="center"/>
            <w:hideMark/>
          </w:tcPr>
          <w:p w14:paraId="7B9C61A2" w14:textId="77777777" w:rsidR="00FE123E" w:rsidRPr="00FE123E" w:rsidRDefault="00FE123E" w:rsidP="00FE123E">
            <w:pPr>
              <w:jc w:val="right"/>
              <w:rPr>
                <w:rFonts w:ascii="Arial Narrow" w:hAnsi="Arial Narrow" w:cs="Arial"/>
                <w:sz w:val="20"/>
                <w:szCs w:val="20"/>
              </w:rPr>
            </w:pPr>
            <w:r w:rsidRPr="00FE123E">
              <w:rPr>
                <w:rFonts w:ascii="Arial Narrow" w:hAnsi="Arial Narrow" w:cs="Arial"/>
                <w:sz w:val="20"/>
                <w:szCs w:val="20"/>
              </w:rPr>
              <w:t>230 149</w:t>
            </w:r>
          </w:p>
        </w:tc>
        <w:tc>
          <w:tcPr>
            <w:tcW w:w="867" w:type="pct"/>
            <w:tcBorders>
              <w:top w:val="nil"/>
              <w:left w:val="nil"/>
              <w:bottom w:val="single" w:sz="4" w:space="0" w:color="auto"/>
              <w:right w:val="single" w:sz="4" w:space="0" w:color="auto"/>
            </w:tcBorders>
            <w:shd w:val="clear" w:color="auto" w:fill="auto"/>
            <w:noWrap/>
            <w:vAlign w:val="center"/>
            <w:hideMark/>
          </w:tcPr>
          <w:p w14:paraId="395A86FA" w14:textId="77777777" w:rsidR="00FE123E" w:rsidRPr="00FE123E" w:rsidRDefault="00FE123E" w:rsidP="00FE123E">
            <w:pPr>
              <w:jc w:val="right"/>
              <w:rPr>
                <w:rFonts w:ascii="Arial Narrow" w:hAnsi="Arial Narrow" w:cs="Arial"/>
                <w:sz w:val="20"/>
                <w:szCs w:val="20"/>
              </w:rPr>
            </w:pPr>
            <w:r w:rsidRPr="00FE123E">
              <w:rPr>
                <w:rFonts w:ascii="Arial Narrow" w:hAnsi="Arial Narrow" w:cs="Arial"/>
                <w:sz w:val="20"/>
                <w:szCs w:val="20"/>
              </w:rPr>
              <w:t>-427 864</w:t>
            </w:r>
          </w:p>
        </w:tc>
        <w:tc>
          <w:tcPr>
            <w:tcW w:w="722" w:type="pct"/>
            <w:tcBorders>
              <w:top w:val="nil"/>
              <w:left w:val="nil"/>
              <w:bottom w:val="single" w:sz="4" w:space="0" w:color="auto"/>
              <w:right w:val="single" w:sz="4" w:space="0" w:color="auto"/>
            </w:tcBorders>
            <w:shd w:val="clear" w:color="auto" w:fill="auto"/>
            <w:noWrap/>
            <w:vAlign w:val="center"/>
            <w:hideMark/>
          </w:tcPr>
          <w:p w14:paraId="60F8F9DD" w14:textId="77777777" w:rsidR="00FE123E" w:rsidRPr="00FE123E" w:rsidRDefault="00FE123E" w:rsidP="00FE123E">
            <w:pPr>
              <w:jc w:val="right"/>
              <w:rPr>
                <w:rFonts w:ascii="Arial Narrow" w:hAnsi="Arial Narrow" w:cs="Arial"/>
                <w:sz w:val="20"/>
                <w:szCs w:val="20"/>
              </w:rPr>
            </w:pPr>
            <w:r w:rsidRPr="00FE123E">
              <w:rPr>
                <w:rFonts w:ascii="Arial Narrow" w:hAnsi="Arial Narrow" w:cs="Arial"/>
                <w:sz w:val="20"/>
                <w:szCs w:val="20"/>
              </w:rPr>
              <w:t>-65,0%</w:t>
            </w:r>
          </w:p>
        </w:tc>
      </w:tr>
      <w:tr w:rsidR="00FE123E" w:rsidRPr="00FE123E" w14:paraId="4687FD31" w14:textId="77777777" w:rsidTr="00CD44F3">
        <w:trPr>
          <w:trHeight w:val="360"/>
        </w:trPr>
        <w:tc>
          <w:tcPr>
            <w:tcW w:w="1823" w:type="pct"/>
            <w:tcBorders>
              <w:top w:val="nil"/>
              <w:left w:val="single" w:sz="4" w:space="0" w:color="auto"/>
              <w:bottom w:val="single" w:sz="4" w:space="0" w:color="auto"/>
              <w:right w:val="single" w:sz="4" w:space="0" w:color="auto"/>
            </w:tcBorders>
            <w:shd w:val="clear" w:color="auto" w:fill="auto"/>
            <w:noWrap/>
            <w:vAlign w:val="center"/>
            <w:hideMark/>
          </w:tcPr>
          <w:p w14:paraId="08D3CB91" w14:textId="77777777" w:rsidR="00FE123E" w:rsidRPr="00FE123E" w:rsidRDefault="00FE123E" w:rsidP="00FE123E">
            <w:pPr>
              <w:ind w:firstLineChars="100" w:firstLine="200"/>
              <w:rPr>
                <w:rFonts w:ascii="Arial Narrow" w:hAnsi="Arial Narrow" w:cs="Arial"/>
                <w:sz w:val="20"/>
                <w:szCs w:val="20"/>
              </w:rPr>
            </w:pPr>
            <w:r w:rsidRPr="00FE123E">
              <w:rPr>
                <w:rFonts w:ascii="Arial Narrow" w:hAnsi="Arial Narrow" w:cs="Arial"/>
                <w:sz w:val="20"/>
                <w:szCs w:val="20"/>
              </w:rPr>
              <w:t>Кот д' Ивоар</w:t>
            </w:r>
          </w:p>
        </w:tc>
        <w:tc>
          <w:tcPr>
            <w:tcW w:w="794" w:type="pct"/>
            <w:tcBorders>
              <w:top w:val="nil"/>
              <w:left w:val="nil"/>
              <w:bottom w:val="single" w:sz="4" w:space="0" w:color="auto"/>
              <w:right w:val="single" w:sz="4" w:space="0" w:color="auto"/>
            </w:tcBorders>
            <w:shd w:val="clear" w:color="auto" w:fill="auto"/>
            <w:noWrap/>
            <w:vAlign w:val="center"/>
            <w:hideMark/>
          </w:tcPr>
          <w:p w14:paraId="40352FED" w14:textId="77777777" w:rsidR="00FE123E" w:rsidRPr="00FE123E" w:rsidRDefault="00FE123E" w:rsidP="00FE123E">
            <w:pPr>
              <w:jc w:val="right"/>
              <w:rPr>
                <w:rFonts w:ascii="Arial Narrow" w:hAnsi="Arial Narrow" w:cs="Arial"/>
                <w:sz w:val="20"/>
                <w:szCs w:val="20"/>
              </w:rPr>
            </w:pPr>
            <w:r w:rsidRPr="00FE123E">
              <w:rPr>
                <w:rFonts w:ascii="Arial Narrow" w:hAnsi="Arial Narrow" w:cs="Arial"/>
                <w:sz w:val="20"/>
                <w:szCs w:val="20"/>
              </w:rPr>
              <w:t>61 479</w:t>
            </w:r>
          </w:p>
        </w:tc>
        <w:tc>
          <w:tcPr>
            <w:tcW w:w="794" w:type="pct"/>
            <w:tcBorders>
              <w:top w:val="nil"/>
              <w:left w:val="nil"/>
              <w:bottom w:val="single" w:sz="4" w:space="0" w:color="auto"/>
              <w:right w:val="single" w:sz="4" w:space="0" w:color="auto"/>
            </w:tcBorders>
            <w:shd w:val="clear" w:color="auto" w:fill="auto"/>
            <w:noWrap/>
            <w:vAlign w:val="center"/>
            <w:hideMark/>
          </w:tcPr>
          <w:p w14:paraId="537C5E0E" w14:textId="77777777" w:rsidR="00FE123E" w:rsidRPr="00FE123E" w:rsidRDefault="00FE123E" w:rsidP="00FE123E">
            <w:pPr>
              <w:jc w:val="right"/>
              <w:rPr>
                <w:rFonts w:ascii="Arial Narrow" w:hAnsi="Arial Narrow" w:cs="Arial"/>
                <w:sz w:val="20"/>
                <w:szCs w:val="20"/>
              </w:rPr>
            </w:pPr>
            <w:r w:rsidRPr="00FE123E">
              <w:rPr>
                <w:rFonts w:ascii="Arial Narrow" w:hAnsi="Arial Narrow" w:cs="Arial"/>
                <w:sz w:val="20"/>
                <w:szCs w:val="20"/>
              </w:rPr>
              <w:t>99 450</w:t>
            </w:r>
          </w:p>
        </w:tc>
        <w:tc>
          <w:tcPr>
            <w:tcW w:w="867" w:type="pct"/>
            <w:tcBorders>
              <w:top w:val="nil"/>
              <w:left w:val="nil"/>
              <w:bottom w:val="single" w:sz="4" w:space="0" w:color="auto"/>
              <w:right w:val="single" w:sz="4" w:space="0" w:color="auto"/>
            </w:tcBorders>
            <w:shd w:val="clear" w:color="auto" w:fill="auto"/>
            <w:noWrap/>
            <w:vAlign w:val="center"/>
            <w:hideMark/>
          </w:tcPr>
          <w:p w14:paraId="65311973" w14:textId="77777777" w:rsidR="00FE123E" w:rsidRPr="00FE123E" w:rsidRDefault="00FE123E" w:rsidP="00FE123E">
            <w:pPr>
              <w:jc w:val="right"/>
              <w:rPr>
                <w:rFonts w:ascii="Arial Narrow" w:hAnsi="Arial Narrow" w:cs="Arial"/>
                <w:sz w:val="20"/>
                <w:szCs w:val="20"/>
              </w:rPr>
            </w:pPr>
            <w:r w:rsidRPr="00FE123E">
              <w:rPr>
                <w:rFonts w:ascii="Arial Narrow" w:hAnsi="Arial Narrow" w:cs="Arial"/>
                <w:sz w:val="20"/>
                <w:szCs w:val="20"/>
              </w:rPr>
              <w:t>37 971</w:t>
            </w:r>
          </w:p>
        </w:tc>
        <w:tc>
          <w:tcPr>
            <w:tcW w:w="722" w:type="pct"/>
            <w:tcBorders>
              <w:top w:val="nil"/>
              <w:left w:val="nil"/>
              <w:bottom w:val="single" w:sz="4" w:space="0" w:color="auto"/>
              <w:right w:val="single" w:sz="4" w:space="0" w:color="auto"/>
            </w:tcBorders>
            <w:shd w:val="clear" w:color="auto" w:fill="auto"/>
            <w:noWrap/>
            <w:vAlign w:val="center"/>
            <w:hideMark/>
          </w:tcPr>
          <w:p w14:paraId="27AA2CDE" w14:textId="77777777" w:rsidR="00FE123E" w:rsidRPr="00FE123E" w:rsidRDefault="00FE123E" w:rsidP="00FE123E">
            <w:pPr>
              <w:jc w:val="right"/>
              <w:rPr>
                <w:rFonts w:ascii="Arial Narrow" w:hAnsi="Arial Narrow" w:cs="Arial"/>
                <w:sz w:val="20"/>
                <w:szCs w:val="20"/>
              </w:rPr>
            </w:pPr>
            <w:r w:rsidRPr="00FE123E">
              <w:rPr>
                <w:rFonts w:ascii="Arial Narrow" w:hAnsi="Arial Narrow" w:cs="Arial"/>
                <w:sz w:val="20"/>
                <w:szCs w:val="20"/>
              </w:rPr>
              <w:t>61,8%</w:t>
            </w:r>
          </w:p>
        </w:tc>
      </w:tr>
      <w:tr w:rsidR="00FE123E" w:rsidRPr="00FE123E" w14:paraId="75291BF3" w14:textId="77777777" w:rsidTr="00CD44F3">
        <w:trPr>
          <w:trHeight w:val="360"/>
        </w:trPr>
        <w:tc>
          <w:tcPr>
            <w:tcW w:w="1823" w:type="pct"/>
            <w:tcBorders>
              <w:top w:val="nil"/>
              <w:left w:val="single" w:sz="4" w:space="0" w:color="auto"/>
              <w:bottom w:val="single" w:sz="4" w:space="0" w:color="auto"/>
              <w:right w:val="single" w:sz="4" w:space="0" w:color="auto"/>
            </w:tcBorders>
            <w:shd w:val="clear" w:color="auto" w:fill="auto"/>
            <w:noWrap/>
            <w:vAlign w:val="center"/>
            <w:hideMark/>
          </w:tcPr>
          <w:p w14:paraId="6A0911A5" w14:textId="77777777" w:rsidR="00FE123E" w:rsidRPr="00FE123E" w:rsidRDefault="00FE123E" w:rsidP="00FE123E">
            <w:pPr>
              <w:ind w:firstLineChars="100" w:firstLine="200"/>
              <w:rPr>
                <w:rFonts w:ascii="Arial Narrow" w:hAnsi="Arial Narrow" w:cs="Arial"/>
                <w:sz w:val="20"/>
                <w:szCs w:val="20"/>
              </w:rPr>
            </w:pPr>
            <w:r w:rsidRPr="00FE123E">
              <w:rPr>
                <w:rFonts w:ascii="Arial Narrow" w:hAnsi="Arial Narrow" w:cs="Arial"/>
                <w:sz w:val="20"/>
                <w:szCs w:val="20"/>
              </w:rPr>
              <w:t>Гана</w:t>
            </w:r>
          </w:p>
        </w:tc>
        <w:tc>
          <w:tcPr>
            <w:tcW w:w="794" w:type="pct"/>
            <w:tcBorders>
              <w:top w:val="nil"/>
              <w:left w:val="nil"/>
              <w:bottom w:val="single" w:sz="4" w:space="0" w:color="auto"/>
              <w:right w:val="single" w:sz="4" w:space="0" w:color="auto"/>
            </w:tcBorders>
            <w:shd w:val="clear" w:color="auto" w:fill="auto"/>
            <w:noWrap/>
            <w:vAlign w:val="center"/>
            <w:hideMark/>
          </w:tcPr>
          <w:p w14:paraId="78F6E6C4" w14:textId="77777777" w:rsidR="00FE123E" w:rsidRPr="00FE123E" w:rsidRDefault="00FE123E" w:rsidP="00FE123E">
            <w:pPr>
              <w:jc w:val="right"/>
              <w:rPr>
                <w:rFonts w:ascii="Arial Narrow" w:hAnsi="Arial Narrow" w:cs="Arial"/>
                <w:sz w:val="20"/>
                <w:szCs w:val="20"/>
              </w:rPr>
            </w:pPr>
            <w:r w:rsidRPr="00FE123E">
              <w:rPr>
                <w:rFonts w:ascii="Arial Narrow" w:hAnsi="Arial Narrow" w:cs="Arial"/>
                <w:sz w:val="20"/>
                <w:szCs w:val="20"/>
              </w:rPr>
              <w:t>14 175</w:t>
            </w:r>
          </w:p>
        </w:tc>
        <w:tc>
          <w:tcPr>
            <w:tcW w:w="794" w:type="pct"/>
            <w:tcBorders>
              <w:top w:val="nil"/>
              <w:left w:val="nil"/>
              <w:bottom w:val="single" w:sz="4" w:space="0" w:color="auto"/>
              <w:right w:val="single" w:sz="4" w:space="0" w:color="auto"/>
            </w:tcBorders>
            <w:shd w:val="clear" w:color="auto" w:fill="auto"/>
            <w:noWrap/>
            <w:vAlign w:val="center"/>
            <w:hideMark/>
          </w:tcPr>
          <w:p w14:paraId="32FFE8C3" w14:textId="77777777" w:rsidR="00FE123E" w:rsidRPr="00FE123E" w:rsidRDefault="00FE123E" w:rsidP="00FE123E">
            <w:pPr>
              <w:jc w:val="right"/>
              <w:rPr>
                <w:rFonts w:ascii="Arial Narrow" w:hAnsi="Arial Narrow" w:cs="Arial"/>
                <w:sz w:val="20"/>
                <w:szCs w:val="20"/>
              </w:rPr>
            </w:pPr>
            <w:r w:rsidRPr="00FE123E">
              <w:rPr>
                <w:rFonts w:ascii="Arial Narrow" w:hAnsi="Arial Narrow" w:cs="Arial"/>
                <w:sz w:val="20"/>
                <w:szCs w:val="20"/>
              </w:rPr>
              <w:t>92 561</w:t>
            </w:r>
          </w:p>
        </w:tc>
        <w:tc>
          <w:tcPr>
            <w:tcW w:w="867" w:type="pct"/>
            <w:tcBorders>
              <w:top w:val="nil"/>
              <w:left w:val="nil"/>
              <w:bottom w:val="single" w:sz="4" w:space="0" w:color="auto"/>
              <w:right w:val="single" w:sz="4" w:space="0" w:color="auto"/>
            </w:tcBorders>
            <w:shd w:val="clear" w:color="auto" w:fill="auto"/>
            <w:noWrap/>
            <w:vAlign w:val="center"/>
            <w:hideMark/>
          </w:tcPr>
          <w:p w14:paraId="1E91488C" w14:textId="77777777" w:rsidR="00FE123E" w:rsidRPr="00FE123E" w:rsidRDefault="00FE123E" w:rsidP="00FE123E">
            <w:pPr>
              <w:jc w:val="right"/>
              <w:rPr>
                <w:rFonts w:ascii="Arial Narrow" w:hAnsi="Arial Narrow" w:cs="Arial"/>
                <w:sz w:val="20"/>
                <w:szCs w:val="20"/>
              </w:rPr>
            </w:pPr>
            <w:r w:rsidRPr="00FE123E">
              <w:rPr>
                <w:rFonts w:ascii="Arial Narrow" w:hAnsi="Arial Narrow" w:cs="Arial"/>
                <w:sz w:val="20"/>
                <w:szCs w:val="20"/>
              </w:rPr>
              <w:t>78 386</w:t>
            </w:r>
          </w:p>
        </w:tc>
        <w:tc>
          <w:tcPr>
            <w:tcW w:w="722" w:type="pct"/>
            <w:tcBorders>
              <w:top w:val="nil"/>
              <w:left w:val="nil"/>
              <w:bottom w:val="single" w:sz="4" w:space="0" w:color="auto"/>
              <w:right w:val="single" w:sz="4" w:space="0" w:color="auto"/>
            </w:tcBorders>
            <w:shd w:val="clear" w:color="auto" w:fill="auto"/>
            <w:noWrap/>
            <w:vAlign w:val="center"/>
            <w:hideMark/>
          </w:tcPr>
          <w:p w14:paraId="4698F62E" w14:textId="77777777" w:rsidR="00FE123E" w:rsidRPr="00FE123E" w:rsidRDefault="00FE123E" w:rsidP="00FE123E">
            <w:pPr>
              <w:jc w:val="right"/>
              <w:rPr>
                <w:rFonts w:ascii="Arial Narrow" w:hAnsi="Arial Narrow" w:cs="Arial"/>
                <w:sz w:val="20"/>
                <w:szCs w:val="20"/>
              </w:rPr>
            </w:pPr>
            <w:r w:rsidRPr="00FE123E">
              <w:rPr>
                <w:rFonts w:ascii="Arial Narrow" w:hAnsi="Arial Narrow" w:cs="Arial"/>
                <w:sz w:val="20"/>
                <w:szCs w:val="20"/>
              </w:rPr>
              <w:t>553,0%</w:t>
            </w:r>
          </w:p>
        </w:tc>
      </w:tr>
      <w:tr w:rsidR="00FE123E" w:rsidRPr="00FE123E" w14:paraId="69E60F84" w14:textId="77777777" w:rsidTr="00CD44F3">
        <w:trPr>
          <w:trHeight w:val="360"/>
        </w:trPr>
        <w:tc>
          <w:tcPr>
            <w:tcW w:w="1823" w:type="pct"/>
            <w:tcBorders>
              <w:top w:val="nil"/>
              <w:left w:val="single" w:sz="4" w:space="0" w:color="auto"/>
              <w:bottom w:val="single" w:sz="4" w:space="0" w:color="auto"/>
              <w:right w:val="single" w:sz="4" w:space="0" w:color="auto"/>
            </w:tcBorders>
            <w:shd w:val="clear" w:color="auto" w:fill="auto"/>
            <w:noWrap/>
            <w:vAlign w:val="center"/>
            <w:hideMark/>
          </w:tcPr>
          <w:p w14:paraId="45221FEE" w14:textId="77777777" w:rsidR="00FE123E" w:rsidRPr="00FE123E" w:rsidRDefault="00FE123E" w:rsidP="00FE123E">
            <w:pPr>
              <w:ind w:firstLineChars="100" w:firstLine="200"/>
              <w:rPr>
                <w:rFonts w:ascii="Arial Narrow" w:hAnsi="Arial Narrow" w:cs="Arial"/>
                <w:sz w:val="20"/>
                <w:szCs w:val="20"/>
              </w:rPr>
            </w:pPr>
            <w:r w:rsidRPr="00FE123E">
              <w:rPr>
                <w:rFonts w:ascii="Arial Narrow" w:hAnsi="Arial Narrow" w:cs="Arial"/>
                <w:sz w:val="20"/>
                <w:szCs w:val="20"/>
              </w:rPr>
              <w:t>Бенин</w:t>
            </w:r>
          </w:p>
        </w:tc>
        <w:tc>
          <w:tcPr>
            <w:tcW w:w="794" w:type="pct"/>
            <w:tcBorders>
              <w:top w:val="nil"/>
              <w:left w:val="nil"/>
              <w:bottom w:val="single" w:sz="4" w:space="0" w:color="auto"/>
              <w:right w:val="single" w:sz="4" w:space="0" w:color="auto"/>
            </w:tcBorders>
            <w:shd w:val="clear" w:color="auto" w:fill="auto"/>
            <w:noWrap/>
            <w:vAlign w:val="center"/>
            <w:hideMark/>
          </w:tcPr>
          <w:p w14:paraId="492FC19B" w14:textId="77777777" w:rsidR="00FE123E" w:rsidRPr="00FE123E" w:rsidRDefault="00FE123E" w:rsidP="00FE123E">
            <w:pPr>
              <w:jc w:val="right"/>
              <w:rPr>
                <w:rFonts w:ascii="Arial Narrow" w:hAnsi="Arial Narrow" w:cs="Arial"/>
                <w:sz w:val="20"/>
                <w:szCs w:val="20"/>
              </w:rPr>
            </w:pPr>
            <w:r w:rsidRPr="00FE123E">
              <w:rPr>
                <w:rFonts w:ascii="Arial Narrow" w:hAnsi="Arial Narrow" w:cs="Arial"/>
                <w:sz w:val="20"/>
                <w:szCs w:val="20"/>
              </w:rPr>
              <w:t>126 252</w:t>
            </w:r>
          </w:p>
        </w:tc>
        <w:tc>
          <w:tcPr>
            <w:tcW w:w="794" w:type="pct"/>
            <w:tcBorders>
              <w:top w:val="nil"/>
              <w:left w:val="nil"/>
              <w:bottom w:val="single" w:sz="4" w:space="0" w:color="auto"/>
              <w:right w:val="single" w:sz="4" w:space="0" w:color="auto"/>
            </w:tcBorders>
            <w:shd w:val="clear" w:color="auto" w:fill="auto"/>
            <w:noWrap/>
            <w:vAlign w:val="center"/>
            <w:hideMark/>
          </w:tcPr>
          <w:p w14:paraId="48233079" w14:textId="77777777" w:rsidR="00FE123E" w:rsidRPr="00FE123E" w:rsidRDefault="00FE123E" w:rsidP="00FE123E">
            <w:pPr>
              <w:jc w:val="right"/>
              <w:rPr>
                <w:rFonts w:ascii="Arial Narrow" w:hAnsi="Arial Narrow" w:cs="Arial"/>
                <w:sz w:val="20"/>
                <w:szCs w:val="20"/>
              </w:rPr>
            </w:pPr>
            <w:r w:rsidRPr="00FE123E">
              <w:rPr>
                <w:rFonts w:ascii="Arial Narrow" w:hAnsi="Arial Narrow" w:cs="Arial"/>
                <w:sz w:val="20"/>
                <w:szCs w:val="20"/>
              </w:rPr>
              <w:t>52 650</w:t>
            </w:r>
          </w:p>
        </w:tc>
        <w:tc>
          <w:tcPr>
            <w:tcW w:w="867" w:type="pct"/>
            <w:tcBorders>
              <w:top w:val="nil"/>
              <w:left w:val="nil"/>
              <w:bottom w:val="single" w:sz="4" w:space="0" w:color="auto"/>
              <w:right w:val="single" w:sz="4" w:space="0" w:color="auto"/>
            </w:tcBorders>
            <w:shd w:val="clear" w:color="auto" w:fill="auto"/>
            <w:noWrap/>
            <w:vAlign w:val="center"/>
            <w:hideMark/>
          </w:tcPr>
          <w:p w14:paraId="090771A5" w14:textId="77777777" w:rsidR="00FE123E" w:rsidRPr="00FE123E" w:rsidRDefault="00FE123E" w:rsidP="00FE123E">
            <w:pPr>
              <w:jc w:val="right"/>
              <w:rPr>
                <w:rFonts w:ascii="Arial Narrow" w:hAnsi="Arial Narrow" w:cs="Arial"/>
                <w:sz w:val="20"/>
                <w:szCs w:val="20"/>
              </w:rPr>
            </w:pPr>
            <w:r w:rsidRPr="00FE123E">
              <w:rPr>
                <w:rFonts w:ascii="Arial Narrow" w:hAnsi="Arial Narrow" w:cs="Arial"/>
                <w:sz w:val="20"/>
                <w:szCs w:val="20"/>
              </w:rPr>
              <w:t>-73 602</w:t>
            </w:r>
          </w:p>
        </w:tc>
        <w:tc>
          <w:tcPr>
            <w:tcW w:w="722" w:type="pct"/>
            <w:tcBorders>
              <w:top w:val="nil"/>
              <w:left w:val="nil"/>
              <w:bottom w:val="single" w:sz="4" w:space="0" w:color="auto"/>
              <w:right w:val="single" w:sz="4" w:space="0" w:color="auto"/>
            </w:tcBorders>
            <w:shd w:val="clear" w:color="auto" w:fill="auto"/>
            <w:noWrap/>
            <w:vAlign w:val="center"/>
            <w:hideMark/>
          </w:tcPr>
          <w:p w14:paraId="7D9F78B1" w14:textId="77777777" w:rsidR="00FE123E" w:rsidRPr="00FE123E" w:rsidRDefault="00FE123E" w:rsidP="00FE123E">
            <w:pPr>
              <w:jc w:val="right"/>
              <w:rPr>
                <w:rFonts w:ascii="Arial Narrow" w:hAnsi="Arial Narrow" w:cs="Arial"/>
                <w:sz w:val="20"/>
                <w:szCs w:val="20"/>
              </w:rPr>
            </w:pPr>
            <w:r w:rsidRPr="00FE123E">
              <w:rPr>
                <w:rFonts w:ascii="Arial Narrow" w:hAnsi="Arial Narrow" w:cs="Arial"/>
                <w:sz w:val="20"/>
                <w:szCs w:val="20"/>
              </w:rPr>
              <w:t>-58,3%</w:t>
            </w:r>
          </w:p>
        </w:tc>
      </w:tr>
      <w:tr w:rsidR="00FE123E" w:rsidRPr="00FE123E" w14:paraId="4371DE07" w14:textId="77777777" w:rsidTr="00CD44F3">
        <w:trPr>
          <w:trHeight w:val="360"/>
        </w:trPr>
        <w:tc>
          <w:tcPr>
            <w:tcW w:w="1823" w:type="pct"/>
            <w:tcBorders>
              <w:top w:val="nil"/>
              <w:left w:val="single" w:sz="4" w:space="0" w:color="auto"/>
              <w:bottom w:val="single" w:sz="4" w:space="0" w:color="auto"/>
              <w:right w:val="single" w:sz="4" w:space="0" w:color="auto"/>
            </w:tcBorders>
            <w:shd w:val="clear" w:color="auto" w:fill="auto"/>
            <w:noWrap/>
            <w:vAlign w:val="center"/>
            <w:hideMark/>
          </w:tcPr>
          <w:p w14:paraId="39EE267A" w14:textId="77777777" w:rsidR="00FE123E" w:rsidRPr="00FE123E" w:rsidRDefault="00FE123E" w:rsidP="00FE123E">
            <w:pPr>
              <w:ind w:firstLineChars="100" w:firstLine="200"/>
              <w:rPr>
                <w:rFonts w:ascii="Arial Narrow" w:hAnsi="Arial Narrow" w:cs="Arial"/>
                <w:sz w:val="20"/>
                <w:szCs w:val="20"/>
              </w:rPr>
            </w:pPr>
            <w:r w:rsidRPr="00FE123E">
              <w:rPr>
                <w:rFonts w:ascii="Arial Narrow" w:hAnsi="Arial Narrow" w:cs="Arial"/>
                <w:sz w:val="20"/>
                <w:szCs w:val="20"/>
              </w:rPr>
              <w:t>Бразилия</w:t>
            </w:r>
          </w:p>
        </w:tc>
        <w:tc>
          <w:tcPr>
            <w:tcW w:w="794" w:type="pct"/>
            <w:tcBorders>
              <w:top w:val="nil"/>
              <w:left w:val="nil"/>
              <w:bottom w:val="single" w:sz="4" w:space="0" w:color="auto"/>
              <w:right w:val="single" w:sz="4" w:space="0" w:color="auto"/>
            </w:tcBorders>
            <w:shd w:val="clear" w:color="auto" w:fill="auto"/>
            <w:noWrap/>
            <w:vAlign w:val="center"/>
            <w:hideMark/>
          </w:tcPr>
          <w:p w14:paraId="0046E2E7" w14:textId="77777777" w:rsidR="00FE123E" w:rsidRPr="00FE123E" w:rsidRDefault="00FE123E" w:rsidP="00FE123E">
            <w:pPr>
              <w:jc w:val="right"/>
              <w:rPr>
                <w:rFonts w:ascii="Arial Narrow" w:hAnsi="Arial Narrow" w:cs="Arial"/>
                <w:sz w:val="20"/>
                <w:szCs w:val="20"/>
              </w:rPr>
            </w:pPr>
            <w:r w:rsidRPr="00FE123E">
              <w:rPr>
                <w:rFonts w:ascii="Arial Narrow" w:hAnsi="Arial Narrow" w:cs="Arial"/>
                <w:sz w:val="20"/>
                <w:szCs w:val="20"/>
              </w:rPr>
              <w:t>42 523</w:t>
            </w:r>
          </w:p>
        </w:tc>
        <w:tc>
          <w:tcPr>
            <w:tcW w:w="794" w:type="pct"/>
            <w:tcBorders>
              <w:top w:val="nil"/>
              <w:left w:val="nil"/>
              <w:bottom w:val="single" w:sz="4" w:space="0" w:color="auto"/>
              <w:right w:val="single" w:sz="4" w:space="0" w:color="auto"/>
            </w:tcBorders>
            <w:shd w:val="clear" w:color="auto" w:fill="auto"/>
            <w:noWrap/>
            <w:vAlign w:val="center"/>
            <w:hideMark/>
          </w:tcPr>
          <w:p w14:paraId="3A7B5D75" w14:textId="77777777" w:rsidR="00FE123E" w:rsidRPr="00FE123E" w:rsidRDefault="00FE123E" w:rsidP="00FE123E">
            <w:pPr>
              <w:jc w:val="right"/>
              <w:rPr>
                <w:rFonts w:ascii="Arial Narrow" w:hAnsi="Arial Narrow" w:cs="Arial"/>
                <w:sz w:val="20"/>
                <w:szCs w:val="20"/>
              </w:rPr>
            </w:pPr>
            <w:r w:rsidRPr="00FE123E">
              <w:rPr>
                <w:rFonts w:ascii="Arial Narrow" w:hAnsi="Arial Narrow" w:cs="Arial"/>
                <w:sz w:val="20"/>
                <w:szCs w:val="20"/>
              </w:rPr>
              <w:t>37 201</w:t>
            </w:r>
          </w:p>
        </w:tc>
        <w:tc>
          <w:tcPr>
            <w:tcW w:w="867" w:type="pct"/>
            <w:tcBorders>
              <w:top w:val="nil"/>
              <w:left w:val="nil"/>
              <w:bottom w:val="single" w:sz="4" w:space="0" w:color="auto"/>
              <w:right w:val="single" w:sz="4" w:space="0" w:color="auto"/>
            </w:tcBorders>
            <w:shd w:val="clear" w:color="auto" w:fill="auto"/>
            <w:noWrap/>
            <w:vAlign w:val="center"/>
            <w:hideMark/>
          </w:tcPr>
          <w:p w14:paraId="29BD2B6C" w14:textId="77777777" w:rsidR="00FE123E" w:rsidRPr="00FE123E" w:rsidRDefault="00FE123E" w:rsidP="00FE123E">
            <w:pPr>
              <w:jc w:val="right"/>
              <w:rPr>
                <w:rFonts w:ascii="Arial Narrow" w:hAnsi="Arial Narrow" w:cs="Arial"/>
                <w:sz w:val="20"/>
                <w:szCs w:val="20"/>
              </w:rPr>
            </w:pPr>
            <w:r w:rsidRPr="00FE123E">
              <w:rPr>
                <w:rFonts w:ascii="Arial Narrow" w:hAnsi="Arial Narrow" w:cs="Arial"/>
                <w:sz w:val="20"/>
                <w:szCs w:val="20"/>
              </w:rPr>
              <w:t>-5 322</w:t>
            </w:r>
          </w:p>
        </w:tc>
        <w:tc>
          <w:tcPr>
            <w:tcW w:w="722" w:type="pct"/>
            <w:tcBorders>
              <w:top w:val="nil"/>
              <w:left w:val="nil"/>
              <w:bottom w:val="single" w:sz="4" w:space="0" w:color="auto"/>
              <w:right w:val="single" w:sz="4" w:space="0" w:color="auto"/>
            </w:tcBorders>
            <w:shd w:val="clear" w:color="auto" w:fill="auto"/>
            <w:noWrap/>
            <w:vAlign w:val="center"/>
            <w:hideMark/>
          </w:tcPr>
          <w:p w14:paraId="59378EE5" w14:textId="77777777" w:rsidR="00FE123E" w:rsidRPr="00FE123E" w:rsidRDefault="00FE123E" w:rsidP="00FE123E">
            <w:pPr>
              <w:jc w:val="right"/>
              <w:rPr>
                <w:rFonts w:ascii="Arial Narrow" w:hAnsi="Arial Narrow" w:cs="Arial"/>
                <w:sz w:val="20"/>
                <w:szCs w:val="20"/>
              </w:rPr>
            </w:pPr>
            <w:r w:rsidRPr="00FE123E">
              <w:rPr>
                <w:rFonts w:ascii="Arial Narrow" w:hAnsi="Arial Narrow" w:cs="Arial"/>
                <w:sz w:val="20"/>
                <w:szCs w:val="20"/>
              </w:rPr>
              <w:t>-12,5%</w:t>
            </w:r>
          </w:p>
        </w:tc>
      </w:tr>
      <w:tr w:rsidR="00FE123E" w:rsidRPr="00FE123E" w14:paraId="26BFBA1C" w14:textId="77777777" w:rsidTr="00CD44F3">
        <w:trPr>
          <w:trHeight w:val="360"/>
        </w:trPr>
        <w:tc>
          <w:tcPr>
            <w:tcW w:w="1823" w:type="pct"/>
            <w:tcBorders>
              <w:top w:val="nil"/>
              <w:left w:val="single" w:sz="4" w:space="0" w:color="auto"/>
              <w:bottom w:val="single" w:sz="4" w:space="0" w:color="auto"/>
              <w:right w:val="single" w:sz="4" w:space="0" w:color="auto"/>
            </w:tcBorders>
            <w:shd w:val="clear" w:color="auto" w:fill="auto"/>
            <w:noWrap/>
            <w:vAlign w:val="center"/>
            <w:hideMark/>
          </w:tcPr>
          <w:p w14:paraId="025F8F88" w14:textId="77777777" w:rsidR="00FE123E" w:rsidRPr="00FE123E" w:rsidRDefault="00FE123E" w:rsidP="00FE123E">
            <w:pPr>
              <w:ind w:firstLineChars="100" w:firstLine="200"/>
              <w:rPr>
                <w:rFonts w:ascii="Arial Narrow" w:hAnsi="Arial Narrow" w:cs="Arial"/>
                <w:sz w:val="20"/>
                <w:szCs w:val="20"/>
              </w:rPr>
            </w:pPr>
            <w:r w:rsidRPr="00FE123E">
              <w:rPr>
                <w:rFonts w:ascii="Arial Narrow" w:hAnsi="Arial Narrow" w:cs="Arial"/>
                <w:sz w:val="20"/>
                <w:szCs w:val="20"/>
              </w:rPr>
              <w:t>Норвегия</w:t>
            </w:r>
          </w:p>
        </w:tc>
        <w:tc>
          <w:tcPr>
            <w:tcW w:w="794" w:type="pct"/>
            <w:tcBorders>
              <w:top w:val="nil"/>
              <w:left w:val="nil"/>
              <w:bottom w:val="single" w:sz="4" w:space="0" w:color="auto"/>
              <w:right w:val="single" w:sz="4" w:space="0" w:color="auto"/>
            </w:tcBorders>
            <w:shd w:val="clear" w:color="auto" w:fill="auto"/>
            <w:noWrap/>
            <w:vAlign w:val="center"/>
            <w:hideMark/>
          </w:tcPr>
          <w:p w14:paraId="271217D8" w14:textId="77777777" w:rsidR="00FE123E" w:rsidRPr="00FE123E" w:rsidRDefault="00FE123E" w:rsidP="00FE123E">
            <w:pPr>
              <w:jc w:val="right"/>
              <w:rPr>
                <w:rFonts w:ascii="Arial Narrow" w:hAnsi="Arial Narrow" w:cs="Arial"/>
                <w:sz w:val="20"/>
                <w:szCs w:val="20"/>
              </w:rPr>
            </w:pPr>
            <w:r w:rsidRPr="00FE123E">
              <w:rPr>
                <w:rFonts w:ascii="Arial Narrow" w:hAnsi="Arial Narrow" w:cs="Arial"/>
                <w:sz w:val="20"/>
                <w:szCs w:val="20"/>
              </w:rPr>
              <w:t>135 677</w:t>
            </w:r>
          </w:p>
        </w:tc>
        <w:tc>
          <w:tcPr>
            <w:tcW w:w="794" w:type="pct"/>
            <w:tcBorders>
              <w:top w:val="nil"/>
              <w:left w:val="nil"/>
              <w:bottom w:val="single" w:sz="4" w:space="0" w:color="auto"/>
              <w:right w:val="single" w:sz="4" w:space="0" w:color="auto"/>
            </w:tcBorders>
            <w:shd w:val="clear" w:color="auto" w:fill="auto"/>
            <w:noWrap/>
            <w:vAlign w:val="center"/>
            <w:hideMark/>
          </w:tcPr>
          <w:p w14:paraId="7C297F3A" w14:textId="77777777" w:rsidR="00FE123E" w:rsidRPr="00FE123E" w:rsidRDefault="00FE123E" w:rsidP="00FE123E">
            <w:pPr>
              <w:jc w:val="right"/>
              <w:rPr>
                <w:rFonts w:ascii="Arial Narrow" w:hAnsi="Arial Narrow" w:cs="Arial"/>
                <w:sz w:val="20"/>
                <w:szCs w:val="20"/>
              </w:rPr>
            </w:pPr>
            <w:r w:rsidRPr="00FE123E">
              <w:rPr>
                <w:rFonts w:ascii="Arial Narrow" w:hAnsi="Arial Narrow" w:cs="Arial"/>
                <w:sz w:val="20"/>
                <w:szCs w:val="20"/>
              </w:rPr>
              <w:t>35 303</w:t>
            </w:r>
          </w:p>
        </w:tc>
        <w:tc>
          <w:tcPr>
            <w:tcW w:w="867" w:type="pct"/>
            <w:tcBorders>
              <w:top w:val="nil"/>
              <w:left w:val="nil"/>
              <w:bottom w:val="single" w:sz="4" w:space="0" w:color="auto"/>
              <w:right w:val="single" w:sz="4" w:space="0" w:color="auto"/>
            </w:tcBorders>
            <w:shd w:val="clear" w:color="auto" w:fill="auto"/>
            <w:noWrap/>
            <w:vAlign w:val="center"/>
            <w:hideMark/>
          </w:tcPr>
          <w:p w14:paraId="5F02C908" w14:textId="77777777" w:rsidR="00FE123E" w:rsidRPr="00FE123E" w:rsidRDefault="00FE123E" w:rsidP="00FE123E">
            <w:pPr>
              <w:jc w:val="right"/>
              <w:rPr>
                <w:rFonts w:ascii="Arial Narrow" w:hAnsi="Arial Narrow" w:cs="Arial"/>
                <w:sz w:val="20"/>
                <w:szCs w:val="20"/>
              </w:rPr>
            </w:pPr>
            <w:r w:rsidRPr="00FE123E">
              <w:rPr>
                <w:rFonts w:ascii="Arial Narrow" w:hAnsi="Arial Narrow" w:cs="Arial"/>
                <w:sz w:val="20"/>
                <w:szCs w:val="20"/>
              </w:rPr>
              <w:t>-100 374</w:t>
            </w:r>
          </w:p>
        </w:tc>
        <w:tc>
          <w:tcPr>
            <w:tcW w:w="722" w:type="pct"/>
            <w:tcBorders>
              <w:top w:val="nil"/>
              <w:left w:val="nil"/>
              <w:bottom w:val="single" w:sz="4" w:space="0" w:color="auto"/>
              <w:right w:val="single" w:sz="4" w:space="0" w:color="auto"/>
            </w:tcBorders>
            <w:shd w:val="clear" w:color="auto" w:fill="auto"/>
            <w:noWrap/>
            <w:vAlign w:val="center"/>
            <w:hideMark/>
          </w:tcPr>
          <w:p w14:paraId="08E72694" w14:textId="77777777" w:rsidR="00FE123E" w:rsidRPr="00FE123E" w:rsidRDefault="00FE123E" w:rsidP="00FE123E">
            <w:pPr>
              <w:jc w:val="right"/>
              <w:rPr>
                <w:rFonts w:ascii="Arial Narrow" w:hAnsi="Arial Narrow" w:cs="Arial"/>
                <w:sz w:val="20"/>
                <w:szCs w:val="20"/>
              </w:rPr>
            </w:pPr>
            <w:r w:rsidRPr="00FE123E">
              <w:rPr>
                <w:rFonts w:ascii="Arial Narrow" w:hAnsi="Arial Narrow" w:cs="Arial"/>
                <w:sz w:val="20"/>
                <w:szCs w:val="20"/>
              </w:rPr>
              <w:t>-74,0%</w:t>
            </w:r>
          </w:p>
        </w:tc>
      </w:tr>
      <w:tr w:rsidR="00FE123E" w:rsidRPr="00FE123E" w14:paraId="5CE45BC5" w14:textId="77777777" w:rsidTr="00CD44F3">
        <w:trPr>
          <w:trHeight w:val="360"/>
        </w:trPr>
        <w:tc>
          <w:tcPr>
            <w:tcW w:w="1823" w:type="pct"/>
            <w:tcBorders>
              <w:top w:val="nil"/>
              <w:left w:val="single" w:sz="4" w:space="0" w:color="auto"/>
              <w:bottom w:val="single" w:sz="4" w:space="0" w:color="auto"/>
              <w:right w:val="single" w:sz="4" w:space="0" w:color="auto"/>
            </w:tcBorders>
            <w:shd w:val="clear" w:color="auto" w:fill="auto"/>
            <w:noWrap/>
            <w:vAlign w:val="center"/>
            <w:hideMark/>
          </w:tcPr>
          <w:p w14:paraId="24537C72" w14:textId="77777777" w:rsidR="00FE123E" w:rsidRPr="00FE123E" w:rsidRDefault="00FE123E" w:rsidP="00FE123E">
            <w:pPr>
              <w:ind w:firstLineChars="100" w:firstLine="200"/>
              <w:rPr>
                <w:rFonts w:ascii="Arial Narrow" w:hAnsi="Arial Narrow" w:cs="Arial"/>
                <w:sz w:val="20"/>
                <w:szCs w:val="20"/>
              </w:rPr>
            </w:pPr>
            <w:r w:rsidRPr="00FE123E">
              <w:rPr>
                <w:rFonts w:ascii="Arial Narrow" w:hAnsi="Arial Narrow" w:cs="Arial"/>
                <w:sz w:val="20"/>
                <w:szCs w:val="20"/>
              </w:rPr>
              <w:t>Швейцария</w:t>
            </w:r>
          </w:p>
        </w:tc>
        <w:tc>
          <w:tcPr>
            <w:tcW w:w="794" w:type="pct"/>
            <w:tcBorders>
              <w:top w:val="nil"/>
              <w:left w:val="nil"/>
              <w:bottom w:val="single" w:sz="4" w:space="0" w:color="auto"/>
              <w:right w:val="single" w:sz="4" w:space="0" w:color="auto"/>
            </w:tcBorders>
            <w:shd w:val="clear" w:color="auto" w:fill="auto"/>
            <w:noWrap/>
            <w:vAlign w:val="center"/>
            <w:hideMark/>
          </w:tcPr>
          <w:p w14:paraId="31D9E4B3" w14:textId="77777777" w:rsidR="00FE123E" w:rsidRPr="00FE123E" w:rsidRDefault="00FE123E" w:rsidP="00FE123E">
            <w:pPr>
              <w:jc w:val="right"/>
              <w:rPr>
                <w:rFonts w:ascii="Arial Narrow" w:hAnsi="Arial Narrow" w:cs="Arial"/>
                <w:sz w:val="20"/>
                <w:szCs w:val="20"/>
              </w:rPr>
            </w:pPr>
            <w:r w:rsidRPr="00FE123E">
              <w:rPr>
                <w:rFonts w:ascii="Arial Narrow" w:hAnsi="Arial Narrow" w:cs="Arial"/>
                <w:sz w:val="20"/>
                <w:szCs w:val="20"/>
              </w:rPr>
              <w:t>25 839</w:t>
            </w:r>
          </w:p>
        </w:tc>
        <w:tc>
          <w:tcPr>
            <w:tcW w:w="794" w:type="pct"/>
            <w:tcBorders>
              <w:top w:val="nil"/>
              <w:left w:val="nil"/>
              <w:bottom w:val="single" w:sz="4" w:space="0" w:color="auto"/>
              <w:right w:val="single" w:sz="4" w:space="0" w:color="auto"/>
            </w:tcBorders>
            <w:shd w:val="clear" w:color="auto" w:fill="auto"/>
            <w:noWrap/>
            <w:vAlign w:val="center"/>
            <w:hideMark/>
          </w:tcPr>
          <w:p w14:paraId="0F278537" w14:textId="77777777" w:rsidR="00FE123E" w:rsidRPr="00FE123E" w:rsidRDefault="00FE123E" w:rsidP="00FE123E">
            <w:pPr>
              <w:jc w:val="right"/>
              <w:rPr>
                <w:rFonts w:ascii="Arial Narrow" w:hAnsi="Arial Narrow" w:cs="Arial"/>
                <w:sz w:val="20"/>
                <w:szCs w:val="20"/>
              </w:rPr>
            </w:pPr>
            <w:r w:rsidRPr="00FE123E">
              <w:rPr>
                <w:rFonts w:ascii="Arial Narrow" w:hAnsi="Arial Narrow" w:cs="Arial"/>
                <w:sz w:val="20"/>
                <w:szCs w:val="20"/>
              </w:rPr>
              <w:t>33 414</w:t>
            </w:r>
          </w:p>
        </w:tc>
        <w:tc>
          <w:tcPr>
            <w:tcW w:w="867" w:type="pct"/>
            <w:tcBorders>
              <w:top w:val="nil"/>
              <w:left w:val="nil"/>
              <w:bottom w:val="single" w:sz="4" w:space="0" w:color="auto"/>
              <w:right w:val="single" w:sz="4" w:space="0" w:color="auto"/>
            </w:tcBorders>
            <w:shd w:val="clear" w:color="auto" w:fill="auto"/>
            <w:noWrap/>
            <w:vAlign w:val="center"/>
            <w:hideMark/>
          </w:tcPr>
          <w:p w14:paraId="7A2E4ED1" w14:textId="77777777" w:rsidR="00FE123E" w:rsidRPr="00FE123E" w:rsidRDefault="00FE123E" w:rsidP="00FE123E">
            <w:pPr>
              <w:jc w:val="right"/>
              <w:rPr>
                <w:rFonts w:ascii="Arial Narrow" w:hAnsi="Arial Narrow" w:cs="Arial"/>
                <w:sz w:val="20"/>
                <w:szCs w:val="20"/>
              </w:rPr>
            </w:pPr>
            <w:r w:rsidRPr="00FE123E">
              <w:rPr>
                <w:rFonts w:ascii="Arial Narrow" w:hAnsi="Arial Narrow" w:cs="Arial"/>
                <w:sz w:val="20"/>
                <w:szCs w:val="20"/>
              </w:rPr>
              <w:t>7 575</w:t>
            </w:r>
          </w:p>
        </w:tc>
        <w:tc>
          <w:tcPr>
            <w:tcW w:w="722" w:type="pct"/>
            <w:tcBorders>
              <w:top w:val="nil"/>
              <w:left w:val="nil"/>
              <w:bottom w:val="single" w:sz="4" w:space="0" w:color="auto"/>
              <w:right w:val="single" w:sz="4" w:space="0" w:color="auto"/>
            </w:tcBorders>
            <w:shd w:val="clear" w:color="auto" w:fill="auto"/>
            <w:noWrap/>
            <w:vAlign w:val="center"/>
            <w:hideMark/>
          </w:tcPr>
          <w:p w14:paraId="5D929ED6" w14:textId="77777777" w:rsidR="00FE123E" w:rsidRPr="00FE123E" w:rsidRDefault="00FE123E" w:rsidP="00FE123E">
            <w:pPr>
              <w:jc w:val="right"/>
              <w:rPr>
                <w:rFonts w:ascii="Arial Narrow" w:hAnsi="Arial Narrow" w:cs="Arial"/>
                <w:sz w:val="20"/>
                <w:szCs w:val="20"/>
              </w:rPr>
            </w:pPr>
            <w:r w:rsidRPr="00FE123E">
              <w:rPr>
                <w:rFonts w:ascii="Arial Narrow" w:hAnsi="Arial Narrow" w:cs="Arial"/>
                <w:sz w:val="20"/>
                <w:szCs w:val="20"/>
              </w:rPr>
              <w:t>29,3%</w:t>
            </w:r>
          </w:p>
        </w:tc>
      </w:tr>
      <w:tr w:rsidR="00FE123E" w:rsidRPr="00FE123E" w14:paraId="41D73044" w14:textId="77777777" w:rsidTr="00CD44F3">
        <w:trPr>
          <w:trHeight w:val="360"/>
        </w:trPr>
        <w:tc>
          <w:tcPr>
            <w:tcW w:w="1823" w:type="pct"/>
            <w:tcBorders>
              <w:top w:val="nil"/>
              <w:left w:val="single" w:sz="4" w:space="0" w:color="auto"/>
              <w:bottom w:val="single" w:sz="4" w:space="0" w:color="auto"/>
              <w:right w:val="single" w:sz="4" w:space="0" w:color="auto"/>
            </w:tcBorders>
            <w:shd w:val="clear" w:color="auto" w:fill="auto"/>
            <w:noWrap/>
            <w:vAlign w:val="center"/>
            <w:hideMark/>
          </w:tcPr>
          <w:p w14:paraId="3FA18136" w14:textId="77777777" w:rsidR="00FE123E" w:rsidRPr="00FE123E" w:rsidRDefault="00FE123E" w:rsidP="00FE123E">
            <w:pPr>
              <w:ind w:firstLineChars="100" w:firstLine="200"/>
              <w:rPr>
                <w:rFonts w:ascii="Arial Narrow" w:hAnsi="Arial Narrow" w:cs="Arial"/>
                <w:sz w:val="20"/>
                <w:szCs w:val="20"/>
              </w:rPr>
            </w:pPr>
            <w:r w:rsidRPr="00FE123E">
              <w:rPr>
                <w:rFonts w:ascii="Arial Narrow" w:hAnsi="Arial Narrow" w:cs="Arial"/>
                <w:sz w:val="20"/>
                <w:szCs w:val="20"/>
              </w:rPr>
              <w:t>Китай</w:t>
            </w:r>
          </w:p>
        </w:tc>
        <w:tc>
          <w:tcPr>
            <w:tcW w:w="794" w:type="pct"/>
            <w:tcBorders>
              <w:top w:val="nil"/>
              <w:left w:val="nil"/>
              <w:bottom w:val="single" w:sz="4" w:space="0" w:color="auto"/>
              <w:right w:val="single" w:sz="4" w:space="0" w:color="auto"/>
            </w:tcBorders>
            <w:shd w:val="clear" w:color="auto" w:fill="auto"/>
            <w:noWrap/>
            <w:vAlign w:val="center"/>
            <w:hideMark/>
          </w:tcPr>
          <w:p w14:paraId="31E6DCFE" w14:textId="77777777" w:rsidR="00FE123E" w:rsidRPr="00FE123E" w:rsidRDefault="00FE123E" w:rsidP="00FE123E">
            <w:pPr>
              <w:jc w:val="right"/>
              <w:rPr>
                <w:rFonts w:ascii="Arial Narrow" w:hAnsi="Arial Narrow" w:cs="Arial"/>
                <w:sz w:val="20"/>
                <w:szCs w:val="20"/>
              </w:rPr>
            </w:pPr>
            <w:r w:rsidRPr="00FE123E">
              <w:rPr>
                <w:rFonts w:ascii="Arial Narrow" w:hAnsi="Arial Narrow" w:cs="Arial"/>
                <w:sz w:val="20"/>
                <w:szCs w:val="20"/>
              </w:rPr>
              <w:t>57 956</w:t>
            </w:r>
          </w:p>
        </w:tc>
        <w:tc>
          <w:tcPr>
            <w:tcW w:w="794" w:type="pct"/>
            <w:tcBorders>
              <w:top w:val="nil"/>
              <w:left w:val="nil"/>
              <w:bottom w:val="single" w:sz="4" w:space="0" w:color="auto"/>
              <w:right w:val="single" w:sz="4" w:space="0" w:color="auto"/>
            </w:tcBorders>
            <w:shd w:val="clear" w:color="auto" w:fill="auto"/>
            <w:noWrap/>
            <w:vAlign w:val="center"/>
            <w:hideMark/>
          </w:tcPr>
          <w:p w14:paraId="00B8D717" w14:textId="77777777" w:rsidR="00FE123E" w:rsidRPr="00FE123E" w:rsidRDefault="00FE123E" w:rsidP="00FE123E">
            <w:pPr>
              <w:jc w:val="right"/>
              <w:rPr>
                <w:rFonts w:ascii="Arial Narrow" w:hAnsi="Arial Narrow" w:cs="Arial"/>
                <w:sz w:val="20"/>
                <w:szCs w:val="20"/>
              </w:rPr>
            </w:pPr>
            <w:r w:rsidRPr="00FE123E">
              <w:rPr>
                <w:rFonts w:ascii="Arial Narrow" w:hAnsi="Arial Narrow" w:cs="Arial"/>
                <w:sz w:val="20"/>
                <w:szCs w:val="20"/>
              </w:rPr>
              <w:t>26 012</w:t>
            </w:r>
          </w:p>
        </w:tc>
        <w:tc>
          <w:tcPr>
            <w:tcW w:w="867" w:type="pct"/>
            <w:tcBorders>
              <w:top w:val="nil"/>
              <w:left w:val="nil"/>
              <w:bottom w:val="single" w:sz="4" w:space="0" w:color="auto"/>
              <w:right w:val="single" w:sz="4" w:space="0" w:color="auto"/>
            </w:tcBorders>
            <w:shd w:val="clear" w:color="auto" w:fill="auto"/>
            <w:noWrap/>
            <w:vAlign w:val="center"/>
            <w:hideMark/>
          </w:tcPr>
          <w:p w14:paraId="4E204686" w14:textId="77777777" w:rsidR="00FE123E" w:rsidRPr="00FE123E" w:rsidRDefault="00FE123E" w:rsidP="00FE123E">
            <w:pPr>
              <w:jc w:val="right"/>
              <w:rPr>
                <w:rFonts w:ascii="Arial Narrow" w:hAnsi="Arial Narrow" w:cs="Arial"/>
                <w:sz w:val="20"/>
                <w:szCs w:val="20"/>
              </w:rPr>
            </w:pPr>
            <w:r w:rsidRPr="00FE123E">
              <w:rPr>
                <w:rFonts w:ascii="Arial Narrow" w:hAnsi="Arial Narrow" w:cs="Arial"/>
                <w:sz w:val="20"/>
                <w:szCs w:val="20"/>
              </w:rPr>
              <w:t>-31 944</w:t>
            </w:r>
          </w:p>
        </w:tc>
        <w:tc>
          <w:tcPr>
            <w:tcW w:w="722" w:type="pct"/>
            <w:tcBorders>
              <w:top w:val="nil"/>
              <w:left w:val="nil"/>
              <w:bottom w:val="single" w:sz="4" w:space="0" w:color="auto"/>
              <w:right w:val="single" w:sz="4" w:space="0" w:color="auto"/>
            </w:tcBorders>
            <w:shd w:val="clear" w:color="auto" w:fill="auto"/>
            <w:noWrap/>
            <w:vAlign w:val="center"/>
            <w:hideMark/>
          </w:tcPr>
          <w:p w14:paraId="473E7339" w14:textId="77777777" w:rsidR="00FE123E" w:rsidRPr="00FE123E" w:rsidRDefault="00FE123E" w:rsidP="00FE123E">
            <w:pPr>
              <w:jc w:val="right"/>
              <w:rPr>
                <w:rFonts w:ascii="Arial Narrow" w:hAnsi="Arial Narrow" w:cs="Arial"/>
                <w:sz w:val="20"/>
                <w:szCs w:val="20"/>
              </w:rPr>
            </w:pPr>
            <w:r w:rsidRPr="00FE123E">
              <w:rPr>
                <w:rFonts w:ascii="Arial Narrow" w:hAnsi="Arial Narrow" w:cs="Arial"/>
                <w:sz w:val="20"/>
                <w:szCs w:val="20"/>
              </w:rPr>
              <w:t>-55,1%</w:t>
            </w:r>
          </w:p>
        </w:tc>
      </w:tr>
      <w:tr w:rsidR="00FE123E" w:rsidRPr="00FE123E" w14:paraId="67151276" w14:textId="77777777" w:rsidTr="00CD44F3">
        <w:trPr>
          <w:trHeight w:val="360"/>
        </w:trPr>
        <w:tc>
          <w:tcPr>
            <w:tcW w:w="1823" w:type="pct"/>
            <w:tcBorders>
              <w:top w:val="nil"/>
              <w:left w:val="single" w:sz="4" w:space="0" w:color="auto"/>
              <w:bottom w:val="single" w:sz="4" w:space="0" w:color="auto"/>
              <w:right w:val="single" w:sz="4" w:space="0" w:color="auto"/>
            </w:tcBorders>
            <w:shd w:val="clear" w:color="auto" w:fill="auto"/>
            <w:noWrap/>
            <w:vAlign w:val="center"/>
            <w:hideMark/>
          </w:tcPr>
          <w:p w14:paraId="77638361" w14:textId="77777777" w:rsidR="00FE123E" w:rsidRPr="00FE123E" w:rsidRDefault="00FE123E" w:rsidP="00FE123E">
            <w:pPr>
              <w:ind w:firstLineChars="100" w:firstLine="200"/>
              <w:rPr>
                <w:rFonts w:ascii="Arial Narrow" w:hAnsi="Arial Narrow" w:cs="Arial"/>
                <w:sz w:val="20"/>
                <w:szCs w:val="20"/>
              </w:rPr>
            </w:pPr>
            <w:r w:rsidRPr="00FE123E">
              <w:rPr>
                <w:rFonts w:ascii="Arial Narrow" w:hAnsi="Arial Narrow" w:cs="Arial"/>
                <w:sz w:val="20"/>
                <w:szCs w:val="20"/>
              </w:rPr>
              <w:t>Нигерия</w:t>
            </w:r>
          </w:p>
        </w:tc>
        <w:tc>
          <w:tcPr>
            <w:tcW w:w="794" w:type="pct"/>
            <w:tcBorders>
              <w:top w:val="nil"/>
              <w:left w:val="nil"/>
              <w:bottom w:val="single" w:sz="4" w:space="0" w:color="auto"/>
              <w:right w:val="single" w:sz="4" w:space="0" w:color="auto"/>
            </w:tcBorders>
            <w:shd w:val="clear" w:color="auto" w:fill="auto"/>
            <w:noWrap/>
            <w:vAlign w:val="center"/>
            <w:hideMark/>
          </w:tcPr>
          <w:p w14:paraId="3FB428E8" w14:textId="77777777" w:rsidR="00FE123E" w:rsidRPr="00FE123E" w:rsidRDefault="00FE123E" w:rsidP="00FE123E">
            <w:pPr>
              <w:jc w:val="right"/>
              <w:rPr>
                <w:rFonts w:ascii="Arial Narrow" w:hAnsi="Arial Narrow" w:cs="Arial"/>
                <w:sz w:val="20"/>
                <w:szCs w:val="20"/>
              </w:rPr>
            </w:pPr>
            <w:r w:rsidRPr="00FE123E">
              <w:rPr>
                <w:rFonts w:ascii="Arial Narrow" w:hAnsi="Arial Narrow" w:cs="Arial"/>
                <w:sz w:val="20"/>
                <w:szCs w:val="20"/>
              </w:rPr>
              <w:t>325 148</w:t>
            </w:r>
          </w:p>
        </w:tc>
        <w:tc>
          <w:tcPr>
            <w:tcW w:w="794" w:type="pct"/>
            <w:tcBorders>
              <w:top w:val="nil"/>
              <w:left w:val="nil"/>
              <w:bottom w:val="single" w:sz="4" w:space="0" w:color="auto"/>
              <w:right w:val="single" w:sz="4" w:space="0" w:color="auto"/>
            </w:tcBorders>
            <w:shd w:val="clear" w:color="auto" w:fill="auto"/>
            <w:noWrap/>
            <w:vAlign w:val="center"/>
            <w:hideMark/>
          </w:tcPr>
          <w:p w14:paraId="7D92321B" w14:textId="77777777" w:rsidR="00FE123E" w:rsidRPr="00FE123E" w:rsidRDefault="00FE123E" w:rsidP="00FE123E">
            <w:pPr>
              <w:jc w:val="right"/>
              <w:rPr>
                <w:rFonts w:ascii="Arial Narrow" w:hAnsi="Arial Narrow" w:cs="Arial"/>
                <w:sz w:val="20"/>
                <w:szCs w:val="20"/>
              </w:rPr>
            </w:pPr>
            <w:r w:rsidRPr="00FE123E">
              <w:rPr>
                <w:rFonts w:ascii="Arial Narrow" w:hAnsi="Arial Narrow" w:cs="Arial"/>
                <w:sz w:val="20"/>
                <w:szCs w:val="20"/>
              </w:rPr>
              <w:t>21 168</w:t>
            </w:r>
          </w:p>
        </w:tc>
        <w:tc>
          <w:tcPr>
            <w:tcW w:w="867" w:type="pct"/>
            <w:tcBorders>
              <w:top w:val="nil"/>
              <w:left w:val="nil"/>
              <w:bottom w:val="single" w:sz="4" w:space="0" w:color="auto"/>
              <w:right w:val="single" w:sz="4" w:space="0" w:color="auto"/>
            </w:tcBorders>
            <w:shd w:val="clear" w:color="auto" w:fill="auto"/>
            <w:noWrap/>
            <w:vAlign w:val="center"/>
            <w:hideMark/>
          </w:tcPr>
          <w:p w14:paraId="6C99303D" w14:textId="77777777" w:rsidR="00FE123E" w:rsidRPr="00FE123E" w:rsidRDefault="00FE123E" w:rsidP="00FE123E">
            <w:pPr>
              <w:jc w:val="right"/>
              <w:rPr>
                <w:rFonts w:ascii="Arial Narrow" w:hAnsi="Arial Narrow" w:cs="Arial"/>
                <w:sz w:val="20"/>
                <w:szCs w:val="20"/>
              </w:rPr>
            </w:pPr>
            <w:r w:rsidRPr="00FE123E">
              <w:rPr>
                <w:rFonts w:ascii="Arial Narrow" w:hAnsi="Arial Narrow" w:cs="Arial"/>
                <w:sz w:val="20"/>
                <w:szCs w:val="20"/>
              </w:rPr>
              <w:t>-303 980</w:t>
            </w:r>
          </w:p>
        </w:tc>
        <w:tc>
          <w:tcPr>
            <w:tcW w:w="722" w:type="pct"/>
            <w:tcBorders>
              <w:top w:val="nil"/>
              <w:left w:val="nil"/>
              <w:bottom w:val="single" w:sz="4" w:space="0" w:color="auto"/>
              <w:right w:val="single" w:sz="4" w:space="0" w:color="auto"/>
            </w:tcBorders>
            <w:shd w:val="clear" w:color="auto" w:fill="auto"/>
            <w:noWrap/>
            <w:vAlign w:val="center"/>
            <w:hideMark/>
          </w:tcPr>
          <w:p w14:paraId="4BDC8CDF" w14:textId="77777777" w:rsidR="00FE123E" w:rsidRPr="00FE123E" w:rsidRDefault="00FE123E" w:rsidP="00FE123E">
            <w:pPr>
              <w:jc w:val="right"/>
              <w:rPr>
                <w:rFonts w:ascii="Arial Narrow" w:hAnsi="Arial Narrow" w:cs="Arial"/>
                <w:sz w:val="20"/>
                <w:szCs w:val="20"/>
              </w:rPr>
            </w:pPr>
            <w:r w:rsidRPr="00FE123E">
              <w:rPr>
                <w:rFonts w:ascii="Arial Narrow" w:hAnsi="Arial Narrow" w:cs="Arial"/>
                <w:sz w:val="20"/>
                <w:szCs w:val="20"/>
              </w:rPr>
              <w:t>-93,5%</w:t>
            </w:r>
          </w:p>
        </w:tc>
      </w:tr>
      <w:tr w:rsidR="00FE123E" w:rsidRPr="00FE123E" w14:paraId="61463FE1" w14:textId="77777777" w:rsidTr="00CD44F3">
        <w:trPr>
          <w:trHeight w:val="360"/>
        </w:trPr>
        <w:tc>
          <w:tcPr>
            <w:tcW w:w="1823" w:type="pct"/>
            <w:tcBorders>
              <w:top w:val="nil"/>
              <w:left w:val="single" w:sz="4" w:space="0" w:color="auto"/>
              <w:bottom w:val="single" w:sz="4" w:space="0" w:color="auto"/>
              <w:right w:val="single" w:sz="4" w:space="0" w:color="auto"/>
            </w:tcBorders>
            <w:shd w:val="clear" w:color="auto" w:fill="auto"/>
            <w:noWrap/>
            <w:vAlign w:val="center"/>
            <w:hideMark/>
          </w:tcPr>
          <w:p w14:paraId="2E7235B3" w14:textId="77777777" w:rsidR="00FE123E" w:rsidRPr="00FE123E" w:rsidRDefault="00FE123E" w:rsidP="00FE123E">
            <w:pPr>
              <w:ind w:firstLineChars="100" w:firstLine="200"/>
              <w:rPr>
                <w:rFonts w:ascii="Arial Narrow" w:hAnsi="Arial Narrow" w:cs="Arial"/>
                <w:sz w:val="20"/>
                <w:szCs w:val="20"/>
              </w:rPr>
            </w:pPr>
            <w:r w:rsidRPr="00FE123E">
              <w:rPr>
                <w:rFonts w:ascii="Arial Narrow" w:hAnsi="Arial Narrow" w:cs="Arial"/>
                <w:sz w:val="20"/>
                <w:szCs w:val="20"/>
              </w:rPr>
              <w:t>Того</w:t>
            </w:r>
          </w:p>
        </w:tc>
        <w:tc>
          <w:tcPr>
            <w:tcW w:w="794" w:type="pct"/>
            <w:tcBorders>
              <w:top w:val="nil"/>
              <w:left w:val="nil"/>
              <w:bottom w:val="single" w:sz="4" w:space="0" w:color="auto"/>
              <w:right w:val="single" w:sz="4" w:space="0" w:color="auto"/>
            </w:tcBorders>
            <w:shd w:val="clear" w:color="auto" w:fill="auto"/>
            <w:noWrap/>
            <w:vAlign w:val="center"/>
            <w:hideMark/>
          </w:tcPr>
          <w:p w14:paraId="6E82DF07" w14:textId="77777777" w:rsidR="00FE123E" w:rsidRPr="00FE123E" w:rsidRDefault="00FE123E" w:rsidP="00FE123E">
            <w:pPr>
              <w:jc w:val="right"/>
              <w:rPr>
                <w:rFonts w:ascii="Arial Narrow" w:hAnsi="Arial Narrow" w:cs="Arial"/>
                <w:sz w:val="20"/>
                <w:szCs w:val="20"/>
              </w:rPr>
            </w:pPr>
            <w:r w:rsidRPr="00FE123E">
              <w:rPr>
                <w:rFonts w:ascii="Arial Narrow" w:hAnsi="Arial Narrow" w:cs="Arial"/>
                <w:sz w:val="20"/>
                <w:szCs w:val="20"/>
              </w:rPr>
              <w:t>0</w:t>
            </w:r>
          </w:p>
        </w:tc>
        <w:tc>
          <w:tcPr>
            <w:tcW w:w="794" w:type="pct"/>
            <w:tcBorders>
              <w:top w:val="nil"/>
              <w:left w:val="nil"/>
              <w:bottom w:val="single" w:sz="4" w:space="0" w:color="auto"/>
              <w:right w:val="single" w:sz="4" w:space="0" w:color="auto"/>
            </w:tcBorders>
            <w:shd w:val="clear" w:color="auto" w:fill="auto"/>
            <w:noWrap/>
            <w:vAlign w:val="center"/>
            <w:hideMark/>
          </w:tcPr>
          <w:p w14:paraId="2DB308EE" w14:textId="77777777" w:rsidR="00FE123E" w:rsidRPr="00FE123E" w:rsidRDefault="00FE123E" w:rsidP="00FE123E">
            <w:pPr>
              <w:jc w:val="right"/>
              <w:rPr>
                <w:rFonts w:ascii="Arial Narrow" w:hAnsi="Arial Narrow" w:cs="Arial"/>
                <w:sz w:val="20"/>
                <w:szCs w:val="20"/>
              </w:rPr>
            </w:pPr>
            <w:r w:rsidRPr="00FE123E">
              <w:rPr>
                <w:rFonts w:ascii="Arial Narrow" w:hAnsi="Arial Narrow" w:cs="Arial"/>
                <w:sz w:val="20"/>
                <w:szCs w:val="20"/>
              </w:rPr>
              <w:t>19 476</w:t>
            </w:r>
          </w:p>
        </w:tc>
        <w:tc>
          <w:tcPr>
            <w:tcW w:w="867" w:type="pct"/>
            <w:tcBorders>
              <w:top w:val="nil"/>
              <w:left w:val="nil"/>
              <w:bottom w:val="single" w:sz="4" w:space="0" w:color="auto"/>
              <w:right w:val="single" w:sz="4" w:space="0" w:color="auto"/>
            </w:tcBorders>
            <w:shd w:val="clear" w:color="auto" w:fill="auto"/>
            <w:noWrap/>
            <w:vAlign w:val="center"/>
            <w:hideMark/>
          </w:tcPr>
          <w:p w14:paraId="486A4FD4" w14:textId="77777777" w:rsidR="00FE123E" w:rsidRPr="00FE123E" w:rsidRDefault="00FE123E" w:rsidP="00FE123E">
            <w:pPr>
              <w:jc w:val="right"/>
              <w:rPr>
                <w:rFonts w:ascii="Arial Narrow" w:hAnsi="Arial Narrow" w:cs="Arial"/>
                <w:sz w:val="20"/>
                <w:szCs w:val="20"/>
              </w:rPr>
            </w:pPr>
            <w:r w:rsidRPr="00FE123E">
              <w:rPr>
                <w:rFonts w:ascii="Arial Narrow" w:hAnsi="Arial Narrow" w:cs="Arial"/>
                <w:sz w:val="20"/>
                <w:szCs w:val="20"/>
              </w:rPr>
              <w:t>19 476</w:t>
            </w:r>
          </w:p>
        </w:tc>
        <w:tc>
          <w:tcPr>
            <w:tcW w:w="722" w:type="pct"/>
            <w:tcBorders>
              <w:top w:val="nil"/>
              <w:left w:val="nil"/>
              <w:bottom w:val="single" w:sz="4" w:space="0" w:color="auto"/>
              <w:right w:val="single" w:sz="4" w:space="0" w:color="auto"/>
            </w:tcBorders>
            <w:shd w:val="clear" w:color="auto" w:fill="auto"/>
            <w:noWrap/>
            <w:vAlign w:val="center"/>
            <w:hideMark/>
          </w:tcPr>
          <w:p w14:paraId="318548CA" w14:textId="77777777" w:rsidR="00FE123E" w:rsidRPr="00FE123E" w:rsidRDefault="00FE123E" w:rsidP="00FE123E">
            <w:pPr>
              <w:jc w:val="right"/>
              <w:rPr>
                <w:rFonts w:ascii="Arial Narrow" w:hAnsi="Arial Narrow" w:cs="Arial"/>
                <w:sz w:val="20"/>
                <w:szCs w:val="20"/>
              </w:rPr>
            </w:pPr>
            <w:r w:rsidRPr="00FE123E">
              <w:rPr>
                <w:rFonts w:ascii="Arial Narrow" w:hAnsi="Arial Narrow" w:cs="Arial"/>
                <w:sz w:val="20"/>
                <w:szCs w:val="20"/>
              </w:rPr>
              <w:t>-</w:t>
            </w:r>
          </w:p>
        </w:tc>
      </w:tr>
      <w:tr w:rsidR="00FE123E" w:rsidRPr="00FE123E" w14:paraId="1439BDAE" w14:textId="77777777" w:rsidTr="00CD44F3">
        <w:trPr>
          <w:trHeight w:val="360"/>
        </w:trPr>
        <w:tc>
          <w:tcPr>
            <w:tcW w:w="1823" w:type="pct"/>
            <w:tcBorders>
              <w:top w:val="nil"/>
              <w:left w:val="single" w:sz="4" w:space="0" w:color="auto"/>
              <w:bottom w:val="single" w:sz="4" w:space="0" w:color="auto"/>
              <w:right w:val="single" w:sz="4" w:space="0" w:color="auto"/>
            </w:tcBorders>
            <w:shd w:val="clear" w:color="auto" w:fill="auto"/>
            <w:noWrap/>
            <w:vAlign w:val="center"/>
            <w:hideMark/>
          </w:tcPr>
          <w:p w14:paraId="5F0D740D" w14:textId="77777777" w:rsidR="00FE123E" w:rsidRPr="00FE123E" w:rsidRDefault="00FE123E" w:rsidP="00FE123E">
            <w:pPr>
              <w:ind w:firstLineChars="100" w:firstLine="200"/>
              <w:rPr>
                <w:rFonts w:ascii="Arial Narrow" w:hAnsi="Arial Narrow" w:cs="Arial"/>
                <w:sz w:val="20"/>
                <w:szCs w:val="20"/>
              </w:rPr>
            </w:pPr>
            <w:r w:rsidRPr="00FE123E">
              <w:rPr>
                <w:rFonts w:ascii="Arial Narrow" w:hAnsi="Arial Narrow" w:cs="Arial"/>
                <w:sz w:val="20"/>
                <w:szCs w:val="20"/>
              </w:rPr>
              <w:t>Канада</w:t>
            </w:r>
          </w:p>
        </w:tc>
        <w:tc>
          <w:tcPr>
            <w:tcW w:w="794" w:type="pct"/>
            <w:tcBorders>
              <w:top w:val="nil"/>
              <w:left w:val="nil"/>
              <w:bottom w:val="single" w:sz="4" w:space="0" w:color="auto"/>
              <w:right w:val="single" w:sz="4" w:space="0" w:color="auto"/>
            </w:tcBorders>
            <w:shd w:val="clear" w:color="auto" w:fill="auto"/>
            <w:noWrap/>
            <w:vAlign w:val="center"/>
            <w:hideMark/>
          </w:tcPr>
          <w:p w14:paraId="222A0458" w14:textId="77777777" w:rsidR="00FE123E" w:rsidRPr="00FE123E" w:rsidRDefault="00FE123E" w:rsidP="00FE123E">
            <w:pPr>
              <w:jc w:val="right"/>
              <w:rPr>
                <w:rFonts w:ascii="Arial Narrow" w:hAnsi="Arial Narrow" w:cs="Arial"/>
                <w:sz w:val="20"/>
                <w:szCs w:val="20"/>
              </w:rPr>
            </w:pPr>
            <w:r w:rsidRPr="00FE123E">
              <w:rPr>
                <w:rFonts w:ascii="Arial Narrow" w:hAnsi="Arial Narrow" w:cs="Arial"/>
                <w:sz w:val="20"/>
                <w:szCs w:val="20"/>
              </w:rPr>
              <w:t>12 398</w:t>
            </w:r>
          </w:p>
        </w:tc>
        <w:tc>
          <w:tcPr>
            <w:tcW w:w="794" w:type="pct"/>
            <w:tcBorders>
              <w:top w:val="nil"/>
              <w:left w:val="nil"/>
              <w:bottom w:val="single" w:sz="4" w:space="0" w:color="auto"/>
              <w:right w:val="single" w:sz="4" w:space="0" w:color="auto"/>
            </w:tcBorders>
            <w:shd w:val="clear" w:color="auto" w:fill="auto"/>
            <w:noWrap/>
            <w:vAlign w:val="center"/>
            <w:hideMark/>
          </w:tcPr>
          <w:p w14:paraId="40F573D8" w14:textId="77777777" w:rsidR="00FE123E" w:rsidRPr="00FE123E" w:rsidRDefault="00FE123E" w:rsidP="00FE123E">
            <w:pPr>
              <w:jc w:val="right"/>
              <w:rPr>
                <w:rFonts w:ascii="Arial Narrow" w:hAnsi="Arial Narrow" w:cs="Arial"/>
                <w:sz w:val="20"/>
                <w:szCs w:val="20"/>
              </w:rPr>
            </w:pPr>
            <w:r w:rsidRPr="00FE123E">
              <w:rPr>
                <w:rFonts w:ascii="Arial Narrow" w:hAnsi="Arial Narrow" w:cs="Arial"/>
                <w:sz w:val="20"/>
                <w:szCs w:val="20"/>
              </w:rPr>
              <w:t>17 856</w:t>
            </w:r>
          </w:p>
        </w:tc>
        <w:tc>
          <w:tcPr>
            <w:tcW w:w="867" w:type="pct"/>
            <w:tcBorders>
              <w:top w:val="nil"/>
              <w:left w:val="nil"/>
              <w:bottom w:val="single" w:sz="4" w:space="0" w:color="auto"/>
              <w:right w:val="single" w:sz="4" w:space="0" w:color="auto"/>
            </w:tcBorders>
            <w:shd w:val="clear" w:color="auto" w:fill="auto"/>
            <w:noWrap/>
            <w:vAlign w:val="center"/>
            <w:hideMark/>
          </w:tcPr>
          <w:p w14:paraId="2369F113" w14:textId="77777777" w:rsidR="00FE123E" w:rsidRPr="00FE123E" w:rsidRDefault="00FE123E" w:rsidP="00FE123E">
            <w:pPr>
              <w:jc w:val="right"/>
              <w:rPr>
                <w:rFonts w:ascii="Arial Narrow" w:hAnsi="Arial Narrow" w:cs="Arial"/>
                <w:sz w:val="20"/>
                <w:szCs w:val="20"/>
              </w:rPr>
            </w:pPr>
            <w:r w:rsidRPr="00FE123E">
              <w:rPr>
                <w:rFonts w:ascii="Arial Narrow" w:hAnsi="Arial Narrow" w:cs="Arial"/>
                <w:sz w:val="20"/>
                <w:szCs w:val="20"/>
              </w:rPr>
              <w:t>5 458</w:t>
            </w:r>
          </w:p>
        </w:tc>
        <w:tc>
          <w:tcPr>
            <w:tcW w:w="722" w:type="pct"/>
            <w:tcBorders>
              <w:top w:val="nil"/>
              <w:left w:val="nil"/>
              <w:bottom w:val="single" w:sz="4" w:space="0" w:color="auto"/>
              <w:right w:val="single" w:sz="4" w:space="0" w:color="auto"/>
            </w:tcBorders>
            <w:shd w:val="clear" w:color="auto" w:fill="auto"/>
            <w:noWrap/>
            <w:vAlign w:val="center"/>
            <w:hideMark/>
          </w:tcPr>
          <w:p w14:paraId="325223F2" w14:textId="77777777" w:rsidR="00FE123E" w:rsidRPr="00FE123E" w:rsidRDefault="00FE123E" w:rsidP="00FE123E">
            <w:pPr>
              <w:jc w:val="right"/>
              <w:rPr>
                <w:rFonts w:ascii="Arial Narrow" w:hAnsi="Arial Narrow" w:cs="Arial"/>
                <w:sz w:val="20"/>
                <w:szCs w:val="20"/>
              </w:rPr>
            </w:pPr>
            <w:r w:rsidRPr="00FE123E">
              <w:rPr>
                <w:rFonts w:ascii="Arial Narrow" w:hAnsi="Arial Narrow" w:cs="Arial"/>
                <w:sz w:val="20"/>
                <w:szCs w:val="20"/>
              </w:rPr>
              <w:t>44,0%</w:t>
            </w:r>
          </w:p>
        </w:tc>
      </w:tr>
      <w:tr w:rsidR="00FE123E" w:rsidRPr="00FE123E" w14:paraId="61A36FAB" w14:textId="77777777" w:rsidTr="00CD44F3">
        <w:trPr>
          <w:trHeight w:val="360"/>
        </w:trPr>
        <w:tc>
          <w:tcPr>
            <w:tcW w:w="1823" w:type="pct"/>
            <w:tcBorders>
              <w:top w:val="nil"/>
              <w:left w:val="single" w:sz="4" w:space="0" w:color="auto"/>
              <w:bottom w:val="single" w:sz="4" w:space="0" w:color="auto"/>
              <w:right w:val="single" w:sz="4" w:space="0" w:color="auto"/>
            </w:tcBorders>
            <w:shd w:val="clear" w:color="auto" w:fill="auto"/>
            <w:noWrap/>
            <w:vAlign w:val="center"/>
            <w:hideMark/>
          </w:tcPr>
          <w:p w14:paraId="062E699F" w14:textId="77777777" w:rsidR="00FE123E" w:rsidRPr="00FE123E" w:rsidRDefault="00FE123E" w:rsidP="00FE123E">
            <w:pPr>
              <w:ind w:firstLineChars="100" w:firstLine="200"/>
              <w:rPr>
                <w:rFonts w:ascii="Arial Narrow" w:hAnsi="Arial Narrow" w:cs="Arial"/>
                <w:sz w:val="20"/>
                <w:szCs w:val="20"/>
              </w:rPr>
            </w:pPr>
            <w:r w:rsidRPr="00FE123E">
              <w:rPr>
                <w:rFonts w:ascii="Arial Narrow" w:hAnsi="Arial Narrow" w:cs="Arial"/>
                <w:sz w:val="20"/>
                <w:szCs w:val="20"/>
              </w:rPr>
              <w:t>Казахстан</w:t>
            </w:r>
          </w:p>
        </w:tc>
        <w:tc>
          <w:tcPr>
            <w:tcW w:w="794" w:type="pct"/>
            <w:tcBorders>
              <w:top w:val="nil"/>
              <w:left w:val="nil"/>
              <w:bottom w:val="single" w:sz="4" w:space="0" w:color="auto"/>
              <w:right w:val="single" w:sz="4" w:space="0" w:color="auto"/>
            </w:tcBorders>
            <w:shd w:val="clear" w:color="auto" w:fill="auto"/>
            <w:noWrap/>
            <w:vAlign w:val="center"/>
            <w:hideMark/>
          </w:tcPr>
          <w:p w14:paraId="3D96AF16" w14:textId="77777777" w:rsidR="00FE123E" w:rsidRPr="00FE123E" w:rsidRDefault="00FE123E" w:rsidP="00FE123E">
            <w:pPr>
              <w:jc w:val="right"/>
              <w:rPr>
                <w:rFonts w:ascii="Arial Narrow" w:hAnsi="Arial Narrow" w:cs="Arial"/>
                <w:sz w:val="20"/>
                <w:szCs w:val="20"/>
              </w:rPr>
            </w:pPr>
            <w:r w:rsidRPr="00FE123E">
              <w:rPr>
                <w:rFonts w:ascii="Arial Narrow" w:hAnsi="Arial Narrow" w:cs="Arial"/>
                <w:sz w:val="20"/>
                <w:szCs w:val="20"/>
              </w:rPr>
              <w:t>48 047</w:t>
            </w:r>
          </w:p>
        </w:tc>
        <w:tc>
          <w:tcPr>
            <w:tcW w:w="794" w:type="pct"/>
            <w:tcBorders>
              <w:top w:val="nil"/>
              <w:left w:val="nil"/>
              <w:bottom w:val="single" w:sz="4" w:space="0" w:color="auto"/>
              <w:right w:val="single" w:sz="4" w:space="0" w:color="auto"/>
            </w:tcBorders>
            <w:shd w:val="clear" w:color="auto" w:fill="auto"/>
            <w:noWrap/>
            <w:vAlign w:val="center"/>
            <w:hideMark/>
          </w:tcPr>
          <w:p w14:paraId="58C7ACEB" w14:textId="77777777" w:rsidR="00FE123E" w:rsidRPr="00FE123E" w:rsidRDefault="00FE123E" w:rsidP="00FE123E">
            <w:pPr>
              <w:jc w:val="right"/>
              <w:rPr>
                <w:rFonts w:ascii="Arial Narrow" w:hAnsi="Arial Narrow" w:cs="Arial"/>
                <w:sz w:val="20"/>
                <w:szCs w:val="20"/>
              </w:rPr>
            </w:pPr>
            <w:r w:rsidRPr="00FE123E">
              <w:rPr>
                <w:rFonts w:ascii="Arial Narrow" w:hAnsi="Arial Narrow" w:cs="Arial"/>
                <w:sz w:val="20"/>
                <w:szCs w:val="20"/>
              </w:rPr>
              <w:t>10 686</w:t>
            </w:r>
          </w:p>
        </w:tc>
        <w:tc>
          <w:tcPr>
            <w:tcW w:w="867" w:type="pct"/>
            <w:tcBorders>
              <w:top w:val="nil"/>
              <w:left w:val="nil"/>
              <w:bottom w:val="single" w:sz="4" w:space="0" w:color="auto"/>
              <w:right w:val="single" w:sz="4" w:space="0" w:color="auto"/>
            </w:tcBorders>
            <w:shd w:val="clear" w:color="auto" w:fill="auto"/>
            <w:noWrap/>
            <w:vAlign w:val="center"/>
            <w:hideMark/>
          </w:tcPr>
          <w:p w14:paraId="7F41899C" w14:textId="77777777" w:rsidR="00FE123E" w:rsidRPr="00FE123E" w:rsidRDefault="00FE123E" w:rsidP="00FE123E">
            <w:pPr>
              <w:jc w:val="right"/>
              <w:rPr>
                <w:rFonts w:ascii="Arial Narrow" w:hAnsi="Arial Narrow" w:cs="Arial"/>
                <w:sz w:val="20"/>
                <w:szCs w:val="20"/>
              </w:rPr>
            </w:pPr>
            <w:r w:rsidRPr="00FE123E">
              <w:rPr>
                <w:rFonts w:ascii="Arial Narrow" w:hAnsi="Arial Narrow" w:cs="Arial"/>
                <w:sz w:val="20"/>
                <w:szCs w:val="20"/>
              </w:rPr>
              <w:t>-37 361</w:t>
            </w:r>
          </w:p>
        </w:tc>
        <w:tc>
          <w:tcPr>
            <w:tcW w:w="722" w:type="pct"/>
            <w:tcBorders>
              <w:top w:val="nil"/>
              <w:left w:val="nil"/>
              <w:bottom w:val="single" w:sz="4" w:space="0" w:color="auto"/>
              <w:right w:val="single" w:sz="4" w:space="0" w:color="auto"/>
            </w:tcBorders>
            <w:shd w:val="clear" w:color="auto" w:fill="auto"/>
            <w:noWrap/>
            <w:vAlign w:val="center"/>
            <w:hideMark/>
          </w:tcPr>
          <w:p w14:paraId="10492880" w14:textId="77777777" w:rsidR="00FE123E" w:rsidRPr="00FE123E" w:rsidRDefault="00FE123E" w:rsidP="00FE123E">
            <w:pPr>
              <w:jc w:val="right"/>
              <w:rPr>
                <w:rFonts w:ascii="Arial Narrow" w:hAnsi="Arial Narrow" w:cs="Arial"/>
                <w:sz w:val="20"/>
                <w:szCs w:val="20"/>
              </w:rPr>
            </w:pPr>
            <w:r w:rsidRPr="00FE123E">
              <w:rPr>
                <w:rFonts w:ascii="Arial Narrow" w:hAnsi="Arial Narrow" w:cs="Arial"/>
                <w:sz w:val="20"/>
                <w:szCs w:val="20"/>
              </w:rPr>
              <w:t>-77,8%</w:t>
            </w:r>
          </w:p>
        </w:tc>
      </w:tr>
      <w:tr w:rsidR="00FE123E" w:rsidRPr="00FE123E" w14:paraId="4BF16D45" w14:textId="77777777" w:rsidTr="00CD44F3">
        <w:trPr>
          <w:trHeight w:val="360"/>
        </w:trPr>
        <w:tc>
          <w:tcPr>
            <w:tcW w:w="1823" w:type="pct"/>
            <w:tcBorders>
              <w:top w:val="nil"/>
              <w:left w:val="single" w:sz="4" w:space="0" w:color="auto"/>
              <w:bottom w:val="single" w:sz="4" w:space="0" w:color="auto"/>
              <w:right w:val="single" w:sz="4" w:space="0" w:color="auto"/>
            </w:tcBorders>
            <w:shd w:val="clear" w:color="auto" w:fill="auto"/>
            <w:noWrap/>
            <w:vAlign w:val="center"/>
            <w:hideMark/>
          </w:tcPr>
          <w:p w14:paraId="55FFE3AA" w14:textId="77777777" w:rsidR="00FE123E" w:rsidRPr="00FE123E" w:rsidRDefault="00FE123E" w:rsidP="00FE123E">
            <w:pPr>
              <w:ind w:firstLineChars="100" w:firstLine="200"/>
              <w:rPr>
                <w:rFonts w:ascii="Arial Narrow" w:hAnsi="Arial Narrow" w:cs="Arial"/>
                <w:sz w:val="20"/>
                <w:szCs w:val="20"/>
              </w:rPr>
            </w:pPr>
            <w:r w:rsidRPr="00FE123E">
              <w:rPr>
                <w:rFonts w:ascii="Arial Narrow" w:hAnsi="Arial Narrow" w:cs="Arial"/>
                <w:sz w:val="20"/>
                <w:szCs w:val="20"/>
              </w:rPr>
              <w:t>Монголия</w:t>
            </w:r>
          </w:p>
        </w:tc>
        <w:tc>
          <w:tcPr>
            <w:tcW w:w="794" w:type="pct"/>
            <w:tcBorders>
              <w:top w:val="nil"/>
              <w:left w:val="nil"/>
              <w:bottom w:val="single" w:sz="4" w:space="0" w:color="auto"/>
              <w:right w:val="single" w:sz="4" w:space="0" w:color="auto"/>
            </w:tcBorders>
            <w:shd w:val="clear" w:color="auto" w:fill="auto"/>
            <w:noWrap/>
            <w:vAlign w:val="center"/>
            <w:hideMark/>
          </w:tcPr>
          <w:p w14:paraId="54CDC3DA" w14:textId="77777777" w:rsidR="00FE123E" w:rsidRPr="00FE123E" w:rsidRDefault="00FE123E" w:rsidP="00FE123E">
            <w:pPr>
              <w:jc w:val="right"/>
              <w:rPr>
                <w:rFonts w:ascii="Arial Narrow" w:hAnsi="Arial Narrow" w:cs="Arial"/>
                <w:sz w:val="20"/>
                <w:szCs w:val="20"/>
              </w:rPr>
            </w:pPr>
            <w:r w:rsidRPr="00FE123E">
              <w:rPr>
                <w:rFonts w:ascii="Arial Narrow" w:hAnsi="Arial Narrow" w:cs="Arial"/>
                <w:sz w:val="20"/>
                <w:szCs w:val="20"/>
              </w:rPr>
              <w:t>21 276</w:t>
            </w:r>
          </w:p>
        </w:tc>
        <w:tc>
          <w:tcPr>
            <w:tcW w:w="794" w:type="pct"/>
            <w:tcBorders>
              <w:top w:val="nil"/>
              <w:left w:val="nil"/>
              <w:bottom w:val="single" w:sz="4" w:space="0" w:color="auto"/>
              <w:right w:val="single" w:sz="4" w:space="0" w:color="auto"/>
            </w:tcBorders>
            <w:shd w:val="clear" w:color="auto" w:fill="auto"/>
            <w:noWrap/>
            <w:vAlign w:val="center"/>
            <w:hideMark/>
          </w:tcPr>
          <w:p w14:paraId="74DF6CE4" w14:textId="77777777" w:rsidR="00FE123E" w:rsidRPr="00FE123E" w:rsidRDefault="00FE123E" w:rsidP="00FE123E">
            <w:pPr>
              <w:jc w:val="right"/>
              <w:rPr>
                <w:rFonts w:ascii="Arial Narrow" w:hAnsi="Arial Narrow" w:cs="Arial"/>
                <w:sz w:val="20"/>
                <w:szCs w:val="20"/>
              </w:rPr>
            </w:pPr>
            <w:r w:rsidRPr="00FE123E">
              <w:rPr>
                <w:rFonts w:ascii="Arial Narrow" w:hAnsi="Arial Narrow" w:cs="Arial"/>
                <w:sz w:val="20"/>
                <w:szCs w:val="20"/>
              </w:rPr>
              <w:t>10 584</w:t>
            </w:r>
          </w:p>
        </w:tc>
        <w:tc>
          <w:tcPr>
            <w:tcW w:w="867" w:type="pct"/>
            <w:tcBorders>
              <w:top w:val="nil"/>
              <w:left w:val="nil"/>
              <w:bottom w:val="single" w:sz="4" w:space="0" w:color="auto"/>
              <w:right w:val="single" w:sz="4" w:space="0" w:color="auto"/>
            </w:tcBorders>
            <w:shd w:val="clear" w:color="auto" w:fill="auto"/>
            <w:noWrap/>
            <w:vAlign w:val="center"/>
            <w:hideMark/>
          </w:tcPr>
          <w:p w14:paraId="3A6159D8" w14:textId="77777777" w:rsidR="00FE123E" w:rsidRPr="00FE123E" w:rsidRDefault="00FE123E" w:rsidP="00FE123E">
            <w:pPr>
              <w:jc w:val="right"/>
              <w:rPr>
                <w:rFonts w:ascii="Arial Narrow" w:hAnsi="Arial Narrow" w:cs="Arial"/>
                <w:sz w:val="20"/>
                <w:szCs w:val="20"/>
              </w:rPr>
            </w:pPr>
            <w:r w:rsidRPr="00FE123E">
              <w:rPr>
                <w:rFonts w:ascii="Arial Narrow" w:hAnsi="Arial Narrow" w:cs="Arial"/>
                <w:sz w:val="20"/>
                <w:szCs w:val="20"/>
              </w:rPr>
              <w:t>-10 692</w:t>
            </w:r>
          </w:p>
        </w:tc>
        <w:tc>
          <w:tcPr>
            <w:tcW w:w="722" w:type="pct"/>
            <w:tcBorders>
              <w:top w:val="nil"/>
              <w:left w:val="nil"/>
              <w:bottom w:val="single" w:sz="4" w:space="0" w:color="auto"/>
              <w:right w:val="single" w:sz="4" w:space="0" w:color="auto"/>
            </w:tcBorders>
            <w:shd w:val="clear" w:color="auto" w:fill="auto"/>
            <w:noWrap/>
            <w:vAlign w:val="center"/>
            <w:hideMark/>
          </w:tcPr>
          <w:p w14:paraId="43C0866A" w14:textId="77777777" w:rsidR="00FE123E" w:rsidRPr="00FE123E" w:rsidRDefault="00FE123E" w:rsidP="00FE123E">
            <w:pPr>
              <w:jc w:val="right"/>
              <w:rPr>
                <w:rFonts w:ascii="Arial Narrow" w:hAnsi="Arial Narrow" w:cs="Arial"/>
                <w:sz w:val="20"/>
                <w:szCs w:val="20"/>
              </w:rPr>
            </w:pPr>
            <w:r w:rsidRPr="00FE123E">
              <w:rPr>
                <w:rFonts w:ascii="Arial Narrow" w:hAnsi="Arial Narrow" w:cs="Arial"/>
                <w:sz w:val="20"/>
                <w:szCs w:val="20"/>
              </w:rPr>
              <w:t>-50,3%</w:t>
            </w:r>
          </w:p>
        </w:tc>
      </w:tr>
      <w:tr w:rsidR="00FE123E" w:rsidRPr="00FE123E" w14:paraId="293500F6" w14:textId="77777777" w:rsidTr="00CD44F3">
        <w:trPr>
          <w:trHeight w:val="360"/>
        </w:trPr>
        <w:tc>
          <w:tcPr>
            <w:tcW w:w="1823" w:type="pct"/>
            <w:tcBorders>
              <w:top w:val="nil"/>
              <w:left w:val="single" w:sz="4" w:space="0" w:color="auto"/>
              <w:bottom w:val="single" w:sz="4" w:space="0" w:color="auto"/>
              <w:right w:val="single" w:sz="4" w:space="0" w:color="auto"/>
            </w:tcBorders>
            <w:shd w:val="clear" w:color="auto" w:fill="auto"/>
            <w:noWrap/>
            <w:vAlign w:val="center"/>
            <w:hideMark/>
          </w:tcPr>
          <w:p w14:paraId="07F9C4F7" w14:textId="77777777" w:rsidR="00FE123E" w:rsidRPr="00FE123E" w:rsidRDefault="00FE123E" w:rsidP="00FE123E">
            <w:pPr>
              <w:ind w:firstLineChars="100" w:firstLine="200"/>
              <w:rPr>
                <w:rFonts w:ascii="Arial Narrow" w:hAnsi="Arial Narrow" w:cs="Arial"/>
                <w:sz w:val="20"/>
                <w:szCs w:val="20"/>
              </w:rPr>
            </w:pPr>
            <w:r w:rsidRPr="00FE123E">
              <w:rPr>
                <w:rFonts w:ascii="Arial Narrow" w:hAnsi="Arial Narrow" w:cs="Arial"/>
                <w:sz w:val="20"/>
                <w:szCs w:val="20"/>
              </w:rPr>
              <w:t>Малайзия</w:t>
            </w:r>
          </w:p>
        </w:tc>
        <w:tc>
          <w:tcPr>
            <w:tcW w:w="794" w:type="pct"/>
            <w:tcBorders>
              <w:top w:val="nil"/>
              <w:left w:val="nil"/>
              <w:bottom w:val="single" w:sz="4" w:space="0" w:color="auto"/>
              <w:right w:val="single" w:sz="4" w:space="0" w:color="auto"/>
            </w:tcBorders>
            <w:shd w:val="clear" w:color="auto" w:fill="auto"/>
            <w:noWrap/>
            <w:vAlign w:val="center"/>
            <w:hideMark/>
          </w:tcPr>
          <w:p w14:paraId="1405E37E" w14:textId="77777777" w:rsidR="00FE123E" w:rsidRPr="00FE123E" w:rsidRDefault="00FE123E" w:rsidP="00FE123E">
            <w:pPr>
              <w:jc w:val="right"/>
              <w:rPr>
                <w:rFonts w:ascii="Arial Narrow" w:hAnsi="Arial Narrow" w:cs="Arial"/>
                <w:sz w:val="20"/>
                <w:szCs w:val="20"/>
              </w:rPr>
            </w:pPr>
            <w:r w:rsidRPr="00FE123E">
              <w:rPr>
                <w:rFonts w:ascii="Arial Narrow" w:hAnsi="Arial Narrow" w:cs="Arial"/>
                <w:sz w:val="20"/>
                <w:szCs w:val="20"/>
              </w:rPr>
              <w:t>7 283</w:t>
            </w:r>
          </w:p>
        </w:tc>
        <w:tc>
          <w:tcPr>
            <w:tcW w:w="794" w:type="pct"/>
            <w:tcBorders>
              <w:top w:val="nil"/>
              <w:left w:val="nil"/>
              <w:bottom w:val="single" w:sz="4" w:space="0" w:color="auto"/>
              <w:right w:val="single" w:sz="4" w:space="0" w:color="auto"/>
            </w:tcBorders>
            <w:shd w:val="clear" w:color="auto" w:fill="auto"/>
            <w:noWrap/>
            <w:vAlign w:val="center"/>
            <w:hideMark/>
          </w:tcPr>
          <w:p w14:paraId="40F50F3F" w14:textId="77777777" w:rsidR="00FE123E" w:rsidRPr="00FE123E" w:rsidRDefault="00FE123E" w:rsidP="00FE123E">
            <w:pPr>
              <w:jc w:val="right"/>
              <w:rPr>
                <w:rFonts w:ascii="Arial Narrow" w:hAnsi="Arial Narrow" w:cs="Arial"/>
                <w:sz w:val="20"/>
                <w:szCs w:val="20"/>
              </w:rPr>
            </w:pPr>
            <w:r w:rsidRPr="00FE123E">
              <w:rPr>
                <w:rFonts w:ascii="Arial Narrow" w:hAnsi="Arial Narrow" w:cs="Arial"/>
                <w:sz w:val="20"/>
                <w:szCs w:val="20"/>
              </w:rPr>
              <w:t>10 190</w:t>
            </w:r>
          </w:p>
        </w:tc>
        <w:tc>
          <w:tcPr>
            <w:tcW w:w="867" w:type="pct"/>
            <w:tcBorders>
              <w:top w:val="nil"/>
              <w:left w:val="nil"/>
              <w:bottom w:val="single" w:sz="4" w:space="0" w:color="auto"/>
              <w:right w:val="single" w:sz="4" w:space="0" w:color="auto"/>
            </w:tcBorders>
            <w:shd w:val="clear" w:color="auto" w:fill="auto"/>
            <w:noWrap/>
            <w:vAlign w:val="center"/>
            <w:hideMark/>
          </w:tcPr>
          <w:p w14:paraId="1456BFC0" w14:textId="77777777" w:rsidR="00FE123E" w:rsidRPr="00FE123E" w:rsidRDefault="00FE123E" w:rsidP="00FE123E">
            <w:pPr>
              <w:jc w:val="right"/>
              <w:rPr>
                <w:rFonts w:ascii="Arial Narrow" w:hAnsi="Arial Narrow" w:cs="Arial"/>
                <w:sz w:val="20"/>
                <w:szCs w:val="20"/>
              </w:rPr>
            </w:pPr>
            <w:r w:rsidRPr="00FE123E">
              <w:rPr>
                <w:rFonts w:ascii="Arial Narrow" w:hAnsi="Arial Narrow" w:cs="Arial"/>
                <w:sz w:val="20"/>
                <w:szCs w:val="20"/>
              </w:rPr>
              <w:t>2 907</w:t>
            </w:r>
          </w:p>
        </w:tc>
        <w:tc>
          <w:tcPr>
            <w:tcW w:w="722" w:type="pct"/>
            <w:tcBorders>
              <w:top w:val="nil"/>
              <w:left w:val="nil"/>
              <w:bottom w:val="single" w:sz="4" w:space="0" w:color="auto"/>
              <w:right w:val="single" w:sz="4" w:space="0" w:color="auto"/>
            </w:tcBorders>
            <w:shd w:val="clear" w:color="auto" w:fill="auto"/>
            <w:noWrap/>
            <w:vAlign w:val="center"/>
            <w:hideMark/>
          </w:tcPr>
          <w:p w14:paraId="5F06F6C0" w14:textId="77777777" w:rsidR="00FE123E" w:rsidRPr="00FE123E" w:rsidRDefault="00FE123E" w:rsidP="00FE123E">
            <w:pPr>
              <w:jc w:val="right"/>
              <w:rPr>
                <w:rFonts w:ascii="Arial Narrow" w:hAnsi="Arial Narrow" w:cs="Arial"/>
                <w:sz w:val="20"/>
                <w:szCs w:val="20"/>
              </w:rPr>
            </w:pPr>
            <w:r w:rsidRPr="00FE123E">
              <w:rPr>
                <w:rFonts w:ascii="Arial Narrow" w:hAnsi="Arial Narrow" w:cs="Arial"/>
                <w:sz w:val="20"/>
                <w:szCs w:val="20"/>
              </w:rPr>
              <w:t>39,9%</w:t>
            </w:r>
          </w:p>
        </w:tc>
      </w:tr>
      <w:tr w:rsidR="00FE123E" w:rsidRPr="00FE123E" w14:paraId="7CBBE358" w14:textId="77777777" w:rsidTr="00CD44F3">
        <w:trPr>
          <w:trHeight w:val="360"/>
        </w:trPr>
        <w:tc>
          <w:tcPr>
            <w:tcW w:w="1823" w:type="pct"/>
            <w:tcBorders>
              <w:top w:val="nil"/>
              <w:left w:val="single" w:sz="4" w:space="0" w:color="auto"/>
              <w:bottom w:val="single" w:sz="4" w:space="0" w:color="auto"/>
              <w:right w:val="single" w:sz="4" w:space="0" w:color="auto"/>
            </w:tcBorders>
            <w:shd w:val="clear" w:color="auto" w:fill="auto"/>
            <w:noWrap/>
            <w:vAlign w:val="center"/>
            <w:hideMark/>
          </w:tcPr>
          <w:p w14:paraId="7172B5B4" w14:textId="77777777" w:rsidR="00FE123E" w:rsidRPr="00FE123E" w:rsidRDefault="00FE123E" w:rsidP="00FE123E">
            <w:pPr>
              <w:ind w:firstLineChars="100" w:firstLine="200"/>
              <w:rPr>
                <w:rFonts w:ascii="Arial Narrow" w:hAnsi="Arial Narrow" w:cs="Arial"/>
                <w:sz w:val="20"/>
                <w:szCs w:val="20"/>
              </w:rPr>
            </w:pPr>
            <w:r w:rsidRPr="00FE123E">
              <w:rPr>
                <w:rFonts w:ascii="Arial Narrow" w:hAnsi="Arial Narrow" w:cs="Arial"/>
                <w:sz w:val="20"/>
                <w:szCs w:val="20"/>
              </w:rPr>
              <w:t xml:space="preserve">Република Корея </w:t>
            </w:r>
          </w:p>
        </w:tc>
        <w:tc>
          <w:tcPr>
            <w:tcW w:w="794" w:type="pct"/>
            <w:tcBorders>
              <w:top w:val="nil"/>
              <w:left w:val="nil"/>
              <w:bottom w:val="single" w:sz="4" w:space="0" w:color="auto"/>
              <w:right w:val="single" w:sz="4" w:space="0" w:color="auto"/>
            </w:tcBorders>
            <w:shd w:val="clear" w:color="auto" w:fill="auto"/>
            <w:noWrap/>
            <w:vAlign w:val="center"/>
            <w:hideMark/>
          </w:tcPr>
          <w:p w14:paraId="58B1C083" w14:textId="77777777" w:rsidR="00FE123E" w:rsidRPr="00FE123E" w:rsidRDefault="00FE123E" w:rsidP="00FE123E">
            <w:pPr>
              <w:jc w:val="right"/>
              <w:rPr>
                <w:rFonts w:ascii="Arial Narrow" w:hAnsi="Arial Narrow" w:cs="Arial"/>
                <w:sz w:val="20"/>
                <w:szCs w:val="20"/>
              </w:rPr>
            </w:pPr>
            <w:r w:rsidRPr="00FE123E">
              <w:rPr>
                <w:rFonts w:ascii="Arial Narrow" w:hAnsi="Arial Narrow" w:cs="Arial"/>
                <w:sz w:val="20"/>
                <w:szCs w:val="20"/>
              </w:rPr>
              <w:t>18 540</w:t>
            </w:r>
          </w:p>
        </w:tc>
        <w:tc>
          <w:tcPr>
            <w:tcW w:w="794" w:type="pct"/>
            <w:tcBorders>
              <w:top w:val="nil"/>
              <w:left w:val="nil"/>
              <w:bottom w:val="single" w:sz="4" w:space="0" w:color="auto"/>
              <w:right w:val="single" w:sz="4" w:space="0" w:color="auto"/>
            </w:tcBorders>
            <w:shd w:val="clear" w:color="auto" w:fill="auto"/>
            <w:noWrap/>
            <w:vAlign w:val="center"/>
            <w:hideMark/>
          </w:tcPr>
          <w:p w14:paraId="363340D3" w14:textId="77777777" w:rsidR="00FE123E" w:rsidRPr="00FE123E" w:rsidRDefault="00FE123E" w:rsidP="00FE123E">
            <w:pPr>
              <w:jc w:val="right"/>
              <w:rPr>
                <w:rFonts w:ascii="Arial Narrow" w:hAnsi="Arial Narrow" w:cs="Arial"/>
                <w:sz w:val="20"/>
                <w:szCs w:val="20"/>
              </w:rPr>
            </w:pPr>
            <w:r w:rsidRPr="00FE123E">
              <w:rPr>
                <w:rFonts w:ascii="Arial Narrow" w:hAnsi="Arial Narrow" w:cs="Arial"/>
                <w:sz w:val="20"/>
                <w:szCs w:val="20"/>
              </w:rPr>
              <w:t>9 000</w:t>
            </w:r>
          </w:p>
        </w:tc>
        <w:tc>
          <w:tcPr>
            <w:tcW w:w="867" w:type="pct"/>
            <w:tcBorders>
              <w:top w:val="nil"/>
              <w:left w:val="nil"/>
              <w:bottom w:val="single" w:sz="4" w:space="0" w:color="auto"/>
              <w:right w:val="single" w:sz="4" w:space="0" w:color="auto"/>
            </w:tcBorders>
            <w:shd w:val="clear" w:color="auto" w:fill="auto"/>
            <w:noWrap/>
            <w:vAlign w:val="center"/>
            <w:hideMark/>
          </w:tcPr>
          <w:p w14:paraId="674AB352" w14:textId="77777777" w:rsidR="00FE123E" w:rsidRPr="00FE123E" w:rsidRDefault="00FE123E" w:rsidP="00FE123E">
            <w:pPr>
              <w:jc w:val="right"/>
              <w:rPr>
                <w:rFonts w:ascii="Arial Narrow" w:hAnsi="Arial Narrow" w:cs="Arial"/>
                <w:sz w:val="20"/>
                <w:szCs w:val="20"/>
              </w:rPr>
            </w:pPr>
            <w:r w:rsidRPr="00FE123E">
              <w:rPr>
                <w:rFonts w:ascii="Arial Narrow" w:hAnsi="Arial Narrow" w:cs="Arial"/>
                <w:sz w:val="20"/>
                <w:szCs w:val="20"/>
              </w:rPr>
              <w:t>-9 540</w:t>
            </w:r>
          </w:p>
        </w:tc>
        <w:tc>
          <w:tcPr>
            <w:tcW w:w="722" w:type="pct"/>
            <w:tcBorders>
              <w:top w:val="nil"/>
              <w:left w:val="nil"/>
              <w:bottom w:val="single" w:sz="4" w:space="0" w:color="auto"/>
              <w:right w:val="single" w:sz="4" w:space="0" w:color="auto"/>
            </w:tcBorders>
            <w:shd w:val="clear" w:color="auto" w:fill="auto"/>
            <w:noWrap/>
            <w:vAlign w:val="center"/>
            <w:hideMark/>
          </w:tcPr>
          <w:p w14:paraId="37CE345F" w14:textId="77777777" w:rsidR="00FE123E" w:rsidRPr="00FE123E" w:rsidRDefault="00FE123E" w:rsidP="00FE123E">
            <w:pPr>
              <w:jc w:val="right"/>
              <w:rPr>
                <w:rFonts w:ascii="Arial Narrow" w:hAnsi="Arial Narrow" w:cs="Arial"/>
                <w:sz w:val="20"/>
                <w:szCs w:val="20"/>
              </w:rPr>
            </w:pPr>
            <w:r w:rsidRPr="00FE123E">
              <w:rPr>
                <w:rFonts w:ascii="Arial Narrow" w:hAnsi="Arial Narrow" w:cs="Arial"/>
                <w:sz w:val="20"/>
                <w:szCs w:val="20"/>
              </w:rPr>
              <w:t>-51,5%</w:t>
            </w:r>
          </w:p>
        </w:tc>
      </w:tr>
      <w:tr w:rsidR="00FE123E" w:rsidRPr="00FE123E" w14:paraId="4B1802FC" w14:textId="77777777" w:rsidTr="00CD44F3">
        <w:trPr>
          <w:trHeight w:val="360"/>
        </w:trPr>
        <w:tc>
          <w:tcPr>
            <w:tcW w:w="1823" w:type="pct"/>
            <w:tcBorders>
              <w:top w:val="nil"/>
              <w:left w:val="single" w:sz="4" w:space="0" w:color="auto"/>
              <w:bottom w:val="single" w:sz="4" w:space="0" w:color="auto"/>
              <w:right w:val="single" w:sz="4" w:space="0" w:color="auto"/>
            </w:tcBorders>
            <w:shd w:val="clear" w:color="auto" w:fill="auto"/>
            <w:noWrap/>
            <w:vAlign w:val="center"/>
            <w:hideMark/>
          </w:tcPr>
          <w:p w14:paraId="4F0DA812" w14:textId="77777777" w:rsidR="00FE123E" w:rsidRPr="00FE123E" w:rsidRDefault="00FE123E" w:rsidP="00FE123E">
            <w:pPr>
              <w:ind w:firstLineChars="100" w:firstLine="200"/>
              <w:rPr>
                <w:rFonts w:ascii="Arial Narrow" w:hAnsi="Arial Narrow" w:cs="Arial"/>
                <w:sz w:val="20"/>
                <w:szCs w:val="20"/>
              </w:rPr>
            </w:pPr>
            <w:r w:rsidRPr="00FE123E">
              <w:rPr>
                <w:rFonts w:ascii="Arial Narrow" w:hAnsi="Arial Narrow" w:cs="Arial"/>
                <w:sz w:val="20"/>
                <w:szCs w:val="20"/>
              </w:rPr>
              <w:t>Ливан</w:t>
            </w:r>
          </w:p>
        </w:tc>
        <w:tc>
          <w:tcPr>
            <w:tcW w:w="794" w:type="pct"/>
            <w:tcBorders>
              <w:top w:val="nil"/>
              <w:left w:val="nil"/>
              <w:bottom w:val="single" w:sz="4" w:space="0" w:color="auto"/>
              <w:right w:val="single" w:sz="4" w:space="0" w:color="auto"/>
            </w:tcBorders>
            <w:shd w:val="clear" w:color="auto" w:fill="auto"/>
            <w:noWrap/>
            <w:vAlign w:val="center"/>
            <w:hideMark/>
          </w:tcPr>
          <w:p w14:paraId="59F5932E" w14:textId="77777777" w:rsidR="00FE123E" w:rsidRPr="00FE123E" w:rsidRDefault="00FE123E" w:rsidP="00FE123E">
            <w:pPr>
              <w:jc w:val="right"/>
              <w:rPr>
                <w:rFonts w:ascii="Arial Narrow" w:hAnsi="Arial Narrow" w:cs="Arial"/>
                <w:sz w:val="20"/>
                <w:szCs w:val="20"/>
              </w:rPr>
            </w:pPr>
            <w:r w:rsidRPr="00FE123E">
              <w:rPr>
                <w:rFonts w:ascii="Arial Narrow" w:hAnsi="Arial Narrow" w:cs="Arial"/>
                <w:sz w:val="20"/>
                <w:szCs w:val="20"/>
              </w:rPr>
              <w:t>91 778</w:t>
            </w:r>
          </w:p>
        </w:tc>
        <w:tc>
          <w:tcPr>
            <w:tcW w:w="794" w:type="pct"/>
            <w:tcBorders>
              <w:top w:val="nil"/>
              <w:left w:val="nil"/>
              <w:bottom w:val="single" w:sz="4" w:space="0" w:color="auto"/>
              <w:right w:val="single" w:sz="4" w:space="0" w:color="auto"/>
            </w:tcBorders>
            <w:shd w:val="clear" w:color="auto" w:fill="auto"/>
            <w:noWrap/>
            <w:vAlign w:val="center"/>
            <w:hideMark/>
          </w:tcPr>
          <w:p w14:paraId="3D1C20FB" w14:textId="77777777" w:rsidR="00FE123E" w:rsidRPr="00FE123E" w:rsidRDefault="00FE123E" w:rsidP="00FE123E">
            <w:pPr>
              <w:jc w:val="right"/>
              <w:rPr>
                <w:rFonts w:ascii="Arial Narrow" w:hAnsi="Arial Narrow" w:cs="Arial"/>
                <w:sz w:val="20"/>
                <w:szCs w:val="20"/>
              </w:rPr>
            </w:pPr>
            <w:r w:rsidRPr="00FE123E">
              <w:rPr>
                <w:rFonts w:ascii="Arial Narrow" w:hAnsi="Arial Narrow" w:cs="Arial"/>
                <w:sz w:val="20"/>
                <w:szCs w:val="20"/>
              </w:rPr>
              <w:t>8 348</w:t>
            </w:r>
          </w:p>
        </w:tc>
        <w:tc>
          <w:tcPr>
            <w:tcW w:w="867" w:type="pct"/>
            <w:tcBorders>
              <w:top w:val="nil"/>
              <w:left w:val="nil"/>
              <w:bottom w:val="single" w:sz="4" w:space="0" w:color="auto"/>
              <w:right w:val="single" w:sz="4" w:space="0" w:color="auto"/>
            </w:tcBorders>
            <w:shd w:val="clear" w:color="auto" w:fill="auto"/>
            <w:noWrap/>
            <w:vAlign w:val="center"/>
            <w:hideMark/>
          </w:tcPr>
          <w:p w14:paraId="7B2A0BC8" w14:textId="77777777" w:rsidR="00FE123E" w:rsidRPr="00FE123E" w:rsidRDefault="00FE123E" w:rsidP="00FE123E">
            <w:pPr>
              <w:jc w:val="right"/>
              <w:rPr>
                <w:rFonts w:ascii="Arial Narrow" w:hAnsi="Arial Narrow" w:cs="Arial"/>
                <w:sz w:val="20"/>
                <w:szCs w:val="20"/>
              </w:rPr>
            </w:pPr>
            <w:r w:rsidRPr="00FE123E">
              <w:rPr>
                <w:rFonts w:ascii="Arial Narrow" w:hAnsi="Arial Narrow" w:cs="Arial"/>
                <w:sz w:val="20"/>
                <w:szCs w:val="20"/>
              </w:rPr>
              <w:t>-83 430</w:t>
            </w:r>
          </w:p>
        </w:tc>
        <w:tc>
          <w:tcPr>
            <w:tcW w:w="722" w:type="pct"/>
            <w:tcBorders>
              <w:top w:val="nil"/>
              <w:left w:val="nil"/>
              <w:bottom w:val="single" w:sz="4" w:space="0" w:color="auto"/>
              <w:right w:val="single" w:sz="4" w:space="0" w:color="auto"/>
            </w:tcBorders>
            <w:shd w:val="clear" w:color="auto" w:fill="auto"/>
            <w:noWrap/>
            <w:vAlign w:val="center"/>
            <w:hideMark/>
          </w:tcPr>
          <w:p w14:paraId="1712E641" w14:textId="77777777" w:rsidR="00FE123E" w:rsidRPr="00FE123E" w:rsidRDefault="00FE123E" w:rsidP="00FE123E">
            <w:pPr>
              <w:jc w:val="right"/>
              <w:rPr>
                <w:rFonts w:ascii="Arial Narrow" w:hAnsi="Arial Narrow" w:cs="Arial"/>
                <w:sz w:val="20"/>
                <w:szCs w:val="20"/>
              </w:rPr>
            </w:pPr>
            <w:r w:rsidRPr="00FE123E">
              <w:rPr>
                <w:rFonts w:ascii="Arial Narrow" w:hAnsi="Arial Narrow" w:cs="Arial"/>
                <w:sz w:val="20"/>
                <w:szCs w:val="20"/>
              </w:rPr>
              <w:t>-90,9%</w:t>
            </w:r>
          </w:p>
        </w:tc>
      </w:tr>
      <w:tr w:rsidR="00FE123E" w:rsidRPr="00FE123E" w14:paraId="5EE3F9BA" w14:textId="77777777" w:rsidTr="00CD44F3">
        <w:trPr>
          <w:trHeight w:val="360"/>
        </w:trPr>
        <w:tc>
          <w:tcPr>
            <w:tcW w:w="1823" w:type="pct"/>
            <w:tcBorders>
              <w:top w:val="nil"/>
              <w:left w:val="single" w:sz="4" w:space="0" w:color="auto"/>
              <w:bottom w:val="single" w:sz="4" w:space="0" w:color="auto"/>
              <w:right w:val="single" w:sz="4" w:space="0" w:color="auto"/>
            </w:tcBorders>
            <w:shd w:val="clear" w:color="auto" w:fill="auto"/>
            <w:noWrap/>
            <w:vAlign w:val="center"/>
            <w:hideMark/>
          </w:tcPr>
          <w:p w14:paraId="7337604D" w14:textId="77777777" w:rsidR="00FE123E" w:rsidRPr="00FE123E" w:rsidRDefault="00FE123E" w:rsidP="00FE123E">
            <w:pPr>
              <w:ind w:firstLineChars="100" w:firstLine="200"/>
              <w:rPr>
                <w:rFonts w:ascii="Arial Narrow" w:hAnsi="Arial Narrow" w:cs="Arial"/>
                <w:sz w:val="20"/>
                <w:szCs w:val="20"/>
              </w:rPr>
            </w:pPr>
            <w:r w:rsidRPr="00FE123E">
              <w:rPr>
                <w:rFonts w:ascii="Arial Narrow" w:hAnsi="Arial Narrow" w:cs="Arial"/>
                <w:sz w:val="20"/>
                <w:szCs w:val="20"/>
              </w:rPr>
              <w:t>Централноафриканска република</w:t>
            </w:r>
          </w:p>
        </w:tc>
        <w:tc>
          <w:tcPr>
            <w:tcW w:w="794" w:type="pct"/>
            <w:tcBorders>
              <w:top w:val="nil"/>
              <w:left w:val="nil"/>
              <w:bottom w:val="single" w:sz="4" w:space="0" w:color="auto"/>
              <w:right w:val="single" w:sz="4" w:space="0" w:color="auto"/>
            </w:tcBorders>
            <w:shd w:val="clear" w:color="auto" w:fill="auto"/>
            <w:noWrap/>
            <w:vAlign w:val="center"/>
            <w:hideMark/>
          </w:tcPr>
          <w:p w14:paraId="2E765340" w14:textId="77777777" w:rsidR="00FE123E" w:rsidRPr="00FE123E" w:rsidRDefault="00FE123E" w:rsidP="00FE123E">
            <w:pPr>
              <w:jc w:val="right"/>
              <w:rPr>
                <w:rFonts w:ascii="Arial Narrow" w:hAnsi="Arial Narrow" w:cs="Arial"/>
                <w:sz w:val="20"/>
                <w:szCs w:val="20"/>
              </w:rPr>
            </w:pPr>
            <w:r w:rsidRPr="00FE123E">
              <w:rPr>
                <w:rFonts w:ascii="Arial Narrow" w:hAnsi="Arial Narrow" w:cs="Arial"/>
                <w:sz w:val="20"/>
                <w:szCs w:val="20"/>
              </w:rPr>
              <w:t>20 840</w:t>
            </w:r>
          </w:p>
        </w:tc>
        <w:tc>
          <w:tcPr>
            <w:tcW w:w="794" w:type="pct"/>
            <w:tcBorders>
              <w:top w:val="nil"/>
              <w:left w:val="nil"/>
              <w:bottom w:val="single" w:sz="4" w:space="0" w:color="auto"/>
              <w:right w:val="single" w:sz="4" w:space="0" w:color="auto"/>
            </w:tcBorders>
            <w:shd w:val="clear" w:color="auto" w:fill="auto"/>
            <w:noWrap/>
            <w:vAlign w:val="center"/>
            <w:hideMark/>
          </w:tcPr>
          <w:p w14:paraId="0C6479AC" w14:textId="77777777" w:rsidR="00FE123E" w:rsidRPr="00FE123E" w:rsidRDefault="00FE123E" w:rsidP="00FE123E">
            <w:pPr>
              <w:jc w:val="right"/>
              <w:rPr>
                <w:rFonts w:ascii="Arial Narrow" w:hAnsi="Arial Narrow" w:cs="Arial"/>
                <w:sz w:val="20"/>
                <w:szCs w:val="20"/>
              </w:rPr>
            </w:pPr>
            <w:r w:rsidRPr="00FE123E">
              <w:rPr>
                <w:rFonts w:ascii="Arial Narrow" w:hAnsi="Arial Narrow" w:cs="Arial"/>
                <w:sz w:val="20"/>
                <w:szCs w:val="20"/>
              </w:rPr>
              <w:t>0</w:t>
            </w:r>
          </w:p>
        </w:tc>
        <w:tc>
          <w:tcPr>
            <w:tcW w:w="867" w:type="pct"/>
            <w:tcBorders>
              <w:top w:val="nil"/>
              <w:left w:val="nil"/>
              <w:bottom w:val="single" w:sz="4" w:space="0" w:color="auto"/>
              <w:right w:val="single" w:sz="4" w:space="0" w:color="auto"/>
            </w:tcBorders>
            <w:shd w:val="clear" w:color="auto" w:fill="auto"/>
            <w:noWrap/>
            <w:vAlign w:val="center"/>
            <w:hideMark/>
          </w:tcPr>
          <w:p w14:paraId="059C708A" w14:textId="77777777" w:rsidR="00FE123E" w:rsidRPr="00FE123E" w:rsidRDefault="00FE123E" w:rsidP="00FE123E">
            <w:pPr>
              <w:jc w:val="right"/>
              <w:rPr>
                <w:rFonts w:ascii="Arial Narrow" w:hAnsi="Arial Narrow" w:cs="Arial"/>
                <w:sz w:val="20"/>
                <w:szCs w:val="20"/>
              </w:rPr>
            </w:pPr>
            <w:r w:rsidRPr="00FE123E">
              <w:rPr>
                <w:rFonts w:ascii="Arial Narrow" w:hAnsi="Arial Narrow" w:cs="Arial"/>
                <w:sz w:val="20"/>
                <w:szCs w:val="20"/>
              </w:rPr>
              <w:t>-20 840</w:t>
            </w:r>
          </w:p>
        </w:tc>
        <w:tc>
          <w:tcPr>
            <w:tcW w:w="722" w:type="pct"/>
            <w:tcBorders>
              <w:top w:val="nil"/>
              <w:left w:val="nil"/>
              <w:bottom w:val="single" w:sz="4" w:space="0" w:color="auto"/>
              <w:right w:val="single" w:sz="4" w:space="0" w:color="auto"/>
            </w:tcBorders>
            <w:shd w:val="clear" w:color="auto" w:fill="auto"/>
            <w:noWrap/>
            <w:vAlign w:val="center"/>
            <w:hideMark/>
          </w:tcPr>
          <w:p w14:paraId="5D960252" w14:textId="77777777" w:rsidR="00FE123E" w:rsidRPr="00FE123E" w:rsidRDefault="00FE123E" w:rsidP="00FE123E">
            <w:pPr>
              <w:jc w:val="right"/>
              <w:rPr>
                <w:rFonts w:ascii="Arial Narrow" w:hAnsi="Arial Narrow" w:cs="Arial"/>
                <w:sz w:val="20"/>
                <w:szCs w:val="20"/>
              </w:rPr>
            </w:pPr>
            <w:r w:rsidRPr="00FE123E">
              <w:rPr>
                <w:rFonts w:ascii="Arial Narrow" w:hAnsi="Arial Narrow" w:cs="Arial"/>
                <w:sz w:val="20"/>
                <w:szCs w:val="20"/>
              </w:rPr>
              <w:t>-100,0%</w:t>
            </w:r>
          </w:p>
        </w:tc>
      </w:tr>
      <w:tr w:rsidR="00FE123E" w:rsidRPr="00FE123E" w14:paraId="5030F6E4" w14:textId="77777777" w:rsidTr="00CD44F3">
        <w:trPr>
          <w:trHeight w:val="360"/>
        </w:trPr>
        <w:tc>
          <w:tcPr>
            <w:tcW w:w="1823" w:type="pct"/>
            <w:tcBorders>
              <w:top w:val="nil"/>
              <w:left w:val="single" w:sz="4" w:space="0" w:color="auto"/>
              <w:bottom w:val="single" w:sz="4" w:space="0" w:color="auto"/>
              <w:right w:val="single" w:sz="4" w:space="0" w:color="auto"/>
            </w:tcBorders>
            <w:shd w:val="clear" w:color="auto" w:fill="auto"/>
            <w:noWrap/>
            <w:vAlign w:val="center"/>
            <w:hideMark/>
          </w:tcPr>
          <w:p w14:paraId="6AF02AA9" w14:textId="77777777" w:rsidR="00FE123E" w:rsidRPr="00FE123E" w:rsidRDefault="00FE123E" w:rsidP="00FE123E">
            <w:pPr>
              <w:ind w:firstLineChars="100" w:firstLine="200"/>
              <w:rPr>
                <w:rFonts w:ascii="Arial Narrow" w:hAnsi="Arial Narrow" w:cs="Arial"/>
                <w:sz w:val="20"/>
                <w:szCs w:val="20"/>
              </w:rPr>
            </w:pPr>
            <w:r w:rsidRPr="00FE123E">
              <w:rPr>
                <w:rFonts w:ascii="Arial Narrow" w:hAnsi="Arial Narrow" w:cs="Arial"/>
                <w:sz w:val="20"/>
                <w:szCs w:val="20"/>
              </w:rPr>
              <w:t>Други</w:t>
            </w:r>
          </w:p>
        </w:tc>
        <w:tc>
          <w:tcPr>
            <w:tcW w:w="794" w:type="pct"/>
            <w:tcBorders>
              <w:top w:val="nil"/>
              <w:left w:val="nil"/>
              <w:bottom w:val="single" w:sz="4" w:space="0" w:color="auto"/>
              <w:right w:val="single" w:sz="4" w:space="0" w:color="auto"/>
            </w:tcBorders>
            <w:shd w:val="clear" w:color="auto" w:fill="auto"/>
            <w:noWrap/>
            <w:vAlign w:val="center"/>
            <w:hideMark/>
          </w:tcPr>
          <w:p w14:paraId="1AA18A49" w14:textId="77777777" w:rsidR="00FE123E" w:rsidRPr="00FE123E" w:rsidRDefault="00FE123E" w:rsidP="00FE123E">
            <w:pPr>
              <w:jc w:val="right"/>
              <w:rPr>
                <w:rFonts w:ascii="Arial Narrow" w:hAnsi="Arial Narrow" w:cs="Arial"/>
                <w:sz w:val="20"/>
                <w:szCs w:val="20"/>
              </w:rPr>
            </w:pPr>
            <w:r w:rsidRPr="00FE123E">
              <w:rPr>
                <w:rFonts w:ascii="Arial Narrow" w:hAnsi="Arial Narrow" w:cs="Arial"/>
                <w:sz w:val="20"/>
                <w:szCs w:val="20"/>
              </w:rPr>
              <w:t>110 705</w:t>
            </w:r>
          </w:p>
        </w:tc>
        <w:tc>
          <w:tcPr>
            <w:tcW w:w="794" w:type="pct"/>
            <w:tcBorders>
              <w:top w:val="nil"/>
              <w:left w:val="nil"/>
              <w:bottom w:val="single" w:sz="4" w:space="0" w:color="auto"/>
              <w:right w:val="single" w:sz="4" w:space="0" w:color="auto"/>
            </w:tcBorders>
            <w:shd w:val="clear" w:color="auto" w:fill="auto"/>
            <w:noWrap/>
            <w:vAlign w:val="center"/>
            <w:hideMark/>
          </w:tcPr>
          <w:p w14:paraId="4242D3C8" w14:textId="77777777" w:rsidR="00FE123E" w:rsidRPr="00FE123E" w:rsidRDefault="00FE123E" w:rsidP="00FE123E">
            <w:pPr>
              <w:jc w:val="right"/>
              <w:rPr>
                <w:rFonts w:ascii="Arial Narrow" w:hAnsi="Arial Narrow" w:cs="Arial"/>
                <w:sz w:val="20"/>
                <w:szCs w:val="20"/>
              </w:rPr>
            </w:pPr>
            <w:r w:rsidRPr="00FE123E">
              <w:rPr>
                <w:rFonts w:ascii="Arial Narrow" w:hAnsi="Arial Narrow" w:cs="Arial"/>
                <w:sz w:val="20"/>
                <w:szCs w:val="20"/>
              </w:rPr>
              <w:t>115 539</w:t>
            </w:r>
          </w:p>
        </w:tc>
        <w:tc>
          <w:tcPr>
            <w:tcW w:w="867" w:type="pct"/>
            <w:tcBorders>
              <w:top w:val="nil"/>
              <w:left w:val="nil"/>
              <w:bottom w:val="single" w:sz="4" w:space="0" w:color="auto"/>
              <w:right w:val="single" w:sz="4" w:space="0" w:color="auto"/>
            </w:tcBorders>
            <w:shd w:val="clear" w:color="auto" w:fill="auto"/>
            <w:noWrap/>
            <w:vAlign w:val="center"/>
            <w:hideMark/>
          </w:tcPr>
          <w:p w14:paraId="18C38184" w14:textId="77777777" w:rsidR="00FE123E" w:rsidRPr="00FE123E" w:rsidRDefault="00FE123E" w:rsidP="00FE123E">
            <w:pPr>
              <w:jc w:val="right"/>
              <w:rPr>
                <w:rFonts w:ascii="Arial Narrow" w:hAnsi="Arial Narrow" w:cs="Arial"/>
                <w:sz w:val="20"/>
                <w:szCs w:val="20"/>
              </w:rPr>
            </w:pPr>
            <w:r w:rsidRPr="00FE123E">
              <w:rPr>
                <w:rFonts w:ascii="Arial Narrow" w:hAnsi="Arial Narrow" w:cs="Arial"/>
                <w:sz w:val="20"/>
                <w:szCs w:val="20"/>
              </w:rPr>
              <w:t>4 834</w:t>
            </w:r>
          </w:p>
        </w:tc>
        <w:tc>
          <w:tcPr>
            <w:tcW w:w="722" w:type="pct"/>
            <w:tcBorders>
              <w:top w:val="nil"/>
              <w:left w:val="nil"/>
              <w:bottom w:val="single" w:sz="4" w:space="0" w:color="auto"/>
              <w:right w:val="single" w:sz="4" w:space="0" w:color="auto"/>
            </w:tcBorders>
            <w:shd w:val="clear" w:color="auto" w:fill="auto"/>
            <w:noWrap/>
            <w:vAlign w:val="center"/>
            <w:hideMark/>
          </w:tcPr>
          <w:p w14:paraId="1F4C60F9" w14:textId="77777777" w:rsidR="00FE123E" w:rsidRPr="00FE123E" w:rsidRDefault="00FE123E" w:rsidP="00FE123E">
            <w:pPr>
              <w:jc w:val="right"/>
              <w:rPr>
                <w:rFonts w:ascii="Arial Narrow" w:hAnsi="Arial Narrow" w:cs="Arial"/>
                <w:sz w:val="20"/>
                <w:szCs w:val="20"/>
              </w:rPr>
            </w:pPr>
            <w:r w:rsidRPr="00FE123E">
              <w:rPr>
                <w:rFonts w:ascii="Arial Narrow" w:hAnsi="Arial Narrow" w:cs="Arial"/>
                <w:sz w:val="20"/>
                <w:szCs w:val="20"/>
              </w:rPr>
              <w:t>4,4%</w:t>
            </w:r>
          </w:p>
        </w:tc>
      </w:tr>
      <w:tr w:rsidR="00FE123E" w:rsidRPr="00FE123E" w14:paraId="5BB24FD0" w14:textId="77777777" w:rsidTr="00CD44F3">
        <w:trPr>
          <w:trHeight w:val="360"/>
        </w:trPr>
        <w:tc>
          <w:tcPr>
            <w:tcW w:w="1823" w:type="pct"/>
            <w:tcBorders>
              <w:top w:val="nil"/>
              <w:left w:val="single" w:sz="4" w:space="0" w:color="auto"/>
              <w:bottom w:val="single" w:sz="4" w:space="0" w:color="auto"/>
              <w:right w:val="single" w:sz="4" w:space="0" w:color="auto"/>
            </w:tcBorders>
            <w:shd w:val="clear" w:color="auto" w:fill="auto"/>
            <w:noWrap/>
            <w:vAlign w:val="center"/>
            <w:hideMark/>
          </w:tcPr>
          <w:p w14:paraId="017C58C8" w14:textId="77777777" w:rsidR="00FE123E" w:rsidRPr="00FE123E" w:rsidRDefault="00FE123E" w:rsidP="00FE123E">
            <w:pPr>
              <w:rPr>
                <w:rFonts w:ascii="Arial Narrow" w:hAnsi="Arial Narrow" w:cs="Arial"/>
                <w:b/>
                <w:bCs/>
                <w:sz w:val="20"/>
                <w:szCs w:val="20"/>
              </w:rPr>
            </w:pPr>
            <w:r w:rsidRPr="00FE123E">
              <w:rPr>
                <w:rFonts w:ascii="Arial Narrow" w:hAnsi="Arial Narrow" w:cs="Arial"/>
                <w:b/>
                <w:bCs/>
                <w:sz w:val="20"/>
                <w:szCs w:val="20"/>
              </w:rPr>
              <w:t>Общо</w:t>
            </w:r>
          </w:p>
        </w:tc>
        <w:tc>
          <w:tcPr>
            <w:tcW w:w="794" w:type="pct"/>
            <w:tcBorders>
              <w:top w:val="nil"/>
              <w:left w:val="nil"/>
              <w:bottom w:val="single" w:sz="4" w:space="0" w:color="auto"/>
              <w:right w:val="single" w:sz="4" w:space="0" w:color="auto"/>
            </w:tcBorders>
            <w:shd w:val="clear" w:color="auto" w:fill="auto"/>
            <w:noWrap/>
            <w:vAlign w:val="center"/>
            <w:hideMark/>
          </w:tcPr>
          <w:p w14:paraId="1A669CDE" w14:textId="77777777" w:rsidR="00FE123E" w:rsidRPr="00FE123E" w:rsidRDefault="00FE123E" w:rsidP="00FE123E">
            <w:pPr>
              <w:jc w:val="right"/>
              <w:rPr>
                <w:rFonts w:ascii="Arial Narrow" w:hAnsi="Arial Narrow" w:cs="Arial"/>
                <w:b/>
                <w:bCs/>
                <w:sz w:val="20"/>
                <w:szCs w:val="20"/>
              </w:rPr>
            </w:pPr>
            <w:r w:rsidRPr="00FE123E">
              <w:rPr>
                <w:rFonts w:ascii="Arial Narrow" w:hAnsi="Arial Narrow" w:cs="Arial"/>
                <w:b/>
                <w:bCs/>
                <w:sz w:val="20"/>
                <w:szCs w:val="20"/>
              </w:rPr>
              <w:t>11 970 124</w:t>
            </w:r>
          </w:p>
        </w:tc>
        <w:tc>
          <w:tcPr>
            <w:tcW w:w="794" w:type="pct"/>
            <w:tcBorders>
              <w:top w:val="nil"/>
              <w:left w:val="nil"/>
              <w:bottom w:val="single" w:sz="4" w:space="0" w:color="auto"/>
              <w:right w:val="single" w:sz="4" w:space="0" w:color="auto"/>
            </w:tcBorders>
            <w:shd w:val="clear" w:color="auto" w:fill="auto"/>
            <w:noWrap/>
            <w:vAlign w:val="center"/>
            <w:hideMark/>
          </w:tcPr>
          <w:p w14:paraId="6D9CAA91" w14:textId="77777777" w:rsidR="00FE123E" w:rsidRPr="00FE123E" w:rsidRDefault="00FE123E" w:rsidP="00FE123E">
            <w:pPr>
              <w:jc w:val="right"/>
              <w:rPr>
                <w:rFonts w:ascii="Arial Narrow" w:hAnsi="Arial Narrow" w:cs="Arial"/>
                <w:b/>
                <w:bCs/>
                <w:sz w:val="20"/>
                <w:szCs w:val="20"/>
              </w:rPr>
            </w:pPr>
            <w:r w:rsidRPr="00FE123E">
              <w:rPr>
                <w:rFonts w:ascii="Arial Narrow" w:hAnsi="Arial Narrow" w:cs="Arial"/>
                <w:b/>
                <w:bCs/>
                <w:sz w:val="20"/>
                <w:szCs w:val="20"/>
              </w:rPr>
              <w:t>8 684 176</w:t>
            </w:r>
          </w:p>
        </w:tc>
        <w:tc>
          <w:tcPr>
            <w:tcW w:w="867" w:type="pct"/>
            <w:tcBorders>
              <w:top w:val="nil"/>
              <w:left w:val="nil"/>
              <w:bottom w:val="single" w:sz="4" w:space="0" w:color="auto"/>
              <w:right w:val="single" w:sz="4" w:space="0" w:color="auto"/>
            </w:tcBorders>
            <w:shd w:val="clear" w:color="auto" w:fill="auto"/>
            <w:noWrap/>
            <w:vAlign w:val="center"/>
            <w:hideMark/>
          </w:tcPr>
          <w:p w14:paraId="2E4871AD" w14:textId="77777777" w:rsidR="00FE123E" w:rsidRPr="00FE123E" w:rsidRDefault="00FE123E" w:rsidP="00FE123E">
            <w:pPr>
              <w:jc w:val="right"/>
              <w:rPr>
                <w:rFonts w:ascii="Arial Narrow" w:hAnsi="Arial Narrow" w:cs="Arial"/>
                <w:b/>
                <w:bCs/>
                <w:sz w:val="20"/>
                <w:szCs w:val="20"/>
              </w:rPr>
            </w:pPr>
            <w:r w:rsidRPr="00FE123E">
              <w:rPr>
                <w:rFonts w:ascii="Arial Narrow" w:hAnsi="Arial Narrow" w:cs="Arial"/>
                <w:b/>
                <w:bCs/>
                <w:sz w:val="20"/>
                <w:szCs w:val="20"/>
              </w:rPr>
              <w:t>-3 285 948</w:t>
            </w:r>
          </w:p>
        </w:tc>
        <w:tc>
          <w:tcPr>
            <w:tcW w:w="722" w:type="pct"/>
            <w:tcBorders>
              <w:top w:val="nil"/>
              <w:left w:val="nil"/>
              <w:bottom w:val="single" w:sz="4" w:space="0" w:color="auto"/>
              <w:right w:val="single" w:sz="4" w:space="0" w:color="auto"/>
            </w:tcBorders>
            <w:shd w:val="clear" w:color="auto" w:fill="auto"/>
            <w:noWrap/>
            <w:vAlign w:val="center"/>
            <w:hideMark/>
          </w:tcPr>
          <w:p w14:paraId="2C3DD8C9" w14:textId="77777777" w:rsidR="00FE123E" w:rsidRPr="00FE123E" w:rsidRDefault="00FE123E" w:rsidP="00FE123E">
            <w:pPr>
              <w:jc w:val="right"/>
              <w:rPr>
                <w:rFonts w:ascii="Arial Narrow" w:hAnsi="Arial Narrow" w:cs="Arial"/>
                <w:b/>
                <w:bCs/>
                <w:sz w:val="20"/>
                <w:szCs w:val="20"/>
              </w:rPr>
            </w:pPr>
            <w:r w:rsidRPr="00FE123E">
              <w:rPr>
                <w:rFonts w:ascii="Arial Narrow" w:hAnsi="Arial Narrow" w:cs="Arial"/>
                <w:b/>
                <w:bCs/>
                <w:sz w:val="20"/>
                <w:szCs w:val="20"/>
              </w:rPr>
              <w:t>-27,5%</w:t>
            </w:r>
          </w:p>
        </w:tc>
      </w:tr>
    </w:tbl>
    <w:p w14:paraId="62ACD2A0" w14:textId="77777777" w:rsidR="00CD3FE8" w:rsidRPr="00CD3FE8" w:rsidRDefault="00CD3FE8" w:rsidP="00CD3FE8">
      <w:pPr>
        <w:widowControl w:val="0"/>
        <w:tabs>
          <w:tab w:val="left" w:pos="810"/>
        </w:tabs>
        <w:autoSpaceDE w:val="0"/>
        <w:autoSpaceDN w:val="0"/>
        <w:adjustRightInd w:val="0"/>
        <w:spacing w:after="240"/>
        <w:jc w:val="both"/>
        <w:rPr>
          <w:rFonts w:ascii="Arial Narrow" w:hAnsi="Arial Narrow" w:cs="Arial"/>
          <w:sz w:val="18"/>
          <w:szCs w:val="18"/>
          <w:lang w:val="bg-BG"/>
        </w:rPr>
      </w:pPr>
      <w:r w:rsidRPr="00CD3FE8">
        <w:rPr>
          <w:rFonts w:ascii="Arial Narrow" w:hAnsi="Arial Narrow" w:cs="Arial"/>
          <w:i/>
          <w:sz w:val="18"/>
          <w:szCs w:val="18"/>
          <w:lang w:val="bg-BG"/>
        </w:rPr>
        <w:t xml:space="preserve">Източник: </w:t>
      </w:r>
      <w:r w:rsidRPr="00CD3FE8">
        <w:rPr>
          <w:rFonts w:ascii="Arial Narrow" w:hAnsi="Arial Narrow" w:cs="Arial"/>
          <w:sz w:val="18"/>
          <w:szCs w:val="18"/>
          <w:lang w:val="bg-BG"/>
        </w:rPr>
        <w:t xml:space="preserve">НСИ </w:t>
      </w:r>
    </w:p>
    <w:p w14:paraId="1B192BD4" w14:textId="77777777" w:rsidR="00CD3FE8" w:rsidRPr="00CD3FE8" w:rsidRDefault="00CD3FE8" w:rsidP="00CD3FE8">
      <w:pPr>
        <w:widowControl w:val="0"/>
        <w:autoSpaceDE w:val="0"/>
        <w:autoSpaceDN w:val="0"/>
        <w:adjustRightInd w:val="0"/>
        <w:spacing w:after="120"/>
        <w:ind w:firstLine="720"/>
        <w:jc w:val="both"/>
        <w:rPr>
          <w:rFonts w:ascii="Arial Narrow" w:hAnsi="Arial Narrow" w:cs="TimesNewRoman"/>
          <w:b/>
          <w:lang w:val="bg-BG"/>
        </w:rPr>
      </w:pPr>
      <w:r w:rsidRPr="00CD3FE8">
        <w:rPr>
          <w:rFonts w:ascii="Arial Narrow" w:hAnsi="Arial Narrow" w:cs="TimesNewRoman"/>
          <w:b/>
          <w:lang w:val="bg-BG"/>
        </w:rPr>
        <w:lastRenderedPageBreak/>
        <w:t>Внос</w:t>
      </w:r>
    </w:p>
    <w:p w14:paraId="2FB3267A" w14:textId="77777777" w:rsidR="00CD3FE8" w:rsidRPr="00CD3FE8" w:rsidRDefault="00CD3FE8" w:rsidP="00CD3FE8">
      <w:pPr>
        <w:autoSpaceDE w:val="0"/>
        <w:autoSpaceDN w:val="0"/>
        <w:adjustRightInd w:val="0"/>
        <w:spacing w:after="120"/>
        <w:ind w:firstLine="706"/>
        <w:jc w:val="both"/>
        <w:rPr>
          <w:rFonts w:ascii="Arial Narrow" w:hAnsi="Arial Narrow"/>
          <w:bCs/>
          <w:lang w:val="bg-BG"/>
        </w:rPr>
      </w:pPr>
      <w:r w:rsidRPr="00CD3FE8">
        <w:rPr>
          <w:rFonts w:ascii="Arial Narrow" w:hAnsi="Arial Narrow"/>
          <w:bCs/>
          <w:lang w:val="bg-BG"/>
        </w:rPr>
        <w:t xml:space="preserve">През 2024 г. в страната са внесени общо 14 </w:t>
      </w:r>
      <w:r w:rsidR="00F47ABD">
        <w:rPr>
          <w:rFonts w:ascii="Arial Narrow" w:hAnsi="Arial Narrow"/>
          <w:bCs/>
          <w:lang w:val="bg-BG"/>
        </w:rPr>
        <w:t>859</w:t>
      </w:r>
      <w:r w:rsidRPr="00CD3FE8">
        <w:rPr>
          <w:rFonts w:ascii="Arial Narrow" w:hAnsi="Arial Narrow"/>
          <w:bCs/>
          <w:lang w:val="bg-BG"/>
        </w:rPr>
        <w:t xml:space="preserve"> хил. литра вино, което е със 7,</w:t>
      </w:r>
      <w:r w:rsidR="00F47ABD">
        <w:rPr>
          <w:rFonts w:ascii="Arial Narrow" w:hAnsi="Arial Narrow"/>
          <w:bCs/>
          <w:lang w:val="bg-BG"/>
        </w:rPr>
        <w:t>7</w:t>
      </w:r>
      <w:r w:rsidRPr="00CD3FE8">
        <w:rPr>
          <w:rFonts w:ascii="Arial Narrow" w:hAnsi="Arial Narrow"/>
          <w:bCs/>
          <w:lang w:val="bg-BG"/>
        </w:rPr>
        <w:t>% повече спрямо 2023 г. При 7,6% по-ниска средна вносна цена от 2,71 евро/литър, стойността на вноса намалява с 1% на годишна база, до 40 006 хил. евро.</w:t>
      </w:r>
    </w:p>
    <w:p w14:paraId="06D7F495" w14:textId="77777777" w:rsidR="00CD3FE8" w:rsidRPr="00CD3FE8" w:rsidRDefault="00CD3FE8" w:rsidP="00CD3FE8">
      <w:pPr>
        <w:keepNext/>
        <w:spacing w:after="120"/>
        <w:jc w:val="both"/>
        <w:rPr>
          <w:rFonts w:ascii="Arial Narrow" w:hAnsi="Arial Narrow"/>
          <w:b/>
          <w:lang w:val="bg-BG"/>
        </w:rPr>
      </w:pPr>
      <w:r w:rsidRPr="00CD3FE8">
        <w:rPr>
          <w:rFonts w:ascii="Arial Narrow" w:hAnsi="Arial Narrow"/>
          <w:b/>
          <w:lang w:val="bg-BG"/>
        </w:rPr>
        <w:t>Таблица ІІ.38. Внос на вина през 2023 и 2024 г., литри</w:t>
      </w:r>
    </w:p>
    <w:tbl>
      <w:tblPr>
        <w:tblW w:w="4878" w:type="pct"/>
        <w:tblInd w:w="108" w:type="dxa"/>
        <w:tblLook w:val="04A0" w:firstRow="1" w:lastRow="0" w:firstColumn="1" w:lastColumn="0" w:noHBand="0" w:noVBand="1"/>
      </w:tblPr>
      <w:tblGrid>
        <w:gridCol w:w="3525"/>
        <w:gridCol w:w="1569"/>
        <w:gridCol w:w="1568"/>
        <w:gridCol w:w="1658"/>
        <w:gridCol w:w="1241"/>
      </w:tblGrid>
      <w:tr w:rsidR="00FE123E" w:rsidRPr="00FE123E" w14:paraId="1C12D272" w14:textId="77777777" w:rsidTr="00AF67ED">
        <w:trPr>
          <w:trHeight w:val="360"/>
          <w:tblHeader/>
        </w:trPr>
        <w:tc>
          <w:tcPr>
            <w:tcW w:w="1843"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CEBEF0" w14:textId="77777777" w:rsidR="00FE123E" w:rsidRPr="00FE123E" w:rsidRDefault="00FE123E" w:rsidP="00FE123E">
            <w:pPr>
              <w:jc w:val="center"/>
              <w:rPr>
                <w:rFonts w:ascii="Arial Narrow" w:hAnsi="Arial Narrow" w:cs="Arial"/>
                <w:b/>
                <w:bCs/>
                <w:sz w:val="20"/>
                <w:szCs w:val="20"/>
              </w:rPr>
            </w:pPr>
            <w:r w:rsidRPr="00FE123E">
              <w:rPr>
                <w:rFonts w:ascii="Arial Narrow" w:hAnsi="Arial Narrow" w:cs="Arial"/>
                <w:b/>
                <w:bCs/>
                <w:sz w:val="20"/>
                <w:szCs w:val="20"/>
              </w:rPr>
              <w:t>Страни</w:t>
            </w:r>
          </w:p>
        </w:tc>
        <w:tc>
          <w:tcPr>
            <w:tcW w:w="820"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7FC99E" w14:textId="77777777" w:rsidR="00FE123E" w:rsidRPr="00FE123E" w:rsidRDefault="00FE123E" w:rsidP="000B1530">
            <w:pPr>
              <w:jc w:val="center"/>
              <w:rPr>
                <w:rFonts w:ascii="Arial Narrow" w:hAnsi="Arial Narrow" w:cs="Arial"/>
                <w:b/>
                <w:bCs/>
                <w:sz w:val="20"/>
                <w:szCs w:val="20"/>
              </w:rPr>
            </w:pPr>
            <w:r w:rsidRPr="00FE123E">
              <w:rPr>
                <w:rFonts w:ascii="Arial Narrow" w:hAnsi="Arial Narrow" w:cs="Arial"/>
                <w:b/>
                <w:bCs/>
                <w:sz w:val="20"/>
                <w:szCs w:val="20"/>
              </w:rPr>
              <w:t>2023</w:t>
            </w:r>
          </w:p>
        </w:tc>
        <w:tc>
          <w:tcPr>
            <w:tcW w:w="820"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66705D" w14:textId="77777777" w:rsidR="00FE123E" w:rsidRPr="00FE123E" w:rsidRDefault="00FE123E" w:rsidP="000B1530">
            <w:pPr>
              <w:jc w:val="center"/>
              <w:rPr>
                <w:rFonts w:ascii="Arial Narrow" w:hAnsi="Arial Narrow" w:cs="Arial"/>
                <w:b/>
                <w:bCs/>
                <w:sz w:val="20"/>
                <w:szCs w:val="20"/>
              </w:rPr>
            </w:pPr>
            <w:r w:rsidRPr="00FE123E">
              <w:rPr>
                <w:rFonts w:ascii="Arial Narrow" w:hAnsi="Arial Narrow" w:cs="Arial"/>
                <w:b/>
                <w:bCs/>
                <w:sz w:val="20"/>
                <w:szCs w:val="20"/>
              </w:rPr>
              <w:t>2024</w:t>
            </w:r>
          </w:p>
        </w:tc>
        <w:tc>
          <w:tcPr>
            <w:tcW w:w="1516" w:type="pct"/>
            <w:gridSpan w:val="2"/>
            <w:tcBorders>
              <w:top w:val="single" w:sz="4" w:space="0" w:color="auto"/>
              <w:left w:val="nil"/>
              <w:bottom w:val="single" w:sz="4" w:space="0" w:color="auto"/>
              <w:right w:val="single" w:sz="4" w:space="0" w:color="auto"/>
            </w:tcBorders>
            <w:shd w:val="clear" w:color="auto" w:fill="auto"/>
            <w:noWrap/>
            <w:vAlign w:val="center"/>
            <w:hideMark/>
          </w:tcPr>
          <w:p w14:paraId="10F181F2" w14:textId="77777777" w:rsidR="00FE123E" w:rsidRPr="00FE123E" w:rsidRDefault="00FE123E" w:rsidP="00FE123E">
            <w:pPr>
              <w:jc w:val="center"/>
              <w:rPr>
                <w:rFonts w:ascii="Arial Narrow" w:hAnsi="Arial Narrow" w:cs="Arial"/>
                <w:b/>
                <w:bCs/>
                <w:sz w:val="20"/>
                <w:szCs w:val="20"/>
              </w:rPr>
            </w:pPr>
            <w:r w:rsidRPr="00FE123E">
              <w:rPr>
                <w:rFonts w:ascii="Arial Narrow" w:hAnsi="Arial Narrow" w:cs="Arial"/>
                <w:b/>
                <w:bCs/>
                <w:sz w:val="20"/>
                <w:szCs w:val="20"/>
              </w:rPr>
              <w:t>Изм. 2024/2023</w:t>
            </w:r>
          </w:p>
        </w:tc>
      </w:tr>
      <w:tr w:rsidR="00FE123E" w:rsidRPr="00FE123E" w14:paraId="1AA06148" w14:textId="77777777" w:rsidTr="00AF67ED">
        <w:trPr>
          <w:trHeight w:val="360"/>
          <w:tblHeader/>
        </w:trPr>
        <w:tc>
          <w:tcPr>
            <w:tcW w:w="1843" w:type="pct"/>
            <w:vMerge/>
            <w:tcBorders>
              <w:top w:val="single" w:sz="4" w:space="0" w:color="auto"/>
              <w:left w:val="single" w:sz="4" w:space="0" w:color="auto"/>
              <w:bottom w:val="single" w:sz="4" w:space="0" w:color="auto"/>
              <w:right w:val="single" w:sz="4" w:space="0" w:color="auto"/>
            </w:tcBorders>
            <w:vAlign w:val="center"/>
            <w:hideMark/>
          </w:tcPr>
          <w:p w14:paraId="1920155D" w14:textId="77777777" w:rsidR="00FE123E" w:rsidRPr="00FE123E" w:rsidRDefault="00FE123E" w:rsidP="00FE123E">
            <w:pPr>
              <w:rPr>
                <w:rFonts w:ascii="Arial Narrow" w:hAnsi="Arial Narrow" w:cs="Arial"/>
                <w:b/>
                <w:bCs/>
                <w:sz w:val="20"/>
                <w:szCs w:val="20"/>
              </w:rPr>
            </w:pPr>
          </w:p>
        </w:tc>
        <w:tc>
          <w:tcPr>
            <w:tcW w:w="820" w:type="pct"/>
            <w:vMerge/>
            <w:tcBorders>
              <w:top w:val="single" w:sz="4" w:space="0" w:color="auto"/>
              <w:left w:val="single" w:sz="4" w:space="0" w:color="auto"/>
              <w:bottom w:val="single" w:sz="4" w:space="0" w:color="auto"/>
              <w:right w:val="single" w:sz="4" w:space="0" w:color="auto"/>
            </w:tcBorders>
            <w:vAlign w:val="center"/>
            <w:hideMark/>
          </w:tcPr>
          <w:p w14:paraId="7EE0623B" w14:textId="77777777" w:rsidR="00FE123E" w:rsidRPr="00FE123E" w:rsidRDefault="00FE123E" w:rsidP="00FE123E">
            <w:pPr>
              <w:rPr>
                <w:rFonts w:ascii="Arial Narrow" w:hAnsi="Arial Narrow" w:cs="Arial"/>
                <w:b/>
                <w:bCs/>
                <w:sz w:val="20"/>
                <w:szCs w:val="20"/>
              </w:rPr>
            </w:pPr>
          </w:p>
        </w:tc>
        <w:tc>
          <w:tcPr>
            <w:tcW w:w="820" w:type="pct"/>
            <w:vMerge/>
            <w:tcBorders>
              <w:top w:val="single" w:sz="4" w:space="0" w:color="auto"/>
              <w:left w:val="single" w:sz="4" w:space="0" w:color="auto"/>
              <w:bottom w:val="single" w:sz="4" w:space="0" w:color="auto"/>
              <w:right w:val="single" w:sz="4" w:space="0" w:color="auto"/>
            </w:tcBorders>
            <w:vAlign w:val="center"/>
            <w:hideMark/>
          </w:tcPr>
          <w:p w14:paraId="01255C49" w14:textId="77777777" w:rsidR="00FE123E" w:rsidRPr="00FE123E" w:rsidRDefault="00FE123E" w:rsidP="00FE123E">
            <w:pPr>
              <w:rPr>
                <w:rFonts w:ascii="Arial Narrow" w:hAnsi="Arial Narrow" w:cs="Arial"/>
                <w:b/>
                <w:bCs/>
                <w:sz w:val="20"/>
                <w:szCs w:val="20"/>
              </w:rPr>
            </w:pPr>
          </w:p>
        </w:tc>
        <w:tc>
          <w:tcPr>
            <w:tcW w:w="867" w:type="pct"/>
            <w:tcBorders>
              <w:top w:val="nil"/>
              <w:left w:val="nil"/>
              <w:bottom w:val="single" w:sz="4" w:space="0" w:color="auto"/>
              <w:right w:val="single" w:sz="4" w:space="0" w:color="auto"/>
            </w:tcBorders>
            <w:shd w:val="clear" w:color="auto" w:fill="auto"/>
            <w:noWrap/>
            <w:vAlign w:val="center"/>
            <w:hideMark/>
          </w:tcPr>
          <w:p w14:paraId="115210E6" w14:textId="77777777" w:rsidR="00FE123E" w:rsidRPr="00FE123E" w:rsidRDefault="00FE123E" w:rsidP="00FE123E">
            <w:pPr>
              <w:jc w:val="center"/>
              <w:rPr>
                <w:rFonts w:ascii="Arial Narrow" w:hAnsi="Arial Narrow" w:cs="Arial"/>
                <w:b/>
                <w:bCs/>
                <w:sz w:val="20"/>
                <w:szCs w:val="20"/>
              </w:rPr>
            </w:pPr>
            <w:r w:rsidRPr="00FE123E">
              <w:rPr>
                <w:rFonts w:ascii="Arial Narrow" w:hAnsi="Arial Narrow" w:cs="Arial"/>
                <w:b/>
                <w:bCs/>
                <w:sz w:val="20"/>
                <w:szCs w:val="20"/>
              </w:rPr>
              <w:t>литра</w:t>
            </w:r>
          </w:p>
        </w:tc>
        <w:tc>
          <w:tcPr>
            <w:tcW w:w="649" w:type="pct"/>
            <w:tcBorders>
              <w:top w:val="nil"/>
              <w:left w:val="nil"/>
              <w:bottom w:val="single" w:sz="4" w:space="0" w:color="auto"/>
              <w:right w:val="single" w:sz="4" w:space="0" w:color="auto"/>
            </w:tcBorders>
            <w:shd w:val="clear" w:color="auto" w:fill="auto"/>
            <w:noWrap/>
            <w:vAlign w:val="center"/>
            <w:hideMark/>
          </w:tcPr>
          <w:p w14:paraId="145EF9C3" w14:textId="77777777" w:rsidR="00FE123E" w:rsidRPr="00FE123E" w:rsidRDefault="00FE123E" w:rsidP="00FE123E">
            <w:pPr>
              <w:jc w:val="center"/>
              <w:rPr>
                <w:rFonts w:ascii="Arial Narrow" w:hAnsi="Arial Narrow" w:cs="Arial"/>
                <w:b/>
                <w:bCs/>
                <w:sz w:val="20"/>
                <w:szCs w:val="20"/>
              </w:rPr>
            </w:pPr>
            <w:r w:rsidRPr="00FE123E">
              <w:rPr>
                <w:rFonts w:ascii="Arial Narrow" w:hAnsi="Arial Narrow" w:cs="Arial"/>
                <w:b/>
                <w:bCs/>
                <w:sz w:val="20"/>
                <w:szCs w:val="20"/>
              </w:rPr>
              <w:t>%</w:t>
            </w:r>
          </w:p>
        </w:tc>
      </w:tr>
      <w:tr w:rsidR="00FE123E" w:rsidRPr="00FE123E" w14:paraId="721A6903" w14:textId="77777777" w:rsidTr="00AF67ED">
        <w:trPr>
          <w:trHeight w:val="360"/>
        </w:trPr>
        <w:tc>
          <w:tcPr>
            <w:tcW w:w="1843" w:type="pct"/>
            <w:tcBorders>
              <w:top w:val="nil"/>
              <w:left w:val="single" w:sz="4" w:space="0" w:color="auto"/>
              <w:bottom w:val="single" w:sz="4" w:space="0" w:color="auto"/>
              <w:right w:val="single" w:sz="4" w:space="0" w:color="auto"/>
            </w:tcBorders>
            <w:shd w:val="clear" w:color="auto" w:fill="auto"/>
            <w:noWrap/>
            <w:vAlign w:val="center"/>
            <w:hideMark/>
          </w:tcPr>
          <w:p w14:paraId="15C0C22A" w14:textId="77777777" w:rsidR="00FE123E" w:rsidRPr="00FE123E" w:rsidRDefault="00FE123E" w:rsidP="00FE123E">
            <w:pPr>
              <w:rPr>
                <w:rFonts w:ascii="Arial Narrow" w:hAnsi="Arial Narrow" w:cs="Arial"/>
                <w:b/>
                <w:bCs/>
                <w:sz w:val="20"/>
                <w:szCs w:val="20"/>
              </w:rPr>
            </w:pPr>
            <w:r w:rsidRPr="00FE123E">
              <w:rPr>
                <w:rFonts w:ascii="Arial Narrow" w:hAnsi="Arial Narrow" w:cs="Arial"/>
                <w:b/>
                <w:bCs/>
                <w:sz w:val="20"/>
                <w:szCs w:val="20"/>
              </w:rPr>
              <w:t>ЕС - общо, в т. ч.:</w:t>
            </w:r>
          </w:p>
        </w:tc>
        <w:tc>
          <w:tcPr>
            <w:tcW w:w="820" w:type="pct"/>
            <w:tcBorders>
              <w:top w:val="nil"/>
              <w:left w:val="nil"/>
              <w:bottom w:val="single" w:sz="4" w:space="0" w:color="auto"/>
              <w:right w:val="single" w:sz="4" w:space="0" w:color="auto"/>
            </w:tcBorders>
            <w:shd w:val="clear" w:color="auto" w:fill="auto"/>
            <w:noWrap/>
            <w:vAlign w:val="center"/>
            <w:hideMark/>
          </w:tcPr>
          <w:p w14:paraId="1EE58D87" w14:textId="77777777" w:rsidR="00FE123E" w:rsidRPr="00FE123E" w:rsidRDefault="00FE123E" w:rsidP="00FE123E">
            <w:pPr>
              <w:jc w:val="right"/>
              <w:rPr>
                <w:rFonts w:ascii="Arial Narrow" w:hAnsi="Arial Narrow" w:cs="Arial"/>
                <w:b/>
                <w:bCs/>
                <w:sz w:val="20"/>
                <w:szCs w:val="20"/>
              </w:rPr>
            </w:pPr>
            <w:r w:rsidRPr="00FE123E">
              <w:rPr>
                <w:rFonts w:ascii="Arial Narrow" w:hAnsi="Arial Narrow" w:cs="Arial"/>
                <w:b/>
                <w:bCs/>
                <w:sz w:val="20"/>
                <w:szCs w:val="20"/>
              </w:rPr>
              <w:t>10 850 058</w:t>
            </w:r>
          </w:p>
        </w:tc>
        <w:tc>
          <w:tcPr>
            <w:tcW w:w="820" w:type="pct"/>
            <w:tcBorders>
              <w:top w:val="nil"/>
              <w:left w:val="nil"/>
              <w:bottom w:val="single" w:sz="4" w:space="0" w:color="auto"/>
              <w:right w:val="single" w:sz="4" w:space="0" w:color="auto"/>
            </w:tcBorders>
            <w:shd w:val="clear" w:color="auto" w:fill="auto"/>
            <w:noWrap/>
            <w:vAlign w:val="center"/>
            <w:hideMark/>
          </w:tcPr>
          <w:p w14:paraId="67734214" w14:textId="77777777" w:rsidR="00FE123E" w:rsidRPr="00FE123E" w:rsidRDefault="00FE123E" w:rsidP="00FE123E">
            <w:pPr>
              <w:jc w:val="right"/>
              <w:rPr>
                <w:rFonts w:ascii="Arial Narrow" w:hAnsi="Arial Narrow" w:cs="Arial"/>
                <w:b/>
                <w:bCs/>
                <w:sz w:val="20"/>
                <w:szCs w:val="20"/>
              </w:rPr>
            </w:pPr>
            <w:r w:rsidRPr="00FE123E">
              <w:rPr>
                <w:rFonts w:ascii="Arial Narrow" w:hAnsi="Arial Narrow" w:cs="Arial"/>
                <w:b/>
                <w:bCs/>
                <w:sz w:val="20"/>
                <w:szCs w:val="20"/>
              </w:rPr>
              <w:t>12 539 879</w:t>
            </w:r>
          </w:p>
        </w:tc>
        <w:tc>
          <w:tcPr>
            <w:tcW w:w="867" w:type="pct"/>
            <w:tcBorders>
              <w:top w:val="nil"/>
              <w:left w:val="nil"/>
              <w:bottom w:val="single" w:sz="4" w:space="0" w:color="auto"/>
              <w:right w:val="single" w:sz="4" w:space="0" w:color="auto"/>
            </w:tcBorders>
            <w:shd w:val="clear" w:color="auto" w:fill="auto"/>
            <w:noWrap/>
            <w:vAlign w:val="center"/>
            <w:hideMark/>
          </w:tcPr>
          <w:p w14:paraId="4BBAED24" w14:textId="77777777" w:rsidR="00FE123E" w:rsidRPr="00FE123E" w:rsidRDefault="00FE123E" w:rsidP="00FE123E">
            <w:pPr>
              <w:jc w:val="right"/>
              <w:rPr>
                <w:rFonts w:ascii="Arial Narrow" w:hAnsi="Arial Narrow" w:cs="Arial"/>
                <w:b/>
                <w:bCs/>
                <w:sz w:val="20"/>
                <w:szCs w:val="20"/>
              </w:rPr>
            </w:pPr>
            <w:r w:rsidRPr="00FE123E">
              <w:rPr>
                <w:rFonts w:ascii="Arial Narrow" w:hAnsi="Arial Narrow" w:cs="Arial"/>
                <w:b/>
                <w:bCs/>
                <w:sz w:val="20"/>
                <w:szCs w:val="20"/>
              </w:rPr>
              <w:t>1 689 821</w:t>
            </w:r>
          </w:p>
        </w:tc>
        <w:tc>
          <w:tcPr>
            <w:tcW w:w="649" w:type="pct"/>
            <w:tcBorders>
              <w:top w:val="nil"/>
              <w:left w:val="nil"/>
              <w:bottom w:val="single" w:sz="4" w:space="0" w:color="auto"/>
              <w:right w:val="single" w:sz="4" w:space="0" w:color="auto"/>
            </w:tcBorders>
            <w:shd w:val="clear" w:color="auto" w:fill="auto"/>
            <w:noWrap/>
            <w:vAlign w:val="center"/>
            <w:hideMark/>
          </w:tcPr>
          <w:p w14:paraId="5D286793" w14:textId="77777777" w:rsidR="00FE123E" w:rsidRPr="00FE123E" w:rsidRDefault="00FE123E" w:rsidP="00FE123E">
            <w:pPr>
              <w:jc w:val="right"/>
              <w:rPr>
                <w:rFonts w:ascii="Arial Narrow" w:hAnsi="Arial Narrow" w:cs="Arial"/>
                <w:b/>
                <w:bCs/>
                <w:sz w:val="20"/>
                <w:szCs w:val="20"/>
              </w:rPr>
            </w:pPr>
            <w:r w:rsidRPr="00FE123E">
              <w:rPr>
                <w:rFonts w:ascii="Arial Narrow" w:hAnsi="Arial Narrow" w:cs="Arial"/>
                <w:b/>
                <w:bCs/>
                <w:sz w:val="20"/>
                <w:szCs w:val="20"/>
              </w:rPr>
              <w:t>15,6%</w:t>
            </w:r>
          </w:p>
        </w:tc>
      </w:tr>
      <w:tr w:rsidR="00FE123E" w:rsidRPr="00FE123E" w14:paraId="623B148D" w14:textId="77777777" w:rsidTr="00AF67ED">
        <w:trPr>
          <w:trHeight w:val="360"/>
        </w:trPr>
        <w:tc>
          <w:tcPr>
            <w:tcW w:w="1843" w:type="pct"/>
            <w:tcBorders>
              <w:top w:val="nil"/>
              <w:left w:val="single" w:sz="4" w:space="0" w:color="auto"/>
              <w:bottom w:val="single" w:sz="4" w:space="0" w:color="auto"/>
              <w:right w:val="single" w:sz="4" w:space="0" w:color="auto"/>
            </w:tcBorders>
            <w:shd w:val="clear" w:color="auto" w:fill="auto"/>
            <w:noWrap/>
            <w:vAlign w:val="center"/>
            <w:hideMark/>
          </w:tcPr>
          <w:p w14:paraId="7A3B8688" w14:textId="77777777" w:rsidR="00FE123E" w:rsidRPr="00FE123E" w:rsidRDefault="00FE123E" w:rsidP="00FE123E">
            <w:pPr>
              <w:ind w:firstLineChars="100" w:firstLine="200"/>
              <w:rPr>
                <w:rFonts w:ascii="Arial Narrow" w:hAnsi="Arial Narrow" w:cs="Arial"/>
                <w:sz w:val="20"/>
                <w:szCs w:val="20"/>
              </w:rPr>
            </w:pPr>
            <w:r w:rsidRPr="00FE123E">
              <w:rPr>
                <w:rFonts w:ascii="Arial Narrow" w:hAnsi="Arial Narrow" w:cs="Arial"/>
                <w:sz w:val="20"/>
                <w:szCs w:val="20"/>
              </w:rPr>
              <w:t>Италия</w:t>
            </w:r>
          </w:p>
        </w:tc>
        <w:tc>
          <w:tcPr>
            <w:tcW w:w="820" w:type="pct"/>
            <w:tcBorders>
              <w:top w:val="nil"/>
              <w:left w:val="nil"/>
              <w:bottom w:val="single" w:sz="4" w:space="0" w:color="auto"/>
              <w:right w:val="single" w:sz="4" w:space="0" w:color="auto"/>
            </w:tcBorders>
            <w:shd w:val="clear" w:color="auto" w:fill="auto"/>
            <w:noWrap/>
            <w:vAlign w:val="center"/>
            <w:hideMark/>
          </w:tcPr>
          <w:p w14:paraId="58A505B8" w14:textId="77777777" w:rsidR="00FE123E" w:rsidRPr="00FE123E" w:rsidRDefault="00FE123E" w:rsidP="00FE123E">
            <w:pPr>
              <w:jc w:val="right"/>
              <w:rPr>
                <w:rFonts w:ascii="Arial Narrow" w:hAnsi="Arial Narrow" w:cs="Arial"/>
                <w:sz w:val="20"/>
                <w:szCs w:val="20"/>
              </w:rPr>
            </w:pPr>
            <w:r w:rsidRPr="00FE123E">
              <w:rPr>
                <w:rFonts w:ascii="Arial Narrow" w:hAnsi="Arial Narrow" w:cs="Arial"/>
                <w:sz w:val="20"/>
                <w:szCs w:val="20"/>
              </w:rPr>
              <w:t>3 380 658</w:t>
            </w:r>
          </w:p>
        </w:tc>
        <w:tc>
          <w:tcPr>
            <w:tcW w:w="820" w:type="pct"/>
            <w:tcBorders>
              <w:top w:val="nil"/>
              <w:left w:val="nil"/>
              <w:bottom w:val="single" w:sz="4" w:space="0" w:color="auto"/>
              <w:right w:val="single" w:sz="4" w:space="0" w:color="auto"/>
            </w:tcBorders>
            <w:shd w:val="clear" w:color="auto" w:fill="auto"/>
            <w:noWrap/>
            <w:vAlign w:val="center"/>
            <w:hideMark/>
          </w:tcPr>
          <w:p w14:paraId="4DD9367D" w14:textId="77777777" w:rsidR="00FE123E" w:rsidRPr="00FE123E" w:rsidRDefault="00FE123E" w:rsidP="00FE123E">
            <w:pPr>
              <w:jc w:val="right"/>
              <w:rPr>
                <w:rFonts w:ascii="Arial Narrow" w:hAnsi="Arial Narrow" w:cs="Arial"/>
                <w:sz w:val="20"/>
                <w:szCs w:val="20"/>
              </w:rPr>
            </w:pPr>
            <w:r w:rsidRPr="00FE123E">
              <w:rPr>
                <w:rFonts w:ascii="Arial Narrow" w:hAnsi="Arial Narrow" w:cs="Arial"/>
                <w:sz w:val="20"/>
                <w:szCs w:val="20"/>
              </w:rPr>
              <w:t>3 100 537</w:t>
            </w:r>
          </w:p>
        </w:tc>
        <w:tc>
          <w:tcPr>
            <w:tcW w:w="867" w:type="pct"/>
            <w:tcBorders>
              <w:top w:val="nil"/>
              <w:left w:val="nil"/>
              <w:bottom w:val="single" w:sz="4" w:space="0" w:color="auto"/>
              <w:right w:val="single" w:sz="4" w:space="0" w:color="auto"/>
            </w:tcBorders>
            <w:shd w:val="clear" w:color="auto" w:fill="auto"/>
            <w:noWrap/>
            <w:vAlign w:val="center"/>
            <w:hideMark/>
          </w:tcPr>
          <w:p w14:paraId="210C40AA" w14:textId="77777777" w:rsidR="00FE123E" w:rsidRPr="00FE123E" w:rsidRDefault="00FE123E" w:rsidP="00FE123E">
            <w:pPr>
              <w:jc w:val="right"/>
              <w:rPr>
                <w:rFonts w:ascii="Arial Narrow" w:hAnsi="Arial Narrow" w:cs="Arial"/>
                <w:sz w:val="20"/>
                <w:szCs w:val="20"/>
              </w:rPr>
            </w:pPr>
            <w:r w:rsidRPr="00FE123E">
              <w:rPr>
                <w:rFonts w:ascii="Arial Narrow" w:hAnsi="Arial Narrow" w:cs="Arial"/>
                <w:sz w:val="20"/>
                <w:szCs w:val="20"/>
              </w:rPr>
              <w:t>-280 121</w:t>
            </w:r>
          </w:p>
        </w:tc>
        <w:tc>
          <w:tcPr>
            <w:tcW w:w="649" w:type="pct"/>
            <w:tcBorders>
              <w:top w:val="nil"/>
              <w:left w:val="nil"/>
              <w:bottom w:val="single" w:sz="4" w:space="0" w:color="auto"/>
              <w:right w:val="single" w:sz="4" w:space="0" w:color="auto"/>
            </w:tcBorders>
            <w:shd w:val="clear" w:color="auto" w:fill="auto"/>
            <w:noWrap/>
            <w:vAlign w:val="center"/>
            <w:hideMark/>
          </w:tcPr>
          <w:p w14:paraId="6E1978C5" w14:textId="77777777" w:rsidR="00FE123E" w:rsidRPr="00FE123E" w:rsidRDefault="00FE123E" w:rsidP="00FE123E">
            <w:pPr>
              <w:jc w:val="right"/>
              <w:rPr>
                <w:rFonts w:ascii="Arial Narrow" w:hAnsi="Arial Narrow" w:cs="Arial"/>
                <w:sz w:val="20"/>
                <w:szCs w:val="20"/>
              </w:rPr>
            </w:pPr>
            <w:r w:rsidRPr="00FE123E">
              <w:rPr>
                <w:rFonts w:ascii="Arial Narrow" w:hAnsi="Arial Narrow" w:cs="Arial"/>
                <w:sz w:val="20"/>
                <w:szCs w:val="20"/>
              </w:rPr>
              <w:t>-8,3%</w:t>
            </w:r>
          </w:p>
        </w:tc>
      </w:tr>
      <w:tr w:rsidR="00FE123E" w:rsidRPr="00FE123E" w14:paraId="1C29AD90" w14:textId="77777777" w:rsidTr="00AF67ED">
        <w:trPr>
          <w:trHeight w:val="360"/>
        </w:trPr>
        <w:tc>
          <w:tcPr>
            <w:tcW w:w="1843" w:type="pct"/>
            <w:tcBorders>
              <w:top w:val="nil"/>
              <w:left w:val="single" w:sz="4" w:space="0" w:color="auto"/>
              <w:bottom w:val="single" w:sz="4" w:space="0" w:color="auto"/>
              <w:right w:val="single" w:sz="4" w:space="0" w:color="auto"/>
            </w:tcBorders>
            <w:shd w:val="clear" w:color="auto" w:fill="auto"/>
            <w:noWrap/>
            <w:vAlign w:val="center"/>
            <w:hideMark/>
          </w:tcPr>
          <w:p w14:paraId="0F905026" w14:textId="77777777" w:rsidR="00FE123E" w:rsidRPr="00FE123E" w:rsidRDefault="00FE123E" w:rsidP="00FE123E">
            <w:pPr>
              <w:ind w:firstLineChars="100" w:firstLine="200"/>
              <w:rPr>
                <w:rFonts w:ascii="Arial Narrow" w:hAnsi="Arial Narrow" w:cs="Arial"/>
                <w:sz w:val="20"/>
                <w:szCs w:val="20"/>
              </w:rPr>
            </w:pPr>
            <w:r w:rsidRPr="00FE123E">
              <w:rPr>
                <w:rFonts w:ascii="Arial Narrow" w:hAnsi="Arial Narrow" w:cs="Arial"/>
                <w:sz w:val="20"/>
                <w:szCs w:val="20"/>
              </w:rPr>
              <w:t>Испания</w:t>
            </w:r>
          </w:p>
        </w:tc>
        <w:tc>
          <w:tcPr>
            <w:tcW w:w="820" w:type="pct"/>
            <w:tcBorders>
              <w:top w:val="nil"/>
              <w:left w:val="nil"/>
              <w:bottom w:val="single" w:sz="4" w:space="0" w:color="auto"/>
              <w:right w:val="single" w:sz="4" w:space="0" w:color="auto"/>
            </w:tcBorders>
            <w:shd w:val="clear" w:color="auto" w:fill="auto"/>
            <w:noWrap/>
            <w:vAlign w:val="center"/>
            <w:hideMark/>
          </w:tcPr>
          <w:p w14:paraId="2E5F7D00" w14:textId="77777777" w:rsidR="00FE123E" w:rsidRPr="00FE123E" w:rsidRDefault="00FE123E" w:rsidP="00FE123E">
            <w:pPr>
              <w:jc w:val="right"/>
              <w:rPr>
                <w:rFonts w:ascii="Arial Narrow" w:hAnsi="Arial Narrow" w:cs="Arial"/>
                <w:sz w:val="20"/>
                <w:szCs w:val="20"/>
              </w:rPr>
            </w:pPr>
            <w:r w:rsidRPr="00FE123E">
              <w:rPr>
                <w:rFonts w:ascii="Arial Narrow" w:hAnsi="Arial Narrow" w:cs="Arial"/>
                <w:sz w:val="20"/>
                <w:szCs w:val="20"/>
              </w:rPr>
              <w:t>2 145 898</w:t>
            </w:r>
          </w:p>
        </w:tc>
        <w:tc>
          <w:tcPr>
            <w:tcW w:w="820" w:type="pct"/>
            <w:tcBorders>
              <w:top w:val="nil"/>
              <w:left w:val="nil"/>
              <w:bottom w:val="single" w:sz="4" w:space="0" w:color="auto"/>
              <w:right w:val="single" w:sz="4" w:space="0" w:color="auto"/>
            </w:tcBorders>
            <w:shd w:val="clear" w:color="auto" w:fill="auto"/>
            <w:noWrap/>
            <w:vAlign w:val="center"/>
            <w:hideMark/>
          </w:tcPr>
          <w:p w14:paraId="204B2F83" w14:textId="77777777" w:rsidR="00FE123E" w:rsidRPr="00FE123E" w:rsidRDefault="00FE123E" w:rsidP="00FE123E">
            <w:pPr>
              <w:jc w:val="right"/>
              <w:rPr>
                <w:rFonts w:ascii="Arial Narrow" w:hAnsi="Arial Narrow" w:cs="Arial"/>
                <w:sz w:val="20"/>
                <w:szCs w:val="20"/>
              </w:rPr>
            </w:pPr>
            <w:r w:rsidRPr="00FE123E">
              <w:rPr>
                <w:rFonts w:ascii="Arial Narrow" w:hAnsi="Arial Narrow" w:cs="Arial"/>
                <w:sz w:val="20"/>
                <w:szCs w:val="20"/>
              </w:rPr>
              <w:t>2 011 573</w:t>
            </w:r>
          </w:p>
        </w:tc>
        <w:tc>
          <w:tcPr>
            <w:tcW w:w="867" w:type="pct"/>
            <w:tcBorders>
              <w:top w:val="nil"/>
              <w:left w:val="nil"/>
              <w:bottom w:val="single" w:sz="4" w:space="0" w:color="auto"/>
              <w:right w:val="single" w:sz="4" w:space="0" w:color="auto"/>
            </w:tcBorders>
            <w:shd w:val="clear" w:color="auto" w:fill="auto"/>
            <w:noWrap/>
            <w:vAlign w:val="center"/>
            <w:hideMark/>
          </w:tcPr>
          <w:p w14:paraId="7F6A6524" w14:textId="77777777" w:rsidR="00FE123E" w:rsidRPr="00FE123E" w:rsidRDefault="00FE123E" w:rsidP="00FE123E">
            <w:pPr>
              <w:jc w:val="right"/>
              <w:rPr>
                <w:rFonts w:ascii="Arial Narrow" w:hAnsi="Arial Narrow" w:cs="Arial"/>
                <w:sz w:val="20"/>
                <w:szCs w:val="20"/>
              </w:rPr>
            </w:pPr>
            <w:r w:rsidRPr="00FE123E">
              <w:rPr>
                <w:rFonts w:ascii="Arial Narrow" w:hAnsi="Arial Narrow" w:cs="Arial"/>
                <w:sz w:val="20"/>
                <w:szCs w:val="20"/>
              </w:rPr>
              <w:t>-134 325</w:t>
            </w:r>
          </w:p>
        </w:tc>
        <w:tc>
          <w:tcPr>
            <w:tcW w:w="649" w:type="pct"/>
            <w:tcBorders>
              <w:top w:val="nil"/>
              <w:left w:val="nil"/>
              <w:bottom w:val="single" w:sz="4" w:space="0" w:color="auto"/>
              <w:right w:val="single" w:sz="4" w:space="0" w:color="auto"/>
            </w:tcBorders>
            <w:shd w:val="clear" w:color="auto" w:fill="auto"/>
            <w:noWrap/>
            <w:vAlign w:val="center"/>
            <w:hideMark/>
          </w:tcPr>
          <w:p w14:paraId="2FB70AE5" w14:textId="77777777" w:rsidR="00FE123E" w:rsidRPr="00FE123E" w:rsidRDefault="00FE123E" w:rsidP="00FE123E">
            <w:pPr>
              <w:jc w:val="right"/>
              <w:rPr>
                <w:rFonts w:ascii="Arial Narrow" w:hAnsi="Arial Narrow" w:cs="Arial"/>
                <w:sz w:val="20"/>
                <w:szCs w:val="20"/>
              </w:rPr>
            </w:pPr>
            <w:r w:rsidRPr="00FE123E">
              <w:rPr>
                <w:rFonts w:ascii="Arial Narrow" w:hAnsi="Arial Narrow" w:cs="Arial"/>
                <w:sz w:val="20"/>
                <w:szCs w:val="20"/>
              </w:rPr>
              <w:t>-6,3%</w:t>
            </w:r>
          </w:p>
        </w:tc>
      </w:tr>
      <w:tr w:rsidR="00FE123E" w:rsidRPr="00FE123E" w14:paraId="599E2D19" w14:textId="77777777" w:rsidTr="00AF67ED">
        <w:trPr>
          <w:trHeight w:val="360"/>
        </w:trPr>
        <w:tc>
          <w:tcPr>
            <w:tcW w:w="1843" w:type="pct"/>
            <w:tcBorders>
              <w:top w:val="nil"/>
              <w:left w:val="single" w:sz="4" w:space="0" w:color="auto"/>
              <w:bottom w:val="single" w:sz="4" w:space="0" w:color="auto"/>
              <w:right w:val="single" w:sz="4" w:space="0" w:color="auto"/>
            </w:tcBorders>
            <w:shd w:val="clear" w:color="auto" w:fill="auto"/>
            <w:noWrap/>
            <w:vAlign w:val="center"/>
            <w:hideMark/>
          </w:tcPr>
          <w:p w14:paraId="05F433E6" w14:textId="77777777" w:rsidR="00FE123E" w:rsidRPr="00FE123E" w:rsidRDefault="00FE123E" w:rsidP="00FE123E">
            <w:pPr>
              <w:ind w:firstLineChars="100" w:firstLine="200"/>
              <w:rPr>
                <w:rFonts w:ascii="Arial Narrow" w:hAnsi="Arial Narrow" w:cs="Arial"/>
                <w:sz w:val="20"/>
                <w:szCs w:val="20"/>
              </w:rPr>
            </w:pPr>
            <w:r w:rsidRPr="00FE123E">
              <w:rPr>
                <w:rFonts w:ascii="Arial Narrow" w:hAnsi="Arial Narrow" w:cs="Arial"/>
                <w:sz w:val="20"/>
                <w:szCs w:val="20"/>
              </w:rPr>
              <w:t>Франция</w:t>
            </w:r>
          </w:p>
        </w:tc>
        <w:tc>
          <w:tcPr>
            <w:tcW w:w="820" w:type="pct"/>
            <w:tcBorders>
              <w:top w:val="nil"/>
              <w:left w:val="nil"/>
              <w:bottom w:val="single" w:sz="4" w:space="0" w:color="auto"/>
              <w:right w:val="single" w:sz="4" w:space="0" w:color="auto"/>
            </w:tcBorders>
            <w:shd w:val="clear" w:color="auto" w:fill="auto"/>
            <w:noWrap/>
            <w:vAlign w:val="center"/>
            <w:hideMark/>
          </w:tcPr>
          <w:p w14:paraId="0477B615" w14:textId="77777777" w:rsidR="00FE123E" w:rsidRPr="00FE123E" w:rsidRDefault="00FE123E" w:rsidP="00FE123E">
            <w:pPr>
              <w:jc w:val="right"/>
              <w:rPr>
                <w:rFonts w:ascii="Arial Narrow" w:hAnsi="Arial Narrow" w:cs="Arial"/>
                <w:sz w:val="20"/>
                <w:szCs w:val="20"/>
              </w:rPr>
            </w:pPr>
            <w:r w:rsidRPr="00FE123E">
              <w:rPr>
                <w:rFonts w:ascii="Arial Narrow" w:hAnsi="Arial Narrow" w:cs="Arial"/>
                <w:sz w:val="20"/>
                <w:szCs w:val="20"/>
              </w:rPr>
              <w:t>1 898 509</w:t>
            </w:r>
          </w:p>
        </w:tc>
        <w:tc>
          <w:tcPr>
            <w:tcW w:w="820" w:type="pct"/>
            <w:tcBorders>
              <w:top w:val="nil"/>
              <w:left w:val="nil"/>
              <w:bottom w:val="single" w:sz="4" w:space="0" w:color="auto"/>
              <w:right w:val="single" w:sz="4" w:space="0" w:color="auto"/>
            </w:tcBorders>
            <w:shd w:val="clear" w:color="auto" w:fill="auto"/>
            <w:noWrap/>
            <w:vAlign w:val="center"/>
            <w:hideMark/>
          </w:tcPr>
          <w:p w14:paraId="7F90E797" w14:textId="77777777" w:rsidR="00FE123E" w:rsidRPr="00FE123E" w:rsidRDefault="00FE123E" w:rsidP="00FE123E">
            <w:pPr>
              <w:jc w:val="right"/>
              <w:rPr>
                <w:rFonts w:ascii="Arial Narrow" w:hAnsi="Arial Narrow" w:cs="Arial"/>
                <w:sz w:val="20"/>
                <w:szCs w:val="20"/>
              </w:rPr>
            </w:pPr>
            <w:r w:rsidRPr="00FE123E">
              <w:rPr>
                <w:rFonts w:ascii="Arial Narrow" w:hAnsi="Arial Narrow" w:cs="Arial"/>
                <w:sz w:val="20"/>
                <w:szCs w:val="20"/>
              </w:rPr>
              <w:t>1 983 289</w:t>
            </w:r>
          </w:p>
        </w:tc>
        <w:tc>
          <w:tcPr>
            <w:tcW w:w="867" w:type="pct"/>
            <w:tcBorders>
              <w:top w:val="nil"/>
              <w:left w:val="nil"/>
              <w:bottom w:val="single" w:sz="4" w:space="0" w:color="auto"/>
              <w:right w:val="single" w:sz="4" w:space="0" w:color="auto"/>
            </w:tcBorders>
            <w:shd w:val="clear" w:color="auto" w:fill="auto"/>
            <w:noWrap/>
            <w:vAlign w:val="center"/>
            <w:hideMark/>
          </w:tcPr>
          <w:p w14:paraId="7511933F" w14:textId="77777777" w:rsidR="00FE123E" w:rsidRPr="00FE123E" w:rsidRDefault="00FE123E" w:rsidP="00FE123E">
            <w:pPr>
              <w:jc w:val="right"/>
              <w:rPr>
                <w:rFonts w:ascii="Arial Narrow" w:hAnsi="Arial Narrow" w:cs="Arial"/>
                <w:sz w:val="20"/>
                <w:szCs w:val="20"/>
              </w:rPr>
            </w:pPr>
            <w:r w:rsidRPr="00FE123E">
              <w:rPr>
                <w:rFonts w:ascii="Arial Narrow" w:hAnsi="Arial Narrow" w:cs="Arial"/>
                <w:sz w:val="20"/>
                <w:szCs w:val="20"/>
              </w:rPr>
              <w:t>84 780</w:t>
            </w:r>
          </w:p>
        </w:tc>
        <w:tc>
          <w:tcPr>
            <w:tcW w:w="649" w:type="pct"/>
            <w:tcBorders>
              <w:top w:val="nil"/>
              <w:left w:val="nil"/>
              <w:bottom w:val="single" w:sz="4" w:space="0" w:color="auto"/>
              <w:right w:val="single" w:sz="4" w:space="0" w:color="auto"/>
            </w:tcBorders>
            <w:shd w:val="clear" w:color="auto" w:fill="auto"/>
            <w:noWrap/>
            <w:vAlign w:val="center"/>
            <w:hideMark/>
          </w:tcPr>
          <w:p w14:paraId="3E4AE0C8" w14:textId="77777777" w:rsidR="00FE123E" w:rsidRPr="00FE123E" w:rsidRDefault="00FE123E" w:rsidP="00FE123E">
            <w:pPr>
              <w:jc w:val="right"/>
              <w:rPr>
                <w:rFonts w:ascii="Arial Narrow" w:hAnsi="Arial Narrow" w:cs="Arial"/>
                <w:sz w:val="20"/>
                <w:szCs w:val="20"/>
              </w:rPr>
            </w:pPr>
            <w:r w:rsidRPr="00FE123E">
              <w:rPr>
                <w:rFonts w:ascii="Arial Narrow" w:hAnsi="Arial Narrow" w:cs="Arial"/>
                <w:sz w:val="20"/>
                <w:szCs w:val="20"/>
              </w:rPr>
              <w:t>4,5%</w:t>
            </w:r>
          </w:p>
        </w:tc>
      </w:tr>
      <w:tr w:rsidR="00FE123E" w:rsidRPr="00FE123E" w14:paraId="47721B87" w14:textId="77777777" w:rsidTr="00AF67ED">
        <w:trPr>
          <w:trHeight w:val="360"/>
        </w:trPr>
        <w:tc>
          <w:tcPr>
            <w:tcW w:w="1843" w:type="pct"/>
            <w:tcBorders>
              <w:top w:val="nil"/>
              <w:left w:val="single" w:sz="4" w:space="0" w:color="auto"/>
              <w:bottom w:val="single" w:sz="4" w:space="0" w:color="auto"/>
              <w:right w:val="single" w:sz="4" w:space="0" w:color="auto"/>
            </w:tcBorders>
            <w:shd w:val="clear" w:color="auto" w:fill="auto"/>
            <w:noWrap/>
            <w:vAlign w:val="center"/>
            <w:hideMark/>
          </w:tcPr>
          <w:p w14:paraId="24350D1F" w14:textId="77777777" w:rsidR="00FE123E" w:rsidRPr="00FE123E" w:rsidRDefault="00FE123E" w:rsidP="00FE123E">
            <w:pPr>
              <w:ind w:firstLineChars="100" w:firstLine="200"/>
              <w:rPr>
                <w:rFonts w:ascii="Arial Narrow" w:hAnsi="Arial Narrow" w:cs="Arial"/>
                <w:sz w:val="20"/>
                <w:szCs w:val="20"/>
              </w:rPr>
            </w:pPr>
            <w:r w:rsidRPr="00FE123E">
              <w:rPr>
                <w:rFonts w:ascii="Arial Narrow" w:hAnsi="Arial Narrow" w:cs="Arial"/>
                <w:sz w:val="20"/>
                <w:szCs w:val="20"/>
              </w:rPr>
              <w:t>Румъния</w:t>
            </w:r>
          </w:p>
        </w:tc>
        <w:tc>
          <w:tcPr>
            <w:tcW w:w="820" w:type="pct"/>
            <w:tcBorders>
              <w:top w:val="nil"/>
              <w:left w:val="nil"/>
              <w:bottom w:val="single" w:sz="4" w:space="0" w:color="auto"/>
              <w:right w:val="single" w:sz="4" w:space="0" w:color="auto"/>
            </w:tcBorders>
            <w:shd w:val="clear" w:color="auto" w:fill="auto"/>
            <w:noWrap/>
            <w:vAlign w:val="center"/>
            <w:hideMark/>
          </w:tcPr>
          <w:p w14:paraId="22452D77" w14:textId="77777777" w:rsidR="00FE123E" w:rsidRPr="00FE123E" w:rsidRDefault="00FE123E" w:rsidP="00FE123E">
            <w:pPr>
              <w:jc w:val="right"/>
              <w:rPr>
                <w:rFonts w:ascii="Arial Narrow" w:hAnsi="Arial Narrow" w:cs="Arial"/>
                <w:sz w:val="20"/>
                <w:szCs w:val="20"/>
              </w:rPr>
            </w:pPr>
            <w:r w:rsidRPr="00FE123E">
              <w:rPr>
                <w:rFonts w:ascii="Arial Narrow" w:hAnsi="Arial Narrow" w:cs="Arial"/>
                <w:sz w:val="20"/>
                <w:szCs w:val="20"/>
              </w:rPr>
              <w:t>820 034</w:t>
            </w:r>
          </w:p>
        </w:tc>
        <w:tc>
          <w:tcPr>
            <w:tcW w:w="820" w:type="pct"/>
            <w:tcBorders>
              <w:top w:val="nil"/>
              <w:left w:val="nil"/>
              <w:bottom w:val="single" w:sz="4" w:space="0" w:color="auto"/>
              <w:right w:val="single" w:sz="4" w:space="0" w:color="auto"/>
            </w:tcBorders>
            <w:shd w:val="clear" w:color="auto" w:fill="auto"/>
            <w:noWrap/>
            <w:vAlign w:val="center"/>
            <w:hideMark/>
          </w:tcPr>
          <w:p w14:paraId="52EDE17B" w14:textId="77777777" w:rsidR="00FE123E" w:rsidRPr="00FE123E" w:rsidRDefault="00FE123E" w:rsidP="00FE123E">
            <w:pPr>
              <w:jc w:val="right"/>
              <w:rPr>
                <w:rFonts w:ascii="Arial Narrow" w:hAnsi="Arial Narrow" w:cs="Arial"/>
                <w:sz w:val="20"/>
                <w:szCs w:val="20"/>
              </w:rPr>
            </w:pPr>
            <w:r w:rsidRPr="00FE123E">
              <w:rPr>
                <w:rFonts w:ascii="Arial Narrow" w:hAnsi="Arial Narrow" w:cs="Arial"/>
                <w:sz w:val="20"/>
                <w:szCs w:val="20"/>
              </w:rPr>
              <w:t>1 927 928</w:t>
            </w:r>
          </w:p>
        </w:tc>
        <w:tc>
          <w:tcPr>
            <w:tcW w:w="867" w:type="pct"/>
            <w:tcBorders>
              <w:top w:val="nil"/>
              <w:left w:val="nil"/>
              <w:bottom w:val="single" w:sz="4" w:space="0" w:color="auto"/>
              <w:right w:val="single" w:sz="4" w:space="0" w:color="auto"/>
            </w:tcBorders>
            <w:shd w:val="clear" w:color="auto" w:fill="auto"/>
            <w:noWrap/>
            <w:vAlign w:val="center"/>
            <w:hideMark/>
          </w:tcPr>
          <w:p w14:paraId="0AF00ED1" w14:textId="77777777" w:rsidR="00FE123E" w:rsidRPr="00FE123E" w:rsidRDefault="00FE123E" w:rsidP="00FE123E">
            <w:pPr>
              <w:jc w:val="right"/>
              <w:rPr>
                <w:rFonts w:ascii="Arial Narrow" w:hAnsi="Arial Narrow" w:cs="Arial"/>
                <w:sz w:val="20"/>
                <w:szCs w:val="20"/>
              </w:rPr>
            </w:pPr>
            <w:r w:rsidRPr="00FE123E">
              <w:rPr>
                <w:rFonts w:ascii="Arial Narrow" w:hAnsi="Arial Narrow" w:cs="Arial"/>
                <w:sz w:val="20"/>
                <w:szCs w:val="20"/>
              </w:rPr>
              <w:t>1 107 894</w:t>
            </w:r>
          </w:p>
        </w:tc>
        <w:tc>
          <w:tcPr>
            <w:tcW w:w="649" w:type="pct"/>
            <w:tcBorders>
              <w:top w:val="nil"/>
              <w:left w:val="nil"/>
              <w:bottom w:val="single" w:sz="4" w:space="0" w:color="auto"/>
              <w:right w:val="single" w:sz="4" w:space="0" w:color="auto"/>
            </w:tcBorders>
            <w:shd w:val="clear" w:color="auto" w:fill="auto"/>
            <w:noWrap/>
            <w:vAlign w:val="center"/>
            <w:hideMark/>
          </w:tcPr>
          <w:p w14:paraId="36752751" w14:textId="77777777" w:rsidR="00FE123E" w:rsidRPr="00FE123E" w:rsidRDefault="00FE123E" w:rsidP="00FE123E">
            <w:pPr>
              <w:jc w:val="right"/>
              <w:rPr>
                <w:rFonts w:ascii="Arial Narrow" w:hAnsi="Arial Narrow" w:cs="Arial"/>
                <w:sz w:val="20"/>
                <w:szCs w:val="20"/>
              </w:rPr>
            </w:pPr>
            <w:r w:rsidRPr="00FE123E">
              <w:rPr>
                <w:rFonts w:ascii="Arial Narrow" w:hAnsi="Arial Narrow" w:cs="Arial"/>
                <w:sz w:val="20"/>
                <w:szCs w:val="20"/>
              </w:rPr>
              <w:t>135,1%</w:t>
            </w:r>
          </w:p>
        </w:tc>
      </w:tr>
      <w:tr w:rsidR="00FE123E" w:rsidRPr="00FE123E" w14:paraId="4988ECD5" w14:textId="77777777" w:rsidTr="00AF67ED">
        <w:trPr>
          <w:trHeight w:val="360"/>
        </w:trPr>
        <w:tc>
          <w:tcPr>
            <w:tcW w:w="1843" w:type="pct"/>
            <w:tcBorders>
              <w:top w:val="nil"/>
              <w:left w:val="single" w:sz="4" w:space="0" w:color="auto"/>
              <w:bottom w:val="single" w:sz="4" w:space="0" w:color="auto"/>
              <w:right w:val="single" w:sz="4" w:space="0" w:color="auto"/>
            </w:tcBorders>
            <w:shd w:val="clear" w:color="auto" w:fill="auto"/>
            <w:noWrap/>
            <w:vAlign w:val="center"/>
            <w:hideMark/>
          </w:tcPr>
          <w:p w14:paraId="7F96E05B" w14:textId="77777777" w:rsidR="00FE123E" w:rsidRPr="00FE123E" w:rsidRDefault="00FE123E" w:rsidP="00FE123E">
            <w:pPr>
              <w:ind w:firstLineChars="100" w:firstLine="200"/>
              <w:rPr>
                <w:rFonts w:ascii="Arial Narrow" w:hAnsi="Arial Narrow" w:cs="Arial"/>
                <w:sz w:val="20"/>
                <w:szCs w:val="20"/>
              </w:rPr>
            </w:pPr>
            <w:r w:rsidRPr="00FE123E">
              <w:rPr>
                <w:rFonts w:ascii="Arial Narrow" w:hAnsi="Arial Narrow" w:cs="Arial"/>
                <w:sz w:val="20"/>
                <w:szCs w:val="20"/>
              </w:rPr>
              <w:t>Германия</w:t>
            </w:r>
          </w:p>
        </w:tc>
        <w:tc>
          <w:tcPr>
            <w:tcW w:w="820" w:type="pct"/>
            <w:tcBorders>
              <w:top w:val="nil"/>
              <w:left w:val="nil"/>
              <w:bottom w:val="single" w:sz="4" w:space="0" w:color="auto"/>
              <w:right w:val="single" w:sz="4" w:space="0" w:color="auto"/>
            </w:tcBorders>
            <w:shd w:val="clear" w:color="auto" w:fill="auto"/>
            <w:noWrap/>
            <w:vAlign w:val="center"/>
            <w:hideMark/>
          </w:tcPr>
          <w:p w14:paraId="5A2A0CDA" w14:textId="77777777" w:rsidR="00FE123E" w:rsidRPr="00FE123E" w:rsidRDefault="00FE123E" w:rsidP="00FE123E">
            <w:pPr>
              <w:jc w:val="right"/>
              <w:rPr>
                <w:rFonts w:ascii="Arial Narrow" w:hAnsi="Arial Narrow" w:cs="Arial"/>
                <w:sz w:val="20"/>
                <w:szCs w:val="20"/>
              </w:rPr>
            </w:pPr>
            <w:r w:rsidRPr="00FE123E">
              <w:rPr>
                <w:rFonts w:ascii="Arial Narrow" w:hAnsi="Arial Narrow" w:cs="Arial"/>
                <w:sz w:val="20"/>
                <w:szCs w:val="20"/>
              </w:rPr>
              <w:t>1 478 461</w:t>
            </w:r>
          </w:p>
        </w:tc>
        <w:tc>
          <w:tcPr>
            <w:tcW w:w="820" w:type="pct"/>
            <w:tcBorders>
              <w:top w:val="nil"/>
              <w:left w:val="nil"/>
              <w:bottom w:val="single" w:sz="4" w:space="0" w:color="auto"/>
              <w:right w:val="single" w:sz="4" w:space="0" w:color="auto"/>
            </w:tcBorders>
            <w:shd w:val="clear" w:color="auto" w:fill="auto"/>
            <w:noWrap/>
            <w:vAlign w:val="center"/>
            <w:hideMark/>
          </w:tcPr>
          <w:p w14:paraId="1A3BE289" w14:textId="77777777" w:rsidR="00FE123E" w:rsidRPr="00FE123E" w:rsidRDefault="00FE123E" w:rsidP="00FE123E">
            <w:pPr>
              <w:jc w:val="right"/>
              <w:rPr>
                <w:rFonts w:ascii="Arial Narrow" w:hAnsi="Arial Narrow" w:cs="Arial"/>
                <w:sz w:val="20"/>
                <w:szCs w:val="20"/>
              </w:rPr>
            </w:pPr>
            <w:r w:rsidRPr="00FE123E">
              <w:rPr>
                <w:rFonts w:ascii="Arial Narrow" w:hAnsi="Arial Narrow" w:cs="Arial"/>
                <w:sz w:val="20"/>
                <w:szCs w:val="20"/>
              </w:rPr>
              <w:t>1 572 689</w:t>
            </w:r>
          </w:p>
        </w:tc>
        <w:tc>
          <w:tcPr>
            <w:tcW w:w="867" w:type="pct"/>
            <w:tcBorders>
              <w:top w:val="nil"/>
              <w:left w:val="nil"/>
              <w:bottom w:val="single" w:sz="4" w:space="0" w:color="auto"/>
              <w:right w:val="single" w:sz="4" w:space="0" w:color="auto"/>
            </w:tcBorders>
            <w:shd w:val="clear" w:color="auto" w:fill="auto"/>
            <w:noWrap/>
            <w:vAlign w:val="center"/>
            <w:hideMark/>
          </w:tcPr>
          <w:p w14:paraId="066E655C" w14:textId="77777777" w:rsidR="00FE123E" w:rsidRPr="00FE123E" w:rsidRDefault="00FE123E" w:rsidP="00FE123E">
            <w:pPr>
              <w:jc w:val="right"/>
              <w:rPr>
                <w:rFonts w:ascii="Arial Narrow" w:hAnsi="Arial Narrow" w:cs="Arial"/>
                <w:sz w:val="20"/>
                <w:szCs w:val="20"/>
              </w:rPr>
            </w:pPr>
            <w:r w:rsidRPr="00FE123E">
              <w:rPr>
                <w:rFonts w:ascii="Arial Narrow" w:hAnsi="Arial Narrow" w:cs="Arial"/>
                <w:sz w:val="20"/>
                <w:szCs w:val="20"/>
              </w:rPr>
              <w:t>94 228</w:t>
            </w:r>
          </w:p>
        </w:tc>
        <w:tc>
          <w:tcPr>
            <w:tcW w:w="649" w:type="pct"/>
            <w:tcBorders>
              <w:top w:val="nil"/>
              <w:left w:val="nil"/>
              <w:bottom w:val="single" w:sz="4" w:space="0" w:color="auto"/>
              <w:right w:val="single" w:sz="4" w:space="0" w:color="auto"/>
            </w:tcBorders>
            <w:shd w:val="clear" w:color="auto" w:fill="auto"/>
            <w:noWrap/>
            <w:vAlign w:val="center"/>
            <w:hideMark/>
          </w:tcPr>
          <w:p w14:paraId="543327C1" w14:textId="77777777" w:rsidR="00FE123E" w:rsidRPr="00FE123E" w:rsidRDefault="00FE123E" w:rsidP="00FE123E">
            <w:pPr>
              <w:jc w:val="right"/>
              <w:rPr>
                <w:rFonts w:ascii="Arial Narrow" w:hAnsi="Arial Narrow" w:cs="Arial"/>
                <w:sz w:val="20"/>
                <w:szCs w:val="20"/>
              </w:rPr>
            </w:pPr>
            <w:r w:rsidRPr="00FE123E">
              <w:rPr>
                <w:rFonts w:ascii="Arial Narrow" w:hAnsi="Arial Narrow" w:cs="Arial"/>
                <w:sz w:val="20"/>
                <w:szCs w:val="20"/>
              </w:rPr>
              <w:t>6,4%</w:t>
            </w:r>
          </w:p>
        </w:tc>
      </w:tr>
      <w:tr w:rsidR="00FE123E" w:rsidRPr="00FE123E" w14:paraId="4B478794" w14:textId="77777777" w:rsidTr="00AF67ED">
        <w:trPr>
          <w:trHeight w:val="360"/>
        </w:trPr>
        <w:tc>
          <w:tcPr>
            <w:tcW w:w="1843" w:type="pct"/>
            <w:tcBorders>
              <w:top w:val="nil"/>
              <w:left w:val="single" w:sz="4" w:space="0" w:color="auto"/>
              <w:bottom w:val="single" w:sz="4" w:space="0" w:color="auto"/>
              <w:right w:val="single" w:sz="4" w:space="0" w:color="auto"/>
            </w:tcBorders>
            <w:shd w:val="clear" w:color="auto" w:fill="auto"/>
            <w:noWrap/>
            <w:vAlign w:val="center"/>
            <w:hideMark/>
          </w:tcPr>
          <w:p w14:paraId="24F2796D" w14:textId="77777777" w:rsidR="00FE123E" w:rsidRPr="00FE123E" w:rsidRDefault="00FE123E" w:rsidP="00FE123E">
            <w:pPr>
              <w:ind w:firstLineChars="100" w:firstLine="200"/>
              <w:rPr>
                <w:rFonts w:ascii="Arial Narrow" w:hAnsi="Arial Narrow" w:cs="Arial"/>
                <w:sz w:val="20"/>
                <w:szCs w:val="20"/>
              </w:rPr>
            </w:pPr>
            <w:r w:rsidRPr="00FE123E">
              <w:rPr>
                <w:rFonts w:ascii="Arial Narrow" w:hAnsi="Arial Narrow" w:cs="Arial"/>
                <w:sz w:val="20"/>
                <w:szCs w:val="20"/>
              </w:rPr>
              <w:t>Унгария</w:t>
            </w:r>
          </w:p>
        </w:tc>
        <w:tc>
          <w:tcPr>
            <w:tcW w:w="820" w:type="pct"/>
            <w:tcBorders>
              <w:top w:val="nil"/>
              <w:left w:val="nil"/>
              <w:bottom w:val="single" w:sz="4" w:space="0" w:color="auto"/>
              <w:right w:val="single" w:sz="4" w:space="0" w:color="auto"/>
            </w:tcBorders>
            <w:shd w:val="clear" w:color="auto" w:fill="auto"/>
            <w:noWrap/>
            <w:vAlign w:val="center"/>
            <w:hideMark/>
          </w:tcPr>
          <w:p w14:paraId="05292078" w14:textId="77777777" w:rsidR="00FE123E" w:rsidRPr="00FE123E" w:rsidRDefault="00FE123E" w:rsidP="00FE123E">
            <w:pPr>
              <w:jc w:val="right"/>
              <w:rPr>
                <w:rFonts w:ascii="Arial Narrow" w:hAnsi="Arial Narrow" w:cs="Arial"/>
                <w:sz w:val="20"/>
                <w:szCs w:val="20"/>
              </w:rPr>
            </w:pPr>
            <w:r w:rsidRPr="00FE123E">
              <w:rPr>
                <w:rFonts w:ascii="Arial Narrow" w:hAnsi="Arial Narrow" w:cs="Arial"/>
                <w:sz w:val="20"/>
                <w:szCs w:val="20"/>
              </w:rPr>
              <w:t>615 260</w:t>
            </w:r>
          </w:p>
        </w:tc>
        <w:tc>
          <w:tcPr>
            <w:tcW w:w="820" w:type="pct"/>
            <w:tcBorders>
              <w:top w:val="nil"/>
              <w:left w:val="nil"/>
              <w:bottom w:val="single" w:sz="4" w:space="0" w:color="auto"/>
              <w:right w:val="single" w:sz="4" w:space="0" w:color="auto"/>
            </w:tcBorders>
            <w:shd w:val="clear" w:color="auto" w:fill="auto"/>
            <w:noWrap/>
            <w:vAlign w:val="center"/>
            <w:hideMark/>
          </w:tcPr>
          <w:p w14:paraId="15CF5537" w14:textId="77777777" w:rsidR="00FE123E" w:rsidRPr="00FE123E" w:rsidRDefault="00FE123E" w:rsidP="00FE123E">
            <w:pPr>
              <w:jc w:val="right"/>
              <w:rPr>
                <w:rFonts w:ascii="Arial Narrow" w:hAnsi="Arial Narrow" w:cs="Arial"/>
                <w:sz w:val="20"/>
                <w:szCs w:val="20"/>
              </w:rPr>
            </w:pPr>
            <w:r w:rsidRPr="00FE123E">
              <w:rPr>
                <w:rFonts w:ascii="Arial Narrow" w:hAnsi="Arial Narrow" w:cs="Arial"/>
                <w:sz w:val="20"/>
                <w:szCs w:val="20"/>
              </w:rPr>
              <w:t>1 473 674</w:t>
            </w:r>
          </w:p>
        </w:tc>
        <w:tc>
          <w:tcPr>
            <w:tcW w:w="867" w:type="pct"/>
            <w:tcBorders>
              <w:top w:val="nil"/>
              <w:left w:val="nil"/>
              <w:bottom w:val="single" w:sz="4" w:space="0" w:color="auto"/>
              <w:right w:val="single" w:sz="4" w:space="0" w:color="auto"/>
            </w:tcBorders>
            <w:shd w:val="clear" w:color="auto" w:fill="auto"/>
            <w:noWrap/>
            <w:vAlign w:val="center"/>
            <w:hideMark/>
          </w:tcPr>
          <w:p w14:paraId="4E04EC9B" w14:textId="77777777" w:rsidR="00FE123E" w:rsidRPr="00FE123E" w:rsidRDefault="00FE123E" w:rsidP="00FE123E">
            <w:pPr>
              <w:jc w:val="right"/>
              <w:rPr>
                <w:rFonts w:ascii="Arial Narrow" w:hAnsi="Arial Narrow" w:cs="Arial"/>
                <w:sz w:val="20"/>
                <w:szCs w:val="20"/>
              </w:rPr>
            </w:pPr>
            <w:r w:rsidRPr="00FE123E">
              <w:rPr>
                <w:rFonts w:ascii="Arial Narrow" w:hAnsi="Arial Narrow" w:cs="Arial"/>
                <w:sz w:val="20"/>
                <w:szCs w:val="20"/>
              </w:rPr>
              <w:t>858 414</w:t>
            </w:r>
          </w:p>
        </w:tc>
        <w:tc>
          <w:tcPr>
            <w:tcW w:w="649" w:type="pct"/>
            <w:tcBorders>
              <w:top w:val="nil"/>
              <w:left w:val="nil"/>
              <w:bottom w:val="single" w:sz="4" w:space="0" w:color="auto"/>
              <w:right w:val="single" w:sz="4" w:space="0" w:color="auto"/>
            </w:tcBorders>
            <w:shd w:val="clear" w:color="auto" w:fill="auto"/>
            <w:noWrap/>
            <w:vAlign w:val="center"/>
            <w:hideMark/>
          </w:tcPr>
          <w:p w14:paraId="2DF5D70B" w14:textId="77777777" w:rsidR="00FE123E" w:rsidRPr="00FE123E" w:rsidRDefault="00FE123E" w:rsidP="00FE123E">
            <w:pPr>
              <w:jc w:val="right"/>
              <w:rPr>
                <w:rFonts w:ascii="Arial Narrow" w:hAnsi="Arial Narrow" w:cs="Arial"/>
                <w:sz w:val="20"/>
                <w:szCs w:val="20"/>
              </w:rPr>
            </w:pPr>
            <w:r w:rsidRPr="00FE123E">
              <w:rPr>
                <w:rFonts w:ascii="Arial Narrow" w:hAnsi="Arial Narrow" w:cs="Arial"/>
                <w:sz w:val="20"/>
                <w:szCs w:val="20"/>
              </w:rPr>
              <w:t>139,5%</w:t>
            </w:r>
          </w:p>
        </w:tc>
      </w:tr>
      <w:tr w:rsidR="00FE123E" w:rsidRPr="00FE123E" w14:paraId="1CF81F73" w14:textId="77777777" w:rsidTr="00AF67ED">
        <w:trPr>
          <w:trHeight w:val="360"/>
        </w:trPr>
        <w:tc>
          <w:tcPr>
            <w:tcW w:w="1843" w:type="pct"/>
            <w:tcBorders>
              <w:top w:val="nil"/>
              <w:left w:val="single" w:sz="4" w:space="0" w:color="auto"/>
              <w:bottom w:val="single" w:sz="4" w:space="0" w:color="auto"/>
              <w:right w:val="single" w:sz="4" w:space="0" w:color="auto"/>
            </w:tcBorders>
            <w:shd w:val="clear" w:color="auto" w:fill="auto"/>
            <w:noWrap/>
            <w:vAlign w:val="center"/>
            <w:hideMark/>
          </w:tcPr>
          <w:p w14:paraId="122916A7" w14:textId="77777777" w:rsidR="00FE123E" w:rsidRPr="00FE123E" w:rsidRDefault="00FE123E" w:rsidP="00FE123E">
            <w:pPr>
              <w:ind w:firstLineChars="100" w:firstLine="200"/>
              <w:rPr>
                <w:rFonts w:ascii="Arial Narrow" w:hAnsi="Arial Narrow" w:cs="Arial"/>
                <w:sz w:val="20"/>
                <w:szCs w:val="20"/>
              </w:rPr>
            </w:pPr>
            <w:r w:rsidRPr="00FE123E">
              <w:rPr>
                <w:rFonts w:ascii="Arial Narrow" w:hAnsi="Arial Narrow" w:cs="Arial"/>
                <w:sz w:val="20"/>
                <w:szCs w:val="20"/>
              </w:rPr>
              <w:t>Португалия</w:t>
            </w:r>
          </w:p>
        </w:tc>
        <w:tc>
          <w:tcPr>
            <w:tcW w:w="820" w:type="pct"/>
            <w:tcBorders>
              <w:top w:val="nil"/>
              <w:left w:val="nil"/>
              <w:bottom w:val="single" w:sz="4" w:space="0" w:color="auto"/>
              <w:right w:val="single" w:sz="4" w:space="0" w:color="auto"/>
            </w:tcBorders>
            <w:shd w:val="clear" w:color="auto" w:fill="auto"/>
            <w:noWrap/>
            <w:vAlign w:val="center"/>
            <w:hideMark/>
          </w:tcPr>
          <w:p w14:paraId="4D56CEFF" w14:textId="77777777" w:rsidR="00FE123E" w:rsidRPr="00FE123E" w:rsidRDefault="00FE123E" w:rsidP="00FE123E">
            <w:pPr>
              <w:jc w:val="right"/>
              <w:rPr>
                <w:rFonts w:ascii="Arial Narrow" w:hAnsi="Arial Narrow" w:cs="Arial"/>
                <w:sz w:val="20"/>
                <w:szCs w:val="20"/>
              </w:rPr>
            </w:pPr>
            <w:r w:rsidRPr="00FE123E">
              <w:rPr>
                <w:rFonts w:ascii="Arial Narrow" w:hAnsi="Arial Narrow" w:cs="Arial"/>
                <w:sz w:val="20"/>
                <w:szCs w:val="20"/>
              </w:rPr>
              <w:t>44 754</w:t>
            </w:r>
          </w:p>
        </w:tc>
        <w:tc>
          <w:tcPr>
            <w:tcW w:w="820" w:type="pct"/>
            <w:tcBorders>
              <w:top w:val="nil"/>
              <w:left w:val="nil"/>
              <w:bottom w:val="single" w:sz="4" w:space="0" w:color="auto"/>
              <w:right w:val="single" w:sz="4" w:space="0" w:color="auto"/>
            </w:tcBorders>
            <w:shd w:val="clear" w:color="auto" w:fill="auto"/>
            <w:noWrap/>
            <w:vAlign w:val="center"/>
            <w:hideMark/>
          </w:tcPr>
          <w:p w14:paraId="164FEDAC" w14:textId="77777777" w:rsidR="00FE123E" w:rsidRPr="00FE123E" w:rsidRDefault="00FE123E" w:rsidP="00FE123E">
            <w:pPr>
              <w:jc w:val="right"/>
              <w:rPr>
                <w:rFonts w:ascii="Arial Narrow" w:hAnsi="Arial Narrow" w:cs="Arial"/>
                <w:sz w:val="20"/>
                <w:szCs w:val="20"/>
              </w:rPr>
            </w:pPr>
            <w:r w:rsidRPr="00FE123E">
              <w:rPr>
                <w:rFonts w:ascii="Arial Narrow" w:hAnsi="Arial Narrow" w:cs="Arial"/>
                <w:sz w:val="20"/>
                <w:szCs w:val="20"/>
              </w:rPr>
              <w:t>125 019</w:t>
            </w:r>
          </w:p>
        </w:tc>
        <w:tc>
          <w:tcPr>
            <w:tcW w:w="867" w:type="pct"/>
            <w:tcBorders>
              <w:top w:val="nil"/>
              <w:left w:val="nil"/>
              <w:bottom w:val="single" w:sz="4" w:space="0" w:color="auto"/>
              <w:right w:val="single" w:sz="4" w:space="0" w:color="auto"/>
            </w:tcBorders>
            <w:shd w:val="clear" w:color="auto" w:fill="auto"/>
            <w:noWrap/>
            <w:vAlign w:val="center"/>
            <w:hideMark/>
          </w:tcPr>
          <w:p w14:paraId="135D9B94" w14:textId="77777777" w:rsidR="00FE123E" w:rsidRPr="00FE123E" w:rsidRDefault="00FE123E" w:rsidP="00FE123E">
            <w:pPr>
              <w:jc w:val="right"/>
              <w:rPr>
                <w:rFonts w:ascii="Arial Narrow" w:hAnsi="Arial Narrow" w:cs="Arial"/>
                <w:sz w:val="20"/>
                <w:szCs w:val="20"/>
              </w:rPr>
            </w:pPr>
            <w:r w:rsidRPr="00FE123E">
              <w:rPr>
                <w:rFonts w:ascii="Arial Narrow" w:hAnsi="Arial Narrow" w:cs="Arial"/>
                <w:sz w:val="20"/>
                <w:szCs w:val="20"/>
              </w:rPr>
              <w:t>80 265</w:t>
            </w:r>
          </w:p>
        </w:tc>
        <w:tc>
          <w:tcPr>
            <w:tcW w:w="649" w:type="pct"/>
            <w:tcBorders>
              <w:top w:val="nil"/>
              <w:left w:val="nil"/>
              <w:bottom w:val="single" w:sz="4" w:space="0" w:color="auto"/>
              <w:right w:val="single" w:sz="4" w:space="0" w:color="auto"/>
            </w:tcBorders>
            <w:shd w:val="clear" w:color="auto" w:fill="auto"/>
            <w:noWrap/>
            <w:vAlign w:val="center"/>
            <w:hideMark/>
          </w:tcPr>
          <w:p w14:paraId="09264A2C" w14:textId="77777777" w:rsidR="00FE123E" w:rsidRPr="00FE123E" w:rsidRDefault="00FE123E" w:rsidP="00FE123E">
            <w:pPr>
              <w:jc w:val="right"/>
              <w:rPr>
                <w:rFonts w:ascii="Arial Narrow" w:hAnsi="Arial Narrow" w:cs="Arial"/>
                <w:sz w:val="20"/>
                <w:szCs w:val="20"/>
              </w:rPr>
            </w:pPr>
            <w:r w:rsidRPr="00FE123E">
              <w:rPr>
                <w:rFonts w:ascii="Arial Narrow" w:hAnsi="Arial Narrow" w:cs="Arial"/>
                <w:sz w:val="20"/>
                <w:szCs w:val="20"/>
              </w:rPr>
              <w:t>179,3%</w:t>
            </w:r>
          </w:p>
        </w:tc>
      </w:tr>
      <w:tr w:rsidR="00FE123E" w:rsidRPr="00FE123E" w14:paraId="5804062E" w14:textId="77777777" w:rsidTr="00AF67ED">
        <w:trPr>
          <w:trHeight w:val="360"/>
        </w:trPr>
        <w:tc>
          <w:tcPr>
            <w:tcW w:w="1843" w:type="pct"/>
            <w:tcBorders>
              <w:top w:val="nil"/>
              <w:left w:val="single" w:sz="4" w:space="0" w:color="auto"/>
              <w:bottom w:val="single" w:sz="4" w:space="0" w:color="auto"/>
              <w:right w:val="single" w:sz="4" w:space="0" w:color="auto"/>
            </w:tcBorders>
            <w:shd w:val="clear" w:color="auto" w:fill="auto"/>
            <w:noWrap/>
            <w:vAlign w:val="center"/>
            <w:hideMark/>
          </w:tcPr>
          <w:p w14:paraId="75DB51B8" w14:textId="77777777" w:rsidR="00FE123E" w:rsidRPr="00FE123E" w:rsidRDefault="00FE123E" w:rsidP="00FE123E">
            <w:pPr>
              <w:ind w:firstLineChars="100" w:firstLine="200"/>
              <w:rPr>
                <w:rFonts w:ascii="Arial Narrow" w:hAnsi="Arial Narrow" w:cs="Arial"/>
                <w:sz w:val="20"/>
                <w:szCs w:val="20"/>
              </w:rPr>
            </w:pPr>
            <w:r w:rsidRPr="00FE123E">
              <w:rPr>
                <w:rFonts w:ascii="Arial Narrow" w:hAnsi="Arial Narrow" w:cs="Arial"/>
                <w:sz w:val="20"/>
                <w:szCs w:val="20"/>
              </w:rPr>
              <w:t>Чехия</w:t>
            </w:r>
          </w:p>
        </w:tc>
        <w:tc>
          <w:tcPr>
            <w:tcW w:w="820" w:type="pct"/>
            <w:tcBorders>
              <w:top w:val="nil"/>
              <w:left w:val="nil"/>
              <w:bottom w:val="single" w:sz="4" w:space="0" w:color="auto"/>
              <w:right w:val="single" w:sz="4" w:space="0" w:color="auto"/>
            </w:tcBorders>
            <w:shd w:val="clear" w:color="auto" w:fill="auto"/>
            <w:noWrap/>
            <w:vAlign w:val="center"/>
            <w:hideMark/>
          </w:tcPr>
          <w:p w14:paraId="79DB02F7" w14:textId="77777777" w:rsidR="00FE123E" w:rsidRPr="00FE123E" w:rsidRDefault="00FE123E" w:rsidP="00FE123E">
            <w:pPr>
              <w:jc w:val="right"/>
              <w:rPr>
                <w:rFonts w:ascii="Arial Narrow" w:hAnsi="Arial Narrow" w:cs="Arial"/>
                <w:sz w:val="20"/>
                <w:szCs w:val="20"/>
              </w:rPr>
            </w:pPr>
            <w:r w:rsidRPr="00FE123E">
              <w:rPr>
                <w:rFonts w:ascii="Arial Narrow" w:hAnsi="Arial Narrow" w:cs="Arial"/>
                <w:sz w:val="20"/>
                <w:szCs w:val="20"/>
              </w:rPr>
              <w:t>103 814</w:t>
            </w:r>
          </w:p>
        </w:tc>
        <w:tc>
          <w:tcPr>
            <w:tcW w:w="820" w:type="pct"/>
            <w:tcBorders>
              <w:top w:val="nil"/>
              <w:left w:val="nil"/>
              <w:bottom w:val="single" w:sz="4" w:space="0" w:color="auto"/>
              <w:right w:val="single" w:sz="4" w:space="0" w:color="auto"/>
            </w:tcBorders>
            <w:shd w:val="clear" w:color="auto" w:fill="auto"/>
            <w:noWrap/>
            <w:vAlign w:val="center"/>
            <w:hideMark/>
          </w:tcPr>
          <w:p w14:paraId="620DB923" w14:textId="77777777" w:rsidR="00FE123E" w:rsidRPr="00FE123E" w:rsidRDefault="00FE123E" w:rsidP="00FE123E">
            <w:pPr>
              <w:jc w:val="right"/>
              <w:rPr>
                <w:rFonts w:ascii="Arial Narrow" w:hAnsi="Arial Narrow" w:cs="Arial"/>
                <w:sz w:val="20"/>
                <w:szCs w:val="20"/>
              </w:rPr>
            </w:pPr>
            <w:r w:rsidRPr="00FE123E">
              <w:rPr>
                <w:rFonts w:ascii="Arial Narrow" w:hAnsi="Arial Narrow" w:cs="Arial"/>
                <w:sz w:val="20"/>
                <w:szCs w:val="20"/>
              </w:rPr>
              <w:t>95 124</w:t>
            </w:r>
          </w:p>
        </w:tc>
        <w:tc>
          <w:tcPr>
            <w:tcW w:w="867" w:type="pct"/>
            <w:tcBorders>
              <w:top w:val="nil"/>
              <w:left w:val="nil"/>
              <w:bottom w:val="single" w:sz="4" w:space="0" w:color="auto"/>
              <w:right w:val="single" w:sz="4" w:space="0" w:color="auto"/>
            </w:tcBorders>
            <w:shd w:val="clear" w:color="auto" w:fill="auto"/>
            <w:noWrap/>
            <w:vAlign w:val="center"/>
            <w:hideMark/>
          </w:tcPr>
          <w:p w14:paraId="438453D9" w14:textId="77777777" w:rsidR="00FE123E" w:rsidRPr="00FE123E" w:rsidRDefault="00FE123E" w:rsidP="00FE123E">
            <w:pPr>
              <w:jc w:val="right"/>
              <w:rPr>
                <w:rFonts w:ascii="Arial Narrow" w:hAnsi="Arial Narrow" w:cs="Arial"/>
                <w:sz w:val="20"/>
                <w:szCs w:val="20"/>
              </w:rPr>
            </w:pPr>
            <w:r w:rsidRPr="00FE123E">
              <w:rPr>
                <w:rFonts w:ascii="Arial Narrow" w:hAnsi="Arial Narrow" w:cs="Arial"/>
                <w:sz w:val="20"/>
                <w:szCs w:val="20"/>
              </w:rPr>
              <w:t>-8 690</w:t>
            </w:r>
          </w:p>
        </w:tc>
        <w:tc>
          <w:tcPr>
            <w:tcW w:w="649" w:type="pct"/>
            <w:tcBorders>
              <w:top w:val="nil"/>
              <w:left w:val="nil"/>
              <w:bottom w:val="single" w:sz="4" w:space="0" w:color="auto"/>
              <w:right w:val="single" w:sz="4" w:space="0" w:color="auto"/>
            </w:tcBorders>
            <w:shd w:val="clear" w:color="auto" w:fill="auto"/>
            <w:noWrap/>
            <w:vAlign w:val="center"/>
            <w:hideMark/>
          </w:tcPr>
          <w:p w14:paraId="46918765" w14:textId="77777777" w:rsidR="00FE123E" w:rsidRPr="00FE123E" w:rsidRDefault="00FE123E" w:rsidP="00FE123E">
            <w:pPr>
              <w:jc w:val="right"/>
              <w:rPr>
                <w:rFonts w:ascii="Arial Narrow" w:hAnsi="Arial Narrow" w:cs="Arial"/>
                <w:sz w:val="20"/>
                <w:szCs w:val="20"/>
              </w:rPr>
            </w:pPr>
            <w:r w:rsidRPr="00FE123E">
              <w:rPr>
                <w:rFonts w:ascii="Arial Narrow" w:hAnsi="Arial Narrow" w:cs="Arial"/>
                <w:sz w:val="20"/>
                <w:szCs w:val="20"/>
              </w:rPr>
              <w:t>-8,4%</w:t>
            </w:r>
          </w:p>
        </w:tc>
      </w:tr>
      <w:tr w:rsidR="00FE123E" w:rsidRPr="00FE123E" w14:paraId="09159588" w14:textId="77777777" w:rsidTr="00AF67ED">
        <w:trPr>
          <w:trHeight w:val="360"/>
        </w:trPr>
        <w:tc>
          <w:tcPr>
            <w:tcW w:w="1843" w:type="pct"/>
            <w:tcBorders>
              <w:top w:val="nil"/>
              <w:left w:val="single" w:sz="4" w:space="0" w:color="auto"/>
              <w:bottom w:val="single" w:sz="4" w:space="0" w:color="auto"/>
              <w:right w:val="single" w:sz="4" w:space="0" w:color="auto"/>
            </w:tcBorders>
            <w:shd w:val="clear" w:color="auto" w:fill="auto"/>
            <w:noWrap/>
            <w:vAlign w:val="center"/>
            <w:hideMark/>
          </w:tcPr>
          <w:p w14:paraId="2D6E0068" w14:textId="77777777" w:rsidR="00FE123E" w:rsidRPr="00FE123E" w:rsidRDefault="00FE123E" w:rsidP="00FE123E">
            <w:pPr>
              <w:ind w:firstLineChars="100" w:firstLine="200"/>
              <w:rPr>
                <w:rFonts w:ascii="Arial Narrow" w:hAnsi="Arial Narrow" w:cs="Arial"/>
                <w:sz w:val="20"/>
                <w:szCs w:val="20"/>
              </w:rPr>
            </w:pPr>
            <w:r w:rsidRPr="00FE123E">
              <w:rPr>
                <w:rFonts w:ascii="Arial Narrow" w:hAnsi="Arial Narrow" w:cs="Arial"/>
                <w:sz w:val="20"/>
                <w:szCs w:val="20"/>
              </w:rPr>
              <w:t>Австрия</w:t>
            </w:r>
          </w:p>
        </w:tc>
        <w:tc>
          <w:tcPr>
            <w:tcW w:w="820" w:type="pct"/>
            <w:tcBorders>
              <w:top w:val="nil"/>
              <w:left w:val="nil"/>
              <w:bottom w:val="single" w:sz="4" w:space="0" w:color="auto"/>
              <w:right w:val="single" w:sz="4" w:space="0" w:color="auto"/>
            </w:tcBorders>
            <w:shd w:val="clear" w:color="auto" w:fill="auto"/>
            <w:noWrap/>
            <w:vAlign w:val="center"/>
            <w:hideMark/>
          </w:tcPr>
          <w:p w14:paraId="70126C9F" w14:textId="77777777" w:rsidR="00FE123E" w:rsidRPr="00FE123E" w:rsidRDefault="00FE123E" w:rsidP="00FE123E">
            <w:pPr>
              <w:jc w:val="right"/>
              <w:rPr>
                <w:rFonts w:ascii="Arial Narrow" w:hAnsi="Arial Narrow" w:cs="Arial"/>
                <w:sz w:val="20"/>
                <w:szCs w:val="20"/>
              </w:rPr>
            </w:pPr>
            <w:r w:rsidRPr="00FE123E">
              <w:rPr>
                <w:rFonts w:ascii="Arial Narrow" w:hAnsi="Arial Narrow" w:cs="Arial"/>
                <w:sz w:val="20"/>
                <w:szCs w:val="20"/>
              </w:rPr>
              <w:t>50 282</w:t>
            </w:r>
          </w:p>
        </w:tc>
        <w:tc>
          <w:tcPr>
            <w:tcW w:w="820" w:type="pct"/>
            <w:tcBorders>
              <w:top w:val="nil"/>
              <w:left w:val="nil"/>
              <w:bottom w:val="single" w:sz="4" w:space="0" w:color="auto"/>
              <w:right w:val="single" w:sz="4" w:space="0" w:color="auto"/>
            </w:tcBorders>
            <w:shd w:val="clear" w:color="auto" w:fill="auto"/>
            <w:noWrap/>
            <w:vAlign w:val="center"/>
            <w:hideMark/>
          </w:tcPr>
          <w:p w14:paraId="0DDDFD9C" w14:textId="77777777" w:rsidR="00FE123E" w:rsidRPr="00FE123E" w:rsidRDefault="00FE123E" w:rsidP="00FE123E">
            <w:pPr>
              <w:jc w:val="right"/>
              <w:rPr>
                <w:rFonts w:ascii="Arial Narrow" w:hAnsi="Arial Narrow" w:cs="Arial"/>
                <w:sz w:val="20"/>
                <w:szCs w:val="20"/>
              </w:rPr>
            </w:pPr>
            <w:r w:rsidRPr="00FE123E">
              <w:rPr>
                <w:rFonts w:ascii="Arial Narrow" w:hAnsi="Arial Narrow" w:cs="Arial"/>
                <w:sz w:val="20"/>
                <w:szCs w:val="20"/>
              </w:rPr>
              <w:t>65 965</w:t>
            </w:r>
          </w:p>
        </w:tc>
        <w:tc>
          <w:tcPr>
            <w:tcW w:w="867" w:type="pct"/>
            <w:tcBorders>
              <w:top w:val="nil"/>
              <w:left w:val="nil"/>
              <w:bottom w:val="single" w:sz="4" w:space="0" w:color="auto"/>
              <w:right w:val="single" w:sz="4" w:space="0" w:color="auto"/>
            </w:tcBorders>
            <w:shd w:val="clear" w:color="auto" w:fill="auto"/>
            <w:noWrap/>
            <w:vAlign w:val="center"/>
            <w:hideMark/>
          </w:tcPr>
          <w:p w14:paraId="1857083D" w14:textId="77777777" w:rsidR="00FE123E" w:rsidRPr="00FE123E" w:rsidRDefault="00FE123E" w:rsidP="00FE123E">
            <w:pPr>
              <w:jc w:val="right"/>
              <w:rPr>
                <w:rFonts w:ascii="Arial Narrow" w:hAnsi="Arial Narrow" w:cs="Arial"/>
                <w:sz w:val="20"/>
                <w:szCs w:val="20"/>
              </w:rPr>
            </w:pPr>
            <w:r w:rsidRPr="00FE123E">
              <w:rPr>
                <w:rFonts w:ascii="Arial Narrow" w:hAnsi="Arial Narrow" w:cs="Arial"/>
                <w:sz w:val="20"/>
                <w:szCs w:val="20"/>
              </w:rPr>
              <w:t>15 683</w:t>
            </w:r>
          </w:p>
        </w:tc>
        <w:tc>
          <w:tcPr>
            <w:tcW w:w="649" w:type="pct"/>
            <w:tcBorders>
              <w:top w:val="nil"/>
              <w:left w:val="nil"/>
              <w:bottom w:val="single" w:sz="4" w:space="0" w:color="auto"/>
              <w:right w:val="single" w:sz="4" w:space="0" w:color="auto"/>
            </w:tcBorders>
            <w:shd w:val="clear" w:color="auto" w:fill="auto"/>
            <w:noWrap/>
            <w:vAlign w:val="center"/>
            <w:hideMark/>
          </w:tcPr>
          <w:p w14:paraId="5DE3D956" w14:textId="77777777" w:rsidR="00FE123E" w:rsidRPr="00FE123E" w:rsidRDefault="00FE123E" w:rsidP="00FE123E">
            <w:pPr>
              <w:jc w:val="right"/>
              <w:rPr>
                <w:rFonts w:ascii="Arial Narrow" w:hAnsi="Arial Narrow" w:cs="Arial"/>
                <w:sz w:val="20"/>
                <w:szCs w:val="20"/>
              </w:rPr>
            </w:pPr>
            <w:r w:rsidRPr="00FE123E">
              <w:rPr>
                <w:rFonts w:ascii="Arial Narrow" w:hAnsi="Arial Narrow" w:cs="Arial"/>
                <w:sz w:val="20"/>
                <w:szCs w:val="20"/>
              </w:rPr>
              <w:t>31,2%</w:t>
            </w:r>
          </w:p>
        </w:tc>
      </w:tr>
      <w:tr w:rsidR="00FE123E" w:rsidRPr="00FE123E" w14:paraId="5442E367" w14:textId="77777777" w:rsidTr="00AF67ED">
        <w:trPr>
          <w:trHeight w:val="360"/>
        </w:trPr>
        <w:tc>
          <w:tcPr>
            <w:tcW w:w="1843" w:type="pct"/>
            <w:tcBorders>
              <w:top w:val="nil"/>
              <w:left w:val="single" w:sz="4" w:space="0" w:color="auto"/>
              <w:bottom w:val="single" w:sz="4" w:space="0" w:color="auto"/>
              <w:right w:val="single" w:sz="4" w:space="0" w:color="auto"/>
            </w:tcBorders>
            <w:shd w:val="clear" w:color="auto" w:fill="auto"/>
            <w:noWrap/>
            <w:vAlign w:val="center"/>
            <w:hideMark/>
          </w:tcPr>
          <w:p w14:paraId="1C163B5B" w14:textId="77777777" w:rsidR="00FE123E" w:rsidRPr="00FE123E" w:rsidRDefault="00FE123E" w:rsidP="00FE123E">
            <w:pPr>
              <w:ind w:firstLineChars="100" w:firstLine="200"/>
              <w:rPr>
                <w:rFonts w:ascii="Arial Narrow" w:hAnsi="Arial Narrow" w:cs="Arial"/>
                <w:sz w:val="20"/>
                <w:szCs w:val="20"/>
              </w:rPr>
            </w:pPr>
            <w:r w:rsidRPr="00FE123E">
              <w:rPr>
                <w:rFonts w:ascii="Arial Narrow" w:hAnsi="Arial Narrow" w:cs="Arial"/>
                <w:sz w:val="20"/>
                <w:szCs w:val="20"/>
              </w:rPr>
              <w:t>Литва</w:t>
            </w:r>
          </w:p>
        </w:tc>
        <w:tc>
          <w:tcPr>
            <w:tcW w:w="820" w:type="pct"/>
            <w:tcBorders>
              <w:top w:val="nil"/>
              <w:left w:val="nil"/>
              <w:bottom w:val="single" w:sz="4" w:space="0" w:color="auto"/>
              <w:right w:val="single" w:sz="4" w:space="0" w:color="auto"/>
            </w:tcBorders>
            <w:shd w:val="clear" w:color="auto" w:fill="auto"/>
            <w:noWrap/>
            <w:vAlign w:val="center"/>
            <w:hideMark/>
          </w:tcPr>
          <w:p w14:paraId="1BEFC756" w14:textId="77777777" w:rsidR="00FE123E" w:rsidRPr="00FE123E" w:rsidRDefault="00FE123E" w:rsidP="00FE123E">
            <w:pPr>
              <w:jc w:val="right"/>
              <w:rPr>
                <w:rFonts w:ascii="Arial Narrow" w:hAnsi="Arial Narrow" w:cs="Arial"/>
                <w:sz w:val="20"/>
                <w:szCs w:val="20"/>
              </w:rPr>
            </w:pPr>
            <w:r w:rsidRPr="00FE123E">
              <w:rPr>
                <w:rFonts w:ascii="Arial Narrow" w:hAnsi="Arial Narrow" w:cs="Arial"/>
                <w:sz w:val="20"/>
                <w:szCs w:val="20"/>
              </w:rPr>
              <w:t>2 146</w:t>
            </w:r>
          </w:p>
        </w:tc>
        <w:tc>
          <w:tcPr>
            <w:tcW w:w="820" w:type="pct"/>
            <w:tcBorders>
              <w:top w:val="nil"/>
              <w:left w:val="nil"/>
              <w:bottom w:val="single" w:sz="4" w:space="0" w:color="auto"/>
              <w:right w:val="single" w:sz="4" w:space="0" w:color="auto"/>
            </w:tcBorders>
            <w:shd w:val="clear" w:color="auto" w:fill="auto"/>
            <w:noWrap/>
            <w:vAlign w:val="center"/>
            <w:hideMark/>
          </w:tcPr>
          <w:p w14:paraId="58BEE756" w14:textId="77777777" w:rsidR="00FE123E" w:rsidRPr="00FE123E" w:rsidRDefault="00FE123E" w:rsidP="00FE123E">
            <w:pPr>
              <w:jc w:val="right"/>
              <w:rPr>
                <w:rFonts w:ascii="Arial Narrow" w:hAnsi="Arial Narrow" w:cs="Arial"/>
                <w:sz w:val="20"/>
                <w:szCs w:val="20"/>
              </w:rPr>
            </w:pPr>
            <w:r w:rsidRPr="00FE123E">
              <w:rPr>
                <w:rFonts w:ascii="Arial Narrow" w:hAnsi="Arial Narrow" w:cs="Arial"/>
                <w:sz w:val="20"/>
                <w:szCs w:val="20"/>
              </w:rPr>
              <w:t>58 579</w:t>
            </w:r>
          </w:p>
        </w:tc>
        <w:tc>
          <w:tcPr>
            <w:tcW w:w="867" w:type="pct"/>
            <w:tcBorders>
              <w:top w:val="nil"/>
              <w:left w:val="nil"/>
              <w:bottom w:val="single" w:sz="4" w:space="0" w:color="auto"/>
              <w:right w:val="single" w:sz="4" w:space="0" w:color="auto"/>
            </w:tcBorders>
            <w:shd w:val="clear" w:color="auto" w:fill="auto"/>
            <w:noWrap/>
            <w:vAlign w:val="center"/>
            <w:hideMark/>
          </w:tcPr>
          <w:p w14:paraId="2EBDB7D1" w14:textId="77777777" w:rsidR="00FE123E" w:rsidRPr="00FE123E" w:rsidRDefault="00FE123E" w:rsidP="00FE123E">
            <w:pPr>
              <w:jc w:val="right"/>
              <w:rPr>
                <w:rFonts w:ascii="Arial Narrow" w:hAnsi="Arial Narrow" w:cs="Arial"/>
                <w:sz w:val="20"/>
                <w:szCs w:val="20"/>
              </w:rPr>
            </w:pPr>
            <w:r w:rsidRPr="00FE123E">
              <w:rPr>
                <w:rFonts w:ascii="Arial Narrow" w:hAnsi="Arial Narrow" w:cs="Arial"/>
                <w:sz w:val="20"/>
                <w:szCs w:val="20"/>
              </w:rPr>
              <w:t>56 433</w:t>
            </w:r>
          </w:p>
        </w:tc>
        <w:tc>
          <w:tcPr>
            <w:tcW w:w="649" w:type="pct"/>
            <w:tcBorders>
              <w:top w:val="nil"/>
              <w:left w:val="nil"/>
              <w:bottom w:val="single" w:sz="4" w:space="0" w:color="auto"/>
              <w:right w:val="single" w:sz="4" w:space="0" w:color="auto"/>
            </w:tcBorders>
            <w:shd w:val="clear" w:color="auto" w:fill="auto"/>
            <w:noWrap/>
            <w:vAlign w:val="center"/>
            <w:hideMark/>
          </w:tcPr>
          <w:p w14:paraId="3F41A425" w14:textId="77777777" w:rsidR="00FE123E" w:rsidRPr="00FE123E" w:rsidRDefault="00FE123E" w:rsidP="00FE123E">
            <w:pPr>
              <w:jc w:val="right"/>
              <w:rPr>
                <w:rFonts w:ascii="Arial Narrow" w:hAnsi="Arial Narrow" w:cs="Arial"/>
                <w:sz w:val="20"/>
                <w:szCs w:val="20"/>
              </w:rPr>
            </w:pPr>
            <w:r w:rsidRPr="00FE123E">
              <w:rPr>
                <w:rFonts w:ascii="Arial Narrow" w:hAnsi="Arial Narrow" w:cs="Arial"/>
                <w:sz w:val="20"/>
                <w:szCs w:val="20"/>
              </w:rPr>
              <w:t>2629,7%</w:t>
            </w:r>
          </w:p>
        </w:tc>
      </w:tr>
      <w:tr w:rsidR="00FE123E" w:rsidRPr="00FE123E" w14:paraId="4FA4B32D" w14:textId="77777777" w:rsidTr="00AF67ED">
        <w:trPr>
          <w:trHeight w:val="360"/>
        </w:trPr>
        <w:tc>
          <w:tcPr>
            <w:tcW w:w="1843" w:type="pct"/>
            <w:tcBorders>
              <w:top w:val="nil"/>
              <w:left w:val="single" w:sz="4" w:space="0" w:color="auto"/>
              <w:bottom w:val="single" w:sz="4" w:space="0" w:color="auto"/>
              <w:right w:val="single" w:sz="4" w:space="0" w:color="auto"/>
            </w:tcBorders>
            <w:shd w:val="clear" w:color="auto" w:fill="auto"/>
            <w:noWrap/>
            <w:vAlign w:val="center"/>
            <w:hideMark/>
          </w:tcPr>
          <w:p w14:paraId="251AB698" w14:textId="77777777" w:rsidR="00FE123E" w:rsidRPr="00FE123E" w:rsidRDefault="00FE123E" w:rsidP="00FE123E">
            <w:pPr>
              <w:ind w:firstLineChars="100" w:firstLine="200"/>
              <w:rPr>
                <w:rFonts w:ascii="Arial Narrow" w:hAnsi="Arial Narrow" w:cs="Arial"/>
                <w:sz w:val="20"/>
                <w:szCs w:val="20"/>
              </w:rPr>
            </w:pPr>
            <w:r w:rsidRPr="00FE123E">
              <w:rPr>
                <w:rFonts w:ascii="Arial Narrow" w:hAnsi="Arial Narrow" w:cs="Arial"/>
                <w:sz w:val="20"/>
                <w:szCs w:val="20"/>
              </w:rPr>
              <w:t>Нидерландия</w:t>
            </w:r>
          </w:p>
        </w:tc>
        <w:tc>
          <w:tcPr>
            <w:tcW w:w="820" w:type="pct"/>
            <w:tcBorders>
              <w:top w:val="nil"/>
              <w:left w:val="nil"/>
              <w:bottom w:val="single" w:sz="4" w:space="0" w:color="auto"/>
              <w:right w:val="single" w:sz="4" w:space="0" w:color="auto"/>
            </w:tcBorders>
            <w:shd w:val="clear" w:color="auto" w:fill="auto"/>
            <w:noWrap/>
            <w:vAlign w:val="center"/>
            <w:hideMark/>
          </w:tcPr>
          <w:p w14:paraId="0CDBA656" w14:textId="77777777" w:rsidR="00FE123E" w:rsidRPr="00FE123E" w:rsidRDefault="00FE123E" w:rsidP="00FE123E">
            <w:pPr>
              <w:jc w:val="right"/>
              <w:rPr>
                <w:rFonts w:ascii="Arial Narrow" w:hAnsi="Arial Narrow" w:cs="Arial"/>
                <w:sz w:val="20"/>
                <w:szCs w:val="20"/>
              </w:rPr>
            </w:pPr>
            <w:r w:rsidRPr="00FE123E">
              <w:rPr>
                <w:rFonts w:ascii="Arial Narrow" w:hAnsi="Arial Narrow" w:cs="Arial"/>
                <w:sz w:val="20"/>
                <w:szCs w:val="20"/>
              </w:rPr>
              <w:t>39 927</w:t>
            </w:r>
          </w:p>
        </w:tc>
        <w:tc>
          <w:tcPr>
            <w:tcW w:w="820" w:type="pct"/>
            <w:tcBorders>
              <w:top w:val="nil"/>
              <w:left w:val="nil"/>
              <w:bottom w:val="single" w:sz="4" w:space="0" w:color="auto"/>
              <w:right w:val="single" w:sz="4" w:space="0" w:color="auto"/>
            </w:tcBorders>
            <w:shd w:val="clear" w:color="auto" w:fill="auto"/>
            <w:noWrap/>
            <w:vAlign w:val="center"/>
            <w:hideMark/>
          </w:tcPr>
          <w:p w14:paraId="6188DECC" w14:textId="77777777" w:rsidR="00FE123E" w:rsidRPr="00FE123E" w:rsidRDefault="00FE123E" w:rsidP="00FE123E">
            <w:pPr>
              <w:jc w:val="right"/>
              <w:rPr>
                <w:rFonts w:ascii="Arial Narrow" w:hAnsi="Arial Narrow" w:cs="Arial"/>
                <w:sz w:val="20"/>
                <w:szCs w:val="20"/>
              </w:rPr>
            </w:pPr>
            <w:r w:rsidRPr="00FE123E">
              <w:rPr>
                <w:rFonts w:ascii="Arial Narrow" w:hAnsi="Arial Narrow" w:cs="Arial"/>
                <w:sz w:val="20"/>
                <w:szCs w:val="20"/>
              </w:rPr>
              <w:t>52 592</w:t>
            </w:r>
          </w:p>
        </w:tc>
        <w:tc>
          <w:tcPr>
            <w:tcW w:w="867" w:type="pct"/>
            <w:tcBorders>
              <w:top w:val="nil"/>
              <w:left w:val="nil"/>
              <w:bottom w:val="single" w:sz="4" w:space="0" w:color="auto"/>
              <w:right w:val="single" w:sz="4" w:space="0" w:color="auto"/>
            </w:tcBorders>
            <w:shd w:val="clear" w:color="auto" w:fill="auto"/>
            <w:noWrap/>
            <w:vAlign w:val="center"/>
            <w:hideMark/>
          </w:tcPr>
          <w:p w14:paraId="5AD822BB" w14:textId="77777777" w:rsidR="00FE123E" w:rsidRPr="00FE123E" w:rsidRDefault="00FE123E" w:rsidP="00FE123E">
            <w:pPr>
              <w:jc w:val="right"/>
              <w:rPr>
                <w:rFonts w:ascii="Arial Narrow" w:hAnsi="Arial Narrow" w:cs="Arial"/>
                <w:sz w:val="20"/>
                <w:szCs w:val="20"/>
              </w:rPr>
            </w:pPr>
            <w:r w:rsidRPr="00FE123E">
              <w:rPr>
                <w:rFonts w:ascii="Arial Narrow" w:hAnsi="Arial Narrow" w:cs="Arial"/>
                <w:sz w:val="20"/>
                <w:szCs w:val="20"/>
              </w:rPr>
              <w:t>12 665</w:t>
            </w:r>
          </w:p>
        </w:tc>
        <w:tc>
          <w:tcPr>
            <w:tcW w:w="649" w:type="pct"/>
            <w:tcBorders>
              <w:top w:val="nil"/>
              <w:left w:val="nil"/>
              <w:bottom w:val="single" w:sz="4" w:space="0" w:color="auto"/>
              <w:right w:val="single" w:sz="4" w:space="0" w:color="auto"/>
            </w:tcBorders>
            <w:shd w:val="clear" w:color="auto" w:fill="auto"/>
            <w:noWrap/>
            <w:vAlign w:val="center"/>
            <w:hideMark/>
          </w:tcPr>
          <w:p w14:paraId="30B94BFB" w14:textId="77777777" w:rsidR="00FE123E" w:rsidRPr="00FE123E" w:rsidRDefault="00FE123E" w:rsidP="00FE123E">
            <w:pPr>
              <w:jc w:val="right"/>
              <w:rPr>
                <w:rFonts w:ascii="Arial Narrow" w:hAnsi="Arial Narrow" w:cs="Arial"/>
                <w:sz w:val="20"/>
                <w:szCs w:val="20"/>
              </w:rPr>
            </w:pPr>
            <w:r w:rsidRPr="00FE123E">
              <w:rPr>
                <w:rFonts w:ascii="Arial Narrow" w:hAnsi="Arial Narrow" w:cs="Arial"/>
                <w:sz w:val="20"/>
                <w:szCs w:val="20"/>
              </w:rPr>
              <w:t>31,7%</w:t>
            </w:r>
          </w:p>
        </w:tc>
      </w:tr>
      <w:tr w:rsidR="00FE123E" w:rsidRPr="00FE123E" w14:paraId="5E23792A" w14:textId="77777777" w:rsidTr="00AF67ED">
        <w:trPr>
          <w:trHeight w:val="360"/>
        </w:trPr>
        <w:tc>
          <w:tcPr>
            <w:tcW w:w="1843" w:type="pct"/>
            <w:tcBorders>
              <w:top w:val="nil"/>
              <w:left w:val="single" w:sz="4" w:space="0" w:color="auto"/>
              <w:bottom w:val="single" w:sz="4" w:space="0" w:color="auto"/>
              <w:right w:val="single" w:sz="4" w:space="0" w:color="auto"/>
            </w:tcBorders>
            <w:shd w:val="clear" w:color="auto" w:fill="auto"/>
            <w:noWrap/>
            <w:vAlign w:val="center"/>
            <w:hideMark/>
          </w:tcPr>
          <w:p w14:paraId="7C7A9AC3" w14:textId="77777777" w:rsidR="00FE123E" w:rsidRPr="00FE123E" w:rsidRDefault="00FE123E" w:rsidP="00FE123E">
            <w:pPr>
              <w:ind w:firstLineChars="100" w:firstLine="200"/>
              <w:rPr>
                <w:rFonts w:ascii="Arial Narrow" w:hAnsi="Arial Narrow" w:cs="Arial"/>
                <w:sz w:val="20"/>
                <w:szCs w:val="20"/>
              </w:rPr>
            </w:pPr>
            <w:r w:rsidRPr="00FE123E">
              <w:rPr>
                <w:rFonts w:ascii="Arial Narrow" w:hAnsi="Arial Narrow" w:cs="Arial"/>
                <w:sz w:val="20"/>
                <w:szCs w:val="20"/>
              </w:rPr>
              <w:t>Гърция</w:t>
            </w:r>
          </w:p>
        </w:tc>
        <w:tc>
          <w:tcPr>
            <w:tcW w:w="820" w:type="pct"/>
            <w:tcBorders>
              <w:top w:val="nil"/>
              <w:left w:val="nil"/>
              <w:bottom w:val="single" w:sz="4" w:space="0" w:color="auto"/>
              <w:right w:val="single" w:sz="4" w:space="0" w:color="auto"/>
            </w:tcBorders>
            <w:shd w:val="clear" w:color="auto" w:fill="auto"/>
            <w:noWrap/>
            <w:vAlign w:val="center"/>
            <w:hideMark/>
          </w:tcPr>
          <w:p w14:paraId="06902DBE" w14:textId="77777777" w:rsidR="00FE123E" w:rsidRPr="00FE123E" w:rsidRDefault="00FE123E" w:rsidP="00FE123E">
            <w:pPr>
              <w:jc w:val="right"/>
              <w:rPr>
                <w:rFonts w:ascii="Arial Narrow" w:hAnsi="Arial Narrow" w:cs="Arial"/>
                <w:sz w:val="20"/>
                <w:szCs w:val="20"/>
              </w:rPr>
            </w:pPr>
            <w:r w:rsidRPr="00FE123E">
              <w:rPr>
                <w:rFonts w:ascii="Arial Narrow" w:hAnsi="Arial Narrow" w:cs="Arial"/>
                <w:sz w:val="20"/>
                <w:szCs w:val="20"/>
              </w:rPr>
              <w:t>76 803</w:t>
            </w:r>
          </w:p>
        </w:tc>
        <w:tc>
          <w:tcPr>
            <w:tcW w:w="820" w:type="pct"/>
            <w:tcBorders>
              <w:top w:val="nil"/>
              <w:left w:val="nil"/>
              <w:bottom w:val="single" w:sz="4" w:space="0" w:color="auto"/>
              <w:right w:val="single" w:sz="4" w:space="0" w:color="auto"/>
            </w:tcBorders>
            <w:shd w:val="clear" w:color="auto" w:fill="auto"/>
            <w:noWrap/>
            <w:vAlign w:val="center"/>
            <w:hideMark/>
          </w:tcPr>
          <w:p w14:paraId="64379216" w14:textId="77777777" w:rsidR="00FE123E" w:rsidRPr="00FE123E" w:rsidRDefault="00FE123E" w:rsidP="00FE123E">
            <w:pPr>
              <w:jc w:val="right"/>
              <w:rPr>
                <w:rFonts w:ascii="Arial Narrow" w:hAnsi="Arial Narrow" w:cs="Arial"/>
                <w:sz w:val="20"/>
                <w:szCs w:val="20"/>
              </w:rPr>
            </w:pPr>
            <w:r w:rsidRPr="00FE123E">
              <w:rPr>
                <w:rFonts w:ascii="Arial Narrow" w:hAnsi="Arial Narrow" w:cs="Arial"/>
                <w:sz w:val="20"/>
                <w:szCs w:val="20"/>
              </w:rPr>
              <w:t>50 807</w:t>
            </w:r>
          </w:p>
        </w:tc>
        <w:tc>
          <w:tcPr>
            <w:tcW w:w="867" w:type="pct"/>
            <w:tcBorders>
              <w:top w:val="nil"/>
              <w:left w:val="nil"/>
              <w:bottom w:val="single" w:sz="4" w:space="0" w:color="auto"/>
              <w:right w:val="single" w:sz="4" w:space="0" w:color="auto"/>
            </w:tcBorders>
            <w:shd w:val="clear" w:color="auto" w:fill="auto"/>
            <w:noWrap/>
            <w:vAlign w:val="center"/>
            <w:hideMark/>
          </w:tcPr>
          <w:p w14:paraId="42EC3B72" w14:textId="77777777" w:rsidR="00FE123E" w:rsidRPr="00FE123E" w:rsidRDefault="00FE123E" w:rsidP="00FE123E">
            <w:pPr>
              <w:jc w:val="right"/>
              <w:rPr>
                <w:rFonts w:ascii="Arial Narrow" w:hAnsi="Arial Narrow" w:cs="Arial"/>
                <w:sz w:val="20"/>
                <w:szCs w:val="20"/>
              </w:rPr>
            </w:pPr>
            <w:r w:rsidRPr="00FE123E">
              <w:rPr>
                <w:rFonts w:ascii="Arial Narrow" w:hAnsi="Arial Narrow" w:cs="Arial"/>
                <w:sz w:val="20"/>
                <w:szCs w:val="20"/>
              </w:rPr>
              <w:t>-25 996</w:t>
            </w:r>
          </w:p>
        </w:tc>
        <w:tc>
          <w:tcPr>
            <w:tcW w:w="649" w:type="pct"/>
            <w:tcBorders>
              <w:top w:val="nil"/>
              <w:left w:val="nil"/>
              <w:bottom w:val="single" w:sz="4" w:space="0" w:color="auto"/>
              <w:right w:val="single" w:sz="4" w:space="0" w:color="auto"/>
            </w:tcBorders>
            <w:shd w:val="clear" w:color="auto" w:fill="auto"/>
            <w:noWrap/>
            <w:vAlign w:val="center"/>
            <w:hideMark/>
          </w:tcPr>
          <w:p w14:paraId="7BB15C00" w14:textId="77777777" w:rsidR="00FE123E" w:rsidRPr="00FE123E" w:rsidRDefault="00FE123E" w:rsidP="00FE123E">
            <w:pPr>
              <w:jc w:val="right"/>
              <w:rPr>
                <w:rFonts w:ascii="Arial Narrow" w:hAnsi="Arial Narrow" w:cs="Arial"/>
                <w:sz w:val="20"/>
                <w:szCs w:val="20"/>
              </w:rPr>
            </w:pPr>
            <w:r w:rsidRPr="00FE123E">
              <w:rPr>
                <w:rFonts w:ascii="Arial Narrow" w:hAnsi="Arial Narrow" w:cs="Arial"/>
                <w:sz w:val="20"/>
                <w:szCs w:val="20"/>
              </w:rPr>
              <w:t>-33,8%</w:t>
            </w:r>
          </w:p>
        </w:tc>
      </w:tr>
      <w:tr w:rsidR="00FE123E" w:rsidRPr="00FE123E" w14:paraId="793CB40B" w14:textId="77777777" w:rsidTr="00AF67ED">
        <w:trPr>
          <w:trHeight w:val="360"/>
        </w:trPr>
        <w:tc>
          <w:tcPr>
            <w:tcW w:w="1843" w:type="pct"/>
            <w:tcBorders>
              <w:top w:val="nil"/>
              <w:left w:val="single" w:sz="4" w:space="0" w:color="auto"/>
              <w:bottom w:val="single" w:sz="4" w:space="0" w:color="auto"/>
              <w:right w:val="single" w:sz="4" w:space="0" w:color="auto"/>
            </w:tcBorders>
            <w:shd w:val="clear" w:color="auto" w:fill="auto"/>
            <w:noWrap/>
            <w:vAlign w:val="center"/>
            <w:hideMark/>
          </w:tcPr>
          <w:p w14:paraId="11EC2231" w14:textId="77777777" w:rsidR="00FE123E" w:rsidRPr="00FE123E" w:rsidRDefault="00FE123E" w:rsidP="00FE123E">
            <w:pPr>
              <w:ind w:firstLineChars="100" w:firstLine="200"/>
              <w:rPr>
                <w:rFonts w:ascii="Arial Narrow" w:hAnsi="Arial Narrow" w:cs="Arial"/>
                <w:sz w:val="20"/>
                <w:szCs w:val="20"/>
              </w:rPr>
            </w:pPr>
            <w:r w:rsidRPr="00FE123E">
              <w:rPr>
                <w:rFonts w:ascii="Arial Narrow" w:hAnsi="Arial Narrow" w:cs="Arial"/>
                <w:sz w:val="20"/>
                <w:szCs w:val="20"/>
              </w:rPr>
              <w:t>Полша</w:t>
            </w:r>
          </w:p>
        </w:tc>
        <w:tc>
          <w:tcPr>
            <w:tcW w:w="820" w:type="pct"/>
            <w:tcBorders>
              <w:top w:val="nil"/>
              <w:left w:val="nil"/>
              <w:bottom w:val="single" w:sz="4" w:space="0" w:color="auto"/>
              <w:right w:val="single" w:sz="4" w:space="0" w:color="auto"/>
            </w:tcBorders>
            <w:shd w:val="clear" w:color="auto" w:fill="auto"/>
            <w:noWrap/>
            <w:vAlign w:val="center"/>
            <w:hideMark/>
          </w:tcPr>
          <w:p w14:paraId="2AE874CA" w14:textId="77777777" w:rsidR="00FE123E" w:rsidRPr="00FE123E" w:rsidRDefault="00FE123E" w:rsidP="00FE123E">
            <w:pPr>
              <w:jc w:val="right"/>
              <w:rPr>
                <w:rFonts w:ascii="Arial Narrow" w:hAnsi="Arial Narrow" w:cs="Arial"/>
                <w:sz w:val="20"/>
                <w:szCs w:val="20"/>
              </w:rPr>
            </w:pPr>
            <w:r w:rsidRPr="00FE123E">
              <w:rPr>
                <w:rFonts w:ascii="Arial Narrow" w:hAnsi="Arial Narrow" w:cs="Arial"/>
                <w:sz w:val="20"/>
                <w:szCs w:val="20"/>
              </w:rPr>
              <w:t>0</w:t>
            </w:r>
          </w:p>
        </w:tc>
        <w:tc>
          <w:tcPr>
            <w:tcW w:w="820" w:type="pct"/>
            <w:tcBorders>
              <w:top w:val="nil"/>
              <w:left w:val="nil"/>
              <w:bottom w:val="single" w:sz="4" w:space="0" w:color="auto"/>
              <w:right w:val="single" w:sz="4" w:space="0" w:color="auto"/>
            </w:tcBorders>
            <w:shd w:val="clear" w:color="auto" w:fill="auto"/>
            <w:noWrap/>
            <w:vAlign w:val="center"/>
            <w:hideMark/>
          </w:tcPr>
          <w:p w14:paraId="32D52BB2" w14:textId="77777777" w:rsidR="00FE123E" w:rsidRPr="00FE123E" w:rsidRDefault="00FE123E" w:rsidP="00FE123E">
            <w:pPr>
              <w:jc w:val="right"/>
              <w:rPr>
                <w:rFonts w:ascii="Arial Narrow" w:hAnsi="Arial Narrow" w:cs="Arial"/>
                <w:sz w:val="20"/>
                <w:szCs w:val="20"/>
              </w:rPr>
            </w:pPr>
            <w:r w:rsidRPr="00FE123E">
              <w:rPr>
                <w:rFonts w:ascii="Arial Narrow" w:hAnsi="Arial Narrow" w:cs="Arial"/>
                <w:sz w:val="20"/>
                <w:szCs w:val="20"/>
              </w:rPr>
              <w:t>12 768</w:t>
            </w:r>
          </w:p>
        </w:tc>
        <w:tc>
          <w:tcPr>
            <w:tcW w:w="867" w:type="pct"/>
            <w:tcBorders>
              <w:top w:val="nil"/>
              <w:left w:val="nil"/>
              <w:bottom w:val="single" w:sz="4" w:space="0" w:color="auto"/>
              <w:right w:val="single" w:sz="4" w:space="0" w:color="auto"/>
            </w:tcBorders>
            <w:shd w:val="clear" w:color="auto" w:fill="auto"/>
            <w:noWrap/>
            <w:vAlign w:val="center"/>
            <w:hideMark/>
          </w:tcPr>
          <w:p w14:paraId="36FA1BFD" w14:textId="77777777" w:rsidR="00FE123E" w:rsidRPr="00FE123E" w:rsidRDefault="00FE123E" w:rsidP="00FE123E">
            <w:pPr>
              <w:jc w:val="right"/>
              <w:rPr>
                <w:rFonts w:ascii="Arial Narrow" w:hAnsi="Arial Narrow" w:cs="Arial"/>
                <w:sz w:val="20"/>
                <w:szCs w:val="20"/>
              </w:rPr>
            </w:pPr>
            <w:r w:rsidRPr="00FE123E">
              <w:rPr>
                <w:rFonts w:ascii="Arial Narrow" w:hAnsi="Arial Narrow" w:cs="Arial"/>
                <w:sz w:val="20"/>
                <w:szCs w:val="20"/>
              </w:rPr>
              <w:t>12 768</w:t>
            </w:r>
          </w:p>
        </w:tc>
        <w:tc>
          <w:tcPr>
            <w:tcW w:w="649" w:type="pct"/>
            <w:tcBorders>
              <w:top w:val="nil"/>
              <w:left w:val="nil"/>
              <w:bottom w:val="single" w:sz="4" w:space="0" w:color="auto"/>
              <w:right w:val="single" w:sz="4" w:space="0" w:color="auto"/>
            </w:tcBorders>
            <w:shd w:val="clear" w:color="auto" w:fill="auto"/>
            <w:noWrap/>
            <w:vAlign w:val="center"/>
            <w:hideMark/>
          </w:tcPr>
          <w:p w14:paraId="341087F6" w14:textId="77777777" w:rsidR="00FE123E" w:rsidRPr="00FE123E" w:rsidRDefault="00FE123E" w:rsidP="00FE123E">
            <w:pPr>
              <w:jc w:val="right"/>
              <w:rPr>
                <w:rFonts w:ascii="Arial Narrow" w:hAnsi="Arial Narrow" w:cs="Arial"/>
                <w:sz w:val="20"/>
                <w:szCs w:val="20"/>
              </w:rPr>
            </w:pPr>
            <w:r w:rsidRPr="00FE123E">
              <w:rPr>
                <w:rFonts w:ascii="Arial Narrow" w:hAnsi="Arial Narrow" w:cs="Arial"/>
                <w:sz w:val="20"/>
                <w:szCs w:val="20"/>
              </w:rPr>
              <w:t>-</w:t>
            </w:r>
          </w:p>
        </w:tc>
      </w:tr>
      <w:tr w:rsidR="00FE123E" w:rsidRPr="00FE123E" w14:paraId="2A6509C0" w14:textId="77777777" w:rsidTr="00AF67ED">
        <w:trPr>
          <w:trHeight w:val="360"/>
        </w:trPr>
        <w:tc>
          <w:tcPr>
            <w:tcW w:w="1843" w:type="pct"/>
            <w:tcBorders>
              <w:top w:val="nil"/>
              <w:left w:val="single" w:sz="4" w:space="0" w:color="auto"/>
              <w:bottom w:val="single" w:sz="4" w:space="0" w:color="auto"/>
              <w:right w:val="single" w:sz="4" w:space="0" w:color="auto"/>
            </w:tcBorders>
            <w:shd w:val="clear" w:color="auto" w:fill="auto"/>
            <w:noWrap/>
            <w:vAlign w:val="center"/>
            <w:hideMark/>
          </w:tcPr>
          <w:p w14:paraId="28D3F55F" w14:textId="77777777" w:rsidR="00FE123E" w:rsidRPr="00FE123E" w:rsidRDefault="00FE123E" w:rsidP="00FE123E">
            <w:pPr>
              <w:ind w:firstLineChars="100" w:firstLine="200"/>
              <w:rPr>
                <w:rFonts w:ascii="Arial Narrow" w:hAnsi="Arial Narrow" w:cs="Arial"/>
                <w:sz w:val="20"/>
                <w:szCs w:val="20"/>
              </w:rPr>
            </w:pPr>
            <w:r w:rsidRPr="00FE123E">
              <w:rPr>
                <w:rFonts w:ascii="Arial Narrow" w:hAnsi="Arial Narrow" w:cs="Arial"/>
                <w:sz w:val="20"/>
                <w:szCs w:val="20"/>
              </w:rPr>
              <w:t>Белгия</w:t>
            </w:r>
          </w:p>
        </w:tc>
        <w:tc>
          <w:tcPr>
            <w:tcW w:w="820" w:type="pct"/>
            <w:tcBorders>
              <w:top w:val="nil"/>
              <w:left w:val="nil"/>
              <w:bottom w:val="single" w:sz="4" w:space="0" w:color="auto"/>
              <w:right w:val="single" w:sz="4" w:space="0" w:color="auto"/>
            </w:tcBorders>
            <w:shd w:val="clear" w:color="auto" w:fill="auto"/>
            <w:noWrap/>
            <w:vAlign w:val="center"/>
            <w:hideMark/>
          </w:tcPr>
          <w:p w14:paraId="6678FC3A" w14:textId="77777777" w:rsidR="00FE123E" w:rsidRPr="00FE123E" w:rsidRDefault="00FE123E" w:rsidP="00FE123E">
            <w:pPr>
              <w:jc w:val="right"/>
              <w:rPr>
                <w:rFonts w:ascii="Arial Narrow" w:hAnsi="Arial Narrow" w:cs="Arial"/>
                <w:sz w:val="20"/>
                <w:szCs w:val="20"/>
              </w:rPr>
            </w:pPr>
            <w:r w:rsidRPr="00FE123E">
              <w:rPr>
                <w:rFonts w:ascii="Arial Narrow" w:hAnsi="Arial Narrow" w:cs="Arial"/>
                <w:sz w:val="20"/>
                <w:szCs w:val="20"/>
              </w:rPr>
              <w:t>27 380</w:t>
            </w:r>
          </w:p>
        </w:tc>
        <w:tc>
          <w:tcPr>
            <w:tcW w:w="820" w:type="pct"/>
            <w:tcBorders>
              <w:top w:val="nil"/>
              <w:left w:val="nil"/>
              <w:bottom w:val="single" w:sz="4" w:space="0" w:color="auto"/>
              <w:right w:val="single" w:sz="4" w:space="0" w:color="auto"/>
            </w:tcBorders>
            <w:shd w:val="clear" w:color="auto" w:fill="auto"/>
            <w:noWrap/>
            <w:vAlign w:val="center"/>
            <w:hideMark/>
          </w:tcPr>
          <w:p w14:paraId="4A71182F" w14:textId="77777777" w:rsidR="00FE123E" w:rsidRPr="00FE123E" w:rsidRDefault="00FE123E" w:rsidP="00FE123E">
            <w:pPr>
              <w:jc w:val="right"/>
              <w:rPr>
                <w:rFonts w:ascii="Arial Narrow" w:hAnsi="Arial Narrow" w:cs="Arial"/>
                <w:sz w:val="20"/>
                <w:szCs w:val="20"/>
              </w:rPr>
            </w:pPr>
            <w:r w:rsidRPr="00FE123E">
              <w:rPr>
                <w:rFonts w:ascii="Arial Narrow" w:hAnsi="Arial Narrow" w:cs="Arial"/>
                <w:sz w:val="20"/>
                <w:szCs w:val="20"/>
              </w:rPr>
              <w:t>4 952</w:t>
            </w:r>
          </w:p>
        </w:tc>
        <w:tc>
          <w:tcPr>
            <w:tcW w:w="867" w:type="pct"/>
            <w:tcBorders>
              <w:top w:val="nil"/>
              <w:left w:val="nil"/>
              <w:bottom w:val="single" w:sz="4" w:space="0" w:color="auto"/>
              <w:right w:val="single" w:sz="4" w:space="0" w:color="auto"/>
            </w:tcBorders>
            <w:shd w:val="clear" w:color="auto" w:fill="auto"/>
            <w:noWrap/>
            <w:vAlign w:val="center"/>
            <w:hideMark/>
          </w:tcPr>
          <w:p w14:paraId="6FB9981E" w14:textId="77777777" w:rsidR="00FE123E" w:rsidRPr="00FE123E" w:rsidRDefault="00FE123E" w:rsidP="00FE123E">
            <w:pPr>
              <w:jc w:val="right"/>
              <w:rPr>
                <w:rFonts w:ascii="Arial Narrow" w:hAnsi="Arial Narrow" w:cs="Arial"/>
                <w:sz w:val="20"/>
                <w:szCs w:val="20"/>
              </w:rPr>
            </w:pPr>
            <w:r w:rsidRPr="00FE123E">
              <w:rPr>
                <w:rFonts w:ascii="Arial Narrow" w:hAnsi="Arial Narrow" w:cs="Arial"/>
                <w:sz w:val="20"/>
                <w:szCs w:val="20"/>
              </w:rPr>
              <w:t>-22 428</w:t>
            </w:r>
          </w:p>
        </w:tc>
        <w:tc>
          <w:tcPr>
            <w:tcW w:w="649" w:type="pct"/>
            <w:tcBorders>
              <w:top w:val="nil"/>
              <w:left w:val="nil"/>
              <w:bottom w:val="single" w:sz="4" w:space="0" w:color="auto"/>
              <w:right w:val="single" w:sz="4" w:space="0" w:color="auto"/>
            </w:tcBorders>
            <w:shd w:val="clear" w:color="auto" w:fill="auto"/>
            <w:noWrap/>
            <w:vAlign w:val="center"/>
            <w:hideMark/>
          </w:tcPr>
          <w:p w14:paraId="3E0D96F5" w14:textId="77777777" w:rsidR="00FE123E" w:rsidRPr="00FE123E" w:rsidRDefault="00FE123E" w:rsidP="00FE123E">
            <w:pPr>
              <w:jc w:val="right"/>
              <w:rPr>
                <w:rFonts w:ascii="Arial Narrow" w:hAnsi="Arial Narrow" w:cs="Arial"/>
                <w:sz w:val="20"/>
                <w:szCs w:val="20"/>
              </w:rPr>
            </w:pPr>
            <w:r w:rsidRPr="00FE123E">
              <w:rPr>
                <w:rFonts w:ascii="Arial Narrow" w:hAnsi="Arial Narrow" w:cs="Arial"/>
                <w:sz w:val="20"/>
                <w:szCs w:val="20"/>
              </w:rPr>
              <w:t>-81,9%</w:t>
            </w:r>
          </w:p>
        </w:tc>
      </w:tr>
      <w:tr w:rsidR="00FE123E" w:rsidRPr="00FE123E" w14:paraId="788B3A1B" w14:textId="77777777" w:rsidTr="00AF67ED">
        <w:trPr>
          <w:trHeight w:val="360"/>
        </w:trPr>
        <w:tc>
          <w:tcPr>
            <w:tcW w:w="1843" w:type="pct"/>
            <w:tcBorders>
              <w:top w:val="nil"/>
              <w:left w:val="single" w:sz="4" w:space="0" w:color="auto"/>
              <w:bottom w:val="single" w:sz="4" w:space="0" w:color="auto"/>
              <w:right w:val="single" w:sz="4" w:space="0" w:color="auto"/>
            </w:tcBorders>
            <w:shd w:val="clear" w:color="auto" w:fill="auto"/>
            <w:noWrap/>
            <w:vAlign w:val="center"/>
            <w:hideMark/>
          </w:tcPr>
          <w:p w14:paraId="0133CEF0" w14:textId="77777777" w:rsidR="00FE123E" w:rsidRPr="00FE123E" w:rsidRDefault="00FE123E" w:rsidP="00FE123E">
            <w:pPr>
              <w:ind w:firstLineChars="100" w:firstLine="200"/>
              <w:rPr>
                <w:rFonts w:ascii="Arial Narrow" w:hAnsi="Arial Narrow" w:cs="Arial"/>
                <w:sz w:val="20"/>
                <w:szCs w:val="20"/>
              </w:rPr>
            </w:pPr>
            <w:r w:rsidRPr="00FE123E">
              <w:rPr>
                <w:rFonts w:ascii="Arial Narrow" w:hAnsi="Arial Narrow" w:cs="Arial"/>
                <w:sz w:val="20"/>
                <w:szCs w:val="20"/>
              </w:rPr>
              <w:t>Швеция</w:t>
            </w:r>
          </w:p>
        </w:tc>
        <w:tc>
          <w:tcPr>
            <w:tcW w:w="820" w:type="pct"/>
            <w:tcBorders>
              <w:top w:val="nil"/>
              <w:left w:val="nil"/>
              <w:bottom w:val="single" w:sz="4" w:space="0" w:color="auto"/>
              <w:right w:val="single" w:sz="4" w:space="0" w:color="auto"/>
            </w:tcBorders>
            <w:shd w:val="clear" w:color="auto" w:fill="auto"/>
            <w:noWrap/>
            <w:vAlign w:val="center"/>
            <w:hideMark/>
          </w:tcPr>
          <w:p w14:paraId="3B968BE7" w14:textId="77777777" w:rsidR="00FE123E" w:rsidRPr="00FE123E" w:rsidRDefault="00FE123E" w:rsidP="00FE123E">
            <w:pPr>
              <w:jc w:val="right"/>
              <w:rPr>
                <w:rFonts w:ascii="Arial Narrow" w:hAnsi="Arial Narrow" w:cs="Arial"/>
                <w:sz w:val="20"/>
                <w:szCs w:val="20"/>
              </w:rPr>
            </w:pPr>
            <w:r w:rsidRPr="00FE123E">
              <w:rPr>
                <w:rFonts w:ascii="Arial Narrow" w:hAnsi="Arial Narrow" w:cs="Arial"/>
                <w:sz w:val="20"/>
                <w:szCs w:val="20"/>
              </w:rPr>
              <w:t>154 749</w:t>
            </w:r>
          </w:p>
        </w:tc>
        <w:tc>
          <w:tcPr>
            <w:tcW w:w="820" w:type="pct"/>
            <w:tcBorders>
              <w:top w:val="nil"/>
              <w:left w:val="nil"/>
              <w:bottom w:val="single" w:sz="4" w:space="0" w:color="auto"/>
              <w:right w:val="single" w:sz="4" w:space="0" w:color="auto"/>
            </w:tcBorders>
            <w:shd w:val="clear" w:color="auto" w:fill="auto"/>
            <w:noWrap/>
            <w:vAlign w:val="center"/>
            <w:hideMark/>
          </w:tcPr>
          <w:p w14:paraId="1981F809" w14:textId="77777777" w:rsidR="00FE123E" w:rsidRPr="00FE123E" w:rsidRDefault="00FE123E" w:rsidP="00FE123E">
            <w:pPr>
              <w:jc w:val="right"/>
              <w:rPr>
                <w:rFonts w:ascii="Arial Narrow" w:hAnsi="Arial Narrow" w:cs="Arial"/>
                <w:sz w:val="20"/>
                <w:szCs w:val="20"/>
              </w:rPr>
            </w:pPr>
            <w:r w:rsidRPr="00FE123E">
              <w:rPr>
                <w:rFonts w:ascii="Arial Narrow" w:hAnsi="Arial Narrow" w:cs="Arial"/>
                <w:sz w:val="20"/>
                <w:szCs w:val="20"/>
              </w:rPr>
              <w:t>0</w:t>
            </w:r>
          </w:p>
        </w:tc>
        <w:tc>
          <w:tcPr>
            <w:tcW w:w="867" w:type="pct"/>
            <w:tcBorders>
              <w:top w:val="nil"/>
              <w:left w:val="nil"/>
              <w:bottom w:val="single" w:sz="4" w:space="0" w:color="auto"/>
              <w:right w:val="single" w:sz="4" w:space="0" w:color="auto"/>
            </w:tcBorders>
            <w:shd w:val="clear" w:color="auto" w:fill="auto"/>
            <w:noWrap/>
            <w:vAlign w:val="center"/>
            <w:hideMark/>
          </w:tcPr>
          <w:p w14:paraId="2A152B6A" w14:textId="77777777" w:rsidR="00FE123E" w:rsidRPr="00FE123E" w:rsidRDefault="00FE123E" w:rsidP="00FE123E">
            <w:pPr>
              <w:jc w:val="right"/>
              <w:rPr>
                <w:rFonts w:ascii="Arial Narrow" w:hAnsi="Arial Narrow" w:cs="Arial"/>
                <w:sz w:val="20"/>
                <w:szCs w:val="20"/>
              </w:rPr>
            </w:pPr>
            <w:r w:rsidRPr="00FE123E">
              <w:rPr>
                <w:rFonts w:ascii="Arial Narrow" w:hAnsi="Arial Narrow" w:cs="Arial"/>
                <w:sz w:val="20"/>
                <w:szCs w:val="20"/>
              </w:rPr>
              <w:t>-154 749</w:t>
            </w:r>
          </w:p>
        </w:tc>
        <w:tc>
          <w:tcPr>
            <w:tcW w:w="649" w:type="pct"/>
            <w:tcBorders>
              <w:top w:val="nil"/>
              <w:left w:val="nil"/>
              <w:bottom w:val="single" w:sz="4" w:space="0" w:color="auto"/>
              <w:right w:val="single" w:sz="4" w:space="0" w:color="auto"/>
            </w:tcBorders>
            <w:shd w:val="clear" w:color="auto" w:fill="auto"/>
            <w:noWrap/>
            <w:vAlign w:val="center"/>
            <w:hideMark/>
          </w:tcPr>
          <w:p w14:paraId="092F598D" w14:textId="77777777" w:rsidR="00FE123E" w:rsidRPr="00FE123E" w:rsidRDefault="00FE123E" w:rsidP="00FE123E">
            <w:pPr>
              <w:jc w:val="right"/>
              <w:rPr>
                <w:rFonts w:ascii="Arial Narrow" w:hAnsi="Arial Narrow" w:cs="Arial"/>
                <w:sz w:val="20"/>
                <w:szCs w:val="20"/>
              </w:rPr>
            </w:pPr>
            <w:r w:rsidRPr="00FE123E">
              <w:rPr>
                <w:rFonts w:ascii="Arial Narrow" w:hAnsi="Arial Narrow" w:cs="Arial"/>
                <w:sz w:val="20"/>
                <w:szCs w:val="20"/>
              </w:rPr>
              <w:t>-100,0%</w:t>
            </w:r>
          </w:p>
        </w:tc>
      </w:tr>
      <w:tr w:rsidR="00FE123E" w:rsidRPr="00FE123E" w14:paraId="22AEA3DE" w14:textId="77777777" w:rsidTr="00AF67ED">
        <w:trPr>
          <w:trHeight w:val="360"/>
        </w:trPr>
        <w:tc>
          <w:tcPr>
            <w:tcW w:w="1843" w:type="pct"/>
            <w:tcBorders>
              <w:top w:val="nil"/>
              <w:left w:val="single" w:sz="4" w:space="0" w:color="auto"/>
              <w:bottom w:val="single" w:sz="4" w:space="0" w:color="auto"/>
              <w:right w:val="single" w:sz="4" w:space="0" w:color="auto"/>
            </w:tcBorders>
            <w:shd w:val="clear" w:color="auto" w:fill="auto"/>
            <w:noWrap/>
            <w:vAlign w:val="center"/>
            <w:hideMark/>
          </w:tcPr>
          <w:p w14:paraId="10410D61" w14:textId="77777777" w:rsidR="00FE123E" w:rsidRPr="00FE123E" w:rsidRDefault="00FE123E" w:rsidP="00FE123E">
            <w:pPr>
              <w:ind w:firstLineChars="100" w:firstLine="200"/>
              <w:rPr>
                <w:rFonts w:ascii="Arial Narrow" w:hAnsi="Arial Narrow" w:cs="Arial"/>
                <w:sz w:val="20"/>
                <w:szCs w:val="20"/>
              </w:rPr>
            </w:pPr>
            <w:r w:rsidRPr="00FE123E">
              <w:rPr>
                <w:rFonts w:ascii="Arial Narrow" w:hAnsi="Arial Narrow" w:cs="Arial"/>
                <w:sz w:val="20"/>
                <w:szCs w:val="20"/>
              </w:rPr>
              <w:t>Други</w:t>
            </w:r>
          </w:p>
        </w:tc>
        <w:tc>
          <w:tcPr>
            <w:tcW w:w="820" w:type="pct"/>
            <w:tcBorders>
              <w:top w:val="nil"/>
              <w:left w:val="nil"/>
              <w:bottom w:val="single" w:sz="4" w:space="0" w:color="auto"/>
              <w:right w:val="single" w:sz="4" w:space="0" w:color="auto"/>
            </w:tcBorders>
            <w:shd w:val="clear" w:color="auto" w:fill="auto"/>
            <w:noWrap/>
            <w:vAlign w:val="center"/>
            <w:hideMark/>
          </w:tcPr>
          <w:p w14:paraId="2AAB078C" w14:textId="77777777" w:rsidR="00FE123E" w:rsidRPr="00FE123E" w:rsidRDefault="00FE123E" w:rsidP="00FE123E">
            <w:pPr>
              <w:jc w:val="right"/>
              <w:rPr>
                <w:rFonts w:ascii="Arial Narrow" w:hAnsi="Arial Narrow" w:cs="Arial"/>
                <w:sz w:val="20"/>
                <w:szCs w:val="20"/>
              </w:rPr>
            </w:pPr>
            <w:r w:rsidRPr="00FE123E">
              <w:rPr>
                <w:rFonts w:ascii="Arial Narrow" w:hAnsi="Arial Narrow" w:cs="Arial"/>
                <w:sz w:val="20"/>
                <w:szCs w:val="20"/>
              </w:rPr>
              <w:t>11 383</w:t>
            </w:r>
          </w:p>
        </w:tc>
        <w:tc>
          <w:tcPr>
            <w:tcW w:w="820" w:type="pct"/>
            <w:tcBorders>
              <w:top w:val="nil"/>
              <w:left w:val="nil"/>
              <w:bottom w:val="single" w:sz="4" w:space="0" w:color="auto"/>
              <w:right w:val="single" w:sz="4" w:space="0" w:color="auto"/>
            </w:tcBorders>
            <w:shd w:val="clear" w:color="auto" w:fill="auto"/>
            <w:noWrap/>
            <w:vAlign w:val="center"/>
            <w:hideMark/>
          </w:tcPr>
          <w:p w14:paraId="7E4D605F" w14:textId="77777777" w:rsidR="00FE123E" w:rsidRPr="00FE123E" w:rsidRDefault="00FE123E" w:rsidP="00FE123E">
            <w:pPr>
              <w:jc w:val="right"/>
              <w:rPr>
                <w:rFonts w:ascii="Arial Narrow" w:hAnsi="Arial Narrow" w:cs="Arial"/>
                <w:sz w:val="20"/>
                <w:szCs w:val="20"/>
              </w:rPr>
            </w:pPr>
            <w:r w:rsidRPr="00FE123E">
              <w:rPr>
                <w:rFonts w:ascii="Arial Narrow" w:hAnsi="Arial Narrow" w:cs="Arial"/>
                <w:sz w:val="20"/>
                <w:szCs w:val="20"/>
              </w:rPr>
              <w:t>4 383</w:t>
            </w:r>
          </w:p>
        </w:tc>
        <w:tc>
          <w:tcPr>
            <w:tcW w:w="867" w:type="pct"/>
            <w:tcBorders>
              <w:top w:val="nil"/>
              <w:left w:val="nil"/>
              <w:bottom w:val="single" w:sz="4" w:space="0" w:color="auto"/>
              <w:right w:val="single" w:sz="4" w:space="0" w:color="auto"/>
            </w:tcBorders>
            <w:shd w:val="clear" w:color="auto" w:fill="auto"/>
            <w:noWrap/>
            <w:vAlign w:val="center"/>
            <w:hideMark/>
          </w:tcPr>
          <w:p w14:paraId="79770688" w14:textId="77777777" w:rsidR="00FE123E" w:rsidRPr="00FE123E" w:rsidRDefault="00FE123E" w:rsidP="00FE123E">
            <w:pPr>
              <w:jc w:val="right"/>
              <w:rPr>
                <w:rFonts w:ascii="Arial Narrow" w:hAnsi="Arial Narrow" w:cs="Arial"/>
                <w:sz w:val="20"/>
                <w:szCs w:val="20"/>
              </w:rPr>
            </w:pPr>
            <w:r w:rsidRPr="00FE123E">
              <w:rPr>
                <w:rFonts w:ascii="Arial Narrow" w:hAnsi="Arial Narrow" w:cs="Arial"/>
                <w:sz w:val="20"/>
                <w:szCs w:val="20"/>
              </w:rPr>
              <w:t>-7 000</w:t>
            </w:r>
          </w:p>
        </w:tc>
        <w:tc>
          <w:tcPr>
            <w:tcW w:w="649" w:type="pct"/>
            <w:tcBorders>
              <w:top w:val="nil"/>
              <w:left w:val="nil"/>
              <w:bottom w:val="single" w:sz="4" w:space="0" w:color="auto"/>
              <w:right w:val="single" w:sz="4" w:space="0" w:color="auto"/>
            </w:tcBorders>
            <w:shd w:val="clear" w:color="auto" w:fill="auto"/>
            <w:noWrap/>
            <w:vAlign w:val="center"/>
            <w:hideMark/>
          </w:tcPr>
          <w:p w14:paraId="66429081" w14:textId="77777777" w:rsidR="00FE123E" w:rsidRPr="00FE123E" w:rsidRDefault="00FE123E" w:rsidP="00FE123E">
            <w:pPr>
              <w:jc w:val="right"/>
              <w:rPr>
                <w:rFonts w:ascii="Arial Narrow" w:hAnsi="Arial Narrow" w:cs="Arial"/>
                <w:sz w:val="20"/>
                <w:szCs w:val="20"/>
              </w:rPr>
            </w:pPr>
            <w:r w:rsidRPr="00FE123E">
              <w:rPr>
                <w:rFonts w:ascii="Arial Narrow" w:hAnsi="Arial Narrow" w:cs="Arial"/>
                <w:sz w:val="20"/>
                <w:szCs w:val="20"/>
              </w:rPr>
              <w:t>-61,5%</w:t>
            </w:r>
          </w:p>
        </w:tc>
      </w:tr>
      <w:tr w:rsidR="00FE123E" w:rsidRPr="00FE123E" w14:paraId="1187F470" w14:textId="77777777" w:rsidTr="00AF67ED">
        <w:trPr>
          <w:trHeight w:val="360"/>
        </w:trPr>
        <w:tc>
          <w:tcPr>
            <w:tcW w:w="1843" w:type="pct"/>
            <w:tcBorders>
              <w:top w:val="nil"/>
              <w:left w:val="single" w:sz="4" w:space="0" w:color="auto"/>
              <w:bottom w:val="single" w:sz="4" w:space="0" w:color="auto"/>
              <w:right w:val="single" w:sz="4" w:space="0" w:color="auto"/>
            </w:tcBorders>
            <w:shd w:val="clear" w:color="auto" w:fill="auto"/>
            <w:noWrap/>
            <w:vAlign w:val="center"/>
            <w:hideMark/>
          </w:tcPr>
          <w:p w14:paraId="20D150EB" w14:textId="77777777" w:rsidR="00FE123E" w:rsidRPr="00FE123E" w:rsidRDefault="00FE123E" w:rsidP="00FE123E">
            <w:pPr>
              <w:rPr>
                <w:rFonts w:ascii="Arial Narrow" w:hAnsi="Arial Narrow" w:cs="Arial"/>
                <w:b/>
                <w:bCs/>
                <w:sz w:val="20"/>
                <w:szCs w:val="20"/>
              </w:rPr>
            </w:pPr>
            <w:r w:rsidRPr="00FE123E">
              <w:rPr>
                <w:rFonts w:ascii="Arial Narrow" w:hAnsi="Arial Narrow" w:cs="Arial"/>
                <w:b/>
                <w:bCs/>
                <w:sz w:val="20"/>
                <w:szCs w:val="20"/>
              </w:rPr>
              <w:t>Трети страни - общо, в т. ч.:</w:t>
            </w:r>
          </w:p>
        </w:tc>
        <w:tc>
          <w:tcPr>
            <w:tcW w:w="820" w:type="pct"/>
            <w:tcBorders>
              <w:top w:val="nil"/>
              <w:left w:val="nil"/>
              <w:bottom w:val="single" w:sz="4" w:space="0" w:color="auto"/>
              <w:right w:val="single" w:sz="4" w:space="0" w:color="auto"/>
            </w:tcBorders>
            <w:shd w:val="clear" w:color="auto" w:fill="auto"/>
            <w:noWrap/>
            <w:vAlign w:val="center"/>
            <w:hideMark/>
          </w:tcPr>
          <w:p w14:paraId="191A15F9" w14:textId="77777777" w:rsidR="00FE123E" w:rsidRPr="00FE123E" w:rsidRDefault="00FE123E" w:rsidP="00FE123E">
            <w:pPr>
              <w:jc w:val="right"/>
              <w:rPr>
                <w:rFonts w:ascii="Arial Narrow" w:hAnsi="Arial Narrow" w:cs="Arial"/>
                <w:b/>
                <w:bCs/>
                <w:sz w:val="20"/>
                <w:szCs w:val="20"/>
              </w:rPr>
            </w:pPr>
            <w:r w:rsidRPr="00FE123E">
              <w:rPr>
                <w:rFonts w:ascii="Arial Narrow" w:hAnsi="Arial Narrow" w:cs="Arial"/>
                <w:b/>
                <w:bCs/>
                <w:sz w:val="20"/>
                <w:szCs w:val="20"/>
              </w:rPr>
              <w:t>2 947 819</w:t>
            </w:r>
          </w:p>
        </w:tc>
        <w:tc>
          <w:tcPr>
            <w:tcW w:w="820" w:type="pct"/>
            <w:tcBorders>
              <w:top w:val="nil"/>
              <w:left w:val="nil"/>
              <w:bottom w:val="single" w:sz="4" w:space="0" w:color="auto"/>
              <w:right w:val="single" w:sz="4" w:space="0" w:color="auto"/>
            </w:tcBorders>
            <w:shd w:val="clear" w:color="auto" w:fill="auto"/>
            <w:noWrap/>
            <w:vAlign w:val="center"/>
            <w:hideMark/>
          </w:tcPr>
          <w:p w14:paraId="18C9B9B1" w14:textId="77777777" w:rsidR="00FE123E" w:rsidRPr="00FE123E" w:rsidRDefault="00FE123E" w:rsidP="00FE123E">
            <w:pPr>
              <w:jc w:val="right"/>
              <w:rPr>
                <w:rFonts w:ascii="Arial Narrow" w:hAnsi="Arial Narrow" w:cs="Arial"/>
                <w:b/>
                <w:bCs/>
                <w:sz w:val="20"/>
                <w:szCs w:val="20"/>
              </w:rPr>
            </w:pPr>
            <w:r w:rsidRPr="00FE123E">
              <w:rPr>
                <w:rFonts w:ascii="Arial Narrow" w:hAnsi="Arial Narrow" w:cs="Arial"/>
                <w:b/>
                <w:bCs/>
                <w:sz w:val="20"/>
                <w:szCs w:val="20"/>
              </w:rPr>
              <w:t>2 319 510</w:t>
            </w:r>
          </w:p>
        </w:tc>
        <w:tc>
          <w:tcPr>
            <w:tcW w:w="867" w:type="pct"/>
            <w:tcBorders>
              <w:top w:val="nil"/>
              <w:left w:val="nil"/>
              <w:bottom w:val="single" w:sz="4" w:space="0" w:color="auto"/>
              <w:right w:val="single" w:sz="4" w:space="0" w:color="auto"/>
            </w:tcBorders>
            <w:shd w:val="clear" w:color="auto" w:fill="auto"/>
            <w:noWrap/>
            <w:vAlign w:val="center"/>
            <w:hideMark/>
          </w:tcPr>
          <w:p w14:paraId="0DE572AD" w14:textId="77777777" w:rsidR="00FE123E" w:rsidRPr="00FE123E" w:rsidRDefault="00FE123E" w:rsidP="00FE123E">
            <w:pPr>
              <w:jc w:val="right"/>
              <w:rPr>
                <w:rFonts w:ascii="Arial Narrow" w:hAnsi="Arial Narrow" w:cs="Arial"/>
                <w:b/>
                <w:bCs/>
                <w:sz w:val="20"/>
                <w:szCs w:val="20"/>
              </w:rPr>
            </w:pPr>
            <w:r w:rsidRPr="00FE123E">
              <w:rPr>
                <w:rFonts w:ascii="Arial Narrow" w:hAnsi="Arial Narrow" w:cs="Arial"/>
                <w:b/>
                <w:bCs/>
                <w:sz w:val="20"/>
                <w:szCs w:val="20"/>
              </w:rPr>
              <w:t>-628 309</w:t>
            </w:r>
          </w:p>
        </w:tc>
        <w:tc>
          <w:tcPr>
            <w:tcW w:w="649" w:type="pct"/>
            <w:tcBorders>
              <w:top w:val="nil"/>
              <w:left w:val="nil"/>
              <w:bottom w:val="single" w:sz="4" w:space="0" w:color="auto"/>
              <w:right w:val="single" w:sz="4" w:space="0" w:color="auto"/>
            </w:tcBorders>
            <w:shd w:val="clear" w:color="auto" w:fill="auto"/>
            <w:noWrap/>
            <w:vAlign w:val="center"/>
            <w:hideMark/>
          </w:tcPr>
          <w:p w14:paraId="366D133E" w14:textId="77777777" w:rsidR="00FE123E" w:rsidRPr="00FE123E" w:rsidRDefault="00FE123E" w:rsidP="00FE123E">
            <w:pPr>
              <w:jc w:val="right"/>
              <w:rPr>
                <w:rFonts w:ascii="Arial Narrow" w:hAnsi="Arial Narrow" w:cs="Arial"/>
                <w:b/>
                <w:bCs/>
                <w:sz w:val="20"/>
                <w:szCs w:val="20"/>
              </w:rPr>
            </w:pPr>
            <w:r w:rsidRPr="00FE123E">
              <w:rPr>
                <w:rFonts w:ascii="Arial Narrow" w:hAnsi="Arial Narrow" w:cs="Arial"/>
                <w:b/>
                <w:bCs/>
                <w:sz w:val="20"/>
                <w:szCs w:val="20"/>
              </w:rPr>
              <w:t>-21,3%</w:t>
            </w:r>
          </w:p>
        </w:tc>
      </w:tr>
      <w:tr w:rsidR="00FE123E" w:rsidRPr="00FE123E" w14:paraId="4FDB0510" w14:textId="77777777" w:rsidTr="00AF67ED">
        <w:trPr>
          <w:trHeight w:val="360"/>
        </w:trPr>
        <w:tc>
          <w:tcPr>
            <w:tcW w:w="1843" w:type="pct"/>
            <w:tcBorders>
              <w:top w:val="nil"/>
              <w:left w:val="single" w:sz="4" w:space="0" w:color="auto"/>
              <w:bottom w:val="single" w:sz="4" w:space="0" w:color="auto"/>
              <w:right w:val="single" w:sz="4" w:space="0" w:color="auto"/>
            </w:tcBorders>
            <w:shd w:val="clear" w:color="auto" w:fill="auto"/>
            <w:noWrap/>
            <w:vAlign w:val="center"/>
            <w:hideMark/>
          </w:tcPr>
          <w:p w14:paraId="27B92808" w14:textId="77777777" w:rsidR="00FE123E" w:rsidRPr="00FE123E" w:rsidRDefault="00FE123E" w:rsidP="00FE123E">
            <w:pPr>
              <w:ind w:firstLineChars="100" w:firstLine="200"/>
              <w:rPr>
                <w:rFonts w:ascii="Arial Narrow" w:hAnsi="Arial Narrow" w:cs="Arial"/>
                <w:sz w:val="20"/>
                <w:szCs w:val="20"/>
              </w:rPr>
            </w:pPr>
            <w:r w:rsidRPr="00FE123E">
              <w:rPr>
                <w:rFonts w:ascii="Arial Narrow" w:hAnsi="Arial Narrow" w:cs="Arial"/>
                <w:sz w:val="20"/>
                <w:szCs w:val="20"/>
              </w:rPr>
              <w:t>Нова Зеландия</w:t>
            </w:r>
          </w:p>
        </w:tc>
        <w:tc>
          <w:tcPr>
            <w:tcW w:w="820" w:type="pct"/>
            <w:tcBorders>
              <w:top w:val="nil"/>
              <w:left w:val="nil"/>
              <w:bottom w:val="single" w:sz="4" w:space="0" w:color="auto"/>
              <w:right w:val="single" w:sz="4" w:space="0" w:color="auto"/>
            </w:tcBorders>
            <w:shd w:val="clear" w:color="auto" w:fill="auto"/>
            <w:noWrap/>
            <w:vAlign w:val="center"/>
            <w:hideMark/>
          </w:tcPr>
          <w:p w14:paraId="05418F5B" w14:textId="77777777" w:rsidR="00FE123E" w:rsidRPr="00FE123E" w:rsidRDefault="00FE123E" w:rsidP="00FE123E">
            <w:pPr>
              <w:jc w:val="right"/>
              <w:rPr>
                <w:rFonts w:ascii="Arial Narrow" w:hAnsi="Arial Narrow" w:cs="Arial"/>
                <w:sz w:val="20"/>
                <w:szCs w:val="20"/>
              </w:rPr>
            </w:pPr>
            <w:r w:rsidRPr="00FE123E">
              <w:rPr>
                <w:rFonts w:ascii="Arial Narrow" w:hAnsi="Arial Narrow" w:cs="Arial"/>
                <w:sz w:val="20"/>
                <w:szCs w:val="20"/>
              </w:rPr>
              <w:t>877 928</w:t>
            </w:r>
          </w:p>
        </w:tc>
        <w:tc>
          <w:tcPr>
            <w:tcW w:w="820" w:type="pct"/>
            <w:tcBorders>
              <w:top w:val="nil"/>
              <w:left w:val="nil"/>
              <w:bottom w:val="single" w:sz="4" w:space="0" w:color="auto"/>
              <w:right w:val="single" w:sz="4" w:space="0" w:color="auto"/>
            </w:tcBorders>
            <w:shd w:val="clear" w:color="auto" w:fill="auto"/>
            <w:noWrap/>
            <w:vAlign w:val="center"/>
            <w:hideMark/>
          </w:tcPr>
          <w:p w14:paraId="3F253E5F" w14:textId="77777777" w:rsidR="00FE123E" w:rsidRPr="00FE123E" w:rsidRDefault="00FE123E" w:rsidP="00FE123E">
            <w:pPr>
              <w:jc w:val="right"/>
              <w:rPr>
                <w:rFonts w:ascii="Arial Narrow" w:hAnsi="Arial Narrow" w:cs="Arial"/>
                <w:sz w:val="20"/>
                <w:szCs w:val="20"/>
              </w:rPr>
            </w:pPr>
            <w:r w:rsidRPr="00FE123E">
              <w:rPr>
                <w:rFonts w:ascii="Arial Narrow" w:hAnsi="Arial Narrow" w:cs="Arial"/>
                <w:sz w:val="20"/>
                <w:szCs w:val="20"/>
              </w:rPr>
              <w:t>786 847</w:t>
            </w:r>
          </w:p>
        </w:tc>
        <w:tc>
          <w:tcPr>
            <w:tcW w:w="867" w:type="pct"/>
            <w:tcBorders>
              <w:top w:val="nil"/>
              <w:left w:val="nil"/>
              <w:bottom w:val="single" w:sz="4" w:space="0" w:color="auto"/>
              <w:right w:val="single" w:sz="4" w:space="0" w:color="auto"/>
            </w:tcBorders>
            <w:shd w:val="clear" w:color="auto" w:fill="auto"/>
            <w:noWrap/>
            <w:vAlign w:val="center"/>
            <w:hideMark/>
          </w:tcPr>
          <w:p w14:paraId="12D691B7" w14:textId="77777777" w:rsidR="00FE123E" w:rsidRPr="00FE123E" w:rsidRDefault="00FE123E" w:rsidP="00FE123E">
            <w:pPr>
              <w:jc w:val="right"/>
              <w:rPr>
                <w:rFonts w:ascii="Arial Narrow" w:hAnsi="Arial Narrow" w:cs="Arial"/>
                <w:sz w:val="20"/>
                <w:szCs w:val="20"/>
              </w:rPr>
            </w:pPr>
            <w:r w:rsidRPr="00FE123E">
              <w:rPr>
                <w:rFonts w:ascii="Arial Narrow" w:hAnsi="Arial Narrow" w:cs="Arial"/>
                <w:sz w:val="20"/>
                <w:szCs w:val="20"/>
              </w:rPr>
              <w:t>-91 081</w:t>
            </w:r>
          </w:p>
        </w:tc>
        <w:tc>
          <w:tcPr>
            <w:tcW w:w="649" w:type="pct"/>
            <w:tcBorders>
              <w:top w:val="nil"/>
              <w:left w:val="nil"/>
              <w:bottom w:val="single" w:sz="4" w:space="0" w:color="auto"/>
              <w:right w:val="single" w:sz="4" w:space="0" w:color="auto"/>
            </w:tcBorders>
            <w:shd w:val="clear" w:color="auto" w:fill="auto"/>
            <w:noWrap/>
            <w:vAlign w:val="center"/>
            <w:hideMark/>
          </w:tcPr>
          <w:p w14:paraId="4CA0CCBB" w14:textId="77777777" w:rsidR="00FE123E" w:rsidRPr="00FE123E" w:rsidRDefault="00FE123E" w:rsidP="00FE123E">
            <w:pPr>
              <w:jc w:val="right"/>
              <w:rPr>
                <w:rFonts w:ascii="Arial Narrow" w:hAnsi="Arial Narrow" w:cs="Arial"/>
                <w:sz w:val="20"/>
                <w:szCs w:val="20"/>
              </w:rPr>
            </w:pPr>
            <w:r w:rsidRPr="00FE123E">
              <w:rPr>
                <w:rFonts w:ascii="Arial Narrow" w:hAnsi="Arial Narrow" w:cs="Arial"/>
                <w:sz w:val="20"/>
                <w:szCs w:val="20"/>
              </w:rPr>
              <w:t>-10,4%</w:t>
            </w:r>
          </w:p>
        </w:tc>
      </w:tr>
      <w:tr w:rsidR="00FE123E" w:rsidRPr="00FE123E" w14:paraId="18B191BD" w14:textId="77777777" w:rsidTr="00AF67ED">
        <w:trPr>
          <w:trHeight w:val="360"/>
        </w:trPr>
        <w:tc>
          <w:tcPr>
            <w:tcW w:w="1843" w:type="pct"/>
            <w:tcBorders>
              <w:top w:val="nil"/>
              <w:left w:val="single" w:sz="4" w:space="0" w:color="auto"/>
              <w:bottom w:val="single" w:sz="4" w:space="0" w:color="auto"/>
              <w:right w:val="single" w:sz="4" w:space="0" w:color="auto"/>
            </w:tcBorders>
            <w:shd w:val="clear" w:color="auto" w:fill="auto"/>
            <w:noWrap/>
            <w:vAlign w:val="center"/>
            <w:hideMark/>
          </w:tcPr>
          <w:p w14:paraId="205E1C91" w14:textId="77777777" w:rsidR="00FE123E" w:rsidRPr="00FE123E" w:rsidRDefault="00FE123E" w:rsidP="00FE123E">
            <w:pPr>
              <w:ind w:firstLineChars="100" w:firstLine="200"/>
              <w:rPr>
                <w:rFonts w:ascii="Arial Narrow" w:hAnsi="Arial Narrow" w:cs="Arial"/>
                <w:sz w:val="20"/>
                <w:szCs w:val="20"/>
              </w:rPr>
            </w:pPr>
            <w:r w:rsidRPr="00FE123E">
              <w:rPr>
                <w:rFonts w:ascii="Arial Narrow" w:hAnsi="Arial Narrow" w:cs="Arial"/>
                <w:sz w:val="20"/>
                <w:szCs w:val="20"/>
              </w:rPr>
              <w:t>Северна Македония</w:t>
            </w:r>
          </w:p>
        </w:tc>
        <w:tc>
          <w:tcPr>
            <w:tcW w:w="820" w:type="pct"/>
            <w:tcBorders>
              <w:top w:val="nil"/>
              <w:left w:val="nil"/>
              <w:bottom w:val="single" w:sz="4" w:space="0" w:color="auto"/>
              <w:right w:val="single" w:sz="4" w:space="0" w:color="auto"/>
            </w:tcBorders>
            <w:shd w:val="clear" w:color="auto" w:fill="auto"/>
            <w:noWrap/>
            <w:vAlign w:val="center"/>
            <w:hideMark/>
          </w:tcPr>
          <w:p w14:paraId="557AB3C7" w14:textId="77777777" w:rsidR="00FE123E" w:rsidRPr="00FE123E" w:rsidRDefault="00FE123E" w:rsidP="00FE123E">
            <w:pPr>
              <w:jc w:val="right"/>
              <w:rPr>
                <w:rFonts w:ascii="Arial Narrow" w:hAnsi="Arial Narrow" w:cs="Arial"/>
                <w:sz w:val="20"/>
                <w:szCs w:val="20"/>
              </w:rPr>
            </w:pPr>
            <w:r w:rsidRPr="00FE123E">
              <w:rPr>
                <w:rFonts w:ascii="Arial Narrow" w:hAnsi="Arial Narrow" w:cs="Arial"/>
                <w:sz w:val="20"/>
                <w:szCs w:val="20"/>
              </w:rPr>
              <w:t>1 060 204</w:t>
            </w:r>
          </w:p>
        </w:tc>
        <w:tc>
          <w:tcPr>
            <w:tcW w:w="820" w:type="pct"/>
            <w:tcBorders>
              <w:top w:val="nil"/>
              <w:left w:val="nil"/>
              <w:bottom w:val="single" w:sz="4" w:space="0" w:color="auto"/>
              <w:right w:val="single" w:sz="4" w:space="0" w:color="auto"/>
            </w:tcBorders>
            <w:shd w:val="clear" w:color="auto" w:fill="auto"/>
            <w:noWrap/>
            <w:vAlign w:val="center"/>
            <w:hideMark/>
          </w:tcPr>
          <w:p w14:paraId="5F4FAF9C" w14:textId="77777777" w:rsidR="00FE123E" w:rsidRPr="00FE123E" w:rsidRDefault="00FE123E" w:rsidP="00FE123E">
            <w:pPr>
              <w:jc w:val="right"/>
              <w:rPr>
                <w:rFonts w:ascii="Arial Narrow" w:hAnsi="Arial Narrow" w:cs="Arial"/>
                <w:sz w:val="20"/>
                <w:szCs w:val="20"/>
              </w:rPr>
            </w:pPr>
            <w:r w:rsidRPr="00FE123E">
              <w:rPr>
                <w:rFonts w:ascii="Arial Narrow" w:hAnsi="Arial Narrow" w:cs="Arial"/>
                <w:sz w:val="20"/>
                <w:szCs w:val="20"/>
              </w:rPr>
              <w:t>654 058</w:t>
            </w:r>
          </w:p>
        </w:tc>
        <w:tc>
          <w:tcPr>
            <w:tcW w:w="867" w:type="pct"/>
            <w:tcBorders>
              <w:top w:val="nil"/>
              <w:left w:val="nil"/>
              <w:bottom w:val="single" w:sz="4" w:space="0" w:color="auto"/>
              <w:right w:val="single" w:sz="4" w:space="0" w:color="auto"/>
            </w:tcBorders>
            <w:shd w:val="clear" w:color="auto" w:fill="auto"/>
            <w:noWrap/>
            <w:vAlign w:val="center"/>
            <w:hideMark/>
          </w:tcPr>
          <w:p w14:paraId="0F10D71B" w14:textId="77777777" w:rsidR="00FE123E" w:rsidRPr="00FE123E" w:rsidRDefault="00FE123E" w:rsidP="00FE123E">
            <w:pPr>
              <w:jc w:val="right"/>
              <w:rPr>
                <w:rFonts w:ascii="Arial Narrow" w:hAnsi="Arial Narrow" w:cs="Arial"/>
                <w:sz w:val="20"/>
                <w:szCs w:val="20"/>
              </w:rPr>
            </w:pPr>
            <w:r w:rsidRPr="00FE123E">
              <w:rPr>
                <w:rFonts w:ascii="Arial Narrow" w:hAnsi="Arial Narrow" w:cs="Arial"/>
                <w:sz w:val="20"/>
                <w:szCs w:val="20"/>
              </w:rPr>
              <w:t>-406 146</w:t>
            </w:r>
          </w:p>
        </w:tc>
        <w:tc>
          <w:tcPr>
            <w:tcW w:w="649" w:type="pct"/>
            <w:tcBorders>
              <w:top w:val="nil"/>
              <w:left w:val="nil"/>
              <w:bottom w:val="single" w:sz="4" w:space="0" w:color="auto"/>
              <w:right w:val="single" w:sz="4" w:space="0" w:color="auto"/>
            </w:tcBorders>
            <w:shd w:val="clear" w:color="auto" w:fill="auto"/>
            <w:noWrap/>
            <w:vAlign w:val="center"/>
            <w:hideMark/>
          </w:tcPr>
          <w:p w14:paraId="1418DBB6" w14:textId="77777777" w:rsidR="00FE123E" w:rsidRPr="00FE123E" w:rsidRDefault="00FE123E" w:rsidP="00FE123E">
            <w:pPr>
              <w:jc w:val="right"/>
              <w:rPr>
                <w:rFonts w:ascii="Arial Narrow" w:hAnsi="Arial Narrow" w:cs="Arial"/>
                <w:sz w:val="20"/>
                <w:szCs w:val="20"/>
              </w:rPr>
            </w:pPr>
            <w:r w:rsidRPr="00FE123E">
              <w:rPr>
                <w:rFonts w:ascii="Arial Narrow" w:hAnsi="Arial Narrow" w:cs="Arial"/>
                <w:sz w:val="20"/>
                <w:szCs w:val="20"/>
              </w:rPr>
              <w:t>-38,3%</w:t>
            </w:r>
          </w:p>
        </w:tc>
      </w:tr>
      <w:tr w:rsidR="00FE123E" w:rsidRPr="00FE123E" w14:paraId="164CC237" w14:textId="77777777" w:rsidTr="00AF67ED">
        <w:trPr>
          <w:trHeight w:val="360"/>
        </w:trPr>
        <w:tc>
          <w:tcPr>
            <w:tcW w:w="1843" w:type="pct"/>
            <w:tcBorders>
              <w:top w:val="nil"/>
              <w:left w:val="single" w:sz="4" w:space="0" w:color="auto"/>
              <w:bottom w:val="single" w:sz="4" w:space="0" w:color="auto"/>
              <w:right w:val="single" w:sz="4" w:space="0" w:color="auto"/>
            </w:tcBorders>
            <w:shd w:val="clear" w:color="auto" w:fill="auto"/>
            <w:noWrap/>
            <w:vAlign w:val="center"/>
            <w:hideMark/>
          </w:tcPr>
          <w:p w14:paraId="6F30B11C" w14:textId="77777777" w:rsidR="00FE123E" w:rsidRPr="00FE123E" w:rsidRDefault="00FE123E" w:rsidP="00FE123E">
            <w:pPr>
              <w:ind w:firstLineChars="100" w:firstLine="200"/>
              <w:rPr>
                <w:rFonts w:ascii="Arial Narrow" w:hAnsi="Arial Narrow" w:cs="Arial"/>
                <w:sz w:val="20"/>
                <w:szCs w:val="20"/>
              </w:rPr>
            </w:pPr>
            <w:r w:rsidRPr="00FE123E">
              <w:rPr>
                <w:rFonts w:ascii="Arial Narrow" w:hAnsi="Arial Narrow" w:cs="Arial"/>
                <w:sz w:val="20"/>
                <w:szCs w:val="20"/>
              </w:rPr>
              <w:t>Молдова</w:t>
            </w:r>
          </w:p>
        </w:tc>
        <w:tc>
          <w:tcPr>
            <w:tcW w:w="820" w:type="pct"/>
            <w:tcBorders>
              <w:top w:val="nil"/>
              <w:left w:val="nil"/>
              <w:bottom w:val="single" w:sz="4" w:space="0" w:color="auto"/>
              <w:right w:val="single" w:sz="4" w:space="0" w:color="auto"/>
            </w:tcBorders>
            <w:shd w:val="clear" w:color="auto" w:fill="auto"/>
            <w:noWrap/>
            <w:vAlign w:val="center"/>
            <w:hideMark/>
          </w:tcPr>
          <w:p w14:paraId="3A077AE1" w14:textId="77777777" w:rsidR="00FE123E" w:rsidRPr="00FE123E" w:rsidRDefault="00FE123E" w:rsidP="00FE123E">
            <w:pPr>
              <w:jc w:val="right"/>
              <w:rPr>
                <w:rFonts w:ascii="Arial Narrow" w:hAnsi="Arial Narrow" w:cs="Arial"/>
                <w:sz w:val="20"/>
                <w:szCs w:val="20"/>
              </w:rPr>
            </w:pPr>
            <w:r w:rsidRPr="00FE123E">
              <w:rPr>
                <w:rFonts w:ascii="Arial Narrow" w:hAnsi="Arial Narrow" w:cs="Arial"/>
                <w:sz w:val="20"/>
                <w:szCs w:val="20"/>
              </w:rPr>
              <w:t>197 761</w:t>
            </w:r>
          </w:p>
        </w:tc>
        <w:tc>
          <w:tcPr>
            <w:tcW w:w="820" w:type="pct"/>
            <w:tcBorders>
              <w:top w:val="nil"/>
              <w:left w:val="nil"/>
              <w:bottom w:val="single" w:sz="4" w:space="0" w:color="auto"/>
              <w:right w:val="single" w:sz="4" w:space="0" w:color="auto"/>
            </w:tcBorders>
            <w:shd w:val="clear" w:color="auto" w:fill="auto"/>
            <w:noWrap/>
            <w:vAlign w:val="center"/>
            <w:hideMark/>
          </w:tcPr>
          <w:p w14:paraId="4C01DF62" w14:textId="77777777" w:rsidR="00FE123E" w:rsidRPr="00FE123E" w:rsidRDefault="00FE123E" w:rsidP="00FE123E">
            <w:pPr>
              <w:jc w:val="right"/>
              <w:rPr>
                <w:rFonts w:ascii="Arial Narrow" w:hAnsi="Arial Narrow" w:cs="Arial"/>
                <w:sz w:val="20"/>
                <w:szCs w:val="20"/>
              </w:rPr>
            </w:pPr>
            <w:r w:rsidRPr="00FE123E">
              <w:rPr>
                <w:rFonts w:ascii="Arial Narrow" w:hAnsi="Arial Narrow" w:cs="Arial"/>
                <w:sz w:val="20"/>
                <w:szCs w:val="20"/>
              </w:rPr>
              <w:t>245 915</w:t>
            </w:r>
          </w:p>
        </w:tc>
        <w:tc>
          <w:tcPr>
            <w:tcW w:w="867" w:type="pct"/>
            <w:tcBorders>
              <w:top w:val="nil"/>
              <w:left w:val="nil"/>
              <w:bottom w:val="single" w:sz="4" w:space="0" w:color="auto"/>
              <w:right w:val="single" w:sz="4" w:space="0" w:color="auto"/>
            </w:tcBorders>
            <w:shd w:val="clear" w:color="auto" w:fill="auto"/>
            <w:noWrap/>
            <w:vAlign w:val="center"/>
            <w:hideMark/>
          </w:tcPr>
          <w:p w14:paraId="7EE37DAD" w14:textId="77777777" w:rsidR="00FE123E" w:rsidRPr="00FE123E" w:rsidRDefault="00FE123E" w:rsidP="00FE123E">
            <w:pPr>
              <w:jc w:val="right"/>
              <w:rPr>
                <w:rFonts w:ascii="Arial Narrow" w:hAnsi="Arial Narrow" w:cs="Arial"/>
                <w:sz w:val="20"/>
                <w:szCs w:val="20"/>
              </w:rPr>
            </w:pPr>
            <w:r w:rsidRPr="00FE123E">
              <w:rPr>
                <w:rFonts w:ascii="Arial Narrow" w:hAnsi="Arial Narrow" w:cs="Arial"/>
                <w:sz w:val="20"/>
                <w:szCs w:val="20"/>
              </w:rPr>
              <w:t>48 154</w:t>
            </w:r>
          </w:p>
        </w:tc>
        <w:tc>
          <w:tcPr>
            <w:tcW w:w="649" w:type="pct"/>
            <w:tcBorders>
              <w:top w:val="nil"/>
              <w:left w:val="nil"/>
              <w:bottom w:val="single" w:sz="4" w:space="0" w:color="auto"/>
              <w:right w:val="single" w:sz="4" w:space="0" w:color="auto"/>
            </w:tcBorders>
            <w:shd w:val="clear" w:color="auto" w:fill="auto"/>
            <w:noWrap/>
            <w:vAlign w:val="center"/>
            <w:hideMark/>
          </w:tcPr>
          <w:p w14:paraId="78595632" w14:textId="77777777" w:rsidR="00FE123E" w:rsidRPr="00FE123E" w:rsidRDefault="00FE123E" w:rsidP="00FE123E">
            <w:pPr>
              <w:jc w:val="right"/>
              <w:rPr>
                <w:rFonts w:ascii="Arial Narrow" w:hAnsi="Arial Narrow" w:cs="Arial"/>
                <w:sz w:val="20"/>
                <w:szCs w:val="20"/>
              </w:rPr>
            </w:pPr>
            <w:r w:rsidRPr="00FE123E">
              <w:rPr>
                <w:rFonts w:ascii="Arial Narrow" w:hAnsi="Arial Narrow" w:cs="Arial"/>
                <w:sz w:val="20"/>
                <w:szCs w:val="20"/>
              </w:rPr>
              <w:t>24,3%</w:t>
            </w:r>
          </w:p>
        </w:tc>
      </w:tr>
      <w:tr w:rsidR="00FE123E" w:rsidRPr="00FE123E" w14:paraId="2E330645" w14:textId="77777777" w:rsidTr="00AF67ED">
        <w:trPr>
          <w:trHeight w:val="360"/>
        </w:trPr>
        <w:tc>
          <w:tcPr>
            <w:tcW w:w="1843" w:type="pct"/>
            <w:tcBorders>
              <w:top w:val="nil"/>
              <w:left w:val="single" w:sz="4" w:space="0" w:color="auto"/>
              <w:bottom w:val="single" w:sz="4" w:space="0" w:color="auto"/>
              <w:right w:val="single" w:sz="4" w:space="0" w:color="auto"/>
            </w:tcBorders>
            <w:shd w:val="clear" w:color="auto" w:fill="auto"/>
            <w:noWrap/>
            <w:vAlign w:val="center"/>
            <w:hideMark/>
          </w:tcPr>
          <w:p w14:paraId="19C369CF" w14:textId="77777777" w:rsidR="00FE123E" w:rsidRPr="00FE123E" w:rsidRDefault="00FE123E" w:rsidP="00FE123E">
            <w:pPr>
              <w:ind w:firstLineChars="100" w:firstLine="200"/>
              <w:rPr>
                <w:rFonts w:ascii="Arial Narrow" w:hAnsi="Arial Narrow" w:cs="Arial"/>
                <w:sz w:val="20"/>
                <w:szCs w:val="20"/>
              </w:rPr>
            </w:pPr>
            <w:r w:rsidRPr="00FE123E">
              <w:rPr>
                <w:rFonts w:ascii="Arial Narrow" w:hAnsi="Arial Narrow" w:cs="Arial"/>
                <w:sz w:val="20"/>
                <w:szCs w:val="20"/>
              </w:rPr>
              <w:t>Южна Африка</w:t>
            </w:r>
          </w:p>
        </w:tc>
        <w:tc>
          <w:tcPr>
            <w:tcW w:w="820" w:type="pct"/>
            <w:tcBorders>
              <w:top w:val="nil"/>
              <w:left w:val="nil"/>
              <w:bottom w:val="single" w:sz="4" w:space="0" w:color="auto"/>
              <w:right w:val="single" w:sz="4" w:space="0" w:color="auto"/>
            </w:tcBorders>
            <w:shd w:val="clear" w:color="auto" w:fill="auto"/>
            <w:noWrap/>
            <w:vAlign w:val="center"/>
            <w:hideMark/>
          </w:tcPr>
          <w:p w14:paraId="78BEFC05" w14:textId="77777777" w:rsidR="00FE123E" w:rsidRPr="00FE123E" w:rsidRDefault="00FE123E" w:rsidP="00FE123E">
            <w:pPr>
              <w:jc w:val="right"/>
              <w:rPr>
                <w:rFonts w:ascii="Arial Narrow" w:hAnsi="Arial Narrow" w:cs="Arial"/>
                <w:sz w:val="20"/>
                <w:szCs w:val="20"/>
              </w:rPr>
            </w:pPr>
            <w:r w:rsidRPr="00FE123E">
              <w:rPr>
                <w:rFonts w:ascii="Arial Narrow" w:hAnsi="Arial Narrow" w:cs="Arial"/>
                <w:sz w:val="20"/>
                <w:szCs w:val="20"/>
              </w:rPr>
              <w:t>296 811</w:t>
            </w:r>
          </w:p>
        </w:tc>
        <w:tc>
          <w:tcPr>
            <w:tcW w:w="820" w:type="pct"/>
            <w:tcBorders>
              <w:top w:val="nil"/>
              <w:left w:val="nil"/>
              <w:bottom w:val="single" w:sz="4" w:space="0" w:color="auto"/>
              <w:right w:val="single" w:sz="4" w:space="0" w:color="auto"/>
            </w:tcBorders>
            <w:shd w:val="clear" w:color="auto" w:fill="auto"/>
            <w:noWrap/>
            <w:vAlign w:val="center"/>
            <w:hideMark/>
          </w:tcPr>
          <w:p w14:paraId="51D73324" w14:textId="77777777" w:rsidR="00FE123E" w:rsidRPr="00FE123E" w:rsidRDefault="00FE123E" w:rsidP="00FE123E">
            <w:pPr>
              <w:jc w:val="right"/>
              <w:rPr>
                <w:rFonts w:ascii="Arial Narrow" w:hAnsi="Arial Narrow" w:cs="Arial"/>
                <w:sz w:val="20"/>
                <w:szCs w:val="20"/>
              </w:rPr>
            </w:pPr>
            <w:r w:rsidRPr="00FE123E">
              <w:rPr>
                <w:rFonts w:ascii="Arial Narrow" w:hAnsi="Arial Narrow" w:cs="Arial"/>
                <w:sz w:val="20"/>
                <w:szCs w:val="20"/>
              </w:rPr>
              <w:t>209 376</w:t>
            </w:r>
          </w:p>
        </w:tc>
        <w:tc>
          <w:tcPr>
            <w:tcW w:w="867" w:type="pct"/>
            <w:tcBorders>
              <w:top w:val="nil"/>
              <w:left w:val="nil"/>
              <w:bottom w:val="single" w:sz="4" w:space="0" w:color="auto"/>
              <w:right w:val="single" w:sz="4" w:space="0" w:color="auto"/>
            </w:tcBorders>
            <w:shd w:val="clear" w:color="auto" w:fill="auto"/>
            <w:noWrap/>
            <w:vAlign w:val="center"/>
            <w:hideMark/>
          </w:tcPr>
          <w:p w14:paraId="47D1D880" w14:textId="77777777" w:rsidR="00FE123E" w:rsidRPr="00FE123E" w:rsidRDefault="00FE123E" w:rsidP="00FE123E">
            <w:pPr>
              <w:jc w:val="right"/>
              <w:rPr>
                <w:rFonts w:ascii="Arial Narrow" w:hAnsi="Arial Narrow" w:cs="Arial"/>
                <w:sz w:val="20"/>
                <w:szCs w:val="20"/>
              </w:rPr>
            </w:pPr>
            <w:r w:rsidRPr="00FE123E">
              <w:rPr>
                <w:rFonts w:ascii="Arial Narrow" w:hAnsi="Arial Narrow" w:cs="Arial"/>
                <w:sz w:val="20"/>
                <w:szCs w:val="20"/>
              </w:rPr>
              <w:t>-87 435</w:t>
            </w:r>
          </w:p>
        </w:tc>
        <w:tc>
          <w:tcPr>
            <w:tcW w:w="649" w:type="pct"/>
            <w:tcBorders>
              <w:top w:val="nil"/>
              <w:left w:val="nil"/>
              <w:bottom w:val="single" w:sz="4" w:space="0" w:color="auto"/>
              <w:right w:val="single" w:sz="4" w:space="0" w:color="auto"/>
            </w:tcBorders>
            <w:shd w:val="clear" w:color="auto" w:fill="auto"/>
            <w:noWrap/>
            <w:vAlign w:val="center"/>
            <w:hideMark/>
          </w:tcPr>
          <w:p w14:paraId="586B79F8" w14:textId="77777777" w:rsidR="00FE123E" w:rsidRPr="00FE123E" w:rsidRDefault="00FE123E" w:rsidP="00FE123E">
            <w:pPr>
              <w:jc w:val="right"/>
              <w:rPr>
                <w:rFonts w:ascii="Arial Narrow" w:hAnsi="Arial Narrow" w:cs="Arial"/>
                <w:sz w:val="20"/>
                <w:szCs w:val="20"/>
              </w:rPr>
            </w:pPr>
            <w:r w:rsidRPr="00FE123E">
              <w:rPr>
                <w:rFonts w:ascii="Arial Narrow" w:hAnsi="Arial Narrow" w:cs="Arial"/>
                <w:sz w:val="20"/>
                <w:szCs w:val="20"/>
              </w:rPr>
              <w:t>-29,5%</w:t>
            </w:r>
          </w:p>
        </w:tc>
      </w:tr>
      <w:tr w:rsidR="00FE123E" w:rsidRPr="00FE123E" w14:paraId="78F4735A" w14:textId="77777777" w:rsidTr="00AF67ED">
        <w:trPr>
          <w:trHeight w:val="360"/>
        </w:trPr>
        <w:tc>
          <w:tcPr>
            <w:tcW w:w="1843" w:type="pct"/>
            <w:tcBorders>
              <w:top w:val="nil"/>
              <w:left w:val="single" w:sz="4" w:space="0" w:color="auto"/>
              <w:bottom w:val="single" w:sz="4" w:space="0" w:color="auto"/>
              <w:right w:val="single" w:sz="4" w:space="0" w:color="auto"/>
            </w:tcBorders>
            <w:shd w:val="clear" w:color="auto" w:fill="auto"/>
            <w:noWrap/>
            <w:vAlign w:val="center"/>
            <w:hideMark/>
          </w:tcPr>
          <w:p w14:paraId="76846379" w14:textId="77777777" w:rsidR="00FE123E" w:rsidRPr="00FE123E" w:rsidRDefault="00FE123E" w:rsidP="00FE123E">
            <w:pPr>
              <w:ind w:firstLineChars="100" w:firstLine="200"/>
              <w:rPr>
                <w:rFonts w:ascii="Arial Narrow" w:hAnsi="Arial Narrow" w:cs="Arial"/>
                <w:sz w:val="20"/>
                <w:szCs w:val="20"/>
              </w:rPr>
            </w:pPr>
            <w:r w:rsidRPr="00FE123E">
              <w:rPr>
                <w:rFonts w:ascii="Arial Narrow" w:hAnsi="Arial Narrow" w:cs="Arial"/>
                <w:sz w:val="20"/>
                <w:szCs w:val="20"/>
              </w:rPr>
              <w:t>Чили</w:t>
            </w:r>
          </w:p>
        </w:tc>
        <w:tc>
          <w:tcPr>
            <w:tcW w:w="820" w:type="pct"/>
            <w:tcBorders>
              <w:top w:val="nil"/>
              <w:left w:val="nil"/>
              <w:bottom w:val="single" w:sz="4" w:space="0" w:color="auto"/>
              <w:right w:val="single" w:sz="4" w:space="0" w:color="auto"/>
            </w:tcBorders>
            <w:shd w:val="clear" w:color="auto" w:fill="auto"/>
            <w:noWrap/>
            <w:vAlign w:val="center"/>
            <w:hideMark/>
          </w:tcPr>
          <w:p w14:paraId="4FE91410" w14:textId="77777777" w:rsidR="00FE123E" w:rsidRPr="00FE123E" w:rsidRDefault="00FE123E" w:rsidP="00FE123E">
            <w:pPr>
              <w:jc w:val="right"/>
              <w:rPr>
                <w:rFonts w:ascii="Arial Narrow" w:hAnsi="Arial Narrow" w:cs="Arial"/>
                <w:sz w:val="20"/>
                <w:szCs w:val="20"/>
              </w:rPr>
            </w:pPr>
            <w:r w:rsidRPr="00FE123E">
              <w:rPr>
                <w:rFonts w:ascii="Arial Narrow" w:hAnsi="Arial Narrow" w:cs="Arial"/>
                <w:sz w:val="20"/>
                <w:szCs w:val="20"/>
              </w:rPr>
              <w:t>173 849</w:t>
            </w:r>
          </w:p>
        </w:tc>
        <w:tc>
          <w:tcPr>
            <w:tcW w:w="820" w:type="pct"/>
            <w:tcBorders>
              <w:top w:val="nil"/>
              <w:left w:val="nil"/>
              <w:bottom w:val="single" w:sz="4" w:space="0" w:color="auto"/>
              <w:right w:val="single" w:sz="4" w:space="0" w:color="auto"/>
            </w:tcBorders>
            <w:shd w:val="clear" w:color="auto" w:fill="auto"/>
            <w:noWrap/>
            <w:vAlign w:val="center"/>
            <w:hideMark/>
          </w:tcPr>
          <w:p w14:paraId="3BB39470" w14:textId="77777777" w:rsidR="00FE123E" w:rsidRPr="00FE123E" w:rsidRDefault="00FE123E" w:rsidP="00FE123E">
            <w:pPr>
              <w:jc w:val="right"/>
              <w:rPr>
                <w:rFonts w:ascii="Arial Narrow" w:hAnsi="Arial Narrow" w:cs="Arial"/>
                <w:sz w:val="20"/>
                <w:szCs w:val="20"/>
              </w:rPr>
            </w:pPr>
            <w:r w:rsidRPr="00FE123E">
              <w:rPr>
                <w:rFonts w:ascii="Arial Narrow" w:hAnsi="Arial Narrow" w:cs="Arial"/>
                <w:sz w:val="20"/>
                <w:szCs w:val="20"/>
              </w:rPr>
              <w:t>184 435</w:t>
            </w:r>
          </w:p>
        </w:tc>
        <w:tc>
          <w:tcPr>
            <w:tcW w:w="867" w:type="pct"/>
            <w:tcBorders>
              <w:top w:val="nil"/>
              <w:left w:val="nil"/>
              <w:bottom w:val="single" w:sz="4" w:space="0" w:color="auto"/>
              <w:right w:val="single" w:sz="4" w:space="0" w:color="auto"/>
            </w:tcBorders>
            <w:shd w:val="clear" w:color="auto" w:fill="auto"/>
            <w:noWrap/>
            <w:vAlign w:val="center"/>
            <w:hideMark/>
          </w:tcPr>
          <w:p w14:paraId="7352525E" w14:textId="77777777" w:rsidR="00FE123E" w:rsidRPr="00FE123E" w:rsidRDefault="00FE123E" w:rsidP="00FE123E">
            <w:pPr>
              <w:jc w:val="right"/>
              <w:rPr>
                <w:rFonts w:ascii="Arial Narrow" w:hAnsi="Arial Narrow" w:cs="Arial"/>
                <w:sz w:val="20"/>
                <w:szCs w:val="20"/>
              </w:rPr>
            </w:pPr>
            <w:r w:rsidRPr="00FE123E">
              <w:rPr>
                <w:rFonts w:ascii="Arial Narrow" w:hAnsi="Arial Narrow" w:cs="Arial"/>
                <w:sz w:val="20"/>
                <w:szCs w:val="20"/>
              </w:rPr>
              <w:t>10 586</w:t>
            </w:r>
          </w:p>
        </w:tc>
        <w:tc>
          <w:tcPr>
            <w:tcW w:w="649" w:type="pct"/>
            <w:tcBorders>
              <w:top w:val="nil"/>
              <w:left w:val="nil"/>
              <w:bottom w:val="single" w:sz="4" w:space="0" w:color="auto"/>
              <w:right w:val="single" w:sz="4" w:space="0" w:color="auto"/>
            </w:tcBorders>
            <w:shd w:val="clear" w:color="auto" w:fill="auto"/>
            <w:noWrap/>
            <w:vAlign w:val="center"/>
            <w:hideMark/>
          </w:tcPr>
          <w:p w14:paraId="382EDD81" w14:textId="77777777" w:rsidR="00FE123E" w:rsidRPr="00FE123E" w:rsidRDefault="00FE123E" w:rsidP="00FE123E">
            <w:pPr>
              <w:jc w:val="right"/>
              <w:rPr>
                <w:rFonts w:ascii="Arial Narrow" w:hAnsi="Arial Narrow" w:cs="Arial"/>
                <w:sz w:val="20"/>
                <w:szCs w:val="20"/>
              </w:rPr>
            </w:pPr>
            <w:r w:rsidRPr="00FE123E">
              <w:rPr>
                <w:rFonts w:ascii="Arial Narrow" w:hAnsi="Arial Narrow" w:cs="Arial"/>
                <w:sz w:val="20"/>
                <w:szCs w:val="20"/>
              </w:rPr>
              <w:t>6,1%</w:t>
            </w:r>
          </w:p>
        </w:tc>
      </w:tr>
      <w:tr w:rsidR="00FE123E" w:rsidRPr="00FE123E" w14:paraId="5AC56FDD" w14:textId="77777777" w:rsidTr="00AF67ED">
        <w:trPr>
          <w:trHeight w:val="360"/>
        </w:trPr>
        <w:tc>
          <w:tcPr>
            <w:tcW w:w="1843" w:type="pct"/>
            <w:tcBorders>
              <w:top w:val="nil"/>
              <w:left w:val="single" w:sz="4" w:space="0" w:color="auto"/>
              <w:bottom w:val="single" w:sz="4" w:space="0" w:color="auto"/>
              <w:right w:val="single" w:sz="4" w:space="0" w:color="auto"/>
            </w:tcBorders>
            <w:shd w:val="clear" w:color="auto" w:fill="auto"/>
            <w:noWrap/>
            <w:vAlign w:val="center"/>
            <w:hideMark/>
          </w:tcPr>
          <w:p w14:paraId="54FA4D90" w14:textId="77777777" w:rsidR="00FE123E" w:rsidRPr="00FE123E" w:rsidRDefault="00FE123E" w:rsidP="00FE123E">
            <w:pPr>
              <w:ind w:firstLineChars="100" w:firstLine="200"/>
              <w:rPr>
                <w:rFonts w:ascii="Arial Narrow" w:hAnsi="Arial Narrow" w:cs="Arial"/>
                <w:sz w:val="20"/>
                <w:szCs w:val="20"/>
              </w:rPr>
            </w:pPr>
            <w:r w:rsidRPr="00FE123E">
              <w:rPr>
                <w:rFonts w:ascii="Arial Narrow" w:hAnsi="Arial Narrow" w:cs="Arial"/>
                <w:sz w:val="20"/>
                <w:szCs w:val="20"/>
              </w:rPr>
              <w:t>Аржентина</w:t>
            </w:r>
          </w:p>
        </w:tc>
        <w:tc>
          <w:tcPr>
            <w:tcW w:w="820" w:type="pct"/>
            <w:tcBorders>
              <w:top w:val="nil"/>
              <w:left w:val="nil"/>
              <w:bottom w:val="single" w:sz="4" w:space="0" w:color="auto"/>
              <w:right w:val="single" w:sz="4" w:space="0" w:color="auto"/>
            </w:tcBorders>
            <w:shd w:val="clear" w:color="auto" w:fill="auto"/>
            <w:noWrap/>
            <w:vAlign w:val="center"/>
            <w:hideMark/>
          </w:tcPr>
          <w:p w14:paraId="217E6F8C" w14:textId="77777777" w:rsidR="00FE123E" w:rsidRPr="00FE123E" w:rsidRDefault="00FE123E" w:rsidP="00FE123E">
            <w:pPr>
              <w:jc w:val="right"/>
              <w:rPr>
                <w:rFonts w:ascii="Arial Narrow" w:hAnsi="Arial Narrow" w:cs="Arial"/>
                <w:sz w:val="20"/>
                <w:szCs w:val="20"/>
              </w:rPr>
            </w:pPr>
            <w:r w:rsidRPr="00FE123E">
              <w:rPr>
                <w:rFonts w:ascii="Arial Narrow" w:hAnsi="Arial Narrow" w:cs="Arial"/>
                <w:sz w:val="20"/>
                <w:szCs w:val="20"/>
              </w:rPr>
              <w:t>49 850</w:t>
            </w:r>
          </w:p>
        </w:tc>
        <w:tc>
          <w:tcPr>
            <w:tcW w:w="820" w:type="pct"/>
            <w:tcBorders>
              <w:top w:val="nil"/>
              <w:left w:val="nil"/>
              <w:bottom w:val="single" w:sz="4" w:space="0" w:color="auto"/>
              <w:right w:val="single" w:sz="4" w:space="0" w:color="auto"/>
            </w:tcBorders>
            <w:shd w:val="clear" w:color="auto" w:fill="auto"/>
            <w:noWrap/>
            <w:vAlign w:val="center"/>
            <w:hideMark/>
          </w:tcPr>
          <w:p w14:paraId="0A8A065C" w14:textId="77777777" w:rsidR="00FE123E" w:rsidRPr="00FE123E" w:rsidRDefault="00FE123E" w:rsidP="00FE123E">
            <w:pPr>
              <w:jc w:val="right"/>
              <w:rPr>
                <w:rFonts w:ascii="Arial Narrow" w:hAnsi="Arial Narrow" w:cs="Arial"/>
                <w:sz w:val="20"/>
                <w:szCs w:val="20"/>
              </w:rPr>
            </w:pPr>
            <w:r w:rsidRPr="00FE123E">
              <w:rPr>
                <w:rFonts w:ascii="Arial Narrow" w:hAnsi="Arial Narrow" w:cs="Arial"/>
                <w:sz w:val="20"/>
                <w:szCs w:val="20"/>
              </w:rPr>
              <w:t>75 270</w:t>
            </w:r>
          </w:p>
        </w:tc>
        <w:tc>
          <w:tcPr>
            <w:tcW w:w="867" w:type="pct"/>
            <w:tcBorders>
              <w:top w:val="nil"/>
              <w:left w:val="nil"/>
              <w:bottom w:val="single" w:sz="4" w:space="0" w:color="auto"/>
              <w:right w:val="single" w:sz="4" w:space="0" w:color="auto"/>
            </w:tcBorders>
            <w:shd w:val="clear" w:color="auto" w:fill="auto"/>
            <w:noWrap/>
            <w:vAlign w:val="center"/>
            <w:hideMark/>
          </w:tcPr>
          <w:p w14:paraId="6C22A93F" w14:textId="77777777" w:rsidR="00FE123E" w:rsidRPr="00FE123E" w:rsidRDefault="00FE123E" w:rsidP="00FE123E">
            <w:pPr>
              <w:jc w:val="right"/>
              <w:rPr>
                <w:rFonts w:ascii="Arial Narrow" w:hAnsi="Arial Narrow" w:cs="Arial"/>
                <w:sz w:val="20"/>
                <w:szCs w:val="20"/>
              </w:rPr>
            </w:pPr>
            <w:r w:rsidRPr="00FE123E">
              <w:rPr>
                <w:rFonts w:ascii="Arial Narrow" w:hAnsi="Arial Narrow" w:cs="Arial"/>
                <w:sz w:val="20"/>
                <w:szCs w:val="20"/>
              </w:rPr>
              <w:t>25 420</w:t>
            </w:r>
          </w:p>
        </w:tc>
        <w:tc>
          <w:tcPr>
            <w:tcW w:w="649" w:type="pct"/>
            <w:tcBorders>
              <w:top w:val="nil"/>
              <w:left w:val="nil"/>
              <w:bottom w:val="single" w:sz="4" w:space="0" w:color="auto"/>
              <w:right w:val="single" w:sz="4" w:space="0" w:color="auto"/>
            </w:tcBorders>
            <w:shd w:val="clear" w:color="auto" w:fill="auto"/>
            <w:noWrap/>
            <w:vAlign w:val="center"/>
            <w:hideMark/>
          </w:tcPr>
          <w:p w14:paraId="08C3CE13" w14:textId="77777777" w:rsidR="00FE123E" w:rsidRPr="00FE123E" w:rsidRDefault="00FE123E" w:rsidP="00FE123E">
            <w:pPr>
              <w:jc w:val="right"/>
              <w:rPr>
                <w:rFonts w:ascii="Arial Narrow" w:hAnsi="Arial Narrow" w:cs="Arial"/>
                <w:sz w:val="20"/>
                <w:szCs w:val="20"/>
              </w:rPr>
            </w:pPr>
            <w:r w:rsidRPr="00FE123E">
              <w:rPr>
                <w:rFonts w:ascii="Arial Narrow" w:hAnsi="Arial Narrow" w:cs="Arial"/>
                <w:sz w:val="20"/>
                <w:szCs w:val="20"/>
              </w:rPr>
              <w:t>51,0%</w:t>
            </w:r>
          </w:p>
        </w:tc>
      </w:tr>
      <w:tr w:rsidR="00FE123E" w:rsidRPr="00FE123E" w14:paraId="5C048F85" w14:textId="77777777" w:rsidTr="00AF67ED">
        <w:trPr>
          <w:trHeight w:val="360"/>
        </w:trPr>
        <w:tc>
          <w:tcPr>
            <w:tcW w:w="1843" w:type="pct"/>
            <w:tcBorders>
              <w:top w:val="nil"/>
              <w:left w:val="single" w:sz="4" w:space="0" w:color="auto"/>
              <w:bottom w:val="single" w:sz="4" w:space="0" w:color="auto"/>
              <w:right w:val="single" w:sz="4" w:space="0" w:color="auto"/>
            </w:tcBorders>
            <w:shd w:val="clear" w:color="auto" w:fill="auto"/>
            <w:noWrap/>
            <w:vAlign w:val="center"/>
            <w:hideMark/>
          </w:tcPr>
          <w:p w14:paraId="63615DA1" w14:textId="77777777" w:rsidR="00FE123E" w:rsidRPr="00FE123E" w:rsidRDefault="00FE123E" w:rsidP="00FE123E">
            <w:pPr>
              <w:ind w:firstLineChars="100" w:firstLine="200"/>
              <w:rPr>
                <w:rFonts w:ascii="Arial Narrow" w:hAnsi="Arial Narrow" w:cs="Arial"/>
                <w:sz w:val="20"/>
                <w:szCs w:val="20"/>
              </w:rPr>
            </w:pPr>
            <w:r w:rsidRPr="00FE123E">
              <w:rPr>
                <w:rFonts w:ascii="Arial Narrow" w:hAnsi="Arial Narrow" w:cs="Arial"/>
                <w:sz w:val="20"/>
                <w:szCs w:val="20"/>
              </w:rPr>
              <w:t>Грузия</w:t>
            </w:r>
          </w:p>
        </w:tc>
        <w:tc>
          <w:tcPr>
            <w:tcW w:w="820" w:type="pct"/>
            <w:tcBorders>
              <w:top w:val="nil"/>
              <w:left w:val="nil"/>
              <w:bottom w:val="single" w:sz="4" w:space="0" w:color="auto"/>
              <w:right w:val="single" w:sz="4" w:space="0" w:color="auto"/>
            </w:tcBorders>
            <w:shd w:val="clear" w:color="auto" w:fill="auto"/>
            <w:noWrap/>
            <w:vAlign w:val="center"/>
            <w:hideMark/>
          </w:tcPr>
          <w:p w14:paraId="2951DC5B" w14:textId="77777777" w:rsidR="00FE123E" w:rsidRPr="00FE123E" w:rsidRDefault="00FE123E" w:rsidP="00FE123E">
            <w:pPr>
              <w:jc w:val="right"/>
              <w:rPr>
                <w:rFonts w:ascii="Arial Narrow" w:hAnsi="Arial Narrow" w:cs="Arial"/>
                <w:sz w:val="20"/>
                <w:szCs w:val="20"/>
              </w:rPr>
            </w:pPr>
            <w:r w:rsidRPr="00FE123E">
              <w:rPr>
                <w:rFonts w:ascii="Arial Narrow" w:hAnsi="Arial Narrow" w:cs="Arial"/>
                <w:sz w:val="20"/>
                <w:szCs w:val="20"/>
              </w:rPr>
              <w:t>40 751</w:t>
            </w:r>
          </w:p>
        </w:tc>
        <w:tc>
          <w:tcPr>
            <w:tcW w:w="820" w:type="pct"/>
            <w:tcBorders>
              <w:top w:val="nil"/>
              <w:left w:val="nil"/>
              <w:bottom w:val="single" w:sz="4" w:space="0" w:color="auto"/>
              <w:right w:val="single" w:sz="4" w:space="0" w:color="auto"/>
            </w:tcBorders>
            <w:shd w:val="clear" w:color="auto" w:fill="auto"/>
            <w:noWrap/>
            <w:vAlign w:val="center"/>
            <w:hideMark/>
          </w:tcPr>
          <w:p w14:paraId="447F53FE" w14:textId="77777777" w:rsidR="00FE123E" w:rsidRPr="00FE123E" w:rsidRDefault="00FE123E" w:rsidP="00FE123E">
            <w:pPr>
              <w:jc w:val="right"/>
              <w:rPr>
                <w:rFonts w:ascii="Arial Narrow" w:hAnsi="Arial Narrow" w:cs="Arial"/>
                <w:sz w:val="20"/>
                <w:szCs w:val="20"/>
              </w:rPr>
            </w:pPr>
            <w:r w:rsidRPr="00FE123E">
              <w:rPr>
                <w:rFonts w:ascii="Arial Narrow" w:hAnsi="Arial Narrow" w:cs="Arial"/>
                <w:sz w:val="20"/>
                <w:szCs w:val="20"/>
              </w:rPr>
              <w:t>57 614</w:t>
            </w:r>
          </w:p>
        </w:tc>
        <w:tc>
          <w:tcPr>
            <w:tcW w:w="867" w:type="pct"/>
            <w:tcBorders>
              <w:top w:val="nil"/>
              <w:left w:val="nil"/>
              <w:bottom w:val="single" w:sz="4" w:space="0" w:color="auto"/>
              <w:right w:val="single" w:sz="4" w:space="0" w:color="auto"/>
            </w:tcBorders>
            <w:shd w:val="clear" w:color="auto" w:fill="auto"/>
            <w:noWrap/>
            <w:vAlign w:val="center"/>
            <w:hideMark/>
          </w:tcPr>
          <w:p w14:paraId="63C6154E" w14:textId="77777777" w:rsidR="00FE123E" w:rsidRPr="00FE123E" w:rsidRDefault="00FE123E" w:rsidP="00FE123E">
            <w:pPr>
              <w:jc w:val="right"/>
              <w:rPr>
                <w:rFonts w:ascii="Arial Narrow" w:hAnsi="Arial Narrow" w:cs="Arial"/>
                <w:sz w:val="20"/>
                <w:szCs w:val="20"/>
              </w:rPr>
            </w:pPr>
            <w:r w:rsidRPr="00FE123E">
              <w:rPr>
                <w:rFonts w:ascii="Arial Narrow" w:hAnsi="Arial Narrow" w:cs="Arial"/>
                <w:sz w:val="20"/>
                <w:szCs w:val="20"/>
              </w:rPr>
              <w:t>16 863</w:t>
            </w:r>
          </w:p>
        </w:tc>
        <w:tc>
          <w:tcPr>
            <w:tcW w:w="649" w:type="pct"/>
            <w:tcBorders>
              <w:top w:val="nil"/>
              <w:left w:val="nil"/>
              <w:bottom w:val="single" w:sz="4" w:space="0" w:color="auto"/>
              <w:right w:val="single" w:sz="4" w:space="0" w:color="auto"/>
            </w:tcBorders>
            <w:shd w:val="clear" w:color="auto" w:fill="auto"/>
            <w:noWrap/>
            <w:vAlign w:val="center"/>
            <w:hideMark/>
          </w:tcPr>
          <w:p w14:paraId="412C4FF7" w14:textId="77777777" w:rsidR="00FE123E" w:rsidRPr="00FE123E" w:rsidRDefault="00FE123E" w:rsidP="00FE123E">
            <w:pPr>
              <w:jc w:val="right"/>
              <w:rPr>
                <w:rFonts w:ascii="Arial Narrow" w:hAnsi="Arial Narrow" w:cs="Arial"/>
                <w:sz w:val="20"/>
                <w:szCs w:val="20"/>
              </w:rPr>
            </w:pPr>
            <w:r w:rsidRPr="00FE123E">
              <w:rPr>
                <w:rFonts w:ascii="Arial Narrow" w:hAnsi="Arial Narrow" w:cs="Arial"/>
                <w:sz w:val="20"/>
                <w:szCs w:val="20"/>
              </w:rPr>
              <w:t>41,4%</w:t>
            </w:r>
          </w:p>
        </w:tc>
      </w:tr>
      <w:tr w:rsidR="00FE123E" w:rsidRPr="00FE123E" w14:paraId="16734458" w14:textId="77777777" w:rsidTr="00AF67ED">
        <w:trPr>
          <w:trHeight w:val="360"/>
        </w:trPr>
        <w:tc>
          <w:tcPr>
            <w:tcW w:w="1843" w:type="pct"/>
            <w:tcBorders>
              <w:top w:val="nil"/>
              <w:left w:val="single" w:sz="4" w:space="0" w:color="auto"/>
              <w:bottom w:val="single" w:sz="4" w:space="0" w:color="auto"/>
              <w:right w:val="single" w:sz="4" w:space="0" w:color="auto"/>
            </w:tcBorders>
            <w:shd w:val="clear" w:color="auto" w:fill="auto"/>
            <w:noWrap/>
            <w:vAlign w:val="center"/>
            <w:hideMark/>
          </w:tcPr>
          <w:p w14:paraId="3602C486" w14:textId="77777777" w:rsidR="00FE123E" w:rsidRPr="00FE123E" w:rsidRDefault="00FE123E" w:rsidP="00FE123E">
            <w:pPr>
              <w:ind w:firstLineChars="100" w:firstLine="200"/>
              <w:rPr>
                <w:rFonts w:ascii="Arial Narrow" w:hAnsi="Arial Narrow" w:cs="Arial"/>
                <w:sz w:val="20"/>
                <w:szCs w:val="20"/>
              </w:rPr>
            </w:pPr>
            <w:r w:rsidRPr="00FE123E">
              <w:rPr>
                <w:rFonts w:ascii="Arial Narrow" w:hAnsi="Arial Narrow" w:cs="Arial"/>
                <w:sz w:val="20"/>
                <w:szCs w:val="20"/>
              </w:rPr>
              <w:t>Обединено кралство</w:t>
            </w:r>
          </w:p>
        </w:tc>
        <w:tc>
          <w:tcPr>
            <w:tcW w:w="820" w:type="pct"/>
            <w:tcBorders>
              <w:top w:val="nil"/>
              <w:left w:val="nil"/>
              <w:bottom w:val="single" w:sz="4" w:space="0" w:color="auto"/>
              <w:right w:val="single" w:sz="4" w:space="0" w:color="auto"/>
            </w:tcBorders>
            <w:shd w:val="clear" w:color="auto" w:fill="auto"/>
            <w:noWrap/>
            <w:vAlign w:val="center"/>
            <w:hideMark/>
          </w:tcPr>
          <w:p w14:paraId="233A0F0A" w14:textId="77777777" w:rsidR="00FE123E" w:rsidRPr="00FE123E" w:rsidRDefault="00FE123E" w:rsidP="00FE123E">
            <w:pPr>
              <w:jc w:val="right"/>
              <w:rPr>
                <w:rFonts w:ascii="Arial Narrow" w:hAnsi="Arial Narrow" w:cs="Arial"/>
                <w:sz w:val="20"/>
                <w:szCs w:val="20"/>
              </w:rPr>
            </w:pPr>
            <w:r w:rsidRPr="00FE123E">
              <w:rPr>
                <w:rFonts w:ascii="Arial Narrow" w:hAnsi="Arial Narrow" w:cs="Arial"/>
                <w:sz w:val="20"/>
                <w:szCs w:val="20"/>
              </w:rPr>
              <w:t>33 042</w:t>
            </w:r>
          </w:p>
        </w:tc>
        <w:tc>
          <w:tcPr>
            <w:tcW w:w="820" w:type="pct"/>
            <w:tcBorders>
              <w:top w:val="nil"/>
              <w:left w:val="nil"/>
              <w:bottom w:val="single" w:sz="4" w:space="0" w:color="auto"/>
              <w:right w:val="single" w:sz="4" w:space="0" w:color="auto"/>
            </w:tcBorders>
            <w:shd w:val="clear" w:color="auto" w:fill="auto"/>
            <w:noWrap/>
            <w:vAlign w:val="center"/>
            <w:hideMark/>
          </w:tcPr>
          <w:p w14:paraId="055FBB9E" w14:textId="77777777" w:rsidR="00FE123E" w:rsidRPr="00FE123E" w:rsidRDefault="00FE123E" w:rsidP="00FE123E">
            <w:pPr>
              <w:jc w:val="right"/>
              <w:rPr>
                <w:rFonts w:ascii="Arial Narrow" w:hAnsi="Arial Narrow" w:cs="Arial"/>
                <w:sz w:val="20"/>
                <w:szCs w:val="20"/>
              </w:rPr>
            </w:pPr>
            <w:r w:rsidRPr="00FE123E">
              <w:rPr>
                <w:rFonts w:ascii="Arial Narrow" w:hAnsi="Arial Narrow" w:cs="Arial"/>
                <w:sz w:val="20"/>
                <w:szCs w:val="20"/>
              </w:rPr>
              <w:t>27 230</w:t>
            </w:r>
          </w:p>
        </w:tc>
        <w:tc>
          <w:tcPr>
            <w:tcW w:w="867" w:type="pct"/>
            <w:tcBorders>
              <w:top w:val="nil"/>
              <w:left w:val="nil"/>
              <w:bottom w:val="single" w:sz="4" w:space="0" w:color="auto"/>
              <w:right w:val="single" w:sz="4" w:space="0" w:color="auto"/>
            </w:tcBorders>
            <w:shd w:val="clear" w:color="auto" w:fill="auto"/>
            <w:noWrap/>
            <w:vAlign w:val="center"/>
            <w:hideMark/>
          </w:tcPr>
          <w:p w14:paraId="44AD4CBA" w14:textId="77777777" w:rsidR="00FE123E" w:rsidRPr="00FE123E" w:rsidRDefault="00FE123E" w:rsidP="00FE123E">
            <w:pPr>
              <w:jc w:val="right"/>
              <w:rPr>
                <w:rFonts w:ascii="Arial Narrow" w:hAnsi="Arial Narrow" w:cs="Arial"/>
                <w:sz w:val="20"/>
                <w:szCs w:val="20"/>
              </w:rPr>
            </w:pPr>
            <w:r w:rsidRPr="00FE123E">
              <w:rPr>
                <w:rFonts w:ascii="Arial Narrow" w:hAnsi="Arial Narrow" w:cs="Arial"/>
                <w:sz w:val="20"/>
                <w:szCs w:val="20"/>
              </w:rPr>
              <w:t>-5 812</w:t>
            </w:r>
          </w:p>
        </w:tc>
        <w:tc>
          <w:tcPr>
            <w:tcW w:w="649" w:type="pct"/>
            <w:tcBorders>
              <w:top w:val="nil"/>
              <w:left w:val="nil"/>
              <w:bottom w:val="single" w:sz="4" w:space="0" w:color="auto"/>
              <w:right w:val="single" w:sz="4" w:space="0" w:color="auto"/>
            </w:tcBorders>
            <w:shd w:val="clear" w:color="auto" w:fill="auto"/>
            <w:noWrap/>
            <w:vAlign w:val="center"/>
            <w:hideMark/>
          </w:tcPr>
          <w:p w14:paraId="47655B7A" w14:textId="77777777" w:rsidR="00FE123E" w:rsidRPr="00FE123E" w:rsidRDefault="00FE123E" w:rsidP="00FE123E">
            <w:pPr>
              <w:jc w:val="right"/>
              <w:rPr>
                <w:rFonts w:ascii="Arial Narrow" w:hAnsi="Arial Narrow" w:cs="Arial"/>
                <w:sz w:val="20"/>
                <w:szCs w:val="20"/>
              </w:rPr>
            </w:pPr>
            <w:r w:rsidRPr="00FE123E">
              <w:rPr>
                <w:rFonts w:ascii="Arial Narrow" w:hAnsi="Arial Narrow" w:cs="Arial"/>
                <w:sz w:val="20"/>
                <w:szCs w:val="20"/>
              </w:rPr>
              <w:t>-17,6%</w:t>
            </w:r>
          </w:p>
        </w:tc>
      </w:tr>
      <w:tr w:rsidR="00FE123E" w:rsidRPr="00FE123E" w14:paraId="401163DE" w14:textId="77777777" w:rsidTr="00AF67ED">
        <w:trPr>
          <w:trHeight w:val="360"/>
        </w:trPr>
        <w:tc>
          <w:tcPr>
            <w:tcW w:w="1843" w:type="pct"/>
            <w:tcBorders>
              <w:top w:val="nil"/>
              <w:left w:val="single" w:sz="4" w:space="0" w:color="auto"/>
              <w:bottom w:val="single" w:sz="4" w:space="0" w:color="auto"/>
              <w:right w:val="single" w:sz="4" w:space="0" w:color="auto"/>
            </w:tcBorders>
            <w:shd w:val="clear" w:color="auto" w:fill="auto"/>
            <w:noWrap/>
            <w:vAlign w:val="center"/>
            <w:hideMark/>
          </w:tcPr>
          <w:p w14:paraId="5F11A275" w14:textId="77777777" w:rsidR="00FE123E" w:rsidRPr="00FE123E" w:rsidRDefault="00FE123E" w:rsidP="00FE123E">
            <w:pPr>
              <w:ind w:firstLineChars="100" w:firstLine="200"/>
              <w:rPr>
                <w:rFonts w:ascii="Arial Narrow" w:hAnsi="Arial Narrow" w:cs="Arial"/>
                <w:sz w:val="20"/>
                <w:szCs w:val="20"/>
              </w:rPr>
            </w:pPr>
            <w:r w:rsidRPr="00FE123E">
              <w:rPr>
                <w:rFonts w:ascii="Arial Narrow" w:hAnsi="Arial Narrow" w:cs="Arial"/>
                <w:sz w:val="20"/>
                <w:szCs w:val="20"/>
              </w:rPr>
              <w:t>Австралия</w:t>
            </w:r>
          </w:p>
        </w:tc>
        <w:tc>
          <w:tcPr>
            <w:tcW w:w="820" w:type="pct"/>
            <w:tcBorders>
              <w:top w:val="nil"/>
              <w:left w:val="nil"/>
              <w:bottom w:val="single" w:sz="4" w:space="0" w:color="auto"/>
              <w:right w:val="single" w:sz="4" w:space="0" w:color="auto"/>
            </w:tcBorders>
            <w:shd w:val="clear" w:color="auto" w:fill="auto"/>
            <w:noWrap/>
            <w:vAlign w:val="center"/>
            <w:hideMark/>
          </w:tcPr>
          <w:p w14:paraId="42924F13" w14:textId="77777777" w:rsidR="00FE123E" w:rsidRPr="00FE123E" w:rsidRDefault="00FE123E" w:rsidP="00FE123E">
            <w:pPr>
              <w:jc w:val="right"/>
              <w:rPr>
                <w:rFonts w:ascii="Arial Narrow" w:hAnsi="Arial Narrow" w:cs="Arial"/>
                <w:sz w:val="20"/>
                <w:szCs w:val="20"/>
              </w:rPr>
            </w:pPr>
            <w:r w:rsidRPr="00FE123E">
              <w:rPr>
                <w:rFonts w:ascii="Arial Narrow" w:hAnsi="Arial Narrow" w:cs="Arial"/>
                <w:sz w:val="20"/>
                <w:szCs w:val="20"/>
              </w:rPr>
              <w:t>30 966</w:t>
            </w:r>
          </w:p>
        </w:tc>
        <w:tc>
          <w:tcPr>
            <w:tcW w:w="820" w:type="pct"/>
            <w:tcBorders>
              <w:top w:val="nil"/>
              <w:left w:val="nil"/>
              <w:bottom w:val="single" w:sz="4" w:space="0" w:color="auto"/>
              <w:right w:val="single" w:sz="4" w:space="0" w:color="auto"/>
            </w:tcBorders>
            <w:shd w:val="clear" w:color="auto" w:fill="auto"/>
            <w:noWrap/>
            <w:vAlign w:val="center"/>
            <w:hideMark/>
          </w:tcPr>
          <w:p w14:paraId="01F06D50" w14:textId="77777777" w:rsidR="00FE123E" w:rsidRPr="00FE123E" w:rsidRDefault="00FE123E" w:rsidP="00FE123E">
            <w:pPr>
              <w:jc w:val="right"/>
              <w:rPr>
                <w:rFonts w:ascii="Arial Narrow" w:hAnsi="Arial Narrow" w:cs="Arial"/>
                <w:sz w:val="20"/>
                <w:szCs w:val="20"/>
              </w:rPr>
            </w:pPr>
            <w:r w:rsidRPr="00FE123E">
              <w:rPr>
                <w:rFonts w:ascii="Arial Narrow" w:hAnsi="Arial Narrow" w:cs="Arial"/>
                <w:sz w:val="20"/>
                <w:szCs w:val="20"/>
              </w:rPr>
              <w:t>26 097</w:t>
            </w:r>
          </w:p>
        </w:tc>
        <w:tc>
          <w:tcPr>
            <w:tcW w:w="867" w:type="pct"/>
            <w:tcBorders>
              <w:top w:val="nil"/>
              <w:left w:val="nil"/>
              <w:bottom w:val="single" w:sz="4" w:space="0" w:color="auto"/>
              <w:right w:val="single" w:sz="4" w:space="0" w:color="auto"/>
            </w:tcBorders>
            <w:shd w:val="clear" w:color="auto" w:fill="auto"/>
            <w:noWrap/>
            <w:vAlign w:val="center"/>
            <w:hideMark/>
          </w:tcPr>
          <w:p w14:paraId="7F9E4EA1" w14:textId="77777777" w:rsidR="00FE123E" w:rsidRPr="00FE123E" w:rsidRDefault="00FE123E" w:rsidP="00FE123E">
            <w:pPr>
              <w:jc w:val="right"/>
              <w:rPr>
                <w:rFonts w:ascii="Arial Narrow" w:hAnsi="Arial Narrow" w:cs="Arial"/>
                <w:sz w:val="20"/>
                <w:szCs w:val="20"/>
              </w:rPr>
            </w:pPr>
            <w:r w:rsidRPr="00FE123E">
              <w:rPr>
                <w:rFonts w:ascii="Arial Narrow" w:hAnsi="Arial Narrow" w:cs="Arial"/>
                <w:sz w:val="20"/>
                <w:szCs w:val="20"/>
              </w:rPr>
              <w:t>-4 869</w:t>
            </w:r>
          </w:p>
        </w:tc>
        <w:tc>
          <w:tcPr>
            <w:tcW w:w="649" w:type="pct"/>
            <w:tcBorders>
              <w:top w:val="nil"/>
              <w:left w:val="nil"/>
              <w:bottom w:val="single" w:sz="4" w:space="0" w:color="auto"/>
              <w:right w:val="single" w:sz="4" w:space="0" w:color="auto"/>
            </w:tcBorders>
            <w:shd w:val="clear" w:color="auto" w:fill="auto"/>
            <w:noWrap/>
            <w:vAlign w:val="center"/>
            <w:hideMark/>
          </w:tcPr>
          <w:p w14:paraId="773B7C03" w14:textId="77777777" w:rsidR="00FE123E" w:rsidRPr="00FE123E" w:rsidRDefault="00FE123E" w:rsidP="00FE123E">
            <w:pPr>
              <w:jc w:val="right"/>
              <w:rPr>
                <w:rFonts w:ascii="Arial Narrow" w:hAnsi="Arial Narrow" w:cs="Arial"/>
                <w:sz w:val="20"/>
                <w:szCs w:val="20"/>
              </w:rPr>
            </w:pPr>
            <w:r w:rsidRPr="00FE123E">
              <w:rPr>
                <w:rFonts w:ascii="Arial Narrow" w:hAnsi="Arial Narrow" w:cs="Arial"/>
                <w:sz w:val="20"/>
                <w:szCs w:val="20"/>
              </w:rPr>
              <w:t>-15,7%</w:t>
            </w:r>
          </w:p>
        </w:tc>
      </w:tr>
      <w:tr w:rsidR="00FE123E" w:rsidRPr="00FE123E" w14:paraId="5BA7F0F2" w14:textId="77777777" w:rsidTr="00AF67ED">
        <w:trPr>
          <w:trHeight w:val="360"/>
        </w:trPr>
        <w:tc>
          <w:tcPr>
            <w:tcW w:w="1843" w:type="pct"/>
            <w:tcBorders>
              <w:top w:val="nil"/>
              <w:left w:val="single" w:sz="4" w:space="0" w:color="auto"/>
              <w:bottom w:val="single" w:sz="4" w:space="0" w:color="auto"/>
              <w:right w:val="single" w:sz="4" w:space="0" w:color="auto"/>
            </w:tcBorders>
            <w:shd w:val="clear" w:color="auto" w:fill="auto"/>
            <w:noWrap/>
            <w:vAlign w:val="center"/>
            <w:hideMark/>
          </w:tcPr>
          <w:p w14:paraId="76312153" w14:textId="77777777" w:rsidR="00FE123E" w:rsidRPr="00FE123E" w:rsidRDefault="00FE123E" w:rsidP="00FE123E">
            <w:pPr>
              <w:ind w:firstLineChars="100" w:firstLine="200"/>
              <w:rPr>
                <w:rFonts w:ascii="Arial Narrow" w:hAnsi="Arial Narrow" w:cs="Arial"/>
                <w:sz w:val="20"/>
                <w:szCs w:val="20"/>
              </w:rPr>
            </w:pPr>
            <w:r w:rsidRPr="00FE123E">
              <w:rPr>
                <w:rFonts w:ascii="Arial Narrow" w:hAnsi="Arial Narrow" w:cs="Arial"/>
                <w:sz w:val="20"/>
                <w:szCs w:val="20"/>
              </w:rPr>
              <w:t>Турция</w:t>
            </w:r>
          </w:p>
        </w:tc>
        <w:tc>
          <w:tcPr>
            <w:tcW w:w="820" w:type="pct"/>
            <w:tcBorders>
              <w:top w:val="nil"/>
              <w:left w:val="nil"/>
              <w:bottom w:val="single" w:sz="4" w:space="0" w:color="auto"/>
              <w:right w:val="single" w:sz="4" w:space="0" w:color="auto"/>
            </w:tcBorders>
            <w:shd w:val="clear" w:color="auto" w:fill="auto"/>
            <w:noWrap/>
            <w:vAlign w:val="center"/>
            <w:hideMark/>
          </w:tcPr>
          <w:p w14:paraId="55D859A6" w14:textId="77777777" w:rsidR="00FE123E" w:rsidRPr="00FE123E" w:rsidRDefault="00FE123E" w:rsidP="00FE123E">
            <w:pPr>
              <w:jc w:val="right"/>
              <w:rPr>
                <w:rFonts w:ascii="Arial Narrow" w:hAnsi="Arial Narrow" w:cs="Arial"/>
                <w:sz w:val="20"/>
                <w:szCs w:val="20"/>
              </w:rPr>
            </w:pPr>
            <w:r w:rsidRPr="00FE123E">
              <w:rPr>
                <w:rFonts w:ascii="Arial Narrow" w:hAnsi="Arial Narrow" w:cs="Arial"/>
                <w:sz w:val="20"/>
                <w:szCs w:val="20"/>
              </w:rPr>
              <w:t>17 666</w:t>
            </w:r>
          </w:p>
        </w:tc>
        <w:tc>
          <w:tcPr>
            <w:tcW w:w="820" w:type="pct"/>
            <w:tcBorders>
              <w:top w:val="nil"/>
              <w:left w:val="nil"/>
              <w:bottom w:val="single" w:sz="4" w:space="0" w:color="auto"/>
              <w:right w:val="single" w:sz="4" w:space="0" w:color="auto"/>
            </w:tcBorders>
            <w:shd w:val="clear" w:color="auto" w:fill="auto"/>
            <w:noWrap/>
            <w:vAlign w:val="center"/>
            <w:hideMark/>
          </w:tcPr>
          <w:p w14:paraId="67F40FBE" w14:textId="77777777" w:rsidR="00FE123E" w:rsidRPr="00FE123E" w:rsidRDefault="00FE123E" w:rsidP="00FE123E">
            <w:pPr>
              <w:jc w:val="right"/>
              <w:rPr>
                <w:rFonts w:ascii="Arial Narrow" w:hAnsi="Arial Narrow" w:cs="Arial"/>
                <w:sz w:val="20"/>
                <w:szCs w:val="20"/>
              </w:rPr>
            </w:pPr>
            <w:r w:rsidRPr="00FE123E">
              <w:rPr>
                <w:rFonts w:ascii="Arial Narrow" w:hAnsi="Arial Narrow" w:cs="Arial"/>
                <w:sz w:val="20"/>
                <w:szCs w:val="20"/>
              </w:rPr>
              <w:t>23 805</w:t>
            </w:r>
          </w:p>
        </w:tc>
        <w:tc>
          <w:tcPr>
            <w:tcW w:w="867" w:type="pct"/>
            <w:tcBorders>
              <w:top w:val="nil"/>
              <w:left w:val="nil"/>
              <w:bottom w:val="single" w:sz="4" w:space="0" w:color="auto"/>
              <w:right w:val="single" w:sz="4" w:space="0" w:color="auto"/>
            </w:tcBorders>
            <w:shd w:val="clear" w:color="auto" w:fill="auto"/>
            <w:noWrap/>
            <w:vAlign w:val="center"/>
            <w:hideMark/>
          </w:tcPr>
          <w:p w14:paraId="190CCF15" w14:textId="77777777" w:rsidR="00FE123E" w:rsidRPr="00FE123E" w:rsidRDefault="00FE123E" w:rsidP="00FE123E">
            <w:pPr>
              <w:jc w:val="right"/>
              <w:rPr>
                <w:rFonts w:ascii="Arial Narrow" w:hAnsi="Arial Narrow" w:cs="Arial"/>
                <w:sz w:val="20"/>
                <w:szCs w:val="20"/>
              </w:rPr>
            </w:pPr>
            <w:r w:rsidRPr="00FE123E">
              <w:rPr>
                <w:rFonts w:ascii="Arial Narrow" w:hAnsi="Arial Narrow" w:cs="Arial"/>
                <w:sz w:val="20"/>
                <w:szCs w:val="20"/>
              </w:rPr>
              <w:t>6 139</w:t>
            </w:r>
          </w:p>
        </w:tc>
        <w:tc>
          <w:tcPr>
            <w:tcW w:w="649" w:type="pct"/>
            <w:tcBorders>
              <w:top w:val="nil"/>
              <w:left w:val="nil"/>
              <w:bottom w:val="single" w:sz="4" w:space="0" w:color="auto"/>
              <w:right w:val="single" w:sz="4" w:space="0" w:color="auto"/>
            </w:tcBorders>
            <w:shd w:val="clear" w:color="auto" w:fill="auto"/>
            <w:noWrap/>
            <w:vAlign w:val="center"/>
            <w:hideMark/>
          </w:tcPr>
          <w:p w14:paraId="1B71110D" w14:textId="77777777" w:rsidR="00FE123E" w:rsidRPr="00FE123E" w:rsidRDefault="00FE123E" w:rsidP="00FE123E">
            <w:pPr>
              <w:jc w:val="right"/>
              <w:rPr>
                <w:rFonts w:ascii="Arial Narrow" w:hAnsi="Arial Narrow" w:cs="Arial"/>
                <w:sz w:val="20"/>
                <w:szCs w:val="20"/>
              </w:rPr>
            </w:pPr>
            <w:r w:rsidRPr="00FE123E">
              <w:rPr>
                <w:rFonts w:ascii="Arial Narrow" w:hAnsi="Arial Narrow" w:cs="Arial"/>
                <w:sz w:val="20"/>
                <w:szCs w:val="20"/>
              </w:rPr>
              <w:t>34,8%</w:t>
            </w:r>
          </w:p>
        </w:tc>
      </w:tr>
      <w:tr w:rsidR="00FE123E" w:rsidRPr="00FE123E" w14:paraId="377D158C" w14:textId="77777777" w:rsidTr="00AF67ED">
        <w:trPr>
          <w:trHeight w:val="360"/>
        </w:trPr>
        <w:tc>
          <w:tcPr>
            <w:tcW w:w="1843" w:type="pct"/>
            <w:tcBorders>
              <w:top w:val="nil"/>
              <w:left w:val="single" w:sz="4" w:space="0" w:color="auto"/>
              <w:bottom w:val="single" w:sz="4" w:space="0" w:color="auto"/>
              <w:right w:val="single" w:sz="4" w:space="0" w:color="auto"/>
            </w:tcBorders>
            <w:shd w:val="clear" w:color="auto" w:fill="auto"/>
            <w:noWrap/>
            <w:vAlign w:val="center"/>
            <w:hideMark/>
          </w:tcPr>
          <w:p w14:paraId="54D349DB" w14:textId="77777777" w:rsidR="00FE123E" w:rsidRPr="00FE123E" w:rsidRDefault="00FE123E" w:rsidP="00FE123E">
            <w:pPr>
              <w:ind w:firstLineChars="100" w:firstLine="200"/>
              <w:rPr>
                <w:rFonts w:ascii="Arial Narrow" w:hAnsi="Arial Narrow" w:cs="Arial"/>
                <w:sz w:val="20"/>
                <w:szCs w:val="20"/>
              </w:rPr>
            </w:pPr>
            <w:r w:rsidRPr="00FE123E">
              <w:rPr>
                <w:rFonts w:ascii="Arial Narrow" w:hAnsi="Arial Narrow" w:cs="Arial"/>
                <w:sz w:val="20"/>
                <w:szCs w:val="20"/>
              </w:rPr>
              <w:t>САЩ</w:t>
            </w:r>
          </w:p>
        </w:tc>
        <w:tc>
          <w:tcPr>
            <w:tcW w:w="820" w:type="pct"/>
            <w:tcBorders>
              <w:top w:val="nil"/>
              <w:left w:val="nil"/>
              <w:bottom w:val="single" w:sz="4" w:space="0" w:color="auto"/>
              <w:right w:val="single" w:sz="4" w:space="0" w:color="auto"/>
            </w:tcBorders>
            <w:shd w:val="clear" w:color="auto" w:fill="auto"/>
            <w:noWrap/>
            <w:vAlign w:val="center"/>
            <w:hideMark/>
          </w:tcPr>
          <w:p w14:paraId="48C53D83" w14:textId="77777777" w:rsidR="00FE123E" w:rsidRPr="00FE123E" w:rsidRDefault="00FE123E" w:rsidP="00FE123E">
            <w:pPr>
              <w:jc w:val="right"/>
              <w:rPr>
                <w:rFonts w:ascii="Arial Narrow" w:hAnsi="Arial Narrow" w:cs="Arial"/>
                <w:sz w:val="20"/>
                <w:szCs w:val="20"/>
              </w:rPr>
            </w:pPr>
            <w:r w:rsidRPr="00FE123E">
              <w:rPr>
                <w:rFonts w:ascii="Arial Narrow" w:hAnsi="Arial Narrow" w:cs="Arial"/>
                <w:sz w:val="20"/>
                <w:szCs w:val="20"/>
              </w:rPr>
              <w:t>5 832</w:t>
            </w:r>
          </w:p>
        </w:tc>
        <w:tc>
          <w:tcPr>
            <w:tcW w:w="820" w:type="pct"/>
            <w:tcBorders>
              <w:top w:val="nil"/>
              <w:left w:val="nil"/>
              <w:bottom w:val="single" w:sz="4" w:space="0" w:color="auto"/>
              <w:right w:val="single" w:sz="4" w:space="0" w:color="auto"/>
            </w:tcBorders>
            <w:shd w:val="clear" w:color="auto" w:fill="auto"/>
            <w:noWrap/>
            <w:vAlign w:val="center"/>
            <w:hideMark/>
          </w:tcPr>
          <w:p w14:paraId="51D59418" w14:textId="77777777" w:rsidR="00FE123E" w:rsidRPr="00FE123E" w:rsidRDefault="00FE123E" w:rsidP="00FE123E">
            <w:pPr>
              <w:jc w:val="right"/>
              <w:rPr>
                <w:rFonts w:ascii="Arial Narrow" w:hAnsi="Arial Narrow" w:cs="Arial"/>
                <w:sz w:val="20"/>
                <w:szCs w:val="20"/>
              </w:rPr>
            </w:pPr>
            <w:r w:rsidRPr="00FE123E">
              <w:rPr>
                <w:rFonts w:ascii="Arial Narrow" w:hAnsi="Arial Narrow" w:cs="Arial"/>
                <w:sz w:val="20"/>
                <w:szCs w:val="20"/>
              </w:rPr>
              <w:t>20 022</w:t>
            </w:r>
          </w:p>
        </w:tc>
        <w:tc>
          <w:tcPr>
            <w:tcW w:w="867" w:type="pct"/>
            <w:tcBorders>
              <w:top w:val="nil"/>
              <w:left w:val="nil"/>
              <w:bottom w:val="single" w:sz="4" w:space="0" w:color="auto"/>
              <w:right w:val="single" w:sz="4" w:space="0" w:color="auto"/>
            </w:tcBorders>
            <w:shd w:val="clear" w:color="auto" w:fill="auto"/>
            <w:noWrap/>
            <w:vAlign w:val="center"/>
            <w:hideMark/>
          </w:tcPr>
          <w:p w14:paraId="099F3DD4" w14:textId="77777777" w:rsidR="00FE123E" w:rsidRPr="00FE123E" w:rsidRDefault="00FE123E" w:rsidP="00FE123E">
            <w:pPr>
              <w:jc w:val="right"/>
              <w:rPr>
                <w:rFonts w:ascii="Arial Narrow" w:hAnsi="Arial Narrow" w:cs="Arial"/>
                <w:sz w:val="20"/>
                <w:szCs w:val="20"/>
              </w:rPr>
            </w:pPr>
            <w:r w:rsidRPr="00FE123E">
              <w:rPr>
                <w:rFonts w:ascii="Arial Narrow" w:hAnsi="Arial Narrow" w:cs="Arial"/>
                <w:sz w:val="20"/>
                <w:szCs w:val="20"/>
              </w:rPr>
              <w:t>14 190</w:t>
            </w:r>
          </w:p>
        </w:tc>
        <w:tc>
          <w:tcPr>
            <w:tcW w:w="649" w:type="pct"/>
            <w:tcBorders>
              <w:top w:val="nil"/>
              <w:left w:val="nil"/>
              <w:bottom w:val="single" w:sz="4" w:space="0" w:color="auto"/>
              <w:right w:val="single" w:sz="4" w:space="0" w:color="auto"/>
            </w:tcBorders>
            <w:shd w:val="clear" w:color="auto" w:fill="auto"/>
            <w:noWrap/>
            <w:vAlign w:val="center"/>
            <w:hideMark/>
          </w:tcPr>
          <w:p w14:paraId="3D13B114" w14:textId="77777777" w:rsidR="00FE123E" w:rsidRPr="00FE123E" w:rsidRDefault="00FE123E" w:rsidP="00FE123E">
            <w:pPr>
              <w:jc w:val="right"/>
              <w:rPr>
                <w:rFonts w:ascii="Arial Narrow" w:hAnsi="Arial Narrow" w:cs="Arial"/>
                <w:sz w:val="20"/>
                <w:szCs w:val="20"/>
              </w:rPr>
            </w:pPr>
            <w:r w:rsidRPr="00FE123E">
              <w:rPr>
                <w:rFonts w:ascii="Arial Narrow" w:hAnsi="Arial Narrow" w:cs="Arial"/>
                <w:sz w:val="20"/>
                <w:szCs w:val="20"/>
              </w:rPr>
              <w:t>243,3%</w:t>
            </w:r>
          </w:p>
        </w:tc>
      </w:tr>
      <w:tr w:rsidR="00FE123E" w:rsidRPr="00FE123E" w14:paraId="551ECEBF" w14:textId="77777777" w:rsidTr="00AF67ED">
        <w:trPr>
          <w:trHeight w:val="360"/>
        </w:trPr>
        <w:tc>
          <w:tcPr>
            <w:tcW w:w="1843" w:type="pct"/>
            <w:tcBorders>
              <w:top w:val="nil"/>
              <w:left w:val="single" w:sz="4" w:space="0" w:color="auto"/>
              <w:bottom w:val="single" w:sz="4" w:space="0" w:color="auto"/>
              <w:right w:val="single" w:sz="4" w:space="0" w:color="auto"/>
            </w:tcBorders>
            <w:shd w:val="clear" w:color="auto" w:fill="auto"/>
            <w:noWrap/>
            <w:vAlign w:val="center"/>
            <w:hideMark/>
          </w:tcPr>
          <w:p w14:paraId="54B0680F" w14:textId="77777777" w:rsidR="00FE123E" w:rsidRPr="00FE123E" w:rsidRDefault="00FE123E" w:rsidP="00FE123E">
            <w:pPr>
              <w:ind w:firstLineChars="100" w:firstLine="200"/>
              <w:rPr>
                <w:rFonts w:ascii="Arial Narrow" w:hAnsi="Arial Narrow" w:cs="Arial"/>
                <w:sz w:val="20"/>
                <w:szCs w:val="20"/>
              </w:rPr>
            </w:pPr>
            <w:r w:rsidRPr="00FE123E">
              <w:rPr>
                <w:rFonts w:ascii="Arial Narrow" w:hAnsi="Arial Narrow" w:cs="Arial"/>
                <w:sz w:val="20"/>
                <w:szCs w:val="20"/>
              </w:rPr>
              <w:t>Косово</w:t>
            </w:r>
          </w:p>
        </w:tc>
        <w:tc>
          <w:tcPr>
            <w:tcW w:w="820" w:type="pct"/>
            <w:tcBorders>
              <w:top w:val="nil"/>
              <w:left w:val="nil"/>
              <w:bottom w:val="single" w:sz="4" w:space="0" w:color="auto"/>
              <w:right w:val="single" w:sz="4" w:space="0" w:color="auto"/>
            </w:tcBorders>
            <w:shd w:val="clear" w:color="auto" w:fill="auto"/>
            <w:noWrap/>
            <w:vAlign w:val="center"/>
            <w:hideMark/>
          </w:tcPr>
          <w:p w14:paraId="0E94FD3D" w14:textId="77777777" w:rsidR="00FE123E" w:rsidRPr="00FE123E" w:rsidRDefault="00FE123E" w:rsidP="00FE123E">
            <w:pPr>
              <w:jc w:val="right"/>
              <w:rPr>
                <w:rFonts w:ascii="Arial Narrow" w:hAnsi="Arial Narrow" w:cs="Arial"/>
                <w:sz w:val="20"/>
                <w:szCs w:val="20"/>
              </w:rPr>
            </w:pPr>
            <w:r w:rsidRPr="00FE123E">
              <w:rPr>
                <w:rFonts w:ascii="Arial Narrow" w:hAnsi="Arial Narrow" w:cs="Arial"/>
                <w:sz w:val="20"/>
                <w:szCs w:val="20"/>
              </w:rPr>
              <w:t>150 000</w:t>
            </w:r>
          </w:p>
        </w:tc>
        <w:tc>
          <w:tcPr>
            <w:tcW w:w="820" w:type="pct"/>
            <w:tcBorders>
              <w:top w:val="nil"/>
              <w:left w:val="nil"/>
              <w:bottom w:val="single" w:sz="4" w:space="0" w:color="auto"/>
              <w:right w:val="single" w:sz="4" w:space="0" w:color="auto"/>
            </w:tcBorders>
            <w:shd w:val="clear" w:color="auto" w:fill="auto"/>
            <w:noWrap/>
            <w:vAlign w:val="center"/>
            <w:hideMark/>
          </w:tcPr>
          <w:p w14:paraId="04C3D552" w14:textId="77777777" w:rsidR="00FE123E" w:rsidRPr="00FE123E" w:rsidRDefault="00FE123E" w:rsidP="00FE123E">
            <w:pPr>
              <w:jc w:val="right"/>
              <w:rPr>
                <w:rFonts w:ascii="Arial Narrow" w:hAnsi="Arial Narrow" w:cs="Arial"/>
                <w:sz w:val="20"/>
                <w:szCs w:val="20"/>
              </w:rPr>
            </w:pPr>
            <w:r w:rsidRPr="00FE123E">
              <w:rPr>
                <w:rFonts w:ascii="Arial Narrow" w:hAnsi="Arial Narrow" w:cs="Arial"/>
                <w:sz w:val="20"/>
                <w:szCs w:val="20"/>
              </w:rPr>
              <w:t>0</w:t>
            </w:r>
          </w:p>
        </w:tc>
        <w:tc>
          <w:tcPr>
            <w:tcW w:w="867" w:type="pct"/>
            <w:tcBorders>
              <w:top w:val="nil"/>
              <w:left w:val="nil"/>
              <w:bottom w:val="single" w:sz="4" w:space="0" w:color="auto"/>
              <w:right w:val="single" w:sz="4" w:space="0" w:color="auto"/>
            </w:tcBorders>
            <w:shd w:val="clear" w:color="auto" w:fill="auto"/>
            <w:noWrap/>
            <w:vAlign w:val="center"/>
            <w:hideMark/>
          </w:tcPr>
          <w:p w14:paraId="67DB5B31" w14:textId="77777777" w:rsidR="00FE123E" w:rsidRPr="00FE123E" w:rsidRDefault="00FE123E" w:rsidP="00FE123E">
            <w:pPr>
              <w:jc w:val="right"/>
              <w:rPr>
                <w:rFonts w:ascii="Arial Narrow" w:hAnsi="Arial Narrow" w:cs="Arial"/>
                <w:sz w:val="20"/>
                <w:szCs w:val="20"/>
              </w:rPr>
            </w:pPr>
            <w:r w:rsidRPr="00FE123E">
              <w:rPr>
                <w:rFonts w:ascii="Arial Narrow" w:hAnsi="Arial Narrow" w:cs="Arial"/>
                <w:sz w:val="20"/>
                <w:szCs w:val="20"/>
              </w:rPr>
              <w:t>-150 000</w:t>
            </w:r>
          </w:p>
        </w:tc>
        <w:tc>
          <w:tcPr>
            <w:tcW w:w="649" w:type="pct"/>
            <w:tcBorders>
              <w:top w:val="nil"/>
              <w:left w:val="nil"/>
              <w:bottom w:val="single" w:sz="4" w:space="0" w:color="auto"/>
              <w:right w:val="single" w:sz="4" w:space="0" w:color="auto"/>
            </w:tcBorders>
            <w:shd w:val="clear" w:color="auto" w:fill="auto"/>
            <w:noWrap/>
            <w:vAlign w:val="center"/>
            <w:hideMark/>
          </w:tcPr>
          <w:p w14:paraId="65464DAD" w14:textId="77777777" w:rsidR="00FE123E" w:rsidRPr="00FE123E" w:rsidRDefault="00FE123E" w:rsidP="00FE123E">
            <w:pPr>
              <w:jc w:val="right"/>
              <w:rPr>
                <w:rFonts w:ascii="Arial Narrow" w:hAnsi="Arial Narrow" w:cs="Arial"/>
                <w:sz w:val="20"/>
                <w:szCs w:val="20"/>
              </w:rPr>
            </w:pPr>
            <w:r w:rsidRPr="00FE123E">
              <w:rPr>
                <w:rFonts w:ascii="Arial Narrow" w:hAnsi="Arial Narrow" w:cs="Arial"/>
                <w:sz w:val="20"/>
                <w:szCs w:val="20"/>
              </w:rPr>
              <w:t>-100,0%</w:t>
            </w:r>
          </w:p>
        </w:tc>
      </w:tr>
      <w:tr w:rsidR="00FE123E" w:rsidRPr="00FE123E" w14:paraId="714D9F8D" w14:textId="77777777" w:rsidTr="00AF67ED">
        <w:trPr>
          <w:trHeight w:val="360"/>
        </w:trPr>
        <w:tc>
          <w:tcPr>
            <w:tcW w:w="1843" w:type="pct"/>
            <w:tcBorders>
              <w:top w:val="nil"/>
              <w:left w:val="single" w:sz="4" w:space="0" w:color="auto"/>
              <w:bottom w:val="single" w:sz="4" w:space="0" w:color="auto"/>
              <w:right w:val="single" w:sz="4" w:space="0" w:color="auto"/>
            </w:tcBorders>
            <w:shd w:val="clear" w:color="auto" w:fill="auto"/>
            <w:noWrap/>
            <w:vAlign w:val="center"/>
            <w:hideMark/>
          </w:tcPr>
          <w:p w14:paraId="19EE5A9E" w14:textId="77777777" w:rsidR="00FE123E" w:rsidRPr="00FE123E" w:rsidRDefault="00FE123E" w:rsidP="00FE123E">
            <w:pPr>
              <w:ind w:firstLineChars="100" w:firstLine="200"/>
              <w:rPr>
                <w:rFonts w:ascii="Arial Narrow" w:hAnsi="Arial Narrow" w:cs="Arial"/>
                <w:sz w:val="20"/>
                <w:szCs w:val="20"/>
              </w:rPr>
            </w:pPr>
            <w:r w:rsidRPr="00FE123E">
              <w:rPr>
                <w:rFonts w:ascii="Arial Narrow" w:hAnsi="Arial Narrow" w:cs="Arial"/>
                <w:sz w:val="20"/>
                <w:szCs w:val="20"/>
              </w:rPr>
              <w:t>Други</w:t>
            </w:r>
          </w:p>
        </w:tc>
        <w:tc>
          <w:tcPr>
            <w:tcW w:w="820" w:type="pct"/>
            <w:tcBorders>
              <w:top w:val="nil"/>
              <w:left w:val="nil"/>
              <w:bottom w:val="single" w:sz="4" w:space="0" w:color="auto"/>
              <w:right w:val="single" w:sz="4" w:space="0" w:color="auto"/>
            </w:tcBorders>
            <w:shd w:val="clear" w:color="auto" w:fill="auto"/>
            <w:noWrap/>
            <w:vAlign w:val="center"/>
            <w:hideMark/>
          </w:tcPr>
          <w:p w14:paraId="68172215" w14:textId="77777777" w:rsidR="00FE123E" w:rsidRPr="00FE123E" w:rsidRDefault="00FE123E" w:rsidP="00FE123E">
            <w:pPr>
              <w:jc w:val="right"/>
              <w:rPr>
                <w:rFonts w:ascii="Arial Narrow" w:hAnsi="Arial Narrow" w:cs="Arial"/>
                <w:sz w:val="20"/>
                <w:szCs w:val="20"/>
              </w:rPr>
            </w:pPr>
            <w:r w:rsidRPr="00FE123E">
              <w:rPr>
                <w:rFonts w:ascii="Arial Narrow" w:hAnsi="Arial Narrow" w:cs="Arial"/>
                <w:sz w:val="20"/>
                <w:szCs w:val="20"/>
              </w:rPr>
              <w:t>13 159</w:t>
            </w:r>
          </w:p>
        </w:tc>
        <w:tc>
          <w:tcPr>
            <w:tcW w:w="820" w:type="pct"/>
            <w:tcBorders>
              <w:top w:val="nil"/>
              <w:left w:val="nil"/>
              <w:bottom w:val="single" w:sz="4" w:space="0" w:color="auto"/>
              <w:right w:val="single" w:sz="4" w:space="0" w:color="auto"/>
            </w:tcBorders>
            <w:shd w:val="clear" w:color="auto" w:fill="auto"/>
            <w:noWrap/>
            <w:vAlign w:val="center"/>
            <w:hideMark/>
          </w:tcPr>
          <w:p w14:paraId="5A8372CB" w14:textId="77777777" w:rsidR="00FE123E" w:rsidRPr="00FE123E" w:rsidRDefault="00FE123E" w:rsidP="00FE123E">
            <w:pPr>
              <w:jc w:val="right"/>
              <w:rPr>
                <w:rFonts w:ascii="Arial Narrow" w:hAnsi="Arial Narrow" w:cs="Arial"/>
                <w:sz w:val="20"/>
                <w:szCs w:val="20"/>
              </w:rPr>
            </w:pPr>
            <w:r w:rsidRPr="00FE123E">
              <w:rPr>
                <w:rFonts w:ascii="Arial Narrow" w:hAnsi="Arial Narrow" w:cs="Arial"/>
                <w:sz w:val="20"/>
                <w:szCs w:val="20"/>
              </w:rPr>
              <w:t>8 841</w:t>
            </w:r>
          </w:p>
        </w:tc>
        <w:tc>
          <w:tcPr>
            <w:tcW w:w="867" w:type="pct"/>
            <w:tcBorders>
              <w:top w:val="nil"/>
              <w:left w:val="nil"/>
              <w:bottom w:val="single" w:sz="4" w:space="0" w:color="auto"/>
              <w:right w:val="single" w:sz="4" w:space="0" w:color="auto"/>
            </w:tcBorders>
            <w:shd w:val="clear" w:color="auto" w:fill="auto"/>
            <w:noWrap/>
            <w:vAlign w:val="center"/>
            <w:hideMark/>
          </w:tcPr>
          <w:p w14:paraId="7FD7B68D" w14:textId="77777777" w:rsidR="00FE123E" w:rsidRPr="00FE123E" w:rsidRDefault="00FE123E" w:rsidP="00FE123E">
            <w:pPr>
              <w:jc w:val="right"/>
              <w:rPr>
                <w:rFonts w:ascii="Arial Narrow" w:hAnsi="Arial Narrow" w:cs="Arial"/>
                <w:sz w:val="20"/>
                <w:szCs w:val="20"/>
              </w:rPr>
            </w:pPr>
            <w:r w:rsidRPr="00FE123E">
              <w:rPr>
                <w:rFonts w:ascii="Arial Narrow" w:hAnsi="Arial Narrow" w:cs="Arial"/>
                <w:sz w:val="20"/>
                <w:szCs w:val="20"/>
              </w:rPr>
              <w:t>-4 318</w:t>
            </w:r>
          </w:p>
        </w:tc>
        <w:tc>
          <w:tcPr>
            <w:tcW w:w="649" w:type="pct"/>
            <w:tcBorders>
              <w:top w:val="nil"/>
              <w:left w:val="nil"/>
              <w:bottom w:val="single" w:sz="4" w:space="0" w:color="auto"/>
              <w:right w:val="single" w:sz="4" w:space="0" w:color="auto"/>
            </w:tcBorders>
            <w:shd w:val="clear" w:color="auto" w:fill="auto"/>
            <w:noWrap/>
            <w:vAlign w:val="center"/>
            <w:hideMark/>
          </w:tcPr>
          <w:p w14:paraId="11833324" w14:textId="77777777" w:rsidR="00FE123E" w:rsidRPr="00FE123E" w:rsidRDefault="00FE123E" w:rsidP="00FE123E">
            <w:pPr>
              <w:jc w:val="right"/>
              <w:rPr>
                <w:rFonts w:ascii="Arial Narrow" w:hAnsi="Arial Narrow" w:cs="Arial"/>
                <w:sz w:val="20"/>
                <w:szCs w:val="20"/>
              </w:rPr>
            </w:pPr>
            <w:r w:rsidRPr="00FE123E">
              <w:rPr>
                <w:rFonts w:ascii="Arial Narrow" w:hAnsi="Arial Narrow" w:cs="Arial"/>
                <w:sz w:val="20"/>
                <w:szCs w:val="20"/>
              </w:rPr>
              <w:t>-32,8%</w:t>
            </w:r>
          </w:p>
        </w:tc>
      </w:tr>
      <w:tr w:rsidR="00FE123E" w:rsidRPr="00FE123E" w14:paraId="449F7FA2" w14:textId="77777777" w:rsidTr="00AF67ED">
        <w:trPr>
          <w:trHeight w:val="360"/>
        </w:trPr>
        <w:tc>
          <w:tcPr>
            <w:tcW w:w="1843" w:type="pct"/>
            <w:tcBorders>
              <w:top w:val="nil"/>
              <w:left w:val="single" w:sz="4" w:space="0" w:color="auto"/>
              <w:bottom w:val="single" w:sz="4" w:space="0" w:color="auto"/>
              <w:right w:val="single" w:sz="4" w:space="0" w:color="auto"/>
            </w:tcBorders>
            <w:shd w:val="clear" w:color="auto" w:fill="auto"/>
            <w:noWrap/>
            <w:vAlign w:val="center"/>
            <w:hideMark/>
          </w:tcPr>
          <w:p w14:paraId="49EEDC42" w14:textId="77777777" w:rsidR="00FE123E" w:rsidRPr="00FE123E" w:rsidRDefault="00FE123E" w:rsidP="00FE123E">
            <w:pPr>
              <w:rPr>
                <w:rFonts w:ascii="Arial Narrow" w:hAnsi="Arial Narrow" w:cs="Arial"/>
                <w:b/>
                <w:bCs/>
                <w:sz w:val="20"/>
                <w:szCs w:val="20"/>
              </w:rPr>
            </w:pPr>
            <w:r w:rsidRPr="00FE123E">
              <w:rPr>
                <w:rFonts w:ascii="Arial Narrow" w:hAnsi="Arial Narrow" w:cs="Arial"/>
                <w:b/>
                <w:bCs/>
                <w:sz w:val="20"/>
                <w:szCs w:val="20"/>
              </w:rPr>
              <w:t>Общо</w:t>
            </w:r>
          </w:p>
        </w:tc>
        <w:tc>
          <w:tcPr>
            <w:tcW w:w="820" w:type="pct"/>
            <w:tcBorders>
              <w:top w:val="nil"/>
              <w:left w:val="nil"/>
              <w:bottom w:val="single" w:sz="4" w:space="0" w:color="auto"/>
              <w:right w:val="single" w:sz="4" w:space="0" w:color="auto"/>
            </w:tcBorders>
            <w:shd w:val="clear" w:color="auto" w:fill="auto"/>
            <w:noWrap/>
            <w:vAlign w:val="center"/>
            <w:hideMark/>
          </w:tcPr>
          <w:p w14:paraId="6B84A983" w14:textId="77777777" w:rsidR="00FE123E" w:rsidRPr="00FE123E" w:rsidRDefault="00FE123E" w:rsidP="00FE123E">
            <w:pPr>
              <w:jc w:val="right"/>
              <w:rPr>
                <w:rFonts w:ascii="Arial Narrow" w:hAnsi="Arial Narrow" w:cs="Arial"/>
                <w:b/>
                <w:bCs/>
                <w:sz w:val="20"/>
                <w:szCs w:val="20"/>
              </w:rPr>
            </w:pPr>
            <w:r w:rsidRPr="00FE123E">
              <w:rPr>
                <w:rFonts w:ascii="Arial Narrow" w:hAnsi="Arial Narrow" w:cs="Arial"/>
                <w:b/>
                <w:bCs/>
                <w:sz w:val="20"/>
                <w:szCs w:val="20"/>
              </w:rPr>
              <w:t>13 797 877</w:t>
            </w:r>
          </w:p>
        </w:tc>
        <w:tc>
          <w:tcPr>
            <w:tcW w:w="820" w:type="pct"/>
            <w:tcBorders>
              <w:top w:val="nil"/>
              <w:left w:val="nil"/>
              <w:bottom w:val="single" w:sz="4" w:space="0" w:color="auto"/>
              <w:right w:val="single" w:sz="4" w:space="0" w:color="auto"/>
            </w:tcBorders>
            <w:shd w:val="clear" w:color="auto" w:fill="auto"/>
            <w:noWrap/>
            <w:vAlign w:val="center"/>
            <w:hideMark/>
          </w:tcPr>
          <w:p w14:paraId="5B68091D" w14:textId="77777777" w:rsidR="00FE123E" w:rsidRPr="00FE123E" w:rsidRDefault="00FE123E" w:rsidP="00FE123E">
            <w:pPr>
              <w:jc w:val="right"/>
              <w:rPr>
                <w:rFonts w:ascii="Arial Narrow" w:hAnsi="Arial Narrow" w:cs="Arial"/>
                <w:b/>
                <w:bCs/>
                <w:sz w:val="20"/>
                <w:szCs w:val="20"/>
              </w:rPr>
            </w:pPr>
            <w:r w:rsidRPr="00FE123E">
              <w:rPr>
                <w:rFonts w:ascii="Arial Narrow" w:hAnsi="Arial Narrow" w:cs="Arial"/>
                <w:b/>
                <w:bCs/>
                <w:sz w:val="20"/>
                <w:szCs w:val="20"/>
              </w:rPr>
              <w:t>14 859 389</w:t>
            </w:r>
          </w:p>
        </w:tc>
        <w:tc>
          <w:tcPr>
            <w:tcW w:w="867" w:type="pct"/>
            <w:tcBorders>
              <w:top w:val="nil"/>
              <w:left w:val="nil"/>
              <w:bottom w:val="single" w:sz="4" w:space="0" w:color="auto"/>
              <w:right w:val="single" w:sz="4" w:space="0" w:color="auto"/>
            </w:tcBorders>
            <w:shd w:val="clear" w:color="auto" w:fill="auto"/>
            <w:noWrap/>
            <w:vAlign w:val="center"/>
            <w:hideMark/>
          </w:tcPr>
          <w:p w14:paraId="4132878F" w14:textId="77777777" w:rsidR="00FE123E" w:rsidRPr="00FE123E" w:rsidRDefault="00FE123E" w:rsidP="00FE123E">
            <w:pPr>
              <w:jc w:val="right"/>
              <w:rPr>
                <w:rFonts w:ascii="Arial Narrow" w:hAnsi="Arial Narrow" w:cs="Arial"/>
                <w:b/>
                <w:bCs/>
                <w:sz w:val="20"/>
                <w:szCs w:val="20"/>
              </w:rPr>
            </w:pPr>
            <w:r w:rsidRPr="00FE123E">
              <w:rPr>
                <w:rFonts w:ascii="Arial Narrow" w:hAnsi="Arial Narrow" w:cs="Arial"/>
                <w:b/>
                <w:bCs/>
                <w:sz w:val="20"/>
                <w:szCs w:val="20"/>
              </w:rPr>
              <w:t>1 061 512</w:t>
            </w:r>
          </w:p>
        </w:tc>
        <w:tc>
          <w:tcPr>
            <w:tcW w:w="649" w:type="pct"/>
            <w:tcBorders>
              <w:top w:val="nil"/>
              <w:left w:val="nil"/>
              <w:bottom w:val="single" w:sz="4" w:space="0" w:color="auto"/>
              <w:right w:val="single" w:sz="4" w:space="0" w:color="auto"/>
            </w:tcBorders>
            <w:shd w:val="clear" w:color="auto" w:fill="auto"/>
            <w:noWrap/>
            <w:vAlign w:val="center"/>
            <w:hideMark/>
          </w:tcPr>
          <w:p w14:paraId="4A87539D" w14:textId="77777777" w:rsidR="00FE123E" w:rsidRPr="00FE123E" w:rsidRDefault="00FE123E" w:rsidP="00FE123E">
            <w:pPr>
              <w:jc w:val="right"/>
              <w:rPr>
                <w:rFonts w:ascii="Arial Narrow" w:hAnsi="Arial Narrow" w:cs="Arial"/>
                <w:b/>
                <w:bCs/>
                <w:sz w:val="20"/>
                <w:szCs w:val="20"/>
              </w:rPr>
            </w:pPr>
            <w:r w:rsidRPr="00FE123E">
              <w:rPr>
                <w:rFonts w:ascii="Arial Narrow" w:hAnsi="Arial Narrow" w:cs="Arial"/>
                <w:b/>
                <w:bCs/>
                <w:sz w:val="20"/>
                <w:szCs w:val="20"/>
              </w:rPr>
              <w:t>7,7%</w:t>
            </w:r>
          </w:p>
        </w:tc>
      </w:tr>
    </w:tbl>
    <w:p w14:paraId="35F03C46" w14:textId="77777777" w:rsidR="00CD3FE8" w:rsidRPr="00CD3FE8" w:rsidRDefault="00CD3FE8" w:rsidP="00CD3FE8">
      <w:pPr>
        <w:autoSpaceDE w:val="0"/>
        <w:autoSpaceDN w:val="0"/>
        <w:adjustRightInd w:val="0"/>
        <w:spacing w:after="240"/>
        <w:jc w:val="both"/>
        <w:rPr>
          <w:rFonts w:ascii="Arial Narrow" w:hAnsi="Arial Narrow" w:cs="Arial"/>
          <w:i/>
          <w:sz w:val="18"/>
          <w:szCs w:val="18"/>
          <w:lang w:val="bg-BG"/>
        </w:rPr>
      </w:pPr>
      <w:r w:rsidRPr="00CD3FE8">
        <w:rPr>
          <w:rFonts w:ascii="Arial Narrow" w:hAnsi="Arial Narrow" w:cs="Arial"/>
          <w:i/>
          <w:sz w:val="18"/>
          <w:szCs w:val="18"/>
          <w:lang w:val="bg-BG"/>
        </w:rPr>
        <w:t xml:space="preserve">Източник: </w:t>
      </w:r>
      <w:r w:rsidRPr="00CD3FE8">
        <w:rPr>
          <w:rFonts w:ascii="Arial Narrow" w:hAnsi="Arial Narrow" w:cs="Arial"/>
          <w:sz w:val="18"/>
          <w:szCs w:val="18"/>
          <w:lang w:val="bg-BG"/>
        </w:rPr>
        <w:t xml:space="preserve">НСИ </w:t>
      </w:r>
    </w:p>
    <w:p w14:paraId="5C451BC6" w14:textId="77777777" w:rsidR="00CD3FE8" w:rsidRPr="00CD3FE8" w:rsidRDefault="00CD3FE8" w:rsidP="00CD3FE8">
      <w:pPr>
        <w:autoSpaceDE w:val="0"/>
        <w:autoSpaceDN w:val="0"/>
        <w:adjustRightInd w:val="0"/>
        <w:spacing w:after="120"/>
        <w:ind w:firstLine="706"/>
        <w:jc w:val="both"/>
        <w:rPr>
          <w:rFonts w:ascii="Arial Narrow" w:hAnsi="Arial Narrow"/>
          <w:bCs/>
          <w:lang w:val="bg-BG"/>
        </w:rPr>
      </w:pPr>
      <w:r w:rsidRPr="00CD3FE8">
        <w:rPr>
          <w:rFonts w:ascii="Arial Narrow" w:hAnsi="Arial Narrow"/>
          <w:bCs/>
          <w:lang w:val="bg-BG"/>
        </w:rPr>
        <w:lastRenderedPageBreak/>
        <w:t>Доставките на вино от държави членки на ЕС бележат ръст от 1</w:t>
      </w:r>
      <w:r w:rsidR="00F47ABD">
        <w:rPr>
          <w:rFonts w:ascii="Arial Narrow" w:hAnsi="Arial Narrow"/>
          <w:bCs/>
          <w:lang w:val="bg-BG"/>
        </w:rPr>
        <w:t>5</w:t>
      </w:r>
      <w:r w:rsidRPr="00CD3FE8">
        <w:rPr>
          <w:rFonts w:ascii="Arial Narrow" w:hAnsi="Arial Narrow"/>
          <w:bCs/>
          <w:lang w:val="bg-BG"/>
        </w:rPr>
        <w:t>,</w:t>
      </w:r>
      <w:r w:rsidR="00F47ABD">
        <w:rPr>
          <w:rFonts w:ascii="Arial Narrow" w:hAnsi="Arial Narrow"/>
          <w:bCs/>
          <w:lang w:val="bg-BG"/>
        </w:rPr>
        <w:t>6</w:t>
      </w:r>
      <w:r w:rsidRPr="00CD3FE8">
        <w:rPr>
          <w:rFonts w:ascii="Arial Narrow" w:hAnsi="Arial Narrow"/>
          <w:bCs/>
          <w:lang w:val="bg-BG"/>
        </w:rPr>
        <w:t xml:space="preserve">% спрямо 2023 г., възлизайки на 12 </w:t>
      </w:r>
      <w:r w:rsidR="00F47ABD">
        <w:rPr>
          <w:rFonts w:ascii="Arial Narrow" w:hAnsi="Arial Narrow"/>
          <w:bCs/>
          <w:lang w:val="bg-BG"/>
        </w:rPr>
        <w:t>540</w:t>
      </w:r>
      <w:r w:rsidRPr="00CD3FE8">
        <w:rPr>
          <w:rFonts w:ascii="Arial Narrow" w:hAnsi="Arial Narrow"/>
          <w:bCs/>
          <w:lang w:val="bg-BG"/>
        </w:rPr>
        <w:t xml:space="preserve"> хил. литра (84,</w:t>
      </w:r>
      <w:r w:rsidR="00F47ABD">
        <w:rPr>
          <w:rFonts w:ascii="Arial Narrow" w:hAnsi="Arial Narrow"/>
          <w:bCs/>
          <w:lang w:val="bg-BG"/>
        </w:rPr>
        <w:t>4</w:t>
      </w:r>
      <w:r w:rsidRPr="00CD3FE8">
        <w:rPr>
          <w:rFonts w:ascii="Arial Narrow" w:hAnsi="Arial Narrow"/>
          <w:bCs/>
          <w:lang w:val="bg-BG"/>
        </w:rPr>
        <w:t>% от общия импорт). Най-значителни количества са внесени от Италия, Испания, Франция Румъния, Германия и Унгария. Вносът на вина от Унгария и Румъния нараства над два пъти спрямо предходната година, а този от Германия - с 6,</w:t>
      </w:r>
      <w:r w:rsidR="00F47ABD">
        <w:rPr>
          <w:rFonts w:ascii="Arial Narrow" w:hAnsi="Arial Narrow"/>
          <w:bCs/>
          <w:lang w:val="bg-BG"/>
        </w:rPr>
        <w:t>4</w:t>
      </w:r>
      <w:r w:rsidRPr="00CD3FE8">
        <w:rPr>
          <w:rFonts w:ascii="Arial Narrow" w:hAnsi="Arial Narrow"/>
          <w:bCs/>
          <w:lang w:val="bg-BG"/>
        </w:rPr>
        <w:t>%. Обемите от Италия и Испания, са съответно с 8,</w:t>
      </w:r>
      <w:r w:rsidR="00F47ABD">
        <w:rPr>
          <w:rFonts w:ascii="Arial Narrow" w:hAnsi="Arial Narrow"/>
          <w:bCs/>
          <w:lang w:val="bg-BG"/>
        </w:rPr>
        <w:t>3</w:t>
      </w:r>
      <w:r w:rsidRPr="00CD3FE8">
        <w:rPr>
          <w:rFonts w:ascii="Arial Narrow" w:hAnsi="Arial Narrow"/>
          <w:bCs/>
          <w:lang w:val="bg-BG"/>
        </w:rPr>
        <w:t xml:space="preserve">% и 6,3% по-малко на годишна база. Сред останалите партньори, прави впечатление многократното увеличение на вноса от Литва – от 2 хил. литра през 2023 г. до 59 хил. литра през 2024 г. През 2024 г. не е реализиран импорт на вино от Швеция (при 155 хил. литра през предходната година). </w:t>
      </w:r>
    </w:p>
    <w:p w14:paraId="62476CAB" w14:textId="77777777" w:rsidR="00CD3FE8" w:rsidRPr="00CD3FE8" w:rsidRDefault="00CD3FE8" w:rsidP="00CD3FE8">
      <w:pPr>
        <w:autoSpaceDE w:val="0"/>
        <w:autoSpaceDN w:val="0"/>
        <w:adjustRightInd w:val="0"/>
        <w:spacing w:after="120"/>
        <w:ind w:firstLine="706"/>
        <w:jc w:val="both"/>
        <w:rPr>
          <w:rFonts w:ascii="Arial Narrow" w:hAnsi="Arial Narrow"/>
          <w:lang w:val="bg-BG"/>
        </w:rPr>
      </w:pPr>
      <w:r w:rsidRPr="00CD3FE8">
        <w:rPr>
          <w:rFonts w:ascii="Arial Narrow" w:hAnsi="Arial Narrow"/>
          <w:bCs/>
          <w:lang w:val="bg-BG"/>
        </w:rPr>
        <w:t xml:space="preserve">Вносът на вино от трети страни през 2024 г. е в размер на 2 320 хил. литра - с 21,3% под нивото от предходната година, най-вече вследствие на по-малките количества, влезли от Северна Македония (с 406 хил. литра или 38,3%) и липсата на импорт от Косово (при 150 хил. литра година по-рано). Намаление се отчита и при вноса от водещи доставчици като Нова Зеландия (с 10,4%) и Южна Африка (с 29,5%), докато обемите от Молдова, Чили, Аржентина, Грузия, Турция и САЩ нарастват. </w:t>
      </w:r>
    </w:p>
    <w:p w14:paraId="6920D1FB" w14:textId="77777777" w:rsidR="00FA6136" w:rsidRPr="00D42C78" w:rsidRDefault="00412CD9" w:rsidP="00513FF4">
      <w:pPr>
        <w:pStyle w:val="Heading1"/>
        <w:keepLines w:val="0"/>
        <w:numPr>
          <w:ilvl w:val="0"/>
          <w:numId w:val="14"/>
        </w:numPr>
        <w:tabs>
          <w:tab w:val="num" w:pos="360"/>
        </w:tabs>
        <w:overflowPunct w:val="0"/>
        <w:autoSpaceDE w:val="0"/>
        <w:autoSpaceDN w:val="0"/>
        <w:adjustRightInd w:val="0"/>
        <w:spacing w:before="360" w:after="120"/>
        <w:ind w:left="181" w:firstLine="0"/>
        <w:textAlignment w:val="baseline"/>
        <w:rPr>
          <w:rFonts w:ascii="Arial Narrow" w:hAnsi="Arial Narrow"/>
          <w:color w:val="auto"/>
          <w:sz w:val="24"/>
          <w:szCs w:val="24"/>
          <w:lang w:val="bg-BG"/>
        </w:rPr>
      </w:pPr>
      <w:bookmarkStart w:id="67" w:name="_Toc210747566"/>
      <w:r w:rsidRPr="00D42C78">
        <w:rPr>
          <w:rFonts w:ascii="Arial Narrow" w:hAnsi="Arial Narrow"/>
          <w:color w:val="auto"/>
          <w:sz w:val="24"/>
          <w:szCs w:val="24"/>
          <w:lang w:val="bg-BG"/>
        </w:rPr>
        <w:t>ТЪРГОВИЯ СЪС СЕЛСКОСТОПАНСКИ СТОКИ</w:t>
      </w:r>
      <w:bookmarkEnd w:id="67"/>
    </w:p>
    <w:p w14:paraId="2B247FAC" w14:textId="77777777" w:rsidR="00D42C78" w:rsidRPr="00D42C78" w:rsidRDefault="00877C49" w:rsidP="00D42C78">
      <w:pPr>
        <w:keepNext/>
        <w:numPr>
          <w:ilvl w:val="0"/>
          <w:numId w:val="18"/>
        </w:numPr>
        <w:spacing w:after="120"/>
        <w:ind w:left="538" w:hanging="357"/>
        <w:outlineLvl w:val="0"/>
        <w:rPr>
          <w:rFonts w:ascii="Arial Narrow" w:hAnsi="Arial Narrow"/>
          <w:b/>
          <w:lang w:val="bg-BG"/>
        </w:rPr>
      </w:pPr>
      <w:bookmarkStart w:id="68" w:name="_Toc210747567"/>
      <w:r w:rsidRPr="00D42C78">
        <w:rPr>
          <w:rFonts w:ascii="Arial Narrow" w:hAnsi="Arial Narrow"/>
          <w:b/>
          <w:lang w:val="bg-BG"/>
        </w:rPr>
        <w:t>Основни търговски индикатори</w:t>
      </w:r>
      <w:bookmarkEnd w:id="68"/>
    </w:p>
    <w:p w14:paraId="3242BC22" w14:textId="77777777" w:rsidR="00D42C78" w:rsidRPr="00D42C78" w:rsidRDefault="00D42C78" w:rsidP="00D42C78">
      <w:pPr>
        <w:autoSpaceDE w:val="0"/>
        <w:autoSpaceDN w:val="0"/>
        <w:adjustRightInd w:val="0"/>
        <w:spacing w:after="120"/>
        <w:ind w:firstLine="709"/>
        <w:jc w:val="both"/>
        <w:rPr>
          <w:rFonts w:ascii="Arial Narrow" w:hAnsi="Arial Narrow"/>
          <w:lang w:val="bg-BG"/>
        </w:rPr>
      </w:pPr>
      <w:r w:rsidRPr="00D42C78">
        <w:rPr>
          <w:rFonts w:ascii="Arial Narrow" w:hAnsi="Arial Narrow"/>
          <w:lang w:val="bg-BG"/>
        </w:rPr>
        <w:t>По данни на НСИ, през 2024 г. аграрният стокообмен на България възлиза на 13 47</w:t>
      </w:r>
      <w:r w:rsidR="00042C20">
        <w:rPr>
          <w:rFonts w:ascii="Arial Narrow" w:hAnsi="Arial Narrow"/>
          <w:lang w:val="bg-BG"/>
        </w:rPr>
        <w:t>6</w:t>
      </w:r>
      <w:r w:rsidRPr="00D42C78">
        <w:rPr>
          <w:rFonts w:ascii="Arial Narrow" w:hAnsi="Arial Narrow"/>
          <w:lang w:val="bg-BG"/>
        </w:rPr>
        <w:t>,</w:t>
      </w:r>
      <w:r w:rsidR="00042C20">
        <w:rPr>
          <w:rFonts w:ascii="Arial Narrow" w:hAnsi="Arial Narrow"/>
          <w:lang w:val="bg-BG"/>
        </w:rPr>
        <w:t>8</w:t>
      </w:r>
      <w:r w:rsidRPr="00D42C78">
        <w:rPr>
          <w:rFonts w:ascii="Arial Narrow" w:hAnsi="Arial Narrow"/>
          <w:lang w:val="bg-BG"/>
        </w:rPr>
        <w:t xml:space="preserve"> млн. евро, което представлява намаление с 4,7% на годишна база. Износът на селскостопански стоки е на стойност 6 739,5 млн. евро - с 15,1% под нивото от 2023 г., главно вследствие на свиване на реализацията на зърнени и маслодайни култури и на производни продукти като слънчогледово масло, кюспета и други остатъци, използвани за храна на животни. По-ниският експорт на тези продукти се дължи основно на сравнително слабата реколта `2024 при част от зърнените и маслодайните култури (при слънчогледа, царевицата и рапицата - за втора поредна година), в повечето случаи в съчетание с понижение на средните експортни цени. Същевременно аграрният импорт нараства с 8,6%, до 6 73</w:t>
      </w:r>
      <w:r w:rsidR="00042C20">
        <w:rPr>
          <w:rFonts w:ascii="Arial Narrow" w:hAnsi="Arial Narrow"/>
          <w:lang w:val="bg-BG"/>
        </w:rPr>
        <w:t>7</w:t>
      </w:r>
      <w:r w:rsidRPr="00D42C78">
        <w:rPr>
          <w:rFonts w:ascii="Arial Narrow" w:hAnsi="Arial Narrow"/>
          <w:lang w:val="bg-BG"/>
        </w:rPr>
        <w:t>,</w:t>
      </w:r>
      <w:r w:rsidR="00042C20">
        <w:rPr>
          <w:rFonts w:ascii="Arial Narrow" w:hAnsi="Arial Narrow"/>
          <w:lang w:val="bg-BG"/>
        </w:rPr>
        <w:t>3</w:t>
      </w:r>
      <w:r w:rsidRPr="00D42C78">
        <w:rPr>
          <w:rFonts w:ascii="Arial Narrow" w:hAnsi="Arial Narrow"/>
          <w:lang w:val="bg-BG"/>
        </w:rPr>
        <w:t xml:space="preserve"> млн. евро. Така, през 2024 г. традиционно положителното салдо в търговията на България със селскостопански стоки спада до </w:t>
      </w:r>
      <w:r w:rsidR="00042C20">
        <w:rPr>
          <w:rFonts w:ascii="Arial Narrow" w:hAnsi="Arial Narrow"/>
          <w:lang w:val="bg-BG"/>
        </w:rPr>
        <w:t>2</w:t>
      </w:r>
      <w:r w:rsidRPr="00D42C78">
        <w:rPr>
          <w:rFonts w:ascii="Arial Narrow" w:hAnsi="Arial Narrow"/>
          <w:lang w:val="bg-BG"/>
        </w:rPr>
        <w:t>,</w:t>
      </w:r>
      <w:r w:rsidR="00042C20">
        <w:rPr>
          <w:rFonts w:ascii="Arial Narrow" w:hAnsi="Arial Narrow"/>
          <w:lang w:val="bg-BG"/>
        </w:rPr>
        <w:t>2</w:t>
      </w:r>
      <w:r w:rsidRPr="00D42C78">
        <w:rPr>
          <w:rFonts w:ascii="Arial Narrow" w:hAnsi="Arial Narrow"/>
          <w:lang w:val="bg-BG"/>
        </w:rPr>
        <w:t xml:space="preserve"> млн. евро, при 1 740 млн. евро за 2023 г.</w:t>
      </w:r>
    </w:p>
    <w:p w14:paraId="4538253D" w14:textId="77777777" w:rsidR="00D42C78" w:rsidRPr="00D42C78" w:rsidRDefault="00D42C78" w:rsidP="00D42C78">
      <w:pPr>
        <w:autoSpaceDE w:val="0"/>
        <w:autoSpaceDN w:val="0"/>
        <w:adjustRightInd w:val="0"/>
        <w:spacing w:after="120"/>
        <w:ind w:firstLine="709"/>
        <w:jc w:val="both"/>
        <w:rPr>
          <w:rFonts w:ascii="Arial Narrow" w:hAnsi="Arial Narrow"/>
          <w:lang w:val="bg-BG"/>
        </w:rPr>
      </w:pPr>
      <w:r w:rsidRPr="00D42C78">
        <w:rPr>
          <w:rFonts w:ascii="Arial Narrow" w:hAnsi="Arial Narrow"/>
          <w:lang w:val="bg-BG"/>
        </w:rPr>
        <w:t>През 2024 г. селскостопанският отрасъл формира 14,</w:t>
      </w:r>
      <w:r w:rsidRPr="00D42C78">
        <w:rPr>
          <w:rFonts w:ascii="Arial Narrow" w:hAnsi="Arial Narrow"/>
        </w:rPr>
        <w:t>1</w:t>
      </w:r>
      <w:r w:rsidRPr="00D42C78">
        <w:rPr>
          <w:rFonts w:ascii="Arial Narrow" w:hAnsi="Arial Narrow"/>
          <w:lang w:val="bg-BG"/>
        </w:rPr>
        <w:t>% от целия стокообмен на страната за годината, в т. ч. 15,</w:t>
      </w:r>
      <w:r w:rsidRPr="00D42C78">
        <w:rPr>
          <w:rFonts w:ascii="Arial Narrow" w:hAnsi="Arial Narrow"/>
        </w:rPr>
        <w:t>2</w:t>
      </w:r>
      <w:r w:rsidRPr="00D42C78">
        <w:rPr>
          <w:rFonts w:ascii="Arial Narrow" w:hAnsi="Arial Narrow"/>
          <w:lang w:val="bg-BG"/>
        </w:rPr>
        <w:t>% от общия износ и 13,2% от общия внос.</w:t>
      </w:r>
    </w:p>
    <w:p w14:paraId="15F97A8B" w14:textId="77777777" w:rsidR="00D42C78" w:rsidRDefault="00D42C78" w:rsidP="00D42C78">
      <w:pPr>
        <w:autoSpaceDE w:val="0"/>
        <w:autoSpaceDN w:val="0"/>
        <w:adjustRightInd w:val="0"/>
        <w:spacing w:after="120"/>
        <w:jc w:val="both"/>
        <w:rPr>
          <w:rFonts w:ascii="Arial Narrow" w:hAnsi="Arial Narrow"/>
          <w:b/>
          <w:lang w:val="bg-BG"/>
        </w:rPr>
      </w:pPr>
      <w:r w:rsidRPr="00D42C78">
        <w:rPr>
          <w:rFonts w:ascii="Arial Narrow" w:hAnsi="Arial Narrow"/>
          <w:b/>
          <w:lang w:val="bg-BG"/>
        </w:rPr>
        <w:t>Таблица ІІІ.1. Аграрна търговия на България през периода 2020 – 2024 г. (хил. евро)</w:t>
      </w:r>
    </w:p>
    <w:tbl>
      <w:tblPr>
        <w:tblW w:w="9901" w:type="dxa"/>
        <w:tblInd w:w="113" w:type="dxa"/>
        <w:tblLook w:val="04A0" w:firstRow="1" w:lastRow="0" w:firstColumn="1" w:lastColumn="0" w:noHBand="0" w:noVBand="1"/>
      </w:tblPr>
      <w:tblGrid>
        <w:gridCol w:w="2425"/>
        <w:gridCol w:w="1246"/>
        <w:gridCol w:w="1246"/>
        <w:gridCol w:w="1246"/>
        <w:gridCol w:w="1246"/>
        <w:gridCol w:w="1246"/>
        <w:gridCol w:w="1246"/>
      </w:tblGrid>
      <w:tr w:rsidR="00E8016E" w:rsidRPr="00E8016E" w14:paraId="7473D049" w14:textId="77777777" w:rsidTr="00E8016E">
        <w:trPr>
          <w:trHeight w:val="1102"/>
        </w:trPr>
        <w:tc>
          <w:tcPr>
            <w:tcW w:w="242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EDED0C2" w14:textId="77777777" w:rsidR="00E8016E" w:rsidRPr="00E8016E" w:rsidRDefault="00E8016E" w:rsidP="00E8016E">
            <w:pPr>
              <w:jc w:val="center"/>
              <w:rPr>
                <w:rFonts w:ascii="Arial Narrow" w:hAnsi="Arial Narrow" w:cs="Arial"/>
                <w:b/>
                <w:bCs/>
                <w:color w:val="000000"/>
                <w:sz w:val="20"/>
                <w:szCs w:val="20"/>
              </w:rPr>
            </w:pPr>
            <w:r w:rsidRPr="00E8016E">
              <w:rPr>
                <w:rFonts w:ascii="Arial Narrow" w:hAnsi="Arial Narrow" w:cs="Arial"/>
                <w:b/>
                <w:bCs/>
                <w:color w:val="000000"/>
                <w:sz w:val="20"/>
                <w:szCs w:val="20"/>
              </w:rPr>
              <w:t> </w:t>
            </w:r>
          </w:p>
        </w:tc>
        <w:tc>
          <w:tcPr>
            <w:tcW w:w="1246" w:type="dxa"/>
            <w:tcBorders>
              <w:top w:val="single" w:sz="4" w:space="0" w:color="auto"/>
              <w:left w:val="nil"/>
              <w:bottom w:val="single" w:sz="4" w:space="0" w:color="auto"/>
              <w:right w:val="single" w:sz="4" w:space="0" w:color="auto"/>
            </w:tcBorders>
            <w:shd w:val="clear" w:color="000000" w:fill="FFFFFF"/>
            <w:vAlign w:val="center"/>
            <w:hideMark/>
          </w:tcPr>
          <w:p w14:paraId="64FB6709" w14:textId="77777777" w:rsidR="00E8016E" w:rsidRPr="00E8016E" w:rsidRDefault="00E8016E" w:rsidP="00E8016E">
            <w:pPr>
              <w:jc w:val="center"/>
              <w:rPr>
                <w:rFonts w:ascii="Arial Narrow" w:hAnsi="Arial Narrow" w:cs="Arial"/>
                <w:b/>
                <w:bCs/>
                <w:color w:val="000000"/>
                <w:sz w:val="20"/>
                <w:szCs w:val="20"/>
              </w:rPr>
            </w:pPr>
            <w:r w:rsidRPr="00E8016E">
              <w:rPr>
                <w:rFonts w:ascii="Arial Narrow" w:hAnsi="Arial Narrow" w:cs="Arial"/>
                <w:b/>
                <w:bCs/>
                <w:color w:val="000000"/>
                <w:sz w:val="20"/>
                <w:szCs w:val="20"/>
              </w:rPr>
              <w:t>2020</w:t>
            </w:r>
          </w:p>
        </w:tc>
        <w:tc>
          <w:tcPr>
            <w:tcW w:w="1246" w:type="dxa"/>
            <w:tcBorders>
              <w:top w:val="single" w:sz="4" w:space="0" w:color="auto"/>
              <w:left w:val="nil"/>
              <w:bottom w:val="single" w:sz="4" w:space="0" w:color="auto"/>
              <w:right w:val="single" w:sz="4" w:space="0" w:color="auto"/>
            </w:tcBorders>
            <w:shd w:val="clear" w:color="000000" w:fill="FFFFFF"/>
            <w:vAlign w:val="center"/>
            <w:hideMark/>
          </w:tcPr>
          <w:p w14:paraId="1BACA5D4" w14:textId="77777777" w:rsidR="00E8016E" w:rsidRPr="00E8016E" w:rsidRDefault="00E8016E" w:rsidP="00E8016E">
            <w:pPr>
              <w:jc w:val="center"/>
              <w:rPr>
                <w:rFonts w:ascii="Arial Narrow" w:hAnsi="Arial Narrow" w:cs="Arial"/>
                <w:b/>
                <w:bCs/>
                <w:color w:val="000000"/>
                <w:sz w:val="20"/>
                <w:szCs w:val="20"/>
              </w:rPr>
            </w:pPr>
            <w:r w:rsidRPr="00E8016E">
              <w:rPr>
                <w:rFonts w:ascii="Arial Narrow" w:hAnsi="Arial Narrow" w:cs="Arial"/>
                <w:b/>
                <w:bCs/>
                <w:color w:val="000000"/>
                <w:sz w:val="20"/>
                <w:szCs w:val="20"/>
              </w:rPr>
              <w:t>2021</w:t>
            </w:r>
          </w:p>
        </w:tc>
        <w:tc>
          <w:tcPr>
            <w:tcW w:w="1246" w:type="dxa"/>
            <w:tcBorders>
              <w:top w:val="single" w:sz="4" w:space="0" w:color="auto"/>
              <w:left w:val="nil"/>
              <w:bottom w:val="single" w:sz="4" w:space="0" w:color="auto"/>
              <w:right w:val="single" w:sz="4" w:space="0" w:color="auto"/>
            </w:tcBorders>
            <w:shd w:val="clear" w:color="000000" w:fill="FFFFFF"/>
            <w:vAlign w:val="center"/>
            <w:hideMark/>
          </w:tcPr>
          <w:p w14:paraId="49627C86" w14:textId="77777777" w:rsidR="00E8016E" w:rsidRPr="00E8016E" w:rsidRDefault="00E8016E" w:rsidP="00E8016E">
            <w:pPr>
              <w:jc w:val="center"/>
              <w:rPr>
                <w:rFonts w:ascii="Arial Narrow" w:hAnsi="Arial Narrow" w:cs="Arial"/>
                <w:b/>
                <w:bCs/>
                <w:color w:val="000000"/>
                <w:sz w:val="20"/>
                <w:szCs w:val="20"/>
              </w:rPr>
            </w:pPr>
            <w:r w:rsidRPr="00E8016E">
              <w:rPr>
                <w:rFonts w:ascii="Arial Narrow" w:hAnsi="Arial Narrow" w:cs="Arial"/>
                <w:b/>
                <w:bCs/>
                <w:color w:val="000000"/>
                <w:sz w:val="20"/>
                <w:szCs w:val="20"/>
              </w:rPr>
              <w:t>2022</w:t>
            </w:r>
          </w:p>
        </w:tc>
        <w:tc>
          <w:tcPr>
            <w:tcW w:w="1246" w:type="dxa"/>
            <w:tcBorders>
              <w:top w:val="single" w:sz="4" w:space="0" w:color="auto"/>
              <w:left w:val="nil"/>
              <w:bottom w:val="single" w:sz="4" w:space="0" w:color="auto"/>
              <w:right w:val="single" w:sz="4" w:space="0" w:color="auto"/>
            </w:tcBorders>
            <w:shd w:val="clear" w:color="000000" w:fill="FFFFFF"/>
            <w:vAlign w:val="center"/>
            <w:hideMark/>
          </w:tcPr>
          <w:p w14:paraId="624FF798" w14:textId="77777777" w:rsidR="00E8016E" w:rsidRPr="00E8016E" w:rsidRDefault="00E8016E" w:rsidP="00E8016E">
            <w:pPr>
              <w:jc w:val="center"/>
              <w:rPr>
                <w:rFonts w:ascii="Arial Narrow" w:hAnsi="Arial Narrow" w:cs="Arial"/>
                <w:b/>
                <w:bCs/>
                <w:color w:val="000000"/>
                <w:sz w:val="20"/>
                <w:szCs w:val="20"/>
              </w:rPr>
            </w:pPr>
            <w:r w:rsidRPr="00E8016E">
              <w:rPr>
                <w:rFonts w:ascii="Arial Narrow" w:hAnsi="Arial Narrow" w:cs="Arial"/>
                <w:b/>
                <w:bCs/>
                <w:color w:val="000000"/>
                <w:sz w:val="20"/>
                <w:szCs w:val="20"/>
              </w:rPr>
              <w:t>2023</w:t>
            </w:r>
          </w:p>
        </w:tc>
        <w:tc>
          <w:tcPr>
            <w:tcW w:w="1246" w:type="dxa"/>
            <w:tcBorders>
              <w:top w:val="single" w:sz="4" w:space="0" w:color="auto"/>
              <w:left w:val="nil"/>
              <w:bottom w:val="single" w:sz="4" w:space="0" w:color="auto"/>
              <w:right w:val="single" w:sz="4" w:space="0" w:color="auto"/>
            </w:tcBorders>
            <w:shd w:val="clear" w:color="000000" w:fill="FFFFFF"/>
            <w:vAlign w:val="center"/>
            <w:hideMark/>
          </w:tcPr>
          <w:p w14:paraId="30DA7709" w14:textId="77777777" w:rsidR="00E8016E" w:rsidRPr="00E8016E" w:rsidRDefault="00E8016E" w:rsidP="00E8016E">
            <w:pPr>
              <w:jc w:val="center"/>
              <w:rPr>
                <w:rFonts w:ascii="Arial Narrow" w:hAnsi="Arial Narrow" w:cs="Arial"/>
                <w:b/>
                <w:bCs/>
                <w:color w:val="000000"/>
                <w:sz w:val="20"/>
                <w:szCs w:val="20"/>
              </w:rPr>
            </w:pPr>
            <w:r w:rsidRPr="00E8016E">
              <w:rPr>
                <w:rFonts w:ascii="Arial Narrow" w:hAnsi="Arial Narrow" w:cs="Arial"/>
                <w:b/>
                <w:bCs/>
                <w:color w:val="000000"/>
                <w:sz w:val="20"/>
                <w:szCs w:val="20"/>
              </w:rPr>
              <w:t>2024</w:t>
            </w:r>
          </w:p>
        </w:tc>
        <w:tc>
          <w:tcPr>
            <w:tcW w:w="1246" w:type="dxa"/>
            <w:tcBorders>
              <w:top w:val="single" w:sz="4" w:space="0" w:color="auto"/>
              <w:left w:val="nil"/>
              <w:bottom w:val="single" w:sz="4" w:space="0" w:color="auto"/>
              <w:right w:val="single" w:sz="4" w:space="0" w:color="auto"/>
            </w:tcBorders>
            <w:shd w:val="clear" w:color="000000" w:fill="FFFFFF"/>
            <w:vAlign w:val="center"/>
            <w:hideMark/>
          </w:tcPr>
          <w:p w14:paraId="48154E90" w14:textId="77777777" w:rsidR="00E8016E" w:rsidRPr="00E8016E" w:rsidRDefault="00E8016E" w:rsidP="00E8016E">
            <w:pPr>
              <w:jc w:val="center"/>
              <w:rPr>
                <w:rFonts w:ascii="Arial Narrow" w:hAnsi="Arial Narrow" w:cs="Arial"/>
                <w:b/>
                <w:bCs/>
                <w:color w:val="000000"/>
                <w:sz w:val="20"/>
                <w:szCs w:val="20"/>
              </w:rPr>
            </w:pPr>
            <w:r w:rsidRPr="00E8016E">
              <w:rPr>
                <w:rFonts w:ascii="Arial Narrow" w:hAnsi="Arial Narrow" w:cs="Arial"/>
                <w:b/>
                <w:bCs/>
                <w:color w:val="000000"/>
                <w:sz w:val="20"/>
                <w:szCs w:val="20"/>
              </w:rPr>
              <w:t xml:space="preserve">Изм. </w:t>
            </w:r>
            <w:r w:rsidRPr="00E8016E">
              <w:rPr>
                <w:rFonts w:ascii="Arial Narrow" w:hAnsi="Arial Narrow" w:cs="Arial"/>
                <w:b/>
                <w:bCs/>
                <w:color w:val="000000"/>
                <w:sz w:val="20"/>
                <w:szCs w:val="20"/>
              </w:rPr>
              <w:br/>
              <w:t>2024/2023 (%)</w:t>
            </w:r>
          </w:p>
        </w:tc>
      </w:tr>
      <w:tr w:rsidR="00E8016E" w:rsidRPr="00E8016E" w14:paraId="2DB2745A" w14:textId="77777777" w:rsidTr="00E8016E">
        <w:trPr>
          <w:trHeight w:val="369"/>
        </w:trPr>
        <w:tc>
          <w:tcPr>
            <w:tcW w:w="2425" w:type="dxa"/>
            <w:tcBorders>
              <w:top w:val="nil"/>
              <w:left w:val="single" w:sz="4" w:space="0" w:color="auto"/>
              <w:bottom w:val="single" w:sz="4" w:space="0" w:color="auto"/>
              <w:right w:val="single" w:sz="4" w:space="0" w:color="auto"/>
            </w:tcBorders>
            <w:shd w:val="clear" w:color="000000" w:fill="FFFFFF"/>
            <w:vAlign w:val="center"/>
            <w:hideMark/>
          </w:tcPr>
          <w:p w14:paraId="1A0A88E4" w14:textId="77777777" w:rsidR="00E8016E" w:rsidRPr="00E8016E" w:rsidRDefault="00E8016E" w:rsidP="00E8016E">
            <w:pPr>
              <w:rPr>
                <w:rFonts w:ascii="Arial Narrow" w:hAnsi="Arial Narrow" w:cs="Arial"/>
                <w:color w:val="000000"/>
                <w:sz w:val="20"/>
                <w:szCs w:val="20"/>
              </w:rPr>
            </w:pPr>
            <w:r w:rsidRPr="00E8016E">
              <w:rPr>
                <w:rFonts w:ascii="Arial Narrow" w:hAnsi="Arial Narrow" w:cs="Arial"/>
                <w:color w:val="000000"/>
                <w:sz w:val="20"/>
                <w:szCs w:val="20"/>
              </w:rPr>
              <w:t>Аграрен износ</w:t>
            </w:r>
          </w:p>
        </w:tc>
        <w:tc>
          <w:tcPr>
            <w:tcW w:w="1246" w:type="dxa"/>
            <w:tcBorders>
              <w:top w:val="nil"/>
              <w:left w:val="nil"/>
              <w:bottom w:val="single" w:sz="4" w:space="0" w:color="auto"/>
              <w:right w:val="single" w:sz="4" w:space="0" w:color="auto"/>
            </w:tcBorders>
            <w:shd w:val="clear" w:color="000000" w:fill="FFFFFF"/>
            <w:vAlign w:val="center"/>
            <w:hideMark/>
          </w:tcPr>
          <w:p w14:paraId="21325CC9" w14:textId="77777777" w:rsidR="00E8016E" w:rsidRPr="00E8016E" w:rsidRDefault="00E8016E" w:rsidP="00E8016E">
            <w:pPr>
              <w:jc w:val="right"/>
              <w:rPr>
                <w:rFonts w:ascii="Arial Narrow" w:hAnsi="Arial Narrow" w:cs="Arial"/>
                <w:sz w:val="20"/>
                <w:szCs w:val="20"/>
              </w:rPr>
            </w:pPr>
            <w:r w:rsidRPr="00E8016E">
              <w:rPr>
                <w:rFonts w:ascii="Arial Narrow" w:hAnsi="Arial Narrow" w:cs="Arial"/>
                <w:sz w:val="20"/>
                <w:szCs w:val="20"/>
              </w:rPr>
              <w:t>4 786 052</w:t>
            </w:r>
          </w:p>
        </w:tc>
        <w:tc>
          <w:tcPr>
            <w:tcW w:w="1246" w:type="dxa"/>
            <w:tcBorders>
              <w:top w:val="nil"/>
              <w:left w:val="nil"/>
              <w:bottom w:val="single" w:sz="4" w:space="0" w:color="auto"/>
              <w:right w:val="single" w:sz="4" w:space="0" w:color="auto"/>
            </w:tcBorders>
            <w:shd w:val="clear" w:color="000000" w:fill="FFFFFF"/>
            <w:vAlign w:val="center"/>
            <w:hideMark/>
          </w:tcPr>
          <w:p w14:paraId="241E4936" w14:textId="77777777" w:rsidR="00E8016E" w:rsidRPr="00E8016E" w:rsidRDefault="00E8016E" w:rsidP="00E8016E">
            <w:pPr>
              <w:jc w:val="right"/>
              <w:rPr>
                <w:rFonts w:ascii="Arial Narrow" w:hAnsi="Arial Narrow" w:cs="Arial"/>
                <w:sz w:val="20"/>
                <w:szCs w:val="20"/>
              </w:rPr>
            </w:pPr>
            <w:r w:rsidRPr="00E8016E">
              <w:rPr>
                <w:rFonts w:ascii="Arial Narrow" w:hAnsi="Arial Narrow" w:cs="Arial"/>
                <w:sz w:val="20"/>
                <w:szCs w:val="20"/>
              </w:rPr>
              <w:t>6 041 007</w:t>
            </w:r>
          </w:p>
        </w:tc>
        <w:tc>
          <w:tcPr>
            <w:tcW w:w="1246" w:type="dxa"/>
            <w:tcBorders>
              <w:top w:val="nil"/>
              <w:left w:val="nil"/>
              <w:bottom w:val="single" w:sz="4" w:space="0" w:color="auto"/>
              <w:right w:val="single" w:sz="4" w:space="0" w:color="auto"/>
            </w:tcBorders>
            <w:shd w:val="clear" w:color="000000" w:fill="FFFFFF"/>
            <w:noWrap/>
            <w:vAlign w:val="center"/>
            <w:hideMark/>
          </w:tcPr>
          <w:p w14:paraId="38EB6D51" w14:textId="77777777" w:rsidR="00E8016E" w:rsidRPr="00E8016E" w:rsidRDefault="00E8016E" w:rsidP="00E8016E">
            <w:pPr>
              <w:jc w:val="right"/>
              <w:rPr>
                <w:rFonts w:ascii="Arial Narrow" w:hAnsi="Arial Narrow" w:cs="Arial"/>
                <w:color w:val="000000"/>
                <w:sz w:val="20"/>
                <w:szCs w:val="20"/>
              </w:rPr>
            </w:pPr>
            <w:r w:rsidRPr="00E8016E">
              <w:rPr>
                <w:rFonts w:ascii="Arial Narrow" w:hAnsi="Arial Narrow" w:cs="Arial"/>
                <w:color w:val="000000"/>
                <w:sz w:val="20"/>
                <w:szCs w:val="20"/>
              </w:rPr>
              <w:t>8 269 923</w:t>
            </w:r>
          </w:p>
        </w:tc>
        <w:tc>
          <w:tcPr>
            <w:tcW w:w="1246" w:type="dxa"/>
            <w:tcBorders>
              <w:top w:val="nil"/>
              <w:left w:val="nil"/>
              <w:bottom w:val="single" w:sz="4" w:space="0" w:color="auto"/>
              <w:right w:val="single" w:sz="4" w:space="0" w:color="auto"/>
            </w:tcBorders>
            <w:shd w:val="clear" w:color="000000" w:fill="FFFFFF"/>
            <w:vAlign w:val="center"/>
            <w:hideMark/>
          </w:tcPr>
          <w:p w14:paraId="3ACD87F4" w14:textId="77777777" w:rsidR="00E8016E" w:rsidRPr="00E8016E" w:rsidRDefault="00E8016E" w:rsidP="00E8016E">
            <w:pPr>
              <w:jc w:val="right"/>
              <w:rPr>
                <w:rFonts w:ascii="Arial Narrow" w:hAnsi="Arial Narrow" w:cs="Arial"/>
                <w:sz w:val="20"/>
                <w:szCs w:val="20"/>
              </w:rPr>
            </w:pPr>
            <w:r w:rsidRPr="00E8016E">
              <w:rPr>
                <w:rFonts w:ascii="Arial Narrow" w:hAnsi="Arial Narrow" w:cs="Arial"/>
                <w:sz w:val="20"/>
                <w:szCs w:val="20"/>
              </w:rPr>
              <w:t>7 941 122</w:t>
            </w:r>
          </w:p>
        </w:tc>
        <w:tc>
          <w:tcPr>
            <w:tcW w:w="1246" w:type="dxa"/>
            <w:tcBorders>
              <w:top w:val="nil"/>
              <w:left w:val="nil"/>
              <w:bottom w:val="single" w:sz="4" w:space="0" w:color="auto"/>
              <w:right w:val="single" w:sz="4" w:space="0" w:color="auto"/>
            </w:tcBorders>
            <w:shd w:val="clear" w:color="000000" w:fill="FFFFFF"/>
            <w:vAlign w:val="center"/>
            <w:hideMark/>
          </w:tcPr>
          <w:p w14:paraId="79E57913" w14:textId="77777777" w:rsidR="00E8016E" w:rsidRPr="00E8016E" w:rsidRDefault="00E8016E" w:rsidP="00E8016E">
            <w:pPr>
              <w:jc w:val="right"/>
              <w:rPr>
                <w:rFonts w:ascii="Arial Narrow" w:hAnsi="Arial Narrow" w:cs="Arial"/>
                <w:sz w:val="20"/>
                <w:szCs w:val="20"/>
              </w:rPr>
            </w:pPr>
            <w:r w:rsidRPr="00E8016E">
              <w:rPr>
                <w:rFonts w:ascii="Arial Narrow" w:hAnsi="Arial Narrow" w:cs="Arial"/>
                <w:sz w:val="20"/>
                <w:szCs w:val="20"/>
              </w:rPr>
              <w:t>6 739 500</w:t>
            </w:r>
          </w:p>
        </w:tc>
        <w:tc>
          <w:tcPr>
            <w:tcW w:w="1246" w:type="dxa"/>
            <w:tcBorders>
              <w:top w:val="nil"/>
              <w:left w:val="nil"/>
              <w:bottom w:val="single" w:sz="4" w:space="0" w:color="auto"/>
              <w:right w:val="single" w:sz="4" w:space="0" w:color="auto"/>
            </w:tcBorders>
            <w:shd w:val="clear" w:color="000000" w:fill="FFFFFF"/>
            <w:noWrap/>
            <w:vAlign w:val="center"/>
            <w:hideMark/>
          </w:tcPr>
          <w:p w14:paraId="7362BB25" w14:textId="77777777" w:rsidR="00E8016E" w:rsidRPr="00E8016E" w:rsidRDefault="00E8016E" w:rsidP="00E8016E">
            <w:pPr>
              <w:jc w:val="right"/>
              <w:rPr>
                <w:rFonts w:ascii="Arial Narrow" w:hAnsi="Arial Narrow" w:cs="Arial"/>
                <w:color w:val="000000"/>
                <w:sz w:val="20"/>
                <w:szCs w:val="20"/>
              </w:rPr>
            </w:pPr>
            <w:r w:rsidRPr="00E8016E">
              <w:rPr>
                <w:rFonts w:ascii="Arial Narrow" w:hAnsi="Arial Narrow" w:cs="Arial"/>
                <w:color w:val="000000"/>
                <w:sz w:val="20"/>
                <w:szCs w:val="20"/>
              </w:rPr>
              <w:t>-15,1%</w:t>
            </w:r>
          </w:p>
        </w:tc>
      </w:tr>
      <w:tr w:rsidR="00E8016E" w:rsidRPr="00E8016E" w14:paraId="2DB6641A" w14:textId="77777777" w:rsidTr="00E8016E">
        <w:trPr>
          <w:trHeight w:val="369"/>
        </w:trPr>
        <w:tc>
          <w:tcPr>
            <w:tcW w:w="2425" w:type="dxa"/>
            <w:tcBorders>
              <w:top w:val="nil"/>
              <w:left w:val="single" w:sz="4" w:space="0" w:color="auto"/>
              <w:bottom w:val="single" w:sz="4" w:space="0" w:color="auto"/>
              <w:right w:val="single" w:sz="4" w:space="0" w:color="auto"/>
            </w:tcBorders>
            <w:shd w:val="clear" w:color="000000" w:fill="FFFFFF"/>
            <w:vAlign w:val="center"/>
            <w:hideMark/>
          </w:tcPr>
          <w:p w14:paraId="3226688D" w14:textId="77777777" w:rsidR="00E8016E" w:rsidRPr="00E8016E" w:rsidRDefault="00E8016E" w:rsidP="00E8016E">
            <w:pPr>
              <w:rPr>
                <w:rFonts w:ascii="Arial Narrow" w:hAnsi="Arial Narrow" w:cs="Arial"/>
                <w:i/>
                <w:iCs/>
                <w:color w:val="000000"/>
                <w:sz w:val="20"/>
                <w:szCs w:val="20"/>
              </w:rPr>
            </w:pPr>
            <w:r w:rsidRPr="00E8016E">
              <w:rPr>
                <w:rFonts w:ascii="Arial Narrow" w:hAnsi="Arial Narrow" w:cs="Arial"/>
                <w:i/>
                <w:iCs/>
                <w:color w:val="000000"/>
                <w:sz w:val="20"/>
                <w:szCs w:val="20"/>
              </w:rPr>
              <w:t>Дял от общия износ</w:t>
            </w:r>
          </w:p>
        </w:tc>
        <w:tc>
          <w:tcPr>
            <w:tcW w:w="1246" w:type="dxa"/>
            <w:tcBorders>
              <w:top w:val="nil"/>
              <w:left w:val="nil"/>
              <w:bottom w:val="single" w:sz="4" w:space="0" w:color="auto"/>
              <w:right w:val="single" w:sz="4" w:space="0" w:color="auto"/>
            </w:tcBorders>
            <w:shd w:val="clear" w:color="000000" w:fill="FFFFFF"/>
            <w:vAlign w:val="center"/>
            <w:hideMark/>
          </w:tcPr>
          <w:p w14:paraId="0685CA7C" w14:textId="77777777" w:rsidR="00E8016E" w:rsidRPr="00E8016E" w:rsidRDefault="00E8016E" w:rsidP="00E8016E">
            <w:pPr>
              <w:jc w:val="right"/>
              <w:rPr>
                <w:rFonts w:ascii="Arial Narrow" w:hAnsi="Arial Narrow" w:cs="Arial"/>
                <w:i/>
                <w:iCs/>
                <w:sz w:val="20"/>
                <w:szCs w:val="20"/>
              </w:rPr>
            </w:pPr>
            <w:r w:rsidRPr="00E8016E">
              <w:rPr>
                <w:rFonts w:ascii="Arial Narrow" w:hAnsi="Arial Narrow" w:cs="Arial"/>
                <w:i/>
                <w:iCs/>
                <w:sz w:val="20"/>
                <w:szCs w:val="20"/>
              </w:rPr>
              <w:t>17,1%</w:t>
            </w:r>
          </w:p>
        </w:tc>
        <w:tc>
          <w:tcPr>
            <w:tcW w:w="1246" w:type="dxa"/>
            <w:tcBorders>
              <w:top w:val="nil"/>
              <w:left w:val="nil"/>
              <w:bottom w:val="single" w:sz="4" w:space="0" w:color="auto"/>
              <w:right w:val="single" w:sz="4" w:space="0" w:color="auto"/>
            </w:tcBorders>
            <w:shd w:val="clear" w:color="000000" w:fill="FFFFFF"/>
            <w:vAlign w:val="center"/>
            <w:hideMark/>
          </w:tcPr>
          <w:p w14:paraId="55B5A1AE" w14:textId="77777777" w:rsidR="00E8016E" w:rsidRPr="00E8016E" w:rsidRDefault="00E8016E" w:rsidP="00E8016E">
            <w:pPr>
              <w:jc w:val="right"/>
              <w:rPr>
                <w:rFonts w:ascii="Arial Narrow" w:hAnsi="Arial Narrow" w:cs="Arial"/>
                <w:i/>
                <w:iCs/>
                <w:sz w:val="20"/>
                <w:szCs w:val="20"/>
              </w:rPr>
            </w:pPr>
            <w:r w:rsidRPr="00E8016E">
              <w:rPr>
                <w:rFonts w:ascii="Arial Narrow" w:hAnsi="Arial Narrow" w:cs="Arial"/>
                <w:i/>
                <w:iCs/>
                <w:sz w:val="20"/>
                <w:szCs w:val="20"/>
              </w:rPr>
              <w:t>17,3%</w:t>
            </w:r>
          </w:p>
        </w:tc>
        <w:tc>
          <w:tcPr>
            <w:tcW w:w="1246" w:type="dxa"/>
            <w:tcBorders>
              <w:top w:val="nil"/>
              <w:left w:val="nil"/>
              <w:bottom w:val="single" w:sz="4" w:space="0" w:color="auto"/>
              <w:right w:val="single" w:sz="4" w:space="0" w:color="auto"/>
            </w:tcBorders>
            <w:shd w:val="clear" w:color="000000" w:fill="FFFFFF"/>
            <w:vAlign w:val="center"/>
            <w:hideMark/>
          </w:tcPr>
          <w:p w14:paraId="3408779D" w14:textId="77777777" w:rsidR="00E8016E" w:rsidRPr="00E8016E" w:rsidRDefault="00E8016E" w:rsidP="00E8016E">
            <w:pPr>
              <w:jc w:val="right"/>
              <w:rPr>
                <w:rFonts w:ascii="Arial Narrow" w:hAnsi="Arial Narrow" w:cs="Arial"/>
                <w:i/>
                <w:iCs/>
                <w:color w:val="000000"/>
                <w:sz w:val="20"/>
                <w:szCs w:val="20"/>
              </w:rPr>
            </w:pPr>
            <w:r w:rsidRPr="00E8016E">
              <w:rPr>
                <w:rFonts w:ascii="Arial Narrow" w:hAnsi="Arial Narrow" w:cs="Arial"/>
                <w:i/>
                <w:iCs/>
                <w:color w:val="000000"/>
                <w:sz w:val="20"/>
                <w:szCs w:val="20"/>
              </w:rPr>
              <w:t>17,4%</w:t>
            </w:r>
          </w:p>
        </w:tc>
        <w:tc>
          <w:tcPr>
            <w:tcW w:w="1246" w:type="dxa"/>
            <w:tcBorders>
              <w:top w:val="nil"/>
              <w:left w:val="nil"/>
              <w:bottom w:val="single" w:sz="4" w:space="0" w:color="auto"/>
              <w:right w:val="single" w:sz="4" w:space="0" w:color="auto"/>
            </w:tcBorders>
            <w:shd w:val="clear" w:color="000000" w:fill="FFFFFF"/>
            <w:vAlign w:val="center"/>
            <w:hideMark/>
          </w:tcPr>
          <w:p w14:paraId="43E18EFD" w14:textId="77777777" w:rsidR="00E8016E" w:rsidRPr="00E8016E" w:rsidRDefault="00E8016E" w:rsidP="00E8016E">
            <w:pPr>
              <w:jc w:val="right"/>
              <w:rPr>
                <w:rFonts w:ascii="Arial Narrow" w:hAnsi="Arial Narrow" w:cs="Arial"/>
                <w:i/>
                <w:iCs/>
                <w:sz w:val="20"/>
                <w:szCs w:val="20"/>
              </w:rPr>
            </w:pPr>
            <w:r w:rsidRPr="00E8016E">
              <w:rPr>
                <w:rFonts w:ascii="Arial Narrow" w:hAnsi="Arial Narrow" w:cs="Arial"/>
                <w:i/>
                <w:iCs/>
                <w:sz w:val="20"/>
                <w:szCs w:val="20"/>
              </w:rPr>
              <w:t>17,9%</w:t>
            </w:r>
          </w:p>
        </w:tc>
        <w:tc>
          <w:tcPr>
            <w:tcW w:w="1246" w:type="dxa"/>
            <w:tcBorders>
              <w:top w:val="nil"/>
              <w:left w:val="nil"/>
              <w:bottom w:val="single" w:sz="4" w:space="0" w:color="auto"/>
              <w:right w:val="single" w:sz="4" w:space="0" w:color="auto"/>
            </w:tcBorders>
            <w:shd w:val="clear" w:color="000000" w:fill="FFFFFF"/>
            <w:vAlign w:val="center"/>
            <w:hideMark/>
          </w:tcPr>
          <w:p w14:paraId="3F37484B" w14:textId="77777777" w:rsidR="00E8016E" w:rsidRPr="00E8016E" w:rsidRDefault="00E8016E" w:rsidP="00E8016E">
            <w:pPr>
              <w:jc w:val="right"/>
              <w:rPr>
                <w:rFonts w:ascii="Arial Narrow" w:hAnsi="Arial Narrow" w:cs="Arial"/>
                <w:i/>
                <w:iCs/>
                <w:sz w:val="20"/>
                <w:szCs w:val="20"/>
              </w:rPr>
            </w:pPr>
            <w:r w:rsidRPr="00E8016E">
              <w:rPr>
                <w:rFonts w:ascii="Arial Narrow" w:hAnsi="Arial Narrow" w:cs="Arial"/>
                <w:i/>
                <w:iCs/>
                <w:sz w:val="20"/>
                <w:szCs w:val="20"/>
              </w:rPr>
              <w:t>15,2%</w:t>
            </w:r>
          </w:p>
        </w:tc>
        <w:tc>
          <w:tcPr>
            <w:tcW w:w="1246" w:type="dxa"/>
            <w:tcBorders>
              <w:top w:val="nil"/>
              <w:left w:val="nil"/>
              <w:bottom w:val="single" w:sz="4" w:space="0" w:color="auto"/>
              <w:right w:val="single" w:sz="4" w:space="0" w:color="auto"/>
            </w:tcBorders>
            <w:shd w:val="clear" w:color="000000" w:fill="FFFFFF"/>
            <w:noWrap/>
            <w:vAlign w:val="center"/>
            <w:hideMark/>
          </w:tcPr>
          <w:p w14:paraId="46DD2A8E" w14:textId="77777777" w:rsidR="00E8016E" w:rsidRPr="00E8016E" w:rsidRDefault="00E8016E" w:rsidP="00E8016E">
            <w:pPr>
              <w:rPr>
                <w:rFonts w:ascii="Arial Narrow" w:hAnsi="Arial Narrow" w:cs="Arial"/>
                <w:color w:val="000000"/>
                <w:sz w:val="20"/>
                <w:szCs w:val="20"/>
              </w:rPr>
            </w:pPr>
            <w:r w:rsidRPr="00E8016E">
              <w:rPr>
                <w:rFonts w:ascii="Arial Narrow" w:hAnsi="Arial Narrow" w:cs="Arial"/>
                <w:color w:val="000000"/>
                <w:sz w:val="20"/>
                <w:szCs w:val="20"/>
              </w:rPr>
              <w:t> </w:t>
            </w:r>
          </w:p>
        </w:tc>
      </w:tr>
      <w:tr w:rsidR="00E8016E" w:rsidRPr="00E8016E" w14:paraId="1F15A1EB" w14:textId="77777777" w:rsidTr="00E8016E">
        <w:trPr>
          <w:trHeight w:val="369"/>
        </w:trPr>
        <w:tc>
          <w:tcPr>
            <w:tcW w:w="2425" w:type="dxa"/>
            <w:tcBorders>
              <w:top w:val="nil"/>
              <w:left w:val="single" w:sz="4" w:space="0" w:color="auto"/>
              <w:bottom w:val="single" w:sz="4" w:space="0" w:color="auto"/>
              <w:right w:val="single" w:sz="4" w:space="0" w:color="auto"/>
            </w:tcBorders>
            <w:shd w:val="clear" w:color="000000" w:fill="FFFFFF"/>
            <w:vAlign w:val="center"/>
            <w:hideMark/>
          </w:tcPr>
          <w:p w14:paraId="492AFD1B" w14:textId="77777777" w:rsidR="00E8016E" w:rsidRPr="00E8016E" w:rsidRDefault="00E8016E" w:rsidP="00E8016E">
            <w:pPr>
              <w:rPr>
                <w:rFonts w:ascii="Arial Narrow" w:hAnsi="Arial Narrow" w:cs="Arial"/>
                <w:color w:val="000000"/>
                <w:sz w:val="20"/>
                <w:szCs w:val="20"/>
              </w:rPr>
            </w:pPr>
            <w:r w:rsidRPr="00E8016E">
              <w:rPr>
                <w:rFonts w:ascii="Arial Narrow" w:hAnsi="Arial Narrow" w:cs="Arial"/>
                <w:color w:val="000000"/>
                <w:sz w:val="20"/>
                <w:szCs w:val="20"/>
              </w:rPr>
              <w:t>Аграрен внос</w:t>
            </w:r>
          </w:p>
        </w:tc>
        <w:tc>
          <w:tcPr>
            <w:tcW w:w="1246" w:type="dxa"/>
            <w:tcBorders>
              <w:top w:val="nil"/>
              <w:left w:val="nil"/>
              <w:bottom w:val="single" w:sz="4" w:space="0" w:color="auto"/>
              <w:right w:val="single" w:sz="4" w:space="0" w:color="auto"/>
            </w:tcBorders>
            <w:shd w:val="clear" w:color="000000" w:fill="FFFFFF"/>
            <w:vAlign w:val="center"/>
            <w:hideMark/>
          </w:tcPr>
          <w:p w14:paraId="113CCF7A" w14:textId="77777777" w:rsidR="00E8016E" w:rsidRPr="00E8016E" w:rsidRDefault="00E8016E" w:rsidP="00E8016E">
            <w:pPr>
              <w:jc w:val="right"/>
              <w:rPr>
                <w:rFonts w:ascii="Arial Narrow" w:hAnsi="Arial Narrow" w:cs="Arial"/>
                <w:sz w:val="20"/>
                <w:szCs w:val="20"/>
              </w:rPr>
            </w:pPr>
            <w:r w:rsidRPr="00E8016E">
              <w:rPr>
                <w:rFonts w:ascii="Arial Narrow" w:hAnsi="Arial Narrow" w:cs="Arial"/>
                <w:sz w:val="20"/>
                <w:szCs w:val="20"/>
              </w:rPr>
              <w:t>3 998 783</w:t>
            </w:r>
          </w:p>
        </w:tc>
        <w:tc>
          <w:tcPr>
            <w:tcW w:w="1246" w:type="dxa"/>
            <w:tcBorders>
              <w:top w:val="nil"/>
              <w:left w:val="nil"/>
              <w:bottom w:val="single" w:sz="4" w:space="0" w:color="auto"/>
              <w:right w:val="single" w:sz="4" w:space="0" w:color="auto"/>
            </w:tcBorders>
            <w:shd w:val="clear" w:color="000000" w:fill="FFFFFF"/>
            <w:vAlign w:val="center"/>
            <w:hideMark/>
          </w:tcPr>
          <w:p w14:paraId="64F0268D" w14:textId="77777777" w:rsidR="00E8016E" w:rsidRPr="00E8016E" w:rsidRDefault="00E8016E" w:rsidP="00E8016E">
            <w:pPr>
              <w:jc w:val="right"/>
              <w:rPr>
                <w:rFonts w:ascii="Arial Narrow" w:hAnsi="Arial Narrow" w:cs="Arial"/>
                <w:sz w:val="20"/>
                <w:szCs w:val="20"/>
              </w:rPr>
            </w:pPr>
            <w:r w:rsidRPr="00E8016E">
              <w:rPr>
                <w:rFonts w:ascii="Arial Narrow" w:hAnsi="Arial Narrow" w:cs="Arial"/>
                <w:sz w:val="20"/>
                <w:szCs w:val="20"/>
              </w:rPr>
              <w:t>4 418 463</w:t>
            </w:r>
          </w:p>
        </w:tc>
        <w:tc>
          <w:tcPr>
            <w:tcW w:w="1246" w:type="dxa"/>
            <w:tcBorders>
              <w:top w:val="nil"/>
              <w:left w:val="nil"/>
              <w:bottom w:val="single" w:sz="4" w:space="0" w:color="auto"/>
              <w:right w:val="single" w:sz="4" w:space="0" w:color="auto"/>
            </w:tcBorders>
            <w:shd w:val="clear" w:color="000000" w:fill="FFFFFF"/>
            <w:vAlign w:val="center"/>
            <w:hideMark/>
          </w:tcPr>
          <w:p w14:paraId="6C03E801" w14:textId="77777777" w:rsidR="00E8016E" w:rsidRPr="00E8016E" w:rsidRDefault="00E8016E" w:rsidP="00E8016E">
            <w:pPr>
              <w:jc w:val="right"/>
              <w:rPr>
                <w:rFonts w:ascii="Arial Narrow" w:hAnsi="Arial Narrow" w:cs="Arial"/>
                <w:color w:val="000000"/>
                <w:sz w:val="20"/>
                <w:szCs w:val="20"/>
              </w:rPr>
            </w:pPr>
            <w:r w:rsidRPr="00E8016E">
              <w:rPr>
                <w:rFonts w:ascii="Arial Narrow" w:hAnsi="Arial Narrow" w:cs="Arial"/>
                <w:color w:val="000000"/>
                <w:sz w:val="20"/>
                <w:szCs w:val="20"/>
              </w:rPr>
              <w:t>6 668 884</w:t>
            </w:r>
          </w:p>
        </w:tc>
        <w:tc>
          <w:tcPr>
            <w:tcW w:w="1246" w:type="dxa"/>
            <w:tcBorders>
              <w:top w:val="nil"/>
              <w:left w:val="nil"/>
              <w:bottom w:val="single" w:sz="4" w:space="0" w:color="auto"/>
              <w:right w:val="single" w:sz="4" w:space="0" w:color="auto"/>
            </w:tcBorders>
            <w:shd w:val="clear" w:color="000000" w:fill="FFFFFF"/>
            <w:vAlign w:val="center"/>
            <w:hideMark/>
          </w:tcPr>
          <w:p w14:paraId="6CE86712" w14:textId="77777777" w:rsidR="00E8016E" w:rsidRPr="00E8016E" w:rsidRDefault="00E8016E" w:rsidP="00E8016E">
            <w:pPr>
              <w:jc w:val="right"/>
              <w:rPr>
                <w:rFonts w:ascii="Arial Narrow" w:hAnsi="Arial Narrow" w:cs="Arial"/>
                <w:sz w:val="20"/>
                <w:szCs w:val="20"/>
              </w:rPr>
            </w:pPr>
            <w:r w:rsidRPr="00E8016E">
              <w:rPr>
                <w:rFonts w:ascii="Arial Narrow" w:hAnsi="Arial Narrow" w:cs="Arial"/>
                <w:sz w:val="20"/>
                <w:szCs w:val="20"/>
              </w:rPr>
              <w:t>6 201 085</w:t>
            </w:r>
          </w:p>
        </w:tc>
        <w:tc>
          <w:tcPr>
            <w:tcW w:w="1246" w:type="dxa"/>
            <w:tcBorders>
              <w:top w:val="nil"/>
              <w:left w:val="nil"/>
              <w:bottom w:val="single" w:sz="4" w:space="0" w:color="auto"/>
              <w:right w:val="single" w:sz="4" w:space="0" w:color="auto"/>
            </w:tcBorders>
            <w:shd w:val="clear" w:color="000000" w:fill="FFFFFF"/>
            <w:vAlign w:val="center"/>
            <w:hideMark/>
          </w:tcPr>
          <w:p w14:paraId="2AC70F5B" w14:textId="77777777" w:rsidR="00E8016E" w:rsidRPr="00E8016E" w:rsidRDefault="00E8016E" w:rsidP="00E8016E">
            <w:pPr>
              <w:jc w:val="right"/>
              <w:rPr>
                <w:rFonts w:ascii="Arial Narrow" w:hAnsi="Arial Narrow" w:cs="Arial"/>
                <w:sz w:val="20"/>
                <w:szCs w:val="20"/>
              </w:rPr>
            </w:pPr>
            <w:r w:rsidRPr="00E8016E">
              <w:rPr>
                <w:rFonts w:ascii="Arial Narrow" w:hAnsi="Arial Narrow" w:cs="Arial"/>
                <w:sz w:val="20"/>
                <w:szCs w:val="20"/>
              </w:rPr>
              <w:t>6 737 329</w:t>
            </w:r>
          </w:p>
        </w:tc>
        <w:tc>
          <w:tcPr>
            <w:tcW w:w="1246" w:type="dxa"/>
            <w:tcBorders>
              <w:top w:val="nil"/>
              <w:left w:val="nil"/>
              <w:bottom w:val="single" w:sz="4" w:space="0" w:color="auto"/>
              <w:right w:val="single" w:sz="4" w:space="0" w:color="auto"/>
            </w:tcBorders>
            <w:shd w:val="clear" w:color="000000" w:fill="FFFFFF"/>
            <w:noWrap/>
            <w:vAlign w:val="center"/>
            <w:hideMark/>
          </w:tcPr>
          <w:p w14:paraId="31A4EC9A" w14:textId="77777777" w:rsidR="00E8016E" w:rsidRPr="00E8016E" w:rsidRDefault="00E8016E" w:rsidP="00E8016E">
            <w:pPr>
              <w:jc w:val="right"/>
              <w:rPr>
                <w:rFonts w:ascii="Arial Narrow" w:hAnsi="Arial Narrow" w:cs="Arial"/>
                <w:color w:val="000000"/>
                <w:sz w:val="20"/>
                <w:szCs w:val="20"/>
              </w:rPr>
            </w:pPr>
            <w:r w:rsidRPr="00E8016E">
              <w:rPr>
                <w:rFonts w:ascii="Arial Narrow" w:hAnsi="Arial Narrow" w:cs="Arial"/>
                <w:color w:val="000000"/>
                <w:sz w:val="20"/>
                <w:szCs w:val="20"/>
              </w:rPr>
              <w:t>8,6%</w:t>
            </w:r>
          </w:p>
        </w:tc>
      </w:tr>
      <w:tr w:rsidR="00E8016E" w:rsidRPr="00E8016E" w14:paraId="0FF94CF5" w14:textId="77777777" w:rsidTr="00E8016E">
        <w:trPr>
          <w:trHeight w:val="369"/>
        </w:trPr>
        <w:tc>
          <w:tcPr>
            <w:tcW w:w="2425" w:type="dxa"/>
            <w:tcBorders>
              <w:top w:val="nil"/>
              <w:left w:val="single" w:sz="4" w:space="0" w:color="auto"/>
              <w:bottom w:val="single" w:sz="4" w:space="0" w:color="auto"/>
              <w:right w:val="single" w:sz="4" w:space="0" w:color="auto"/>
            </w:tcBorders>
            <w:shd w:val="clear" w:color="000000" w:fill="FFFFFF"/>
            <w:vAlign w:val="center"/>
            <w:hideMark/>
          </w:tcPr>
          <w:p w14:paraId="1BF18346" w14:textId="77777777" w:rsidR="00E8016E" w:rsidRPr="00E8016E" w:rsidRDefault="00E8016E" w:rsidP="00E8016E">
            <w:pPr>
              <w:rPr>
                <w:rFonts w:ascii="Arial Narrow" w:hAnsi="Arial Narrow" w:cs="Arial"/>
                <w:i/>
                <w:iCs/>
                <w:color w:val="000000"/>
                <w:sz w:val="20"/>
                <w:szCs w:val="20"/>
              </w:rPr>
            </w:pPr>
            <w:r w:rsidRPr="00E8016E">
              <w:rPr>
                <w:rFonts w:ascii="Arial Narrow" w:hAnsi="Arial Narrow" w:cs="Arial"/>
                <w:i/>
                <w:iCs/>
                <w:color w:val="000000"/>
                <w:sz w:val="20"/>
                <w:szCs w:val="20"/>
              </w:rPr>
              <w:t>Дял от общия внос</w:t>
            </w:r>
          </w:p>
        </w:tc>
        <w:tc>
          <w:tcPr>
            <w:tcW w:w="1246" w:type="dxa"/>
            <w:tcBorders>
              <w:top w:val="nil"/>
              <w:left w:val="nil"/>
              <w:bottom w:val="single" w:sz="4" w:space="0" w:color="auto"/>
              <w:right w:val="single" w:sz="4" w:space="0" w:color="auto"/>
            </w:tcBorders>
            <w:shd w:val="clear" w:color="000000" w:fill="FFFFFF"/>
            <w:vAlign w:val="center"/>
            <w:hideMark/>
          </w:tcPr>
          <w:p w14:paraId="1B45D22C" w14:textId="77777777" w:rsidR="00E8016E" w:rsidRPr="00E8016E" w:rsidRDefault="00E8016E" w:rsidP="00E8016E">
            <w:pPr>
              <w:jc w:val="right"/>
              <w:rPr>
                <w:rFonts w:ascii="Arial Narrow" w:hAnsi="Arial Narrow" w:cs="Arial"/>
                <w:i/>
                <w:iCs/>
                <w:sz w:val="20"/>
                <w:szCs w:val="20"/>
              </w:rPr>
            </w:pPr>
            <w:r w:rsidRPr="00E8016E">
              <w:rPr>
                <w:rFonts w:ascii="Arial Narrow" w:hAnsi="Arial Narrow" w:cs="Arial"/>
                <w:i/>
                <w:iCs/>
                <w:sz w:val="20"/>
                <w:szCs w:val="20"/>
              </w:rPr>
              <w:t>13,0%</w:t>
            </w:r>
          </w:p>
        </w:tc>
        <w:tc>
          <w:tcPr>
            <w:tcW w:w="1246" w:type="dxa"/>
            <w:tcBorders>
              <w:top w:val="nil"/>
              <w:left w:val="nil"/>
              <w:bottom w:val="single" w:sz="4" w:space="0" w:color="auto"/>
              <w:right w:val="single" w:sz="4" w:space="0" w:color="auto"/>
            </w:tcBorders>
            <w:shd w:val="clear" w:color="000000" w:fill="FFFFFF"/>
            <w:vAlign w:val="center"/>
            <w:hideMark/>
          </w:tcPr>
          <w:p w14:paraId="609CAF3C" w14:textId="77777777" w:rsidR="00E8016E" w:rsidRPr="00E8016E" w:rsidRDefault="00E8016E" w:rsidP="00E8016E">
            <w:pPr>
              <w:jc w:val="right"/>
              <w:rPr>
                <w:rFonts w:ascii="Arial Narrow" w:hAnsi="Arial Narrow" w:cs="Arial"/>
                <w:i/>
                <w:iCs/>
                <w:sz w:val="20"/>
                <w:szCs w:val="20"/>
              </w:rPr>
            </w:pPr>
            <w:r w:rsidRPr="00E8016E">
              <w:rPr>
                <w:rFonts w:ascii="Arial Narrow" w:hAnsi="Arial Narrow" w:cs="Arial"/>
                <w:i/>
                <w:iCs/>
                <w:sz w:val="20"/>
                <w:szCs w:val="20"/>
              </w:rPr>
              <w:t>11,3%</w:t>
            </w:r>
          </w:p>
        </w:tc>
        <w:tc>
          <w:tcPr>
            <w:tcW w:w="1246" w:type="dxa"/>
            <w:tcBorders>
              <w:top w:val="nil"/>
              <w:left w:val="nil"/>
              <w:bottom w:val="single" w:sz="4" w:space="0" w:color="auto"/>
              <w:right w:val="single" w:sz="4" w:space="0" w:color="auto"/>
            </w:tcBorders>
            <w:shd w:val="clear" w:color="000000" w:fill="FFFFFF"/>
            <w:vAlign w:val="center"/>
            <w:hideMark/>
          </w:tcPr>
          <w:p w14:paraId="75FB750C" w14:textId="77777777" w:rsidR="00E8016E" w:rsidRPr="00E8016E" w:rsidRDefault="00E8016E" w:rsidP="00E8016E">
            <w:pPr>
              <w:jc w:val="right"/>
              <w:rPr>
                <w:rFonts w:ascii="Arial Narrow" w:hAnsi="Arial Narrow" w:cs="Arial"/>
                <w:i/>
                <w:iCs/>
                <w:sz w:val="20"/>
                <w:szCs w:val="20"/>
              </w:rPr>
            </w:pPr>
            <w:r w:rsidRPr="00E8016E">
              <w:rPr>
                <w:rFonts w:ascii="Arial Narrow" w:hAnsi="Arial Narrow" w:cs="Arial"/>
                <w:i/>
                <w:iCs/>
                <w:sz w:val="20"/>
                <w:szCs w:val="20"/>
              </w:rPr>
              <w:t>12,1%</w:t>
            </w:r>
          </w:p>
        </w:tc>
        <w:tc>
          <w:tcPr>
            <w:tcW w:w="1246" w:type="dxa"/>
            <w:tcBorders>
              <w:top w:val="nil"/>
              <w:left w:val="nil"/>
              <w:bottom w:val="single" w:sz="4" w:space="0" w:color="auto"/>
              <w:right w:val="single" w:sz="4" w:space="0" w:color="auto"/>
            </w:tcBorders>
            <w:shd w:val="clear" w:color="000000" w:fill="FFFFFF"/>
            <w:vAlign w:val="center"/>
            <w:hideMark/>
          </w:tcPr>
          <w:p w14:paraId="4AC64EE9" w14:textId="77777777" w:rsidR="00E8016E" w:rsidRPr="00E8016E" w:rsidRDefault="00E8016E" w:rsidP="00E8016E">
            <w:pPr>
              <w:jc w:val="right"/>
              <w:rPr>
                <w:rFonts w:ascii="Arial Narrow" w:hAnsi="Arial Narrow" w:cs="Arial"/>
                <w:i/>
                <w:iCs/>
                <w:sz w:val="20"/>
                <w:szCs w:val="20"/>
              </w:rPr>
            </w:pPr>
            <w:r w:rsidRPr="00E8016E">
              <w:rPr>
                <w:rFonts w:ascii="Arial Narrow" w:hAnsi="Arial Narrow" w:cs="Arial"/>
                <w:i/>
                <w:iCs/>
                <w:sz w:val="20"/>
                <w:szCs w:val="20"/>
              </w:rPr>
              <w:t>12,5%</w:t>
            </w:r>
          </w:p>
        </w:tc>
        <w:tc>
          <w:tcPr>
            <w:tcW w:w="1246" w:type="dxa"/>
            <w:tcBorders>
              <w:top w:val="nil"/>
              <w:left w:val="nil"/>
              <w:bottom w:val="single" w:sz="4" w:space="0" w:color="auto"/>
              <w:right w:val="single" w:sz="4" w:space="0" w:color="auto"/>
            </w:tcBorders>
            <w:shd w:val="clear" w:color="000000" w:fill="FFFFFF"/>
            <w:noWrap/>
            <w:vAlign w:val="center"/>
            <w:hideMark/>
          </w:tcPr>
          <w:p w14:paraId="34CE1CBB" w14:textId="77777777" w:rsidR="00E8016E" w:rsidRPr="00E8016E" w:rsidRDefault="00E8016E" w:rsidP="00E8016E">
            <w:pPr>
              <w:jc w:val="right"/>
              <w:rPr>
                <w:rFonts w:ascii="Arial Narrow" w:hAnsi="Arial Narrow" w:cs="Arial"/>
                <w:color w:val="000000"/>
                <w:sz w:val="20"/>
                <w:szCs w:val="20"/>
              </w:rPr>
            </w:pPr>
            <w:r w:rsidRPr="00E8016E">
              <w:rPr>
                <w:rFonts w:ascii="Arial Narrow" w:hAnsi="Arial Narrow" w:cs="Arial"/>
                <w:color w:val="000000"/>
                <w:sz w:val="20"/>
                <w:szCs w:val="20"/>
              </w:rPr>
              <w:t>13,2%</w:t>
            </w:r>
          </w:p>
        </w:tc>
        <w:tc>
          <w:tcPr>
            <w:tcW w:w="1246" w:type="dxa"/>
            <w:tcBorders>
              <w:top w:val="nil"/>
              <w:left w:val="nil"/>
              <w:bottom w:val="single" w:sz="4" w:space="0" w:color="auto"/>
              <w:right w:val="single" w:sz="4" w:space="0" w:color="auto"/>
            </w:tcBorders>
            <w:shd w:val="clear" w:color="000000" w:fill="FFFFFF"/>
            <w:noWrap/>
            <w:vAlign w:val="center"/>
            <w:hideMark/>
          </w:tcPr>
          <w:p w14:paraId="623114D6" w14:textId="77777777" w:rsidR="00E8016E" w:rsidRPr="00E8016E" w:rsidRDefault="00E8016E" w:rsidP="00E8016E">
            <w:pPr>
              <w:rPr>
                <w:rFonts w:ascii="Arial Narrow" w:hAnsi="Arial Narrow" w:cs="Arial"/>
                <w:color w:val="000000"/>
                <w:sz w:val="20"/>
                <w:szCs w:val="20"/>
              </w:rPr>
            </w:pPr>
            <w:r w:rsidRPr="00E8016E">
              <w:rPr>
                <w:rFonts w:ascii="Arial Narrow" w:hAnsi="Arial Narrow" w:cs="Arial"/>
                <w:color w:val="000000"/>
                <w:sz w:val="20"/>
                <w:szCs w:val="20"/>
              </w:rPr>
              <w:t> </w:t>
            </w:r>
          </w:p>
        </w:tc>
      </w:tr>
      <w:tr w:rsidR="00E8016E" w:rsidRPr="00E8016E" w14:paraId="1DF449E2" w14:textId="77777777" w:rsidTr="00E8016E">
        <w:trPr>
          <w:trHeight w:val="369"/>
        </w:trPr>
        <w:tc>
          <w:tcPr>
            <w:tcW w:w="2425" w:type="dxa"/>
            <w:tcBorders>
              <w:top w:val="nil"/>
              <w:left w:val="single" w:sz="4" w:space="0" w:color="auto"/>
              <w:bottom w:val="single" w:sz="4" w:space="0" w:color="auto"/>
              <w:right w:val="single" w:sz="4" w:space="0" w:color="auto"/>
            </w:tcBorders>
            <w:shd w:val="clear" w:color="000000" w:fill="FFFFFF"/>
            <w:vAlign w:val="center"/>
            <w:hideMark/>
          </w:tcPr>
          <w:p w14:paraId="6A0A061A" w14:textId="77777777" w:rsidR="00E8016E" w:rsidRPr="00E8016E" w:rsidRDefault="00E8016E" w:rsidP="00E8016E">
            <w:pPr>
              <w:rPr>
                <w:rFonts w:ascii="Arial Narrow" w:hAnsi="Arial Narrow" w:cs="Arial"/>
                <w:color w:val="000000"/>
                <w:sz w:val="20"/>
                <w:szCs w:val="20"/>
              </w:rPr>
            </w:pPr>
            <w:r w:rsidRPr="00E8016E">
              <w:rPr>
                <w:rFonts w:ascii="Arial Narrow" w:hAnsi="Arial Narrow" w:cs="Arial"/>
                <w:color w:val="000000"/>
                <w:sz w:val="20"/>
                <w:szCs w:val="20"/>
              </w:rPr>
              <w:t>Салдо</w:t>
            </w:r>
          </w:p>
        </w:tc>
        <w:tc>
          <w:tcPr>
            <w:tcW w:w="1246" w:type="dxa"/>
            <w:tcBorders>
              <w:top w:val="nil"/>
              <w:left w:val="nil"/>
              <w:bottom w:val="single" w:sz="4" w:space="0" w:color="auto"/>
              <w:right w:val="single" w:sz="4" w:space="0" w:color="auto"/>
            </w:tcBorders>
            <w:shd w:val="clear" w:color="000000" w:fill="FFFFFF"/>
            <w:vAlign w:val="center"/>
            <w:hideMark/>
          </w:tcPr>
          <w:p w14:paraId="1D990F01" w14:textId="77777777" w:rsidR="00E8016E" w:rsidRPr="00E8016E" w:rsidRDefault="00E8016E" w:rsidP="00E8016E">
            <w:pPr>
              <w:jc w:val="right"/>
              <w:rPr>
                <w:rFonts w:ascii="Arial Narrow" w:hAnsi="Arial Narrow" w:cs="Arial"/>
                <w:sz w:val="20"/>
                <w:szCs w:val="20"/>
              </w:rPr>
            </w:pPr>
            <w:r w:rsidRPr="00E8016E">
              <w:rPr>
                <w:rFonts w:ascii="Arial Narrow" w:hAnsi="Arial Narrow" w:cs="Arial"/>
                <w:sz w:val="20"/>
                <w:szCs w:val="20"/>
              </w:rPr>
              <w:t>787 269</w:t>
            </w:r>
          </w:p>
        </w:tc>
        <w:tc>
          <w:tcPr>
            <w:tcW w:w="1246" w:type="dxa"/>
            <w:tcBorders>
              <w:top w:val="nil"/>
              <w:left w:val="nil"/>
              <w:bottom w:val="single" w:sz="4" w:space="0" w:color="auto"/>
              <w:right w:val="single" w:sz="4" w:space="0" w:color="auto"/>
            </w:tcBorders>
            <w:shd w:val="clear" w:color="000000" w:fill="FFFFFF"/>
            <w:vAlign w:val="center"/>
            <w:hideMark/>
          </w:tcPr>
          <w:p w14:paraId="13E160FF" w14:textId="77777777" w:rsidR="00E8016E" w:rsidRPr="00E8016E" w:rsidRDefault="00E8016E" w:rsidP="00E8016E">
            <w:pPr>
              <w:jc w:val="right"/>
              <w:rPr>
                <w:rFonts w:ascii="Arial Narrow" w:hAnsi="Arial Narrow" w:cs="Arial"/>
                <w:sz w:val="20"/>
                <w:szCs w:val="20"/>
              </w:rPr>
            </w:pPr>
            <w:r w:rsidRPr="00E8016E">
              <w:rPr>
                <w:rFonts w:ascii="Arial Narrow" w:hAnsi="Arial Narrow" w:cs="Arial"/>
                <w:sz w:val="20"/>
                <w:szCs w:val="20"/>
              </w:rPr>
              <w:t>1 622 544</w:t>
            </w:r>
          </w:p>
        </w:tc>
        <w:tc>
          <w:tcPr>
            <w:tcW w:w="1246" w:type="dxa"/>
            <w:tcBorders>
              <w:top w:val="nil"/>
              <w:left w:val="nil"/>
              <w:bottom w:val="single" w:sz="4" w:space="0" w:color="auto"/>
              <w:right w:val="single" w:sz="4" w:space="0" w:color="auto"/>
            </w:tcBorders>
            <w:shd w:val="clear" w:color="000000" w:fill="FFFFFF"/>
            <w:vAlign w:val="center"/>
            <w:hideMark/>
          </w:tcPr>
          <w:p w14:paraId="4852E2FD" w14:textId="77777777" w:rsidR="00E8016E" w:rsidRPr="00E8016E" w:rsidRDefault="00E8016E" w:rsidP="00E8016E">
            <w:pPr>
              <w:jc w:val="right"/>
              <w:rPr>
                <w:rFonts w:ascii="Arial Narrow" w:hAnsi="Arial Narrow" w:cs="Arial"/>
                <w:sz w:val="20"/>
                <w:szCs w:val="20"/>
              </w:rPr>
            </w:pPr>
            <w:r w:rsidRPr="00E8016E">
              <w:rPr>
                <w:rFonts w:ascii="Arial Narrow" w:hAnsi="Arial Narrow" w:cs="Arial"/>
                <w:sz w:val="20"/>
                <w:szCs w:val="20"/>
              </w:rPr>
              <w:t>1 601 039</w:t>
            </w:r>
          </w:p>
        </w:tc>
        <w:tc>
          <w:tcPr>
            <w:tcW w:w="1246" w:type="dxa"/>
            <w:tcBorders>
              <w:top w:val="nil"/>
              <w:left w:val="nil"/>
              <w:bottom w:val="single" w:sz="4" w:space="0" w:color="auto"/>
              <w:right w:val="single" w:sz="4" w:space="0" w:color="auto"/>
            </w:tcBorders>
            <w:shd w:val="clear" w:color="000000" w:fill="FFFFFF"/>
            <w:vAlign w:val="center"/>
            <w:hideMark/>
          </w:tcPr>
          <w:p w14:paraId="2EDAE146" w14:textId="77777777" w:rsidR="00E8016E" w:rsidRPr="00E8016E" w:rsidRDefault="00E8016E" w:rsidP="00E8016E">
            <w:pPr>
              <w:jc w:val="right"/>
              <w:rPr>
                <w:rFonts w:ascii="Arial Narrow" w:hAnsi="Arial Narrow" w:cs="Arial"/>
                <w:sz w:val="20"/>
                <w:szCs w:val="20"/>
              </w:rPr>
            </w:pPr>
            <w:r w:rsidRPr="00E8016E">
              <w:rPr>
                <w:rFonts w:ascii="Arial Narrow" w:hAnsi="Arial Narrow" w:cs="Arial"/>
                <w:sz w:val="20"/>
                <w:szCs w:val="20"/>
              </w:rPr>
              <w:t>1 740 037</w:t>
            </w:r>
          </w:p>
        </w:tc>
        <w:tc>
          <w:tcPr>
            <w:tcW w:w="1246" w:type="dxa"/>
            <w:tcBorders>
              <w:top w:val="nil"/>
              <w:left w:val="nil"/>
              <w:bottom w:val="single" w:sz="4" w:space="0" w:color="auto"/>
              <w:right w:val="single" w:sz="4" w:space="0" w:color="auto"/>
            </w:tcBorders>
            <w:shd w:val="clear" w:color="000000" w:fill="FFFFFF"/>
            <w:vAlign w:val="center"/>
            <w:hideMark/>
          </w:tcPr>
          <w:p w14:paraId="1E00FA59" w14:textId="77777777" w:rsidR="00E8016E" w:rsidRPr="00E8016E" w:rsidRDefault="00E8016E" w:rsidP="00E8016E">
            <w:pPr>
              <w:jc w:val="right"/>
              <w:rPr>
                <w:rFonts w:ascii="Arial Narrow" w:hAnsi="Arial Narrow" w:cs="Arial"/>
                <w:sz w:val="20"/>
                <w:szCs w:val="20"/>
              </w:rPr>
            </w:pPr>
            <w:r w:rsidRPr="00E8016E">
              <w:rPr>
                <w:rFonts w:ascii="Arial Narrow" w:hAnsi="Arial Narrow" w:cs="Arial"/>
                <w:sz w:val="20"/>
                <w:szCs w:val="20"/>
              </w:rPr>
              <w:t>2 171</w:t>
            </w:r>
          </w:p>
        </w:tc>
        <w:tc>
          <w:tcPr>
            <w:tcW w:w="1246" w:type="dxa"/>
            <w:tcBorders>
              <w:top w:val="nil"/>
              <w:left w:val="nil"/>
              <w:bottom w:val="single" w:sz="4" w:space="0" w:color="auto"/>
              <w:right w:val="single" w:sz="4" w:space="0" w:color="auto"/>
            </w:tcBorders>
            <w:shd w:val="clear" w:color="000000" w:fill="FFFFFF"/>
            <w:noWrap/>
            <w:vAlign w:val="center"/>
            <w:hideMark/>
          </w:tcPr>
          <w:p w14:paraId="2690D97D" w14:textId="77777777" w:rsidR="00E8016E" w:rsidRPr="00E8016E" w:rsidRDefault="00E8016E" w:rsidP="00E8016E">
            <w:pPr>
              <w:jc w:val="right"/>
              <w:rPr>
                <w:rFonts w:ascii="Arial Narrow" w:hAnsi="Arial Narrow" w:cs="Arial"/>
                <w:color w:val="000000"/>
                <w:sz w:val="20"/>
                <w:szCs w:val="20"/>
              </w:rPr>
            </w:pPr>
            <w:r w:rsidRPr="00E8016E">
              <w:rPr>
                <w:rFonts w:ascii="Arial Narrow" w:hAnsi="Arial Narrow" w:cs="Arial"/>
                <w:color w:val="000000"/>
                <w:sz w:val="20"/>
                <w:szCs w:val="20"/>
              </w:rPr>
              <w:t>-99,9%</w:t>
            </w:r>
          </w:p>
        </w:tc>
      </w:tr>
      <w:tr w:rsidR="00E8016E" w:rsidRPr="00E8016E" w14:paraId="11E3CE04" w14:textId="77777777" w:rsidTr="00E8016E">
        <w:trPr>
          <w:trHeight w:val="369"/>
        </w:trPr>
        <w:tc>
          <w:tcPr>
            <w:tcW w:w="2425" w:type="dxa"/>
            <w:tcBorders>
              <w:top w:val="nil"/>
              <w:left w:val="single" w:sz="4" w:space="0" w:color="auto"/>
              <w:bottom w:val="single" w:sz="4" w:space="0" w:color="auto"/>
              <w:right w:val="single" w:sz="4" w:space="0" w:color="auto"/>
            </w:tcBorders>
            <w:shd w:val="clear" w:color="000000" w:fill="FFFFFF"/>
            <w:vAlign w:val="center"/>
            <w:hideMark/>
          </w:tcPr>
          <w:p w14:paraId="3FC322CA" w14:textId="77777777" w:rsidR="00E8016E" w:rsidRPr="00E8016E" w:rsidRDefault="00E8016E" w:rsidP="00E8016E">
            <w:pPr>
              <w:rPr>
                <w:rFonts w:ascii="Arial Narrow" w:hAnsi="Arial Narrow" w:cs="Arial"/>
                <w:color w:val="000000"/>
                <w:sz w:val="20"/>
                <w:szCs w:val="20"/>
              </w:rPr>
            </w:pPr>
            <w:r w:rsidRPr="00E8016E">
              <w:rPr>
                <w:rFonts w:ascii="Arial Narrow" w:hAnsi="Arial Narrow" w:cs="Arial"/>
                <w:color w:val="000000"/>
                <w:sz w:val="20"/>
                <w:szCs w:val="20"/>
              </w:rPr>
              <w:t>Стокообмен</w:t>
            </w:r>
          </w:p>
        </w:tc>
        <w:tc>
          <w:tcPr>
            <w:tcW w:w="1246" w:type="dxa"/>
            <w:tcBorders>
              <w:top w:val="nil"/>
              <w:left w:val="nil"/>
              <w:bottom w:val="single" w:sz="4" w:space="0" w:color="auto"/>
              <w:right w:val="single" w:sz="4" w:space="0" w:color="auto"/>
            </w:tcBorders>
            <w:shd w:val="clear" w:color="000000" w:fill="FFFFFF"/>
            <w:vAlign w:val="center"/>
            <w:hideMark/>
          </w:tcPr>
          <w:p w14:paraId="3C1A885C" w14:textId="77777777" w:rsidR="00E8016E" w:rsidRPr="00E8016E" w:rsidRDefault="00E8016E" w:rsidP="00E8016E">
            <w:pPr>
              <w:jc w:val="right"/>
              <w:rPr>
                <w:rFonts w:ascii="Arial Narrow" w:hAnsi="Arial Narrow" w:cs="Arial"/>
                <w:sz w:val="20"/>
                <w:szCs w:val="20"/>
              </w:rPr>
            </w:pPr>
            <w:r w:rsidRPr="00E8016E">
              <w:rPr>
                <w:rFonts w:ascii="Arial Narrow" w:hAnsi="Arial Narrow" w:cs="Arial"/>
                <w:sz w:val="20"/>
                <w:szCs w:val="20"/>
              </w:rPr>
              <w:t>8 784 835</w:t>
            </w:r>
          </w:p>
        </w:tc>
        <w:tc>
          <w:tcPr>
            <w:tcW w:w="1246" w:type="dxa"/>
            <w:tcBorders>
              <w:top w:val="nil"/>
              <w:left w:val="nil"/>
              <w:bottom w:val="single" w:sz="4" w:space="0" w:color="auto"/>
              <w:right w:val="single" w:sz="4" w:space="0" w:color="auto"/>
            </w:tcBorders>
            <w:shd w:val="clear" w:color="000000" w:fill="FFFFFF"/>
            <w:vAlign w:val="center"/>
            <w:hideMark/>
          </w:tcPr>
          <w:p w14:paraId="60EDF741" w14:textId="77777777" w:rsidR="00E8016E" w:rsidRPr="00E8016E" w:rsidRDefault="00E8016E" w:rsidP="00E8016E">
            <w:pPr>
              <w:jc w:val="right"/>
              <w:rPr>
                <w:rFonts w:ascii="Arial Narrow" w:hAnsi="Arial Narrow" w:cs="Arial"/>
                <w:sz w:val="20"/>
                <w:szCs w:val="20"/>
              </w:rPr>
            </w:pPr>
            <w:r w:rsidRPr="00E8016E">
              <w:rPr>
                <w:rFonts w:ascii="Arial Narrow" w:hAnsi="Arial Narrow" w:cs="Arial"/>
                <w:sz w:val="20"/>
                <w:szCs w:val="20"/>
              </w:rPr>
              <w:t>10 459 470</w:t>
            </w:r>
          </w:p>
        </w:tc>
        <w:tc>
          <w:tcPr>
            <w:tcW w:w="1246" w:type="dxa"/>
            <w:tcBorders>
              <w:top w:val="nil"/>
              <w:left w:val="nil"/>
              <w:bottom w:val="single" w:sz="4" w:space="0" w:color="auto"/>
              <w:right w:val="single" w:sz="4" w:space="0" w:color="auto"/>
            </w:tcBorders>
            <w:shd w:val="clear" w:color="000000" w:fill="FFFFFF"/>
            <w:vAlign w:val="center"/>
            <w:hideMark/>
          </w:tcPr>
          <w:p w14:paraId="24335D8B" w14:textId="77777777" w:rsidR="00E8016E" w:rsidRPr="00E8016E" w:rsidRDefault="00E8016E" w:rsidP="00E8016E">
            <w:pPr>
              <w:jc w:val="right"/>
              <w:rPr>
                <w:rFonts w:ascii="Arial Narrow" w:hAnsi="Arial Narrow" w:cs="Arial"/>
                <w:sz w:val="20"/>
                <w:szCs w:val="20"/>
              </w:rPr>
            </w:pPr>
            <w:r w:rsidRPr="00E8016E">
              <w:rPr>
                <w:rFonts w:ascii="Arial Narrow" w:hAnsi="Arial Narrow" w:cs="Arial"/>
                <w:sz w:val="20"/>
                <w:szCs w:val="20"/>
              </w:rPr>
              <w:t>14 938 807</w:t>
            </w:r>
          </w:p>
        </w:tc>
        <w:tc>
          <w:tcPr>
            <w:tcW w:w="1246" w:type="dxa"/>
            <w:tcBorders>
              <w:top w:val="nil"/>
              <w:left w:val="nil"/>
              <w:bottom w:val="single" w:sz="4" w:space="0" w:color="auto"/>
              <w:right w:val="single" w:sz="4" w:space="0" w:color="auto"/>
            </w:tcBorders>
            <w:shd w:val="clear" w:color="000000" w:fill="FFFFFF"/>
            <w:vAlign w:val="center"/>
            <w:hideMark/>
          </w:tcPr>
          <w:p w14:paraId="61986AAC" w14:textId="77777777" w:rsidR="00E8016E" w:rsidRPr="00E8016E" w:rsidRDefault="00E8016E" w:rsidP="00E8016E">
            <w:pPr>
              <w:jc w:val="right"/>
              <w:rPr>
                <w:rFonts w:ascii="Arial Narrow" w:hAnsi="Arial Narrow" w:cs="Arial"/>
                <w:sz w:val="20"/>
                <w:szCs w:val="20"/>
              </w:rPr>
            </w:pPr>
            <w:r w:rsidRPr="00E8016E">
              <w:rPr>
                <w:rFonts w:ascii="Arial Narrow" w:hAnsi="Arial Narrow" w:cs="Arial"/>
                <w:sz w:val="20"/>
                <w:szCs w:val="20"/>
              </w:rPr>
              <w:t>14 142 207</w:t>
            </w:r>
          </w:p>
        </w:tc>
        <w:tc>
          <w:tcPr>
            <w:tcW w:w="1246" w:type="dxa"/>
            <w:tcBorders>
              <w:top w:val="nil"/>
              <w:left w:val="nil"/>
              <w:bottom w:val="single" w:sz="4" w:space="0" w:color="auto"/>
              <w:right w:val="single" w:sz="4" w:space="0" w:color="auto"/>
            </w:tcBorders>
            <w:shd w:val="clear" w:color="000000" w:fill="FFFFFF"/>
            <w:vAlign w:val="center"/>
            <w:hideMark/>
          </w:tcPr>
          <w:p w14:paraId="2F4125C5" w14:textId="77777777" w:rsidR="00E8016E" w:rsidRPr="00E8016E" w:rsidRDefault="00E8016E" w:rsidP="00E8016E">
            <w:pPr>
              <w:jc w:val="right"/>
              <w:rPr>
                <w:rFonts w:ascii="Arial Narrow" w:hAnsi="Arial Narrow" w:cs="Arial"/>
                <w:sz w:val="20"/>
                <w:szCs w:val="20"/>
              </w:rPr>
            </w:pPr>
            <w:r w:rsidRPr="00E8016E">
              <w:rPr>
                <w:rFonts w:ascii="Arial Narrow" w:hAnsi="Arial Narrow" w:cs="Arial"/>
                <w:sz w:val="20"/>
                <w:szCs w:val="20"/>
              </w:rPr>
              <w:t>13 476 829</w:t>
            </w:r>
          </w:p>
        </w:tc>
        <w:tc>
          <w:tcPr>
            <w:tcW w:w="1246" w:type="dxa"/>
            <w:tcBorders>
              <w:top w:val="nil"/>
              <w:left w:val="nil"/>
              <w:bottom w:val="single" w:sz="4" w:space="0" w:color="auto"/>
              <w:right w:val="single" w:sz="4" w:space="0" w:color="auto"/>
            </w:tcBorders>
            <w:shd w:val="clear" w:color="000000" w:fill="FFFFFF"/>
            <w:noWrap/>
            <w:vAlign w:val="center"/>
            <w:hideMark/>
          </w:tcPr>
          <w:p w14:paraId="7152D5DF" w14:textId="77777777" w:rsidR="00E8016E" w:rsidRPr="00E8016E" w:rsidRDefault="00E8016E" w:rsidP="00E8016E">
            <w:pPr>
              <w:jc w:val="right"/>
              <w:rPr>
                <w:rFonts w:ascii="Arial Narrow" w:hAnsi="Arial Narrow" w:cs="Arial"/>
                <w:color w:val="000000"/>
                <w:sz w:val="20"/>
                <w:szCs w:val="20"/>
              </w:rPr>
            </w:pPr>
            <w:r w:rsidRPr="00E8016E">
              <w:rPr>
                <w:rFonts w:ascii="Arial Narrow" w:hAnsi="Arial Narrow" w:cs="Arial"/>
                <w:color w:val="000000"/>
                <w:sz w:val="20"/>
                <w:szCs w:val="20"/>
              </w:rPr>
              <w:t>-4,7%</w:t>
            </w:r>
          </w:p>
        </w:tc>
      </w:tr>
    </w:tbl>
    <w:p w14:paraId="6B63289F" w14:textId="77777777" w:rsidR="00D42C78" w:rsidRPr="00D42C78" w:rsidRDefault="00D42C78" w:rsidP="00D42C78">
      <w:pPr>
        <w:spacing w:after="240"/>
        <w:rPr>
          <w:rFonts w:ascii="Arial Narrow" w:eastAsia="Calibri" w:hAnsi="Arial Narrow" w:cs="Arial Narrow"/>
          <w:i/>
          <w:sz w:val="18"/>
          <w:szCs w:val="18"/>
          <w:lang w:val="bg-BG"/>
        </w:rPr>
      </w:pPr>
      <w:r w:rsidRPr="00D42C78">
        <w:rPr>
          <w:rFonts w:ascii="Arial Narrow" w:eastAsia="Calibri" w:hAnsi="Arial Narrow" w:cs="Arial Narrow"/>
          <w:i/>
          <w:sz w:val="18"/>
          <w:szCs w:val="18"/>
          <w:lang w:val="bg-BG"/>
        </w:rPr>
        <w:t>Източник</w:t>
      </w:r>
      <w:r w:rsidRPr="00D42C78">
        <w:rPr>
          <w:rFonts w:ascii="Arial Narrow" w:eastAsia="Calibri" w:hAnsi="Arial Narrow" w:cs="Arial Narrow"/>
          <w:b/>
          <w:i/>
          <w:sz w:val="18"/>
          <w:szCs w:val="18"/>
          <w:lang w:val="bg-BG"/>
        </w:rPr>
        <w:t>:</w:t>
      </w:r>
      <w:r w:rsidRPr="00D42C78">
        <w:rPr>
          <w:rFonts w:ascii="Arial Narrow" w:eastAsia="Calibri" w:hAnsi="Arial Narrow" w:cs="Arial Narrow"/>
          <w:i/>
          <w:sz w:val="18"/>
          <w:szCs w:val="18"/>
          <w:lang w:val="bg-BG"/>
        </w:rPr>
        <w:t xml:space="preserve"> </w:t>
      </w:r>
      <w:r w:rsidRPr="00D42C78">
        <w:rPr>
          <w:rFonts w:ascii="Arial Narrow" w:eastAsia="Calibri" w:hAnsi="Arial Narrow" w:cs="Arial Narrow"/>
          <w:sz w:val="18"/>
          <w:szCs w:val="18"/>
          <w:lang w:val="bg-BG"/>
        </w:rPr>
        <w:t>НСИ и изчисления на МЗХ.</w:t>
      </w:r>
    </w:p>
    <w:p w14:paraId="561A4C4E" w14:textId="77777777" w:rsidR="0070161B" w:rsidRDefault="0070161B" w:rsidP="00D42C78">
      <w:pPr>
        <w:spacing w:after="120"/>
        <w:jc w:val="center"/>
        <w:rPr>
          <w:rFonts w:ascii="Arial Narrow" w:hAnsi="Arial Narrow"/>
          <w:b/>
          <w:i/>
          <w:lang w:val="bg-BG"/>
        </w:rPr>
      </w:pPr>
    </w:p>
    <w:p w14:paraId="49EE1F95" w14:textId="77777777" w:rsidR="0070161B" w:rsidRDefault="0070161B" w:rsidP="00D42C78">
      <w:pPr>
        <w:spacing w:after="120"/>
        <w:jc w:val="center"/>
        <w:rPr>
          <w:rFonts w:ascii="Arial Narrow" w:hAnsi="Arial Narrow"/>
          <w:b/>
          <w:i/>
          <w:lang w:val="bg-BG"/>
        </w:rPr>
      </w:pPr>
    </w:p>
    <w:p w14:paraId="4F3E6966" w14:textId="77777777" w:rsidR="0070161B" w:rsidRDefault="0070161B" w:rsidP="00D42C78">
      <w:pPr>
        <w:spacing w:after="120"/>
        <w:jc w:val="center"/>
        <w:rPr>
          <w:rFonts w:ascii="Arial Narrow" w:hAnsi="Arial Narrow"/>
          <w:b/>
          <w:i/>
          <w:lang w:val="bg-BG"/>
        </w:rPr>
      </w:pPr>
    </w:p>
    <w:p w14:paraId="285E58D4" w14:textId="77777777" w:rsidR="0070161B" w:rsidRDefault="0070161B" w:rsidP="00D42C78">
      <w:pPr>
        <w:spacing w:after="120"/>
        <w:jc w:val="center"/>
        <w:rPr>
          <w:rFonts w:ascii="Arial Narrow" w:hAnsi="Arial Narrow"/>
          <w:b/>
          <w:i/>
          <w:lang w:val="bg-BG"/>
        </w:rPr>
      </w:pPr>
    </w:p>
    <w:p w14:paraId="468290A3" w14:textId="77777777" w:rsidR="0070161B" w:rsidRDefault="0070161B" w:rsidP="00D42C78">
      <w:pPr>
        <w:spacing w:after="120"/>
        <w:jc w:val="center"/>
        <w:rPr>
          <w:rFonts w:ascii="Arial Narrow" w:hAnsi="Arial Narrow"/>
          <w:b/>
          <w:i/>
          <w:lang w:val="bg-BG"/>
        </w:rPr>
      </w:pPr>
    </w:p>
    <w:p w14:paraId="19F38BF8" w14:textId="77777777" w:rsidR="0070161B" w:rsidRDefault="0070161B" w:rsidP="00D42C78">
      <w:pPr>
        <w:spacing w:after="120"/>
        <w:jc w:val="center"/>
        <w:rPr>
          <w:rFonts w:ascii="Arial Narrow" w:hAnsi="Arial Narrow"/>
          <w:b/>
          <w:i/>
          <w:lang w:val="bg-BG"/>
        </w:rPr>
      </w:pPr>
    </w:p>
    <w:p w14:paraId="2F4D58E6" w14:textId="77777777" w:rsidR="00D42C78" w:rsidRDefault="00D42C78" w:rsidP="00D42C78">
      <w:pPr>
        <w:spacing w:after="120"/>
        <w:jc w:val="center"/>
        <w:rPr>
          <w:rFonts w:ascii="Arial Narrow" w:hAnsi="Arial Narrow"/>
          <w:b/>
          <w:i/>
          <w:lang w:val="bg-BG"/>
        </w:rPr>
      </w:pPr>
      <w:r w:rsidRPr="00D42C78">
        <w:rPr>
          <w:rFonts w:ascii="Arial Narrow" w:hAnsi="Arial Narrow"/>
          <w:b/>
          <w:i/>
          <w:lang w:val="bg-BG"/>
        </w:rPr>
        <w:lastRenderedPageBreak/>
        <w:t>Фигура III.1. Аграрна търговия на България (млн. евро)</w:t>
      </w:r>
    </w:p>
    <w:p w14:paraId="4558450C" w14:textId="77777777" w:rsidR="00D42C78" w:rsidRPr="00D42C78" w:rsidRDefault="00A93725" w:rsidP="00CD44F3">
      <w:pPr>
        <w:spacing w:after="120"/>
        <w:jc w:val="center"/>
        <w:rPr>
          <w:rFonts w:ascii="Arial Narrow" w:hAnsi="Arial Narrow" w:cs="Arial Narrow"/>
          <w:b/>
          <w:i/>
          <w:sz w:val="18"/>
          <w:szCs w:val="18"/>
          <w:lang w:val="bg-BG"/>
        </w:rPr>
      </w:pPr>
      <w:r>
        <w:rPr>
          <w:noProof/>
        </w:rPr>
        <w:drawing>
          <wp:inline distT="0" distB="0" distL="0" distR="0" wp14:anchorId="7BBA8287" wp14:editId="3D2E6AFB">
            <wp:extent cx="5400000" cy="3600000"/>
            <wp:effectExtent l="0" t="0" r="0" b="635"/>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665DC0DD" w14:textId="77777777" w:rsidR="00D42C78" w:rsidRPr="00D42C78" w:rsidRDefault="00D42C78" w:rsidP="00D42C78">
      <w:pPr>
        <w:spacing w:after="240"/>
        <w:ind w:firstLine="720"/>
        <w:rPr>
          <w:rFonts w:ascii="Arial Narrow" w:hAnsi="Arial Narrow" w:cs="Arial Narrow"/>
          <w:i/>
          <w:sz w:val="18"/>
          <w:szCs w:val="18"/>
          <w:lang w:val="bg-BG"/>
        </w:rPr>
      </w:pPr>
      <w:r w:rsidRPr="00D42C78">
        <w:rPr>
          <w:rFonts w:ascii="Arial Narrow" w:hAnsi="Arial Narrow" w:cs="Arial Narrow"/>
          <w:i/>
          <w:sz w:val="18"/>
          <w:szCs w:val="18"/>
          <w:lang w:val="bg-BG"/>
        </w:rPr>
        <w:t xml:space="preserve">Източник: </w:t>
      </w:r>
      <w:r w:rsidRPr="00D42C78">
        <w:rPr>
          <w:rFonts w:ascii="Arial Narrow" w:eastAsia="Calibri" w:hAnsi="Arial Narrow" w:cs="Arial Narrow"/>
          <w:sz w:val="18"/>
          <w:szCs w:val="18"/>
          <w:lang w:val="bg-BG"/>
        </w:rPr>
        <w:t>НСИ и изчисления на МЗХ</w:t>
      </w:r>
    </w:p>
    <w:p w14:paraId="35BCC084" w14:textId="77777777" w:rsidR="004605ED" w:rsidRPr="004605ED" w:rsidRDefault="00877C49" w:rsidP="004605ED">
      <w:pPr>
        <w:keepNext/>
        <w:numPr>
          <w:ilvl w:val="0"/>
          <w:numId w:val="18"/>
        </w:numPr>
        <w:spacing w:before="240" w:after="120"/>
        <w:ind w:left="538" w:hanging="357"/>
        <w:outlineLvl w:val="0"/>
        <w:rPr>
          <w:rFonts w:ascii="Arial Narrow" w:eastAsia="SimSun" w:hAnsi="Arial Narrow" w:cs="Arial Narrow"/>
          <w:b/>
          <w:sz w:val="28"/>
          <w:szCs w:val="28"/>
          <w:lang w:val="bg-BG"/>
        </w:rPr>
      </w:pPr>
      <w:bookmarkStart w:id="69" w:name="_Toc210747568"/>
      <w:r w:rsidRPr="004605ED">
        <w:rPr>
          <w:rFonts w:ascii="Arial Narrow" w:eastAsia="SimSun" w:hAnsi="Arial Narrow"/>
          <w:b/>
          <w:lang w:val="bg-BG"/>
        </w:rPr>
        <w:t>Структура</w:t>
      </w:r>
      <w:r w:rsidRPr="004605ED">
        <w:rPr>
          <w:rFonts w:ascii="Arial Narrow" w:eastAsia="SimSun" w:hAnsi="Arial Narrow" w:cs="Arial Narrow"/>
          <w:b/>
          <w:lang w:val="bg-BG"/>
        </w:rPr>
        <w:t xml:space="preserve"> на аграрната търговия на България по страни</w:t>
      </w:r>
      <w:bookmarkEnd w:id="69"/>
    </w:p>
    <w:p w14:paraId="253266D0" w14:textId="77777777" w:rsidR="004605ED" w:rsidRPr="004605ED" w:rsidRDefault="004605ED" w:rsidP="004605ED">
      <w:pPr>
        <w:autoSpaceDE w:val="0"/>
        <w:autoSpaceDN w:val="0"/>
        <w:adjustRightInd w:val="0"/>
        <w:spacing w:after="120"/>
        <w:ind w:firstLine="538"/>
        <w:jc w:val="both"/>
        <w:rPr>
          <w:rFonts w:ascii="Arial Narrow" w:hAnsi="Arial Narrow"/>
          <w:bCs/>
          <w:lang w:val="bg-BG"/>
        </w:rPr>
      </w:pPr>
      <w:r w:rsidRPr="004605ED">
        <w:rPr>
          <w:rFonts w:ascii="Arial Narrow" w:hAnsi="Arial Narrow"/>
          <w:bCs/>
          <w:lang w:val="bg-BG"/>
        </w:rPr>
        <w:t>Основен партньор в търговията на България със селскостопански стоки е Европейският съюз. През 2024 г. стокообменът със страните от Съюза представлява 53,8% от общия аграрен износ на страната и 71,4% от общия аграрен внос, при съответно 52,6% и 72,0% през предходната година.</w:t>
      </w:r>
    </w:p>
    <w:p w14:paraId="199F11C1" w14:textId="77777777" w:rsidR="004605ED" w:rsidRPr="004605ED" w:rsidRDefault="004605ED" w:rsidP="004605ED">
      <w:pPr>
        <w:spacing w:after="120"/>
        <w:jc w:val="center"/>
        <w:rPr>
          <w:rFonts w:ascii="Arial Narrow" w:hAnsi="Arial Narrow"/>
          <w:b/>
          <w:i/>
          <w:lang w:val="bg-BG"/>
        </w:rPr>
      </w:pPr>
      <w:r w:rsidRPr="004605ED">
        <w:rPr>
          <w:rFonts w:ascii="Arial Narrow" w:hAnsi="Arial Narrow"/>
          <w:b/>
          <w:i/>
          <w:lang w:val="bg-BG"/>
        </w:rPr>
        <w:t>Фигура III.2. Структура на аграрния износ от България през 2024 г. по страни</w:t>
      </w:r>
    </w:p>
    <w:p w14:paraId="0678EAF0" w14:textId="77777777" w:rsidR="004605ED" w:rsidRPr="004605ED" w:rsidRDefault="004605ED" w:rsidP="004605ED">
      <w:pPr>
        <w:jc w:val="center"/>
        <w:rPr>
          <w:noProof/>
          <w:color w:val="FF0000"/>
          <w:lang w:val="bg-BG"/>
        </w:rPr>
      </w:pPr>
      <w:r w:rsidRPr="004605ED">
        <w:rPr>
          <w:noProof/>
        </w:rPr>
        <w:drawing>
          <wp:inline distT="0" distB="0" distL="0" distR="0" wp14:anchorId="38CAF56D" wp14:editId="5D36330F">
            <wp:extent cx="5040000" cy="3240000"/>
            <wp:effectExtent l="0" t="0" r="8255" b="0"/>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67D9BA26" w14:textId="77777777" w:rsidR="004605ED" w:rsidRPr="004605ED" w:rsidRDefault="004605ED" w:rsidP="004605ED">
      <w:pPr>
        <w:spacing w:after="120" w:line="360" w:lineRule="auto"/>
        <w:ind w:firstLine="720"/>
        <w:rPr>
          <w:rFonts w:ascii="Arial Narrow" w:hAnsi="Arial Narrow" w:cs="Arial Narrow"/>
          <w:i/>
          <w:color w:val="FF0000"/>
          <w:sz w:val="18"/>
          <w:szCs w:val="18"/>
          <w:lang w:val="bg-BG"/>
        </w:rPr>
      </w:pPr>
      <w:r w:rsidRPr="004605ED">
        <w:rPr>
          <w:rFonts w:ascii="Arial Narrow" w:hAnsi="Arial Narrow" w:cs="Arial Narrow"/>
          <w:i/>
          <w:sz w:val="18"/>
          <w:szCs w:val="18"/>
          <w:lang w:val="bg-BG"/>
        </w:rPr>
        <w:t xml:space="preserve">Източник: </w:t>
      </w:r>
      <w:r w:rsidRPr="004605ED">
        <w:rPr>
          <w:rFonts w:ascii="Arial Narrow" w:eastAsia="Calibri" w:hAnsi="Arial Narrow" w:cs="Arial Narrow"/>
          <w:sz w:val="18"/>
          <w:szCs w:val="18"/>
          <w:lang w:val="bg-BG"/>
        </w:rPr>
        <w:t>НСИ и изчисления на МЗХ</w:t>
      </w:r>
    </w:p>
    <w:p w14:paraId="26C73027" w14:textId="77777777" w:rsidR="0070161B" w:rsidRDefault="0070161B" w:rsidP="004605ED">
      <w:pPr>
        <w:spacing w:after="120"/>
        <w:jc w:val="center"/>
        <w:rPr>
          <w:rFonts w:ascii="Arial Narrow" w:hAnsi="Arial Narrow"/>
          <w:b/>
          <w:i/>
          <w:lang w:val="bg-BG"/>
        </w:rPr>
      </w:pPr>
    </w:p>
    <w:p w14:paraId="428F14AC" w14:textId="77777777" w:rsidR="0070161B" w:rsidRDefault="0070161B" w:rsidP="004605ED">
      <w:pPr>
        <w:spacing w:after="120"/>
        <w:jc w:val="center"/>
        <w:rPr>
          <w:rFonts w:ascii="Arial Narrow" w:hAnsi="Arial Narrow"/>
          <w:b/>
          <w:i/>
          <w:lang w:val="bg-BG"/>
        </w:rPr>
      </w:pPr>
    </w:p>
    <w:p w14:paraId="0618CF6C" w14:textId="77777777" w:rsidR="0070161B" w:rsidRDefault="0070161B" w:rsidP="004605ED">
      <w:pPr>
        <w:spacing w:after="120"/>
        <w:jc w:val="center"/>
        <w:rPr>
          <w:rFonts w:ascii="Arial Narrow" w:hAnsi="Arial Narrow"/>
          <w:b/>
          <w:i/>
          <w:lang w:val="bg-BG"/>
        </w:rPr>
      </w:pPr>
    </w:p>
    <w:p w14:paraId="00DA19E9" w14:textId="77777777" w:rsidR="004605ED" w:rsidRPr="004605ED" w:rsidRDefault="004605ED" w:rsidP="004605ED">
      <w:pPr>
        <w:spacing w:after="120"/>
        <w:jc w:val="center"/>
        <w:rPr>
          <w:rFonts w:ascii="Arial Narrow" w:hAnsi="Arial Narrow"/>
          <w:b/>
          <w:i/>
          <w:lang w:val="bg-BG"/>
        </w:rPr>
      </w:pPr>
      <w:r w:rsidRPr="004605ED">
        <w:rPr>
          <w:rFonts w:ascii="Arial Narrow" w:hAnsi="Arial Narrow"/>
          <w:b/>
          <w:i/>
          <w:lang w:val="bg-BG"/>
        </w:rPr>
        <w:t>Фигура III.3. Структура на аграрния внос в България през 2024 г. по страни</w:t>
      </w:r>
    </w:p>
    <w:p w14:paraId="4A20B18C" w14:textId="77777777" w:rsidR="004605ED" w:rsidRPr="004605ED" w:rsidRDefault="006051C1" w:rsidP="004605ED">
      <w:pPr>
        <w:jc w:val="center"/>
        <w:rPr>
          <w:rFonts w:ascii="Arial Narrow" w:hAnsi="Arial Narrow"/>
          <w:b/>
          <w:i/>
          <w:color w:val="FF0000"/>
          <w:lang w:val="bg-BG"/>
        </w:rPr>
      </w:pPr>
      <w:r>
        <w:rPr>
          <w:noProof/>
        </w:rPr>
        <w:drawing>
          <wp:inline distT="0" distB="0" distL="0" distR="0" wp14:anchorId="0351A5D6" wp14:editId="6E53BEFB">
            <wp:extent cx="5040000" cy="3240000"/>
            <wp:effectExtent l="0" t="0" r="8255" b="0"/>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634820A6" w14:textId="77777777" w:rsidR="004605ED" w:rsidRPr="004605ED" w:rsidRDefault="004605ED" w:rsidP="004605ED">
      <w:pPr>
        <w:spacing w:after="240"/>
        <w:ind w:firstLine="720"/>
        <w:rPr>
          <w:rFonts w:ascii="Arial Narrow" w:eastAsia="Calibri" w:hAnsi="Arial Narrow" w:cs="Arial Narrow"/>
          <w:sz w:val="18"/>
          <w:szCs w:val="18"/>
          <w:lang w:val="bg-BG"/>
        </w:rPr>
      </w:pPr>
      <w:r w:rsidRPr="004605ED">
        <w:rPr>
          <w:rFonts w:ascii="Arial Narrow" w:hAnsi="Arial Narrow" w:cs="Arial Narrow"/>
          <w:i/>
          <w:sz w:val="18"/>
          <w:szCs w:val="18"/>
          <w:lang w:val="bg-BG"/>
        </w:rPr>
        <w:t xml:space="preserve">Източник: </w:t>
      </w:r>
      <w:r w:rsidRPr="004605ED">
        <w:rPr>
          <w:rFonts w:ascii="Arial Narrow" w:eastAsia="Calibri" w:hAnsi="Arial Narrow" w:cs="Arial Narrow"/>
          <w:sz w:val="18"/>
          <w:szCs w:val="18"/>
          <w:lang w:val="bg-BG"/>
        </w:rPr>
        <w:t>НСИ и изчисления на МЗХ</w:t>
      </w:r>
    </w:p>
    <w:p w14:paraId="61196EF9" w14:textId="77777777" w:rsidR="0009317D" w:rsidRPr="004605ED" w:rsidRDefault="0009317D" w:rsidP="00513FF4">
      <w:pPr>
        <w:numPr>
          <w:ilvl w:val="1"/>
          <w:numId w:val="6"/>
        </w:numPr>
        <w:tabs>
          <w:tab w:val="clear" w:pos="1080"/>
        </w:tabs>
        <w:spacing w:after="120"/>
        <w:ind w:left="788" w:hanging="431"/>
        <w:outlineLvl w:val="0"/>
        <w:rPr>
          <w:rFonts w:ascii="Arial Narrow" w:eastAsia="SimSun" w:hAnsi="Arial Narrow" w:cs="Arial Narrow"/>
          <w:b/>
          <w:lang w:val="bg-BG"/>
        </w:rPr>
      </w:pPr>
      <w:bookmarkStart w:id="70" w:name="_Toc210747569"/>
      <w:r w:rsidRPr="004605ED">
        <w:rPr>
          <w:rFonts w:ascii="Arial Narrow" w:eastAsia="SimSun" w:hAnsi="Arial Narrow" w:cs="Arial Narrow"/>
          <w:b/>
          <w:lang w:val="bg-BG"/>
        </w:rPr>
        <w:t>Износ по страни</w:t>
      </w:r>
      <w:bookmarkEnd w:id="70"/>
    </w:p>
    <w:p w14:paraId="27C32B2A" w14:textId="77777777" w:rsidR="004605ED" w:rsidRPr="004605ED" w:rsidRDefault="004605ED" w:rsidP="004605ED">
      <w:pPr>
        <w:autoSpaceDE w:val="0"/>
        <w:autoSpaceDN w:val="0"/>
        <w:adjustRightInd w:val="0"/>
        <w:spacing w:after="120"/>
        <w:ind w:firstLine="709"/>
        <w:jc w:val="both"/>
        <w:rPr>
          <w:rFonts w:ascii="Arial Narrow" w:hAnsi="Arial Narrow"/>
          <w:bCs/>
          <w:lang w:val="bg-BG"/>
        </w:rPr>
      </w:pPr>
      <w:r w:rsidRPr="004605ED">
        <w:rPr>
          <w:rFonts w:ascii="Arial Narrow" w:hAnsi="Arial Narrow"/>
          <w:bCs/>
          <w:lang w:val="bg-BG"/>
        </w:rPr>
        <w:t xml:space="preserve">Най-значителен дял в износа на селскостопански стоки от България през 2024 г. заемат съседните Гърция (11,4%), Румъния (10,3%) и Турция (9,5%). Сред водещите дестинации са също така Германия и Алжир, следвани от Испания, Нидерландия, Италия, Франция и др. </w:t>
      </w:r>
    </w:p>
    <w:p w14:paraId="055BA288" w14:textId="77777777" w:rsidR="004605ED" w:rsidRPr="004605ED" w:rsidRDefault="004605ED" w:rsidP="004605ED">
      <w:pPr>
        <w:autoSpaceDE w:val="0"/>
        <w:autoSpaceDN w:val="0"/>
        <w:adjustRightInd w:val="0"/>
        <w:spacing w:after="120"/>
        <w:ind w:firstLine="709"/>
        <w:jc w:val="both"/>
        <w:rPr>
          <w:rFonts w:ascii="Arial Narrow" w:hAnsi="Arial Narrow"/>
          <w:bCs/>
          <w:lang w:val="bg-BG"/>
        </w:rPr>
      </w:pPr>
      <w:r w:rsidRPr="004605ED">
        <w:rPr>
          <w:rFonts w:ascii="Arial Narrow" w:hAnsi="Arial Narrow"/>
          <w:bCs/>
          <w:lang w:val="bg-BG"/>
        </w:rPr>
        <w:t>Общата стойност на изпращанията за ЕС се свива с 13,2% спрямо 2023 г., основно вследствие на по-слабата реализация на слънчоглед, пшеница, слънчогледово масло, захар и птиче месо. При повечето от по-значимите партньори в рамките на Съюза е налице намаление в границите от 6,8% (Франция) до 51,4% (Испания). Сериозно увеличение бележи експортът за Белгия (+43%), а по-слабо – този за Унгария (+5,1%), Румъния (+3,8%) и Полша (+2,8%).</w:t>
      </w:r>
    </w:p>
    <w:p w14:paraId="2776FEB2" w14:textId="77777777" w:rsidR="004605ED" w:rsidRPr="004605ED" w:rsidRDefault="004605ED" w:rsidP="004605ED">
      <w:pPr>
        <w:spacing w:after="120"/>
        <w:ind w:firstLine="708"/>
        <w:jc w:val="both"/>
        <w:rPr>
          <w:rFonts w:ascii="Arial" w:hAnsi="Arial" w:cs="Arial"/>
          <w:sz w:val="16"/>
          <w:szCs w:val="16"/>
          <w:lang w:val="bg-BG"/>
        </w:rPr>
      </w:pPr>
      <w:r w:rsidRPr="004605ED">
        <w:rPr>
          <w:rFonts w:ascii="Arial Narrow" w:hAnsi="Arial Narrow"/>
          <w:bCs/>
          <w:lang w:val="bg-BG"/>
        </w:rPr>
        <w:t>Износът за трети страни също се понижава - със 17,2%, като се отчита значително по-ниска стойност на пратките на пшеница, царевица, слънчоглед, слънчогледово масло, кюспета и други твърди остатъци, получени при извличането на растителни масла. Прави впечатление чувствителният спад на експорта за Китай (-69%) и Индонезия (-77%). Намалява и реализацията на селскостопански продукти в Алжир (-11,3%), Египет (-10,9%) и САЩ (-6,1%). От друга страна, експортът за Турция се повишава с 26,4% на годишна база (главно в резултат на няколкократен ръст на стойността на насоченото за там какаово масло), а този за Обединеното кралство – с 10,2%.</w:t>
      </w:r>
    </w:p>
    <w:p w14:paraId="1B15AA7D" w14:textId="77777777" w:rsidR="004605ED" w:rsidRDefault="004605ED" w:rsidP="004605ED">
      <w:pPr>
        <w:autoSpaceDE w:val="0"/>
        <w:autoSpaceDN w:val="0"/>
        <w:adjustRightInd w:val="0"/>
        <w:spacing w:after="120"/>
        <w:jc w:val="both"/>
        <w:rPr>
          <w:rFonts w:ascii="Arial Narrow" w:hAnsi="Arial Narrow"/>
          <w:b/>
          <w:bCs/>
          <w:lang w:val="bg-BG"/>
        </w:rPr>
      </w:pPr>
      <w:r w:rsidRPr="004605ED">
        <w:rPr>
          <w:rFonts w:ascii="Arial Narrow" w:hAnsi="Arial Narrow"/>
          <w:b/>
          <w:bCs/>
          <w:lang w:val="bg-BG"/>
        </w:rPr>
        <w:t>Таблица ІІІ.2. Износ на селскостопански стоки по страни (хил. евро)</w:t>
      </w:r>
    </w:p>
    <w:tbl>
      <w:tblPr>
        <w:tblW w:w="9776" w:type="dxa"/>
        <w:tblInd w:w="113" w:type="dxa"/>
        <w:tblLayout w:type="fixed"/>
        <w:tblLook w:val="04A0" w:firstRow="1" w:lastRow="0" w:firstColumn="1" w:lastColumn="0" w:noHBand="0" w:noVBand="1"/>
      </w:tblPr>
      <w:tblGrid>
        <w:gridCol w:w="2117"/>
        <w:gridCol w:w="1318"/>
        <w:gridCol w:w="1318"/>
        <w:gridCol w:w="1318"/>
        <w:gridCol w:w="1289"/>
        <w:gridCol w:w="1318"/>
        <w:gridCol w:w="1098"/>
      </w:tblGrid>
      <w:tr w:rsidR="00F30790" w:rsidRPr="00F30790" w14:paraId="188917E7" w14:textId="77777777" w:rsidTr="00CD44F3">
        <w:trPr>
          <w:trHeight w:val="499"/>
          <w:tblHeader/>
        </w:trPr>
        <w:tc>
          <w:tcPr>
            <w:tcW w:w="2155" w:type="dxa"/>
            <w:vMerge w:val="restar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93A3D40" w14:textId="77777777" w:rsidR="00F30790" w:rsidRPr="00F30790" w:rsidRDefault="00F30790" w:rsidP="00F30790">
            <w:pPr>
              <w:jc w:val="center"/>
              <w:rPr>
                <w:rFonts w:ascii="Arial" w:hAnsi="Arial" w:cs="Arial"/>
                <w:sz w:val="20"/>
                <w:szCs w:val="20"/>
              </w:rPr>
            </w:pPr>
            <w:r w:rsidRPr="00F30790">
              <w:rPr>
                <w:rFonts w:ascii="Arial" w:hAnsi="Arial" w:cs="Arial"/>
                <w:sz w:val="20"/>
                <w:szCs w:val="20"/>
              </w:rPr>
              <w:t> </w:t>
            </w:r>
          </w:p>
        </w:tc>
        <w:tc>
          <w:tcPr>
            <w:tcW w:w="1340"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A4C90CC" w14:textId="77777777" w:rsidR="00F30790" w:rsidRPr="00F30790" w:rsidRDefault="00F30790" w:rsidP="00F30790">
            <w:pPr>
              <w:jc w:val="center"/>
              <w:rPr>
                <w:rFonts w:ascii="Arial Narrow" w:hAnsi="Arial Narrow" w:cs="Arial"/>
                <w:b/>
                <w:bCs/>
                <w:color w:val="000000"/>
                <w:sz w:val="20"/>
                <w:szCs w:val="20"/>
              </w:rPr>
            </w:pPr>
            <w:r w:rsidRPr="00F30790">
              <w:rPr>
                <w:rFonts w:ascii="Arial Narrow" w:hAnsi="Arial Narrow" w:cs="Arial"/>
                <w:b/>
                <w:bCs/>
                <w:color w:val="000000"/>
                <w:sz w:val="20"/>
                <w:szCs w:val="20"/>
              </w:rPr>
              <w:t>2022</w:t>
            </w:r>
          </w:p>
        </w:tc>
        <w:tc>
          <w:tcPr>
            <w:tcW w:w="1340"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65BC611" w14:textId="77777777" w:rsidR="00F30790" w:rsidRPr="00F30790" w:rsidRDefault="00F30790" w:rsidP="00F30790">
            <w:pPr>
              <w:jc w:val="center"/>
              <w:rPr>
                <w:rFonts w:ascii="Arial Narrow" w:hAnsi="Arial Narrow" w:cs="Arial"/>
                <w:b/>
                <w:bCs/>
                <w:color w:val="000000"/>
                <w:sz w:val="20"/>
                <w:szCs w:val="20"/>
              </w:rPr>
            </w:pPr>
            <w:r w:rsidRPr="00F30790">
              <w:rPr>
                <w:rFonts w:ascii="Arial Narrow" w:hAnsi="Arial Narrow" w:cs="Arial"/>
                <w:b/>
                <w:bCs/>
                <w:color w:val="000000"/>
                <w:sz w:val="20"/>
                <w:szCs w:val="20"/>
              </w:rPr>
              <w:t>2023</w:t>
            </w:r>
          </w:p>
        </w:tc>
        <w:tc>
          <w:tcPr>
            <w:tcW w:w="1340"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9CA397E" w14:textId="77777777" w:rsidR="00F30790" w:rsidRPr="00F30790" w:rsidRDefault="00F30790" w:rsidP="00F30790">
            <w:pPr>
              <w:jc w:val="center"/>
              <w:rPr>
                <w:rFonts w:ascii="Arial Narrow" w:hAnsi="Arial Narrow" w:cs="Arial"/>
                <w:b/>
                <w:bCs/>
                <w:color w:val="000000"/>
                <w:sz w:val="20"/>
                <w:szCs w:val="20"/>
              </w:rPr>
            </w:pPr>
            <w:r w:rsidRPr="00F30790">
              <w:rPr>
                <w:rFonts w:ascii="Arial Narrow" w:hAnsi="Arial Narrow" w:cs="Arial"/>
                <w:b/>
                <w:bCs/>
                <w:color w:val="000000"/>
                <w:sz w:val="20"/>
                <w:szCs w:val="20"/>
              </w:rPr>
              <w:t>2024</w:t>
            </w:r>
          </w:p>
        </w:tc>
        <w:tc>
          <w:tcPr>
            <w:tcW w:w="131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4E0C5CE8" w14:textId="77777777" w:rsidR="00F30790" w:rsidRPr="00F30790" w:rsidRDefault="00F30790" w:rsidP="00F30790">
            <w:pPr>
              <w:jc w:val="center"/>
              <w:rPr>
                <w:rFonts w:ascii="Arial Narrow" w:hAnsi="Arial Narrow" w:cs="Arial"/>
                <w:b/>
                <w:bCs/>
                <w:color w:val="000000"/>
                <w:sz w:val="20"/>
                <w:szCs w:val="20"/>
              </w:rPr>
            </w:pPr>
            <w:r w:rsidRPr="00F30790">
              <w:rPr>
                <w:rFonts w:ascii="Arial Narrow" w:hAnsi="Arial Narrow" w:cs="Arial"/>
                <w:b/>
                <w:bCs/>
                <w:color w:val="000000"/>
                <w:sz w:val="20"/>
                <w:szCs w:val="20"/>
              </w:rPr>
              <w:t>Дял в общия аграрен износ (2024)</w:t>
            </w:r>
          </w:p>
        </w:tc>
        <w:tc>
          <w:tcPr>
            <w:tcW w:w="2456" w:type="dxa"/>
            <w:gridSpan w:val="2"/>
            <w:tcBorders>
              <w:top w:val="single" w:sz="4" w:space="0" w:color="auto"/>
              <w:left w:val="nil"/>
              <w:bottom w:val="single" w:sz="4" w:space="0" w:color="auto"/>
              <w:right w:val="single" w:sz="4" w:space="0" w:color="000000"/>
            </w:tcBorders>
            <w:shd w:val="clear" w:color="000000" w:fill="FFFFFF"/>
            <w:noWrap/>
            <w:vAlign w:val="center"/>
            <w:hideMark/>
          </w:tcPr>
          <w:p w14:paraId="4B550AB8" w14:textId="77777777" w:rsidR="00F30790" w:rsidRPr="00F30790" w:rsidRDefault="00F30790" w:rsidP="00F30790">
            <w:pPr>
              <w:jc w:val="center"/>
              <w:rPr>
                <w:rFonts w:ascii="Arial Narrow" w:hAnsi="Arial Narrow" w:cs="Arial"/>
                <w:b/>
                <w:bCs/>
                <w:sz w:val="20"/>
                <w:szCs w:val="20"/>
              </w:rPr>
            </w:pPr>
            <w:r w:rsidRPr="00F30790">
              <w:rPr>
                <w:rFonts w:ascii="Arial Narrow" w:hAnsi="Arial Narrow" w:cs="Arial"/>
                <w:b/>
                <w:bCs/>
                <w:sz w:val="20"/>
                <w:szCs w:val="20"/>
              </w:rPr>
              <w:t>Изм. 2024/2023</w:t>
            </w:r>
          </w:p>
        </w:tc>
      </w:tr>
      <w:tr w:rsidR="00F30790" w:rsidRPr="00F30790" w14:paraId="011A119F" w14:textId="77777777" w:rsidTr="00CD44F3">
        <w:trPr>
          <w:trHeight w:val="499"/>
          <w:tblHeader/>
        </w:trPr>
        <w:tc>
          <w:tcPr>
            <w:tcW w:w="2155" w:type="dxa"/>
            <w:vMerge/>
            <w:tcBorders>
              <w:top w:val="single" w:sz="4" w:space="0" w:color="auto"/>
              <w:left w:val="single" w:sz="4" w:space="0" w:color="auto"/>
              <w:bottom w:val="single" w:sz="4" w:space="0" w:color="auto"/>
              <w:right w:val="single" w:sz="4" w:space="0" w:color="auto"/>
            </w:tcBorders>
            <w:vAlign w:val="center"/>
            <w:hideMark/>
          </w:tcPr>
          <w:p w14:paraId="5E66B156" w14:textId="77777777" w:rsidR="00F30790" w:rsidRPr="00F30790" w:rsidRDefault="00F30790" w:rsidP="00F30790">
            <w:pPr>
              <w:rPr>
                <w:rFonts w:ascii="Arial" w:hAnsi="Arial" w:cs="Arial"/>
                <w:sz w:val="20"/>
                <w:szCs w:val="20"/>
              </w:rPr>
            </w:pPr>
          </w:p>
        </w:tc>
        <w:tc>
          <w:tcPr>
            <w:tcW w:w="1340" w:type="dxa"/>
            <w:vMerge/>
            <w:tcBorders>
              <w:top w:val="single" w:sz="4" w:space="0" w:color="auto"/>
              <w:left w:val="single" w:sz="4" w:space="0" w:color="auto"/>
              <w:bottom w:val="single" w:sz="4" w:space="0" w:color="auto"/>
              <w:right w:val="single" w:sz="4" w:space="0" w:color="auto"/>
            </w:tcBorders>
            <w:vAlign w:val="center"/>
            <w:hideMark/>
          </w:tcPr>
          <w:p w14:paraId="24AE27D4" w14:textId="77777777" w:rsidR="00F30790" w:rsidRPr="00F30790" w:rsidRDefault="00F30790" w:rsidP="00F30790">
            <w:pPr>
              <w:rPr>
                <w:rFonts w:ascii="Arial Narrow" w:hAnsi="Arial Narrow" w:cs="Arial"/>
                <w:b/>
                <w:bCs/>
                <w:color w:val="000000"/>
                <w:sz w:val="20"/>
                <w:szCs w:val="20"/>
              </w:rPr>
            </w:pPr>
          </w:p>
        </w:tc>
        <w:tc>
          <w:tcPr>
            <w:tcW w:w="1340" w:type="dxa"/>
            <w:vMerge/>
            <w:tcBorders>
              <w:top w:val="single" w:sz="4" w:space="0" w:color="auto"/>
              <w:left w:val="single" w:sz="4" w:space="0" w:color="auto"/>
              <w:bottom w:val="single" w:sz="4" w:space="0" w:color="auto"/>
              <w:right w:val="single" w:sz="4" w:space="0" w:color="auto"/>
            </w:tcBorders>
            <w:vAlign w:val="center"/>
            <w:hideMark/>
          </w:tcPr>
          <w:p w14:paraId="483AC5F5" w14:textId="77777777" w:rsidR="00F30790" w:rsidRPr="00F30790" w:rsidRDefault="00F30790" w:rsidP="00F30790">
            <w:pPr>
              <w:rPr>
                <w:rFonts w:ascii="Arial Narrow" w:hAnsi="Arial Narrow" w:cs="Arial"/>
                <w:b/>
                <w:bCs/>
                <w:color w:val="000000"/>
                <w:sz w:val="20"/>
                <w:szCs w:val="20"/>
              </w:rPr>
            </w:pPr>
          </w:p>
        </w:tc>
        <w:tc>
          <w:tcPr>
            <w:tcW w:w="1340" w:type="dxa"/>
            <w:vMerge/>
            <w:tcBorders>
              <w:top w:val="single" w:sz="4" w:space="0" w:color="auto"/>
              <w:left w:val="single" w:sz="4" w:space="0" w:color="auto"/>
              <w:bottom w:val="single" w:sz="4" w:space="0" w:color="auto"/>
              <w:right w:val="single" w:sz="4" w:space="0" w:color="auto"/>
            </w:tcBorders>
            <w:vAlign w:val="center"/>
            <w:hideMark/>
          </w:tcPr>
          <w:p w14:paraId="11C92EF5" w14:textId="77777777" w:rsidR="00F30790" w:rsidRPr="00F30790" w:rsidRDefault="00F30790" w:rsidP="00F30790">
            <w:pPr>
              <w:rPr>
                <w:rFonts w:ascii="Arial Narrow" w:hAnsi="Arial Narrow" w:cs="Arial"/>
                <w:b/>
                <w:bCs/>
                <w:color w:val="000000"/>
                <w:sz w:val="20"/>
                <w:szCs w:val="20"/>
              </w:rPr>
            </w:pPr>
          </w:p>
        </w:tc>
        <w:tc>
          <w:tcPr>
            <w:tcW w:w="1310" w:type="dxa"/>
            <w:vMerge/>
            <w:tcBorders>
              <w:top w:val="single" w:sz="4" w:space="0" w:color="auto"/>
              <w:left w:val="single" w:sz="4" w:space="0" w:color="auto"/>
              <w:bottom w:val="single" w:sz="4" w:space="0" w:color="auto"/>
              <w:right w:val="single" w:sz="4" w:space="0" w:color="auto"/>
            </w:tcBorders>
            <w:vAlign w:val="center"/>
            <w:hideMark/>
          </w:tcPr>
          <w:p w14:paraId="6E1B3682" w14:textId="77777777" w:rsidR="00F30790" w:rsidRPr="00F30790" w:rsidRDefault="00F30790" w:rsidP="00F30790">
            <w:pPr>
              <w:rPr>
                <w:rFonts w:ascii="Arial Narrow" w:hAnsi="Arial Narrow" w:cs="Arial"/>
                <w:b/>
                <w:bCs/>
                <w:color w:val="000000"/>
                <w:sz w:val="20"/>
                <w:szCs w:val="20"/>
              </w:rPr>
            </w:pPr>
          </w:p>
        </w:tc>
        <w:tc>
          <w:tcPr>
            <w:tcW w:w="1340" w:type="dxa"/>
            <w:tcBorders>
              <w:top w:val="nil"/>
              <w:left w:val="nil"/>
              <w:bottom w:val="single" w:sz="4" w:space="0" w:color="auto"/>
              <w:right w:val="single" w:sz="4" w:space="0" w:color="auto"/>
            </w:tcBorders>
            <w:shd w:val="clear" w:color="000000" w:fill="FFFFFF"/>
            <w:vAlign w:val="center"/>
            <w:hideMark/>
          </w:tcPr>
          <w:p w14:paraId="2506FA56" w14:textId="77777777" w:rsidR="00F30790" w:rsidRPr="00F30790" w:rsidRDefault="00F30790" w:rsidP="00F30790">
            <w:pPr>
              <w:jc w:val="center"/>
              <w:rPr>
                <w:rFonts w:ascii="Arial Narrow" w:hAnsi="Arial Narrow" w:cs="Arial"/>
                <w:b/>
                <w:bCs/>
                <w:color w:val="000000"/>
                <w:sz w:val="20"/>
                <w:szCs w:val="20"/>
              </w:rPr>
            </w:pPr>
            <w:r w:rsidRPr="00F30790">
              <w:rPr>
                <w:rFonts w:ascii="Arial Narrow" w:hAnsi="Arial Narrow" w:cs="Arial"/>
                <w:b/>
                <w:bCs/>
                <w:color w:val="000000"/>
                <w:sz w:val="20"/>
                <w:szCs w:val="20"/>
              </w:rPr>
              <w:t>хил. евро</w:t>
            </w:r>
          </w:p>
        </w:tc>
        <w:tc>
          <w:tcPr>
            <w:tcW w:w="1116" w:type="dxa"/>
            <w:tcBorders>
              <w:top w:val="nil"/>
              <w:left w:val="nil"/>
              <w:bottom w:val="single" w:sz="4" w:space="0" w:color="auto"/>
              <w:right w:val="single" w:sz="4" w:space="0" w:color="auto"/>
            </w:tcBorders>
            <w:shd w:val="clear" w:color="000000" w:fill="FFFFFF"/>
            <w:vAlign w:val="center"/>
            <w:hideMark/>
          </w:tcPr>
          <w:p w14:paraId="17BE784E" w14:textId="77777777" w:rsidR="00F30790" w:rsidRPr="00F30790" w:rsidRDefault="00F30790" w:rsidP="00F30790">
            <w:pPr>
              <w:jc w:val="center"/>
              <w:rPr>
                <w:rFonts w:ascii="Arial Narrow" w:hAnsi="Arial Narrow" w:cs="Arial"/>
                <w:b/>
                <w:bCs/>
                <w:color w:val="000000"/>
                <w:sz w:val="20"/>
                <w:szCs w:val="20"/>
              </w:rPr>
            </w:pPr>
            <w:r w:rsidRPr="00F30790">
              <w:rPr>
                <w:rFonts w:ascii="Arial Narrow" w:hAnsi="Arial Narrow" w:cs="Arial"/>
                <w:b/>
                <w:bCs/>
                <w:color w:val="000000"/>
                <w:sz w:val="20"/>
                <w:szCs w:val="20"/>
              </w:rPr>
              <w:t>%</w:t>
            </w:r>
          </w:p>
        </w:tc>
      </w:tr>
      <w:tr w:rsidR="00F30790" w:rsidRPr="00F30790" w14:paraId="3DE0D617" w14:textId="77777777" w:rsidTr="00CD44F3">
        <w:trPr>
          <w:trHeight w:val="342"/>
        </w:trPr>
        <w:tc>
          <w:tcPr>
            <w:tcW w:w="2155" w:type="dxa"/>
            <w:tcBorders>
              <w:top w:val="nil"/>
              <w:left w:val="single" w:sz="4" w:space="0" w:color="auto"/>
              <w:bottom w:val="single" w:sz="4" w:space="0" w:color="auto"/>
              <w:right w:val="single" w:sz="4" w:space="0" w:color="auto"/>
            </w:tcBorders>
            <w:shd w:val="clear" w:color="000000" w:fill="FFFFFF"/>
            <w:vAlign w:val="center"/>
            <w:hideMark/>
          </w:tcPr>
          <w:p w14:paraId="6022A699" w14:textId="77777777" w:rsidR="00F30790" w:rsidRPr="00F30790" w:rsidRDefault="00F30790" w:rsidP="00F30790">
            <w:pPr>
              <w:rPr>
                <w:rFonts w:ascii="Arial Narrow" w:hAnsi="Arial Narrow" w:cs="Arial"/>
                <w:b/>
                <w:bCs/>
                <w:color w:val="000000"/>
                <w:sz w:val="20"/>
                <w:szCs w:val="20"/>
              </w:rPr>
            </w:pPr>
            <w:r w:rsidRPr="00F30790">
              <w:rPr>
                <w:rFonts w:ascii="Arial Narrow" w:hAnsi="Arial Narrow" w:cs="Arial"/>
                <w:b/>
                <w:bCs/>
                <w:color w:val="000000"/>
                <w:sz w:val="20"/>
                <w:szCs w:val="20"/>
              </w:rPr>
              <w:t>ОБЩО, в т. ч.:</w:t>
            </w:r>
          </w:p>
        </w:tc>
        <w:tc>
          <w:tcPr>
            <w:tcW w:w="1340" w:type="dxa"/>
            <w:tcBorders>
              <w:top w:val="nil"/>
              <w:left w:val="nil"/>
              <w:bottom w:val="single" w:sz="4" w:space="0" w:color="auto"/>
              <w:right w:val="single" w:sz="4" w:space="0" w:color="auto"/>
            </w:tcBorders>
            <w:shd w:val="clear" w:color="000000" w:fill="FFFFFF"/>
            <w:vAlign w:val="center"/>
            <w:hideMark/>
          </w:tcPr>
          <w:p w14:paraId="2C5E315F" w14:textId="77777777" w:rsidR="00F30790" w:rsidRPr="00F30790" w:rsidRDefault="00F30790" w:rsidP="00F30790">
            <w:pPr>
              <w:jc w:val="right"/>
              <w:rPr>
                <w:rFonts w:ascii="Arial Narrow" w:hAnsi="Arial Narrow" w:cs="Arial"/>
                <w:b/>
                <w:bCs/>
                <w:sz w:val="20"/>
                <w:szCs w:val="20"/>
              </w:rPr>
            </w:pPr>
            <w:r w:rsidRPr="00F30790">
              <w:rPr>
                <w:rFonts w:ascii="Arial Narrow" w:hAnsi="Arial Narrow" w:cs="Arial"/>
                <w:b/>
                <w:bCs/>
                <w:sz w:val="20"/>
                <w:szCs w:val="20"/>
              </w:rPr>
              <w:t>8 269 923</w:t>
            </w:r>
          </w:p>
        </w:tc>
        <w:tc>
          <w:tcPr>
            <w:tcW w:w="1340" w:type="dxa"/>
            <w:tcBorders>
              <w:top w:val="nil"/>
              <w:left w:val="nil"/>
              <w:bottom w:val="single" w:sz="4" w:space="0" w:color="auto"/>
              <w:right w:val="single" w:sz="4" w:space="0" w:color="auto"/>
            </w:tcBorders>
            <w:shd w:val="clear" w:color="000000" w:fill="FFFFFF"/>
            <w:noWrap/>
            <w:vAlign w:val="center"/>
            <w:hideMark/>
          </w:tcPr>
          <w:p w14:paraId="3498DD22" w14:textId="77777777" w:rsidR="00F30790" w:rsidRPr="00F30790" w:rsidRDefault="00F30790" w:rsidP="00F30790">
            <w:pPr>
              <w:jc w:val="right"/>
              <w:rPr>
                <w:rFonts w:ascii="Arial Narrow" w:hAnsi="Arial Narrow" w:cs="Arial"/>
                <w:b/>
                <w:bCs/>
                <w:sz w:val="20"/>
                <w:szCs w:val="20"/>
              </w:rPr>
            </w:pPr>
            <w:r w:rsidRPr="00F30790">
              <w:rPr>
                <w:rFonts w:ascii="Arial Narrow" w:hAnsi="Arial Narrow" w:cs="Arial"/>
                <w:b/>
                <w:bCs/>
                <w:sz w:val="20"/>
                <w:szCs w:val="20"/>
              </w:rPr>
              <w:t>7 941 122</w:t>
            </w:r>
          </w:p>
        </w:tc>
        <w:tc>
          <w:tcPr>
            <w:tcW w:w="1340" w:type="dxa"/>
            <w:tcBorders>
              <w:top w:val="nil"/>
              <w:left w:val="nil"/>
              <w:bottom w:val="single" w:sz="4" w:space="0" w:color="auto"/>
              <w:right w:val="single" w:sz="4" w:space="0" w:color="auto"/>
            </w:tcBorders>
            <w:shd w:val="clear" w:color="000000" w:fill="FFFFFF"/>
            <w:noWrap/>
            <w:vAlign w:val="center"/>
            <w:hideMark/>
          </w:tcPr>
          <w:p w14:paraId="67683019" w14:textId="77777777" w:rsidR="00F30790" w:rsidRPr="00F30790" w:rsidRDefault="00F30790" w:rsidP="00F30790">
            <w:pPr>
              <w:jc w:val="right"/>
              <w:rPr>
                <w:rFonts w:ascii="Arial Narrow" w:hAnsi="Arial Narrow" w:cs="Arial"/>
                <w:b/>
                <w:bCs/>
                <w:sz w:val="20"/>
                <w:szCs w:val="20"/>
              </w:rPr>
            </w:pPr>
            <w:r w:rsidRPr="00F30790">
              <w:rPr>
                <w:rFonts w:ascii="Arial Narrow" w:hAnsi="Arial Narrow" w:cs="Arial"/>
                <w:b/>
                <w:bCs/>
                <w:sz w:val="20"/>
                <w:szCs w:val="20"/>
              </w:rPr>
              <w:t>6 739 500</w:t>
            </w:r>
          </w:p>
        </w:tc>
        <w:tc>
          <w:tcPr>
            <w:tcW w:w="1310" w:type="dxa"/>
            <w:tcBorders>
              <w:top w:val="nil"/>
              <w:left w:val="nil"/>
              <w:bottom w:val="single" w:sz="4" w:space="0" w:color="auto"/>
              <w:right w:val="single" w:sz="4" w:space="0" w:color="auto"/>
            </w:tcBorders>
            <w:shd w:val="clear" w:color="000000" w:fill="FFFFFF"/>
            <w:noWrap/>
            <w:vAlign w:val="center"/>
            <w:hideMark/>
          </w:tcPr>
          <w:p w14:paraId="230A2B9D" w14:textId="77777777" w:rsidR="00F30790" w:rsidRPr="00F30790" w:rsidRDefault="00F30790" w:rsidP="00F30790">
            <w:pPr>
              <w:jc w:val="right"/>
              <w:rPr>
                <w:rFonts w:ascii="Arial Narrow" w:hAnsi="Arial Narrow" w:cs="Arial"/>
                <w:b/>
                <w:bCs/>
                <w:color w:val="000000"/>
                <w:sz w:val="20"/>
                <w:szCs w:val="20"/>
              </w:rPr>
            </w:pPr>
            <w:r w:rsidRPr="00F30790">
              <w:rPr>
                <w:rFonts w:ascii="Arial Narrow" w:hAnsi="Arial Narrow" w:cs="Arial"/>
                <w:b/>
                <w:bCs/>
                <w:color w:val="000000"/>
                <w:sz w:val="20"/>
                <w:szCs w:val="20"/>
              </w:rPr>
              <w:t>100,0%</w:t>
            </w:r>
          </w:p>
        </w:tc>
        <w:tc>
          <w:tcPr>
            <w:tcW w:w="1340" w:type="dxa"/>
            <w:tcBorders>
              <w:top w:val="nil"/>
              <w:left w:val="nil"/>
              <w:bottom w:val="single" w:sz="4" w:space="0" w:color="auto"/>
              <w:right w:val="single" w:sz="4" w:space="0" w:color="auto"/>
            </w:tcBorders>
            <w:shd w:val="clear" w:color="000000" w:fill="FFFFFF"/>
            <w:noWrap/>
            <w:vAlign w:val="center"/>
            <w:hideMark/>
          </w:tcPr>
          <w:p w14:paraId="5837FB87" w14:textId="77777777" w:rsidR="00F30790" w:rsidRPr="00F30790" w:rsidRDefault="00F30790" w:rsidP="00F30790">
            <w:pPr>
              <w:jc w:val="right"/>
              <w:rPr>
                <w:rFonts w:ascii="Arial Narrow" w:hAnsi="Arial Narrow" w:cs="Arial"/>
                <w:b/>
                <w:bCs/>
                <w:color w:val="000000"/>
                <w:sz w:val="20"/>
                <w:szCs w:val="20"/>
              </w:rPr>
            </w:pPr>
            <w:r w:rsidRPr="00F30790">
              <w:rPr>
                <w:rFonts w:ascii="Arial Narrow" w:hAnsi="Arial Narrow" w:cs="Arial"/>
                <w:b/>
                <w:bCs/>
                <w:color w:val="000000"/>
                <w:sz w:val="20"/>
                <w:szCs w:val="20"/>
              </w:rPr>
              <w:t>-1 201 622</w:t>
            </w:r>
          </w:p>
        </w:tc>
        <w:tc>
          <w:tcPr>
            <w:tcW w:w="1116" w:type="dxa"/>
            <w:tcBorders>
              <w:top w:val="nil"/>
              <w:left w:val="nil"/>
              <w:bottom w:val="single" w:sz="4" w:space="0" w:color="auto"/>
              <w:right w:val="single" w:sz="4" w:space="0" w:color="auto"/>
            </w:tcBorders>
            <w:shd w:val="clear" w:color="000000" w:fill="FFFFFF"/>
            <w:noWrap/>
            <w:vAlign w:val="center"/>
            <w:hideMark/>
          </w:tcPr>
          <w:p w14:paraId="76B94D8B" w14:textId="77777777" w:rsidR="00F30790" w:rsidRPr="00F30790" w:rsidRDefault="00F30790" w:rsidP="00F30790">
            <w:pPr>
              <w:jc w:val="right"/>
              <w:rPr>
                <w:rFonts w:ascii="Arial Narrow" w:hAnsi="Arial Narrow" w:cs="Arial"/>
                <w:b/>
                <w:bCs/>
                <w:color w:val="000000"/>
                <w:sz w:val="20"/>
                <w:szCs w:val="20"/>
              </w:rPr>
            </w:pPr>
            <w:r w:rsidRPr="00F30790">
              <w:rPr>
                <w:rFonts w:ascii="Arial Narrow" w:hAnsi="Arial Narrow" w:cs="Arial"/>
                <w:b/>
                <w:bCs/>
                <w:color w:val="000000"/>
                <w:sz w:val="20"/>
                <w:szCs w:val="20"/>
              </w:rPr>
              <w:t>-15,1%</w:t>
            </w:r>
          </w:p>
        </w:tc>
      </w:tr>
      <w:tr w:rsidR="00F30790" w:rsidRPr="00F30790" w14:paraId="414F867F" w14:textId="77777777" w:rsidTr="00CD44F3">
        <w:trPr>
          <w:trHeight w:val="342"/>
        </w:trPr>
        <w:tc>
          <w:tcPr>
            <w:tcW w:w="2155" w:type="dxa"/>
            <w:tcBorders>
              <w:top w:val="nil"/>
              <w:left w:val="single" w:sz="4" w:space="0" w:color="auto"/>
              <w:bottom w:val="single" w:sz="4" w:space="0" w:color="auto"/>
              <w:right w:val="single" w:sz="4" w:space="0" w:color="auto"/>
            </w:tcBorders>
            <w:shd w:val="clear" w:color="000000" w:fill="FFFFFF"/>
            <w:vAlign w:val="center"/>
            <w:hideMark/>
          </w:tcPr>
          <w:p w14:paraId="75820F49" w14:textId="77777777" w:rsidR="00F30790" w:rsidRPr="00F30790" w:rsidRDefault="00F30790" w:rsidP="00F30790">
            <w:pPr>
              <w:rPr>
                <w:rFonts w:ascii="Arial Narrow" w:hAnsi="Arial Narrow" w:cs="Arial"/>
                <w:b/>
                <w:bCs/>
                <w:color w:val="000000"/>
                <w:sz w:val="20"/>
                <w:szCs w:val="20"/>
              </w:rPr>
            </w:pPr>
            <w:r w:rsidRPr="00F30790">
              <w:rPr>
                <w:rFonts w:ascii="Arial Narrow" w:hAnsi="Arial Narrow" w:cs="Arial"/>
                <w:b/>
                <w:bCs/>
                <w:color w:val="000000"/>
                <w:sz w:val="20"/>
                <w:szCs w:val="20"/>
              </w:rPr>
              <w:t>ЕС-27 общо</w:t>
            </w:r>
          </w:p>
        </w:tc>
        <w:tc>
          <w:tcPr>
            <w:tcW w:w="1340" w:type="dxa"/>
            <w:tcBorders>
              <w:top w:val="nil"/>
              <w:left w:val="nil"/>
              <w:bottom w:val="single" w:sz="4" w:space="0" w:color="auto"/>
              <w:right w:val="single" w:sz="4" w:space="0" w:color="auto"/>
            </w:tcBorders>
            <w:shd w:val="clear" w:color="000000" w:fill="FFFFFF"/>
            <w:vAlign w:val="center"/>
            <w:hideMark/>
          </w:tcPr>
          <w:p w14:paraId="1991690B" w14:textId="77777777" w:rsidR="00F30790" w:rsidRPr="00F30790" w:rsidRDefault="00F30790" w:rsidP="00F30790">
            <w:pPr>
              <w:jc w:val="right"/>
              <w:rPr>
                <w:rFonts w:ascii="Arial Narrow" w:hAnsi="Arial Narrow" w:cs="Arial"/>
                <w:b/>
                <w:bCs/>
                <w:color w:val="000000"/>
                <w:sz w:val="20"/>
                <w:szCs w:val="20"/>
              </w:rPr>
            </w:pPr>
            <w:r w:rsidRPr="00F30790">
              <w:rPr>
                <w:rFonts w:ascii="Arial Narrow" w:hAnsi="Arial Narrow" w:cs="Arial"/>
                <w:b/>
                <w:bCs/>
                <w:color w:val="000000"/>
                <w:sz w:val="20"/>
                <w:szCs w:val="20"/>
              </w:rPr>
              <w:t>4 953 404</w:t>
            </w:r>
          </w:p>
        </w:tc>
        <w:tc>
          <w:tcPr>
            <w:tcW w:w="1340" w:type="dxa"/>
            <w:tcBorders>
              <w:top w:val="nil"/>
              <w:left w:val="nil"/>
              <w:bottom w:val="single" w:sz="4" w:space="0" w:color="auto"/>
              <w:right w:val="single" w:sz="4" w:space="0" w:color="auto"/>
            </w:tcBorders>
            <w:shd w:val="clear" w:color="000000" w:fill="FFFFFF"/>
            <w:noWrap/>
            <w:vAlign w:val="center"/>
            <w:hideMark/>
          </w:tcPr>
          <w:p w14:paraId="7A7798D8" w14:textId="77777777" w:rsidR="00F30790" w:rsidRPr="00F30790" w:rsidRDefault="00F30790" w:rsidP="00F30790">
            <w:pPr>
              <w:jc w:val="right"/>
              <w:rPr>
                <w:rFonts w:ascii="Arial Narrow" w:hAnsi="Arial Narrow" w:cs="Arial"/>
                <w:b/>
                <w:bCs/>
                <w:sz w:val="20"/>
                <w:szCs w:val="20"/>
              </w:rPr>
            </w:pPr>
            <w:r w:rsidRPr="00F30790">
              <w:rPr>
                <w:rFonts w:ascii="Arial Narrow" w:hAnsi="Arial Narrow" w:cs="Arial"/>
                <w:b/>
                <w:bCs/>
                <w:sz w:val="20"/>
                <w:szCs w:val="20"/>
              </w:rPr>
              <w:t>4 179 895</w:t>
            </w:r>
          </w:p>
        </w:tc>
        <w:tc>
          <w:tcPr>
            <w:tcW w:w="1340" w:type="dxa"/>
            <w:tcBorders>
              <w:top w:val="nil"/>
              <w:left w:val="nil"/>
              <w:bottom w:val="single" w:sz="4" w:space="0" w:color="auto"/>
              <w:right w:val="single" w:sz="4" w:space="0" w:color="auto"/>
            </w:tcBorders>
            <w:shd w:val="clear" w:color="000000" w:fill="FFFFFF"/>
            <w:noWrap/>
            <w:vAlign w:val="center"/>
            <w:hideMark/>
          </w:tcPr>
          <w:p w14:paraId="592F8C1B" w14:textId="77777777" w:rsidR="00F30790" w:rsidRPr="00F30790" w:rsidRDefault="00F30790" w:rsidP="00F30790">
            <w:pPr>
              <w:jc w:val="right"/>
              <w:rPr>
                <w:rFonts w:ascii="Arial Narrow" w:hAnsi="Arial Narrow" w:cs="Arial"/>
                <w:b/>
                <w:bCs/>
                <w:color w:val="000000"/>
                <w:sz w:val="20"/>
                <w:szCs w:val="20"/>
              </w:rPr>
            </w:pPr>
            <w:r w:rsidRPr="00F30790">
              <w:rPr>
                <w:rFonts w:ascii="Arial Narrow" w:hAnsi="Arial Narrow" w:cs="Arial"/>
                <w:b/>
                <w:bCs/>
                <w:color w:val="000000"/>
                <w:sz w:val="20"/>
                <w:szCs w:val="20"/>
              </w:rPr>
              <w:t>3 626 886</w:t>
            </w:r>
          </w:p>
        </w:tc>
        <w:tc>
          <w:tcPr>
            <w:tcW w:w="1310" w:type="dxa"/>
            <w:tcBorders>
              <w:top w:val="nil"/>
              <w:left w:val="nil"/>
              <w:bottom w:val="single" w:sz="4" w:space="0" w:color="auto"/>
              <w:right w:val="single" w:sz="4" w:space="0" w:color="auto"/>
            </w:tcBorders>
            <w:shd w:val="clear" w:color="000000" w:fill="FFFFFF"/>
            <w:noWrap/>
            <w:vAlign w:val="center"/>
            <w:hideMark/>
          </w:tcPr>
          <w:p w14:paraId="101EC88B" w14:textId="77777777" w:rsidR="00F30790" w:rsidRPr="00F30790" w:rsidRDefault="00F30790" w:rsidP="00F30790">
            <w:pPr>
              <w:jc w:val="right"/>
              <w:rPr>
                <w:rFonts w:ascii="Arial Narrow" w:hAnsi="Arial Narrow" w:cs="Arial"/>
                <w:b/>
                <w:bCs/>
                <w:color w:val="000000"/>
                <w:sz w:val="20"/>
                <w:szCs w:val="20"/>
              </w:rPr>
            </w:pPr>
            <w:r w:rsidRPr="00F30790">
              <w:rPr>
                <w:rFonts w:ascii="Arial Narrow" w:hAnsi="Arial Narrow" w:cs="Arial"/>
                <w:b/>
                <w:bCs/>
                <w:color w:val="000000"/>
                <w:sz w:val="20"/>
                <w:szCs w:val="20"/>
              </w:rPr>
              <w:t>53,8%</w:t>
            </w:r>
          </w:p>
        </w:tc>
        <w:tc>
          <w:tcPr>
            <w:tcW w:w="1340" w:type="dxa"/>
            <w:tcBorders>
              <w:top w:val="nil"/>
              <w:left w:val="nil"/>
              <w:bottom w:val="single" w:sz="4" w:space="0" w:color="auto"/>
              <w:right w:val="single" w:sz="4" w:space="0" w:color="auto"/>
            </w:tcBorders>
            <w:shd w:val="clear" w:color="000000" w:fill="FFFFFF"/>
            <w:noWrap/>
            <w:vAlign w:val="center"/>
            <w:hideMark/>
          </w:tcPr>
          <w:p w14:paraId="08004315" w14:textId="77777777" w:rsidR="00F30790" w:rsidRPr="00F30790" w:rsidRDefault="00F30790" w:rsidP="00F30790">
            <w:pPr>
              <w:jc w:val="right"/>
              <w:rPr>
                <w:rFonts w:ascii="Arial Narrow" w:hAnsi="Arial Narrow" w:cs="Arial"/>
                <w:b/>
                <w:bCs/>
                <w:color w:val="000000"/>
                <w:sz w:val="20"/>
                <w:szCs w:val="20"/>
              </w:rPr>
            </w:pPr>
            <w:r w:rsidRPr="00F30790">
              <w:rPr>
                <w:rFonts w:ascii="Arial Narrow" w:hAnsi="Arial Narrow" w:cs="Arial"/>
                <w:b/>
                <w:bCs/>
                <w:color w:val="000000"/>
                <w:sz w:val="20"/>
                <w:szCs w:val="20"/>
              </w:rPr>
              <w:t>-553 009</w:t>
            </w:r>
          </w:p>
        </w:tc>
        <w:tc>
          <w:tcPr>
            <w:tcW w:w="1116" w:type="dxa"/>
            <w:tcBorders>
              <w:top w:val="nil"/>
              <w:left w:val="nil"/>
              <w:bottom w:val="single" w:sz="4" w:space="0" w:color="auto"/>
              <w:right w:val="single" w:sz="4" w:space="0" w:color="auto"/>
            </w:tcBorders>
            <w:shd w:val="clear" w:color="000000" w:fill="FFFFFF"/>
            <w:noWrap/>
            <w:vAlign w:val="center"/>
            <w:hideMark/>
          </w:tcPr>
          <w:p w14:paraId="0D1A3427" w14:textId="77777777" w:rsidR="00F30790" w:rsidRPr="00F30790" w:rsidRDefault="00F30790" w:rsidP="00F30790">
            <w:pPr>
              <w:jc w:val="right"/>
              <w:rPr>
                <w:rFonts w:ascii="Arial Narrow" w:hAnsi="Arial Narrow" w:cs="Arial"/>
                <w:b/>
                <w:bCs/>
                <w:color w:val="000000"/>
                <w:sz w:val="20"/>
                <w:szCs w:val="20"/>
              </w:rPr>
            </w:pPr>
            <w:r w:rsidRPr="00F30790">
              <w:rPr>
                <w:rFonts w:ascii="Arial Narrow" w:hAnsi="Arial Narrow" w:cs="Arial"/>
                <w:b/>
                <w:bCs/>
                <w:color w:val="000000"/>
                <w:sz w:val="20"/>
                <w:szCs w:val="20"/>
              </w:rPr>
              <w:t>-13,2%</w:t>
            </w:r>
          </w:p>
        </w:tc>
      </w:tr>
      <w:tr w:rsidR="00F30790" w:rsidRPr="00F30790" w14:paraId="593DFB88" w14:textId="77777777" w:rsidTr="00CD44F3">
        <w:trPr>
          <w:trHeight w:val="342"/>
        </w:trPr>
        <w:tc>
          <w:tcPr>
            <w:tcW w:w="2155" w:type="dxa"/>
            <w:tcBorders>
              <w:top w:val="nil"/>
              <w:left w:val="single" w:sz="4" w:space="0" w:color="auto"/>
              <w:bottom w:val="single" w:sz="4" w:space="0" w:color="auto"/>
              <w:right w:val="single" w:sz="4" w:space="0" w:color="auto"/>
            </w:tcBorders>
            <w:shd w:val="clear" w:color="000000" w:fill="FFFFFF"/>
            <w:noWrap/>
            <w:vAlign w:val="center"/>
            <w:hideMark/>
          </w:tcPr>
          <w:p w14:paraId="22E7972C" w14:textId="77777777" w:rsidR="00F30790" w:rsidRPr="00F30790" w:rsidRDefault="00F30790" w:rsidP="00F30790">
            <w:pPr>
              <w:ind w:firstLineChars="100" w:firstLine="200"/>
              <w:rPr>
                <w:rFonts w:ascii="Arial Narrow" w:hAnsi="Arial Narrow" w:cs="Arial"/>
                <w:color w:val="000000"/>
                <w:sz w:val="20"/>
                <w:szCs w:val="20"/>
              </w:rPr>
            </w:pPr>
            <w:r w:rsidRPr="00F30790">
              <w:rPr>
                <w:rFonts w:ascii="Arial Narrow" w:hAnsi="Arial Narrow" w:cs="Arial"/>
                <w:color w:val="000000"/>
                <w:sz w:val="20"/>
                <w:szCs w:val="20"/>
              </w:rPr>
              <w:t>Гърция</w:t>
            </w:r>
          </w:p>
        </w:tc>
        <w:tc>
          <w:tcPr>
            <w:tcW w:w="1340" w:type="dxa"/>
            <w:tcBorders>
              <w:top w:val="nil"/>
              <w:left w:val="nil"/>
              <w:bottom w:val="single" w:sz="4" w:space="0" w:color="auto"/>
              <w:right w:val="single" w:sz="4" w:space="0" w:color="auto"/>
            </w:tcBorders>
            <w:shd w:val="clear" w:color="000000" w:fill="FFFFFF"/>
            <w:noWrap/>
            <w:vAlign w:val="center"/>
            <w:hideMark/>
          </w:tcPr>
          <w:p w14:paraId="299F2F14" w14:textId="77777777" w:rsidR="00F30790" w:rsidRPr="00F30790" w:rsidRDefault="00F30790" w:rsidP="00F30790">
            <w:pPr>
              <w:jc w:val="right"/>
              <w:rPr>
                <w:rFonts w:ascii="Arial Narrow" w:hAnsi="Arial Narrow" w:cs="Arial"/>
                <w:color w:val="000000"/>
                <w:sz w:val="20"/>
                <w:szCs w:val="20"/>
              </w:rPr>
            </w:pPr>
            <w:r w:rsidRPr="00F30790">
              <w:rPr>
                <w:rFonts w:ascii="Arial Narrow" w:hAnsi="Arial Narrow" w:cs="Arial"/>
                <w:color w:val="000000"/>
                <w:sz w:val="20"/>
                <w:szCs w:val="20"/>
              </w:rPr>
              <w:t>1 003 727</w:t>
            </w:r>
          </w:p>
        </w:tc>
        <w:tc>
          <w:tcPr>
            <w:tcW w:w="1340" w:type="dxa"/>
            <w:tcBorders>
              <w:top w:val="nil"/>
              <w:left w:val="nil"/>
              <w:bottom w:val="single" w:sz="4" w:space="0" w:color="auto"/>
              <w:right w:val="single" w:sz="4" w:space="0" w:color="auto"/>
            </w:tcBorders>
            <w:shd w:val="clear" w:color="000000" w:fill="FFFFFF"/>
            <w:noWrap/>
            <w:vAlign w:val="center"/>
            <w:hideMark/>
          </w:tcPr>
          <w:p w14:paraId="5ADDDFAA" w14:textId="77777777" w:rsidR="00F30790" w:rsidRPr="00F30790" w:rsidRDefault="00F30790" w:rsidP="00F30790">
            <w:pPr>
              <w:jc w:val="right"/>
              <w:rPr>
                <w:rFonts w:ascii="Arial Narrow" w:hAnsi="Arial Narrow" w:cs="Arial"/>
                <w:sz w:val="20"/>
                <w:szCs w:val="20"/>
              </w:rPr>
            </w:pPr>
            <w:r w:rsidRPr="00F30790">
              <w:rPr>
                <w:rFonts w:ascii="Arial Narrow" w:hAnsi="Arial Narrow" w:cs="Arial"/>
                <w:sz w:val="20"/>
                <w:szCs w:val="20"/>
              </w:rPr>
              <w:t>855 590</w:t>
            </w:r>
          </w:p>
        </w:tc>
        <w:tc>
          <w:tcPr>
            <w:tcW w:w="1340" w:type="dxa"/>
            <w:tcBorders>
              <w:top w:val="nil"/>
              <w:left w:val="nil"/>
              <w:bottom w:val="single" w:sz="4" w:space="0" w:color="auto"/>
              <w:right w:val="single" w:sz="4" w:space="0" w:color="auto"/>
            </w:tcBorders>
            <w:shd w:val="clear" w:color="000000" w:fill="FFFFFF"/>
            <w:noWrap/>
            <w:vAlign w:val="center"/>
            <w:hideMark/>
          </w:tcPr>
          <w:p w14:paraId="0CDA6EF4" w14:textId="77777777" w:rsidR="00F30790" w:rsidRPr="00F30790" w:rsidRDefault="00F30790" w:rsidP="00F30790">
            <w:pPr>
              <w:jc w:val="right"/>
              <w:rPr>
                <w:rFonts w:ascii="Arial Narrow" w:hAnsi="Arial Narrow" w:cs="Arial"/>
                <w:color w:val="000000"/>
                <w:sz w:val="20"/>
                <w:szCs w:val="20"/>
              </w:rPr>
            </w:pPr>
            <w:r w:rsidRPr="00F30790">
              <w:rPr>
                <w:rFonts w:ascii="Arial Narrow" w:hAnsi="Arial Narrow" w:cs="Arial"/>
                <w:color w:val="000000"/>
                <w:sz w:val="20"/>
                <w:szCs w:val="20"/>
              </w:rPr>
              <w:t>766 247</w:t>
            </w:r>
          </w:p>
        </w:tc>
        <w:tc>
          <w:tcPr>
            <w:tcW w:w="1310" w:type="dxa"/>
            <w:tcBorders>
              <w:top w:val="nil"/>
              <w:left w:val="nil"/>
              <w:bottom w:val="single" w:sz="4" w:space="0" w:color="auto"/>
              <w:right w:val="single" w:sz="4" w:space="0" w:color="auto"/>
            </w:tcBorders>
            <w:shd w:val="clear" w:color="000000" w:fill="FFFFFF"/>
            <w:noWrap/>
            <w:vAlign w:val="center"/>
            <w:hideMark/>
          </w:tcPr>
          <w:p w14:paraId="32DF3339" w14:textId="77777777" w:rsidR="00F30790" w:rsidRPr="00F30790" w:rsidRDefault="00F30790" w:rsidP="00F30790">
            <w:pPr>
              <w:jc w:val="right"/>
              <w:rPr>
                <w:rFonts w:ascii="Arial Narrow" w:hAnsi="Arial Narrow" w:cs="Arial"/>
                <w:color w:val="000000"/>
                <w:sz w:val="20"/>
                <w:szCs w:val="20"/>
              </w:rPr>
            </w:pPr>
            <w:r w:rsidRPr="00F30790">
              <w:rPr>
                <w:rFonts w:ascii="Arial Narrow" w:hAnsi="Arial Narrow" w:cs="Arial"/>
                <w:color w:val="000000"/>
                <w:sz w:val="20"/>
                <w:szCs w:val="20"/>
              </w:rPr>
              <w:t>11,4%</w:t>
            </w:r>
          </w:p>
        </w:tc>
        <w:tc>
          <w:tcPr>
            <w:tcW w:w="1340" w:type="dxa"/>
            <w:tcBorders>
              <w:top w:val="nil"/>
              <w:left w:val="nil"/>
              <w:bottom w:val="single" w:sz="4" w:space="0" w:color="auto"/>
              <w:right w:val="single" w:sz="4" w:space="0" w:color="auto"/>
            </w:tcBorders>
            <w:shd w:val="clear" w:color="000000" w:fill="FFFFFF"/>
            <w:noWrap/>
            <w:vAlign w:val="center"/>
            <w:hideMark/>
          </w:tcPr>
          <w:p w14:paraId="37BCEE78" w14:textId="77777777" w:rsidR="00F30790" w:rsidRPr="00F30790" w:rsidRDefault="00F30790" w:rsidP="00F30790">
            <w:pPr>
              <w:jc w:val="right"/>
              <w:rPr>
                <w:rFonts w:ascii="Arial Narrow" w:hAnsi="Arial Narrow" w:cs="Arial"/>
                <w:color w:val="000000"/>
                <w:sz w:val="20"/>
                <w:szCs w:val="20"/>
              </w:rPr>
            </w:pPr>
            <w:r w:rsidRPr="00F30790">
              <w:rPr>
                <w:rFonts w:ascii="Arial Narrow" w:hAnsi="Arial Narrow" w:cs="Arial"/>
                <w:color w:val="000000"/>
                <w:sz w:val="20"/>
                <w:szCs w:val="20"/>
              </w:rPr>
              <w:t>-89 343</w:t>
            </w:r>
          </w:p>
        </w:tc>
        <w:tc>
          <w:tcPr>
            <w:tcW w:w="1116" w:type="dxa"/>
            <w:tcBorders>
              <w:top w:val="nil"/>
              <w:left w:val="nil"/>
              <w:bottom w:val="single" w:sz="4" w:space="0" w:color="auto"/>
              <w:right w:val="single" w:sz="4" w:space="0" w:color="auto"/>
            </w:tcBorders>
            <w:shd w:val="clear" w:color="000000" w:fill="FFFFFF"/>
            <w:noWrap/>
            <w:vAlign w:val="center"/>
            <w:hideMark/>
          </w:tcPr>
          <w:p w14:paraId="6615467C" w14:textId="77777777" w:rsidR="00F30790" w:rsidRPr="00F30790" w:rsidRDefault="00F30790" w:rsidP="00F30790">
            <w:pPr>
              <w:jc w:val="right"/>
              <w:rPr>
                <w:rFonts w:ascii="Arial Narrow" w:hAnsi="Arial Narrow" w:cs="Arial"/>
                <w:color w:val="000000"/>
                <w:sz w:val="20"/>
                <w:szCs w:val="20"/>
              </w:rPr>
            </w:pPr>
            <w:r w:rsidRPr="00F30790">
              <w:rPr>
                <w:rFonts w:ascii="Arial Narrow" w:hAnsi="Arial Narrow" w:cs="Arial"/>
                <w:color w:val="000000"/>
                <w:sz w:val="20"/>
                <w:szCs w:val="20"/>
              </w:rPr>
              <w:t>-10,4%</w:t>
            </w:r>
          </w:p>
        </w:tc>
      </w:tr>
      <w:tr w:rsidR="00F30790" w:rsidRPr="00F30790" w14:paraId="7B4931DD" w14:textId="77777777" w:rsidTr="00CD44F3">
        <w:trPr>
          <w:trHeight w:val="342"/>
        </w:trPr>
        <w:tc>
          <w:tcPr>
            <w:tcW w:w="2155" w:type="dxa"/>
            <w:tcBorders>
              <w:top w:val="nil"/>
              <w:left w:val="single" w:sz="4" w:space="0" w:color="auto"/>
              <w:bottom w:val="single" w:sz="4" w:space="0" w:color="auto"/>
              <w:right w:val="single" w:sz="4" w:space="0" w:color="auto"/>
            </w:tcBorders>
            <w:shd w:val="clear" w:color="000000" w:fill="FFFFFF"/>
            <w:noWrap/>
            <w:vAlign w:val="center"/>
            <w:hideMark/>
          </w:tcPr>
          <w:p w14:paraId="39E76D3E" w14:textId="77777777" w:rsidR="00F30790" w:rsidRPr="00F30790" w:rsidRDefault="00F30790" w:rsidP="00F30790">
            <w:pPr>
              <w:ind w:firstLineChars="100" w:firstLine="200"/>
              <w:rPr>
                <w:rFonts w:ascii="Arial Narrow" w:hAnsi="Arial Narrow" w:cs="Arial"/>
                <w:color w:val="000000"/>
                <w:sz w:val="20"/>
                <w:szCs w:val="20"/>
              </w:rPr>
            </w:pPr>
            <w:r w:rsidRPr="00F30790">
              <w:rPr>
                <w:rFonts w:ascii="Arial Narrow" w:hAnsi="Arial Narrow" w:cs="Arial"/>
                <w:color w:val="000000"/>
                <w:sz w:val="20"/>
                <w:szCs w:val="20"/>
              </w:rPr>
              <w:t>Румъния</w:t>
            </w:r>
          </w:p>
        </w:tc>
        <w:tc>
          <w:tcPr>
            <w:tcW w:w="1340" w:type="dxa"/>
            <w:tcBorders>
              <w:top w:val="nil"/>
              <w:left w:val="nil"/>
              <w:bottom w:val="single" w:sz="4" w:space="0" w:color="auto"/>
              <w:right w:val="single" w:sz="4" w:space="0" w:color="auto"/>
            </w:tcBorders>
            <w:shd w:val="clear" w:color="000000" w:fill="FFFFFF"/>
            <w:noWrap/>
            <w:vAlign w:val="center"/>
            <w:hideMark/>
          </w:tcPr>
          <w:p w14:paraId="7E56BF62" w14:textId="77777777" w:rsidR="00F30790" w:rsidRPr="00F30790" w:rsidRDefault="00F30790" w:rsidP="00F30790">
            <w:pPr>
              <w:jc w:val="right"/>
              <w:rPr>
                <w:rFonts w:ascii="Arial Narrow" w:hAnsi="Arial Narrow" w:cs="Arial"/>
                <w:color w:val="000000"/>
                <w:sz w:val="20"/>
                <w:szCs w:val="20"/>
              </w:rPr>
            </w:pPr>
            <w:r w:rsidRPr="00F30790">
              <w:rPr>
                <w:rFonts w:ascii="Arial Narrow" w:hAnsi="Arial Narrow" w:cs="Arial"/>
                <w:color w:val="000000"/>
                <w:sz w:val="20"/>
                <w:szCs w:val="20"/>
              </w:rPr>
              <w:t>813 944</w:t>
            </w:r>
          </w:p>
        </w:tc>
        <w:tc>
          <w:tcPr>
            <w:tcW w:w="1340" w:type="dxa"/>
            <w:tcBorders>
              <w:top w:val="nil"/>
              <w:left w:val="nil"/>
              <w:bottom w:val="single" w:sz="4" w:space="0" w:color="auto"/>
              <w:right w:val="single" w:sz="4" w:space="0" w:color="auto"/>
            </w:tcBorders>
            <w:shd w:val="clear" w:color="000000" w:fill="FFFFFF"/>
            <w:noWrap/>
            <w:vAlign w:val="center"/>
            <w:hideMark/>
          </w:tcPr>
          <w:p w14:paraId="60F906F7" w14:textId="77777777" w:rsidR="00F30790" w:rsidRPr="00F30790" w:rsidRDefault="00F30790" w:rsidP="00F30790">
            <w:pPr>
              <w:jc w:val="right"/>
              <w:rPr>
                <w:rFonts w:ascii="Arial Narrow" w:hAnsi="Arial Narrow" w:cs="Arial"/>
                <w:sz w:val="20"/>
                <w:szCs w:val="20"/>
              </w:rPr>
            </w:pPr>
            <w:r w:rsidRPr="00F30790">
              <w:rPr>
                <w:rFonts w:ascii="Arial Narrow" w:hAnsi="Arial Narrow" w:cs="Arial"/>
                <w:sz w:val="20"/>
                <w:szCs w:val="20"/>
              </w:rPr>
              <w:t>669 176</w:t>
            </w:r>
          </w:p>
        </w:tc>
        <w:tc>
          <w:tcPr>
            <w:tcW w:w="1340" w:type="dxa"/>
            <w:tcBorders>
              <w:top w:val="nil"/>
              <w:left w:val="nil"/>
              <w:bottom w:val="single" w:sz="4" w:space="0" w:color="auto"/>
              <w:right w:val="single" w:sz="4" w:space="0" w:color="auto"/>
            </w:tcBorders>
            <w:shd w:val="clear" w:color="000000" w:fill="FFFFFF"/>
            <w:noWrap/>
            <w:vAlign w:val="center"/>
            <w:hideMark/>
          </w:tcPr>
          <w:p w14:paraId="4C8D0F04" w14:textId="77777777" w:rsidR="00F30790" w:rsidRPr="00F30790" w:rsidRDefault="00F30790" w:rsidP="00F30790">
            <w:pPr>
              <w:jc w:val="right"/>
              <w:rPr>
                <w:rFonts w:ascii="Arial Narrow" w:hAnsi="Arial Narrow" w:cs="Arial"/>
                <w:color w:val="000000"/>
                <w:sz w:val="20"/>
                <w:szCs w:val="20"/>
              </w:rPr>
            </w:pPr>
            <w:r w:rsidRPr="00F30790">
              <w:rPr>
                <w:rFonts w:ascii="Arial Narrow" w:hAnsi="Arial Narrow" w:cs="Arial"/>
                <w:color w:val="000000"/>
                <w:sz w:val="20"/>
                <w:szCs w:val="20"/>
              </w:rPr>
              <w:t>694 355</w:t>
            </w:r>
          </w:p>
        </w:tc>
        <w:tc>
          <w:tcPr>
            <w:tcW w:w="1310" w:type="dxa"/>
            <w:tcBorders>
              <w:top w:val="nil"/>
              <w:left w:val="nil"/>
              <w:bottom w:val="single" w:sz="4" w:space="0" w:color="auto"/>
              <w:right w:val="single" w:sz="4" w:space="0" w:color="auto"/>
            </w:tcBorders>
            <w:shd w:val="clear" w:color="000000" w:fill="FFFFFF"/>
            <w:noWrap/>
            <w:vAlign w:val="center"/>
            <w:hideMark/>
          </w:tcPr>
          <w:p w14:paraId="5A85EBC3" w14:textId="77777777" w:rsidR="00F30790" w:rsidRPr="00F30790" w:rsidRDefault="00F30790" w:rsidP="00F30790">
            <w:pPr>
              <w:jc w:val="right"/>
              <w:rPr>
                <w:rFonts w:ascii="Arial Narrow" w:hAnsi="Arial Narrow" w:cs="Arial"/>
                <w:color w:val="000000"/>
                <w:sz w:val="20"/>
                <w:szCs w:val="20"/>
              </w:rPr>
            </w:pPr>
            <w:r w:rsidRPr="00F30790">
              <w:rPr>
                <w:rFonts w:ascii="Arial Narrow" w:hAnsi="Arial Narrow" w:cs="Arial"/>
                <w:color w:val="000000"/>
                <w:sz w:val="20"/>
                <w:szCs w:val="20"/>
              </w:rPr>
              <w:t>10,3%</w:t>
            </w:r>
          </w:p>
        </w:tc>
        <w:tc>
          <w:tcPr>
            <w:tcW w:w="1340" w:type="dxa"/>
            <w:tcBorders>
              <w:top w:val="nil"/>
              <w:left w:val="nil"/>
              <w:bottom w:val="single" w:sz="4" w:space="0" w:color="auto"/>
              <w:right w:val="single" w:sz="4" w:space="0" w:color="auto"/>
            </w:tcBorders>
            <w:shd w:val="clear" w:color="000000" w:fill="FFFFFF"/>
            <w:noWrap/>
            <w:vAlign w:val="center"/>
            <w:hideMark/>
          </w:tcPr>
          <w:p w14:paraId="5EB2737A" w14:textId="77777777" w:rsidR="00F30790" w:rsidRPr="00F30790" w:rsidRDefault="00F30790" w:rsidP="00F30790">
            <w:pPr>
              <w:jc w:val="right"/>
              <w:rPr>
                <w:rFonts w:ascii="Arial Narrow" w:hAnsi="Arial Narrow" w:cs="Arial"/>
                <w:color w:val="000000"/>
                <w:sz w:val="20"/>
                <w:szCs w:val="20"/>
              </w:rPr>
            </w:pPr>
            <w:r w:rsidRPr="00F30790">
              <w:rPr>
                <w:rFonts w:ascii="Arial Narrow" w:hAnsi="Arial Narrow" w:cs="Arial"/>
                <w:color w:val="000000"/>
                <w:sz w:val="20"/>
                <w:szCs w:val="20"/>
              </w:rPr>
              <w:t>25 179</w:t>
            </w:r>
          </w:p>
        </w:tc>
        <w:tc>
          <w:tcPr>
            <w:tcW w:w="1116" w:type="dxa"/>
            <w:tcBorders>
              <w:top w:val="nil"/>
              <w:left w:val="nil"/>
              <w:bottom w:val="single" w:sz="4" w:space="0" w:color="auto"/>
              <w:right w:val="single" w:sz="4" w:space="0" w:color="auto"/>
            </w:tcBorders>
            <w:shd w:val="clear" w:color="000000" w:fill="FFFFFF"/>
            <w:noWrap/>
            <w:vAlign w:val="center"/>
            <w:hideMark/>
          </w:tcPr>
          <w:p w14:paraId="7F04EEC7" w14:textId="77777777" w:rsidR="00F30790" w:rsidRPr="00F30790" w:rsidRDefault="00F30790" w:rsidP="00F30790">
            <w:pPr>
              <w:jc w:val="right"/>
              <w:rPr>
                <w:rFonts w:ascii="Arial Narrow" w:hAnsi="Arial Narrow" w:cs="Arial"/>
                <w:color w:val="000000"/>
                <w:sz w:val="20"/>
                <w:szCs w:val="20"/>
              </w:rPr>
            </w:pPr>
            <w:r w:rsidRPr="00F30790">
              <w:rPr>
                <w:rFonts w:ascii="Arial Narrow" w:hAnsi="Arial Narrow" w:cs="Arial"/>
                <w:color w:val="000000"/>
                <w:sz w:val="20"/>
                <w:szCs w:val="20"/>
              </w:rPr>
              <w:t>3,8%</w:t>
            </w:r>
          </w:p>
        </w:tc>
      </w:tr>
      <w:tr w:rsidR="00F30790" w:rsidRPr="00F30790" w14:paraId="6A03BA4C" w14:textId="77777777" w:rsidTr="00CD44F3">
        <w:trPr>
          <w:trHeight w:val="342"/>
        </w:trPr>
        <w:tc>
          <w:tcPr>
            <w:tcW w:w="2155" w:type="dxa"/>
            <w:tcBorders>
              <w:top w:val="nil"/>
              <w:left w:val="single" w:sz="4" w:space="0" w:color="auto"/>
              <w:bottom w:val="single" w:sz="4" w:space="0" w:color="auto"/>
              <w:right w:val="single" w:sz="4" w:space="0" w:color="auto"/>
            </w:tcBorders>
            <w:shd w:val="clear" w:color="000000" w:fill="FFFFFF"/>
            <w:noWrap/>
            <w:vAlign w:val="center"/>
            <w:hideMark/>
          </w:tcPr>
          <w:p w14:paraId="420AE8F1" w14:textId="77777777" w:rsidR="00F30790" w:rsidRPr="00F30790" w:rsidRDefault="00F30790" w:rsidP="00F30790">
            <w:pPr>
              <w:ind w:firstLineChars="100" w:firstLine="200"/>
              <w:rPr>
                <w:rFonts w:ascii="Arial Narrow" w:hAnsi="Arial Narrow" w:cs="Arial"/>
                <w:color w:val="000000"/>
                <w:sz w:val="20"/>
                <w:szCs w:val="20"/>
              </w:rPr>
            </w:pPr>
            <w:r w:rsidRPr="00F30790">
              <w:rPr>
                <w:rFonts w:ascii="Arial Narrow" w:hAnsi="Arial Narrow" w:cs="Arial"/>
                <w:color w:val="000000"/>
                <w:sz w:val="20"/>
                <w:szCs w:val="20"/>
              </w:rPr>
              <w:t>Германия</w:t>
            </w:r>
          </w:p>
        </w:tc>
        <w:tc>
          <w:tcPr>
            <w:tcW w:w="1340" w:type="dxa"/>
            <w:tcBorders>
              <w:top w:val="nil"/>
              <w:left w:val="nil"/>
              <w:bottom w:val="single" w:sz="4" w:space="0" w:color="auto"/>
              <w:right w:val="single" w:sz="4" w:space="0" w:color="auto"/>
            </w:tcBorders>
            <w:shd w:val="clear" w:color="000000" w:fill="FFFFFF"/>
            <w:noWrap/>
            <w:vAlign w:val="center"/>
            <w:hideMark/>
          </w:tcPr>
          <w:p w14:paraId="3797308E" w14:textId="77777777" w:rsidR="00F30790" w:rsidRPr="00F30790" w:rsidRDefault="00F30790" w:rsidP="00F30790">
            <w:pPr>
              <w:jc w:val="right"/>
              <w:rPr>
                <w:rFonts w:ascii="Arial Narrow" w:hAnsi="Arial Narrow" w:cs="Arial"/>
                <w:color w:val="000000"/>
                <w:sz w:val="20"/>
                <w:szCs w:val="20"/>
              </w:rPr>
            </w:pPr>
            <w:r w:rsidRPr="00F30790">
              <w:rPr>
                <w:rFonts w:ascii="Arial Narrow" w:hAnsi="Arial Narrow" w:cs="Arial"/>
                <w:color w:val="000000"/>
                <w:sz w:val="20"/>
                <w:szCs w:val="20"/>
              </w:rPr>
              <w:t>476 626</w:t>
            </w:r>
          </w:p>
        </w:tc>
        <w:tc>
          <w:tcPr>
            <w:tcW w:w="1340" w:type="dxa"/>
            <w:tcBorders>
              <w:top w:val="nil"/>
              <w:left w:val="nil"/>
              <w:bottom w:val="single" w:sz="4" w:space="0" w:color="auto"/>
              <w:right w:val="single" w:sz="4" w:space="0" w:color="auto"/>
            </w:tcBorders>
            <w:shd w:val="clear" w:color="000000" w:fill="FFFFFF"/>
            <w:noWrap/>
            <w:vAlign w:val="center"/>
            <w:hideMark/>
          </w:tcPr>
          <w:p w14:paraId="3E2E8A9B" w14:textId="77777777" w:rsidR="00F30790" w:rsidRPr="00F30790" w:rsidRDefault="00F30790" w:rsidP="00F30790">
            <w:pPr>
              <w:jc w:val="right"/>
              <w:rPr>
                <w:rFonts w:ascii="Arial Narrow" w:hAnsi="Arial Narrow" w:cs="Arial"/>
                <w:sz w:val="20"/>
                <w:szCs w:val="20"/>
              </w:rPr>
            </w:pPr>
            <w:r w:rsidRPr="00F30790">
              <w:rPr>
                <w:rFonts w:ascii="Arial Narrow" w:hAnsi="Arial Narrow" w:cs="Arial"/>
                <w:sz w:val="20"/>
                <w:szCs w:val="20"/>
              </w:rPr>
              <w:t>468 007</w:t>
            </w:r>
          </w:p>
        </w:tc>
        <w:tc>
          <w:tcPr>
            <w:tcW w:w="1340" w:type="dxa"/>
            <w:tcBorders>
              <w:top w:val="nil"/>
              <w:left w:val="nil"/>
              <w:bottom w:val="single" w:sz="4" w:space="0" w:color="auto"/>
              <w:right w:val="single" w:sz="4" w:space="0" w:color="auto"/>
            </w:tcBorders>
            <w:shd w:val="clear" w:color="000000" w:fill="FFFFFF"/>
            <w:noWrap/>
            <w:vAlign w:val="center"/>
            <w:hideMark/>
          </w:tcPr>
          <w:p w14:paraId="1A88400A" w14:textId="77777777" w:rsidR="00F30790" w:rsidRPr="00F30790" w:rsidRDefault="00F30790" w:rsidP="00F30790">
            <w:pPr>
              <w:jc w:val="right"/>
              <w:rPr>
                <w:rFonts w:ascii="Arial Narrow" w:hAnsi="Arial Narrow" w:cs="Arial"/>
                <w:color w:val="000000"/>
                <w:sz w:val="20"/>
                <w:szCs w:val="20"/>
              </w:rPr>
            </w:pPr>
            <w:r w:rsidRPr="00F30790">
              <w:rPr>
                <w:rFonts w:ascii="Arial Narrow" w:hAnsi="Arial Narrow" w:cs="Arial"/>
                <w:color w:val="000000"/>
                <w:sz w:val="20"/>
                <w:szCs w:val="20"/>
              </w:rPr>
              <w:t>426 473</w:t>
            </w:r>
          </w:p>
        </w:tc>
        <w:tc>
          <w:tcPr>
            <w:tcW w:w="1310" w:type="dxa"/>
            <w:tcBorders>
              <w:top w:val="nil"/>
              <w:left w:val="nil"/>
              <w:bottom w:val="single" w:sz="4" w:space="0" w:color="auto"/>
              <w:right w:val="single" w:sz="4" w:space="0" w:color="auto"/>
            </w:tcBorders>
            <w:shd w:val="clear" w:color="000000" w:fill="FFFFFF"/>
            <w:noWrap/>
            <w:vAlign w:val="center"/>
            <w:hideMark/>
          </w:tcPr>
          <w:p w14:paraId="780D9067" w14:textId="77777777" w:rsidR="00F30790" w:rsidRPr="00F30790" w:rsidRDefault="00F30790" w:rsidP="00F30790">
            <w:pPr>
              <w:jc w:val="right"/>
              <w:rPr>
                <w:rFonts w:ascii="Arial Narrow" w:hAnsi="Arial Narrow" w:cs="Arial"/>
                <w:color w:val="000000"/>
                <w:sz w:val="20"/>
                <w:szCs w:val="20"/>
              </w:rPr>
            </w:pPr>
            <w:r w:rsidRPr="00F30790">
              <w:rPr>
                <w:rFonts w:ascii="Arial Narrow" w:hAnsi="Arial Narrow" w:cs="Arial"/>
                <w:color w:val="000000"/>
                <w:sz w:val="20"/>
                <w:szCs w:val="20"/>
              </w:rPr>
              <w:t>6,3%</w:t>
            </w:r>
          </w:p>
        </w:tc>
        <w:tc>
          <w:tcPr>
            <w:tcW w:w="1340" w:type="dxa"/>
            <w:tcBorders>
              <w:top w:val="nil"/>
              <w:left w:val="nil"/>
              <w:bottom w:val="single" w:sz="4" w:space="0" w:color="auto"/>
              <w:right w:val="single" w:sz="4" w:space="0" w:color="auto"/>
            </w:tcBorders>
            <w:shd w:val="clear" w:color="000000" w:fill="FFFFFF"/>
            <w:noWrap/>
            <w:vAlign w:val="center"/>
            <w:hideMark/>
          </w:tcPr>
          <w:p w14:paraId="3B69B847" w14:textId="77777777" w:rsidR="00F30790" w:rsidRPr="00F30790" w:rsidRDefault="00F30790" w:rsidP="00F30790">
            <w:pPr>
              <w:jc w:val="right"/>
              <w:rPr>
                <w:rFonts w:ascii="Arial Narrow" w:hAnsi="Arial Narrow" w:cs="Arial"/>
                <w:color w:val="000000"/>
                <w:sz w:val="20"/>
                <w:szCs w:val="20"/>
              </w:rPr>
            </w:pPr>
            <w:r w:rsidRPr="00F30790">
              <w:rPr>
                <w:rFonts w:ascii="Arial Narrow" w:hAnsi="Arial Narrow" w:cs="Arial"/>
                <w:color w:val="000000"/>
                <w:sz w:val="20"/>
                <w:szCs w:val="20"/>
              </w:rPr>
              <w:t>-41 534</w:t>
            </w:r>
          </w:p>
        </w:tc>
        <w:tc>
          <w:tcPr>
            <w:tcW w:w="1116" w:type="dxa"/>
            <w:tcBorders>
              <w:top w:val="nil"/>
              <w:left w:val="nil"/>
              <w:bottom w:val="single" w:sz="4" w:space="0" w:color="auto"/>
              <w:right w:val="single" w:sz="4" w:space="0" w:color="auto"/>
            </w:tcBorders>
            <w:shd w:val="clear" w:color="000000" w:fill="FFFFFF"/>
            <w:noWrap/>
            <w:vAlign w:val="center"/>
            <w:hideMark/>
          </w:tcPr>
          <w:p w14:paraId="61CF552E" w14:textId="77777777" w:rsidR="00F30790" w:rsidRPr="00F30790" w:rsidRDefault="00F30790" w:rsidP="00F30790">
            <w:pPr>
              <w:jc w:val="right"/>
              <w:rPr>
                <w:rFonts w:ascii="Arial Narrow" w:hAnsi="Arial Narrow" w:cs="Arial"/>
                <w:color w:val="000000"/>
                <w:sz w:val="20"/>
                <w:szCs w:val="20"/>
              </w:rPr>
            </w:pPr>
            <w:r w:rsidRPr="00F30790">
              <w:rPr>
                <w:rFonts w:ascii="Arial Narrow" w:hAnsi="Arial Narrow" w:cs="Arial"/>
                <w:color w:val="000000"/>
                <w:sz w:val="20"/>
                <w:szCs w:val="20"/>
              </w:rPr>
              <w:t>-8,9%</w:t>
            </w:r>
          </w:p>
        </w:tc>
      </w:tr>
      <w:tr w:rsidR="00F30790" w:rsidRPr="00F30790" w14:paraId="2D8289ED" w14:textId="77777777" w:rsidTr="00CD44F3">
        <w:trPr>
          <w:trHeight w:val="342"/>
        </w:trPr>
        <w:tc>
          <w:tcPr>
            <w:tcW w:w="2155" w:type="dxa"/>
            <w:tcBorders>
              <w:top w:val="nil"/>
              <w:left w:val="single" w:sz="4" w:space="0" w:color="auto"/>
              <w:bottom w:val="single" w:sz="4" w:space="0" w:color="auto"/>
              <w:right w:val="single" w:sz="4" w:space="0" w:color="auto"/>
            </w:tcBorders>
            <w:shd w:val="clear" w:color="000000" w:fill="FFFFFF"/>
            <w:noWrap/>
            <w:vAlign w:val="center"/>
            <w:hideMark/>
          </w:tcPr>
          <w:p w14:paraId="2C0EE7BA" w14:textId="77777777" w:rsidR="00F30790" w:rsidRPr="00F30790" w:rsidRDefault="00F30790" w:rsidP="00F30790">
            <w:pPr>
              <w:ind w:firstLineChars="100" w:firstLine="200"/>
              <w:rPr>
                <w:rFonts w:ascii="Arial Narrow" w:hAnsi="Arial Narrow" w:cs="Arial"/>
                <w:color w:val="000000"/>
                <w:sz w:val="20"/>
                <w:szCs w:val="20"/>
              </w:rPr>
            </w:pPr>
            <w:r w:rsidRPr="00F30790">
              <w:rPr>
                <w:rFonts w:ascii="Arial Narrow" w:hAnsi="Arial Narrow" w:cs="Arial"/>
                <w:color w:val="000000"/>
                <w:sz w:val="20"/>
                <w:szCs w:val="20"/>
              </w:rPr>
              <w:t>Испания</w:t>
            </w:r>
          </w:p>
        </w:tc>
        <w:tc>
          <w:tcPr>
            <w:tcW w:w="1340" w:type="dxa"/>
            <w:tcBorders>
              <w:top w:val="nil"/>
              <w:left w:val="nil"/>
              <w:bottom w:val="single" w:sz="4" w:space="0" w:color="auto"/>
              <w:right w:val="single" w:sz="4" w:space="0" w:color="auto"/>
            </w:tcBorders>
            <w:shd w:val="clear" w:color="000000" w:fill="FFFFFF"/>
            <w:noWrap/>
            <w:vAlign w:val="center"/>
            <w:hideMark/>
          </w:tcPr>
          <w:p w14:paraId="52DC968C" w14:textId="77777777" w:rsidR="00F30790" w:rsidRPr="00F30790" w:rsidRDefault="00F30790" w:rsidP="00F30790">
            <w:pPr>
              <w:jc w:val="right"/>
              <w:rPr>
                <w:rFonts w:ascii="Arial Narrow" w:hAnsi="Arial Narrow" w:cs="Arial"/>
                <w:color w:val="000000"/>
                <w:sz w:val="20"/>
                <w:szCs w:val="20"/>
              </w:rPr>
            </w:pPr>
            <w:r w:rsidRPr="00F30790">
              <w:rPr>
                <w:rFonts w:ascii="Arial Narrow" w:hAnsi="Arial Narrow" w:cs="Arial"/>
                <w:color w:val="000000"/>
                <w:sz w:val="20"/>
                <w:szCs w:val="20"/>
              </w:rPr>
              <w:t>616 227</w:t>
            </w:r>
          </w:p>
        </w:tc>
        <w:tc>
          <w:tcPr>
            <w:tcW w:w="1340" w:type="dxa"/>
            <w:tcBorders>
              <w:top w:val="nil"/>
              <w:left w:val="nil"/>
              <w:bottom w:val="single" w:sz="4" w:space="0" w:color="auto"/>
              <w:right w:val="single" w:sz="4" w:space="0" w:color="auto"/>
            </w:tcBorders>
            <w:shd w:val="clear" w:color="000000" w:fill="FFFFFF"/>
            <w:noWrap/>
            <w:vAlign w:val="center"/>
            <w:hideMark/>
          </w:tcPr>
          <w:p w14:paraId="738859BD" w14:textId="77777777" w:rsidR="00F30790" w:rsidRPr="00F30790" w:rsidRDefault="00F30790" w:rsidP="00F30790">
            <w:pPr>
              <w:jc w:val="right"/>
              <w:rPr>
                <w:rFonts w:ascii="Arial Narrow" w:hAnsi="Arial Narrow" w:cs="Arial"/>
                <w:sz w:val="20"/>
                <w:szCs w:val="20"/>
              </w:rPr>
            </w:pPr>
            <w:r w:rsidRPr="00F30790">
              <w:rPr>
                <w:rFonts w:ascii="Arial Narrow" w:hAnsi="Arial Narrow" w:cs="Arial"/>
                <w:sz w:val="20"/>
                <w:szCs w:val="20"/>
              </w:rPr>
              <w:t>565 037</w:t>
            </w:r>
          </w:p>
        </w:tc>
        <w:tc>
          <w:tcPr>
            <w:tcW w:w="1340" w:type="dxa"/>
            <w:tcBorders>
              <w:top w:val="nil"/>
              <w:left w:val="nil"/>
              <w:bottom w:val="single" w:sz="4" w:space="0" w:color="auto"/>
              <w:right w:val="single" w:sz="4" w:space="0" w:color="auto"/>
            </w:tcBorders>
            <w:shd w:val="clear" w:color="000000" w:fill="FFFFFF"/>
            <w:noWrap/>
            <w:vAlign w:val="center"/>
            <w:hideMark/>
          </w:tcPr>
          <w:p w14:paraId="50E7A28B" w14:textId="77777777" w:rsidR="00F30790" w:rsidRPr="00F30790" w:rsidRDefault="00F30790" w:rsidP="00F30790">
            <w:pPr>
              <w:jc w:val="right"/>
              <w:rPr>
                <w:rFonts w:ascii="Arial Narrow" w:hAnsi="Arial Narrow" w:cs="Arial"/>
                <w:color w:val="000000"/>
                <w:sz w:val="20"/>
                <w:szCs w:val="20"/>
              </w:rPr>
            </w:pPr>
            <w:r w:rsidRPr="00F30790">
              <w:rPr>
                <w:rFonts w:ascii="Arial Narrow" w:hAnsi="Arial Narrow" w:cs="Arial"/>
                <w:color w:val="000000"/>
                <w:sz w:val="20"/>
                <w:szCs w:val="20"/>
              </w:rPr>
              <w:t>274 398</w:t>
            </w:r>
          </w:p>
        </w:tc>
        <w:tc>
          <w:tcPr>
            <w:tcW w:w="1310" w:type="dxa"/>
            <w:tcBorders>
              <w:top w:val="nil"/>
              <w:left w:val="nil"/>
              <w:bottom w:val="single" w:sz="4" w:space="0" w:color="auto"/>
              <w:right w:val="single" w:sz="4" w:space="0" w:color="auto"/>
            </w:tcBorders>
            <w:shd w:val="clear" w:color="000000" w:fill="FFFFFF"/>
            <w:noWrap/>
            <w:vAlign w:val="center"/>
            <w:hideMark/>
          </w:tcPr>
          <w:p w14:paraId="61538423" w14:textId="77777777" w:rsidR="00F30790" w:rsidRPr="00F30790" w:rsidRDefault="00F30790" w:rsidP="00F30790">
            <w:pPr>
              <w:jc w:val="right"/>
              <w:rPr>
                <w:rFonts w:ascii="Arial Narrow" w:hAnsi="Arial Narrow" w:cs="Arial"/>
                <w:color w:val="000000"/>
                <w:sz w:val="20"/>
                <w:szCs w:val="20"/>
              </w:rPr>
            </w:pPr>
            <w:r w:rsidRPr="00F30790">
              <w:rPr>
                <w:rFonts w:ascii="Arial Narrow" w:hAnsi="Arial Narrow" w:cs="Arial"/>
                <w:color w:val="000000"/>
                <w:sz w:val="20"/>
                <w:szCs w:val="20"/>
              </w:rPr>
              <w:t>4,1%</w:t>
            </w:r>
          </w:p>
        </w:tc>
        <w:tc>
          <w:tcPr>
            <w:tcW w:w="1340" w:type="dxa"/>
            <w:tcBorders>
              <w:top w:val="nil"/>
              <w:left w:val="nil"/>
              <w:bottom w:val="single" w:sz="4" w:space="0" w:color="auto"/>
              <w:right w:val="single" w:sz="4" w:space="0" w:color="auto"/>
            </w:tcBorders>
            <w:shd w:val="clear" w:color="000000" w:fill="FFFFFF"/>
            <w:noWrap/>
            <w:vAlign w:val="center"/>
            <w:hideMark/>
          </w:tcPr>
          <w:p w14:paraId="5C012428" w14:textId="77777777" w:rsidR="00F30790" w:rsidRPr="00F30790" w:rsidRDefault="00F30790" w:rsidP="00F30790">
            <w:pPr>
              <w:jc w:val="right"/>
              <w:rPr>
                <w:rFonts w:ascii="Arial Narrow" w:hAnsi="Arial Narrow" w:cs="Arial"/>
                <w:color w:val="000000"/>
                <w:sz w:val="20"/>
                <w:szCs w:val="20"/>
              </w:rPr>
            </w:pPr>
            <w:r w:rsidRPr="00F30790">
              <w:rPr>
                <w:rFonts w:ascii="Arial Narrow" w:hAnsi="Arial Narrow" w:cs="Arial"/>
                <w:color w:val="000000"/>
                <w:sz w:val="20"/>
                <w:szCs w:val="20"/>
              </w:rPr>
              <w:t>-290 639</w:t>
            </w:r>
          </w:p>
        </w:tc>
        <w:tc>
          <w:tcPr>
            <w:tcW w:w="1116" w:type="dxa"/>
            <w:tcBorders>
              <w:top w:val="nil"/>
              <w:left w:val="nil"/>
              <w:bottom w:val="single" w:sz="4" w:space="0" w:color="auto"/>
              <w:right w:val="single" w:sz="4" w:space="0" w:color="auto"/>
            </w:tcBorders>
            <w:shd w:val="clear" w:color="000000" w:fill="FFFFFF"/>
            <w:noWrap/>
            <w:vAlign w:val="center"/>
            <w:hideMark/>
          </w:tcPr>
          <w:p w14:paraId="32D4EC85" w14:textId="77777777" w:rsidR="00F30790" w:rsidRPr="00F30790" w:rsidRDefault="00F30790" w:rsidP="00F30790">
            <w:pPr>
              <w:jc w:val="right"/>
              <w:rPr>
                <w:rFonts w:ascii="Arial Narrow" w:hAnsi="Arial Narrow" w:cs="Arial"/>
                <w:color w:val="000000"/>
                <w:sz w:val="20"/>
                <w:szCs w:val="20"/>
              </w:rPr>
            </w:pPr>
            <w:r w:rsidRPr="00F30790">
              <w:rPr>
                <w:rFonts w:ascii="Arial Narrow" w:hAnsi="Arial Narrow" w:cs="Arial"/>
                <w:color w:val="000000"/>
                <w:sz w:val="20"/>
                <w:szCs w:val="20"/>
              </w:rPr>
              <w:t>-51,4%</w:t>
            </w:r>
          </w:p>
        </w:tc>
      </w:tr>
      <w:tr w:rsidR="00F30790" w:rsidRPr="00F30790" w14:paraId="5467E796" w14:textId="77777777" w:rsidTr="00CD44F3">
        <w:trPr>
          <w:trHeight w:val="342"/>
        </w:trPr>
        <w:tc>
          <w:tcPr>
            <w:tcW w:w="2155" w:type="dxa"/>
            <w:tcBorders>
              <w:top w:val="nil"/>
              <w:left w:val="single" w:sz="4" w:space="0" w:color="auto"/>
              <w:bottom w:val="single" w:sz="4" w:space="0" w:color="auto"/>
              <w:right w:val="single" w:sz="4" w:space="0" w:color="auto"/>
            </w:tcBorders>
            <w:shd w:val="clear" w:color="000000" w:fill="FFFFFF"/>
            <w:noWrap/>
            <w:vAlign w:val="center"/>
            <w:hideMark/>
          </w:tcPr>
          <w:p w14:paraId="03F21A40" w14:textId="77777777" w:rsidR="00F30790" w:rsidRPr="00F30790" w:rsidRDefault="00F30790" w:rsidP="00F30790">
            <w:pPr>
              <w:ind w:firstLineChars="100" w:firstLine="200"/>
              <w:rPr>
                <w:rFonts w:ascii="Arial Narrow" w:hAnsi="Arial Narrow" w:cs="Arial"/>
                <w:color w:val="000000"/>
                <w:sz w:val="20"/>
                <w:szCs w:val="20"/>
              </w:rPr>
            </w:pPr>
            <w:r w:rsidRPr="00F30790">
              <w:rPr>
                <w:rFonts w:ascii="Arial Narrow" w:hAnsi="Arial Narrow" w:cs="Arial"/>
                <w:color w:val="000000"/>
                <w:sz w:val="20"/>
                <w:szCs w:val="20"/>
              </w:rPr>
              <w:lastRenderedPageBreak/>
              <w:t>Нидерландия</w:t>
            </w:r>
          </w:p>
        </w:tc>
        <w:tc>
          <w:tcPr>
            <w:tcW w:w="1340" w:type="dxa"/>
            <w:tcBorders>
              <w:top w:val="nil"/>
              <w:left w:val="nil"/>
              <w:bottom w:val="single" w:sz="4" w:space="0" w:color="auto"/>
              <w:right w:val="single" w:sz="4" w:space="0" w:color="auto"/>
            </w:tcBorders>
            <w:shd w:val="clear" w:color="000000" w:fill="FFFFFF"/>
            <w:noWrap/>
            <w:vAlign w:val="center"/>
            <w:hideMark/>
          </w:tcPr>
          <w:p w14:paraId="79E5B1DC" w14:textId="77777777" w:rsidR="00F30790" w:rsidRPr="00F30790" w:rsidRDefault="00F30790" w:rsidP="00F30790">
            <w:pPr>
              <w:jc w:val="right"/>
              <w:rPr>
                <w:rFonts w:ascii="Arial Narrow" w:hAnsi="Arial Narrow" w:cs="Arial"/>
                <w:color w:val="000000"/>
                <w:sz w:val="20"/>
                <w:szCs w:val="20"/>
              </w:rPr>
            </w:pPr>
            <w:r w:rsidRPr="00F30790">
              <w:rPr>
                <w:rFonts w:ascii="Arial Narrow" w:hAnsi="Arial Narrow" w:cs="Arial"/>
                <w:color w:val="000000"/>
                <w:sz w:val="20"/>
                <w:szCs w:val="20"/>
              </w:rPr>
              <w:t>398 557</w:t>
            </w:r>
          </w:p>
        </w:tc>
        <w:tc>
          <w:tcPr>
            <w:tcW w:w="1340" w:type="dxa"/>
            <w:tcBorders>
              <w:top w:val="nil"/>
              <w:left w:val="nil"/>
              <w:bottom w:val="single" w:sz="4" w:space="0" w:color="auto"/>
              <w:right w:val="single" w:sz="4" w:space="0" w:color="auto"/>
            </w:tcBorders>
            <w:shd w:val="clear" w:color="000000" w:fill="FFFFFF"/>
            <w:noWrap/>
            <w:vAlign w:val="center"/>
            <w:hideMark/>
          </w:tcPr>
          <w:p w14:paraId="7BE52FFE" w14:textId="77777777" w:rsidR="00F30790" w:rsidRPr="00F30790" w:rsidRDefault="00F30790" w:rsidP="00F30790">
            <w:pPr>
              <w:jc w:val="right"/>
              <w:rPr>
                <w:rFonts w:ascii="Arial Narrow" w:hAnsi="Arial Narrow" w:cs="Arial"/>
                <w:sz w:val="20"/>
                <w:szCs w:val="20"/>
              </w:rPr>
            </w:pPr>
            <w:r w:rsidRPr="00F30790">
              <w:rPr>
                <w:rFonts w:ascii="Arial Narrow" w:hAnsi="Arial Narrow" w:cs="Arial"/>
                <w:sz w:val="20"/>
                <w:szCs w:val="20"/>
              </w:rPr>
              <w:t>289 373</w:t>
            </w:r>
          </w:p>
        </w:tc>
        <w:tc>
          <w:tcPr>
            <w:tcW w:w="1340" w:type="dxa"/>
            <w:tcBorders>
              <w:top w:val="nil"/>
              <w:left w:val="nil"/>
              <w:bottom w:val="single" w:sz="4" w:space="0" w:color="auto"/>
              <w:right w:val="single" w:sz="4" w:space="0" w:color="auto"/>
            </w:tcBorders>
            <w:shd w:val="clear" w:color="000000" w:fill="FFFFFF"/>
            <w:noWrap/>
            <w:vAlign w:val="center"/>
            <w:hideMark/>
          </w:tcPr>
          <w:p w14:paraId="226F12D8" w14:textId="77777777" w:rsidR="00F30790" w:rsidRPr="00F30790" w:rsidRDefault="00F30790" w:rsidP="00F30790">
            <w:pPr>
              <w:jc w:val="right"/>
              <w:rPr>
                <w:rFonts w:ascii="Arial Narrow" w:hAnsi="Arial Narrow" w:cs="Arial"/>
                <w:color w:val="000000"/>
                <w:sz w:val="20"/>
                <w:szCs w:val="20"/>
              </w:rPr>
            </w:pPr>
            <w:r w:rsidRPr="00F30790">
              <w:rPr>
                <w:rFonts w:ascii="Arial Narrow" w:hAnsi="Arial Narrow" w:cs="Arial"/>
                <w:color w:val="000000"/>
                <w:sz w:val="20"/>
                <w:szCs w:val="20"/>
              </w:rPr>
              <w:t>228 810</w:t>
            </w:r>
          </w:p>
        </w:tc>
        <w:tc>
          <w:tcPr>
            <w:tcW w:w="1310" w:type="dxa"/>
            <w:tcBorders>
              <w:top w:val="nil"/>
              <w:left w:val="nil"/>
              <w:bottom w:val="single" w:sz="4" w:space="0" w:color="auto"/>
              <w:right w:val="single" w:sz="4" w:space="0" w:color="auto"/>
            </w:tcBorders>
            <w:shd w:val="clear" w:color="000000" w:fill="FFFFFF"/>
            <w:noWrap/>
            <w:vAlign w:val="center"/>
            <w:hideMark/>
          </w:tcPr>
          <w:p w14:paraId="1A32ADC8" w14:textId="77777777" w:rsidR="00F30790" w:rsidRPr="00F30790" w:rsidRDefault="00F30790" w:rsidP="00F30790">
            <w:pPr>
              <w:jc w:val="right"/>
              <w:rPr>
                <w:rFonts w:ascii="Arial Narrow" w:hAnsi="Arial Narrow" w:cs="Arial"/>
                <w:color w:val="000000"/>
                <w:sz w:val="20"/>
                <w:szCs w:val="20"/>
              </w:rPr>
            </w:pPr>
            <w:r w:rsidRPr="00F30790">
              <w:rPr>
                <w:rFonts w:ascii="Arial Narrow" w:hAnsi="Arial Narrow" w:cs="Arial"/>
                <w:color w:val="000000"/>
                <w:sz w:val="20"/>
                <w:szCs w:val="20"/>
              </w:rPr>
              <w:t>3,4%</w:t>
            </w:r>
          </w:p>
        </w:tc>
        <w:tc>
          <w:tcPr>
            <w:tcW w:w="1340" w:type="dxa"/>
            <w:tcBorders>
              <w:top w:val="nil"/>
              <w:left w:val="nil"/>
              <w:bottom w:val="single" w:sz="4" w:space="0" w:color="auto"/>
              <w:right w:val="single" w:sz="4" w:space="0" w:color="auto"/>
            </w:tcBorders>
            <w:shd w:val="clear" w:color="000000" w:fill="FFFFFF"/>
            <w:noWrap/>
            <w:vAlign w:val="center"/>
            <w:hideMark/>
          </w:tcPr>
          <w:p w14:paraId="254185CF" w14:textId="77777777" w:rsidR="00F30790" w:rsidRPr="00F30790" w:rsidRDefault="00F30790" w:rsidP="00F30790">
            <w:pPr>
              <w:jc w:val="right"/>
              <w:rPr>
                <w:rFonts w:ascii="Arial Narrow" w:hAnsi="Arial Narrow" w:cs="Arial"/>
                <w:color w:val="000000"/>
                <w:sz w:val="20"/>
                <w:szCs w:val="20"/>
              </w:rPr>
            </w:pPr>
            <w:r w:rsidRPr="00F30790">
              <w:rPr>
                <w:rFonts w:ascii="Arial Narrow" w:hAnsi="Arial Narrow" w:cs="Arial"/>
                <w:color w:val="000000"/>
                <w:sz w:val="20"/>
                <w:szCs w:val="20"/>
              </w:rPr>
              <w:t>-60 563</w:t>
            </w:r>
          </w:p>
        </w:tc>
        <w:tc>
          <w:tcPr>
            <w:tcW w:w="1116" w:type="dxa"/>
            <w:tcBorders>
              <w:top w:val="nil"/>
              <w:left w:val="nil"/>
              <w:bottom w:val="single" w:sz="4" w:space="0" w:color="auto"/>
              <w:right w:val="single" w:sz="4" w:space="0" w:color="auto"/>
            </w:tcBorders>
            <w:shd w:val="clear" w:color="000000" w:fill="FFFFFF"/>
            <w:noWrap/>
            <w:vAlign w:val="center"/>
            <w:hideMark/>
          </w:tcPr>
          <w:p w14:paraId="5DB719DC" w14:textId="77777777" w:rsidR="00F30790" w:rsidRPr="00F30790" w:rsidRDefault="00F30790" w:rsidP="00F30790">
            <w:pPr>
              <w:jc w:val="right"/>
              <w:rPr>
                <w:rFonts w:ascii="Arial Narrow" w:hAnsi="Arial Narrow" w:cs="Arial"/>
                <w:color w:val="000000"/>
                <w:sz w:val="20"/>
                <w:szCs w:val="20"/>
              </w:rPr>
            </w:pPr>
            <w:r w:rsidRPr="00F30790">
              <w:rPr>
                <w:rFonts w:ascii="Arial Narrow" w:hAnsi="Arial Narrow" w:cs="Arial"/>
                <w:color w:val="000000"/>
                <w:sz w:val="20"/>
                <w:szCs w:val="20"/>
              </w:rPr>
              <w:t>-20,9%</w:t>
            </w:r>
          </w:p>
        </w:tc>
      </w:tr>
      <w:tr w:rsidR="00F30790" w:rsidRPr="00F30790" w14:paraId="10E04CD7" w14:textId="77777777" w:rsidTr="00CD44F3">
        <w:trPr>
          <w:trHeight w:val="342"/>
        </w:trPr>
        <w:tc>
          <w:tcPr>
            <w:tcW w:w="2155" w:type="dxa"/>
            <w:tcBorders>
              <w:top w:val="nil"/>
              <w:left w:val="single" w:sz="4" w:space="0" w:color="auto"/>
              <w:bottom w:val="single" w:sz="4" w:space="0" w:color="auto"/>
              <w:right w:val="single" w:sz="4" w:space="0" w:color="auto"/>
            </w:tcBorders>
            <w:shd w:val="clear" w:color="000000" w:fill="FFFFFF"/>
            <w:noWrap/>
            <w:vAlign w:val="center"/>
            <w:hideMark/>
          </w:tcPr>
          <w:p w14:paraId="312C3717" w14:textId="77777777" w:rsidR="00F30790" w:rsidRPr="00F30790" w:rsidRDefault="00F30790" w:rsidP="00F30790">
            <w:pPr>
              <w:ind w:firstLineChars="100" w:firstLine="200"/>
              <w:rPr>
                <w:rFonts w:ascii="Arial Narrow" w:hAnsi="Arial Narrow" w:cs="Arial"/>
                <w:color w:val="000000"/>
                <w:sz w:val="20"/>
                <w:szCs w:val="20"/>
              </w:rPr>
            </w:pPr>
            <w:r w:rsidRPr="00F30790">
              <w:rPr>
                <w:rFonts w:ascii="Arial Narrow" w:hAnsi="Arial Narrow" w:cs="Arial"/>
                <w:color w:val="000000"/>
                <w:sz w:val="20"/>
                <w:szCs w:val="20"/>
              </w:rPr>
              <w:t>Италия</w:t>
            </w:r>
          </w:p>
        </w:tc>
        <w:tc>
          <w:tcPr>
            <w:tcW w:w="1340" w:type="dxa"/>
            <w:tcBorders>
              <w:top w:val="nil"/>
              <w:left w:val="nil"/>
              <w:bottom w:val="single" w:sz="4" w:space="0" w:color="auto"/>
              <w:right w:val="single" w:sz="4" w:space="0" w:color="auto"/>
            </w:tcBorders>
            <w:shd w:val="clear" w:color="000000" w:fill="FFFFFF"/>
            <w:noWrap/>
            <w:vAlign w:val="center"/>
            <w:hideMark/>
          </w:tcPr>
          <w:p w14:paraId="084A3FC8" w14:textId="77777777" w:rsidR="00F30790" w:rsidRPr="00F30790" w:rsidRDefault="00F30790" w:rsidP="00F30790">
            <w:pPr>
              <w:jc w:val="right"/>
              <w:rPr>
                <w:rFonts w:ascii="Arial Narrow" w:hAnsi="Arial Narrow" w:cs="Arial"/>
                <w:color w:val="000000"/>
                <w:sz w:val="20"/>
                <w:szCs w:val="20"/>
              </w:rPr>
            </w:pPr>
            <w:r w:rsidRPr="00F30790">
              <w:rPr>
                <w:rFonts w:ascii="Arial Narrow" w:hAnsi="Arial Narrow" w:cs="Arial"/>
                <w:color w:val="000000"/>
                <w:sz w:val="20"/>
                <w:szCs w:val="20"/>
              </w:rPr>
              <w:t>395 915</w:t>
            </w:r>
          </w:p>
        </w:tc>
        <w:tc>
          <w:tcPr>
            <w:tcW w:w="1340" w:type="dxa"/>
            <w:tcBorders>
              <w:top w:val="nil"/>
              <w:left w:val="nil"/>
              <w:bottom w:val="single" w:sz="4" w:space="0" w:color="auto"/>
              <w:right w:val="single" w:sz="4" w:space="0" w:color="auto"/>
            </w:tcBorders>
            <w:shd w:val="clear" w:color="000000" w:fill="FFFFFF"/>
            <w:noWrap/>
            <w:vAlign w:val="center"/>
            <w:hideMark/>
          </w:tcPr>
          <w:p w14:paraId="237D87A4" w14:textId="77777777" w:rsidR="00F30790" w:rsidRPr="00F30790" w:rsidRDefault="00F30790" w:rsidP="00F30790">
            <w:pPr>
              <w:jc w:val="right"/>
              <w:rPr>
                <w:rFonts w:ascii="Arial Narrow" w:hAnsi="Arial Narrow" w:cs="Arial"/>
                <w:sz w:val="20"/>
                <w:szCs w:val="20"/>
              </w:rPr>
            </w:pPr>
            <w:r w:rsidRPr="00F30790">
              <w:rPr>
                <w:rFonts w:ascii="Arial Narrow" w:hAnsi="Arial Narrow" w:cs="Arial"/>
                <w:sz w:val="20"/>
                <w:szCs w:val="20"/>
              </w:rPr>
              <w:t>292 816</w:t>
            </w:r>
          </w:p>
        </w:tc>
        <w:tc>
          <w:tcPr>
            <w:tcW w:w="1340" w:type="dxa"/>
            <w:tcBorders>
              <w:top w:val="nil"/>
              <w:left w:val="nil"/>
              <w:bottom w:val="single" w:sz="4" w:space="0" w:color="auto"/>
              <w:right w:val="single" w:sz="4" w:space="0" w:color="auto"/>
            </w:tcBorders>
            <w:shd w:val="clear" w:color="000000" w:fill="FFFFFF"/>
            <w:noWrap/>
            <w:vAlign w:val="center"/>
            <w:hideMark/>
          </w:tcPr>
          <w:p w14:paraId="21C969F5" w14:textId="77777777" w:rsidR="00F30790" w:rsidRPr="00F30790" w:rsidRDefault="00F30790" w:rsidP="00F30790">
            <w:pPr>
              <w:jc w:val="right"/>
              <w:rPr>
                <w:rFonts w:ascii="Arial Narrow" w:hAnsi="Arial Narrow" w:cs="Arial"/>
                <w:color w:val="000000"/>
                <w:sz w:val="20"/>
                <w:szCs w:val="20"/>
              </w:rPr>
            </w:pPr>
            <w:r w:rsidRPr="00F30790">
              <w:rPr>
                <w:rFonts w:ascii="Arial Narrow" w:hAnsi="Arial Narrow" w:cs="Arial"/>
                <w:color w:val="000000"/>
                <w:sz w:val="20"/>
                <w:szCs w:val="20"/>
              </w:rPr>
              <w:t>224 370</w:t>
            </w:r>
          </w:p>
        </w:tc>
        <w:tc>
          <w:tcPr>
            <w:tcW w:w="1310" w:type="dxa"/>
            <w:tcBorders>
              <w:top w:val="nil"/>
              <w:left w:val="nil"/>
              <w:bottom w:val="single" w:sz="4" w:space="0" w:color="auto"/>
              <w:right w:val="single" w:sz="4" w:space="0" w:color="auto"/>
            </w:tcBorders>
            <w:shd w:val="clear" w:color="000000" w:fill="FFFFFF"/>
            <w:noWrap/>
            <w:vAlign w:val="center"/>
            <w:hideMark/>
          </w:tcPr>
          <w:p w14:paraId="46F2AB81" w14:textId="77777777" w:rsidR="00F30790" w:rsidRPr="00F30790" w:rsidRDefault="00F30790" w:rsidP="00F30790">
            <w:pPr>
              <w:jc w:val="right"/>
              <w:rPr>
                <w:rFonts w:ascii="Arial Narrow" w:hAnsi="Arial Narrow" w:cs="Arial"/>
                <w:color w:val="000000"/>
                <w:sz w:val="20"/>
                <w:szCs w:val="20"/>
              </w:rPr>
            </w:pPr>
            <w:r w:rsidRPr="00F30790">
              <w:rPr>
                <w:rFonts w:ascii="Arial Narrow" w:hAnsi="Arial Narrow" w:cs="Arial"/>
                <w:color w:val="000000"/>
                <w:sz w:val="20"/>
                <w:szCs w:val="20"/>
              </w:rPr>
              <w:t>3,3%</w:t>
            </w:r>
          </w:p>
        </w:tc>
        <w:tc>
          <w:tcPr>
            <w:tcW w:w="1340" w:type="dxa"/>
            <w:tcBorders>
              <w:top w:val="nil"/>
              <w:left w:val="nil"/>
              <w:bottom w:val="single" w:sz="4" w:space="0" w:color="auto"/>
              <w:right w:val="single" w:sz="4" w:space="0" w:color="auto"/>
            </w:tcBorders>
            <w:shd w:val="clear" w:color="000000" w:fill="FFFFFF"/>
            <w:noWrap/>
            <w:vAlign w:val="center"/>
            <w:hideMark/>
          </w:tcPr>
          <w:p w14:paraId="66AA42FC" w14:textId="77777777" w:rsidR="00F30790" w:rsidRPr="00F30790" w:rsidRDefault="00F30790" w:rsidP="00F30790">
            <w:pPr>
              <w:jc w:val="right"/>
              <w:rPr>
                <w:rFonts w:ascii="Arial Narrow" w:hAnsi="Arial Narrow" w:cs="Arial"/>
                <w:color w:val="000000"/>
                <w:sz w:val="20"/>
                <w:szCs w:val="20"/>
              </w:rPr>
            </w:pPr>
            <w:r w:rsidRPr="00F30790">
              <w:rPr>
                <w:rFonts w:ascii="Arial Narrow" w:hAnsi="Arial Narrow" w:cs="Arial"/>
                <w:color w:val="000000"/>
                <w:sz w:val="20"/>
                <w:szCs w:val="20"/>
              </w:rPr>
              <w:t>-68 446</w:t>
            </w:r>
          </w:p>
        </w:tc>
        <w:tc>
          <w:tcPr>
            <w:tcW w:w="1116" w:type="dxa"/>
            <w:tcBorders>
              <w:top w:val="nil"/>
              <w:left w:val="nil"/>
              <w:bottom w:val="single" w:sz="4" w:space="0" w:color="auto"/>
              <w:right w:val="single" w:sz="4" w:space="0" w:color="auto"/>
            </w:tcBorders>
            <w:shd w:val="clear" w:color="000000" w:fill="FFFFFF"/>
            <w:noWrap/>
            <w:vAlign w:val="center"/>
            <w:hideMark/>
          </w:tcPr>
          <w:p w14:paraId="2CD8B68F" w14:textId="77777777" w:rsidR="00F30790" w:rsidRPr="00F30790" w:rsidRDefault="00F30790" w:rsidP="00F30790">
            <w:pPr>
              <w:jc w:val="right"/>
              <w:rPr>
                <w:rFonts w:ascii="Arial Narrow" w:hAnsi="Arial Narrow" w:cs="Arial"/>
                <w:color w:val="000000"/>
                <w:sz w:val="20"/>
                <w:szCs w:val="20"/>
              </w:rPr>
            </w:pPr>
            <w:r w:rsidRPr="00F30790">
              <w:rPr>
                <w:rFonts w:ascii="Arial Narrow" w:hAnsi="Arial Narrow" w:cs="Arial"/>
                <w:color w:val="000000"/>
                <w:sz w:val="20"/>
                <w:szCs w:val="20"/>
              </w:rPr>
              <w:t>-23,4%</w:t>
            </w:r>
          </w:p>
        </w:tc>
      </w:tr>
      <w:tr w:rsidR="00F30790" w:rsidRPr="00F30790" w14:paraId="09704DCA" w14:textId="77777777" w:rsidTr="00CD44F3">
        <w:trPr>
          <w:trHeight w:val="342"/>
        </w:trPr>
        <w:tc>
          <w:tcPr>
            <w:tcW w:w="2155" w:type="dxa"/>
            <w:tcBorders>
              <w:top w:val="nil"/>
              <w:left w:val="single" w:sz="4" w:space="0" w:color="auto"/>
              <w:bottom w:val="single" w:sz="4" w:space="0" w:color="auto"/>
              <w:right w:val="single" w:sz="4" w:space="0" w:color="auto"/>
            </w:tcBorders>
            <w:shd w:val="clear" w:color="000000" w:fill="FFFFFF"/>
            <w:noWrap/>
            <w:vAlign w:val="center"/>
            <w:hideMark/>
          </w:tcPr>
          <w:p w14:paraId="07F09320" w14:textId="77777777" w:rsidR="00F30790" w:rsidRPr="00F30790" w:rsidRDefault="00F30790" w:rsidP="00F30790">
            <w:pPr>
              <w:ind w:firstLineChars="100" w:firstLine="200"/>
              <w:rPr>
                <w:rFonts w:ascii="Arial Narrow" w:hAnsi="Arial Narrow" w:cs="Arial"/>
                <w:color w:val="000000"/>
                <w:sz w:val="20"/>
                <w:szCs w:val="20"/>
              </w:rPr>
            </w:pPr>
            <w:r w:rsidRPr="00F30790">
              <w:rPr>
                <w:rFonts w:ascii="Arial Narrow" w:hAnsi="Arial Narrow" w:cs="Arial"/>
                <w:color w:val="000000"/>
                <w:sz w:val="20"/>
                <w:szCs w:val="20"/>
              </w:rPr>
              <w:t>Франция</w:t>
            </w:r>
          </w:p>
        </w:tc>
        <w:tc>
          <w:tcPr>
            <w:tcW w:w="1340" w:type="dxa"/>
            <w:tcBorders>
              <w:top w:val="nil"/>
              <w:left w:val="nil"/>
              <w:bottom w:val="single" w:sz="4" w:space="0" w:color="auto"/>
              <w:right w:val="single" w:sz="4" w:space="0" w:color="auto"/>
            </w:tcBorders>
            <w:shd w:val="clear" w:color="000000" w:fill="FFFFFF"/>
            <w:noWrap/>
            <w:vAlign w:val="center"/>
            <w:hideMark/>
          </w:tcPr>
          <w:p w14:paraId="3348DCE3" w14:textId="77777777" w:rsidR="00F30790" w:rsidRPr="00F30790" w:rsidRDefault="00F30790" w:rsidP="00F30790">
            <w:pPr>
              <w:jc w:val="right"/>
              <w:rPr>
                <w:rFonts w:ascii="Arial Narrow" w:hAnsi="Arial Narrow" w:cs="Arial"/>
                <w:color w:val="000000"/>
                <w:sz w:val="20"/>
                <w:szCs w:val="20"/>
              </w:rPr>
            </w:pPr>
            <w:r w:rsidRPr="00F30790">
              <w:rPr>
                <w:rFonts w:ascii="Arial Narrow" w:hAnsi="Arial Narrow" w:cs="Arial"/>
                <w:color w:val="000000"/>
                <w:sz w:val="20"/>
                <w:szCs w:val="20"/>
              </w:rPr>
              <w:t>333 333</w:t>
            </w:r>
          </w:p>
        </w:tc>
        <w:tc>
          <w:tcPr>
            <w:tcW w:w="1340" w:type="dxa"/>
            <w:tcBorders>
              <w:top w:val="nil"/>
              <w:left w:val="nil"/>
              <w:bottom w:val="single" w:sz="4" w:space="0" w:color="auto"/>
              <w:right w:val="single" w:sz="4" w:space="0" w:color="auto"/>
            </w:tcBorders>
            <w:shd w:val="clear" w:color="000000" w:fill="FFFFFF"/>
            <w:noWrap/>
            <w:vAlign w:val="center"/>
            <w:hideMark/>
          </w:tcPr>
          <w:p w14:paraId="0D4EB507" w14:textId="77777777" w:rsidR="00F30790" w:rsidRPr="00F30790" w:rsidRDefault="00F30790" w:rsidP="00F30790">
            <w:pPr>
              <w:jc w:val="right"/>
              <w:rPr>
                <w:rFonts w:ascii="Arial Narrow" w:hAnsi="Arial Narrow" w:cs="Arial"/>
                <w:sz w:val="20"/>
                <w:szCs w:val="20"/>
              </w:rPr>
            </w:pPr>
            <w:r w:rsidRPr="00F30790">
              <w:rPr>
                <w:rFonts w:ascii="Arial Narrow" w:hAnsi="Arial Narrow" w:cs="Arial"/>
                <w:sz w:val="20"/>
                <w:szCs w:val="20"/>
              </w:rPr>
              <w:t>224 718</w:t>
            </w:r>
          </w:p>
        </w:tc>
        <w:tc>
          <w:tcPr>
            <w:tcW w:w="1340" w:type="dxa"/>
            <w:tcBorders>
              <w:top w:val="nil"/>
              <w:left w:val="nil"/>
              <w:bottom w:val="single" w:sz="4" w:space="0" w:color="auto"/>
              <w:right w:val="single" w:sz="4" w:space="0" w:color="auto"/>
            </w:tcBorders>
            <w:shd w:val="clear" w:color="000000" w:fill="FFFFFF"/>
            <w:noWrap/>
            <w:vAlign w:val="center"/>
            <w:hideMark/>
          </w:tcPr>
          <w:p w14:paraId="1F8388BD" w14:textId="77777777" w:rsidR="00F30790" w:rsidRPr="00F30790" w:rsidRDefault="00F30790" w:rsidP="00F30790">
            <w:pPr>
              <w:jc w:val="right"/>
              <w:rPr>
                <w:rFonts w:ascii="Arial Narrow" w:hAnsi="Arial Narrow" w:cs="Arial"/>
                <w:color w:val="000000"/>
                <w:sz w:val="20"/>
                <w:szCs w:val="20"/>
              </w:rPr>
            </w:pPr>
            <w:r w:rsidRPr="00F30790">
              <w:rPr>
                <w:rFonts w:ascii="Arial Narrow" w:hAnsi="Arial Narrow" w:cs="Arial"/>
                <w:color w:val="000000"/>
                <w:sz w:val="20"/>
                <w:szCs w:val="20"/>
              </w:rPr>
              <w:t>209 545</w:t>
            </w:r>
          </w:p>
        </w:tc>
        <w:tc>
          <w:tcPr>
            <w:tcW w:w="1310" w:type="dxa"/>
            <w:tcBorders>
              <w:top w:val="nil"/>
              <w:left w:val="nil"/>
              <w:bottom w:val="single" w:sz="4" w:space="0" w:color="auto"/>
              <w:right w:val="single" w:sz="4" w:space="0" w:color="auto"/>
            </w:tcBorders>
            <w:shd w:val="clear" w:color="000000" w:fill="FFFFFF"/>
            <w:noWrap/>
            <w:vAlign w:val="center"/>
            <w:hideMark/>
          </w:tcPr>
          <w:p w14:paraId="1421812C" w14:textId="77777777" w:rsidR="00F30790" w:rsidRPr="00F30790" w:rsidRDefault="00F30790" w:rsidP="00F30790">
            <w:pPr>
              <w:jc w:val="right"/>
              <w:rPr>
                <w:rFonts w:ascii="Arial Narrow" w:hAnsi="Arial Narrow" w:cs="Arial"/>
                <w:color w:val="000000"/>
                <w:sz w:val="20"/>
                <w:szCs w:val="20"/>
              </w:rPr>
            </w:pPr>
            <w:r w:rsidRPr="00F30790">
              <w:rPr>
                <w:rFonts w:ascii="Arial Narrow" w:hAnsi="Arial Narrow" w:cs="Arial"/>
                <w:color w:val="000000"/>
                <w:sz w:val="20"/>
                <w:szCs w:val="20"/>
              </w:rPr>
              <w:t>3,1%</w:t>
            </w:r>
          </w:p>
        </w:tc>
        <w:tc>
          <w:tcPr>
            <w:tcW w:w="1340" w:type="dxa"/>
            <w:tcBorders>
              <w:top w:val="nil"/>
              <w:left w:val="nil"/>
              <w:bottom w:val="single" w:sz="4" w:space="0" w:color="auto"/>
              <w:right w:val="single" w:sz="4" w:space="0" w:color="auto"/>
            </w:tcBorders>
            <w:shd w:val="clear" w:color="000000" w:fill="FFFFFF"/>
            <w:noWrap/>
            <w:vAlign w:val="center"/>
            <w:hideMark/>
          </w:tcPr>
          <w:p w14:paraId="64652589" w14:textId="77777777" w:rsidR="00F30790" w:rsidRPr="00F30790" w:rsidRDefault="00F30790" w:rsidP="00F30790">
            <w:pPr>
              <w:jc w:val="right"/>
              <w:rPr>
                <w:rFonts w:ascii="Arial Narrow" w:hAnsi="Arial Narrow" w:cs="Arial"/>
                <w:color w:val="000000"/>
                <w:sz w:val="20"/>
                <w:szCs w:val="20"/>
              </w:rPr>
            </w:pPr>
            <w:r w:rsidRPr="00F30790">
              <w:rPr>
                <w:rFonts w:ascii="Arial Narrow" w:hAnsi="Arial Narrow" w:cs="Arial"/>
                <w:color w:val="000000"/>
                <w:sz w:val="20"/>
                <w:szCs w:val="20"/>
              </w:rPr>
              <w:t>-15 173</w:t>
            </w:r>
          </w:p>
        </w:tc>
        <w:tc>
          <w:tcPr>
            <w:tcW w:w="1116" w:type="dxa"/>
            <w:tcBorders>
              <w:top w:val="nil"/>
              <w:left w:val="nil"/>
              <w:bottom w:val="single" w:sz="4" w:space="0" w:color="auto"/>
              <w:right w:val="single" w:sz="4" w:space="0" w:color="auto"/>
            </w:tcBorders>
            <w:shd w:val="clear" w:color="000000" w:fill="FFFFFF"/>
            <w:noWrap/>
            <w:vAlign w:val="center"/>
            <w:hideMark/>
          </w:tcPr>
          <w:p w14:paraId="175DED96" w14:textId="77777777" w:rsidR="00F30790" w:rsidRPr="00F30790" w:rsidRDefault="00F30790" w:rsidP="00F30790">
            <w:pPr>
              <w:jc w:val="right"/>
              <w:rPr>
                <w:rFonts w:ascii="Arial Narrow" w:hAnsi="Arial Narrow" w:cs="Arial"/>
                <w:color w:val="000000"/>
                <w:sz w:val="20"/>
                <w:szCs w:val="20"/>
              </w:rPr>
            </w:pPr>
            <w:r w:rsidRPr="00F30790">
              <w:rPr>
                <w:rFonts w:ascii="Arial Narrow" w:hAnsi="Arial Narrow" w:cs="Arial"/>
                <w:color w:val="000000"/>
                <w:sz w:val="20"/>
                <w:szCs w:val="20"/>
              </w:rPr>
              <w:t>-6,8%</w:t>
            </w:r>
          </w:p>
        </w:tc>
      </w:tr>
      <w:tr w:rsidR="00F30790" w:rsidRPr="00F30790" w14:paraId="650F9FC1" w14:textId="77777777" w:rsidTr="00CD44F3">
        <w:trPr>
          <w:trHeight w:val="342"/>
        </w:trPr>
        <w:tc>
          <w:tcPr>
            <w:tcW w:w="2155" w:type="dxa"/>
            <w:tcBorders>
              <w:top w:val="nil"/>
              <w:left w:val="single" w:sz="4" w:space="0" w:color="auto"/>
              <w:bottom w:val="single" w:sz="4" w:space="0" w:color="auto"/>
              <w:right w:val="single" w:sz="4" w:space="0" w:color="auto"/>
            </w:tcBorders>
            <w:shd w:val="clear" w:color="000000" w:fill="FFFFFF"/>
            <w:noWrap/>
            <w:vAlign w:val="center"/>
            <w:hideMark/>
          </w:tcPr>
          <w:p w14:paraId="3464FDFF" w14:textId="77777777" w:rsidR="00F30790" w:rsidRPr="00F30790" w:rsidRDefault="00F30790" w:rsidP="00F30790">
            <w:pPr>
              <w:ind w:firstLineChars="100" w:firstLine="200"/>
              <w:rPr>
                <w:rFonts w:ascii="Arial Narrow" w:hAnsi="Arial Narrow" w:cs="Arial"/>
                <w:color w:val="000000"/>
                <w:sz w:val="20"/>
                <w:szCs w:val="20"/>
              </w:rPr>
            </w:pPr>
            <w:r w:rsidRPr="00F30790">
              <w:rPr>
                <w:rFonts w:ascii="Arial Narrow" w:hAnsi="Arial Narrow" w:cs="Arial"/>
                <w:color w:val="000000"/>
                <w:sz w:val="20"/>
                <w:szCs w:val="20"/>
              </w:rPr>
              <w:t>Полша</w:t>
            </w:r>
          </w:p>
        </w:tc>
        <w:tc>
          <w:tcPr>
            <w:tcW w:w="1340" w:type="dxa"/>
            <w:tcBorders>
              <w:top w:val="nil"/>
              <w:left w:val="nil"/>
              <w:bottom w:val="single" w:sz="4" w:space="0" w:color="auto"/>
              <w:right w:val="single" w:sz="4" w:space="0" w:color="auto"/>
            </w:tcBorders>
            <w:shd w:val="clear" w:color="000000" w:fill="FFFFFF"/>
            <w:noWrap/>
            <w:vAlign w:val="center"/>
            <w:hideMark/>
          </w:tcPr>
          <w:p w14:paraId="217101A5" w14:textId="77777777" w:rsidR="00F30790" w:rsidRPr="00F30790" w:rsidRDefault="00F30790" w:rsidP="00F30790">
            <w:pPr>
              <w:jc w:val="right"/>
              <w:rPr>
                <w:rFonts w:ascii="Arial Narrow" w:hAnsi="Arial Narrow" w:cs="Arial"/>
                <w:color w:val="000000"/>
                <w:sz w:val="20"/>
                <w:szCs w:val="20"/>
              </w:rPr>
            </w:pPr>
            <w:r w:rsidRPr="00F30790">
              <w:rPr>
                <w:rFonts w:ascii="Arial Narrow" w:hAnsi="Arial Narrow" w:cs="Arial"/>
                <w:color w:val="000000"/>
                <w:sz w:val="20"/>
                <w:szCs w:val="20"/>
              </w:rPr>
              <w:t>203 751</w:t>
            </w:r>
          </w:p>
        </w:tc>
        <w:tc>
          <w:tcPr>
            <w:tcW w:w="1340" w:type="dxa"/>
            <w:tcBorders>
              <w:top w:val="nil"/>
              <w:left w:val="nil"/>
              <w:bottom w:val="single" w:sz="4" w:space="0" w:color="auto"/>
              <w:right w:val="single" w:sz="4" w:space="0" w:color="auto"/>
            </w:tcBorders>
            <w:shd w:val="clear" w:color="000000" w:fill="FFFFFF"/>
            <w:noWrap/>
            <w:vAlign w:val="center"/>
            <w:hideMark/>
          </w:tcPr>
          <w:p w14:paraId="0758E0E6" w14:textId="77777777" w:rsidR="00F30790" w:rsidRPr="00F30790" w:rsidRDefault="00F30790" w:rsidP="00F30790">
            <w:pPr>
              <w:jc w:val="right"/>
              <w:rPr>
                <w:rFonts w:ascii="Arial Narrow" w:hAnsi="Arial Narrow" w:cs="Arial"/>
                <w:sz w:val="20"/>
                <w:szCs w:val="20"/>
              </w:rPr>
            </w:pPr>
            <w:r w:rsidRPr="00F30790">
              <w:rPr>
                <w:rFonts w:ascii="Arial Narrow" w:hAnsi="Arial Narrow" w:cs="Arial"/>
                <w:sz w:val="20"/>
                <w:szCs w:val="20"/>
              </w:rPr>
              <w:t>191 186</w:t>
            </w:r>
          </w:p>
        </w:tc>
        <w:tc>
          <w:tcPr>
            <w:tcW w:w="1340" w:type="dxa"/>
            <w:tcBorders>
              <w:top w:val="nil"/>
              <w:left w:val="nil"/>
              <w:bottom w:val="single" w:sz="4" w:space="0" w:color="auto"/>
              <w:right w:val="single" w:sz="4" w:space="0" w:color="auto"/>
            </w:tcBorders>
            <w:shd w:val="clear" w:color="000000" w:fill="FFFFFF"/>
            <w:noWrap/>
            <w:vAlign w:val="center"/>
            <w:hideMark/>
          </w:tcPr>
          <w:p w14:paraId="77B895BE" w14:textId="77777777" w:rsidR="00F30790" w:rsidRPr="00F30790" w:rsidRDefault="00F30790" w:rsidP="00F30790">
            <w:pPr>
              <w:jc w:val="right"/>
              <w:rPr>
                <w:rFonts w:ascii="Arial Narrow" w:hAnsi="Arial Narrow" w:cs="Arial"/>
                <w:color w:val="000000"/>
                <w:sz w:val="20"/>
                <w:szCs w:val="20"/>
              </w:rPr>
            </w:pPr>
            <w:r w:rsidRPr="00F30790">
              <w:rPr>
                <w:rFonts w:ascii="Arial Narrow" w:hAnsi="Arial Narrow" w:cs="Arial"/>
                <w:color w:val="000000"/>
                <w:sz w:val="20"/>
                <w:szCs w:val="20"/>
              </w:rPr>
              <w:t>196 489</w:t>
            </w:r>
          </w:p>
        </w:tc>
        <w:tc>
          <w:tcPr>
            <w:tcW w:w="1310" w:type="dxa"/>
            <w:tcBorders>
              <w:top w:val="nil"/>
              <w:left w:val="nil"/>
              <w:bottom w:val="single" w:sz="4" w:space="0" w:color="auto"/>
              <w:right w:val="single" w:sz="4" w:space="0" w:color="auto"/>
            </w:tcBorders>
            <w:shd w:val="clear" w:color="000000" w:fill="FFFFFF"/>
            <w:noWrap/>
            <w:vAlign w:val="center"/>
            <w:hideMark/>
          </w:tcPr>
          <w:p w14:paraId="7F559115" w14:textId="77777777" w:rsidR="00F30790" w:rsidRPr="00F30790" w:rsidRDefault="00F30790" w:rsidP="00F30790">
            <w:pPr>
              <w:jc w:val="right"/>
              <w:rPr>
                <w:rFonts w:ascii="Arial Narrow" w:hAnsi="Arial Narrow" w:cs="Arial"/>
                <w:color w:val="000000"/>
                <w:sz w:val="20"/>
                <w:szCs w:val="20"/>
              </w:rPr>
            </w:pPr>
            <w:r w:rsidRPr="00F30790">
              <w:rPr>
                <w:rFonts w:ascii="Arial Narrow" w:hAnsi="Arial Narrow" w:cs="Arial"/>
                <w:color w:val="000000"/>
                <w:sz w:val="20"/>
                <w:szCs w:val="20"/>
              </w:rPr>
              <w:t>2,9%</w:t>
            </w:r>
          </w:p>
        </w:tc>
        <w:tc>
          <w:tcPr>
            <w:tcW w:w="1340" w:type="dxa"/>
            <w:tcBorders>
              <w:top w:val="nil"/>
              <w:left w:val="nil"/>
              <w:bottom w:val="single" w:sz="4" w:space="0" w:color="auto"/>
              <w:right w:val="single" w:sz="4" w:space="0" w:color="auto"/>
            </w:tcBorders>
            <w:shd w:val="clear" w:color="000000" w:fill="FFFFFF"/>
            <w:noWrap/>
            <w:vAlign w:val="center"/>
            <w:hideMark/>
          </w:tcPr>
          <w:p w14:paraId="10ABC499" w14:textId="77777777" w:rsidR="00F30790" w:rsidRPr="00F30790" w:rsidRDefault="00F30790" w:rsidP="00F30790">
            <w:pPr>
              <w:jc w:val="right"/>
              <w:rPr>
                <w:rFonts w:ascii="Arial Narrow" w:hAnsi="Arial Narrow" w:cs="Arial"/>
                <w:color w:val="000000"/>
                <w:sz w:val="20"/>
                <w:szCs w:val="20"/>
              </w:rPr>
            </w:pPr>
            <w:r w:rsidRPr="00F30790">
              <w:rPr>
                <w:rFonts w:ascii="Arial Narrow" w:hAnsi="Arial Narrow" w:cs="Arial"/>
                <w:color w:val="000000"/>
                <w:sz w:val="20"/>
                <w:szCs w:val="20"/>
              </w:rPr>
              <w:t>5 303</w:t>
            </w:r>
          </w:p>
        </w:tc>
        <w:tc>
          <w:tcPr>
            <w:tcW w:w="1116" w:type="dxa"/>
            <w:tcBorders>
              <w:top w:val="nil"/>
              <w:left w:val="nil"/>
              <w:bottom w:val="single" w:sz="4" w:space="0" w:color="auto"/>
              <w:right w:val="single" w:sz="4" w:space="0" w:color="auto"/>
            </w:tcBorders>
            <w:shd w:val="clear" w:color="000000" w:fill="FFFFFF"/>
            <w:noWrap/>
            <w:vAlign w:val="center"/>
            <w:hideMark/>
          </w:tcPr>
          <w:p w14:paraId="28A1DFB3" w14:textId="77777777" w:rsidR="00F30790" w:rsidRPr="00F30790" w:rsidRDefault="00F30790" w:rsidP="00F30790">
            <w:pPr>
              <w:jc w:val="right"/>
              <w:rPr>
                <w:rFonts w:ascii="Arial Narrow" w:hAnsi="Arial Narrow" w:cs="Arial"/>
                <w:color w:val="000000"/>
                <w:sz w:val="20"/>
                <w:szCs w:val="20"/>
              </w:rPr>
            </w:pPr>
            <w:r w:rsidRPr="00F30790">
              <w:rPr>
                <w:rFonts w:ascii="Arial Narrow" w:hAnsi="Arial Narrow" w:cs="Arial"/>
                <w:color w:val="000000"/>
                <w:sz w:val="20"/>
                <w:szCs w:val="20"/>
              </w:rPr>
              <w:t>2,8%</w:t>
            </w:r>
          </w:p>
        </w:tc>
      </w:tr>
      <w:tr w:rsidR="00F30790" w:rsidRPr="00F30790" w14:paraId="4974B082" w14:textId="77777777" w:rsidTr="00CD44F3">
        <w:trPr>
          <w:trHeight w:val="342"/>
        </w:trPr>
        <w:tc>
          <w:tcPr>
            <w:tcW w:w="2155" w:type="dxa"/>
            <w:tcBorders>
              <w:top w:val="nil"/>
              <w:left w:val="single" w:sz="4" w:space="0" w:color="auto"/>
              <w:bottom w:val="single" w:sz="4" w:space="0" w:color="auto"/>
              <w:right w:val="single" w:sz="4" w:space="0" w:color="auto"/>
            </w:tcBorders>
            <w:shd w:val="clear" w:color="000000" w:fill="FFFFFF"/>
            <w:noWrap/>
            <w:vAlign w:val="center"/>
            <w:hideMark/>
          </w:tcPr>
          <w:p w14:paraId="2370A521" w14:textId="77777777" w:rsidR="00F30790" w:rsidRPr="00F30790" w:rsidRDefault="00F30790" w:rsidP="00F30790">
            <w:pPr>
              <w:ind w:firstLineChars="100" w:firstLine="200"/>
              <w:rPr>
                <w:rFonts w:ascii="Arial Narrow" w:hAnsi="Arial Narrow" w:cs="Arial"/>
                <w:color w:val="000000"/>
                <w:sz w:val="20"/>
                <w:szCs w:val="20"/>
              </w:rPr>
            </w:pPr>
            <w:r w:rsidRPr="00F30790">
              <w:rPr>
                <w:rFonts w:ascii="Arial Narrow" w:hAnsi="Arial Narrow" w:cs="Arial"/>
                <w:color w:val="000000"/>
                <w:sz w:val="20"/>
                <w:szCs w:val="20"/>
              </w:rPr>
              <w:t>Белгия</w:t>
            </w:r>
          </w:p>
        </w:tc>
        <w:tc>
          <w:tcPr>
            <w:tcW w:w="1340" w:type="dxa"/>
            <w:tcBorders>
              <w:top w:val="nil"/>
              <w:left w:val="nil"/>
              <w:bottom w:val="single" w:sz="4" w:space="0" w:color="auto"/>
              <w:right w:val="single" w:sz="4" w:space="0" w:color="auto"/>
            </w:tcBorders>
            <w:shd w:val="clear" w:color="000000" w:fill="FFFFFF"/>
            <w:noWrap/>
            <w:vAlign w:val="center"/>
            <w:hideMark/>
          </w:tcPr>
          <w:p w14:paraId="337B99B0" w14:textId="77777777" w:rsidR="00F30790" w:rsidRPr="00F30790" w:rsidRDefault="00F30790" w:rsidP="00F30790">
            <w:pPr>
              <w:jc w:val="right"/>
              <w:rPr>
                <w:rFonts w:ascii="Arial Narrow" w:hAnsi="Arial Narrow" w:cs="Arial"/>
                <w:color w:val="000000"/>
                <w:sz w:val="20"/>
                <w:szCs w:val="20"/>
              </w:rPr>
            </w:pPr>
            <w:r w:rsidRPr="00F30790">
              <w:rPr>
                <w:rFonts w:ascii="Arial Narrow" w:hAnsi="Arial Narrow" w:cs="Arial"/>
                <w:color w:val="000000"/>
                <w:sz w:val="20"/>
                <w:szCs w:val="20"/>
              </w:rPr>
              <w:t>140 621</w:t>
            </w:r>
          </w:p>
        </w:tc>
        <w:tc>
          <w:tcPr>
            <w:tcW w:w="1340" w:type="dxa"/>
            <w:tcBorders>
              <w:top w:val="nil"/>
              <w:left w:val="nil"/>
              <w:bottom w:val="single" w:sz="4" w:space="0" w:color="auto"/>
              <w:right w:val="single" w:sz="4" w:space="0" w:color="auto"/>
            </w:tcBorders>
            <w:shd w:val="clear" w:color="000000" w:fill="FFFFFF"/>
            <w:noWrap/>
            <w:vAlign w:val="center"/>
            <w:hideMark/>
          </w:tcPr>
          <w:p w14:paraId="27C3BF58" w14:textId="77777777" w:rsidR="00F30790" w:rsidRPr="00F30790" w:rsidRDefault="00F30790" w:rsidP="00F30790">
            <w:pPr>
              <w:jc w:val="right"/>
              <w:rPr>
                <w:rFonts w:ascii="Arial Narrow" w:hAnsi="Arial Narrow" w:cs="Arial"/>
                <w:sz w:val="20"/>
                <w:szCs w:val="20"/>
              </w:rPr>
            </w:pPr>
            <w:r w:rsidRPr="00F30790">
              <w:rPr>
                <w:rFonts w:ascii="Arial Narrow" w:hAnsi="Arial Narrow" w:cs="Arial"/>
                <w:sz w:val="20"/>
                <w:szCs w:val="20"/>
              </w:rPr>
              <w:t>83 973</w:t>
            </w:r>
          </w:p>
        </w:tc>
        <w:tc>
          <w:tcPr>
            <w:tcW w:w="1340" w:type="dxa"/>
            <w:tcBorders>
              <w:top w:val="nil"/>
              <w:left w:val="nil"/>
              <w:bottom w:val="single" w:sz="4" w:space="0" w:color="auto"/>
              <w:right w:val="single" w:sz="4" w:space="0" w:color="auto"/>
            </w:tcBorders>
            <w:shd w:val="clear" w:color="000000" w:fill="FFFFFF"/>
            <w:noWrap/>
            <w:vAlign w:val="center"/>
            <w:hideMark/>
          </w:tcPr>
          <w:p w14:paraId="1B90549C" w14:textId="77777777" w:rsidR="00F30790" w:rsidRPr="00F30790" w:rsidRDefault="00F30790" w:rsidP="00F30790">
            <w:pPr>
              <w:jc w:val="right"/>
              <w:rPr>
                <w:rFonts w:ascii="Arial Narrow" w:hAnsi="Arial Narrow" w:cs="Arial"/>
                <w:color w:val="000000"/>
                <w:sz w:val="20"/>
                <w:szCs w:val="20"/>
              </w:rPr>
            </w:pPr>
            <w:r w:rsidRPr="00F30790">
              <w:rPr>
                <w:rFonts w:ascii="Arial Narrow" w:hAnsi="Arial Narrow" w:cs="Arial"/>
                <w:color w:val="000000"/>
                <w:sz w:val="20"/>
                <w:szCs w:val="20"/>
              </w:rPr>
              <w:t>120 052</w:t>
            </w:r>
          </w:p>
        </w:tc>
        <w:tc>
          <w:tcPr>
            <w:tcW w:w="1310" w:type="dxa"/>
            <w:tcBorders>
              <w:top w:val="nil"/>
              <w:left w:val="nil"/>
              <w:bottom w:val="single" w:sz="4" w:space="0" w:color="auto"/>
              <w:right w:val="single" w:sz="4" w:space="0" w:color="auto"/>
            </w:tcBorders>
            <w:shd w:val="clear" w:color="000000" w:fill="FFFFFF"/>
            <w:noWrap/>
            <w:vAlign w:val="center"/>
            <w:hideMark/>
          </w:tcPr>
          <w:p w14:paraId="0B0A9CA6" w14:textId="77777777" w:rsidR="00F30790" w:rsidRPr="00F30790" w:rsidRDefault="00F30790" w:rsidP="00F30790">
            <w:pPr>
              <w:jc w:val="right"/>
              <w:rPr>
                <w:rFonts w:ascii="Arial Narrow" w:hAnsi="Arial Narrow" w:cs="Arial"/>
                <w:color w:val="000000"/>
                <w:sz w:val="20"/>
                <w:szCs w:val="20"/>
              </w:rPr>
            </w:pPr>
            <w:r w:rsidRPr="00F30790">
              <w:rPr>
                <w:rFonts w:ascii="Arial Narrow" w:hAnsi="Arial Narrow" w:cs="Arial"/>
                <w:color w:val="000000"/>
                <w:sz w:val="20"/>
                <w:szCs w:val="20"/>
              </w:rPr>
              <w:t>1,8%</w:t>
            </w:r>
          </w:p>
        </w:tc>
        <w:tc>
          <w:tcPr>
            <w:tcW w:w="1340" w:type="dxa"/>
            <w:tcBorders>
              <w:top w:val="nil"/>
              <w:left w:val="nil"/>
              <w:bottom w:val="single" w:sz="4" w:space="0" w:color="auto"/>
              <w:right w:val="single" w:sz="4" w:space="0" w:color="auto"/>
            </w:tcBorders>
            <w:shd w:val="clear" w:color="000000" w:fill="FFFFFF"/>
            <w:noWrap/>
            <w:vAlign w:val="center"/>
            <w:hideMark/>
          </w:tcPr>
          <w:p w14:paraId="312833B8" w14:textId="77777777" w:rsidR="00F30790" w:rsidRPr="00F30790" w:rsidRDefault="00F30790" w:rsidP="00F30790">
            <w:pPr>
              <w:jc w:val="right"/>
              <w:rPr>
                <w:rFonts w:ascii="Arial Narrow" w:hAnsi="Arial Narrow" w:cs="Arial"/>
                <w:color w:val="000000"/>
                <w:sz w:val="20"/>
                <w:szCs w:val="20"/>
              </w:rPr>
            </w:pPr>
            <w:r w:rsidRPr="00F30790">
              <w:rPr>
                <w:rFonts w:ascii="Arial Narrow" w:hAnsi="Arial Narrow" w:cs="Arial"/>
                <w:color w:val="000000"/>
                <w:sz w:val="20"/>
                <w:szCs w:val="20"/>
              </w:rPr>
              <w:t>36 079</w:t>
            </w:r>
          </w:p>
        </w:tc>
        <w:tc>
          <w:tcPr>
            <w:tcW w:w="1116" w:type="dxa"/>
            <w:tcBorders>
              <w:top w:val="nil"/>
              <w:left w:val="nil"/>
              <w:bottom w:val="single" w:sz="4" w:space="0" w:color="auto"/>
              <w:right w:val="single" w:sz="4" w:space="0" w:color="auto"/>
            </w:tcBorders>
            <w:shd w:val="clear" w:color="000000" w:fill="FFFFFF"/>
            <w:noWrap/>
            <w:vAlign w:val="center"/>
            <w:hideMark/>
          </w:tcPr>
          <w:p w14:paraId="6E54E226" w14:textId="77777777" w:rsidR="00F30790" w:rsidRPr="00F30790" w:rsidRDefault="00F30790" w:rsidP="00F30790">
            <w:pPr>
              <w:jc w:val="right"/>
              <w:rPr>
                <w:rFonts w:ascii="Arial Narrow" w:hAnsi="Arial Narrow" w:cs="Arial"/>
                <w:color w:val="000000"/>
                <w:sz w:val="20"/>
                <w:szCs w:val="20"/>
              </w:rPr>
            </w:pPr>
            <w:r w:rsidRPr="00F30790">
              <w:rPr>
                <w:rFonts w:ascii="Arial Narrow" w:hAnsi="Arial Narrow" w:cs="Arial"/>
                <w:color w:val="000000"/>
                <w:sz w:val="20"/>
                <w:szCs w:val="20"/>
              </w:rPr>
              <w:t>43,0%</w:t>
            </w:r>
          </w:p>
        </w:tc>
      </w:tr>
      <w:tr w:rsidR="00F30790" w:rsidRPr="00F30790" w14:paraId="6A2551E0" w14:textId="77777777" w:rsidTr="00CD44F3">
        <w:trPr>
          <w:trHeight w:val="342"/>
        </w:trPr>
        <w:tc>
          <w:tcPr>
            <w:tcW w:w="2155" w:type="dxa"/>
            <w:tcBorders>
              <w:top w:val="nil"/>
              <w:left w:val="single" w:sz="4" w:space="0" w:color="auto"/>
              <w:bottom w:val="single" w:sz="4" w:space="0" w:color="auto"/>
              <w:right w:val="single" w:sz="4" w:space="0" w:color="auto"/>
            </w:tcBorders>
            <w:shd w:val="clear" w:color="000000" w:fill="FFFFFF"/>
            <w:noWrap/>
            <w:vAlign w:val="center"/>
            <w:hideMark/>
          </w:tcPr>
          <w:p w14:paraId="1CA449DD" w14:textId="77777777" w:rsidR="00F30790" w:rsidRPr="00F30790" w:rsidRDefault="00F30790" w:rsidP="00F30790">
            <w:pPr>
              <w:ind w:firstLineChars="100" w:firstLine="200"/>
              <w:rPr>
                <w:rFonts w:ascii="Arial Narrow" w:hAnsi="Arial Narrow" w:cs="Arial"/>
                <w:sz w:val="20"/>
                <w:szCs w:val="20"/>
              </w:rPr>
            </w:pPr>
            <w:r w:rsidRPr="00F30790">
              <w:rPr>
                <w:rFonts w:ascii="Arial Narrow" w:hAnsi="Arial Narrow" w:cs="Arial"/>
                <w:sz w:val="20"/>
                <w:szCs w:val="20"/>
              </w:rPr>
              <w:t>Чехия</w:t>
            </w:r>
          </w:p>
        </w:tc>
        <w:tc>
          <w:tcPr>
            <w:tcW w:w="1340" w:type="dxa"/>
            <w:tcBorders>
              <w:top w:val="nil"/>
              <w:left w:val="nil"/>
              <w:bottom w:val="single" w:sz="4" w:space="0" w:color="auto"/>
              <w:right w:val="single" w:sz="4" w:space="0" w:color="auto"/>
            </w:tcBorders>
            <w:shd w:val="clear" w:color="000000" w:fill="FFFFFF"/>
            <w:noWrap/>
            <w:vAlign w:val="center"/>
            <w:hideMark/>
          </w:tcPr>
          <w:p w14:paraId="65B26692" w14:textId="77777777" w:rsidR="00F30790" w:rsidRPr="00F30790" w:rsidRDefault="00F30790" w:rsidP="00F30790">
            <w:pPr>
              <w:jc w:val="right"/>
              <w:rPr>
                <w:rFonts w:ascii="Arial Narrow" w:hAnsi="Arial Narrow" w:cs="Arial"/>
                <w:sz w:val="20"/>
                <w:szCs w:val="20"/>
              </w:rPr>
            </w:pPr>
            <w:r w:rsidRPr="00F30790">
              <w:rPr>
                <w:rFonts w:ascii="Arial Narrow" w:hAnsi="Arial Narrow" w:cs="Arial"/>
                <w:sz w:val="20"/>
                <w:szCs w:val="20"/>
              </w:rPr>
              <w:t>55 721</w:t>
            </w:r>
          </w:p>
        </w:tc>
        <w:tc>
          <w:tcPr>
            <w:tcW w:w="1340" w:type="dxa"/>
            <w:tcBorders>
              <w:top w:val="nil"/>
              <w:left w:val="nil"/>
              <w:bottom w:val="single" w:sz="4" w:space="0" w:color="auto"/>
              <w:right w:val="single" w:sz="4" w:space="0" w:color="auto"/>
            </w:tcBorders>
            <w:shd w:val="clear" w:color="000000" w:fill="FFFFFF"/>
            <w:noWrap/>
            <w:vAlign w:val="center"/>
            <w:hideMark/>
          </w:tcPr>
          <w:p w14:paraId="0815CD3A" w14:textId="77777777" w:rsidR="00F30790" w:rsidRPr="00F30790" w:rsidRDefault="00F30790" w:rsidP="00F30790">
            <w:pPr>
              <w:jc w:val="right"/>
              <w:rPr>
                <w:rFonts w:ascii="Arial Narrow" w:hAnsi="Arial Narrow" w:cs="Arial"/>
                <w:sz w:val="20"/>
                <w:szCs w:val="20"/>
              </w:rPr>
            </w:pPr>
            <w:r w:rsidRPr="00F30790">
              <w:rPr>
                <w:rFonts w:ascii="Arial Narrow" w:hAnsi="Arial Narrow" w:cs="Arial"/>
                <w:sz w:val="20"/>
                <w:szCs w:val="20"/>
              </w:rPr>
              <w:t>73 599</w:t>
            </w:r>
          </w:p>
        </w:tc>
        <w:tc>
          <w:tcPr>
            <w:tcW w:w="1340" w:type="dxa"/>
            <w:tcBorders>
              <w:top w:val="nil"/>
              <w:left w:val="nil"/>
              <w:bottom w:val="single" w:sz="4" w:space="0" w:color="auto"/>
              <w:right w:val="single" w:sz="4" w:space="0" w:color="auto"/>
            </w:tcBorders>
            <w:shd w:val="clear" w:color="000000" w:fill="FFFFFF"/>
            <w:noWrap/>
            <w:vAlign w:val="center"/>
            <w:hideMark/>
          </w:tcPr>
          <w:p w14:paraId="476EE9E9" w14:textId="77777777" w:rsidR="00F30790" w:rsidRPr="00F30790" w:rsidRDefault="00F30790" w:rsidP="00F30790">
            <w:pPr>
              <w:jc w:val="right"/>
              <w:rPr>
                <w:rFonts w:ascii="Arial Narrow" w:hAnsi="Arial Narrow" w:cs="Arial"/>
                <w:sz w:val="20"/>
                <w:szCs w:val="20"/>
              </w:rPr>
            </w:pPr>
            <w:r w:rsidRPr="00F30790">
              <w:rPr>
                <w:rFonts w:ascii="Arial Narrow" w:hAnsi="Arial Narrow" w:cs="Arial"/>
                <w:sz w:val="20"/>
                <w:szCs w:val="20"/>
              </w:rPr>
              <w:t>73 721</w:t>
            </w:r>
          </w:p>
        </w:tc>
        <w:tc>
          <w:tcPr>
            <w:tcW w:w="1310" w:type="dxa"/>
            <w:tcBorders>
              <w:top w:val="nil"/>
              <w:left w:val="nil"/>
              <w:bottom w:val="single" w:sz="4" w:space="0" w:color="auto"/>
              <w:right w:val="single" w:sz="4" w:space="0" w:color="auto"/>
            </w:tcBorders>
            <w:shd w:val="clear" w:color="000000" w:fill="FFFFFF"/>
            <w:noWrap/>
            <w:vAlign w:val="center"/>
            <w:hideMark/>
          </w:tcPr>
          <w:p w14:paraId="05106032" w14:textId="77777777" w:rsidR="00F30790" w:rsidRPr="00F30790" w:rsidRDefault="00F30790" w:rsidP="00F30790">
            <w:pPr>
              <w:jc w:val="right"/>
              <w:rPr>
                <w:rFonts w:ascii="Arial Narrow" w:hAnsi="Arial Narrow" w:cs="Arial"/>
                <w:sz w:val="20"/>
                <w:szCs w:val="20"/>
              </w:rPr>
            </w:pPr>
            <w:r w:rsidRPr="00F30790">
              <w:rPr>
                <w:rFonts w:ascii="Arial Narrow" w:hAnsi="Arial Narrow" w:cs="Arial"/>
                <w:sz w:val="20"/>
                <w:szCs w:val="20"/>
              </w:rPr>
              <w:t>1,1%</w:t>
            </w:r>
          </w:p>
        </w:tc>
        <w:tc>
          <w:tcPr>
            <w:tcW w:w="1340" w:type="dxa"/>
            <w:tcBorders>
              <w:top w:val="nil"/>
              <w:left w:val="nil"/>
              <w:bottom w:val="single" w:sz="4" w:space="0" w:color="auto"/>
              <w:right w:val="single" w:sz="4" w:space="0" w:color="auto"/>
            </w:tcBorders>
            <w:shd w:val="clear" w:color="000000" w:fill="FFFFFF"/>
            <w:noWrap/>
            <w:vAlign w:val="center"/>
            <w:hideMark/>
          </w:tcPr>
          <w:p w14:paraId="60471BC1" w14:textId="77777777" w:rsidR="00F30790" w:rsidRPr="00F30790" w:rsidRDefault="00F30790" w:rsidP="00F30790">
            <w:pPr>
              <w:jc w:val="right"/>
              <w:rPr>
                <w:rFonts w:ascii="Arial Narrow" w:hAnsi="Arial Narrow" w:cs="Arial"/>
                <w:sz w:val="20"/>
                <w:szCs w:val="20"/>
              </w:rPr>
            </w:pPr>
            <w:r w:rsidRPr="00F30790">
              <w:rPr>
                <w:rFonts w:ascii="Arial Narrow" w:hAnsi="Arial Narrow" w:cs="Arial"/>
                <w:sz w:val="20"/>
                <w:szCs w:val="20"/>
              </w:rPr>
              <w:t>122</w:t>
            </w:r>
          </w:p>
        </w:tc>
        <w:tc>
          <w:tcPr>
            <w:tcW w:w="1116" w:type="dxa"/>
            <w:tcBorders>
              <w:top w:val="nil"/>
              <w:left w:val="nil"/>
              <w:bottom w:val="single" w:sz="4" w:space="0" w:color="auto"/>
              <w:right w:val="single" w:sz="4" w:space="0" w:color="auto"/>
            </w:tcBorders>
            <w:shd w:val="clear" w:color="000000" w:fill="FFFFFF"/>
            <w:noWrap/>
            <w:vAlign w:val="center"/>
            <w:hideMark/>
          </w:tcPr>
          <w:p w14:paraId="2300A0CB" w14:textId="77777777" w:rsidR="00F30790" w:rsidRPr="00F30790" w:rsidRDefault="00F30790" w:rsidP="00F30790">
            <w:pPr>
              <w:jc w:val="right"/>
              <w:rPr>
                <w:rFonts w:ascii="Arial Narrow" w:hAnsi="Arial Narrow" w:cs="Arial"/>
                <w:sz w:val="20"/>
                <w:szCs w:val="20"/>
              </w:rPr>
            </w:pPr>
            <w:r w:rsidRPr="00F30790">
              <w:rPr>
                <w:rFonts w:ascii="Arial Narrow" w:hAnsi="Arial Narrow" w:cs="Arial"/>
                <w:sz w:val="20"/>
                <w:szCs w:val="20"/>
              </w:rPr>
              <w:t>0,2%</w:t>
            </w:r>
          </w:p>
        </w:tc>
      </w:tr>
      <w:tr w:rsidR="00F30790" w:rsidRPr="00F30790" w14:paraId="30FC22EF" w14:textId="77777777" w:rsidTr="00CD44F3">
        <w:trPr>
          <w:trHeight w:val="342"/>
        </w:trPr>
        <w:tc>
          <w:tcPr>
            <w:tcW w:w="2155" w:type="dxa"/>
            <w:tcBorders>
              <w:top w:val="nil"/>
              <w:left w:val="single" w:sz="4" w:space="0" w:color="auto"/>
              <w:bottom w:val="single" w:sz="4" w:space="0" w:color="auto"/>
              <w:right w:val="single" w:sz="4" w:space="0" w:color="auto"/>
            </w:tcBorders>
            <w:shd w:val="clear" w:color="000000" w:fill="FFFFFF"/>
            <w:noWrap/>
            <w:vAlign w:val="center"/>
            <w:hideMark/>
          </w:tcPr>
          <w:p w14:paraId="34C2FF2E" w14:textId="77777777" w:rsidR="00F30790" w:rsidRPr="00F30790" w:rsidRDefault="00F30790" w:rsidP="00F30790">
            <w:pPr>
              <w:ind w:firstLineChars="100" w:firstLine="200"/>
              <w:rPr>
                <w:rFonts w:ascii="Arial Narrow" w:hAnsi="Arial Narrow" w:cs="Arial"/>
                <w:sz w:val="20"/>
                <w:szCs w:val="20"/>
              </w:rPr>
            </w:pPr>
            <w:r w:rsidRPr="00F30790">
              <w:rPr>
                <w:rFonts w:ascii="Arial Narrow" w:hAnsi="Arial Narrow" w:cs="Arial"/>
                <w:sz w:val="20"/>
                <w:szCs w:val="20"/>
              </w:rPr>
              <w:t>Унгария</w:t>
            </w:r>
          </w:p>
        </w:tc>
        <w:tc>
          <w:tcPr>
            <w:tcW w:w="1340" w:type="dxa"/>
            <w:tcBorders>
              <w:top w:val="nil"/>
              <w:left w:val="nil"/>
              <w:bottom w:val="single" w:sz="4" w:space="0" w:color="auto"/>
              <w:right w:val="single" w:sz="4" w:space="0" w:color="auto"/>
            </w:tcBorders>
            <w:shd w:val="clear" w:color="000000" w:fill="FFFFFF"/>
            <w:noWrap/>
            <w:vAlign w:val="center"/>
            <w:hideMark/>
          </w:tcPr>
          <w:p w14:paraId="37C44467" w14:textId="77777777" w:rsidR="00F30790" w:rsidRPr="00F30790" w:rsidRDefault="00F30790" w:rsidP="00F30790">
            <w:pPr>
              <w:jc w:val="right"/>
              <w:rPr>
                <w:rFonts w:ascii="Arial Narrow" w:hAnsi="Arial Narrow" w:cs="Arial"/>
                <w:sz w:val="20"/>
                <w:szCs w:val="20"/>
              </w:rPr>
            </w:pPr>
            <w:r w:rsidRPr="00F30790">
              <w:rPr>
                <w:rFonts w:ascii="Arial Narrow" w:hAnsi="Arial Narrow" w:cs="Arial"/>
                <w:sz w:val="20"/>
                <w:szCs w:val="20"/>
              </w:rPr>
              <w:t>84 052</w:t>
            </w:r>
          </w:p>
        </w:tc>
        <w:tc>
          <w:tcPr>
            <w:tcW w:w="1340" w:type="dxa"/>
            <w:tcBorders>
              <w:top w:val="nil"/>
              <w:left w:val="nil"/>
              <w:bottom w:val="single" w:sz="4" w:space="0" w:color="auto"/>
              <w:right w:val="single" w:sz="4" w:space="0" w:color="auto"/>
            </w:tcBorders>
            <w:shd w:val="clear" w:color="000000" w:fill="FFFFFF"/>
            <w:noWrap/>
            <w:vAlign w:val="center"/>
            <w:hideMark/>
          </w:tcPr>
          <w:p w14:paraId="7F810233" w14:textId="77777777" w:rsidR="00F30790" w:rsidRPr="00F30790" w:rsidRDefault="00F30790" w:rsidP="00F30790">
            <w:pPr>
              <w:jc w:val="right"/>
              <w:rPr>
                <w:rFonts w:ascii="Arial Narrow" w:hAnsi="Arial Narrow" w:cs="Arial"/>
                <w:sz w:val="20"/>
                <w:szCs w:val="20"/>
              </w:rPr>
            </w:pPr>
            <w:r w:rsidRPr="00F30790">
              <w:rPr>
                <w:rFonts w:ascii="Arial Narrow" w:hAnsi="Arial Narrow" w:cs="Arial"/>
                <w:sz w:val="20"/>
                <w:szCs w:val="20"/>
              </w:rPr>
              <w:t>69 996</w:t>
            </w:r>
          </w:p>
        </w:tc>
        <w:tc>
          <w:tcPr>
            <w:tcW w:w="1340" w:type="dxa"/>
            <w:tcBorders>
              <w:top w:val="nil"/>
              <w:left w:val="nil"/>
              <w:bottom w:val="single" w:sz="4" w:space="0" w:color="auto"/>
              <w:right w:val="single" w:sz="4" w:space="0" w:color="auto"/>
            </w:tcBorders>
            <w:shd w:val="clear" w:color="000000" w:fill="FFFFFF"/>
            <w:noWrap/>
            <w:vAlign w:val="center"/>
            <w:hideMark/>
          </w:tcPr>
          <w:p w14:paraId="133E561E" w14:textId="77777777" w:rsidR="00F30790" w:rsidRPr="00F30790" w:rsidRDefault="00F30790" w:rsidP="00F30790">
            <w:pPr>
              <w:jc w:val="right"/>
              <w:rPr>
                <w:rFonts w:ascii="Arial Narrow" w:hAnsi="Arial Narrow" w:cs="Arial"/>
                <w:sz w:val="20"/>
                <w:szCs w:val="20"/>
              </w:rPr>
            </w:pPr>
            <w:r w:rsidRPr="00F30790">
              <w:rPr>
                <w:rFonts w:ascii="Arial Narrow" w:hAnsi="Arial Narrow" w:cs="Arial"/>
                <w:sz w:val="20"/>
                <w:szCs w:val="20"/>
              </w:rPr>
              <w:t>73 580</w:t>
            </w:r>
          </w:p>
        </w:tc>
        <w:tc>
          <w:tcPr>
            <w:tcW w:w="1310" w:type="dxa"/>
            <w:tcBorders>
              <w:top w:val="nil"/>
              <w:left w:val="nil"/>
              <w:bottom w:val="single" w:sz="4" w:space="0" w:color="auto"/>
              <w:right w:val="single" w:sz="4" w:space="0" w:color="auto"/>
            </w:tcBorders>
            <w:shd w:val="clear" w:color="000000" w:fill="FFFFFF"/>
            <w:noWrap/>
            <w:vAlign w:val="center"/>
            <w:hideMark/>
          </w:tcPr>
          <w:p w14:paraId="597A6C7A" w14:textId="77777777" w:rsidR="00F30790" w:rsidRPr="00F30790" w:rsidRDefault="00F30790" w:rsidP="00F30790">
            <w:pPr>
              <w:jc w:val="right"/>
              <w:rPr>
                <w:rFonts w:ascii="Arial Narrow" w:hAnsi="Arial Narrow" w:cs="Arial"/>
                <w:sz w:val="20"/>
                <w:szCs w:val="20"/>
              </w:rPr>
            </w:pPr>
            <w:r w:rsidRPr="00F30790">
              <w:rPr>
                <w:rFonts w:ascii="Arial Narrow" w:hAnsi="Arial Narrow" w:cs="Arial"/>
                <w:sz w:val="20"/>
                <w:szCs w:val="20"/>
              </w:rPr>
              <w:t>1,1%</w:t>
            </w:r>
          </w:p>
        </w:tc>
        <w:tc>
          <w:tcPr>
            <w:tcW w:w="1340" w:type="dxa"/>
            <w:tcBorders>
              <w:top w:val="nil"/>
              <w:left w:val="nil"/>
              <w:bottom w:val="single" w:sz="4" w:space="0" w:color="auto"/>
              <w:right w:val="single" w:sz="4" w:space="0" w:color="auto"/>
            </w:tcBorders>
            <w:shd w:val="clear" w:color="000000" w:fill="FFFFFF"/>
            <w:noWrap/>
            <w:vAlign w:val="center"/>
            <w:hideMark/>
          </w:tcPr>
          <w:p w14:paraId="48A06B46" w14:textId="77777777" w:rsidR="00F30790" w:rsidRPr="00F30790" w:rsidRDefault="00F30790" w:rsidP="00F30790">
            <w:pPr>
              <w:jc w:val="right"/>
              <w:rPr>
                <w:rFonts w:ascii="Arial Narrow" w:hAnsi="Arial Narrow" w:cs="Arial"/>
                <w:sz w:val="20"/>
                <w:szCs w:val="20"/>
              </w:rPr>
            </w:pPr>
            <w:r w:rsidRPr="00F30790">
              <w:rPr>
                <w:rFonts w:ascii="Arial Narrow" w:hAnsi="Arial Narrow" w:cs="Arial"/>
                <w:sz w:val="20"/>
                <w:szCs w:val="20"/>
              </w:rPr>
              <w:t>3 584</w:t>
            </w:r>
          </w:p>
        </w:tc>
        <w:tc>
          <w:tcPr>
            <w:tcW w:w="1116" w:type="dxa"/>
            <w:tcBorders>
              <w:top w:val="nil"/>
              <w:left w:val="nil"/>
              <w:bottom w:val="single" w:sz="4" w:space="0" w:color="auto"/>
              <w:right w:val="single" w:sz="4" w:space="0" w:color="auto"/>
            </w:tcBorders>
            <w:shd w:val="clear" w:color="000000" w:fill="FFFFFF"/>
            <w:noWrap/>
            <w:vAlign w:val="center"/>
            <w:hideMark/>
          </w:tcPr>
          <w:p w14:paraId="4D4025EF" w14:textId="77777777" w:rsidR="00F30790" w:rsidRPr="00F30790" w:rsidRDefault="00F30790" w:rsidP="00F30790">
            <w:pPr>
              <w:jc w:val="right"/>
              <w:rPr>
                <w:rFonts w:ascii="Arial Narrow" w:hAnsi="Arial Narrow" w:cs="Arial"/>
                <w:sz w:val="20"/>
                <w:szCs w:val="20"/>
              </w:rPr>
            </w:pPr>
            <w:r w:rsidRPr="00F30790">
              <w:rPr>
                <w:rFonts w:ascii="Arial Narrow" w:hAnsi="Arial Narrow" w:cs="Arial"/>
                <w:sz w:val="20"/>
                <w:szCs w:val="20"/>
              </w:rPr>
              <w:t>5,1%</w:t>
            </w:r>
          </w:p>
        </w:tc>
      </w:tr>
      <w:tr w:rsidR="00F30790" w:rsidRPr="00F30790" w14:paraId="633CACBA" w14:textId="77777777" w:rsidTr="00CD44F3">
        <w:trPr>
          <w:trHeight w:val="342"/>
        </w:trPr>
        <w:tc>
          <w:tcPr>
            <w:tcW w:w="2155" w:type="dxa"/>
            <w:tcBorders>
              <w:top w:val="nil"/>
              <w:left w:val="single" w:sz="4" w:space="0" w:color="auto"/>
              <w:bottom w:val="single" w:sz="4" w:space="0" w:color="auto"/>
              <w:right w:val="single" w:sz="4" w:space="0" w:color="auto"/>
            </w:tcBorders>
            <w:shd w:val="clear" w:color="000000" w:fill="FFFFFF"/>
            <w:noWrap/>
            <w:vAlign w:val="center"/>
            <w:hideMark/>
          </w:tcPr>
          <w:p w14:paraId="53D4EDE2" w14:textId="77777777" w:rsidR="00F30790" w:rsidRPr="00F30790" w:rsidRDefault="00F30790" w:rsidP="00F30790">
            <w:pPr>
              <w:ind w:firstLineChars="100" w:firstLine="200"/>
              <w:rPr>
                <w:rFonts w:ascii="Arial Narrow" w:hAnsi="Arial Narrow" w:cs="Arial"/>
                <w:sz w:val="20"/>
                <w:szCs w:val="20"/>
              </w:rPr>
            </w:pPr>
            <w:r w:rsidRPr="00F30790">
              <w:rPr>
                <w:rFonts w:ascii="Arial Narrow" w:hAnsi="Arial Narrow" w:cs="Arial"/>
                <w:sz w:val="20"/>
                <w:szCs w:val="20"/>
              </w:rPr>
              <w:t>Други</w:t>
            </w:r>
          </w:p>
        </w:tc>
        <w:tc>
          <w:tcPr>
            <w:tcW w:w="1340" w:type="dxa"/>
            <w:tcBorders>
              <w:top w:val="nil"/>
              <w:left w:val="nil"/>
              <w:bottom w:val="single" w:sz="4" w:space="0" w:color="auto"/>
              <w:right w:val="single" w:sz="4" w:space="0" w:color="auto"/>
            </w:tcBorders>
            <w:shd w:val="clear" w:color="000000" w:fill="FFFFFF"/>
            <w:noWrap/>
            <w:vAlign w:val="center"/>
            <w:hideMark/>
          </w:tcPr>
          <w:p w14:paraId="2AB6E6BF" w14:textId="77777777" w:rsidR="00F30790" w:rsidRPr="00F30790" w:rsidRDefault="00F30790" w:rsidP="00F30790">
            <w:pPr>
              <w:jc w:val="right"/>
              <w:rPr>
                <w:rFonts w:ascii="Arial Narrow" w:hAnsi="Arial Narrow" w:cs="Arial"/>
                <w:sz w:val="20"/>
                <w:szCs w:val="20"/>
              </w:rPr>
            </w:pPr>
            <w:r w:rsidRPr="00F30790">
              <w:rPr>
                <w:rFonts w:ascii="Arial Narrow" w:hAnsi="Arial Narrow" w:cs="Arial"/>
                <w:sz w:val="20"/>
                <w:szCs w:val="20"/>
              </w:rPr>
              <w:t>430 931</w:t>
            </w:r>
          </w:p>
        </w:tc>
        <w:tc>
          <w:tcPr>
            <w:tcW w:w="1340" w:type="dxa"/>
            <w:tcBorders>
              <w:top w:val="nil"/>
              <w:left w:val="nil"/>
              <w:bottom w:val="single" w:sz="4" w:space="0" w:color="auto"/>
              <w:right w:val="single" w:sz="4" w:space="0" w:color="auto"/>
            </w:tcBorders>
            <w:shd w:val="clear" w:color="000000" w:fill="FFFFFF"/>
            <w:noWrap/>
            <w:vAlign w:val="center"/>
            <w:hideMark/>
          </w:tcPr>
          <w:p w14:paraId="45BEF997" w14:textId="77777777" w:rsidR="00F30790" w:rsidRPr="00F30790" w:rsidRDefault="00F30790" w:rsidP="00F30790">
            <w:pPr>
              <w:jc w:val="right"/>
              <w:rPr>
                <w:rFonts w:ascii="Arial Narrow" w:hAnsi="Arial Narrow" w:cs="Arial"/>
                <w:sz w:val="20"/>
                <w:szCs w:val="20"/>
              </w:rPr>
            </w:pPr>
            <w:r w:rsidRPr="00F30790">
              <w:rPr>
                <w:rFonts w:ascii="Arial Narrow" w:hAnsi="Arial Narrow" w:cs="Arial"/>
                <w:sz w:val="20"/>
                <w:szCs w:val="20"/>
              </w:rPr>
              <w:t>396 424</w:t>
            </w:r>
          </w:p>
        </w:tc>
        <w:tc>
          <w:tcPr>
            <w:tcW w:w="1340" w:type="dxa"/>
            <w:tcBorders>
              <w:top w:val="nil"/>
              <w:left w:val="nil"/>
              <w:bottom w:val="single" w:sz="4" w:space="0" w:color="auto"/>
              <w:right w:val="single" w:sz="4" w:space="0" w:color="auto"/>
            </w:tcBorders>
            <w:shd w:val="clear" w:color="000000" w:fill="FFFFFF"/>
            <w:noWrap/>
            <w:vAlign w:val="center"/>
            <w:hideMark/>
          </w:tcPr>
          <w:p w14:paraId="4A79E547" w14:textId="77777777" w:rsidR="00F30790" w:rsidRPr="00F30790" w:rsidRDefault="00F30790" w:rsidP="00F30790">
            <w:pPr>
              <w:jc w:val="right"/>
              <w:rPr>
                <w:rFonts w:ascii="Arial Narrow" w:hAnsi="Arial Narrow" w:cs="Arial"/>
                <w:sz w:val="20"/>
                <w:szCs w:val="20"/>
              </w:rPr>
            </w:pPr>
            <w:r w:rsidRPr="00F30790">
              <w:rPr>
                <w:rFonts w:ascii="Arial Narrow" w:hAnsi="Arial Narrow" w:cs="Arial"/>
                <w:sz w:val="20"/>
                <w:szCs w:val="20"/>
              </w:rPr>
              <w:t>338 846</w:t>
            </w:r>
          </w:p>
        </w:tc>
        <w:tc>
          <w:tcPr>
            <w:tcW w:w="1310" w:type="dxa"/>
            <w:tcBorders>
              <w:top w:val="nil"/>
              <w:left w:val="nil"/>
              <w:bottom w:val="single" w:sz="4" w:space="0" w:color="auto"/>
              <w:right w:val="single" w:sz="4" w:space="0" w:color="auto"/>
            </w:tcBorders>
            <w:shd w:val="clear" w:color="000000" w:fill="FFFFFF"/>
            <w:noWrap/>
            <w:vAlign w:val="center"/>
            <w:hideMark/>
          </w:tcPr>
          <w:p w14:paraId="415DC350" w14:textId="77777777" w:rsidR="00F30790" w:rsidRPr="00F30790" w:rsidRDefault="00F30790" w:rsidP="00F30790">
            <w:pPr>
              <w:jc w:val="right"/>
              <w:rPr>
                <w:rFonts w:ascii="Arial Narrow" w:hAnsi="Arial Narrow" w:cs="Arial"/>
                <w:sz w:val="20"/>
                <w:szCs w:val="20"/>
              </w:rPr>
            </w:pPr>
            <w:r w:rsidRPr="00F30790">
              <w:rPr>
                <w:rFonts w:ascii="Arial Narrow" w:hAnsi="Arial Narrow" w:cs="Arial"/>
                <w:sz w:val="20"/>
                <w:szCs w:val="20"/>
              </w:rPr>
              <w:t>5,0%</w:t>
            </w:r>
          </w:p>
        </w:tc>
        <w:tc>
          <w:tcPr>
            <w:tcW w:w="1340" w:type="dxa"/>
            <w:tcBorders>
              <w:top w:val="nil"/>
              <w:left w:val="nil"/>
              <w:bottom w:val="single" w:sz="4" w:space="0" w:color="auto"/>
              <w:right w:val="single" w:sz="4" w:space="0" w:color="auto"/>
            </w:tcBorders>
            <w:shd w:val="clear" w:color="000000" w:fill="FFFFFF"/>
            <w:noWrap/>
            <w:vAlign w:val="center"/>
            <w:hideMark/>
          </w:tcPr>
          <w:p w14:paraId="451AAAD4" w14:textId="77777777" w:rsidR="00F30790" w:rsidRPr="00F30790" w:rsidRDefault="00F30790" w:rsidP="00F30790">
            <w:pPr>
              <w:jc w:val="right"/>
              <w:rPr>
                <w:rFonts w:ascii="Arial Narrow" w:hAnsi="Arial Narrow" w:cs="Arial"/>
                <w:sz w:val="20"/>
                <w:szCs w:val="20"/>
              </w:rPr>
            </w:pPr>
            <w:r w:rsidRPr="00F30790">
              <w:rPr>
                <w:rFonts w:ascii="Arial Narrow" w:hAnsi="Arial Narrow" w:cs="Arial"/>
                <w:sz w:val="20"/>
                <w:szCs w:val="20"/>
              </w:rPr>
              <w:t>-57 578</w:t>
            </w:r>
          </w:p>
        </w:tc>
        <w:tc>
          <w:tcPr>
            <w:tcW w:w="1116" w:type="dxa"/>
            <w:tcBorders>
              <w:top w:val="nil"/>
              <w:left w:val="nil"/>
              <w:bottom w:val="single" w:sz="4" w:space="0" w:color="auto"/>
              <w:right w:val="single" w:sz="4" w:space="0" w:color="auto"/>
            </w:tcBorders>
            <w:shd w:val="clear" w:color="000000" w:fill="FFFFFF"/>
            <w:noWrap/>
            <w:vAlign w:val="center"/>
            <w:hideMark/>
          </w:tcPr>
          <w:p w14:paraId="2B186DE5" w14:textId="77777777" w:rsidR="00F30790" w:rsidRPr="00F30790" w:rsidRDefault="00F30790" w:rsidP="00F30790">
            <w:pPr>
              <w:jc w:val="right"/>
              <w:rPr>
                <w:rFonts w:ascii="Arial Narrow" w:hAnsi="Arial Narrow" w:cs="Arial"/>
                <w:sz w:val="20"/>
                <w:szCs w:val="20"/>
              </w:rPr>
            </w:pPr>
            <w:r w:rsidRPr="00F30790">
              <w:rPr>
                <w:rFonts w:ascii="Arial Narrow" w:hAnsi="Arial Narrow" w:cs="Arial"/>
                <w:sz w:val="20"/>
                <w:szCs w:val="20"/>
              </w:rPr>
              <w:t>-14,5%</w:t>
            </w:r>
          </w:p>
        </w:tc>
      </w:tr>
      <w:tr w:rsidR="00F30790" w:rsidRPr="00F30790" w14:paraId="2295A268" w14:textId="77777777" w:rsidTr="00CD44F3">
        <w:trPr>
          <w:trHeight w:val="342"/>
        </w:trPr>
        <w:tc>
          <w:tcPr>
            <w:tcW w:w="2155" w:type="dxa"/>
            <w:tcBorders>
              <w:top w:val="nil"/>
              <w:left w:val="single" w:sz="4" w:space="0" w:color="auto"/>
              <w:bottom w:val="single" w:sz="4" w:space="0" w:color="auto"/>
              <w:right w:val="single" w:sz="4" w:space="0" w:color="auto"/>
            </w:tcBorders>
            <w:shd w:val="clear" w:color="000000" w:fill="FFFFFF"/>
            <w:vAlign w:val="center"/>
            <w:hideMark/>
          </w:tcPr>
          <w:p w14:paraId="29BB40CD" w14:textId="77777777" w:rsidR="00F30790" w:rsidRPr="00F30790" w:rsidRDefault="00F30790" w:rsidP="00F30790">
            <w:pPr>
              <w:rPr>
                <w:rFonts w:ascii="Arial Narrow" w:hAnsi="Arial Narrow" w:cs="Arial"/>
                <w:b/>
                <w:bCs/>
                <w:sz w:val="20"/>
                <w:szCs w:val="20"/>
              </w:rPr>
            </w:pPr>
            <w:r w:rsidRPr="00F30790">
              <w:rPr>
                <w:rFonts w:ascii="Arial Narrow" w:hAnsi="Arial Narrow" w:cs="Arial"/>
                <w:b/>
                <w:bCs/>
                <w:sz w:val="20"/>
                <w:szCs w:val="20"/>
              </w:rPr>
              <w:t>Трети страни общо</w:t>
            </w:r>
          </w:p>
        </w:tc>
        <w:tc>
          <w:tcPr>
            <w:tcW w:w="1340" w:type="dxa"/>
            <w:tcBorders>
              <w:top w:val="nil"/>
              <w:left w:val="nil"/>
              <w:bottom w:val="single" w:sz="4" w:space="0" w:color="auto"/>
              <w:right w:val="single" w:sz="4" w:space="0" w:color="auto"/>
            </w:tcBorders>
            <w:shd w:val="clear" w:color="000000" w:fill="FFFFFF"/>
            <w:vAlign w:val="center"/>
            <w:hideMark/>
          </w:tcPr>
          <w:p w14:paraId="0FB1BB2A" w14:textId="77777777" w:rsidR="00F30790" w:rsidRPr="00F30790" w:rsidRDefault="00F30790" w:rsidP="00F30790">
            <w:pPr>
              <w:jc w:val="right"/>
              <w:rPr>
                <w:rFonts w:ascii="Arial Narrow" w:hAnsi="Arial Narrow" w:cs="Arial"/>
                <w:b/>
                <w:bCs/>
                <w:sz w:val="20"/>
                <w:szCs w:val="20"/>
              </w:rPr>
            </w:pPr>
            <w:r w:rsidRPr="00F30790">
              <w:rPr>
                <w:rFonts w:ascii="Arial Narrow" w:hAnsi="Arial Narrow" w:cs="Arial"/>
                <w:b/>
                <w:bCs/>
                <w:sz w:val="20"/>
                <w:szCs w:val="20"/>
              </w:rPr>
              <w:t>3 316 519</w:t>
            </w:r>
          </w:p>
        </w:tc>
        <w:tc>
          <w:tcPr>
            <w:tcW w:w="1340" w:type="dxa"/>
            <w:tcBorders>
              <w:top w:val="nil"/>
              <w:left w:val="nil"/>
              <w:bottom w:val="single" w:sz="4" w:space="0" w:color="auto"/>
              <w:right w:val="single" w:sz="4" w:space="0" w:color="auto"/>
            </w:tcBorders>
            <w:shd w:val="clear" w:color="000000" w:fill="FFFFFF"/>
            <w:vAlign w:val="center"/>
            <w:hideMark/>
          </w:tcPr>
          <w:p w14:paraId="3065E0B3" w14:textId="77777777" w:rsidR="00F30790" w:rsidRPr="00F30790" w:rsidRDefault="00F30790" w:rsidP="00F30790">
            <w:pPr>
              <w:jc w:val="right"/>
              <w:rPr>
                <w:rFonts w:ascii="Arial Narrow" w:hAnsi="Arial Narrow" w:cs="Arial"/>
                <w:b/>
                <w:bCs/>
                <w:sz w:val="20"/>
                <w:szCs w:val="20"/>
              </w:rPr>
            </w:pPr>
            <w:r w:rsidRPr="00F30790">
              <w:rPr>
                <w:rFonts w:ascii="Arial Narrow" w:hAnsi="Arial Narrow" w:cs="Arial"/>
                <w:b/>
                <w:bCs/>
                <w:sz w:val="20"/>
                <w:szCs w:val="20"/>
              </w:rPr>
              <w:t>3 761 227</w:t>
            </w:r>
          </w:p>
        </w:tc>
        <w:tc>
          <w:tcPr>
            <w:tcW w:w="1340" w:type="dxa"/>
            <w:tcBorders>
              <w:top w:val="nil"/>
              <w:left w:val="nil"/>
              <w:bottom w:val="single" w:sz="4" w:space="0" w:color="auto"/>
              <w:right w:val="single" w:sz="4" w:space="0" w:color="auto"/>
            </w:tcBorders>
            <w:shd w:val="clear" w:color="000000" w:fill="FFFFFF"/>
            <w:vAlign w:val="center"/>
            <w:hideMark/>
          </w:tcPr>
          <w:p w14:paraId="4F69ED79" w14:textId="77777777" w:rsidR="00F30790" w:rsidRPr="00F30790" w:rsidRDefault="00F30790" w:rsidP="00F30790">
            <w:pPr>
              <w:jc w:val="right"/>
              <w:rPr>
                <w:rFonts w:ascii="Arial Narrow" w:hAnsi="Arial Narrow" w:cs="Arial"/>
                <w:b/>
                <w:bCs/>
                <w:sz w:val="20"/>
                <w:szCs w:val="20"/>
              </w:rPr>
            </w:pPr>
            <w:r w:rsidRPr="00F30790">
              <w:rPr>
                <w:rFonts w:ascii="Arial Narrow" w:hAnsi="Arial Narrow" w:cs="Arial"/>
                <w:b/>
                <w:bCs/>
                <w:sz w:val="20"/>
                <w:szCs w:val="20"/>
              </w:rPr>
              <w:t>3 112 614</w:t>
            </w:r>
          </w:p>
        </w:tc>
        <w:tc>
          <w:tcPr>
            <w:tcW w:w="1310" w:type="dxa"/>
            <w:tcBorders>
              <w:top w:val="nil"/>
              <w:left w:val="nil"/>
              <w:bottom w:val="single" w:sz="4" w:space="0" w:color="auto"/>
              <w:right w:val="single" w:sz="4" w:space="0" w:color="auto"/>
            </w:tcBorders>
            <w:shd w:val="clear" w:color="000000" w:fill="FFFFFF"/>
            <w:noWrap/>
            <w:vAlign w:val="center"/>
            <w:hideMark/>
          </w:tcPr>
          <w:p w14:paraId="2DC80882" w14:textId="77777777" w:rsidR="00F30790" w:rsidRPr="00F30790" w:rsidRDefault="00F30790" w:rsidP="00F30790">
            <w:pPr>
              <w:jc w:val="right"/>
              <w:rPr>
                <w:rFonts w:ascii="Arial Narrow" w:hAnsi="Arial Narrow" w:cs="Arial"/>
                <w:b/>
                <w:bCs/>
                <w:sz w:val="20"/>
                <w:szCs w:val="20"/>
              </w:rPr>
            </w:pPr>
            <w:r w:rsidRPr="00F30790">
              <w:rPr>
                <w:rFonts w:ascii="Arial Narrow" w:hAnsi="Arial Narrow" w:cs="Arial"/>
                <w:b/>
                <w:bCs/>
                <w:sz w:val="20"/>
                <w:szCs w:val="20"/>
              </w:rPr>
              <w:t>46,2%</w:t>
            </w:r>
          </w:p>
        </w:tc>
        <w:tc>
          <w:tcPr>
            <w:tcW w:w="1340" w:type="dxa"/>
            <w:tcBorders>
              <w:top w:val="nil"/>
              <w:left w:val="nil"/>
              <w:bottom w:val="single" w:sz="4" w:space="0" w:color="auto"/>
              <w:right w:val="single" w:sz="4" w:space="0" w:color="auto"/>
            </w:tcBorders>
            <w:shd w:val="clear" w:color="000000" w:fill="FFFFFF"/>
            <w:noWrap/>
            <w:vAlign w:val="center"/>
            <w:hideMark/>
          </w:tcPr>
          <w:p w14:paraId="6DFB3CFD" w14:textId="77777777" w:rsidR="00F30790" w:rsidRPr="00F30790" w:rsidRDefault="00F30790" w:rsidP="00F30790">
            <w:pPr>
              <w:jc w:val="right"/>
              <w:rPr>
                <w:rFonts w:ascii="Arial Narrow" w:hAnsi="Arial Narrow" w:cs="Arial"/>
                <w:b/>
                <w:bCs/>
                <w:sz w:val="20"/>
                <w:szCs w:val="20"/>
              </w:rPr>
            </w:pPr>
            <w:r w:rsidRPr="00F30790">
              <w:rPr>
                <w:rFonts w:ascii="Arial Narrow" w:hAnsi="Arial Narrow" w:cs="Arial"/>
                <w:b/>
                <w:bCs/>
                <w:sz w:val="20"/>
                <w:szCs w:val="20"/>
              </w:rPr>
              <w:t>-648 613</w:t>
            </w:r>
          </w:p>
        </w:tc>
        <w:tc>
          <w:tcPr>
            <w:tcW w:w="1116" w:type="dxa"/>
            <w:tcBorders>
              <w:top w:val="nil"/>
              <w:left w:val="nil"/>
              <w:bottom w:val="single" w:sz="4" w:space="0" w:color="auto"/>
              <w:right w:val="single" w:sz="4" w:space="0" w:color="auto"/>
            </w:tcBorders>
            <w:shd w:val="clear" w:color="000000" w:fill="FFFFFF"/>
            <w:noWrap/>
            <w:vAlign w:val="center"/>
            <w:hideMark/>
          </w:tcPr>
          <w:p w14:paraId="5A5FA6FA" w14:textId="77777777" w:rsidR="00F30790" w:rsidRPr="00F30790" w:rsidRDefault="00F30790" w:rsidP="00F30790">
            <w:pPr>
              <w:jc w:val="right"/>
              <w:rPr>
                <w:rFonts w:ascii="Arial Narrow" w:hAnsi="Arial Narrow" w:cs="Arial"/>
                <w:b/>
                <w:bCs/>
                <w:sz w:val="20"/>
                <w:szCs w:val="20"/>
              </w:rPr>
            </w:pPr>
            <w:r w:rsidRPr="00F30790">
              <w:rPr>
                <w:rFonts w:ascii="Arial Narrow" w:hAnsi="Arial Narrow" w:cs="Arial"/>
                <w:b/>
                <w:bCs/>
                <w:sz w:val="20"/>
                <w:szCs w:val="20"/>
              </w:rPr>
              <w:t>-17,2%</w:t>
            </w:r>
          </w:p>
        </w:tc>
      </w:tr>
      <w:tr w:rsidR="00F30790" w:rsidRPr="00F30790" w14:paraId="4DE8069A" w14:textId="77777777" w:rsidTr="00CD44F3">
        <w:trPr>
          <w:trHeight w:val="342"/>
        </w:trPr>
        <w:tc>
          <w:tcPr>
            <w:tcW w:w="2155" w:type="dxa"/>
            <w:tcBorders>
              <w:top w:val="nil"/>
              <w:left w:val="single" w:sz="4" w:space="0" w:color="auto"/>
              <w:bottom w:val="single" w:sz="4" w:space="0" w:color="auto"/>
              <w:right w:val="single" w:sz="4" w:space="0" w:color="auto"/>
            </w:tcBorders>
            <w:shd w:val="clear" w:color="000000" w:fill="FFFFFF"/>
            <w:noWrap/>
            <w:vAlign w:val="center"/>
            <w:hideMark/>
          </w:tcPr>
          <w:p w14:paraId="61844499" w14:textId="77777777" w:rsidR="00F30790" w:rsidRPr="00F30790" w:rsidRDefault="00F30790" w:rsidP="00F30790">
            <w:pPr>
              <w:ind w:firstLineChars="100" w:firstLine="200"/>
              <w:rPr>
                <w:rFonts w:ascii="Arial Narrow" w:hAnsi="Arial Narrow" w:cs="Arial"/>
                <w:sz w:val="20"/>
                <w:szCs w:val="20"/>
              </w:rPr>
            </w:pPr>
            <w:r w:rsidRPr="00F30790">
              <w:rPr>
                <w:rFonts w:ascii="Arial Narrow" w:hAnsi="Arial Narrow" w:cs="Arial"/>
                <w:sz w:val="20"/>
                <w:szCs w:val="20"/>
              </w:rPr>
              <w:t>Турция</w:t>
            </w:r>
          </w:p>
        </w:tc>
        <w:tc>
          <w:tcPr>
            <w:tcW w:w="1340" w:type="dxa"/>
            <w:tcBorders>
              <w:top w:val="nil"/>
              <w:left w:val="nil"/>
              <w:bottom w:val="single" w:sz="4" w:space="0" w:color="auto"/>
              <w:right w:val="single" w:sz="4" w:space="0" w:color="auto"/>
            </w:tcBorders>
            <w:shd w:val="clear" w:color="000000" w:fill="FFFFFF"/>
            <w:noWrap/>
            <w:vAlign w:val="center"/>
            <w:hideMark/>
          </w:tcPr>
          <w:p w14:paraId="2A48931A" w14:textId="77777777" w:rsidR="00F30790" w:rsidRPr="00F30790" w:rsidRDefault="00F30790" w:rsidP="00F30790">
            <w:pPr>
              <w:jc w:val="right"/>
              <w:rPr>
                <w:rFonts w:ascii="Arial Narrow" w:hAnsi="Arial Narrow" w:cs="Arial"/>
                <w:sz w:val="20"/>
                <w:szCs w:val="20"/>
              </w:rPr>
            </w:pPr>
            <w:r w:rsidRPr="00F30790">
              <w:rPr>
                <w:rFonts w:ascii="Arial Narrow" w:hAnsi="Arial Narrow" w:cs="Arial"/>
                <w:sz w:val="20"/>
                <w:szCs w:val="20"/>
              </w:rPr>
              <w:t>346 887</w:t>
            </w:r>
          </w:p>
        </w:tc>
        <w:tc>
          <w:tcPr>
            <w:tcW w:w="1340" w:type="dxa"/>
            <w:tcBorders>
              <w:top w:val="nil"/>
              <w:left w:val="nil"/>
              <w:bottom w:val="single" w:sz="4" w:space="0" w:color="auto"/>
              <w:right w:val="single" w:sz="4" w:space="0" w:color="auto"/>
            </w:tcBorders>
            <w:shd w:val="clear" w:color="000000" w:fill="FFFFFF"/>
            <w:noWrap/>
            <w:vAlign w:val="center"/>
            <w:hideMark/>
          </w:tcPr>
          <w:p w14:paraId="3D40070A" w14:textId="77777777" w:rsidR="00F30790" w:rsidRPr="00F30790" w:rsidRDefault="00F30790" w:rsidP="00F30790">
            <w:pPr>
              <w:jc w:val="right"/>
              <w:rPr>
                <w:rFonts w:ascii="Arial Narrow" w:hAnsi="Arial Narrow" w:cs="Arial"/>
                <w:sz w:val="20"/>
                <w:szCs w:val="20"/>
              </w:rPr>
            </w:pPr>
            <w:r w:rsidRPr="00F30790">
              <w:rPr>
                <w:rFonts w:ascii="Arial Narrow" w:hAnsi="Arial Narrow" w:cs="Arial"/>
                <w:sz w:val="20"/>
                <w:szCs w:val="20"/>
              </w:rPr>
              <w:t>507 604</w:t>
            </w:r>
          </w:p>
        </w:tc>
        <w:tc>
          <w:tcPr>
            <w:tcW w:w="1340" w:type="dxa"/>
            <w:tcBorders>
              <w:top w:val="nil"/>
              <w:left w:val="nil"/>
              <w:bottom w:val="single" w:sz="4" w:space="0" w:color="auto"/>
              <w:right w:val="single" w:sz="4" w:space="0" w:color="auto"/>
            </w:tcBorders>
            <w:shd w:val="clear" w:color="000000" w:fill="FFFFFF"/>
            <w:noWrap/>
            <w:vAlign w:val="center"/>
            <w:hideMark/>
          </w:tcPr>
          <w:p w14:paraId="5C5AE61E" w14:textId="77777777" w:rsidR="00F30790" w:rsidRPr="00F30790" w:rsidRDefault="00F30790" w:rsidP="00F30790">
            <w:pPr>
              <w:jc w:val="right"/>
              <w:rPr>
                <w:rFonts w:ascii="Arial Narrow" w:hAnsi="Arial Narrow" w:cs="Arial"/>
                <w:sz w:val="20"/>
                <w:szCs w:val="20"/>
              </w:rPr>
            </w:pPr>
            <w:r w:rsidRPr="00F30790">
              <w:rPr>
                <w:rFonts w:ascii="Arial Narrow" w:hAnsi="Arial Narrow" w:cs="Arial"/>
                <w:sz w:val="20"/>
                <w:szCs w:val="20"/>
              </w:rPr>
              <w:t>641 497</w:t>
            </w:r>
          </w:p>
        </w:tc>
        <w:tc>
          <w:tcPr>
            <w:tcW w:w="1310" w:type="dxa"/>
            <w:tcBorders>
              <w:top w:val="nil"/>
              <w:left w:val="nil"/>
              <w:bottom w:val="single" w:sz="4" w:space="0" w:color="auto"/>
              <w:right w:val="single" w:sz="4" w:space="0" w:color="auto"/>
            </w:tcBorders>
            <w:shd w:val="clear" w:color="000000" w:fill="FFFFFF"/>
            <w:noWrap/>
            <w:vAlign w:val="center"/>
            <w:hideMark/>
          </w:tcPr>
          <w:p w14:paraId="263B04C9" w14:textId="77777777" w:rsidR="00F30790" w:rsidRPr="00F30790" w:rsidRDefault="00F30790" w:rsidP="00F30790">
            <w:pPr>
              <w:jc w:val="right"/>
              <w:rPr>
                <w:rFonts w:ascii="Arial Narrow" w:hAnsi="Arial Narrow" w:cs="Arial"/>
                <w:sz w:val="20"/>
                <w:szCs w:val="20"/>
              </w:rPr>
            </w:pPr>
            <w:r w:rsidRPr="00F30790">
              <w:rPr>
                <w:rFonts w:ascii="Arial Narrow" w:hAnsi="Arial Narrow" w:cs="Arial"/>
                <w:sz w:val="20"/>
                <w:szCs w:val="20"/>
              </w:rPr>
              <w:t>9,5%</w:t>
            </w:r>
          </w:p>
        </w:tc>
        <w:tc>
          <w:tcPr>
            <w:tcW w:w="1340" w:type="dxa"/>
            <w:tcBorders>
              <w:top w:val="nil"/>
              <w:left w:val="nil"/>
              <w:bottom w:val="single" w:sz="4" w:space="0" w:color="auto"/>
              <w:right w:val="single" w:sz="4" w:space="0" w:color="auto"/>
            </w:tcBorders>
            <w:shd w:val="clear" w:color="000000" w:fill="FFFFFF"/>
            <w:noWrap/>
            <w:vAlign w:val="center"/>
            <w:hideMark/>
          </w:tcPr>
          <w:p w14:paraId="41335E79" w14:textId="77777777" w:rsidR="00F30790" w:rsidRPr="00F30790" w:rsidRDefault="00F30790" w:rsidP="00F30790">
            <w:pPr>
              <w:jc w:val="right"/>
              <w:rPr>
                <w:rFonts w:ascii="Arial Narrow" w:hAnsi="Arial Narrow" w:cs="Arial"/>
                <w:sz w:val="20"/>
                <w:szCs w:val="20"/>
              </w:rPr>
            </w:pPr>
            <w:r w:rsidRPr="00F30790">
              <w:rPr>
                <w:rFonts w:ascii="Arial Narrow" w:hAnsi="Arial Narrow" w:cs="Arial"/>
                <w:sz w:val="20"/>
                <w:szCs w:val="20"/>
              </w:rPr>
              <w:t>133 893</w:t>
            </w:r>
          </w:p>
        </w:tc>
        <w:tc>
          <w:tcPr>
            <w:tcW w:w="1116" w:type="dxa"/>
            <w:tcBorders>
              <w:top w:val="nil"/>
              <w:left w:val="nil"/>
              <w:bottom w:val="single" w:sz="4" w:space="0" w:color="auto"/>
              <w:right w:val="single" w:sz="4" w:space="0" w:color="auto"/>
            </w:tcBorders>
            <w:shd w:val="clear" w:color="000000" w:fill="FFFFFF"/>
            <w:noWrap/>
            <w:vAlign w:val="center"/>
            <w:hideMark/>
          </w:tcPr>
          <w:p w14:paraId="6ABC1E6C" w14:textId="77777777" w:rsidR="00F30790" w:rsidRPr="00F30790" w:rsidRDefault="00F30790" w:rsidP="00F30790">
            <w:pPr>
              <w:jc w:val="right"/>
              <w:rPr>
                <w:rFonts w:ascii="Arial Narrow" w:hAnsi="Arial Narrow" w:cs="Arial"/>
                <w:sz w:val="20"/>
                <w:szCs w:val="20"/>
              </w:rPr>
            </w:pPr>
            <w:r w:rsidRPr="00F30790">
              <w:rPr>
                <w:rFonts w:ascii="Arial Narrow" w:hAnsi="Arial Narrow" w:cs="Arial"/>
                <w:sz w:val="20"/>
                <w:szCs w:val="20"/>
              </w:rPr>
              <w:t>26,4%</w:t>
            </w:r>
          </w:p>
        </w:tc>
      </w:tr>
      <w:tr w:rsidR="00F30790" w:rsidRPr="00F30790" w14:paraId="6B2FE3C3" w14:textId="77777777" w:rsidTr="00CD44F3">
        <w:trPr>
          <w:trHeight w:val="342"/>
        </w:trPr>
        <w:tc>
          <w:tcPr>
            <w:tcW w:w="2155" w:type="dxa"/>
            <w:tcBorders>
              <w:top w:val="nil"/>
              <w:left w:val="single" w:sz="4" w:space="0" w:color="auto"/>
              <w:bottom w:val="single" w:sz="4" w:space="0" w:color="auto"/>
              <w:right w:val="single" w:sz="4" w:space="0" w:color="auto"/>
            </w:tcBorders>
            <w:shd w:val="clear" w:color="000000" w:fill="FFFFFF"/>
            <w:noWrap/>
            <w:vAlign w:val="center"/>
            <w:hideMark/>
          </w:tcPr>
          <w:p w14:paraId="595214F7" w14:textId="77777777" w:rsidR="00F30790" w:rsidRPr="00F30790" w:rsidRDefault="00F30790" w:rsidP="00F30790">
            <w:pPr>
              <w:ind w:firstLineChars="100" w:firstLine="200"/>
              <w:rPr>
                <w:rFonts w:ascii="Arial Narrow" w:hAnsi="Arial Narrow" w:cs="Arial"/>
                <w:sz w:val="20"/>
                <w:szCs w:val="20"/>
              </w:rPr>
            </w:pPr>
            <w:r w:rsidRPr="00F30790">
              <w:rPr>
                <w:rFonts w:ascii="Arial Narrow" w:hAnsi="Arial Narrow" w:cs="Arial"/>
                <w:sz w:val="20"/>
                <w:szCs w:val="20"/>
              </w:rPr>
              <w:t>Алжир</w:t>
            </w:r>
          </w:p>
        </w:tc>
        <w:tc>
          <w:tcPr>
            <w:tcW w:w="1340" w:type="dxa"/>
            <w:tcBorders>
              <w:top w:val="nil"/>
              <w:left w:val="nil"/>
              <w:bottom w:val="single" w:sz="4" w:space="0" w:color="auto"/>
              <w:right w:val="single" w:sz="4" w:space="0" w:color="auto"/>
            </w:tcBorders>
            <w:shd w:val="clear" w:color="000000" w:fill="FFFFFF"/>
            <w:noWrap/>
            <w:vAlign w:val="center"/>
            <w:hideMark/>
          </w:tcPr>
          <w:p w14:paraId="3CFB2B76" w14:textId="77777777" w:rsidR="00F30790" w:rsidRPr="00F30790" w:rsidRDefault="00F30790" w:rsidP="00F30790">
            <w:pPr>
              <w:jc w:val="right"/>
              <w:rPr>
                <w:rFonts w:ascii="Arial Narrow" w:hAnsi="Arial Narrow" w:cs="Arial"/>
                <w:sz w:val="20"/>
                <w:szCs w:val="20"/>
              </w:rPr>
            </w:pPr>
            <w:r w:rsidRPr="00F30790">
              <w:rPr>
                <w:rFonts w:ascii="Arial Narrow" w:hAnsi="Arial Narrow" w:cs="Arial"/>
                <w:sz w:val="20"/>
                <w:szCs w:val="20"/>
              </w:rPr>
              <w:t>456 666</w:t>
            </w:r>
          </w:p>
        </w:tc>
        <w:tc>
          <w:tcPr>
            <w:tcW w:w="1340" w:type="dxa"/>
            <w:tcBorders>
              <w:top w:val="nil"/>
              <w:left w:val="nil"/>
              <w:bottom w:val="single" w:sz="4" w:space="0" w:color="auto"/>
              <w:right w:val="single" w:sz="4" w:space="0" w:color="auto"/>
            </w:tcBorders>
            <w:shd w:val="clear" w:color="000000" w:fill="FFFFFF"/>
            <w:noWrap/>
            <w:vAlign w:val="center"/>
            <w:hideMark/>
          </w:tcPr>
          <w:p w14:paraId="0ABF1EA5" w14:textId="77777777" w:rsidR="00F30790" w:rsidRPr="00F30790" w:rsidRDefault="00F30790" w:rsidP="00F30790">
            <w:pPr>
              <w:jc w:val="right"/>
              <w:rPr>
                <w:rFonts w:ascii="Arial Narrow" w:hAnsi="Arial Narrow" w:cs="Arial"/>
                <w:sz w:val="20"/>
                <w:szCs w:val="20"/>
              </w:rPr>
            </w:pPr>
            <w:r w:rsidRPr="00F30790">
              <w:rPr>
                <w:rFonts w:ascii="Arial Narrow" w:hAnsi="Arial Narrow" w:cs="Arial"/>
                <w:sz w:val="20"/>
                <w:szCs w:val="20"/>
              </w:rPr>
              <w:t>456 942</w:t>
            </w:r>
          </w:p>
        </w:tc>
        <w:tc>
          <w:tcPr>
            <w:tcW w:w="1340" w:type="dxa"/>
            <w:tcBorders>
              <w:top w:val="nil"/>
              <w:left w:val="nil"/>
              <w:bottom w:val="single" w:sz="4" w:space="0" w:color="auto"/>
              <w:right w:val="single" w:sz="4" w:space="0" w:color="auto"/>
            </w:tcBorders>
            <w:shd w:val="clear" w:color="000000" w:fill="FFFFFF"/>
            <w:noWrap/>
            <w:vAlign w:val="center"/>
            <w:hideMark/>
          </w:tcPr>
          <w:p w14:paraId="61074C13" w14:textId="77777777" w:rsidR="00F30790" w:rsidRPr="00F30790" w:rsidRDefault="00F30790" w:rsidP="00F30790">
            <w:pPr>
              <w:jc w:val="right"/>
              <w:rPr>
                <w:rFonts w:ascii="Arial Narrow" w:hAnsi="Arial Narrow" w:cs="Arial"/>
                <w:sz w:val="20"/>
                <w:szCs w:val="20"/>
              </w:rPr>
            </w:pPr>
            <w:r w:rsidRPr="00F30790">
              <w:rPr>
                <w:rFonts w:ascii="Arial Narrow" w:hAnsi="Arial Narrow" w:cs="Arial"/>
                <w:sz w:val="20"/>
                <w:szCs w:val="20"/>
              </w:rPr>
              <w:t>405 131</w:t>
            </w:r>
          </w:p>
        </w:tc>
        <w:tc>
          <w:tcPr>
            <w:tcW w:w="1310" w:type="dxa"/>
            <w:tcBorders>
              <w:top w:val="nil"/>
              <w:left w:val="nil"/>
              <w:bottom w:val="single" w:sz="4" w:space="0" w:color="auto"/>
              <w:right w:val="single" w:sz="4" w:space="0" w:color="auto"/>
            </w:tcBorders>
            <w:shd w:val="clear" w:color="000000" w:fill="FFFFFF"/>
            <w:noWrap/>
            <w:vAlign w:val="center"/>
            <w:hideMark/>
          </w:tcPr>
          <w:p w14:paraId="6FFE4E37" w14:textId="77777777" w:rsidR="00F30790" w:rsidRPr="00F30790" w:rsidRDefault="00F30790" w:rsidP="00F30790">
            <w:pPr>
              <w:jc w:val="right"/>
              <w:rPr>
                <w:rFonts w:ascii="Arial Narrow" w:hAnsi="Arial Narrow" w:cs="Arial"/>
                <w:sz w:val="20"/>
                <w:szCs w:val="20"/>
              </w:rPr>
            </w:pPr>
            <w:r w:rsidRPr="00F30790">
              <w:rPr>
                <w:rFonts w:ascii="Arial Narrow" w:hAnsi="Arial Narrow" w:cs="Arial"/>
                <w:sz w:val="20"/>
                <w:szCs w:val="20"/>
              </w:rPr>
              <w:t>6,0%</w:t>
            </w:r>
          </w:p>
        </w:tc>
        <w:tc>
          <w:tcPr>
            <w:tcW w:w="1340" w:type="dxa"/>
            <w:tcBorders>
              <w:top w:val="nil"/>
              <w:left w:val="nil"/>
              <w:bottom w:val="single" w:sz="4" w:space="0" w:color="auto"/>
              <w:right w:val="single" w:sz="4" w:space="0" w:color="auto"/>
            </w:tcBorders>
            <w:shd w:val="clear" w:color="000000" w:fill="FFFFFF"/>
            <w:noWrap/>
            <w:vAlign w:val="center"/>
            <w:hideMark/>
          </w:tcPr>
          <w:p w14:paraId="0A0B819B" w14:textId="77777777" w:rsidR="00F30790" w:rsidRPr="00F30790" w:rsidRDefault="00F30790" w:rsidP="00F30790">
            <w:pPr>
              <w:jc w:val="right"/>
              <w:rPr>
                <w:rFonts w:ascii="Arial Narrow" w:hAnsi="Arial Narrow" w:cs="Arial"/>
                <w:sz w:val="20"/>
                <w:szCs w:val="20"/>
              </w:rPr>
            </w:pPr>
            <w:r w:rsidRPr="00F30790">
              <w:rPr>
                <w:rFonts w:ascii="Arial Narrow" w:hAnsi="Arial Narrow" w:cs="Arial"/>
                <w:sz w:val="20"/>
                <w:szCs w:val="20"/>
              </w:rPr>
              <w:t>-51 811</w:t>
            </w:r>
          </w:p>
        </w:tc>
        <w:tc>
          <w:tcPr>
            <w:tcW w:w="1116" w:type="dxa"/>
            <w:tcBorders>
              <w:top w:val="nil"/>
              <w:left w:val="nil"/>
              <w:bottom w:val="single" w:sz="4" w:space="0" w:color="auto"/>
              <w:right w:val="single" w:sz="4" w:space="0" w:color="auto"/>
            </w:tcBorders>
            <w:shd w:val="clear" w:color="000000" w:fill="FFFFFF"/>
            <w:noWrap/>
            <w:vAlign w:val="center"/>
            <w:hideMark/>
          </w:tcPr>
          <w:p w14:paraId="7677C0E4" w14:textId="77777777" w:rsidR="00F30790" w:rsidRPr="00F30790" w:rsidRDefault="00F30790" w:rsidP="00F30790">
            <w:pPr>
              <w:jc w:val="right"/>
              <w:rPr>
                <w:rFonts w:ascii="Arial Narrow" w:hAnsi="Arial Narrow" w:cs="Arial"/>
                <w:sz w:val="20"/>
                <w:szCs w:val="20"/>
              </w:rPr>
            </w:pPr>
            <w:r w:rsidRPr="00F30790">
              <w:rPr>
                <w:rFonts w:ascii="Arial Narrow" w:hAnsi="Arial Narrow" w:cs="Arial"/>
                <w:sz w:val="20"/>
                <w:szCs w:val="20"/>
              </w:rPr>
              <w:t>-11,3%</w:t>
            </w:r>
          </w:p>
        </w:tc>
      </w:tr>
      <w:tr w:rsidR="00F30790" w:rsidRPr="00F30790" w14:paraId="4AFE9838" w14:textId="77777777" w:rsidTr="00CD44F3">
        <w:trPr>
          <w:trHeight w:val="342"/>
        </w:trPr>
        <w:tc>
          <w:tcPr>
            <w:tcW w:w="2155" w:type="dxa"/>
            <w:tcBorders>
              <w:top w:val="nil"/>
              <w:left w:val="single" w:sz="4" w:space="0" w:color="auto"/>
              <w:bottom w:val="single" w:sz="4" w:space="0" w:color="auto"/>
              <w:right w:val="single" w:sz="4" w:space="0" w:color="auto"/>
            </w:tcBorders>
            <w:shd w:val="clear" w:color="000000" w:fill="FFFFFF"/>
            <w:noWrap/>
            <w:vAlign w:val="center"/>
            <w:hideMark/>
          </w:tcPr>
          <w:p w14:paraId="27419046" w14:textId="77777777" w:rsidR="00F30790" w:rsidRPr="00F30790" w:rsidRDefault="00F30790" w:rsidP="00F30790">
            <w:pPr>
              <w:ind w:firstLineChars="100" w:firstLine="200"/>
              <w:rPr>
                <w:rFonts w:ascii="Arial Narrow" w:hAnsi="Arial Narrow" w:cs="Arial"/>
                <w:sz w:val="20"/>
                <w:szCs w:val="20"/>
              </w:rPr>
            </w:pPr>
            <w:r w:rsidRPr="00F30790">
              <w:rPr>
                <w:rFonts w:ascii="Arial Narrow" w:hAnsi="Arial Narrow" w:cs="Arial"/>
                <w:sz w:val="20"/>
                <w:szCs w:val="20"/>
              </w:rPr>
              <w:t>Обединено кралство</w:t>
            </w:r>
          </w:p>
        </w:tc>
        <w:tc>
          <w:tcPr>
            <w:tcW w:w="1340" w:type="dxa"/>
            <w:tcBorders>
              <w:top w:val="nil"/>
              <w:left w:val="nil"/>
              <w:bottom w:val="single" w:sz="4" w:space="0" w:color="auto"/>
              <w:right w:val="single" w:sz="4" w:space="0" w:color="auto"/>
            </w:tcBorders>
            <w:shd w:val="clear" w:color="000000" w:fill="FFFFFF"/>
            <w:noWrap/>
            <w:vAlign w:val="center"/>
            <w:hideMark/>
          </w:tcPr>
          <w:p w14:paraId="19489E94" w14:textId="77777777" w:rsidR="00F30790" w:rsidRPr="00F30790" w:rsidRDefault="00F30790" w:rsidP="00F30790">
            <w:pPr>
              <w:jc w:val="right"/>
              <w:rPr>
                <w:rFonts w:ascii="Arial Narrow" w:hAnsi="Arial Narrow" w:cs="Arial"/>
                <w:sz w:val="20"/>
                <w:szCs w:val="20"/>
              </w:rPr>
            </w:pPr>
            <w:r w:rsidRPr="00F30790">
              <w:rPr>
                <w:rFonts w:ascii="Arial Narrow" w:hAnsi="Arial Narrow" w:cs="Arial"/>
                <w:sz w:val="20"/>
                <w:szCs w:val="20"/>
              </w:rPr>
              <w:t>198 080</w:t>
            </w:r>
          </w:p>
        </w:tc>
        <w:tc>
          <w:tcPr>
            <w:tcW w:w="1340" w:type="dxa"/>
            <w:tcBorders>
              <w:top w:val="nil"/>
              <w:left w:val="nil"/>
              <w:bottom w:val="single" w:sz="4" w:space="0" w:color="auto"/>
              <w:right w:val="single" w:sz="4" w:space="0" w:color="auto"/>
            </w:tcBorders>
            <w:shd w:val="clear" w:color="000000" w:fill="FFFFFF"/>
            <w:noWrap/>
            <w:vAlign w:val="center"/>
            <w:hideMark/>
          </w:tcPr>
          <w:p w14:paraId="11F862BE" w14:textId="77777777" w:rsidR="00F30790" w:rsidRPr="00F30790" w:rsidRDefault="00F30790" w:rsidP="00F30790">
            <w:pPr>
              <w:jc w:val="right"/>
              <w:rPr>
                <w:rFonts w:ascii="Arial Narrow" w:hAnsi="Arial Narrow" w:cs="Arial"/>
                <w:sz w:val="20"/>
                <w:szCs w:val="20"/>
              </w:rPr>
            </w:pPr>
            <w:r w:rsidRPr="00F30790">
              <w:rPr>
                <w:rFonts w:ascii="Arial Narrow" w:hAnsi="Arial Narrow" w:cs="Arial"/>
                <w:sz w:val="20"/>
                <w:szCs w:val="20"/>
              </w:rPr>
              <w:t>172 405</w:t>
            </w:r>
          </w:p>
        </w:tc>
        <w:tc>
          <w:tcPr>
            <w:tcW w:w="1340" w:type="dxa"/>
            <w:tcBorders>
              <w:top w:val="nil"/>
              <w:left w:val="nil"/>
              <w:bottom w:val="single" w:sz="4" w:space="0" w:color="auto"/>
              <w:right w:val="single" w:sz="4" w:space="0" w:color="auto"/>
            </w:tcBorders>
            <w:shd w:val="clear" w:color="000000" w:fill="FFFFFF"/>
            <w:noWrap/>
            <w:vAlign w:val="center"/>
            <w:hideMark/>
          </w:tcPr>
          <w:p w14:paraId="00F0D7BD" w14:textId="77777777" w:rsidR="00F30790" w:rsidRPr="00F30790" w:rsidRDefault="00F30790" w:rsidP="00F30790">
            <w:pPr>
              <w:jc w:val="right"/>
              <w:rPr>
                <w:rFonts w:ascii="Arial Narrow" w:hAnsi="Arial Narrow" w:cs="Arial"/>
                <w:sz w:val="20"/>
                <w:szCs w:val="20"/>
              </w:rPr>
            </w:pPr>
            <w:r w:rsidRPr="00F30790">
              <w:rPr>
                <w:rFonts w:ascii="Arial Narrow" w:hAnsi="Arial Narrow" w:cs="Arial"/>
                <w:sz w:val="20"/>
                <w:szCs w:val="20"/>
              </w:rPr>
              <w:t>190 042</w:t>
            </w:r>
          </w:p>
        </w:tc>
        <w:tc>
          <w:tcPr>
            <w:tcW w:w="1310" w:type="dxa"/>
            <w:tcBorders>
              <w:top w:val="nil"/>
              <w:left w:val="nil"/>
              <w:bottom w:val="single" w:sz="4" w:space="0" w:color="auto"/>
              <w:right w:val="single" w:sz="4" w:space="0" w:color="auto"/>
            </w:tcBorders>
            <w:shd w:val="clear" w:color="000000" w:fill="FFFFFF"/>
            <w:noWrap/>
            <w:vAlign w:val="center"/>
            <w:hideMark/>
          </w:tcPr>
          <w:p w14:paraId="3291106E" w14:textId="77777777" w:rsidR="00F30790" w:rsidRPr="00F30790" w:rsidRDefault="00F30790" w:rsidP="00F30790">
            <w:pPr>
              <w:jc w:val="right"/>
              <w:rPr>
                <w:rFonts w:ascii="Arial Narrow" w:hAnsi="Arial Narrow" w:cs="Arial"/>
                <w:sz w:val="20"/>
                <w:szCs w:val="20"/>
              </w:rPr>
            </w:pPr>
            <w:r w:rsidRPr="00F30790">
              <w:rPr>
                <w:rFonts w:ascii="Arial Narrow" w:hAnsi="Arial Narrow" w:cs="Arial"/>
                <w:sz w:val="20"/>
                <w:szCs w:val="20"/>
              </w:rPr>
              <w:t>2,8%</w:t>
            </w:r>
          </w:p>
        </w:tc>
        <w:tc>
          <w:tcPr>
            <w:tcW w:w="1340" w:type="dxa"/>
            <w:tcBorders>
              <w:top w:val="nil"/>
              <w:left w:val="nil"/>
              <w:bottom w:val="single" w:sz="4" w:space="0" w:color="auto"/>
              <w:right w:val="single" w:sz="4" w:space="0" w:color="auto"/>
            </w:tcBorders>
            <w:shd w:val="clear" w:color="000000" w:fill="FFFFFF"/>
            <w:noWrap/>
            <w:vAlign w:val="center"/>
            <w:hideMark/>
          </w:tcPr>
          <w:p w14:paraId="02300A3B" w14:textId="77777777" w:rsidR="00F30790" w:rsidRPr="00F30790" w:rsidRDefault="00F30790" w:rsidP="00F30790">
            <w:pPr>
              <w:jc w:val="right"/>
              <w:rPr>
                <w:rFonts w:ascii="Arial Narrow" w:hAnsi="Arial Narrow" w:cs="Arial"/>
                <w:sz w:val="20"/>
                <w:szCs w:val="20"/>
              </w:rPr>
            </w:pPr>
            <w:r w:rsidRPr="00F30790">
              <w:rPr>
                <w:rFonts w:ascii="Arial Narrow" w:hAnsi="Arial Narrow" w:cs="Arial"/>
                <w:sz w:val="20"/>
                <w:szCs w:val="20"/>
              </w:rPr>
              <w:t>17 637</w:t>
            </w:r>
          </w:p>
        </w:tc>
        <w:tc>
          <w:tcPr>
            <w:tcW w:w="1116" w:type="dxa"/>
            <w:tcBorders>
              <w:top w:val="nil"/>
              <w:left w:val="nil"/>
              <w:bottom w:val="single" w:sz="4" w:space="0" w:color="auto"/>
              <w:right w:val="single" w:sz="4" w:space="0" w:color="auto"/>
            </w:tcBorders>
            <w:shd w:val="clear" w:color="000000" w:fill="FFFFFF"/>
            <w:noWrap/>
            <w:vAlign w:val="center"/>
            <w:hideMark/>
          </w:tcPr>
          <w:p w14:paraId="0805363E" w14:textId="77777777" w:rsidR="00F30790" w:rsidRPr="00F30790" w:rsidRDefault="00F30790" w:rsidP="00F30790">
            <w:pPr>
              <w:jc w:val="right"/>
              <w:rPr>
                <w:rFonts w:ascii="Arial Narrow" w:hAnsi="Arial Narrow" w:cs="Arial"/>
                <w:sz w:val="20"/>
                <w:szCs w:val="20"/>
              </w:rPr>
            </w:pPr>
            <w:r w:rsidRPr="00F30790">
              <w:rPr>
                <w:rFonts w:ascii="Arial Narrow" w:hAnsi="Arial Narrow" w:cs="Arial"/>
                <w:sz w:val="20"/>
                <w:szCs w:val="20"/>
              </w:rPr>
              <w:t>10,2%</w:t>
            </w:r>
          </w:p>
        </w:tc>
      </w:tr>
      <w:tr w:rsidR="00F30790" w:rsidRPr="00F30790" w14:paraId="33448D6F" w14:textId="77777777" w:rsidTr="00CD44F3">
        <w:trPr>
          <w:trHeight w:val="342"/>
        </w:trPr>
        <w:tc>
          <w:tcPr>
            <w:tcW w:w="2155" w:type="dxa"/>
            <w:tcBorders>
              <w:top w:val="nil"/>
              <w:left w:val="single" w:sz="4" w:space="0" w:color="auto"/>
              <w:bottom w:val="single" w:sz="4" w:space="0" w:color="auto"/>
              <w:right w:val="single" w:sz="4" w:space="0" w:color="auto"/>
            </w:tcBorders>
            <w:shd w:val="clear" w:color="000000" w:fill="FFFFFF"/>
            <w:noWrap/>
            <w:vAlign w:val="center"/>
            <w:hideMark/>
          </w:tcPr>
          <w:p w14:paraId="24226B33" w14:textId="77777777" w:rsidR="00F30790" w:rsidRPr="00F30790" w:rsidRDefault="00F30790" w:rsidP="00F30790">
            <w:pPr>
              <w:ind w:firstLineChars="100" w:firstLine="200"/>
              <w:rPr>
                <w:rFonts w:ascii="Arial Narrow" w:hAnsi="Arial Narrow" w:cs="Arial"/>
                <w:sz w:val="20"/>
                <w:szCs w:val="20"/>
              </w:rPr>
            </w:pPr>
            <w:r w:rsidRPr="00F30790">
              <w:rPr>
                <w:rFonts w:ascii="Arial Narrow" w:hAnsi="Arial Narrow" w:cs="Arial"/>
                <w:sz w:val="20"/>
                <w:szCs w:val="20"/>
              </w:rPr>
              <w:t>САЩ</w:t>
            </w:r>
          </w:p>
        </w:tc>
        <w:tc>
          <w:tcPr>
            <w:tcW w:w="1340" w:type="dxa"/>
            <w:tcBorders>
              <w:top w:val="nil"/>
              <w:left w:val="nil"/>
              <w:bottom w:val="single" w:sz="4" w:space="0" w:color="auto"/>
              <w:right w:val="single" w:sz="4" w:space="0" w:color="auto"/>
            </w:tcBorders>
            <w:shd w:val="clear" w:color="000000" w:fill="FFFFFF"/>
            <w:noWrap/>
            <w:vAlign w:val="center"/>
            <w:hideMark/>
          </w:tcPr>
          <w:p w14:paraId="577741B7" w14:textId="77777777" w:rsidR="00F30790" w:rsidRPr="00F30790" w:rsidRDefault="00F30790" w:rsidP="00F30790">
            <w:pPr>
              <w:jc w:val="right"/>
              <w:rPr>
                <w:rFonts w:ascii="Arial Narrow" w:hAnsi="Arial Narrow" w:cs="Arial"/>
                <w:sz w:val="20"/>
                <w:szCs w:val="20"/>
              </w:rPr>
            </w:pPr>
            <w:r w:rsidRPr="00F30790">
              <w:rPr>
                <w:rFonts w:ascii="Arial Narrow" w:hAnsi="Arial Narrow" w:cs="Arial"/>
                <w:sz w:val="20"/>
                <w:szCs w:val="20"/>
              </w:rPr>
              <w:t>182 175</w:t>
            </w:r>
          </w:p>
        </w:tc>
        <w:tc>
          <w:tcPr>
            <w:tcW w:w="1340" w:type="dxa"/>
            <w:tcBorders>
              <w:top w:val="nil"/>
              <w:left w:val="nil"/>
              <w:bottom w:val="single" w:sz="4" w:space="0" w:color="auto"/>
              <w:right w:val="single" w:sz="4" w:space="0" w:color="auto"/>
            </w:tcBorders>
            <w:shd w:val="clear" w:color="000000" w:fill="FFFFFF"/>
            <w:noWrap/>
            <w:vAlign w:val="center"/>
            <w:hideMark/>
          </w:tcPr>
          <w:p w14:paraId="1521008B" w14:textId="77777777" w:rsidR="00F30790" w:rsidRPr="00F30790" w:rsidRDefault="00F30790" w:rsidP="00F30790">
            <w:pPr>
              <w:jc w:val="right"/>
              <w:rPr>
                <w:rFonts w:ascii="Arial Narrow" w:hAnsi="Arial Narrow" w:cs="Arial"/>
                <w:sz w:val="20"/>
                <w:szCs w:val="20"/>
              </w:rPr>
            </w:pPr>
            <w:r w:rsidRPr="00F30790">
              <w:rPr>
                <w:rFonts w:ascii="Arial Narrow" w:hAnsi="Arial Narrow" w:cs="Arial"/>
                <w:sz w:val="20"/>
                <w:szCs w:val="20"/>
              </w:rPr>
              <w:t>176 893</w:t>
            </w:r>
          </w:p>
        </w:tc>
        <w:tc>
          <w:tcPr>
            <w:tcW w:w="1340" w:type="dxa"/>
            <w:tcBorders>
              <w:top w:val="nil"/>
              <w:left w:val="nil"/>
              <w:bottom w:val="single" w:sz="4" w:space="0" w:color="auto"/>
              <w:right w:val="single" w:sz="4" w:space="0" w:color="auto"/>
            </w:tcBorders>
            <w:shd w:val="clear" w:color="000000" w:fill="FFFFFF"/>
            <w:noWrap/>
            <w:vAlign w:val="center"/>
            <w:hideMark/>
          </w:tcPr>
          <w:p w14:paraId="2E1EA006" w14:textId="77777777" w:rsidR="00F30790" w:rsidRPr="00F30790" w:rsidRDefault="00F30790" w:rsidP="00F30790">
            <w:pPr>
              <w:jc w:val="right"/>
              <w:rPr>
                <w:rFonts w:ascii="Arial Narrow" w:hAnsi="Arial Narrow" w:cs="Arial"/>
                <w:sz w:val="20"/>
                <w:szCs w:val="20"/>
              </w:rPr>
            </w:pPr>
            <w:r w:rsidRPr="00F30790">
              <w:rPr>
                <w:rFonts w:ascii="Arial Narrow" w:hAnsi="Arial Narrow" w:cs="Arial"/>
                <w:sz w:val="20"/>
                <w:szCs w:val="20"/>
              </w:rPr>
              <w:t>166 151</w:t>
            </w:r>
          </w:p>
        </w:tc>
        <w:tc>
          <w:tcPr>
            <w:tcW w:w="1310" w:type="dxa"/>
            <w:tcBorders>
              <w:top w:val="nil"/>
              <w:left w:val="nil"/>
              <w:bottom w:val="single" w:sz="4" w:space="0" w:color="auto"/>
              <w:right w:val="single" w:sz="4" w:space="0" w:color="auto"/>
            </w:tcBorders>
            <w:shd w:val="clear" w:color="000000" w:fill="FFFFFF"/>
            <w:noWrap/>
            <w:vAlign w:val="center"/>
            <w:hideMark/>
          </w:tcPr>
          <w:p w14:paraId="67EDE39D" w14:textId="77777777" w:rsidR="00F30790" w:rsidRPr="00F30790" w:rsidRDefault="00F30790" w:rsidP="00F30790">
            <w:pPr>
              <w:jc w:val="right"/>
              <w:rPr>
                <w:rFonts w:ascii="Arial Narrow" w:hAnsi="Arial Narrow" w:cs="Arial"/>
                <w:sz w:val="20"/>
                <w:szCs w:val="20"/>
              </w:rPr>
            </w:pPr>
            <w:r w:rsidRPr="00F30790">
              <w:rPr>
                <w:rFonts w:ascii="Arial Narrow" w:hAnsi="Arial Narrow" w:cs="Arial"/>
                <w:sz w:val="20"/>
                <w:szCs w:val="20"/>
              </w:rPr>
              <w:t>2,5%</w:t>
            </w:r>
          </w:p>
        </w:tc>
        <w:tc>
          <w:tcPr>
            <w:tcW w:w="1340" w:type="dxa"/>
            <w:tcBorders>
              <w:top w:val="nil"/>
              <w:left w:val="nil"/>
              <w:bottom w:val="single" w:sz="4" w:space="0" w:color="auto"/>
              <w:right w:val="single" w:sz="4" w:space="0" w:color="auto"/>
            </w:tcBorders>
            <w:shd w:val="clear" w:color="000000" w:fill="FFFFFF"/>
            <w:noWrap/>
            <w:vAlign w:val="center"/>
            <w:hideMark/>
          </w:tcPr>
          <w:p w14:paraId="2C41EB48" w14:textId="77777777" w:rsidR="00F30790" w:rsidRPr="00F30790" w:rsidRDefault="00F30790" w:rsidP="00F30790">
            <w:pPr>
              <w:jc w:val="right"/>
              <w:rPr>
                <w:rFonts w:ascii="Arial Narrow" w:hAnsi="Arial Narrow" w:cs="Arial"/>
                <w:sz w:val="20"/>
                <w:szCs w:val="20"/>
              </w:rPr>
            </w:pPr>
            <w:r w:rsidRPr="00F30790">
              <w:rPr>
                <w:rFonts w:ascii="Arial Narrow" w:hAnsi="Arial Narrow" w:cs="Arial"/>
                <w:sz w:val="20"/>
                <w:szCs w:val="20"/>
              </w:rPr>
              <w:t>-10 742</w:t>
            </w:r>
          </w:p>
        </w:tc>
        <w:tc>
          <w:tcPr>
            <w:tcW w:w="1116" w:type="dxa"/>
            <w:tcBorders>
              <w:top w:val="nil"/>
              <w:left w:val="nil"/>
              <w:bottom w:val="single" w:sz="4" w:space="0" w:color="auto"/>
              <w:right w:val="single" w:sz="4" w:space="0" w:color="auto"/>
            </w:tcBorders>
            <w:shd w:val="clear" w:color="000000" w:fill="FFFFFF"/>
            <w:noWrap/>
            <w:vAlign w:val="center"/>
            <w:hideMark/>
          </w:tcPr>
          <w:p w14:paraId="77EBFC8C" w14:textId="77777777" w:rsidR="00F30790" w:rsidRPr="00F30790" w:rsidRDefault="00F30790" w:rsidP="00F30790">
            <w:pPr>
              <w:jc w:val="right"/>
              <w:rPr>
                <w:rFonts w:ascii="Arial Narrow" w:hAnsi="Arial Narrow" w:cs="Arial"/>
                <w:sz w:val="20"/>
                <w:szCs w:val="20"/>
              </w:rPr>
            </w:pPr>
            <w:r w:rsidRPr="00F30790">
              <w:rPr>
                <w:rFonts w:ascii="Arial Narrow" w:hAnsi="Arial Narrow" w:cs="Arial"/>
                <w:sz w:val="20"/>
                <w:szCs w:val="20"/>
              </w:rPr>
              <w:t>-6,1%</w:t>
            </w:r>
          </w:p>
        </w:tc>
      </w:tr>
      <w:tr w:rsidR="00F30790" w:rsidRPr="00F30790" w14:paraId="7981824D" w14:textId="77777777" w:rsidTr="00CD44F3">
        <w:trPr>
          <w:trHeight w:val="342"/>
        </w:trPr>
        <w:tc>
          <w:tcPr>
            <w:tcW w:w="2155" w:type="dxa"/>
            <w:tcBorders>
              <w:top w:val="nil"/>
              <w:left w:val="single" w:sz="4" w:space="0" w:color="auto"/>
              <w:bottom w:val="single" w:sz="4" w:space="0" w:color="auto"/>
              <w:right w:val="single" w:sz="4" w:space="0" w:color="auto"/>
            </w:tcBorders>
            <w:shd w:val="clear" w:color="000000" w:fill="FFFFFF"/>
            <w:noWrap/>
            <w:vAlign w:val="center"/>
            <w:hideMark/>
          </w:tcPr>
          <w:p w14:paraId="67F2977D" w14:textId="77777777" w:rsidR="00F30790" w:rsidRPr="00F30790" w:rsidRDefault="00F30790" w:rsidP="00F30790">
            <w:pPr>
              <w:ind w:firstLineChars="100" w:firstLine="200"/>
              <w:rPr>
                <w:rFonts w:ascii="Arial Narrow" w:hAnsi="Arial Narrow" w:cs="Arial"/>
                <w:sz w:val="20"/>
                <w:szCs w:val="20"/>
              </w:rPr>
            </w:pPr>
            <w:r w:rsidRPr="00F30790">
              <w:rPr>
                <w:rFonts w:ascii="Arial Narrow" w:hAnsi="Arial Narrow" w:cs="Arial"/>
                <w:sz w:val="20"/>
                <w:szCs w:val="20"/>
              </w:rPr>
              <w:t>Китай</w:t>
            </w:r>
          </w:p>
        </w:tc>
        <w:tc>
          <w:tcPr>
            <w:tcW w:w="1340" w:type="dxa"/>
            <w:tcBorders>
              <w:top w:val="nil"/>
              <w:left w:val="nil"/>
              <w:bottom w:val="single" w:sz="4" w:space="0" w:color="auto"/>
              <w:right w:val="single" w:sz="4" w:space="0" w:color="auto"/>
            </w:tcBorders>
            <w:shd w:val="clear" w:color="000000" w:fill="FFFFFF"/>
            <w:noWrap/>
            <w:vAlign w:val="center"/>
            <w:hideMark/>
          </w:tcPr>
          <w:p w14:paraId="60AA9124" w14:textId="77777777" w:rsidR="00F30790" w:rsidRPr="00F30790" w:rsidRDefault="00F30790" w:rsidP="00F30790">
            <w:pPr>
              <w:jc w:val="right"/>
              <w:rPr>
                <w:rFonts w:ascii="Arial Narrow" w:hAnsi="Arial Narrow" w:cs="Arial"/>
                <w:sz w:val="20"/>
                <w:szCs w:val="20"/>
              </w:rPr>
            </w:pPr>
            <w:r w:rsidRPr="00F30790">
              <w:rPr>
                <w:rFonts w:ascii="Arial Narrow" w:hAnsi="Arial Narrow" w:cs="Arial"/>
                <w:sz w:val="20"/>
                <w:szCs w:val="20"/>
              </w:rPr>
              <w:t>247 710</w:t>
            </w:r>
          </w:p>
        </w:tc>
        <w:tc>
          <w:tcPr>
            <w:tcW w:w="1340" w:type="dxa"/>
            <w:tcBorders>
              <w:top w:val="nil"/>
              <w:left w:val="nil"/>
              <w:bottom w:val="single" w:sz="4" w:space="0" w:color="auto"/>
              <w:right w:val="single" w:sz="4" w:space="0" w:color="auto"/>
            </w:tcBorders>
            <w:shd w:val="clear" w:color="000000" w:fill="FFFFFF"/>
            <w:noWrap/>
            <w:vAlign w:val="center"/>
            <w:hideMark/>
          </w:tcPr>
          <w:p w14:paraId="0A8F0027" w14:textId="77777777" w:rsidR="00F30790" w:rsidRPr="00F30790" w:rsidRDefault="00F30790" w:rsidP="00F30790">
            <w:pPr>
              <w:jc w:val="right"/>
              <w:rPr>
                <w:rFonts w:ascii="Arial Narrow" w:hAnsi="Arial Narrow" w:cs="Arial"/>
                <w:sz w:val="20"/>
                <w:szCs w:val="20"/>
              </w:rPr>
            </w:pPr>
            <w:r w:rsidRPr="00F30790">
              <w:rPr>
                <w:rFonts w:ascii="Arial Narrow" w:hAnsi="Arial Narrow" w:cs="Arial"/>
                <w:sz w:val="20"/>
                <w:szCs w:val="20"/>
              </w:rPr>
              <w:t>480 339</w:t>
            </w:r>
          </w:p>
        </w:tc>
        <w:tc>
          <w:tcPr>
            <w:tcW w:w="1340" w:type="dxa"/>
            <w:tcBorders>
              <w:top w:val="nil"/>
              <w:left w:val="nil"/>
              <w:bottom w:val="single" w:sz="4" w:space="0" w:color="auto"/>
              <w:right w:val="single" w:sz="4" w:space="0" w:color="auto"/>
            </w:tcBorders>
            <w:shd w:val="clear" w:color="000000" w:fill="FFFFFF"/>
            <w:noWrap/>
            <w:vAlign w:val="center"/>
            <w:hideMark/>
          </w:tcPr>
          <w:p w14:paraId="2B058520" w14:textId="77777777" w:rsidR="00F30790" w:rsidRPr="00F30790" w:rsidRDefault="00F30790" w:rsidP="00F30790">
            <w:pPr>
              <w:jc w:val="right"/>
              <w:rPr>
                <w:rFonts w:ascii="Arial Narrow" w:hAnsi="Arial Narrow" w:cs="Arial"/>
                <w:sz w:val="20"/>
                <w:szCs w:val="20"/>
              </w:rPr>
            </w:pPr>
            <w:r w:rsidRPr="00F30790">
              <w:rPr>
                <w:rFonts w:ascii="Arial Narrow" w:hAnsi="Arial Narrow" w:cs="Arial"/>
                <w:sz w:val="20"/>
                <w:szCs w:val="20"/>
              </w:rPr>
              <w:t>148 822</w:t>
            </w:r>
          </w:p>
        </w:tc>
        <w:tc>
          <w:tcPr>
            <w:tcW w:w="1310" w:type="dxa"/>
            <w:tcBorders>
              <w:top w:val="nil"/>
              <w:left w:val="nil"/>
              <w:bottom w:val="single" w:sz="4" w:space="0" w:color="auto"/>
              <w:right w:val="single" w:sz="4" w:space="0" w:color="auto"/>
            </w:tcBorders>
            <w:shd w:val="clear" w:color="000000" w:fill="FFFFFF"/>
            <w:noWrap/>
            <w:vAlign w:val="center"/>
            <w:hideMark/>
          </w:tcPr>
          <w:p w14:paraId="0DD0F5DE" w14:textId="77777777" w:rsidR="00F30790" w:rsidRPr="00F30790" w:rsidRDefault="00F30790" w:rsidP="00F30790">
            <w:pPr>
              <w:jc w:val="right"/>
              <w:rPr>
                <w:rFonts w:ascii="Arial Narrow" w:hAnsi="Arial Narrow" w:cs="Arial"/>
                <w:sz w:val="20"/>
                <w:szCs w:val="20"/>
              </w:rPr>
            </w:pPr>
            <w:r w:rsidRPr="00F30790">
              <w:rPr>
                <w:rFonts w:ascii="Arial Narrow" w:hAnsi="Arial Narrow" w:cs="Arial"/>
                <w:sz w:val="20"/>
                <w:szCs w:val="20"/>
              </w:rPr>
              <w:t>2,2%</w:t>
            </w:r>
          </w:p>
        </w:tc>
        <w:tc>
          <w:tcPr>
            <w:tcW w:w="1340" w:type="dxa"/>
            <w:tcBorders>
              <w:top w:val="nil"/>
              <w:left w:val="nil"/>
              <w:bottom w:val="single" w:sz="4" w:space="0" w:color="auto"/>
              <w:right w:val="single" w:sz="4" w:space="0" w:color="auto"/>
            </w:tcBorders>
            <w:shd w:val="clear" w:color="000000" w:fill="FFFFFF"/>
            <w:noWrap/>
            <w:vAlign w:val="center"/>
            <w:hideMark/>
          </w:tcPr>
          <w:p w14:paraId="247505F0" w14:textId="77777777" w:rsidR="00F30790" w:rsidRPr="00F30790" w:rsidRDefault="00F30790" w:rsidP="00F30790">
            <w:pPr>
              <w:jc w:val="right"/>
              <w:rPr>
                <w:rFonts w:ascii="Arial Narrow" w:hAnsi="Arial Narrow" w:cs="Arial"/>
                <w:sz w:val="20"/>
                <w:szCs w:val="20"/>
              </w:rPr>
            </w:pPr>
            <w:r w:rsidRPr="00F30790">
              <w:rPr>
                <w:rFonts w:ascii="Arial Narrow" w:hAnsi="Arial Narrow" w:cs="Arial"/>
                <w:sz w:val="20"/>
                <w:szCs w:val="20"/>
              </w:rPr>
              <w:t>-331 517</w:t>
            </w:r>
          </w:p>
        </w:tc>
        <w:tc>
          <w:tcPr>
            <w:tcW w:w="1116" w:type="dxa"/>
            <w:tcBorders>
              <w:top w:val="nil"/>
              <w:left w:val="nil"/>
              <w:bottom w:val="single" w:sz="4" w:space="0" w:color="auto"/>
              <w:right w:val="single" w:sz="4" w:space="0" w:color="auto"/>
            </w:tcBorders>
            <w:shd w:val="clear" w:color="000000" w:fill="FFFFFF"/>
            <w:noWrap/>
            <w:vAlign w:val="center"/>
            <w:hideMark/>
          </w:tcPr>
          <w:p w14:paraId="38719C2F" w14:textId="77777777" w:rsidR="00F30790" w:rsidRPr="00F30790" w:rsidRDefault="00F30790" w:rsidP="00F30790">
            <w:pPr>
              <w:jc w:val="right"/>
              <w:rPr>
                <w:rFonts w:ascii="Arial Narrow" w:hAnsi="Arial Narrow" w:cs="Arial"/>
                <w:sz w:val="20"/>
                <w:szCs w:val="20"/>
              </w:rPr>
            </w:pPr>
            <w:r w:rsidRPr="00F30790">
              <w:rPr>
                <w:rFonts w:ascii="Arial Narrow" w:hAnsi="Arial Narrow" w:cs="Arial"/>
                <w:sz w:val="20"/>
                <w:szCs w:val="20"/>
              </w:rPr>
              <w:t>-69,0%</w:t>
            </w:r>
          </w:p>
        </w:tc>
      </w:tr>
      <w:tr w:rsidR="00F30790" w:rsidRPr="00F30790" w14:paraId="16DE5013" w14:textId="77777777" w:rsidTr="00CD44F3">
        <w:trPr>
          <w:trHeight w:val="342"/>
        </w:trPr>
        <w:tc>
          <w:tcPr>
            <w:tcW w:w="2155" w:type="dxa"/>
            <w:tcBorders>
              <w:top w:val="nil"/>
              <w:left w:val="single" w:sz="4" w:space="0" w:color="auto"/>
              <w:bottom w:val="single" w:sz="4" w:space="0" w:color="auto"/>
              <w:right w:val="single" w:sz="4" w:space="0" w:color="auto"/>
            </w:tcBorders>
            <w:shd w:val="clear" w:color="000000" w:fill="FFFFFF"/>
            <w:noWrap/>
            <w:vAlign w:val="center"/>
            <w:hideMark/>
          </w:tcPr>
          <w:p w14:paraId="7870ABE5" w14:textId="77777777" w:rsidR="00F30790" w:rsidRPr="00F30790" w:rsidRDefault="00F30790" w:rsidP="00F30790">
            <w:pPr>
              <w:ind w:firstLineChars="100" w:firstLine="200"/>
              <w:rPr>
                <w:rFonts w:ascii="Arial Narrow" w:hAnsi="Arial Narrow" w:cs="Arial"/>
                <w:sz w:val="20"/>
                <w:szCs w:val="20"/>
              </w:rPr>
            </w:pPr>
            <w:r w:rsidRPr="00F30790">
              <w:rPr>
                <w:rFonts w:ascii="Arial Narrow" w:hAnsi="Arial Narrow" w:cs="Arial"/>
                <w:sz w:val="20"/>
                <w:szCs w:val="20"/>
              </w:rPr>
              <w:t>Мароко</w:t>
            </w:r>
          </w:p>
        </w:tc>
        <w:tc>
          <w:tcPr>
            <w:tcW w:w="1340" w:type="dxa"/>
            <w:tcBorders>
              <w:top w:val="nil"/>
              <w:left w:val="nil"/>
              <w:bottom w:val="single" w:sz="4" w:space="0" w:color="auto"/>
              <w:right w:val="single" w:sz="4" w:space="0" w:color="auto"/>
            </w:tcBorders>
            <w:shd w:val="clear" w:color="000000" w:fill="FFFFFF"/>
            <w:noWrap/>
            <w:vAlign w:val="center"/>
            <w:hideMark/>
          </w:tcPr>
          <w:p w14:paraId="157F6E00" w14:textId="77777777" w:rsidR="00F30790" w:rsidRPr="00F30790" w:rsidRDefault="00F30790" w:rsidP="00F30790">
            <w:pPr>
              <w:jc w:val="right"/>
              <w:rPr>
                <w:rFonts w:ascii="Arial Narrow" w:hAnsi="Arial Narrow" w:cs="Arial"/>
                <w:sz w:val="20"/>
                <w:szCs w:val="20"/>
              </w:rPr>
            </w:pPr>
            <w:r w:rsidRPr="00F30790">
              <w:rPr>
                <w:rFonts w:ascii="Arial Narrow" w:hAnsi="Arial Narrow" w:cs="Arial"/>
                <w:sz w:val="20"/>
                <w:szCs w:val="20"/>
              </w:rPr>
              <w:t>37 787</w:t>
            </w:r>
          </w:p>
        </w:tc>
        <w:tc>
          <w:tcPr>
            <w:tcW w:w="1340" w:type="dxa"/>
            <w:tcBorders>
              <w:top w:val="nil"/>
              <w:left w:val="nil"/>
              <w:bottom w:val="single" w:sz="4" w:space="0" w:color="auto"/>
              <w:right w:val="single" w:sz="4" w:space="0" w:color="auto"/>
            </w:tcBorders>
            <w:shd w:val="clear" w:color="000000" w:fill="FFFFFF"/>
            <w:noWrap/>
            <w:vAlign w:val="center"/>
            <w:hideMark/>
          </w:tcPr>
          <w:p w14:paraId="54ABA893" w14:textId="77777777" w:rsidR="00F30790" w:rsidRPr="00F30790" w:rsidRDefault="00F30790" w:rsidP="00F30790">
            <w:pPr>
              <w:jc w:val="right"/>
              <w:rPr>
                <w:rFonts w:ascii="Arial Narrow" w:hAnsi="Arial Narrow" w:cs="Arial"/>
                <w:sz w:val="20"/>
                <w:szCs w:val="20"/>
              </w:rPr>
            </w:pPr>
            <w:r w:rsidRPr="00F30790">
              <w:rPr>
                <w:rFonts w:ascii="Arial Narrow" w:hAnsi="Arial Narrow" w:cs="Arial"/>
                <w:sz w:val="20"/>
                <w:szCs w:val="20"/>
              </w:rPr>
              <w:t>132 217</w:t>
            </w:r>
          </w:p>
        </w:tc>
        <w:tc>
          <w:tcPr>
            <w:tcW w:w="1340" w:type="dxa"/>
            <w:tcBorders>
              <w:top w:val="nil"/>
              <w:left w:val="nil"/>
              <w:bottom w:val="single" w:sz="4" w:space="0" w:color="auto"/>
              <w:right w:val="single" w:sz="4" w:space="0" w:color="auto"/>
            </w:tcBorders>
            <w:shd w:val="clear" w:color="000000" w:fill="FFFFFF"/>
            <w:noWrap/>
            <w:vAlign w:val="center"/>
            <w:hideMark/>
          </w:tcPr>
          <w:p w14:paraId="586F008B" w14:textId="77777777" w:rsidR="00F30790" w:rsidRPr="00F30790" w:rsidRDefault="00F30790" w:rsidP="00F30790">
            <w:pPr>
              <w:jc w:val="right"/>
              <w:rPr>
                <w:rFonts w:ascii="Arial Narrow" w:hAnsi="Arial Narrow" w:cs="Arial"/>
                <w:sz w:val="20"/>
                <w:szCs w:val="20"/>
              </w:rPr>
            </w:pPr>
            <w:r w:rsidRPr="00F30790">
              <w:rPr>
                <w:rFonts w:ascii="Arial Narrow" w:hAnsi="Arial Narrow" w:cs="Arial"/>
                <w:sz w:val="20"/>
                <w:szCs w:val="20"/>
              </w:rPr>
              <w:t>134 789</w:t>
            </w:r>
          </w:p>
        </w:tc>
        <w:tc>
          <w:tcPr>
            <w:tcW w:w="1310" w:type="dxa"/>
            <w:tcBorders>
              <w:top w:val="nil"/>
              <w:left w:val="nil"/>
              <w:bottom w:val="single" w:sz="4" w:space="0" w:color="auto"/>
              <w:right w:val="single" w:sz="4" w:space="0" w:color="auto"/>
            </w:tcBorders>
            <w:shd w:val="clear" w:color="000000" w:fill="FFFFFF"/>
            <w:noWrap/>
            <w:vAlign w:val="center"/>
            <w:hideMark/>
          </w:tcPr>
          <w:p w14:paraId="3574B8FA" w14:textId="77777777" w:rsidR="00F30790" w:rsidRPr="00F30790" w:rsidRDefault="00F30790" w:rsidP="00F30790">
            <w:pPr>
              <w:jc w:val="right"/>
              <w:rPr>
                <w:rFonts w:ascii="Arial Narrow" w:hAnsi="Arial Narrow" w:cs="Arial"/>
                <w:sz w:val="20"/>
                <w:szCs w:val="20"/>
              </w:rPr>
            </w:pPr>
            <w:r w:rsidRPr="00F30790">
              <w:rPr>
                <w:rFonts w:ascii="Arial Narrow" w:hAnsi="Arial Narrow" w:cs="Arial"/>
                <w:sz w:val="20"/>
                <w:szCs w:val="20"/>
              </w:rPr>
              <w:t>2,0%</w:t>
            </w:r>
          </w:p>
        </w:tc>
        <w:tc>
          <w:tcPr>
            <w:tcW w:w="1340" w:type="dxa"/>
            <w:tcBorders>
              <w:top w:val="nil"/>
              <w:left w:val="nil"/>
              <w:bottom w:val="single" w:sz="4" w:space="0" w:color="auto"/>
              <w:right w:val="single" w:sz="4" w:space="0" w:color="auto"/>
            </w:tcBorders>
            <w:shd w:val="clear" w:color="000000" w:fill="FFFFFF"/>
            <w:noWrap/>
            <w:vAlign w:val="center"/>
            <w:hideMark/>
          </w:tcPr>
          <w:p w14:paraId="59E9188C" w14:textId="77777777" w:rsidR="00F30790" w:rsidRPr="00F30790" w:rsidRDefault="00F30790" w:rsidP="00F30790">
            <w:pPr>
              <w:jc w:val="right"/>
              <w:rPr>
                <w:rFonts w:ascii="Arial Narrow" w:hAnsi="Arial Narrow" w:cs="Arial"/>
                <w:sz w:val="20"/>
                <w:szCs w:val="20"/>
              </w:rPr>
            </w:pPr>
            <w:r w:rsidRPr="00F30790">
              <w:rPr>
                <w:rFonts w:ascii="Arial Narrow" w:hAnsi="Arial Narrow" w:cs="Arial"/>
                <w:sz w:val="20"/>
                <w:szCs w:val="20"/>
              </w:rPr>
              <w:t>2 572</w:t>
            </w:r>
          </w:p>
        </w:tc>
        <w:tc>
          <w:tcPr>
            <w:tcW w:w="1116" w:type="dxa"/>
            <w:tcBorders>
              <w:top w:val="nil"/>
              <w:left w:val="nil"/>
              <w:bottom w:val="single" w:sz="4" w:space="0" w:color="auto"/>
              <w:right w:val="single" w:sz="4" w:space="0" w:color="auto"/>
            </w:tcBorders>
            <w:shd w:val="clear" w:color="000000" w:fill="FFFFFF"/>
            <w:noWrap/>
            <w:vAlign w:val="center"/>
            <w:hideMark/>
          </w:tcPr>
          <w:p w14:paraId="5E5FA8DF" w14:textId="77777777" w:rsidR="00F30790" w:rsidRPr="00F30790" w:rsidRDefault="00F30790" w:rsidP="00F30790">
            <w:pPr>
              <w:jc w:val="right"/>
              <w:rPr>
                <w:rFonts w:ascii="Arial Narrow" w:hAnsi="Arial Narrow" w:cs="Arial"/>
                <w:sz w:val="20"/>
                <w:szCs w:val="20"/>
              </w:rPr>
            </w:pPr>
            <w:r w:rsidRPr="00F30790">
              <w:rPr>
                <w:rFonts w:ascii="Arial Narrow" w:hAnsi="Arial Narrow" w:cs="Arial"/>
                <w:sz w:val="20"/>
                <w:szCs w:val="20"/>
              </w:rPr>
              <w:t>1,9%</w:t>
            </w:r>
          </w:p>
        </w:tc>
      </w:tr>
      <w:tr w:rsidR="00F30790" w:rsidRPr="00F30790" w14:paraId="1615A2D6" w14:textId="77777777" w:rsidTr="00CD44F3">
        <w:trPr>
          <w:trHeight w:val="342"/>
        </w:trPr>
        <w:tc>
          <w:tcPr>
            <w:tcW w:w="2155" w:type="dxa"/>
            <w:tcBorders>
              <w:top w:val="nil"/>
              <w:left w:val="single" w:sz="4" w:space="0" w:color="auto"/>
              <w:bottom w:val="single" w:sz="4" w:space="0" w:color="auto"/>
              <w:right w:val="single" w:sz="4" w:space="0" w:color="auto"/>
            </w:tcBorders>
            <w:shd w:val="clear" w:color="000000" w:fill="FFFFFF"/>
            <w:noWrap/>
            <w:vAlign w:val="center"/>
            <w:hideMark/>
          </w:tcPr>
          <w:p w14:paraId="69B2B34E" w14:textId="77777777" w:rsidR="00F30790" w:rsidRPr="00F30790" w:rsidRDefault="00F30790" w:rsidP="00F30790">
            <w:pPr>
              <w:ind w:firstLineChars="100" w:firstLine="200"/>
              <w:rPr>
                <w:rFonts w:ascii="Arial Narrow" w:hAnsi="Arial Narrow" w:cs="Arial"/>
                <w:sz w:val="20"/>
                <w:szCs w:val="20"/>
              </w:rPr>
            </w:pPr>
            <w:r w:rsidRPr="00F30790">
              <w:rPr>
                <w:rFonts w:ascii="Arial Narrow" w:hAnsi="Arial Narrow" w:cs="Arial"/>
                <w:sz w:val="20"/>
                <w:szCs w:val="20"/>
              </w:rPr>
              <w:t>Ирак</w:t>
            </w:r>
          </w:p>
        </w:tc>
        <w:tc>
          <w:tcPr>
            <w:tcW w:w="1340" w:type="dxa"/>
            <w:tcBorders>
              <w:top w:val="nil"/>
              <w:left w:val="nil"/>
              <w:bottom w:val="single" w:sz="4" w:space="0" w:color="auto"/>
              <w:right w:val="single" w:sz="4" w:space="0" w:color="auto"/>
            </w:tcBorders>
            <w:shd w:val="clear" w:color="000000" w:fill="FFFFFF"/>
            <w:noWrap/>
            <w:vAlign w:val="center"/>
            <w:hideMark/>
          </w:tcPr>
          <w:p w14:paraId="07959F57" w14:textId="77777777" w:rsidR="00F30790" w:rsidRPr="00F30790" w:rsidRDefault="00F30790" w:rsidP="00F30790">
            <w:pPr>
              <w:jc w:val="right"/>
              <w:rPr>
                <w:rFonts w:ascii="Arial Narrow" w:hAnsi="Arial Narrow" w:cs="Arial"/>
                <w:sz w:val="20"/>
                <w:szCs w:val="20"/>
              </w:rPr>
            </w:pPr>
            <w:r w:rsidRPr="00F30790">
              <w:rPr>
                <w:rFonts w:ascii="Arial Narrow" w:hAnsi="Arial Narrow" w:cs="Arial"/>
                <w:sz w:val="20"/>
                <w:szCs w:val="20"/>
              </w:rPr>
              <w:t>140 547</w:t>
            </w:r>
          </w:p>
        </w:tc>
        <w:tc>
          <w:tcPr>
            <w:tcW w:w="1340" w:type="dxa"/>
            <w:tcBorders>
              <w:top w:val="nil"/>
              <w:left w:val="nil"/>
              <w:bottom w:val="single" w:sz="4" w:space="0" w:color="auto"/>
              <w:right w:val="single" w:sz="4" w:space="0" w:color="auto"/>
            </w:tcBorders>
            <w:shd w:val="clear" w:color="000000" w:fill="FFFFFF"/>
            <w:noWrap/>
            <w:vAlign w:val="center"/>
            <w:hideMark/>
          </w:tcPr>
          <w:p w14:paraId="120E8494" w14:textId="77777777" w:rsidR="00F30790" w:rsidRPr="00F30790" w:rsidRDefault="00F30790" w:rsidP="00F30790">
            <w:pPr>
              <w:jc w:val="right"/>
              <w:rPr>
                <w:rFonts w:ascii="Arial Narrow" w:hAnsi="Arial Narrow" w:cs="Arial"/>
                <w:sz w:val="20"/>
                <w:szCs w:val="20"/>
              </w:rPr>
            </w:pPr>
            <w:r w:rsidRPr="00F30790">
              <w:rPr>
                <w:rFonts w:ascii="Arial Narrow" w:hAnsi="Arial Narrow" w:cs="Arial"/>
                <w:sz w:val="20"/>
                <w:szCs w:val="20"/>
              </w:rPr>
              <w:t>99 383</w:t>
            </w:r>
          </w:p>
        </w:tc>
        <w:tc>
          <w:tcPr>
            <w:tcW w:w="1340" w:type="dxa"/>
            <w:tcBorders>
              <w:top w:val="nil"/>
              <w:left w:val="nil"/>
              <w:bottom w:val="single" w:sz="4" w:space="0" w:color="auto"/>
              <w:right w:val="single" w:sz="4" w:space="0" w:color="auto"/>
            </w:tcBorders>
            <w:shd w:val="clear" w:color="000000" w:fill="FFFFFF"/>
            <w:noWrap/>
            <w:vAlign w:val="center"/>
            <w:hideMark/>
          </w:tcPr>
          <w:p w14:paraId="5200EF8A" w14:textId="77777777" w:rsidR="00F30790" w:rsidRPr="00F30790" w:rsidRDefault="00F30790" w:rsidP="00F30790">
            <w:pPr>
              <w:jc w:val="right"/>
              <w:rPr>
                <w:rFonts w:ascii="Arial Narrow" w:hAnsi="Arial Narrow" w:cs="Arial"/>
                <w:sz w:val="20"/>
                <w:szCs w:val="20"/>
              </w:rPr>
            </w:pPr>
            <w:r w:rsidRPr="00F30790">
              <w:rPr>
                <w:rFonts w:ascii="Arial Narrow" w:hAnsi="Arial Narrow" w:cs="Arial"/>
                <w:sz w:val="20"/>
                <w:szCs w:val="20"/>
              </w:rPr>
              <w:t>128 000</w:t>
            </w:r>
          </w:p>
        </w:tc>
        <w:tc>
          <w:tcPr>
            <w:tcW w:w="1310" w:type="dxa"/>
            <w:tcBorders>
              <w:top w:val="nil"/>
              <w:left w:val="nil"/>
              <w:bottom w:val="single" w:sz="4" w:space="0" w:color="auto"/>
              <w:right w:val="single" w:sz="4" w:space="0" w:color="auto"/>
            </w:tcBorders>
            <w:shd w:val="clear" w:color="000000" w:fill="FFFFFF"/>
            <w:noWrap/>
            <w:vAlign w:val="center"/>
            <w:hideMark/>
          </w:tcPr>
          <w:p w14:paraId="08F26FCE" w14:textId="77777777" w:rsidR="00F30790" w:rsidRPr="00F30790" w:rsidRDefault="00F30790" w:rsidP="00F30790">
            <w:pPr>
              <w:jc w:val="right"/>
              <w:rPr>
                <w:rFonts w:ascii="Arial Narrow" w:hAnsi="Arial Narrow" w:cs="Arial"/>
                <w:sz w:val="20"/>
                <w:szCs w:val="20"/>
              </w:rPr>
            </w:pPr>
            <w:r w:rsidRPr="00F30790">
              <w:rPr>
                <w:rFonts w:ascii="Arial Narrow" w:hAnsi="Arial Narrow" w:cs="Arial"/>
                <w:sz w:val="20"/>
                <w:szCs w:val="20"/>
              </w:rPr>
              <w:t>1,9%</w:t>
            </w:r>
          </w:p>
        </w:tc>
        <w:tc>
          <w:tcPr>
            <w:tcW w:w="1340" w:type="dxa"/>
            <w:tcBorders>
              <w:top w:val="nil"/>
              <w:left w:val="nil"/>
              <w:bottom w:val="single" w:sz="4" w:space="0" w:color="auto"/>
              <w:right w:val="single" w:sz="4" w:space="0" w:color="auto"/>
            </w:tcBorders>
            <w:shd w:val="clear" w:color="000000" w:fill="FFFFFF"/>
            <w:noWrap/>
            <w:vAlign w:val="center"/>
            <w:hideMark/>
          </w:tcPr>
          <w:p w14:paraId="57B7F02D" w14:textId="77777777" w:rsidR="00F30790" w:rsidRPr="00F30790" w:rsidRDefault="00F30790" w:rsidP="00F30790">
            <w:pPr>
              <w:jc w:val="right"/>
              <w:rPr>
                <w:rFonts w:ascii="Arial Narrow" w:hAnsi="Arial Narrow" w:cs="Arial"/>
                <w:sz w:val="20"/>
                <w:szCs w:val="20"/>
              </w:rPr>
            </w:pPr>
            <w:r w:rsidRPr="00F30790">
              <w:rPr>
                <w:rFonts w:ascii="Arial Narrow" w:hAnsi="Arial Narrow" w:cs="Arial"/>
                <w:sz w:val="20"/>
                <w:szCs w:val="20"/>
              </w:rPr>
              <w:t>28 617</w:t>
            </w:r>
          </w:p>
        </w:tc>
        <w:tc>
          <w:tcPr>
            <w:tcW w:w="1116" w:type="dxa"/>
            <w:tcBorders>
              <w:top w:val="nil"/>
              <w:left w:val="nil"/>
              <w:bottom w:val="single" w:sz="4" w:space="0" w:color="auto"/>
              <w:right w:val="single" w:sz="4" w:space="0" w:color="auto"/>
            </w:tcBorders>
            <w:shd w:val="clear" w:color="000000" w:fill="FFFFFF"/>
            <w:noWrap/>
            <w:vAlign w:val="center"/>
            <w:hideMark/>
          </w:tcPr>
          <w:p w14:paraId="4685CCFB" w14:textId="77777777" w:rsidR="00F30790" w:rsidRPr="00F30790" w:rsidRDefault="00F30790" w:rsidP="00F30790">
            <w:pPr>
              <w:jc w:val="right"/>
              <w:rPr>
                <w:rFonts w:ascii="Arial Narrow" w:hAnsi="Arial Narrow" w:cs="Arial"/>
                <w:sz w:val="20"/>
                <w:szCs w:val="20"/>
              </w:rPr>
            </w:pPr>
            <w:r w:rsidRPr="00F30790">
              <w:rPr>
                <w:rFonts w:ascii="Arial Narrow" w:hAnsi="Arial Narrow" w:cs="Arial"/>
                <w:sz w:val="20"/>
                <w:szCs w:val="20"/>
              </w:rPr>
              <w:t>28,8%</w:t>
            </w:r>
          </w:p>
        </w:tc>
      </w:tr>
      <w:tr w:rsidR="00F30790" w:rsidRPr="00F30790" w14:paraId="7150B29D" w14:textId="77777777" w:rsidTr="00CD44F3">
        <w:trPr>
          <w:trHeight w:val="342"/>
        </w:trPr>
        <w:tc>
          <w:tcPr>
            <w:tcW w:w="2155" w:type="dxa"/>
            <w:tcBorders>
              <w:top w:val="nil"/>
              <w:left w:val="single" w:sz="4" w:space="0" w:color="auto"/>
              <w:bottom w:val="single" w:sz="4" w:space="0" w:color="auto"/>
              <w:right w:val="single" w:sz="4" w:space="0" w:color="auto"/>
            </w:tcBorders>
            <w:shd w:val="clear" w:color="000000" w:fill="FFFFFF"/>
            <w:noWrap/>
            <w:vAlign w:val="center"/>
            <w:hideMark/>
          </w:tcPr>
          <w:p w14:paraId="5714A390" w14:textId="77777777" w:rsidR="00F30790" w:rsidRPr="00F30790" w:rsidRDefault="00F30790" w:rsidP="00F30790">
            <w:pPr>
              <w:ind w:firstLineChars="100" w:firstLine="200"/>
              <w:rPr>
                <w:rFonts w:ascii="Arial Narrow" w:hAnsi="Arial Narrow" w:cs="Arial"/>
                <w:sz w:val="20"/>
                <w:szCs w:val="20"/>
              </w:rPr>
            </w:pPr>
            <w:r w:rsidRPr="00F30790">
              <w:rPr>
                <w:rFonts w:ascii="Arial Narrow" w:hAnsi="Arial Narrow" w:cs="Arial"/>
                <w:sz w:val="20"/>
                <w:szCs w:val="20"/>
              </w:rPr>
              <w:t>Египет</w:t>
            </w:r>
          </w:p>
        </w:tc>
        <w:tc>
          <w:tcPr>
            <w:tcW w:w="1340" w:type="dxa"/>
            <w:tcBorders>
              <w:top w:val="nil"/>
              <w:left w:val="nil"/>
              <w:bottom w:val="single" w:sz="4" w:space="0" w:color="auto"/>
              <w:right w:val="single" w:sz="4" w:space="0" w:color="auto"/>
            </w:tcBorders>
            <w:shd w:val="clear" w:color="000000" w:fill="FFFFFF"/>
            <w:noWrap/>
            <w:vAlign w:val="center"/>
            <w:hideMark/>
          </w:tcPr>
          <w:p w14:paraId="4DD3B184" w14:textId="77777777" w:rsidR="00F30790" w:rsidRPr="00F30790" w:rsidRDefault="00F30790" w:rsidP="00F30790">
            <w:pPr>
              <w:jc w:val="right"/>
              <w:rPr>
                <w:rFonts w:ascii="Arial Narrow" w:hAnsi="Arial Narrow" w:cs="Arial"/>
                <w:sz w:val="20"/>
                <w:szCs w:val="20"/>
              </w:rPr>
            </w:pPr>
            <w:r w:rsidRPr="00F30790">
              <w:rPr>
                <w:rFonts w:ascii="Arial Narrow" w:hAnsi="Arial Narrow" w:cs="Arial"/>
                <w:sz w:val="20"/>
                <w:szCs w:val="20"/>
              </w:rPr>
              <w:t>94 939</w:t>
            </w:r>
          </w:p>
        </w:tc>
        <w:tc>
          <w:tcPr>
            <w:tcW w:w="1340" w:type="dxa"/>
            <w:tcBorders>
              <w:top w:val="nil"/>
              <w:left w:val="nil"/>
              <w:bottom w:val="single" w:sz="4" w:space="0" w:color="auto"/>
              <w:right w:val="single" w:sz="4" w:space="0" w:color="auto"/>
            </w:tcBorders>
            <w:shd w:val="clear" w:color="000000" w:fill="FFFFFF"/>
            <w:noWrap/>
            <w:vAlign w:val="center"/>
            <w:hideMark/>
          </w:tcPr>
          <w:p w14:paraId="4D4DE580" w14:textId="77777777" w:rsidR="00F30790" w:rsidRPr="00F30790" w:rsidRDefault="00F30790" w:rsidP="00F30790">
            <w:pPr>
              <w:jc w:val="right"/>
              <w:rPr>
                <w:rFonts w:ascii="Arial Narrow" w:hAnsi="Arial Narrow" w:cs="Arial"/>
                <w:sz w:val="20"/>
                <w:szCs w:val="20"/>
              </w:rPr>
            </w:pPr>
            <w:r w:rsidRPr="00F30790">
              <w:rPr>
                <w:rFonts w:ascii="Arial Narrow" w:hAnsi="Arial Narrow" w:cs="Arial"/>
                <w:sz w:val="20"/>
                <w:szCs w:val="20"/>
              </w:rPr>
              <w:t>134 939</w:t>
            </w:r>
          </w:p>
        </w:tc>
        <w:tc>
          <w:tcPr>
            <w:tcW w:w="1340" w:type="dxa"/>
            <w:tcBorders>
              <w:top w:val="nil"/>
              <w:left w:val="nil"/>
              <w:bottom w:val="single" w:sz="4" w:space="0" w:color="auto"/>
              <w:right w:val="single" w:sz="4" w:space="0" w:color="auto"/>
            </w:tcBorders>
            <w:shd w:val="clear" w:color="000000" w:fill="FFFFFF"/>
            <w:noWrap/>
            <w:vAlign w:val="center"/>
            <w:hideMark/>
          </w:tcPr>
          <w:p w14:paraId="406A4374" w14:textId="77777777" w:rsidR="00F30790" w:rsidRPr="00F30790" w:rsidRDefault="00F30790" w:rsidP="00F30790">
            <w:pPr>
              <w:jc w:val="right"/>
              <w:rPr>
                <w:rFonts w:ascii="Arial Narrow" w:hAnsi="Arial Narrow" w:cs="Arial"/>
                <w:sz w:val="20"/>
                <w:szCs w:val="20"/>
              </w:rPr>
            </w:pPr>
            <w:r w:rsidRPr="00F30790">
              <w:rPr>
                <w:rFonts w:ascii="Arial Narrow" w:hAnsi="Arial Narrow" w:cs="Arial"/>
                <w:sz w:val="20"/>
                <w:szCs w:val="20"/>
              </w:rPr>
              <w:t>120 285</w:t>
            </w:r>
          </w:p>
        </w:tc>
        <w:tc>
          <w:tcPr>
            <w:tcW w:w="1310" w:type="dxa"/>
            <w:tcBorders>
              <w:top w:val="nil"/>
              <w:left w:val="nil"/>
              <w:bottom w:val="single" w:sz="4" w:space="0" w:color="auto"/>
              <w:right w:val="single" w:sz="4" w:space="0" w:color="auto"/>
            </w:tcBorders>
            <w:shd w:val="clear" w:color="000000" w:fill="FFFFFF"/>
            <w:noWrap/>
            <w:vAlign w:val="center"/>
            <w:hideMark/>
          </w:tcPr>
          <w:p w14:paraId="47AA9ED1" w14:textId="77777777" w:rsidR="00F30790" w:rsidRPr="00F30790" w:rsidRDefault="00F30790" w:rsidP="00F30790">
            <w:pPr>
              <w:jc w:val="right"/>
              <w:rPr>
                <w:rFonts w:ascii="Arial Narrow" w:hAnsi="Arial Narrow" w:cs="Arial"/>
                <w:sz w:val="20"/>
                <w:szCs w:val="20"/>
              </w:rPr>
            </w:pPr>
            <w:r w:rsidRPr="00F30790">
              <w:rPr>
                <w:rFonts w:ascii="Arial Narrow" w:hAnsi="Arial Narrow" w:cs="Arial"/>
                <w:sz w:val="20"/>
                <w:szCs w:val="20"/>
              </w:rPr>
              <w:t>1,8%</w:t>
            </w:r>
          </w:p>
        </w:tc>
        <w:tc>
          <w:tcPr>
            <w:tcW w:w="1340" w:type="dxa"/>
            <w:tcBorders>
              <w:top w:val="nil"/>
              <w:left w:val="nil"/>
              <w:bottom w:val="single" w:sz="4" w:space="0" w:color="auto"/>
              <w:right w:val="single" w:sz="4" w:space="0" w:color="auto"/>
            </w:tcBorders>
            <w:shd w:val="clear" w:color="000000" w:fill="FFFFFF"/>
            <w:noWrap/>
            <w:vAlign w:val="center"/>
            <w:hideMark/>
          </w:tcPr>
          <w:p w14:paraId="779BA46B" w14:textId="77777777" w:rsidR="00F30790" w:rsidRPr="00F30790" w:rsidRDefault="00F30790" w:rsidP="00F30790">
            <w:pPr>
              <w:jc w:val="right"/>
              <w:rPr>
                <w:rFonts w:ascii="Arial Narrow" w:hAnsi="Arial Narrow" w:cs="Arial"/>
                <w:sz w:val="20"/>
                <w:szCs w:val="20"/>
              </w:rPr>
            </w:pPr>
            <w:r w:rsidRPr="00F30790">
              <w:rPr>
                <w:rFonts w:ascii="Arial Narrow" w:hAnsi="Arial Narrow" w:cs="Arial"/>
                <w:sz w:val="20"/>
                <w:szCs w:val="20"/>
              </w:rPr>
              <w:t>-14 654</w:t>
            </w:r>
          </w:p>
        </w:tc>
        <w:tc>
          <w:tcPr>
            <w:tcW w:w="1116" w:type="dxa"/>
            <w:tcBorders>
              <w:top w:val="nil"/>
              <w:left w:val="nil"/>
              <w:bottom w:val="single" w:sz="4" w:space="0" w:color="auto"/>
              <w:right w:val="single" w:sz="4" w:space="0" w:color="auto"/>
            </w:tcBorders>
            <w:shd w:val="clear" w:color="000000" w:fill="FFFFFF"/>
            <w:noWrap/>
            <w:vAlign w:val="center"/>
            <w:hideMark/>
          </w:tcPr>
          <w:p w14:paraId="28FF9DAD" w14:textId="77777777" w:rsidR="00F30790" w:rsidRPr="00F30790" w:rsidRDefault="00F30790" w:rsidP="00F30790">
            <w:pPr>
              <w:jc w:val="right"/>
              <w:rPr>
                <w:rFonts w:ascii="Arial Narrow" w:hAnsi="Arial Narrow" w:cs="Arial"/>
                <w:sz w:val="20"/>
                <w:szCs w:val="20"/>
              </w:rPr>
            </w:pPr>
            <w:r w:rsidRPr="00F30790">
              <w:rPr>
                <w:rFonts w:ascii="Arial Narrow" w:hAnsi="Arial Narrow" w:cs="Arial"/>
                <w:sz w:val="20"/>
                <w:szCs w:val="20"/>
              </w:rPr>
              <w:t>-10,9%</w:t>
            </w:r>
          </w:p>
        </w:tc>
      </w:tr>
      <w:tr w:rsidR="00F30790" w:rsidRPr="00F30790" w14:paraId="6EA718DC" w14:textId="77777777" w:rsidTr="00CD44F3">
        <w:trPr>
          <w:trHeight w:val="342"/>
        </w:trPr>
        <w:tc>
          <w:tcPr>
            <w:tcW w:w="2155" w:type="dxa"/>
            <w:tcBorders>
              <w:top w:val="nil"/>
              <w:left w:val="single" w:sz="4" w:space="0" w:color="auto"/>
              <w:bottom w:val="single" w:sz="4" w:space="0" w:color="auto"/>
              <w:right w:val="single" w:sz="4" w:space="0" w:color="auto"/>
            </w:tcBorders>
            <w:shd w:val="clear" w:color="000000" w:fill="FFFFFF"/>
            <w:noWrap/>
            <w:vAlign w:val="center"/>
            <w:hideMark/>
          </w:tcPr>
          <w:p w14:paraId="3FE116CA" w14:textId="77777777" w:rsidR="00F30790" w:rsidRPr="00F30790" w:rsidRDefault="00F30790" w:rsidP="00F30790">
            <w:pPr>
              <w:ind w:firstLineChars="100" w:firstLine="200"/>
              <w:rPr>
                <w:rFonts w:ascii="Arial Narrow" w:hAnsi="Arial Narrow" w:cs="Arial"/>
                <w:sz w:val="20"/>
                <w:szCs w:val="20"/>
              </w:rPr>
            </w:pPr>
            <w:r w:rsidRPr="00F30790">
              <w:rPr>
                <w:rFonts w:ascii="Arial Narrow" w:hAnsi="Arial Narrow" w:cs="Arial"/>
                <w:sz w:val="20"/>
                <w:szCs w:val="20"/>
              </w:rPr>
              <w:t>Тайланд</w:t>
            </w:r>
          </w:p>
        </w:tc>
        <w:tc>
          <w:tcPr>
            <w:tcW w:w="1340" w:type="dxa"/>
            <w:tcBorders>
              <w:top w:val="nil"/>
              <w:left w:val="nil"/>
              <w:bottom w:val="single" w:sz="4" w:space="0" w:color="auto"/>
              <w:right w:val="single" w:sz="4" w:space="0" w:color="auto"/>
            </w:tcBorders>
            <w:shd w:val="clear" w:color="000000" w:fill="FFFFFF"/>
            <w:noWrap/>
            <w:vAlign w:val="center"/>
            <w:hideMark/>
          </w:tcPr>
          <w:p w14:paraId="393410A2" w14:textId="77777777" w:rsidR="00F30790" w:rsidRPr="00F30790" w:rsidRDefault="00F30790" w:rsidP="00F30790">
            <w:pPr>
              <w:jc w:val="right"/>
              <w:rPr>
                <w:rFonts w:ascii="Arial Narrow" w:hAnsi="Arial Narrow" w:cs="Arial"/>
                <w:sz w:val="20"/>
                <w:szCs w:val="20"/>
              </w:rPr>
            </w:pPr>
            <w:r w:rsidRPr="00F30790">
              <w:rPr>
                <w:rFonts w:ascii="Arial Narrow" w:hAnsi="Arial Narrow" w:cs="Arial"/>
                <w:sz w:val="20"/>
                <w:szCs w:val="20"/>
              </w:rPr>
              <w:t>7 508</w:t>
            </w:r>
          </w:p>
        </w:tc>
        <w:tc>
          <w:tcPr>
            <w:tcW w:w="1340" w:type="dxa"/>
            <w:tcBorders>
              <w:top w:val="nil"/>
              <w:left w:val="nil"/>
              <w:bottom w:val="single" w:sz="4" w:space="0" w:color="auto"/>
              <w:right w:val="single" w:sz="4" w:space="0" w:color="auto"/>
            </w:tcBorders>
            <w:shd w:val="clear" w:color="000000" w:fill="FFFFFF"/>
            <w:noWrap/>
            <w:vAlign w:val="center"/>
            <w:hideMark/>
          </w:tcPr>
          <w:p w14:paraId="1D6EFB1C" w14:textId="77777777" w:rsidR="00F30790" w:rsidRPr="00F30790" w:rsidRDefault="00F30790" w:rsidP="00F30790">
            <w:pPr>
              <w:jc w:val="right"/>
              <w:rPr>
                <w:rFonts w:ascii="Arial Narrow" w:hAnsi="Arial Narrow" w:cs="Arial"/>
                <w:sz w:val="20"/>
                <w:szCs w:val="20"/>
              </w:rPr>
            </w:pPr>
            <w:r w:rsidRPr="00F30790">
              <w:rPr>
                <w:rFonts w:ascii="Arial Narrow" w:hAnsi="Arial Narrow" w:cs="Arial"/>
                <w:sz w:val="20"/>
                <w:szCs w:val="20"/>
              </w:rPr>
              <w:t>97 219</w:t>
            </w:r>
          </w:p>
        </w:tc>
        <w:tc>
          <w:tcPr>
            <w:tcW w:w="1340" w:type="dxa"/>
            <w:tcBorders>
              <w:top w:val="nil"/>
              <w:left w:val="nil"/>
              <w:bottom w:val="single" w:sz="4" w:space="0" w:color="auto"/>
              <w:right w:val="single" w:sz="4" w:space="0" w:color="auto"/>
            </w:tcBorders>
            <w:shd w:val="clear" w:color="000000" w:fill="FFFFFF"/>
            <w:noWrap/>
            <w:vAlign w:val="center"/>
            <w:hideMark/>
          </w:tcPr>
          <w:p w14:paraId="45A415FF" w14:textId="77777777" w:rsidR="00F30790" w:rsidRPr="00F30790" w:rsidRDefault="00F30790" w:rsidP="00F30790">
            <w:pPr>
              <w:jc w:val="right"/>
              <w:rPr>
                <w:rFonts w:ascii="Arial Narrow" w:hAnsi="Arial Narrow" w:cs="Arial"/>
                <w:sz w:val="20"/>
                <w:szCs w:val="20"/>
              </w:rPr>
            </w:pPr>
            <w:r w:rsidRPr="00F30790">
              <w:rPr>
                <w:rFonts w:ascii="Arial Narrow" w:hAnsi="Arial Narrow" w:cs="Arial"/>
                <w:sz w:val="20"/>
                <w:szCs w:val="20"/>
              </w:rPr>
              <w:t>104 658</w:t>
            </w:r>
          </w:p>
        </w:tc>
        <w:tc>
          <w:tcPr>
            <w:tcW w:w="1310" w:type="dxa"/>
            <w:tcBorders>
              <w:top w:val="nil"/>
              <w:left w:val="nil"/>
              <w:bottom w:val="single" w:sz="4" w:space="0" w:color="auto"/>
              <w:right w:val="single" w:sz="4" w:space="0" w:color="auto"/>
            </w:tcBorders>
            <w:shd w:val="clear" w:color="000000" w:fill="FFFFFF"/>
            <w:noWrap/>
            <w:vAlign w:val="center"/>
            <w:hideMark/>
          </w:tcPr>
          <w:p w14:paraId="42ECB3A6" w14:textId="77777777" w:rsidR="00F30790" w:rsidRPr="00F30790" w:rsidRDefault="00F30790" w:rsidP="00F30790">
            <w:pPr>
              <w:jc w:val="right"/>
              <w:rPr>
                <w:rFonts w:ascii="Arial Narrow" w:hAnsi="Arial Narrow" w:cs="Arial"/>
                <w:sz w:val="20"/>
                <w:szCs w:val="20"/>
              </w:rPr>
            </w:pPr>
            <w:r w:rsidRPr="00F30790">
              <w:rPr>
                <w:rFonts w:ascii="Arial Narrow" w:hAnsi="Arial Narrow" w:cs="Arial"/>
                <w:sz w:val="20"/>
                <w:szCs w:val="20"/>
              </w:rPr>
              <w:t>1,6%</w:t>
            </w:r>
          </w:p>
        </w:tc>
        <w:tc>
          <w:tcPr>
            <w:tcW w:w="1340" w:type="dxa"/>
            <w:tcBorders>
              <w:top w:val="nil"/>
              <w:left w:val="nil"/>
              <w:bottom w:val="single" w:sz="4" w:space="0" w:color="auto"/>
              <w:right w:val="single" w:sz="4" w:space="0" w:color="auto"/>
            </w:tcBorders>
            <w:shd w:val="clear" w:color="000000" w:fill="FFFFFF"/>
            <w:noWrap/>
            <w:vAlign w:val="center"/>
            <w:hideMark/>
          </w:tcPr>
          <w:p w14:paraId="0DB4C33F" w14:textId="77777777" w:rsidR="00F30790" w:rsidRPr="00F30790" w:rsidRDefault="00F30790" w:rsidP="00F30790">
            <w:pPr>
              <w:jc w:val="right"/>
              <w:rPr>
                <w:rFonts w:ascii="Arial Narrow" w:hAnsi="Arial Narrow" w:cs="Arial"/>
                <w:sz w:val="20"/>
                <w:szCs w:val="20"/>
              </w:rPr>
            </w:pPr>
            <w:r w:rsidRPr="00F30790">
              <w:rPr>
                <w:rFonts w:ascii="Arial Narrow" w:hAnsi="Arial Narrow" w:cs="Arial"/>
                <w:sz w:val="20"/>
                <w:szCs w:val="20"/>
              </w:rPr>
              <w:t>7 439</w:t>
            </w:r>
          </w:p>
        </w:tc>
        <w:tc>
          <w:tcPr>
            <w:tcW w:w="1116" w:type="dxa"/>
            <w:tcBorders>
              <w:top w:val="nil"/>
              <w:left w:val="nil"/>
              <w:bottom w:val="single" w:sz="4" w:space="0" w:color="auto"/>
              <w:right w:val="single" w:sz="4" w:space="0" w:color="auto"/>
            </w:tcBorders>
            <w:shd w:val="clear" w:color="000000" w:fill="FFFFFF"/>
            <w:noWrap/>
            <w:vAlign w:val="center"/>
            <w:hideMark/>
          </w:tcPr>
          <w:p w14:paraId="6AB2F67D" w14:textId="77777777" w:rsidR="00F30790" w:rsidRPr="00F30790" w:rsidRDefault="00F30790" w:rsidP="00F30790">
            <w:pPr>
              <w:jc w:val="right"/>
              <w:rPr>
                <w:rFonts w:ascii="Arial Narrow" w:hAnsi="Arial Narrow" w:cs="Arial"/>
                <w:sz w:val="20"/>
                <w:szCs w:val="20"/>
              </w:rPr>
            </w:pPr>
            <w:r w:rsidRPr="00F30790">
              <w:rPr>
                <w:rFonts w:ascii="Arial Narrow" w:hAnsi="Arial Narrow" w:cs="Arial"/>
                <w:sz w:val="20"/>
                <w:szCs w:val="20"/>
              </w:rPr>
              <w:t>7,7%</w:t>
            </w:r>
          </w:p>
        </w:tc>
      </w:tr>
      <w:tr w:rsidR="00F30790" w:rsidRPr="00F30790" w14:paraId="06F6ECCC" w14:textId="77777777" w:rsidTr="00CD44F3">
        <w:trPr>
          <w:trHeight w:val="342"/>
        </w:trPr>
        <w:tc>
          <w:tcPr>
            <w:tcW w:w="2155" w:type="dxa"/>
            <w:tcBorders>
              <w:top w:val="nil"/>
              <w:left w:val="single" w:sz="4" w:space="0" w:color="auto"/>
              <w:bottom w:val="single" w:sz="4" w:space="0" w:color="auto"/>
              <w:right w:val="single" w:sz="4" w:space="0" w:color="auto"/>
            </w:tcBorders>
            <w:shd w:val="clear" w:color="000000" w:fill="FFFFFF"/>
            <w:noWrap/>
            <w:vAlign w:val="center"/>
            <w:hideMark/>
          </w:tcPr>
          <w:p w14:paraId="1B71AF01" w14:textId="77777777" w:rsidR="00F30790" w:rsidRPr="00F30790" w:rsidRDefault="00F30790" w:rsidP="00F30790">
            <w:pPr>
              <w:ind w:firstLineChars="100" w:firstLine="200"/>
              <w:rPr>
                <w:rFonts w:ascii="Arial Narrow" w:hAnsi="Arial Narrow" w:cs="Arial"/>
                <w:sz w:val="20"/>
                <w:szCs w:val="20"/>
              </w:rPr>
            </w:pPr>
            <w:r w:rsidRPr="00F30790">
              <w:rPr>
                <w:rFonts w:ascii="Arial Narrow" w:hAnsi="Arial Narrow" w:cs="Arial"/>
                <w:sz w:val="20"/>
                <w:szCs w:val="20"/>
              </w:rPr>
              <w:t>Южна Африка</w:t>
            </w:r>
          </w:p>
        </w:tc>
        <w:tc>
          <w:tcPr>
            <w:tcW w:w="1340" w:type="dxa"/>
            <w:tcBorders>
              <w:top w:val="nil"/>
              <w:left w:val="nil"/>
              <w:bottom w:val="single" w:sz="4" w:space="0" w:color="auto"/>
              <w:right w:val="single" w:sz="4" w:space="0" w:color="auto"/>
            </w:tcBorders>
            <w:shd w:val="clear" w:color="000000" w:fill="FFFFFF"/>
            <w:noWrap/>
            <w:vAlign w:val="center"/>
            <w:hideMark/>
          </w:tcPr>
          <w:p w14:paraId="73536F3C" w14:textId="77777777" w:rsidR="00F30790" w:rsidRPr="00F30790" w:rsidRDefault="00F30790" w:rsidP="00F30790">
            <w:pPr>
              <w:jc w:val="right"/>
              <w:rPr>
                <w:rFonts w:ascii="Arial Narrow" w:hAnsi="Arial Narrow" w:cs="Arial"/>
                <w:sz w:val="20"/>
                <w:szCs w:val="20"/>
              </w:rPr>
            </w:pPr>
            <w:r w:rsidRPr="00F30790">
              <w:rPr>
                <w:rFonts w:ascii="Arial Narrow" w:hAnsi="Arial Narrow" w:cs="Arial"/>
                <w:sz w:val="20"/>
                <w:szCs w:val="20"/>
              </w:rPr>
              <w:t>181 956</w:t>
            </w:r>
          </w:p>
        </w:tc>
        <w:tc>
          <w:tcPr>
            <w:tcW w:w="1340" w:type="dxa"/>
            <w:tcBorders>
              <w:top w:val="nil"/>
              <w:left w:val="nil"/>
              <w:bottom w:val="single" w:sz="4" w:space="0" w:color="auto"/>
              <w:right w:val="single" w:sz="4" w:space="0" w:color="auto"/>
            </w:tcBorders>
            <w:shd w:val="clear" w:color="000000" w:fill="FFFFFF"/>
            <w:noWrap/>
            <w:vAlign w:val="center"/>
            <w:hideMark/>
          </w:tcPr>
          <w:p w14:paraId="62DF41A3" w14:textId="77777777" w:rsidR="00F30790" w:rsidRPr="00F30790" w:rsidRDefault="00F30790" w:rsidP="00F30790">
            <w:pPr>
              <w:jc w:val="right"/>
              <w:rPr>
                <w:rFonts w:ascii="Arial Narrow" w:hAnsi="Arial Narrow" w:cs="Arial"/>
                <w:sz w:val="20"/>
                <w:szCs w:val="20"/>
              </w:rPr>
            </w:pPr>
            <w:r w:rsidRPr="00F30790">
              <w:rPr>
                <w:rFonts w:ascii="Arial Narrow" w:hAnsi="Arial Narrow" w:cs="Arial"/>
                <w:sz w:val="20"/>
                <w:szCs w:val="20"/>
              </w:rPr>
              <w:t>97 469</w:t>
            </w:r>
          </w:p>
        </w:tc>
        <w:tc>
          <w:tcPr>
            <w:tcW w:w="1340" w:type="dxa"/>
            <w:tcBorders>
              <w:top w:val="nil"/>
              <w:left w:val="nil"/>
              <w:bottom w:val="single" w:sz="4" w:space="0" w:color="auto"/>
              <w:right w:val="single" w:sz="4" w:space="0" w:color="auto"/>
            </w:tcBorders>
            <w:shd w:val="clear" w:color="000000" w:fill="FFFFFF"/>
            <w:noWrap/>
            <w:vAlign w:val="center"/>
            <w:hideMark/>
          </w:tcPr>
          <w:p w14:paraId="29E5F956" w14:textId="77777777" w:rsidR="00F30790" w:rsidRPr="00F30790" w:rsidRDefault="00F30790" w:rsidP="00F30790">
            <w:pPr>
              <w:jc w:val="right"/>
              <w:rPr>
                <w:rFonts w:ascii="Arial Narrow" w:hAnsi="Arial Narrow" w:cs="Arial"/>
                <w:sz w:val="20"/>
                <w:szCs w:val="20"/>
              </w:rPr>
            </w:pPr>
            <w:r w:rsidRPr="00F30790">
              <w:rPr>
                <w:rFonts w:ascii="Arial Narrow" w:hAnsi="Arial Narrow" w:cs="Arial"/>
                <w:sz w:val="20"/>
                <w:szCs w:val="20"/>
              </w:rPr>
              <w:t>84 794</w:t>
            </w:r>
          </w:p>
        </w:tc>
        <w:tc>
          <w:tcPr>
            <w:tcW w:w="1310" w:type="dxa"/>
            <w:tcBorders>
              <w:top w:val="nil"/>
              <w:left w:val="nil"/>
              <w:bottom w:val="single" w:sz="4" w:space="0" w:color="auto"/>
              <w:right w:val="single" w:sz="4" w:space="0" w:color="auto"/>
            </w:tcBorders>
            <w:shd w:val="clear" w:color="000000" w:fill="FFFFFF"/>
            <w:noWrap/>
            <w:vAlign w:val="center"/>
            <w:hideMark/>
          </w:tcPr>
          <w:p w14:paraId="769B1A07" w14:textId="77777777" w:rsidR="00F30790" w:rsidRPr="00F30790" w:rsidRDefault="00F30790" w:rsidP="00F30790">
            <w:pPr>
              <w:jc w:val="right"/>
              <w:rPr>
                <w:rFonts w:ascii="Arial Narrow" w:hAnsi="Arial Narrow" w:cs="Arial"/>
                <w:sz w:val="20"/>
                <w:szCs w:val="20"/>
              </w:rPr>
            </w:pPr>
            <w:r w:rsidRPr="00F30790">
              <w:rPr>
                <w:rFonts w:ascii="Arial Narrow" w:hAnsi="Arial Narrow" w:cs="Arial"/>
                <w:sz w:val="20"/>
                <w:szCs w:val="20"/>
              </w:rPr>
              <w:t>1,3%</w:t>
            </w:r>
          </w:p>
        </w:tc>
        <w:tc>
          <w:tcPr>
            <w:tcW w:w="1340" w:type="dxa"/>
            <w:tcBorders>
              <w:top w:val="nil"/>
              <w:left w:val="nil"/>
              <w:bottom w:val="single" w:sz="4" w:space="0" w:color="auto"/>
              <w:right w:val="single" w:sz="4" w:space="0" w:color="auto"/>
            </w:tcBorders>
            <w:shd w:val="clear" w:color="000000" w:fill="FFFFFF"/>
            <w:noWrap/>
            <w:vAlign w:val="center"/>
            <w:hideMark/>
          </w:tcPr>
          <w:p w14:paraId="37426AD1" w14:textId="77777777" w:rsidR="00F30790" w:rsidRPr="00F30790" w:rsidRDefault="00F30790" w:rsidP="00F30790">
            <w:pPr>
              <w:jc w:val="right"/>
              <w:rPr>
                <w:rFonts w:ascii="Arial Narrow" w:hAnsi="Arial Narrow" w:cs="Arial"/>
                <w:sz w:val="20"/>
                <w:szCs w:val="20"/>
              </w:rPr>
            </w:pPr>
            <w:r w:rsidRPr="00F30790">
              <w:rPr>
                <w:rFonts w:ascii="Arial Narrow" w:hAnsi="Arial Narrow" w:cs="Arial"/>
                <w:sz w:val="20"/>
                <w:szCs w:val="20"/>
              </w:rPr>
              <w:t>-12 675</w:t>
            </w:r>
          </w:p>
        </w:tc>
        <w:tc>
          <w:tcPr>
            <w:tcW w:w="1116" w:type="dxa"/>
            <w:tcBorders>
              <w:top w:val="nil"/>
              <w:left w:val="nil"/>
              <w:bottom w:val="single" w:sz="4" w:space="0" w:color="auto"/>
              <w:right w:val="single" w:sz="4" w:space="0" w:color="auto"/>
            </w:tcBorders>
            <w:shd w:val="clear" w:color="000000" w:fill="FFFFFF"/>
            <w:noWrap/>
            <w:vAlign w:val="center"/>
            <w:hideMark/>
          </w:tcPr>
          <w:p w14:paraId="0A08998A" w14:textId="77777777" w:rsidR="00F30790" w:rsidRPr="00F30790" w:rsidRDefault="00F30790" w:rsidP="00F30790">
            <w:pPr>
              <w:jc w:val="right"/>
              <w:rPr>
                <w:rFonts w:ascii="Arial Narrow" w:hAnsi="Arial Narrow" w:cs="Arial"/>
                <w:sz w:val="20"/>
                <w:szCs w:val="20"/>
              </w:rPr>
            </w:pPr>
            <w:r w:rsidRPr="00F30790">
              <w:rPr>
                <w:rFonts w:ascii="Arial Narrow" w:hAnsi="Arial Narrow" w:cs="Arial"/>
                <w:sz w:val="20"/>
                <w:szCs w:val="20"/>
              </w:rPr>
              <w:t>-13,0%</w:t>
            </w:r>
          </w:p>
        </w:tc>
      </w:tr>
      <w:tr w:rsidR="00F30790" w:rsidRPr="00F30790" w14:paraId="5821E518" w14:textId="77777777" w:rsidTr="00CD44F3">
        <w:trPr>
          <w:trHeight w:val="342"/>
        </w:trPr>
        <w:tc>
          <w:tcPr>
            <w:tcW w:w="2155" w:type="dxa"/>
            <w:tcBorders>
              <w:top w:val="nil"/>
              <w:left w:val="single" w:sz="4" w:space="0" w:color="auto"/>
              <w:bottom w:val="single" w:sz="4" w:space="0" w:color="auto"/>
              <w:right w:val="single" w:sz="4" w:space="0" w:color="auto"/>
            </w:tcBorders>
            <w:shd w:val="clear" w:color="000000" w:fill="FFFFFF"/>
            <w:noWrap/>
            <w:vAlign w:val="center"/>
            <w:hideMark/>
          </w:tcPr>
          <w:p w14:paraId="49E70149" w14:textId="77777777" w:rsidR="00F30790" w:rsidRPr="00F30790" w:rsidRDefault="00F30790" w:rsidP="00F30790">
            <w:pPr>
              <w:ind w:firstLineChars="100" w:firstLine="200"/>
              <w:rPr>
                <w:rFonts w:ascii="Arial Narrow" w:hAnsi="Arial Narrow" w:cs="Arial"/>
                <w:sz w:val="20"/>
                <w:szCs w:val="20"/>
              </w:rPr>
            </w:pPr>
            <w:r w:rsidRPr="00F30790">
              <w:rPr>
                <w:rFonts w:ascii="Arial Narrow" w:hAnsi="Arial Narrow" w:cs="Arial"/>
                <w:sz w:val="20"/>
                <w:szCs w:val="20"/>
              </w:rPr>
              <w:t>Сърбия</w:t>
            </w:r>
          </w:p>
        </w:tc>
        <w:tc>
          <w:tcPr>
            <w:tcW w:w="1340" w:type="dxa"/>
            <w:tcBorders>
              <w:top w:val="nil"/>
              <w:left w:val="nil"/>
              <w:bottom w:val="single" w:sz="4" w:space="0" w:color="auto"/>
              <w:right w:val="single" w:sz="4" w:space="0" w:color="auto"/>
            </w:tcBorders>
            <w:shd w:val="clear" w:color="000000" w:fill="FFFFFF"/>
            <w:noWrap/>
            <w:vAlign w:val="center"/>
            <w:hideMark/>
          </w:tcPr>
          <w:p w14:paraId="3E2929AF" w14:textId="77777777" w:rsidR="00F30790" w:rsidRPr="00F30790" w:rsidRDefault="00F30790" w:rsidP="00F30790">
            <w:pPr>
              <w:jc w:val="right"/>
              <w:rPr>
                <w:rFonts w:ascii="Arial Narrow" w:hAnsi="Arial Narrow" w:cs="Arial"/>
                <w:sz w:val="20"/>
                <w:szCs w:val="20"/>
              </w:rPr>
            </w:pPr>
            <w:r w:rsidRPr="00F30790">
              <w:rPr>
                <w:rFonts w:ascii="Arial Narrow" w:hAnsi="Arial Narrow" w:cs="Arial"/>
                <w:sz w:val="20"/>
                <w:szCs w:val="20"/>
              </w:rPr>
              <w:t>72 443</w:t>
            </w:r>
          </w:p>
        </w:tc>
        <w:tc>
          <w:tcPr>
            <w:tcW w:w="1340" w:type="dxa"/>
            <w:tcBorders>
              <w:top w:val="nil"/>
              <w:left w:val="nil"/>
              <w:bottom w:val="single" w:sz="4" w:space="0" w:color="auto"/>
              <w:right w:val="single" w:sz="4" w:space="0" w:color="auto"/>
            </w:tcBorders>
            <w:shd w:val="clear" w:color="000000" w:fill="FFFFFF"/>
            <w:noWrap/>
            <w:vAlign w:val="center"/>
            <w:hideMark/>
          </w:tcPr>
          <w:p w14:paraId="4C30E216" w14:textId="77777777" w:rsidR="00F30790" w:rsidRPr="00F30790" w:rsidRDefault="00F30790" w:rsidP="00F30790">
            <w:pPr>
              <w:jc w:val="right"/>
              <w:rPr>
                <w:rFonts w:ascii="Arial Narrow" w:hAnsi="Arial Narrow" w:cs="Arial"/>
                <w:sz w:val="20"/>
                <w:szCs w:val="20"/>
              </w:rPr>
            </w:pPr>
            <w:r w:rsidRPr="00F30790">
              <w:rPr>
                <w:rFonts w:ascii="Arial Narrow" w:hAnsi="Arial Narrow" w:cs="Arial"/>
                <w:sz w:val="20"/>
                <w:szCs w:val="20"/>
              </w:rPr>
              <w:t>82 030</w:t>
            </w:r>
          </w:p>
        </w:tc>
        <w:tc>
          <w:tcPr>
            <w:tcW w:w="1340" w:type="dxa"/>
            <w:tcBorders>
              <w:top w:val="nil"/>
              <w:left w:val="nil"/>
              <w:bottom w:val="single" w:sz="4" w:space="0" w:color="auto"/>
              <w:right w:val="single" w:sz="4" w:space="0" w:color="auto"/>
            </w:tcBorders>
            <w:shd w:val="clear" w:color="000000" w:fill="FFFFFF"/>
            <w:noWrap/>
            <w:vAlign w:val="center"/>
            <w:hideMark/>
          </w:tcPr>
          <w:p w14:paraId="0A5E32B9" w14:textId="77777777" w:rsidR="00F30790" w:rsidRPr="00F30790" w:rsidRDefault="00F30790" w:rsidP="00F30790">
            <w:pPr>
              <w:jc w:val="right"/>
              <w:rPr>
                <w:rFonts w:ascii="Arial Narrow" w:hAnsi="Arial Narrow" w:cs="Arial"/>
                <w:sz w:val="20"/>
                <w:szCs w:val="20"/>
              </w:rPr>
            </w:pPr>
            <w:r w:rsidRPr="00F30790">
              <w:rPr>
                <w:rFonts w:ascii="Arial Narrow" w:hAnsi="Arial Narrow" w:cs="Arial"/>
                <w:sz w:val="20"/>
                <w:szCs w:val="20"/>
              </w:rPr>
              <w:t>83 922</w:t>
            </w:r>
          </w:p>
        </w:tc>
        <w:tc>
          <w:tcPr>
            <w:tcW w:w="1310" w:type="dxa"/>
            <w:tcBorders>
              <w:top w:val="nil"/>
              <w:left w:val="nil"/>
              <w:bottom w:val="single" w:sz="4" w:space="0" w:color="auto"/>
              <w:right w:val="single" w:sz="4" w:space="0" w:color="auto"/>
            </w:tcBorders>
            <w:shd w:val="clear" w:color="000000" w:fill="FFFFFF"/>
            <w:noWrap/>
            <w:vAlign w:val="center"/>
            <w:hideMark/>
          </w:tcPr>
          <w:p w14:paraId="5ACC96AE" w14:textId="77777777" w:rsidR="00F30790" w:rsidRPr="00F30790" w:rsidRDefault="00F30790" w:rsidP="00F30790">
            <w:pPr>
              <w:jc w:val="right"/>
              <w:rPr>
                <w:rFonts w:ascii="Arial Narrow" w:hAnsi="Arial Narrow" w:cs="Arial"/>
                <w:sz w:val="20"/>
                <w:szCs w:val="20"/>
              </w:rPr>
            </w:pPr>
            <w:r w:rsidRPr="00F30790">
              <w:rPr>
                <w:rFonts w:ascii="Arial Narrow" w:hAnsi="Arial Narrow" w:cs="Arial"/>
                <w:sz w:val="20"/>
                <w:szCs w:val="20"/>
              </w:rPr>
              <w:t>1,2%</w:t>
            </w:r>
          </w:p>
        </w:tc>
        <w:tc>
          <w:tcPr>
            <w:tcW w:w="1340" w:type="dxa"/>
            <w:tcBorders>
              <w:top w:val="nil"/>
              <w:left w:val="nil"/>
              <w:bottom w:val="single" w:sz="4" w:space="0" w:color="auto"/>
              <w:right w:val="single" w:sz="4" w:space="0" w:color="auto"/>
            </w:tcBorders>
            <w:shd w:val="clear" w:color="000000" w:fill="FFFFFF"/>
            <w:noWrap/>
            <w:vAlign w:val="center"/>
            <w:hideMark/>
          </w:tcPr>
          <w:p w14:paraId="75BD893E" w14:textId="77777777" w:rsidR="00F30790" w:rsidRPr="00F30790" w:rsidRDefault="00F30790" w:rsidP="00F30790">
            <w:pPr>
              <w:jc w:val="right"/>
              <w:rPr>
                <w:rFonts w:ascii="Arial Narrow" w:hAnsi="Arial Narrow" w:cs="Arial"/>
                <w:sz w:val="20"/>
                <w:szCs w:val="20"/>
              </w:rPr>
            </w:pPr>
            <w:r w:rsidRPr="00F30790">
              <w:rPr>
                <w:rFonts w:ascii="Arial Narrow" w:hAnsi="Arial Narrow" w:cs="Arial"/>
                <w:sz w:val="20"/>
                <w:szCs w:val="20"/>
              </w:rPr>
              <w:t>1 892</w:t>
            </w:r>
          </w:p>
        </w:tc>
        <w:tc>
          <w:tcPr>
            <w:tcW w:w="1116" w:type="dxa"/>
            <w:tcBorders>
              <w:top w:val="nil"/>
              <w:left w:val="nil"/>
              <w:bottom w:val="single" w:sz="4" w:space="0" w:color="auto"/>
              <w:right w:val="single" w:sz="4" w:space="0" w:color="auto"/>
            </w:tcBorders>
            <w:shd w:val="clear" w:color="000000" w:fill="FFFFFF"/>
            <w:noWrap/>
            <w:vAlign w:val="center"/>
            <w:hideMark/>
          </w:tcPr>
          <w:p w14:paraId="03470F48" w14:textId="77777777" w:rsidR="00F30790" w:rsidRPr="00F30790" w:rsidRDefault="00F30790" w:rsidP="00F30790">
            <w:pPr>
              <w:jc w:val="right"/>
              <w:rPr>
                <w:rFonts w:ascii="Arial Narrow" w:hAnsi="Arial Narrow" w:cs="Arial"/>
                <w:sz w:val="20"/>
                <w:szCs w:val="20"/>
              </w:rPr>
            </w:pPr>
            <w:r w:rsidRPr="00F30790">
              <w:rPr>
                <w:rFonts w:ascii="Arial Narrow" w:hAnsi="Arial Narrow" w:cs="Arial"/>
                <w:sz w:val="20"/>
                <w:szCs w:val="20"/>
              </w:rPr>
              <w:t>2,3%</w:t>
            </w:r>
          </w:p>
        </w:tc>
      </w:tr>
      <w:tr w:rsidR="00F30790" w:rsidRPr="00F30790" w14:paraId="3D61B41A" w14:textId="77777777" w:rsidTr="00CD44F3">
        <w:trPr>
          <w:trHeight w:val="342"/>
        </w:trPr>
        <w:tc>
          <w:tcPr>
            <w:tcW w:w="2155" w:type="dxa"/>
            <w:tcBorders>
              <w:top w:val="nil"/>
              <w:left w:val="single" w:sz="4" w:space="0" w:color="auto"/>
              <w:bottom w:val="single" w:sz="4" w:space="0" w:color="auto"/>
              <w:right w:val="single" w:sz="4" w:space="0" w:color="auto"/>
            </w:tcBorders>
            <w:shd w:val="clear" w:color="000000" w:fill="FFFFFF"/>
            <w:noWrap/>
            <w:vAlign w:val="center"/>
            <w:hideMark/>
          </w:tcPr>
          <w:p w14:paraId="275E9C72" w14:textId="77777777" w:rsidR="00F30790" w:rsidRPr="00F30790" w:rsidRDefault="00F30790" w:rsidP="00F30790">
            <w:pPr>
              <w:ind w:firstLineChars="100" w:firstLine="200"/>
              <w:rPr>
                <w:rFonts w:ascii="Arial Narrow" w:hAnsi="Arial Narrow" w:cs="Arial"/>
                <w:color w:val="000000"/>
                <w:sz w:val="20"/>
                <w:szCs w:val="20"/>
              </w:rPr>
            </w:pPr>
            <w:r w:rsidRPr="00F30790">
              <w:rPr>
                <w:rFonts w:ascii="Arial Narrow" w:hAnsi="Arial Narrow" w:cs="Arial"/>
                <w:color w:val="000000"/>
                <w:sz w:val="20"/>
                <w:szCs w:val="20"/>
              </w:rPr>
              <w:t>Косово</w:t>
            </w:r>
          </w:p>
        </w:tc>
        <w:tc>
          <w:tcPr>
            <w:tcW w:w="1340" w:type="dxa"/>
            <w:tcBorders>
              <w:top w:val="nil"/>
              <w:left w:val="nil"/>
              <w:bottom w:val="single" w:sz="4" w:space="0" w:color="auto"/>
              <w:right w:val="single" w:sz="4" w:space="0" w:color="auto"/>
            </w:tcBorders>
            <w:shd w:val="clear" w:color="000000" w:fill="FFFFFF"/>
            <w:noWrap/>
            <w:vAlign w:val="center"/>
            <w:hideMark/>
          </w:tcPr>
          <w:p w14:paraId="73A479E8" w14:textId="77777777" w:rsidR="00F30790" w:rsidRPr="00F30790" w:rsidRDefault="00F30790" w:rsidP="00F30790">
            <w:pPr>
              <w:jc w:val="right"/>
              <w:rPr>
                <w:rFonts w:ascii="Arial Narrow" w:hAnsi="Arial Narrow" w:cs="Arial"/>
                <w:color w:val="000000"/>
                <w:sz w:val="20"/>
                <w:szCs w:val="20"/>
              </w:rPr>
            </w:pPr>
            <w:r w:rsidRPr="00F30790">
              <w:rPr>
                <w:rFonts w:ascii="Arial Narrow" w:hAnsi="Arial Narrow" w:cs="Arial"/>
                <w:color w:val="000000"/>
                <w:sz w:val="20"/>
                <w:szCs w:val="20"/>
              </w:rPr>
              <w:t>34 171</w:t>
            </w:r>
          </w:p>
        </w:tc>
        <w:tc>
          <w:tcPr>
            <w:tcW w:w="1340" w:type="dxa"/>
            <w:tcBorders>
              <w:top w:val="nil"/>
              <w:left w:val="nil"/>
              <w:bottom w:val="single" w:sz="4" w:space="0" w:color="auto"/>
              <w:right w:val="single" w:sz="4" w:space="0" w:color="auto"/>
            </w:tcBorders>
            <w:shd w:val="clear" w:color="000000" w:fill="FFFFFF"/>
            <w:noWrap/>
            <w:vAlign w:val="center"/>
            <w:hideMark/>
          </w:tcPr>
          <w:p w14:paraId="07E5B7D7" w14:textId="77777777" w:rsidR="00F30790" w:rsidRPr="00F30790" w:rsidRDefault="00F30790" w:rsidP="00F30790">
            <w:pPr>
              <w:jc w:val="right"/>
              <w:rPr>
                <w:rFonts w:ascii="Arial Narrow" w:hAnsi="Arial Narrow" w:cs="Arial"/>
                <w:sz w:val="20"/>
                <w:szCs w:val="20"/>
              </w:rPr>
            </w:pPr>
            <w:r w:rsidRPr="00F30790">
              <w:rPr>
                <w:rFonts w:ascii="Arial Narrow" w:hAnsi="Arial Narrow" w:cs="Arial"/>
                <w:sz w:val="20"/>
                <w:szCs w:val="20"/>
              </w:rPr>
              <w:t>40 977</w:t>
            </w:r>
          </w:p>
        </w:tc>
        <w:tc>
          <w:tcPr>
            <w:tcW w:w="1340" w:type="dxa"/>
            <w:tcBorders>
              <w:top w:val="nil"/>
              <w:left w:val="nil"/>
              <w:bottom w:val="single" w:sz="4" w:space="0" w:color="auto"/>
              <w:right w:val="single" w:sz="4" w:space="0" w:color="auto"/>
            </w:tcBorders>
            <w:shd w:val="clear" w:color="000000" w:fill="FFFFFF"/>
            <w:noWrap/>
            <w:vAlign w:val="center"/>
            <w:hideMark/>
          </w:tcPr>
          <w:p w14:paraId="12CA5EA4" w14:textId="77777777" w:rsidR="00F30790" w:rsidRPr="00F30790" w:rsidRDefault="00F30790" w:rsidP="00F30790">
            <w:pPr>
              <w:jc w:val="right"/>
              <w:rPr>
                <w:rFonts w:ascii="Arial Narrow" w:hAnsi="Arial Narrow" w:cs="Arial"/>
                <w:color w:val="000000"/>
                <w:sz w:val="20"/>
                <w:szCs w:val="20"/>
              </w:rPr>
            </w:pPr>
            <w:r w:rsidRPr="00F30790">
              <w:rPr>
                <w:rFonts w:ascii="Arial Narrow" w:hAnsi="Arial Narrow" w:cs="Arial"/>
                <w:color w:val="000000"/>
                <w:sz w:val="20"/>
                <w:szCs w:val="20"/>
              </w:rPr>
              <w:t>58 830</w:t>
            </w:r>
          </w:p>
        </w:tc>
        <w:tc>
          <w:tcPr>
            <w:tcW w:w="1310" w:type="dxa"/>
            <w:tcBorders>
              <w:top w:val="nil"/>
              <w:left w:val="nil"/>
              <w:bottom w:val="single" w:sz="4" w:space="0" w:color="auto"/>
              <w:right w:val="single" w:sz="4" w:space="0" w:color="auto"/>
            </w:tcBorders>
            <w:shd w:val="clear" w:color="000000" w:fill="FFFFFF"/>
            <w:noWrap/>
            <w:vAlign w:val="center"/>
            <w:hideMark/>
          </w:tcPr>
          <w:p w14:paraId="789D8182" w14:textId="77777777" w:rsidR="00F30790" w:rsidRPr="00F30790" w:rsidRDefault="00F30790" w:rsidP="00F30790">
            <w:pPr>
              <w:jc w:val="right"/>
              <w:rPr>
                <w:rFonts w:ascii="Arial Narrow" w:hAnsi="Arial Narrow" w:cs="Arial"/>
                <w:color w:val="000000"/>
                <w:sz w:val="20"/>
                <w:szCs w:val="20"/>
              </w:rPr>
            </w:pPr>
            <w:r w:rsidRPr="00F30790">
              <w:rPr>
                <w:rFonts w:ascii="Arial Narrow" w:hAnsi="Arial Narrow" w:cs="Arial"/>
                <w:color w:val="000000"/>
                <w:sz w:val="20"/>
                <w:szCs w:val="20"/>
              </w:rPr>
              <w:t>0,9%</w:t>
            </w:r>
          </w:p>
        </w:tc>
        <w:tc>
          <w:tcPr>
            <w:tcW w:w="1340" w:type="dxa"/>
            <w:tcBorders>
              <w:top w:val="nil"/>
              <w:left w:val="nil"/>
              <w:bottom w:val="single" w:sz="4" w:space="0" w:color="auto"/>
              <w:right w:val="single" w:sz="4" w:space="0" w:color="auto"/>
            </w:tcBorders>
            <w:shd w:val="clear" w:color="000000" w:fill="FFFFFF"/>
            <w:noWrap/>
            <w:vAlign w:val="center"/>
            <w:hideMark/>
          </w:tcPr>
          <w:p w14:paraId="4D7E4074" w14:textId="77777777" w:rsidR="00F30790" w:rsidRPr="00F30790" w:rsidRDefault="00F30790" w:rsidP="00F30790">
            <w:pPr>
              <w:jc w:val="right"/>
              <w:rPr>
                <w:rFonts w:ascii="Arial Narrow" w:hAnsi="Arial Narrow" w:cs="Arial"/>
                <w:color w:val="000000"/>
                <w:sz w:val="20"/>
                <w:szCs w:val="20"/>
              </w:rPr>
            </w:pPr>
            <w:r w:rsidRPr="00F30790">
              <w:rPr>
                <w:rFonts w:ascii="Arial Narrow" w:hAnsi="Arial Narrow" w:cs="Arial"/>
                <w:color w:val="000000"/>
                <w:sz w:val="20"/>
                <w:szCs w:val="20"/>
              </w:rPr>
              <w:t>17 853</w:t>
            </w:r>
          </w:p>
        </w:tc>
        <w:tc>
          <w:tcPr>
            <w:tcW w:w="1116" w:type="dxa"/>
            <w:tcBorders>
              <w:top w:val="nil"/>
              <w:left w:val="nil"/>
              <w:bottom w:val="single" w:sz="4" w:space="0" w:color="auto"/>
              <w:right w:val="single" w:sz="4" w:space="0" w:color="auto"/>
            </w:tcBorders>
            <w:shd w:val="clear" w:color="000000" w:fill="FFFFFF"/>
            <w:noWrap/>
            <w:vAlign w:val="center"/>
            <w:hideMark/>
          </w:tcPr>
          <w:p w14:paraId="7F7B6F17" w14:textId="77777777" w:rsidR="00F30790" w:rsidRPr="00F30790" w:rsidRDefault="00F30790" w:rsidP="00F30790">
            <w:pPr>
              <w:jc w:val="right"/>
              <w:rPr>
                <w:rFonts w:ascii="Arial Narrow" w:hAnsi="Arial Narrow" w:cs="Arial"/>
                <w:color w:val="000000"/>
                <w:sz w:val="20"/>
                <w:szCs w:val="20"/>
              </w:rPr>
            </w:pPr>
            <w:r w:rsidRPr="00F30790">
              <w:rPr>
                <w:rFonts w:ascii="Arial Narrow" w:hAnsi="Arial Narrow" w:cs="Arial"/>
                <w:color w:val="000000"/>
                <w:sz w:val="20"/>
                <w:szCs w:val="20"/>
              </w:rPr>
              <w:t>43,6%</w:t>
            </w:r>
          </w:p>
        </w:tc>
      </w:tr>
      <w:tr w:rsidR="00F30790" w:rsidRPr="00F30790" w14:paraId="5EC84833" w14:textId="77777777" w:rsidTr="00CD44F3">
        <w:trPr>
          <w:trHeight w:val="342"/>
        </w:trPr>
        <w:tc>
          <w:tcPr>
            <w:tcW w:w="2155" w:type="dxa"/>
            <w:tcBorders>
              <w:top w:val="nil"/>
              <w:left w:val="single" w:sz="4" w:space="0" w:color="auto"/>
              <w:bottom w:val="single" w:sz="4" w:space="0" w:color="auto"/>
              <w:right w:val="single" w:sz="4" w:space="0" w:color="auto"/>
            </w:tcBorders>
            <w:shd w:val="clear" w:color="000000" w:fill="FFFFFF"/>
            <w:noWrap/>
            <w:vAlign w:val="center"/>
            <w:hideMark/>
          </w:tcPr>
          <w:p w14:paraId="68470EE7" w14:textId="77777777" w:rsidR="00F30790" w:rsidRPr="00F30790" w:rsidRDefault="00F30790" w:rsidP="00F30790">
            <w:pPr>
              <w:ind w:firstLineChars="100" w:firstLine="200"/>
              <w:rPr>
                <w:rFonts w:ascii="Arial Narrow" w:hAnsi="Arial Narrow" w:cs="Arial"/>
                <w:color w:val="000000"/>
                <w:sz w:val="20"/>
                <w:szCs w:val="20"/>
              </w:rPr>
            </w:pPr>
            <w:r w:rsidRPr="00F30790">
              <w:rPr>
                <w:rFonts w:ascii="Arial Narrow" w:hAnsi="Arial Narrow" w:cs="Arial"/>
                <w:color w:val="000000"/>
                <w:sz w:val="20"/>
                <w:szCs w:val="20"/>
              </w:rPr>
              <w:t>Индонезия</w:t>
            </w:r>
          </w:p>
        </w:tc>
        <w:tc>
          <w:tcPr>
            <w:tcW w:w="1340" w:type="dxa"/>
            <w:tcBorders>
              <w:top w:val="nil"/>
              <w:left w:val="nil"/>
              <w:bottom w:val="single" w:sz="4" w:space="0" w:color="auto"/>
              <w:right w:val="single" w:sz="4" w:space="0" w:color="auto"/>
            </w:tcBorders>
            <w:shd w:val="clear" w:color="000000" w:fill="FFFFFF"/>
            <w:noWrap/>
            <w:vAlign w:val="center"/>
            <w:hideMark/>
          </w:tcPr>
          <w:p w14:paraId="09139C5F" w14:textId="77777777" w:rsidR="00F30790" w:rsidRPr="00F30790" w:rsidRDefault="00F30790" w:rsidP="00F30790">
            <w:pPr>
              <w:jc w:val="right"/>
              <w:rPr>
                <w:rFonts w:ascii="Arial Narrow" w:hAnsi="Arial Narrow" w:cs="Arial"/>
                <w:color w:val="000000"/>
                <w:sz w:val="20"/>
                <w:szCs w:val="20"/>
              </w:rPr>
            </w:pPr>
            <w:r w:rsidRPr="00F30790">
              <w:rPr>
                <w:rFonts w:ascii="Arial Narrow" w:hAnsi="Arial Narrow" w:cs="Arial"/>
                <w:color w:val="000000"/>
                <w:sz w:val="20"/>
                <w:szCs w:val="20"/>
              </w:rPr>
              <w:t>63 383</w:t>
            </w:r>
          </w:p>
        </w:tc>
        <w:tc>
          <w:tcPr>
            <w:tcW w:w="1340" w:type="dxa"/>
            <w:tcBorders>
              <w:top w:val="nil"/>
              <w:left w:val="nil"/>
              <w:bottom w:val="single" w:sz="4" w:space="0" w:color="auto"/>
              <w:right w:val="single" w:sz="4" w:space="0" w:color="auto"/>
            </w:tcBorders>
            <w:shd w:val="clear" w:color="000000" w:fill="FFFFFF"/>
            <w:noWrap/>
            <w:vAlign w:val="center"/>
            <w:hideMark/>
          </w:tcPr>
          <w:p w14:paraId="5062A3EE" w14:textId="77777777" w:rsidR="00F30790" w:rsidRPr="00F30790" w:rsidRDefault="00F30790" w:rsidP="00F30790">
            <w:pPr>
              <w:jc w:val="right"/>
              <w:rPr>
                <w:rFonts w:ascii="Arial Narrow" w:hAnsi="Arial Narrow" w:cs="Arial"/>
                <w:sz w:val="20"/>
                <w:szCs w:val="20"/>
              </w:rPr>
            </w:pPr>
            <w:r w:rsidRPr="00F30790">
              <w:rPr>
                <w:rFonts w:ascii="Arial Narrow" w:hAnsi="Arial Narrow" w:cs="Arial"/>
                <w:sz w:val="20"/>
                <w:szCs w:val="20"/>
              </w:rPr>
              <w:t>249 510</w:t>
            </w:r>
          </w:p>
        </w:tc>
        <w:tc>
          <w:tcPr>
            <w:tcW w:w="1340" w:type="dxa"/>
            <w:tcBorders>
              <w:top w:val="nil"/>
              <w:left w:val="nil"/>
              <w:bottom w:val="single" w:sz="4" w:space="0" w:color="auto"/>
              <w:right w:val="single" w:sz="4" w:space="0" w:color="auto"/>
            </w:tcBorders>
            <w:shd w:val="clear" w:color="000000" w:fill="FFFFFF"/>
            <w:noWrap/>
            <w:vAlign w:val="center"/>
            <w:hideMark/>
          </w:tcPr>
          <w:p w14:paraId="7337BCDF" w14:textId="77777777" w:rsidR="00F30790" w:rsidRPr="00F30790" w:rsidRDefault="00F30790" w:rsidP="00F30790">
            <w:pPr>
              <w:jc w:val="right"/>
              <w:rPr>
                <w:rFonts w:ascii="Arial Narrow" w:hAnsi="Arial Narrow" w:cs="Arial"/>
                <w:color w:val="000000"/>
                <w:sz w:val="20"/>
                <w:szCs w:val="20"/>
              </w:rPr>
            </w:pPr>
            <w:r w:rsidRPr="00F30790">
              <w:rPr>
                <w:rFonts w:ascii="Arial Narrow" w:hAnsi="Arial Narrow" w:cs="Arial"/>
                <w:color w:val="000000"/>
                <w:sz w:val="20"/>
                <w:szCs w:val="20"/>
              </w:rPr>
              <w:t>57 377</w:t>
            </w:r>
          </w:p>
        </w:tc>
        <w:tc>
          <w:tcPr>
            <w:tcW w:w="1310" w:type="dxa"/>
            <w:tcBorders>
              <w:top w:val="nil"/>
              <w:left w:val="nil"/>
              <w:bottom w:val="single" w:sz="4" w:space="0" w:color="auto"/>
              <w:right w:val="single" w:sz="4" w:space="0" w:color="auto"/>
            </w:tcBorders>
            <w:shd w:val="clear" w:color="000000" w:fill="FFFFFF"/>
            <w:noWrap/>
            <w:vAlign w:val="center"/>
            <w:hideMark/>
          </w:tcPr>
          <w:p w14:paraId="3C55A7EE" w14:textId="77777777" w:rsidR="00F30790" w:rsidRPr="00F30790" w:rsidRDefault="00F30790" w:rsidP="00F30790">
            <w:pPr>
              <w:jc w:val="right"/>
              <w:rPr>
                <w:rFonts w:ascii="Arial Narrow" w:hAnsi="Arial Narrow" w:cs="Arial"/>
                <w:color w:val="000000"/>
                <w:sz w:val="20"/>
                <w:szCs w:val="20"/>
              </w:rPr>
            </w:pPr>
            <w:r w:rsidRPr="00F30790">
              <w:rPr>
                <w:rFonts w:ascii="Arial Narrow" w:hAnsi="Arial Narrow" w:cs="Arial"/>
                <w:color w:val="000000"/>
                <w:sz w:val="20"/>
                <w:szCs w:val="20"/>
              </w:rPr>
              <w:t>0,9%</w:t>
            </w:r>
          </w:p>
        </w:tc>
        <w:tc>
          <w:tcPr>
            <w:tcW w:w="1340" w:type="dxa"/>
            <w:tcBorders>
              <w:top w:val="nil"/>
              <w:left w:val="nil"/>
              <w:bottom w:val="single" w:sz="4" w:space="0" w:color="auto"/>
              <w:right w:val="single" w:sz="4" w:space="0" w:color="auto"/>
            </w:tcBorders>
            <w:shd w:val="clear" w:color="000000" w:fill="FFFFFF"/>
            <w:noWrap/>
            <w:vAlign w:val="center"/>
            <w:hideMark/>
          </w:tcPr>
          <w:p w14:paraId="3D18251C" w14:textId="77777777" w:rsidR="00F30790" w:rsidRPr="00F30790" w:rsidRDefault="00F30790" w:rsidP="00F30790">
            <w:pPr>
              <w:jc w:val="right"/>
              <w:rPr>
                <w:rFonts w:ascii="Arial Narrow" w:hAnsi="Arial Narrow" w:cs="Arial"/>
                <w:color w:val="000000"/>
                <w:sz w:val="20"/>
                <w:szCs w:val="20"/>
              </w:rPr>
            </w:pPr>
            <w:r w:rsidRPr="00F30790">
              <w:rPr>
                <w:rFonts w:ascii="Arial Narrow" w:hAnsi="Arial Narrow" w:cs="Arial"/>
                <w:color w:val="000000"/>
                <w:sz w:val="20"/>
                <w:szCs w:val="20"/>
              </w:rPr>
              <w:t>-192 133</w:t>
            </w:r>
          </w:p>
        </w:tc>
        <w:tc>
          <w:tcPr>
            <w:tcW w:w="1116" w:type="dxa"/>
            <w:tcBorders>
              <w:top w:val="nil"/>
              <w:left w:val="nil"/>
              <w:bottom w:val="single" w:sz="4" w:space="0" w:color="auto"/>
              <w:right w:val="single" w:sz="4" w:space="0" w:color="auto"/>
            </w:tcBorders>
            <w:shd w:val="clear" w:color="000000" w:fill="FFFFFF"/>
            <w:noWrap/>
            <w:vAlign w:val="center"/>
            <w:hideMark/>
          </w:tcPr>
          <w:p w14:paraId="6254803B" w14:textId="77777777" w:rsidR="00F30790" w:rsidRPr="00F30790" w:rsidRDefault="00F30790" w:rsidP="00F30790">
            <w:pPr>
              <w:jc w:val="right"/>
              <w:rPr>
                <w:rFonts w:ascii="Arial Narrow" w:hAnsi="Arial Narrow" w:cs="Arial"/>
                <w:color w:val="000000"/>
                <w:sz w:val="20"/>
                <w:szCs w:val="20"/>
              </w:rPr>
            </w:pPr>
            <w:r w:rsidRPr="00F30790">
              <w:rPr>
                <w:rFonts w:ascii="Arial Narrow" w:hAnsi="Arial Narrow" w:cs="Arial"/>
                <w:color w:val="000000"/>
                <w:sz w:val="20"/>
                <w:szCs w:val="20"/>
              </w:rPr>
              <w:t>-77,0%</w:t>
            </w:r>
          </w:p>
        </w:tc>
      </w:tr>
      <w:tr w:rsidR="00F30790" w:rsidRPr="00F30790" w14:paraId="3E793E57" w14:textId="77777777" w:rsidTr="00CD44F3">
        <w:trPr>
          <w:trHeight w:val="342"/>
        </w:trPr>
        <w:tc>
          <w:tcPr>
            <w:tcW w:w="2155" w:type="dxa"/>
            <w:tcBorders>
              <w:top w:val="nil"/>
              <w:left w:val="single" w:sz="4" w:space="0" w:color="auto"/>
              <w:bottom w:val="single" w:sz="4" w:space="0" w:color="auto"/>
              <w:right w:val="single" w:sz="4" w:space="0" w:color="auto"/>
            </w:tcBorders>
            <w:shd w:val="clear" w:color="000000" w:fill="FFFFFF"/>
            <w:noWrap/>
            <w:vAlign w:val="center"/>
            <w:hideMark/>
          </w:tcPr>
          <w:p w14:paraId="4486B487" w14:textId="77777777" w:rsidR="00F30790" w:rsidRPr="00F30790" w:rsidRDefault="00F30790" w:rsidP="00F30790">
            <w:pPr>
              <w:ind w:firstLineChars="100" w:firstLine="200"/>
              <w:rPr>
                <w:rFonts w:ascii="Arial Narrow" w:hAnsi="Arial Narrow" w:cs="Arial"/>
                <w:color w:val="000000"/>
                <w:sz w:val="20"/>
                <w:szCs w:val="20"/>
              </w:rPr>
            </w:pPr>
            <w:r w:rsidRPr="00F30790">
              <w:rPr>
                <w:rFonts w:ascii="Arial Narrow" w:hAnsi="Arial Narrow" w:cs="Arial"/>
                <w:color w:val="000000"/>
                <w:sz w:val="20"/>
                <w:szCs w:val="20"/>
              </w:rPr>
              <w:t>Саудитска Арабия</w:t>
            </w:r>
          </w:p>
        </w:tc>
        <w:tc>
          <w:tcPr>
            <w:tcW w:w="1340" w:type="dxa"/>
            <w:tcBorders>
              <w:top w:val="nil"/>
              <w:left w:val="nil"/>
              <w:bottom w:val="single" w:sz="4" w:space="0" w:color="auto"/>
              <w:right w:val="single" w:sz="4" w:space="0" w:color="auto"/>
            </w:tcBorders>
            <w:shd w:val="clear" w:color="000000" w:fill="FFFFFF"/>
            <w:noWrap/>
            <w:vAlign w:val="center"/>
            <w:hideMark/>
          </w:tcPr>
          <w:p w14:paraId="7EC87D60" w14:textId="77777777" w:rsidR="00F30790" w:rsidRPr="00F30790" w:rsidRDefault="00F30790" w:rsidP="00F30790">
            <w:pPr>
              <w:jc w:val="right"/>
              <w:rPr>
                <w:rFonts w:ascii="Arial Narrow" w:hAnsi="Arial Narrow" w:cs="Arial"/>
                <w:color w:val="000000"/>
                <w:sz w:val="20"/>
                <w:szCs w:val="20"/>
              </w:rPr>
            </w:pPr>
            <w:r w:rsidRPr="00F30790">
              <w:rPr>
                <w:rFonts w:ascii="Arial Narrow" w:hAnsi="Arial Narrow" w:cs="Arial"/>
                <w:color w:val="000000"/>
                <w:sz w:val="20"/>
                <w:szCs w:val="20"/>
              </w:rPr>
              <w:t>25 275</w:t>
            </w:r>
          </w:p>
        </w:tc>
        <w:tc>
          <w:tcPr>
            <w:tcW w:w="1340" w:type="dxa"/>
            <w:tcBorders>
              <w:top w:val="nil"/>
              <w:left w:val="nil"/>
              <w:bottom w:val="single" w:sz="4" w:space="0" w:color="auto"/>
              <w:right w:val="single" w:sz="4" w:space="0" w:color="auto"/>
            </w:tcBorders>
            <w:shd w:val="clear" w:color="000000" w:fill="FFFFFF"/>
            <w:noWrap/>
            <w:vAlign w:val="center"/>
            <w:hideMark/>
          </w:tcPr>
          <w:p w14:paraId="6C7EC003" w14:textId="77777777" w:rsidR="00F30790" w:rsidRPr="00F30790" w:rsidRDefault="00F30790" w:rsidP="00F30790">
            <w:pPr>
              <w:jc w:val="right"/>
              <w:rPr>
                <w:rFonts w:ascii="Arial Narrow" w:hAnsi="Arial Narrow" w:cs="Arial"/>
                <w:color w:val="000000"/>
                <w:sz w:val="20"/>
                <w:szCs w:val="20"/>
              </w:rPr>
            </w:pPr>
            <w:r w:rsidRPr="00F30790">
              <w:rPr>
                <w:rFonts w:ascii="Arial Narrow" w:hAnsi="Arial Narrow" w:cs="Arial"/>
                <w:color w:val="000000"/>
                <w:sz w:val="20"/>
                <w:szCs w:val="20"/>
              </w:rPr>
              <w:t>21 591</w:t>
            </w:r>
          </w:p>
        </w:tc>
        <w:tc>
          <w:tcPr>
            <w:tcW w:w="1340" w:type="dxa"/>
            <w:tcBorders>
              <w:top w:val="nil"/>
              <w:left w:val="nil"/>
              <w:bottom w:val="single" w:sz="4" w:space="0" w:color="auto"/>
              <w:right w:val="single" w:sz="4" w:space="0" w:color="auto"/>
            </w:tcBorders>
            <w:shd w:val="clear" w:color="000000" w:fill="FFFFFF"/>
            <w:noWrap/>
            <w:vAlign w:val="center"/>
            <w:hideMark/>
          </w:tcPr>
          <w:p w14:paraId="559921E8" w14:textId="77777777" w:rsidR="00F30790" w:rsidRPr="00F30790" w:rsidRDefault="00F30790" w:rsidP="00F30790">
            <w:pPr>
              <w:jc w:val="right"/>
              <w:rPr>
                <w:rFonts w:ascii="Arial Narrow" w:hAnsi="Arial Narrow" w:cs="Arial"/>
                <w:color w:val="000000"/>
                <w:sz w:val="20"/>
                <w:szCs w:val="20"/>
              </w:rPr>
            </w:pPr>
            <w:r w:rsidRPr="00F30790">
              <w:rPr>
                <w:rFonts w:ascii="Arial Narrow" w:hAnsi="Arial Narrow" w:cs="Arial"/>
                <w:color w:val="000000"/>
                <w:sz w:val="20"/>
                <w:szCs w:val="20"/>
              </w:rPr>
              <w:t>50 104</w:t>
            </w:r>
          </w:p>
        </w:tc>
        <w:tc>
          <w:tcPr>
            <w:tcW w:w="1310" w:type="dxa"/>
            <w:tcBorders>
              <w:top w:val="nil"/>
              <w:left w:val="nil"/>
              <w:bottom w:val="single" w:sz="4" w:space="0" w:color="auto"/>
              <w:right w:val="single" w:sz="4" w:space="0" w:color="auto"/>
            </w:tcBorders>
            <w:shd w:val="clear" w:color="000000" w:fill="FFFFFF"/>
            <w:noWrap/>
            <w:vAlign w:val="center"/>
            <w:hideMark/>
          </w:tcPr>
          <w:p w14:paraId="6EB6B3FE" w14:textId="77777777" w:rsidR="00F30790" w:rsidRPr="00F30790" w:rsidRDefault="00F30790" w:rsidP="00F30790">
            <w:pPr>
              <w:jc w:val="right"/>
              <w:rPr>
                <w:rFonts w:ascii="Arial Narrow" w:hAnsi="Arial Narrow" w:cs="Arial"/>
                <w:color w:val="000000"/>
                <w:sz w:val="20"/>
                <w:szCs w:val="20"/>
              </w:rPr>
            </w:pPr>
            <w:r w:rsidRPr="00F30790">
              <w:rPr>
                <w:rFonts w:ascii="Arial Narrow" w:hAnsi="Arial Narrow" w:cs="Arial"/>
                <w:color w:val="000000"/>
                <w:sz w:val="20"/>
                <w:szCs w:val="20"/>
              </w:rPr>
              <w:t>0,7%</w:t>
            </w:r>
          </w:p>
        </w:tc>
        <w:tc>
          <w:tcPr>
            <w:tcW w:w="1340" w:type="dxa"/>
            <w:tcBorders>
              <w:top w:val="nil"/>
              <w:left w:val="nil"/>
              <w:bottom w:val="single" w:sz="4" w:space="0" w:color="auto"/>
              <w:right w:val="single" w:sz="4" w:space="0" w:color="auto"/>
            </w:tcBorders>
            <w:shd w:val="clear" w:color="000000" w:fill="FFFFFF"/>
            <w:noWrap/>
            <w:vAlign w:val="center"/>
            <w:hideMark/>
          </w:tcPr>
          <w:p w14:paraId="72241AFF" w14:textId="77777777" w:rsidR="00F30790" w:rsidRPr="00F30790" w:rsidRDefault="00F30790" w:rsidP="00F30790">
            <w:pPr>
              <w:jc w:val="right"/>
              <w:rPr>
                <w:rFonts w:ascii="Arial Narrow" w:hAnsi="Arial Narrow" w:cs="Arial"/>
                <w:color w:val="000000"/>
                <w:sz w:val="20"/>
                <w:szCs w:val="20"/>
              </w:rPr>
            </w:pPr>
            <w:r w:rsidRPr="00F30790">
              <w:rPr>
                <w:rFonts w:ascii="Arial Narrow" w:hAnsi="Arial Narrow" w:cs="Arial"/>
                <w:color w:val="000000"/>
                <w:sz w:val="20"/>
                <w:szCs w:val="20"/>
              </w:rPr>
              <w:t>-416</w:t>
            </w:r>
          </w:p>
        </w:tc>
        <w:tc>
          <w:tcPr>
            <w:tcW w:w="1116" w:type="dxa"/>
            <w:tcBorders>
              <w:top w:val="nil"/>
              <w:left w:val="nil"/>
              <w:bottom w:val="single" w:sz="4" w:space="0" w:color="auto"/>
              <w:right w:val="single" w:sz="4" w:space="0" w:color="auto"/>
            </w:tcBorders>
            <w:shd w:val="clear" w:color="000000" w:fill="FFFFFF"/>
            <w:noWrap/>
            <w:vAlign w:val="center"/>
            <w:hideMark/>
          </w:tcPr>
          <w:p w14:paraId="6E2C8F10" w14:textId="77777777" w:rsidR="00F30790" w:rsidRPr="00F30790" w:rsidRDefault="00F30790" w:rsidP="00F30790">
            <w:pPr>
              <w:jc w:val="right"/>
              <w:rPr>
                <w:rFonts w:ascii="Arial Narrow" w:hAnsi="Arial Narrow" w:cs="Arial"/>
                <w:color w:val="000000"/>
                <w:sz w:val="20"/>
                <w:szCs w:val="20"/>
              </w:rPr>
            </w:pPr>
            <w:r w:rsidRPr="00F30790">
              <w:rPr>
                <w:rFonts w:ascii="Arial Narrow" w:hAnsi="Arial Narrow" w:cs="Arial"/>
                <w:color w:val="000000"/>
                <w:sz w:val="20"/>
                <w:szCs w:val="20"/>
              </w:rPr>
              <w:t>-0,8%</w:t>
            </w:r>
          </w:p>
        </w:tc>
      </w:tr>
      <w:tr w:rsidR="00F30790" w:rsidRPr="00F30790" w14:paraId="73BB3CE8" w14:textId="77777777" w:rsidTr="00CD44F3">
        <w:trPr>
          <w:trHeight w:val="342"/>
        </w:trPr>
        <w:tc>
          <w:tcPr>
            <w:tcW w:w="2155" w:type="dxa"/>
            <w:tcBorders>
              <w:top w:val="nil"/>
              <w:left w:val="single" w:sz="4" w:space="0" w:color="auto"/>
              <w:bottom w:val="single" w:sz="4" w:space="0" w:color="auto"/>
              <w:right w:val="single" w:sz="4" w:space="0" w:color="auto"/>
            </w:tcBorders>
            <w:shd w:val="clear" w:color="000000" w:fill="FFFFFF"/>
            <w:noWrap/>
            <w:vAlign w:val="center"/>
            <w:hideMark/>
          </w:tcPr>
          <w:p w14:paraId="4C596E3D" w14:textId="77777777" w:rsidR="00F30790" w:rsidRPr="00F30790" w:rsidRDefault="00F30790" w:rsidP="00F30790">
            <w:pPr>
              <w:ind w:firstLineChars="100" w:firstLine="200"/>
              <w:rPr>
                <w:rFonts w:ascii="Arial Narrow" w:hAnsi="Arial Narrow" w:cs="Arial"/>
                <w:color w:val="000000"/>
                <w:sz w:val="20"/>
                <w:szCs w:val="20"/>
              </w:rPr>
            </w:pPr>
            <w:r w:rsidRPr="00F30790">
              <w:rPr>
                <w:rFonts w:ascii="Arial Narrow" w:hAnsi="Arial Narrow" w:cs="Arial"/>
                <w:color w:val="000000"/>
                <w:sz w:val="20"/>
                <w:szCs w:val="20"/>
              </w:rPr>
              <w:t>Северна Македония</w:t>
            </w:r>
          </w:p>
        </w:tc>
        <w:tc>
          <w:tcPr>
            <w:tcW w:w="1340" w:type="dxa"/>
            <w:tcBorders>
              <w:top w:val="nil"/>
              <w:left w:val="nil"/>
              <w:bottom w:val="single" w:sz="4" w:space="0" w:color="auto"/>
              <w:right w:val="single" w:sz="4" w:space="0" w:color="auto"/>
            </w:tcBorders>
            <w:shd w:val="clear" w:color="000000" w:fill="FFFFFF"/>
            <w:noWrap/>
            <w:vAlign w:val="center"/>
            <w:hideMark/>
          </w:tcPr>
          <w:p w14:paraId="1DE703D0" w14:textId="77777777" w:rsidR="00F30790" w:rsidRPr="00F30790" w:rsidRDefault="00F30790" w:rsidP="00F30790">
            <w:pPr>
              <w:jc w:val="right"/>
              <w:rPr>
                <w:rFonts w:ascii="Arial Narrow" w:hAnsi="Arial Narrow" w:cs="Arial"/>
                <w:color w:val="000000"/>
                <w:sz w:val="20"/>
                <w:szCs w:val="20"/>
              </w:rPr>
            </w:pPr>
            <w:r w:rsidRPr="00F30790">
              <w:rPr>
                <w:rFonts w:ascii="Arial Narrow" w:hAnsi="Arial Narrow" w:cs="Arial"/>
                <w:color w:val="000000"/>
                <w:sz w:val="20"/>
                <w:szCs w:val="20"/>
              </w:rPr>
              <w:t>60 859</w:t>
            </w:r>
          </w:p>
        </w:tc>
        <w:tc>
          <w:tcPr>
            <w:tcW w:w="1340" w:type="dxa"/>
            <w:tcBorders>
              <w:top w:val="nil"/>
              <w:left w:val="nil"/>
              <w:bottom w:val="single" w:sz="4" w:space="0" w:color="auto"/>
              <w:right w:val="single" w:sz="4" w:space="0" w:color="auto"/>
            </w:tcBorders>
            <w:shd w:val="clear" w:color="000000" w:fill="FFFFFF"/>
            <w:noWrap/>
            <w:vAlign w:val="center"/>
            <w:hideMark/>
          </w:tcPr>
          <w:p w14:paraId="4289FA62" w14:textId="77777777" w:rsidR="00F30790" w:rsidRPr="00F30790" w:rsidRDefault="00F30790" w:rsidP="00F30790">
            <w:pPr>
              <w:jc w:val="right"/>
              <w:rPr>
                <w:rFonts w:ascii="Arial Narrow" w:hAnsi="Arial Narrow" w:cs="Arial"/>
                <w:sz w:val="20"/>
                <w:szCs w:val="20"/>
              </w:rPr>
            </w:pPr>
            <w:r w:rsidRPr="00F30790">
              <w:rPr>
                <w:rFonts w:ascii="Arial Narrow" w:hAnsi="Arial Narrow" w:cs="Arial"/>
                <w:sz w:val="20"/>
                <w:szCs w:val="20"/>
              </w:rPr>
              <w:t>50 520</w:t>
            </w:r>
          </w:p>
        </w:tc>
        <w:tc>
          <w:tcPr>
            <w:tcW w:w="1340" w:type="dxa"/>
            <w:tcBorders>
              <w:top w:val="nil"/>
              <w:left w:val="nil"/>
              <w:bottom w:val="single" w:sz="4" w:space="0" w:color="auto"/>
              <w:right w:val="single" w:sz="4" w:space="0" w:color="auto"/>
            </w:tcBorders>
            <w:shd w:val="clear" w:color="000000" w:fill="FFFFFF"/>
            <w:noWrap/>
            <w:vAlign w:val="center"/>
            <w:hideMark/>
          </w:tcPr>
          <w:p w14:paraId="425767CE" w14:textId="77777777" w:rsidR="00F30790" w:rsidRPr="00F30790" w:rsidRDefault="00F30790" w:rsidP="00F30790">
            <w:pPr>
              <w:jc w:val="right"/>
              <w:rPr>
                <w:rFonts w:ascii="Arial Narrow" w:hAnsi="Arial Narrow" w:cs="Arial"/>
                <w:color w:val="000000"/>
                <w:sz w:val="20"/>
                <w:szCs w:val="20"/>
              </w:rPr>
            </w:pPr>
            <w:r w:rsidRPr="00F30790">
              <w:rPr>
                <w:rFonts w:ascii="Arial Narrow" w:hAnsi="Arial Narrow" w:cs="Arial"/>
                <w:color w:val="000000"/>
                <w:sz w:val="20"/>
                <w:szCs w:val="20"/>
              </w:rPr>
              <w:t>48 464</w:t>
            </w:r>
          </w:p>
        </w:tc>
        <w:tc>
          <w:tcPr>
            <w:tcW w:w="1310" w:type="dxa"/>
            <w:tcBorders>
              <w:top w:val="nil"/>
              <w:left w:val="nil"/>
              <w:bottom w:val="single" w:sz="4" w:space="0" w:color="auto"/>
              <w:right w:val="single" w:sz="4" w:space="0" w:color="auto"/>
            </w:tcBorders>
            <w:shd w:val="clear" w:color="000000" w:fill="FFFFFF"/>
            <w:noWrap/>
            <w:vAlign w:val="center"/>
            <w:hideMark/>
          </w:tcPr>
          <w:p w14:paraId="2E361A63" w14:textId="77777777" w:rsidR="00F30790" w:rsidRPr="00F30790" w:rsidRDefault="00F30790" w:rsidP="00F30790">
            <w:pPr>
              <w:jc w:val="right"/>
              <w:rPr>
                <w:rFonts w:ascii="Arial Narrow" w:hAnsi="Arial Narrow" w:cs="Arial"/>
                <w:color w:val="000000"/>
                <w:sz w:val="20"/>
                <w:szCs w:val="20"/>
              </w:rPr>
            </w:pPr>
            <w:r w:rsidRPr="00F30790">
              <w:rPr>
                <w:rFonts w:ascii="Arial Narrow" w:hAnsi="Arial Narrow" w:cs="Arial"/>
                <w:color w:val="000000"/>
                <w:sz w:val="20"/>
                <w:szCs w:val="20"/>
              </w:rPr>
              <w:t>0,7%</w:t>
            </w:r>
          </w:p>
        </w:tc>
        <w:tc>
          <w:tcPr>
            <w:tcW w:w="1340" w:type="dxa"/>
            <w:tcBorders>
              <w:top w:val="nil"/>
              <w:left w:val="nil"/>
              <w:bottom w:val="single" w:sz="4" w:space="0" w:color="auto"/>
              <w:right w:val="single" w:sz="4" w:space="0" w:color="auto"/>
            </w:tcBorders>
            <w:shd w:val="clear" w:color="000000" w:fill="FFFFFF"/>
            <w:noWrap/>
            <w:vAlign w:val="center"/>
            <w:hideMark/>
          </w:tcPr>
          <w:p w14:paraId="6C9F058E" w14:textId="77777777" w:rsidR="00F30790" w:rsidRPr="00F30790" w:rsidRDefault="00F30790" w:rsidP="00F30790">
            <w:pPr>
              <w:jc w:val="right"/>
              <w:rPr>
                <w:rFonts w:ascii="Arial Narrow" w:hAnsi="Arial Narrow" w:cs="Arial"/>
                <w:color w:val="000000"/>
                <w:sz w:val="20"/>
                <w:szCs w:val="20"/>
              </w:rPr>
            </w:pPr>
            <w:r w:rsidRPr="00F30790">
              <w:rPr>
                <w:rFonts w:ascii="Arial Narrow" w:hAnsi="Arial Narrow" w:cs="Arial"/>
                <w:color w:val="000000"/>
                <w:sz w:val="20"/>
                <w:szCs w:val="20"/>
              </w:rPr>
              <w:t>-912 725</w:t>
            </w:r>
          </w:p>
        </w:tc>
        <w:tc>
          <w:tcPr>
            <w:tcW w:w="1116" w:type="dxa"/>
            <w:tcBorders>
              <w:top w:val="nil"/>
              <w:left w:val="nil"/>
              <w:bottom w:val="single" w:sz="4" w:space="0" w:color="auto"/>
              <w:right w:val="single" w:sz="4" w:space="0" w:color="auto"/>
            </w:tcBorders>
            <w:shd w:val="clear" w:color="000000" w:fill="FFFFFF"/>
            <w:noWrap/>
            <w:vAlign w:val="center"/>
            <w:hideMark/>
          </w:tcPr>
          <w:p w14:paraId="2BA4FE44" w14:textId="77777777" w:rsidR="00F30790" w:rsidRPr="00F30790" w:rsidRDefault="00F30790" w:rsidP="00F30790">
            <w:pPr>
              <w:jc w:val="right"/>
              <w:rPr>
                <w:rFonts w:ascii="Arial Narrow" w:hAnsi="Arial Narrow" w:cs="Arial"/>
                <w:color w:val="000000"/>
                <w:sz w:val="20"/>
                <w:szCs w:val="20"/>
              </w:rPr>
            </w:pPr>
            <w:r w:rsidRPr="00F30790">
              <w:rPr>
                <w:rFonts w:ascii="Arial Narrow" w:hAnsi="Arial Narrow" w:cs="Arial"/>
                <w:color w:val="000000"/>
                <w:sz w:val="20"/>
                <w:szCs w:val="20"/>
              </w:rPr>
              <w:t>-95,0%</w:t>
            </w:r>
          </w:p>
        </w:tc>
      </w:tr>
      <w:tr w:rsidR="00F30790" w:rsidRPr="00F30790" w14:paraId="7B66AF07" w14:textId="77777777" w:rsidTr="00CD44F3">
        <w:trPr>
          <w:trHeight w:val="342"/>
        </w:trPr>
        <w:tc>
          <w:tcPr>
            <w:tcW w:w="2155" w:type="dxa"/>
            <w:tcBorders>
              <w:top w:val="nil"/>
              <w:left w:val="single" w:sz="4" w:space="0" w:color="auto"/>
              <w:bottom w:val="single" w:sz="4" w:space="0" w:color="auto"/>
              <w:right w:val="single" w:sz="4" w:space="0" w:color="auto"/>
            </w:tcBorders>
            <w:shd w:val="clear" w:color="000000" w:fill="FFFFFF"/>
            <w:noWrap/>
            <w:vAlign w:val="center"/>
            <w:hideMark/>
          </w:tcPr>
          <w:p w14:paraId="711C980C" w14:textId="77777777" w:rsidR="00F30790" w:rsidRPr="00F30790" w:rsidRDefault="00F30790" w:rsidP="00F30790">
            <w:pPr>
              <w:ind w:firstLineChars="100" w:firstLine="200"/>
              <w:rPr>
                <w:rFonts w:ascii="Arial Narrow" w:hAnsi="Arial Narrow" w:cs="Arial"/>
                <w:color w:val="000000"/>
                <w:sz w:val="20"/>
                <w:szCs w:val="20"/>
              </w:rPr>
            </w:pPr>
            <w:r w:rsidRPr="00F30790">
              <w:rPr>
                <w:rFonts w:ascii="Arial Narrow" w:hAnsi="Arial Narrow" w:cs="Arial"/>
                <w:color w:val="000000"/>
                <w:sz w:val="20"/>
                <w:szCs w:val="20"/>
              </w:rPr>
              <w:t>Други</w:t>
            </w:r>
          </w:p>
        </w:tc>
        <w:tc>
          <w:tcPr>
            <w:tcW w:w="1340" w:type="dxa"/>
            <w:tcBorders>
              <w:top w:val="nil"/>
              <w:left w:val="nil"/>
              <w:bottom w:val="single" w:sz="4" w:space="0" w:color="auto"/>
              <w:right w:val="single" w:sz="4" w:space="0" w:color="auto"/>
            </w:tcBorders>
            <w:shd w:val="clear" w:color="000000" w:fill="FFFFFF"/>
            <w:noWrap/>
            <w:vAlign w:val="center"/>
            <w:hideMark/>
          </w:tcPr>
          <w:p w14:paraId="710209A7" w14:textId="77777777" w:rsidR="00F30790" w:rsidRPr="00F30790" w:rsidRDefault="00F30790" w:rsidP="00F30790">
            <w:pPr>
              <w:jc w:val="right"/>
              <w:rPr>
                <w:rFonts w:ascii="Arial Narrow" w:hAnsi="Arial Narrow" w:cs="Arial"/>
                <w:color w:val="000000"/>
                <w:sz w:val="20"/>
                <w:szCs w:val="20"/>
              </w:rPr>
            </w:pPr>
            <w:r w:rsidRPr="00F30790">
              <w:rPr>
                <w:rFonts w:ascii="Arial Narrow" w:hAnsi="Arial Narrow" w:cs="Arial"/>
                <w:color w:val="000000"/>
                <w:sz w:val="20"/>
                <w:szCs w:val="20"/>
              </w:rPr>
              <w:t>1 166 131</w:t>
            </w:r>
          </w:p>
        </w:tc>
        <w:tc>
          <w:tcPr>
            <w:tcW w:w="1340" w:type="dxa"/>
            <w:tcBorders>
              <w:top w:val="nil"/>
              <w:left w:val="nil"/>
              <w:bottom w:val="single" w:sz="4" w:space="0" w:color="auto"/>
              <w:right w:val="single" w:sz="4" w:space="0" w:color="auto"/>
            </w:tcBorders>
            <w:shd w:val="clear" w:color="000000" w:fill="FFFFFF"/>
            <w:noWrap/>
            <w:vAlign w:val="center"/>
            <w:hideMark/>
          </w:tcPr>
          <w:p w14:paraId="76395143" w14:textId="77777777" w:rsidR="00F30790" w:rsidRPr="00F30790" w:rsidRDefault="00F30790" w:rsidP="00F30790">
            <w:pPr>
              <w:jc w:val="right"/>
              <w:rPr>
                <w:rFonts w:ascii="Arial Narrow" w:hAnsi="Arial Narrow" w:cs="Arial"/>
                <w:color w:val="000000"/>
                <w:sz w:val="20"/>
                <w:szCs w:val="20"/>
              </w:rPr>
            </w:pPr>
            <w:r w:rsidRPr="00F30790">
              <w:rPr>
                <w:rFonts w:ascii="Arial Narrow" w:hAnsi="Arial Narrow" w:cs="Arial"/>
                <w:color w:val="000000"/>
                <w:sz w:val="20"/>
                <w:szCs w:val="20"/>
              </w:rPr>
              <w:t>961 189</w:t>
            </w:r>
          </w:p>
        </w:tc>
        <w:tc>
          <w:tcPr>
            <w:tcW w:w="1340" w:type="dxa"/>
            <w:tcBorders>
              <w:top w:val="nil"/>
              <w:left w:val="nil"/>
              <w:bottom w:val="single" w:sz="4" w:space="0" w:color="auto"/>
              <w:right w:val="single" w:sz="4" w:space="0" w:color="auto"/>
            </w:tcBorders>
            <w:shd w:val="clear" w:color="auto" w:fill="auto"/>
            <w:noWrap/>
            <w:vAlign w:val="center"/>
            <w:hideMark/>
          </w:tcPr>
          <w:p w14:paraId="0FEF7273" w14:textId="77777777" w:rsidR="00F30790" w:rsidRPr="00F30790" w:rsidRDefault="00F30790" w:rsidP="00F30790">
            <w:pPr>
              <w:jc w:val="right"/>
              <w:rPr>
                <w:rFonts w:ascii="Arial Narrow" w:hAnsi="Arial Narrow" w:cs="Arial"/>
                <w:color w:val="000000"/>
                <w:sz w:val="20"/>
                <w:szCs w:val="20"/>
              </w:rPr>
            </w:pPr>
            <w:r w:rsidRPr="000716DE">
              <w:rPr>
                <w:rFonts w:ascii="Arial Narrow" w:hAnsi="Arial Narrow" w:cs="Arial"/>
                <w:color w:val="000000"/>
                <w:sz w:val="20"/>
                <w:szCs w:val="20"/>
              </w:rPr>
              <w:t>689 748</w:t>
            </w:r>
          </w:p>
        </w:tc>
        <w:tc>
          <w:tcPr>
            <w:tcW w:w="1310" w:type="dxa"/>
            <w:tcBorders>
              <w:top w:val="nil"/>
              <w:left w:val="nil"/>
              <w:bottom w:val="single" w:sz="4" w:space="0" w:color="auto"/>
              <w:right w:val="single" w:sz="4" w:space="0" w:color="auto"/>
            </w:tcBorders>
            <w:shd w:val="clear" w:color="000000" w:fill="FFFFFF"/>
            <w:noWrap/>
            <w:vAlign w:val="center"/>
            <w:hideMark/>
          </w:tcPr>
          <w:p w14:paraId="70066A09" w14:textId="77777777" w:rsidR="00F30790" w:rsidRPr="00F30790" w:rsidRDefault="00F30790" w:rsidP="00F30790">
            <w:pPr>
              <w:jc w:val="right"/>
              <w:rPr>
                <w:rFonts w:ascii="Arial Narrow" w:hAnsi="Arial Narrow" w:cs="Arial"/>
                <w:color w:val="000000"/>
                <w:sz w:val="20"/>
                <w:szCs w:val="20"/>
              </w:rPr>
            </w:pPr>
            <w:r w:rsidRPr="00F30790">
              <w:rPr>
                <w:rFonts w:ascii="Arial Narrow" w:hAnsi="Arial Narrow" w:cs="Arial"/>
                <w:color w:val="000000"/>
                <w:sz w:val="20"/>
                <w:szCs w:val="20"/>
              </w:rPr>
              <w:t>10,2%</w:t>
            </w:r>
          </w:p>
        </w:tc>
        <w:tc>
          <w:tcPr>
            <w:tcW w:w="1340" w:type="dxa"/>
            <w:tcBorders>
              <w:top w:val="nil"/>
              <w:left w:val="nil"/>
              <w:bottom w:val="single" w:sz="4" w:space="0" w:color="auto"/>
              <w:right w:val="single" w:sz="4" w:space="0" w:color="auto"/>
            </w:tcBorders>
            <w:shd w:val="clear" w:color="000000" w:fill="FFFFFF"/>
            <w:noWrap/>
            <w:vAlign w:val="center"/>
            <w:hideMark/>
          </w:tcPr>
          <w:p w14:paraId="411EC751" w14:textId="77777777" w:rsidR="00F30790" w:rsidRPr="00F30790" w:rsidRDefault="00F30790" w:rsidP="00F30790">
            <w:pPr>
              <w:jc w:val="right"/>
              <w:rPr>
                <w:rFonts w:ascii="Arial Narrow" w:hAnsi="Arial Narrow" w:cs="Arial"/>
                <w:color w:val="000000"/>
                <w:sz w:val="20"/>
                <w:szCs w:val="20"/>
              </w:rPr>
            </w:pPr>
            <w:r w:rsidRPr="00F30790">
              <w:rPr>
                <w:rFonts w:ascii="Arial Narrow" w:hAnsi="Arial Narrow" w:cs="Arial"/>
                <w:color w:val="000000"/>
                <w:sz w:val="20"/>
                <w:szCs w:val="20"/>
              </w:rPr>
              <w:t>-271 441</w:t>
            </w:r>
          </w:p>
        </w:tc>
        <w:tc>
          <w:tcPr>
            <w:tcW w:w="1116" w:type="dxa"/>
            <w:tcBorders>
              <w:top w:val="nil"/>
              <w:left w:val="nil"/>
              <w:bottom w:val="single" w:sz="4" w:space="0" w:color="auto"/>
              <w:right w:val="single" w:sz="4" w:space="0" w:color="auto"/>
            </w:tcBorders>
            <w:shd w:val="clear" w:color="000000" w:fill="FFFFFF"/>
            <w:noWrap/>
            <w:vAlign w:val="center"/>
            <w:hideMark/>
          </w:tcPr>
          <w:p w14:paraId="54D14591" w14:textId="77777777" w:rsidR="00F30790" w:rsidRPr="00F30790" w:rsidRDefault="00F30790" w:rsidP="00F30790">
            <w:pPr>
              <w:jc w:val="right"/>
              <w:rPr>
                <w:rFonts w:ascii="Arial Narrow" w:hAnsi="Arial Narrow" w:cs="Arial"/>
                <w:color w:val="000000"/>
                <w:sz w:val="20"/>
                <w:szCs w:val="20"/>
              </w:rPr>
            </w:pPr>
            <w:r w:rsidRPr="00F30790">
              <w:rPr>
                <w:rFonts w:ascii="Arial Narrow" w:hAnsi="Arial Narrow" w:cs="Arial"/>
                <w:color w:val="000000"/>
                <w:sz w:val="20"/>
                <w:szCs w:val="20"/>
              </w:rPr>
              <w:t>-28,2%</w:t>
            </w:r>
          </w:p>
        </w:tc>
      </w:tr>
    </w:tbl>
    <w:p w14:paraId="2D559A34" w14:textId="77777777" w:rsidR="004605ED" w:rsidRPr="004605ED" w:rsidRDefault="004605ED" w:rsidP="004605ED">
      <w:pPr>
        <w:spacing w:after="240"/>
        <w:rPr>
          <w:rFonts w:ascii="Arial Narrow" w:eastAsia="Calibri" w:hAnsi="Arial Narrow" w:cs="Arial Narrow"/>
          <w:i/>
          <w:sz w:val="18"/>
          <w:szCs w:val="18"/>
          <w:lang w:val="bg-BG"/>
        </w:rPr>
      </w:pPr>
      <w:r w:rsidRPr="004605ED">
        <w:rPr>
          <w:rFonts w:ascii="Arial Narrow" w:eastAsia="Calibri" w:hAnsi="Arial Narrow" w:cs="Arial Narrow"/>
          <w:i/>
          <w:sz w:val="18"/>
          <w:szCs w:val="18"/>
          <w:lang w:val="bg-BG"/>
        </w:rPr>
        <w:t xml:space="preserve">Източник: </w:t>
      </w:r>
      <w:r w:rsidRPr="004605ED">
        <w:rPr>
          <w:rFonts w:ascii="Arial Narrow" w:eastAsia="Calibri" w:hAnsi="Arial Narrow" w:cs="Arial Narrow"/>
          <w:sz w:val="18"/>
          <w:szCs w:val="18"/>
          <w:lang w:val="bg-BG"/>
        </w:rPr>
        <w:t>НСИ и изчисления на МЗХ.</w:t>
      </w:r>
    </w:p>
    <w:p w14:paraId="48097DB4" w14:textId="77777777" w:rsidR="004605ED" w:rsidRPr="004605ED" w:rsidRDefault="005776EA" w:rsidP="004605ED">
      <w:pPr>
        <w:numPr>
          <w:ilvl w:val="1"/>
          <w:numId w:val="6"/>
        </w:numPr>
        <w:tabs>
          <w:tab w:val="clear" w:pos="1080"/>
        </w:tabs>
        <w:spacing w:after="120"/>
        <w:ind w:left="788" w:hanging="431"/>
        <w:outlineLvl w:val="0"/>
        <w:rPr>
          <w:rFonts w:ascii="Arial Narrow" w:eastAsia="SimSun" w:hAnsi="Arial Narrow"/>
          <w:sz w:val="28"/>
          <w:szCs w:val="28"/>
          <w:lang w:val="bg-BG"/>
        </w:rPr>
      </w:pPr>
      <w:bookmarkStart w:id="71" w:name="_Toc210747570"/>
      <w:r w:rsidRPr="004605ED">
        <w:rPr>
          <w:rFonts w:ascii="Arial Narrow" w:eastAsia="SimSun" w:hAnsi="Arial Narrow" w:cs="Arial Narrow"/>
          <w:b/>
          <w:lang w:val="bg-BG"/>
        </w:rPr>
        <w:t>Внос</w:t>
      </w:r>
      <w:r w:rsidRPr="004605ED">
        <w:rPr>
          <w:rFonts w:ascii="Arial Narrow" w:eastAsia="SimSun" w:hAnsi="Arial Narrow"/>
          <w:b/>
          <w:lang w:val="bg-BG"/>
        </w:rPr>
        <w:t xml:space="preserve"> по страни</w:t>
      </w:r>
      <w:bookmarkEnd w:id="71"/>
    </w:p>
    <w:p w14:paraId="2F2840CD" w14:textId="77777777" w:rsidR="004605ED" w:rsidRPr="004605ED" w:rsidRDefault="004605ED" w:rsidP="004605ED">
      <w:pPr>
        <w:widowControl w:val="0"/>
        <w:autoSpaceDE w:val="0"/>
        <w:autoSpaceDN w:val="0"/>
        <w:adjustRightInd w:val="0"/>
        <w:spacing w:after="120"/>
        <w:ind w:firstLine="709"/>
        <w:jc w:val="both"/>
        <w:rPr>
          <w:rFonts w:ascii="Arial Narrow" w:hAnsi="Arial Narrow"/>
          <w:bCs/>
          <w:lang w:val="bg-BG"/>
        </w:rPr>
      </w:pPr>
      <w:r w:rsidRPr="004605ED">
        <w:rPr>
          <w:rFonts w:ascii="Arial Narrow" w:hAnsi="Arial Narrow"/>
          <w:bCs/>
          <w:lang w:val="bg-BG"/>
        </w:rPr>
        <w:t xml:space="preserve">През 2024 г. водещи доставчици на селскостопански стоки на българския пазар са Румъния, Германия и Гърция (представляващи съответно 13,1%, 9,6% и 9,2% от целия аграрен внос), следвани от Украйна, Полша, Нидерландия, Турция и др.  </w:t>
      </w:r>
    </w:p>
    <w:p w14:paraId="364ACD38" w14:textId="77777777" w:rsidR="004605ED" w:rsidRPr="004605ED" w:rsidRDefault="004605ED" w:rsidP="004605ED">
      <w:pPr>
        <w:autoSpaceDE w:val="0"/>
        <w:autoSpaceDN w:val="0"/>
        <w:adjustRightInd w:val="0"/>
        <w:spacing w:after="120"/>
        <w:ind w:firstLine="709"/>
        <w:jc w:val="both"/>
        <w:rPr>
          <w:rFonts w:ascii="Arial Narrow" w:hAnsi="Arial Narrow"/>
          <w:bCs/>
          <w:lang w:val="bg-BG"/>
        </w:rPr>
      </w:pPr>
      <w:r w:rsidRPr="004605ED">
        <w:rPr>
          <w:rFonts w:ascii="Arial Narrow" w:hAnsi="Arial Narrow"/>
          <w:bCs/>
          <w:lang w:val="bg-BG"/>
        </w:rPr>
        <w:t>Стойността на селскостопанския внос от ЕС нараства със 7,</w:t>
      </w:r>
      <w:r w:rsidR="00DD0561">
        <w:rPr>
          <w:rFonts w:ascii="Arial Narrow" w:hAnsi="Arial Narrow"/>
          <w:bCs/>
          <w:lang w:val="bg-BG"/>
        </w:rPr>
        <w:t>8</w:t>
      </w:r>
      <w:r w:rsidRPr="004605ED">
        <w:rPr>
          <w:rFonts w:ascii="Arial Narrow" w:hAnsi="Arial Narrow"/>
          <w:bCs/>
          <w:lang w:val="bg-BG"/>
        </w:rPr>
        <w:t xml:space="preserve">% спрямо предходната година. Най-голям принос за това имат пратките на слънчоглед, цигари, шоколадови изделия, слънчогледово масло и какаово масло. По отношение на слънчогледа и слънчогледовото масло се отчита сериозно увеличение на количествата, а за останалите продукти – предимно по-високи цени по вноса. При почти всички основни партньори от Съюза се наблюдава повишение на вноса, вариращо от 2,5% (Чехия) до 17,8% (Австрия). Намаляват пристиганията от Дания (-0,7%), Франция (-6,0%), Ирландия (-7,2%) и Италия (-11,2%).  </w:t>
      </w:r>
    </w:p>
    <w:p w14:paraId="6EAFA187" w14:textId="77777777" w:rsidR="004605ED" w:rsidRPr="004605ED" w:rsidRDefault="004605ED" w:rsidP="004605ED">
      <w:pPr>
        <w:autoSpaceDE w:val="0"/>
        <w:autoSpaceDN w:val="0"/>
        <w:adjustRightInd w:val="0"/>
        <w:spacing w:after="120"/>
        <w:ind w:firstLine="709"/>
        <w:jc w:val="both"/>
        <w:rPr>
          <w:rFonts w:ascii="Arial Narrow" w:hAnsi="Arial Narrow"/>
          <w:bCs/>
          <w:color w:val="000000"/>
          <w:lang w:val="bg-BG"/>
        </w:rPr>
      </w:pPr>
      <w:r w:rsidRPr="004605ED">
        <w:rPr>
          <w:rFonts w:ascii="Arial Narrow" w:hAnsi="Arial Narrow"/>
          <w:bCs/>
          <w:lang w:val="bg-BG"/>
        </w:rPr>
        <w:t>Общият внос на аграрни стоки от трети страни е с 10,</w:t>
      </w:r>
      <w:r w:rsidR="00DD0561">
        <w:rPr>
          <w:rFonts w:ascii="Arial Narrow" w:hAnsi="Arial Narrow"/>
          <w:bCs/>
          <w:lang w:val="bg-BG"/>
        </w:rPr>
        <w:t>9</w:t>
      </w:r>
      <w:r w:rsidRPr="004605ED">
        <w:rPr>
          <w:rFonts w:ascii="Arial Narrow" w:hAnsi="Arial Narrow"/>
          <w:bCs/>
          <w:lang w:val="bg-BG"/>
        </w:rPr>
        <w:t>% над нивото от предходната година, като най-сериозно нараства стойността на влезлите слънчогледово масло, кафе, какао и какаова маса. Сред по-важните доставчици извън ЕС, повишение бележи импортът от Украйна (+8,5%), Турция (+11,</w:t>
      </w:r>
      <w:r w:rsidR="00DD0561">
        <w:rPr>
          <w:rFonts w:ascii="Arial Narrow" w:hAnsi="Arial Narrow"/>
          <w:bCs/>
          <w:lang w:val="bg-BG"/>
        </w:rPr>
        <w:t>8</w:t>
      </w:r>
      <w:r w:rsidRPr="004605ED">
        <w:rPr>
          <w:rFonts w:ascii="Arial Narrow" w:hAnsi="Arial Narrow"/>
          <w:bCs/>
          <w:lang w:val="bg-BG"/>
        </w:rPr>
        <w:t>%), Сърбия (+18,9%), Обединеното кралство (+3</w:t>
      </w:r>
      <w:r w:rsidR="00C149DE">
        <w:rPr>
          <w:rFonts w:ascii="Arial Narrow" w:hAnsi="Arial Narrow"/>
          <w:bCs/>
          <w:lang w:val="bg-BG"/>
        </w:rPr>
        <w:t>3</w:t>
      </w:r>
      <w:r w:rsidRPr="004605ED">
        <w:rPr>
          <w:rFonts w:ascii="Arial Narrow" w:hAnsi="Arial Narrow"/>
          <w:bCs/>
          <w:lang w:val="bg-BG"/>
        </w:rPr>
        <w:t>,</w:t>
      </w:r>
      <w:r w:rsidR="00C149DE">
        <w:rPr>
          <w:rFonts w:ascii="Arial Narrow" w:hAnsi="Arial Narrow"/>
          <w:bCs/>
          <w:lang w:val="bg-BG"/>
        </w:rPr>
        <w:t>4</w:t>
      </w:r>
      <w:r w:rsidRPr="004605ED">
        <w:rPr>
          <w:rFonts w:ascii="Arial Narrow" w:hAnsi="Arial Narrow"/>
          <w:bCs/>
          <w:lang w:val="bg-BG"/>
        </w:rPr>
        <w:t>%) и Молдова (+41,9%), а намаление – този от Кот д‘ Ивоар (-15,2</w:t>
      </w:r>
      <w:r w:rsidRPr="004605ED">
        <w:rPr>
          <w:rFonts w:ascii="Arial Narrow" w:hAnsi="Arial Narrow"/>
          <w:bCs/>
          <w:color w:val="000000"/>
          <w:lang w:val="bg-BG"/>
        </w:rPr>
        <w:t xml:space="preserve">%) и Китай (-36%).  </w:t>
      </w:r>
    </w:p>
    <w:p w14:paraId="62D49D1F" w14:textId="77777777" w:rsidR="004605ED" w:rsidRDefault="004605ED" w:rsidP="004605ED">
      <w:pPr>
        <w:autoSpaceDE w:val="0"/>
        <w:autoSpaceDN w:val="0"/>
        <w:adjustRightInd w:val="0"/>
        <w:spacing w:after="120"/>
        <w:jc w:val="both"/>
        <w:rPr>
          <w:rFonts w:ascii="Arial Narrow" w:hAnsi="Arial Narrow"/>
          <w:b/>
          <w:bCs/>
          <w:lang w:val="bg-BG"/>
        </w:rPr>
      </w:pPr>
      <w:r w:rsidRPr="004605ED">
        <w:rPr>
          <w:rFonts w:ascii="Arial Narrow" w:hAnsi="Arial Narrow"/>
          <w:b/>
          <w:bCs/>
          <w:lang w:val="bg-BG"/>
        </w:rPr>
        <w:lastRenderedPageBreak/>
        <w:t>Таблица ІІІ.3. Внос на селскостопански стоки по страни (хил. евро)</w:t>
      </w:r>
    </w:p>
    <w:tbl>
      <w:tblPr>
        <w:tblW w:w="9776" w:type="dxa"/>
        <w:tblInd w:w="113" w:type="dxa"/>
        <w:tblLayout w:type="fixed"/>
        <w:tblLook w:val="04A0" w:firstRow="1" w:lastRow="0" w:firstColumn="1" w:lastColumn="0" w:noHBand="0" w:noVBand="1"/>
      </w:tblPr>
      <w:tblGrid>
        <w:gridCol w:w="2117"/>
        <w:gridCol w:w="1318"/>
        <w:gridCol w:w="1318"/>
        <w:gridCol w:w="1318"/>
        <w:gridCol w:w="1289"/>
        <w:gridCol w:w="1318"/>
        <w:gridCol w:w="1098"/>
      </w:tblGrid>
      <w:tr w:rsidR="00446170" w:rsidRPr="00446170" w14:paraId="27A8F591" w14:textId="77777777" w:rsidTr="00CD44F3">
        <w:trPr>
          <w:trHeight w:val="499"/>
          <w:tblHeader/>
        </w:trPr>
        <w:tc>
          <w:tcPr>
            <w:tcW w:w="2155" w:type="dxa"/>
            <w:vMerge w:val="restar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19C8974" w14:textId="77777777" w:rsidR="00446170" w:rsidRPr="00446170" w:rsidRDefault="00446170" w:rsidP="00446170">
            <w:pPr>
              <w:jc w:val="center"/>
              <w:rPr>
                <w:rFonts w:ascii="Arial" w:hAnsi="Arial" w:cs="Arial"/>
                <w:sz w:val="20"/>
                <w:szCs w:val="20"/>
              </w:rPr>
            </w:pPr>
            <w:r w:rsidRPr="00446170">
              <w:rPr>
                <w:rFonts w:ascii="Arial" w:hAnsi="Arial" w:cs="Arial"/>
                <w:sz w:val="20"/>
                <w:szCs w:val="20"/>
              </w:rPr>
              <w:t> </w:t>
            </w:r>
          </w:p>
        </w:tc>
        <w:tc>
          <w:tcPr>
            <w:tcW w:w="1340"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D51DCCA" w14:textId="77777777" w:rsidR="00446170" w:rsidRPr="00446170" w:rsidRDefault="00446170" w:rsidP="00446170">
            <w:pPr>
              <w:jc w:val="center"/>
              <w:rPr>
                <w:rFonts w:ascii="Arial Narrow" w:hAnsi="Arial Narrow" w:cs="Arial"/>
                <w:b/>
                <w:bCs/>
                <w:color w:val="000000"/>
                <w:sz w:val="20"/>
                <w:szCs w:val="20"/>
              </w:rPr>
            </w:pPr>
            <w:r w:rsidRPr="00446170">
              <w:rPr>
                <w:rFonts w:ascii="Arial Narrow" w:hAnsi="Arial Narrow" w:cs="Arial"/>
                <w:b/>
                <w:bCs/>
                <w:color w:val="000000"/>
                <w:sz w:val="20"/>
                <w:szCs w:val="20"/>
              </w:rPr>
              <w:t>2022</w:t>
            </w:r>
          </w:p>
        </w:tc>
        <w:tc>
          <w:tcPr>
            <w:tcW w:w="1340"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8900D53" w14:textId="77777777" w:rsidR="00446170" w:rsidRPr="00446170" w:rsidRDefault="00446170" w:rsidP="00446170">
            <w:pPr>
              <w:jc w:val="center"/>
              <w:rPr>
                <w:rFonts w:ascii="Arial Narrow" w:hAnsi="Arial Narrow" w:cs="Arial"/>
                <w:b/>
                <w:bCs/>
                <w:color w:val="000000"/>
                <w:sz w:val="20"/>
                <w:szCs w:val="20"/>
              </w:rPr>
            </w:pPr>
            <w:r w:rsidRPr="00446170">
              <w:rPr>
                <w:rFonts w:ascii="Arial Narrow" w:hAnsi="Arial Narrow" w:cs="Arial"/>
                <w:b/>
                <w:bCs/>
                <w:color w:val="000000"/>
                <w:sz w:val="20"/>
                <w:szCs w:val="20"/>
              </w:rPr>
              <w:t>2023</w:t>
            </w:r>
          </w:p>
        </w:tc>
        <w:tc>
          <w:tcPr>
            <w:tcW w:w="1340"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95BD7C3" w14:textId="77777777" w:rsidR="00446170" w:rsidRPr="00446170" w:rsidRDefault="00446170" w:rsidP="00446170">
            <w:pPr>
              <w:jc w:val="center"/>
              <w:rPr>
                <w:rFonts w:ascii="Arial Narrow" w:hAnsi="Arial Narrow" w:cs="Arial"/>
                <w:b/>
                <w:bCs/>
                <w:color w:val="000000"/>
                <w:sz w:val="20"/>
                <w:szCs w:val="20"/>
              </w:rPr>
            </w:pPr>
            <w:r w:rsidRPr="00446170">
              <w:rPr>
                <w:rFonts w:ascii="Arial Narrow" w:hAnsi="Arial Narrow" w:cs="Arial"/>
                <w:b/>
                <w:bCs/>
                <w:color w:val="000000"/>
                <w:sz w:val="20"/>
                <w:szCs w:val="20"/>
              </w:rPr>
              <w:t>2024</w:t>
            </w:r>
          </w:p>
        </w:tc>
        <w:tc>
          <w:tcPr>
            <w:tcW w:w="131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73710690" w14:textId="77777777" w:rsidR="00446170" w:rsidRPr="00446170" w:rsidRDefault="00446170" w:rsidP="00446170">
            <w:pPr>
              <w:jc w:val="center"/>
              <w:rPr>
                <w:rFonts w:ascii="Arial Narrow" w:hAnsi="Arial Narrow" w:cs="Arial"/>
                <w:b/>
                <w:bCs/>
                <w:color w:val="000000"/>
                <w:sz w:val="20"/>
                <w:szCs w:val="20"/>
              </w:rPr>
            </w:pPr>
            <w:r w:rsidRPr="00446170">
              <w:rPr>
                <w:rFonts w:ascii="Arial Narrow" w:hAnsi="Arial Narrow" w:cs="Arial"/>
                <w:b/>
                <w:bCs/>
                <w:color w:val="000000"/>
                <w:sz w:val="20"/>
                <w:szCs w:val="20"/>
              </w:rPr>
              <w:t>Дял в общия аграрен внос (2024)</w:t>
            </w:r>
          </w:p>
        </w:tc>
        <w:tc>
          <w:tcPr>
            <w:tcW w:w="2456" w:type="dxa"/>
            <w:gridSpan w:val="2"/>
            <w:tcBorders>
              <w:top w:val="single" w:sz="4" w:space="0" w:color="auto"/>
              <w:left w:val="nil"/>
              <w:bottom w:val="single" w:sz="4" w:space="0" w:color="auto"/>
              <w:right w:val="single" w:sz="4" w:space="0" w:color="000000"/>
            </w:tcBorders>
            <w:shd w:val="clear" w:color="000000" w:fill="FFFFFF"/>
            <w:noWrap/>
            <w:vAlign w:val="center"/>
            <w:hideMark/>
          </w:tcPr>
          <w:p w14:paraId="5215C164" w14:textId="77777777" w:rsidR="00446170" w:rsidRPr="00446170" w:rsidRDefault="00446170" w:rsidP="00446170">
            <w:pPr>
              <w:jc w:val="center"/>
              <w:rPr>
                <w:rFonts w:ascii="Arial Narrow" w:hAnsi="Arial Narrow" w:cs="Arial"/>
                <w:b/>
                <w:bCs/>
                <w:sz w:val="20"/>
                <w:szCs w:val="20"/>
              </w:rPr>
            </w:pPr>
            <w:r w:rsidRPr="00446170">
              <w:rPr>
                <w:rFonts w:ascii="Arial Narrow" w:hAnsi="Arial Narrow" w:cs="Arial"/>
                <w:b/>
                <w:bCs/>
                <w:sz w:val="20"/>
                <w:szCs w:val="20"/>
              </w:rPr>
              <w:t>Изм. 2024/2023</w:t>
            </w:r>
          </w:p>
        </w:tc>
      </w:tr>
      <w:tr w:rsidR="00446170" w:rsidRPr="00446170" w14:paraId="3A540434" w14:textId="77777777" w:rsidTr="00CD44F3">
        <w:trPr>
          <w:trHeight w:val="499"/>
          <w:tblHeader/>
        </w:trPr>
        <w:tc>
          <w:tcPr>
            <w:tcW w:w="2155" w:type="dxa"/>
            <w:vMerge/>
            <w:tcBorders>
              <w:top w:val="single" w:sz="4" w:space="0" w:color="auto"/>
              <w:left w:val="single" w:sz="4" w:space="0" w:color="auto"/>
              <w:bottom w:val="single" w:sz="4" w:space="0" w:color="auto"/>
              <w:right w:val="single" w:sz="4" w:space="0" w:color="auto"/>
            </w:tcBorders>
            <w:vAlign w:val="center"/>
            <w:hideMark/>
          </w:tcPr>
          <w:p w14:paraId="17E18628" w14:textId="77777777" w:rsidR="00446170" w:rsidRPr="00446170" w:rsidRDefault="00446170" w:rsidP="00446170">
            <w:pPr>
              <w:rPr>
                <w:rFonts w:ascii="Arial" w:hAnsi="Arial" w:cs="Arial"/>
                <w:sz w:val="20"/>
                <w:szCs w:val="20"/>
              </w:rPr>
            </w:pPr>
          </w:p>
        </w:tc>
        <w:tc>
          <w:tcPr>
            <w:tcW w:w="1340" w:type="dxa"/>
            <w:vMerge/>
            <w:tcBorders>
              <w:top w:val="single" w:sz="4" w:space="0" w:color="auto"/>
              <w:left w:val="single" w:sz="4" w:space="0" w:color="auto"/>
              <w:bottom w:val="single" w:sz="4" w:space="0" w:color="auto"/>
              <w:right w:val="single" w:sz="4" w:space="0" w:color="auto"/>
            </w:tcBorders>
            <w:vAlign w:val="center"/>
            <w:hideMark/>
          </w:tcPr>
          <w:p w14:paraId="41E47523" w14:textId="77777777" w:rsidR="00446170" w:rsidRPr="00446170" w:rsidRDefault="00446170" w:rsidP="00446170">
            <w:pPr>
              <w:rPr>
                <w:rFonts w:ascii="Arial Narrow" w:hAnsi="Arial Narrow" w:cs="Arial"/>
                <w:b/>
                <w:bCs/>
                <w:color w:val="000000"/>
                <w:sz w:val="20"/>
                <w:szCs w:val="20"/>
              </w:rPr>
            </w:pPr>
          </w:p>
        </w:tc>
        <w:tc>
          <w:tcPr>
            <w:tcW w:w="1340" w:type="dxa"/>
            <w:vMerge/>
            <w:tcBorders>
              <w:top w:val="single" w:sz="4" w:space="0" w:color="auto"/>
              <w:left w:val="single" w:sz="4" w:space="0" w:color="auto"/>
              <w:bottom w:val="single" w:sz="4" w:space="0" w:color="auto"/>
              <w:right w:val="single" w:sz="4" w:space="0" w:color="auto"/>
            </w:tcBorders>
            <w:vAlign w:val="center"/>
            <w:hideMark/>
          </w:tcPr>
          <w:p w14:paraId="746E99ED" w14:textId="77777777" w:rsidR="00446170" w:rsidRPr="00446170" w:rsidRDefault="00446170" w:rsidP="00446170">
            <w:pPr>
              <w:rPr>
                <w:rFonts w:ascii="Arial Narrow" w:hAnsi="Arial Narrow" w:cs="Arial"/>
                <w:b/>
                <w:bCs/>
                <w:color w:val="000000"/>
                <w:sz w:val="20"/>
                <w:szCs w:val="20"/>
              </w:rPr>
            </w:pPr>
          </w:p>
        </w:tc>
        <w:tc>
          <w:tcPr>
            <w:tcW w:w="1340" w:type="dxa"/>
            <w:vMerge/>
            <w:tcBorders>
              <w:top w:val="single" w:sz="4" w:space="0" w:color="auto"/>
              <w:left w:val="single" w:sz="4" w:space="0" w:color="auto"/>
              <w:bottom w:val="single" w:sz="4" w:space="0" w:color="auto"/>
              <w:right w:val="single" w:sz="4" w:space="0" w:color="auto"/>
            </w:tcBorders>
            <w:vAlign w:val="center"/>
            <w:hideMark/>
          </w:tcPr>
          <w:p w14:paraId="52140D9C" w14:textId="77777777" w:rsidR="00446170" w:rsidRPr="00446170" w:rsidRDefault="00446170" w:rsidP="00446170">
            <w:pPr>
              <w:rPr>
                <w:rFonts w:ascii="Arial Narrow" w:hAnsi="Arial Narrow" w:cs="Arial"/>
                <w:b/>
                <w:bCs/>
                <w:color w:val="000000"/>
                <w:sz w:val="20"/>
                <w:szCs w:val="20"/>
              </w:rPr>
            </w:pPr>
          </w:p>
        </w:tc>
        <w:tc>
          <w:tcPr>
            <w:tcW w:w="1310" w:type="dxa"/>
            <w:vMerge/>
            <w:tcBorders>
              <w:top w:val="single" w:sz="4" w:space="0" w:color="auto"/>
              <w:left w:val="single" w:sz="4" w:space="0" w:color="auto"/>
              <w:bottom w:val="single" w:sz="4" w:space="0" w:color="auto"/>
              <w:right w:val="single" w:sz="4" w:space="0" w:color="auto"/>
            </w:tcBorders>
            <w:vAlign w:val="center"/>
            <w:hideMark/>
          </w:tcPr>
          <w:p w14:paraId="665B04E4" w14:textId="77777777" w:rsidR="00446170" w:rsidRPr="00446170" w:rsidRDefault="00446170" w:rsidP="00446170">
            <w:pPr>
              <w:rPr>
                <w:rFonts w:ascii="Arial Narrow" w:hAnsi="Arial Narrow" w:cs="Arial"/>
                <w:b/>
                <w:bCs/>
                <w:color w:val="000000"/>
                <w:sz w:val="20"/>
                <w:szCs w:val="20"/>
              </w:rPr>
            </w:pPr>
          </w:p>
        </w:tc>
        <w:tc>
          <w:tcPr>
            <w:tcW w:w="1340" w:type="dxa"/>
            <w:tcBorders>
              <w:top w:val="nil"/>
              <w:left w:val="nil"/>
              <w:bottom w:val="single" w:sz="4" w:space="0" w:color="auto"/>
              <w:right w:val="single" w:sz="4" w:space="0" w:color="auto"/>
            </w:tcBorders>
            <w:shd w:val="clear" w:color="000000" w:fill="FFFFFF"/>
            <w:vAlign w:val="center"/>
            <w:hideMark/>
          </w:tcPr>
          <w:p w14:paraId="4CD79C42" w14:textId="77777777" w:rsidR="00446170" w:rsidRPr="00446170" w:rsidRDefault="00446170" w:rsidP="00446170">
            <w:pPr>
              <w:jc w:val="center"/>
              <w:rPr>
                <w:rFonts w:ascii="Arial Narrow" w:hAnsi="Arial Narrow" w:cs="Arial"/>
                <w:b/>
                <w:bCs/>
                <w:color w:val="000000"/>
                <w:sz w:val="20"/>
                <w:szCs w:val="20"/>
              </w:rPr>
            </w:pPr>
            <w:r w:rsidRPr="00446170">
              <w:rPr>
                <w:rFonts w:ascii="Arial Narrow" w:hAnsi="Arial Narrow" w:cs="Arial"/>
                <w:b/>
                <w:bCs/>
                <w:color w:val="000000"/>
                <w:sz w:val="20"/>
                <w:szCs w:val="20"/>
              </w:rPr>
              <w:t>хил. евро</w:t>
            </w:r>
          </w:p>
        </w:tc>
        <w:tc>
          <w:tcPr>
            <w:tcW w:w="1116" w:type="dxa"/>
            <w:tcBorders>
              <w:top w:val="nil"/>
              <w:left w:val="nil"/>
              <w:bottom w:val="single" w:sz="4" w:space="0" w:color="auto"/>
              <w:right w:val="single" w:sz="4" w:space="0" w:color="auto"/>
            </w:tcBorders>
            <w:shd w:val="clear" w:color="000000" w:fill="FFFFFF"/>
            <w:vAlign w:val="center"/>
            <w:hideMark/>
          </w:tcPr>
          <w:p w14:paraId="06926C5E" w14:textId="77777777" w:rsidR="00446170" w:rsidRPr="00446170" w:rsidRDefault="00446170" w:rsidP="00446170">
            <w:pPr>
              <w:jc w:val="center"/>
              <w:rPr>
                <w:rFonts w:ascii="Arial Narrow" w:hAnsi="Arial Narrow" w:cs="Arial"/>
                <w:b/>
                <w:bCs/>
                <w:color w:val="000000"/>
                <w:sz w:val="20"/>
                <w:szCs w:val="20"/>
              </w:rPr>
            </w:pPr>
            <w:r w:rsidRPr="00446170">
              <w:rPr>
                <w:rFonts w:ascii="Arial Narrow" w:hAnsi="Arial Narrow" w:cs="Arial"/>
                <w:b/>
                <w:bCs/>
                <w:color w:val="000000"/>
                <w:sz w:val="20"/>
                <w:szCs w:val="20"/>
              </w:rPr>
              <w:t>%</w:t>
            </w:r>
          </w:p>
        </w:tc>
      </w:tr>
      <w:tr w:rsidR="00446170" w:rsidRPr="00446170" w14:paraId="45CD3C53" w14:textId="77777777" w:rsidTr="00CD44F3">
        <w:trPr>
          <w:trHeight w:val="342"/>
        </w:trPr>
        <w:tc>
          <w:tcPr>
            <w:tcW w:w="2155" w:type="dxa"/>
            <w:tcBorders>
              <w:top w:val="nil"/>
              <w:left w:val="single" w:sz="4" w:space="0" w:color="auto"/>
              <w:bottom w:val="single" w:sz="4" w:space="0" w:color="auto"/>
              <w:right w:val="single" w:sz="4" w:space="0" w:color="auto"/>
            </w:tcBorders>
            <w:shd w:val="clear" w:color="000000" w:fill="FFFFFF"/>
            <w:vAlign w:val="center"/>
            <w:hideMark/>
          </w:tcPr>
          <w:p w14:paraId="4431FF41" w14:textId="77777777" w:rsidR="00446170" w:rsidRPr="00446170" w:rsidRDefault="00446170" w:rsidP="00446170">
            <w:pPr>
              <w:rPr>
                <w:rFonts w:ascii="Arial Narrow" w:hAnsi="Arial Narrow" w:cs="Arial"/>
                <w:b/>
                <w:bCs/>
                <w:color w:val="000000"/>
                <w:sz w:val="20"/>
                <w:szCs w:val="20"/>
              </w:rPr>
            </w:pPr>
            <w:r w:rsidRPr="00446170">
              <w:rPr>
                <w:rFonts w:ascii="Arial Narrow" w:hAnsi="Arial Narrow" w:cs="Arial"/>
                <w:b/>
                <w:bCs/>
                <w:color w:val="000000"/>
                <w:sz w:val="20"/>
                <w:szCs w:val="20"/>
              </w:rPr>
              <w:t>ОБЩО, в т. ч.:</w:t>
            </w:r>
          </w:p>
        </w:tc>
        <w:tc>
          <w:tcPr>
            <w:tcW w:w="1340" w:type="dxa"/>
            <w:tcBorders>
              <w:top w:val="nil"/>
              <w:left w:val="nil"/>
              <w:bottom w:val="single" w:sz="4" w:space="0" w:color="auto"/>
              <w:right w:val="single" w:sz="4" w:space="0" w:color="auto"/>
            </w:tcBorders>
            <w:shd w:val="clear" w:color="000000" w:fill="FFFFFF"/>
            <w:vAlign w:val="center"/>
            <w:hideMark/>
          </w:tcPr>
          <w:p w14:paraId="4D1A3B93" w14:textId="77777777" w:rsidR="00446170" w:rsidRPr="00446170" w:rsidRDefault="00446170" w:rsidP="00446170">
            <w:pPr>
              <w:jc w:val="right"/>
              <w:rPr>
                <w:rFonts w:ascii="Arial Narrow" w:hAnsi="Arial Narrow" w:cs="Arial"/>
                <w:b/>
                <w:bCs/>
                <w:sz w:val="20"/>
                <w:szCs w:val="20"/>
              </w:rPr>
            </w:pPr>
            <w:r w:rsidRPr="00446170">
              <w:rPr>
                <w:rFonts w:ascii="Arial Narrow" w:hAnsi="Arial Narrow" w:cs="Arial"/>
                <w:b/>
                <w:bCs/>
                <w:sz w:val="20"/>
                <w:szCs w:val="20"/>
              </w:rPr>
              <w:t>6 668 884</w:t>
            </w:r>
          </w:p>
        </w:tc>
        <w:tc>
          <w:tcPr>
            <w:tcW w:w="1340" w:type="dxa"/>
            <w:tcBorders>
              <w:top w:val="nil"/>
              <w:left w:val="nil"/>
              <w:bottom w:val="single" w:sz="4" w:space="0" w:color="auto"/>
              <w:right w:val="single" w:sz="4" w:space="0" w:color="auto"/>
            </w:tcBorders>
            <w:shd w:val="clear" w:color="000000" w:fill="FFFFFF"/>
            <w:noWrap/>
            <w:vAlign w:val="center"/>
            <w:hideMark/>
          </w:tcPr>
          <w:p w14:paraId="026C63E0" w14:textId="77777777" w:rsidR="00446170" w:rsidRPr="00446170" w:rsidRDefault="00446170" w:rsidP="00446170">
            <w:pPr>
              <w:jc w:val="right"/>
              <w:rPr>
                <w:rFonts w:ascii="Arial Narrow" w:hAnsi="Arial Narrow" w:cs="Arial"/>
                <w:b/>
                <w:bCs/>
                <w:sz w:val="20"/>
                <w:szCs w:val="20"/>
              </w:rPr>
            </w:pPr>
            <w:r w:rsidRPr="00446170">
              <w:rPr>
                <w:rFonts w:ascii="Arial Narrow" w:hAnsi="Arial Narrow" w:cs="Arial"/>
                <w:b/>
                <w:bCs/>
                <w:sz w:val="20"/>
                <w:szCs w:val="20"/>
              </w:rPr>
              <w:t>6 201 085</w:t>
            </w:r>
          </w:p>
        </w:tc>
        <w:tc>
          <w:tcPr>
            <w:tcW w:w="1340" w:type="dxa"/>
            <w:tcBorders>
              <w:top w:val="nil"/>
              <w:left w:val="nil"/>
              <w:bottom w:val="single" w:sz="4" w:space="0" w:color="auto"/>
              <w:right w:val="single" w:sz="4" w:space="0" w:color="auto"/>
            </w:tcBorders>
            <w:shd w:val="clear" w:color="000000" w:fill="FFFFFF"/>
            <w:noWrap/>
            <w:vAlign w:val="center"/>
            <w:hideMark/>
          </w:tcPr>
          <w:p w14:paraId="13404A51" w14:textId="77777777" w:rsidR="00446170" w:rsidRPr="00446170" w:rsidRDefault="00446170" w:rsidP="00446170">
            <w:pPr>
              <w:jc w:val="right"/>
              <w:rPr>
                <w:rFonts w:ascii="Arial Narrow" w:hAnsi="Arial Narrow" w:cs="Arial"/>
                <w:b/>
                <w:bCs/>
                <w:sz w:val="20"/>
                <w:szCs w:val="20"/>
              </w:rPr>
            </w:pPr>
            <w:r w:rsidRPr="00446170">
              <w:rPr>
                <w:rFonts w:ascii="Arial Narrow" w:hAnsi="Arial Narrow" w:cs="Arial"/>
                <w:b/>
                <w:bCs/>
                <w:sz w:val="20"/>
                <w:szCs w:val="20"/>
              </w:rPr>
              <w:t>6 737 329</w:t>
            </w:r>
          </w:p>
        </w:tc>
        <w:tc>
          <w:tcPr>
            <w:tcW w:w="1310" w:type="dxa"/>
            <w:tcBorders>
              <w:top w:val="nil"/>
              <w:left w:val="nil"/>
              <w:bottom w:val="single" w:sz="4" w:space="0" w:color="auto"/>
              <w:right w:val="single" w:sz="4" w:space="0" w:color="auto"/>
            </w:tcBorders>
            <w:shd w:val="clear" w:color="000000" w:fill="FFFFFF"/>
            <w:noWrap/>
            <w:vAlign w:val="center"/>
            <w:hideMark/>
          </w:tcPr>
          <w:p w14:paraId="246FB2E9" w14:textId="77777777" w:rsidR="00446170" w:rsidRPr="00446170" w:rsidRDefault="00446170" w:rsidP="00446170">
            <w:pPr>
              <w:jc w:val="right"/>
              <w:rPr>
                <w:rFonts w:ascii="Arial Narrow" w:hAnsi="Arial Narrow" w:cs="Arial"/>
                <w:b/>
                <w:bCs/>
                <w:color w:val="000000"/>
                <w:sz w:val="20"/>
                <w:szCs w:val="20"/>
              </w:rPr>
            </w:pPr>
            <w:r w:rsidRPr="00446170">
              <w:rPr>
                <w:rFonts w:ascii="Arial Narrow" w:hAnsi="Arial Narrow" w:cs="Arial"/>
                <w:b/>
                <w:bCs/>
                <w:color w:val="000000"/>
                <w:sz w:val="20"/>
                <w:szCs w:val="20"/>
              </w:rPr>
              <w:t>100,0%</w:t>
            </w:r>
          </w:p>
        </w:tc>
        <w:tc>
          <w:tcPr>
            <w:tcW w:w="1340" w:type="dxa"/>
            <w:tcBorders>
              <w:top w:val="nil"/>
              <w:left w:val="nil"/>
              <w:bottom w:val="single" w:sz="4" w:space="0" w:color="auto"/>
              <w:right w:val="single" w:sz="4" w:space="0" w:color="auto"/>
            </w:tcBorders>
            <w:shd w:val="clear" w:color="000000" w:fill="FFFFFF"/>
            <w:vAlign w:val="center"/>
            <w:hideMark/>
          </w:tcPr>
          <w:p w14:paraId="6C2F68F0" w14:textId="77777777" w:rsidR="00446170" w:rsidRPr="00446170" w:rsidRDefault="00446170" w:rsidP="00446170">
            <w:pPr>
              <w:jc w:val="right"/>
              <w:rPr>
                <w:rFonts w:ascii="Arial Narrow" w:hAnsi="Arial Narrow" w:cs="Arial"/>
                <w:b/>
                <w:bCs/>
                <w:color w:val="000000"/>
                <w:sz w:val="20"/>
                <w:szCs w:val="20"/>
              </w:rPr>
            </w:pPr>
            <w:r w:rsidRPr="00446170">
              <w:rPr>
                <w:rFonts w:ascii="Arial Narrow" w:hAnsi="Arial Narrow" w:cs="Arial"/>
                <w:b/>
                <w:bCs/>
                <w:color w:val="000000"/>
                <w:sz w:val="20"/>
                <w:szCs w:val="20"/>
              </w:rPr>
              <w:t>536 244</w:t>
            </w:r>
          </w:p>
        </w:tc>
        <w:tc>
          <w:tcPr>
            <w:tcW w:w="1116" w:type="dxa"/>
            <w:tcBorders>
              <w:top w:val="nil"/>
              <w:left w:val="nil"/>
              <w:bottom w:val="single" w:sz="4" w:space="0" w:color="auto"/>
              <w:right w:val="single" w:sz="4" w:space="0" w:color="auto"/>
            </w:tcBorders>
            <w:shd w:val="clear" w:color="000000" w:fill="FFFFFF"/>
            <w:noWrap/>
            <w:vAlign w:val="center"/>
            <w:hideMark/>
          </w:tcPr>
          <w:p w14:paraId="71D9A649" w14:textId="77777777" w:rsidR="00446170" w:rsidRPr="00446170" w:rsidRDefault="00446170" w:rsidP="00446170">
            <w:pPr>
              <w:jc w:val="right"/>
              <w:rPr>
                <w:rFonts w:ascii="Arial Narrow" w:hAnsi="Arial Narrow" w:cs="Arial"/>
                <w:b/>
                <w:bCs/>
                <w:color w:val="000000"/>
                <w:sz w:val="20"/>
                <w:szCs w:val="20"/>
              </w:rPr>
            </w:pPr>
            <w:r w:rsidRPr="00446170">
              <w:rPr>
                <w:rFonts w:ascii="Arial Narrow" w:hAnsi="Arial Narrow" w:cs="Arial"/>
                <w:b/>
                <w:bCs/>
                <w:color w:val="000000"/>
                <w:sz w:val="20"/>
                <w:szCs w:val="20"/>
              </w:rPr>
              <w:t>8,6%</w:t>
            </w:r>
          </w:p>
        </w:tc>
      </w:tr>
      <w:tr w:rsidR="00446170" w:rsidRPr="00446170" w14:paraId="7B7AD245" w14:textId="77777777" w:rsidTr="00CD44F3">
        <w:trPr>
          <w:trHeight w:val="342"/>
        </w:trPr>
        <w:tc>
          <w:tcPr>
            <w:tcW w:w="2155" w:type="dxa"/>
            <w:tcBorders>
              <w:top w:val="nil"/>
              <w:left w:val="single" w:sz="4" w:space="0" w:color="auto"/>
              <w:bottom w:val="single" w:sz="4" w:space="0" w:color="auto"/>
              <w:right w:val="single" w:sz="4" w:space="0" w:color="auto"/>
            </w:tcBorders>
            <w:shd w:val="clear" w:color="000000" w:fill="FFFFFF"/>
            <w:vAlign w:val="center"/>
            <w:hideMark/>
          </w:tcPr>
          <w:p w14:paraId="6D901517" w14:textId="77777777" w:rsidR="00446170" w:rsidRPr="00446170" w:rsidRDefault="00446170" w:rsidP="00446170">
            <w:pPr>
              <w:rPr>
                <w:rFonts w:ascii="Arial Narrow" w:hAnsi="Arial Narrow" w:cs="Arial"/>
                <w:b/>
                <w:bCs/>
                <w:color w:val="000000"/>
                <w:sz w:val="20"/>
                <w:szCs w:val="20"/>
              </w:rPr>
            </w:pPr>
            <w:r w:rsidRPr="00446170">
              <w:rPr>
                <w:rFonts w:ascii="Arial Narrow" w:hAnsi="Arial Narrow" w:cs="Arial"/>
                <w:b/>
                <w:bCs/>
                <w:color w:val="000000"/>
                <w:sz w:val="20"/>
                <w:szCs w:val="20"/>
              </w:rPr>
              <w:t>ЕС-27 общо</w:t>
            </w:r>
          </w:p>
        </w:tc>
        <w:tc>
          <w:tcPr>
            <w:tcW w:w="1340" w:type="dxa"/>
            <w:tcBorders>
              <w:top w:val="nil"/>
              <w:left w:val="nil"/>
              <w:bottom w:val="single" w:sz="4" w:space="0" w:color="auto"/>
              <w:right w:val="single" w:sz="4" w:space="0" w:color="auto"/>
            </w:tcBorders>
            <w:shd w:val="clear" w:color="000000" w:fill="FFFFFF"/>
            <w:vAlign w:val="center"/>
            <w:hideMark/>
          </w:tcPr>
          <w:p w14:paraId="4B86047F" w14:textId="77777777" w:rsidR="00446170" w:rsidRPr="00446170" w:rsidRDefault="00446170" w:rsidP="00446170">
            <w:pPr>
              <w:jc w:val="right"/>
              <w:rPr>
                <w:rFonts w:ascii="Arial Narrow" w:hAnsi="Arial Narrow" w:cs="Arial"/>
                <w:b/>
                <w:bCs/>
                <w:color w:val="000000"/>
                <w:sz w:val="20"/>
                <w:szCs w:val="20"/>
              </w:rPr>
            </w:pPr>
            <w:r w:rsidRPr="00446170">
              <w:rPr>
                <w:rFonts w:ascii="Arial Narrow" w:hAnsi="Arial Narrow" w:cs="Arial"/>
                <w:b/>
                <w:bCs/>
                <w:color w:val="000000"/>
                <w:sz w:val="20"/>
                <w:szCs w:val="20"/>
              </w:rPr>
              <w:t>4 186 910</w:t>
            </w:r>
          </w:p>
        </w:tc>
        <w:tc>
          <w:tcPr>
            <w:tcW w:w="1340" w:type="dxa"/>
            <w:tcBorders>
              <w:top w:val="nil"/>
              <w:left w:val="nil"/>
              <w:bottom w:val="single" w:sz="4" w:space="0" w:color="auto"/>
              <w:right w:val="single" w:sz="4" w:space="0" w:color="auto"/>
            </w:tcBorders>
            <w:shd w:val="clear" w:color="000000" w:fill="FFFFFF"/>
            <w:vAlign w:val="center"/>
            <w:hideMark/>
          </w:tcPr>
          <w:p w14:paraId="6F6760C3" w14:textId="77777777" w:rsidR="00446170" w:rsidRPr="00446170" w:rsidRDefault="00446170" w:rsidP="00446170">
            <w:pPr>
              <w:jc w:val="right"/>
              <w:rPr>
                <w:rFonts w:ascii="Arial Narrow" w:hAnsi="Arial Narrow" w:cs="Arial"/>
                <w:b/>
                <w:bCs/>
                <w:sz w:val="20"/>
                <w:szCs w:val="20"/>
              </w:rPr>
            </w:pPr>
            <w:r w:rsidRPr="00446170">
              <w:rPr>
                <w:rFonts w:ascii="Arial Narrow" w:hAnsi="Arial Narrow" w:cs="Arial"/>
                <w:b/>
                <w:bCs/>
                <w:sz w:val="20"/>
                <w:szCs w:val="20"/>
              </w:rPr>
              <w:t>4 463 674</w:t>
            </w:r>
          </w:p>
        </w:tc>
        <w:tc>
          <w:tcPr>
            <w:tcW w:w="1340" w:type="dxa"/>
            <w:tcBorders>
              <w:top w:val="nil"/>
              <w:left w:val="nil"/>
              <w:bottom w:val="single" w:sz="4" w:space="0" w:color="auto"/>
              <w:right w:val="single" w:sz="4" w:space="0" w:color="auto"/>
            </w:tcBorders>
            <w:shd w:val="clear" w:color="000000" w:fill="FFFFFF"/>
            <w:vAlign w:val="center"/>
            <w:hideMark/>
          </w:tcPr>
          <w:p w14:paraId="6BF816DE" w14:textId="77777777" w:rsidR="00446170" w:rsidRPr="00446170" w:rsidRDefault="00446170" w:rsidP="00446170">
            <w:pPr>
              <w:jc w:val="right"/>
              <w:rPr>
                <w:rFonts w:ascii="Arial Narrow" w:hAnsi="Arial Narrow" w:cs="Arial"/>
                <w:b/>
                <w:bCs/>
                <w:sz w:val="20"/>
                <w:szCs w:val="20"/>
              </w:rPr>
            </w:pPr>
            <w:r w:rsidRPr="00446170">
              <w:rPr>
                <w:rFonts w:ascii="Arial Narrow" w:hAnsi="Arial Narrow" w:cs="Arial"/>
                <w:b/>
                <w:bCs/>
                <w:sz w:val="20"/>
                <w:szCs w:val="20"/>
              </w:rPr>
              <w:t>4 809 753</w:t>
            </w:r>
          </w:p>
        </w:tc>
        <w:tc>
          <w:tcPr>
            <w:tcW w:w="1310" w:type="dxa"/>
            <w:tcBorders>
              <w:top w:val="nil"/>
              <w:left w:val="nil"/>
              <w:bottom w:val="single" w:sz="4" w:space="0" w:color="auto"/>
              <w:right w:val="single" w:sz="4" w:space="0" w:color="auto"/>
            </w:tcBorders>
            <w:shd w:val="clear" w:color="000000" w:fill="FFFFFF"/>
            <w:noWrap/>
            <w:vAlign w:val="center"/>
            <w:hideMark/>
          </w:tcPr>
          <w:p w14:paraId="27923092" w14:textId="77777777" w:rsidR="00446170" w:rsidRPr="00446170" w:rsidRDefault="00446170" w:rsidP="00446170">
            <w:pPr>
              <w:jc w:val="right"/>
              <w:rPr>
                <w:rFonts w:ascii="Arial Narrow" w:hAnsi="Arial Narrow" w:cs="Arial"/>
                <w:b/>
                <w:bCs/>
                <w:color w:val="000000"/>
                <w:sz w:val="20"/>
                <w:szCs w:val="20"/>
              </w:rPr>
            </w:pPr>
            <w:r w:rsidRPr="00446170">
              <w:rPr>
                <w:rFonts w:ascii="Arial Narrow" w:hAnsi="Arial Narrow" w:cs="Arial"/>
                <w:b/>
                <w:bCs/>
                <w:color w:val="000000"/>
                <w:sz w:val="20"/>
                <w:szCs w:val="20"/>
              </w:rPr>
              <w:t>71,4%</w:t>
            </w:r>
          </w:p>
        </w:tc>
        <w:tc>
          <w:tcPr>
            <w:tcW w:w="1340" w:type="dxa"/>
            <w:tcBorders>
              <w:top w:val="nil"/>
              <w:left w:val="nil"/>
              <w:bottom w:val="single" w:sz="4" w:space="0" w:color="auto"/>
              <w:right w:val="single" w:sz="4" w:space="0" w:color="auto"/>
            </w:tcBorders>
            <w:shd w:val="clear" w:color="000000" w:fill="FFFFFF"/>
            <w:vAlign w:val="center"/>
            <w:hideMark/>
          </w:tcPr>
          <w:p w14:paraId="2E5E1680" w14:textId="77777777" w:rsidR="00446170" w:rsidRPr="00446170" w:rsidRDefault="00446170" w:rsidP="00446170">
            <w:pPr>
              <w:jc w:val="right"/>
              <w:rPr>
                <w:rFonts w:ascii="Arial Narrow" w:hAnsi="Arial Narrow" w:cs="Arial"/>
                <w:b/>
                <w:bCs/>
                <w:color w:val="000000"/>
                <w:sz w:val="20"/>
                <w:szCs w:val="20"/>
              </w:rPr>
            </w:pPr>
            <w:r w:rsidRPr="00446170">
              <w:rPr>
                <w:rFonts w:ascii="Arial Narrow" w:hAnsi="Arial Narrow" w:cs="Arial"/>
                <w:b/>
                <w:bCs/>
                <w:color w:val="000000"/>
                <w:sz w:val="20"/>
                <w:szCs w:val="20"/>
              </w:rPr>
              <w:t>346 079</w:t>
            </w:r>
          </w:p>
        </w:tc>
        <w:tc>
          <w:tcPr>
            <w:tcW w:w="1116" w:type="dxa"/>
            <w:tcBorders>
              <w:top w:val="nil"/>
              <w:left w:val="nil"/>
              <w:bottom w:val="single" w:sz="4" w:space="0" w:color="auto"/>
              <w:right w:val="single" w:sz="4" w:space="0" w:color="auto"/>
            </w:tcBorders>
            <w:shd w:val="clear" w:color="000000" w:fill="FFFFFF"/>
            <w:noWrap/>
            <w:vAlign w:val="center"/>
            <w:hideMark/>
          </w:tcPr>
          <w:p w14:paraId="6A91EE96" w14:textId="77777777" w:rsidR="00446170" w:rsidRPr="00446170" w:rsidRDefault="00446170" w:rsidP="00446170">
            <w:pPr>
              <w:jc w:val="right"/>
              <w:rPr>
                <w:rFonts w:ascii="Arial Narrow" w:hAnsi="Arial Narrow" w:cs="Arial"/>
                <w:b/>
                <w:bCs/>
                <w:color w:val="000000"/>
                <w:sz w:val="20"/>
                <w:szCs w:val="20"/>
              </w:rPr>
            </w:pPr>
            <w:r w:rsidRPr="00446170">
              <w:rPr>
                <w:rFonts w:ascii="Arial Narrow" w:hAnsi="Arial Narrow" w:cs="Arial"/>
                <w:b/>
                <w:bCs/>
                <w:color w:val="000000"/>
                <w:sz w:val="20"/>
                <w:szCs w:val="20"/>
              </w:rPr>
              <w:t>7,8%</w:t>
            </w:r>
          </w:p>
        </w:tc>
      </w:tr>
      <w:tr w:rsidR="00446170" w:rsidRPr="00446170" w14:paraId="6D725ABF" w14:textId="77777777" w:rsidTr="00CD44F3">
        <w:trPr>
          <w:trHeight w:val="342"/>
        </w:trPr>
        <w:tc>
          <w:tcPr>
            <w:tcW w:w="2155" w:type="dxa"/>
            <w:tcBorders>
              <w:top w:val="nil"/>
              <w:left w:val="single" w:sz="4" w:space="0" w:color="auto"/>
              <w:bottom w:val="single" w:sz="4" w:space="0" w:color="auto"/>
              <w:right w:val="single" w:sz="4" w:space="0" w:color="auto"/>
            </w:tcBorders>
            <w:shd w:val="clear" w:color="000000" w:fill="FFFFFF"/>
            <w:noWrap/>
            <w:vAlign w:val="center"/>
            <w:hideMark/>
          </w:tcPr>
          <w:p w14:paraId="31E1A2D8" w14:textId="77777777" w:rsidR="00446170" w:rsidRPr="00446170" w:rsidRDefault="00446170" w:rsidP="00446170">
            <w:pPr>
              <w:ind w:firstLineChars="100" w:firstLine="200"/>
              <w:rPr>
                <w:rFonts w:ascii="Arial Narrow" w:hAnsi="Arial Narrow" w:cs="Arial"/>
                <w:color w:val="000000"/>
                <w:sz w:val="20"/>
                <w:szCs w:val="20"/>
              </w:rPr>
            </w:pPr>
            <w:r w:rsidRPr="00446170">
              <w:rPr>
                <w:rFonts w:ascii="Arial Narrow" w:hAnsi="Arial Narrow" w:cs="Arial"/>
                <w:color w:val="000000"/>
                <w:sz w:val="20"/>
                <w:szCs w:val="20"/>
              </w:rPr>
              <w:t>Румъния</w:t>
            </w:r>
          </w:p>
        </w:tc>
        <w:tc>
          <w:tcPr>
            <w:tcW w:w="1340" w:type="dxa"/>
            <w:tcBorders>
              <w:top w:val="nil"/>
              <w:left w:val="nil"/>
              <w:bottom w:val="single" w:sz="4" w:space="0" w:color="auto"/>
              <w:right w:val="single" w:sz="4" w:space="0" w:color="auto"/>
            </w:tcBorders>
            <w:shd w:val="clear" w:color="000000" w:fill="FFFFFF"/>
            <w:noWrap/>
            <w:vAlign w:val="center"/>
            <w:hideMark/>
          </w:tcPr>
          <w:p w14:paraId="38310306" w14:textId="77777777" w:rsidR="00446170" w:rsidRPr="00446170" w:rsidRDefault="00446170" w:rsidP="00446170">
            <w:pPr>
              <w:jc w:val="right"/>
              <w:rPr>
                <w:rFonts w:ascii="Arial Narrow" w:hAnsi="Arial Narrow" w:cs="Arial"/>
                <w:color w:val="000000"/>
                <w:sz w:val="20"/>
                <w:szCs w:val="20"/>
              </w:rPr>
            </w:pPr>
            <w:r w:rsidRPr="00446170">
              <w:rPr>
                <w:rFonts w:ascii="Arial Narrow" w:hAnsi="Arial Narrow" w:cs="Arial"/>
                <w:color w:val="000000"/>
                <w:sz w:val="20"/>
                <w:szCs w:val="20"/>
              </w:rPr>
              <w:t>875 101</w:t>
            </w:r>
          </w:p>
        </w:tc>
        <w:tc>
          <w:tcPr>
            <w:tcW w:w="1340" w:type="dxa"/>
            <w:tcBorders>
              <w:top w:val="nil"/>
              <w:left w:val="nil"/>
              <w:bottom w:val="single" w:sz="4" w:space="0" w:color="auto"/>
              <w:right w:val="single" w:sz="4" w:space="0" w:color="auto"/>
            </w:tcBorders>
            <w:shd w:val="clear" w:color="000000" w:fill="FFFFFF"/>
            <w:noWrap/>
            <w:vAlign w:val="center"/>
            <w:hideMark/>
          </w:tcPr>
          <w:p w14:paraId="4B4DCCC1" w14:textId="77777777" w:rsidR="00446170" w:rsidRPr="00446170" w:rsidRDefault="00446170" w:rsidP="00446170">
            <w:pPr>
              <w:jc w:val="right"/>
              <w:rPr>
                <w:rFonts w:ascii="Arial Narrow" w:hAnsi="Arial Narrow" w:cs="Arial"/>
                <w:sz w:val="20"/>
                <w:szCs w:val="20"/>
              </w:rPr>
            </w:pPr>
            <w:r w:rsidRPr="00446170">
              <w:rPr>
                <w:rFonts w:ascii="Arial Narrow" w:hAnsi="Arial Narrow" w:cs="Arial"/>
                <w:sz w:val="20"/>
                <w:szCs w:val="20"/>
              </w:rPr>
              <w:t>796 589</w:t>
            </w:r>
          </w:p>
        </w:tc>
        <w:tc>
          <w:tcPr>
            <w:tcW w:w="1340" w:type="dxa"/>
            <w:tcBorders>
              <w:top w:val="nil"/>
              <w:left w:val="nil"/>
              <w:bottom w:val="single" w:sz="4" w:space="0" w:color="auto"/>
              <w:right w:val="single" w:sz="4" w:space="0" w:color="auto"/>
            </w:tcBorders>
            <w:shd w:val="clear" w:color="000000" w:fill="FFFFFF"/>
            <w:noWrap/>
            <w:vAlign w:val="center"/>
            <w:hideMark/>
          </w:tcPr>
          <w:p w14:paraId="02B4DE36" w14:textId="77777777" w:rsidR="00446170" w:rsidRPr="00446170" w:rsidRDefault="00446170" w:rsidP="00446170">
            <w:pPr>
              <w:jc w:val="right"/>
              <w:rPr>
                <w:rFonts w:ascii="Arial Narrow" w:hAnsi="Arial Narrow" w:cs="Arial"/>
                <w:sz w:val="20"/>
                <w:szCs w:val="20"/>
              </w:rPr>
            </w:pPr>
            <w:r w:rsidRPr="00446170">
              <w:rPr>
                <w:rFonts w:ascii="Arial Narrow" w:hAnsi="Arial Narrow" w:cs="Arial"/>
                <w:sz w:val="20"/>
                <w:szCs w:val="20"/>
              </w:rPr>
              <w:t>884 094</w:t>
            </w:r>
          </w:p>
        </w:tc>
        <w:tc>
          <w:tcPr>
            <w:tcW w:w="1310" w:type="dxa"/>
            <w:tcBorders>
              <w:top w:val="nil"/>
              <w:left w:val="nil"/>
              <w:bottom w:val="single" w:sz="4" w:space="0" w:color="auto"/>
              <w:right w:val="single" w:sz="4" w:space="0" w:color="auto"/>
            </w:tcBorders>
            <w:shd w:val="clear" w:color="000000" w:fill="FFFFFF"/>
            <w:noWrap/>
            <w:vAlign w:val="center"/>
            <w:hideMark/>
          </w:tcPr>
          <w:p w14:paraId="6FBD65C7" w14:textId="77777777" w:rsidR="00446170" w:rsidRPr="00446170" w:rsidRDefault="00446170" w:rsidP="00446170">
            <w:pPr>
              <w:jc w:val="right"/>
              <w:rPr>
                <w:rFonts w:ascii="Arial Narrow" w:hAnsi="Arial Narrow" w:cs="Arial"/>
                <w:color w:val="000000"/>
                <w:sz w:val="20"/>
                <w:szCs w:val="20"/>
              </w:rPr>
            </w:pPr>
            <w:r w:rsidRPr="00446170">
              <w:rPr>
                <w:rFonts w:ascii="Arial Narrow" w:hAnsi="Arial Narrow" w:cs="Arial"/>
                <w:color w:val="000000"/>
                <w:sz w:val="20"/>
                <w:szCs w:val="20"/>
              </w:rPr>
              <w:t>13,1%</w:t>
            </w:r>
          </w:p>
        </w:tc>
        <w:tc>
          <w:tcPr>
            <w:tcW w:w="1340" w:type="dxa"/>
            <w:tcBorders>
              <w:top w:val="nil"/>
              <w:left w:val="nil"/>
              <w:bottom w:val="single" w:sz="4" w:space="0" w:color="auto"/>
              <w:right w:val="single" w:sz="4" w:space="0" w:color="auto"/>
            </w:tcBorders>
            <w:shd w:val="clear" w:color="000000" w:fill="FFFFFF"/>
            <w:vAlign w:val="center"/>
            <w:hideMark/>
          </w:tcPr>
          <w:p w14:paraId="4FF66AEC" w14:textId="77777777" w:rsidR="00446170" w:rsidRPr="00446170" w:rsidRDefault="00446170" w:rsidP="00446170">
            <w:pPr>
              <w:jc w:val="right"/>
              <w:rPr>
                <w:rFonts w:ascii="Arial Narrow" w:hAnsi="Arial Narrow" w:cs="Arial"/>
                <w:color w:val="000000"/>
                <w:sz w:val="20"/>
                <w:szCs w:val="20"/>
              </w:rPr>
            </w:pPr>
            <w:r w:rsidRPr="00446170">
              <w:rPr>
                <w:rFonts w:ascii="Arial Narrow" w:hAnsi="Arial Narrow" w:cs="Arial"/>
                <w:color w:val="000000"/>
                <w:sz w:val="20"/>
                <w:szCs w:val="20"/>
              </w:rPr>
              <w:t>87 505</w:t>
            </w:r>
          </w:p>
        </w:tc>
        <w:tc>
          <w:tcPr>
            <w:tcW w:w="1116" w:type="dxa"/>
            <w:tcBorders>
              <w:top w:val="nil"/>
              <w:left w:val="nil"/>
              <w:bottom w:val="single" w:sz="4" w:space="0" w:color="auto"/>
              <w:right w:val="single" w:sz="4" w:space="0" w:color="auto"/>
            </w:tcBorders>
            <w:shd w:val="clear" w:color="000000" w:fill="FFFFFF"/>
            <w:noWrap/>
            <w:vAlign w:val="center"/>
            <w:hideMark/>
          </w:tcPr>
          <w:p w14:paraId="3B70B23B" w14:textId="77777777" w:rsidR="00446170" w:rsidRPr="00446170" w:rsidRDefault="00446170" w:rsidP="00446170">
            <w:pPr>
              <w:jc w:val="right"/>
              <w:rPr>
                <w:rFonts w:ascii="Arial Narrow" w:hAnsi="Arial Narrow" w:cs="Arial"/>
                <w:color w:val="000000"/>
                <w:sz w:val="20"/>
                <w:szCs w:val="20"/>
              </w:rPr>
            </w:pPr>
            <w:r w:rsidRPr="00446170">
              <w:rPr>
                <w:rFonts w:ascii="Arial Narrow" w:hAnsi="Arial Narrow" w:cs="Arial"/>
                <w:color w:val="000000"/>
                <w:sz w:val="20"/>
                <w:szCs w:val="20"/>
              </w:rPr>
              <w:t>11,0%</w:t>
            </w:r>
          </w:p>
        </w:tc>
      </w:tr>
      <w:tr w:rsidR="00446170" w:rsidRPr="00446170" w14:paraId="45D9B304" w14:textId="77777777" w:rsidTr="00CD44F3">
        <w:trPr>
          <w:trHeight w:val="342"/>
        </w:trPr>
        <w:tc>
          <w:tcPr>
            <w:tcW w:w="2155" w:type="dxa"/>
            <w:tcBorders>
              <w:top w:val="nil"/>
              <w:left w:val="single" w:sz="4" w:space="0" w:color="auto"/>
              <w:bottom w:val="single" w:sz="4" w:space="0" w:color="auto"/>
              <w:right w:val="single" w:sz="4" w:space="0" w:color="auto"/>
            </w:tcBorders>
            <w:shd w:val="clear" w:color="000000" w:fill="FFFFFF"/>
            <w:noWrap/>
            <w:vAlign w:val="center"/>
            <w:hideMark/>
          </w:tcPr>
          <w:p w14:paraId="57103F01" w14:textId="77777777" w:rsidR="00446170" w:rsidRPr="00446170" w:rsidRDefault="00446170" w:rsidP="00446170">
            <w:pPr>
              <w:ind w:firstLineChars="100" w:firstLine="200"/>
              <w:rPr>
                <w:rFonts w:ascii="Arial Narrow" w:hAnsi="Arial Narrow" w:cs="Arial"/>
                <w:color w:val="000000"/>
                <w:sz w:val="20"/>
                <w:szCs w:val="20"/>
              </w:rPr>
            </w:pPr>
            <w:r w:rsidRPr="00446170">
              <w:rPr>
                <w:rFonts w:ascii="Arial Narrow" w:hAnsi="Arial Narrow" w:cs="Arial"/>
                <w:color w:val="000000"/>
                <w:sz w:val="20"/>
                <w:szCs w:val="20"/>
              </w:rPr>
              <w:t>Германия</w:t>
            </w:r>
          </w:p>
        </w:tc>
        <w:tc>
          <w:tcPr>
            <w:tcW w:w="1340" w:type="dxa"/>
            <w:tcBorders>
              <w:top w:val="nil"/>
              <w:left w:val="nil"/>
              <w:bottom w:val="single" w:sz="4" w:space="0" w:color="auto"/>
              <w:right w:val="single" w:sz="4" w:space="0" w:color="auto"/>
            </w:tcBorders>
            <w:shd w:val="clear" w:color="000000" w:fill="FFFFFF"/>
            <w:noWrap/>
            <w:vAlign w:val="center"/>
            <w:hideMark/>
          </w:tcPr>
          <w:p w14:paraId="254DFFAD" w14:textId="77777777" w:rsidR="00446170" w:rsidRPr="00446170" w:rsidRDefault="00446170" w:rsidP="00446170">
            <w:pPr>
              <w:jc w:val="right"/>
              <w:rPr>
                <w:rFonts w:ascii="Arial Narrow" w:hAnsi="Arial Narrow" w:cs="Arial"/>
                <w:color w:val="000000"/>
                <w:sz w:val="20"/>
                <w:szCs w:val="20"/>
              </w:rPr>
            </w:pPr>
            <w:r w:rsidRPr="00446170">
              <w:rPr>
                <w:rFonts w:ascii="Arial Narrow" w:hAnsi="Arial Narrow" w:cs="Arial"/>
                <w:color w:val="000000"/>
                <w:sz w:val="20"/>
                <w:szCs w:val="20"/>
              </w:rPr>
              <w:t>546 208</w:t>
            </w:r>
          </w:p>
        </w:tc>
        <w:tc>
          <w:tcPr>
            <w:tcW w:w="1340" w:type="dxa"/>
            <w:tcBorders>
              <w:top w:val="nil"/>
              <w:left w:val="nil"/>
              <w:bottom w:val="single" w:sz="4" w:space="0" w:color="auto"/>
              <w:right w:val="single" w:sz="4" w:space="0" w:color="auto"/>
            </w:tcBorders>
            <w:shd w:val="clear" w:color="000000" w:fill="FFFFFF"/>
            <w:noWrap/>
            <w:vAlign w:val="center"/>
            <w:hideMark/>
          </w:tcPr>
          <w:p w14:paraId="3C56626B" w14:textId="77777777" w:rsidR="00446170" w:rsidRPr="00446170" w:rsidRDefault="00446170" w:rsidP="00446170">
            <w:pPr>
              <w:jc w:val="right"/>
              <w:rPr>
                <w:rFonts w:ascii="Arial Narrow" w:hAnsi="Arial Narrow" w:cs="Arial"/>
                <w:sz w:val="20"/>
                <w:szCs w:val="20"/>
              </w:rPr>
            </w:pPr>
            <w:r w:rsidRPr="00446170">
              <w:rPr>
                <w:rFonts w:ascii="Arial Narrow" w:hAnsi="Arial Narrow" w:cs="Arial"/>
                <w:sz w:val="20"/>
                <w:szCs w:val="20"/>
              </w:rPr>
              <w:t>584 919</w:t>
            </w:r>
          </w:p>
        </w:tc>
        <w:tc>
          <w:tcPr>
            <w:tcW w:w="1340" w:type="dxa"/>
            <w:tcBorders>
              <w:top w:val="nil"/>
              <w:left w:val="nil"/>
              <w:bottom w:val="single" w:sz="4" w:space="0" w:color="auto"/>
              <w:right w:val="single" w:sz="4" w:space="0" w:color="auto"/>
            </w:tcBorders>
            <w:shd w:val="clear" w:color="000000" w:fill="FFFFFF"/>
            <w:noWrap/>
            <w:vAlign w:val="center"/>
            <w:hideMark/>
          </w:tcPr>
          <w:p w14:paraId="590A8327" w14:textId="77777777" w:rsidR="00446170" w:rsidRPr="00446170" w:rsidRDefault="00446170" w:rsidP="00446170">
            <w:pPr>
              <w:jc w:val="right"/>
              <w:rPr>
                <w:rFonts w:ascii="Arial Narrow" w:hAnsi="Arial Narrow" w:cs="Arial"/>
                <w:sz w:val="20"/>
                <w:szCs w:val="20"/>
              </w:rPr>
            </w:pPr>
            <w:r w:rsidRPr="00446170">
              <w:rPr>
                <w:rFonts w:ascii="Arial Narrow" w:hAnsi="Arial Narrow" w:cs="Arial"/>
                <w:sz w:val="20"/>
                <w:szCs w:val="20"/>
              </w:rPr>
              <w:t>644 286</w:t>
            </w:r>
          </w:p>
        </w:tc>
        <w:tc>
          <w:tcPr>
            <w:tcW w:w="1310" w:type="dxa"/>
            <w:tcBorders>
              <w:top w:val="nil"/>
              <w:left w:val="nil"/>
              <w:bottom w:val="single" w:sz="4" w:space="0" w:color="auto"/>
              <w:right w:val="single" w:sz="4" w:space="0" w:color="auto"/>
            </w:tcBorders>
            <w:shd w:val="clear" w:color="000000" w:fill="FFFFFF"/>
            <w:noWrap/>
            <w:vAlign w:val="center"/>
            <w:hideMark/>
          </w:tcPr>
          <w:p w14:paraId="035658AC" w14:textId="77777777" w:rsidR="00446170" w:rsidRPr="00446170" w:rsidRDefault="00446170" w:rsidP="00446170">
            <w:pPr>
              <w:jc w:val="right"/>
              <w:rPr>
                <w:rFonts w:ascii="Arial Narrow" w:hAnsi="Arial Narrow" w:cs="Arial"/>
                <w:color w:val="000000"/>
                <w:sz w:val="20"/>
                <w:szCs w:val="20"/>
              </w:rPr>
            </w:pPr>
            <w:r w:rsidRPr="00446170">
              <w:rPr>
                <w:rFonts w:ascii="Arial Narrow" w:hAnsi="Arial Narrow" w:cs="Arial"/>
                <w:color w:val="000000"/>
                <w:sz w:val="20"/>
                <w:szCs w:val="20"/>
              </w:rPr>
              <w:t>9,6%</w:t>
            </w:r>
          </w:p>
        </w:tc>
        <w:tc>
          <w:tcPr>
            <w:tcW w:w="1340" w:type="dxa"/>
            <w:tcBorders>
              <w:top w:val="nil"/>
              <w:left w:val="nil"/>
              <w:bottom w:val="single" w:sz="4" w:space="0" w:color="auto"/>
              <w:right w:val="single" w:sz="4" w:space="0" w:color="auto"/>
            </w:tcBorders>
            <w:shd w:val="clear" w:color="000000" w:fill="FFFFFF"/>
            <w:vAlign w:val="center"/>
            <w:hideMark/>
          </w:tcPr>
          <w:p w14:paraId="2294685F" w14:textId="77777777" w:rsidR="00446170" w:rsidRPr="00446170" w:rsidRDefault="00446170" w:rsidP="00446170">
            <w:pPr>
              <w:jc w:val="right"/>
              <w:rPr>
                <w:rFonts w:ascii="Arial Narrow" w:hAnsi="Arial Narrow" w:cs="Arial"/>
                <w:color w:val="000000"/>
                <w:sz w:val="20"/>
                <w:szCs w:val="20"/>
              </w:rPr>
            </w:pPr>
            <w:r w:rsidRPr="00446170">
              <w:rPr>
                <w:rFonts w:ascii="Arial Narrow" w:hAnsi="Arial Narrow" w:cs="Arial"/>
                <w:color w:val="000000"/>
                <w:sz w:val="20"/>
                <w:szCs w:val="20"/>
              </w:rPr>
              <w:t>59 367</w:t>
            </w:r>
          </w:p>
        </w:tc>
        <w:tc>
          <w:tcPr>
            <w:tcW w:w="1116" w:type="dxa"/>
            <w:tcBorders>
              <w:top w:val="nil"/>
              <w:left w:val="nil"/>
              <w:bottom w:val="single" w:sz="4" w:space="0" w:color="auto"/>
              <w:right w:val="single" w:sz="4" w:space="0" w:color="auto"/>
            </w:tcBorders>
            <w:shd w:val="clear" w:color="000000" w:fill="FFFFFF"/>
            <w:noWrap/>
            <w:vAlign w:val="center"/>
            <w:hideMark/>
          </w:tcPr>
          <w:p w14:paraId="3274CC98" w14:textId="77777777" w:rsidR="00446170" w:rsidRPr="00446170" w:rsidRDefault="00446170" w:rsidP="00446170">
            <w:pPr>
              <w:jc w:val="right"/>
              <w:rPr>
                <w:rFonts w:ascii="Arial Narrow" w:hAnsi="Arial Narrow" w:cs="Arial"/>
                <w:color w:val="000000"/>
                <w:sz w:val="20"/>
                <w:szCs w:val="20"/>
              </w:rPr>
            </w:pPr>
            <w:r w:rsidRPr="00446170">
              <w:rPr>
                <w:rFonts w:ascii="Arial Narrow" w:hAnsi="Arial Narrow" w:cs="Arial"/>
                <w:color w:val="000000"/>
                <w:sz w:val="20"/>
                <w:szCs w:val="20"/>
              </w:rPr>
              <w:t>10,1%</w:t>
            </w:r>
          </w:p>
        </w:tc>
      </w:tr>
      <w:tr w:rsidR="00446170" w:rsidRPr="00446170" w14:paraId="5E1609F3" w14:textId="77777777" w:rsidTr="00CD44F3">
        <w:trPr>
          <w:trHeight w:val="342"/>
        </w:trPr>
        <w:tc>
          <w:tcPr>
            <w:tcW w:w="2155" w:type="dxa"/>
            <w:tcBorders>
              <w:top w:val="nil"/>
              <w:left w:val="single" w:sz="4" w:space="0" w:color="auto"/>
              <w:bottom w:val="single" w:sz="4" w:space="0" w:color="auto"/>
              <w:right w:val="single" w:sz="4" w:space="0" w:color="auto"/>
            </w:tcBorders>
            <w:shd w:val="clear" w:color="000000" w:fill="FFFFFF"/>
            <w:noWrap/>
            <w:vAlign w:val="center"/>
            <w:hideMark/>
          </w:tcPr>
          <w:p w14:paraId="4BB58B73" w14:textId="77777777" w:rsidR="00446170" w:rsidRPr="00446170" w:rsidRDefault="00446170" w:rsidP="00446170">
            <w:pPr>
              <w:ind w:firstLineChars="100" w:firstLine="200"/>
              <w:rPr>
                <w:rFonts w:ascii="Arial Narrow" w:hAnsi="Arial Narrow" w:cs="Arial"/>
                <w:color w:val="000000"/>
                <w:sz w:val="20"/>
                <w:szCs w:val="20"/>
              </w:rPr>
            </w:pPr>
            <w:r w:rsidRPr="00446170">
              <w:rPr>
                <w:rFonts w:ascii="Arial Narrow" w:hAnsi="Arial Narrow" w:cs="Arial"/>
                <w:color w:val="000000"/>
                <w:sz w:val="20"/>
                <w:szCs w:val="20"/>
              </w:rPr>
              <w:t>Гърция</w:t>
            </w:r>
          </w:p>
        </w:tc>
        <w:tc>
          <w:tcPr>
            <w:tcW w:w="1340" w:type="dxa"/>
            <w:tcBorders>
              <w:top w:val="nil"/>
              <w:left w:val="nil"/>
              <w:bottom w:val="single" w:sz="4" w:space="0" w:color="auto"/>
              <w:right w:val="single" w:sz="4" w:space="0" w:color="auto"/>
            </w:tcBorders>
            <w:shd w:val="clear" w:color="000000" w:fill="FFFFFF"/>
            <w:noWrap/>
            <w:vAlign w:val="center"/>
            <w:hideMark/>
          </w:tcPr>
          <w:p w14:paraId="0EB3A34E" w14:textId="77777777" w:rsidR="00446170" w:rsidRPr="00446170" w:rsidRDefault="00446170" w:rsidP="00446170">
            <w:pPr>
              <w:jc w:val="right"/>
              <w:rPr>
                <w:rFonts w:ascii="Arial Narrow" w:hAnsi="Arial Narrow" w:cs="Arial"/>
                <w:color w:val="000000"/>
                <w:sz w:val="20"/>
                <w:szCs w:val="20"/>
              </w:rPr>
            </w:pPr>
            <w:r w:rsidRPr="00446170">
              <w:rPr>
                <w:rFonts w:ascii="Arial Narrow" w:hAnsi="Arial Narrow" w:cs="Arial"/>
                <w:color w:val="000000"/>
                <w:sz w:val="20"/>
                <w:szCs w:val="20"/>
              </w:rPr>
              <w:t>530 169</w:t>
            </w:r>
          </w:p>
        </w:tc>
        <w:tc>
          <w:tcPr>
            <w:tcW w:w="1340" w:type="dxa"/>
            <w:tcBorders>
              <w:top w:val="nil"/>
              <w:left w:val="nil"/>
              <w:bottom w:val="single" w:sz="4" w:space="0" w:color="auto"/>
              <w:right w:val="single" w:sz="4" w:space="0" w:color="auto"/>
            </w:tcBorders>
            <w:shd w:val="clear" w:color="000000" w:fill="FFFFFF"/>
            <w:noWrap/>
            <w:vAlign w:val="center"/>
            <w:hideMark/>
          </w:tcPr>
          <w:p w14:paraId="1C8CA9BA" w14:textId="77777777" w:rsidR="00446170" w:rsidRPr="00446170" w:rsidRDefault="00446170" w:rsidP="00446170">
            <w:pPr>
              <w:jc w:val="right"/>
              <w:rPr>
                <w:rFonts w:ascii="Arial Narrow" w:hAnsi="Arial Narrow" w:cs="Arial"/>
                <w:sz w:val="20"/>
                <w:szCs w:val="20"/>
              </w:rPr>
            </w:pPr>
            <w:r w:rsidRPr="00446170">
              <w:rPr>
                <w:rFonts w:ascii="Arial Narrow" w:hAnsi="Arial Narrow" w:cs="Arial"/>
                <w:sz w:val="20"/>
                <w:szCs w:val="20"/>
              </w:rPr>
              <w:t>543 793</w:t>
            </w:r>
          </w:p>
        </w:tc>
        <w:tc>
          <w:tcPr>
            <w:tcW w:w="1340" w:type="dxa"/>
            <w:tcBorders>
              <w:top w:val="nil"/>
              <w:left w:val="nil"/>
              <w:bottom w:val="single" w:sz="4" w:space="0" w:color="auto"/>
              <w:right w:val="single" w:sz="4" w:space="0" w:color="auto"/>
            </w:tcBorders>
            <w:shd w:val="clear" w:color="000000" w:fill="FFFFFF"/>
            <w:noWrap/>
            <w:vAlign w:val="center"/>
            <w:hideMark/>
          </w:tcPr>
          <w:p w14:paraId="5B57F57F" w14:textId="77777777" w:rsidR="00446170" w:rsidRPr="00446170" w:rsidRDefault="00446170" w:rsidP="00446170">
            <w:pPr>
              <w:jc w:val="right"/>
              <w:rPr>
                <w:rFonts w:ascii="Arial Narrow" w:hAnsi="Arial Narrow" w:cs="Arial"/>
                <w:sz w:val="20"/>
                <w:szCs w:val="20"/>
              </w:rPr>
            </w:pPr>
            <w:r w:rsidRPr="00446170">
              <w:rPr>
                <w:rFonts w:ascii="Arial Narrow" w:hAnsi="Arial Narrow" w:cs="Arial"/>
                <w:sz w:val="20"/>
                <w:szCs w:val="20"/>
              </w:rPr>
              <w:t>620 749</w:t>
            </w:r>
          </w:p>
        </w:tc>
        <w:tc>
          <w:tcPr>
            <w:tcW w:w="1310" w:type="dxa"/>
            <w:tcBorders>
              <w:top w:val="nil"/>
              <w:left w:val="nil"/>
              <w:bottom w:val="single" w:sz="4" w:space="0" w:color="auto"/>
              <w:right w:val="single" w:sz="4" w:space="0" w:color="auto"/>
            </w:tcBorders>
            <w:shd w:val="clear" w:color="000000" w:fill="FFFFFF"/>
            <w:noWrap/>
            <w:vAlign w:val="center"/>
            <w:hideMark/>
          </w:tcPr>
          <w:p w14:paraId="5871FA6D" w14:textId="77777777" w:rsidR="00446170" w:rsidRPr="00446170" w:rsidRDefault="00446170" w:rsidP="00446170">
            <w:pPr>
              <w:jc w:val="right"/>
              <w:rPr>
                <w:rFonts w:ascii="Arial Narrow" w:hAnsi="Arial Narrow" w:cs="Arial"/>
                <w:color w:val="000000"/>
                <w:sz w:val="20"/>
                <w:szCs w:val="20"/>
              </w:rPr>
            </w:pPr>
            <w:r w:rsidRPr="00446170">
              <w:rPr>
                <w:rFonts w:ascii="Arial Narrow" w:hAnsi="Arial Narrow" w:cs="Arial"/>
                <w:color w:val="000000"/>
                <w:sz w:val="20"/>
                <w:szCs w:val="20"/>
              </w:rPr>
              <w:t>9,2%</w:t>
            </w:r>
          </w:p>
        </w:tc>
        <w:tc>
          <w:tcPr>
            <w:tcW w:w="1340" w:type="dxa"/>
            <w:tcBorders>
              <w:top w:val="nil"/>
              <w:left w:val="nil"/>
              <w:bottom w:val="single" w:sz="4" w:space="0" w:color="auto"/>
              <w:right w:val="single" w:sz="4" w:space="0" w:color="auto"/>
            </w:tcBorders>
            <w:shd w:val="clear" w:color="000000" w:fill="FFFFFF"/>
            <w:vAlign w:val="center"/>
            <w:hideMark/>
          </w:tcPr>
          <w:p w14:paraId="27A11A04" w14:textId="77777777" w:rsidR="00446170" w:rsidRPr="00446170" w:rsidRDefault="00446170" w:rsidP="00446170">
            <w:pPr>
              <w:jc w:val="right"/>
              <w:rPr>
                <w:rFonts w:ascii="Arial Narrow" w:hAnsi="Arial Narrow" w:cs="Arial"/>
                <w:color w:val="000000"/>
                <w:sz w:val="20"/>
                <w:szCs w:val="20"/>
              </w:rPr>
            </w:pPr>
            <w:r w:rsidRPr="00446170">
              <w:rPr>
                <w:rFonts w:ascii="Arial Narrow" w:hAnsi="Arial Narrow" w:cs="Arial"/>
                <w:color w:val="000000"/>
                <w:sz w:val="20"/>
                <w:szCs w:val="20"/>
              </w:rPr>
              <w:t>76 956</w:t>
            </w:r>
          </w:p>
        </w:tc>
        <w:tc>
          <w:tcPr>
            <w:tcW w:w="1116" w:type="dxa"/>
            <w:tcBorders>
              <w:top w:val="nil"/>
              <w:left w:val="nil"/>
              <w:bottom w:val="single" w:sz="4" w:space="0" w:color="auto"/>
              <w:right w:val="single" w:sz="4" w:space="0" w:color="auto"/>
            </w:tcBorders>
            <w:shd w:val="clear" w:color="000000" w:fill="FFFFFF"/>
            <w:noWrap/>
            <w:vAlign w:val="center"/>
            <w:hideMark/>
          </w:tcPr>
          <w:p w14:paraId="6A6FCCF0" w14:textId="77777777" w:rsidR="00446170" w:rsidRPr="00446170" w:rsidRDefault="00446170" w:rsidP="00446170">
            <w:pPr>
              <w:jc w:val="right"/>
              <w:rPr>
                <w:rFonts w:ascii="Arial Narrow" w:hAnsi="Arial Narrow" w:cs="Arial"/>
                <w:color w:val="000000"/>
                <w:sz w:val="20"/>
                <w:szCs w:val="20"/>
              </w:rPr>
            </w:pPr>
            <w:r w:rsidRPr="00446170">
              <w:rPr>
                <w:rFonts w:ascii="Arial Narrow" w:hAnsi="Arial Narrow" w:cs="Arial"/>
                <w:color w:val="000000"/>
                <w:sz w:val="20"/>
                <w:szCs w:val="20"/>
              </w:rPr>
              <w:t>14,2%</w:t>
            </w:r>
          </w:p>
        </w:tc>
      </w:tr>
      <w:tr w:rsidR="00446170" w:rsidRPr="00446170" w14:paraId="19A08C12" w14:textId="77777777" w:rsidTr="00CD44F3">
        <w:trPr>
          <w:trHeight w:val="342"/>
        </w:trPr>
        <w:tc>
          <w:tcPr>
            <w:tcW w:w="2155" w:type="dxa"/>
            <w:tcBorders>
              <w:top w:val="nil"/>
              <w:left w:val="single" w:sz="4" w:space="0" w:color="auto"/>
              <w:bottom w:val="single" w:sz="4" w:space="0" w:color="auto"/>
              <w:right w:val="single" w:sz="4" w:space="0" w:color="auto"/>
            </w:tcBorders>
            <w:shd w:val="clear" w:color="000000" w:fill="FFFFFF"/>
            <w:vAlign w:val="center"/>
            <w:hideMark/>
          </w:tcPr>
          <w:p w14:paraId="0E88854C" w14:textId="77777777" w:rsidR="00446170" w:rsidRPr="00446170" w:rsidRDefault="00446170" w:rsidP="00446170">
            <w:pPr>
              <w:ind w:firstLineChars="100" w:firstLine="200"/>
              <w:rPr>
                <w:rFonts w:ascii="Arial Narrow" w:hAnsi="Arial Narrow" w:cs="Arial"/>
                <w:color w:val="000000"/>
                <w:sz w:val="20"/>
                <w:szCs w:val="20"/>
              </w:rPr>
            </w:pPr>
            <w:r w:rsidRPr="00446170">
              <w:rPr>
                <w:rFonts w:ascii="Arial Narrow" w:hAnsi="Arial Narrow" w:cs="Arial"/>
                <w:color w:val="000000"/>
                <w:sz w:val="20"/>
                <w:szCs w:val="20"/>
              </w:rPr>
              <w:t>Полша</w:t>
            </w:r>
          </w:p>
        </w:tc>
        <w:tc>
          <w:tcPr>
            <w:tcW w:w="1340" w:type="dxa"/>
            <w:tcBorders>
              <w:top w:val="nil"/>
              <w:left w:val="nil"/>
              <w:bottom w:val="single" w:sz="4" w:space="0" w:color="auto"/>
              <w:right w:val="single" w:sz="4" w:space="0" w:color="auto"/>
            </w:tcBorders>
            <w:shd w:val="clear" w:color="000000" w:fill="FFFFFF"/>
            <w:noWrap/>
            <w:vAlign w:val="center"/>
            <w:hideMark/>
          </w:tcPr>
          <w:p w14:paraId="266E7C2B" w14:textId="77777777" w:rsidR="00446170" w:rsidRPr="00446170" w:rsidRDefault="00446170" w:rsidP="00446170">
            <w:pPr>
              <w:jc w:val="right"/>
              <w:rPr>
                <w:rFonts w:ascii="Arial Narrow" w:hAnsi="Arial Narrow" w:cs="Arial"/>
                <w:color w:val="000000"/>
                <w:sz w:val="20"/>
                <w:szCs w:val="20"/>
              </w:rPr>
            </w:pPr>
            <w:r w:rsidRPr="00446170">
              <w:rPr>
                <w:rFonts w:ascii="Arial Narrow" w:hAnsi="Arial Narrow" w:cs="Arial"/>
                <w:color w:val="000000"/>
                <w:sz w:val="20"/>
                <w:szCs w:val="20"/>
              </w:rPr>
              <w:t>378 135</w:t>
            </w:r>
          </w:p>
        </w:tc>
        <w:tc>
          <w:tcPr>
            <w:tcW w:w="1340" w:type="dxa"/>
            <w:tcBorders>
              <w:top w:val="nil"/>
              <w:left w:val="nil"/>
              <w:bottom w:val="single" w:sz="4" w:space="0" w:color="auto"/>
              <w:right w:val="single" w:sz="4" w:space="0" w:color="auto"/>
            </w:tcBorders>
            <w:shd w:val="clear" w:color="000000" w:fill="FFFFFF"/>
            <w:noWrap/>
            <w:vAlign w:val="center"/>
            <w:hideMark/>
          </w:tcPr>
          <w:p w14:paraId="779E4300" w14:textId="77777777" w:rsidR="00446170" w:rsidRPr="00446170" w:rsidRDefault="00446170" w:rsidP="00446170">
            <w:pPr>
              <w:jc w:val="right"/>
              <w:rPr>
                <w:rFonts w:ascii="Arial Narrow" w:hAnsi="Arial Narrow" w:cs="Arial"/>
                <w:sz w:val="20"/>
                <w:szCs w:val="20"/>
              </w:rPr>
            </w:pPr>
            <w:r w:rsidRPr="00446170">
              <w:rPr>
                <w:rFonts w:ascii="Arial Narrow" w:hAnsi="Arial Narrow" w:cs="Arial"/>
                <w:sz w:val="20"/>
                <w:szCs w:val="20"/>
              </w:rPr>
              <w:t>401 888</w:t>
            </w:r>
          </w:p>
        </w:tc>
        <w:tc>
          <w:tcPr>
            <w:tcW w:w="1340" w:type="dxa"/>
            <w:tcBorders>
              <w:top w:val="nil"/>
              <w:left w:val="nil"/>
              <w:bottom w:val="single" w:sz="4" w:space="0" w:color="auto"/>
              <w:right w:val="single" w:sz="4" w:space="0" w:color="auto"/>
            </w:tcBorders>
            <w:shd w:val="clear" w:color="000000" w:fill="FFFFFF"/>
            <w:noWrap/>
            <w:vAlign w:val="center"/>
            <w:hideMark/>
          </w:tcPr>
          <w:p w14:paraId="0D7D5ED9" w14:textId="77777777" w:rsidR="00446170" w:rsidRPr="00446170" w:rsidRDefault="00446170" w:rsidP="00446170">
            <w:pPr>
              <w:jc w:val="right"/>
              <w:rPr>
                <w:rFonts w:ascii="Arial Narrow" w:hAnsi="Arial Narrow" w:cs="Arial"/>
                <w:sz w:val="20"/>
                <w:szCs w:val="20"/>
              </w:rPr>
            </w:pPr>
            <w:r w:rsidRPr="00446170">
              <w:rPr>
                <w:rFonts w:ascii="Arial Narrow" w:hAnsi="Arial Narrow" w:cs="Arial"/>
                <w:sz w:val="20"/>
                <w:szCs w:val="20"/>
              </w:rPr>
              <w:t>441 962</w:t>
            </w:r>
          </w:p>
        </w:tc>
        <w:tc>
          <w:tcPr>
            <w:tcW w:w="1310" w:type="dxa"/>
            <w:tcBorders>
              <w:top w:val="nil"/>
              <w:left w:val="nil"/>
              <w:bottom w:val="single" w:sz="4" w:space="0" w:color="auto"/>
              <w:right w:val="single" w:sz="4" w:space="0" w:color="auto"/>
            </w:tcBorders>
            <w:shd w:val="clear" w:color="000000" w:fill="FFFFFF"/>
            <w:noWrap/>
            <w:vAlign w:val="center"/>
            <w:hideMark/>
          </w:tcPr>
          <w:p w14:paraId="1DAC6A73" w14:textId="77777777" w:rsidR="00446170" w:rsidRPr="00446170" w:rsidRDefault="00446170" w:rsidP="00446170">
            <w:pPr>
              <w:jc w:val="right"/>
              <w:rPr>
                <w:rFonts w:ascii="Arial Narrow" w:hAnsi="Arial Narrow" w:cs="Arial"/>
                <w:color w:val="000000"/>
                <w:sz w:val="20"/>
                <w:szCs w:val="20"/>
              </w:rPr>
            </w:pPr>
            <w:r w:rsidRPr="00446170">
              <w:rPr>
                <w:rFonts w:ascii="Arial Narrow" w:hAnsi="Arial Narrow" w:cs="Arial"/>
                <w:color w:val="000000"/>
                <w:sz w:val="20"/>
                <w:szCs w:val="20"/>
              </w:rPr>
              <w:t>6,6%</w:t>
            </w:r>
          </w:p>
        </w:tc>
        <w:tc>
          <w:tcPr>
            <w:tcW w:w="1340" w:type="dxa"/>
            <w:tcBorders>
              <w:top w:val="nil"/>
              <w:left w:val="nil"/>
              <w:bottom w:val="single" w:sz="4" w:space="0" w:color="auto"/>
              <w:right w:val="single" w:sz="4" w:space="0" w:color="auto"/>
            </w:tcBorders>
            <w:shd w:val="clear" w:color="000000" w:fill="FFFFFF"/>
            <w:vAlign w:val="center"/>
            <w:hideMark/>
          </w:tcPr>
          <w:p w14:paraId="7A7C796B" w14:textId="77777777" w:rsidR="00446170" w:rsidRPr="00446170" w:rsidRDefault="00446170" w:rsidP="00446170">
            <w:pPr>
              <w:jc w:val="right"/>
              <w:rPr>
                <w:rFonts w:ascii="Arial Narrow" w:hAnsi="Arial Narrow" w:cs="Arial"/>
                <w:color w:val="000000"/>
                <w:sz w:val="20"/>
                <w:szCs w:val="20"/>
              </w:rPr>
            </w:pPr>
            <w:r w:rsidRPr="00446170">
              <w:rPr>
                <w:rFonts w:ascii="Arial Narrow" w:hAnsi="Arial Narrow" w:cs="Arial"/>
                <w:color w:val="000000"/>
                <w:sz w:val="20"/>
                <w:szCs w:val="20"/>
              </w:rPr>
              <w:t>40 074</w:t>
            </w:r>
          </w:p>
        </w:tc>
        <w:tc>
          <w:tcPr>
            <w:tcW w:w="1116" w:type="dxa"/>
            <w:tcBorders>
              <w:top w:val="nil"/>
              <w:left w:val="nil"/>
              <w:bottom w:val="single" w:sz="4" w:space="0" w:color="auto"/>
              <w:right w:val="single" w:sz="4" w:space="0" w:color="auto"/>
            </w:tcBorders>
            <w:shd w:val="clear" w:color="000000" w:fill="FFFFFF"/>
            <w:noWrap/>
            <w:vAlign w:val="center"/>
            <w:hideMark/>
          </w:tcPr>
          <w:p w14:paraId="144AEE31" w14:textId="77777777" w:rsidR="00446170" w:rsidRPr="00446170" w:rsidRDefault="00446170" w:rsidP="00446170">
            <w:pPr>
              <w:jc w:val="right"/>
              <w:rPr>
                <w:rFonts w:ascii="Arial Narrow" w:hAnsi="Arial Narrow" w:cs="Arial"/>
                <w:color w:val="000000"/>
                <w:sz w:val="20"/>
                <w:szCs w:val="20"/>
              </w:rPr>
            </w:pPr>
            <w:r w:rsidRPr="00446170">
              <w:rPr>
                <w:rFonts w:ascii="Arial Narrow" w:hAnsi="Arial Narrow" w:cs="Arial"/>
                <w:color w:val="000000"/>
                <w:sz w:val="20"/>
                <w:szCs w:val="20"/>
              </w:rPr>
              <w:t>10,0%</w:t>
            </w:r>
          </w:p>
        </w:tc>
      </w:tr>
      <w:tr w:rsidR="00446170" w:rsidRPr="00446170" w14:paraId="3B4C8D2B" w14:textId="77777777" w:rsidTr="00CD44F3">
        <w:trPr>
          <w:trHeight w:val="342"/>
        </w:trPr>
        <w:tc>
          <w:tcPr>
            <w:tcW w:w="2155" w:type="dxa"/>
            <w:tcBorders>
              <w:top w:val="nil"/>
              <w:left w:val="single" w:sz="4" w:space="0" w:color="auto"/>
              <w:bottom w:val="single" w:sz="4" w:space="0" w:color="auto"/>
              <w:right w:val="single" w:sz="4" w:space="0" w:color="auto"/>
            </w:tcBorders>
            <w:shd w:val="clear" w:color="000000" w:fill="FFFFFF"/>
            <w:noWrap/>
            <w:vAlign w:val="center"/>
            <w:hideMark/>
          </w:tcPr>
          <w:p w14:paraId="3F2A3FD8" w14:textId="77777777" w:rsidR="00446170" w:rsidRPr="00446170" w:rsidRDefault="00446170" w:rsidP="00446170">
            <w:pPr>
              <w:ind w:firstLineChars="100" w:firstLine="200"/>
              <w:rPr>
                <w:rFonts w:ascii="Arial Narrow" w:hAnsi="Arial Narrow" w:cs="Arial"/>
                <w:color w:val="000000"/>
                <w:sz w:val="20"/>
                <w:szCs w:val="20"/>
              </w:rPr>
            </w:pPr>
            <w:r w:rsidRPr="00446170">
              <w:rPr>
                <w:rFonts w:ascii="Arial Narrow" w:hAnsi="Arial Narrow" w:cs="Arial"/>
                <w:color w:val="000000"/>
                <w:sz w:val="20"/>
                <w:szCs w:val="20"/>
              </w:rPr>
              <w:t>Нидерландия</w:t>
            </w:r>
          </w:p>
        </w:tc>
        <w:tc>
          <w:tcPr>
            <w:tcW w:w="1340" w:type="dxa"/>
            <w:tcBorders>
              <w:top w:val="nil"/>
              <w:left w:val="nil"/>
              <w:bottom w:val="single" w:sz="4" w:space="0" w:color="auto"/>
              <w:right w:val="single" w:sz="4" w:space="0" w:color="auto"/>
            </w:tcBorders>
            <w:shd w:val="clear" w:color="000000" w:fill="FFFFFF"/>
            <w:noWrap/>
            <w:vAlign w:val="center"/>
            <w:hideMark/>
          </w:tcPr>
          <w:p w14:paraId="52E008E0" w14:textId="77777777" w:rsidR="00446170" w:rsidRPr="00446170" w:rsidRDefault="00446170" w:rsidP="00446170">
            <w:pPr>
              <w:jc w:val="right"/>
              <w:rPr>
                <w:rFonts w:ascii="Arial Narrow" w:hAnsi="Arial Narrow" w:cs="Arial"/>
                <w:color w:val="000000"/>
                <w:sz w:val="20"/>
                <w:szCs w:val="20"/>
              </w:rPr>
            </w:pPr>
            <w:r w:rsidRPr="00446170">
              <w:rPr>
                <w:rFonts w:ascii="Arial Narrow" w:hAnsi="Arial Narrow" w:cs="Arial"/>
                <w:color w:val="000000"/>
                <w:sz w:val="20"/>
                <w:szCs w:val="20"/>
              </w:rPr>
              <w:t>321 940</w:t>
            </w:r>
          </w:p>
        </w:tc>
        <w:tc>
          <w:tcPr>
            <w:tcW w:w="1340" w:type="dxa"/>
            <w:tcBorders>
              <w:top w:val="nil"/>
              <w:left w:val="nil"/>
              <w:bottom w:val="single" w:sz="4" w:space="0" w:color="auto"/>
              <w:right w:val="single" w:sz="4" w:space="0" w:color="auto"/>
            </w:tcBorders>
            <w:shd w:val="clear" w:color="000000" w:fill="FFFFFF"/>
            <w:noWrap/>
            <w:vAlign w:val="center"/>
            <w:hideMark/>
          </w:tcPr>
          <w:p w14:paraId="77C1572F" w14:textId="77777777" w:rsidR="00446170" w:rsidRPr="00446170" w:rsidRDefault="00446170" w:rsidP="00446170">
            <w:pPr>
              <w:jc w:val="right"/>
              <w:rPr>
                <w:rFonts w:ascii="Arial Narrow" w:hAnsi="Arial Narrow" w:cs="Arial"/>
                <w:sz w:val="20"/>
                <w:szCs w:val="20"/>
              </w:rPr>
            </w:pPr>
            <w:r w:rsidRPr="00446170">
              <w:rPr>
                <w:rFonts w:ascii="Arial Narrow" w:hAnsi="Arial Narrow" w:cs="Arial"/>
                <w:sz w:val="20"/>
                <w:szCs w:val="20"/>
              </w:rPr>
              <w:t>353 611</w:t>
            </w:r>
          </w:p>
        </w:tc>
        <w:tc>
          <w:tcPr>
            <w:tcW w:w="1340" w:type="dxa"/>
            <w:tcBorders>
              <w:top w:val="nil"/>
              <w:left w:val="nil"/>
              <w:bottom w:val="single" w:sz="4" w:space="0" w:color="auto"/>
              <w:right w:val="single" w:sz="4" w:space="0" w:color="auto"/>
            </w:tcBorders>
            <w:shd w:val="clear" w:color="000000" w:fill="FFFFFF"/>
            <w:noWrap/>
            <w:vAlign w:val="center"/>
            <w:hideMark/>
          </w:tcPr>
          <w:p w14:paraId="4F3A8FCC" w14:textId="77777777" w:rsidR="00446170" w:rsidRPr="00446170" w:rsidRDefault="00446170" w:rsidP="00446170">
            <w:pPr>
              <w:jc w:val="right"/>
              <w:rPr>
                <w:rFonts w:ascii="Arial Narrow" w:hAnsi="Arial Narrow" w:cs="Arial"/>
                <w:sz w:val="20"/>
                <w:szCs w:val="20"/>
              </w:rPr>
            </w:pPr>
            <w:r w:rsidRPr="00446170">
              <w:rPr>
                <w:rFonts w:ascii="Arial Narrow" w:hAnsi="Arial Narrow" w:cs="Arial"/>
                <w:sz w:val="20"/>
                <w:szCs w:val="20"/>
              </w:rPr>
              <w:t>390 982</w:t>
            </w:r>
          </w:p>
        </w:tc>
        <w:tc>
          <w:tcPr>
            <w:tcW w:w="1310" w:type="dxa"/>
            <w:tcBorders>
              <w:top w:val="nil"/>
              <w:left w:val="nil"/>
              <w:bottom w:val="single" w:sz="4" w:space="0" w:color="auto"/>
              <w:right w:val="single" w:sz="4" w:space="0" w:color="auto"/>
            </w:tcBorders>
            <w:shd w:val="clear" w:color="000000" w:fill="FFFFFF"/>
            <w:noWrap/>
            <w:vAlign w:val="center"/>
            <w:hideMark/>
          </w:tcPr>
          <w:p w14:paraId="14AB6A57" w14:textId="77777777" w:rsidR="00446170" w:rsidRPr="00446170" w:rsidRDefault="00446170" w:rsidP="00446170">
            <w:pPr>
              <w:jc w:val="right"/>
              <w:rPr>
                <w:rFonts w:ascii="Arial Narrow" w:hAnsi="Arial Narrow" w:cs="Arial"/>
                <w:color w:val="000000"/>
                <w:sz w:val="20"/>
                <w:szCs w:val="20"/>
              </w:rPr>
            </w:pPr>
            <w:r w:rsidRPr="00446170">
              <w:rPr>
                <w:rFonts w:ascii="Arial Narrow" w:hAnsi="Arial Narrow" w:cs="Arial"/>
                <w:color w:val="000000"/>
                <w:sz w:val="20"/>
                <w:szCs w:val="20"/>
              </w:rPr>
              <w:t>5,8%</w:t>
            </w:r>
          </w:p>
        </w:tc>
        <w:tc>
          <w:tcPr>
            <w:tcW w:w="1340" w:type="dxa"/>
            <w:tcBorders>
              <w:top w:val="nil"/>
              <w:left w:val="nil"/>
              <w:bottom w:val="single" w:sz="4" w:space="0" w:color="auto"/>
              <w:right w:val="single" w:sz="4" w:space="0" w:color="auto"/>
            </w:tcBorders>
            <w:shd w:val="clear" w:color="000000" w:fill="FFFFFF"/>
            <w:vAlign w:val="center"/>
            <w:hideMark/>
          </w:tcPr>
          <w:p w14:paraId="0F1B4E4C" w14:textId="77777777" w:rsidR="00446170" w:rsidRPr="00446170" w:rsidRDefault="00446170" w:rsidP="00446170">
            <w:pPr>
              <w:jc w:val="right"/>
              <w:rPr>
                <w:rFonts w:ascii="Arial Narrow" w:hAnsi="Arial Narrow" w:cs="Arial"/>
                <w:color w:val="000000"/>
                <w:sz w:val="20"/>
                <w:szCs w:val="20"/>
              </w:rPr>
            </w:pPr>
            <w:r w:rsidRPr="00446170">
              <w:rPr>
                <w:rFonts w:ascii="Arial Narrow" w:hAnsi="Arial Narrow" w:cs="Arial"/>
                <w:color w:val="000000"/>
                <w:sz w:val="20"/>
                <w:szCs w:val="20"/>
              </w:rPr>
              <w:t>37 371</w:t>
            </w:r>
          </w:p>
        </w:tc>
        <w:tc>
          <w:tcPr>
            <w:tcW w:w="1116" w:type="dxa"/>
            <w:tcBorders>
              <w:top w:val="nil"/>
              <w:left w:val="nil"/>
              <w:bottom w:val="single" w:sz="4" w:space="0" w:color="auto"/>
              <w:right w:val="single" w:sz="4" w:space="0" w:color="auto"/>
            </w:tcBorders>
            <w:shd w:val="clear" w:color="000000" w:fill="FFFFFF"/>
            <w:noWrap/>
            <w:vAlign w:val="center"/>
            <w:hideMark/>
          </w:tcPr>
          <w:p w14:paraId="2597600D" w14:textId="77777777" w:rsidR="00446170" w:rsidRPr="00446170" w:rsidRDefault="00446170" w:rsidP="00446170">
            <w:pPr>
              <w:jc w:val="right"/>
              <w:rPr>
                <w:rFonts w:ascii="Arial Narrow" w:hAnsi="Arial Narrow" w:cs="Arial"/>
                <w:color w:val="000000"/>
                <w:sz w:val="20"/>
                <w:szCs w:val="20"/>
              </w:rPr>
            </w:pPr>
            <w:r w:rsidRPr="00446170">
              <w:rPr>
                <w:rFonts w:ascii="Arial Narrow" w:hAnsi="Arial Narrow" w:cs="Arial"/>
                <w:color w:val="000000"/>
                <w:sz w:val="20"/>
                <w:szCs w:val="20"/>
              </w:rPr>
              <w:t>10,6%</w:t>
            </w:r>
          </w:p>
        </w:tc>
      </w:tr>
      <w:tr w:rsidR="00446170" w:rsidRPr="00446170" w14:paraId="6F1503FF" w14:textId="77777777" w:rsidTr="00CD44F3">
        <w:trPr>
          <w:trHeight w:val="342"/>
        </w:trPr>
        <w:tc>
          <w:tcPr>
            <w:tcW w:w="2155" w:type="dxa"/>
            <w:tcBorders>
              <w:top w:val="nil"/>
              <w:left w:val="single" w:sz="4" w:space="0" w:color="auto"/>
              <w:bottom w:val="single" w:sz="4" w:space="0" w:color="auto"/>
              <w:right w:val="single" w:sz="4" w:space="0" w:color="auto"/>
            </w:tcBorders>
            <w:shd w:val="clear" w:color="000000" w:fill="FFFFFF"/>
            <w:noWrap/>
            <w:vAlign w:val="center"/>
            <w:hideMark/>
          </w:tcPr>
          <w:p w14:paraId="02D0782D" w14:textId="77777777" w:rsidR="00446170" w:rsidRPr="00446170" w:rsidRDefault="00446170" w:rsidP="00446170">
            <w:pPr>
              <w:ind w:firstLineChars="100" w:firstLine="200"/>
              <w:rPr>
                <w:rFonts w:ascii="Arial Narrow" w:hAnsi="Arial Narrow" w:cs="Arial"/>
                <w:color w:val="000000"/>
                <w:sz w:val="20"/>
                <w:szCs w:val="20"/>
              </w:rPr>
            </w:pPr>
            <w:r w:rsidRPr="00446170">
              <w:rPr>
                <w:rFonts w:ascii="Arial Narrow" w:hAnsi="Arial Narrow" w:cs="Arial"/>
                <w:color w:val="000000"/>
                <w:sz w:val="20"/>
                <w:szCs w:val="20"/>
              </w:rPr>
              <w:t>Италия</w:t>
            </w:r>
          </w:p>
        </w:tc>
        <w:tc>
          <w:tcPr>
            <w:tcW w:w="1340" w:type="dxa"/>
            <w:tcBorders>
              <w:top w:val="nil"/>
              <w:left w:val="nil"/>
              <w:bottom w:val="single" w:sz="4" w:space="0" w:color="auto"/>
              <w:right w:val="single" w:sz="4" w:space="0" w:color="auto"/>
            </w:tcBorders>
            <w:shd w:val="clear" w:color="000000" w:fill="FFFFFF"/>
            <w:noWrap/>
            <w:vAlign w:val="center"/>
            <w:hideMark/>
          </w:tcPr>
          <w:p w14:paraId="129F09C0" w14:textId="77777777" w:rsidR="00446170" w:rsidRPr="00446170" w:rsidRDefault="00446170" w:rsidP="00446170">
            <w:pPr>
              <w:jc w:val="right"/>
              <w:rPr>
                <w:rFonts w:ascii="Arial Narrow" w:hAnsi="Arial Narrow" w:cs="Arial"/>
                <w:color w:val="000000"/>
                <w:sz w:val="20"/>
                <w:szCs w:val="20"/>
              </w:rPr>
            </w:pPr>
            <w:r w:rsidRPr="00446170">
              <w:rPr>
                <w:rFonts w:ascii="Arial Narrow" w:hAnsi="Arial Narrow" w:cs="Arial"/>
                <w:color w:val="000000"/>
                <w:sz w:val="20"/>
                <w:szCs w:val="20"/>
              </w:rPr>
              <w:t>320 584</w:t>
            </w:r>
          </w:p>
        </w:tc>
        <w:tc>
          <w:tcPr>
            <w:tcW w:w="1340" w:type="dxa"/>
            <w:tcBorders>
              <w:top w:val="nil"/>
              <w:left w:val="nil"/>
              <w:bottom w:val="single" w:sz="4" w:space="0" w:color="auto"/>
              <w:right w:val="single" w:sz="4" w:space="0" w:color="auto"/>
            </w:tcBorders>
            <w:shd w:val="clear" w:color="000000" w:fill="FFFFFF"/>
            <w:noWrap/>
            <w:vAlign w:val="center"/>
            <w:hideMark/>
          </w:tcPr>
          <w:p w14:paraId="7A45D574" w14:textId="77777777" w:rsidR="00446170" w:rsidRPr="00446170" w:rsidRDefault="00446170" w:rsidP="00446170">
            <w:pPr>
              <w:jc w:val="right"/>
              <w:rPr>
                <w:rFonts w:ascii="Arial Narrow" w:hAnsi="Arial Narrow" w:cs="Arial"/>
                <w:sz w:val="20"/>
                <w:szCs w:val="20"/>
              </w:rPr>
            </w:pPr>
            <w:r w:rsidRPr="00446170">
              <w:rPr>
                <w:rFonts w:ascii="Arial Narrow" w:hAnsi="Arial Narrow" w:cs="Arial"/>
                <w:sz w:val="20"/>
                <w:szCs w:val="20"/>
              </w:rPr>
              <w:t>369 570</w:t>
            </w:r>
          </w:p>
        </w:tc>
        <w:tc>
          <w:tcPr>
            <w:tcW w:w="1340" w:type="dxa"/>
            <w:tcBorders>
              <w:top w:val="nil"/>
              <w:left w:val="nil"/>
              <w:bottom w:val="single" w:sz="4" w:space="0" w:color="auto"/>
              <w:right w:val="single" w:sz="4" w:space="0" w:color="auto"/>
            </w:tcBorders>
            <w:shd w:val="clear" w:color="000000" w:fill="FFFFFF"/>
            <w:noWrap/>
            <w:vAlign w:val="center"/>
            <w:hideMark/>
          </w:tcPr>
          <w:p w14:paraId="641AB7A7" w14:textId="77777777" w:rsidR="00446170" w:rsidRPr="00446170" w:rsidRDefault="00446170" w:rsidP="00446170">
            <w:pPr>
              <w:jc w:val="right"/>
              <w:rPr>
                <w:rFonts w:ascii="Arial Narrow" w:hAnsi="Arial Narrow" w:cs="Arial"/>
                <w:sz w:val="20"/>
                <w:szCs w:val="20"/>
              </w:rPr>
            </w:pPr>
            <w:r w:rsidRPr="00446170">
              <w:rPr>
                <w:rFonts w:ascii="Arial Narrow" w:hAnsi="Arial Narrow" w:cs="Arial"/>
                <w:sz w:val="20"/>
                <w:szCs w:val="20"/>
              </w:rPr>
              <w:t>328 041</w:t>
            </w:r>
          </w:p>
        </w:tc>
        <w:tc>
          <w:tcPr>
            <w:tcW w:w="1310" w:type="dxa"/>
            <w:tcBorders>
              <w:top w:val="nil"/>
              <w:left w:val="nil"/>
              <w:bottom w:val="single" w:sz="4" w:space="0" w:color="auto"/>
              <w:right w:val="single" w:sz="4" w:space="0" w:color="auto"/>
            </w:tcBorders>
            <w:shd w:val="clear" w:color="000000" w:fill="FFFFFF"/>
            <w:noWrap/>
            <w:vAlign w:val="center"/>
            <w:hideMark/>
          </w:tcPr>
          <w:p w14:paraId="70046CE3" w14:textId="77777777" w:rsidR="00446170" w:rsidRPr="00446170" w:rsidRDefault="00446170" w:rsidP="00446170">
            <w:pPr>
              <w:jc w:val="right"/>
              <w:rPr>
                <w:rFonts w:ascii="Arial Narrow" w:hAnsi="Arial Narrow" w:cs="Arial"/>
                <w:color w:val="000000"/>
                <w:sz w:val="20"/>
                <w:szCs w:val="20"/>
              </w:rPr>
            </w:pPr>
            <w:r w:rsidRPr="00446170">
              <w:rPr>
                <w:rFonts w:ascii="Arial Narrow" w:hAnsi="Arial Narrow" w:cs="Arial"/>
                <w:color w:val="000000"/>
                <w:sz w:val="20"/>
                <w:szCs w:val="20"/>
              </w:rPr>
              <w:t>4,9%</w:t>
            </w:r>
          </w:p>
        </w:tc>
        <w:tc>
          <w:tcPr>
            <w:tcW w:w="1340" w:type="dxa"/>
            <w:tcBorders>
              <w:top w:val="nil"/>
              <w:left w:val="nil"/>
              <w:bottom w:val="single" w:sz="4" w:space="0" w:color="auto"/>
              <w:right w:val="single" w:sz="4" w:space="0" w:color="auto"/>
            </w:tcBorders>
            <w:shd w:val="clear" w:color="000000" w:fill="FFFFFF"/>
            <w:vAlign w:val="center"/>
            <w:hideMark/>
          </w:tcPr>
          <w:p w14:paraId="74D23DE4" w14:textId="77777777" w:rsidR="00446170" w:rsidRPr="00446170" w:rsidRDefault="00446170" w:rsidP="00446170">
            <w:pPr>
              <w:jc w:val="right"/>
              <w:rPr>
                <w:rFonts w:ascii="Arial Narrow" w:hAnsi="Arial Narrow" w:cs="Arial"/>
                <w:color w:val="000000"/>
                <w:sz w:val="20"/>
                <w:szCs w:val="20"/>
              </w:rPr>
            </w:pPr>
            <w:r w:rsidRPr="00446170">
              <w:rPr>
                <w:rFonts w:ascii="Arial Narrow" w:hAnsi="Arial Narrow" w:cs="Arial"/>
                <w:color w:val="000000"/>
                <w:sz w:val="20"/>
                <w:szCs w:val="20"/>
              </w:rPr>
              <w:t>-41 529</w:t>
            </w:r>
          </w:p>
        </w:tc>
        <w:tc>
          <w:tcPr>
            <w:tcW w:w="1116" w:type="dxa"/>
            <w:tcBorders>
              <w:top w:val="nil"/>
              <w:left w:val="nil"/>
              <w:bottom w:val="single" w:sz="4" w:space="0" w:color="auto"/>
              <w:right w:val="single" w:sz="4" w:space="0" w:color="auto"/>
            </w:tcBorders>
            <w:shd w:val="clear" w:color="000000" w:fill="FFFFFF"/>
            <w:noWrap/>
            <w:vAlign w:val="center"/>
            <w:hideMark/>
          </w:tcPr>
          <w:p w14:paraId="409D56BA" w14:textId="77777777" w:rsidR="00446170" w:rsidRPr="00446170" w:rsidRDefault="00446170" w:rsidP="00446170">
            <w:pPr>
              <w:jc w:val="right"/>
              <w:rPr>
                <w:rFonts w:ascii="Arial Narrow" w:hAnsi="Arial Narrow" w:cs="Arial"/>
                <w:color w:val="000000"/>
                <w:sz w:val="20"/>
                <w:szCs w:val="20"/>
              </w:rPr>
            </w:pPr>
            <w:r w:rsidRPr="00446170">
              <w:rPr>
                <w:rFonts w:ascii="Arial Narrow" w:hAnsi="Arial Narrow" w:cs="Arial"/>
                <w:color w:val="000000"/>
                <w:sz w:val="20"/>
                <w:szCs w:val="20"/>
              </w:rPr>
              <w:t>-11,2%</w:t>
            </w:r>
          </w:p>
        </w:tc>
      </w:tr>
      <w:tr w:rsidR="00446170" w:rsidRPr="00446170" w14:paraId="289F23AD" w14:textId="77777777" w:rsidTr="00CD44F3">
        <w:trPr>
          <w:trHeight w:val="342"/>
        </w:trPr>
        <w:tc>
          <w:tcPr>
            <w:tcW w:w="2155" w:type="dxa"/>
            <w:tcBorders>
              <w:top w:val="nil"/>
              <w:left w:val="single" w:sz="4" w:space="0" w:color="auto"/>
              <w:bottom w:val="single" w:sz="4" w:space="0" w:color="auto"/>
              <w:right w:val="single" w:sz="4" w:space="0" w:color="auto"/>
            </w:tcBorders>
            <w:shd w:val="clear" w:color="000000" w:fill="FFFFFF"/>
            <w:noWrap/>
            <w:vAlign w:val="center"/>
            <w:hideMark/>
          </w:tcPr>
          <w:p w14:paraId="14473318" w14:textId="77777777" w:rsidR="00446170" w:rsidRPr="00446170" w:rsidRDefault="00446170" w:rsidP="00446170">
            <w:pPr>
              <w:ind w:firstLineChars="100" w:firstLine="200"/>
              <w:rPr>
                <w:rFonts w:ascii="Arial Narrow" w:hAnsi="Arial Narrow" w:cs="Arial"/>
                <w:color w:val="000000"/>
                <w:sz w:val="20"/>
                <w:szCs w:val="20"/>
              </w:rPr>
            </w:pPr>
            <w:r w:rsidRPr="00446170">
              <w:rPr>
                <w:rFonts w:ascii="Arial Narrow" w:hAnsi="Arial Narrow" w:cs="Arial"/>
                <w:color w:val="000000"/>
                <w:sz w:val="20"/>
                <w:szCs w:val="20"/>
              </w:rPr>
              <w:t>Испания</w:t>
            </w:r>
          </w:p>
        </w:tc>
        <w:tc>
          <w:tcPr>
            <w:tcW w:w="1340" w:type="dxa"/>
            <w:tcBorders>
              <w:top w:val="nil"/>
              <w:left w:val="nil"/>
              <w:bottom w:val="single" w:sz="4" w:space="0" w:color="auto"/>
              <w:right w:val="single" w:sz="4" w:space="0" w:color="auto"/>
            </w:tcBorders>
            <w:shd w:val="clear" w:color="000000" w:fill="FFFFFF"/>
            <w:noWrap/>
            <w:vAlign w:val="center"/>
            <w:hideMark/>
          </w:tcPr>
          <w:p w14:paraId="0A7FD11A" w14:textId="77777777" w:rsidR="00446170" w:rsidRPr="00446170" w:rsidRDefault="00446170" w:rsidP="00446170">
            <w:pPr>
              <w:jc w:val="right"/>
              <w:rPr>
                <w:rFonts w:ascii="Arial Narrow" w:hAnsi="Arial Narrow" w:cs="Arial"/>
                <w:color w:val="000000"/>
                <w:sz w:val="20"/>
                <w:szCs w:val="20"/>
              </w:rPr>
            </w:pPr>
            <w:r w:rsidRPr="00446170">
              <w:rPr>
                <w:rFonts w:ascii="Arial Narrow" w:hAnsi="Arial Narrow" w:cs="Arial"/>
                <w:color w:val="000000"/>
                <w:sz w:val="20"/>
                <w:szCs w:val="20"/>
              </w:rPr>
              <w:t>217 332</w:t>
            </w:r>
          </w:p>
        </w:tc>
        <w:tc>
          <w:tcPr>
            <w:tcW w:w="1340" w:type="dxa"/>
            <w:tcBorders>
              <w:top w:val="nil"/>
              <w:left w:val="nil"/>
              <w:bottom w:val="single" w:sz="4" w:space="0" w:color="auto"/>
              <w:right w:val="single" w:sz="4" w:space="0" w:color="auto"/>
            </w:tcBorders>
            <w:shd w:val="clear" w:color="000000" w:fill="FFFFFF"/>
            <w:noWrap/>
            <w:vAlign w:val="center"/>
            <w:hideMark/>
          </w:tcPr>
          <w:p w14:paraId="64857A75" w14:textId="77777777" w:rsidR="00446170" w:rsidRPr="00446170" w:rsidRDefault="00446170" w:rsidP="00446170">
            <w:pPr>
              <w:jc w:val="right"/>
              <w:rPr>
                <w:rFonts w:ascii="Arial Narrow" w:hAnsi="Arial Narrow" w:cs="Arial"/>
                <w:sz w:val="20"/>
                <w:szCs w:val="20"/>
              </w:rPr>
            </w:pPr>
            <w:r w:rsidRPr="00446170">
              <w:rPr>
                <w:rFonts w:ascii="Arial Narrow" w:hAnsi="Arial Narrow" w:cs="Arial"/>
                <w:sz w:val="20"/>
                <w:szCs w:val="20"/>
              </w:rPr>
              <w:t>284 675</w:t>
            </w:r>
          </w:p>
        </w:tc>
        <w:tc>
          <w:tcPr>
            <w:tcW w:w="1340" w:type="dxa"/>
            <w:tcBorders>
              <w:top w:val="nil"/>
              <w:left w:val="nil"/>
              <w:bottom w:val="single" w:sz="4" w:space="0" w:color="auto"/>
              <w:right w:val="single" w:sz="4" w:space="0" w:color="auto"/>
            </w:tcBorders>
            <w:shd w:val="clear" w:color="000000" w:fill="FFFFFF"/>
            <w:noWrap/>
            <w:vAlign w:val="center"/>
            <w:hideMark/>
          </w:tcPr>
          <w:p w14:paraId="6FB7B431" w14:textId="77777777" w:rsidR="00446170" w:rsidRPr="00446170" w:rsidRDefault="00446170" w:rsidP="00446170">
            <w:pPr>
              <w:jc w:val="right"/>
              <w:rPr>
                <w:rFonts w:ascii="Arial Narrow" w:hAnsi="Arial Narrow" w:cs="Arial"/>
                <w:sz w:val="20"/>
                <w:szCs w:val="20"/>
              </w:rPr>
            </w:pPr>
            <w:r w:rsidRPr="00446170">
              <w:rPr>
                <w:rFonts w:ascii="Arial Narrow" w:hAnsi="Arial Narrow" w:cs="Arial"/>
                <w:sz w:val="20"/>
                <w:szCs w:val="20"/>
              </w:rPr>
              <w:t>301 202</w:t>
            </w:r>
          </w:p>
        </w:tc>
        <w:tc>
          <w:tcPr>
            <w:tcW w:w="1310" w:type="dxa"/>
            <w:tcBorders>
              <w:top w:val="nil"/>
              <w:left w:val="nil"/>
              <w:bottom w:val="single" w:sz="4" w:space="0" w:color="auto"/>
              <w:right w:val="single" w:sz="4" w:space="0" w:color="auto"/>
            </w:tcBorders>
            <w:shd w:val="clear" w:color="000000" w:fill="FFFFFF"/>
            <w:noWrap/>
            <w:vAlign w:val="center"/>
            <w:hideMark/>
          </w:tcPr>
          <w:p w14:paraId="7588A5E5" w14:textId="77777777" w:rsidR="00446170" w:rsidRPr="00446170" w:rsidRDefault="00446170" w:rsidP="00446170">
            <w:pPr>
              <w:jc w:val="right"/>
              <w:rPr>
                <w:rFonts w:ascii="Arial Narrow" w:hAnsi="Arial Narrow" w:cs="Arial"/>
                <w:color w:val="000000"/>
                <w:sz w:val="20"/>
                <w:szCs w:val="20"/>
              </w:rPr>
            </w:pPr>
            <w:r w:rsidRPr="00446170">
              <w:rPr>
                <w:rFonts w:ascii="Arial Narrow" w:hAnsi="Arial Narrow" w:cs="Arial"/>
                <w:color w:val="000000"/>
                <w:sz w:val="20"/>
                <w:szCs w:val="20"/>
              </w:rPr>
              <w:t>4,5%</w:t>
            </w:r>
          </w:p>
        </w:tc>
        <w:tc>
          <w:tcPr>
            <w:tcW w:w="1340" w:type="dxa"/>
            <w:tcBorders>
              <w:top w:val="nil"/>
              <w:left w:val="nil"/>
              <w:bottom w:val="single" w:sz="4" w:space="0" w:color="auto"/>
              <w:right w:val="single" w:sz="4" w:space="0" w:color="auto"/>
            </w:tcBorders>
            <w:shd w:val="clear" w:color="000000" w:fill="FFFFFF"/>
            <w:vAlign w:val="center"/>
            <w:hideMark/>
          </w:tcPr>
          <w:p w14:paraId="16514A30" w14:textId="77777777" w:rsidR="00446170" w:rsidRPr="00446170" w:rsidRDefault="00446170" w:rsidP="00446170">
            <w:pPr>
              <w:jc w:val="right"/>
              <w:rPr>
                <w:rFonts w:ascii="Arial Narrow" w:hAnsi="Arial Narrow" w:cs="Arial"/>
                <w:color w:val="000000"/>
                <w:sz w:val="20"/>
                <w:szCs w:val="20"/>
              </w:rPr>
            </w:pPr>
            <w:r w:rsidRPr="00446170">
              <w:rPr>
                <w:rFonts w:ascii="Arial Narrow" w:hAnsi="Arial Narrow" w:cs="Arial"/>
                <w:color w:val="000000"/>
                <w:sz w:val="20"/>
                <w:szCs w:val="20"/>
              </w:rPr>
              <w:t>16 527</w:t>
            </w:r>
          </w:p>
        </w:tc>
        <w:tc>
          <w:tcPr>
            <w:tcW w:w="1116" w:type="dxa"/>
            <w:tcBorders>
              <w:top w:val="nil"/>
              <w:left w:val="nil"/>
              <w:bottom w:val="single" w:sz="4" w:space="0" w:color="auto"/>
              <w:right w:val="single" w:sz="4" w:space="0" w:color="auto"/>
            </w:tcBorders>
            <w:shd w:val="clear" w:color="000000" w:fill="FFFFFF"/>
            <w:noWrap/>
            <w:vAlign w:val="center"/>
            <w:hideMark/>
          </w:tcPr>
          <w:p w14:paraId="4797E0FD" w14:textId="77777777" w:rsidR="00446170" w:rsidRPr="00446170" w:rsidRDefault="00446170" w:rsidP="00446170">
            <w:pPr>
              <w:jc w:val="right"/>
              <w:rPr>
                <w:rFonts w:ascii="Arial Narrow" w:hAnsi="Arial Narrow" w:cs="Arial"/>
                <w:color w:val="000000"/>
                <w:sz w:val="20"/>
                <w:szCs w:val="20"/>
              </w:rPr>
            </w:pPr>
            <w:r w:rsidRPr="00446170">
              <w:rPr>
                <w:rFonts w:ascii="Arial Narrow" w:hAnsi="Arial Narrow" w:cs="Arial"/>
                <w:color w:val="000000"/>
                <w:sz w:val="20"/>
                <w:szCs w:val="20"/>
              </w:rPr>
              <w:t>5,8%</w:t>
            </w:r>
          </w:p>
        </w:tc>
      </w:tr>
      <w:tr w:rsidR="00446170" w:rsidRPr="00446170" w14:paraId="55AD5A60" w14:textId="77777777" w:rsidTr="00CD44F3">
        <w:trPr>
          <w:trHeight w:val="342"/>
        </w:trPr>
        <w:tc>
          <w:tcPr>
            <w:tcW w:w="2155" w:type="dxa"/>
            <w:tcBorders>
              <w:top w:val="nil"/>
              <w:left w:val="single" w:sz="4" w:space="0" w:color="auto"/>
              <w:bottom w:val="single" w:sz="4" w:space="0" w:color="auto"/>
              <w:right w:val="single" w:sz="4" w:space="0" w:color="auto"/>
            </w:tcBorders>
            <w:shd w:val="clear" w:color="000000" w:fill="FFFFFF"/>
            <w:noWrap/>
            <w:vAlign w:val="center"/>
            <w:hideMark/>
          </w:tcPr>
          <w:p w14:paraId="7C286E8C" w14:textId="77777777" w:rsidR="00446170" w:rsidRPr="00446170" w:rsidRDefault="00446170" w:rsidP="00446170">
            <w:pPr>
              <w:ind w:firstLineChars="100" w:firstLine="200"/>
              <w:rPr>
                <w:rFonts w:ascii="Arial Narrow" w:hAnsi="Arial Narrow" w:cs="Arial"/>
                <w:color w:val="000000"/>
                <w:sz w:val="20"/>
                <w:szCs w:val="20"/>
              </w:rPr>
            </w:pPr>
            <w:r w:rsidRPr="00446170">
              <w:rPr>
                <w:rFonts w:ascii="Arial Narrow" w:hAnsi="Arial Narrow" w:cs="Arial"/>
                <w:color w:val="000000"/>
                <w:sz w:val="20"/>
                <w:szCs w:val="20"/>
              </w:rPr>
              <w:t>Унгария</w:t>
            </w:r>
          </w:p>
        </w:tc>
        <w:tc>
          <w:tcPr>
            <w:tcW w:w="1340" w:type="dxa"/>
            <w:tcBorders>
              <w:top w:val="nil"/>
              <w:left w:val="nil"/>
              <w:bottom w:val="single" w:sz="4" w:space="0" w:color="auto"/>
              <w:right w:val="single" w:sz="4" w:space="0" w:color="auto"/>
            </w:tcBorders>
            <w:shd w:val="clear" w:color="000000" w:fill="FFFFFF"/>
            <w:noWrap/>
            <w:vAlign w:val="center"/>
            <w:hideMark/>
          </w:tcPr>
          <w:p w14:paraId="3625F4BC" w14:textId="77777777" w:rsidR="00446170" w:rsidRPr="00446170" w:rsidRDefault="00446170" w:rsidP="00446170">
            <w:pPr>
              <w:jc w:val="right"/>
              <w:rPr>
                <w:rFonts w:ascii="Arial Narrow" w:hAnsi="Arial Narrow" w:cs="Arial"/>
                <w:color w:val="000000"/>
                <w:sz w:val="20"/>
                <w:szCs w:val="20"/>
              </w:rPr>
            </w:pPr>
            <w:r w:rsidRPr="00446170">
              <w:rPr>
                <w:rFonts w:ascii="Arial Narrow" w:hAnsi="Arial Narrow" w:cs="Arial"/>
                <w:color w:val="000000"/>
                <w:sz w:val="20"/>
                <w:szCs w:val="20"/>
              </w:rPr>
              <w:t>231 492</w:t>
            </w:r>
          </w:p>
        </w:tc>
        <w:tc>
          <w:tcPr>
            <w:tcW w:w="1340" w:type="dxa"/>
            <w:tcBorders>
              <w:top w:val="nil"/>
              <w:left w:val="nil"/>
              <w:bottom w:val="single" w:sz="4" w:space="0" w:color="auto"/>
              <w:right w:val="single" w:sz="4" w:space="0" w:color="auto"/>
            </w:tcBorders>
            <w:shd w:val="clear" w:color="000000" w:fill="FFFFFF"/>
            <w:noWrap/>
            <w:vAlign w:val="center"/>
            <w:hideMark/>
          </w:tcPr>
          <w:p w14:paraId="692A9E25" w14:textId="77777777" w:rsidR="00446170" w:rsidRPr="00446170" w:rsidRDefault="00446170" w:rsidP="00446170">
            <w:pPr>
              <w:jc w:val="right"/>
              <w:rPr>
                <w:rFonts w:ascii="Arial Narrow" w:hAnsi="Arial Narrow" w:cs="Arial"/>
                <w:sz w:val="20"/>
                <w:szCs w:val="20"/>
              </w:rPr>
            </w:pPr>
            <w:r w:rsidRPr="00446170">
              <w:rPr>
                <w:rFonts w:ascii="Arial Narrow" w:hAnsi="Arial Narrow" w:cs="Arial"/>
                <w:sz w:val="20"/>
                <w:szCs w:val="20"/>
              </w:rPr>
              <w:t>258 078</w:t>
            </w:r>
          </w:p>
        </w:tc>
        <w:tc>
          <w:tcPr>
            <w:tcW w:w="1340" w:type="dxa"/>
            <w:tcBorders>
              <w:top w:val="nil"/>
              <w:left w:val="nil"/>
              <w:bottom w:val="single" w:sz="4" w:space="0" w:color="auto"/>
              <w:right w:val="single" w:sz="4" w:space="0" w:color="auto"/>
            </w:tcBorders>
            <w:shd w:val="clear" w:color="000000" w:fill="FFFFFF"/>
            <w:noWrap/>
            <w:vAlign w:val="center"/>
            <w:hideMark/>
          </w:tcPr>
          <w:p w14:paraId="2301E715" w14:textId="77777777" w:rsidR="00446170" w:rsidRPr="00446170" w:rsidRDefault="00446170" w:rsidP="00446170">
            <w:pPr>
              <w:jc w:val="right"/>
              <w:rPr>
                <w:rFonts w:ascii="Arial Narrow" w:hAnsi="Arial Narrow" w:cs="Arial"/>
                <w:sz w:val="20"/>
                <w:szCs w:val="20"/>
              </w:rPr>
            </w:pPr>
            <w:r w:rsidRPr="00446170">
              <w:rPr>
                <w:rFonts w:ascii="Arial Narrow" w:hAnsi="Arial Narrow" w:cs="Arial"/>
                <w:sz w:val="20"/>
                <w:szCs w:val="20"/>
              </w:rPr>
              <w:t>268 505</w:t>
            </w:r>
          </w:p>
        </w:tc>
        <w:tc>
          <w:tcPr>
            <w:tcW w:w="1310" w:type="dxa"/>
            <w:tcBorders>
              <w:top w:val="nil"/>
              <w:left w:val="nil"/>
              <w:bottom w:val="single" w:sz="4" w:space="0" w:color="auto"/>
              <w:right w:val="single" w:sz="4" w:space="0" w:color="auto"/>
            </w:tcBorders>
            <w:shd w:val="clear" w:color="000000" w:fill="FFFFFF"/>
            <w:noWrap/>
            <w:vAlign w:val="center"/>
            <w:hideMark/>
          </w:tcPr>
          <w:p w14:paraId="1B0ACADA" w14:textId="77777777" w:rsidR="00446170" w:rsidRPr="00446170" w:rsidRDefault="00446170" w:rsidP="00446170">
            <w:pPr>
              <w:jc w:val="right"/>
              <w:rPr>
                <w:rFonts w:ascii="Arial Narrow" w:hAnsi="Arial Narrow" w:cs="Arial"/>
                <w:color w:val="000000"/>
                <w:sz w:val="20"/>
                <w:szCs w:val="20"/>
              </w:rPr>
            </w:pPr>
            <w:r w:rsidRPr="00446170">
              <w:rPr>
                <w:rFonts w:ascii="Arial Narrow" w:hAnsi="Arial Narrow" w:cs="Arial"/>
                <w:color w:val="000000"/>
                <w:sz w:val="20"/>
                <w:szCs w:val="20"/>
              </w:rPr>
              <w:t>4,0%</w:t>
            </w:r>
          </w:p>
        </w:tc>
        <w:tc>
          <w:tcPr>
            <w:tcW w:w="1340" w:type="dxa"/>
            <w:tcBorders>
              <w:top w:val="nil"/>
              <w:left w:val="nil"/>
              <w:bottom w:val="single" w:sz="4" w:space="0" w:color="auto"/>
              <w:right w:val="single" w:sz="4" w:space="0" w:color="auto"/>
            </w:tcBorders>
            <w:shd w:val="clear" w:color="000000" w:fill="FFFFFF"/>
            <w:vAlign w:val="center"/>
            <w:hideMark/>
          </w:tcPr>
          <w:p w14:paraId="0814C5D8" w14:textId="77777777" w:rsidR="00446170" w:rsidRPr="00446170" w:rsidRDefault="00446170" w:rsidP="00446170">
            <w:pPr>
              <w:jc w:val="right"/>
              <w:rPr>
                <w:rFonts w:ascii="Arial Narrow" w:hAnsi="Arial Narrow" w:cs="Arial"/>
                <w:color w:val="000000"/>
                <w:sz w:val="20"/>
                <w:szCs w:val="20"/>
              </w:rPr>
            </w:pPr>
            <w:r w:rsidRPr="00446170">
              <w:rPr>
                <w:rFonts w:ascii="Arial Narrow" w:hAnsi="Arial Narrow" w:cs="Arial"/>
                <w:color w:val="000000"/>
                <w:sz w:val="20"/>
                <w:szCs w:val="20"/>
              </w:rPr>
              <w:t>10 427</w:t>
            </w:r>
          </w:p>
        </w:tc>
        <w:tc>
          <w:tcPr>
            <w:tcW w:w="1116" w:type="dxa"/>
            <w:tcBorders>
              <w:top w:val="nil"/>
              <w:left w:val="nil"/>
              <w:bottom w:val="single" w:sz="4" w:space="0" w:color="auto"/>
              <w:right w:val="single" w:sz="4" w:space="0" w:color="auto"/>
            </w:tcBorders>
            <w:shd w:val="clear" w:color="000000" w:fill="FFFFFF"/>
            <w:noWrap/>
            <w:vAlign w:val="center"/>
            <w:hideMark/>
          </w:tcPr>
          <w:p w14:paraId="1FF6AF3C" w14:textId="77777777" w:rsidR="00446170" w:rsidRPr="00446170" w:rsidRDefault="00446170" w:rsidP="00446170">
            <w:pPr>
              <w:jc w:val="right"/>
              <w:rPr>
                <w:rFonts w:ascii="Arial Narrow" w:hAnsi="Arial Narrow" w:cs="Arial"/>
                <w:color w:val="000000"/>
                <w:sz w:val="20"/>
                <w:szCs w:val="20"/>
              </w:rPr>
            </w:pPr>
            <w:r w:rsidRPr="00446170">
              <w:rPr>
                <w:rFonts w:ascii="Arial Narrow" w:hAnsi="Arial Narrow" w:cs="Arial"/>
                <w:color w:val="000000"/>
                <w:sz w:val="20"/>
                <w:szCs w:val="20"/>
              </w:rPr>
              <w:t>4,0%</w:t>
            </w:r>
          </w:p>
        </w:tc>
      </w:tr>
      <w:tr w:rsidR="00446170" w:rsidRPr="00446170" w14:paraId="4B0092CF" w14:textId="77777777" w:rsidTr="00CD44F3">
        <w:trPr>
          <w:trHeight w:val="342"/>
        </w:trPr>
        <w:tc>
          <w:tcPr>
            <w:tcW w:w="2155" w:type="dxa"/>
            <w:tcBorders>
              <w:top w:val="nil"/>
              <w:left w:val="single" w:sz="4" w:space="0" w:color="auto"/>
              <w:bottom w:val="single" w:sz="4" w:space="0" w:color="auto"/>
              <w:right w:val="single" w:sz="4" w:space="0" w:color="auto"/>
            </w:tcBorders>
            <w:shd w:val="clear" w:color="000000" w:fill="FFFFFF"/>
            <w:noWrap/>
            <w:vAlign w:val="center"/>
            <w:hideMark/>
          </w:tcPr>
          <w:p w14:paraId="7670FCF3" w14:textId="77777777" w:rsidR="00446170" w:rsidRPr="00446170" w:rsidRDefault="00446170" w:rsidP="00446170">
            <w:pPr>
              <w:ind w:firstLineChars="100" w:firstLine="200"/>
              <w:rPr>
                <w:rFonts w:ascii="Arial Narrow" w:hAnsi="Arial Narrow" w:cs="Arial"/>
                <w:color w:val="000000"/>
                <w:sz w:val="20"/>
                <w:szCs w:val="20"/>
              </w:rPr>
            </w:pPr>
            <w:r w:rsidRPr="00446170">
              <w:rPr>
                <w:rFonts w:ascii="Arial Narrow" w:hAnsi="Arial Narrow" w:cs="Arial"/>
                <w:color w:val="000000"/>
                <w:sz w:val="20"/>
                <w:szCs w:val="20"/>
              </w:rPr>
              <w:t>Белгия</w:t>
            </w:r>
          </w:p>
        </w:tc>
        <w:tc>
          <w:tcPr>
            <w:tcW w:w="1340" w:type="dxa"/>
            <w:tcBorders>
              <w:top w:val="nil"/>
              <w:left w:val="nil"/>
              <w:bottom w:val="single" w:sz="4" w:space="0" w:color="auto"/>
              <w:right w:val="single" w:sz="4" w:space="0" w:color="auto"/>
            </w:tcBorders>
            <w:shd w:val="clear" w:color="000000" w:fill="FFFFFF"/>
            <w:noWrap/>
            <w:vAlign w:val="center"/>
            <w:hideMark/>
          </w:tcPr>
          <w:p w14:paraId="67A4DB94" w14:textId="77777777" w:rsidR="00446170" w:rsidRPr="00446170" w:rsidRDefault="00446170" w:rsidP="00446170">
            <w:pPr>
              <w:jc w:val="right"/>
              <w:rPr>
                <w:rFonts w:ascii="Arial Narrow" w:hAnsi="Arial Narrow" w:cs="Arial"/>
                <w:color w:val="000000"/>
                <w:sz w:val="20"/>
                <w:szCs w:val="20"/>
              </w:rPr>
            </w:pPr>
            <w:r w:rsidRPr="00446170">
              <w:rPr>
                <w:rFonts w:ascii="Arial Narrow" w:hAnsi="Arial Narrow" w:cs="Arial"/>
                <w:color w:val="000000"/>
                <w:sz w:val="20"/>
                <w:szCs w:val="20"/>
              </w:rPr>
              <w:t>124 319</w:t>
            </w:r>
          </w:p>
        </w:tc>
        <w:tc>
          <w:tcPr>
            <w:tcW w:w="1340" w:type="dxa"/>
            <w:tcBorders>
              <w:top w:val="nil"/>
              <w:left w:val="nil"/>
              <w:bottom w:val="single" w:sz="4" w:space="0" w:color="auto"/>
              <w:right w:val="single" w:sz="4" w:space="0" w:color="auto"/>
            </w:tcBorders>
            <w:shd w:val="clear" w:color="000000" w:fill="FFFFFF"/>
            <w:noWrap/>
            <w:vAlign w:val="center"/>
            <w:hideMark/>
          </w:tcPr>
          <w:p w14:paraId="3A88ACC9" w14:textId="77777777" w:rsidR="00446170" w:rsidRPr="00446170" w:rsidRDefault="00446170" w:rsidP="00446170">
            <w:pPr>
              <w:jc w:val="right"/>
              <w:rPr>
                <w:rFonts w:ascii="Arial Narrow" w:hAnsi="Arial Narrow" w:cs="Arial"/>
                <w:sz w:val="20"/>
                <w:szCs w:val="20"/>
              </w:rPr>
            </w:pPr>
            <w:r w:rsidRPr="00446170">
              <w:rPr>
                <w:rFonts w:ascii="Arial Narrow" w:hAnsi="Arial Narrow" w:cs="Arial"/>
                <w:sz w:val="20"/>
                <w:szCs w:val="20"/>
              </w:rPr>
              <w:t>174 266</w:t>
            </w:r>
          </w:p>
        </w:tc>
        <w:tc>
          <w:tcPr>
            <w:tcW w:w="1340" w:type="dxa"/>
            <w:tcBorders>
              <w:top w:val="nil"/>
              <w:left w:val="nil"/>
              <w:bottom w:val="single" w:sz="4" w:space="0" w:color="auto"/>
              <w:right w:val="single" w:sz="4" w:space="0" w:color="auto"/>
            </w:tcBorders>
            <w:shd w:val="clear" w:color="000000" w:fill="FFFFFF"/>
            <w:noWrap/>
            <w:vAlign w:val="center"/>
            <w:hideMark/>
          </w:tcPr>
          <w:p w14:paraId="285963B4" w14:textId="77777777" w:rsidR="00446170" w:rsidRPr="00446170" w:rsidRDefault="00446170" w:rsidP="00446170">
            <w:pPr>
              <w:jc w:val="right"/>
              <w:rPr>
                <w:rFonts w:ascii="Arial Narrow" w:hAnsi="Arial Narrow" w:cs="Arial"/>
                <w:sz w:val="20"/>
                <w:szCs w:val="20"/>
              </w:rPr>
            </w:pPr>
            <w:r w:rsidRPr="00446170">
              <w:rPr>
                <w:rFonts w:ascii="Arial Narrow" w:hAnsi="Arial Narrow" w:cs="Arial"/>
                <w:sz w:val="20"/>
                <w:szCs w:val="20"/>
              </w:rPr>
              <w:t>199 185</w:t>
            </w:r>
          </w:p>
        </w:tc>
        <w:tc>
          <w:tcPr>
            <w:tcW w:w="1310" w:type="dxa"/>
            <w:tcBorders>
              <w:top w:val="nil"/>
              <w:left w:val="nil"/>
              <w:bottom w:val="single" w:sz="4" w:space="0" w:color="auto"/>
              <w:right w:val="single" w:sz="4" w:space="0" w:color="auto"/>
            </w:tcBorders>
            <w:shd w:val="clear" w:color="000000" w:fill="FFFFFF"/>
            <w:noWrap/>
            <w:vAlign w:val="center"/>
            <w:hideMark/>
          </w:tcPr>
          <w:p w14:paraId="0852AB37" w14:textId="77777777" w:rsidR="00446170" w:rsidRPr="00446170" w:rsidRDefault="00446170" w:rsidP="00446170">
            <w:pPr>
              <w:jc w:val="right"/>
              <w:rPr>
                <w:rFonts w:ascii="Arial Narrow" w:hAnsi="Arial Narrow" w:cs="Arial"/>
                <w:color w:val="000000"/>
                <w:sz w:val="20"/>
                <w:szCs w:val="20"/>
              </w:rPr>
            </w:pPr>
            <w:r w:rsidRPr="00446170">
              <w:rPr>
                <w:rFonts w:ascii="Arial Narrow" w:hAnsi="Arial Narrow" w:cs="Arial"/>
                <w:color w:val="000000"/>
                <w:sz w:val="20"/>
                <w:szCs w:val="20"/>
              </w:rPr>
              <w:t>3,0%</w:t>
            </w:r>
          </w:p>
        </w:tc>
        <w:tc>
          <w:tcPr>
            <w:tcW w:w="1340" w:type="dxa"/>
            <w:tcBorders>
              <w:top w:val="nil"/>
              <w:left w:val="nil"/>
              <w:bottom w:val="single" w:sz="4" w:space="0" w:color="auto"/>
              <w:right w:val="single" w:sz="4" w:space="0" w:color="auto"/>
            </w:tcBorders>
            <w:shd w:val="clear" w:color="000000" w:fill="FFFFFF"/>
            <w:vAlign w:val="center"/>
            <w:hideMark/>
          </w:tcPr>
          <w:p w14:paraId="667F00A5" w14:textId="77777777" w:rsidR="00446170" w:rsidRPr="00446170" w:rsidRDefault="00446170" w:rsidP="00446170">
            <w:pPr>
              <w:jc w:val="right"/>
              <w:rPr>
                <w:rFonts w:ascii="Arial Narrow" w:hAnsi="Arial Narrow" w:cs="Arial"/>
                <w:color w:val="000000"/>
                <w:sz w:val="20"/>
                <w:szCs w:val="20"/>
              </w:rPr>
            </w:pPr>
            <w:r w:rsidRPr="00446170">
              <w:rPr>
                <w:rFonts w:ascii="Arial Narrow" w:hAnsi="Arial Narrow" w:cs="Arial"/>
                <w:color w:val="000000"/>
                <w:sz w:val="20"/>
                <w:szCs w:val="20"/>
              </w:rPr>
              <w:t>24 919</w:t>
            </w:r>
          </w:p>
        </w:tc>
        <w:tc>
          <w:tcPr>
            <w:tcW w:w="1116" w:type="dxa"/>
            <w:tcBorders>
              <w:top w:val="nil"/>
              <w:left w:val="nil"/>
              <w:bottom w:val="single" w:sz="4" w:space="0" w:color="auto"/>
              <w:right w:val="single" w:sz="4" w:space="0" w:color="auto"/>
            </w:tcBorders>
            <w:shd w:val="clear" w:color="000000" w:fill="FFFFFF"/>
            <w:noWrap/>
            <w:vAlign w:val="center"/>
            <w:hideMark/>
          </w:tcPr>
          <w:p w14:paraId="3148A577" w14:textId="77777777" w:rsidR="00446170" w:rsidRPr="00446170" w:rsidRDefault="00446170" w:rsidP="00446170">
            <w:pPr>
              <w:jc w:val="right"/>
              <w:rPr>
                <w:rFonts w:ascii="Arial Narrow" w:hAnsi="Arial Narrow" w:cs="Arial"/>
                <w:color w:val="000000"/>
                <w:sz w:val="20"/>
                <w:szCs w:val="20"/>
              </w:rPr>
            </w:pPr>
            <w:r w:rsidRPr="00446170">
              <w:rPr>
                <w:rFonts w:ascii="Arial Narrow" w:hAnsi="Arial Narrow" w:cs="Arial"/>
                <w:color w:val="000000"/>
                <w:sz w:val="20"/>
                <w:szCs w:val="20"/>
              </w:rPr>
              <w:t>14,3%</w:t>
            </w:r>
          </w:p>
        </w:tc>
      </w:tr>
      <w:tr w:rsidR="00446170" w:rsidRPr="00446170" w14:paraId="1C85BD88" w14:textId="77777777" w:rsidTr="00CD44F3">
        <w:trPr>
          <w:trHeight w:val="342"/>
        </w:trPr>
        <w:tc>
          <w:tcPr>
            <w:tcW w:w="2155" w:type="dxa"/>
            <w:tcBorders>
              <w:top w:val="nil"/>
              <w:left w:val="single" w:sz="4" w:space="0" w:color="auto"/>
              <w:bottom w:val="single" w:sz="4" w:space="0" w:color="auto"/>
              <w:right w:val="single" w:sz="4" w:space="0" w:color="auto"/>
            </w:tcBorders>
            <w:shd w:val="clear" w:color="000000" w:fill="FFFFFF"/>
            <w:noWrap/>
            <w:vAlign w:val="center"/>
            <w:hideMark/>
          </w:tcPr>
          <w:p w14:paraId="700CDB19" w14:textId="77777777" w:rsidR="00446170" w:rsidRPr="00446170" w:rsidRDefault="00446170" w:rsidP="00446170">
            <w:pPr>
              <w:ind w:firstLineChars="100" w:firstLine="200"/>
              <w:rPr>
                <w:rFonts w:ascii="Arial Narrow" w:hAnsi="Arial Narrow" w:cs="Arial"/>
                <w:color w:val="000000"/>
                <w:sz w:val="20"/>
                <w:szCs w:val="20"/>
              </w:rPr>
            </w:pPr>
            <w:r w:rsidRPr="00446170">
              <w:rPr>
                <w:rFonts w:ascii="Arial Narrow" w:hAnsi="Arial Narrow" w:cs="Arial"/>
                <w:color w:val="000000"/>
                <w:sz w:val="20"/>
                <w:szCs w:val="20"/>
              </w:rPr>
              <w:t>Франция</w:t>
            </w:r>
          </w:p>
        </w:tc>
        <w:tc>
          <w:tcPr>
            <w:tcW w:w="1340" w:type="dxa"/>
            <w:tcBorders>
              <w:top w:val="nil"/>
              <w:left w:val="nil"/>
              <w:bottom w:val="single" w:sz="4" w:space="0" w:color="auto"/>
              <w:right w:val="single" w:sz="4" w:space="0" w:color="auto"/>
            </w:tcBorders>
            <w:shd w:val="clear" w:color="000000" w:fill="FFFFFF"/>
            <w:noWrap/>
            <w:vAlign w:val="center"/>
            <w:hideMark/>
          </w:tcPr>
          <w:p w14:paraId="383E4E5C" w14:textId="77777777" w:rsidR="00446170" w:rsidRPr="00446170" w:rsidRDefault="00446170" w:rsidP="00446170">
            <w:pPr>
              <w:jc w:val="right"/>
              <w:rPr>
                <w:rFonts w:ascii="Arial Narrow" w:hAnsi="Arial Narrow" w:cs="Arial"/>
                <w:color w:val="000000"/>
                <w:sz w:val="20"/>
                <w:szCs w:val="20"/>
              </w:rPr>
            </w:pPr>
            <w:r w:rsidRPr="00446170">
              <w:rPr>
                <w:rFonts w:ascii="Arial Narrow" w:hAnsi="Arial Narrow" w:cs="Arial"/>
                <w:color w:val="000000"/>
                <w:sz w:val="20"/>
                <w:szCs w:val="20"/>
              </w:rPr>
              <w:t>157 603</w:t>
            </w:r>
          </w:p>
        </w:tc>
        <w:tc>
          <w:tcPr>
            <w:tcW w:w="1340" w:type="dxa"/>
            <w:tcBorders>
              <w:top w:val="nil"/>
              <w:left w:val="nil"/>
              <w:bottom w:val="single" w:sz="4" w:space="0" w:color="auto"/>
              <w:right w:val="single" w:sz="4" w:space="0" w:color="auto"/>
            </w:tcBorders>
            <w:shd w:val="clear" w:color="000000" w:fill="FFFFFF"/>
            <w:noWrap/>
            <w:vAlign w:val="center"/>
            <w:hideMark/>
          </w:tcPr>
          <w:p w14:paraId="4950F810" w14:textId="77777777" w:rsidR="00446170" w:rsidRPr="00446170" w:rsidRDefault="00446170" w:rsidP="00446170">
            <w:pPr>
              <w:jc w:val="right"/>
              <w:rPr>
                <w:rFonts w:ascii="Arial Narrow" w:hAnsi="Arial Narrow" w:cs="Arial"/>
                <w:sz w:val="20"/>
                <w:szCs w:val="20"/>
              </w:rPr>
            </w:pPr>
            <w:r w:rsidRPr="00446170">
              <w:rPr>
                <w:rFonts w:ascii="Arial Narrow" w:hAnsi="Arial Narrow" w:cs="Arial"/>
                <w:sz w:val="20"/>
                <w:szCs w:val="20"/>
              </w:rPr>
              <w:t>170 504</w:t>
            </w:r>
          </w:p>
        </w:tc>
        <w:tc>
          <w:tcPr>
            <w:tcW w:w="1340" w:type="dxa"/>
            <w:tcBorders>
              <w:top w:val="nil"/>
              <w:left w:val="nil"/>
              <w:bottom w:val="single" w:sz="4" w:space="0" w:color="auto"/>
              <w:right w:val="single" w:sz="4" w:space="0" w:color="auto"/>
            </w:tcBorders>
            <w:shd w:val="clear" w:color="000000" w:fill="FFFFFF"/>
            <w:noWrap/>
            <w:vAlign w:val="center"/>
            <w:hideMark/>
          </w:tcPr>
          <w:p w14:paraId="42495315" w14:textId="77777777" w:rsidR="00446170" w:rsidRPr="00446170" w:rsidRDefault="00446170" w:rsidP="00446170">
            <w:pPr>
              <w:jc w:val="right"/>
              <w:rPr>
                <w:rFonts w:ascii="Arial Narrow" w:hAnsi="Arial Narrow" w:cs="Arial"/>
                <w:sz w:val="20"/>
                <w:szCs w:val="20"/>
              </w:rPr>
            </w:pPr>
            <w:r w:rsidRPr="00446170">
              <w:rPr>
                <w:rFonts w:ascii="Arial Narrow" w:hAnsi="Arial Narrow" w:cs="Arial"/>
                <w:sz w:val="20"/>
                <w:szCs w:val="20"/>
              </w:rPr>
              <w:t>160 348</w:t>
            </w:r>
          </w:p>
        </w:tc>
        <w:tc>
          <w:tcPr>
            <w:tcW w:w="1310" w:type="dxa"/>
            <w:tcBorders>
              <w:top w:val="nil"/>
              <w:left w:val="nil"/>
              <w:bottom w:val="single" w:sz="4" w:space="0" w:color="auto"/>
              <w:right w:val="single" w:sz="4" w:space="0" w:color="auto"/>
            </w:tcBorders>
            <w:shd w:val="clear" w:color="000000" w:fill="FFFFFF"/>
            <w:noWrap/>
            <w:vAlign w:val="center"/>
            <w:hideMark/>
          </w:tcPr>
          <w:p w14:paraId="12051B3B" w14:textId="77777777" w:rsidR="00446170" w:rsidRPr="00446170" w:rsidRDefault="00446170" w:rsidP="00446170">
            <w:pPr>
              <w:jc w:val="right"/>
              <w:rPr>
                <w:rFonts w:ascii="Arial Narrow" w:hAnsi="Arial Narrow" w:cs="Arial"/>
                <w:color w:val="000000"/>
                <w:sz w:val="20"/>
                <w:szCs w:val="20"/>
              </w:rPr>
            </w:pPr>
            <w:r w:rsidRPr="00446170">
              <w:rPr>
                <w:rFonts w:ascii="Arial Narrow" w:hAnsi="Arial Narrow" w:cs="Arial"/>
                <w:color w:val="000000"/>
                <w:sz w:val="20"/>
                <w:szCs w:val="20"/>
              </w:rPr>
              <w:t>2,4%</w:t>
            </w:r>
          </w:p>
        </w:tc>
        <w:tc>
          <w:tcPr>
            <w:tcW w:w="1340" w:type="dxa"/>
            <w:tcBorders>
              <w:top w:val="nil"/>
              <w:left w:val="nil"/>
              <w:bottom w:val="single" w:sz="4" w:space="0" w:color="auto"/>
              <w:right w:val="single" w:sz="4" w:space="0" w:color="auto"/>
            </w:tcBorders>
            <w:shd w:val="clear" w:color="000000" w:fill="FFFFFF"/>
            <w:vAlign w:val="center"/>
            <w:hideMark/>
          </w:tcPr>
          <w:p w14:paraId="68F26EAA" w14:textId="77777777" w:rsidR="00446170" w:rsidRPr="00446170" w:rsidRDefault="00446170" w:rsidP="00446170">
            <w:pPr>
              <w:jc w:val="right"/>
              <w:rPr>
                <w:rFonts w:ascii="Arial Narrow" w:hAnsi="Arial Narrow" w:cs="Arial"/>
                <w:color w:val="000000"/>
                <w:sz w:val="20"/>
                <w:szCs w:val="20"/>
              </w:rPr>
            </w:pPr>
            <w:r w:rsidRPr="00446170">
              <w:rPr>
                <w:rFonts w:ascii="Arial Narrow" w:hAnsi="Arial Narrow" w:cs="Arial"/>
                <w:color w:val="000000"/>
                <w:sz w:val="20"/>
                <w:szCs w:val="20"/>
              </w:rPr>
              <w:t>-10 156</w:t>
            </w:r>
          </w:p>
        </w:tc>
        <w:tc>
          <w:tcPr>
            <w:tcW w:w="1116" w:type="dxa"/>
            <w:tcBorders>
              <w:top w:val="nil"/>
              <w:left w:val="nil"/>
              <w:bottom w:val="single" w:sz="4" w:space="0" w:color="auto"/>
              <w:right w:val="single" w:sz="4" w:space="0" w:color="auto"/>
            </w:tcBorders>
            <w:shd w:val="clear" w:color="000000" w:fill="FFFFFF"/>
            <w:noWrap/>
            <w:vAlign w:val="center"/>
            <w:hideMark/>
          </w:tcPr>
          <w:p w14:paraId="378C4D7E" w14:textId="77777777" w:rsidR="00446170" w:rsidRPr="00446170" w:rsidRDefault="00446170" w:rsidP="00446170">
            <w:pPr>
              <w:jc w:val="right"/>
              <w:rPr>
                <w:rFonts w:ascii="Arial Narrow" w:hAnsi="Arial Narrow" w:cs="Arial"/>
                <w:color w:val="000000"/>
                <w:sz w:val="20"/>
                <w:szCs w:val="20"/>
              </w:rPr>
            </w:pPr>
            <w:r w:rsidRPr="00446170">
              <w:rPr>
                <w:rFonts w:ascii="Arial Narrow" w:hAnsi="Arial Narrow" w:cs="Arial"/>
                <w:color w:val="000000"/>
                <w:sz w:val="20"/>
                <w:szCs w:val="20"/>
              </w:rPr>
              <w:t>-6,0%</w:t>
            </w:r>
          </w:p>
        </w:tc>
      </w:tr>
      <w:tr w:rsidR="00446170" w:rsidRPr="00446170" w14:paraId="4F49A51B" w14:textId="77777777" w:rsidTr="00CD44F3">
        <w:trPr>
          <w:trHeight w:val="342"/>
        </w:trPr>
        <w:tc>
          <w:tcPr>
            <w:tcW w:w="2155" w:type="dxa"/>
            <w:tcBorders>
              <w:top w:val="nil"/>
              <w:left w:val="single" w:sz="4" w:space="0" w:color="auto"/>
              <w:bottom w:val="single" w:sz="4" w:space="0" w:color="auto"/>
              <w:right w:val="single" w:sz="4" w:space="0" w:color="auto"/>
            </w:tcBorders>
            <w:shd w:val="clear" w:color="000000" w:fill="FFFFFF"/>
            <w:noWrap/>
            <w:vAlign w:val="center"/>
            <w:hideMark/>
          </w:tcPr>
          <w:p w14:paraId="51C4CD51" w14:textId="77777777" w:rsidR="00446170" w:rsidRPr="00446170" w:rsidRDefault="00446170" w:rsidP="00446170">
            <w:pPr>
              <w:ind w:firstLineChars="100" w:firstLine="200"/>
              <w:rPr>
                <w:rFonts w:ascii="Arial Narrow" w:hAnsi="Arial Narrow" w:cs="Arial"/>
                <w:color w:val="000000"/>
                <w:sz w:val="20"/>
                <w:szCs w:val="20"/>
              </w:rPr>
            </w:pPr>
            <w:r w:rsidRPr="00446170">
              <w:rPr>
                <w:rFonts w:ascii="Arial Narrow" w:hAnsi="Arial Narrow" w:cs="Arial"/>
                <w:color w:val="000000"/>
                <w:sz w:val="20"/>
                <w:szCs w:val="20"/>
              </w:rPr>
              <w:t>Австрия</w:t>
            </w:r>
          </w:p>
        </w:tc>
        <w:tc>
          <w:tcPr>
            <w:tcW w:w="1340" w:type="dxa"/>
            <w:tcBorders>
              <w:top w:val="nil"/>
              <w:left w:val="nil"/>
              <w:bottom w:val="single" w:sz="4" w:space="0" w:color="auto"/>
              <w:right w:val="single" w:sz="4" w:space="0" w:color="auto"/>
            </w:tcBorders>
            <w:shd w:val="clear" w:color="000000" w:fill="FFFFFF"/>
            <w:noWrap/>
            <w:vAlign w:val="center"/>
            <w:hideMark/>
          </w:tcPr>
          <w:p w14:paraId="06057E23" w14:textId="77777777" w:rsidR="00446170" w:rsidRPr="00446170" w:rsidRDefault="00446170" w:rsidP="00446170">
            <w:pPr>
              <w:jc w:val="right"/>
              <w:rPr>
                <w:rFonts w:ascii="Arial Narrow" w:hAnsi="Arial Narrow" w:cs="Arial"/>
                <w:color w:val="000000"/>
                <w:sz w:val="20"/>
                <w:szCs w:val="20"/>
              </w:rPr>
            </w:pPr>
            <w:r w:rsidRPr="00446170">
              <w:rPr>
                <w:rFonts w:ascii="Arial Narrow" w:hAnsi="Arial Narrow" w:cs="Arial"/>
                <w:color w:val="000000"/>
                <w:sz w:val="20"/>
                <w:szCs w:val="20"/>
              </w:rPr>
              <w:t>112 640</w:t>
            </w:r>
          </w:p>
        </w:tc>
        <w:tc>
          <w:tcPr>
            <w:tcW w:w="1340" w:type="dxa"/>
            <w:tcBorders>
              <w:top w:val="nil"/>
              <w:left w:val="nil"/>
              <w:bottom w:val="single" w:sz="4" w:space="0" w:color="auto"/>
              <w:right w:val="single" w:sz="4" w:space="0" w:color="auto"/>
            </w:tcBorders>
            <w:shd w:val="clear" w:color="000000" w:fill="FFFFFF"/>
            <w:noWrap/>
            <w:vAlign w:val="center"/>
            <w:hideMark/>
          </w:tcPr>
          <w:p w14:paraId="1BC4B2CC" w14:textId="77777777" w:rsidR="00446170" w:rsidRPr="00446170" w:rsidRDefault="00446170" w:rsidP="00446170">
            <w:pPr>
              <w:jc w:val="right"/>
              <w:rPr>
                <w:rFonts w:ascii="Arial Narrow" w:hAnsi="Arial Narrow" w:cs="Arial"/>
                <w:sz w:val="20"/>
                <w:szCs w:val="20"/>
              </w:rPr>
            </w:pPr>
            <w:r w:rsidRPr="00446170">
              <w:rPr>
                <w:rFonts w:ascii="Arial Narrow" w:hAnsi="Arial Narrow" w:cs="Arial"/>
                <w:sz w:val="20"/>
                <w:szCs w:val="20"/>
              </w:rPr>
              <w:t>106 244</w:t>
            </w:r>
          </w:p>
        </w:tc>
        <w:tc>
          <w:tcPr>
            <w:tcW w:w="1340" w:type="dxa"/>
            <w:tcBorders>
              <w:top w:val="nil"/>
              <w:left w:val="nil"/>
              <w:bottom w:val="single" w:sz="4" w:space="0" w:color="auto"/>
              <w:right w:val="single" w:sz="4" w:space="0" w:color="auto"/>
            </w:tcBorders>
            <w:shd w:val="clear" w:color="000000" w:fill="FFFFFF"/>
            <w:noWrap/>
            <w:vAlign w:val="center"/>
            <w:hideMark/>
          </w:tcPr>
          <w:p w14:paraId="640C0AC8" w14:textId="77777777" w:rsidR="00446170" w:rsidRPr="00446170" w:rsidRDefault="00446170" w:rsidP="00446170">
            <w:pPr>
              <w:jc w:val="right"/>
              <w:rPr>
                <w:rFonts w:ascii="Arial Narrow" w:hAnsi="Arial Narrow" w:cs="Arial"/>
                <w:sz w:val="20"/>
                <w:szCs w:val="20"/>
              </w:rPr>
            </w:pPr>
            <w:r w:rsidRPr="00446170">
              <w:rPr>
                <w:rFonts w:ascii="Arial Narrow" w:hAnsi="Arial Narrow" w:cs="Arial"/>
                <w:sz w:val="20"/>
                <w:szCs w:val="20"/>
              </w:rPr>
              <w:t>125 141</w:t>
            </w:r>
          </w:p>
        </w:tc>
        <w:tc>
          <w:tcPr>
            <w:tcW w:w="1310" w:type="dxa"/>
            <w:tcBorders>
              <w:top w:val="nil"/>
              <w:left w:val="nil"/>
              <w:bottom w:val="single" w:sz="4" w:space="0" w:color="auto"/>
              <w:right w:val="single" w:sz="4" w:space="0" w:color="auto"/>
            </w:tcBorders>
            <w:shd w:val="clear" w:color="000000" w:fill="FFFFFF"/>
            <w:noWrap/>
            <w:vAlign w:val="center"/>
            <w:hideMark/>
          </w:tcPr>
          <w:p w14:paraId="3D069038" w14:textId="77777777" w:rsidR="00446170" w:rsidRPr="00446170" w:rsidRDefault="00446170" w:rsidP="00446170">
            <w:pPr>
              <w:jc w:val="right"/>
              <w:rPr>
                <w:rFonts w:ascii="Arial Narrow" w:hAnsi="Arial Narrow" w:cs="Arial"/>
                <w:color w:val="000000"/>
                <w:sz w:val="20"/>
                <w:szCs w:val="20"/>
              </w:rPr>
            </w:pPr>
            <w:r w:rsidRPr="00446170">
              <w:rPr>
                <w:rFonts w:ascii="Arial Narrow" w:hAnsi="Arial Narrow" w:cs="Arial"/>
                <w:color w:val="000000"/>
                <w:sz w:val="20"/>
                <w:szCs w:val="20"/>
              </w:rPr>
              <w:t>1,9%</w:t>
            </w:r>
          </w:p>
        </w:tc>
        <w:tc>
          <w:tcPr>
            <w:tcW w:w="1340" w:type="dxa"/>
            <w:tcBorders>
              <w:top w:val="nil"/>
              <w:left w:val="nil"/>
              <w:bottom w:val="single" w:sz="4" w:space="0" w:color="auto"/>
              <w:right w:val="single" w:sz="4" w:space="0" w:color="auto"/>
            </w:tcBorders>
            <w:shd w:val="clear" w:color="000000" w:fill="FFFFFF"/>
            <w:vAlign w:val="center"/>
            <w:hideMark/>
          </w:tcPr>
          <w:p w14:paraId="3FD78DF5" w14:textId="77777777" w:rsidR="00446170" w:rsidRPr="00446170" w:rsidRDefault="00446170" w:rsidP="00446170">
            <w:pPr>
              <w:jc w:val="right"/>
              <w:rPr>
                <w:rFonts w:ascii="Arial Narrow" w:hAnsi="Arial Narrow" w:cs="Arial"/>
                <w:color w:val="000000"/>
                <w:sz w:val="20"/>
                <w:szCs w:val="20"/>
              </w:rPr>
            </w:pPr>
            <w:r w:rsidRPr="00446170">
              <w:rPr>
                <w:rFonts w:ascii="Arial Narrow" w:hAnsi="Arial Narrow" w:cs="Arial"/>
                <w:color w:val="000000"/>
                <w:sz w:val="20"/>
                <w:szCs w:val="20"/>
              </w:rPr>
              <w:t>18 897</w:t>
            </w:r>
          </w:p>
        </w:tc>
        <w:tc>
          <w:tcPr>
            <w:tcW w:w="1116" w:type="dxa"/>
            <w:tcBorders>
              <w:top w:val="nil"/>
              <w:left w:val="nil"/>
              <w:bottom w:val="single" w:sz="4" w:space="0" w:color="auto"/>
              <w:right w:val="single" w:sz="4" w:space="0" w:color="auto"/>
            </w:tcBorders>
            <w:shd w:val="clear" w:color="000000" w:fill="FFFFFF"/>
            <w:noWrap/>
            <w:vAlign w:val="center"/>
            <w:hideMark/>
          </w:tcPr>
          <w:p w14:paraId="4B6DD322" w14:textId="77777777" w:rsidR="00446170" w:rsidRPr="00446170" w:rsidRDefault="00446170" w:rsidP="00446170">
            <w:pPr>
              <w:jc w:val="right"/>
              <w:rPr>
                <w:rFonts w:ascii="Arial Narrow" w:hAnsi="Arial Narrow" w:cs="Arial"/>
                <w:color w:val="000000"/>
                <w:sz w:val="20"/>
                <w:szCs w:val="20"/>
              </w:rPr>
            </w:pPr>
            <w:r w:rsidRPr="00446170">
              <w:rPr>
                <w:rFonts w:ascii="Arial Narrow" w:hAnsi="Arial Narrow" w:cs="Arial"/>
                <w:color w:val="000000"/>
                <w:sz w:val="20"/>
                <w:szCs w:val="20"/>
              </w:rPr>
              <w:t>17,8%</w:t>
            </w:r>
          </w:p>
        </w:tc>
      </w:tr>
      <w:tr w:rsidR="00446170" w:rsidRPr="00446170" w14:paraId="2C303865" w14:textId="77777777" w:rsidTr="00CD44F3">
        <w:trPr>
          <w:trHeight w:val="342"/>
        </w:trPr>
        <w:tc>
          <w:tcPr>
            <w:tcW w:w="2155" w:type="dxa"/>
            <w:tcBorders>
              <w:top w:val="nil"/>
              <w:left w:val="single" w:sz="4" w:space="0" w:color="auto"/>
              <w:bottom w:val="single" w:sz="4" w:space="0" w:color="auto"/>
              <w:right w:val="single" w:sz="4" w:space="0" w:color="auto"/>
            </w:tcBorders>
            <w:shd w:val="clear" w:color="000000" w:fill="FFFFFF"/>
            <w:noWrap/>
            <w:vAlign w:val="center"/>
            <w:hideMark/>
          </w:tcPr>
          <w:p w14:paraId="574FC9E9" w14:textId="77777777" w:rsidR="00446170" w:rsidRPr="00446170" w:rsidRDefault="00446170" w:rsidP="00446170">
            <w:pPr>
              <w:ind w:firstLineChars="100" w:firstLine="200"/>
              <w:rPr>
                <w:rFonts w:ascii="Arial Narrow" w:hAnsi="Arial Narrow" w:cs="Arial"/>
                <w:color w:val="000000"/>
                <w:sz w:val="20"/>
                <w:szCs w:val="20"/>
              </w:rPr>
            </w:pPr>
            <w:r w:rsidRPr="00446170">
              <w:rPr>
                <w:rFonts w:ascii="Arial Narrow" w:hAnsi="Arial Narrow" w:cs="Arial"/>
                <w:color w:val="000000"/>
                <w:sz w:val="20"/>
                <w:szCs w:val="20"/>
              </w:rPr>
              <w:t>Чехия</w:t>
            </w:r>
          </w:p>
        </w:tc>
        <w:tc>
          <w:tcPr>
            <w:tcW w:w="1340" w:type="dxa"/>
            <w:tcBorders>
              <w:top w:val="nil"/>
              <w:left w:val="nil"/>
              <w:bottom w:val="single" w:sz="4" w:space="0" w:color="auto"/>
              <w:right w:val="single" w:sz="4" w:space="0" w:color="auto"/>
            </w:tcBorders>
            <w:shd w:val="clear" w:color="000000" w:fill="FFFFFF"/>
            <w:noWrap/>
            <w:vAlign w:val="center"/>
            <w:hideMark/>
          </w:tcPr>
          <w:p w14:paraId="2B01C5F7" w14:textId="77777777" w:rsidR="00446170" w:rsidRPr="00446170" w:rsidRDefault="00446170" w:rsidP="00446170">
            <w:pPr>
              <w:jc w:val="right"/>
              <w:rPr>
                <w:rFonts w:ascii="Arial Narrow" w:hAnsi="Arial Narrow" w:cs="Arial"/>
                <w:color w:val="000000"/>
                <w:sz w:val="20"/>
                <w:szCs w:val="20"/>
              </w:rPr>
            </w:pPr>
            <w:r w:rsidRPr="00446170">
              <w:rPr>
                <w:rFonts w:ascii="Arial Narrow" w:hAnsi="Arial Narrow" w:cs="Arial"/>
                <w:color w:val="000000"/>
                <w:sz w:val="20"/>
                <w:szCs w:val="20"/>
              </w:rPr>
              <w:t>91 755</w:t>
            </w:r>
          </w:p>
        </w:tc>
        <w:tc>
          <w:tcPr>
            <w:tcW w:w="1340" w:type="dxa"/>
            <w:tcBorders>
              <w:top w:val="nil"/>
              <w:left w:val="nil"/>
              <w:bottom w:val="single" w:sz="4" w:space="0" w:color="auto"/>
              <w:right w:val="single" w:sz="4" w:space="0" w:color="auto"/>
            </w:tcBorders>
            <w:shd w:val="clear" w:color="000000" w:fill="FFFFFF"/>
            <w:noWrap/>
            <w:vAlign w:val="center"/>
            <w:hideMark/>
          </w:tcPr>
          <w:p w14:paraId="7E1451CB" w14:textId="77777777" w:rsidR="00446170" w:rsidRPr="00446170" w:rsidRDefault="00446170" w:rsidP="00446170">
            <w:pPr>
              <w:jc w:val="right"/>
              <w:rPr>
                <w:rFonts w:ascii="Arial Narrow" w:hAnsi="Arial Narrow" w:cs="Arial"/>
                <w:sz w:val="20"/>
                <w:szCs w:val="20"/>
              </w:rPr>
            </w:pPr>
            <w:r w:rsidRPr="00446170">
              <w:rPr>
                <w:rFonts w:ascii="Arial Narrow" w:hAnsi="Arial Narrow" w:cs="Arial"/>
                <w:sz w:val="20"/>
                <w:szCs w:val="20"/>
              </w:rPr>
              <w:t>101 803</w:t>
            </w:r>
          </w:p>
        </w:tc>
        <w:tc>
          <w:tcPr>
            <w:tcW w:w="1340" w:type="dxa"/>
            <w:tcBorders>
              <w:top w:val="nil"/>
              <w:left w:val="nil"/>
              <w:bottom w:val="single" w:sz="4" w:space="0" w:color="auto"/>
              <w:right w:val="single" w:sz="4" w:space="0" w:color="auto"/>
            </w:tcBorders>
            <w:shd w:val="clear" w:color="000000" w:fill="FFFFFF"/>
            <w:noWrap/>
            <w:vAlign w:val="center"/>
            <w:hideMark/>
          </w:tcPr>
          <w:p w14:paraId="6C92DA5F" w14:textId="77777777" w:rsidR="00446170" w:rsidRPr="00446170" w:rsidRDefault="00446170" w:rsidP="00446170">
            <w:pPr>
              <w:jc w:val="right"/>
              <w:rPr>
                <w:rFonts w:ascii="Arial Narrow" w:hAnsi="Arial Narrow" w:cs="Arial"/>
                <w:sz w:val="20"/>
                <w:szCs w:val="20"/>
              </w:rPr>
            </w:pPr>
            <w:r w:rsidRPr="00446170">
              <w:rPr>
                <w:rFonts w:ascii="Arial Narrow" w:hAnsi="Arial Narrow" w:cs="Arial"/>
                <w:sz w:val="20"/>
                <w:szCs w:val="20"/>
              </w:rPr>
              <w:t>104 359</w:t>
            </w:r>
          </w:p>
        </w:tc>
        <w:tc>
          <w:tcPr>
            <w:tcW w:w="1310" w:type="dxa"/>
            <w:tcBorders>
              <w:top w:val="nil"/>
              <w:left w:val="nil"/>
              <w:bottom w:val="single" w:sz="4" w:space="0" w:color="auto"/>
              <w:right w:val="single" w:sz="4" w:space="0" w:color="auto"/>
            </w:tcBorders>
            <w:shd w:val="clear" w:color="000000" w:fill="FFFFFF"/>
            <w:noWrap/>
            <w:vAlign w:val="center"/>
            <w:hideMark/>
          </w:tcPr>
          <w:p w14:paraId="58D051A4" w14:textId="77777777" w:rsidR="00446170" w:rsidRPr="00446170" w:rsidRDefault="00446170" w:rsidP="00446170">
            <w:pPr>
              <w:jc w:val="right"/>
              <w:rPr>
                <w:rFonts w:ascii="Arial Narrow" w:hAnsi="Arial Narrow" w:cs="Arial"/>
                <w:color w:val="000000"/>
                <w:sz w:val="20"/>
                <w:szCs w:val="20"/>
              </w:rPr>
            </w:pPr>
            <w:r w:rsidRPr="00446170">
              <w:rPr>
                <w:rFonts w:ascii="Arial Narrow" w:hAnsi="Arial Narrow" w:cs="Arial"/>
                <w:color w:val="000000"/>
                <w:sz w:val="20"/>
                <w:szCs w:val="20"/>
              </w:rPr>
              <w:t>1,5%</w:t>
            </w:r>
          </w:p>
        </w:tc>
        <w:tc>
          <w:tcPr>
            <w:tcW w:w="1340" w:type="dxa"/>
            <w:tcBorders>
              <w:top w:val="nil"/>
              <w:left w:val="nil"/>
              <w:bottom w:val="single" w:sz="4" w:space="0" w:color="auto"/>
              <w:right w:val="single" w:sz="4" w:space="0" w:color="auto"/>
            </w:tcBorders>
            <w:shd w:val="clear" w:color="000000" w:fill="FFFFFF"/>
            <w:vAlign w:val="center"/>
            <w:hideMark/>
          </w:tcPr>
          <w:p w14:paraId="4AD8E668" w14:textId="77777777" w:rsidR="00446170" w:rsidRPr="00446170" w:rsidRDefault="00446170" w:rsidP="00446170">
            <w:pPr>
              <w:jc w:val="right"/>
              <w:rPr>
                <w:rFonts w:ascii="Arial Narrow" w:hAnsi="Arial Narrow" w:cs="Arial"/>
                <w:color w:val="000000"/>
                <w:sz w:val="20"/>
                <w:szCs w:val="20"/>
              </w:rPr>
            </w:pPr>
            <w:r w:rsidRPr="00446170">
              <w:rPr>
                <w:rFonts w:ascii="Arial Narrow" w:hAnsi="Arial Narrow" w:cs="Arial"/>
                <w:color w:val="000000"/>
                <w:sz w:val="20"/>
                <w:szCs w:val="20"/>
              </w:rPr>
              <w:t>2 556</w:t>
            </w:r>
          </w:p>
        </w:tc>
        <w:tc>
          <w:tcPr>
            <w:tcW w:w="1116" w:type="dxa"/>
            <w:tcBorders>
              <w:top w:val="nil"/>
              <w:left w:val="nil"/>
              <w:bottom w:val="single" w:sz="4" w:space="0" w:color="auto"/>
              <w:right w:val="single" w:sz="4" w:space="0" w:color="auto"/>
            </w:tcBorders>
            <w:shd w:val="clear" w:color="000000" w:fill="FFFFFF"/>
            <w:noWrap/>
            <w:vAlign w:val="center"/>
            <w:hideMark/>
          </w:tcPr>
          <w:p w14:paraId="7E0BF7D9" w14:textId="77777777" w:rsidR="00446170" w:rsidRPr="00446170" w:rsidRDefault="00446170" w:rsidP="00446170">
            <w:pPr>
              <w:jc w:val="right"/>
              <w:rPr>
                <w:rFonts w:ascii="Arial Narrow" w:hAnsi="Arial Narrow" w:cs="Arial"/>
                <w:color w:val="000000"/>
                <w:sz w:val="20"/>
                <w:szCs w:val="20"/>
              </w:rPr>
            </w:pPr>
            <w:r w:rsidRPr="00446170">
              <w:rPr>
                <w:rFonts w:ascii="Arial Narrow" w:hAnsi="Arial Narrow" w:cs="Arial"/>
                <w:color w:val="000000"/>
                <w:sz w:val="20"/>
                <w:szCs w:val="20"/>
              </w:rPr>
              <w:t>2,5%</w:t>
            </w:r>
          </w:p>
        </w:tc>
      </w:tr>
      <w:tr w:rsidR="00446170" w:rsidRPr="00446170" w14:paraId="5E97BFA1" w14:textId="77777777" w:rsidTr="00CD44F3">
        <w:trPr>
          <w:trHeight w:val="342"/>
        </w:trPr>
        <w:tc>
          <w:tcPr>
            <w:tcW w:w="2155" w:type="dxa"/>
            <w:tcBorders>
              <w:top w:val="nil"/>
              <w:left w:val="single" w:sz="4" w:space="0" w:color="auto"/>
              <w:bottom w:val="single" w:sz="4" w:space="0" w:color="auto"/>
              <w:right w:val="single" w:sz="4" w:space="0" w:color="auto"/>
            </w:tcBorders>
            <w:shd w:val="clear" w:color="000000" w:fill="FFFFFF"/>
            <w:noWrap/>
            <w:vAlign w:val="center"/>
            <w:hideMark/>
          </w:tcPr>
          <w:p w14:paraId="50F03835" w14:textId="77777777" w:rsidR="00446170" w:rsidRPr="00446170" w:rsidRDefault="00446170" w:rsidP="00446170">
            <w:pPr>
              <w:ind w:firstLineChars="100" w:firstLine="200"/>
              <w:rPr>
                <w:rFonts w:ascii="Arial Narrow" w:hAnsi="Arial Narrow" w:cs="Arial"/>
                <w:color w:val="000000"/>
                <w:sz w:val="20"/>
                <w:szCs w:val="20"/>
              </w:rPr>
            </w:pPr>
            <w:r w:rsidRPr="00446170">
              <w:rPr>
                <w:rFonts w:ascii="Arial Narrow" w:hAnsi="Arial Narrow" w:cs="Arial"/>
                <w:color w:val="000000"/>
                <w:sz w:val="20"/>
                <w:szCs w:val="20"/>
              </w:rPr>
              <w:t>Дания</w:t>
            </w:r>
          </w:p>
        </w:tc>
        <w:tc>
          <w:tcPr>
            <w:tcW w:w="1340" w:type="dxa"/>
            <w:tcBorders>
              <w:top w:val="nil"/>
              <w:left w:val="nil"/>
              <w:bottom w:val="single" w:sz="4" w:space="0" w:color="auto"/>
              <w:right w:val="single" w:sz="4" w:space="0" w:color="auto"/>
            </w:tcBorders>
            <w:shd w:val="clear" w:color="000000" w:fill="FFFFFF"/>
            <w:noWrap/>
            <w:vAlign w:val="center"/>
            <w:hideMark/>
          </w:tcPr>
          <w:p w14:paraId="2AA927F7" w14:textId="77777777" w:rsidR="00446170" w:rsidRPr="00446170" w:rsidRDefault="00446170" w:rsidP="00446170">
            <w:pPr>
              <w:jc w:val="right"/>
              <w:rPr>
                <w:rFonts w:ascii="Arial Narrow" w:hAnsi="Arial Narrow" w:cs="Arial"/>
                <w:color w:val="000000"/>
                <w:sz w:val="20"/>
                <w:szCs w:val="20"/>
              </w:rPr>
            </w:pPr>
            <w:r w:rsidRPr="00446170">
              <w:rPr>
                <w:rFonts w:ascii="Arial Narrow" w:hAnsi="Arial Narrow" w:cs="Arial"/>
                <w:color w:val="000000"/>
                <w:sz w:val="20"/>
                <w:szCs w:val="20"/>
              </w:rPr>
              <w:t>53 625</w:t>
            </w:r>
          </w:p>
        </w:tc>
        <w:tc>
          <w:tcPr>
            <w:tcW w:w="1340" w:type="dxa"/>
            <w:tcBorders>
              <w:top w:val="nil"/>
              <w:left w:val="nil"/>
              <w:bottom w:val="single" w:sz="4" w:space="0" w:color="auto"/>
              <w:right w:val="single" w:sz="4" w:space="0" w:color="auto"/>
            </w:tcBorders>
            <w:shd w:val="clear" w:color="000000" w:fill="FFFFFF"/>
            <w:noWrap/>
            <w:vAlign w:val="center"/>
            <w:hideMark/>
          </w:tcPr>
          <w:p w14:paraId="366EF8FC" w14:textId="77777777" w:rsidR="00446170" w:rsidRPr="00446170" w:rsidRDefault="00446170" w:rsidP="00446170">
            <w:pPr>
              <w:jc w:val="right"/>
              <w:rPr>
                <w:rFonts w:ascii="Arial Narrow" w:hAnsi="Arial Narrow" w:cs="Arial"/>
                <w:sz w:val="20"/>
                <w:szCs w:val="20"/>
              </w:rPr>
            </w:pPr>
            <w:r w:rsidRPr="00446170">
              <w:rPr>
                <w:rFonts w:ascii="Arial Narrow" w:hAnsi="Arial Narrow" w:cs="Arial"/>
                <w:sz w:val="20"/>
                <w:szCs w:val="20"/>
              </w:rPr>
              <w:t>64 904</w:t>
            </w:r>
          </w:p>
        </w:tc>
        <w:tc>
          <w:tcPr>
            <w:tcW w:w="1340" w:type="dxa"/>
            <w:tcBorders>
              <w:top w:val="nil"/>
              <w:left w:val="nil"/>
              <w:bottom w:val="single" w:sz="4" w:space="0" w:color="auto"/>
              <w:right w:val="single" w:sz="4" w:space="0" w:color="auto"/>
            </w:tcBorders>
            <w:shd w:val="clear" w:color="000000" w:fill="FFFFFF"/>
            <w:noWrap/>
            <w:vAlign w:val="center"/>
            <w:hideMark/>
          </w:tcPr>
          <w:p w14:paraId="5A52B59C" w14:textId="77777777" w:rsidR="00446170" w:rsidRPr="00446170" w:rsidRDefault="00446170" w:rsidP="00446170">
            <w:pPr>
              <w:jc w:val="right"/>
              <w:rPr>
                <w:rFonts w:ascii="Arial Narrow" w:hAnsi="Arial Narrow" w:cs="Arial"/>
                <w:sz w:val="20"/>
                <w:szCs w:val="20"/>
              </w:rPr>
            </w:pPr>
            <w:r w:rsidRPr="00446170">
              <w:rPr>
                <w:rFonts w:ascii="Arial Narrow" w:hAnsi="Arial Narrow" w:cs="Arial"/>
                <w:sz w:val="20"/>
                <w:szCs w:val="20"/>
              </w:rPr>
              <w:t>64 426</w:t>
            </w:r>
          </w:p>
        </w:tc>
        <w:tc>
          <w:tcPr>
            <w:tcW w:w="1310" w:type="dxa"/>
            <w:tcBorders>
              <w:top w:val="nil"/>
              <w:left w:val="nil"/>
              <w:bottom w:val="single" w:sz="4" w:space="0" w:color="auto"/>
              <w:right w:val="single" w:sz="4" w:space="0" w:color="auto"/>
            </w:tcBorders>
            <w:shd w:val="clear" w:color="000000" w:fill="FFFFFF"/>
            <w:noWrap/>
            <w:vAlign w:val="center"/>
            <w:hideMark/>
          </w:tcPr>
          <w:p w14:paraId="320E0840" w14:textId="77777777" w:rsidR="00446170" w:rsidRPr="00446170" w:rsidRDefault="00446170" w:rsidP="00446170">
            <w:pPr>
              <w:jc w:val="right"/>
              <w:rPr>
                <w:rFonts w:ascii="Arial Narrow" w:hAnsi="Arial Narrow" w:cs="Arial"/>
                <w:color w:val="000000"/>
                <w:sz w:val="20"/>
                <w:szCs w:val="20"/>
              </w:rPr>
            </w:pPr>
            <w:r w:rsidRPr="00446170">
              <w:rPr>
                <w:rFonts w:ascii="Arial Narrow" w:hAnsi="Arial Narrow" w:cs="Arial"/>
                <w:color w:val="000000"/>
                <w:sz w:val="20"/>
                <w:szCs w:val="20"/>
              </w:rPr>
              <w:t>1,0%</w:t>
            </w:r>
          </w:p>
        </w:tc>
        <w:tc>
          <w:tcPr>
            <w:tcW w:w="1340" w:type="dxa"/>
            <w:tcBorders>
              <w:top w:val="nil"/>
              <w:left w:val="nil"/>
              <w:bottom w:val="single" w:sz="4" w:space="0" w:color="auto"/>
              <w:right w:val="single" w:sz="4" w:space="0" w:color="auto"/>
            </w:tcBorders>
            <w:shd w:val="clear" w:color="000000" w:fill="FFFFFF"/>
            <w:vAlign w:val="center"/>
            <w:hideMark/>
          </w:tcPr>
          <w:p w14:paraId="5F5F4C46" w14:textId="77777777" w:rsidR="00446170" w:rsidRPr="00446170" w:rsidRDefault="00446170" w:rsidP="00446170">
            <w:pPr>
              <w:jc w:val="right"/>
              <w:rPr>
                <w:rFonts w:ascii="Arial Narrow" w:hAnsi="Arial Narrow" w:cs="Arial"/>
                <w:color w:val="000000"/>
                <w:sz w:val="20"/>
                <w:szCs w:val="20"/>
              </w:rPr>
            </w:pPr>
            <w:r w:rsidRPr="00446170">
              <w:rPr>
                <w:rFonts w:ascii="Arial Narrow" w:hAnsi="Arial Narrow" w:cs="Arial"/>
                <w:color w:val="000000"/>
                <w:sz w:val="20"/>
                <w:szCs w:val="20"/>
              </w:rPr>
              <w:t>-478</w:t>
            </w:r>
          </w:p>
        </w:tc>
        <w:tc>
          <w:tcPr>
            <w:tcW w:w="1116" w:type="dxa"/>
            <w:tcBorders>
              <w:top w:val="nil"/>
              <w:left w:val="nil"/>
              <w:bottom w:val="single" w:sz="4" w:space="0" w:color="auto"/>
              <w:right w:val="single" w:sz="4" w:space="0" w:color="auto"/>
            </w:tcBorders>
            <w:shd w:val="clear" w:color="000000" w:fill="FFFFFF"/>
            <w:noWrap/>
            <w:vAlign w:val="center"/>
            <w:hideMark/>
          </w:tcPr>
          <w:p w14:paraId="65FE0F24" w14:textId="77777777" w:rsidR="00446170" w:rsidRPr="00446170" w:rsidRDefault="00446170" w:rsidP="00446170">
            <w:pPr>
              <w:jc w:val="right"/>
              <w:rPr>
                <w:rFonts w:ascii="Arial Narrow" w:hAnsi="Arial Narrow" w:cs="Arial"/>
                <w:color w:val="000000"/>
                <w:sz w:val="20"/>
                <w:szCs w:val="20"/>
              </w:rPr>
            </w:pPr>
            <w:r w:rsidRPr="00446170">
              <w:rPr>
                <w:rFonts w:ascii="Arial Narrow" w:hAnsi="Arial Narrow" w:cs="Arial"/>
                <w:color w:val="000000"/>
                <w:sz w:val="20"/>
                <w:szCs w:val="20"/>
              </w:rPr>
              <w:t>-0,7%</w:t>
            </w:r>
          </w:p>
        </w:tc>
      </w:tr>
      <w:tr w:rsidR="00446170" w:rsidRPr="00446170" w14:paraId="23AB3639" w14:textId="77777777" w:rsidTr="00CD44F3">
        <w:trPr>
          <w:trHeight w:val="342"/>
        </w:trPr>
        <w:tc>
          <w:tcPr>
            <w:tcW w:w="2155" w:type="dxa"/>
            <w:tcBorders>
              <w:top w:val="nil"/>
              <w:left w:val="single" w:sz="4" w:space="0" w:color="auto"/>
              <w:bottom w:val="single" w:sz="4" w:space="0" w:color="auto"/>
              <w:right w:val="single" w:sz="4" w:space="0" w:color="auto"/>
            </w:tcBorders>
            <w:shd w:val="clear" w:color="000000" w:fill="FFFFFF"/>
            <w:noWrap/>
            <w:vAlign w:val="center"/>
            <w:hideMark/>
          </w:tcPr>
          <w:p w14:paraId="7E9F5E5F" w14:textId="77777777" w:rsidR="00446170" w:rsidRPr="00446170" w:rsidRDefault="00446170" w:rsidP="00446170">
            <w:pPr>
              <w:ind w:firstLineChars="100" w:firstLine="200"/>
              <w:rPr>
                <w:rFonts w:ascii="Arial Narrow" w:hAnsi="Arial Narrow" w:cs="Arial"/>
                <w:color w:val="000000"/>
                <w:sz w:val="20"/>
                <w:szCs w:val="20"/>
              </w:rPr>
            </w:pPr>
            <w:r w:rsidRPr="00446170">
              <w:rPr>
                <w:rFonts w:ascii="Arial Narrow" w:hAnsi="Arial Narrow" w:cs="Arial"/>
                <w:color w:val="000000"/>
                <w:sz w:val="20"/>
                <w:szCs w:val="20"/>
              </w:rPr>
              <w:t>Литва</w:t>
            </w:r>
          </w:p>
        </w:tc>
        <w:tc>
          <w:tcPr>
            <w:tcW w:w="1340" w:type="dxa"/>
            <w:tcBorders>
              <w:top w:val="nil"/>
              <w:left w:val="nil"/>
              <w:bottom w:val="single" w:sz="4" w:space="0" w:color="auto"/>
              <w:right w:val="single" w:sz="4" w:space="0" w:color="auto"/>
            </w:tcBorders>
            <w:shd w:val="clear" w:color="000000" w:fill="FFFFFF"/>
            <w:noWrap/>
            <w:vAlign w:val="center"/>
            <w:hideMark/>
          </w:tcPr>
          <w:p w14:paraId="42F46F61" w14:textId="77777777" w:rsidR="00446170" w:rsidRPr="00446170" w:rsidRDefault="00446170" w:rsidP="00446170">
            <w:pPr>
              <w:jc w:val="right"/>
              <w:rPr>
                <w:rFonts w:ascii="Arial Narrow" w:hAnsi="Arial Narrow" w:cs="Arial"/>
                <w:color w:val="000000"/>
                <w:sz w:val="20"/>
                <w:szCs w:val="20"/>
              </w:rPr>
            </w:pPr>
            <w:r w:rsidRPr="00446170">
              <w:rPr>
                <w:rFonts w:ascii="Arial Narrow" w:hAnsi="Arial Narrow" w:cs="Arial"/>
                <w:color w:val="000000"/>
                <w:sz w:val="20"/>
                <w:szCs w:val="20"/>
              </w:rPr>
              <w:t>40 822</w:t>
            </w:r>
          </w:p>
        </w:tc>
        <w:tc>
          <w:tcPr>
            <w:tcW w:w="1340" w:type="dxa"/>
            <w:tcBorders>
              <w:top w:val="nil"/>
              <w:left w:val="nil"/>
              <w:bottom w:val="single" w:sz="4" w:space="0" w:color="auto"/>
              <w:right w:val="single" w:sz="4" w:space="0" w:color="auto"/>
            </w:tcBorders>
            <w:shd w:val="clear" w:color="000000" w:fill="FFFFFF"/>
            <w:noWrap/>
            <w:vAlign w:val="center"/>
            <w:hideMark/>
          </w:tcPr>
          <w:p w14:paraId="3661A24C" w14:textId="77777777" w:rsidR="00446170" w:rsidRPr="00446170" w:rsidRDefault="00446170" w:rsidP="00446170">
            <w:pPr>
              <w:jc w:val="right"/>
              <w:rPr>
                <w:rFonts w:ascii="Arial Narrow" w:hAnsi="Arial Narrow" w:cs="Arial"/>
                <w:sz w:val="20"/>
                <w:szCs w:val="20"/>
              </w:rPr>
            </w:pPr>
            <w:r w:rsidRPr="00446170">
              <w:rPr>
                <w:rFonts w:ascii="Arial Narrow" w:hAnsi="Arial Narrow" w:cs="Arial"/>
                <w:sz w:val="20"/>
                <w:szCs w:val="20"/>
              </w:rPr>
              <w:t>48 355</w:t>
            </w:r>
          </w:p>
        </w:tc>
        <w:tc>
          <w:tcPr>
            <w:tcW w:w="1340" w:type="dxa"/>
            <w:tcBorders>
              <w:top w:val="nil"/>
              <w:left w:val="nil"/>
              <w:bottom w:val="single" w:sz="4" w:space="0" w:color="auto"/>
              <w:right w:val="single" w:sz="4" w:space="0" w:color="auto"/>
            </w:tcBorders>
            <w:shd w:val="clear" w:color="000000" w:fill="FFFFFF"/>
            <w:noWrap/>
            <w:vAlign w:val="center"/>
            <w:hideMark/>
          </w:tcPr>
          <w:p w14:paraId="5A9C1114" w14:textId="77777777" w:rsidR="00446170" w:rsidRPr="00446170" w:rsidRDefault="00446170" w:rsidP="00446170">
            <w:pPr>
              <w:jc w:val="right"/>
              <w:rPr>
                <w:rFonts w:ascii="Arial Narrow" w:hAnsi="Arial Narrow" w:cs="Arial"/>
                <w:sz w:val="20"/>
                <w:szCs w:val="20"/>
              </w:rPr>
            </w:pPr>
            <w:r w:rsidRPr="00446170">
              <w:rPr>
                <w:rFonts w:ascii="Arial Narrow" w:hAnsi="Arial Narrow" w:cs="Arial"/>
                <w:sz w:val="20"/>
                <w:szCs w:val="20"/>
              </w:rPr>
              <w:t>50 029</w:t>
            </w:r>
          </w:p>
        </w:tc>
        <w:tc>
          <w:tcPr>
            <w:tcW w:w="1310" w:type="dxa"/>
            <w:tcBorders>
              <w:top w:val="nil"/>
              <w:left w:val="nil"/>
              <w:bottom w:val="single" w:sz="4" w:space="0" w:color="auto"/>
              <w:right w:val="single" w:sz="4" w:space="0" w:color="auto"/>
            </w:tcBorders>
            <w:shd w:val="clear" w:color="000000" w:fill="FFFFFF"/>
            <w:noWrap/>
            <w:vAlign w:val="center"/>
            <w:hideMark/>
          </w:tcPr>
          <w:p w14:paraId="30481371" w14:textId="77777777" w:rsidR="00446170" w:rsidRPr="00446170" w:rsidRDefault="00446170" w:rsidP="00446170">
            <w:pPr>
              <w:jc w:val="right"/>
              <w:rPr>
                <w:rFonts w:ascii="Arial Narrow" w:hAnsi="Arial Narrow" w:cs="Arial"/>
                <w:color w:val="000000"/>
                <w:sz w:val="20"/>
                <w:szCs w:val="20"/>
              </w:rPr>
            </w:pPr>
            <w:r w:rsidRPr="00446170">
              <w:rPr>
                <w:rFonts w:ascii="Arial Narrow" w:hAnsi="Arial Narrow" w:cs="Arial"/>
                <w:color w:val="000000"/>
                <w:sz w:val="20"/>
                <w:szCs w:val="20"/>
              </w:rPr>
              <w:t>0,7%</w:t>
            </w:r>
          </w:p>
        </w:tc>
        <w:tc>
          <w:tcPr>
            <w:tcW w:w="1340" w:type="dxa"/>
            <w:tcBorders>
              <w:top w:val="nil"/>
              <w:left w:val="nil"/>
              <w:bottom w:val="single" w:sz="4" w:space="0" w:color="auto"/>
              <w:right w:val="single" w:sz="4" w:space="0" w:color="auto"/>
            </w:tcBorders>
            <w:shd w:val="clear" w:color="000000" w:fill="FFFFFF"/>
            <w:vAlign w:val="center"/>
            <w:hideMark/>
          </w:tcPr>
          <w:p w14:paraId="581EB476" w14:textId="77777777" w:rsidR="00446170" w:rsidRPr="00446170" w:rsidRDefault="00446170" w:rsidP="00446170">
            <w:pPr>
              <w:jc w:val="right"/>
              <w:rPr>
                <w:rFonts w:ascii="Arial Narrow" w:hAnsi="Arial Narrow" w:cs="Arial"/>
                <w:color w:val="000000"/>
                <w:sz w:val="20"/>
                <w:szCs w:val="20"/>
              </w:rPr>
            </w:pPr>
            <w:r w:rsidRPr="00446170">
              <w:rPr>
                <w:rFonts w:ascii="Arial Narrow" w:hAnsi="Arial Narrow" w:cs="Arial"/>
                <w:color w:val="000000"/>
                <w:sz w:val="20"/>
                <w:szCs w:val="20"/>
              </w:rPr>
              <w:t>1 674</w:t>
            </w:r>
          </w:p>
        </w:tc>
        <w:tc>
          <w:tcPr>
            <w:tcW w:w="1116" w:type="dxa"/>
            <w:tcBorders>
              <w:top w:val="nil"/>
              <w:left w:val="nil"/>
              <w:bottom w:val="single" w:sz="4" w:space="0" w:color="auto"/>
              <w:right w:val="single" w:sz="4" w:space="0" w:color="auto"/>
            </w:tcBorders>
            <w:shd w:val="clear" w:color="000000" w:fill="FFFFFF"/>
            <w:noWrap/>
            <w:vAlign w:val="center"/>
            <w:hideMark/>
          </w:tcPr>
          <w:p w14:paraId="2CFDE79D" w14:textId="77777777" w:rsidR="00446170" w:rsidRPr="00446170" w:rsidRDefault="00446170" w:rsidP="00446170">
            <w:pPr>
              <w:jc w:val="right"/>
              <w:rPr>
                <w:rFonts w:ascii="Arial Narrow" w:hAnsi="Arial Narrow" w:cs="Arial"/>
                <w:color w:val="000000"/>
                <w:sz w:val="20"/>
                <w:szCs w:val="20"/>
              </w:rPr>
            </w:pPr>
            <w:r w:rsidRPr="00446170">
              <w:rPr>
                <w:rFonts w:ascii="Arial Narrow" w:hAnsi="Arial Narrow" w:cs="Arial"/>
                <w:color w:val="000000"/>
                <w:sz w:val="20"/>
                <w:szCs w:val="20"/>
              </w:rPr>
              <w:t>3,5%</w:t>
            </w:r>
          </w:p>
        </w:tc>
      </w:tr>
      <w:tr w:rsidR="00446170" w:rsidRPr="00446170" w14:paraId="64CB10BA" w14:textId="77777777" w:rsidTr="00CD44F3">
        <w:trPr>
          <w:trHeight w:val="342"/>
        </w:trPr>
        <w:tc>
          <w:tcPr>
            <w:tcW w:w="2155" w:type="dxa"/>
            <w:tcBorders>
              <w:top w:val="nil"/>
              <w:left w:val="single" w:sz="4" w:space="0" w:color="auto"/>
              <w:bottom w:val="single" w:sz="4" w:space="0" w:color="auto"/>
              <w:right w:val="single" w:sz="4" w:space="0" w:color="auto"/>
            </w:tcBorders>
            <w:shd w:val="clear" w:color="000000" w:fill="FFFFFF"/>
            <w:noWrap/>
            <w:vAlign w:val="center"/>
            <w:hideMark/>
          </w:tcPr>
          <w:p w14:paraId="7A4BE76B" w14:textId="77777777" w:rsidR="00446170" w:rsidRPr="00446170" w:rsidRDefault="00446170" w:rsidP="00446170">
            <w:pPr>
              <w:ind w:firstLineChars="100" w:firstLine="200"/>
              <w:rPr>
                <w:rFonts w:ascii="Arial Narrow" w:hAnsi="Arial Narrow" w:cs="Arial"/>
                <w:color w:val="000000"/>
                <w:sz w:val="20"/>
                <w:szCs w:val="20"/>
              </w:rPr>
            </w:pPr>
            <w:r w:rsidRPr="00446170">
              <w:rPr>
                <w:rFonts w:ascii="Arial Narrow" w:hAnsi="Arial Narrow" w:cs="Arial"/>
                <w:color w:val="000000"/>
                <w:sz w:val="20"/>
                <w:szCs w:val="20"/>
              </w:rPr>
              <w:t>Словакия</w:t>
            </w:r>
          </w:p>
        </w:tc>
        <w:tc>
          <w:tcPr>
            <w:tcW w:w="1340" w:type="dxa"/>
            <w:tcBorders>
              <w:top w:val="nil"/>
              <w:left w:val="nil"/>
              <w:bottom w:val="single" w:sz="4" w:space="0" w:color="auto"/>
              <w:right w:val="single" w:sz="4" w:space="0" w:color="auto"/>
            </w:tcBorders>
            <w:shd w:val="clear" w:color="000000" w:fill="FFFFFF"/>
            <w:noWrap/>
            <w:vAlign w:val="center"/>
            <w:hideMark/>
          </w:tcPr>
          <w:p w14:paraId="4CF9F559" w14:textId="77777777" w:rsidR="00446170" w:rsidRPr="00446170" w:rsidRDefault="00446170" w:rsidP="00446170">
            <w:pPr>
              <w:jc w:val="right"/>
              <w:rPr>
                <w:rFonts w:ascii="Arial Narrow" w:hAnsi="Arial Narrow" w:cs="Arial"/>
                <w:color w:val="000000"/>
                <w:sz w:val="20"/>
                <w:szCs w:val="20"/>
              </w:rPr>
            </w:pPr>
            <w:r w:rsidRPr="00446170">
              <w:rPr>
                <w:rFonts w:ascii="Arial Narrow" w:hAnsi="Arial Narrow" w:cs="Arial"/>
                <w:color w:val="000000"/>
                <w:sz w:val="20"/>
                <w:szCs w:val="20"/>
              </w:rPr>
              <w:t>29 015</w:t>
            </w:r>
          </w:p>
        </w:tc>
        <w:tc>
          <w:tcPr>
            <w:tcW w:w="1340" w:type="dxa"/>
            <w:tcBorders>
              <w:top w:val="nil"/>
              <w:left w:val="nil"/>
              <w:bottom w:val="single" w:sz="4" w:space="0" w:color="auto"/>
              <w:right w:val="single" w:sz="4" w:space="0" w:color="auto"/>
            </w:tcBorders>
            <w:shd w:val="clear" w:color="000000" w:fill="FFFFFF"/>
            <w:noWrap/>
            <w:vAlign w:val="center"/>
            <w:hideMark/>
          </w:tcPr>
          <w:p w14:paraId="2C462C61" w14:textId="77777777" w:rsidR="00446170" w:rsidRPr="00446170" w:rsidRDefault="00446170" w:rsidP="00446170">
            <w:pPr>
              <w:jc w:val="right"/>
              <w:rPr>
                <w:rFonts w:ascii="Arial Narrow" w:hAnsi="Arial Narrow" w:cs="Arial"/>
                <w:sz w:val="20"/>
                <w:szCs w:val="20"/>
              </w:rPr>
            </w:pPr>
            <w:r w:rsidRPr="00446170">
              <w:rPr>
                <w:rFonts w:ascii="Arial Narrow" w:hAnsi="Arial Narrow" w:cs="Arial"/>
                <w:sz w:val="20"/>
                <w:szCs w:val="20"/>
              </w:rPr>
              <w:t>46 134</w:t>
            </w:r>
          </w:p>
        </w:tc>
        <w:tc>
          <w:tcPr>
            <w:tcW w:w="1340" w:type="dxa"/>
            <w:tcBorders>
              <w:top w:val="nil"/>
              <w:left w:val="nil"/>
              <w:bottom w:val="single" w:sz="4" w:space="0" w:color="auto"/>
              <w:right w:val="single" w:sz="4" w:space="0" w:color="auto"/>
            </w:tcBorders>
            <w:shd w:val="clear" w:color="000000" w:fill="FFFFFF"/>
            <w:noWrap/>
            <w:vAlign w:val="center"/>
            <w:hideMark/>
          </w:tcPr>
          <w:p w14:paraId="1B213EF0" w14:textId="77777777" w:rsidR="00446170" w:rsidRPr="00446170" w:rsidRDefault="00446170" w:rsidP="00446170">
            <w:pPr>
              <w:jc w:val="right"/>
              <w:rPr>
                <w:rFonts w:ascii="Arial Narrow" w:hAnsi="Arial Narrow" w:cs="Arial"/>
                <w:sz w:val="20"/>
                <w:szCs w:val="20"/>
              </w:rPr>
            </w:pPr>
            <w:r w:rsidRPr="00446170">
              <w:rPr>
                <w:rFonts w:ascii="Arial Narrow" w:hAnsi="Arial Narrow" w:cs="Arial"/>
                <w:sz w:val="20"/>
                <w:szCs w:val="20"/>
              </w:rPr>
              <w:t>49 824</w:t>
            </w:r>
          </w:p>
        </w:tc>
        <w:tc>
          <w:tcPr>
            <w:tcW w:w="1310" w:type="dxa"/>
            <w:tcBorders>
              <w:top w:val="nil"/>
              <w:left w:val="nil"/>
              <w:bottom w:val="single" w:sz="4" w:space="0" w:color="auto"/>
              <w:right w:val="single" w:sz="4" w:space="0" w:color="auto"/>
            </w:tcBorders>
            <w:shd w:val="clear" w:color="000000" w:fill="FFFFFF"/>
            <w:noWrap/>
            <w:vAlign w:val="center"/>
            <w:hideMark/>
          </w:tcPr>
          <w:p w14:paraId="65782B6B" w14:textId="77777777" w:rsidR="00446170" w:rsidRPr="00446170" w:rsidRDefault="00446170" w:rsidP="00446170">
            <w:pPr>
              <w:jc w:val="right"/>
              <w:rPr>
                <w:rFonts w:ascii="Arial Narrow" w:hAnsi="Arial Narrow" w:cs="Arial"/>
                <w:color w:val="000000"/>
                <w:sz w:val="20"/>
                <w:szCs w:val="20"/>
              </w:rPr>
            </w:pPr>
            <w:r w:rsidRPr="00446170">
              <w:rPr>
                <w:rFonts w:ascii="Arial Narrow" w:hAnsi="Arial Narrow" w:cs="Arial"/>
                <w:color w:val="000000"/>
                <w:sz w:val="20"/>
                <w:szCs w:val="20"/>
              </w:rPr>
              <w:t>0,7%</w:t>
            </w:r>
          </w:p>
        </w:tc>
        <w:tc>
          <w:tcPr>
            <w:tcW w:w="1340" w:type="dxa"/>
            <w:tcBorders>
              <w:top w:val="nil"/>
              <w:left w:val="nil"/>
              <w:bottom w:val="single" w:sz="4" w:space="0" w:color="auto"/>
              <w:right w:val="single" w:sz="4" w:space="0" w:color="auto"/>
            </w:tcBorders>
            <w:shd w:val="clear" w:color="000000" w:fill="FFFFFF"/>
            <w:vAlign w:val="center"/>
            <w:hideMark/>
          </w:tcPr>
          <w:p w14:paraId="4E26847B" w14:textId="77777777" w:rsidR="00446170" w:rsidRPr="00446170" w:rsidRDefault="00446170" w:rsidP="00446170">
            <w:pPr>
              <w:jc w:val="right"/>
              <w:rPr>
                <w:rFonts w:ascii="Arial Narrow" w:hAnsi="Arial Narrow" w:cs="Arial"/>
                <w:color w:val="000000"/>
                <w:sz w:val="20"/>
                <w:szCs w:val="20"/>
              </w:rPr>
            </w:pPr>
            <w:r w:rsidRPr="00446170">
              <w:rPr>
                <w:rFonts w:ascii="Arial Narrow" w:hAnsi="Arial Narrow" w:cs="Arial"/>
                <w:color w:val="000000"/>
                <w:sz w:val="20"/>
                <w:szCs w:val="20"/>
              </w:rPr>
              <w:t>3 690</w:t>
            </w:r>
          </w:p>
        </w:tc>
        <w:tc>
          <w:tcPr>
            <w:tcW w:w="1116" w:type="dxa"/>
            <w:tcBorders>
              <w:top w:val="nil"/>
              <w:left w:val="nil"/>
              <w:bottom w:val="single" w:sz="4" w:space="0" w:color="auto"/>
              <w:right w:val="single" w:sz="4" w:space="0" w:color="auto"/>
            </w:tcBorders>
            <w:shd w:val="clear" w:color="000000" w:fill="FFFFFF"/>
            <w:noWrap/>
            <w:vAlign w:val="center"/>
            <w:hideMark/>
          </w:tcPr>
          <w:p w14:paraId="36B55001" w14:textId="77777777" w:rsidR="00446170" w:rsidRPr="00446170" w:rsidRDefault="00446170" w:rsidP="00446170">
            <w:pPr>
              <w:jc w:val="right"/>
              <w:rPr>
                <w:rFonts w:ascii="Arial Narrow" w:hAnsi="Arial Narrow" w:cs="Arial"/>
                <w:color w:val="000000"/>
                <w:sz w:val="20"/>
                <w:szCs w:val="20"/>
              </w:rPr>
            </w:pPr>
            <w:r w:rsidRPr="00446170">
              <w:rPr>
                <w:rFonts w:ascii="Arial Narrow" w:hAnsi="Arial Narrow" w:cs="Arial"/>
                <w:color w:val="000000"/>
                <w:sz w:val="20"/>
                <w:szCs w:val="20"/>
              </w:rPr>
              <w:t>8,0%</w:t>
            </w:r>
          </w:p>
        </w:tc>
      </w:tr>
      <w:tr w:rsidR="00446170" w:rsidRPr="00446170" w14:paraId="34912BD5" w14:textId="77777777" w:rsidTr="00CD44F3">
        <w:trPr>
          <w:trHeight w:val="342"/>
        </w:trPr>
        <w:tc>
          <w:tcPr>
            <w:tcW w:w="2155" w:type="dxa"/>
            <w:tcBorders>
              <w:top w:val="nil"/>
              <w:left w:val="single" w:sz="4" w:space="0" w:color="auto"/>
              <w:bottom w:val="single" w:sz="4" w:space="0" w:color="auto"/>
              <w:right w:val="single" w:sz="4" w:space="0" w:color="auto"/>
            </w:tcBorders>
            <w:shd w:val="clear" w:color="000000" w:fill="FFFFFF"/>
            <w:noWrap/>
            <w:vAlign w:val="center"/>
            <w:hideMark/>
          </w:tcPr>
          <w:p w14:paraId="5D4D8BA8" w14:textId="77777777" w:rsidR="00446170" w:rsidRPr="00446170" w:rsidRDefault="00446170" w:rsidP="00446170">
            <w:pPr>
              <w:ind w:firstLineChars="100" w:firstLine="200"/>
              <w:rPr>
                <w:rFonts w:ascii="Arial Narrow" w:hAnsi="Arial Narrow" w:cs="Arial"/>
                <w:sz w:val="20"/>
                <w:szCs w:val="20"/>
              </w:rPr>
            </w:pPr>
            <w:r w:rsidRPr="00446170">
              <w:rPr>
                <w:rFonts w:ascii="Arial Narrow" w:hAnsi="Arial Narrow" w:cs="Arial"/>
                <w:sz w:val="20"/>
                <w:szCs w:val="20"/>
              </w:rPr>
              <w:t>Ирландия</w:t>
            </w:r>
          </w:p>
        </w:tc>
        <w:tc>
          <w:tcPr>
            <w:tcW w:w="1340" w:type="dxa"/>
            <w:tcBorders>
              <w:top w:val="nil"/>
              <w:left w:val="nil"/>
              <w:bottom w:val="single" w:sz="4" w:space="0" w:color="auto"/>
              <w:right w:val="single" w:sz="4" w:space="0" w:color="auto"/>
            </w:tcBorders>
            <w:shd w:val="clear" w:color="000000" w:fill="FFFFFF"/>
            <w:noWrap/>
            <w:vAlign w:val="center"/>
            <w:hideMark/>
          </w:tcPr>
          <w:p w14:paraId="02F38EF1" w14:textId="77777777" w:rsidR="00446170" w:rsidRPr="00446170" w:rsidRDefault="00446170" w:rsidP="00446170">
            <w:pPr>
              <w:jc w:val="right"/>
              <w:rPr>
                <w:rFonts w:ascii="Arial Narrow" w:hAnsi="Arial Narrow" w:cs="Arial"/>
                <w:sz w:val="20"/>
                <w:szCs w:val="20"/>
              </w:rPr>
            </w:pPr>
            <w:r w:rsidRPr="00446170">
              <w:rPr>
                <w:rFonts w:ascii="Arial Narrow" w:hAnsi="Arial Narrow" w:cs="Arial"/>
                <w:sz w:val="20"/>
                <w:szCs w:val="20"/>
              </w:rPr>
              <w:t>39 501</w:t>
            </w:r>
          </w:p>
        </w:tc>
        <w:tc>
          <w:tcPr>
            <w:tcW w:w="1340" w:type="dxa"/>
            <w:tcBorders>
              <w:top w:val="nil"/>
              <w:left w:val="nil"/>
              <w:bottom w:val="single" w:sz="4" w:space="0" w:color="auto"/>
              <w:right w:val="single" w:sz="4" w:space="0" w:color="auto"/>
            </w:tcBorders>
            <w:shd w:val="clear" w:color="000000" w:fill="FFFFFF"/>
            <w:noWrap/>
            <w:vAlign w:val="center"/>
            <w:hideMark/>
          </w:tcPr>
          <w:p w14:paraId="54BF5E09" w14:textId="77777777" w:rsidR="00446170" w:rsidRPr="00446170" w:rsidRDefault="00446170" w:rsidP="00446170">
            <w:pPr>
              <w:jc w:val="right"/>
              <w:rPr>
                <w:rFonts w:ascii="Arial Narrow" w:hAnsi="Arial Narrow" w:cs="Arial"/>
                <w:sz w:val="20"/>
                <w:szCs w:val="20"/>
              </w:rPr>
            </w:pPr>
            <w:r w:rsidRPr="00446170">
              <w:rPr>
                <w:rFonts w:ascii="Arial Narrow" w:hAnsi="Arial Narrow" w:cs="Arial"/>
                <w:sz w:val="20"/>
                <w:szCs w:val="20"/>
              </w:rPr>
              <w:t>46 864</w:t>
            </w:r>
          </w:p>
        </w:tc>
        <w:tc>
          <w:tcPr>
            <w:tcW w:w="1340" w:type="dxa"/>
            <w:tcBorders>
              <w:top w:val="nil"/>
              <w:left w:val="nil"/>
              <w:bottom w:val="single" w:sz="4" w:space="0" w:color="auto"/>
              <w:right w:val="single" w:sz="4" w:space="0" w:color="auto"/>
            </w:tcBorders>
            <w:shd w:val="clear" w:color="000000" w:fill="FFFFFF"/>
            <w:noWrap/>
            <w:vAlign w:val="center"/>
            <w:hideMark/>
          </w:tcPr>
          <w:p w14:paraId="4C8758BC" w14:textId="77777777" w:rsidR="00446170" w:rsidRPr="00446170" w:rsidRDefault="00446170" w:rsidP="00446170">
            <w:pPr>
              <w:jc w:val="right"/>
              <w:rPr>
                <w:rFonts w:ascii="Arial Narrow" w:hAnsi="Arial Narrow" w:cs="Arial"/>
                <w:sz w:val="20"/>
                <w:szCs w:val="20"/>
              </w:rPr>
            </w:pPr>
            <w:r w:rsidRPr="00446170">
              <w:rPr>
                <w:rFonts w:ascii="Arial Narrow" w:hAnsi="Arial Narrow" w:cs="Arial"/>
                <w:sz w:val="20"/>
                <w:szCs w:val="20"/>
              </w:rPr>
              <w:t>43 483</w:t>
            </w:r>
          </w:p>
        </w:tc>
        <w:tc>
          <w:tcPr>
            <w:tcW w:w="1310" w:type="dxa"/>
            <w:tcBorders>
              <w:top w:val="nil"/>
              <w:left w:val="nil"/>
              <w:bottom w:val="single" w:sz="4" w:space="0" w:color="auto"/>
              <w:right w:val="single" w:sz="4" w:space="0" w:color="auto"/>
            </w:tcBorders>
            <w:shd w:val="clear" w:color="000000" w:fill="FFFFFF"/>
            <w:noWrap/>
            <w:vAlign w:val="center"/>
            <w:hideMark/>
          </w:tcPr>
          <w:p w14:paraId="7F64107D" w14:textId="77777777" w:rsidR="00446170" w:rsidRPr="00446170" w:rsidRDefault="00446170" w:rsidP="00446170">
            <w:pPr>
              <w:jc w:val="right"/>
              <w:rPr>
                <w:rFonts w:ascii="Arial Narrow" w:hAnsi="Arial Narrow" w:cs="Arial"/>
                <w:sz w:val="20"/>
                <w:szCs w:val="20"/>
              </w:rPr>
            </w:pPr>
            <w:r w:rsidRPr="00446170">
              <w:rPr>
                <w:rFonts w:ascii="Arial Narrow" w:hAnsi="Arial Narrow" w:cs="Arial"/>
                <w:sz w:val="20"/>
                <w:szCs w:val="20"/>
              </w:rPr>
              <w:t>0,6%</w:t>
            </w:r>
          </w:p>
        </w:tc>
        <w:tc>
          <w:tcPr>
            <w:tcW w:w="1340" w:type="dxa"/>
            <w:tcBorders>
              <w:top w:val="nil"/>
              <w:left w:val="nil"/>
              <w:bottom w:val="single" w:sz="4" w:space="0" w:color="auto"/>
              <w:right w:val="single" w:sz="4" w:space="0" w:color="auto"/>
            </w:tcBorders>
            <w:shd w:val="clear" w:color="000000" w:fill="FFFFFF"/>
            <w:vAlign w:val="center"/>
            <w:hideMark/>
          </w:tcPr>
          <w:p w14:paraId="3CD996B4" w14:textId="77777777" w:rsidR="00446170" w:rsidRPr="00446170" w:rsidRDefault="00446170" w:rsidP="00446170">
            <w:pPr>
              <w:jc w:val="right"/>
              <w:rPr>
                <w:rFonts w:ascii="Arial Narrow" w:hAnsi="Arial Narrow" w:cs="Arial"/>
                <w:sz w:val="20"/>
                <w:szCs w:val="20"/>
              </w:rPr>
            </w:pPr>
            <w:r w:rsidRPr="00446170">
              <w:rPr>
                <w:rFonts w:ascii="Arial Narrow" w:hAnsi="Arial Narrow" w:cs="Arial"/>
                <w:sz w:val="20"/>
                <w:szCs w:val="20"/>
              </w:rPr>
              <w:t>-3 381</w:t>
            </w:r>
          </w:p>
        </w:tc>
        <w:tc>
          <w:tcPr>
            <w:tcW w:w="1116" w:type="dxa"/>
            <w:tcBorders>
              <w:top w:val="nil"/>
              <w:left w:val="nil"/>
              <w:bottom w:val="single" w:sz="4" w:space="0" w:color="auto"/>
              <w:right w:val="single" w:sz="4" w:space="0" w:color="auto"/>
            </w:tcBorders>
            <w:shd w:val="clear" w:color="000000" w:fill="FFFFFF"/>
            <w:noWrap/>
            <w:vAlign w:val="center"/>
            <w:hideMark/>
          </w:tcPr>
          <w:p w14:paraId="027744A5" w14:textId="77777777" w:rsidR="00446170" w:rsidRPr="00446170" w:rsidRDefault="00446170" w:rsidP="00446170">
            <w:pPr>
              <w:jc w:val="right"/>
              <w:rPr>
                <w:rFonts w:ascii="Arial Narrow" w:hAnsi="Arial Narrow" w:cs="Arial"/>
                <w:sz w:val="20"/>
                <w:szCs w:val="20"/>
              </w:rPr>
            </w:pPr>
            <w:r w:rsidRPr="00446170">
              <w:rPr>
                <w:rFonts w:ascii="Arial Narrow" w:hAnsi="Arial Narrow" w:cs="Arial"/>
                <w:sz w:val="20"/>
                <w:szCs w:val="20"/>
              </w:rPr>
              <w:t>-7,2%</w:t>
            </w:r>
          </w:p>
        </w:tc>
      </w:tr>
      <w:tr w:rsidR="00446170" w:rsidRPr="00446170" w14:paraId="59094608" w14:textId="77777777" w:rsidTr="00CD44F3">
        <w:trPr>
          <w:trHeight w:val="342"/>
        </w:trPr>
        <w:tc>
          <w:tcPr>
            <w:tcW w:w="2155" w:type="dxa"/>
            <w:tcBorders>
              <w:top w:val="nil"/>
              <w:left w:val="single" w:sz="4" w:space="0" w:color="auto"/>
              <w:bottom w:val="single" w:sz="4" w:space="0" w:color="auto"/>
              <w:right w:val="single" w:sz="4" w:space="0" w:color="auto"/>
            </w:tcBorders>
            <w:shd w:val="clear" w:color="000000" w:fill="FFFFFF"/>
            <w:noWrap/>
            <w:vAlign w:val="center"/>
            <w:hideMark/>
          </w:tcPr>
          <w:p w14:paraId="404B6592" w14:textId="77777777" w:rsidR="00446170" w:rsidRPr="00446170" w:rsidRDefault="00446170" w:rsidP="00446170">
            <w:pPr>
              <w:ind w:firstLineChars="100" w:firstLine="200"/>
              <w:rPr>
                <w:rFonts w:ascii="Arial Narrow" w:hAnsi="Arial Narrow" w:cs="Arial"/>
                <w:color w:val="000000"/>
                <w:sz w:val="20"/>
                <w:szCs w:val="20"/>
              </w:rPr>
            </w:pPr>
            <w:r w:rsidRPr="00446170">
              <w:rPr>
                <w:rFonts w:ascii="Arial Narrow" w:hAnsi="Arial Narrow" w:cs="Arial"/>
                <w:color w:val="000000"/>
                <w:sz w:val="20"/>
                <w:szCs w:val="20"/>
              </w:rPr>
              <w:t>Други</w:t>
            </w:r>
          </w:p>
        </w:tc>
        <w:tc>
          <w:tcPr>
            <w:tcW w:w="1340" w:type="dxa"/>
            <w:tcBorders>
              <w:top w:val="nil"/>
              <w:left w:val="nil"/>
              <w:bottom w:val="single" w:sz="4" w:space="0" w:color="auto"/>
              <w:right w:val="single" w:sz="4" w:space="0" w:color="auto"/>
            </w:tcBorders>
            <w:shd w:val="clear" w:color="000000" w:fill="FFFFFF"/>
            <w:noWrap/>
            <w:vAlign w:val="center"/>
            <w:hideMark/>
          </w:tcPr>
          <w:p w14:paraId="27845EB1" w14:textId="77777777" w:rsidR="00446170" w:rsidRPr="00446170" w:rsidRDefault="00446170" w:rsidP="00446170">
            <w:pPr>
              <w:jc w:val="right"/>
              <w:rPr>
                <w:rFonts w:ascii="Arial Narrow" w:hAnsi="Arial Narrow" w:cs="Arial"/>
                <w:color w:val="000000"/>
                <w:sz w:val="20"/>
                <w:szCs w:val="20"/>
              </w:rPr>
            </w:pPr>
            <w:r w:rsidRPr="00446170">
              <w:rPr>
                <w:rFonts w:ascii="Arial Narrow" w:hAnsi="Arial Narrow" w:cs="Arial"/>
                <w:color w:val="000000"/>
                <w:sz w:val="20"/>
                <w:szCs w:val="20"/>
              </w:rPr>
              <w:t>116 669</w:t>
            </w:r>
          </w:p>
        </w:tc>
        <w:tc>
          <w:tcPr>
            <w:tcW w:w="1340" w:type="dxa"/>
            <w:tcBorders>
              <w:top w:val="nil"/>
              <w:left w:val="nil"/>
              <w:bottom w:val="single" w:sz="4" w:space="0" w:color="auto"/>
              <w:right w:val="single" w:sz="4" w:space="0" w:color="auto"/>
            </w:tcBorders>
            <w:shd w:val="clear" w:color="000000" w:fill="FFFFFF"/>
            <w:noWrap/>
            <w:vAlign w:val="center"/>
            <w:hideMark/>
          </w:tcPr>
          <w:p w14:paraId="1C317F2D" w14:textId="77777777" w:rsidR="00446170" w:rsidRPr="00446170" w:rsidRDefault="00446170" w:rsidP="00446170">
            <w:pPr>
              <w:jc w:val="right"/>
              <w:rPr>
                <w:rFonts w:ascii="Arial Narrow" w:hAnsi="Arial Narrow" w:cs="Arial"/>
                <w:color w:val="000000"/>
                <w:sz w:val="20"/>
                <w:szCs w:val="20"/>
              </w:rPr>
            </w:pPr>
            <w:r w:rsidRPr="00446170">
              <w:rPr>
                <w:rFonts w:ascii="Arial Narrow" w:hAnsi="Arial Narrow" w:cs="Arial"/>
                <w:color w:val="000000"/>
                <w:sz w:val="20"/>
                <w:szCs w:val="20"/>
              </w:rPr>
              <w:t>111 477</w:t>
            </w:r>
          </w:p>
        </w:tc>
        <w:tc>
          <w:tcPr>
            <w:tcW w:w="1340" w:type="dxa"/>
            <w:tcBorders>
              <w:top w:val="nil"/>
              <w:left w:val="nil"/>
              <w:bottom w:val="single" w:sz="4" w:space="0" w:color="auto"/>
              <w:right w:val="single" w:sz="4" w:space="0" w:color="auto"/>
            </w:tcBorders>
            <w:shd w:val="clear" w:color="000000" w:fill="FFFFFF"/>
            <w:noWrap/>
            <w:vAlign w:val="center"/>
            <w:hideMark/>
          </w:tcPr>
          <w:p w14:paraId="31E890C7" w14:textId="77777777" w:rsidR="00446170" w:rsidRPr="00446170" w:rsidRDefault="00446170" w:rsidP="00446170">
            <w:pPr>
              <w:jc w:val="right"/>
              <w:rPr>
                <w:rFonts w:ascii="Arial Narrow" w:hAnsi="Arial Narrow" w:cs="Arial"/>
                <w:color w:val="000000"/>
                <w:sz w:val="20"/>
                <w:szCs w:val="20"/>
              </w:rPr>
            </w:pPr>
            <w:r w:rsidRPr="00446170">
              <w:rPr>
                <w:rFonts w:ascii="Arial Narrow" w:hAnsi="Arial Narrow" w:cs="Arial"/>
                <w:color w:val="000000"/>
                <w:sz w:val="20"/>
                <w:szCs w:val="20"/>
              </w:rPr>
              <w:t>133 137</w:t>
            </w:r>
          </w:p>
        </w:tc>
        <w:tc>
          <w:tcPr>
            <w:tcW w:w="1310" w:type="dxa"/>
            <w:tcBorders>
              <w:top w:val="nil"/>
              <w:left w:val="nil"/>
              <w:bottom w:val="single" w:sz="4" w:space="0" w:color="auto"/>
              <w:right w:val="single" w:sz="4" w:space="0" w:color="auto"/>
            </w:tcBorders>
            <w:shd w:val="clear" w:color="000000" w:fill="FFFFFF"/>
            <w:noWrap/>
            <w:vAlign w:val="center"/>
            <w:hideMark/>
          </w:tcPr>
          <w:p w14:paraId="4206FB4F" w14:textId="77777777" w:rsidR="00446170" w:rsidRPr="00446170" w:rsidRDefault="00446170" w:rsidP="00446170">
            <w:pPr>
              <w:jc w:val="right"/>
              <w:rPr>
                <w:rFonts w:ascii="Arial Narrow" w:hAnsi="Arial Narrow" w:cs="Arial"/>
                <w:color w:val="000000"/>
                <w:sz w:val="20"/>
                <w:szCs w:val="20"/>
              </w:rPr>
            </w:pPr>
            <w:r w:rsidRPr="00446170">
              <w:rPr>
                <w:rFonts w:ascii="Arial Narrow" w:hAnsi="Arial Narrow" w:cs="Arial"/>
                <w:color w:val="000000"/>
                <w:sz w:val="20"/>
                <w:szCs w:val="20"/>
              </w:rPr>
              <w:t>2,0%</w:t>
            </w:r>
          </w:p>
        </w:tc>
        <w:tc>
          <w:tcPr>
            <w:tcW w:w="1340" w:type="dxa"/>
            <w:tcBorders>
              <w:top w:val="nil"/>
              <w:left w:val="nil"/>
              <w:bottom w:val="single" w:sz="4" w:space="0" w:color="auto"/>
              <w:right w:val="single" w:sz="4" w:space="0" w:color="auto"/>
            </w:tcBorders>
            <w:shd w:val="clear" w:color="000000" w:fill="FFFFFF"/>
            <w:vAlign w:val="center"/>
            <w:hideMark/>
          </w:tcPr>
          <w:p w14:paraId="20E3D773" w14:textId="77777777" w:rsidR="00446170" w:rsidRPr="00446170" w:rsidRDefault="00446170" w:rsidP="00446170">
            <w:pPr>
              <w:jc w:val="right"/>
              <w:rPr>
                <w:rFonts w:ascii="Arial Narrow" w:hAnsi="Arial Narrow" w:cs="Arial"/>
                <w:color w:val="000000"/>
                <w:sz w:val="20"/>
                <w:szCs w:val="20"/>
              </w:rPr>
            </w:pPr>
            <w:r w:rsidRPr="00446170">
              <w:rPr>
                <w:rFonts w:ascii="Arial Narrow" w:hAnsi="Arial Narrow" w:cs="Arial"/>
                <w:color w:val="000000"/>
                <w:sz w:val="20"/>
                <w:szCs w:val="20"/>
              </w:rPr>
              <w:t>21 660</w:t>
            </w:r>
          </w:p>
        </w:tc>
        <w:tc>
          <w:tcPr>
            <w:tcW w:w="1116" w:type="dxa"/>
            <w:tcBorders>
              <w:top w:val="nil"/>
              <w:left w:val="nil"/>
              <w:bottom w:val="single" w:sz="4" w:space="0" w:color="auto"/>
              <w:right w:val="single" w:sz="4" w:space="0" w:color="auto"/>
            </w:tcBorders>
            <w:shd w:val="clear" w:color="000000" w:fill="FFFFFF"/>
            <w:noWrap/>
            <w:vAlign w:val="center"/>
            <w:hideMark/>
          </w:tcPr>
          <w:p w14:paraId="5FCD10C5" w14:textId="77777777" w:rsidR="00446170" w:rsidRPr="00446170" w:rsidRDefault="00446170" w:rsidP="00446170">
            <w:pPr>
              <w:jc w:val="right"/>
              <w:rPr>
                <w:rFonts w:ascii="Arial Narrow" w:hAnsi="Arial Narrow" w:cs="Arial"/>
                <w:color w:val="000000"/>
                <w:sz w:val="20"/>
                <w:szCs w:val="20"/>
              </w:rPr>
            </w:pPr>
            <w:r w:rsidRPr="00446170">
              <w:rPr>
                <w:rFonts w:ascii="Arial Narrow" w:hAnsi="Arial Narrow" w:cs="Arial"/>
                <w:color w:val="000000"/>
                <w:sz w:val="20"/>
                <w:szCs w:val="20"/>
              </w:rPr>
              <w:t>19,4%</w:t>
            </w:r>
          </w:p>
        </w:tc>
      </w:tr>
      <w:tr w:rsidR="00446170" w:rsidRPr="00446170" w14:paraId="7D906BC5" w14:textId="77777777" w:rsidTr="00CD44F3">
        <w:trPr>
          <w:trHeight w:val="342"/>
        </w:trPr>
        <w:tc>
          <w:tcPr>
            <w:tcW w:w="2155" w:type="dxa"/>
            <w:tcBorders>
              <w:top w:val="nil"/>
              <w:left w:val="single" w:sz="4" w:space="0" w:color="auto"/>
              <w:bottom w:val="single" w:sz="4" w:space="0" w:color="auto"/>
              <w:right w:val="single" w:sz="4" w:space="0" w:color="auto"/>
            </w:tcBorders>
            <w:shd w:val="clear" w:color="000000" w:fill="FFFFFF"/>
            <w:vAlign w:val="center"/>
            <w:hideMark/>
          </w:tcPr>
          <w:p w14:paraId="53D09365" w14:textId="77777777" w:rsidR="00446170" w:rsidRPr="00446170" w:rsidRDefault="00446170" w:rsidP="00446170">
            <w:pPr>
              <w:rPr>
                <w:rFonts w:ascii="Arial Narrow" w:hAnsi="Arial Narrow" w:cs="Arial"/>
                <w:b/>
                <w:bCs/>
                <w:color w:val="000000"/>
                <w:sz w:val="20"/>
                <w:szCs w:val="20"/>
              </w:rPr>
            </w:pPr>
            <w:r w:rsidRPr="00446170">
              <w:rPr>
                <w:rFonts w:ascii="Arial Narrow" w:hAnsi="Arial Narrow" w:cs="Arial"/>
                <w:b/>
                <w:bCs/>
                <w:color w:val="000000"/>
                <w:sz w:val="20"/>
                <w:szCs w:val="20"/>
              </w:rPr>
              <w:t>Трети страни общо</w:t>
            </w:r>
          </w:p>
        </w:tc>
        <w:tc>
          <w:tcPr>
            <w:tcW w:w="1340" w:type="dxa"/>
            <w:tcBorders>
              <w:top w:val="nil"/>
              <w:left w:val="nil"/>
              <w:bottom w:val="single" w:sz="4" w:space="0" w:color="auto"/>
              <w:right w:val="single" w:sz="4" w:space="0" w:color="auto"/>
            </w:tcBorders>
            <w:shd w:val="clear" w:color="000000" w:fill="FFFFFF"/>
            <w:vAlign w:val="center"/>
            <w:hideMark/>
          </w:tcPr>
          <w:p w14:paraId="03B37884" w14:textId="77777777" w:rsidR="00446170" w:rsidRPr="00446170" w:rsidRDefault="00446170" w:rsidP="00446170">
            <w:pPr>
              <w:jc w:val="right"/>
              <w:rPr>
                <w:rFonts w:ascii="Arial Narrow" w:hAnsi="Arial Narrow" w:cs="Arial"/>
                <w:b/>
                <w:bCs/>
                <w:color w:val="000000"/>
                <w:sz w:val="20"/>
                <w:szCs w:val="20"/>
              </w:rPr>
            </w:pPr>
            <w:r w:rsidRPr="00446170">
              <w:rPr>
                <w:rFonts w:ascii="Arial Narrow" w:hAnsi="Arial Narrow" w:cs="Arial"/>
                <w:b/>
                <w:bCs/>
                <w:color w:val="000000"/>
                <w:sz w:val="20"/>
                <w:szCs w:val="20"/>
              </w:rPr>
              <w:t>2 482 000</w:t>
            </w:r>
          </w:p>
        </w:tc>
        <w:tc>
          <w:tcPr>
            <w:tcW w:w="1340" w:type="dxa"/>
            <w:tcBorders>
              <w:top w:val="nil"/>
              <w:left w:val="nil"/>
              <w:bottom w:val="single" w:sz="4" w:space="0" w:color="auto"/>
              <w:right w:val="single" w:sz="4" w:space="0" w:color="auto"/>
            </w:tcBorders>
            <w:shd w:val="clear" w:color="000000" w:fill="FFFFFF"/>
            <w:vAlign w:val="center"/>
            <w:hideMark/>
          </w:tcPr>
          <w:p w14:paraId="172305DF" w14:textId="77777777" w:rsidR="00446170" w:rsidRPr="00446170" w:rsidRDefault="00446170" w:rsidP="00446170">
            <w:pPr>
              <w:jc w:val="right"/>
              <w:rPr>
                <w:rFonts w:ascii="Arial Narrow" w:hAnsi="Arial Narrow" w:cs="Arial"/>
                <w:b/>
                <w:bCs/>
                <w:sz w:val="20"/>
                <w:szCs w:val="20"/>
              </w:rPr>
            </w:pPr>
            <w:r w:rsidRPr="00446170">
              <w:rPr>
                <w:rFonts w:ascii="Arial Narrow" w:hAnsi="Arial Narrow" w:cs="Arial"/>
                <w:b/>
                <w:bCs/>
                <w:sz w:val="20"/>
                <w:szCs w:val="20"/>
              </w:rPr>
              <w:t>1 737 411</w:t>
            </w:r>
          </w:p>
        </w:tc>
        <w:tc>
          <w:tcPr>
            <w:tcW w:w="1340" w:type="dxa"/>
            <w:tcBorders>
              <w:top w:val="nil"/>
              <w:left w:val="nil"/>
              <w:bottom w:val="single" w:sz="4" w:space="0" w:color="auto"/>
              <w:right w:val="single" w:sz="4" w:space="0" w:color="auto"/>
            </w:tcBorders>
            <w:shd w:val="clear" w:color="000000" w:fill="FFFFFF"/>
            <w:vAlign w:val="center"/>
            <w:hideMark/>
          </w:tcPr>
          <w:p w14:paraId="35A4EC0B" w14:textId="77777777" w:rsidR="00446170" w:rsidRPr="00446170" w:rsidRDefault="00446170" w:rsidP="00446170">
            <w:pPr>
              <w:jc w:val="right"/>
              <w:rPr>
                <w:rFonts w:ascii="Arial Narrow" w:hAnsi="Arial Narrow" w:cs="Arial"/>
                <w:b/>
                <w:bCs/>
                <w:color w:val="000000"/>
                <w:sz w:val="20"/>
                <w:szCs w:val="20"/>
              </w:rPr>
            </w:pPr>
            <w:r w:rsidRPr="00446170">
              <w:rPr>
                <w:rFonts w:ascii="Arial Narrow" w:hAnsi="Arial Narrow" w:cs="Arial"/>
                <w:b/>
                <w:bCs/>
                <w:color w:val="000000"/>
                <w:sz w:val="20"/>
                <w:szCs w:val="20"/>
              </w:rPr>
              <w:t>1 927 575</w:t>
            </w:r>
          </w:p>
        </w:tc>
        <w:tc>
          <w:tcPr>
            <w:tcW w:w="1310" w:type="dxa"/>
            <w:tcBorders>
              <w:top w:val="nil"/>
              <w:left w:val="nil"/>
              <w:bottom w:val="single" w:sz="4" w:space="0" w:color="auto"/>
              <w:right w:val="single" w:sz="4" w:space="0" w:color="auto"/>
            </w:tcBorders>
            <w:shd w:val="clear" w:color="000000" w:fill="FFFFFF"/>
            <w:noWrap/>
            <w:vAlign w:val="center"/>
            <w:hideMark/>
          </w:tcPr>
          <w:p w14:paraId="13002609" w14:textId="77777777" w:rsidR="00446170" w:rsidRPr="00446170" w:rsidRDefault="00446170" w:rsidP="00446170">
            <w:pPr>
              <w:jc w:val="right"/>
              <w:rPr>
                <w:rFonts w:ascii="Arial Narrow" w:hAnsi="Arial Narrow" w:cs="Arial"/>
                <w:b/>
                <w:bCs/>
                <w:color w:val="000000"/>
                <w:sz w:val="20"/>
                <w:szCs w:val="20"/>
              </w:rPr>
            </w:pPr>
            <w:r w:rsidRPr="00446170">
              <w:rPr>
                <w:rFonts w:ascii="Arial Narrow" w:hAnsi="Arial Narrow" w:cs="Arial"/>
                <w:b/>
                <w:bCs/>
                <w:color w:val="000000"/>
                <w:sz w:val="20"/>
                <w:szCs w:val="20"/>
              </w:rPr>
              <w:t>28,6%</w:t>
            </w:r>
          </w:p>
        </w:tc>
        <w:tc>
          <w:tcPr>
            <w:tcW w:w="1340" w:type="dxa"/>
            <w:tcBorders>
              <w:top w:val="nil"/>
              <w:left w:val="nil"/>
              <w:bottom w:val="single" w:sz="4" w:space="0" w:color="auto"/>
              <w:right w:val="single" w:sz="4" w:space="0" w:color="auto"/>
            </w:tcBorders>
            <w:shd w:val="clear" w:color="000000" w:fill="FFFFFF"/>
            <w:vAlign w:val="center"/>
            <w:hideMark/>
          </w:tcPr>
          <w:p w14:paraId="07BFD80D" w14:textId="77777777" w:rsidR="00446170" w:rsidRPr="00446170" w:rsidRDefault="00446170" w:rsidP="00446170">
            <w:pPr>
              <w:jc w:val="right"/>
              <w:rPr>
                <w:rFonts w:ascii="Arial Narrow" w:hAnsi="Arial Narrow" w:cs="Arial"/>
                <w:b/>
                <w:bCs/>
                <w:color w:val="000000"/>
                <w:sz w:val="20"/>
                <w:szCs w:val="20"/>
              </w:rPr>
            </w:pPr>
            <w:r w:rsidRPr="00446170">
              <w:rPr>
                <w:rFonts w:ascii="Arial Narrow" w:hAnsi="Arial Narrow" w:cs="Arial"/>
                <w:b/>
                <w:bCs/>
                <w:color w:val="000000"/>
                <w:sz w:val="20"/>
                <w:szCs w:val="20"/>
              </w:rPr>
              <w:t>190 164</w:t>
            </w:r>
          </w:p>
        </w:tc>
        <w:tc>
          <w:tcPr>
            <w:tcW w:w="1116" w:type="dxa"/>
            <w:tcBorders>
              <w:top w:val="nil"/>
              <w:left w:val="nil"/>
              <w:bottom w:val="single" w:sz="4" w:space="0" w:color="auto"/>
              <w:right w:val="single" w:sz="4" w:space="0" w:color="auto"/>
            </w:tcBorders>
            <w:shd w:val="clear" w:color="000000" w:fill="FFFFFF"/>
            <w:noWrap/>
            <w:vAlign w:val="center"/>
            <w:hideMark/>
          </w:tcPr>
          <w:p w14:paraId="65D027B6" w14:textId="77777777" w:rsidR="00446170" w:rsidRPr="00446170" w:rsidRDefault="00446170" w:rsidP="00446170">
            <w:pPr>
              <w:jc w:val="right"/>
              <w:rPr>
                <w:rFonts w:ascii="Arial Narrow" w:hAnsi="Arial Narrow" w:cs="Arial"/>
                <w:b/>
                <w:bCs/>
                <w:color w:val="000000"/>
                <w:sz w:val="20"/>
                <w:szCs w:val="20"/>
              </w:rPr>
            </w:pPr>
            <w:r w:rsidRPr="00446170">
              <w:rPr>
                <w:rFonts w:ascii="Arial Narrow" w:hAnsi="Arial Narrow" w:cs="Arial"/>
                <w:b/>
                <w:bCs/>
                <w:color w:val="000000"/>
                <w:sz w:val="20"/>
                <w:szCs w:val="20"/>
              </w:rPr>
              <w:t>10,9%</w:t>
            </w:r>
          </w:p>
        </w:tc>
      </w:tr>
      <w:tr w:rsidR="00446170" w:rsidRPr="00446170" w14:paraId="11731C3C" w14:textId="77777777" w:rsidTr="00CD44F3">
        <w:trPr>
          <w:trHeight w:val="342"/>
        </w:trPr>
        <w:tc>
          <w:tcPr>
            <w:tcW w:w="2155" w:type="dxa"/>
            <w:tcBorders>
              <w:top w:val="nil"/>
              <w:left w:val="single" w:sz="4" w:space="0" w:color="auto"/>
              <w:bottom w:val="single" w:sz="4" w:space="0" w:color="auto"/>
              <w:right w:val="single" w:sz="4" w:space="0" w:color="auto"/>
            </w:tcBorders>
            <w:shd w:val="clear" w:color="000000" w:fill="FFFFFF"/>
            <w:noWrap/>
            <w:vAlign w:val="center"/>
            <w:hideMark/>
          </w:tcPr>
          <w:p w14:paraId="28837208" w14:textId="77777777" w:rsidR="00446170" w:rsidRPr="00446170" w:rsidRDefault="00446170" w:rsidP="00446170">
            <w:pPr>
              <w:ind w:firstLineChars="100" w:firstLine="200"/>
              <w:rPr>
                <w:rFonts w:ascii="Arial Narrow" w:hAnsi="Arial Narrow" w:cs="Arial"/>
                <w:color w:val="000000"/>
                <w:sz w:val="20"/>
                <w:szCs w:val="20"/>
              </w:rPr>
            </w:pPr>
            <w:r w:rsidRPr="00446170">
              <w:rPr>
                <w:rFonts w:ascii="Arial Narrow" w:hAnsi="Arial Narrow" w:cs="Arial"/>
                <w:color w:val="000000"/>
                <w:sz w:val="20"/>
                <w:szCs w:val="20"/>
              </w:rPr>
              <w:t>Украйна</w:t>
            </w:r>
          </w:p>
        </w:tc>
        <w:tc>
          <w:tcPr>
            <w:tcW w:w="1340" w:type="dxa"/>
            <w:tcBorders>
              <w:top w:val="nil"/>
              <w:left w:val="nil"/>
              <w:bottom w:val="single" w:sz="4" w:space="0" w:color="auto"/>
              <w:right w:val="single" w:sz="4" w:space="0" w:color="auto"/>
            </w:tcBorders>
            <w:shd w:val="clear" w:color="000000" w:fill="FFFFFF"/>
            <w:noWrap/>
            <w:vAlign w:val="center"/>
            <w:hideMark/>
          </w:tcPr>
          <w:p w14:paraId="55BA7459" w14:textId="77777777" w:rsidR="00446170" w:rsidRPr="00446170" w:rsidRDefault="00446170" w:rsidP="00446170">
            <w:pPr>
              <w:jc w:val="right"/>
              <w:rPr>
                <w:rFonts w:ascii="Arial Narrow" w:hAnsi="Arial Narrow" w:cs="Arial"/>
                <w:color w:val="000000"/>
                <w:sz w:val="20"/>
                <w:szCs w:val="20"/>
              </w:rPr>
            </w:pPr>
            <w:r w:rsidRPr="00446170">
              <w:rPr>
                <w:rFonts w:ascii="Arial Narrow" w:hAnsi="Arial Narrow" w:cs="Arial"/>
                <w:color w:val="000000"/>
                <w:sz w:val="20"/>
                <w:szCs w:val="20"/>
              </w:rPr>
              <w:t>1 106 200</w:t>
            </w:r>
          </w:p>
        </w:tc>
        <w:tc>
          <w:tcPr>
            <w:tcW w:w="1340" w:type="dxa"/>
            <w:tcBorders>
              <w:top w:val="nil"/>
              <w:left w:val="nil"/>
              <w:bottom w:val="single" w:sz="4" w:space="0" w:color="auto"/>
              <w:right w:val="single" w:sz="4" w:space="0" w:color="auto"/>
            </w:tcBorders>
            <w:shd w:val="clear" w:color="000000" w:fill="FFFFFF"/>
            <w:noWrap/>
            <w:vAlign w:val="center"/>
            <w:hideMark/>
          </w:tcPr>
          <w:p w14:paraId="6D0E5332" w14:textId="77777777" w:rsidR="00446170" w:rsidRPr="00446170" w:rsidRDefault="00446170" w:rsidP="00446170">
            <w:pPr>
              <w:jc w:val="right"/>
              <w:rPr>
                <w:rFonts w:ascii="Arial Narrow" w:hAnsi="Arial Narrow" w:cs="Arial"/>
                <w:sz w:val="20"/>
                <w:szCs w:val="20"/>
              </w:rPr>
            </w:pPr>
            <w:r w:rsidRPr="00446170">
              <w:rPr>
                <w:rFonts w:ascii="Arial Narrow" w:hAnsi="Arial Narrow" w:cs="Arial"/>
                <w:sz w:val="20"/>
                <w:szCs w:val="20"/>
              </w:rPr>
              <w:t>434 345</w:t>
            </w:r>
          </w:p>
        </w:tc>
        <w:tc>
          <w:tcPr>
            <w:tcW w:w="1340" w:type="dxa"/>
            <w:tcBorders>
              <w:top w:val="nil"/>
              <w:left w:val="nil"/>
              <w:bottom w:val="single" w:sz="4" w:space="0" w:color="auto"/>
              <w:right w:val="single" w:sz="4" w:space="0" w:color="auto"/>
            </w:tcBorders>
            <w:shd w:val="clear" w:color="000000" w:fill="FFFFFF"/>
            <w:noWrap/>
            <w:vAlign w:val="center"/>
            <w:hideMark/>
          </w:tcPr>
          <w:p w14:paraId="599A8F56" w14:textId="77777777" w:rsidR="00446170" w:rsidRPr="00446170" w:rsidRDefault="00446170" w:rsidP="00446170">
            <w:pPr>
              <w:jc w:val="right"/>
              <w:rPr>
                <w:rFonts w:ascii="Arial Narrow" w:hAnsi="Arial Narrow" w:cs="Arial"/>
                <w:sz w:val="20"/>
                <w:szCs w:val="20"/>
              </w:rPr>
            </w:pPr>
            <w:r w:rsidRPr="00446170">
              <w:rPr>
                <w:rFonts w:ascii="Arial Narrow" w:hAnsi="Arial Narrow" w:cs="Arial"/>
                <w:sz w:val="20"/>
                <w:szCs w:val="20"/>
              </w:rPr>
              <w:t>471 245</w:t>
            </w:r>
          </w:p>
        </w:tc>
        <w:tc>
          <w:tcPr>
            <w:tcW w:w="1310" w:type="dxa"/>
            <w:tcBorders>
              <w:top w:val="nil"/>
              <w:left w:val="nil"/>
              <w:bottom w:val="single" w:sz="4" w:space="0" w:color="auto"/>
              <w:right w:val="single" w:sz="4" w:space="0" w:color="auto"/>
            </w:tcBorders>
            <w:shd w:val="clear" w:color="000000" w:fill="FFFFFF"/>
            <w:noWrap/>
            <w:vAlign w:val="center"/>
            <w:hideMark/>
          </w:tcPr>
          <w:p w14:paraId="1979BEEB" w14:textId="77777777" w:rsidR="00446170" w:rsidRPr="00446170" w:rsidRDefault="00446170" w:rsidP="00446170">
            <w:pPr>
              <w:jc w:val="right"/>
              <w:rPr>
                <w:rFonts w:ascii="Arial Narrow" w:hAnsi="Arial Narrow" w:cs="Arial"/>
                <w:color w:val="000000"/>
                <w:sz w:val="20"/>
                <w:szCs w:val="20"/>
              </w:rPr>
            </w:pPr>
            <w:r w:rsidRPr="00446170">
              <w:rPr>
                <w:rFonts w:ascii="Arial Narrow" w:hAnsi="Arial Narrow" w:cs="Arial"/>
                <w:color w:val="000000"/>
                <w:sz w:val="20"/>
                <w:szCs w:val="20"/>
              </w:rPr>
              <w:t>7,0%</w:t>
            </w:r>
          </w:p>
        </w:tc>
        <w:tc>
          <w:tcPr>
            <w:tcW w:w="1340" w:type="dxa"/>
            <w:tcBorders>
              <w:top w:val="nil"/>
              <w:left w:val="nil"/>
              <w:bottom w:val="single" w:sz="4" w:space="0" w:color="auto"/>
              <w:right w:val="single" w:sz="4" w:space="0" w:color="auto"/>
            </w:tcBorders>
            <w:shd w:val="clear" w:color="000000" w:fill="FFFFFF"/>
            <w:vAlign w:val="center"/>
            <w:hideMark/>
          </w:tcPr>
          <w:p w14:paraId="6E9E0DB1" w14:textId="77777777" w:rsidR="00446170" w:rsidRPr="00446170" w:rsidRDefault="00446170" w:rsidP="00446170">
            <w:pPr>
              <w:jc w:val="right"/>
              <w:rPr>
                <w:rFonts w:ascii="Arial Narrow" w:hAnsi="Arial Narrow" w:cs="Arial"/>
                <w:color w:val="000000"/>
                <w:sz w:val="20"/>
                <w:szCs w:val="20"/>
              </w:rPr>
            </w:pPr>
            <w:r w:rsidRPr="00446170">
              <w:rPr>
                <w:rFonts w:ascii="Arial Narrow" w:hAnsi="Arial Narrow" w:cs="Arial"/>
                <w:color w:val="000000"/>
                <w:sz w:val="20"/>
                <w:szCs w:val="20"/>
              </w:rPr>
              <w:t>36 900</w:t>
            </w:r>
          </w:p>
        </w:tc>
        <w:tc>
          <w:tcPr>
            <w:tcW w:w="1116" w:type="dxa"/>
            <w:tcBorders>
              <w:top w:val="nil"/>
              <w:left w:val="nil"/>
              <w:bottom w:val="single" w:sz="4" w:space="0" w:color="auto"/>
              <w:right w:val="single" w:sz="4" w:space="0" w:color="auto"/>
            </w:tcBorders>
            <w:shd w:val="clear" w:color="000000" w:fill="FFFFFF"/>
            <w:noWrap/>
            <w:vAlign w:val="center"/>
            <w:hideMark/>
          </w:tcPr>
          <w:p w14:paraId="408034B7" w14:textId="77777777" w:rsidR="00446170" w:rsidRPr="00446170" w:rsidRDefault="00446170" w:rsidP="00446170">
            <w:pPr>
              <w:jc w:val="right"/>
              <w:rPr>
                <w:rFonts w:ascii="Arial Narrow" w:hAnsi="Arial Narrow" w:cs="Arial"/>
                <w:color w:val="000000"/>
                <w:sz w:val="20"/>
                <w:szCs w:val="20"/>
              </w:rPr>
            </w:pPr>
            <w:r w:rsidRPr="00446170">
              <w:rPr>
                <w:rFonts w:ascii="Arial Narrow" w:hAnsi="Arial Narrow" w:cs="Arial"/>
                <w:color w:val="000000"/>
                <w:sz w:val="20"/>
                <w:szCs w:val="20"/>
              </w:rPr>
              <w:t>8,5%</w:t>
            </w:r>
          </w:p>
        </w:tc>
      </w:tr>
      <w:tr w:rsidR="00446170" w:rsidRPr="00446170" w14:paraId="4509A119" w14:textId="77777777" w:rsidTr="00CD44F3">
        <w:trPr>
          <w:trHeight w:val="342"/>
        </w:trPr>
        <w:tc>
          <w:tcPr>
            <w:tcW w:w="2155" w:type="dxa"/>
            <w:tcBorders>
              <w:top w:val="nil"/>
              <w:left w:val="single" w:sz="4" w:space="0" w:color="auto"/>
              <w:bottom w:val="single" w:sz="4" w:space="0" w:color="auto"/>
              <w:right w:val="single" w:sz="4" w:space="0" w:color="auto"/>
            </w:tcBorders>
            <w:shd w:val="clear" w:color="000000" w:fill="FFFFFF"/>
            <w:noWrap/>
            <w:vAlign w:val="center"/>
            <w:hideMark/>
          </w:tcPr>
          <w:p w14:paraId="080EF5C7" w14:textId="77777777" w:rsidR="00446170" w:rsidRPr="00446170" w:rsidRDefault="00446170" w:rsidP="00446170">
            <w:pPr>
              <w:ind w:firstLineChars="100" w:firstLine="200"/>
              <w:rPr>
                <w:rFonts w:ascii="Arial Narrow" w:hAnsi="Arial Narrow" w:cs="Arial"/>
                <w:color w:val="000000"/>
                <w:sz w:val="20"/>
                <w:szCs w:val="20"/>
              </w:rPr>
            </w:pPr>
            <w:r w:rsidRPr="00446170">
              <w:rPr>
                <w:rFonts w:ascii="Arial Narrow" w:hAnsi="Arial Narrow" w:cs="Arial"/>
                <w:color w:val="000000"/>
                <w:sz w:val="20"/>
                <w:szCs w:val="20"/>
              </w:rPr>
              <w:t>Турция</w:t>
            </w:r>
          </w:p>
        </w:tc>
        <w:tc>
          <w:tcPr>
            <w:tcW w:w="1340" w:type="dxa"/>
            <w:tcBorders>
              <w:top w:val="nil"/>
              <w:left w:val="nil"/>
              <w:bottom w:val="single" w:sz="4" w:space="0" w:color="auto"/>
              <w:right w:val="single" w:sz="4" w:space="0" w:color="auto"/>
            </w:tcBorders>
            <w:shd w:val="clear" w:color="000000" w:fill="FFFFFF"/>
            <w:noWrap/>
            <w:vAlign w:val="center"/>
            <w:hideMark/>
          </w:tcPr>
          <w:p w14:paraId="40F78DD0" w14:textId="77777777" w:rsidR="00446170" w:rsidRPr="00446170" w:rsidRDefault="00446170" w:rsidP="00446170">
            <w:pPr>
              <w:jc w:val="right"/>
              <w:rPr>
                <w:rFonts w:ascii="Arial Narrow" w:hAnsi="Arial Narrow" w:cs="Arial"/>
                <w:color w:val="000000"/>
                <w:sz w:val="20"/>
                <w:szCs w:val="20"/>
              </w:rPr>
            </w:pPr>
            <w:r w:rsidRPr="00446170">
              <w:rPr>
                <w:rFonts w:ascii="Arial Narrow" w:hAnsi="Arial Narrow" w:cs="Arial"/>
                <w:color w:val="000000"/>
                <w:sz w:val="20"/>
                <w:szCs w:val="20"/>
              </w:rPr>
              <w:t>278 878</w:t>
            </w:r>
          </w:p>
        </w:tc>
        <w:tc>
          <w:tcPr>
            <w:tcW w:w="1340" w:type="dxa"/>
            <w:tcBorders>
              <w:top w:val="nil"/>
              <w:left w:val="nil"/>
              <w:bottom w:val="single" w:sz="4" w:space="0" w:color="auto"/>
              <w:right w:val="single" w:sz="4" w:space="0" w:color="auto"/>
            </w:tcBorders>
            <w:shd w:val="clear" w:color="000000" w:fill="FFFFFF"/>
            <w:noWrap/>
            <w:vAlign w:val="center"/>
            <w:hideMark/>
          </w:tcPr>
          <w:p w14:paraId="74083914" w14:textId="77777777" w:rsidR="00446170" w:rsidRPr="00446170" w:rsidRDefault="00446170" w:rsidP="00446170">
            <w:pPr>
              <w:jc w:val="right"/>
              <w:rPr>
                <w:rFonts w:ascii="Arial Narrow" w:hAnsi="Arial Narrow" w:cs="Arial"/>
                <w:sz w:val="20"/>
                <w:szCs w:val="20"/>
              </w:rPr>
            </w:pPr>
            <w:r w:rsidRPr="00446170">
              <w:rPr>
                <w:rFonts w:ascii="Arial Narrow" w:hAnsi="Arial Narrow" w:cs="Arial"/>
                <w:sz w:val="20"/>
                <w:szCs w:val="20"/>
              </w:rPr>
              <w:t>344 775</w:t>
            </w:r>
          </w:p>
        </w:tc>
        <w:tc>
          <w:tcPr>
            <w:tcW w:w="1340" w:type="dxa"/>
            <w:tcBorders>
              <w:top w:val="nil"/>
              <w:left w:val="nil"/>
              <w:bottom w:val="single" w:sz="4" w:space="0" w:color="auto"/>
              <w:right w:val="single" w:sz="4" w:space="0" w:color="auto"/>
            </w:tcBorders>
            <w:shd w:val="clear" w:color="000000" w:fill="FFFFFF"/>
            <w:noWrap/>
            <w:vAlign w:val="center"/>
            <w:hideMark/>
          </w:tcPr>
          <w:p w14:paraId="7A82B045" w14:textId="77777777" w:rsidR="00446170" w:rsidRPr="00446170" w:rsidRDefault="00446170" w:rsidP="00446170">
            <w:pPr>
              <w:jc w:val="right"/>
              <w:rPr>
                <w:rFonts w:ascii="Arial Narrow" w:hAnsi="Arial Narrow" w:cs="Arial"/>
                <w:sz w:val="20"/>
                <w:szCs w:val="20"/>
              </w:rPr>
            </w:pPr>
            <w:r w:rsidRPr="00446170">
              <w:rPr>
                <w:rFonts w:ascii="Arial Narrow" w:hAnsi="Arial Narrow" w:cs="Arial"/>
                <w:sz w:val="20"/>
                <w:szCs w:val="20"/>
              </w:rPr>
              <w:t>385 337</w:t>
            </w:r>
          </w:p>
        </w:tc>
        <w:tc>
          <w:tcPr>
            <w:tcW w:w="1310" w:type="dxa"/>
            <w:tcBorders>
              <w:top w:val="nil"/>
              <w:left w:val="nil"/>
              <w:bottom w:val="single" w:sz="4" w:space="0" w:color="auto"/>
              <w:right w:val="single" w:sz="4" w:space="0" w:color="auto"/>
            </w:tcBorders>
            <w:shd w:val="clear" w:color="000000" w:fill="FFFFFF"/>
            <w:noWrap/>
            <w:vAlign w:val="center"/>
            <w:hideMark/>
          </w:tcPr>
          <w:p w14:paraId="02B13896" w14:textId="77777777" w:rsidR="00446170" w:rsidRPr="00446170" w:rsidRDefault="00446170" w:rsidP="00446170">
            <w:pPr>
              <w:jc w:val="right"/>
              <w:rPr>
                <w:rFonts w:ascii="Arial Narrow" w:hAnsi="Arial Narrow" w:cs="Arial"/>
                <w:color w:val="000000"/>
                <w:sz w:val="20"/>
                <w:szCs w:val="20"/>
              </w:rPr>
            </w:pPr>
            <w:r w:rsidRPr="00446170">
              <w:rPr>
                <w:rFonts w:ascii="Arial Narrow" w:hAnsi="Arial Narrow" w:cs="Arial"/>
                <w:color w:val="000000"/>
                <w:sz w:val="20"/>
                <w:szCs w:val="20"/>
              </w:rPr>
              <w:t>5,7%</w:t>
            </w:r>
          </w:p>
        </w:tc>
        <w:tc>
          <w:tcPr>
            <w:tcW w:w="1340" w:type="dxa"/>
            <w:tcBorders>
              <w:top w:val="nil"/>
              <w:left w:val="nil"/>
              <w:bottom w:val="single" w:sz="4" w:space="0" w:color="auto"/>
              <w:right w:val="single" w:sz="4" w:space="0" w:color="auto"/>
            </w:tcBorders>
            <w:shd w:val="clear" w:color="000000" w:fill="FFFFFF"/>
            <w:vAlign w:val="center"/>
            <w:hideMark/>
          </w:tcPr>
          <w:p w14:paraId="63D48D29" w14:textId="77777777" w:rsidR="00446170" w:rsidRPr="00446170" w:rsidRDefault="00446170" w:rsidP="00446170">
            <w:pPr>
              <w:jc w:val="right"/>
              <w:rPr>
                <w:rFonts w:ascii="Arial Narrow" w:hAnsi="Arial Narrow" w:cs="Arial"/>
                <w:color w:val="000000"/>
                <w:sz w:val="20"/>
                <w:szCs w:val="20"/>
              </w:rPr>
            </w:pPr>
            <w:r w:rsidRPr="00446170">
              <w:rPr>
                <w:rFonts w:ascii="Arial Narrow" w:hAnsi="Arial Narrow" w:cs="Arial"/>
                <w:color w:val="000000"/>
                <w:sz w:val="20"/>
                <w:szCs w:val="20"/>
              </w:rPr>
              <w:t>40 562</w:t>
            </w:r>
          </w:p>
        </w:tc>
        <w:tc>
          <w:tcPr>
            <w:tcW w:w="1116" w:type="dxa"/>
            <w:tcBorders>
              <w:top w:val="nil"/>
              <w:left w:val="nil"/>
              <w:bottom w:val="single" w:sz="4" w:space="0" w:color="auto"/>
              <w:right w:val="single" w:sz="4" w:space="0" w:color="auto"/>
            </w:tcBorders>
            <w:shd w:val="clear" w:color="000000" w:fill="FFFFFF"/>
            <w:noWrap/>
            <w:vAlign w:val="center"/>
            <w:hideMark/>
          </w:tcPr>
          <w:p w14:paraId="6C38405A" w14:textId="77777777" w:rsidR="00446170" w:rsidRPr="00446170" w:rsidRDefault="00446170" w:rsidP="00446170">
            <w:pPr>
              <w:jc w:val="right"/>
              <w:rPr>
                <w:rFonts w:ascii="Arial Narrow" w:hAnsi="Arial Narrow" w:cs="Arial"/>
                <w:color w:val="000000"/>
                <w:sz w:val="20"/>
                <w:szCs w:val="20"/>
              </w:rPr>
            </w:pPr>
            <w:r w:rsidRPr="00446170">
              <w:rPr>
                <w:rFonts w:ascii="Arial Narrow" w:hAnsi="Arial Narrow" w:cs="Arial"/>
                <w:color w:val="000000"/>
                <w:sz w:val="20"/>
                <w:szCs w:val="20"/>
              </w:rPr>
              <w:t>11,8%</w:t>
            </w:r>
          </w:p>
        </w:tc>
      </w:tr>
      <w:tr w:rsidR="00446170" w:rsidRPr="00446170" w14:paraId="362803F8" w14:textId="77777777" w:rsidTr="00CD44F3">
        <w:trPr>
          <w:trHeight w:val="342"/>
        </w:trPr>
        <w:tc>
          <w:tcPr>
            <w:tcW w:w="2155" w:type="dxa"/>
            <w:tcBorders>
              <w:top w:val="nil"/>
              <w:left w:val="single" w:sz="4" w:space="0" w:color="auto"/>
              <w:bottom w:val="single" w:sz="4" w:space="0" w:color="auto"/>
              <w:right w:val="single" w:sz="4" w:space="0" w:color="auto"/>
            </w:tcBorders>
            <w:shd w:val="clear" w:color="000000" w:fill="FFFFFF"/>
            <w:noWrap/>
            <w:vAlign w:val="center"/>
            <w:hideMark/>
          </w:tcPr>
          <w:p w14:paraId="1D762535" w14:textId="77777777" w:rsidR="00446170" w:rsidRPr="00446170" w:rsidRDefault="00446170" w:rsidP="00446170">
            <w:pPr>
              <w:ind w:firstLineChars="100" w:firstLine="200"/>
              <w:rPr>
                <w:rFonts w:ascii="Arial Narrow" w:hAnsi="Arial Narrow" w:cs="Arial"/>
                <w:color w:val="000000"/>
                <w:sz w:val="20"/>
                <w:szCs w:val="20"/>
              </w:rPr>
            </w:pPr>
            <w:r w:rsidRPr="00446170">
              <w:rPr>
                <w:rFonts w:ascii="Arial Narrow" w:hAnsi="Arial Narrow" w:cs="Arial"/>
                <w:color w:val="000000"/>
                <w:sz w:val="20"/>
                <w:szCs w:val="20"/>
              </w:rPr>
              <w:t>Сърбия</w:t>
            </w:r>
          </w:p>
        </w:tc>
        <w:tc>
          <w:tcPr>
            <w:tcW w:w="1340" w:type="dxa"/>
            <w:tcBorders>
              <w:top w:val="nil"/>
              <w:left w:val="nil"/>
              <w:bottom w:val="single" w:sz="4" w:space="0" w:color="auto"/>
              <w:right w:val="single" w:sz="4" w:space="0" w:color="auto"/>
            </w:tcBorders>
            <w:shd w:val="clear" w:color="000000" w:fill="FFFFFF"/>
            <w:noWrap/>
            <w:vAlign w:val="center"/>
            <w:hideMark/>
          </w:tcPr>
          <w:p w14:paraId="587E3606" w14:textId="77777777" w:rsidR="00446170" w:rsidRPr="00446170" w:rsidRDefault="00446170" w:rsidP="00446170">
            <w:pPr>
              <w:jc w:val="right"/>
              <w:rPr>
                <w:rFonts w:ascii="Arial Narrow" w:hAnsi="Arial Narrow" w:cs="Arial"/>
                <w:color w:val="000000"/>
                <w:sz w:val="20"/>
                <w:szCs w:val="20"/>
              </w:rPr>
            </w:pPr>
            <w:r w:rsidRPr="00446170">
              <w:rPr>
                <w:rFonts w:ascii="Arial Narrow" w:hAnsi="Arial Narrow" w:cs="Arial"/>
                <w:color w:val="000000"/>
                <w:sz w:val="20"/>
                <w:szCs w:val="20"/>
              </w:rPr>
              <w:t>151 898</w:t>
            </w:r>
          </w:p>
        </w:tc>
        <w:tc>
          <w:tcPr>
            <w:tcW w:w="1340" w:type="dxa"/>
            <w:tcBorders>
              <w:top w:val="nil"/>
              <w:left w:val="nil"/>
              <w:bottom w:val="single" w:sz="4" w:space="0" w:color="auto"/>
              <w:right w:val="single" w:sz="4" w:space="0" w:color="auto"/>
            </w:tcBorders>
            <w:shd w:val="clear" w:color="000000" w:fill="FFFFFF"/>
            <w:noWrap/>
            <w:vAlign w:val="center"/>
            <w:hideMark/>
          </w:tcPr>
          <w:p w14:paraId="7CEB60DD" w14:textId="77777777" w:rsidR="00446170" w:rsidRPr="00446170" w:rsidRDefault="00446170" w:rsidP="00446170">
            <w:pPr>
              <w:jc w:val="right"/>
              <w:rPr>
                <w:rFonts w:ascii="Arial Narrow" w:hAnsi="Arial Narrow" w:cs="Arial"/>
                <w:sz w:val="20"/>
                <w:szCs w:val="20"/>
              </w:rPr>
            </w:pPr>
            <w:r w:rsidRPr="00446170">
              <w:rPr>
                <w:rFonts w:ascii="Arial Narrow" w:hAnsi="Arial Narrow" w:cs="Arial"/>
                <w:sz w:val="20"/>
                <w:szCs w:val="20"/>
              </w:rPr>
              <w:t>141 556</w:t>
            </w:r>
          </w:p>
        </w:tc>
        <w:tc>
          <w:tcPr>
            <w:tcW w:w="1340" w:type="dxa"/>
            <w:tcBorders>
              <w:top w:val="nil"/>
              <w:left w:val="nil"/>
              <w:bottom w:val="single" w:sz="4" w:space="0" w:color="auto"/>
              <w:right w:val="single" w:sz="4" w:space="0" w:color="auto"/>
            </w:tcBorders>
            <w:shd w:val="clear" w:color="000000" w:fill="FFFFFF"/>
            <w:noWrap/>
            <w:vAlign w:val="center"/>
            <w:hideMark/>
          </w:tcPr>
          <w:p w14:paraId="6CEFF292" w14:textId="77777777" w:rsidR="00446170" w:rsidRPr="00446170" w:rsidRDefault="00446170" w:rsidP="00446170">
            <w:pPr>
              <w:jc w:val="right"/>
              <w:rPr>
                <w:rFonts w:ascii="Arial Narrow" w:hAnsi="Arial Narrow" w:cs="Arial"/>
                <w:sz w:val="20"/>
                <w:szCs w:val="20"/>
              </w:rPr>
            </w:pPr>
            <w:r w:rsidRPr="00446170">
              <w:rPr>
                <w:rFonts w:ascii="Arial Narrow" w:hAnsi="Arial Narrow" w:cs="Arial"/>
                <w:sz w:val="20"/>
                <w:szCs w:val="20"/>
              </w:rPr>
              <w:t>168 336</w:t>
            </w:r>
          </w:p>
        </w:tc>
        <w:tc>
          <w:tcPr>
            <w:tcW w:w="1310" w:type="dxa"/>
            <w:tcBorders>
              <w:top w:val="nil"/>
              <w:left w:val="nil"/>
              <w:bottom w:val="single" w:sz="4" w:space="0" w:color="auto"/>
              <w:right w:val="single" w:sz="4" w:space="0" w:color="auto"/>
            </w:tcBorders>
            <w:shd w:val="clear" w:color="000000" w:fill="FFFFFF"/>
            <w:noWrap/>
            <w:vAlign w:val="center"/>
            <w:hideMark/>
          </w:tcPr>
          <w:p w14:paraId="4C39C7A5" w14:textId="77777777" w:rsidR="00446170" w:rsidRPr="00446170" w:rsidRDefault="00446170" w:rsidP="00446170">
            <w:pPr>
              <w:jc w:val="right"/>
              <w:rPr>
                <w:rFonts w:ascii="Arial Narrow" w:hAnsi="Arial Narrow" w:cs="Arial"/>
                <w:color w:val="000000"/>
                <w:sz w:val="20"/>
                <w:szCs w:val="20"/>
              </w:rPr>
            </w:pPr>
            <w:r w:rsidRPr="00446170">
              <w:rPr>
                <w:rFonts w:ascii="Arial Narrow" w:hAnsi="Arial Narrow" w:cs="Arial"/>
                <w:color w:val="000000"/>
                <w:sz w:val="20"/>
                <w:szCs w:val="20"/>
              </w:rPr>
              <w:t>2,5%</w:t>
            </w:r>
          </w:p>
        </w:tc>
        <w:tc>
          <w:tcPr>
            <w:tcW w:w="1340" w:type="dxa"/>
            <w:tcBorders>
              <w:top w:val="nil"/>
              <w:left w:val="nil"/>
              <w:bottom w:val="single" w:sz="4" w:space="0" w:color="auto"/>
              <w:right w:val="single" w:sz="4" w:space="0" w:color="auto"/>
            </w:tcBorders>
            <w:shd w:val="clear" w:color="000000" w:fill="FFFFFF"/>
            <w:vAlign w:val="center"/>
            <w:hideMark/>
          </w:tcPr>
          <w:p w14:paraId="5FACE17A" w14:textId="77777777" w:rsidR="00446170" w:rsidRPr="00446170" w:rsidRDefault="00446170" w:rsidP="00446170">
            <w:pPr>
              <w:jc w:val="right"/>
              <w:rPr>
                <w:rFonts w:ascii="Arial Narrow" w:hAnsi="Arial Narrow" w:cs="Arial"/>
                <w:color w:val="000000"/>
                <w:sz w:val="20"/>
                <w:szCs w:val="20"/>
              </w:rPr>
            </w:pPr>
            <w:r w:rsidRPr="00446170">
              <w:rPr>
                <w:rFonts w:ascii="Arial Narrow" w:hAnsi="Arial Narrow" w:cs="Arial"/>
                <w:color w:val="000000"/>
                <w:sz w:val="20"/>
                <w:szCs w:val="20"/>
              </w:rPr>
              <w:t>26 780</w:t>
            </w:r>
          </w:p>
        </w:tc>
        <w:tc>
          <w:tcPr>
            <w:tcW w:w="1116" w:type="dxa"/>
            <w:tcBorders>
              <w:top w:val="nil"/>
              <w:left w:val="nil"/>
              <w:bottom w:val="single" w:sz="4" w:space="0" w:color="auto"/>
              <w:right w:val="single" w:sz="4" w:space="0" w:color="auto"/>
            </w:tcBorders>
            <w:shd w:val="clear" w:color="000000" w:fill="FFFFFF"/>
            <w:noWrap/>
            <w:vAlign w:val="center"/>
            <w:hideMark/>
          </w:tcPr>
          <w:p w14:paraId="0652EBAD" w14:textId="77777777" w:rsidR="00446170" w:rsidRPr="00446170" w:rsidRDefault="00446170" w:rsidP="00446170">
            <w:pPr>
              <w:jc w:val="right"/>
              <w:rPr>
                <w:rFonts w:ascii="Arial Narrow" w:hAnsi="Arial Narrow" w:cs="Arial"/>
                <w:color w:val="000000"/>
                <w:sz w:val="20"/>
                <w:szCs w:val="20"/>
              </w:rPr>
            </w:pPr>
            <w:r w:rsidRPr="00446170">
              <w:rPr>
                <w:rFonts w:ascii="Arial Narrow" w:hAnsi="Arial Narrow" w:cs="Arial"/>
                <w:color w:val="000000"/>
                <w:sz w:val="20"/>
                <w:szCs w:val="20"/>
              </w:rPr>
              <w:t>18,9%</w:t>
            </w:r>
          </w:p>
        </w:tc>
      </w:tr>
      <w:tr w:rsidR="00446170" w:rsidRPr="00446170" w14:paraId="73FB0716" w14:textId="77777777" w:rsidTr="00CD44F3">
        <w:trPr>
          <w:trHeight w:val="342"/>
        </w:trPr>
        <w:tc>
          <w:tcPr>
            <w:tcW w:w="2155" w:type="dxa"/>
            <w:tcBorders>
              <w:top w:val="nil"/>
              <w:left w:val="single" w:sz="4" w:space="0" w:color="auto"/>
              <w:bottom w:val="single" w:sz="4" w:space="0" w:color="auto"/>
              <w:right w:val="single" w:sz="4" w:space="0" w:color="auto"/>
            </w:tcBorders>
            <w:shd w:val="clear" w:color="000000" w:fill="FFFFFF"/>
            <w:noWrap/>
            <w:vAlign w:val="center"/>
            <w:hideMark/>
          </w:tcPr>
          <w:p w14:paraId="382D1CCF" w14:textId="77777777" w:rsidR="00446170" w:rsidRPr="00446170" w:rsidRDefault="00446170" w:rsidP="00446170">
            <w:pPr>
              <w:ind w:firstLineChars="100" w:firstLine="200"/>
              <w:rPr>
                <w:rFonts w:ascii="Arial Narrow" w:hAnsi="Arial Narrow" w:cs="Arial"/>
                <w:color w:val="000000"/>
                <w:sz w:val="20"/>
                <w:szCs w:val="20"/>
              </w:rPr>
            </w:pPr>
            <w:r w:rsidRPr="00446170">
              <w:rPr>
                <w:rFonts w:ascii="Arial Narrow" w:hAnsi="Arial Narrow" w:cs="Arial"/>
                <w:color w:val="000000"/>
                <w:sz w:val="20"/>
                <w:szCs w:val="20"/>
              </w:rPr>
              <w:t>Молдова</w:t>
            </w:r>
          </w:p>
        </w:tc>
        <w:tc>
          <w:tcPr>
            <w:tcW w:w="1340" w:type="dxa"/>
            <w:tcBorders>
              <w:top w:val="nil"/>
              <w:left w:val="nil"/>
              <w:bottom w:val="single" w:sz="4" w:space="0" w:color="auto"/>
              <w:right w:val="single" w:sz="4" w:space="0" w:color="auto"/>
            </w:tcBorders>
            <w:shd w:val="clear" w:color="000000" w:fill="FFFFFF"/>
            <w:noWrap/>
            <w:vAlign w:val="center"/>
            <w:hideMark/>
          </w:tcPr>
          <w:p w14:paraId="35B6F144" w14:textId="77777777" w:rsidR="00446170" w:rsidRPr="00446170" w:rsidRDefault="00446170" w:rsidP="00446170">
            <w:pPr>
              <w:jc w:val="right"/>
              <w:rPr>
                <w:rFonts w:ascii="Arial Narrow" w:hAnsi="Arial Narrow" w:cs="Arial"/>
                <w:color w:val="000000"/>
                <w:sz w:val="20"/>
                <w:szCs w:val="20"/>
              </w:rPr>
            </w:pPr>
            <w:r w:rsidRPr="00446170">
              <w:rPr>
                <w:rFonts w:ascii="Arial Narrow" w:hAnsi="Arial Narrow" w:cs="Arial"/>
                <w:color w:val="000000"/>
                <w:sz w:val="20"/>
                <w:szCs w:val="20"/>
              </w:rPr>
              <w:t>121 489</w:t>
            </w:r>
          </w:p>
        </w:tc>
        <w:tc>
          <w:tcPr>
            <w:tcW w:w="1340" w:type="dxa"/>
            <w:tcBorders>
              <w:top w:val="nil"/>
              <w:left w:val="nil"/>
              <w:bottom w:val="single" w:sz="4" w:space="0" w:color="auto"/>
              <w:right w:val="single" w:sz="4" w:space="0" w:color="auto"/>
            </w:tcBorders>
            <w:shd w:val="clear" w:color="000000" w:fill="FFFFFF"/>
            <w:noWrap/>
            <w:vAlign w:val="center"/>
            <w:hideMark/>
          </w:tcPr>
          <w:p w14:paraId="46527CCB" w14:textId="77777777" w:rsidR="00446170" w:rsidRPr="00446170" w:rsidRDefault="00446170" w:rsidP="00446170">
            <w:pPr>
              <w:jc w:val="right"/>
              <w:rPr>
                <w:rFonts w:ascii="Arial Narrow" w:hAnsi="Arial Narrow" w:cs="Arial"/>
                <w:sz w:val="20"/>
                <w:szCs w:val="20"/>
              </w:rPr>
            </w:pPr>
            <w:r w:rsidRPr="00446170">
              <w:rPr>
                <w:rFonts w:ascii="Arial Narrow" w:hAnsi="Arial Narrow" w:cs="Arial"/>
                <w:sz w:val="20"/>
                <w:szCs w:val="20"/>
              </w:rPr>
              <w:t>70 234</w:t>
            </w:r>
          </w:p>
        </w:tc>
        <w:tc>
          <w:tcPr>
            <w:tcW w:w="1340" w:type="dxa"/>
            <w:tcBorders>
              <w:top w:val="nil"/>
              <w:left w:val="nil"/>
              <w:bottom w:val="single" w:sz="4" w:space="0" w:color="auto"/>
              <w:right w:val="single" w:sz="4" w:space="0" w:color="auto"/>
            </w:tcBorders>
            <w:shd w:val="clear" w:color="000000" w:fill="FFFFFF"/>
            <w:noWrap/>
            <w:vAlign w:val="center"/>
            <w:hideMark/>
          </w:tcPr>
          <w:p w14:paraId="658A4F56" w14:textId="77777777" w:rsidR="00446170" w:rsidRPr="00446170" w:rsidRDefault="00446170" w:rsidP="00446170">
            <w:pPr>
              <w:jc w:val="right"/>
              <w:rPr>
                <w:rFonts w:ascii="Arial Narrow" w:hAnsi="Arial Narrow" w:cs="Arial"/>
                <w:sz w:val="20"/>
                <w:szCs w:val="20"/>
              </w:rPr>
            </w:pPr>
            <w:r w:rsidRPr="00446170">
              <w:rPr>
                <w:rFonts w:ascii="Arial Narrow" w:hAnsi="Arial Narrow" w:cs="Arial"/>
                <w:sz w:val="20"/>
                <w:szCs w:val="20"/>
              </w:rPr>
              <w:t>99 672</w:t>
            </w:r>
          </w:p>
        </w:tc>
        <w:tc>
          <w:tcPr>
            <w:tcW w:w="1310" w:type="dxa"/>
            <w:tcBorders>
              <w:top w:val="nil"/>
              <w:left w:val="nil"/>
              <w:bottom w:val="single" w:sz="4" w:space="0" w:color="auto"/>
              <w:right w:val="single" w:sz="4" w:space="0" w:color="auto"/>
            </w:tcBorders>
            <w:shd w:val="clear" w:color="000000" w:fill="FFFFFF"/>
            <w:noWrap/>
            <w:vAlign w:val="center"/>
            <w:hideMark/>
          </w:tcPr>
          <w:p w14:paraId="06127D0C" w14:textId="77777777" w:rsidR="00446170" w:rsidRPr="00446170" w:rsidRDefault="00446170" w:rsidP="00446170">
            <w:pPr>
              <w:jc w:val="right"/>
              <w:rPr>
                <w:rFonts w:ascii="Arial Narrow" w:hAnsi="Arial Narrow" w:cs="Arial"/>
                <w:color w:val="000000"/>
                <w:sz w:val="20"/>
                <w:szCs w:val="20"/>
              </w:rPr>
            </w:pPr>
            <w:r w:rsidRPr="00446170">
              <w:rPr>
                <w:rFonts w:ascii="Arial Narrow" w:hAnsi="Arial Narrow" w:cs="Arial"/>
                <w:color w:val="000000"/>
                <w:sz w:val="20"/>
                <w:szCs w:val="20"/>
              </w:rPr>
              <w:t>1,5%</w:t>
            </w:r>
          </w:p>
        </w:tc>
        <w:tc>
          <w:tcPr>
            <w:tcW w:w="1340" w:type="dxa"/>
            <w:tcBorders>
              <w:top w:val="nil"/>
              <w:left w:val="nil"/>
              <w:bottom w:val="single" w:sz="4" w:space="0" w:color="auto"/>
              <w:right w:val="single" w:sz="4" w:space="0" w:color="auto"/>
            </w:tcBorders>
            <w:shd w:val="clear" w:color="000000" w:fill="FFFFFF"/>
            <w:vAlign w:val="center"/>
            <w:hideMark/>
          </w:tcPr>
          <w:p w14:paraId="0E53F0EE" w14:textId="77777777" w:rsidR="00446170" w:rsidRPr="00446170" w:rsidRDefault="00446170" w:rsidP="00446170">
            <w:pPr>
              <w:jc w:val="right"/>
              <w:rPr>
                <w:rFonts w:ascii="Arial Narrow" w:hAnsi="Arial Narrow" w:cs="Arial"/>
                <w:color w:val="000000"/>
                <w:sz w:val="20"/>
                <w:szCs w:val="20"/>
              </w:rPr>
            </w:pPr>
            <w:r w:rsidRPr="00446170">
              <w:rPr>
                <w:rFonts w:ascii="Arial Narrow" w:hAnsi="Arial Narrow" w:cs="Arial"/>
                <w:color w:val="000000"/>
                <w:sz w:val="20"/>
                <w:szCs w:val="20"/>
              </w:rPr>
              <w:t>29 438</w:t>
            </w:r>
          </w:p>
        </w:tc>
        <w:tc>
          <w:tcPr>
            <w:tcW w:w="1116" w:type="dxa"/>
            <w:tcBorders>
              <w:top w:val="nil"/>
              <w:left w:val="nil"/>
              <w:bottom w:val="single" w:sz="4" w:space="0" w:color="auto"/>
              <w:right w:val="single" w:sz="4" w:space="0" w:color="auto"/>
            </w:tcBorders>
            <w:shd w:val="clear" w:color="000000" w:fill="FFFFFF"/>
            <w:noWrap/>
            <w:vAlign w:val="center"/>
            <w:hideMark/>
          </w:tcPr>
          <w:p w14:paraId="454E9D72" w14:textId="77777777" w:rsidR="00446170" w:rsidRPr="00446170" w:rsidRDefault="00446170" w:rsidP="00446170">
            <w:pPr>
              <w:jc w:val="right"/>
              <w:rPr>
                <w:rFonts w:ascii="Arial Narrow" w:hAnsi="Arial Narrow" w:cs="Arial"/>
                <w:color w:val="000000"/>
                <w:sz w:val="20"/>
                <w:szCs w:val="20"/>
              </w:rPr>
            </w:pPr>
            <w:r w:rsidRPr="00446170">
              <w:rPr>
                <w:rFonts w:ascii="Arial Narrow" w:hAnsi="Arial Narrow" w:cs="Arial"/>
                <w:color w:val="000000"/>
                <w:sz w:val="20"/>
                <w:szCs w:val="20"/>
              </w:rPr>
              <w:t>41,9%</w:t>
            </w:r>
          </w:p>
        </w:tc>
      </w:tr>
      <w:tr w:rsidR="00446170" w:rsidRPr="00446170" w14:paraId="1E6C001F" w14:textId="77777777" w:rsidTr="00CD44F3">
        <w:trPr>
          <w:trHeight w:val="342"/>
        </w:trPr>
        <w:tc>
          <w:tcPr>
            <w:tcW w:w="2155" w:type="dxa"/>
            <w:tcBorders>
              <w:top w:val="nil"/>
              <w:left w:val="single" w:sz="4" w:space="0" w:color="auto"/>
              <w:bottom w:val="single" w:sz="4" w:space="0" w:color="auto"/>
              <w:right w:val="single" w:sz="4" w:space="0" w:color="auto"/>
            </w:tcBorders>
            <w:shd w:val="clear" w:color="000000" w:fill="FFFFFF"/>
            <w:noWrap/>
            <w:vAlign w:val="center"/>
            <w:hideMark/>
          </w:tcPr>
          <w:p w14:paraId="004BCDAF" w14:textId="77777777" w:rsidR="00446170" w:rsidRPr="00446170" w:rsidRDefault="00446170" w:rsidP="00446170">
            <w:pPr>
              <w:ind w:firstLineChars="100" w:firstLine="200"/>
              <w:rPr>
                <w:rFonts w:ascii="Arial Narrow" w:hAnsi="Arial Narrow" w:cs="Arial"/>
                <w:color w:val="000000"/>
                <w:sz w:val="20"/>
                <w:szCs w:val="20"/>
              </w:rPr>
            </w:pPr>
            <w:r w:rsidRPr="00446170">
              <w:rPr>
                <w:rFonts w:ascii="Arial Narrow" w:hAnsi="Arial Narrow" w:cs="Arial"/>
                <w:color w:val="000000"/>
                <w:sz w:val="20"/>
                <w:szCs w:val="20"/>
              </w:rPr>
              <w:t>Обединено кралство</w:t>
            </w:r>
          </w:p>
        </w:tc>
        <w:tc>
          <w:tcPr>
            <w:tcW w:w="1340" w:type="dxa"/>
            <w:tcBorders>
              <w:top w:val="nil"/>
              <w:left w:val="nil"/>
              <w:bottom w:val="single" w:sz="4" w:space="0" w:color="auto"/>
              <w:right w:val="single" w:sz="4" w:space="0" w:color="auto"/>
            </w:tcBorders>
            <w:shd w:val="clear" w:color="000000" w:fill="FFFFFF"/>
            <w:noWrap/>
            <w:vAlign w:val="center"/>
            <w:hideMark/>
          </w:tcPr>
          <w:p w14:paraId="771E5B42" w14:textId="77777777" w:rsidR="00446170" w:rsidRPr="00446170" w:rsidRDefault="00446170" w:rsidP="00446170">
            <w:pPr>
              <w:jc w:val="right"/>
              <w:rPr>
                <w:rFonts w:ascii="Arial Narrow" w:hAnsi="Arial Narrow" w:cs="Arial"/>
                <w:color w:val="000000"/>
                <w:sz w:val="20"/>
                <w:szCs w:val="20"/>
              </w:rPr>
            </w:pPr>
            <w:r w:rsidRPr="00446170">
              <w:rPr>
                <w:rFonts w:ascii="Arial Narrow" w:hAnsi="Arial Narrow" w:cs="Arial"/>
                <w:color w:val="000000"/>
                <w:sz w:val="20"/>
                <w:szCs w:val="20"/>
              </w:rPr>
              <w:t>48 072</w:t>
            </w:r>
          </w:p>
        </w:tc>
        <w:tc>
          <w:tcPr>
            <w:tcW w:w="1340" w:type="dxa"/>
            <w:tcBorders>
              <w:top w:val="nil"/>
              <w:left w:val="nil"/>
              <w:bottom w:val="single" w:sz="4" w:space="0" w:color="auto"/>
              <w:right w:val="single" w:sz="4" w:space="0" w:color="auto"/>
            </w:tcBorders>
            <w:shd w:val="clear" w:color="000000" w:fill="FFFFFF"/>
            <w:noWrap/>
            <w:vAlign w:val="center"/>
            <w:hideMark/>
          </w:tcPr>
          <w:p w14:paraId="629FE504" w14:textId="77777777" w:rsidR="00446170" w:rsidRPr="00446170" w:rsidRDefault="00446170" w:rsidP="00446170">
            <w:pPr>
              <w:jc w:val="right"/>
              <w:rPr>
                <w:rFonts w:ascii="Arial Narrow" w:hAnsi="Arial Narrow" w:cs="Arial"/>
                <w:sz w:val="20"/>
                <w:szCs w:val="20"/>
              </w:rPr>
            </w:pPr>
            <w:r w:rsidRPr="00446170">
              <w:rPr>
                <w:rFonts w:ascii="Arial Narrow" w:hAnsi="Arial Narrow" w:cs="Arial"/>
                <w:sz w:val="20"/>
                <w:szCs w:val="20"/>
              </w:rPr>
              <w:t>57 828</w:t>
            </w:r>
          </w:p>
        </w:tc>
        <w:tc>
          <w:tcPr>
            <w:tcW w:w="1340" w:type="dxa"/>
            <w:tcBorders>
              <w:top w:val="nil"/>
              <w:left w:val="nil"/>
              <w:bottom w:val="single" w:sz="4" w:space="0" w:color="auto"/>
              <w:right w:val="single" w:sz="4" w:space="0" w:color="auto"/>
            </w:tcBorders>
            <w:shd w:val="clear" w:color="000000" w:fill="FFFFFF"/>
            <w:noWrap/>
            <w:vAlign w:val="center"/>
            <w:hideMark/>
          </w:tcPr>
          <w:p w14:paraId="2B21C437" w14:textId="77777777" w:rsidR="00446170" w:rsidRPr="00446170" w:rsidRDefault="00446170" w:rsidP="00446170">
            <w:pPr>
              <w:jc w:val="right"/>
              <w:rPr>
                <w:rFonts w:ascii="Arial Narrow" w:hAnsi="Arial Narrow" w:cs="Arial"/>
                <w:color w:val="000000"/>
                <w:sz w:val="20"/>
                <w:szCs w:val="20"/>
              </w:rPr>
            </w:pPr>
            <w:r w:rsidRPr="00446170">
              <w:rPr>
                <w:rFonts w:ascii="Arial Narrow" w:hAnsi="Arial Narrow" w:cs="Arial"/>
                <w:color w:val="000000"/>
                <w:sz w:val="20"/>
                <w:szCs w:val="20"/>
              </w:rPr>
              <w:t>77 155</w:t>
            </w:r>
          </w:p>
        </w:tc>
        <w:tc>
          <w:tcPr>
            <w:tcW w:w="1310" w:type="dxa"/>
            <w:tcBorders>
              <w:top w:val="nil"/>
              <w:left w:val="nil"/>
              <w:bottom w:val="single" w:sz="4" w:space="0" w:color="auto"/>
              <w:right w:val="single" w:sz="4" w:space="0" w:color="auto"/>
            </w:tcBorders>
            <w:shd w:val="clear" w:color="000000" w:fill="FFFFFF"/>
            <w:noWrap/>
            <w:vAlign w:val="center"/>
            <w:hideMark/>
          </w:tcPr>
          <w:p w14:paraId="49712BD3" w14:textId="77777777" w:rsidR="00446170" w:rsidRPr="00446170" w:rsidRDefault="00446170" w:rsidP="00446170">
            <w:pPr>
              <w:jc w:val="right"/>
              <w:rPr>
                <w:rFonts w:ascii="Arial Narrow" w:hAnsi="Arial Narrow" w:cs="Arial"/>
                <w:color w:val="000000"/>
                <w:sz w:val="20"/>
                <w:szCs w:val="20"/>
              </w:rPr>
            </w:pPr>
            <w:r w:rsidRPr="00446170">
              <w:rPr>
                <w:rFonts w:ascii="Arial Narrow" w:hAnsi="Arial Narrow" w:cs="Arial"/>
                <w:color w:val="000000"/>
                <w:sz w:val="20"/>
                <w:szCs w:val="20"/>
              </w:rPr>
              <w:t>1,1%</w:t>
            </w:r>
          </w:p>
        </w:tc>
        <w:tc>
          <w:tcPr>
            <w:tcW w:w="1340" w:type="dxa"/>
            <w:tcBorders>
              <w:top w:val="nil"/>
              <w:left w:val="nil"/>
              <w:bottom w:val="single" w:sz="4" w:space="0" w:color="auto"/>
              <w:right w:val="single" w:sz="4" w:space="0" w:color="auto"/>
            </w:tcBorders>
            <w:shd w:val="clear" w:color="000000" w:fill="FFFFFF"/>
            <w:vAlign w:val="center"/>
            <w:hideMark/>
          </w:tcPr>
          <w:p w14:paraId="15AB2030" w14:textId="77777777" w:rsidR="00446170" w:rsidRPr="00446170" w:rsidRDefault="00446170" w:rsidP="00446170">
            <w:pPr>
              <w:jc w:val="right"/>
              <w:rPr>
                <w:rFonts w:ascii="Arial Narrow" w:hAnsi="Arial Narrow" w:cs="Arial"/>
                <w:color w:val="000000"/>
                <w:sz w:val="20"/>
                <w:szCs w:val="20"/>
              </w:rPr>
            </w:pPr>
            <w:r w:rsidRPr="00446170">
              <w:rPr>
                <w:rFonts w:ascii="Arial Narrow" w:hAnsi="Arial Narrow" w:cs="Arial"/>
                <w:color w:val="000000"/>
                <w:sz w:val="20"/>
                <w:szCs w:val="20"/>
              </w:rPr>
              <w:t>19 327</w:t>
            </w:r>
          </w:p>
        </w:tc>
        <w:tc>
          <w:tcPr>
            <w:tcW w:w="1116" w:type="dxa"/>
            <w:tcBorders>
              <w:top w:val="nil"/>
              <w:left w:val="nil"/>
              <w:bottom w:val="single" w:sz="4" w:space="0" w:color="auto"/>
              <w:right w:val="single" w:sz="4" w:space="0" w:color="auto"/>
            </w:tcBorders>
            <w:shd w:val="clear" w:color="000000" w:fill="FFFFFF"/>
            <w:noWrap/>
            <w:vAlign w:val="center"/>
            <w:hideMark/>
          </w:tcPr>
          <w:p w14:paraId="60FE7F71" w14:textId="77777777" w:rsidR="00446170" w:rsidRPr="00446170" w:rsidRDefault="00446170" w:rsidP="00446170">
            <w:pPr>
              <w:jc w:val="right"/>
              <w:rPr>
                <w:rFonts w:ascii="Arial Narrow" w:hAnsi="Arial Narrow" w:cs="Arial"/>
                <w:color w:val="000000"/>
                <w:sz w:val="20"/>
                <w:szCs w:val="20"/>
              </w:rPr>
            </w:pPr>
            <w:r w:rsidRPr="00446170">
              <w:rPr>
                <w:rFonts w:ascii="Arial Narrow" w:hAnsi="Arial Narrow" w:cs="Arial"/>
                <w:color w:val="000000"/>
                <w:sz w:val="20"/>
                <w:szCs w:val="20"/>
              </w:rPr>
              <w:t>33,4%</w:t>
            </w:r>
          </w:p>
        </w:tc>
      </w:tr>
      <w:tr w:rsidR="00446170" w:rsidRPr="00446170" w14:paraId="6F30DC3A" w14:textId="77777777" w:rsidTr="00CD44F3">
        <w:trPr>
          <w:trHeight w:val="330"/>
        </w:trPr>
        <w:tc>
          <w:tcPr>
            <w:tcW w:w="2155" w:type="dxa"/>
            <w:tcBorders>
              <w:top w:val="nil"/>
              <w:left w:val="single" w:sz="4" w:space="0" w:color="auto"/>
              <w:bottom w:val="single" w:sz="4" w:space="0" w:color="auto"/>
              <w:right w:val="single" w:sz="4" w:space="0" w:color="auto"/>
            </w:tcBorders>
            <w:shd w:val="clear" w:color="000000" w:fill="FFFFFF"/>
            <w:vAlign w:val="center"/>
            <w:hideMark/>
          </w:tcPr>
          <w:p w14:paraId="304D7895" w14:textId="77777777" w:rsidR="00446170" w:rsidRPr="00446170" w:rsidRDefault="00446170" w:rsidP="00446170">
            <w:pPr>
              <w:ind w:firstLineChars="100" w:firstLine="200"/>
              <w:rPr>
                <w:rFonts w:ascii="Arial Narrow" w:hAnsi="Arial Narrow" w:cs="Arial"/>
                <w:color w:val="000000"/>
                <w:sz w:val="20"/>
                <w:szCs w:val="20"/>
              </w:rPr>
            </w:pPr>
            <w:r w:rsidRPr="00446170">
              <w:rPr>
                <w:rFonts w:ascii="Arial Narrow" w:hAnsi="Arial Narrow" w:cs="Arial"/>
                <w:color w:val="000000"/>
                <w:sz w:val="20"/>
                <w:szCs w:val="20"/>
              </w:rPr>
              <w:t>Китай</w:t>
            </w:r>
          </w:p>
        </w:tc>
        <w:tc>
          <w:tcPr>
            <w:tcW w:w="1340" w:type="dxa"/>
            <w:tcBorders>
              <w:top w:val="nil"/>
              <w:left w:val="nil"/>
              <w:bottom w:val="single" w:sz="4" w:space="0" w:color="auto"/>
              <w:right w:val="single" w:sz="4" w:space="0" w:color="auto"/>
            </w:tcBorders>
            <w:shd w:val="clear" w:color="000000" w:fill="FFFFFF"/>
            <w:noWrap/>
            <w:vAlign w:val="center"/>
            <w:hideMark/>
          </w:tcPr>
          <w:p w14:paraId="2717C55F" w14:textId="77777777" w:rsidR="00446170" w:rsidRPr="00446170" w:rsidRDefault="00446170" w:rsidP="00446170">
            <w:pPr>
              <w:jc w:val="right"/>
              <w:rPr>
                <w:rFonts w:ascii="Arial Narrow" w:hAnsi="Arial Narrow" w:cs="Arial"/>
                <w:sz w:val="20"/>
                <w:szCs w:val="20"/>
              </w:rPr>
            </w:pPr>
            <w:r w:rsidRPr="00446170">
              <w:rPr>
                <w:rFonts w:ascii="Arial Narrow" w:hAnsi="Arial Narrow" w:cs="Arial"/>
                <w:sz w:val="20"/>
                <w:szCs w:val="20"/>
              </w:rPr>
              <w:t>202 132</w:t>
            </w:r>
          </w:p>
        </w:tc>
        <w:tc>
          <w:tcPr>
            <w:tcW w:w="1340" w:type="dxa"/>
            <w:tcBorders>
              <w:top w:val="nil"/>
              <w:left w:val="nil"/>
              <w:bottom w:val="single" w:sz="4" w:space="0" w:color="auto"/>
              <w:right w:val="single" w:sz="4" w:space="0" w:color="auto"/>
            </w:tcBorders>
            <w:shd w:val="clear" w:color="000000" w:fill="FFFFFF"/>
            <w:noWrap/>
            <w:vAlign w:val="center"/>
            <w:hideMark/>
          </w:tcPr>
          <w:p w14:paraId="55FB8DCD" w14:textId="77777777" w:rsidR="00446170" w:rsidRPr="00446170" w:rsidRDefault="00446170" w:rsidP="00446170">
            <w:pPr>
              <w:jc w:val="right"/>
              <w:rPr>
                <w:rFonts w:ascii="Arial Narrow" w:hAnsi="Arial Narrow" w:cs="Arial"/>
                <w:sz w:val="20"/>
                <w:szCs w:val="20"/>
              </w:rPr>
            </w:pPr>
            <w:r w:rsidRPr="00446170">
              <w:rPr>
                <w:rFonts w:ascii="Arial Narrow" w:hAnsi="Arial Narrow" w:cs="Arial"/>
                <w:sz w:val="20"/>
                <w:szCs w:val="20"/>
              </w:rPr>
              <w:t>113 606</w:t>
            </w:r>
          </w:p>
        </w:tc>
        <w:tc>
          <w:tcPr>
            <w:tcW w:w="1340" w:type="dxa"/>
            <w:tcBorders>
              <w:top w:val="nil"/>
              <w:left w:val="nil"/>
              <w:bottom w:val="single" w:sz="4" w:space="0" w:color="auto"/>
              <w:right w:val="single" w:sz="4" w:space="0" w:color="auto"/>
            </w:tcBorders>
            <w:shd w:val="clear" w:color="000000" w:fill="FFFFFF"/>
            <w:noWrap/>
            <w:vAlign w:val="center"/>
            <w:hideMark/>
          </w:tcPr>
          <w:p w14:paraId="2E7BC578" w14:textId="77777777" w:rsidR="00446170" w:rsidRPr="00446170" w:rsidRDefault="00446170" w:rsidP="00446170">
            <w:pPr>
              <w:jc w:val="right"/>
              <w:rPr>
                <w:rFonts w:ascii="Arial Narrow" w:hAnsi="Arial Narrow" w:cs="Arial"/>
                <w:sz w:val="20"/>
                <w:szCs w:val="20"/>
              </w:rPr>
            </w:pPr>
            <w:r w:rsidRPr="00446170">
              <w:rPr>
                <w:rFonts w:ascii="Arial Narrow" w:hAnsi="Arial Narrow" w:cs="Arial"/>
                <w:sz w:val="20"/>
                <w:szCs w:val="20"/>
              </w:rPr>
              <w:t>72 723</w:t>
            </w:r>
          </w:p>
        </w:tc>
        <w:tc>
          <w:tcPr>
            <w:tcW w:w="1310" w:type="dxa"/>
            <w:tcBorders>
              <w:top w:val="nil"/>
              <w:left w:val="nil"/>
              <w:bottom w:val="single" w:sz="4" w:space="0" w:color="auto"/>
              <w:right w:val="single" w:sz="4" w:space="0" w:color="auto"/>
            </w:tcBorders>
            <w:shd w:val="clear" w:color="000000" w:fill="FFFFFF"/>
            <w:noWrap/>
            <w:vAlign w:val="center"/>
            <w:hideMark/>
          </w:tcPr>
          <w:p w14:paraId="5D5357D2" w14:textId="77777777" w:rsidR="00446170" w:rsidRPr="00446170" w:rsidRDefault="00446170" w:rsidP="00446170">
            <w:pPr>
              <w:jc w:val="right"/>
              <w:rPr>
                <w:rFonts w:ascii="Arial Narrow" w:hAnsi="Arial Narrow" w:cs="Arial"/>
                <w:color w:val="000000"/>
                <w:sz w:val="20"/>
                <w:szCs w:val="20"/>
              </w:rPr>
            </w:pPr>
            <w:r w:rsidRPr="00446170">
              <w:rPr>
                <w:rFonts w:ascii="Arial Narrow" w:hAnsi="Arial Narrow" w:cs="Arial"/>
                <w:color w:val="000000"/>
                <w:sz w:val="20"/>
                <w:szCs w:val="20"/>
              </w:rPr>
              <w:t>1,1%</w:t>
            </w:r>
          </w:p>
        </w:tc>
        <w:tc>
          <w:tcPr>
            <w:tcW w:w="1340" w:type="dxa"/>
            <w:tcBorders>
              <w:top w:val="nil"/>
              <w:left w:val="nil"/>
              <w:bottom w:val="single" w:sz="4" w:space="0" w:color="auto"/>
              <w:right w:val="single" w:sz="4" w:space="0" w:color="auto"/>
            </w:tcBorders>
            <w:shd w:val="clear" w:color="000000" w:fill="FFFFFF"/>
            <w:vAlign w:val="center"/>
            <w:hideMark/>
          </w:tcPr>
          <w:p w14:paraId="615CFB37" w14:textId="77777777" w:rsidR="00446170" w:rsidRPr="00446170" w:rsidRDefault="00446170" w:rsidP="00446170">
            <w:pPr>
              <w:jc w:val="right"/>
              <w:rPr>
                <w:rFonts w:ascii="Arial Narrow" w:hAnsi="Arial Narrow" w:cs="Arial"/>
                <w:color w:val="000000"/>
                <w:sz w:val="20"/>
                <w:szCs w:val="20"/>
              </w:rPr>
            </w:pPr>
            <w:r w:rsidRPr="00446170">
              <w:rPr>
                <w:rFonts w:ascii="Arial Narrow" w:hAnsi="Arial Narrow" w:cs="Arial"/>
                <w:color w:val="000000"/>
                <w:sz w:val="20"/>
                <w:szCs w:val="20"/>
              </w:rPr>
              <w:t>-40 883</w:t>
            </w:r>
          </w:p>
        </w:tc>
        <w:tc>
          <w:tcPr>
            <w:tcW w:w="1116" w:type="dxa"/>
            <w:tcBorders>
              <w:top w:val="nil"/>
              <w:left w:val="nil"/>
              <w:bottom w:val="single" w:sz="4" w:space="0" w:color="auto"/>
              <w:right w:val="single" w:sz="4" w:space="0" w:color="auto"/>
            </w:tcBorders>
            <w:shd w:val="clear" w:color="000000" w:fill="FFFFFF"/>
            <w:noWrap/>
            <w:vAlign w:val="center"/>
            <w:hideMark/>
          </w:tcPr>
          <w:p w14:paraId="471E4459" w14:textId="77777777" w:rsidR="00446170" w:rsidRPr="00446170" w:rsidRDefault="00446170" w:rsidP="00446170">
            <w:pPr>
              <w:jc w:val="right"/>
              <w:rPr>
                <w:rFonts w:ascii="Arial Narrow" w:hAnsi="Arial Narrow" w:cs="Arial"/>
                <w:color w:val="000000"/>
                <w:sz w:val="20"/>
                <w:szCs w:val="20"/>
              </w:rPr>
            </w:pPr>
            <w:r w:rsidRPr="00446170">
              <w:rPr>
                <w:rFonts w:ascii="Arial Narrow" w:hAnsi="Arial Narrow" w:cs="Arial"/>
                <w:color w:val="000000"/>
                <w:sz w:val="20"/>
                <w:szCs w:val="20"/>
              </w:rPr>
              <w:t>-36,0%</w:t>
            </w:r>
          </w:p>
        </w:tc>
      </w:tr>
      <w:tr w:rsidR="00446170" w:rsidRPr="00446170" w14:paraId="30708DBB" w14:textId="77777777" w:rsidTr="00CD44F3">
        <w:trPr>
          <w:trHeight w:val="342"/>
        </w:trPr>
        <w:tc>
          <w:tcPr>
            <w:tcW w:w="2155" w:type="dxa"/>
            <w:tcBorders>
              <w:top w:val="nil"/>
              <w:left w:val="single" w:sz="4" w:space="0" w:color="auto"/>
              <w:bottom w:val="single" w:sz="4" w:space="0" w:color="auto"/>
              <w:right w:val="single" w:sz="4" w:space="0" w:color="auto"/>
            </w:tcBorders>
            <w:shd w:val="clear" w:color="000000" w:fill="FFFFFF"/>
            <w:noWrap/>
            <w:vAlign w:val="center"/>
            <w:hideMark/>
          </w:tcPr>
          <w:p w14:paraId="407D8B5D" w14:textId="77777777" w:rsidR="00446170" w:rsidRPr="00446170" w:rsidRDefault="00446170" w:rsidP="00446170">
            <w:pPr>
              <w:ind w:firstLineChars="100" w:firstLine="200"/>
              <w:rPr>
                <w:rFonts w:ascii="Arial Narrow" w:hAnsi="Arial Narrow" w:cs="Arial"/>
                <w:color w:val="000000"/>
                <w:sz w:val="20"/>
                <w:szCs w:val="20"/>
              </w:rPr>
            </w:pPr>
            <w:r w:rsidRPr="00446170">
              <w:rPr>
                <w:rFonts w:ascii="Arial Narrow" w:hAnsi="Arial Narrow" w:cs="Arial"/>
                <w:color w:val="000000"/>
                <w:sz w:val="20"/>
                <w:szCs w:val="20"/>
              </w:rPr>
              <w:t>Бразилия</w:t>
            </w:r>
          </w:p>
        </w:tc>
        <w:tc>
          <w:tcPr>
            <w:tcW w:w="1340" w:type="dxa"/>
            <w:tcBorders>
              <w:top w:val="nil"/>
              <w:left w:val="nil"/>
              <w:bottom w:val="single" w:sz="4" w:space="0" w:color="auto"/>
              <w:right w:val="single" w:sz="4" w:space="0" w:color="auto"/>
            </w:tcBorders>
            <w:shd w:val="clear" w:color="000000" w:fill="FFFFFF"/>
            <w:noWrap/>
            <w:vAlign w:val="center"/>
            <w:hideMark/>
          </w:tcPr>
          <w:p w14:paraId="2B585703" w14:textId="77777777" w:rsidR="00446170" w:rsidRPr="00446170" w:rsidRDefault="00446170" w:rsidP="00446170">
            <w:pPr>
              <w:jc w:val="right"/>
              <w:rPr>
                <w:rFonts w:ascii="Arial Narrow" w:hAnsi="Arial Narrow" w:cs="Arial"/>
                <w:color w:val="000000"/>
                <w:sz w:val="20"/>
                <w:szCs w:val="20"/>
              </w:rPr>
            </w:pPr>
            <w:r w:rsidRPr="00446170">
              <w:rPr>
                <w:rFonts w:ascii="Arial Narrow" w:hAnsi="Arial Narrow" w:cs="Arial"/>
                <w:color w:val="000000"/>
                <w:sz w:val="20"/>
                <w:szCs w:val="20"/>
              </w:rPr>
              <w:t>54 223</w:t>
            </w:r>
          </w:p>
        </w:tc>
        <w:tc>
          <w:tcPr>
            <w:tcW w:w="1340" w:type="dxa"/>
            <w:tcBorders>
              <w:top w:val="nil"/>
              <w:left w:val="nil"/>
              <w:bottom w:val="single" w:sz="4" w:space="0" w:color="auto"/>
              <w:right w:val="single" w:sz="4" w:space="0" w:color="auto"/>
            </w:tcBorders>
            <w:shd w:val="clear" w:color="000000" w:fill="FFFFFF"/>
            <w:noWrap/>
            <w:vAlign w:val="center"/>
            <w:hideMark/>
          </w:tcPr>
          <w:p w14:paraId="770EDAF7" w14:textId="77777777" w:rsidR="00446170" w:rsidRPr="00446170" w:rsidRDefault="00446170" w:rsidP="00446170">
            <w:pPr>
              <w:jc w:val="right"/>
              <w:rPr>
                <w:rFonts w:ascii="Arial Narrow" w:hAnsi="Arial Narrow" w:cs="Arial"/>
                <w:sz w:val="20"/>
                <w:szCs w:val="20"/>
              </w:rPr>
            </w:pPr>
            <w:r w:rsidRPr="00446170">
              <w:rPr>
                <w:rFonts w:ascii="Arial Narrow" w:hAnsi="Arial Narrow" w:cs="Arial"/>
                <w:sz w:val="20"/>
                <w:szCs w:val="20"/>
              </w:rPr>
              <w:t>36 720</w:t>
            </w:r>
          </w:p>
        </w:tc>
        <w:tc>
          <w:tcPr>
            <w:tcW w:w="1340" w:type="dxa"/>
            <w:tcBorders>
              <w:top w:val="nil"/>
              <w:left w:val="nil"/>
              <w:bottom w:val="single" w:sz="4" w:space="0" w:color="auto"/>
              <w:right w:val="single" w:sz="4" w:space="0" w:color="auto"/>
            </w:tcBorders>
            <w:shd w:val="clear" w:color="000000" w:fill="FFFFFF"/>
            <w:noWrap/>
            <w:vAlign w:val="center"/>
            <w:hideMark/>
          </w:tcPr>
          <w:p w14:paraId="0FF31D82" w14:textId="77777777" w:rsidR="00446170" w:rsidRPr="00446170" w:rsidRDefault="00446170" w:rsidP="00446170">
            <w:pPr>
              <w:jc w:val="right"/>
              <w:rPr>
                <w:rFonts w:ascii="Arial Narrow" w:hAnsi="Arial Narrow" w:cs="Arial"/>
                <w:color w:val="000000"/>
                <w:sz w:val="20"/>
                <w:szCs w:val="20"/>
              </w:rPr>
            </w:pPr>
            <w:r w:rsidRPr="00446170">
              <w:rPr>
                <w:rFonts w:ascii="Arial Narrow" w:hAnsi="Arial Narrow" w:cs="Arial"/>
                <w:color w:val="000000"/>
                <w:sz w:val="20"/>
                <w:szCs w:val="20"/>
              </w:rPr>
              <w:t>64 263</w:t>
            </w:r>
          </w:p>
        </w:tc>
        <w:tc>
          <w:tcPr>
            <w:tcW w:w="1310" w:type="dxa"/>
            <w:tcBorders>
              <w:top w:val="nil"/>
              <w:left w:val="nil"/>
              <w:bottom w:val="single" w:sz="4" w:space="0" w:color="auto"/>
              <w:right w:val="single" w:sz="4" w:space="0" w:color="auto"/>
            </w:tcBorders>
            <w:shd w:val="clear" w:color="000000" w:fill="FFFFFF"/>
            <w:noWrap/>
            <w:vAlign w:val="center"/>
            <w:hideMark/>
          </w:tcPr>
          <w:p w14:paraId="7CBFCDBA" w14:textId="77777777" w:rsidR="00446170" w:rsidRPr="00446170" w:rsidRDefault="00446170" w:rsidP="00446170">
            <w:pPr>
              <w:jc w:val="right"/>
              <w:rPr>
                <w:rFonts w:ascii="Arial Narrow" w:hAnsi="Arial Narrow" w:cs="Arial"/>
                <w:color w:val="000000"/>
                <w:sz w:val="20"/>
                <w:szCs w:val="20"/>
              </w:rPr>
            </w:pPr>
            <w:r w:rsidRPr="00446170">
              <w:rPr>
                <w:rFonts w:ascii="Arial Narrow" w:hAnsi="Arial Narrow" w:cs="Arial"/>
                <w:color w:val="000000"/>
                <w:sz w:val="20"/>
                <w:szCs w:val="20"/>
              </w:rPr>
              <w:t>1,0%</w:t>
            </w:r>
          </w:p>
        </w:tc>
        <w:tc>
          <w:tcPr>
            <w:tcW w:w="1340" w:type="dxa"/>
            <w:tcBorders>
              <w:top w:val="nil"/>
              <w:left w:val="nil"/>
              <w:bottom w:val="single" w:sz="4" w:space="0" w:color="auto"/>
              <w:right w:val="single" w:sz="4" w:space="0" w:color="auto"/>
            </w:tcBorders>
            <w:shd w:val="clear" w:color="000000" w:fill="FFFFFF"/>
            <w:vAlign w:val="center"/>
            <w:hideMark/>
          </w:tcPr>
          <w:p w14:paraId="6544600A" w14:textId="77777777" w:rsidR="00446170" w:rsidRPr="00446170" w:rsidRDefault="00446170" w:rsidP="00446170">
            <w:pPr>
              <w:jc w:val="right"/>
              <w:rPr>
                <w:rFonts w:ascii="Arial Narrow" w:hAnsi="Arial Narrow" w:cs="Arial"/>
                <w:color w:val="000000"/>
                <w:sz w:val="20"/>
                <w:szCs w:val="20"/>
              </w:rPr>
            </w:pPr>
            <w:r w:rsidRPr="00446170">
              <w:rPr>
                <w:rFonts w:ascii="Arial Narrow" w:hAnsi="Arial Narrow" w:cs="Arial"/>
                <w:color w:val="000000"/>
                <w:sz w:val="20"/>
                <w:szCs w:val="20"/>
              </w:rPr>
              <w:t>27 543</w:t>
            </w:r>
          </w:p>
        </w:tc>
        <w:tc>
          <w:tcPr>
            <w:tcW w:w="1116" w:type="dxa"/>
            <w:tcBorders>
              <w:top w:val="nil"/>
              <w:left w:val="nil"/>
              <w:bottom w:val="single" w:sz="4" w:space="0" w:color="auto"/>
              <w:right w:val="single" w:sz="4" w:space="0" w:color="auto"/>
            </w:tcBorders>
            <w:shd w:val="clear" w:color="000000" w:fill="FFFFFF"/>
            <w:noWrap/>
            <w:vAlign w:val="center"/>
            <w:hideMark/>
          </w:tcPr>
          <w:p w14:paraId="0B25490F" w14:textId="77777777" w:rsidR="00446170" w:rsidRPr="00446170" w:rsidRDefault="00446170" w:rsidP="00446170">
            <w:pPr>
              <w:jc w:val="right"/>
              <w:rPr>
                <w:rFonts w:ascii="Arial Narrow" w:hAnsi="Arial Narrow" w:cs="Arial"/>
                <w:color w:val="000000"/>
                <w:sz w:val="20"/>
                <w:szCs w:val="20"/>
              </w:rPr>
            </w:pPr>
            <w:r w:rsidRPr="00446170">
              <w:rPr>
                <w:rFonts w:ascii="Arial Narrow" w:hAnsi="Arial Narrow" w:cs="Arial"/>
                <w:color w:val="000000"/>
                <w:sz w:val="20"/>
                <w:szCs w:val="20"/>
              </w:rPr>
              <w:t>75,0%</w:t>
            </w:r>
          </w:p>
        </w:tc>
      </w:tr>
      <w:tr w:rsidR="00446170" w:rsidRPr="00446170" w14:paraId="5FF45FA4" w14:textId="77777777" w:rsidTr="00CD44F3">
        <w:trPr>
          <w:trHeight w:val="342"/>
        </w:trPr>
        <w:tc>
          <w:tcPr>
            <w:tcW w:w="2155" w:type="dxa"/>
            <w:tcBorders>
              <w:top w:val="nil"/>
              <w:left w:val="single" w:sz="4" w:space="0" w:color="auto"/>
              <w:bottom w:val="single" w:sz="4" w:space="0" w:color="auto"/>
              <w:right w:val="single" w:sz="4" w:space="0" w:color="auto"/>
            </w:tcBorders>
            <w:shd w:val="clear" w:color="000000" w:fill="FFFFFF"/>
            <w:noWrap/>
            <w:vAlign w:val="center"/>
            <w:hideMark/>
          </w:tcPr>
          <w:p w14:paraId="68FA0B22" w14:textId="77777777" w:rsidR="00446170" w:rsidRPr="00446170" w:rsidRDefault="00446170" w:rsidP="00446170">
            <w:pPr>
              <w:ind w:firstLineChars="100" w:firstLine="200"/>
              <w:rPr>
                <w:rFonts w:ascii="Arial Narrow" w:hAnsi="Arial Narrow" w:cs="Arial"/>
                <w:color w:val="000000"/>
                <w:sz w:val="20"/>
                <w:szCs w:val="20"/>
              </w:rPr>
            </w:pPr>
            <w:r w:rsidRPr="00446170">
              <w:rPr>
                <w:rFonts w:ascii="Arial Narrow" w:hAnsi="Arial Narrow" w:cs="Arial"/>
                <w:color w:val="000000"/>
                <w:sz w:val="20"/>
                <w:szCs w:val="20"/>
              </w:rPr>
              <w:t>Кот д' Ивоар</w:t>
            </w:r>
          </w:p>
        </w:tc>
        <w:tc>
          <w:tcPr>
            <w:tcW w:w="1340" w:type="dxa"/>
            <w:tcBorders>
              <w:top w:val="nil"/>
              <w:left w:val="nil"/>
              <w:bottom w:val="single" w:sz="4" w:space="0" w:color="auto"/>
              <w:right w:val="single" w:sz="4" w:space="0" w:color="auto"/>
            </w:tcBorders>
            <w:shd w:val="clear" w:color="000000" w:fill="FFFFFF"/>
            <w:noWrap/>
            <w:vAlign w:val="center"/>
            <w:hideMark/>
          </w:tcPr>
          <w:p w14:paraId="5B8A0D23" w14:textId="77777777" w:rsidR="00446170" w:rsidRPr="00446170" w:rsidRDefault="00446170" w:rsidP="00446170">
            <w:pPr>
              <w:jc w:val="right"/>
              <w:rPr>
                <w:rFonts w:ascii="Arial Narrow" w:hAnsi="Arial Narrow" w:cs="Arial"/>
                <w:color w:val="000000"/>
                <w:sz w:val="20"/>
                <w:szCs w:val="20"/>
              </w:rPr>
            </w:pPr>
            <w:r w:rsidRPr="00446170">
              <w:rPr>
                <w:rFonts w:ascii="Arial Narrow" w:hAnsi="Arial Narrow" w:cs="Arial"/>
                <w:color w:val="000000"/>
                <w:sz w:val="20"/>
                <w:szCs w:val="20"/>
              </w:rPr>
              <w:t>39 898</w:t>
            </w:r>
          </w:p>
        </w:tc>
        <w:tc>
          <w:tcPr>
            <w:tcW w:w="1340" w:type="dxa"/>
            <w:tcBorders>
              <w:top w:val="nil"/>
              <w:left w:val="nil"/>
              <w:bottom w:val="single" w:sz="4" w:space="0" w:color="auto"/>
              <w:right w:val="single" w:sz="4" w:space="0" w:color="auto"/>
            </w:tcBorders>
            <w:shd w:val="clear" w:color="000000" w:fill="FFFFFF"/>
            <w:noWrap/>
            <w:vAlign w:val="center"/>
            <w:hideMark/>
          </w:tcPr>
          <w:p w14:paraId="5A26E63C" w14:textId="77777777" w:rsidR="00446170" w:rsidRPr="00446170" w:rsidRDefault="00446170" w:rsidP="00446170">
            <w:pPr>
              <w:jc w:val="right"/>
              <w:rPr>
                <w:rFonts w:ascii="Arial Narrow" w:hAnsi="Arial Narrow" w:cs="Arial"/>
                <w:sz w:val="20"/>
                <w:szCs w:val="20"/>
              </w:rPr>
            </w:pPr>
            <w:r w:rsidRPr="00446170">
              <w:rPr>
                <w:rFonts w:ascii="Arial Narrow" w:hAnsi="Arial Narrow" w:cs="Arial"/>
                <w:sz w:val="20"/>
                <w:szCs w:val="20"/>
              </w:rPr>
              <w:t>75 414</w:t>
            </w:r>
          </w:p>
        </w:tc>
        <w:tc>
          <w:tcPr>
            <w:tcW w:w="1340" w:type="dxa"/>
            <w:tcBorders>
              <w:top w:val="nil"/>
              <w:left w:val="nil"/>
              <w:bottom w:val="single" w:sz="4" w:space="0" w:color="auto"/>
              <w:right w:val="single" w:sz="4" w:space="0" w:color="auto"/>
            </w:tcBorders>
            <w:shd w:val="clear" w:color="000000" w:fill="FFFFFF"/>
            <w:noWrap/>
            <w:vAlign w:val="center"/>
            <w:hideMark/>
          </w:tcPr>
          <w:p w14:paraId="215B6291" w14:textId="77777777" w:rsidR="00446170" w:rsidRPr="00446170" w:rsidRDefault="00446170" w:rsidP="00446170">
            <w:pPr>
              <w:jc w:val="right"/>
              <w:rPr>
                <w:rFonts w:ascii="Arial Narrow" w:hAnsi="Arial Narrow" w:cs="Arial"/>
                <w:color w:val="000000"/>
                <w:sz w:val="20"/>
                <w:szCs w:val="20"/>
              </w:rPr>
            </w:pPr>
            <w:r w:rsidRPr="00446170">
              <w:rPr>
                <w:rFonts w:ascii="Arial Narrow" w:hAnsi="Arial Narrow" w:cs="Arial"/>
                <w:color w:val="000000"/>
                <w:sz w:val="20"/>
                <w:szCs w:val="20"/>
              </w:rPr>
              <w:t>63 927</w:t>
            </w:r>
          </w:p>
        </w:tc>
        <w:tc>
          <w:tcPr>
            <w:tcW w:w="1310" w:type="dxa"/>
            <w:tcBorders>
              <w:top w:val="nil"/>
              <w:left w:val="nil"/>
              <w:bottom w:val="single" w:sz="4" w:space="0" w:color="auto"/>
              <w:right w:val="single" w:sz="4" w:space="0" w:color="auto"/>
            </w:tcBorders>
            <w:shd w:val="clear" w:color="000000" w:fill="FFFFFF"/>
            <w:noWrap/>
            <w:vAlign w:val="center"/>
            <w:hideMark/>
          </w:tcPr>
          <w:p w14:paraId="49E11530" w14:textId="77777777" w:rsidR="00446170" w:rsidRPr="00446170" w:rsidRDefault="00446170" w:rsidP="00446170">
            <w:pPr>
              <w:jc w:val="right"/>
              <w:rPr>
                <w:rFonts w:ascii="Arial Narrow" w:hAnsi="Arial Narrow" w:cs="Arial"/>
                <w:color w:val="000000"/>
                <w:sz w:val="20"/>
                <w:szCs w:val="20"/>
              </w:rPr>
            </w:pPr>
            <w:r w:rsidRPr="00446170">
              <w:rPr>
                <w:rFonts w:ascii="Arial Narrow" w:hAnsi="Arial Narrow" w:cs="Arial"/>
                <w:color w:val="000000"/>
                <w:sz w:val="20"/>
                <w:szCs w:val="20"/>
              </w:rPr>
              <w:t>0,9%</w:t>
            </w:r>
          </w:p>
        </w:tc>
        <w:tc>
          <w:tcPr>
            <w:tcW w:w="1340" w:type="dxa"/>
            <w:tcBorders>
              <w:top w:val="nil"/>
              <w:left w:val="nil"/>
              <w:bottom w:val="single" w:sz="4" w:space="0" w:color="auto"/>
              <w:right w:val="single" w:sz="4" w:space="0" w:color="auto"/>
            </w:tcBorders>
            <w:shd w:val="clear" w:color="000000" w:fill="FFFFFF"/>
            <w:vAlign w:val="center"/>
            <w:hideMark/>
          </w:tcPr>
          <w:p w14:paraId="5AF6BB56" w14:textId="77777777" w:rsidR="00446170" w:rsidRPr="00446170" w:rsidRDefault="00446170" w:rsidP="00446170">
            <w:pPr>
              <w:jc w:val="right"/>
              <w:rPr>
                <w:rFonts w:ascii="Arial Narrow" w:hAnsi="Arial Narrow" w:cs="Arial"/>
                <w:color w:val="000000"/>
                <w:sz w:val="20"/>
                <w:szCs w:val="20"/>
              </w:rPr>
            </w:pPr>
            <w:r w:rsidRPr="00446170">
              <w:rPr>
                <w:rFonts w:ascii="Arial Narrow" w:hAnsi="Arial Narrow" w:cs="Arial"/>
                <w:color w:val="000000"/>
                <w:sz w:val="20"/>
                <w:szCs w:val="20"/>
              </w:rPr>
              <w:t>-11 487</w:t>
            </w:r>
          </w:p>
        </w:tc>
        <w:tc>
          <w:tcPr>
            <w:tcW w:w="1116" w:type="dxa"/>
            <w:tcBorders>
              <w:top w:val="nil"/>
              <w:left w:val="nil"/>
              <w:bottom w:val="single" w:sz="4" w:space="0" w:color="auto"/>
              <w:right w:val="single" w:sz="4" w:space="0" w:color="auto"/>
            </w:tcBorders>
            <w:shd w:val="clear" w:color="000000" w:fill="FFFFFF"/>
            <w:noWrap/>
            <w:vAlign w:val="center"/>
            <w:hideMark/>
          </w:tcPr>
          <w:p w14:paraId="467DB778" w14:textId="77777777" w:rsidR="00446170" w:rsidRPr="00446170" w:rsidRDefault="00446170" w:rsidP="00446170">
            <w:pPr>
              <w:jc w:val="right"/>
              <w:rPr>
                <w:rFonts w:ascii="Arial Narrow" w:hAnsi="Arial Narrow" w:cs="Arial"/>
                <w:color w:val="000000"/>
                <w:sz w:val="20"/>
                <w:szCs w:val="20"/>
              </w:rPr>
            </w:pPr>
            <w:r w:rsidRPr="00446170">
              <w:rPr>
                <w:rFonts w:ascii="Arial Narrow" w:hAnsi="Arial Narrow" w:cs="Arial"/>
                <w:color w:val="000000"/>
                <w:sz w:val="20"/>
                <w:szCs w:val="20"/>
              </w:rPr>
              <w:t>-15,2%</w:t>
            </w:r>
          </w:p>
        </w:tc>
      </w:tr>
      <w:tr w:rsidR="00446170" w:rsidRPr="00446170" w14:paraId="23D03B32" w14:textId="77777777" w:rsidTr="00CD44F3">
        <w:trPr>
          <w:trHeight w:val="342"/>
        </w:trPr>
        <w:tc>
          <w:tcPr>
            <w:tcW w:w="2155" w:type="dxa"/>
            <w:tcBorders>
              <w:top w:val="nil"/>
              <w:left w:val="single" w:sz="4" w:space="0" w:color="auto"/>
              <w:bottom w:val="single" w:sz="4" w:space="0" w:color="auto"/>
              <w:right w:val="single" w:sz="4" w:space="0" w:color="auto"/>
            </w:tcBorders>
            <w:shd w:val="clear" w:color="000000" w:fill="FFFFFF"/>
            <w:noWrap/>
            <w:vAlign w:val="center"/>
            <w:hideMark/>
          </w:tcPr>
          <w:p w14:paraId="3D0609BE" w14:textId="77777777" w:rsidR="00446170" w:rsidRPr="00446170" w:rsidRDefault="00446170" w:rsidP="00446170">
            <w:pPr>
              <w:ind w:firstLineChars="100" w:firstLine="200"/>
              <w:rPr>
                <w:rFonts w:ascii="Arial Narrow" w:hAnsi="Arial Narrow" w:cs="Arial"/>
                <w:color w:val="000000"/>
                <w:sz w:val="20"/>
                <w:szCs w:val="20"/>
              </w:rPr>
            </w:pPr>
            <w:r w:rsidRPr="00446170">
              <w:rPr>
                <w:rFonts w:ascii="Arial Narrow" w:hAnsi="Arial Narrow" w:cs="Arial"/>
                <w:color w:val="000000"/>
                <w:sz w:val="20"/>
                <w:szCs w:val="20"/>
              </w:rPr>
              <w:t>Северна Македония</w:t>
            </w:r>
          </w:p>
        </w:tc>
        <w:tc>
          <w:tcPr>
            <w:tcW w:w="1340" w:type="dxa"/>
            <w:tcBorders>
              <w:top w:val="nil"/>
              <w:left w:val="nil"/>
              <w:bottom w:val="single" w:sz="4" w:space="0" w:color="auto"/>
              <w:right w:val="single" w:sz="4" w:space="0" w:color="auto"/>
            </w:tcBorders>
            <w:shd w:val="clear" w:color="000000" w:fill="FFFFFF"/>
            <w:noWrap/>
            <w:vAlign w:val="center"/>
            <w:hideMark/>
          </w:tcPr>
          <w:p w14:paraId="2BB09ED5" w14:textId="77777777" w:rsidR="00446170" w:rsidRPr="00446170" w:rsidRDefault="00446170" w:rsidP="00446170">
            <w:pPr>
              <w:jc w:val="right"/>
              <w:rPr>
                <w:rFonts w:ascii="Arial Narrow" w:hAnsi="Arial Narrow" w:cs="Arial"/>
                <w:color w:val="000000"/>
                <w:sz w:val="20"/>
                <w:szCs w:val="20"/>
              </w:rPr>
            </w:pPr>
            <w:r w:rsidRPr="00446170">
              <w:rPr>
                <w:rFonts w:ascii="Arial Narrow" w:hAnsi="Arial Narrow" w:cs="Arial"/>
                <w:color w:val="000000"/>
                <w:sz w:val="20"/>
                <w:szCs w:val="20"/>
              </w:rPr>
              <w:t>43 562</w:t>
            </w:r>
          </w:p>
        </w:tc>
        <w:tc>
          <w:tcPr>
            <w:tcW w:w="1340" w:type="dxa"/>
            <w:tcBorders>
              <w:top w:val="nil"/>
              <w:left w:val="nil"/>
              <w:bottom w:val="single" w:sz="4" w:space="0" w:color="auto"/>
              <w:right w:val="single" w:sz="4" w:space="0" w:color="auto"/>
            </w:tcBorders>
            <w:shd w:val="clear" w:color="000000" w:fill="FFFFFF"/>
            <w:noWrap/>
            <w:vAlign w:val="center"/>
            <w:hideMark/>
          </w:tcPr>
          <w:p w14:paraId="31CA1EEE" w14:textId="77777777" w:rsidR="00446170" w:rsidRPr="00446170" w:rsidRDefault="00446170" w:rsidP="00446170">
            <w:pPr>
              <w:jc w:val="right"/>
              <w:rPr>
                <w:rFonts w:ascii="Arial Narrow" w:hAnsi="Arial Narrow" w:cs="Arial"/>
                <w:sz w:val="20"/>
                <w:szCs w:val="20"/>
              </w:rPr>
            </w:pPr>
            <w:r w:rsidRPr="00446170">
              <w:rPr>
                <w:rFonts w:ascii="Arial Narrow" w:hAnsi="Arial Narrow" w:cs="Arial"/>
                <w:sz w:val="20"/>
                <w:szCs w:val="20"/>
              </w:rPr>
              <w:t>43 690</w:t>
            </w:r>
          </w:p>
        </w:tc>
        <w:tc>
          <w:tcPr>
            <w:tcW w:w="1340" w:type="dxa"/>
            <w:tcBorders>
              <w:top w:val="nil"/>
              <w:left w:val="nil"/>
              <w:bottom w:val="single" w:sz="4" w:space="0" w:color="auto"/>
              <w:right w:val="single" w:sz="4" w:space="0" w:color="auto"/>
            </w:tcBorders>
            <w:shd w:val="clear" w:color="000000" w:fill="FFFFFF"/>
            <w:noWrap/>
            <w:vAlign w:val="center"/>
            <w:hideMark/>
          </w:tcPr>
          <w:p w14:paraId="32116A3A" w14:textId="77777777" w:rsidR="00446170" w:rsidRPr="00446170" w:rsidRDefault="00446170" w:rsidP="00446170">
            <w:pPr>
              <w:jc w:val="right"/>
              <w:rPr>
                <w:rFonts w:ascii="Arial Narrow" w:hAnsi="Arial Narrow" w:cs="Arial"/>
                <w:color w:val="000000"/>
                <w:sz w:val="20"/>
                <w:szCs w:val="20"/>
              </w:rPr>
            </w:pPr>
            <w:r w:rsidRPr="00446170">
              <w:rPr>
                <w:rFonts w:ascii="Arial Narrow" w:hAnsi="Arial Narrow" w:cs="Arial"/>
                <w:color w:val="000000"/>
                <w:sz w:val="20"/>
                <w:szCs w:val="20"/>
              </w:rPr>
              <w:t>44 191</w:t>
            </w:r>
          </w:p>
        </w:tc>
        <w:tc>
          <w:tcPr>
            <w:tcW w:w="1310" w:type="dxa"/>
            <w:tcBorders>
              <w:top w:val="nil"/>
              <w:left w:val="nil"/>
              <w:bottom w:val="single" w:sz="4" w:space="0" w:color="auto"/>
              <w:right w:val="single" w:sz="4" w:space="0" w:color="auto"/>
            </w:tcBorders>
            <w:shd w:val="clear" w:color="000000" w:fill="FFFFFF"/>
            <w:noWrap/>
            <w:vAlign w:val="center"/>
            <w:hideMark/>
          </w:tcPr>
          <w:p w14:paraId="6124FDC6" w14:textId="77777777" w:rsidR="00446170" w:rsidRPr="00446170" w:rsidRDefault="00446170" w:rsidP="00446170">
            <w:pPr>
              <w:jc w:val="right"/>
              <w:rPr>
                <w:rFonts w:ascii="Arial Narrow" w:hAnsi="Arial Narrow" w:cs="Arial"/>
                <w:color w:val="000000"/>
                <w:sz w:val="20"/>
                <w:szCs w:val="20"/>
              </w:rPr>
            </w:pPr>
            <w:r w:rsidRPr="00446170">
              <w:rPr>
                <w:rFonts w:ascii="Arial Narrow" w:hAnsi="Arial Narrow" w:cs="Arial"/>
                <w:color w:val="000000"/>
                <w:sz w:val="20"/>
                <w:szCs w:val="20"/>
              </w:rPr>
              <w:t>0,7%</w:t>
            </w:r>
          </w:p>
        </w:tc>
        <w:tc>
          <w:tcPr>
            <w:tcW w:w="1340" w:type="dxa"/>
            <w:tcBorders>
              <w:top w:val="nil"/>
              <w:left w:val="nil"/>
              <w:bottom w:val="single" w:sz="4" w:space="0" w:color="auto"/>
              <w:right w:val="single" w:sz="4" w:space="0" w:color="auto"/>
            </w:tcBorders>
            <w:shd w:val="clear" w:color="000000" w:fill="FFFFFF"/>
            <w:vAlign w:val="center"/>
            <w:hideMark/>
          </w:tcPr>
          <w:p w14:paraId="63287270" w14:textId="77777777" w:rsidR="00446170" w:rsidRPr="00446170" w:rsidRDefault="00446170" w:rsidP="00446170">
            <w:pPr>
              <w:jc w:val="right"/>
              <w:rPr>
                <w:rFonts w:ascii="Arial Narrow" w:hAnsi="Arial Narrow" w:cs="Arial"/>
                <w:color w:val="000000"/>
                <w:sz w:val="20"/>
                <w:szCs w:val="20"/>
              </w:rPr>
            </w:pPr>
            <w:r w:rsidRPr="00446170">
              <w:rPr>
                <w:rFonts w:ascii="Arial Narrow" w:hAnsi="Arial Narrow" w:cs="Arial"/>
                <w:color w:val="000000"/>
                <w:sz w:val="20"/>
                <w:szCs w:val="20"/>
              </w:rPr>
              <w:t>501</w:t>
            </w:r>
          </w:p>
        </w:tc>
        <w:tc>
          <w:tcPr>
            <w:tcW w:w="1116" w:type="dxa"/>
            <w:tcBorders>
              <w:top w:val="nil"/>
              <w:left w:val="nil"/>
              <w:bottom w:val="single" w:sz="4" w:space="0" w:color="auto"/>
              <w:right w:val="single" w:sz="4" w:space="0" w:color="auto"/>
            </w:tcBorders>
            <w:shd w:val="clear" w:color="000000" w:fill="FFFFFF"/>
            <w:noWrap/>
            <w:vAlign w:val="center"/>
            <w:hideMark/>
          </w:tcPr>
          <w:p w14:paraId="21BB26E7" w14:textId="77777777" w:rsidR="00446170" w:rsidRPr="00446170" w:rsidRDefault="00446170" w:rsidP="00446170">
            <w:pPr>
              <w:jc w:val="right"/>
              <w:rPr>
                <w:rFonts w:ascii="Arial Narrow" w:hAnsi="Arial Narrow" w:cs="Arial"/>
                <w:color w:val="000000"/>
                <w:sz w:val="20"/>
                <w:szCs w:val="20"/>
              </w:rPr>
            </w:pPr>
            <w:r w:rsidRPr="00446170">
              <w:rPr>
                <w:rFonts w:ascii="Arial Narrow" w:hAnsi="Arial Narrow" w:cs="Arial"/>
                <w:color w:val="000000"/>
                <w:sz w:val="20"/>
                <w:szCs w:val="20"/>
              </w:rPr>
              <w:t>1,1%</w:t>
            </w:r>
          </w:p>
        </w:tc>
      </w:tr>
      <w:tr w:rsidR="00446170" w:rsidRPr="00446170" w14:paraId="0229C204" w14:textId="77777777" w:rsidTr="00CD44F3">
        <w:trPr>
          <w:trHeight w:val="342"/>
        </w:trPr>
        <w:tc>
          <w:tcPr>
            <w:tcW w:w="2155" w:type="dxa"/>
            <w:tcBorders>
              <w:top w:val="nil"/>
              <w:left w:val="single" w:sz="4" w:space="0" w:color="auto"/>
              <w:bottom w:val="single" w:sz="4" w:space="0" w:color="auto"/>
              <w:right w:val="single" w:sz="4" w:space="0" w:color="auto"/>
            </w:tcBorders>
            <w:shd w:val="clear" w:color="000000" w:fill="FFFFFF"/>
            <w:noWrap/>
            <w:vAlign w:val="center"/>
            <w:hideMark/>
          </w:tcPr>
          <w:p w14:paraId="067BA763" w14:textId="77777777" w:rsidR="00446170" w:rsidRPr="00446170" w:rsidRDefault="00446170" w:rsidP="00446170">
            <w:pPr>
              <w:ind w:firstLineChars="100" w:firstLine="200"/>
              <w:rPr>
                <w:rFonts w:ascii="Arial Narrow" w:hAnsi="Arial Narrow" w:cs="Arial"/>
                <w:sz w:val="20"/>
                <w:szCs w:val="20"/>
              </w:rPr>
            </w:pPr>
            <w:r w:rsidRPr="00446170">
              <w:rPr>
                <w:rFonts w:ascii="Arial Narrow" w:hAnsi="Arial Narrow" w:cs="Arial"/>
                <w:sz w:val="20"/>
                <w:szCs w:val="20"/>
              </w:rPr>
              <w:t>САЩ</w:t>
            </w:r>
          </w:p>
        </w:tc>
        <w:tc>
          <w:tcPr>
            <w:tcW w:w="1340" w:type="dxa"/>
            <w:tcBorders>
              <w:top w:val="nil"/>
              <w:left w:val="nil"/>
              <w:bottom w:val="single" w:sz="4" w:space="0" w:color="auto"/>
              <w:right w:val="single" w:sz="4" w:space="0" w:color="auto"/>
            </w:tcBorders>
            <w:shd w:val="clear" w:color="000000" w:fill="FFFFFF"/>
            <w:noWrap/>
            <w:vAlign w:val="center"/>
            <w:hideMark/>
          </w:tcPr>
          <w:p w14:paraId="50D1399C" w14:textId="77777777" w:rsidR="00446170" w:rsidRPr="00446170" w:rsidRDefault="00446170" w:rsidP="00446170">
            <w:pPr>
              <w:jc w:val="right"/>
              <w:rPr>
                <w:rFonts w:ascii="Arial Narrow" w:hAnsi="Arial Narrow" w:cs="Arial"/>
                <w:sz w:val="20"/>
                <w:szCs w:val="20"/>
              </w:rPr>
            </w:pPr>
            <w:r w:rsidRPr="00446170">
              <w:rPr>
                <w:rFonts w:ascii="Arial Narrow" w:hAnsi="Arial Narrow" w:cs="Arial"/>
                <w:sz w:val="20"/>
                <w:szCs w:val="20"/>
              </w:rPr>
              <w:t>27 589</w:t>
            </w:r>
          </w:p>
        </w:tc>
        <w:tc>
          <w:tcPr>
            <w:tcW w:w="1340" w:type="dxa"/>
            <w:tcBorders>
              <w:top w:val="nil"/>
              <w:left w:val="nil"/>
              <w:bottom w:val="single" w:sz="4" w:space="0" w:color="auto"/>
              <w:right w:val="single" w:sz="4" w:space="0" w:color="auto"/>
            </w:tcBorders>
            <w:shd w:val="clear" w:color="000000" w:fill="FFFFFF"/>
            <w:noWrap/>
            <w:vAlign w:val="center"/>
            <w:hideMark/>
          </w:tcPr>
          <w:p w14:paraId="059BFBCE" w14:textId="77777777" w:rsidR="00446170" w:rsidRPr="00446170" w:rsidRDefault="00446170" w:rsidP="00446170">
            <w:pPr>
              <w:jc w:val="right"/>
              <w:rPr>
                <w:rFonts w:ascii="Arial Narrow" w:hAnsi="Arial Narrow" w:cs="Arial"/>
                <w:sz w:val="20"/>
                <w:szCs w:val="20"/>
              </w:rPr>
            </w:pPr>
            <w:r w:rsidRPr="00446170">
              <w:rPr>
                <w:rFonts w:ascii="Arial Narrow" w:hAnsi="Arial Narrow" w:cs="Arial"/>
                <w:sz w:val="20"/>
                <w:szCs w:val="20"/>
              </w:rPr>
              <w:t>33 102</w:t>
            </w:r>
          </w:p>
        </w:tc>
        <w:tc>
          <w:tcPr>
            <w:tcW w:w="1340" w:type="dxa"/>
            <w:tcBorders>
              <w:top w:val="nil"/>
              <w:left w:val="nil"/>
              <w:bottom w:val="single" w:sz="4" w:space="0" w:color="auto"/>
              <w:right w:val="single" w:sz="4" w:space="0" w:color="auto"/>
            </w:tcBorders>
            <w:shd w:val="clear" w:color="000000" w:fill="FFFFFF"/>
            <w:noWrap/>
            <w:vAlign w:val="center"/>
            <w:hideMark/>
          </w:tcPr>
          <w:p w14:paraId="4C17B10D" w14:textId="77777777" w:rsidR="00446170" w:rsidRPr="00446170" w:rsidRDefault="00446170" w:rsidP="00446170">
            <w:pPr>
              <w:jc w:val="right"/>
              <w:rPr>
                <w:rFonts w:ascii="Arial Narrow" w:hAnsi="Arial Narrow" w:cs="Arial"/>
                <w:sz w:val="20"/>
                <w:szCs w:val="20"/>
              </w:rPr>
            </w:pPr>
            <w:r w:rsidRPr="00446170">
              <w:rPr>
                <w:rFonts w:ascii="Arial Narrow" w:hAnsi="Arial Narrow" w:cs="Arial"/>
                <w:sz w:val="20"/>
                <w:szCs w:val="20"/>
              </w:rPr>
              <w:t>42 730</w:t>
            </w:r>
          </w:p>
        </w:tc>
        <w:tc>
          <w:tcPr>
            <w:tcW w:w="1310" w:type="dxa"/>
            <w:tcBorders>
              <w:top w:val="nil"/>
              <w:left w:val="nil"/>
              <w:bottom w:val="single" w:sz="4" w:space="0" w:color="auto"/>
              <w:right w:val="single" w:sz="4" w:space="0" w:color="auto"/>
            </w:tcBorders>
            <w:shd w:val="clear" w:color="000000" w:fill="FFFFFF"/>
            <w:noWrap/>
            <w:vAlign w:val="center"/>
            <w:hideMark/>
          </w:tcPr>
          <w:p w14:paraId="43F027CC" w14:textId="77777777" w:rsidR="00446170" w:rsidRPr="00446170" w:rsidRDefault="00446170" w:rsidP="00446170">
            <w:pPr>
              <w:jc w:val="right"/>
              <w:rPr>
                <w:rFonts w:ascii="Arial Narrow" w:hAnsi="Arial Narrow" w:cs="Arial"/>
                <w:sz w:val="20"/>
                <w:szCs w:val="20"/>
              </w:rPr>
            </w:pPr>
            <w:r w:rsidRPr="00446170">
              <w:rPr>
                <w:rFonts w:ascii="Arial Narrow" w:hAnsi="Arial Narrow" w:cs="Arial"/>
                <w:sz w:val="20"/>
                <w:szCs w:val="20"/>
              </w:rPr>
              <w:t>0,6%</w:t>
            </w:r>
          </w:p>
        </w:tc>
        <w:tc>
          <w:tcPr>
            <w:tcW w:w="1340" w:type="dxa"/>
            <w:tcBorders>
              <w:top w:val="nil"/>
              <w:left w:val="nil"/>
              <w:bottom w:val="single" w:sz="4" w:space="0" w:color="auto"/>
              <w:right w:val="single" w:sz="4" w:space="0" w:color="auto"/>
            </w:tcBorders>
            <w:shd w:val="clear" w:color="000000" w:fill="FFFFFF"/>
            <w:vAlign w:val="center"/>
            <w:hideMark/>
          </w:tcPr>
          <w:p w14:paraId="6F33A269" w14:textId="77777777" w:rsidR="00446170" w:rsidRPr="00446170" w:rsidRDefault="00446170" w:rsidP="00446170">
            <w:pPr>
              <w:jc w:val="right"/>
              <w:rPr>
                <w:rFonts w:ascii="Arial Narrow" w:hAnsi="Arial Narrow" w:cs="Arial"/>
                <w:sz w:val="20"/>
                <w:szCs w:val="20"/>
              </w:rPr>
            </w:pPr>
            <w:r w:rsidRPr="00446170">
              <w:rPr>
                <w:rFonts w:ascii="Arial Narrow" w:hAnsi="Arial Narrow" w:cs="Arial"/>
                <w:sz w:val="20"/>
                <w:szCs w:val="20"/>
              </w:rPr>
              <w:t>9 628</w:t>
            </w:r>
          </w:p>
        </w:tc>
        <w:tc>
          <w:tcPr>
            <w:tcW w:w="1116" w:type="dxa"/>
            <w:tcBorders>
              <w:top w:val="nil"/>
              <w:left w:val="nil"/>
              <w:bottom w:val="single" w:sz="4" w:space="0" w:color="auto"/>
              <w:right w:val="single" w:sz="4" w:space="0" w:color="auto"/>
            </w:tcBorders>
            <w:shd w:val="clear" w:color="000000" w:fill="FFFFFF"/>
            <w:noWrap/>
            <w:vAlign w:val="center"/>
            <w:hideMark/>
          </w:tcPr>
          <w:p w14:paraId="2AEA862A" w14:textId="77777777" w:rsidR="00446170" w:rsidRPr="00446170" w:rsidRDefault="00446170" w:rsidP="00446170">
            <w:pPr>
              <w:jc w:val="right"/>
              <w:rPr>
                <w:rFonts w:ascii="Arial Narrow" w:hAnsi="Arial Narrow" w:cs="Arial"/>
                <w:sz w:val="20"/>
                <w:szCs w:val="20"/>
              </w:rPr>
            </w:pPr>
            <w:r w:rsidRPr="00446170">
              <w:rPr>
                <w:rFonts w:ascii="Arial Narrow" w:hAnsi="Arial Narrow" w:cs="Arial"/>
                <w:sz w:val="20"/>
                <w:szCs w:val="20"/>
              </w:rPr>
              <w:t>29,1%</w:t>
            </w:r>
          </w:p>
        </w:tc>
      </w:tr>
      <w:tr w:rsidR="00446170" w:rsidRPr="00446170" w14:paraId="1F0C3186" w14:textId="77777777" w:rsidTr="00CD44F3">
        <w:trPr>
          <w:trHeight w:val="342"/>
        </w:trPr>
        <w:tc>
          <w:tcPr>
            <w:tcW w:w="2155" w:type="dxa"/>
            <w:tcBorders>
              <w:top w:val="nil"/>
              <w:left w:val="single" w:sz="4" w:space="0" w:color="auto"/>
              <w:bottom w:val="single" w:sz="4" w:space="0" w:color="auto"/>
              <w:right w:val="single" w:sz="4" w:space="0" w:color="auto"/>
            </w:tcBorders>
            <w:shd w:val="clear" w:color="000000" w:fill="FFFFFF"/>
            <w:noWrap/>
            <w:vAlign w:val="center"/>
            <w:hideMark/>
          </w:tcPr>
          <w:p w14:paraId="1704D53E" w14:textId="77777777" w:rsidR="00446170" w:rsidRPr="00446170" w:rsidRDefault="00446170" w:rsidP="00446170">
            <w:pPr>
              <w:ind w:firstLineChars="100" w:firstLine="200"/>
              <w:rPr>
                <w:rFonts w:ascii="Arial Narrow" w:hAnsi="Arial Narrow" w:cs="Arial"/>
                <w:sz w:val="20"/>
                <w:szCs w:val="20"/>
              </w:rPr>
            </w:pPr>
            <w:r w:rsidRPr="00446170">
              <w:rPr>
                <w:rFonts w:ascii="Arial Narrow" w:hAnsi="Arial Narrow" w:cs="Arial"/>
                <w:sz w:val="20"/>
                <w:szCs w:val="20"/>
              </w:rPr>
              <w:t>Виетнам</w:t>
            </w:r>
          </w:p>
        </w:tc>
        <w:tc>
          <w:tcPr>
            <w:tcW w:w="1340" w:type="dxa"/>
            <w:tcBorders>
              <w:top w:val="nil"/>
              <w:left w:val="nil"/>
              <w:bottom w:val="single" w:sz="4" w:space="0" w:color="auto"/>
              <w:right w:val="single" w:sz="4" w:space="0" w:color="auto"/>
            </w:tcBorders>
            <w:shd w:val="clear" w:color="000000" w:fill="FFFFFF"/>
            <w:noWrap/>
            <w:vAlign w:val="center"/>
            <w:hideMark/>
          </w:tcPr>
          <w:p w14:paraId="2F75716F" w14:textId="77777777" w:rsidR="00446170" w:rsidRPr="00446170" w:rsidRDefault="00446170" w:rsidP="00446170">
            <w:pPr>
              <w:jc w:val="right"/>
              <w:rPr>
                <w:rFonts w:ascii="Arial Narrow" w:hAnsi="Arial Narrow" w:cs="Arial"/>
                <w:sz w:val="20"/>
                <w:szCs w:val="20"/>
              </w:rPr>
            </w:pPr>
            <w:r w:rsidRPr="00446170">
              <w:rPr>
                <w:rFonts w:ascii="Arial Narrow" w:hAnsi="Arial Narrow" w:cs="Arial"/>
                <w:sz w:val="20"/>
                <w:szCs w:val="20"/>
              </w:rPr>
              <w:t>28 590</w:t>
            </w:r>
          </w:p>
        </w:tc>
        <w:tc>
          <w:tcPr>
            <w:tcW w:w="1340" w:type="dxa"/>
            <w:tcBorders>
              <w:top w:val="nil"/>
              <w:left w:val="nil"/>
              <w:bottom w:val="single" w:sz="4" w:space="0" w:color="auto"/>
              <w:right w:val="single" w:sz="4" w:space="0" w:color="auto"/>
            </w:tcBorders>
            <w:shd w:val="clear" w:color="000000" w:fill="FFFFFF"/>
            <w:noWrap/>
            <w:vAlign w:val="center"/>
            <w:hideMark/>
          </w:tcPr>
          <w:p w14:paraId="478D8BDC" w14:textId="77777777" w:rsidR="00446170" w:rsidRPr="00446170" w:rsidRDefault="00446170" w:rsidP="00446170">
            <w:pPr>
              <w:jc w:val="right"/>
              <w:rPr>
                <w:rFonts w:ascii="Arial Narrow" w:hAnsi="Arial Narrow" w:cs="Arial"/>
                <w:sz w:val="20"/>
                <w:szCs w:val="20"/>
              </w:rPr>
            </w:pPr>
            <w:r w:rsidRPr="00446170">
              <w:rPr>
                <w:rFonts w:ascii="Arial Narrow" w:hAnsi="Arial Narrow" w:cs="Arial"/>
                <w:sz w:val="20"/>
                <w:szCs w:val="20"/>
              </w:rPr>
              <w:t>25 990</w:t>
            </w:r>
          </w:p>
        </w:tc>
        <w:tc>
          <w:tcPr>
            <w:tcW w:w="1340" w:type="dxa"/>
            <w:tcBorders>
              <w:top w:val="nil"/>
              <w:left w:val="nil"/>
              <w:bottom w:val="single" w:sz="4" w:space="0" w:color="auto"/>
              <w:right w:val="single" w:sz="4" w:space="0" w:color="auto"/>
            </w:tcBorders>
            <w:shd w:val="clear" w:color="000000" w:fill="FFFFFF"/>
            <w:noWrap/>
            <w:vAlign w:val="center"/>
            <w:hideMark/>
          </w:tcPr>
          <w:p w14:paraId="1C3B5D47" w14:textId="77777777" w:rsidR="00446170" w:rsidRPr="00446170" w:rsidRDefault="00446170" w:rsidP="00446170">
            <w:pPr>
              <w:jc w:val="right"/>
              <w:rPr>
                <w:rFonts w:ascii="Arial Narrow" w:hAnsi="Arial Narrow" w:cs="Arial"/>
                <w:sz w:val="20"/>
                <w:szCs w:val="20"/>
              </w:rPr>
            </w:pPr>
            <w:r w:rsidRPr="00446170">
              <w:rPr>
                <w:rFonts w:ascii="Arial Narrow" w:hAnsi="Arial Narrow" w:cs="Arial"/>
                <w:sz w:val="20"/>
                <w:szCs w:val="20"/>
              </w:rPr>
              <w:t>37 946</w:t>
            </w:r>
          </w:p>
        </w:tc>
        <w:tc>
          <w:tcPr>
            <w:tcW w:w="1310" w:type="dxa"/>
            <w:tcBorders>
              <w:top w:val="nil"/>
              <w:left w:val="nil"/>
              <w:bottom w:val="single" w:sz="4" w:space="0" w:color="auto"/>
              <w:right w:val="single" w:sz="4" w:space="0" w:color="auto"/>
            </w:tcBorders>
            <w:shd w:val="clear" w:color="000000" w:fill="FFFFFF"/>
            <w:noWrap/>
            <w:vAlign w:val="center"/>
            <w:hideMark/>
          </w:tcPr>
          <w:p w14:paraId="2C7624EA" w14:textId="77777777" w:rsidR="00446170" w:rsidRPr="00446170" w:rsidRDefault="00446170" w:rsidP="00446170">
            <w:pPr>
              <w:jc w:val="right"/>
              <w:rPr>
                <w:rFonts w:ascii="Arial Narrow" w:hAnsi="Arial Narrow" w:cs="Arial"/>
                <w:sz w:val="20"/>
                <w:szCs w:val="20"/>
              </w:rPr>
            </w:pPr>
            <w:r w:rsidRPr="00446170">
              <w:rPr>
                <w:rFonts w:ascii="Arial Narrow" w:hAnsi="Arial Narrow" w:cs="Arial"/>
                <w:sz w:val="20"/>
                <w:szCs w:val="20"/>
              </w:rPr>
              <w:t>0,6%</w:t>
            </w:r>
          </w:p>
        </w:tc>
        <w:tc>
          <w:tcPr>
            <w:tcW w:w="1340" w:type="dxa"/>
            <w:tcBorders>
              <w:top w:val="nil"/>
              <w:left w:val="nil"/>
              <w:bottom w:val="single" w:sz="4" w:space="0" w:color="auto"/>
              <w:right w:val="single" w:sz="4" w:space="0" w:color="auto"/>
            </w:tcBorders>
            <w:shd w:val="clear" w:color="000000" w:fill="FFFFFF"/>
            <w:vAlign w:val="center"/>
            <w:hideMark/>
          </w:tcPr>
          <w:p w14:paraId="4B7300B8" w14:textId="77777777" w:rsidR="00446170" w:rsidRPr="00446170" w:rsidRDefault="00446170" w:rsidP="00446170">
            <w:pPr>
              <w:jc w:val="right"/>
              <w:rPr>
                <w:rFonts w:ascii="Arial Narrow" w:hAnsi="Arial Narrow" w:cs="Arial"/>
                <w:sz w:val="20"/>
                <w:szCs w:val="20"/>
              </w:rPr>
            </w:pPr>
            <w:r w:rsidRPr="00446170">
              <w:rPr>
                <w:rFonts w:ascii="Arial Narrow" w:hAnsi="Arial Narrow" w:cs="Arial"/>
                <w:sz w:val="20"/>
                <w:szCs w:val="20"/>
              </w:rPr>
              <w:t>11 956</w:t>
            </w:r>
          </w:p>
        </w:tc>
        <w:tc>
          <w:tcPr>
            <w:tcW w:w="1116" w:type="dxa"/>
            <w:tcBorders>
              <w:top w:val="nil"/>
              <w:left w:val="nil"/>
              <w:bottom w:val="single" w:sz="4" w:space="0" w:color="auto"/>
              <w:right w:val="single" w:sz="4" w:space="0" w:color="auto"/>
            </w:tcBorders>
            <w:shd w:val="clear" w:color="000000" w:fill="FFFFFF"/>
            <w:noWrap/>
            <w:vAlign w:val="center"/>
            <w:hideMark/>
          </w:tcPr>
          <w:p w14:paraId="15EF7946" w14:textId="77777777" w:rsidR="00446170" w:rsidRPr="00446170" w:rsidRDefault="00446170" w:rsidP="00446170">
            <w:pPr>
              <w:jc w:val="right"/>
              <w:rPr>
                <w:rFonts w:ascii="Arial Narrow" w:hAnsi="Arial Narrow" w:cs="Arial"/>
                <w:sz w:val="20"/>
                <w:szCs w:val="20"/>
              </w:rPr>
            </w:pPr>
            <w:r w:rsidRPr="00446170">
              <w:rPr>
                <w:rFonts w:ascii="Arial Narrow" w:hAnsi="Arial Narrow" w:cs="Arial"/>
                <w:sz w:val="20"/>
                <w:szCs w:val="20"/>
              </w:rPr>
              <w:t>46,0%</w:t>
            </w:r>
          </w:p>
        </w:tc>
      </w:tr>
      <w:tr w:rsidR="00446170" w:rsidRPr="00446170" w14:paraId="3A917DFF" w14:textId="77777777" w:rsidTr="00CD44F3">
        <w:trPr>
          <w:trHeight w:val="342"/>
        </w:trPr>
        <w:tc>
          <w:tcPr>
            <w:tcW w:w="2155" w:type="dxa"/>
            <w:tcBorders>
              <w:top w:val="nil"/>
              <w:left w:val="single" w:sz="4" w:space="0" w:color="auto"/>
              <w:bottom w:val="single" w:sz="4" w:space="0" w:color="auto"/>
              <w:right w:val="single" w:sz="4" w:space="0" w:color="auto"/>
            </w:tcBorders>
            <w:shd w:val="clear" w:color="000000" w:fill="FFFFFF"/>
            <w:noWrap/>
            <w:vAlign w:val="center"/>
            <w:hideMark/>
          </w:tcPr>
          <w:p w14:paraId="31D492E9" w14:textId="77777777" w:rsidR="00446170" w:rsidRPr="00446170" w:rsidRDefault="00446170" w:rsidP="00446170">
            <w:pPr>
              <w:ind w:firstLineChars="100" w:firstLine="200"/>
              <w:rPr>
                <w:rFonts w:ascii="Arial Narrow" w:hAnsi="Arial Narrow" w:cs="Arial"/>
                <w:sz w:val="20"/>
                <w:szCs w:val="20"/>
              </w:rPr>
            </w:pPr>
            <w:r w:rsidRPr="00446170">
              <w:rPr>
                <w:rFonts w:ascii="Arial Narrow" w:hAnsi="Arial Narrow" w:cs="Arial"/>
                <w:sz w:val="20"/>
                <w:szCs w:val="20"/>
              </w:rPr>
              <w:t>Еквадор</w:t>
            </w:r>
          </w:p>
        </w:tc>
        <w:tc>
          <w:tcPr>
            <w:tcW w:w="1340" w:type="dxa"/>
            <w:tcBorders>
              <w:top w:val="nil"/>
              <w:left w:val="nil"/>
              <w:bottom w:val="single" w:sz="4" w:space="0" w:color="auto"/>
              <w:right w:val="single" w:sz="4" w:space="0" w:color="auto"/>
            </w:tcBorders>
            <w:shd w:val="clear" w:color="000000" w:fill="FFFFFF"/>
            <w:noWrap/>
            <w:vAlign w:val="center"/>
            <w:hideMark/>
          </w:tcPr>
          <w:p w14:paraId="4314B515" w14:textId="77777777" w:rsidR="00446170" w:rsidRPr="00446170" w:rsidRDefault="00446170" w:rsidP="00446170">
            <w:pPr>
              <w:jc w:val="right"/>
              <w:rPr>
                <w:rFonts w:ascii="Arial Narrow" w:hAnsi="Arial Narrow" w:cs="Arial"/>
                <w:sz w:val="20"/>
                <w:szCs w:val="20"/>
              </w:rPr>
            </w:pPr>
            <w:r w:rsidRPr="00446170">
              <w:rPr>
                <w:rFonts w:ascii="Arial Narrow" w:hAnsi="Arial Narrow" w:cs="Arial"/>
                <w:sz w:val="20"/>
                <w:szCs w:val="20"/>
              </w:rPr>
              <w:t>27 926</w:t>
            </w:r>
          </w:p>
        </w:tc>
        <w:tc>
          <w:tcPr>
            <w:tcW w:w="1340" w:type="dxa"/>
            <w:tcBorders>
              <w:top w:val="nil"/>
              <w:left w:val="nil"/>
              <w:bottom w:val="single" w:sz="4" w:space="0" w:color="auto"/>
              <w:right w:val="single" w:sz="4" w:space="0" w:color="auto"/>
            </w:tcBorders>
            <w:shd w:val="clear" w:color="000000" w:fill="FFFFFF"/>
            <w:noWrap/>
            <w:vAlign w:val="center"/>
            <w:hideMark/>
          </w:tcPr>
          <w:p w14:paraId="0C73C890" w14:textId="77777777" w:rsidR="00446170" w:rsidRPr="00446170" w:rsidRDefault="00446170" w:rsidP="00446170">
            <w:pPr>
              <w:jc w:val="right"/>
              <w:rPr>
                <w:rFonts w:ascii="Arial Narrow" w:hAnsi="Arial Narrow" w:cs="Arial"/>
                <w:sz w:val="20"/>
                <w:szCs w:val="20"/>
              </w:rPr>
            </w:pPr>
            <w:r w:rsidRPr="00446170">
              <w:rPr>
                <w:rFonts w:ascii="Arial Narrow" w:hAnsi="Arial Narrow" w:cs="Arial"/>
                <w:sz w:val="20"/>
                <w:szCs w:val="20"/>
              </w:rPr>
              <w:t>25 287</w:t>
            </w:r>
          </w:p>
        </w:tc>
        <w:tc>
          <w:tcPr>
            <w:tcW w:w="1340" w:type="dxa"/>
            <w:tcBorders>
              <w:top w:val="nil"/>
              <w:left w:val="nil"/>
              <w:bottom w:val="single" w:sz="4" w:space="0" w:color="auto"/>
              <w:right w:val="single" w:sz="4" w:space="0" w:color="auto"/>
            </w:tcBorders>
            <w:shd w:val="clear" w:color="000000" w:fill="FFFFFF"/>
            <w:noWrap/>
            <w:vAlign w:val="center"/>
            <w:hideMark/>
          </w:tcPr>
          <w:p w14:paraId="50E1FF4C" w14:textId="77777777" w:rsidR="00446170" w:rsidRPr="00446170" w:rsidRDefault="00446170" w:rsidP="00446170">
            <w:pPr>
              <w:jc w:val="right"/>
              <w:rPr>
                <w:rFonts w:ascii="Arial Narrow" w:hAnsi="Arial Narrow" w:cs="Arial"/>
                <w:sz w:val="20"/>
                <w:szCs w:val="20"/>
              </w:rPr>
            </w:pPr>
            <w:r w:rsidRPr="00446170">
              <w:rPr>
                <w:rFonts w:ascii="Arial Narrow" w:hAnsi="Arial Narrow" w:cs="Arial"/>
                <w:sz w:val="20"/>
                <w:szCs w:val="20"/>
              </w:rPr>
              <w:t>35 969</w:t>
            </w:r>
          </w:p>
        </w:tc>
        <w:tc>
          <w:tcPr>
            <w:tcW w:w="1310" w:type="dxa"/>
            <w:tcBorders>
              <w:top w:val="nil"/>
              <w:left w:val="nil"/>
              <w:bottom w:val="single" w:sz="4" w:space="0" w:color="auto"/>
              <w:right w:val="single" w:sz="4" w:space="0" w:color="auto"/>
            </w:tcBorders>
            <w:shd w:val="clear" w:color="000000" w:fill="FFFFFF"/>
            <w:noWrap/>
            <w:vAlign w:val="center"/>
            <w:hideMark/>
          </w:tcPr>
          <w:p w14:paraId="090BEF4A" w14:textId="77777777" w:rsidR="00446170" w:rsidRPr="00446170" w:rsidRDefault="00446170" w:rsidP="00446170">
            <w:pPr>
              <w:jc w:val="right"/>
              <w:rPr>
                <w:rFonts w:ascii="Arial Narrow" w:hAnsi="Arial Narrow" w:cs="Arial"/>
                <w:sz w:val="20"/>
                <w:szCs w:val="20"/>
              </w:rPr>
            </w:pPr>
            <w:r w:rsidRPr="00446170">
              <w:rPr>
                <w:rFonts w:ascii="Arial Narrow" w:hAnsi="Arial Narrow" w:cs="Arial"/>
                <w:sz w:val="20"/>
                <w:szCs w:val="20"/>
              </w:rPr>
              <w:t>0,5%</w:t>
            </w:r>
          </w:p>
        </w:tc>
        <w:tc>
          <w:tcPr>
            <w:tcW w:w="1340" w:type="dxa"/>
            <w:tcBorders>
              <w:top w:val="nil"/>
              <w:left w:val="nil"/>
              <w:bottom w:val="single" w:sz="4" w:space="0" w:color="auto"/>
              <w:right w:val="single" w:sz="4" w:space="0" w:color="auto"/>
            </w:tcBorders>
            <w:shd w:val="clear" w:color="000000" w:fill="FFFFFF"/>
            <w:vAlign w:val="center"/>
            <w:hideMark/>
          </w:tcPr>
          <w:p w14:paraId="29E793D8" w14:textId="77777777" w:rsidR="00446170" w:rsidRPr="00446170" w:rsidRDefault="00446170" w:rsidP="00446170">
            <w:pPr>
              <w:jc w:val="right"/>
              <w:rPr>
                <w:rFonts w:ascii="Arial Narrow" w:hAnsi="Arial Narrow" w:cs="Arial"/>
                <w:sz w:val="20"/>
                <w:szCs w:val="20"/>
              </w:rPr>
            </w:pPr>
            <w:r w:rsidRPr="00446170">
              <w:rPr>
                <w:rFonts w:ascii="Arial Narrow" w:hAnsi="Arial Narrow" w:cs="Arial"/>
                <w:sz w:val="20"/>
                <w:szCs w:val="20"/>
              </w:rPr>
              <w:t>10 682</w:t>
            </w:r>
          </w:p>
        </w:tc>
        <w:tc>
          <w:tcPr>
            <w:tcW w:w="1116" w:type="dxa"/>
            <w:tcBorders>
              <w:top w:val="nil"/>
              <w:left w:val="nil"/>
              <w:bottom w:val="single" w:sz="4" w:space="0" w:color="auto"/>
              <w:right w:val="single" w:sz="4" w:space="0" w:color="auto"/>
            </w:tcBorders>
            <w:shd w:val="clear" w:color="000000" w:fill="FFFFFF"/>
            <w:noWrap/>
            <w:vAlign w:val="center"/>
            <w:hideMark/>
          </w:tcPr>
          <w:p w14:paraId="341F9485" w14:textId="77777777" w:rsidR="00446170" w:rsidRPr="00446170" w:rsidRDefault="00446170" w:rsidP="00446170">
            <w:pPr>
              <w:jc w:val="right"/>
              <w:rPr>
                <w:rFonts w:ascii="Arial Narrow" w:hAnsi="Arial Narrow" w:cs="Arial"/>
                <w:sz w:val="20"/>
                <w:szCs w:val="20"/>
              </w:rPr>
            </w:pPr>
            <w:r w:rsidRPr="00446170">
              <w:rPr>
                <w:rFonts w:ascii="Arial Narrow" w:hAnsi="Arial Narrow" w:cs="Arial"/>
                <w:sz w:val="20"/>
                <w:szCs w:val="20"/>
              </w:rPr>
              <w:t>42,2%</w:t>
            </w:r>
          </w:p>
        </w:tc>
      </w:tr>
      <w:tr w:rsidR="00446170" w:rsidRPr="00446170" w14:paraId="15714BA1" w14:textId="77777777" w:rsidTr="00CD44F3">
        <w:trPr>
          <w:trHeight w:val="342"/>
        </w:trPr>
        <w:tc>
          <w:tcPr>
            <w:tcW w:w="2155" w:type="dxa"/>
            <w:tcBorders>
              <w:top w:val="nil"/>
              <w:left w:val="single" w:sz="4" w:space="0" w:color="auto"/>
              <w:bottom w:val="single" w:sz="4" w:space="0" w:color="auto"/>
              <w:right w:val="single" w:sz="4" w:space="0" w:color="auto"/>
            </w:tcBorders>
            <w:shd w:val="clear" w:color="000000" w:fill="FFFFFF"/>
            <w:noWrap/>
            <w:vAlign w:val="center"/>
            <w:hideMark/>
          </w:tcPr>
          <w:p w14:paraId="7A9B64A4" w14:textId="77777777" w:rsidR="00446170" w:rsidRPr="00446170" w:rsidRDefault="00446170" w:rsidP="00446170">
            <w:pPr>
              <w:ind w:firstLineChars="100" w:firstLine="200"/>
              <w:rPr>
                <w:rFonts w:ascii="Arial Narrow" w:hAnsi="Arial Narrow" w:cs="Arial"/>
                <w:sz w:val="20"/>
                <w:szCs w:val="20"/>
              </w:rPr>
            </w:pPr>
            <w:r w:rsidRPr="00446170">
              <w:rPr>
                <w:rFonts w:ascii="Arial Narrow" w:hAnsi="Arial Narrow" w:cs="Arial"/>
                <w:sz w:val="20"/>
                <w:szCs w:val="20"/>
              </w:rPr>
              <w:t>Египет</w:t>
            </w:r>
          </w:p>
        </w:tc>
        <w:tc>
          <w:tcPr>
            <w:tcW w:w="1340" w:type="dxa"/>
            <w:tcBorders>
              <w:top w:val="nil"/>
              <w:left w:val="nil"/>
              <w:bottom w:val="single" w:sz="4" w:space="0" w:color="auto"/>
              <w:right w:val="single" w:sz="4" w:space="0" w:color="auto"/>
            </w:tcBorders>
            <w:shd w:val="clear" w:color="000000" w:fill="FFFFFF"/>
            <w:noWrap/>
            <w:vAlign w:val="center"/>
            <w:hideMark/>
          </w:tcPr>
          <w:p w14:paraId="3670F2F2" w14:textId="77777777" w:rsidR="00446170" w:rsidRPr="00446170" w:rsidRDefault="00446170" w:rsidP="00446170">
            <w:pPr>
              <w:jc w:val="right"/>
              <w:rPr>
                <w:rFonts w:ascii="Arial Narrow" w:hAnsi="Arial Narrow" w:cs="Arial"/>
                <w:sz w:val="20"/>
                <w:szCs w:val="20"/>
              </w:rPr>
            </w:pPr>
            <w:r w:rsidRPr="00446170">
              <w:rPr>
                <w:rFonts w:ascii="Arial Narrow" w:hAnsi="Arial Narrow" w:cs="Arial"/>
                <w:sz w:val="20"/>
                <w:szCs w:val="20"/>
              </w:rPr>
              <w:t>26 752</w:t>
            </w:r>
          </w:p>
        </w:tc>
        <w:tc>
          <w:tcPr>
            <w:tcW w:w="1340" w:type="dxa"/>
            <w:tcBorders>
              <w:top w:val="nil"/>
              <w:left w:val="nil"/>
              <w:bottom w:val="single" w:sz="4" w:space="0" w:color="auto"/>
              <w:right w:val="single" w:sz="4" w:space="0" w:color="auto"/>
            </w:tcBorders>
            <w:shd w:val="clear" w:color="000000" w:fill="FFFFFF"/>
            <w:noWrap/>
            <w:vAlign w:val="center"/>
            <w:hideMark/>
          </w:tcPr>
          <w:p w14:paraId="2625020F" w14:textId="77777777" w:rsidR="00446170" w:rsidRPr="00446170" w:rsidRDefault="00446170" w:rsidP="00446170">
            <w:pPr>
              <w:jc w:val="right"/>
              <w:rPr>
                <w:rFonts w:ascii="Arial Narrow" w:hAnsi="Arial Narrow" w:cs="Arial"/>
                <w:sz w:val="20"/>
                <w:szCs w:val="20"/>
              </w:rPr>
            </w:pPr>
            <w:r w:rsidRPr="00446170">
              <w:rPr>
                <w:rFonts w:ascii="Arial Narrow" w:hAnsi="Arial Narrow" w:cs="Arial"/>
                <w:sz w:val="20"/>
                <w:szCs w:val="20"/>
              </w:rPr>
              <w:t>18 451</w:t>
            </w:r>
          </w:p>
        </w:tc>
        <w:tc>
          <w:tcPr>
            <w:tcW w:w="1340" w:type="dxa"/>
            <w:tcBorders>
              <w:top w:val="nil"/>
              <w:left w:val="nil"/>
              <w:bottom w:val="single" w:sz="4" w:space="0" w:color="auto"/>
              <w:right w:val="single" w:sz="4" w:space="0" w:color="auto"/>
            </w:tcBorders>
            <w:shd w:val="clear" w:color="000000" w:fill="FFFFFF"/>
            <w:noWrap/>
            <w:vAlign w:val="center"/>
            <w:hideMark/>
          </w:tcPr>
          <w:p w14:paraId="74CCD29C" w14:textId="77777777" w:rsidR="00446170" w:rsidRPr="00446170" w:rsidRDefault="00446170" w:rsidP="00446170">
            <w:pPr>
              <w:jc w:val="right"/>
              <w:rPr>
                <w:rFonts w:ascii="Arial Narrow" w:hAnsi="Arial Narrow" w:cs="Arial"/>
                <w:sz w:val="20"/>
                <w:szCs w:val="20"/>
              </w:rPr>
            </w:pPr>
            <w:r w:rsidRPr="00446170">
              <w:rPr>
                <w:rFonts w:ascii="Arial Narrow" w:hAnsi="Arial Narrow" w:cs="Arial"/>
                <w:sz w:val="20"/>
                <w:szCs w:val="20"/>
              </w:rPr>
              <w:t>23 796</w:t>
            </w:r>
          </w:p>
        </w:tc>
        <w:tc>
          <w:tcPr>
            <w:tcW w:w="1310" w:type="dxa"/>
            <w:tcBorders>
              <w:top w:val="nil"/>
              <w:left w:val="nil"/>
              <w:bottom w:val="single" w:sz="4" w:space="0" w:color="auto"/>
              <w:right w:val="single" w:sz="4" w:space="0" w:color="auto"/>
            </w:tcBorders>
            <w:shd w:val="clear" w:color="000000" w:fill="FFFFFF"/>
            <w:noWrap/>
            <w:vAlign w:val="center"/>
            <w:hideMark/>
          </w:tcPr>
          <w:p w14:paraId="70B8B0B7" w14:textId="77777777" w:rsidR="00446170" w:rsidRPr="00446170" w:rsidRDefault="00446170" w:rsidP="00446170">
            <w:pPr>
              <w:jc w:val="right"/>
              <w:rPr>
                <w:rFonts w:ascii="Arial Narrow" w:hAnsi="Arial Narrow" w:cs="Arial"/>
                <w:sz w:val="20"/>
                <w:szCs w:val="20"/>
              </w:rPr>
            </w:pPr>
            <w:r w:rsidRPr="00446170">
              <w:rPr>
                <w:rFonts w:ascii="Arial Narrow" w:hAnsi="Arial Narrow" w:cs="Arial"/>
                <w:sz w:val="20"/>
                <w:szCs w:val="20"/>
              </w:rPr>
              <w:t>0,4%</w:t>
            </w:r>
          </w:p>
        </w:tc>
        <w:tc>
          <w:tcPr>
            <w:tcW w:w="1340" w:type="dxa"/>
            <w:tcBorders>
              <w:top w:val="nil"/>
              <w:left w:val="nil"/>
              <w:bottom w:val="single" w:sz="4" w:space="0" w:color="auto"/>
              <w:right w:val="single" w:sz="4" w:space="0" w:color="auto"/>
            </w:tcBorders>
            <w:shd w:val="clear" w:color="000000" w:fill="FFFFFF"/>
            <w:vAlign w:val="center"/>
            <w:hideMark/>
          </w:tcPr>
          <w:p w14:paraId="78605B08" w14:textId="77777777" w:rsidR="00446170" w:rsidRPr="00446170" w:rsidRDefault="00446170" w:rsidP="00446170">
            <w:pPr>
              <w:jc w:val="right"/>
              <w:rPr>
                <w:rFonts w:ascii="Arial Narrow" w:hAnsi="Arial Narrow" w:cs="Arial"/>
                <w:sz w:val="20"/>
                <w:szCs w:val="20"/>
              </w:rPr>
            </w:pPr>
            <w:r w:rsidRPr="00446170">
              <w:rPr>
                <w:rFonts w:ascii="Arial Narrow" w:hAnsi="Arial Narrow" w:cs="Arial"/>
                <w:sz w:val="20"/>
                <w:szCs w:val="20"/>
              </w:rPr>
              <w:t>5 345</w:t>
            </w:r>
          </w:p>
        </w:tc>
        <w:tc>
          <w:tcPr>
            <w:tcW w:w="1116" w:type="dxa"/>
            <w:tcBorders>
              <w:top w:val="nil"/>
              <w:left w:val="nil"/>
              <w:bottom w:val="single" w:sz="4" w:space="0" w:color="auto"/>
              <w:right w:val="single" w:sz="4" w:space="0" w:color="auto"/>
            </w:tcBorders>
            <w:shd w:val="clear" w:color="000000" w:fill="FFFFFF"/>
            <w:noWrap/>
            <w:vAlign w:val="center"/>
            <w:hideMark/>
          </w:tcPr>
          <w:p w14:paraId="23913A2B" w14:textId="77777777" w:rsidR="00446170" w:rsidRPr="00446170" w:rsidRDefault="00446170" w:rsidP="00446170">
            <w:pPr>
              <w:jc w:val="right"/>
              <w:rPr>
                <w:rFonts w:ascii="Arial Narrow" w:hAnsi="Arial Narrow" w:cs="Arial"/>
                <w:sz w:val="20"/>
                <w:szCs w:val="20"/>
              </w:rPr>
            </w:pPr>
            <w:r w:rsidRPr="00446170">
              <w:rPr>
                <w:rFonts w:ascii="Arial Narrow" w:hAnsi="Arial Narrow" w:cs="Arial"/>
                <w:sz w:val="20"/>
                <w:szCs w:val="20"/>
              </w:rPr>
              <w:t>29,0%</w:t>
            </w:r>
          </w:p>
        </w:tc>
      </w:tr>
      <w:tr w:rsidR="00446170" w:rsidRPr="00446170" w14:paraId="32DA77C1" w14:textId="77777777" w:rsidTr="00CD44F3">
        <w:trPr>
          <w:trHeight w:val="342"/>
        </w:trPr>
        <w:tc>
          <w:tcPr>
            <w:tcW w:w="2155" w:type="dxa"/>
            <w:tcBorders>
              <w:top w:val="nil"/>
              <w:left w:val="single" w:sz="4" w:space="0" w:color="auto"/>
              <w:bottom w:val="single" w:sz="4" w:space="0" w:color="auto"/>
              <w:right w:val="single" w:sz="4" w:space="0" w:color="auto"/>
            </w:tcBorders>
            <w:shd w:val="clear" w:color="000000" w:fill="FFFFFF"/>
            <w:noWrap/>
            <w:vAlign w:val="center"/>
            <w:hideMark/>
          </w:tcPr>
          <w:p w14:paraId="366F2852" w14:textId="77777777" w:rsidR="00446170" w:rsidRPr="00446170" w:rsidRDefault="00446170" w:rsidP="00446170">
            <w:pPr>
              <w:ind w:firstLineChars="100" w:firstLine="200"/>
              <w:rPr>
                <w:rFonts w:ascii="Arial Narrow" w:hAnsi="Arial Narrow" w:cs="Arial"/>
                <w:sz w:val="20"/>
                <w:szCs w:val="20"/>
              </w:rPr>
            </w:pPr>
            <w:r w:rsidRPr="00446170">
              <w:rPr>
                <w:rFonts w:ascii="Arial Narrow" w:hAnsi="Arial Narrow" w:cs="Arial"/>
                <w:sz w:val="20"/>
                <w:szCs w:val="20"/>
              </w:rPr>
              <w:t>Канада</w:t>
            </w:r>
          </w:p>
        </w:tc>
        <w:tc>
          <w:tcPr>
            <w:tcW w:w="1340" w:type="dxa"/>
            <w:tcBorders>
              <w:top w:val="nil"/>
              <w:left w:val="nil"/>
              <w:bottom w:val="single" w:sz="4" w:space="0" w:color="auto"/>
              <w:right w:val="single" w:sz="4" w:space="0" w:color="auto"/>
            </w:tcBorders>
            <w:shd w:val="clear" w:color="000000" w:fill="FFFFFF"/>
            <w:noWrap/>
            <w:vAlign w:val="center"/>
            <w:hideMark/>
          </w:tcPr>
          <w:p w14:paraId="616A9A8B" w14:textId="77777777" w:rsidR="00446170" w:rsidRPr="00446170" w:rsidRDefault="00446170" w:rsidP="00446170">
            <w:pPr>
              <w:jc w:val="right"/>
              <w:rPr>
                <w:rFonts w:ascii="Arial Narrow" w:hAnsi="Arial Narrow" w:cs="Arial"/>
                <w:sz w:val="20"/>
                <w:szCs w:val="20"/>
              </w:rPr>
            </w:pPr>
            <w:r w:rsidRPr="00446170">
              <w:rPr>
                <w:rFonts w:ascii="Arial Narrow" w:hAnsi="Arial Narrow" w:cs="Arial"/>
                <w:sz w:val="20"/>
                <w:szCs w:val="20"/>
              </w:rPr>
              <w:t>11 911</w:t>
            </w:r>
          </w:p>
        </w:tc>
        <w:tc>
          <w:tcPr>
            <w:tcW w:w="1340" w:type="dxa"/>
            <w:tcBorders>
              <w:top w:val="nil"/>
              <w:left w:val="nil"/>
              <w:bottom w:val="single" w:sz="4" w:space="0" w:color="auto"/>
              <w:right w:val="single" w:sz="4" w:space="0" w:color="auto"/>
            </w:tcBorders>
            <w:shd w:val="clear" w:color="000000" w:fill="FFFFFF"/>
            <w:noWrap/>
            <w:vAlign w:val="center"/>
            <w:hideMark/>
          </w:tcPr>
          <w:p w14:paraId="51B7AEA5" w14:textId="77777777" w:rsidR="00446170" w:rsidRPr="00446170" w:rsidRDefault="00446170" w:rsidP="00446170">
            <w:pPr>
              <w:jc w:val="right"/>
              <w:rPr>
                <w:rFonts w:ascii="Arial Narrow" w:hAnsi="Arial Narrow" w:cs="Arial"/>
                <w:sz w:val="20"/>
                <w:szCs w:val="20"/>
              </w:rPr>
            </w:pPr>
            <w:r w:rsidRPr="00446170">
              <w:rPr>
                <w:rFonts w:ascii="Arial Narrow" w:hAnsi="Arial Narrow" w:cs="Arial"/>
                <w:sz w:val="20"/>
                <w:szCs w:val="20"/>
              </w:rPr>
              <w:t>12 112</w:t>
            </w:r>
          </w:p>
        </w:tc>
        <w:tc>
          <w:tcPr>
            <w:tcW w:w="1340" w:type="dxa"/>
            <w:tcBorders>
              <w:top w:val="nil"/>
              <w:left w:val="nil"/>
              <w:bottom w:val="single" w:sz="4" w:space="0" w:color="auto"/>
              <w:right w:val="single" w:sz="4" w:space="0" w:color="auto"/>
            </w:tcBorders>
            <w:shd w:val="clear" w:color="000000" w:fill="FFFFFF"/>
            <w:noWrap/>
            <w:vAlign w:val="center"/>
            <w:hideMark/>
          </w:tcPr>
          <w:p w14:paraId="0EB3DC37" w14:textId="77777777" w:rsidR="00446170" w:rsidRPr="00446170" w:rsidRDefault="00446170" w:rsidP="00446170">
            <w:pPr>
              <w:jc w:val="right"/>
              <w:rPr>
                <w:rFonts w:ascii="Arial Narrow" w:hAnsi="Arial Narrow" w:cs="Arial"/>
                <w:sz w:val="20"/>
                <w:szCs w:val="20"/>
              </w:rPr>
            </w:pPr>
            <w:r w:rsidRPr="00446170">
              <w:rPr>
                <w:rFonts w:ascii="Arial Narrow" w:hAnsi="Arial Narrow" w:cs="Arial"/>
                <w:sz w:val="20"/>
                <w:szCs w:val="20"/>
              </w:rPr>
              <w:t>20 445</w:t>
            </w:r>
          </w:p>
        </w:tc>
        <w:tc>
          <w:tcPr>
            <w:tcW w:w="1310" w:type="dxa"/>
            <w:tcBorders>
              <w:top w:val="nil"/>
              <w:left w:val="nil"/>
              <w:bottom w:val="single" w:sz="4" w:space="0" w:color="auto"/>
              <w:right w:val="single" w:sz="4" w:space="0" w:color="auto"/>
            </w:tcBorders>
            <w:shd w:val="clear" w:color="000000" w:fill="FFFFFF"/>
            <w:noWrap/>
            <w:vAlign w:val="center"/>
            <w:hideMark/>
          </w:tcPr>
          <w:p w14:paraId="2513EF84" w14:textId="77777777" w:rsidR="00446170" w:rsidRPr="00446170" w:rsidRDefault="00446170" w:rsidP="00446170">
            <w:pPr>
              <w:jc w:val="right"/>
              <w:rPr>
                <w:rFonts w:ascii="Arial Narrow" w:hAnsi="Arial Narrow" w:cs="Arial"/>
                <w:sz w:val="20"/>
                <w:szCs w:val="20"/>
              </w:rPr>
            </w:pPr>
            <w:r w:rsidRPr="00446170">
              <w:rPr>
                <w:rFonts w:ascii="Arial Narrow" w:hAnsi="Arial Narrow" w:cs="Arial"/>
                <w:sz w:val="20"/>
                <w:szCs w:val="20"/>
              </w:rPr>
              <w:t>0,3%</w:t>
            </w:r>
          </w:p>
        </w:tc>
        <w:tc>
          <w:tcPr>
            <w:tcW w:w="1340" w:type="dxa"/>
            <w:tcBorders>
              <w:top w:val="nil"/>
              <w:left w:val="nil"/>
              <w:bottom w:val="single" w:sz="4" w:space="0" w:color="auto"/>
              <w:right w:val="single" w:sz="4" w:space="0" w:color="auto"/>
            </w:tcBorders>
            <w:shd w:val="clear" w:color="000000" w:fill="FFFFFF"/>
            <w:vAlign w:val="center"/>
            <w:hideMark/>
          </w:tcPr>
          <w:p w14:paraId="08D86403" w14:textId="77777777" w:rsidR="00446170" w:rsidRPr="00446170" w:rsidRDefault="00446170" w:rsidP="00446170">
            <w:pPr>
              <w:jc w:val="right"/>
              <w:rPr>
                <w:rFonts w:ascii="Arial Narrow" w:hAnsi="Arial Narrow" w:cs="Arial"/>
                <w:sz w:val="20"/>
                <w:szCs w:val="20"/>
              </w:rPr>
            </w:pPr>
            <w:r w:rsidRPr="00446170">
              <w:rPr>
                <w:rFonts w:ascii="Arial Narrow" w:hAnsi="Arial Narrow" w:cs="Arial"/>
                <w:sz w:val="20"/>
                <w:szCs w:val="20"/>
              </w:rPr>
              <w:t>8 333</w:t>
            </w:r>
          </w:p>
        </w:tc>
        <w:tc>
          <w:tcPr>
            <w:tcW w:w="1116" w:type="dxa"/>
            <w:tcBorders>
              <w:top w:val="nil"/>
              <w:left w:val="nil"/>
              <w:bottom w:val="single" w:sz="4" w:space="0" w:color="auto"/>
              <w:right w:val="single" w:sz="4" w:space="0" w:color="auto"/>
            </w:tcBorders>
            <w:shd w:val="clear" w:color="000000" w:fill="FFFFFF"/>
            <w:noWrap/>
            <w:vAlign w:val="center"/>
            <w:hideMark/>
          </w:tcPr>
          <w:p w14:paraId="70817E62" w14:textId="77777777" w:rsidR="00446170" w:rsidRPr="00446170" w:rsidRDefault="00446170" w:rsidP="00446170">
            <w:pPr>
              <w:jc w:val="right"/>
              <w:rPr>
                <w:rFonts w:ascii="Arial Narrow" w:hAnsi="Arial Narrow" w:cs="Arial"/>
                <w:sz w:val="20"/>
                <w:szCs w:val="20"/>
              </w:rPr>
            </w:pPr>
            <w:r w:rsidRPr="00446170">
              <w:rPr>
                <w:rFonts w:ascii="Arial Narrow" w:hAnsi="Arial Narrow" w:cs="Arial"/>
                <w:sz w:val="20"/>
                <w:szCs w:val="20"/>
              </w:rPr>
              <w:t>68,8%</w:t>
            </w:r>
          </w:p>
        </w:tc>
      </w:tr>
      <w:tr w:rsidR="00446170" w:rsidRPr="00446170" w14:paraId="5AD3F4ED" w14:textId="77777777" w:rsidTr="00CD44F3">
        <w:trPr>
          <w:trHeight w:val="342"/>
        </w:trPr>
        <w:tc>
          <w:tcPr>
            <w:tcW w:w="2155" w:type="dxa"/>
            <w:tcBorders>
              <w:top w:val="nil"/>
              <w:left w:val="single" w:sz="4" w:space="0" w:color="auto"/>
              <w:bottom w:val="single" w:sz="4" w:space="0" w:color="auto"/>
              <w:right w:val="single" w:sz="4" w:space="0" w:color="auto"/>
            </w:tcBorders>
            <w:shd w:val="clear" w:color="000000" w:fill="FFFFFF"/>
            <w:noWrap/>
            <w:vAlign w:val="center"/>
            <w:hideMark/>
          </w:tcPr>
          <w:p w14:paraId="0230EE39" w14:textId="77777777" w:rsidR="00446170" w:rsidRPr="00446170" w:rsidRDefault="00446170" w:rsidP="00446170">
            <w:pPr>
              <w:ind w:firstLineChars="100" w:firstLine="200"/>
              <w:rPr>
                <w:rFonts w:ascii="Arial Narrow" w:hAnsi="Arial Narrow" w:cs="Arial"/>
                <w:sz w:val="20"/>
                <w:szCs w:val="20"/>
              </w:rPr>
            </w:pPr>
            <w:r w:rsidRPr="00446170">
              <w:rPr>
                <w:rFonts w:ascii="Arial Narrow" w:hAnsi="Arial Narrow" w:cs="Arial"/>
                <w:sz w:val="20"/>
                <w:szCs w:val="20"/>
              </w:rPr>
              <w:t>Други</w:t>
            </w:r>
          </w:p>
        </w:tc>
        <w:tc>
          <w:tcPr>
            <w:tcW w:w="1340" w:type="dxa"/>
            <w:tcBorders>
              <w:top w:val="nil"/>
              <w:left w:val="nil"/>
              <w:bottom w:val="single" w:sz="4" w:space="0" w:color="auto"/>
              <w:right w:val="single" w:sz="4" w:space="0" w:color="auto"/>
            </w:tcBorders>
            <w:shd w:val="clear" w:color="000000" w:fill="FFFFFF"/>
            <w:noWrap/>
            <w:vAlign w:val="center"/>
            <w:hideMark/>
          </w:tcPr>
          <w:p w14:paraId="2A2FC2A5" w14:textId="77777777" w:rsidR="00446170" w:rsidRPr="00446170" w:rsidRDefault="00446170" w:rsidP="00446170">
            <w:pPr>
              <w:jc w:val="right"/>
              <w:rPr>
                <w:rFonts w:ascii="Arial Narrow" w:hAnsi="Arial Narrow" w:cs="Arial"/>
                <w:sz w:val="20"/>
                <w:szCs w:val="20"/>
              </w:rPr>
            </w:pPr>
            <w:r w:rsidRPr="00446170">
              <w:rPr>
                <w:rFonts w:ascii="Arial Narrow" w:hAnsi="Arial Narrow" w:cs="Arial"/>
                <w:sz w:val="20"/>
                <w:szCs w:val="20"/>
              </w:rPr>
              <w:t>312 880</w:t>
            </w:r>
          </w:p>
        </w:tc>
        <w:tc>
          <w:tcPr>
            <w:tcW w:w="1340" w:type="dxa"/>
            <w:tcBorders>
              <w:top w:val="nil"/>
              <w:left w:val="nil"/>
              <w:bottom w:val="single" w:sz="4" w:space="0" w:color="auto"/>
              <w:right w:val="single" w:sz="4" w:space="0" w:color="auto"/>
            </w:tcBorders>
            <w:shd w:val="clear" w:color="000000" w:fill="FFFFFF"/>
            <w:noWrap/>
            <w:vAlign w:val="center"/>
            <w:hideMark/>
          </w:tcPr>
          <w:p w14:paraId="054B07CB" w14:textId="77777777" w:rsidR="00446170" w:rsidRPr="00446170" w:rsidRDefault="00446170" w:rsidP="00446170">
            <w:pPr>
              <w:jc w:val="right"/>
              <w:rPr>
                <w:rFonts w:ascii="Arial Narrow" w:hAnsi="Arial Narrow" w:cs="Arial"/>
                <w:sz w:val="20"/>
                <w:szCs w:val="20"/>
              </w:rPr>
            </w:pPr>
            <w:r w:rsidRPr="00446170">
              <w:rPr>
                <w:rFonts w:ascii="Arial Narrow" w:hAnsi="Arial Narrow" w:cs="Arial"/>
                <w:sz w:val="20"/>
                <w:szCs w:val="20"/>
              </w:rPr>
              <w:t>304 301</w:t>
            </w:r>
          </w:p>
        </w:tc>
        <w:tc>
          <w:tcPr>
            <w:tcW w:w="1340" w:type="dxa"/>
            <w:tcBorders>
              <w:top w:val="nil"/>
              <w:left w:val="nil"/>
              <w:bottom w:val="single" w:sz="4" w:space="0" w:color="auto"/>
              <w:right w:val="single" w:sz="4" w:space="0" w:color="auto"/>
            </w:tcBorders>
            <w:shd w:val="clear" w:color="000000" w:fill="FFFFFF"/>
            <w:noWrap/>
            <w:vAlign w:val="center"/>
            <w:hideMark/>
          </w:tcPr>
          <w:p w14:paraId="2A76A4AE" w14:textId="77777777" w:rsidR="00446170" w:rsidRPr="00446170" w:rsidRDefault="00446170" w:rsidP="00446170">
            <w:pPr>
              <w:jc w:val="right"/>
              <w:rPr>
                <w:rFonts w:ascii="Arial Narrow" w:hAnsi="Arial Narrow" w:cs="Arial"/>
                <w:sz w:val="20"/>
                <w:szCs w:val="20"/>
              </w:rPr>
            </w:pPr>
            <w:r w:rsidRPr="00446170">
              <w:rPr>
                <w:rFonts w:ascii="Arial Narrow" w:hAnsi="Arial Narrow" w:cs="Arial"/>
                <w:sz w:val="20"/>
                <w:szCs w:val="20"/>
              </w:rPr>
              <w:t>319 840</w:t>
            </w:r>
          </w:p>
        </w:tc>
        <w:tc>
          <w:tcPr>
            <w:tcW w:w="1310" w:type="dxa"/>
            <w:tcBorders>
              <w:top w:val="nil"/>
              <w:left w:val="nil"/>
              <w:bottom w:val="single" w:sz="4" w:space="0" w:color="auto"/>
              <w:right w:val="single" w:sz="4" w:space="0" w:color="auto"/>
            </w:tcBorders>
            <w:shd w:val="clear" w:color="000000" w:fill="FFFFFF"/>
            <w:noWrap/>
            <w:vAlign w:val="center"/>
            <w:hideMark/>
          </w:tcPr>
          <w:p w14:paraId="249867F3" w14:textId="77777777" w:rsidR="00446170" w:rsidRPr="00446170" w:rsidRDefault="00446170" w:rsidP="00446170">
            <w:pPr>
              <w:jc w:val="right"/>
              <w:rPr>
                <w:rFonts w:ascii="Arial Narrow" w:hAnsi="Arial Narrow" w:cs="Arial"/>
                <w:color w:val="000000"/>
                <w:sz w:val="20"/>
                <w:szCs w:val="20"/>
              </w:rPr>
            </w:pPr>
            <w:r w:rsidRPr="00446170">
              <w:rPr>
                <w:rFonts w:ascii="Arial Narrow" w:hAnsi="Arial Narrow" w:cs="Arial"/>
                <w:color w:val="000000"/>
                <w:sz w:val="20"/>
                <w:szCs w:val="20"/>
              </w:rPr>
              <w:t>4,7%</w:t>
            </w:r>
          </w:p>
        </w:tc>
        <w:tc>
          <w:tcPr>
            <w:tcW w:w="1340" w:type="dxa"/>
            <w:tcBorders>
              <w:top w:val="nil"/>
              <w:left w:val="nil"/>
              <w:bottom w:val="single" w:sz="4" w:space="0" w:color="auto"/>
              <w:right w:val="single" w:sz="4" w:space="0" w:color="auto"/>
            </w:tcBorders>
            <w:shd w:val="clear" w:color="000000" w:fill="FFFFFF"/>
            <w:vAlign w:val="center"/>
            <w:hideMark/>
          </w:tcPr>
          <w:p w14:paraId="05D8ACB9" w14:textId="77777777" w:rsidR="00446170" w:rsidRPr="00446170" w:rsidRDefault="00446170" w:rsidP="00446170">
            <w:pPr>
              <w:jc w:val="right"/>
              <w:rPr>
                <w:rFonts w:ascii="Arial Narrow" w:hAnsi="Arial Narrow" w:cs="Arial"/>
                <w:color w:val="000000"/>
                <w:sz w:val="20"/>
                <w:szCs w:val="20"/>
              </w:rPr>
            </w:pPr>
            <w:r w:rsidRPr="00446170">
              <w:rPr>
                <w:rFonts w:ascii="Arial Narrow" w:hAnsi="Arial Narrow" w:cs="Arial"/>
                <w:color w:val="000000"/>
                <w:sz w:val="20"/>
                <w:szCs w:val="20"/>
              </w:rPr>
              <w:t>15 539</w:t>
            </w:r>
          </w:p>
        </w:tc>
        <w:tc>
          <w:tcPr>
            <w:tcW w:w="1116" w:type="dxa"/>
            <w:tcBorders>
              <w:top w:val="nil"/>
              <w:left w:val="nil"/>
              <w:bottom w:val="single" w:sz="4" w:space="0" w:color="auto"/>
              <w:right w:val="single" w:sz="4" w:space="0" w:color="auto"/>
            </w:tcBorders>
            <w:shd w:val="clear" w:color="000000" w:fill="FFFFFF"/>
            <w:noWrap/>
            <w:vAlign w:val="center"/>
            <w:hideMark/>
          </w:tcPr>
          <w:p w14:paraId="6466E7B5" w14:textId="77777777" w:rsidR="00446170" w:rsidRPr="00446170" w:rsidRDefault="00446170" w:rsidP="00446170">
            <w:pPr>
              <w:jc w:val="right"/>
              <w:rPr>
                <w:rFonts w:ascii="Arial Narrow" w:hAnsi="Arial Narrow" w:cs="Arial"/>
                <w:color w:val="000000"/>
                <w:sz w:val="20"/>
                <w:szCs w:val="20"/>
              </w:rPr>
            </w:pPr>
            <w:r w:rsidRPr="00446170">
              <w:rPr>
                <w:rFonts w:ascii="Arial Narrow" w:hAnsi="Arial Narrow" w:cs="Arial"/>
                <w:color w:val="000000"/>
                <w:sz w:val="20"/>
                <w:szCs w:val="20"/>
              </w:rPr>
              <w:t>5,1%</w:t>
            </w:r>
          </w:p>
        </w:tc>
      </w:tr>
    </w:tbl>
    <w:p w14:paraId="106810B3" w14:textId="77777777" w:rsidR="004605ED" w:rsidRPr="004605ED" w:rsidRDefault="004605ED" w:rsidP="004605ED">
      <w:pPr>
        <w:spacing w:after="240"/>
        <w:rPr>
          <w:rFonts w:ascii="Arial Narrow" w:eastAsia="Calibri" w:hAnsi="Arial Narrow" w:cs="Arial Narrow"/>
          <w:sz w:val="18"/>
          <w:szCs w:val="18"/>
          <w:lang w:val="bg-BG"/>
        </w:rPr>
      </w:pPr>
      <w:r w:rsidRPr="004605ED">
        <w:rPr>
          <w:rFonts w:ascii="Arial Narrow" w:eastAsia="Calibri" w:hAnsi="Arial Narrow" w:cs="Arial Narrow"/>
          <w:i/>
          <w:sz w:val="18"/>
          <w:szCs w:val="18"/>
          <w:lang w:val="bg-BG"/>
        </w:rPr>
        <w:t>Източник:</w:t>
      </w:r>
      <w:r w:rsidRPr="004605ED">
        <w:rPr>
          <w:rFonts w:ascii="Arial Narrow" w:eastAsia="Calibri" w:hAnsi="Arial Narrow" w:cs="Arial Narrow"/>
          <w:b/>
          <w:i/>
          <w:sz w:val="18"/>
          <w:szCs w:val="18"/>
          <w:lang w:val="bg-BG"/>
        </w:rPr>
        <w:t xml:space="preserve"> </w:t>
      </w:r>
      <w:r w:rsidRPr="004605ED">
        <w:rPr>
          <w:rFonts w:ascii="Arial Narrow" w:eastAsia="Calibri" w:hAnsi="Arial Narrow" w:cs="Arial Narrow"/>
          <w:sz w:val="18"/>
          <w:szCs w:val="18"/>
          <w:lang w:val="bg-BG"/>
        </w:rPr>
        <w:t>НСИ и изчисления на МЗХ.</w:t>
      </w:r>
    </w:p>
    <w:p w14:paraId="03556C63" w14:textId="77777777" w:rsidR="00513FF4" w:rsidRPr="004605ED" w:rsidRDefault="00513FF4" w:rsidP="0072450C">
      <w:pPr>
        <w:keepNext/>
        <w:numPr>
          <w:ilvl w:val="0"/>
          <w:numId w:val="18"/>
        </w:numPr>
        <w:spacing w:after="120"/>
        <w:ind w:left="538" w:hanging="357"/>
        <w:outlineLvl w:val="0"/>
        <w:rPr>
          <w:rFonts w:ascii="Arial Narrow" w:eastAsia="SimSun" w:hAnsi="Arial Narrow"/>
          <w:sz w:val="28"/>
          <w:szCs w:val="28"/>
          <w:lang w:val="bg-BG"/>
        </w:rPr>
      </w:pPr>
      <w:bookmarkStart w:id="72" w:name="_Toc111556006"/>
      <w:bookmarkStart w:id="73" w:name="_Toc210747571"/>
      <w:r w:rsidRPr="004605ED">
        <w:rPr>
          <w:rFonts w:ascii="Arial Narrow" w:eastAsia="SimSun" w:hAnsi="Arial Narrow"/>
          <w:b/>
          <w:bCs/>
          <w:lang w:val="bg-BG"/>
        </w:rPr>
        <w:lastRenderedPageBreak/>
        <w:t>Структура</w:t>
      </w:r>
      <w:r w:rsidRPr="004605ED">
        <w:rPr>
          <w:rFonts w:ascii="Arial Narrow" w:eastAsia="SimSun" w:hAnsi="Arial Narrow"/>
          <w:b/>
          <w:lang w:val="bg-BG"/>
        </w:rPr>
        <w:t xml:space="preserve"> на аграрната търговия на България по продукти</w:t>
      </w:r>
      <w:bookmarkEnd w:id="72"/>
      <w:bookmarkEnd w:id="73"/>
    </w:p>
    <w:p w14:paraId="7F2BBEC5" w14:textId="77777777" w:rsidR="004605ED" w:rsidRPr="004605ED" w:rsidRDefault="00513FF4" w:rsidP="004605ED">
      <w:pPr>
        <w:pStyle w:val="Heading1"/>
        <w:keepLines w:val="0"/>
        <w:numPr>
          <w:ilvl w:val="0"/>
          <w:numId w:val="32"/>
        </w:numPr>
        <w:overflowPunct w:val="0"/>
        <w:autoSpaceDE w:val="0"/>
        <w:autoSpaceDN w:val="0"/>
        <w:adjustRightInd w:val="0"/>
        <w:spacing w:before="0" w:after="120"/>
        <w:ind w:left="788" w:hanging="431"/>
        <w:textAlignment w:val="baseline"/>
        <w:rPr>
          <w:rFonts w:ascii="Arial Narrow" w:hAnsi="Arial Narrow"/>
          <w:color w:val="auto"/>
          <w:sz w:val="24"/>
          <w:szCs w:val="24"/>
          <w:lang w:val="bg-BG"/>
        </w:rPr>
      </w:pPr>
      <w:bookmarkStart w:id="74" w:name="_Toc210747572"/>
      <w:r w:rsidRPr="004605ED">
        <w:rPr>
          <w:rFonts w:ascii="Arial Narrow" w:hAnsi="Arial Narrow"/>
          <w:color w:val="auto"/>
          <w:sz w:val="24"/>
          <w:szCs w:val="24"/>
          <w:lang w:val="bg-BG"/>
        </w:rPr>
        <w:t>Износ по продукти</w:t>
      </w:r>
      <w:bookmarkEnd w:id="74"/>
    </w:p>
    <w:p w14:paraId="4C427D3C" w14:textId="77777777" w:rsidR="004605ED" w:rsidRPr="004605ED" w:rsidRDefault="004605ED" w:rsidP="004605ED">
      <w:pPr>
        <w:autoSpaceDE w:val="0"/>
        <w:autoSpaceDN w:val="0"/>
        <w:adjustRightInd w:val="0"/>
        <w:spacing w:after="120"/>
        <w:ind w:firstLine="709"/>
        <w:jc w:val="both"/>
        <w:rPr>
          <w:rFonts w:ascii="Arial Narrow" w:hAnsi="Arial Narrow"/>
          <w:bCs/>
          <w:color w:val="000000"/>
          <w:lang w:val="bg-BG"/>
        </w:rPr>
      </w:pPr>
      <w:r w:rsidRPr="004605ED">
        <w:rPr>
          <w:rFonts w:ascii="Arial Narrow" w:hAnsi="Arial Narrow"/>
          <w:bCs/>
          <w:color w:val="000000"/>
          <w:lang w:val="bg-BG"/>
        </w:rPr>
        <w:t>Водеща група продукти в структурата на аграрния експорт през 2024 г. остават житните растения, макар техният дял в общата стойност на реализираните извън страната селскостопански стоки да намалява от 26,9% през 2023 г. на 22,2%. На второ място се нарежда групата на мазнините от растителен или животински произход с 9,5%, следвани от какаовите продукти (9%), които изместват маслодайните семена и плодове (8,5%, при 10,6% за предходната година). Сравнително голям е и износът на остатъци от хранителната промишленост и храни за животни; хранителни продукти, приготвени на базата на житни растения; мляко и млечни продукти; меса и карантии; разни хранителни продукти, използвани в хранително-вкусовата промишленост; тютюневи продукти и безалкохолни и алкохолни напитки.</w:t>
      </w:r>
    </w:p>
    <w:p w14:paraId="2DCB4655" w14:textId="77777777" w:rsidR="004605ED" w:rsidRDefault="004605ED" w:rsidP="004605ED">
      <w:pPr>
        <w:keepNext/>
        <w:spacing w:after="120"/>
        <w:ind w:right="29"/>
        <w:jc w:val="both"/>
        <w:rPr>
          <w:rFonts w:ascii="Arial Narrow" w:hAnsi="Arial Narrow" w:cs="Arial Narrow"/>
          <w:b/>
          <w:bCs/>
          <w:lang w:val="bg-BG"/>
        </w:rPr>
      </w:pPr>
      <w:r w:rsidRPr="004605ED">
        <w:rPr>
          <w:rFonts w:ascii="Arial Narrow" w:hAnsi="Arial Narrow" w:cs="Arial Narrow"/>
          <w:b/>
          <w:bCs/>
          <w:lang w:val="bg-BG"/>
        </w:rPr>
        <w:t>Таблица III.4. Аграрен износ от България по групи продукти през периода 2023 – 2024 г. (хил. евро)</w:t>
      </w:r>
    </w:p>
    <w:tbl>
      <w:tblPr>
        <w:tblW w:w="9776" w:type="dxa"/>
        <w:tblInd w:w="113" w:type="dxa"/>
        <w:tblLook w:val="04A0" w:firstRow="1" w:lastRow="0" w:firstColumn="1" w:lastColumn="0" w:noHBand="0" w:noVBand="1"/>
      </w:tblPr>
      <w:tblGrid>
        <w:gridCol w:w="382"/>
        <w:gridCol w:w="5120"/>
        <w:gridCol w:w="920"/>
        <w:gridCol w:w="811"/>
        <w:gridCol w:w="920"/>
        <w:gridCol w:w="811"/>
        <w:gridCol w:w="914"/>
      </w:tblGrid>
      <w:tr w:rsidR="00377344" w:rsidRPr="00377344" w14:paraId="4C08D40D" w14:textId="77777777" w:rsidTr="008B7C13">
        <w:trPr>
          <w:trHeight w:val="402"/>
          <w:tblHeader/>
        </w:trPr>
        <w:tc>
          <w:tcPr>
            <w:tcW w:w="382"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A55F50E" w14:textId="77777777" w:rsidR="00377344" w:rsidRPr="00377344" w:rsidRDefault="00377344" w:rsidP="00377344">
            <w:pPr>
              <w:jc w:val="center"/>
              <w:rPr>
                <w:rFonts w:ascii="Arial Narrow" w:hAnsi="Arial Narrow" w:cs="Arial"/>
                <w:b/>
                <w:bCs/>
                <w:sz w:val="18"/>
                <w:szCs w:val="18"/>
              </w:rPr>
            </w:pPr>
            <w:r w:rsidRPr="00377344">
              <w:rPr>
                <w:rFonts w:ascii="Arial Narrow" w:hAnsi="Arial Narrow" w:cs="Arial"/>
                <w:b/>
                <w:bCs/>
                <w:sz w:val="18"/>
                <w:szCs w:val="18"/>
              </w:rPr>
              <w:t> </w:t>
            </w:r>
          </w:p>
        </w:tc>
        <w:tc>
          <w:tcPr>
            <w:tcW w:w="5120"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EA7138B" w14:textId="77777777" w:rsidR="00377344" w:rsidRPr="00377344" w:rsidRDefault="00377344" w:rsidP="00377344">
            <w:pPr>
              <w:jc w:val="center"/>
              <w:rPr>
                <w:rFonts w:ascii="Arial Narrow" w:hAnsi="Arial Narrow" w:cs="Arial"/>
                <w:b/>
                <w:bCs/>
                <w:sz w:val="18"/>
                <w:szCs w:val="18"/>
              </w:rPr>
            </w:pPr>
            <w:r w:rsidRPr="00377344">
              <w:rPr>
                <w:rFonts w:ascii="Arial Narrow" w:hAnsi="Arial Narrow" w:cs="Arial"/>
                <w:b/>
                <w:bCs/>
                <w:sz w:val="18"/>
                <w:szCs w:val="18"/>
              </w:rPr>
              <w:t> </w:t>
            </w:r>
          </w:p>
        </w:tc>
        <w:tc>
          <w:tcPr>
            <w:tcW w:w="1731" w:type="dxa"/>
            <w:gridSpan w:val="2"/>
            <w:tcBorders>
              <w:top w:val="single" w:sz="4" w:space="0" w:color="auto"/>
              <w:left w:val="nil"/>
              <w:bottom w:val="single" w:sz="4" w:space="0" w:color="auto"/>
              <w:right w:val="single" w:sz="4" w:space="0" w:color="auto"/>
            </w:tcBorders>
            <w:shd w:val="clear" w:color="000000" w:fill="FFFFFF"/>
            <w:vAlign w:val="center"/>
            <w:hideMark/>
          </w:tcPr>
          <w:p w14:paraId="6AA5A631" w14:textId="77777777" w:rsidR="00377344" w:rsidRPr="00377344" w:rsidRDefault="00377344" w:rsidP="00377344">
            <w:pPr>
              <w:jc w:val="center"/>
              <w:rPr>
                <w:rFonts w:ascii="Arial Narrow" w:hAnsi="Arial Narrow" w:cs="Arial"/>
                <w:b/>
                <w:bCs/>
                <w:sz w:val="18"/>
                <w:szCs w:val="18"/>
              </w:rPr>
            </w:pPr>
            <w:r w:rsidRPr="00377344">
              <w:rPr>
                <w:rFonts w:ascii="Arial Narrow" w:hAnsi="Arial Narrow" w:cs="Arial"/>
                <w:b/>
                <w:bCs/>
                <w:sz w:val="18"/>
                <w:szCs w:val="18"/>
              </w:rPr>
              <w:t>2023</w:t>
            </w:r>
          </w:p>
        </w:tc>
        <w:tc>
          <w:tcPr>
            <w:tcW w:w="1731" w:type="dxa"/>
            <w:gridSpan w:val="2"/>
            <w:tcBorders>
              <w:top w:val="single" w:sz="4" w:space="0" w:color="auto"/>
              <w:left w:val="nil"/>
              <w:bottom w:val="single" w:sz="4" w:space="0" w:color="auto"/>
              <w:right w:val="single" w:sz="4" w:space="0" w:color="auto"/>
            </w:tcBorders>
            <w:shd w:val="clear" w:color="000000" w:fill="FFFFFF"/>
            <w:vAlign w:val="center"/>
            <w:hideMark/>
          </w:tcPr>
          <w:p w14:paraId="6FE598D0" w14:textId="77777777" w:rsidR="00377344" w:rsidRPr="00377344" w:rsidRDefault="00377344" w:rsidP="00377344">
            <w:pPr>
              <w:jc w:val="center"/>
              <w:rPr>
                <w:rFonts w:ascii="Arial Narrow" w:hAnsi="Arial Narrow" w:cs="Arial"/>
                <w:b/>
                <w:bCs/>
                <w:sz w:val="18"/>
                <w:szCs w:val="18"/>
              </w:rPr>
            </w:pPr>
            <w:r w:rsidRPr="00377344">
              <w:rPr>
                <w:rFonts w:ascii="Arial Narrow" w:hAnsi="Arial Narrow" w:cs="Arial"/>
                <w:b/>
                <w:bCs/>
                <w:sz w:val="18"/>
                <w:szCs w:val="18"/>
              </w:rPr>
              <w:t>2024</w:t>
            </w:r>
          </w:p>
        </w:tc>
        <w:tc>
          <w:tcPr>
            <w:tcW w:w="812"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56245CCC" w14:textId="77777777" w:rsidR="00377344" w:rsidRPr="00377344" w:rsidRDefault="00377344" w:rsidP="00377344">
            <w:pPr>
              <w:jc w:val="center"/>
              <w:rPr>
                <w:rFonts w:ascii="Arial Narrow" w:hAnsi="Arial Narrow" w:cs="Arial"/>
                <w:b/>
                <w:bCs/>
                <w:sz w:val="18"/>
                <w:szCs w:val="18"/>
              </w:rPr>
            </w:pPr>
            <w:r w:rsidRPr="00377344">
              <w:rPr>
                <w:rFonts w:ascii="Arial Narrow" w:hAnsi="Arial Narrow" w:cs="Arial"/>
                <w:b/>
                <w:bCs/>
                <w:sz w:val="18"/>
                <w:szCs w:val="18"/>
              </w:rPr>
              <w:t>Изм. 2024/2023 %</w:t>
            </w:r>
          </w:p>
        </w:tc>
      </w:tr>
      <w:tr w:rsidR="00377344" w:rsidRPr="00377344" w14:paraId="46B83EF7" w14:textId="77777777" w:rsidTr="008B7C13">
        <w:trPr>
          <w:trHeight w:val="1365"/>
          <w:tblHeader/>
        </w:trPr>
        <w:tc>
          <w:tcPr>
            <w:tcW w:w="382" w:type="dxa"/>
            <w:vMerge/>
            <w:tcBorders>
              <w:top w:val="single" w:sz="4" w:space="0" w:color="auto"/>
              <w:left w:val="single" w:sz="4" w:space="0" w:color="auto"/>
              <w:bottom w:val="single" w:sz="4" w:space="0" w:color="auto"/>
              <w:right w:val="single" w:sz="4" w:space="0" w:color="auto"/>
            </w:tcBorders>
            <w:vAlign w:val="center"/>
            <w:hideMark/>
          </w:tcPr>
          <w:p w14:paraId="09BBDDAE" w14:textId="77777777" w:rsidR="00377344" w:rsidRPr="00377344" w:rsidRDefault="00377344" w:rsidP="00377344">
            <w:pPr>
              <w:rPr>
                <w:rFonts w:ascii="Arial Narrow" w:hAnsi="Arial Narrow" w:cs="Arial"/>
                <w:b/>
                <w:bCs/>
                <w:sz w:val="18"/>
                <w:szCs w:val="18"/>
              </w:rPr>
            </w:pPr>
          </w:p>
        </w:tc>
        <w:tc>
          <w:tcPr>
            <w:tcW w:w="5120" w:type="dxa"/>
            <w:vMerge/>
            <w:tcBorders>
              <w:top w:val="single" w:sz="4" w:space="0" w:color="auto"/>
              <w:left w:val="single" w:sz="4" w:space="0" w:color="auto"/>
              <w:bottom w:val="single" w:sz="4" w:space="0" w:color="auto"/>
              <w:right w:val="single" w:sz="4" w:space="0" w:color="auto"/>
            </w:tcBorders>
            <w:vAlign w:val="center"/>
            <w:hideMark/>
          </w:tcPr>
          <w:p w14:paraId="0733FF5B" w14:textId="77777777" w:rsidR="00377344" w:rsidRPr="00377344" w:rsidRDefault="00377344" w:rsidP="00377344">
            <w:pPr>
              <w:rPr>
                <w:rFonts w:ascii="Arial Narrow" w:hAnsi="Arial Narrow" w:cs="Arial"/>
                <w:b/>
                <w:bCs/>
                <w:sz w:val="18"/>
                <w:szCs w:val="18"/>
              </w:rPr>
            </w:pPr>
          </w:p>
        </w:tc>
        <w:tc>
          <w:tcPr>
            <w:tcW w:w="920" w:type="dxa"/>
            <w:tcBorders>
              <w:top w:val="nil"/>
              <w:left w:val="nil"/>
              <w:bottom w:val="single" w:sz="4" w:space="0" w:color="auto"/>
              <w:right w:val="single" w:sz="4" w:space="0" w:color="auto"/>
            </w:tcBorders>
            <w:shd w:val="clear" w:color="000000" w:fill="FFFFFF"/>
            <w:vAlign w:val="center"/>
            <w:hideMark/>
          </w:tcPr>
          <w:p w14:paraId="70D800CD" w14:textId="77777777" w:rsidR="00377344" w:rsidRPr="00377344" w:rsidRDefault="00377344" w:rsidP="00377344">
            <w:pPr>
              <w:jc w:val="center"/>
              <w:rPr>
                <w:rFonts w:ascii="Arial Narrow" w:hAnsi="Arial Narrow" w:cs="Arial"/>
                <w:b/>
                <w:bCs/>
                <w:sz w:val="18"/>
                <w:szCs w:val="18"/>
              </w:rPr>
            </w:pPr>
            <w:r w:rsidRPr="00377344">
              <w:rPr>
                <w:rFonts w:ascii="Arial Narrow" w:hAnsi="Arial Narrow" w:cs="Arial"/>
                <w:b/>
                <w:bCs/>
                <w:sz w:val="18"/>
                <w:szCs w:val="18"/>
              </w:rPr>
              <w:t>хил. eвро</w:t>
            </w:r>
          </w:p>
        </w:tc>
        <w:tc>
          <w:tcPr>
            <w:tcW w:w="811" w:type="dxa"/>
            <w:tcBorders>
              <w:top w:val="nil"/>
              <w:left w:val="nil"/>
              <w:bottom w:val="single" w:sz="4" w:space="0" w:color="auto"/>
              <w:right w:val="single" w:sz="4" w:space="0" w:color="auto"/>
            </w:tcBorders>
            <w:shd w:val="clear" w:color="000000" w:fill="FFFFFF"/>
            <w:vAlign w:val="center"/>
            <w:hideMark/>
          </w:tcPr>
          <w:p w14:paraId="29A3A1E6" w14:textId="77777777" w:rsidR="00377344" w:rsidRPr="00377344" w:rsidRDefault="00377344" w:rsidP="00377344">
            <w:pPr>
              <w:jc w:val="center"/>
              <w:rPr>
                <w:rFonts w:ascii="Arial Narrow" w:hAnsi="Arial Narrow" w:cs="Arial"/>
                <w:b/>
                <w:bCs/>
                <w:i/>
                <w:iCs/>
                <w:sz w:val="18"/>
                <w:szCs w:val="18"/>
              </w:rPr>
            </w:pPr>
            <w:r w:rsidRPr="00377344">
              <w:rPr>
                <w:rFonts w:ascii="Arial Narrow" w:hAnsi="Arial Narrow" w:cs="Arial"/>
                <w:b/>
                <w:bCs/>
                <w:i/>
                <w:iCs/>
                <w:sz w:val="18"/>
                <w:szCs w:val="18"/>
              </w:rPr>
              <w:t>дял от общия аграрен износ %</w:t>
            </w:r>
          </w:p>
        </w:tc>
        <w:tc>
          <w:tcPr>
            <w:tcW w:w="920" w:type="dxa"/>
            <w:tcBorders>
              <w:top w:val="nil"/>
              <w:left w:val="nil"/>
              <w:bottom w:val="single" w:sz="4" w:space="0" w:color="auto"/>
              <w:right w:val="single" w:sz="4" w:space="0" w:color="auto"/>
            </w:tcBorders>
            <w:shd w:val="clear" w:color="000000" w:fill="FFFFFF"/>
            <w:vAlign w:val="center"/>
            <w:hideMark/>
          </w:tcPr>
          <w:p w14:paraId="0586BDEA" w14:textId="77777777" w:rsidR="00377344" w:rsidRPr="00377344" w:rsidRDefault="00377344" w:rsidP="00377344">
            <w:pPr>
              <w:jc w:val="center"/>
              <w:rPr>
                <w:rFonts w:ascii="Arial Narrow" w:hAnsi="Arial Narrow" w:cs="Arial"/>
                <w:b/>
                <w:bCs/>
                <w:sz w:val="18"/>
                <w:szCs w:val="18"/>
              </w:rPr>
            </w:pPr>
            <w:r w:rsidRPr="00377344">
              <w:rPr>
                <w:rFonts w:ascii="Arial Narrow" w:hAnsi="Arial Narrow" w:cs="Arial"/>
                <w:b/>
                <w:bCs/>
                <w:sz w:val="18"/>
                <w:szCs w:val="18"/>
              </w:rPr>
              <w:t>хил. евро</w:t>
            </w:r>
          </w:p>
        </w:tc>
        <w:tc>
          <w:tcPr>
            <w:tcW w:w="811" w:type="dxa"/>
            <w:tcBorders>
              <w:top w:val="nil"/>
              <w:left w:val="nil"/>
              <w:bottom w:val="single" w:sz="4" w:space="0" w:color="auto"/>
              <w:right w:val="single" w:sz="4" w:space="0" w:color="auto"/>
            </w:tcBorders>
            <w:shd w:val="clear" w:color="000000" w:fill="FFFFFF"/>
            <w:vAlign w:val="center"/>
            <w:hideMark/>
          </w:tcPr>
          <w:p w14:paraId="1D3066D1" w14:textId="77777777" w:rsidR="00377344" w:rsidRPr="00377344" w:rsidRDefault="00377344" w:rsidP="00377344">
            <w:pPr>
              <w:jc w:val="center"/>
              <w:rPr>
                <w:rFonts w:ascii="Arial Narrow" w:hAnsi="Arial Narrow" w:cs="Arial"/>
                <w:b/>
                <w:bCs/>
                <w:i/>
                <w:iCs/>
                <w:sz w:val="18"/>
                <w:szCs w:val="18"/>
              </w:rPr>
            </w:pPr>
            <w:r w:rsidRPr="00377344">
              <w:rPr>
                <w:rFonts w:ascii="Arial Narrow" w:hAnsi="Arial Narrow" w:cs="Arial"/>
                <w:b/>
                <w:bCs/>
                <w:i/>
                <w:iCs/>
                <w:sz w:val="18"/>
                <w:szCs w:val="18"/>
              </w:rPr>
              <w:t>дял от общия аграрен износ %</w:t>
            </w:r>
          </w:p>
        </w:tc>
        <w:tc>
          <w:tcPr>
            <w:tcW w:w="812" w:type="dxa"/>
            <w:vMerge/>
            <w:tcBorders>
              <w:top w:val="single" w:sz="4" w:space="0" w:color="auto"/>
              <w:left w:val="single" w:sz="4" w:space="0" w:color="auto"/>
              <w:bottom w:val="single" w:sz="4" w:space="0" w:color="auto"/>
              <w:right w:val="single" w:sz="4" w:space="0" w:color="auto"/>
            </w:tcBorders>
            <w:vAlign w:val="center"/>
            <w:hideMark/>
          </w:tcPr>
          <w:p w14:paraId="64E52B3A" w14:textId="77777777" w:rsidR="00377344" w:rsidRPr="00377344" w:rsidRDefault="00377344" w:rsidP="00377344">
            <w:pPr>
              <w:rPr>
                <w:rFonts w:ascii="Arial Narrow" w:hAnsi="Arial Narrow" w:cs="Arial"/>
                <w:b/>
                <w:bCs/>
                <w:sz w:val="18"/>
                <w:szCs w:val="18"/>
              </w:rPr>
            </w:pPr>
          </w:p>
        </w:tc>
      </w:tr>
      <w:tr w:rsidR="00377344" w:rsidRPr="00377344" w14:paraId="5232F526" w14:textId="77777777" w:rsidTr="008B7C13">
        <w:trPr>
          <w:trHeight w:val="270"/>
        </w:trPr>
        <w:tc>
          <w:tcPr>
            <w:tcW w:w="382" w:type="dxa"/>
            <w:tcBorders>
              <w:top w:val="nil"/>
              <w:left w:val="single" w:sz="4" w:space="0" w:color="auto"/>
              <w:bottom w:val="single" w:sz="4" w:space="0" w:color="auto"/>
              <w:right w:val="single" w:sz="4" w:space="0" w:color="auto"/>
            </w:tcBorders>
            <w:shd w:val="clear" w:color="000000" w:fill="FFFFFF"/>
            <w:noWrap/>
            <w:vAlign w:val="center"/>
            <w:hideMark/>
          </w:tcPr>
          <w:p w14:paraId="25545CFA" w14:textId="77777777" w:rsidR="00377344" w:rsidRPr="00377344" w:rsidRDefault="00377344" w:rsidP="00377344">
            <w:pPr>
              <w:jc w:val="center"/>
              <w:rPr>
                <w:rFonts w:ascii="Arial Narrow" w:hAnsi="Arial Narrow" w:cs="Arial"/>
                <w:b/>
                <w:bCs/>
                <w:sz w:val="18"/>
                <w:szCs w:val="18"/>
              </w:rPr>
            </w:pPr>
            <w:r w:rsidRPr="00377344">
              <w:rPr>
                <w:rFonts w:ascii="Arial Narrow" w:hAnsi="Arial Narrow" w:cs="Arial"/>
                <w:b/>
                <w:bCs/>
                <w:sz w:val="18"/>
                <w:szCs w:val="18"/>
              </w:rPr>
              <w:t> </w:t>
            </w:r>
          </w:p>
        </w:tc>
        <w:tc>
          <w:tcPr>
            <w:tcW w:w="5120" w:type="dxa"/>
            <w:tcBorders>
              <w:top w:val="nil"/>
              <w:left w:val="nil"/>
              <w:bottom w:val="single" w:sz="4" w:space="0" w:color="auto"/>
              <w:right w:val="single" w:sz="4" w:space="0" w:color="auto"/>
            </w:tcBorders>
            <w:shd w:val="clear" w:color="000000" w:fill="FFFFFF"/>
            <w:vAlign w:val="center"/>
            <w:hideMark/>
          </w:tcPr>
          <w:p w14:paraId="307FB518" w14:textId="77777777" w:rsidR="00377344" w:rsidRPr="00377344" w:rsidRDefault="00377344" w:rsidP="00377344">
            <w:pPr>
              <w:rPr>
                <w:rFonts w:ascii="Arial Narrow" w:hAnsi="Arial Narrow" w:cs="Arial"/>
                <w:b/>
                <w:bCs/>
                <w:sz w:val="18"/>
                <w:szCs w:val="18"/>
              </w:rPr>
            </w:pPr>
            <w:r w:rsidRPr="00377344">
              <w:rPr>
                <w:rFonts w:ascii="Arial Narrow" w:hAnsi="Arial Narrow" w:cs="Arial"/>
                <w:b/>
                <w:bCs/>
                <w:sz w:val="18"/>
                <w:szCs w:val="18"/>
              </w:rPr>
              <w:t>Общо аграрни стоки, в т. ч.:</w:t>
            </w:r>
          </w:p>
        </w:tc>
        <w:tc>
          <w:tcPr>
            <w:tcW w:w="920" w:type="dxa"/>
            <w:tcBorders>
              <w:top w:val="nil"/>
              <w:left w:val="nil"/>
              <w:bottom w:val="single" w:sz="4" w:space="0" w:color="auto"/>
              <w:right w:val="single" w:sz="4" w:space="0" w:color="auto"/>
            </w:tcBorders>
            <w:shd w:val="clear" w:color="auto" w:fill="auto"/>
            <w:vAlign w:val="center"/>
            <w:hideMark/>
          </w:tcPr>
          <w:p w14:paraId="2E531E21" w14:textId="77777777" w:rsidR="00377344" w:rsidRPr="00377344" w:rsidRDefault="00377344" w:rsidP="00377344">
            <w:pPr>
              <w:jc w:val="right"/>
              <w:rPr>
                <w:rFonts w:ascii="Arial Narrow" w:hAnsi="Arial Narrow" w:cs="Arial"/>
                <w:b/>
                <w:bCs/>
                <w:sz w:val="18"/>
                <w:szCs w:val="18"/>
              </w:rPr>
            </w:pPr>
            <w:r w:rsidRPr="00377344">
              <w:rPr>
                <w:rFonts w:ascii="Arial Narrow" w:hAnsi="Arial Narrow" w:cs="Arial"/>
                <w:b/>
                <w:bCs/>
                <w:sz w:val="18"/>
                <w:szCs w:val="18"/>
              </w:rPr>
              <w:t>7 941 122</w:t>
            </w:r>
          </w:p>
        </w:tc>
        <w:tc>
          <w:tcPr>
            <w:tcW w:w="811" w:type="dxa"/>
            <w:tcBorders>
              <w:top w:val="nil"/>
              <w:left w:val="nil"/>
              <w:bottom w:val="single" w:sz="4" w:space="0" w:color="auto"/>
              <w:right w:val="single" w:sz="4" w:space="0" w:color="auto"/>
            </w:tcBorders>
            <w:shd w:val="clear" w:color="000000" w:fill="FFFFFF"/>
            <w:vAlign w:val="center"/>
            <w:hideMark/>
          </w:tcPr>
          <w:p w14:paraId="45B7AB9C" w14:textId="77777777" w:rsidR="00377344" w:rsidRPr="00377344" w:rsidRDefault="00377344" w:rsidP="00377344">
            <w:pPr>
              <w:jc w:val="right"/>
              <w:rPr>
                <w:rFonts w:ascii="Arial Narrow" w:hAnsi="Arial Narrow" w:cs="Arial"/>
                <w:b/>
                <w:bCs/>
                <w:sz w:val="18"/>
                <w:szCs w:val="18"/>
              </w:rPr>
            </w:pPr>
            <w:r w:rsidRPr="00377344">
              <w:rPr>
                <w:rFonts w:ascii="Arial Narrow" w:hAnsi="Arial Narrow" w:cs="Arial"/>
                <w:b/>
                <w:bCs/>
                <w:sz w:val="18"/>
                <w:szCs w:val="18"/>
              </w:rPr>
              <w:t>100%</w:t>
            </w:r>
          </w:p>
        </w:tc>
        <w:tc>
          <w:tcPr>
            <w:tcW w:w="920" w:type="dxa"/>
            <w:tcBorders>
              <w:top w:val="nil"/>
              <w:left w:val="nil"/>
              <w:bottom w:val="single" w:sz="4" w:space="0" w:color="auto"/>
              <w:right w:val="single" w:sz="4" w:space="0" w:color="auto"/>
            </w:tcBorders>
            <w:shd w:val="clear" w:color="000000" w:fill="FFFFFF"/>
            <w:vAlign w:val="center"/>
            <w:hideMark/>
          </w:tcPr>
          <w:p w14:paraId="323F4E6C" w14:textId="77777777" w:rsidR="00377344" w:rsidRPr="00377344" w:rsidRDefault="00377344" w:rsidP="00377344">
            <w:pPr>
              <w:jc w:val="right"/>
              <w:rPr>
                <w:rFonts w:ascii="Arial Narrow" w:hAnsi="Arial Narrow" w:cs="Arial"/>
                <w:b/>
                <w:bCs/>
                <w:sz w:val="18"/>
                <w:szCs w:val="18"/>
              </w:rPr>
            </w:pPr>
            <w:r w:rsidRPr="00377344">
              <w:rPr>
                <w:rFonts w:ascii="Arial Narrow" w:hAnsi="Arial Narrow" w:cs="Arial"/>
                <w:b/>
                <w:bCs/>
                <w:sz w:val="18"/>
                <w:szCs w:val="18"/>
              </w:rPr>
              <w:t>6 739 500</w:t>
            </w:r>
          </w:p>
        </w:tc>
        <w:tc>
          <w:tcPr>
            <w:tcW w:w="811" w:type="dxa"/>
            <w:tcBorders>
              <w:top w:val="nil"/>
              <w:left w:val="nil"/>
              <w:bottom w:val="single" w:sz="4" w:space="0" w:color="auto"/>
              <w:right w:val="single" w:sz="4" w:space="0" w:color="auto"/>
            </w:tcBorders>
            <w:shd w:val="clear" w:color="000000" w:fill="FFFFFF"/>
            <w:vAlign w:val="center"/>
            <w:hideMark/>
          </w:tcPr>
          <w:p w14:paraId="41B05B67" w14:textId="77777777" w:rsidR="00377344" w:rsidRPr="00377344" w:rsidRDefault="00377344" w:rsidP="00377344">
            <w:pPr>
              <w:jc w:val="right"/>
              <w:rPr>
                <w:rFonts w:ascii="Arial Narrow" w:hAnsi="Arial Narrow" w:cs="Arial"/>
                <w:b/>
                <w:bCs/>
                <w:sz w:val="18"/>
                <w:szCs w:val="18"/>
              </w:rPr>
            </w:pPr>
            <w:r w:rsidRPr="00377344">
              <w:rPr>
                <w:rFonts w:ascii="Arial Narrow" w:hAnsi="Arial Narrow" w:cs="Arial"/>
                <w:b/>
                <w:bCs/>
                <w:sz w:val="18"/>
                <w:szCs w:val="18"/>
              </w:rPr>
              <w:t>100,0%</w:t>
            </w:r>
          </w:p>
        </w:tc>
        <w:tc>
          <w:tcPr>
            <w:tcW w:w="812" w:type="dxa"/>
            <w:tcBorders>
              <w:top w:val="nil"/>
              <w:left w:val="nil"/>
              <w:bottom w:val="single" w:sz="4" w:space="0" w:color="auto"/>
              <w:right w:val="single" w:sz="4" w:space="0" w:color="auto"/>
            </w:tcBorders>
            <w:shd w:val="clear" w:color="auto" w:fill="auto"/>
            <w:noWrap/>
            <w:vAlign w:val="center"/>
            <w:hideMark/>
          </w:tcPr>
          <w:p w14:paraId="25AF53EA" w14:textId="77777777" w:rsidR="00377344" w:rsidRPr="00377344" w:rsidRDefault="00377344" w:rsidP="00377344">
            <w:pPr>
              <w:jc w:val="right"/>
              <w:rPr>
                <w:rFonts w:ascii="Arial Narrow" w:hAnsi="Arial Narrow" w:cs="Arial"/>
                <w:b/>
                <w:bCs/>
                <w:color w:val="000000"/>
                <w:sz w:val="18"/>
                <w:szCs w:val="18"/>
              </w:rPr>
            </w:pPr>
            <w:r w:rsidRPr="00377344">
              <w:rPr>
                <w:rFonts w:ascii="Arial Narrow" w:hAnsi="Arial Narrow" w:cs="Arial"/>
                <w:b/>
                <w:bCs/>
                <w:color w:val="000000"/>
                <w:sz w:val="18"/>
                <w:szCs w:val="18"/>
              </w:rPr>
              <w:t>-15,1%</w:t>
            </w:r>
          </w:p>
        </w:tc>
      </w:tr>
      <w:tr w:rsidR="00377344" w:rsidRPr="00377344" w14:paraId="3FAD4954" w14:textId="77777777" w:rsidTr="008B7C13">
        <w:trPr>
          <w:trHeight w:val="270"/>
        </w:trPr>
        <w:tc>
          <w:tcPr>
            <w:tcW w:w="382" w:type="dxa"/>
            <w:tcBorders>
              <w:top w:val="nil"/>
              <w:left w:val="single" w:sz="4" w:space="0" w:color="auto"/>
              <w:bottom w:val="single" w:sz="4" w:space="0" w:color="auto"/>
              <w:right w:val="single" w:sz="4" w:space="0" w:color="auto"/>
            </w:tcBorders>
            <w:shd w:val="clear" w:color="auto" w:fill="auto"/>
            <w:noWrap/>
            <w:vAlign w:val="center"/>
            <w:hideMark/>
          </w:tcPr>
          <w:p w14:paraId="07F3950A" w14:textId="77777777" w:rsidR="00377344" w:rsidRPr="00377344" w:rsidRDefault="00377344" w:rsidP="00377344">
            <w:pPr>
              <w:jc w:val="center"/>
              <w:rPr>
                <w:rFonts w:ascii="Arial Narrow" w:hAnsi="Arial Narrow" w:cs="Arial"/>
                <w:sz w:val="18"/>
                <w:szCs w:val="18"/>
              </w:rPr>
            </w:pPr>
            <w:r w:rsidRPr="00377344">
              <w:rPr>
                <w:rFonts w:ascii="Arial Narrow" w:hAnsi="Arial Narrow" w:cs="Arial"/>
                <w:sz w:val="18"/>
                <w:szCs w:val="18"/>
              </w:rPr>
              <w:t>1</w:t>
            </w:r>
          </w:p>
        </w:tc>
        <w:tc>
          <w:tcPr>
            <w:tcW w:w="5120" w:type="dxa"/>
            <w:tcBorders>
              <w:top w:val="nil"/>
              <w:left w:val="nil"/>
              <w:bottom w:val="single" w:sz="4" w:space="0" w:color="auto"/>
              <w:right w:val="single" w:sz="4" w:space="0" w:color="auto"/>
            </w:tcBorders>
            <w:shd w:val="clear" w:color="auto" w:fill="auto"/>
            <w:vAlign w:val="center"/>
            <w:hideMark/>
          </w:tcPr>
          <w:p w14:paraId="26A95921" w14:textId="77777777" w:rsidR="00377344" w:rsidRPr="00377344" w:rsidRDefault="00377344" w:rsidP="00377344">
            <w:pPr>
              <w:rPr>
                <w:rFonts w:ascii="Arial Narrow" w:hAnsi="Arial Narrow" w:cs="Arial"/>
                <w:sz w:val="18"/>
                <w:szCs w:val="18"/>
              </w:rPr>
            </w:pPr>
            <w:r w:rsidRPr="00377344">
              <w:rPr>
                <w:rFonts w:ascii="Arial Narrow" w:hAnsi="Arial Narrow" w:cs="Arial"/>
                <w:sz w:val="18"/>
                <w:szCs w:val="18"/>
              </w:rPr>
              <w:t>Живи животни</w:t>
            </w:r>
          </w:p>
        </w:tc>
        <w:tc>
          <w:tcPr>
            <w:tcW w:w="920" w:type="dxa"/>
            <w:tcBorders>
              <w:top w:val="nil"/>
              <w:left w:val="nil"/>
              <w:bottom w:val="single" w:sz="4" w:space="0" w:color="auto"/>
              <w:right w:val="single" w:sz="4" w:space="0" w:color="auto"/>
            </w:tcBorders>
            <w:shd w:val="clear" w:color="auto" w:fill="auto"/>
            <w:noWrap/>
            <w:vAlign w:val="center"/>
            <w:hideMark/>
          </w:tcPr>
          <w:p w14:paraId="49CD1F2E" w14:textId="77777777" w:rsidR="00377344" w:rsidRPr="00377344" w:rsidRDefault="00377344" w:rsidP="00377344">
            <w:pPr>
              <w:jc w:val="right"/>
              <w:rPr>
                <w:rFonts w:ascii="Arial Narrow" w:hAnsi="Arial Narrow" w:cs="Arial"/>
                <w:sz w:val="18"/>
                <w:szCs w:val="18"/>
              </w:rPr>
            </w:pPr>
            <w:r w:rsidRPr="00377344">
              <w:rPr>
                <w:rFonts w:ascii="Arial Narrow" w:hAnsi="Arial Narrow" w:cs="Arial"/>
                <w:sz w:val="18"/>
                <w:szCs w:val="18"/>
              </w:rPr>
              <w:t>210 974</w:t>
            </w:r>
          </w:p>
        </w:tc>
        <w:tc>
          <w:tcPr>
            <w:tcW w:w="811" w:type="dxa"/>
            <w:tcBorders>
              <w:top w:val="nil"/>
              <w:left w:val="nil"/>
              <w:bottom w:val="single" w:sz="4" w:space="0" w:color="auto"/>
              <w:right w:val="single" w:sz="4" w:space="0" w:color="auto"/>
            </w:tcBorders>
            <w:shd w:val="clear" w:color="000000" w:fill="FFFFFF"/>
            <w:vAlign w:val="center"/>
            <w:hideMark/>
          </w:tcPr>
          <w:p w14:paraId="5D31F988" w14:textId="77777777" w:rsidR="00377344" w:rsidRPr="00377344" w:rsidRDefault="00377344" w:rsidP="00377344">
            <w:pPr>
              <w:jc w:val="right"/>
              <w:rPr>
                <w:rFonts w:ascii="Arial Narrow" w:hAnsi="Arial Narrow" w:cs="Arial"/>
                <w:sz w:val="18"/>
                <w:szCs w:val="18"/>
              </w:rPr>
            </w:pPr>
            <w:r w:rsidRPr="00377344">
              <w:rPr>
                <w:rFonts w:ascii="Arial Narrow" w:hAnsi="Arial Narrow" w:cs="Arial"/>
                <w:sz w:val="18"/>
                <w:szCs w:val="18"/>
              </w:rPr>
              <w:t>2,7%</w:t>
            </w:r>
          </w:p>
        </w:tc>
        <w:tc>
          <w:tcPr>
            <w:tcW w:w="920" w:type="dxa"/>
            <w:tcBorders>
              <w:top w:val="nil"/>
              <w:left w:val="nil"/>
              <w:bottom w:val="single" w:sz="4" w:space="0" w:color="auto"/>
              <w:right w:val="single" w:sz="4" w:space="0" w:color="auto"/>
            </w:tcBorders>
            <w:shd w:val="clear" w:color="auto" w:fill="auto"/>
            <w:noWrap/>
            <w:vAlign w:val="center"/>
            <w:hideMark/>
          </w:tcPr>
          <w:p w14:paraId="613EBDBB" w14:textId="77777777" w:rsidR="00377344" w:rsidRPr="00377344" w:rsidRDefault="00377344" w:rsidP="00377344">
            <w:pPr>
              <w:jc w:val="right"/>
              <w:rPr>
                <w:rFonts w:ascii="Arial Narrow" w:hAnsi="Arial Narrow" w:cs="Arial"/>
                <w:sz w:val="18"/>
                <w:szCs w:val="18"/>
              </w:rPr>
            </w:pPr>
            <w:r w:rsidRPr="00377344">
              <w:rPr>
                <w:rFonts w:ascii="Arial Narrow" w:hAnsi="Arial Narrow" w:cs="Arial"/>
                <w:sz w:val="18"/>
                <w:szCs w:val="18"/>
              </w:rPr>
              <w:t>195 414</w:t>
            </w:r>
          </w:p>
        </w:tc>
        <w:tc>
          <w:tcPr>
            <w:tcW w:w="811" w:type="dxa"/>
            <w:tcBorders>
              <w:top w:val="nil"/>
              <w:left w:val="nil"/>
              <w:bottom w:val="single" w:sz="4" w:space="0" w:color="auto"/>
              <w:right w:val="single" w:sz="4" w:space="0" w:color="auto"/>
            </w:tcBorders>
            <w:shd w:val="clear" w:color="000000" w:fill="FFFFFF"/>
            <w:vAlign w:val="center"/>
            <w:hideMark/>
          </w:tcPr>
          <w:p w14:paraId="3F019B48" w14:textId="77777777" w:rsidR="00377344" w:rsidRPr="00377344" w:rsidRDefault="00377344" w:rsidP="00377344">
            <w:pPr>
              <w:jc w:val="right"/>
              <w:rPr>
                <w:rFonts w:ascii="Arial Narrow" w:hAnsi="Arial Narrow" w:cs="Arial"/>
                <w:sz w:val="18"/>
                <w:szCs w:val="18"/>
              </w:rPr>
            </w:pPr>
            <w:r w:rsidRPr="00377344">
              <w:rPr>
                <w:rFonts w:ascii="Arial Narrow" w:hAnsi="Arial Narrow" w:cs="Arial"/>
                <w:sz w:val="18"/>
                <w:szCs w:val="18"/>
              </w:rPr>
              <w:t>2,9%</w:t>
            </w:r>
          </w:p>
        </w:tc>
        <w:tc>
          <w:tcPr>
            <w:tcW w:w="812" w:type="dxa"/>
            <w:tcBorders>
              <w:top w:val="nil"/>
              <w:left w:val="nil"/>
              <w:bottom w:val="single" w:sz="4" w:space="0" w:color="auto"/>
              <w:right w:val="single" w:sz="4" w:space="0" w:color="auto"/>
            </w:tcBorders>
            <w:shd w:val="clear" w:color="auto" w:fill="auto"/>
            <w:noWrap/>
            <w:vAlign w:val="center"/>
            <w:hideMark/>
          </w:tcPr>
          <w:p w14:paraId="3BAEE5A9" w14:textId="77777777" w:rsidR="00377344" w:rsidRPr="00377344" w:rsidRDefault="00377344" w:rsidP="00377344">
            <w:pPr>
              <w:jc w:val="right"/>
              <w:rPr>
                <w:rFonts w:ascii="Arial Narrow" w:hAnsi="Arial Narrow" w:cs="Arial"/>
                <w:color w:val="000000"/>
                <w:sz w:val="18"/>
                <w:szCs w:val="18"/>
              </w:rPr>
            </w:pPr>
            <w:r w:rsidRPr="00377344">
              <w:rPr>
                <w:rFonts w:ascii="Arial Narrow" w:hAnsi="Arial Narrow" w:cs="Arial"/>
                <w:color w:val="000000"/>
                <w:sz w:val="18"/>
                <w:szCs w:val="18"/>
              </w:rPr>
              <w:t>-7,4%</w:t>
            </w:r>
          </w:p>
        </w:tc>
      </w:tr>
      <w:tr w:rsidR="00377344" w:rsidRPr="00377344" w14:paraId="4BFFBC60" w14:textId="77777777" w:rsidTr="008B7C13">
        <w:trPr>
          <w:trHeight w:val="270"/>
        </w:trPr>
        <w:tc>
          <w:tcPr>
            <w:tcW w:w="382" w:type="dxa"/>
            <w:tcBorders>
              <w:top w:val="nil"/>
              <w:left w:val="single" w:sz="4" w:space="0" w:color="auto"/>
              <w:bottom w:val="single" w:sz="4" w:space="0" w:color="auto"/>
              <w:right w:val="single" w:sz="4" w:space="0" w:color="auto"/>
            </w:tcBorders>
            <w:shd w:val="clear" w:color="000000" w:fill="FFFFFF"/>
            <w:noWrap/>
            <w:vAlign w:val="center"/>
            <w:hideMark/>
          </w:tcPr>
          <w:p w14:paraId="75E2F98C" w14:textId="77777777" w:rsidR="00377344" w:rsidRPr="00377344" w:rsidRDefault="00377344" w:rsidP="00377344">
            <w:pPr>
              <w:jc w:val="center"/>
              <w:rPr>
                <w:rFonts w:ascii="Arial Narrow" w:hAnsi="Arial Narrow" w:cs="Arial"/>
                <w:sz w:val="18"/>
                <w:szCs w:val="18"/>
              </w:rPr>
            </w:pPr>
            <w:r w:rsidRPr="00377344">
              <w:rPr>
                <w:rFonts w:ascii="Arial Narrow" w:hAnsi="Arial Narrow" w:cs="Arial"/>
                <w:sz w:val="18"/>
                <w:szCs w:val="18"/>
              </w:rPr>
              <w:t>2</w:t>
            </w:r>
          </w:p>
        </w:tc>
        <w:tc>
          <w:tcPr>
            <w:tcW w:w="5120" w:type="dxa"/>
            <w:tcBorders>
              <w:top w:val="nil"/>
              <w:left w:val="nil"/>
              <w:bottom w:val="single" w:sz="4" w:space="0" w:color="auto"/>
              <w:right w:val="single" w:sz="4" w:space="0" w:color="auto"/>
            </w:tcBorders>
            <w:shd w:val="clear" w:color="000000" w:fill="FFFFFF"/>
            <w:vAlign w:val="center"/>
            <w:hideMark/>
          </w:tcPr>
          <w:p w14:paraId="1F8C6E7E" w14:textId="77777777" w:rsidR="00377344" w:rsidRPr="00377344" w:rsidRDefault="00377344" w:rsidP="00377344">
            <w:pPr>
              <w:rPr>
                <w:rFonts w:ascii="Arial Narrow" w:hAnsi="Arial Narrow" w:cs="Arial"/>
                <w:sz w:val="18"/>
                <w:szCs w:val="18"/>
              </w:rPr>
            </w:pPr>
            <w:r w:rsidRPr="00377344">
              <w:rPr>
                <w:rFonts w:ascii="Arial Narrow" w:hAnsi="Arial Narrow" w:cs="Arial"/>
                <w:sz w:val="18"/>
                <w:szCs w:val="18"/>
              </w:rPr>
              <w:t>Меса и карантии, годни за консумация</w:t>
            </w:r>
          </w:p>
        </w:tc>
        <w:tc>
          <w:tcPr>
            <w:tcW w:w="920" w:type="dxa"/>
            <w:tcBorders>
              <w:top w:val="nil"/>
              <w:left w:val="nil"/>
              <w:bottom w:val="single" w:sz="4" w:space="0" w:color="auto"/>
              <w:right w:val="single" w:sz="4" w:space="0" w:color="auto"/>
            </w:tcBorders>
            <w:shd w:val="clear" w:color="000000" w:fill="FFFFFF"/>
            <w:noWrap/>
            <w:vAlign w:val="center"/>
            <w:hideMark/>
          </w:tcPr>
          <w:p w14:paraId="69778A59" w14:textId="77777777" w:rsidR="00377344" w:rsidRPr="00377344" w:rsidRDefault="00377344" w:rsidP="00377344">
            <w:pPr>
              <w:jc w:val="right"/>
              <w:rPr>
                <w:rFonts w:ascii="Arial Narrow" w:hAnsi="Arial Narrow" w:cs="Arial"/>
                <w:sz w:val="18"/>
                <w:szCs w:val="18"/>
              </w:rPr>
            </w:pPr>
            <w:r w:rsidRPr="00377344">
              <w:rPr>
                <w:rFonts w:ascii="Arial Narrow" w:hAnsi="Arial Narrow" w:cs="Arial"/>
                <w:sz w:val="18"/>
                <w:szCs w:val="18"/>
              </w:rPr>
              <w:t>285 962</w:t>
            </w:r>
          </w:p>
        </w:tc>
        <w:tc>
          <w:tcPr>
            <w:tcW w:w="811" w:type="dxa"/>
            <w:tcBorders>
              <w:top w:val="nil"/>
              <w:left w:val="nil"/>
              <w:bottom w:val="single" w:sz="4" w:space="0" w:color="auto"/>
              <w:right w:val="single" w:sz="4" w:space="0" w:color="auto"/>
            </w:tcBorders>
            <w:shd w:val="clear" w:color="000000" w:fill="FFFFFF"/>
            <w:vAlign w:val="center"/>
            <w:hideMark/>
          </w:tcPr>
          <w:p w14:paraId="2A03697A" w14:textId="77777777" w:rsidR="00377344" w:rsidRPr="00377344" w:rsidRDefault="00377344" w:rsidP="00377344">
            <w:pPr>
              <w:jc w:val="right"/>
              <w:rPr>
                <w:rFonts w:ascii="Arial Narrow" w:hAnsi="Arial Narrow" w:cs="Arial"/>
                <w:sz w:val="18"/>
                <w:szCs w:val="18"/>
              </w:rPr>
            </w:pPr>
            <w:r w:rsidRPr="00377344">
              <w:rPr>
                <w:rFonts w:ascii="Arial Narrow" w:hAnsi="Arial Narrow" w:cs="Arial"/>
                <w:sz w:val="18"/>
                <w:szCs w:val="18"/>
              </w:rPr>
              <w:t>3,6%</w:t>
            </w:r>
          </w:p>
        </w:tc>
        <w:tc>
          <w:tcPr>
            <w:tcW w:w="920" w:type="dxa"/>
            <w:tcBorders>
              <w:top w:val="nil"/>
              <w:left w:val="nil"/>
              <w:bottom w:val="single" w:sz="4" w:space="0" w:color="auto"/>
              <w:right w:val="single" w:sz="4" w:space="0" w:color="auto"/>
            </w:tcBorders>
            <w:shd w:val="clear" w:color="000000" w:fill="FFFFFF"/>
            <w:noWrap/>
            <w:vAlign w:val="center"/>
            <w:hideMark/>
          </w:tcPr>
          <w:p w14:paraId="5FF22B6F" w14:textId="77777777" w:rsidR="00377344" w:rsidRPr="00377344" w:rsidRDefault="00377344" w:rsidP="00377344">
            <w:pPr>
              <w:jc w:val="right"/>
              <w:rPr>
                <w:rFonts w:ascii="Arial Narrow" w:hAnsi="Arial Narrow" w:cs="Arial"/>
                <w:sz w:val="18"/>
                <w:szCs w:val="18"/>
              </w:rPr>
            </w:pPr>
            <w:r w:rsidRPr="00377344">
              <w:rPr>
                <w:rFonts w:ascii="Arial Narrow" w:hAnsi="Arial Narrow" w:cs="Arial"/>
                <w:sz w:val="18"/>
                <w:szCs w:val="18"/>
              </w:rPr>
              <w:t>250 615</w:t>
            </w:r>
          </w:p>
        </w:tc>
        <w:tc>
          <w:tcPr>
            <w:tcW w:w="811" w:type="dxa"/>
            <w:tcBorders>
              <w:top w:val="nil"/>
              <w:left w:val="nil"/>
              <w:bottom w:val="single" w:sz="4" w:space="0" w:color="auto"/>
              <w:right w:val="single" w:sz="4" w:space="0" w:color="auto"/>
            </w:tcBorders>
            <w:shd w:val="clear" w:color="000000" w:fill="FFFFFF"/>
            <w:vAlign w:val="center"/>
            <w:hideMark/>
          </w:tcPr>
          <w:p w14:paraId="6879316A" w14:textId="77777777" w:rsidR="00377344" w:rsidRPr="00377344" w:rsidRDefault="00377344" w:rsidP="00377344">
            <w:pPr>
              <w:jc w:val="right"/>
              <w:rPr>
                <w:rFonts w:ascii="Arial Narrow" w:hAnsi="Arial Narrow" w:cs="Arial"/>
                <w:sz w:val="18"/>
                <w:szCs w:val="18"/>
              </w:rPr>
            </w:pPr>
            <w:r w:rsidRPr="00377344">
              <w:rPr>
                <w:rFonts w:ascii="Arial Narrow" w:hAnsi="Arial Narrow" w:cs="Arial"/>
                <w:sz w:val="18"/>
                <w:szCs w:val="18"/>
              </w:rPr>
              <w:t>3,7%</w:t>
            </w:r>
          </w:p>
        </w:tc>
        <w:tc>
          <w:tcPr>
            <w:tcW w:w="812" w:type="dxa"/>
            <w:tcBorders>
              <w:top w:val="nil"/>
              <w:left w:val="nil"/>
              <w:bottom w:val="single" w:sz="4" w:space="0" w:color="auto"/>
              <w:right w:val="single" w:sz="4" w:space="0" w:color="auto"/>
            </w:tcBorders>
            <w:shd w:val="clear" w:color="auto" w:fill="auto"/>
            <w:noWrap/>
            <w:vAlign w:val="center"/>
            <w:hideMark/>
          </w:tcPr>
          <w:p w14:paraId="0C69A586" w14:textId="77777777" w:rsidR="00377344" w:rsidRPr="00377344" w:rsidRDefault="00377344" w:rsidP="00377344">
            <w:pPr>
              <w:jc w:val="right"/>
              <w:rPr>
                <w:rFonts w:ascii="Arial Narrow" w:hAnsi="Arial Narrow" w:cs="Arial"/>
                <w:color w:val="000000"/>
                <w:sz w:val="18"/>
                <w:szCs w:val="18"/>
              </w:rPr>
            </w:pPr>
            <w:r w:rsidRPr="00377344">
              <w:rPr>
                <w:rFonts w:ascii="Arial Narrow" w:hAnsi="Arial Narrow" w:cs="Arial"/>
                <w:color w:val="000000"/>
                <w:sz w:val="18"/>
                <w:szCs w:val="18"/>
              </w:rPr>
              <w:t>-12,4%</w:t>
            </w:r>
          </w:p>
        </w:tc>
      </w:tr>
      <w:tr w:rsidR="00377344" w:rsidRPr="00377344" w14:paraId="4C9A8FE3" w14:textId="77777777" w:rsidTr="008B7C13">
        <w:trPr>
          <w:trHeight w:val="270"/>
        </w:trPr>
        <w:tc>
          <w:tcPr>
            <w:tcW w:w="382" w:type="dxa"/>
            <w:tcBorders>
              <w:top w:val="nil"/>
              <w:left w:val="single" w:sz="4" w:space="0" w:color="auto"/>
              <w:bottom w:val="single" w:sz="4" w:space="0" w:color="auto"/>
              <w:right w:val="single" w:sz="4" w:space="0" w:color="auto"/>
            </w:tcBorders>
            <w:shd w:val="clear" w:color="auto" w:fill="auto"/>
            <w:noWrap/>
            <w:vAlign w:val="center"/>
            <w:hideMark/>
          </w:tcPr>
          <w:p w14:paraId="2CEA9FA5" w14:textId="77777777" w:rsidR="00377344" w:rsidRPr="00377344" w:rsidRDefault="00377344" w:rsidP="00377344">
            <w:pPr>
              <w:jc w:val="center"/>
              <w:rPr>
                <w:rFonts w:ascii="Arial Narrow" w:hAnsi="Arial Narrow" w:cs="Arial"/>
                <w:sz w:val="18"/>
                <w:szCs w:val="18"/>
              </w:rPr>
            </w:pPr>
            <w:r w:rsidRPr="00377344">
              <w:rPr>
                <w:rFonts w:ascii="Arial Narrow" w:hAnsi="Arial Narrow" w:cs="Arial"/>
                <w:sz w:val="18"/>
                <w:szCs w:val="18"/>
              </w:rPr>
              <w:t>3</w:t>
            </w:r>
          </w:p>
        </w:tc>
        <w:tc>
          <w:tcPr>
            <w:tcW w:w="5120" w:type="dxa"/>
            <w:tcBorders>
              <w:top w:val="nil"/>
              <w:left w:val="nil"/>
              <w:bottom w:val="single" w:sz="4" w:space="0" w:color="auto"/>
              <w:right w:val="single" w:sz="4" w:space="0" w:color="auto"/>
            </w:tcBorders>
            <w:shd w:val="clear" w:color="auto" w:fill="auto"/>
            <w:vAlign w:val="center"/>
            <w:hideMark/>
          </w:tcPr>
          <w:p w14:paraId="3FFB3E94" w14:textId="77777777" w:rsidR="00377344" w:rsidRPr="00377344" w:rsidRDefault="00377344" w:rsidP="00377344">
            <w:pPr>
              <w:rPr>
                <w:rFonts w:ascii="Arial Narrow" w:hAnsi="Arial Narrow" w:cs="Arial"/>
                <w:sz w:val="18"/>
                <w:szCs w:val="18"/>
              </w:rPr>
            </w:pPr>
            <w:r w:rsidRPr="00377344">
              <w:rPr>
                <w:rFonts w:ascii="Arial Narrow" w:hAnsi="Arial Narrow" w:cs="Arial"/>
                <w:sz w:val="18"/>
                <w:szCs w:val="18"/>
              </w:rPr>
              <w:t>Риби и ракообразни, мекотели и други водни безгръбначни</w:t>
            </w:r>
          </w:p>
        </w:tc>
        <w:tc>
          <w:tcPr>
            <w:tcW w:w="920" w:type="dxa"/>
            <w:tcBorders>
              <w:top w:val="nil"/>
              <w:left w:val="nil"/>
              <w:bottom w:val="single" w:sz="4" w:space="0" w:color="auto"/>
              <w:right w:val="single" w:sz="4" w:space="0" w:color="auto"/>
            </w:tcBorders>
            <w:shd w:val="clear" w:color="auto" w:fill="auto"/>
            <w:noWrap/>
            <w:vAlign w:val="center"/>
            <w:hideMark/>
          </w:tcPr>
          <w:p w14:paraId="249C921A" w14:textId="77777777" w:rsidR="00377344" w:rsidRPr="00377344" w:rsidRDefault="00377344" w:rsidP="00377344">
            <w:pPr>
              <w:jc w:val="right"/>
              <w:rPr>
                <w:rFonts w:ascii="Arial Narrow" w:hAnsi="Arial Narrow" w:cs="Arial"/>
                <w:sz w:val="18"/>
                <w:szCs w:val="18"/>
              </w:rPr>
            </w:pPr>
            <w:r w:rsidRPr="00377344">
              <w:rPr>
                <w:rFonts w:ascii="Arial Narrow" w:hAnsi="Arial Narrow" w:cs="Arial"/>
                <w:sz w:val="18"/>
                <w:szCs w:val="18"/>
              </w:rPr>
              <w:t>50 942</w:t>
            </w:r>
          </w:p>
        </w:tc>
        <w:tc>
          <w:tcPr>
            <w:tcW w:w="811" w:type="dxa"/>
            <w:tcBorders>
              <w:top w:val="nil"/>
              <w:left w:val="nil"/>
              <w:bottom w:val="single" w:sz="4" w:space="0" w:color="auto"/>
              <w:right w:val="single" w:sz="4" w:space="0" w:color="auto"/>
            </w:tcBorders>
            <w:shd w:val="clear" w:color="000000" w:fill="FFFFFF"/>
            <w:vAlign w:val="center"/>
            <w:hideMark/>
          </w:tcPr>
          <w:p w14:paraId="259DBD39" w14:textId="77777777" w:rsidR="00377344" w:rsidRPr="00377344" w:rsidRDefault="00377344" w:rsidP="00377344">
            <w:pPr>
              <w:jc w:val="right"/>
              <w:rPr>
                <w:rFonts w:ascii="Arial Narrow" w:hAnsi="Arial Narrow" w:cs="Arial"/>
                <w:sz w:val="18"/>
                <w:szCs w:val="18"/>
              </w:rPr>
            </w:pPr>
            <w:r w:rsidRPr="00377344">
              <w:rPr>
                <w:rFonts w:ascii="Arial Narrow" w:hAnsi="Arial Narrow" w:cs="Arial"/>
                <w:sz w:val="18"/>
                <w:szCs w:val="18"/>
              </w:rPr>
              <w:t>0,6%</w:t>
            </w:r>
          </w:p>
        </w:tc>
        <w:tc>
          <w:tcPr>
            <w:tcW w:w="920" w:type="dxa"/>
            <w:tcBorders>
              <w:top w:val="nil"/>
              <w:left w:val="nil"/>
              <w:bottom w:val="single" w:sz="4" w:space="0" w:color="auto"/>
              <w:right w:val="single" w:sz="4" w:space="0" w:color="auto"/>
            </w:tcBorders>
            <w:shd w:val="clear" w:color="auto" w:fill="auto"/>
            <w:noWrap/>
            <w:vAlign w:val="center"/>
            <w:hideMark/>
          </w:tcPr>
          <w:p w14:paraId="2F70FC04" w14:textId="77777777" w:rsidR="00377344" w:rsidRPr="00377344" w:rsidRDefault="00377344" w:rsidP="00377344">
            <w:pPr>
              <w:jc w:val="right"/>
              <w:rPr>
                <w:rFonts w:ascii="Arial Narrow" w:hAnsi="Arial Narrow" w:cs="Arial"/>
                <w:sz w:val="18"/>
                <w:szCs w:val="18"/>
              </w:rPr>
            </w:pPr>
            <w:r w:rsidRPr="00377344">
              <w:rPr>
                <w:rFonts w:ascii="Arial Narrow" w:hAnsi="Arial Narrow" w:cs="Arial"/>
                <w:sz w:val="18"/>
                <w:szCs w:val="18"/>
              </w:rPr>
              <w:t>41 820</w:t>
            </w:r>
          </w:p>
        </w:tc>
        <w:tc>
          <w:tcPr>
            <w:tcW w:w="811" w:type="dxa"/>
            <w:tcBorders>
              <w:top w:val="nil"/>
              <w:left w:val="nil"/>
              <w:bottom w:val="single" w:sz="4" w:space="0" w:color="auto"/>
              <w:right w:val="single" w:sz="4" w:space="0" w:color="auto"/>
            </w:tcBorders>
            <w:shd w:val="clear" w:color="000000" w:fill="FFFFFF"/>
            <w:vAlign w:val="center"/>
            <w:hideMark/>
          </w:tcPr>
          <w:p w14:paraId="1C80E3CC" w14:textId="77777777" w:rsidR="00377344" w:rsidRPr="00377344" w:rsidRDefault="00377344" w:rsidP="00377344">
            <w:pPr>
              <w:jc w:val="right"/>
              <w:rPr>
                <w:rFonts w:ascii="Arial Narrow" w:hAnsi="Arial Narrow" w:cs="Arial"/>
                <w:sz w:val="18"/>
                <w:szCs w:val="18"/>
              </w:rPr>
            </w:pPr>
            <w:r w:rsidRPr="00377344">
              <w:rPr>
                <w:rFonts w:ascii="Arial Narrow" w:hAnsi="Arial Narrow" w:cs="Arial"/>
                <w:sz w:val="18"/>
                <w:szCs w:val="18"/>
              </w:rPr>
              <w:t>0,6%</w:t>
            </w:r>
          </w:p>
        </w:tc>
        <w:tc>
          <w:tcPr>
            <w:tcW w:w="812" w:type="dxa"/>
            <w:tcBorders>
              <w:top w:val="nil"/>
              <w:left w:val="nil"/>
              <w:bottom w:val="single" w:sz="4" w:space="0" w:color="auto"/>
              <w:right w:val="single" w:sz="4" w:space="0" w:color="auto"/>
            </w:tcBorders>
            <w:shd w:val="clear" w:color="auto" w:fill="auto"/>
            <w:noWrap/>
            <w:vAlign w:val="center"/>
            <w:hideMark/>
          </w:tcPr>
          <w:p w14:paraId="17AFC162" w14:textId="77777777" w:rsidR="00377344" w:rsidRPr="00377344" w:rsidRDefault="00377344" w:rsidP="00377344">
            <w:pPr>
              <w:jc w:val="right"/>
              <w:rPr>
                <w:rFonts w:ascii="Arial Narrow" w:hAnsi="Arial Narrow" w:cs="Arial"/>
                <w:color w:val="000000"/>
                <w:sz w:val="18"/>
                <w:szCs w:val="18"/>
              </w:rPr>
            </w:pPr>
            <w:r w:rsidRPr="00377344">
              <w:rPr>
                <w:rFonts w:ascii="Arial Narrow" w:hAnsi="Arial Narrow" w:cs="Arial"/>
                <w:color w:val="000000"/>
                <w:sz w:val="18"/>
                <w:szCs w:val="18"/>
              </w:rPr>
              <w:t>-17,9%</w:t>
            </w:r>
          </w:p>
        </w:tc>
      </w:tr>
      <w:tr w:rsidR="00377344" w:rsidRPr="00377344" w14:paraId="7ECB9857" w14:textId="77777777" w:rsidTr="008B7C13">
        <w:trPr>
          <w:trHeight w:val="540"/>
        </w:trPr>
        <w:tc>
          <w:tcPr>
            <w:tcW w:w="382" w:type="dxa"/>
            <w:tcBorders>
              <w:top w:val="nil"/>
              <w:left w:val="single" w:sz="4" w:space="0" w:color="auto"/>
              <w:bottom w:val="single" w:sz="4" w:space="0" w:color="auto"/>
              <w:right w:val="single" w:sz="4" w:space="0" w:color="auto"/>
            </w:tcBorders>
            <w:shd w:val="clear" w:color="auto" w:fill="auto"/>
            <w:noWrap/>
            <w:vAlign w:val="center"/>
            <w:hideMark/>
          </w:tcPr>
          <w:p w14:paraId="608ED5A6" w14:textId="77777777" w:rsidR="00377344" w:rsidRPr="00377344" w:rsidRDefault="00377344" w:rsidP="00377344">
            <w:pPr>
              <w:jc w:val="center"/>
              <w:rPr>
                <w:rFonts w:ascii="Arial Narrow" w:hAnsi="Arial Narrow" w:cs="Arial"/>
                <w:sz w:val="18"/>
                <w:szCs w:val="18"/>
              </w:rPr>
            </w:pPr>
            <w:r w:rsidRPr="00377344">
              <w:rPr>
                <w:rFonts w:ascii="Arial Narrow" w:hAnsi="Arial Narrow" w:cs="Arial"/>
                <w:sz w:val="18"/>
                <w:szCs w:val="18"/>
              </w:rPr>
              <w:t>4</w:t>
            </w:r>
          </w:p>
        </w:tc>
        <w:tc>
          <w:tcPr>
            <w:tcW w:w="5120" w:type="dxa"/>
            <w:tcBorders>
              <w:top w:val="nil"/>
              <w:left w:val="nil"/>
              <w:bottom w:val="single" w:sz="4" w:space="0" w:color="auto"/>
              <w:right w:val="single" w:sz="4" w:space="0" w:color="auto"/>
            </w:tcBorders>
            <w:shd w:val="clear" w:color="auto" w:fill="auto"/>
            <w:vAlign w:val="center"/>
            <w:hideMark/>
          </w:tcPr>
          <w:p w14:paraId="62A72781" w14:textId="77777777" w:rsidR="00377344" w:rsidRPr="00377344" w:rsidRDefault="00377344" w:rsidP="00377344">
            <w:pPr>
              <w:rPr>
                <w:rFonts w:ascii="Arial Narrow" w:hAnsi="Arial Narrow" w:cs="Arial"/>
                <w:sz w:val="18"/>
                <w:szCs w:val="18"/>
              </w:rPr>
            </w:pPr>
            <w:r w:rsidRPr="00377344">
              <w:rPr>
                <w:rFonts w:ascii="Arial Narrow" w:hAnsi="Arial Narrow" w:cs="Arial"/>
                <w:sz w:val="18"/>
                <w:szCs w:val="18"/>
              </w:rPr>
              <w:t>Мляко и млечни продукти; птичи яйца; естествен мед; продукти от животински произход, годни за консумация, неупоменати другаде</w:t>
            </w:r>
          </w:p>
        </w:tc>
        <w:tc>
          <w:tcPr>
            <w:tcW w:w="920" w:type="dxa"/>
            <w:tcBorders>
              <w:top w:val="nil"/>
              <w:left w:val="nil"/>
              <w:bottom w:val="single" w:sz="4" w:space="0" w:color="auto"/>
              <w:right w:val="single" w:sz="4" w:space="0" w:color="auto"/>
            </w:tcBorders>
            <w:shd w:val="clear" w:color="auto" w:fill="auto"/>
            <w:noWrap/>
            <w:vAlign w:val="center"/>
            <w:hideMark/>
          </w:tcPr>
          <w:p w14:paraId="41A376C6" w14:textId="77777777" w:rsidR="00377344" w:rsidRPr="00377344" w:rsidRDefault="00377344" w:rsidP="00377344">
            <w:pPr>
              <w:jc w:val="right"/>
              <w:rPr>
                <w:rFonts w:ascii="Arial Narrow" w:hAnsi="Arial Narrow" w:cs="Arial"/>
                <w:sz w:val="18"/>
                <w:szCs w:val="18"/>
              </w:rPr>
            </w:pPr>
            <w:r w:rsidRPr="00377344">
              <w:rPr>
                <w:rFonts w:ascii="Arial Narrow" w:hAnsi="Arial Narrow" w:cs="Arial"/>
                <w:sz w:val="18"/>
                <w:szCs w:val="18"/>
              </w:rPr>
              <w:t>278 712</w:t>
            </w:r>
          </w:p>
        </w:tc>
        <w:tc>
          <w:tcPr>
            <w:tcW w:w="811" w:type="dxa"/>
            <w:tcBorders>
              <w:top w:val="nil"/>
              <w:left w:val="nil"/>
              <w:bottom w:val="single" w:sz="4" w:space="0" w:color="auto"/>
              <w:right w:val="single" w:sz="4" w:space="0" w:color="auto"/>
            </w:tcBorders>
            <w:shd w:val="clear" w:color="000000" w:fill="FFFFFF"/>
            <w:vAlign w:val="center"/>
            <w:hideMark/>
          </w:tcPr>
          <w:p w14:paraId="37106DE3" w14:textId="77777777" w:rsidR="00377344" w:rsidRPr="00377344" w:rsidRDefault="00377344" w:rsidP="00377344">
            <w:pPr>
              <w:jc w:val="right"/>
              <w:rPr>
                <w:rFonts w:ascii="Arial Narrow" w:hAnsi="Arial Narrow" w:cs="Arial"/>
                <w:sz w:val="18"/>
                <w:szCs w:val="18"/>
              </w:rPr>
            </w:pPr>
            <w:r w:rsidRPr="00377344">
              <w:rPr>
                <w:rFonts w:ascii="Arial Narrow" w:hAnsi="Arial Narrow" w:cs="Arial"/>
                <w:sz w:val="18"/>
                <w:szCs w:val="18"/>
              </w:rPr>
              <w:t>3,5%</w:t>
            </w:r>
          </w:p>
        </w:tc>
        <w:tc>
          <w:tcPr>
            <w:tcW w:w="920" w:type="dxa"/>
            <w:tcBorders>
              <w:top w:val="nil"/>
              <w:left w:val="nil"/>
              <w:bottom w:val="single" w:sz="4" w:space="0" w:color="auto"/>
              <w:right w:val="single" w:sz="4" w:space="0" w:color="auto"/>
            </w:tcBorders>
            <w:shd w:val="clear" w:color="auto" w:fill="auto"/>
            <w:noWrap/>
            <w:vAlign w:val="center"/>
            <w:hideMark/>
          </w:tcPr>
          <w:p w14:paraId="0C545CC8" w14:textId="77777777" w:rsidR="00377344" w:rsidRPr="00377344" w:rsidRDefault="00377344" w:rsidP="00377344">
            <w:pPr>
              <w:jc w:val="right"/>
              <w:rPr>
                <w:rFonts w:ascii="Arial Narrow" w:hAnsi="Arial Narrow" w:cs="Arial"/>
                <w:sz w:val="18"/>
                <w:szCs w:val="18"/>
              </w:rPr>
            </w:pPr>
            <w:r w:rsidRPr="00377344">
              <w:rPr>
                <w:rFonts w:ascii="Arial Narrow" w:hAnsi="Arial Narrow" w:cs="Arial"/>
                <w:sz w:val="18"/>
                <w:szCs w:val="18"/>
              </w:rPr>
              <w:t>253 772</w:t>
            </w:r>
          </w:p>
        </w:tc>
        <w:tc>
          <w:tcPr>
            <w:tcW w:w="811" w:type="dxa"/>
            <w:tcBorders>
              <w:top w:val="nil"/>
              <w:left w:val="nil"/>
              <w:bottom w:val="single" w:sz="4" w:space="0" w:color="auto"/>
              <w:right w:val="single" w:sz="4" w:space="0" w:color="auto"/>
            </w:tcBorders>
            <w:shd w:val="clear" w:color="000000" w:fill="FFFFFF"/>
            <w:vAlign w:val="center"/>
            <w:hideMark/>
          </w:tcPr>
          <w:p w14:paraId="1B782ACB" w14:textId="77777777" w:rsidR="00377344" w:rsidRPr="00377344" w:rsidRDefault="00377344" w:rsidP="00377344">
            <w:pPr>
              <w:jc w:val="right"/>
              <w:rPr>
                <w:rFonts w:ascii="Arial Narrow" w:hAnsi="Arial Narrow" w:cs="Arial"/>
                <w:sz w:val="18"/>
                <w:szCs w:val="18"/>
              </w:rPr>
            </w:pPr>
            <w:r w:rsidRPr="00377344">
              <w:rPr>
                <w:rFonts w:ascii="Arial Narrow" w:hAnsi="Arial Narrow" w:cs="Arial"/>
                <w:sz w:val="18"/>
                <w:szCs w:val="18"/>
              </w:rPr>
              <w:t>3,8%</w:t>
            </w:r>
          </w:p>
        </w:tc>
        <w:tc>
          <w:tcPr>
            <w:tcW w:w="812" w:type="dxa"/>
            <w:tcBorders>
              <w:top w:val="nil"/>
              <w:left w:val="nil"/>
              <w:bottom w:val="single" w:sz="4" w:space="0" w:color="auto"/>
              <w:right w:val="single" w:sz="4" w:space="0" w:color="auto"/>
            </w:tcBorders>
            <w:shd w:val="clear" w:color="auto" w:fill="auto"/>
            <w:noWrap/>
            <w:vAlign w:val="center"/>
            <w:hideMark/>
          </w:tcPr>
          <w:p w14:paraId="6C0E61D2" w14:textId="77777777" w:rsidR="00377344" w:rsidRPr="00377344" w:rsidRDefault="00377344" w:rsidP="00377344">
            <w:pPr>
              <w:jc w:val="right"/>
              <w:rPr>
                <w:rFonts w:ascii="Arial Narrow" w:hAnsi="Arial Narrow" w:cs="Arial"/>
                <w:color w:val="000000"/>
                <w:sz w:val="18"/>
                <w:szCs w:val="18"/>
              </w:rPr>
            </w:pPr>
            <w:r w:rsidRPr="00377344">
              <w:rPr>
                <w:rFonts w:ascii="Arial Narrow" w:hAnsi="Arial Narrow" w:cs="Arial"/>
                <w:color w:val="000000"/>
                <w:sz w:val="18"/>
                <w:szCs w:val="18"/>
              </w:rPr>
              <w:t>-8,9%</w:t>
            </w:r>
          </w:p>
        </w:tc>
      </w:tr>
      <w:tr w:rsidR="00377344" w:rsidRPr="00377344" w14:paraId="7423234F" w14:textId="77777777" w:rsidTr="008B7C13">
        <w:trPr>
          <w:trHeight w:val="270"/>
        </w:trPr>
        <w:tc>
          <w:tcPr>
            <w:tcW w:w="382" w:type="dxa"/>
            <w:tcBorders>
              <w:top w:val="nil"/>
              <w:left w:val="single" w:sz="4" w:space="0" w:color="auto"/>
              <w:bottom w:val="single" w:sz="4" w:space="0" w:color="auto"/>
              <w:right w:val="single" w:sz="4" w:space="0" w:color="auto"/>
            </w:tcBorders>
            <w:shd w:val="clear" w:color="auto" w:fill="auto"/>
            <w:noWrap/>
            <w:vAlign w:val="center"/>
            <w:hideMark/>
          </w:tcPr>
          <w:p w14:paraId="63A046E7" w14:textId="77777777" w:rsidR="00377344" w:rsidRPr="00377344" w:rsidRDefault="00377344" w:rsidP="00377344">
            <w:pPr>
              <w:jc w:val="center"/>
              <w:rPr>
                <w:rFonts w:ascii="Arial Narrow" w:hAnsi="Arial Narrow" w:cs="Arial"/>
                <w:sz w:val="18"/>
                <w:szCs w:val="18"/>
              </w:rPr>
            </w:pPr>
            <w:r w:rsidRPr="00377344">
              <w:rPr>
                <w:rFonts w:ascii="Arial Narrow" w:hAnsi="Arial Narrow" w:cs="Arial"/>
                <w:sz w:val="18"/>
                <w:szCs w:val="18"/>
              </w:rPr>
              <w:t>5</w:t>
            </w:r>
          </w:p>
        </w:tc>
        <w:tc>
          <w:tcPr>
            <w:tcW w:w="5120" w:type="dxa"/>
            <w:tcBorders>
              <w:top w:val="nil"/>
              <w:left w:val="nil"/>
              <w:bottom w:val="single" w:sz="4" w:space="0" w:color="auto"/>
              <w:right w:val="single" w:sz="4" w:space="0" w:color="auto"/>
            </w:tcBorders>
            <w:shd w:val="clear" w:color="auto" w:fill="auto"/>
            <w:vAlign w:val="center"/>
            <w:hideMark/>
          </w:tcPr>
          <w:p w14:paraId="16CCEB28" w14:textId="77777777" w:rsidR="00377344" w:rsidRPr="00377344" w:rsidRDefault="00377344" w:rsidP="00377344">
            <w:pPr>
              <w:rPr>
                <w:rFonts w:ascii="Arial Narrow" w:hAnsi="Arial Narrow" w:cs="Arial"/>
                <w:sz w:val="18"/>
                <w:szCs w:val="18"/>
              </w:rPr>
            </w:pPr>
            <w:r w:rsidRPr="00377344">
              <w:rPr>
                <w:rFonts w:ascii="Arial Narrow" w:hAnsi="Arial Narrow" w:cs="Arial"/>
                <w:sz w:val="18"/>
                <w:szCs w:val="18"/>
              </w:rPr>
              <w:t>Други продукти от животински произход, неупоменати другаде</w:t>
            </w:r>
          </w:p>
        </w:tc>
        <w:tc>
          <w:tcPr>
            <w:tcW w:w="920" w:type="dxa"/>
            <w:tcBorders>
              <w:top w:val="nil"/>
              <w:left w:val="nil"/>
              <w:bottom w:val="single" w:sz="4" w:space="0" w:color="auto"/>
              <w:right w:val="single" w:sz="4" w:space="0" w:color="auto"/>
            </w:tcBorders>
            <w:shd w:val="clear" w:color="auto" w:fill="auto"/>
            <w:noWrap/>
            <w:vAlign w:val="center"/>
            <w:hideMark/>
          </w:tcPr>
          <w:p w14:paraId="4E660BD6" w14:textId="77777777" w:rsidR="00377344" w:rsidRPr="00377344" w:rsidRDefault="00377344" w:rsidP="00377344">
            <w:pPr>
              <w:jc w:val="right"/>
              <w:rPr>
                <w:rFonts w:ascii="Arial Narrow" w:hAnsi="Arial Narrow" w:cs="Arial"/>
                <w:sz w:val="18"/>
                <w:szCs w:val="18"/>
              </w:rPr>
            </w:pPr>
            <w:r w:rsidRPr="00377344">
              <w:rPr>
                <w:rFonts w:ascii="Arial Narrow" w:hAnsi="Arial Narrow" w:cs="Arial"/>
                <w:sz w:val="18"/>
                <w:szCs w:val="18"/>
              </w:rPr>
              <w:t>21 459</w:t>
            </w:r>
          </w:p>
        </w:tc>
        <w:tc>
          <w:tcPr>
            <w:tcW w:w="811" w:type="dxa"/>
            <w:tcBorders>
              <w:top w:val="nil"/>
              <w:left w:val="nil"/>
              <w:bottom w:val="single" w:sz="4" w:space="0" w:color="auto"/>
              <w:right w:val="single" w:sz="4" w:space="0" w:color="auto"/>
            </w:tcBorders>
            <w:shd w:val="clear" w:color="000000" w:fill="FFFFFF"/>
            <w:vAlign w:val="center"/>
            <w:hideMark/>
          </w:tcPr>
          <w:p w14:paraId="3BE0F453" w14:textId="77777777" w:rsidR="00377344" w:rsidRPr="00377344" w:rsidRDefault="00377344" w:rsidP="00377344">
            <w:pPr>
              <w:jc w:val="right"/>
              <w:rPr>
                <w:rFonts w:ascii="Arial Narrow" w:hAnsi="Arial Narrow" w:cs="Arial"/>
                <w:sz w:val="18"/>
                <w:szCs w:val="18"/>
              </w:rPr>
            </w:pPr>
            <w:r w:rsidRPr="00377344">
              <w:rPr>
                <w:rFonts w:ascii="Arial Narrow" w:hAnsi="Arial Narrow" w:cs="Arial"/>
                <w:sz w:val="18"/>
                <w:szCs w:val="18"/>
              </w:rPr>
              <w:t>0,3%</w:t>
            </w:r>
          </w:p>
        </w:tc>
        <w:tc>
          <w:tcPr>
            <w:tcW w:w="920" w:type="dxa"/>
            <w:tcBorders>
              <w:top w:val="nil"/>
              <w:left w:val="nil"/>
              <w:bottom w:val="single" w:sz="4" w:space="0" w:color="auto"/>
              <w:right w:val="single" w:sz="4" w:space="0" w:color="auto"/>
            </w:tcBorders>
            <w:shd w:val="clear" w:color="auto" w:fill="auto"/>
            <w:noWrap/>
            <w:vAlign w:val="center"/>
            <w:hideMark/>
          </w:tcPr>
          <w:p w14:paraId="4009D6FD" w14:textId="77777777" w:rsidR="00377344" w:rsidRPr="00377344" w:rsidRDefault="00377344" w:rsidP="00377344">
            <w:pPr>
              <w:jc w:val="right"/>
              <w:rPr>
                <w:rFonts w:ascii="Arial Narrow" w:hAnsi="Arial Narrow" w:cs="Arial"/>
                <w:sz w:val="18"/>
                <w:szCs w:val="18"/>
              </w:rPr>
            </w:pPr>
            <w:r w:rsidRPr="00377344">
              <w:rPr>
                <w:rFonts w:ascii="Arial Narrow" w:hAnsi="Arial Narrow" w:cs="Arial"/>
                <w:sz w:val="18"/>
                <w:szCs w:val="18"/>
              </w:rPr>
              <w:t>22 769</w:t>
            </w:r>
          </w:p>
        </w:tc>
        <w:tc>
          <w:tcPr>
            <w:tcW w:w="811" w:type="dxa"/>
            <w:tcBorders>
              <w:top w:val="nil"/>
              <w:left w:val="nil"/>
              <w:bottom w:val="single" w:sz="4" w:space="0" w:color="auto"/>
              <w:right w:val="single" w:sz="4" w:space="0" w:color="auto"/>
            </w:tcBorders>
            <w:shd w:val="clear" w:color="000000" w:fill="FFFFFF"/>
            <w:vAlign w:val="center"/>
            <w:hideMark/>
          </w:tcPr>
          <w:p w14:paraId="548982A6" w14:textId="77777777" w:rsidR="00377344" w:rsidRPr="00377344" w:rsidRDefault="00377344" w:rsidP="00377344">
            <w:pPr>
              <w:jc w:val="right"/>
              <w:rPr>
                <w:rFonts w:ascii="Arial Narrow" w:hAnsi="Arial Narrow" w:cs="Arial"/>
                <w:sz w:val="18"/>
                <w:szCs w:val="18"/>
              </w:rPr>
            </w:pPr>
            <w:r w:rsidRPr="00377344">
              <w:rPr>
                <w:rFonts w:ascii="Arial Narrow" w:hAnsi="Arial Narrow" w:cs="Arial"/>
                <w:sz w:val="18"/>
                <w:szCs w:val="18"/>
              </w:rPr>
              <w:t>0,3%</w:t>
            </w:r>
          </w:p>
        </w:tc>
        <w:tc>
          <w:tcPr>
            <w:tcW w:w="812" w:type="dxa"/>
            <w:tcBorders>
              <w:top w:val="nil"/>
              <w:left w:val="nil"/>
              <w:bottom w:val="single" w:sz="4" w:space="0" w:color="auto"/>
              <w:right w:val="single" w:sz="4" w:space="0" w:color="auto"/>
            </w:tcBorders>
            <w:shd w:val="clear" w:color="auto" w:fill="auto"/>
            <w:noWrap/>
            <w:vAlign w:val="center"/>
            <w:hideMark/>
          </w:tcPr>
          <w:p w14:paraId="3A65F2DF" w14:textId="77777777" w:rsidR="00377344" w:rsidRPr="00377344" w:rsidRDefault="00377344" w:rsidP="00377344">
            <w:pPr>
              <w:jc w:val="right"/>
              <w:rPr>
                <w:rFonts w:ascii="Arial Narrow" w:hAnsi="Arial Narrow" w:cs="Arial"/>
                <w:color w:val="000000"/>
                <w:sz w:val="18"/>
                <w:szCs w:val="18"/>
              </w:rPr>
            </w:pPr>
            <w:r w:rsidRPr="00377344">
              <w:rPr>
                <w:rFonts w:ascii="Arial Narrow" w:hAnsi="Arial Narrow" w:cs="Arial"/>
                <w:color w:val="000000"/>
                <w:sz w:val="18"/>
                <w:szCs w:val="18"/>
              </w:rPr>
              <w:t>6,1%</w:t>
            </w:r>
          </w:p>
        </w:tc>
      </w:tr>
      <w:tr w:rsidR="00377344" w:rsidRPr="00377344" w14:paraId="227D34F2" w14:textId="77777777" w:rsidTr="008B7C13">
        <w:trPr>
          <w:trHeight w:val="270"/>
        </w:trPr>
        <w:tc>
          <w:tcPr>
            <w:tcW w:w="382" w:type="dxa"/>
            <w:tcBorders>
              <w:top w:val="nil"/>
              <w:left w:val="single" w:sz="4" w:space="0" w:color="auto"/>
              <w:bottom w:val="single" w:sz="4" w:space="0" w:color="auto"/>
              <w:right w:val="single" w:sz="4" w:space="0" w:color="auto"/>
            </w:tcBorders>
            <w:shd w:val="clear" w:color="auto" w:fill="auto"/>
            <w:noWrap/>
            <w:vAlign w:val="center"/>
            <w:hideMark/>
          </w:tcPr>
          <w:p w14:paraId="030E86CA" w14:textId="77777777" w:rsidR="00377344" w:rsidRPr="00377344" w:rsidRDefault="00377344" w:rsidP="00377344">
            <w:pPr>
              <w:jc w:val="center"/>
              <w:rPr>
                <w:rFonts w:ascii="Arial Narrow" w:hAnsi="Arial Narrow" w:cs="Arial"/>
                <w:sz w:val="18"/>
                <w:szCs w:val="18"/>
              </w:rPr>
            </w:pPr>
            <w:r w:rsidRPr="00377344">
              <w:rPr>
                <w:rFonts w:ascii="Arial Narrow" w:hAnsi="Arial Narrow" w:cs="Arial"/>
                <w:sz w:val="18"/>
                <w:szCs w:val="18"/>
              </w:rPr>
              <w:t>6</w:t>
            </w:r>
          </w:p>
        </w:tc>
        <w:tc>
          <w:tcPr>
            <w:tcW w:w="5120" w:type="dxa"/>
            <w:tcBorders>
              <w:top w:val="nil"/>
              <w:left w:val="nil"/>
              <w:bottom w:val="single" w:sz="4" w:space="0" w:color="auto"/>
              <w:right w:val="single" w:sz="4" w:space="0" w:color="auto"/>
            </w:tcBorders>
            <w:shd w:val="clear" w:color="auto" w:fill="auto"/>
            <w:vAlign w:val="center"/>
            <w:hideMark/>
          </w:tcPr>
          <w:p w14:paraId="5F5594E0" w14:textId="77777777" w:rsidR="00377344" w:rsidRPr="00377344" w:rsidRDefault="00377344" w:rsidP="00377344">
            <w:pPr>
              <w:rPr>
                <w:rFonts w:ascii="Arial Narrow" w:hAnsi="Arial Narrow" w:cs="Arial"/>
                <w:sz w:val="18"/>
                <w:szCs w:val="18"/>
              </w:rPr>
            </w:pPr>
            <w:r w:rsidRPr="00377344">
              <w:rPr>
                <w:rFonts w:ascii="Arial Narrow" w:hAnsi="Arial Narrow" w:cs="Arial"/>
                <w:sz w:val="18"/>
                <w:szCs w:val="18"/>
              </w:rPr>
              <w:t>Живи растения и цветарски продукти</w:t>
            </w:r>
          </w:p>
        </w:tc>
        <w:tc>
          <w:tcPr>
            <w:tcW w:w="920" w:type="dxa"/>
            <w:tcBorders>
              <w:top w:val="nil"/>
              <w:left w:val="nil"/>
              <w:bottom w:val="single" w:sz="4" w:space="0" w:color="auto"/>
              <w:right w:val="single" w:sz="4" w:space="0" w:color="auto"/>
            </w:tcBorders>
            <w:shd w:val="clear" w:color="auto" w:fill="auto"/>
            <w:noWrap/>
            <w:vAlign w:val="center"/>
            <w:hideMark/>
          </w:tcPr>
          <w:p w14:paraId="713D36A2" w14:textId="77777777" w:rsidR="00377344" w:rsidRPr="00377344" w:rsidRDefault="00377344" w:rsidP="00377344">
            <w:pPr>
              <w:jc w:val="right"/>
              <w:rPr>
                <w:rFonts w:ascii="Arial Narrow" w:hAnsi="Arial Narrow" w:cs="Arial"/>
                <w:sz w:val="18"/>
                <w:szCs w:val="18"/>
              </w:rPr>
            </w:pPr>
            <w:r w:rsidRPr="00377344">
              <w:rPr>
                <w:rFonts w:ascii="Arial Narrow" w:hAnsi="Arial Narrow" w:cs="Arial"/>
                <w:sz w:val="18"/>
                <w:szCs w:val="18"/>
              </w:rPr>
              <w:t>7 396</w:t>
            </w:r>
          </w:p>
        </w:tc>
        <w:tc>
          <w:tcPr>
            <w:tcW w:w="811" w:type="dxa"/>
            <w:tcBorders>
              <w:top w:val="nil"/>
              <w:left w:val="nil"/>
              <w:bottom w:val="single" w:sz="4" w:space="0" w:color="auto"/>
              <w:right w:val="single" w:sz="4" w:space="0" w:color="auto"/>
            </w:tcBorders>
            <w:shd w:val="clear" w:color="000000" w:fill="FFFFFF"/>
            <w:vAlign w:val="center"/>
            <w:hideMark/>
          </w:tcPr>
          <w:p w14:paraId="5465CCDA" w14:textId="77777777" w:rsidR="00377344" w:rsidRPr="00377344" w:rsidRDefault="00377344" w:rsidP="00377344">
            <w:pPr>
              <w:jc w:val="right"/>
              <w:rPr>
                <w:rFonts w:ascii="Arial Narrow" w:hAnsi="Arial Narrow" w:cs="Arial"/>
                <w:sz w:val="18"/>
                <w:szCs w:val="18"/>
              </w:rPr>
            </w:pPr>
            <w:r w:rsidRPr="00377344">
              <w:rPr>
                <w:rFonts w:ascii="Arial Narrow" w:hAnsi="Arial Narrow" w:cs="Arial"/>
                <w:sz w:val="18"/>
                <w:szCs w:val="18"/>
              </w:rPr>
              <w:t>0,1%</w:t>
            </w:r>
          </w:p>
        </w:tc>
        <w:tc>
          <w:tcPr>
            <w:tcW w:w="920" w:type="dxa"/>
            <w:tcBorders>
              <w:top w:val="nil"/>
              <w:left w:val="nil"/>
              <w:bottom w:val="single" w:sz="4" w:space="0" w:color="auto"/>
              <w:right w:val="single" w:sz="4" w:space="0" w:color="auto"/>
            </w:tcBorders>
            <w:shd w:val="clear" w:color="auto" w:fill="auto"/>
            <w:noWrap/>
            <w:vAlign w:val="center"/>
            <w:hideMark/>
          </w:tcPr>
          <w:p w14:paraId="6070A587" w14:textId="77777777" w:rsidR="00377344" w:rsidRPr="00377344" w:rsidRDefault="00377344" w:rsidP="00377344">
            <w:pPr>
              <w:jc w:val="right"/>
              <w:rPr>
                <w:rFonts w:ascii="Arial Narrow" w:hAnsi="Arial Narrow" w:cs="Arial"/>
                <w:sz w:val="18"/>
                <w:szCs w:val="18"/>
              </w:rPr>
            </w:pPr>
            <w:r w:rsidRPr="00377344">
              <w:rPr>
                <w:rFonts w:ascii="Arial Narrow" w:hAnsi="Arial Narrow" w:cs="Arial"/>
                <w:sz w:val="18"/>
                <w:szCs w:val="18"/>
              </w:rPr>
              <w:t>7 346</w:t>
            </w:r>
          </w:p>
        </w:tc>
        <w:tc>
          <w:tcPr>
            <w:tcW w:w="811" w:type="dxa"/>
            <w:tcBorders>
              <w:top w:val="nil"/>
              <w:left w:val="nil"/>
              <w:bottom w:val="single" w:sz="4" w:space="0" w:color="auto"/>
              <w:right w:val="single" w:sz="4" w:space="0" w:color="auto"/>
            </w:tcBorders>
            <w:shd w:val="clear" w:color="000000" w:fill="FFFFFF"/>
            <w:vAlign w:val="center"/>
            <w:hideMark/>
          </w:tcPr>
          <w:p w14:paraId="5C8B202E" w14:textId="77777777" w:rsidR="00377344" w:rsidRPr="00377344" w:rsidRDefault="00377344" w:rsidP="00377344">
            <w:pPr>
              <w:jc w:val="right"/>
              <w:rPr>
                <w:rFonts w:ascii="Arial Narrow" w:hAnsi="Arial Narrow" w:cs="Arial"/>
                <w:sz w:val="18"/>
                <w:szCs w:val="18"/>
              </w:rPr>
            </w:pPr>
            <w:r w:rsidRPr="00377344">
              <w:rPr>
                <w:rFonts w:ascii="Arial Narrow" w:hAnsi="Arial Narrow" w:cs="Arial"/>
                <w:sz w:val="18"/>
                <w:szCs w:val="18"/>
              </w:rPr>
              <w:t>0,1%</w:t>
            </w:r>
          </w:p>
        </w:tc>
        <w:tc>
          <w:tcPr>
            <w:tcW w:w="812" w:type="dxa"/>
            <w:tcBorders>
              <w:top w:val="nil"/>
              <w:left w:val="nil"/>
              <w:bottom w:val="single" w:sz="4" w:space="0" w:color="auto"/>
              <w:right w:val="single" w:sz="4" w:space="0" w:color="auto"/>
            </w:tcBorders>
            <w:shd w:val="clear" w:color="auto" w:fill="auto"/>
            <w:noWrap/>
            <w:vAlign w:val="center"/>
            <w:hideMark/>
          </w:tcPr>
          <w:p w14:paraId="605E7361" w14:textId="77777777" w:rsidR="00377344" w:rsidRPr="00377344" w:rsidRDefault="00377344" w:rsidP="00377344">
            <w:pPr>
              <w:jc w:val="right"/>
              <w:rPr>
                <w:rFonts w:ascii="Arial Narrow" w:hAnsi="Arial Narrow" w:cs="Arial"/>
                <w:color w:val="000000"/>
                <w:sz w:val="18"/>
                <w:szCs w:val="18"/>
              </w:rPr>
            </w:pPr>
            <w:r w:rsidRPr="00377344">
              <w:rPr>
                <w:rFonts w:ascii="Arial Narrow" w:hAnsi="Arial Narrow" w:cs="Arial"/>
                <w:color w:val="000000"/>
                <w:sz w:val="18"/>
                <w:szCs w:val="18"/>
              </w:rPr>
              <w:t>-0,7%</w:t>
            </w:r>
          </w:p>
        </w:tc>
      </w:tr>
      <w:tr w:rsidR="00377344" w:rsidRPr="00377344" w14:paraId="13D543B1" w14:textId="77777777" w:rsidTr="008B7C13">
        <w:trPr>
          <w:trHeight w:val="270"/>
        </w:trPr>
        <w:tc>
          <w:tcPr>
            <w:tcW w:w="382" w:type="dxa"/>
            <w:tcBorders>
              <w:top w:val="nil"/>
              <w:left w:val="single" w:sz="4" w:space="0" w:color="auto"/>
              <w:bottom w:val="single" w:sz="4" w:space="0" w:color="auto"/>
              <w:right w:val="single" w:sz="4" w:space="0" w:color="auto"/>
            </w:tcBorders>
            <w:shd w:val="clear" w:color="000000" w:fill="FFFFFF"/>
            <w:noWrap/>
            <w:vAlign w:val="center"/>
            <w:hideMark/>
          </w:tcPr>
          <w:p w14:paraId="3864E030" w14:textId="77777777" w:rsidR="00377344" w:rsidRPr="00377344" w:rsidRDefault="00377344" w:rsidP="00377344">
            <w:pPr>
              <w:jc w:val="center"/>
              <w:rPr>
                <w:rFonts w:ascii="Arial Narrow" w:hAnsi="Arial Narrow" w:cs="Arial"/>
                <w:sz w:val="18"/>
                <w:szCs w:val="18"/>
              </w:rPr>
            </w:pPr>
            <w:r w:rsidRPr="00377344">
              <w:rPr>
                <w:rFonts w:ascii="Arial Narrow" w:hAnsi="Arial Narrow" w:cs="Arial"/>
                <w:sz w:val="18"/>
                <w:szCs w:val="18"/>
              </w:rPr>
              <w:t>7</w:t>
            </w:r>
          </w:p>
        </w:tc>
        <w:tc>
          <w:tcPr>
            <w:tcW w:w="5120" w:type="dxa"/>
            <w:tcBorders>
              <w:top w:val="nil"/>
              <w:left w:val="nil"/>
              <w:bottom w:val="single" w:sz="4" w:space="0" w:color="auto"/>
              <w:right w:val="single" w:sz="4" w:space="0" w:color="auto"/>
            </w:tcBorders>
            <w:shd w:val="clear" w:color="000000" w:fill="FFFFFF"/>
            <w:vAlign w:val="center"/>
            <w:hideMark/>
          </w:tcPr>
          <w:p w14:paraId="10F954BA" w14:textId="77777777" w:rsidR="00377344" w:rsidRPr="00377344" w:rsidRDefault="00377344" w:rsidP="00377344">
            <w:pPr>
              <w:rPr>
                <w:rFonts w:ascii="Arial Narrow" w:hAnsi="Arial Narrow" w:cs="Arial"/>
                <w:sz w:val="18"/>
                <w:szCs w:val="18"/>
              </w:rPr>
            </w:pPr>
            <w:r w:rsidRPr="00377344">
              <w:rPr>
                <w:rFonts w:ascii="Arial Narrow" w:hAnsi="Arial Narrow" w:cs="Arial"/>
                <w:sz w:val="18"/>
                <w:szCs w:val="18"/>
              </w:rPr>
              <w:t>Зеленчуци, растения, корени и грудки, годни за консумация</w:t>
            </w:r>
          </w:p>
        </w:tc>
        <w:tc>
          <w:tcPr>
            <w:tcW w:w="920" w:type="dxa"/>
            <w:tcBorders>
              <w:top w:val="nil"/>
              <w:left w:val="nil"/>
              <w:bottom w:val="single" w:sz="4" w:space="0" w:color="auto"/>
              <w:right w:val="single" w:sz="4" w:space="0" w:color="auto"/>
            </w:tcBorders>
            <w:shd w:val="clear" w:color="000000" w:fill="FFFFFF"/>
            <w:noWrap/>
            <w:vAlign w:val="center"/>
            <w:hideMark/>
          </w:tcPr>
          <w:p w14:paraId="48341B64" w14:textId="77777777" w:rsidR="00377344" w:rsidRPr="00377344" w:rsidRDefault="00377344" w:rsidP="00377344">
            <w:pPr>
              <w:jc w:val="right"/>
              <w:rPr>
                <w:rFonts w:ascii="Arial Narrow" w:hAnsi="Arial Narrow" w:cs="Arial"/>
                <w:sz w:val="18"/>
                <w:szCs w:val="18"/>
              </w:rPr>
            </w:pPr>
            <w:r w:rsidRPr="00377344">
              <w:rPr>
                <w:rFonts w:ascii="Arial Narrow" w:hAnsi="Arial Narrow" w:cs="Arial"/>
                <w:sz w:val="18"/>
                <w:szCs w:val="18"/>
              </w:rPr>
              <w:t>170 197</w:t>
            </w:r>
          </w:p>
        </w:tc>
        <w:tc>
          <w:tcPr>
            <w:tcW w:w="811" w:type="dxa"/>
            <w:tcBorders>
              <w:top w:val="nil"/>
              <w:left w:val="nil"/>
              <w:bottom w:val="single" w:sz="4" w:space="0" w:color="auto"/>
              <w:right w:val="single" w:sz="4" w:space="0" w:color="auto"/>
            </w:tcBorders>
            <w:shd w:val="clear" w:color="000000" w:fill="FFFFFF"/>
            <w:vAlign w:val="center"/>
            <w:hideMark/>
          </w:tcPr>
          <w:p w14:paraId="120BB189" w14:textId="77777777" w:rsidR="00377344" w:rsidRPr="00377344" w:rsidRDefault="00377344" w:rsidP="00377344">
            <w:pPr>
              <w:jc w:val="right"/>
              <w:rPr>
                <w:rFonts w:ascii="Arial Narrow" w:hAnsi="Arial Narrow" w:cs="Arial"/>
                <w:sz w:val="18"/>
                <w:szCs w:val="18"/>
              </w:rPr>
            </w:pPr>
            <w:r w:rsidRPr="00377344">
              <w:rPr>
                <w:rFonts w:ascii="Arial Narrow" w:hAnsi="Arial Narrow" w:cs="Arial"/>
                <w:sz w:val="18"/>
                <w:szCs w:val="18"/>
              </w:rPr>
              <w:t>2,1%</w:t>
            </w:r>
          </w:p>
        </w:tc>
        <w:tc>
          <w:tcPr>
            <w:tcW w:w="920" w:type="dxa"/>
            <w:tcBorders>
              <w:top w:val="nil"/>
              <w:left w:val="nil"/>
              <w:bottom w:val="single" w:sz="4" w:space="0" w:color="auto"/>
              <w:right w:val="single" w:sz="4" w:space="0" w:color="auto"/>
            </w:tcBorders>
            <w:shd w:val="clear" w:color="000000" w:fill="FFFFFF"/>
            <w:noWrap/>
            <w:vAlign w:val="center"/>
            <w:hideMark/>
          </w:tcPr>
          <w:p w14:paraId="65A67EF4" w14:textId="77777777" w:rsidR="00377344" w:rsidRPr="00377344" w:rsidRDefault="00377344" w:rsidP="00377344">
            <w:pPr>
              <w:jc w:val="right"/>
              <w:rPr>
                <w:rFonts w:ascii="Arial Narrow" w:hAnsi="Arial Narrow" w:cs="Arial"/>
                <w:sz w:val="18"/>
                <w:szCs w:val="18"/>
              </w:rPr>
            </w:pPr>
            <w:r w:rsidRPr="00377344">
              <w:rPr>
                <w:rFonts w:ascii="Arial Narrow" w:hAnsi="Arial Narrow" w:cs="Arial"/>
                <w:sz w:val="18"/>
                <w:szCs w:val="18"/>
              </w:rPr>
              <w:t>129 975</w:t>
            </w:r>
          </w:p>
        </w:tc>
        <w:tc>
          <w:tcPr>
            <w:tcW w:w="811" w:type="dxa"/>
            <w:tcBorders>
              <w:top w:val="nil"/>
              <w:left w:val="nil"/>
              <w:bottom w:val="single" w:sz="4" w:space="0" w:color="auto"/>
              <w:right w:val="single" w:sz="4" w:space="0" w:color="auto"/>
            </w:tcBorders>
            <w:shd w:val="clear" w:color="000000" w:fill="FFFFFF"/>
            <w:vAlign w:val="center"/>
            <w:hideMark/>
          </w:tcPr>
          <w:p w14:paraId="3F613A98" w14:textId="77777777" w:rsidR="00377344" w:rsidRPr="00377344" w:rsidRDefault="00377344" w:rsidP="00377344">
            <w:pPr>
              <w:jc w:val="right"/>
              <w:rPr>
                <w:rFonts w:ascii="Arial Narrow" w:hAnsi="Arial Narrow" w:cs="Arial"/>
                <w:sz w:val="18"/>
                <w:szCs w:val="18"/>
              </w:rPr>
            </w:pPr>
            <w:r w:rsidRPr="00377344">
              <w:rPr>
                <w:rFonts w:ascii="Arial Narrow" w:hAnsi="Arial Narrow" w:cs="Arial"/>
                <w:sz w:val="18"/>
                <w:szCs w:val="18"/>
              </w:rPr>
              <w:t>1,9%</w:t>
            </w:r>
          </w:p>
        </w:tc>
        <w:tc>
          <w:tcPr>
            <w:tcW w:w="812" w:type="dxa"/>
            <w:tcBorders>
              <w:top w:val="nil"/>
              <w:left w:val="nil"/>
              <w:bottom w:val="single" w:sz="4" w:space="0" w:color="auto"/>
              <w:right w:val="single" w:sz="4" w:space="0" w:color="auto"/>
            </w:tcBorders>
            <w:shd w:val="clear" w:color="auto" w:fill="auto"/>
            <w:noWrap/>
            <w:vAlign w:val="center"/>
            <w:hideMark/>
          </w:tcPr>
          <w:p w14:paraId="1011BEE6" w14:textId="77777777" w:rsidR="00377344" w:rsidRPr="00377344" w:rsidRDefault="00377344" w:rsidP="00377344">
            <w:pPr>
              <w:jc w:val="right"/>
              <w:rPr>
                <w:rFonts w:ascii="Arial Narrow" w:hAnsi="Arial Narrow" w:cs="Arial"/>
                <w:color w:val="000000"/>
                <w:sz w:val="18"/>
                <w:szCs w:val="18"/>
              </w:rPr>
            </w:pPr>
            <w:r w:rsidRPr="00377344">
              <w:rPr>
                <w:rFonts w:ascii="Arial Narrow" w:hAnsi="Arial Narrow" w:cs="Arial"/>
                <w:color w:val="000000"/>
                <w:sz w:val="18"/>
                <w:szCs w:val="18"/>
              </w:rPr>
              <w:t>-23,6%</w:t>
            </w:r>
          </w:p>
        </w:tc>
      </w:tr>
      <w:tr w:rsidR="00377344" w:rsidRPr="00377344" w14:paraId="7DB6ADB0" w14:textId="77777777" w:rsidTr="008B7C13">
        <w:trPr>
          <w:trHeight w:val="270"/>
        </w:trPr>
        <w:tc>
          <w:tcPr>
            <w:tcW w:w="382" w:type="dxa"/>
            <w:tcBorders>
              <w:top w:val="nil"/>
              <w:left w:val="single" w:sz="4" w:space="0" w:color="auto"/>
              <w:bottom w:val="single" w:sz="4" w:space="0" w:color="auto"/>
              <w:right w:val="single" w:sz="4" w:space="0" w:color="auto"/>
            </w:tcBorders>
            <w:shd w:val="clear" w:color="auto" w:fill="auto"/>
            <w:noWrap/>
            <w:vAlign w:val="center"/>
            <w:hideMark/>
          </w:tcPr>
          <w:p w14:paraId="7792915F" w14:textId="77777777" w:rsidR="00377344" w:rsidRPr="00377344" w:rsidRDefault="00377344" w:rsidP="00377344">
            <w:pPr>
              <w:jc w:val="center"/>
              <w:rPr>
                <w:rFonts w:ascii="Arial Narrow" w:hAnsi="Arial Narrow" w:cs="Arial"/>
                <w:sz w:val="18"/>
                <w:szCs w:val="18"/>
              </w:rPr>
            </w:pPr>
            <w:r w:rsidRPr="00377344">
              <w:rPr>
                <w:rFonts w:ascii="Arial Narrow" w:hAnsi="Arial Narrow" w:cs="Arial"/>
                <w:sz w:val="18"/>
                <w:szCs w:val="18"/>
              </w:rPr>
              <w:t>8</w:t>
            </w:r>
          </w:p>
        </w:tc>
        <w:tc>
          <w:tcPr>
            <w:tcW w:w="5120" w:type="dxa"/>
            <w:tcBorders>
              <w:top w:val="nil"/>
              <w:left w:val="nil"/>
              <w:bottom w:val="single" w:sz="4" w:space="0" w:color="auto"/>
              <w:right w:val="single" w:sz="4" w:space="0" w:color="auto"/>
            </w:tcBorders>
            <w:shd w:val="clear" w:color="auto" w:fill="auto"/>
            <w:vAlign w:val="center"/>
            <w:hideMark/>
          </w:tcPr>
          <w:p w14:paraId="4CDFF2EE" w14:textId="77777777" w:rsidR="00377344" w:rsidRPr="00377344" w:rsidRDefault="00377344" w:rsidP="00377344">
            <w:pPr>
              <w:rPr>
                <w:rFonts w:ascii="Arial Narrow" w:hAnsi="Arial Narrow" w:cs="Arial"/>
                <w:sz w:val="18"/>
                <w:szCs w:val="18"/>
              </w:rPr>
            </w:pPr>
            <w:r w:rsidRPr="00377344">
              <w:rPr>
                <w:rFonts w:ascii="Arial Narrow" w:hAnsi="Arial Narrow" w:cs="Arial"/>
                <w:sz w:val="18"/>
                <w:szCs w:val="18"/>
              </w:rPr>
              <w:t>Плодове, годни за консумация; цитрусови или пъпешови кори</w:t>
            </w:r>
          </w:p>
        </w:tc>
        <w:tc>
          <w:tcPr>
            <w:tcW w:w="920" w:type="dxa"/>
            <w:tcBorders>
              <w:top w:val="nil"/>
              <w:left w:val="nil"/>
              <w:bottom w:val="single" w:sz="4" w:space="0" w:color="auto"/>
              <w:right w:val="single" w:sz="4" w:space="0" w:color="auto"/>
            </w:tcBorders>
            <w:shd w:val="clear" w:color="auto" w:fill="auto"/>
            <w:noWrap/>
            <w:vAlign w:val="center"/>
            <w:hideMark/>
          </w:tcPr>
          <w:p w14:paraId="46777365" w14:textId="77777777" w:rsidR="00377344" w:rsidRPr="00377344" w:rsidRDefault="00377344" w:rsidP="00377344">
            <w:pPr>
              <w:jc w:val="right"/>
              <w:rPr>
                <w:rFonts w:ascii="Arial Narrow" w:hAnsi="Arial Narrow" w:cs="Arial"/>
                <w:sz w:val="18"/>
                <w:szCs w:val="18"/>
              </w:rPr>
            </w:pPr>
            <w:r w:rsidRPr="00377344">
              <w:rPr>
                <w:rFonts w:ascii="Arial Narrow" w:hAnsi="Arial Narrow" w:cs="Arial"/>
                <w:sz w:val="18"/>
                <w:szCs w:val="18"/>
              </w:rPr>
              <w:t>155 513</w:t>
            </w:r>
          </w:p>
        </w:tc>
        <w:tc>
          <w:tcPr>
            <w:tcW w:w="811" w:type="dxa"/>
            <w:tcBorders>
              <w:top w:val="nil"/>
              <w:left w:val="nil"/>
              <w:bottom w:val="single" w:sz="4" w:space="0" w:color="auto"/>
              <w:right w:val="single" w:sz="4" w:space="0" w:color="auto"/>
            </w:tcBorders>
            <w:shd w:val="clear" w:color="000000" w:fill="FFFFFF"/>
            <w:vAlign w:val="center"/>
            <w:hideMark/>
          </w:tcPr>
          <w:p w14:paraId="6F92C8D9" w14:textId="77777777" w:rsidR="00377344" w:rsidRPr="00377344" w:rsidRDefault="00377344" w:rsidP="00377344">
            <w:pPr>
              <w:jc w:val="right"/>
              <w:rPr>
                <w:rFonts w:ascii="Arial Narrow" w:hAnsi="Arial Narrow" w:cs="Arial"/>
                <w:sz w:val="18"/>
                <w:szCs w:val="18"/>
              </w:rPr>
            </w:pPr>
            <w:r w:rsidRPr="00377344">
              <w:rPr>
                <w:rFonts w:ascii="Arial Narrow" w:hAnsi="Arial Narrow" w:cs="Arial"/>
                <w:sz w:val="18"/>
                <w:szCs w:val="18"/>
              </w:rPr>
              <w:t>2,0%</w:t>
            </w:r>
          </w:p>
        </w:tc>
        <w:tc>
          <w:tcPr>
            <w:tcW w:w="920" w:type="dxa"/>
            <w:tcBorders>
              <w:top w:val="nil"/>
              <w:left w:val="nil"/>
              <w:bottom w:val="single" w:sz="4" w:space="0" w:color="auto"/>
              <w:right w:val="single" w:sz="4" w:space="0" w:color="auto"/>
            </w:tcBorders>
            <w:shd w:val="clear" w:color="auto" w:fill="auto"/>
            <w:noWrap/>
            <w:vAlign w:val="center"/>
            <w:hideMark/>
          </w:tcPr>
          <w:p w14:paraId="6D3020E5" w14:textId="77777777" w:rsidR="00377344" w:rsidRPr="00377344" w:rsidRDefault="00377344" w:rsidP="00377344">
            <w:pPr>
              <w:jc w:val="right"/>
              <w:rPr>
                <w:rFonts w:ascii="Arial Narrow" w:hAnsi="Arial Narrow" w:cs="Arial"/>
                <w:sz w:val="18"/>
                <w:szCs w:val="18"/>
              </w:rPr>
            </w:pPr>
            <w:r w:rsidRPr="00377344">
              <w:rPr>
                <w:rFonts w:ascii="Arial Narrow" w:hAnsi="Arial Narrow" w:cs="Arial"/>
                <w:sz w:val="18"/>
                <w:szCs w:val="18"/>
              </w:rPr>
              <w:t>159 552</w:t>
            </w:r>
          </w:p>
        </w:tc>
        <w:tc>
          <w:tcPr>
            <w:tcW w:w="811" w:type="dxa"/>
            <w:tcBorders>
              <w:top w:val="nil"/>
              <w:left w:val="nil"/>
              <w:bottom w:val="single" w:sz="4" w:space="0" w:color="auto"/>
              <w:right w:val="single" w:sz="4" w:space="0" w:color="auto"/>
            </w:tcBorders>
            <w:shd w:val="clear" w:color="000000" w:fill="FFFFFF"/>
            <w:vAlign w:val="center"/>
            <w:hideMark/>
          </w:tcPr>
          <w:p w14:paraId="6A6AD8F7" w14:textId="77777777" w:rsidR="00377344" w:rsidRPr="00377344" w:rsidRDefault="00377344" w:rsidP="00377344">
            <w:pPr>
              <w:jc w:val="right"/>
              <w:rPr>
                <w:rFonts w:ascii="Arial Narrow" w:hAnsi="Arial Narrow" w:cs="Arial"/>
                <w:sz w:val="18"/>
                <w:szCs w:val="18"/>
              </w:rPr>
            </w:pPr>
            <w:r w:rsidRPr="00377344">
              <w:rPr>
                <w:rFonts w:ascii="Arial Narrow" w:hAnsi="Arial Narrow" w:cs="Arial"/>
                <w:sz w:val="18"/>
                <w:szCs w:val="18"/>
              </w:rPr>
              <w:t>2,4%</w:t>
            </w:r>
          </w:p>
        </w:tc>
        <w:tc>
          <w:tcPr>
            <w:tcW w:w="812" w:type="dxa"/>
            <w:tcBorders>
              <w:top w:val="nil"/>
              <w:left w:val="nil"/>
              <w:bottom w:val="single" w:sz="4" w:space="0" w:color="auto"/>
              <w:right w:val="single" w:sz="4" w:space="0" w:color="auto"/>
            </w:tcBorders>
            <w:shd w:val="clear" w:color="auto" w:fill="auto"/>
            <w:noWrap/>
            <w:vAlign w:val="center"/>
            <w:hideMark/>
          </w:tcPr>
          <w:p w14:paraId="20126B9A" w14:textId="77777777" w:rsidR="00377344" w:rsidRPr="00377344" w:rsidRDefault="00377344" w:rsidP="00377344">
            <w:pPr>
              <w:jc w:val="right"/>
              <w:rPr>
                <w:rFonts w:ascii="Arial Narrow" w:hAnsi="Arial Narrow" w:cs="Arial"/>
                <w:color w:val="000000"/>
                <w:sz w:val="18"/>
                <w:szCs w:val="18"/>
              </w:rPr>
            </w:pPr>
            <w:r w:rsidRPr="00377344">
              <w:rPr>
                <w:rFonts w:ascii="Arial Narrow" w:hAnsi="Arial Narrow" w:cs="Arial"/>
                <w:color w:val="000000"/>
                <w:sz w:val="18"/>
                <w:szCs w:val="18"/>
              </w:rPr>
              <w:t>2,6%</w:t>
            </w:r>
          </w:p>
        </w:tc>
      </w:tr>
      <w:tr w:rsidR="00377344" w:rsidRPr="00377344" w14:paraId="50B65FD4" w14:textId="77777777" w:rsidTr="008B7C13">
        <w:trPr>
          <w:trHeight w:val="270"/>
        </w:trPr>
        <w:tc>
          <w:tcPr>
            <w:tcW w:w="382" w:type="dxa"/>
            <w:tcBorders>
              <w:top w:val="nil"/>
              <w:left w:val="single" w:sz="4" w:space="0" w:color="auto"/>
              <w:bottom w:val="single" w:sz="4" w:space="0" w:color="auto"/>
              <w:right w:val="single" w:sz="4" w:space="0" w:color="auto"/>
            </w:tcBorders>
            <w:shd w:val="clear" w:color="auto" w:fill="auto"/>
            <w:noWrap/>
            <w:vAlign w:val="center"/>
            <w:hideMark/>
          </w:tcPr>
          <w:p w14:paraId="6432225C" w14:textId="77777777" w:rsidR="00377344" w:rsidRPr="00377344" w:rsidRDefault="00377344" w:rsidP="00377344">
            <w:pPr>
              <w:jc w:val="center"/>
              <w:rPr>
                <w:rFonts w:ascii="Arial Narrow" w:hAnsi="Arial Narrow" w:cs="Arial"/>
                <w:sz w:val="18"/>
                <w:szCs w:val="18"/>
              </w:rPr>
            </w:pPr>
            <w:r w:rsidRPr="00377344">
              <w:rPr>
                <w:rFonts w:ascii="Arial Narrow" w:hAnsi="Arial Narrow" w:cs="Arial"/>
                <w:sz w:val="18"/>
                <w:szCs w:val="18"/>
              </w:rPr>
              <w:t>9</w:t>
            </w:r>
          </w:p>
        </w:tc>
        <w:tc>
          <w:tcPr>
            <w:tcW w:w="5120" w:type="dxa"/>
            <w:tcBorders>
              <w:top w:val="nil"/>
              <w:left w:val="nil"/>
              <w:bottom w:val="single" w:sz="4" w:space="0" w:color="auto"/>
              <w:right w:val="single" w:sz="4" w:space="0" w:color="auto"/>
            </w:tcBorders>
            <w:shd w:val="clear" w:color="auto" w:fill="auto"/>
            <w:vAlign w:val="center"/>
            <w:hideMark/>
          </w:tcPr>
          <w:p w14:paraId="725D1323" w14:textId="77777777" w:rsidR="00377344" w:rsidRPr="00377344" w:rsidRDefault="00377344" w:rsidP="00377344">
            <w:pPr>
              <w:rPr>
                <w:rFonts w:ascii="Arial Narrow" w:hAnsi="Arial Narrow" w:cs="Arial"/>
                <w:sz w:val="18"/>
                <w:szCs w:val="18"/>
              </w:rPr>
            </w:pPr>
            <w:r w:rsidRPr="00377344">
              <w:rPr>
                <w:rFonts w:ascii="Arial Narrow" w:hAnsi="Arial Narrow" w:cs="Arial"/>
                <w:sz w:val="18"/>
                <w:szCs w:val="18"/>
              </w:rPr>
              <w:t>Кафе, чай, мате и подправки</w:t>
            </w:r>
          </w:p>
        </w:tc>
        <w:tc>
          <w:tcPr>
            <w:tcW w:w="920" w:type="dxa"/>
            <w:tcBorders>
              <w:top w:val="nil"/>
              <w:left w:val="nil"/>
              <w:bottom w:val="single" w:sz="4" w:space="0" w:color="auto"/>
              <w:right w:val="single" w:sz="4" w:space="0" w:color="auto"/>
            </w:tcBorders>
            <w:shd w:val="clear" w:color="auto" w:fill="auto"/>
            <w:noWrap/>
            <w:vAlign w:val="center"/>
            <w:hideMark/>
          </w:tcPr>
          <w:p w14:paraId="77B41F3F" w14:textId="77777777" w:rsidR="00377344" w:rsidRPr="00377344" w:rsidRDefault="00377344" w:rsidP="00377344">
            <w:pPr>
              <w:jc w:val="right"/>
              <w:rPr>
                <w:rFonts w:ascii="Arial Narrow" w:hAnsi="Arial Narrow" w:cs="Arial"/>
                <w:sz w:val="18"/>
                <w:szCs w:val="18"/>
              </w:rPr>
            </w:pPr>
            <w:r w:rsidRPr="00377344">
              <w:rPr>
                <w:rFonts w:ascii="Arial Narrow" w:hAnsi="Arial Narrow" w:cs="Arial"/>
                <w:sz w:val="18"/>
                <w:szCs w:val="18"/>
              </w:rPr>
              <w:t>113 275</w:t>
            </w:r>
          </w:p>
        </w:tc>
        <w:tc>
          <w:tcPr>
            <w:tcW w:w="811" w:type="dxa"/>
            <w:tcBorders>
              <w:top w:val="nil"/>
              <w:left w:val="nil"/>
              <w:bottom w:val="single" w:sz="4" w:space="0" w:color="auto"/>
              <w:right w:val="single" w:sz="4" w:space="0" w:color="auto"/>
            </w:tcBorders>
            <w:shd w:val="clear" w:color="000000" w:fill="FFFFFF"/>
            <w:vAlign w:val="center"/>
            <w:hideMark/>
          </w:tcPr>
          <w:p w14:paraId="541FA5B4" w14:textId="77777777" w:rsidR="00377344" w:rsidRPr="00377344" w:rsidRDefault="00377344" w:rsidP="00377344">
            <w:pPr>
              <w:jc w:val="right"/>
              <w:rPr>
                <w:rFonts w:ascii="Arial Narrow" w:hAnsi="Arial Narrow" w:cs="Arial"/>
                <w:sz w:val="18"/>
                <w:szCs w:val="18"/>
              </w:rPr>
            </w:pPr>
            <w:r w:rsidRPr="00377344">
              <w:rPr>
                <w:rFonts w:ascii="Arial Narrow" w:hAnsi="Arial Narrow" w:cs="Arial"/>
                <w:sz w:val="18"/>
                <w:szCs w:val="18"/>
              </w:rPr>
              <w:t>1,4%</w:t>
            </w:r>
          </w:p>
        </w:tc>
        <w:tc>
          <w:tcPr>
            <w:tcW w:w="920" w:type="dxa"/>
            <w:tcBorders>
              <w:top w:val="nil"/>
              <w:left w:val="nil"/>
              <w:bottom w:val="single" w:sz="4" w:space="0" w:color="auto"/>
              <w:right w:val="single" w:sz="4" w:space="0" w:color="auto"/>
            </w:tcBorders>
            <w:shd w:val="clear" w:color="auto" w:fill="auto"/>
            <w:noWrap/>
            <w:vAlign w:val="center"/>
            <w:hideMark/>
          </w:tcPr>
          <w:p w14:paraId="5D24C0EE" w14:textId="77777777" w:rsidR="00377344" w:rsidRPr="00377344" w:rsidRDefault="00377344" w:rsidP="00377344">
            <w:pPr>
              <w:jc w:val="right"/>
              <w:rPr>
                <w:rFonts w:ascii="Arial Narrow" w:hAnsi="Arial Narrow" w:cs="Arial"/>
                <w:sz w:val="18"/>
                <w:szCs w:val="18"/>
              </w:rPr>
            </w:pPr>
            <w:r w:rsidRPr="00377344">
              <w:rPr>
                <w:rFonts w:ascii="Arial Narrow" w:hAnsi="Arial Narrow" w:cs="Arial"/>
                <w:sz w:val="18"/>
                <w:szCs w:val="18"/>
              </w:rPr>
              <w:t>146 228</w:t>
            </w:r>
          </w:p>
        </w:tc>
        <w:tc>
          <w:tcPr>
            <w:tcW w:w="811" w:type="dxa"/>
            <w:tcBorders>
              <w:top w:val="nil"/>
              <w:left w:val="nil"/>
              <w:bottom w:val="single" w:sz="4" w:space="0" w:color="auto"/>
              <w:right w:val="single" w:sz="4" w:space="0" w:color="auto"/>
            </w:tcBorders>
            <w:shd w:val="clear" w:color="000000" w:fill="FFFFFF"/>
            <w:vAlign w:val="center"/>
            <w:hideMark/>
          </w:tcPr>
          <w:p w14:paraId="660A62CB" w14:textId="77777777" w:rsidR="00377344" w:rsidRPr="00377344" w:rsidRDefault="00377344" w:rsidP="00377344">
            <w:pPr>
              <w:jc w:val="right"/>
              <w:rPr>
                <w:rFonts w:ascii="Arial Narrow" w:hAnsi="Arial Narrow" w:cs="Arial"/>
                <w:sz w:val="18"/>
                <w:szCs w:val="18"/>
              </w:rPr>
            </w:pPr>
            <w:r w:rsidRPr="00377344">
              <w:rPr>
                <w:rFonts w:ascii="Arial Narrow" w:hAnsi="Arial Narrow" w:cs="Arial"/>
                <w:sz w:val="18"/>
                <w:szCs w:val="18"/>
              </w:rPr>
              <w:t>2,2%</w:t>
            </w:r>
          </w:p>
        </w:tc>
        <w:tc>
          <w:tcPr>
            <w:tcW w:w="812" w:type="dxa"/>
            <w:tcBorders>
              <w:top w:val="nil"/>
              <w:left w:val="nil"/>
              <w:bottom w:val="single" w:sz="4" w:space="0" w:color="auto"/>
              <w:right w:val="single" w:sz="4" w:space="0" w:color="auto"/>
            </w:tcBorders>
            <w:shd w:val="clear" w:color="auto" w:fill="auto"/>
            <w:noWrap/>
            <w:vAlign w:val="center"/>
            <w:hideMark/>
          </w:tcPr>
          <w:p w14:paraId="377CFB02" w14:textId="77777777" w:rsidR="00377344" w:rsidRPr="00377344" w:rsidRDefault="00377344" w:rsidP="00377344">
            <w:pPr>
              <w:jc w:val="right"/>
              <w:rPr>
                <w:rFonts w:ascii="Arial Narrow" w:hAnsi="Arial Narrow" w:cs="Arial"/>
                <w:color w:val="000000"/>
                <w:sz w:val="18"/>
                <w:szCs w:val="18"/>
              </w:rPr>
            </w:pPr>
            <w:r w:rsidRPr="00377344">
              <w:rPr>
                <w:rFonts w:ascii="Arial Narrow" w:hAnsi="Arial Narrow" w:cs="Arial"/>
                <w:color w:val="000000"/>
                <w:sz w:val="18"/>
                <w:szCs w:val="18"/>
              </w:rPr>
              <w:t>29,1%</w:t>
            </w:r>
          </w:p>
        </w:tc>
      </w:tr>
      <w:tr w:rsidR="00377344" w:rsidRPr="00377344" w14:paraId="6BCD1A67" w14:textId="77777777" w:rsidTr="008B7C13">
        <w:trPr>
          <w:trHeight w:val="270"/>
        </w:trPr>
        <w:tc>
          <w:tcPr>
            <w:tcW w:w="382" w:type="dxa"/>
            <w:tcBorders>
              <w:top w:val="nil"/>
              <w:left w:val="single" w:sz="4" w:space="0" w:color="auto"/>
              <w:bottom w:val="single" w:sz="4" w:space="0" w:color="auto"/>
              <w:right w:val="single" w:sz="4" w:space="0" w:color="auto"/>
            </w:tcBorders>
            <w:shd w:val="clear" w:color="auto" w:fill="auto"/>
            <w:noWrap/>
            <w:vAlign w:val="center"/>
            <w:hideMark/>
          </w:tcPr>
          <w:p w14:paraId="7F873BA0" w14:textId="77777777" w:rsidR="00377344" w:rsidRPr="00377344" w:rsidRDefault="00377344" w:rsidP="00377344">
            <w:pPr>
              <w:jc w:val="center"/>
              <w:rPr>
                <w:rFonts w:ascii="Arial Narrow" w:hAnsi="Arial Narrow" w:cs="Arial"/>
                <w:sz w:val="18"/>
                <w:szCs w:val="18"/>
              </w:rPr>
            </w:pPr>
            <w:r w:rsidRPr="00377344">
              <w:rPr>
                <w:rFonts w:ascii="Arial Narrow" w:hAnsi="Arial Narrow" w:cs="Arial"/>
                <w:sz w:val="18"/>
                <w:szCs w:val="18"/>
              </w:rPr>
              <w:t>10</w:t>
            </w:r>
          </w:p>
        </w:tc>
        <w:tc>
          <w:tcPr>
            <w:tcW w:w="5120" w:type="dxa"/>
            <w:tcBorders>
              <w:top w:val="nil"/>
              <w:left w:val="nil"/>
              <w:bottom w:val="single" w:sz="4" w:space="0" w:color="auto"/>
              <w:right w:val="single" w:sz="4" w:space="0" w:color="auto"/>
            </w:tcBorders>
            <w:shd w:val="clear" w:color="auto" w:fill="auto"/>
            <w:vAlign w:val="center"/>
            <w:hideMark/>
          </w:tcPr>
          <w:p w14:paraId="020773BF" w14:textId="77777777" w:rsidR="00377344" w:rsidRPr="00377344" w:rsidRDefault="00377344" w:rsidP="00377344">
            <w:pPr>
              <w:rPr>
                <w:rFonts w:ascii="Arial Narrow" w:hAnsi="Arial Narrow" w:cs="Arial"/>
                <w:sz w:val="18"/>
                <w:szCs w:val="18"/>
              </w:rPr>
            </w:pPr>
            <w:r w:rsidRPr="00377344">
              <w:rPr>
                <w:rFonts w:ascii="Arial Narrow" w:hAnsi="Arial Narrow" w:cs="Arial"/>
                <w:sz w:val="18"/>
                <w:szCs w:val="18"/>
              </w:rPr>
              <w:t>Житни растения</w:t>
            </w:r>
          </w:p>
        </w:tc>
        <w:tc>
          <w:tcPr>
            <w:tcW w:w="920" w:type="dxa"/>
            <w:tcBorders>
              <w:top w:val="nil"/>
              <w:left w:val="nil"/>
              <w:bottom w:val="single" w:sz="4" w:space="0" w:color="auto"/>
              <w:right w:val="single" w:sz="4" w:space="0" w:color="auto"/>
            </w:tcBorders>
            <w:shd w:val="clear" w:color="auto" w:fill="auto"/>
            <w:noWrap/>
            <w:vAlign w:val="center"/>
            <w:hideMark/>
          </w:tcPr>
          <w:p w14:paraId="72F01B5C" w14:textId="77777777" w:rsidR="00377344" w:rsidRPr="00377344" w:rsidRDefault="00377344" w:rsidP="00377344">
            <w:pPr>
              <w:jc w:val="right"/>
              <w:rPr>
                <w:rFonts w:ascii="Arial Narrow" w:hAnsi="Arial Narrow" w:cs="Arial"/>
                <w:sz w:val="18"/>
                <w:szCs w:val="18"/>
              </w:rPr>
            </w:pPr>
            <w:r w:rsidRPr="00377344">
              <w:rPr>
                <w:rFonts w:ascii="Arial Narrow" w:hAnsi="Arial Narrow" w:cs="Arial"/>
                <w:sz w:val="18"/>
                <w:szCs w:val="18"/>
              </w:rPr>
              <w:t>2 135 774</w:t>
            </w:r>
          </w:p>
        </w:tc>
        <w:tc>
          <w:tcPr>
            <w:tcW w:w="811" w:type="dxa"/>
            <w:tcBorders>
              <w:top w:val="nil"/>
              <w:left w:val="nil"/>
              <w:bottom w:val="single" w:sz="4" w:space="0" w:color="auto"/>
              <w:right w:val="single" w:sz="4" w:space="0" w:color="auto"/>
            </w:tcBorders>
            <w:shd w:val="clear" w:color="000000" w:fill="FFFFFF"/>
            <w:vAlign w:val="center"/>
            <w:hideMark/>
          </w:tcPr>
          <w:p w14:paraId="00568261" w14:textId="77777777" w:rsidR="00377344" w:rsidRPr="00377344" w:rsidRDefault="00377344" w:rsidP="00377344">
            <w:pPr>
              <w:jc w:val="right"/>
              <w:rPr>
                <w:rFonts w:ascii="Arial Narrow" w:hAnsi="Arial Narrow" w:cs="Arial"/>
                <w:sz w:val="18"/>
                <w:szCs w:val="18"/>
              </w:rPr>
            </w:pPr>
            <w:r w:rsidRPr="00377344">
              <w:rPr>
                <w:rFonts w:ascii="Arial Narrow" w:hAnsi="Arial Narrow" w:cs="Arial"/>
                <w:sz w:val="18"/>
                <w:szCs w:val="18"/>
              </w:rPr>
              <w:t>26,9%</w:t>
            </w:r>
          </w:p>
        </w:tc>
        <w:tc>
          <w:tcPr>
            <w:tcW w:w="920" w:type="dxa"/>
            <w:tcBorders>
              <w:top w:val="nil"/>
              <w:left w:val="nil"/>
              <w:bottom w:val="single" w:sz="4" w:space="0" w:color="auto"/>
              <w:right w:val="single" w:sz="4" w:space="0" w:color="auto"/>
            </w:tcBorders>
            <w:shd w:val="clear" w:color="auto" w:fill="auto"/>
            <w:noWrap/>
            <w:vAlign w:val="center"/>
            <w:hideMark/>
          </w:tcPr>
          <w:p w14:paraId="11D4614A" w14:textId="77777777" w:rsidR="00377344" w:rsidRPr="00377344" w:rsidRDefault="00377344" w:rsidP="00377344">
            <w:pPr>
              <w:jc w:val="right"/>
              <w:rPr>
                <w:rFonts w:ascii="Arial Narrow" w:hAnsi="Arial Narrow" w:cs="Arial"/>
                <w:sz w:val="18"/>
                <w:szCs w:val="18"/>
              </w:rPr>
            </w:pPr>
            <w:r w:rsidRPr="00377344">
              <w:rPr>
                <w:rFonts w:ascii="Arial Narrow" w:hAnsi="Arial Narrow" w:cs="Arial"/>
                <w:sz w:val="18"/>
                <w:szCs w:val="18"/>
              </w:rPr>
              <w:t>1 495 141</w:t>
            </w:r>
          </w:p>
        </w:tc>
        <w:tc>
          <w:tcPr>
            <w:tcW w:w="811" w:type="dxa"/>
            <w:tcBorders>
              <w:top w:val="nil"/>
              <w:left w:val="nil"/>
              <w:bottom w:val="single" w:sz="4" w:space="0" w:color="auto"/>
              <w:right w:val="single" w:sz="4" w:space="0" w:color="auto"/>
            </w:tcBorders>
            <w:shd w:val="clear" w:color="000000" w:fill="FFFFFF"/>
            <w:vAlign w:val="center"/>
            <w:hideMark/>
          </w:tcPr>
          <w:p w14:paraId="1BA50125" w14:textId="77777777" w:rsidR="00377344" w:rsidRPr="00377344" w:rsidRDefault="00377344" w:rsidP="00377344">
            <w:pPr>
              <w:jc w:val="right"/>
              <w:rPr>
                <w:rFonts w:ascii="Arial Narrow" w:hAnsi="Arial Narrow" w:cs="Arial"/>
                <w:sz w:val="18"/>
                <w:szCs w:val="18"/>
              </w:rPr>
            </w:pPr>
            <w:r w:rsidRPr="00377344">
              <w:rPr>
                <w:rFonts w:ascii="Arial Narrow" w:hAnsi="Arial Narrow" w:cs="Arial"/>
                <w:sz w:val="18"/>
                <w:szCs w:val="18"/>
              </w:rPr>
              <w:t>22,2%</w:t>
            </w:r>
          </w:p>
        </w:tc>
        <w:tc>
          <w:tcPr>
            <w:tcW w:w="812" w:type="dxa"/>
            <w:tcBorders>
              <w:top w:val="nil"/>
              <w:left w:val="nil"/>
              <w:bottom w:val="single" w:sz="4" w:space="0" w:color="auto"/>
              <w:right w:val="single" w:sz="4" w:space="0" w:color="auto"/>
            </w:tcBorders>
            <w:shd w:val="clear" w:color="auto" w:fill="auto"/>
            <w:noWrap/>
            <w:vAlign w:val="center"/>
            <w:hideMark/>
          </w:tcPr>
          <w:p w14:paraId="24299F33" w14:textId="77777777" w:rsidR="00377344" w:rsidRPr="00377344" w:rsidRDefault="00377344" w:rsidP="00377344">
            <w:pPr>
              <w:jc w:val="right"/>
              <w:rPr>
                <w:rFonts w:ascii="Arial Narrow" w:hAnsi="Arial Narrow" w:cs="Arial"/>
                <w:color w:val="000000"/>
                <w:sz w:val="18"/>
                <w:szCs w:val="18"/>
              </w:rPr>
            </w:pPr>
            <w:r w:rsidRPr="00377344">
              <w:rPr>
                <w:rFonts w:ascii="Arial Narrow" w:hAnsi="Arial Narrow" w:cs="Arial"/>
                <w:color w:val="000000"/>
                <w:sz w:val="18"/>
                <w:szCs w:val="18"/>
              </w:rPr>
              <w:t>-30,0%</w:t>
            </w:r>
          </w:p>
        </w:tc>
      </w:tr>
      <w:tr w:rsidR="00377344" w:rsidRPr="00377344" w14:paraId="7E6CE9FA" w14:textId="77777777" w:rsidTr="008B7C13">
        <w:trPr>
          <w:trHeight w:val="540"/>
        </w:trPr>
        <w:tc>
          <w:tcPr>
            <w:tcW w:w="382" w:type="dxa"/>
            <w:tcBorders>
              <w:top w:val="nil"/>
              <w:left w:val="single" w:sz="4" w:space="0" w:color="auto"/>
              <w:bottom w:val="single" w:sz="4" w:space="0" w:color="auto"/>
              <w:right w:val="single" w:sz="4" w:space="0" w:color="auto"/>
            </w:tcBorders>
            <w:shd w:val="clear" w:color="auto" w:fill="auto"/>
            <w:noWrap/>
            <w:vAlign w:val="center"/>
            <w:hideMark/>
          </w:tcPr>
          <w:p w14:paraId="367AC812" w14:textId="77777777" w:rsidR="00377344" w:rsidRPr="00377344" w:rsidRDefault="00377344" w:rsidP="00377344">
            <w:pPr>
              <w:jc w:val="center"/>
              <w:rPr>
                <w:rFonts w:ascii="Arial Narrow" w:hAnsi="Arial Narrow" w:cs="Arial"/>
                <w:sz w:val="18"/>
                <w:szCs w:val="18"/>
              </w:rPr>
            </w:pPr>
            <w:r w:rsidRPr="00377344">
              <w:rPr>
                <w:rFonts w:ascii="Arial Narrow" w:hAnsi="Arial Narrow" w:cs="Arial"/>
                <w:sz w:val="18"/>
                <w:szCs w:val="18"/>
              </w:rPr>
              <w:t>11</w:t>
            </w:r>
          </w:p>
        </w:tc>
        <w:tc>
          <w:tcPr>
            <w:tcW w:w="5120" w:type="dxa"/>
            <w:tcBorders>
              <w:top w:val="nil"/>
              <w:left w:val="nil"/>
              <w:bottom w:val="single" w:sz="4" w:space="0" w:color="auto"/>
              <w:right w:val="single" w:sz="4" w:space="0" w:color="auto"/>
            </w:tcBorders>
            <w:shd w:val="clear" w:color="auto" w:fill="auto"/>
            <w:vAlign w:val="center"/>
            <w:hideMark/>
          </w:tcPr>
          <w:p w14:paraId="1F5A2EB0" w14:textId="77777777" w:rsidR="00377344" w:rsidRPr="00377344" w:rsidRDefault="00377344" w:rsidP="00377344">
            <w:pPr>
              <w:rPr>
                <w:rFonts w:ascii="Arial Narrow" w:hAnsi="Arial Narrow" w:cs="Arial"/>
                <w:sz w:val="18"/>
                <w:szCs w:val="18"/>
              </w:rPr>
            </w:pPr>
            <w:r w:rsidRPr="00377344">
              <w:rPr>
                <w:rFonts w:ascii="Arial Narrow" w:hAnsi="Arial Narrow" w:cs="Arial"/>
                <w:sz w:val="18"/>
                <w:szCs w:val="18"/>
              </w:rPr>
              <w:t>Мелничарски продукти; малц; скорбяла и нишесте; инулин; пшеничен глутен</w:t>
            </w:r>
          </w:p>
        </w:tc>
        <w:tc>
          <w:tcPr>
            <w:tcW w:w="920" w:type="dxa"/>
            <w:tcBorders>
              <w:top w:val="nil"/>
              <w:left w:val="nil"/>
              <w:bottom w:val="single" w:sz="4" w:space="0" w:color="auto"/>
              <w:right w:val="single" w:sz="4" w:space="0" w:color="auto"/>
            </w:tcBorders>
            <w:shd w:val="clear" w:color="auto" w:fill="auto"/>
            <w:noWrap/>
            <w:vAlign w:val="center"/>
            <w:hideMark/>
          </w:tcPr>
          <w:p w14:paraId="61BDC8BD" w14:textId="77777777" w:rsidR="00377344" w:rsidRPr="00377344" w:rsidRDefault="00377344" w:rsidP="00377344">
            <w:pPr>
              <w:jc w:val="right"/>
              <w:rPr>
                <w:rFonts w:ascii="Arial Narrow" w:hAnsi="Arial Narrow" w:cs="Arial"/>
                <w:sz w:val="18"/>
                <w:szCs w:val="18"/>
              </w:rPr>
            </w:pPr>
            <w:r w:rsidRPr="00377344">
              <w:rPr>
                <w:rFonts w:ascii="Arial Narrow" w:hAnsi="Arial Narrow" w:cs="Arial"/>
                <w:sz w:val="18"/>
                <w:szCs w:val="18"/>
              </w:rPr>
              <w:t>82 101</w:t>
            </w:r>
          </w:p>
        </w:tc>
        <w:tc>
          <w:tcPr>
            <w:tcW w:w="811" w:type="dxa"/>
            <w:tcBorders>
              <w:top w:val="nil"/>
              <w:left w:val="nil"/>
              <w:bottom w:val="single" w:sz="4" w:space="0" w:color="auto"/>
              <w:right w:val="single" w:sz="4" w:space="0" w:color="auto"/>
            </w:tcBorders>
            <w:shd w:val="clear" w:color="000000" w:fill="FFFFFF"/>
            <w:vAlign w:val="center"/>
            <w:hideMark/>
          </w:tcPr>
          <w:p w14:paraId="48CADA58" w14:textId="77777777" w:rsidR="00377344" w:rsidRPr="00377344" w:rsidRDefault="00377344" w:rsidP="00377344">
            <w:pPr>
              <w:jc w:val="right"/>
              <w:rPr>
                <w:rFonts w:ascii="Arial Narrow" w:hAnsi="Arial Narrow" w:cs="Arial"/>
                <w:sz w:val="18"/>
                <w:szCs w:val="18"/>
              </w:rPr>
            </w:pPr>
            <w:r w:rsidRPr="00377344">
              <w:rPr>
                <w:rFonts w:ascii="Arial Narrow" w:hAnsi="Arial Narrow" w:cs="Arial"/>
                <w:sz w:val="18"/>
                <w:szCs w:val="18"/>
              </w:rPr>
              <w:t>1,0%</w:t>
            </w:r>
          </w:p>
        </w:tc>
        <w:tc>
          <w:tcPr>
            <w:tcW w:w="920" w:type="dxa"/>
            <w:tcBorders>
              <w:top w:val="nil"/>
              <w:left w:val="nil"/>
              <w:bottom w:val="single" w:sz="4" w:space="0" w:color="auto"/>
              <w:right w:val="single" w:sz="4" w:space="0" w:color="auto"/>
            </w:tcBorders>
            <w:shd w:val="clear" w:color="auto" w:fill="auto"/>
            <w:noWrap/>
            <w:vAlign w:val="center"/>
            <w:hideMark/>
          </w:tcPr>
          <w:p w14:paraId="29273A16" w14:textId="77777777" w:rsidR="00377344" w:rsidRPr="00377344" w:rsidRDefault="00377344" w:rsidP="00377344">
            <w:pPr>
              <w:jc w:val="right"/>
              <w:rPr>
                <w:rFonts w:ascii="Arial Narrow" w:hAnsi="Arial Narrow" w:cs="Arial"/>
                <w:sz w:val="18"/>
                <w:szCs w:val="18"/>
              </w:rPr>
            </w:pPr>
            <w:r w:rsidRPr="00377344">
              <w:rPr>
                <w:rFonts w:ascii="Arial Narrow" w:hAnsi="Arial Narrow" w:cs="Arial"/>
                <w:sz w:val="18"/>
                <w:szCs w:val="18"/>
              </w:rPr>
              <w:t>73 512</w:t>
            </w:r>
          </w:p>
        </w:tc>
        <w:tc>
          <w:tcPr>
            <w:tcW w:w="811" w:type="dxa"/>
            <w:tcBorders>
              <w:top w:val="nil"/>
              <w:left w:val="nil"/>
              <w:bottom w:val="single" w:sz="4" w:space="0" w:color="auto"/>
              <w:right w:val="single" w:sz="4" w:space="0" w:color="auto"/>
            </w:tcBorders>
            <w:shd w:val="clear" w:color="000000" w:fill="FFFFFF"/>
            <w:vAlign w:val="center"/>
            <w:hideMark/>
          </w:tcPr>
          <w:p w14:paraId="60EC28D8" w14:textId="77777777" w:rsidR="00377344" w:rsidRPr="00377344" w:rsidRDefault="00377344" w:rsidP="00377344">
            <w:pPr>
              <w:jc w:val="right"/>
              <w:rPr>
                <w:rFonts w:ascii="Arial Narrow" w:hAnsi="Arial Narrow" w:cs="Arial"/>
                <w:sz w:val="18"/>
                <w:szCs w:val="18"/>
              </w:rPr>
            </w:pPr>
            <w:r w:rsidRPr="00377344">
              <w:rPr>
                <w:rFonts w:ascii="Arial Narrow" w:hAnsi="Arial Narrow" w:cs="Arial"/>
                <w:sz w:val="18"/>
                <w:szCs w:val="18"/>
              </w:rPr>
              <w:t>1,1%</w:t>
            </w:r>
          </w:p>
        </w:tc>
        <w:tc>
          <w:tcPr>
            <w:tcW w:w="812" w:type="dxa"/>
            <w:tcBorders>
              <w:top w:val="nil"/>
              <w:left w:val="nil"/>
              <w:bottom w:val="single" w:sz="4" w:space="0" w:color="auto"/>
              <w:right w:val="single" w:sz="4" w:space="0" w:color="auto"/>
            </w:tcBorders>
            <w:shd w:val="clear" w:color="auto" w:fill="auto"/>
            <w:noWrap/>
            <w:vAlign w:val="center"/>
            <w:hideMark/>
          </w:tcPr>
          <w:p w14:paraId="5EE7D1EA" w14:textId="77777777" w:rsidR="00377344" w:rsidRPr="00377344" w:rsidRDefault="00377344" w:rsidP="00377344">
            <w:pPr>
              <w:jc w:val="right"/>
              <w:rPr>
                <w:rFonts w:ascii="Arial Narrow" w:hAnsi="Arial Narrow" w:cs="Arial"/>
                <w:color w:val="000000"/>
                <w:sz w:val="18"/>
                <w:szCs w:val="18"/>
              </w:rPr>
            </w:pPr>
            <w:r w:rsidRPr="00377344">
              <w:rPr>
                <w:rFonts w:ascii="Arial Narrow" w:hAnsi="Arial Narrow" w:cs="Arial"/>
                <w:color w:val="000000"/>
                <w:sz w:val="18"/>
                <w:szCs w:val="18"/>
              </w:rPr>
              <w:t>-10,5%</w:t>
            </w:r>
          </w:p>
        </w:tc>
      </w:tr>
      <w:tr w:rsidR="00377344" w:rsidRPr="00377344" w14:paraId="2D2185B6" w14:textId="77777777" w:rsidTr="008B7C13">
        <w:trPr>
          <w:trHeight w:val="540"/>
        </w:trPr>
        <w:tc>
          <w:tcPr>
            <w:tcW w:w="382" w:type="dxa"/>
            <w:tcBorders>
              <w:top w:val="nil"/>
              <w:left w:val="single" w:sz="4" w:space="0" w:color="auto"/>
              <w:bottom w:val="single" w:sz="4" w:space="0" w:color="auto"/>
              <w:right w:val="single" w:sz="4" w:space="0" w:color="auto"/>
            </w:tcBorders>
            <w:shd w:val="clear" w:color="auto" w:fill="auto"/>
            <w:noWrap/>
            <w:vAlign w:val="center"/>
            <w:hideMark/>
          </w:tcPr>
          <w:p w14:paraId="33591235" w14:textId="77777777" w:rsidR="00377344" w:rsidRPr="00377344" w:rsidRDefault="00377344" w:rsidP="00377344">
            <w:pPr>
              <w:jc w:val="center"/>
              <w:rPr>
                <w:rFonts w:ascii="Arial Narrow" w:hAnsi="Arial Narrow" w:cs="Arial"/>
                <w:sz w:val="18"/>
                <w:szCs w:val="18"/>
              </w:rPr>
            </w:pPr>
            <w:r w:rsidRPr="00377344">
              <w:rPr>
                <w:rFonts w:ascii="Arial Narrow" w:hAnsi="Arial Narrow" w:cs="Arial"/>
                <w:sz w:val="18"/>
                <w:szCs w:val="18"/>
              </w:rPr>
              <w:t>12</w:t>
            </w:r>
          </w:p>
        </w:tc>
        <w:tc>
          <w:tcPr>
            <w:tcW w:w="5120" w:type="dxa"/>
            <w:tcBorders>
              <w:top w:val="nil"/>
              <w:left w:val="nil"/>
              <w:bottom w:val="single" w:sz="4" w:space="0" w:color="auto"/>
              <w:right w:val="single" w:sz="4" w:space="0" w:color="auto"/>
            </w:tcBorders>
            <w:shd w:val="clear" w:color="auto" w:fill="auto"/>
            <w:vAlign w:val="center"/>
            <w:hideMark/>
          </w:tcPr>
          <w:p w14:paraId="7B1C54CA" w14:textId="77777777" w:rsidR="00377344" w:rsidRPr="00377344" w:rsidRDefault="00377344" w:rsidP="00377344">
            <w:pPr>
              <w:rPr>
                <w:rFonts w:ascii="Arial Narrow" w:hAnsi="Arial Narrow" w:cs="Arial"/>
                <w:sz w:val="18"/>
                <w:szCs w:val="18"/>
              </w:rPr>
            </w:pPr>
            <w:r w:rsidRPr="00377344">
              <w:rPr>
                <w:rFonts w:ascii="Arial Narrow" w:hAnsi="Arial Narrow" w:cs="Arial"/>
                <w:sz w:val="18"/>
                <w:szCs w:val="18"/>
              </w:rPr>
              <w:t>Маслодайни семена и плодове; семена за посев и плодове; индустриални или медицински растения; слама и фуражи</w:t>
            </w:r>
          </w:p>
        </w:tc>
        <w:tc>
          <w:tcPr>
            <w:tcW w:w="920" w:type="dxa"/>
            <w:tcBorders>
              <w:top w:val="nil"/>
              <w:left w:val="nil"/>
              <w:bottom w:val="single" w:sz="4" w:space="0" w:color="auto"/>
              <w:right w:val="single" w:sz="4" w:space="0" w:color="auto"/>
            </w:tcBorders>
            <w:shd w:val="clear" w:color="auto" w:fill="auto"/>
            <w:noWrap/>
            <w:vAlign w:val="center"/>
            <w:hideMark/>
          </w:tcPr>
          <w:p w14:paraId="08EDCBE9" w14:textId="77777777" w:rsidR="00377344" w:rsidRPr="00377344" w:rsidRDefault="00377344" w:rsidP="00377344">
            <w:pPr>
              <w:jc w:val="right"/>
              <w:rPr>
                <w:rFonts w:ascii="Arial Narrow" w:hAnsi="Arial Narrow" w:cs="Arial"/>
                <w:sz w:val="18"/>
                <w:szCs w:val="18"/>
              </w:rPr>
            </w:pPr>
            <w:r w:rsidRPr="00377344">
              <w:rPr>
                <w:rFonts w:ascii="Arial Narrow" w:hAnsi="Arial Narrow" w:cs="Arial"/>
                <w:sz w:val="18"/>
                <w:szCs w:val="18"/>
              </w:rPr>
              <w:t>842 643</w:t>
            </w:r>
          </w:p>
        </w:tc>
        <w:tc>
          <w:tcPr>
            <w:tcW w:w="811" w:type="dxa"/>
            <w:tcBorders>
              <w:top w:val="nil"/>
              <w:left w:val="nil"/>
              <w:bottom w:val="single" w:sz="4" w:space="0" w:color="auto"/>
              <w:right w:val="single" w:sz="4" w:space="0" w:color="auto"/>
            </w:tcBorders>
            <w:shd w:val="clear" w:color="000000" w:fill="FFFFFF"/>
            <w:vAlign w:val="center"/>
            <w:hideMark/>
          </w:tcPr>
          <w:p w14:paraId="25B46D4F" w14:textId="77777777" w:rsidR="00377344" w:rsidRPr="00377344" w:rsidRDefault="00377344" w:rsidP="00377344">
            <w:pPr>
              <w:jc w:val="right"/>
              <w:rPr>
                <w:rFonts w:ascii="Arial Narrow" w:hAnsi="Arial Narrow" w:cs="Arial"/>
                <w:sz w:val="18"/>
                <w:szCs w:val="18"/>
              </w:rPr>
            </w:pPr>
            <w:r w:rsidRPr="00377344">
              <w:rPr>
                <w:rFonts w:ascii="Arial Narrow" w:hAnsi="Arial Narrow" w:cs="Arial"/>
                <w:sz w:val="18"/>
                <w:szCs w:val="18"/>
              </w:rPr>
              <w:t>10,6%</w:t>
            </w:r>
          </w:p>
        </w:tc>
        <w:tc>
          <w:tcPr>
            <w:tcW w:w="920" w:type="dxa"/>
            <w:tcBorders>
              <w:top w:val="nil"/>
              <w:left w:val="nil"/>
              <w:bottom w:val="single" w:sz="4" w:space="0" w:color="auto"/>
              <w:right w:val="single" w:sz="4" w:space="0" w:color="auto"/>
            </w:tcBorders>
            <w:shd w:val="clear" w:color="auto" w:fill="auto"/>
            <w:noWrap/>
            <w:vAlign w:val="center"/>
            <w:hideMark/>
          </w:tcPr>
          <w:p w14:paraId="15D22401" w14:textId="77777777" w:rsidR="00377344" w:rsidRPr="00377344" w:rsidRDefault="00377344" w:rsidP="00377344">
            <w:pPr>
              <w:jc w:val="right"/>
              <w:rPr>
                <w:rFonts w:ascii="Arial Narrow" w:hAnsi="Arial Narrow" w:cs="Arial"/>
                <w:sz w:val="18"/>
                <w:szCs w:val="18"/>
              </w:rPr>
            </w:pPr>
            <w:r w:rsidRPr="00377344">
              <w:rPr>
                <w:rFonts w:ascii="Arial Narrow" w:hAnsi="Arial Narrow" w:cs="Arial"/>
                <w:sz w:val="18"/>
                <w:szCs w:val="18"/>
              </w:rPr>
              <w:t>574 642</w:t>
            </w:r>
          </w:p>
        </w:tc>
        <w:tc>
          <w:tcPr>
            <w:tcW w:w="811" w:type="dxa"/>
            <w:tcBorders>
              <w:top w:val="nil"/>
              <w:left w:val="nil"/>
              <w:bottom w:val="single" w:sz="4" w:space="0" w:color="auto"/>
              <w:right w:val="single" w:sz="4" w:space="0" w:color="auto"/>
            </w:tcBorders>
            <w:shd w:val="clear" w:color="000000" w:fill="FFFFFF"/>
            <w:vAlign w:val="center"/>
            <w:hideMark/>
          </w:tcPr>
          <w:p w14:paraId="39BBE599" w14:textId="77777777" w:rsidR="00377344" w:rsidRPr="00377344" w:rsidRDefault="00377344" w:rsidP="00377344">
            <w:pPr>
              <w:jc w:val="right"/>
              <w:rPr>
                <w:rFonts w:ascii="Arial Narrow" w:hAnsi="Arial Narrow" w:cs="Arial"/>
                <w:sz w:val="18"/>
                <w:szCs w:val="18"/>
              </w:rPr>
            </w:pPr>
            <w:r w:rsidRPr="00377344">
              <w:rPr>
                <w:rFonts w:ascii="Arial Narrow" w:hAnsi="Arial Narrow" w:cs="Arial"/>
                <w:sz w:val="18"/>
                <w:szCs w:val="18"/>
              </w:rPr>
              <w:t>8,5%</w:t>
            </w:r>
          </w:p>
        </w:tc>
        <w:tc>
          <w:tcPr>
            <w:tcW w:w="812" w:type="dxa"/>
            <w:tcBorders>
              <w:top w:val="nil"/>
              <w:left w:val="nil"/>
              <w:bottom w:val="single" w:sz="4" w:space="0" w:color="auto"/>
              <w:right w:val="single" w:sz="4" w:space="0" w:color="auto"/>
            </w:tcBorders>
            <w:shd w:val="clear" w:color="auto" w:fill="auto"/>
            <w:noWrap/>
            <w:vAlign w:val="center"/>
            <w:hideMark/>
          </w:tcPr>
          <w:p w14:paraId="7863F100" w14:textId="77777777" w:rsidR="00377344" w:rsidRPr="00377344" w:rsidRDefault="00377344" w:rsidP="00377344">
            <w:pPr>
              <w:jc w:val="right"/>
              <w:rPr>
                <w:rFonts w:ascii="Arial Narrow" w:hAnsi="Arial Narrow" w:cs="Arial"/>
                <w:color w:val="000000"/>
                <w:sz w:val="18"/>
                <w:szCs w:val="18"/>
              </w:rPr>
            </w:pPr>
            <w:r w:rsidRPr="00377344">
              <w:rPr>
                <w:rFonts w:ascii="Arial Narrow" w:hAnsi="Arial Narrow" w:cs="Arial"/>
                <w:color w:val="000000"/>
                <w:sz w:val="18"/>
                <w:szCs w:val="18"/>
              </w:rPr>
              <w:t>-31,8%</w:t>
            </w:r>
          </w:p>
        </w:tc>
      </w:tr>
      <w:tr w:rsidR="00377344" w:rsidRPr="00377344" w14:paraId="59EEE114" w14:textId="77777777" w:rsidTr="008B7C13">
        <w:trPr>
          <w:trHeight w:val="540"/>
        </w:trPr>
        <w:tc>
          <w:tcPr>
            <w:tcW w:w="382" w:type="dxa"/>
            <w:tcBorders>
              <w:top w:val="nil"/>
              <w:left w:val="single" w:sz="4" w:space="0" w:color="auto"/>
              <w:bottom w:val="single" w:sz="4" w:space="0" w:color="auto"/>
              <w:right w:val="single" w:sz="4" w:space="0" w:color="auto"/>
            </w:tcBorders>
            <w:shd w:val="clear" w:color="auto" w:fill="auto"/>
            <w:noWrap/>
            <w:vAlign w:val="center"/>
            <w:hideMark/>
          </w:tcPr>
          <w:p w14:paraId="7A136291" w14:textId="77777777" w:rsidR="00377344" w:rsidRPr="00377344" w:rsidRDefault="00377344" w:rsidP="00377344">
            <w:pPr>
              <w:jc w:val="center"/>
              <w:rPr>
                <w:rFonts w:ascii="Arial Narrow" w:hAnsi="Arial Narrow" w:cs="Arial"/>
                <w:sz w:val="18"/>
                <w:szCs w:val="18"/>
              </w:rPr>
            </w:pPr>
            <w:r w:rsidRPr="00377344">
              <w:rPr>
                <w:rFonts w:ascii="Arial Narrow" w:hAnsi="Arial Narrow" w:cs="Arial"/>
                <w:sz w:val="18"/>
                <w:szCs w:val="18"/>
              </w:rPr>
              <w:t>13</w:t>
            </w:r>
          </w:p>
        </w:tc>
        <w:tc>
          <w:tcPr>
            <w:tcW w:w="5120" w:type="dxa"/>
            <w:tcBorders>
              <w:top w:val="nil"/>
              <w:left w:val="nil"/>
              <w:bottom w:val="single" w:sz="4" w:space="0" w:color="auto"/>
              <w:right w:val="single" w:sz="4" w:space="0" w:color="auto"/>
            </w:tcBorders>
            <w:shd w:val="clear" w:color="auto" w:fill="auto"/>
            <w:vAlign w:val="center"/>
            <w:hideMark/>
          </w:tcPr>
          <w:p w14:paraId="54B95181" w14:textId="77777777" w:rsidR="00377344" w:rsidRPr="00377344" w:rsidRDefault="00377344" w:rsidP="00377344">
            <w:pPr>
              <w:rPr>
                <w:rFonts w:ascii="Arial Narrow" w:hAnsi="Arial Narrow" w:cs="Arial"/>
                <w:sz w:val="18"/>
                <w:szCs w:val="18"/>
              </w:rPr>
            </w:pPr>
            <w:r w:rsidRPr="00377344">
              <w:rPr>
                <w:rFonts w:ascii="Arial Narrow" w:hAnsi="Arial Narrow" w:cs="Arial"/>
                <w:sz w:val="18"/>
                <w:szCs w:val="18"/>
              </w:rPr>
              <w:t>Естествени лакове, клейове, смоли и други растителни сокове и екстракти</w:t>
            </w:r>
          </w:p>
        </w:tc>
        <w:tc>
          <w:tcPr>
            <w:tcW w:w="920" w:type="dxa"/>
            <w:tcBorders>
              <w:top w:val="nil"/>
              <w:left w:val="nil"/>
              <w:bottom w:val="single" w:sz="4" w:space="0" w:color="auto"/>
              <w:right w:val="single" w:sz="4" w:space="0" w:color="auto"/>
            </w:tcBorders>
            <w:shd w:val="clear" w:color="auto" w:fill="auto"/>
            <w:noWrap/>
            <w:vAlign w:val="center"/>
            <w:hideMark/>
          </w:tcPr>
          <w:p w14:paraId="6478B361" w14:textId="77777777" w:rsidR="00377344" w:rsidRPr="00377344" w:rsidRDefault="00377344" w:rsidP="00377344">
            <w:pPr>
              <w:jc w:val="right"/>
              <w:rPr>
                <w:rFonts w:ascii="Arial Narrow" w:hAnsi="Arial Narrow" w:cs="Arial"/>
                <w:sz w:val="18"/>
                <w:szCs w:val="18"/>
              </w:rPr>
            </w:pPr>
            <w:r w:rsidRPr="00377344">
              <w:rPr>
                <w:rFonts w:ascii="Arial Narrow" w:hAnsi="Arial Narrow" w:cs="Arial"/>
                <w:sz w:val="18"/>
                <w:szCs w:val="18"/>
              </w:rPr>
              <w:t>3 066</w:t>
            </w:r>
          </w:p>
        </w:tc>
        <w:tc>
          <w:tcPr>
            <w:tcW w:w="811" w:type="dxa"/>
            <w:tcBorders>
              <w:top w:val="nil"/>
              <w:left w:val="nil"/>
              <w:bottom w:val="single" w:sz="4" w:space="0" w:color="auto"/>
              <w:right w:val="single" w:sz="4" w:space="0" w:color="auto"/>
            </w:tcBorders>
            <w:shd w:val="clear" w:color="000000" w:fill="FFFFFF"/>
            <w:vAlign w:val="center"/>
            <w:hideMark/>
          </w:tcPr>
          <w:p w14:paraId="05867133" w14:textId="77777777" w:rsidR="00377344" w:rsidRPr="00377344" w:rsidRDefault="00377344" w:rsidP="00377344">
            <w:pPr>
              <w:jc w:val="right"/>
              <w:rPr>
                <w:rFonts w:ascii="Arial Narrow" w:hAnsi="Arial Narrow" w:cs="Arial"/>
                <w:sz w:val="18"/>
                <w:szCs w:val="18"/>
              </w:rPr>
            </w:pPr>
            <w:r w:rsidRPr="00377344">
              <w:rPr>
                <w:rFonts w:ascii="Arial Narrow" w:hAnsi="Arial Narrow" w:cs="Arial"/>
                <w:sz w:val="18"/>
                <w:szCs w:val="18"/>
              </w:rPr>
              <w:t>0,0%</w:t>
            </w:r>
          </w:p>
        </w:tc>
        <w:tc>
          <w:tcPr>
            <w:tcW w:w="920" w:type="dxa"/>
            <w:tcBorders>
              <w:top w:val="nil"/>
              <w:left w:val="nil"/>
              <w:bottom w:val="single" w:sz="4" w:space="0" w:color="auto"/>
              <w:right w:val="single" w:sz="4" w:space="0" w:color="auto"/>
            </w:tcBorders>
            <w:shd w:val="clear" w:color="auto" w:fill="auto"/>
            <w:noWrap/>
            <w:vAlign w:val="center"/>
            <w:hideMark/>
          </w:tcPr>
          <w:p w14:paraId="11B166A8" w14:textId="77777777" w:rsidR="00377344" w:rsidRPr="00377344" w:rsidRDefault="00377344" w:rsidP="00377344">
            <w:pPr>
              <w:jc w:val="right"/>
              <w:rPr>
                <w:rFonts w:ascii="Arial Narrow" w:hAnsi="Arial Narrow" w:cs="Arial"/>
                <w:sz w:val="18"/>
                <w:szCs w:val="18"/>
              </w:rPr>
            </w:pPr>
            <w:r w:rsidRPr="00377344">
              <w:rPr>
                <w:rFonts w:ascii="Arial Narrow" w:hAnsi="Arial Narrow" w:cs="Arial"/>
                <w:sz w:val="18"/>
                <w:szCs w:val="18"/>
              </w:rPr>
              <w:t>3 607</w:t>
            </w:r>
          </w:p>
        </w:tc>
        <w:tc>
          <w:tcPr>
            <w:tcW w:w="811" w:type="dxa"/>
            <w:tcBorders>
              <w:top w:val="nil"/>
              <w:left w:val="nil"/>
              <w:bottom w:val="single" w:sz="4" w:space="0" w:color="auto"/>
              <w:right w:val="single" w:sz="4" w:space="0" w:color="auto"/>
            </w:tcBorders>
            <w:shd w:val="clear" w:color="000000" w:fill="FFFFFF"/>
            <w:vAlign w:val="center"/>
            <w:hideMark/>
          </w:tcPr>
          <w:p w14:paraId="5DBBE630" w14:textId="77777777" w:rsidR="00377344" w:rsidRPr="00377344" w:rsidRDefault="00377344" w:rsidP="00377344">
            <w:pPr>
              <w:jc w:val="right"/>
              <w:rPr>
                <w:rFonts w:ascii="Arial Narrow" w:hAnsi="Arial Narrow" w:cs="Arial"/>
                <w:sz w:val="18"/>
                <w:szCs w:val="18"/>
              </w:rPr>
            </w:pPr>
            <w:r w:rsidRPr="00377344">
              <w:rPr>
                <w:rFonts w:ascii="Arial Narrow" w:hAnsi="Arial Narrow" w:cs="Arial"/>
                <w:sz w:val="18"/>
                <w:szCs w:val="18"/>
              </w:rPr>
              <w:t>0,1%</w:t>
            </w:r>
          </w:p>
        </w:tc>
        <w:tc>
          <w:tcPr>
            <w:tcW w:w="812" w:type="dxa"/>
            <w:tcBorders>
              <w:top w:val="nil"/>
              <w:left w:val="nil"/>
              <w:bottom w:val="single" w:sz="4" w:space="0" w:color="auto"/>
              <w:right w:val="single" w:sz="4" w:space="0" w:color="auto"/>
            </w:tcBorders>
            <w:shd w:val="clear" w:color="auto" w:fill="auto"/>
            <w:noWrap/>
            <w:vAlign w:val="center"/>
            <w:hideMark/>
          </w:tcPr>
          <w:p w14:paraId="0C7AB142" w14:textId="77777777" w:rsidR="00377344" w:rsidRPr="00377344" w:rsidRDefault="00377344" w:rsidP="00377344">
            <w:pPr>
              <w:jc w:val="right"/>
              <w:rPr>
                <w:rFonts w:ascii="Arial Narrow" w:hAnsi="Arial Narrow" w:cs="Arial"/>
                <w:color w:val="000000"/>
                <w:sz w:val="18"/>
                <w:szCs w:val="18"/>
              </w:rPr>
            </w:pPr>
            <w:r w:rsidRPr="00377344">
              <w:rPr>
                <w:rFonts w:ascii="Arial Narrow" w:hAnsi="Arial Narrow" w:cs="Arial"/>
                <w:color w:val="000000"/>
                <w:sz w:val="18"/>
                <w:szCs w:val="18"/>
              </w:rPr>
              <w:t>17,6%</w:t>
            </w:r>
          </w:p>
        </w:tc>
      </w:tr>
      <w:tr w:rsidR="00377344" w:rsidRPr="00377344" w14:paraId="3E09EC7A" w14:textId="77777777" w:rsidTr="008B7C13">
        <w:trPr>
          <w:trHeight w:val="540"/>
        </w:trPr>
        <w:tc>
          <w:tcPr>
            <w:tcW w:w="382" w:type="dxa"/>
            <w:tcBorders>
              <w:top w:val="nil"/>
              <w:left w:val="single" w:sz="4" w:space="0" w:color="auto"/>
              <w:bottom w:val="single" w:sz="4" w:space="0" w:color="auto"/>
              <w:right w:val="single" w:sz="4" w:space="0" w:color="auto"/>
            </w:tcBorders>
            <w:shd w:val="clear" w:color="auto" w:fill="auto"/>
            <w:noWrap/>
            <w:vAlign w:val="center"/>
            <w:hideMark/>
          </w:tcPr>
          <w:p w14:paraId="3C3DADA2" w14:textId="77777777" w:rsidR="00377344" w:rsidRPr="00377344" w:rsidRDefault="00377344" w:rsidP="00377344">
            <w:pPr>
              <w:jc w:val="center"/>
              <w:rPr>
                <w:rFonts w:ascii="Arial Narrow" w:hAnsi="Arial Narrow" w:cs="Arial"/>
                <w:sz w:val="18"/>
                <w:szCs w:val="18"/>
              </w:rPr>
            </w:pPr>
            <w:r w:rsidRPr="00377344">
              <w:rPr>
                <w:rFonts w:ascii="Arial Narrow" w:hAnsi="Arial Narrow" w:cs="Arial"/>
                <w:sz w:val="18"/>
                <w:szCs w:val="18"/>
              </w:rPr>
              <w:t>14</w:t>
            </w:r>
          </w:p>
        </w:tc>
        <w:tc>
          <w:tcPr>
            <w:tcW w:w="5120" w:type="dxa"/>
            <w:tcBorders>
              <w:top w:val="nil"/>
              <w:left w:val="nil"/>
              <w:bottom w:val="single" w:sz="4" w:space="0" w:color="auto"/>
              <w:right w:val="single" w:sz="4" w:space="0" w:color="auto"/>
            </w:tcBorders>
            <w:shd w:val="clear" w:color="auto" w:fill="auto"/>
            <w:vAlign w:val="center"/>
            <w:hideMark/>
          </w:tcPr>
          <w:p w14:paraId="253AF2E0" w14:textId="77777777" w:rsidR="00377344" w:rsidRPr="00377344" w:rsidRDefault="00377344" w:rsidP="00377344">
            <w:pPr>
              <w:rPr>
                <w:rFonts w:ascii="Arial Narrow" w:hAnsi="Arial Narrow" w:cs="Arial"/>
                <w:sz w:val="18"/>
                <w:szCs w:val="18"/>
              </w:rPr>
            </w:pPr>
            <w:r w:rsidRPr="00377344">
              <w:rPr>
                <w:rFonts w:ascii="Arial Narrow" w:hAnsi="Arial Narrow" w:cs="Arial"/>
                <w:sz w:val="18"/>
                <w:szCs w:val="18"/>
              </w:rPr>
              <w:t>Материали за сплитане и други продукти от растителен произход, неупоменати, нито включени другаде</w:t>
            </w:r>
          </w:p>
        </w:tc>
        <w:tc>
          <w:tcPr>
            <w:tcW w:w="920" w:type="dxa"/>
            <w:tcBorders>
              <w:top w:val="nil"/>
              <w:left w:val="nil"/>
              <w:bottom w:val="single" w:sz="4" w:space="0" w:color="auto"/>
              <w:right w:val="single" w:sz="4" w:space="0" w:color="auto"/>
            </w:tcBorders>
            <w:shd w:val="clear" w:color="auto" w:fill="auto"/>
            <w:noWrap/>
            <w:vAlign w:val="center"/>
            <w:hideMark/>
          </w:tcPr>
          <w:p w14:paraId="618438BD" w14:textId="77777777" w:rsidR="00377344" w:rsidRPr="00377344" w:rsidRDefault="00377344" w:rsidP="00377344">
            <w:pPr>
              <w:jc w:val="right"/>
              <w:rPr>
                <w:rFonts w:ascii="Arial Narrow" w:hAnsi="Arial Narrow" w:cs="Arial"/>
                <w:sz w:val="18"/>
                <w:szCs w:val="18"/>
              </w:rPr>
            </w:pPr>
            <w:r w:rsidRPr="00377344">
              <w:rPr>
                <w:rFonts w:ascii="Arial Narrow" w:hAnsi="Arial Narrow" w:cs="Arial"/>
                <w:sz w:val="18"/>
                <w:szCs w:val="18"/>
              </w:rPr>
              <w:t>521</w:t>
            </w:r>
          </w:p>
        </w:tc>
        <w:tc>
          <w:tcPr>
            <w:tcW w:w="811" w:type="dxa"/>
            <w:tcBorders>
              <w:top w:val="nil"/>
              <w:left w:val="nil"/>
              <w:bottom w:val="single" w:sz="4" w:space="0" w:color="auto"/>
              <w:right w:val="single" w:sz="4" w:space="0" w:color="auto"/>
            </w:tcBorders>
            <w:shd w:val="clear" w:color="000000" w:fill="FFFFFF"/>
            <w:vAlign w:val="center"/>
            <w:hideMark/>
          </w:tcPr>
          <w:p w14:paraId="2881A1CC" w14:textId="77777777" w:rsidR="00377344" w:rsidRPr="00377344" w:rsidRDefault="00377344" w:rsidP="00377344">
            <w:pPr>
              <w:jc w:val="right"/>
              <w:rPr>
                <w:rFonts w:ascii="Arial Narrow" w:hAnsi="Arial Narrow" w:cs="Arial"/>
                <w:sz w:val="18"/>
                <w:szCs w:val="18"/>
              </w:rPr>
            </w:pPr>
            <w:r w:rsidRPr="00377344">
              <w:rPr>
                <w:rFonts w:ascii="Arial Narrow" w:hAnsi="Arial Narrow" w:cs="Arial"/>
                <w:sz w:val="18"/>
                <w:szCs w:val="18"/>
              </w:rPr>
              <w:t>0,0%</w:t>
            </w:r>
          </w:p>
        </w:tc>
        <w:tc>
          <w:tcPr>
            <w:tcW w:w="920" w:type="dxa"/>
            <w:tcBorders>
              <w:top w:val="nil"/>
              <w:left w:val="nil"/>
              <w:bottom w:val="single" w:sz="4" w:space="0" w:color="auto"/>
              <w:right w:val="single" w:sz="4" w:space="0" w:color="auto"/>
            </w:tcBorders>
            <w:shd w:val="clear" w:color="auto" w:fill="auto"/>
            <w:noWrap/>
            <w:vAlign w:val="center"/>
            <w:hideMark/>
          </w:tcPr>
          <w:p w14:paraId="1028E19C" w14:textId="77777777" w:rsidR="00377344" w:rsidRPr="00377344" w:rsidRDefault="00377344" w:rsidP="00377344">
            <w:pPr>
              <w:jc w:val="right"/>
              <w:rPr>
                <w:rFonts w:ascii="Arial Narrow" w:hAnsi="Arial Narrow" w:cs="Arial"/>
                <w:sz w:val="18"/>
                <w:szCs w:val="18"/>
              </w:rPr>
            </w:pPr>
            <w:r w:rsidRPr="00377344">
              <w:rPr>
                <w:rFonts w:ascii="Arial Narrow" w:hAnsi="Arial Narrow" w:cs="Arial"/>
                <w:sz w:val="18"/>
                <w:szCs w:val="18"/>
              </w:rPr>
              <w:t>1 181</w:t>
            </w:r>
          </w:p>
        </w:tc>
        <w:tc>
          <w:tcPr>
            <w:tcW w:w="811" w:type="dxa"/>
            <w:tcBorders>
              <w:top w:val="nil"/>
              <w:left w:val="nil"/>
              <w:bottom w:val="single" w:sz="4" w:space="0" w:color="auto"/>
              <w:right w:val="single" w:sz="4" w:space="0" w:color="auto"/>
            </w:tcBorders>
            <w:shd w:val="clear" w:color="000000" w:fill="FFFFFF"/>
            <w:vAlign w:val="center"/>
            <w:hideMark/>
          </w:tcPr>
          <w:p w14:paraId="0B63D0A0" w14:textId="77777777" w:rsidR="00377344" w:rsidRPr="00377344" w:rsidRDefault="00377344" w:rsidP="00377344">
            <w:pPr>
              <w:jc w:val="right"/>
              <w:rPr>
                <w:rFonts w:ascii="Arial Narrow" w:hAnsi="Arial Narrow" w:cs="Arial"/>
                <w:sz w:val="18"/>
                <w:szCs w:val="18"/>
              </w:rPr>
            </w:pPr>
            <w:r w:rsidRPr="00377344">
              <w:rPr>
                <w:rFonts w:ascii="Arial Narrow" w:hAnsi="Arial Narrow" w:cs="Arial"/>
                <w:sz w:val="18"/>
                <w:szCs w:val="18"/>
              </w:rPr>
              <w:t>0,0%</w:t>
            </w:r>
          </w:p>
        </w:tc>
        <w:tc>
          <w:tcPr>
            <w:tcW w:w="812" w:type="dxa"/>
            <w:tcBorders>
              <w:top w:val="nil"/>
              <w:left w:val="nil"/>
              <w:bottom w:val="single" w:sz="4" w:space="0" w:color="auto"/>
              <w:right w:val="single" w:sz="4" w:space="0" w:color="auto"/>
            </w:tcBorders>
            <w:shd w:val="clear" w:color="auto" w:fill="auto"/>
            <w:noWrap/>
            <w:vAlign w:val="center"/>
            <w:hideMark/>
          </w:tcPr>
          <w:p w14:paraId="0F475163" w14:textId="77777777" w:rsidR="00377344" w:rsidRPr="00377344" w:rsidRDefault="00377344" w:rsidP="00377344">
            <w:pPr>
              <w:jc w:val="right"/>
              <w:rPr>
                <w:rFonts w:ascii="Arial Narrow" w:hAnsi="Arial Narrow" w:cs="Arial"/>
                <w:color w:val="000000"/>
                <w:sz w:val="18"/>
                <w:szCs w:val="18"/>
              </w:rPr>
            </w:pPr>
            <w:r w:rsidRPr="00377344">
              <w:rPr>
                <w:rFonts w:ascii="Arial Narrow" w:hAnsi="Arial Narrow" w:cs="Arial"/>
                <w:color w:val="000000"/>
                <w:sz w:val="18"/>
                <w:szCs w:val="18"/>
              </w:rPr>
              <w:t>126,7%</w:t>
            </w:r>
          </w:p>
        </w:tc>
      </w:tr>
      <w:tr w:rsidR="00377344" w:rsidRPr="00377344" w14:paraId="7C8A2044" w14:textId="77777777" w:rsidTr="008B7C13">
        <w:trPr>
          <w:trHeight w:val="810"/>
        </w:trPr>
        <w:tc>
          <w:tcPr>
            <w:tcW w:w="382" w:type="dxa"/>
            <w:tcBorders>
              <w:top w:val="nil"/>
              <w:left w:val="single" w:sz="4" w:space="0" w:color="auto"/>
              <w:bottom w:val="single" w:sz="4" w:space="0" w:color="auto"/>
              <w:right w:val="single" w:sz="4" w:space="0" w:color="auto"/>
            </w:tcBorders>
            <w:shd w:val="clear" w:color="000000" w:fill="FFFFFF"/>
            <w:noWrap/>
            <w:vAlign w:val="center"/>
            <w:hideMark/>
          </w:tcPr>
          <w:p w14:paraId="1DC1CFED" w14:textId="77777777" w:rsidR="00377344" w:rsidRPr="00377344" w:rsidRDefault="00377344" w:rsidP="00377344">
            <w:pPr>
              <w:jc w:val="center"/>
              <w:rPr>
                <w:rFonts w:ascii="Arial Narrow" w:hAnsi="Arial Narrow" w:cs="Arial"/>
                <w:sz w:val="18"/>
                <w:szCs w:val="18"/>
              </w:rPr>
            </w:pPr>
            <w:r w:rsidRPr="00377344">
              <w:rPr>
                <w:rFonts w:ascii="Arial Narrow" w:hAnsi="Arial Narrow" w:cs="Arial"/>
                <w:sz w:val="18"/>
                <w:szCs w:val="18"/>
              </w:rPr>
              <w:t>15</w:t>
            </w:r>
          </w:p>
        </w:tc>
        <w:tc>
          <w:tcPr>
            <w:tcW w:w="5120" w:type="dxa"/>
            <w:tcBorders>
              <w:top w:val="nil"/>
              <w:left w:val="nil"/>
              <w:bottom w:val="single" w:sz="4" w:space="0" w:color="auto"/>
              <w:right w:val="single" w:sz="4" w:space="0" w:color="auto"/>
            </w:tcBorders>
            <w:shd w:val="clear" w:color="000000" w:fill="FFFFFF"/>
            <w:vAlign w:val="center"/>
            <w:hideMark/>
          </w:tcPr>
          <w:p w14:paraId="2F527524" w14:textId="77777777" w:rsidR="00377344" w:rsidRPr="00377344" w:rsidRDefault="00377344" w:rsidP="00377344">
            <w:pPr>
              <w:rPr>
                <w:rFonts w:ascii="Arial Narrow" w:hAnsi="Arial Narrow" w:cs="Arial"/>
                <w:sz w:val="18"/>
                <w:szCs w:val="18"/>
              </w:rPr>
            </w:pPr>
            <w:r w:rsidRPr="00377344">
              <w:rPr>
                <w:rFonts w:ascii="Arial Narrow" w:hAnsi="Arial Narrow" w:cs="Arial"/>
                <w:sz w:val="18"/>
                <w:szCs w:val="18"/>
              </w:rPr>
              <w:t>Мазнини и масла от животински или растителен произход; обработени мазнини за хранителни цели; восъци от животински или растителен произход</w:t>
            </w:r>
          </w:p>
        </w:tc>
        <w:tc>
          <w:tcPr>
            <w:tcW w:w="920" w:type="dxa"/>
            <w:tcBorders>
              <w:top w:val="nil"/>
              <w:left w:val="nil"/>
              <w:bottom w:val="single" w:sz="4" w:space="0" w:color="auto"/>
              <w:right w:val="single" w:sz="4" w:space="0" w:color="auto"/>
            </w:tcBorders>
            <w:shd w:val="clear" w:color="auto" w:fill="auto"/>
            <w:noWrap/>
            <w:vAlign w:val="center"/>
            <w:hideMark/>
          </w:tcPr>
          <w:p w14:paraId="0964A8D8" w14:textId="77777777" w:rsidR="00377344" w:rsidRPr="00377344" w:rsidRDefault="00377344" w:rsidP="00377344">
            <w:pPr>
              <w:jc w:val="right"/>
              <w:rPr>
                <w:rFonts w:ascii="Arial Narrow" w:hAnsi="Arial Narrow" w:cs="Arial"/>
                <w:sz w:val="18"/>
                <w:szCs w:val="18"/>
              </w:rPr>
            </w:pPr>
            <w:r w:rsidRPr="00377344">
              <w:rPr>
                <w:rFonts w:ascii="Arial Narrow" w:hAnsi="Arial Narrow" w:cs="Arial"/>
                <w:sz w:val="18"/>
                <w:szCs w:val="18"/>
              </w:rPr>
              <w:t>880 390</w:t>
            </w:r>
          </w:p>
        </w:tc>
        <w:tc>
          <w:tcPr>
            <w:tcW w:w="811" w:type="dxa"/>
            <w:tcBorders>
              <w:top w:val="nil"/>
              <w:left w:val="nil"/>
              <w:bottom w:val="single" w:sz="4" w:space="0" w:color="auto"/>
              <w:right w:val="single" w:sz="4" w:space="0" w:color="auto"/>
            </w:tcBorders>
            <w:shd w:val="clear" w:color="000000" w:fill="FFFFFF"/>
            <w:vAlign w:val="center"/>
            <w:hideMark/>
          </w:tcPr>
          <w:p w14:paraId="75AE13DF" w14:textId="77777777" w:rsidR="00377344" w:rsidRPr="00377344" w:rsidRDefault="00377344" w:rsidP="00377344">
            <w:pPr>
              <w:jc w:val="right"/>
              <w:rPr>
                <w:rFonts w:ascii="Arial Narrow" w:hAnsi="Arial Narrow" w:cs="Arial"/>
                <w:sz w:val="18"/>
                <w:szCs w:val="18"/>
              </w:rPr>
            </w:pPr>
            <w:r w:rsidRPr="00377344">
              <w:rPr>
                <w:rFonts w:ascii="Arial Narrow" w:hAnsi="Arial Narrow" w:cs="Arial"/>
                <w:sz w:val="18"/>
                <w:szCs w:val="18"/>
              </w:rPr>
              <w:t>11,1%</w:t>
            </w:r>
          </w:p>
        </w:tc>
        <w:tc>
          <w:tcPr>
            <w:tcW w:w="920" w:type="dxa"/>
            <w:tcBorders>
              <w:top w:val="nil"/>
              <w:left w:val="nil"/>
              <w:bottom w:val="single" w:sz="4" w:space="0" w:color="auto"/>
              <w:right w:val="single" w:sz="4" w:space="0" w:color="auto"/>
            </w:tcBorders>
            <w:shd w:val="clear" w:color="auto" w:fill="auto"/>
            <w:noWrap/>
            <w:vAlign w:val="center"/>
            <w:hideMark/>
          </w:tcPr>
          <w:p w14:paraId="323D5510" w14:textId="77777777" w:rsidR="00377344" w:rsidRPr="00377344" w:rsidRDefault="00377344" w:rsidP="00377344">
            <w:pPr>
              <w:jc w:val="right"/>
              <w:rPr>
                <w:rFonts w:ascii="Arial Narrow" w:hAnsi="Arial Narrow" w:cs="Arial"/>
                <w:sz w:val="18"/>
                <w:szCs w:val="18"/>
              </w:rPr>
            </w:pPr>
            <w:r w:rsidRPr="00377344">
              <w:rPr>
                <w:rFonts w:ascii="Arial Narrow" w:hAnsi="Arial Narrow" w:cs="Arial"/>
                <w:sz w:val="18"/>
                <w:szCs w:val="18"/>
              </w:rPr>
              <w:t>638 197</w:t>
            </w:r>
          </w:p>
        </w:tc>
        <w:tc>
          <w:tcPr>
            <w:tcW w:w="811" w:type="dxa"/>
            <w:tcBorders>
              <w:top w:val="nil"/>
              <w:left w:val="nil"/>
              <w:bottom w:val="single" w:sz="4" w:space="0" w:color="auto"/>
              <w:right w:val="single" w:sz="4" w:space="0" w:color="auto"/>
            </w:tcBorders>
            <w:shd w:val="clear" w:color="000000" w:fill="FFFFFF"/>
            <w:vAlign w:val="center"/>
            <w:hideMark/>
          </w:tcPr>
          <w:p w14:paraId="75F514CF" w14:textId="77777777" w:rsidR="00377344" w:rsidRPr="00377344" w:rsidRDefault="00377344" w:rsidP="00377344">
            <w:pPr>
              <w:jc w:val="right"/>
              <w:rPr>
                <w:rFonts w:ascii="Arial Narrow" w:hAnsi="Arial Narrow" w:cs="Arial"/>
                <w:sz w:val="18"/>
                <w:szCs w:val="18"/>
              </w:rPr>
            </w:pPr>
            <w:r w:rsidRPr="00377344">
              <w:rPr>
                <w:rFonts w:ascii="Arial Narrow" w:hAnsi="Arial Narrow" w:cs="Arial"/>
                <w:sz w:val="18"/>
                <w:szCs w:val="18"/>
              </w:rPr>
              <w:t>9,5%</w:t>
            </w:r>
          </w:p>
        </w:tc>
        <w:tc>
          <w:tcPr>
            <w:tcW w:w="812" w:type="dxa"/>
            <w:tcBorders>
              <w:top w:val="nil"/>
              <w:left w:val="nil"/>
              <w:bottom w:val="single" w:sz="4" w:space="0" w:color="auto"/>
              <w:right w:val="single" w:sz="4" w:space="0" w:color="auto"/>
            </w:tcBorders>
            <w:shd w:val="clear" w:color="auto" w:fill="auto"/>
            <w:noWrap/>
            <w:vAlign w:val="center"/>
            <w:hideMark/>
          </w:tcPr>
          <w:p w14:paraId="562C4CC6" w14:textId="77777777" w:rsidR="00377344" w:rsidRPr="00377344" w:rsidRDefault="00377344" w:rsidP="00377344">
            <w:pPr>
              <w:jc w:val="right"/>
              <w:rPr>
                <w:rFonts w:ascii="Arial Narrow" w:hAnsi="Arial Narrow" w:cs="Arial"/>
                <w:color w:val="000000"/>
                <w:sz w:val="18"/>
                <w:szCs w:val="18"/>
              </w:rPr>
            </w:pPr>
            <w:r w:rsidRPr="00377344">
              <w:rPr>
                <w:rFonts w:ascii="Arial Narrow" w:hAnsi="Arial Narrow" w:cs="Arial"/>
                <w:color w:val="000000"/>
                <w:sz w:val="18"/>
                <w:szCs w:val="18"/>
              </w:rPr>
              <w:t>-27,5%</w:t>
            </w:r>
          </w:p>
        </w:tc>
      </w:tr>
      <w:tr w:rsidR="00377344" w:rsidRPr="00377344" w14:paraId="781915DF" w14:textId="77777777" w:rsidTr="008B7C13">
        <w:trPr>
          <w:trHeight w:val="540"/>
        </w:trPr>
        <w:tc>
          <w:tcPr>
            <w:tcW w:w="382" w:type="dxa"/>
            <w:tcBorders>
              <w:top w:val="nil"/>
              <w:left w:val="single" w:sz="4" w:space="0" w:color="auto"/>
              <w:bottom w:val="single" w:sz="4" w:space="0" w:color="auto"/>
              <w:right w:val="single" w:sz="4" w:space="0" w:color="auto"/>
            </w:tcBorders>
            <w:shd w:val="clear" w:color="000000" w:fill="FFFFFF"/>
            <w:noWrap/>
            <w:vAlign w:val="center"/>
            <w:hideMark/>
          </w:tcPr>
          <w:p w14:paraId="5A04D6D3" w14:textId="77777777" w:rsidR="00377344" w:rsidRPr="00377344" w:rsidRDefault="00377344" w:rsidP="00377344">
            <w:pPr>
              <w:jc w:val="center"/>
              <w:rPr>
                <w:rFonts w:ascii="Arial Narrow" w:hAnsi="Arial Narrow" w:cs="Arial"/>
                <w:sz w:val="18"/>
                <w:szCs w:val="18"/>
              </w:rPr>
            </w:pPr>
            <w:r w:rsidRPr="00377344">
              <w:rPr>
                <w:rFonts w:ascii="Arial Narrow" w:hAnsi="Arial Narrow" w:cs="Arial"/>
                <w:sz w:val="18"/>
                <w:szCs w:val="18"/>
              </w:rPr>
              <w:t>16</w:t>
            </w:r>
          </w:p>
        </w:tc>
        <w:tc>
          <w:tcPr>
            <w:tcW w:w="5120" w:type="dxa"/>
            <w:tcBorders>
              <w:top w:val="nil"/>
              <w:left w:val="nil"/>
              <w:bottom w:val="single" w:sz="4" w:space="0" w:color="auto"/>
              <w:right w:val="single" w:sz="4" w:space="0" w:color="auto"/>
            </w:tcBorders>
            <w:shd w:val="clear" w:color="000000" w:fill="FFFFFF"/>
            <w:vAlign w:val="center"/>
            <w:hideMark/>
          </w:tcPr>
          <w:p w14:paraId="06B23BE4" w14:textId="77777777" w:rsidR="00377344" w:rsidRPr="00377344" w:rsidRDefault="00377344" w:rsidP="00377344">
            <w:pPr>
              <w:rPr>
                <w:rFonts w:ascii="Arial Narrow" w:hAnsi="Arial Narrow" w:cs="Arial"/>
                <w:sz w:val="18"/>
                <w:szCs w:val="18"/>
              </w:rPr>
            </w:pPr>
            <w:r w:rsidRPr="00377344">
              <w:rPr>
                <w:rFonts w:ascii="Arial Narrow" w:hAnsi="Arial Narrow" w:cs="Arial"/>
                <w:sz w:val="18"/>
                <w:szCs w:val="18"/>
              </w:rPr>
              <w:t>Продукти от месо, риби или ракообразни, мекотели или други водни безгръбначни</w:t>
            </w:r>
          </w:p>
        </w:tc>
        <w:tc>
          <w:tcPr>
            <w:tcW w:w="920" w:type="dxa"/>
            <w:tcBorders>
              <w:top w:val="nil"/>
              <w:left w:val="nil"/>
              <w:bottom w:val="single" w:sz="4" w:space="0" w:color="auto"/>
              <w:right w:val="single" w:sz="4" w:space="0" w:color="auto"/>
            </w:tcBorders>
            <w:shd w:val="clear" w:color="auto" w:fill="auto"/>
            <w:noWrap/>
            <w:vAlign w:val="center"/>
            <w:hideMark/>
          </w:tcPr>
          <w:p w14:paraId="7EB04821" w14:textId="77777777" w:rsidR="00377344" w:rsidRPr="00377344" w:rsidRDefault="00377344" w:rsidP="00377344">
            <w:pPr>
              <w:jc w:val="right"/>
              <w:rPr>
                <w:rFonts w:ascii="Arial Narrow" w:hAnsi="Arial Narrow" w:cs="Arial"/>
                <w:sz w:val="18"/>
                <w:szCs w:val="18"/>
              </w:rPr>
            </w:pPr>
            <w:r w:rsidRPr="00377344">
              <w:rPr>
                <w:rFonts w:ascii="Arial Narrow" w:hAnsi="Arial Narrow" w:cs="Arial"/>
                <w:sz w:val="18"/>
                <w:szCs w:val="18"/>
              </w:rPr>
              <w:t>133 328</w:t>
            </w:r>
          </w:p>
        </w:tc>
        <w:tc>
          <w:tcPr>
            <w:tcW w:w="811" w:type="dxa"/>
            <w:tcBorders>
              <w:top w:val="nil"/>
              <w:left w:val="nil"/>
              <w:bottom w:val="single" w:sz="4" w:space="0" w:color="auto"/>
              <w:right w:val="single" w:sz="4" w:space="0" w:color="auto"/>
            </w:tcBorders>
            <w:shd w:val="clear" w:color="000000" w:fill="FFFFFF"/>
            <w:vAlign w:val="center"/>
            <w:hideMark/>
          </w:tcPr>
          <w:p w14:paraId="4BCC23EE" w14:textId="77777777" w:rsidR="00377344" w:rsidRPr="00377344" w:rsidRDefault="00377344" w:rsidP="00377344">
            <w:pPr>
              <w:jc w:val="right"/>
              <w:rPr>
                <w:rFonts w:ascii="Arial Narrow" w:hAnsi="Arial Narrow" w:cs="Arial"/>
                <w:sz w:val="18"/>
                <w:szCs w:val="18"/>
              </w:rPr>
            </w:pPr>
            <w:r w:rsidRPr="00377344">
              <w:rPr>
                <w:rFonts w:ascii="Arial Narrow" w:hAnsi="Arial Narrow" w:cs="Arial"/>
                <w:sz w:val="18"/>
                <w:szCs w:val="18"/>
              </w:rPr>
              <w:t>1,7%</w:t>
            </w:r>
          </w:p>
        </w:tc>
        <w:tc>
          <w:tcPr>
            <w:tcW w:w="920" w:type="dxa"/>
            <w:tcBorders>
              <w:top w:val="nil"/>
              <w:left w:val="nil"/>
              <w:bottom w:val="single" w:sz="4" w:space="0" w:color="auto"/>
              <w:right w:val="single" w:sz="4" w:space="0" w:color="auto"/>
            </w:tcBorders>
            <w:shd w:val="clear" w:color="auto" w:fill="auto"/>
            <w:noWrap/>
            <w:vAlign w:val="center"/>
            <w:hideMark/>
          </w:tcPr>
          <w:p w14:paraId="718B4ABC" w14:textId="77777777" w:rsidR="00377344" w:rsidRPr="00377344" w:rsidRDefault="00377344" w:rsidP="00377344">
            <w:pPr>
              <w:jc w:val="right"/>
              <w:rPr>
                <w:rFonts w:ascii="Arial Narrow" w:hAnsi="Arial Narrow" w:cs="Arial"/>
                <w:sz w:val="18"/>
                <w:szCs w:val="18"/>
              </w:rPr>
            </w:pPr>
            <w:r w:rsidRPr="00377344">
              <w:rPr>
                <w:rFonts w:ascii="Arial Narrow" w:hAnsi="Arial Narrow" w:cs="Arial"/>
                <w:sz w:val="18"/>
                <w:szCs w:val="18"/>
              </w:rPr>
              <w:t>130 875</w:t>
            </w:r>
          </w:p>
        </w:tc>
        <w:tc>
          <w:tcPr>
            <w:tcW w:w="811" w:type="dxa"/>
            <w:tcBorders>
              <w:top w:val="nil"/>
              <w:left w:val="nil"/>
              <w:bottom w:val="single" w:sz="4" w:space="0" w:color="auto"/>
              <w:right w:val="single" w:sz="4" w:space="0" w:color="auto"/>
            </w:tcBorders>
            <w:shd w:val="clear" w:color="000000" w:fill="FFFFFF"/>
            <w:vAlign w:val="center"/>
            <w:hideMark/>
          </w:tcPr>
          <w:p w14:paraId="07BEF002" w14:textId="77777777" w:rsidR="00377344" w:rsidRPr="00377344" w:rsidRDefault="00377344" w:rsidP="00377344">
            <w:pPr>
              <w:jc w:val="right"/>
              <w:rPr>
                <w:rFonts w:ascii="Arial Narrow" w:hAnsi="Arial Narrow" w:cs="Arial"/>
                <w:sz w:val="18"/>
                <w:szCs w:val="18"/>
              </w:rPr>
            </w:pPr>
            <w:r w:rsidRPr="00377344">
              <w:rPr>
                <w:rFonts w:ascii="Arial Narrow" w:hAnsi="Arial Narrow" w:cs="Arial"/>
                <w:sz w:val="18"/>
                <w:szCs w:val="18"/>
              </w:rPr>
              <w:t>1,9%</w:t>
            </w:r>
          </w:p>
        </w:tc>
        <w:tc>
          <w:tcPr>
            <w:tcW w:w="812" w:type="dxa"/>
            <w:tcBorders>
              <w:top w:val="nil"/>
              <w:left w:val="nil"/>
              <w:bottom w:val="single" w:sz="4" w:space="0" w:color="auto"/>
              <w:right w:val="single" w:sz="4" w:space="0" w:color="auto"/>
            </w:tcBorders>
            <w:shd w:val="clear" w:color="auto" w:fill="auto"/>
            <w:noWrap/>
            <w:vAlign w:val="center"/>
            <w:hideMark/>
          </w:tcPr>
          <w:p w14:paraId="430A2ACF" w14:textId="77777777" w:rsidR="00377344" w:rsidRPr="00377344" w:rsidRDefault="00377344" w:rsidP="00377344">
            <w:pPr>
              <w:jc w:val="right"/>
              <w:rPr>
                <w:rFonts w:ascii="Arial Narrow" w:hAnsi="Arial Narrow" w:cs="Arial"/>
                <w:color w:val="000000"/>
                <w:sz w:val="18"/>
                <w:szCs w:val="18"/>
              </w:rPr>
            </w:pPr>
            <w:r w:rsidRPr="00377344">
              <w:rPr>
                <w:rFonts w:ascii="Arial Narrow" w:hAnsi="Arial Narrow" w:cs="Arial"/>
                <w:color w:val="000000"/>
                <w:sz w:val="18"/>
                <w:szCs w:val="18"/>
              </w:rPr>
              <w:t>-1,8%</w:t>
            </w:r>
          </w:p>
        </w:tc>
      </w:tr>
      <w:tr w:rsidR="00377344" w:rsidRPr="00377344" w14:paraId="5FE2A8C9" w14:textId="77777777" w:rsidTr="008B7C13">
        <w:trPr>
          <w:trHeight w:val="270"/>
        </w:trPr>
        <w:tc>
          <w:tcPr>
            <w:tcW w:w="382" w:type="dxa"/>
            <w:tcBorders>
              <w:top w:val="nil"/>
              <w:left w:val="single" w:sz="4" w:space="0" w:color="auto"/>
              <w:bottom w:val="single" w:sz="4" w:space="0" w:color="auto"/>
              <w:right w:val="single" w:sz="4" w:space="0" w:color="auto"/>
            </w:tcBorders>
            <w:shd w:val="clear" w:color="000000" w:fill="FFFFFF"/>
            <w:noWrap/>
            <w:vAlign w:val="center"/>
            <w:hideMark/>
          </w:tcPr>
          <w:p w14:paraId="75690192" w14:textId="77777777" w:rsidR="00377344" w:rsidRPr="00377344" w:rsidRDefault="00377344" w:rsidP="00377344">
            <w:pPr>
              <w:jc w:val="center"/>
              <w:rPr>
                <w:rFonts w:ascii="Arial Narrow" w:hAnsi="Arial Narrow" w:cs="Arial"/>
                <w:sz w:val="18"/>
                <w:szCs w:val="18"/>
              </w:rPr>
            </w:pPr>
            <w:r w:rsidRPr="00377344">
              <w:rPr>
                <w:rFonts w:ascii="Arial Narrow" w:hAnsi="Arial Narrow" w:cs="Arial"/>
                <w:sz w:val="18"/>
                <w:szCs w:val="18"/>
              </w:rPr>
              <w:t>17</w:t>
            </w:r>
          </w:p>
        </w:tc>
        <w:tc>
          <w:tcPr>
            <w:tcW w:w="5120" w:type="dxa"/>
            <w:tcBorders>
              <w:top w:val="nil"/>
              <w:left w:val="nil"/>
              <w:bottom w:val="single" w:sz="4" w:space="0" w:color="auto"/>
              <w:right w:val="single" w:sz="4" w:space="0" w:color="auto"/>
            </w:tcBorders>
            <w:shd w:val="clear" w:color="000000" w:fill="FFFFFF"/>
            <w:vAlign w:val="center"/>
            <w:hideMark/>
          </w:tcPr>
          <w:p w14:paraId="586E3E17" w14:textId="77777777" w:rsidR="00377344" w:rsidRPr="00377344" w:rsidRDefault="00377344" w:rsidP="00377344">
            <w:pPr>
              <w:rPr>
                <w:rFonts w:ascii="Arial Narrow" w:hAnsi="Arial Narrow" w:cs="Arial"/>
                <w:sz w:val="18"/>
                <w:szCs w:val="18"/>
              </w:rPr>
            </w:pPr>
            <w:r w:rsidRPr="00377344">
              <w:rPr>
                <w:rFonts w:ascii="Arial Narrow" w:hAnsi="Arial Narrow" w:cs="Arial"/>
                <w:sz w:val="18"/>
                <w:szCs w:val="18"/>
              </w:rPr>
              <w:t>Захар и захарни изделия</w:t>
            </w:r>
          </w:p>
        </w:tc>
        <w:tc>
          <w:tcPr>
            <w:tcW w:w="920" w:type="dxa"/>
            <w:tcBorders>
              <w:top w:val="nil"/>
              <w:left w:val="nil"/>
              <w:bottom w:val="single" w:sz="4" w:space="0" w:color="auto"/>
              <w:right w:val="single" w:sz="4" w:space="0" w:color="auto"/>
            </w:tcBorders>
            <w:shd w:val="clear" w:color="auto" w:fill="auto"/>
            <w:noWrap/>
            <w:vAlign w:val="center"/>
            <w:hideMark/>
          </w:tcPr>
          <w:p w14:paraId="1850E288" w14:textId="77777777" w:rsidR="00377344" w:rsidRPr="00377344" w:rsidRDefault="00377344" w:rsidP="00377344">
            <w:pPr>
              <w:jc w:val="right"/>
              <w:rPr>
                <w:rFonts w:ascii="Arial Narrow" w:hAnsi="Arial Narrow" w:cs="Arial"/>
                <w:sz w:val="18"/>
                <w:szCs w:val="18"/>
              </w:rPr>
            </w:pPr>
            <w:r w:rsidRPr="00377344">
              <w:rPr>
                <w:rFonts w:ascii="Arial Narrow" w:hAnsi="Arial Narrow" w:cs="Arial"/>
                <w:sz w:val="18"/>
                <w:szCs w:val="18"/>
              </w:rPr>
              <w:t>291 204</w:t>
            </w:r>
          </w:p>
        </w:tc>
        <w:tc>
          <w:tcPr>
            <w:tcW w:w="811" w:type="dxa"/>
            <w:tcBorders>
              <w:top w:val="nil"/>
              <w:left w:val="nil"/>
              <w:bottom w:val="single" w:sz="4" w:space="0" w:color="auto"/>
              <w:right w:val="single" w:sz="4" w:space="0" w:color="auto"/>
            </w:tcBorders>
            <w:shd w:val="clear" w:color="000000" w:fill="FFFFFF"/>
            <w:vAlign w:val="center"/>
            <w:hideMark/>
          </w:tcPr>
          <w:p w14:paraId="720F3DA4" w14:textId="77777777" w:rsidR="00377344" w:rsidRPr="00377344" w:rsidRDefault="00377344" w:rsidP="00377344">
            <w:pPr>
              <w:jc w:val="right"/>
              <w:rPr>
                <w:rFonts w:ascii="Arial Narrow" w:hAnsi="Arial Narrow" w:cs="Arial"/>
                <w:sz w:val="18"/>
                <w:szCs w:val="18"/>
              </w:rPr>
            </w:pPr>
            <w:r w:rsidRPr="00377344">
              <w:rPr>
                <w:rFonts w:ascii="Arial Narrow" w:hAnsi="Arial Narrow" w:cs="Arial"/>
                <w:sz w:val="18"/>
                <w:szCs w:val="18"/>
              </w:rPr>
              <w:t>3,7%</w:t>
            </w:r>
          </w:p>
        </w:tc>
        <w:tc>
          <w:tcPr>
            <w:tcW w:w="920" w:type="dxa"/>
            <w:tcBorders>
              <w:top w:val="nil"/>
              <w:left w:val="nil"/>
              <w:bottom w:val="single" w:sz="4" w:space="0" w:color="auto"/>
              <w:right w:val="single" w:sz="4" w:space="0" w:color="auto"/>
            </w:tcBorders>
            <w:shd w:val="clear" w:color="auto" w:fill="auto"/>
            <w:noWrap/>
            <w:vAlign w:val="center"/>
            <w:hideMark/>
          </w:tcPr>
          <w:p w14:paraId="4DBCAC4C" w14:textId="77777777" w:rsidR="00377344" w:rsidRPr="00377344" w:rsidRDefault="00377344" w:rsidP="00377344">
            <w:pPr>
              <w:jc w:val="right"/>
              <w:rPr>
                <w:rFonts w:ascii="Arial Narrow" w:hAnsi="Arial Narrow" w:cs="Arial"/>
                <w:sz w:val="18"/>
                <w:szCs w:val="18"/>
              </w:rPr>
            </w:pPr>
            <w:r w:rsidRPr="00377344">
              <w:rPr>
                <w:rFonts w:ascii="Arial Narrow" w:hAnsi="Arial Narrow" w:cs="Arial"/>
                <w:sz w:val="18"/>
                <w:szCs w:val="18"/>
              </w:rPr>
              <w:t>192 939</w:t>
            </w:r>
          </w:p>
        </w:tc>
        <w:tc>
          <w:tcPr>
            <w:tcW w:w="811" w:type="dxa"/>
            <w:tcBorders>
              <w:top w:val="nil"/>
              <w:left w:val="nil"/>
              <w:bottom w:val="single" w:sz="4" w:space="0" w:color="auto"/>
              <w:right w:val="single" w:sz="4" w:space="0" w:color="auto"/>
            </w:tcBorders>
            <w:shd w:val="clear" w:color="000000" w:fill="FFFFFF"/>
            <w:vAlign w:val="center"/>
            <w:hideMark/>
          </w:tcPr>
          <w:p w14:paraId="5A2AB2DA" w14:textId="77777777" w:rsidR="00377344" w:rsidRPr="00377344" w:rsidRDefault="00377344" w:rsidP="00377344">
            <w:pPr>
              <w:jc w:val="right"/>
              <w:rPr>
                <w:rFonts w:ascii="Arial Narrow" w:hAnsi="Arial Narrow" w:cs="Arial"/>
                <w:sz w:val="18"/>
                <w:szCs w:val="18"/>
              </w:rPr>
            </w:pPr>
            <w:r w:rsidRPr="00377344">
              <w:rPr>
                <w:rFonts w:ascii="Arial Narrow" w:hAnsi="Arial Narrow" w:cs="Arial"/>
                <w:sz w:val="18"/>
                <w:szCs w:val="18"/>
              </w:rPr>
              <w:t>2,9%</w:t>
            </w:r>
          </w:p>
        </w:tc>
        <w:tc>
          <w:tcPr>
            <w:tcW w:w="812" w:type="dxa"/>
            <w:tcBorders>
              <w:top w:val="nil"/>
              <w:left w:val="nil"/>
              <w:bottom w:val="single" w:sz="4" w:space="0" w:color="auto"/>
              <w:right w:val="single" w:sz="4" w:space="0" w:color="auto"/>
            </w:tcBorders>
            <w:shd w:val="clear" w:color="auto" w:fill="auto"/>
            <w:noWrap/>
            <w:vAlign w:val="center"/>
            <w:hideMark/>
          </w:tcPr>
          <w:p w14:paraId="331C4DD5" w14:textId="77777777" w:rsidR="00377344" w:rsidRPr="00377344" w:rsidRDefault="00377344" w:rsidP="00377344">
            <w:pPr>
              <w:jc w:val="right"/>
              <w:rPr>
                <w:rFonts w:ascii="Arial Narrow" w:hAnsi="Arial Narrow" w:cs="Arial"/>
                <w:color w:val="000000"/>
                <w:sz w:val="18"/>
                <w:szCs w:val="18"/>
              </w:rPr>
            </w:pPr>
            <w:r w:rsidRPr="00377344">
              <w:rPr>
                <w:rFonts w:ascii="Arial Narrow" w:hAnsi="Arial Narrow" w:cs="Arial"/>
                <w:color w:val="000000"/>
                <w:sz w:val="18"/>
                <w:szCs w:val="18"/>
              </w:rPr>
              <w:t>-33,7%</w:t>
            </w:r>
          </w:p>
        </w:tc>
      </w:tr>
      <w:tr w:rsidR="00377344" w:rsidRPr="00377344" w14:paraId="3DD2EB77" w14:textId="77777777" w:rsidTr="008B7C13">
        <w:trPr>
          <w:trHeight w:val="270"/>
        </w:trPr>
        <w:tc>
          <w:tcPr>
            <w:tcW w:w="382" w:type="dxa"/>
            <w:tcBorders>
              <w:top w:val="nil"/>
              <w:left w:val="single" w:sz="4" w:space="0" w:color="auto"/>
              <w:bottom w:val="single" w:sz="4" w:space="0" w:color="auto"/>
              <w:right w:val="single" w:sz="4" w:space="0" w:color="auto"/>
            </w:tcBorders>
            <w:shd w:val="clear" w:color="000000" w:fill="FFFFFF"/>
            <w:noWrap/>
            <w:vAlign w:val="center"/>
            <w:hideMark/>
          </w:tcPr>
          <w:p w14:paraId="15722101" w14:textId="77777777" w:rsidR="00377344" w:rsidRPr="00377344" w:rsidRDefault="00377344" w:rsidP="00377344">
            <w:pPr>
              <w:jc w:val="center"/>
              <w:rPr>
                <w:rFonts w:ascii="Arial Narrow" w:hAnsi="Arial Narrow" w:cs="Arial"/>
                <w:sz w:val="18"/>
                <w:szCs w:val="18"/>
              </w:rPr>
            </w:pPr>
            <w:r w:rsidRPr="00377344">
              <w:rPr>
                <w:rFonts w:ascii="Arial Narrow" w:hAnsi="Arial Narrow" w:cs="Arial"/>
                <w:sz w:val="18"/>
                <w:szCs w:val="18"/>
              </w:rPr>
              <w:t>18</w:t>
            </w:r>
          </w:p>
        </w:tc>
        <w:tc>
          <w:tcPr>
            <w:tcW w:w="5120" w:type="dxa"/>
            <w:tcBorders>
              <w:top w:val="nil"/>
              <w:left w:val="nil"/>
              <w:bottom w:val="single" w:sz="4" w:space="0" w:color="auto"/>
              <w:right w:val="single" w:sz="4" w:space="0" w:color="auto"/>
            </w:tcBorders>
            <w:shd w:val="clear" w:color="000000" w:fill="FFFFFF"/>
            <w:vAlign w:val="center"/>
            <w:hideMark/>
          </w:tcPr>
          <w:p w14:paraId="5668F21D" w14:textId="77777777" w:rsidR="00377344" w:rsidRPr="00377344" w:rsidRDefault="00377344" w:rsidP="00377344">
            <w:pPr>
              <w:rPr>
                <w:rFonts w:ascii="Arial Narrow" w:hAnsi="Arial Narrow" w:cs="Arial"/>
                <w:sz w:val="18"/>
                <w:szCs w:val="18"/>
              </w:rPr>
            </w:pPr>
            <w:r w:rsidRPr="00377344">
              <w:rPr>
                <w:rFonts w:ascii="Arial Narrow" w:hAnsi="Arial Narrow" w:cs="Arial"/>
                <w:sz w:val="18"/>
                <w:szCs w:val="18"/>
              </w:rPr>
              <w:t>Какао и продукти от какао</w:t>
            </w:r>
          </w:p>
        </w:tc>
        <w:tc>
          <w:tcPr>
            <w:tcW w:w="920" w:type="dxa"/>
            <w:tcBorders>
              <w:top w:val="nil"/>
              <w:left w:val="nil"/>
              <w:bottom w:val="single" w:sz="4" w:space="0" w:color="auto"/>
              <w:right w:val="single" w:sz="4" w:space="0" w:color="auto"/>
            </w:tcBorders>
            <w:shd w:val="clear" w:color="auto" w:fill="auto"/>
            <w:noWrap/>
            <w:vAlign w:val="center"/>
            <w:hideMark/>
          </w:tcPr>
          <w:p w14:paraId="131D18B5" w14:textId="77777777" w:rsidR="00377344" w:rsidRPr="00377344" w:rsidRDefault="00377344" w:rsidP="00377344">
            <w:pPr>
              <w:jc w:val="right"/>
              <w:rPr>
                <w:rFonts w:ascii="Arial Narrow" w:hAnsi="Arial Narrow" w:cs="Arial"/>
                <w:sz w:val="18"/>
                <w:szCs w:val="18"/>
              </w:rPr>
            </w:pPr>
            <w:r w:rsidRPr="00377344">
              <w:rPr>
                <w:rFonts w:ascii="Arial Narrow" w:hAnsi="Arial Narrow" w:cs="Arial"/>
                <w:sz w:val="18"/>
                <w:szCs w:val="18"/>
              </w:rPr>
              <w:t>404 097</w:t>
            </w:r>
          </w:p>
        </w:tc>
        <w:tc>
          <w:tcPr>
            <w:tcW w:w="811" w:type="dxa"/>
            <w:tcBorders>
              <w:top w:val="nil"/>
              <w:left w:val="nil"/>
              <w:bottom w:val="single" w:sz="4" w:space="0" w:color="auto"/>
              <w:right w:val="single" w:sz="4" w:space="0" w:color="auto"/>
            </w:tcBorders>
            <w:shd w:val="clear" w:color="000000" w:fill="FFFFFF"/>
            <w:vAlign w:val="center"/>
            <w:hideMark/>
          </w:tcPr>
          <w:p w14:paraId="5E4986E2" w14:textId="77777777" w:rsidR="00377344" w:rsidRPr="00377344" w:rsidRDefault="00377344" w:rsidP="00377344">
            <w:pPr>
              <w:jc w:val="right"/>
              <w:rPr>
                <w:rFonts w:ascii="Arial Narrow" w:hAnsi="Arial Narrow" w:cs="Arial"/>
                <w:sz w:val="18"/>
                <w:szCs w:val="18"/>
              </w:rPr>
            </w:pPr>
            <w:r w:rsidRPr="00377344">
              <w:rPr>
                <w:rFonts w:ascii="Arial Narrow" w:hAnsi="Arial Narrow" w:cs="Arial"/>
                <w:sz w:val="18"/>
                <w:szCs w:val="18"/>
              </w:rPr>
              <w:t>5,1%</w:t>
            </w:r>
          </w:p>
        </w:tc>
        <w:tc>
          <w:tcPr>
            <w:tcW w:w="920" w:type="dxa"/>
            <w:tcBorders>
              <w:top w:val="nil"/>
              <w:left w:val="nil"/>
              <w:bottom w:val="single" w:sz="4" w:space="0" w:color="auto"/>
              <w:right w:val="single" w:sz="4" w:space="0" w:color="auto"/>
            </w:tcBorders>
            <w:shd w:val="clear" w:color="auto" w:fill="auto"/>
            <w:noWrap/>
            <w:vAlign w:val="center"/>
            <w:hideMark/>
          </w:tcPr>
          <w:p w14:paraId="45C86F9B" w14:textId="77777777" w:rsidR="00377344" w:rsidRPr="00377344" w:rsidRDefault="00377344" w:rsidP="00377344">
            <w:pPr>
              <w:jc w:val="right"/>
              <w:rPr>
                <w:rFonts w:ascii="Arial Narrow" w:hAnsi="Arial Narrow" w:cs="Arial"/>
                <w:sz w:val="18"/>
                <w:szCs w:val="18"/>
              </w:rPr>
            </w:pPr>
            <w:r w:rsidRPr="00377344">
              <w:rPr>
                <w:rFonts w:ascii="Arial Narrow" w:hAnsi="Arial Narrow" w:cs="Arial"/>
                <w:sz w:val="18"/>
                <w:szCs w:val="18"/>
              </w:rPr>
              <w:t>604 333</w:t>
            </w:r>
          </w:p>
        </w:tc>
        <w:tc>
          <w:tcPr>
            <w:tcW w:w="811" w:type="dxa"/>
            <w:tcBorders>
              <w:top w:val="nil"/>
              <w:left w:val="nil"/>
              <w:bottom w:val="single" w:sz="4" w:space="0" w:color="auto"/>
              <w:right w:val="single" w:sz="4" w:space="0" w:color="auto"/>
            </w:tcBorders>
            <w:shd w:val="clear" w:color="000000" w:fill="FFFFFF"/>
            <w:vAlign w:val="center"/>
            <w:hideMark/>
          </w:tcPr>
          <w:p w14:paraId="356E6F8A" w14:textId="77777777" w:rsidR="00377344" w:rsidRPr="00377344" w:rsidRDefault="00377344" w:rsidP="00377344">
            <w:pPr>
              <w:jc w:val="right"/>
              <w:rPr>
                <w:rFonts w:ascii="Arial Narrow" w:hAnsi="Arial Narrow" w:cs="Arial"/>
                <w:sz w:val="18"/>
                <w:szCs w:val="18"/>
              </w:rPr>
            </w:pPr>
            <w:r w:rsidRPr="00377344">
              <w:rPr>
                <w:rFonts w:ascii="Arial Narrow" w:hAnsi="Arial Narrow" w:cs="Arial"/>
                <w:sz w:val="18"/>
                <w:szCs w:val="18"/>
              </w:rPr>
              <w:t>9,0%</w:t>
            </w:r>
          </w:p>
        </w:tc>
        <w:tc>
          <w:tcPr>
            <w:tcW w:w="812" w:type="dxa"/>
            <w:tcBorders>
              <w:top w:val="nil"/>
              <w:left w:val="nil"/>
              <w:bottom w:val="single" w:sz="4" w:space="0" w:color="auto"/>
              <w:right w:val="single" w:sz="4" w:space="0" w:color="auto"/>
            </w:tcBorders>
            <w:shd w:val="clear" w:color="auto" w:fill="auto"/>
            <w:noWrap/>
            <w:vAlign w:val="center"/>
            <w:hideMark/>
          </w:tcPr>
          <w:p w14:paraId="68B9DFFD" w14:textId="77777777" w:rsidR="00377344" w:rsidRPr="00377344" w:rsidRDefault="00377344" w:rsidP="00377344">
            <w:pPr>
              <w:jc w:val="right"/>
              <w:rPr>
                <w:rFonts w:ascii="Arial Narrow" w:hAnsi="Arial Narrow" w:cs="Arial"/>
                <w:color w:val="000000"/>
                <w:sz w:val="18"/>
                <w:szCs w:val="18"/>
              </w:rPr>
            </w:pPr>
            <w:r w:rsidRPr="00377344">
              <w:rPr>
                <w:rFonts w:ascii="Arial Narrow" w:hAnsi="Arial Narrow" w:cs="Arial"/>
                <w:color w:val="000000"/>
                <w:sz w:val="18"/>
                <w:szCs w:val="18"/>
              </w:rPr>
              <w:t>49,6%</w:t>
            </w:r>
          </w:p>
        </w:tc>
      </w:tr>
      <w:tr w:rsidR="00377344" w:rsidRPr="00377344" w14:paraId="21DB9C1D" w14:textId="77777777" w:rsidTr="008B7C13">
        <w:trPr>
          <w:trHeight w:val="540"/>
        </w:trPr>
        <w:tc>
          <w:tcPr>
            <w:tcW w:w="382" w:type="dxa"/>
            <w:tcBorders>
              <w:top w:val="nil"/>
              <w:left w:val="single" w:sz="4" w:space="0" w:color="auto"/>
              <w:bottom w:val="single" w:sz="4" w:space="0" w:color="auto"/>
              <w:right w:val="single" w:sz="4" w:space="0" w:color="auto"/>
            </w:tcBorders>
            <w:shd w:val="clear" w:color="000000" w:fill="FFFFFF"/>
            <w:noWrap/>
            <w:vAlign w:val="center"/>
            <w:hideMark/>
          </w:tcPr>
          <w:p w14:paraId="5FA0060D" w14:textId="77777777" w:rsidR="00377344" w:rsidRPr="00377344" w:rsidRDefault="00377344" w:rsidP="00377344">
            <w:pPr>
              <w:jc w:val="center"/>
              <w:rPr>
                <w:rFonts w:ascii="Arial Narrow" w:hAnsi="Arial Narrow" w:cs="Arial"/>
                <w:sz w:val="18"/>
                <w:szCs w:val="18"/>
              </w:rPr>
            </w:pPr>
            <w:r w:rsidRPr="00377344">
              <w:rPr>
                <w:rFonts w:ascii="Arial Narrow" w:hAnsi="Arial Narrow" w:cs="Arial"/>
                <w:sz w:val="18"/>
                <w:szCs w:val="18"/>
              </w:rPr>
              <w:t>19</w:t>
            </w:r>
          </w:p>
        </w:tc>
        <w:tc>
          <w:tcPr>
            <w:tcW w:w="5120" w:type="dxa"/>
            <w:tcBorders>
              <w:top w:val="nil"/>
              <w:left w:val="nil"/>
              <w:bottom w:val="single" w:sz="4" w:space="0" w:color="auto"/>
              <w:right w:val="single" w:sz="4" w:space="0" w:color="auto"/>
            </w:tcBorders>
            <w:shd w:val="clear" w:color="000000" w:fill="FFFFFF"/>
            <w:vAlign w:val="center"/>
            <w:hideMark/>
          </w:tcPr>
          <w:p w14:paraId="1915080D" w14:textId="77777777" w:rsidR="00377344" w:rsidRPr="00377344" w:rsidRDefault="00377344" w:rsidP="00377344">
            <w:pPr>
              <w:rPr>
                <w:rFonts w:ascii="Arial Narrow" w:hAnsi="Arial Narrow" w:cs="Arial"/>
                <w:sz w:val="18"/>
                <w:szCs w:val="18"/>
              </w:rPr>
            </w:pPr>
            <w:r w:rsidRPr="00377344">
              <w:rPr>
                <w:rFonts w:ascii="Arial Narrow" w:hAnsi="Arial Narrow" w:cs="Arial"/>
                <w:sz w:val="18"/>
                <w:szCs w:val="18"/>
              </w:rPr>
              <w:t>Хранителни продукти, приготвени на базата на житни растения, брашна, скорбяла, нишесте или мляко; тестени сладкарски изделия</w:t>
            </w:r>
          </w:p>
        </w:tc>
        <w:tc>
          <w:tcPr>
            <w:tcW w:w="920" w:type="dxa"/>
            <w:tcBorders>
              <w:top w:val="nil"/>
              <w:left w:val="nil"/>
              <w:bottom w:val="single" w:sz="4" w:space="0" w:color="auto"/>
              <w:right w:val="single" w:sz="4" w:space="0" w:color="auto"/>
            </w:tcBorders>
            <w:shd w:val="clear" w:color="000000" w:fill="FFFFFF"/>
            <w:noWrap/>
            <w:vAlign w:val="center"/>
            <w:hideMark/>
          </w:tcPr>
          <w:p w14:paraId="56E2A0B4" w14:textId="77777777" w:rsidR="00377344" w:rsidRPr="00377344" w:rsidRDefault="00377344" w:rsidP="00377344">
            <w:pPr>
              <w:jc w:val="right"/>
              <w:rPr>
                <w:rFonts w:ascii="Arial Narrow" w:hAnsi="Arial Narrow" w:cs="Arial"/>
                <w:sz w:val="18"/>
                <w:szCs w:val="18"/>
              </w:rPr>
            </w:pPr>
            <w:r w:rsidRPr="00377344">
              <w:rPr>
                <w:rFonts w:ascii="Arial Narrow" w:hAnsi="Arial Narrow" w:cs="Arial"/>
                <w:sz w:val="18"/>
                <w:szCs w:val="18"/>
              </w:rPr>
              <w:t>424 604</w:t>
            </w:r>
          </w:p>
        </w:tc>
        <w:tc>
          <w:tcPr>
            <w:tcW w:w="811" w:type="dxa"/>
            <w:tcBorders>
              <w:top w:val="nil"/>
              <w:left w:val="nil"/>
              <w:bottom w:val="single" w:sz="4" w:space="0" w:color="auto"/>
              <w:right w:val="single" w:sz="4" w:space="0" w:color="auto"/>
            </w:tcBorders>
            <w:shd w:val="clear" w:color="000000" w:fill="FFFFFF"/>
            <w:vAlign w:val="center"/>
            <w:hideMark/>
          </w:tcPr>
          <w:p w14:paraId="4F3C0C41" w14:textId="77777777" w:rsidR="00377344" w:rsidRPr="00377344" w:rsidRDefault="00377344" w:rsidP="00377344">
            <w:pPr>
              <w:jc w:val="right"/>
              <w:rPr>
                <w:rFonts w:ascii="Arial Narrow" w:hAnsi="Arial Narrow" w:cs="Arial"/>
                <w:sz w:val="18"/>
                <w:szCs w:val="18"/>
              </w:rPr>
            </w:pPr>
            <w:r w:rsidRPr="00377344">
              <w:rPr>
                <w:rFonts w:ascii="Arial Narrow" w:hAnsi="Arial Narrow" w:cs="Arial"/>
                <w:sz w:val="18"/>
                <w:szCs w:val="18"/>
              </w:rPr>
              <w:t>5,3%</w:t>
            </w:r>
          </w:p>
        </w:tc>
        <w:tc>
          <w:tcPr>
            <w:tcW w:w="920" w:type="dxa"/>
            <w:tcBorders>
              <w:top w:val="nil"/>
              <w:left w:val="nil"/>
              <w:bottom w:val="single" w:sz="4" w:space="0" w:color="auto"/>
              <w:right w:val="single" w:sz="4" w:space="0" w:color="auto"/>
            </w:tcBorders>
            <w:shd w:val="clear" w:color="000000" w:fill="FFFFFF"/>
            <w:noWrap/>
            <w:vAlign w:val="center"/>
            <w:hideMark/>
          </w:tcPr>
          <w:p w14:paraId="4DAF04E9" w14:textId="77777777" w:rsidR="00377344" w:rsidRPr="00377344" w:rsidRDefault="00377344" w:rsidP="00377344">
            <w:pPr>
              <w:jc w:val="right"/>
              <w:rPr>
                <w:rFonts w:ascii="Arial Narrow" w:hAnsi="Arial Narrow" w:cs="Arial"/>
                <w:sz w:val="18"/>
                <w:szCs w:val="18"/>
              </w:rPr>
            </w:pPr>
            <w:r w:rsidRPr="00377344">
              <w:rPr>
                <w:rFonts w:ascii="Arial Narrow" w:hAnsi="Arial Narrow" w:cs="Arial"/>
                <w:sz w:val="18"/>
                <w:szCs w:val="18"/>
              </w:rPr>
              <w:t>449 984</w:t>
            </w:r>
          </w:p>
        </w:tc>
        <w:tc>
          <w:tcPr>
            <w:tcW w:w="811" w:type="dxa"/>
            <w:tcBorders>
              <w:top w:val="nil"/>
              <w:left w:val="nil"/>
              <w:bottom w:val="single" w:sz="4" w:space="0" w:color="auto"/>
              <w:right w:val="single" w:sz="4" w:space="0" w:color="auto"/>
            </w:tcBorders>
            <w:shd w:val="clear" w:color="000000" w:fill="FFFFFF"/>
            <w:vAlign w:val="center"/>
            <w:hideMark/>
          </w:tcPr>
          <w:p w14:paraId="4E5C3CAE" w14:textId="77777777" w:rsidR="00377344" w:rsidRPr="00377344" w:rsidRDefault="00377344" w:rsidP="00377344">
            <w:pPr>
              <w:jc w:val="right"/>
              <w:rPr>
                <w:rFonts w:ascii="Arial Narrow" w:hAnsi="Arial Narrow" w:cs="Arial"/>
                <w:sz w:val="18"/>
                <w:szCs w:val="18"/>
              </w:rPr>
            </w:pPr>
            <w:r w:rsidRPr="00377344">
              <w:rPr>
                <w:rFonts w:ascii="Arial Narrow" w:hAnsi="Arial Narrow" w:cs="Arial"/>
                <w:sz w:val="18"/>
                <w:szCs w:val="18"/>
              </w:rPr>
              <w:t>6,7%</w:t>
            </w:r>
          </w:p>
        </w:tc>
        <w:tc>
          <w:tcPr>
            <w:tcW w:w="812" w:type="dxa"/>
            <w:tcBorders>
              <w:top w:val="nil"/>
              <w:left w:val="nil"/>
              <w:bottom w:val="single" w:sz="4" w:space="0" w:color="auto"/>
              <w:right w:val="single" w:sz="4" w:space="0" w:color="auto"/>
            </w:tcBorders>
            <w:shd w:val="clear" w:color="auto" w:fill="auto"/>
            <w:noWrap/>
            <w:vAlign w:val="center"/>
            <w:hideMark/>
          </w:tcPr>
          <w:p w14:paraId="4390B77A" w14:textId="77777777" w:rsidR="00377344" w:rsidRPr="00377344" w:rsidRDefault="00377344" w:rsidP="00377344">
            <w:pPr>
              <w:jc w:val="right"/>
              <w:rPr>
                <w:rFonts w:ascii="Arial Narrow" w:hAnsi="Arial Narrow" w:cs="Arial"/>
                <w:color w:val="000000"/>
                <w:sz w:val="18"/>
                <w:szCs w:val="18"/>
              </w:rPr>
            </w:pPr>
            <w:r w:rsidRPr="00377344">
              <w:rPr>
                <w:rFonts w:ascii="Arial Narrow" w:hAnsi="Arial Narrow" w:cs="Arial"/>
                <w:color w:val="000000"/>
                <w:sz w:val="18"/>
                <w:szCs w:val="18"/>
              </w:rPr>
              <w:t>6,0%</w:t>
            </w:r>
          </w:p>
        </w:tc>
      </w:tr>
      <w:tr w:rsidR="00377344" w:rsidRPr="00377344" w14:paraId="0606ED49" w14:textId="77777777" w:rsidTr="008B7C13">
        <w:trPr>
          <w:trHeight w:val="540"/>
        </w:trPr>
        <w:tc>
          <w:tcPr>
            <w:tcW w:w="382" w:type="dxa"/>
            <w:tcBorders>
              <w:top w:val="nil"/>
              <w:left w:val="single" w:sz="4" w:space="0" w:color="auto"/>
              <w:bottom w:val="single" w:sz="4" w:space="0" w:color="auto"/>
              <w:right w:val="single" w:sz="4" w:space="0" w:color="auto"/>
            </w:tcBorders>
            <w:shd w:val="clear" w:color="000000" w:fill="FFFFFF"/>
            <w:noWrap/>
            <w:vAlign w:val="center"/>
            <w:hideMark/>
          </w:tcPr>
          <w:p w14:paraId="0100C162" w14:textId="77777777" w:rsidR="00377344" w:rsidRPr="00377344" w:rsidRDefault="00377344" w:rsidP="00377344">
            <w:pPr>
              <w:jc w:val="center"/>
              <w:rPr>
                <w:rFonts w:ascii="Arial Narrow" w:hAnsi="Arial Narrow" w:cs="Arial"/>
                <w:sz w:val="18"/>
                <w:szCs w:val="18"/>
              </w:rPr>
            </w:pPr>
            <w:r w:rsidRPr="00377344">
              <w:rPr>
                <w:rFonts w:ascii="Arial Narrow" w:hAnsi="Arial Narrow" w:cs="Arial"/>
                <w:sz w:val="18"/>
                <w:szCs w:val="18"/>
              </w:rPr>
              <w:t>20</w:t>
            </w:r>
          </w:p>
        </w:tc>
        <w:tc>
          <w:tcPr>
            <w:tcW w:w="5120" w:type="dxa"/>
            <w:tcBorders>
              <w:top w:val="nil"/>
              <w:left w:val="nil"/>
              <w:bottom w:val="single" w:sz="4" w:space="0" w:color="auto"/>
              <w:right w:val="single" w:sz="4" w:space="0" w:color="auto"/>
            </w:tcBorders>
            <w:shd w:val="clear" w:color="000000" w:fill="FFFFFF"/>
            <w:vAlign w:val="center"/>
            <w:hideMark/>
          </w:tcPr>
          <w:p w14:paraId="15076C99" w14:textId="77777777" w:rsidR="00377344" w:rsidRPr="00377344" w:rsidRDefault="00377344" w:rsidP="00377344">
            <w:pPr>
              <w:rPr>
                <w:rFonts w:ascii="Arial Narrow" w:hAnsi="Arial Narrow" w:cs="Arial"/>
                <w:sz w:val="18"/>
                <w:szCs w:val="18"/>
              </w:rPr>
            </w:pPr>
            <w:r w:rsidRPr="00377344">
              <w:rPr>
                <w:rFonts w:ascii="Arial Narrow" w:hAnsi="Arial Narrow" w:cs="Arial"/>
                <w:sz w:val="18"/>
                <w:szCs w:val="18"/>
              </w:rPr>
              <w:t>Хранителни продукти от зеленчуци, плодове или други части от                растения</w:t>
            </w:r>
          </w:p>
        </w:tc>
        <w:tc>
          <w:tcPr>
            <w:tcW w:w="920" w:type="dxa"/>
            <w:tcBorders>
              <w:top w:val="nil"/>
              <w:left w:val="nil"/>
              <w:bottom w:val="single" w:sz="4" w:space="0" w:color="auto"/>
              <w:right w:val="single" w:sz="4" w:space="0" w:color="auto"/>
            </w:tcBorders>
            <w:shd w:val="clear" w:color="auto" w:fill="auto"/>
            <w:noWrap/>
            <w:vAlign w:val="center"/>
            <w:hideMark/>
          </w:tcPr>
          <w:p w14:paraId="58DDF290" w14:textId="77777777" w:rsidR="00377344" w:rsidRPr="00377344" w:rsidRDefault="00377344" w:rsidP="00377344">
            <w:pPr>
              <w:jc w:val="right"/>
              <w:rPr>
                <w:rFonts w:ascii="Arial Narrow" w:hAnsi="Arial Narrow" w:cs="Arial"/>
                <w:sz w:val="18"/>
                <w:szCs w:val="18"/>
              </w:rPr>
            </w:pPr>
            <w:r w:rsidRPr="00377344">
              <w:rPr>
                <w:rFonts w:ascii="Arial Narrow" w:hAnsi="Arial Narrow" w:cs="Arial"/>
                <w:sz w:val="18"/>
                <w:szCs w:val="18"/>
              </w:rPr>
              <w:t>202 492</w:t>
            </w:r>
          </w:p>
        </w:tc>
        <w:tc>
          <w:tcPr>
            <w:tcW w:w="811" w:type="dxa"/>
            <w:tcBorders>
              <w:top w:val="nil"/>
              <w:left w:val="nil"/>
              <w:bottom w:val="single" w:sz="4" w:space="0" w:color="auto"/>
              <w:right w:val="single" w:sz="4" w:space="0" w:color="auto"/>
            </w:tcBorders>
            <w:shd w:val="clear" w:color="000000" w:fill="FFFFFF"/>
            <w:vAlign w:val="center"/>
            <w:hideMark/>
          </w:tcPr>
          <w:p w14:paraId="55AF6081" w14:textId="77777777" w:rsidR="00377344" w:rsidRPr="00377344" w:rsidRDefault="00377344" w:rsidP="00377344">
            <w:pPr>
              <w:jc w:val="right"/>
              <w:rPr>
                <w:rFonts w:ascii="Arial Narrow" w:hAnsi="Arial Narrow" w:cs="Arial"/>
                <w:sz w:val="18"/>
                <w:szCs w:val="18"/>
              </w:rPr>
            </w:pPr>
            <w:r w:rsidRPr="00377344">
              <w:rPr>
                <w:rFonts w:ascii="Arial Narrow" w:hAnsi="Arial Narrow" w:cs="Arial"/>
                <w:sz w:val="18"/>
                <w:szCs w:val="18"/>
              </w:rPr>
              <w:t>2,5%</w:t>
            </w:r>
          </w:p>
        </w:tc>
        <w:tc>
          <w:tcPr>
            <w:tcW w:w="920" w:type="dxa"/>
            <w:tcBorders>
              <w:top w:val="nil"/>
              <w:left w:val="nil"/>
              <w:bottom w:val="single" w:sz="4" w:space="0" w:color="auto"/>
              <w:right w:val="single" w:sz="4" w:space="0" w:color="auto"/>
            </w:tcBorders>
            <w:shd w:val="clear" w:color="auto" w:fill="auto"/>
            <w:noWrap/>
            <w:vAlign w:val="center"/>
            <w:hideMark/>
          </w:tcPr>
          <w:p w14:paraId="44162375" w14:textId="77777777" w:rsidR="00377344" w:rsidRPr="00377344" w:rsidRDefault="00377344" w:rsidP="00377344">
            <w:pPr>
              <w:jc w:val="right"/>
              <w:rPr>
                <w:rFonts w:ascii="Arial Narrow" w:hAnsi="Arial Narrow" w:cs="Arial"/>
                <w:sz w:val="18"/>
                <w:szCs w:val="18"/>
              </w:rPr>
            </w:pPr>
            <w:r w:rsidRPr="00377344">
              <w:rPr>
                <w:rFonts w:ascii="Arial Narrow" w:hAnsi="Arial Narrow" w:cs="Arial"/>
                <w:sz w:val="18"/>
                <w:szCs w:val="18"/>
              </w:rPr>
              <w:t>199 186</w:t>
            </w:r>
          </w:p>
        </w:tc>
        <w:tc>
          <w:tcPr>
            <w:tcW w:w="811" w:type="dxa"/>
            <w:tcBorders>
              <w:top w:val="nil"/>
              <w:left w:val="nil"/>
              <w:bottom w:val="single" w:sz="4" w:space="0" w:color="auto"/>
              <w:right w:val="single" w:sz="4" w:space="0" w:color="auto"/>
            </w:tcBorders>
            <w:shd w:val="clear" w:color="000000" w:fill="FFFFFF"/>
            <w:vAlign w:val="center"/>
            <w:hideMark/>
          </w:tcPr>
          <w:p w14:paraId="205B1D3E" w14:textId="77777777" w:rsidR="00377344" w:rsidRPr="00377344" w:rsidRDefault="00377344" w:rsidP="00377344">
            <w:pPr>
              <w:jc w:val="right"/>
              <w:rPr>
                <w:rFonts w:ascii="Arial Narrow" w:hAnsi="Arial Narrow" w:cs="Arial"/>
                <w:sz w:val="18"/>
                <w:szCs w:val="18"/>
              </w:rPr>
            </w:pPr>
            <w:r w:rsidRPr="00377344">
              <w:rPr>
                <w:rFonts w:ascii="Arial Narrow" w:hAnsi="Arial Narrow" w:cs="Arial"/>
                <w:sz w:val="18"/>
                <w:szCs w:val="18"/>
              </w:rPr>
              <w:t>3,0%</w:t>
            </w:r>
          </w:p>
        </w:tc>
        <w:tc>
          <w:tcPr>
            <w:tcW w:w="812" w:type="dxa"/>
            <w:tcBorders>
              <w:top w:val="nil"/>
              <w:left w:val="nil"/>
              <w:bottom w:val="single" w:sz="4" w:space="0" w:color="auto"/>
              <w:right w:val="single" w:sz="4" w:space="0" w:color="auto"/>
            </w:tcBorders>
            <w:shd w:val="clear" w:color="auto" w:fill="auto"/>
            <w:noWrap/>
            <w:vAlign w:val="center"/>
            <w:hideMark/>
          </w:tcPr>
          <w:p w14:paraId="627D8FEA" w14:textId="77777777" w:rsidR="00377344" w:rsidRPr="00377344" w:rsidRDefault="00377344" w:rsidP="00377344">
            <w:pPr>
              <w:jc w:val="right"/>
              <w:rPr>
                <w:rFonts w:ascii="Arial Narrow" w:hAnsi="Arial Narrow" w:cs="Arial"/>
                <w:color w:val="000000"/>
                <w:sz w:val="18"/>
                <w:szCs w:val="18"/>
              </w:rPr>
            </w:pPr>
            <w:r w:rsidRPr="00377344">
              <w:rPr>
                <w:rFonts w:ascii="Arial Narrow" w:hAnsi="Arial Narrow" w:cs="Arial"/>
                <w:color w:val="000000"/>
                <w:sz w:val="18"/>
                <w:szCs w:val="18"/>
              </w:rPr>
              <w:t>-1,6%</w:t>
            </w:r>
          </w:p>
        </w:tc>
      </w:tr>
      <w:tr w:rsidR="00377344" w:rsidRPr="00377344" w14:paraId="09099C75" w14:textId="77777777" w:rsidTr="008B7C13">
        <w:trPr>
          <w:trHeight w:val="270"/>
        </w:trPr>
        <w:tc>
          <w:tcPr>
            <w:tcW w:w="382" w:type="dxa"/>
            <w:tcBorders>
              <w:top w:val="nil"/>
              <w:left w:val="single" w:sz="4" w:space="0" w:color="auto"/>
              <w:bottom w:val="single" w:sz="4" w:space="0" w:color="auto"/>
              <w:right w:val="single" w:sz="4" w:space="0" w:color="auto"/>
            </w:tcBorders>
            <w:shd w:val="clear" w:color="000000" w:fill="FFFFFF"/>
            <w:noWrap/>
            <w:vAlign w:val="center"/>
            <w:hideMark/>
          </w:tcPr>
          <w:p w14:paraId="52C9C4DD" w14:textId="77777777" w:rsidR="00377344" w:rsidRPr="00377344" w:rsidRDefault="00377344" w:rsidP="00377344">
            <w:pPr>
              <w:jc w:val="center"/>
              <w:rPr>
                <w:rFonts w:ascii="Arial Narrow" w:hAnsi="Arial Narrow" w:cs="Arial"/>
                <w:sz w:val="18"/>
                <w:szCs w:val="18"/>
              </w:rPr>
            </w:pPr>
            <w:r w:rsidRPr="00377344">
              <w:rPr>
                <w:rFonts w:ascii="Arial Narrow" w:hAnsi="Arial Narrow" w:cs="Arial"/>
                <w:sz w:val="18"/>
                <w:szCs w:val="18"/>
              </w:rPr>
              <w:t>21</w:t>
            </w:r>
          </w:p>
        </w:tc>
        <w:tc>
          <w:tcPr>
            <w:tcW w:w="5120" w:type="dxa"/>
            <w:tcBorders>
              <w:top w:val="nil"/>
              <w:left w:val="nil"/>
              <w:bottom w:val="single" w:sz="4" w:space="0" w:color="auto"/>
              <w:right w:val="single" w:sz="4" w:space="0" w:color="auto"/>
            </w:tcBorders>
            <w:shd w:val="clear" w:color="000000" w:fill="FFFFFF"/>
            <w:vAlign w:val="center"/>
            <w:hideMark/>
          </w:tcPr>
          <w:p w14:paraId="219226BB" w14:textId="77777777" w:rsidR="00377344" w:rsidRPr="00377344" w:rsidRDefault="00377344" w:rsidP="00377344">
            <w:pPr>
              <w:rPr>
                <w:rFonts w:ascii="Arial Narrow" w:hAnsi="Arial Narrow" w:cs="Arial"/>
                <w:sz w:val="18"/>
                <w:szCs w:val="18"/>
              </w:rPr>
            </w:pPr>
            <w:r w:rsidRPr="00377344">
              <w:rPr>
                <w:rFonts w:ascii="Arial Narrow" w:hAnsi="Arial Narrow" w:cs="Arial"/>
                <w:sz w:val="18"/>
                <w:szCs w:val="18"/>
              </w:rPr>
              <w:t>Разни видове хранителни продукти</w:t>
            </w:r>
          </w:p>
        </w:tc>
        <w:tc>
          <w:tcPr>
            <w:tcW w:w="920" w:type="dxa"/>
            <w:tcBorders>
              <w:top w:val="nil"/>
              <w:left w:val="nil"/>
              <w:bottom w:val="single" w:sz="4" w:space="0" w:color="auto"/>
              <w:right w:val="single" w:sz="4" w:space="0" w:color="auto"/>
            </w:tcBorders>
            <w:shd w:val="clear" w:color="auto" w:fill="auto"/>
            <w:noWrap/>
            <w:vAlign w:val="center"/>
            <w:hideMark/>
          </w:tcPr>
          <w:p w14:paraId="7EE4A29B" w14:textId="77777777" w:rsidR="00377344" w:rsidRPr="00377344" w:rsidRDefault="00377344" w:rsidP="00377344">
            <w:pPr>
              <w:jc w:val="right"/>
              <w:rPr>
                <w:rFonts w:ascii="Arial Narrow" w:hAnsi="Arial Narrow" w:cs="Arial"/>
                <w:sz w:val="18"/>
                <w:szCs w:val="18"/>
              </w:rPr>
            </w:pPr>
            <w:r w:rsidRPr="00377344">
              <w:rPr>
                <w:rFonts w:ascii="Arial Narrow" w:hAnsi="Arial Narrow" w:cs="Arial"/>
                <w:sz w:val="18"/>
                <w:szCs w:val="18"/>
              </w:rPr>
              <w:t>214 902</w:t>
            </w:r>
          </w:p>
        </w:tc>
        <w:tc>
          <w:tcPr>
            <w:tcW w:w="811" w:type="dxa"/>
            <w:tcBorders>
              <w:top w:val="nil"/>
              <w:left w:val="nil"/>
              <w:bottom w:val="single" w:sz="4" w:space="0" w:color="auto"/>
              <w:right w:val="single" w:sz="4" w:space="0" w:color="auto"/>
            </w:tcBorders>
            <w:shd w:val="clear" w:color="000000" w:fill="FFFFFF"/>
            <w:vAlign w:val="center"/>
            <w:hideMark/>
          </w:tcPr>
          <w:p w14:paraId="243F09E0" w14:textId="77777777" w:rsidR="00377344" w:rsidRPr="00377344" w:rsidRDefault="00377344" w:rsidP="00377344">
            <w:pPr>
              <w:jc w:val="right"/>
              <w:rPr>
                <w:rFonts w:ascii="Arial Narrow" w:hAnsi="Arial Narrow" w:cs="Arial"/>
                <w:sz w:val="18"/>
                <w:szCs w:val="18"/>
              </w:rPr>
            </w:pPr>
            <w:r w:rsidRPr="00377344">
              <w:rPr>
                <w:rFonts w:ascii="Arial Narrow" w:hAnsi="Arial Narrow" w:cs="Arial"/>
                <w:sz w:val="18"/>
                <w:szCs w:val="18"/>
              </w:rPr>
              <w:t>2,7%</w:t>
            </w:r>
          </w:p>
        </w:tc>
        <w:tc>
          <w:tcPr>
            <w:tcW w:w="920" w:type="dxa"/>
            <w:tcBorders>
              <w:top w:val="nil"/>
              <w:left w:val="nil"/>
              <w:bottom w:val="single" w:sz="4" w:space="0" w:color="auto"/>
              <w:right w:val="single" w:sz="4" w:space="0" w:color="auto"/>
            </w:tcBorders>
            <w:shd w:val="clear" w:color="auto" w:fill="auto"/>
            <w:noWrap/>
            <w:vAlign w:val="center"/>
            <w:hideMark/>
          </w:tcPr>
          <w:p w14:paraId="216A89B4" w14:textId="77777777" w:rsidR="00377344" w:rsidRPr="00377344" w:rsidRDefault="00377344" w:rsidP="00377344">
            <w:pPr>
              <w:jc w:val="right"/>
              <w:rPr>
                <w:rFonts w:ascii="Arial Narrow" w:hAnsi="Arial Narrow" w:cs="Arial"/>
                <w:sz w:val="18"/>
                <w:szCs w:val="18"/>
              </w:rPr>
            </w:pPr>
            <w:r w:rsidRPr="00377344">
              <w:rPr>
                <w:rFonts w:ascii="Arial Narrow" w:hAnsi="Arial Narrow" w:cs="Arial"/>
                <w:sz w:val="18"/>
                <w:szCs w:val="18"/>
              </w:rPr>
              <w:t>233 806</w:t>
            </w:r>
          </w:p>
        </w:tc>
        <w:tc>
          <w:tcPr>
            <w:tcW w:w="811" w:type="dxa"/>
            <w:tcBorders>
              <w:top w:val="nil"/>
              <w:left w:val="nil"/>
              <w:bottom w:val="single" w:sz="4" w:space="0" w:color="auto"/>
              <w:right w:val="single" w:sz="4" w:space="0" w:color="auto"/>
            </w:tcBorders>
            <w:shd w:val="clear" w:color="000000" w:fill="FFFFFF"/>
            <w:vAlign w:val="center"/>
            <w:hideMark/>
          </w:tcPr>
          <w:p w14:paraId="0F318221" w14:textId="77777777" w:rsidR="00377344" w:rsidRPr="00377344" w:rsidRDefault="00377344" w:rsidP="00377344">
            <w:pPr>
              <w:jc w:val="right"/>
              <w:rPr>
                <w:rFonts w:ascii="Arial Narrow" w:hAnsi="Arial Narrow" w:cs="Arial"/>
                <w:sz w:val="18"/>
                <w:szCs w:val="18"/>
              </w:rPr>
            </w:pPr>
            <w:r w:rsidRPr="00377344">
              <w:rPr>
                <w:rFonts w:ascii="Arial Narrow" w:hAnsi="Arial Narrow" w:cs="Arial"/>
                <w:sz w:val="18"/>
                <w:szCs w:val="18"/>
              </w:rPr>
              <w:t>3,5%</w:t>
            </w:r>
          </w:p>
        </w:tc>
        <w:tc>
          <w:tcPr>
            <w:tcW w:w="812" w:type="dxa"/>
            <w:tcBorders>
              <w:top w:val="nil"/>
              <w:left w:val="nil"/>
              <w:bottom w:val="single" w:sz="4" w:space="0" w:color="auto"/>
              <w:right w:val="single" w:sz="4" w:space="0" w:color="auto"/>
            </w:tcBorders>
            <w:shd w:val="clear" w:color="auto" w:fill="auto"/>
            <w:noWrap/>
            <w:vAlign w:val="center"/>
            <w:hideMark/>
          </w:tcPr>
          <w:p w14:paraId="7959E741" w14:textId="77777777" w:rsidR="00377344" w:rsidRPr="00377344" w:rsidRDefault="00377344" w:rsidP="00377344">
            <w:pPr>
              <w:jc w:val="right"/>
              <w:rPr>
                <w:rFonts w:ascii="Arial Narrow" w:hAnsi="Arial Narrow" w:cs="Arial"/>
                <w:color w:val="000000"/>
                <w:sz w:val="18"/>
                <w:szCs w:val="18"/>
              </w:rPr>
            </w:pPr>
            <w:r w:rsidRPr="00377344">
              <w:rPr>
                <w:rFonts w:ascii="Arial Narrow" w:hAnsi="Arial Narrow" w:cs="Arial"/>
                <w:color w:val="000000"/>
                <w:sz w:val="18"/>
                <w:szCs w:val="18"/>
              </w:rPr>
              <w:t>8,8%</w:t>
            </w:r>
          </w:p>
        </w:tc>
      </w:tr>
      <w:tr w:rsidR="00377344" w:rsidRPr="00377344" w14:paraId="25768512" w14:textId="77777777" w:rsidTr="008B7C13">
        <w:trPr>
          <w:trHeight w:val="270"/>
        </w:trPr>
        <w:tc>
          <w:tcPr>
            <w:tcW w:w="382" w:type="dxa"/>
            <w:tcBorders>
              <w:top w:val="nil"/>
              <w:left w:val="single" w:sz="4" w:space="0" w:color="auto"/>
              <w:bottom w:val="single" w:sz="4" w:space="0" w:color="auto"/>
              <w:right w:val="single" w:sz="4" w:space="0" w:color="auto"/>
            </w:tcBorders>
            <w:shd w:val="clear" w:color="000000" w:fill="FFFFFF"/>
            <w:noWrap/>
            <w:vAlign w:val="center"/>
            <w:hideMark/>
          </w:tcPr>
          <w:p w14:paraId="50C3E116" w14:textId="77777777" w:rsidR="00377344" w:rsidRPr="00377344" w:rsidRDefault="00377344" w:rsidP="00377344">
            <w:pPr>
              <w:jc w:val="center"/>
              <w:rPr>
                <w:rFonts w:ascii="Arial Narrow" w:hAnsi="Arial Narrow" w:cs="Arial"/>
                <w:sz w:val="18"/>
                <w:szCs w:val="18"/>
              </w:rPr>
            </w:pPr>
            <w:r w:rsidRPr="00377344">
              <w:rPr>
                <w:rFonts w:ascii="Arial Narrow" w:hAnsi="Arial Narrow" w:cs="Arial"/>
                <w:sz w:val="18"/>
                <w:szCs w:val="18"/>
              </w:rPr>
              <w:t>22</w:t>
            </w:r>
          </w:p>
        </w:tc>
        <w:tc>
          <w:tcPr>
            <w:tcW w:w="5120" w:type="dxa"/>
            <w:tcBorders>
              <w:top w:val="nil"/>
              <w:left w:val="nil"/>
              <w:bottom w:val="single" w:sz="4" w:space="0" w:color="auto"/>
              <w:right w:val="single" w:sz="4" w:space="0" w:color="auto"/>
            </w:tcBorders>
            <w:shd w:val="clear" w:color="000000" w:fill="FFFFFF"/>
            <w:vAlign w:val="center"/>
            <w:hideMark/>
          </w:tcPr>
          <w:p w14:paraId="059EE5C2" w14:textId="77777777" w:rsidR="00377344" w:rsidRPr="00377344" w:rsidRDefault="00377344" w:rsidP="00377344">
            <w:pPr>
              <w:rPr>
                <w:rFonts w:ascii="Arial Narrow" w:hAnsi="Arial Narrow" w:cs="Arial"/>
                <w:sz w:val="18"/>
                <w:szCs w:val="18"/>
              </w:rPr>
            </w:pPr>
            <w:r w:rsidRPr="00377344">
              <w:rPr>
                <w:rFonts w:ascii="Arial Narrow" w:hAnsi="Arial Narrow" w:cs="Arial"/>
                <w:sz w:val="18"/>
                <w:szCs w:val="18"/>
              </w:rPr>
              <w:t>Безалкохолни и алкохолни напитки и видове оцет</w:t>
            </w:r>
          </w:p>
        </w:tc>
        <w:tc>
          <w:tcPr>
            <w:tcW w:w="920" w:type="dxa"/>
            <w:tcBorders>
              <w:top w:val="nil"/>
              <w:left w:val="nil"/>
              <w:bottom w:val="single" w:sz="4" w:space="0" w:color="auto"/>
              <w:right w:val="single" w:sz="4" w:space="0" w:color="auto"/>
            </w:tcBorders>
            <w:shd w:val="clear" w:color="auto" w:fill="auto"/>
            <w:noWrap/>
            <w:vAlign w:val="center"/>
            <w:hideMark/>
          </w:tcPr>
          <w:p w14:paraId="3BE0F202" w14:textId="77777777" w:rsidR="00377344" w:rsidRPr="00377344" w:rsidRDefault="00377344" w:rsidP="00377344">
            <w:pPr>
              <w:jc w:val="right"/>
              <w:rPr>
                <w:rFonts w:ascii="Arial Narrow" w:hAnsi="Arial Narrow" w:cs="Arial"/>
                <w:sz w:val="18"/>
                <w:szCs w:val="18"/>
              </w:rPr>
            </w:pPr>
            <w:r w:rsidRPr="00377344">
              <w:rPr>
                <w:rFonts w:ascii="Arial Narrow" w:hAnsi="Arial Narrow" w:cs="Arial"/>
                <w:sz w:val="18"/>
                <w:szCs w:val="18"/>
              </w:rPr>
              <w:t>245 968</w:t>
            </w:r>
          </w:p>
        </w:tc>
        <w:tc>
          <w:tcPr>
            <w:tcW w:w="811" w:type="dxa"/>
            <w:tcBorders>
              <w:top w:val="nil"/>
              <w:left w:val="nil"/>
              <w:bottom w:val="single" w:sz="4" w:space="0" w:color="auto"/>
              <w:right w:val="single" w:sz="4" w:space="0" w:color="auto"/>
            </w:tcBorders>
            <w:shd w:val="clear" w:color="000000" w:fill="FFFFFF"/>
            <w:vAlign w:val="center"/>
            <w:hideMark/>
          </w:tcPr>
          <w:p w14:paraId="3FB108D9" w14:textId="77777777" w:rsidR="00377344" w:rsidRPr="00377344" w:rsidRDefault="00377344" w:rsidP="00377344">
            <w:pPr>
              <w:jc w:val="right"/>
              <w:rPr>
                <w:rFonts w:ascii="Arial Narrow" w:hAnsi="Arial Narrow" w:cs="Arial"/>
                <w:sz w:val="18"/>
                <w:szCs w:val="18"/>
              </w:rPr>
            </w:pPr>
            <w:r w:rsidRPr="00377344">
              <w:rPr>
                <w:rFonts w:ascii="Arial Narrow" w:hAnsi="Arial Narrow" w:cs="Arial"/>
                <w:sz w:val="18"/>
                <w:szCs w:val="18"/>
              </w:rPr>
              <w:t>3,1%</w:t>
            </w:r>
          </w:p>
        </w:tc>
        <w:tc>
          <w:tcPr>
            <w:tcW w:w="920" w:type="dxa"/>
            <w:tcBorders>
              <w:top w:val="nil"/>
              <w:left w:val="nil"/>
              <w:bottom w:val="single" w:sz="4" w:space="0" w:color="auto"/>
              <w:right w:val="single" w:sz="4" w:space="0" w:color="auto"/>
            </w:tcBorders>
            <w:shd w:val="clear" w:color="auto" w:fill="auto"/>
            <w:noWrap/>
            <w:vAlign w:val="center"/>
            <w:hideMark/>
          </w:tcPr>
          <w:p w14:paraId="05AD49AC" w14:textId="77777777" w:rsidR="00377344" w:rsidRPr="00377344" w:rsidRDefault="00377344" w:rsidP="00377344">
            <w:pPr>
              <w:jc w:val="right"/>
              <w:rPr>
                <w:rFonts w:ascii="Arial Narrow" w:hAnsi="Arial Narrow" w:cs="Arial"/>
                <w:sz w:val="18"/>
                <w:szCs w:val="18"/>
              </w:rPr>
            </w:pPr>
            <w:r w:rsidRPr="00377344">
              <w:rPr>
                <w:rFonts w:ascii="Arial Narrow" w:hAnsi="Arial Narrow" w:cs="Arial"/>
                <w:sz w:val="18"/>
                <w:szCs w:val="18"/>
              </w:rPr>
              <w:t>231 754</w:t>
            </w:r>
          </w:p>
        </w:tc>
        <w:tc>
          <w:tcPr>
            <w:tcW w:w="811" w:type="dxa"/>
            <w:tcBorders>
              <w:top w:val="nil"/>
              <w:left w:val="nil"/>
              <w:bottom w:val="single" w:sz="4" w:space="0" w:color="auto"/>
              <w:right w:val="single" w:sz="4" w:space="0" w:color="auto"/>
            </w:tcBorders>
            <w:shd w:val="clear" w:color="000000" w:fill="FFFFFF"/>
            <w:vAlign w:val="center"/>
            <w:hideMark/>
          </w:tcPr>
          <w:p w14:paraId="63F000FB" w14:textId="77777777" w:rsidR="00377344" w:rsidRPr="00377344" w:rsidRDefault="00377344" w:rsidP="00377344">
            <w:pPr>
              <w:jc w:val="right"/>
              <w:rPr>
                <w:rFonts w:ascii="Arial Narrow" w:hAnsi="Arial Narrow" w:cs="Arial"/>
                <w:sz w:val="18"/>
                <w:szCs w:val="18"/>
              </w:rPr>
            </w:pPr>
            <w:r w:rsidRPr="00377344">
              <w:rPr>
                <w:rFonts w:ascii="Arial Narrow" w:hAnsi="Arial Narrow" w:cs="Arial"/>
                <w:sz w:val="18"/>
                <w:szCs w:val="18"/>
              </w:rPr>
              <w:t>3,4%</w:t>
            </w:r>
          </w:p>
        </w:tc>
        <w:tc>
          <w:tcPr>
            <w:tcW w:w="812" w:type="dxa"/>
            <w:tcBorders>
              <w:top w:val="nil"/>
              <w:left w:val="nil"/>
              <w:bottom w:val="single" w:sz="4" w:space="0" w:color="auto"/>
              <w:right w:val="single" w:sz="4" w:space="0" w:color="auto"/>
            </w:tcBorders>
            <w:shd w:val="clear" w:color="auto" w:fill="auto"/>
            <w:noWrap/>
            <w:vAlign w:val="center"/>
            <w:hideMark/>
          </w:tcPr>
          <w:p w14:paraId="0962918D" w14:textId="77777777" w:rsidR="00377344" w:rsidRPr="00377344" w:rsidRDefault="00377344" w:rsidP="00377344">
            <w:pPr>
              <w:jc w:val="right"/>
              <w:rPr>
                <w:rFonts w:ascii="Arial Narrow" w:hAnsi="Arial Narrow" w:cs="Arial"/>
                <w:color w:val="000000"/>
                <w:sz w:val="18"/>
                <w:szCs w:val="18"/>
              </w:rPr>
            </w:pPr>
            <w:r w:rsidRPr="00377344">
              <w:rPr>
                <w:rFonts w:ascii="Arial Narrow" w:hAnsi="Arial Narrow" w:cs="Arial"/>
                <w:color w:val="000000"/>
                <w:sz w:val="18"/>
                <w:szCs w:val="18"/>
              </w:rPr>
              <w:t>-5,8%</w:t>
            </w:r>
          </w:p>
        </w:tc>
      </w:tr>
      <w:tr w:rsidR="00377344" w:rsidRPr="00377344" w14:paraId="0790C2E8" w14:textId="77777777" w:rsidTr="008B7C13">
        <w:trPr>
          <w:trHeight w:val="540"/>
        </w:trPr>
        <w:tc>
          <w:tcPr>
            <w:tcW w:w="382" w:type="dxa"/>
            <w:tcBorders>
              <w:top w:val="nil"/>
              <w:left w:val="single" w:sz="4" w:space="0" w:color="auto"/>
              <w:bottom w:val="single" w:sz="4" w:space="0" w:color="auto"/>
              <w:right w:val="single" w:sz="4" w:space="0" w:color="auto"/>
            </w:tcBorders>
            <w:shd w:val="clear" w:color="000000" w:fill="FFFFFF"/>
            <w:noWrap/>
            <w:vAlign w:val="center"/>
            <w:hideMark/>
          </w:tcPr>
          <w:p w14:paraId="4EDBDBE1" w14:textId="77777777" w:rsidR="00377344" w:rsidRPr="00377344" w:rsidRDefault="00377344" w:rsidP="00377344">
            <w:pPr>
              <w:jc w:val="center"/>
              <w:rPr>
                <w:rFonts w:ascii="Arial Narrow" w:hAnsi="Arial Narrow" w:cs="Arial"/>
                <w:sz w:val="18"/>
                <w:szCs w:val="18"/>
              </w:rPr>
            </w:pPr>
            <w:r w:rsidRPr="00377344">
              <w:rPr>
                <w:rFonts w:ascii="Arial Narrow" w:hAnsi="Arial Narrow" w:cs="Arial"/>
                <w:sz w:val="18"/>
                <w:szCs w:val="18"/>
              </w:rPr>
              <w:lastRenderedPageBreak/>
              <w:t>23</w:t>
            </w:r>
          </w:p>
        </w:tc>
        <w:tc>
          <w:tcPr>
            <w:tcW w:w="5120" w:type="dxa"/>
            <w:tcBorders>
              <w:top w:val="nil"/>
              <w:left w:val="nil"/>
              <w:bottom w:val="single" w:sz="4" w:space="0" w:color="auto"/>
              <w:right w:val="single" w:sz="4" w:space="0" w:color="auto"/>
            </w:tcBorders>
            <w:shd w:val="clear" w:color="000000" w:fill="FFFFFF"/>
            <w:vAlign w:val="center"/>
            <w:hideMark/>
          </w:tcPr>
          <w:p w14:paraId="638F267F" w14:textId="77777777" w:rsidR="00377344" w:rsidRPr="00377344" w:rsidRDefault="00377344" w:rsidP="00377344">
            <w:pPr>
              <w:rPr>
                <w:rFonts w:ascii="Arial Narrow" w:hAnsi="Arial Narrow" w:cs="Arial"/>
                <w:sz w:val="18"/>
                <w:szCs w:val="18"/>
              </w:rPr>
            </w:pPr>
            <w:r w:rsidRPr="00377344">
              <w:rPr>
                <w:rFonts w:ascii="Arial Narrow" w:hAnsi="Arial Narrow" w:cs="Arial"/>
                <w:sz w:val="18"/>
                <w:szCs w:val="18"/>
              </w:rPr>
              <w:t>Остатъци и отпадъци от хранителната промишленост; приготвени храни за животни</w:t>
            </w:r>
          </w:p>
        </w:tc>
        <w:tc>
          <w:tcPr>
            <w:tcW w:w="920" w:type="dxa"/>
            <w:tcBorders>
              <w:top w:val="nil"/>
              <w:left w:val="nil"/>
              <w:bottom w:val="single" w:sz="4" w:space="0" w:color="auto"/>
              <w:right w:val="single" w:sz="4" w:space="0" w:color="auto"/>
            </w:tcBorders>
            <w:shd w:val="clear" w:color="auto" w:fill="auto"/>
            <w:noWrap/>
            <w:vAlign w:val="center"/>
            <w:hideMark/>
          </w:tcPr>
          <w:p w14:paraId="05C4B539" w14:textId="77777777" w:rsidR="00377344" w:rsidRPr="00377344" w:rsidRDefault="00377344" w:rsidP="00377344">
            <w:pPr>
              <w:jc w:val="right"/>
              <w:rPr>
                <w:rFonts w:ascii="Arial Narrow" w:hAnsi="Arial Narrow" w:cs="Arial"/>
                <w:sz w:val="18"/>
                <w:szCs w:val="18"/>
              </w:rPr>
            </w:pPr>
            <w:r w:rsidRPr="00377344">
              <w:rPr>
                <w:rFonts w:ascii="Arial Narrow" w:hAnsi="Arial Narrow" w:cs="Arial"/>
                <w:sz w:val="18"/>
                <w:szCs w:val="18"/>
              </w:rPr>
              <w:t>555 482</w:t>
            </w:r>
          </w:p>
        </w:tc>
        <w:tc>
          <w:tcPr>
            <w:tcW w:w="811" w:type="dxa"/>
            <w:tcBorders>
              <w:top w:val="nil"/>
              <w:left w:val="nil"/>
              <w:bottom w:val="single" w:sz="4" w:space="0" w:color="auto"/>
              <w:right w:val="single" w:sz="4" w:space="0" w:color="auto"/>
            </w:tcBorders>
            <w:shd w:val="clear" w:color="000000" w:fill="FFFFFF"/>
            <w:vAlign w:val="center"/>
            <w:hideMark/>
          </w:tcPr>
          <w:p w14:paraId="66691270" w14:textId="77777777" w:rsidR="00377344" w:rsidRPr="00377344" w:rsidRDefault="00377344" w:rsidP="00377344">
            <w:pPr>
              <w:jc w:val="right"/>
              <w:rPr>
                <w:rFonts w:ascii="Arial Narrow" w:hAnsi="Arial Narrow" w:cs="Arial"/>
                <w:sz w:val="18"/>
                <w:szCs w:val="18"/>
              </w:rPr>
            </w:pPr>
            <w:r w:rsidRPr="00377344">
              <w:rPr>
                <w:rFonts w:ascii="Arial Narrow" w:hAnsi="Arial Narrow" w:cs="Arial"/>
                <w:sz w:val="18"/>
                <w:szCs w:val="18"/>
              </w:rPr>
              <w:t>7,0%</w:t>
            </w:r>
          </w:p>
        </w:tc>
        <w:tc>
          <w:tcPr>
            <w:tcW w:w="920" w:type="dxa"/>
            <w:tcBorders>
              <w:top w:val="nil"/>
              <w:left w:val="nil"/>
              <w:bottom w:val="single" w:sz="4" w:space="0" w:color="auto"/>
              <w:right w:val="single" w:sz="4" w:space="0" w:color="auto"/>
            </w:tcBorders>
            <w:shd w:val="clear" w:color="auto" w:fill="auto"/>
            <w:noWrap/>
            <w:vAlign w:val="center"/>
            <w:hideMark/>
          </w:tcPr>
          <w:p w14:paraId="67F53E82" w14:textId="77777777" w:rsidR="00377344" w:rsidRPr="00377344" w:rsidRDefault="00377344" w:rsidP="00377344">
            <w:pPr>
              <w:jc w:val="right"/>
              <w:rPr>
                <w:rFonts w:ascii="Arial Narrow" w:hAnsi="Arial Narrow" w:cs="Arial"/>
                <w:sz w:val="18"/>
                <w:szCs w:val="18"/>
              </w:rPr>
            </w:pPr>
            <w:r w:rsidRPr="00377344">
              <w:rPr>
                <w:rFonts w:ascii="Arial Narrow" w:hAnsi="Arial Narrow" w:cs="Arial"/>
                <w:sz w:val="18"/>
                <w:szCs w:val="18"/>
              </w:rPr>
              <w:t>470 305</w:t>
            </w:r>
          </w:p>
        </w:tc>
        <w:tc>
          <w:tcPr>
            <w:tcW w:w="811" w:type="dxa"/>
            <w:tcBorders>
              <w:top w:val="nil"/>
              <w:left w:val="nil"/>
              <w:bottom w:val="single" w:sz="4" w:space="0" w:color="auto"/>
              <w:right w:val="single" w:sz="4" w:space="0" w:color="auto"/>
            </w:tcBorders>
            <w:shd w:val="clear" w:color="000000" w:fill="FFFFFF"/>
            <w:vAlign w:val="center"/>
            <w:hideMark/>
          </w:tcPr>
          <w:p w14:paraId="466BE9AD" w14:textId="77777777" w:rsidR="00377344" w:rsidRPr="00377344" w:rsidRDefault="00377344" w:rsidP="00377344">
            <w:pPr>
              <w:jc w:val="right"/>
              <w:rPr>
                <w:rFonts w:ascii="Arial Narrow" w:hAnsi="Arial Narrow" w:cs="Arial"/>
                <w:sz w:val="18"/>
                <w:szCs w:val="18"/>
              </w:rPr>
            </w:pPr>
            <w:r w:rsidRPr="00377344">
              <w:rPr>
                <w:rFonts w:ascii="Arial Narrow" w:hAnsi="Arial Narrow" w:cs="Arial"/>
                <w:sz w:val="18"/>
                <w:szCs w:val="18"/>
              </w:rPr>
              <w:t>7,0%</w:t>
            </w:r>
          </w:p>
        </w:tc>
        <w:tc>
          <w:tcPr>
            <w:tcW w:w="812" w:type="dxa"/>
            <w:tcBorders>
              <w:top w:val="nil"/>
              <w:left w:val="nil"/>
              <w:bottom w:val="single" w:sz="4" w:space="0" w:color="auto"/>
              <w:right w:val="single" w:sz="4" w:space="0" w:color="auto"/>
            </w:tcBorders>
            <w:shd w:val="clear" w:color="auto" w:fill="auto"/>
            <w:noWrap/>
            <w:vAlign w:val="center"/>
            <w:hideMark/>
          </w:tcPr>
          <w:p w14:paraId="34F073A1" w14:textId="77777777" w:rsidR="00377344" w:rsidRPr="00377344" w:rsidRDefault="00377344" w:rsidP="00377344">
            <w:pPr>
              <w:jc w:val="right"/>
              <w:rPr>
                <w:rFonts w:ascii="Arial Narrow" w:hAnsi="Arial Narrow" w:cs="Arial"/>
                <w:color w:val="000000"/>
                <w:sz w:val="18"/>
                <w:szCs w:val="18"/>
              </w:rPr>
            </w:pPr>
            <w:r w:rsidRPr="00377344">
              <w:rPr>
                <w:rFonts w:ascii="Arial Narrow" w:hAnsi="Arial Narrow" w:cs="Arial"/>
                <w:color w:val="000000"/>
                <w:sz w:val="18"/>
                <w:szCs w:val="18"/>
              </w:rPr>
              <w:t>-15,3%</w:t>
            </w:r>
          </w:p>
        </w:tc>
      </w:tr>
      <w:tr w:rsidR="00377344" w:rsidRPr="00377344" w14:paraId="35061415" w14:textId="77777777" w:rsidTr="008B7C13">
        <w:trPr>
          <w:trHeight w:val="270"/>
        </w:trPr>
        <w:tc>
          <w:tcPr>
            <w:tcW w:w="382" w:type="dxa"/>
            <w:tcBorders>
              <w:top w:val="nil"/>
              <w:left w:val="single" w:sz="4" w:space="0" w:color="auto"/>
              <w:bottom w:val="single" w:sz="4" w:space="0" w:color="auto"/>
              <w:right w:val="single" w:sz="4" w:space="0" w:color="auto"/>
            </w:tcBorders>
            <w:shd w:val="clear" w:color="000000" w:fill="FFFFFF"/>
            <w:noWrap/>
            <w:vAlign w:val="center"/>
            <w:hideMark/>
          </w:tcPr>
          <w:p w14:paraId="5791E278" w14:textId="77777777" w:rsidR="00377344" w:rsidRPr="00377344" w:rsidRDefault="00377344" w:rsidP="00377344">
            <w:pPr>
              <w:jc w:val="center"/>
              <w:rPr>
                <w:rFonts w:ascii="Arial Narrow" w:hAnsi="Arial Narrow" w:cs="Arial"/>
                <w:sz w:val="18"/>
                <w:szCs w:val="18"/>
              </w:rPr>
            </w:pPr>
            <w:r w:rsidRPr="00377344">
              <w:rPr>
                <w:rFonts w:ascii="Arial Narrow" w:hAnsi="Arial Narrow" w:cs="Arial"/>
                <w:sz w:val="18"/>
                <w:szCs w:val="18"/>
              </w:rPr>
              <w:t>24</w:t>
            </w:r>
          </w:p>
        </w:tc>
        <w:tc>
          <w:tcPr>
            <w:tcW w:w="5120" w:type="dxa"/>
            <w:tcBorders>
              <w:top w:val="nil"/>
              <w:left w:val="nil"/>
              <w:bottom w:val="single" w:sz="4" w:space="0" w:color="auto"/>
              <w:right w:val="single" w:sz="4" w:space="0" w:color="auto"/>
            </w:tcBorders>
            <w:shd w:val="clear" w:color="000000" w:fill="FFFFFF"/>
            <w:vAlign w:val="center"/>
            <w:hideMark/>
          </w:tcPr>
          <w:p w14:paraId="12AA0B89" w14:textId="77777777" w:rsidR="00377344" w:rsidRPr="00377344" w:rsidRDefault="00377344" w:rsidP="00377344">
            <w:pPr>
              <w:rPr>
                <w:rFonts w:ascii="Arial Narrow" w:hAnsi="Arial Narrow" w:cs="Arial"/>
                <w:sz w:val="18"/>
                <w:szCs w:val="18"/>
              </w:rPr>
            </w:pPr>
            <w:r w:rsidRPr="00377344">
              <w:rPr>
                <w:rFonts w:ascii="Arial Narrow" w:hAnsi="Arial Narrow" w:cs="Arial"/>
                <w:sz w:val="18"/>
                <w:szCs w:val="18"/>
              </w:rPr>
              <w:t>Тютюн и обработени заместители на тютюна</w:t>
            </w:r>
          </w:p>
        </w:tc>
        <w:tc>
          <w:tcPr>
            <w:tcW w:w="920" w:type="dxa"/>
            <w:tcBorders>
              <w:top w:val="nil"/>
              <w:left w:val="nil"/>
              <w:bottom w:val="single" w:sz="4" w:space="0" w:color="auto"/>
              <w:right w:val="single" w:sz="4" w:space="0" w:color="auto"/>
            </w:tcBorders>
            <w:shd w:val="clear" w:color="000000" w:fill="FFFFFF"/>
            <w:noWrap/>
            <w:vAlign w:val="center"/>
            <w:hideMark/>
          </w:tcPr>
          <w:p w14:paraId="20893680" w14:textId="77777777" w:rsidR="00377344" w:rsidRPr="00377344" w:rsidRDefault="00377344" w:rsidP="00377344">
            <w:pPr>
              <w:jc w:val="right"/>
              <w:rPr>
                <w:rFonts w:ascii="Arial Narrow" w:hAnsi="Arial Narrow" w:cs="Arial"/>
                <w:sz w:val="18"/>
                <w:szCs w:val="18"/>
              </w:rPr>
            </w:pPr>
            <w:r w:rsidRPr="00377344">
              <w:rPr>
                <w:rFonts w:ascii="Arial Narrow" w:hAnsi="Arial Narrow" w:cs="Arial"/>
                <w:sz w:val="18"/>
                <w:szCs w:val="18"/>
              </w:rPr>
              <w:t>230 121</w:t>
            </w:r>
          </w:p>
        </w:tc>
        <w:tc>
          <w:tcPr>
            <w:tcW w:w="811" w:type="dxa"/>
            <w:tcBorders>
              <w:top w:val="nil"/>
              <w:left w:val="nil"/>
              <w:bottom w:val="single" w:sz="4" w:space="0" w:color="auto"/>
              <w:right w:val="single" w:sz="4" w:space="0" w:color="auto"/>
            </w:tcBorders>
            <w:shd w:val="clear" w:color="000000" w:fill="FFFFFF"/>
            <w:vAlign w:val="center"/>
            <w:hideMark/>
          </w:tcPr>
          <w:p w14:paraId="4AFC9B06" w14:textId="77777777" w:rsidR="00377344" w:rsidRPr="00377344" w:rsidRDefault="00377344" w:rsidP="00377344">
            <w:pPr>
              <w:jc w:val="right"/>
              <w:rPr>
                <w:rFonts w:ascii="Arial Narrow" w:hAnsi="Arial Narrow" w:cs="Arial"/>
                <w:sz w:val="18"/>
                <w:szCs w:val="18"/>
              </w:rPr>
            </w:pPr>
            <w:r w:rsidRPr="00377344">
              <w:rPr>
                <w:rFonts w:ascii="Arial Narrow" w:hAnsi="Arial Narrow" w:cs="Arial"/>
                <w:sz w:val="18"/>
                <w:szCs w:val="18"/>
              </w:rPr>
              <w:t>2,9%</w:t>
            </w:r>
          </w:p>
        </w:tc>
        <w:tc>
          <w:tcPr>
            <w:tcW w:w="920" w:type="dxa"/>
            <w:tcBorders>
              <w:top w:val="nil"/>
              <w:left w:val="nil"/>
              <w:bottom w:val="single" w:sz="4" w:space="0" w:color="auto"/>
              <w:right w:val="single" w:sz="4" w:space="0" w:color="auto"/>
            </w:tcBorders>
            <w:shd w:val="clear" w:color="000000" w:fill="FFFFFF"/>
            <w:noWrap/>
            <w:vAlign w:val="center"/>
            <w:hideMark/>
          </w:tcPr>
          <w:p w14:paraId="57D41CCE" w14:textId="77777777" w:rsidR="00377344" w:rsidRPr="00377344" w:rsidRDefault="00377344" w:rsidP="00377344">
            <w:pPr>
              <w:jc w:val="right"/>
              <w:rPr>
                <w:rFonts w:ascii="Arial Narrow" w:hAnsi="Arial Narrow" w:cs="Arial"/>
                <w:sz w:val="18"/>
                <w:szCs w:val="18"/>
              </w:rPr>
            </w:pPr>
            <w:r w:rsidRPr="00377344">
              <w:rPr>
                <w:rFonts w:ascii="Arial Narrow" w:hAnsi="Arial Narrow" w:cs="Arial"/>
                <w:sz w:val="18"/>
                <w:szCs w:val="18"/>
              </w:rPr>
              <w:t>232 548</w:t>
            </w:r>
          </w:p>
        </w:tc>
        <w:tc>
          <w:tcPr>
            <w:tcW w:w="811" w:type="dxa"/>
            <w:tcBorders>
              <w:top w:val="nil"/>
              <w:left w:val="nil"/>
              <w:bottom w:val="single" w:sz="4" w:space="0" w:color="auto"/>
              <w:right w:val="single" w:sz="4" w:space="0" w:color="auto"/>
            </w:tcBorders>
            <w:shd w:val="clear" w:color="000000" w:fill="FFFFFF"/>
            <w:vAlign w:val="center"/>
            <w:hideMark/>
          </w:tcPr>
          <w:p w14:paraId="7F61ECB0" w14:textId="77777777" w:rsidR="00377344" w:rsidRPr="00377344" w:rsidRDefault="00377344" w:rsidP="00377344">
            <w:pPr>
              <w:jc w:val="right"/>
              <w:rPr>
                <w:rFonts w:ascii="Arial Narrow" w:hAnsi="Arial Narrow" w:cs="Arial"/>
                <w:sz w:val="18"/>
                <w:szCs w:val="18"/>
              </w:rPr>
            </w:pPr>
            <w:r w:rsidRPr="00377344">
              <w:rPr>
                <w:rFonts w:ascii="Arial Narrow" w:hAnsi="Arial Narrow" w:cs="Arial"/>
                <w:sz w:val="18"/>
                <w:szCs w:val="18"/>
              </w:rPr>
              <w:t>3,5%</w:t>
            </w:r>
          </w:p>
        </w:tc>
        <w:tc>
          <w:tcPr>
            <w:tcW w:w="812" w:type="dxa"/>
            <w:tcBorders>
              <w:top w:val="nil"/>
              <w:left w:val="nil"/>
              <w:bottom w:val="single" w:sz="4" w:space="0" w:color="auto"/>
              <w:right w:val="single" w:sz="4" w:space="0" w:color="auto"/>
            </w:tcBorders>
            <w:shd w:val="clear" w:color="auto" w:fill="auto"/>
            <w:noWrap/>
            <w:vAlign w:val="center"/>
            <w:hideMark/>
          </w:tcPr>
          <w:p w14:paraId="6AC224AE" w14:textId="77777777" w:rsidR="00377344" w:rsidRPr="00377344" w:rsidRDefault="00377344" w:rsidP="00377344">
            <w:pPr>
              <w:jc w:val="right"/>
              <w:rPr>
                <w:rFonts w:ascii="Arial Narrow" w:hAnsi="Arial Narrow" w:cs="Arial"/>
                <w:color w:val="000000"/>
                <w:sz w:val="18"/>
                <w:szCs w:val="18"/>
              </w:rPr>
            </w:pPr>
            <w:r w:rsidRPr="00377344">
              <w:rPr>
                <w:rFonts w:ascii="Arial Narrow" w:hAnsi="Arial Narrow" w:cs="Arial"/>
                <w:color w:val="000000"/>
                <w:sz w:val="18"/>
                <w:szCs w:val="18"/>
              </w:rPr>
              <w:t>1,1%</w:t>
            </w:r>
          </w:p>
        </w:tc>
      </w:tr>
    </w:tbl>
    <w:p w14:paraId="453D408C" w14:textId="77777777" w:rsidR="004605ED" w:rsidRPr="004605ED" w:rsidRDefault="004605ED" w:rsidP="004605ED">
      <w:pPr>
        <w:spacing w:after="240"/>
        <w:rPr>
          <w:rFonts w:ascii="Arial Narrow" w:eastAsia="Calibri" w:hAnsi="Arial Narrow" w:cs="Arial Narrow"/>
          <w:i/>
          <w:sz w:val="18"/>
          <w:szCs w:val="18"/>
          <w:lang w:val="bg-BG"/>
        </w:rPr>
      </w:pPr>
      <w:r w:rsidRPr="004605ED">
        <w:rPr>
          <w:rFonts w:ascii="Arial Narrow" w:eastAsia="Calibri" w:hAnsi="Arial Narrow" w:cs="Arial Narrow"/>
          <w:i/>
          <w:sz w:val="18"/>
          <w:szCs w:val="18"/>
          <w:lang w:val="bg-BG"/>
        </w:rPr>
        <w:t>Източник:</w:t>
      </w:r>
      <w:r w:rsidRPr="004605ED">
        <w:rPr>
          <w:rFonts w:ascii="Arial Narrow" w:eastAsia="Calibri" w:hAnsi="Arial Narrow" w:cs="Arial Narrow"/>
          <w:b/>
          <w:i/>
          <w:sz w:val="18"/>
          <w:szCs w:val="18"/>
          <w:lang w:val="bg-BG"/>
        </w:rPr>
        <w:t xml:space="preserve"> </w:t>
      </w:r>
      <w:r w:rsidRPr="004605ED">
        <w:rPr>
          <w:rFonts w:ascii="Arial Narrow" w:eastAsia="Calibri" w:hAnsi="Arial Narrow" w:cs="Arial Narrow"/>
          <w:sz w:val="18"/>
          <w:szCs w:val="18"/>
          <w:lang w:val="bg-BG"/>
        </w:rPr>
        <w:t>НСИ и изчисления на МЗХ.</w:t>
      </w:r>
    </w:p>
    <w:p w14:paraId="59E2094F" w14:textId="77777777" w:rsidR="004605ED" w:rsidRPr="004605ED" w:rsidRDefault="004605ED" w:rsidP="004605ED">
      <w:pPr>
        <w:spacing w:before="240" w:after="120"/>
        <w:ind w:firstLine="720"/>
        <w:jc w:val="both"/>
        <w:rPr>
          <w:rFonts w:ascii="Arial Narrow" w:hAnsi="Arial Narrow"/>
          <w:color w:val="FF0000"/>
          <w:lang w:val="bg-BG"/>
        </w:rPr>
      </w:pPr>
      <w:r w:rsidRPr="004605ED">
        <w:rPr>
          <w:rFonts w:ascii="Arial Narrow" w:hAnsi="Arial Narrow"/>
          <w:color w:val="000000"/>
          <w:lang w:val="bg-BG"/>
        </w:rPr>
        <w:t>Намалението на общия експорт на селскостопански стоки през 2024 г. е свързано най-вече със значителния спад при пшеницата (с 484,4 млн. евро или 31,0%), слънчогледовото масло (с 247,6 млн. евро или 31,0%), слънчогледа (с 227,2 млн. евро или 32,7%) и царевицата (със 169,5 млн. евро или 48,0%). Съществено по-малка е и стойността на изнесените кюспета и други твърди остатъци (със 76,6 млн. евро или 30,0%), птиче месо (с 62,2 млн. евро или 29,8%), захар (с 36,0 млн. евро или 22,7%) и едър рогат добитък (с 16,7 млн. евро или 9,3%). Това е само частично компенсирано от нарастване на износа на някои други продукти като какаово масло, шоколадови изделия, ечемик, хлебарски, тестени сладкарски или бисквитени продукти, препарати, използвани за храна на животни, кафе и др.</w:t>
      </w:r>
    </w:p>
    <w:p w14:paraId="4F8BFC5B" w14:textId="77777777" w:rsidR="004605ED" w:rsidRPr="004605ED" w:rsidRDefault="004605ED" w:rsidP="004605ED">
      <w:pPr>
        <w:spacing w:before="240" w:after="120" w:line="264" w:lineRule="auto"/>
        <w:jc w:val="both"/>
        <w:rPr>
          <w:rFonts w:ascii="Arial Narrow" w:hAnsi="Arial Narrow"/>
          <w:b/>
          <w:bCs/>
          <w:lang w:val="bg-BG"/>
        </w:rPr>
      </w:pPr>
      <w:r w:rsidRPr="004605ED">
        <w:rPr>
          <w:rFonts w:ascii="Arial Narrow" w:hAnsi="Arial Narrow" w:cs="Arial Narrow"/>
          <w:b/>
          <w:bCs/>
          <w:lang w:val="bg-BG"/>
        </w:rPr>
        <w:t xml:space="preserve">Таблица III.5. </w:t>
      </w:r>
      <w:r w:rsidRPr="004605ED">
        <w:rPr>
          <w:rFonts w:ascii="Arial Narrow" w:hAnsi="Arial Narrow"/>
          <w:b/>
          <w:bCs/>
          <w:lang w:val="bg-BG"/>
        </w:rPr>
        <w:t>Водещи продукти в аграрния износ от България (хил. евро)</w:t>
      </w:r>
    </w:p>
    <w:tbl>
      <w:tblPr>
        <w:tblW w:w="9793" w:type="dxa"/>
        <w:tblInd w:w="93" w:type="dxa"/>
        <w:tblLook w:val="04A0" w:firstRow="1" w:lastRow="0" w:firstColumn="1" w:lastColumn="0" w:noHBand="0" w:noVBand="1"/>
      </w:tblPr>
      <w:tblGrid>
        <w:gridCol w:w="3061"/>
        <w:gridCol w:w="1181"/>
        <w:gridCol w:w="1069"/>
        <w:gridCol w:w="1181"/>
        <w:gridCol w:w="1069"/>
        <w:gridCol w:w="1181"/>
        <w:gridCol w:w="1051"/>
      </w:tblGrid>
      <w:tr w:rsidR="004605ED" w:rsidRPr="004605ED" w14:paraId="7465663F" w14:textId="77777777" w:rsidTr="004605ED">
        <w:trPr>
          <w:trHeight w:val="466"/>
          <w:tblHeader/>
        </w:trPr>
        <w:tc>
          <w:tcPr>
            <w:tcW w:w="321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485D1509" w14:textId="77777777" w:rsidR="004605ED" w:rsidRPr="004605ED" w:rsidRDefault="004605ED" w:rsidP="004605ED">
            <w:pPr>
              <w:rPr>
                <w:rFonts w:ascii="Arial Narrow" w:hAnsi="Arial Narrow" w:cs="Arial"/>
                <w:b/>
                <w:bCs/>
                <w:sz w:val="20"/>
                <w:szCs w:val="20"/>
              </w:rPr>
            </w:pPr>
            <w:r w:rsidRPr="004605ED">
              <w:rPr>
                <w:rFonts w:ascii="Arial Narrow" w:hAnsi="Arial Narrow" w:cs="Arial"/>
                <w:b/>
                <w:bCs/>
                <w:sz w:val="20"/>
                <w:szCs w:val="20"/>
              </w:rPr>
              <w:t> </w:t>
            </w:r>
          </w:p>
        </w:tc>
        <w:tc>
          <w:tcPr>
            <w:tcW w:w="2196" w:type="dxa"/>
            <w:gridSpan w:val="2"/>
            <w:tcBorders>
              <w:top w:val="single" w:sz="4" w:space="0" w:color="auto"/>
              <w:left w:val="nil"/>
              <w:bottom w:val="single" w:sz="4" w:space="0" w:color="auto"/>
              <w:right w:val="single" w:sz="4" w:space="0" w:color="auto"/>
            </w:tcBorders>
            <w:shd w:val="clear" w:color="000000" w:fill="FFFFFF"/>
            <w:vAlign w:val="center"/>
            <w:hideMark/>
          </w:tcPr>
          <w:p w14:paraId="35FCDC47" w14:textId="77777777" w:rsidR="004605ED" w:rsidRPr="004605ED" w:rsidRDefault="004605ED" w:rsidP="004605ED">
            <w:pPr>
              <w:jc w:val="center"/>
              <w:rPr>
                <w:rFonts w:ascii="Arial Narrow" w:hAnsi="Arial Narrow" w:cs="Arial"/>
                <w:b/>
                <w:bCs/>
                <w:sz w:val="20"/>
                <w:szCs w:val="20"/>
              </w:rPr>
            </w:pPr>
            <w:r w:rsidRPr="004605ED">
              <w:rPr>
                <w:rFonts w:ascii="Arial Narrow" w:hAnsi="Arial Narrow" w:cs="Arial"/>
                <w:b/>
                <w:bCs/>
                <w:sz w:val="20"/>
                <w:szCs w:val="20"/>
              </w:rPr>
              <w:t>2023</w:t>
            </w:r>
          </w:p>
        </w:tc>
        <w:tc>
          <w:tcPr>
            <w:tcW w:w="2196" w:type="dxa"/>
            <w:gridSpan w:val="2"/>
            <w:tcBorders>
              <w:top w:val="single" w:sz="4" w:space="0" w:color="auto"/>
              <w:left w:val="nil"/>
              <w:bottom w:val="single" w:sz="4" w:space="0" w:color="auto"/>
              <w:right w:val="single" w:sz="4" w:space="0" w:color="auto"/>
            </w:tcBorders>
            <w:shd w:val="clear" w:color="000000" w:fill="FFFFFF"/>
            <w:vAlign w:val="center"/>
            <w:hideMark/>
          </w:tcPr>
          <w:p w14:paraId="409B59BF" w14:textId="77777777" w:rsidR="004605ED" w:rsidRPr="004605ED" w:rsidRDefault="004605ED" w:rsidP="004605ED">
            <w:pPr>
              <w:jc w:val="center"/>
              <w:rPr>
                <w:rFonts w:ascii="Arial Narrow" w:hAnsi="Arial Narrow" w:cs="Arial"/>
                <w:b/>
                <w:bCs/>
                <w:sz w:val="20"/>
                <w:szCs w:val="20"/>
              </w:rPr>
            </w:pPr>
            <w:r w:rsidRPr="004605ED">
              <w:rPr>
                <w:rFonts w:ascii="Arial Narrow" w:hAnsi="Arial Narrow" w:cs="Arial"/>
                <w:b/>
                <w:bCs/>
                <w:sz w:val="20"/>
                <w:szCs w:val="20"/>
              </w:rPr>
              <w:t>2024</w:t>
            </w:r>
          </w:p>
        </w:tc>
        <w:tc>
          <w:tcPr>
            <w:tcW w:w="2185" w:type="dxa"/>
            <w:gridSpan w:val="2"/>
            <w:tcBorders>
              <w:top w:val="single" w:sz="4" w:space="0" w:color="auto"/>
              <w:left w:val="nil"/>
              <w:bottom w:val="single" w:sz="4" w:space="0" w:color="auto"/>
              <w:right w:val="single" w:sz="4" w:space="0" w:color="auto"/>
            </w:tcBorders>
            <w:shd w:val="clear" w:color="000000" w:fill="FFFFFF"/>
            <w:vAlign w:val="center"/>
            <w:hideMark/>
          </w:tcPr>
          <w:p w14:paraId="22CED8F1" w14:textId="77777777" w:rsidR="004605ED" w:rsidRPr="004605ED" w:rsidRDefault="004605ED" w:rsidP="004605ED">
            <w:pPr>
              <w:jc w:val="center"/>
              <w:rPr>
                <w:rFonts w:ascii="Arial Narrow" w:hAnsi="Arial Narrow" w:cs="Arial"/>
                <w:b/>
                <w:bCs/>
                <w:sz w:val="20"/>
                <w:szCs w:val="20"/>
              </w:rPr>
            </w:pPr>
            <w:r w:rsidRPr="004605ED">
              <w:rPr>
                <w:rFonts w:ascii="Arial Narrow" w:hAnsi="Arial Narrow" w:cs="Arial"/>
                <w:b/>
                <w:bCs/>
                <w:sz w:val="20"/>
                <w:szCs w:val="20"/>
              </w:rPr>
              <w:t>Изм. 2024/2023</w:t>
            </w:r>
          </w:p>
        </w:tc>
      </w:tr>
      <w:tr w:rsidR="004605ED" w:rsidRPr="004605ED" w14:paraId="39B6F1E3" w14:textId="77777777" w:rsidTr="004605ED">
        <w:trPr>
          <w:trHeight w:val="840"/>
          <w:tblHeader/>
        </w:trPr>
        <w:tc>
          <w:tcPr>
            <w:tcW w:w="3216" w:type="dxa"/>
            <w:vMerge/>
            <w:tcBorders>
              <w:top w:val="single" w:sz="4" w:space="0" w:color="auto"/>
              <w:left w:val="single" w:sz="4" w:space="0" w:color="auto"/>
              <w:bottom w:val="single" w:sz="4" w:space="0" w:color="auto"/>
              <w:right w:val="single" w:sz="4" w:space="0" w:color="auto"/>
            </w:tcBorders>
            <w:vAlign w:val="center"/>
            <w:hideMark/>
          </w:tcPr>
          <w:p w14:paraId="711070C6" w14:textId="77777777" w:rsidR="004605ED" w:rsidRPr="004605ED" w:rsidRDefault="004605ED" w:rsidP="004605ED">
            <w:pPr>
              <w:rPr>
                <w:rFonts w:ascii="Arial Narrow" w:hAnsi="Arial Narrow" w:cs="Arial"/>
                <w:b/>
                <w:bCs/>
                <w:sz w:val="20"/>
                <w:szCs w:val="20"/>
              </w:rPr>
            </w:pPr>
          </w:p>
        </w:tc>
        <w:tc>
          <w:tcPr>
            <w:tcW w:w="1127" w:type="dxa"/>
            <w:tcBorders>
              <w:top w:val="nil"/>
              <w:left w:val="nil"/>
              <w:bottom w:val="single" w:sz="4" w:space="0" w:color="auto"/>
              <w:right w:val="single" w:sz="4" w:space="0" w:color="auto"/>
            </w:tcBorders>
            <w:shd w:val="clear" w:color="000000" w:fill="FFFFFF"/>
            <w:vAlign w:val="center"/>
            <w:hideMark/>
          </w:tcPr>
          <w:p w14:paraId="1EC35FBB" w14:textId="77777777" w:rsidR="004605ED" w:rsidRPr="004605ED" w:rsidRDefault="004605ED" w:rsidP="004605ED">
            <w:pPr>
              <w:jc w:val="center"/>
              <w:rPr>
                <w:rFonts w:ascii="Arial Narrow" w:hAnsi="Arial Narrow" w:cs="Arial"/>
                <w:b/>
                <w:bCs/>
                <w:color w:val="000000"/>
                <w:sz w:val="20"/>
                <w:szCs w:val="20"/>
              </w:rPr>
            </w:pPr>
            <w:r w:rsidRPr="004605ED">
              <w:rPr>
                <w:rFonts w:ascii="Arial Narrow" w:hAnsi="Arial Narrow" w:cs="Arial"/>
                <w:b/>
                <w:bCs/>
                <w:color w:val="000000"/>
                <w:sz w:val="20"/>
                <w:szCs w:val="20"/>
              </w:rPr>
              <w:t>Количество (тона)</w:t>
            </w:r>
          </w:p>
        </w:tc>
        <w:tc>
          <w:tcPr>
            <w:tcW w:w="1069" w:type="dxa"/>
            <w:tcBorders>
              <w:top w:val="nil"/>
              <w:left w:val="nil"/>
              <w:bottom w:val="single" w:sz="4" w:space="0" w:color="auto"/>
              <w:right w:val="single" w:sz="4" w:space="0" w:color="auto"/>
            </w:tcBorders>
            <w:shd w:val="clear" w:color="000000" w:fill="FFFFFF"/>
            <w:vAlign w:val="center"/>
            <w:hideMark/>
          </w:tcPr>
          <w:p w14:paraId="483C4FE4" w14:textId="77777777" w:rsidR="004605ED" w:rsidRPr="004605ED" w:rsidRDefault="004605ED" w:rsidP="004605ED">
            <w:pPr>
              <w:jc w:val="center"/>
              <w:rPr>
                <w:rFonts w:ascii="Arial Narrow" w:hAnsi="Arial Narrow" w:cs="Arial"/>
                <w:b/>
                <w:bCs/>
                <w:color w:val="000000"/>
                <w:sz w:val="20"/>
                <w:szCs w:val="20"/>
              </w:rPr>
            </w:pPr>
            <w:r w:rsidRPr="004605ED">
              <w:rPr>
                <w:rFonts w:ascii="Arial Narrow" w:hAnsi="Arial Narrow" w:cs="Arial"/>
                <w:b/>
                <w:bCs/>
                <w:color w:val="000000"/>
                <w:sz w:val="20"/>
                <w:szCs w:val="20"/>
              </w:rPr>
              <w:t>Стойност (хил. евро)</w:t>
            </w:r>
          </w:p>
        </w:tc>
        <w:tc>
          <w:tcPr>
            <w:tcW w:w="1127" w:type="dxa"/>
            <w:tcBorders>
              <w:top w:val="nil"/>
              <w:left w:val="nil"/>
              <w:bottom w:val="single" w:sz="4" w:space="0" w:color="auto"/>
              <w:right w:val="single" w:sz="4" w:space="0" w:color="auto"/>
            </w:tcBorders>
            <w:shd w:val="clear" w:color="000000" w:fill="FFFFFF"/>
            <w:vAlign w:val="center"/>
            <w:hideMark/>
          </w:tcPr>
          <w:p w14:paraId="4CD1B831" w14:textId="77777777" w:rsidR="004605ED" w:rsidRPr="004605ED" w:rsidRDefault="004605ED" w:rsidP="004605ED">
            <w:pPr>
              <w:jc w:val="center"/>
              <w:rPr>
                <w:rFonts w:ascii="Arial Narrow" w:hAnsi="Arial Narrow" w:cs="Arial"/>
                <w:b/>
                <w:bCs/>
                <w:color w:val="000000"/>
                <w:sz w:val="20"/>
                <w:szCs w:val="20"/>
              </w:rPr>
            </w:pPr>
            <w:r w:rsidRPr="004605ED">
              <w:rPr>
                <w:rFonts w:ascii="Arial Narrow" w:hAnsi="Arial Narrow" w:cs="Arial"/>
                <w:b/>
                <w:bCs/>
                <w:color w:val="000000"/>
                <w:sz w:val="20"/>
                <w:szCs w:val="20"/>
              </w:rPr>
              <w:t>Количество (тона)</w:t>
            </w:r>
          </w:p>
        </w:tc>
        <w:tc>
          <w:tcPr>
            <w:tcW w:w="1069" w:type="dxa"/>
            <w:tcBorders>
              <w:top w:val="nil"/>
              <w:left w:val="nil"/>
              <w:bottom w:val="single" w:sz="4" w:space="0" w:color="auto"/>
              <w:right w:val="single" w:sz="4" w:space="0" w:color="auto"/>
            </w:tcBorders>
            <w:shd w:val="clear" w:color="000000" w:fill="FFFFFF"/>
            <w:vAlign w:val="center"/>
            <w:hideMark/>
          </w:tcPr>
          <w:p w14:paraId="24940BE4" w14:textId="77777777" w:rsidR="004605ED" w:rsidRPr="004605ED" w:rsidRDefault="004605ED" w:rsidP="004605ED">
            <w:pPr>
              <w:jc w:val="center"/>
              <w:rPr>
                <w:rFonts w:ascii="Arial Narrow" w:hAnsi="Arial Narrow" w:cs="Arial"/>
                <w:b/>
                <w:bCs/>
                <w:color w:val="000000"/>
                <w:sz w:val="20"/>
                <w:szCs w:val="20"/>
              </w:rPr>
            </w:pPr>
            <w:r w:rsidRPr="004605ED">
              <w:rPr>
                <w:rFonts w:ascii="Arial Narrow" w:hAnsi="Arial Narrow" w:cs="Arial"/>
                <w:b/>
                <w:bCs/>
                <w:color w:val="000000"/>
                <w:sz w:val="20"/>
                <w:szCs w:val="20"/>
              </w:rPr>
              <w:t>Стойност (хил. евро)</w:t>
            </w:r>
          </w:p>
        </w:tc>
        <w:tc>
          <w:tcPr>
            <w:tcW w:w="1127" w:type="dxa"/>
            <w:tcBorders>
              <w:top w:val="nil"/>
              <w:left w:val="nil"/>
              <w:bottom w:val="single" w:sz="4" w:space="0" w:color="auto"/>
              <w:right w:val="single" w:sz="4" w:space="0" w:color="auto"/>
            </w:tcBorders>
            <w:shd w:val="clear" w:color="000000" w:fill="FFFFFF"/>
            <w:vAlign w:val="center"/>
            <w:hideMark/>
          </w:tcPr>
          <w:p w14:paraId="5E98E65E" w14:textId="77777777" w:rsidR="004605ED" w:rsidRPr="004605ED" w:rsidRDefault="004605ED" w:rsidP="004605ED">
            <w:pPr>
              <w:jc w:val="center"/>
              <w:rPr>
                <w:rFonts w:ascii="Arial Narrow" w:hAnsi="Arial Narrow" w:cs="Arial"/>
                <w:b/>
                <w:bCs/>
                <w:color w:val="000000"/>
                <w:sz w:val="20"/>
                <w:szCs w:val="20"/>
              </w:rPr>
            </w:pPr>
            <w:r w:rsidRPr="004605ED">
              <w:rPr>
                <w:rFonts w:ascii="Arial Narrow" w:hAnsi="Arial Narrow" w:cs="Arial"/>
                <w:b/>
                <w:bCs/>
                <w:color w:val="000000"/>
                <w:sz w:val="20"/>
                <w:szCs w:val="20"/>
              </w:rPr>
              <w:t xml:space="preserve">Количество </w:t>
            </w:r>
          </w:p>
        </w:tc>
        <w:tc>
          <w:tcPr>
            <w:tcW w:w="1057" w:type="dxa"/>
            <w:tcBorders>
              <w:top w:val="nil"/>
              <w:left w:val="nil"/>
              <w:bottom w:val="single" w:sz="4" w:space="0" w:color="auto"/>
              <w:right w:val="single" w:sz="4" w:space="0" w:color="auto"/>
            </w:tcBorders>
            <w:shd w:val="clear" w:color="000000" w:fill="FFFFFF"/>
            <w:vAlign w:val="center"/>
            <w:hideMark/>
          </w:tcPr>
          <w:p w14:paraId="2ACA9B5C" w14:textId="77777777" w:rsidR="004605ED" w:rsidRPr="004605ED" w:rsidRDefault="004605ED" w:rsidP="004605ED">
            <w:pPr>
              <w:jc w:val="center"/>
              <w:rPr>
                <w:rFonts w:ascii="Arial Narrow" w:hAnsi="Arial Narrow" w:cs="Arial"/>
                <w:b/>
                <w:bCs/>
                <w:color w:val="000000"/>
                <w:sz w:val="20"/>
                <w:szCs w:val="20"/>
              </w:rPr>
            </w:pPr>
            <w:r w:rsidRPr="004605ED">
              <w:rPr>
                <w:rFonts w:ascii="Arial Narrow" w:hAnsi="Arial Narrow" w:cs="Arial"/>
                <w:b/>
                <w:bCs/>
                <w:color w:val="000000"/>
                <w:sz w:val="20"/>
                <w:szCs w:val="20"/>
              </w:rPr>
              <w:t>Стойност</w:t>
            </w:r>
          </w:p>
        </w:tc>
      </w:tr>
      <w:tr w:rsidR="004605ED" w:rsidRPr="004605ED" w14:paraId="61429576" w14:textId="77777777" w:rsidTr="004605ED">
        <w:trPr>
          <w:trHeight w:val="238"/>
        </w:trPr>
        <w:tc>
          <w:tcPr>
            <w:tcW w:w="3216" w:type="dxa"/>
            <w:tcBorders>
              <w:top w:val="nil"/>
              <w:left w:val="single" w:sz="4" w:space="0" w:color="auto"/>
              <w:bottom w:val="single" w:sz="4" w:space="0" w:color="auto"/>
              <w:right w:val="single" w:sz="4" w:space="0" w:color="auto"/>
            </w:tcBorders>
            <w:shd w:val="clear" w:color="000000" w:fill="FFFFFF"/>
            <w:vAlign w:val="center"/>
            <w:hideMark/>
          </w:tcPr>
          <w:p w14:paraId="3A6A66A9" w14:textId="77777777" w:rsidR="004605ED" w:rsidRPr="004605ED" w:rsidRDefault="004605ED" w:rsidP="004605ED">
            <w:pPr>
              <w:rPr>
                <w:rFonts w:ascii="Arial Narrow" w:hAnsi="Arial Narrow" w:cs="Arial"/>
                <w:sz w:val="20"/>
                <w:szCs w:val="20"/>
              </w:rPr>
            </w:pPr>
            <w:r w:rsidRPr="004605ED">
              <w:rPr>
                <w:rFonts w:ascii="Arial Narrow" w:hAnsi="Arial Narrow" w:cs="Arial"/>
                <w:sz w:val="20"/>
                <w:szCs w:val="20"/>
              </w:rPr>
              <w:t>Пшеница и смес от пшеница и ръж</w:t>
            </w:r>
          </w:p>
        </w:tc>
        <w:tc>
          <w:tcPr>
            <w:tcW w:w="1127" w:type="dxa"/>
            <w:tcBorders>
              <w:top w:val="nil"/>
              <w:left w:val="nil"/>
              <w:bottom w:val="single" w:sz="4" w:space="0" w:color="auto"/>
              <w:right w:val="single" w:sz="4" w:space="0" w:color="auto"/>
            </w:tcBorders>
            <w:shd w:val="clear" w:color="000000" w:fill="FFFFFF"/>
            <w:noWrap/>
            <w:vAlign w:val="center"/>
            <w:hideMark/>
          </w:tcPr>
          <w:p w14:paraId="1EF12907" w14:textId="77777777" w:rsidR="004605ED" w:rsidRPr="004605ED" w:rsidRDefault="004605ED" w:rsidP="004605ED">
            <w:pPr>
              <w:jc w:val="right"/>
              <w:rPr>
                <w:rFonts w:ascii="Arial Narrow" w:hAnsi="Arial Narrow" w:cs="Arial"/>
                <w:sz w:val="20"/>
                <w:szCs w:val="20"/>
              </w:rPr>
            </w:pPr>
            <w:r w:rsidRPr="004605ED">
              <w:rPr>
                <w:rFonts w:ascii="Arial Narrow" w:hAnsi="Arial Narrow" w:cs="Arial"/>
                <w:sz w:val="20"/>
                <w:szCs w:val="20"/>
              </w:rPr>
              <w:t>6 422 378</w:t>
            </w:r>
          </w:p>
        </w:tc>
        <w:tc>
          <w:tcPr>
            <w:tcW w:w="1069" w:type="dxa"/>
            <w:tcBorders>
              <w:top w:val="nil"/>
              <w:left w:val="nil"/>
              <w:bottom w:val="single" w:sz="4" w:space="0" w:color="auto"/>
              <w:right w:val="single" w:sz="4" w:space="0" w:color="auto"/>
            </w:tcBorders>
            <w:shd w:val="clear" w:color="000000" w:fill="FFFFFF"/>
            <w:noWrap/>
            <w:vAlign w:val="center"/>
            <w:hideMark/>
          </w:tcPr>
          <w:p w14:paraId="24BFBDE6" w14:textId="77777777" w:rsidR="004605ED" w:rsidRPr="004605ED" w:rsidRDefault="004605ED" w:rsidP="004605ED">
            <w:pPr>
              <w:jc w:val="right"/>
              <w:rPr>
                <w:rFonts w:ascii="Arial Narrow" w:hAnsi="Arial Narrow" w:cs="Arial"/>
                <w:sz w:val="20"/>
                <w:szCs w:val="20"/>
              </w:rPr>
            </w:pPr>
            <w:r w:rsidRPr="004605ED">
              <w:rPr>
                <w:rFonts w:ascii="Arial Narrow" w:hAnsi="Arial Narrow" w:cs="Arial"/>
                <w:sz w:val="20"/>
                <w:szCs w:val="20"/>
              </w:rPr>
              <w:t>1 564 501</w:t>
            </w:r>
          </w:p>
        </w:tc>
        <w:tc>
          <w:tcPr>
            <w:tcW w:w="1127" w:type="dxa"/>
            <w:tcBorders>
              <w:top w:val="nil"/>
              <w:left w:val="nil"/>
              <w:bottom w:val="single" w:sz="4" w:space="0" w:color="auto"/>
              <w:right w:val="single" w:sz="4" w:space="0" w:color="auto"/>
            </w:tcBorders>
            <w:shd w:val="clear" w:color="000000" w:fill="FFFFFF"/>
            <w:noWrap/>
            <w:vAlign w:val="center"/>
            <w:hideMark/>
          </w:tcPr>
          <w:p w14:paraId="6AE4D78D" w14:textId="77777777" w:rsidR="004605ED" w:rsidRPr="004605ED" w:rsidRDefault="004605ED" w:rsidP="004605ED">
            <w:pPr>
              <w:jc w:val="right"/>
              <w:rPr>
                <w:rFonts w:ascii="Arial Narrow" w:hAnsi="Arial Narrow" w:cs="Arial"/>
                <w:sz w:val="20"/>
                <w:szCs w:val="20"/>
              </w:rPr>
            </w:pPr>
            <w:r w:rsidRPr="004605ED">
              <w:rPr>
                <w:rFonts w:ascii="Arial Narrow" w:hAnsi="Arial Narrow" w:cs="Arial"/>
                <w:sz w:val="20"/>
                <w:szCs w:val="20"/>
              </w:rPr>
              <w:t>5 016 645</w:t>
            </w:r>
          </w:p>
        </w:tc>
        <w:tc>
          <w:tcPr>
            <w:tcW w:w="1069" w:type="dxa"/>
            <w:tcBorders>
              <w:top w:val="nil"/>
              <w:left w:val="nil"/>
              <w:bottom w:val="single" w:sz="4" w:space="0" w:color="auto"/>
              <w:right w:val="single" w:sz="4" w:space="0" w:color="auto"/>
            </w:tcBorders>
            <w:shd w:val="clear" w:color="000000" w:fill="FFFFFF"/>
            <w:noWrap/>
            <w:vAlign w:val="center"/>
            <w:hideMark/>
          </w:tcPr>
          <w:p w14:paraId="682E227F" w14:textId="77777777" w:rsidR="004605ED" w:rsidRPr="004605ED" w:rsidRDefault="004605ED" w:rsidP="004605ED">
            <w:pPr>
              <w:jc w:val="right"/>
              <w:rPr>
                <w:rFonts w:ascii="Arial Narrow" w:hAnsi="Arial Narrow" w:cs="Arial"/>
                <w:sz w:val="20"/>
                <w:szCs w:val="20"/>
              </w:rPr>
            </w:pPr>
            <w:r w:rsidRPr="004605ED">
              <w:rPr>
                <w:rFonts w:ascii="Arial Narrow" w:hAnsi="Arial Narrow" w:cs="Arial"/>
                <w:sz w:val="20"/>
                <w:szCs w:val="20"/>
              </w:rPr>
              <w:t>1 080 058</w:t>
            </w:r>
          </w:p>
        </w:tc>
        <w:tc>
          <w:tcPr>
            <w:tcW w:w="1127" w:type="dxa"/>
            <w:tcBorders>
              <w:top w:val="nil"/>
              <w:left w:val="nil"/>
              <w:bottom w:val="single" w:sz="4" w:space="0" w:color="auto"/>
              <w:right w:val="single" w:sz="4" w:space="0" w:color="auto"/>
            </w:tcBorders>
            <w:shd w:val="clear" w:color="000000" w:fill="FFFFFF"/>
            <w:vAlign w:val="center"/>
            <w:hideMark/>
          </w:tcPr>
          <w:p w14:paraId="4CEE6017" w14:textId="77777777" w:rsidR="004605ED" w:rsidRPr="004605ED" w:rsidRDefault="004605ED" w:rsidP="004605ED">
            <w:pPr>
              <w:jc w:val="right"/>
              <w:rPr>
                <w:rFonts w:ascii="Arial Narrow" w:hAnsi="Arial Narrow" w:cs="Arial"/>
                <w:sz w:val="20"/>
                <w:szCs w:val="20"/>
              </w:rPr>
            </w:pPr>
            <w:r w:rsidRPr="004605ED">
              <w:rPr>
                <w:rFonts w:ascii="Arial Narrow" w:hAnsi="Arial Narrow" w:cs="Arial"/>
                <w:sz w:val="20"/>
                <w:szCs w:val="20"/>
              </w:rPr>
              <w:t>-21,9%</w:t>
            </w:r>
          </w:p>
        </w:tc>
        <w:tc>
          <w:tcPr>
            <w:tcW w:w="1057" w:type="dxa"/>
            <w:tcBorders>
              <w:top w:val="nil"/>
              <w:left w:val="nil"/>
              <w:bottom w:val="single" w:sz="4" w:space="0" w:color="auto"/>
              <w:right w:val="single" w:sz="4" w:space="0" w:color="auto"/>
            </w:tcBorders>
            <w:shd w:val="clear" w:color="000000" w:fill="FFFFFF"/>
            <w:vAlign w:val="center"/>
            <w:hideMark/>
          </w:tcPr>
          <w:p w14:paraId="6FE93928" w14:textId="77777777" w:rsidR="004605ED" w:rsidRPr="004605ED" w:rsidRDefault="004605ED" w:rsidP="004605ED">
            <w:pPr>
              <w:jc w:val="right"/>
              <w:rPr>
                <w:rFonts w:ascii="Arial Narrow" w:hAnsi="Arial Narrow" w:cs="Arial"/>
                <w:sz w:val="20"/>
                <w:szCs w:val="20"/>
              </w:rPr>
            </w:pPr>
            <w:r w:rsidRPr="004605ED">
              <w:rPr>
                <w:rFonts w:ascii="Arial Narrow" w:hAnsi="Arial Narrow" w:cs="Arial"/>
                <w:sz w:val="20"/>
                <w:szCs w:val="20"/>
              </w:rPr>
              <w:t>-31,0%</w:t>
            </w:r>
          </w:p>
        </w:tc>
      </w:tr>
      <w:tr w:rsidR="004605ED" w:rsidRPr="004605ED" w14:paraId="79757441" w14:textId="77777777" w:rsidTr="004605ED">
        <w:trPr>
          <w:trHeight w:val="476"/>
        </w:trPr>
        <w:tc>
          <w:tcPr>
            <w:tcW w:w="3216" w:type="dxa"/>
            <w:tcBorders>
              <w:top w:val="nil"/>
              <w:left w:val="single" w:sz="4" w:space="0" w:color="auto"/>
              <w:bottom w:val="single" w:sz="4" w:space="0" w:color="auto"/>
              <w:right w:val="single" w:sz="4" w:space="0" w:color="auto"/>
            </w:tcBorders>
            <w:shd w:val="clear" w:color="000000" w:fill="FFFFFF"/>
            <w:vAlign w:val="center"/>
            <w:hideMark/>
          </w:tcPr>
          <w:p w14:paraId="526CB94A" w14:textId="77777777" w:rsidR="004605ED" w:rsidRPr="004605ED" w:rsidRDefault="004605ED" w:rsidP="004605ED">
            <w:pPr>
              <w:rPr>
                <w:rFonts w:ascii="Arial Narrow" w:hAnsi="Arial Narrow" w:cs="Arial"/>
                <w:sz w:val="20"/>
                <w:szCs w:val="20"/>
              </w:rPr>
            </w:pPr>
            <w:r w:rsidRPr="004605ED">
              <w:rPr>
                <w:rFonts w:ascii="Arial Narrow" w:hAnsi="Arial Narrow" w:cs="Arial"/>
                <w:sz w:val="20"/>
                <w:szCs w:val="20"/>
              </w:rPr>
              <w:t>Слънчогледово масло, памучно масло или масло от шафранка</w:t>
            </w:r>
          </w:p>
        </w:tc>
        <w:tc>
          <w:tcPr>
            <w:tcW w:w="1127" w:type="dxa"/>
            <w:tcBorders>
              <w:top w:val="nil"/>
              <w:left w:val="nil"/>
              <w:bottom w:val="single" w:sz="4" w:space="0" w:color="auto"/>
              <w:right w:val="single" w:sz="4" w:space="0" w:color="auto"/>
            </w:tcBorders>
            <w:shd w:val="clear" w:color="000000" w:fill="FFFFFF"/>
            <w:noWrap/>
            <w:vAlign w:val="center"/>
            <w:hideMark/>
          </w:tcPr>
          <w:p w14:paraId="300D3B87" w14:textId="77777777" w:rsidR="004605ED" w:rsidRPr="004605ED" w:rsidRDefault="004605ED" w:rsidP="004605ED">
            <w:pPr>
              <w:jc w:val="right"/>
              <w:rPr>
                <w:rFonts w:ascii="Arial Narrow" w:hAnsi="Arial Narrow" w:cs="Arial"/>
                <w:sz w:val="20"/>
                <w:szCs w:val="20"/>
              </w:rPr>
            </w:pPr>
            <w:r w:rsidRPr="004605ED">
              <w:rPr>
                <w:rFonts w:ascii="Arial Narrow" w:hAnsi="Arial Narrow" w:cs="Arial"/>
                <w:sz w:val="20"/>
                <w:szCs w:val="20"/>
              </w:rPr>
              <w:t>783 361</w:t>
            </w:r>
          </w:p>
        </w:tc>
        <w:tc>
          <w:tcPr>
            <w:tcW w:w="1069" w:type="dxa"/>
            <w:tcBorders>
              <w:top w:val="nil"/>
              <w:left w:val="nil"/>
              <w:bottom w:val="single" w:sz="4" w:space="0" w:color="auto"/>
              <w:right w:val="single" w:sz="4" w:space="0" w:color="auto"/>
            </w:tcBorders>
            <w:shd w:val="clear" w:color="000000" w:fill="FFFFFF"/>
            <w:noWrap/>
            <w:vAlign w:val="center"/>
            <w:hideMark/>
          </w:tcPr>
          <w:p w14:paraId="06B17640" w14:textId="77777777" w:rsidR="004605ED" w:rsidRPr="004605ED" w:rsidRDefault="004605ED" w:rsidP="004605ED">
            <w:pPr>
              <w:jc w:val="right"/>
              <w:rPr>
                <w:rFonts w:ascii="Arial Narrow" w:hAnsi="Arial Narrow" w:cs="Arial"/>
                <w:sz w:val="20"/>
                <w:szCs w:val="20"/>
              </w:rPr>
            </w:pPr>
            <w:r w:rsidRPr="004605ED">
              <w:rPr>
                <w:rFonts w:ascii="Arial Narrow" w:hAnsi="Arial Narrow" w:cs="Arial"/>
                <w:sz w:val="20"/>
                <w:szCs w:val="20"/>
              </w:rPr>
              <w:t>798 608</w:t>
            </w:r>
          </w:p>
        </w:tc>
        <w:tc>
          <w:tcPr>
            <w:tcW w:w="1127" w:type="dxa"/>
            <w:tcBorders>
              <w:top w:val="nil"/>
              <w:left w:val="nil"/>
              <w:bottom w:val="single" w:sz="4" w:space="0" w:color="auto"/>
              <w:right w:val="single" w:sz="4" w:space="0" w:color="auto"/>
            </w:tcBorders>
            <w:shd w:val="clear" w:color="000000" w:fill="FFFFFF"/>
            <w:noWrap/>
            <w:vAlign w:val="center"/>
            <w:hideMark/>
          </w:tcPr>
          <w:p w14:paraId="61121E4F" w14:textId="77777777" w:rsidR="004605ED" w:rsidRPr="004605ED" w:rsidRDefault="004605ED" w:rsidP="004605ED">
            <w:pPr>
              <w:jc w:val="right"/>
              <w:rPr>
                <w:rFonts w:ascii="Arial Narrow" w:hAnsi="Arial Narrow" w:cs="Arial"/>
                <w:sz w:val="20"/>
                <w:szCs w:val="20"/>
              </w:rPr>
            </w:pPr>
            <w:r w:rsidRPr="004605ED">
              <w:rPr>
                <w:rFonts w:ascii="Arial Narrow" w:hAnsi="Arial Narrow" w:cs="Arial"/>
                <w:sz w:val="20"/>
                <w:szCs w:val="20"/>
              </w:rPr>
              <w:t>572 013</w:t>
            </w:r>
          </w:p>
        </w:tc>
        <w:tc>
          <w:tcPr>
            <w:tcW w:w="1069" w:type="dxa"/>
            <w:tcBorders>
              <w:top w:val="nil"/>
              <w:left w:val="nil"/>
              <w:bottom w:val="single" w:sz="4" w:space="0" w:color="auto"/>
              <w:right w:val="single" w:sz="4" w:space="0" w:color="auto"/>
            </w:tcBorders>
            <w:shd w:val="clear" w:color="000000" w:fill="FFFFFF"/>
            <w:noWrap/>
            <w:vAlign w:val="center"/>
            <w:hideMark/>
          </w:tcPr>
          <w:p w14:paraId="0F21AB39" w14:textId="77777777" w:rsidR="004605ED" w:rsidRPr="004605ED" w:rsidRDefault="004605ED" w:rsidP="004605ED">
            <w:pPr>
              <w:jc w:val="right"/>
              <w:rPr>
                <w:rFonts w:ascii="Arial Narrow" w:hAnsi="Arial Narrow" w:cs="Arial"/>
                <w:sz w:val="20"/>
                <w:szCs w:val="20"/>
              </w:rPr>
            </w:pPr>
            <w:r w:rsidRPr="004605ED">
              <w:rPr>
                <w:rFonts w:ascii="Arial Narrow" w:hAnsi="Arial Narrow" w:cs="Arial"/>
                <w:sz w:val="20"/>
                <w:szCs w:val="20"/>
              </w:rPr>
              <w:t>550 978</w:t>
            </w:r>
          </w:p>
        </w:tc>
        <w:tc>
          <w:tcPr>
            <w:tcW w:w="1127" w:type="dxa"/>
            <w:tcBorders>
              <w:top w:val="nil"/>
              <w:left w:val="nil"/>
              <w:bottom w:val="single" w:sz="4" w:space="0" w:color="auto"/>
              <w:right w:val="single" w:sz="4" w:space="0" w:color="auto"/>
            </w:tcBorders>
            <w:shd w:val="clear" w:color="000000" w:fill="FFFFFF"/>
            <w:vAlign w:val="center"/>
            <w:hideMark/>
          </w:tcPr>
          <w:p w14:paraId="19B25A1D" w14:textId="77777777" w:rsidR="004605ED" w:rsidRPr="004605ED" w:rsidRDefault="004605ED" w:rsidP="004605ED">
            <w:pPr>
              <w:jc w:val="right"/>
              <w:rPr>
                <w:rFonts w:ascii="Arial Narrow" w:hAnsi="Arial Narrow" w:cs="Arial"/>
                <w:sz w:val="20"/>
                <w:szCs w:val="20"/>
              </w:rPr>
            </w:pPr>
            <w:r w:rsidRPr="004605ED">
              <w:rPr>
                <w:rFonts w:ascii="Arial Narrow" w:hAnsi="Arial Narrow" w:cs="Arial"/>
                <w:sz w:val="20"/>
                <w:szCs w:val="20"/>
              </w:rPr>
              <w:t>-27,0%</w:t>
            </w:r>
          </w:p>
        </w:tc>
        <w:tc>
          <w:tcPr>
            <w:tcW w:w="1057" w:type="dxa"/>
            <w:tcBorders>
              <w:top w:val="nil"/>
              <w:left w:val="nil"/>
              <w:bottom w:val="single" w:sz="4" w:space="0" w:color="auto"/>
              <w:right w:val="single" w:sz="4" w:space="0" w:color="auto"/>
            </w:tcBorders>
            <w:shd w:val="clear" w:color="000000" w:fill="FFFFFF"/>
            <w:vAlign w:val="center"/>
            <w:hideMark/>
          </w:tcPr>
          <w:p w14:paraId="6A37CB0C" w14:textId="77777777" w:rsidR="004605ED" w:rsidRPr="004605ED" w:rsidRDefault="004605ED" w:rsidP="004605ED">
            <w:pPr>
              <w:jc w:val="right"/>
              <w:rPr>
                <w:rFonts w:ascii="Arial Narrow" w:hAnsi="Arial Narrow" w:cs="Arial"/>
                <w:sz w:val="20"/>
                <w:szCs w:val="20"/>
              </w:rPr>
            </w:pPr>
            <w:r w:rsidRPr="004605ED">
              <w:rPr>
                <w:rFonts w:ascii="Arial Narrow" w:hAnsi="Arial Narrow" w:cs="Arial"/>
                <w:sz w:val="20"/>
                <w:szCs w:val="20"/>
              </w:rPr>
              <w:t>-31,0%</w:t>
            </w:r>
          </w:p>
        </w:tc>
      </w:tr>
      <w:tr w:rsidR="004605ED" w:rsidRPr="004605ED" w14:paraId="63444DC1" w14:textId="77777777" w:rsidTr="004605ED">
        <w:trPr>
          <w:trHeight w:val="238"/>
        </w:trPr>
        <w:tc>
          <w:tcPr>
            <w:tcW w:w="3216" w:type="dxa"/>
            <w:tcBorders>
              <w:top w:val="nil"/>
              <w:left w:val="single" w:sz="4" w:space="0" w:color="auto"/>
              <w:bottom w:val="single" w:sz="4" w:space="0" w:color="auto"/>
              <w:right w:val="single" w:sz="4" w:space="0" w:color="auto"/>
            </w:tcBorders>
            <w:shd w:val="clear" w:color="000000" w:fill="FFFFFF"/>
            <w:vAlign w:val="center"/>
            <w:hideMark/>
          </w:tcPr>
          <w:p w14:paraId="29F9ED35" w14:textId="77777777" w:rsidR="004605ED" w:rsidRPr="004605ED" w:rsidRDefault="004605ED" w:rsidP="004605ED">
            <w:pPr>
              <w:rPr>
                <w:rFonts w:ascii="Arial Narrow" w:hAnsi="Arial Narrow" w:cs="Arial"/>
                <w:sz w:val="20"/>
                <w:szCs w:val="20"/>
              </w:rPr>
            </w:pPr>
            <w:r w:rsidRPr="004605ED">
              <w:rPr>
                <w:rFonts w:ascii="Arial Narrow" w:hAnsi="Arial Narrow" w:cs="Arial"/>
                <w:sz w:val="20"/>
                <w:szCs w:val="20"/>
              </w:rPr>
              <w:t>Семена от слънчоглед, дори натрошени</w:t>
            </w:r>
          </w:p>
        </w:tc>
        <w:tc>
          <w:tcPr>
            <w:tcW w:w="1127" w:type="dxa"/>
            <w:tcBorders>
              <w:top w:val="nil"/>
              <w:left w:val="nil"/>
              <w:bottom w:val="single" w:sz="4" w:space="0" w:color="auto"/>
              <w:right w:val="single" w:sz="4" w:space="0" w:color="auto"/>
            </w:tcBorders>
            <w:shd w:val="clear" w:color="000000" w:fill="FFFFFF"/>
            <w:noWrap/>
            <w:vAlign w:val="center"/>
            <w:hideMark/>
          </w:tcPr>
          <w:p w14:paraId="740DCD03" w14:textId="77777777" w:rsidR="004605ED" w:rsidRPr="004605ED" w:rsidRDefault="004605ED" w:rsidP="004605ED">
            <w:pPr>
              <w:jc w:val="right"/>
              <w:rPr>
                <w:rFonts w:ascii="Arial Narrow" w:hAnsi="Arial Narrow" w:cs="Arial"/>
                <w:sz w:val="20"/>
                <w:szCs w:val="20"/>
              </w:rPr>
            </w:pPr>
            <w:r w:rsidRPr="004605ED">
              <w:rPr>
                <w:rFonts w:ascii="Arial Narrow" w:hAnsi="Arial Narrow" w:cs="Arial"/>
                <w:sz w:val="20"/>
                <w:szCs w:val="20"/>
              </w:rPr>
              <w:t>874 490</w:t>
            </w:r>
          </w:p>
        </w:tc>
        <w:tc>
          <w:tcPr>
            <w:tcW w:w="1069" w:type="dxa"/>
            <w:tcBorders>
              <w:top w:val="nil"/>
              <w:left w:val="nil"/>
              <w:bottom w:val="single" w:sz="4" w:space="0" w:color="auto"/>
              <w:right w:val="single" w:sz="4" w:space="0" w:color="auto"/>
            </w:tcBorders>
            <w:shd w:val="clear" w:color="000000" w:fill="FFFFFF"/>
            <w:noWrap/>
            <w:vAlign w:val="center"/>
            <w:hideMark/>
          </w:tcPr>
          <w:p w14:paraId="507EE639" w14:textId="77777777" w:rsidR="004605ED" w:rsidRPr="004605ED" w:rsidRDefault="004605ED" w:rsidP="004605ED">
            <w:pPr>
              <w:jc w:val="right"/>
              <w:rPr>
                <w:rFonts w:ascii="Arial Narrow" w:hAnsi="Arial Narrow" w:cs="Arial"/>
                <w:sz w:val="20"/>
                <w:szCs w:val="20"/>
              </w:rPr>
            </w:pPr>
            <w:r w:rsidRPr="004605ED">
              <w:rPr>
                <w:rFonts w:ascii="Arial Narrow" w:hAnsi="Arial Narrow" w:cs="Arial"/>
                <w:sz w:val="20"/>
                <w:szCs w:val="20"/>
              </w:rPr>
              <w:t>695 191</w:t>
            </w:r>
          </w:p>
        </w:tc>
        <w:tc>
          <w:tcPr>
            <w:tcW w:w="1127" w:type="dxa"/>
            <w:tcBorders>
              <w:top w:val="nil"/>
              <w:left w:val="nil"/>
              <w:bottom w:val="single" w:sz="4" w:space="0" w:color="auto"/>
              <w:right w:val="single" w:sz="4" w:space="0" w:color="auto"/>
            </w:tcBorders>
            <w:shd w:val="clear" w:color="000000" w:fill="FFFFFF"/>
            <w:noWrap/>
            <w:vAlign w:val="center"/>
            <w:hideMark/>
          </w:tcPr>
          <w:p w14:paraId="2F52F58B" w14:textId="77777777" w:rsidR="004605ED" w:rsidRPr="004605ED" w:rsidRDefault="004605ED" w:rsidP="004605ED">
            <w:pPr>
              <w:jc w:val="right"/>
              <w:rPr>
                <w:rFonts w:ascii="Arial Narrow" w:hAnsi="Arial Narrow" w:cs="Arial"/>
                <w:sz w:val="20"/>
                <w:szCs w:val="20"/>
              </w:rPr>
            </w:pPr>
            <w:r w:rsidRPr="004605ED">
              <w:rPr>
                <w:rFonts w:ascii="Arial Narrow" w:hAnsi="Arial Narrow" w:cs="Arial"/>
                <w:sz w:val="20"/>
                <w:szCs w:val="20"/>
              </w:rPr>
              <w:t>576 506</w:t>
            </w:r>
          </w:p>
        </w:tc>
        <w:tc>
          <w:tcPr>
            <w:tcW w:w="1069" w:type="dxa"/>
            <w:tcBorders>
              <w:top w:val="nil"/>
              <w:left w:val="nil"/>
              <w:bottom w:val="single" w:sz="4" w:space="0" w:color="auto"/>
              <w:right w:val="single" w:sz="4" w:space="0" w:color="auto"/>
            </w:tcBorders>
            <w:shd w:val="clear" w:color="000000" w:fill="FFFFFF"/>
            <w:noWrap/>
            <w:vAlign w:val="center"/>
            <w:hideMark/>
          </w:tcPr>
          <w:p w14:paraId="1CA2B15C" w14:textId="77777777" w:rsidR="004605ED" w:rsidRPr="004605ED" w:rsidRDefault="004605ED" w:rsidP="004605ED">
            <w:pPr>
              <w:jc w:val="right"/>
              <w:rPr>
                <w:rFonts w:ascii="Arial Narrow" w:hAnsi="Arial Narrow" w:cs="Arial"/>
                <w:sz w:val="20"/>
                <w:szCs w:val="20"/>
              </w:rPr>
            </w:pPr>
            <w:r w:rsidRPr="004605ED">
              <w:rPr>
                <w:rFonts w:ascii="Arial Narrow" w:hAnsi="Arial Narrow" w:cs="Arial"/>
                <w:sz w:val="20"/>
                <w:szCs w:val="20"/>
              </w:rPr>
              <w:t>468 033</w:t>
            </w:r>
          </w:p>
        </w:tc>
        <w:tc>
          <w:tcPr>
            <w:tcW w:w="1127" w:type="dxa"/>
            <w:tcBorders>
              <w:top w:val="nil"/>
              <w:left w:val="nil"/>
              <w:bottom w:val="single" w:sz="4" w:space="0" w:color="auto"/>
              <w:right w:val="single" w:sz="4" w:space="0" w:color="auto"/>
            </w:tcBorders>
            <w:shd w:val="clear" w:color="000000" w:fill="FFFFFF"/>
            <w:vAlign w:val="center"/>
            <w:hideMark/>
          </w:tcPr>
          <w:p w14:paraId="287AE46D" w14:textId="77777777" w:rsidR="004605ED" w:rsidRPr="004605ED" w:rsidRDefault="004605ED" w:rsidP="004605ED">
            <w:pPr>
              <w:jc w:val="right"/>
              <w:rPr>
                <w:rFonts w:ascii="Arial Narrow" w:hAnsi="Arial Narrow" w:cs="Arial"/>
                <w:sz w:val="20"/>
                <w:szCs w:val="20"/>
              </w:rPr>
            </w:pPr>
            <w:r w:rsidRPr="004605ED">
              <w:rPr>
                <w:rFonts w:ascii="Arial Narrow" w:hAnsi="Arial Narrow" w:cs="Arial"/>
                <w:sz w:val="20"/>
                <w:szCs w:val="20"/>
              </w:rPr>
              <w:t>-34,1%</w:t>
            </w:r>
          </w:p>
        </w:tc>
        <w:tc>
          <w:tcPr>
            <w:tcW w:w="1057" w:type="dxa"/>
            <w:tcBorders>
              <w:top w:val="nil"/>
              <w:left w:val="nil"/>
              <w:bottom w:val="single" w:sz="4" w:space="0" w:color="auto"/>
              <w:right w:val="single" w:sz="4" w:space="0" w:color="auto"/>
            </w:tcBorders>
            <w:shd w:val="clear" w:color="000000" w:fill="FFFFFF"/>
            <w:vAlign w:val="center"/>
            <w:hideMark/>
          </w:tcPr>
          <w:p w14:paraId="0D99E073" w14:textId="77777777" w:rsidR="004605ED" w:rsidRPr="004605ED" w:rsidRDefault="004605ED" w:rsidP="004605ED">
            <w:pPr>
              <w:jc w:val="right"/>
              <w:rPr>
                <w:rFonts w:ascii="Arial Narrow" w:hAnsi="Arial Narrow" w:cs="Arial"/>
                <w:sz w:val="20"/>
                <w:szCs w:val="20"/>
              </w:rPr>
            </w:pPr>
            <w:r w:rsidRPr="004605ED">
              <w:rPr>
                <w:rFonts w:ascii="Arial Narrow" w:hAnsi="Arial Narrow" w:cs="Arial"/>
                <w:sz w:val="20"/>
                <w:szCs w:val="20"/>
              </w:rPr>
              <w:t>-32,7%</w:t>
            </w:r>
          </w:p>
        </w:tc>
      </w:tr>
      <w:tr w:rsidR="004605ED" w:rsidRPr="004605ED" w14:paraId="0436805A" w14:textId="77777777" w:rsidTr="004605ED">
        <w:trPr>
          <w:trHeight w:val="476"/>
        </w:trPr>
        <w:tc>
          <w:tcPr>
            <w:tcW w:w="3216" w:type="dxa"/>
            <w:tcBorders>
              <w:top w:val="nil"/>
              <w:left w:val="single" w:sz="4" w:space="0" w:color="auto"/>
              <w:bottom w:val="single" w:sz="4" w:space="0" w:color="auto"/>
              <w:right w:val="single" w:sz="4" w:space="0" w:color="auto"/>
            </w:tcBorders>
            <w:shd w:val="clear" w:color="000000" w:fill="FFFFFF"/>
            <w:vAlign w:val="center"/>
            <w:hideMark/>
          </w:tcPr>
          <w:p w14:paraId="4E67C4DF" w14:textId="77777777" w:rsidR="004605ED" w:rsidRPr="004605ED" w:rsidRDefault="004605ED" w:rsidP="004605ED">
            <w:pPr>
              <w:rPr>
                <w:rFonts w:ascii="Arial Narrow" w:hAnsi="Arial Narrow" w:cs="Arial"/>
                <w:sz w:val="20"/>
                <w:szCs w:val="20"/>
              </w:rPr>
            </w:pPr>
            <w:r w:rsidRPr="004605ED">
              <w:rPr>
                <w:rFonts w:ascii="Arial Narrow" w:hAnsi="Arial Narrow" w:cs="Arial"/>
                <w:sz w:val="20"/>
                <w:szCs w:val="20"/>
              </w:rPr>
              <w:t>Хлебарски, тестени сладкарски или бисквитени продукти</w:t>
            </w:r>
          </w:p>
        </w:tc>
        <w:tc>
          <w:tcPr>
            <w:tcW w:w="1127" w:type="dxa"/>
            <w:tcBorders>
              <w:top w:val="nil"/>
              <w:left w:val="nil"/>
              <w:bottom w:val="single" w:sz="4" w:space="0" w:color="auto"/>
              <w:right w:val="single" w:sz="4" w:space="0" w:color="auto"/>
            </w:tcBorders>
            <w:shd w:val="clear" w:color="000000" w:fill="FFFFFF"/>
            <w:noWrap/>
            <w:vAlign w:val="center"/>
            <w:hideMark/>
          </w:tcPr>
          <w:p w14:paraId="7DF87E18" w14:textId="77777777" w:rsidR="004605ED" w:rsidRPr="004605ED" w:rsidRDefault="004605ED" w:rsidP="004605ED">
            <w:pPr>
              <w:jc w:val="right"/>
              <w:rPr>
                <w:rFonts w:ascii="Arial Narrow" w:hAnsi="Arial Narrow" w:cs="Arial"/>
                <w:sz w:val="20"/>
                <w:szCs w:val="20"/>
              </w:rPr>
            </w:pPr>
            <w:r w:rsidRPr="004605ED">
              <w:rPr>
                <w:rFonts w:ascii="Arial Narrow" w:hAnsi="Arial Narrow" w:cs="Arial"/>
                <w:sz w:val="20"/>
                <w:szCs w:val="20"/>
              </w:rPr>
              <w:t>105 284</w:t>
            </w:r>
          </w:p>
        </w:tc>
        <w:tc>
          <w:tcPr>
            <w:tcW w:w="1069" w:type="dxa"/>
            <w:tcBorders>
              <w:top w:val="nil"/>
              <w:left w:val="nil"/>
              <w:bottom w:val="single" w:sz="4" w:space="0" w:color="auto"/>
              <w:right w:val="single" w:sz="4" w:space="0" w:color="auto"/>
            </w:tcBorders>
            <w:shd w:val="clear" w:color="000000" w:fill="FFFFFF"/>
            <w:noWrap/>
            <w:vAlign w:val="center"/>
            <w:hideMark/>
          </w:tcPr>
          <w:p w14:paraId="410A4BD1" w14:textId="77777777" w:rsidR="004605ED" w:rsidRPr="004605ED" w:rsidRDefault="004605ED" w:rsidP="004605ED">
            <w:pPr>
              <w:jc w:val="right"/>
              <w:rPr>
                <w:rFonts w:ascii="Arial Narrow" w:hAnsi="Arial Narrow" w:cs="Arial"/>
                <w:sz w:val="20"/>
                <w:szCs w:val="20"/>
              </w:rPr>
            </w:pPr>
            <w:r w:rsidRPr="004605ED">
              <w:rPr>
                <w:rFonts w:ascii="Arial Narrow" w:hAnsi="Arial Narrow" w:cs="Arial"/>
                <w:sz w:val="20"/>
                <w:szCs w:val="20"/>
              </w:rPr>
              <w:t>367 469</w:t>
            </w:r>
          </w:p>
        </w:tc>
        <w:tc>
          <w:tcPr>
            <w:tcW w:w="1127" w:type="dxa"/>
            <w:tcBorders>
              <w:top w:val="nil"/>
              <w:left w:val="nil"/>
              <w:bottom w:val="single" w:sz="4" w:space="0" w:color="auto"/>
              <w:right w:val="single" w:sz="4" w:space="0" w:color="auto"/>
            </w:tcBorders>
            <w:shd w:val="clear" w:color="000000" w:fill="FFFFFF"/>
            <w:noWrap/>
            <w:vAlign w:val="center"/>
            <w:hideMark/>
          </w:tcPr>
          <w:p w14:paraId="430B5662" w14:textId="77777777" w:rsidR="004605ED" w:rsidRPr="004605ED" w:rsidRDefault="004605ED" w:rsidP="004605ED">
            <w:pPr>
              <w:jc w:val="right"/>
              <w:rPr>
                <w:rFonts w:ascii="Arial Narrow" w:hAnsi="Arial Narrow" w:cs="Arial"/>
                <w:sz w:val="20"/>
                <w:szCs w:val="20"/>
              </w:rPr>
            </w:pPr>
            <w:r w:rsidRPr="004605ED">
              <w:rPr>
                <w:rFonts w:ascii="Arial Narrow" w:hAnsi="Arial Narrow" w:cs="Arial"/>
                <w:sz w:val="20"/>
                <w:szCs w:val="20"/>
              </w:rPr>
              <w:t>111 625</w:t>
            </w:r>
          </w:p>
        </w:tc>
        <w:tc>
          <w:tcPr>
            <w:tcW w:w="1069" w:type="dxa"/>
            <w:tcBorders>
              <w:top w:val="nil"/>
              <w:left w:val="nil"/>
              <w:bottom w:val="single" w:sz="4" w:space="0" w:color="auto"/>
              <w:right w:val="single" w:sz="4" w:space="0" w:color="auto"/>
            </w:tcBorders>
            <w:shd w:val="clear" w:color="000000" w:fill="FFFFFF"/>
            <w:noWrap/>
            <w:vAlign w:val="center"/>
            <w:hideMark/>
          </w:tcPr>
          <w:p w14:paraId="24FDD60E" w14:textId="77777777" w:rsidR="004605ED" w:rsidRPr="004605ED" w:rsidRDefault="004605ED" w:rsidP="004605ED">
            <w:pPr>
              <w:jc w:val="right"/>
              <w:rPr>
                <w:rFonts w:ascii="Arial Narrow" w:hAnsi="Arial Narrow" w:cs="Arial"/>
                <w:color w:val="000000"/>
                <w:sz w:val="20"/>
                <w:szCs w:val="20"/>
              </w:rPr>
            </w:pPr>
            <w:r w:rsidRPr="004605ED">
              <w:rPr>
                <w:rFonts w:ascii="Arial Narrow" w:hAnsi="Arial Narrow" w:cs="Arial"/>
                <w:color w:val="000000"/>
                <w:sz w:val="20"/>
                <w:szCs w:val="20"/>
              </w:rPr>
              <w:t>391 861</w:t>
            </w:r>
          </w:p>
        </w:tc>
        <w:tc>
          <w:tcPr>
            <w:tcW w:w="1127" w:type="dxa"/>
            <w:tcBorders>
              <w:top w:val="nil"/>
              <w:left w:val="nil"/>
              <w:bottom w:val="single" w:sz="4" w:space="0" w:color="auto"/>
              <w:right w:val="single" w:sz="4" w:space="0" w:color="auto"/>
            </w:tcBorders>
            <w:shd w:val="clear" w:color="000000" w:fill="FFFFFF"/>
            <w:vAlign w:val="center"/>
            <w:hideMark/>
          </w:tcPr>
          <w:p w14:paraId="39099281" w14:textId="77777777" w:rsidR="004605ED" w:rsidRPr="004605ED" w:rsidRDefault="004605ED" w:rsidP="004605ED">
            <w:pPr>
              <w:jc w:val="right"/>
              <w:rPr>
                <w:rFonts w:ascii="Arial Narrow" w:hAnsi="Arial Narrow" w:cs="Arial"/>
                <w:sz w:val="20"/>
                <w:szCs w:val="20"/>
              </w:rPr>
            </w:pPr>
            <w:r w:rsidRPr="004605ED">
              <w:rPr>
                <w:rFonts w:ascii="Arial Narrow" w:hAnsi="Arial Narrow" w:cs="Arial"/>
                <w:sz w:val="20"/>
                <w:szCs w:val="20"/>
              </w:rPr>
              <w:t>6,0%</w:t>
            </w:r>
          </w:p>
        </w:tc>
        <w:tc>
          <w:tcPr>
            <w:tcW w:w="1057" w:type="dxa"/>
            <w:tcBorders>
              <w:top w:val="nil"/>
              <w:left w:val="nil"/>
              <w:bottom w:val="single" w:sz="4" w:space="0" w:color="auto"/>
              <w:right w:val="single" w:sz="4" w:space="0" w:color="auto"/>
            </w:tcBorders>
            <w:shd w:val="clear" w:color="000000" w:fill="FFFFFF"/>
            <w:vAlign w:val="center"/>
            <w:hideMark/>
          </w:tcPr>
          <w:p w14:paraId="3F463A47" w14:textId="77777777" w:rsidR="004605ED" w:rsidRPr="004605ED" w:rsidRDefault="004605ED" w:rsidP="004605ED">
            <w:pPr>
              <w:jc w:val="right"/>
              <w:rPr>
                <w:rFonts w:ascii="Arial Narrow" w:hAnsi="Arial Narrow" w:cs="Arial"/>
                <w:sz w:val="20"/>
                <w:szCs w:val="20"/>
              </w:rPr>
            </w:pPr>
            <w:r w:rsidRPr="004605ED">
              <w:rPr>
                <w:rFonts w:ascii="Arial Narrow" w:hAnsi="Arial Narrow" w:cs="Arial"/>
                <w:sz w:val="20"/>
                <w:szCs w:val="20"/>
              </w:rPr>
              <w:t>6,6%</w:t>
            </w:r>
          </w:p>
        </w:tc>
      </w:tr>
      <w:tr w:rsidR="004605ED" w:rsidRPr="004605ED" w14:paraId="40D6AA8D" w14:textId="77777777" w:rsidTr="004605ED">
        <w:trPr>
          <w:trHeight w:val="476"/>
        </w:trPr>
        <w:tc>
          <w:tcPr>
            <w:tcW w:w="321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9E6A5E8" w14:textId="77777777" w:rsidR="004605ED" w:rsidRPr="004605ED" w:rsidRDefault="004605ED" w:rsidP="004605ED">
            <w:pPr>
              <w:rPr>
                <w:rFonts w:ascii="Arial Narrow" w:hAnsi="Arial Narrow" w:cs="Arial"/>
                <w:sz w:val="20"/>
                <w:szCs w:val="20"/>
              </w:rPr>
            </w:pPr>
            <w:r w:rsidRPr="004605ED">
              <w:rPr>
                <w:rFonts w:ascii="Arial Narrow" w:hAnsi="Arial Narrow" w:cs="Arial"/>
                <w:sz w:val="20"/>
                <w:szCs w:val="20"/>
              </w:rPr>
              <w:t>Шоколад и други хранителни продукти, съдържащи какао</w:t>
            </w:r>
          </w:p>
        </w:tc>
        <w:tc>
          <w:tcPr>
            <w:tcW w:w="11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0778B5F" w14:textId="77777777" w:rsidR="004605ED" w:rsidRPr="004605ED" w:rsidRDefault="004605ED" w:rsidP="004605ED">
            <w:pPr>
              <w:jc w:val="right"/>
              <w:rPr>
                <w:rFonts w:ascii="Arial Narrow" w:hAnsi="Arial Narrow" w:cs="Arial"/>
                <w:sz w:val="20"/>
                <w:szCs w:val="20"/>
              </w:rPr>
            </w:pPr>
            <w:r w:rsidRPr="004605ED">
              <w:rPr>
                <w:rFonts w:ascii="Arial Narrow" w:hAnsi="Arial Narrow" w:cs="Arial"/>
                <w:sz w:val="20"/>
                <w:szCs w:val="20"/>
              </w:rPr>
              <w:t>53 256</w:t>
            </w:r>
          </w:p>
        </w:tc>
        <w:tc>
          <w:tcPr>
            <w:tcW w:w="106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52AB066" w14:textId="77777777" w:rsidR="004605ED" w:rsidRPr="004605ED" w:rsidRDefault="004605ED" w:rsidP="004605ED">
            <w:pPr>
              <w:jc w:val="right"/>
              <w:rPr>
                <w:rFonts w:ascii="Arial Narrow" w:hAnsi="Arial Narrow" w:cs="Arial"/>
                <w:sz w:val="20"/>
                <w:szCs w:val="20"/>
              </w:rPr>
            </w:pPr>
            <w:r w:rsidRPr="004605ED">
              <w:rPr>
                <w:rFonts w:ascii="Arial Narrow" w:hAnsi="Arial Narrow" w:cs="Arial"/>
                <w:sz w:val="20"/>
                <w:szCs w:val="20"/>
              </w:rPr>
              <w:t>289 608</w:t>
            </w:r>
          </w:p>
        </w:tc>
        <w:tc>
          <w:tcPr>
            <w:tcW w:w="11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1BE20AF" w14:textId="77777777" w:rsidR="004605ED" w:rsidRPr="004605ED" w:rsidRDefault="004605ED" w:rsidP="004605ED">
            <w:pPr>
              <w:jc w:val="right"/>
              <w:rPr>
                <w:rFonts w:ascii="Arial Narrow" w:hAnsi="Arial Narrow" w:cs="Arial"/>
                <w:sz w:val="20"/>
                <w:szCs w:val="20"/>
              </w:rPr>
            </w:pPr>
            <w:r w:rsidRPr="004605ED">
              <w:rPr>
                <w:rFonts w:ascii="Arial Narrow" w:hAnsi="Arial Narrow" w:cs="Arial"/>
                <w:sz w:val="20"/>
                <w:szCs w:val="20"/>
              </w:rPr>
              <w:t>54 592</w:t>
            </w:r>
          </w:p>
        </w:tc>
        <w:tc>
          <w:tcPr>
            <w:tcW w:w="106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5F89511" w14:textId="77777777" w:rsidR="004605ED" w:rsidRPr="004605ED" w:rsidRDefault="004605ED" w:rsidP="004605ED">
            <w:pPr>
              <w:jc w:val="right"/>
              <w:rPr>
                <w:rFonts w:ascii="Arial Narrow" w:hAnsi="Arial Narrow" w:cs="Arial"/>
                <w:color w:val="000000"/>
                <w:sz w:val="20"/>
                <w:szCs w:val="20"/>
              </w:rPr>
            </w:pPr>
            <w:r w:rsidRPr="004605ED">
              <w:rPr>
                <w:rFonts w:ascii="Arial Narrow" w:hAnsi="Arial Narrow" w:cs="Arial"/>
                <w:color w:val="000000"/>
                <w:sz w:val="20"/>
                <w:szCs w:val="20"/>
              </w:rPr>
              <w:t>336 420</w:t>
            </w:r>
          </w:p>
        </w:tc>
        <w:tc>
          <w:tcPr>
            <w:tcW w:w="112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C7B8F8F" w14:textId="77777777" w:rsidR="004605ED" w:rsidRPr="004605ED" w:rsidRDefault="004605ED" w:rsidP="004605ED">
            <w:pPr>
              <w:jc w:val="right"/>
              <w:rPr>
                <w:rFonts w:ascii="Arial Narrow" w:hAnsi="Arial Narrow" w:cs="Arial"/>
                <w:sz w:val="20"/>
                <w:szCs w:val="20"/>
              </w:rPr>
            </w:pPr>
            <w:r w:rsidRPr="004605ED">
              <w:rPr>
                <w:rFonts w:ascii="Arial Narrow" w:hAnsi="Arial Narrow" w:cs="Arial"/>
                <w:sz w:val="20"/>
                <w:szCs w:val="20"/>
              </w:rPr>
              <w:t>2,5%</w:t>
            </w:r>
          </w:p>
        </w:tc>
        <w:tc>
          <w:tcPr>
            <w:tcW w:w="105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B3F2761" w14:textId="77777777" w:rsidR="004605ED" w:rsidRPr="004605ED" w:rsidRDefault="004605ED" w:rsidP="004605ED">
            <w:pPr>
              <w:jc w:val="right"/>
              <w:rPr>
                <w:rFonts w:ascii="Arial Narrow" w:hAnsi="Arial Narrow" w:cs="Arial"/>
                <w:sz w:val="20"/>
                <w:szCs w:val="20"/>
              </w:rPr>
            </w:pPr>
            <w:r w:rsidRPr="004605ED">
              <w:rPr>
                <w:rFonts w:ascii="Arial Narrow" w:hAnsi="Arial Narrow" w:cs="Arial"/>
                <w:sz w:val="20"/>
                <w:szCs w:val="20"/>
              </w:rPr>
              <w:t>16,2%</w:t>
            </w:r>
          </w:p>
        </w:tc>
      </w:tr>
      <w:tr w:rsidR="004605ED" w:rsidRPr="004605ED" w14:paraId="02C3C71B" w14:textId="77777777" w:rsidTr="004605ED">
        <w:trPr>
          <w:trHeight w:val="476"/>
        </w:trPr>
        <w:tc>
          <w:tcPr>
            <w:tcW w:w="321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659B5DF" w14:textId="77777777" w:rsidR="004605ED" w:rsidRPr="004605ED" w:rsidRDefault="004605ED" w:rsidP="004605ED">
            <w:pPr>
              <w:rPr>
                <w:rFonts w:ascii="Arial Narrow" w:hAnsi="Arial Narrow" w:cs="Arial"/>
                <w:sz w:val="20"/>
                <w:szCs w:val="20"/>
              </w:rPr>
            </w:pPr>
            <w:r w:rsidRPr="004605ED">
              <w:rPr>
                <w:rFonts w:ascii="Arial Narrow" w:hAnsi="Arial Narrow" w:cs="Arial"/>
                <w:sz w:val="20"/>
                <w:szCs w:val="20"/>
              </w:rPr>
              <w:t>Препарати от видовете, използвани за храна на животни</w:t>
            </w:r>
          </w:p>
        </w:tc>
        <w:tc>
          <w:tcPr>
            <w:tcW w:w="1127" w:type="dxa"/>
            <w:tcBorders>
              <w:top w:val="single" w:sz="4" w:space="0" w:color="auto"/>
              <w:left w:val="nil"/>
              <w:bottom w:val="single" w:sz="4" w:space="0" w:color="auto"/>
              <w:right w:val="single" w:sz="4" w:space="0" w:color="auto"/>
            </w:tcBorders>
            <w:shd w:val="clear" w:color="000000" w:fill="FFFFFF"/>
            <w:noWrap/>
            <w:vAlign w:val="center"/>
            <w:hideMark/>
          </w:tcPr>
          <w:p w14:paraId="3AA2ECE6" w14:textId="77777777" w:rsidR="004605ED" w:rsidRPr="004605ED" w:rsidRDefault="004605ED" w:rsidP="004605ED">
            <w:pPr>
              <w:jc w:val="right"/>
              <w:rPr>
                <w:rFonts w:ascii="Arial Narrow" w:hAnsi="Arial Narrow" w:cs="Arial"/>
                <w:sz w:val="20"/>
                <w:szCs w:val="20"/>
              </w:rPr>
            </w:pPr>
            <w:r w:rsidRPr="004605ED">
              <w:rPr>
                <w:rFonts w:ascii="Arial Narrow" w:hAnsi="Arial Narrow" w:cs="Arial"/>
                <w:sz w:val="20"/>
                <w:szCs w:val="20"/>
              </w:rPr>
              <w:t>137 427</w:t>
            </w:r>
          </w:p>
        </w:tc>
        <w:tc>
          <w:tcPr>
            <w:tcW w:w="1069" w:type="dxa"/>
            <w:tcBorders>
              <w:top w:val="single" w:sz="4" w:space="0" w:color="auto"/>
              <w:left w:val="nil"/>
              <w:bottom w:val="single" w:sz="4" w:space="0" w:color="auto"/>
              <w:right w:val="single" w:sz="4" w:space="0" w:color="auto"/>
            </w:tcBorders>
            <w:shd w:val="clear" w:color="000000" w:fill="FFFFFF"/>
            <w:noWrap/>
            <w:vAlign w:val="center"/>
            <w:hideMark/>
          </w:tcPr>
          <w:p w14:paraId="176718EF" w14:textId="77777777" w:rsidR="004605ED" w:rsidRPr="004605ED" w:rsidRDefault="004605ED" w:rsidP="004605ED">
            <w:pPr>
              <w:jc w:val="right"/>
              <w:rPr>
                <w:rFonts w:ascii="Arial Narrow" w:hAnsi="Arial Narrow" w:cs="Arial"/>
                <w:sz w:val="20"/>
                <w:szCs w:val="20"/>
              </w:rPr>
            </w:pPr>
            <w:r w:rsidRPr="004605ED">
              <w:rPr>
                <w:rFonts w:ascii="Arial Narrow" w:hAnsi="Arial Narrow" w:cs="Arial"/>
                <w:sz w:val="20"/>
                <w:szCs w:val="20"/>
              </w:rPr>
              <w:t>213 152</w:t>
            </w:r>
          </w:p>
        </w:tc>
        <w:tc>
          <w:tcPr>
            <w:tcW w:w="1127" w:type="dxa"/>
            <w:tcBorders>
              <w:top w:val="single" w:sz="4" w:space="0" w:color="auto"/>
              <w:left w:val="nil"/>
              <w:bottom w:val="single" w:sz="4" w:space="0" w:color="auto"/>
              <w:right w:val="single" w:sz="4" w:space="0" w:color="auto"/>
            </w:tcBorders>
            <w:shd w:val="clear" w:color="000000" w:fill="FFFFFF"/>
            <w:noWrap/>
            <w:vAlign w:val="center"/>
            <w:hideMark/>
          </w:tcPr>
          <w:p w14:paraId="69345972" w14:textId="77777777" w:rsidR="004605ED" w:rsidRPr="004605ED" w:rsidRDefault="004605ED" w:rsidP="004605ED">
            <w:pPr>
              <w:jc w:val="right"/>
              <w:rPr>
                <w:rFonts w:ascii="Arial Narrow" w:hAnsi="Arial Narrow" w:cs="Arial"/>
                <w:sz w:val="20"/>
                <w:szCs w:val="20"/>
              </w:rPr>
            </w:pPr>
            <w:r w:rsidRPr="004605ED">
              <w:rPr>
                <w:rFonts w:ascii="Arial Narrow" w:hAnsi="Arial Narrow" w:cs="Arial"/>
                <w:sz w:val="20"/>
                <w:szCs w:val="20"/>
              </w:rPr>
              <w:t>152 552</w:t>
            </w:r>
          </w:p>
        </w:tc>
        <w:tc>
          <w:tcPr>
            <w:tcW w:w="1069" w:type="dxa"/>
            <w:tcBorders>
              <w:top w:val="single" w:sz="4" w:space="0" w:color="auto"/>
              <w:left w:val="nil"/>
              <w:bottom w:val="single" w:sz="4" w:space="0" w:color="auto"/>
              <w:right w:val="single" w:sz="4" w:space="0" w:color="auto"/>
            </w:tcBorders>
            <w:shd w:val="clear" w:color="000000" w:fill="FFFFFF"/>
            <w:noWrap/>
            <w:vAlign w:val="center"/>
            <w:hideMark/>
          </w:tcPr>
          <w:p w14:paraId="18585557" w14:textId="77777777" w:rsidR="004605ED" w:rsidRPr="004605ED" w:rsidRDefault="004605ED" w:rsidP="004605ED">
            <w:pPr>
              <w:jc w:val="right"/>
              <w:rPr>
                <w:rFonts w:ascii="Arial Narrow" w:hAnsi="Arial Narrow" w:cs="Arial"/>
                <w:color w:val="000000"/>
                <w:sz w:val="20"/>
                <w:szCs w:val="20"/>
              </w:rPr>
            </w:pPr>
            <w:r w:rsidRPr="004605ED">
              <w:rPr>
                <w:rFonts w:ascii="Arial Narrow" w:hAnsi="Arial Narrow" w:cs="Arial"/>
                <w:color w:val="000000"/>
                <w:sz w:val="20"/>
                <w:szCs w:val="20"/>
              </w:rPr>
              <w:t>227 235</w:t>
            </w:r>
          </w:p>
        </w:tc>
        <w:tc>
          <w:tcPr>
            <w:tcW w:w="1127" w:type="dxa"/>
            <w:tcBorders>
              <w:top w:val="single" w:sz="4" w:space="0" w:color="auto"/>
              <w:left w:val="nil"/>
              <w:bottom w:val="single" w:sz="4" w:space="0" w:color="auto"/>
              <w:right w:val="single" w:sz="4" w:space="0" w:color="auto"/>
            </w:tcBorders>
            <w:shd w:val="clear" w:color="000000" w:fill="FFFFFF"/>
            <w:vAlign w:val="center"/>
            <w:hideMark/>
          </w:tcPr>
          <w:p w14:paraId="0FCEA5CD" w14:textId="77777777" w:rsidR="004605ED" w:rsidRPr="004605ED" w:rsidRDefault="004605ED" w:rsidP="004605ED">
            <w:pPr>
              <w:jc w:val="right"/>
              <w:rPr>
                <w:rFonts w:ascii="Arial Narrow" w:hAnsi="Arial Narrow" w:cs="Arial"/>
                <w:sz w:val="20"/>
                <w:szCs w:val="20"/>
              </w:rPr>
            </w:pPr>
            <w:r w:rsidRPr="004605ED">
              <w:rPr>
                <w:rFonts w:ascii="Arial Narrow" w:hAnsi="Arial Narrow" w:cs="Arial"/>
                <w:sz w:val="20"/>
                <w:szCs w:val="20"/>
              </w:rPr>
              <w:t>11,0%</w:t>
            </w:r>
          </w:p>
        </w:tc>
        <w:tc>
          <w:tcPr>
            <w:tcW w:w="1057" w:type="dxa"/>
            <w:tcBorders>
              <w:top w:val="single" w:sz="4" w:space="0" w:color="auto"/>
              <w:left w:val="nil"/>
              <w:bottom w:val="single" w:sz="4" w:space="0" w:color="auto"/>
              <w:right w:val="single" w:sz="4" w:space="0" w:color="auto"/>
            </w:tcBorders>
            <w:shd w:val="clear" w:color="000000" w:fill="FFFFFF"/>
            <w:vAlign w:val="center"/>
            <w:hideMark/>
          </w:tcPr>
          <w:p w14:paraId="05BB6FFC" w14:textId="77777777" w:rsidR="004605ED" w:rsidRPr="004605ED" w:rsidRDefault="004605ED" w:rsidP="004605ED">
            <w:pPr>
              <w:jc w:val="right"/>
              <w:rPr>
                <w:rFonts w:ascii="Arial Narrow" w:hAnsi="Arial Narrow" w:cs="Arial"/>
                <w:sz w:val="20"/>
                <w:szCs w:val="20"/>
              </w:rPr>
            </w:pPr>
            <w:r w:rsidRPr="004605ED">
              <w:rPr>
                <w:rFonts w:ascii="Arial Narrow" w:hAnsi="Arial Narrow" w:cs="Arial"/>
                <w:sz w:val="20"/>
                <w:szCs w:val="20"/>
              </w:rPr>
              <w:t>6,6%</w:t>
            </w:r>
          </w:p>
        </w:tc>
      </w:tr>
      <w:tr w:rsidR="004605ED" w:rsidRPr="004605ED" w14:paraId="4CBFF04A" w14:textId="77777777" w:rsidTr="004605ED">
        <w:trPr>
          <w:trHeight w:val="476"/>
        </w:trPr>
        <w:tc>
          <w:tcPr>
            <w:tcW w:w="3216" w:type="dxa"/>
            <w:tcBorders>
              <w:top w:val="nil"/>
              <w:left w:val="single" w:sz="4" w:space="0" w:color="auto"/>
              <w:bottom w:val="single" w:sz="4" w:space="0" w:color="auto"/>
              <w:right w:val="single" w:sz="4" w:space="0" w:color="auto"/>
            </w:tcBorders>
            <w:shd w:val="clear" w:color="000000" w:fill="FFFFFF"/>
            <w:vAlign w:val="center"/>
            <w:hideMark/>
          </w:tcPr>
          <w:p w14:paraId="2BB9FEE6" w14:textId="77777777" w:rsidR="004605ED" w:rsidRPr="004605ED" w:rsidRDefault="004605ED" w:rsidP="004605ED">
            <w:pPr>
              <w:rPr>
                <w:rFonts w:ascii="Arial Narrow" w:hAnsi="Arial Narrow" w:cs="Arial"/>
                <w:sz w:val="20"/>
                <w:szCs w:val="20"/>
              </w:rPr>
            </w:pPr>
            <w:r w:rsidRPr="004605ED">
              <w:rPr>
                <w:rFonts w:ascii="Arial Narrow" w:hAnsi="Arial Narrow" w:cs="Arial"/>
                <w:sz w:val="20"/>
                <w:szCs w:val="20"/>
              </w:rPr>
              <w:t>Хранителни продукти, неупоменати, нито включени другаде</w:t>
            </w:r>
          </w:p>
        </w:tc>
        <w:tc>
          <w:tcPr>
            <w:tcW w:w="1127" w:type="dxa"/>
            <w:tcBorders>
              <w:top w:val="nil"/>
              <w:left w:val="nil"/>
              <w:bottom w:val="single" w:sz="4" w:space="0" w:color="auto"/>
              <w:right w:val="single" w:sz="4" w:space="0" w:color="auto"/>
            </w:tcBorders>
            <w:shd w:val="clear" w:color="000000" w:fill="FFFFFF"/>
            <w:noWrap/>
            <w:vAlign w:val="center"/>
            <w:hideMark/>
          </w:tcPr>
          <w:p w14:paraId="197477DB" w14:textId="77777777" w:rsidR="004605ED" w:rsidRPr="004605ED" w:rsidRDefault="004605ED" w:rsidP="004605ED">
            <w:pPr>
              <w:jc w:val="right"/>
              <w:rPr>
                <w:rFonts w:ascii="Arial Narrow" w:hAnsi="Arial Narrow" w:cs="Arial"/>
                <w:sz w:val="20"/>
                <w:szCs w:val="20"/>
              </w:rPr>
            </w:pPr>
            <w:r w:rsidRPr="004605ED">
              <w:rPr>
                <w:rFonts w:ascii="Arial Narrow" w:hAnsi="Arial Narrow" w:cs="Arial"/>
                <w:sz w:val="20"/>
                <w:szCs w:val="20"/>
              </w:rPr>
              <w:t>43 493</w:t>
            </w:r>
          </w:p>
        </w:tc>
        <w:tc>
          <w:tcPr>
            <w:tcW w:w="1069" w:type="dxa"/>
            <w:tcBorders>
              <w:top w:val="nil"/>
              <w:left w:val="nil"/>
              <w:bottom w:val="single" w:sz="4" w:space="0" w:color="auto"/>
              <w:right w:val="single" w:sz="4" w:space="0" w:color="auto"/>
            </w:tcBorders>
            <w:shd w:val="clear" w:color="000000" w:fill="FFFFFF"/>
            <w:noWrap/>
            <w:vAlign w:val="center"/>
            <w:hideMark/>
          </w:tcPr>
          <w:p w14:paraId="2426BCD0" w14:textId="77777777" w:rsidR="004605ED" w:rsidRPr="004605ED" w:rsidRDefault="004605ED" w:rsidP="004605ED">
            <w:pPr>
              <w:jc w:val="right"/>
              <w:rPr>
                <w:rFonts w:ascii="Arial Narrow" w:hAnsi="Arial Narrow" w:cs="Arial"/>
                <w:sz w:val="20"/>
                <w:szCs w:val="20"/>
              </w:rPr>
            </w:pPr>
            <w:r w:rsidRPr="004605ED">
              <w:rPr>
                <w:rFonts w:ascii="Arial Narrow" w:hAnsi="Arial Narrow" w:cs="Arial"/>
                <w:sz w:val="20"/>
                <w:szCs w:val="20"/>
              </w:rPr>
              <w:t>189 356</w:t>
            </w:r>
          </w:p>
        </w:tc>
        <w:tc>
          <w:tcPr>
            <w:tcW w:w="1127" w:type="dxa"/>
            <w:tcBorders>
              <w:top w:val="nil"/>
              <w:left w:val="nil"/>
              <w:bottom w:val="single" w:sz="4" w:space="0" w:color="auto"/>
              <w:right w:val="single" w:sz="4" w:space="0" w:color="auto"/>
            </w:tcBorders>
            <w:shd w:val="clear" w:color="000000" w:fill="FFFFFF"/>
            <w:noWrap/>
            <w:vAlign w:val="center"/>
            <w:hideMark/>
          </w:tcPr>
          <w:p w14:paraId="7D265080" w14:textId="77777777" w:rsidR="004605ED" w:rsidRPr="004605ED" w:rsidRDefault="004605ED" w:rsidP="004605ED">
            <w:pPr>
              <w:jc w:val="right"/>
              <w:rPr>
                <w:rFonts w:ascii="Arial Narrow" w:hAnsi="Arial Narrow" w:cs="Arial"/>
                <w:sz w:val="20"/>
                <w:szCs w:val="20"/>
              </w:rPr>
            </w:pPr>
            <w:r w:rsidRPr="004605ED">
              <w:rPr>
                <w:rFonts w:ascii="Arial Narrow" w:hAnsi="Arial Narrow" w:cs="Arial"/>
                <w:sz w:val="20"/>
                <w:szCs w:val="20"/>
              </w:rPr>
              <w:t>47 355</w:t>
            </w:r>
          </w:p>
        </w:tc>
        <w:tc>
          <w:tcPr>
            <w:tcW w:w="1069" w:type="dxa"/>
            <w:tcBorders>
              <w:top w:val="nil"/>
              <w:left w:val="nil"/>
              <w:bottom w:val="single" w:sz="4" w:space="0" w:color="auto"/>
              <w:right w:val="single" w:sz="4" w:space="0" w:color="auto"/>
            </w:tcBorders>
            <w:shd w:val="clear" w:color="000000" w:fill="FFFFFF"/>
            <w:noWrap/>
            <w:vAlign w:val="center"/>
            <w:hideMark/>
          </w:tcPr>
          <w:p w14:paraId="41EB2FA4" w14:textId="77777777" w:rsidR="004605ED" w:rsidRPr="004605ED" w:rsidRDefault="004605ED" w:rsidP="004605ED">
            <w:pPr>
              <w:jc w:val="right"/>
              <w:rPr>
                <w:rFonts w:ascii="Arial Narrow" w:hAnsi="Arial Narrow" w:cs="Arial"/>
                <w:sz w:val="20"/>
                <w:szCs w:val="20"/>
              </w:rPr>
            </w:pPr>
            <w:r w:rsidRPr="004605ED">
              <w:rPr>
                <w:rFonts w:ascii="Arial Narrow" w:hAnsi="Arial Narrow" w:cs="Arial"/>
                <w:sz w:val="20"/>
                <w:szCs w:val="20"/>
              </w:rPr>
              <w:t>208 794</w:t>
            </w:r>
          </w:p>
        </w:tc>
        <w:tc>
          <w:tcPr>
            <w:tcW w:w="1127" w:type="dxa"/>
            <w:tcBorders>
              <w:top w:val="nil"/>
              <w:left w:val="nil"/>
              <w:bottom w:val="single" w:sz="4" w:space="0" w:color="auto"/>
              <w:right w:val="single" w:sz="4" w:space="0" w:color="auto"/>
            </w:tcBorders>
            <w:shd w:val="clear" w:color="000000" w:fill="FFFFFF"/>
            <w:vAlign w:val="center"/>
            <w:hideMark/>
          </w:tcPr>
          <w:p w14:paraId="768F8B34" w14:textId="77777777" w:rsidR="004605ED" w:rsidRPr="004605ED" w:rsidRDefault="004605ED" w:rsidP="004605ED">
            <w:pPr>
              <w:jc w:val="right"/>
              <w:rPr>
                <w:rFonts w:ascii="Arial Narrow" w:hAnsi="Arial Narrow" w:cs="Arial"/>
                <w:sz w:val="20"/>
                <w:szCs w:val="20"/>
              </w:rPr>
            </w:pPr>
            <w:r w:rsidRPr="004605ED">
              <w:rPr>
                <w:rFonts w:ascii="Arial Narrow" w:hAnsi="Arial Narrow" w:cs="Arial"/>
                <w:sz w:val="20"/>
                <w:szCs w:val="20"/>
              </w:rPr>
              <w:t>8,9%</w:t>
            </w:r>
          </w:p>
        </w:tc>
        <w:tc>
          <w:tcPr>
            <w:tcW w:w="1057" w:type="dxa"/>
            <w:tcBorders>
              <w:top w:val="nil"/>
              <w:left w:val="nil"/>
              <w:bottom w:val="single" w:sz="4" w:space="0" w:color="auto"/>
              <w:right w:val="single" w:sz="4" w:space="0" w:color="auto"/>
            </w:tcBorders>
            <w:shd w:val="clear" w:color="000000" w:fill="FFFFFF"/>
            <w:vAlign w:val="center"/>
            <w:hideMark/>
          </w:tcPr>
          <w:p w14:paraId="7BDC47EB" w14:textId="77777777" w:rsidR="004605ED" w:rsidRPr="004605ED" w:rsidRDefault="004605ED" w:rsidP="004605ED">
            <w:pPr>
              <w:jc w:val="right"/>
              <w:rPr>
                <w:rFonts w:ascii="Arial Narrow" w:hAnsi="Arial Narrow" w:cs="Arial"/>
                <w:sz w:val="20"/>
                <w:szCs w:val="20"/>
              </w:rPr>
            </w:pPr>
            <w:r w:rsidRPr="004605ED">
              <w:rPr>
                <w:rFonts w:ascii="Arial Narrow" w:hAnsi="Arial Narrow" w:cs="Arial"/>
                <w:sz w:val="20"/>
                <w:szCs w:val="20"/>
              </w:rPr>
              <w:t>10,3%</w:t>
            </w:r>
          </w:p>
        </w:tc>
      </w:tr>
      <w:tr w:rsidR="004605ED" w:rsidRPr="004605ED" w14:paraId="0A6496F1" w14:textId="77777777" w:rsidTr="004605ED">
        <w:trPr>
          <w:trHeight w:val="238"/>
        </w:trPr>
        <w:tc>
          <w:tcPr>
            <w:tcW w:w="321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A7232B4" w14:textId="77777777" w:rsidR="004605ED" w:rsidRPr="004605ED" w:rsidRDefault="004605ED" w:rsidP="004605ED">
            <w:pPr>
              <w:rPr>
                <w:rFonts w:ascii="Arial Narrow" w:hAnsi="Arial Narrow" w:cs="Arial"/>
                <w:sz w:val="20"/>
                <w:szCs w:val="20"/>
              </w:rPr>
            </w:pPr>
            <w:r w:rsidRPr="004605ED">
              <w:rPr>
                <w:rFonts w:ascii="Arial Narrow" w:hAnsi="Arial Narrow" w:cs="Arial"/>
                <w:sz w:val="20"/>
                <w:szCs w:val="20"/>
              </w:rPr>
              <w:t>Царевица</w:t>
            </w:r>
          </w:p>
        </w:tc>
        <w:tc>
          <w:tcPr>
            <w:tcW w:w="11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A100BD8" w14:textId="77777777" w:rsidR="004605ED" w:rsidRPr="004605ED" w:rsidRDefault="004605ED" w:rsidP="004605ED">
            <w:pPr>
              <w:jc w:val="right"/>
              <w:rPr>
                <w:rFonts w:ascii="Arial Narrow" w:hAnsi="Arial Narrow" w:cs="Arial"/>
                <w:sz w:val="20"/>
                <w:szCs w:val="20"/>
              </w:rPr>
            </w:pPr>
            <w:r w:rsidRPr="004605ED">
              <w:rPr>
                <w:rFonts w:ascii="Arial Narrow" w:hAnsi="Arial Narrow" w:cs="Arial"/>
                <w:sz w:val="20"/>
                <w:szCs w:val="20"/>
              </w:rPr>
              <w:t>1 364 853</w:t>
            </w:r>
          </w:p>
        </w:tc>
        <w:tc>
          <w:tcPr>
            <w:tcW w:w="106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4A3190A" w14:textId="77777777" w:rsidR="004605ED" w:rsidRPr="004605ED" w:rsidRDefault="004605ED" w:rsidP="004605ED">
            <w:pPr>
              <w:jc w:val="right"/>
              <w:rPr>
                <w:rFonts w:ascii="Arial Narrow" w:hAnsi="Arial Narrow" w:cs="Arial"/>
                <w:sz w:val="20"/>
                <w:szCs w:val="20"/>
              </w:rPr>
            </w:pPr>
            <w:r w:rsidRPr="004605ED">
              <w:rPr>
                <w:rFonts w:ascii="Arial Narrow" w:hAnsi="Arial Narrow" w:cs="Arial"/>
                <w:sz w:val="20"/>
                <w:szCs w:val="20"/>
              </w:rPr>
              <w:t>353 248</w:t>
            </w:r>
          </w:p>
        </w:tc>
        <w:tc>
          <w:tcPr>
            <w:tcW w:w="11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004579F" w14:textId="77777777" w:rsidR="004605ED" w:rsidRPr="004605ED" w:rsidRDefault="004605ED" w:rsidP="004605ED">
            <w:pPr>
              <w:jc w:val="right"/>
              <w:rPr>
                <w:rFonts w:ascii="Arial Narrow" w:hAnsi="Arial Narrow" w:cs="Arial"/>
                <w:sz w:val="20"/>
                <w:szCs w:val="20"/>
              </w:rPr>
            </w:pPr>
            <w:r w:rsidRPr="004605ED">
              <w:rPr>
                <w:rFonts w:ascii="Arial Narrow" w:hAnsi="Arial Narrow" w:cs="Arial"/>
                <w:sz w:val="20"/>
                <w:szCs w:val="20"/>
              </w:rPr>
              <w:t>889 013</w:t>
            </w:r>
          </w:p>
        </w:tc>
        <w:tc>
          <w:tcPr>
            <w:tcW w:w="106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1A23112" w14:textId="77777777" w:rsidR="004605ED" w:rsidRPr="004605ED" w:rsidRDefault="004605ED" w:rsidP="004605ED">
            <w:pPr>
              <w:jc w:val="right"/>
              <w:rPr>
                <w:rFonts w:ascii="Arial Narrow" w:hAnsi="Arial Narrow" w:cs="Arial"/>
                <w:sz w:val="20"/>
                <w:szCs w:val="20"/>
              </w:rPr>
            </w:pPr>
            <w:r w:rsidRPr="004605ED">
              <w:rPr>
                <w:rFonts w:ascii="Arial Narrow" w:hAnsi="Arial Narrow" w:cs="Arial"/>
                <w:sz w:val="20"/>
                <w:szCs w:val="20"/>
              </w:rPr>
              <w:t>183 704</w:t>
            </w:r>
          </w:p>
        </w:tc>
        <w:tc>
          <w:tcPr>
            <w:tcW w:w="112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641763A" w14:textId="77777777" w:rsidR="004605ED" w:rsidRPr="004605ED" w:rsidRDefault="004605ED" w:rsidP="004605ED">
            <w:pPr>
              <w:jc w:val="right"/>
              <w:rPr>
                <w:rFonts w:ascii="Arial Narrow" w:hAnsi="Arial Narrow" w:cs="Arial"/>
                <w:sz w:val="20"/>
                <w:szCs w:val="20"/>
              </w:rPr>
            </w:pPr>
            <w:r w:rsidRPr="004605ED">
              <w:rPr>
                <w:rFonts w:ascii="Arial Narrow" w:hAnsi="Arial Narrow" w:cs="Arial"/>
                <w:sz w:val="20"/>
                <w:szCs w:val="20"/>
              </w:rPr>
              <w:t>-34,9%</w:t>
            </w:r>
          </w:p>
        </w:tc>
        <w:tc>
          <w:tcPr>
            <w:tcW w:w="105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8615E1F" w14:textId="77777777" w:rsidR="004605ED" w:rsidRPr="004605ED" w:rsidRDefault="004605ED" w:rsidP="004605ED">
            <w:pPr>
              <w:jc w:val="right"/>
              <w:rPr>
                <w:rFonts w:ascii="Arial Narrow" w:hAnsi="Arial Narrow" w:cs="Arial"/>
                <w:sz w:val="20"/>
                <w:szCs w:val="20"/>
              </w:rPr>
            </w:pPr>
            <w:r w:rsidRPr="004605ED">
              <w:rPr>
                <w:rFonts w:ascii="Arial Narrow" w:hAnsi="Arial Narrow" w:cs="Arial"/>
                <w:sz w:val="20"/>
                <w:szCs w:val="20"/>
              </w:rPr>
              <w:t>-48,0%</w:t>
            </w:r>
          </w:p>
        </w:tc>
      </w:tr>
      <w:tr w:rsidR="004605ED" w:rsidRPr="004605ED" w14:paraId="7218E1FC" w14:textId="77777777" w:rsidTr="004605ED">
        <w:trPr>
          <w:trHeight w:val="238"/>
        </w:trPr>
        <w:tc>
          <w:tcPr>
            <w:tcW w:w="321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FFF608F" w14:textId="77777777" w:rsidR="004605ED" w:rsidRPr="004605ED" w:rsidRDefault="004605ED" w:rsidP="004605ED">
            <w:pPr>
              <w:rPr>
                <w:rFonts w:ascii="Arial Narrow" w:hAnsi="Arial Narrow" w:cs="Arial"/>
                <w:sz w:val="20"/>
                <w:szCs w:val="20"/>
              </w:rPr>
            </w:pPr>
            <w:r w:rsidRPr="004605ED">
              <w:rPr>
                <w:rFonts w:ascii="Arial Narrow" w:hAnsi="Arial Narrow" w:cs="Arial"/>
                <w:sz w:val="20"/>
                <w:szCs w:val="20"/>
              </w:rPr>
              <w:t>Кюспета и други твърди остатъци</w:t>
            </w:r>
          </w:p>
        </w:tc>
        <w:tc>
          <w:tcPr>
            <w:tcW w:w="1127" w:type="dxa"/>
            <w:tcBorders>
              <w:top w:val="single" w:sz="4" w:space="0" w:color="auto"/>
              <w:left w:val="nil"/>
              <w:bottom w:val="single" w:sz="4" w:space="0" w:color="auto"/>
              <w:right w:val="single" w:sz="4" w:space="0" w:color="auto"/>
            </w:tcBorders>
            <w:shd w:val="clear" w:color="000000" w:fill="FFFFFF"/>
            <w:noWrap/>
            <w:vAlign w:val="center"/>
            <w:hideMark/>
          </w:tcPr>
          <w:p w14:paraId="132832F5" w14:textId="77777777" w:rsidR="004605ED" w:rsidRPr="004605ED" w:rsidRDefault="004605ED" w:rsidP="004605ED">
            <w:pPr>
              <w:jc w:val="right"/>
              <w:rPr>
                <w:rFonts w:ascii="Arial Narrow" w:hAnsi="Arial Narrow" w:cs="Arial"/>
                <w:sz w:val="20"/>
                <w:szCs w:val="20"/>
              </w:rPr>
            </w:pPr>
            <w:r w:rsidRPr="004605ED">
              <w:rPr>
                <w:rFonts w:ascii="Arial Narrow" w:hAnsi="Arial Narrow" w:cs="Arial"/>
                <w:sz w:val="20"/>
                <w:szCs w:val="20"/>
              </w:rPr>
              <w:t>843 159</w:t>
            </w:r>
          </w:p>
        </w:tc>
        <w:tc>
          <w:tcPr>
            <w:tcW w:w="1069" w:type="dxa"/>
            <w:tcBorders>
              <w:top w:val="single" w:sz="4" w:space="0" w:color="auto"/>
              <w:left w:val="nil"/>
              <w:bottom w:val="single" w:sz="4" w:space="0" w:color="auto"/>
              <w:right w:val="single" w:sz="4" w:space="0" w:color="auto"/>
            </w:tcBorders>
            <w:shd w:val="clear" w:color="000000" w:fill="FFFFFF"/>
            <w:noWrap/>
            <w:vAlign w:val="center"/>
            <w:hideMark/>
          </w:tcPr>
          <w:p w14:paraId="08378ECA" w14:textId="77777777" w:rsidR="004605ED" w:rsidRPr="004605ED" w:rsidRDefault="004605ED" w:rsidP="004605ED">
            <w:pPr>
              <w:jc w:val="right"/>
              <w:rPr>
                <w:rFonts w:ascii="Arial Narrow" w:hAnsi="Arial Narrow" w:cs="Arial"/>
                <w:sz w:val="20"/>
                <w:szCs w:val="20"/>
              </w:rPr>
            </w:pPr>
            <w:r w:rsidRPr="004605ED">
              <w:rPr>
                <w:rFonts w:ascii="Arial Narrow" w:hAnsi="Arial Narrow" w:cs="Arial"/>
                <w:sz w:val="20"/>
                <w:szCs w:val="20"/>
              </w:rPr>
              <w:t>254 847</w:t>
            </w:r>
          </w:p>
        </w:tc>
        <w:tc>
          <w:tcPr>
            <w:tcW w:w="1127" w:type="dxa"/>
            <w:tcBorders>
              <w:top w:val="single" w:sz="4" w:space="0" w:color="auto"/>
              <w:left w:val="nil"/>
              <w:bottom w:val="single" w:sz="4" w:space="0" w:color="auto"/>
              <w:right w:val="single" w:sz="4" w:space="0" w:color="auto"/>
            </w:tcBorders>
            <w:shd w:val="clear" w:color="000000" w:fill="FFFFFF"/>
            <w:noWrap/>
            <w:vAlign w:val="center"/>
            <w:hideMark/>
          </w:tcPr>
          <w:p w14:paraId="566D8E2F" w14:textId="77777777" w:rsidR="004605ED" w:rsidRPr="004605ED" w:rsidRDefault="004605ED" w:rsidP="004605ED">
            <w:pPr>
              <w:jc w:val="right"/>
              <w:rPr>
                <w:rFonts w:ascii="Arial Narrow" w:hAnsi="Arial Narrow" w:cs="Arial"/>
                <w:sz w:val="20"/>
                <w:szCs w:val="20"/>
              </w:rPr>
            </w:pPr>
            <w:r w:rsidRPr="004605ED">
              <w:rPr>
                <w:rFonts w:ascii="Arial Narrow" w:hAnsi="Arial Narrow" w:cs="Arial"/>
                <w:sz w:val="20"/>
                <w:szCs w:val="20"/>
              </w:rPr>
              <w:t>656 475</w:t>
            </w:r>
          </w:p>
        </w:tc>
        <w:tc>
          <w:tcPr>
            <w:tcW w:w="1069" w:type="dxa"/>
            <w:tcBorders>
              <w:top w:val="single" w:sz="4" w:space="0" w:color="auto"/>
              <w:left w:val="nil"/>
              <w:bottom w:val="single" w:sz="4" w:space="0" w:color="auto"/>
              <w:right w:val="single" w:sz="4" w:space="0" w:color="auto"/>
            </w:tcBorders>
            <w:shd w:val="clear" w:color="000000" w:fill="FFFFFF"/>
            <w:noWrap/>
            <w:vAlign w:val="center"/>
            <w:hideMark/>
          </w:tcPr>
          <w:p w14:paraId="43F480C2" w14:textId="77777777" w:rsidR="004605ED" w:rsidRPr="004605ED" w:rsidRDefault="004605ED" w:rsidP="004605ED">
            <w:pPr>
              <w:jc w:val="right"/>
              <w:rPr>
                <w:rFonts w:ascii="Arial Narrow" w:hAnsi="Arial Narrow" w:cs="Arial"/>
                <w:sz w:val="20"/>
                <w:szCs w:val="20"/>
              </w:rPr>
            </w:pPr>
            <w:r w:rsidRPr="004605ED">
              <w:rPr>
                <w:rFonts w:ascii="Arial Narrow" w:hAnsi="Arial Narrow" w:cs="Arial"/>
                <w:sz w:val="20"/>
                <w:szCs w:val="20"/>
              </w:rPr>
              <w:t>178 271</w:t>
            </w:r>
          </w:p>
        </w:tc>
        <w:tc>
          <w:tcPr>
            <w:tcW w:w="1127" w:type="dxa"/>
            <w:tcBorders>
              <w:top w:val="single" w:sz="4" w:space="0" w:color="auto"/>
              <w:left w:val="nil"/>
              <w:bottom w:val="single" w:sz="4" w:space="0" w:color="auto"/>
              <w:right w:val="single" w:sz="4" w:space="0" w:color="auto"/>
            </w:tcBorders>
            <w:shd w:val="clear" w:color="000000" w:fill="FFFFFF"/>
            <w:vAlign w:val="center"/>
            <w:hideMark/>
          </w:tcPr>
          <w:p w14:paraId="15FC6A98" w14:textId="77777777" w:rsidR="004605ED" w:rsidRPr="004605ED" w:rsidRDefault="004605ED" w:rsidP="004605ED">
            <w:pPr>
              <w:jc w:val="right"/>
              <w:rPr>
                <w:rFonts w:ascii="Arial Narrow" w:hAnsi="Arial Narrow" w:cs="Arial"/>
                <w:sz w:val="20"/>
                <w:szCs w:val="20"/>
              </w:rPr>
            </w:pPr>
            <w:r w:rsidRPr="004605ED">
              <w:rPr>
                <w:rFonts w:ascii="Arial Narrow" w:hAnsi="Arial Narrow" w:cs="Arial"/>
                <w:sz w:val="20"/>
                <w:szCs w:val="20"/>
              </w:rPr>
              <w:t>-22,1%</w:t>
            </w:r>
          </w:p>
        </w:tc>
        <w:tc>
          <w:tcPr>
            <w:tcW w:w="1057" w:type="dxa"/>
            <w:tcBorders>
              <w:top w:val="single" w:sz="4" w:space="0" w:color="auto"/>
              <w:left w:val="nil"/>
              <w:bottom w:val="single" w:sz="4" w:space="0" w:color="auto"/>
              <w:right w:val="single" w:sz="4" w:space="0" w:color="auto"/>
            </w:tcBorders>
            <w:shd w:val="clear" w:color="000000" w:fill="FFFFFF"/>
            <w:vAlign w:val="center"/>
            <w:hideMark/>
          </w:tcPr>
          <w:p w14:paraId="0F921413" w14:textId="77777777" w:rsidR="004605ED" w:rsidRPr="004605ED" w:rsidRDefault="004605ED" w:rsidP="004605ED">
            <w:pPr>
              <w:jc w:val="right"/>
              <w:rPr>
                <w:rFonts w:ascii="Arial Narrow" w:hAnsi="Arial Narrow" w:cs="Arial"/>
                <w:sz w:val="20"/>
                <w:szCs w:val="20"/>
              </w:rPr>
            </w:pPr>
            <w:r w:rsidRPr="004605ED">
              <w:rPr>
                <w:rFonts w:ascii="Arial Narrow" w:hAnsi="Arial Narrow" w:cs="Arial"/>
                <w:sz w:val="20"/>
                <w:szCs w:val="20"/>
              </w:rPr>
              <w:t>-30,0%</w:t>
            </w:r>
          </w:p>
        </w:tc>
      </w:tr>
      <w:tr w:rsidR="004605ED" w:rsidRPr="004605ED" w14:paraId="288F3BF2" w14:textId="77777777" w:rsidTr="004605ED">
        <w:trPr>
          <w:trHeight w:val="238"/>
        </w:trPr>
        <w:tc>
          <w:tcPr>
            <w:tcW w:w="3216" w:type="dxa"/>
            <w:tcBorders>
              <w:top w:val="nil"/>
              <w:left w:val="single" w:sz="4" w:space="0" w:color="auto"/>
              <w:bottom w:val="single" w:sz="4" w:space="0" w:color="auto"/>
              <w:right w:val="single" w:sz="4" w:space="0" w:color="auto"/>
            </w:tcBorders>
            <w:shd w:val="clear" w:color="000000" w:fill="FFFFFF"/>
            <w:vAlign w:val="center"/>
            <w:hideMark/>
          </w:tcPr>
          <w:p w14:paraId="3FA26C85" w14:textId="77777777" w:rsidR="004605ED" w:rsidRPr="004605ED" w:rsidRDefault="004605ED" w:rsidP="004605ED">
            <w:pPr>
              <w:rPr>
                <w:rFonts w:ascii="Arial Narrow" w:hAnsi="Arial Narrow" w:cs="Arial"/>
                <w:sz w:val="20"/>
                <w:szCs w:val="20"/>
              </w:rPr>
            </w:pPr>
            <w:r w:rsidRPr="004605ED">
              <w:rPr>
                <w:rFonts w:ascii="Arial Narrow" w:hAnsi="Arial Narrow" w:cs="Arial"/>
                <w:sz w:val="20"/>
                <w:szCs w:val="20"/>
              </w:rPr>
              <w:t>Масло, мазнина и течно масло от какао</w:t>
            </w:r>
          </w:p>
        </w:tc>
        <w:tc>
          <w:tcPr>
            <w:tcW w:w="1127" w:type="dxa"/>
            <w:tcBorders>
              <w:top w:val="nil"/>
              <w:left w:val="nil"/>
              <w:bottom w:val="single" w:sz="4" w:space="0" w:color="auto"/>
              <w:right w:val="single" w:sz="4" w:space="0" w:color="auto"/>
            </w:tcBorders>
            <w:shd w:val="clear" w:color="000000" w:fill="FFFFFF"/>
            <w:noWrap/>
            <w:vAlign w:val="center"/>
            <w:hideMark/>
          </w:tcPr>
          <w:p w14:paraId="5529FA6A" w14:textId="77777777" w:rsidR="004605ED" w:rsidRPr="004605ED" w:rsidRDefault="004605ED" w:rsidP="004605ED">
            <w:pPr>
              <w:jc w:val="right"/>
              <w:rPr>
                <w:rFonts w:ascii="Arial Narrow" w:hAnsi="Arial Narrow" w:cs="Arial"/>
                <w:sz w:val="20"/>
                <w:szCs w:val="20"/>
              </w:rPr>
            </w:pPr>
            <w:r w:rsidRPr="004605ED">
              <w:rPr>
                <w:rFonts w:ascii="Arial Narrow" w:hAnsi="Arial Narrow" w:cs="Arial"/>
                <w:sz w:val="20"/>
                <w:szCs w:val="20"/>
              </w:rPr>
              <w:t>7 011</w:t>
            </w:r>
          </w:p>
        </w:tc>
        <w:tc>
          <w:tcPr>
            <w:tcW w:w="1069" w:type="dxa"/>
            <w:tcBorders>
              <w:top w:val="nil"/>
              <w:left w:val="nil"/>
              <w:bottom w:val="single" w:sz="4" w:space="0" w:color="auto"/>
              <w:right w:val="single" w:sz="4" w:space="0" w:color="auto"/>
            </w:tcBorders>
            <w:shd w:val="clear" w:color="000000" w:fill="FFFFFF"/>
            <w:noWrap/>
            <w:vAlign w:val="center"/>
            <w:hideMark/>
          </w:tcPr>
          <w:p w14:paraId="46789504" w14:textId="77777777" w:rsidR="004605ED" w:rsidRPr="004605ED" w:rsidRDefault="004605ED" w:rsidP="004605ED">
            <w:pPr>
              <w:jc w:val="right"/>
              <w:rPr>
                <w:rFonts w:ascii="Arial Narrow" w:hAnsi="Arial Narrow" w:cs="Arial"/>
                <w:sz w:val="20"/>
                <w:szCs w:val="20"/>
              </w:rPr>
            </w:pPr>
            <w:r w:rsidRPr="004605ED">
              <w:rPr>
                <w:rFonts w:ascii="Arial Narrow" w:hAnsi="Arial Narrow" w:cs="Arial"/>
                <w:sz w:val="20"/>
                <w:szCs w:val="20"/>
              </w:rPr>
              <w:t>34 371</w:t>
            </w:r>
          </w:p>
        </w:tc>
        <w:tc>
          <w:tcPr>
            <w:tcW w:w="1127" w:type="dxa"/>
            <w:tcBorders>
              <w:top w:val="nil"/>
              <w:left w:val="nil"/>
              <w:bottom w:val="single" w:sz="4" w:space="0" w:color="auto"/>
              <w:right w:val="single" w:sz="4" w:space="0" w:color="auto"/>
            </w:tcBorders>
            <w:shd w:val="clear" w:color="000000" w:fill="FFFFFF"/>
            <w:noWrap/>
            <w:vAlign w:val="center"/>
            <w:hideMark/>
          </w:tcPr>
          <w:p w14:paraId="1AF9927F" w14:textId="77777777" w:rsidR="004605ED" w:rsidRPr="004605ED" w:rsidRDefault="004605ED" w:rsidP="004605ED">
            <w:pPr>
              <w:jc w:val="right"/>
              <w:rPr>
                <w:rFonts w:ascii="Arial Narrow" w:hAnsi="Arial Narrow" w:cs="Arial"/>
                <w:sz w:val="20"/>
                <w:szCs w:val="20"/>
              </w:rPr>
            </w:pPr>
            <w:r w:rsidRPr="004605ED">
              <w:rPr>
                <w:rFonts w:ascii="Arial Narrow" w:hAnsi="Arial Narrow" w:cs="Arial"/>
                <w:sz w:val="20"/>
                <w:szCs w:val="20"/>
              </w:rPr>
              <w:t>10 694</w:t>
            </w:r>
          </w:p>
        </w:tc>
        <w:tc>
          <w:tcPr>
            <w:tcW w:w="1069" w:type="dxa"/>
            <w:tcBorders>
              <w:top w:val="nil"/>
              <w:left w:val="nil"/>
              <w:bottom w:val="single" w:sz="4" w:space="0" w:color="auto"/>
              <w:right w:val="single" w:sz="4" w:space="0" w:color="auto"/>
            </w:tcBorders>
            <w:shd w:val="clear" w:color="000000" w:fill="FFFFFF"/>
            <w:noWrap/>
            <w:vAlign w:val="center"/>
            <w:hideMark/>
          </w:tcPr>
          <w:p w14:paraId="7375D605" w14:textId="77777777" w:rsidR="004605ED" w:rsidRPr="004605ED" w:rsidRDefault="004605ED" w:rsidP="004605ED">
            <w:pPr>
              <w:jc w:val="right"/>
              <w:rPr>
                <w:rFonts w:ascii="Arial Narrow" w:hAnsi="Arial Narrow" w:cs="Arial"/>
                <w:sz w:val="20"/>
                <w:szCs w:val="20"/>
              </w:rPr>
            </w:pPr>
            <w:r w:rsidRPr="004605ED">
              <w:rPr>
                <w:rFonts w:ascii="Arial Narrow" w:hAnsi="Arial Narrow" w:cs="Arial"/>
                <w:sz w:val="20"/>
                <w:szCs w:val="20"/>
              </w:rPr>
              <w:t>172 354</w:t>
            </w:r>
          </w:p>
        </w:tc>
        <w:tc>
          <w:tcPr>
            <w:tcW w:w="1127" w:type="dxa"/>
            <w:tcBorders>
              <w:top w:val="nil"/>
              <w:left w:val="nil"/>
              <w:bottom w:val="single" w:sz="4" w:space="0" w:color="auto"/>
              <w:right w:val="single" w:sz="4" w:space="0" w:color="auto"/>
            </w:tcBorders>
            <w:shd w:val="clear" w:color="000000" w:fill="FFFFFF"/>
            <w:vAlign w:val="center"/>
            <w:hideMark/>
          </w:tcPr>
          <w:p w14:paraId="0AA06D63" w14:textId="77777777" w:rsidR="004605ED" w:rsidRPr="004605ED" w:rsidRDefault="004605ED" w:rsidP="004605ED">
            <w:pPr>
              <w:jc w:val="right"/>
              <w:rPr>
                <w:rFonts w:ascii="Arial Narrow" w:hAnsi="Arial Narrow" w:cs="Arial"/>
                <w:sz w:val="20"/>
                <w:szCs w:val="20"/>
              </w:rPr>
            </w:pPr>
            <w:r w:rsidRPr="004605ED">
              <w:rPr>
                <w:rFonts w:ascii="Arial Narrow" w:hAnsi="Arial Narrow" w:cs="Arial"/>
                <w:sz w:val="20"/>
                <w:szCs w:val="20"/>
              </w:rPr>
              <w:t>52,5%</w:t>
            </w:r>
          </w:p>
        </w:tc>
        <w:tc>
          <w:tcPr>
            <w:tcW w:w="1057" w:type="dxa"/>
            <w:tcBorders>
              <w:top w:val="nil"/>
              <w:left w:val="nil"/>
              <w:bottom w:val="single" w:sz="4" w:space="0" w:color="auto"/>
              <w:right w:val="single" w:sz="4" w:space="0" w:color="auto"/>
            </w:tcBorders>
            <w:shd w:val="clear" w:color="000000" w:fill="FFFFFF"/>
            <w:vAlign w:val="center"/>
            <w:hideMark/>
          </w:tcPr>
          <w:p w14:paraId="47913446" w14:textId="77777777" w:rsidR="004605ED" w:rsidRPr="004605ED" w:rsidRDefault="004605ED" w:rsidP="004605ED">
            <w:pPr>
              <w:jc w:val="right"/>
              <w:rPr>
                <w:rFonts w:ascii="Arial Narrow" w:hAnsi="Arial Narrow" w:cs="Arial"/>
                <w:sz w:val="20"/>
                <w:szCs w:val="20"/>
              </w:rPr>
            </w:pPr>
            <w:r w:rsidRPr="004605ED">
              <w:rPr>
                <w:rFonts w:ascii="Arial Narrow" w:hAnsi="Arial Narrow" w:cs="Arial"/>
                <w:sz w:val="20"/>
                <w:szCs w:val="20"/>
              </w:rPr>
              <w:t>401,5%</w:t>
            </w:r>
          </w:p>
        </w:tc>
      </w:tr>
      <w:tr w:rsidR="004605ED" w:rsidRPr="004605ED" w14:paraId="1B6816BE" w14:textId="77777777" w:rsidTr="004605ED">
        <w:trPr>
          <w:trHeight w:val="476"/>
        </w:trPr>
        <w:tc>
          <w:tcPr>
            <w:tcW w:w="3216" w:type="dxa"/>
            <w:tcBorders>
              <w:top w:val="nil"/>
              <w:left w:val="single" w:sz="4" w:space="0" w:color="auto"/>
              <w:bottom w:val="single" w:sz="4" w:space="0" w:color="auto"/>
              <w:right w:val="single" w:sz="4" w:space="0" w:color="auto"/>
            </w:tcBorders>
            <w:shd w:val="clear" w:color="000000" w:fill="FFFFFF"/>
            <w:vAlign w:val="center"/>
            <w:hideMark/>
          </w:tcPr>
          <w:p w14:paraId="19FB7694" w14:textId="77777777" w:rsidR="004605ED" w:rsidRPr="004605ED" w:rsidRDefault="004605ED" w:rsidP="004605ED">
            <w:pPr>
              <w:rPr>
                <w:rFonts w:ascii="Arial Narrow" w:hAnsi="Arial Narrow" w:cs="Arial"/>
                <w:sz w:val="20"/>
                <w:szCs w:val="20"/>
              </w:rPr>
            </w:pPr>
            <w:r w:rsidRPr="004605ED">
              <w:rPr>
                <w:rFonts w:ascii="Arial Narrow" w:hAnsi="Arial Narrow" w:cs="Arial"/>
                <w:sz w:val="20"/>
                <w:szCs w:val="20"/>
              </w:rPr>
              <w:t>Живи животни от рода на едрия рогат добитък</w:t>
            </w:r>
          </w:p>
        </w:tc>
        <w:tc>
          <w:tcPr>
            <w:tcW w:w="1127" w:type="dxa"/>
            <w:tcBorders>
              <w:top w:val="nil"/>
              <w:left w:val="nil"/>
              <w:bottom w:val="single" w:sz="4" w:space="0" w:color="auto"/>
              <w:right w:val="single" w:sz="4" w:space="0" w:color="auto"/>
            </w:tcBorders>
            <w:shd w:val="clear" w:color="000000" w:fill="FFFFFF"/>
            <w:noWrap/>
            <w:vAlign w:val="center"/>
            <w:hideMark/>
          </w:tcPr>
          <w:p w14:paraId="5F00C010" w14:textId="77777777" w:rsidR="004605ED" w:rsidRPr="004605ED" w:rsidRDefault="004605ED" w:rsidP="004605ED">
            <w:pPr>
              <w:jc w:val="right"/>
              <w:rPr>
                <w:rFonts w:ascii="Arial Narrow" w:hAnsi="Arial Narrow" w:cs="Arial"/>
                <w:sz w:val="20"/>
                <w:szCs w:val="20"/>
              </w:rPr>
            </w:pPr>
            <w:r w:rsidRPr="004605ED">
              <w:rPr>
                <w:rFonts w:ascii="Arial Narrow" w:hAnsi="Arial Narrow" w:cs="Arial"/>
                <w:sz w:val="20"/>
                <w:szCs w:val="20"/>
              </w:rPr>
              <w:t>43 666</w:t>
            </w:r>
          </w:p>
        </w:tc>
        <w:tc>
          <w:tcPr>
            <w:tcW w:w="1069" w:type="dxa"/>
            <w:tcBorders>
              <w:top w:val="nil"/>
              <w:left w:val="nil"/>
              <w:bottom w:val="single" w:sz="4" w:space="0" w:color="auto"/>
              <w:right w:val="single" w:sz="4" w:space="0" w:color="auto"/>
            </w:tcBorders>
            <w:shd w:val="clear" w:color="000000" w:fill="FFFFFF"/>
            <w:noWrap/>
            <w:vAlign w:val="center"/>
            <w:hideMark/>
          </w:tcPr>
          <w:p w14:paraId="3AD51DC6" w14:textId="77777777" w:rsidR="004605ED" w:rsidRPr="004605ED" w:rsidRDefault="004605ED" w:rsidP="004605ED">
            <w:pPr>
              <w:jc w:val="right"/>
              <w:rPr>
                <w:rFonts w:ascii="Arial Narrow" w:hAnsi="Arial Narrow" w:cs="Arial"/>
                <w:sz w:val="20"/>
                <w:szCs w:val="20"/>
              </w:rPr>
            </w:pPr>
            <w:r w:rsidRPr="004605ED">
              <w:rPr>
                <w:rFonts w:ascii="Arial Narrow" w:hAnsi="Arial Narrow" w:cs="Arial"/>
                <w:sz w:val="20"/>
                <w:szCs w:val="20"/>
              </w:rPr>
              <w:t>179 167</w:t>
            </w:r>
          </w:p>
        </w:tc>
        <w:tc>
          <w:tcPr>
            <w:tcW w:w="1127" w:type="dxa"/>
            <w:tcBorders>
              <w:top w:val="nil"/>
              <w:left w:val="nil"/>
              <w:bottom w:val="single" w:sz="4" w:space="0" w:color="auto"/>
              <w:right w:val="single" w:sz="4" w:space="0" w:color="auto"/>
            </w:tcBorders>
            <w:shd w:val="clear" w:color="000000" w:fill="FFFFFF"/>
            <w:noWrap/>
            <w:vAlign w:val="center"/>
            <w:hideMark/>
          </w:tcPr>
          <w:p w14:paraId="1CE4075A" w14:textId="77777777" w:rsidR="004605ED" w:rsidRPr="004605ED" w:rsidRDefault="004605ED" w:rsidP="004605ED">
            <w:pPr>
              <w:jc w:val="right"/>
              <w:rPr>
                <w:rFonts w:ascii="Arial Narrow" w:hAnsi="Arial Narrow" w:cs="Arial"/>
                <w:sz w:val="20"/>
                <w:szCs w:val="20"/>
              </w:rPr>
            </w:pPr>
            <w:r w:rsidRPr="004605ED">
              <w:rPr>
                <w:rFonts w:ascii="Arial Narrow" w:hAnsi="Arial Narrow" w:cs="Arial"/>
                <w:sz w:val="20"/>
                <w:szCs w:val="20"/>
              </w:rPr>
              <w:t>35 607</w:t>
            </w:r>
          </w:p>
        </w:tc>
        <w:tc>
          <w:tcPr>
            <w:tcW w:w="1069" w:type="dxa"/>
            <w:tcBorders>
              <w:top w:val="nil"/>
              <w:left w:val="nil"/>
              <w:bottom w:val="single" w:sz="4" w:space="0" w:color="auto"/>
              <w:right w:val="single" w:sz="4" w:space="0" w:color="auto"/>
            </w:tcBorders>
            <w:shd w:val="clear" w:color="000000" w:fill="FFFFFF"/>
            <w:noWrap/>
            <w:vAlign w:val="center"/>
            <w:hideMark/>
          </w:tcPr>
          <w:p w14:paraId="72FADA0A" w14:textId="77777777" w:rsidR="004605ED" w:rsidRPr="004605ED" w:rsidRDefault="004605ED" w:rsidP="004605ED">
            <w:pPr>
              <w:jc w:val="right"/>
              <w:rPr>
                <w:rFonts w:ascii="Arial Narrow" w:hAnsi="Arial Narrow" w:cs="Arial"/>
                <w:sz w:val="20"/>
                <w:szCs w:val="20"/>
              </w:rPr>
            </w:pPr>
            <w:r w:rsidRPr="004605ED">
              <w:rPr>
                <w:rFonts w:ascii="Arial Narrow" w:hAnsi="Arial Narrow" w:cs="Arial"/>
                <w:sz w:val="20"/>
                <w:szCs w:val="20"/>
              </w:rPr>
              <w:t>162 483</w:t>
            </w:r>
          </w:p>
        </w:tc>
        <w:tc>
          <w:tcPr>
            <w:tcW w:w="1127" w:type="dxa"/>
            <w:tcBorders>
              <w:top w:val="nil"/>
              <w:left w:val="nil"/>
              <w:bottom w:val="single" w:sz="4" w:space="0" w:color="auto"/>
              <w:right w:val="single" w:sz="4" w:space="0" w:color="auto"/>
            </w:tcBorders>
            <w:shd w:val="clear" w:color="000000" w:fill="FFFFFF"/>
            <w:vAlign w:val="center"/>
            <w:hideMark/>
          </w:tcPr>
          <w:p w14:paraId="1C8BA360" w14:textId="77777777" w:rsidR="004605ED" w:rsidRPr="004605ED" w:rsidRDefault="004605ED" w:rsidP="004605ED">
            <w:pPr>
              <w:jc w:val="right"/>
              <w:rPr>
                <w:rFonts w:ascii="Arial Narrow" w:hAnsi="Arial Narrow" w:cs="Arial"/>
                <w:sz w:val="20"/>
                <w:szCs w:val="20"/>
              </w:rPr>
            </w:pPr>
            <w:r w:rsidRPr="004605ED">
              <w:rPr>
                <w:rFonts w:ascii="Arial Narrow" w:hAnsi="Arial Narrow" w:cs="Arial"/>
                <w:sz w:val="20"/>
                <w:szCs w:val="20"/>
              </w:rPr>
              <w:t>-18,5%</w:t>
            </w:r>
          </w:p>
        </w:tc>
        <w:tc>
          <w:tcPr>
            <w:tcW w:w="1057" w:type="dxa"/>
            <w:tcBorders>
              <w:top w:val="nil"/>
              <w:left w:val="nil"/>
              <w:bottom w:val="single" w:sz="4" w:space="0" w:color="auto"/>
              <w:right w:val="single" w:sz="4" w:space="0" w:color="auto"/>
            </w:tcBorders>
            <w:shd w:val="clear" w:color="000000" w:fill="FFFFFF"/>
            <w:vAlign w:val="center"/>
            <w:hideMark/>
          </w:tcPr>
          <w:p w14:paraId="34076986" w14:textId="77777777" w:rsidR="004605ED" w:rsidRPr="004605ED" w:rsidRDefault="004605ED" w:rsidP="004605ED">
            <w:pPr>
              <w:jc w:val="right"/>
              <w:rPr>
                <w:rFonts w:ascii="Arial Narrow" w:hAnsi="Arial Narrow" w:cs="Arial"/>
                <w:sz w:val="20"/>
                <w:szCs w:val="20"/>
              </w:rPr>
            </w:pPr>
            <w:r w:rsidRPr="004605ED">
              <w:rPr>
                <w:rFonts w:ascii="Arial Narrow" w:hAnsi="Arial Narrow" w:cs="Arial"/>
                <w:sz w:val="20"/>
                <w:szCs w:val="20"/>
              </w:rPr>
              <w:t>-9,3%</w:t>
            </w:r>
          </w:p>
        </w:tc>
      </w:tr>
      <w:tr w:rsidR="004605ED" w:rsidRPr="004605ED" w14:paraId="69B122CE" w14:textId="77777777" w:rsidTr="004605ED">
        <w:trPr>
          <w:trHeight w:val="238"/>
        </w:trPr>
        <w:tc>
          <w:tcPr>
            <w:tcW w:w="3216" w:type="dxa"/>
            <w:tcBorders>
              <w:top w:val="nil"/>
              <w:left w:val="single" w:sz="4" w:space="0" w:color="auto"/>
              <w:bottom w:val="single" w:sz="4" w:space="0" w:color="auto"/>
              <w:right w:val="single" w:sz="4" w:space="0" w:color="auto"/>
            </w:tcBorders>
            <w:shd w:val="clear" w:color="000000" w:fill="FFFFFF"/>
            <w:vAlign w:val="center"/>
            <w:hideMark/>
          </w:tcPr>
          <w:p w14:paraId="033D416E" w14:textId="77777777" w:rsidR="004605ED" w:rsidRPr="004605ED" w:rsidRDefault="004605ED" w:rsidP="004605ED">
            <w:pPr>
              <w:rPr>
                <w:rFonts w:ascii="Arial Narrow" w:hAnsi="Arial Narrow" w:cs="Arial"/>
                <w:sz w:val="20"/>
                <w:szCs w:val="20"/>
              </w:rPr>
            </w:pPr>
            <w:r w:rsidRPr="004605ED">
              <w:rPr>
                <w:rFonts w:ascii="Arial Narrow" w:hAnsi="Arial Narrow" w:cs="Arial"/>
                <w:sz w:val="20"/>
                <w:szCs w:val="20"/>
              </w:rPr>
              <w:t>Ечемик</w:t>
            </w:r>
          </w:p>
        </w:tc>
        <w:tc>
          <w:tcPr>
            <w:tcW w:w="1127" w:type="dxa"/>
            <w:tcBorders>
              <w:top w:val="nil"/>
              <w:left w:val="nil"/>
              <w:bottom w:val="single" w:sz="4" w:space="0" w:color="auto"/>
              <w:right w:val="single" w:sz="4" w:space="0" w:color="auto"/>
            </w:tcBorders>
            <w:shd w:val="clear" w:color="000000" w:fill="FFFFFF"/>
            <w:noWrap/>
            <w:vAlign w:val="center"/>
            <w:hideMark/>
          </w:tcPr>
          <w:p w14:paraId="6003DA99" w14:textId="77777777" w:rsidR="004605ED" w:rsidRPr="004605ED" w:rsidRDefault="004605ED" w:rsidP="004605ED">
            <w:pPr>
              <w:jc w:val="right"/>
              <w:rPr>
                <w:rFonts w:ascii="Arial Narrow" w:hAnsi="Arial Narrow" w:cs="Arial"/>
                <w:sz w:val="20"/>
                <w:szCs w:val="20"/>
              </w:rPr>
            </w:pPr>
            <w:r w:rsidRPr="004605ED">
              <w:rPr>
                <w:rFonts w:ascii="Arial Narrow" w:hAnsi="Arial Narrow" w:cs="Arial"/>
                <w:sz w:val="20"/>
                <w:szCs w:val="20"/>
              </w:rPr>
              <w:t>525 295</w:t>
            </w:r>
          </w:p>
        </w:tc>
        <w:tc>
          <w:tcPr>
            <w:tcW w:w="1069" w:type="dxa"/>
            <w:tcBorders>
              <w:top w:val="nil"/>
              <w:left w:val="nil"/>
              <w:bottom w:val="single" w:sz="4" w:space="0" w:color="auto"/>
              <w:right w:val="single" w:sz="4" w:space="0" w:color="auto"/>
            </w:tcBorders>
            <w:shd w:val="clear" w:color="000000" w:fill="FFFFFF"/>
            <w:noWrap/>
            <w:vAlign w:val="center"/>
            <w:hideMark/>
          </w:tcPr>
          <w:p w14:paraId="0EE5FDEC" w14:textId="77777777" w:rsidR="004605ED" w:rsidRPr="004605ED" w:rsidRDefault="004605ED" w:rsidP="004605ED">
            <w:pPr>
              <w:jc w:val="right"/>
              <w:rPr>
                <w:rFonts w:ascii="Arial Narrow" w:hAnsi="Arial Narrow" w:cs="Arial"/>
                <w:sz w:val="20"/>
                <w:szCs w:val="20"/>
              </w:rPr>
            </w:pPr>
            <w:r w:rsidRPr="004605ED">
              <w:rPr>
                <w:rFonts w:ascii="Arial Narrow" w:hAnsi="Arial Narrow" w:cs="Arial"/>
                <w:sz w:val="20"/>
                <w:szCs w:val="20"/>
              </w:rPr>
              <w:t>110 044</w:t>
            </w:r>
          </w:p>
        </w:tc>
        <w:tc>
          <w:tcPr>
            <w:tcW w:w="1127" w:type="dxa"/>
            <w:tcBorders>
              <w:top w:val="nil"/>
              <w:left w:val="nil"/>
              <w:bottom w:val="single" w:sz="4" w:space="0" w:color="auto"/>
              <w:right w:val="single" w:sz="4" w:space="0" w:color="auto"/>
            </w:tcBorders>
            <w:shd w:val="clear" w:color="000000" w:fill="FFFFFF"/>
            <w:noWrap/>
            <w:vAlign w:val="center"/>
            <w:hideMark/>
          </w:tcPr>
          <w:p w14:paraId="284B0527" w14:textId="77777777" w:rsidR="004605ED" w:rsidRPr="004605ED" w:rsidRDefault="004605ED" w:rsidP="004605ED">
            <w:pPr>
              <w:jc w:val="right"/>
              <w:rPr>
                <w:rFonts w:ascii="Arial Narrow" w:hAnsi="Arial Narrow" w:cs="Arial"/>
                <w:sz w:val="20"/>
                <w:szCs w:val="20"/>
              </w:rPr>
            </w:pPr>
            <w:r w:rsidRPr="004605ED">
              <w:rPr>
                <w:rFonts w:ascii="Arial Narrow" w:hAnsi="Arial Narrow" w:cs="Arial"/>
                <w:sz w:val="20"/>
                <w:szCs w:val="20"/>
              </w:rPr>
              <w:t>859 082</w:t>
            </w:r>
          </w:p>
        </w:tc>
        <w:tc>
          <w:tcPr>
            <w:tcW w:w="1069" w:type="dxa"/>
            <w:tcBorders>
              <w:top w:val="nil"/>
              <w:left w:val="nil"/>
              <w:bottom w:val="single" w:sz="4" w:space="0" w:color="auto"/>
              <w:right w:val="single" w:sz="4" w:space="0" w:color="auto"/>
            </w:tcBorders>
            <w:shd w:val="clear" w:color="000000" w:fill="FFFFFF"/>
            <w:noWrap/>
            <w:vAlign w:val="center"/>
            <w:hideMark/>
          </w:tcPr>
          <w:p w14:paraId="61116868" w14:textId="77777777" w:rsidR="004605ED" w:rsidRPr="004605ED" w:rsidRDefault="004605ED" w:rsidP="004605ED">
            <w:pPr>
              <w:jc w:val="right"/>
              <w:rPr>
                <w:rFonts w:ascii="Arial Narrow" w:hAnsi="Arial Narrow" w:cs="Arial"/>
                <w:color w:val="000000"/>
                <w:sz w:val="20"/>
                <w:szCs w:val="20"/>
              </w:rPr>
            </w:pPr>
            <w:r w:rsidRPr="004605ED">
              <w:rPr>
                <w:rFonts w:ascii="Arial Narrow" w:hAnsi="Arial Narrow" w:cs="Arial"/>
                <w:color w:val="000000"/>
                <w:sz w:val="20"/>
                <w:szCs w:val="20"/>
              </w:rPr>
              <w:t>156 873</w:t>
            </w:r>
          </w:p>
        </w:tc>
        <w:tc>
          <w:tcPr>
            <w:tcW w:w="1127" w:type="dxa"/>
            <w:tcBorders>
              <w:top w:val="nil"/>
              <w:left w:val="nil"/>
              <w:bottom w:val="single" w:sz="4" w:space="0" w:color="auto"/>
              <w:right w:val="single" w:sz="4" w:space="0" w:color="auto"/>
            </w:tcBorders>
            <w:shd w:val="clear" w:color="000000" w:fill="FFFFFF"/>
            <w:vAlign w:val="center"/>
            <w:hideMark/>
          </w:tcPr>
          <w:p w14:paraId="73DF434E" w14:textId="77777777" w:rsidR="004605ED" w:rsidRPr="004605ED" w:rsidRDefault="004605ED" w:rsidP="004605ED">
            <w:pPr>
              <w:jc w:val="right"/>
              <w:rPr>
                <w:rFonts w:ascii="Arial Narrow" w:hAnsi="Arial Narrow" w:cs="Arial"/>
                <w:sz w:val="20"/>
                <w:szCs w:val="20"/>
              </w:rPr>
            </w:pPr>
            <w:r w:rsidRPr="004605ED">
              <w:rPr>
                <w:rFonts w:ascii="Arial Narrow" w:hAnsi="Arial Narrow" w:cs="Arial"/>
                <w:sz w:val="20"/>
                <w:szCs w:val="20"/>
              </w:rPr>
              <w:t>63,5%</w:t>
            </w:r>
          </w:p>
        </w:tc>
        <w:tc>
          <w:tcPr>
            <w:tcW w:w="1057" w:type="dxa"/>
            <w:tcBorders>
              <w:top w:val="nil"/>
              <w:left w:val="nil"/>
              <w:bottom w:val="single" w:sz="4" w:space="0" w:color="auto"/>
              <w:right w:val="single" w:sz="4" w:space="0" w:color="auto"/>
            </w:tcBorders>
            <w:shd w:val="clear" w:color="000000" w:fill="FFFFFF"/>
            <w:vAlign w:val="center"/>
            <w:hideMark/>
          </w:tcPr>
          <w:p w14:paraId="57260C42" w14:textId="77777777" w:rsidR="004605ED" w:rsidRPr="004605ED" w:rsidRDefault="004605ED" w:rsidP="004605ED">
            <w:pPr>
              <w:jc w:val="right"/>
              <w:rPr>
                <w:rFonts w:ascii="Arial Narrow" w:hAnsi="Arial Narrow" w:cs="Arial"/>
                <w:sz w:val="20"/>
                <w:szCs w:val="20"/>
              </w:rPr>
            </w:pPr>
            <w:r w:rsidRPr="004605ED">
              <w:rPr>
                <w:rFonts w:ascii="Arial Narrow" w:hAnsi="Arial Narrow" w:cs="Arial"/>
                <w:sz w:val="20"/>
                <w:szCs w:val="20"/>
              </w:rPr>
              <w:t>42,6%</w:t>
            </w:r>
          </w:p>
        </w:tc>
      </w:tr>
      <w:tr w:rsidR="004605ED" w:rsidRPr="004605ED" w14:paraId="0A20DCD2" w14:textId="77777777" w:rsidTr="004605ED">
        <w:trPr>
          <w:trHeight w:val="238"/>
        </w:trPr>
        <w:tc>
          <w:tcPr>
            <w:tcW w:w="3216" w:type="dxa"/>
            <w:tcBorders>
              <w:top w:val="nil"/>
              <w:left w:val="single" w:sz="4" w:space="0" w:color="auto"/>
              <w:bottom w:val="single" w:sz="4" w:space="0" w:color="auto"/>
              <w:right w:val="single" w:sz="4" w:space="0" w:color="auto"/>
            </w:tcBorders>
            <w:shd w:val="clear" w:color="000000" w:fill="FFFFFF"/>
            <w:vAlign w:val="center"/>
            <w:hideMark/>
          </w:tcPr>
          <w:p w14:paraId="4B912914" w14:textId="77777777" w:rsidR="004605ED" w:rsidRPr="004605ED" w:rsidRDefault="004605ED" w:rsidP="004605ED">
            <w:pPr>
              <w:rPr>
                <w:rFonts w:ascii="Arial Narrow" w:hAnsi="Arial Narrow" w:cs="Arial"/>
                <w:sz w:val="20"/>
                <w:szCs w:val="20"/>
              </w:rPr>
            </w:pPr>
            <w:r w:rsidRPr="004605ED">
              <w:rPr>
                <w:rFonts w:ascii="Arial Narrow" w:hAnsi="Arial Narrow" w:cs="Arial"/>
                <w:sz w:val="20"/>
                <w:szCs w:val="20"/>
              </w:rPr>
              <w:t>Птиче месo и карантии</w:t>
            </w:r>
          </w:p>
        </w:tc>
        <w:tc>
          <w:tcPr>
            <w:tcW w:w="1127" w:type="dxa"/>
            <w:tcBorders>
              <w:top w:val="nil"/>
              <w:left w:val="nil"/>
              <w:bottom w:val="single" w:sz="4" w:space="0" w:color="auto"/>
              <w:right w:val="single" w:sz="4" w:space="0" w:color="auto"/>
            </w:tcBorders>
            <w:shd w:val="clear" w:color="000000" w:fill="FFFFFF"/>
            <w:noWrap/>
            <w:vAlign w:val="center"/>
            <w:hideMark/>
          </w:tcPr>
          <w:p w14:paraId="1AE1C1DB" w14:textId="77777777" w:rsidR="004605ED" w:rsidRPr="004605ED" w:rsidRDefault="004605ED" w:rsidP="004605ED">
            <w:pPr>
              <w:jc w:val="right"/>
              <w:rPr>
                <w:rFonts w:ascii="Arial Narrow" w:hAnsi="Arial Narrow" w:cs="Arial"/>
                <w:sz w:val="20"/>
                <w:szCs w:val="20"/>
              </w:rPr>
            </w:pPr>
            <w:r w:rsidRPr="004605ED">
              <w:rPr>
                <w:rFonts w:ascii="Arial Narrow" w:hAnsi="Arial Narrow" w:cs="Arial"/>
                <w:sz w:val="20"/>
                <w:szCs w:val="20"/>
              </w:rPr>
              <w:t>34 384</w:t>
            </w:r>
          </w:p>
        </w:tc>
        <w:tc>
          <w:tcPr>
            <w:tcW w:w="1069" w:type="dxa"/>
            <w:tcBorders>
              <w:top w:val="nil"/>
              <w:left w:val="nil"/>
              <w:bottom w:val="single" w:sz="4" w:space="0" w:color="auto"/>
              <w:right w:val="single" w:sz="4" w:space="0" w:color="auto"/>
            </w:tcBorders>
            <w:shd w:val="clear" w:color="000000" w:fill="FFFFFF"/>
            <w:noWrap/>
            <w:vAlign w:val="center"/>
            <w:hideMark/>
          </w:tcPr>
          <w:p w14:paraId="61D69D03" w14:textId="77777777" w:rsidR="004605ED" w:rsidRPr="004605ED" w:rsidRDefault="004605ED" w:rsidP="004605ED">
            <w:pPr>
              <w:jc w:val="right"/>
              <w:rPr>
                <w:rFonts w:ascii="Arial Narrow" w:hAnsi="Arial Narrow" w:cs="Arial"/>
                <w:sz w:val="20"/>
                <w:szCs w:val="20"/>
              </w:rPr>
            </w:pPr>
            <w:r w:rsidRPr="004605ED">
              <w:rPr>
                <w:rFonts w:ascii="Arial Narrow" w:hAnsi="Arial Narrow" w:cs="Arial"/>
                <w:sz w:val="20"/>
                <w:szCs w:val="20"/>
              </w:rPr>
              <w:t>209 059</w:t>
            </w:r>
          </w:p>
        </w:tc>
        <w:tc>
          <w:tcPr>
            <w:tcW w:w="1127" w:type="dxa"/>
            <w:tcBorders>
              <w:top w:val="nil"/>
              <w:left w:val="nil"/>
              <w:bottom w:val="single" w:sz="4" w:space="0" w:color="auto"/>
              <w:right w:val="single" w:sz="4" w:space="0" w:color="auto"/>
            </w:tcBorders>
            <w:shd w:val="clear" w:color="000000" w:fill="FFFFFF"/>
            <w:noWrap/>
            <w:vAlign w:val="center"/>
            <w:hideMark/>
          </w:tcPr>
          <w:p w14:paraId="01526D9C" w14:textId="77777777" w:rsidR="004605ED" w:rsidRPr="004605ED" w:rsidRDefault="004605ED" w:rsidP="004605ED">
            <w:pPr>
              <w:jc w:val="right"/>
              <w:rPr>
                <w:rFonts w:ascii="Arial Narrow" w:hAnsi="Arial Narrow" w:cs="Arial"/>
                <w:sz w:val="20"/>
                <w:szCs w:val="20"/>
              </w:rPr>
            </w:pPr>
            <w:r w:rsidRPr="004605ED">
              <w:rPr>
                <w:rFonts w:ascii="Arial Narrow" w:hAnsi="Arial Narrow" w:cs="Arial"/>
                <w:sz w:val="20"/>
                <w:szCs w:val="20"/>
              </w:rPr>
              <w:t>31 518</w:t>
            </w:r>
          </w:p>
        </w:tc>
        <w:tc>
          <w:tcPr>
            <w:tcW w:w="1069" w:type="dxa"/>
            <w:tcBorders>
              <w:top w:val="nil"/>
              <w:left w:val="nil"/>
              <w:bottom w:val="single" w:sz="4" w:space="0" w:color="auto"/>
              <w:right w:val="single" w:sz="4" w:space="0" w:color="auto"/>
            </w:tcBorders>
            <w:shd w:val="clear" w:color="000000" w:fill="FFFFFF"/>
            <w:noWrap/>
            <w:vAlign w:val="center"/>
            <w:hideMark/>
          </w:tcPr>
          <w:p w14:paraId="5243B444" w14:textId="77777777" w:rsidR="004605ED" w:rsidRPr="004605ED" w:rsidRDefault="004605ED" w:rsidP="004605ED">
            <w:pPr>
              <w:jc w:val="right"/>
              <w:rPr>
                <w:rFonts w:ascii="Arial Narrow" w:hAnsi="Arial Narrow" w:cs="Arial"/>
                <w:color w:val="000000"/>
                <w:sz w:val="20"/>
                <w:szCs w:val="20"/>
              </w:rPr>
            </w:pPr>
            <w:r w:rsidRPr="004605ED">
              <w:rPr>
                <w:rFonts w:ascii="Arial Narrow" w:hAnsi="Arial Narrow" w:cs="Arial"/>
                <w:color w:val="000000"/>
                <w:sz w:val="20"/>
                <w:szCs w:val="20"/>
              </w:rPr>
              <w:t>146 850</w:t>
            </w:r>
          </w:p>
        </w:tc>
        <w:tc>
          <w:tcPr>
            <w:tcW w:w="1127" w:type="dxa"/>
            <w:tcBorders>
              <w:top w:val="nil"/>
              <w:left w:val="nil"/>
              <w:bottom w:val="single" w:sz="4" w:space="0" w:color="auto"/>
              <w:right w:val="single" w:sz="4" w:space="0" w:color="auto"/>
            </w:tcBorders>
            <w:shd w:val="clear" w:color="000000" w:fill="FFFFFF"/>
            <w:vAlign w:val="center"/>
            <w:hideMark/>
          </w:tcPr>
          <w:p w14:paraId="0A677032" w14:textId="77777777" w:rsidR="004605ED" w:rsidRPr="004605ED" w:rsidRDefault="004605ED" w:rsidP="004605ED">
            <w:pPr>
              <w:jc w:val="right"/>
              <w:rPr>
                <w:rFonts w:ascii="Arial Narrow" w:hAnsi="Arial Narrow" w:cs="Arial"/>
                <w:sz w:val="20"/>
                <w:szCs w:val="20"/>
              </w:rPr>
            </w:pPr>
            <w:r w:rsidRPr="004605ED">
              <w:rPr>
                <w:rFonts w:ascii="Arial Narrow" w:hAnsi="Arial Narrow" w:cs="Arial"/>
                <w:sz w:val="20"/>
                <w:szCs w:val="20"/>
              </w:rPr>
              <w:t>-8,3%</w:t>
            </w:r>
          </w:p>
        </w:tc>
        <w:tc>
          <w:tcPr>
            <w:tcW w:w="1057" w:type="dxa"/>
            <w:tcBorders>
              <w:top w:val="nil"/>
              <w:left w:val="nil"/>
              <w:bottom w:val="single" w:sz="4" w:space="0" w:color="auto"/>
              <w:right w:val="single" w:sz="4" w:space="0" w:color="auto"/>
            </w:tcBorders>
            <w:shd w:val="clear" w:color="000000" w:fill="FFFFFF"/>
            <w:vAlign w:val="center"/>
            <w:hideMark/>
          </w:tcPr>
          <w:p w14:paraId="3D47E4CA" w14:textId="77777777" w:rsidR="004605ED" w:rsidRPr="004605ED" w:rsidRDefault="004605ED" w:rsidP="004605ED">
            <w:pPr>
              <w:jc w:val="right"/>
              <w:rPr>
                <w:rFonts w:ascii="Arial Narrow" w:hAnsi="Arial Narrow" w:cs="Arial"/>
                <w:sz w:val="20"/>
                <w:szCs w:val="20"/>
              </w:rPr>
            </w:pPr>
            <w:r w:rsidRPr="004605ED">
              <w:rPr>
                <w:rFonts w:ascii="Arial Narrow" w:hAnsi="Arial Narrow" w:cs="Arial"/>
                <w:sz w:val="20"/>
                <w:szCs w:val="20"/>
              </w:rPr>
              <w:t>-29,8%</w:t>
            </w:r>
          </w:p>
        </w:tc>
      </w:tr>
      <w:tr w:rsidR="004605ED" w:rsidRPr="004605ED" w14:paraId="1B4C6DCC" w14:textId="77777777" w:rsidTr="004605ED">
        <w:trPr>
          <w:trHeight w:val="476"/>
        </w:trPr>
        <w:tc>
          <w:tcPr>
            <w:tcW w:w="3216" w:type="dxa"/>
            <w:tcBorders>
              <w:top w:val="nil"/>
              <w:left w:val="single" w:sz="4" w:space="0" w:color="auto"/>
              <w:bottom w:val="single" w:sz="4" w:space="0" w:color="auto"/>
              <w:right w:val="single" w:sz="4" w:space="0" w:color="auto"/>
            </w:tcBorders>
            <w:shd w:val="clear" w:color="000000" w:fill="FFFFFF"/>
            <w:vAlign w:val="center"/>
            <w:hideMark/>
          </w:tcPr>
          <w:p w14:paraId="29C42A0D" w14:textId="77777777" w:rsidR="004605ED" w:rsidRPr="004605ED" w:rsidRDefault="004605ED" w:rsidP="004605ED">
            <w:pPr>
              <w:rPr>
                <w:rFonts w:ascii="Arial Narrow" w:hAnsi="Arial Narrow" w:cs="Arial"/>
                <w:sz w:val="20"/>
                <w:szCs w:val="20"/>
              </w:rPr>
            </w:pPr>
            <w:r w:rsidRPr="004605ED">
              <w:rPr>
                <w:rFonts w:ascii="Arial Narrow" w:hAnsi="Arial Narrow" w:cs="Arial"/>
                <w:sz w:val="20"/>
                <w:szCs w:val="20"/>
              </w:rPr>
              <w:t>Захари, включително лактоза, малтоза, глюкоза и фруктоза</w:t>
            </w:r>
          </w:p>
        </w:tc>
        <w:tc>
          <w:tcPr>
            <w:tcW w:w="1127" w:type="dxa"/>
            <w:tcBorders>
              <w:top w:val="nil"/>
              <w:left w:val="nil"/>
              <w:bottom w:val="single" w:sz="4" w:space="0" w:color="auto"/>
              <w:right w:val="single" w:sz="4" w:space="0" w:color="auto"/>
            </w:tcBorders>
            <w:shd w:val="clear" w:color="000000" w:fill="FFFFFF"/>
            <w:noWrap/>
            <w:vAlign w:val="center"/>
            <w:hideMark/>
          </w:tcPr>
          <w:p w14:paraId="658DEC51" w14:textId="77777777" w:rsidR="004605ED" w:rsidRPr="004605ED" w:rsidRDefault="004605ED" w:rsidP="004605ED">
            <w:pPr>
              <w:jc w:val="right"/>
              <w:rPr>
                <w:rFonts w:ascii="Arial Narrow" w:hAnsi="Arial Narrow" w:cs="Arial"/>
                <w:sz w:val="20"/>
                <w:szCs w:val="20"/>
              </w:rPr>
            </w:pPr>
            <w:r w:rsidRPr="004605ED">
              <w:rPr>
                <w:rFonts w:ascii="Arial Narrow" w:hAnsi="Arial Narrow" w:cs="Arial"/>
                <w:sz w:val="20"/>
                <w:szCs w:val="20"/>
              </w:rPr>
              <w:t>192 586</w:t>
            </w:r>
          </w:p>
        </w:tc>
        <w:tc>
          <w:tcPr>
            <w:tcW w:w="1069" w:type="dxa"/>
            <w:tcBorders>
              <w:top w:val="nil"/>
              <w:left w:val="nil"/>
              <w:bottom w:val="single" w:sz="4" w:space="0" w:color="auto"/>
              <w:right w:val="single" w:sz="4" w:space="0" w:color="auto"/>
            </w:tcBorders>
            <w:shd w:val="clear" w:color="000000" w:fill="FFFFFF"/>
            <w:noWrap/>
            <w:vAlign w:val="center"/>
            <w:hideMark/>
          </w:tcPr>
          <w:p w14:paraId="10AFD717" w14:textId="77777777" w:rsidR="004605ED" w:rsidRPr="004605ED" w:rsidRDefault="004605ED" w:rsidP="004605ED">
            <w:pPr>
              <w:jc w:val="right"/>
              <w:rPr>
                <w:rFonts w:ascii="Arial Narrow" w:hAnsi="Arial Narrow" w:cs="Arial"/>
                <w:sz w:val="20"/>
                <w:szCs w:val="20"/>
              </w:rPr>
            </w:pPr>
            <w:r w:rsidRPr="004605ED">
              <w:rPr>
                <w:rFonts w:ascii="Arial Narrow" w:hAnsi="Arial Narrow" w:cs="Arial"/>
                <w:sz w:val="20"/>
                <w:szCs w:val="20"/>
              </w:rPr>
              <w:t>158 442</w:t>
            </w:r>
          </w:p>
        </w:tc>
        <w:tc>
          <w:tcPr>
            <w:tcW w:w="1127" w:type="dxa"/>
            <w:tcBorders>
              <w:top w:val="nil"/>
              <w:left w:val="nil"/>
              <w:bottom w:val="single" w:sz="4" w:space="0" w:color="auto"/>
              <w:right w:val="single" w:sz="4" w:space="0" w:color="auto"/>
            </w:tcBorders>
            <w:shd w:val="clear" w:color="000000" w:fill="FFFFFF"/>
            <w:noWrap/>
            <w:vAlign w:val="center"/>
            <w:hideMark/>
          </w:tcPr>
          <w:p w14:paraId="44DB43E7" w14:textId="77777777" w:rsidR="004605ED" w:rsidRPr="004605ED" w:rsidRDefault="004605ED" w:rsidP="004605ED">
            <w:pPr>
              <w:jc w:val="right"/>
              <w:rPr>
                <w:rFonts w:ascii="Arial Narrow" w:hAnsi="Arial Narrow" w:cs="Arial"/>
                <w:sz w:val="20"/>
                <w:szCs w:val="20"/>
              </w:rPr>
            </w:pPr>
            <w:r w:rsidRPr="004605ED">
              <w:rPr>
                <w:rFonts w:ascii="Arial Narrow" w:hAnsi="Arial Narrow" w:cs="Arial"/>
                <w:sz w:val="20"/>
                <w:szCs w:val="20"/>
              </w:rPr>
              <w:t>179 792</w:t>
            </w:r>
          </w:p>
        </w:tc>
        <w:tc>
          <w:tcPr>
            <w:tcW w:w="1069" w:type="dxa"/>
            <w:tcBorders>
              <w:top w:val="nil"/>
              <w:left w:val="nil"/>
              <w:bottom w:val="single" w:sz="4" w:space="0" w:color="auto"/>
              <w:right w:val="single" w:sz="4" w:space="0" w:color="auto"/>
            </w:tcBorders>
            <w:shd w:val="clear" w:color="000000" w:fill="FFFFFF"/>
            <w:noWrap/>
            <w:vAlign w:val="center"/>
            <w:hideMark/>
          </w:tcPr>
          <w:p w14:paraId="2AC8D7C0" w14:textId="77777777" w:rsidR="004605ED" w:rsidRPr="004605ED" w:rsidRDefault="004605ED" w:rsidP="004605ED">
            <w:pPr>
              <w:jc w:val="right"/>
              <w:rPr>
                <w:rFonts w:ascii="Arial Narrow" w:hAnsi="Arial Narrow" w:cs="Arial"/>
                <w:sz w:val="20"/>
                <w:szCs w:val="20"/>
              </w:rPr>
            </w:pPr>
            <w:r w:rsidRPr="004605ED">
              <w:rPr>
                <w:rFonts w:ascii="Arial Narrow" w:hAnsi="Arial Narrow" w:cs="Arial"/>
                <w:sz w:val="20"/>
                <w:szCs w:val="20"/>
              </w:rPr>
              <w:t>122 410</w:t>
            </w:r>
          </w:p>
        </w:tc>
        <w:tc>
          <w:tcPr>
            <w:tcW w:w="1127" w:type="dxa"/>
            <w:tcBorders>
              <w:top w:val="nil"/>
              <w:left w:val="nil"/>
              <w:bottom w:val="single" w:sz="4" w:space="0" w:color="auto"/>
              <w:right w:val="single" w:sz="4" w:space="0" w:color="auto"/>
            </w:tcBorders>
            <w:shd w:val="clear" w:color="000000" w:fill="FFFFFF"/>
            <w:vAlign w:val="center"/>
            <w:hideMark/>
          </w:tcPr>
          <w:p w14:paraId="7609AAA0" w14:textId="77777777" w:rsidR="004605ED" w:rsidRPr="004605ED" w:rsidRDefault="004605ED" w:rsidP="004605ED">
            <w:pPr>
              <w:jc w:val="right"/>
              <w:rPr>
                <w:rFonts w:ascii="Arial Narrow" w:hAnsi="Arial Narrow" w:cs="Arial"/>
                <w:sz w:val="20"/>
                <w:szCs w:val="20"/>
              </w:rPr>
            </w:pPr>
            <w:r w:rsidRPr="004605ED">
              <w:rPr>
                <w:rFonts w:ascii="Arial Narrow" w:hAnsi="Arial Narrow" w:cs="Arial"/>
                <w:sz w:val="20"/>
                <w:szCs w:val="20"/>
              </w:rPr>
              <w:t>-6,6%</w:t>
            </w:r>
          </w:p>
        </w:tc>
        <w:tc>
          <w:tcPr>
            <w:tcW w:w="1057" w:type="dxa"/>
            <w:tcBorders>
              <w:top w:val="nil"/>
              <w:left w:val="nil"/>
              <w:bottom w:val="single" w:sz="4" w:space="0" w:color="auto"/>
              <w:right w:val="single" w:sz="4" w:space="0" w:color="auto"/>
            </w:tcBorders>
            <w:shd w:val="clear" w:color="000000" w:fill="FFFFFF"/>
            <w:vAlign w:val="center"/>
            <w:hideMark/>
          </w:tcPr>
          <w:p w14:paraId="6BE3C012" w14:textId="77777777" w:rsidR="004605ED" w:rsidRPr="004605ED" w:rsidRDefault="004605ED" w:rsidP="004605ED">
            <w:pPr>
              <w:jc w:val="right"/>
              <w:rPr>
                <w:rFonts w:ascii="Arial Narrow" w:hAnsi="Arial Narrow" w:cs="Arial"/>
                <w:sz w:val="20"/>
                <w:szCs w:val="20"/>
              </w:rPr>
            </w:pPr>
            <w:r w:rsidRPr="004605ED">
              <w:rPr>
                <w:rFonts w:ascii="Arial Narrow" w:hAnsi="Arial Narrow" w:cs="Arial"/>
                <w:sz w:val="20"/>
                <w:szCs w:val="20"/>
              </w:rPr>
              <w:t>-22,7%</w:t>
            </w:r>
          </w:p>
        </w:tc>
      </w:tr>
      <w:tr w:rsidR="004605ED" w:rsidRPr="004605ED" w14:paraId="04D17866" w14:textId="77777777" w:rsidTr="004605ED">
        <w:trPr>
          <w:trHeight w:val="952"/>
        </w:trPr>
        <w:tc>
          <w:tcPr>
            <w:tcW w:w="3216" w:type="dxa"/>
            <w:tcBorders>
              <w:top w:val="nil"/>
              <w:left w:val="single" w:sz="4" w:space="0" w:color="auto"/>
              <w:bottom w:val="single" w:sz="4" w:space="0" w:color="auto"/>
              <w:right w:val="single" w:sz="4" w:space="0" w:color="auto"/>
            </w:tcBorders>
            <w:shd w:val="clear" w:color="000000" w:fill="FFFFFF"/>
            <w:vAlign w:val="center"/>
            <w:hideMark/>
          </w:tcPr>
          <w:p w14:paraId="5E1CFD4E" w14:textId="77777777" w:rsidR="004605ED" w:rsidRPr="004605ED" w:rsidRDefault="004605ED" w:rsidP="004605ED">
            <w:pPr>
              <w:rPr>
                <w:rFonts w:ascii="Arial Narrow" w:hAnsi="Arial Narrow" w:cs="Arial"/>
                <w:sz w:val="20"/>
                <w:szCs w:val="20"/>
              </w:rPr>
            </w:pPr>
            <w:r w:rsidRPr="004605ED">
              <w:rPr>
                <w:rFonts w:ascii="Arial Narrow" w:hAnsi="Arial Narrow" w:cs="Arial"/>
                <w:sz w:val="20"/>
                <w:szCs w:val="20"/>
              </w:rPr>
              <w:t>Кафе, дори печено или декофеинизирано; черупки и люспи от кафе; заместители на кафе, съдържащи кафе, независимо от съотношението в сместа</w:t>
            </w:r>
          </w:p>
        </w:tc>
        <w:tc>
          <w:tcPr>
            <w:tcW w:w="1127" w:type="dxa"/>
            <w:tcBorders>
              <w:top w:val="nil"/>
              <w:left w:val="nil"/>
              <w:bottom w:val="single" w:sz="4" w:space="0" w:color="auto"/>
              <w:right w:val="single" w:sz="4" w:space="0" w:color="auto"/>
            </w:tcBorders>
            <w:shd w:val="clear" w:color="000000" w:fill="FFFFFF"/>
            <w:noWrap/>
            <w:vAlign w:val="center"/>
            <w:hideMark/>
          </w:tcPr>
          <w:p w14:paraId="192E7D25" w14:textId="77777777" w:rsidR="004605ED" w:rsidRPr="004605ED" w:rsidRDefault="004605ED" w:rsidP="004605ED">
            <w:pPr>
              <w:jc w:val="right"/>
              <w:rPr>
                <w:rFonts w:ascii="Arial Narrow" w:hAnsi="Arial Narrow" w:cs="Arial"/>
                <w:sz w:val="20"/>
                <w:szCs w:val="20"/>
              </w:rPr>
            </w:pPr>
            <w:r w:rsidRPr="004605ED">
              <w:rPr>
                <w:rFonts w:ascii="Arial Narrow" w:hAnsi="Arial Narrow" w:cs="Arial"/>
                <w:sz w:val="20"/>
                <w:szCs w:val="20"/>
              </w:rPr>
              <w:t>13 683</w:t>
            </w:r>
          </w:p>
        </w:tc>
        <w:tc>
          <w:tcPr>
            <w:tcW w:w="1069" w:type="dxa"/>
            <w:tcBorders>
              <w:top w:val="nil"/>
              <w:left w:val="nil"/>
              <w:bottom w:val="single" w:sz="4" w:space="0" w:color="auto"/>
              <w:right w:val="single" w:sz="4" w:space="0" w:color="auto"/>
            </w:tcBorders>
            <w:shd w:val="clear" w:color="000000" w:fill="FFFFFF"/>
            <w:noWrap/>
            <w:vAlign w:val="center"/>
            <w:hideMark/>
          </w:tcPr>
          <w:p w14:paraId="2783A5D2" w14:textId="77777777" w:rsidR="004605ED" w:rsidRPr="004605ED" w:rsidRDefault="004605ED" w:rsidP="004605ED">
            <w:pPr>
              <w:jc w:val="right"/>
              <w:rPr>
                <w:rFonts w:ascii="Arial Narrow" w:hAnsi="Arial Narrow" w:cs="Arial"/>
                <w:sz w:val="20"/>
                <w:szCs w:val="20"/>
              </w:rPr>
            </w:pPr>
            <w:r w:rsidRPr="004605ED">
              <w:rPr>
                <w:rFonts w:ascii="Arial Narrow" w:hAnsi="Arial Narrow" w:cs="Arial"/>
                <w:sz w:val="20"/>
                <w:szCs w:val="20"/>
              </w:rPr>
              <w:t>91 095</w:t>
            </w:r>
          </w:p>
        </w:tc>
        <w:tc>
          <w:tcPr>
            <w:tcW w:w="1127" w:type="dxa"/>
            <w:tcBorders>
              <w:top w:val="nil"/>
              <w:left w:val="nil"/>
              <w:bottom w:val="single" w:sz="4" w:space="0" w:color="auto"/>
              <w:right w:val="single" w:sz="4" w:space="0" w:color="auto"/>
            </w:tcBorders>
            <w:shd w:val="clear" w:color="000000" w:fill="FFFFFF"/>
            <w:noWrap/>
            <w:vAlign w:val="center"/>
            <w:hideMark/>
          </w:tcPr>
          <w:p w14:paraId="007D37AB" w14:textId="77777777" w:rsidR="004605ED" w:rsidRPr="004605ED" w:rsidRDefault="004605ED" w:rsidP="004605ED">
            <w:pPr>
              <w:jc w:val="right"/>
              <w:rPr>
                <w:rFonts w:ascii="Arial Narrow" w:hAnsi="Arial Narrow" w:cs="Arial"/>
                <w:sz w:val="20"/>
                <w:szCs w:val="20"/>
              </w:rPr>
            </w:pPr>
            <w:r w:rsidRPr="004605ED">
              <w:rPr>
                <w:rFonts w:ascii="Arial Narrow" w:hAnsi="Arial Narrow" w:cs="Arial"/>
                <w:sz w:val="20"/>
                <w:szCs w:val="20"/>
              </w:rPr>
              <w:t>17 367</w:t>
            </w:r>
          </w:p>
        </w:tc>
        <w:tc>
          <w:tcPr>
            <w:tcW w:w="1069" w:type="dxa"/>
            <w:tcBorders>
              <w:top w:val="nil"/>
              <w:left w:val="nil"/>
              <w:bottom w:val="single" w:sz="4" w:space="0" w:color="auto"/>
              <w:right w:val="single" w:sz="4" w:space="0" w:color="auto"/>
            </w:tcBorders>
            <w:shd w:val="clear" w:color="000000" w:fill="FFFFFF"/>
            <w:noWrap/>
            <w:vAlign w:val="center"/>
            <w:hideMark/>
          </w:tcPr>
          <w:p w14:paraId="5ECD4E72" w14:textId="77777777" w:rsidR="004605ED" w:rsidRPr="004605ED" w:rsidRDefault="004605ED" w:rsidP="004605ED">
            <w:pPr>
              <w:jc w:val="right"/>
              <w:rPr>
                <w:rFonts w:ascii="Arial Narrow" w:hAnsi="Arial Narrow" w:cs="Arial"/>
                <w:sz w:val="20"/>
                <w:szCs w:val="20"/>
              </w:rPr>
            </w:pPr>
            <w:r w:rsidRPr="004605ED">
              <w:rPr>
                <w:rFonts w:ascii="Arial Narrow" w:hAnsi="Arial Narrow" w:cs="Arial"/>
                <w:sz w:val="20"/>
                <w:szCs w:val="20"/>
              </w:rPr>
              <w:t>121 007</w:t>
            </w:r>
          </w:p>
        </w:tc>
        <w:tc>
          <w:tcPr>
            <w:tcW w:w="1127" w:type="dxa"/>
            <w:tcBorders>
              <w:top w:val="nil"/>
              <w:left w:val="nil"/>
              <w:bottom w:val="single" w:sz="4" w:space="0" w:color="auto"/>
              <w:right w:val="single" w:sz="4" w:space="0" w:color="auto"/>
            </w:tcBorders>
            <w:shd w:val="clear" w:color="000000" w:fill="FFFFFF"/>
            <w:vAlign w:val="center"/>
            <w:hideMark/>
          </w:tcPr>
          <w:p w14:paraId="05475585" w14:textId="77777777" w:rsidR="004605ED" w:rsidRPr="004605ED" w:rsidRDefault="004605ED" w:rsidP="004605ED">
            <w:pPr>
              <w:jc w:val="right"/>
              <w:rPr>
                <w:rFonts w:ascii="Arial Narrow" w:hAnsi="Arial Narrow" w:cs="Arial"/>
                <w:sz w:val="20"/>
                <w:szCs w:val="20"/>
              </w:rPr>
            </w:pPr>
            <w:r w:rsidRPr="004605ED">
              <w:rPr>
                <w:rFonts w:ascii="Arial Narrow" w:hAnsi="Arial Narrow" w:cs="Arial"/>
                <w:sz w:val="20"/>
                <w:szCs w:val="20"/>
              </w:rPr>
              <w:t>26,9%</w:t>
            </w:r>
          </w:p>
        </w:tc>
        <w:tc>
          <w:tcPr>
            <w:tcW w:w="1057" w:type="dxa"/>
            <w:tcBorders>
              <w:top w:val="nil"/>
              <w:left w:val="nil"/>
              <w:bottom w:val="single" w:sz="4" w:space="0" w:color="auto"/>
              <w:right w:val="single" w:sz="4" w:space="0" w:color="auto"/>
            </w:tcBorders>
            <w:shd w:val="clear" w:color="000000" w:fill="FFFFFF"/>
            <w:vAlign w:val="center"/>
            <w:hideMark/>
          </w:tcPr>
          <w:p w14:paraId="1CA86FB0" w14:textId="77777777" w:rsidR="004605ED" w:rsidRPr="004605ED" w:rsidRDefault="004605ED" w:rsidP="004605ED">
            <w:pPr>
              <w:jc w:val="right"/>
              <w:rPr>
                <w:rFonts w:ascii="Arial Narrow" w:hAnsi="Arial Narrow" w:cs="Arial"/>
                <w:sz w:val="20"/>
                <w:szCs w:val="20"/>
              </w:rPr>
            </w:pPr>
            <w:r w:rsidRPr="004605ED">
              <w:rPr>
                <w:rFonts w:ascii="Arial Narrow" w:hAnsi="Arial Narrow" w:cs="Arial"/>
                <w:sz w:val="20"/>
                <w:szCs w:val="20"/>
              </w:rPr>
              <w:t>32,8%</w:t>
            </w:r>
          </w:p>
        </w:tc>
      </w:tr>
    </w:tbl>
    <w:p w14:paraId="7304A323" w14:textId="77777777" w:rsidR="004605ED" w:rsidRPr="004605ED" w:rsidRDefault="004605ED" w:rsidP="004605ED">
      <w:pPr>
        <w:spacing w:after="240"/>
        <w:rPr>
          <w:rFonts w:ascii="Arial Narrow" w:eastAsia="Calibri" w:hAnsi="Arial Narrow" w:cs="Arial Narrow"/>
          <w:i/>
          <w:sz w:val="18"/>
          <w:szCs w:val="18"/>
          <w:lang w:val="bg-BG"/>
        </w:rPr>
      </w:pPr>
      <w:r w:rsidRPr="004605ED">
        <w:rPr>
          <w:rFonts w:ascii="Arial Narrow" w:eastAsia="Calibri" w:hAnsi="Arial Narrow" w:cs="Arial Narrow"/>
          <w:b/>
          <w:i/>
          <w:sz w:val="18"/>
          <w:szCs w:val="18"/>
          <w:lang w:val="bg-BG"/>
        </w:rPr>
        <w:t xml:space="preserve"> </w:t>
      </w:r>
      <w:r w:rsidRPr="004605ED">
        <w:rPr>
          <w:rFonts w:ascii="Arial Narrow" w:eastAsia="Calibri" w:hAnsi="Arial Narrow" w:cs="Arial Narrow"/>
          <w:i/>
          <w:sz w:val="18"/>
          <w:szCs w:val="18"/>
          <w:lang w:val="bg-BG"/>
        </w:rPr>
        <w:t>Източник:</w:t>
      </w:r>
      <w:r w:rsidRPr="004605ED">
        <w:rPr>
          <w:rFonts w:ascii="Arial Narrow" w:eastAsia="Calibri" w:hAnsi="Arial Narrow" w:cs="Arial Narrow"/>
          <w:b/>
          <w:i/>
          <w:sz w:val="18"/>
          <w:szCs w:val="18"/>
          <w:lang w:val="bg-BG"/>
        </w:rPr>
        <w:t xml:space="preserve"> </w:t>
      </w:r>
      <w:r w:rsidRPr="004605ED">
        <w:rPr>
          <w:rFonts w:ascii="Arial Narrow" w:eastAsia="Calibri" w:hAnsi="Arial Narrow" w:cs="Arial Narrow"/>
          <w:sz w:val="18"/>
          <w:szCs w:val="18"/>
          <w:lang w:val="bg-BG"/>
        </w:rPr>
        <w:t>НСИ и изчисления на МЗХ.</w:t>
      </w:r>
    </w:p>
    <w:p w14:paraId="13F37DDD" w14:textId="77777777" w:rsidR="00D855B2" w:rsidRPr="00275FE8" w:rsidRDefault="00D855B2" w:rsidP="006E11F9">
      <w:pPr>
        <w:pStyle w:val="Heading1"/>
        <w:keepLines w:val="0"/>
        <w:numPr>
          <w:ilvl w:val="0"/>
          <w:numId w:val="32"/>
        </w:numPr>
        <w:overflowPunct w:val="0"/>
        <w:autoSpaceDE w:val="0"/>
        <w:autoSpaceDN w:val="0"/>
        <w:adjustRightInd w:val="0"/>
        <w:spacing w:before="0" w:after="120"/>
        <w:ind w:left="788" w:hanging="431"/>
        <w:textAlignment w:val="baseline"/>
        <w:rPr>
          <w:rFonts w:ascii="Arial Narrow" w:hAnsi="Arial Narrow"/>
          <w:color w:val="auto"/>
          <w:sz w:val="24"/>
          <w:szCs w:val="24"/>
          <w:lang w:val="bg-BG"/>
        </w:rPr>
      </w:pPr>
      <w:bookmarkStart w:id="75" w:name="_Toc210747573"/>
      <w:r w:rsidRPr="00275FE8">
        <w:rPr>
          <w:rFonts w:ascii="Arial Narrow" w:hAnsi="Arial Narrow"/>
          <w:color w:val="auto"/>
          <w:sz w:val="24"/>
          <w:szCs w:val="24"/>
          <w:lang w:val="bg-BG"/>
        </w:rPr>
        <w:lastRenderedPageBreak/>
        <w:t>Внос по продукти</w:t>
      </w:r>
      <w:bookmarkEnd w:id="75"/>
    </w:p>
    <w:p w14:paraId="7F303C68" w14:textId="77777777" w:rsidR="00275FE8" w:rsidRPr="00275FE8" w:rsidRDefault="00275FE8" w:rsidP="00275FE8">
      <w:pPr>
        <w:spacing w:after="120"/>
        <w:ind w:firstLine="720"/>
        <w:jc w:val="both"/>
        <w:rPr>
          <w:rFonts w:ascii="Arial Narrow" w:hAnsi="Arial Narrow"/>
          <w:bCs/>
          <w:color w:val="FF0000"/>
          <w:lang w:val="bg-BG"/>
        </w:rPr>
      </w:pPr>
      <w:r w:rsidRPr="00275FE8">
        <w:rPr>
          <w:rFonts w:ascii="Arial Narrow" w:hAnsi="Arial Narrow"/>
          <w:color w:val="000000"/>
          <w:lang w:val="bg-BG"/>
        </w:rPr>
        <w:t xml:space="preserve">През 2024 г. се наблюдава относително запазване на структурата на вноса на селскостопански стоки спрямо тази от предходната година. На първо място остава групата меса и карантии, годни за консумация с 9,5% дял от общия аграрен внос (при 10,4% през 2023 г.). Следват </w:t>
      </w:r>
      <w:r w:rsidRPr="00275FE8">
        <w:rPr>
          <w:rFonts w:ascii="Arial Narrow" w:hAnsi="Arial Narrow"/>
          <w:bCs/>
          <w:color w:val="000000"/>
          <w:lang w:val="bg-BG"/>
        </w:rPr>
        <w:t xml:space="preserve">групите мазнини и масла от животински или растителен произход (8,7%); маслодайни семена и плодове (8,5%) и какаови продукти (8,4%), при които се отчита известно увеличение на относителната тежест в сравнение с 2023 г. Съществена е и стойността на внесените безалкохолни и алкохолни напитки и оцет; тютюн и обработени заместители на тютюна; мляко и млечни продукти; хранителни продукти, приготвени на базата на житни растения; плодове и хранителни продукти, използвани в хранително-вкусовата промишленост. </w:t>
      </w:r>
    </w:p>
    <w:p w14:paraId="788A59AA" w14:textId="77777777" w:rsidR="00275FE8" w:rsidRDefault="00275FE8" w:rsidP="00275FE8">
      <w:pPr>
        <w:keepNext/>
        <w:spacing w:after="120"/>
        <w:ind w:right="28"/>
        <w:jc w:val="both"/>
        <w:rPr>
          <w:rFonts w:ascii="Arial Narrow" w:hAnsi="Arial Narrow" w:cs="Arial Narrow"/>
          <w:b/>
          <w:bCs/>
          <w:lang w:val="bg-BG"/>
        </w:rPr>
      </w:pPr>
      <w:r w:rsidRPr="00275FE8">
        <w:rPr>
          <w:rFonts w:ascii="Arial Narrow" w:hAnsi="Arial Narrow" w:cs="Arial Narrow"/>
          <w:b/>
          <w:bCs/>
          <w:lang w:val="bg-BG"/>
        </w:rPr>
        <w:t>Таблица III.6. Аграрен внос в България по групи продукти през периода 2023 – 2024 г. (хил. евро)</w:t>
      </w:r>
    </w:p>
    <w:tbl>
      <w:tblPr>
        <w:tblW w:w="9776" w:type="dxa"/>
        <w:tblInd w:w="113" w:type="dxa"/>
        <w:tblLook w:val="04A0" w:firstRow="1" w:lastRow="0" w:firstColumn="1" w:lastColumn="0" w:noHBand="0" w:noVBand="1"/>
      </w:tblPr>
      <w:tblGrid>
        <w:gridCol w:w="382"/>
        <w:gridCol w:w="5120"/>
        <w:gridCol w:w="920"/>
        <w:gridCol w:w="811"/>
        <w:gridCol w:w="920"/>
        <w:gridCol w:w="811"/>
        <w:gridCol w:w="914"/>
      </w:tblGrid>
      <w:tr w:rsidR="001249CE" w:rsidRPr="001249CE" w14:paraId="44D2F006" w14:textId="77777777" w:rsidTr="00CD44F3">
        <w:trPr>
          <w:trHeight w:val="402"/>
          <w:tblHeader/>
        </w:trPr>
        <w:tc>
          <w:tcPr>
            <w:tcW w:w="382"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E9EC092" w14:textId="77777777" w:rsidR="001249CE" w:rsidRPr="001249CE" w:rsidRDefault="001249CE" w:rsidP="001249CE">
            <w:pPr>
              <w:jc w:val="center"/>
              <w:rPr>
                <w:rFonts w:ascii="Arial Narrow" w:hAnsi="Arial Narrow" w:cs="Arial"/>
                <w:b/>
                <w:bCs/>
                <w:color w:val="000000"/>
                <w:sz w:val="18"/>
                <w:szCs w:val="18"/>
              </w:rPr>
            </w:pPr>
            <w:r w:rsidRPr="001249CE">
              <w:rPr>
                <w:rFonts w:ascii="Arial Narrow" w:hAnsi="Arial Narrow" w:cs="Arial"/>
                <w:b/>
                <w:bCs/>
                <w:color w:val="000000"/>
                <w:sz w:val="18"/>
                <w:szCs w:val="18"/>
              </w:rPr>
              <w:t> </w:t>
            </w:r>
          </w:p>
        </w:tc>
        <w:tc>
          <w:tcPr>
            <w:tcW w:w="5120"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B4E9DF1" w14:textId="77777777" w:rsidR="001249CE" w:rsidRPr="001249CE" w:rsidRDefault="001249CE" w:rsidP="001249CE">
            <w:pPr>
              <w:jc w:val="center"/>
              <w:rPr>
                <w:rFonts w:ascii="Arial Narrow" w:hAnsi="Arial Narrow" w:cs="Arial"/>
                <w:b/>
                <w:bCs/>
                <w:color w:val="000000"/>
                <w:sz w:val="18"/>
                <w:szCs w:val="18"/>
              </w:rPr>
            </w:pPr>
            <w:r w:rsidRPr="001249CE">
              <w:rPr>
                <w:rFonts w:ascii="Arial Narrow" w:hAnsi="Arial Narrow" w:cs="Arial"/>
                <w:b/>
                <w:bCs/>
                <w:color w:val="000000"/>
                <w:sz w:val="18"/>
                <w:szCs w:val="18"/>
              </w:rPr>
              <w:t> </w:t>
            </w:r>
          </w:p>
        </w:tc>
        <w:tc>
          <w:tcPr>
            <w:tcW w:w="1731" w:type="dxa"/>
            <w:gridSpan w:val="2"/>
            <w:tcBorders>
              <w:top w:val="single" w:sz="4" w:space="0" w:color="auto"/>
              <w:left w:val="nil"/>
              <w:bottom w:val="single" w:sz="4" w:space="0" w:color="auto"/>
              <w:right w:val="single" w:sz="4" w:space="0" w:color="auto"/>
            </w:tcBorders>
            <w:shd w:val="clear" w:color="000000" w:fill="FFFFFF"/>
            <w:vAlign w:val="center"/>
            <w:hideMark/>
          </w:tcPr>
          <w:p w14:paraId="720E1EF5" w14:textId="77777777" w:rsidR="001249CE" w:rsidRPr="001249CE" w:rsidRDefault="001249CE" w:rsidP="001249CE">
            <w:pPr>
              <w:jc w:val="center"/>
              <w:rPr>
                <w:rFonts w:ascii="Arial Narrow" w:hAnsi="Arial Narrow" w:cs="Arial"/>
                <w:b/>
                <w:bCs/>
                <w:color w:val="000000"/>
                <w:sz w:val="18"/>
                <w:szCs w:val="18"/>
              </w:rPr>
            </w:pPr>
            <w:r w:rsidRPr="001249CE">
              <w:rPr>
                <w:rFonts w:ascii="Arial Narrow" w:hAnsi="Arial Narrow" w:cs="Arial"/>
                <w:b/>
                <w:bCs/>
                <w:color w:val="000000"/>
                <w:sz w:val="18"/>
                <w:szCs w:val="18"/>
              </w:rPr>
              <w:t>2023</w:t>
            </w:r>
          </w:p>
        </w:tc>
        <w:tc>
          <w:tcPr>
            <w:tcW w:w="1731" w:type="dxa"/>
            <w:gridSpan w:val="2"/>
            <w:tcBorders>
              <w:top w:val="single" w:sz="4" w:space="0" w:color="auto"/>
              <w:left w:val="nil"/>
              <w:bottom w:val="single" w:sz="4" w:space="0" w:color="auto"/>
              <w:right w:val="single" w:sz="4" w:space="0" w:color="auto"/>
            </w:tcBorders>
            <w:shd w:val="clear" w:color="000000" w:fill="FFFFFF"/>
            <w:vAlign w:val="center"/>
            <w:hideMark/>
          </w:tcPr>
          <w:p w14:paraId="22C6993D" w14:textId="77777777" w:rsidR="001249CE" w:rsidRPr="001249CE" w:rsidRDefault="001249CE" w:rsidP="001249CE">
            <w:pPr>
              <w:jc w:val="center"/>
              <w:rPr>
                <w:rFonts w:ascii="Arial Narrow" w:hAnsi="Arial Narrow" w:cs="Arial"/>
                <w:b/>
                <w:bCs/>
                <w:color w:val="000000"/>
                <w:sz w:val="18"/>
                <w:szCs w:val="18"/>
              </w:rPr>
            </w:pPr>
            <w:r w:rsidRPr="001249CE">
              <w:rPr>
                <w:rFonts w:ascii="Arial Narrow" w:hAnsi="Arial Narrow" w:cs="Arial"/>
                <w:b/>
                <w:bCs/>
                <w:color w:val="000000"/>
                <w:sz w:val="18"/>
                <w:szCs w:val="18"/>
              </w:rPr>
              <w:t>2024</w:t>
            </w:r>
          </w:p>
        </w:tc>
        <w:tc>
          <w:tcPr>
            <w:tcW w:w="812"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37F172EE" w14:textId="77777777" w:rsidR="001249CE" w:rsidRPr="001249CE" w:rsidRDefault="001249CE" w:rsidP="001249CE">
            <w:pPr>
              <w:jc w:val="center"/>
              <w:rPr>
                <w:rFonts w:ascii="Arial Narrow" w:hAnsi="Arial Narrow" w:cs="Arial"/>
                <w:b/>
                <w:bCs/>
                <w:color w:val="000000"/>
                <w:sz w:val="18"/>
                <w:szCs w:val="18"/>
              </w:rPr>
            </w:pPr>
            <w:r w:rsidRPr="001249CE">
              <w:rPr>
                <w:rFonts w:ascii="Arial Narrow" w:hAnsi="Arial Narrow" w:cs="Arial"/>
                <w:b/>
                <w:bCs/>
                <w:color w:val="000000"/>
                <w:sz w:val="18"/>
                <w:szCs w:val="18"/>
              </w:rPr>
              <w:t>Изм. 2024/2024</w:t>
            </w:r>
            <w:r w:rsidRPr="001249CE">
              <w:rPr>
                <w:rFonts w:ascii="Arial Narrow" w:hAnsi="Arial Narrow" w:cs="Arial"/>
                <w:b/>
                <w:bCs/>
                <w:color w:val="000000"/>
                <w:sz w:val="18"/>
                <w:szCs w:val="18"/>
              </w:rPr>
              <w:br/>
              <w:t>%</w:t>
            </w:r>
          </w:p>
        </w:tc>
      </w:tr>
      <w:tr w:rsidR="001249CE" w:rsidRPr="001249CE" w14:paraId="7A27C12A" w14:textId="77777777" w:rsidTr="00CD44F3">
        <w:trPr>
          <w:trHeight w:val="1365"/>
          <w:tblHeader/>
        </w:trPr>
        <w:tc>
          <w:tcPr>
            <w:tcW w:w="382" w:type="dxa"/>
            <w:vMerge/>
            <w:tcBorders>
              <w:top w:val="single" w:sz="4" w:space="0" w:color="auto"/>
              <w:left w:val="single" w:sz="4" w:space="0" w:color="auto"/>
              <w:bottom w:val="single" w:sz="4" w:space="0" w:color="auto"/>
              <w:right w:val="single" w:sz="4" w:space="0" w:color="auto"/>
            </w:tcBorders>
            <w:vAlign w:val="center"/>
            <w:hideMark/>
          </w:tcPr>
          <w:p w14:paraId="6B4EEEAB" w14:textId="77777777" w:rsidR="001249CE" w:rsidRPr="001249CE" w:rsidRDefault="001249CE" w:rsidP="001249CE">
            <w:pPr>
              <w:rPr>
                <w:rFonts w:ascii="Arial Narrow" w:hAnsi="Arial Narrow" w:cs="Arial"/>
                <w:b/>
                <w:bCs/>
                <w:color w:val="000000"/>
                <w:sz w:val="18"/>
                <w:szCs w:val="18"/>
              </w:rPr>
            </w:pPr>
          </w:p>
        </w:tc>
        <w:tc>
          <w:tcPr>
            <w:tcW w:w="5120" w:type="dxa"/>
            <w:vMerge/>
            <w:tcBorders>
              <w:top w:val="single" w:sz="4" w:space="0" w:color="auto"/>
              <w:left w:val="single" w:sz="4" w:space="0" w:color="auto"/>
              <w:bottom w:val="single" w:sz="4" w:space="0" w:color="auto"/>
              <w:right w:val="single" w:sz="4" w:space="0" w:color="auto"/>
            </w:tcBorders>
            <w:vAlign w:val="center"/>
            <w:hideMark/>
          </w:tcPr>
          <w:p w14:paraId="4E2703D1" w14:textId="77777777" w:rsidR="001249CE" w:rsidRPr="001249CE" w:rsidRDefault="001249CE" w:rsidP="001249CE">
            <w:pPr>
              <w:rPr>
                <w:rFonts w:ascii="Arial Narrow" w:hAnsi="Arial Narrow" w:cs="Arial"/>
                <w:b/>
                <w:bCs/>
                <w:color w:val="000000"/>
                <w:sz w:val="18"/>
                <w:szCs w:val="18"/>
              </w:rPr>
            </w:pPr>
          </w:p>
        </w:tc>
        <w:tc>
          <w:tcPr>
            <w:tcW w:w="920" w:type="dxa"/>
            <w:tcBorders>
              <w:top w:val="nil"/>
              <w:left w:val="nil"/>
              <w:bottom w:val="single" w:sz="4" w:space="0" w:color="auto"/>
              <w:right w:val="single" w:sz="4" w:space="0" w:color="auto"/>
            </w:tcBorders>
            <w:shd w:val="clear" w:color="000000" w:fill="FFFFFF"/>
            <w:vAlign w:val="center"/>
            <w:hideMark/>
          </w:tcPr>
          <w:p w14:paraId="49CA3FC4" w14:textId="77777777" w:rsidR="001249CE" w:rsidRPr="001249CE" w:rsidRDefault="001249CE" w:rsidP="001249CE">
            <w:pPr>
              <w:jc w:val="center"/>
              <w:rPr>
                <w:rFonts w:ascii="Arial Narrow" w:hAnsi="Arial Narrow" w:cs="Arial"/>
                <w:b/>
                <w:bCs/>
                <w:color w:val="000000"/>
                <w:sz w:val="18"/>
                <w:szCs w:val="18"/>
              </w:rPr>
            </w:pPr>
            <w:r w:rsidRPr="001249CE">
              <w:rPr>
                <w:rFonts w:ascii="Arial Narrow" w:hAnsi="Arial Narrow" w:cs="Arial"/>
                <w:b/>
                <w:bCs/>
                <w:color w:val="000000"/>
                <w:sz w:val="18"/>
                <w:szCs w:val="18"/>
              </w:rPr>
              <w:t>хил. eвро</w:t>
            </w:r>
          </w:p>
        </w:tc>
        <w:tc>
          <w:tcPr>
            <w:tcW w:w="811" w:type="dxa"/>
            <w:tcBorders>
              <w:top w:val="nil"/>
              <w:left w:val="nil"/>
              <w:bottom w:val="single" w:sz="4" w:space="0" w:color="auto"/>
              <w:right w:val="single" w:sz="4" w:space="0" w:color="auto"/>
            </w:tcBorders>
            <w:shd w:val="clear" w:color="000000" w:fill="FFFFFF"/>
            <w:vAlign w:val="center"/>
            <w:hideMark/>
          </w:tcPr>
          <w:p w14:paraId="6EFD300C" w14:textId="77777777" w:rsidR="001249CE" w:rsidRPr="001249CE" w:rsidRDefault="001249CE" w:rsidP="001249CE">
            <w:pPr>
              <w:jc w:val="center"/>
              <w:rPr>
                <w:rFonts w:ascii="Arial Narrow" w:hAnsi="Arial Narrow" w:cs="Arial"/>
                <w:b/>
                <w:bCs/>
                <w:i/>
                <w:iCs/>
                <w:color w:val="000000"/>
                <w:sz w:val="18"/>
                <w:szCs w:val="18"/>
              </w:rPr>
            </w:pPr>
            <w:r w:rsidRPr="001249CE">
              <w:rPr>
                <w:rFonts w:ascii="Arial Narrow" w:hAnsi="Arial Narrow" w:cs="Arial"/>
                <w:b/>
                <w:bCs/>
                <w:i/>
                <w:iCs/>
                <w:color w:val="000000"/>
                <w:sz w:val="18"/>
                <w:szCs w:val="18"/>
              </w:rPr>
              <w:t xml:space="preserve">дял от общия аграрен внос </w:t>
            </w:r>
            <w:r w:rsidRPr="001249CE">
              <w:rPr>
                <w:rFonts w:ascii="Arial Narrow" w:hAnsi="Arial Narrow" w:cs="Arial"/>
                <w:b/>
                <w:bCs/>
                <w:i/>
                <w:iCs/>
                <w:color w:val="000000"/>
                <w:sz w:val="18"/>
                <w:szCs w:val="18"/>
              </w:rPr>
              <w:br/>
              <w:t>%</w:t>
            </w:r>
          </w:p>
        </w:tc>
        <w:tc>
          <w:tcPr>
            <w:tcW w:w="920" w:type="dxa"/>
            <w:tcBorders>
              <w:top w:val="nil"/>
              <w:left w:val="nil"/>
              <w:bottom w:val="single" w:sz="4" w:space="0" w:color="auto"/>
              <w:right w:val="single" w:sz="4" w:space="0" w:color="auto"/>
            </w:tcBorders>
            <w:shd w:val="clear" w:color="000000" w:fill="FFFFFF"/>
            <w:vAlign w:val="center"/>
            <w:hideMark/>
          </w:tcPr>
          <w:p w14:paraId="02292124" w14:textId="77777777" w:rsidR="001249CE" w:rsidRPr="001249CE" w:rsidRDefault="001249CE" w:rsidP="001249CE">
            <w:pPr>
              <w:jc w:val="center"/>
              <w:rPr>
                <w:rFonts w:ascii="Arial Narrow" w:hAnsi="Arial Narrow" w:cs="Arial"/>
                <w:b/>
                <w:bCs/>
                <w:color w:val="000000"/>
                <w:sz w:val="18"/>
                <w:szCs w:val="18"/>
              </w:rPr>
            </w:pPr>
            <w:r w:rsidRPr="001249CE">
              <w:rPr>
                <w:rFonts w:ascii="Arial Narrow" w:hAnsi="Arial Narrow" w:cs="Arial"/>
                <w:b/>
                <w:bCs/>
                <w:color w:val="000000"/>
                <w:sz w:val="18"/>
                <w:szCs w:val="18"/>
              </w:rPr>
              <w:t>хил. евро</w:t>
            </w:r>
          </w:p>
        </w:tc>
        <w:tc>
          <w:tcPr>
            <w:tcW w:w="811" w:type="dxa"/>
            <w:tcBorders>
              <w:top w:val="nil"/>
              <w:left w:val="nil"/>
              <w:bottom w:val="single" w:sz="4" w:space="0" w:color="auto"/>
              <w:right w:val="single" w:sz="4" w:space="0" w:color="auto"/>
            </w:tcBorders>
            <w:shd w:val="clear" w:color="000000" w:fill="FFFFFF"/>
            <w:vAlign w:val="center"/>
            <w:hideMark/>
          </w:tcPr>
          <w:p w14:paraId="7EE92164" w14:textId="77777777" w:rsidR="001249CE" w:rsidRPr="001249CE" w:rsidRDefault="001249CE" w:rsidP="001249CE">
            <w:pPr>
              <w:jc w:val="center"/>
              <w:rPr>
                <w:rFonts w:ascii="Arial Narrow" w:hAnsi="Arial Narrow" w:cs="Arial"/>
                <w:b/>
                <w:bCs/>
                <w:i/>
                <w:iCs/>
                <w:color w:val="000000"/>
                <w:sz w:val="18"/>
                <w:szCs w:val="18"/>
              </w:rPr>
            </w:pPr>
            <w:r w:rsidRPr="001249CE">
              <w:rPr>
                <w:rFonts w:ascii="Arial Narrow" w:hAnsi="Arial Narrow" w:cs="Arial"/>
                <w:b/>
                <w:bCs/>
                <w:i/>
                <w:iCs/>
                <w:color w:val="000000"/>
                <w:sz w:val="18"/>
                <w:szCs w:val="18"/>
              </w:rPr>
              <w:t xml:space="preserve">дял от общия аграрен внос </w:t>
            </w:r>
            <w:r w:rsidRPr="001249CE">
              <w:rPr>
                <w:rFonts w:ascii="Arial Narrow" w:hAnsi="Arial Narrow" w:cs="Arial"/>
                <w:b/>
                <w:bCs/>
                <w:i/>
                <w:iCs/>
                <w:color w:val="000000"/>
                <w:sz w:val="18"/>
                <w:szCs w:val="18"/>
              </w:rPr>
              <w:br/>
              <w:t>%</w:t>
            </w:r>
          </w:p>
        </w:tc>
        <w:tc>
          <w:tcPr>
            <w:tcW w:w="812" w:type="dxa"/>
            <w:vMerge/>
            <w:tcBorders>
              <w:top w:val="single" w:sz="4" w:space="0" w:color="auto"/>
              <w:left w:val="single" w:sz="4" w:space="0" w:color="auto"/>
              <w:bottom w:val="single" w:sz="4" w:space="0" w:color="000000"/>
              <w:right w:val="single" w:sz="4" w:space="0" w:color="auto"/>
            </w:tcBorders>
            <w:vAlign w:val="center"/>
            <w:hideMark/>
          </w:tcPr>
          <w:p w14:paraId="50B2E5D3" w14:textId="77777777" w:rsidR="001249CE" w:rsidRPr="001249CE" w:rsidRDefault="001249CE" w:rsidP="001249CE">
            <w:pPr>
              <w:rPr>
                <w:rFonts w:ascii="Arial Narrow" w:hAnsi="Arial Narrow" w:cs="Arial"/>
                <w:b/>
                <w:bCs/>
                <w:color w:val="000000"/>
                <w:sz w:val="18"/>
                <w:szCs w:val="18"/>
              </w:rPr>
            </w:pPr>
          </w:p>
        </w:tc>
      </w:tr>
      <w:tr w:rsidR="001249CE" w:rsidRPr="001249CE" w14:paraId="6FA1D516" w14:textId="77777777" w:rsidTr="00CD44F3">
        <w:trPr>
          <w:trHeight w:val="342"/>
        </w:trPr>
        <w:tc>
          <w:tcPr>
            <w:tcW w:w="382" w:type="dxa"/>
            <w:tcBorders>
              <w:top w:val="nil"/>
              <w:left w:val="single" w:sz="4" w:space="0" w:color="auto"/>
              <w:bottom w:val="single" w:sz="4" w:space="0" w:color="auto"/>
              <w:right w:val="single" w:sz="4" w:space="0" w:color="auto"/>
            </w:tcBorders>
            <w:shd w:val="clear" w:color="000000" w:fill="FFFFFF"/>
            <w:noWrap/>
            <w:vAlign w:val="center"/>
            <w:hideMark/>
          </w:tcPr>
          <w:p w14:paraId="622A6F94" w14:textId="77777777" w:rsidR="001249CE" w:rsidRPr="001249CE" w:rsidRDefault="001249CE" w:rsidP="001249CE">
            <w:pPr>
              <w:jc w:val="center"/>
              <w:rPr>
                <w:rFonts w:ascii="Arial Narrow" w:hAnsi="Arial Narrow" w:cs="Arial"/>
                <w:b/>
                <w:bCs/>
                <w:sz w:val="18"/>
                <w:szCs w:val="18"/>
              </w:rPr>
            </w:pPr>
            <w:r w:rsidRPr="001249CE">
              <w:rPr>
                <w:rFonts w:ascii="Arial Narrow" w:hAnsi="Arial Narrow" w:cs="Arial"/>
                <w:b/>
                <w:bCs/>
                <w:sz w:val="18"/>
                <w:szCs w:val="18"/>
              </w:rPr>
              <w:t> </w:t>
            </w:r>
          </w:p>
        </w:tc>
        <w:tc>
          <w:tcPr>
            <w:tcW w:w="5120" w:type="dxa"/>
            <w:tcBorders>
              <w:top w:val="nil"/>
              <w:left w:val="nil"/>
              <w:bottom w:val="single" w:sz="4" w:space="0" w:color="auto"/>
              <w:right w:val="single" w:sz="4" w:space="0" w:color="auto"/>
            </w:tcBorders>
            <w:shd w:val="clear" w:color="000000" w:fill="FFFFFF"/>
            <w:vAlign w:val="center"/>
            <w:hideMark/>
          </w:tcPr>
          <w:p w14:paraId="11075C68" w14:textId="77777777" w:rsidR="001249CE" w:rsidRPr="001249CE" w:rsidRDefault="001249CE" w:rsidP="001249CE">
            <w:pPr>
              <w:rPr>
                <w:rFonts w:ascii="Arial Narrow" w:hAnsi="Arial Narrow" w:cs="Arial"/>
                <w:b/>
                <w:bCs/>
                <w:sz w:val="18"/>
                <w:szCs w:val="18"/>
              </w:rPr>
            </w:pPr>
            <w:r w:rsidRPr="001249CE">
              <w:rPr>
                <w:rFonts w:ascii="Arial Narrow" w:hAnsi="Arial Narrow" w:cs="Arial"/>
                <w:b/>
                <w:bCs/>
                <w:sz w:val="18"/>
                <w:szCs w:val="18"/>
              </w:rPr>
              <w:t>Общо аграрни стоки, в т. ч.:</w:t>
            </w:r>
          </w:p>
        </w:tc>
        <w:tc>
          <w:tcPr>
            <w:tcW w:w="920" w:type="dxa"/>
            <w:tcBorders>
              <w:top w:val="nil"/>
              <w:left w:val="nil"/>
              <w:bottom w:val="single" w:sz="4" w:space="0" w:color="auto"/>
              <w:right w:val="single" w:sz="4" w:space="0" w:color="auto"/>
            </w:tcBorders>
            <w:shd w:val="clear" w:color="000000" w:fill="FFFFFF"/>
            <w:vAlign w:val="center"/>
            <w:hideMark/>
          </w:tcPr>
          <w:p w14:paraId="6270BAE0" w14:textId="77777777" w:rsidR="001249CE" w:rsidRPr="001249CE" w:rsidRDefault="001249CE" w:rsidP="001249CE">
            <w:pPr>
              <w:jc w:val="right"/>
              <w:rPr>
                <w:rFonts w:ascii="Arial Narrow" w:hAnsi="Arial Narrow" w:cs="Arial"/>
                <w:b/>
                <w:bCs/>
                <w:sz w:val="18"/>
                <w:szCs w:val="18"/>
              </w:rPr>
            </w:pPr>
            <w:r w:rsidRPr="001249CE">
              <w:rPr>
                <w:rFonts w:ascii="Arial Narrow" w:hAnsi="Arial Narrow" w:cs="Arial"/>
                <w:b/>
                <w:bCs/>
                <w:sz w:val="18"/>
                <w:szCs w:val="18"/>
              </w:rPr>
              <w:t>6 201 085</w:t>
            </w:r>
          </w:p>
        </w:tc>
        <w:tc>
          <w:tcPr>
            <w:tcW w:w="811" w:type="dxa"/>
            <w:tcBorders>
              <w:top w:val="nil"/>
              <w:left w:val="nil"/>
              <w:bottom w:val="single" w:sz="4" w:space="0" w:color="auto"/>
              <w:right w:val="single" w:sz="4" w:space="0" w:color="auto"/>
            </w:tcBorders>
            <w:shd w:val="clear" w:color="000000" w:fill="FFFFFF"/>
            <w:vAlign w:val="center"/>
            <w:hideMark/>
          </w:tcPr>
          <w:p w14:paraId="19BE0CF4" w14:textId="77777777" w:rsidR="001249CE" w:rsidRPr="001249CE" w:rsidRDefault="001249CE" w:rsidP="001249CE">
            <w:pPr>
              <w:jc w:val="right"/>
              <w:rPr>
                <w:rFonts w:ascii="Arial Narrow" w:hAnsi="Arial Narrow" w:cs="Arial"/>
                <w:b/>
                <w:bCs/>
                <w:sz w:val="18"/>
                <w:szCs w:val="18"/>
              </w:rPr>
            </w:pPr>
            <w:r w:rsidRPr="001249CE">
              <w:rPr>
                <w:rFonts w:ascii="Arial Narrow" w:hAnsi="Arial Narrow" w:cs="Arial"/>
                <w:b/>
                <w:bCs/>
                <w:sz w:val="18"/>
                <w:szCs w:val="18"/>
              </w:rPr>
              <w:t>100%</w:t>
            </w:r>
          </w:p>
        </w:tc>
        <w:tc>
          <w:tcPr>
            <w:tcW w:w="920" w:type="dxa"/>
            <w:tcBorders>
              <w:top w:val="nil"/>
              <w:left w:val="nil"/>
              <w:bottom w:val="single" w:sz="4" w:space="0" w:color="auto"/>
              <w:right w:val="single" w:sz="4" w:space="0" w:color="auto"/>
            </w:tcBorders>
            <w:shd w:val="clear" w:color="000000" w:fill="FFFFFF"/>
            <w:vAlign w:val="center"/>
            <w:hideMark/>
          </w:tcPr>
          <w:p w14:paraId="2B039D7F" w14:textId="77777777" w:rsidR="001249CE" w:rsidRPr="001249CE" w:rsidRDefault="001249CE" w:rsidP="001249CE">
            <w:pPr>
              <w:jc w:val="right"/>
              <w:rPr>
                <w:rFonts w:ascii="Arial Narrow" w:hAnsi="Arial Narrow" w:cs="Arial"/>
                <w:b/>
                <w:bCs/>
                <w:sz w:val="18"/>
                <w:szCs w:val="18"/>
              </w:rPr>
            </w:pPr>
            <w:r w:rsidRPr="001249CE">
              <w:rPr>
                <w:rFonts w:ascii="Arial Narrow" w:hAnsi="Arial Narrow" w:cs="Arial"/>
                <w:b/>
                <w:bCs/>
                <w:sz w:val="18"/>
                <w:szCs w:val="18"/>
              </w:rPr>
              <w:t>6 737 329</w:t>
            </w:r>
          </w:p>
        </w:tc>
        <w:tc>
          <w:tcPr>
            <w:tcW w:w="811" w:type="dxa"/>
            <w:tcBorders>
              <w:top w:val="nil"/>
              <w:left w:val="nil"/>
              <w:bottom w:val="single" w:sz="4" w:space="0" w:color="auto"/>
              <w:right w:val="single" w:sz="4" w:space="0" w:color="auto"/>
            </w:tcBorders>
            <w:shd w:val="clear" w:color="000000" w:fill="FFFFFF"/>
            <w:vAlign w:val="center"/>
            <w:hideMark/>
          </w:tcPr>
          <w:p w14:paraId="44BDD519" w14:textId="77777777" w:rsidR="001249CE" w:rsidRPr="001249CE" w:rsidRDefault="001249CE" w:rsidP="001249CE">
            <w:pPr>
              <w:jc w:val="right"/>
              <w:rPr>
                <w:rFonts w:ascii="Arial Narrow" w:hAnsi="Arial Narrow" w:cs="Arial"/>
                <w:b/>
                <w:bCs/>
                <w:sz w:val="18"/>
                <w:szCs w:val="18"/>
              </w:rPr>
            </w:pPr>
            <w:r w:rsidRPr="001249CE">
              <w:rPr>
                <w:rFonts w:ascii="Arial Narrow" w:hAnsi="Arial Narrow" w:cs="Arial"/>
                <w:b/>
                <w:bCs/>
                <w:sz w:val="18"/>
                <w:szCs w:val="18"/>
              </w:rPr>
              <w:t>100%</w:t>
            </w:r>
          </w:p>
        </w:tc>
        <w:tc>
          <w:tcPr>
            <w:tcW w:w="812" w:type="dxa"/>
            <w:tcBorders>
              <w:top w:val="nil"/>
              <w:left w:val="nil"/>
              <w:bottom w:val="single" w:sz="4" w:space="0" w:color="auto"/>
              <w:right w:val="single" w:sz="4" w:space="0" w:color="auto"/>
            </w:tcBorders>
            <w:shd w:val="clear" w:color="auto" w:fill="auto"/>
            <w:noWrap/>
            <w:vAlign w:val="center"/>
            <w:hideMark/>
          </w:tcPr>
          <w:p w14:paraId="41A4F041" w14:textId="77777777" w:rsidR="001249CE" w:rsidRPr="001249CE" w:rsidRDefault="001249CE" w:rsidP="001249CE">
            <w:pPr>
              <w:jc w:val="right"/>
              <w:rPr>
                <w:rFonts w:ascii="Arial Narrow" w:hAnsi="Arial Narrow" w:cs="Arial"/>
                <w:b/>
                <w:bCs/>
                <w:color w:val="000000"/>
                <w:sz w:val="18"/>
                <w:szCs w:val="18"/>
              </w:rPr>
            </w:pPr>
            <w:r w:rsidRPr="001249CE">
              <w:rPr>
                <w:rFonts w:ascii="Arial Narrow" w:hAnsi="Arial Narrow" w:cs="Arial"/>
                <w:b/>
                <w:bCs/>
                <w:color w:val="000000"/>
                <w:sz w:val="18"/>
                <w:szCs w:val="18"/>
              </w:rPr>
              <w:t>8,6%</w:t>
            </w:r>
          </w:p>
        </w:tc>
      </w:tr>
      <w:tr w:rsidR="001249CE" w:rsidRPr="001249CE" w14:paraId="58728A96" w14:textId="77777777" w:rsidTr="001249CE">
        <w:trPr>
          <w:trHeight w:val="342"/>
        </w:trPr>
        <w:tc>
          <w:tcPr>
            <w:tcW w:w="382" w:type="dxa"/>
            <w:tcBorders>
              <w:top w:val="nil"/>
              <w:left w:val="single" w:sz="4" w:space="0" w:color="auto"/>
              <w:bottom w:val="single" w:sz="4" w:space="0" w:color="auto"/>
              <w:right w:val="single" w:sz="4" w:space="0" w:color="auto"/>
            </w:tcBorders>
            <w:shd w:val="clear" w:color="auto" w:fill="auto"/>
            <w:noWrap/>
            <w:vAlign w:val="center"/>
            <w:hideMark/>
          </w:tcPr>
          <w:p w14:paraId="2E78A747" w14:textId="77777777" w:rsidR="001249CE" w:rsidRPr="001249CE" w:rsidRDefault="001249CE" w:rsidP="001249CE">
            <w:pPr>
              <w:jc w:val="center"/>
              <w:rPr>
                <w:rFonts w:ascii="Arial Narrow" w:hAnsi="Arial Narrow" w:cs="Arial"/>
                <w:sz w:val="18"/>
                <w:szCs w:val="18"/>
              </w:rPr>
            </w:pPr>
            <w:r w:rsidRPr="001249CE">
              <w:rPr>
                <w:rFonts w:ascii="Arial Narrow" w:hAnsi="Arial Narrow" w:cs="Arial"/>
                <w:sz w:val="18"/>
                <w:szCs w:val="18"/>
              </w:rPr>
              <w:t>1</w:t>
            </w:r>
          </w:p>
        </w:tc>
        <w:tc>
          <w:tcPr>
            <w:tcW w:w="5120" w:type="dxa"/>
            <w:tcBorders>
              <w:top w:val="nil"/>
              <w:left w:val="nil"/>
              <w:bottom w:val="single" w:sz="4" w:space="0" w:color="auto"/>
              <w:right w:val="single" w:sz="4" w:space="0" w:color="auto"/>
            </w:tcBorders>
            <w:shd w:val="clear" w:color="auto" w:fill="auto"/>
            <w:vAlign w:val="center"/>
            <w:hideMark/>
          </w:tcPr>
          <w:p w14:paraId="65B6130D" w14:textId="77777777" w:rsidR="001249CE" w:rsidRPr="001249CE" w:rsidRDefault="001249CE" w:rsidP="001249CE">
            <w:pPr>
              <w:rPr>
                <w:rFonts w:ascii="Arial Narrow" w:hAnsi="Arial Narrow" w:cs="Arial"/>
                <w:sz w:val="18"/>
                <w:szCs w:val="18"/>
              </w:rPr>
            </w:pPr>
            <w:r w:rsidRPr="001249CE">
              <w:rPr>
                <w:rFonts w:ascii="Arial Narrow" w:hAnsi="Arial Narrow" w:cs="Arial"/>
                <w:sz w:val="18"/>
                <w:szCs w:val="18"/>
              </w:rPr>
              <w:t>Живи животни</w:t>
            </w:r>
          </w:p>
        </w:tc>
        <w:tc>
          <w:tcPr>
            <w:tcW w:w="920" w:type="dxa"/>
            <w:tcBorders>
              <w:top w:val="nil"/>
              <w:left w:val="nil"/>
              <w:bottom w:val="single" w:sz="4" w:space="0" w:color="auto"/>
              <w:right w:val="single" w:sz="4" w:space="0" w:color="auto"/>
            </w:tcBorders>
            <w:shd w:val="clear" w:color="auto" w:fill="auto"/>
            <w:noWrap/>
            <w:vAlign w:val="center"/>
            <w:hideMark/>
          </w:tcPr>
          <w:p w14:paraId="1505C5C6" w14:textId="77777777" w:rsidR="001249CE" w:rsidRPr="001249CE" w:rsidRDefault="001249CE" w:rsidP="001249CE">
            <w:pPr>
              <w:jc w:val="right"/>
              <w:rPr>
                <w:rFonts w:ascii="Arial Narrow" w:hAnsi="Arial Narrow" w:cs="Arial"/>
                <w:sz w:val="18"/>
                <w:szCs w:val="18"/>
              </w:rPr>
            </w:pPr>
            <w:r w:rsidRPr="001249CE">
              <w:rPr>
                <w:rFonts w:ascii="Arial Narrow" w:hAnsi="Arial Narrow" w:cs="Arial"/>
                <w:sz w:val="18"/>
                <w:szCs w:val="18"/>
              </w:rPr>
              <w:t>38 935</w:t>
            </w:r>
          </w:p>
        </w:tc>
        <w:tc>
          <w:tcPr>
            <w:tcW w:w="811" w:type="dxa"/>
            <w:tcBorders>
              <w:top w:val="nil"/>
              <w:left w:val="nil"/>
              <w:bottom w:val="single" w:sz="4" w:space="0" w:color="auto"/>
              <w:right w:val="single" w:sz="4" w:space="0" w:color="auto"/>
            </w:tcBorders>
            <w:shd w:val="clear" w:color="000000" w:fill="FFFFFF"/>
            <w:vAlign w:val="center"/>
            <w:hideMark/>
          </w:tcPr>
          <w:p w14:paraId="1980ED90" w14:textId="77777777" w:rsidR="001249CE" w:rsidRPr="001249CE" w:rsidRDefault="001249CE" w:rsidP="001249CE">
            <w:pPr>
              <w:jc w:val="right"/>
              <w:rPr>
                <w:rFonts w:ascii="Arial Narrow" w:hAnsi="Arial Narrow" w:cs="Arial"/>
                <w:sz w:val="18"/>
                <w:szCs w:val="18"/>
              </w:rPr>
            </w:pPr>
            <w:r w:rsidRPr="001249CE">
              <w:rPr>
                <w:rFonts w:ascii="Arial Narrow" w:hAnsi="Arial Narrow" w:cs="Arial"/>
                <w:sz w:val="18"/>
                <w:szCs w:val="18"/>
              </w:rPr>
              <w:t>0,6%</w:t>
            </w:r>
          </w:p>
        </w:tc>
        <w:tc>
          <w:tcPr>
            <w:tcW w:w="920" w:type="dxa"/>
            <w:tcBorders>
              <w:top w:val="nil"/>
              <w:left w:val="nil"/>
              <w:bottom w:val="single" w:sz="4" w:space="0" w:color="auto"/>
              <w:right w:val="single" w:sz="4" w:space="0" w:color="auto"/>
            </w:tcBorders>
            <w:shd w:val="clear" w:color="auto" w:fill="auto"/>
            <w:noWrap/>
            <w:vAlign w:val="center"/>
            <w:hideMark/>
          </w:tcPr>
          <w:p w14:paraId="02265C5F" w14:textId="77777777" w:rsidR="001249CE" w:rsidRPr="001249CE" w:rsidRDefault="001249CE" w:rsidP="001249CE">
            <w:pPr>
              <w:jc w:val="right"/>
              <w:rPr>
                <w:rFonts w:ascii="Arial Narrow" w:hAnsi="Arial Narrow" w:cs="Arial"/>
                <w:sz w:val="18"/>
                <w:szCs w:val="18"/>
              </w:rPr>
            </w:pPr>
            <w:r w:rsidRPr="001249CE">
              <w:rPr>
                <w:rFonts w:ascii="Arial Narrow" w:hAnsi="Arial Narrow" w:cs="Arial"/>
                <w:sz w:val="18"/>
                <w:szCs w:val="18"/>
              </w:rPr>
              <w:t>15 791</w:t>
            </w:r>
          </w:p>
        </w:tc>
        <w:tc>
          <w:tcPr>
            <w:tcW w:w="811" w:type="dxa"/>
            <w:tcBorders>
              <w:top w:val="nil"/>
              <w:left w:val="nil"/>
              <w:bottom w:val="single" w:sz="4" w:space="0" w:color="auto"/>
              <w:right w:val="single" w:sz="4" w:space="0" w:color="auto"/>
            </w:tcBorders>
            <w:shd w:val="clear" w:color="000000" w:fill="FFFFFF"/>
            <w:vAlign w:val="center"/>
            <w:hideMark/>
          </w:tcPr>
          <w:p w14:paraId="14B25EB0" w14:textId="77777777" w:rsidR="001249CE" w:rsidRPr="001249CE" w:rsidRDefault="001249CE" w:rsidP="001249CE">
            <w:pPr>
              <w:jc w:val="right"/>
              <w:rPr>
                <w:rFonts w:ascii="Arial Narrow" w:hAnsi="Arial Narrow" w:cs="Arial"/>
                <w:sz w:val="18"/>
                <w:szCs w:val="18"/>
              </w:rPr>
            </w:pPr>
            <w:r w:rsidRPr="001249CE">
              <w:rPr>
                <w:rFonts w:ascii="Arial Narrow" w:hAnsi="Arial Narrow" w:cs="Arial"/>
                <w:sz w:val="18"/>
                <w:szCs w:val="18"/>
              </w:rPr>
              <w:t>0,2%</w:t>
            </w:r>
          </w:p>
        </w:tc>
        <w:tc>
          <w:tcPr>
            <w:tcW w:w="812" w:type="dxa"/>
            <w:tcBorders>
              <w:top w:val="nil"/>
              <w:left w:val="nil"/>
              <w:bottom w:val="single" w:sz="4" w:space="0" w:color="auto"/>
              <w:right w:val="single" w:sz="4" w:space="0" w:color="auto"/>
            </w:tcBorders>
            <w:shd w:val="clear" w:color="auto" w:fill="auto"/>
            <w:noWrap/>
            <w:vAlign w:val="center"/>
            <w:hideMark/>
          </w:tcPr>
          <w:p w14:paraId="19E745EE" w14:textId="77777777" w:rsidR="001249CE" w:rsidRPr="001249CE" w:rsidRDefault="001249CE" w:rsidP="001249CE">
            <w:pPr>
              <w:jc w:val="right"/>
              <w:rPr>
                <w:rFonts w:ascii="Arial Narrow" w:hAnsi="Arial Narrow" w:cs="Arial"/>
                <w:color w:val="000000"/>
                <w:sz w:val="18"/>
                <w:szCs w:val="18"/>
              </w:rPr>
            </w:pPr>
            <w:r w:rsidRPr="001249CE">
              <w:rPr>
                <w:rFonts w:ascii="Arial Narrow" w:hAnsi="Arial Narrow" w:cs="Arial"/>
                <w:color w:val="000000"/>
                <w:sz w:val="18"/>
                <w:szCs w:val="18"/>
              </w:rPr>
              <w:t>-59,4%</w:t>
            </w:r>
          </w:p>
        </w:tc>
      </w:tr>
      <w:tr w:rsidR="001249CE" w:rsidRPr="001249CE" w14:paraId="5AFA0480" w14:textId="77777777" w:rsidTr="00CD44F3">
        <w:trPr>
          <w:trHeight w:val="342"/>
        </w:trPr>
        <w:tc>
          <w:tcPr>
            <w:tcW w:w="382" w:type="dxa"/>
            <w:tcBorders>
              <w:top w:val="nil"/>
              <w:left w:val="single" w:sz="4" w:space="0" w:color="auto"/>
              <w:bottom w:val="single" w:sz="4" w:space="0" w:color="auto"/>
              <w:right w:val="single" w:sz="4" w:space="0" w:color="auto"/>
            </w:tcBorders>
            <w:shd w:val="clear" w:color="000000" w:fill="FFFFFF"/>
            <w:noWrap/>
            <w:vAlign w:val="center"/>
            <w:hideMark/>
          </w:tcPr>
          <w:p w14:paraId="3D3B6F23" w14:textId="77777777" w:rsidR="001249CE" w:rsidRPr="001249CE" w:rsidRDefault="001249CE" w:rsidP="001249CE">
            <w:pPr>
              <w:jc w:val="center"/>
              <w:rPr>
                <w:rFonts w:ascii="Arial Narrow" w:hAnsi="Arial Narrow" w:cs="Arial"/>
                <w:sz w:val="18"/>
                <w:szCs w:val="18"/>
              </w:rPr>
            </w:pPr>
            <w:r w:rsidRPr="001249CE">
              <w:rPr>
                <w:rFonts w:ascii="Arial Narrow" w:hAnsi="Arial Narrow" w:cs="Arial"/>
                <w:sz w:val="18"/>
                <w:szCs w:val="18"/>
              </w:rPr>
              <w:t>2</w:t>
            </w:r>
          </w:p>
        </w:tc>
        <w:tc>
          <w:tcPr>
            <w:tcW w:w="5120" w:type="dxa"/>
            <w:tcBorders>
              <w:top w:val="nil"/>
              <w:left w:val="nil"/>
              <w:bottom w:val="single" w:sz="4" w:space="0" w:color="auto"/>
              <w:right w:val="single" w:sz="4" w:space="0" w:color="auto"/>
            </w:tcBorders>
            <w:shd w:val="clear" w:color="000000" w:fill="FFFFFF"/>
            <w:vAlign w:val="center"/>
            <w:hideMark/>
          </w:tcPr>
          <w:p w14:paraId="2C2378F8" w14:textId="77777777" w:rsidR="001249CE" w:rsidRPr="001249CE" w:rsidRDefault="001249CE" w:rsidP="001249CE">
            <w:pPr>
              <w:rPr>
                <w:rFonts w:ascii="Arial Narrow" w:hAnsi="Arial Narrow" w:cs="Arial"/>
                <w:sz w:val="18"/>
                <w:szCs w:val="18"/>
              </w:rPr>
            </w:pPr>
            <w:r w:rsidRPr="001249CE">
              <w:rPr>
                <w:rFonts w:ascii="Arial Narrow" w:hAnsi="Arial Narrow" w:cs="Arial"/>
                <w:sz w:val="18"/>
                <w:szCs w:val="18"/>
              </w:rPr>
              <w:t>Меса и карантии, годни за консумация</w:t>
            </w:r>
          </w:p>
        </w:tc>
        <w:tc>
          <w:tcPr>
            <w:tcW w:w="920" w:type="dxa"/>
            <w:tcBorders>
              <w:top w:val="nil"/>
              <w:left w:val="nil"/>
              <w:bottom w:val="single" w:sz="4" w:space="0" w:color="auto"/>
              <w:right w:val="single" w:sz="4" w:space="0" w:color="auto"/>
            </w:tcBorders>
            <w:shd w:val="clear" w:color="000000" w:fill="FFFFFF"/>
            <w:noWrap/>
            <w:vAlign w:val="center"/>
            <w:hideMark/>
          </w:tcPr>
          <w:p w14:paraId="67E4811B" w14:textId="77777777" w:rsidR="001249CE" w:rsidRPr="001249CE" w:rsidRDefault="001249CE" w:rsidP="001249CE">
            <w:pPr>
              <w:jc w:val="right"/>
              <w:rPr>
                <w:rFonts w:ascii="Arial Narrow" w:hAnsi="Arial Narrow" w:cs="Arial"/>
                <w:sz w:val="18"/>
                <w:szCs w:val="18"/>
              </w:rPr>
            </w:pPr>
            <w:r w:rsidRPr="001249CE">
              <w:rPr>
                <w:rFonts w:ascii="Arial Narrow" w:hAnsi="Arial Narrow" w:cs="Arial"/>
                <w:sz w:val="18"/>
                <w:szCs w:val="18"/>
              </w:rPr>
              <w:t>643 741</w:t>
            </w:r>
          </w:p>
        </w:tc>
        <w:tc>
          <w:tcPr>
            <w:tcW w:w="811" w:type="dxa"/>
            <w:tcBorders>
              <w:top w:val="nil"/>
              <w:left w:val="nil"/>
              <w:bottom w:val="single" w:sz="4" w:space="0" w:color="auto"/>
              <w:right w:val="single" w:sz="4" w:space="0" w:color="auto"/>
            </w:tcBorders>
            <w:shd w:val="clear" w:color="000000" w:fill="FFFFFF"/>
            <w:vAlign w:val="center"/>
            <w:hideMark/>
          </w:tcPr>
          <w:p w14:paraId="4439DFCB" w14:textId="77777777" w:rsidR="001249CE" w:rsidRPr="001249CE" w:rsidRDefault="001249CE" w:rsidP="001249CE">
            <w:pPr>
              <w:jc w:val="right"/>
              <w:rPr>
                <w:rFonts w:ascii="Arial Narrow" w:hAnsi="Arial Narrow" w:cs="Arial"/>
                <w:sz w:val="18"/>
                <w:szCs w:val="18"/>
              </w:rPr>
            </w:pPr>
            <w:r w:rsidRPr="001249CE">
              <w:rPr>
                <w:rFonts w:ascii="Arial Narrow" w:hAnsi="Arial Narrow" w:cs="Arial"/>
                <w:sz w:val="18"/>
                <w:szCs w:val="18"/>
              </w:rPr>
              <w:t>10,4%</w:t>
            </w:r>
          </w:p>
        </w:tc>
        <w:tc>
          <w:tcPr>
            <w:tcW w:w="920" w:type="dxa"/>
            <w:tcBorders>
              <w:top w:val="nil"/>
              <w:left w:val="nil"/>
              <w:bottom w:val="single" w:sz="4" w:space="0" w:color="auto"/>
              <w:right w:val="single" w:sz="4" w:space="0" w:color="auto"/>
            </w:tcBorders>
            <w:shd w:val="clear" w:color="000000" w:fill="FFFFFF"/>
            <w:noWrap/>
            <w:vAlign w:val="center"/>
            <w:hideMark/>
          </w:tcPr>
          <w:p w14:paraId="7B4B59AA" w14:textId="77777777" w:rsidR="001249CE" w:rsidRPr="001249CE" w:rsidRDefault="001249CE" w:rsidP="001249CE">
            <w:pPr>
              <w:jc w:val="right"/>
              <w:rPr>
                <w:rFonts w:ascii="Arial Narrow" w:hAnsi="Arial Narrow" w:cs="Arial"/>
                <w:sz w:val="18"/>
                <w:szCs w:val="18"/>
              </w:rPr>
            </w:pPr>
            <w:r w:rsidRPr="001249CE">
              <w:rPr>
                <w:rFonts w:ascii="Arial Narrow" w:hAnsi="Arial Narrow" w:cs="Arial"/>
                <w:sz w:val="18"/>
                <w:szCs w:val="18"/>
              </w:rPr>
              <w:t>640 640</w:t>
            </w:r>
          </w:p>
        </w:tc>
        <w:tc>
          <w:tcPr>
            <w:tcW w:w="811" w:type="dxa"/>
            <w:tcBorders>
              <w:top w:val="nil"/>
              <w:left w:val="nil"/>
              <w:bottom w:val="single" w:sz="4" w:space="0" w:color="auto"/>
              <w:right w:val="single" w:sz="4" w:space="0" w:color="auto"/>
            </w:tcBorders>
            <w:shd w:val="clear" w:color="000000" w:fill="FFFFFF"/>
            <w:vAlign w:val="center"/>
            <w:hideMark/>
          </w:tcPr>
          <w:p w14:paraId="14BBD6AE" w14:textId="77777777" w:rsidR="001249CE" w:rsidRPr="001249CE" w:rsidRDefault="001249CE" w:rsidP="001249CE">
            <w:pPr>
              <w:jc w:val="right"/>
              <w:rPr>
                <w:rFonts w:ascii="Arial Narrow" w:hAnsi="Arial Narrow" w:cs="Arial"/>
                <w:sz w:val="18"/>
                <w:szCs w:val="18"/>
              </w:rPr>
            </w:pPr>
            <w:r w:rsidRPr="001249CE">
              <w:rPr>
                <w:rFonts w:ascii="Arial Narrow" w:hAnsi="Arial Narrow" w:cs="Arial"/>
                <w:sz w:val="18"/>
                <w:szCs w:val="18"/>
              </w:rPr>
              <w:t>9,5%</w:t>
            </w:r>
          </w:p>
        </w:tc>
        <w:tc>
          <w:tcPr>
            <w:tcW w:w="812" w:type="dxa"/>
            <w:tcBorders>
              <w:top w:val="nil"/>
              <w:left w:val="nil"/>
              <w:bottom w:val="single" w:sz="4" w:space="0" w:color="auto"/>
              <w:right w:val="single" w:sz="4" w:space="0" w:color="auto"/>
            </w:tcBorders>
            <w:shd w:val="clear" w:color="auto" w:fill="auto"/>
            <w:noWrap/>
            <w:vAlign w:val="center"/>
            <w:hideMark/>
          </w:tcPr>
          <w:p w14:paraId="052797DF" w14:textId="77777777" w:rsidR="001249CE" w:rsidRPr="001249CE" w:rsidRDefault="001249CE" w:rsidP="001249CE">
            <w:pPr>
              <w:jc w:val="right"/>
              <w:rPr>
                <w:rFonts w:ascii="Arial Narrow" w:hAnsi="Arial Narrow" w:cs="Arial"/>
                <w:color w:val="000000"/>
                <w:sz w:val="18"/>
                <w:szCs w:val="18"/>
              </w:rPr>
            </w:pPr>
            <w:r w:rsidRPr="001249CE">
              <w:rPr>
                <w:rFonts w:ascii="Arial Narrow" w:hAnsi="Arial Narrow" w:cs="Arial"/>
                <w:color w:val="000000"/>
                <w:sz w:val="18"/>
                <w:szCs w:val="18"/>
              </w:rPr>
              <w:t>-0,5%</w:t>
            </w:r>
          </w:p>
        </w:tc>
      </w:tr>
      <w:tr w:rsidR="001249CE" w:rsidRPr="001249CE" w14:paraId="5AD58235" w14:textId="77777777" w:rsidTr="001249CE">
        <w:trPr>
          <w:trHeight w:val="342"/>
        </w:trPr>
        <w:tc>
          <w:tcPr>
            <w:tcW w:w="382" w:type="dxa"/>
            <w:tcBorders>
              <w:top w:val="nil"/>
              <w:left w:val="single" w:sz="4" w:space="0" w:color="auto"/>
              <w:bottom w:val="single" w:sz="4" w:space="0" w:color="auto"/>
              <w:right w:val="single" w:sz="4" w:space="0" w:color="auto"/>
            </w:tcBorders>
            <w:shd w:val="clear" w:color="auto" w:fill="auto"/>
            <w:noWrap/>
            <w:vAlign w:val="center"/>
            <w:hideMark/>
          </w:tcPr>
          <w:p w14:paraId="448B8F12" w14:textId="77777777" w:rsidR="001249CE" w:rsidRPr="001249CE" w:rsidRDefault="001249CE" w:rsidP="001249CE">
            <w:pPr>
              <w:jc w:val="center"/>
              <w:rPr>
                <w:rFonts w:ascii="Arial Narrow" w:hAnsi="Arial Narrow" w:cs="Arial"/>
                <w:sz w:val="18"/>
                <w:szCs w:val="18"/>
              </w:rPr>
            </w:pPr>
            <w:r w:rsidRPr="001249CE">
              <w:rPr>
                <w:rFonts w:ascii="Arial Narrow" w:hAnsi="Arial Narrow" w:cs="Arial"/>
                <w:sz w:val="18"/>
                <w:szCs w:val="18"/>
              </w:rPr>
              <w:t>3</w:t>
            </w:r>
          </w:p>
        </w:tc>
        <w:tc>
          <w:tcPr>
            <w:tcW w:w="5120" w:type="dxa"/>
            <w:tcBorders>
              <w:top w:val="nil"/>
              <w:left w:val="nil"/>
              <w:bottom w:val="single" w:sz="4" w:space="0" w:color="auto"/>
              <w:right w:val="single" w:sz="4" w:space="0" w:color="auto"/>
            </w:tcBorders>
            <w:shd w:val="clear" w:color="auto" w:fill="auto"/>
            <w:vAlign w:val="center"/>
            <w:hideMark/>
          </w:tcPr>
          <w:p w14:paraId="38FC86F2" w14:textId="77777777" w:rsidR="001249CE" w:rsidRPr="001249CE" w:rsidRDefault="001249CE" w:rsidP="001249CE">
            <w:pPr>
              <w:rPr>
                <w:rFonts w:ascii="Arial Narrow" w:hAnsi="Arial Narrow" w:cs="Arial"/>
                <w:sz w:val="18"/>
                <w:szCs w:val="18"/>
              </w:rPr>
            </w:pPr>
            <w:r w:rsidRPr="001249CE">
              <w:rPr>
                <w:rFonts w:ascii="Arial Narrow" w:hAnsi="Arial Narrow" w:cs="Arial"/>
                <w:sz w:val="18"/>
                <w:szCs w:val="18"/>
              </w:rPr>
              <w:t>Риби и ракообразни, мекотели и други водни безгръбначни</w:t>
            </w:r>
          </w:p>
        </w:tc>
        <w:tc>
          <w:tcPr>
            <w:tcW w:w="920" w:type="dxa"/>
            <w:tcBorders>
              <w:top w:val="nil"/>
              <w:left w:val="nil"/>
              <w:bottom w:val="single" w:sz="4" w:space="0" w:color="auto"/>
              <w:right w:val="single" w:sz="4" w:space="0" w:color="auto"/>
            </w:tcBorders>
            <w:shd w:val="clear" w:color="auto" w:fill="auto"/>
            <w:noWrap/>
            <w:vAlign w:val="center"/>
            <w:hideMark/>
          </w:tcPr>
          <w:p w14:paraId="4AD1D0D9" w14:textId="77777777" w:rsidR="001249CE" w:rsidRPr="001249CE" w:rsidRDefault="001249CE" w:rsidP="001249CE">
            <w:pPr>
              <w:jc w:val="right"/>
              <w:rPr>
                <w:rFonts w:ascii="Arial Narrow" w:hAnsi="Arial Narrow" w:cs="Arial"/>
                <w:sz w:val="18"/>
                <w:szCs w:val="18"/>
              </w:rPr>
            </w:pPr>
            <w:r w:rsidRPr="001249CE">
              <w:rPr>
                <w:rFonts w:ascii="Arial Narrow" w:hAnsi="Arial Narrow" w:cs="Arial"/>
                <w:sz w:val="18"/>
                <w:szCs w:val="18"/>
              </w:rPr>
              <w:t>128 179</w:t>
            </w:r>
          </w:p>
        </w:tc>
        <w:tc>
          <w:tcPr>
            <w:tcW w:w="811" w:type="dxa"/>
            <w:tcBorders>
              <w:top w:val="nil"/>
              <w:left w:val="nil"/>
              <w:bottom w:val="single" w:sz="4" w:space="0" w:color="auto"/>
              <w:right w:val="single" w:sz="4" w:space="0" w:color="auto"/>
            </w:tcBorders>
            <w:shd w:val="clear" w:color="000000" w:fill="FFFFFF"/>
            <w:vAlign w:val="center"/>
            <w:hideMark/>
          </w:tcPr>
          <w:p w14:paraId="6E45F3FD" w14:textId="77777777" w:rsidR="001249CE" w:rsidRPr="001249CE" w:rsidRDefault="001249CE" w:rsidP="001249CE">
            <w:pPr>
              <w:jc w:val="right"/>
              <w:rPr>
                <w:rFonts w:ascii="Arial Narrow" w:hAnsi="Arial Narrow" w:cs="Arial"/>
                <w:sz w:val="18"/>
                <w:szCs w:val="18"/>
              </w:rPr>
            </w:pPr>
            <w:r w:rsidRPr="001249CE">
              <w:rPr>
                <w:rFonts w:ascii="Arial Narrow" w:hAnsi="Arial Narrow" w:cs="Arial"/>
                <w:sz w:val="18"/>
                <w:szCs w:val="18"/>
              </w:rPr>
              <w:t>2,1%</w:t>
            </w:r>
          </w:p>
        </w:tc>
        <w:tc>
          <w:tcPr>
            <w:tcW w:w="920" w:type="dxa"/>
            <w:tcBorders>
              <w:top w:val="nil"/>
              <w:left w:val="nil"/>
              <w:bottom w:val="single" w:sz="4" w:space="0" w:color="auto"/>
              <w:right w:val="single" w:sz="4" w:space="0" w:color="auto"/>
            </w:tcBorders>
            <w:shd w:val="clear" w:color="auto" w:fill="auto"/>
            <w:noWrap/>
            <w:vAlign w:val="center"/>
            <w:hideMark/>
          </w:tcPr>
          <w:p w14:paraId="0CAE24FA" w14:textId="77777777" w:rsidR="001249CE" w:rsidRPr="001249CE" w:rsidRDefault="001249CE" w:rsidP="001249CE">
            <w:pPr>
              <w:jc w:val="right"/>
              <w:rPr>
                <w:rFonts w:ascii="Arial Narrow" w:hAnsi="Arial Narrow" w:cs="Arial"/>
                <w:sz w:val="18"/>
                <w:szCs w:val="18"/>
              </w:rPr>
            </w:pPr>
            <w:r w:rsidRPr="001249CE">
              <w:rPr>
                <w:rFonts w:ascii="Arial Narrow" w:hAnsi="Arial Narrow" w:cs="Arial"/>
                <w:sz w:val="18"/>
                <w:szCs w:val="18"/>
              </w:rPr>
              <w:t>136 067</w:t>
            </w:r>
          </w:p>
        </w:tc>
        <w:tc>
          <w:tcPr>
            <w:tcW w:w="811" w:type="dxa"/>
            <w:tcBorders>
              <w:top w:val="nil"/>
              <w:left w:val="nil"/>
              <w:bottom w:val="single" w:sz="4" w:space="0" w:color="auto"/>
              <w:right w:val="single" w:sz="4" w:space="0" w:color="auto"/>
            </w:tcBorders>
            <w:shd w:val="clear" w:color="000000" w:fill="FFFFFF"/>
            <w:vAlign w:val="center"/>
            <w:hideMark/>
          </w:tcPr>
          <w:p w14:paraId="0FCD4C3C" w14:textId="77777777" w:rsidR="001249CE" w:rsidRPr="001249CE" w:rsidRDefault="001249CE" w:rsidP="001249CE">
            <w:pPr>
              <w:jc w:val="right"/>
              <w:rPr>
                <w:rFonts w:ascii="Arial Narrow" w:hAnsi="Arial Narrow" w:cs="Arial"/>
                <w:sz w:val="18"/>
                <w:szCs w:val="18"/>
              </w:rPr>
            </w:pPr>
            <w:r w:rsidRPr="001249CE">
              <w:rPr>
                <w:rFonts w:ascii="Arial Narrow" w:hAnsi="Arial Narrow" w:cs="Arial"/>
                <w:sz w:val="18"/>
                <w:szCs w:val="18"/>
              </w:rPr>
              <w:t>2,0%</w:t>
            </w:r>
          </w:p>
        </w:tc>
        <w:tc>
          <w:tcPr>
            <w:tcW w:w="812" w:type="dxa"/>
            <w:tcBorders>
              <w:top w:val="nil"/>
              <w:left w:val="nil"/>
              <w:bottom w:val="single" w:sz="4" w:space="0" w:color="auto"/>
              <w:right w:val="single" w:sz="4" w:space="0" w:color="auto"/>
            </w:tcBorders>
            <w:shd w:val="clear" w:color="auto" w:fill="auto"/>
            <w:noWrap/>
            <w:vAlign w:val="center"/>
            <w:hideMark/>
          </w:tcPr>
          <w:p w14:paraId="51F2633A" w14:textId="77777777" w:rsidR="001249CE" w:rsidRPr="001249CE" w:rsidRDefault="001249CE" w:rsidP="001249CE">
            <w:pPr>
              <w:jc w:val="right"/>
              <w:rPr>
                <w:rFonts w:ascii="Arial Narrow" w:hAnsi="Arial Narrow" w:cs="Arial"/>
                <w:color w:val="000000"/>
                <w:sz w:val="18"/>
                <w:szCs w:val="18"/>
              </w:rPr>
            </w:pPr>
            <w:r w:rsidRPr="001249CE">
              <w:rPr>
                <w:rFonts w:ascii="Arial Narrow" w:hAnsi="Arial Narrow" w:cs="Arial"/>
                <w:color w:val="000000"/>
                <w:sz w:val="18"/>
                <w:szCs w:val="18"/>
              </w:rPr>
              <w:t>6,2%</w:t>
            </w:r>
          </w:p>
        </w:tc>
      </w:tr>
      <w:tr w:rsidR="001249CE" w:rsidRPr="001249CE" w14:paraId="79AEF75A" w14:textId="77777777" w:rsidTr="001249CE">
        <w:trPr>
          <w:trHeight w:val="600"/>
        </w:trPr>
        <w:tc>
          <w:tcPr>
            <w:tcW w:w="382" w:type="dxa"/>
            <w:tcBorders>
              <w:top w:val="nil"/>
              <w:left w:val="single" w:sz="4" w:space="0" w:color="auto"/>
              <w:bottom w:val="single" w:sz="4" w:space="0" w:color="auto"/>
              <w:right w:val="single" w:sz="4" w:space="0" w:color="auto"/>
            </w:tcBorders>
            <w:shd w:val="clear" w:color="auto" w:fill="auto"/>
            <w:noWrap/>
            <w:vAlign w:val="center"/>
            <w:hideMark/>
          </w:tcPr>
          <w:p w14:paraId="4BF118CC" w14:textId="77777777" w:rsidR="001249CE" w:rsidRPr="001249CE" w:rsidRDefault="001249CE" w:rsidP="001249CE">
            <w:pPr>
              <w:jc w:val="center"/>
              <w:rPr>
                <w:rFonts w:ascii="Arial Narrow" w:hAnsi="Arial Narrow" w:cs="Arial"/>
                <w:sz w:val="18"/>
                <w:szCs w:val="18"/>
              </w:rPr>
            </w:pPr>
            <w:r w:rsidRPr="001249CE">
              <w:rPr>
                <w:rFonts w:ascii="Arial Narrow" w:hAnsi="Arial Narrow" w:cs="Arial"/>
                <w:sz w:val="18"/>
                <w:szCs w:val="18"/>
              </w:rPr>
              <w:t>4</w:t>
            </w:r>
          </w:p>
        </w:tc>
        <w:tc>
          <w:tcPr>
            <w:tcW w:w="5120" w:type="dxa"/>
            <w:tcBorders>
              <w:top w:val="nil"/>
              <w:left w:val="nil"/>
              <w:bottom w:val="single" w:sz="4" w:space="0" w:color="auto"/>
              <w:right w:val="single" w:sz="4" w:space="0" w:color="auto"/>
            </w:tcBorders>
            <w:shd w:val="clear" w:color="auto" w:fill="auto"/>
            <w:vAlign w:val="center"/>
            <w:hideMark/>
          </w:tcPr>
          <w:p w14:paraId="7B513960" w14:textId="77777777" w:rsidR="001249CE" w:rsidRPr="001249CE" w:rsidRDefault="001249CE" w:rsidP="001249CE">
            <w:pPr>
              <w:rPr>
                <w:rFonts w:ascii="Arial Narrow" w:hAnsi="Arial Narrow" w:cs="Arial"/>
                <w:sz w:val="18"/>
                <w:szCs w:val="18"/>
              </w:rPr>
            </w:pPr>
            <w:r w:rsidRPr="001249CE">
              <w:rPr>
                <w:rFonts w:ascii="Arial Narrow" w:hAnsi="Arial Narrow" w:cs="Arial"/>
                <w:sz w:val="18"/>
                <w:szCs w:val="18"/>
              </w:rPr>
              <w:t>Мляко и млечни продукти; птичи яйца; естествен мед; продукти от животински произход, годни за консумация, неупоменати другаде</w:t>
            </w:r>
          </w:p>
        </w:tc>
        <w:tc>
          <w:tcPr>
            <w:tcW w:w="920" w:type="dxa"/>
            <w:tcBorders>
              <w:top w:val="nil"/>
              <w:left w:val="nil"/>
              <w:bottom w:val="single" w:sz="4" w:space="0" w:color="auto"/>
              <w:right w:val="single" w:sz="4" w:space="0" w:color="auto"/>
            </w:tcBorders>
            <w:shd w:val="clear" w:color="auto" w:fill="auto"/>
            <w:noWrap/>
            <w:vAlign w:val="center"/>
            <w:hideMark/>
          </w:tcPr>
          <w:p w14:paraId="76130DF6" w14:textId="77777777" w:rsidR="001249CE" w:rsidRPr="001249CE" w:rsidRDefault="001249CE" w:rsidP="001249CE">
            <w:pPr>
              <w:jc w:val="right"/>
              <w:rPr>
                <w:rFonts w:ascii="Arial Narrow" w:hAnsi="Arial Narrow" w:cs="Arial"/>
                <w:sz w:val="18"/>
                <w:szCs w:val="18"/>
              </w:rPr>
            </w:pPr>
            <w:r w:rsidRPr="001249CE">
              <w:rPr>
                <w:rFonts w:ascii="Arial Narrow" w:hAnsi="Arial Narrow" w:cs="Arial"/>
                <w:sz w:val="18"/>
                <w:szCs w:val="18"/>
              </w:rPr>
              <w:t>413 118</w:t>
            </w:r>
          </w:p>
        </w:tc>
        <w:tc>
          <w:tcPr>
            <w:tcW w:w="811" w:type="dxa"/>
            <w:tcBorders>
              <w:top w:val="nil"/>
              <w:left w:val="nil"/>
              <w:bottom w:val="single" w:sz="4" w:space="0" w:color="auto"/>
              <w:right w:val="single" w:sz="4" w:space="0" w:color="auto"/>
            </w:tcBorders>
            <w:shd w:val="clear" w:color="000000" w:fill="FFFFFF"/>
            <w:vAlign w:val="center"/>
            <w:hideMark/>
          </w:tcPr>
          <w:p w14:paraId="540B7A65" w14:textId="77777777" w:rsidR="001249CE" w:rsidRPr="001249CE" w:rsidRDefault="001249CE" w:rsidP="001249CE">
            <w:pPr>
              <w:jc w:val="right"/>
              <w:rPr>
                <w:rFonts w:ascii="Arial Narrow" w:hAnsi="Arial Narrow" w:cs="Arial"/>
                <w:sz w:val="18"/>
                <w:szCs w:val="18"/>
              </w:rPr>
            </w:pPr>
            <w:r w:rsidRPr="001249CE">
              <w:rPr>
                <w:rFonts w:ascii="Arial Narrow" w:hAnsi="Arial Narrow" w:cs="Arial"/>
                <w:sz w:val="18"/>
                <w:szCs w:val="18"/>
              </w:rPr>
              <w:t>6,7%</w:t>
            </w:r>
          </w:p>
        </w:tc>
        <w:tc>
          <w:tcPr>
            <w:tcW w:w="920" w:type="dxa"/>
            <w:tcBorders>
              <w:top w:val="nil"/>
              <w:left w:val="nil"/>
              <w:bottom w:val="single" w:sz="4" w:space="0" w:color="auto"/>
              <w:right w:val="single" w:sz="4" w:space="0" w:color="auto"/>
            </w:tcBorders>
            <w:shd w:val="clear" w:color="auto" w:fill="auto"/>
            <w:noWrap/>
            <w:vAlign w:val="center"/>
            <w:hideMark/>
          </w:tcPr>
          <w:p w14:paraId="57636169" w14:textId="77777777" w:rsidR="001249CE" w:rsidRPr="001249CE" w:rsidRDefault="001249CE" w:rsidP="001249CE">
            <w:pPr>
              <w:jc w:val="right"/>
              <w:rPr>
                <w:rFonts w:ascii="Arial Narrow" w:hAnsi="Arial Narrow" w:cs="Arial"/>
                <w:sz w:val="18"/>
                <w:szCs w:val="18"/>
              </w:rPr>
            </w:pPr>
            <w:r w:rsidRPr="001249CE">
              <w:rPr>
                <w:rFonts w:ascii="Arial Narrow" w:hAnsi="Arial Narrow" w:cs="Arial"/>
                <w:sz w:val="18"/>
                <w:szCs w:val="18"/>
              </w:rPr>
              <w:t>454 734</w:t>
            </w:r>
          </w:p>
        </w:tc>
        <w:tc>
          <w:tcPr>
            <w:tcW w:w="811" w:type="dxa"/>
            <w:tcBorders>
              <w:top w:val="nil"/>
              <w:left w:val="nil"/>
              <w:bottom w:val="single" w:sz="4" w:space="0" w:color="auto"/>
              <w:right w:val="single" w:sz="4" w:space="0" w:color="auto"/>
            </w:tcBorders>
            <w:shd w:val="clear" w:color="000000" w:fill="FFFFFF"/>
            <w:vAlign w:val="center"/>
            <w:hideMark/>
          </w:tcPr>
          <w:p w14:paraId="1A9CE87E" w14:textId="77777777" w:rsidR="001249CE" w:rsidRPr="001249CE" w:rsidRDefault="001249CE" w:rsidP="001249CE">
            <w:pPr>
              <w:jc w:val="right"/>
              <w:rPr>
                <w:rFonts w:ascii="Arial Narrow" w:hAnsi="Arial Narrow" w:cs="Arial"/>
                <w:sz w:val="18"/>
                <w:szCs w:val="18"/>
              </w:rPr>
            </w:pPr>
            <w:r w:rsidRPr="001249CE">
              <w:rPr>
                <w:rFonts w:ascii="Arial Narrow" w:hAnsi="Arial Narrow" w:cs="Arial"/>
                <w:sz w:val="18"/>
                <w:szCs w:val="18"/>
              </w:rPr>
              <w:t>6,7%</w:t>
            </w:r>
          </w:p>
        </w:tc>
        <w:tc>
          <w:tcPr>
            <w:tcW w:w="812" w:type="dxa"/>
            <w:tcBorders>
              <w:top w:val="nil"/>
              <w:left w:val="nil"/>
              <w:bottom w:val="single" w:sz="4" w:space="0" w:color="auto"/>
              <w:right w:val="single" w:sz="4" w:space="0" w:color="auto"/>
            </w:tcBorders>
            <w:shd w:val="clear" w:color="auto" w:fill="auto"/>
            <w:noWrap/>
            <w:vAlign w:val="center"/>
            <w:hideMark/>
          </w:tcPr>
          <w:p w14:paraId="108FDA1B" w14:textId="77777777" w:rsidR="001249CE" w:rsidRPr="001249CE" w:rsidRDefault="001249CE" w:rsidP="001249CE">
            <w:pPr>
              <w:jc w:val="right"/>
              <w:rPr>
                <w:rFonts w:ascii="Arial Narrow" w:hAnsi="Arial Narrow" w:cs="Arial"/>
                <w:color w:val="000000"/>
                <w:sz w:val="18"/>
                <w:szCs w:val="18"/>
              </w:rPr>
            </w:pPr>
            <w:r w:rsidRPr="001249CE">
              <w:rPr>
                <w:rFonts w:ascii="Arial Narrow" w:hAnsi="Arial Narrow" w:cs="Arial"/>
                <w:color w:val="000000"/>
                <w:sz w:val="18"/>
                <w:szCs w:val="18"/>
              </w:rPr>
              <w:t>10,1%</w:t>
            </w:r>
          </w:p>
        </w:tc>
      </w:tr>
      <w:tr w:rsidR="001249CE" w:rsidRPr="001249CE" w14:paraId="7A8370FB" w14:textId="77777777" w:rsidTr="001249CE">
        <w:trPr>
          <w:trHeight w:val="342"/>
        </w:trPr>
        <w:tc>
          <w:tcPr>
            <w:tcW w:w="382" w:type="dxa"/>
            <w:tcBorders>
              <w:top w:val="nil"/>
              <w:left w:val="single" w:sz="4" w:space="0" w:color="auto"/>
              <w:bottom w:val="single" w:sz="4" w:space="0" w:color="auto"/>
              <w:right w:val="single" w:sz="4" w:space="0" w:color="auto"/>
            </w:tcBorders>
            <w:shd w:val="clear" w:color="auto" w:fill="auto"/>
            <w:noWrap/>
            <w:vAlign w:val="center"/>
            <w:hideMark/>
          </w:tcPr>
          <w:p w14:paraId="485424B7" w14:textId="77777777" w:rsidR="001249CE" w:rsidRPr="001249CE" w:rsidRDefault="001249CE" w:rsidP="001249CE">
            <w:pPr>
              <w:jc w:val="center"/>
              <w:rPr>
                <w:rFonts w:ascii="Arial Narrow" w:hAnsi="Arial Narrow" w:cs="Arial"/>
                <w:sz w:val="18"/>
                <w:szCs w:val="18"/>
              </w:rPr>
            </w:pPr>
            <w:r w:rsidRPr="001249CE">
              <w:rPr>
                <w:rFonts w:ascii="Arial Narrow" w:hAnsi="Arial Narrow" w:cs="Arial"/>
                <w:sz w:val="18"/>
                <w:szCs w:val="18"/>
              </w:rPr>
              <w:t>5</w:t>
            </w:r>
          </w:p>
        </w:tc>
        <w:tc>
          <w:tcPr>
            <w:tcW w:w="5120" w:type="dxa"/>
            <w:tcBorders>
              <w:top w:val="nil"/>
              <w:left w:val="nil"/>
              <w:bottom w:val="single" w:sz="4" w:space="0" w:color="auto"/>
              <w:right w:val="single" w:sz="4" w:space="0" w:color="auto"/>
            </w:tcBorders>
            <w:shd w:val="clear" w:color="auto" w:fill="auto"/>
            <w:vAlign w:val="center"/>
            <w:hideMark/>
          </w:tcPr>
          <w:p w14:paraId="5F116568" w14:textId="77777777" w:rsidR="001249CE" w:rsidRPr="001249CE" w:rsidRDefault="001249CE" w:rsidP="001249CE">
            <w:pPr>
              <w:rPr>
                <w:rFonts w:ascii="Arial Narrow" w:hAnsi="Arial Narrow" w:cs="Arial"/>
                <w:sz w:val="18"/>
                <w:szCs w:val="18"/>
              </w:rPr>
            </w:pPr>
            <w:r w:rsidRPr="001249CE">
              <w:rPr>
                <w:rFonts w:ascii="Arial Narrow" w:hAnsi="Arial Narrow" w:cs="Arial"/>
                <w:sz w:val="18"/>
                <w:szCs w:val="18"/>
              </w:rPr>
              <w:t>Други продукти от животински произход, неупоменати другаде</w:t>
            </w:r>
          </w:p>
        </w:tc>
        <w:tc>
          <w:tcPr>
            <w:tcW w:w="920" w:type="dxa"/>
            <w:tcBorders>
              <w:top w:val="nil"/>
              <w:left w:val="nil"/>
              <w:bottom w:val="single" w:sz="4" w:space="0" w:color="auto"/>
              <w:right w:val="single" w:sz="4" w:space="0" w:color="auto"/>
            </w:tcBorders>
            <w:shd w:val="clear" w:color="auto" w:fill="auto"/>
            <w:noWrap/>
            <w:vAlign w:val="center"/>
            <w:hideMark/>
          </w:tcPr>
          <w:p w14:paraId="396C3A52" w14:textId="77777777" w:rsidR="001249CE" w:rsidRPr="001249CE" w:rsidRDefault="001249CE" w:rsidP="001249CE">
            <w:pPr>
              <w:jc w:val="right"/>
              <w:rPr>
                <w:rFonts w:ascii="Arial Narrow" w:hAnsi="Arial Narrow" w:cs="Arial"/>
                <w:sz w:val="18"/>
                <w:szCs w:val="18"/>
              </w:rPr>
            </w:pPr>
            <w:r w:rsidRPr="001249CE">
              <w:rPr>
                <w:rFonts w:ascii="Arial Narrow" w:hAnsi="Arial Narrow" w:cs="Arial"/>
                <w:sz w:val="18"/>
                <w:szCs w:val="18"/>
              </w:rPr>
              <w:t>27 629</w:t>
            </w:r>
          </w:p>
        </w:tc>
        <w:tc>
          <w:tcPr>
            <w:tcW w:w="811" w:type="dxa"/>
            <w:tcBorders>
              <w:top w:val="nil"/>
              <w:left w:val="nil"/>
              <w:bottom w:val="single" w:sz="4" w:space="0" w:color="auto"/>
              <w:right w:val="single" w:sz="4" w:space="0" w:color="auto"/>
            </w:tcBorders>
            <w:shd w:val="clear" w:color="000000" w:fill="FFFFFF"/>
            <w:vAlign w:val="center"/>
            <w:hideMark/>
          </w:tcPr>
          <w:p w14:paraId="08063914" w14:textId="77777777" w:rsidR="001249CE" w:rsidRPr="001249CE" w:rsidRDefault="001249CE" w:rsidP="001249CE">
            <w:pPr>
              <w:jc w:val="right"/>
              <w:rPr>
                <w:rFonts w:ascii="Arial Narrow" w:hAnsi="Arial Narrow" w:cs="Arial"/>
                <w:sz w:val="18"/>
                <w:szCs w:val="18"/>
              </w:rPr>
            </w:pPr>
            <w:r w:rsidRPr="001249CE">
              <w:rPr>
                <w:rFonts w:ascii="Arial Narrow" w:hAnsi="Arial Narrow" w:cs="Arial"/>
                <w:sz w:val="18"/>
                <w:szCs w:val="18"/>
              </w:rPr>
              <w:t>0,4%</w:t>
            </w:r>
          </w:p>
        </w:tc>
        <w:tc>
          <w:tcPr>
            <w:tcW w:w="920" w:type="dxa"/>
            <w:tcBorders>
              <w:top w:val="nil"/>
              <w:left w:val="nil"/>
              <w:bottom w:val="single" w:sz="4" w:space="0" w:color="auto"/>
              <w:right w:val="single" w:sz="4" w:space="0" w:color="auto"/>
            </w:tcBorders>
            <w:shd w:val="clear" w:color="auto" w:fill="auto"/>
            <w:noWrap/>
            <w:vAlign w:val="center"/>
            <w:hideMark/>
          </w:tcPr>
          <w:p w14:paraId="71C86D35" w14:textId="77777777" w:rsidR="001249CE" w:rsidRPr="001249CE" w:rsidRDefault="001249CE" w:rsidP="001249CE">
            <w:pPr>
              <w:jc w:val="right"/>
              <w:rPr>
                <w:rFonts w:ascii="Arial Narrow" w:hAnsi="Arial Narrow" w:cs="Arial"/>
                <w:sz w:val="18"/>
                <w:szCs w:val="18"/>
              </w:rPr>
            </w:pPr>
            <w:r w:rsidRPr="001249CE">
              <w:rPr>
                <w:rFonts w:ascii="Arial Narrow" w:hAnsi="Arial Narrow" w:cs="Arial"/>
                <w:sz w:val="18"/>
                <w:szCs w:val="18"/>
              </w:rPr>
              <w:t>25 466</w:t>
            </w:r>
          </w:p>
        </w:tc>
        <w:tc>
          <w:tcPr>
            <w:tcW w:w="811" w:type="dxa"/>
            <w:tcBorders>
              <w:top w:val="nil"/>
              <w:left w:val="nil"/>
              <w:bottom w:val="single" w:sz="4" w:space="0" w:color="auto"/>
              <w:right w:val="single" w:sz="4" w:space="0" w:color="auto"/>
            </w:tcBorders>
            <w:shd w:val="clear" w:color="000000" w:fill="FFFFFF"/>
            <w:vAlign w:val="center"/>
            <w:hideMark/>
          </w:tcPr>
          <w:p w14:paraId="31128C41" w14:textId="77777777" w:rsidR="001249CE" w:rsidRPr="001249CE" w:rsidRDefault="001249CE" w:rsidP="001249CE">
            <w:pPr>
              <w:jc w:val="right"/>
              <w:rPr>
                <w:rFonts w:ascii="Arial Narrow" w:hAnsi="Arial Narrow" w:cs="Arial"/>
                <w:sz w:val="18"/>
                <w:szCs w:val="18"/>
              </w:rPr>
            </w:pPr>
            <w:r w:rsidRPr="001249CE">
              <w:rPr>
                <w:rFonts w:ascii="Arial Narrow" w:hAnsi="Arial Narrow" w:cs="Arial"/>
                <w:sz w:val="18"/>
                <w:szCs w:val="18"/>
              </w:rPr>
              <w:t>0,4%</w:t>
            </w:r>
          </w:p>
        </w:tc>
        <w:tc>
          <w:tcPr>
            <w:tcW w:w="812" w:type="dxa"/>
            <w:tcBorders>
              <w:top w:val="nil"/>
              <w:left w:val="nil"/>
              <w:bottom w:val="single" w:sz="4" w:space="0" w:color="auto"/>
              <w:right w:val="single" w:sz="4" w:space="0" w:color="auto"/>
            </w:tcBorders>
            <w:shd w:val="clear" w:color="auto" w:fill="auto"/>
            <w:noWrap/>
            <w:vAlign w:val="center"/>
            <w:hideMark/>
          </w:tcPr>
          <w:p w14:paraId="2F9B7926" w14:textId="77777777" w:rsidR="001249CE" w:rsidRPr="001249CE" w:rsidRDefault="001249CE" w:rsidP="001249CE">
            <w:pPr>
              <w:jc w:val="right"/>
              <w:rPr>
                <w:rFonts w:ascii="Arial Narrow" w:hAnsi="Arial Narrow" w:cs="Arial"/>
                <w:color w:val="000000"/>
                <w:sz w:val="18"/>
                <w:szCs w:val="18"/>
              </w:rPr>
            </w:pPr>
            <w:r w:rsidRPr="001249CE">
              <w:rPr>
                <w:rFonts w:ascii="Arial Narrow" w:hAnsi="Arial Narrow" w:cs="Arial"/>
                <w:color w:val="000000"/>
                <w:sz w:val="18"/>
                <w:szCs w:val="18"/>
              </w:rPr>
              <w:t>-7,8%</w:t>
            </w:r>
          </w:p>
        </w:tc>
      </w:tr>
      <w:tr w:rsidR="001249CE" w:rsidRPr="001249CE" w14:paraId="1770DC63" w14:textId="77777777" w:rsidTr="001249CE">
        <w:trPr>
          <w:trHeight w:val="342"/>
        </w:trPr>
        <w:tc>
          <w:tcPr>
            <w:tcW w:w="382" w:type="dxa"/>
            <w:tcBorders>
              <w:top w:val="nil"/>
              <w:left w:val="single" w:sz="4" w:space="0" w:color="auto"/>
              <w:bottom w:val="single" w:sz="4" w:space="0" w:color="auto"/>
              <w:right w:val="single" w:sz="4" w:space="0" w:color="auto"/>
            </w:tcBorders>
            <w:shd w:val="clear" w:color="auto" w:fill="auto"/>
            <w:noWrap/>
            <w:vAlign w:val="center"/>
            <w:hideMark/>
          </w:tcPr>
          <w:p w14:paraId="1F9246A5" w14:textId="77777777" w:rsidR="001249CE" w:rsidRPr="001249CE" w:rsidRDefault="001249CE" w:rsidP="001249CE">
            <w:pPr>
              <w:jc w:val="center"/>
              <w:rPr>
                <w:rFonts w:ascii="Arial Narrow" w:hAnsi="Arial Narrow" w:cs="Arial"/>
                <w:sz w:val="18"/>
                <w:szCs w:val="18"/>
              </w:rPr>
            </w:pPr>
            <w:r w:rsidRPr="001249CE">
              <w:rPr>
                <w:rFonts w:ascii="Arial Narrow" w:hAnsi="Arial Narrow" w:cs="Arial"/>
                <w:sz w:val="18"/>
                <w:szCs w:val="18"/>
              </w:rPr>
              <w:t>6</w:t>
            </w:r>
          </w:p>
        </w:tc>
        <w:tc>
          <w:tcPr>
            <w:tcW w:w="5120" w:type="dxa"/>
            <w:tcBorders>
              <w:top w:val="nil"/>
              <w:left w:val="nil"/>
              <w:bottom w:val="single" w:sz="4" w:space="0" w:color="auto"/>
              <w:right w:val="single" w:sz="4" w:space="0" w:color="auto"/>
            </w:tcBorders>
            <w:shd w:val="clear" w:color="auto" w:fill="auto"/>
            <w:vAlign w:val="center"/>
            <w:hideMark/>
          </w:tcPr>
          <w:p w14:paraId="49ACEC5A" w14:textId="77777777" w:rsidR="001249CE" w:rsidRPr="001249CE" w:rsidRDefault="001249CE" w:rsidP="001249CE">
            <w:pPr>
              <w:rPr>
                <w:rFonts w:ascii="Arial Narrow" w:hAnsi="Arial Narrow" w:cs="Arial"/>
                <w:sz w:val="18"/>
                <w:szCs w:val="18"/>
              </w:rPr>
            </w:pPr>
            <w:r w:rsidRPr="001249CE">
              <w:rPr>
                <w:rFonts w:ascii="Arial Narrow" w:hAnsi="Arial Narrow" w:cs="Arial"/>
                <w:sz w:val="18"/>
                <w:szCs w:val="18"/>
              </w:rPr>
              <w:t>Живи растения и цветарски продукти</w:t>
            </w:r>
          </w:p>
        </w:tc>
        <w:tc>
          <w:tcPr>
            <w:tcW w:w="920" w:type="dxa"/>
            <w:tcBorders>
              <w:top w:val="nil"/>
              <w:left w:val="nil"/>
              <w:bottom w:val="single" w:sz="4" w:space="0" w:color="auto"/>
              <w:right w:val="single" w:sz="4" w:space="0" w:color="auto"/>
            </w:tcBorders>
            <w:shd w:val="clear" w:color="auto" w:fill="auto"/>
            <w:noWrap/>
            <w:vAlign w:val="center"/>
            <w:hideMark/>
          </w:tcPr>
          <w:p w14:paraId="09F40C52" w14:textId="77777777" w:rsidR="001249CE" w:rsidRPr="001249CE" w:rsidRDefault="001249CE" w:rsidP="001249CE">
            <w:pPr>
              <w:jc w:val="right"/>
              <w:rPr>
                <w:rFonts w:ascii="Arial Narrow" w:hAnsi="Arial Narrow" w:cs="Arial"/>
                <w:sz w:val="18"/>
                <w:szCs w:val="18"/>
              </w:rPr>
            </w:pPr>
            <w:r w:rsidRPr="001249CE">
              <w:rPr>
                <w:rFonts w:ascii="Arial Narrow" w:hAnsi="Arial Narrow" w:cs="Arial"/>
                <w:sz w:val="18"/>
                <w:szCs w:val="18"/>
              </w:rPr>
              <w:t>45 290</w:t>
            </w:r>
          </w:p>
        </w:tc>
        <w:tc>
          <w:tcPr>
            <w:tcW w:w="811" w:type="dxa"/>
            <w:tcBorders>
              <w:top w:val="nil"/>
              <w:left w:val="nil"/>
              <w:bottom w:val="single" w:sz="4" w:space="0" w:color="auto"/>
              <w:right w:val="single" w:sz="4" w:space="0" w:color="auto"/>
            </w:tcBorders>
            <w:shd w:val="clear" w:color="000000" w:fill="FFFFFF"/>
            <w:vAlign w:val="center"/>
            <w:hideMark/>
          </w:tcPr>
          <w:p w14:paraId="72894E2C" w14:textId="77777777" w:rsidR="001249CE" w:rsidRPr="001249CE" w:rsidRDefault="001249CE" w:rsidP="001249CE">
            <w:pPr>
              <w:jc w:val="right"/>
              <w:rPr>
                <w:rFonts w:ascii="Arial Narrow" w:hAnsi="Arial Narrow" w:cs="Arial"/>
                <w:sz w:val="18"/>
                <w:szCs w:val="18"/>
              </w:rPr>
            </w:pPr>
            <w:r w:rsidRPr="001249CE">
              <w:rPr>
                <w:rFonts w:ascii="Arial Narrow" w:hAnsi="Arial Narrow" w:cs="Arial"/>
                <w:sz w:val="18"/>
                <w:szCs w:val="18"/>
              </w:rPr>
              <w:t>0,7%</w:t>
            </w:r>
          </w:p>
        </w:tc>
        <w:tc>
          <w:tcPr>
            <w:tcW w:w="920" w:type="dxa"/>
            <w:tcBorders>
              <w:top w:val="nil"/>
              <w:left w:val="nil"/>
              <w:bottom w:val="single" w:sz="4" w:space="0" w:color="auto"/>
              <w:right w:val="single" w:sz="4" w:space="0" w:color="auto"/>
            </w:tcBorders>
            <w:shd w:val="clear" w:color="auto" w:fill="auto"/>
            <w:noWrap/>
            <w:vAlign w:val="center"/>
            <w:hideMark/>
          </w:tcPr>
          <w:p w14:paraId="1888EA85" w14:textId="77777777" w:rsidR="001249CE" w:rsidRPr="001249CE" w:rsidRDefault="001249CE" w:rsidP="001249CE">
            <w:pPr>
              <w:jc w:val="right"/>
              <w:rPr>
                <w:rFonts w:ascii="Arial Narrow" w:hAnsi="Arial Narrow" w:cs="Arial"/>
                <w:sz w:val="18"/>
                <w:szCs w:val="18"/>
              </w:rPr>
            </w:pPr>
            <w:r w:rsidRPr="001249CE">
              <w:rPr>
                <w:rFonts w:ascii="Arial Narrow" w:hAnsi="Arial Narrow" w:cs="Arial"/>
                <w:sz w:val="18"/>
                <w:szCs w:val="18"/>
              </w:rPr>
              <w:t>37 265</w:t>
            </w:r>
          </w:p>
        </w:tc>
        <w:tc>
          <w:tcPr>
            <w:tcW w:w="811" w:type="dxa"/>
            <w:tcBorders>
              <w:top w:val="nil"/>
              <w:left w:val="nil"/>
              <w:bottom w:val="single" w:sz="4" w:space="0" w:color="auto"/>
              <w:right w:val="single" w:sz="4" w:space="0" w:color="auto"/>
            </w:tcBorders>
            <w:shd w:val="clear" w:color="000000" w:fill="FFFFFF"/>
            <w:vAlign w:val="center"/>
            <w:hideMark/>
          </w:tcPr>
          <w:p w14:paraId="57999F98" w14:textId="77777777" w:rsidR="001249CE" w:rsidRPr="001249CE" w:rsidRDefault="001249CE" w:rsidP="001249CE">
            <w:pPr>
              <w:jc w:val="right"/>
              <w:rPr>
                <w:rFonts w:ascii="Arial Narrow" w:hAnsi="Arial Narrow" w:cs="Arial"/>
                <w:sz w:val="18"/>
                <w:szCs w:val="18"/>
              </w:rPr>
            </w:pPr>
            <w:r w:rsidRPr="001249CE">
              <w:rPr>
                <w:rFonts w:ascii="Arial Narrow" w:hAnsi="Arial Narrow" w:cs="Arial"/>
                <w:sz w:val="18"/>
                <w:szCs w:val="18"/>
              </w:rPr>
              <w:t>0,6%</w:t>
            </w:r>
          </w:p>
        </w:tc>
        <w:tc>
          <w:tcPr>
            <w:tcW w:w="812" w:type="dxa"/>
            <w:tcBorders>
              <w:top w:val="nil"/>
              <w:left w:val="nil"/>
              <w:bottom w:val="single" w:sz="4" w:space="0" w:color="auto"/>
              <w:right w:val="single" w:sz="4" w:space="0" w:color="auto"/>
            </w:tcBorders>
            <w:shd w:val="clear" w:color="auto" w:fill="auto"/>
            <w:noWrap/>
            <w:vAlign w:val="center"/>
            <w:hideMark/>
          </w:tcPr>
          <w:p w14:paraId="3B8C7BA9" w14:textId="77777777" w:rsidR="001249CE" w:rsidRPr="001249CE" w:rsidRDefault="001249CE" w:rsidP="001249CE">
            <w:pPr>
              <w:jc w:val="right"/>
              <w:rPr>
                <w:rFonts w:ascii="Arial Narrow" w:hAnsi="Arial Narrow" w:cs="Arial"/>
                <w:color w:val="000000"/>
                <w:sz w:val="18"/>
                <w:szCs w:val="18"/>
              </w:rPr>
            </w:pPr>
            <w:r w:rsidRPr="001249CE">
              <w:rPr>
                <w:rFonts w:ascii="Arial Narrow" w:hAnsi="Arial Narrow" w:cs="Arial"/>
                <w:color w:val="000000"/>
                <w:sz w:val="18"/>
                <w:szCs w:val="18"/>
              </w:rPr>
              <w:t>-17,7%</w:t>
            </w:r>
          </w:p>
        </w:tc>
      </w:tr>
      <w:tr w:rsidR="001249CE" w:rsidRPr="001249CE" w14:paraId="6B70919F" w14:textId="77777777" w:rsidTr="00CD44F3">
        <w:trPr>
          <w:trHeight w:val="342"/>
        </w:trPr>
        <w:tc>
          <w:tcPr>
            <w:tcW w:w="382" w:type="dxa"/>
            <w:tcBorders>
              <w:top w:val="nil"/>
              <w:left w:val="single" w:sz="4" w:space="0" w:color="auto"/>
              <w:bottom w:val="single" w:sz="4" w:space="0" w:color="auto"/>
              <w:right w:val="single" w:sz="4" w:space="0" w:color="auto"/>
            </w:tcBorders>
            <w:shd w:val="clear" w:color="000000" w:fill="FFFFFF"/>
            <w:noWrap/>
            <w:vAlign w:val="center"/>
            <w:hideMark/>
          </w:tcPr>
          <w:p w14:paraId="5FC37B35" w14:textId="77777777" w:rsidR="001249CE" w:rsidRPr="001249CE" w:rsidRDefault="001249CE" w:rsidP="001249CE">
            <w:pPr>
              <w:jc w:val="center"/>
              <w:rPr>
                <w:rFonts w:ascii="Arial Narrow" w:hAnsi="Arial Narrow" w:cs="Arial"/>
                <w:sz w:val="18"/>
                <w:szCs w:val="18"/>
              </w:rPr>
            </w:pPr>
            <w:r w:rsidRPr="001249CE">
              <w:rPr>
                <w:rFonts w:ascii="Arial Narrow" w:hAnsi="Arial Narrow" w:cs="Arial"/>
                <w:sz w:val="18"/>
                <w:szCs w:val="18"/>
              </w:rPr>
              <w:t>7</w:t>
            </w:r>
          </w:p>
        </w:tc>
        <w:tc>
          <w:tcPr>
            <w:tcW w:w="5120" w:type="dxa"/>
            <w:tcBorders>
              <w:top w:val="nil"/>
              <w:left w:val="nil"/>
              <w:bottom w:val="single" w:sz="4" w:space="0" w:color="auto"/>
              <w:right w:val="single" w:sz="4" w:space="0" w:color="auto"/>
            </w:tcBorders>
            <w:shd w:val="clear" w:color="000000" w:fill="FFFFFF"/>
            <w:vAlign w:val="center"/>
            <w:hideMark/>
          </w:tcPr>
          <w:p w14:paraId="695A97C3" w14:textId="77777777" w:rsidR="001249CE" w:rsidRPr="001249CE" w:rsidRDefault="001249CE" w:rsidP="001249CE">
            <w:pPr>
              <w:rPr>
                <w:rFonts w:ascii="Arial Narrow" w:hAnsi="Arial Narrow" w:cs="Arial"/>
                <w:sz w:val="18"/>
                <w:szCs w:val="18"/>
              </w:rPr>
            </w:pPr>
            <w:r w:rsidRPr="001249CE">
              <w:rPr>
                <w:rFonts w:ascii="Arial Narrow" w:hAnsi="Arial Narrow" w:cs="Arial"/>
                <w:sz w:val="18"/>
                <w:szCs w:val="18"/>
              </w:rPr>
              <w:t>Зеленчуци, растения, корени и грудки, годни за консумация</w:t>
            </w:r>
          </w:p>
        </w:tc>
        <w:tc>
          <w:tcPr>
            <w:tcW w:w="920" w:type="dxa"/>
            <w:tcBorders>
              <w:top w:val="nil"/>
              <w:left w:val="nil"/>
              <w:bottom w:val="single" w:sz="4" w:space="0" w:color="auto"/>
              <w:right w:val="single" w:sz="4" w:space="0" w:color="auto"/>
            </w:tcBorders>
            <w:shd w:val="clear" w:color="000000" w:fill="FFFFFF"/>
            <w:noWrap/>
            <w:vAlign w:val="center"/>
            <w:hideMark/>
          </w:tcPr>
          <w:p w14:paraId="537D092D" w14:textId="77777777" w:rsidR="001249CE" w:rsidRPr="001249CE" w:rsidRDefault="001249CE" w:rsidP="001249CE">
            <w:pPr>
              <w:jc w:val="right"/>
              <w:rPr>
                <w:rFonts w:ascii="Arial Narrow" w:hAnsi="Arial Narrow" w:cs="Arial"/>
                <w:sz w:val="18"/>
                <w:szCs w:val="18"/>
              </w:rPr>
            </w:pPr>
            <w:r w:rsidRPr="001249CE">
              <w:rPr>
                <w:rFonts w:ascii="Arial Narrow" w:hAnsi="Arial Narrow" w:cs="Arial"/>
                <w:sz w:val="18"/>
                <w:szCs w:val="18"/>
              </w:rPr>
              <w:t>298 981</w:t>
            </w:r>
          </w:p>
        </w:tc>
        <w:tc>
          <w:tcPr>
            <w:tcW w:w="811" w:type="dxa"/>
            <w:tcBorders>
              <w:top w:val="nil"/>
              <w:left w:val="nil"/>
              <w:bottom w:val="single" w:sz="4" w:space="0" w:color="auto"/>
              <w:right w:val="single" w:sz="4" w:space="0" w:color="auto"/>
            </w:tcBorders>
            <w:shd w:val="clear" w:color="000000" w:fill="FFFFFF"/>
            <w:vAlign w:val="center"/>
            <w:hideMark/>
          </w:tcPr>
          <w:p w14:paraId="7ED5EE6B" w14:textId="77777777" w:rsidR="001249CE" w:rsidRPr="001249CE" w:rsidRDefault="001249CE" w:rsidP="001249CE">
            <w:pPr>
              <w:jc w:val="right"/>
              <w:rPr>
                <w:rFonts w:ascii="Arial Narrow" w:hAnsi="Arial Narrow" w:cs="Arial"/>
                <w:sz w:val="18"/>
                <w:szCs w:val="18"/>
              </w:rPr>
            </w:pPr>
            <w:r w:rsidRPr="001249CE">
              <w:rPr>
                <w:rFonts w:ascii="Arial Narrow" w:hAnsi="Arial Narrow" w:cs="Arial"/>
                <w:sz w:val="18"/>
                <w:szCs w:val="18"/>
              </w:rPr>
              <w:t>4,8%</w:t>
            </w:r>
          </w:p>
        </w:tc>
        <w:tc>
          <w:tcPr>
            <w:tcW w:w="920" w:type="dxa"/>
            <w:tcBorders>
              <w:top w:val="nil"/>
              <w:left w:val="nil"/>
              <w:bottom w:val="single" w:sz="4" w:space="0" w:color="auto"/>
              <w:right w:val="single" w:sz="4" w:space="0" w:color="auto"/>
            </w:tcBorders>
            <w:shd w:val="clear" w:color="000000" w:fill="FFFFFF"/>
            <w:noWrap/>
            <w:vAlign w:val="center"/>
            <w:hideMark/>
          </w:tcPr>
          <w:p w14:paraId="70286E5D" w14:textId="77777777" w:rsidR="001249CE" w:rsidRPr="001249CE" w:rsidRDefault="001249CE" w:rsidP="001249CE">
            <w:pPr>
              <w:jc w:val="right"/>
              <w:rPr>
                <w:rFonts w:ascii="Arial Narrow" w:hAnsi="Arial Narrow" w:cs="Arial"/>
                <w:sz w:val="18"/>
                <w:szCs w:val="18"/>
              </w:rPr>
            </w:pPr>
            <w:r w:rsidRPr="001249CE">
              <w:rPr>
                <w:rFonts w:ascii="Arial Narrow" w:hAnsi="Arial Narrow" w:cs="Arial"/>
                <w:sz w:val="18"/>
                <w:szCs w:val="18"/>
              </w:rPr>
              <w:t>297 683</w:t>
            </w:r>
          </w:p>
        </w:tc>
        <w:tc>
          <w:tcPr>
            <w:tcW w:w="811" w:type="dxa"/>
            <w:tcBorders>
              <w:top w:val="nil"/>
              <w:left w:val="nil"/>
              <w:bottom w:val="single" w:sz="4" w:space="0" w:color="auto"/>
              <w:right w:val="single" w:sz="4" w:space="0" w:color="auto"/>
            </w:tcBorders>
            <w:shd w:val="clear" w:color="000000" w:fill="FFFFFF"/>
            <w:vAlign w:val="center"/>
            <w:hideMark/>
          </w:tcPr>
          <w:p w14:paraId="5A1ECA6A" w14:textId="77777777" w:rsidR="001249CE" w:rsidRPr="001249CE" w:rsidRDefault="001249CE" w:rsidP="001249CE">
            <w:pPr>
              <w:jc w:val="right"/>
              <w:rPr>
                <w:rFonts w:ascii="Arial Narrow" w:hAnsi="Arial Narrow" w:cs="Arial"/>
                <w:sz w:val="18"/>
                <w:szCs w:val="18"/>
              </w:rPr>
            </w:pPr>
            <w:r w:rsidRPr="001249CE">
              <w:rPr>
                <w:rFonts w:ascii="Arial Narrow" w:hAnsi="Arial Narrow" w:cs="Arial"/>
                <w:sz w:val="18"/>
                <w:szCs w:val="18"/>
              </w:rPr>
              <w:t>4,4%</w:t>
            </w:r>
          </w:p>
        </w:tc>
        <w:tc>
          <w:tcPr>
            <w:tcW w:w="812" w:type="dxa"/>
            <w:tcBorders>
              <w:top w:val="nil"/>
              <w:left w:val="nil"/>
              <w:bottom w:val="single" w:sz="4" w:space="0" w:color="auto"/>
              <w:right w:val="single" w:sz="4" w:space="0" w:color="auto"/>
            </w:tcBorders>
            <w:shd w:val="clear" w:color="auto" w:fill="auto"/>
            <w:noWrap/>
            <w:vAlign w:val="center"/>
            <w:hideMark/>
          </w:tcPr>
          <w:p w14:paraId="6A481C3F" w14:textId="77777777" w:rsidR="001249CE" w:rsidRPr="001249CE" w:rsidRDefault="001249CE" w:rsidP="001249CE">
            <w:pPr>
              <w:jc w:val="right"/>
              <w:rPr>
                <w:rFonts w:ascii="Arial Narrow" w:hAnsi="Arial Narrow" w:cs="Arial"/>
                <w:color w:val="000000"/>
                <w:sz w:val="18"/>
                <w:szCs w:val="18"/>
              </w:rPr>
            </w:pPr>
            <w:r w:rsidRPr="001249CE">
              <w:rPr>
                <w:rFonts w:ascii="Arial Narrow" w:hAnsi="Arial Narrow" w:cs="Arial"/>
                <w:color w:val="000000"/>
                <w:sz w:val="18"/>
                <w:szCs w:val="18"/>
              </w:rPr>
              <w:t>-0,4%</w:t>
            </w:r>
          </w:p>
        </w:tc>
      </w:tr>
      <w:tr w:rsidR="001249CE" w:rsidRPr="001249CE" w14:paraId="478A1B12" w14:textId="77777777" w:rsidTr="001249CE">
        <w:trPr>
          <w:trHeight w:val="342"/>
        </w:trPr>
        <w:tc>
          <w:tcPr>
            <w:tcW w:w="382" w:type="dxa"/>
            <w:tcBorders>
              <w:top w:val="nil"/>
              <w:left w:val="single" w:sz="4" w:space="0" w:color="auto"/>
              <w:bottom w:val="single" w:sz="4" w:space="0" w:color="auto"/>
              <w:right w:val="single" w:sz="4" w:space="0" w:color="auto"/>
            </w:tcBorders>
            <w:shd w:val="clear" w:color="auto" w:fill="auto"/>
            <w:noWrap/>
            <w:vAlign w:val="center"/>
            <w:hideMark/>
          </w:tcPr>
          <w:p w14:paraId="588F80D0" w14:textId="77777777" w:rsidR="001249CE" w:rsidRPr="001249CE" w:rsidRDefault="001249CE" w:rsidP="001249CE">
            <w:pPr>
              <w:jc w:val="center"/>
              <w:rPr>
                <w:rFonts w:ascii="Arial Narrow" w:hAnsi="Arial Narrow" w:cs="Arial"/>
                <w:sz w:val="18"/>
                <w:szCs w:val="18"/>
              </w:rPr>
            </w:pPr>
            <w:r w:rsidRPr="001249CE">
              <w:rPr>
                <w:rFonts w:ascii="Arial Narrow" w:hAnsi="Arial Narrow" w:cs="Arial"/>
                <w:sz w:val="18"/>
                <w:szCs w:val="18"/>
              </w:rPr>
              <w:t>8</w:t>
            </w:r>
          </w:p>
        </w:tc>
        <w:tc>
          <w:tcPr>
            <w:tcW w:w="5120" w:type="dxa"/>
            <w:tcBorders>
              <w:top w:val="nil"/>
              <w:left w:val="nil"/>
              <w:bottom w:val="single" w:sz="4" w:space="0" w:color="auto"/>
              <w:right w:val="single" w:sz="4" w:space="0" w:color="auto"/>
            </w:tcBorders>
            <w:shd w:val="clear" w:color="auto" w:fill="auto"/>
            <w:vAlign w:val="center"/>
            <w:hideMark/>
          </w:tcPr>
          <w:p w14:paraId="144D95BD" w14:textId="77777777" w:rsidR="001249CE" w:rsidRPr="001249CE" w:rsidRDefault="001249CE" w:rsidP="001249CE">
            <w:pPr>
              <w:rPr>
                <w:rFonts w:ascii="Arial Narrow" w:hAnsi="Arial Narrow" w:cs="Arial"/>
                <w:sz w:val="18"/>
                <w:szCs w:val="18"/>
              </w:rPr>
            </w:pPr>
            <w:r w:rsidRPr="001249CE">
              <w:rPr>
                <w:rFonts w:ascii="Arial Narrow" w:hAnsi="Arial Narrow" w:cs="Arial"/>
                <w:sz w:val="18"/>
                <w:szCs w:val="18"/>
              </w:rPr>
              <w:t>Плодове, годни за консумация; цитрусови или пъпешови кори</w:t>
            </w:r>
          </w:p>
        </w:tc>
        <w:tc>
          <w:tcPr>
            <w:tcW w:w="920" w:type="dxa"/>
            <w:tcBorders>
              <w:top w:val="nil"/>
              <w:left w:val="nil"/>
              <w:bottom w:val="single" w:sz="4" w:space="0" w:color="auto"/>
              <w:right w:val="single" w:sz="4" w:space="0" w:color="auto"/>
            </w:tcBorders>
            <w:shd w:val="clear" w:color="auto" w:fill="auto"/>
            <w:noWrap/>
            <w:vAlign w:val="center"/>
            <w:hideMark/>
          </w:tcPr>
          <w:p w14:paraId="7F7635E5" w14:textId="77777777" w:rsidR="001249CE" w:rsidRPr="001249CE" w:rsidRDefault="001249CE" w:rsidP="001249CE">
            <w:pPr>
              <w:jc w:val="right"/>
              <w:rPr>
                <w:rFonts w:ascii="Arial Narrow" w:hAnsi="Arial Narrow" w:cs="Arial"/>
                <w:sz w:val="18"/>
                <w:szCs w:val="18"/>
              </w:rPr>
            </w:pPr>
            <w:r w:rsidRPr="001249CE">
              <w:rPr>
                <w:rFonts w:ascii="Arial Narrow" w:hAnsi="Arial Narrow" w:cs="Arial"/>
                <w:sz w:val="18"/>
                <w:szCs w:val="18"/>
              </w:rPr>
              <w:t>350 909</w:t>
            </w:r>
          </w:p>
        </w:tc>
        <w:tc>
          <w:tcPr>
            <w:tcW w:w="811" w:type="dxa"/>
            <w:tcBorders>
              <w:top w:val="nil"/>
              <w:left w:val="nil"/>
              <w:bottom w:val="single" w:sz="4" w:space="0" w:color="auto"/>
              <w:right w:val="single" w:sz="4" w:space="0" w:color="auto"/>
            </w:tcBorders>
            <w:shd w:val="clear" w:color="000000" w:fill="FFFFFF"/>
            <w:vAlign w:val="center"/>
            <w:hideMark/>
          </w:tcPr>
          <w:p w14:paraId="74FE81E8" w14:textId="77777777" w:rsidR="001249CE" w:rsidRPr="001249CE" w:rsidRDefault="001249CE" w:rsidP="001249CE">
            <w:pPr>
              <w:jc w:val="right"/>
              <w:rPr>
                <w:rFonts w:ascii="Arial Narrow" w:hAnsi="Arial Narrow" w:cs="Arial"/>
                <w:sz w:val="18"/>
                <w:szCs w:val="18"/>
              </w:rPr>
            </w:pPr>
            <w:r w:rsidRPr="001249CE">
              <w:rPr>
                <w:rFonts w:ascii="Arial Narrow" w:hAnsi="Arial Narrow" w:cs="Arial"/>
                <w:sz w:val="18"/>
                <w:szCs w:val="18"/>
              </w:rPr>
              <w:t>5,7%</w:t>
            </w:r>
          </w:p>
        </w:tc>
        <w:tc>
          <w:tcPr>
            <w:tcW w:w="920" w:type="dxa"/>
            <w:tcBorders>
              <w:top w:val="nil"/>
              <w:left w:val="nil"/>
              <w:bottom w:val="single" w:sz="4" w:space="0" w:color="auto"/>
              <w:right w:val="single" w:sz="4" w:space="0" w:color="auto"/>
            </w:tcBorders>
            <w:shd w:val="clear" w:color="auto" w:fill="auto"/>
            <w:noWrap/>
            <w:vAlign w:val="center"/>
            <w:hideMark/>
          </w:tcPr>
          <w:p w14:paraId="62CA9AE3" w14:textId="77777777" w:rsidR="001249CE" w:rsidRPr="001249CE" w:rsidRDefault="001249CE" w:rsidP="001249CE">
            <w:pPr>
              <w:jc w:val="right"/>
              <w:rPr>
                <w:rFonts w:ascii="Arial Narrow" w:hAnsi="Arial Narrow" w:cs="Arial"/>
                <w:sz w:val="18"/>
                <w:szCs w:val="18"/>
              </w:rPr>
            </w:pPr>
            <w:r w:rsidRPr="001249CE">
              <w:rPr>
                <w:rFonts w:ascii="Arial Narrow" w:hAnsi="Arial Narrow" w:cs="Arial"/>
                <w:sz w:val="18"/>
                <w:szCs w:val="18"/>
              </w:rPr>
              <w:t>385 057</w:t>
            </w:r>
          </w:p>
        </w:tc>
        <w:tc>
          <w:tcPr>
            <w:tcW w:w="811" w:type="dxa"/>
            <w:tcBorders>
              <w:top w:val="nil"/>
              <w:left w:val="nil"/>
              <w:bottom w:val="single" w:sz="4" w:space="0" w:color="auto"/>
              <w:right w:val="single" w:sz="4" w:space="0" w:color="auto"/>
            </w:tcBorders>
            <w:shd w:val="clear" w:color="000000" w:fill="FFFFFF"/>
            <w:vAlign w:val="center"/>
            <w:hideMark/>
          </w:tcPr>
          <w:p w14:paraId="11A4EF2D" w14:textId="77777777" w:rsidR="001249CE" w:rsidRPr="001249CE" w:rsidRDefault="001249CE" w:rsidP="001249CE">
            <w:pPr>
              <w:jc w:val="right"/>
              <w:rPr>
                <w:rFonts w:ascii="Arial Narrow" w:hAnsi="Arial Narrow" w:cs="Arial"/>
                <w:sz w:val="18"/>
                <w:szCs w:val="18"/>
              </w:rPr>
            </w:pPr>
            <w:r w:rsidRPr="001249CE">
              <w:rPr>
                <w:rFonts w:ascii="Arial Narrow" w:hAnsi="Arial Narrow" w:cs="Arial"/>
                <w:sz w:val="18"/>
                <w:szCs w:val="18"/>
              </w:rPr>
              <w:t>5,7%</w:t>
            </w:r>
          </w:p>
        </w:tc>
        <w:tc>
          <w:tcPr>
            <w:tcW w:w="812" w:type="dxa"/>
            <w:tcBorders>
              <w:top w:val="nil"/>
              <w:left w:val="nil"/>
              <w:bottom w:val="single" w:sz="4" w:space="0" w:color="auto"/>
              <w:right w:val="single" w:sz="4" w:space="0" w:color="auto"/>
            </w:tcBorders>
            <w:shd w:val="clear" w:color="auto" w:fill="auto"/>
            <w:noWrap/>
            <w:vAlign w:val="center"/>
            <w:hideMark/>
          </w:tcPr>
          <w:p w14:paraId="7F785CB9" w14:textId="77777777" w:rsidR="001249CE" w:rsidRPr="001249CE" w:rsidRDefault="001249CE" w:rsidP="001249CE">
            <w:pPr>
              <w:jc w:val="right"/>
              <w:rPr>
                <w:rFonts w:ascii="Arial Narrow" w:hAnsi="Arial Narrow" w:cs="Arial"/>
                <w:color w:val="000000"/>
                <w:sz w:val="18"/>
                <w:szCs w:val="18"/>
              </w:rPr>
            </w:pPr>
            <w:r w:rsidRPr="001249CE">
              <w:rPr>
                <w:rFonts w:ascii="Arial Narrow" w:hAnsi="Arial Narrow" w:cs="Arial"/>
                <w:color w:val="000000"/>
                <w:sz w:val="18"/>
                <w:szCs w:val="18"/>
              </w:rPr>
              <w:t>9,7%</w:t>
            </w:r>
          </w:p>
        </w:tc>
      </w:tr>
      <w:tr w:rsidR="001249CE" w:rsidRPr="001249CE" w14:paraId="517DDEAE" w14:textId="77777777" w:rsidTr="001249CE">
        <w:trPr>
          <w:trHeight w:val="342"/>
        </w:trPr>
        <w:tc>
          <w:tcPr>
            <w:tcW w:w="382" w:type="dxa"/>
            <w:tcBorders>
              <w:top w:val="nil"/>
              <w:left w:val="single" w:sz="4" w:space="0" w:color="auto"/>
              <w:bottom w:val="single" w:sz="4" w:space="0" w:color="auto"/>
              <w:right w:val="single" w:sz="4" w:space="0" w:color="auto"/>
            </w:tcBorders>
            <w:shd w:val="clear" w:color="auto" w:fill="auto"/>
            <w:noWrap/>
            <w:vAlign w:val="center"/>
            <w:hideMark/>
          </w:tcPr>
          <w:p w14:paraId="183D50BE" w14:textId="77777777" w:rsidR="001249CE" w:rsidRPr="001249CE" w:rsidRDefault="001249CE" w:rsidP="001249CE">
            <w:pPr>
              <w:jc w:val="center"/>
              <w:rPr>
                <w:rFonts w:ascii="Arial Narrow" w:hAnsi="Arial Narrow" w:cs="Arial"/>
                <w:sz w:val="18"/>
                <w:szCs w:val="18"/>
              </w:rPr>
            </w:pPr>
            <w:r w:rsidRPr="001249CE">
              <w:rPr>
                <w:rFonts w:ascii="Arial Narrow" w:hAnsi="Arial Narrow" w:cs="Arial"/>
                <w:sz w:val="18"/>
                <w:szCs w:val="18"/>
              </w:rPr>
              <w:t>9</w:t>
            </w:r>
          </w:p>
        </w:tc>
        <w:tc>
          <w:tcPr>
            <w:tcW w:w="5120" w:type="dxa"/>
            <w:tcBorders>
              <w:top w:val="nil"/>
              <w:left w:val="nil"/>
              <w:bottom w:val="single" w:sz="4" w:space="0" w:color="auto"/>
              <w:right w:val="single" w:sz="4" w:space="0" w:color="auto"/>
            </w:tcBorders>
            <w:shd w:val="clear" w:color="auto" w:fill="auto"/>
            <w:vAlign w:val="center"/>
            <w:hideMark/>
          </w:tcPr>
          <w:p w14:paraId="034F3C47" w14:textId="77777777" w:rsidR="001249CE" w:rsidRPr="001249CE" w:rsidRDefault="001249CE" w:rsidP="001249CE">
            <w:pPr>
              <w:rPr>
                <w:rFonts w:ascii="Arial Narrow" w:hAnsi="Arial Narrow" w:cs="Arial"/>
                <w:sz w:val="18"/>
                <w:szCs w:val="18"/>
              </w:rPr>
            </w:pPr>
            <w:r w:rsidRPr="001249CE">
              <w:rPr>
                <w:rFonts w:ascii="Arial Narrow" w:hAnsi="Arial Narrow" w:cs="Arial"/>
                <w:sz w:val="18"/>
                <w:szCs w:val="18"/>
              </w:rPr>
              <w:t>Кафе, чай, мате и подправки</w:t>
            </w:r>
          </w:p>
        </w:tc>
        <w:tc>
          <w:tcPr>
            <w:tcW w:w="920" w:type="dxa"/>
            <w:tcBorders>
              <w:top w:val="nil"/>
              <w:left w:val="nil"/>
              <w:bottom w:val="single" w:sz="4" w:space="0" w:color="auto"/>
              <w:right w:val="single" w:sz="4" w:space="0" w:color="auto"/>
            </w:tcBorders>
            <w:shd w:val="clear" w:color="auto" w:fill="auto"/>
            <w:noWrap/>
            <w:vAlign w:val="center"/>
            <w:hideMark/>
          </w:tcPr>
          <w:p w14:paraId="11C82C90" w14:textId="77777777" w:rsidR="001249CE" w:rsidRPr="001249CE" w:rsidRDefault="001249CE" w:rsidP="001249CE">
            <w:pPr>
              <w:jc w:val="right"/>
              <w:rPr>
                <w:rFonts w:ascii="Arial Narrow" w:hAnsi="Arial Narrow" w:cs="Arial"/>
                <w:sz w:val="18"/>
                <w:szCs w:val="18"/>
              </w:rPr>
            </w:pPr>
            <w:r w:rsidRPr="001249CE">
              <w:rPr>
                <w:rFonts w:ascii="Arial Narrow" w:hAnsi="Arial Narrow" w:cs="Arial"/>
                <w:sz w:val="18"/>
                <w:szCs w:val="18"/>
              </w:rPr>
              <w:t>184 758</w:t>
            </w:r>
          </w:p>
        </w:tc>
        <w:tc>
          <w:tcPr>
            <w:tcW w:w="811" w:type="dxa"/>
            <w:tcBorders>
              <w:top w:val="nil"/>
              <w:left w:val="nil"/>
              <w:bottom w:val="single" w:sz="4" w:space="0" w:color="auto"/>
              <w:right w:val="single" w:sz="4" w:space="0" w:color="auto"/>
            </w:tcBorders>
            <w:shd w:val="clear" w:color="000000" w:fill="FFFFFF"/>
            <w:vAlign w:val="center"/>
            <w:hideMark/>
          </w:tcPr>
          <w:p w14:paraId="47624FB4" w14:textId="77777777" w:rsidR="001249CE" w:rsidRPr="001249CE" w:rsidRDefault="001249CE" w:rsidP="001249CE">
            <w:pPr>
              <w:jc w:val="right"/>
              <w:rPr>
                <w:rFonts w:ascii="Arial Narrow" w:hAnsi="Arial Narrow" w:cs="Arial"/>
                <w:sz w:val="18"/>
                <w:szCs w:val="18"/>
              </w:rPr>
            </w:pPr>
            <w:r w:rsidRPr="001249CE">
              <w:rPr>
                <w:rFonts w:ascii="Arial Narrow" w:hAnsi="Arial Narrow" w:cs="Arial"/>
                <w:sz w:val="18"/>
                <w:szCs w:val="18"/>
              </w:rPr>
              <w:t>3,0%</w:t>
            </w:r>
          </w:p>
        </w:tc>
        <w:tc>
          <w:tcPr>
            <w:tcW w:w="920" w:type="dxa"/>
            <w:tcBorders>
              <w:top w:val="nil"/>
              <w:left w:val="nil"/>
              <w:bottom w:val="single" w:sz="4" w:space="0" w:color="auto"/>
              <w:right w:val="single" w:sz="4" w:space="0" w:color="auto"/>
            </w:tcBorders>
            <w:shd w:val="clear" w:color="auto" w:fill="auto"/>
            <w:noWrap/>
            <w:vAlign w:val="center"/>
            <w:hideMark/>
          </w:tcPr>
          <w:p w14:paraId="2198907F" w14:textId="77777777" w:rsidR="001249CE" w:rsidRPr="001249CE" w:rsidRDefault="001249CE" w:rsidP="001249CE">
            <w:pPr>
              <w:jc w:val="right"/>
              <w:rPr>
                <w:rFonts w:ascii="Arial Narrow" w:hAnsi="Arial Narrow" w:cs="Arial"/>
                <w:sz w:val="18"/>
                <w:szCs w:val="18"/>
              </w:rPr>
            </w:pPr>
            <w:r w:rsidRPr="001249CE">
              <w:rPr>
                <w:rFonts w:ascii="Arial Narrow" w:hAnsi="Arial Narrow" w:cs="Arial"/>
                <w:sz w:val="18"/>
                <w:szCs w:val="18"/>
              </w:rPr>
              <w:t>243 516</w:t>
            </w:r>
          </w:p>
        </w:tc>
        <w:tc>
          <w:tcPr>
            <w:tcW w:w="811" w:type="dxa"/>
            <w:tcBorders>
              <w:top w:val="nil"/>
              <w:left w:val="nil"/>
              <w:bottom w:val="single" w:sz="4" w:space="0" w:color="auto"/>
              <w:right w:val="single" w:sz="4" w:space="0" w:color="auto"/>
            </w:tcBorders>
            <w:shd w:val="clear" w:color="000000" w:fill="FFFFFF"/>
            <w:vAlign w:val="center"/>
            <w:hideMark/>
          </w:tcPr>
          <w:p w14:paraId="74EC2563" w14:textId="77777777" w:rsidR="001249CE" w:rsidRPr="001249CE" w:rsidRDefault="001249CE" w:rsidP="001249CE">
            <w:pPr>
              <w:jc w:val="right"/>
              <w:rPr>
                <w:rFonts w:ascii="Arial Narrow" w:hAnsi="Arial Narrow" w:cs="Arial"/>
                <w:sz w:val="18"/>
                <w:szCs w:val="18"/>
              </w:rPr>
            </w:pPr>
            <w:r w:rsidRPr="001249CE">
              <w:rPr>
                <w:rFonts w:ascii="Arial Narrow" w:hAnsi="Arial Narrow" w:cs="Arial"/>
                <w:sz w:val="18"/>
                <w:szCs w:val="18"/>
              </w:rPr>
              <w:t>3,6%</w:t>
            </w:r>
          </w:p>
        </w:tc>
        <w:tc>
          <w:tcPr>
            <w:tcW w:w="812" w:type="dxa"/>
            <w:tcBorders>
              <w:top w:val="nil"/>
              <w:left w:val="nil"/>
              <w:bottom w:val="single" w:sz="4" w:space="0" w:color="auto"/>
              <w:right w:val="single" w:sz="4" w:space="0" w:color="auto"/>
            </w:tcBorders>
            <w:shd w:val="clear" w:color="auto" w:fill="auto"/>
            <w:noWrap/>
            <w:vAlign w:val="center"/>
            <w:hideMark/>
          </w:tcPr>
          <w:p w14:paraId="22632B39" w14:textId="77777777" w:rsidR="001249CE" w:rsidRPr="001249CE" w:rsidRDefault="001249CE" w:rsidP="001249CE">
            <w:pPr>
              <w:jc w:val="right"/>
              <w:rPr>
                <w:rFonts w:ascii="Arial Narrow" w:hAnsi="Arial Narrow" w:cs="Arial"/>
                <w:color w:val="000000"/>
                <w:sz w:val="18"/>
                <w:szCs w:val="18"/>
              </w:rPr>
            </w:pPr>
            <w:r w:rsidRPr="001249CE">
              <w:rPr>
                <w:rFonts w:ascii="Arial Narrow" w:hAnsi="Arial Narrow" w:cs="Arial"/>
                <w:color w:val="000000"/>
                <w:sz w:val="18"/>
                <w:szCs w:val="18"/>
              </w:rPr>
              <w:t>31,8%</w:t>
            </w:r>
          </w:p>
        </w:tc>
      </w:tr>
      <w:tr w:rsidR="001249CE" w:rsidRPr="001249CE" w14:paraId="3AF84EB9" w14:textId="77777777" w:rsidTr="001249CE">
        <w:trPr>
          <w:trHeight w:val="342"/>
        </w:trPr>
        <w:tc>
          <w:tcPr>
            <w:tcW w:w="382" w:type="dxa"/>
            <w:tcBorders>
              <w:top w:val="nil"/>
              <w:left w:val="single" w:sz="4" w:space="0" w:color="auto"/>
              <w:bottom w:val="single" w:sz="4" w:space="0" w:color="auto"/>
              <w:right w:val="single" w:sz="4" w:space="0" w:color="auto"/>
            </w:tcBorders>
            <w:shd w:val="clear" w:color="auto" w:fill="auto"/>
            <w:noWrap/>
            <w:vAlign w:val="center"/>
            <w:hideMark/>
          </w:tcPr>
          <w:p w14:paraId="64D4A328" w14:textId="77777777" w:rsidR="001249CE" w:rsidRPr="001249CE" w:rsidRDefault="001249CE" w:rsidP="001249CE">
            <w:pPr>
              <w:jc w:val="center"/>
              <w:rPr>
                <w:rFonts w:ascii="Arial Narrow" w:hAnsi="Arial Narrow" w:cs="Arial"/>
                <w:sz w:val="18"/>
                <w:szCs w:val="18"/>
              </w:rPr>
            </w:pPr>
            <w:r w:rsidRPr="001249CE">
              <w:rPr>
                <w:rFonts w:ascii="Arial Narrow" w:hAnsi="Arial Narrow" w:cs="Arial"/>
                <w:sz w:val="18"/>
                <w:szCs w:val="18"/>
              </w:rPr>
              <w:t>10</w:t>
            </w:r>
          </w:p>
        </w:tc>
        <w:tc>
          <w:tcPr>
            <w:tcW w:w="5120" w:type="dxa"/>
            <w:tcBorders>
              <w:top w:val="nil"/>
              <w:left w:val="nil"/>
              <w:bottom w:val="single" w:sz="4" w:space="0" w:color="auto"/>
              <w:right w:val="single" w:sz="4" w:space="0" w:color="auto"/>
            </w:tcBorders>
            <w:shd w:val="clear" w:color="auto" w:fill="auto"/>
            <w:vAlign w:val="center"/>
            <w:hideMark/>
          </w:tcPr>
          <w:p w14:paraId="4C842F97" w14:textId="77777777" w:rsidR="001249CE" w:rsidRPr="001249CE" w:rsidRDefault="001249CE" w:rsidP="001249CE">
            <w:pPr>
              <w:rPr>
                <w:rFonts w:ascii="Arial Narrow" w:hAnsi="Arial Narrow" w:cs="Arial"/>
                <w:sz w:val="18"/>
                <w:szCs w:val="18"/>
              </w:rPr>
            </w:pPr>
            <w:r w:rsidRPr="001249CE">
              <w:rPr>
                <w:rFonts w:ascii="Arial Narrow" w:hAnsi="Arial Narrow" w:cs="Arial"/>
                <w:sz w:val="18"/>
                <w:szCs w:val="18"/>
              </w:rPr>
              <w:t>Житни растения</w:t>
            </w:r>
          </w:p>
        </w:tc>
        <w:tc>
          <w:tcPr>
            <w:tcW w:w="920" w:type="dxa"/>
            <w:tcBorders>
              <w:top w:val="nil"/>
              <w:left w:val="nil"/>
              <w:bottom w:val="single" w:sz="4" w:space="0" w:color="auto"/>
              <w:right w:val="single" w:sz="4" w:space="0" w:color="auto"/>
            </w:tcBorders>
            <w:shd w:val="clear" w:color="auto" w:fill="auto"/>
            <w:noWrap/>
            <w:vAlign w:val="center"/>
            <w:hideMark/>
          </w:tcPr>
          <w:p w14:paraId="06228994" w14:textId="77777777" w:rsidR="001249CE" w:rsidRPr="001249CE" w:rsidRDefault="001249CE" w:rsidP="001249CE">
            <w:pPr>
              <w:jc w:val="right"/>
              <w:rPr>
                <w:rFonts w:ascii="Arial Narrow" w:hAnsi="Arial Narrow" w:cs="Arial"/>
                <w:sz w:val="18"/>
                <w:szCs w:val="18"/>
              </w:rPr>
            </w:pPr>
            <w:r w:rsidRPr="001249CE">
              <w:rPr>
                <w:rFonts w:ascii="Arial Narrow" w:hAnsi="Arial Narrow" w:cs="Arial"/>
                <w:sz w:val="18"/>
                <w:szCs w:val="18"/>
              </w:rPr>
              <w:t>159 988</w:t>
            </w:r>
          </w:p>
        </w:tc>
        <w:tc>
          <w:tcPr>
            <w:tcW w:w="811" w:type="dxa"/>
            <w:tcBorders>
              <w:top w:val="nil"/>
              <w:left w:val="nil"/>
              <w:bottom w:val="single" w:sz="4" w:space="0" w:color="auto"/>
              <w:right w:val="single" w:sz="4" w:space="0" w:color="auto"/>
            </w:tcBorders>
            <w:shd w:val="clear" w:color="000000" w:fill="FFFFFF"/>
            <w:vAlign w:val="center"/>
            <w:hideMark/>
          </w:tcPr>
          <w:p w14:paraId="76049E72" w14:textId="77777777" w:rsidR="001249CE" w:rsidRPr="001249CE" w:rsidRDefault="001249CE" w:rsidP="001249CE">
            <w:pPr>
              <w:jc w:val="right"/>
              <w:rPr>
                <w:rFonts w:ascii="Arial Narrow" w:hAnsi="Arial Narrow" w:cs="Arial"/>
                <w:sz w:val="18"/>
                <w:szCs w:val="18"/>
              </w:rPr>
            </w:pPr>
            <w:r w:rsidRPr="001249CE">
              <w:rPr>
                <w:rFonts w:ascii="Arial Narrow" w:hAnsi="Arial Narrow" w:cs="Arial"/>
                <w:sz w:val="18"/>
                <w:szCs w:val="18"/>
              </w:rPr>
              <w:t>2,6%</w:t>
            </w:r>
          </w:p>
        </w:tc>
        <w:tc>
          <w:tcPr>
            <w:tcW w:w="920" w:type="dxa"/>
            <w:tcBorders>
              <w:top w:val="nil"/>
              <w:left w:val="nil"/>
              <w:bottom w:val="single" w:sz="4" w:space="0" w:color="auto"/>
              <w:right w:val="single" w:sz="4" w:space="0" w:color="auto"/>
            </w:tcBorders>
            <w:shd w:val="clear" w:color="auto" w:fill="auto"/>
            <w:noWrap/>
            <w:vAlign w:val="center"/>
            <w:hideMark/>
          </w:tcPr>
          <w:p w14:paraId="2A3F77A6" w14:textId="77777777" w:rsidR="001249CE" w:rsidRPr="001249CE" w:rsidRDefault="001249CE" w:rsidP="001249CE">
            <w:pPr>
              <w:jc w:val="right"/>
              <w:rPr>
                <w:rFonts w:ascii="Arial Narrow" w:hAnsi="Arial Narrow" w:cs="Arial"/>
                <w:sz w:val="18"/>
                <w:szCs w:val="18"/>
              </w:rPr>
            </w:pPr>
            <w:r w:rsidRPr="001249CE">
              <w:rPr>
                <w:rFonts w:ascii="Arial Narrow" w:hAnsi="Arial Narrow" w:cs="Arial"/>
                <w:sz w:val="18"/>
                <w:szCs w:val="18"/>
              </w:rPr>
              <w:t>139 627</w:t>
            </w:r>
          </w:p>
        </w:tc>
        <w:tc>
          <w:tcPr>
            <w:tcW w:w="811" w:type="dxa"/>
            <w:tcBorders>
              <w:top w:val="nil"/>
              <w:left w:val="nil"/>
              <w:bottom w:val="single" w:sz="4" w:space="0" w:color="auto"/>
              <w:right w:val="single" w:sz="4" w:space="0" w:color="auto"/>
            </w:tcBorders>
            <w:shd w:val="clear" w:color="000000" w:fill="FFFFFF"/>
            <w:vAlign w:val="center"/>
            <w:hideMark/>
          </w:tcPr>
          <w:p w14:paraId="5FDDD513" w14:textId="77777777" w:rsidR="001249CE" w:rsidRPr="001249CE" w:rsidRDefault="001249CE" w:rsidP="001249CE">
            <w:pPr>
              <w:jc w:val="right"/>
              <w:rPr>
                <w:rFonts w:ascii="Arial Narrow" w:hAnsi="Arial Narrow" w:cs="Arial"/>
                <w:sz w:val="18"/>
                <w:szCs w:val="18"/>
              </w:rPr>
            </w:pPr>
            <w:r w:rsidRPr="001249CE">
              <w:rPr>
                <w:rFonts w:ascii="Arial Narrow" w:hAnsi="Arial Narrow" w:cs="Arial"/>
                <w:sz w:val="18"/>
                <w:szCs w:val="18"/>
              </w:rPr>
              <w:t>2,1%</w:t>
            </w:r>
          </w:p>
        </w:tc>
        <w:tc>
          <w:tcPr>
            <w:tcW w:w="812" w:type="dxa"/>
            <w:tcBorders>
              <w:top w:val="nil"/>
              <w:left w:val="nil"/>
              <w:bottom w:val="single" w:sz="4" w:space="0" w:color="auto"/>
              <w:right w:val="single" w:sz="4" w:space="0" w:color="auto"/>
            </w:tcBorders>
            <w:shd w:val="clear" w:color="auto" w:fill="auto"/>
            <w:noWrap/>
            <w:vAlign w:val="center"/>
            <w:hideMark/>
          </w:tcPr>
          <w:p w14:paraId="5C441577" w14:textId="77777777" w:rsidR="001249CE" w:rsidRPr="001249CE" w:rsidRDefault="001249CE" w:rsidP="001249CE">
            <w:pPr>
              <w:jc w:val="right"/>
              <w:rPr>
                <w:rFonts w:ascii="Arial Narrow" w:hAnsi="Arial Narrow" w:cs="Arial"/>
                <w:color w:val="000000"/>
                <w:sz w:val="18"/>
                <w:szCs w:val="18"/>
              </w:rPr>
            </w:pPr>
            <w:r w:rsidRPr="001249CE">
              <w:rPr>
                <w:rFonts w:ascii="Arial Narrow" w:hAnsi="Arial Narrow" w:cs="Arial"/>
                <w:color w:val="000000"/>
                <w:sz w:val="18"/>
                <w:szCs w:val="18"/>
              </w:rPr>
              <w:t>-12,7%</w:t>
            </w:r>
          </w:p>
        </w:tc>
      </w:tr>
      <w:tr w:rsidR="001249CE" w:rsidRPr="001249CE" w14:paraId="557E2788" w14:textId="77777777" w:rsidTr="001249CE">
        <w:trPr>
          <w:trHeight w:val="600"/>
        </w:trPr>
        <w:tc>
          <w:tcPr>
            <w:tcW w:w="382" w:type="dxa"/>
            <w:tcBorders>
              <w:top w:val="nil"/>
              <w:left w:val="single" w:sz="4" w:space="0" w:color="auto"/>
              <w:bottom w:val="single" w:sz="4" w:space="0" w:color="auto"/>
              <w:right w:val="single" w:sz="4" w:space="0" w:color="auto"/>
            </w:tcBorders>
            <w:shd w:val="clear" w:color="auto" w:fill="auto"/>
            <w:noWrap/>
            <w:vAlign w:val="center"/>
            <w:hideMark/>
          </w:tcPr>
          <w:p w14:paraId="62F0D689" w14:textId="77777777" w:rsidR="001249CE" w:rsidRPr="001249CE" w:rsidRDefault="001249CE" w:rsidP="001249CE">
            <w:pPr>
              <w:jc w:val="center"/>
              <w:rPr>
                <w:rFonts w:ascii="Arial Narrow" w:hAnsi="Arial Narrow" w:cs="Arial"/>
                <w:sz w:val="18"/>
                <w:szCs w:val="18"/>
              </w:rPr>
            </w:pPr>
            <w:r w:rsidRPr="001249CE">
              <w:rPr>
                <w:rFonts w:ascii="Arial Narrow" w:hAnsi="Arial Narrow" w:cs="Arial"/>
                <w:sz w:val="18"/>
                <w:szCs w:val="18"/>
              </w:rPr>
              <w:t>11</w:t>
            </w:r>
          </w:p>
        </w:tc>
        <w:tc>
          <w:tcPr>
            <w:tcW w:w="5120" w:type="dxa"/>
            <w:tcBorders>
              <w:top w:val="nil"/>
              <w:left w:val="nil"/>
              <w:bottom w:val="single" w:sz="4" w:space="0" w:color="auto"/>
              <w:right w:val="single" w:sz="4" w:space="0" w:color="auto"/>
            </w:tcBorders>
            <w:shd w:val="clear" w:color="auto" w:fill="auto"/>
            <w:vAlign w:val="center"/>
            <w:hideMark/>
          </w:tcPr>
          <w:p w14:paraId="4C6342F9" w14:textId="77777777" w:rsidR="001249CE" w:rsidRPr="001249CE" w:rsidRDefault="001249CE" w:rsidP="001249CE">
            <w:pPr>
              <w:rPr>
                <w:rFonts w:ascii="Arial Narrow" w:hAnsi="Arial Narrow" w:cs="Arial"/>
                <w:sz w:val="18"/>
                <w:szCs w:val="18"/>
              </w:rPr>
            </w:pPr>
            <w:r w:rsidRPr="001249CE">
              <w:rPr>
                <w:rFonts w:ascii="Arial Narrow" w:hAnsi="Arial Narrow" w:cs="Arial"/>
                <w:sz w:val="18"/>
                <w:szCs w:val="18"/>
              </w:rPr>
              <w:t>Мелничарски продукти; малц; скорбяла и нишесте; инулин; пшеничен глутен</w:t>
            </w:r>
          </w:p>
        </w:tc>
        <w:tc>
          <w:tcPr>
            <w:tcW w:w="920" w:type="dxa"/>
            <w:tcBorders>
              <w:top w:val="nil"/>
              <w:left w:val="nil"/>
              <w:bottom w:val="single" w:sz="4" w:space="0" w:color="auto"/>
              <w:right w:val="single" w:sz="4" w:space="0" w:color="auto"/>
            </w:tcBorders>
            <w:shd w:val="clear" w:color="auto" w:fill="auto"/>
            <w:noWrap/>
            <w:vAlign w:val="center"/>
            <w:hideMark/>
          </w:tcPr>
          <w:p w14:paraId="170D384E" w14:textId="77777777" w:rsidR="001249CE" w:rsidRPr="001249CE" w:rsidRDefault="001249CE" w:rsidP="001249CE">
            <w:pPr>
              <w:jc w:val="right"/>
              <w:rPr>
                <w:rFonts w:ascii="Arial Narrow" w:hAnsi="Arial Narrow" w:cs="Arial"/>
                <w:sz w:val="18"/>
                <w:szCs w:val="18"/>
              </w:rPr>
            </w:pPr>
            <w:r w:rsidRPr="001249CE">
              <w:rPr>
                <w:rFonts w:ascii="Arial Narrow" w:hAnsi="Arial Narrow" w:cs="Arial"/>
                <w:sz w:val="18"/>
                <w:szCs w:val="18"/>
              </w:rPr>
              <w:t>35 818</w:t>
            </w:r>
          </w:p>
        </w:tc>
        <w:tc>
          <w:tcPr>
            <w:tcW w:w="811" w:type="dxa"/>
            <w:tcBorders>
              <w:top w:val="nil"/>
              <w:left w:val="nil"/>
              <w:bottom w:val="single" w:sz="4" w:space="0" w:color="auto"/>
              <w:right w:val="single" w:sz="4" w:space="0" w:color="auto"/>
            </w:tcBorders>
            <w:shd w:val="clear" w:color="000000" w:fill="FFFFFF"/>
            <w:vAlign w:val="center"/>
            <w:hideMark/>
          </w:tcPr>
          <w:p w14:paraId="7135C6C0" w14:textId="77777777" w:rsidR="001249CE" w:rsidRPr="001249CE" w:rsidRDefault="001249CE" w:rsidP="001249CE">
            <w:pPr>
              <w:jc w:val="right"/>
              <w:rPr>
                <w:rFonts w:ascii="Arial Narrow" w:hAnsi="Arial Narrow" w:cs="Arial"/>
                <w:sz w:val="18"/>
                <w:szCs w:val="18"/>
              </w:rPr>
            </w:pPr>
            <w:r w:rsidRPr="001249CE">
              <w:rPr>
                <w:rFonts w:ascii="Arial Narrow" w:hAnsi="Arial Narrow" w:cs="Arial"/>
                <w:sz w:val="18"/>
                <w:szCs w:val="18"/>
              </w:rPr>
              <w:t>0,6%</w:t>
            </w:r>
          </w:p>
        </w:tc>
        <w:tc>
          <w:tcPr>
            <w:tcW w:w="920" w:type="dxa"/>
            <w:tcBorders>
              <w:top w:val="nil"/>
              <w:left w:val="nil"/>
              <w:bottom w:val="single" w:sz="4" w:space="0" w:color="auto"/>
              <w:right w:val="single" w:sz="4" w:space="0" w:color="auto"/>
            </w:tcBorders>
            <w:shd w:val="clear" w:color="auto" w:fill="auto"/>
            <w:noWrap/>
            <w:vAlign w:val="center"/>
            <w:hideMark/>
          </w:tcPr>
          <w:p w14:paraId="3716995B" w14:textId="77777777" w:rsidR="001249CE" w:rsidRPr="001249CE" w:rsidRDefault="001249CE" w:rsidP="001249CE">
            <w:pPr>
              <w:jc w:val="right"/>
              <w:rPr>
                <w:rFonts w:ascii="Arial Narrow" w:hAnsi="Arial Narrow" w:cs="Arial"/>
                <w:sz w:val="18"/>
                <w:szCs w:val="18"/>
              </w:rPr>
            </w:pPr>
            <w:r w:rsidRPr="001249CE">
              <w:rPr>
                <w:rFonts w:ascii="Arial Narrow" w:hAnsi="Arial Narrow" w:cs="Arial"/>
                <w:sz w:val="18"/>
                <w:szCs w:val="18"/>
              </w:rPr>
              <w:t>38 949</w:t>
            </w:r>
          </w:p>
        </w:tc>
        <w:tc>
          <w:tcPr>
            <w:tcW w:w="811" w:type="dxa"/>
            <w:tcBorders>
              <w:top w:val="nil"/>
              <w:left w:val="nil"/>
              <w:bottom w:val="single" w:sz="4" w:space="0" w:color="auto"/>
              <w:right w:val="single" w:sz="4" w:space="0" w:color="auto"/>
            </w:tcBorders>
            <w:shd w:val="clear" w:color="000000" w:fill="FFFFFF"/>
            <w:vAlign w:val="center"/>
            <w:hideMark/>
          </w:tcPr>
          <w:p w14:paraId="7905F738" w14:textId="77777777" w:rsidR="001249CE" w:rsidRPr="001249CE" w:rsidRDefault="001249CE" w:rsidP="001249CE">
            <w:pPr>
              <w:jc w:val="right"/>
              <w:rPr>
                <w:rFonts w:ascii="Arial Narrow" w:hAnsi="Arial Narrow" w:cs="Arial"/>
                <w:sz w:val="18"/>
                <w:szCs w:val="18"/>
              </w:rPr>
            </w:pPr>
            <w:r w:rsidRPr="001249CE">
              <w:rPr>
                <w:rFonts w:ascii="Arial Narrow" w:hAnsi="Arial Narrow" w:cs="Arial"/>
                <w:sz w:val="18"/>
                <w:szCs w:val="18"/>
              </w:rPr>
              <w:t>0,6%</w:t>
            </w:r>
          </w:p>
        </w:tc>
        <w:tc>
          <w:tcPr>
            <w:tcW w:w="812" w:type="dxa"/>
            <w:tcBorders>
              <w:top w:val="nil"/>
              <w:left w:val="nil"/>
              <w:bottom w:val="single" w:sz="4" w:space="0" w:color="auto"/>
              <w:right w:val="single" w:sz="4" w:space="0" w:color="auto"/>
            </w:tcBorders>
            <w:shd w:val="clear" w:color="auto" w:fill="auto"/>
            <w:noWrap/>
            <w:vAlign w:val="center"/>
            <w:hideMark/>
          </w:tcPr>
          <w:p w14:paraId="74EA2443" w14:textId="77777777" w:rsidR="001249CE" w:rsidRPr="001249CE" w:rsidRDefault="001249CE" w:rsidP="001249CE">
            <w:pPr>
              <w:jc w:val="right"/>
              <w:rPr>
                <w:rFonts w:ascii="Arial Narrow" w:hAnsi="Arial Narrow" w:cs="Arial"/>
                <w:color w:val="000000"/>
                <w:sz w:val="18"/>
                <w:szCs w:val="18"/>
              </w:rPr>
            </w:pPr>
            <w:r w:rsidRPr="001249CE">
              <w:rPr>
                <w:rFonts w:ascii="Arial Narrow" w:hAnsi="Arial Narrow" w:cs="Arial"/>
                <w:color w:val="000000"/>
                <w:sz w:val="18"/>
                <w:szCs w:val="18"/>
              </w:rPr>
              <w:t>8,7%</w:t>
            </w:r>
          </w:p>
        </w:tc>
      </w:tr>
      <w:tr w:rsidR="001249CE" w:rsidRPr="001249CE" w14:paraId="460FA681" w14:textId="77777777" w:rsidTr="001249CE">
        <w:trPr>
          <w:trHeight w:val="600"/>
        </w:trPr>
        <w:tc>
          <w:tcPr>
            <w:tcW w:w="382" w:type="dxa"/>
            <w:tcBorders>
              <w:top w:val="nil"/>
              <w:left w:val="single" w:sz="4" w:space="0" w:color="auto"/>
              <w:bottom w:val="single" w:sz="4" w:space="0" w:color="auto"/>
              <w:right w:val="single" w:sz="4" w:space="0" w:color="auto"/>
            </w:tcBorders>
            <w:shd w:val="clear" w:color="auto" w:fill="auto"/>
            <w:noWrap/>
            <w:vAlign w:val="center"/>
            <w:hideMark/>
          </w:tcPr>
          <w:p w14:paraId="63BF7CB9" w14:textId="77777777" w:rsidR="001249CE" w:rsidRPr="001249CE" w:rsidRDefault="001249CE" w:rsidP="001249CE">
            <w:pPr>
              <w:jc w:val="center"/>
              <w:rPr>
                <w:rFonts w:ascii="Arial Narrow" w:hAnsi="Arial Narrow" w:cs="Arial"/>
                <w:sz w:val="18"/>
                <w:szCs w:val="18"/>
              </w:rPr>
            </w:pPr>
            <w:r w:rsidRPr="001249CE">
              <w:rPr>
                <w:rFonts w:ascii="Arial Narrow" w:hAnsi="Arial Narrow" w:cs="Arial"/>
                <w:sz w:val="18"/>
                <w:szCs w:val="18"/>
              </w:rPr>
              <w:t>12</w:t>
            </w:r>
          </w:p>
        </w:tc>
        <w:tc>
          <w:tcPr>
            <w:tcW w:w="5120" w:type="dxa"/>
            <w:tcBorders>
              <w:top w:val="nil"/>
              <w:left w:val="nil"/>
              <w:bottom w:val="single" w:sz="4" w:space="0" w:color="auto"/>
              <w:right w:val="single" w:sz="4" w:space="0" w:color="auto"/>
            </w:tcBorders>
            <w:shd w:val="clear" w:color="auto" w:fill="auto"/>
            <w:vAlign w:val="center"/>
            <w:hideMark/>
          </w:tcPr>
          <w:p w14:paraId="4420A9C3" w14:textId="77777777" w:rsidR="001249CE" w:rsidRPr="001249CE" w:rsidRDefault="001249CE" w:rsidP="001249CE">
            <w:pPr>
              <w:rPr>
                <w:rFonts w:ascii="Arial Narrow" w:hAnsi="Arial Narrow" w:cs="Arial"/>
                <w:sz w:val="18"/>
                <w:szCs w:val="18"/>
              </w:rPr>
            </w:pPr>
            <w:r w:rsidRPr="001249CE">
              <w:rPr>
                <w:rFonts w:ascii="Arial Narrow" w:hAnsi="Arial Narrow" w:cs="Arial"/>
                <w:sz w:val="18"/>
                <w:szCs w:val="18"/>
              </w:rPr>
              <w:t>Маслодайни семена и плодове; семена за посев и плодове; индустриални или медицински растения; слама и фуражи</w:t>
            </w:r>
          </w:p>
        </w:tc>
        <w:tc>
          <w:tcPr>
            <w:tcW w:w="920" w:type="dxa"/>
            <w:tcBorders>
              <w:top w:val="nil"/>
              <w:left w:val="nil"/>
              <w:bottom w:val="single" w:sz="4" w:space="0" w:color="auto"/>
              <w:right w:val="single" w:sz="4" w:space="0" w:color="auto"/>
            </w:tcBorders>
            <w:shd w:val="clear" w:color="auto" w:fill="auto"/>
            <w:noWrap/>
            <w:vAlign w:val="center"/>
            <w:hideMark/>
          </w:tcPr>
          <w:p w14:paraId="341D6E8A" w14:textId="77777777" w:rsidR="001249CE" w:rsidRPr="001249CE" w:rsidRDefault="001249CE" w:rsidP="001249CE">
            <w:pPr>
              <w:jc w:val="right"/>
              <w:rPr>
                <w:rFonts w:ascii="Arial Narrow" w:hAnsi="Arial Narrow" w:cs="Arial"/>
                <w:sz w:val="18"/>
                <w:szCs w:val="18"/>
              </w:rPr>
            </w:pPr>
            <w:r w:rsidRPr="001249CE">
              <w:rPr>
                <w:rFonts w:ascii="Arial Narrow" w:hAnsi="Arial Narrow" w:cs="Arial"/>
                <w:sz w:val="18"/>
                <w:szCs w:val="18"/>
              </w:rPr>
              <w:t>475 734</w:t>
            </w:r>
          </w:p>
        </w:tc>
        <w:tc>
          <w:tcPr>
            <w:tcW w:w="811" w:type="dxa"/>
            <w:tcBorders>
              <w:top w:val="nil"/>
              <w:left w:val="nil"/>
              <w:bottom w:val="single" w:sz="4" w:space="0" w:color="auto"/>
              <w:right w:val="single" w:sz="4" w:space="0" w:color="auto"/>
            </w:tcBorders>
            <w:shd w:val="clear" w:color="000000" w:fill="FFFFFF"/>
            <w:vAlign w:val="center"/>
            <w:hideMark/>
          </w:tcPr>
          <w:p w14:paraId="68266FA9" w14:textId="77777777" w:rsidR="001249CE" w:rsidRPr="001249CE" w:rsidRDefault="001249CE" w:rsidP="001249CE">
            <w:pPr>
              <w:jc w:val="right"/>
              <w:rPr>
                <w:rFonts w:ascii="Arial Narrow" w:hAnsi="Arial Narrow" w:cs="Arial"/>
                <w:sz w:val="18"/>
                <w:szCs w:val="18"/>
              </w:rPr>
            </w:pPr>
            <w:r w:rsidRPr="001249CE">
              <w:rPr>
                <w:rFonts w:ascii="Arial Narrow" w:hAnsi="Arial Narrow" w:cs="Arial"/>
                <w:sz w:val="18"/>
                <w:szCs w:val="18"/>
              </w:rPr>
              <w:t>7,7%</w:t>
            </w:r>
          </w:p>
        </w:tc>
        <w:tc>
          <w:tcPr>
            <w:tcW w:w="920" w:type="dxa"/>
            <w:tcBorders>
              <w:top w:val="nil"/>
              <w:left w:val="nil"/>
              <w:bottom w:val="single" w:sz="4" w:space="0" w:color="auto"/>
              <w:right w:val="single" w:sz="4" w:space="0" w:color="auto"/>
            </w:tcBorders>
            <w:shd w:val="clear" w:color="auto" w:fill="auto"/>
            <w:noWrap/>
            <w:vAlign w:val="center"/>
            <w:hideMark/>
          </w:tcPr>
          <w:p w14:paraId="259683D5" w14:textId="77777777" w:rsidR="001249CE" w:rsidRPr="001249CE" w:rsidRDefault="001249CE" w:rsidP="001249CE">
            <w:pPr>
              <w:jc w:val="right"/>
              <w:rPr>
                <w:rFonts w:ascii="Arial Narrow" w:hAnsi="Arial Narrow" w:cs="Arial"/>
                <w:sz w:val="18"/>
                <w:szCs w:val="18"/>
              </w:rPr>
            </w:pPr>
            <w:r w:rsidRPr="001249CE">
              <w:rPr>
                <w:rFonts w:ascii="Arial Narrow" w:hAnsi="Arial Narrow" w:cs="Arial"/>
                <w:sz w:val="18"/>
                <w:szCs w:val="18"/>
              </w:rPr>
              <w:t>569 481</w:t>
            </w:r>
          </w:p>
        </w:tc>
        <w:tc>
          <w:tcPr>
            <w:tcW w:w="811" w:type="dxa"/>
            <w:tcBorders>
              <w:top w:val="nil"/>
              <w:left w:val="nil"/>
              <w:bottom w:val="single" w:sz="4" w:space="0" w:color="auto"/>
              <w:right w:val="single" w:sz="4" w:space="0" w:color="auto"/>
            </w:tcBorders>
            <w:shd w:val="clear" w:color="000000" w:fill="FFFFFF"/>
            <w:vAlign w:val="center"/>
            <w:hideMark/>
          </w:tcPr>
          <w:p w14:paraId="1A4C4944" w14:textId="77777777" w:rsidR="001249CE" w:rsidRPr="001249CE" w:rsidRDefault="001249CE" w:rsidP="001249CE">
            <w:pPr>
              <w:jc w:val="right"/>
              <w:rPr>
                <w:rFonts w:ascii="Arial Narrow" w:hAnsi="Arial Narrow" w:cs="Arial"/>
                <w:sz w:val="18"/>
                <w:szCs w:val="18"/>
              </w:rPr>
            </w:pPr>
            <w:r w:rsidRPr="001249CE">
              <w:rPr>
                <w:rFonts w:ascii="Arial Narrow" w:hAnsi="Arial Narrow" w:cs="Arial"/>
                <w:sz w:val="18"/>
                <w:szCs w:val="18"/>
              </w:rPr>
              <w:t>8,5%</w:t>
            </w:r>
          </w:p>
        </w:tc>
        <w:tc>
          <w:tcPr>
            <w:tcW w:w="812" w:type="dxa"/>
            <w:tcBorders>
              <w:top w:val="nil"/>
              <w:left w:val="nil"/>
              <w:bottom w:val="single" w:sz="4" w:space="0" w:color="auto"/>
              <w:right w:val="single" w:sz="4" w:space="0" w:color="auto"/>
            </w:tcBorders>
            <w:shd w:val="clear" w:color="auto" w:fill="auto"/>
            <w:noWrap/>
            <w:vAlign w:val="center"/>
            <w:hideMark/>
          </w:tcPr>
          <w:p w14:paraId="7BA362BB" w14:textId="77777777" w:rsidR="001249CE" w:rsidRPr="001249CE" w:rsidRDefault="001249CE" w:rsidP="001249CE">
            <w:pPr>
              <w:jc w:val="right"/>
              <w:rPr>
                <w:rFonts w:ascii="Arial Narrow" w:hAnsi="Arial Narrow" w:cs="Arial"/>
                <w:color w:val="000000"/>
                <w:sz w:val="18"/>
                <w:szCs w:val="18"/>
              </w:rPr>
            </w:pPr>
            <w:r w:rsidRPr="001249CE">
              <w:rPr>
                <w:rFonts w:ascii="Arial Narrow" w:hAnsi="Arial Narrow" w:cs="Arial"/>
                <w:color w:val="000000"/>
                <w:sz w:val="18"/>
                <w:szCs w:val="18"/>
              </w:rPr>
              <w:t>19,7%</w:t>
            </w:r>
          </w:p>
        </w:tc>
      </w:tr>
      <w:tr w:rsidR="001249CE" w:rsidRPr="001249CE" w14:paraId="2D050EFF" w14:textId="77777777" w:rsidTr="001249CE">
        <w:trPr>
          <w:trHeight w:val="600"/>
        </w:trPr>
        <w:tc>
          <w:tcPr>
            <w:tcW w:w="382" w:type="dxa"/>
            <w:tcBorders>
              <w:top w:val="nil"/>
              <w:left w:val="single" w:sz="4" w:space="0" w:color="auto"/>
              <w:bottom w:val="single" w:sz="4" w:space="0" w:color="auto"/>
              <w:right w:val="single" w:sz="4" w:space="0" w:color="auto"/>
            </w:tcBorders>
            <w:shd w:val="clear" w:color="auto" w:fill="auto"/>
            <w:noWrap/>
            <w:vAlign w:val="center"/>
            <w:hideMark/>
          </w:tcPr>
          <w:p w14:paraId="61738564" w14:textId="77777777" w:rsidR="001249CE" w:rsidRPr="001249CE" w:rsidRDefault="001249CE" w:rsidP="001249CE">
            <w:pPr>
              <w:jc w:val="center"/>
              <w:rPr>
                <w:rFonts w:ascii="Arial Narrow" w:hAnsi="Arial Narrow" w:cs="Arial"/>
                <w:sz w:val="18"/>
                <w:szCs w:val="18"/>
              </w:rPr>
            </w:pPr>
            <w:r w:rsidRPr="001249CE">
              <w:rPr>
                <w:rFonts w:ascii="Arial Narrow" w:hAnsi="Arial Narrow" w:cs="Arial"/>
                <w:sz w:val="18"/>
                <w:szCs w:val="18"/>
              </w:rPr>
              <w:t>13</w:t>
            </w:r>
          </w:p>
        </w:tc>
        <w:tc>
          <w:tcPr>
            <w:tcW w:w="5120" w:type="dxa"/>
            <w:tcBorders>
              <w:top w:val="nil"/>
              <w:left w:val="nil"/>
              <w:bottom w:val="single" w:sz="4" w:space="0" w:color="auto"/>
              <w:right w:val="single" w:sz="4" w:space="0" w:color="auto"/>
            </w:tcBorders>
            <w:shd w:val="clear" w:color="auto" w:fill="auto"/>
            <w:vAlign w:val="center"/>
            <w:hideMark/>
          </w:tcPr>
          <w:p w14:paraId="27D14810" w14:textId="77777777" w:rsidR="001249CE" w:rsidRPr="001249CE" w:rsidRDefault="001249CE" w:rsidP="001249CE">
            <w:pPr>
              <w:rPr>
                <w:rFonts w:ascii="Arial Narrow" w:hAnsi="Arial Narrow" w:cs="Arial"/>
                <w:sz w:val="18"/>
                <w:szCs w:val="18"/>
              </w:rPr>
            </w:pPr>
            <w:r w:rsidRPr="001249CE">
              <w:rPr>
                <w:rFonts w:ascii="Arial Narrow" w:hAnsi="Arial Narrow" w:cs="Arial"/>
                <w:sz w:val="18"/>
                <w:szCs w:val="18"/>
              </w:rPr>
              <w:t>Естествени лакове, клейове, смоли и други растителни сокове и екстракти</w:t>
            </w:r>
          </w:p>
        </w:tc>
        <w:tc>
          <w:tcPr>
            <w:tcW w:w="920" w:type="dxa"/>
            <w:tcBorders>
              <w:top w:val="nil"/>
              <w:left w:val="nil"/>
              <w:bottom w:val="single" w:sz="4" w:space="0" w:color="auto"/>
              <w:right w:val="single" w:sz="4" w:space="0" w:color="auto"/>
            </w:tcBorders>
            <w:shd w:val="clear" w:color="auto" w:fill="auto"/>
            <w:noWrap/>
            <w:vAlign w:val="center"/>
            <w:hideMark/>
          </w:tcPr>
          <w:p w14:paraId="22C65585" w14:textId="77777777" w:rsidR="001249CE" w:rsidRPr="001249CE" w:rsidRDefault="001249CE" w:rsidP="001249CE">
            <w:pPr>
              <w:jc w:val="right"/>
              <w:rPr>
                <w:rFonts w:ascii="Arial Narrow" w:hAnsi="Arial Narrow" w:cs="Arial"/>
                <w:sz w:val="18"/>
                <w:szCs w:val="18"/>
              </w:rPr>
            </w:pPr>
            <w:r w:rsidRPr="001249CE">
              <w:rPr>
                <w:rFonts w:ascii="Arial Narrow" w:hAnsi="Arial Narrow" w:cs="Arial"/>
                <w:sz w:val="18"/>
                <w:szCs w:val="18"/>
              </w:rPr>
              <w:t>16 806</w:t>
            </w:r>
          </w:p>
        </w:tc>
        <w:tc>
          <w:tcPr>
            <w:tcW w:w="811" w:type="dxa"/>
            <w:tcBorders>
              <w:top w:val="nil"/>
              <w:left w:val="nil"/>
              <w:bottom w:val="single" w:sz="4" w:space="0" w:color="auto"/>
              <w:right w:val="single" w:sz="4" w:space="0" w:color="auto"/>
            </w:tcBorders>
            <w:shd w:val="clear" w:color="000000" w:fill="FFFFFF"/>
            <w:vAlign w:val="center"/>
            <w:hideMark/>
          </w:tcPr>
          <w:p w14:paraId="2DCBA2A3" w14:textId="77777777" w:rsidR="001249CE" w:rsidRPr="001249CE" w:rsidRDefault="001249CE" w:rsidP="001249CE">
            <w:pPr>
              <w:jc w:val="right"/>
              <w:rPr>
                <w:rFonts w:ascii="Arial Narrow" w:hAnsi="Arial Narrow" w:cs="Arial"/>
                <w:sz w:val="18"/>
                <w:szCs w:val="18"/>
              </w:rPr>
            </w:pPr>
            <w:r w:rsidRPr="001249CE">
              <w:rPr>
                <w:rFonts w:ascii="Arial Narrow" w:hAnsi="Arial Narrow" w:cs="Arial"/>
                <w:sz w:val="18"/>
                <w:szCs w:val="18"/>
              </w:rPr>
              <w:t>0,3%</w:t>
            </w:r>
          </w:p>
        </w:tc>
        <w:tc>
          <w:tcPr>
            <w:tcW w:w="920" w:type="dxa"/>
            <w:tcBorders>
              <w:top w:val="nil"/>
              <w:left w:val="nil"/>
              <w:bottom w:val="single" w:sz="4" w:space="0" w:color="auto"/>
              <w:right w:val="single" w:sz="4" w:space="0" w:color="auto"/>
            </w:tcBorders>
            <w:shd w:val="clear" w:color="auto" w:fill="auto"/>
            <w:noWrap/>
            <w:vAlign w:val="center"/>
            <w:hideMark/>
          </w:tcPr>
          <w:p w14:paraId="782B2074" w14:textId="77777777" w:rsidR="001249CE" w:rsidRPr="001249CE" w:rsidRDefault="001249CE" w:rsidP="001249CE">
            <w:pPr>
              <w:jc w:val="right"/>
              <w:rPr>
                <w:rFonts w:ascii="Arial Narrow" w:hAnsi="Arial Narrow" w:cs="Arial"/>
                <w:sz w:val="18"/>
                <w:szCs w:val="18"/>
              </w:rPr>
            </w:pPr>
            <w:r w:rsidRPr="001249CE">
              <w:rPr>
                <w:rFonts w:ascii="Arial Narrow" w:hAnsi="Arial Narrow" w:cs="Arial"/>
                <w:sz w:val="18"/>
                <w:szCs w:val="18"/>
              </w:rPr>
              <w:t>16 094</w:t>
            </w:r>
          </w:p>
        </w:tc>
        <w:tc>
          <w:tcPr>
            <w:tcW w:w="811" w:type="dxa"/>
            <w:tcBorders>
              <w:top w:val="nil"/>
              <w:left w:val="nil"/>
              <w:bottom w:val="single" w:sz="4" w:space="0" w:color="auto"/>
              <w:right w:val="single" w:sz="4" w:space="0" w:color="auto"/>
            </w:tcBorders>
            <w:shd w:val="clear" w:color="000000" w:fill="FFFFFF"/>
            <w:vAlign w:val="center"/>
            <w:hideMark/>
          </w:tcPr>
          <w:p w14:paraId="2988E8CB" w14:textId="77777777" w:rsidR="001249CE" w:rsidRPr="001249CE" w:rsidRDefault="001249CE" w:rsidP="001249CE">
            <w:pPr>
              <w:jc w:val="right"/>
              <w:rPr>
                <w:rFonts w:ascii="Arial Narrow" w:hAnsi="Arial Narrow" w:cs="Arial"/>
                <w:sz w:val="18"/>
                <w:szCs w:val="18"/>
              </w:rPr>
            </w:pPr>
            <w:r w:rsidRPr="001249CE">
              <w:rPr>
                <w:rFonts w:ascii="Arial Narrow" w:hAnsi="Arial Narrow" w:cs="Arial"/>
                <w:sz w:val="18"/>
                <w:szCs w:val="18"/>
              </w:rPr>
              <w:t>0,2%</w:t>
            </w:r>
          </w:p>
        </w:tc>
        <w:tc>
          <w:tcPr>
            <w:tcW w:w="812" w:type="dxa"/>
            <w:tcBorders>
              <w:top w:val="nil"/>
              <w:left w:val="nil"/>
              <w:bottom w:val="single" w:sz="4" w:space="0" w:color="auto"/>
              <w:right w:val="single" w:sz="4" w:space="0" w:color="auto"/>
            </w:tcBorders>
            <w:shd w:val="clear" w:color="auto" w:fill="auto"/>
            <w:noWrap/>
            <w:vAlign w:val="center"/>
            <w:hideMark/>
          </w:tcPr>
          <w:p w14:paraId="045787E5" w14:textId="77777777" w:rsidR="001249CE" w:rsidRPr="001249CE" w:rsidRDefault="001249CE" w:rsidP="001249CE">
            <w:pPr>
              <w:jc w:val="right"/>
              <w:rPr>
                <w:rFonts w:ascii="Arial Narrow" w:hAnsi="Arial Narrow" w:cs="Arial"/>
                <w:color w:val="000000"/>
                <w:sz w:val="18"/>
                <w:szCs w:val="18"/>
              </w:rPr>
            </w:pPr>
            <w:r w:rsidRPr="001249CE">
              <w:rPr>
                <w:rFonts w:ascii="Arial Narrow" w:hAnsi="Arial Narrow" w:cs="Arial"/>
                <w:color w:val="000000"/>
                <w:sz w:val="18"/>
                <w:szCs w:val="18"/>
              </w:rPr>
              <w:t>-4,2%</w:t>
            </w:r>
          </w:p>
        </w:tc>
      </w:tr>
      <w:tr w:rsidR="001249CE" w:rsidRPr="001249CE" w14:paraId="59ABEB7D" w14:textId="77777777" w:rsidTr="001249CE">
        <w:trPr>
          <w:trHeight w:val="600"/>
        </w:trPr>
        <w:tc>
          <w:tcPr>
            <w:tcW w:w="382" w:type="dxa"/>
            <w:tcBorders>
              <w:top w:val="nil"/>
              <w:left w:val="single" w:sz="4" w:space="0" w:color="auto"/>
              <w:bottom w:val="single" w:sz="4" w:space="0" w:color="auto"/>
              <w:right w:val="single" w:sz="4" w:space="0" w:color="auto"/>
            </w:tcBorders>
            <w:shd w:val="clear" w:color="auto" w:fill="auto"/>
            <w:noWrap/>
            <w:vAlign w:val="center"/>
            <w:hideMark/>
          </w:tcPr>
          <w:p w14:paraId="361D05F5" w14:textId="77777777" w:rsidR="001249CE" w:rsidRPr="001249CE" w:rsidRDefault="001249CE" w:rsidP="001249CE">
            <w:pPr>
              <w:jc w:val="center"/>
              <w:rPr>
                <w:rFonts w:ascii="Arial Narrow" w:hAnsi="Arial Narrow" w:cs="Arial"/>
                <w:sz w:val="18"/>
                <w:szCs w:val="18"/>
              </w:rPr>
            </w:pPr>
            <w:r w:rsidRPr="001249CE">
              <w:rPr>
                <w:rFonts w:ascii="Arial Narrow" w:hAnsi="Arial Narrow" w:cs="Arial"/>
                <w:sz w:val="18"/>
                <w:szCs w:val="18"/>
              </w:rPr>
              <w:t>14</w:t>
            </w:r>
          </w:p>
        </w:tc>
        <w:tc>
          <w:tcPr>
            <w:tcW w:w="5120" w:type="dxa"/>
            <w:tcBorders>
              <w:top w:val="nil"/>
              <w:left w:val="nil"/>
              <w:bottom w:val="single" w:sz="4" w:space="0" w:color="auto"/>
              <w:right w:val="single" w:sz="4" w:space="0" w:color="auto"/>
            </w:tcBorders>
            <w:shd w:val="clear" w:color="auto" w:fill="auto"/>
            <w:vAlign w:val="center"/>
            <w:hideMark/>
          </w:tcPr>
          <w:p w14:paraId="127A601F" w14:textId="77777777" w:rsidR="001249CE" w:rsidRPr="001249CE" w:rsidRDefault="001249CE" w:rsidP="001249CE">
            <w:pPr>
              <w:rPr>
                <w:rFonts w:ascii="Arial Narrow" w:hAnsi="Arial Narrow" w:cs="Arial"/>
                <w:sz w:val="18"/>
                <w:szCs w:val="18"/>
              </w:rPr>
            </w:pPr>
            <w:r w:rsidRPr="001249CE">
              <w:rPr>
                <w:rFonts w:ascii="Arial Narrow" w:hAnsi="Arial Narrow" w:cs="Arial"/>
                <w:sz w:val="18"/>
                <w:szCs w:val="18"/>
              </w:rPr>
              <w:t>Материали за сплитане и други продукти от растителен произход, неупоменати, нито включени другаде</w:t>
            </w:r>
          </w:p>
        </w:tc>
        <w:tc>
          <w:tcPr>
            <w:tcW w:w="920" w:type="dxa"/>
            <w:tcBorders>
              <w:top w:val="nil"/>
              <w:left w:val="nil"/>
              <w:bottom w:val="single" w:sz="4" w:space="0" w:color="auto"/>
              <w:right w:val="single" w:sz="4" w:space="0" w:color="auto"/>
            </w:tcBorders>
            <w:shd w:val="clear" w:color="auto" w:fill="auto"/>
            <w:noWrap/>
            <w:vAlign w:val="center"/>
            <w:hideMark/>
          </w:tcPr>
          <w:p w14:paraId="7BC6501D" w14:textId="77777777" w:rsidR="001249CE" w:rsidRPr="001249CE" w:rsidRDefault="001249CE" w:rsidP="001249CE">
            <w:pPr>
              <w:jc w:val="right"/>
              <w:rPr>
                <w:rFonts w:ascii="Arial Narrow" w:hAnsi="Arial Narrow" w:cs="Arial"/>
                <w:sz w:val="18"/>
                <w:szCs w:val="18"/>
              </w:rPr>
            </w:pPr>
            <w:r w:rsidRPr="001249CE">
              <w:rPr>
                <w:rFonts w:ascii="Arial Narrow" w:hAnsi="Arial Narrow" w:cs="Arial"/>
                <w:sz w:val="18"/>
                <w:szCs w:val="18"/>
              </w:rPr>
              <w:t>2 021</w:t>
            </w:r>
          </w:p>
        </w:tc>
        <w:tc>
          <w:tcPr>
            <w:tcW w:w="811" w:type="dxa"/>
            <w:tcBorders>
              <w:top w:val="nil"/>
              <w:left w:val="nil"/>
              <w:bottom w:val="single" w:sz="4" w:space="0" w:color="auto"/>
              <w:right w:val="single" w:sz="4" w:space="0" w:color="auto"/>
            </w:tcBorders>
            <w:shd w:val="clear" w:color="000000" w:fill="FFFFFF"/>
            <w:vAlign w:val="center"/>
            <w:hideMark/>
          </w:tcPr>
          <w:p w14:paraId="01FC53FD" w14:textId="77777777" w:rsidR="001249CE" w:rsidRPr="001249CE" w:rsidRDefault="001249CE" w:rsidP="001249CE">
            <w:pPr>
              <w:jc w:val="right"/>
              <w:rPr>
                <w:rFonts w:ascii="Arial Narrow" w:hAnsi="Arial Narrow" w:cs="Arial"/>
                <w:sz w:val="18"/>
                <w:szCs w:val="18"/>
              </w:rPr>
            </w:pPr>
            <w:r w:rsidRPr="001249CE">
              <w:rPr>
                <w:rFonts w:ascii="Arial Narrow" w:hAnsi="Arial Narrow" w:cs="Arial"/>
                <w:sz w:val="18"/>
                <w:szCs w:val="18"/>
              </w:rPr>
              <w:t>0,0%</w:t>
            </w:r>
          </w:p>
        </w:tc>
        <w:tc>
          <w:tcPr>
            <w:tcW w:w="920" w:type="dxa"/>
            <w:tcBorders>
              <w:top w:val="nil"/>
              <w:left w:val="nil"/>
              <w:bottom w:val="single" w:sz="4" w:space="0" w:color="auto"/>
              <w:right w:val="single" w:sz="4" w:space="0" w:color="auto"/>
            </w:tcBorders>
            <w:shd w:val="clear" w:color="auto" w:fill="auto"/>
            <w:noWrap/>
            <w:vAlign w:val="center"/>
            <w:hideMark/>
          </w:tcPr>
          <w:p w14:paraId="482EB04E" w14:textId="77777777" w:rsidR="001249CE" w:rsidRPr="001249CE" w:rsidRDefault="001249CE" w:rsidP="001249CE">
            <w:pPr>
              <w:jc w:val="right"/>
              <w:rPr>
                <w:rFonts w:ascii="Arial Narrow" w:hAnsi="Arial Narrow" w:cs="Arial"/>
                <w:sz w:val="18"/>
                <w:szCs w:val="18"/>
              </w:rPr>
            </w:pPr>
            <w:r w:rsidRPr="001249CE">
              <w:rPr>
                <w:rFonts w:ascii="Arial Narrow" w:hAnsi="Arial Narrow" w:cs="Arial"/>
                <w:sz w:val="18"/>
                <w:szCs w:val="18"/>
              </w:rPr>
              <w:t>7 946</w:t>
            </w:r>
          </w:p>
        </w:tc>
        <w:tc>
          <w:tcPr>
            <w:tcW w:w="811" w:type="dxa"/>
            <w:tcBorders>
              <w:top w:val="nil"/>
              <w:left w:val="nil"/>
              <w:bottom w:val="single" w:sz="4" w:space="0" w:color="auto"/>
              <w:right w:val="single" w:sz="4" w:space="0" w:color="auto"/>
            </w:tcBorders>
            <w:shd w:val="clear" w:color="000000" w:fill="FFFFFF"/>
            <w:vAlign w:val="center"/>
            <w:hideMark/>
          </w:tcPr>
          <w:p w14:paraId="422E7E4C" w14:textId="77777777" w:rsidR="001249CE" w:rsidRPr="001249CE" w:rsidRDefault="001249CE" w:rsidP="001249CE">
            <w:pPr>
              <w:jc w:val="right"/>
              <w:rPr>
                <w:rFonts w:ascii="Arial Narrow" w:hAnsi="Arial Narrow" w:cs="Arial"/>
                <w:sz w:val="18"/>
                <w:szCs w:val="18"/>
              </w:rPr>
            </w:pPr>
            <w:r w:rsidRPr="001249CE">
              <w:rPr>
                <w:rFonts w:ascii="Arial Narrow" w:hAnsi="Arial Narrow" w:cs="Arial"/>
                <w:sz w:val="18"/>
                <w:szCs w:val="18"/>
              </w:rPr>
              <w:t>0,1%</w:t>
            </w:r>
          </w:p>
        </w:tc>
        <w:tc>
          <w:tcPr>
            <w:tcW w:w="812" w:type="dxa"/>
            <w:tcBorders>
              <w:top w:val="nil"/>
              <w:left w:val="nil"/>
              <w:bottom w:val="single" w:sz="4" w:space="0" w:color="auto"/>
              <w:right w:val="single" w:sz="4" w:space="0" w:color="auto"/>
            </w:tcBorders>
            <w:shd w:val="clear" w:color="auto" w:fill="auto"/>
            <w:noWrap/>
            <w:vAlign w:val="center"/>
            <w:hideMark/>
          </w:tcPr>
          <w:p w14:paraId="0CB011EA" w14:textId="77777777" w:rsidR="001249CE" w:rsidRPr="001249CE" w:rsidRDefault="001249CE" w:rsidP="001249CE">
            <w:pPr>
              <w:jc w:val="right"/>
              <w:rPr>
                <w:rFonts w:ascii="Arial Narrow" w:hAnsi="Arial Narrow" w:cs="Arial"/>
                <w:color w:val="000000"/>
                <w:sz w:val="18"/>
                <w:szCs w:val="18"/>
              </w:rPr>
            </w:pPr>
            <w:r w:rsidRPr="001249CE">
              <w:rPr>
                <w:rFonts w:ascii="Arial Narrow" w:hAnsi="Arial Narrow" w:cs="Arial"/>
                <w:color w:val="000000"/>
                <w:sz w:val="18"/>
                <w:szCs w:val="18"/>
              </w:rPr>
              <w:t>293,2%</w:t>
            </w:r>
          </w:p>
        </w:tc>
      </w:tr>
      <w:tr w:rsidR="001249CE" w:rsidRPr="001249CE" w14:paraId="1E8F4784" w14:textId="77777777" w:rsidTr="00CD44F3">
        <w:trPr>
          <w:trHeight w:val="810"/>
        </w:trPr>
        <w:tc>
          <w:tcPr>
            <w:tcW w:w="382" w:type="dxa"/>
            <w:tcBorders>
              <w:top w:val="nil"/>
              <w:left w:val="single" w:sz="4" w:space="0" w:color="auto"/>
              <w:bottom w:val="single" w:sz="4" w:space="0" w:color="auto"/>
              <w:right w:val="single" w:sz="4" w:space="0" w:color="auto"/>
            </w:tcBorders>
            <w:shd w:val="clear" w:color="000000" w:fill="FFFFFF"/>
            <w:noWrap/>
            <w:vAlign w:val="center"/>
            <w:hideMark/>
          </w:tcPr>
          <w:p w14:paraId="3375FE11" w14:textId="77777777" w:rsidR="001249CE" w:rsidRPr="001249CE" w:rsidRDefault="001249CE" w:rsidP="001249CE">
            <w:pPr>
              <w:jc w:val="center"/>
              <w:rPr>
                <w:rFonts w:ascii="Arial Narrow" w:hAnsi="Arial Narrow" w:cs="Arial"/>
                <w:sz w:val="18"/>
                <w:szCs w:val="18"/>
              </w:rPr>
            </w:pPr>
            <w:r w:rsidRPr="001249CE">
              <w:rPr>
                <w:rFonts w:ascii="Arial Narrow" w:hAnsi="Arial Narrow" w:cs="Arial"/>
                <w:sz w:val="18"/>
                <w:szCs w:val="18"/>
              </w:rPr>
              <w:t>15</w:t>
            </w:r>
          </w:p>
        </w:tc>
        <w:tc>
          <w:tcPr>
            <w:tcW w:w="5120" w:type="dxa"/>
            <w:tcBorders>
              <w:top w:val="nil"/>
              <w:left w:val="nil"/>
              <w:bottom w:val="single" w:sz="4" w:space="0" w:color="auto"/>
              <w:right w:val="single" w:sz="4" w:space="0" w:color="auto"/>
            </w:tcBorders>
            <w:shd w:val="clear" w:color="000000" w:fill="FFFFFF"/>
            <w:vAlign w:val="center"/>
            <w:hideMark/>
          </w:tcPr>
          <w:p w14:paraId="50A09BFB" w14:textId="77777777" w:rsidR="001249CE" w:rsidRPr="001249CE" w:rsidRDefault="001249CE" w:rsidP="001249CE">
            <w:pPr>
              <w:rPr>
                <w:rFonts w:ascii="Arial Narrow" w:hAnsi="Arial Narrow" w:cs="Arial"/>
                <w:sz w:val="18"/>
                <w:szCs w:val="18"/>
              </w:rPr>
            </w:pPr>
            <w:r w:rsidRPr="001249CE">
              <w:rPr>
                <w:rFonts w:ascii="Arial Narrow" w:hAnsi="Arial Narrow" w:cs="Arial"/>
                <w:sz w:val="18"/>
                <w:szCs w:val="18"/>
              </w:rPr>
              <w:t>Мазнини и масла от животински или растителен произход; обработени мазнини за хранителни цели; восъци от животински или растителен произход</w:t>
            </w:r>
          </w:p>
        </w:tc>
        <w:tc>
          <w:tcPr>
            <w:tcW w:w="920" w:type="dxa"/>
            <w:tcBorders>
              <w:top w:val="nil"/>
              <w:left w:val="nil"/>
              <w:bottom w:val="single" w:sz="4" w:space="0" w:color="auto"/>
              <w:right w:val="single" w:sz="4" w:space="0" w:color="auto"/>
            </w:tcBorders>
            <w:shd w:val="clear" w:color="auto" w:fill="auto"/>
            <w:noWrap/>
            <w:vAlign w:val="center"/>
            <w:hideMark/>
          </w:tcPr>
          <w:p w14:paraId="3C8CC2CD" w14:textId="77777777" w:rsidR="001249CE" w:rsidRPr="001249CE" w:rsidRDefault="001249CE" w:rsidP="001249CE">
            <w:pPr>
              <w:jc w:val="right"/>
              <w:rPr>
                <w:rFonts w:ascii="Arial Narrow" w:hAnsi="Arial Narrow" w:cs="Arial"/>
                <w:sz w:val="18"/>
                <w:szCs w:val="18"/>
              </w:rPr>
            </w:pPr>
            <w:r w:rsidRPr="001249CE">
              <w:rPr>
                <w:rFonts w:ascii="Arial Narrow" w:hAnsi="Arial Narrow" w:cs="Arial"/>
                <w:sz w:val="18"/>
                <w:szCs w:val="18"/>
              </w:rPr>
              <w:t>491 579</w:t>
            </w:r>
          </w:p>
        </w:tc>
        <w:tc>
          <w:tcPr>
            <w:tcW w:w="811" w:type="dxa"/>
            <w:tcBorders>
              <w:top w:val="nil"/>
              <w:left w:val="nil"/>
              <w:bottom w:val="single" w:sz="4" w:space="0" w:color="auto"/>
              <w:right w:val="single" w:sz="4" w:space="0" w:color="auto"/>
            </w:tcBorders>
            <w:shd w:val="clear" w:color="000000" w:fill="FFFFFF"/>
            <w:vAlign w:val="center"/>
            <w:hideMark/>
          </w:tcPr>
          <w:p w14:paraId="7F1A0B69" w14:textId="77777777" w:rsidR="001249CE" w:rsidRPr="001249CE" w:rsidRDefault="001249CE" w:rsidP="001249CE">
            <w:pPr>
              <w:jc w:val="right"/>
              <w:rPr>
                <w:rFonts w:ascii="Arial Narrow" w:hAnsi="Arial Narrow" w:cs="Arial"/>
                <w:sz w:val="18"/>
                <w:szCs w:val="18"/>
              </w:rPr>
            </w:pPr>
            <w:r w:rsidRPr="001249CE">
              <w:rPr>
                <w:rFonts w:ascii="Arial Narrow" w:hAnsi="Arial Narrow" w:cs="Arial"/>
                <w:sz w:val="18"/>
                <w:szCs w:val="18"/>
              </w:rPr>
              <w:t>7,9%</w:t>
            </w:r>
          </w:p>
        </w:tc>
        <w:tc>
          <w:tcPr>
            <w:tcW w:w="920" w:type="dxa"/>
            <w:tcBorders>
              <w:top w:val="nil"/>
              <w:left w:val="nil"/>
              <w:bottom w:val="single" w:sz="4" w:space="0" w:color="auto"/>
              <w:right w:val="single" w:sz="4" w:space="0" w:color="auto"/>
            </w:tcBorders>
            <w:shd w:val="clear" w:color="auto" w:fill="auto"/>
            <w:noWrap/>
            <w:vAlign w:val="center"/>
            <w:hideMark/>
          </w:tcPr>
          <w:p w14:paraId="2534AC4A" w14:textId="77777777" w:rsidR="001249CE" w:rsidRPr="001249CE" w:rsidRDefault="001249CE" w:rsidP="001249CE">
            <w:pPr>
              <w:jc w:val="right"/>
              <w:rPr>
                <w:rFonts w:ascii="Arial Narrow" w:hAnsi="Arial Narrow" w:cs="Arial"/>
                <w:sz w:val="18"/>
                <w:szCs w:val="18"/>
              </w:rPr>
            </w:pPr>
            <w:r w:rsidRPr="001249CE">
              <w:rPr>
                <w:rFonts w:ascii="Arial Narrow" w:hAnsi="Arial Narrow" w:cs="Arial"/>
                <w:sz w:val="18"/>
                <w:szCs w:val="18"/>
              </w:rPr>
              <w:t>585 485</w:t>
            </w:r>
          </w:p>
        </w:tc>
        <w:tc>
          <w:tcPr>
            <w:tcW w:w="811" w:type="dxa"/>
            <w:tcBorders>
              <w:top w:val="nil"/>
              <w:left w:val="nil"/>
              <w:bottom w:val="single" w:sz="4" w:space="0" w:color="auto"/>
              <w:right w:val="single" w:sz="4" w:space="0" w:color="auto"/>
            </w:tcBorders>
            <w:shd w:val="clear" w:color="000000" w:fill="FFFFFF"/>
            <w:vAlign w:val="center"/>
            <w:hideMark/>
          </w:tcPr>
          <w:p w14:paraId="70C25125" w14:textId="77777777" w:rsidR="001249CE" w:rsidRPr="001249CE" w:rsidRDefault="001249CE" w:rsidP="001249CE">
            <w:pPr>
              <w:jc w:val="right"/>
              <w:rPr>
                <w:rFonts w:ascii="Arial Narrow" w:hAnsi="Arial Narrow" w:cs="Arial"/>
                <w:sz w:val="18"/>
                <w:szCs w:val="18"/>
              </w:rPr>
            </w:pPr>
            <w:r w:rsidRPr="001249CE">
              <w:rPr>
                <w:rFonts w:ascii="Arial Narrow" w:hAnsi="Arial Narrow" w:cs="Arial"/>
                <w:sz w:val="18"/>
                <w:szCs w:val="18"/>
              </w:rPr>
              <w:t>8,7%</w:t>
            </w:r>
          </w:p>
        </w:tc>
        <w:tc>
          <w:tcPr>
            <w:tcW w:w="812" w:type="dxa"/>
            <w:tcBorders>
              <w:top w:val="nil"/>
              <w:left w:val="nil"/>
              <w:bottom w:val="single" w:sz="4" w:space="0" w:color="auto"/>
              <w:right w:val="single" w:sz="4" w:space="0" w:color="auto"/>
            </w:tcBorders>
            <w:shd w:val="clear" w:color="auto" w:fill="auto"/>
            <w:noWrap/>
            <w:vAlign w:val="center"/>
            <w:hideMark/>
          </w:tcPr>
          <w:p w14:paraId="69AFF678" w14:textId="77777777" w:rsidR="001249CE" w:rsidRPr="001249CE" w:rsidRDefault="001249CE" w:rsidP="001249CE">
            <w:pPr>
              <w:jc w:val="right"/>
              <w:rPr>
                <w:rFonts w:ascii="Arial Narrow" w:hAnsi="Arial Narrow" w:cs="Arial"/>
                <w:color w:val="000000"/>
                <w:sz w:val="18"/>
                <w:szCs w:val="18"/>
              </w:rPr>
            </w:pPr>
            <w:r w:rsidRPr="001249CE">
              <w:rPr>
                <w:rFonts w:ascii="Arial Narrow" w:hAnsi="Arial Narrow" w:cs="Arial"/>
                <w:color w:val="000000"/>
                <w:sz w:val="18"/>
                <w:szCs w:val="18"/>
              </w:rPr>
              <w:t>19,1%</w:t>
            </w:r>
          </w:p>
        </w:tc>
      </w:tr>
      <w:tr w:rsidR="001249CE" w:rsidRPr="001249CE" w14:paraId="15BD99F6" w14:textId="77777777" w:rsidTr="00CD44F3">
        <w:trPr>
          <w:trHeight w:val="600"/>
        </w:trPr>
        <w:tc>
          <w:tcPr>
            <w:tcW w:w="382" w:type="dxa"/>
            <w:tcBorders>
              <w:top w:val="nil"/>
              <w:left w:val="single" w:sz="4" w:space="0" w:color="auto"/>
              <w:bottom w:val="single" w:sz="4" w:space="0" w:color="auto"/>
              <w:right w:val="single" w:sz="4" w:space="0" w:color="auto"/>
            </w:tcBorders>
            <w:shd w:val="clear" w:color="000000" w:fill="FFFFFF"/>
            <w:noWrap/>
            <w:vAlign w:val="center"/>
            <w:hideMark/>
          </w:tcPr>
          <w:p w14:paraId="79B75855" w14:textId="77777777" w:rsidR="001249CE" w:rsidRPr="001249CE" w:rsidRDefault="001249CE" w:rsidP="001249CE">
            <w:pPr>
              <w:jc w:val="center"/>
              <w:rPr>
                <w:rFonts w:ascii="Arial Narrow" w:hAnsi="Arial Narrow" w:cs="Arial"/>
                <w:sz w:val="18"/>
                <w:szCs w:val="18"/>
              </w:rPr>
            </w:pPr>
            <w:r w:rsidRPr="001249CE">
              <w:rPr>
                <w:rFonts w:ascii="Arial Narrow" w:hAnsi="Arial Narrow" w:cs="Arial"/>
                <w:sz w:val="18"/>
                <w:szCs w:val="18"/>
              </w:rPr>
              <w:t>16</w:t>
            </w:r>
          </w:p>
        </w:tc>
        <w:tc>
          <w:tcPr>
            <w:tcW w:w="5120" w:type="dxa"/>
            <w:tcBorders>
              <w:top w:val="nil"/>
              <w:left w:val="nil"/>
              <w:bottom w:val="single" w:sz="4" w:space="0" w:color="auto"/>
              <w:right w:val="single" w:sz="4" w:space="0" w:color="auto"/>
            </w:tcBorders>
            <w:shd w:val="clear" w:color="000000" w:fill="FFFFFF"/>
            <w:vAlign w:val="center"/>
            <w:hideMark/>
          </w:tcPr>
          <w:p w14:paraId="09C4BCBA" w14:textId="77777777" w:rsidR="001249CE" w:rsidRPr="001249CE" w:rsidRDefault="001249CE" w:rsidP="001249CE">
            <w:pPr>
              <w:rPr>
                <w:rFonts w:ascii="Arial Narrow" w:hAnsi="Arial Narrow" w:cs="Arial"/>
                <w:sz w:val="18"/>
                <w:szCs w:val="18"/>
              </w:rPr>
            </w:pPr>
            <w:r w:rsidRPr="001249CE">
              <w:rPr>
                <w:rFonts w:ascii="Arial Narrow" w:hAnsi="Arial Narrow" w:cs="Arial"/>
                <w:sz w:val="18"/>
                <w:szCs w:val="18"/>
              </w:rPr>
              <w:t>Продукти от месо, риби или ракообразни, мекотели или други водни безгръбначни</w:t>
            </w:r>
          </w:p>
        </w:tc>
        <w:tc>
          <w:tcPr>
            <w:tcW w:w="920" w:type="dxa"/>
            <w:tcBorders>
              <w:top w:val="nil"/>
              <w:left w:val="nil"/>
              <w:bottom w:val="single" w:sz="4" w:space="0" w:color="auto"/>
              <w:right w:val="single" w:sz="4" w:space="0" w:color="auto"/>
            </w:tcBorders>
            <w:shd w:val="clear" w:color="auto" w:fill="auto"/>
            <w:noWrap/>
            <w:vAlign w:val="center"/>
            <w:hideMark/>
          </w:tcPr>
          <w:p w14:paraId="5B88EB2F" w14:textId="77777777" w:rsidR="001249CE" w:rsidRPr="001249CE" w:rsidRDefault="001249CE" w:rsidP="001249CE">
            <w:pPr>
              <w:jc w:val="right"/>
              <w:rPr>
                <w:rFonts w:ascii="Arial Narrow" w:hAnsi="Arial Narrow" w:cs="Arial"/>
                <w:sz w:val="18"/>
                <w:szCs w:val="18"/>
              </w:rPr>
            </w:pPr>
            <w:r w:rsidRPr="001249CE">
              <w:rPr>
                <w:rFonts w:ascii="Arial Narrow" w:hAnsi="Arial Narrow" w:cs="Arial"/>
                <w:sz w:val="18"/>
                <w:szCs w:val="18"/>
              </w:rPr>
              <w:t>109 870</w:t>
            </w:r>
          </w:p>
        </w:tc>
        <w:tc>
          <w:tcPr>
            <w:tcW w:w="811" w:type="dxa"/>
            <w:tcBorders>
              <w:top w:val="nil"/>
              <w:left w:val="nil"/>
              <w:bottom w:val="single" w:sz="4" w:space="0" w:color="auto"/>
              <w:right w:val="single" w:sz="4" w:space="0" w:color="auto"/>
            </w:tcBorders>
            <w:shd w:val="clear" w:color="000000" w:fill="FFFFFF"/>
            <w:vAlign w:val="center"/>
            <w:hideMark/>
          </w:tcPr>
          <w:p w14:paraId="2EB34C15" w14:textId="77777777" w:rsidR="001249CE" w:rsidRPr="001249CE" w:rsidRDefault="001249CE" w:rsidP="001249CE">
            <w:pPr>
              <w:jc w:val="right"/>
              <w:rPr>
                <w:rFonts w:ascii="Arial Narrow" w:hAnsi="Arial Narrow" w:cs="Arial"/>
                <w:sz w:val="18"/>
                <w:szCs w:val="18"/>
              </w:rPr>
            </w:pPr>
            <w:r w:rsidRPr="001249CE">
              <w:rPr>
                <w:rFonts w:ascii="Arial Narrow" w:hAnsi="Arial Narrow" w:cs="Arial"/>
                <w:sz w:val="18"/>
                <w:szCs w:val="18"/>
              </w:rPr>
              <w:t>1,8%</w:t>
            </w:r>
          </w:p>
        </w:tc>
        <w:tc>
          <w:tcPr>
            <w:tcW w:w="920" w:type="dxa"/>
            <w:tcBorders>
              <w:top w:val="nil"/>
              <w:left w:val="nil"/>
              <w:bottom w:val="single" w:sz="4" w:space="0" w:color="auto"/>
              <w:right w:val="single" w:sz="4" w:space="0" w:color="auto"/>
            </w:tcBorders>
            <w:shd w:val="clear" w:color="auto" w:fill="auto"/>
            <w:noWrap/>
            <w:vAlign w:val="center"/>
            <w:hideMark/>
          </w:tcPr>
          <w:p w14:paraId="2F7A8B96" w14:textId="77777777" w:rsidR="001249CE" w:rsidRPr="001249CE" w:rsidRDefault="001249CE" w:rsidP="001249CE">
            <w:pPr>
              <w:jc w:val="right"/>
              <w:rPr>
                <w:rFonts w:ascii="Arial Narrow" w:hAnsi="Arial Narrow" w:cs="Arial"/>
                <w:sz w:val="18"/>
                <w:szCs w:val="18"/>
              </w:rPr>
            </w:pPr>
            <w:r w:rsidRPr="001249CE">
              <w:rPr>
                <w:rFonts w:ascii="Arial Narrow" w:hAnsi="Arial Narrow" w:cs="Arial"/>
                <w:sz w:val="18"/>
                <w:szCs w:val="18"/>
              </w:rPr>
              <w:t>122 301</w:t>
            </w:r>
          </w:p>
        </w:tc>
        <w:tc>
          <w:tcPr>
            <w:tcW w:w="811" w:type="dxa"/>
            <w:tcBorders>
              <w:top w:val="nil"/>
              <w:left w:val="nil"/>
              <w:bottom w:val="single" w:sz="4" w:space="0" w:color="auto"/>
              <w:right w:val="single" w:sz="4" w:space="0" w:color="auto"/>
            </w:tcBorders>
            <w:shd w:val="clear" w:color="000000" w:fill="FFFFFF"/>
            <w:vAlign w:val="center"/>
            <w:hideMark/>
          </w:tcPr>
          <w:p w14:paraId="0B49B7B0" w14:textId="77777777" w:rsidR="001249CE" w:rsidRPr="001249CE" w:rsidRDefault="001249CE" w:rsidP="001249CE">
            <w:pPr>
              <w:jc w:val="right"/>
              <w:rPr>
                <w:rFonts w:ascii="Arial Narrow" w:hAnsi="Arial Narrow" w:cs="Arial"/>
                <w:sz w:val="18"/>
                <w:szCs w:val="18"/>
              </w:rPr>
            </w:pPr>
            <w:r w:rsidRPr="001249CE">
              <w:rPr>
                <w:rFonts w:ascii="Arial Narrow" w:hAnsi="Arial Narrow" w:cs="Arial"/>
                <w:sz w:val="18"/>
                <w:szCs w:val="18"/>
              </w:rPr>
              <w:t>1,8%</w:t>
            </w:r>
          </w:p>
        </w:tc>
        <w:tc>
          <w:tcPr>
            <w:tcW w:w="812" w:type="dxa"/>
            <w:tcBorders>
              <w:top w:val="nil"/>
              <w:left w:val="nil"/>
              <w:bottom w:val="single" w:sz="4" w:space="0" w:color="auto"/>
              <w:right w:val="single" w:sz="4" w:space="0" w:color="auto"/>
            </w:tcBorders>
            <w:shd w:val="clear" w:color="auto" w:fill="auto"/>
            <w:noWrap/>
            <w:vAlign w:val="center"/>
            <w:hideMark/>
          </w:tcPr>
          <w:p w14:paraId="26188546" w14:textId="77777777" w:rsidR="001249CE" w:rsidRPr="001249CE" w:rsidRDefault="001249CE" w:rsidP="001249CE">
            <w:pPr>
              <w:jc w:val="right"/>
              <w:rPr>
                <w:rFonts w:ascii="Arial Narrow" w:hAnsi="Arial Narrow" w:cs="Arial"/>
                <w:color w:val="000000"/>
                <w:sz w:val="18"/>
                <w:szCs w:val="18"/>
              </w:rPr>
            </w:pPr>
            <w:r w:rsidRPr="001249CE">
              <w:rPr>
                <w:rFonts w:ascii="Arial Narrow" w:hAnsi="Arial Narrow" w:cs="Arial"/>
                <w:color w:val="000000"/>
                <w:sz w:val="18"/>
                <w:szCs w:val="18"/>
              </w:rPr>
              <w:t>11,3%</w:t>
            </w:r>
          </w:p>
        </w:tc>
      </w:tr>
      <w:tr w:rsidR="001249CE" w:rsidRPr="001249CE" w14:paraId="4DF95C82" w14:textId="77777777" w:rsidTr="00CD44F3">
        <w:trPr>
          <w:trHeight w:val="342"/>
        </w:trPr>
        <w:tc>
          <w:tcPr>
            <w:tcW w:w="382" w:type="dxa"/>
            <w:tcBorders>
              <w:top w:val="nil"/>
              <w:left w:val="single" w:sz="4" w:space="0" w:color="auto"/>
              <w:bottom w:val="single" w:sz="4" w:space="0" w:color="auto"/>
              <w:right w:val="single" w:sz="4" w:space="0" w:color="auto"/>
            </w:tcBorders>
            <w:shd w:val="clear" w:color="000000" w:fill="FFFFFF"/>
            <w:noWrap/>
            <w:vAlign w:val="center"/>
            <w:hideMark/>
          </w:tcPr>
          <w:p w14:paraId="25C82971" w14:textId="77777777" w:rsidR="001249CE" w:rsidRPr="001249CE" w:rsidRDefault="001249CE" w:rsidP="001249CE">
            <w:pPr>
              <w:jc w:val="center"/>
              <w:rPr>
                <w:rFonts w:ascii="Arial Narrow" w:hAnsi="Arial Narrow" w:cs="Arial"/>
                <w:sz w:val="18"/>
                <w:szCs w:val="18"/>
              </w:rPr>
            </w:pPr>
            <w:r w:rsidRPr="001249CE">
              <w:rPr>
                <w:rFonts w:ascii="Arial Narrow" w:hAnsi="Arial Narrow" w:cs="Arial"/>
                <w:sz w:val="18"/>
                <w:szCs w:val="18"/>
              </w:rPr>
              <w:t>17</w:t>
            </w:r>
          </w:p>
        </w:tc>
        <w:tc>
          <w:tcPr>
            <w:tcW w:w="5120" w:type="dxa"/>
            <w:tcBorders>
              <w:top w:val="nil"/>
              <w:left w:val="nil"/>
              <w:bottom w:val="single" w:sz="4" w:space="0" w:color="auto"/>
              <w:right w:val="single" w:sz="4" w:space="0" w:color="auto"/>
            </w:tcBorders>
            <w:shd w:val="clear" w:color="000000" w:fill="FFFFFF"/>
            <w:vAlign w:val="center"/>
            <w:hideMark/>
          </w:tcPr>
          <w:p w14:paraId="0AEA9AF0" w14:textId="77777777" w:rsidR="001249CE" w:rsidRPr="001249CE" w:rsidRDefault="001249CE" w:rsidP="001249CE">
            <w:pPr>
              <w:rPr>
                <w:rFonts w:ascii="Arial Narrow" w:hAnsi="Arial Narrow" w:cs="Arial"/>
                <w:sz w:val="18"/>
                <w:szCs w:val="18"/>
              </w:rPr>
            </w:pPr>
            <w:r w:rsidRPr="001249CE">
              <w:rPr>
                <w:rFonts w:ascii="Arial Narrow" w:hAnsi="Arial Narrow" w:cs="Arial"/>
                <w:sz w:val="18"/>
                <w:szCs w:val="18"/>
              </w:rPr>
              <w:t>Захар и захарни изделия</w:t>
            </w:r>
          </w:p>
        </w:tc>
        <w:tc>
          <w:tcPr>
            <w:tcW w:w="920" w:type="dxa"/>
            <w:tcBorders>
              <w:top w:val="nil"/>
              <w:left w:val="nil"/>
              <w:bottom w:val="single" w:sz="4" w:space="0" w:color="auto"/>
              <w:right w:val="single" w:sz="4" w:space="0" w:color="auto"/>
            </w:tcBorders>
            <w:shd w:val="clear" w:color="auto" w:fill="auto"/>
            <w:noWrap/>
            <w:vAlign w:val="center"/>
            <w:hideMark/>
          </w:tcPr>
          <w:p w14:paraId="65469638" w14:textId="77777777" w:rsidR="001249CE" w:rsidRPr="001249CE" w:rsidRDefault="001249CE" w:rsidP="001249CE">
            <w:pPr>
              <w:jc w:val="right"/>
              <w:rPr>
                <w:rFonts w:ascii="Arial Narrow" w:hAnsi="Arial Narrow" w:cs="Arial"/>
                <w:sz w:val="18"/>
                <w:szCs w:val="18"/>
              </w:rPr>
            </w:pPr>
            <w:r w:rsidRPr="001249CE">
              <w:rPr>
                <w:rFonts w:ascii="Arial Narrow" w:hAnsi="Arial Narrow" w:cs="Arial"/>
                <w:sz w:val="18"/>
                <w:szCs w:val="18"/>
              </w:rPr>
              <w:t>249 972</w:t>
            </w:r>
          </w:p>
        </w:tc>
        <w:tc>
          <w:tcPr>
            <w:tcW w:w="811" w:type="dxa"/>
            <w:tcBorders>
              <w:top w:val="nil"/>
              <w:left w:val="nil"/>
              <w:bottom w:val="single" w:sz="4" w:space="0" w:color="auto"/>
              <w:right w:val="single" w:sz="4" w:space="0" w:color="auto"/>
            </w:tcBorders>
            <w:shd w:val="clear" w:color="000000" w:fill="FFFFFF"/>
            <w:vAlign w:val="center"/>
            <w:hideMark/>
          </w:tcPr>
          <w:p w14:paraId="5FFDC28D" w14:textId="77777777" w:rsidR="001249CE" w:rsidRPr="001249CE" w:rsidRDefault="001249CE" w:rsidP="001249CE">
            <w:pPr>
              <w:jc w:val="right"/>
              <w:rPr>
                <w:rFonts w:ascii="Arial Narrow" w:hAnsi="Arial Narrow" w:cs="Arial"/>
                <w:sz w:val="18"/>
                <w:szCs w:val="18"/>
              </w:rPr>
            </w:pPr>
            <w:r w:rsidRPr="001249CE">
              <w:rPr>
                <w:rFonts w:ascii="Arial Narrow" w:hAnsi="Arial Narrow" w:cs="Arial"/>
                <w:sz w:val="18"/>
                <w:szCs w:val="18"/>
              </w:rPr>
              <w:t>4,0%</w:t>
            </w:r>
          </w:p>
        </w:tc>
        <w:tc>
          <w:tcPr>
            <w:tcW w:w="920" w:type="dxa"/>
            <w:tcBorders>
              <w:top w:val="nil"/>
              <w:left w:val="nil"/>
              <w:bottom w:val="single" w:sz="4" w:space="0" w:color="auto"/>
              <w:right w:val="single" w:sz="4" w:space="0" w:color="auto"/>
            </w:tcBorders>
            <w:shd w:val="clear" w:color="auto" w:fill="auto"/>
            <w:noWrap/>
            <w:vAlign w:val="center"/>
            <w:hideMark/>
          </w:tcPr>
          <w:p w14:paraId="251D7DC1" w14:textId="77777777" w:rsidR="001249CE" w:rsidRPr="001249CE" w:rsidRDefault="001249CE" w:rsidP="001249CE">
            <w:pPr>
              <w:jc w:val="right"/>
              <w:rPr>
                <w:rFonts w:ascii="Arial Narrow" w:hAnsi="Arial Narrow" w:cs="Arial"/>
                <w:sz w:val="18"/>
                <w:szCs w:val="18"/>
              </w:rPr>
            </w:pPr>
            <w:r w:rsidRPr="001249CE">
              <w:rPr>
                <w:rFonts w:ascii="Arial Narrow" w:hAnsi="Arial Narrow" w:cs="Arial"/>
                <w:sz w:val="18"/>
                <w:szCs w:val="18"/>
              </w:rPr>
              <w:t>222 805</w:t>
            </w:r>
          </w:p>
        </w:tc>
        <w:tc>
          <w:tcPr>
            <w:tcW w:w="811" w:type="dxa"/>
            <w:tcBorders>
              <w:top w:val="nil"/>
              <w:left w:val="nil"/>
              <w:bottom w:val="single" w:sz="4" w:space="0" w:color="auto"/>
              <w:right w:val="single" w:sz="4" w:space="0" w:color="auto"/>
            </w:tcBorders>
            <w:shd w:val="clear" w:color="000000" w:fill="FFFFFF"/>
            <w:vAlign w:val="center"/>
            <w:hideMark/>
          </w:tcPr>
          <w:p w14:paraId="776E297B" w14:textId="77777777" w:rsidR="001249CE" w:rsidRPr="001249CE" w:rsidRDefault="001249CE" w:rsidP="001249CE">
            <w:pPr>
              <w:jc w:val="right"/>
              <w:rPr>
                <w:rFonts w:ascii="Arial Narrow" w:hAnsi="Arial Narrow" w:cs="Arial"/>
                <w:sz w:val="18"/>
                <w:szCs w:val="18"/>
              </w:rPr>
            </w:pPr>
            <w:r w:rsidRPr="001249CE">
              <w:rPr>
                <w:rFonts w:ascii="Arial Narrow" w:hAnsi="Arial Narrow" w:cs="Arial"/>
                <w:sz w:val="18"/>
                <w:szCs w:val="18"/>
              </w:rPr>
              <w:t>3,3%</w:t>
            </w:r>
          </w:p>
        </w:tc>
        <w:tc>
          <w:tcPr>
            <w:tcW w:w="812" w:type="dxa"/>
            <w:tcBorders>
              <w:top w:val="nil"/>
              <w:left w:val="nil"/>
              <w:bottom w:val="single" w:sz="4" w:space="0" w:color="auto"/>
              <w:right w:val="single" w:sz="4" w:space="0" w:color="auto"/>
            </w:tcBorders>
            <w:shd w:val="clear" w:color="auto" w:fill="auto"/>
            <w:noWrap/>
            <w:vAlign w:val="center"/>
            <w:hideMark/>
          </w:tcPr>
          <w:p w14:paraId="583A41C1" w14:textId="77777777" w:rsidR="001249CE" w:rsidRPr="001249CE" w:rsidRDefault="001249CE" w:rsidP="001249CE">
            <w:pPr>
              <w:jc w:val="right"/>
              <w:rPr>
                <w:rFonts w:ascii="Arial Narrow" w:hAnsi="Arial Narrow" w:cs="Arial"/>
                <w:color w:val="000000"/>
                <w:sz w:val="18"/>
                <w:szCs w:val="18"/>
              </w:rPr>
            </w:pPr>
            <w:r w:rsidRPr="001249CE">
              <w:rPr>
                <w:rFonts w:ascii="Arial Narrow" w:hAnsi="Arial Narrow" w:cs="Arial"/>
                <w:color w:val="000000"/>
                <w:sz w:val="18"/>
                <w:szCs w:val="18"/>
              </w:rPr>
              <w:t>-10,9%</w:t>
            </w:r>
          </w:p>
        </w:tc>
      </w:tr>
      <w:tr w:rsidR="001249CE" w:rsidRPr="001249CE" w14:paraId="6F64F03E" w14:textId="77777777" w:rsidTr="00CD44F3">
        <w:trPr>
          <w:trHeight w:val="342"/>
        </w:trPr>
        <w:tc>
          <w:tcPr>
            <w:tcW w:w="382" w:type="dxa"/>
            <w:tcBorders>
              <w:top w:val="nil"/>
              <w:left w:val="single" w:sz="4" w:space="0" w:color="auto"/>
              <w:bottom w:val="single" w:sz="4" w:space="0" w:color="auto"/>
              <w:right w:val="single" w:sz="4" w:space="0" w:color="auto"/>
            </w:tcBorders>
            <w:shd w:val="clear" w:color="000000" w:fill="FFFFFF"/>
            <w:noWrap/>
            <w:vAlign w:val="center"/>
            <w:hideMark/>
          </w:tcPr>
          <w:p w14:paraId="725EC76F" w14:textId="77777777" w:rsidR="001249CE" w:rsidRPr="001249CE" w:rsidRDefault="001249CE" w:rsidP="001249CE">
            <w:pPr>
              <w:jc w:val="center"/>
              <w:rPr>
                <w:rFonts w:ascii="Arial Narrow" w:hAnsi="Arial Narrow" w:cs="Arial"/>
                <w:sz w:val="18"/>
                <w:szCs w:val="18"/>
              </w:rPr>
            </w:pPr>
            <w:r w:rsidRPr="001249CE">
              <w:rPr>
                <w:rFonts w:ascii="Arial Narrow" w:hAnsi="Arial Narrow" w:cs="Arial"/>
                <w:sz w:val="18"/>
                <w:szCs w:val="18"/>
              </w:rPr>
              <w:t>18</w:t>
            </w:r>
          </w:p>
        </w:tc>
        <w:tc>
          <w:tcPr>
            <w:tcW w:w="5120" w:type="dxa"/>
            <w:tcBorders>
              <w:top w:val="nil"/>
              <w:left w:val="nil"/>
              <w:bottom w:val="single" w:sz="4" w:space="0" w:color="auto"/>
              <w:right w:val="single" w:sz="4" w:space="0" w:color="auto"/>
            </w:tcBorders>
            <w:shd w:val="clear" w:color="000000" w:fill="FFFFFF"/>
            <w:vAlign w:val="center"/>
            <w:hideMark/>
          </w:tcPr>
          <w:p w14:paraId="3915CFDB" w14:textId="77777777" w:rsidR="001249CE" w:rsidRPr="001249CE" w:rsidRDefault="001249CE" w:rsidP="001249CE">
            <w:pPr>
              <w:rPr>
                <w:rFonts w:ascii="Arial Narrow" w:hAnsi="Arial Narrow" w:cs="Arial"/>
                <w:sz w:val="18"/>
                <w:szCs w:val="18"/>
              </w:rPr>
            </w:pPr>
            <w:r w:rsidRPr="001249CE">
              <w:rPr>
                <w:rFonts w:ascii="Arial Narrow" w:hAnsi="Arial Narrow" w:cs="Arial"/>
                <w:sz w:val="18"/>
                <w:szCs w:val="18"/>
              </w:rPr>
              <w:t>Какао и продукти от какао</w:t>
            </w:r>
          </w:p>
        </w:tc>
        <w:tc>
          <w:tcPr>
            <w:tcW w:w="920" w:type="dxa"/>
            <w:tcBorders>
              <w:top w:val="nil"/>
              <w:left w:val="nil"/>
              <w:bottom w:val="single" w:sz="4" w:space="0" w:color="auto"/>
              <w:right w:val="single" w:sz="4" w:space="0" w:color="auto"/>
            </w:tcBorders>
            <w:shd w:val="clear" w:color="auto" w:fill="auto"/>
            <w:noWrap/>
            <w:vAlign w:val="center"/>
            <w:hideMark/>
          </w:tcPr>
          <w:p w14:paraId="14D3D901" w14:textId="77777777" w:rsidR="001249CE" w:rsidRPr="001249CE" w:rsidRDefault="001249CE" w:rsidP="001249CE">
            <w:pPr>
              <w:jc w:val="right"/>
              <w:rPr>
                <w:rFonts w:ascii="Arial Narrow" w:hAnsi="Arial Narrow" w:cs="Arial"/>
                <w:sz w:val="18"/>
                <w:szCs w:val="18"/>
              </w:rPr>
            </w:pPr>
            <w:r w:rsidRPr="001249CE">
              <w:rPr>
                <w:rFonts w:ascii="Arial Narrow" w:hAnsi="Arial Narrow" w:cs="Arial"/>
                <w:sz w:val="18"/>
                <w:szCs w:val="18"/>
              </w:rPr>
              <w:t>419 635</w:t>
            </w:r>
          </w:p>
        </w:tc>
        <w:tc>
          <w:tcPr>
            <w:tcW w:w="811" w:type="dxa"/>
            <w:tcBorders>
              <w:top w:val="nil"/>
              <w:left w:val="nil"/>
              <w:bottom w:val="single" w:sz="4" w:space="0" w:color="auto"/>
              <w:right w:val="single" w:sz="4" w:space="0" w:color="auto"/>
            </w:tcBorders>
            <w:shd w:val="clear" w:color="000000" w:fill="FFFFFF"/>
            <w:vAlign w:val="center"/>
            <w:hideMark/>
          </w:tcPr>
          <w:p w14:paraId="1E38CA0A" w14:textId="77777777" w:rsidR="001249CE" w:rsidRPr="001249CE" w:rsidRDefault="001249CE" w:rsidP="001249CE">
            <w:pPr>
              <w:jc w:val="right"/>
              <w:rPr>
                <w:rFonts w:ascii="Arial Narrow" w:hAnsi="Arial Narrow" w:cs="Arial"/>
                <w:sz w:val="18"/>
                <w:szCs w:val="18"/>
              </w:rPr>
            </w:pPr>
            <w:r w:rsidRPr="001249CE">
              <w:rPr>
                <w:rFonts w:ascii="Arial Narrow" w:hAnsi="Arial Narrow" w:cs="Arial"/>
                <w:sz w:val="18"/>
                <w:szCs w:val="18"/>
              </w:rPr>
              <w:t>6,8%</w:t>
            </w:r>
          </w:p>
        </w:tc>
        <w:tc>
          <w:tcPr>
            <w:tcW w:w="920" w:type="dxa"/>
            <w:tcBorders>
              <w:top w:val="nil"/>
              <w:left w:val="nil"/>
              <w:bottom w:val="single" w:sz="4" w:space="0" w:color="auto"/>
              <w:right w:val="single" w:sz="4" w:space="0" w:color="auto"/>
            </w:tcBorders>
            <w:shd w:val="clear" w:color="auto" w:fill="auto"/>
            <w:noWrap/>
            <w:vAlign w:val="center"/>
            <w:hideMark/>
          </w:tcPr>
          <w:p w14:paraId="03ABB0D6" w14:textId="77777777" w:rsidR="001249CE" w:rsidRPr="001249CE" w:rsidRDefault="001249CE" w:rsidP="001249CE">
            <w:pPr>
              <w:jc w:val="right"/>
              <w:rPr>
                <w:rFonts w:ascii="Arial Narrow" w:hAnsi="Arial Narrow" w:cs="Arial"/>
                <w:sz w:val="18"/>
                <w:szCs w:val="18"/>
              </w:rPr>
            </w:pPr>
            <w:r w:rsidRPr="001249CE">
              <w:rPr>
                <w:rFonts w:ascii="Arial Narrow" w:hAnsi="Arial Narrow" w:cs="Arial"/>
                <w:sz w:val="18"/>
                <w:szCs w:val="18"/>
              </w:rPr>
              <w:t>568 458</w:t>
            </w:r>
          </w:p>
        </w:tc>
        <w:tc>
          <w:tcPr>
            <w:tcW w:w="811" w:type="dxa"/>
            <w:tcBorders>
              <w:top w:val="nil"/>
              <w:left w:val="nil"/>
              <w:bottom w:val="single" w:sz="4" w:space="0" w:color="auto"/>
              <w:right w:val="single" w:sz="4" w:space="0" w:color="auto"/>
            </w:tcBorders>
            <w:shd w:val="clear" w:color="000000" w:fill="FFFFFF"/>
            <w:vAlign w:val="center"/>
            <w:hideMark/>
          </w:tcPr>
          <w:p w14:paraId="6CABB4FE" w14:textId="77777777" w:rsidR="001249CE" w:rsidRPr="001249CE" w:rsidRDefault="001249CE" w:rsidP="001249CE">
            <w:pPr>
              <w:jc w:val="right"/>
              <w:rPr>
                <w:rFonts w:ascii="Arial Narrow" w:hAnsi="Arial Narrow" w:cs="Arial"/>
                <w:sz w:val="18"/>
                <w:szCs w:val="18"/>
              </w:rPr>
            </w:pPr>
            <w:r w:rsidRPr="001249CE">
              <w:rPr>
                <w:rFonts w:ascii="Arial Narrow" w:hAnsi="Arial Narrow" w:cs="Arial"/>
                <w:sz w:val="18"/>
                <w:szCs w:val="18"/>
              </w:rPr>
              <w:t>8,4%</w:t>
            </w:r>
          </w:p>
        </w:tc>
        <w:tc>
          <w:tcPr>
            <w:tcW w:w="812" w:type="dxa"/>
            <w:tcBorders>
              <w:top w:val="nil"/>
              <w:left w:val="nil"/>
              <w:bottom w:val="single" w:sz="4" w:space="0" w:color="auto"/>
              <w:right w:val="single" w:sz="4" w:space="0" w:color="auto"/>
            </w:tcBorders>
            <w:shd w:val="clear" w:color="auto" w:fill="auto"/>
            <w:noWrap/>
            <w:vAlign w:val="center"/>
            <w:hideMark/>
          </w:tcPr>
          <w:p w14:paraId="124B5768" w14:textId="77777777" w:rsidR="001249CE" w:rsidRPr="001249CE" w:rsidRDefault="001249CE" w:rsidP="001249CE">
            <w:pPr>
              <w:jc w:val="right"/>
              <w:rPr>
                <w:rFonts w:ascii="Arial Narrow" w:hAnsi="Arial Narrow" w:cs="Arial"/>
                <w:color w:val="000000"/>
                <w:sz w:val="18"/>
                <w:szCs w:val="18"/>
              </w:rPr>
            </w:pPr>
            <w:r w:rsidRPr="001249CE">
              <w:rPr>
                <w:rFonts w:ascii="Arial Narrow" w:hAnsi="Arial Narrow" w:cs="Arial"/>
                <w:color w:val="000000"/>
                <w:sz w:val="18"/>
                <w:szCs w:val="18"/>
              </w:rPr>
              <w:t>35,5%</w:t>
            </w:r>
          </w:p>
        </w:tc>
      </w:tr>
      <w:tr w:rsidR="001249CE" w:rsidRPr="001249CE" w14:paraId="264121E5" w14:textId="77777777" w:rsidTr="00CD44F3">
        <w:trPr>
          <w:trHeight w:val="600"/>
        </w:trPr>
        <w:tc>
          <w:tcPr>
            <w:tcW w:w="382" w:type="dxa"/>
            <w:tcBorders>
              <w:top w:val="nil"/>
              <w:left w:val="single" w:sz="4" w:space="0" w:color="auto"/>
              <w:bottom w:val="single" w:sz="4" w:space="0" w:color="auto"/>
              <w:right w:val="single" w:sz="4" w:space="0" w:color="auto"/>
            </w:tcBorders>
            <w:shd w:val="clear" w:color="000000" w:fill="FFFFFF"/>
            <w:noWrap/>
            <w:vAlign w:val="center"/>
            <w:hideMark/>
          </w:tcPr>
          <w:p w14:paraId="0E6174F6" w14:textId="77777777" w:rsidR="001249CE" w:rsidRPr="001249CE" w:rsidRDefault="001249CE" w:rsidP="001249CE">
            <w:pPr>
              <w:jc w:val="center"/>
              <w:rPr>
                <w:rFonts w:ascii="Arial Narrow" w:hAnsi="Arial Narrow" w:cs="Arial"/>
                <w:sz w:val="18"/>
                <w:szCs w:val="18"/>
              </w:rPr>
            </w:pPr>
            <w:r w:rsidRPr="001249CE">
              <w:rPr>
                <w:rFonts w:ascii="Arial Narrow" w:hAnsi="Arial Narrow" w:cs="Arial"/>
                <w:sz w:val="18"/>
                <w:szCs w:val="18"/>
              </w:rPr>
              <w:t>19</w:t>
            </w:r>
          </w:p>
        </w:tc>
        <w:tc>
          <w:tcPr>
            <w:tcW w:w="5120" w:type="dxa"/>
            <w:tcBorders>
              <w:top w:val="nil"/>
              <w:left w:val="nil"/>
              <w:bottom w:val="single" w:sz="4" w:space="0" w:color="auto"/>
              <w:right w:val="single" w:sz="4" w:space="0" w:color="auto"/>
            </w:tcBorders>
            <w:shd w:val="clear" w:color="000000" w:fill="FFFFFF"/>
            <w:vAlign w:val="center"/>
            <w:hideMark/>
          </w:tcPr>
          <w:p w14:paraId="4BD0AD5A" w14:textId="77777777" w:rsidR="001249CE" w:rsidRPr="001249CE" w:rsidRDefault="001249CE" w:rsidP="001249CE">
            <w:pPr>
              <w:rPr>
                <w:rFonts w:ascii="Arial Narrow" w:hAnsi="Arial Narrow" w:cs="Arial"/>
                <w:sz w:val="18"/>
                <w:szCs w:val="18"/>
              </w:rPr>
            </w:pPr>
            <w:r w:rsidRPr="001249CE">
              <w:rPr>
                <w:rFonts w:ascii="Arial Narrow" w:hAnsi="Arial Narrow" w:cs="Arial"/>
                <w:sz w:val="18"/>
                <w:szCs w:val="18"/>
              </w:rPr>
              <w:t>Хранителни продукти, приготвени на базата на житни растения, брашна, скорбяла, нишесте или мляко; тестени сладкарски изделия</w:t>
            </w:r>
          </w:p>
        </w:tc>
        <w:tc>
          <w:tcPr>
            <w:tcW w:w="920" w:type="dxa"/>
            <w:tcBorders>
              <w:top w:val="nil"/>
              <w:left w:val="nil"/>
              <w:bottom w:val="single" w:sz="4" w:space="0" w:color="auto"/>
              <w:right w:val="single" w:sz="4" w:space="0" w:color="auto"/>
            </w:tcBorders>
            <w:shd w:val="clear" w:color="000000" w:fill="FFFFFF"/>
            <w:noWrap/>
            <w:vAlign w:val="center"/>
            <w:hideMark/>
          </w:tcPr>
          <w:p w14:paraId="1F972113" w14:textId="77777777" w:rsidR="001249CE" w:rsidRPr="001249CE" w:rsidRDefault="001249CE" w:rsidP="001249CE">
            <w:pPr>
              <w:jc w:val="right"/>
              <w:rPr>
                <w:rFonts w:ascii="Arial Narrow" w:hAnsi="Arial Narrow" w:cs="Arial"/>
                <w:sz w:val="18"/>
                <w:szCs w:val="18"/>
              </w:rPr>
            </w:pPr>
            <w:r w:rsidRPr="001249CE">
              <w:rPr>
                <w:rFonts w:ascii="Arial Narrow" w:hAnsi="Arial Narrow" w:cs="Arial"/>
                <w:sz w:val="18"/>
                <w:szCs w:val="18"/>
              </w:rPr>
              <w:t>368 511</w:t>
            </w:r>
          </w:p>
        </w:tc>
        <w:tc>
          <w:tcPr>
            <w:tcW w:w="811" w:type="dxa"/>
            <w:tcBorders>
              <w:top w:val="nil"/>
              <w:left w:val="nil"/>
              <w:bottom w:val="single" w:sz="4" w:space="0" w:color="auto"/>
              <w:right w:val="single" w:sz="4" w:space="0" w:color="auto"/>
            </w:tcBorders>
            <w:shd w:val="clear" w:color="000000" w:fill="FFFFFF"/>
            <w:vAlign w:val="center"/>
            <w:hideMark/>
          </w:tcPr>
          <w:p w14:paraId="03DCA568" w14:textId="77777777" w:rsidR="001249CE" w:rsidRPr="001249CE" w:rsidRDefault="001249CE" w:rsidP="001249CE">
            <w:pPr>
              <w:jc w:val="right"/>
              <w:rPr>
                <w:rFonts w:ascii="Arial Narrow" w:hAnsi="Arial Narrow" w:cs="Arial"/>
                <w:sz w:val="18"/>
                <w:szCs w:val="18"/>
              </w:rPr>
            </w:pPr>
            <w:r w:rsidRPr="001249CE">
              <w:rPr>
                <w:rFonts w:ascii="Arial Narrow" w:hAnsi="Arial Narrow" w:cs="Arial"/>
                <w:sz w:val="18"/>
                <w:szCs w:val="18"/>
              </w:rPr>
              <w:t>5,9%</w:t>
            </w:r>
          </w:p>
        </w:tc>
        <w:tc>
          <w:tcPr>
            <w:tcW w:w="920" w:type="dxa"/>
            <w:tcBorders>
              <w:top w:val="nil"/>
              <w:left w:val="nil"/>
              <w:bottom w:val="single" w:sz="4" w:space="0" w:color="auto"/>
              <w:right w:val="single" w:sz="4" w:space="0" w:color="auto"/>
            </w:tcBorders>
            <w:shd w:val="clear" w:color="000000" w:fill="FFFFFF"/>
            <w:noWrap/>
            <w:vAlign w:val="center"/>
            <w:hideMark/>
          </w:tcPr>
          <w:p w14:paraId="42C22F8B" w14:textId="77777777" w:rsidR="001249CE" w:rsidRPr="001249CE" w:rsidRDefault="001249CE" w:rsidP="001249CE">
            <w:pPr>
              <w:jc w:val="right"/>
              <w:rPr>
                <w:rFonts w:ascii="Arial Narrow" w:hAnsi="Arial Narrow" w:cs="Arial"/>
                <w:sz w:val="18"/>
                <w:szCs w:val="18"/>
              </w:rPr>
            </w:pPr>
            <w:r w:rsidRPr="001249CE">
              <w:rPr>
                <w:rFonts w:ascii="Arial Narrow" w:hAnsi="Arial Narrow" w:cs="Arial"/>
                <w:sz w:val="18"/>
                <w:szCs w:val="18"/>
              </w:rPr>
              <w:t>412 472</w:t>
            </w:r>
          </w:p>
        </w:tc>
        <w:tc>
          <w:tcPr>
            <w:tcW w:w="811" w:type="dxa"/>
            <w:tcBorders>
              <w:top w:val="nil"/>
              <w:left w:val="nil"/>
              <w:bottom w:val="single" w:sz="4" w:space="0" w:color="auto"/>
              <w:right w:val="single" w:sz="4" w:space="0" w:color="auto"/>
            </w:tcBorders>
            <w:shd w:val="clear" w:color="000000" w:fill="FFFFFF"/>
            <w:vAlign w:val="center"/>
            <w:hideMark/>
          </w:tcPr>
          <w:p w14:paraId="2EA6BA25" w14:textId="77777777" w:rsidR="001249CE" w:rsidRPr="001249CE" w:rsidRDefault="001249CE" w:rsidP="001249CE">
            <w:pPr>
              <w:jc w:val="right"/>
              <w:rPr>
                <w:rFonts w:ascii="Arial Narrow" w:hAnsi="Arial Narrow" w:cs="Arial"/>
                <w:sz w:val="18"/>
                <w:szCs w:val="18"/>
              </w:rPr>
            </w:pPr>
            <w:r w:rsidRPr="001249CE">
              <w:rPr>
                <w:rFonts w:ascii="Arial Narrow" w:hAnsi="Arial Narrow" w:cs="Arial"/>
                <w:sz w:val="18"/>
                <w:szCs w:val="18"/>
              </w:rPr>
              <w:t>6,1%</w:t>
            </w:r>
          </w:p>
        </w:tc>
        <w:tc>
          <w:tcPr>
            <w:tcW w:w="812" w:type="dxa"/>
            <w:tcBorders>
              <w:top w:val="nil"/>
              <w:left w:val="nil"/>
              <w:bottom w:val="single" w:sz="4" w:space="0" w:color="auto"/>
              <w:right w:val="single" w:sz="4" w:space="0" w:color="auto"/>
            </w:tcBorders>
            <w:shd w:val="clear" w:color="auto" w:fill="auto"/>
            <w:noWrap/>
            <w:vAlign w:val="center"/>
            <w:hideMark/>
          </w:tcPr>
          <w:p w14:paraId="4D3FDE54" w14:textId="77777777" w:rsidR="001249CE" w:rsidRPr="001249CE" w:rsidRDefault="001249CE" w:rsidP="001249CE">
            <w:pPr>
              <w:jc w:val="right"/>
              <w:rPr>
                <w:rFonts w:ascii="Arial Narrow" w:hAnsi="Arial Narrow" w:cs="Arial"/>
                <w:color w:val="000000"/>
                <w:sz w:val="18"/>
                <w:szCs w:val="18"/>
              </w:rPr>
            </w:pPr>
            <w:r w:rsidRPr="001249CE">
              <w:rPr>
                <w:rFonts w:ascii="Arial Narrow" w:hAnsi="Arial Narrow" w:cs="Arial"/>
                <w:color w:val="000000"/>
                <w:sz w:val="18"/>
                <w:szCs w:val="18"/>
              </w:rPr>
              <w:t>11,9%</w:t>
            </w:r>
          </w:p>
        </w:tc>
      </w:tr>
      <w:tr w:rsidR="001249CE" w:rsidRPr="001249CE" w14:paraId="5A5EB877" w14:textId="77777777" w:rsidTr="00CD44F3">
        <w:trPr>
          <w:trHeight w:val="600"/>
        </w:trPr>
        <w:tc>
          <w:tcPr>
            <w:tcW w:w="382" w:type="dxa"/>
            <w:tcBorders>
              <w:top w:val="nil"/>
              <w:left w:val="single" w:sz="4" w:space="0" w:color="auto"/>
              <w:bottom w:val="single" w:sz="4" w:space="0" w:color="auto"/>
              <w:right w:val="single" w:sz="4" w:space="0" w:color="auto"/>
            </w:tcBorders>
            <w:shd w:val="clear" w:color="000000" w:fill="FFFFFF"/>
            <w:noWrap/>
            <w:vAlign w:val="center"/>
            <w:hideMark/>
          </w:tcPr>
          <w:p w14:paraId="2BBE1ED1" w14:textId="77777777" w:rsidR="001249CE" w:rsidRPr="001249CE" w:rsidRDefault="001249CE" w:rsidP="001249CE">
            <w:pPr>
              <w:jc w:val="center"/>
              <w:rPr>
                <w:rFonts w:ascii="Arial Narrow" w:hAnsi="Arial Narrow" w:cs="Arial"/>
                <w:sz w:val="18"/>
                <w:szCs w:val="18"/>
              </w:rPr>
            </w:pPr>
            <w:r w:rsidRPr="001249CE">
              <w:rPr>
                <w:rFonts w:ascii="Arial Narrow" w:hAnsi="Arial Narrow" w:cs="Arial"/>
                <w:sz w:val="18"/>
                <w:szCs w:val="18"/>
              </w:rPr>
              <w:lastRenderedPageBreak/>
              <w:t>20</w:t>
            </w:r>
          </w:p>
        </w:tc>
        <w:tc>
          <w:tcPr>
            <w:tcW w:w="5120" w:type="dxa"/>
            <w:tcBorders>
              <w:top w:val="nil"/>
              <w:left w:val="nil"/>
              <w:bottom w:val="single" w:sz="4" w:space="0" w:color="auto"/>
              <w:right w:val="single" w:sz="4" w:space="0" w:color="auto"/>
            </w:tcBorders>
            <w:shd w:val="clear" w:color="000000" w:fill="FFFFFF"/>
            <w:vAlign w:val="center"/>
            <w:hideMark/>
          </w:tcPr>
          <w:p w14:paraId="37B0FC7C" w14:textId="77777777" w:rsidR="001249CE" w:rsidRPr="001249CE" w:rsidRDefault="001249CE" w:rsidP="001249CE">
            <w:pPr>
              <w:rPr>
                <w:rFonts w:ascii="Arial Narrow" w:hAnsi="Arial Narrow" w:cs="Arial"/>
                <w:sz w:val="18"/>
                <w:szCs w:val="18"/>
              </w:rPr>
            </w:pPr>
            <w:r w:rsidRPr="001249CE">
              <w:rPr>
                <w:rFonts w:ascii="Arial Narrow" w:hAnsi="Arial Narrow" w:cs="Arial"/>
                <w:sz w:val="18"/>
                <w:szCs w:val="18"/>
              </w:rPr>
              <w:t>Хранителни продукти от зеленчуци, плодове или други части от         растения</w:t>
            </w:r>
          </w:p>
        </w:tc>
        <w:tc>
          <w:tcPr>
            <w:tcW w:w="920" w:type="dxa"/>
            <w:tcBorders>
              <w:top w:val="nil"/>
              <w:left w:val="nil"/>
              <w:bottom w:val="single" w:sz="4" w:space="0" w:color="auto"/>
              <w:right w:val="single" w:sz="4" w:space="0" w:color="auto"/>
            </w:tcBorders>
            <w:shd w:val="clear" w:color="auto" w:fill="auto"/>
            <w:noWrap/>
            <w:vAlign w:val="center"/>
            <w:hideMark/>
          </w:tcPr>
          <w:p w14:paraId="1BD3029B" w14:textId="77777777" w:rsidR="001249CE" w:rsidRPr="001249CE" w:rsidRDefault="001249CE" w:rsidP="001249CE">
            <w:pPr>
              <w:jc w:val="right"/>
              <w:rPr>
                <w:rFonts w:ascii="Arial Narrow" w:hAnsi="Arial Narrow" w:cs="Arial"/>
                <w:sz w:val="18"/>
                <w:szCs w:val="18"/>
              </w:rPr>
            </w:pPr>
            <w:r w:rsidRPr="001249CE">
              <w:rPr>
                <w:rFonts w:ascii="Arial Narrow" w:hAnsi="Arial Narrow" w:cs="Arial"/>
                <w:sz w:val="18"/>
                <w:szCs w:val="18"/>
              </w:rPr>
              <w:t>220 826</w:t>
            </w:r>
          </w:p>
        </w:tc>
        <w:tc>
          <w:tcPr>
            <w:tcW w:w="811" w:type="dxa"/>
            <w:tcBorders>
              <w:top w:val="nil"/>
              <w:left w:val="nil"/>
              <w:bottom w:val="single" w:sz="4" w:space="0" w:color="auto"/>
              <w:right w:val="single" w:sz="4" w:space="0" w:color="auto"/>
            </w:tcBorders>
            <w:shd w:val="clear" w:color="000000" w:fill="FFFFFF"/>
            <w:vAlign w:val="center"/>
            <w:hideMark/>
          </w:tcPr>
          <w:p w14:paraId="0917BAD2" w14:textId="77777777" w:rsidR="001249CE" w:rsidRPr="001249CE" w:rsidRDefault="001249CE" w:rsidP="001249CE">
            <w:pPr>
              <w:jc w:val="right"/>
              <w:rPr>
                <w:rFonts w:ascii="Arial Narrow" w:hAnsi="Arial Narrow" w:cs="Arial"/>
                <w:sz w:val="18"/>
                <w:szCs w:val="18"/>
              </w:rPr>
            </w:pPr>
            <w:r w:rsidRPr="001249CE">
              <w:rPr>
                <w:rFonts w:ascii="Arial Narrow" w:hAnsi="Arial Narrow" w:cs="Arial"/>
                <w:sz w:val="18"/>
                <w:szCs w:val="18"/>
              </w:rPr>
              <w:t>3,6%</w:t>
            </w:r>
          </w:p>
        </w:tc>
        <w:tc>
          <w:tcPr>
            <w:tcW w:w="920" w:type="dxa"/>
            <w:tcBorders>
              <w:top w:val="nil"/>
              <w:left w:val="nil"/>
              <w:bottom w:val="single" w:sz="4" w:space="0" w:color="auto"/>
              <w:right w:val="single" w:sz="4" w:space="0" w:color="auto"/>
            </w:tcBorders>
            <w:shd w:val="clear" w:color="auto" w:fill="auto"/>
            <w:noWrap/>
            <w:vAlign w:val="center"/>
            <w:hideMark/>
          </w:tcPr>
          <w:p w14:paraId="6E66BAD7" w14:textId="77777777" w:rsidR="001249CE" w:rsidRPr="001249CE" w:rsidRDefault="001249CE" w:rsidP="001249CE">
            <w:pPr>
              <w:jc w:val="right"/>
              <w:rPr>
                <w:rFonts w:ascii="Arial Narrow" w:hAnsi="Arial Narrow" w:cs="Arial"/>
                <w:sz w:val="18"/>
                <w:szCs w:val="18"/>
              </w:rPr>
            </w:pPr>
            <w:r w:rsidRPr="001249CE">
              <w:rPr>
                <w:rFonts w:ascii="Arial Narrow" w:hAnsi="Arial Narrow" w:cs="Arial"/>
                <w:sz w:val="18"/>
                <w:szCs w:val="18"/>
              </w:rPr>
              <w:t>239 446</w:t>
            </w:r>
          </w:p>
        </w:tc>
        <w:tc>
          <w:tcPr>
            <w:tcW w:w="811" w:type="dxa"/>
            <w:tcBorders>
              <w:top w:val="nil"/>
              <w:left w:val="nil"/>
              <w:bottom w:val="single" w:sz="4" w:space="0" w:color="auto"/>
              <w:right w:val="single" w:sz="4" w:space="0" w:color="auto"/>
            </w:tcBorders>
            <w:shd w:val="clear" w:color="000000" w:fill="FFFFFF"/>
            <w:vAlign w:val="center"/>
            <w:hideMark/>
          </w:tcPr>
          <w:p w14:paraId="761ABEEA" w14:textId="77777777" w:rsidR="001249CE" w:rsidRPr="001249CE" w:rsidRDefault="001249CE" w:rsidP="001249CE">
            <w:pPr>
              <w:jc w:val="right"/>
              <w:rPr>
                <w:rFonts w:ascii="Arial Narrow" w:hAnsi="Arial Narrow" w:cs="Arial"/>
                <w:sz w:val="18"/>
                <w:szCs w:val="18"/>
              </w:rPr>
            </w:pPr>
            <w:r w:rsidRPr="001249CE">
              <w:rPr>
                <w:rFonts w:ascii="Arial Narrow" w:hAnsi="Arial Narrow" w:cs="Arial"/>
                <w:sz w:val="18"/>
                <w:szCs w:val="18"/>
              </w:rPr>
              <w:t>3,6%</w:t>
            </w:r>
          </w:p>
        </w:tc>
        <w:tc>
          <w:tcPr>
            <w:tcW w:w="812" w:type="dxa"/>
            <w:tcBorders>
              <w:top w:val="nil"/>
              <w:left w:val="nil"/>
              <w:bottom w:val="single" w:sz="4" w:space="0" w:color="auto"/>
              <w:right w:val="single" w:sz="4" w:space="0" w:color="auto"/>
            </w:tcBorders>
            <w:shd w:val="clear" w:color="auto" w:fill="auto"/>
            <w:noWrap/>
            <w:vAlign w:val="center"/>
            <w:hideMark/>
          </w:tcPr>
          <w:p w14:paraId="7B1B1E1A" w14:textId="77777777" w:rsidR="001249CE" w:rsidRPr="001249CE" w:rsidRDefault="001249CE" w:rsidP="001249CE">
            <w:pPr>
              <w:jc w:val="right"/>
              <w:rPr>
                <w:rFonts w:ascii="Arial Narrow" w:hAnsi="Arial Narrow" w:cs="Arial"/>
                <w:color w:val="000000"/>
                <w:sz w:val="18"/>
                <w:szCs w:val="18"/>
              </w:rPr>
            </w:pPr>
            <w:r w:rsidRPr="001249CE">
              <w:rPr>
                <w:rFonts w:ascii="Arial Narrow" w:hAnsi="Arial Narrow" w:cs="Arial"/>
                <w:color w:val="000000"/>
                <w:sz w:val="18"/>
                <w:szCs w:val="18"/>
              </w:rPr>
              <w:t>8,4%</w:t>
            </w:r>
          </w:p>
        </w:tc>
      </w:tr>
      <w:tr w:rsidR="001249CE" w:rsidRPr="001249CE" w14:paraId="2BC1EEB9" w14:textId="77777777" w:rsidTr="00CD44F3">
        <w:trPr>
          <w:trHeight w:val="342"/>
        </w:trPr>
        <w:tc>
          <w:tcPr>
            <w:tcW w:w="382" w:type="dxa"/>
            <w:tcBorders>
              <w:top w:val="nil"/>
              <w:left w:val="single" w:sz="4" w:space="0" w:color="auto"/>
              <w:bottom w:val="single" w:sz="4" w:space="0" w:color="auto"/>
              <w:right w:val="single" w:sz="4" w:space="0" w:color="auto"/>
            </w:tcBorders>
            <w:shd w:val="clear" w:color="000000" w:fill="FFFFFF"/>
            <w:noWrap/>
            <w:vAlign w:val="center"/>
            <w:hideMark/>
          </w:tcPr>
          <w:p w14:paraId="7ED79228" w14:textId="77777777" w:rsidR="001249CE" w:rsidRPr="001249CE" w:rsidRDefault="001249CE" w:rsidP="001249CE">
            <w:pPr>
              <w:jc w:val="center"/>
              <w:rPr>
                <w:rFonts w:ascii="Arial Narrow" w:hAnsi="Arial Narrow" w:cs="Arial"/>
                <w:sz w:val="18"/>
                <w:szCs w:val="18"/>
              </w:rPr>
            </w:pPr>
            <w:r w:rsidRPr="001249CE">
              <w:rPr>
                <w:rFonts w:ascii="Arial Narrow" w:hAnsi="Arial Narrow" w:cs="Arial"/>
                <w:sz w:val="18"/>
                <w:szCs w:val="18"/>
              </w:rPr>
              <w:t>21</w:t>
            </w:r>
          </w:p>
        </w:tc>
        <w:tc>
          <w:tcPr>
            <w:tcW w:w="5120" w:type="dxa"/>
            <w:tcBorders>
              <w:top w:val="nil"/>
              <w:left w:val="nil"/>
              <w:bottom w:val="single" w:sz="4" w:space="0" w:color="auto"/>
              <w:right w:val="single" w:sz="4" w:space="0" w:color="auto"/>
            </w:tcBorders>
            <w:shd w:val="clear" w:color="000000" w:fill="FFFFFF"/>
            <w:vAlign w:val="center"/>
            <w:hideMark/>
          </w:tcPr>
          <w:p w14:paraId="2F0EFC12" w14:textId="77777777" w:rsidR="001249CE" w:rsidRPr="001249CE" w:rsidRDefault="001249CE" w:rsidP="001249CE">
            <w:pPr>
              <w:rPr>
                <w:rFonts w:ascii="Arial Narrow" w:hAnsi="Arial Narrow" w:cs="Arial"/>
                <w:sz w:val="18"/>
                <w:szCs w:val="18"/>
              </w:rPr>
            </w:pPr>
            <w:r w:rsidRPr="001249CE">
              <w:rPr>
                <w:rFonts w:ascii="Arial Narrow" w:hAnsi="Arial Narrow" w:cs="Arial"/>
                <w:sz w:val="18"/>
                <w:szCs w:val="18"/>
              </w:rPr>
              <w:t>Разни видове хранителни продукти</w:t>
            </w:r>
          </w:p>
        </w:tc>
        <w:tc>
          <w:tcPr>
            <w:tcW w:w="920" w:type="dxa"/>
            <w:tcBorders>
              <w:top w:val="nil"/>
              <w:left w:val="nil"/>
              <w:bottom w:val="single" w:sz="4" w:space="0" w:color="auto"/>
              <w:right w:val="single" w:sz="4" w:space="0" w:color="auto"/>
            </w:tcBorders>
            <w:shd w:val="clear" w:color="auto" w:fill="auto"/>
            <w:noWrap/>
            <w:vAlign w:val="center"/>
            <w:hideMark/>
          </w:tcPr>
          <w:p w14:paraId="6CE91BF9" w14:textId="77777777" w:rsidR="001249CE" w:rsidRPr="001249CE" w:rsidRDefault="001249CE" w:rsidP="001249CE">
            <w:pPr>
              <w:jc w:val="right"/>
              <w:rPr>
                <w:rFonts w:ascii="Arial Narrow" w:hAnsi="Arial Narrow" w:cs="Arial"/>
                <w:sz w:val="18"/>
                <w:szCs w:val="18"/>
              </w:rPr>
            </w:pPr>
            <w:r w:rsidRPr="001249CE">
              <w:rPr>
                <w:rFonts w:ascii="Arial Narrow" w:hAnsi="Arial Narrow" w:cs="Arial"/>
                <w:sz w:val="18"/>
                <w:szCs w:val="18"/>
              </w:rPr>
              <w:t>374 054</w:t>
            </w:r>
          </w:p>
        </w:tc>
        <w:tc>
          <w:tcPr>
            <w:tcW w:w="811" w:type="dxa"/>
            <w:tcBorders>
              <w:top w:val="nil"/>
              <w:left w:val="nil"/>
              <w:bottom w:val="single" w:sz="4" w:space="0" w:color="auto"/>
              <w:right w:val="single" w:sz="4" w:space="0" w:color="auto"/>
            </w:tcBorders>
            <w:shd w:val="clear" w:color="000000" w:fill="FFFFFF"/>
            <w:vAlign w:val="center"/>
            <w:hideMark/>
          </w:tcPr>
          <w:p w14:paraId="45E30CB4" w14:textId="77777777" w:rsidR="001249CE" w:rsidRPr="001249CE" w:rsidRDefault="001249CE" w:rsidP="001249CE">
            <w:pPr>
              <w:jc w:val="right"/>
              <w:rPr>
                <w:rFonts w:ascii="Arial Narrow" w:hAnsi="Arial Narrow" w:cs="Arial"/>
                <w:sz w:val="18"/>
                <w:szCs w:val="18"/>
              </w:rPr>
            </w:pPr>
            <w:r w:rsidRPr="001249CE">
              <w:rPr>
                <w:rFonts w:ascii="Arial Narrow" w:hAnsi="Arial Narrow" w:cs="Arial"/>
                <w:sz w:val="18"/>
                <w:szCs w:val="18"/>
              </w:rPr>
              <w:t>6,0%</w:t>
            </w:r>
          </w:p>
        </w:tc>
        <w:tc>
          <w:tcPr>
            <w:tcW w:w="920" w:type="dxa"/>
            <w:tcBorders>
              <w:top w:val="nil"/>
              <w:left w:val="nil"/>
              <w:bottom w:val="single" w:sz="4" w:space="0" w:color="auto"/>
              <w:right w:val="single" w:sz="4" w:space="0" w:color="auto"/>
            </w:tcBorders>
            <w:shd w:val="clear" w:color="auto" w:fill="auto"/>
            <w:noWrap/>
            <w:vAlign w:val="center"/>
            <w:hideMark/>
          </w:tcPr>
          <w:p w14:paraId="326B28F0" w14:textId="77777777" w:rsidR="001249CE" w:rsidRPr="001249CE" w:rsidRDefault="001249CE" w:rsidP="001249CE">
            <w:pPr>
              <w:jc w:val="right"/>
              <w:rPr>
                <w:rFonts w:ascii="Arial Narrow" w:hAnsi="Arial Narrow" w:cs="Arial"/>
                <w:sz w:val="18"/>
                <w:szCs w:val="18"/>
              </w:rPr>
            </w:pPr>
            <w:r w:rsidRPr="001249CE">
              <w:rPr>
                <w:rFonts w:ascii="Arial Narrow" w:hAnsi="Arial Narrow" w:cs="Arial"/>
                <w:sz w:val="18"/>
                <w:szCs w:val="18"/>
              </w:rPr>
              <w:t>381 677</w:t>
            </w:r>
          </w:p>
        </w:tc>
        <w:tc>
          <w:tcPr>
            <w:tcW w:w="811" w:type="dxa"/>
            <w:tcBorders>
              <w:top w:val="nil"/>
              <w:left w:val="nil"/>
              <w:bottom w:val="single" w:sz="4" w:space="0" w:color="auto"/>
              <w:right w:val="single" w:sz="4" w:space="0" w:color="auto"/>
            </w:tcBorders>
            <w:shd w:val="clear" w:color="000000" w:fill="FFFFFF"/>
            <w:vAlign w:val="center"/>
            <w:hideMark/>
          </w:tcPr>
          <w:p w14:paraId="540E46F8" w14:textId="77777777" w:rsidR="001249CE" w:rsidRPr="001249CE" w:rsidRDefault="001249CE" w:rsidP="001249CE">
            <w:pPr>
              <w:jc w:val="right"/>
              <w:rPr>
                <w:rFonts w:ascii="Arial Narrow" w:hAnsi="Arial Narrow" w:cs="Arial"/>
                <w:sz w:val="18"/>
                <w:szCs w:val="18"/>
              </w:rPr>
            </w:pPr>
            <w:r w:rsidRPr="001249CE">
              <w:rPr>
                <w:rFonts w:ascii="Arial Narrow" w:hAnsi="Arial Narrow" w:cs="Arial"/>
                <w:sz w:val="18"/>
                <w:szCs w:val="18"/>
              </w:rPr>
              <w:t>5,7%</w:t>
            </w:r>
          </w:p>
        </w:tc>
        <w:tc>
          <w:tcPr>
            <w:tcW w:w="812" w:type="dxa"/>
            <w:tcBorders>
              <w:top w:val="nil"/>
              <w:left w:val="nil"/>
              <w:bottom w:val="single" w:sz="4" w:space="0" w:color="auto"/>
              <w:right w:val="single" w:sz="4" w:space="0" w:color="auto"/>
            </w:tcBorders>
            <w:shd w:val="clear" w:color="auto" w:fill="auto"/>
            <w:noWrap/>
            <w:vAlign w:val="center"/>
            <w:hideMark/>
          </w:tcPr>
          <w:p w14:paraId="42C57262" w14:textId="77777777" w:rsidR="001249CE" w:rsidRPr="001249CE" w:rsidRDefault="001249CE" w:rsidP="001249CE">
            <w:pPr>
              <w:jc w:val="right"/>
              <w:rPr>
                <w:rFonts w:ascii="Arial Narrow" w:hAnsi="Arial Narrow" w:cs="Arial"/>
                <w:color w:val="000000"/>
                <w:sz w:val="18"/>
                <w:szCs w:val="18"/>
              </w:rPr>
            </w:pPr>
            <w:r w:rsidRPr="001249CE">
              <w:rPr>
                <w:rFonts w:ascii="Arial Narrow" w:hAnsi="Arial Narrow" w:cs="Arial"/>
                <w:color w:val="000000"/>
                <w:sz w:val="18"/>
                <w:szCs w:val="18"/>
              </w:rPr>
              <w:t>2,0%</w:t>
            </w:r>
          </w:p>
        </w:tc>
      </w:tr>
      <w:tr w:rsidR="001249CE" w:rsidRPr="001249CE" w14:paraId="591F131E" w14:textId="77777777" w:rsidTr="00CD44F3">
        <w:trPr>
          <w:trHeight w:val="342"/>
        </w:trPr>
        <w:tc>
          <w:tcPr>
            <w:tcW w:w="382" w:type="dxa"/>
            <w:tcBorders>
              <w:top w:val="nil"/>
              <w:left w:val="single" w:sz="4" w:space="0" w:color="auto"/>
              <w:bottom w:val="single" w:sz="4" w:space="0" w:color="auto"/>
              <w:right w:val="single" w:sz="4" w:space="0" w:color="auto"/>
            </w:tcBorders>
            <w:shd w:val="clear" w:color="000000" w:fill="FFFFFF"/>
            <w:noWrap/>
            <w:vAlign w:val="center"/>
            <w:hideMark/>
          </w:tcPr>
          <w:p w14:paraId="49EFEFDF" w14:textId="77777777" w:rsidR="001249CE" w:rsidRPr="001249CE" w:rsidRDefault="001249CE" w:rsidP="001249CE">
            <w:pPr>
              <w:jc w:val="center"/>
              <w:rPr>
                <w:rFonts w:ascii="Arial Narrow" w:hAnsi="Arial Narrow" w:cs="Arial"/>
                <w:sz w:val="18"/>
                <w:szCs w:val="18"/>
              </w:rPr>
            </w:pPr>
            <w:r w:rsidRPr="001249CE">
              <w:rPr>
                <w:rFonts w:ascii="Arial Narrow" w:hAnsi="Arial Narrow" w:cs="Arial"/>
                <w:sz w:val="18"/>
                <w:szCs w:val="18"/>
              </w:rPr>
              <w:t>22</w:t>
            </w:r>
          </w:p>
        </w:tc>
        <w:tc>
          <w:tcPr>
            <w:tcW w:w="5120" w:type="dxa"/>
            <w:tcBorders>
              <w:top w:val="nil"/>
              <w:left w:val="nil"/>
              <w:bottom w:val="single" w:sz="4" w:space="0" w:color="auto"/>
              <w:right w:val="single" w:sz="4" w:space="0" w:color="auto"/>
            </w:tcBorders>
            <w:shd w:val="clear" w:color="000000" w:fill="FFFFFF"/>
            <w:vAlign w:val="center"/>
            <w:hideMark/>
          </w:tcPr>
          <w:p w14:paraId="14D20E7D" w14:textId="77777777" w:rsidR="001249CE" w:rsidRPr="001249CE" w:rsidRDefault="001249CE" w:rsidP="001249CE">
            <w:pPr>
              <w:rPr>
                <w:rFonts w:ascii="Arial Narrow" w:hAnsi="Arial Narrow" w:cs="Arial"/>
                <w:sz w:val="18"/>
                <w:szCs w:val="18"/>
              </w:rPr>
            </w:pPr>
            <w:r w:rsidRPr="001249CE">
              <w:rPr>
                <w:rFonts w:ascii="Arial Narrow" w:hAnsi="Arial Narrow" w:cs="Arial"/>
                <w:sz w:val="18"/>
                <w:szCs w:val="18"/>
              </w:rPr>
              <w:t>Безалкохолни и алкохолни напитки и видове оцет</w:t>
            </w:r>
          </w:p>
        </w:tc>
        <w:tc>
          <w:tcPr>
            <w:tcW w:w="920" w:type="dxa"/>
            <w:tcBorders>
              <w:top w:val="nil"/>
              <w:left w:val="nil"/>
              <w:bottom w:val="single" w:sz="4" w:space="0" w:color="auto"/>
              <w:right w:val="single" w:sz="4" w:space="0" w:color="auto"/>
            </w:tcBorders>
            <w:shd w:val="clear" w:color="auto" w:fill="auto"/>
            <w:noWrap/>
            <w:vAlign w:val="center"/>
            <w:hideMark/>
          </w:tcPr>
          <w:p w14:paraId="59828808" w14:textId="77777777" w:rsidR="001249CE" w:rsidRPr="001249CE" w:rsidRDefault="001249CE" w:rsidP="001249CE">
            <w:pPr>
              <w:jc w:val="right"/>
              <w:rPr>
                <w:rFonts w:ascii="Arial Narrow" w:hAnsi="Arial Narrow" w:cs="Arial"/>
                <w:sz w:val="18"/>
                <w:szCs w:val="18"/>
              </w:rPr>
            </w:pPr>
            <w:r w:rsidRPr="001249CE">
              <w:rPr>
                <w:rFonts w:ascii="Arial Narrow" w:hAnsi="Arial Narrow" w:cs="Arial"/>
                <w:sz w:val="18"/>
                <w:szCs w:val="18"/>
              </w:rPr>
              <w:t>465 233</w:t>
            </w:r>
          </w:p>
        </w:tc>
        <w:tc>
          <w:tcPr>
            <w:tcW w:w="811" w:type="dxa"/>
            <w:tcBorders>
              <w:top w:val="nil"/>
              <w:left w:val="nil"/>
              <w:bottom w:val="single" w:sz="4" w:space="0" w:color="auto"/>
              <w:right w:val="single" w:sz="4" w:space="0" w:color="auto"/>
            </w:tcBorders>
            <w:shd w:val="clear" w:color="000000" w:fill="FFFFFF"/>
            <w:vAlign w:val="center"/>
            <w:hideMark/>
          </w:tcPr>
          <w:p w14:paraId="7FA984B4" w14:textId="77777777" w:rsidR="001249CE" w:rsidRPr="001249CE" w:rsidRDefault="001249CE" w:rsidP="001249CE">
            <w:pPr>
              <w:jc w:val="right"/>
              <w:rPr>
                <w:rFonts w:ascii="Arial Narrow" w:hAnsi="Arial Narrow" w:cs="Arial"/>
                <w:sz w:val="18"/>
                <w:szCs w:val="18"/>
              </w:rPr>
            </w:pPr>
            <w:r w:rsidRPr="001249CE">
              <w:rPr>
                <w:rFonts w:ascii="Arial Narrow" w:hAnsi="Arial Narrow" w:cs="Arial"/>
                <w:sz w:val="18"/>
                <w:szCs w:val="18"/>
              </w:rPr>
              <w:t>7,5%</w:t>
            </w:r>
          </w:p>
        </w:tc>
        <w:tc>
          <w:tcPr>
            <w:tcW w:w="920" w:type="dxa"/>
            <w:tcBorders>
              <w:top w:val="nil"/>
              <w:left w:val="nil"/>
              <w:bottom w:val="single" w:sz="4" w:space="0" w:color="auto"/>
              <w:right w:val="single" w:sz="4" w:space="0" w:color="auto"/>
            </w:tcBorders>
            <w:shd w:val="clear" w:color="auto" w:fill="auto"/>
            <w:noWrap/>
            <w:vAlign w:val="center"/>
            <w:hideMark/>
          </w:tcPr>
          <w:p w14:paraId="2554D984" w14:textId="77777777" w:rsidR="001249CE" w:rsidRPr="001249CE" w:rsidRDefault="001249CE" w:rsidP="001249CE">
            <w:pPr>
              <w:jc w:val="right"/>
              <w:rPr>
                <w:rFonts w:ascii="Arial Narrow" w:hAnsi="Arial Narrow" w:cs="Arial"/>
                <w:sz w:val="18"/>
                <w:szCs w:val="18"/>
              </w:rPr>
            </w:pPr>
            <w:r w:rsidRPr="001249CE">
              <w:rPr>
                <w:rFonts w:ascii="Arial Narrow" w:hAnsi="Arial Narrow" w:cs="Arial"/>
                <w:sz w:val="18"/>
                <w:szCs w:val="18"/>
              </w:rPr>
              <w:t>495 688</w:t>
            </w:r>
          </w:p>
        </w:tc>
        <w:tc>
          <w:tcPr>
            <w:tcW w:w="811" w:type="dxa"/>
            <w:tcBorders>
              <w:top w:val="nil"/>
              <w:left w:val="nil"/>
              <w:bottom w:val="single" w:sz="4" w:space="0" w:color="auto"/>
              <w:right w:val="single" w:sz="4" w:space="0" w:color="auto"/>
            </w:tcBorders>
            <w:shd w:val="clear" w:color="000000" w:fill="FFFFFF"/>
            <w:vAlign w:val="center"/>
            <w:hideMark/>
          </w:tcPr>
          <w:p w14:paraId="432954A0" w14:textId="77777777" w:rsidR="001249CE" w:rsidRPr="001249CE" w:rsidRDefault="001249CE" w:rsidP="001249CE">
            <w:pPr>
              <w:jc w:val="right"/>
              <w:rPr>
                <w:rFonts w:ascii="Arial Narrow" w:hAnsi="Arial Narrow" w:cs="Arial"/>
                <w:sz w:val="18"/>
                <w:szCs w:val="18"/>
              </w:rPr>
            </w:pPr>
            <w:r w:rsidRPr="001249CE">
              <w:rPr>
                <w:rFonts w:ascii="Arial Narrow" w:hAnsi="Arial Narrow" w:cs="Arial"/>
                <w:sz w:val="18"/>
                <w:szCs w:val="18"/>
              </w:rPr>
              <w:t>7,4%</w:t>
            </w:r>
          </w:p>
        </w:tc>
        <w:tc>
          <w:tcPr>
            <w:tcW w:w="812" w:type="dxa"/>
            <w:tcBorders>
              <w:top w:val="nil"/>
              <w:left w:val="nil"/>
              <w:bottom w:val="single" w:sz="4" w:space="0" w:color="auto"/>
              <w:right w:val="single" w:sz="4" w:space="0" w:color="auto"/>
            </w:tcBorders>
            <w:shd w:val="clear" w:color="auto" w:fill="auto"/>
            <w:noWrap/>
            <w:vAlign w:val="center"/>
            <w:hideMark/>
          </w:tcPr>
          <w:p w14:paraId="23A05665" w14:textId="77777777" w:rsidR="001249CE" w:rsidRPr="001249CE" w:rsidRDefault="001249CE" w:rsidP="001249CE">
            <w:pPr>
              <w:jc w:val="right"/>
              <w:rPr>
                <w:rFonts w:ascii="Arial Narrow" w:hAnsi="Arial Narrow" w:cs="Arial"/>
                <w:color w:val="000000"/>
                <w:sz w:val="18"/>
                <w:szCs w:val="18"/>
              </w:rPr>
            </w:pPr>
            <w:r w:rsidRPr="001249CE">
              <w:rPr>
                <w:rFonts w:ascii="Arial Narrow" w:hAnsi="Arial Narrow" w:cs="Arial"/>
                <w:color w:val="000000"/>
                <w:sz w:val="18"/>
                <w:szCs w:val="18"/>
              </w:rPr>
              <w:t>6,5%</w:t>
            </w:r>
          </w:p>
        </w:tc>
      </w:tr>
      <w:tr w:rsidR="001249CE" w:rsidRPr="001249CE" w14:paraId="16792A4D" w14:textId="77777777" w:rsidTr="00CD44F3">
        <w:trPr>
          <w:trHeight w:val="600"/>
        </w:trPr>
        <w:tc>
          <w:tcPr>
            <w:tcW w:w="382" w:type="dxa"/>
            <w:tcBorders>
              <w:top w:val="nil"/>
              <w:left w:val="single" w:sz="4" w:space="0" w:color="auto"/>
              <w:bottom w:val="single" w:sz="4" w:space="0" w:color="auto"/>
              <w:right w:val="single" w:sz="4" w:space="0" w:color="auto"/>
            </w:tcBorders>
            <w:shd w:val="clear" w:color="000000" w:fill="FFFFFF"/>
            <w:noWrap/>
            <w:vAlign w:val="center"/>
            <w:hideMark/>
          </w:tcPr>
          <w:p w14:paraId="182D491B" w14:textId="77777777" w:rsidR="001249CE" w:rsidRPr="001249CE" w:rsidRDefault="001249CE" w:rsidP="001249CE">
            <w:pPr>
              <w:jc w:val="center"/>
              <w:rPr>
                <w:rFonts w:ascii="Arial Narrow" w:hAnsi="Arial Narrow" w:cs="Arial"/>
                <w:sz w:val="18"/>
                <w:szCs w:val="18"/>
              </w:rPr>
            </w:pPr>
            <w:r w:rsidRPr="001249CE">
              <w:rPr>
                <w:rFonts w:ascii="Arial Narrow" w:hAnsi="Arial Narrow" w:cs="Arial"/>
                <w:sz w:val="18"/>
                <w:szCs w:val="18"/>
              </w:rPr>
              <w:t>23</w:t>
            </w:r>
          </w:p>
        </w:tc>
        <w:tc>
          <w:tcPr>
            <w:tcW w:w="5120" w:type="dxa"/>
            <w:tcBorders>
              <w:top w:val="nil"/>
              <w:left w:val="nil"/>
              <w:bottom w:val="single" w:sz="4" w:space="0" w:color="auto"/>
              <w:right w:val="single" w:sz="4" w:space="0" w:color="auto"/>
            </w:tcBorders>
            <w:shd w:val="clear" w:color="000000" w:fill="FFFFFF"/>
            <w:vAlign w:val="center"/>
            <w:hideMark/>
          </w:tcPr>
          <w:p w14:paraId="1C5A572B" w14:textId="77777777" w:rsidR="001249CE" w:rsidRPr="001249CE" w:rsidRDefault="001249CE" w:rsidP="001249CE">
            <w:pPr>
              <w:rPr>
                <w:rFonts w:ascii="Arial Narrow" w:hAnsi="Arial Narrow" w:cs="Arial"/>
                <w:sz w:val="18"/>
                <w:szCs w:val="18"/>
              </w:rPr>
            </w:pPr>
            <w:r w:rsidRPr="001249CE">
              <w:rPr>
                <w:rFonts w:ascii="Arial Narrow" w:hAnsi="Arial Narrow" w:cs="Arial"/>
                <w:sz w:val="18"/>
                <w:szCs w:val="18"/>
              </w:rPr>
              <w:t>Остатъци и отпадъци от хранителната промишленост; приготвени храни за животни</w:t>
            </w:r>
          </w:p>
        </w:tc>
        <w:tc>
          <w:tcPr>
            <w:tcW w:w="920" w:type="dxa"/>
            <w:tcBorders>
              <w:top w:val="nil"/>
              <w:left w:val="nil"/>
              <w:bottom w:val="single" w:sz="4" w:space="0" w:color="auto"/>
              <w:right w:val="single" w:sz="4" w:space="0" w:color="auto"/>
            </w:tcBorders>
            <w:shd w:val="clear" w:color="auto" w:fill="auto"/>
            <w:noWrap/>
            <w:vAlign w:val="center"/>
            <w:hideMark/>
          </w:tcPr>
          <w:p w14:paraId="50CED59A" w14:textId="77777777" w:rsidR="001249CE" w:rsidRPr="001249CE" w:rsidRDefault="001249CE" w:rsidP="001249CE">
            <w:pPr>
              <w:jc w:val="right"/>
              <w:rPr>
                <w:rFonts w:ascii="Arial Narrow" w:hAnsi="Arial Narrow" w:cs="Arial"/>
                <w:sz w:val="18"/>
                <w:szCs w:val="18"/>
              </w:rPr>
            </w:pPr>
            <w:r w:rsidRPr="001249CE">
              <w:rPr>
                <w:rFonts w:ascii="Arial Narrow" w:hAnsi="Arial Narrow" w:cs="Arial"/>
                <w:sz w:val="18"/>
                <w:szCs w:val="18"/>
              </w:rPr>
              <w:t>255 301</w:t>
            </w:r>
          </w:p>
        </w:tc>
        <w:tc>
          <w:tcPr>
            <w:tcW w:w="811" w:type="dxa"/>
            <w:tcBorders>
              <w:top w:val="nil"/>
              <w:left w:val="nil"/>
              <w:bottom w:val="single" w:sz="4" w:space="0" w:color="auto"/>
              <w:right w:val="single" w:sz="4" w:space="0" w:color="auto"/>
            </w:tcBorders>
            <w:shd w:val="clear" w:color="000000" w:fill="FFFFFF"/>
            <w:vAlign w:val="center"/>
            <w:hideMark/>
          </w:tcPr>
          <w:p w14:paraId="29E54BA4" w14:textId="77777777" w:rsidR="001249CE" w:rsidRPr="001249CE" w:rsidRDefault="001249CE" w:rsidP="001249CE">
            <w:pPr>
              <w:jc w:val="right"/>
              <w:rPr>
                <w:rFonts w:ascii="Arial Narrow" w:hAnsi="Arial Narrow" w:cs="Arial"/>
                <w:sz w:val="18"/>
                <w:szCs w:val="18"/>
              </w:rPr>
            </w:pPr>
            <w:r w:rsidRPr="001249CE">
              <w:rPr>
                <w:rFonts w:ascii="Arial Narrow" w:hAnsi="Arial Narrow" w:cs="Arial"/>
                <w:sz w:val="18"/>
                <w:szCs w:val="18"/>
              </w:rPr>
              <w:t>4,1%</w:t>
            </w:r>
          </w:p>
        </w:tc>
        <w:tc>
          <w:tcPr>
            <w:tcW w:w="920" w:type="dxa"/>
            <w:tcBorders>
              <w:top w:val="nil"/>
              <w:left w:val="nil"/>
              <w:bottom w:val="single" w:sz="4" w:space="0" w:color="auto"/>
              <w:right w:val="single" w:sz="4" w:space="0" w:color="auto"/>
            </w:tcBorders>
            <w:shd w:val="clear" w:color="auto" w:fill="auto"/>
            <w:noWrap/>
            <w:vAlign w:val="center"/>
            <w:hideMark/>
          </w:tcPr>
          <w:p w14:paraId="5C938C1F" w14:textId="77777777" w:rsidR="001249CE" w:rsidRPr="001249CE" w:rsidRDefault="001249CE" w:rsidP="001249CE">
            <w:pPr>
              <w:jc w:val="right"/>
              <w:rPr>
                <w:rFonts w:ascii="Arial Narrow" w:hAnsi="Arial Narrow" w:cs="Arial"/>
                <w:sz w:val="18"/>
                <w:szCs w:val="18"/>
              </w:rPr>
            </w:pPr>
            <w:r w:rsidRPr="001249CE">
              <w:rPr>
                <w:rFonts w:ascii="Arial Narrow" w:hAnsi="Arial Narrow" w:cs="Arial"/>
                <w:sz w:val="18"/>
                <w:szCs w:val="18"/>
              </w:rPr>
              <w:t>226 528</w:t>
            </w:r>
          </w:p>
        </w:tc>
        <w:tc>
          <w:tcPr>
            <w:tcW w:w="811" w:type="dxa"/>
            <w:tcBorders>
              <w:top w:val="nil"/>
              <w:left w:val="nil"/>
              <w:bottom w:val="single" w:sz="4" w:space="0" w:color="auto"/>
              <w:right w:val="single" w:sz="4" w:space="0" w:color="auto"/>
            </w:tcBorders>
            <w:shd w:val="clear" w:color="000000" w:fill="FFFFFF"/>
            <w:vAlign w:val="center"/>
            <w:hideMark/>
          </w:tcPr>
          <w:p w14:paraId="23736E49" w14:textId="77777777" w:rsidR="001249CE" w:rsidRPr="001249CE" w:rsidRDefault="001249CE" w:rsidP="001249CE">
            <w:pPr>
              <w:jc w:val="right"/>
              <w:rPr>
                <w:rFonts w:ascii="Arial Narrow" w:hAnsi="Arial Narrow" w:cs="Arial"/>
                <w:sz w:val="18"/>
                <w:szCs w:val="18"/>
              </w:rPr>
            </w:pPr>
            <w:r w:rsidRPr="001249CE">
              <w:rPr>
                <w:rFonts w:ascii="Arial Narrow" w:hAnsi="Arial Narrow" w:cs="Arial"/>
                <w:sz w:val="18"/>
                <w:szCs w:val="18"/>
              </w:rPr>
              <w:t>3,4%</w:t>
            </w:r>
          </w:p>
        </w:tc>
        <w:tc>
          <w:tcPr>
            <w:tcW w:w="812" w:type="dxa"/>
            <w:tcBorders>
              <w:top w:val="nil"/>
              <w:left w:val="nil"/>
              <w:bottom w:val="single" w:sz="4" w:space="0" w:color="auto"/>
              <w:right w:val="single" w:sz="4" w:space="0" w:color="auto"/>
            </w:tcBorders>
            <w:shd w:val="clear" w:color="auto" w:fill="auto"/>
            <w:noWrap/>
            <w:vAlign w:val="center"/>
            <w:hideMark/>
          </w:tcPr>
          <w:p w14:paraId="1E5AA503" w14:textId="77777777" w:rsidR="001249CE" w:rsidRPr="001249CE" w:rsidRDefault="001249CE" w:rsidP="001249CE">
            <w:pPr>
              <w:jc w:val="right"/>
              <w:rPr>
                <w:rFonts w:ascii="Arial Narrow" w:hAnsi="Arial Narrow" w:cs="Arial"/>
                <w:color w:val="000000"/>
                <w:sz w:val="18"/>
                <w:szCs w:val="18"/>
              </w:rPr>
            </w:pPr>
            <w:r w:rsidRPr="001249CE">
              <w:rPr>
                <w:rFonts w:ascii="Arial Narrow" w:hAnsi="Arial Narrow" w:cs="Arial"/>
                <w:color w:val="000000"/>
                <w:sz w:val="18"/>
                <w:szCs w:val="18"/>
              </w:rPr>
              <w:t>-11,3%</w:t>
            </w:r>
          </w:p>
        </w:tc>
      </w:tr>
      <w:tr w:rsidR="001249CE" w:rsidRPr="001249CE" w14:paraId="3104DA98" w14:textId="77777777" w:rsidTr="00CD44F3">
        <w:trPr>
          <w:trHeight w:val="342"/>
        </w:trPr>
        <w:tc>
          <w:tcPr>
            <w:tcW w:w="382" w:type="dxa"/>
            <w:tcBorders>
              <w:top w:val="nil"/>
              <w:left w:val="single" w:sz="4" w:space="0" w:color="auto"/>
              <w:bottom w:val="single" w:sz="4" w:space="0" w:color="auto"/>
              <w:right w:val="single" w:sz="4" w:space="0" w:color="auto"/>
            </w:tcBorders>
            <w:shd w:val="clear" w:color="000000" w:fill="FFFFFF"/>
            <w:noWrap/>
            <w:vAlign w:val="center"/>
            <w:hideMark/>
          </w:tcPr>
          <w:p w14:paraId="41588704" w14:textId="77777777" w:rsidR="001249CE" w:rsidRPr="001249CE" w:rsidRDefault="001249CE" w:rsidP="001249CE">
            <w:pPr>
              <w:jc w:val="center"/>
              <w:rPr>
                <w:rFonts w:ascii="Arial Narrow" w:hAnsi="Arial Narrow" w:cs="Arial"/>
                <w:sz w:val="18"/>
                <w:szCs w:val="18"/>
              </w:rPr>
            </w:pPr>
            <w:r w:rsidRPr="001249CE">
              <w:rPr>
                <w:rFonts w:ascii="Arial Narrow" w:hAnsi="Arial Narrow" w:cs="Arial"/>
                <w:sz w:val="18"/>
                <w:szCs w:val="18"/>
              </w:rPr>
              <w:t>24</w:t>
            </w:r>
          </w:p>
        </w:tc>
        <w:tc>
          <w:tcPr>
            <w:tcW w:w="5120" w:type="dxa"/>
            <w:tcBorders>
              <w:top w:val="nil"/>
              <w:left w:val="nil"/>
              <w:bottom w:val="single" w:sz="4" w:space="0" w:color="auto"/>
              <w:right w:val="single" w:sz="4" w:space="0" w:color="auto"/>
            </w:tcBorders>
            <w:shd w:val="clear" w:color="000000" w:fill="FFFFFF"/>
            <w:vAlign w:val="center"/>
            <w:hideMark/>
          </w:tcPr>
          <w:p w14:paraId="7C408362" w14:textId="77777777" w:rsidR="001249CE" w:rsidRPr="001249CE" w:rsidRDefault="001249CE" w:rsidP="001249CE">
            <w:pPr>
              <w:rPr>
                <w:rFonts w:ascii="Arial Narrow" w:hAnsi="Arial Narrow" w:cs="Arial"/>
                <w:sz w:val="18"/>
                <w:szCs w:val="18"/>
              </w:rPr>
            </w:pPr>
            <w:r w:rsidRPr="001249CE">
              <w:rPr>
                <w:rFonts w:ascii="Arial Narrow" w:hAnsi="Arial Narrow" w:cs="Arial"/>
                <w:sz w:val="18"/>
                <w:szCs w:val="18"/>
              </w:rPr>
              <w:t>Тютюн и обработени заместители на тютюна</w:t>
            </w:r>
          </w:p>
        </w:tc>
        <w:tc>
          <w:tcPr>
            <w:tcW w:w="920" w:type="dxa"/>
            <w:tcBorders>
              <w:top w:val="nil"/>
              <w:left w:val="nil"/>
              <w:bottom w:val="single" w:sz="4" w:space="0" w:color="auto"/>
              <w:right w:val="single" w:sz="4" w:space="0" w:color="auto"/>
            </w:tcBorders>
            <w:shd w:val="clear" w:color="000000" w:fill="FFFFFF"/>
            <w:noWrap/>
            <w:vAlign w:val="center"/>
            <w:hideMark/>
          </w:tcPr>
          <w:p w14:paraId="51FD4C1F" w14:textId="77777777" w:rsidR="001249CE" w:rsidRPr="001249CE" w:rsidRDefault="001249CE" w:rsidP="001249CE">
            <w:pPr>
              <w:jc w:val="right"/>
              <w:rPr>
                <w:rFonts w:ascii="Arial Narrow" w:hAnsi="Arial Narrow" w:cs="Arial"/>
                <w:sz w:val="18"/>
                <w:szCs w:val="18"/>
              </w:rPr>
            </w:pPr>
            <w:r w:rsidRPr="001249CE">
              <w:rPr>
                <w:rFonts w:ascii="Arial Narrow" w:hAnsi="Arial Narrow" w:cs="Arial"/>
                <w:sz w:val="18"/>
                <w:szCs w:val="18"/>
              </w:rPr>
              <w:t>424 197</w:t>
            </w:r>
          </w:p>
        </w:tc>
        <w:tc>
          <w:tcPr>
            <w:tcW w:w="811" w:type="dxa"/>
            <w:tcBorders>
              <w:top w:val="nil"/>
              <w:left w:val="nil"/>
              <w:bottom w:val="single" w:sz="4" w:space="0" w:color="auto"/>
              <w:right w:val="single" w:sz="4" w:space="0" w:color="auto"/>
            </w:tcBorders>
            <w:shd w:val="clear" w:color="000000" w:fill="FFFFFF"/>
            <w:vAlign w:val="center"/>
            <w:hideMark/>
          </w:tcPr>
          <w:p w14:paraId="7D5E3579" w14:textId="77777777" w:rsidR="001249CE" w:rsidRPr="001249CE" w:rsidRDefault="001249CE" w:rsidP="001249CE">
            <w:pPr>
              <w:jc w:val="right"/>
              <w:rPr>
                <w:rFonts w:ascii="Arial Narrow" w:hAnsi="Arial Narrow" w:cs="Arial"/>
                <w:sz w:val="18"/>
                <w:szCs w:val="18"/>
              </w:rPr>
            </w:pPr>
            <w:r w:rsidRPr="001249CE">
              <w:rPr>
                <w:rFonts w:ascii="Arial Narrow" w:hAnsi="Arial Narrow" w:cs="Arial"/>
                <w:sz w:val="18"/>
                <w:szCs w:val="18"/>
              </w:rPr>
              <w:t>6,8%</w:t>
            </w:r>
          </w:p>
        </w:tc>
        <w:tc>
          <w:tcPr>
            <w:tcW w:w="920" w:type="dxa"/>
            <w:tcBorders>
              <w:top w:val="nil"/>
              <w:left w:val="nil"/>
              <w:bottom w:val="single" w:sz="4" w:space="0" w:color="auto"/>
              <w:right w:val="single" w:sz="4" w:space="0" w:color="auto"/>
            </w:tcBorders>
            <w:shd w:val="clear" w:color="000000" w:fill="FFFFFF"/>
            <w:noWrap/>
            <w:vAlign w:val="center"/>
            <w:hideMark/>
          </w:tcPr>
          <w:p w14:paraId="22365899" w14:textId="77777777" w:rsidR="001249CE" w:rsidRPr="001249CE" w:rsidRDefault="001249CE" w:rsidP="001249CE">
            <w:pPr>
              <w:jc w:val="right"/>
              <w:rPr>
                <w:rFonts w:ascii="Arial Narrow" w:hAnsi="Arial Narrow" w:cs="Arial"/>
                <w:sz w:val="18"/>
                <w:szCs w:val="18"/>
              </w:rPr>
            </w:pPr>
            <w:r w:rsidRPr="001249CE">
              <w:rPr>
                <w:rFonts w:ascii="Arial Narrow" w:hAnsi="Arial Narrow" w:cs="Arial"/>
                <w:sz w:val="18"/>
                <w:szCs w:val="18"/>
              </w:rPr>
              <w:t>475 153</w:t>
            </w:r>
          </w:p>
        </w:tc>
        <w:tc>
          <w:tcPr>
            <w:tcW w:w="811" w:type="dxa"/>
            <w:tcBorders>
              <w:top w:val="nil"/>
              <w:left w:val="nil"/>
              <w:bottom w:val="single" w:sz="4" w:space="0" w:color="auto"/>
              <w:right w:val="single" w:sz="4" w:space="0" w:color="auto"/>
            </w:tcBorders>
            <w:shd w:val="clear" w:color="000000" w:fill="FFFFFF"/>
            <w:vAlign w:val="center"/>
            <w:hideMark/>
          </w:tcPr>
          <w:p w14:paraId="19F19FF4" w14:textId="77777777" w:rsidR="001249CE" w:rsidRPr="001249CE" w:rsidRDefault="001249CE" w:rsidP="001249CE">
            <w:pPr>
              <w:jc w:val="right"/>
              <w:rPr>
                <w:rFonts w:ascii="Arial Narrow" w:hAnsi="Arial Narrow" w:cs="Arial"/>
                <w:sz w:val="18"/>
                <w:szCs w:val="18"/>
              </w:rPr>
            </w:pPr>
            <w:r w:rsidRPr="001249CE">
              <w:rPr>
                <w:rFonts w:ascii="Arial Narrow" w:hAnsi="Arial Narrow" w:cs="Arial"/>
                <w:sz w:val="18"/>
                <w:szCs w:val="18"/>
              </w:rPr>
              <w:t>7,1%</w:t>
            </w:r>
          </w:p>
        </w:tc>
        <w:tc>
          <w:tcPr>
            <w:tcW w:w="812" w:type="dxa"/>
            <w:tcBorders>
              <w:top w:val="nil"/>
              <w:left w:val="nil"/>
              <w:bottom w:val="single" w:sz="4" w:space="0" w:color="auto"/>
              <w:right w:val="single" w:sz="4" w:space="0" w:color="auto"/>
            </w:tcBorders>
            <w:shd w:val="clear" w:color="auto" w:fill="auto"/>
            <w:noWrap/>
            <w:vAlign w:val="center"/>
            <w:hideMark/>
          </w:tcPr>
          <w:p w14:paraId="65921A39" w14:textId="77777777" w:rsidR="001249CE" w:rsidRPr="001249CE" w:rsidRDefault="001249CE" w:rsidP="001249CE">
            <w:pPr>
              <w:jc w:val="right"/>
              <w:rPr>
                <w:rFonts w:ascii="Arial Narrow" w:hAnsi="Arial Narrow" w:cs="Arial"/>
                <w:color w:val="000000"/>
                <w:sz w:val="18"/>
                <w:szCs w:val="18"/>
              </w:rPr>
            </w:pPr>
            <w:r w:rsidRPr="001249CE">
              <w:rPr>
                <w:rFonts w:ascii="Arial Narrow" w:hAnsi="Arial Narrow" w:cs="Arial"/>
                <w:color w:val="000000"/>
                <w:sz w:val="18"/>
                <w:szCs w:val="18"/>
              </w:rPr>
              <w:t>12,0%</w:t>
            </w:r>
          </w:p>
        </w:tc>
      </w:tr>
    </w:tbl>
    <w:p w14:paraId="2242C38D" w14:textId="77777777" w:rsidR="00275FE8" w:rsidRPr="00275FE8" w:rsidRDefault="00275FE8" w:rsidP="00275FE8">
      <w:pPr>
        <w:spacing w:after="240"/>
        <w:rPr>
          <w:rFonts w:ascii="Arial Narrow" w:eastAsia="Calibri" w:hAnsi="Arial Narrow" w:cs="Arial Narrow"/>
          <w:i/>
          <w:sz w:val="18"/>
          <w:szCs w:val="18"/>
          <w:lang w:val="bg-BG"/>
        </w:rPr>
      </w:pPr>
      <w:r w:rsidRPr="00275FE8">
        <w:rPr>
          <w:rFonts w:ascii="Arial Narrow" w:eastAsia="Calibri" w:hAnsi="Arial Narrow" w:cs="Arial Narrow"/>
          <w:i/>
          <w:sz w:val="18"/>
          <w:szCs w:val="18"/>
          <w:lang w:val="bg-BG"/>
        </w:rPr>
        <w:t>Източник:</w:t>
      </w:r>
      <w:r w:rsidRPr="00275FE8">
        <w:rPr>
          <w:rFonts w:ascii="Arial Narrow" w:eastAsia="Calibri" w:hAnsi="Arial Narrow" w:cs="Arial Narrow"/>
          <w:b/>
          <w:i/>
          <w:sz w:val="18"/>
          <w:szCs w:val="18"/>
          <w:lang w:val="bg-BG"/>
        </w:rPr>
        <w:t xml:space="preserve"> </w:t>
      </w:r>
      <w:r w:rsidRPr="00275FE8">
        <w:rPr>
          <w:rFonts w:ascii="Arial Narrow" w:eastAsia="Calibri" w:hAnsi="Arial Narrow" w:cs="Arial Narrow"/>
          <w:sz w:val="18"/>
          <w:szCs w:val="18"/>
          <w:lang w:val="bg-BG"/>
        </w:rPr>
        <w:t>НСИ и изчисления на МЗХ.</w:t>
      </w:r>
    </w:p>
    <w:p w14:paraId="7654B2E3" w14:textId="77777777" w:rsidR="00275FE8" w:rsidRPr="00275FE8" w:rsidRDefault="00275FE8" w:rsidP="00275FE8">
      <w:pPr>
        <w:spacing w:before="240" w:after="120"/>
        <w:ind w:firstLine="720"/>
        <w:jc w:val="both"/>
        <w:rPr>
          <w:rFonts w:ascii="Arial Narrow" w:hAnsi="Arial Narrow"/>
          <w:color w:val="000000"/>
          <w:lang w:val="bg-BG"/>
        </w:rPr>
      </w:pPr>
      <w:r w:rsidRPr="00275FE8">
        <w:rPr>
          <w:rFonts w:ascii="Arial Narrow" w:hAnsi="Arial Narrow"/>
          <w:color w:val="000000"/>
          <w:lang w:val="bg-BG"/>
        </w:rPr>
        <w:t>Сравнението с предходната 2023 г. сочи значителен ръст на вноса на слънчогледово масло (със 110,7 млн. евро или 48,2%), включващ основно сурово слънчогледово масло от Украйна. Сред останалите водещи продукти в аграрния внос, по-чувствително повишение на годишна база бележи стойността на доставките на кафе (+36,8%), какао (+33,6%), тютюневи изделия (+27,7%), сирена и извара (+17,2%), шоколадови изделия (+16,9%), слънчоглед (+16,3%) и хлебарски, тестени сладкарски или бисквитени продукти (+12,6%). Намалява вносът на захар (-14,6%) и свинско месо (-5,2%).</w:t>
      </w:r>
    </w:p>
    <w:p w14:paraId="2A5FB749" w14:textId="77777777" w:rsidR="00275FE8" w:rsidRPr="00275FE8" w:rsidRDefault="00275FE8" w:rsidP="00275FE8">
      <w:pPr>
        <w:keepNext/>
        <w:spacing w:after="120"/>
        <w:jc w:val="both"/>
        <w:rPr>
          <w:rFonts w:ascii="Arial Narrow" w:hAnsi="Arial Narrow"/>
          <w:b/>
          <w:bCs/>
          <w:lang w:val="bg-BG"/>
        </w:rPr>
      </w:pPr>
      <w:r w:rsidRPr="00275FE8">
        <w:rPr>
          <w:rFonts w:ascii="Arial Narrow" w:hAnsi="Arial Narrow" w:cs="Arial Narrow"/>
          <w:b/>
          <w:bCs/>
          <w:lang w:val="bg-BG"/>
        </w:rPr>
        <w:t xml:space="preserve">Таблица III.7. </w:t>
      </w:r>
      <w:r w:rsidRPr="00275FE8">
        <w:rPr>
          <w:rFonts w:ascii="Arial Narrow" w:hAnsi="Arial Narrow"/>
          <w:b/>
          <w:bCs/>
          <w:lang w:val="bg-BG"/>
        </w:rPr>
        <w:t>Водещи продукти в аграрния внос в България (хил. евро)</w:t>
      </w:r>
    </w:p>
    <w:tbl>
      <w:tblPr>
        <w:tblW w:w="9884" w:type="dxa"/>
        <w:tblInd w:w="93" w:type="dxa"/>
        <w:tblLook w:val="04A0" w:firstRow="1" w:lastRow="0" w:firstColumn="1" w:lastColumn="0" w:noHBand="0" w:noVBand="1"/>
      </w:tblPr>
      <w:tblGrid>
        <w:gridCol w:w="3152"/>
        <w:gridCol w:w="1181"/>
        <w:gridCol w:w="1063"/>
        <w:gridCol w:w="1181"/>
        <w:gridCol w:w="1063"/>
        <w:gridCol w:w="1181"/>
        <w:gridCol w:w="1063"/>
      </w:tblGrid>
      <w:tr w:rsidR="00275FE8" w:rsidRPr="00275FE8" w14:paraId="12A4DA2A" w14:textId="77777777" w:rsidTr="00275FE8">
        <w:trPr>
          <w:trHeight w:val="498"/>
          <w:tblHeader/>
        </w:trPr>
        <w:tc>
          <w:tcPr>
            <w:tcW w:w="326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35073912" w14:textId="77777777" w:rsidR="00275FE8" w:rsidRPr="00275FE8" w:rsidRDefault="00275FE8" w:rsidP="00275FE8">
            <w:pPr>
              <w:rPr>
                <w:rFonts w:ascii="Arial Narrow" w:hAnsi="Arial Narrow" w:cs="Arial"/>
                <w:b/>
                <w:bCs/>
                <w:sz w:val="20"/>
                <w:szCs w:val="20"/>
              </w:rPr>
            </w:pPr>
            <w:r w:rsidRPr="00275FE8">
              <w:rPr>
                <w:rFonts w:ascii="Arial Narrow" w:hAnsi="Arial Narrow" w:cs="Arial"/>
                <w:b/>
                <w:bCs/>
                <w:sz w:val="20"/>
                <w:szCs w:val="20"/>
              </w:rPr>
              <w:t> </w:t>
            </w:r>
          </w:p>
        </w:tc>
        <w:tc>
          <w:tcPr>
            <w:tcW w:w="2206" w:type="dxa"/>
            <w:gridSpan w:val="2"/>
            <w:tcBorders>
              <w:top w:val="single" w:sz="4" w:space="0" w:color="auto"/>
              <w:left w:val="nil"/>
              <w:bottom w:val="single" w:sz="4" w:space="0" w:color="auto"/>
              <w:right w:val="single" w:sz="4" w:space="0" w:color="auto"/>
            </w:tcBorders>
            <w:shd w:val="clear" w:color="000000" w:fill="FFFFFF"/>
            <w:vAlign w:val="center"/>
            <w:hideMark/>
          </w:tcPr>
          <w:p w14:paraId="7125414D" w14:textId="77777777" w:rsidR="00275FE8" w:rsidRPr="00275FE8" w:rsidRDefault="00275FE8" w:rsidP="00275FE8">
            <w:pPr>
              <w:jc w:val="center"/>
              <w:rPr>
                <w:rFonts w:ascii="Arial Narrow" w:hAnsi="Arial Narrow" w:cs="Arial"/>
                <w:b/>
                <w:bCs/>
                <w:sz w:val="20"/>
                <w:szCs w:val="20"/>
              </w:rPr>
            </w:pPr>
            <w:r w:rsidRPr="00275FE8">
              <w:rPr>
                <w:rFonts w:ascii="Arial Narrow" w:hAnsi="Arial Narrow" w:cs="Arial"/>
                <w:b/>
                <w:bCs/>
                <w:sz w:val="20"/>
                <w:szCs w:val="20"/>
              </w:rPr>
              <w:t>2023</w:t>
            </w:r>
          </w:p>
        </w:tc>
        <w:tc>
          <w:tcPr>
            <w:tcW w:w="2206" w:type="dxa"/>
            <w:gridSpan w:val="2"/>
            <w:tcBorders>
              <w:top w:val="single" w:sz="4" w:space="0" w:color="auto"/>
              <w:left w:val="nil"/>
              <w:bottom w:val="single" w:sz="4" w:space="0" w:color="auto"/>
              <w:right w:val="single" w:sz="4" w:space="0" w:color="auto"/>
            </w:tcBorders>
            <w:shd w:val="clear" w:color="000000" w:fill="FFFFFF"/>
            <w:vAlign w:val="center"/>
            <w:hideMark/>
          </w:tcPr>
          <w:p w14:paraId="3D47180A" w14:textId="77777777" w:rsidR="00275FE8" w:rsidRPr="00275FE8" w:rsidRDefault="00275FE8" w:rsidP="00275FE8">
            <w:pPr>
              <w:jc w:val="center"/>
              <w:rPr>
                <w:rFonts w:ascii="Arial Narrow" w:hAnsi="Arial Narrow" w:cs="Arial"/>
                <w:b/>
                <w:bCs/>
                <w:sz w:val="20"/>
                <w:szCs w:val="20"/>
              </w:rPr>
            </w:pPr>
            <w:r w:rsidRPr="00275FE8">
              <w:rPr>
                <w:rFonts w:ascii="Arial Narrow" w:hAnsi="Arial Narrow" w:cs="Arial"/>
                <w:b/>
                <w:bCs/>
                <w:sz w:val="20"/>
                <w:szCs w:val="20"/>
              </w:rPr>
              <w:t>2024</w:t>
            </w:r>
          </w:p>
        </w:tc>
        <w:tc>
          <w:tcPr>
            <w:tcW w:w="2206" w:type="dxa"/>
            <w:gridSpan w:val="2"/>
            <w:tcBorders>
              <w:top w:val="single" w:sz="4" w:space="0" w:color="auto"/>
              <w:left w:val="nil"/>
              <w:bottom w:val="single" w:sz="4" w:space="0" w:color="auto"/>
              <w:right w:val="single" w:sz="4" w:space="0" w:color="auto"/>
            </w:tcBorders>
            <w:shd w:val="clear" w:color="000000" w:fill="FFFFFF"/>
            <w:vAlign w:val="center"/>
            <w:hideMark/>
          </w:tcPr>
          <w:p w14:paraId="6B721537" w14:textId="77777777" w:rsidR="00275FE8" w:rsidRPr="00275FE8" w:rsidRDefault="00275FE8" w:rsidP="00275FE8">
            <w:pPr>
              <w:jc w:val="center"/>
              <w:rPr>
                <w:rFonts w:ascii="Arial Narrow" w:hAnsi="Arial Narrow" w:cs="Arial"/>
                <w:b/>
                <w:bCs/>
                <w:sz w:val="20"/>
                <w:szCs w:val="20"/>
              </w:rPr>
            </w:pPr>
            <w:r w:rsidRPr="00275FE8">
              <w:rPr>
                <w:rFonts w:ascii="Arial Narrow" w:hAnsi="Arial Narrow" w:cs="Arial"/>
                <w:b/>
                <w:bCs/>
                <w:sz w:val="20"/>
                <w:szCs w:val="20"/>
              </w:rPr>
              <w:t>Изм. 2024/2023</w:t>
            </w:r>
          </w:p>
        </w:tc>
      </w:tr>
      <w:tr w:rsidR="00275FE8" w:rsidRPr="00275FE8" w14:paraId="2C11A488" w14:textId="77777777" w:rsidTr="00275FE8">
        <w:trPr>
          <w:trHeight w:val="899"/>
          <w:tblHeader/>
        </w:trPr>
        <w:tc>
          <w:tcPr>
            <w:tcW w:w="3266" w:type="dxa"/>
            <w:vMerge/>
            <w:tcBorders>
              <w:top w:val="single" w:sz="4" w:space="0" w:color="auto"/>
              <w:left w:val="single" w:sz="4" w:space="0" w:color="auto"/>
              <w:bottom w:val="single" w:sz="4" w:space="0" w:color="auto"/>
              <w:right w:val="single" w:sz="4" w:space="0" w:color="auto"/>
            </w:tcBorders>
            <w:vAlign w:val="center"/>
            <w:hideMark/>
          </w:tcPr>
          <w:p w14:paraId="59524869" w14:textId="77777777" w:rsidR="00275FE8" w:rsidRPr="00275FE8" w:rsidRDefault="00275FE8" w:rsidP="00275FE8">
            <w:pPr>
              <w:rPr>
                <w:rFonts w:ascii="Arial Narrow" w:hAnsi="Arial Narrow" w:cs="Arial"/>
                <w:b/>
                <w:bCs/>
                <w:sz w:val="20"/>
                <w:szCs w:val="20"/>
              </w:rPr>
            </w:pPr>
          </w:p>
        </w:tc>
        <w:tc>
          <w:tcPr>
            <w:tcW w:w="1137" w:type="dxa"/>
            <w:tcBorders>
              <w:top w:val="nil"/>
              <w:left w:val="nil"/>
              <w:bottom w:val="single" w:sz="4" w:space="0" w:color="auto"/>
              <w:right w:val="single" w:sz="4" w:space="0" w:color="auto"/>
            </w:tcBorders>
            <w:shd w:val="clear" w:color="000000" w:fill="FFFFFF"/>
            <w:vAlign w:val="center"/>
            <w:hideMark/>
          </w:tcPr>
          <w:p w14:paraId="44B0C51A" w14:textId="77777777" w:rsidR="00275FE8" w:rsidRPr="00275FE8" w:rsidRDefault="00275FE8" w:rsidP="00275FE8">
            <w:pPr>
              <w:jc w:val="center"/>
              <w:rPr>
                <w:rFonts w:ascii="Arial Narrow" w:hAnsi="Arial Narrow" w:cs="Arial"/>
                <w:b/>
                <w:bCs/>
                <w:color w:val="000000"/>
                <w:sz w:val="20"/>
                <w:szCs w:val="20"/>
              </w:rPr>
            </w:pPr>
            <w:r w:rsidRPr="00275FE8">
              <w:rPr>
                <w:rFonts w:ascii="Arial Narrow" w:hAnsi="Arial Narrow" w:cs="Arial"/>
                <w:b/>
                <w:bCs/>
                <w:color w:val="000000"/>
                <w:sz w:val="20"/>
                <w:szCs w:val="20"/>
              </w:rPr>
              <w:t>Количество (тона)</w:t>
            </w:r>
          </w:p>
        </w:tc>
        <w:tc>
          <w:tcPr>
            <w:tcW w:w="1068" w:type="dxa"/>
            <w:tcBorders>
              <w:top w:val="nil"/>
              <w:left w:val="nil"/>
              <w:bottom w:val="single" w:sz="4" w:space="0" w:color="auto"/>
              <w:right w:val="single" w:sz="4" w:space="0" w:color="auto"/>
            </w:tcBorders>
            <w:shd w:val="clear" w:color="000000" w:fill="FFFFFF"/>
            <w:vAlign w:val="center"/>
            <w:hideMark/>
          </w:tcPr>
          <w:p w14:paraId="4C8651EF" w14:textId="77777777" w:rsidR="00275FE8" w:rsidRPr="00275FE8" w:rsidRDefault="00275FE8" w:rsidP="00275FE8">
            <w:pPr>
              <w:jc w:val="center"/>
              <w:rPr>
                <w:rFonts w:ascii="Arial Narrow" w:hAnsi="Arial Narrow" w:cs="Arial"/>
                <w:b/>
                <w:bCs/>
                <w:color w:val="000000"/>
                <w:sz w:val="20"/>
                <w:szCs w:val="20"/>
              </w:rPr>
            </w:pPr>
            <w:r w:rsidRPr="00275FE8">
              <w:rPr>
                <w:rFonts w:ascii="Arial Narrow" w:hAnsi="Arial Narrow" w:cs="Arial"/>
                <w:b/>
                <w:bCs/>
                <w:color w:val="000000"/>
                <w:sz w:val="20"/>
                <w:szCs w:val="20"/>
              </w:rPr>
              <w:t>Стойност (хил. евро)</w:t>
            </w:r>
          </w:p>
        </w:tc>
        <w:tc>
          <w:tcPr>
            <w:tcW w:w="1137" w:type="dxa"/>
            <w:tcBorders>
              <w:top w:val="nil"/>
              <w:left w:val="nil"/>
              <w:bottom w:val="single" w:sz="4" w:space="0" w:color="auto"/>
              <w:right w:val="single" w:sz="4" w:space="0" w:color="auto"/>
            </w:tcBorders>
            <w:shd w:val="clear" w:color="000000" w:fill="FFFFFF"/>
            <w:vAlign w:val="center"/>
            <w:hideMark/>
          </w:tcPr>
          <w:p w14:paraId="58020F58" w14:textId="77777777" w:rsidR="00275FE8" w:rsidRPr="00275FE8" w:rsidRDefault="00275FE8" w:rsidP="00275FE8">
            <w:pPr>
              <w:jc w:val="center"/>
              <w:rPr>
                <w:rFonts w:ascii="Arial Narrow" w:hAnsi="Arial Narrow" w:cs="Arial"/>
                <w:b/>
                <w:bCs/>
                <w:color w:val="000000"/>
                <w:sz w:val="20"/>
                <w:szCs w:val="20"/>
              </w:rPr>
            </w:pPr>
            <w:r w:rsidRPr="00275FE8">
              <w:rPr>
                <w:rFonts w:ascii="Arial Narrow" w:hAnsi="Arial Narrow" w:cs="Arial"/>
                <w:b/>
                <w:bCs/>
                <w:color w:val="000000"/>
                <w:sz w:val="20"/>
                <w:szCs w:val="20"/>
              </w:rPr>
              <w:t>Количество (тона)</w:t>
            </w:r>
          </w:p>
        </w:tc>
        <w:tc>
          <w:tcPr>
            <w:tcW w:w="1068" w:type="dxa"/>
            <w:tcBorders>
              <w:top w:val="nil"/>
              <w:left w:val="nil"/>
              <w:bottom w:val="single" w:sz="4" w:space="0" w:color="auto"/>
              <w:right w:val="single" w:sz="4" w:space="0" w:color="auto"/>
            </w:tcBorders>
            <w:shd w:val="clear" w:color="000000" w:fill="FFFFFF"/>
            <w:vAlign w:val="center"/>
            <w:hideMark/>
          </w:tcPr>
          <w:p w14:paraId="621394C8" w14:textId="77777777" w:rsidR="00275FE8" w:rsidRPr="00275FE8" w:rsidRDefault="00275FE8" w:rsidP="00275FE8">
            <w:pPr>
              <w:jc w:val="center"/>
              <w:rPr>
                <w:rFonts w:ascii="Arial Narrow" w:hAnsi="Arial Narrow" w:cs="Arial"/>
                <w:b/>
                <w:bCs/>
                <w:color w:val="000000"/>
                <w:sz w:val="20"/>
                <w:szCs w:val="20"/>
              </w:rPr>
            </w:pPr>
            <w:r w:rsidRPr="00275FE8">
              <w:rPr>
                <w:rFonts w:ascii="Arial Narrow" w:hAnsi="Arial Narrow" w:cs="Arial"/>
                <w:b/>
                <w:bCs/>
                <w:color w:val="000000"/>
                <w:sz w:val="20"/>
                <w:szCs w:val="20"/>
              </w:rPr>
              <w:t>Стойност (хил. евро)</w:t>
            </w:r>
          </w:p>
        </w:tc>
        <w:tc>
          <w:tcPr>
            <w:tcW w:w="1137" w:type="dxa"/>
            <w:tcBorders>
              <w:top w:val="nil"/>
              <w:left w:val="nil"/>
              <w:bottom w:val="single" w:sz="4" w:space="0" w:color="auto"/>
              <w:right w:val="single" w:sz="4" w:space="0" w:color="auto"/>
            </w:tcBorders>
            <w:shd w:val="clear" w:color="000000" w:fill="FFFFFF"/>
            <w:vAlign w:val="center"/>
            <w:hideMark/>
          </w:tcPr>
          <w:p w14:paraId="243FB97D" w14:textId="77777777" w:rsidR="00275FE8" w:rsidRPr="00275FE8" w:rsidRDefault="00275FE8" w:rsidP="00275FE8">
            <w:pPr>
              <w:jc w:val="center"/>
              <w:rPr>
                <w:rFonts w:ascii="Arial Narrow" w:hAnsi="Arial Narrow" w:cs="Arial"/>
                <w:b/>
                <w:bCs/>
                <w:color w:val="000000"/>
                <w:sz w:val="20"/>
                <w:szCs w:val="20"/>
              </w:rPr>
            </w:pPr>
            <w:r w:rsidRPr="00275FE8">
              <w:rPr>
                <w:rFonts w:ascii="Arial Narrow" w:hAnsi="Arial Narrow" w:cs="Arial"/>
                <w:b/>
                <w:bCs/>
                <w:color w:val="000000"/>
                <w:sz w:val="20"/>
                <w:szCs w:val="20"/>
              </w:rPr>
              <w:t xml:space="preserve">Количество </w:t>
            </w:r>
          </w:p>
        </w:tc>
        <w:tc>
          <w:tcPr>
            <w:tcW w:w="1068" w:type="dxa"/>
            <w:tcBorders>
              <w:top w:val="nil"/>
              <w:left w:val="nil"/>
              <w:bottom w:val="single" w:sz="4" w:space="0" w:color="auto"/>
              <w:right w:val="single" w:sz="4" w:space="0" w:color="auto"/>
            </w:tcBorders>
            <w:shd w:val="clear" w:color="000000" w:fill="FFFFFF"/>
            <w:vAlign w:val="center"/>
            <w:hideMark/>
          </w:tcPr>
          <w:p w14:paraId="3BBBBB6A" w14:textId="77777777" w:rsidR="00275FE8" w:rsidRPr="00275FE8" w:rsidRDefault="00275FE8" w:rsidP="00275FE8">
            <w:pPr>
              <w:jc w:val="center"/>
              <w:rPr>
                <w:rFonts w:ascii="Arial Narrow" w:hAnsi="Arial Narrow" w:cs="Arial"/>
                <w:b/>
                <w:bCs/>
                <w:color w:val="000000"/>
                <w:sz w:val="20"/>
                <w:szCs w:val="20"/>
              </w:rPr>
            </w:pPr>
            <w:r w:rsidRPr="00275FE8">
              <w:rPr>
                <w:rFonts w:ascii="Arial Narrow" w:hAnsi="Arial Narrow" w:cs="Arial"/>
                <w:b/>
                <w:bCs/>
                <w:color w:val="000000"/>
                <w:sz w:val="20"/>
                <w:szCs w:val="20"/>
              </w:rPr>
              <w:t>Стойност</w:t>
            </w:r>
          </w:p>
        </w:tc>
      </w:tr>
      <w:tr w:rsidR="00275FE8" w:rsidRPr="00275FE8" w14:paraId="3DABAF89" w14:textId="77777777" w:rsidTr="00275FE8">
        <w:trPr>
          <w:trHeight w:val="254"/>
        </w:trPr>
        <w:tc>
          <w:tcPr>
            <w:tcW w:w="3266" w:type="dxa"/>
            <w:tcBorders>
              <w:top w:val="nil"/>
              <w:left w:val="single" w:sz="4" w:space="0" w:color="auto"/>
              <w:bottom w:val="single" w:sz="4" w:space="0" w:color="auto"/>
              <w:right w:val="single" w:sz="4" w:space="0" w:color="auto"/>
            </w:tcBorders>
            <w:shd w:val="clear" w:color="000000" w:fill="FFFFFF"/>
            <w:vAlign w:val="center"/>
            <w:hideMark/>
          </w:tcPr>
          <w:p w14:paraId="3BE1B2C6" w14:textId="77777777" w:rsidR="00275FE8" w:rsidRPr="00275FE8" w:rsidRDefault="00275FE8" w:rsidP="00275FE8">
            <w:pPr>
              <w:rPr>
                <w:rFonts w:ascii="Arial Narrow" w:hAnsi="Arial Narrow" w:cs="Arial"/>
                <w:sz w:val="20"/>
                <w:szCs w:val="20"/>
              </w:rPr>
            </w:pPr>
            <w:r w:rsidRPr="00275FE8">
              <w:rPr>
                <w:rFonts w:ascii="Arial Narrow" w:hAnsi="Arial Narrow" w:cs="Arial"/>
                <w:sz w:val="20"/>
                <w:szCs w:val="20"/>
              </w:rPr>
              <w:t>Семена от слънчоглед, дори натрошени</w:t>
            </w:r>
          </w:p>
        </w:tc>
        <w:tc>
          <w:tcPr>
            <w:tcW w:w="1137" w:type="dxa"/>
            <w:tcBorders>
              <w:top w:val="nil"/>
              <w:left w:val="nil"/>
              <w:bottom w:val="single" w:sz="4" w:space="0" w:color="auto"/>
              <w:right w:val="single" w:sz="4" w:space="0" w:color="auto"/>
            </w:tcBorders>
            <w:shd w:val="clear" w:color="000000" w:fill="FFFFFF"/>
            <w:vAlign w:val="center"/>
            <w:hideMark/>
          </w:tcPr>
          <w:p w14:paraId="5C9426B3" w14:textId="77777777" w:rsidR="00275FE8" w:rsidRPr="00275FE8" w:rsidRDefault="00275FE8" w:rsidP="00275FE8">
            <w:pPr>
              <w:jc w:val="right"/>
              <w:rPr>
                <w:rFonts w:ascii="Arial Narrow" w:hAnsi="Arial Narrow" w:cs="Arial"/>
                <w:sz w:val="20"/>
                <w:szCs w:val="20"/>
              </w:rPr>
            </w:pPr>
            <w:r w:rsidRPr="00275FE8">
              <w:rPr>
                <w:rFonts w:ascii="Arial Narrow" w:hAnsi="Arial Narrow" w:cs="Arial"/>
                <w:sz w:val="20"/>
                <w:szCs w:val="20"/>
              </w:rPr>
              <w:t>656 768</w:t>
            </w:r>
          </w:p>
        </w:tc>
        <w:tc>
          <w:tcPr>
            <w:tcW w:w="1068" w:type="dxa"/>
            <w:tcBorders>
              <w:top w:val="nil"/>
              <w:left w:val="nil"/>
              <w:bottom w:val="single" w:sz="4" w:space="0" w:color="auto"/>
              <w:right w:val="single" w:sz="4" w:space="0" w:color="auto"/>
            </w:tcBorders>
            <w:shd w:val="clear" w:color="000000" w:fill="FFFFFF"/>
            <w:vAlign w:val="center"/>
            <w:hideMark/>
          </w:tcPr>
          <w:p w14:paraId="3A9D99E3" w14:textId="77777777" w:rsidR="00275FE8" w:rsidRPr="00275FE8" w:rsidRDefault="00275FE8" w:rsidP="00275FE8">
            <w:pPr>
              <w:jc w:val="right"/>
              <w:rPr>
                <w:rFonts w:ascii="Arial Narrow" w:hAnsi="Arial Narrow" w:cs="Arial"/>
                <w:sz w:val="20"/>
                <w:szCs w:val="20"/>
              </w:rPr>
            </w:pPr>
            <w:r w:rsidRPr="00275FE8">
              <w:rPr>
                <w:rFonts w:ascii="Arial Narrow" w:hAnsi="Arial Narrow" w:cs="Arial"/>
                <w:sz w:val="20"/>
                <w:szCs w:val="20"/>
              </w:rPr>
              <w:t>357 109</w:t>
            </w:r>
          </w:p>
        </w:tc>
        <w:tc>
          <w:tcPr>
            <w:tcW w:w="1137" w:type="dxa"/>
            <w:tcBorders>
              <w:top w:val="nil"/>
              <w:left w:val="nil"/>
              <w:bottom w:val="single" w:sz="4" w:space="0" w:color="auto"/>
              <w:right w:val="single" w:sz="4" w:space="0" w:color="auto"/>
            </w:tcBorders>
            <w:shd w:val="clear" w:color="000000" w:fill="FFFFFF"/>
            <w:vAlign w:val="center"/>
            <w:hideMark/>
          </w:tcPr>
          <w:p w14:paraId="4B2572C7" w14:textId="77777777" w:rsidR="00275FE8" w:rsidRPr="00275FE8" w:rsidRDefault="00275FE8" w:rsidP="00275FE8">
            <w:pPr>
              <w:jc w:val="right"/>
              <w:rPr>
                <w:rFonts w:ascii="Arial Narrow" w:hAnsi="Arial Narrow" w:cs="Arial"/>
                <w:sz w:val="20"/>
                <w:szCs w:val="20"/>
              </w:rPr>
            </w:pPr>
            <w:r w:rsidRPr="00275FE8">
              <w:rPr>
                <w:rFonts w:ascii="Arial Narrow" w:hAnsi="Arial Narrow" w:cs="Arial"/>
                <w:sz w:val="20"/>
                <w:szCs w:val="20"/>
              </w:rPr>
              <w:t>732 393</w:t>
            </w:r>
          </w:p>
        </w:tc>
        <w:tc>
          <w:tcPr>
            <w:tcW w:w="1068" w:type="dxa"/>
            <w:tcBorders>
              <w:top w:val="nil"/>
              <w:left w:val="nil"/>
              <w:bottom w:val="single" w:sz="4" w:space="0" w:color="auto"/>
              <w:right w:val="single" w:sz="4" w:space="0" w:color="auto"/>
            </w:tcBorders>
            <w:shd w:val="clear" w:color="000000" w:fill="FFFFFF"/>
            <w:vAlign w:val="center"/>
            <w:hideMark/>
          </w:tcPr>
          <w:p w14:paraId="76B129E9" w14:textId="77777777" w:rsidR="00275FE8" w:rsidRPr="00275FE8" w:rsidRDefault="00275FE8" w:rsidP="00275FE8">
            <w:pPr>
              <w:jc w:val="right"/>
              <w:rPr>
                <w:rFonts w:ascii="Arial Narrow" w:hAnsi="Arial Narrow" w:cs="Arial"/>
                <w:sz w:val="20"/>
                <w:szCs w:val="20"/>
              </w:rPr>
            </w:pPr>
            <w:r w:rsidRPr="00275FE8">
              <w:rPr>
                <w:rFonts w:ascii="Arial Narrow" w:hAnsi="Arial Narrow" w:cs="Arial"/>
                <w:sz w:val="20"/>
                <w:szCs w:val="20"/>
              </w:rPr>
              <w:t>415 326</w:t>
            </w:r>
          </w:p>
        </w:tc>
        <w:tc>
          <w:tcPr>
            <w:tcW w:w="1137" w:type="dxa"/>
            <w:tcBorders>
              <w:top w:val="nil"/>
              <w:left w:val="nil"/>
              <w:bottom w:val="single" w:sz="4" w:space="0" w:color="auto"/>
              <w:right w:val="single" w:sz="4" w:space="0" w:color="auto"/>
            </w:tcBorders>
            <w:shd w:val="clear" w:color="000000" w:fill="FFFFFF"/>
            <w:vAlign w:val="center"/>
            <w:hideMark/>
          </w:tcPr>
          <w:p w14:paraId="05A1C5E3" w14:textId="77777777" w:rsidR="00275FE8" w:rsidRPr="00275FE8" w:rsidRDefault="00275FE8" w:rsidP="00275FE8">
            <w:pPr>
              <w:jc w:val="right"/>
              <w:rPr>
                <w:rFonts w:ascii="Arial Narrow" w:hAnsi="Arial Narrow" w:cs="Arial"/>
                <w:sz w:val="20"/>
                <w:szCs w:val="20"/>
              </w:rPr>
            </w:pPr>
            <w:r w:rsidRPr="00275FE8">
              <w:rPr>
                <w:rFonts w:ascii="Arial Narrow" w:hAnsi="Arial Narrow" w:cs="Arial"/>
                <w:sz w:val="20"/>
                <w:szCs w:val="20"/>
              </w:rPr>
              <w:t>11,5%</w:t>
            </w:r>
          </w:p>
        </w:tc>
        <w:tc>
          <w:tcPr>
            <w:tcW w:w="1068" w:type="dxa"/>
            <w:tcBorders>
              <w:top w:val="nil"/>
              <w:left w:val="nil"/>
              <w:bottom w:val="single" w:sz="4" w:space="0" w:color="auto"/>
              <w:right w:val="single" w:sz="4" w:space="0" w:color="auto"/>
            </w:tcBorders>
            <w:shd w:val="clear" w:color="000000" w:fill="FFFFFF"/>
            <w:vAlign w:val="center"/>
            <w:hideMark/>
          </w:tcPr>
          <w:p w14:paraId="2A313ADB" w14:textId="77777777" w:rsidR="00275FE8" w:rsidRPr="00275FE8" w:rsidRDefault="00275FE8" w:rsidP="00275FE8">
            <w:pPr>
              <w:jc w:val="right"/>
              <w:rPr>
                <w:rFonts w:ascii="Arial Narrow" w:hAnsi="Arial Narrow" w:cs="Arial"/>
                <w:sz w:val="20"/>
                <w:szCs w:val="20"/>
              </w:rPr>
            </w:pPr>
            <w:r w:rsidRPr="00275FE8">
              <w:rPr>
                <w:rFonts w:ascii="Arial Narrow" w:hAnsi="Arial Narrow" w:cs="Arial"/>
                <w:sz w:val="20"/>
                <w:szCs w:val="20"/>
              </w:rPr>
              <w:t>16,3%</w:t>
            </w:r>
          </w:p>
        </w:tc>
      </w:tr>
      <w:tr w:rsidR="00275FE8" w:rsidRPr="00275FE8" w14:paraId="362EE10D" w14:textId="77777777" w:rsidTr="00275FE8">
        <w:trPr>
          <w:trHeight w:val="254"/>
        </w:trPr>
        <w:tc>
          <w:tcPr>
            <w:tcW w:w="326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E79FBA6" w14:textId="77777777" w:rsidR="00275FE8" w:rsidRPr="00275FE8" w:rsidRDefault="00275FE8" w:rsidP="00275FE8">
            <w:pPr>
              <w:rPr>
                <w:rFonts w:ascii="Arial Narrow" w:hAnsi="Arial Narrow" w:cs="Arial"/>
                <w:sz w:val="20"/>
                <w:szCs w:val="20"/>
              </w:rPr>
            </w:pPr>
            <w:r w:rsidRPr="00275FE8">
              <w:rPr>
                <w:rFonts w:ascii="Arial Narrow" w:hAnsi="Arial Narrow" w:cs="Arial"/>
                <w:sz w:val="20"/>
                <w:szCs w:val="20"/>
              </w:rPr>
              <w:t>Свинско месо</w:t>
            </w:r>
          </w:p>
        </w:tc>
        <w:tc>
          <w:tcPr>
            <w:tcW w:w="113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8B80A30" w14:textId="77777777" w:rsidR="00275FE8" w:rsidRPr="00275FE8" w:rsidRDefault="00275FE8" w:rsidP="00275FE8">
            <w:pPr>
              <w:jc w:val="right"/>
              <w:rPr>
                <w:rFonts w:ascii="Arial Narrow" w:hAnsi="Arial Narrow" w:cs="Arial"/>
                <w:sz w:val="20"/>
                <w:szCs w:val="20"/>
              </w:rPr>
            </w:pPr>
            <w:r w:rsidRPr="00275FE8">
              <w:rPr>
                <w:rFonts w:ascii="Arial Narrow" w:hAnsi="Arial Narrow" w:cs="Arial"/>
                <w:sz w:val="20"/>
                <w:szCs w:val="20"/>
              </w:rPr>
              <w:t>126 995</w:t>
            </w:r>
          </w:p>
        </w:tc>
        <w:tc>
          <w:tcPr>
            <w:tcW w:w="106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76BA915" w14:textId="77777777" w:rsidR="00275FE8" w:rsidRPr="00275FE8" w:rsidRDefault="00275FE8" w:rsidP="00275FE8">
            <w:pPr>
              <w:jc w:val="right"/>
              <w:rPr>
                <w:rFonts w:ascii="Arial Narrow" w:hAnsi="Arial Narrow" w:cs="Arial"/>
                <w:sz w:val="20"/>
                <w:szCs w:val="20"/>
              </w:rPr>
            </w:pPr>
            <w:r w:rsidRPr="00275FE8">
              <w:rPr>
                <w:rFonts w:ascii="Arial Narrow" w:hAnsi="Arial Narrow" w:cs="Arial"/>
                <w:sz w:val="20"/>
                <w:szCs w:val="20"/>
              </w:rPr>
              <w:t>374 459</w:t>
            </w:r>
          </w:p>
        </w:tc>
        <w:tc>
          <w:tcPr>
            <w:tcW w:w="113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84255B5" w14:textId="77777777" w:rsidR="00275FE8" w:rsidRPr="00275FE8" w:rsidRDefault="00275FE8" w:rsidP="00275FE8">
            <w:pPr>
              <w:jc w:val="right"/>
              <w:rPr>
                <w:rFonts w:ascii="Arial Narrow" w:hAnsi="Arial Narrow" w:cs="Arial"/>
                <w:sz w:val="20"/>
                <w:szCs w:val="20"/>
              </w:rPr>
            </w:pPr>
            <w:r w:rsidRPr="00275FE8">
              <w:rPr>
                <w:rFonts w:ascii="Arial Narrow" w:hAnsi="Arial Narrow" w:cs="Arial"/>
                <w:sz w:val="20"/>
                <w:szCs w:val="20"/>
              </w:rPr>
              <w:t>126 763</w:t>
            </w:r>
          </w:p>
        </w:tc>
        <w:tc>
          <w:tcPr>
            <w:tcW w:w="106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3DEDABE" w14:textId="77777777" w:rsidR="00275FE8" w:rsidRPr="00275FE8" w:rsidRDefault="00275FE8" w:rsidP="00275FE8">
            <w:pPr>
              <w:jc w:val="right"/>
              <w:rPr>
                <w:rFonts w:ascii="Arial Narrow" w:hAnsi="Arial Narrow" w:cs="Arial"/>
                <w:sz w:val="20"/>
                <w:szCs w:val="20"/>
              </w:rPr>
            </w:pPr>
            <w:r w:rsidRPr="00275FE8">
              <w:rPr>
                <w:rFonts w:ascii="Arial Narrow" w:hAnsi="Arial Narrow" w:cs="Arial"/>
                <w:sz w:val="20"/>
                <w:szCs w:val="20"/>
              </w:rPr>
              <w:t>354 885</w:t>
            </w:r>
          </w:p>
        </w:tc>
        <w:tc>
          <w:tcPr>
            <w:tcW w:w="113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77A8AA1" w14:textId="77777777" w:rsidR="00275FE8" w:rsidRPr="00275FE8" w:rsidRDefault="00275FE8" w:rsidP="00275FE8">
            <w:pPr>
              <w:jc w:val="right"/>
              <w:rPr>
                <w:rFonts w:ascii="Arial Narrow" w:hAnsi="Arial Narrow" w:cs="Arial"/>
                <w:sz w:val="20"/>
                <w:szCs w:val="20"/>
              </w:rPr>
            </w:pPr>
            <w:r w:rsidRPr="00275FE8">
              <w:rPr>
                <w:rFonts w:ascii="Arial Narrow" w:hAnsi="Arial Narrow" w:cs="Arial"/>
                <w:sz w:val="20"/>
                <w:szCs w:val="20"/>
              </w:rPr>
              <w:t>-0,2%</w:t>
            </w:r>
          </w:p>
        </w:tc>
        <w:tc>
          <w:tcPr>
            <w:tcW w:w="106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3253A00" w14:textId="77777777" w:rsidR="00275FE8" w:rsidRPr="00275FE8" w:rsidRDefault="00275FE8" w:rsidP="00275FE8">
            <w:pPr>
              <w:jc w:val="right"/>
              <w:rPr>
                <w:rFonts w:ascii="Arial Narrow" w:hAnsi="Arial Narrow" w:cs="Arial"/>
                <w:sz w:val="20"/>
                <w:szCs w:val="20"/>
              </w:rPr>
            </w:pPr>
            <w:r w:rsidRPr="00275FE8">
              <w:rPr>
                <w:rFonts w:ascii="Arial Narrow" w:hAnsi="Arial Narrow" w:cs="Arial"/>
                <w:sz w:val="20"/>
                <w:szCs w:val="20"/>
              </w:rPr>
              <w:t>-5,2%</w:t>
            </w:r>
          </w:p>
        </w:tc>
      </w:tr>
      <w:tr w:rsidR="00275FE8" w:rsidRPr="00275FE8" w14:paraId="6B083BC0" w14:textId="77777777" w:rsidTr="00275FE8">
        <w:trPr>
          <w:trHeight w:val="509"/>
        </w:trPr>
        <w:tc>
          <w:tcPr>
            <w:tcW w:w="326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F7C7B67" w14:textId="77777777" w:rsidR="00275FE8" w:rsidRPr="00275FE8" w:rsidRDefault="00275FE8" w:rsidP="00275FE8">
            <w:pPr>
              <w:rPr>
                <w:rFonts w:ascii="Arial Narrow" w:hAnsi="Arial Narrow" w:cs="Arial"/>
                <w:sz w:val="20"/>
                <w:szCs w:val="20"/>
              </w:rPr>
            </w:pPr>
            <w:r w:rsidRPr="00275FE8">
              <w:rPr>
                <w:rFonts w:ascii="Arial Narrow" w:hAnsi="Arial Narrow" w:cs="Arial"/>
                <w:sz w:val="20"/>
                <w:szCs w:val="20"/>
              </w:rPr>
              <w:t xml:space="preserve">Слънчогледово масло, памучно масло или масло от шафранка </w:t>
            </w:r>
          </w:p>
        </w:tc>
        <w:tc>
          <w:tcPr>
            <w:tcW w:w="1137" w:type="dxa"/>
            <w:tcBorders>
              <w:top w:val="single" w:sz="4" w:space="0" w:color="auto"/>
              <w:left w:val="nil"/>
              <w:bottom w:val="single" w:sz="4" w:space="0" w:color="auto"/>
              <w:right w:val="single" w:sz="4" w:space="0" w:color="auto"/>
            </w:tcBorders>
            <w:shd w:val="clear" w:color="000000" w:fill="FFFFFF"/>
            <w:vAlign w:val="center"/>
            <w:hideMark/>
          </w:tcPr>
          <w:p w14:paraId="2596E36E" w14:textId="77777777" w:rsidR="00275FE8" w:rsidRPr="00275FE8" w:rsidRDefault="00275FE8" w:rsidP="00275FE8">
            <w:pPr>
              <w:jc w:val="right"/>
              <w:rPr>
                <w:rFonts w:ascii="Arial Narrow" w:hAnsi="Arial Narrow" w:cs="Arial"/>
                <w:sz w:val="20"/>
                <w:szCs w:val="20"/>
              </w:rPr>
            </w:pPr>
            <w:r w:rsidRPr="00275FE8">
              <w:rPr>
                <w:rFonts w:ascii="Arial Narrow" w:hAnsi="Arial Narrow" w:cs="Arial"/>
                <w:sz w:val="20"/>
                <w:szCs w:val="20"/>
              </w:rPr>
              <w:t>257 783</w:t>
            </w:r>
          </w:p>
        </w:tc>
        <w:tc>
          <w:tcPr>
            <w:tcW w:w="1068" w:type="dxa"/>
            <w:tcBorders>
              <w:top w:val="single" w:sz="4" w:space="0" w:color="auto"/>
              <w:left w:val="nil"/>
              <w:bottom w:val="single" w:sz="4" w:space="0" w:color="auto"/>
              <w:right w:val="single" w:sz="4" w:space="0" w:color="auto"/>
            </w:tcBorders>
            <w:shd w:val="clear" w:color="000000" w:fill="FFFFFF"/>
            <w:vAlign w:val="center"/>
            <w:hideMark/>
          </w:tcPr>
          <w:p w14:paraId="289FB19A" w14:textId="77777777" w:rsidR="00275FE8" w:rsidRPr="00275FE8" w:rsidRDefault="00275FE8" w:rsidP="00275FE8">
            <w:pPr>
              <w:jc w:val="right"/>
              <w:rPr>
                <w:rFonts w:ascii="Arial Narrow" w:hAnsi="Arial Narrow" w:cs="Arial"/>
                <w:sz w:val="20"/>
                <w:szCs w:val="20"/>
              </w:rPr>
            </w:pPr>
            <w:r w:rsidRPr="00275FE8">
              <w:rPr>
                <w:rFonts w:ascii="Arial Narrow" w:hAnsi="Arial Narrow" w:cs="Arial"/>
                <w:sz w:val="20"/>
                <w:szCs w:val="20"/>
              </w:rPr>
              <w:t>229 838</w:t>
            </w:r>
          </w:p>
        </w:tc>
        <w:tc>
          <w:tcPr>
            <w:tcW w:w="1137" w:type="dxa"/>
            <w:tcBorders>
              <w:top w:val="single" w:sz="4" w:space="0" w:color="auto"/>
              <w:left w:val="nil"/>
              <w:bottom w:val="single" w:sz="4" w:space="0" w:color="auto"/>
              <w:right w:val="single" w:sz="4" w:space="0" w:color="auto"/>
            </w:tcBorders>
            <w:shd w:val="clear" w:color="000000" w:fill="FFFFFF"/>
            <w:vAlign w:val="center"/>
            <w:hideMark/>
          </w:tcPr>
          <w:p w14:paraId="116D3518" w14:textId="77777777" w:rsidR="00275FE8" w:rsidRPr="00275FE8" w:rsidRDefault="00275FE8" w:rsidP="00275FE8">
            <w:pPr>
              <w:jc w:val="right"/>
              <w:rPr>
                <w:rFonts w:ascii="Arial Narrow" w:hAnsi="Arial Narrow" w:cs="Arial"/>
                <w:sz w:val="20"/>
                <w:szCs w:val="20"/>
              </w:rPr>
            </w:pPr>
            <w:r w:rsidRPr="00275FE8">
              <w:rPr>
                <w:rFonts w:ascii="Arial Narrow" w:hAnsi="Arial Narrow" w:cs="Arial"/>
                <w:sz w:val="20"/>
                <w:szCs w:val="20"/>
              </w:rPr>
              <w:t>378 768</w:t>
            </w:r>
          </w:p>
        </w:tc>
        <w:tc>
          <w:tcPr>
            <w:tcW w:w="1068" w:type="dxa"/>
            <w:tcBorders>
              <w:top w:val="single" w:sz="4" w:space="0" w:color="auto"/>
              <w:left w:val="nil"/>
              <w:bottom w:val="single" w:sz="4" w:space="0" w:color="auto"/>
              <w:right w:val="single" w:sz="4" w:space="0" w:color="auto"/>
            </w:tcBorders>
            <w:shd w:val="clear" w:color="000000" w:fill="FFFFFF"/>
            <w:vAlign w:val="center"/>
            <w:hideMark/>
          </w:tcPr>
          <w:p w14:paraId="259A8C86" w14:textId="77777777" w:rsidR="00275FE8" w:rsidRPr="00275FE8" w:rsidRDefault="00275FE8" w:rsidP="00275FE8">
            <w:pPr>
              <w:jc w:val="right"/>
              <w:rPr>
                <w:rFonts w:ascii="Arial Narrow" w:hAnsi="Arial Narrow" w:cs="Arial"/>
                <w:sz w:val="20"/>
                <w:szCs w:val="20"/>
              </w:rPr>
            </w:pPr>
            <w:r w:rsidRPr="00275FE8">
              <w:rPr>
                <w:rFonts w:ascii="Arial Narrow" w:hAnsi="Arial Narrow" w:cs="Arial"/>
                <w:sz w:val="20"/>
                <w:szCs w:val="20"/>
              </w:rPr>
              <w:t>340 560</w:t>
            </w:r>
          </w:p>
        </w:tc>
        <w:tc>
          <w:tcPr>
            <w:tcW w:w="1137" w:type="dxa"/>
            <w:tcBorders>
              <w:top w:val="single" w:sz="4" w:space="0" w:color="auto"/>
              <w:left w:val="nil"/>
              <w:bottom w:val="single" w:sz="4" w:space="0" w:color="auto"/>
              <w:right w:val="single" w:sz="4" w:space="0" w:color="auto"/>
            </w:tcBorders>
            <w:shd w:val="clear" w:color="000000" w:fill="FFFFFF"/>
            <w:vAlign w:val="center"/>
            <w:hideMark/>
          </w:tcPr>
          <w:p w14:paraId="350DAA00" w14:textId="77777777" w:rsidR="00275FE8" w:rsidRPr="00275FE8" w:rsidRDefault="00275FE8" w:rsidP="00275FE8">
            <w:pPr>
              <w:jc w:val="right"/>
              <w:rPr>
                <w:rFonts w:ascii="Arial Narrow" w:hAnsi="Arial Narrow" w:cs="Arial"/>
                <w:sz w:val="20"/>
                <w:szCs w:val="20"/>
              </w:rPr>
            </w:pPr>
            <w:r w:rsidRPr="00275FE8">
              <w:rPr>
                <w:rFonts w:ascii="Arial Narrow" w:hAnsi="Arial Narrow" w:cs="Arial"/>
                <w:sz w:val="20"/>
                <w:szCs w:val="20"/>
              </w:rPr>
              <w:t>46,9%</w:t>
            </w:r>
          </w:p>
        </w:tc>
        <w:tc>
          <w:tcPr>
            <w:tcW w:w="1068" w:type="dxa"/>
            <w:tcBorders>
              <w:top w:val="single" w:sz="4" w:space="0" w:color="auto"/>
              <w:left w:val="nil"/>
              <w:bottom w:val="single" w:sz="4" w:space="0" w:color="auto"/>
              <w:right w:val="single" w:sz="4" w:space="0" w:color="auto"/>
            </w:tcBorders>
            <w:shd w:val="clear" w:color="000000" w:fill="FFFFFF"/>
            <w:vAlign w:val="center"/>
            <w:hideMark/>
          </w:tcPr>
          <w:p w14:paraId="683F9A1D" w14:textId="77777777" w:rsidR="00275FE8" w:rsidRPr="00275FE8" w:rsidRDefault="00275FE8" w:rsidP="00275FE8">
            <w:pPr>
              <w:jc w:val="right"/>
              <w:rPr>
                <w:rFonts w:ascii="Arial Narrow" w:hAnsi="Arial Narrow" w:cs="Arial"/>
                <w:sz w:val="20"/>
                <w:szCs w:val="20"/>
              </w:rPr>
            </w:pPr>
            <w:r w:rsidRPr="00275FE8">
              <w:rPr>
                <w:rFonts w:ascii="Arial Narrow" w:hAnsi="Arial Narrow" w:cs="Arial"/>
                <w:sz w:val="20"/>
                <w:szCs w:val="20"/>
              </w:rPr>
              <w:t>48,2%</w:t>
            </w:r>
          </w:p>
        </w:tc>
      </w:tr>
      <w:tr w:rsidR="00275FE8" w:rsidRPr="00275FE8" w14:paraId="099C3609" w14:textId="77777777" w:rsidTr="00275FE8">
        <w:trPr>
          <w:trHeight w:val="509"/>
        </w:trPr>
        <w:tc>
          <w:tcPr>
            <w:tcW w:w="3266" w:type="dxa"/>
            <w:tcBorders>
              <w:top w:val="nil"/>
              <w:left w:val="single" w:sz="4" w:space="0" w:color="auto"/>
              <w:bottom w:val="single" w:sz="4" w:space="0" w:color="auto"/>
              <w:right w:val="single" w:sz="4" w:space="0" w:color="auto"/>
            </w:tcBorders>
            <w:shd w:val="clear" w:color="000000" w:fill="FFFFFF"/>
            <w:vAlign w:val="center"/>
            <w:hideMark/>
          </w:tcPr>
          <w:p w14:paraId="35E92033" w14:textId="77777777" w:rsidR="00275FE8" w:rsidRPr="00275FE8" w:rsidRDefault="00275FE8" w:rsidP="00275FE8">
            <w:pPr>
              <w:rPr>
                <w:rFonts w:ascii="Arial Narrow" w:hAnsi="Arial Narrow" w:cs="Arial"/>
                <w:sz w:val="20"/>
                <w:szCs w:val="20"/>
              </w:rPr>
            </w:pPr>
            <w:r w:rsidRPr="00275FE8">
              <w:rPr>
                <w:rFonts w:ascii="Arial Narrow" w:hAnsi="Arial Narrow" w:cs="Arial"/>
                <w:sz w:val="20"/>
                <w:szCs w:val="20"/>
              </w:rPr>
              <w:t>Шоколад и други хранителни продукти, съдържащи какао</w:t>
            </w:r>
          </w:p>
        </w:tc>
        <w:tc>
          <w:tcPr>
            <w:tcW w:w="1137" w:type="dxa"/>
            <w:tcBorders>
              <w:top w:val="nil"/>
              <w:left w:val="nil"/>
              <w:bottom w:val="single" w:sz="4" w:space="0" w:color="auto"/>
              <w:right w:val="single" w:sz="4" w:space="0" w:color="auto"/>
            </w:tcBorders>
            <w:shd w:val="clear" w:color="000000" w:fill="FFFFFF"/>
            <w:vAlign w:val="center"/>
            <w:hideMark/>
          </w:tcPr>
          <w:p w14:paraId="4B850A49" w14:textId="77777777" w:rsidR="00275FE8" w:rsidRPr="00275FE8" w:rsidRDefault="00275FE8" w:rsidP="00275FE8">
            <w:pPr>
              <w:jc w:val="right"/>
              <w:rPr>
                <w:rFonts w:ascii="Arial Narrow" w:hAnsi="Arial Narrow" w:cs="Arial"/>
                <w:sz w:val="20"/>
                <w:szCs w:val="20"/>
              </w:rPr>
            </w:pPr>
            <w:r w:rsidRPr="00275FE8">
              <w:rPr>
                <w:rFonts w:ascii="Arial Narrow" w:hAnsi="Arial Narrow" w:cs="Arial"/>
                <w:sz w:val="20"/>
                <w:szCs w:val="20"/>
              </w:rPr>
              <w:t>46 947</w:t>
            </w:r>
          </w:p>
        </w:tc>
        <w:tc>
          <w:tcPr>
            <w:tcW w:w="1068" w:type="dxa"/>
            <w:tcBorders>
              <w:top w:val="nil"/>
              <w:left w:val="nil"/>
              <w:bottom w:val="single" w:sz="4" w:space="0" w:color="auto"/>
              <w:right w:val="single" w:sz="4" w:space="0" w:color="auto"/>
            </w:tcBorders>
            <w:shd w:val="clear" w:color="000000" w:fill="FFFFFF"/>
            <w:vAlign w:val="center"/>
            <w:hideMark/>
          </w:tcPr>
          <w:p w14:paraId="49E8707B" w14:textId="77777777" w:rsidR="00275FE8" w:rsidRPr="00275FE8" w:rsidRDefault="00275FE8" w:rsidP="00275FE8">
            <w:pPr>
              <w:jc w:val="right"/>
              <w:rPr>
                <w:rFonts w:ascii="Arial Narrow" w:hAnsi="Arial Narrow" w:cs="Arial"/>
                <w:sz w:val="20"/>
                <w:szCs w:val="20"/>
              </w:rPr>
            </w:pPr>
            <w:r w:rsidRPr="00275FE8">
              <w:rPr>
                <w:rFonts w:ascii="Arial Narrow" w:hAnsi="Arial Narrow" w:cs="Arial"/>
                <w:sz w:val="20"/>
                <w:szCs w:val="20"/>
              </w:rPr>
              <w:t>260 494</w:t>
            </w:r>
          </w:p>
        </w:tc>
        <w:tc>
          <w:tcPr>
            <w:tcW w:w="1137" w:type="dxa"/>
            <w:tcBorders>
              <w:top w:val="nil"/>
              <w:left w:val="nil"/>
              <w:bottom w:val="single" w:sz="4" w:space="0" w:color="auto"/>
              <w:right w:val="single" w:sz="4" w:space="0" w:color="auto"/>
            </w:tcBorders>
            <w:shd w:val="clear" w:color="000000" w:fill="FFFFFF"/>
            <w:vAlign w:val="center"/>
            <w:hideMark/>
          </w:tcPr>
          <w:p w14:paraId="752FEFFA" w14:textId="77777777" w:rsidR="00275FE8" w:rsidRPr="00275FE8" w:rsidRDefault="00275FE8" w:rsidP="00275FE8">
            <w:pPr>
              <w:jc w:val="right"/>
              <w:rPr>
                <w:rFonts w:ascii="Arial Narrow" w:hAnsi="Arial Narrow" w:cs="Arial"/>
                <w:sz w:val="20"/>
                <w:szCs w:val="20"/>
              </w:rPr>
            </w:pPr>
            <w:r w:rsidRPr="00275FE8">
              <w:rPr>
                <w:rFonts w:ascii="Arial Narrow" w:hAnsi="Arial Narrow" w:cs="Arial"/>
                <w:sz w:val="20"/>
                <w:szCs w:val="20"/>
              </w:rPr>
              <w:t>46 910</w:t>
            </w:r>
          </w:p>
        </w:tc>
        <w:tc>
          <w:tcPr>
            <w:tcW w:w="1068" w:type="dxa"/>
            <w:tcBorders>
              <w:top w:val="nil"/>
              <w:left w:val="nil"/>
              <w:bottom w:val="single" w:sz="4" w:space="0" w:color="auto"/>
              <w:right w:val="single" w:sz="4" w:space="0" w:color="auto"/>
            </w:tcBorders>
            <w:shd w:val="clear" w:color="000000" w:fill="FFFFFF"/>
            <w:vAlign w:val="center"/>
            <w:hideMark/>
          </w:tcPr>
          <w:p w14:paraId="4B164D18" w14:textId="77777777" w:rsidR="00275FE8" w:rsidRPr="00275FE8" w:rsidRDefault="00275FE8" w:rsidP="00275FE8">
            <w:pPr>
              <w:jc w:val="right"/>
              <w:rPr>
                <w:rFonts w:ascii="Arial Narrow" w:hAnsi="Arial Narrow" w:cs="Arial"/>
                <w:color w:val="000000"/>
                <w:sz w:val="20"/>
                <w:szCs w:val="20"/>
              </w:rPr>
            </w:pPr>
            <w:r w:rsidRPr="00275FE8">
              <w:rPr>
                <w:rFonts w:ascii="Arial Narrow" w:hAnsi="Arial Narrow" w:cs="Arial"/>
                <w:color w:val="000000"/>
                <w:sz w:val="20"/>
                <w:szCs w:val="20"/>
              </w:rPr>
              <w:t>304 493</w:t>
            </w:r>
          </w:p>
        </w:tc>
        <w:tc>
          <w:tcPr>
            <w:tcW w:w="1137" w:type="dxa"/>
            <w:tcBorders>
              <w:top w:val="nil"/>
              <w:left w:val="nil"/>
              <w:bottom w:val="single" w:sz="4" w:space="0" w:color="auto"/>
              <w:right w:val="single" w:sz="4" w:space="0" w:color="auto"/>
            </w:tcBorders>
            <w:shd w:val="clear" w:color="000000" w:fill="FFFFFF"/>
            <w:vAlign w:val="center"/>
            <w:hideMark/>
          </w:tcPr>
          <w:p w14:paraId="3198748D" w14:textId="77777777" w:rsidR="00275FE8" w:rsidRPr="00275FE8" w:rsidRDefault="00275FE8" w:rsidP="00275FE8">
            <w:pPr>
              <w:jc w:val="right"/>
              <w:rPr>
                <w:rFonts w:ascii="Arial Narrow" w:hAnsi="Arial Narrow" w:cs="Arial"/>
                <w:sz w:val="20"/>
                <w:szCs w:val="20"/>
              </w:rPr>
            </w:pPr>
            <w:r w:rsidRPr="00275FE8">
              <w:rPr>
                <w:rFonts w:ascii="Arial Narrow" w:hAnsi="Arial Narrow" w:cs="Arial"/>
                <w:sz w:val="20"/>
                <w:szCs w:val="20"/>
              </w:rPr>
              <w:t>-0,1%</w:t>
            </w:r>
          </w:p>
        </w:tc>
        <w:tc>
          <w:tcPr>
            <w:tcW w:w="1068" w:type="dxa"/>
            <w:tcBorders>
              <w:top w:val="nil"/>
              <w:left w:val="nil"/>
              <w:bottom w:val="single" w:sz="4" w:space="0" w:color="auto"/>
              <w:right w:val="single" w:sz="4" w:space="0" w:color="auto"/>
            </w:tcBorders>
            <w:shd w:val="clear" w:color="000000" w:fill="FFFFFF"/>
            <w:vAlign w:val="center"/>
            <w:hideMark/>
          </w:tcPr>
          <w:p w14:paraId="40BC0F1A" w14:textId="77777777" w:rsidR="00275FE8" w:rsidRPr="00275FE8" w:rsidRDefault="00275FE8" w:rsidP="00275FE8">
            <w:pPr>
              <w:jc w:val="right"/>
              <w:rPr>
                <w:rFonts w:ascii="Arial Narrow" w:hAnsi="Arial Narrow" w:cs="Arial"/>
                <w:sz w:val="20"/>
                <w:szCs w:val="20"/>
              </w:rPr>
            </w:pPr>
            <w:r w:rsidRPr="00275FE8">
              <w:rPr>
                <w:rFonts w:ascii="Arial Narrow" w:hAnsi="Arial Narrow" w:cs="Arial"/>
                <w:sz w:val="20"/>
                <w:szCs w:val="20"/>
              </w:rPr>
              <w:t>16,9%</w:t>
            </w:r>
          </w:p>
        </w:tc>
      </w:tr>
      <w:tr w:rsidR="00275FE8" w:rsidRPr="00275FE8" w14:paraId="5839DE3A" w14:textId="77777777" w:rsidTr="00275FE8">
        <w:trPr>
          <w:trHeight w:val="509"/>
        </w:trPr>
        <w:tc>
          <w:tcPr>
            <w:tcW w:w="3266" w:type="dxa"/>
            <w:tcBorders>
              <w:top w:val="nil"/>
              <w:left w:val="single" w:sz="4" w:space="0" w:color="auto"/>
              <w:bottom w:val="single" w:sz="4" w:space="0" w:color="auto"/>
              <w:right w:val="single" w:sz="4" w:space="0" w:color="auto"/>
            </w:tcBorders>
            <w:shd w:val="clear" w:color="000000" w:fill="FFFFFF"/>
            <w:vAlign w:val="center"/>
            <w:hideMark/>
          </w:tcPr>
          <w:p w14:paraId="48D1A5BA" w14:textId="77777777" w:rsidR="00275FE8" w:rsidRPr="00275FE8" w:rsidRDefault="00275FE8" w:rsidP="00275FE8">
            <w:pPr>
              <w:rPr>
                <w:rFonts w:ascii="Arial Narrow" w:hAnsi="Arial Narrow" w:cs="Arial"/>
                <w:sz w:val="20"/>
                <w:szCs w:val="20"/>
              </w:rPr>
            </w:pPr>
            <w:r w:rsidRPr="00275FE8">
              <w:rPr>
                <w:rFonts w:ascii="Arial Narrow" w:hAnsi="Arial Narrow" w:cs="Arial"/>
                <w:sz w:val="20"/>
                <w:szCs w:val="20"/>
              </w:rPr>
              <w:t>Хлебарски, тестени сладкарски или бисквитени продукти</w:t>
            </w:r>
          </w:p>
        </w:tc>
        <w:tc>
          <w:tcPr>
            <w:tcW w:w="1137" w:type="dxa"/>
            <w:tcBorders>
              <w:top w:val="nil"/>
              <w:left w:val="nil"/>
              <w:bottom w:val="single" w:sz="4" w:space="0" w:color="auto"/>
              <w:right w:val="single" w:sz="4" w:space="0" w:color="auto"/>
            </w:tcBorders>
            <w:shd w:val="clear" w:color="000000" w:fill="FFFFFF"/>
            <w:vAlign w:val="center"/>
            <w:hideMark/>
          </w:tcPr>
          <w:p w14:paraId="2DCF9BBA" w14:textId="77777777" w:rsidR="00275FE8" w:rsidRPr="00275FE8" w:rsidRDefault="00275FE8" w:rsidP="00275FE8">
            <w:pPr>
              <w:jc w:val="right"/>
              <w:rPr>
                <w:rFonts w:ascii="Arial Narrow" w:hAnsi="Arial Narrow" w:cs="Arial"/>
                <w:sz w:val="20"/>
                <w:szCs w:val="20"/>
              </w:rPr>
            </w:pPr>
            <w:r w:rsidRPr="00275FE8">
              <w:rPr>
                <w:rFonts w:ascii="Arial Narrow" w:hAnsi="Arial Narrow" w:cs="Arial"/>
                <w:sz w:val="20"/>
                <w:szCs w:val="20"/>
              </w:rPr>
              <w:t>77 357</w:t>
            </w:r>
          </w:p>
        </w:tc>
        <w:tc>
          <w:tcPr>
            <w:tcW w:w="1068" w:type="dxa"/>
            <w:tcBorders>
              <w:top w:val="nil"/>
              <w:left w:val="nil"/>
              <w:bottom w:val="single" w:sz="4" w:space="0" w:color="auto"/>
              <w:right w:val="single" w:sz="4" w:space="0" w:color="auto"/>
            </w:tcBorders>
            <w:shd w:val="clear" w:color="000000" w:fill="FFFFFF"/>
            <w:vAlign w:val="center"/>
            <w:hideMark/>
          </w:tcPr>
          <w:p w14:paraId="1095E92B" w14:textId="77777777" w:rsidR="00275FE8" w:rsidRPr="00275FE8" w:rsidRDefault="00275FE8" w:rsidP="00275FE8">
            <w:pPr>
              <w:jc w:val="right"/>
              <w:rPr>
                <w:rFonts w:ascii="Arial Narrow" w:hAnsi="Arial Narrow" w:cs="Arial"/>
                <w:sz w:val="20"/>
                <w:szCs w:val="20"/>
              </w:rPr>
            </w:pPr>
            <w:r w:rsidRPr="00275FE8">
              <w:rPr>
                <w:rFonts w:ascii="Arial Narrow" w:hAnsi="Arial Narrow" w:cs="Arial"/>
                <w:sz w:val="20"/>
                <w:szCs w:val="20"/>
              </w:rPr>
              <w:t>252 700</w:t>
            </w:r>
          </w:p>
        </w:tc>
        <w:tc>
          <w:tcPr>
            <w:tcW w:w="1137" w:type="dxa"/>
            <w:tcBorders>
              <w:top w:val="nil"/>
              <w:left w:val="nil"/>
              <w:bottom w:val="single" w:sz="4" w:space="0" w:color="auto"/>
              <w:right w:val="single" w:sz="4" w:space="0" w:color="auto"/>
            </w:tcBorders>
            <w:shd w:val="clear" w:color="000000" w:fill="FFFFFF"/>
            <w:vAlign w:val="center"/>
            <w:hideMark/>
          </w:tcPr>
          <w:p w14:paraId="621ECBBE" w14:textId="77777777" w:rsidR="00275FE8" w:rsidRPr="00275FE8" w:rsidRDefault="00275FE8" w:rsidP="00275FE8">
            <w:pPr>
              <w:jc w:val="right"/>
              <w:rPr>
                <w:rFonts w:ascii="Arial Narrow" w:hAnsi="Arial Narrow" w:cs="Arial"/>
                <w:sz w:val="20"/>
                <w:szCs w:val="20"/>
              </w:rPr>
            </w:pPr>
            <w:r w:rsidRPr="00275FE8">
              <w:rPr>
                <w:rFonts w:ascii="Arial Narrow" w:hAnsi="Arial Narrow" w:cs="Arial"/>
                <w:sz w:val="20"/>
                <w:szCs w:val="20"/>
              </w:rPr>
              <w:t>86 195</w:t>
            </w:r>
          </w:p>
        </w:tc>
        <w:tc>
          <w:tcPr>
            <w:tcW w:w="1068" w:type="dxa"/>
            <w:tcBorders>
              <w:top w:val="nil"/>
              <w:left w:val="nil"/>
              <w:bottom w:val="single" w:sz="4" w:space="0" w:color="auto"/>
              <w:right w:val="single" w:sz="4" w:space="0" w:color="auto"/>
            </w:tcBorders>
            <w:shd w:val="clear" w:color="000000" w:fill="FFFFFF"/>
            <w:vAlign w:val="center"/>
            <w:hideMark/>
          </w:tcPr>
          <w:p w14:paraId="527B2FE8" w14:textId="77777777" w:rsidR="00275FE8" w:rsidRPr="00275FE8" w:rsidRDefault="00275FE8" w:rsidP="00275FE8">
            <w:pPr>
              <w:jc w:val="right"/>
              <w:rPr>
                <w:rFonts w:ascii="Arial Narrow" w:hAnsi="Arial Narrow" w:cs="Arial"/>
                <w:sz w:val="20"/>
                <w:szCs w:val="20"/>
              </w:rPr>
            </w:pPr>
            <w:r w:rsidRPr="00275FE8">
              <w:rPr>
                <w:rFonts w:ascii="Arial Narrow" w:hAnsi="Arial Narrow" w:cs="Arial"/>
                <w:sz w:val="20"/>
                <w:szCs w:val="20"/>
              </w:rPr>
              <w:t>284 583</w:t>
            </w:r>
          </w:p>
        </w:tc>
        <w:tc>
          <w:tcPr>
            <w:tcW w:w="1137" w:type="dxa"/>
            <w:tcBorders>
              <w:top w:val="nil"/>
              <w:left w:val="nil"/>
              <w:bottom w:val="single" w:sz="4" w:space="0" w:color="auto"/>
              <w:right w:val="single" w:sz="4" w:space="0" w:color="auto"/>
            </w:tcBorders>
            <w:shd w:val="clear" w:color="000000" w:fill="FFFFFF"/>
            <w:vAlign w:val="center"/>
            <w:hideMark/>
          </w:tcPr>
          <w:p w14:paraId="5AE9C919" w14:textId="77777777" w:rsidR="00275FE8" w:rsidRPr="00275FE8" w:rsidRDefault="00275FE8" w:rsidP="00275FE8">
            <w:pPr>
              <w:jc w:val="right"/>
              <w:rPr>
                <w:rFonts w:ascii="Arial Narrow" w:hAnsi="Arial Narrow" w:cs="Arial"/>
                <w:sz w:val="20"/>
                <w:szCs w:val="20"/>
              </w:rPr>
            </w:pPr>
            <w:r w:rsidRPr="00275FE8">
              <w:rPr>
                <w:rFonts w:ascii="Arial Narrow" w:hAnsi="Arial Narrow" w:cs="Arial"/>
                <w:sz w:val="20"/>
                <w:szCs w:val="20"/>
              </w:rPr>
              <w:t>11,4%</w:t>
            </w:r>
          </w:p>
        </w:tc>
        <w:tc>
          <w:tcPr>
            <w:tcW w:w="1068" w:type="dxa"/>
            <w:tcBorders>
              <w:top w:val="nil"/>
              <w:left w:val="nil"/>
              <w:bottom w:val="single" w:sz="4" w:space="0" w:color="auto"/>
              <w:right w:val="single" w:sz="4" w:space="0" w:color="auto"/>
            </w:tcBorders>
            <w:shd w:val="clear" w:color="000000" w:fill="FFFFFF"/>
            <w:vAlign w:val="center"/>
            <w:hideMark/>
          </w:tcPr>
          <w:p w14:paraId="55D49A8C" w14:textId="77777777" w:rsidR="00275FE8" w:rsidRPr="00275FE8" w:rsidRDefault="00275FE8" w:rsidP="00275FE8">
            <w:pPr>
              <w:jc w:val="right"/>
              <w:rPr>
                <w:rFonts w:ascii="Arial Narrow" w:hAnsi="Arial Narrow" w:cs="Arial"/>
                <w:sz w:val="20"/>
                <w:szCs w:val="20"/>
              </w:rPr>
            </w:pPr>
            <w:r w:rsidRPr="00275FE8">
              <w:rPr>
                <w:rFonts w:ascii="Arial Narrow" w:hAnsi="Arial Narrow" w:cs="Arial"/>
                <w:sz w:val="20"/>
                <w:szCs w:val="20"/>
              </w:rPr>
              <w:t>12,6%</w:t>
            </w:r>
          </w:p>
        </w:tc>
      </w:tr>
      <w:tr w:rsidR="00275FE8" w:rsidRPr="00275FE8" w14:paraId="4D349F84" w14:textId="77777777" w:rsidTr="00275FE8">
        <w:trPr>
          <w:trHeight w:val="764"/>
        </w:trPr>
        <w:tc>
          <w:tcPr>
            <w:tcW w:w="3266" w:type="dxa"/>
            <w:tcBorders>
              <w:top w:val="nil"/>
              <w:left w:val="single" w:sz="4" w:space="0" w:color="auto"/>
              <w:bottom w:val="single" w:sz="4" w:space="0" w:color="auto"/>
              <w:right w:val="single" w:sz="4" w:space="0" w:color="auto"/>
            </w:tcBorders>
            <w:shd w:val="clear" w:color="000000" w:fill="FFFFFF"/>
            <w:vAlign w:val="center"/>
            <w:hideMark/>
          </w:tcPr>
          <w:p w14:paraId="3F0F2A17" w14:textId="77777777" w:rsidR="00275FE8" w:rsidRPr="00275FE8" w:rsidRDefault="00275FE8" w:rsidP="00275FE8">
            <w:pPr>
              <w:rPr>
                <w:rFonts w:ascii="Arial Narrow" w:hAnsi="Arial Narrow" w:cs="Arial"/>
                <w:sz w:val="20"/>
                <w:szCs w:val="20"/>
              </w:rPr>
            </w:pPr>
            <w:r w:rsidRPr="00275FE8">
              <w:rPr>
                <w:rFonts w:ascii="Arial Narrow" w:hAnsi="Arial Narrow" w:cs="Arial"/>
                <w:sz w:val="20"/>
                <w:szCs w:val="20"/>
              </w:rPr>
              <w:t>Пури (включително тези с отрязани краища), пурети и цигари от тютюн или от заместители на тютюна</w:t>
            </w:r>
          </w:p>
        </w:tc>
        <w:tc>
          <w:tcPr>
            <w:tcW w:w="1137" w:type="dxa"/>
            <w:tcBorders>
              <w:top w:val="nil"/>
              <w:left w:val="nil"/>
              <w:bottom w:val="single" w:sz="4" w:space="0" w:color="auto"/>
              <w:right w:val="single" w:sz="4" w:space="0" w:color="auto"/>
            </w:tcBorders>
            <w:shd w:val="clear" w:color="000000" w:fill="FFFFFF"/>
            <w:vAlign w:val="center"/>
            <w:hideMark/>
          </w:tcPr>
          <w:p w14:paraId="43CE9816" w14:textId="77777777" w:rsidR="00275FE8" w:rsidRPr="00275FE8" w:rsidRDefault="00275FE8" w:rsidP="00275FE8">
            <w:pPr>
              <w:jc w:val="right"/>
              <w:rPr>
                <w:rFonts w:ascii="Arial Narrow" w:hAnsi="Arial Narrow" w:cs="Arial"/>
                <w:sz w:val="20"/>
                <w:szCs w:val="20"/>
              </w:rPr>
            </w:pPr>
            <w:r w:rsidRPr="00275FE8">
              <w:rPr>
                <w:rFonts w:ascii="Arial Narrow" w:hAnsi="Arial Narrow" w:cs="Arial"/>
                <w:sz w:val="20"/>
                <w:szCs w:val="20"/>
              </w:rPr>
              <w:t>16 571</w:t>
            </w:r>
          </w:p>
        </w:tc>
        <w:tc>
          <w:tcPr>
            <w:tcW w:w="1068" w:type="dxa"/>
            <w:tcBorders>
              <w:top w:val="nil"/>
              <w:left w:val="nil"/>
              <w:bottom w:val="single" w:sz="4" w:space="0" w:color="auto"/>
              <w:right w:val="single" w:sz="4" w:space="0" w:color="auto"/>
            </w:tcBorders>
            <w:shd w:val="clear" w:color="000000" w:fill="FFFFFF"/>
            <w:vAlign w:val="center"/>
            <w:hideMark/>
          </w:tcPr>
          <w:p w14:paraId="67AD54C3" w14:textId="77777777" w:rsidR="00275FE8" w:rsidRPr="00275FE8" w:rsidRDefault="00275FE8" w:rsidP="00275FE8">
            <w:pPr>
              <w:jc w:val="right"/>
              <w:rPr>
                <w:rFonts w:ascii="Arial Narrow" w:hAnsi="Arial Narrow" w:cs="Arial"/>
                <w:sz w:val="20"/>
                <w:szCs w:val="20"/>
              </w:rPr>
            </w:pPr>
            <w:r w:rsidRPr="00275FE8">
              <w:rPr>
                <w:rFonts w:ascii="Arial Narrow" w:hAnsi="Arial Narrow" w:cs="Arial"/>
                <w:sz w:val="20"/>
                <w:szCs w:val="20"/>
              </w:rPr>
              <w:t>219 547</w:t>
            </w:r>
          </w:p>
        </w:tc>
        <w:tc>
          <w:tcPr>
            <w:tcW w:w="1137" w:type="dxa"/>
            <w:tcBorders>
              <w:top w:val="nil"/>
              <w:left w:val="nil"/>
              <w:bottom w:val="single" w:sz="4" w:space="0" w:color="auto"/>
              <w:right w:val="single" w:sz="4" w:space="0" w:color="auto"/>
            </w:tcBorders>
            <w:shd w:val="clear" w:color="000000" w:fill="FFFFFF"/>
            <w:vAlign w:val="center"/>
            <w:hideMark/>
          </w:tcPr>
          <w:p w14:paraId="7F99B5B2" w14:textId="77777777" w:rsidR="00275FE8" w:rsidRPr="00275FE8" w:rsidRDefault="00275FE8" w:rsidP="00275FE8">
            <w:pPr>
              <w:jc w:val="right"/>
              <w:rPr>
                <w:rFonts w:ascii="Arial Narrow" w:hAnsi="Arial Narrow" w:cs="Arial"/>
                <w:sz w:val="20"/>
                <w:szCs w:val="20"/>
              </w:rPr>
            </w:pPr>
            <w:r w:rsidRPr="00275FE8">
              <w:rPr>
                <w:rFonts w:ascii="Arial Narrow" w:hAnsi="Arial Narrow" w:cs="Arial"/>
                <w:sz w:val="20"/>
                <w:szCs w:val="20"/>
              </w:rPr>
              <w:t>17 013</w:t>
            </w:r>
          </w:p>
        </w:tc>
        <w:tc>
          <w:tcPr>
            <w:tcW w:w="1068" w:type="dxa"/>
            <w:tcBorders>
              <w:top w:val="nil"/>
              <w:left w:val="nil"/>
              <w:bottom w:val="single" w:sz="4" w:space="0" w:color="auto"/>
              <w:right w:val="single" w:sz="4" w:space="0" w:color="auto"/>
            </w:tcBorders>
            <w:shd w:val="clear" w:color="000000" w:fill="FFFFFF"/>
            <w:vAlign w:val="center"/>
            <w:hideMark/>
          </w:tcPr>
          <w:p w14:paraId="46DC6D57" w14:textId="77777777" w:rsidR="00275FE8" w:rsidRPr="00275FE8" w:rsidRDefault="00275FE8" w:rsidP="00275FE8">
            <w:pPr>
              <w:jc w:val="right"/>
              <w:rPr>
                <w:rFonts w:ascii="Arial Narrow" w:hAnsi="Arial Narrow" w:cs="Arial"/>
                <w:sz w:val="20"/>
                <w:szCs w:val="20"/>
              </w:rPr>
            </w:pPr>
            <w:r w:rsidRPr="00275FE8">
              <w:rPr>
                <w:rFonts w:ascii="Arial Narrow" w:hAnsi="Arial Narrow" w:cs="Arial"/>
                <w:sz w:val="20"/>
                <w:szCs w:val="20"/>
              </w:rPr>
              <w:t>280 384</w:t>
            </w:r>
          </w:p>
        </w:tc>
        <w:tc>
          <w:tcPr>
            <w:tcW w:w="1137" w:type="dxa"/>
            <w:tcBorders>
              <w:top w:val="nil"/>
              <w:left w:val="nil"/>
              <w:bottom w:val="single" w:sz="4" w:space="0" w:color="auto"/>
              <w:right w:val="single" w:sz="4" w:space="0" w:color="auto"/>
            </w:tcBorders>
            <w:shd w:val="clear" w:color="000000" w:fill="FFFFFF"/>
            <w:vAlign w:val="center"/>
            <w:hideMark/>
          </w:tcPr>
          <w:p w14:paraId="115B903B" w14:textId="77777777" w:rsidR="00275FE8" w:rsidRPr="00275FE8" w:rsidRDefault="00275FE8" w:rsidP="00275FE8">
            <w:pPr>
              <w:jc w:val="right"/>
              <w:rPr>
                <w:rFonts w:ascii="Arial Narrow" w:hAnsi="Arial Narrow" w:cs="Arial"/>
                <w:sz w:val="20"/>
                <w:szCs w:val="20"/>
              </w:rPr>
            </w:pPr>
            <w:r w:rsidRPr="00275FE8">
              <w:rPr>
                <w:rFonts w:ascii="Arial Narrow" w:hAnsi="Arial Narrow" w:cs="Arial"/>
                <w:sz w:val="20"/>
                <w:szCs w:val="20"/>
              </w:rPr>
              <w:t>2,7%</w:t>
            </w:r>
          </w:p>
        </w:tc>
        <w:tc>
          <w:tcPr>
            <w:tcW w:w="1068" w:type="dxa"/>
            <w:tcBorders>
              <w:top w:val="nil"/>
              <w:left w:val="nil"/>
              <w:bottom w:val="single" w:sz="4" w:space="0" w:color="auto"/>
              <w:right w:val="single" w:sz="4" w:space="0" w:color="auto"/>
            </w:tcBorders>
            <w:shd w:val="clear" w:color="000000" w:fill="FFFFFF"/>
            <w:vAlign w:val="center"/>
            <w:hideMark/>
          </w:tcPr>
          <w:p w14:paraId="00B8D0F3" w14:textId="77777777" w:rsidR="00275FE8" w:rsidRPr="00275FE8" w:rsidRDefault="00275FE8" w:rsidP="00275FE8">
            <w:pPr>
              <w:jc w:val="right"/>
              <w:rPr>
                <w:rFonts w:ascii="Arial Narrow" w:hAnsi="Arial Narrow" w:cs="Arial"/>
                <w:sz w:val="20"/>
                <w:szCs w:val="20"/>
              </w:rPr>
            </w:pPr>
            <w:r w:rsidRPr="00275FE8">
              <w:rPr>
                <w:rFonts w:ascii="Arial Narrow" w:hAnsi="Arial Narrow" w:cs="Arial"/>
                <w:sz w:val="20"/>
                <w:szCs w:val="20"/>
              </w:rPr>
              <w:t>27,7%</w:t>
            </w:r>
          </w:p>
        </w:tc>
      </w:tr>
      <w:tr w:rsidR="00275FE8" w:rsidRPr="00275FE8" w14:paraId="30542CD9" w14:textId="77777777" w:rsidTr="00275FE8">
        <w:trPr>
          <w:trHeight w:val="506"/>
        </w:trPr>
        <w:tc>
          <w:tcPr>
            <w:tcW w:w="3266" w:type="dxa"/>
            <w:tcBorders>
              <w:top w:val="nil"/>
              <w:left w:val="single" w:sz="4" w:space="0" w:color="auto"/>
              <w:bottom w:val="single" w:sz="4" w:space="0" w:color="auto"/>
              <w:right w:val="single" w:sz="4" w:space="0" w:color="auto"/>
            </w:tcBorders>
            <w:shd w:val="clear" w:color="000000" w:fill="FFFFFF"/>
            <w:vAlign w:val="center"/>
            <w:hideMark/>
          </w:tcPr>
          <w:p w14:paraId="76D86F5B" w14:textId="77777777" w:rsidR="00275FE8" w:rsidRPr="00275FE8" w:rsidRDefault="00275FE8" w:rsidP="00275FE8">
            <w:pPr>
              <w:rPr>
                <w:rFonts w:ascii="Arial Narrow" w:hAnsi="Arial Narrow" w:cs="Arial"/>
                <w:sz w:val="20"/>
                <w:szCs w:val="20"/>
              </w:rPr>
            </w:pPr>
            <w:r w:rsidRPr="00275FE8">
              <w:rPr>
                <w:rFonts w:ascii="Arial Narrow" w:hAnsi="Arial Narrow" w:cs="Arial"/>
                <w:sz w:val="20"/>
                <w:szCs w:val="20"/>
              </w:rPr>
              <w:t>Кафе, дори печено или декофеинизирано; черупки и люспи от кафе; заместители на кафе, съдържащи кафе, независимо от съотношението в сместа</w:t>
            </w:r>
          </w:p>
        </w:tc>
        <w:tc>
          <w:tcPr>
            <w:tcW w:w="1137" w:type="dxa"/>
            <w:tcBorders>
              <w:top w:val="nil"/>
              <w:left w:val="nil"/>
              <w:bottom w:val="single" w:sz="4" w:space="0" w:color="auto"/>
              <w:right w:val="single" w:sz="4" w:space="0" w:color="auto"/>
            </w:tcBorders>
            <w:shd w:val="clear" w:color="000000" w:fill="FFFFFF"/>
            <w:vAlign w:val="center"/>
            <w:hideMark/>
          </w:tcPr>
          <w:p w14:paraId="6834EAA5" w14:textId="77777777" w:rsidR="00275FE8" w:rsidRPr="00275FE8" w:rsidRDefault="00275FE8" w:rsidP="00275FE8">
            <w:pPr>
              <w:jc w:val="right"/>
              <w:rPr>
                <w:rFonts w:ascii="Arial Narrow" w:hAnsi="Arial Narrow" w:cs="Arial"/>
                <w:sz w:val="20"/>
                <w:szCs w:val="20"/>
              </w:rPr>
            </w:pPr>
            <w:r w:rsidRPr="00275FE8">
              <w:rPr>
                <w:rFonts w:ascii="Arial Narrow" w:hAnsi="Arial Narrow" w:cs="Arial"/>
                <w:sz w:val="20"/>
                <w:szCs w:val="20"/>
              </w:rPr>
              <w:t>34 073</w:t>
            </w:r>
          </w:p>
        </w:tc>
        <w:tc>
          <w:tcPr>
            <w:tcW w:w="1068" w:type="dxa"/>
            <w:tcBorders>
              <w:top w:val="nil"/>
              <w:left w:val="nil"/>
              <w:bottom w:val="single" w:sz="4" w:space="0" w:color="auto"/>
              <w:right w:val="single" w:sz="4" w:space="0" w:color="auto"/>
            </w:tcBorders>
            <w:shd w:val="clear" w:color="000000" w:fill="FFFFFF"/>
            <w:vAlign w:val="center"/>
            <w:hideMark/>
          </w:tcPr>
          <w:p w14:paraId="511AAE0E" w14:textId="77777777" w:rsidR="00275FE8" w:rsidRPr="00275FE8" w:rsidRDefault="00275FE8" w:rsidP="00275FE8">
            <w:pPr>
              <w:jc w:val="right"/>
              <w:rPr>
                <w:rFonts w:ascii="Arial Narrow" w:hAnsi="Arial Narrow" w:cs="Arial"/>
                <w:sz w:val="20"/>
                <w:szCs w:val="20"/>
              </w:rPr>
            </w:pPr>
            <w:r w:rsidRPr="00275FE8">
              <w:rPr>
                <w:rFonts w:ascii="Arial Narrow" w:hAnsi="Arial Narrow" w:cs="Arial"/>
                <w:sz w:val="20"/>
                <w:szCs w:val="20"/>
              </w:rPr>
              <w:t>159 306</w:t>
            </w:r>
          </w:p>
        </w:tc>
        <w:tc>
          <w:tcPr>
            <w:tcW w:w="1137" w:type="dxa"/>
            <w:tcBorders>
              <w:top w:val="nil"/>
              <w:left w:val="nil"/>
              <w:bottom w:val="single" w:sz="4" w:space="0" w:color="auto"/>
              <w:right w:val="single" w:sz="4" w:space="0" w:color="auto"/>
            </w:tcBorders>
            <w:shd w:val="clear" w:color="000000" w:fill="FFFFFF"/>
            <w:vAlign w:val="center"/>
            <w:hideMark/>
          </w:tcPr>
          <w:p w14:paraId="0794416E" w14:textId="77777777" w:rsidR="00275FE8" w:rsidRPr="00275FE8" w:rsidRDefault="00275FE8" w:rsidP="00275FE8">
            <w:pPr>
              <w:jc w:val="right"/>
              <w:rPr>
                <w:rFonts w:ascii="Arial Narrow" w:hAnsi="Arial Narrow" w:cs="Arial"/>
                <w:sz w:val="20"/>
                <w:szCs w:val="20"/>
              </w:rPr>
            </w:pPr>
            <w:r w:rsidRPr="00275FE8">
              <w:rPr>
                <w:rFonts w:ascii="Arial Narrow" w:hAnsi="Arial Narrow" w:cs="Arial"/>
                <w:sz w:val="20"/>
                <w:szCs w:val="20"/>
              </w:rPr>
              <w:t>40 469</w:t>
            </w:r>
          </w:p>
        </w:tc>
        <w:tc>
          <w:tcPr>
            <w:tcW w:w="1068" w:type="dxa"/>
            <w:tcBorders>
              <w:top w:val="nil"/>
              <w:left w:val="nil"/>
              <w:bottom w:val="single" w:sz="4" w:space="0" w:color="auto"/>
              <w:right w:val="single" w:sz="4" w:space="0" w:color="auto"/>
            </w:tcBorders>
            <w:shd w:val="clear" w:color="000000" w:fill="FFFFFF"/>
            <w:vAlign w:val="center"/>
            <w:hideMark/>
          </w:tcPr>
          <w:p w14:paraId="5D9ED37A" w14:textId="77777777" w:rsidR="00275FE8" w:rsidRPr="00275FE8" w:rsidRDefault="00275FE8" w:rsidP="00275FE8">
            <w:pPr>
              <w:jc w:val="right"/>
              <w:rPr>
                <w:rFonts w:ascii="Arial Narrow" w:hAnsi="Arial Narrow" w:cs="Arial"/>
                <w:sz w:val="20"/>
                <w:szCs w:val="20"/>
              </w:rPr>
            </w:pPr>
            <w:r w:rsidRPr="00275FE8">
              <w:rPr>
                <w:rFonts w:ascii="Arial Narrow" w:hAnsi="Arial Narrow" w:cs="Arial"/>
                <w:sz w:val="20"/>
                <w:szCs w:val="20"/>
              </w:rPr>
              <w:t>217 898</w:t>
            </w:r>
          </w:p>
        </w:tc>
        <w:tc>
          <w:tcPr>
            <w:tcW w:w="1137" w:type="dxa"/>
            <w:tcBorders>
              <w:top w:val="nil"/>
              <w:left w:val="nil"/>
              <w:bottom w:val="single" w:sz="4" w:space="0" w:color="auto"/>
              <w:right w:val="single" w:sz="4" w:space="0" w:color="auto"/>
            </w:tcBorders>
            <w:shd w:val="clear" w:color="000000" w:fill="FFFFFF"/>
            <w:vAlign w:val="center"/>
            <w:hideMark/>
          </w:tcPr>
          <w:p w14:paraId="3123EA34" w14:textId="77777777" w:rsidR="00275FE8" w:rsidRPr="00275FE8" w:rsidRDefault="00275FE8" w:rsidP="00275FE8">
            <w:pPr>
              <w:jc w:val="right"/>
              <w:rPr>
                <w:rFonts w:ascii="Arial Narrow" w:hAnsi="Arial Narrow" w:cs="Arial"/>
                <w:sz w:val="20"/>
                <w:szCs w:val="20"/>
              </w:rPr>
            </w:pPr>
            <w:r w:rsidRPr="00275FE8">
              <w:rPr>
                <w:rFonts w:ascii="Arial Narrow" w:hAnsi="Arial Narrow" w:cs="Arial"/>
                <w:sz w:val="20"/>
                <w:szCs w:val="20"/>
              </w:rPr>
              <w:t>18,8%</w:t>
            </w:r>
          </w:p>
        </w:tc>
        <w:tc>
          <w:tcPr>
            <w:tcW w:w="1068" w:type="dxa"/>
            <w:tcBorders>
              <w:top w:val="nil"/>
              <w:left w:val="nil"/>
              <w:bottom w:val="single" w:sz="4" w:space="0" w:color="auto"/>
              <w:right w:val="single" w:sz="4" w:space="0" w:color="auto"/>
            </w:tcBorders>
            <w:shd w:val="clear" w:color="000000" w:fill="FFFFFF"/>
            <w:vAlign w:val="center"/>
            <w:hideMark/>
          </w:tcPr>
          <w:p w14:paraId="49DCA289" w14:textId="77777777" w:rsidR="00275FE8" w:rsidRPr="00275FE8" w:rsidRDefault="00275FE8" w:rsidP="00275FE8">
            <w:pPr>
              <w:jc w:val="right"/>
              <w:rPr>
                <w:rFonts w:ascii="Arial Narrow" w:hAnsi="Arial Narrow" w:cs="Arial"/>
                <w:sz w:val="20"/>
                <w:szCs w:val="20"/>
              </w:rPr>
            </w:pPr>
            <w:r w:rsidRPr="00275FE8">
              <w:rPr>
                <w:rFonts w:ascii="Arial Narrow" w:hAnsi="Arial Narrow" w:cs="Arial"/>
                <w:sz w:val="20"/>
                <w:szCs w:val="20"/>
              </w:rPr>
              <w:t>36,8%</w:t>
            </w:r>
          </w:p>
        </w:tc>
      </w:tr>
      <w:tr w:rsidR="00275FE8" w:rsidRPr="00275FE8" w14:paraId="49A7ABC4" w14:textId="77777777" w:rsidTr="00275FE8">
        <w:trPr>
          <w:trHeight w:val="764"/>
        </w:trPr>
        <w:tc>
          <w:tcPr>
            <w:tcW w:w="326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8495AD3" w14:textId="77777777" w:rsidR="00275FE8" w:rsidRPr="00275FE8" w:rsidRDefault="00275FE8" w:rsidP="00275FE8">
            <w:pPr>
              <w:rPr>
                <w:rFonts w:ascii="Arial Narrow" w:hAnsi="Arial Narrow" w:cs="Arial"/>
                <w:sz w:val="20"/>
                <w:szCs w:val="20"/>
              </w:rPr>
            </w:pPr>
            <w:r w:rsidRPr="00275FE8">
              <w:rPr>
                <w:rFonts w:ascii="Arial Narrow" w:hAnsi="Arial Narrow" w:cs="Arial"/>
                <w:sz w:val="20"/>
                <w:szCs w:val="20"/>
              </w:rPr>
              <w:t xml:space="preserve">Води, включително минералните води и газираните води, и други безалкохолни напитки </w:t>
            </w:r>
          </w:p>
        </w:tc>
        <w:tc>
          <w:tcPr>
            <w:tcW w:w="113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12E09E6" w14:textId="77777777" w:rsidR="00275FE8" w:rsidRPr="00275FE8" w:rsidRDefault="00275FE8" w:rsidP="00275FE8">
            <w:pPr>
              <w:jc w:val="right"/>
              <w:rPr>
                <w:rFonts w:ascii="Arial Narrow" w:hAnsi="Arial Narrow" w:cs="Arial"/>
                <w:sz w:val="20"/>
                <w:szCs w:val="20"/>
              </w:rPr>
            </w:pPr>
            <w:r w:rsidRPr="00275FE8">
              <w:rPr>
                <w:rFonts w:ascii="Arial Narrow" w:hAnsi="Arial Narrow" w:cs="Arial"/>
                <w:sz w:val="20"/>
                <w:szCs w:val="20"/>
              </w:rPr>
              <w:t>221 069</w:t>
            </w:r>
          </w:p>
        </w:tc>
        <w:tc>
          <w:tcPr>
            <w:tcW w:w="106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E3E8DB3" w14:textId="77777777" w:rsidR="00275FE8" w:rsidRPr="00275FE8" w:rsidRDefault="00275FE8" w:rsidP="00275FE8">
            <w:pPr>
              <w:jc w:val="right"/>
              <w:rPr>
                <w:rFonts w:ascii="Arial Narrow" w:hAnsi="Arial Narrow" w:cs="Arial"/>
                <w:sz w:val="20"/>
                <w:szCs w:val="20"/>
              </w:rPr>
            </w:pPr>
            <w:r w:rsidRPr="00275FE8">
              <w:rPr>
                <w:rFonts w:ascii="Arial Narrow" w:hAnsi="Arial Narrow" w:cs="Arial"/>
                <w:sz w:val="20"/>
                <w:szCs w:val="20"/>
              </w:rPr>
              <w:t>176 092</w:t>
            </w:r>
          </w:p>
        </w:tc>
        <w:tc>
          <w:tcPr>
            <w:tcW w:w="113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0CF015E" w14:textId="77777777" w:rsidR="00275FE8" w:rsidRPr="00275FE8" w:rsidRDefault="00275FE8" w:rsidP="00275FE8">
            <w:pPr>
              <w:jc w:val="right"/>
              <w:rPr>
                <w:rFonts w:ascii="Arial Narrow" w:hAnsi="Arial Narrow" w:cs="Arial"/>
                <w:sz w:val="20"/>
                <w:szCs w:val="20"/>
              </w:rPr>
            </w:pPr>
            <w:r w:rsidRPr="00275FE8">
              <w:rPr>
                <w:rFonts w:ascii="Arial Narrow" w:hAnsi="Arial Narrow" w:cs="Arial"/>
                <w:sz w:val="20"/>
                <w:szCs w:val="20"/>
              </w:rPr>
              <w:t>259 691</w:t>
            </w:r>
          </w:p>
        </w:tc>
        <w:tc>
          <w:tcPr>
            <w:tcW w:w="106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0743802" w14:textId="77777777" w:rsidR="00275FE8" w:rsidRPr="00275FE8" w:rsidRDefault="00275FE8" w:rsidP="00275FE8">
            <w:pPr>
              <w:jc w:val="right"/>
              <w:rPr>
                <w:rFonts w:ascii="Arial Narrow" w:hAnsi="Arial Narrow" w:cs="Arial"/>
                <w:color w:val="000000"/>
                <w:sz w:val="20"/>
                <w:szCs w:val="20"/>
              </w:rPr>
            </w:pPr>
            <w:r w:rsidRPr="00275FE8">
              <w:rPr>
                <w:rFonts w:ascii="Arial Narrow" w:hAnsi="Arial Narrow" w:cs="Arial"/>
                <w:color w:val="000000"/>
                <w:sz w:val="20"/>
                <w:szCs w:val="20"/>
              </w:rPr>
              <w:t>205 491</w:t>
            </w:r>
          </w:p>
        </w:tc>
        <w:tc>
          <w:tcPr>
            <w:tcW w:w="113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5957BCB" w14:textId="77777777" w:rsidR="00275FE8" w:rsidRPr="00275FE8" w:rsidRDefault="00275FE8" w:rsidP="00275FE8">
            <w:pPr>
              <w:jc w:val="right"/>
              <w:rPr>
                <w:rFonts w:ascii="Arial Narrow" w:hAnsi="Arial Narrow" w:cs="Arial"/>
                <w:sz w:val="20"/>
                <w:szCs w:val="20"/>
              </w:rPr>
            </w:pPr>
            <w:r w:rsidRPr="00275FE8">
              <w:rPr>
                <w:rFonts w:ascii="Arial Narrow" w:hAnsi="Arial Narrow" w:cs="Arial"/>
                <w:sz w:val="20"/>
                <w:szCs w:val="20"/>
              </w:rPr>
              <w:t>17,5%</w:t>
            </w:r>
          </w:p>
        </w:tc>
        <w:tc>
          <w:tcPr>
            <w:tcW w:w="106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2BAF722" w14:textId="77777777" w:rsidR="00275FE8" w:rsidRPr="00275FE8" w:rsidRDefault="00275FE8" w:rsidP="00275FE8">
            <w:pPr>
              <w:jc w:val="right"/>
              <w:rPr>
                <w:rFonts w:ascii="Arial Narrow" w:hAnsi="Arial Narrow" w:cs="Arial"/>
                <w:sz w:val="20"/>
                <w:szCs w:val="20"/>
              </w:rPr>
            </w:pPr>
            <w:r w:rsidRPr="00275FE8">
              <w:rPr>
                <w:rFonts w:ascii="Arial Narrow" w:hAnsi="Arial Narrow" w:cs="Arial"/>
                <w:sz w:val="20"/>
                <w:szCs w:val="20"/>
              </w:rPr>
              <w:t>16,7%</w:t>
            </w:r>
          </w:p>
        </w:tc>
      </w:tr>
      <w:tr w:rsidR="00275FE8" w:rsidRPr="00275FE8" w14:paraId="1767B166" w14:textId="77777777" w:rsidTr="00275FE8">
        <w:trPr>
          <w:trHeight w:val="509"/>
        </w:trPr>
        <w:tc>
          <w:tcPr>
            <w:tcW w:w="326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07564EE" w14:textId="77777777" w:rsidR="00275FE8" w:rsidRPr="00275FE8" w:rsidRDefault="00275FE8" w:rsidP="00275FE8">
            <w:pPr>
              <w:rPr>
                <w:rFonts w:ascii="Arial Narrow" w:hAnsi="Arial Narrow" w:cs="Arial"/>
                <w:sz w:val="20"/>
                <w:szCs w:val="20"/>
              </w:rPr>
            </w:pPr>
            <w:r w:rsidRPr="00275FE8">
              <w:rPr>
                <w:rFonts w:ascii="Arial Narrow" w:hAnsi="Arial Narrow" w:cs="Arial"/>
                <w:sz w:val="20"/>
                <w:szCs w:val="20"/>
              </w:rPr>
              <w:t>Хранителни продукти, неупоменати, нито включени другаде</w:t>
            </w:r>
          </w:p>
        </w:tc>
        <w:tc>
          <w:tcPr>
            <w:tcW w:w="1137" w:type="dxa"/>
            <w:tcBorders>
              <w:top w:val="single" w:sz="4" w:space="0" w:color="auto"/>
              <w:left w:val="nil"/>
              <w:bottom w:val="single" w:sz="4" w:space="0" w:color="auto"/>
              <w:right w:val="single" w:sz="4" w:space="0" w:color="auto"/>
            </w:tcBorders>
            <w:shd w:val="clear" w:color="000000" w:fill="FFFFFF"/>
            <w:vAlign w:val="center"/>
            <w:hideMark/>
          </w:tcPr>
          <w:p w14:paraId="72ADD96C" w14:textId="77777777" w:rsidR="00275FE8" w:rsidRPr="00275FE8" w:rsidRDefault="00275FE8" w:rsidP="00275FE8">
            <w:pPr>
              <w:jc w:val="right"/>
              <w:rPr>
                <w:rFonts w:ascii="Arial Narrow" w:hAnsi="Arial Narrow" w:cs="Arial"/>
                <w:sz w:val="20"/>
                <w:szCs w:val="20"/>
              </w:rPr>
            </w:pPr>
            <w:r w:rsidRPr="00275FE8">
              <w:rPr>
                <w:rFonts w:ascii="Arial Narrow" w:hAnsi="Arial Narrow" w:cs="Arial"/>
                <w:sz w:val="20"/>
                <w:szCs w:val="20"/>
              </w:rPr>
              <w:t>28 776</w:t>
            </w:r>
          </w:p>
        </w:tc>
        <w:tc>
          <w:tcPr>
            <w:tcW w:w="1068" w:type="dxa"/>
            <w:tcBorders>
              <w:top w:val="single" w:sz="4" w:space="0" w:color="auto"/>
              <w:left w:val="nil"/>
              <w:bottom w:val="single" w:sz="4" w:space="0" w:color="auto"/>
              <w:right w:val="single" w:sz="4" w:space="0" w:color="auto"/>
            </w:tcBorders>
            <w:shd w:val="clear" w:color="000000" w:fill="FFFFFF"/>
            <w:vAlign w:val="center"/>
            <w:hideMark/>
          </w:tcPr>
          <w:p w14:paraId="127AF1B5" w14:textId="77777777" w:rsidR="00275FE8" w:rsidRPr="00275FE8" w:rsidRDefault="00275FE8" w:rsidP="00275FE8">
            <w:pPr>
              <w:jc w:val="right"/>
              <w:rPr>
                <w:rFonts w:ascii="Arial Narrow" w:hAnsi="Arial Narrow" w:cs="Arial"/>
                <w:sz w:val="20"/>
                <w:szCs w:val="20"/>
              </w:rPr>
            </w:pPr>
            <w:r w:rsidRPr="00275FE8">
              <w:rPr>
                <w:rFonts w:ascii="Arial Narrow" w:hAnsi="Arial Narrow" w:cs="Arial"/>
                <w:sz w:val="20"/>
                <w:szCs w:val="20"/>
              </w:rPr>
              <w:t>203 650</w:t>
            </w:r>
          </w:p>
        </w:tc>
        <w:tc>
          <w:tcPr>
            <w:tcW w:w="1137" w:type="dxa"/>
            <w:tcBorders>
              <w:top w:val="single" w:sz="4" w:space="0" w:color="auto"/>
              <w:left w:val="nil"/>
              <w:bottom w:val="single" w:sz="4" w:space="0" w:color="auto"/>
              <w:right w:val="single" w:sz="4" w:space="0" w:color="auto"/>
            </w:tcBorders>
            <w:shd w:val="clear" w:color="000000" w:fill="FFFFFF"/>
            <w:vAlign w:val="center"/>
            <w:hideMark/>
          </w:tcPr>
          <w:p w14:paraId="11976EC5" w14:textId="77777777" w:rsidR="00275FE8" w:rsidRPr="00275FE8" w:rsidRDefault="00275FE8" w:rsidP="00275FE8">
            <w:pPr>
              <w:jc w:val="right"/>
              <w:rPr>
                <w:rFonts w:ascii="Arial Narrow" w:hAnsi="Arial Narrow" w:cs="Arial"/>
                <w:sz w:val="20"/>
                <w:szCs w:val="20"/>
              </w:rPr>
            </w:pPr>
            <w:r w:rsidRPr="00275FE8">
              <w:rPr>
                <w:rFonts w:ascii="Arial Narrow" w:hAnsi="Arial Narrow" w:cs="Arial"/>
                <w:sz w:val="20"/>
                <w:szCs w:val="20"/>
              </w:rPr>
              <w:t>30 139</w:t>
            </w:r>
          </w:p>
        </w:tc>
        <w:tc>
          <w:tcPr>
            <w:tcW w:w="1068" w:type="dxa"/>
            <w:tcBorders>
              <w:top w:val="single" w:sz="4" w:space="0" w:color="auto"/>
              <w:left w:val="nil"/>
              <w:bottom w:val="single" w:sz="4" w:space="0" w:color="auto"/>
              <w:right w:val="single" w:sz="4" w:space="0" w:color="auto"/>
            </w:tcBorders>
            <w:shd w:val="clear" w:color="000000" w:fill="FFFFFF"/>
            <w:vAlign w:val="center"/>
            <w:hideMark/>
          </w:tcPr>
          <w:p w14:paraId="79813003" w14:textId="77777777" w:rsidR="00275FE8" w:rsidRPr="00275FE8" w:rsidRDefault="00275FE8" w:rsidP="00275FE8">
            <w:pPr>
              <w:jc w:val="right"/>
              <w:rPr>
                <w:rFonts w:ascii="Arial Narrow" w:hAnsi="Arial Narrow" w:cs="Arial"/>
                <w:color w:val="000000"/>
                <w:sz w:val="20"/>
                <w:szCs w:val="20"/>
              </w:rPr>
            </w:pPr>
            <w:r w:rsidRPr="00275FE8">
              <w:rPr>
                <w:rFonts w:ascii="Arial Narrow" w:hAnsi="Arial Narrow" w:cs="Arial"/>
                <w:color w:val="000000"/>
                <w:sz w:val="20"/>
                <w:szCs w:val="20"/>
              </w:rPr>
              <w:t>203 118</w:t>
            </w:r>
          </w:p>
        </w:tc>
        <w:tc>
          <w:tcPr>
            <w:tcW w:w="1137" w:type="dxa"/>
            <w:tcBorders>
              <w:top w:val="single" w:sz="4" w:space="0" w:color="auto"/>
              <w:left w:val="nil"/>
              <w:bottom w:val="single" w:sz="4" w:space="0" w:color="auto"/>
              <w:right w:val="single" w:sz="4" w:space="0" w:color="auto"/>
            </w:tcBorders>
            <w:shd w:val="clear" w:color="000000" w:fill="FFFFFF"/>
            <w:vAlign w:val="center"/>
            <w:hideMark/>
          </w:tcPr>
          <w:p w14:paraId="6C1BE8FC" w14:textId="77777777" w:rsidR="00275FE8" w:rsidRPr="00275FE8" w:rsidRDefault="00275FE8" w:rsidP="00275FE8">
            <w:pPr>
              <w:jc w:val="right"/>
              <w:rPr>
                <w:rFonts w:ascii="Arial Narrow" w:hAnsi="Arial Narrow" w:cs="Arial"/>
                <w:sz w:val="20"/>
                <w:szCs w:val="20"/>
              </w:rPr>
            </w:pPr>
            <w:r w:rsidRPr="00275FE8">
              <w:rPr>
                <w:rFonts w:ascii="Arial Narrow" w:hAnsi="Arial Narrow" w:cs="Arial"/>
                <w:sz w:val="20"/>
                <w:szCs w:val="20"/>
              </w:rPr>
              <w:t>4,7%</w:t>
            </w:r>
          </w:p>
        </w:tc>
        <w:tc>
          <w:tcPr>
            <w:tcW w:w="1068" w:type="dxa"/>
            <w:tcBorders>
              <w:top w:val="single" w:sz="4" w:space="0" w:color="auto"/>
              <w:left w:val="nil"/>
              <w:bottom w:val="single" w:sz="4" w:space="0" w:color="auto"/>
              <w:right w:val="single" w:sz="4" w:space="0" w:color="auto"/>
            </w:tcBorders>
            <w:shd w:val="clear" w:color="000000" w:fill="FFFFFF"/>
            <w:vAlign w:val="center"/>
            <w:hideMark/>
          </w:tcPr>
          <w:p w14:paraId="05C5FC2B" w14:textId="77777777" w:rsidR="00275FE8" w:rsidRPr="00275FE8" w:rsidRDefault="00275FE8" w:rsidP="00275FE8">
            <w:pPr>
              <w:jc w:val="right"/>
              <w:rPr>
                <w:rFonts w:ascii="Arial Narrow" w:hAnsi="Arial Narrow" w:cs="Arial"/>
                <w:sz w:val="20"/>
                <w:szCs w:val="20"/>
              </w:rPr>
            </w:pPr>
            <w:r w:rsidRPr="00275FE8">
              <w:rPr>
                <w:rFonts w:ascii="Arial Narrow" w:hAnsi="Arial Narrow" w:cs="Arial"/>
                <w:sz w:val="20"/>
                <w:szCs w:val="20"/>
              </w:rPr>
              <w:t>-0,3%</w:t>
            </w:r>
          </w:p>
        </w:tc>
      </w:tr>
      <w:tr w:rsidR="00275FE8" w:rsidRPr="00275FE8" w14:paraId="577841C6" w14:textId="77777777" w:rsidTr="00275FE8">
        <w:trPr>
          <w:trHeight w:val="254"/>
        </w:trPr>
        <w:tc>
          <w:tcPr>
            <w:tcW w:w="3266" w:type="dxa"/>
            <w:tcBorders>
              <w:top w:val="nil"/>
              <w:left w:val="single" w:sz="4" w:space="0" w:color="auto"/>
              <w:bottom w:val="single" w:sz="4" w:space="0" w:color="auto"/>
              <w:right w:val="single" w:sz="4" w:space="0" w:color="auto"/>
            </w:tcBorders>
            <w:shd w:val="clear" w:color="000000" w:fill="FFFFFF"/>
            <w:vAlign w:val="center"/>
            <w:hideMark/>
          </w:tcPr>
          <w:p w14:paraId="000D5D3E" w14:textId="77777777" w:rsidR="00275FE8" w:rsidRPr="00275FE8" w:rsidRDefault="00275FE8" w:rsidP="00275FE8">
            <w:pPr>
              <w:rPr>
                <w:rFonts w:ascii="Arial Narrow" w:hAnsi="Arial Narrow" w:cs="Arial"/>
                <w:sz w:val="20"/>
                <w:szCs w:val="20"/>
              </w:rPr>
            </w:pPr>
            <w:r w:rsidRPr="00275FE8">
              <w:rPr>
                <w:rFonts w:ascii="Arial Narrow" w:hAnsi="Arial Narrow" w:cs="Arial"/>
                <w:sz w:val="20"/>
                <w:szCs w:val="20"/>
              </w:rPr>
              <w:t>Сирена и извара</w:t>
            </w:r>
          </w:p>
        </w:tc>
        <w:tc>
          <w:tcPr>
            <w:tcW w:w="1137" w:type="dxa"/>
            <w:tcBorders>
              <w:top w:val="nil"/>
              <w:left w:val="nil"/>
              <w:bottom w:val="single" w:sz="4" w:space="0" w:color="auto"/>
              <w:right w:val="single" w:sz="4" w:space="0" w:color="auto"/>
            </w:tcBorders>
            <w:shd w:val="clear" w:color="000000" w:fill="FFFFFF"/>
            <w:vAlign w:val="center"/>
            <w:hideMark/>
          </w:tcPr>
          <w:p w14:paraId="1BBEB611" w14:textId="77777777" w:rsidR="00275FE8" w:rsidRPr="00275FE8" w:rsidRDefault="00275FE8" w:rsidP="00275FE8">
            <w:pPr>
              <w:jc w:val="right"/>
              <w:rPr>
                <w:rFonts w:ascii="Arial Narrow" w:hAnsi="Arial Narrow" w:cs="Arial"/>
                <w:sz w:val="20"/>
                <w:szCs w:val="20"/>
              </w:rPr>
            </w:pPr>
            <w:r w:rsidRPr="00275FE8">
              <w:rPr>
                <w:rFonts w:ascii="Arial Narrow" w:hAnsi="Arial Narrow" w:cs="Arial"/>
                <w:sz w:val="20"/>
                <w:szCs w:val="20"/>
              </w:rPr>
              <w:t>37 586</w:t>
            </w:r>
          </w:p>
        </w:tc>
        <w:tc>
          <w:tcPr>
            <w:tcW w:w="1068" w:type="dxa"/>
            <w:tcBorders>
              <w:top w:val="nil"/>
              <w:left w:val="nil"/>
              <w:bottom w:val="single" w:sz="4" w:space="0" w:color="auto"/>
              <w:right w:val="single" w:sz="4" w:space="0" w:color="auto"/>
            </w:tcBorders>
            <w:shd w:val="clear" w:color="000000" w:fill="FFFFFF"/>
            <w:vAlign w:val="center"/>
            <w:hideMark/>
          </w:tcPr>
          <w:p w14:paraId="7E5B79E6" w14:textId="77777777" w:rsidR="00275FE8" w:rsidRPr="00275FE8" w:rsidRDefault="00275FE8" w:rsidP="00275FE8">
            <w:pPr>
              <w:jc w:val="right"/>
              <w:rPr>
                <w:rFonts w:ascii="Arial Narrow" w:hAnsi="Arial Narrow" w:cs="Arial"/>
                <w:sz w:val="20"/>
                <w:szCs w:val="20"/>
              </w:rPr>
            </w:pPr>
            <w:r w:rsidRPr="00275FE8">
              <w:rPr>
                <w:rFonts w:ascii="Arial Narrow" w:hAnsi="Arial Narrow" w:cs="Arial"/>
                <w:sz w:val="20"/>
                <w:szCs w:val="20"/>
              </w:rPr>
              <w:t>160 186</w:t>
            </w:r>
          </w:p>
        </w:tc>
        <w:tc>
          <w:tcPr>
            <w:tcW w:w="1137" w:type="dxa"/>
            <w:tcBorders>
              <w:top w:val="nil"/>
              <w:left w:val="nil"/>
              <w:bottom w:val="single" w:sz="4" w:space="0" w:color="auto"/>
              <w:right w:val="single" w:sz="4" w:space="0" w:color="auto"/>
            </w:tcBorders>
            <w:shd w:val="clear" w:color="000000" w:fill="FFFFFF"/>
            <w:vAlign w:val="center"/>
            <w:hideMark/>
          </w:tcPr>
          <w:p w14:paraId="16605E39" w14:textId="77777777" w:rsidR="00275FE8" w:rsidRPr="00275FE8" w:rsidRDefault="00275FE8" w:rsidP="00275FE8">
            <w:pPr>
              <w:jc w:val="right"/>
              <w:rPr>
                <w:rFonts w:ascii="Arial Narrow" w:hAnsi="Arial Narrow" w:cs="Arial"/>
                <w:sz w:val="20"/>
                <w:szCs w:val="20"/>
              </w:rPr>
            </w:pPr>
            <w:r w:rsidRPr="00275FE8">
              <w:rPr>
                <w:rFonts w:ascii="Arial Narrow" w:hAnsi="Arial Narrow" w:cs="Arial"/>
                <w:sz w:val="20"/>
                <w:szCs w:val="20"/>
              </w:rPr>
              <w:t>41 637</w:t>
            </w:r>
          </w:p>
        </w:tc>
        <w:tc>
          <w:tcPr>
            <w:tcW w:w="1068" w:type="dxa"/>
            <w:tcBorders>
              <w:top w:val="nil"/>
              <w:left w:val="nil"/>
              <w:bottom w:val="single" w:sz="4" w:space="0" w:color="auto"/>
              <w:right w:val="single" w:sz="4" w:space="0" w:color="auto"/>
            </w:tcBorders>
            <w:shd w:val="clear" w:color="000000" w:fill="FFFFFF"/>
            <w:vAlign w:val="center"/>
            <w:hideMark/>
          </w:tcPr>
          <w:p w14:paraId="0A0B7951" w14:textId="77777777" w:rsidR="00275FE8" w:rsidRPr="00275FE8" w:rsidRDefault="00275FE8" w:rsidP="00275FE8">
            <w:pPr>
              <w:jc w:val="right"/>
              <w:rPr>
                <w:rFonts w:ascii="Arial Narrow" w:hAnsi="Arial Narrow" w:cs="Arial"/>
                <w:sz w:val="20"/>
                <w:szCs w:val="20"/>
              </w:rPr>
            </w:pPr>
            <w:r w:rsidRPr="00275FE8">
              <w:rPr>
                <w:rFonts w:ascii="Arial Narrow" w:hAnsi="Arial Narrow" w:cs="Arial"/>
                <w:sz w:val="20"/>
                <w:szCs w:val="20"/>
              </w:rPr>
              <w:t>187 693</w:t>
            </w:r>
          </w:p>
        </w:tc>
        <w:tc>
          <w:tcPr>
            <w:tcW w:w="1137" w:type="dxa"/>
            <w:tcBorders>
              <w:top w:val="nil"/>
              <w:left w:val="nil"/>
              <w:bottom w:val="single" w:sz="4" w:space="0" w:color="auto"/>
              <w:right w:val="single" w:sz="4" w:space="0" w:color="auto"/>
            </w:tcBorders>
            <w:shd w:val="clear" w:color="000000" w:fill="FFFFFF"/>
            <w:vAlign w:val="center"/>
            <w:hideMark/>
          </w:tcPr>
          <w:p w14:paraId="7539CC46" w14:textId="77777777" w:rsidR="00275FE8" w:rsidRPr="00275FE8" w:rsidRDefault="00275FE8" w:rsidP="00275FE8">
            <w:pPr>
              <w:jc w:val="right"/>
              <w:rPr>
                <w:rFonts w:ascii="Arial Narrow" w:hAnsi="Arial Narrow" w:cs="Arial"/>
                <w:sz w:val="20"/>
                <w:szCs w:val="20"/>
              </w:rPr>
            </w:pPr>
            <w:r w:rsidRPr="00275FE8">
              <w:rPr>
                <w:rFonts w:ascii="Arial Narrow" w:hAnsi="Arial Narrow" w:cs="Arial"/>
                <w:sz w:val="20"/>
                <w:szCs w:val="20"/>
              </w:rPr>
              <w:t>10,8%</w:t>
            </w:r>
          </w:p>
        </w:tc>
        <w:tc>
          <w:tcPr>
            <w:tcW w:w="1068" w:type="dxa"/>
            <w:tcBorders>
              <w:top w:val="nil"/>
              <w:left w:val="nil"/>
              <w:bottom w:val="single" w:sz="4" w:space="0" w:color="auto"/>
              <w:right w:val="single" w:sz="4" w:space="0" w:color="auto"/>
            </w:tcBorders>
            <w:shd w:val="clear" w:color="000000" w:fill="FFFFFF"/>
            <w:vAlign w:val="center"/>
            <w:hideMark/>
          </w:tcPr>
          <w:p w14:paraId="455E8DF1" w14:textId="77777777" w:rsidR="00275FE8" w:rsidRPr="00275FE8" w:rsidRDefault="00275FE8" w:rsidP="00275FE8">
            <w:pPr>
              <w:jc w:val="right"/>
              <w:rPr>
                <w:rFonts w:ascii="Arial Narrow" w:hAnsi="Arial Narrow" w:cs="Arial"/>
                <w:sz w:val="20"/>
                <w:szCs w:val="20"/>
              </w:rPr>
            </w:pPr>
            <w:r w:rsidRPr="00275FE8">
              <w:rPr>
                <w:rFonts w:ascii="Arial Narrow" w:hAnsi="Arial Narrow" w:cs="Arial"/>
                <w:sz w:val="20"/>
                <w:szCs w:val="20"/>
              </w:rPr>
              <w:t>17,2%</w:t>
            </w:r>
          </w:p>
        </w:tc>
      </w:tr>
      <w:tr w:rsidR="00275FE8" w:rsidRPr="00275FE8" w14:paraId="74C1B1D6" w14:textId="77777777" w:rsidTr="00275FE8">
        <w:trPr>
          <w:trHeight w:val="1273"/>
        </w:trPr>
        <w:tc>
          <w:tcPr>
            <w:tcW w:w="326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B801FFF" w14:textId="77777777" w:rsidR="00275FE8" w:rsidRPr="00275FE8" w:rsidRDefault="00275FE8" w:rsidP="00275FE8">
            <w:pPr>
              <w:rPr>
                <w:rFonts w:ascii="Arial Narrow" w:hAnsi="Arial Narrow" w:cs="Arial"/>
                <w:sz w:val="20"/>
                <w:szCs w:val="20"/>
              </w:rPr>
            </w:pPr>
            <w:r w:rsidRPr="00275FE8">
              <w:rPr>
                <w:rFonts w:ascii="Arial Narrow" w:hAnsi="Arial Narrow" w:cs="Arial"/>
                <w:sz w:val="20"/>
                <w:szCs w:val="20"/>
              </w:rPr>
              <w:lastRenderedPageBreak/>
              <w:t>Етилов алкохол, неденатуриран, с алкохолно съдържание по обем под 80 % vol; дестилати, ликьори и други спиртни напитки (с изключение на  алкохолни препарати за производство на напитки)</w:t>
            </w:r>
          </w:p>
        </w:tc>
        <w:tc>
          <w:tcPr>
            <w:tcW w:w="113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D585606" w14:textId="77777777" w:rsidR="00275FE8" w:rsidRPr="00275FE8" w:rsidRDefault="00275FE8" w:rsidP="00275FE8">
            <w:pPr>
              <w:jc w:val="right"/>
              <w:rPr>
                <w:rFonts w:ascii="Arial Narrow" w:hAnsi="Arial Narrow" w:cs="Arial"/>
                <w:sz w:val="20"/>
                <w:szCs w:val="20"/>
              </w:rPr>
            </w:pPr>
            <w:r w:rsidRPr="00275FE8">
              <w:rPr>
                <w:rFonts w:ascii="Arial Narrow" w:hAnsi="Arial Narrow" w:cs="Arial"/>
                <w:sz w:val="20"/>
                <w:szCs w:val="20"/>
              </w:rPr>
              <w:t>25 132</w:t>
            </w:r>
          </w:p>
        </w:tc>
        <w:tc>
          <w:tcPr>
            <w:tcW w:w="106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0E8FC99" w14:textId="77777777" w:rsidR="00275FE8" w:rsidRPr="00275FE8" w:rsidRDefault="00275FE8" w:rsidP="00275FE8">
            <w:pPr>
              <w:jc w:val="right"/>
              <w:rPr>
                <w:rFonts w:ascii="Arial Narrow" w:hAnsi="Arial Narrow" w:cs="Arial"/>
                <w:sz w:val="20"/>
                <w:szCs w:val="20"/>
              </w:rPr>
            </w:pPr>
            <w:r w:rsidRPr="00275FE8">
              <w:rPr>
                <w:rFonts w:ascii="Arial Narrow" w:hAnsi="Arial Narrow" w:cs="Arial"/>
                <w:sz w:val="20"/>
                <w:szCs w:val="20"/>
              </w:rPr>
              <w:t>169 709</w:t>
            </w:r>
          </w:p>
        </w:tc>
        <w:tc>
          <w:tcPr>
            <w:tcW w:w="113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52F39F3" w14:textId="77777777" w:rsidR="00275FE8" w:rsidRPr="00275FE8" w:rsidRDefault="00275FE8" w:rsidP="00275FE8">
            <w:pPr>
              <w:jc w:val="right"/>
              <w:rPr>
                <w:rFonts w:ascii="Arial Narrow" w:hAnsi="Arial Narrow" w:cs="Arial"/>
                <w:sz w:val="20"/>
                <w:szCs w:val="20"/>
              </w:rPr>
            </w:pPr>
            <w:r w:rsidRPr="00275FE8">
              <w:rPr>
                <w:rFonts w:ascii="Arial Narrow" w:hAnsi="Arial Narrow" w:cs="Arial"/>
                <w:sz w:val="20"/>
                <w:szCs w:val="20"/>
              </w:rPr>
              <w:t>25 490</w:t>
            </w:r>
          </w:p>
        </w:tc>
        <w:tc>
          <w:tcPr>
            <w:tcW w:w="106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FCED3E0" w14:textId="77777777" w:rsidR="00275FE8" w:rsidRPr="00275FE8" w:rsidRDefault="00275FE8" w:rsidP="00275FE8">
            <w:pPr>
              <w:jc w:val="right"/>
              <w:rPr>
                <w:rFonts w:ascii="Arial Narrow" w:hAnsi="Arial Narrow" w:cs="Arial"/>
                <w:sz w:val="20"/>
                <w:szCs w:val="20"/>
              </w:rPr>
            </w:pPr>
            <w:r w:rsidRPr="00275FE8">
              <w:rPr>
                <w:rFonts w:ascii="Arial Narrow" w:hAnsi="Arial Narrow" w:cs="Arial"/>
                <w:sz w:val="20"/>
                <w:szCs w:val="20"/>
              </w:rPr>
              <w:t>172 534</w:t>
            </w:r>
          </w:p>
        </w:tc>
        <w:tc>
          <w:tcPr>
            <w:tcW w:w="113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CA33158" w14:textId="77777777" w:rsidR="00275FE8" w:rsidRPr="00275FE8" w:rsidRDefault="00275FE8" w:rsidP="00275FE8">
            <w:pPr>
              <w:jc w:val="right"/>
              <w:rPr>
                <w:rFonts w:ascii="Arial Narrow" w:hAnsi="Arial Narrow" w:cs="Arial"/>
                <w:sz w:val="20"/>
                <w:szCs w:val="20"/>
              </w:rPr>
            </w:pPr>
            <w:r w:rsidRPr="00275FE8">
              <w:rPr>
                <w:rFonts w:ascii="Arial Narrow" w:hAnsi="Arial Narrow" w:cs="Arial"/>
                <w:sz w:val="20"/>
                <w:szCs w:val="20"/>
              </w:rPr>
              <w:t>1,4%</w:t>
            </w:r>
          </w:p>
        </w:tc>
        <w:tc>
          <w:tcPr>
            <w:tcW w:w="106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BA8C606" w14:textId="77777777" w:rsidR="00275FE8" w:rsidRPr="00275FE8" w:rsidRDefault="00275FE8" w:rsidP="00275FE8">
            <w:pPr>
              <w:jc w:val="right"/>
              <w:rPr>
                <w:rFonts w:ascii="Arial Narrow" w:hAnsi="Arial Narrow" w:cs="Arial"/>
                <w:sz w:val="20"/>
                <w:szCs w:val="20"/>
              </w:rPr>
            </w:pPr>
            <w:r w:rsidRPr="00275FE8">
              <w:rPr>
                <w:rFonts w:ascii="Arial Narrow" w:hAnsi="Arial Narrow" w:cs="Arial"/>
                <w:sz w:val="20"/>
                <w:szCs w:val="20"/>
              </w:rPr>
              <w:t>1,7%</w:t>
            </w:r>
          </w:p>
        </w:tc>
      </w:tr>
      <w:tr w:rsidR="00275FE8" w:rsidRPr="00275FE8" w14:paraId="3700F56A" w14:textId="77777777" w:rsidTr="00275FE8">
        <w:trPr>
          <w:trHeight w:val="254"/>
        </w:trPr>
        <w:tc>
          <w:tcPr>
            <w:tcW w:w="326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5D060E5" w14:textId="77777777" w:rsidR="00275FE8" w:rsidRPr="00275FE8" w:rsidRDefault="00275FE8" w:rsidP="00275FE8">
            <w:pPr>
              <w:rPr>
                <w:rFonts w:ascii="Arial Narrow" w:hAnsi="Arial Narrow" w:cs="Arial"/>
                <w:sz w:val="20"/>
                <w:szCs w:val="20"/>
              </w:rPr>
            </w:pPr>
            <w:r w:rsidRPr="00275FE8">
              <w:rPr>
                <w:rFonts w:ascii="Arial Narrow" w:hAnsi="Arial Narrow" w:cs="Arial"/>
                <w:sz w:val="20"/>
                <w:szCs w:val="20"/>
              </w:rPr>
              <w:t>Птиче месo и карантии</w:t>
            </w:r>
          </w:p>
        </w:tc>
        <w:tc>
          <w:tcPr>
            <w:tcW w:w="1137" w:type="dxa"/>
            <w:tcBorders>
              <w:top w:val="single" w:sz="4" w:space="0" w:color="auto"/>
              <w:left w:val="nil"/>
              <w:bottom w:val="single" w:sz="4" w:space="0" w:color="auto"/>
              <w:right w:val="single" w:sz="4" w:space="0" w:color="auto"/>
            </w:tcBorders>
            <w:shd w:val="clear" w:color="000000" w:fill="FFFFFF"/>
            <w:vAlign w:val="center"/>
            <w:hideMark/>
          </w:tcPr>
          <w:p w14:paraId="6621F84C" w14:textId="77777777" w:rsidR="00275FE8" w:rsidRPr="00275FE8" w:rsidRDefault="00275FE8" w:rsidP="00275FE8">
            <w:pPr>
              <w:jc w:val="right"/>
              <w:rPr>
                <w:rFonts w:ascii="Arial Narrow" w:hAnsi="Arial Narrow" w:cs="Arial"/>
                <w:sz w:val="20"/>
                <w:szCs w:val="20"/>
              </w:rPr>
            </w:pPr>
            <w:r w:rsidRPr="00275FE8">
              <w:rPr>
                <w:rFonts w:ascii="Arial Narrow" w:hAnsi="Arial Narrow" w:cs="Arial"/>
                <w:sz w:val="20"/>
                <w:szCs w:val="20"/>
              </w:rPr>
              <w:t>103 223</w:t>
            </w:r>
          </w:p>
        </w:tc>
        <w:tc>
          <w:tcPr>
            <w:tcW w:w="1068" w:type="dxa"/>
            <w:tcBorders>
              <w:top w:val="single" w:sz="4" w:space="0" w:color="auto"/>
              <w:left w:val="nil"/>
              <w:bottom w:val="single" w:sz="4" w:space="0" w:color="auto"/>
              <w:right w:val="single" w:sz="4" w:space="0" w:color="auto"/>
            </w:tcBorders>
            <w:shd w:val="clear" w:color="000000" w:fill="FFFFFF"/>
            <w:vAlign w:val="center"/>
            <w:hideMark/>
          </w:tcPr>
          <w:p w14:paraId="403F63E9" w14:textId="77777777" w:rsidR="00275FE8" w:rsidRPr="00275FE8" w:rsidRDefault="00275FE8" w:rsidP="00275FE8">
            <w:pPr>
              <w:jc w:val="right"/>
              <w:rPr>
                <w:rFonts w:ascii="Arial Narrow" w:hAnsi="Arial Narrow" w:cs="Arial"/>
                <w:sz w:val="20"/>
                <w:szCs w:val="20"/>
              </w:rPr>
            </w:pPr>
            <w:r w:rsidRPr="00275FE8">
              <w:rPr>
                <w:rFonts w:ascii="Arial Narrow" w:hAnsi="Arial Narrow" w:cs="Arial"/>
                <w:sz w:val="20"/>
                <w:szCs w:val="20"/>
              </w:rPr>
              <w:t>162 131</w:t>
            </w:r>
          </w:p>
        </w:tc>
        <w:tc>
          <w:tcPr>
            <w:tcW w:w="1137" w:type="dxa"/>
            <w:tcBorders>
              <w:top w:val="single" w:sz="4" w:space="0" w:color="auto"/>
              <w:left w:val="nil"/>
              <w:bottom w:val="single" w:sz="4" w:space="0" w:color="auto"/>
              <w:right w:val="single" w:sz="4" w:space="0" w:color="auto"/>
            </w:tcBorders>
            <w:shd w:val="clear" w:color="000000" w:fill="FFFFFF"/>
            <w:vAlign w:val="center"/>
            <w:hideMark/>
          </w:tcPr>
          <w:p w14:paraId="5AE8B57D" w14:textId="77777777" w:rsidR="00275FE8" w:rsidRPr="00275FE8" w:rsidRDefault="00275FE8" w:rsidP="00275FE8">
            <w:pPr>
              <w:jc w:val="right"/>
              <w:rPr>
                <w:rFonts w:ascii="Arial Narrow" w:hAnsi="Arial Narrow" w:cs="Arial"/>
                <w:sz w:val="20"/>
                <w:szCs w:val="20"/>
              </w:rPr>
            </w:pPr>
            <w:r w:rsidRPr="00275FE8">
              <w:rPr>
                <w:rFonts w:ascii="Arial Narrow" w:hAnsi="Arial Narrow" w:cs="Arial"/>
                <w:sz w:val="20"/>
                <w:szCs w:val="20"/>
              </w:rPr>
              <w:t>102 501</w:t>
            </w:r>
          </w:p>
        </w:tc>
        <w:tc>
          <w:tcPr>
            <w:tcW w:w="1068" w:type="dxa"/>
            <w:tcBorders>
              <w:top w:val="single" w:sz="4" w:space="0" w:color="auto"/>
              <w:left w:val="nil"/>
              <w:bottom w:val="single" w:sz="4" w:space="0" w:color="auto"/>
              <w:right w:val="single" w:sz="4" w:space="0" w:color="auto"/>
            </w:tcBorders>
            <w:shd w:val="clear" w:color="000000" w:fill="FFFFFF"/>
            <w:vAlign w:val="center"/>
            <w:hideMark/>
          </w:tcPr>
          <w:p w14:paraId="2C876011" w14:textId="77777777" w:rsidR="00275FE8" w:rsidRPr="00275FE8" w:rsidRDefault="00275FE8" w:rsidP="00275FE8">
            <w:pPr>
              <w:jc w:val="right"/>
              <w:rPr>
                <w:rFonts w:ascii="Arial Narrow" w:hAnsi="Arial Narrow" w:cs="Arial"/>
                <w:sz w:val="20"/>
                <w:szCs w:val="20"/>
              </w:rPr>
            </w:pPr>
            <w:r w:rsidRPr="00275FE8">
              <w:rPr>
                <w:rFonts w:ascii="Arial Narrow" w:hAnsi="Arial Narrow" w:cs="Arial"/>
                <w:sz w:val="20"/>
                <w:szCs w:val="20"/>
              </w:rPr>
              <w:t>171 653</w:t>
            </w:r>
          </w:p>
        </w:tc>
        <w:tc>
          <w:tcPr>
            <w:tcW w:w="1137" w:type="dxa"/>
            <w:tcBorders>
              <w:top w:val="single" w:sz="4" w:space="0" w:color="auto"/>
              <w:left w:val="nil"/>
              <w:bottom w:val="single" w:sz="4" w:space="0" w:color="auto"/>
              <w:right w:val="single" w:sz="4" w:space="0" w:color="auto"/>
            </w:tcBorders>
            <w:shd w:val="clear" w:color="000000" w:fill="FFFFFF"/>
            <w:vAlign w:val="center"/>
            <w:hideMark/>
          </w:tcPr>
          <w:p w14:paraId="607D35FA" w14:textId="77777777" w:rsidR="00275FE8" w:rsidRPr="00275FE8" w:rsidRDefault="00275FE8" w:rsidP="00275FE8">
            <w:pPr>
              <w:jc w:val="right"/>
              <w:rPr>
                <w:rFonts w:ascii="Arial Narrow" w:hAnsi="Arial Narrow" w:cs="Arial"/>
                <w:sz w:val="20"/>
                <w:szCs w:val="20"/>
              </w:rPr>
            </w:pPr>
            <w:r w:rsidRPr="00275FE8">
              <w:rPr>
                <w:rFonts w:ascii="Arial Narrow" w:hAnsi="Arial Narrow" w:cs="Arial"/>
                <w:sz w:val="20"/>
                <w:szCs w:val="20"/>
              </w:rPr>
              <w:t>-0,7%</w:t>
            </w:r>
          </w:p>
        </w:tc>
        <w:tc>
          <w:tcPr>
            <w:tcW w:w="1068" w:type="dxa"/>
            <w:tcBorders>
              <w:top w:val="single" w:sz="4" w:space="0" w:color="auto"/>
              <w:left w:val="nil"/>
              <w:bottom w:val="single" w:sz="4" w:space="0" w:color="auto"/>
              <w:right w:val="single" w:sz="4" w:space="0" w:color="auto"/>
            </w:tcBorders>
            <w:shd w:val="clear" w:color="000000" w:fill="FFFFFF"/>
            <w:vAlign w:val="center"/>
            <w:hideMark/>
          </w:tcPr>
          <w:p w14:paraId="3E8CB4CD" w14:textId="77777777" w:rsidR="00275FE8" w:rsidRPr="00275FE8" w:rsidRDefault="00275FE8" w:rsidP="00275FE8">
            <w:pPr>
              <w:jc w:val="right"/>
              <w:rPr>
                <w:rFonts w:ascii="Arial Narrow" w:hAnsi="Arial Narrow" w:cs="Arial"/>
                <w:sz w:val="20"/>
                <w:szCs w:val="20"/>
              </w:rPr>
            </w:pPr>
            <w:r w:rsidRPr="00275FE8">
              <w:rPr>
                <w:rFonts w:ascii="Arial Narrow" w:hAnsi="Arial Narrow" w:cs="Arial"/>
                <w:sz w:val="20"/>
                <w:szCs w:val="20"/>
              </w:rPr>
              <w:t>5,9%</w:t>
            </w:r>
          </w:p>
        </w:tc>
      </w:tr>
      <w:tr w:rsidR="00275FE8" w:rsidRPr="00275FE8" w14:paraId="02EE672B" w14:textId="77777777" w:rsidTr="00275FE8">
        <w:trPr>
          <w:trHeight w:val="764"/>
        </w:trPr>
        <w:tc>
          <w:tcPr>
            <w:tcW w:w="3266" w:type="dxa"/>
            <w:tcBorders>
              <w:top w:val="nil"/>
              <w:left w:val="single" w:sz="4" w:space="0" w:color="auto"/>
              <w:bottom w:val="single" w:sz="4" w:space="0" w:color="auto"/>
              <w:right w:val="single" w:sz="4" w:space="0" w:color="auto"/>
            </w:tcBorders>
            <w:shd w:val="clear" w:color="000000" w:fill="FFFFFF"/>
            <w:vAlign w:val="center"/>
            <w:hideMark/>
          </w:tcPr>
          <w:p w14:paraId="3AD3AE49" w14:textId="77777777" w:rsidR="00275FE8" w:rsidRPr="00275FE8" w:rsidRDefault="00275FE8" w:rsidP="00275FE8">
            <w:pPr>
              <w:rPr>
                <w:rFonts w:ascii="Arial Narrow" w:hAnsi="Arial Narrow" w:cs="Arial"/>
                <w:sz w:val="20"/>
                <w:szCs w:val="20"/>
              </w:rPr>
            </w:pPr>
            <w:r w:rsidRPr="00275FE8">
              <w:rPr>
                <w:rFonts w:ascii="Arial Narrow" w:hAnsi="Arial Narrow" w:cs="Arial"/>
                <w:sz w:val="20"/>
                <w:szCs w:val="20"/>
              </w:rPr>
              <w:t>Захар от захарна тръстика или от цвекло и химически чиста захароза, в твърдо състояние</w:t>
            </w:r>
          </w:p>
        </w:tc>
        <w:tc>
          <w:tcPr>
            <w:tcW w:w="1137" w:type="dxa"/>
            <w:tcBorders>
              <w:top w:val="nil"/>
              <w:left w:val="nil"/>
              <w:bottom w:val="single" w:sz="4" w:space="0" w:color="auto"/>
              <w:right w:val="single" w:sz="4" w:space="0" w:color="auto"/>
            </w:tcBorders>
            <w:shd w:val="clear" w:color="000000" w:fill="FFFFFF"/>
            <w:vAlign w:val="center"/>
            <w:hideMark/>
          </w:tcPr>
          <w:p w14:paraId="65D20AFF" w14:textId="77777777" w:rsidR="00275FE8" w:rsidRPr="00275FE8" w:rsidRDefault="00275FE8" w:rsidP="00275FE8">
            <w:pPr>
              <w:jc w:val="right"/>
              <w:rPr>
                <w:rFonts w:ascii="Arial Narrow" w:hAnsi="Arial Narrow" w:cs="Arial"/>
                <w:sz w:val="20"/>
                <w:szCs w:val="20"/>
              </w:rPr>
            </w:pPr>
            <w:r w:rsidRPr="00275FE8">
              <w:rPr>
                <w:rFonts w:ascii="Arial Narrow" w:hAnsi="Arial Narrow" w:cs="Arial"/>
                <w:sz w:val="20"/>
                <w:szCs w:val="20"/>
              </w:rPr>
              <w:t>233 885</w:t>
            </w:r>
          </w:p>
        </w:tc>
        <w:tc>
          <w:tcPr>
            <w:tcW w:w="1068" w:type="dxa"/>
            <w:tcBorders>
              <w:top w:val="nil"/>
              <w:left w:val="nil"/>
              <w:bottom w:val="single" w:sz="4" w:space="0" w:color="auto"/>
              <w:right w:val="single" w:sz="4" w:space="0" w:color="auto"/>
            </w:tcBorders>
            <w:shd w:val="clear" w:color="000000" w:fill="FFFFFF"/>
            <w:vAlign w:val="center"/>
            <w:hideMark/>
          </w:tcPr>
          <w:p w14:paraId="45FCC8BB" w14:textId="77777777" w:rsidR="00275FE8" w:rsidRPr="00275FE8" w:rsidRDefault="00275FE8" w:rsidP="00275FE8">
            <w:pPr>
              <w:jc w:val="right"/>
              <w:rPr>
                <w:rFonts w:ascii="Arial Narrow" w:hAnsi="Arial Narrow" w:cs="Arial"/>
                <w:sz w:val="20"/>
                <w:szCs w:val="20"/>
              </w:rPr>
            </w:pPr>
            <w:r w:rsidRPr="00275FE8">
              <w:rPr>
                <w:rFonts w:ascii="Arial Narrow" w:hAnsi="Arial Narrow" w:cs="Arial"/>
                <w:sz w:val="20"/>
                <w:szCs w:val="20"/>
              </w:rPr>
              <w:t>176 223</w:t>
            </w:r>
          </w:p>
        </w:tc>
        <w:tc>
          <w:tcPr>
            <w:tcW w:w="1137" w:type="dxa"/>
            <w:tcBorders>
              <w:top w:val="nil"/>
              <w:left w:val="nil"/>
              <w:bottom w:val="single" w:sz="4" w:space="0" w:color="auto"/>
              <w:right w:val="single" w:sz="4" w:space="0" w:color="auto"/>
            </w:tcBorders>
            <w:shd w:val="clear" w:color="000000" w:fill="FFFFFF"/>
            <w:vAlign w:val="center"/>
            <w:hideMark/>
          </w:tcPr>
          <w:p w14:paraId="0DAD7D96" w14:textId="77777777" w:rsidR="00275FE8" w:rsidRPr="00275FE8" w:rsidRDefault="00275FE8" w:rsidP="00275FE8">
            <w:pPr>
              <w:jc w:val="right"/>
              <w:rPr>
                <w:rFonts w:ascii="Arial Narrow" w:hAnsi="Arial Narrow" w:cs="Arial"/>
                <w:sz w:val="20"/>
                <w:szCs w:val="20"/>
              </w:rPr>
            </w:pPr>
            <w:r w:rsidRPr="00275FE8">
              <w:rPr>
                <w:rFonts w:ascii="Arial Narrow" w:hAnsi="Arial Narrow" w:cs="Arial"/>
                <w:sz w:val="20"/>
                <w:szCs w:val="20"/>
              </w:rPr>
              <w:t>231 188</w:t>
            </w:r>
          </w:p>
        </w:tc>
        <w:tc>
          <w:tcPr>
            <w:tcW w:w="1068" w:type="dxa"/>
            <w:tcBorders>
              <w:top w:val="nil"/>
              <w:left w:val="nil"/>
              <w:bottom w:val="single" w:sz="4" w:space="0" w:color="auto"/>
              <w:right w:val="single" w:sz="4" w:space="0" w:color="auto"/>
            </w:tcBorders>
            <w:shd w:val="clear" w:color="000000" w:fill="FFFFFF"/>
            <w:vAlign w:val="center"/>
            <w:hideMark/>
          </w:tcPr>
          <w:p w14:paraId="53B79A30" w14:textId="77777777" w:rsidR="00275FE8" w:rsidRPr="00275FE8" w:rsidRDefault="00275FE8" w:rsidP="00275FE8">
            <w:pPr>
              <w:jc w:val="right"/>
              <w:rPr>
                <w:rFonts w:ascii="Arial Narrow" w:hAnsi="Arial Narrow" w:cs="Arial"/>
                <w:color w:val="000000"/>
                <w:sz w:val="20"/>
                <w:szCs w:val="20"/>
              </w:rPr>
            </w:pPr>
            <w:r w:rsidRPr="00275FE8">
              <w:rPr>
                <w:rFonts w:ascii="Arial Narrow" w:hAnsi="Arial Narrow" w:cs="Arial"/>
                <w:color w:val="000000"/>
                <w:sz w:val="20"/>
                <w:szCs w:val="20"/>
              </w:rPr>
              <w:t>150 421</w:t>
            </w:r>
          </w:p>
        </w:tc>
        <w:tc>
          <w:tcPr>
            <w:tcW w:w="1137" w:type="dxa"/>
            <w:tcBorders>
              <w:top w:val="nil"/>
              <w:left w:val="nil"/>
              <w:bottom w:val="single" w:sz="4" w:space="0" w:color="auto"/>
              <w:right w:val="single" w:sz="4" w:space="0" w:color="auto"/>
            </w:tcBorders>
            <w:shd w:val="clear" w:color="000000" w:fill="FFFFFF"/>
            <w:vAlign w:val="center"/>
            <w:hideMark/>
          </w:tcPr>
          <w:p w14:paraId="45A31434" w14:textId="77777777" w:rsidR="00275FE8" w:rsidRPr="00275FE8" w:rsidRDefault="00275FE8" w:rsidP="00275FE8">
            <w:pPr>
              <w:jc w:val="right"/>
              <w:rPr>
                <w:rFonts w:ascii="Arial Narrow" w:hAnsi="Arial Narrow" w:cs="Arial"/>
                <w:sz w:val="20"/>
                <w:szCs w:val="20"/>
              </w:rPr>
            </w:pPr>
            <w:r w:rsidRPr="00275FE8">
              <w:rPr>
                <w:rFonts w:ascii="Arial Narrow" w:hAnsi="Arial Narrow" w:cs="Arial"/>
                <w:sz w:val="20"/>
                <w:szCs w:val="20"/>
              </w:rPr>
              <w:t>-1,2%</w:t>
            </w:r>
          </w:p>
        </w:tc>
        <w:tc>
          <w:tcPr>
            <w:tcW w:w="1068" w:type="dxa"/>
            <w:tcBorders>
              <w:top w:val="nil"/>
              <w:left w:val="nil"/>
              <w:bottom w:val="single" w:sz="4" w:space="0" w:color="auto"/>
              <w:right w:val="single" w:sz="4" w:space="0" w:color="auto"/>
            </w:tcBorders>
            <w:shd w:val="clear" w:color="000000" w:fill="FFFFFF"/>
            <w:vAlign w:val="center"/>
            <w:hideMark/>
          </w:tcPr>
          <w:p w14:paraId="1C4AF6E5" w14:textId="77777777" w:rsidR="00275FE8" w:rsidRPr="00275FE8" w:rsidRDefault="00275FE8" w:rsidP="00275FE8">
            <w:pPr>
              <w:jc w:val="right"/>
              <w:rPr>
                <w:rFonts w:ascii="Arial Narrow" w:hAnsi="Arial Narrow" w:cs="Arial"/>
                <w:sz w:val="20"/>
                <w:szCs w:val="20"/>
              </w:rPr>
            </w:pPr>
            <w:r w:rsidRPr="00275FE8">
              <w:rPr>
                <w:rFonts w:ascii="Arial Narrow" w:hAnsi="Arial Narrow" w:cs="Arial"/>
                <w:sz w:val="20"/>
                <w:szCs w:val="20"/>
              </w:rPr>
              <w:t>-14,6%</w:t>
            </w:r>
          </w:p>
        </w:tc>
      </w:tr>
      <w:tr w:rsidR="00275FE8" w:rsidRPr="00275FE8" w14:paraId="7AB3097B" w14:textId="77777777" w:rsidTr="00275FE8">
        <w:trPr>
          <w:trHeight w:val="509"/>
        </w:trPr>
        <w:tc>
          <w:tcPr>
            <w:tcW w:w="3266" w:type="dxa"/>
            <w:tcBorders>
              <w:top w:val="nil"/>
              <w:left w:val="single" w:sz="4" w:space="0" w:color="auto"/>
              <w:bottom w:val="single" w:sz="4" w:space="0" w:color="auto"/>
              <w:right w:val="single" w:sz="4" w:space="0" w:color="auto"/>
            </w:tcBorders>
            <w:shd w:val="clear" w:color="000000" w:fill="FFFFFF"/>
            <w:vAlign w:val="center"/>
            <w:hideMark/>
          </w:tcPr>
          <w:p w14:paraId="0EF88409" w14:textId="77777777" w:rsidR="00275FE8" w:rsidRPr="00275FE8" w:rsidRDefault="00275FE8" w:rsidP="00275FE8">
            <w:pPr>
              <w:rPr>
                <w:rFonts w:ascii="Arial Narrow" w:hAnsi="Arial Narrow" w:cs="Arial"/>
                <w:sz w:val="20"/>
                <w:szCs w:val="20"/>
              </w:rPr>
            </w:pPr>
            <w:r w:rsidRPr="00275FE8">
              <w:rPr>
                <w:rFonts w:ascii="Arial Narrow" w:hAnsi="Arial Narrow" w:cs="Arial"/>
                <w:sz w:val="20"/>
                <w:szCs w:val="20"/>
              </w:rPr>
              <w:t>Препарати от видовете, използвани за храна на животни</w:t>
            </w:r>
          </w:p>
        </w:tc>
        <w:tc>
          <w:tcPr>
            <w:tcW w:w="1137" w:type="dxa"/>
            <w:tcBorders>
              <w:top w:val="nil"/>
              <w:left w:val="nil"/>
              <w:bottom w:val="single" w:sz="4" w:space="0" w:color="auto"/>
              <w:right w:val="single" w:sz="4" w:space="0" w:color="auto"/>
            </w:tcBorders>
            <w:shd w:val="clear" w:color="000000" w:fill="FFFFFF"/>
            <w:vAlign w:val="center"/>
            <w:hideMark/>
          </w:tcPr>
          <w:p w14:paraId="6EEE1593" w14:textId="77777777" w:rsidR="00275FE8" w:rsidRPr="00275FE8" w:rsidRDefault="00275FE8" w:rsidP="00275FE8">
            <w:pPr>
              <w:jc w:val="right"/>
              <w:rPr>
                <w:rFonts w:ascii="Arial Narrow" w:hAnsi="Arial Narrow" w:cs="Arial"/>
                <w:sz w:val="20"/>
                <w:szCs w:val="20"/>
              </w:rPr>
            </w:pPr>
            <w:r w:rsidRPr="00275FE8">
              <w:rPr>
                <w:rFonts w:ascii="Arial Narrow" w:hAnsi="Arial Narrow" w:cs="Arial"/>
                <w:sz w:val="20"/>
                <w:szCs w:val="20"/>
              </w:rPr>
              <w:t>98 547</w:t>
            </w:r>
          </w:p>
        </w:tc>
        <w:tc>
          <w:tcPr>
            <w:tcW w:w="1068" w:type="dxa"/>
            <w:tcBorders>
              <w:top w:val="nil"/>
              <w:left w:val="nil"/>
              <w:bottom w:val="single" w:sz="4" w:space="0" w:color="auto"/>
              <w:right w:val="single" w:sz="4" w:space="0" w:color="auto"/>
            </w:tcBorders>
            <w:shd w:val="clear" w:color="000000" w:fill="FFFFFF"/>
            <w:vAlign w:val="center"/>
            <w:hideMark/>
          </w:tcPr>
          <w:p w14:paraId="3EBEA41C" w14:textId="77777777" w:rsidR="00275FE8" w:rsidRPr="00275FE8" w:rsidRDefault="00275FE8" w:rsidP="00275FE8">
            <w:pPr>
              <w:jc w:val="right"/>
              <w:rPr>
                <w:rFonts w:ascii="Arial Narrow" w:hAnsi="Arial Narrow" w:cs="Arial"/>
                <w:sz w:val="20"/>
                <w:szCs w:val="20"/>
              </w:rPr>
            </w:pPr>
            <w:r w:rsidRPr="00275FE8">
              <w:rPr>
                <w:rFonts w:ascii="Arial Narrow" w:hAnsi="Arial Narrow" w:cs="Arial"/>
                <w:sz w:val="20"/>
                <w:szCs w:val="20"/>
              </w:rPr>
              <w:t>139 431</w:t>
            </w:r>
          </w:p>
        </w:tc>
        <w:tc>
          <w:tcPr>
            <w:tcW w:w="1137" w:type="dxa"/>
            <w:tcBorders>
              <w:top w:val="nil"/>
              <w:left w:val="nil"/>
              <w:bottom w:val="single" w:sz="4" w:space="0" w:color="auto"/>
              <w:right w:val="single" w:sz="4" w:space="0" w:color="auto"/>
            </w:tcBorders>
            <w:shd w:val="clear" w:color="000000" w:fill="FFFFFF"/>
            <w:vAlign w:val="center"/>
            <w:hideMark/>
          </w:tcPr>
          <w:p w14:paraId="32AA9BD1" w14:textId="77777777" w:rsidR="00275FE8" w:rsidRPr="00275FE8" w:rsidRDefault="00275FE8" w:rsidP="00275FE8">
            <w:pPr>
              <w:jc w:val="right"/>
              <w:rPr>
                <w:rFonts w:ascii="Arial Narrow" w:hAnsi="Arial Narrow" w:cs="Arial"/>
                <w:sz w:val="20"/>
                <w:szCs w:val="20"/>
              </w:rPr>
            </w:pPr>
            <w:r w:rsidRPr="00275FE8">
              <w:rPr>
                <w:rFonts w:ascii="Arial Narrow" w:hAnsi="Arial Narrow" w:cs="Arial"/>
                <w:sz w:val="20"/>
                <w:szCs w:val="20"/>
              </w:rPr>
              <w:t>102 548</w:t>
            </w:r>
          </w:p>
        </w:tc>
        <w:tc>
          <w:tcPr>
            <w:tcW w:w="1068" w:type="dxa"/>
            <w:tcBorders>
              <w:top w:val="nil"/>
              <w:left w:val="nil"/>
              <w:bottom w:val="single" w:sz="4" w:space="0" w:color="auto"/>
              <w:right w:val="single" w:sz="4" w:space="0" w:color="auto"/>
            </w:tcBorders>
            <w:shd w:val="clear" w:color="000000" w:fill="FFFFFF"/>
            <w:vAlign w:val="center"/>
            <w:hideMark/>
          </w:tcPr>
          <w:p w14:paraId="56286C01" w14:textId="77777777" w:rsidR="00275FE8" w:rsidRPr="00275FE8" w:rsidRDefault="00275FE8" w:rsidP="00275FE8">
            <w:pPr>
              <w:jc w:val="right"/>
              <w:rPr>
                <w:rFonts w:ascii="Arial Narrow" w:hAnsi="Arial Narrow" w:cs="Arial"/>
                <w:sz w:val="20"/>
                <w:szCs w:val="20"/>
              </w:rPr>
            </w:pPr>
            <w:r w:rsidRPr="00275FE8">
              <w:rPr>
                <w:rFonts w:ascii="Arial Narrow" w:hAnsi="Arial Narrow" w:cs="Arial"/>
                <w:sz w:val="20"/>
                <w:szCs w:val="20"/>
              </w:rPr>
              <w:t>138 624</w:t>
            </w:r>
          </w:p>
        </w:tc>
        <w:tc>
          <w:tcPr>
            <w:tcW w:w="1137" w:type="dxa"/>
            <w:tcBorders>
              <w:top w:val="nil"/>
              <w:left w:val="nil"/>
              <w:bottom w:val="single" w:sz="4" w:space="0" w:color="auto"/>
              <w:right w:val="single" w:sz="4" w:space="0" w:color="auto"/>
            </w:tcBorders>
            <w:shd w:val="clear" w:color="000000" w:fill="FFFFFF"/>
            <w:vAlign w:val="center"/>
            <w:hideMark/>
          </w:tcPr>
          <w:p w14:paraId="67C43C5A" w14:textId="77777777" w:rsidR="00275FE8" w:rsidRPr="00275FE8" w:rsidRDefault="00275FE8" w:rsidP="00275FE8">
            <w:pPr>
              <w:jc w:val="right"/>
              <w:rPr>
                <w:rFonts w:ascii="Arial Narrow" w:hAnsi="Arial Narrow" w:cs="Arial"/>
                <w:sz w:val="20"/>
                <w:szCs w:val="20"/>
              </w:rPr>
            </w:pPr>
            <w:r w:rsidRPr="00275FE8">
              <w:rPr>
                <w:rFonts w:ascii="Arial Narrow" w:hAnsi="Arial Narrow" w:cs="Arial"/>
                <w:sz w:val="20"/>
                <w:szCs w:val="20"/>
              </w:rPr>
              <w:t>4,1%</w:t>
            </w:r>
          </w:p>
        </w:tc>
        <w:tc>
          <w:tcPr>
            <w:tcW w:w="1068" w:type="dxa"/>
            <w:tcBorders>
              <w:top w:val="nil"/>
              <w:left w:val="nil"/>
              <w:bottom w:val="single" w:sz="4" w:space="0" w:color="auto"/>
              <w:right w:val="single" w:sz="4" w:space="0" w:color="auto"/>
            </w:tcBorders>
            <w:shd w:val="clear" w:color="000000" w:fill="FFFFFF"/>
            <w:vAlign w:val="center"/>
            <w:hideMark/>
          </w:tcPr>
          <w:p w14:paraId="6E4C284D" w14:textId="77777777" w:rsidR="00275FE8" w:rsidRPr="00275FE8" w:rsidRDefault="00275FE8" w:rsidP="00275FE8">
            <w:pPr>
              <w:jc w:val="right"/>
              <w:rPr>
                <w:rFonts w:ascii="Arial Narrow" w:hAnsi="Arial Narrow" w:cs="Arial"/>
                <w:sz w:val="20"/>
                <w:szCs w:val="20"/>
              </w:rPr>
            </w:pPr>
            <w:r w:rsidRPr="00275FE8">
              <w:rPr>
                <w:rFonts w:ascii="Arial Narrow" w:hAnsi="Arial Narrow" w:cs="Arial"/>
                <w:sz w:val="20"/>
                <w:szCs w:val="20"/>
              </w:rPr>
              <w:t>-0,6%</w:t>
            </w:r>
          </w:p>
        </w:tc>
      </w:tr>
      <w:tr w:rsidR="00275FE8" w:rsidRPr="00275FE8" w14:paraId="30B35734" w14:textId="77777777" w:rsidTr="00275FE8">
        <w:trPr>
          <w:trHeight w:val="509"/>
        </w:trPr>
        <w:tc>
          <w:tcPr>
            <w:tcW w:w="3266" w:type="dxa"/>
            <w:tcBorders>
              <w:top w:val="nil"/>
              <w:left w:val="single" w:sz="4" w:space="0" w:color="000000"/>
              <w:bottom w:val="single" w:sz="4" w:space="0" w:color="000000"/>
              <w:right w:val="single" w:sz="4" w:space="0" w:color="000000"/>
            </w:tcBorders>
            <w:shd w:val="clear" w:color="000000" w:fill="FFFFFF"/>
            <w:vAlign w:val="center"/>
            <w:hideMark/>
          </w:tcPr>
          <w:p w14:paraId="417FA919" w14:textId="77777777" w:rsidR="00275FE8" w:rsidRPr="00275FE8" w:rsidRDefault="00275FE8" w:rsidP="00275FE8">
            <w:pPr>
              <w:rPr>
                <w:rFonts w:ascii="Arial Narrow" w:hAnsi="Arial Narrow" w:cs="Arial"/>
                <w:sz w:val="20"/>
                <w:szCs w:val="20"/>
              </w:rPr>
            </w:pPr>
            <w:r w:rsidRPr="00275FE8">
              <w:rPr>
                <w:rFonts w:ascii="Arial Narrow" w:hAnsi="Arial Narrow" w:cs="Arial"/>
                <w:sz w:val="20"/>
                <w:szCs w:val="20"/>
              </w:rPr>
              <w:t>Какао на зърна, цели или натрошени, сурови или печени</w:t>
            </w:r>
          </w:p>
        </w:tc>
        <w:tc>
          <w:tcPr>
            <w:tcW w:w="1137" w:type="dxa"/>
            <w:tcBorders>
              <w:top w:val="nil"/>
              <w:left w:val="nil"/>
              <w:bottom w:val="single" w:sz="4" w:space="0" w:color="auto"/>
              <w:right w:val="single" w:sz="4" w:space="0" w:color="auto"/>
            </w:tcBorders>
            <w:shd w:val="clear" w:color="000000" w:fill="FFFFFF"/>
            <w:vAlign w:val="center"/>
            <w:hideMark/>
          </w:tcPr>
          <w:p w14:paraId="5986EFD5" w14:textId="77777777" w:rsidR="00275FE8" w:rsidRPr="00275FE8" w:rsidRDefault="00275FE8" w:rsidP="00275FE8">
            <w:pPr>
              <w:jc w:val="right"/>
              <w:rPr>
                <w:rFonts w:ascii="Arial Narrow" w:hAnsi="Arial Narrow" w:cs="Arial"/>
                <w:sz w:val="20"/>
                <w:szCs w:val="20"/>
              </w:rPr>
            </w:pPr>
            <w:r w:rsidRPr="00275FE8">
              <w:rPr>
                <w:rFonts w:ascii="Arial Narrow" w:hAnsi="Arial Narrow" w:cs="Arial"/>
                <w:sz w:val="20"/>
                <w:szCs w:val="20"/>
              </w:rPr>
              <w:t>37 451</w:t>
            </w:r>
          </w:p>
        </w:tc>
        <w:tc>
          <w:tcPr>
            <w:tcW w:w="1068" w:type="dxa"/>
            <w:tcBorders>
              <w:top w:val="nil"/>
              <w:left w:val="nil"/>
              <w:bottom w:val="single" w:sz="4" w:space="0" w:color="auto"/>
              <w:right w:val="single" w:sz="4" w:space="0" w:color="auto"/>
            </w:tcBorders>
            <w:shd w:val="clear" w:color="000000" w:fill="FFFFFF"/>
            <w:vAlign w:val="center"/>
            <w:hideMark/>
          </w:tcPr>
          <w:p w14:paraId="28ABB0B9" w14:textId="77777777" w:rsidR="00275FE8" w:rsidRPr="00275FE8" w:rsidRDefault="00275FE8" w:rsidP="00275FE8">
            <w:pPr>
              <w:jc w:val="right"/>
              <w:rPr>
                <w:rFonts w:ascii="Arial Narrow" w:hAnsi="Arial Narrow" w:cs="Arial"/>
                <w:sz w:val="20"/>
                <w:szCs w:val="20"/>
              </w:rPr>
            </w:pPr>
            <w:r w:rsidRPr="00275FE8">
              <w:rPr>
                <w:rFonts w:ascii="Arial Narrow" w:hAnsi="Arial Narrow" w:cs="Arial"/>
                <w:sz w:val="20"/>
                <w:szCs w:val="20"/>
              </w:rPr>
              <w:t>91 135</w:t>
            </w:r>
          </w:p>
        </w:tc>
        <w:tc>
          <w:tcPr>
            <w:tcW w:w="1137" w:type="dxa"/>
            <w:tcBorders>
              <w:top w:val="nil"/>
              <w:left w:val="nil"/>
              <w:bottom w:val="single" w:sz="4" w:space="0" w:color="auto"/>
              <w:right w:val="single" w:sz="4" w:space="0" w:color="auto"/>
            </w:tcBorders>
            <w:shd w:val="clear" w:color="000000" w:fill="FFFFFF"/>
            <w:vAlign w:val="center"/>
            <w:hideMark/>
          </w:tcPr>
          <w:p w14:paraId="5DA763B9" w14:textId="77777777" w:rsidR="00275FE8" w:rsidRPr="00275FE8" w:rsidRDefault="00275FE8" w:rsidP="00275FE8">
            <w:pPr>
              <w:jc w:val="right"/>
              <w:rPr>
                <w:rFonts w:ascii="Arial Narrow" w:hAnsi="Arial Narrow" w:cs="Arial"/>
                <w:sz w:val="20"/>
                <w:szCs w:val="20"/>
              </w:rPr>
            </w:pPr>
            <w:r w:rsidRPr="00275FE8">
              <w:rPr>
                <w:rFonts w:ascii="Arial Narrow" w:hAnsi="Arial Narrow" w:cs="Arial"/>
                <w:sz w:val="20"/>
                <w:szCs w:val="20"/>
              </w:rPr>
              <w:t>34 828</w:t>
            </w:r>
          </w:p>
        </w:tc>
        <w:tc>
          <w:tcPr>
            <w:tcW w:w="1068" w:type="dxa"/>
            <w:tcBorders>
              <w:top w:val="nil"/>
              <w:left w:val="nil"/>
              <w:bottom w:val="single" w:sz="4" w:space="0" w:color="auto"/>
              <w:right w:val="single" w:sz="4" w:space="0" w:color="auto"/>
            </w:tcBorders>
            <w:shd w:val="clear" w:color="000000" w:fill="FFFFFF"/>
            <w:vAlign w:val="center"/>
            <w:hideMark/>
          </w:tcPr>
          <w:p w14:paraId="79A9AB16" w14:textId="77777777" w:rsidR="00275FE8" w:rsidRPr="00275FE8" w:rsidRDefault="00275FE8" w:rsidP="00275FE8">
            <w:pPr>
              <w:jc w:val="right"/>
              <w:rPr>
                <w:rFonts w:ascii="Arial Narrow" w:hAnsi="Arial Narrow" w:cs="Arial"/>
                <w:sz w:val="20"/>
                <w:szCs w:val="20"/>
              </w:rPr>
            </w:pPr>
            <w:r w:rsidRPr="00275FE8">
              <w:rPr>
                <w:rFonts w:ascii="Arial Narrow" w:hAnsi="Arial Narrow" w:cs="Arial"/>
                <w:sz w:val="20"/>
                <w:szCs w:val="20"/>
              </w:rPr>
              <w:t>121 780</w:t>
            </w:r>
          </w:p>
        </w:tc>
        <w:tc>
          <w:tcPr>
            <w:tcW w:w="1137" w:type="dxa"/>
            <w:tcBorders>
              <w:top w:val="nil"/>
              <w:left w:val="nil"/>
              <w:bottom w:val="single" w:sz="4" w:space="0" w:color="auto"/>
              <w:right w:val="single" w:sz="4" w:space="0" w:color="auto"/>
            </w:tcBorders>
            <w:shd w:val="clear" w:color="000000" w:fill="FFFFFF"/>
            <w:vAlign w:val="center"/>
            <w:hideMark/>
          </w:tcPr>
          <w:p w14:paraId="7D1566FF" w14:textId="77777777" w:rsidR="00275FE8" w:rsidRPr="00275FE8" w:rsidRDefault="00275FE8" w:rsidP="00275FE8">
            <w:pPr>
              <w:jc w:val="right"/>
              <w:rPr>
                <w:rFonts w:ascii="Arial Narrow" w:hAnsi="Arial Narrow" w:cs="Arial"/>
                <w:sz w:val="20"/>
                <w:szCs w:val="20"/>
              </w:rPr>
            </w:pPr>
            <w:r w:rsidRPr="00275FE8">
              <w:rPr>
                <w:rFonts w:ascii="Arial Narrow" w:hAnsi="Arial Narrow" w:cs="Arial"/>
                <w:sz w:val="20"/>
                <w:szCs w:val="20"/>
              </w:rPr>
              <w:t>-7,0%</w:t>
            </w:r>
          </w:p>
        </w:tc>
        <w:tc>
          <w:tcPr>
            <w:tcW w:w="1068" w:type="dxa"/>
            <w:tcBorders>
              <w:top w:val="nil"/>
              <w:left w:val="nil"/>
              <w:bottom w:val="single" w:sz="4" w:space="0" w:color="auto"/>
              <w:right w:val="single" w:sz="4" w:space="0" w:color="auto"/>
            </w:tcBorders>
            <w:shd w:val="clear" w:color="000000" w:fill="FFFFFF"/>
            <w:vAlign w:val="center"/>
            <w:hideMark/>
          </w:tcPr>
          <w:p w14:paraId="391D3627" w14:textId="77777777" w:rsidR="00275FE8" w:rsidRPr="00275FE8" w:rsidRDefault="00275FE8" w:rsidP="00275FE8">
            <w:pPr>
              <w:jc w:val="right"/>
              <w:rPr>
                <w:rFonts w:ascii="Arial Narrow" w:hAnsi="Arial Narrow" w:cs="Arial"/>
                <w:sz w:val="20"/>
                <w:szCs w:val="20"/>
              </w:rPr>
            </w:pPr>
            <w:r w:rsidRPr="00275FE8">
              <w:rPr>
                <w:rFonts w:ascii="Arial Narrow" w:hAnsi="Arial Narrow" w:cs="Arial"/>
                <w:sz w:val="20"/>
                <w:szCs w:val="20"/>
              </w:rPr>
              <w:t>33,6%</w:t>
            </w:r>
          </w:p>
        </w:tc>
      </w:tr>
    </w:tbl>
    <w:p w14:paraId="6B2521FB" w14:textId="77777777" w:rsidR="00275FE8" w:rsidRPr="00275FE8" w:rsidRDefault="00275FE8" w:rsidP="00275FE8">
      <w:pPr>
        <w:spacing w:after="240"/>
        <w:rPr>
          <w:rFonts w:ascii="Arial Narrow" w:eastAsia="Calibri" w:hAnsi="Arial Narrow" w:cs="Arial Narrow"/>
          <w:i/>
          <w:sz w:val="18"/>
          <w:szCs w:val="18"/>
          <w:lang w:val="bg-BG"/>
        </w:rPr>
      </w:pPr>
      <w:r w:rsidRPr="00275FE8">
        <w:rPr>
          <w:rFonts w:ascii="Arial Narrow" w:eastAsia="Calibri" w:hAnsi="Arial Narrow" w:cs="Arial Narrow"/>
          <w:i/>
          <w:sz w:val="18"/>
          <w:szCs w:val="18"/>
          <w:lang w:val="bg-BG"/>
        </w:rPr>
        <w:t xml:space="preserve"> Източник: </w:t>
      </w:r>
      <w:r w:rsidRPr="00275FE8">
        <w:rPr>
          <w:rFonts w:ascii="Arial Narrow" w:eastAsia="Calibri" w:hAnsi="Arial Narrow" w:cs="Arial Narrow"/>
          <w:sz w:val="18"/>
          <w:szCs w:val="18"/>
          <w:lang w:val="bg-BG"/>
        </w:rPr>
        <w:t>НСИ и изчисления на МЗХ.</w:t>
      </w:r>
    </w:p>
    <w:p w14:paraId="0A958DF4" w14:textId="77777777" w:rsidR="00275FE8" w:rsidRPr="00275FE8" w:rsidRDefault="00275FE8" w:rsidP="00080EBA">
      <w:pPr>
        <w:keepNext/>
        <w:numPr>
          <w:ilvl w:val="0"/>
          <w:numId w:val="18"/>
        </w:numPr>
        <w:spacing w:after="120"/>
        <w:ind w:left="538" w:hanging="357"/>
        <w:outlineLvl w:val="0"/>
        <w:rPr>
          <w:rFonts w:ascii="Arial Narrow" w:eastAsia="SimSun" w:hAnsi="Arial Narrow"/>
          <w:b/>
          <w:bCs/>
          <w:sz w:val="28"/>
          <w:szCs w:val="28"/>
          <w:lang w:val="bg-BG"/>
        </w:rPr>
      </w:pPr>
      <w:bookmarkStart w:id="76" w:name="_Toc146810658"/>
      <w:bookmarkStart w:id="77" w:name="_Toc210747574"/>
      <w:r w:rsidRPr="00275FE8">
        <w:rPr>
          <w:rFonts w:ascii="Arial Narrow" w:eastAsia="SimSun" w:hAnsi="Arial Narrow"/>
          <w:b/>
          <w:bCs/>
          <w:lang w:val="bg-BG"/>
        </w:rPr>
        <w:t>Развитие на външната търговия със селскостопански стоки през 2025 г.</w:t>
      </w:r>
      <w:bookmarkEnd w:id="76"/>
      <w:bookmarkEnd w:id="77"/>
    </w:p>
    <w:p w14:paraId="26736F2E" w14:textId="77777777" w:rsidR="00275FE8" w:rsidRPr="00275FE8" w:rsidRDefault="00275FE8" w:rsidP="00275FE8">
      <w:pPr>
        <w:autoSpaceDE w:val="0"/>
        <w:autoSpaceDN w:val="0"/>
        <w:adjustRightInd w:val="0"/>
        <w:spacing w:after="120"/>
        <w:ind w:firstLine="706"/>
        <w:jc w:val="both"/>
        <w:rPr>
          <w:rFonts w:ascii="Arial Narrow" w:hAnsi="Arial Narrow"/>
          <w:bCs/>
          <w:color w:val="FF0000"/>
          <w:lang w:val="bg-BG"/>
        </w:rPr>
      </w:pPr>
      <w:r w:rsidRPr="00275FE8">
        <w:rPr>
          <w:rFonts w:ascii="Arial Narrow" w:hAnsi="Arial Narrow"/>
          <w:bCs/>
          <w:lang w:val="bg-BG"/>
        </w:rPr>
        <w:t>По предварителни данни на НСИ, през първите шест месеца на 2025 г. износът на селскостопански стоки възлиза на 3 57</w:t>
      </w:r>
      <w:r w:rsidRPr="00275FE8">
        <w:rPr>
          <w:rFonts w:ascii="Arial Narrow" w:hAnsi="Arial Narrow"/>
          <w:bCs/>
        </w:rPr>
        <w:t>6</w:t>
      </w:r>
      <w:r w:rsidRPr="00275FE8">
        <w:rPr>
          <w:rFonts w:ascii="Arial Narrow" w:hAnsi="Arial Narrow"/>
          <w:bCs/>
          <w:lang w:val="bg-BG"/>
        </w:rPr>
        <w:t>,</w:t>
      </w:r>
      <w:r w:rsidR="000716DE">
        <w:rPr>
          <w:rFonts w:ascii="Arial Narrow" w:hAnsi="Arial Narrow"/>
          <w:bCs/>
          <w:lang w:val="bg-BG"/>
        </w:rPr>
        <w:t>7</w:t>
      </w:r>
      <w:r w:rsidRPr="00275FE8">
        <w:rPr>
          <w:rFonts w:ascii="Arial Narrow" w:hAnsi="Arial Narrow"/>
          <w:bCs/>
          <w:lang w:val="bg-BG"/>
        </w:rPr>
        <w:t xml:space="preserve"> млн. евро - с 15,1% повече в сравнение със същия период на 2024 г., основно поради ръст на стойността на реализираните извън страната пшеница (с 93,5%), слънчоглед (със 76,5%), шоколадови изделия (с 45,5%) и кафе (над два пъти). Същевременно намалява експортът на царевица (с 39,1%), захари (със 17,3%) и меса и карантии (с 3,4%).</w:t>
      </w:r>
    </w:p>
    <w:p w14:paraId="357D11A0" w14:textId="77777777" w:rsidR="00275FE8" w:rsidRPr="00275FE8" w:rsidRDefault="00275FE8" w:rsidP="00275FE8">
      <w:pPr>
        <w:autoSpaceDE w:val="0"/>
        <w:autoSpaceDN w:val="0"/>
        <w:adjustRightInd w:val="0"/>
        <w:spacing w:after="120"/>
        <w:ind w:firstLine="706"/>
        <w:jc w:val="both"/>
        <w:rPr>
          <w:rFonts w:ascii="Arial Narrow" w:hAnsi="Arial Narrow"/>
          <w:bCs/>
          <w:lang w:val="bg-BG"/>
        </w:rPr>
      </w:pPr>
      <w:r w:rsidRPr="00275FE8">
        <w:rPr>
          <w:rFonts w:ascii="Arial Narrow" w:hAnsi="Arial Narrow"/>
          <w:bCs/>
          <w:lang w:val="bg-BG"/>
        </w:rPr>
        <w:t>Водещите групи продукти в структурата на аграрния експорт на страната през периода януари - юни 202</w:t>
      </w:r>
      <w:r w:rsidRPr="00275FE8">
        <w:rPr>
          <w:rFonts w:ascii="Arial Narrow" w:hAnsi="Arial Narrow"/>
          <w:bCs/>
        </w:rPr>
        <w:t>5</w:t>
      </w:r>
      <w:r w:rsidRPr="00275FE8">
        <w:rPr>
          <w:rFonts w:ascii="Arial Narrow" w:hAnsi="Arial Narrow"/>
          <w:bCs/>
          <w:lang w:val="bg-BG"/>
        </w:rPr>
        <w:t xml:space="preserve"> г. са житните растения и маслодайните семена, следвани от мазнини от растителен или животински произход; какаови продукти; хранителни продукти, приготвени на базата на житни растения; остатъци и отпадъци от хранителната промишленост и приготвени храни за животни; тютюн и тютюневи изделия; млечни продукти, птичи яйца и пчелен мед; хранителни продукти, използвани в хранително-вкусовата промишленост; безалкохолни и алкохолни напитки; кафе и чай; меса и карантии и др. </w:t>
      </w:r>
    </w:p>
    <w:p w14:paraId="1A19FFC5" w14:textId="77777777" w:rsidR="00275FE8" w:rsidRPr="00275FE8" w:rsidRDefault="00275FE8" w:rsidP="00275FE8">
      <w:pPr>
        <w:autoSpaceDE w:val="0"/>
        <w:autoSpaceDN w:val="0"/>
        <w:adjustRightInd w:val="0"/>
        <w:spacing w:after="120"/>
        <w:ind w:firstLine="706"/>
        <w:jc w:val="both"/>
        <w:rPr>
          <w:rFonts w:ascii="Arial Narrow" w:hAnsi="Arial Narrow"/>
          <w:bCs/>
        </w:rPr>
      </w:pPr>
      <w:r w:rsidRPr="00275FE8">
        <w:rPr>
          <w:rFonts w:ascii="Arial Narrow" w:hAnsi="Arial Narrow"/>
          <w:bCs/>
          <w:lang w:val="bg-BG"/>
        </w:rPr>
        <w:t>При вноса на селскостопански стоки за шестте месеца на 2025 г. се отчита увеличение с 16,4% на годишна база, до 3 58</w:t>
      </w:r>
      <w:r w:rsidR="000716DE">
        <w:rPr>
          <w:rFonts w:ascii="Arial Narrow" w:hAnsi="Arial Narrow"/>
          <w:bCs/>
          <w:lang w:val="bg-BG"/>
        </w:rPr>
        <w:t>5</w:t>
      </w:r>
      <w:r w:rsidRPr="00275FE8">
        <w:rPr>
          <w:rFonts w:ascii="Arial Narrow" w:hAnsi="Arial Narrow"/>
          <w:bCs/>
          <w:lang w:val="bg-BG"/>
        </w:rPr>
        <w:t xml:space="preserve">,5 млн. евро. Това се дължи главно на повишените доставки на рапица, шоколадови изделия и цигари. </w:t>
      </w:r>
    </w:p>
    <w:p w14:paraId="7275D778" w14:textId="77777777" w:rsidR="00275FE8" w:rsidRPr="00275FE8" w:rsidRDefault="00275FE8" w:rsidP="00275FE8">
      <w:pPr>
        <w:autoSpaceDE w:val="0"/>
        <w:autoSpaceDN w:val="0"/>
        <w:adjustRightInd w:val="0"/>
        <w:spacing w:after="120"/>
        <w:ind w:firstLine="706"/>
        <w:jc w:val="both"/>
        <w:rPr>
          <w:rFonts w:ascii="Arial Narrow" w:hAnsi="Arial Narrow"/>
          <w:bCs/>
        </w:rPr>
      </w:pPr>
      <w:r w:rsidRPr="00275FE8">
        <w:rPr>
          <w:rFonts w:ascii="Arial Narrow" w:hAnsi="Arial Narrow"/>
          <w:bCs/>
          <w:lang w:val="bg-BG"/>
        </w:rPr>
        <w:t xml:space="preserve">Така, за първата половина на 2025 г. се формира отрицателно търговско салдо за България в размер на </w:t>
      </w:r>
      <w:r w:rsidR="000716DE">
        <w:rPr>
          <w:rFonts w:ascii="Arial Narrow" w:hAnsi="Arial Narrow"/>
          <w:bCs/>
          <w:lang w:val="bg-BG"/>
        </w:rPr>
        <w:t>8,8</w:t>
      </w:r>
      <w:r w:rsidRPr="00275FE8">
        <w:rPr>
          <w:rFonts w:ascii="Arial Narrow" w:hAnsi="Arial Narrow"/>
          <w:bCs/>
          <w:lang w:val="bg-BG"/>
        </w:rPr>
        <w:t xml:space="preserve"> млн. евро, при положително салдо от 2</w:t>
      </w:r>
      <w:r w:rsidR="000716DE">
        <w:rPr>
          <w:rFonts w:ascii="Arial Narrow" w:hAnsi="Arial Narrow"/>
          <w:bCs/>
          <w:lang w:val="bg-BG"/>
        </w:rPr>
        <w:t>1,4</w:t>
      </w:r>
      <w:r w:rsidRPr="00275FE8">
        <w:rPr>
          <w:rFonts w:ascii="Arial Narrow" w:hAnsi="Arial Narrow"/>
          <w:bCs/>
          <w:lang w:val="bg-BG"/>
        </w:rPr>
        <w:t xml:space="preserve"> млн. евро за същия период на предходната 2024 г.</w:t>
      </w:r>
    </w:p>
    <w:p w14:paraId="2DD80B8F" w14:textId="77777777" w:rsidR="00275FE8" w:rsidRPr="00275FE8" w:rsidRDefault="00275FE8" w:rsidP="00275FE8">
      <w:pPr>
        <w:widowControl w:val="0"/>
        <w:spacing w:after="120"/>
        <w:ind w:firstLine="709"/>
        <w:jc w:val="both"/>
        <w:rPr>
          <w:rFonts w:ascii="Arial Narrow" w:hAnsi="Arial Narrow"/>
          <w:lang w:val="bg-BG" w:eastAsia="bg-BG"/>
        </w:rPr>
      </w:pPr>
      <w:r w:rsidRPr="00275FE8">
        <w:rPr>
          <w:rFonts w:ascii="Arial Narrow" w:hAnsi="Arial Narrow"/>
          <w:bCs/>
          <w:lang w:val="bg-BG"/>
        </w:rPr>
        <w:t xml:space="preserve">Основни партньори в аграрната търговия на страната остават страните от ЕС. </w:t>
      </w:r>
      <w:r w:rsidRPr="00275FE8">
        <w:rPr>
          <w:rFonts w:ascii="Arial Narrow" w:hAnsi="Arial Narrow"/>
          <w:lang w:val="bg-BG" w:eastAsia="bg-BG"/>
        </w:rPr>
        <w:t xml:space="preserve">През първите шест месеца на 2025 г. обменът на селскостопански стоки с ЕС нараства с 15,5% спрямо година по-рано, като представлява 55,1% от общия аграрен износ на страната и 68,9% от общия аграрен внос. </w:t>
      </w:r>
    </w:p>
    <w:p w14:paraId="54403541" w14:textId="77777777" w:rsidR="00513FF4" w:rsidRPr="00080EBA" w:rsidRDefault="00513FF4" w:rsidP="0072450C">
      <w:pPr>
        <w:keepNext/>
        <w:numPr>
          <w:ilvl w:val="0"/>
          <w:numId w:val="18"/>
        </w:numPr>
        <w:spacing w:after="120"/>
        <w:ind w:left="538" w:hanging="357"/>
        <w:outlineLvl w:val="0"/>
        <w:rPr>
          <w:rFonts w:ascii="Arial Narrow" w:eastAsia="SimSun" w:hAnsi="Arial Narrow"/>
          <w:b/>
          <w:bCs/>
          <w:sz w:val="28"/>
          <w:szCs w:val="28"/>
          <w:lang w:val="bg-BG"/>
        </w:rPr>
      </w:pPr>
      <w:bookmarkStart w:id="78" w:name="_Toc210747575"/>
      <w:r w:rsidRPr="00080EBA">
        <w:rPr>
          <w:rFonts w:ascii="Arial Narrow" w:eastAsia="SimSun" w:hAnsi="Arial Narrow"/>
          <w:b/>
          <w:bCs/>
          <w:lang w:val="bg-BG"/>
        </w:rPr>
        <w:t>Дейности по подкрепа на износа на земеделска продукция</w:t>
      </w:r>
      <w:bookmarkEnd w:id="78"/>
    </w:p>
    <w:p w14:paraId="3E47E351" w14:textId="77777777" w:rsidR="00080EBA" w:rsidRPr="00080EBA" w:rsidRDefault="00080EBA" w:rsidP="00080EBA">
      <w:pPr>
        <w:overflowPunct w:val="0"/>
        <w:autoSpaceDE w:val="0"/>
        <w:autoSpaceDN w:val="0"/>
        <w:adjustRightInd w:val="0"/>
        <w:spacing w:after="120"/>
        <w:ind w:firstLine="567"/>
        <w:jc w:val="both"/>
        <w:textAlignment w:val="baseline"/>
        <w:rPr>
          <w:rFonts w:ascii="Arial Narrow" w:hAnsi="Arial Narrow"/>
          <w:lang w:val="bg-BG"/>
        </w:rPr>
      </w:pPr>
      <w:r w:rsidRPr="00080EBA">
        <w:rPr>
          <w:rFonts w:ascii="Arial Narrow" w:hAnsi="Arial Narrow"/>
          <w:lang w:val="bg-BG"/>
        </w:rPr>
        <w:t>Министерството на земеделието и храните традиционно организира участието на страната в различни международни прояви и изложения за хранително-вкусовата промишленост с цел популяризирането и изграждането на разпознаваем имидж на българските селскостопански продукти, както и с цел подпомагане на експорта и развитие на международните контакти между бизнесоператорите в сектора.</w:t>
      </w:r>
    </w:p>
    <w:p w14:paraId="66E8790F" w14:textId="77777777" w:rsidR="00B06955" w:rsidRPr="00080EBA" w:rsidRDefault="00080EBA" w:rsidP="00080EBA">
      <w:pPr>
        <w:overflowPunct w:val="0"/>
        <w:autoSpaceDE w:val="0"/>
        <w:autoSpaceDN w:val="0"/>
        <w:adjustRightInd w:val="0"/>
        <w:spacing w:after="120"/>
        <w:ind w:firstLine="567"/>
        <w:jc w:val="both"/>
        <w:textAlignment w:val="baseline"/>
        <w:rPr>
          <w:rFonts w:ascii="Arial Narrow" w:hAnsi="Arial Narrow"/>
          <w:lang w:val="bg-BG"/>
        </w:rPr>
      </w:pPr>
      <w:r w:rsidRPr="00080EBA">
        <w:rPr>
          <w:rFonts w:ascii="Arial Narrow" w:hAnsi="Arial Narrow"/>
          <w:lang w:val="bg-BG"/>
        </w:rPr>
        <w:t xml:space="preserve">През 2024 г. национални щандове на Република България с участието на производители на мед, вино, млечни и месни продукти, био-продукти, сладко, етерични масла и др. присъстваха на Международното изложение „Зелена седмица“ в гр. Берлин, Федерална република Германия, </w:t>
      </w:r>
      <w:r w:rsidRPr="00080EBA">
        <w:rPr>
          <w:rFonts w:ascii="Arial Narrow" w:hAnsi="Arial Narrow"/>
          <w:lang w:val="bg-BG"/>
        </w:rPr>
        <w:lastRenderedPageBreak/>
        <w:t>Международното изложение за биохрани „БИОФАХ 2024“ в гр. Нюрнберг, Федерална република Германия, Международното изложение за вино и спиртни напитки „Провайн“ (Prowein) и на Международното изложение за земеделие и хранителни продукти “АГРА 2024”, гр. Горня Радгона, Република Словения.</w:t>
      </w:r>
    </w:p>
    <w:p w14:paraId="7F791E18" w14:textId="77777777" w:rsidR="007543AA" w:rsidRPr="00BA7C7F" w:rsidRDefault="009148D7" w:rsidP="00D06B10">
      <w:pPr>
        <w:pStyle w:val="Heading1"/>
        <w:keepNext w:val="0"/>
        <w:keepLines w:val="0"/>
        <w:widowControl w:val="0"/>
        <w:numPr>
          <w:ilvl w:val="0"/>
          <w:numId w:val="14"/>
        </w:numPr>
        <w:tabs>
          <w:tab w:val="num" w:pos="270"/>
        </w:tabs>
        <w:overflowPunct w:val="0"/>
        <w:autoSpaceDE w:val="0"/>
        <w:autoSpaceDN w:val="0"/>
        <w:adjustRightInd w:val="0"/>
        <w:spacing w:before="240" w:after="120"/>
        <w:ind w:left="170" w:firstLine="10"/>
        <w:textAlignment w:val="baseline"/>
        <w:rPr>
          <w:rFonts w:ascii="Arial Narrow" w:eastAsia="Times New Roman" w:hAnsi="Arial Narrow"/>
          <w:color w:val="auto"/>
          <w:sz w:val="24"/>
          <w:szCs w:val="24"/>
          <w:lang w:val="bg-BG" w:eastAsia="bg-BG"/>
        </w:rPr>
      </w:pPr>
      <w:bookmarkStart w:id="79" w:name="_Toc210747576"/>
      <w:r w:rsidRPr="00BA7C7F">
        <w:rPr>
          <w:rFonts w:ascii="Arial Narrow" w:eastAsia="Times New Roman" w:hAnsi="Arial Narrow"/>
          <w:color w:val="auto"/>
          <w:sz w:val="24"/>
          <w:szCs w:val="24"/>
          <w:lang w:val="bg-BG" w:eastAsia="bg-BG"/>
        </w:rPr>
        <w:t>П</w:t>
      </w:r>
      <w:r w:rsidR="006B0B15" w:rsidRPr="00BA7C7F">
        <w:rPr>
          <w:rFonts w:ascii="Arial Narrow" w:eastAsia="Times New Roman" w:hAnsi="Arial Narrow"/>
          <w:color w:val="auto"/>
          <w:sz w:val="24"/>
          <w:szCs w:val="24"/>
          <w:lang w:val="bg-BG" w:eastAsia="bg-BG"/>
        </w:rPr>
        <w:t>ОДПОМАГАНЕ НА АГРАРНИЯ ОТРАСЪЛ</w:t>
      </w:r>
      <w:bookmarkEnd w:id="79"/>
    </w:p>
    <w:p w14:paraId="64848344" w14:textId="77777777" w:rsidR="00F809CB" w:rsidRPr="00BA7C7F" w:rsidRDefault="00DD5FCE" w:rsidP="006E11F9">
      <w:pPr>
        <w:pStyle w:val="ListParagraph"/>
        <w:widowControl w:val="0"/>
        <w:numPr>
          <w:ilvl w:val="0"/>
          <w:numId w:val="33"/>
        </w:numPr>
        <w:tabs>
          <w:tab w:val="left" w:pos="1134"/>
          <w:tab w:val="left" w:pos="1276"/>
        </w:tabs>
        <w:overflowPunct w:val="0"/>
        <w:autoSpaceDE w:val="0"/>
        <w:autoSpaceDN w:val="0"/>
        <w:adjustRightInd w:val="0"/>
        <w:spacing w:after="120"/>
        <w:ind w:left="709" w:hanging="439"/>
        <w:contextualSpacing w:val="0"/>
        <w:textAlignment w:val="baseline"/>
        <w:outlineLvl w:val="0"/>
        <w:rPr>
          <w:rFonts w:ascii="Arial Narrow" w:hAnsi="Arial Narrow"/>
          <w:b/>
          <w:bCs/>
          <w:lang w:val="bg-BG" w:eastAsia="bg-BG"/>
        </w:rPr>
      </w:pPr>
      <w:bookmarkStart w:id="80" w:name="_Toc496779012"/>
      <w:bookmarkStart w:id="81" w:name="_Toc496780658"/>
      <w:bookmarkStart w:id="82" w:name="_Toc496780838"/>
      <w:bookmarkStart w:id="83" w:name="_Toc210747577"/>
      <w:bookmarkEnd w:id="80"/>
      <w:bookmarkEnd w:id="81"/>
      <w:bookmarkEnd w:id="82"/>
      <w:r w:rsidRPr="00BA7C7F">
        <w:rPr>
          <w:rFonts w:ascii="Arial Narrow" w:hAnsi="Arial Narrow"/>
          <w:b/>
          <w:bCs/>
          <w:lang w:val="bg-BG" w:eastAsia="bg-BG"/>
        </w:rPr>
        <w:t>Подпомагане по първи стълб на ОСП</w:t>
      </w:r>
      <w:bookmarkEnd w:id="83"/>
    </w:p>
    <w:p w14:paraId="4AACADFB" w14:textId="77777777" w:rsidR="00BA7C7F" w:rsidRPr="00BA7C7F" w:rsidRDefault="002D513F" w:rsidP="006E11F9">
      <w:pPr>
        <w:pStyle w:val="ListParagraph"/>
        <w:widowControl w:val="0"/>
        <w:numPr>
          <w:ilvl w:val="1"/>
          <w:numId w:val="34"/>
        </w:numPr>
        <w:tabs>
          <w:tab w:val="left" w:pos="1134"/>
        </w:tabs>
        <w:overflowPunct w:val="0"/>
        <w:autoSpaceDE w:val="0"/>
        <w:autoSpaceDN w:val="0"/>
        <w:adjustRightInd w:val="0"/>
        <w:spacing w:after="120"/>
        <w:ind w:left="709" w:hanging="425"/>
        <w:contextualSpacing w:val="0"/>
        <w:jc w:val="both"/>
        <w:textAlignment w:val="baseline"/>
        <w:outlineLvl w:val="0"/>
        <w:rPr>
          <w:rFonts w:ascii="Arial Narrow" w:hAnsi="Arial Narrow"/>
          <w:b/>
          <w:bCs/>
          <w:lang w:val="bg-BG" w:eastAsia="bg-BG"/>
        </w:rPr>
      </w:pPr>
      <w:bookmarkStart w:id="84" w:name="_Toc210747578"/>
      <w:r w:rsidRPr="00BA7C7F">
        <w:rPr>
          <w:rFonts w:ascii="Arial Narrow" w:hAnsi="Arial Narrow"/>
          <w:b/>
          <w:bCs/>
          <w:lang w:val="bg-BG" w:eastAsia="bg-BG"/>
        </w:rPr>
        <w:t>Директни плащания на площ, преходна национална помощ и обвързано с производството подпомагане</w:t>
      </w:r>
      <w:bookmarkEnd w:id="84"/>
    </w:p>
    <w:p w14:paraId="5D9B4DB3" w14:textId="77777777" w:rsidR="00BA7C7F" w:rsidRPr="002D624F" w:rsidRDefault="00BA7C7F" w:rsidP="002D624F">
      <w:pPr>
        <w:pStyle w:val="Default"/>
        <w:spacing w:after="120"/>
        <w:rPr>
          <w:rFonts w:ascii="Arial Narrow" w:hAnsi="Arial Narrow"/>
          <w:b/>
          <w:bCs/>
          <w:color w:val="auto"/>
          <w:lang w:val="en-US"/>
        </w:rPr>
      </w:pPr>
      <w:r w:rsidRPr="00BA7C7F">
        <w:rPr>
          <w:rFonts w:ascii="Arial Narrow" w:hAnsi="Arial Narrow"/>
          <w:b/>
          <w:bCs/>
          <w:color w:val="auto"/>
        </w:rPr>
        <w:t>Кампания `202</w:t>
      </w:r>
      <w:r>
        <w:rPr>
          <w:rFonts w:ascii="Arial Narrow" w:hAnsi="Arial Narrow"/>
          <w:b/>
          <w:bCs/>
          <w:color w:val="auto"/>
          <w:lang w:val="en-US"/>
        </w:rPr>
        <w:t>3</w:t>
      </w:r>
    </w:p>
    <w:p w14:paraId="2A00ABDD" w14:textId="77777777" w:rsidR="00BA7C7F" w:rsidRPr="00C57ABA" w:rsidRDefault="00BA7C7F" w:rsidP="00BA7C7F">
      <w:pPr>
        <w:autoSpaceDE w:val="0"/>
        <w:autoSpaceDN w:val="0"/>
        <w:adjustRightInd w:val="0"/>
        <w:spacing w:after="120"/>
        <w:ind w:firstLine="709"/>
        <w:jc w:val="both"/>
        <w:rPr>
          <w:rFonts w:ascii="Arial Narrow" w:eastAsiaTheme="minorHAnsi" w:hAnsi="Arial Narrow"/>
          <w:bCs/>
        </w:rPr>
      </w:pPr>
      <w:r w:rsidRPr="00C57ABA">
        <w:rPr>
          <w:rFonts w:ascii="Arial Narrow" w:eastAsiaTheme="minorHAnsi" w:hAnsi="Arial Narrow"/>
          <w:bCs/>
        </w:rPr>
        <w:t xml:space="preserve">Финансовото подпомагане по схемите и интервенциите за директни плащания се предоставя от ЕФГЗ и НБ. През календарната 2024 г. под формата на директни плащания са оторизирани средства с общ размер 1 845 800 575 лева по заявления за подпомагане, подадени за Кампания `2023 и Кампания `2024. </w:t>
      </w:r>
    </w:p>
    <w:p w14:paraId="76CDFCF9" w14:textId="77777777" w:rsidR="00BA7C7F" w:rsidRPr="00C57ABA" w:rsidRDefault="00BA7C7F" w:rsidP="00BA7C7F">
      <w:pPr>
        <w:spacing w:after="120"/>
        <w:rPr>
          <w:rFonts w:ascii="Arial Narrow" w:eastAsia="Calibri" w:hAnsi="Arial Narrow"/>
          <w:b/>
          <w:bCs/>
        </w:rPr>
      </w:pPr>
      <w:r w:rsidRPr="00C57ABA">
        <w:rPr>
          <w:rFonts w:ascii="Arial Narrow" w:eastAsia="Calibri" w:hAnsi="Arial Narrow"/>
          <w:b/>
          <w:bCs/>
        </w:rPr>
        <w:t xml:space="preserve">Таблица </w:t>
      </w:r>
      <w:r w:rsidR="00CA4006" w:rsidRPr="001B6ED3">
        <w:rPr>
          <w:rFonts w:ascii="Arial Narrow" w:hAnsi="Arial Narrow" w:cs="Arial Narrow"/>
          <w:b/>
          <w:bCs/>
          <w:lang w:val="bg-BG"/>
        </w:rPr>
        <w:t>ІV.1</w:t>
      </w:r>
      <w:r w:rsidR="00CA4006">
        <w:rPr>
          <w:rFonts w:ascii="Arial Narrow" w:hAnsi="Arial Narrow" w:cs="Arial Narrow"/>
          <w:b/>
          <w:bCs/>
          <w:lang w:val="bg-BG"/>
        </w:rPr>
        <w:t>.</w:t>
      </w:r>
      <w:r w:rsidRPr="00C57ABA">
        <w:rPr>
          <w:rFonts w:ascii="Arial Narrow" w:eastAsia="Calibri" w:hAnsi="Arial Narrow"/>
          <w:b/>
          <w:bCs/>
        </w:rPr>
        <w:t xml:space="preserve"> Оторизирани средства за Кампания `2023 през календарната 2024 г.</w:t>
      </w:r>
    </w:p>
    <w:tbl>
      <w:tblPr>
        <w:tblW w:w="9974" w:type="dxa"/>
        <w:tblInd w:w="70" w:type="dxa"/>
        <w:tblCellMar>
          <w:left w:w="70" w:type="dxa"/>
          <w:right w:w="70" w:type="dxa"/>
        </w:tblCellMar>
        <w:tblLook w:val="04A0" w:firstRow="1" w:lastRow="0" w:firstColumn="1" w:lastColumn="0" w:noHBand="0" w:noVBand="1"/>
      </w:tblPr>
      <w:tblGrid>
        <w:gridCol w:w="1724"/>
        <w:gridCol w:w="1801"/>
        <w:gridCol w:w="1652"/>
        <w:gridCol w:w="1045"/>
        <w:gridCol w:w="1045"/>
        <w:gridCol w:w="906"/>
        <w:gridCol w:w="1801"/>
      </w:tblGrid>
      <w:tr w:rsidR="00BA7C7F" w:rsidRPr="00C57ABA" w14:paraId="560277C6" w14:textId="77777777" w:rsidTr="00B37935">
        <w:trPr>
          <w:trHeight w:val="449"/>
          <w:tblHeader/>
        </w:trPr>
        <w:tc>
          <w:tcPr>
            <w:tcW w:w="1724" w:type="dxa"/>
            <w:vMerge w:val="restart"/>
            <w:tcBorders>
              <w:top w:val="single" w:sz="8" w:space="0" w:color="auto"/>
              <w:left w:val="single" w:sz="8" w:space="0" w:color="auto"/>
              <w:bottom w:val="single" w:sz="4" w:space="0" w:color="000000"/>
              <w:right w:val="single" w:sz="8" w:space="0" w:color="auto"/>
            </w:tcBorders>
            <w:shd w:val="clear" w:color="auto" w:fill="auto"/>
            <w:vAlign w:val="center"/>
            <w:hideMark/>
          </w:tcPr>
          <w:p w14:paraId="576EC56E" w14:textId="77777777" w:rsidR="00BA7C7F" w:rsidRPr="008C7311" w:rsidRDefault="00BA7C7F" w:rsidP="00BA7C7F">
            <w:pPr>
              <w:jc w:val="center"/>
              <w:rPr>
                <w:rFonts w:ascii="Arial Narrow" w:hAnsi="Arial Narrow" w:cstheme="minorBidi"/>
                <w:b/>
                <w:bCs/>
                <w:sz w:val="20"/>
                <w:szCs w:val="20"/>
              </w:rPr>
            </w:pPr>
            <w:r w:rsidRPr="008C7311">
              <w:rPr>
                <w:rFonts w:ascii="Arial Narrow" w:hAnsi="Arial Narrow" w:cstheme="minorBidi"/>
                <w:b/>
                <w:bCs/>
                <w:sz w:val="20"/>
                <w:szCs w:val="20"/>
              </w:rPr>
              <w:t>Интервенция</w:t>
            </w:r>
          </w:p>
        </w:tc>
        <w:tc>
          <w:tcPr>
            <w:tcW w:w="1801" w:type="dxa"/>
            <w:vMerge w:val="restart"/>
            <w:tcBorders>
              <w:top w:val="single" w:sz="4" w:space="0" w:color="auto"/>
              <w:left w:val="single" w:sz="4" w:space="0" w:color="auto"/>
              <w:right w:val="single" w:sz="4" w:space="0" w:color="auto"/>
            </w:tcBorders>
            <w:shd w:val="clear" w:color="auto" w:fill="auto"/>
            <w:vAlign w:val="center"/>
            <w:hideMark/>
          </w:tcPr>
          <w:p w14:paraId="4F98F93B" w14:textId="77777777" w:rsidR="00BA7C7F" w:rsidRPr="008C7311" w:rsidRDefault="00BA7C7F" w:rsidP="00BA7C7F">
            <w:pPr>
              <w:jc w:val="center"/>
              <w:rPr>
                <w:rFonts w:ascii="Arial Narrow" w:hAnsi="Arial Narrow" w:cstheme="minorBidi"/>
                <w:b/>
                <w:bCs/>
                <w:sz w:val="20"/>
                <w:szCs w:val="20"/>
              </w:rPr>
            </w:pPr>
            <w:r w:rsidRPr="008C7311">
              <w:rPr>
                <w:rFonts w:ascii="Arial Narrow" w:hAnsi="Arial Narrow" w:cstheme="minorBidi"/>
                <w:b/>
                <w:bCs/>
                <w:sz w:val="20"/>
                <w:szCs w:val="20"/>
              </w:rPr>
              <w:t>Брой подадени заявления</w:t>
            </w:r>
          </w:p>
        </w:tc>
        <w:tc>
          <w:tcPr>
            <w:tcW w:w="1652" w:type="dxa"/>
            <w:vMerge w:val="restart"/>
            <w:tcBorders>
              <w:top w:val="single" w:sz="4" w:space="0" w:color="auto"/>
              <w:left w:val="single" w:sz="4" w:space="0" w:color="auto"/>
              <w:right w:val="single" w:sz="4" w:space="0" w:color="auto"/>
            </w:tcBorders>
            <w:shd w:val="clear" w:color="auto" w:fill="auto"/>
            <w:vAlign w:val="center"/>
            <w:hideMark/>
          </w:tcPr>
          <w:p w14:paraId="3A9E3855" w14:textId="77777777" w:rsidR="00BA7C7F" w:rsidRPr="008C7311" w:rsidRDefault="00BA7C7F" w:rsidP="00BA7C7F">
            <w:pPr>
              <w:jc w:val="center"/>
              <w:rPr>
                <w:rFonts w:ascii="Arial Narrow" w:hAnsi="Arial Narrow" w:cstheme="minorBidi"/>
                <w:b/>
                <w:bCs/>
                <w:sz w:val="20"/>
                <w:szCs w:val="20"/>
              </w:rPr>
            </w:pPr>
            <w:r w:rsidRPr="008C7311">
              <w:rPr>
                <w:rFonts w:ascii="Arial Narrow" w:hAnsi="Arial Narrow" w:cstheme="minorBidi"/>
                <w:b/>
                <w:bCs/>
                <w:sz w:val="20"/>
                <w:szCs w:val="20"/>
              </w:rPr>
              <w:t>Брой заявления с оторизирани плащания</w:t>
            </w:r>
          </w:p>
        </w:tc>
        <w:tc>
          <w:tcPr>
            <w:tcW w:w="2996" w:type="dxa"/>
            <w:gridSpan w:val="3"/>
            <w:tcBorders>
              <w:top w:val="single" w:sz="4" w:space="0" w:color="auto"/>
              <w:left w:val="nil"/>
              <w:bottom w:val="single" w:sz="4" w:space="0" w:color="auto"/>
              <w:right w:val="single" w:sz="4" w:space="0" w:color="auto"/>
            </w:tcBorders>
            <w:shd w:val="clear" w:color="auto" w:fill="auto"/>
            <w:vAlign w:val="center"/>
            <w:hideMark/>
          </w:tcPr>
          <w:p w14:paraId="62E3DDEF" w14:textId="77777777" w:rsidR="00BA7C7F" w:rsidRPr="008C7311" w:rsidRDefault="00BA7C7F" w:rsidP="00BA7C7F">
            <w:pPr>
              <w:jc w:val="center"/>
              <w:rPr>
                <w:rFonts w:ascii="Arial Narrow" w:hAnsi="Arial Narrow" w:cstheme="minorBidi"/>
                <w:b/>
                <w:bCs/>
                <w:sz w:val="20"/>
                <w:szCs w:val="20"/>
              </w:rPr>
            </w:pPr>
            <w:r w:rsidRPr="008C7311">
              <w:rPr>
                <w:rFonts w:ascii="Arial Narrow" w:hAnsi="Arial Narrow" w:cstheme="minorBidi"/>
                <w:b/>
                <w:bCs/>
                <w:sz w:val="20"/>
                <w:szCs w:val="20"/>
              </w:rPr>
              <w:t>Разпределение на бюджета (%)</w:t>
            </w:r>
          </w:p>
        </w:tc>
        <w:tc>
          <w:tcPr>
            <w:tcW w:w="1801" w:type="dxa"/>
            <w:vMerge w:val="restart"/>
            <w:tcBorders>
              <w:top w:val="single" w:sz="4" w:space="0" w:color="auto"/>
              <w:left w:val="single" w:sz="4" w:space="0" w:color="auto"/>
              <w:right w:val="single" w:sz="4" w:space="0" w:color="auto"/>
            </w:tcBorders>
            <w:shd w:val="clear" w:color="auto" w:fill="auto"/>
            <w:vAlign w:val="center"/>
            <w:hideMark/>
          </w:tcPr>
          <w:p w14:paraId="5AC5F77C" w14:textId="77777777" w:rsidR="00BA7C7F" w:rsidRPr="008C7311" w:rsidRDefault="00BA7C7F" w:rsidP="00BA7C7F">
            <w:pPr>
              <w:jc w:val="center"/>
              <w:rPr>
                <w:rFonts w:ascii="Arial Narrow" w:hAnsi="Arial Narrow" w:cs="Calibri"/>
                <w:b/>
                <w:bCs/>
                <w:color w:val="000000"/>
                <w:sz w:val="20"/>
                <w:szCs w:val="20"/>
              </w:rPr>
            </w:pPr>
            <w:r w:rsidRPr="008C7311">
              <w:rPr>
                <w:rFonts w:ascii="Arial Narrow" w:hAnsi="Arial Narrow" w:cs="Calibri"/>
                <w:b/>
                <w:bCs/>
                <w:color w:val="000000"/>
                <w:sz w:val="20"/>
                <w:szCs w:val="20"/>
              </w:rPr>
              <w:t>Оторизирана сума</w:t>
            </w:r>
          </w:p>
          <w:p w14:paraId="77B42BD5" w14:textId="77777777" w:rsidR="00BA7C7F" w:rsidRPr="00022A0B" w:rsidRDefault="00BA7C7F" w:rsidP="00BA7C7F">
            <w:pPr>
              <w:jc w:val="center"/>
              <w:rPr>
                <w:rFonts w:ascii="Arial Narrow" w:hAnsi="Arial Narrow" w:cstheme="minorBidi"/>
                <w:bCs/>
                <w:sz w:val="20"/>
                <w:szCs w:val="20"/>
              </w:rPr>
            </w:pPr>
            <w:r w:rsidRPr="008C7311">
              <w:rPr>
                <w:rFonts w:ascii="Arial Narrow" w:hAnsi="Arial Narrow" w:cs="Calibri"/>
                <w:b/>
                <w:bCs/>
                <w:color w:val="000000"/>
                <w:sz w:val="20"/>
                <w:szCs w:val="20"/>
              </w:rPr>
              <w:t>(лева)</w:t>
            </w:r>
          </w:p>
        </w:tc>
      </w:tr>
      <w:tr w:rsidR="00BA7C7F" w:rsidRPr="00C57ABA" w14:paraId="787CE656" w14:textId="77777777" w:rsidTr="00B37935">
        <w:trPr>
          <w:trHeight w:val="321"/>
          <w:tblHeader/>
        </w:trPr>
        <w:tc>
          <w:tcPr>
            <w:tcW w:w="1724" w:type="dxa"/>
            <w:vMerge/>
            <w:tcBorders>
              <w:top w:val="single" w:sz="8" w:space="0" w:color="auto"/>
              <w:left w:val="single" w:sz="8" w:space="0" w:color="auto"/>
              <w:bottom w:val="single" w:sz="4" w:space="0" w:color="000000"/>
              <w:right w:val="single" w:sz="4" w:space="0" w:color="auto"/>
            </w:tcBorders>
            <w:shd w:val="clear" w:color="auto" w:fill="auto"/>
            <w:vAlign w:val="center"/>
            <w:hideMark/>
          </w:tcPr>
          <w:p w14:paraId="37B9C843" w14:textId="77777777" w:rsidR="00BA7C7F" w:rsidRPr="008C7311" w:rsidRDefault="00BA7C7F" w:rsidP="00BA7C7F">
            <w:pPr>
              <w:jc w:val="center"/>
              <w:rPr>
                <w:rFonts w:ascii="Arial Narrow" w:hAnsi="Arial Narrow" w:cstheme="minorBidi"/>
                <w:b/>
                <w:bCs/>
                <w:sz w:val="20"/>
                <w:szCs w:val="20"/>
              </w:rPr>
            </w:pPr>
          </w:p>
        </w:tc>
        <w:tc>
          <w:tcPr>
            <w:tcW w:w="1801" w:type="dxa"/>
            <w:vMerge/>
            <w:tcBorders>
              <w:left w:val="single" w:sz="4" w:space="0" w:color="auto"/>
              <w:bottom w:val="single" w:sz="4" w:space="0" w:color="auto"/>
              <w:right w:val="single" w:sz="4" w:space="0" w:color="auto"/>
            </w:tcBorders>
            <w:shd w:val="clear" w:color="auto" w:fill="auto"/>
            <w:vAlign w:val="center"/>
            <w:hideMark/>
          </w:tcPr>
          <w:p w14:paraId="6D448A4E" w14:textId="77777777" w:rsidR="00BA7C7F" w:rsidRPr="008C7311" w:rsidRDefault="00BA7C7F" w:rsidP="00BA7C7F">
            <w:pPr>
              <w:jc w:val="center"/>
              <w:rPr>
                <w:rFonts w:ascii="Arial Narrow" w:hAnsi="Arial Narrow" w:cstheme="minorBidi"/>
                <w:b/>
                <w:bCs/>
                <w:sz w:val="20"/>
                <w:szCs w:val="20"/>
              </w:rPr>
            </w:pPr>
          </w:p>
        </w:tc>
        <w:tc>
          <w:tcPr>
            <w:tcW w:w="1652" w:type="dxa"/>
            <w:vMerge/>
            <w:tcBorders>
              <w:left w:val="single" w:sz="4" w:space="0" w:color="auto"/>
              <w:bottom w:val="single" w:sz="4" w:space="0" w:color="auto"/>
              <w:right w:val="single" w:sz="4" w:space="0" w:color="auto"/>
            </w:tcBorders>
            <w:shd w:val="clear" w:color="auto" w:fill="auto"/>
            <w:vAlign w:val="center"/>
            <w:hideMark/>
          </w:tcPr>
          <w:p w14:paraId="797AB59D" w14:textId="77777777" w:rsidR="00BA7C7F" w:rsidRPr="008C7311" w:rsidRDefault="00BA7C7F" w:rsidP="00BA7C7F">
            <w:pPr>
              <w:jc w:val="center"/>
              <w:rPr>
                <w:rFonts w:ascii="Arial Narrow" w:hAnsi="Arial Narrow" w:cstheme="minorBidi"/>
                <w:b/>
                <w:bCs/>
                <w:sz w:val="20"/>
                <w:szCs w:val="20"/>
              </w:rPr>
            </w:pPr>
          </w:p>
        </w:tc>
        <w:tc>
          <w:tcPr>
            <w:tcW w:w="1045" w:type="dxa"/>
            <w:tcBorders>
              <w:top w:val="nil"/>
              <w:left w:val="single" w:sz="4" w:space="0" w:color="auto"/>
              <w:bottom w:val="single" w:sz="4" w:space="0" w:color="auto"/>
              <w:right w:val="single" w:sz="4" w:space="0" w:color="auto"/>
            </w:tcBorders>
            <w:shd w:val="clear" w:color="auto" w:fill="auto"/>
            <w:vAlign w:val="center"/>
            <w:hideMark/>
          </w:tcPr>
          <w:p w14:paraId="73963BCC" w14:textId="77777777" w:rsidR="00BA7C7F" w:rsidRPr="008C7311" w:rsidRDefault="00BA7C7F" w:rsidP="00BA7C7F">
            <w:pPr>
              <w:jc w:val="center"/>
              <w:rPr>
                <w:rFonts w:ascii="Arial Narrow" w:hAnsi="Arial Narrow" w:cstheme="minorBidi"/>
                <w:b/>
                <w:bCs/>
                <w:sz w:val="20"/>
                <w:szCs w:val="20"/>
              </w:rPr>
            </w:pPr>
            <w:r w:rsidRPr="008C7311">
              <w:rPr>
                <w:rFonts w:ascii="Arial Narrow" w:hAnsi="Arial Narrow" w:cstheme="minorBidi"/>
                <w:b/>
                <w:bCs/>
                <w:sz w:val="20"/>
                <w:szCs w:val="20"/>
              </w:rPr>
              <w:t>ЕЗФГЗ</w:t>
            </w:r>
          </w:p>
        </w:tc>
        <w:tc>
          <w:tcPr>
            <w:tcW w:w="1045" w:type="dxa"/>
            <w:tcBorders>
              <w:top w:val="nil"/>
              <w:left w:val="nil"/>
              <w:bottom w:val="single" w:sz="4" w:space="0" w:color="auto"/>
              <w:right w:val="single" w:sz="4" w:space="0" w:color="auto"/>
            </w:tcBorders>
            <w:shd w:val="clear" w:color="auto" w:fill="auto"/>
            <w:vAlign w:val="center"/>
            <w:hideMark/>
          </w:tcPr>
          <w:p w14:paraId="6580F360" w14:textId="77777777" w:rsidR="00BA7C7F" w:rsidRPr="008C7311" w:rsidRDefault="00BA7C7F" w:rsidP="00BA7C7F">
            <w:pPr>
              <w:jc w:val="center"/>
              <w:rPr>
                <w:rFonts w:ascii="Arial Narrow" w:hAnsi="Arial Narrow" w:cstheme="minorBidi"/>
                <w:b/>
                <w:bCs/>
                <w:sz w:val="20"/>
                <w:szCs w:val="20"/>
              </w:rPr>
            </w:pPr>
            <w:r w:rsidRPr="008C7311">
              <w:rPr>
                <w:rFonts w:ascii="Arial Narrow" w:hAnsi="Arial Narrow" w:cstheme="minorBidi"/>
                <w:b/>
                <w:bCs/>
                <w:sz w:val="20"/>
                <w:szCs w:val="20"/>
              </w:rPr>
              <w:t>ЕЗФРСР</w:t>
            </w:r>
          </w:p>
        </w:tc>
        <w:tc>
          <w:tcPr>
            <w:tcW w:w="906" w:type="dxa"/>
            <w:tcBorders>
              <w:top w:val="nil"/>
              <w:left w:val="nil"/>
              <w:bottom w:val="single" w:sz="4" w:space="0" w:color="auto"/>
              <w:right w:val="single" w:sz="4" w:space="0" w:color="auto"/>
            </w:tcBorders>
            <w:shd w:val="clear" w:color="auto" w:fill="auto"/>
            <w:vAlign w:val="center"/>
            <w:hideMark/>
          </w:tcPr>
          <w:p w14:paraId="1F0583DE" w14:textId="77777777" w:rsidR="00BA7C7F" w:rsidRPr="008C7311" w:rsidRDefault="00BA7C7F" w:rsidP="00BA7C7F">
            <w:pPr>
              <w:jc w:val="center"/>
              <w:rPr>
                <w:rFonts w:ascii="Arial Narrow" w:hAnsi="Arial Narrow" w:cstheme="minorBidi"/>
                <w:b/>
                <w:bCs/>
                <w:sz w:val="20"/>
                <w:szCs w:val="20"/>
              </w:rPr>
            </w:pPr>
            <w:r w:rsidRPr="008C7311">
              <w:rPr>
                <w:rFonts w:ascii="Arial Narrow" w:hAnsi="Arial Narrow" w:cstheme="minorBidi"/>
                <w:b/>
                <w:bCs/>
                <w:sz w:val="20"/>
                <w:szCs w:val="20"/>
              </w:rPr>
              <w:t>НБ</w:t>
            </w:r>
          </w:p>
        </w:tc>
        <w:tc>
          <w:tcPr>
            <w:tcW w:w="1801" w:type="dxa"/>
            <w:vMerge/>
            <w:tcBorders>
              <w:left w:val="single" w:sz="4" w:space="0" w:color="auto"/>
              <w:bottom w:val="single" w:sz="4" w:space="0" w:color="auto"/>
              <w:right w:val="single" w:sz="4" w:space="0" w:color="auto"/>
            </w:tcBorders>
            <w:vAlign w:val="center"/>
            <w:hideMark/>
          </w:tcPr>
          <w:p w14:paraId="31A094E5" w14:textId="77777777" w:rsidR="00BA7C7F" w:rsidRPr="00022A0B" w:rsidRDefault="00BA7C7F" w:rsidP="00BA7C7F">
            <w:pPr>
              <w:rPr>
                <w:rFonts w:ascii="Arial Narrow" w:hAnsi="Arial Narrow" w:cstheme="minorBidi"/>
                <w:bCs/>
                <w:sz w:val="20"/>
                <w:szCs w:val="20"/>
              </w:rPr>
            </w:pPr>
          </w:p>
        </w:tc>
      </w:tr>
      <w:tr w:rsidR="00BA7C7F" w:rsidRPr="00C57ABA" w14:paraId="1C253838" w14:textId="77777777" w:rsidTr="00B37935">
        <w:trPr>
          <w:trHeight w:val="300"/>
        </w:trPr>
        <w:tc>
          <w:tcPr>
            <w:tcW w:w="1724" w:type="dxa"/>
            <w:tcBorders>
              <w:top w:val="nil"/>
              <w:left w:val="single" w:sz="4" w:space="0" w:color="auto"/>
              <w:bottom w:val="single" w:sz="4" w:space="0" w:color="auto"/>
              <w:right w:val="single" w:sz="4" w:space="0" w:color="auto"/>
            </w:tcBorders>
            <w:shd w:val="clear" w:color="auto" w:fill="auto"/>
            <w:noWrap/>
            <w:vAlign w:val="center"/>
            <w:hideMark/>
          </w:tcPr>
          <w:p w14:paraId="6A9D6694" w14:textId="77777777" w:rsidR="00BA7C7F" w:rsidRPr="00022A0B" w:rsidRDefault="00BA7C7F" w:rsidP="00BA7C7F">
            <w:pPr>
              <w:rPr>
                <w:rFonts w:ascii="Arial Narrow" w:hAnsi="Arial Narrow" w:cstheme="minorBidi"/>
                <w:b/>
                <w:color w:val="000000"/>
                <w:sz w:val="20"/>
                <w:szCs w:val="20"/>
              </w:rPr>
            </w:pPr>
            <w:r w:rsidRPr="00022A0B">
              <w:rPr>
                <w:rFonts w:ascii="Arial Narrow" w:hAnsi="Arial Narrow" w:cstheme="minorBidi"/>
                <w:color w:val="000000"/>
                <w:sz w:val="20"/>
                <w:szCs w:val="20"/>
              </w:rPr>
              <w:t>ОПДУ</w:t>
            </w:r>
          </w:p>
        </w:tc>
        <w:tc>
          <w:tcPr>
            <w:tcW w:w="1801" w:type="dxa"/>
            <w:tcBorders>
              <w:top w:val="nil"/>
              <w:left w:val="nil"/>
              <w:bottom w:val="single" w:sz="4" w:space="0" w:color="auto"/>
              <w:right w:val="single" w:sz="4" w:space="0" w:color="auto"/>
            </w:tcBorders>
            <w:shd w:val="clear" w:color="auto" w:fill="auto"/>
            <w:noWrap/>
            <w:vAlign w:val="center"/>
            <w:hideMark/>
          </w:tcPr>
          <w:p w14:paraId="337526FD" w14:textId="77777777" w:rsidR="00BA7C7F" w:rsidRPr="00022A0B" w:rsidRDefault="00BA7C7F" w:rsidP="00BA7C7F">
            <w:pPr>
              <w:jc w:val="right"/>
              <w:rPr>
                <w:rFonts w:ascii="Arial Narrow" w:hAnsi="Arial Narrow" w:cstheme="minorBidi"/>
                <w:b/>
                <w:color w:val="000000"/>
                <w:sz w:val="20"/>
                <w:szCs w:val="20"/>
              </w:rPr>
            </w:pPr>
            <w:r w:rsidRPr="00022A0B">
              <w:rPr>
                <w:rFonts w:ascii="Arial Narrow" w:hAnsi="Arial Narrow" w:cstheme="minorBidi"/>
                <w:color w:val="000000"/>
                <w:sz w:val="20"/>
                <w:szCs w:val="20"/>
              </w:rPr>
              <w:t>48 306</w:t>
            </w:r>
          </w:p>
        </w:tc>
        <w:tc>
          <w:tcPr>
            <w:tcW w:w="1652" w:type="dxa"/>
            <w:tcBorders>
              <w:top w:val="nil"/>
              <w:left w:val="nil"/>
              <w:bottom w:val="single" w:sz="4" w:space="0" w:color="auto"/>
              <w:right w:val="single" w:sz="4" w:space="0" w:color="auto"/>
            </w:tcBorders>
            <w:shd w:val="clear" w:color="auto" w:fill="auto"/>
            <w:noWrap/>
            <w:vAlign w:val="center"/>
            <w:hideMark/>
          </w:tcPr>
          <w:p w14:paraId="30658EFA" w14:textId="77777777" w:rsidR="00BA7C7F" w:rsidRPr="00022A0B" w:rsidRDefault="00BA7C7F" w:rsidP="00BA7C7F">
            <w:pPr>
              <w:jc w:val="right"/>
              <w:rPr>
                <w:rFonts w:ascii="Arial Narrow" w:hAnsi="Arial Narrow" w:cstheme="minorBidi"/>
                <w:b/>
                <w:color w:val="000000"/>
                <w:sz w:val="20"/>
                <w:szCs w:val="20"/>
              </w:rPr>
            </w:pPr>
            <w:r w:rsidRPr="00022A0B">
              <w:rPr>
                <w:rFonts w:ascii="Arial Narrow" w:hAnsi="Arial Narrow" w:cstheme="minorBidi"/>
                <w:color w:val="000000"/>
                <w:sz w:val="20"/>
                <w:szCs w:val="20"/>
              </w:rPr>
              <w:t>48 048</w:t>
            </w:r>
          </w:p>
        </w:tc>
        <w:tc>
          <w:tcPr>
            <w:tcW w:w="1045" w:type="dxa"/>
            <w:tcBorders>
              <w:top w:val="nil"/>
              <w:left w:val="nil"/>
              <w:bottom w:val="single" w:sz="4" w:space="0" w:color="auto"/>
              <w:right w:val="single" w:sz="4" w:space="0" w:color="auto"/>
            </w:tcBorders>
            <w:shd w:val="clear" w:color="auto" w:fill="auto"/>
            <w:noWrap/>
            <w:vAlign w:val="center"/>
            <w:hideMark/>
          </w:tcPr>
          <w:p w14:paraId="432AE935" w14:textId="77777777" w:rsidR="00BA7C7F" w:rsidRPr="00022A0B" w:rsidRDefault="00BA7C7F" w:rsidP="00BA7C7F">
            <w:pPr>
              <w:jc w:val="center"/>
              <w:rPr>
                <w:rFonts w:ascii="Arial Narrow" w:hAnsi="Arial Narrow" w:cstheme="minorBidi"/>
                <w:b/>
                <w:color w:val="000000"/>
                <w:sz w:val="20"/>
                <w:szCs w:val="20"/>
              </w:rPr>
            </w:pPr>
            <w:r w:rsidRPr="00022A0B">
              <w:rPr>
                <w:rFonts w:ascii="Arial Narrow" w:hAnsi="Arial Narrow" w:cstheme="minorBidi"/>
                <w:color w:val="000000"/>
                <w:sz w:val="20"/>
                <w:szCs w:val="20"/>
              </w:rPr>
              <w:t>100</w:t>
            </w:r>
          </w:p>
        </w:tc>
        <w:tc>
          <w:tcPr>
            <w:tcW w:w="1045" w:type="dxa"/>
            <w:tcBorders>
              <w:top w:val="nil"/>
              <w:left w:val="nil"/>
              <w:bottom w:val="single" w:sz="4" w:space="0" w:color="auto"/>
              <w:right w:val="single" w:sz="4" w:space="0" w:color="auto"/>
            </w:tcBorders>
            <w:shd w:val="clear" w:color="auto" w:fill="auto"/>
            <w:noWrap/>
            <w:vAlign w:val="center"/>
            <w:hideMark/>
          </w:tcPr>
          <w:p w14:paraId="60416EAB" w14:textId="77777777" w:rsidR="00BA7C7F" w:rsidRPr="00022A0B" w:rsidRDefault="00BA7C7F" w:rsidP="00BA7C7F">
            <w:pPr>
              <w:jc w:val="center"/>
              <w:rPr>
                <w:rFonts w:ascii="Arial Narrow" w:hAnsi="Arial Narrow" w:cstheme="minorBidi"/>
                <w:b/>
                <w:color w:val="000000"/>
                <w:sz w:val="20"/>
                <w:szCs w:val="20"/>
              </w:rPr>
            </w:pPr>
            <w:r w:rsidRPr="00022A0B">
              <w:rPr>
                <w:rFonts w:ascii="Arial Narrow" w:hAnsi="Arial Narrow" w:cstheme="minorBidi"/>
                <w:color w:val="000000"/>
                <w:sz w:val="20"/>
                <w:szCs w:val="20"/>
              </w:rPr>
              <w:t>-</w:t>
            </w:r>
          </w:p>
        </w:tc>
        <w:tc>
          <w:tcPr>
            <w:tcW w:w="906" w:type="dxa"/>
            <w:tcBorders>
              <w:top w:val="nil"/>
              <w:left w:val="nil"/>
              <w:bottom w:val="single" w:sz="4" w:space="0" w:color="auto"/>
              <w:right w:val="single" w:sz="4" w:space="0" w:color="auto"/>
            </w:tcBorders>
            <w:shd w:val="clear" w:color="auto" w:fill="auto"/>
            <w:noWrap/>
            <w:vAlign w:val="center"/>
            <w:hideMark/>
          </w:tcPr>
          <w:p w14:paraId="493F7CD9" w14:textId="77777777" w:rsidR="00BA7C7F" w:rsidRPr="00022A0B" w:rsidRDefault="00BA7C7F" w:rsidP="00BA7C7F">
            <w:pPr>
              <w:jc w:val="center"/>
              <w:rPr>
                <w:rFonts w:ascii="Arial Narrow" w:hAnsi="Arial Narrow" w:cstheme="minorBidi"/>
                <w:b/>
                <w:color w:val="000000"/>
                <w:sz w:val="20"/>
                <w:szCs w:val="20"/>
              </w:rPr>
            </w:pPr>
            <w:r w:rsidRPr="00022A0B">
              <w:rPr>
                <w:rFonts w:ascii="Arial Narrow" w:hAnsi="Arial Narrow" w:cstheme="minorBidi"/>
                <w:color w:val="000000"/>
                <w:sz w:val="20"/>
                <w:szCs w:val="20"/>
              </w:rPr>
              <w:t>-</w:t>
            </w:r>
          </w:p>
        </w:tc>
        <w:tc>
          <w:tcPr>
            <w:tcW w:w="1801" w:type="dxa"/>
            <w:tcBorders>
              <w:top w:val="nil"/>
              <w:left w:val="nil"/>
              <w:bottom w:val="single" w:sz="4" w:space="0" w:color="auto"/>
              <w:right w:val="single" w:sz="4" w:space="0" w:color="auto"/>
            </w:tcBorders>
            <w:shd w:val="clear" w:color="auto" w:fill="auto"/>
            <w:noWrap/>
            <w:vAlign w:val="center"/>
            <w:hideMark/>
          </w:tcPr>
          <w:p w14:paraId="23A56BCC" w14:textId="77777777" w:rsidR="00BA7C7F" w:rsidRPr="00022A0B" w:rsidRDefault="00BA7C7F" w:rsidP="00BA7C7F">
            <w:pPr>
              <w:jc w:val="right"/>
              <w:rPr>
                <w:rFonts w:ascii="Arial Narrow" w:hAnsi="Arial Narrow" w:cstheme="minorBidi"/>
                <w:b/>
                <w:color w:val="000000"/>
                <w:sz w:val="20"/>
                <w:szCs w:val="20"/>
              </w:rPr>
            </w:pPr>
            <w:r w:rsidRPr="00022A0B">
              <w:rPr>
                <w:rFonts w:ascii="Arial Narrow" w:hAnsi="Arial Narrow" w:cstheme="minorBidi"/>
                <w:color w:val="000000"/>
                <w:sz w:val="20"/>
                <w:szCs w:val="20"/>
              </w:rPr>
              <w:t>186 718 302</w:t>
            </w:r>
          </w:p>
        </w:tc>
      </w:tr>
      <w:tr w:rsidR="00BA7C7F" w:rsidRPr="00C57ABA" w14:paraId="5A0C84CE" w14:textId="77777777" w:rsidTr="00B37935">
        <w:trPr>
          <w:trHeight w:val="300"/>
        </w:trPr>
        <w:tc>
          <w:tcPr>
            <w:tcW w:w="1724" w:type="dxa"/>
            <w:tcBorders>
              <w:top w:val="nil"/>
              <w:left w:val="single" w:sz="4" w:space="0" w:color="auto"/>
              <w:bottom w:val="single" w:sz="4" w:space="0" w:color="auto"/>
              <w:right w:val="single" w:sz="4" w:space="0" w:color="auto"/>
            </w:tcBorders>
            <w:shd w:val="clear" w:color="auto" w:fill="auto"/>
            <w:noWrap/>
            <w:vAlign w:val="center"/>
            <w:hideMark/>
          </w:tcPr>
          <w:p w14:paraId="5AEA7E48" w14:textId="77777777" w:rsidR="00BA7C7F" w:rsidRPr="00022A0B" w:rsidRDefault="00BA7C7F" w:rsidP="00BA7C7F">
            <w:pPr>
              <w:rPr>
                <w:rFonts w:ascii="Arial Narrow" w:hAnsi="Arial Narrow" w:cstheme="minorBidi"/>
                <w:b/>
                <w:color w:val="000000"/>
                <w:sz w:val="20"/>
                <w:szCs w:val="20"/>
              </w:rPr>
            </w:pPr>
            <w:r w:rsidRPr="00022A0B">
              <w:rPr>
                <w:rFonts w:ascii="Arial Narrow" w:hAnsi="Arial Narrow" w:cstheme="minorBidi"/>
                <w:color w:val="000000"/>
                <w:sz w:val="20"/>
                <w:szCs w:val="20"/>
              </w:rPr>
              <w:t>ДП-ОПДУ</w:t>
            </w:r>
          </w:p>
        </w:tc>
        <w:tc>
          <w:tcPr>
            <w:tcW w:w="1801" w:type="dxa"/>
            <w:tcBorders>
              <w:top w:val="nil"/>
              <w:left w:val="nil"/>
              <w:bottom w:val="single" w:sz="4" w:space="0" w:color="auto"/>
              <w:right w:val="single" w:sz="4" w:space="0" w:color="auto"/>
            </w:tcBorders>
            <w:shd w:val="clear" w:color="auto" w:fill="auto"/>
            <w:noWrap/>
            <w:vAlign w:val="center"/>
            <w:hideMark/>
          </w:tcPr>
          <w:p w14:paraId="70FB6400" w14:textId="77777777" w:rsidR="00BA7C7F" w:rsidRPr="00022A0B" w:rsidRDefault="00BA7C7F" w:rsidP="00BA7C7F">
            <w:pPr>
              <w:jc w:val="right"/>
              <w:rPr>
                <w:rFonts w:ascii="Arial Narrow" w:hAnsi="Arial Narrow" w:cstheme="minorBidi"/>
                <w:b/>
                <w:color w:val="000000"/>
                <w:sz w:val="20"/>
                <w:szCs w:val="20"/>
              </w:rPr>
            </w:pPr>
            <w:r w:rsidRPr="00022A0B">
              <w:rPr>
                <w:rFonts w:ascii="Arial Narrow" w:hAnsi="Arial Narrow" w:cstheme="minorBidi"/>
                <w:color w:val="000000"/>
                <w:sz w:val="20"/>
                <w:szCs w:val="20"/>
              </w:rPr>
              <w:t>46 799</w:t>
            </w:r>
          </w:p>
        </w:tc>
        <w:tc>
          <w:tcPr>
            <w:tcW w:w="1652" w:type="dxa"/>
            <w:tcBorders>
              <w:top w:val="nil"/>
              <w:left w:val="nil"/>
              <w:bottom w:val="single" w:sz="4" w:space="0" w:color="auto"/>
              <w:right w:val="single" w:sz="4" w:space="0" w:color="auto"/>
            </w:tcBorders>
            <w:shd w:val="clear" w:color="auto" w:fill="auto"/>
            <w:noWrap/>
            <w:vAlign w:val="center"/>
            <w:hideMark/>
          </w:tcPr>
          <w:p w14:paraId="773837A7" w14:textId="77777777" w:rsidR="00BA7C7F" w:rsidRPr="00022A0B" w:rsidRDefault="00BA7C7F" w:rsidP="00BA7C7F">
            <w:pPr>
              <w:jc w:val="right"/>
              <w:rPr>
                <w:rFonts w:ascii="Arial Narrow" w:hAnsi="Arial Narrow" w:cstheme="minorBidi"/>
                <w:b/>
                <w:color w:val="000000"/>
                <w:sz w:val="20"/>
                <w:szCs w:val="20"/>
              </w:rPr>
            </w:pPr>
            <w:r w:rsidRPr="00022A0B">
              <w:rPr>
                <w:rFonts w:ascii="Arial Narrow" w:hAnsi="Arial Narrow" w:cstheme="minorBidi"/>
                <w:color w:val="000000"/>
                <w:sz w:val="20"/>
                <w:szCs w:val="20"/>
              </w:rPr>
              <w:t>46525</w:t>
            </w:r>
          </w:p>
        </w:tc>
        <w:tc>
          <w:tcPr>
            <w:tcW w:w="1045" w:type="dxa"/>
            <w:tcBorders>
              <w:top w:val="nil"/>
              <w:left w:val="nil"/>
              <w:bottom w:val="single" w:sz="4" w:space="0" w:color="auto"/>
              <w:right w:val="single" w:sz="4" w:space="0" w:color="auto"/>
            </w:tcBorders>
            <w:shd w:val="clear" w:color="auto" w:fill="auto"/>
            <w:noWrap/>
            <w:vAlign w:val="center"/>
            <w:hideMark/>
          </w:tcPr>
          <w:p w14:paraId="42BBF1FC" w14:textId="77777777" w:rsidR="00BA7C7F" w:rsidRPr="00022A0B" w:rsidRDefault="00BA7C7F" w:rsidP="00BA7C7F">
            <w:pPr>
              <w:jc w:val="center"/>
              <w:rPr>
                <w:rFonts w:ascii="Arial Narrow" w:hAnsi="Arial Narrow" w:cstheme="minorBidi"/>
                <w:b/>
                <w:color w:val="000000"/>
                <w:sz w:val="20"/>
                <w:szCs w:val="20"/>
              </w:rPr>
            </w:pPr>
            <w:r w:rsidRPr="00022A0B">
              <w:rPr>
                <w:rFonts w:ascii="Arial Narrow" w:hAnsi="Arial Narrow" w:cstheme="minorBidi"/>
                <w:color w:val="000000"/>
                <w:sz w:val="20"/>
                <w:szCs w:val="20"/>
              </w:rPr>
              <w:t>100</w:t>
            </w:r>
          </w:p>
        </w:tc>
        <w:tc>
          <w:tcPr>
            <w:tcW w:w="1045" w:type="dxa"/>
            <w:tcBorders>
              <w:top w:val="nil"/>
              <w:left w:val="nil"/>
              <w:bottom w:val="single" w:sz="4" w:space="0" w:color="auto"/>
              <w:right w:val="single" w:sz="4" w:space="0" w:color="auto"/>
            </w:tcBorders>
            <w:shd w:val="clear" w:color="auto" w:fill="auto"/>
            <w:noWrap/>
            <w:vAlign w:val="center"/>
            <w:hideMark/>
          </w:tcPr>
          <w:p w14:paraId="3F3F352D" w14:textId="77777777" w:rsidR="00BA7C7F" w:rsidRPr="00022A0B" w:rsidRDefault="00BA7C7F" w:rsidP="00BA7C7F">
            <w:pPr>
              <w:jc w:val="center"/>
              <w:rPr>
                <w:rFonts w:ascii="Arial Narrow" w:hAnsi="Arial Narrow" w:cstheme="minorBidi"/>
                <w:b/>
                <w:color w:val="000000"/>
                <w:sz w:val="20"/>
                <w:szCs w:val="20"/>
              </w:rPr>
            </w:pPr>
            <w:r w:rsidRPr="00022A0B">
              <w:rPr>
                <w:rFonts w:ascii="Arial Narrow" w:hAnsi="Arial Narrow" w:cstheme="minorBidi"/>
                <w:color w:val="000000"/>
                <w:sz w:val="20"/>
                <w:szCs w:val="20"/>
              </w:rPr>
              <w:t>-</w:t>
            </w:r>
          </w:p>
        </w:tc>
        <w:tc>
          <w:tcPr>
            <w:tcW w:w="906" w:type="dxa"/>
            <w:tcBorders>
              <w:top w:val="nil"/>
              <w:left w:val="nil"/>
              <w:bottom w:val="single" w:sz="4" w:space="0" w:color="auto"/>
              <w:right w:val="single" w:sz="4" w:space="0" w:color="auto"/>
            </w:tcBorders>
            <w:shd w:val="clear" w:color="auto" w:fill="auto"/>
            <w:noWrap/>
            <w:vAlign w:val="center"/>
            <w:hideMark/>
          </w:tcPr>
          <w:p w14:paraId="76E7D703" w14:textId="77777777" w:rsidR="00BA7C7F" w:rsidRPr="00022A0B" w:rsidRDefault="00BA7C7F" w:rsidP="00BA7C7F">
            <w:pPr>
              <w:jc w:val="center"/>
              <w:rPr>
                <w:rFonts w:ascii="Arial Narrow" w:hAnsi="Arial Narrow" w:cstheme="minorBidi"/>
                <w:b/>
                <w:color w:val="000000"/>
                <w:sz w:val="20"/>
                <w:szCs w:val="20"/>
              </w:rPr>
            </w:pPr>
            <w:r w:rsidRPr="00022A0B">
              <w:rPr>
                <w:rFonts w:ascii="Arial Narrow" w:hAnsi="Arial Narrow" w:cstheme="minorBidi"/>
                <w:color w:val="000000"/>
                <w:sz w:val="20"/>
                <w:szCs w:val="20"/>
              </w:rPr>
              <w:t>-</w:t>
            </w:r>
          </w:p>
        </w:tc>
        <w:tc>
          <w:tcPr>
            <w:tcW w:w="1801" w:type="dxa"/>
            <w:tcBorders>
              <w:top w:val="nil"/>
              <w:left w:val="nil"/>
              <w:bottom w:val="single" w:sz="4" w:space="0" w:color="auto"/>
              <w:right w:val="single" w:sz="4" w:space="0" w:color="auto"/>
            </w:tcBorders>
            <w:shd w:val="clear" w:color="auto" w:fill="auto"/>
            <w:noWrap/>
            <w:vAlign w:val="center"/>
            <w:hideMark/>
          </w:tcPr>
          <w:p w14:paraId="37307BDC" w14:textId="77777777" w:rsidR="00BA7C7F" w:rsidRPr="00022A0B" w:rsidRDefault="00BA7C7F" w:rsidP="00BA7C7F">
            <w:pPr>
              <w:jc w:val="right"/>
              <w:rPr>
                <w:rFonts w:ascii="Arial Narrow" w:hAnsi="Arial Narrow" w:cstheme="minorBidi"/>
                <w:b/>
                <w:color w:val="000000"/>
                <w:sz w:val="20"/>
                <w:szCs w:val="20"/>
              </w:rPr>
            </w:pPr>
            <w:r w:rsidRPr="00022A0B">
              <w:rPr>
                <w:rFonts w:ascii="Arial Narrow" w:hAnsi="Arial Narrow" w:cstheme="minorBidi"/>
                <w:color w:val="000000"/>
                <w:sz w:val="20"/>
                <w:szCs w:val="20"/>
              </w:rPr>
              <w:t>164 252 023</w:t>
            </w:r>
          </w:p>
        </w:tc>
      </w:tr>
      <w:tr w:rsidR="00BA7C7F" w:rsidRPr="00C57ABA" w14:paraId="20EFC025" w14:textId="77777777" w:rsidTr="00B37935">
        <w:trPr>
          <w:trHeight w:val="300"/>
        </w:trPr>
        <w:tc>
          <w:tcPr>
            <w:tcW w:w="1724" w:type="dxa"/>
            <w:tcBorders>
              <w:top w:val="nil"/>
              <w:left w:val="single" w:sz="4" w:space="0" w:color="auto"/>
              <w:bottom w:val="single" w:sz="4" w:space="0" w:color="auto"/>
              <w:right w:val="single" w:sz="4" w:space="0" w:color="auto"/>
            </w:tcBorders>
            <w:shd w:val="clear" w:color="auto" w:fill="auto"/>
            <w:noWrap/>
            <w:vAlign w:val="center"/>
            <w:hideMark/>
          </w:tcPr>
          <w:p w14:paraId="2D4FC388" w14:textId="77777777" w:rsidR="00BA7C7F" w:rsidRPr="00022A0B" w:rsidRDefault="00BA7C7F" w:rsidP="00BA7C7F">
            <w:pPr>
              <w:rPr>
                <w:rFonts w:ascii="Arial Narrow" w:hAnsi="Arial Narrow" w:cstheme="minorBidi"/>
                <w:b/>
                <w:color w:val="000000"/>
                <w:sz w:val="20"/>
                <w:szCs w:val="20"/>
              </w:rPr>
            </w:pPr>
            <w:r w:rsidRPr="00022A0B">
              <w:rPr>
                <w:rFonts w:ascii="Arial Narrow" w:hAnsi="Arial Narrow" w:cstheme="minorBidi"/>
                <w:color w:val="000000"/>
                <w:sz w:val="20"/>
                <w:szCs w:val="20"/>
              </w:rPr>
              <w:t>ДЗС</w:t>
            </w:r>
          </w:p>
        </w:tc>
        <w:tc>
          <w:tcPr>
            <w:tcW w:w="1801" w:type="dxa"/>
            <w:tcBorders>
              <w:top w:val="nil"/>
              <w:left w:val="nil"/>
              <w:bottom w:val="single" w:sz="4" w:space="0" w:color="auto"/>
              <w:right w:val="single" w:sz="4" w:space="0" w:color="auto"/>
            </w:tcBorders>
            <w:shd w:val="clear" w:color="auto" w:fill="auto"/>
            <w:noWrap/>
            <w:vAlign w:val="center"/>
            <w:hideMark/>
          </w:tcPr>
          <w:p w14:paraId="680CF313" w14:textId="77777777" w:rsidR="00BA7C7F" w:rsidRPr="00022A0B" w:rsidRDefault="00BA7C7F" w:rsidP="00BA7C7F">
            <w:pPr>
              <w:jc w:val="right"/>
              <w:rPr>
                <w:rFonts w:ascii="Arial Narrow" w:hAnsi="Arial Narrow" w:cstheme="minorBidi"/>
                <w:b/>
                <w:color w:val="000000"/>
                <w:sz w:val="20"/>
                <w:szCs w:val="20"/>
              </w:rPr>
            </w:pPr>
            <w:r w:rsidRPr="00022A0B">
              <w:rPr>
                <w:rFonts w:ascii="Arial Narrow" w:hAnsi="Arial Narrow" w:cstheme="minorBidi"/>
                <w:color w:val="000000"/>
                <w:sz w:val="20"/>
                <w:szCs w:val="20"/>
              </w:rPr>
              <w:t>5 124</w:t>
            </w:r>
          </w:p>
        </w:tc>
        <w:tc>
          <w:tcPr>
            <w:tcW w:w="1652" w:type="dxa"/>
            <w:tcBorders>
              <w:top w:val="nil"/>
              <w:left w:val="nil"/>
              <w:bottom w:val="single" w:sz="4" w:space="0" w:color="auto"/>
              <w:right w:val="single" w:sz="4" w:space="0" w:color="auto"/>
            </w:tcBorders>
            <w:shd w:val="clear" w:color="auto" w:fill="auto"/>
            <w:noWrap/>
            <w:vAlign w:val="center"/>
            <w:hideMark/>
          </w:tcPr>
          <w:p w14:paraId="53D6025B" w14:textId="77777777" w:rsidR="00BA7C7F" w:rsidRPr="00022A0B" w:rsidRDefault="00BA7C7F" w:rsidP="00BA7C7F">
            <w:pPr>
              <w:jc w:val="right"/>
              <w:rPr>
                <w:rFonts w:ascii="Arial Narrow" w:hAnsi="Arial Narrow" w:cstheme="minorBidi"/>
                <w:b/>
                <w:color w:val="000000"/>
                <w:sz w:val="20"/>
                <w:szCs w:val="20"/>
              </w:rPr>
            </w:pPr>
            <w:r w:rsidRPr="00022A0B">
              <w:rPr>
                <w:rFonts w:ascii="Arial Narrow" w:hAnsi="Arial Narrow" w:cstheme="minorBidi"/>
                <w:color w:val="000000"/>
                <w:sz w:val="20"/>
                <w:szCs w:val="20"/>
              </w:rPr>
              <w:t>5 113</w:t>
            </w:r>
          </w:p>
        </w:tc>
        <w:tc>
          <w:tcPr>
            <w:tcW w:w="1045" w:type="dxa"/>
            <w:tcBorders>
              <w:top w:val="nil"/>
              <w:left w:val="nil"/>
              <w:bottom w:val="single" w:sz="4" w:space="0" w:color="auto"/>
              <w:right w:val="single" w:sz="4" w:space="0" w:color="auto"/>
            </w:tcBorders>
            <w:shd w:val="clear" w:color="auto" w:fill="auto"/>
            <w:noWrap/>
            <w:vAlign w:val="center"/>
            <w:hideMark/>
          </w:tcPr>
          <w:p w14:paraId="542550D2" w14:textId="77777777" w:rsidR="00BA7C7F" w:rsidRPr="00022A0B" w:rsidRDefault="00BA7C7F" w:rsidP="00BA7C7F">
            <w:pPr>
              <w:jc w:val="center"/>
              <w:rPr>
                <w:rFonts w:ascii="Arial Narrow" w:hAnsi="Arial Narrow" w:cstheme="minorBidi"/>
                <w:b/>
                <w:color w:val="000000"/>
                <w:sz w:val="20"/>
                <w:szCs w:val="20"/>
              </w:rPr>
            </w:pPr>
            <w:r w:rsidRPr="00022A0B">
              <w:rPr>
                <w:rFonts w:ascii="Arial Narrow" w:hAnsi="Arial Narrow" w:cstheme="minorBidi"/>
                <w:color w:val="000000"/>
                <w:sz w:val="20"/>
                <w:szCs w:val="20"/>
              </w:rPr>
              <w:t>100</w:t>
            </w:r>
          </w:p>
        </w:tc>
        <w:tc>
          <w:tcPr>
            <w:tcW w:w="1045" w:type="dxa"/>
            <w:tcBorders>
              <w:top w:val="nil"/>
              <w:left w:val="nil"/>
              <w:bottom w:val="single" w:sz="4" w:space="0" w:color="auto"/>
              <w:right w:val="single" w:sz="4" w:space="0" w:color="auto"/>
            </w:tcBorders>
            <w:shd w:val="clear" w:color="auto" w:fill="auto"/>
            <w:noWrap/>
            <w:vAlign w:val="center"/>
            <w:hideMark/>
          </w:tcPr>
          <w:p w14:paraId="369A7A7B" w14:textId="77777777" w:rsidR="00BA7C7F" w:rsidRPr="00022A0B" w:rsidRDefault="00BA7C7F" w:rsidP="00BA7C7F">
            <w:pPr>
              <w:jc w:val="center"/>
              <w:rPr>
                <w:rFonts w:ascii="Arial Narrow" w:hAnsi="Arial Narrow" w:cstheme="minorBidi"/>
                <w:b/>
                <w:color w:val="000000"/>
                <w:sz w:val="20"/>
                <w:szCs w:val="20"/>
              </w:rPr>
            </w:pPr>
            <w:r w:rsidRPr="00022A0B">
              <w:rPr>
                <w:rFonts w:ascii="Arial Narrow" w:hAnsi="Arial Narrow" w:cstheme="minorBidi"/>
                <w:color w:val="000000"/>
                <w:sz w:val="20"/>
                <w:szCs w:val="20"/>
              </w:rPr>
              <w:t>-</w:t>
            </w:r>
          </w:p>
        </w:tc>
        <w:tc>
          <w:tcPr>
            <w:tcW w:w="906" w:type="dxa"/>
            <w:tcBorders>
              <w:top w:val="nil"/>
              <w:left w:val="nil"/>
              <w:bottom w:val="single" w:sz="4" w:space="0" w:color="auto"/>
              <w:right w:val="single" w:sz="4" w:space="0" w:color="auto"/>
            </w:tcBorders>
            <w:shd w:val="clear" w:color="auto" w:fill="auto"/>
            <w:noWrap/>
            <w:vAlign w:val="center"/>
            <w:hideMark/>
          </w:tcPr>
          <w:p w14:paraId="5F5993A1" w14:textId="77777777" w:rsidR="00BA7C7F" w:rsidRPr="00022A0B" w:rsidRDefault="00BA7C7F" w:rsidP="00BA7C7F">
            <w:pPr>
              <w:jc w:val="center"/>
              <w:rPr>
                <w:rFonts w:ascii="Arial Narrow" w:hAnsi="Arial Narrow" w:cstheme="minorBidi"/>
                <w:b/>
                <w:color w:val="000000"/>
                <w:sz w:val="20"/>
                <w:szCs w:val="20"/>
              </w:rPr>
            </w:pPr>
            <w:r w:rsidRPr="00022A0B">
              <w:rPr>
                <w:rFonts w:ascii="Arial Narrow" w:hAnsi="Arial Narrow" w:cstheme="minorBidi"/>
                <w:color w:val="000000"/>
                <w:sz w:val="20"/>
                <w:szCs w:val="20"/>
              </w:rPr>
              <w:t>-</w:t>
            </w:r>
          </w:p>
        </w:tc>
        <w:tc>
          <w:tcPr>
            <w:tcW w:w="1801" w:type="dxa"/>
            <w:tcBorders>
              <w:top w:val="nil"/>
              <w:left w:val="nil"/>
              <w:bottom w:val="single" w:sz="4" w:space="0" w:color="auto"/>
              <w:right w:val="single" w:sz="4" w:space="0" w:color="auto"/>
            </w:tcBorders>
            <w:shd w:val="clear" w:color="auto" w:fill="auto"/>
            <w:noWrap/>
            <w:vAlign w:val="center"/>
            <w:hideMark/>
          </w:tcPr>
          <w:p w14:paraId="0A816441" w14:textId="77777777" w:rsidR="00BA7C7F" w:rsidRPr="00022A0B" w:rsidRDefault="00BA7C7F" w:rsidP="00BA7C7F">
            <w:pPr>
              <w:jc w:val="right"/>
              <w:rPr>
                <w:rFonts w:ascii="Arial Narrow" w:hAnsi="Arial Narrow" w:cstheme="minorBidi"/>
                <w:b/>
                <w:color w:val="000000"/>
                <w:sz w:val="20"/>
                <w:szCs w:val="20"/>
              </w:rPr>
            </w:pPr>
            <w:r w:rsidRPr="00022A0B">
              <w:rPr>
                <w:rFonts w:ascii="Arial Narrow" w:hAnsi="Arial Narrow" w:cstheme="minorBidi"/>
                <w:color w:val="000000"/>
                <w:sz w:val="20"/>
                <w:szCs w:val="20"/>
              </w:rPr>
              <w:t>9 857 232</w:t>
            </w:r>
          </w:p>
        </w:tc>
      </w:tr>
      <w:tr w:rsidR="00BA7C7F" w:rsidRPr="00C57ABA" w14:paraId="7C79316F" w14:textId="77777777" w:rsidTr="00B37935">
        <w:trPr>
          <w:trHeight w:val="300"/>
        </w:trPr>
        <w:tc>
          <w:tcPr>
            <w:tcW w:w="1724" w:type="dxa"/>
            <w:tcBorders>
              <w:top w:val="nil"/>
              <w:left w:val="single" w:sz="4" w:space="0" w:color="auto"/>
              <w:bottom w:val="single" w:sz="4" w:space="0" w:color="auto"/>
              <w:right w:val="single" w:sz="4" w:space="0" w:color="auto"/>
            </w:tcBorders>
            <w:shd w:val="clear" w:color="auto" w:fill="auto"/>
            <w:noWrap/>
            <w:vAlign w:val="center"/>
            <w:hideMark/>
          </w:tcPr>
          <w:p w14:paraId="28AB1D91" w14:textId="77777777" w:rsidR="00BA7C7F" w:rsidRPr="00022A0B" w:rsidRDefault="00BA7C7F" w:rsidP="00BA7C7F">
            <w:pPr>
              <w:rPr>
                <w:rFonts w:ascii="Arial Narrow" w:hAnsi="Arial Narrow" w:cstheme="minorBidi"/>
                <w:b/>
                <w:color w:val="000000"/>
                <w:sz w:val="20"/>
                <w:szCs w:val="20"/>
              </w:rPr>
            </w:pPr>
            <w:r w:rsidRPr="00022A0B">
              <w:rPr>
                <w:rFonts w:ascii="Arial Narrow" w:hAnsi="Arial Narrow" w:cstheme="minorBidi"/>
                <w:color w:val="000000"/>
                <w:sz w:val="20"/>
                <w:szCs w:val="20"/>
              </w:rPr>
              <w:t>МЗС</w:t>
            </w:r>
          </w:p>
        </w:tc>
        <w:tc>
          <w:tcPr>
            <w:tcW w:w="1801" w:type="dxa"/>
            <w:tcBorders>
              <w:top w:val="nil"/>
              <w:left w:val="nil"/>
              <w:bottom w:val="single" w:sz="4" w:space="0" w:color="auto"/>
              <w:right w:val="single" w:sz="4" w:space="0" w:color="auto"/>
            </w:tcBorders>
            <w:shd w:val="clear" w:color="auto" w:fill="auto"/>
            <w:noWrap/>
            <w:vAlign w:val="center"/>
            <w:hideMark/>
          </w:tcPr>
          <w:p w14:paraId="4799FA26" w14:textId="77777777" w:rsidR="00BA7C7F" w:rsidRPr="00022A0B" w:rsidRDefault="00BA7C7F" w:rsidP="00BA7C7F">
            <w:pPr>
              <w:jc w:val="right"/>
              <w:rPr>
                <w:rFonts w:ascii="Arial Narrow" w:hAnsi="Arial Narrow" w:cstheme="minorBidi"/>
                <w:b/>
                <w:color w:val="000000"/>
                <w:sz w:val="20"/>
                <w:szCs w:val="20"/>
              </w:rPr>
            </w:pPr>
            <w:r w:rsidRPr="00022A0B">
              <w:rPr>
                <w:rFonts w:ascii="Arial Narrow" w:hAnsi="Arial Narrow" w:cstheme="minorBidi"/>
                <w:color w:val="000000"/>
                <w:sz w:val="20"/>
                <w:szCs w:val="20"/>
              </w:rPr>
              <w:t>2 039</w:t>
            </w:r>
          </w:p>
        </w:tc>
        <w:tc>
          <w:tcPr>
            <w:tcW w:w="1652" w:type="dxa"/>
            <w:tcBorders>
              <w:top w:val="nil"/>
              <w:left w:val="nil"/>
              <w:bottom w:val="single" w:sz="4" w:space="0" w:color="auto"/>
              <w:right w:val="single" w:sz="4" w:space="0" w:color="auto"/>
            </w:tcBorders>
            <w:shd w:val="clear" w:color="auto" w:fill="auto"/>
            <w:noWrap/>
            <w:vAlign w:val="center"/>
            <w:hideMark/>
          </w:tcPr>
          <w:p w14:paraId="791E5FAA" w14:textId="77777777" w:rsidR="00BA7C7F" w:rsidRPr="00022A0B" w:rsidRDefault="00BA7C7F" w:rsidP="00BA7C7F">
            <w:pPr>
              <w:jc w:val="right"/>
              <w:rPr>
                <w:rFonts w:ascii="Arial Narrow" w:hAnsi="Arial Narrow" w:cstheme="minorBidi"/>
                <w:b/>
                <w:color w:val="000000"/>
                <w:sz w:val="20"/>
                <w:szCs w:val="20"/>
              </w:rPr>
            </w:pPr>
            <w:r w:rsidRPr="00022A0B">
              <w:rPr>
                <w:rFonts w:ascii="Arial Narrow" w:hAnsi="Arial Narrow" w:cstheme="minorBidi"/>
                <w:color w:val="000000"/>
                <w:sz w:val="20"/>
                <w:szCs w:val="20"/>
              </w:rPr>
              <w:t>1 568</w:t>
            </w:r>
          </w:p>
        </w:tc>
        <w:tc>
          <w:tcPr>
            <w:tcW w:w="1045" w:type="dxa"/>
            <w:tcBorders>
              <w:top w:val="nil"/>
              <w:left w:val="nil"/>
              <w:bottom w:val="single" w:sz="4" w:space="0" w:color="auto"/>
              <w:right w:val="single" w:sz="4" w:space="0" w:color="auto"/>
            </w:tcBorders>
            <w:shd w:val="clear" w:color="auto" w:fill="auto"/>
            <w:noWrap/>
            <w:vAlign w:val="center"/>
            <w:hideMark/>
          </w:tcPr>
          <w:p w14:paraId="1D48F120" w14:textId="77777777" w:rsidR="00BA7C7F" w:rsidRPr="00022A0B" w:rsidRDefault="00BA7C7F" w:rsidP="00BA7C7F">
            <w:pPr>
              <w:jc w:val="center"/>
              <w:rPr>
                <w:rFonts w:ascii="Arial Narrow" w:hAnsi="Arial Narrow" w:cstheme="minorBidi"/>
                <w:b/>
                <w:color w:val="000000"/>
                <w:sz w:val="20"/>
                <w:szCs w:val="20"/>
              </w:rPr>
            </w:pPr>
            <w:r w:rsidRPr="00022A0B">
              <w:rPr>
                <w:rFonts w:ascii="Arial Narrow" w:hAnsi="Arial Narrow" w:cstheme="minorBidi"/>
                <w:color w:val="000000"/>
                <w:sz w:val="20"/>
                <w:szCs w:val="20"/>
              </w:rPr>
              <w:t>100</w:t>
            </w:r>
          </w:p>
        </w:tc>
        <w:tc>
          <w:tcPr>
            <w:tcW w:w="1045" w:type="dxa"/>
            <w:tcBorders>
              <w:top w:val="nil"/>
              <w:left w:val="nil"/>
              <w:bottom w:val="single" w:sz="4" w:space="0" w:color="auto"/>
              <w:right w:val="single" w:sz="4" w:space="0" w:color="auto"/>
            </w:tcBorders>
            <w:shd w:val="clear" w:color="auto" w:fill="auto"/>
            <w:noWrap/>
            <w:vAlign w:val="center"/>
            <w:hideMark/>
          </w:tcPr>
          <w:p w14:paraId="12570F8D" w14:textId="77777777" w:rsidR="00BA7C7F" w:rsidRPr="00022A0B" w:rsidRDefault="00BA7C7F" w:rsidP="00BA7C7F">
            <w:pPr>
              <w:jc w:val="center"/>
              <w:rPr>
                <w:rFonts w:ascii="Arial Narrow" w:hAnsi="Arial Narrow" w:cstheme="minorBidi"/>
                <w:b/>
                <w:color w:val="000000"/>
                <w:sz w:val="20"/>
                <w:szCs w:val="20"/>
              </w:rPr>
            </w:pPr>
            <w:r w:rsidRPr="00022A0B">
              <w:rPr>
                <w:rFonts w:ascii="Arial Narrow" w:hAnsi="Arial Narrow" w:cstheme="minorBidi"/>
                <w:color w:val="000000"/>
                <w:sz w:val="20"/>
                <w:szCs w:val="20"/>
              </w:rPr>
              <w:t>-</w:t>
            </w:r>
          </w:p>
        </w:tc>
        <w:tc>
          <w:tcPr>
            <w:tcW w:w="906" w:type="dxa"/>
            <w:tcBorders>
              <w:top w:val="nil"/>
              <w:left w:val="nil"/>
              <w:bottom w:val="single" w:sz="4" w:space="0" w:color="auto"/>
              <w:right w:val="single" w:sz="4" w:space="0" w:color="auto"/>
            </w:tcBorders>
            <w:shd w:val="clear" w:color="auto" w:fill="auto"/>
            <w:noWrap/>
            <w:vAlign w:val="center"/>
            <w:hideMark/>
          </w:tcPr>
          <w:p w14:paraId="30FC4D2B" w14:textId="77777777" w:rsidR="00BA7C7F" w:rsidRPr="00022A0B" w:rsidRDefault="00BA7C7F" w:rsidP="00BA7C7F">
            <w:pPr>
              <w:jc w:val="center"/>
              <w:rPr>
                <w:rFonts w:ascii="Arial Narrow" w:hAnsi="Arial Narrow" w:cstheme="minorBidi"/>
                <w:b/>
                <w:color w:val="000000"/>
                <w:sz w:val="20"/>
                <w:szCs w:val="20"/>
              </w:rPr>
            </w:pPr>
            <w:r w:rsidRPr="00022A0B">
              <w:rPr>
                <w:rFonts w:ascii="Arial Narrow" w:hAnsi="Arial Narrow" w:cstheme="minorBidi"/>
                <w:color w:val="000000"/>
                <w:sz w:val="20"/>
                <w:szCs w:val="20"/>
              </w:rPr>
              <w:t>-</w:t>
            </w:r>
          </w:p>
        </w:tc>
        <w:tc>
          <w:tcPr>
            <w:tcW w:w="1801" w:type="dxa"/>
            <w:tcBorders>
              <w:top w:val="nil"/>
              <w:left w:val="nil"/>
              <w:bottom w:val="single" w:sz="4" w:space="0" w:color="auto"/>
              <w:right w:val="single" w:sz="4" w:space="0" w:color="auto"/>
            </w:tcBorders>
            <w:shd w:val="clear" w:color="auto" w:fill="auto"/>
            <w:noWrap/>
            <w:vAlign w:val="center"/>
            <w:hideMark/>
          </w:tcPr>
          <w:p w14:paraId="5A294642" w14:textId="77777777" w:rsidR="00BA7C7F" w:rsidRPr="00022A0B" w:rsidRDefault="00BA7C7F" w:rsidP="00BA7C7F">
            <w:pPr>
              <w:jc w:val="right"/>
              <w:rPr>
                <w:rFonts w:ascii="Arial Narrow" w:hAnsi="Arial Narrow" w:cstheme="minorBidi"/>
                <w:b/>
                <w:color w:val="000000"/>
                <w:sz w:val="20"/>
                <w:szCs w:val="20"/>
              </w:rPr>
            </w:pPr>
            <w:r w:rsidRPr="00022A0B">
              <w:rPr>
                <w:rFonts w:ascii="Arial Narrow" w:hAnsi="Arial Narrow" w:cstheme="minorBidi"/>
                <w:color w:val="000000"/>
                <w:sz w:val="20"/>
                <w:szCs w:val="20"/>
              </w:rPr>
              <w:t>14 716 468</w:t>
            </w:r>
          </w:p>
        </w:tc>
      </w:tr>
      <w:tr w:rsidR="00BA7C7F" w:rsidRPr="00C57ABA" w14:paraId="1C2CBDDC" w14:textId="77777777" w:rsidTr="00B37935">
        <w:trPr>
          <w:trHeight w:val="300"/>
        </w:trPr>
        <w:tc>
          <w:tcPr>
            <w:tcW w:w="1724" w:type="dxa"/>
            <w:tcBorders>
              <w:top w:val="nil"/>
              <w:left w:val="single" w:sz="4" w:space="0" w:color="auto"/>
              <w:bottom w:val="single" w:sz="4" w:space="0" w:color="auto"/>
              <w:right w:val="single" w:sz="4" w:space="0" w:color="auto"/>
            </w:tcBorders>
            <w:shd w:val="clear" w:color="auto" w:fill="auto"/>
            <w:noWrap/>
            <w:vAlign w:val="center"/>
            <w:hideMark/>
          </w:tcPr>
          <w:p w14:paraId="506A58E6" w14:textId="77777777" w:rsidR="00BA7C7F" w:rsidRPr="00022A0B" w:rsidRDefault="00BA7C7F" w:rsidP="00BA7C7F">
            <w:pPr>
              <w:rPr>
                <w:rFonts w:ascii="Arial Narrow" w:hAnsi="Arial Narrow" w:cstheme="minorBidi"/>
                <w:b/>
                <w:color w:val="000000"/>
                <w:sz w:val="20"/>
                <w:szCs w:val="20"/>
              </w:rPr>
            </w:pPr>
            <w:r w:rsidRPr="00022A0B">
              <w:rPr>
                <w:rFonts w:ascii="Arial Narrow" w:hAnsi="Arial Narrow" w:cstheme="minorBidi"/>
                <w:color w:val="000000"/>
                <w:sz w:val="20"/>
                <w:szCs w:val="20"/>
              </w:rPr>
              <w:t>Памук</w:t>
            </w:r>
          </w:p>
        </w:tc>
        <w:tc>
          <w:tcPr>
            <w:tcW w:w="1801" w:type="dxa"/>
            <w:tcBorders>
              <w:top w:val="nil"/>
              <w:left w:val="nil"/>
              <w:bottom w:val="single" w:sz="4" w:space="0" w:color="auto"/>
              <w:right w:val="single" w:sz="4" w:space="0" w:color="auto"/>
            </w:tcBorders>
            <w:shd w:val="clear" w:color="auto" w:fill="auto"/>
            <w:noWrap/>
            <w:vAlign w:val="center"/>
            <w:hideMark/>
          </w:tcPr>
          <w:p w14:paraId="1AE146D9" w14:textId="77777777" w:rsidR="00BA7C7F" w:rsidRPr="00022A0B" w:rsidRDefault="00BA7C7F" w:rsidP="00BA7C7F">
            <w:pPr>
              <w:jc w:val="right"/>
              <w:rPr>
                <w:rFonts w:ascii="Arial Narrow" w:hAnsi="Arial Narrow" w:cstheme="minorBidi"/>
                <w:b/>
                <w:color w:val="000000"/>
                <w:sz w:val="20"/>
                <w:szCs w:val="20"/>
              </w:rPr>
            </w:pPr>
            <w:r w:rsidRPr="00022A0B">
              <w:rPr>
                <w:rFonts w:ascii="Arial Narrow" w:hAnsi="Arial Narrow" w:cstheme="minorBidi"/>
                <w:color w:val="000000"/>
                <w:sz w:val="20"/>
                <w:szCs w:val="20"/>
              </w:rPr>
              <w:t>39</w:t>
            </w:r>
          </w:p>
        </w:tc>
        <w:tc>
          <w:tcPr>
            <w:tcW w:w="1652" w:type="dxa"/>
            <w:tcBorders>
              <w:top w:val="nil"/>
              <w:left w:val="nil"/>
              <w:bottom w:val="single" w:sz="4" w:space="0" w:color="auto"/>
              <w:right w:val="single" w:sz="4" w:space="0" w:color="auto"/>
            </w:tcBorders>
            <w:shd w:val="clear" w:color="auto" w:fill="auto"/>
            <w:noWrap/>
            <w:vAlign w:val="center"/>
            <w:hideMark/>
          </w:tcPr>
          <w:p w14:paraId="4F67BDC2" w14:textId="77777777" w:rsidR="00BA7C7F" w:rsidRPr="00022A0B" w:rsidRDefault="00BA7C7F" w:rsidP="00BA7C7F">
            <w:pPr>
              <w:jc w:val="right"/>
              <w:rPr>
                <w:rFonts w:ascii="Arial Narrow" w:hAnsi="Arial Narrow" w:cstheme="minorBidi"/>
                <w:b/>
                <w:color w:val="000000"/>
                <w:sz w:val="20"/>
                <w:szCs w:val="20"/>
              </w:rPr>
            </w:pPr>
            <w:r w:rsidRPr="00022A0B">
              <w:rPr>
                <w:rFonts w:ascii="Arial Narrow" w:hAnsi="Arial Narrow" w:cstheme="minorBidi"/>
                <w:color w:val="000000"/>
                <w:sz w:val="20"/>
                <w:szCs w:val="20"/>
              </w:rPr>
              <w:t>38</w:t>
            </w:r>
          </w:p>
        </w:tc>
        <w:tc>
          <w:tcPr>
            <w:tcW w:w="1045" w:type="dxa"/>
            <w:tcBorders>
              <w:top w:val="nil"/>
              <w:left w:val="nil"/>
              <w:bottom w:val="single" w:sz="4" w:space="0" w:color="auto"/>
              <w:right w:val="single" w:sz="4" w:space="0" w:color="auto"/>
            </w:tcBorders>
            <w:shd w:val="clear" w:color="auto" w:fill="auto"/>
            <w:noWrap/>
            <w:vAlign w:val="center"/>
            <w:hideMark/>
          </w:tcPr>
          <w:p w14:paraId="59E7ADE4" w14:textId="77777777" w:rsidR="00BA7C7F" w:rsidRPr="00022A0B" w:rsidRDefault="00BA7C7F" w:rsidP="00BA7C7F">
            <w:pPr>
              <w:jc w:val="center"/>
              <w:rPr>
                <w:rFonts w:ascii="Arial Narrow" w:hAnsi="Arial Narrow" w:cstheme="minorBidi"/>
                <w:b/>
                <w:color w:val="000000"/>
                <w:sz w:val="20"/>
                <w:szCs w:val="20"/>
              </w:rPr>
            </w:pPr>
            <w:r w:rsidRPr="00022A0B">
              <w:rPr>
                <w:rFonts w:ascii="Arial Narrow" w:hAnsi="Arial Narrow" w:cstheme="minorBidi"/>
                <w:color w:val="000000"/>
                <w:sz w:val="20"/>
                <w:szCs w:val="20"/>
              </w:rPr>
              <w:t>100</w:t>
            </w:r>
          </w:p>
        </w:tc>
        <w:tc>
          <w:tcPr>
            <w:tcW w:w="1045" w:type="dxa"/>
            <w:tcBorders>
              <w:top w:val="nil"/>
              <w:left w:val="nil"/>
              <w:bottom w:val="single" w:sz="4" w:space="0" w:color="auto"/>
              <w:right w:val="single" w:sz="4" w:space="0" w:color="auto"/>
            </w:tcBorders>
            <w:shd w:val="clear" w:color="auto" w:fill="auto"/>
            <w:noWrap/>
            <w:vAlign w:val="center"/>
            <w:hideMark/>
          </w:tcPr>
          <w:p w14:paraId="2806EBAE" w14:textId="77777777" w:rsidR="00BA7C7F" w:rsidRPr="00022A0B" w:rsidRDefault="00BA7C7F" w:rsidP="00BA7C7F">
            <w:pPr>
              <w:jc w:val="center"/>
              <w:rPr>
                <w:rFonts w:ascii="Arial Narrow" w:hAnsi="Arial Narrow" w:cstheme="minorBidi"/>
                <w:b/>
                <w:color w:val="000000"/>
                <w:sz w:val="20"/>
                <w:szCs w:val="20"/>
              </w:rPr>
            </w:pPr>
            <w:r w:rsidRPr="00022A0B">
              <w:rPr>
                <w:rFonts w:ascii="Arial Narrow" w:hAnsi="Arial Narrow" w:cstheme="minorBidi"/>
                <w:color w:val="000000"/>
                <w:sz w:val="20"/>
                <w:szCs w:val="20"/>
              </w:rPr>
              <w:t>-</w:t>
            </w:r>
          </w:p>
        </w:tc>
        <w:tc>
          <w:tcPr>
            <w:tcW w:w="906" w:type="dxa"/>
            <w:tcBorders>
              <w:top w:val="nil"/>
              <w:left w:val="nil"/>
              <w:bottom w:val="single" w:sz="4" w:space="0" w:color="auto"/>
              <w:right w:val="single" w:sz="4" w:space="0" w:color="auto"/>
            </w:tcBorders>
            <w:shd w:val="clear" w:color="auto" w:fill="auto"/>
            <w:noWrap/>
            <w:vAlign w:val="center"/>
            <w:hideMark/>
          </w:tcPr>
          <w:p w14:paraId="2C8C429C" w14:textId="77777777" w:rsidR="00BA7C7F" w:rsidRPr="00022A0B" w:rsidRDefault="00BA7C7F" w:rsidP="00BA7C7F">
            <w:pPr>
              <w:jc w:val="center"/>
              <w:rPr>
                <w:rFonts w:ascii="Arial Narrow" w:hAnsi="Arial Narrow" w:cstheme="minorBidi"/>
                <w:b/>
                <w:color w:val="000000"/>
                <w:sz w:val="20"/>
                <w:szCs w:val="20"/>
              </w:rPr>
            </w:pPr>
            <w:r w:rsidRPr="00022A0B">
              <w:rPr>
                <w:rFonts w:ascii="Arial Narrow" w:hAnsi="Arial Narrow" w:cstheme="minorBidi"/>
                <w:color w:val="000000"/>
                <w:sz w:val="20"/>
                <w:szCs w:val="20"/>
              </w:rPr>
              <w:t>-</w:t>
            </w:r>
          </w:p>
        </w:tc>
        <w:tc>
          <w:tcPr>
            <w:tcW w:w="1801" w:type="dxa"/>
            <w:tcBorders>
              <w:top w:val="nil"/>
              <w:left w:val="nil"/>
              <w:bottom w:val="single" w:sz="4" w:space="0" w:color="auto"/>
              <w:right w:val="single" w:sz="4" w:space="0" w:color="auto"/>
            </w:tcBorders>
            <w:shd w:val="clear" w:color="auto" w:fill="auto"/>
            <w:noWrap/>
            <w:vAlign w:val="center"/>
            <w:hideMark/>
          </w:tcPr>
          <w:p w14:paraId="1BE430B1" w14:textId="77777777" w:rsidR="00BA7C7F" w:rsidRPr="00022A0B" w:rsidRDefault="00BA7C7F" w:rsidP="00BA7C7F">
            <w:pPr>
              <w:jc w:val="right"/>
              <w:rPr>
                <w:rFonts w:ascii="Arial Narrow" w:hAnsi="Arial Narrow" w:cstheme="minorBidi"/>
                <w:b/>
                <w:color w:val="000000"/>
                <w:sz w:val="20"/>
                <w:szCs w:val="20"/>
              </w:rPr>
            </w:pPr>
            <w:r w:rsidRPr="00022A0B">
              <w:rPr>
                <w:rFonts w:ascii="Arial Narrow" w:hAnsi="Arial Narrow" w:cstheme="minorBidi"/>
                <w:color w:val="000000"/>
                <w:sz w:val="20"/>
                <w:szCs w:val="20"/>
              </w:rPr>
              <w:t>1 867 081</w:t>
            </w:r>
          </w:p>
        </w:tc>
      </w:tr>
      <w:tr w:rsidR="00BA7C7F" w:rsidRPr="00C57ABA" w14:paraId="48246EDF" w14:textId="77777777" w:rsidTr="00B37935">
        <w:trPr>
          <w:trHeight w:val="300"/>
        </w:trPr>
        <w:tc>
          <w:tcPr>
            <w:tcW w:w="1724" w:type="dxa"/>
            <w:tcBorders>
              <w:top w:val="nil"/>
              <w:left w:val="single" w:sz="4" w:space="0" w:color="auto"/>
              <w:bottom w:val="single" w:sz="4" w:space="0" w:color="auto"/>
              <w:right w:val="single" w:sz="4" w:space="0" w:color="auto"/>
            </w:tcBorders>
            <w:shd w:val="clear" w:color="auto" w:fill="auto"/>
            <w:noWrap/>
            <w:vAlign w:val="center"/>
            <w:hideMark/>
          </w:tcPr>
          <w:p w14:paraId="7B7C664D" w14:textId="77777777" w:rsidR="00BA7C7F" w:rsidRPr="00022A0B" w:rsidRDefault="00BA7C7F" w:rsidP="00BA7C7F">
            <w:pPr>
              <w:rPr>
                <w:rFonts w:ascii="Arial Narrow" w:hAnsi="Arial Narrow" w:cstheme="minorBidi"/>
                <w:b/>
                <w:color w:val="000000"/>
                <w:sz w:val="20"/>
                <w:szCs w:val="20"/>
              </w:rPr>
            </w:pPr>
            <w:r w:rsidRPr="00022A0B">
              <w:rPr>
                <w:rFonts w:ascii="Arial Narrow" w:hAnsi="Arial Narrow" w:cstheme="minorBidi"/>
                <w:color w:val="000000"/>
                <w:sz w:val="20"/>
                <w:szCs w:val="20"/>
              </w:rPr>
              <w:t>Еко-БЖ</w:t>
            </w:r>
          </w:p>
        </w:tc>
        <w:tc>
          <w:tcPr>
            <w:tcW w:w="1801" w:type="dxa"/>
            <w:tcBorders>
              <w:top w:val="nil"/>
              <w:left w:val="nil"/>
              <w:bottom w:val="single" w:sz="4" w:space="0" w:color="auto"/>
              <w:right w:val="single" w:sz="4" w:space="0" w:color="auto"/>
            </w:tcBorders>
            <w:shd w:val="clear" w:color="auto" w:fill="auto"/>
            <w:noWrap/>
            <w:vAlign w:val="center"/>
            <w:hideMark/>
          </w:tcPr>
          <w:p w14:paraId="6E6D9FD1" w14:textId="77777777" w:rsidR="00BA7C7F" w:rsidRPr="00022A0B" w:rsidRDefault="00BA7C7F" w:rsidP="00BA7C7F">
            <w:pPr>
              <w:jc w:val="right"/>
              <w:rPr>
                <w:rFonts w:ascii="Arial Narrow" w:hAnsi="Arial Narrow" w:cstheme="minorBidi"/>
                <w:b/>
                <w:color w:val="000000"/>
                <w:sz w:val="20"/>
                <w:szCs w:val="20"/>
              </w:rPr>
            </w:pPr>
            <w:r w:rsidRPr="00022A0B">
              <w:rPr>
                <w:rFonts w:ascii="Arial Narrow" w:hAnsi="Arial Narrow" w:cstheme="minorBidi"/>
                <w:color w:val="000000"/>
                <w:sz w:val="20"/>
                <w:szCs w:val="20"/>
              </w:rPr>
              <w:t>111</w:t>
            </w:r>
          </w:p>
        </w:tc>
        <w:tc>
          <w:tcPr>
            <w:tcW w:w="1652" w:type="dxa"/>
            <w:tcBorders>
              <w:top w:val="nil"/>
              <w:left w:val="nil"/>
              <w:bottom w:val="single" w:sz="4" w:space="0" w:color="auto"/>
              <w:right w:val="single" w:sz="4" w:space="0" w:color="auto"/>
            </w:tcBorders>
            <w:shd w:val="clear" w:color="auto" w:fill="auto"/>
            <w:noWrap/>
            <w:vAlign w:val="center"/>
            <w:hideMark/>
          </w:tcPr>
          <w:p w14:paraId="7E98FAE6" w14:textId="77777777" w:rsidR="00BA7C7F" w:rsidRPr="00022A0B" w:rsidRDefault="00BA7C7F" w:rsidP="00BA7C7F">
            <w:pPr>
              <w:jc w:val="right"/>
              <w:rPr>
                <w:rFonts w:ascii="Arial Narrow" w:hAnsi="Arial Narrow" w:cstheme="minorBidi"/>
                <w:b/>
                <w:color w:val="000000"/>
                <w:sz w:val="20"/>
                <w:szCs w:val="20"/>
              </w:rPr>
            </w:pPr>
            <w:r w:rsidRPr="00022A0B">
              <w:rPr>
                <w:rFonts w:ascii="Arial Narrow" w:hAnsi="Arial Narrow" w:cstheme="minorBidi"/>
                <w:color w:val="000000"/>
                <w:sz w:val="20"/>
                <w:szCs w:val="20"/>
              </w:rPr>
              <w:t>86</w:t>
            </w:r>
          </w:p>
        </w:tc>
        <w:tc>
          <w:tcPr>
            <w:tcW w:w="1045" w:type="dxa"/>
            <w:tcBorders>
              <w:top w:val="nil"/>
              <w:left w:val="nil"/>
              <w:bottom w:val="single" w:sz="4" w:space="0" w:color="auto"/>
              <w:right w:val="single" w:sz="4" w:space="0" w:color="auto"/>
            </w:tcBorders>
            <w:shd w:val="clear" w:color="auto" w:fill="auto"/>
            <w:noWrap/>
            <w:vAlign w:val="center"/>
            <w:hideMark/>
          </w:tcPr>
          <w:p w14:paraId="4DDE5200" w14:textId="77777777" w:rsidR="00BA7C7F" w:rsidRPr="00022A0B" w:rsidRDefault="00BA7C7F" w:rsidP="00BA7C7F">
            <w:pPr>
              <w:jc w:val="center"/>
              <w:rPr>
                <w:rFonts w:ascii="Arial Narrow" w:hAnsi="Arial Narrow" w:cstheme="minorBidi"/>
                <w:b/>
                <w:color w:val="000000"/>
                <w:sz w:val="20"/>
                <w:szCs w:val="20"/>
              </w:rPr>
            </w:pPr>
            <w:r w:rsidRPr="00022A0B">
              <w:rPr>
                <w:rFonts w:ascii="Arial Narrow" w:hAnsi="Arial Narrow" w:cstheme="minorBidi"/>
                <w:color w:val="000000"/>
                <w:sz w:val="20"/>
                <w:szCs w:val="20"/>
              </w:rPr>
              <w:t>100</w:t>
            </w:r>
          </w:p>
        </w:tc>
        <w:tc>
          <w:tcPr>
            <w:tcW w:w="1045" w:type="dxa"/>
            <w:tcBorders>
              <w:top w:val="nil"/>
              <w:left w:val="nil"/>
              <w:bottom w:val="single" w:sz="4" w:space="0" w:color="auto"/>
              <w:right w:val="single" w:sz="4" w:space="0" w:color="auto"/>
            </w:tcBorders>
            <w:shd w:val="clear" w:color="auto" w:fill="auto"/>
            <w:noWrap/>
            <w:vAlign w:val="center"/>
            <w:hideMark/>
          </w:tcPr>
          <w:p w14:paraId="64FC9AFF" w14:textId="77777777" w:rsidR="00BA7C7F" w:rsidRPr="00022A0B" w:rsidRDefault="00BA7C7F" w:rsidP="00BA7C7F">
            <w:pPr>
              <w:jc w:val="center"/>
              <w:rPr>
                <w:rFonts w:ascii="Arial Narrow" w:hAnsi="Arial Narrow" w:cstheme="minorBidi"/>
                <w:b/>
                <w:color w:val="000000"/>
                <w:sz w:val="20"/>
                <w:szCs w:val="20"/>
              </w:rPr>
            </w:pPr>
            <w:r w:rsidRPr="00022A0B">
              <w:rPr>
                <w:rFonts w:ascii="Arial Narrow" w:hAnsi="Arial Narrow" w:cstheme="minorBidi"/>
                <w:color w:val="000000"/>
                <w:sz w:val="20"/>
                <w:szCs w:val="20"/>
              </w:rPr>
              <w:t>-</w:t>
            </w:r>
          </w:p>
        </w:tc>
        <w:tc>
          <w:tcPr>
            <w:tcW w:w="906" w:type="dxa"/>
            <w:tcBorders>
              <w:top w:val="nil"/>
              <w:left w:val="nil"/>
              <w:bottom w:val="single" w:sz="4" w:space="0" w:color="auto"/>
              <w:right w:val="single" w:sz="4" w:space="0" w:color="auto"/>
            </w:tcBorders>
            <w:shd w:val="clear" w:color="auto" w:fill="auto"/>
            <w:noWrap/>
            <w:vAlign w:val="center"/>
            <w:hideMark/>
          </w:tcPr>
          <w:p w14:paraId="49D3100A" w14:textId="77777777" w:rsidR="00BA7C7F" w:rsidRPr="00022A0B" w:rsidRDefault="00BA7C7F" w:rsidP="00BA7C7F">
            <w:pPr>
              <w:jc w:val="center"/>
              <w:rPr>
                <w:rFonts w:ascii="Arial Narrow" w:hAnsi="Arial Narrow" w:cstheme="minorBidi"/>
                <w:b/>
                <w:color w:val="000000"/>
                <w:sz w:val="20"/>
                <w:szCs w:val="20"/>
              </w:rPr>
            </w:pPr>
            <w:r w:rsidRPr="00022A0B">
              <w:rPr>
                <w:rFonts w:ascii="Arial Narrow" w:hAnsi="Arial Narrow" w:cstheme="minorBidi"/>
                <w:color w:val="000000"/>
                <w:sz w:val="20"/>
                <w:szCs w:val="20"/>
              </w:rPr>
              <w:t>-</w:t>
            </w:r>
          </w:p>
        </w:tc>
        <w:tc>
          <w:tcPr>
            <w:tcW w:w="1801" w:type="dxa"/>
            <w:tcBorders>
              <w:top w:val="nil"/>
              <w:left w:val="nil"/>
              <w:bottom w:val="single" w:sz="4" w:space="0" w:color="auto"/>
              <w:right w:val="single" w:sz="4" w:space="0" w:color="auto"/>
            </w:tcBorders>
            <w:shd w:val="clear" w:color="auto" w:fill="auto"/>
            <w:noWrap/>
            <w:vAlign w:val="center"/>
            <w:hideMark/>
          </w:tcPr>
          <w:p w14:paraId="411B1C96" w14:textId="77777777" w:rsidR="00BA7C7F" w:rsidRPr="00022A0B" w:rsidRDefault="00BA7C7F" w:rsidP="00BA7C7F">
            <w:pPr>
              <w:jc w:val="right"/>
              <w:rPr>
                <w:rFonts w:ascii="Arial Narrow" w:hAnsi="Arial Narrow" w:cstheme="minorBidi"/>
                <w:b/>
                <w:color w:val="000000"/>
                <w:sz w:val="20"/>
                <w:szCs w:val="20"/>
              </w:rPr>
            </w:pPr>
            <w:r w:rsidRPr="00022A0B">
              <w:rPr>
                <w:rFonts w:ascii="Arial Narrow" w:hAnsi="Arial Narrow" w:cstheme="minorBidi"/>
                <w:color w:val="000000"/>
                <w:sz w:val="20"/>
                <w:szCs w:val="20"/>
              </w:rPr>
              <w:t>7 281 824</w:t>
            </w:r>
          </w:p>
        </w:tc>
      </w:tr>
      <w:tr w:rsidR="00BA7C7F" w:rsidRPr="00C57ABA" w14:paraId="5BE7E25B" w14:textId="77777777" w:rsidTr="00B37935">
        <w:trPr>
          <w:trHeight w:val="300"/>
        </w:trPr>
        <w:tc>
          <w:tcPr>
            <w:tcW w:w="1724" w:type="dxa"/>
            <w:tcBorders>
              <w:top w:val="nil"/>
              <w:left w:val="single" w:sz="4" w:space="0" w:color="auto"/>
              <w:bottom w:val="single" w:sz="4" w:space="0" w:color="auto"/>
              <w:right w:val="single" w:sz="4" w:space="0" w:color="auto"/>
            </w:tcBorders>
            <w:shd w:val="clear" w:color="auto" w:fill="auto"/>
            <w:noWrap/>
            <w:vAlign w:val="center"/>
            <w:hideMark/>
          </w:tcPr>
          <w:p w14:paraId="38BE4CAF" w14:textId="77777777" w:rsidR="00BA7C7F" w:rsidRPr="00022A0B" w:rsidRDefault="00BA7C7F" w:rsidP="00BA7C7F">
            <w:pPr>
              <w:rPr>
                <w:rFonts w:ascii="Arial Narrow" w:hAnsi="Arial Narrow" w:cstheme="minorBidi"/>
                <w:b/>
                <w:color w:val="000000"/>
                <w:sz w:val="20"/>
                <w:szCs w:val="20"/>
              </w:rPr>
            </w:pPr>
            <w:r w:rsidRPr="00022A0B">
              <w:rPr>
                <w:rFonts w:ascii="Arial Narrow" w:hAnsi="Arial Narrow" w:cstheme="minorBidi"/>
                <w:color w:val="000000"/>
                <w:sz w:val="20"/>
                <w:szCs w:val="20"/>
              </w:rPr>
              <w:t>Еко-БРЕИ</w:t>
            </w:r>
          </w:p>
        </w:tc>
        <w:tc>
          <w:tcPr>
            <w:tcW w:w="1801" w:type="dxa"/>
            <w:tcBorders>
              <w:top w:val="nil"/>
              <w:left w:val="nil"/>
              <w:bottom w:val="single" w:sz="4" w:space="0" w:color="auto"/>
              <w:right w:val="single" w:sz="4" w:space="0" w:color="auto"/>
            </w:tcBorders>
            <w:shd w:val="clear" w:color="auto" w:fill="auto"/>
            <w:noWrap/>
            <w:vAlign w:val="center"/>
            <w:hideMark/>
          </w:tcPr>
          <w:p w14:paraId="7790B016" w14:textId="77777777" w:rsidR="00BA7C7F" w:rsidRPr="00022A0B" w:rsidRDefault="00BA7C7F" w:rsidP="00BA7C7F">
            <w:pPr>
              <w:jc w:val="right"/>
              <w:rPr>
                <w:rFonts w:ascii="Arial Narrow" w:hAnsi="Arial Narrow" w:cstheme="minorBidi"/>
                <w:b/>
                <w:color w:val="000000"/>
                <w:sz w:val="20"/>
                <w:szCs w:val="20"/>
              </w:rPr>
            </w:pPr>
            <w:r w:rsidRPr="00022A0B">
              <w:rPr>
                <w:rFonts w:ascii="Arial Narrow" w:hAnsi="Arial Narrow" w:cstheme="minorBidi"/>
                <w:color w:val="000000"/>
                <w:sz w:val="20"/>
                <w:szCs w:val="20"/>
              </w:rPr>
              <w:t>6 027</w:t>
            </w:r>
          </w:p>
        </w:tc>
        <w:tc>
          <w:tcPr>
            <w:tcW w:w="1652" w:type="dxa"/>
            <w:tcBorders>
              <w:top w:val="nil"/>
              <w:left w:val="nil"/>
              <w:bottom w:val="single" w:sz="4" w:space="0" w:color="auto"/>
              <w:right w:val="single" w:sz="4" w:space="0" w:color="auto"/>
            </w:tcBorders>
            <w:shd w:val="clear" w:color="auto" w:fill="auto"/>
            <w:noWrap/>
            <w:vAlign w:val="center"/>
            <w:hideMark/>
          </w:tcPr>
          <w:p w14:paraId="04C02605" w14:textId="77777777" w:rsidR="00BA7C7F" w:rsidRPr="00022A0B" w:rsidRDefault="00BA7C7F" w:rsidP="00BA7C7F">
            <w:pPr>
              <w:jc w:val="right"/>
              <w:rPr>
                <w:rFonts w:ascii="Arial Narrow" w:hAnsi="Arial Narrow" w:cstheme="minorBidi"/>
                <w:b/>
                <w:color w:val="000000"/>
                <w:sz w:val="20"/>
                <w:szCs w:val="20"/>
              </w:rPr>
            </w:pPr>
            <w:r w:rsidRPr="00022A0B">
              <w:rPr>
                <w:rFonts w:ascii="Arial Narrow" w:hAnsi="Arial Narrow" w:cstheme="minorBidi"/>
                <w:color w:val="000000"/>
                <w:sz w:val="20"/>
                <w:szCs w:val="20"/>
              </w:rPr>
              <w:t>5 535</w:t>
            </w:r>
          </w:p>
        </w:tc>
        <w:tc>
          <w:tcPr>
            <w:tcW w:w="1045" w:type="dxa"/>
            <w:tcBorders>
              <w:top w:val="nil"/>
              <w:left w:val="nil"/>
              <w:bottom w:val="single" w:sz="4" w:space="0" w:color="auto"/>
              <w:right w:val="single" w:sz="4" w:space="0" w:color="auto"/>
            </w:tcBorders>
            <w:shd w:val="clear" w:color="auto" w:fill="auto"/>
            <w:noWrap/>
            <w:vAlign w:val="center"/>
            <w:hideMark/>
          </w:tcPr>
          <w:p w14:paraId="5A7F4231" w14:textId="77777777" w:rsidR="00BA7C7F" w:rsidRPr="00022A0B" w:rsidRDefault="00BA7C7F" w:rsidP="00BA7C7F">
            <w:pPr>
              <w:jc w:val="center"/>
              <w:rPr>
                <w:rFonts w:ascii="Arial Narrow" w:hAnsi="Arial Narrow" w:cstheme="minorBidi"/>
                <w:b/>
                <w:color w:val="000000"/>
                <w:sz w:val="20"/>
                <w:szCs w:val="20"/>
              </w:rPr>
            </w:pPr>
            <w:r w:rsidRPr="00022A0B">
              <w:rPr>
                <w:rFonts w:ascii="Arial Narrow" w:hAnsi="Arial Narrow" w:cstheme="minorBidi"/>
                <w:color w:val="000000"/>
                <w:sz w:val="20"/>
                <w:szCs w:val="20"/>
              </w:rPr>
              <w:t>100</w:t>
            </w:r>
          </w:p>
        </w:tc>
        <w:tc>
          <w:tcPr>
            <w:tcW w:w="1045" w:type="dxa"/>
            <w:tcBorders>
              <w:top w:val="nil"/>
              <w:left w:val="nil"/>
              <w:bottom w:val="single" w:sz="4" w:space="0" w:color="auto"/>
              <w:right w:val="single" w:sz="4" w:space="0" w:color="auto"/>
            </w:tcBorders>
            <w:shd w:val="clear" w:color="auto" w:fill="auto"/>
            <w:noWrap/>
            <w:vAlign w:val="center"/>
            <w:hideMark/>
          </w:tcPr>
          <w:p w14:paraId="5F1B2A5D" w14:textId="77777777" w:rsidR="00BA7C7F" w:rsidRPr="00022A0B" w:rsidRDefault="00BA7C7F" w:rsidP="00BA7C7F">
            <w:pPr>
              <w:jc w:val="center"/>
              <w:rPr>
                <w:rFonts w:ascii="Arial Narrow" w:hAnsi="Arial Narrow" w:cstheme="minorBidi"/>
                <w:b/>
                <w:color w:val="000000"/>
                <w:sz w:val="20"/>
                <w:szCs w:val="20"/>
              </w:rPr>
            </w:pPr>
            <w:r w:rsidRPr="00022A0B">
              <w:rPr>
                <w:rFonts w:ascii="Arial Narrow" w:hAnsi="Arial Narrow" w:cstheme="minorBidi"/>
                <w:color w:val="000000"/>
                <w:sz w:val="20"/>
                <w:szCs w:val="20"/>
              </w:rPr>
              <w:t>-</w:t>
            </w:r>
          </w:p>
        </w:tc>
        <w:tc>
          <w:tcPr>
            <w:tcW w:w="906" w:type="dxa"/>
            <w:tcBorders>
              <w:top w:val="nil"/>
              <w:left w:val="nil"/>
              <w:bottom w:val="single" w:sz="4" w:space="0" w:color="auto"/>
              <w:right w:val="single" w:sz="4" w:space="0" w:color="auto"/>
            </w:tcBorders>
            <w:shd w:val="clear" w:color="auto" w:fill="auto"/>
            <w:noWrap/>
            <w:vAlign w:val="center"/>
            <w:hideMark/>
          </w:tcPr>
          <w:p w14:paraId="30352673" w14:textId="77777777" w:rsidR="00BA7C7F" w:rsidRPr="00022A0B" w:rsidRDefault="00BA7C7F" w:rsidP="00BA7C7F">
            <w:pPr>
              <w:jc w:val="center"/>
              <w:rPr>
                <w:rFonts w:ascii="Arial Narrow" w:hAnsi="Arial Narrow" w:cstheme="minorBidi"/>
                <w:b/>
                <w:color w:val="000000"/>
                <w:sz w:val="20"/>
                <w:szCs w:val="20"/>
              </w:rPr>
            </w:pPr>
            <w:r w:rsidRPr="00022A0B">
              <w:rPr>
                <w:rFonts w:ascii="Arial Narrow" w:hAnsi="Arial Narrow" w:cstheme="minorBidi"/>
                <w:color w:val="000000"/>
                <w:sz w:val="20"/>
                <w:szCs w:val="20"/>
              </w:rPr>
              <w:t>-</w:t>
            </w:r>
          </w:p>
        </w:tc>
        <w:tc>
          <w:tcPr>
            <w:tcW w:w="1801" w:type="dxa"/>
            <w:tcBorders>
              <w:top w:val="nil"/>
              <w:left w:val="nil"/>
              <w:bottom w:val="single" w:sz="4" w:space="0" w:color="auto"/>
              <w:right w:val="single" w:sz="4" w:space="0" w:color="auto"/>
            </w:tcBorders>
            <w:shd w:val="clear" w:color="auto" w:fill="auto"/>
            <w:noWrap/>
            <w:vAlign w:val="center"/>
            <w:hideMark/>
          </w:tcPr>
          <w:p w14:paraId="0210DC81" w14:textId="77777777" w:rsidR="00BA7C7F" w:rsidRPr="00022A0B" w:rsidRDefault="00BA7C7F" w:rsidP="00BA7C7F">
            <w:pPr>
              <w:jc w:val="right"/>
              <w:rPr>
                <w:rFonts w:ascii="Arial Narrow" w:hAnsi="Arial Narrow" w:cstheme="minorBidi"/>
                <w:b/>
                <w:color w:val="000000"/>
                <w:sz w:val="20"/>
                <w:szCs w:val="20"/>
              </w:rPr>
            </w:pPr>
            <w:r w:rsidRPr="00022A0B">
              <w:rPr>
                <w:rFonts w:ascii="Arial Narrow" w:hAnsi="Arial Narrow" w:cstheme="minorBidi"/>
                <w:color w:val="000000"/>
                <w:sz w:val="20"/>
                <w:szCs w:val="20"/>
              </w:rPr>
              <w:t>3 744 565</w:t>
            </w:r>
          </w:p>
        </w:tc>
      </w:tr>
      <w:tr w:rsidR="00BA7C7F" w:rsidRPr="00C57ABA" w14:paraId="2F1ED728" w14:textId="77777777" w:rsidTr="00B37935">
        <w:trPr>
          <w:trHeight w:val="300"/>
        </w:trPr>
        <w:tc>
          <w:tcPr>
            <w:tcW w:w="1724" w:type="dxa"/>
            <w:tcBorders>
              <w:top w:val="nil"/>
              <w:left w:val="single" w:sz="4" w:space="0" w:color="auto"/>
              <w:bottom w:val="single" w:sz="4" w:space="0" w:color="auto"/>
              <w:right w:val="single" w:sz="4" w:space="0" w:color="auto"/>
            </w:tcBorders>
            <w:shd w:val="clear" w:color="auto" w:fill="auto"/>
            <w:noWrap/>
            <w:vAlign w:val="center"/>
            <w:hideMark/>
          </w:tcPr>
          <w:p w14:paraId="69E39E51" w14:textId="77777777" w:rsidR="00BA7C7F" w:rsidRPr="00022A0B" w:rsidRDefault="00BA7C7F" w:rsidP="00BA7C7F">
            <w:pPr>
              <w:rPr>
                <w:rFonts w:ascii="Arial Narrow" w:hAnsi="Arial Narrow" w:cstheme="minorBidi"/>
                <w:b/>
                <w:color w:val="000000"/>
                <w:sz w:val="20"/>
                <w:szCs w:val="20"/>
              </w:rPr>
            </w:pPr>
            <w:r w:rsidRPr="00022A0B">
              <w:rPr>
                <w:rFonts w:ascii="Arial Narrow" w:hAnsi="Arial Narrow" w:cstheme="minorBidi"/>
                <w:color w:val="000000"/>
                <w:sz w:val="20"/>
                <w:szCs w:val="20"/>
              </w:rPr>
              <w:t>Еко-ЗВПП</w:t>
            </w:r>
          </w:p>
        </w:tc>
        <w:tc>
          <w:tcPr>
            <w:tcW w:w="1801" w:type="dxa"/>
            <w:tcBorders>
              <w:top w:val="nil"/>
              <w:left w:val="nil"/>
              <w:bottom w:val="single" w:sz="4" w:space="0" w:color="auto"/>
              <w:right w:val="single" w:sz="4" w:space="0" w:color="auto"/>
            </w:tcBorders>
            <w:shd w:val="clear" w:color="auto" w:fill="auto"/>
            <w:noWrap/>
            <w:vAlign w:val="center"/>
            <w:hideMark/>
          </w:tcPr>
          <w:p w14:paraId="5C3D716D" w14:textId="77777777" w:rsidR="00BA7C7F" w:rsidRPr="00022A0B" w:rsidRDefault="00BA7C7F" w:rsidP="00BA7C7F">
            <w:pPr>
              <w:jc w:val="right"/>
              <w:rPr>
                <w:rFonts w:ascii="Arial Narrow" w:hAnsi="Arial Narrow" w:cstheme="minorBidi"/>
                <w:b/>
                <w:color w:val="000000"/>
                <w:sz w:val="20"/>
                <w:szCs w:val="20"/>
              </w:rPr>
            </w:pPr>
            <w:r w:rsidRPr="00022A0B">
              <w:rPr>
                <w:rFonts w:ascii="Arial Narrow" w:hAnsi="Arial Narrow" w:cstheme="minorBidi"/>
                <w:color w:val="000000"/>
                <w:sz w:val="20"/>
                <w:szCs w:val="20"/>
              </w:rPr>
              <w:t>3 686</w:t>
            </w:r>
          </w:p>
        </w:tc>
        <w:tc>
          <w:tcPr>
            <w:tcW w:w="1652" w:type="dxa"/>
            <w:tcBorders>
              <w:top w:val="nil"/>
              <w:left w:val="nil"/>
              <w:bottom w:val="single" w:sz="4" w:space="0" w:color="auto"/>
              <w:right w:val="single" w:sz="4" w:space="0" w:color="auto"/>
            </w:tcBorders>
            <w:shd w:val="clear" w:color="auto" w:fill="auto"/>
            <w:noWrap/>
            <w:vAlign w:val="center"/>
            <w:hideMark/>
          </w:tcPr>
          <w:p w14:paraId="3C3540EF" w14:textId="77777777" w:rsidR="00BA7C7F" w:rsidRPr="00022A0B" w:rsidRDefault="00BA7C7F" w:rsidP="00BA7C7F">
            <w:pPr>
              <w:jc w:val="right"/>
              <w:rPr>
                <w:rFonts w:ascii="Arial Narrow" w:hAnsi="Arial Narrow" w:cstheme="minorBidi"/>
                <w:b/>
                <w:color w:val="000000"/>
                <w:sz w:val="20"/>
                <w:szCs w:val="20"/>
              </w:rPr>
            </w:pPr>
            <w:r w:rsidRPr="00022A0B">
              <w:rPr>
                <w:rFonts w:ascii="Arial Narrow" w:hAnsi="Arial Narrow" w:cstheme="minorBidi"/>
                <w:color w:val="000000"/>
                <w:sz w:val="20"/>
                <w:szCs w:val="20"/>
              </w:rPr>
              <w:t>3 663</w:t>
            </w:r>
          </w:p>
        </w:tc>
        <w:tc>
          <w:tcPr>
            <w:tcW w:w="1045" w:type="dxa"/>
            <w:tcBorders>
              <w:top w:val="nil"/>
              <w:left w:val="nil"/>
              <w:bottom w:val="single" w:sz="4" w:space="0" w:color="auto"/>
              <w:right w:val="single" w:sz="4" w:space="0" w:color="auto"/>
            </w:tcBorders>
            <w:shd w:val="clear" w:color="auto" w:fill="auto"/>
            <w:noWrap/>
            <w:vAlign w:val="center"/>
            <w:hideMark/>
          </w:tcPr>
          <w:p w14:paraId="6208DE99" w14:textId="77777777" w:rsidR="00BA7C7F" w:rsidRPr="00022A0B" w:rsidRDefault="00BA7C7F" w:rsidP="00BA7C7F">
            <w:pPr>
              <w:jc w:val="center"/>
              <w:rPr>
                <w:rFonts w:ascii="Arial Narrow" w:hAnsi="Arial Narrow" w:cstheme="minorBidi"/>
                <w:b/>
                <w:color w:val="000000"/>
                <w:sz w:val="20"/>
                <w:szCs w:val="20"/>
              </w:rPr>
            </w:pPr>
            <w:r w:rsidRPr="00022A0B">
              <w:rPr>
                <w:rFonts w:ascii="Arial Narrow" w:hAnsi="Arial Narrow" w:cstheme="minorBidi"/>
                <w:color w:val="000000"/>
                <w:sz w:val="20"/>
                <w:szCs w:val="20"/>
              </w:rPr>
              <w:t>100</w:t>
            </w:r>
          </w:p>
        </w:tc>
        <w:tc>
          <w:tcPr>
            <w:tcW w:w="1045" w:type="dxa"/>
            <w:tcBorders>
              <w:top w:val="nil"/>
              <w:left w:val="nil"/>
              <w:bottom w:val="single" w:sz="4" w:space="0" w:color="auto"/>
              <w:right w:val="single" w:sz="4" w:space="0" w:color="auto"/>
            </w:tcBorders>
            <w:shd w:val="clear" w:color="auto" w:fill="auto"/>
            <w:noWrap/>
            <w:vAlign w:val="center"/>
            <w:hideMark/>
          </w:tcPr>
          <w:p w14:paraId="09508241" w14:textId="77777777" w:rsidR="00BA7C7F" w:rsidRPr="00022A0B" w:rsidRDefault="00BA7C7F" w:rsidP="00BA7C7F">
            <w:pPr>
              <w:jc w:val="center"/>
              <w:rPr>
                <w:rFonts w:ascii="Arial Narrow" w:hAnsi="Arial Narrow" w:cstheme="minorBidi"/>
                <w:b/>
                <w:color w:val="000000"/>
                <w:sz w:val="20"/>
                <w:szCs w:val="20"/>
              </w:rPr>
            </w:pPr>
            <w:r w:rsidRPr="00022A0B">
              <w:rPr>
                <w:rFonts w:ascii="Arial Narrow" w:hAnsi="Arial Narrow" w:cstheme="minorBidi"/>
                <w:color w:val="000000"/>
                <w:sz w:val="20"/>
                <w:szCs w:val="20"/>
              </w:rPr>
              <w:t>-</w:t>
            </w:r>
          </w:p>
        </w:tc>
        <w:tc>
          <w:tcPr>
            <w:tcW w:w="906" w:type="dxa"/>
            <w:tcBorders>
              <w:top w:val="nil"/>
              <w:left w:val="nil"/>
              <w:bottom w:val="single" w:sz="4" w:space="0" w:color="auto"/>
              <w:right w:val="single" w:sz="4" w:space="0" w:color="auto"/>
            </w:tcBorders>
            <w:shd w:val="clear" w:color="auto" w:fill="auto"/>
            <w:noWrap/>
            <w:vAlign w:val="center"/>
            <w:hideMark/>
          </w:tcPr>
          <w:p w14:paraId="70A1B5F3" w14:textId="77777777" w:rsidR="00BA7C7F" w:rsidRPr="00022A0B" w:rsidRDefault="00BA7C7F" w:rsidP="00BA7C7F">
            <w:pPr>
              <w:jc w:val="center"/>
              <w:rPr>
                <w:rFonts w:ascii="Arial Narrow" w:hAnsi="Arial Narrow" w:cstheme="minorBidi"/>
                <w:b/>
                <w:color w:val="000000"/>
                <w:sz w:val="20"/>
                <w:szCs w:val="20"/>
              </w:rPr>
            </w:pPr>
            <w:r w:rsidRPr="00022A0B">
              <w:rPr>
                <w:rFonts w:ascii="Arial Narrow" w:hAnsi="Arial Narrow" w:cstheme="minorBidi"/>
                <w:color w:val="000000"/>
                <w:sz w:val="20"/>
                <w:szCs w:val="20"/>
              </w:rPr>
              <w:t>-</w:t>
            </w:r>
          </w:p>
        </w:tc>
        <w:tc>
          <w:tcPr>
            <w:tcW w:w="1801" w:type="dxa"/>
            <w:tcBorders>
              <w:top w:val="nil"/>
              <w:left w:val="nil"/>
              <w:bottom w:val="single" w:sz="4" w:space="0" w:color="auto"/>
              <w:right w:val="single" w:sz="4" w:space="0" w:color="auto"/>
            </w:tcBorders>
            <w:shd w:val="clear" w:color="auto" w:fill="auto"/>
            <w:noWrap/>
            <w:vAlign w:val="center"/>
            <w:hideMark/>
          </w:tcPr>
          <w:p w14:paraId="06CE3047" w14:textId="77777777" w:rsidR="00BA7C7F" w:rsidRPr="00022A0B" w:rsidRDefault="00BA7C7F" w:rsidP="00BA7C7F">
            <w:pPr>
              <w:jc w:val="right"/>
              <w:rPr>
                <w:rFonts w:ascii="Arial Narrow" w:hAnsi="Arial Narrow" w:cstheme="minorBidi"/>
                <w:b/>
                <w:color w:val="000000"/>
                <w:sz w:val="20"/>
                <w:szCs w:val="20"/>
              </w:rPr>
            </w:pPr>
            <w:r w:rsidRPr="00022A0B">
              <w:rPr>
                <w:rFonts w:ascii="Arial Narrow" w:hAnsi="Arial Narrow" w:cstheme="minorBidi"/>
                <w:color w:val="000000"/>
                <w:sz w:val="20"/>
                <w:szCs w:val="20"/>
              </w:rPr>
              <w:t>108 281 032</w:t>
            </w:r>
          </w:p>
        </w:tc>
      </w:tr>
      <w:tr w:rsidR="00BA7C7F" w:rsidRPr="00C57ABA" w14:paraId="042B194A" w14:textId="77777777" w:rsidTr="00B37935">
        <w:trPr>
          <w:trHeight w:val="300"/>
        </w:trPr>
        <w:tc>
          <w:tcPr>
            <w:tcW w:w="1724" w:type="dxa"/>
            <w:tcBorders>
              <w:top w:val="nil"/>
              <w:left w:val="single" w:sz="4" w:space="0" w:color="auto"/>
              <w:bottom w:val="single" w:sz="4" w:space="0" w:color="auto"/>
              <w:right w:val="single" w:sz="4" w:space="0" w:color="auto"/>
            </w:tcBorders>
            <w:shd w:val="clear" w:color="auto" w:fill="auto"/>
            <w:noWrap/>
            <w:vAlign w:val="center"/>
            <w:hideMark/>
          </w:tcPr>
          <w:p w14:paraId="4D30D852" w14:textId="77777777" w:rsidR="00BA7C7F" w:rsidRPr="00022A0B" w:rsidRDefault="00BA7C7F" w:rsidP="00BA7C7F">
            <w:pPr>
              <w:rPr>
                <w:rFonts w:ascii="Arial Narrow" w:hAnsi="Arial Narrow" w:cstheme="minorBidi"/>
                <w:b/>
                <w:color w:val="000000"/>
                <w:sz w:val="20"/>
                <w:szCs w:val="20"/>
              </w:rPr>
            </w:pPr>
            <w:r w:rsidRPr="00022A0B">
              <w:rPr>
                <w:rFonts w:ascii="Arial Narrow" w:hAnsi="Arial Narrow" w:cstheme="minorBidi"/>
                <w:color w:val="000000"/>
                <w:sz w:val="20"/>
                <w:szCs w:val="20"/>
              </w:rPr>
              <w:t>Еко-НИП</w:t>
            </w:r>
          </w:p>
        </w:tc>
        <w:tc>
          <w:tcPr>
            <w:tcW w:w="1801" w:type="dxa"/>
            <w:tcBorders>
              <w:top w:val="nil"/>
              <w:left w:val="nil"/>
              <w:bottom w:val="single" w:sz="4" w:space="0" w:color="auto"/>
              <w:right w:val="single" w:sz="4" w:space="0" w:color="auto"/>
            </w:tcBorders>
            <w:shd w:val="clear" w:color="auto" w:fill="auto"/>
            <w:noWrap/>
            <w:vAlign w:val="center"/>
            <w:hideMark/>
          </w:tcPr>
          <w:p w14:paraId="65E7A3DE" w14:textId="77777777" w:rsidR="00BA7C7F" w:rsidRPr="00022A0B" w:rsidRDefault="00BA7C7F" w:rsidP="00BA7C7F">
            <w:pPr>
              <w:jc w:val="right"/>
              <w:rPr>
                <w:rFonts w:ascii="Arial Narrow" w:hAnsi="Arial Narrow" w:cstheme="minorBidi"/>
                <w:b/>
                <w:color w:val="000000"/>
                <w:sz w:val="20"/>
                <w:szCs w:val="20"/>
              </w:rPr>
            </w:pPr>
            <w:r w:rsidRPr="00022A0B">
              <w:rPr>
                <w:rFonts w:ascii="Arial Narrow" w:hAnsi="Arial Narrow" w:cstheme="minorBidi"/>
                <w:color w:val="000000"/>
                <w:sz w:val="20"/>
                <w:szCs w:val="20"/>
              </w:rPr>
              <w:t>14 510</w:t>
            </w:r>
          </w:p>
        </w:tc>
        <w:tc>
          <w:tcPr>
            <w:tcW w:w="1652" w:type="dxa"/>
            <w:tcBorders>
              <w:top w:val="nil"/>
              <w:left w:val="nil"/>
              <w:bottom w:val="single" w:sz="4" w:space="0" w:color="auto"/>
              <w:right w:val="single" w:sz="4" w:space="0" w:color="auto"/>
            </w:tcBorders>
            <w:shd w:val="clear" w:color="auto" w:fill="auto"/>
            <w:noWrap/>
            <w:vAlign w:val="center"/>
            <w:hideMark/>
          </w:tcPr>
          <w:p w14:paraId="028672F0" w14:textId="77777777" w:rsidR="00BA7C7F" w:rsidRPr="00022A0B" w:rsidRDefault="00BA7C7F" w:rsidP="00BA7C7F">
            <w:pPr>
              <w:jc w:val="right"/>
              <w:rPr>
                <w:rFonts w:ascii="Arial Narrow" w:hAnsi="Arial Narrow" w:cstheme="minorBidi"/>
                <w:b/>
                <w:color w:val="000000"/>
                <w:sz w:val="20"/>
                <w:szCs w:val="20"/>
              </w:rPr>
            </w:pPr>
            <w:r w:rsidRPr="00022A0B">
              <w:rPr>
                <w:rFonts w:ascii="Arial Narrow" w:hAnsi="Arial Narrow" w:cstheme="minorBidi"/>
                <w:color w:val="000000"/>
                <w:sz w:val="20"/>
                <w:szCs w:val="20"/>
              </w:rPr>
              <w:t>14 405</w:t>
            </w:r>
          </w:p>
        </w:tc>
        <w:tc>
          <w:tcPr>
            <w:tcW w:w="1045" w:type="dxa"/>
            <w:tcBorders>
              <w:top w:val="nil"/>
              <w:left w:val="nil"/>
              <w:bottom w:val="single" w:sz="4" w:space="0" w:color="auto"/>
              <w:right w:val="single" w:sz="4" w:space="0" w:color="auto"/>
            </w:tcBorders>
            <w:shd w:val="clear" w:color="auto" w:fill="auto"/>
            <w:noWrap/>
            <w:vAlign w:val="center"/>
            <w:hideMark/>
          </w:tcPr>
          <w:p w14:paraId="7AF41B41" w14:textId="77777777" w:rsidR="00BA7C7F" w:rsidRPr="00022A0B" w:rsidRDefault="00BA7C7F" w:rsidP="00BA7C7F">
            <w:pPr>
              <w:jc w:val="center"/>
              <w:rPr>
                <w:rFonts w:ascii="Arial Narrow" w:hAnsi="Arial Narrow" w:cstheme="minorBidi"/>
                <w:b/>
                <w:color w:val="000000"/>
                <w:sz w:val="20"/>
                <w:szCs w:val="20"/>
              </w:rPr>
            </w:pPr>
            <w:r w:rsidRPr="00022A0B">
              <w:rPr>
                <w:rFonts w:ascii="Arial Narrow" w:hAnsi="Arial Narrow" w:cstheme="minorBidi"/>
                <w:color w:val="000000"/>
                <w:sz w:val="20"/>
                <w:szCs w:val="20"/>
              </w:rPr>
              <w:t>100</w:t>
            </w:r>
          </w:p>
        </w:tc>
        <w:tc>
          <w:tcPr>
            <w:tcW w:w="1045" w:type="dxa"/>
            <w:tcBorders>
              <w:top w:val="nil"/>
              <w:left w:val="nil"/>
              <w:bottom w:val="single" w:sz="4" w:space="0" w:color="auto"/>
              <w:right w:val="single" w:sz="4" w:space="0" w:color="auto"/>
            </w:tcBorders>
            <w:shd w:val="clear" w:color="auto" w:fill="auto"/>
            <w:noWrap/>
            <w:vAlign w:val="center"/>
            <w:hideMark/>
          </w:tcPr>
          <w:p w14:paraId="01C6840E" w14:textId="77777777" w:rsidR="00BA7C7F" w:rsidRPr="00022A0B" w:rsidRDefault="00BA7C7F" w:rsidP="00BA7C7F">
            <w:pPr>
              <w:jc w:val="center"/>
              <w:rPr>
                <w:rFonts w:ascii="Arial Narrow" w:hAnsi="Arial Narrow" w:cstheme="minorBidi"/>
                <w:b/>
                <w:color w:val="000000"/>
                <w:sz w:val="20"/>
                <w:szCs w:val="20"/>
              </w:rPr>
            </w:pPr>
            <w:r w:rsidRPr="00022A0B">
              <w:rPr>
                <w:rFonts w:ascii="Arial Narrow" w:hAnsi="Arial Narrow" w:cstheme="minorBidi"/>
                <w:color w:val="000000"/>
                <w:sz w:val="20"/>
                <w:szCs w:val="20"/>
              </w:rPr>
              <w:t>-</w:t>
            </w:r>
          </w:p>
        </w:tc>
        <w:tc>
          <w:tcPr>
            <w:tcW w:w="906" w:type="dxa"/>
            <w:tcBorders>
              <w:top w:val="nil"/>
              <w:left w:val="nil"/>
              <w:bottom w:val="single" w:sz="4" w:space="0" w:color="auto"/>
              <w:right w:val="single" w:sz="4" w:space="0" w:color="auto"/>
            </w:tcBorders>
            <w:shd w:val="clear" w:color="auto" w:fill="auto"/>
            <w:noWrap/>
            <w:vAlign w:val="center"/>
            <w:hideMark/>
          </w:tcPr>
          <w:p w14:paraId="37C4C5CF" w14:textId="77777777" w:rsidR="00BA7C7F" w:rsidRPr="00022A0B" w:rsidRDefault="00BA7C7F" w:rsidP="00BA7C7F">
            <w:pPr>
              <w:jc w:val="center"/>
              <w:rPr>
                <w:rFonts w:ascii="Arial Narrow" w:hAnsi="Arial Narrow" w:cstheme="minorBidi"/>
                <w:b/>
                <w:color w:val="000000"/>
                <w:sz w:val="20"/>
                <w:szCs w:val="20"/>
              </w:rPr>
            </w:pPr>
            <w:r w:rsidRPr="00022A0B">
              <w:rPr>
                <w:rFonts w:ascii="Arial Narrow" w:hAnsi="Arial Narrow" w:cstheme="minorBidi"/>
                <w:color w:val="000000"/>
                <w:sz w:val="20"/>
                <w:szCs w:val="20"/>
              </w:rPr>
              <w:t>-</w:t>
            </w:r>
          </w:p>
        </w:tc>
        <w:tc>
          <w:tcPr>
            <w:tcW w:w="1801" w:type="dxa"/>
            <w:tcBorders>
              <w:top w:val="nil"/>
              <w:left w:val="nil"/>
              <w:bottom w:val="single" w:sz="4" w:space="0" w:color="auto"/>
              <w:right w:val="single" w:sz="4" w:space="0" w:color="auto"/>
            </w:tcBorders>
            <w:shd w:val="clear" w:color="auto" w:fill="auto"/>
            <w:noWrap/>
            <w:vAlign w:val="center"/>
            <w:hideMark/>
          </w:tcPr>
          <w:p w14:paraId="12E55CF0" w14:textId="77777777" w:rsidR="00BA7C7F" w:rsidRPr="00022A0B" w:rsidRDefault="00BA7C7F" w:rsidP="00BA7C7F">
            <w:pPr>
              <w:jc w:val="right"/>
              <w:rPr>
                <w:rFonts w:ascii="Arial Narrow" w:hAnsi="Arial Narrow" w:cstheme="minorBidi"/>
                <w:b/>
                <w:color w:val="000000"/>
                <w:sz w:val="20"/>
                <w:szCs w:val="20"/>
              </w:rPr>
            </w:pPr>
            <w:r w:rsidRPr="00022A0B">
              <w:rPr>
                <w:rFonts w:ascii="Arial Narrow" w:hAnsi="Arial Narrow" w:cstheme="minorBidi"/>
                <w:color w:val="000000"/>
                <w:sz w:val="20"/>
                <w:szCs w:val="20"/>
              </w:rPr>
              <w:t>201 896 148</w:t>
            </w:r>
          </w:p>
        </w:tc>
      </w:tr>
      <w:tr w:rsidR="00BA7C7F" w:rsidRPr="00C57ABA" w14:paraId="3410E043" w14:textId="77777777" w:rsidTr="00B37935">
        <w:trPr>
          <w:trHeight w:val="300"/>
        </w:trPr>
        <w:tc>
          <w:tcPr>
            <w:tcW w:w="1724" w:type="dxa"/>
            <w:tcBorders>
              <w:top w:val="nil"/>
              <w:left w:val="single" w:sz="4" w:space="0" w:color="auto"/>
              <w:bottom w:val="single" w:sz="4" w:space="0" w:color="auto"/>
              <w:right w:val="single" w:sz="4" w:space="0" w:color="auto"/>
            </w:tcBorders>
            <w:shd w:val="clear" w:color="auto" w:fill="auto"/>
            <w:noWrap/>
            <w:vAlign w:val="center"/>
            <w:hideMark/>
          </w:tcPr>
          <w:p w14:paraId="0475E4E8" w14:textId="77777777" w:rsidR="00BA7C7F" w:rsidRPr="00022A0B" w:rsidRDefault="00BA7C7F" w:rsidP="00BA7C7F">
            <w:pPr>
              <w:rPr>
                <w:rFonts w:ascii="Arial Narrow" w:hAnsi="Arial Narrow" w:cstheme="minorBidi"/>
                <w:b/>
                <w:color w:val="000000"/>
                <w:sz w:val="20"/>
                <w:szCs w:val="20"/>
              </w:rPr>
            </w:pPr>
            <w:r w:rsidRPr="00022A0B">
              <w:rPr>
                <w:rFonts w:ascii="Arial Narrow" w:hAnsi="Arial Narrow" w:cstheme="minorBidi"/>
                <w:color w:val="000000"/>
                <w:sz w:val="20"/>
                <w:szCs w:val="20"/>
              </w:rPr>
              <w:t>Еко-ТН</w:t>
            </w:r>
          </w:p>
        </w:tc>
        <w:tc>
          <w:tcPr>
            <w:tcW w:w="1801" w:type="dxa"/>
            <w:tcBorders>
              <w:top w:val="nil"/>
              <w:left w:val="nil"/>
              <w:bottom w:val="single" w:sz="4" w:space="0" w:color="auto"/>
              <w:right w:val="single" w:sz="4" w:space="0" w:color="auto"/>
            </w:tcBorders>
            <w:shd w:val="clear" w:color="auto" w:fill="auto"/>
            <w:noWrap/>
            <w:vAlign w:val="center"/>
            <w:hideMark/>
          </w:tcPr>
          <w:p w14:paraId="39DB5486" w14:textId="77777777" w:rsidR="00BA7C7F" w:rsidRPr="00022A0B" w:rsidRDefault="00BA7C7F" w:rsidP="00BA7C7F">
            <w:pPr>
              <w:jc w:val="right"/>
              <w:rPr>
                <w:rFonts w:ascii="Arial Narrow" w:hAnsi="Arial Narrow" w:cstheme="minorBidi"/>
                <w:b/>
                <w:color w:val="000000"/>
                <w:sz w:val="20"/>
                <w:szCs w:val="20"/>
              </w:rPr>
            </w:pPr>
            <w:r w:rsidRPr="00022A0B">
              <w:rPr>
                <w:rFonts w:ascii="Arial Narrow" w:hAnsi="Arial Narrow" w:cstheme="minorBidi"/>
                <w:color w:val="000000"/>
                <w:sz w:val="20"/>
                <w:szCs w:val="20"/>
              </w:rPr>
              <w:t>2 863</w:t>
            </w:r>
          </w:p>
        </w:tc>
        <w:tc>
          <w:tcPr>
            <w:tcW w:w="1652" w:type="dxa"/>
            <w:tcBorders>
              <w:top w:val="nil"/>
              <w:left w:val="nil"/>
              <w:bottom w:val="single" w:sz="4" w:space="0" w:color="auto"/>
              <w:right w:val="single" w:sz="4" w:space="0" w:color="auto"/>
            </w:tcBorders>
            <w:shd w:val="clear" w:color="auto" w:fill="auto"/>
            <w:noWrap/>
            <w:vAlign w:val="center"/>
            <w:hideMark/>
          </w:tcPr>
          <w:p w14:paraId="2E467405" w14:textId="77777777" w:rsidR="00BA7C7F" w:rsidRPr="00022A0B" w:rsidRDefault="00BA7C7F" w:rsidP="00BA7C7F">
            <w:pPr>
              <w:jc w:val="right"/>
              <w:rPr>
                <w:rFonts w:ascii="Arial Narrow" w:hAnsi="Arial Narrow" w:cstheme="minorBidi"/>
                <w:b/>
                <w:color w:val="000000"/>
                <w:sz w:val="20"/>
                <w:szCs w:val="20"/>
              </w:rPr>
            </w:pPr>
            <w:r w:rsidRPr="00022A0B">
              <w:rPr>
                <w:rFonts w:ascii="Arial Narrow" w:hAnsi="Arial Narrow" w:cstheme="minorBidi"/>
                <w:color w:val="000000"/>
                <w:sz w:val="20"/>
                <w:szCs w:val="20"/>
              </w:rPr>
              <w:t>2 468</w:t>
            </w:r>
          </w:p>
        </w:tc>
        <w:tc>
          <w:tcPr>
            <w:tcW w:w="1045" w:type="dxa"/>
            <w:tcBorders>
              <w:top w:val="nil"/>
              <w:left w:val="nil"/>
              <w:bottom w:val="single" w:sz="4" w:space="0" w:color="auto"/>
              <w:right w:val="single" w:sz="4" w:space="0" w:color="auto"/>
            </w:tcBorders>
            <w:shd w:val="clear" w:color="auto" w:fill="auto"/>
            <w:noWrap/>
            <w:vAlign w:val="center"/>
            <w:hideMark/>
          </w:tcPr>
          <w:p w14:paraId="5FDDA766" w14:textId="77777777" w:rsidR="00BA7C7F" w:rsidRPr="00022A0B" w:rsidRDefault="00BA7C7F" w:rsidP="00BA7C7F">
            <w:pPr>
              <w:jc w:val="center"/>
              <w:rPr>
                <w:rFonts w:ascii="Arial Narrow" w:hAnsi="Arial Narrow" w:cstheme="minorBidi"/>
                <w:b/>
                <w:color w:val="000000"/>
                <w:sz w:val="20"/>
                <w:szCs w:val="20"/>
              </w:rPr>
            </w:pPr>
            <w:r w:rsidRPr="00022A0B">
              <w:rPr>
                <w:rFonts w:ascii="Arial Narrow" w:hAnsi="Arial Narrow" w:cstheme="minorBidi"/>
                <w:color w:val="000000"/>
                <w:sz w:val="20"/>
                <w:szCs w:val="20"/>
              </w:rPr>
              <w:t>100</w:t>
            </w:r>
          </w:p>
        </w:tc>
        <w:tc>
          <w:tcPr>
            <w:tcW w:w="1045" w:type="dxa"/>
            <w:tcBorders>
              <w:top w:val="nil"/>
              <w:left w:val="nil"/>
              <w:bottom w:val="single" w:sz="4" w:space="0" w:color="auto"/>
              <w:right w:val="single" w:sz="4" w:space="0" w:color="auto"/>
            </w:tcBorders>
            <w:shd w:val="clear" w:color="auto" w:fill="auto"/>
            <w:noWrap/>
            <w:vAlign w:val="center"/>
            <w:hideMark/>
          </w:tcPr>
          <w:p w14:paraId="556BEE1D" w14:textId="77777777" w:rsidR="00BA7C7F" w:rsidRPr="00022A0B" w:rsidRDefault="00BA7C7F" w:rsidP="00BA7C7F">
            <w:pPr>
              <w:jc w:val="center"/>
              <w:rPr>
                <w:rFonts w:ascii="Arial Narrow" w:hAnsi="Arial Narrow" w:cstheme="minorBidi"/>
                <w:b/>
                <w:color w:val="000000"/>
                <w:sz w:val="20"/>
                <w:szCs w:val="20"/>
              </w:rPr>
            </w:pPr>
            <w:r w:rsidRPr="00022A0B">
              <w:rPr>
                <w:rFonts w:ascii="Arial Narrow" w:hAnsi="Arial Narrow" w:cstheme="minorBidi"/>
                <w:color w:val="000000"/>
                <w:sz w:val="20"/>
                <w:szCs w:val="20"/>
              </w:rPr>
              <w:t>-</w:t>
            </w:r>
          </w:p>
        </w:tc>
        <w:tc>
          <w:tcPr>
            <w:tcW w:w="906" w:type="dxa"/>
            <w:tcBorders>
              <w:top w:val="nil"/>
              <w:left w:val="nil"/>
              <w:bottom w:val="single" w:sz="4" w:space="0" w:color="auto"/>
              <w:right w:val="single" w:sz="4" w:space="0" w:color="auto"/>
            </w:tcBorders>
            <w:shd w:val="clear" w:color="auto" w:fill="auto"/>
            <w:noWrap/>
            <w:vAlign w:val="center"/>
            <w:hideMark/>
          </w:tcPr>
          <w:p w14:paraId="289AA441" w14:textId="77777777" w:rsidR="00BA7C7F" w:rsidRPr="00022A0B" w:rsidRDefault="00BA7C7F" w:rsidP="00BA7C7F">
            <w:pPr>
              <w:jc w:val="center"/>
              <w:rPr>
                <w:rFonts w:ascii="Arial Narrow" w:hAnsi="Arial Narrow" w:cstheme="minorBidi"/>
                <w:b/>
                <w:color w:val="000000"/>
                <w:sz w:val="20"/>
                <w:szCs w:val="20"/>
              </w:rPr>
            </w:pPr>
            <w:r w:rsidRPr="00022A0B">
              <w:rPr>
                <w:rFonts w:ascii="Arial Narrow" w:hAnsi="Arial Narrow" w:cstheme="minorBidi"/>
                <w:color w:val="000000"/>
                <w:sz w:val="20"/>
                <w:szCs w:val="20"/>
              </w:rPr>
              <w:t>-</w:t>
            </w:r>
          </w:p>
        </w:tc>
        <w:tc>
          <w:tcPr>
            <w:tcW w:w="1801" w:type="dxa"/>
            <w:tcBorders>
              <w:top w:val="nil"/>
              <w:left w:val="nil"/>
              <w:bottom w:val="single" w:sz="4" w:space="0" w:color="auto"/>
              <w:right w:val="single" w:sz="4" w:space="0" w:color="auto"/>
            </w:tcBorders>
            <w:shd w:val="clear" w:color="auto" w:fill="auto"/>
            <w:noWrap/>
            <w:vAlign w:val="center"/>
            <w:hideMark/>
          </w:tcPr>
          <w:p w14:paraId="4F9C23A9" w14:textId="77777777" w:rsidR="00BA7C7F" w:rsidRPr="00022A0B" w:rsidRDefault="00BA7C7F" w:rsidP="00BA7C7F">
            <w:pPr>
              <w:jc w:val="right"/>
              <w:rPr>
                <w:rFonts w:ascii="Arial Narrow" w:hAnsi="Arial Narrow" w:cstheme="minorBidi"/>
                <w:b/>
                <w:color w:val="000000"/>
                <w:sz w:val="20"/>
                <w:szCs w:val="20"/>
              </w:rPr>
            </w:pPr>
            <w:r w:rsidRPr="00022A0B">
              <w:rPr>
                <w:rFonts w:ascii="Arial Narrow" w:hAnsi="Arial Narrow" w:cstheme="minorBidi"/>
                <w:color w:val="000000"/>
                <w:sz w:val="20"/>
                <w:szCs w:val="20"/>
              </w:rPr>
              <w:t>5 086 283</w:t>
            </w:r>
          </w:p>
        </w:tc>
      </w:tr>
      <w:tr w:rsidR="00BA7C7F" w:rsidRPr="00C57ABA" w14:paraId="7EDD5ADF" w14:textId="77777777" w:rsidTr="00B37935">
        <w:trPr>
          <w:trHeight w:val="300"/>
        </w:trPr>
        <w:tc>
          <w:tcPr>
            <w:tcW w:w="1724" w:type="dxa"/>
            <w:tcBorders>
              <w:top w:val="nil"/>
              <w:left w:val="single" w:sz="4" w:space="0" w:color="auto"/>
              <w:bottom w:val="single" w:sz="4" w:space="0" w:color="auto"/>
              <w:right w:val="single" w:sz="4" w:space="0" w:color="auto"/>
            </w:tcBorders>
            <w:shd w:val="clear" w:color="auto" w:fill="auto"/>
            <w:noWrap/>
            <w:vAlign w:val="center"/>
            <w:hideMark/>
          </w:tcPr>
          <w:p w14:paraId="06784A54" w14:textId="77777777" w:rsidR="00BA7C7F" w:rsidRPr="00022A0B" w:rsidRDefault="00BA7C7F" w:rsidP="00BA7C7F">
            <w:pPr>
              <w:rPr>
                <w:rFonts w:ascii="Arial Narrow" w:hAnsi="Arial Narrow" w:cstheme="minorBidi"/>
                <w:b/>
                <w:color w:val="000000"/>
                <w:sz w:val="20"/>
                <w:szCs w:val="20"/>
              </w:rPr>
            </w:pPr>
            <w:r w:rsidRPr="00022A0B">
              <w:rPr>
                <w:rFonts w:ascii="Arial Narrow" w:hAnsi="Arial Narrow" w:cstheme="minorBidi"/>
                <w:color w:val="000000"/>
                <w:sz w:val="20"/>
                <w:szCs w:val="20"/>
              </w:rPr>
              <w:t>Еко-ПЗП</w:t>
            </w:r>
          </w:p>
        </w:tc>
        <w:tc>
          <w:tcPr>
            <w:tcW w:w="1801" w:type="dxa"/>
            <w:tcBorders>
              <w:top w:val="nil"/>
              <w:left w:val="nil"/>
              <w:bottom w:val="single" w:sz="4" w:space="0" w:color="auto"/>
              <w:right w:val="single" w:sz="4" w:space="0" w:color="auto"/>
            </w:tcBorders>
            <w:shd w:val="clear" w:color="auto" w:fill="auto"/>
            <w:noWrap/>
            <w:vAlign w:val="center"/>
            <w:hideMark/>
          </w:tcPr>
          <w:p w14:paraId="4FC81FC7" w14:textId="77777777" w:rsidR="00BA7C7F" w:rsidRPr="00022A0B" w:rsidRDefault="00BA7C7F" w:rsidP="00BA7C7F">
            <w:pPr>
              <w:jc w:val="right"/>
              <w:rPr>
                <w:rFonts w:ascii="Arial Narrow" w:hAnsi="Arial Narrow" w:cstheme="minorBidi"/>
                <w:b/>
                <w:color w:val="000000"/>
                <w:sz w:val="20"/>
                <w:szCs w:val="20"/>
              </w:rPr>
            </w:pPr>
            <w:r w:rsidRPr="00022A0B">
              <w:rPr>
                <w:rFonts w:ascii="Arial Narrow" w:hAnsi="Arial Narrow" w:cstheme="minorBidi"/>
                <w:color w:val="000000"/>
                <w:sz w:val="20"/>
                <w:szCs w:val="20"/>
              </w:rPr>
              <w:t>1 457</w:t>
            </w:r>
          </w:p>
        </w:tc>
        <w:tc>
          <w:tcPr>
            <w:tcW w:w="1652" w:type="dxa"/>
            <w:tcBorders>
              <w:top w:val="nil"/>
              <w:left w:val="nil"/>
              <w:bottom w:val="single" w:sz="4" w:space="0" w:color="auto"/>
              <w:right w:val="single" w:sz="4" w:space="0" w:color="auto"/>
            </w:tcBorders>
            <w:shd w:val="clear" w:color="auto" w:fill="auto"/>
            <w:noWrap/>
            <w:vAlign w:val="center"/>
            <w:hideMark/>
          </w:tcPr>
          <w:p w14:paraId="4B77F606" w14:textId="77777777" w:rsidR="00BA7C7F" w:rsidRPr="00022A0B" w:rsidRDefault="00BA7C7F" w:rsidP="00BA7C7F">
            <w:pPr>
              <w:jc w:val="right"/>
              <w:rPr>
                <w:rFonts w:ascii="Arial Narrow" w:hAnsi="Arial Narrow" w:cstheme="minorBidi"/>
                <w:b/>
                <w:color w:val="000000"/>
                <w:sz w:val="20"/>
                <w:szCs w:val="20"/>
              </w:rPr>
            </w:pPr>
            <w:r w:rsidRPr="00022A0B">
              <w:rPr>
                <w:rFonts w:ascii="Arial Narrow" w:hAnsi="Arial Narrow" w:cstheme="minorBidi"/>
                <w:color w:val="000000"/>
                <w:sz w:val="20"/>
                <w:szCs w:val="20"/>
              </w:rPr>
              <w:t>1 449</w:t>
            </w:r>
          </w:p>
        </w:tc>
        <w:tc>
          <w:tcPr>
            <w:tcW w:w="1045" w:type="dxa"/>
            <w:tcBorders>
              <w:top w:val="nil"/>
              <w:left w:val="nil"/>
              <w:bottom w:val="single" w:sz="4" w:space="0" w:color="auto"/>
              <w:right w:val="single" w:sz="4" w:space="0" w:color="auto"/>
            </w:tcBorders>
            <w:shd w:val="clear" w:color="auto" w:fill="auto"/>
            <w:noWrap/>
            <w:vAlign w:val="center"/>
            <w:hideMark/>
          </w:tcPr>
          <w:p w14:paraId="54263120" w14:textId="77777777" w:rsidR="00BA7C7F" w:rsidRPr="00022A0B" w:rsidRDefault="00BA7C7F" w:rsidP="00BA7C7F">
            <w:pPr>
              <w:jc w:val="center"/>
              <w:rPr>
                <w:rFonts w:ascii="Arial Narrow" w:hAnsi="Arial Narrow" w:cstheme="minorBidi"/>
                <w:b/>
                <w:color w:val="000000"/>
                <w:sz w:val="20"/>
                <w:szCs w:val="20"/>
              </w:rPr>
            </w:pPr>
            <w:r w:rsidRPr="00022A0B">
              <w:rPr>
                <w:rFonts w:ascii="Arial Narrow" w:hAnsi="Arial Narrow" w:cstheme="minorBidi"/>
                <w:color w:val="000000"/>
                <w:sz w:val="20"/>
                <w:szCs w:val="20"/>
              </w:rPr>
              <w:t>100</w:t>
            </w:r>
          </w:p>
        </w:tc>
        <w:tc>
          <w:tcPr>
            <w:tcW w:w="1045" w:type="dxa"/>
            <w:tcBorders>
              <w:top w:val="nil"/>
              <w:left w:val="nil"/>
              <w:bottom w:val="single" w:sz="4" w:space="0" w:color="auto"/>
              <w:right w:val="single" w:sz="4" w:space="0" w:color="auto"/>
            </w:tcBorders>
            <w:shd w:val="clear" w:color="auto" w:fill="auto"/>
            <w:noWrap/>
            <w:vAlign w:val="center"/>
            <w:hideMark/>
          </w:tcPr>
          <w:p w14:paraId="58377682" w14:textId="77777777" w:rsidR="00BA7C7F" w:rsidRPr="00022A0B" w:rsidRDefault="00BA7C7F" w:rsidP="00BA7C7F">
            <w:pPr>
              <w:jc w:val="center"/>
              <w:rPr>
                <w:rFonts w:ascii="Arial Narrow" w:hAnsi="Arial Narrow" w:cstheme="minorBidi"/>
                <w:b/>
                <w:color w:val="000000"/>
                <w:sz w:val="20"/>
                <w:szCs w:val="20"/>
              </w:rPr>
            </w:pPr>
            <w:r w:rsidRPr="00022A0B">
              <w:rPr>
                <w:rFonts w:ascii="Arial Narrow" w:hAnsi="Arial Narrow" w:cstheme="minorBidi"/>
                <w:color w:val="000000"/>
                <w:sz w:val="20"/>
                <w:szCs w:val="20"/>
              </w:rPr>
              <w:t>-</w:t>
            </w:r>
          </w:p>
        </w:tc>
        <w:tc>
          <w:tcPr>
            <w:tcW w:w="906" w:type="dxa"/>
            <w:tcBorders>
              <w:top w:val="nil"/>
              <w:left w:val="nil"/>
              <w:bottom w:val="single" w:sz="4" w:space="0" w:color="auto"/>
              <w:right w:val="single" w:sz="4" w:space="0" w:color="auto"/>
            </w:tcBorders>
            <w:shd w:val="clear" w:color="auto" w:fill="auto"/>
            <w:noWrap/>
            <w:vAlign w:val="center"/>
            <w:hideMark/>
          </w:tcPr>
          <w:p w14:paraId="62CA49EB" w14:textId="77777777" w:rsidR="00BA7C7F" w:rsidRPr="00022A0B" w:rsidRDefault="00BA7C7F" w:rsidP="00BA7C7F">
            <w:pPr>
              <w:jc w:val="center"/>
              <w:rPr>
                <w:rFonts w:ascii="Arial Narrow" w:hAnsi="Arial Narrow" w:cstheme="minorBidi"/>
                <w:b/>
                <w:color w:val="000000"/>
                <w:sz w:val="20"/>
                <w:szCs w:val="20"/>
              </w:rPr>
            </w:pPr>
            <w:r w:rsidRPr="00022A0B">
              <w:rPr>
                <w:rFonts w:ascii="Arial Narrow" w:hAnsi="Arial Narrow" w:cstheme="minorBidi"/>
                <w:color w:val="000000"/>
                <w:sz w:val="20"/>
                <w:szCs w:val="20"/>
              </w:rPr>
              <w:t>-</w:t>
            </w:r>
          </w:p>
        </w:tc>
        <w:tc>
          <w:tcPr>
            <w:tcW w:w="1801" w:type="dxa"/>
            <w:tcBorders>
              <w:top w:val="nil"/>
              <w:left w:val="nil"/>
              <w:bottom w:val="single" w:sz="4" w:space="0" w:color="auto"/>
              <w:right w:val="single" w:sz="4" w:space="0" w:color="auto"/>
            </w:tcBorders>
            <w:shd w:val="clear" w:color="auto" w:fill="auto"/>
            <w:noWrap/>
            <w:vAlign w:val="center"/>
            <w:hideMark/>
          </w:tcPr>
          <w:p w14:paraId="05829D68" w14:textId="77777777" w:rsidR="00BA7C7F" w:rsidRPr="00022A0B" w:rsidRDefault="00BA7C7F" w:rsidP="00BA7C7F">
            <w:pPr>
              <w:jc w:val="right"/>
              <w:rPr>
                <w:rFonts w:ascii="Arial Narrow" w:hAnsi="Arial Narrow" w:cstheme="minorBidi"/>
                <w:b/>
                <w:color w:val="000000"/>
                <w:sz w:val="20"/>
                <w:szCs w:val="20"/>
              </w:rPr>
            </w:pPr>
            <w:r w:rsidRPr="00022A0B">
              <w:rPr>
                <w:rFonts w:ascii="Arial Narrow" w:hAnsi="Arial Narrow" w:cstheme="minorBidi"/>
                <w:color w:val="000000"/>
                <w:sz w:val="20"/>
                <w:szCs w:val="20"/>
              </w:rPr>
              <w:t>9 748 916</w:t>
            </w:r>
          </w:p>
        </w:tc>
      </w:tr>
      <w:tr w:rsidR="00BA7C7F" w:rsidRPr="00C57ABA" w14:paraId="78652AD5" w14:textId="77777777" w:rsidTr="00B37935">
        <w:trPr>
          <w:trHeight w:val="300"/>
        </w:trPr>
        <w:tc>
          <w:tcPr>
            <w:tcW w:w="1724" w:type="dxa"/>
            <w:tcBorders>
              <w:top w:val="nil"/>
              <w:left w:val="single" w:sz="4" w:space="0" w:color="auto"/>
              <w:bottom w:val="single" w:sz="4" w:space="0" w:color="auto"/>
              <w:right w:val="single" w:sz="4" w:space="0" w:color="auto"/>
            </w:tcBorders>
            <w:shd w:val="clear" w:color="auto" w:fill="auto"/>
            <w:noWrap/>
            <w:vAlign w:val="center"/>
            <w:hideMark/>
          </w:tcPr>
          <w:p w14:paraId="0CF410C8" w14:textId="77777777" w:rsidR="00BA7C7F" w:rsidRPr="00022A0B" w:rsidRDefault="00BA7C7F" w:rsidP="00BA7C7F">
            <w:pPr>
              <w:rPr>
                <w:rFonts w:ascii="Arial Narrow" w:hAnsi="Arial Narrow" w:cstheme="minorBidi"/>
                <w:b/>
                <w:color w:val="000000"/>
                <w:sz w:val="20"/>
                <w:szCs w:val="20"/>
              </w:rPr>
            </w:pPr>
            <w:r w:rsidRPr="00022A0B">
              <w:rPr>
                <w:rFonts w:ascii="Arial Narrow" w:hAnsi="Arial Narrow" w:cstheme="minorBidi"/>
                <w:color w:val="000000"/>
                <w:sz w:val="20"/>
                <w:szCs w:val="20"/>
              </w:rPr>
              <w:t>Еко-ГТ</w:t>
            </w:r>
          </w:p>
        </w:tc>
        <w:tc>
          <w:tcPr>
            <w:tcW w:w="1801" w:type="dxa"/>
            <w:tcBorders>
              <w:top w:val="nil"/>
              <w:left w:val="nil"/>
              <w:bottom w:val="single" w:sz="4" w:space="0" w:color="auto"/>
              <w:right w:val="single" w:sz="4" w:space="0" w:color="auto"/>
            </w:tcBorders>
            <w:shd w:val="clear" w:color="auto" w:fill="auto"/>
            <w:noWrap/>
            <w:vAlign w:val="center"/>
            <w:hideMark/>
          </w:tcPr>
          <w:p w14:paraId="0A346E33" w14:textId="77777777" w:rsidR="00BA7C7F" w:rsidRPr="00022A0B" w:rsidRDefault="00BA7C7F" w:rsidP="00BA7C7F">
            <w:pPr>
              <w:jc w:val="right"/>
              <w:rPr>
                <w:rFonts w:ascii="Arial Narrow" w:hAnsi="Arial Narrow" w:cstheme="minorBidi"/>
                <w:b/>
                <w:color w:val="000000"/>
                <w:sz w:val="20"/>
                <w:szCs w:val="20"/>
              </w:rPr>
            </w:pPr>
            <w:r w:rsidRPr="00022A0B">
              <w:rPr>
                <w:rFonts w:ascii="Arial Narrow" w:hAnsi="Arial Narrow" w:cstheme="minorBidi"/>
                <w:color w:val="000000"/>
                <w:sz w:val="20"/>
                <w:szCs w:val="20"/>
              </w:rPr>
              <w:t>142</w:t>
            </w:r>
          </w:p>
        </w:tc>
        <w:tc>
          <w:tcPr>
            <w:tcW w:w="1652" w:type="dxa"/>
            <w:tcBorders>
              <w:top w:val="nil"/>
              <w:left w:val="nil"/>
              <w:bottom w:val="single" w:sz="4" w:space="0" w:color="auto"/>
              <w:right w:val="single" w:sz="4" w:space="0" w:color="auto"/>
            </w:tcBorders>
            <w:shd w:val="clear" w:color="auto" w:fill="auto"/>
            <w:noWrap/>
            <w:vAlign w:val="center"/>
            <w:hideMark/>
          </w:tcPr>
          <w:p w14:paraId="18744E15" w14:textId="77777777" w:rsidR="00BA7C7F" w:rsidRPr="00022A0B" w:rsidRDefault="00BA7C7F" w:rsidP="00BA7C7F">
            <w:pPr>
              <w:jc w:val="right"/>
              <w:rPr>
                <w:rFonts w:ascii="Arial Narrow" w:hAnsi="Arial Narrow" w:cstheme="minorBidi"/>
                <w:b/>
                <w:color w:val="000000"/>
                <w:sz w:val="20"/>
                <w:szCs w:val="20"/>
              </w:rPr>
            </w:pPr>
            <w:r w:rsidRPr="00022A0B">
              <w:rPr>
                <w:rFonts w:ascii="Arial Narrow" w:hAnsi="Arial Narrow" w:cstheme="minorBidi"/>
                <w:color w:val="000000"/>
                <w:sz w:val="20"/>
                <w:szCs w:val="20"/>
              </w:rPr>
              <w:t>128</w:t>
            </w:r>
          </w:p>
        </w:tc>
        <w:tc>
          <w:tcPr>
            <w:tcW w:w="1045" w:type="dxa"/>
            <w:tcBorders>
              <w:top w:val="nil"/>
              <w:left w:val="nil"/>
              <w:bottom w:val="single" w:sz="4" w:space="0" w:color="auto"/>
              <w:right w:val="single" w:sz="4" w:space="0" w:color="auto"/>
            </w:tcBorders>
            <w:shd w:val="clear" w:color="auto" w:fill="auto"/>
            <w:noWrap/>
            <w:vAlign w:val="center"/>
            <w:hideMark/>
          </w:tcPr>
          <w:p w14:paraId="40E42DE8" w14:textId="77777777" w:rsidR="00BA7C7F" w:rsidRPr="00022A0B" w:rsidRDefault="00BA7C7F" w:rsidP="00BA7C7F">
            <w:pPr>
              <w:jc w:val="center"/>
              <w:rPr>
                <w:rFonts w:ascii="Arial Narrow" w:hAnsi="Arial Narrow" w:cstheme="minorBidi"/>
                <w:b/>
                <w:color w:val="000000"/>
                <w:sz w:val="20"/>
                <w:szCs w:val="20"/>
              </w:rPr>
            </w:pPr>
            <w:r w:rsidRPr="00022A0B">
              <w:rPr>
                <w:rFonts w:ascii="Arial Narrow" w:hAnsi="Arial Narrow" w:cstheme="minorBidi"/>
                <w:color w:val="000000"/>
                <w:sz w:val="20"/>
                <w:szCs w:val="20"/>
              </w:rPr>
              <w:t>100</w:t>
            </w:r>
          </w:p>
        </w:tc>
        <w:tc>
          <w:tcPr>
            <w:tcW w:w="1045" w:type="dxa"/>
            <w:tcBorders>
              <w:top w:val="nil"/>
              <w:left w:val="nil"/>
              <w:bottom w:val="single" w:sz="4" w:space="0" w:color="auto"/>
              <w:right w:val="single" w:sz="4" w:space="0" w:color="auto"/>
            </w:tcBorders>
            <w:shd w:val="clear" w:color="auto" w:fill="auto"/>
            <w:noWrap/>
            <w:vAlign w:val="center"/>
            <w:hideMark/>
          </w:tcPr>
          <w:p w14:paraId="0CC1F28E" w14:textId="77777777" w:rsidR="00BA7C7F" w:rsidRPr="00022A0B" w:rsidRDefault="00BA7C7F" w:rsidP="00BA7C7F">
            <w:pPr>
              <w:jc w:val="center"/>
              <w:rPr>
                <w:rFonts w:ascii="Arial Narrow" w:hAnsi="Arial Narrow" w:cstheme="minorBidi"/>
                <w:b/>
                <w:color w:val="000000"/>
                <w:sz w:val="20"/>
                <w:szCs w:val="20"/>
              </w:rPr>
            </w:pPr>
            <w:r w:rsidRPr="00022A0B">
              <w:rPr>
                <w:rFonts w:ascii="Arial Narrow" w:hAnsi="Arial Narrow" w:cstheme="minorBidi"/>
                <w:color w:val="000000"/>
                <w:sz w:val="20"/>
                <w:szCs w:val="20"/>
              </w:rPr>
              <w:t>-</w:t>
            </w:r>
          </w:p>
        </w:tc>
        <w:tc>
          <w:tcPr>
            <w:tcW w:w="906" w:type="dxa"/>
            <w:tcBorders>
              <w:top w:val="nil"/>
              <w:left w:val="nil"/>
              <w:bottom w:val="single" w:sz="4" w:space="0" w:color="auto"/>
              <w:right w:val="single" w:sz="4" w:space="0" w:color="auto"/>
            </w:tcBorders>
            <w:shd w:val="clear" w:color="auto" w:fill="auto"/>
            <w:noWrap/>
            <w:vAlign w:val="center"/>
            <w:hideMark/>
          </w:tcPr>
          <w:p w14:paraId="0782D9D4" w14:textId="77777777" w:rsidR="00BA7C7F" w:rsidRPr="00022A0B" w:rsidRDefault="00BA7C7F" w:rsidP="00BA7C7F">
            <w:pPr>
              <w:jc w:val="center"/>
              <w:rPr>
                <w:rFonts w:ascii="Arial Narrow" w:hAnsi="Arial Narrow" w:cstheme="minorBidi"/>
                <w:b/>
                <w:color w:val="000000"/>
                <w:sz w:val="20"/>
                <w:szCs w:val="20"/>
              </w:rPr>
            </w:pPr>
            <w:r w:rsidRPr="00022A0B">
              <w:rPr>
                <w:rFonts w:ascii="Arial Narrow" w:hAnsi="Arial Narrow" w:cstheme="minorBidi"/>
                <w:color w:val="000000"/>
                <w:sz w:val="20"/>
                <w:szCs w:val="20"/>
              </w:rPr>
              <w:t>-</w:t>
            </w:r>
          </w:p>
        </w:tc>
        <w:tc>
          <w:tcPr>
            <w:tcW w:w="1801" w:type="dxa"/>
            <w:tcBorders>
              <w:top w:val="nil"/>
              <w:left w:val="nil"/>
              <w:bottom w:val="single" w:sz="4" w:space="0" w:color="auto"/>
              <w:right w:val="single" w:sz="4" w:space="0" w:color="auto"/>
            </w:tcBorders>
            <w:shd w:val="clear" w:color="auto" w:fill="auto"/>
            <w:noWrap/>
            <w:vAlign w:val="center"/>
            <w:hideMark/>
          </w:tcPr>
          <w:p w14:paraId="41EB3BE2" w14:textId="77777777" w:rsidR="00BA7C7F" w:rsidRPr="00022A0B" w:rsidRDefault="00BA7C7F" w:rsidP="00BA7C7F">
            <w:pPr>
              <w:jc w:val="right"/>
              <w:rPr>
                <w:rFonts w:ascii="Arial Narrow" w:hAnsi="Arial Narrow" w:cstheme="minorBidi"/>
                <w:b/>
                <w:color w:val="000000"/>
                <w:sz w:val="20"/>
                <w:szCs w:val="20"/>
              </w:rPr>
            </w:pPr>
            <w:r w:rsidRPr="00022A0B">
              <w:rPr>
                <w:rFonts w:ascii="Arial Narrow" w:hAnsi="Arial Narrow" w:cstheme="minorBidi"/>
                <w:color w:val="000000"/>
                <w:sz w:val="20"/>
                <w:szCs w:val="20"/>
              </w:rPr>
              <w:t>248 136</w:t>
            </w:r>
          </w:p>
        </w:tc>
      </w:tr>
      <w:tr w:rsidR="00BA7C7F" w:rsidRPr="00C57ABA" w14:paraId="2057A7BC" w14:textId="77777777" w:rsidTr="00B37935">
        <w:trPr>
          <w:trHeight w:val="300"/>
        </w:trPr>
        <w:tc>
          <w:tcPr>
            <w:tcW w:w="1724" w:type="dxa"/>
            <w:tcBorders>
              <w:top w:val="nil"/>
              <w:left w:val="single" w:sz="4" w:space="0" w:color="auto"/>
              <w:bottom w:val="single" w:sz="4" w:space="0" w:color="auto"/>
              <w:right w:val="single" w:sz="4" w:space="0" w:color="auto"/>
            </w:tcBorders>
            <w:shd w:val="clear" w:color="auto" w:fill="auto"/>
            <w:noWrap/>
            <w:vAlign w:val="center"/>
            <w:hideMark/>
          </w:tcPr>
          <w:p w14:paraId="5C29367F" w14:textId="77777777" w:rsidR="00BA7C7F" w:rsidRPr="00022A0B" w:rsidRDefault="00BA7C7F" w:rsidP="00BA7C7F">
            <w:pPr>
              <w:rPr>
                <w:rFonts w:ascii="Arial Narrow" w:hAnsi="Arial Narrow" w:cstheme="minorBidi"/>
                <w:b/>
                <w:color w:val="000000"/>
                <w:sz w:val="20"/>
                <w:szCs w:val="20"/>
              </w:rPr>
            </w:pPr>
            <w:r w:rsidRPr="00022A0B">
              <w:rPr>
                <w:rFonts w:ascii="Arial Narrow" w:hAnsi="Arial Narrow" w:cstheme="minorBidi"/>
                <w:color w:val="000000"/>
                <w:sz w:val="20"/>
                <w:szCs w:val="20"/>
              </w:rPr>
              <w:t>Еко-РОК</w:t>
            </w:r>
          </w:p>
        </w:tc>
        <w:tc>
          <w:tcPr>
            <w:tcW w:w="1801" w:type="dxa"/>
            <w:tcBorders>
              <w:top w:val="nil"/>
              <w:left w:val="nil"/>
              <w:bottom w:val="single" w:sz="4" w:space="0" w:color="auto"/>
              <w:right w:val="single" w:sz="4" w:space="0" w:color="auto"/>
            </w:tcBorders>
            <w:shd w:val="clear" w:color="auto" w:fill="auto"/>
            <w:noWrap/>
            <w:vAlign w:val="center"/>
            <w:hideMark/>
          </w:tcPr>
          <w:p w14:paraId="341C8F90" w14:textId="77777777" w:rsidR="00BA7C7F" w:rsidRPr="00022A0B" w:rsidRDefault="00BA7C7F" w:rsidP="00BA7C7F">
            <w:pPr>
              <w:jc w:val="right"/>
              <w:rPr>
                <w:rFonts w:ascii="Arial Narrow" w:hAnsi="Arial Narrow" w:cstheme="minorBidi"/>
                <w:b/>
                <w:color w:val="000000"/>
                <w:sz w:val="20"/>
                <w:szCs w:val="20"/>
              </w:rPr>
            </w:pPr>
            <w:r w:rsidRPr="00022A0B">
              <w:rPr>
                <w:rFonts w:ascii="Arial Narrow" w:hAnsi="Arial Narrow" w:cstheme="minorBidi"/>
                <w:color w:val="000000"/>
                <w:sz w:val="20"/>
                <w:szCs w:val="20"/>
              </w:rPr>
              <w:t>19 552</w:t>
            </w:r>
          </w:p>
        </w:tc>
        <w:tc>
          <w:tcPr>
            <w:tcW w:w="1652" w:type="dxa"/>
            <w:tcBorders>
              <w:top w:val="nil"/>
              <w:left w:val="nil"/>
              <w:bottom w:val="single" w:sz="4" w:space="0" w:color="auto"/>
              <w:right w:val="single" w:sz="4" w:space="0" w:color="auto"/>
            </w:tcBorders>
            <w:shd w:val="clear" w:color="auto" w:fill="auto"/>
            <w:noWrap/>
            <w:vAlign w:val="center"/>
            <w:hideMark/>
          </w:tcPr>
          <w:p w14:paraId="46BC5098" w14:textId="77777777" w:rsidR="00BA7C7F" w:rsidRPr="00022A0B" w:rsidRDefault="00BA7C7F" w:rsidP="00BA7C7F">
            <w:pPr>
              <w:jc w:val="right"/>
              <w:rPr>
                <w:rFonts w:ascii="Arial Narrow" w:hAnsi="Arial Narrow" w:cstheme="minorBidi"/>
                <w:b/>
                <w:color w:val="000000"/>
                <w:sz w:val="20"/>
                <w:szCs w:val="20"/>
              </w:rPr>
            </w:pPr>
            <w:r w:rsidRPr="00022A0B">
              <w:rPr>
                <w:rFonts w:ascii="Arial Narrow" w:hAnsi="Arial Narrow" w:cstheme="minorBidi"/>
                <w:color w:val="000000"/>
                <w:sz w:val="20"/>
                <w:szCs w:val="20"/>
              </w:rPr>
              <w:t>19 535</w:t>
            </w:r>
          </w:p>
        </w:tc>
        <w:tc>
          <w:tcPr>
            <w:tcW w:w="1045" w:type="dxa"/>
            <w:tcBorders>
              <w:top w:val="nil"/>
              <w:left w:val="nil"/>
              <w:bottom w:val="single" w:sz="4" w:space="0" w:color="auto"/>
              <w:right w:val="single" w:sz="4" w:space="0" w:color="auto"/>
            </w:tcBorders>
            <w:shd w:val="clear" w:color="auto" w:fill="auto"/>
            <w:noWrap/>
            <w:vAlign w:val="center"/>
            <w:hideMark/>
          </w:tcPr>
          <w:p w14:paraId="416CA36C" w14:textId="77777777" w:rsidR="00BA7C7F" w:rsidRPr="00022A0B" w:rsidRDefault="00BA7C7F" w:rsidP="00BA7C7F">
            <w:pPr>
              <w:jc w:val="center"/>
              <w:rPr>
                <w:rFonts w:ascii="Arial Narrow" w:hAnsi="Arial Narrow" w:cstheme="minorBidi"/>
                <w:b/>
                <w:color w:val="000000"/>
                <w:sz w:val="20"/>
                <w:szCs w:val="20"/>
              </w:rPr>
            </w:pPr>
            <w:r w:rsidRPr="00022A0B">
              <w:rPr>
                <w:rFonts w:ascii="Arial Narrow" w:hAnsi="Arial Narrow" w:cstheme="minorBidi"/>
                <w:color w:val="000000"/>
                <w:sz w:val="20"/>
                <w:szCs w:val="20"/>
              </w:rPr>
              <w:t>100</w:t>
            </w:r>
          </w:p>
        </w:tc>
        <w:tc>
          <w:tcPr>
            <w:tcW w:w="1045" w:type="dxa"/>
            <w:tcBorders>
              <w:top w:val="nil"/>
              <w:left w:val="nil"/>
              <w:bottom w:val="single" w:sz="4" w:space="0" w:color="auto"/>
              <w:right w:val="single" w:sz="4" w:space="0" w:color="auto"/>
            </w:tcBorders>
            <w:shd w:val="clear" w:color="auto" w:fill="auto"/>
            <w:noWrap/>
            <w:vAlign w:val="center"/>
            <w:hideMark/>
          </w:tcPr>
          <w:p w14:paraId="7FC635A8" w14:textId="77777777" w:rsidR="00BA7C7F" w:rsidRPr="00022A0B" w:rsidRDefault="00BA7C7F" w:rsidP="00BA7C7F">
            <w:pPr>
              <w:jc w:val="center"/>
              <w:rPr>
                <w:rFonts w:ascii="Arial Narrow" w:hAnsi="Arial Narrow" w:cstheme="minorBidi"/>
                <w:b/>
                <w:color w:val="000000"/>
                <w:sz w:val="20"/>
                <w:szCs w:val="20"/>
              </w:rPr>
            </w:pPr>
            <w:r w:rsidRPr="00022A0B">
              <w:rPr>
                <w:rFonts w:ascii="Arial Narrow" w:hAnsi="Arial Narrow" w:cstheme="minorBidi"/>
                <w:color w:val="000000"/>
                <w:sz w:val="20"/>
                <w:szCs w:val="20"/>
              </w:rPr>
              <w:t>-</w:t>
            </w:r>
          </w:p>
        </w:tc>
        <w:tc>
          <w:tcPr>
            <w:tcW w:w="906" w:type="dxa"/>
            <w:tcBorders>
              <w:top w:val="nil"/>
              <w:left w:val="nil"/>
              <w:bottom w:val="single" w:sz="4" w:space="0" w:color="auto"/>
              <w:right w:val="single" w:sz="4" w:space="0" w:color="auto"/>
            </w:tcBorders>
            <w:shd w:val="clear" w:color="auto" w:fill="auto"/>
            <w:noWrap/>
            <w:vAlign w:val="center"/>
            <w:hideMark/>
          </w:tcPr>
          <w:p w14:paraId="72055C8C" w14:textId="77777777" w:rsidR="00BA7C7F" w:rsidRPr="00022A0B" w:rsidRDefault="00BA7C7F" w:rsidP="00BA7C7F">
            <w:pPr>
              <w:jc w:val="center"/>
              <w:rPr>
                <w:rFonts w:ascii="Arial Narrow" w:hAnsi="Arial Narrow" w:cstheme="minorBidi"/>
                <w:b/>
                <w:color w:val="000000"/>
                <w:sz w:val="20"/>
                <w:szCs w:val="20"/>
              </w:rPr>
            </w:pPr>
            <w:r w:rsidRPr="00022A0B">
              <w:rPr>
                <w:rFonts w:ascii="Arial Narrow" w:hAnsi="Arial Narrow" w:cstheme="minorBidi"/>
                <w:color w:val="000000"/>
                <w:sz w:val="20"/>
                <w:szCs w:val="20"/>
              </w:rPr>
              <w:t>-</w:t>
            </w:r>
          </w:p>
        </w:tc>
        <w:tc>
          <w:tcPr>
            <w:tcW w:w="1801" w:type="dxa"/>
            <w:tcBorders>
              <w:top w:val="nil"/>
              <w:left w:val="nil"/>
              <w:bottom w:val="single" w:sz="4" w:space="0" w:color="auto"/>
              <w:right w:val="single" w:sz="4" w:space="0" w:color="auto"/>
            </w:tcBorders>
            <w:shd w:val="clear" w:color="auto" w:fill="auto"/>
            <w:noWrap/>
            <w:vAlign w:val="center"/>
            <w:hideMark/>
          </w:tcPr>
          <w:p w14:paraId="52BC6410" w14:textId="77777777" w:rsidR="00BA7C7F" w:rsidRPr="00022A0B" w:rsidRDefault="00BA7C7F" w:rsidP="00BA7C7F">
            <w:pPr>
              <w:jc w:val="right"/>
              <w:rPr>
                <w:rFonts w:ascii="Arial Narrow" w:hAnsi="Arial Narrow" w:cstheme="minorBidi"/>
                <w:b/>
                <w:color w:val="000000"/>
                <w:sz w:val="20"/>
                <w:szCs w:val="20"/>
              </w:rPr>
            </w:pPr>
            <w:r w:rsidRPr="00022A0B">
              <w:rPr>
                <w:rFonts w:ascii="Arial Narrow" w:hAnsi="Arial Narrow" w:cstheme="minorBidi"/>
                <w:color w:val="000000"/>
                <w:sz w:val="20"/>
                <w:szCs w:val="20"/>
              </w:rPr>
              <w:t>80 432 866</w:t>
            </w:r>
          </w:p>
        </w:tc>
      </w:tr>
      <w:tr w:rsidR="00BA7C7F" w:rsidRPr="00C57ABA" w14:paraId="39031A45" w14:textId="77777777" w:rsidTr="00B37935">
        <w:trPr>
          <w:trHeight w:val="300"/>
        </w:trPr>
        <w:tc>
          <w:tcPr>
            <w:tcW w:w="1724" w:type="dxa"/>
            <w:tcBorders>
              <w:top w:val="nil"/>
              <w:left w:val="single" w:sz="4" w:space="0" w:color="auto"/>
              <w:bottom w:val="single" w:sz="4" w:space="0" w:color="auto"/>
              <w:right w:val="single" w:sz="4" w:space="0" w:color="auto"/>
            </w:tcBorders>
            <w:shd w:val="clear" w:color="auto" w:fill="auto"/>
            <w:noWrap/>
            <w:vAlign w:val="center"/>
            <w:hideMark/>
          </w:tcPr>
          <w:p w14:paraId="5DCA9CAE" w14:textId="77777777" w:rsidR="00BA7C7F" w:rsidRPr="00022A0B" w:rsidRDefault="00BA7C7F" w:rsidP="00BA7C7F">
            <w:pPr>
              <w:rPr>
                <w:rFonts w:ascii="Arial Narrow" w:hAnsi="Arial Narrow" w:cstheme="minorBidi"/>
                <w:b/>
                <w:color w:val="000000"/>
                <w:sz w:val="20"/>
                <w:szCs w:val="20"/>
              </w:rPr>
            </w:pPr>
            <w:r w:rsidRPr="00022A0B">
              <w:rPr>
                <w:rFonts w:ascii="Arial Narrow" w:hAnsi="Arial Narrow" w:cstheme="minorBidi"/>
                <w:color w:val="000000"/>
                <w:sz w:val="20"/>
                <w:szCs w:val="20"/>
              </w:rPr>
              <w:t>МлК</w:t>
            </w:r>
          </w:p>
        </w:tc>
        <w:tc>
          <w:tcPr>
            <w:tcW w:w="1801" w:type="dxa"/>
            <w:tcBorders>
              <w:top w:val="nil"/>
              <w:left w:val="nil"/>
              <w:bottom w:val="single" w:sz="4" w:space="0" w:color="auto"/>
              <w:right w:val="single" w:sz="4" w:space="0" w:color="auto"/>
            </w:tcBorders>
            <w:shd w:val="clear" w:color="auto" w:fill="auto"/>
            <w:noWrap/>
            <w:vAlign w:val="center"/>
            <w:hideMark/>
          </w:tcPr>
          <w:p w14:paraId="40E9A0B1" w14:textId="77777777" w:rsidR="00BA7C7F" w:rsidRPr="00022A0B" w:rsidRDefault="00BA7C7F" w:rsidP="00BA7C7F">
            <w:pPr>
              <w:jc w:val="right"/>
              <w:rPr>
                <w:rFonts w:ascii="Arial Narrow" w:hAnsi="Arial Narrow" w:cstheme="minorBidi"/>
                <w:b/>
                <w:color w:val="000000"/>
                <w:sz w:val="20"/>
                <w:szCs w:val="20"/>
              </w:rPr>
            </w:pPr>
            <w:r w:rsidRPr="00022A0B">
              <w:rPr>
                <w:rFonts w:ascii="Arial Narrow" w:hAnsi="Arial Narrow" w:cstheme="minorBidi"/>
                <w:color w:val="000000"/>
                <w:sz w:val="20"/>
                <w:szCs w:val="20"/>
              </w:rPr>
              <w:t>2 694</w:t>
            </w:r>
          </w:p>
        </w:tc>
        <w:tc>
          <w:tcPr>
            <w:tcW w:w="1652" w:type="dxa"/>
            <w:tcBorders>
              <w:top w:val="nil"/>
              <w:left w:val="nil"/>
              <w:bottom w:val="single" w:sz="4" w:space="0" w:color="auto"/>
              <w:right w:val="single" w:sz="4" w:space="0" w:color="auto"/>
            </w:tcBorders>
            <w:shd w:val="clear" w:color="auto" w:fill="auto"/>
            <w:noWrap/>
            <w:vAlign w:val="center"/>
            <w:hideMark/>
          </w:tcPr>
          <w:p w14:paraId="5DC68C34" w14:textId="77777777" w:rsidR="00BA7C7F" w:rsidRPr="00022A0B" w:rsidRDefault="00BA7C7F" w:rsidP="00BA7C7F">
            <w:pPr>
              <w:jc w:val="right"/>
              <w:rPr>
                <w:rFonts w:ascii="Arial Narrow" w:hAnsi="Arial Narrow" w:cstheme="minorBidi"/>
                <w:b/>
                <w:color w:val="000000"/>
                <w:sz w:val="20"/>
                <w:szCs w:val="20"/>
              </w:rPr>
            </w:pPr>
            <w:r w:rsidRPr="00022A0B">
              <w:rPr>
                <w:rFonts w:ascii="Arial Narrow" w:hAnsi="Arial Narrow" w:cstheme="minorBidi"/>
                <w:color w:val="000000"/>
                <w:sz w:val="20"/>
                <w:szCs w:val="20"/>
              </w:rPr>
              <w:t>2 667</w:t>
            </w:r>
          </w:p>
        </w:tc>
        <w:tc>
          <w:tcPr>
            <w:tcW w:w="1045" w:type="dxa"/>
            <w:tcBorders>
              <w:top w:val="nil"/>
              <w:left w:val="nil"/>
              <w:bottom w:val="single" w:sz="4" w:space="0" w:color="auto"/>
              <w:right w:val="single" w:sz="4" w:space="0" w:color="auto"/>
            </w:tcBorders>
            <w:shd w:val="clear" w:color="auto" w:fill="auto"/>
            <w:noWrap/>
            <w:vAlign w:val="center"/>
            <w:hideMark/>
          </w:tcPr>
          <w:p w14:paraId="24FD81EE" w14:textId="77777777" w:rsidR="00BA7C7F" w:rsidRPr="00022A0B" w:rsidRDefault="00BA7C7F" w:rsidP="00BA7C7F">
            <w:pPr>
              <w:jc w:val="center"/>
              <w:rPr>
                <w:rFonts w:ascii="Arial Narrow" w:hAnsi="Arial Narrow" w:cstheme="minorBidi"/>
                <w:b/>
                <w:color w:val="000000"/>
                <w:sz w:val="20"/>
                <w:szCs w:val="20"/>
              </w:rPr>
            </w:pPr>
            <w:r w:rsidRPr="00022A0B">
              <w:rPr>
                <w:rFonts w:ascii="Arial Narrow" w:hAnsi="Arial Narrow" w:cstheme="minorBidi"/>
                <w:color w:val="000000"/>
                <w:sz w:val="20"/>
                <w:szCs w:val="20"/>
              </w:rPr>
              <w:t>100</w:t>
            </w:r>
          </w:p>
        </w:tc>
        <w:tc>
          <w:tcPr>
            <w:tcW w:w="1045" w:type="dxa"/>
            <w:tcBorders>
              <w:top w:val="nil"/>
              <w:left w:val="nil"/>
              <w:bottom w:val="single" w:sz="4" w:space="0" w:color="auto"/>
              <w:right w:val="single" w:sz="4" w:space="0" w:color="auto"/>
            </w:tcBorders>
            <w:shd w:val="clear" w:color="auto" w:fill="auto"/>
            <w:noWrap/>
            <w:vAlign w:val="center"/>
            <w:hideMark/>
          </w:tcPr>
          <w:p w14:paraId="2C6E558A" w14:textId="77777777" w:rsidR="00BA7C7F" w:rsidRPr="00022A0B" w:rsidRDefault="00BA7C7F" w:rsidP="00BA7C7F">
            <w:pPr>
              <w:jc w:val="center"/>
              <w:rPr>
                <w:rFonts w:ascii="Arial Narrow" w:hAnsi="Arial Narrow" w:cstheme="minorBidi"/>
                <w:b/>
                <w:color w:val="000000"/>
                <w:sz w:val="20"/>
                <w:szCs w:val="20"/>
              </w:rPr>
            </w:pPr>
            <w:r w:rsidRPr="00022A0B">
              <w:rPr>
                <w:rFonts w:ascii="Arial Narrow" w:hAnsi="Arial Narrow" w:cstheme="minorBidi"/>
                <w:color w:val="000000"/>
                <w:sz w:val="20"/>
                <w:szCs w:val="20"/>
              </w:rPr>
              <w:t>-</w:t>
            </w:r>
          </w:p>
        </w:tc>
        <w:tc>
          <w:tcPr>
            <w:tcW w:w="906" w:type="dxa"/>
            <w:tcBorders>
              <w:top w:val="nil"/>
              <w:left w:val="nil"/>
              <w:bottom w:val="single" w:sz="4" w:space="0" w:color="auto"/>
              <w:right w:val="single" w:sz="4" w:space="0" w:color="auto"/>
            </w:tcBorders>
            <w:shd w:val="clear" w:color="auto" w:fill="auto"/>
            <w:noWrap/>
            <w:vAlign w:val="center"/>
            <w:hideMark/>
          </w:tcPr>
          <w:p w14:paraId="1FD44CF3" w14:textId="77777777" w:rsidR="00BA7C7F" w:rsidRPr="00022A0B" w:rsidRDefault="00BA7C7F" w:rsidP="00BA7C7F">
            <w:pPr>
              <w:jc w:val="center"/>
              <w:rPr>
                <w:rFonts w:ascii="Arial Narrow" w:hAnsi="Arial Narrow" w:cstheme="minorBidi"/>
                <w:b/>
                <w:color w:val="000000"/>
                <w:sz w:val="20"/>
                <w:szCs w:val="20"/>
              </w:rPr>
            </w:pPr>
            <w:r w:rsidRPr="00022A0B">
              <w:rPr>
                <w:rFonts w:ascii="Arial Narrow" w:hAnsi="Arial Narrow" w:cstheme="minorBidi"/>
                <w:color w:val="000000"/>
                <w:sz w:val="20"/>
                <w:szCs w:val="20"/>
              </w:rPr>
              <w:t>-</w:t>
            </w:r>
          </w:p>
        </w:tc>
        <w:tc>
          <w:tcPr>
            <w:tcW w:w="1801" w:type="dxa"/>
            <w:tcBorders>
              <w:top w:val="nil"/>
              <w:left w:val="nil"/>
              <w:bottom w:val="single" w:sz="4" w:space="0" w:color="auto"/>
              <w:right w:val="single" w:sz="4" w:space="0" w:color="auto"/>
            </w:tcBorders>
            <w:shd w:val="clear" w:color="auto" w:fill="auto"/>
            <w:noWrap/>
            <w:vAlign w:val="center"/>
            <w:hideMark/>
          </w:tcPr>
          <w:p w14:paraId="2E98DA80" w14:textId="77777777" w:rsidR="00BA7C7F" w:rsidRPr="00022A0B" w:rsidRDefault="00BA7C7F" w:rsidP="00BA7C7F">
            <w:pPr>
              <w:jc w:val="right"/>
              <w:rPr>
                <w:rFonts w:ascii="Arial Narrow" w:hAnsi="Arial Narrow" w:cstheme="minorBidi"/>
                <w:b/>
                <w:color w:val="000000"/>
                <w:sz w:val="20"/>
                <w:szCs w:val="20"/>
              </w:rPr>
            </w:pPr>
            <w:r w:rsidRPr="00022A0B">
              <w:rPr>
                <w:rFonts w:ascii="Arial Narrow" w:hAnsi="Arial Narrow" w:cstheme="minorBidi"/>
                <w:color w:val="000000"/>
                <w:sz w:val="20"/>
                <w:szCs w:val="20"/>
              </w:rPr>
              <w:t>20 765 269</w:t>
            </w:r>
          </w:p>
        </w:tc>
      </w:tr>
      <w:tr w:rsidR="00BA7C7F" w:rsidRPr="00C57ABA" w14:paraId="1BAD23F8" w14:textId="77777777" w:rsidTr="00B37935">
        <w:trPr>
          <w:trHeight w:val="300"/>
        </w:trPr>
        <w:tc>
          <w:tcPr>
            <w:tcW w:w="1724" w:type="dxa"/>
            <w:tcBorders>
              <w:top w:val="nil"/>
              <w:left w:val="single" w:sz="4" w:space="0" w:color="auto"/>
              <w:bottom w:val="single" w:sz="4" w:space="0" w:color="auto"/>
              <w:right w:val="single" w:sz="4" w:space="0" w:color="auto"/>
            </w:tcBorders>
            <w:shd w:val="clear" w:color="auto" w:fill="auto"/>
            <w:noWrap/>
            <w:vAlign w:val="center"/>
            <w:hideMark/>
          </w:tcPr>
          <w:p w14:paraId="4713A4A1" w14:textId="77777777" w:rsidR="00BA7C7F" w:rsidRPr="00022A0B" w:rsidRDefault="00BA7C7F" w:rsidP="00BA7C7F">
            <w:pPr>
              <w:rPr>
                <w:rFonts w:ascii="Arial Narrow" w:hAnsi="Arial Narrow" w:cstheme="minorBidi"/>
                <w:b/>
                <w:color w:val="000000"/>
                <w:sz w:val="20"/>
                <w:szCs w:val="20"/>
              </w:rPr>
            </w:pPr>
            <w:r w:rsidRPr="00022A0B">
              <w:rPr>
                <w:rFonts w:ascii="Arial Narrow" w:hAnsi="Arial Narrow" w:cstheme="minorBidi"/>
                <w:color w:val="000000"/>
                <w:sz w:val="20"/>
                <w:szCs w:val="20"/>
              </w:rPr>
              <w:t>МлК-РП</w:t>
            </w:r>
          </w:p>
        </w:tc>
        <w:tc>
          <w:tcPr>
            <w:tcW w:w="1801" w:type="dxa"/>
            <w:tcBorders>
              <w:top w:val="nil"/>
              <w:left w:val="nil"/>
              <w:bottom w:val="single" w:sz="4" w:space="0" w:color="auto"/>
              <w:right w:val="single" w:sz="4" w:space="0" w:color="auto"/>
            </w:tcBorders>
            <w:shd w:val="clear" w:color="auto" w:fill="auto"/>
            <w:noWrap/>
            <w:vAlign w:val="center"/>
            <w:hideMark/>
          </w:tcPr>
          <w:p w14:paraId="579F8CFA" w14:textId="77777777" w:rsidR="00BA7C7F" w:rsidRPr="00022A0B" w:rsidRDefault="00BA7C7F" w:rsidP="00BA7C7F">
            <w:pPr>
              <w:jc w:val="right"/>
              <w:rPr>
                <w:rFonts w:ascii="Arial Narrow" w:hAnsi="Arial Narrow" w:cstheme="minorBidi"/>
                <w:b/>
                <w:color w:val="000000"/>
                <w:sz w:val="20"/>
                <w:szCs w:val="20"/>
              </w:rPr>
            </w:pPr>
            <w:r w:rsidRPr="00022A0B">
              <w:rPr>
                <w:rFonts w:ascii="Arial Narrow" w:hAnsi="Arial Narrow" w:cstheme="minorBidi"/>
                <w:color w:val="000000"/>
                <w:sz w:val="20"/>
                <w:szCs w:val="20"/>
              </w:rPr>
              <w:t>741</w:t>
            </w:r>
          </w:p>
        </w:tc>
        <w:tc>
          <w:tcPr>
            <w:tcW w:w="1652" w:type="dxa"/>
            <w:tcBorders>
              <w:top w:val="nil"/>
              <w:left w:val="nil"/>
              <w:bottom w:val="single" w:sz="4" w:space="0" w:color="auto"/>
              <w:right w:val="single" w:sz="4" w:space="0" w:color="auto"/>
            </w:tcBorders>
            <w:shd w:val="clear" w:color="auto" w:fill="auto"/>
            <w:noWrap/>
            <w:vAlign w:val="center"/>
            <w:hideMark/>
          </w:tcPr>
          <w:p w14:paraId="1EF04085" w14:textId="77777777" w:rsidR="00BA7C7F" w:rsidRPr="00022A0B" w:rsidRDefault="00BA7C7F" w:rsidP="00BA7C7F">
            <w:pPr>
              <w:jc w:val="right"/>
              <w:rPr>
                <w:rFonts w:ascii="Arial Narrow" w:hAnsi="Arial Narrow" w:cstheme="minorBidi"/>
                <w:b/>
                <w:color w:val="000000"/>
                <w:sz w:val="20"/>
                <w:szCs w:val="20"/>
              </w:rPr>
            </w:pPr>
            <w:r w:rsidRPr="00022A0B">
              <w:rPr>
                <w:rFonts w:ascii="Arial Narrow" w:hAnsi="Arial Narrow" w:cstheme="minorBidi"/>
                <w:color w:val="000000"/>
                <w:sz w:val="20"/>
                <w:szCs w:val="20"/>
              </w:rPr>
              <w:t>735</w:t>
            </w:r>
          </w:p>
        </w:tc>
        <w:tc>
          <w:tcPr>
            <w:tcW w:w="1045" w:type="dxa"/>
            <w:tcBorders>
              <w:top w:val="nil"/>
              <w:left w:val="nil"/>
              <w:bottom w:val="single" w:sz="4" w:space="0" w:color="auto"/>
              <w:right w:val="single" w:sz="4" w:space="0" w:color="auto"/>
            </w:tcBorders>
            <w:shd w:val="clear" w:color="auto" w:fill="auto"/>
            <w:noWrap/>
            <w:vAlign w:val="center"/>
            <w:hideMark/>
          </w:tcPr>
          <w:p w14:paraId="01E7DECD" w14:textId="77777777" w:rsidR="00BA7C7F" w:rsidRPr="00022A0B" w:rsidRDefault="00BA7C7F" w:rsidP="00BA7C7F">
            <w:pPr>
              <w:jc w:val="center"/>
              <w:rPr>
                <w:rFonts w:ascii="Arial Narrow" w:hAnsi="Arial Narrow" w:cstheme="minorBidi"/>
                <w:b/>
                <w:color w:val="000000"/>
                <w:sz w:val="20"/>
                <w:szCs w:val="20"/>
              </w:rPr>
            </w:pPr>
            <w:r w:rsidRPr="00022A0B">
              <w:rPr>
                <w:rFonts w:ascii="Arial Narrow" w:hAnsi="Arial Narrow" w:cstheme="minorBidi"/>
                <w:color w:val="000000"/>
                <w:sz w:val="20"/>
                <w:szCs w:val="20"/>
              </w:rPr>
              <w:t>100</w:t>
            </w:r>
          </w:p>
        </w:tc>
        <w:tc>
          <w:tcPr>
            <w:tcW w:w="1045" w:type="dxa"/>
            <w:tcBorders>
              <w:top w:val="nil"/>
              <w:left w:val="nil"/>
              <w:bottom w:val="single" w:sz="4" w:space="0" w:color="auto"/>
              <w:right w:val="single" w:sz="4" w:space="0" w:color="auto"/>
            </w:tcBorders>
            <w:shd w:val="clear" w:color="auto" w:fill="auto"/>
            <w:noWrap/>
            <w:vAlign w:val="center"/>
            <w:hideMark/>
          </w:tcPr>
          <w:p w14:paraId="375AFF98" w14:textId="77777777" w:rsidR="00BA7C7F" w:rsidRPr="00022A0B" w:rsidRDefault="00BA7C7F" w:rsidP="00BA7C7F">
            <w:pPr>
              <w:jc w:val="center"/>
              <w:rPr>
                <w:rFonts w:ascii="Arial Narrow" w:hAnsi="Arial Narrow" w:cstheme="minorBidi"/>
                <w:b/>
                <w:color w:val="000000"/>
                <w:sz w:val="20"/>
                <w:szCs w:val="20"/>
              </w:rPr>
            </w:pPr>
            <w:r w:rsidRPr="00022A0B">
              <w:rPr>
                <w:rFonts w:ascii="Arial Narrow" w:hAnsi="Arial Narrow" w:cstheme="minorBidi"/>
                <w:color w:val="000000"/>
                <w:sz w:val="20"/>
                <w:szCs w:val="20"/>
              </w:rPr>
              <w:t>-</w:t>
            </w:r>
          </w:p>
        </w:tc>
        <w:tc>
          <w:tcPr>
            <w:tcW w:w="906" w:type="dxa"/>
            <w:tcBorders>
              <w:top w:val="nil"/>
              <w:left w:val="nil"/>
              <w:bottom w:val="single" w:sz="4" w:space="0" w:color="auto"/>
              <w:right w:val="single" w:sz="4" w:space="0" w:color="auto"/>
            </w:tcBorders>
            <w:shd w:val="clear" w:color="auto" w:fill="auto"/>
            <w:noWrap/>
            <w:vAlign w:val="center"/>
            <w:hideMark/>
          </w:tcPr>
          <w:p w14:paraId="390C28A3" w14:textId="77777777" w:rsidR="00BA7C7F" w:rsidRPr="00022A0B" w:rsidRDefault="00BA7C7F" w:rsidP="00BA7C7F">
            <w:pPr>
              <w:jc w:val="center"/>
              <w:rPr>
                <w:rFonts w:ascii="Arial Narrow" w:hAnsi="Arial Narrow" w:cstheme="minorBidi"/>
                <w:b/>
                <w:color w:val="000000"/>
                <w:sz w:val="20"/>
                <w:szCs w:val="20"/>
              </w:rPr>
            </w:pPr>
            <w:r w:rsidRPr="00022A0B">
              <w:rPr>
                <w:rFonts w:ascii="Arial Narrow" w:hAnsi="Arial Narrow" w:cstheme="minorBidi"/>
                <w:color w:val="000000"/>
                <w:sz w:val="20"/>
                <w:szCs w:val="20"/>
              </w:rPr>
              <w:t>-</w:t>
            </w:r>
          </w:p>
        </w:tc>
        <w:tc>
          <w:tcPr>
            <w:tcW w:w="1801" w:type="dxa"/>
            <w:tcBorders>
              <w:top w:val="nil"/>
              <w:left w:val="nil"/>
              <w:bottom w:val="single" w:sz="4" w:space="0" w:color="auto"/>
              <w:right w:val="single" w:sz="4" w:space="0" w:color="auto"/>
            </w:tcBorders>
            <w:shd w:val="clear" w:color="auto" w:fill="auto"/>
            <w:noWrap/>
            <w:vAlign w:val="center"/>
            <w:hideMark/>
          </w:tcPr>
          <w:p w14:paraId="227FCB76" w14:textId="77777777" w:rsidR="00BA7C7F" w:rsidRPr="00022A0B" w:rsidRDefault="00BA7C7F" w:rsidP="00BA7C7F">
            <w:pPr>
              <w:jc w:val="right"/>
              <w:rPr>
                <w:rFonts w:ascii="Arial Narrow" w:hAnsi="Arial Narrow" w:cstheme="minorBidi"/>
                <w:b/>
                <w:color w:val="000000"/>
                <w:sz w:val="20"/>
                <w:szCs w:val="20"/>
              </w:rPr>
            </w:pPr>
            <w:r w:rsidRPr="00022A0B">
              <w:rPr>
                <w:rFonts w:ascii="Arial Narrow" w:hAnsi="Arial Narrow" w:cstheme="minorBidi"/>
                <w:color w:val="000000"/>
                <w:sz w:val="20"/>
                <w:szCs w:val="20"/>
              </w:rPr>
              <w:t>32 706 638</w:t>
            </w:r>
          </w:p>
        </w:tc>
      </w:tr>
      <w:tr w:rsidR="00BA7C7F" w:rsidRPr="00C57ABA" w14:paraId="7E5A67B0" w14:textId="77777777" w:rsidTr="00B37935">
        <w:trPr>
          <w:trHeight w:val="300"/>
        </w:trPr>
        <w:tc>
          <w:tcPr>
            <w:tcW w:w="1724" w:type="dxa"/>
            <w:tcBorders>
              <w:top w:val="nil"/>
              <w:left w:val="single" w:sz="4" w:space="0" w:color="auto"/>
              <w:bottom w:val="single" w:sz="4" w:space="0" w:color="auto"/>
              <w:right w:val="single" w:sz="4" w:space="0" w:color="auto"/>
            </w:tcBorders>
            <w:shd w:val="clear" w:color="auto" w:fill="auto"/>
            <w:noWrap/>
            <w:vAlign w:val="center"/>
            <w:hideMark/>
          </w:tcPr>
          <w:p w14:paraId="5C499A1D" w14:textId="77777777" w:rsidR="00BA7C7F" w:rsidRPr="00022A0B" w:rsidRDefault="00BA7C7F" w:rsidP="00BA7C7F">
            <w:pPr>
              <w:rPr>
                <w:rFonts w:ascii="Arial Narrow" w:hAnsi="Arial Narrow" w:cstheme="minorBidi"/>
                <w:b/>
                <w:color w:val="000000"/>
                <w:sz w:val="20"/>
                <w:szCs w:val="20"/>
              </w:rPr>
            </w:pPr>
            <w:r w:rsidRPr="00022A0B">
              <w:rPr>
                <w:rFonts w:ascii="Arial Narrow" w:hAnsi="Arial Narrow" w:cstheme="minorBidi"/>
                <w:color w:val="000000"/>
                <w:sz w:val="20"/>
                <w:szCs w:val="20"/>
              </w:rPr>
              <w:t>МеК</w:t>
            </w:r>
          </w:p>
        </w:tc>
        <w:tc>
          <w:tcPr>
            <w:tcW w:w="1801" w:type="dxa"/>
            <w:tcBorders>
              <w:top w:val="nil"/>
              <w:left w:val="nil"/>
              <w:bottom w:val="single" w:sz="4" w:space="0" w:color="auto"/>
              <w:right w:val="single" w:sz="4" w:space="0" w:color="auto"/>
            </w:tcBorders>
            <w:shd w:val="clear" w:color="auto" w:fill="auto"/>
            <w:noWrap/>
            <w:vAlign w:val="center"/>
            <w:hideMark/>
          </w:tcPr>
          <w:p w14:paraId="0EAA2D25" w14:textId="77777777" w:rsidR="00BA7C7F" w:rsidRPr="00022A0B" w:rsidRDefault="00BA7C7F" w:rsidP="00BA7C7F">
            <w:pPr>
              <w:jc w:val="right"/>
              <w:rPr>
                <w:rFonts w:ascii="Arial Narrow" w:hAnsi="Arial Narrow" w:cstheme="minorBidi"/>
                <w:b/>
                <w:color w:val="000000"/>
                <w:sz w:val="20"/>
                <w:szCs w:val="20"/>
              </w:rPr>
            </w:pPr>
            <w:r w:rsidRPr="00022A0B">
              <w:rPr>
                <w:rFonts w:ascii="Arial Narrow" w:hAnsi="Arial Narrow" w:cstheme="minorBidi"/>
                <w:color w:val="000000"/>
                <w:sz w:val="20"/>
                <w:szCs w:val="20"/>
              </w:rPr>
              <w:t>3 939</w:t>
            </w:r>
          </w:p>
        </w:tc>
        <w:tc>
          <w:tcPr>
            <w:tcW w:w="1652" w:type="dxa"/>
            <w:tcBorders>
              <w:top w:val="nil"/>
              <w:left w:val="nil"/>
              <w:bottom w:val="single" w:sz="4" w:space="0" w:color="auto"/>
              <w:right w:val="single" w:sz="4" w:space="0" w:color="auto"/>
            </w:tcBorders>
            <w:shd w:val="clear" w:color="auto" w:fill="auto"/>
            <w:noWrap/>
            <w:vAlign w:val="center"/>
            <w:hideMark/>
          </w:tcPr>
          <w:p w14:paraId="3192996B" w14:textId="77777777" w:rsidR="00BA7C7F" w:rsidRPr="00022A0B" w:rsidRDefault="00BA7C7F" w:rsidP="00BA7C7F">
            <w:pPr>
              <w:jc w:val="right"/>
              <w:rPr>
                <w:rFonts w:ascii="Arial Narrow" w:hAnsi="Arial Narrow" w:cstheme="minorBidi"/>
                <w:b/>
                <w:color w:val="000000"/>
                <w:sz w:val="20"/>
                <w:szCs w:val="20"/>
              </w:rPr>
            </w:pPr>
            <w:r w:rsidRPr="00022A0B">
              <w:rPr>
                <w:rFonts w:ascii="Arial Narrow" w:hAnsi="Arial Narrow" w:cstheme="minorBidi"/>
                <w:color w:val="000000"/>
                <w:sz w:val="20"/>
                <w:szCs w:val="20"/>
              </w:rPr>
              <w:t>3 900</w:t>
            </w:r>
          </w:p>
        </w:tc>
        <w:tc>
          <w:tcPr>
            <w:tcW w:w="1045" w:type="dxa"/>
            <w:tcBorders>
              <w:top w:val="nil"/>
              <w:left w:val="nil"/>
              <w:bottom w:val="single" w:sz="4" w:space="0" w:color="auto"/>
              <w:right w:val="single" w:sz="4" w:space="0" w:color="auto"/>
            </w:tcBorders>
            <w:shd w:val="clear" w:color="auto" w:fill="auto"/>
            <w:noWrap/>
            <w:vAlign w:val="center"/>
            <w:hideMark/>
          </w:tcPr>
          <w:p w14:paraId="60146174" w14:textId="77777777" w:rsidR="00BA7C7F" w:rsidRPr="00022A0B" w:rsidRDefault="00BA7C7F" w:rsidP="00BA7C7F">
            <w:pPr>
              <w:jc w:val="center"/>
              <w:rPr>
                <w:rFonts w:ascii="Arial Narrow" w:hAnsi="Arial Narrow" w:cstheme="minorBidi"/>
                <w:b/>
                <w:color w:val="000000"/>
                <w:sz w:val="20"/>
                <w:szCs w:val="20"/>
              </w:rPr>
            </w:pPr>
            <w:r w:rsidRPr="00022A0B">
              <w:rPr>
                <w:rFonts w:ascii="Arial Narrow" w:hAnsi="Arial Narrow" w:cstheme="minorBidi"/>
                <w:color w:val="000000"/>
                <w:sz w:val="20"/>
                <w:szCs w:val="20"/>
              </w:rPr>
              <w:t>100</w:t>
            </w:r>
          </w:p>
        </w:tc>
        <w:tc>
          <w:tcPr>
            <w:tcW w:w="1045" w:type="dxa"/>
            <w:tcBorders>
              <w:top w:val="nil"/>
              <w:left w:val="nil"/>
              <w:bottom w:val="single" w:sz="4" w:space="0" w:color="auto"/>
              <w:right w:val="single" w:sz="4" w:space="0" w:color="auto"/>
            </w:tcBorders>
            <w:shd w:val="clear" w:color="auto" w:fill="auto"/>
            <w:noWrap/>
            <w:vAlign w:val="center"/>
            <w:hideMark/>
          </w:tcPr>
          <w:p w14:paraId="08EB9934" w14:textId="77777777" w:rsidR="00BA7C7F" w:rsidRPr="00022A0B" w:rsidRDefault="00BA7C7F" w:rsidP="00BA7C7F">
            <w:pPr>
              <w:jc w:val="center"/>
              <w:rPr>
                <w:rFonts w:ascii="Arial Narrow" w:hAnsi="Arial Narrow" w:cstheme="minorBidi"/>
                <w:b/>
                <w:color w:val="000000"/>
                <w:sz w:val="20"/>
                <w:szCs w:val="20"/>
              </w:rPr>
            </w:pPr>
            <w:r w:rsidRPr="00022A0B">
              <w:rPr>
                <w:rFonts w:ascii="Arial Narrow" w:hAnsi="Arial Narrow" w:cstheme="minorBidi"/>
                <w:color w:val="000000"/>
                <w:sz w:val="20"/>
                <w:szCs w:val="20"/>
              </w:rPr>
              <w:t>-</w:t>
            </w:r>
          </w:p>
        </w:tc>
        <w:tc>
          <w:tcPr>
            <w:tcW w:w="906" w:type="dxa"/>
            <w:tcBorders>
              <w:top w:val="nil"/>
              <w:left w:val="nil"/>
              <w:bottom w:val="single" w:sz="4" w:space="0" w:color="auto"/>
              <w:right w:val="single" w:sz="4" w:space="0" w:color="auto"/>
            </w:tcBorders>
            <w:shd w:val="clear" w:color="auto" w:fill="auto"/>
            <w:noWrap/>
            <w:vAlign w:val="center"/>
            <w:hideMark/>
          </w:tcPr>
          <w:p w14:paraId="51610F3F" w14:textId="77777777" w:rsidR="00BA7C7F" w:rsidRPr="00022A0B" w:rsidRDefault="00BA7C7F" w:rsidP="00BA7C7F">
            <w:pPr>
              <w:jc w:val="center"/>
              <w:rPr>
                <w:rFonts w:ascii="Arial Narrow" w:hAnsi="Arial Narrow" w:cstheme="minorBidi"/>
                <w:b/>
                <w:color w:val="000000"/>
                <w:sz w:val="20"/>
                <w:szCs w:val="20"/>
              </w:rPr>
            </w:pPr>
            <w:r w:rsidRPr="00022A0B">
              <w:rPr>
                <w:rFonts w:ascii="Arial Narrow" w:hAnsi="Arial Narrow" w:cstheme="minorBidi"/>
                <w:color w:val="000000"/>
                <w:sz w:val="20"/>
                <w:szCs w:val="20"/>
              </w:rPr>
              <w:t>-</w:t>
            </w:r>
          </w:p>
        </w:tc>
        <w:tc>
          <w:tcPr>
            <w:tcW w:w="1801" w:type="dxa"/>
            <w:tcBorders>
              <w:top w:val="nil"/>
              <w:left w:val="nil"/>
              <w:bottom w:val="single" w:sz="4" w:space="0" w:color="auto"/>
              <w:right w:val="single" w:sz="4" w:space="0" w:color="auto"/>
            </w:tcBorders>
            <w:shd w:val="clear" w:color="auto" w:fill="auto"/>
            <w:noWrap/>
            <w:vAlign w:val="center"/>
            <w:hideMark/>
          </w:tcPr>
          <w:p w14:paraId="1392B5F0" w14:textId="77777777" w:rsidR="00BA7C7F" w:rsidRPr="00022A0B" w:rsidRDefault="00BA7C7F" w:rsidP="00BA7C7F">
            <w:pPr>
              <w:jc w:val="right"/>
              <w:rPr>
                <w:rFonts w:ascii="Arial Narrow" w:hAnsi="Arial Narrow" w:cstheme="minorBidi"/>
                <w:b/>
                <w:color w:val="000000"/>
                <w:sz w:val="20"/>
                <w:szCs w:val="20"/>
              </w:rPr>
            </w:pPr>
            <w:r w:rsidRPr="00022A0B">
              <w:rPr>
                <w:rFonts w:ascii="Arial Narrow" w:hAnsi="Arial Narrow" w:cstheme="minorBidi"/>
                <w:color w:val="000000"/>
                <w:sz w:val="20"/>
                <w:szCs w:val="20"/>
              </w:rPr>
              <w:t>26 632 027</w:t>
            </w:r>
          </w:p>
        </w:tc>
      </w:tr>
      <w:tr w:rsidR="00BA7C7F" w:rsidRPr="00C57ABA" w14:paraId="5A5FC427" w14:textId="77777777" w:rsidTr="00B37935">
        <w:trPr>
          <w:trHeight w:val="300"/>
        </w:trPr>
        <w:tc>
          <w:tcPr>
            <w:tcW w:w="1724" w:type="dxa"/>
            <w:tcBorders>
              <w:top w:val="nil"/>
              <w:left w:val="single" w:sz="4" w:space="0" w:color="auto"/>
              <w:bottom w:val="single" w:sz="4" w:space="0" w:color="auto"/>
              <w:right w:val="single" w:sz="4" w:space="0" w:color="auto"/>
            </w:tcBorders>
            <w:shd w:val="clear" w:color="auto" w:fill="auto"/>
            <w:noWrap/>
            <w:vAlign w:val="center"/>
            <w:hideMark/>
          </w:tcPr>
          <w:p w14:paraId="6D48D148" w14:textId="77777777" w:rsidR="00BA7C7F" w:rsidRPr="00022A0B" w:rsidRDefault="00BA7C7F" w:rsidP="00BA7C7F">
            <w:pPr>
              <w:rPr>
                <w:rFonts w:ascii="Arial Narrow" w:hAnsi="Arial Narrow" w:cstheme="minorBidi"/>
                <w:b/>
                <w:color w:val="000000"/>
                <w:sz w:val="20"/>
                <w:szCs w:val="20"/>
              </w:rPr>
            </w:pPr>
            <w:r w:rsidRPr="00022A0B">
              <w:rPr>
                <w:rFonts w:ascii="Arial Narrow" w:hAnsi="Arial Narrow" w:cstheme="minorBidi"/>
                <w:color w:val="000000"/>
                <w:sz w:val="20"/>
                <w:szCs w:val="20"/>
              </w:rPr>
              <w:t>МеК-РП</w:t>
            </w:r>
          </w:p>
        </w:tc>
        <w:tc>
          <w:tcPr>
            <w:tcW w:w="1801" w:type="dxa"/>
            <w:tcBorders>
              <w:top w:val="nil"/>
              <w:left w:val="nil"/>
              <w:bottom w:val="single" w:sz="4" w:space="0" w:color="auto"/>
              <w:right w:val="single" w:sz="4" w:space="0" w:color="auto"/>
            </w:tcBorders>
            <w:shd w:val="clear" w:color="auto" w:fill="auto"/>
            <w:noWrap/>
            <w:vAlign w:val="center"/>
            <w:hideMark/>
          </w:tcPr>
          <w:p w14:paraId="1D91AB39" w14:textId="77777777" w:rsidR="00BA7C7F" w:rsidRPr="00022A0B" w:rsidRDefault="00BA7C7F" w:rsidP="00BA7C7F">
            <w:pPr>
              <w:jc w:val="right"/>
              <w:rPr>
                <w:rFonts w:ascii="Arial Narrow" w:hAnsi="Arial Narrow" w:cstheme="minorBidi"/>
                <w:b/>
                <w:color w:val="000000"/>
                <w:sz w:val="20"/>
                <w:szCs w:val="20"/>
              </w:rPr>
            </w:pPr>
            <w:r w:rsidRPr="00022A0B">
              <w:rPr>
                <w:rFonts w:ascii="Arial Narrow" w:hAnsi="Arial Narrow" w:cstheme="minorBidi"/>
                <w:color w:val="000000"/>
                <w:sz w:val="20"/>
                <w:szCs w:val="20"/>
              </w:rPr>
              <w:t>195</w:t>
            </w:r>
          </w:p>
        </w:tc>
        <w:tc>
          <w:tcPr>
            <w:tcW w:w="1652" w:type="dxa"/>
            <w:tcBorders>
              <w:top w:val="nil"/>
              <w:left w:val="nil"/>
              <w:bottom w:val="single" w:sz="4" w:space="0" w:color="auto"/>
              <w:right w:val="single" w:sz="4" w:space="0" w:color="auto"/>
            </w:tcBorders>
            <w:shd w:val="clear" w:color="auto" w:fill="auto"/>
            <w:noWrap/>
            <w:vAlign w:val="center"/>
            <w:hideMark/>
          </w:tcPr>
          <w:p w14:paraId="78626B1E" w14:textId="77777777" w:rsidR="00BA7C7F" w:rsidRPr="00022A0B" w:rsidRDefault="00BA7C7F" w:rsidP="00BA7C7F">
            <w:pPr>
              <w:jc w:val="right"/>
              <w:rPr>
                <w:rFonts w:ascii="Arial Narrow" w:hAnsi="Arial Narrow" w:cstheme="minorBidi"/>
                <w:b/>
                <w:color w:val="000000"/>
                <w:sz w:val="20"/>
                <w:szCs w:val="20"/>
              </w:rPr>
            </w:pPr>
            <w:r w:rsidRPr="00022A0B">
              <w:rPr>
                <w:rFonts w:ascii="Arial Narrow" w:hAnsi="Arial Narrow" w:cstheme="minorBidi"/>
                <w:color w:val="000000"/>
                <w:sz w:val="20"/>
                <w:szCs w:val="20"/>
              </w:rPr>
              <w:t>194</w:t>
            </w:r>
          </w:p>
        </w:tc>
        <w:tc>
          <w:tcPr>
            <w:tcW w:w="1045" w:type="dxa"/>
            <w:tcBorders>
              <w:top w:val="nil"/>
              <w:left w:val="nil"/>
              <w:bottom w:val="single" w:sz="4" w:space="0" w:color="auto"/>
              <w:right w:val="single" w:sz="4" w:space="0" w:color="auto"/>
            </w:tcBorders>
            <w:shd w:val="clear" w:color="auto" w:fill="auto"/>
            <w:noWrap/>
            <w:vAlign w:val="center"/>
            <w:hideMark/>
          </w:tcPr>
          <w:p w14:paraId="72B44DB0" w14:textId="77777777" w:rsidR="00BA7C7F" w:rsidRPr="00022A0B" w:rsidRDefault="00BA7C7F" w:rsidP="00BA7C7F">
            <w:pPr>
              <w:jc w:val="center"/>
              <w:rPr>
                <w:rFonts w:ascii="Arial Narrow" w:hAnsi="Arial Narrow" w:cstheme="minorBidi"/>
                <w:b/>
                <w:color w:val="000000"/>
                <w:sz w:val="20"/>
                <w:szCs w:val="20"/>
              </w:rPr>
            </w:pPr>
            <w:r w:rsidRPr="00022A0B">
              <w:rPr>
                <w:rFonts w:ascii="Arial Narrow" w:hAnsi="Arial Narrow" w:cstheme="minorBidi"/>
                <w:color w:val="000000"/>
                <w:sz w:val="20"/>
                <w:szCs w:val="20"/>
              </w:rPr>
              <w:t>100</w:t>
            </w:r>
          </w:p>
        </w:tc>
        <w:tc>
          <w:tcPr>
            <w:tcW w:w="1045" w:type="dxa"/>
            <w:tcBorders>
              <w:top w:val="nil"/>
              <w:left w:val="nil"/>
              <w:bottom w:val="single" w:sz="4" w:space="0" w:color="auto"/>
              <w:right w:val="single" w:sz="4" w:space="0" w:color="auto"/>
            </w:tcBorders>
            <w:shd w:val="clear" w:color="auto" w:fill="auto"/>
            <w:noWrap/>
            <w:vAlign w:val="center"/>
            <w:hideMark/>
          </w:tcPr>
          <w:p w14:paraId="0A155971" w14:textId="77777777" w:rsidR="00BA7C7F" w:rsidRPr="00022A0B" w:rsidRDefault="00BA7C7F" w:rsidP="00BA7C7F">
            <w:pPr>
              <w:jc w:val="center"/>
              <w:rPr>
                <w:rFonts w:ascii="Arial Narrow" w:hAnsi="Arial Narrow" w:cstheme="minorBidi"/>
                <w:b/>
                <w:color w:val="000000"/>
                <w:sz w:val="20"/>
                <w:szCs w:val="20"/>
              </w:rPr>
            </w:pPr>
            <w:r w:rsidRPr="00022A0B">
              <w:rPr>
                <w:rFonts w:ascii="Arial Narrow" w:hAnsi="Arial Narrow" w:cstheme="minorBidi"/>
                <w:color w:val="000000"/>
                <w:sz w:val="20"/>
                <w:szCs w:val="20"/>
              </w:rPr>
              <w:t>-</w:t>
            </w:r>
          </w:p>
        </w:tc>
        <w:tc>
          <w:tcPr>
            <w:tcW w:w="906" w:type="dxa"/>
            <w:tcBorders>
              <w:top w:val="nil"/>
              <w:left w:val="nil"/>
              <w:bottom w:val="single" w:sz="4" w:space="0" w:color="auto"/>
              <w:right w:val="single" w:sz="4" w:space="0" w:color="auto"/>
            </w:tcBorders>
            <w:shd w:val="clear" w:color="auto" w:fill="auto"/>
            <w:noWrap/>
            <w:vAlign w:val="center"/>
            <w:hideMark/>
          </w:tcPr>
          <w:p w14:paraId="70150B4E" w14:textId="77777777" w:rsidR="00BA7C7F" w:rsidRPr="00022A0B" w:rsidRDefault="00BA7C7F" w:rsidP="00BA7C7F">
            <w:pPr>
              <w:jc w:val="center"/>
              <w:rPr>
                <w:rFonts w:ascii="Arial Narrow" w:hAnsi="Arial Narrow" w:cstheme="minorBidi"/>
                <w:b/>
                <w:color w:val="000000"/>
                <w:sz w:val="20"/>
                <w:szCs w:val="20"/>
              </w:rPr>
            </w:pPr>
            <w:r w:rsidRPr="00022A0B">
              <w:rPr>
                <w:rFonts w:ascii="Arial Narrow" w:hAnsi="Arial Narrow" w:cstheme="minorBidi"/>
                <w:color w:val="000000"/>
                <w:sz w:val="20"/>
                <w:szCs w:val="20"/>
              </w:rPr>
              <w:t>-</w:t>
            </w:r>
          </w:p>
        </w:tc>
        <w:tc>
          <w:tcPr>
            <w:tcW w:w="1801" w:type="dxa"/>
            <w:tcBorders>
              <w:top w:val="nil"/>
              <w:left w:val="nil"/>
              <w:bottom w:val="single" w:sz="4" w:space="0" w:color="auto"/>
              <w:right w:val="single" w:sz="4" w:space="0" w:color="auto"/>
            </w:tcBorders>
            <w:shd w:val="clear" w:color="auto" w:fill="auto"/>
            <w:noWrap/>
            <w:vAlign w:val="center"/>
            <w:hideMark/>
          </w:tcPr>
          <w:p w14:paraId="725FA592" w14:textId="77777777" w:rsidR="00BA7C7F" w:rsidRPr="00022A0B" w:rsidRDefault="00BA7C7F" w:rsidP="00BA7C7F">
            <w:pPr>
              <w:jc w:val="right"/>
              <w:rPr>
                <w:rFonts w:ascii="Arial Narrow" w:hAnsi="Arial Narrow" w:cstheme="minorBidi"/>
                <w:b/>
                <w:color w:val="000000"/>
                <w:sz w:val="20"/>
                <w:szCs w:val="20"/>
              </w:rPr>
            </w:pPr>
            <w:r w:rsidRPr="00022A0B">
              <w:rPr>
                <w:rFonts w:ascii="Arial Narrow" w:hAnsi="Arial Narrow" w:cstheme="minorBidi"/>
                <w:color w:val="000000"/>
                <w:sz w:val="20"/>
                <w:szCs w:val="20"/>
              </w:rPr>
              <w:t>4 331 893</w:t>
            </w:r>
          </w:p>
        </w:tc>
      </w:tr>
      <w:tr w:rsidR="00BA7C7F" w:rsidRPr="001A5CDB" w14:paraId="1E17385A" w14:textId="77777777" w:rsidTr="00B37935">
        <w:trPr>
          <w:trHeight w:val="300"/>
        </w:trPr>
        <w:tc>
          <w:tcPr>
            <w:tcW w:w="1724" w:type="dxa"/>
            <w:tcBorders>
              <w:top w:val="nil"/>
              <w:left w:val="single" w:sz="4" w:space="0" w:color="auto"/>
              <w:bottom w:val="single" w:sz="4" w:space="0" w:color="auto"/>
              <w:right w:val="single" w:sz="4" w:space="0" w:color="auto"/>
            </w:tcBorders>
            <w:shd w:val="clear" w:color="auto" w:fill="auto"/>
            <w:noWrap/>
            <w:vAlign w:val="center"/>
            <w:hideMark/>
          </w:tcPr>
          <w:p w14:paraId="26F4FE96" w14:textId="77777777" w:rsidR="00BA7C7F" w:rsidRPr="00022A0B" w:rsidRDefault="00BA7C7F" w:rsidP="00BA7C7F">
            <w:pPr>
              <w:rPr>
                <w:rFonts w:ascii="Arial Narrow" w:hAnsi="Arial Narrow" w:cstheme="minorBidi"/>
                <w:b/>
                <w:color w:val="000000"/>
                <w:sz w:val="20"/>
                <w:szCs w:val="20"/>
              </w:rPr>
            </w:pPr>
            <w:r w:rsidRPr="00022A0B">
              <w:rPr>
                <w:rFonts w:ascii="Arial Narrow" w:hAnsi="Arial Narrow" w:cstheme="minorBidi"/>
                <w:color w:val="000000"/>
                <w:sz w:val="20"/>
                <w:szCs w:val="20"/>
              </w:rPr>
              <w:t>К-ЗП</w:t>
            </w:r>
          </w:p>
        </w:tc>
        <w:tc>
          <w:tcPr>
            <w:tcW w:w="1801" w:type="dxa"/>
            <w:tcBorders>
              <w:top w:val="nil"/>
              <w:left w:val="nil"/>
              <w:bottom w:val="single" w:sz="4" w:space="0" w:color="auto"/>
              <w:right w:val="single" w:sz="4" w:space="0" w:color="auto"/>
            </w:tcBorders>
            <w:shd w:val="clear" w:color="auto" w:fill="auto"/>
            <w:noWrap/>
            <w:vAlign w:val="center"/>
            <w:hideMark/>
          </w:tcPr>
          <w:p w14:paraId="1FD781FB" w14:textId="77777777" w:rsidR="00BA7C7F" w:rsidRPr="00022A0B" w:rsidRDefault="00BA7C7F" w:rsidP="00BA7C7F">
            <w:pPr>
              <w:jc w:val="right"/>
              <w:rPr>
                <w:rFonts w:ascii="Arial Narrow" w:hAnsi="Arial Narrow" w:cstheme="minorBidi"/>
                <w:b/>
                <w:color w:val="000000"/>
                <w:sz w:val="20"/>
                <w:szCs w:val="20"/>
              </w:rPr>
            </w:pPr>
            <w:r w:rsidRPr="00022A0B">
              <w:rPr>
                <w:rFonts w:ascii="Arial Narrow" w:hAnsi="Arial Narrow" w:cstheme="minorBidi"/>
                <w:color w:val="000000"/>
                <w:sz w:val="20"/>
                <w:szCs w:val="20"/>
              </w:rPr>
              <w:t>454</w:t>
            </w:r>
          </w:p>
        </w:tc>
        <w:tc>
          <w:tcPr>
            <w:tcW w:w="1652" w:type="dxa"/>
            <w:tcBorders>
              <w:top w:val="nil"/>
              <w:left w:val="nil"/>
              <w:bottom w:val="single" w:sz="4" w:space="0" w:color="auto"/>
              <w:right w:val="single" w:sz="4" w:space="0" w:color="auto"/>
            </w:tcBorders>
            <w:shd w:val="clear" w:color="auto" w:fill="auto"/>
            <w:noWrap/>
            <w:vAlign w:val="center"/>
            <w:hideMark/>
          </w:tcPr>
          <w:p w14:paraId="29A24A95" w14:textId="77777777" w:rsidR="00BA7C7F" w:rsidRPr="00022A0B" w:rsidRDefault="00BA7C7F" w:rsidP="00BA7C7F">
            <w:pPr>
              <w:jc w:val="right"/>
              <w:rPr>
                <w:rFonts w:ascii="Arial Narrow" w:hAnsi="Arial Narrow" w:cstheme="minorBidi"/>
                <w:b/>
                <w:color w:val="000000"/>
                <w:sz w:val="20"/>
                <w:szCs w:val="20"/>
              </w:rPr>
            </w:pPr>
            <w:r w:rsidRPr="00022A0B">
              <w:rPr>
                <w:rFonts w:ascii="Arial Narrow" w:hAnsi="Arial Narrow" w:cstheme="minorBidi"/>
                <w:color w:val="000000"/>
                <w:sz w:val="20"/>
                <w:szCs w:val="20"/>
              </w:rPr>
              <w:t>449</w:t>
            </w:r>
          </w:p>
        </w:tc>
        <w:tc>
          <w:tcPr>
            <w:tcW w:w="1045" w:type="dxa"/>
            <w:tcBorders>
              <w:top w:val="nil"/>
              <w:left w:val="nil"/>
              <w:bottom w:val="single" w:sz="4" w:space="0" w:color="auto"/>
              <w:right w:val="single" w:sz="4" w:space="0" w:color="auto"/>
            </w:tcBorders>
            <w:shd w:val="clear" w:color="auto" w:fill="auto"/>
            <w:noWrap/>
            <w:vAlign w:val="center"/>
            <w:hideMark/>
          </w:tcPr>
          <w:p w14:paraId="52140C25" w14:textId="77777777" w:rsidR="00BA7C7F" w:rsidRPr="00022A0B" w:rsidRDefault="00BA7C7F" w:rsidP="00BA7C7F">
            <w:pPr>
              <w:jc w:val="center"/>
              <w:rPr>
                <w:rFonts w:ascii="Arial Narrow" w:hAnsi="Arial Narrow" w:cstheme="minorBidi"/>
                <w:b/>
                <w:color w:val="000000"/>
                <w:sz w:val="20"/>
                <w:szCs w:val="20"/>
              </w:rPr>
            </w:pPr>
            <w:r w:rsidRPr="00022A0B">
              <w:rPr>
                <w:rFonts w:ascii="Arial Narrow" w:hAnsi="Arial Narrow" w:cstheme="minorBidi"/>
                <w:color w:val="000000"/>
                <w:sz w:val="20"/>
                <w:szCs w:val="20"/>
              </w:rPr>
              <w:t>100</w:t>
            </w:r>
          </w:p>
        </w:tc>
        <w:tc>
          <w:tcPr>
            <w:tcW w:w="1045" w:type="dxa"/>
            <w:tcBorders>
              <w:top w:val="nil"/>
              <w:left w:val="nil"/>
              <w:bottom w:val="single" w:sz="4" w:space="0" w:color="auto"/>
              <w:right w:val="single" w:sz="4" w:space="0" w:color="auto"/>
            </w:tcBorders>
            <w:shd w:val="clear" w:color="auto" w:fill="auto"/>
            <w:noWrap/>
            <w:vAlign w:val="center"/>
            <w:hideMark/>
          </w:tcPr>
          <w:p w14:paraId="6622D55C" w14:textId="77777777" w:rsidR="00BA7C7F" w:rsidRPr="00022A0B" w:rsidRDefault="00BA7C7F" w:rsidP="00BA7C7F">
            <w:pPr>
              <w:jc w:val="center"/>
              <w:rPr>
                <w:rFonts w:ascii="Arial Narrow" w:hAnsi="Arial Narrow" w:cstheme="minorBidi"/>
                <w:b/>
                <w:color w:val="000000"/>
                <w:sz w:val="20"/>
                <w:szCs w:val="20"/>
              </w:rPr>
            </w:pPr>
            <w:r w:rsidRPr="00022A0B">
              <w:rPr>
                <w:rFonts w:ascii="Arial Narrow" w:hAnsi="Arial Narrow" w:cstheme="minorBidi"/>
                <w:color w:val="000000"/>
                <w:sz w:val="20"/>
                <w:szCs w:val="20"/>
              </w:rPr>
              <w:t>-</w:t>
            </w:r>
          </w:p>
        </w:tc>
        <w:tc>
          <w:tcPr>
            <w:tcW w:w="906" w:type="dxa"/>
            <w:tcBorders>
              <w:top w:val="nil"/>
              <w:left w:val="nil"/>
              <w:bottom w:val="single" w:sz="4" w:space="0" w:color="auto"/>
              <w:right w:val="single" w:sz="4" w:space="0" w:color="auto"/>
            </w:tcBorders>
            <w:shd w:val="clear" w:color="auto" w:fill="auto"/>
            <w:noWrap/>
            <w:vAlign w:val="center"/>
            <w:hideMark/>
          </w:tcPr>
          <w:p w14:paraId="6160162B" w14:textId="77777777" w:rsidR="00BA7C7F" w:rsidRPr="00022A0B" w:rsidRDefault="00BA7C7F" w:rsidP="00BA7C7F">
            <w:pPr>
              <w:jc w:val="center"/>
              <w:rPr>
                <w:rFonts w:ascii="Arial Narrow" w:hAnsi="Arial Narrow" w:cstheme="minorBidi"/>
                <w:b/>
                <w:color w:val="000000"/>
                <w:sz w:val="20"/>
                <w:szCs w:val="20"/>
              </w:rPr>
            </w:pPr>
            <w:r w:rsidRPr="00022A0B">
              <w:rPr>
                <w:rFonts w:ascii="Arial Narrow" w:hAnsi="Arial Narrow" w:cstheme="minorBidi"/>
                <w:color w:val="000000"/>
                <w:sz w:val="20"/>
                <w:szCs w:val="20"/>
              </w:rPr>
              <w:t>-</w:t>
            </w:r>
          </w:p>
        </w:tc>
        <w:tc>
          <w:tcPr>
            <w:tcW w:w="1801" w:type="dxa"/>
            <w:tcBorders>
              <w:top w:val="nil"/>
              <w:left w:val="nil"/>
              <w:bottom w:val="single" w:sz="4" w:space="0" w:color="auto"/>
              <w:right w:val="single" w:sz="4" w:space="0" w:color="auto"/>
            </w:tcBorders>
            <w:shd w:val="clear" w:color="auto" w:fill="auto"/>
            <w:noWrap/>
            <w:vAlign w:val="center"/>
            <w:hideMark/>
          </w:tcPr>
          <w:p w14:paraId="3E3F511A" w14:textId="77777777" w:rsidR="00BA7C7F" w:rsidRPr="00022A0B" w:rsidRDefault="00BA7C7F" w:rsidP="00BA7C7F">
            <w:pPr>
              <w:jc w:val="right"/>
              <w:rPr>
                <w:rFonts w:ascii="Arial Narrow" w:hAnsi="Arial Narrow" w:cstheme="minorBidi"/>
                <w:b/>
                <w:color w:val="000000"/>
                <w:sz w:val="20"/>
                <w:szCs w:val="20"/>
              </w:rPr>
            </w:pPr>
            <w:r w:rsidRPr="00022A0B">
              <w:rPr>
                <w:rFonts w:ascii="Arial Narrow" w:hAnsi="Arial Narrow" w:cstheme="minorBidi"/>
                <w:color w:val="000000"/>
                <w:sz w:val="20"/>
                <w:szCs w:val="20"/>
              </w:rPr>
              <w:t>4 221 650</w:t>
            </w:r>
          </w:p>
        </w:tc>
      </w:tr>
      <w:tr w:rsidR="00BA7C7F" w:rsidRPr="00C57ABA" w14:paraId="0795419A" w14:textId="77777777" w:rsidTr="00B37935">
        <w:trPr>
          <w:trHeight w:val="300"/>
        </w:trPr>
        <w:tc>
          <w:tcPr>
            <w:tcW w:w="1724" w:type="dxa"/>
            <w:tcBorders>
              <w:top w:val="nil"/>
              <w:left w:val="single" w:sz="4" w:space="0" w:color="auto"/>
              <w:bottom w:val="single" w:sz="4" w:space="0" w:color="auto"/>
              <w:right w:val="single" w:sz="4" w:space="0" w:color="auto"/>
            </w:tcBorders>
            <w:shd w:val="clear" w:color="auto" w:fill="auto"/>
            <w:noWrap/>
            <w:vAlign w:val="center"/>
            <w:hideMark/>
          </w:tcPr>
          <w:p w14:paraId="7BD9895E" w14:textId="77777777" w:rsidR="00BA7C7F" w:rsidRPr="00022A0B" w:rsidRDefault="00BA7C7F" w:rsidP="00BA7C7F">
            <w:pPr>
              <w:rPr>
                <w:rFonts w:ascii="Arial Narrow" w:hAnsi="Arial Narrow" w:cstheme="minorBidi"/>
                <w:b/>
                <w:color w:val="000000"/>
                <w:sz w:val="20"/>
                <w:szCs w:val="20"/>
              </w:rPr>
            </w:pPr>
            <w:r w:rsidRPr="00022A0B">
              <w:rPr>
                <w:rFonts w:ascii="Arial Narrow" w:hAnsi="Arial Narrow" w:cstheme="minorBidi"/>
                <w:color w:val="000000"/>
                <w:sz w:val="20"/>
                <w:szCs w:val="20"/>
              </w:rPr>
              <w:t>Г-пл</w:t>
            </w:r>
          </w:p>
        </w:tc>
        <w:tc>
          <w:tcPr>
            <w:tcW w:w="1801" w:type="dxa"/>
            <w:tcBorders>
              <w:top w:val="nil"/>
              <w:left w:val="nil"/>
              <w:bottom w:val="single" w:sz="4" w:space="0" w:color="auto"/>
              <w:right w:val="single" w:sz="4" w:space="0" w:color="auto"/>
            </w:tcBorders>
            <w:shd w:val="clear" w:color="auto" w:fill="auto"/>
            <w:noWrap/>
            <w:vAlign w:val="center"/>
            <w:hideMark/>
          </w:tcPr>
          <w:p w14:paraId="6377CF96" w14:textId="77777777" w:rsidR="00BA7C7F" w:rsidRPr="00022A0B" w:rsidRDefault="00BA7C7F" w:rsidP="00BA7C7F">
            <w:pPr>
              <w:jc w:val="right"/>
              <w:rPr>
                <w:rFonts w:ascii="Arial Narrow" w:hAnsi="Arial Narrow" w:cstheme="minorBidi"/>
                <w:b/>
                <w:color w:val="000000"/>
                <w:sz w:val="20"/>
                <w:szCs w:val="20"/>
              </w:rPr>
            </w:pPr>
            <w:r w:rsidRPr="00022A0B">
              <w:rPr>
                <w:rFonts w:ascii="Arial Narrow" w:hAnsi="Arial Narrow" w:cstheme="minorBidi"/>
                <w:color w:val="000000"/>
                <w:sz w:val="20"/>
                <w:szCs w:val="20"/>
              </w:rPr>
              <w:t>514</w:t>
            </w:r>
          </w:p>
        </w:tc>
        <w:tc>
          <w:tcPr>
            <w:tcW w:w="1652" w:type="dxa"/>
            <w:tcBorders>
              <w:top w:val="nil"/>
              <w:left w:val="nil"/>
              <w:bottom w:val="single" w:sz="4" w:space="0" w:color="auto"/>
              <w:right w:val="single" w:sz="4" w:space="0" w:color="auto"/>
            </w:tcBorders>
            <w:shd w:val="clear" w:color="auto" w:fill="auto"/>
            <w:noWrap/>
            <w:vAlign w:val="center"/>
            <w:hideMark/>
          </w:tcPr>
          <w:p w14:paraId="066391D3" w14:textId="77777777" w:rsidR="00BA7C7F" w:rsidRPr="00022A0B" w:rsidRDefault="00BA7C7F" w:rsidP="00BA7C7F">
            <w:pPr>
              <w:jc w:val="right"/>
              <w:rPr>
                <w:rFonts w:ascii="Arial Narrow" w:hAnsi="Arial Narrow" w:cstheme="minorBidi"/>
                <w:b/>
                <w:color w:val="000000"/>
                <w:sz w:val="20"/>
                <w:szCs w:val="20"/>
              </w:rPr>
            </w:pPr>
            <w:r w:rsidRPr="00022A0B">
              <w:rPr>
                <w:rFonts w:ascii="Arial Narrow" w:hAnsi="Arial Narrow" w:cstheme="minorBidi"/>
                <w:color w:val="000000"/>
                <w:sz w:val="20"/>
                <w:szCs w:val="20"/>
              </w:rPr>
              <w:t>496</w:t>
            </w:r>
          </w:p>
        </w:tc>
        <w:tc>
          <w:tcPr>
            <w:tcW w:w="1045" w:type="dxa"/>
            <w:tcBorders>
              <w:top w:val="nil"/>
              <w:left w:val="nil"/>
              <w:bottom w:val="single" w:sz="4" w:space="0" w:color="auto"/>
              <w:right w:val="single" w:sz="4" w:space="0" w:color="auto"/>
            </w:tcBorders>
            <w:shd w:val="clear" w:color="auto" w:fill="auto"/>
            <w:noWrap/>
            <w:vAlign w:val="center"/>
            <w:hideMark/>
          </w:tcPr>
          <w:p w14:paraId="34DE0772" w14:textId="77777777" w:rsidR="00BA7C7F" w:rsidRPr="00022A0B" w:rsidRDefault="00BA7C7F" w:rsidP="00BA7C7F">
            <w:pPr>
              <w:jc w:val="center"/>
              <w:rPr>
                <w:rFonts w:ascii="Arial Narrow" w:hAnsi="Arial Narrow" w:cstheme="minorBidi"/>
                <w:b/>
                <w:color w:val="000000"/>
                <w:sz w:val="20"/>
                <w:szCs w:val="20"/>
              </w:rPr>
            </w:pPr>
            <w:r w:rsidRPr="00022A0B">
              <w:rPr>
                <w:rFonts w:ascii="Arial Narrow" w:hAnsi="Arial Narrow" w:cstheme="minorBidi"/>
                <w:color w:val="000000"/>
                <w:sz w:val="20"/>
                <w:szCs w:val="20"/>
              </w:rPr>
              <w:t>100</w:t>
            </w:r>
          </w:p>
        </w:tc>
        <w:tc>
          <w:tcPr>
            <w:tcW w:w="1045" w:type="dxa"/>
            <w:tcBorders>
              <w:top w:val="nil"/>
              <w:left w:val="nil"/>
              <w:bottom w:val="single" w:sz="4" w:space="0" w:color="auto"/>
              <w:right w:val="single" w:sz="4" w:space="0" w:color="auto"/>
            </w:tcBorders>
            <w:shd w:val="clear" w:color="auto" w:fill="auto"/>
            <w:noWrap/>
            <w:vAlign w:val="center"/>
            <w:hideMark/>
          </w:tcPr>
          <w:p w14:paraId="44D0784E" w14:textId="77777777" w:rsidR="00BA7C7F" w:rsidRPr="00022A0B" w:rsidRDefault="00BA7C7F" w:rsidP="00BA7C7F">
            <w:pPr>
              <w:jc w:val="center"/>
              <w:rPr>
                <w:rFonts w:ascii="Arial Narrow" w:hAnsi="Arial Narrow" w:cstheme="minorBidi"/>
                <w:b/>
                <w:color w:val="000000"/>
                <w:sz w:val="20"/>
                <w:szCs w:val="20"/>
              </w:rPr>
            </w:pPr>
            <w:r w:rsidRPr="00022A0B">
              <w:rPr>
                <w:rFonts w:ascii="Arial Narrow" w:hAnsi="Arial Narrow" w:cstheme="minorBidi"/>
                <w:color w:val="000000"/>
                <w:sz w:val="20"/>
                <w:szCs w:val="20"/>
              </w:rPr>
              <w:t>-</w:t>
            </w:r>
          </w:p>
        </w:tc>
        <w:tc>
          <w:tcPr>
            <w:tcW w:w="906" w:type="dxa"/>
            <w:tcBorders>
              <w:top w:val="nil"/>
              <w:left w:val="nil"/>
              <w:bottom w:val="single" w:sz="4" w:space="0" w:color="auto"/>
              <w:right w:val="single" w:sz="4" w:space="0" w:color="auto"/>
            </w:tcBorders>
            <w:shd w:val="clear" w:color="auto" w:fill="auto"/>
            <w:noWrap/>
            <w:vAlign w:val="center"/>
            <w:hideMark/>
          </w:tcPr>
          <w:p w14:paraId="0CA424A7" w14:textId="77777777" w:rsidR="00BA7C7F" w:rsidRPr="00022A0B" w:rsidRDefault="00BA7C7F" w:rsidP="00BA7C7F">
            <w:pPr>
              <w:jc w:val="center"/>
              <w:rPr>
                <w:rFonts w:ascii="Arial Narrow" w:hAnsi="Arial Narrow" w:cstheme="minorBidi"/>
                <w:b/>
                <w:color w:val="000000"/>
                <w:sz w:val="20"/>
                <w:szCs w:val="20"/>
              </w:rPr>
            </w:pPr>
            <w:r w:rsidRPr="00022A0B">
              <w:rPr>
                <w:rFonts w:ascii="Arial Narrow" w:hAnsi="Arial Narrow" w:cstheme="minorBidi"/>
                <w:color w:val="000000"/>
                <w:sz w:val="20"/>
                <w:szCs w:val="20"/>
              </w:rPr>
              <w:t>-</w:t>
            </w:r>
          </w:p>
        </w:tc>
        <w:tc>
          <w:tcPr>
            <w:tcW w:w="1801" w:type="dxa"/>
            <w:tcBorders>
              <w:top w:val="nil"/>
              <w:left w:val="nil"/>
              <w:bottom w:val="single" w:sz="4" w:space="0" w:color="auto"/>
              <w:right w:val="single" w:sz="4" w:space="0" w:color="auto"/>
            </w:tcBorders>
            <w:shd w:val="clear" w:color="auto" w:fill="auto"/>
            <w:noWrap/>
            <w:vAlign w:val="center"/>
            <w:hideMark/>
          </w:tcPr>
          <w:p w14:paraId="101EC5C1" w14:textId="77777777" w:rsidR="00BA7C7F" w:rsidRPr="00022A0B" w:rsidRDefault="00BA7C7F" w:rsidP="00BA7C7F">
            <w:pPr>
              <w:jc w:val="right"/>
              <w:rPr>
                <w:rFonts w:ascii="Arial Narrow" w:hAnsi="Arial Narrow" w:cstheme="minorBidi"/>
                <w:b/>
                <w:color w:val="000000"/>
                <w:sz w:val="20"/>
                <w:szCs w:val="20"/>
              </w:rPr>
            </w:pPr>
            <w:r w:rsidRPr="00022A0B">
              <w:rPr>
                <w:rFonts w:ascii="Arial Narrow" w:hAnsi="Arial Narrow" w:cstheme="minorBidi"/>
                <w:color w:val="000000"/>
                <w:sz w:val="20"/>
                <w:szCs w:val="20"/>
              </w:rPr>
              <w:t>925 871</w:t>
            </w:r>
          </w:p>
        </w:tc>
      </w:tr>
      <w:tr w:rsidR="00BA7C7F" w:rsidRPr="00C57ABA" w14:paraId="625D6DDE" w14:textId="77777777" w:rsidTr="00B37935">
        <w:trPr>
          <w:trHeight w:val="300"/>
        </w:trPr>
        <w:tc>
          <w:tcPr>
            <w:tcW w:w="1724" w:type="dxa"/>
            <w:tcBorders>
              <w:top w:val="nil"/>
              <w:left w:val="single" w:sz="4" w:space="0" w:color="auto"/>
              <w:bottom w:val="single" w:sz="4" w:space="0" w:color="auto"/>
              <w:right w:val="single" w:sz="4" w:space="0" w:color="auto"/>
            </w:tcBorders>
            <w:shd w:val="clear" w:color="auto" w:fill="auto"/>
            <w:noWrap/>
            <w:vAlign w:val="center"/>
            <w:hideMark/>
          </w:tcPr>
          <w:p w14:paraId="0402652D" w14:textId="77777777" w:rsidR="00BA7C7F" w:rsidRPr="00022A0B" w:rsidRDefault="00BA7C7F" w:rsidP="00BA7C7F">
            <w:pPr>
              <w:rPr>
                <w:rFonts w:ascii="Arial Narrow" w:hAnsi="Arial Narrow" w:cstheme="minorBidi"/>
                <w:b/>
                <w:color w:val="000000"/>
                <w:sz w:val="20"/>
                <w:szCs w:val="20"/>
              </w:rPr>
            </w:pPr>
            <w:r w:rsidRPr="00022A0B">
              <w:rPr>
                <w:rFonts w:ascii="Arial Narrow" w:hAnsi="Arial Narrow" w:cstheme="minorBidi"/>
                <w:color w:val="000000"/>
                <w:sz w:val="20"/>
                <w:szCs w:val="20"/>
              </w:rPr>
              <w:t>Биволи</w:t>
            </w:r>
          </w:p>
        </w:tc>
        <w:tc>
          <w:tcPr>
            <w:tcW w:w="1801" w:type="dxa"/>
            <w:tcBorders>
              <w:top w:val="nil"/>
              <w:left w:val="nil"/>
              <w:bottom w:val="single" w:sz="4" w:space="0" w:color="auto"/>
              <w:right w:val="single" w:sz="4" w:space="0" w:color="auto"/>
            </w:tcBorders>
            <w:shd w:val="clear" w:color="auto" w:fill="auto"/>
            <w:noWrap/>
            <w:vAlign w:val="center"/>
            <w:hideMark/>
          </w:tcPr>
          <w:p w14:paraId="6AF0139C" w14:textId="77777777" w:rsidR="00BA7C7F" w:rsidRPr="00022A0B" w:rsidRDefault="00BA7C7F" w:rsidP="00BA7C7F">
            <w:pPr>
              <w:jc w:val="right"/>
              <w:rPr>
                <w:rFonts w:ascii="Arial Narrow" w:hAnsi="Arial Narrow" w:cstheme="minorBidi"/>
                <w:b/>
                <w:color w:val="000000"/>
                <w:sz w:val="20"/>
                <w:szCs w:val="20"/>
              </w:rPr>
            </w:pPr>
            <w:r w:rsidRPr="00022A0B">
              <w:rPr>
                <w:rFonts w:ascii="Arial Narrow" w:hAnsi="Arial Narrow" w:cstheme="minorBidi"/>
                <w:color w:val="000000"/>
                <w:sz w:val="20"/>
                <w:szCs w:val="20"/>
              </w:rPr>
              <w:t>249</w:t>
            </w:r>
          </w:p>
        </w:tc>
        <w:tc>
          <w:tcPr>
            <w:tcW w:w="1652" w:type="dxa"/>
            <w:tcBorders>
              <w:top w:val="nil"/>
              <w:left w:val="nil"/>
              <w:bottom w:val="single" w:sz="4" w:space="0" w:color="auto"/>
              <w:right w:val="single" w:sz="4" w:space="0" w:color="auto"/>
            </w:tcBorders>
            <w:shd w:val="clear" w:color="auto" w:fill="auto"/>
            <w:noWrap/>
            <w:vAlign w:val="center"/>
            <w:hideMark/>
          </w:tcPr>
          <w:p w14:paraId="172D4495" w14:textId="77777777" w:rsidR="00BA7C7F" w:rsidRPr="00022A0B" w:rsidRDefault="00BA7C7F" w:rsidP="00BA7C7F">
            <w:pPr>
              <w:jc w:val="right"/>
              <w:rPr>
                <w:rFonts w:ascii="Arial Narrow" w:hAnsi="Arial Narrow" w:cstheme="minorBidi"/>
                <w:b/>
                <w:color w:val="000000"/>
                <w:sz w:val="20"/>
                <w:szCs w:val="20"/>
              </w:rPr>
            </w:pPr>
            <w:r w:rsidRPr="00022A0B">
              <w:rPr>
                <w:rFonts w:ascii="Arial Narrow" w:hAnsi="Arial Narrow" w:cstheme="minorBidi"/>
                <w:color w:val="000000"/>
                <w:sz w:val="20"/>
                <w:szCs w:val="20"/>
              </w:rPr>
              <w:t>242</w:t>
            </w:r>
          </w:p>
        </w:tc>
        <w:tc>
          <w:tcPr>
            <w:tcW w:w="1045" w:type="dxa"/>
            <w:tcBorders>
              <w:top w:val="nil"/>
              <w:left w:val="nil"/>
              <w:bottom w:val="single" w:sz="4" w:space="0" w:color="auto"/>
              <w:right w:val="single" w:sz="4" w:space="0" w:color="auto"/>
            </w:tcBorders>
            <w:shd w:val="clear" w:color="auto" w:fill="auto"/>
            <w:noWrap/>
            <w:vAlign w:val="center"/>
            <w:hideMark/>
          </w:tcPr>
          <w:p w14:paraId="3EACB3D0" w14:textId="77777777" w:rsidR="00BA7C7F" w:rsidRPr="00022A0B" w:rsidRDefault="00BA7C7F" w:rsidP="00BA7C7F">
            <w:pPr>
              <w:jc w:val="center"/>
              <w:rPr>
                <w:rFonts w:ascii="Arial Narrow" w:hAnsi="Arial Narrow" w:cstheme="minorBidi"/>
                <w:b/>
                <w:color w:val="000000"/>
                <w:sz w:val="20"/>
                <w:szCs w:val="20"/>
              </w:rPr>
            </w:pPr>
            <w:r w:rsidRPr="00022A0B">
              <w:rPr>
                <w:rFonts w:ascii="Arial Narrow" w:hAnsi="Arial Narrow" w:cstheme="minorBidi"/>
                <w:color w:val="000000"/>
                <w:sz w:val="20"/>
                <w:szCs w:val="20"/>
              </w:rPr>
              <w:t>100</w:t>
            </w:r>
          </w:p>
        </w:tc>
        <w:tc>
          <w:tcPr>
            <w:tcW w:w="1045" w:type="dxa"/>
            <w:tcBorders>
              <w:top w:val="nil"/>
              <w:left w:val="nil"/>
              <w:bottom w:val="single" w:sz="4" w:space="0" w:color="auto"/>
              <w:right w:val="single" w:sz="4" w:space="0" w:color="auto"/>
            </w:tcBorders>
            <w:shd w:val="clear" w:color="auto" w:fill="auto"/>
            <w:noWrap/>
            <w:vAlign w:val="center"/>
            <w:hideMark/>
          </w:tcPr>
          <w:p w14:paraId="027B086F" w14:textId="77777777" w:rsidR="00BA7C7F" w:rsidRPr="00022A0B" w:rsidRDefault="00BA7C7F" w:rsidP="00BA7C7F">
            <w:pPr>
              <w:jc w:val="center"/>
              <w:rPr>
                <w:rFonts w:ascii="Arial Narrow" w:hAnsi="Arial Narrow" w:cstheme="minorBidi"/>
                <w:b/>
                <w:color w:val="000000"/>
                <w:sz w:val="20"/>
                <w:szCs w:val="20"/>
              </w:rPr>
            </w:pPr>
            <w:r w:rsidRPr="00022A0B">
              <w:rPr>
                <w:rFonts w:ascii="Arial Narrow" w:hAnsi="Arial Narrow" w:cstheme="minorBidi"/>
                <w:color w:val="000000"/>
                <w:sz w:val="20"/>
                <w:szCs w:val="20"/>
              </w:rPr>
              <w:t>-</w:t>
            </w:r>
          </w:p>
        </w:tc>
        <w:tc>
          <w:tcPr>
            <w:tcW w:w="906" w:type="dxa"/>
            <w:tcBorders>
              <w:top w:val="nil"/>
              <w:left w:val="nil"/>
              <w:bottom w:val="single" w:sz="4" w:space="0" w:color="auto"/>
              <w:right w:val="single" w:sz="4" w:space="0" w:color="auto"/>
            </w:tcBorders>
            <w:shd w:val="clear" w:color="auto" w:fill="auto"/>
            <w:noWrap/>
            <w:vAlign w:val="center"/>
            <w:hideMark/>
          </w:tcPr>
          <w:p w14:paraId="44FF43F2" w14:textId="77777777" w:rsidR="00BA7C7F" w:rsidRPr="00022A0B" w:rsidRDefault="00BA7C7F" w:rsidP="00BA7C7F">
            <w:pPr>
              <w:jc w:val="center"/>
              <w:rPr>
                <w:rFonts w:ascii="Arial Narrow" w:hAnsi="Arial Narrow" w:cstheme="minorBidi"/>
                <w:b/>
                <w:color w:val="000000"/>
                <w:sz w:val="20"/>
                <w:szCs w:val="20"/>
              </w:rPr>
            </w:pPr>
            <w:r w:rsidRPr="00022A0B">
              <w:rPr>
                <w:rFonts w:ascii="Arial Narrow" w:hAnsi="Arial Narrow" w:cstheme="minorBidi"/>
                <w:color w:val="000000"/>
                <w:sz w:val="20"/>
                <w:szCs w:val="20"/>
              </w:rPr>
              <w:t>-</w:t>
            </w:r>
          </w:p>
        </w:tc>
        <w:tc>
          <w:tcPr>
            <w:tcW w:w="1801" w:type="dxa"/>
            <w:tcBorders>
              <w:top w:val="nil"/>
              <w:left w:val="nil"/>
              <w:bottom w:val="single" w:sz="4" w:space="0" w:color="auto"/>
              <w:right w:val="single" w:sz="4" w:space="0" w:color="auto"/>
            </w:tcBorders>
            <w:shd w:val="clear" w:color="auto" w:fill="auto"/>
            <w:noWrap/>
            <w:vAlign w:val="center"/>
            <w:hideMark/>
          </w:tcPr>
          <w:p w14:paraId="0FDE688C" w14:textId="77777777" w:rsidR="00BA7C7F" w:rsidRPr="00022A0B" w:rsidRDefault="00BA7C7F" w:rsidP="00BA7C7F">
            <w:pPr>
              <w:jc w:val="right"/>
              <w:rPr>
                <w:rFonts w:ascii="Arial Narrow" w:hAnsi="Arial Narrow" w:cstheme="minorBidi"/>
                <w:b/>
                <w:color w:val="000000"/>
                <w:sz w:val="20"/>
                <w:szCs w:val="20"/>
              </w:rPr>
            </w:pPr>
            <w:r w:rsidRPr="00022A0B">
              <w:rPr>
                <w:rFonts w:ascii="Arial Narrow" w:hAnsi="Arial Narrow" w:cstheme="minorBidi"/>
                <w:color w:val="000000"/>
                <w:sz w:val="20"/>
                <w:szCs w:val="20"/>
              </w:rPr>
              <w:t>3 899 146</w:t>
            </w:r>
          </w:p>
        </w:tc>
      </w:tr>
      <w:tr w:rsidR="00BA7C7F" w:rsidRPr="00C57ABA" w14:paraId="738F515A" w14:textId="77777777" w:rsidTr="00B37935">
        <w:trPr>
          <w:trHeight w:val="300"/>
        </w:trPr>
        <w:tc>
          <w:tcPr>
            <w:tcW w:w="1724" w:type="dxa"/>
            <w:tcBorders>
              <w:top w:val="nil"/>
              <w:left w:val="single" w:sz="4" w:space="0" w:color="auto"/>
              <w:bottom w:val="single" w:sz="4" w:space="0" w:color="auto"/>
              <w:right w:val="single" w:sz="4" w:space="0" w:color="auto"/>
            </w:tcBorders>
            <w:shd w:val="clear" w:color="auto" w:fill="auto"/>
            <w:noWrap/>
            <w:vAlign w:val="center"/>
            <w:hideMark/>
          </w:tcPr>
          <w:p w14:paraId="354CC187" w14:textId="77777777" w:rsidR="00BA7C7F" w:rsidRPr="00022A0B" w:rsidRDefault="00BA7C7F" w:rsidP="00BA7C7F">
            <w:pPr>
              <w:rPr>
                <w:rFonts w:ascii="Arial Narrow" w:hAnsi="Arial Narrow" w:cstheme="minorBidi"/>
                <w:b/>
                <w:color w:val="000000"/>
                <w:sz w:val="20"/>
                <w:szCs w:val="20"/>
              </w:rPr>
            </w:pPr>
            <w:r w:rsidRPr="00022A0B">
              <w:rPr>
                <w:rFonts w:ascii="Arial Narrow" w:hAnsi="Arial Narrow" w:cstheme="minorBidi"/>
                <w:color w:val="000000"/>
                <w:sz w:val="20"/>
                <w:szCs w:val="20"/>
              </w:rPr>
              <w:t>ДПЖ-РП</w:t>
            </w:r>
          </w:p>
        </w:tc>
        <w:tc>
          <w:tcPr>
            <w:tcW w:w="1801" w:type="dxa"/>
            <w:tcBorders>
              <w:top w:val="nil"/>
              <w:left w:val="nil"/>
              <w:bottom w:val="single" w:sz="4" w:space="0" w:color="auto"/>
              <w:right w:val="single" w:sz="4" w:space="0" w:color="auto"/>
            </w:tcBorders>
            <w:shd w:val="clear" w:color="auto" w:fill="auto"/>
            <w:noWrap/>
            <w:vAlign w:val="center"/>
            <w:hideMark/>
          </w:tcPr>
          <w:p w14:paraId="5CA936C0" w14:textId="77777777" w:rsidR="00BA7C7F" w:rsidRPr="00022A0B" w:rsidRDefault="00BA7C7F" w:rsidP="00BA7C7F">
            <w:pPr>
              <w:jc w:val="right"/>
              <w:rPr>
                <w:rFonts w:ascii="Arial Narrow" w:hAnsi="Arial Narrow" w:cstheme="minorBidi"/>
                <w:b/>
                <w:color w:val="000000"/>
                <w:sz w:val="20"/>
                <w:szCs w:val="20"/>
              </w:rPr>
            </w:pPr>
            <w:r w:rsidRPr="00022A0B">
              <w:rPr>
                <w:rFonts w:ascii="Arial Narrow" w:hAnsi="Arial Narrow" w:cstheme="minorBidi"/>
                <w:color w:val="000000"/>
                <w:sz w:val="20"/>
                <w:szCs w:val="20"/>
              </w:rPr>
              <w:t>1 218</w:t>
            </w:r>
          </w:p>
        </w:tc>
        <w:tc>
          <w:tcPr>
            <w:tcW w:w="1652" w:type="dxa"/>
            <w:tcBorders>
              <w:top w:val="nil"/>
              <w:left w:val="nil"/>
              <w:bottom w:val="single" w:sz="4" w:space="0" w:color="auto"/>
              <w:right w:val="single" w:sz="4" w:space="0" w:color="auto"/>
            </w:tcBorders>
            <w:shd w:val="clear" w:color="auto" w:fill="auto"/>
            <w:noWrap/>
            <w:vAlign w:val="center"/>
            <w:hideMark/>
          </w:tcPr>
          <w:p w14:paraId="62A6545E" w14:textId="77777777" w:rsidR="00BA7C7F" w:rsidRPr="00022A0B" w:rsidRDefault="00BA7C7F" w:rsidP="00BA7C7F">
            <w:pPr>
              <w:jc w:val="right"/>
              <w:rPr>
                <w:rFonts w:ascii="Arial Narrow" w:hAnsi="Arial Narrow" w:cstheme="minorBidi"/>
                <w:b/>
                <w:color w:val="000000"/>
                <w:sz w:val="20"/>
                <w:szCs w:val="20"/>
              </w:rPr>
            </w:pPr>
            <w:r w:rsidRPr="00022A0B">
              <w:rPr>
                <w:rFonts w:ascii="Arial Narrow" w:hAnsi="Arial Narrow" w:cstheme="minorBidi"/>
                <w:color w:val="000000"/>
                <w:sz w:val="20"/>
                <w:szCs w:val="20"/>
              </w:rPr>
              <w:t>1 208</w:t>
            </w:r>
          </w:p>
        </w:tc>
        <w:tc>
          <w:tcPr>
            <w:tcW w:w="1045" w:type="dxa"/>
            <w:tcBorders>
              <w:top w:val="nil"/>
              <w:left w:val="nil"/>
              <w:bottom w:val="single" w:sz="4" w:space="0" w:color="auto"/>
              <w:right w:val="single" w:sz="4" w:space="0" w:color="auto"/>
            </w:tcBorders>
            <w:shd w:val="clear" w:color="auto" w:fill="auto"/>
            <w:noWrap/>
            <w:vAlign w:val="center"/>
            <w:hideMark/>
          </w:tcPr>
          <w:p w14:paraId="21FF7437" w14:textId="77777777" w:rsidR="00BA7C7F" w:rsidRPr="00022A0B" w:rsidRDefault="00BA7C7F" w:rsidP="00BA7C7F">
            <w:pPr>
              <w:jc w:val="center"/>
              <w:rPr>
                <w:rFonts w:ascii="Arial Narrow" w:hAnsi="Arial Narrow" w:cstheme="minorBidi"/>
                <w:b/>
                <w:color w:val="000000"/>
                <w:sz w:val="20"/>
                <w:szCs w:val="20"/>
              </w:rPr>
            </w:pPr>
            <w:r w:rsidRPr="00022A0B">
              <w:rPr>
                <w:rFonts w:ascii="Arial Narrow" w:hAnsi="Arial Narrow" w:cstheme="minorBidi"/>
                <w:color w:val="000000"/>
                <w:sz w:val="20"/>
                <w:szCs w:val="20"/>
              </w:rPr>
              <w:t>100</w:t>
            </w:r>
          </w:p>
        </w:tc>
        <w:tc>
          <w:tcPr>
            <w:tcW w:w="1045" w:type="dxa"/>
            <w:tcBorders>
              <w:top w:val="nil"/>
              <w:left w:val="nil"/>
              <w:bottom w:val="single" w:sz="4" w:space="0" w:color="auto"/>
              <w:right w:val="single" w:sz="4" w:space="0" w:color="auto"/>
            </w:tcBorders>
            <w:shd w:val="clear" w:color="auto" w:fill="auto"/>
            <w:noWrap/>
            <w:vAlign w:val="center"/>
            <w:hideMark/>
          </w:tcPr>
          <w:p w14:paraId="601A2231" w14:textId="77777777" w:rsidR="00BA7C7F" w:rsidRPr="00022A0B" w:rsidRDefault="00BA7C7F" w:rsidP="00BA7C7F">
            <w:pPr>
              <w:jc w:val="center"/>
              <w:rPr>
                <w:rFonts w:ascii="Arial Narrow" w:hAnsi="Arial Narrow" w:cstheme="minorBidi"/>
                <w:b/>
                <w:color w:val="000000"/>
                <w:sz w:val="20"/>
                <w:szCs w:val="20"/>
              </w:rPr>
            </w:pPr>
            <w:r w:rsidRPr="00022A0B">
              <w:rPr>
                <w:rFonts w:ascii="Arial Narrow" w:hAnsi="Arial Narrow" w:cstheme="minorBidi"/>
                <w:color w:val="000000"/>
                <w:sz w:val="20"/>
                <w:szCs w:val="20"/>
              </w:rPr>
              <w:t>-</w:t>
            </w:r>
          </w:p>
        </w:tc>
        <w:tc>
          <w:tcPr>
            <w:tcW w:w="906" w:type="dxa"/>
            <w:tcBorders>
              <w:top w:val="nil"/>
              <w:left w:val="nil"/>
              <w:bottom w:val="single" w:sz="4" w:space="0" w:color="auto"/>
              <w:right w:val="single" w:sz="4" w:space="0" w:color="auto"/>
            </w:tcBorders>
            <w:shd w:val="clear" w:color="auto" w:fill="auto"/>
            <w:noWrap/>
            <w:vAlign w:val="center"/>
            <w:hideMark/>
          </w:tcPr>
          <w:p w14:paraId="659EA530" w14:textId="77777777" w:rsidR="00BA7C7F" w:rsidRPr="00022A0B" w:rsidRDefault="00BA7C7F" w:rsidP="00BA7C7F">
            <w:pPr>
              <w:jc w:val="center"/>
              <w:rPr>
                <w:rFonts w:ascii="Arial Narrow" w:hAnsi="Arial Narrow" w:cstheme="minorBidi"/>
                <w:b/>
                <w:color w:val="000000"/>
                <w:sz w:val="20"/>
                <w:szCs w:val="20"/>
              </w:rPr>
            </w:pPr>
            <w:r w:rsidRPr="00022A0B">
              <w:rPr>
                <w:rFonts w:ascii="Arial Narrow" w:hAnsi="Arial Narrow" w:cstheme="minorBidi"/>
                <w:color w:val="000000"/>
                <w:sz w:val="20"/>
                <w:szCs w:val="20"/>
              </w:rPr>
              <w:t>-</w:t>
            </w:r>
          </w:p>
        </w:tc>
        <w:tc>
          <w:tcPr>
            <w:tcW w:w="1801" w:type="dxa"/>
            <w:tcBorders>
              <w:top w:val="nil"/>
              <w:left w:val="nil"/>
              <w:bottom w:val="single" w:sz="4" w:space="0" w:color="auto"/>
              <w:right w:val="single" w:sz="4" w:space="0" w:color="auto"/>
            </w:tcBorders>
            <w:shd w:val="clear" w:color="auto" w:fill="auto"/>
            <w:noWrap/>
            <w:vAlign w:val="center"/>
            <w:hideMark/>
          </w:tcPr>
          <w:p w14:paraId="12341827" w14:textId="77777777" w:rsidR="00BA7C7F" w:rsidRPr="00022A0B" w:rsidRDefault="00BA7C7F" w:rsidP="00BA7C7F">
            <w:pPr>
              <w:jc w:val="right"/>
              <w:rPr>
                <w:rFonts w:ascii="Arial Narrow" w:hAnsi="Arial Narrow" w:cstheme="minorBidi"/>
                <w:b/>
                <w:color w:val="000000"/>
                <w:sz w:val="20"/>
                <w:szCs w:val="20"/>
              </w:rPr>
            </w:pPr>
            <w:r w:rsidRPr="00022A0B">
              <w:rPr>
                <w:rFonts w:ascii="Arial Narrow" w:hAnsi="Arial Narrow" w:cstheme="minorBidi"/>
                <w:color w:val="000000"/>
                <w:sz w:val="20"/>
                <w:szCs w:val="20"/>
              </w:rPr>
              <w:t>15 599 923</w:t>
            </w:r>
          </w:p>
        </w:tc>
      </w:tr>
      <w:tr w:rsidR="00BA7C7F" w:rsidRPr="00C57ABA" w14:paraId="61118C59" w14:textId="77777777" w:rsidTr="00B37935">
        <w:trPr>
          <w:trHeight w:val="300"/>
        </w:trPr>
        <w:tc>
          <w:tcPr>
            <w:tcW w:w="1724" w:type="dxa"/>
            <w:tcBorders>
              <w:top w:val="nil"/>
              <w:left w:val="single" w:sz="4" w:space="0" w:color="auto"/>
              <w:bottom w:val="single" w:sz="4" w:space="0" w:color="auto"/>
              <w:right w:val="single" w:sz="4" w:space="0" w:color="auto"/>
            </w:tcBorders>
            <w:shd w:val="clear" w:color="auto" w:fill="auto"/>
            <w:noWrap/>
            <w:vAlign w:val="center"/>
            <w:hideMark/>
          </w:tcPr>
          <w:p w14:paraId="5C30EAF2" w14:textId="77777777" w:rsidR="00BA7C7F" w:rsidRPr="00022A0B" w:rsidRDefault="00BA7C7F" w:rsidP="00BA7C7F">
            <w:pPr>
              <w:rPr>
                <w:rFonts w:ascii="Arial Narrow" w:hAnsi="Arial Narrow" w:cstheme="minorBidi"/>
                <w:b/>
                <w:color w:val="000000"/>
                <w:sz w:val="20"/>
                <w:szCs w:val="20"/>
              </w:rPr>
            </w:pPr>
            <w:r w:rsidRPr="00022A0B">
              <w:rPr>
                <w:rFonts w:ascii="Arial Narrow" w:hAnsi="Arial Narrow" w:cstheme="minorBidi"/>
                <w:color w:val="000000"/>
                <w:sz w:val="20"/>
                <w:szCs w:val="20"/>
              </w:rPr>
              <w:t>ДПЖ-пл</w:t>
            </w:r>
          </w:p>
        </w:tc>
        <w:tc>
          <w:tcPr>
            <w:tcW w:w="1801" w:type="dxa"/>
            <w:tcBorders>
              <w:top w:val="nil"/>
              <w:left w:val="nil"/>
              <w:bottom w:val="single" w:sz="4" w:space="0" w:color="auto"/>
              <w:right w:val="single" w:sz="4" w:space="0" w:color="auto"/>
            </w:tcBorders>
            <w:shd w:val="clear" w:color="auto" w:fill="auto"/>
            <w:noWrap/>
            <w:vAlign w:val="center"/>
            <w:hideMark/>
          </w:tcPr>
          <w:p w14:paraId="5BB22C7D" w14:textId="77777777" w:rsidR="00BA7C7F" w:rsidRPr="00022A0B" w:rsidRDefault="00BA7C7F" w:rsidP="00BA7C7F">
            <w:pPr>
              <w:jc w:val="right"/>
              <w:rPr>
                <w:rFonts w:ascii="Arial Narrow" w:hAnsi="Arial Narrow" w:cstheme="minorBidi"/>
                <w:b/>
                <w:color w:val="000000"/>
                <w:sz w:val="20"/>
                <w:szCs w:val="20"/>
              </w:rPr>
            </w:pPr>
            <w:r w:rsidRPr="00022A0B">
              <w:rPr>
                <w:rFonts w:ascii="Arial Narrow" w:hAnsi="Arial Narrow" w:cstheme="minorBidi"/>
                <w:color w:val="000000"/>
                <w:sz w:val="20"/>
                <w:szCs w:val="20"/>
              </w:rPr>
              <w:t>1 513</w:t>
            </w:r>
          </w:p>
        </w:tc>
        <w:tc>
          <w:tcPr>
            <w:tcW w:w="1652" w:type="dxa"/>
            <w:tcBorders>
              <w:top w:val="nil"/>
              <w:left w:val="nil"/>
              <w:bottom w:val="single" w:sz="4" w:space="0" w:color="auto"/>
              <w:right w:val="single" w:sz="4" w:space="0" w:color="auto"/>
            </w:tcBorders>
            <w:shd w:val="clear" w:color="auto" w:fill="auto"/>
            <w:noWrap/>
            <w:vAlign w:val="center"/>
            <w:hideMark/>
          </w:tcPr>
          <w:p w14:paraId="5D61AACC" w14:textId="77777777" w:rsidR="00BA7C7F" w:rsidRPr="00022A0B" w:rsidRDefault="00BA7C7F" w:rsidP="00BA7C7F">
            <w:pPr>
              <w:jc w:val="right"/>
              <w:rPr>
                <w:rFonts w:ascii="Arial Narrow" w:hAnsi="Arial Narrow" w:cstheme="minorBidi"/>
                <w:b/>
                <w:color w:val="000000"/>
                <w:sz w:val="20"/>
                <w:szCs w:val="20"/>
              </w:rPr>
            </w:pPr>
            <w:r w:rsidRPr="00022A0B">
              <w:rPr>
                <w:rFonts w:ascii="Arial Narrow" w:hAnsi="Arial Narrow" w:cstheme="minorBidi"/>
                <w:color w:val="000000"/>
                <w:sz w:val="20"/>
                <w:szCs w:val="20"/>
              </w:rPr>
              <w:t>1 479</w:t>
            </w:r>
          </w:p>
        </w:tc>
        <w:tc>
          <w:tcPr>
            <w:tcW w:w="1045" w:type="dxa"/>
            <w:tcBorders>
              <w:top w:val="nil"/>
              <w:left w:val="nil"/>
              <w:bottom w:val="single" w:sz="4" w:space="0" w:color="auto"/>
              <w:right w:val="single" w:sz="4" w:space="0" w:color="auto"/>
            </w:tcBorders>
            <w:shd w:val="clear" w:color="auto" w:fill="auto"/>
            <w:noWrap/>
            <w:vAlign w:val="center"/>
            <w:hideMark/>
          </w:tcPr>
          <w:p w14:paraId="06E249D3" w14:textId="77777777" w:rsidR="00BA7C7F" w:rsidRPr="00022A0B" w:rsidRDefault="00BA7C7F" w:rsidP="00BA7C7F">
            <w:pPr>
              <w:jc w:val="center"/>
              <w:rPr>
                <w:rFonts w:ascii="Arial Narrow" w:hAnsi="Arial Narrow" w:cstheme="minorBidi"/>
                <w:b/>
                <w:color w:val="000000"/>
                <w:sz w:val="20"/>
                <w:szCs w:val="20"/>
              </w:rPr>
            </w:pPr>
            <w:r w:rsidRPr="00022A0B">
              <w:rPr>
                <w:rFonts w:ascii="Arial Narrow" w:hAnsi="Arial Narrow" w:cstheme="minorBidi"/>
                <w:color w:val="000000"/>
                <w:sz w:val="20"/>
                <w:szCs w:val="20"/>
              </w:rPr>
              <w:t>100</w:t>
            </w:r>
          </w:p>
        </w:tc>
        <w:tc>
          <w:tcPr>
            <w:tcW w:w="1045" w:type="dxa"/>
            <w:tcBorders>
              <w:top w:val="nil"/>
              <w:left w:val="nil"/>
              <w:bottom w:val="single" w:sz="4" w:space="0" w:color="auto"/>
              <w:right w:val="single" w:sz="4" w:space="0" w:color="auto"/>
            </w:tcBorders>
            <w:shd w:val="clear" w:color="auto" w:fill="auto"/>
            <w:noWrap/>
            <w:vAlign w:val="center"/>
            <w:hideMark/>
          </w:tcPr>
          <w:p w14:paraId="3236E4D7" w14:textId="77777777" w:rsidR="00BA7C7F" w:rsidRPr="00022A0B" w:rsidRDefault="00BA7C7F" w:rsidP="00BA7C7F">
            <w:pPr>
              <w:jc w:val="center"/>
              <w:rPr>
                <w:rFonts w:ascii="Arial Narrow" w:hAnsi="Arial Narrow" w:cstheme="minorBidi"/>
                <w:b/>
                <w:color w:val="000000"/>
                <w:sz w:val="20"/>
                <w:szCs w:val="20"/>
              </w:rPr>
            </w:pPr>
            <w:r w:rsidRPr="00022A0B">
              <w:rPr>
                <w:rFonts w:ascii="Arial Narrow" w:hAnsi="Arial Narrow" w:cstheme="minorBidi"/>
                <w:color w:val="000000"/>
                <w:sz w:val="20"/>
                <w:szCs w:val="20"/>
              </w:rPr>
              <w:t>-</w:t>
            </w:r>
          </w:p>
        </w:tc>
        <w:tc>
          <w:tcPr>
            <w:tcW w:w="906" w:type="dxa"/>
            <w:tcBorders>
              <w:top w:val="nil"/>
              <w:left w:val="nil"/>
              <w:bottom w:val="single" w:sz="4" w:space="0" w:color="auto"/>
              <w:right w:val="single" w:sz="4" w:space="0" w:color="auto"/>
            </w:tcBorders>
            <w:shd w:val="clear" w:color="auto" w:fill="auto"/>
            <w:noWrap/>
            <w:vAlign w:val="center"/>
            <w:hideMark/>
          </w:tcPr>
          <w:p w14:paraId="7EF5E6FD" w14:textId="77777777" w:rsidR="00BA7C7F" w:rsidRPr="00022A0B" w:rsidRDefault="00BA7C7F" w:rsidP="00BA7C7F">
            <w:pPr>
              <w:jc w:val="center"/>
              <w:rPr>
                <w:rFonts w:ascii="Arial Narrow" w:hAnsi="Arial Narrow" w:cstheme="minorBidi"/>
                <w:b/>
                <w:color w:val="000000"/>
                <w:sz w:val="20"/>
                <w:szCs w:val="20"/>
              </w:rPr>
            </w:pPr>
            <w:r w:rsidRPr="00022A0B">
              <w:rPr>
                <w:rFonts w:ascii="Arial Narrow" w:hAnsi="Arial Narrow" w:cstheme="minorBidi"/>
                <w:color w:val="000000"/>
                <w:sz w:val="20"/>
                <w:szCs w:val="20"/>
              </w:rPr>
              <w:t>-</w:t>
            </w:r>
          </w:p>
        </w:tc>
        <w:tc>
          <w:tcPr>
            <w:tcW w:w="1801" w:type="dxa"/>
            <w:tcBorders>
              <w:top w:val="nil"/>
              <w:left w:val="nil"/>
              <w:bottom w:val="single" w:sz="4" w:space="0" w:color="auto"/>
              <w:right w:val="single" w:sz="4" w:space="0" w:color="auto"/>
            </w:tcBorders>
            <w:shd w:val="clear" w:color="auto" w:fill="auto"/>
            <w:noWrap/>
            <w:vAlign w:val="center"/>
            <w:hideMark/>
          </w:tcPr>
          <w:p w14:paraId="3AAB84C7" w14:textId="77777777" w:rsidR="00BA7C7F" w:rsidRPr="00022A0B" w:rsidRDefault="00BA7C7F" w:rsidP="00BA7C7F">
            <w:pPr>
              <w:jc w:val="right"/>
              <w:rPr>
                <w:rFonts w:ascii="Arial Narrow" w:hAnsi="Arial Narrow" w:cstheme="minorBidi"/>
                <w:b/>
                <w:color w:val="000000"/>
                <w:sz w:val="20"/>
                <w:szCs w:val="20"/>
              </w:rPr>
            </w:pPr>
            <w:r w:rsidRPr="00022A0B">
              <w:rPr>
                <w:rFonts w:ascii="Arial Narrow" w:hAnsi="Arial Narrow" w:cstheme="minorBidi"/>
                <w:color w:val="000000"/>
                <w:sz w:val="20"/>
                <w:szCs w:val="20"/>
              </w:rPr>
              <w:t>1 969 218</w:t>
            </w:r>
          </w:p>
        </w:tc>
      </w:tr>
      <w:tr w:rsidR="00BA7C7F" w:rsidRPr="00C57ABA" w14:paraId="52494974" w14:textId="77777777" w:rsidTr="00B37935">
        <w:trPr>
          <w:trHeight w:val="300"/>
        </w:trPr>
        <w:tc>
          <w:tcPr>
            <w:tcW w:w="1724" w:type="dxa"/>
            <w:tcBorders>
              <w:top w:val="nil"/>
              <w:left w:val="single" w:sz="4" w:space="0" w:color="auto"/>
              <w:bottom w:val="single" w:sz="4" w:space="0" w:color="auto"/>
              <w:right w:val="single" w:sz="4" w:space="0" w:color="auto"/>
            </w:tcBorders>
            <w:shd w:val="clear" w:color="auto" w:fill="auto"/>
            <w:noWrap/>
            <w:vAlign w:val="center"/>
            <w:hideMark/>
          </w:tcPr>
          <w:p w14:paraId="79422C2A" w14:textId="77777777" w:rsidR="00BA7C7F" w:rsidRPr="00022A0B" w:rsidRDefault="00BA7C7F" w:rsidP="00BA7C7F">
            <w:pPr>
              <w:rPr>
                <w:rFonts w:ascii="Arial Narrow" w:hAnsi="Arial Narrow" w:cstheme="minorBidi"/>
                <w:b/>
                <w:color w:val="000000"/>
                <w:sz w:val="20"/>
                <w:szCs w:val="20"/>
              </w:rPr>
            </w:pPr>
            <w:r w:rsidRPr="00022A0B">
              <w:rPr>
                <w:rFonts w:ascii="Arial Narrow" w:hAnsi="Arial Narrow" w:cstheme="minorBidi"/>
                <w:color w:val="000000"/>
                <w:sz w:val="20"/>
                <w:szCs w:val="20"/>
              </w:rPr>
              <w:t>ДПЖ – ЗП</w:t>
            </w:r>
          </w:p>
        </w:tc>
        <w:tc>
          <w:tcPr>
            <w:tcW w:w="1801" w:type="dxa"/>
            <w:tcBorders>
              <w:top w:val="nil"/>
              <w:left w:val="nil"/>
              <w:bottom w:val="single" w:sz="4" w:space="0" w:color="auto"/>
              <w:right w:val="single" w:sz="4" w:space="0" w:color="auto"/>
            </w:tcBorders>
            <w:shd w:val="clear" w:color="auto" w:fill="auto"/>
            <w:noWrap/>
            <w:vAlign w:val="center"/>
            <w:hideMark/>
          </w:tcPr>
          <w:p w14:paraId="7AA52E6E" w14:textId="77777777" w:rsidR="00BA7C7F" w:rsidRPr="00022A0B" w:rsidRDefault="00BA7C7F" w:rsidP="00BA7C7F">
            <w:pPr>
              <w:jc w:val="right"/>
              <w:rPr>
                <w:rFonts w:ascii="Arial Narrow" w:hAnsi="Arial Narrow" w:cstheme="minorBidi"/>
                <w:b/>
                <w:color w:val="000000"/>
                <w:sz w:val="20"/>
                <w:szCs w:val="20"/>
              </w:rPr>
            </w:pPr>
            <w:r w:rsidRPr="00022A0B">
              <w:rPr>
                <w:rFonts w:ascii="Arial Narrow" w:hAnsi="Arial Narrow" w:cstheme="minorBidi"/>
                <w:color w:val="000000"/>
                <w:sz w:val="20"/>
                <w:szCs w:val="20"/>
              </w:rPr>
              <w:t>850</w:t>
            </w:r>
          </w:p>
        </w:tc>
        <w:tc>
          <w:tcPr>
            <w:tcW w:w="1652" w:type="dxa"/>
            <w:tcBorders>
              <w:top w:val="nil"/>
              <w:left w:val="nil"/>
              <w:bottom w:val="single" w:sz="4" w:space="0" w:color="auto"/>
              <w:right w:val="single" w:sz="4" w:space="0" w:color="auto"/>
            </w:tcBorders>
            <w:shd w:val="clear" w:color="auto" w:fill="auto"/>
            <w:noWrap/>
            <w:vAlign w:val="center"/>
            <w:hideMark/>
          </w:tcPr>
          <w:p w14:paraId="2DF336CF" w14:textId="77777777" w:rsidR="00BA7C7F" w:rsidRPr="00022A0B" w:rsidRDefault="00BA7C7F" w:rsidP="00BA7C7F">
            <w:pPr>
              <w:jc w:val="right"/>
              <w:rPr>
                <w:rFonts w:ascii="Arial Narrow" w:hAnsi="Arial Narrow" w:cstheme="minorBidi"/>
                <w:b/>
                <w:color w:val="000000"/>
                <w:sz w:val="20"/>
                <w:szCs w:val="20"/>
              </w:rPr>
            </w:pPr>
            <w:r w:rsidRPr="00022A0B">
              <w:rPr>
                <w:rFonts w:ascii="Arial Narrow" w:hAnsi="Arial Narrow" w:cstheme="minorBidi"/>
                <w:color w:val="000000"/>
                <w:sz w:val="20"/>
                <w:szCs w:val="20"/>
              </w:rPr>
              <w:t>847</w:t>
            </w:r>
          </w:p>
        </w:tc>
        <w:tc>
          <w:tcPr>
            <w:tcW w:w="1045" w:type="dxa"/>
            <w:tcBorders>
              <w:top w:val="nil"/>
              <w:left w:val="nil"/>
              <w:bottom w:val="single" w:sz="4" w:space="0" w:color="auto"/>
              <w:right w:val="single" w:sz="4" w:space="0" w:color="auto"/>
            </w:tcBorders>
            <w:shd w:val="clear" w:color="auto" w:fill="auto"/>
            <w:noWrap/>
            <w:vAlign w:val="center"/>
            <w:hideMark/>
          </w:tcPr>
          <w:p w14:paraId="668A7EFC" w14:textId="77777777" w:rsidR="00BA7C7F" w:rsidRPr="00022A0B" w:rsidRDefault="00BA7C7F" w:rsidP="00BA7C7F">
            <w:pPr>
              <w:jc w:val="center"/>
              <w:rPr>
                <w:rFonts w:ascii="Arial Narrow" w:hAnsi="Arial Narrow" w:cstheme="minorBidi"/>
                <w:b/>
                <w:color w:val="000000"/>
                <w:sz w:val="20"/>
                <w:szCs w:val="20"/>
              </w:rPr>
            </w:pPr>
            <w:r w:rsidRPr="00022A0B">
              <w:rPr>
                <w:rFonts w:ascii="Arial Narrow" w:hAnsi="Arial Narrow" w:cstheme="minorBidi"/>
                <w:color w:val="000000"/>
                <w:sz w:val="20"/>
                <w:szCs w:val="20"/>
              </w:rPr>
              <w:t>100</w:t>
            </w:r>
          </w:p>
        </w:tc>
        <w:tc>
          <w:tcPr>
            <w:tcW w:w="1045" w:type="dxa"/>
            <w:tcBorders>
              <w:top w:val="nil"/>
              <w:left w:val="nil"/>
              <w:bottom w:val="single" w:sz="4" w:space="0" w:color="auto"/>
              <w:right w:val="single" w:sz="4" w:space="0" w:color="auto"/>
            </w:tcBorders>
            <w:shd w:val="clear" w:color="auto" w:fill="auto"/>
            <w:noWrap/>
            <w:vAlign w:val="center"/>
            <w:hideMark/>
          </w:tcPr>
          <w:p w14:paraId="6A3676F1" w14:textId="77777777" w:rsidR="00BA7C7F" w:rsidRPr="00022A0B" w:rsidRDefault="00BA7C7F" w:rsidP="00BA7C7F">
            <w:pPr>
              <w:jc w:val="center"/>
              <w:rPr>
                <w:rFonts w:ascii="Arial Narrow" w:hAnsi="Arial Narrow" w:cstheme="minorBidi"/>
                <w:b/>
                <w:color w:val="000000"/>
                <w:sz w:val="20"/>
                <w:szCs w:val="20"/>
              </w:rPr>
            </w:pPr>
            <w:r w:rsidRPr="00022A0B">
              <w:rPr>
                <w:rFonts w:ascii="Arial Narrow" w:hAnsi="Arial Narrow" w:cstheme="minorBidi"/>
                <w:color w:val="000000"/>
                <w:sz w:val="20"/>
                <w:szCs w:val="20"/>
              </w:rPr>
              <w:t>-</w:t>
            </w:r>
          </w:p>
        </w:tc>
        <w:tc>
          <w:tcPr>
            <w:tcW w:w="906" w:type="dxa"/>
            <w:tcBorders>
              <w:top w:val="nil"/>
              <w:left w:val="nil"/>
              <w:bottom w:val="single" w:sz="4" w:space="0" w:color="auto"/>
              <w:right w:val="single" w:sz="4" w:space="0" w:color="auto"/>
            </w:tcBorders>
            <w:shd w:val="clear" w:color="auto" w:fill="auto"/>
            <w:noWrap/>
            <w:vAlign w:val="center"/>
            <w:hideMark/>
          </w:tcPr>
          <w:p w14:paraId="467DDCE2" w14:textId="77777777" w:rsidR="00BA7C7F" w:rsidRPr="00022A0B" w:rsidRDefault="00BA7C7F" w:rsidP="00BA7C7F">
            <w:pPr>
              <w:jc w:val="center"/>
              <w:rPr>
                <w:rFonts w:ascii="Arial Narrow" w:hAnsi="Arial Narrow" w:cstheme="minorBidi"/>
                <w:b/>
                <w:color w:val="000000"/>
                <w:sz w:val="20"/>
                <w:szCs w:val="20"/>
              </w:rPr>
            </w:pPr>
            <w:r w:rsidRPr="00022A0B">
              <w:rPr>
                <w:rFonts w:ascii="Arial Narrow" w:hAnsi="Arial Narrow" w:cstheme="minorBidi"/>
                <w:color w:val="000000"/>
                <w:sz w:val="20"/>
                <w:szCs w:val="20"/>
              </w:rPr>
              <w:t>-</w:t>
            </w:r>
          </w:p>
        </w:tc>
        <w:tc>
          <w:tcPr>
            <w:tcW w:w="1801" w:type="dxa"/>
            <w:tcBorders>
              <w:top w:val="nil"/>
              <w:left w:val="nil"/>
              <w:bottom w:val="single" w:sz="4" w:space="0" w:color="auto"/>
              <w:right w:val="single" w:sz="4" w:space="0" w:color="auto"/>
            </w:tcBorders>
            <w:shd w:val="clear" w:color="auto" w:fill="auto"/>
            <w:noWrap/>
            <w:vAlign w:val="center"/>
            <w:hideMark/>
          </w:tcPr>
          <w:p w14:paraId="658FA211" w14:textId="77777777" w:rsidR="00BA7C7F" w:rsidRPr="00022A0B" w:rsidRDefault="00BA7C7F" w:rsidP="00BA7C7F">
            <w:pPr>
              <w:jc w:val="right"/>
              <w:rPr>
                <w:rFonts w:ascii="Arial Narrow" w:hAnsi="Arial Narrow" w:cstheme="minorBidi"/>
                <w:b/>
                <w:color w:val="000000"/>
                <w:sz w:val="20"/>
                <w:szCs w:val="20"/>
              </w:rPr>
            </w:pPr>
            <w:r w:rsidRPr="00022A0B">
              <w:rPr>
                <w:rFonts w:ascii="Arial Narrow" w:hAnsi="Arial Narrow" w:cstheme="minorBidi"/>
                <w:color w:val="000000"/>
                <w:sz w:val="20"/>
                <w:szCs w:val="20"/>
              </w:rPr>
              <w:t>6 545 498</w:t>
            </w:r>
          </w:p>
        </w:tc>
      </w:tr>
      <w:tr w:rsidR="00BA7C7F" w:rsidRPr="00C57ABA" w14:paraId="373F6156" w14:textId="77777777" w:rsidTr="00B37935">
        <w:trPr>
          <w:trHeight w:val="300"/>
        </w:trPr>
        <w:tc>
          <w:tcPr>
            <w:tcW w:w="1724" w:type="dxa"/>
            <w:tcBorders>
              <w:top w:val="nil"/>
              <w:left w:val="single" w:sz="4" w:space="0" w:color="auto"/>
              <w:bottom w:val="single" w:sz="4" w:space="0" w:color="auto"/>
              <w:right w:val="single" w:sz="4" w:space="0" w:color="auto"/>
            </w:tcBorders>
            <w:shd w:val="clear" w:color="auto" w:fill="auto"/>
            <w:noWrap/>
            <w:vAlign w:val="center"/>
            <w:hideMark/>
          </w:tcPr>
          <w:p w14:paraId="6093DAD4" w14:textId="77777777" w:rsidR="00BA7C7F" w:rsidRPr="00022A0B" w:rsidRDefault="00BA7C7F" w:rsidP="00BA7C7F">
            <w:pPr>
              <w:rPr>
                <w:rFonts w:ascii="Arial Narrow" w:hAnsi="Arial Narrow" w:cstheme="minorBidi"/>
                <w:b/>
                <w:color w:val="000000"/>
                <w:sz w:val="20"/>
                <w:szCs w:val="20"/>
              </w:rPr>
            </w:pPr>
            <w:r w:rsidRPr="00022A0B">
              <w:rPr>
                <w:rFonts w:ascii="Arial Narrow" w:hAnsi="Arial Narrow" w:cstheme="minorBidi"/>
                <w:color w:val="000000"/>
                <w:sz w:val="20"/>
                <w:szCs w:val="20"/>
              </w:rPr>
              <w:t>ИП</w:t>
            </w:r>
          </w:p>
        </w:tc>
        <w:tc>
          <w:tcPr>
            <w:tcW w:w="1801" w:type="dxa"/>
            <w:tcBorders>
              <w:top w:val="nil"/>
              <w:left w:val="nil"/>
              <w:bottom w:val="single" w:sz="4" w:space="0" w:color="auto"/>
              <w:right w:val="single" w:sz="4" w:space="0" w:color="auto"/>
            </w:tcBorders>
            <w:shd w:val="clear" w:color="auto" w:fill="auto"/>
            <w:noWrap/>
            <w:vAlign w:val="center"/>
            <w:hideMark/>
          </w:tcPr>
          <w:p w14:paraId="233EE23D" w14:textId="77777777" w:rsidR="00BA7C7F" w:rsidRPr="00022A0B" w:rsidRDefault="00BA7C7F" w:rsidP="00BA7C7F">
            <w:pPr>
              <w:jc w:val="right"/>
              <w:rPr>
                <w:rFonts w:ascii="Arial Narrow" w:hAnsi="Arial Narrow" w:cstheme="minorBidi"/>
                <w:b/>
                <w:color w:val="000000"/>
                <w:sz w:val="20"/>
                <w:szCs w:val="20"/>
              </w:rPr>
            </w:pPr>
            <w:r w:rsidRPr="00022A0B">
              <w:rPr>
                <w:rFonts w:ascii="Arial Narrow" w:hAnsi="Arial Narrow" w:cstheme="minorBidi"/>
                <w:color w:val="000000"/>
                <w:sz w:val="20"/>
                <w:szCs w:val="20"/>
              </w:rPr>
              <w:t>7 510</w:t>
            </w:r>
          </w:p>
        </w:tc>
        <w:tc>
          <w:tcPr>
            <w:tcW w:w="1652" w:type="dxa"/>
            <w:tcBorders>
              <w:top w:val="nil"/>
              <w:left w:val="nil"/>
              <w:bottom w:val="single" w:sz="4" w:space="0" w:color="auto"/>
              <w:right w:val="single" w:sz="4" w:space="0" w:color="auto"/>
            </w:tcBorders>
            <w:shd w:val="clear" w:color="auto" w:fill="auto"/>
            <w:noWrap/>
            <w:vAlign w:val="center"/>
            <w:hideMark/>
          </w:tcPr>
          <w:p w14:paraId="3E7A153A" w14:textId="77777777" w:rsidR="00BA7C7F" w:rsidRPr="00022A0B" w:rsidRDefault="00BA7C7F" w:rsidP="00BA7C7F">
            <w:pPr>
              <w:jc w:val="right"/>
              <w:rPr>
                <w:rFonts w:ascii="Arial Narrow" w:hAnsi="Arial Narrow" w:cstheme="minorBidi"/>
                <w:b/>
                <w:color w:val="000000"/>
                <w:sz w:val="20"/>
                <w:szCs w:val="20"/>
              </w:rPr>
            </w:pPr>
            <w:r w:rsidRPr="00022A0B">
              <w:rPr>
                <w:rFonts w:ascii="Arial Narrow" w:hAnsi="Arial Narrow" w:cstheme="minorBidi"/>
                <w:color w:val="000000"/>
                <w:sz w:val="20"/>
                <w:szCs w:val="20"/>
              </w:rPr>
              <w:t>7 475</w:t>
            </w:r>
          </w:p>
        </w:tc>
        <w:tc>
          <w:tcPr>
            <w:tcW w:w="1045" w:type="dxa"/>
            <w:tcBorders>
              <w:top w:val="nil"/>
              <w:left w:val="nil"/>
              <w:bottom w:val="single" w:sz="4" w:space="0" w:color="auto"/>
              <w:right w:val="single" w:sz="4" w:space="0" w:color="auto"/>
            </w:tcBorders>
            <w:shd w:val="clear" w:color="auto" w:fill="auto"/>
            <w:noWrap/>
            <w:vAlign w:val="center"/>
            <w:hideMark/>
          </w:tcPr>
          <w:p w14:paraId="6C8D2E74" w14:textId="77777777" w:rsidR="00BA7C7F" w:rsidRPr="00022A0B" w:rsidRDefault="00BA7C7F" w:rsidP="00BA7C7F">
            <w:pPr>
              <w:jc w:val="center"/>
              <w:rPr>
                <w:rFonts w:ascii="Arial Narrow" w:hAnsi="Arial Narrow" w:cstheme="minorBidi"/>
                <w:b/>
                <w:color w:val="000000"/>
                <w:sz w:val="20"/>
                <w:szCs w:val="20"/>
              </w:rPr>
            </w:pPr>
            <w:r w:rsidRPr="00022A0B">
              <w:rPr>
                <w:rFonts w:ascii="Arial Narrow" w:hAnsi="Arial Narrow" w:cstheme="minorBidi"/>
                <w:color w:val="000000"/>
                <w:sz w:val="20"/>
                <w:szCs w:val="20"/>
              </w:rPr>
              <w:t>100</w:t>
            </w:r>
          </w:p>
        </w:tc>
        <w:tc>
          <w:tcPr>
            <w:tcW w:w="1045" w:type="dxa"/>
            <w:tcBorders>
              <w:top w:val="nil"/>
              <w:left w:val="nil"/>
              <w:bottom w:val="single" w:sz="4" w:space="0" w:color="auto"/>
              <w:right w:val="single" w:sz="4" w:space="0" w:color="auto"/>
            </w:tcBorders>
            <w:shd w:val="clear" w:color="auto" w:fill="auto"/>
            <w:noWrap/>
            <w:vAlign w:val="center"/>
            <w:hideMark/>
          </w:tcPr>
          <w:p w14:paraId="7F3C16EA" w14:textId="77777777" w:rsidR="00BA7C7F" w:rsidRPr="00022A0B" w:rsidRDefault="00BA7C7F" w:rsidP="00BA7C7F">
            <w:pPr>
              <w:jc w:val="center"/>
              <w:rPr>
                <w:rFonts w:ascii="Arial Narrow" w:hAnsi="Arial Narrow" w:cstheme="minorBidi"/>
                <w:b/>
                <w:color w:val="000000"/>
                <w:sz w:val="20"/>
                <w:szCs w:val="20"/>
              </w:rPr>
            </w:pPr>
            <w:r w:rsidRPr="00022A0B">
              <w:rPr>
                <w:rFonts w:ascii="Arial Narrow" w:hAnsi="Arial Narrow" w:cstheme="minorBidi"/>
                <w:color w:val="000000"/>
                <w:sz w:val="20"/>
                <w:szCs w:val="20"/>
              </w:rPr>
              <w:t>-</w:t>
            </w:r>
          </w:p>
        </w:tc>
        <w:tc>
          <w:tcPr>
            <w:tcW w:w="906" w:type="dxa"/>
            <w:tcBorders>
              <w:top w:val="nil"/>
              <w:left w:val="nil"/>
              <w:bottom w:val="single" w:sz="4" w:space="0" w:color="auto"/>
              <w:right w:val="single" w:sz="4" w:space="0" w:color="auto"/>
            </w:tcBorders>
            <w:shd w:val="clear" w:color="auto" w:fill="auto"/>
            <w:noWrap/>
            <w:vAlign w:val="center"/>
            <w:hideMark/>
          </w:tcPr>
          <w:p w14:paraId="3F481C19" w14:textId="77777777" w:rsidR="00BA7C7F" w:rsidRPr="00022A0B" w:rsidRDefault="00BA7C7F" w:rsidP="00BA7C7F">
            <w:pPr>
              <w:jc w:val="center"/>
              <w:rPr>
                <w:rFonts w:ascii="Arial Narrow" w:hAnsi="Arial Narrow" w:cstheme="minorBidi"/>
                <w:b/>
                <w:color w:val="000000"/>
                <w:sz w:val="20"/>
                <w:szCs w:val="20"/>
              </w:rPr>
            </w:pPr>
            <w:r w:rsidRPr="00022A0B">
              <w:rPr>
                <w:rFonts w:ascii="Arial Narrow" w:hAnsi="Arial Narrow" w:cstheme="minorBidi"/>
                <w:color w:val="000000"/>
                <w:sz w:val="20"/>
                <w:szCs w:val="20"/>
              </w:rPr>
              <w:t>-</w:t>
            </w:r>
          </w:p>
        </w:tc>
        <w:tc>
          <w:tcPr>
            <w:tcW w:w="1801" w:type="dxa"/>
            <w:tcBorders>
              <w:top w:val="nil"/>
              <w:left w:val="nil"/>
              <w:bottom w:val="single" w:sz="4" w:space="0" w:color="auto"/>
              <w:right w:val="single" w:sz="4" w:space="0" w:color="auto"/>
            </w:tcBorders>
            <w:shd w:val="clear" w:color="auto" w:fill="auto"/>
            <w:noWrap/>
            <w:vAlign w:val="center"/>
            <w:hideMark/>
          </w:tcPr>
          <w:p w14:paraId="4C6AC61F" w14:textId="77777777" w:rsidR="00BA7C7F" w:rsidRPr="00022A0B" w:rsidRDefault="00BA7C7F" w:rsidP="00BA7C7F">
            <w:pPr>
              <w:jc w:val="right"/>
              <w:rPr>
                <w:rFonts w:ascii="Arial Narrow" w:hAnsi="Arial Narrow" w:cstheme="minorBidi"/>
                <w:b/>
                <w:color w:val="000000"/>
                <w:sz w:val="20"/>
                <w:szCs w:val="20"/>
              </w:rPr>
            </w:pPr>
            <w:r w:rsidRPr="00022A0B">
              <w:rPr>
                <w:rFonts w:ascii="Arial Narrow" w:hAnsi="Arial Narrow" w:cstheme="minorBidi"/>
                <w:color w:val="000000"/>
                <w:sz w:val="20"/>
                <w:szCs w:val="20"/>
              </w:rPr>
              <w:t>39 457 003</w:t>
            </w:r>
          </w:p>
        </w:tc>
      </w:tr>
      <w:tr w:rsidR="00BA7C7F" w:rsidRPr="00C57ABA" w14:paraId="540D6384" w14:textId="77777777" w:rsidTr="00B37935">
        <w:trPr>
          <w:trHeight w:val="300"/>
        </w:trPr>
        <w:tc>
          <w:tcPr>
            <w:tcW w:w="1724" w:type="dxa"/>
            <w:tcBorders>
              <w:top w:val="nil"/>
              <w:left w:val="single" w:sz="4" w:space="0" w:color="auto"/>
              <w:bottom w:val="single" w:sz="4" w:space="0" w:color="auto"/>
              <w:right w:val="single" w:sz="4" w:space="0" w:color="auto"/>
            </w:tcBorders>
            <w:shd w:val="clear" w:color="auto" w:fill="auto"/>
            <w:noWrap/>
            <w:vAlign w:val="center"/>
            <w:hideMark/>
          </w:tcPr>
          <w:p w14:paraId="1586046D" w14:textId="77777777" w:rsidR="00BA7C7F" w:rsidRPr="00022A0B" w:rsidRDefault="00BA7C7F" w:rsidP="00BA7C7F">
            <w:pPr>
              <w:rPr>
                <w:rFonts w:ascii="Arial Narrow" w:hAnsi="Arial Narrow" w:cstheme="minorBidi"/>
                <w:b/>
                <w:color w:val="000000"/>
                <w:sz w:val="20"/>
                <w:szCs w:val="20"/>
              </w:rPr>
            </w:pPr>
            <w:r w:rsidRPr="00022A0B">
              <w:rPr>
                <w:rFonts w:ascii="Arial Narrow" w:hAnsi="Arial Narrow" w:cstheme="minorBidi"/>
                <w:color w:val="000000"/>
                <w:sz w:val="20"/>
                <w:szCs w:val="20"/>
              </w:rPr>
              <w:t>ИП-Н</w:t>
            </w:r>
          </w:p>
        </w:tc>
        <w:tc>
          <w:tcPr>
            <w:tcW w:w="1801" w:type="dxa"/>
            <w:tcBorders>
              <w:top w:val="nil"/>
              <w:left w:val="nil"/>
              <w:bottom w:val="single" w:sz="4" w:space="0" w:color="auto"/>
              <w:right w:val="single" w:sz="4" w:space="0" w:color="auto"/>
            </w:tcBorders>
            <w:shd w:val="clear" w:color="auto" w:fill="auto"/>
            <w:noWrap/>
            <w:vAlign w:val="center"/>
            <w:hideMark/>
          </w:tcPr>
          <w:p w14:paraId="51647774" w14:textId="77777777" w:rsidR="00BA7C7F" w:rsidRPr="00022A0B" w:rsidRDefault="00BA7C7F" w:rsidP="00BA7C7F">
            <w:pPr>
              <w:jc w:val="right"/>
              <w:rPr>
                <w:rFonts w:ascii="Arial Narrow" w:hAnsi="Arial Narrow" w:cstheme="minorBidi"/>
                <w:b/>
                <w:color w:val="000000"/>
                <w:sz w:val="20"/>
                <w:szCs w:val="20"/>
              </w:rPr>
            </w:pPr>
            <w:r w:rsidRPr="00022A0B">
              <w:rPr>
                <w:rFonts w:ascii="Arial Narrow" w:hAnsi="Arial Narrow" w:cstheme="minorBidi"/>
                <w:color w:val="000000"/>
                <w:sz w:val="20"/>
                <w:szCs w:val="20"/>
              </w:rPr>
              <w:t>1 875</w:t>
            </w:r>
          </w:p>
        </w:tc>
        <w:tc>
          <w:tcPr>
            <w:tcW w:w="1652" w:type="dxa"/>
            <w:tcBorders>
              <w:top w:val="nil"/>
              <w:left w:val="nil"/>
              <w:bottom w:val="single" w:sz="4" w:space="0" w:color="auto"/>
              <w:right w:val="single" w:sz="4" w:space="0" w:color="auto"/>
            </w:tcBorders>
            <w:shd w:val="clear" w:color="auto" w:fill="auto"/>
            <w:noWrap/>
            <w:vAlign w:val="center"/>
            <w:hideMark/>
          </w:tcPr>
          <w:p w14:paraId="16477D47" w14:textId="77777777" w:rsidR="00BA7C7F" w:rsidRPr="00022A0B" w:rsidRDefault="00BA7C7F" w:rsidP="00BA7C7F">
            <w:pPr>
              <w:jc w:val="right"/>
              <w:rPr>
                <w:rFonts w:ascii="Arial Narrow" w:hAnsi="Arial Narrow" w:cstheme="minorBidi"/>
                <w:b/>
                <w:color w:val="000000"/>
                <w:sz w:val="20"/>
                <w:szCs w:val="20"/>
              </w:rPr>
            </w:pPr>
            <w:r w:rsidRPr="00022A0B">
              <w:rPr>
                <w:rFonts w:ascii="Arial Narrow" w:hAnsi="Arial Narrow" w:cstheme="minorBidi"/>
                <w:color w:val="000000"/>
                <w:sz w:val="20"/>
                <w:szCs w:val="20"/>
              </w:rPr>
              <w:t>1 869</w:t>
            </w:r>
          </w:p>
        </w:tc>
        <w:tc>
          <w:tcPr>
            <w:tcW w:w="1045" w:type="dxa"/>
            <w:tcBorders>
              <w:top w:val="nil"/>
              <w:left w:val="nil"/>
              <w:bottom w:val="single" w:sz="4" w:space="0" w:color="auto"/>
              <w:right w:val="single" w:sz="4" w:space="0" w:color="auto"/>
            </w:tcBorders>
            <w:shd w:val="clear" w:color="auto" w:fill="auto"/>
            <w:noWrap/>
            <w:vAlign w:val="center"/>
            <w:hideMark/>
          </w:tcPr>
          <w:p w14:paraId="4F9DC1FE" w14:textId="77777777" w:rsidR="00BA7C7F" w:rsidRPr="00022A0B" w:rsidRDefault="00BA7C7F" w:rsidP="00BA7C7F">
            <w:pPr>
              <w:jc w:val="center"/>
              <w:rPr>
                <w:rFonts w:ascii="Arial Narrow" w:hAnsi="Arial Narrow" w:cstheme="minorBidi"/>
                <w:b/>
                <w:color w:val="000000"/>
                <w:sz w:val="20"/>
                <w:szCs w:val="20"/>
              </w:rPr>
            </w:pPr>
            <w:r w:rsidRPr="00022A0B">
              <w:rPr>
                <w:rFonts w:ascii="Arial Narrow" w:hAnsi="Arial Narrow" w:cstheme="minorBidi"/>
                <w:color w:val="000000"/>
                <w:sz w:val="20"/>
                <w:szCs w:val="20"/>
              </w:rPr>
              <w:t>100</w:t>
            </w:r>
          </w:p>
        </w:tc>
        <w:tc>
          <w:tcPr>
            <w:tcW w:w="1045" w:type="dxa"/>
            <w:tcBorders>
              <w:top w:val="nil"/>
              <w:left w:val="nil"/>
              <w:bottom w:val="single" w:sz="4" w:space="0" w:color="auto"/>
              <w:right w:val="single" w:sz="4" w:space="0" w:color="auto"/>
            </w:tcBorders>
            <w:shd w:val="clear" w:color="auto" w:fill="auto"/>
            <w:noWrap/>
            <w:vAlign w:val="center"/>
            <w:hideMark/>
          </w:tcPr>
          <w:p w14:paraId="722805C3" w14:textId="77777777" w:rsidR="00BA7C7F" w:rsidRPr="00022A0B" w:rsidRDefault="00BA7C7F" w:rsidP="00BA7C7F">
            <w:pPr>
              <w:jc w:val="center"/>
              <w:rPr>
                <w:rFonts w:ascii="Arial Narrow" w:hAnsi="Arial Narrow" w:cstheme="minorBidi"/>
                <w:b/>
                <w:color w:val="000000"/>
                <w:sz w:val="20"/>
                <w:szCs w:val="20"/>
              </w:rPr>
            </w:pPr>
            <w:r w:rsidRPr="00022A0B">
              <w:rPr>
                <w:rFonts w:ascii="Arial Narrow" w:hAnsi="Arial Narrow" w:cstheme="minorBidi"/>
                <w:color w:val="000000"/>
                <w:sz w:val="20"/>
                <w:szCs w:val="20"/>
              </w:rPr>
              <w:t>-</w:t>
            </w:r>
          </w:p>
        </w:tc>
        <w:tc>
          <w:tcPr>
            <w:tcW w:w="906" w:type="dxa"/>
            <w:tcBorders>
              <w:top w:val="nil"/>
              <w:left w:val="nil"/>
              <w:bottom w:val="single" w:sz="4" w:space="0" w:color="auto"/>
              <w:right w:val="single" w:sz="4" w:space="0" w:color="auto"/>
            </w:tcBorders>
            <w:shd w:val="clear" w:color="auto" w:fill="auto"/>
            <w:noWrap/>
            <w:vAlign w:val="center"/>
            <w:hideMark/>
          </w:tcPr>
          <w:p w14:paraId="0471F78A" w14:textId="77777777" w:rsidR="00BA7C7F" w:rsidRPr="00022A0B" w:rsidRDefault="00BA7C7F" w:rsidP="00BA7C7F">
            <w:pPr>
              <w:jc w:val="center"/>
              <w:rPr>
                <w:rFonts w:ascii="Arial Narrow" w:hAnsi="Arial Narrow" w:cstheme="minorBidi"/>
                <w:b/>
                <w:color w:val="000000"/>
                <w:sz w:val="20"/>
                <w:szCs w:val="20"/>
              </w:rPr>
            </w:pPr>
            <w:r w:rsidRPr="00022A0B">
              <w:rPr>
                <w:rFonts w:ascii="Arial Narrow" w:hAnsi="Arial Narrow" w:cstheme="minorBidi"/>
                <w:color w:val="000000"/>
                <w:sz w:val="20"/>
                <w:szCs w:val="20"/>
              </w:rPr>
              <w:t>-</w:t>
            </w:r>
          </w:p>
        </w:tc>
        <w:tc>
          <w:tcPr>
            <w:tcW w:w="1801" w:type="dxa"/>
            <w:tcBorders>
              <w:top w:val="nil"/>
              <w:left w:val="nil"/>
              <w:bottom w:val="single" w:sz="4" w:space="0" w:color="auto"/>
              <w:right w:val="single" w:sz="4" w:space="0" w:color="auto"/>
            </w:tcBorders>
            <w:shd w:val="clear" w:color="auto" w:fill="auto"/>
            <w:noWrap/>
            <w:vAlign w:val="center"/>
            <w:hideMark/>
          </w:tcPr>
          <w:p w14:paraId="2332199D" w14:textId="77777777" w:rsidR="00BA7C7F" w:rsidRPr="00022A0B" w:rsidRDefault="00BA7C7F" w:rsidP="00BA7C7F">
            <w:pPr>
              <w:jc w:val="right"/>
              <w:rPr>
                <w:rFonts w:ascii="Arial Narrow" w:hAnsi="Arial Narrow" w:cstheme="minorBidi"/>
                <w:b/>
                <w:color w:val="000000"/>
                <w:sz w:val="20"/>
                <w:szCs w:val="20"/>
              </w:rPr>
            </w:pPr>
            <w:r w:rsidRPr="00022A0B">
              <w:rPr>
                <w:rFonts w:ascii="Arial Narrow" w:hAnsi="Arial Narrow" w:cstheme="minorBidi"/>
                <w:color w:val="000000"/>
                <w:sz w:val="20"/>
                <w:szCs w:val="20"/>
              </w:rPr>
              <w:t>2 375 333</w:t>
            </w:r>
          </w:p>
        </w:tc>
      </w:tr>
      <w:tr w:rsidR="00BA7C7F" w:rsidRPr="00C57ABA" w14:paraId="64CE0420" w14:textId="77777777" w:rsidTr="00B37935">
        <w:trPr>
          <w:trHeight w:val="300"/>
        </w:trPr>
        <w:tc>
          <w:tcPr>
            <w:tcW w:w="1724" w:type="dxa"/>
            <w:tcBorders>
              <w:top w:val="nil"/>
              <w:left w:val="single" w:sz="4" w:space="0" w:color="auto"/>
              <w:bottom w:val="single" w:sz="4" w:space="0" w:color="auto"/>
              <w:right w:val="single" w:sz="4" w:space="0" w:color="auto"/>
            </w:tcBorders>
            <w:shd w:val="clear" w:color="auto" w:fill="auto"/>
            <w:noWrap/>
            <w:vAlign w:val="center"/>
            <w:hideMark/>
          </w:tcPr>
          <w:p w14:paraId="20AFA3BC" w14:textId="77777777" w:rsidR="00BA7C7F" w:rsidRPr="00022A0B" w:rsidRDefault="00BA7C7F" w:rsidP="00BA7C7F">
            <w:pPr>
              <w:rPr>
                <w:rFonts w:ascii="Arial Narrow" w:hAnsi="Arial Narrow" w:cstheme="minorBidi"/>
                <w:b/>
                <w:color w:val="000000"/>
                <w:sz w:val="20"/>
                <w:szCs w:val="20"/>
              </w:rPr>
            </w:pPr>
            <w:r w:rsidRPr="00022A0B">
              <w:rPr>
                <w:rFonts w:ascii="Arial Narrow" w:hAnsi="Arial Narrow" w:cstheme="minorBidi"/>
                <w:color w:val="000000"/>
                <w:sz w:val="20"/>
                <w:szCs w:val="20"/>
              </w:rPr>
              <w:t>ИЗ-ДККП</w:t>
            </w:r>
          </w:p>
        </w:tc>
        <w:tc>
          <w:tcPr>
            <w:tcW w:w="1801" w:type="dxa"/>
            <w:tcBorders>
              <w:top w:val="nil"/>
              <w:left w:val="nil"/>
              <w:bottom w:val="single" w:sz="4" w:space="0" w:color="auto"/>
              <w:right w:val="single" w:sz="4" w:space="0" w:color="auto"/>
            </w:tcBorders>
            <w:shd w:val="clear" w:color="auto" w:fill="auto"/>
            <w:noWrap/>
            <w:vAlign w:val="center"/>
            <w:hideMark/>
          </w:tcPr>
          <w:p w14:paraId="0D29228A" w14:textId="77777777" w:rsidR="00BA7C7F" w:rsidRPr="00022A0B" w:rsidRDefault="00BA7C7F" w:rsidP="00BA7C7F">
            <w:pPr>
              <w:jc w:val="right"/>
              <w:rPr>
                <w:rFonts w:ascii="Arial Narrow" w:hAnsi="Arial Narrow" w:cstheme="minorBidi"/>
                <w:b/>
                <w:color w:val="000000"/>
                <w:sz w:val="20"/>
                <w:szCs w:val="20"/>
              </w:rPr>
            </w:pPr>
            <w:r w:rsidRPr="00022A0B">
              <w:rPr>
                <w:rFonts w:ascii="Arial Narrow" w:hAnsi="Arial Narrow" w:cstheme="minorBidi"/>
                <w:color w:val="000000"/>
                <w:sz w:val="20"/>
                <w:szCs w:val="20"/>
              </w:rPr>
              <w:t>1 492</w:t>
            </w:r>
          </w:p>
        </w:tc>
        <w:tc>
          <w:tcPr>
            <w:tcW w:w="1652" w:type="dxa"/>
            <w:tcBorders>
              <w:top w:val="nil"/>
              <w:left w:val="nil"/>
              <w:bottom w:val="single" w:sz="4" w:space="0" w:color="auto"/>
              <w:right w:val="single" w:sz="4" w:space="0" w:color="auto"/>
            </w:tcBorders>
            <w:shd w:val="clear" w:color="auto" w:fill="auto"/>
            <w:noWrap/>
            <w:vAlign w:val="center"/>
            <w:hideMark/>
          </w:tcPr>
          <w:p w14:paraId="7E1EC74B" w14:textId="77777777" w:rsidR="00BA7C7F" w:rsidRPr="00022A0B" w:rsidRDefault="00BA7C7F" w:rsidP="00BA7C7F">
            <w:pPr>
              <w:jc w:val="right"/>
              <w:rPr>
                <w:rFonts w:ascii="Arial Narrow" w:hAnsi="Arial Narrow" w:cstheme="minorBidi"/>
                <w:b/>
                <w:color w:val="000000"/>
                <w:sz w:val="20"/>
                <w:szCs w:val="20"/>
              </w:rPr>
            </w:pPr>
            <w:r w:rsidRPr="00022A0B">
              <w:rPr>
                <w:rFonts w:ascii="Arial Narrow" w:hAnsi="Arial Narrow" w:cstheme="minorBidi"/>
                <w:color w:val="000000"/>
                <w:sz w:val="20"/>
                <w:szCs w:val="20"/>
              </w:rPr>
              <w:t>1 480</w:t>
            </w:r>
          </w:p>
        </w:tc>
        <w:tc>
          <w:tcPr>
            <w:tcW w:w="1045" w:type="dxa"/>
            <w:tcBorders>
              <w:top w:val="nil"/>
              <w:left w:val="nil"/>
              <w:bottom w:val="single" w:sz="4" w:space="0" w:color="auto"/>
              <w:right w:val="single" w:sz="4" w:space="0" w:color="auto"/>
            </w:tcBorders>
            <w:shd w:val="clear" w:color="auto" w:fill="auto"/>
            <w:noWrap/>
            <w:vAlign w:val="center"/>
            <w:hideMark/>
          </w:tcPr>
          <w:p w14:paraId="7DD08D2A" w14:textId="77777777" w:rsidR="00BA7C7F" w:rsidRPr="00022A0B" w:rsidRDefault="00BA7C7F" w:rsidP="00BA7C7F">
            <w:pPr>
              <w:jc w:val="center"/>
              <w:rPr>
                <w:rFonts w:ascii="Arial Narrow" w:hAnsi="Arial Narrow" w:cstheme="minorBidi"/>
                <w:b/>
                <w:color w:val="000000"/>
                <w:sz w:val="20"/>
                <w:szCs w:val="20"/>
              </w:rPr>
            </w:pPr>
            <w:r w:rsidRPr="00022A0B">
              <w:rPr>
                <w:rFonts w:ascii="Arial Narrow" w:hAnsi="Arial Narrow" w:cstheme="minorBidi"/>
                <w:color w:val="000000"/>
                <w:sz w:val="20"/>
                <w:szCs w:val="20"/>
              </w:rPr>
              <w:t>100</w:t>
            </w:r>
          </w:p>
        </w:tc>
        <w:tc>
          <w:tcPr>
            <w:tcW w:w="1045" w:type="dxa"/>
            <w:tcBorders>
              <w:top w:val="nil"/>
              <w:left w:val="nil"/>
              <w:bottom w:val="single" w:sz="4" w:space="0" w:color="auto"/>
              <w:right w:val="single" w:sz="4" w:space="0" w:color="auto"/>
            </w:tcBorders>
            <w:shd w:val="clear" w:color="auto" w:fill="auto"/>
            <w:noWrap/>
            <w:vAlign w:val="center"/>
            <w:hideMark/>
          </w:tcPr>
          <w:p w14:paraId="44C48D74" w14:textId="77777777" w:rsidR="00BA7C7F" w:rsidRPr="00022A0B" w:rsidRDefault="00BA7C7F" w:rsidP="00BA7C7F">
            <w:pPr>
              <w:jc w:val="center"/>
              <w:rPr>
                <w:rFonts w:ascii="Arial Narrow" w:hAnsi="Arial Narrow" w:cstheme="minorBidi"/>
                <w:b/>
                <w:color w:val="000000"/>
                <w:sz w:val="20"/>
                <w:szCs w:val="20"/>
              </w:rPr>
            </w:pPr>
            <w:r w:rsidRPr="00022A0B">
              <w:rPr>
                <w:rFonts w:ascii="Arial Narrow" w:hAnsi="Arial Narrow" w:cstheme="minorBidi"/>
                <w:color w:val="000000"/>
                <w:sz w:val="20"/>
                <w:szCs w:val="20"/>
              </w:rPr>
              <w:t>-</w:t>
            </w:r>
          </w:p>
        </w:tc>
        <w:tc>
          <w:tcPr>
            <w:tcW w:w="906" w:type="dxa"/>
            <w:tcBorders>
              <w:top w:val="nil"/>
              <w:left w:val="nil"/>
              <w:bottom w:val="single" w:sz="4" w:space="0" w:color="auto"/>
              <w:right w:val="single" w:sz="4" w:space="0" w:color="auto"/>
            </w:tcBorders>
            <w:shd w:val="clear" w:color="auto" w:fill="auto"/>
            <w:noWrap/>
            <w:vAlign w:val="center"/>
            <w:hideMark/>
          </w:tcPr>
          <w:p w14:paraId="43736518" w14:textId="77777777" w:rsidR="00BA7C7F" w:rsidRPr="00022A0B" w:rsidRDefault="00BA7C7F" w:rsidP="00BA7C7F">
            <w:pPr>
              <w:jc w:val="center"/>
              <w:rPr>
                <w:rFonts w:ascii="Arial Narrow" w:hAnsi="Arial Narrow" w:cstheme="minorBidi"/>
                <w:b/>
                <w:color w:val="000000"/>
                <w:sz w:val="20"/>
                <w:szCs w:val="20"/>
              </w:rPr>
            </w:pPr>
            <w:r w:rsidRPr="00022A0B">
              <w:rPr>
                <w:rFonts w:ascii="Arial Narrow" w:hAnsi="Arial Narrow" w:cstheme="minorBidi"/>
                <w:color w:val="000000"/>
                <w:sz w:val="20"/>
                <w:szCs w:val="20"/>
              </w:rPr>
              <w:t>-</w:t>
            </w:r>
          </w:p>
        </w:tc>
        <w:tc>
          <w:tcPr>
            <w:tcW w:w="1801" w:type="dxa"/>
            <w:tcBorders>
              <w:top w:val="nil"/>
              <w:left w:val="nil"/>
              <w:bottom w:val="single" w:sz="4" w:space="0" w:color="auto"/>
              <w:right w:val="single" w:sz="4" w:space="0" w:color="auto"/>
            </w:tcBorders>
            <w:shd w:val="clear" w:color="auto" w:fill="auto"/>
            <w:noWrap/>
            <w:vAlign w:val="center"/>
            <w:hideMark/>
          </w:tcPr>
          <w:p w14:paraId="3CFA2E46" w14:textId="77777777" w:rsidR="00BA7C7F" w:rsidRPr="00022A0B" w:rsidRDefault="00BA7C7F" w:rsidP="00BA7C7F">
            <w:pPr>
              <w:jc w:val="right"/>
              <w:rPr>
                <w:rFonts w:ascii="Arial Narrow" w:hAnsi="Arial Narrow" w:cstheme="minorBidi"/>
                <w:b/>
                <w:color w:val="000000"/>
                <w:sz w:val="20"/>
                <w:szCs w:val="20"/>
              </w:rPr>
            </w:pPr>
            <w:r w:rsidRPr="00022A0B">
              <w:rPr>
                <w:rFonts w:ascii="Arial Narrow" w:hAnsi="Arial Narrow" w:cstheme="minorBidi"/>
                <w:color w:val="000000"/>
                <w:sz w:val="20"/>
                <w:szCs w:val="20"/>
              </w:rPr>
              <w:t>4 577 549</w:t>
            </w:r>
          </w:p>
        </w:tc>
      </w:tr>
      <w:tr w:rsidR="00BA7C7F" w:rsidRPr="00C57ABA" w14:paraId="0A8AD17D" w14:textId="77777777" w:rsidTr="00B37935">
        <w:trPr>
          <w:trHeight w:val="300"/>
        </w:trPr>
        <w:tc>
          <w:tcPr>
            <w:tcW w:w="1724" w:type="dxa"/>
            <w:tcBorders>
              <w:top w:val="nil"/>
              <w:left w:val="single" w:sz="4" w:space="0" w:color="auto"/>
              <w:bottom w:val="single" w:sz="4" w:space="0" w:color="auto"/>
              <w:right w:val="single" w:sz="4" w:space="0" w:color="auto"/>
            </w:tcBorders>
            <w:shd w:val="clear" w:color="auto" w:fill="auto"/>
            <w:noWrap/>
            <w:vAlign w:val="center"/>
            <w:hideMark/>
          </w:tcPr>
          <w:p w14:paraId="4E813184" w14:textId="77777777" w:rsidR="00BA7C7F" w:rsidRPr="00022A0B" w:rsidRDefault="00BA7C7F" w:rsidP="00BA7C7F">
            <w:pPr>
              <w:rPr>
                <w:rFonts w:ascii="Arial Narrow" w:hAnsi="Arial Narrow" w:cstheme="minorBidi"/>
                <w:b/>
                <w:color w:val="000000"/>
                <w:sz w:val="20"/>
                <w:szCs w:val="20"/>
              </w:rPr>
            </w:pPr>
            <w:r w:rsidRPr="00022A0B">
              <w:rPr>
                <w:rFonts w:ascii="Arial Narrow" w:hAnsi="Arial Narrow" w:cstheme="minorBidi"/>
                <w:color w:val="000000"/>
                <w:sz w:val="20"/>
                <w:szCs w:val="20"/>
              </w:rPr>
              <w:t>ИЗ-П</w:t>
            </w:r>
          </w:p>
        </w:tc>
        <w:tc>
          <w:tcPr>
            <w:tcW w:w="1801" w:type="dxa"/>
            <w:tcBorders>
              <w:top w:val="nil"/>
              <w:left w:val="nil"/>
              <w:bottom w:val="single" w:sz="4" w:space="0" w:color="auto"/>
              <w:right w:val="single" w:sz="4" w:space="0" w:color="auto"/>
            </w:tcBorders>
            <w:shd w:val="clear" w:color="auto" w:fill="auto"/>
            <w:noWrap/>
            <w:vAlign w:val="center"/>
            <w:hideMark/>
          </w:tcPr>
          <w:p w14:paraId="4D557263" w14:textId="77777777" w:rsidR="00BA7C7F" w:rsidRPr="00022A0B" w:rsidRDefault="00BA7C7F" w:rsidP="00BA7C7F">
            <w:pPr>
              <w:jc w:val="right"/>
              <w:rPr>
                <w:rFonts w:ascii="Arial Narrow" w:hAnsi="Arial Narrow" w:cstheme="minorBidi"/>
                <w:b/>
                <w:color w:val="000000"/>
                <w:sz w:val="20"/>
                <w:szCs w:val="20"/>
              </w:rPr>
            </w:pPr>
            <w:r w:rsidRPr="00022A0B">
              <w:rPr>
                <w:rFonts w:ascii="Arial Narrow" w:hAnsi="Arial Narrow" w:cstheme="minorBidi"/>
                <w:color w:val="000000"/>
                <w:sz w:val="20"/>
                <w:szCs w:val="20"/>
              </w:rPr>
              <w:t>1 061</w:t>
            </w:r>
          </w:p>
        </w:tc>
        <w:tc>
          <w:tcPr>
            <w:tcW w:w="1652" w:type="dxa"/>
            <w:tcBorders>
              <w:top w:val="nil"/>
              <w:left w:val="nil"/>
              <w:bottom w:val="single" w:sz="4" w:space="0" w:color="auto"/>
              <w:right w:val="single" w:sz="4" w:space="0" w:color="auto"/>
            </w:tcBorders>
            <w:shd w:val="clear" w:color="auto" w:fill="auto"/>
            <w:noWrap/>
            <w:vAlign w:val="center"/>
            <w:hideMark/>
          </w:tcPr>
          <w:p w14:paraId="62122D35" w14:textId="77777777" w:rsidR="00BA7C7F" w:rsidRPr="00022A0B" w:rsidRDefault="00BA7C7F" w:rsidP="00BA7C7F">
            <w:pPr>
              <w:jc w:val="right"/>
              <w:rPr>
                <w:rFonts w:ascii="Arial Narrow" w:hAnsi="Arial Narrow" w:cstheme="minorBidi"/>
                <w:b/>
                <w:color w:val="000000"/>
                <w:sz w:val="20"/>
                <w:szCs w:val="20"/>
              </w:rPr>
            </w:pPr>
            <w:r w:rsidRPr="00022A0B">
              <w:rPr>
                <w:rFonts w:ascii="Arial Narrow" w:hAnsi="Arial Narrow" w:cstheme="minorBidi"/>
                <w:color w:val="000000"/>
                <w:sz w:val="20"/>
                <w:szCs w:val="20"/>
              </w:rPr>
              <w:t>1 051</w:t>
            </w:r>
          </w:p>
        </w:tc>
        <w:tc>
          <w:tcPr>
            <w:tcW w:w="1045" w:type="dxa"/>
            <w:tcBorders>
              <w:top w:val="nil"/>
              <w:left w:val="nil"/>
              <w:bottom w:val="single" w:sz="4" w:space="0" w:color="auto"/>
              <w:right w:val="single" w:sz="4" w:space="0" w:color="auto"/>
            </w:tcBorders>
            <w:shd w:val="clear" w:color="auto" w:fill="auto"/>
            <w:noWrap/>
            <w:vAlign w:val="center"/>
            <w:hideMark/>
          </w:tcPr>
          <w:p w14:paraId="6E5D4403" w14:textId="77777777" w:rsidR="00BA7C7F" w:rsidRPr="00022A0B" w:rsidRDefault="00BA7C7F" w:rsidP="00BA7C7F">
            <w:pPr>
              <w:jc w:val="center"/>
              <w:rPr>
                <w:rFonts w:ascii="Arial Narrow" w:hAnsi="Arial Narrow" w:cstheme="minorBidi"/>
                <w:b/>
                <w:color w:val="000000"/>
                <w:sz w:val="20"/>
                <w:szCs w:val="20"/>
              </w:rPr>
            </w:pPr>
            <w:r w:rsidRPr="00022A0B">
              <w:rPr>
                <w:rFonts w:ascii="Arial Narrow" w:hAnsi="Arial Narrow" w:cstheme="minorBidi"/>
                <w:color w:val="000000"/>
                <w:sz w:val="20"/>
                <w:szCs w:val="20"/>
              </w:rPr>
              <w:t>100</w:t>
            </w:r>
          </w:p>
        </w:tc>
        <w:tc>
          <w:tcPr>
            <w:tcW w:w="1045" w:type="dxa"/>
            <w:tcBorders>
              <w:top w:val="nil"/>
              <w:left w:val="nil"/>
              <w:bottom w:val="single" w:sz="4" w:space="0" w:color="auto"/>
              <w:right w:val="single" w:sz="4" w:space="0" w:color="auto"/>
            </w:tcBorders>
            <w:shd w:val="clear" w:color="auto" w:fill="auto"/>
            <w:noWrap/>
            <w:vAlign w:val="center"/>
            <w:hideMark/>
          </w:tcPr>
          <w:p w14:paraId="0B07074D" w14:textId="77777777" w:rsidR="00BA7C7F" w:rsidRPr="00022A0B" w:rsidRDefault="00BA7C7F" w:rsidP="00BA7C7F">
            <w:pPr>
              <w:jc w:val="center"/>
              <w:rPr>
                <w:rFonts w:ascii="Arial Narrow" w:hAnsi="Arial Narrow" w:cstheme="minorBidi"/>
                <w:b/>
                <w:color w:val="000000"/>
                <w:sz w:val="20"/>
                <w:szCs w:val="20"/>
              </w:rPr>
            </w:pPr>
            <w:r w:rsidRPr="00022A0B">
              <w:rPr>
                <w:rFonts w:ascii="Arial Narrow" w:hAnsi="Arial Narrow" w:cstheme="minorBidi"/>
                <w:color w:val="000000"/>
                <w:sz w:val="20"/>
                <w:szCs w:val="20"/>
              </w:rPr>
              <w:t>-</w:t>
            </w:r>
          </w:p>
        </w:tc>
        <w:tc>
          <w:tcPr>
            <w:tcW w:w="906" w:type="dxa"/>
            <w:tcBorders>
              <w:top w:val="nil"/>
              <w:left w:val="nil"/>
              <w:bottom w:val="single" w:sz="4" w:space="0" w:color="auto"/>
              <w:right w:val="single" w:sz="4" w:space="0" w:color="auto"/>
            </w:tcBorders>
            <w:shd w:val="clear" w:color="auto" w:fill="auto"/>
            <w:noWrap/>
            <w:vAlign w:val="center"/>
            <w:hideMark/>
          </w:tcPr>
          <w:p w14:paraId="27AFD124" w14:textId="77777777" w:rsidR="00BA7C7F" w:rsidRPr="00022A0B" w:rsidRDefault="00BA7C7F" w:rsidP="00BA7C7F">
            <w:pPr>
              <w:jc w:val="center"/>
              <w:rPr>
                <w:rFonts w:ascii="Arial Narrow" w:hAnsi="Arial Narrow" w:cstheme="minorBidi"/>
                <w:b/>
                <w:color w:val="000000"/>
                <w:sz w:val="20"/>
                <w:szCs w:val="20"/>
              </w:rPr>
            </w:pPr>
            <w:r w:rsidRPr="00022A0B">
              <w:rPr>
                <w:rFonts w:ascii="Arial Narrow" w:hAnsi="Arial Narrow" w:cstheme="minorBidi"/>
                <w:color w:val="000000"/>
                <w:sz w:val="20"/>
                <w:szCs w:val="20"/>
              </w:rPr>
              <w:t>-</w:t>
            </w:r>
          </w:p>
        </w:tc>
        <w:tc>
          <w:tcPr>
            <w:tcW w:w="1801" w:type="dxa"/>
            <w:tcBorders>
              <w:top w:val="nil"/>
              <w:left w:val="nil"/>
              <w:bottom w:val="single" w:sz="4" w:space="0" w:color="auto"/>
              <w:right w:val="single" w:sz="4" w:space="0" w:color="auto"/>
            </w:tcBorders>
            <w:shd w:val="clear" w:color="auto" w:fill="auto"/>
            <w:noWrap/>
            <w:vAlign w:val="center"/>
            <w:hideMark/>
          </w:tcPr>
          <w:p w14:paraId="1EF72673" w14:textId="77777777" w:rsidR="00BA7C7F" w:rsidRPr="00022A0B" w:rsidRDefault="00BA7C7F" w:rsidP="00BA7C7F">
            <w:pPr>
              <w:jc w:val="right"/>
              <w:rPr>
                <w:rFonts w:ascii="Arial Narrow" w:hAnsi="Arial Narrow" w:cstheme="minorBidi"/>
                <w:b/>
                <w:color w:val="000000"/>
                <w:sz w:val="20"/>
                <w:szCs w:val="20"/>
              </w:rPr>
            </w:pPr>
            <w:r w:rsidRPr="00022A0B">
              <w:rPr>
                <w:rFonts w:ascii="Arial Narrow" w:hAnsi="Arial Narrow" w:cstheme="minorBidi"/>
                <w:color w:val="000000"/>
                <w:sz w:val="20"/>
                <w:szCs w:val="20"/>
              </w:rPr>
              <w:t>5 212 678</w:t>
            </w:r>
          </w:p>
        </w:tc>
      </w:tr>
      <w:tr w:rsidR="00BA7C7F" w:rsidRPr="00C57ABA" w14:paraId="6D20D0D0" w14:textId="77777777" w:rsidTr="00B37935">
        <w:trPr>
          <w:trHeight w:val="300"/>
        </w:trPr>
        <w:tc>
          <w:tcPr>
            <w:tcW w:w="1724" w:type="dxa"/>
            <w:tcBorders>
              <w:top w:val="nil"/>
              <w:left w:val="single" w:sz="4" w:space="0" w:color="auto"/>
              <w:bottom w:val="single" w:sz="4" w:space="0" w:color="auto"/>
              <w:right w:val="single" w:sz="4" w:space="0" w:color="auto"/>
            </w:tcBorders>
            <w:shd w:val="clear" w:color="auto" w:fill="auto"/>
            <w:noWrap/>
            <w:vAlign w:val="center"/>
            <w:hideMark/>
          </w:tcPr>
          <w:p w14:paraId="0A93555F" w14:textId="77777777" w:rsidR="00BA7C7F" w:rsidRPr="00022A0B" w:rsidRDefault="00BA7C7F" w:rsidP="00BA7C7F">
            <w:pPr>
              <w:rPr>
                <w:rFonts w:ascii="Arial Narrow" w:hAnsi="Arial Narrow" w:cstheme="minorBidi"/>
                <w:b/>
                <w:color w:val="000000"/>
                <w:sz w:val="20"/>
                <w:szCs w:val="20"/>
              </w:rPr>
            </w:pPr>
            <w:r w:rsidRPr="00022A0B">
              <w:rPr>
                <w:rFonts w:ascii="Arial Narrow" w:hAnsi="Arial Narrow" w:cstheme="minorBidi"/>
                <w:color w:val="000000"/>
                <w:sz w:val="20"/>
                <w:szCs w:val="20"/>
              </w:rPr>
              <w:t>ИЗ-МЗДП</w:t>
            </w:r>
          </w:p>
        </w:tc>
        <w:tc>
          <w:tcPr>
            <w:tcW w:w="1801" w:type="dxa"/>
            <w:tcBorders>
              <w:top w:val="nil"/>
              <w:left w:val="nil"/>
              <w:bottom w:val="single" w:sz="4" w:space="0" w:color="auto"/>
              <w:right w:val="single" w:sz="4" w:space="0" w:color="auto"/>
            </w:tcBorders>
            <w:shd w:val="clear" w:color="auto" w:fill="auto"/>
            <w:noWrap/>
            <w:vAlign w:val="center"/>
            <w:hideMark/>
          </w:tcPr>
          <w:p w14:paraId="513ED063" w14:textId="77777777" w:rsidR="00BA7C7F" w:rsidRPr="00022A0B" w:rsidRDefault="00BA7C7F" w:rsidP="00BA7C7F">
            <w:pPr>
              <w:jc w:val="right"/>
              <w:rPr>
                <w:rFonts w:ascii="Arial Narrow" w:hAnsi="Arial Narrow" w:cstheme="minorBidi"/>
                <w:b/>
                <w:color w:val="000000"/>
                <w:sz w:val="20"/>
                <w:szCs w:val="20"/>
              </w:rPr>
            </w:pPr>
            <w:r w:rsidRPr="00022A0B">
              <w:rPr>
                <w:rFonts w:ascii="Arial Narrow" w:hAnsi="Arial Narrow" w:cstheme="minorBidi"/>
                <w:color w:val="000000"/>
                <w:sz w:val="20"/>
                <w:szCs w:val="20"/>
              </w:rPr>
              <w:t>2 709</w:t>
            </w:r>
          </w:p>
        </w:tc>
        <w:tc>
          <w:tcPr>
            <w:tcW w:w="1652" w:type="dxa"/>
            <w:tcBorders>
              <w:top w:val="nil"/>
              <w:left w:val="nil"/>
              <w:bottom w:val="single" w:sz="4" w:space="0" w:color="auto"/>
              <w:right w:val="single" w:sz="4" w:space="0" w:color="auto"/>
            </w:tcBorders>
            <w:shd w:val="clear" w:color="auto" w:fill="auto"/>
            <w:noWrap/>
            <w:vAlign w:val="center"/>
            <w:hideMark/>
          </w:tcPr>
          <w:p w14:paraId="71CD4C9D" w14:textId="77777777" w:rsidR="00BA7C7F" w:rsidRPr="00022A0B" w:rsidRDefault="00BA7C7F" w:rsidP="00BA7C7F">
            <w:pPr>
              <w:jc w:val="right"/>
              <w:rPr>
                <w:rFonts w:ascii="Arial Narrow" w:hAnsi="Arial Narrow" w:cstheme="minorBidi"/>
                <w:b/>
                <w:color w:val="000000"/>
                <w:sz w:val="20"/>
                <w:szCs w:val="20"/>
              </w:rPr>
            </w:pPr>
            <w:r w:rsidRPr="00022A0B">
              <w:rPr>
                <w:rFonts w:ascii="Arial Narrow" w:hAnsi="Arial Narrow" w:cstheme="minorBidi"/>
                <w:color w:val="000000"/>
                <w:sz w:val="20"/>
                <w:szCs w:val="20"/>
              </w:rPr>
              <w:t>2 694</w:t>
            </w:r>
          </w:p>
        </w:tc>
        <w:tc>
          <w:tcPr>
            <w:tcW w:w="1045" w:type="dxa"/>
            <w:tcBorders>
              <w:top w:val="nil"/>
              <w:left w:val="nil"/>
              <w:bottom w:val="single" w:sz="4" w:space="0" w:color="auto"/>
              <w:right w:val="single" w:sz="4" w:space="0" w:color="auto"/>
            </w:tcBorders>
            <w:shd w:val="clear" w:color="auto" w:fill="auto"/>
            <w:noWrap/>
            <w:vAlign w:val="center"/>
            <w:hideMark/>
          </w:tcPr>
          <w:p w14:paraId="6C011D64" w14:textId="77777777" w:rsidR="00BA7C7F" w:rsidRPr="00022A0B" w:rsidRDefault="00BA7C7F" w:rsidP="00BA7C7F">
            <w:pPr>
              <w:jc w:val="center"/>
              <w:rPr>
                <w:rFonts w:ascii="Arial Narrow" w:hAnsi="Arial Narrow" w:cstheme="minorBidi"/>
                <w:b/>
                <w:color w:val="000000"/>
                <w:sz w:val="20"/>
                <w:szCs w:val="20"/>
              </w:rPr>
            </w:pPr>
            <w:r w:rsidRPr="00022A0B">
              <w:rPr>
                <w:rFonts w:ascii="Arial Narrow" w:hAnsi="Arial Narrow" w:cstheme="minorBidi"/>
                <w:color w:val="000000"/>
                <w:sz w:val="20"/>
                <w:szCs w:val="20"/>
              </w:rPr>
              <w:t>100</w:t>
            </w:r>
          </w:p>
        </w:tc>
        <w:tc>
          <w:tcPr>
            <w:tcW w:w="1045" w:type="dxa"/>
            <w:tcBorders>
              <w:top w:val="nil"/>
              <w:left w:val="nil"/>
              <w:bottom w:val="single" w:sz="4" w:space="0" w:color="auto"/>
              <w:right w:val="single" w:sz="4" w:space="0" w:color="auto"/>
            </w:tcBorders>
            <w:shd w:val="clear" w:color="auto" w:fill="auto"/>
            <w:noWrap/>
            <w:vAlign w:val="center"/>
            <w:hideMark/>
          </w:tcPr>
          <w:p w14:paraId="01D17700" w14:textId="77777777" w:rsidR="00BA7C7F" w:rsidRPr="00022A0B" w:rsidRDefault="00BA7C7F" w:rsidP="00BA7C7F">
            <w:pPr>
              <w:jc w:val="center"/>
              <w:rPr>
                <w:rFonts w:ascii="Arial Narrow" w:hAnsi="Arial Narrow" w:cstheme="minorBidi"/>
                <w:b/>
                <w:color w:val="000000"/>
                <w:sz w:val="20"/>
                <w:szCs w:val="20"/>
              </w:rPr>
            </w:pPr>
            <w:r w:rsidRPr="00022A0B">
              <w:rPr>
                <w:rFonts w:ascii="Arial Narrow" w:hAnsi="Arial Narrow" w:cstheme="minorBidi"/>
                <w:color w:val="000000"/>
                <w:sz w:val="20"/>
                <w:szCs w:val="20"/>
              </w:rPr>
              <w:t>-</w:t>
            </w:r>
          </w:p>
        </w:tc>
        <w:tc>
          <w:tcPr>
            <w:tcW w:w="906" w:type="dxa"/>
            <w:tcBorders>
              <w:top w:val="nil"/>
              <w:left w:val="nil"/>
              <w:bottom w:val="single" w:sz="4" w:space="0" w:color="auto"/>
              <w:right w:val="single" w:sz="4" w:space="0" w:color="auto"/>
            </w:tcBorders>
            <w:shd w:val="clear" w:color="auto" w:fill="auto"/>
            <w:noWrap/>
            <w:vAlign w:val="center"/>
            <w:hideMark/>
          </w:tcPr>
          <w:p w14:paraId="5BCEDD3E" w14:textId="77777777" w:rsidR="00BA7C7F" w:rsidRPr="00022A0B" w:rsidRDefault="00BA7C7F" w:rsidP="00BA7C7F">
            <w:pPr>
              <w:jc w:val="center"/>
              <w:rPr>
                <w:rFonts w:ascii="Arial Narrow" w:hAnsi="Arial Narrow" w:cstheme="minorBidi"/>
                <w:b/>
                <w:color w:val="000000"/>
                <w:sz w:val="20"/>
                <w:szCs w:val="20"/>
              </w:rPr>
            </w:pPr>
            <w:r w:rsidRPr="00022A0B">
              <w:rPr>
                <w:rFonts w:ascii="Arial Narrow" w:hAnsi="Arial Narrow" w:cstheme="minorBidi"/>
                <w:color w:val="000000"/>
                <w:sz w:val="20"/>
                <w:szCs w:val="20"/>
              </w:rPr>
              <w:t>-</w:t>
            </w:r>
          </w:p>
        </w:tc>
        <w:tc>
          <w:tcPr>
            <w:tcW w:w="1801" w:type="dxa"/>
            <w:tcBorders>
              <w:top w:val="nil"/>
              <w:left w:val="nil"/>
              <w:bottom w:val="single" w:sz="4" w:space="0" w:color="auto"/>
              <w:right w:val="single" w:sz="4" w:space="0" w:color="auto"/>
            </w:tcBorders>
            <w:shd w:val="clear" w:color="auto" w:fill="auto"/>
            <w:noWrap/>
            <w:vAlign w:val="center"/>
            <w:hideMark/>
          </w:tcPr>
          <w:p w14:paraId="2A0A6DBE" w14:textId="77777777" w:rsidR="00BA7C7F" w:rsidRPr="00022A0B" w:rsidRDefault="00BA7C7F" w:rsidP="00BA7C7F">
            <w:pPr>
              <w:jc w:val="right"/>
              <w:rPr>
                <w:rFonts w:ascii="Arial Narrow" w:hAnsi="Arial Narrow" w:cstheme="minorBidi"/>
                <w:b/>
                <w:color w:val="000000"/>
                <w:sz w:val="20"/>
                <w:szCs w:val="20"/>
              </w:rPr>
            </w:pPr>
            <w:r w:rsidRPr="00022A0B">
              <w:rPr>
                <w:rFonts w:ascii="Arial Narrow" w:hAnsi="Arial Narrow" w:cstheme="minorBidi"/>
                <w:color w:val="000000"/>
                <w:sz w:val="20"/>
                <w:szCs w:val="20"/>
              </w:rPr>
              <w:t>8 726 288</w:t>
            </w:r>
          </w:p>
        </w:tc>
      </w:tr>
      <w:tr w:rsidR="00BA7C7F" w:rsidRPr="00C57ABA" w14:paraId="39AB458D" w14:textId="77777777" w:rsidTr="00B37935">
        <w:trPr>
          <w:trHeight w:val="300"/>
        </w:trPr>
        <w:tc>
          <w:tcPr>
            <w:tcW w:w="1724" w:type="dxa"/>
            <w:tcBorders>
              <w:top w:val="nil"/>
              <w:left w:val="single" w:sz="4" w:space="0" w:color="auto"/>
              <w:bottom w:val="single" w:sz="4" w:space="0" w:color="auto"/>
              <w:right w:val="single" w:sz="4" w:space="0" w:color="auto"/>
            </w:tcBorders>
            <w:shd w:val="clear" w:color="auto" w:fill="auto"/>
            <w:noWrap/>
            <w:vAlign w:val="center"/>
            <w:hideMark/>
          </w:tcPr>
          <w:p w14:paraId="1EF79DA5" w14:textId="77777777" w:rsidR="00BA7C7F" w:rsidRPr="00022A0B" w:rsidRDefault="00BA7C7F" w:rsidP="00BA7C7F">
            <w:pPr>
              <w:rPr>
                <w:rFonts w:ascii="Arial Narrow" w:hAnsi="Arial Narrow" w:cstheme="minorBidi"/>
                <w:b/>
                <w:color w:val="000000"/>
                <w:sz w:val="20"/>
                <w:szCs w:val="20"/>
              </w:rPr>
            </w:pPr>
            <w:r w:rsidRPr="00022A0B">
              <w:rPr>
                <w:rFonts w:ascii="Arial Narrow" w:hAnsi="Arial Narrow" w:cstheme="minorBidi"/>
                <w:color w:val="000000"/>
                <w:sz w:val="20"/>
                <w:szCs w:val="20"/>
              </w:rPr>
              <w:t>ИЗ-КЛЧ</w:t>
            </w:r>
          </w:p>
        </w:tc>
        <w:tc>
          <w:tcPr>
            <w:tcW w:w="1801" w:type="dxa"/>
            <w:tcBorders>
              <w:top w:val="nil"/>
              <w:left w:val="nil"/>
              <w:bottom w:val="single" w:sz="4" w:space="0" w:color="auto"/>
              <w:right w:val="single" w:sz="4" w:space="0" w:color="auto"/>
            </w:tcBorders>
            <w:shd w:val="clear" w:color="auto" w:fill="auto"/>
            <w:noWrap/>
            <w:vAlign w:val="center"/>
            <w:hideMark/>
          </w:tcPr>
          <w:p w14:paraId="1C6793F1" w14:textId="77777777" w:rsidR="00BA7C7F" w:rsidRPr="00022A0B" w:rsidRDefault="00BA7C7F" w:rsidP="00BA7C7F">
            <w:pPr>
              <w:jc w:val="right"/>
              <w:rPr>
                <w:rFonts w:ascii="Arial Narrow" w:hAnsi="Arial Narrow" w:cstheme="minorBidi"/>
                <w:b/>
                <w:color w:val="000000"/>
                <w:sz w:val="20"/>
                <w:szCs w:val="20"/>
              </w:rPr>
            </w:pPr>
            <w:r w:rsidRPr="00022A0B">
              <w:rPr>
                <w:rFonts w:ascii="Arial Narrow" w:hAnsi="Arial Narrow" w:cstheme="minorBidi"/>
                <w:color w:val="000000"/>
                <w:sz w:val="20"/>
                <w:szCs w:val="20"/>
              </w:rPr>
              <w:t>728</w:t>
            </w:r>
          </w:p>
        </w:tc>
        <w:tc>
          <w:tcPr>
            <w:tcW w:w="1652" w:type="dxa"/>
            <w:tcBorders>
              <w:top w:val="nil"/>
              <w:left w:val="nil"/>
              <w:bottom w:val="single" w:sz="4" w:space="0" w:color="auto"/>
              <w:right w:val="single" w:sz="4" w:space="0" w:color="auto"/>
            </w:tcBorders>
            <w:shd w:val="clear" w:color="auto" w:fill="auto"/>
            <w:noWrap/>
            <w:vAlign w:val="center"/>
            <w:hideMark/>
          </w:tcPr>
          <w:p w14:paraId="4CA34597" w14:textId="77777777" w:rsidR="00BA7C7F" w:rsidRPr="00022A0B" w:rsidRDefault="00BA7C7F" w:rsidP="00BA7C7F">
            <w:pPr>
              <w:jc w:val="right"/>
              <w:rPr>
                <w:rFonts w:ascii="Arial Narrow" w:hAnsi="Arial Narrow" w:cstheme="minorBidi"/>
                <w:b/>
                <w:color w:val="000000"/>
                <w:sz w:val="20"/>
                <w:szCs w:val="20"/>
              </w:rPr>
            </w:pPr>
            <w:r w:rsidRPr="00022A0B">
              <w:rPr>
                <w:rFonts w:ascii="Arial Narrow" w:hAnsi="Arial Narrow" w:cstheme="minorBidi"/>
                <w:color w:val="000000"/>
                <w:sz w:val="20"/>
                <w:szCs w:val="20"/>
              </w:rPr>
              <w:t>710</w:t>
            </w:r>
          </w:p>
        </w:tc>
        <w:tc>
          <w:tcPr>
            <w:tcW w:w="1045" w:type="dxa"/>
            <w:tcBorders>
              <w:top w:val="nil"/>
              <w:left w:val="nil"/>
              <w:bottom w:val="single" w:sz="4" w:space="0" w:color="auto"/>
              <w:right w:val="single" w:sz="4" w:space="0" w:color="auto"/>
            </w:tcBorders>
            <w:shd w:val="clear" w:color="auto" w:fill="auto"/>
            <w:noWrap/>
            <w:vAlign w:val="center"/>
            <w:hideMark/>
          </w:tcPr>
          <w:p w14:paraId="2EB17ECF" w14:textId="77777777" w:rsidR="00BA7C7F" w:rsidRPr="00022A0B" w:rsidRDefault="00BA7C7F" w:rsidP="00BA7C7F">
            <w:pPr>
              <w:jc w:val="center"/>
              <w:rPr>
                <w:rFonts w:ascii="Arial Narrow" w:hAnsi="Arial Narrow" w:cstheme="minorBidi"/>
                <w:b/>
                <w:color w:val="000000"/>
                <w:sz w:val="20"/>
                <w:szCs w:val="20"/>
              </w:rPr>
            </w:pPr>
            <w:r w:rsidRPr="00022A0B">
              <w:rPr>
                <w:rFonts w:ascii="Arial Narrow" w:hAnsi="Arial Narrow" w:cstheme="minorBidi"/>
                <w:color w:val="000000"/>
                <w:sz w:val="20"/>
                <w:szCs w:val="20"/>
              </w:rPr>
              <w:t>100</w:t>
            </w:r>
          </w:p>
        </w:tc>
        <w:tc>
          <w:tcPr>
            <w:tcW w:w="1045" w:type="dxa"/>
            <w:tcBorders>
              <w:top w:val="nil"/>
              <w:left w:val="nil"/>
              <w:bottom w:val="single" w:sz="4" w:space="0" w:color="auto"/>
              <w:right w:val="single" w:sz="4" w:space="0" w:color="auto"/>
            </w:tcBorders>
            <w:shd w:val="clear" w:color="auto" w:fill="auto"/>
            <w:noWrap/>
            <w:vAlign w:val="center"/>
            <w:hideMark/>
          </w:tcPr>
          <w:p w14:paraId="6A5A9394" w14:textId="77777777" w:rsidR="00BA7C7F" w:rsidRPr="00022A0B" w:rsidRDefault="00BA7C7F" w:rsidP="00BA7C7F">
            <w:pPr>
              <w:jc w:val="center"/>
              <w:rPr>
                <w:rFonts w:ascii="Arial Narrow" w:hAnsi="Arial Narrow" w:cstheme="minorBidi"/>
                <w:b/>
                <w:color w:val="000000"/>
                <w:sz w:val="20"/>
                <w:szCs w:val="20"/>
              </w:rPr>
            </w:pPr>
            <w:r w:rsidRPr="00022A0B">
              <w:rPr>
                <w:rFonts w:ascii="Arial Narrow" w:hAnsi="Arial Narrow" w:cstheme="minorBidi"/>
                <w:color w:val="000000"/>
                <w:sz w:val="20"/>
                <w:szCs w:val="20"/>
              </w:rPr>
              <w:t>-</w:t>
            </w:r>
          </w:p>
        </w:tc>
        <w:tc>
          <w:tcPr>
            <w:tcW w:w="906" w:type="dxa"/>
            <w:tcBorders>
              <w:top w:val="nil"/>
              <w:left w:val="nil"/>
              <w:bottom w:val="single" w:sz="4" w:space="0" w:color="auto"/>
              <w:right w:val="single" w:sz="4" w:space="0" w:color="auto"/>
            </w:tcBorders>
            <w:shd w:val="clear" w:color="auto" w:fill="auto"/>
            <w:noWrap/>
            <w:vAlign w:val="center"/>
            <w:hideMark/>
          </w:tcPr>
          <w:p w14:paraId="2FDC8070" w14:textId="77777777" w:rsidR="00BA7C7F" w:rsidRPr="00022A0B" w:rsidRDefault="00BA7C7F" w:rsidP="00BA7C7F">
            <w:pPr>
              <w:jc w:val="center"/>
              <w:rPr>
                <w:rFonts w:ascii="Arial Narrow" w:hAnsi="Arial Narrow" w:cstheme="minorBidi"/>
                <w:b/>
                <w:color w:val="000000"/>
                <w:sz w:val="20"/>
                <w:szCs w:val="20"/>
              </w:rPr>
            </w:pPr>
            <w:r w:rsidRPr="00022A0B">
              <w:rPr>
                <w:rFonts w:ascii="Arial Narrow" w:hAnsi="Arial Narrow" w:cstheme="minorBidi"/>
                <w:color w:val="000000"/>
                <w:sz w:val="20"/>
                <w:szCs w:val="20"/>
              </w:rPr>
              <w:t>-</w:t>
            </w:r>
          </w:p>
        </w:tc>
        <w:tc>
          <w:tcPr>
            <w:tcW w:w="1801" w:type="dxa"/>
            <w:tcBorders>
              <w:top w:val="nil"/>
              <w:left w:val="nil"/>
              <w:bottom w:val="single" w:sz="4" w:space="0" w:color="auto"/>
              <w:right w:val="single" w:sz="4" w:space="0" w:color="auto"/>
            </w:tcBorders>
            <w:shd w:val="clear" w:color="auto" w:fill="auto"/>
            <w:noWrap/>
            <w:vAlign w:val="center"/>
            <w:hideMark/>
          </w:tcPr>
          <w:p w14:paraId="39382334" w14:textId="77777777" w:rsidR="00BA7C7F" w:rsidRPr="00022A0B" w:rsidRDefault="00BA7C7F" w:rsidP="00BA7C7F">
            <w:pPr>
              <w:jc w:val="right"/>
              <w:rPr>
                <w:rFonts w:ascii="Arial Narrow" w:hAnsi="Arial Narrow" w:cstheme="minorBidi"/>
                <w:b/>
                <w:color w:val="000000"/>
                <w:sz w:val="20"/>
                <w:szCs w:val="20"/>
              </w:rPr>
            </w:pPr>
            <w:r w:rsidRPr="00022A0B">
              <w:rPr>
                <w:rFonts w:ascii="Arial Narrow" w:hAnsi="Arial Narrow" w:cstheme="minorBidi"/>
                <w:color w:val="000000"/>
                <w:sz w:val="20"/>
                <w:szCs w:val="20"/>
              </w:rPr>
              <w:t>4 271 781</w:t>
            </w:r>
          </w:p>
        </w:tc>
      </w:tr>
      <w:tr w:rsidR="00BA7C7F" w:rsidRPr="00C57ABA" w14:paraId="6E34CBC7" w14:textId="77777777" w:rsidTr="00B37935">
        <w:trPr>
          <w:trHeight w:val="300"/>
        </w:trPr>
        <w:tc>
          <w:tcPr>
            <w:tcW w:w="1724" w:type="dxa"/>
            <w:tcBorders>
              <w:top w:val="nil"/>
              <w:left w:val="single" w:sz="4" w:space="0" w:color="auto"/>
              <w:bottom w:val="single" w:sz="4" w:space="0" w:color="auto"/>
              <w:right w:val="single" w:sz="4" w:space="0" w:color="auto"/>
            </w:tcBorders>
            <w:shd w:val="clear" w:color="auto" w:fill="auto"/>
            <w:noWrap/>
            <w:vAlign w:val="center"/>
            <w:hideMark/>
          </w:tcPr>
          <w:p w14:paraId="7A980CE2" w14:textId="77777777" w:rsidR="00BA7C7F" w:rsidRPr="00022A0B" w:rsidRDefault="00BA7C7F" w:rsidP="00BA7C7F">
            <w:pPr>
              <w:rPr>
                <w:rFonts w:ascii="Arial Narrow" w:hAnsi="Arial Narrow" w:cstheme="minorBidi"/>
                <w:b/>
                <w:color w:val="000000"/>
                <w:sz w:val="20"/>
                <w:szCs w:val="20"/>
              </w:rPr>
            </w:pPr>
            <w:r w:rsidRPr="00022A0B">
              <w:rPr>
                <w:rFonts w:ascii="Arial Narrow" w:hAnsi="Arial Narrow" w:cstheme="minorBidi"/>
                <w:color w:val="000000"/>
                <w:sz w:val="20"/>
                <w:szCs w:val="20"/>
              </w:rPr>
              <w:t>ИОП</w:t>
            </w:r>
          </w:p>
        </w:tc>
        <w:tc>
          <w:tcPr>
            <w:tcW w:w="1801" w:type="dxa"/>
            <w:tcBorders>
              <w:top w:val="nil"/>
              <w:left w:val="nil"/>
              <w:bottom w:val="single" w:sz="4" w:space="0" w:color="auto"/>
              <w:right w:val="single" w:sz="4" w:space="0" w:color="auto"/>
            </w:tcBorders>
            <w:shd w:val="clear" w:color="auto" w:fill="auto"/>
            <w:noWrap/>
            <w:vAlign w:val="center"/>
            <w:hideMark/>
          </w:tcPr>
          <w:p w14:paraId="36333210" w14:textId="77777777" w:rsidR="00BA7C7F" w:rsidRPr="00022A0B" w:rsidRDefault="00BA7C7F" w:rsidP="00BA7C7F">
            <w:pPr>
              <w:jc w:val="right"/>
              <w:rPr>
                <w:rFonts w:ascii="Arial Narrow" w:hAnsi="Arial Narrow" w:cstheme="minorBidi"/>
                <w:b/>
                <w:color w:val="000000"/>
                <w:sz w:val="20"/>
                <w:szCs w:val="20"/>
              </w:rPr>
            </w:pPr>
            <w:r w:rsidRPr="00022A0B">
              <w:rPr>
                <w:rFonts w:ascii="Arial Narrow" w:hAnsi="Arial Narrow" w:cstheme="minorBidi"/>
                <w:color w:val="000000"/>
                <w:sz w:val="20"/>
                <w:szCs w:val="20"/>
              </w:rPr>
              <w:t>1 215</w:t>
            </w:r>
          </w:p>
        </w:tc>
        <w:tc>
          <w:tcPr>
            <w:tcW w:w="1652" w:type="dxa"/>
            <w:tcBorders>
              <w:top w:val="nil"/>
              <w:left w:val="nil"/>
              <w:bottom w:val="single" w:sz="4" w:space="0" w:color="auto"/>
              <w:right w:val="single" w:sz="4" w:space="0" w:color="auto"/>
            </w:tcBorders>
            <w:shd w:val="clear" w:color="auto" w:fill="auto"/>
            <w:noWrap/>
            <w:vAlign w:val="center"/>
            <w:hideMark/>
          </w:tcPr>
          <w:p w14:paraId="6514624E" w14:textId="77777777" w:rsidR="00BA7C7F" w:rsidRPr="00022A0B" w:rsidRDefault="00BA7C7F" w:rsidP="00BA7C7F">
            <w:pPr>
              <w:jc w:val="right"/>
              <w:rPr>
                <w:rFonts w:ascii="Arial Narrow" w:hAnsi="Arial Narrow" w:cstheme="minorBidi"/>
                <w:b/>
                <w:color w:val="000000"/>
                <w:sz w:val="20"/>
                <w:szCs w:val="20"/>
              </w:rPr>
            </w:pPr>
            <w:r w:rsidRPr="00022A0B">
              <w:rPr>
                <w:rFonts w:ascii="Arial Narrow" w:hAnsi="Arial Narrow" w:cstheme="minorBidi"/>
                <w:color w:val="000000"/>
                <w:sz w:val="20"/>
                <w:szCs w:val="20"/>
              </w:rPr>
              <w:t>1 200</w:t>
            </w:r>
          </w:p>
        </w:tc>
        <w:tc>
          <w:tcPr>
            <w:tcW w:w="1045" w:type="dxa"/>
            <w:tcBorders>
              <w:top w:val="nil"/>
              <w:left w:val="nil"/>
              <w:bottom w:val="single" w:sz="4" w:space="0" w:color="auto"/>
              <w:right w:val="single" w:sz="4" w:space="0" w:color="auto"/>
            </w:tcBorders>
            <w:shd w:val="clear" w:color="auto" w:fill="auto"/>
            <w:noWrap/>
            <w:vAlign w:val="center"/>
            <w:hideMark/>
          </w:tcPr>
          <w:p w14:paraId="5A0C4A03" w14:textId="77777777" w:rsidR="00BA7C7F" w:rsidRPr="00022A0B" w:rsidRDefault="00BA7C7F" w:rsidP="00BA7C7F">
            <w:pPr>
              <w:jc w:val="center"/>
              <w:rPr>
                <w:rFonts w:ascii="Arial Narrow" w:hAnsi="Arial Narrow" w:cstheme="minorBidi"/>
                <w:b/>
                <w:color w:val="000000"/>
                <w:sz w:val="20"/>
                <w:szCs w:val="20"/>
              </w:rPr>
            </w:pPr>
            <w:r w:rsidRPr="00022A0B">
              <w:rPr>
                <w:rFonts w:ascii="Arial Narrow" w:hAnsi="Arial Narrow" w:cstheme="minorBidi"/>
                <w:color w:val="000000"/>
                <w:sz w:val="20"/>
                <w:szCs w:val="20"/>
              </w:rPr>
              <w:t>100</w:t>
            </w:r>
          </w:p>
        </w:tc>
        <w:tc>
          <w:tcPr>
            <w:tcW w:w="1045" w:type="dxa"/>
            <w:tcBorders>
              <w:top w:val="nil"/>
              <w:left w:val="nil"/>
              <w:bottom w:val="single" w:sz="4" w:space="0" w:color="auto"/>
              <w:right w:val="single" w:sz="4" w:space="0" w:color="auto"/>
            </w:tcBorders>
            <w:shd w:val="clear" w:color="auto" w:fill="auto"/>
            <w:noWrap/>
            <w:vAlign w:val="center"/>
            <w:hideMark/>
          </w:tcPr>
          <w:p w14:paraId="248042B6" w14:textId="77777777" w:rsidR="00BA7C7F" w:rsidRPr="00022A0B" w:rsidRDefault="00BA7C7F" w:rsidP="00BA7C7F">
            <w:pPr>
              <w:jc w:val="center"/>
              <w:rPr>
                <w:rFonts w:ascii="Arial Narrow" w:hAnsi="Arial Narrow" w:cstheme="minorBidi"/>
                <w:b/>
                <w:color w:val="000000"/>
                <w:sz w:val="20"/>
                <w:szCs w:val="20"/>
              </w:rPr>
            </w:pPr>
            <w:r w:rsidRPr="00022A0B">
              <w:rPr>
                <w:rFonts w:ascii="Arial Narrow" w:hAnsi="Arial Narrow" w:cstheme="minorBidi"/>
                <w:color w:val="000000"/>
                <w:sz w:val="20"/>
                <w:szCs w:val="20"/>
              </w:rPr>
              <w:t>-</w:t>
            </w:r>
          </w:p>
        </w:tc>
        <w:tc>
          <w:tcPr>
            <w:tcW w:w="906" w:type="dxa"/>
            <w:tcBorders>
              <w:top w:val="nil"/>
              <w:left w:val="nil"/>
              <w:bottom w:val="single" w:sz="4" w:space="0" w:color="auto"/>
              <w:right w:val="single" w:sz="4" w:space="0" w:color="auto"/>
            </w:tcBorders>
            <w:shd w:val="clear" w:color="auto" w:fill="auto"/>
            <w:noWrap/>
            <w:vAlign w:val="center"/>
            <w:hideMark/>
          </w:tcPr>
          <w:p w14:paraId="678C0FFD" w14:textId="77777777" w:rsidR="00BA7C7F" w:rsidRPr="00022A0B" w:rsidRDefault="00BA7C7F" w:rsidP="00BA7C7F">
            <w:pPr>
              <w:jc w:val="center"/>
              <w:rPr>
                <w:rFonts w:ascii="Arial Narrow" w:hAnsi="Arial Narrow" w:cstheme="minorBidi"/>
                <w:b/>
                <w:color w:val="000000"/>
                <w:sz w:val="20"/>
                <w:szCs w:val="20"/>
              </w:rPr>
            </w:pPr>
            <w:r w:rsidRPr="00022A0B">
              <w:rPr>
                <w:rFonts w:ascii="Arial Narrow" w:hAnsi="Arial Narrow" w:cstheme="minorBidi"/>
                <w:color w:val="000000"/>
                <w:sz w:val="20"/>
                <w:szCs w:val="20"/>
              </w:rPr>
              <w:t>-</w:t>
            </w:r>
          </w:p>
        </w:tc>
        <w:tc>
          <w:tcPr>
            <w:tcW w:w="1801" w:type="dxa"/>
            <w:tcBorders>
              <w:top w:val="nil"/>
              <w:left w:val="nil"/>
              <w:bottom w:val="single" w:sz="4" w:space="0" w:color="auto"/>
              <w:right w:val="single" w:sz="4" w:space="0" w:color="auto"/>
            </w:tcBorders>
            <w:shd w:val="clear" w:color="auto" w:fill="auto"/>
            <w:noWrap/>
            <w:vAlign w:val="center"/>
            <w:hideMark/>
          </w:tcPr>
          <w:p w14:paraId="034E4EE1" w14:textId="77777777" w:rsidR="00BA7C7F" w:rsidRPr="00022A0B" w:rsidRDefault="00BA7C7F" w:rsidP="00BA7C7F">
            <w:pPr>
              <w:jc w:val="right"/>
              <w:rPr>
                <w:rFonts w:ascii="Arial Narrow" w:hAnsi="Arial Narrow" w:cstheme="minorBidi"/>
                <w:b/>
                <w:color w:val="000000"/>
                <w:sz w:val="20"/>
                <w:szCs w:val="20"/>
              </w:rPr>
            </w:pPr>
            <w:r w:rsidRPr="00022A0B">
              <w:rPr>
                <w:rFonts w:ascii="Arial Narrow" w:hAnsi="Arial Narrow" w:cstheme="minorBidi"/>
                <w:color w:val="000000"/>
                <w:sz w:val="20"/>
                <w:szCs w:val="20"/>
              </w:rPr>
              <w:t>12 538 087</w:t>
            </w:r>
          </w:p>
        </w:tc>
      </w:tr>
      <w:tr w:rsidR="00BA7C7F" w:rsidRPr="00C57ABA" w14:paraId="62D0F3D5" w14:textId="77777777" w:rsidTr="00B37935">
        <w:trPr>
          <w:trHeight w:val="300"/>
        </w:trPr>
        <w:tc>
          <w:tcPr>
            <w:tcW w:w="1724" w:type="dxa"/>
            <w:tcBorders>
              <w:top w:val="nil"/>
              <w:left w:val="single" w:sz="4" w:space="0" w:color="auto"/>
              <w:bottom w:val="single" w:sz="4" w:space="0" w:color="auto"/>
              <w:right w:val="single" w:sz="4" w:space="0" w:color="auto"/>
            </w:tcBorders>
            <w:shd w:val="clear" w:color="auto" w:fill="auto"/>
            <w:noWrap/>
            <w:vAlign w:val="center"/>
            <w:hideMark/>
          </w:tcPr>
          <w:p w14:paraId="7A7A7A6B" w14:textId="77777777" w:rsidR="00BA7C7F" w:rsidRPr="00022A0B" w:rsidRDefault="00BA7C7F" w:rsidP="00BA7C7F">
            <w:pPr>
              <w:rPr>
                <w:rFonts w:ascii="Arial Narrow" w:hAnsi="Arial Narrow" w:cstheme="minorBidi"/>
                <w:b/>
                <w:color w:val="000000"/>
                <w:sz w:val="20"/>
                <w:szCs w:val="20"/>
              </w:rPr>
            </w:pPr>
            <w:r w:rsidRPr="00022A0B">
              <w:rPr>
                <w:rFonts w:ascii="Arial Narrow" w:hAnsi="Arial Narrow" w:cstheme="minorBidi"/>
                <w:color w:val="000000"/>
                <w:sz w:val="20"/>
                <w:szCs w:val="20"/>
              </w:rPr>
              <w:t>ИЗП-пл</w:t>
            </w:r>
          </w:p>
        </w:tc>
        <w:tc>
          <w:tcPr>
            <w:tcW w:w="1801" w:type="dxa"/>
            <w:tcBorders>
              <w:top w:val="nil"/>
              <w:left w:val="nil"/>
              <w:bottom w:val="single" w:sz="4" w:space="0" w:color="auto"/>
              <w:right w:val="single" w:sz="4" w:space="0" w:color="auto"/>
            </w:tcBorders>
            <w:shd w:val="clear" w:color="auto" w:fill="auto"/>
            <w:noWrap/>
            <w:vAlign w:val="center"/>
            <w:hideMark/>
          </w:tcPr>
          <w:p w14:paraId="47B745A5" w14:textId="77777777" w:rsidR="00BA7C7F" w:rsidRPr="00022A0B" w:rsidRDefault="00BA7C7F" w:rsidP="00BA7C7F">
            <w:pPr>
              <w:jc w:val="right"/>
              <w:rPr>
                <w:rFonts w:ascii="Arial Narrow" w:hAnsi="Arial Narrow" w:cstheme="minorBidi"/>
                <w:b/>
                <w:color w:val="000000"/>
                <w:sz w:val="20"/>
                <w:szCs w:val="20"/>
              </w:rPr>
            </w:pPr>
            <w:r w:rsidRPr="00022A0B">
              <w:rPr>
                <w:rFonts w:ascii="Arial Narrow" w:hAnsi="Arial Narrow" w:cstheme="minorBidi"/>
                <w:color w:val="000000"/>
                <w:sz w:val="20"/>
                <w:szCs w:val="20"/>
              </w:rPr>
              <w:t>159</w:t>
            </w:r>
          </w:p>
        </w:tc>
        <w:tc>
          <w:tcPr>
            <w:tcW w:w="1652" w:type="dxa"/>
            <w:tcBorders>
              <w:top w:val="nil"/>
              <w:left w:val="nil"/>
              <w:bottom w:val="single" w:sz="4" w:space="0" w:color="auto"/>
              <w:right w:val="single" w:sz="4" w:space="0" w:color="auto"/>
            </w:tcBorders>
            <w:shd w:val="clear" w:color="auto" w:fill="auto"/>
            <w:noWrap/>
            <w:vAlign w:val="center"/>
            <w:hideMark/>
          </w:tcPr>
          <w:p w14:paraId="5CF79EA3" w14:textId="77777777" w:rsidR="00BA7C7F" w:rsidRPr="00022A0B" w:rsidRDefault="00BA7C7F" w:rsidP="00BA7C7F">
            <w:pPr>
              <w:jc w:val="right"/>
              <w:rPr>
                <w:rFonts w:ascii="Arial Narrow" w:hAnsi="Arial Narrow" w:cstheme="minorBidi"/>
                <w:b/>
                <w:color w:val="000000"/>
                <w:sz w:val="20"/>
                <w:szCs w:val="20"/>
              </w:rPr>
            </w:pPr>
            <w:r w:rsidRPr="00022A0B">
              <w:rPr>
                <w:rFonts w:ascii="Arial Narrow" w:hAnsi="Arial Narrow" w:cstheme="minorBidi"/>
                <w:color w:val="000000"/>
                <w:sz w:val="20"/>
                <w:szCs w:val="20"/>
              </w:rPr>
              <w:t>154</w:t>
            </w:r>
          </w:p>
        </w:tc>
        <w:tc>
          <w:tcPr>
            <w:tcW w:w="1045" w:type="dxa"/>
            <w:tcBorders>
              <w:top w:val="nil"/>
              <w:left w:val="nil"/>
              <w:bottom w:val="single" w:sz="4" w:space="0" w:color="auto"/>
              <w:right w:val="single" w:sz="4" w:space="0" w:color="auto"/>
            </w:tcBorders>
            <w:shd w:val="clear" w:color="auto" w:fill="auto"/>
            <w:noWrap/>
            <w:vAlign w:val="center"/>
            <w:hideMark/>
          </w:tcPr>
          <w:p w14:paraId="228DA8EF" w14:textId="77777777" w:rsidR="00BA7C7F" w:rsidRPr="00022A0B" w:rsidRDefault="00BA7C7F" w:rsidP="00BA7C7F">
            <w:pPr>
              <w:jc w:val="center"/>
              <w:rPr>
                <w:rFonts w:ascii="Arial Narrow" w:hAnsi="Arial Narrow" w:cstheme="minorBidi"/>
                <w:b/>
                <w:color w:val="000000"/>
                <w:sz w:val="20"/>
                <w:szCs w:val="20"/>
              </w:rPr>
            </w:pPr>
            <w:r w:rsidRPr="00022A0B">
              <w:rPr>
                <w:rFonts w:ascii="Arial Narrow" w:hAnsi="Arial Narrow" w:cstheme="minorBidi"/>
                <w:color w:val="000000"/>
                <w:sz w:val="20"/>
                <w:szCs w:val="20"/>
              </w:rPr>
              <w:t>100</w:t>
            </w:r>
          </w:p>
        </w:tc>
        <w:tc>
          <w:tcPr>
            <w:tcW w:w="1045" w:type="dxa"/>
            <w:tcBorders>
              <w:top w:val="nil"/>
              <w:left w:val="nil"/>
              <w:bottom w:val="single" w:sz="4" w:space="0" w:color="auto"/>
              <w:right w:val="single" w:sz="4" w:space="0" w:color="auto"/>
            </w:tcBorders>
            <w:shd w:val="clear" w:color="auto" w:fill="auto"/>
            <w:noWrap/>
            <w:vAlign w:val="center"/>
            <w:hideMark/>
          </w:tcPr>
          <w:p w14:paraId="2F96AADF" w14:textId="77777777" w:rsidR="00BA7C7F" w:rsidRPr="00022A0B" w:rsidRDefault="00BA7C7F" w:rsidP="00BA7C7F">
            <w:pPr>
              <w:jc w:val="center"/>
              <w:rPr>
                <w:rFonts w:ascii="Arial Narrow" w:hAnsi="Arial Narrow" w:cstheme="minorBidi"/>
                <w:b/>
                <w:color w:val="000000"/>
                <w:sz w:val="20"/>
                <w:szCs w:val="20"/>
              </w:rPr>
            </w:pPr>
            <w:r w:rsidRPr="00022A0B">
              <w:rPr>
                <w:rFonts w:ascii="Arial Narrow" w:hAnsi="Arial Narrow" w:cstheme="minorBidi"/>
                <w:color w:val="000000"/>
                <w:sz w:val="20"/>
                <w:szCs w:val="20"/>
              </w:rPr>
              <w:t>-</w:t>
            </w:r>
          </w:p>
        </w:tc>
        <w:tc>
          <w:tcPr>
            <w:tcW w:w="906" w:type="dxa"/>
            <w:tcBorders>
              <w:top w:val="nil"/>
              <w:left w:val="nil"/>
              <w:bottom w:val="single" w:sz="4" w:space="0" w:color="auto"/>
              <w:right w:val="single" w:sz="4" w:space="0" w:color="auto"/>
            </w:tcBorders>
            <w:shd w:val="clear" w:color="auto" w:fill="auto"/>
            <w:noWrap/>
            <w:vAlign w:val="center"/>
            <w:hideMark/>
          </w:tcPr>
          <w:p w14:paraId="422602E1" w14:textId="77777777" w:rsidR="00BA7C7F" w:rsidRPr="00022A0B" w:rsidRDefault="00BA7C7F" w:rsidP="00BA7C7F">
            <w:pPr>
              <w:jc w:val="center"/>
              <w:rPr>
                <w:rFonts w:ascii="Arial Narrow" w:hAnsi="Arial Narrow" w:cstheme="minorBidi"/>
                <w:b/>
                <w:color w:val="000000"/>
                <w:sz w:val="20"/>
                <w:szCs w:val="20"/>
              </w:rPr>
            </w:pPr>
            <w:r w:rsidRPr="00022A0B">
              <w:rPr>
                <w:rFonts w:ascii="Arial Narrow" w:hAnsi="Arial Narrow" w:cstheme="minorBidi"/>
                <w:color w:val="000000"/>
                <w:sz w:val="20"/>
                <w:szCs w:val="20"/>
              </w:rPr>
              <w:t>-</w:t>
            </w:r>
          </w:p>
        </w:tc>
        <w:tc>
          <w:tcPr>
            <w:tcW w:w="1801" w:type="dxa"/>
            <w:tcBorders>
              <w:top w:val="nil"/>
              <w:left w:val="nil"/>
              <w:bottom w:val="single" w:sz="4" w:space="0" w:color="auto"/>
              <w:right w:val="single" w:sz="4" w:space="0" w:color="auto"/>
            </w:tcBorders>
            <w:shd w:val="clear" w:color="auto" w:fill="auto"/>
            <w:noWrap/>
            <w:vAlign w:val="center"/>
            <w:hideMark/>
          </w:tcPr>
          <w:p w14:paraId="474951B9" w14:textId="77777777" w:rsidR="00BA7C7F" w:rsidRPr="00022A0B" w:rsidRDefault="00BA7C7F" w:rsidP="00BA7C7F">
            <w:pPr>
              <w:jc w:val="right"/>
              <w:rPr>
                <w:rFonts w:ascii="Arial Narrow" w:hAnsi="Arial Narrow" w:cstheme="minorBidi"/>
                <w:b/>
                <w:color w:val="000000"/>
                <w:sz w:val="20"/>
                <w:szCs w:val="20"/>
              </w:rPr>
            </w:pPr>
            <w:r w:rsidRPr="00022A0B">
              <w:rPr>
                <w:rFonts w:ascii="Arial Narrow" w:hAnsi="Arial Narrow" w:cstheme="minorBidi"/>
                <w:color w:val="000000"/>
                <w:sz w:val="20"/>
                <w:szCs w:val="20"/>
              </w:rPr>
              <w:t>412 316</w:t>
            </w:r>
          </w:p>
        </w:tc>
      </w:tr>
      <w:tr w:rsidR="00BA7C7F" w:rsidRPr="00C57ABA" w14:paraId="608B9AEC" w14:textId="77777777" w:rsidTr="00B37935">
        <w:trPr>
          <w:trHeight w:val="300"/>
        </w:trPr>
        <w:tc>
          <w:tcPr>
            <w:tcW w:w="1724" w:type="dxa"/>
            <w:tcBorders>
              <w:top w:val="nil"/>
              <w:left w:val="single" w:sz="4" w:space="0" w:color="auto"/>
              <w:bottom w:val="single" w:sz="4" w:space="0" w:color="auto"/>
              <w:right w:val="single" w:sz="4" w:space="0" w:color="auto"/>
            </w:tcBorders>
            <w:shd w:val="clear" w:color="auto" w:fill="auto"/>
            <w:noWrap/>
            <w:vAlign w:val="center"/>
            <w:hideMark/>
          </w:tcPr>
          <w:p w14:paraId="0527131E" w14:textId="77777777" w:rsidR="00BA7C7F" w:rsidRPr="00022A0B" w:rsidRDefault="00BA7C7F" w:rsidP="00BA7C7F">
            <w:pPr>
              <w:rPr>
                <w:rFonts w:ascii="Arial Narrow" w:hAnsi="Arial Narrow" w:cstheme="minorBidi"/>
                <w:b/>
                <w:color w:val="000000"/>
                <w:sz w:val="20"/>
                <w:szCs w:val="20"/>
              </w:rPr>
            </w:pPr>
            <w:r w:rsidRPr="00022A0B">
              <w:rPr>
                <w:rFonts w:ascii="Arial Narrow" w:hAnsi="Arial Narrow" w:cstheme="minorBidi"/>
                <w:color w:val="000000"/>
                <w:sz w:val="20"/>
                <w:szCs w:val="20"/>
              </w:rPr>
              <w:lastRenderedPageBreak/>
              <w:t>ИПК</w:t>
            </w:r>
          </w:p>
        </w:tc>
        <w:tc>
          <w:tcPr>
            <w:tcW w:w="1801" w:type="dxa"/>
            <w:tcBorders>
              <w:top w:val="nil"/>
              <w:left w:val="nil"/>
              <w:bottom w:val="single" w:sz="4" w:space="0" w:color="auto"/>
              <w:right w:val="single" w:sz="4" w:space="0" w:color="auto"/>
            </w:tcBorders>
            <w:shd w:val="clear" w:color="auto" w:fill="auto"/>
            <w:noWrap/>
            <w:vAlign w:val="center"/>
            <w:hideMark/>
          </w:tcPr>
          <w:p w14:paraId="4715061E" w14:textId="77777777" w:rsidR="00BA7C7F" w:rsidRPr="00022A0B" w:rsidRDefault="00BA7C7F" w:rsidP="00BA7C7F">
            <w:pPr>
              <w:jc w:val="right"/>
              <w:rPr>
                <w:rFonts w:ascii="Arial Narrow" w:hAnsi="Arial Narrow" w:cstheme="minorBidi"/>
                <w:b/>
                <w:color w:val="000000"/>
                <w:sz w:val="20"/>
                <w:szCs w:val="20"/>
              </w:rPr>
            </w:pPr>
            <w:r w:rsidRPr="00022A0B">
              <w:rPr>
                <w:rFonts w:ascii="Arial Narrow" w:hAnsi="Arial Narrow" w:cstheme="minorBidi"/>
                <w:color w:val="000000"/>
                <w:sz w:val="20"/>
                <w:szCs w:val="20"/>
              </w:rPr>
              <w:t>14 191</w:t>
            </w:r>
          </w:p>
        </w:tc>
        <w:tc>
          <w:tcPr>
            <w:tcW w:w="1652" w:type="dxa"/>
            <w:tcBorders>
              <w:top w:val="nil"/>
              <w:left w:val="nil"/>
              <w:bottom w:val="single" w:sz="4" w:space="0" w:color="auto"/>
              <w:right w:val="single" w:sz="4" w:space="0" w:color="auto"/>
            </w:tcBorders>
            <w:shd w:val="clear" w:color="auto" w:fill="auto"/>
            <w:noWrap/>
            <w:vAlign w:val="center"/>
            <w:hideMark/>
          </w:tcPr>
          <w:p w14:paraId="0C988AC9" w14:textId="77777777" w:rsidR="00BA7C7F" w:rsidRPr="00022A0B" w:rsidRDefault="00BA7C7F" w:rsidP="00BA7C7F">
            <w:pPr>
              <w:jc w:val="right"/>
              <w:rPr>
                <w:rFonts w:ascii="Arial Narrow" w:hAnsi="Arial Narrow" w:cstheme="minorBidi"/>
                <w:b/>
                <w:color w:val="000000"/>
                <w:sz w:val="20"/>
                <w:szCs w:val="20"/>
              </w:rPr>
            </w:pPr>
            <w:r w:rsidRPr="00022A0B">
              <w:rPr>
                <w:rFonts w:ascii="Arial Narrow" w:hAnsi="Arial Narrow" w:cstheme="minorBidi"/>
                <w:color w:val="000000"/>
                <w:sz w:val="20"/>
                <w:szCs w:val="20"/>
              </w:rPr>
              <w:t>14 096</w:t>
            </w:r>
          </w:p>
        </w:tc>
        <w:tc>
          <w:tcPr>
            <w:tcW w:w="1045" w:type="dxa"/>
            <w:tcBorders>
              <w:top w:val="nil"/>
              <w:left w:val="nil"/>
              <w:bottom w:val="single" w:sz="4" w:space="0" w:color="auto"/>
              <w:right w:val="single" w:sz="4" w:space="0" w:color="auto"/>
            </w:tcBorders>
            <w:shd w:val="clear" w:color="auto" w:fill="auto"/>
            <w:noWrap/>
            <w:vAlign w:val="center"/>
            <w:hideMark/>
          </w:tcPr>
          <w:p w14:paraId="53110B59" w14:textId="77777777" w:rsidR="00BA7C7F" w:rsidRPr="00022A0B" w:rsidRDefault="00BA7C7F" w:rsidP="00BA7C7F">
            <w:pPr>
              <w:jc w:val="center"/>
              <w:rPr>
                <w:rFonts w:ascii="Arial Narrow" w:hAnsi="Arial Narrow" w:cstheme="minorBidi"/>
                <w:b/>
                <w:color w:val="000000"/>
                <w:sz w:val="20"/>
                <w:szCs w:val="20"/>
              </w:rPr>
            </w:pPr>
            <w:r w:rsidRPr="00022A0B">
              <w:rPr>
                <w:rFonts w:ascii="Arial Narrow" w:hAnsi="Arial Narrow" w:cstheme="minorBidi"/>
                <w:color w:val="000000"/>
                <w:sz w:val="20"/>
                <w:szCs w:val="20"/>
              </w:rPr>
              <w:t>100</w:t>
            </w:r>
          </w:p>
        </w:tc>
        <w:tc>
          <w:tcPr>
            <w:tcW w:w="1045" w:type="dxa"/>
            <w:tcBorders>
              <w:top w:val="nil"/>
              <w:left w:val="nil"/>
              <w:bottom w:val="single" w:sz="4" w:space="0" w:color="auto"/>
              <w:right w:val="single" w:sz="4" w:space="0" w:color="auto"/>
            </w:tcBorders>
            <w:shd w:val="clear" w:color="auto" w:fill="auto"/>
            <w:noWrap/>
            <w:vAlign w:val="center"/>
            <w:hideMark/>
          </w:tcPr>
          <w:p w14:paraId="4FED365D" w14:textId="77777777" w:rsidR="00BA7C7F" w:rsidRPr="00022A0B" w:rsidRDefault="00BA7C7F" w:rsidP="00BA7C7F">
            <w:pPr>
              <w:jc w:val="center"/>
              <w:rPr>
                <w:rFonts w:ascii="Arial Narrow" w:hAnsi="Arial Narrow" w:cstheme="minorBidi"/>
                <w:b/>
                <w:color w:val="000000"/>
                <w:sz w:val="20"/>
                <w:szCs w:val="20"/>
              </w:rPr>
            </w:pPr>
            <w:r w:rsidRPr="00022A0B">
              <w:rPr>
                <w:rFonts w:ascii="Arial Narrow" w:hAnsi="Arial Narrow" w:cstheme="minorBidi"/>
                <w:color w:val="000000"/>
                <w:sz w:val="20"/>
                <w:szCs w:val="20"/>
              </w:rPr>
              <w:t>-</w:t>
            </w:r>
          </w:p>
        </w:tc>
        <w:tc>
          <w:tcPr>
            <w:tcW w:w="906" w:type="dxa"/>
            <w:tcBorders>
              <w:top w:val="nil"/>
              <w:left w:val="nil"/>
              <w:bottom w:val="single" w:sz="4" w:space="0" w:color="auto"/>
              <w:right w:val="single" w:sz="4" w:space="0" w:color="auto"/>
            </w:tcBorders>
            <w:shd w:val="clear" w:color="auto" w:fill="auto"/>
            <w:noWrap/>
            <w:vAlign w:val="center"/>
            <w:hideMark/>
          </w:tcPr>
          <w:p w14:paraId="5A4B703D" w14:textId="77777777" w:rsidR="00BA7C7F" w:rsidRPr="00022A0B" w:rsidRDefault="00BA7C7F" w:rsidP="00BA7C7F">
            <w:pPr>
              <w:jc w:val="center"/>
              <w:rPr>
                <w:rFonts w:ascii="Arial Narrow" w:hAnsi="Arial Narrow" w:cstheme="minorBidi"/>
                <w:b/>
                <w:color w:val="000000"/>
                <w:sz w:val="20"/>
                <w:szCs w:val="20"/>
              </w:rPr>
            </w:pPr>
            <w:r w:rsidRPr="00022A0B">
              <w:rPr>
                <w:rFonts w:ascii="Arial Narrow" w:hAnsi="Arial Narrow" w:cstheme="minorBidi"/>
                <w:color w:val="000000"/>
                <w:sz w:val="20"/>
                <w:szCs w:val="20"/>
              </w:rPr>
              <w:t>-</w:t>
            </w:r>
          </w:p>
        </w:tc>
        <w:tc>
          <w:tcPr>
            <w:tcW w:w="1801" w:type="dxa"/>
            <w:tcBorders>
              <w:top w:val="nil"/>
              <w:left w:val="nil"/>
              <w:bottom w:val="single" w:sz="4" w:space="0" w:color="auto"/>
              <w:right w:val="single" w:sz="4" w:space="0" w:color="auto"/>
            </w:tcBorders>
            <w:shd w:val="clear" w:color="auto" w:fill="auto"/>
            <w:noWrap/>
            <w:vAlign w:val="center"/>
            <w:hideMark/>
          </w:tcPr>
          <w:p w14:paraId="1B1DC7ED" w14:textId="77777777" w:rsidR="00BA7C7F" w:rsidRPr="00022A0B" w:rsidRDefault="00BA7C7F" w:rsidP="00BA7C7F">
            <w:pPr>
              <w:jc w:val="right"/>
              <w:rPr>
                <w:rFonts w:ascii="Arial Narrow" w:hAnsi="Arial Narrow" w:cstheme="minorBidi"/>
                <w:b/>
                <w:color w:val="000000"/>
                <w:sz w:val="20"/>
                <w:szCs w:val="20"/>
              </w:rPr>
            </w:pPr>
            <w:r w:rsidRPr="00022A0B">
              <w:rPr>
                <w:rFonts w:ascii="Arial Narrow" w:hAnsi="Arial Narrow" w:cstheme="minorBidi"/>
                <w:color w:val="000000"/>
                <w:sz w:val="20"/>
                <w:szCs w:val="20"/>
              </w:rPr>
              <w:t>31 121 176</w:t>
            </w:r>
          </w:p>
        </w:tc>
      </w:tr>
      <w:tr w:rsidR="00BA7C7F" w:rsidRPr="00C57ABA" w14:paraId="029F7E8A" w14:textId="77777777" w:rsidTr="00B37935">
        <w:trPr>
          <w:trHeight w:val="300"/>
        </w:trPr>
        <w:tc>
          <w:tcPr>
            <w:tcW w:w="1724" w:type="dxa"/>
            <w:tcBorders>
              <w:top w:val="nil"/>
              <w:left w:val="single" w:sz="4" w:space="0" w:color="auto"/>
              <w:bottom w:val="single" w:sz="4" w:space="0" w:color="auto"/>
              <w:right w:val="single" w:sz="4" w:space="0" w:color="auto"/>
            </w:tcBorders>
            <w:shd w:val="clear" w:color="auto" w:fill="auto"/>
            <w:noWrap/>
            <w:vAlign w:val="center"/>
            <w:hideMark/>
          </w:tcPr>
          <w:p w14:paraId="66C3490B" w14:textId="77777777" w:rsidR="00BA7C7F" w:rsidRPr="00022A0B" w:rsidRDefault="00BA7C7F" w:rsidP="00BA7C7F">
            <w:pPr>
              <w:rPr>
                <w:rFonts w:ascii="Arial Narrow" w:hAnsi="Arial Narrow" w:cstheme="minorBidi"/>
                <w:b/>
                <w:color w:val="000000"/>
                <w:sz w:val="20"/>
                <w:szCs w:val="20"/>
              </w:rPr>
            </w:pPr>
            <w:r w:rsidRPr="00022A0B">
              <w:rPr>
                <w:rFonts w:ascii="Arial Narrow" w:hAnsi="Arial Narrow" w:cstheme="minorBidi"/>
                <w:color w:val="000000"/>
                <w:sz w:val="20"/>
                <w:szCs w:val="20"/>
              </w:rPr>
              <w:t>ПНДЖ1</w:t>
            </w:r>
          </w:p>
        </w:tc>
        <w:tc>
          <w:tcPr>
            <w:tcW w:w="1801" w:type="dxa"/>
            <w:tcBorders>
              <w:top w:val="nil"/>
              <w:left w:val="nil"/>
              <w:bottom w:val="single" w:sz="4" w:space="0" w:color="auto"/>
              <w:right w:val="single" w:sz="4" w:space="0" w:color="auto"/>
            </w:tcBorders>
            <w:shd w:val="clear" w:color="auto" w:fill="auto"/>
            <w:noWrap/>
            <w:vAlign w:val="center"/>
            <w:hideMark/>
          </w:tcPr>
          <w:p w14:paraId="6CD607C1" w14:textId="77777777" w:rsidR="00BA7C7F" w:rsidRPr="00022A0B" w:rsidRDefault="00BA7C7F" w:rsidP="00BA7C7F">
            <w:pPr>
              <w:jc w:val="right"/>
              <w:rPr>
                <w:rFonts w:ascii="Arial Narrow" w:hAnsi="Arial Narrow" w:cstheme="minorBidi"/>
                <w:b/>
                <w:color w:val="000000"/>
                <w:sz w:val="20"/>
                <w:szCs w:val="20"/>
              </w:rPr>
            </w:pPr>
            <w:r w:rsidRPr="00022A0B">
              <w:rPr>
                <w:rFonts w:ascii="Arial Narrow" w:hAnsi="Arial Narrow" w:cstheme="minorBidi"/>
                <w:color w:val="000000"/>
                <w:sz w:val="20"/>
                <w:szCs w:val="20"/>
              </w:rPr>
              <w:t>6 060</w:t>
            </w:r>
          </w:p>
        </w:tc>
        <w:tc>
          <w:tcPr>
            <w:tcW w:w="1652" w:type="dxa"/>
            <w:tcBorders>
              <w:top w:val="nil"/>
              <w:left w:val="nil"/>
              <w:bottom w:val="single" w:sz="4" w:space="0" w:color="auto"/>
              <w:right w:val="single" w:sz="4" w:space="0" w:color="auto"/>
            </w:tcBorders>
            <w:shd w:val="clear" w:color="auto" w:fill="auto"/>
            <w:noWrap/>
            <w:vAlign w:val="center"/>
            <w:hideMark/>
          </w:tcPr>
          <w:p w14:paraId="69F4725E" w14:textId="77777777" w:rsidR="00BA7C7F" w:rsidRPr="00022A0B" w:rsidRDefault="00BA7C7F" w:rsidP="00BA7C7F">
            <w:pPr>
              <w:jc w:val="right"/>
              <w:rPr>
                <w:rFonts w:ascii="Arial Narrow" w:hAnsi="Arial Narrow" w:cstheme="minorBidi"/>
                <w:b/>
                <w:color w:val="000000"/>
                <w:sz w:val="20"/>
                <w:szCs w:val="20"/>
              </w:rPr>
            </w:pPr>
            <w:r w:rsidRPr="00022A0B">
              <w:rPr>
                <w:rFonts w:ascii="Arial Narrow" w:hAnsi="Arial Narrow" w:cstheme="minorBidi"/>
                <w:color w:val="000000"/>
                <w:sz w:val="20"/>
                <w:szCs w:val="20"/>
              </w:rPr>
              <w:t>6 052</w:t>
            </w:r>
          </w:p>
        </w:tc>
        <w:tc>
          <w:tcPr>
            <w:tcW w:w="1045" w:type="dxa"/>
            <w:tcBorders>
              <w:top w:val="nil"/>
              <w:left w:val="nil"/>
              <w:bottom w:val="single" w:sz="4" w:space="0" w:color="auto"/>
              <w:right w:val="single" w:sz="4" w:space="0" w:color="auto"/>
            </w:tcBorders>
            <w:shd w:val="clear" w:color="auto" w:fill="auto"/>
            <w:noWrap/>
            <w:vAlign w:val="center"/>
            <w:hideMark/>
          </w:tcPr>
          <w:p w14:paraId="61D478B5" w14:textId="77777777" w:rsidR="00BA7C7F" w:rsidRPr="00022A0B" w:rsidRDefault="00BA7C7F" w:rsidP="00BA7C7F">
            <w:pPr>
              <w:jc w:val="center"/>
              <w:rPr>
                <w:rFonts w:ascii="Arial Narrow" w:hAnsi="Arial Narrow" w:cstheme="minorBidi"/>
                <w:b/>
                <w:color w:val="000000"/>
                <w:sz w:val="20"/>
                <w:szCs w:val="20"/>
              </w:rPr>
            </w:pPr>
            <w:r w:rsidRPr="00022A0B">
              <w:rPr>
                <w:rFonts w:ascii="Arial Narrow" w:hAnsi="Arial Narrow" w:cstheme="minorBidi"/>
                <w:color w:val="000000"/>
                <w:sz w:val="20"/>
                <w:szCs w:val="20"/>
              </w:rPr>
              <w:t>-</w:t>
            </w:r>
          </w:p>
        </w:tc>
        <w:tc>
          <w:tcPr>
            <w:tcW w:w="1045" w:type="dxa"/>
            <w:tcBorders>
              <w:top w:val="nil"/>
              <w:left w:val="nil"/>
              <w:bottom w:val="single" w:sz="4" w:space="0" w:color="auto"/>
              <w:right w:val="single" w:sz="4" w:space="0" w:color="auto"/>
            </w:tcBorders>
            <w:shd w:val="clear" w:color="auto" w:fill="auto"/>
            <w:noWrap/>
            <w:vAlign w:val="center"/>
            <w:hideMark/>
          </w:tcPr>
          <w:p w14:paraId="2F279B8F" w14:textId="77777777" w:rsidR="00BA7C7F" w:rsidRPr="00022A0B" w:rsidRDefault="00BA7C7F" w:rsidP="00BA7C7F">
            <w:pPr>
              <w:jc w:val="center"/>
              <w:rPr>
                <w:rFonts w:ascii="Arial Narrow" w:hAnsi="Arial Narrow" w:cstheme="minorBidi"/>
                <w:b/>
                <w:color w:val="000000"/>
                <w:sz w:val="20"/>
                <w:szCs w:val="20"/>
              </w:rPr>
            </w:pPr>
            <w:r w:rsidRPr="00022A0B">
              <w:rPr>
                <w:rFonts w:ascii="Arial Narrow" w:hAnsi="Arial Narrow" w:cstheme="minorBidi"/>
                <w:color w:val="000000"/>
                <w:sz w:val="20"/>
                <w:szCs w:val="20"/>
              </w:rPr>
              <w:t>-</w:t>
            </w:r>
          </w:p>
        </w:tc>
        <w:tc>
          <w:tcPr>
            <w:tcW w:w="906" w:type="dxa"/>
            <w:tcBorders>
              <w:top w:val="nil"/>
              <w:left w:val="nil"/>
              <w:bottom w:val="single" w:sz="4" w:space="0" w:color="auto"/>
              <w:right w:val="single" w:sz="4" w:space="0" w:color="auto"/>
            </w:tcBorders>
            <w:shd w:val="clear" w:color="auto" w:fill="auto"/>
            <w:noWrap/>
            <w:vAlign w:val="center"/>
            <w:hideMark/>
          </w:tcPr>
          <w:p w14:paraId="1D8794B1" w14:textId="77777777" w:rsidR="00BA7C7F" w:rsidRPr="00022A0B" w:rsidRDefault="00BA7C7F" w:rsidP="00BA7C7F">
            <w:pPr>
              <w:jc w:val="center"/>
              <w:rPr>
                <w:rFonts w:ascii="Arial Narrow" w:hAnsi="Arial Narrow" w:cstheme="minorBidi"/>
                <w:b/>
                <w:color w:val="000000"/>
                <w:sz w:val="20"/>
                <w:szCs w:val="20"/>
              </w:rPr>
            </w:pPr>
            <w:r w:rsidRPr="00022A0B">
              <w:rPr>
                <w:rFonts w:ascii="Arial Narrow" w:hAnsi="Arial Narrow" w:cstheme="minorBidi"/>
                <w:color w:val="000000"/>
                <w:sz w:val="20"/>
                <w:szCs w:val="20"/>
              </w:rPr>
              <w:t>100</w:t>
            </w:r>
          </w:p>
        </w:tc>
        <w:tc>
          <w:tcPr>
            <w:tcW w:w="1801" w:type="dxa"/>
            <w:tcBorders>
              <w:top w:val="nil"/>
              <w:left w:val="nil"/>
              <w:bottom w:val="single" w:sz="4" w:space="0" w:color="auto"/>
              <w:right w:val="single" w:sz="4" w:space="0" w:color="auto"/>
            </w:tcBorders>
            <w:shd w:val="clear" w:color="auto" w:fill="auto"/>
            <w:noWrap/>
            <w:vAlign w:val="center"/>
            <w:hideMark/>
          </w:tcPr>
          <w:p w14:paraId="756018AC" w14:textId="77777777" w:rsidR="00BA7C7F" w:rsidRPr="00022A0B" w:rsidRDefault="00BA7C7F" w:rsidP="00BA7C7F">
            <w:pPr>
              <w:jc w:val="right"/>
              <w:rPr>
                <w:rFonts w:ascii="Arial Narrow" w:hAnsi="Arial Narrow" w:cstheme="minorBidi"/>
                <w:b/>
                <w:color w:val="000000"/>
                <w:sz w:val="20"/>
                <w:szCs w:val="20"/>
              </w:rPr>
            </w:pPr>
            <w:r w:rsidRPr="00022A0B">
              <w:rPr>
                <w:rFonts w:ascii="Arial Narrow" w:hAnsi="Arial Narrow" w:cstheme="minorBidi"/>
                <w:color w:val="000000"/>
                <w:sz w:val="20"/>
                <w:szCs w:val="20"/>
              </w:rPr>
              <w:t>285 725</w:t>
            </w:r>
          </w:p>
        </w:tc>
      </w:tr>
      <w:tr w:rsidR="00BA7C7F" w:rsidRPr="00C57ABA" w14:paraId="6F68EE96" w14:textId="77777777" w:rsidTr="00B37935">
        <w:trPr>
          <w:trHeight w:val="300"/>
        </w:trPr>
        <w:tc>
          <w:tcPr>
            <w:tcW w:w="1724" w:type="dxa"/>
            <w:tcBorders>
              <w:top w:val="nil"/>
              <w:left w:val="single" w:sz="4" w:space="0" w:color="auto"/>
              <w:bottom w:val="single" w:sz="4" w:space="0" w:color="auto"/>
              <w:right w:val="single" w:sz="4" w:space="0" w:color="auto"/>
            </w:tcBorders>
            <w:shd w:val="clear" w:color="auto" w:fill="auto"/>
            <w:noWrap/>
            <w:vAlign w:val="center"/>
            <w:hideMark/>
          </w:tcPr>
          <w:p w14:paraId="3BC637F2" w14:textId="77777777" w:rsidR="00BA7C7F" w:rsidRPr="00022A0B" w:rsidRDefault="00BA7C7F" w:rsidP="00BA7C7F">
            <w:pPr>
              <w:rPr>
                <w:rFonts w:ascii="Arial Narrow" w:hAnsi="Arial Narrow" w:cstheme="minorBidi"/>
                <w:b/>
                <w:color w:val="000000"/>
                <w:sz w:val="20"/>
                <w:szCs w:val="20"/>
              </w:rPr>
            </w:pPr>
            <w:r w:rsidRPr="00022A0B">
              <w:rPr>
                <w:rFonts w:ascii="Arial Narrow" w:hAnsi="Arial Narrow" w:cstheme="minorBidi"/>
                <w:color w:val="000000"/>
                <w:sz w:val="20"/>
                <w:szCs w:val="20"/>
              </w:rPr>
              <w:t>ПНДЖ3</w:t>
            </w:r>
          </w:p>
        </w:tc>
        <w:tc>
          <w:tcPr>
            <w:tcW w:w="1801" w:type="dxa"/>
            <w:tcBorders>
              <w:top w:val="nil"/>
              <w:left w:val="nil"/>
              <w:bottom w:val="single" w:sz="4" w:space="0" w:color="auto"/>
              <w:right w:val="single" w:sz="4" w:space="0" w:color="auto"/>
            </w:tcBorders>
            <w:shd w:val="clear" w:color="auto" w:fill="auto"/>
            <w:noWrap/>
            <w:vAlign w:val="center"/>
            <w:hideMark/>
          </w:tcPr>
          <w:p w14:paraId="3E5D0127" w14:textId="77777777" w:rsidR="00BA7C7F" w:rsidRPr="00022A0B" w:rsidRDefault="00BA7C7F" w:rsidP="00BA7C7F">
            <w:pPr>
              <w:jc w:val="right"/>
              <w:rPr>
                <w:rFonts w:ascii="Arial Narrow" w:hAnsi="Arial Narrow" w:cstheme="minorBidi"/>
                <w:b/>
                <w:color w:val="000000"/>
                <w:sz w:val="20"/>
                <w:szCs w:val="20"/>
              </w:rPr>
            </w:pPr>
            <w:r w:rsidRPr="00022A0B">
              <w:rPr>
                <w:rFonts w:ascii="Arial Narrow" w:hAnsi="Arial Narrow" w:cstheme="minorBidi"/>
                <w:color w:val="000000"/>
                <w:sz w:val="20"/>
                <w:szCs w:val="20"/>
              </w:rPr>
              <w:t>4 984</w:t>
            </w:r>
          </w:p>
        </w:tc>
        <w:tc>
          <w:tcPr>
            <w:tcW w:w="1652" w:type="dxa"/>
            <w:tcBorders>
              <w:top w:val="nil"/>
              <w:left w:val="nil"/>
              <w:bottom w:val="single" w:sz="4" w:space="0" w:color="auto"/>
              <w:right w:val="single" w:sz="4" w:space="0" w:color="auto"/>
            </w:tcBorders>
            <w:shd w:val="clear" w:color="auto" w:fill="auto"/>
            <w:noWrap/>
            <w:vAlign w:val="center"/>
            <w:hideMark/>
          </w:tcPr>
          <w:p w14:paraId="11021587" w14:textId="77777777" w:rsidR="00BA7C7F" w:rsidRPr="00022A0B" w:rsidRDefault="00BA7C7F" w:rsidP="00BA7C7F">
            <w:pPr>
              <w:jc w:val="right"/>
              <w:rPr>
                <w:rFonts w:ascii="Arial Narrow" w:eastAsiaTheme="minorHAnsi" w:hAnsi="Arial Narrow" w:cstheme="minorBidi"/>
                <w:b/>
                <w:sz w:val="20"/>
                <w:szCs w:val="20"/>
              </w:rPr>
            </w:pPr>
            <w:r w:rsidRPr="00022A0B">
              <w:rPr>
                <w:rFonts w:ascii="Arial Narrow" w:eastAsiaTheme="minorHAnsi" w:hAnsi="Arial Narrow" w:cstheme="minorBidi"/>
                <w:sz w:val="20"/>
                <w:szCs w:val="20"/>
              </w:rPr>
              <w:t>4 976</w:t>
            </w:r>
          </w:p>
        </w:tc>
        <w:tc>
          <w:tcPr>
            <w:tcW w:w="1045" w:type="dxa"/>
            <w:tcBorders>
              <w:top w:val="nil"/>
              <w:left w:val="nil"/>
              <w:bottom w:val="single" w:sz="4" w:space="0" w:color="auto"/>
              <w:right w:val="single" w:sz="4" w:space="0" w:color="auto"/>
            </w:tcBorders>
            <w:shd w:val="clear" w:color="auto" w:fill="auto"/>
            <w:noWrap/>
            <w:vAlign w:val="center"/>
            <w:hideMark/>
          </w:tcPr>
          <w:p w14:paraId="1800A626" w14:textId="77777777" w:rsidR="00BA7C7F" w:rsidRPr="00022A0B" w:rsidRDefault="00BA7C7F" w:rsidP="00BA7C7F">
            <w:pPr>
              <w:jc w:val="center"/>
              <w:rPr>
                <w:rFonts w:ascii="Arial Narrow" w:hAnsi="Arial Narrow" w:cstheme="minorBidi"/>
                <w:b/>
                <w:color w:val="000000"/>
                <w:sz w:val="20"/>
                <w:szCs w:val="20"/>
              </w:rPr>
            </w:pPr>
            <w:r w:rsidRPr="00022A0B">
              <w:rPr>
                <w:rFonts w:ascii="Arial Narrow" w:hAnsi="Arial Narrow" w:cstheme="minorBidi"/>
                <w:color w:val="000000"/>
                <w:sz w:val="20"/>
                <w:szCs w:val="20"/>
              </w:rPr>
              <w:t>-</w:t>
            </w:r>
          </w:p>
        </w:tc>
        <w:tc>
          <w:tcPr>
            <w:tcW w:w="1045" w:type="dxa"/>
            <w:tcBorders>
              <w:top w:val="nil"/>
              <w:left w:val="nil"/>
              <w:bottom w:val="single" w:sz="4" w:space="0" w:color="auto"/>
              <w:right w:val="single" w:sz="4" w:space="0" w:color="auto"/>
            </w:tcBorders>
            <w:shd w:val="clear" w:color="auto" w:fill="auto"/>
            <w:noWrap/>
            <w:vAlign w:val="center"/>
            <w:hideMark/>
          </w:tcPr>
          <w:p w14:paraId="6BF2CBEE" w14:textId="77777777" w:rsidR="00BA7C7F" w:rsidRPr="00022A0B" w:rsidRDefault="00BA7C7F" w:rsidP="00BA7C7F">
            <w:pPr>
              <w:jc w:val="center"/>
              <w:rPr>
                <w:rFonts w:ascii="Arial Narrow" w:hAnsi="Arial Narrow" w:cstheme="minorBidi"/>
                <w:b/>
                <w:color w:val="000000"/>
                <w:sz w:val="20"/>
                <w:szCs w:val="20"/>
              </w:rPr>
            </w:pPr>
            <w:r w:rsidRPr="00022A0B">
              <w:rPr>
                <w:rFonts w:ascii="Arial Narrow" w:hAnsi="Arial Narrow" w:cstheme="minorBidi"/>
                <w:color w:val="000000"/>
                <w:sz w:val="20"/>
                <w:szCs w:val="20"/>
              </w:rPr>
              <w:t>-</w:t>
            </w:r>
          </w:p>
        </w:tc>
        <w:tc>
          <w:tcPr>
            <w:tcW w:w="906" w:type="dxa"/>
            <w:tcBorders>
              <w:top w:val="nil"/>
              <w:left w:val="nil"/>
              <w:bottom w:val="single" w:sz="4" w:space="0" w:color="auto"/>
              <w:right w:val="single" w:sz="4" w:space="0" w:color="auto"/>
            </w:tcBorders>
            <w:shd w:val="clear" w:color="auto" w:fill="auto"/>
            <w:noWrap/>
            <w:vAlign w:val="center"/>
            <w:hideMark/>
          </w:tcPr>
          <w:p w14:paraId="5C865847" w14:textId="77777777" w:rsidR="00BA7C7F" w:rsidRPr="00022A0B" w:rsidRDefault="00BA7C7F" w:rsidP="00BA7C7F">
            <w:pPr>
              <w:jc w:val="center"/>
              <w:rPr>
                <w:rFonts w:ascii="Arial Narrow" w:hAnsi="Arial Narrow" w:cstheme="minorBidi"/>
                <w:b/>
                <w:color w:val="000000"/>
                <w:sz w:val="20"/>
                <w:szCs w:val="20"/>
              </w:rPr>
            </w:pPr>
            <w:r w:rsidRPr="00022A0B">
              <w:rPr>
                <w:rFonts w:ascii="Arial Narrow" w:hAnsi="Arial Narrow" w:cstheme="minorBidi"/>
                <w:color w:val="000000"/>
                <w:sz w:val="20"/>
                <w:szCs w:val="20"/>
              </w:rPr>
              <w:t>100</w:t>
            </w:r>
          </w:p>
        </w:tc>
        <w:tc>
          <w:tcPr>
            <w:tcW w:w="1801" w:type="dxa"/>
            <w:tcBorders>
              <w:top w:val="nil"/>
              <w:left w:val="nil"/>
              <w:bottom w:val="single" w:sz="4" w:space="0" w:color="auto"/>
              <w:right w:val="single" w:sz="4" w:space="0" w:color="auto"/>
            </w:tcBorders>
            <w:shd w:val="clear" w:color="auto" w:fill="auto"/>
            <w:noWrap/>
            <w:vAlign w:val="center"/>
            <w:hideMark/>
          </w:tcPr>
          <w:p w14:paraId="28F58E83" w14:textId="77777777" w:rsidR="00BA7C7F" w:rsidRPr="00022A0B" w:rsidRDefault="00BA7C7F" w:rsidP="00BA7C7F">
            <w:pPr>
              <w:jc w:val="right"/>
              <w:rPr>
                <w:rFonts w:ascii="Arial Narrow" w:hAnsi="Arial Narrow" w:cstheme="minorBidi"/>
                <w:b/>
                <w:color w:val="000000"/>
                <w:sz w:val="20"/>
                <w:szCs w:val="20"/>
              </w:rPr>
            </w:pPr>
            <w:r w:rsidRPr="00022A0B">
              <w:rPr>
                <w:rFonts w:ascii="Arial Narrow" w:hAnsi="Arial Narrow" w:cstheme="minorBidi"/>
                <w:color w:val="000000"/>
                <w:sz w:val="20"/>
                <w:szCs w:val="20"/>
              </w:rPr>
              <w:t>78 937</w:t>
            </w:r>
          </w:p>
        </w:tc>
      </w:tr>
      <w:tr w:rsidR="00BA7C7F" w:rsidRPr="00C57ABA" w14:paraId="1DF8966C" w14:textId="77777777" w:rsidTr="00B37935">
        <w:trPr>
          <w:trHeight w:val="300"/>
        </w:trPr>
        <w:tc>
          <w:tcPr>
            <w:tcW w:w="1724" w:type="dxa"/>
            <w:tcBorders>
              <w:top w:val="nil"/>
              <w:left w:val="single" w:sz="4" w:space="0" w:color="auto"/>
              <w:bottom w:val="single" w:sz="4" w:space="0" w:color="auto"/>
              <w:right w:val="single" w:sz="4" w:space="0" w:color="auto"/>
            </w:tcBorders>
            <w:shd w:val="clear" w:color="auto" w:fill="auto"/>
            <w:noWrap/>
            <w:vAlign w:val="center"/>
            <w:hideMark/>
          </w:tcPr>
          <w:p w14:paraId="2795D6C5" w14:textId="77777777" w:rsidR="00BA7C7F" w:rsidRPr="00022A0B" w:rsidRDefault="00BA7C7F" w:rsidP="00BA7C7F">
            <w:pPr>
              <w:rPr>
                <w:rFonts w:ascii="Arial Narrow" w:hAnsi="Arial Narrow" w:cstheme="minorBidi"/>
                <w:b/>
                <w:color w:val="000000"/>
                <w:sz w:val="20"/>
                <w:szCs w:val="20"/>
              </w:rPr>
            </w:pPr>
            <w:r w:rsidRPr="00022A0B">
              <w:rPr>
                <w:rFonts w:ascii="Arial Narrow" w:hAnsi="Arial Narrow" w:cstheme="minorBidi"/>
                <w:color w:val="000000"/>
                <w:sz w:val="20"/>
                <w:szCs w:val="20"/>
              </w:rPr>
              <w:t>ПНДТ</w:t>
            </w:r>
          </w:p>
        </w:tc>
        <w:tc>
          <w:tcPr>
            <w:tcW w:w="1801" w:type="dxa"/>
            <w:tcBorders>
              <w:top w:val="nil"/>
              <w:left w:val="nil"/>
              <w:bottom w:val="single" w:sz="4" w:space="0" w:color="auto"/>
              <w:right w:val="single" w:sz="4" w:space="0" w:color="auto"/>
            </w:tcBorders>
            <w:shd w:val="clear" w:color="auto" w:fill="auto"/>
            <w:noWrap/>
            <w:vAlign w:val="center"/>
            <w:hideMark/>
          </w:tcPr>
          <w:p w14:paraId="3A5D1B29" w14:textId="77777777" w:rsidR="00BA7C7F" w:rsidRPr="00022A0B" w:rsidRDefault="00BA7C7F" w:rsidP="00BA7C7F">
            <w:pPr>
              <w:jc w:val="right"/>
              <w:rPr>
                <w:rFonts w:ascii="Arial Narrow" w:hAnsi="Arial Narrow" w:cstheme="minorBidi"/>
                <w:b/>
                <w:color w:val="000000"/>
                <w:sz w:val="20"/>
                <w:szCs w:val="20"/>
              </w:rPr>
            </w:pPr>
            <w:r w:rsidRPr="00022A0B">
              <w:rPr>
                <w:rFonts w:ascii="Arial Narrow" w:hAnsi="Arial Narrow" w:cstheme="minorBidi"/>
                <w:color w:val="000000"/>
                <w:sz w:val="20"/>
                <w:szCs w:val="20"/>
              </w:rPr>
              <w:t>8 110</w:t>
            </w:r>
          </w:p>
        </w:tc>
        <w:tc>
          <w:tcPr>
            <w:tcW w:w="1652" w:type="dxa"/>
            <w:tcBorders>
              <w:top w:val="nil"/>
              <w:left w:val="nil"/>
              <w:bottom w:val="single" w:sz="4" w:space="0" w:color="auto"/>
              <w:right w:val="single" w:sz="4" w:space="0" w:color="auto"/>
            </w:tcBorders>
            <w:shd w:val="clear" w:color="auto" w:fill="auto"/>
            <w:noWrap/>
            <w:vAlign w:val="center"/>
            <w:hideMark/>
          </w:tcPr>
          <w:p w14:paraId="20E7B456" w14:textId="77777777" w:rsidR="00BA7C7F" w:rsidRPr="00022A0B" w:rsidRDefault="00BA7C7F" w:rsidP="00BA7C7F">
            <w:pPr>
              <w:jc w:val="right"/>
              <w:rPr>
                <w:rFonts w:ascii="Arial Narrow" w:hAnsi="Arial Narrow" w:cstheme="minorBidi"/>
                <w:b/>
                <w:color w:val="000000"/>
                <w:sz w:val="20"/>
                <w:szCs w:val="20"/>
              </w:rPr>
            </w:pPr>
            <w:r w:rsidRPr="00022A0B">
              <w:rPr>
                <w:rFonts w:ascii="Arial Narrow" w:hAnsi="Arial Narrow" w:cstheme="minorBidi"/>
                <w:color w:val="000000"/>
                <w:sz w:val="20"/>
                <w:szCs w:val="20"/>
              </w:rPr>
              <w:t>8 104</w:t>
            </w:r>
          </w:p>
        </w:tc>
        <w:tc>
          <w:tcPr>
            <w:tcW w:w="1045" w:type="dxa"/>
            <w:tcBorders>
              <w:top w:val="nil"/>
              <w:left w:val="nil"/>
              <w:bottom w:val="single" w:sz="4" w:space="0" w:color="auto"/>
              <w:right w:val="single" w:sz="4" w:space="0" w:color="auto"/>
            </w:tcBorders>
            <w:shd w:val="clear" w:color="auto" w:fill="auto"/>
            <w:noWrap/>
            <w:vAlign w:val="center"/>
            <w:hideMark/>
          </w:tcPr>
          <w:p w14:paraId="73FE02CF" w14:textId="77777777" w:rsidR="00BA7C7F" w:rsidRPr="00022A0B" w:rsidRDefault="00BA7C7F" w:rsidP="00BA7C7F">
            <w:pPr>
              <w:jc w:val="center"/>
              <w:rPr>
                <w:rFonts w:ascii="Arial Narrow" w:hAnsi="Arial Narrow" w:cstheme="minorBidi"/>
                <w:b/>
                <w:color w:val="000000"/>
                <w:sz w:val="20"/>
                <w:szCs w:val="20"/>
              </w:rPr>
            </w:pPr>
            <w:r w:rsidRPr="00022A0B">
              <w:rPr>
                <w:rFonts w:ascii="Arial Narrow" w:hAnsi="Arial Narrow" w:cstheme="minorBidi"/>
                <w:color w:val="000000"/>
                <w:sz w:val="20"/>
                <w:szCs w:val="20"/>
              </w:rPr>
              <w:t>-</w:t>
            </w:r>
          </w:p>
        </w:tc>
        <w:tc>
          <w:tcPr>
            <w:tcW w:w="1045" w:type="dxa"/>
            <w:tcBorders>
              <w:top w:val="nil"/>
              <w:left w:val="nil"/>
              <w:bottom w:val="single" w:sz="4" w:space="0" w:color="auto"/>
              <w:right w:val="single" w:sz="4" w:space="0" w:color="auto"/>
            </w:tcBorders>
            <w:shd w:val="clear" w:color="auto" w:fill="auto"/>
            <w:noWrap/>
            <w:vAlign w:val="center"/>
            <w:hideMark/>
          </w:tcPr>
          <w:p w14:paraId="72BEA88C" w14:textId="77777777" w:rsidR="00BA7C7F" w:rsidRPr="00022A0B" w:rsidRDefault="00BA7C7F" w:rsidP="00BA7C7F">
            <w:pPr>
              <w:jc w:val="center"/>
              <w:rPr>
                <w:rFonts w:ascii="Arial Narrow" w:hAnsi="Arial Narrow" w:cstheme="minorBidi"/>
                <w:b/>
                <w:color w:val="000000"/>
                <w:sz w:val="20"/>
                <w:szCs w:val="20"/>
              </w:rPr>
            </w:pPr>
            <w:r w:rsidRPr="00022A0B">
              <w:rPr>
                <w:rFonts w:ascii="Arial Narrow" w:hAnsi="Arial Narrow" w:cstheme="minorBidi"/>
                <w:color w:val="000000"/>
                <w:sz w:val="20"/>
                <w:szCs w:val="20"/>
              </w:rPr>
              <w:t>-</w:t>
            </w:r>
          </w:p>
        </w:tc>
        <w:tc>
          <w:tcPr>
            <w:tcW w:w="906" w:type="dxa"/>
            <w:tcBorders>
              <w:top w:val="nil"/>
              <w:left w:val="nil"/>
              <w:bottom w:val="single" w:sz="4" w:space="0" w:color="auto"/>
              <w:right w:val="single" w:sz="4" w:space="0" w:color="auto"/>
            </w:tcBorders>
            <w:shd w:val="clear" w:color="auto" w:fill="auto"/>
            <w:noWrap/>
            <w:vAlign w:val="center"/>
            <w:hideMark/>
          </w:tcPr>
          <w:p w14:paraId="1754EBB0" w14:textId="77777777" w:rsidR="00BA7C7F" w:rsidRPr="00022A0B" w:rsidRDefault="00BA7C7F" w:rsidP="00BA7C7F">
            <w:pPr>
              <w:jc w:val="center"/>
              <w:rPr>
                <w:rFonts w:ascii="Arial Narrow" w:hAnsi="Arial Narrow" w:cstheme="minorBidi"/>
                <w:b/>
                <w:color w:val="000000"/>
                <w:sz w:val="20"/>
                <w:szCs w:val="20"/>
              </w:rPr>
            </w:pPr>
            <w:r w:rsidRPr="00022A0B">
              <w:rPr>
                <w:rFonts w:ascii="Arial Narrow" w:hAnsi="Arial Narrow" w:cstheme="minorBidi"/>
                <w:color w:val="000000"/>
                <w:sz w:val="20"/>
                <w:szCs w:val="20"/>
              </w:rPr>
              <w:t>100</w:t>
            </w:r>
          </w:p>
        </w:tc>
        <w:tc>
          <w:tcPr>
            <w:tcW w:w="1801" w:type="dxa"/>
            <w:tcBorders>
              <w:top w:val="nil"/>
              <w:left w:val="nil"/>
              <w:bottom w:val="single" w:sz="4" w:space="0" w:color="auto"/>
              <w:right w:val="single" w:sz="4" w:space="0" w:color="auto"/>
            </w:tcBorders>
            <w:shd w:val="clear" w:color="auto" w:fill="auto"/>
            <w:noWrap/>
            <w:vAlign w:val="center"/>
            <w:hideMark/>
          </w:tcPr>
          <w:p w14:paraId="2FE276E9" w14:textId="77777777" w:rsidR="00BA7C7F" w:rsidRPr="00022A0B" w:rsidRDefault="00BA7C7F" w:rsidP="00BA7C7F">
            <w:pPr>
              <w:jc w:val="right"/>
              <w:rPr>
                <w:rFonts w:ascii="Arial Narrow" w:hAnsi="Arial Narrow" w:cstheme="minorBidi"/>
                <w:b/>
                <w:color w:val="000000"/>
                <w:sz w:val="20"/>
                <w:szCs w:val="20"/>
              </w:rPr>
            </w:pPr>
            <w:r w:rsidRPr="00022A0B">
              <w:rPr>
                <w:rFonts w:ascii="Arial Narrow" w:hAnsi="Arial Narrow" w:cstheme="minorBidi"/>
                <w:color w:val="000000"/>
                <w:sz w:val="20"/>
                <w:szCs w:val="20"/>
              </w:rPr>
              <w:t>69 768 665</w:t>
            </w:r>
          </w:p>
        </w:tc>
      </w:tr>
      <w:tr w:rsidR="00BA7C7F" w:rsidRPr="00C57ABA" w14:paraId="3F310F09" w14:textId="77777777" w:rsidTr="00B37935">
        <w:trPr>
          <w:trHeight w:val="315"/>
        </w:trPr>
        <w:tc>
          <w:tcPr>
            <w:tcW w:w="1724" w:type="dxa"/>
            <w:tcBorders>
              <w:top w:val="nil"/>
              <w:left w:val="single" w:sz="4" w:space="0" w:color="auto"/>
              <w:bottom w:val="single" w:sz="4" w:space="0" w:color="auto"/>
              <w:right w:val="single" w:sz="4" w:space="0" w:color="auto"/>
            </w:tcBorders>
            <w:shd w:val="clear" w:color="auto" w:fill="auto"/>
            <w:noWrap/>
            <w:vAlign w:val="center"/>
            <w:hideMark/>
          </w:tcPr>
          <w:p w14:paraId="64AF758A" w14:textId="77777777" w:rsidR="00BA7C7F" w:rsidRPr="00022A0B" w:rsidRDefault="00BA7C7F" w:rsidP="00BA7C7F">
            <w:pPr>
              <w:rPr>
                <w:rFonts w:ascii="Arial Narrow" w:hAnsi="Arial Narrow" w:cstheme="minorBidi"/>
                <w:b/>
                <w:sz w:val="20"/>
                <w:szCs w:val="20"/>
              </w:rPr>
            </w:pPr>
            <w:r w:rsidRPr="00022A0B">
              <w:rPr>
                <w:rFonts w:ascii="Arial Narrow" w:hAnsi="Arial Narrow" w:cstheme="minorBidi"/>
                <w:b/>
                <w:sz w:val="20"/>
                <w:szCs w:val="20"/>
              </w:rPr>
              <w:t>Общо:</w:t>
            </w:r>
          </w:p>
        </w:tc>
        <w:tc>
          <w:tcPr>
            <w:tcW w:w="1801" w:type="dxa"/>
            <w:tcBorders>
              <w:top w:val="nil"/>
              <w:left w:val="nil"/>
              <w:bottom w:val="single" w:sz="4" w:space="0" w:color="auto"/>
              <w:right w:val="single" w:sz="4" w:space="0" w:color="auto"/>
            </w:tcBorders>
            <w:shd w:val="clear" w:color="auto" w:fill="auto"/>
            <w:noWrap/>
            <w:vAlign w:val="center"/>
            <w:hideMark/>
          </w:tcPr>
          <w:p w14:paraId="3A3D13D6" w14:textId="77777777" w:rsidR="00BA7C7F" w:rsidRPr="00022A0B" w:rsidRDefault="00BA7C7F" w:rsidP="00BA7C7F">
            <w:pPr>
              <w:jc w:val="right"/>
              <w:rPr>
                <w:rFonts w:ascii="Arial Narrow" w:hAnsi="Arial Narrow" w:cstheme="minorBidi"/>
                <w:b/>
                <w:sz w:val="20"/>
                <w:szCs w:val="20"/>
              </w:rPr>
            </w:pPr>
          </w:p>
        </w:tc>
        <w:tc>
          <w:tcPr>
            <w:tcW w:w="1652" w:type="dxa"/>
            <w:tcBorders>
              <w:top w:val="nil"/>
              <w:left w:val="nil"/>
              <w:bottom w:val="single" w:sz="4" w:space="0" w:color="auto"/>
              <w:right w:val="single" w:sz="4" w:space="0" w:color="auto"/>
            </w:tcBorders>
            <w:shd w:val="clear" w:color="auto" w:fill="auto"/>
            <w:noWrap/>
            <w:vAlign w:val="center"/>
            <w:hideMark/>
          </w:tcPr>
          <w:p w14:paraId="542ED760" w14:textId="77777777" w:rsidR="00BA7C7F" w:rsidRPr="00022A0B" w:rsidRDefault="00BA7C7F" w:rsidP="00BA7C7F">
            <w:pPr>
              <w:jc w:val="right"/>
              <w:rPr>
                <w:rFonts w:ascii="Arial Narrow" w:hAnsi="Arial Narrow" w:cstheme="minorBidi"/>
                <w:b/>
                <w:sz w:val="20"/>
                <w:szCs w:val="20"/>
              </w:rPr>
            </w:pPr>
          </w:p>
        </w:tc>
        <w:tc>
          <w:tcPr>
            <w:tcW w:w="1045" w:type="dxa"/>
            <w:tcBorders>
              <w:top w:val="nil"/>
              <w:left w:val="nil"/>
              <w:bottom w:val="single" w:sz="4" w:space="0" w:color="auto"/>
              <w:right w:val="single" w:sz="4" w:space="0" w:color="auto"/>
            </w:tcBorders>
            <w:shd w:val="clear" w:color="auto" w:fill="auto"/>
            <w:noWrap/>
            <w:vAlign w:val="center"/>
            <w:hideMark/>
          </w:tcPr>
          <w:p w14:paraId="24096787" w14:textId="77777777" w:rsidR="00BA7C7F" w:rsidRPr="00022A0B" w:rsidRDefault="00BA7C7F" w:rsidP="00BA7C7F">
            <w:pPr>
              <w:jc w:val="right"/>
              <w:rPr>
                <w:rFonts w:ascii="Arial Narrow" w:hAnsi="Arial Narrow" w:cstheme="minorBidi"/>
                <w:b/>
                <w:sz w:val="20"/>
                <w:szCs w:val="20"/>
              </w:rPr>
            </w:pPr>
          </w:p>
        </w:tc>
        <w:tc>
          <w:tcPr>
            <w:tcW w:w="1045" w:type="dxa"/>
            <w:tcBorders>
              <w:top w:val="nil"/>
              <w:left w:val="nil"/>
              <w:bottom w:val="single" w:sz="4" w:space="0" w:color="auto"/>
              <w:right w:val="single" w:sz="4" w:space="0" w:color="auto"/>
            </w:tcBorders>
            <w:shd w:val="clear" w:color="auto" w:fill="auto"/>
            <w:noWrap/>
            <w:vAlign w:val="center"/>
            <w:hideMark/>
          </w:tcPr>
          <w:p w14:paraId="17D55DDE" w14:textId="77777777" w:rsidR="00BA7C7F" w:rsidRPr="00022A0B" w:rsidRDefault="00BA7C7F" w:rsidP="00BA7C7F">
            <w:pPr>
              <w:jc w:val="right"/>
              <w:rPr>
                <w:rFonts w:ascii="Arial Narrow" w:hAnsi="Arial Narrow" w:cstheme="minorBidi"/>
                <w:b/>
                <w:sz w:val="20"/>
                <w:szCs w:val="20"/>
              </w:rPr>
            </w:pPr>
          </w:p>
        </w:tc>
        <w:tc>
          <w:tcPr>
            <w:tcW w:w="906" w:type="dxa"/>
            <w:tcBorders>
              <w:top w:val="nil"/>
              <w:left w:val="nil"/>
              <w:bottom w:val="single" w:sz="4" w:space="0" w:color="auto"/>
              <w:right w:val="single" w:sz="4" w:space="0" w:color="auto"/>
            </w:tcBorders>
            <w:shd w:val="clear" w:color="auto" w:fill="auto"/>
            <w:noWrap/>
            <w:vAlign w:val="center"/>
            <w:hideMark/>
          </w:tcPr>
          <w:p w14:paraId="6F7ECD7C" w14:textId="77777777" w:rsidR="00BA7C7F" w:rsidRPr="00022A0B" w:rsidRDefault="00BA7C7F" w:rsidP="00BA7C7F">
            <w:pPr>
              <w:jc w:val="right"/>
              <w:rPr>
                <w:rFonts w:ascii="Arial Narrow" w:hAnsi="Arial Narrow" w:cstheme="minorBidi"/>
                <w:b/>
                <w:sz w:val="20"/>
                <w:szCs w:val="20"/>
              </w:rPr>
            </w:pPr>
          </w:p>
        </w:tc>
        <w:tc>
          <w:tcPr>
            <w:tcW w:w="1801" w:type="dxa"/>
            <w:tcBorders>
              <w:top w:val="nil"/>
              <w:left w:val="nil"/>
              <w:bottom w:val="single" w:sz="4" w:space="0" w:color="auto"/>
              <w:right w:val="single" w:sz="4" w:space="0" w:color="auto"/>
            </w:tcBorders>
            <w:shd w:val="clear" w:color="auto" w:fill="auto"/>
            <w:noWrap/>
            <w:vAlign w:val="center"/>
            <w:hideMark/>
          </w:tcPr>
          <w:p w14:paraId="6E9E04F5" w14:textId="77777777" w:rsidR="00BA7C7F" w:rsidRPr="00022A0B" w:rsidRDefault="00BA7C7F" w:rsidP="00BA7C7F">
            <w:pPr>
              <w:jc w:val="right"/>
              <w:rPr>
                <w:rFonts w:ascii="Arial Narrow" w:eastAsiaTheme="minorHAnsi" w:hAnsi="Arial Narrow" w:cstheme="minorBidi"/>
                <w:b/>
                <w:color w:val="000000"/>
                <w:sz w:val="20"/>
                <w:szCs w:val="20"/>
              </w:rPr>
            </w:pPr>
            <w:r w:rsidRPr="00022A0B">
              <w:rPr>
                <w:rFonts w:ascii="Arial Narrow" w:eastAsiaTheme="minorHAnsi" w:hAnsi="Arial Narrow" w:cstheme="minorBidi"/>
                <w:b/>
                <w:color w:val="000000"/>
                <w:sz w:val="20"/>
                <w:szCs w:val="20"/>
              </w:rPr>
              <w:t>1 090 553 547</w:t>
            </w:r>
          </w:p>
        </w:tc>
      </w:tr>
    </w:tbl>
    <w:p w14:paraId="581A92A0" w14:textId="77777777" w:rsidR="00BA7C7F" w:rsidRPr="00725099" w:rsidRDefault="00BA7C7F" w:rsidP="00BA7C7F">
      <w:pPr>
        <w:spacing w:after="240"/>
        <w:rPr>
          <w:rFonts w:ascii="Arial Narrow" w:hAnsi="Arial Narrow"/>
          <w:bCs/>
          <w:i/>
          <w:color w:val="000000"/>
          <w:sz w:val="22"/>
          <w:szCs w:val="20"/>
        </w:rPr>
      </w:pPr>
      <w:r w:rsidRPr="00725099">
        <w:rPr>
          <w:rFonts w:ascii="Arial Narrow" w:eastAsia="Calibri" w:hAnsi="Arial Narrow" w:cs="Arial Narrow"/>
          <w:i/>
          <w:sz w:val="18"/>
          <w:szCs w:val="16"/>
        </w:rPr>
        <w:t xml:space="preserve">Източник: </w:t>
      </w:r>
      <w:r w:rsidRPr="004D7FB3">
        <w:rPr>
          <w:rFonts w:ascii="Arial Narrow" w:eastAsia="Calibri" w:hAnsi="Arial Narrow" w:cs="Arial Narrow"/>
          <w:sz w:val="18"/>
          <w:szCs w:val="16"/>
        </w:rPr>
        <w:t>ДФЗ-РА</w:t>
      </w:r>
    </w:p>
    <w:p w14:paraId="0E77F379" w14:textId="77777777" w:rsidR="00BA7C7F" w:rsidRPr="00C57ABA" w:rsidRDefault="00BA7C7F" w:rsidP="00BA7C7F">
      <w:pPr>
        <w:autoSpaceDE w:val="0"/>
        <w:autoSpaceDN w:val="0"/>
        <w:adjustRightInd w:val="0"/>
        <w:spacing w:after="120"/>
        <w:ind w:firstLine="708"/>
        <w:rPr>
          <w:rFonts w:ascii="Arial Narrow" w:eastAsiaTheme="minorHAnsi" w:hAnsi="Arial Narrow"/>
          <w:b/>
          <w:bCs/>
          <w:color w:val="000000"/>
        </w:rPr>
      </w:pPr>
      <w:r w:rsidRPr="00C57ABA">
        <w:rPr>
          <w:rFonts w:ascii="Arial Narrow" w:eastAsiaTheme="minorHAnsi" w:hAnsi="Arial Narrow"/>
          <w:b/>
          <w:bCs/>
          <w:color w:val="000000"/>
        </w:rPr>
        <w:t>Кампания `2024</w:t>
      </w:r>
    </w:p>
    <w:p w14:paraId="2AC4194A" w14:textId="77777777" w:rsidR="00BA7C7F" w:rsidRPr="00C57ABA" w:rsidRDefault="00BA7C7F" w:rsidP="00BA7C7F">
      <w:pPr>
        <w:autoSpaceDE w:val="0"/>
        <w:autoSpaceDN w:val="0"/>
        <w:adjustRightInd w:val="0"/>
        <w:spacing w:after="120"/>
        <w:ind w:firstLine="708"/>
        <w:jc w:val="both"/>
        <w:rPr>
          <w:rFonts w:ascii="Arial Narrow" w:eastAsiaTheme="minorHAnsi" w:hAnsi="Arial Narrow"/>
        </w:rPr>
      </w:pPr>
      <w:r w:rsidRPr="00C57ABA">
        <w:rPr>
          <w:rFonts w:ascii="Arial Narrow" w:eastAsiaTheme="minorHAnsi" w:hAnsi="Arial Narrow"/>
        </w:rPr>
        <w:t>За Кампания `2024 земеделските стопани се подпомагат по следните интервенции за директни плащания от Стратегическия план за развитие на земеделието и селските райони в Република България за периода 2023-2027 г., финансирани с европейски и национални средства:</w:t>
      </w:r>
    </w:p>
    <w:p w14:paraId="400AE56E" w14:textId="77777777" w:rsidR="00BA7C7F" w:rsidRPr="00022A0B" w:rsidRDefault="00BA7C7F" w:rsidP="009C6577">
      <w:pPr>
        <w:pStyle w:val="ListParagraph"/>
        <w:numPr>
          <w:ilvl w:val="0"/>
          <w:numId w:val="52"/>
        </w:numPr>
        <w:tabs>
          <w:tab w:val="left" w:pos="1134"/>
        </w:tabs>
        <w:autoSpaceDE w:val="0"/>
        <w:autoSpaceDN w:val="0"/>
        <w:adjustRightInd w:val="0"/>
        <w:spacing w:after="120"/>
        <w:ind w:left="714" w:hanging="357"/>
        <w:contextualSpacing w:val="0"/>
        <w:jc w:val="both"/>
        <w:rPr>
          <w:rFonts w:ascii="Arial Narrow" w:eastAsiaTheme="minorHAnsi" w:hAnsi="Arial Narrow"/>
        </w:rPr>
      </w:pPr>
      <w:r w:rsidRPr="00022A0B">
        <w:rPr>
          <w:rFonts w:ascii="Arial Narrow" w:eastAsiaTheme="minorHAnsi" w:hAnsi="Arial Narrow"/>
        </w:rPr>
        <w:t>Основно подпомагане на доходите за устойчивост;</w:t>
      </w:r>
    </w:p>
    <w:p w14:paraId="7D10739D" w14:textId="77777777" w:rsidR="00BA7C7F" w:rsidRPr="00C57ABA" w:rsidRDefault="00BA7C7F" w:rsidP="009C6577">
      <w:pPr>
        <w:pStyle w:val="ListParagraph"/>
        <w:numPr>
          <w:ilvl w:val="0"/>
          <w:numId w:val="52"/>
        </w:numPr>
        <w:tabs>
          <w:tab w:val="left" w:pos="1134"/>
        </w:tabs>
        <w:autoSpaceDE w:val="0"/>
        <w:autoSpaceDN w:val="0"/>
        <w:adjustRightInd w:val="0"/>
        <w:spacing w:after="120"/>
        <w:ind w:left="714" w:hanging="357"/>
        <w:contextualSpacing w:val="0"/>
        <w:jc w:val="both"/>
        <w:rPr>
          <w:rFonts w:ascii="Arial Narrow" w:eastAsiaTheme="minorHAnsi" w:hAnsi="Arial Narrow"/>
        </w:rPr>
      </w:pPr>
      <w:r w:rsidRPr="00C57ABA">
        <w:rPr>
          <w:rFonts w:ascii="Arial Narrow" w:eastAsiaTheme="minorHAnsi" w:hAnsi="Arial Narrow"/>
        </w:rPr>
        <w:t>Допълнително преразпределително подпомагане на доходите за устойчивост;</w:t>
      </w:r>
    </w:p>
    <w:p w14:paraId="7B305940" w14:textId="77777777" w:rsidR="00BA7C7F" w:rsidRPr="00C57ABA" w:rsidRDefault="00BA7C7F" w:rsidP="009C6577">
      <w:pPr>
        <w:pStyle w:val="ListParagraph"/>
        <w:numPr>
          <w:ilvl w:val="0"/>
          <w:numId w:val="52"/>
        </w:numPr>
        <w:tabs>
          <w:tab w:val="left" w:pos="1134"/>
        </w:tabs>
        <w:autoSpaceDE w:val="0"/>
        <w:autoSpaceDN w:val="0"/>
        <w:adjustRightInd w:val="0"/>
        <w:spacing w:after="120"/>
        <w:ind w:left="714" w:hanging="357"/>
        <w:contextualSpacing w:val="0"/>
        <w:jc w:val="both"/>
        <w:rPr>
          <w:rFonts w:ascii="Arial Narrow" w:eastAsiaTheme="minorHAnsi" w:hAnsi="Arial Narrow"/>
        </w:rPr>
      </w:pPr>
      <w:r w:rsidRPr="00C57ABA">
        <w:rPr>
          <w:rFonts w:ascii="Arial Narrow" w:eastAsiaTheme="minorHAnsi" w:hAnsi="Arial Narrow"/>
        </w:rPr>
        <w:t>Плащане за малки земеделски стопани;</w:t>
      </w:r>
    </w:p>
    <w:p w14:paraId="08DCD8FA" w14:textId="77777777" w:rsidR="00BA7C7F" w:rsidRPr="00C57ABA" w:rsidRDefault="00BA7C7F" w:rsidP="009C6577">
      <w:pPr>
        <w:pStyle w:val="ListParagraph"/>
        <w:numPr>
          <w:ilvl w:val="0"/>
          <w:numId w:val="52"/>
        </w:numPr>
        <w:tabs>
          <w:tab w:val="left" w:pos="1134"/>
        </w:tabs>
        <w:autoSpaceDE w:val="0"/>
        <w:autoSpaceDN w:val="0"/>
        <w:adjustRightInd w:val="0"/>
        <w:spacing w:after="120"/>
        <w:ind w:left="714" w:hanging="357"/>
        <w:contextualSpacing w:val="0"/>
        <w:jc w:val="both"/>
        <w:rPr>
          <w:rFonts w:ascii="Arial Narrow" w:eastAsiaTheme="minorHAnsi" w:hAnsi="Arial Narrow"/>
        </w:rPr>
      </w:pPr>
      <w:r w:rsidRPr="00C57ABA">
        <w:rPr>
          <w:rFonts w:ascii="Arial Narrow" w:eastAsiaTheme="minorHAnsi" w:hAnsi="Arial Narrow"/>
        </w:rPr>
        <w:t>Допълнително подпомагане на доходите за млади земеделски стопани;</w:t>
      </w:r>
    </w:p>
    <w:p w14:paraId="1B7C9184" w14:textId="77777777" w:rsidR="00BA7C7F" w:rsidRPr="00C57ABA" w:rsidRDefault="00BA7C7F" w:rsidP="009C6577">
      <w:pPr>
        <w:pStyle w:val="ListParagraph"/>
        <w:numPr>
          <w:ilvl w:val="0"/>
          <w:numId w:val="52"/>
        </w:numPr>
        <w:tabs>
          <w:tab w:val="left" w:pos="1134"/>
        </w:tabs>
        <w:autoSpaceDE w:val="0"/>
        <w:autoSpaceDN w:val="0"/>
        <w:adjustRightInd w:val="0"/>
        <w:spacing w:after="120"/>
        <w:ind w:left="714" w:hanging="357"/>
        <w:contextualSpacing w:val="0"/>
        <w:jc w:val="both"/>
        <w:rPr>
          <w:rFonts w:ascii="Arial Narrow" w:eastAsiaTheme="minorHAnsi" w:hAnsi="Arial Narrow"/>
        </w:rPr>
      </w:pPr>
      <w:r w:rsidRPr="00C57ABA">
        <w:rPr>
          <w:rFonts w:ascii="Arial Narrow" w:eastAsiaTheme="minorHAnsi" w:hAnsi="Arial Narrow"/>
        </w:rPr>
        <w:t>Еко схема за биологично земеделие (селскостопански животни);</w:t>
      </w:r>
    </w:p>
    <w:p w14:paraId="14E72C41" w14:textId="77777777" w:rsidR="00BA7C7F" w:rsidRPr="00C57ABA" w:rsidRDefault="00BA7C7F" w:rsidP="009C6577">
      <w:pPr>
        <w:pStyle w:val="ListParagraph"/>
        <w:numPr>
          <w:ilvl w:val="0"/>
          <w:numId w:val="52"/>
        </w:numPr>
        <w:tabs>
          <w:tab w:val="left" w:pos="1134"/>
        </w:tabs>
        <w:autoSpaceDE w:val="0"/>
        <w:autoSpaceDN w:val="0"/>
        <w:adjustRightInd w:val="0"/>
        <w:spacing w:after="120"/>
        <w:ind w:left="714" w:hanging="357"/>
        <w:contextualSpacing w:val="0"/>
        <w:jc w:val="both"/>
        <w:rPr>
          <w:rFonts w:ascii="Arial Narrow" w:eastAsiaTheme="minorHAnsi" w:hAnsi="Arial Narrow"/>
        </w:rPr>
      </w:pPr>
      <w:r w:rsidRPr="00C57ABA">
        <w:rPr>
          <w:rFonts w:ascii="Arial Narrow" w:eastAsiaTheme="minorHAnsi" w:hAnsi="Arial Narrow"/>
        </w:rPr>
        <w:t>Еко схема за поддържане и подобряване на биологичното разнообразие и екологичната инфраструктура;</w:t>
      </w:r>
    </w:p>
    <w:p w14:paraId="03996F0B" w14:textId="77777777" w:rsidR="00BA7C7F" w:rsidRPr="00C57ABA" w:rsidRDefault="00BA7C7F" w:rsidP="009C6577">
      <w:pPr>
        <w:pStyle w:val="ListParagraph"/>
        <w:numPr>
          <w:ilvl w:val="0"/>
          <w:numId w:val="52"/>
        </w:numPr>
        <w:tabs>
          <w:tab w:val="left" w:pos="1134"/>
        </w:tabs>
        <w:autoSpaceDE w:val="0"/>
        <w:autoSpaceDN w:val="0"/>
        <w:adjustRightInd w:val="0"/>
        <w:spacing w:after="120"/>
        <w:ind w:left="714" w:hanging="357"/>
        <w:contextualSpacing w:val="0"/>
        <w:jc w:val="both"/>
        <w:rPr>
          <w:rFonts w:ascii="Arial Narrow" w:eastAsiaTheme="minorHAnsi" w:hAnsi="Arial Narrow"/>
        </w:rPr>
      </w:pPr>
      <w:r w:rsidRPr="00C57ABA">
        <w:rPr>
          <w:rFonts w:ascii="Arial Narrow" w:eastAsiaTheme="minorHAnsi" w:hAnsi="Arial Narrow"/>
        </w:rPr>
        <w:t>Еко схема за запазване и възстановяване на почвения потенциал – насърчаване на зелено торене и органично наторяване;</w:t>
      </w:r>
    </w:p>
    <w:p w14:paraId="304599AB" w14:textId="77777777" w:rsidR="00BA7C7F" w:rsidRPr="00C57ABA" w:rsidRDefault="00BA7C7F" w:rsidP="009C6577">
      <w:pPr>
        <w:pStyle w:val="ListParagraph"/>
        <w:numPr>
          <w:ilvl w:val="0"/>
          <w:numId w:val="52"/>
        </w:numPr>
        <w:tabs>
          <w:tab w:val="left" w:pos="1134"/>
        </w:tabs>
        <w:autoSpaceDE w:val="0"/>
        <w:autoSpaceDN w:val="0"/>
        <w:adjustRightInd w:val="0"/>
        <w:spacing w:after="120"/>
        <w:ind w:left="714" w:hanging="357"/>
        <w:contextualSpacing w:val="0"/>
        <w:jc w:val="both"/>
        <w:rPr>
          <w:rFonts w:ascii="Arial Narrow" w:eastAsiaTheme="minorHAnsi" w:hAnsi="Arial Narrow"/>
        </w:rPr>
      </w:pPr>
      <w:r w:rsidRPr="00C57ABA">
        <w:rPr>
          <w:rFonts w:ascii="Arial Narrow" w:eastAsiaTheme="minorHAnsi" w:hAnsi="Arial Narrow"/>
        </w:rPr>
        <w:t>Еко схема за намаляване използването на пестициди;</w:t>
      </w:r>
    </w:p>
    <w:p w14:paraId="7924F016" w14:textId="77777777" w:rsidR="00BA7C7F" w:rsidRPr="00C57ABA" w:rsidRDefault="00BA7C7F" w:rsidP="009C6577">
      <w:pPr>
        <w:pStyle w:val="ListParagraph"/>
        <w:numPr>
          <w:ilvl w:val="0"/>
          <w:numId w:val="52"/>
        </w:numPr>
        <w:tabs>
          <w:tab w:val="left" w:pos="1134"/>
        </w:tabs>
        <w:autoSpaceDE w:val="0"/>
        <w:autoSpaceDN w:val="0"/>
        <w:adjustRightInd w:val="0"/>
        <w:spacing w:after="120"/>
        <w:ind w:left="714" w:hanging="357"/>
        <w:contextualSpacing w:val="0"/>
        <w:jc w:val="both"/>
        <w:rPr>
          <w:rFonts w:ascii="Arial Narrow" w:eastAsiaTheme="minorHAnsi" w:hAnsi="Arial Narrow"/>
        </w:rPr>
      </w:pPr>
      <w:r w:rsidRPr="00C57ABA">
        <w:rPr>
          <w:rFonts w:ascii="Arial Narrow" w:eastAsiaTheme="minorHAnsi" w:hAnsi="Arial Narrow"/>
        </w:rPr>
        <w:t>Еко схема за екологично поддържане на трайните насаждения;</w:t>
      </w:r>
    </w:p>
    <w:p w14:paraId="191B7A53" w14:textId="77777777" w:rsidR="00BA7C7F" w:rsidRPr="00C57ABA" w:rsidRDefault="00BA7C7F" w:rsidP="009C6577">
      <w:pPr>
        <w:pStyle w:val="ListParagraph"/>
        <w:numPr>
          <w:ilvl w:val="0"/>
          <w:numId w:val="52"/>
        </w:numPr>
        <w:tabs>
          <w:tab w:val="left" w:pos="1134"/>
        </w:tabs>
        <w:autoSpaceDE w:val="0"/>
        <w:autoSpaceDN w:val="0"/>
        <w:adjustRightInd w:val="0"/>
        <w:spacing w:after="120"/>
        <w:ind w:left="714" w:hanging="357"/>
        <w:contextualSpacing w:val="0"/>
        <w:jc w:val="both"/>
        <w:rPr>
          <w:rFonts w:ascii="Arial Narrow" w:eastAsiaTheme="minorHAnsi" w:hAnsi="Arial Narrow"/>
        </w:rPr>
      </w:pPr>
      <w:r w:rsidRPr="00C57ABA">
        <w:rPr>
          <w:rFonts w:ascii="Arial Narrow" w:eastAsiaTheme="minorHAnsi" w:hAnsi="Arial Narrow"/>
        </w:rPr>
        <w:t>Еко схема за екстензивно поддържане на постоянно затревените площи;</w:t>
      </w:r>
    </w:p>
    <w:p w14:paraId="4E307F38" w14:textId="77777777" w:rsidR="00BA7C7F" w:rsidRPr="00C57ABA" w:rsidRDefault="00BA7C7F" w:rsidP="009C6577">
      <w:pPr>
        <w:pStyle w:val="ListParagraph"/>
        <w:numPr>
          <w:ilvl w:val="0"/>
          <w:numId w:val="52"/>
        </w:numPr>
        <w:tabs>
          <w:tab w:val="left" w:pos="1134"/>
        </w:tabs>
        <w:autoSpaceDE w:val="0"/>
        <w:autoSpaceDN w:val="0"/>
        <w:adjustRightInd w:val="0"/>
        <w:spacing w:after="120"/>
        <w:ind w:left="714" w:hanging="357"/>
        <w:contextualSpacing w:val="0"/>
        <w:jc w:val="both"/>
        <w:rPr>
          <w:rFonts w:ascii="Arial Narrow" w:eastAsiaTheme="minorHAnsi" w:hAnsi="Arial Narrow"/>
        </w:rPr>
      </w:pPr>
      <w:r w:rsidRPr="00C57ABA">
        <w:rPr>
          <w:rFonts w:ascii="Arial Narrow" w:eastAsiaTheme="minorHAnsi" w:hAnsi="Arial Narrow"/>
        </w:rPr>
        <w:t>Еко схема за поддържане и подобряване на биоразнообразието в горски екосистеми;</w:t>
      </w:r>
    </w:p>
    <w:p w14:paraId="358D629B" w14:textId="77777777" w:rsidR="00BA7C7F" w:rsidRPr="00C57ABA" w:rsidRDefault="00BA7C7F" w:rsidP="009C6577">
      <w:pPr>
        <w:pStyle w:val="ListParagraph"/>
        <w:numPr>
          <w:ilvl w:val="0"/>
          <w:numId w:val="52"/>
        </w:numPr>
        <w:tabs>
          <w:tab w:val="left" w:pos="1134"/>
        </w:tabs>
        <w:autoSpaceDE w:val="0"/>
        <w:autoSpaceDN w:val="0"/>
        <w:adjustRightInd w:val="0"/>
        <w:spacing w:after="120"/>
        <w:ind w:left="714" w:hanging="357"/>
        <w:contextualSpacing w:val="0"/>
        <w:jc w:val="both"/>
        <w:rPr>
          <w:rFonts w:ascii="Arial Narrow" w:eastAsiaTheme="minorHAnsi" w:hAnsi="Arial Narrow"/>
        </w:rPr>
      </w:pPr>
      <w:r w:rsidRPr="00C57ABA">
        <w:rPr>
          <w:rFonts w:ascii="Arial Narrow" w:eastAsiaTheme="minorHAnsi" w:hAnsi="Arial Narrow"/>
        </w:rPr>
        <w:t>Еко схема за разнообразяване на отглежданите култури;</w:t>
      </w:r>
    </w:p>
    <w:p w14:paraId="0C0CB74B" w14:textId="77777777" w:rsidR="00BA7C7F" w:rsidRPr="00C57ABA" w:rsidRDefault="00BA7C7F" w:rsidP="009C6577">
      <w:pPr>
        <w:pStyle w:val="ListParagraph"/>
        <w:numPr>
          <w:ilvl w:val="0"/>
          <w:numId w:val="52"/>
        </w:numPr>
        <w:tabs>
          <w:tab w:val="left" w:pos="1134"/>
        </w:tabs>
        <w:autoSpaceDE w:val="0"/>
        <w:autoSpaceDN w:val="0"/>
        <w:adjustRightInd w:val="0"/>
        <w:spacing w:after="120"/>
        <w:ind w:left="714" w:hanging="357"/>
        <w:contextualSpacing w:val="0"/>
        <w:jc w:val="both"/>
        <w:rPr>
          <w:rFonts w:ascii="Arial Narrow" w:eastAsiaTheme="minorHAnsi" w:hAnsi="Arial Narrow"/>
        </w:rPr>
      </w:pPr>
      <w:r w:rsidRPr="00C57ABA">
        <w:rPr>
          <w:rFonts w:ascii="Arial Narrow" w:eastAsiaTheme="minorHAnsi" w:hAnsi="Arial Narrow"/>
        </w:rPr>
        <w:t>Обвързано с производството подпомагане за млечни крави;</w:t>
      </w:r>
    </w:p>
    <w:p w14:paraId="5EE069B2" w14:textId="77777777" w:rsidR="00BA7C7F" w:rsidRPr="00C57ABA" w:rsidRDefault="00BA7C7F" w:rsidP="009C6577">
      <w:pPr>
        <w:pStyle w:val="ListParagraph"/>
        <w:numPr>
          <w:ilvl w:val="0"/>
          <w:numId w:val="52"/>
        </w:numPr>
        <w:tabs>
          <w:tab w:val="left" w:pos="1134"/>
        </w:tabs>
        <w:autoSpaceDE w:val="0"/>
        <w:autoSpaceDN w:val="0"/>
        <w:adjustRightInd w:val="0"/>
        <w:spacing w:after="120"/>
        <w:ind w:left="714" w:hanging="357"/>
        <w:contextualSpacing w:val="0"/>
        <w:jc w:val="both"/>
        <w:rPr>
          <w:rFonts w:ascii="Arial Narrow" w:eastAsiaTheme="minorHAnsi" w:hAnsi="Arial Narrow"/>
        </w:rPr>
      </w:pPr>
      <w:r w:rsidRPr="00C57ABA">
        <w:rPr>
          <w:rFonts w:ascii="Arial Narrow" w:eastAsiaTheme="minorHAnsi" w:hAnsi="Arial Narrow"/>
        </w:rPr>
        <w:t>Обвързано с производството подпомагане за млечни крави</w:t>
      </w:r>
      <w:r>
        <w:rPr>
          <w:rFonts w:ascii="Arial Narrow" w:eastAsiaTheme="minorHAnsi" w:hAnsi="Arial Narrow"/>
        </w:rPr>
        <w:t>,</w:t>
      </w:r>
      <w:r w:rsidRPr="00C57ABA">
        <w:rPr>
          <w:rFonts w:ascii="Arial Narrow" w:eastAsiaTheme="minorHAnsi" w:hAnsi="Arial Narrow"/>
        </w:rPr>
        <w:t xml:space="preserve"> включени в развъдни програми;</w:t>
      </w:r>
    </w:p>
    <w:p w14:paraId="6243CD5E" w14:textId="77777777" w:rsidR="00BA7C7F" w:rsidRPr="00C57ABA" w:rsidRDefault="00BA7C7F" w:rsidP="009C6577">
      <w:pPr>
        <w:pStyle w:val="ListParagraph"/>
        <w:numPr>
          <w:ilvl w:val="0"/>
          <w:numId w:val="52"/>
        </w:numPr>
        <w:tabs>
          <w:tab w:val="left" w:pos="1134"/>
        </w:tabs>
        <w:autoSpaceDE w:val="0"/>
        <w:autoSpaceDN w:val="0"/>
        <w:adjustRightInd w:val="0"/>
        <w:spacing w:after="120"/>
        <w:ind w:left="714" w:hanging="357"/>
        <w:contextualSpacing w:val="0"/>
        <w:jc w:val="both"/>
        <w:rPr>
          <w:rFonts w:ascii="Arial Narrow" w:eastAsiaTheme="minorHAnsi" w:hAnsi="Arial Narrow"/>
        </w:rPr>
      </w:pPr>
      <w:r w:rsidRPr="00C57ABA">
        <w:rPr>
          <w:rFonts w:ascii="Arial Narrow" w:eastAsiaTheme="minorHAnsi" w:hAnsi="Arial Narrow"/>
        </w:rPr>
        <w:t>Обвързано с производството подпомагане за месодайни крави;</w:t>
      </w:r>
    </w:p>
    <w:p w14:paraId="5E2A8B14" w14:textId="77777777" w:rsidR="00BA7C7F" w:rsidRPr="00C57ABA" w:rsidRDefault="00BA7C7F" w:rsidP="009C6577">
      <w:pPr>
        <w:pStyle w:val="ListParagraph"/>
        <w:numPr>
          <w:ilvl w:val="0"/>
          <w:numId w:val="52"/>
        </w:numPr>
        <w:tabs>
          <w:tab w:val="left" w:pos="1134"/>
        </w:tabs>
        <w:autoSpaceDE w:val="0"/>
        <w:autoSpaceDN w:val="0"/>
        <w:adjustRightInd w:val="0"/>
        <w:spacing w:after="120"/>
        <w:ind w:left="714" w:hanging="357"/>
        <w:contextualSpacing w:val="0"/>
        <w:jc w:val="both"/>
        <w:rPr>
          <w:rFonts w:ascii="Arial Narrow" w:eastAsiaTheme="minorHAnsi" w:hAnsi="Arial Narrow"/>
        </w:rPr>
      </w:pPr>
      <w:r w:rsidRPr="00C57ABA">
        <w:rPr>
          <w:rFonts w:ascii="Arial Narrow" w:eastAsiaTheme="minorHAnsi" w:hAnsi="Arial Narrow"/>
        </w:rPr>
        <w:t>Обвързано с производството подпомагане за месодайни крави, включени в развъдни програми;</w:t>
      </w:r>
    </w:p>
    <w:p w14:paraId="212668BE" w14:textId="77777777" w:rsidR="00BA7C7F" w:rsidRPr="00C57ABA" w:rsidRDefault="00BA7C7F" w:rsidP="009C6577">
      <w:pPr>
        <w:pStyle w:val="ListParagraph"/>
        <w:numPr>
          <w:ilvl w:val="0"/>
          <w:numId w:val="52"/>
        </w:numPr>
        <w:tabs>
          <w:tab w:val="left" w:pos="1134"/>
        </w:tabs>
        <w:autoSpaceDE w:val="0"/>
        <w:autoSpaceDN w:val="0"/>
        <w:adjustRightInd w:val="0"/>
        <w:spacing w:after="120"/>
        <w:ind w:left="714" w:hanging="357"/>
        <w:contextualSpacing w:val="0"/>
        <w:jc w:val="both"/>
        <w:rPr>
          <w:rFonts w:ascii="Arial Narrow" w:eastAsiaTheme="minorHAnsi" w:hAnsi="Arial Narrow"/>
        </w:rPr>
      </w:pPr>
      <w:r w:rsidRPr="00C57ABA">
        <w:rPr>
          <w:rFonts w:ascii="Arial Narrow" w:eastAsiaTheme="minorHAnsi" w:hAnsi="Arial Narrow"/>
        </w:rPr>
        <w:t>Обвързано с производството подпомагане за крави от застрашени от изчезване породи;</w:t>
      </w:r>
    </w:p>
    <w:p w14:paraId="598CF8C5" w14:textId="77777777" w:rsidR="00BA7C7F" w:rsidRPr="00C57ABA" w:rsidRDefault="00BA7C7F" w:rsidP="009C6577">
      <w:pPr>
        <w:pStyle w:val="ListParagraph"/>
        <w:numPr>
          <w:ilvl w:val="0"/>
          <w:numId w:val="52"/>
        </w:numPr>
        <w:tabs>
          <w:tab w:val="left" w:pos="1134"/>
        </w:tabs>
        <w:autoSpaceDE w:val="0"/>
        <w:autoSpaceDN w:val="0"/>
        <w:adjustRightInd w:val="0"/>
        <w:spacing w:after="120"/>
        <w:ind w:left="714" w:hanging="357"/>
        <w:contextualSpacing w:val="0"/>
        <w:jc w:val="both"/>
        <w:rPr>
          <w:rFonts w:ascii="Arial Narrow" w:eastAsiaTheme="minorHAnsi" w:hAnsi="Arial Narrow"/>
        </w:rPr>
      </w:pPr>
      <w:r w:rsidRPr="00C57ABA">
        <w:rPr>
          <w:rFonts w:ascii="Arial Narrow" w:eastAsiaTheme="minorHAnsi" w:hAnsi="Arial Narrow"/>
        </w:rPr>
        <w:t>Обвързано с производството подпомагане за говеда в планински райони;</w:t>
      </w:r>
    </w:p>
    <w:p w14:paraId="10307CCE" w14:textId="77777777" w:rsidR="00BA7C7F" w:rsidRPr="00C57ABA" w:rsidRDefault="00BA7C7F" w:rsidP="009C6577">
      <w:pPr>
        <w:pStyle w:val="ListParagraph"/>
        <w:numPr>
          <w:ilvl w:val="0"/>
          <w:numId w:val="52"/>
        </w:numPr>
        <w:tabs>
          <w:tab w:val="left" w:pos="1134"/>
        </w:tabs>
        <w:autoSpaceDE w:val="0"/>
        <w:autoSpaceDN w:val="0"/>
        <w:adjustRightInd w:val="0"/>
        <w:spacing w:after="120"/>
        <w:ind w:left="714" w:hanging="357"/>
        <w:contextualSpacing w:val="0"/>
        <w:jc w:val="both"/>
        <w:rPr>
          <w:rFonts w:ascii="Arial Narrow" w:eastAsiaTheme="minorHAnsi" w:hAnsi="Arial Narrow"/>
        </w:rPr>
      </w:pPr>
      <w:r w:rsidRPr="00C57ABA">
        <w:rPr>
          <w:rFonts w:ascii="Arial Narrow" w:eastAsiaTheme="minorHAnsi" w:hAnsi="Arial Narrow"/>
        </w:rPr>
        <w:t>Обвързано с производството подпомагане за биволи;</w:t>
      </w:r>
    </w:p>
    <w:p w14:paraId="2F309925" w14:textId="77777777" w:rsidR="00BA7C7F" w:rsidRPr="00C57ABA" w:rsidRDefault="00BA7C7F" w:rsidP="009C6577">
      <w:pPr>
        <w:pStyle w:val="ListParagraph"/>
        <w:numPr>
          <w:ilvl w:val="0"/>
          <w:numId w:val="52"/>
        </w:numPr>
        <w:tabs>
          <w:tab w:val="left" w:pos="1134"/>
        </w:tabs>
        <w:autoSpaceDE w:val="0"/>
        <w:autoSpaceDN w:val="0"/>
        <w:adjustRightInd w:val="0"/>
        <w:spacing w:after="120"/>
        <w:ind w:left="714" w:hanging="357"/>
        <w:contextualSpacing w:val="0"/>
        <w:jc w:val="both"/>
        <w:rPr>
          <w:rFonts w:ascii="Arial Narrow" w:eastAsiaTheme="minorHAnsi" w:hAnsi="Arial Narrow"/>
        </w:rPr>
      </w:pPr>
      <w:r w:rsidRPr="00C57ABA">
        <w:rPr>
          <w:rFonts w:ascii="Arial Narrow" w:eastAsiaTheme="minorHAnsi" w:hAnsi="Arial Narrow"/>
        </w:rPr>
        <w:t>Обвързано с производството подпомагане за овце и кози, включени в развъдни програми;</w:t>
      </w:r>
    </w:p>
    <w:p w14:paraId="766FDDA8" w14:textId="77777777" w:rsidR="00BA7C7F" w:rsidRPr="00C57ABA" w:rsidRDefault="00BA7C7F" w:rsidP="009C6577">
      <w:pPr>
        <w:pStyle w:val="ListParagraph"/>
        <w:numPr>
          <w:ilvl w:val="0"/>
          <w:numId w:val="52"/>
        </w:numPr>
        <w:tabs>
          <w:tab w:val="left" w:pos="1134"/>
        </w:tabs>
        <w:autoSpaceDE w:val="0"/>
        <w:autoSpaceDN w:val="0"/>
        <w:adjustRightInd w:val="0"/>
        <w:spacing w:after="120"/>
        <w:ind w:left="714" w:hanging="357"/>
        <w:contextualSpacing w:val="0"/>
        <w:jc w:val="both"/>
        <w:rPr>
          <w:rFonts w:ascii="Arial Narrow" w:eastAsiaTheme="minorHAnsi" w:hAnsi="Arial Narrow"/>
        </w:rPr>
      </w:pPr>
      <w:r w:rsidRPr="00C57ABA">
        <w:rPr>
          <w:rFonts w:ascii="Arial Narrow" w:eastAsiaTheme="minorHAnsi" w:hAnsi="Arial Narrow"/>
        </w:rPr>
        <w:t>Обвързано с производството подпомагане за овце и кози в планински райони;</w:t>
      </w:r>
    </w:p>
    <w:p w14:paraId="3C975F3B" w14:textId="77777777" w:rsidR="00BA7C7F" w:rsidRPr="00C57ABA" w:rsidRDefault="00BA7C7F" w:rsidP="009C6577">
      <w:pPr>
        <w:pStyle w:val="ListParagraph"/>
        <w:numPr>
          <w:ilvl w:val="0"/>
          <w:numId w:val="52"/>
        </w:numPr>
        <w:tabs>
          <w:tab w:val="left" w:pos="1134"/>
        </w:tabs>
        <w:autoSpaceDE w:val="0"/>
        <w:autoSpaceDN w:val="0"/>
        <w:adjustRightInd w:val="0"/>
        <w:spacing w:after="120"/>
        <w:ind w:left="714" w:hanging="357"/>
        <w:contextualSpacing w:val="0"/>
        <w:jc w:val="both"/>
        <w:rPr>
          <w:rFonts w:ascii="Arial Narrow" w:eastAsiaTheme="minorHAnsi" w:hAnsi="Arial Narrow"/>
        </w:rPr>
      </w:pPr>
      <w:r w:rsidRPr="00C57ABA">
        <w:rPr>
          <w:rFonts w:ascii="Arial Narrow" w:eastAsiaTheme="minorHAnsi" w:hAnsi="Arial Narrow"/>
        </w:rPr>
        <w:t>Обвързано с производството подпомагане за овце и кози от местни от изчезване породи;</w:t>
      </w:r>
    </w:p>
    <w:p w14:paraId="162D352D" w14:textId="77777777" w:rsidR="00BA7C7F" w:rsidRPr="00C57ABA" w:rsidRDefault="00BA7C7F" w:rsidP="009C6577">
      <w:pPr>
        <w:pStyle w:val="ListParagraph"/>
        <w:numPr>
          <w:ilvl w:val="0"/>
          <w:numId w:val="52"/>
        </w:numPr>
        <w:tabs>
          <w:tab w:val="left" w:pos="1134"/>
        </w:tabs>
        <w:autoSpaceDE w:val="0"/>
        <w:autoSpaceDN w:val="0"/>
        <w:adjustRightInd w:val="0"/>
        <w:spacing w:after="120"/>
        <w:ind w:left="714" w:hanging="357"/>
        <w:contextualSpacing w:val="0"/>
        <w:jc w:val="both"/>
        <w:rPr>
          <w:rFonts w:ascii="Arial Narrow" w:eastAsiaTheme="minorHAnsi" w:hAnsi="Arial Narrow"/>
        </w:rPr>
      </w:pPr>
      <w:r w:rsidRPr="00C57ABA">
        <w:rPr>
          <w:rFonts w:ascii="Arial Narrow" w:eastAsiaTheme="minorHAnsi" w:hAnsi="Arial Narrow"/>
        </w:rPr>
        <w:t>Обвързано с производството подпомагане на доходите за плодове;</w:t>
      </w:r>
    </w:p>
    <w:p w14:paraId="5F5DB18C" w14:textId="77777777" w:rsidR="00BA7C7F" w:rsidRPr="00C57ABA" w:rsidRDefault="00BA7C7F" w:rsidP="009C6577">
      <w:pPr>
        <w:pStyle w:val="ListParagraph"/>
        <w:numPr>
          <w:ilvl w:val="0"/>
          <w:numId w:val="52"/>
        </w:numPr>
        <w:tabs>
          <w:tab w:val="left" w:pos="1134"/>
        </w:tabs>
        <w:autoSpaceDE w:val="0"/>
        <w:autoSpaceDN w:val="0"/>
        <w:adjustRightInd w:val="0"/>
        <w:spacing w:after="120"/>
        <w:ind w:left="714" w:hanging="357"/>
        <w:contextualSpacing w:val="0"/>
        <w:jc w:val="both"/>
        <w:rPr>
          <w:rFonts w:ascii="Arial Narrow" w:eastAsiaTheme="minorHAnsi" w:hAnsi="Arial Narrow"/>
        </w:rPr>
      </w:pPr>
      <w:r w:rsidRPr="00C57ABA">
        <w:rPr>
          <w:rFonts w:ascii="Arial Narrow" w:eastAsiaTheme="minorHAnsi" w:hAnsi="Arial Narrow"/>
        </w:rPr>
        <w:t>Обвързано с производството подпомагане на доходите за плодови насаждения до встъпването им в плододаване;</w:t>
      </w:r>
    </w:p>
    <w:p w14:paraId="28713C86" w14:textId="77777777" w:rsidR="00BA7C7F" w:rsidRPr="00C57ABA" w:rsidRDefault="00BA7C7F" w:rsidP="009C6577">
      <w:pPr>
        <w:pStyle w:val="ListParagraph"/>
        <w:numPr>
          <w:ilvl w:val="0"/>
          <w:numId w:val="52"/>
        </w:numPr>
        <w:tabs>
          <w:tab w:val="left" w:pos="1134"/>
        </w:tabs>
        <w:autoSpaceDE w:val="0"/>
        <w:autoSpaceDN w:val="0"/>
        <w:adjustRightInd w:val="0"/>
        <w:spacing w:after="120"/>
        <w:ind w:left="714" w:hanging="357"/>
        <w:contextualSpacing w:val="0"/>
        <w:jc w:val="both"/>
        <w:rPr>
          <w:rFonts w:ascii="Arial Narrow" w:eastAsiaTheme="minorHAnsi" w:hAnsi="Arial Narrow"/>
        </w:rPr>
      </w:pPr>
      <w:r w:rsidRPr="00C57ABA">
        <w:rPr>
          <w:rFonts w:ascii="Arial Narrow" w:eastAsiaTheme="minorHAnsi" w:hAnsi="Arial Narrow"/>
        </w:rPr>
        <w:lastRenderedPageBreak/>
        <w:t>Обвързано с производството подпомагане на доходите за зеленчуци (домати, краставици, корнишони и патладжани);</w:t>
      </w:r>
    </w:p>
    <w:p w14:paraId="1B2BB367" w14:textId="77777777" w:rsidR="00BA7C7F" w:rsidRPr="00C57ABA" w:rsidRDefault="00BA7C7F" w:rsidP="009C6577">
      <w:pPr>
        <w:pStyle w:val="ListParagraph"/>
        <w:numPr>
          <w:ilvl w:val="0"/>
          <w:numId w:val="52"/>
        </w:numPr>
        <w:tabs>
          <w:tab w:val="left" w:pos="1134"/>
        </w:tabs>
        <w:autoSpaceDE w:val="0"/>
        <w:autoSpaceDN w:val="0"/>
        <w:adjustRightInd w:val="0"/>
        <w:spacing w:after="120"/>
        <w:ind w:left="714" w:hanging="357"/>
        <w:contextualSpacing w:val="0"/>
        <w:jc w:val="both"/>
        <w:rPr>
          <w:rFonts w:ascii="Arial Narrow" w:eastAsiaTheme="minorHAnsi" w:hAnsi="Arial Narrow"/>
        </w:rPr>
      </w:pPr>
      <w:r w:rsidRPr="00C57ABA">
        <w:rPr>
          <w:rFonts w:ascii="Arial Narrow" w:eastAsiaTheme="minorHAnsi" w:hAnsi="Arial Narrow"/>
        </w:rPr>
        <w:t>Обвързано производството подпомагане на доходите за зеленчуци (пипер);</w:t>
      </w:r>
    </w:p>
    <w:p w14:paraId="768E3E45" w14:textId="77777777" w:rsidR="00BA7C7F" w:rsidRPr="00C57ABA" w:rsidRDefault="00BA7C7F" w:rsidP="009C6577">
      <w:pPr>
        <w:pStyle w:val="ListParagraph"/>
        <w:numPr>
          <w:ilvl w:val="0"/>
          <w:numId w:val="52"/>
        </w:numPr>
        <w:tabs>
          <w:tab w:val="left" w:pos="1134"/>
        </w:tabs>
        <w:autoSpaceDE w:val="0"/>
        <w:autoSpaceDN w:val="0"/>
        <w:adjustRightInd w:val="0"/>
        <w:spacing w:after="120"/>
        <w:ind w:left="714" w:hanging="357"/>
        <w:contextualSpacing w:val="0"/>
        <w:jc w:val="both"/>
        <w:rPr>
          <w:rFonts w:ascii="Arial Narrow" w:eastAsiaTheme="minorHAnsi" w:hAnsi="Arial Narrow"/>
        </w:rPr>
      </w:pPr>
      <w:r w:rsidRPr="00C57ABA">
        <w:rPr>
          <w:rFonts w:ascii="Arial Narrow" w:eastAsiaTheme="minorHAnsi" w:hAnsi="Arial Narrow"/>
        </w:rPr>
        <w:t>Обвързано с производството подпомагане на доходите за зеленчуци (моркови, зеле, дини и пъпеши);</w:t>
      </w:r>
    </w:p>
    <w:p w14:paraId="49F7E4B0" w14:textId="77777777" w:rsidR="00BA7C7F" w:rsidRPr="00C57ABA" w:rsidRDefault="00BA7C7F" w:rsidP="009C6577">
      <w:pPr>
        <w:pStyle w:val="ListParagraph"/>
        <w:numPr>
          <w:ilvl w:val="0"/>
          <w:numId w:val="52"/>
        </w:numPr>
        <w:tabs>
          <w:tab w:val="left" w:pos="1134"/>
        </w:tabs>
        <w:autoSpaceDE w:val="0"/>
        <w:autoSpaceDN w:val="0"/>
        <w:adjustRightInd w:val="0"/>
        <w:spacing w:after="120"/>
        <w:ind w:left="714" w:hanging="357"/>
        <w:contextualSpacing w:val="0"/>
        <w:jc w:val="both"/>
        <w:rPr>
          <w:rFonts w:ascii="Arial Narrow" w:eastAsiaTheme="minorHAnsi" w:hAnsi="Arial Narrow"/>
        </w:rPr>
      </w:pPr>
      <w:r w:rsidRPr="00C57ABA">
        <w:rPr>
          <w:rFonts w:ascii="Arial Narrow" w:eastAsiaTheme="minorHAnsi" w:hAnsi="Arial Narrow"/>
        </w:rPr>
        <w:t>Обвързано с производството подпомагане на доходите за зеленчуци (лук и чесън);</w:t>
      </w:r>
    </w:p>
    <w:p w14:paraId="460D0516" w14:textId="77777777" w:rsidR="00BA7C7F" w:rsidRPr="00C57ABA" w:rsidRDefault="00BA7C7F" w:rsidP="009C6577">
      <w:pPr>
        <w:pStyle w:val="ListParagraph"/>
        <w:numPr>
          <w:ilvl w:val="0"/>
          <w:numId w:val="52"/>
        </w:numPr>
        <w:tabs>
          <w:tab w:val="left" w:pos="1134"/>
        </w:tabs>
        <w:autoSpaceDE w:val="0"/>
        <w:autoSpaceDN w:val="0"/>
        <w:adjustRightInd w:val="0"/>
        <w:spacing w:after="120"/>
        <w:ind w:left="714" w:hanging="357"/>
        <w:contextualSpacing w:val="0"/>
        <w:jc w:val="both"/>
        <w:rPr>
          <w:rFonts w:ascii="Arial Narrow" w:eastAsiaTheme="minorHAnsi" w:hAnsi="Arial Narrow"/>
        </w:rPr>
      </w:pPr>
      <w:r w:rsidRPr="00C57ABA">
        <w:rPr>
          <w:rFonts w:ascii="Arial Narrow" w:eastAsiaTheme="minorHAnsi" w:hAnsi="Arial Narrow"/>
        </w:rPr>
        <w:t>Обвързано с производството подпомагане на доходите за производство на семена от картофи;</w:t>
      </w:r>
    </w:p>
    <w:p w14:paraId="7C88EBF7" w14:textId="77777777" w:rsidR="00BA7C7F" w:rsidRPr="00C57ABA" w:rsidRDefault="00BA7C7F" w:rsidP="009C6577">
      <w:pPr>
        <w:pStyle w:val="ListParagraph"/>
        <w:numPr>
          <w:ilvl w:val="0"/>
          <w:numId w:val="52"/>
        </w:numPr>
        <w:tabs>
          <w:tab w:val="left" w:pos="1134"/>
        </w:tabs>
        <w:autoSpaceDE w:val="0"/>
        <w:autoSpaceDN w:val="0"/>
        <w:adjustRightInd w:val="0"/>
        <w:spacing w:after="120"/>
        <w:ind w:left="714" w:hanging="357"/>
        <w:contextualSpacing w:val="0"/>
        <w:jc w:val="both"/>
        <w:rPr>
          <w:rFonts w:ascii="Arial Narrow" w:eastAsiaTheme="minorHAnsi" w:hAnsi="Arial Narrow"/>
        </w:rPr>
      </w:pPr>
      <w:r w:rsidRPr="00C57ABA">
        <w:rPr>
          <w:rFonts w:ascii="Arial Narrow" w:eastAsiaTheme="minorHAnsi" w:hAnsi="Arial Narrow"/>
        </w:rPr>
        <w:t>Обвързано с производството подпомагане на доходите за оранжерийно производство;</w:t>
      </w:r>
    </w:p>
    <w:p w14:paraId="2BD14DCE" w14:textId="77777777" w:rsidR="00BA7C7F" w:rsidRPr="00C57ABA" w:rsidRDefault="00BA7C7F" w:rsidP="009C6577">
      <w:pPr>
        <w:pStyle w:val="ListParagraph"/>
        <w:numPr>
          <w:ilvl w:val="0"/>
          <w:numId w:val="52"/>
        </w:numPr>
        <w:tabs>
          <w:tab w:val="left" w:pos="1134"/>
        </w:tabs>
        <w:autoSpaceDE w:val="0"/>
        <w:autoSpaceDN w:val="0"/>
        <w:adjustRightInd w:val="0"/>
        <w:spacing w:after="120"/>
        <w:ind w:left="714" w:hanging="357"/>
        <w:contextualSpacing w:val="0"/>
        <w:jc w:val="both"/>
        <w:rPr>
          <w:rFonts w:ascii="Arial Narrow" w:eastAsiaTheme="minorHAnsi" w:hAnsi="Arial Narrow"/>
        </w:rPr>
      </w:pPr>
      <w:r w:rsidRPr="00C57ABA">
        <w:rPr>
          <w:rFonts w:ascii="Arial Narrow" w:eastAsiaTheme="minorHAnsi" w:hAnsi="Arial Narrow"/>
        </w:rPr>
        <w:t>Обвързано производството подпомагане на доходите за плодове и зеленчуци в планинските райони;</w:t>
      </w:r>
    </w:p>
    <w:p w14:paraId="17A2A10B" w14:textId="77777777" w:rsidR="00BA7C7F" w:rsidRPr="00C57ABA" w:rsidRDefault="00BA7C7F" w:rsidP="009C6577">
      <w:pPr>
        <w:pStyle w:val="ListParagraph"/>
        <w:numPr>
          <w:ilvl w:val="0"/>
          <w:numId w:val="52"/>
        </w:numPr>
        <w:tabs>
          <w:tab w:val="left" w:pos="1134"/>
        </w:tabs>
        <w:autoSpaceDE w:val="0"/>
        <w:autoSpaceDN w:val="0"/>
        <w:adjustRightInd w:val="0"/>
        <w:spacing w:after="120"/>
        <w:ind w:left="714" w:hanging="357"/>
        <w:contextualSpacing w:val="0"/>
        <w:jc w:val="both"/>
        <w:rPr>
          <w:rFonts w:ascii="Arial Narrow" w:eastAsiaTheme="minorHAnsi" w:hAnsi="Arial Narrow"/>
        </w:rPr>
      </w:pPr>
      <w:r w:rsidRPr="00C57ABA">
        <w:rPr>
          <w:rFonts w:ascii="Arial Narrow" w:eastAsiaTheme="minorHAnsi" w:hAnsi="Arial Narrow"/>
        </w:rPr>
        <w:t>Обвързано с производството подпомагане на доходите за протеинови култури;</w:t>
      </w:r>
    </w:p>
    <w:p w14:paraId="5508E83B" w14:textId="77777777" w:rsidR="00BA7C7F" w:rsidRPr="00C57ABA" w:rsidRDefault="00BA7C7F" w:rsidP="009C6577">
      <w:pPr>
        <w:pStyle w:val="ListParagraph"/>
        <w:numPr>
          <w:ilvl w:val="0"/>
          <w:numId w:val="52"/>
        </w:numPr>
        <w:tabs>
          <w:tab w:val="left" w:pos="1134"/>
        </w:tabs>
        <w:autoSpaceDE w:val="0"/>
        <w:autoSpaceDN w:val="0"/>
        <w:adjustRightInd w:val="0"/>
        <w:spacing w:after="120"/>
        <w:ind w:left="714" w:hanging="357"/>
        <w:contextualSpacing w:val="0"/>
        <w:jc w:val="both"/>
        <w:rPr>
          <w:rFonts w:ascii="Arial Narrow" w:eastAsiaTheme="minorHAnsi" w:hAnsi="Arial Narrow"/>
        </w:rPr>
      </w:pPr>
      <w:r w:rsidRPr="00C57ABA">
        <w:rPr>
          <w:rFonts w:ascii="Arial Narrow" w:eastAsiaTheme="minorHAnsi" w:hAnsi="Arial Narrow"/>
        </w:rPr>
        <w:t>Специално плащане за култура - памук;</w:t>
      </w:r>
    </w:p>
    <w:p w14:paraId="51C1F2FA" w14:textId="77777777" w:rsidR="00BA7C7F" w:rsidRPr="00C57ABA" w:rsidRDefault="00BA7C7F" w:rsidP="009C6577">
      <w:pPr>
        <w:pStyle w:val="ListParagraph"/>
        <w:numPr>
          <w:ilvl w:val="0"/>
          <w:numId w:val="52"/>
        </w:numPr>
        <w:tabs>
          <w:tab w:val="left" w:pos="1134"/>
        </w:tabs>
        <w:autoSpaceDE w:val="0"/>
        <w:autoSpaceDN w:val="0"/>
        <w:adjustRightInd w:val="0"/>
        <w:spacing w:after="120"/>
        <w:ind w:left="714" w:hanging="357"/>
        <w:contextualSpacing w:val="0"/>
        <w:jc w:val="both"/>
        <w:rPr>
          <w:rFonts w:ascii="Arial Narrow" w:eastAsiaTheme="minorHAnsi" w:hAnsi="Arial Narrow"/>
        </w:rPr>
      </w:pPr>
      <w:r w:rsidRPr="00C57ABA">
        <w:rPr>
          <w:rFonts w:ascii="Arial Narrow" w:eastAsiaTheme="minorHAnsi" w:hAnsi="Arial Narrow"/>
        </w:rPr>
        <w:t>Преходна национална помощ за говеда - необвързана с производството;</w:t>
      </w:r>
    </w:p>
    <w:p w14:paraId="18934EF8" w14:textId="77777777" w:rsidR="00BA7C7F" w:rsidRPr="00C57ABA" w:rsidRDefault="00BA7C7F" w:rsidP="009C6577">
      <w:pPr>
        <w:pStyle w:val="ListParagraph"/>
        <w:numPr>
          <w:ilvl w:val="0"/>
          <w:numId w:val="52"/>
        </w:numPr>
        <w:tabs>
          <w:tab w:val="left" w:pos="1134"/>
        </w:tabs>
        <w:autoSpaceDE w:val="0"/>
        <w:autoSpaceDN w:val="0"/>
        <w:adjustRightInd w:val="0"/>
        <w:spacing w:after="120"/>
        <w:ind w:left="714" w:hanging="357"/>
        <w:contextualSpacing w:val="0"/>
        <w:jc w:val="both"/>
        <w:rPr>
          <w:rFonts w:ascii="Arial Narrow" w:eastAsiaTheme="minorHAnsi" w:hAnsi="Arial Narrow"/>
        </w:rPr>
      </w:pPr>
      <w:r>
        <w:rPr>
          <w:rFonts w:ascii="Arial Narrow" w:eastAsiaTheme="minorHAnsi" w:hAnsi="Arial Narrow"/>
        </w:rPr>
        <w:t>П</w:t>
      </w:r>
      <w:r w:rsidRPr="00C57ABA">
        <w:rPr>
          <w:rFonts w:ascii="Arial Narrow" w:eastAsiaTheme="minorHAnsi" w:hAnsi="Arial Narrow"/>
        </w:rPr>
        <w:t>реходна национална помощ за овце-майки и/или кози-майки, обвързана с производството;</w:t>
      </w:r>
    </w:p>
    <w:p w14:paraId="66493404" w14:textId="77777777" w:rsidR="00BA7C7F" w:rsidRPr="00C57ABA" w:rsidRDefault="00BA7C7F" w:rsidP="009C6577">
      <w:pPr>
        <w:pStyle w:val="ListParagraph"/>
        <w:numPr>
          <w:ilvl w:val="0"/>
          <w:numId w:val="52"/>
        </w:numPr>
        <w:tabs>
          <w:tab w:val="left" w:pos="1134"/>
        </w:tabs>
        <w:autoSpaceDE w:val="0"/>
        <w:autoSpaceDN w:val="0"/>
        <w:adjustRightInd w:val="0"/>
        <w:spacing w:after="120"/>
        <w:ind w:left="714" w:hanging="357"/>
        <w:contextualSpacing w:val="0"/>
        <w:jc w:val="both"/>
        <w:rPr>
          <w:rFonts w:ascii="Arial Narrow" w:eastAsiaTheme="minorHAnsi" w:hAnsi="Arial Narrow"/>
        </w:rPr>
      </w:pPr>
      <w:r w:rsidRPr="00C57ABA">
        <w:rPr>
          <w:rFonts w:ascii="Arial Narrow" w:eastAsiaTheme="minorHAnsi" w:hAnsi="Arial Narrow"/>
        </w:rPr>
        <w:t>Преходна национална помощ за тютюн, необвързана с производството.</w:t>
      </w:r>
    </w:p>
    <w:p w14:paraId="215D78F0" w14:textId="77777777" w:rsidR="00BA7C7F" w:rsidRDefault="00BA7C7F" w:rsidP="00BA7C7F">
      <w:pPr>
        <w:autoSpaceDE w:val="0"/>
        <w:autoSpaceDN w:val="0"/>
        <w:adjustRightInd w:val="0"/>
        <w:spacing w:after="120"/>
        <w:ind w:firstLine="708"/>
        <w:jc w:val="both"/>
        <w:rPr>
          <w:rFonts w:ascii="Arial Narrow" w:eastAsiaTheme="minorHAnsi" w:hAnsi="Arial Narrow"/>
        </w:rPr>
      </w:pPr>
      <w:r w:rsidRPr="00C57ABA">
        <w:rPr>
          <w:rFonts w:ascii="Arial Narrow" w:eastAsiaTheme="minorHAnsi" w:hAnsi="Arial Narrow"/>
        </w:rPr>
        <w:t>Общо по всички интервенции са постъпили 63 198 заявления за подпомагане</w:t>
      </w:r>
      <w:r>
        <w:rPr>
          <w:rFonts w:ascii="Arial Narrow" w:eastAsiaTheme="minorHAnsi" w:hAnsi="Arial Narrow"/>
        </w:rPr>
        <w:t xml:space="preserve">, а заявената за подпомагане площ е </w:t>
      </w:r>
      <w:r w:rsidRPr="0069680C">
        <w:rPr>
          <w:rFonts w:ascii="Arial Narrow" w:eastAsiaTheme="minorHAnsi" w:hAnsi="Arial Narrow"/>
        </w:rPr>
        <w:t>3 867 028 ха</w:t>
      </w:r>
      <w:r w:rsidRPr="00C57ABA">
        <w:rPr>
          <w:rFonts w:ascii="Arial Narrow" w:eastAsiaTheme="minorHAnsi" w:hAnsi="Arial Narrow"/>
        </w:rPr>
        <w:t xml:space="preserve">. </w:t>
      </w:r>
    </w:p>
    <w:p w14:paraId="19F54FDA" w14:textId="77777777" w:rsidR="00BA7C7F" w:rsidRPr="00C57ABA" w:rsidRDefault="00BA7C7F" w:rsidP="00BA7C7F">
      <w:pPr>
        <w:autoSpaceDE w:val="0"/>
        <w:autoSpaceDN w:val="0"/>
        <w:adjustRightInd w:val="0"/>
        <w:spacing w:after="120"/>
        <w:ind w:firstLine="709"/>
        <w:jc w:val="both"/>
        <w:rPr>
          <w:rFonts w:ascii="Arial Narrow" w:eastAsiaTheme="minorHAnsi" w:hAnsi="Arial Narrow"/>
        </w:rPr>
      </w:pPr>
      <w:r w:rsidRPr="00C57ABA">
        <w:rPr>
          <w:rFonts w:ascii="Arial Narrow" w:eastAsiaTheme="minorHAnsi" w:hAnsi="Arial Narrow"/>
        </w:rPr>
        <w:t>Плащанията за Кампания `2024 стартираха през м. октомври 2024 г. с изплащането на субсидии по интервенцията за преходна национална помощ за говеда, необвързана с производството. През месец ноември 2024 г. е извършена оторизация по интервенцията за преходна национална помощ за овце-майки и/или кози</w:t>
      </w:r>
      <w:r>
        <w:rPr>
          <w:rFonts w:ascii="Arial Narrow" w:eastAsiaTheme="minorHAnsi" w:hAnsi="Arial Narrow"/>
        </w:rPr>
        <w:t>-</w:t>
      </w:r>
      <w:r w:rsidRPr="00C57ABA">
        <w:rPr>
          <w:rFonts w:ascii="Arial Narrow" w:eastAsiaTheme="minorHAnsi" w:hAnsi="Arial Narrow"/>
        </w:rPr>
        <w:t>майки, обвързана с производство, а през м. декември същата година са изплатени средства по интервенцията за основно подпомагане на доходите за устойчивост и интервенциите за обвързано подпомагане в сектора на животновъдството.</w:t>
      </w:r>
    </w:p>
    <w:p w14:paraId="73052EAA" w14:textId="77777777" w:rsidR="004D7FB3" w:rsidRPr="00C57ABA" w:rsidRDefault="004D7FB3" w:rsidP="004D7FB3">
      <w:pPr>
        <w:spacing w:after="120"/>
        <w:rPr>
          <w:rFonts w:ascii="Arial Narrow" w:eastAsia="Calibri" w:hAnsi="Arial Narrow"/>
          <w:b/>
          <w:bCs/>
        </w:rPr>
      </w:pPr>
      <w:r w:rsidRPr="00C57ABA">
        <w:rPr>
          <w:rFonts w:ascii="Arial Narrow" w:eastAsia="Calibri" w:hAnsi="Arial Narrow"/>
          <w:b/>
          <w:bCs/>
        </w:rPr>
        <w:t xml:space="preserve">Таблица </w:t>
      </w:r>
      <w:r>
        <w:rPr>
          <w:rFonts w:ascii="Arial Narrow" w:hAnsi="Arial Narrow" w:cs="Arial Narrow"/>
          <w:b/>
          <w:bCs/>
          <w:lang w:val="bg-BG"/>
        </w:rPr>
        <w:t>ІV.2.</w:t>
      </w:r>
      <w:r w:rsidRPr="00C57ABA">
        <w:rPr>
          <w:rFonts w:ascii="Arial Narrow" w:eastAsia="Calibri" w:hAnsi="Arial Narrow"/>
          <w:b/>
          <w:bCs/>
        </w:rPr>
        <w:t xml:space="preserve"> Оторизирани средства за Кампания `2023 през календарната 2024 г.</w:t>
      </w:r>
    </w:p>
    <w:tbl>
      <w:tblPr>
        <w:tblW w:w="9781" w:type="dxa"/>
        <w:tblInd w:w="70" w:type="dxa"/>
        <w:tblCellMar>
          <w:left w:w="70" w:type="dxa"/>
          <w:right w:w="70" w:type="dxa"/>
        </w:tblCellMar>
        <w:tblLook w:val="04A0" w:firstRow="1" w:lastRow="0" w:firstColumn="1" w:lastColumn="0" w:noHBand="0" w:noVBand="1"/>
      </w:tblPr>
      <w:tblGrid>
        <w:gridCol w:w="1729"/>
        <w:gridCol w:w="1734"/>
        <w:gridCol w:w="1591"/>
        <w:gridCol w:w="1156"/>
        <w:gridCol w:w="1156"/>
        <w:gridCol w:w="868"/>
        <w:gridCol w:w="1547"/>
      </w:tblGrid>
      <w:tr w:rsidR="00A50A67" w:rsidRPr="004D7FB3" w14:paraId="5B08D52F" w14:textId="77777777" w:rsidTr="008B7C13">
        <w:trPr>
          <w:trHeight w:val="265"/>
        </w:trPr>
        <w:tc>
          <w:tcPr>
            <w:tcW w:w="172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8DC331C" w14:textId="77777777" w:rsidR="00A50A67" w:rsidRPr="004D7FB3" w:rsidRDefault="00A50A67" w:rsidP="006F0A56">
            <w:pPr>
              <w:jc w:val="center"/>
              <w:rPr>
                <w:rFonts w:ascii="Arial Narrow" w:hAnsi="Arial Narrow" w:cstheme="minorBidi"/>
                <w:b/>
                <w:bCs/>
                <w:sz w:val="20"/>
                <w:szCs w:val="20"/>
              </w:rPr>
            </w:pPr>
            <w:r w:rsidRPr="004D7FB3">
              <w:rPr>
                <w:rFonts w:ascii="Arial Narrow" w:hAnsi="Arial Narrow" w:cstheme="minorBidi"/>
                <w:b/>
                <w:bCs/>
                <w:sz w:val="20"/>
                <w:szCs w:val="20"/>
              </w:rPr>
              <w:t>Интервенция</w:t>
            </w:r>
          </w:p>
        </w:tc>
        <w:tc>
          <w:tcPr>
            <w:tcW w:w="1734" w:type="dxa"/>
            <w:vMerge w:val="restart"/>
            <w:tcBorders>
              <w:top w:val="single" w:sz="4" w:space="0" w:color="auto"/>
              <w:left w:val="nil"/>
              <w:right w:val="single" w:sz="4" w:space="0" w:color="auto"/>
            </w:tcBorders>
            <w:shd w:val="clear" w:color="auto" w:fill="auto"/>
            <w:vAlign w:val="center"/>
            <w:hideMark/>
          </w:tcPr>
          <w:p w14:paraId="22A17CAF" w14:textId="77777777" w:rsidR="00A50A67" w:rsidRPr="004D7FB3" w:rsidRDefault="00A50A67" w:rsidP="006F0A56">
            <w:pPr>
              <w:jc w:val="center"/>
              <w:rPr>
                <w:rFonts w:ascii="Arial Narrow" w:hAnsi="Arial Narrow" w:cstheme="minorBidi"/>
                <w:b/>
                <w:bCs/>
                <w:sz w:val="20"/>
                <w:szCs w:val="20"/>
              </w:rPr>
            </w:pPr>
            <w:r>
              <w:rPr>
                <w:rFonts w:ascii="Arial Narrow" w:hAnsi="Arial Narrow" w:cstheme="minorBidi"/>
                <w:b/>
                <w:bCs/>
                <w:sz w:val="20"/>
                <w:szCs w:val="20"/>
              </w:rPr>
              <w:t>Брой подадени заявления</w:t>
            </w:r>
          </w:p>
        </w:tc>
        <w:tc>
          <w:tcPr>
            <w:tcW w:w="1591" w:type="dxa"/>
            <w:vMerge w:val="restart"/>
            <w:tcBorders>
              <w:top w:val="single" w:sz="4" w:space="0" w:color="auto"/>
              <w:left w:val="nil"/>
              <w:right w:val="single" w:sz="4" w:space="0" w:color="auto"/>
            </w:tcBorders>
            <w:shd w:val="clear" w:color="auto" w:fill="auto"/>
            <w:vAlign w:val="center"/>
            <w:hideMark/>
          </w:tcPr>
          <w:p w14:paraId="2839124D" w14:textId="77777777" w:rsidR="00A50A67" w:rsidRPr="004D7FB3" w:rsidRDefault="00A50A67" w:rsidP="006F0A56">
            <w:pPr>
              <w:jc w:val="center"/>
              <w:rPr>
                <w:rFonts w:ascii="Arial Narrow" w:hAnsi="Arial Narrow" w:cstheme="minorBidi"/>
                <w:b/>
                <w:bCs/>
                <w:sz w:val="20"/>
                <w:szCs w:val="20"/>
              </w:rPr>
            </w:pPr>
            <w:r w:rsidRPr="004D7FB3">
              <w:rPr>
                <w:rFonts w:ascii="Arial Narrow" w:hAnsi="Arial Narrow" w:cstheme="minorBidi"/>
                <w:b/>
                <w:bCs/>
                <w:sz w:val="20"/>
                <w:szCs w:val="20"/>
              </w:rPr>
              <w:t>Брой заявления с оторизирани плащания</w:t>
            </w:r>
          </w:p>
        </w:tc>
        <w:tc>
          <w:tcPr>
            <w:tcW w:w="3180" w:type="dxa"/>
            <w:gridSpan w:val="3"/>
            <w:tcBorders>
              <w:top w:val="single" w:sz="4" w:space="0" w:color="auto"/>
              <w:left w:val="nil"/>
              <w:bottom w:val="single" w:sz="4" w:space="0" w:color="auto"/>
              <w:right w:val="single" w:sz="4" w:space="0" w:color="auto"/>
            </w:tcBorders>
            <w:shd w:val="clear" w:color="auto" w:fill="auto"/>
            <w:vAlign w:val="center"/>
            <w:hideMark/>
          </w:tcPr>
          <w:p w14:paraId="307FEDD0" w14:textId="77777777" w:rsidR="00A50A67" w:rsidRPr="004D7FB3" w:rsidRDefault="00A50A67" w:rsidP="006F0A56">
            <w:pPr>
              <w:jc w:val="center"/>
              <w:rPr>
                <w:rFonts w:ascii="Arial Narrow" w:hAnsi="Arial Narrow" w:cstheme="minorBidi"/>
                <w:b/>
                <w:bCs/>
                <w:sz w:val="20"/>
                <w:szCs w:val="20"/>
              </w:rPr>
            </w:pPr>
            <w:r w:rsidRPr="004D7FB3">
              <w:rPr>
                <w:rFonts w:ascii="Arial Narrow" w:hAnsi="Arial Narrow" w:cstheme="minorBidi"/>
                <w:b/>
                <w:bCs/>
                <w:sz w:val="20"/>
                <w:szCs w:val="20"/>
              </w:rPr>
              <w:t>Процентно разпределение на бюджета (%)</w:t>
            </w:r>
          </w:p>
        </w:tc>
        <w:tc>
          <w:tcPr>
            <w:tcW w:w="154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6D3163C" w14:textId="77777777" w:rsidR="00A50A67" w:rsidRPr="004D7FB3" w:rsidRDefault="00A50A67" w:rsidP="006F0A56">
            <w:pPr>
              <w:jc w:val="center"/>
              <w:rPr>
                <w:rFonts w:ascii="Arial Narrow" w:hAnsi="Arial Narrow" w:cstheme="minorBidi"/>
                <w:b/>
                <w:bCs/>
                <w:sz w:val="20"/>
                <w:szCs w:val="20"/>
              </w:rPr>
            </w:pPr>
            <w:r w:rsidRPr="004D7FB3">
              <w:rPr>
                <w:rFonts w:ascii="Arial Narrow" w:hAnsi="Arial Narrow" w:cstheme="minorBidi"/>
                <w:b/>
                <w:bCs/>
                <w:sz w:val="20"/>
                <w:szCs w:val="20"/>
              </w:rPr>
              <w:t>Оторизирани плащания (лв.)</w:t>
            </w:r>
          </w:p>
        </w:tc>
      </w:tr>
      <w:tr w:rsidR="00A50A67" w:rsidRPr="004D7FB3" w14:paraId="5BBE880E" w14:textId="77777777" w:rsidTr="008B7C13">
        <w:trPr>
          <w:trHeight w:val="317"/>
        </w:trPr>
        <w:tc>
          <w:tcPr>
            <w:tcW w:w="1729" w:type="dxa"/>
            <w:vMerge/>
            <w:tcBorders>
              <w:top w:val="single" w:sz="4" w:space="0" w:color="auto"/>
              <w:left w:val="single" w:sz="4" w:space="0" w:color="auto"/>
              <w:bottom w:val="single" w:sz="4" w:space="0" w:color="auto"/>
              <w:right w:val="single" w:sz="4" w:space="0" w:color="auto"/>
            </w:tcBorders>
            <w:shd w:val="clear" w:color="auto" w:fill="B7B7B7" w:themeFill="accent6" w:themeFillTint="66"/>
            <w:vAlign w:val="center"/>
            <w:hideMark/>
          </w:tcPr>
          <w:p w14:paraId="7CE760A9" w14:textId="77777777" w:rsidR="00A50A67" w:rsidRPr="004D7FB3" w:rsidRDefault="00A50A67" w:rsidP="006F0A56">
            <w:pPr>
              <w:rPr>
                <w:rFonts w:ascii="Arial Narrow" w:hAnsi="Arial Narrow"/>
                <w:bCs/>
                <w:sz w:val="20"/>
                <w:szCs w:val="20"/>
                <w:lang w:eastAsia="bg-BG"/>
              </w:rPr>
            </w:pPr>
          </w:p>
        </w:tc>
        <w:tc>
          <w:tcPr>
            <w:tcW w:w="1734" w:type="dxa"/>
            <w:vMerge/>
            <w:tcBorders>
              <w:left w:val="nil"/>
              <w:bottom w:val="single" w:sz="4" w:space="0" w:color="auto"/>
              <w:right w:val="single" w:sz="4" w:space="0" w:color="auto"/>
            </w:tcBorders>
            <w:shd w:val="clear" w:color="auto" w:fill="auto"/>
            <w:vAlign w:val="center"/>
            <w:hideMark/>
          </w:tcPr>
          <w:p w14:paraId="53742582" w14:textId="77777777" w:rsidR="00A50A67" w:rsidRPr="004D7FB3" w:rsidRDefault="00A50A67" w:rsidP="004D7FB3">
            <w:pPr>
              <w:rPr>
                <w:rFonts w:ascii="Arial Narrow" w:hAnsi="Arial Narrow"/>
                <w:bCs/>
                <w:sz w:val="20"/>
                <w:szCs w:val="20"/>
                <w:lang w:eastAsia="bg-BG"/>
              </w:rPr>
            </w:pPr>
          </w:p>
        </w:tc>
        <w:tc>
          <w:tcPr>
            <w:tcW w:w="1591" w:type="dxa"/>
            <w:vMerge/>
            <w:tcBorders>
              <w:left w:val="nil"/>
              <w:bottom w:val="single" w:sz="4" w:space="0" w:color="auto"/>
              <w:right w:val="single" w:sz="4" w:space="0" w:color="auto"/>
            </w:tcBorders>
            <w:shd w:val="clear" w:color="auto" w:fill="auto"/>
            <w:vAlign w:val="center"/>
            <w:hideMark/>
          </w:tcPr>
          <w:p w14:paraId="29CFDEA5" w14:textId="77777777" w:rsidR="00A50A67" w:rsidRPr="004D7FB3" w:rsidRDefault="00A50A67" w:rsidP="004D7FB3">
            <w:pPr>
              <w:rPr>
                <w:rFonts w:ascii="Arial Narrow" w:hAnsi="Arial Narrow"/>
                <w:bCs/>
                <w:sz w:val="20"/>
                <w:szCs w:val="20"/>
                <w:lang w:val="bg-BG" w:eastAsia="bg-BG"/>
              </w:rPr>
            </w:pPr>
          </w:p>
        </w:tc>
        <w:tc>
          <w:tcPr>
            <w:tcW w:w="1156" w:type="dxa"/>
            <w:tcBorders>
              <w:top w:val="nil"/>
              <w:left w:val="nil"/>
              <w:bottom w:val="single" w:sz="4" w:space="0" w:color="auto"/>
              <w:right w:val="single" w:sz="4" w:space="0" w:color="auto"/>
            </w:tcBorders>
            <w:shd w:val="clear" w:color="auto" w:fill="auto"/>
            <w:vAlign w:val="center"/>
            <w:hideMark/>
          </w:tcPr>
          <w:p w14:paraId="269D216E" w14:textId="77777777" w:rsidR="00A50A67" w:rsidRPr="004D7FB3" w:rsidRDefault="00A50A67" w:rsidP="006F0A56">
            <w:pPr>
              <w:jc w:val="center"/>
              <w:rPr>
                <w:rFonts w:ascii="Arial Narrow" w:hAnsi="Arial Narrow" w:cstheme="minorBidi"/>
                <w:b/>
                <w:bCs/>
                <w:sz w:val="20"/>
                <w:szCs w:val="20"/>
              </w:rPr>
            </w:pPr>
            <w:r w:rsidRPr="004D7FB3">
              <w:rPr>
                <w:rFonts w:ascii="Arial Narrow" w:hAnsi="Arial Narrow" w:cstheme="minorBidi"/>
                <w:b/>
                <w:bCs/>
                <w:sz w:val="20"/>
                <w:szCs w:val="20"/>
              </w:rPr>
              <w:t>ЕЗФГЗ</w:t>
            </w:r>
          </w:p>
        </w:tc>
        <w:tc>
          <w:tcPr>
            <w:tcW w:w="1156" w:type="dxa"/>
            <w:tcBorders>
              <w:top w:val="nil"/>
              <w:left w:val="nil"/>
              <w:bottom w:val="single" w:sz="4" w:space="0" w:color="auto"/>
              <w:right w:val="single" w:sz="4" w:space="0" w:color="auto"/>
            </w:tcBorders>
            <w:shd w:val="clear" w:color="auto" w:fill="auto"/>
            <w:vAlign w:val="center"/>
            <w:hideMark/>
          </w:tcPr>
          <w:p w14:paraId="7518495B" w14:textId="77777777" w:rsidR="00A50A67" w:rsidRPr="004D7FB3" w:rsidRDefault="00A50A67" w:rsidP="006F0A56">
            <w:pPr>
              <w:jc w:val="center"/>
              <w:rPr>
                <w:rFonts w:ascii="Arial Narrow" w:hAnsi="Arial Narrow" w:cstheme="minorBidi"/>
                <w:b/>
                <w:bCs/>
                <w:sz w:val="20"/>
                <w:szCs w:val="20"/>
              </w:rPr>
            </w:pPr>
            <w:r w:rsidRPr="004D7FB3">
              <w:rPr>
                <w:rFonts w:ascii="Arial Narrow" w:hAnsi="Arial Narrow" w:cstheme="minorBidi"/>
                <w:b/>
                <w:bCs/>
                <w:sz w:val="20"/>
                <w:szCs w:val="20"/>
              </w:rPr>
              <w:t>ЕЗФРСР</w:t>
            </w:r>
          </w:p>
        </w:tc>
        <w:tc>
          <w:tcPr>
            <w:tcW w:w="868" w:type="dxa"/>
            <w:tcBorders>
              <w:top w:val="nil"/>
              <w:left w:val="nil"/>
              <w:bottom w:val="single" w:sz="4" w:space="0" w:color="auto"/>
              <w:right w:val="single" w:sz="4" w:space="0" w:color="auto"/>
            </w:tcBorders>
            <w:shd w:val="clear" w:color="auto" w:fill="auto"/>
            <w:vAlign w:val="center"/>
            <w:hideMark/>
          </w:tcPr>
          <w:p w14:paraId="3FC32471" w14:textId="77777777" w:rsidR="00A50A67" w:rsidRPr="004D7FB3" w:rsidRDefault="00A50A67" w:rsidP="006F0A56">
            <w:pPr>
              <w:jc w:val="center"/>
              <w:rPr>
                <w:rFonts w:ascii="Arial Narrow" w:hAnsi="Arial Narrow" w:cstheme="minorBidi"/>
                <w:b/>
                <w:bCs/>
                <w:sz w:val="20"/>
                <w:szCs w:val="20"/>
              </w:rPr>
            </w:pPr>
            <w:r w:rsidRPr="004D7FB3">
              <w:rPr>
                <w:rFonts w:ascii="Arial Narrow" w:hAnsi="Arial Narrow" w:cstheme="minorBidi"/>
                <w:b/>
                <w:bCs/>
                <w:sz w:val="20"/>
                <w:szCs w:val="20"/>
              </w:rPr>
              <w:t>НБ</w:t>
            </w:r>
          </w:p>
        </w:tc>
        <w:tc>
          <w:tcPr>
            <w:tcW w:w="154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C59CA9C" w14:textId="77777777" w:rsidR="00A50A67" w:rsidRPr="004D7FB3" w:rsidRDefault="00A50A67" w:rsidP="006F0A56">
            <w:pPr>
              <w:rPr>
                <w:rFonts w:ascii="Arial Narrow" w:hAnsi="Arial Narrow"/>
                <w:bCs/>
                <w:sz w:val="20"/>
                <w:szCs w:val="20"/>
                <w:lang w:eastAsia="bg-BG"/>
              </w:rPr>
            </w:pPr>
          </w:p>
        </w:tc>
      </w:tr>
      <w:tr w:rsidR="004D7FB3" w:rsidRPr="004D7FB3" w14:paraId="4073AC14" w14:textId="77777777" w:rsidTr="008B7C13">
        <w:trPr>
          <w:trHeight w:val="265"/>
        </w:trPr>
        <w:tc>
          <w:tcPr>
            <w:tcW w:w="1729" w:type="dxa"/>
            <w:tcBorders>
              <w:top w:val="nil"/>
              <w:left w:val="single" w:sz="4" w:space="0" w:color="auto"/>
              <w:bottom w:val="single" w:sz="4" w:space="0" w:color="auto"/>
              <w:right w:val="single" w:sz="4" w:space="0" w:color="auto"/>
            </w:tcBorders>
            <w:shd w:val="clear" w:color="auto" w:fill="auto"/>
            <w:noWrap/>
            <w:vAlign w:val="center"/>
            <w:hideMark/>
          </w:tcPr>
          <w:p w14:paraId="37766292" w14:textId="77777777" w:rsidR="004D7FB3" w:rsidRPr="004D7FB3" w:rsidRDefault="004D7FB3" w:rsidP="004D7FB3">
            <w:pPr>
              <w:rPr>
                <w:rFonts w:ascii="Arial Narrow" w:hAnsi="Arial Narrow"/>
                <w:b/>
                <w:sz w:val="20"/>
                <w:szCs w:val="20"/>
                <w:lang w:eastAsia="bg-BG"/>
              </w:rPr>
            </w:pPr>
            <w:r w:rsidRPr="004D7FB3">
              <w:rPr>
                <w:rFonts w:ascii="Arial Narrow" w:hAnsi="Arial Narrow"/>
                <w:sz w:val="20"/>
                <w:szCs w:val="20"/>
                <w:lang w:eastAsia="bg-BG"/>
              </w:rPr>
              <w:t>ОПДУ</w:t>
            </w:r>
          </w:p>
        </w:tc>
        <w:tc>
          <w:tcPr>
            <w:tcW w:w="1734" w:type="dxa"/>
            <w:tcBorders>
              <w:top w:val="nil"/>
              <w:left w:val="nil"/>
              <w:bottom w:val="single" w:sz="4" w:space="0" w:color="auto"/>
              <w:right w:val="single" w:sz="4" w:space="0" w:color="auto"/>
            </w:tcBorders>
            <w:shd w:val="clear" w:color="auto" w:fill="auto"/>
            <w:noWrap/>
            <w:vAlign w:val="center"/>
            <w:hideMark/>
          </w:tcPr>
          <w:p w14:paraId="53B03A94" w14:textId="77777777" w:rsidR="004D7FB3" w:rsidRPr="004D7FB3" w:rsidRDefault="004D7FB3" w:rsidP="004D7FB3">
            <w:pPr>
              <w:jc w:val="right"/>
              <w:rPr>
                <w:rFonts w:ascii="Arial Narrow" w:hAnsi="Arial Narrow" w:cstheme="minorBidi"/>
                <w:color w:val="000000"/>
                <w:sz w:val="20"/>
                <w:szCs w:val="20"/>
              </w:rPr>
            </w:pPr>
            <w:r w:rsidRPr="004D7FB3">
              <w:rPr>
                <w:rFonts w:ascii="Arial Narrow" w:hAnsi="Arial Narrow" w:cstheme="minorBidi"/>
                <w:color w:val="000000"/>
                <w:sz w:val="20"/>
                <w:szCs w:val="20"/>
              </w:rPr>
              <w:t>52 166</w:t>
            </w:r>
          </w:p>
        </w:tc>
        <w:tc>
          <w:tcPr>
            <w:tcW w:w="1591" w:type="dxa"/>
            <w:tcBorders>
              <w:top w:val="nil"/>
              <w:left w:val="nil"/>
              <w:bottom w:val="single" w:sz="4" w:space="0" w:color="auto"/>
              <w:right w:val="nil"/>
            </w:tcBorders>
            <w:shd w:val="clear" w:color="auto" w:fill="auto"/>
            <w:noWrap/>
            <w:vAlign w:val="center"/>
            <w:hideMark/>
          </w:tcPr>
          <w:p w14:paraId="2AC41ACE" w14:textId="77777777" w:rsidR="004D7FB3" w:rsidRPr="004D7FB3" w:rsidRDefault="004D7FB3" w:rsidP="004D7FB3">
            <w:pPr>
              <w:jc w:val="right"/>
              <w:rPr>
                <w:rFonts w:ascii="Arial Narrow" w:hAnsi="Arial Narrow" w:cstheme="minorBidi"/>
                <w:color w:val="000000"/>
                <w:sz w:val="20"/>
                <w:szCs w:val="20"/>
              </w:rPr>
            </w:pPr>
            <w:r w:rsidRPr="004D7FB3">
              <w:rPr>
                <w:rFonts w:ascii="Arial Narrow" w:hAnsi="Arial Narrow" w:cstheme="minorBidi"/>
                <w:color w:val="000000"/>
                <w:sz w:val="20"/>
                <w:szCs w:val="20"/>
              </w:rPr>
              <w:t>46 014</w:t>
            </w:r>
          </w:p>
        </w:tc>
        <w:tc>
          <w:tcPr>
            <w:tcW w:w="1156" w:type="dxa"/>
            <w:tcBorders>
              <w:top w:val="nil"/>
              <w:left w:val="single" w:sz="4" w:space="0" w:color="auto"/>
              <w:bottom w:val="single" w:sz="4" w:space="0" w:color="auto"/>
              <w:right w:val="single" w:sz="4" w:space="0" w:color="auto"/>
            </w:tcBorders>
            <w:shd w:val="clear" w:color="auto" w:fill="auto"/>
            <w:noWrap/>
            <w:vAlign w:val="center"/>
            <w:hideMark/>
          </w:tcPr>
          <w:p w14:paraId="40451EE9" w14:textId="77777777" w:rsidR="004D7FB3" w:rsidRPr="004D7FB3" w:rsidRDefault="004D7FB3" w:rsidP="006F0A56">
            <w:pPr>
              <w:jc w:val="center"/>
              <w:rPr>
                <w:rFonts w:ascii="Arial Narrow" w:hAnsi="Arial Narrow"/>
                <w:b/>
                <w:sz w:val="20"/>
                <w:szCs w:val="20"/>
                <w:lang w:eastAsia="bg-BG"/>
              </w:rPr>
            </w:pPr>
            <w:r w:rsidRPr="004D7FB3">
              <w:rPr>
                <w:rFonts w:ascii="Arial Narrow" w:hAnsi="Arial Narrow"/>
                <w:sz w:val="20"/>
                <w:szCs w:val="20"/>
                <w:lang w:eastAsia="bg-BG"/>
              </w:rPr>
              <w:t>100</w:t>
            </w:r>
          </w:p>
        </w:tc>
        <w:tc>
          <w:tcPr>
            <w:tcW w:w="1156" w:type="dxa"/>
            <w:tcBorders>
              <w:top w:val="nil"/>
              <w:left w:val="nil"/>
              <w:bottom w:val="single" w:sz="4" w:space="0" w:color="auto"/>
              <w:right w:val="single" w:sz="4" w:space="0" w:color="auto"/>
            </w:tcBorders>
            <w:shd w:val="clear" w:color="auto" w:fill="auto"/>
            <w:noWrap/>
            <w:vAlign w:val="center"/>
            <w:hideMark/>
          </w:tcPr>
          <w:p w14:paraId="36BFB4D3" w14:textId="77777777" w:rsidR="004D7FB3" w:rsidRPr="004D7FB3" w:rsidRDefault="004D7FB3" w:rsidP="006F0A56">
            <w:pPr>
              <w:jc w:val="center"/>
              <w:rPr>
                <w:rFonts w:ascii="Arial Narrow" w:hAnsi="Arial Narrow"/>
                <w:b/>
                <w:sz w:val="20"/>
                <w:szCs w:val="20"/>
                <w:lang w:eastAsia="bg-BG"/>
              </w:rPr>
            </w:pPr>
            <w:r w:rsidRPr="004D7FB3">
              <w:rPr>
                <w:rFonts w:ascii="Arial Narrow" w:hAnsi="Arial Narrow"/>
                <w:sz w:val="20"/>
                <w:szCs w:val="20"/>
                <w:lang w:eastAsia="bg-BG"/>
              </w:rPr>
              <w:t>-</w:t>
            </w:r>
          </w:p>
        </w:tc>
        <w:tc>
          <w:tcPr>
            <w:tcW w:w="868" w:type="dxa"/>
            <w:tcBorders>
              <w:top w:val="nil"/>
              <w:left w:val="nil"/>
              <w:bottom w:val="single" w:sz="4" w:space="0" w:color="auto"/>
              <w:right w:val="single" w:sz="4" w:space="0" w:color="auto"/>
            </w:tcBorders>
            <w:shd w:val="clear" w:color="auto" w:fill="auto"/>
            <w:noWrap/>
            <w:vAlign w:val="center"/>
            <w:hideMark/>
          </w:tcPr>
          <w:p w14:paraId="7388D6DE" w14:textId="77777777" w:rsidR="004D7FB3" w:rsidRPr="004D7FB3" w:rsidRDefault="004D7FB3" w:rsidP="006F0A56">
            <w:pPr>
              <w:jc w:val="center"/>
              <w:rPr>
                <w:rFonts w:ascii="Arial Narrow" w:hAnsi="Arial Narrow"/>
                <w:b/>
                <w:sz w:val="20"/>
                <w:szCs w:val="20"/>
                <w:lang w:eastAsia="bg-BG"/>
              </w:rPr>
            </w:pPr>
            <w:r w:rsidRPr="004D7FB3">
              <w:rPr>
                <w:rFonts w:ascii="Arial Narrow" w:hAnsi="Arial Narrow"/>
                <w:sz w:val="20"/>
                <w:szCs w:val="20"/>
                <w:lang w:eastAsia="bg-BG"/>
              </w:rPr>
              <w:t>-</w:t>
            </w:r>
          </w:p>
        </w:tc>
        <w:tc>
          <w:tcPr>
            <w:tcW w:w="1547" w:type="dxa"/>
            <w:tcBorders>
              <w:top w:val="nil"/>
              <w:left w:val="nil"/>
              <w:bottom w:val="single" w:sz="4" w:space="0" w:color="auto"/>
              <w:right w:val="single" w:sz="4" w:space="0" w:color="auto"/>
            </w:tcBorders>
            <w:shd w:val="clear" w:color="auto" w:fill="auto"/>
            <w:noWrap/>
            <w:vAlign w:val="center"/>
            <w:hideMark/>
          </w:tcPr>
          <w:p w14:paraId="63A80925" w14:textId="77777777" w:rsidR="004D7FB3" w:rsidRPr="004D7FB3" w:rsidRDefault="004D7FB3" w:rsidP="006F0A56">
            <w:pPr>
              <w:jc w:val="right"/>
              <w:rPr>
                <w:rFonts w:ascii="Arial Narrow" w:hAnsi="Arial Narrow"/>
                <w:b/>
                <w:sz w:val="20"/>
                <w:szCs w:val="20"/>
                <w:lang w:eastAsia="bg-BG"/>
              </w:rPr>
            </w:pPr>
            <w:r w:rsidRPr="004D7FB3">
              <w:rPr>
                <w:rFonts w:ascii="Arial Narrow" w:hAnsi="Arial Narrow"/>
                <w:sz w:val="20"/>
                <w:szCs w:val="20"/>
                <w:lang w:eastAsia="bg-BG"/>
              </w:rPr>
              <w:t>584 716 777</w:t>
            </w:r>
          </w:p>
        </w:tc>
      </w:tr>
      <w:tr w:rsidR="004D7FB3" w:rsidRPr="004D7FB3" w14:paraId="457F770E" w14:textId="77777777" w:rsidTr="008B7C13">
        <w:trPr>
          <w:trHeight w:val="265"/>
        </w:trPr>
        <w:tc>
          <w:tcPr>
            <w:tcW w:w="1729" w:type="dxa"/>
            <w:tcBorders>
              <w:top w:val="nil"/>
              <w:left w:val="single" w:sz="4" w:space="0" w:color="auto"/>
              <w:bottom w:val="single" w:sz="4" w:space="0" w:color="auto"/>
              <w:right w:val="single" w:sz="4" w:space="0" w:color="auto"/>
            </w:tcBorders>
            <w:shd w:val="clear" w:color="auto" w:fill="auto"/>
            <w:noWrap/>
            <w:vAlign w:val="center"/>
            <w:hideMark/>
          </w:tcPr>
          <w:p w14:paraId="309D5ABA" w14:textId="77777777" w:rsidR="004D7FB3" w:rsidRPr="004D7FB3" w:rsidRDefault="004D7FB3" w:rsidP="004D7FB3">
            <w:pPr>
              <w:rPr>
                <w:rFonts w:ascii="Arial Narrow" w:hAnsi="Arial Narrow"/>
                <w:b/>
                <w:sz w:val="20"/>
                <w:szCs w:val="20"/>
                <w:lang w:eastAsia="bg-BG"/>
              </w:rPr>
            </w:pPr>
            <w:r w:rsidRPr="004D7FB3">
              <w:rPr>
                <w:rFonts w:ascii="Arial Narrow" w:hAnsi="Arial Narrow"/>
                <w:sz w:val="20"/>
                <w:szCs w:val="20"/>
                <w:lang w:eastAsia="bg-BG"/>
              </w:rPr>
              <w:t>МлК</w:t>
            </w:r>
          </w:p>
        </w:tc>
        <w:tc>
          <w:tcPr>
            <w:tcW w:w="1734" w:type="dxa"/>
            <w:tcBorders>
              <w:top w:val="nil"/>
              <w:left w:val="nil"/>
              <w:bottom w:val="single" w:sz="4" w:space="0" w:color="auto"/>
              <w:right w:val="single" w:sz="4" w:space="0" w:color="auto"/>
            </w:tcBorders>
            <w:shd w:val="clear" w:color="auto" w:fill="auto"/>
            <w:noWrap/>
            <w:vAlign w:val="center"/>
            <w:hideMark/>
          </w:tcPr>
          <w:p w14:paraId="1FAE54C9" w14:textId="77777777" w:rsidR="004D7FB3" w:rsidRPr="004D7FB3" w:rsidRDefault="004D7FB3" w:rsidP="004D7FB3">
            <w:pPr>
              <w:jc w:val="right"/>
              <w:rPr>
                <w:rFonts w:ascii="Arial Narrow" w:hAnsi="Arial Narrow" w:cstheme="minorBidi"/>
                <w:color w:val="000000"/>
                <w:sz w:val="20"/>
                <w:szCs w:val="20"/>
              </w:rPr>
            </w:pPr>
            <w:r w:rsidRPr="004D7FB3">
              <w:rPr>
                <w:rFonts w:ascii="Arial Narrow" w:hAnsi="Arial Narrow" w:cstheme="minorBidi"/>
                <w:color w:val="000000"/>
                <w:sz w:val="20"/>
                <w:szCs w:val="20"/>
              </w:rPr>
              <w:t>2 495</w:t>
            </w:r>
          </w:p>
        </w:tc>
        <w:tc>
          <w:tcPr>
            <w:tcW w:w="1591" w:type="dxa"/>
            <w:tcBorders>
              <w:top w:val="nil"/>
              <w:left w:val="nil"/>
              <w:bottom w:val="single" w:sz="4" w:space="0" w:color="auto"/>
              <w:right w:val="single" w:sz="4" w:space="0" w:color="auto"/>
            </w:tcBorders>
            <w:shd w:val="clear" w:color="auto" w:fill="auto"/>
            <w:noWrap/>
            <w:vAlign w:val="center"/>
            <w:hideMark/>
          </w:tcPr>
          <w:p w14:paraId="7DF753DF" w14:textId="77777777" w:rsidR="004D7FB3" w:rsidRPr="004D7FB3" w:rsidRDefault="004D7FB3" w:rsidP="004D7FB3">
            <w:pPr>
              <w:jc w:val="right"/>
              <w:rPr>
                <w:rFonts w:ascii="Arial Narrow" w:hAnsi="Arial Narrow" w:cstheme="minorBidi"/>
                <w:color w:val="000000"/>
                <w:sz w:val="20"/>
                <w:szCs w:val="20"/>
              </w:rPr>
            </w:pPr>
            <w:r w:rsidRPr="004D7FB3">
              <w:rPr>
                <w:rFonts w:ascii="Arial Narrow" w:hAnsi="Arial Narrow" w:cstheme="minorBidi"/>
                <w:color w:val="000000"/>
                <w:sz w:val="20"/>
                <w:szCs w:val="20"/>
              </w:rPr>
              <w:t>2 483</w:t>
            </w:r>
          </w:p>
        </w:tc>
        <w:tc>
          <w:tcPr>
            <w:tcW w:w="1156" w:type="dxa"/>
            <w:tcBorders>
              <w:top w:val="nil"/>
              <w:left w:val="nil"/>
              <w:bottom w:val="single" w:sz="4" w:space="0" w:color="auto"/>
              <w:right w:val="single" w:sz="4" w:space="0" w:color="auto"/>
            </w:tcBorders>
            <w:shd w:val="clear" w:color="auto" w:fill="auto"/>
            <w:noWrap/>
            <w:vAlign w:val="center"/>
            <w:hideMark/>
          </w:tcPr>
          <w:p w14:paraId="14597C57" w14:textId="77777777" w:rsidR="004D7FB3" w:rsidRPr="004D7FB3" w:rsidRDefault="004D7FB3" w:rsidP="006F0A56">
            <w:pPr>
              <w:jc w:val="center"/>
              <w:rPr>
                <w:rFonts w:ascii="Arial Narrow" w:hAnsi="Arial Narrow"/>
                <w:b/>
                <w:sz w:val="20"/>
                <w:szCs w:val="20"/>
                <w:lang w:eastAsia="bg-BG"/>
              </w:rPr>
            </w:pPr>
            <w:r w:rsidRPr="004D7FB3">
              <w:rPr>
                <w:rFonts w:ascii="Arial Narrow" w:hAnsi="Arial Narrow"/>
                <w:sz w:val="20"/>
                <w:szCs w:val="20"/>
                <w:lang w:eastAsia="bg-BG"/>
              </w:rPr>
              <w:t>100</w:t>
            </w:r>
          </w:p>
        </w:tc>
        <w:tc>
          <w:tcPr>
            <w:tcW w:w="1156" w:type="dxa"/>
            <w:tcBorders>
              <w:top w:val="nil"/>
              <w:left w:val="nil"/>
              <w:bottom w:val="single" w:sz="4" w:space="0" w:color="auto"/>
              <w:right w:val="single" w:sz="4" w:space="0" w:color="auto"/>
            </w:tcBorders>
            <w:shd w:val="clear" w:color="auto" w:fill="auto"/>
            <w:noWrap/>
            <w:vAlign w:val="center"/>
            <w:hideMark/>
          </w:tcPr>
          <w:p w14:paraId="4803BF7D" w14:textId="77777777" w:rsidR="004D7FB3" w:rsidRPr="004D7FB3" w:rsidRDefault="004D7FB3" w:rsidP="006F0A56">
            <w:pPr>
              <w:jc w:val="center"/>
              <w:rPr>
                <w:rFonts w:ascii="Arial Narrow" w:hAnsi="Arial Narrow"/>
                <w:b/>
                <w:sz w:val="20"/>
                <w:szCs w:val="20"/>
                <w:lang w:eastAsia="bg-BG"/>
              </w:rPr>
            </w:pPr>
            <w:r w:rsidRPr="004D7FB3">
              <w:rPr>
                <w:rFonts w:ascii="Arial Narrow" w:hAnsi="Arial Narrow"/>
                <w:sz w:val="20"/>
                <w:szCs w:val="20"/>
                <w:lang w:eastAsia="bg-BG"/>
              </w:rPr>
              <w:t>-</w:t>
            </w:r>
          </w:p>
        </w:tc>
        <w:tc>
          <w:tcPr>
            <w:tcW w:w="868" w:type="dxa"/>
            <w:tcBorders>
              <w:top w:val="nil"/>
              <w:left w:val="nil"/>
              <w:bottom w:val="single" w:sz="4" w:space="0" w:color="auto"/>
              <w:right w:val="single" w:sz="4" w:space="0" w:color="auto"/>
            </w:tcBorders>
            <w:shd w:val="clear" w:color="auto" w:fill="auto"/>
            <w:noWrap/>
            <w:vAlign w:val="center"/>
            <w:hideMark/>
          </w:tcPr>
          <w:p w14:paraId="52D60CDB" w14:textId="77777777" w:rsidR="004D7FB3" w:rsidRPr="004D7FB3" w:rsidRDefault="004D7FB3" w:rsidP="006F0A56">
            <w:pPr>
              <w:jc w:val="center"/>
              <w:rPr>
                <w:rFonts w:ascii="Arial Narrow" w:hAnsi="Arial Narrow"/>
                <w:b/>
                <w:sz w:val="20"/>
                <w:szCs w:val="20"/>
                <w:lang w:eastAsia="bg-BG"/>
              </w:rPr>
            </w:pPr>
            <w:r w:rsidRPr="004D7FB3">
              <w:rPr>
                <w:rFonts w:ascii="Arial Narrow" w:hAnsi="Arial Narrow"/>
                <w:sz w:val="20"/>
                <w:szCs w:val="20"/>
                <w:lang w:eastAsia="bg-BG"/>
              </w:rPr>
              <w:t>-</w:t>
            </w:r>
          </w:p>
        </w:tc>
        <w:tc>
          <w:tcPr>
            <w:tcW w:w="1547" w:type="dxa"/>
            <w:tcBorders>
              <w:top w:val="nil"/>
              <w:left w:val="nil"/>
              <w:bottom w:val="single" w:sz="4" w:space="0" w:color="auto"/>
              <w:right w:val="single" w:sz="4" w:space="0" w:color="auto"/>
            </w:tcBorders>
            <w:shd w:val="clear" w:color="auto" w:fill="auto"/>
            <w:noWrap/>
            <w:vAlign w:val="center"/>
            <w:hideMark/>
          </w:tcPr>
          <w:p w14:paraId="78B7FD5B" w14:textId="77777777" w:rsidR="004D7FB3" w:rsidRPr="004D7FB3" w:rsidRDefault="004D7FB3" w:rsidP="006F0A56">
            <w:pPr>
              <w:jc w:val="right"/>
              <w:rPr>
                <w:rFonts w:ascii="Arial Narrow" w:hAnsi="Arial Narrow"/>
                <w:b/>
                <w:sz w:val="20"/>
                <w:szCs w:val="20"/>
                <w:lang w:eastAsia="bg-BG"/>
              </w:rPr>
            </w:pPr>
            <w:r w:rsidRPr="004D7FB3">
              <w:rPr>
                <w:rFonts w:ascii="Arial Narrow" w:hAnsi="Arial Narrow"/>
                <w:sz w:val="20"/>
                <w:szCs w:val="20"/>
                <w:lang w:eastAsia="bg-BG"/>
              </w:rPr>
              <w:t>21 611 432</w:t>
            </w:r>
          </w:p>
        </w:tc>
      </w:tr>
      <w:tr w:rsidR="004D7FB3" w:rsidRPr="004D7FB3" w14:paraId="333379C7" w14:textId="77777777" w:rsidTr="008B7C13">
        <w:trPr>
          <w:trHeight w:val="265"/>
        </w:trPr>
        <w:tc>
          <w:tcPr>
            <w:tcW w:w="1729" w:type="dxa"/>
            <w:tcBorders>
              <w:top w:val="nil"/>
              <w:left w:val="single" w:sz="4" w:space="0" w:color="auto"/>
              <w:bottom w:val="single" w:sz="4" w:space="0" w:color="auto"/>
              <w:right w:val="single" w:sz="4" w:space="0" w:color="auto"/>
            </w:tcBorders>
            <w:shd w:val="clear" w:color="auto" w:fill="auto"/>
            <w:noWrap/>
            <w:vAlign w:val="center"/>
            <w:hideMark/>
          </w:tcPr>
          <w:p w14:paraId="46073C9C" w14:textId="77777777" w:rsidR="004D7FB3" w:rsidRPr="004D7FB3" w:rsidRDefault="004D7FB3" w:rsidP="004D7FB3">
            <w:pPr>
              <w:rPr>
                <w:rFonts w:ascii="Arial Narrow" w:hAnsi="Arial Narrow"/>
                <w:b/>
                <w:sz w:val="20"/>
                <w:szCs w:val="20"/>
                <w:lang w:eastAsia="bg-BG"/>
              </w:rPr>
            </w:pPr>
            <w:r w:rsidRPr="004D7FB3">
              <w:rPr>
                <w:rFonts w:ascii="Arial Narrow" w:hAnsi="Arial Narrow"/>
                <w:sz w:val="20"/>
                <w:szCs w:val="20"/>
                <w:lang w:eastAsia="bg-BG"/>
              </w:rPr>
              <w:t>МлК-РП</w:t>
            </w:r>
          </w:p>
        </w:tc>
        <w:tc>
          <w:tcPr>
            <w:tcW w:w="1734" w:type="dxa"/>
            <w:tcBorders>
              <w:top w:val="nil"/>
              <w:left w:val="nil"/>
              <w:bottom w:val="single" w:sz="4" w:space="0" w:color="auto"/>
              <w:right w:val="single" w:sz="4" w:space="0" w:color="auto"/>
            </w:tcBorders>
            <w:shd w:val="clear" w:color="auto" w:fill="auto"/>
            <w:noWrap/>
            <w:vAlign w:val="center"/>
            <w:hideMark/>
          </w:tcPr>
          <w:p w14:paraId="1EAD156D" w14:textId="77777777" w:rsidR="004D7FB3" w:rsidRPr="004D7FB3" w:rsidRDefault="004D7FB3" w:rsidP="004D7FB3">
            <w:pPr>
              <w:jc w:val="right"/>
              <w:rPr>
                <w:rFonts w:ascii="Arial Narrow" w:hAnsi="Arial Narrow" w:cstheme="minorBidi"/>
                <w:color w:val="000000"/>
                <w:sz w:val="20"/>
                <w:szCs w:val="20"/>
              </w:rPr>
            </w:pPr>
            <w:r w:rsidRPr="004D7FB3">
              <w:rPr>
                <w:rFonts w:ascii="Arial Narrow" w:hAnsi="Arial Narrow" w:cstheme="minorBidi"/>
                <w:color w:val="000000"/>
                <w:sz w:val="20"/>
                <w:szCs w:val="20"/>
              </w:rPr>
              <w:t>703</w:t>
            </w:r>
          </w:p>
        </w:tc>
        <w:tc>
          <w:tcPr>
            <w:tcW w:w="1591" w:type="dxa"/>
            <w:tcBorders>
              <w:top w:val="nil"/>
              <w:left w:val="nil"/>
              <w:bottom w:val="single" w:sz="4" w:space="0" w:color="auto"/>
              <w:right w:val="single" w:sz="4" w:space="0" w:color="auto"/>
            </w:tcBorders>
            <w:shd w:val="clear" w:color="auto" w:fill="auto"/>
            <w:noWrap/>
            <w:vAlign w:val="center"/>
            <w:hideMark/>
          </w:tcPr>
          <w:p w14:paraId="711BA786" w14:textId="77777777" w:rsidR="004D7FB3" w:rsidRPr="004D7FB3" w:rsidRDefault="004D7FB3" w:rsidP="004D7FB3">
            <w:pPr>
              <w:jc w:val="right"/>
              <w:rPr>
                <w:rFonts w:ascii="Arial Narrow" w:hAnsi="Arial Narrow" w:cstheme="minorBidi"/>
                <w:color w:val="000000"/>
                <w:sz w:val="20"/>
                <w:szCs w:val="20"/>
              </w:rPr>
            </w:pPr>
            <w:r w:rsidRPr="004D7FB3">
              <w:rPr>
                <w:rFonts w:ascii="Arial Narrow" w:hAnsi="Arial Narrow" w:cstheme="minorBidi"/>
                <w:color w:val="000000"/>
                <w:sz w:val="20"/>
                <w:szCs w:val="20"/>
              </w:rPr>
              <w:t>697</w:t>
            </w:r>
          </w:p>
        </w:tc>
        <w:tc>
          <w:tcPr>
            <w:tcW w:w="1156" w:type="dxa"/>
            <w:tcBorders>
              <w:top w:val="nil"/>
              <w:left w:val="nil"/>
              <w:bottom w:val="single" w:sz="4" w:space="0" w:color="auto"/>
              <w:right w:val="single" w:sz="4" w:space="0" w:color="auto"/>
            </w:tcBorders>
            <w:shd w:val="clear" w:color="auto" w:fill="auto"/>
            <w:noWrap/>
            <w:vAlign w:val="center"/>
            <w:hideMark/>
          </w:tcPr>
          <w:p w14:paraId="4CF6B0F9" w14:textId="77777777" w:rsidR="004D7FB3" w:rsidRPr="004D7FB3" w:rsidRDefault="004D7FB3" w:rsidP="006F0A56">
            <w:pPr>
              <w:jc w:val="center"/>
              <w:rPr>
                <w:rFonts w:ascii="Arial Narrow" w:hAnsi="Arial Narrow"/>
                <w:b/>
                <w:sz w:val="20"/>
                <w:szCs w:val="20"/>
                <w:lang w:eastAsia="bg-BG"/>
              </w:rPr>
            </w:pPr>
            <w:r w:rsidRPr="004D7FB3">
              <w:rPr>
                <w:rFonts w:ascii="Arial Narrow" w:hAnsi="Arial Narrow"/>
                <w:sz w:val="20"/>
                <w:szCs w:val="20"/>
                <w:lang w:eastAsia="bg-BG"/>
              </w:rPr>
              <w:t>100</w:t>
            </w:r>
          </w:p>
        </w:tc>
        <w:tc>
          <w:tcPr>
            <w:tcW w:w="1156" w:type="dxa"/>
            <w:tcBorders>
              <w:top w:val="nil"/>
              <w:left w:val="nil"/>
              <w:bottom w:val="single" w:sz="4" w:space="0" w:color="auto"/>
              <w:right w:val="single" w:sz="4" w:space="0" w:color="auto"/>
            </w:tcBorders>
            <w:shd w:val="clear" w:color="auto" w:fill="auto"/>
            <w:noWrap/>
            <w:vAlign w:val="center"/>
            <w:hideMark/>
          </w:tcPr>
          <w:p w14:paraId="2EF00C83" w14:textId="77777777" w:rsidR="004D7FB3" w:rsidRPr="004D7FB3" w:rsidRDefault="004D7FB3" w:rsidP="006F0A56">
            <w:pPr>
              <w:jc w:val="center"/>
              <w:rPr>
                <w:rFonts w:ascii="Arial Narrow" w:hAnsi="Arial Narrow"/>
                <w:b/>
                <w:sz w:val="20"/>
                <w:szCs w:val="20"/>
                <w:lang w:eastAsia="bg-BG"/>
              </w:rPr>
            </w:pPr>
            <w:r w:rsidRPr="004D7FB3">
              <w:rPr>
                <w:rFonts w:ascii="Arial Narrow" w:hAnsi="Arial Narrow"/>
                <w:sz w:val="20"/>
                <w:szCs w:val="20"/>
                <w:lang w:eastAsia="bg-BG"/>
              </w:rPr>
              <w:t>-</w:t>
            </w:r>
          </w:p>
        </w:tc>
        <w:tc>
          <w:tcPr>
            <w:tcW w:w="868" w:type="dxa"/>
            <w:tcBorders>
              <w:top w:val="nil"/>
              <w:left w:val="nil"/>
              <w:bottom w:val="single" w:sz="4" w:space="0" w:color="auto"/>
              <w:right w:val="single" w:sz="4" w:space="0" w:color="auto"/>
            </w:tcBorders>
            <w:shd w:val="clear" w:color="auto" w:fill="auto"/>
            <w:noWrap/>
            <w:vAlign w:val="center"/>
            <w:hideMark/>
          </w:tcPr>
          <w:p w14:paraId="4A1CBF14" w14:textId="77777777" w:rsidR="004D7FB3" w:rsidRPr="004D7FB3" w:rsidRDefault="004D7FB3" w:rsidP="006F0A56">
            <w:pPr>
              <w:jc w:val="center"/>
              <w:rPr>
                <w:rFonts w:ascii="Arial Narrow" w:hAnsi="Arial Narrow"/>
                <w:b/>
                <w:sz w:val="20"/>
                <w:szCs w:val="20"/>
                <w:lang w:eastAsia="bg-BG"/>
              </w:rPr>
            </w:pPr>
            <w:r w:rsidRPr="004D7FB3">
              <w:rPr>
                <w:rFonts w:ascii="Arial Narrow" w:hAnsi="Arial Narrow"/>
                <w:sz w:val="20"/>
                <w:szCs w:val="20"/>
                <w:lang w:eastAsia="bg-BG"/>
              </w:rPr>
              <w:t>-</w:t>
            </w:r>
          </w:p>
        </w:tc>
        <w:tc>
          <w:tcPr>
            <w:tcW w:w="1547" w:type="dxa"/>
            <w:tcBorders>
              <w:top w:val="nil"/>
              <w:left w:val="nil"/>
              <w:bottom w:val="single" w:sz="4" w:space="0" w:color="auto"/>
              <w:right w:val="single" w:sz="4" w:space="0" w:color="auto"/>
            </w:tcBorders>
            <w:shd w:val="clear" w:color="auto" w:fill="auto"/>
            <w:noWrap/>
            <w:vAlign w:val="center"/>
            <w:hideMark/>
          </w:tcPr>
          <w:p w14:paraId="4BDB32AA" w14:textId="77777777" w:rsidR="004D7FB3" w:rsidRPr="004D7FB3" w:rsidRDefault="004D7FB3" w:rsidP="006F0A56">
            <w:pPr>
              <w:jc w:val="right"/>
              <w:rPr>
                <w:rFonts w:ascii="Arial Narrow" w:hAnsi="Arial Narrow"/>
                <w:b/>
                <w:sz w:val="20"/>
                <w:szCs w:val="20"/>
                <w:lang w:eastAsia="bg-BG"/>
              </w:rPr>
            </w:pPr>
            <w:r w:rsidRPr="004D7FB3">
              <w:rPr>
                <w:rFonts w:ascii="Arial Narrow" w:hAnsi="Arial Narrow"/>
                <w:sz w:val="20"/>
                <w:szCs w:val="20"/>
                <w:lang w:eastAsia="bg-BG"/>
              </w:rPr>
              <w:t>32 648 597</w:t>
            </w:r>
          </w:p>
        </w:tc>
      </w:tr>
      <w:tr w:rsidR="004D7FB3" w:rsidRPr="004D7FB3" w14:paraId="6A1511F5" w14:textId="77777777" w:rsidTr="008B7C13">
        <w:trPr>
          <w:trHeight w:val="265"/>
        </w:trPr>
        <w:tc>
          <w:tcPr>
            <w:tcW w:w="1729" w:type="dxa"/>
            <w:tcBorders>
              <w:top w:val="nil"/>
              <w:left w:val="single" w:sz="4" w:space="0" w:color="auto"/>
              <w:bottom w:val="single" w:sz="4" w:space="0" w:color="auto"/>
              <w:right w:val="single" w:sz="4" w:space="0" w:color="auto"/>
            </w:tcBorders>
            <w:shd w:val="clear" w:color="auto" w:fill="auto"/>
            <w:noWrap/>
            <w:vAlign w:val="center"/>
            <w:hideMark/>
          </w:tcPr>
          <w:p w14:paraId="58D38ED9" w14:textId="77777777" w:rsidR="004D7FB3" w:rsidRPr="004D7FB3" w:rsidRDefault="004D7FB3" w:rsidP="004D7FB3">
            <w:pPr>
              <w:rPr>
                <w:rFonts w:ascii="Arial Narrow" w:hAnsi="Arial Narrow"/>
                <w:b/>
                <w:sz w:val="20"/>
                <w:szCs w:val="20"/>
                <w:lang w:eastAsia="bg-BG"/>
              </w:rPr>
            </w:pPr>
            <w:r w:rsidRPr="004D7FB3">
              <w:rPr>
                <w:rFonts w:ascii="Arial Narrow" w:hAnsi="Arial Narrow"/>
                <w:sz w:val="20"/>
                <w:szCs w:val="20"/>
                <w:lang w:eastAsia="bg-BG"/>
              </w:rPr>
              <w:t>МеК</w:t>
            </w:r>
          </w:p>
        </w:tc>
        <w:tc>
          <w:tcPr>
            <w:tcW w:w="1734" w:type="dxa"/>
            <w:tcBorders>
              <w:top w:val="nil"/>
              <w:left w:val="nil"/>
              <w:bottom w:val="single" w:sz="4" w:space="0" w:color="auto"/>
              <w:right w:val="single" w:sz="4" w:space="0" w:color="auto"/>
            </w:tcBorders>
            <w:shd w:val="clear" w:color="auto" w:fill="auto"/>
            <w:noWrap/>
            <w:vAlign w:val="center"/>
            <w:hideMark/>
          </w:tcPr>
          <w:p w14:paraId="471C0694" w14:textId="77777777" w:rsidR="004D7FB3" w:rsidRPr="004D7FB3" w:rsidRDefault="004D7FB3" w:rsidP="004D7FB3">
            <w:pPr>
              <w:jc w:val="right"/>
              <w:rPr>
                <w:rFonts w:ascii="Arial Narrow" w:hAnsi="Arial Narrow" w:cstheme="minorBidi"/>
                <w:color w:val="000000"/>
                <w:sz w:val="20"/>
                <w:szCs w:val="20"/>
              </w:rPr>
            </w:pPr>
            <w:r w:rsidRPr="004D7FB3">
              <w:rPr>
                <w:rFonts w:ascii="Arial Narrow" w:hAnsi="Arial Narrow" w:cstheme="minorBidi"/>
                <w:color w:val="000000"/>
                <w:sz w:val="20"/>
                <w:szCs w:val="20"/>
              </w:rPr>
              <w:t>3 841</w:t>
            </w:r>
          </w:p>
        </w:tc>
        <w:tc>
          <w:tcPr>
            <w:tcW w:w="1591" w:type="dxa"/>
            <w:tcBorders>
              <w:top w:val="nil"/>
              <w:left w:val="nil"/>
              <w:bottom w:val="single" w:sz="4" w:space="0" w:color="auto"/>
              <w:right w:val="single" w:sz="4" w:space="0" w:color="auto"/>
            </w:tcBorders>
            <w:shd w:val="clear" w:color="auto" w:fill="auto"/>
            <w:noWrap/>
            <w:vAlign w:val="center"/>
            <w:hideMark/>
          </w:tcPr>
          <w:p w14:paraId="19353D40" w14:textId="77777777" w:rsidR="004D7FB3" w:rsidRPr="004D7FB3" w:rsidRDefault="004D7FB3" w:rsidP="004D7FB3">
            <w:pPr>
              <w:jc w:val="right"/>
              <w:rPr>
                <w:rFonts w:ascii="Arial Narrow" w:hAnsi="Arial Narrow" w:cstheme="minorBidi"/>
                <w:color w:val="000000"/>
                <w:sz w:val="20"/>
                <w:szCs w:val="20"/>
              </w:rPr>
            </w:pPr>
            <w:r w:rsidRPr="004D7FB3">
              <w:rPr>
                <w:rFonts w:ascii="Arial Narrow" w:hAnsi="Arial Narrow" w:cstheme="minorBidi"/>
                <w:color w:val="000000"/>
                <w:sz w:val="20"/>
                <w:szCs w:val="20"/>
              </w:rPr>
              <w:t>3 804</w:t>
            </w:r>
          </w:p>
        </w:tc>
        <w:tc>
          <w:tcPr>
            <w:tcW w:w="1156" w:type="dxa"/>
            <w:tcBorders>
              <w:top w:val="nil"/>
              <w:left w:val="nil"/>
              <w:bottom w:val="single" w:sz="4" w:space="0" w:color="auto"/>
              <w:right w:val="single" w:sz="4" w:space="0" w:color="auto"/>
            </w:tcBorders>
            <w:shd w:val="clear" w:color="auto" w:fill="auto"/>
            <w:noWrap/>
            <w:vAlign w:val="center"/>
            <w:hideMark/>
          </w:tcPr>
          <w:p w14:paraId="2A7B7FCA" w14:textId="77777777" w:rsidR="004D7FB3" w:rsidRPr="004D7FB3" w:rsidRDefault="004D7FB3" w:rsidP="006F0A56">
            <w:pPr>
              <w:jc w:val="center"/>
              <w:rPr>
                <w:rFonts w:ascii="Arial Narrow" w:hAnsi="Arial Narrow"/>
                <w:b/>
                <w:sz w:val="20"/>
                <w:szCs w:val="20"/>
                <w:lang w:eastAsia="bg-BG"/>
              </w:rPr>
            </w:pPr>
            <w:r w:rsidRPr="004D7FB3">
              <w:rPr>
                <w:rFonts w:ascii="Arial Narrow" w:hAnsi="Arial Narrow"/>
                <w:sz w:val="20"/>
                <w:szCs w:val="20"/>
                <w:lang w:eastAsia="bg-BG"/>
              </w:rPr>
              <w:t>100</w:t>
            </w:r>
          </w:p>
        </w:tc>
        <w:tc>
          <w:tcPr>
            <w:tcW w:w="1156" w:type="dxa"/>
            <w:tcBorders>
              <w:top w:val="nil"/>
              <w:left w:val="nil"/>
              <w:bottom w:val="single" w:sz="4" w:space="0" w:color="auto"/>
              <w:right w:val="single" w:sz="4" w:space="0" w:color="auto"/>
            </w:tcBorders>
            <w:shd w:val="clear" w:color="auto" w:fill="auto"/>
            <w:noWrap/>
            <w:vAlign w:val="center"/>
            <w:hideMark/>
          </w:tcPr>
          <w:p w14:paraId="5EE2436B" w14:textId="77777777" w:rsidR="004D7FB3" w:rsidRPr="004D7FB3" w:rsidRDefault="004D7FB3" w:rsidP="006F0A56">
            <w:pPr>
              <w:jc w:val="center"/>
              <w:rPr>
                <w:rFonts w:ascii="Arial Narrow" w:hAnsi="Arial Narrow"/>
                <w:b/>
                <w:sz w:val="20"/>
                <w:szCs w:val="20"/>
                <w:lang w:eastAsia="bg-BG"/>
              </w:rPr>
            </w:pPr>
            <w:r w:rsidRPr="004D7FB3">
              <w:rPr>
                <w:rFonts w:ascii="Arial Narrow" w:hAnsi="Arial Narrow"/>
                <w:sz w:val="20"/>
                <w:szCs w:val="20"/>
                <w:lang w:eastAsia="bg-BG"/>
              </w:rPr>
              <w:t>-</w:t>
            </w:r>
          </w:p>
        </w:tc>
        <w:tc>
          <w:tcPr>
            <w:tcW w:w="868" w:type="dxa"/>
            <w:tcBorders>
              <w:top w:val="nil"/>
              <w:left w:val="nil"/>
              <w:bottom w:val="single" w:sz="4" w:space="0" w:color="auto"/>
              <w:right w:val="single" w:sz="4" w:space="0" w:color="auto"/>
            </w:tcBorders>
            <w:shd w:val="clear" w:color="auto" w:fill="auto"/>
            <w:noWrap/>
            <w:vAlign w:val="center"/>
            <w:hideMark/>
          </w:tcPr>
          <w:p w14:paraId="29415450" w14:textId="77777777" w:rsidR="004D7FB3" w:rsidRPr="004D7FB3" w:rsidRDefault="004D7FB3" w:rsidP="006F0A56">
            <w:pPr>
              <w:jc w:val="center"/>
              <w:rPr>
                <w:rFonts w:ascii="Arial Narrow" w:hAnsi="Arial Narrow"/>
                <w:b/>
                <w:sz w:val="20"/>
                <w:szCs w:val="20"/>
                <w:lang w:eastAsia="bg-BG"/>
              </w:rPr>
            </w:pPr>
            <w:r w:rsidRPr="004D7FB3">
              <w:rPr>
                <w:rFonts w:ascii="Arial Narrow" w:hAnsi="Arial Narrow"/>
                <w:sz w:val="20"/>
                <w:szCs w:val="20"/>
                <w:lang w:eastAsia="bg-BG"/>
              </w:rPr>
              <w:t>-</w:t>
            </w:r>
          </w:p>
        </w:tc>
        <w:tc>
          <w:tcPr>
            <w:tcW w:w="1547" w:type="dxa"/>
            <w:tcBorders>
              <w:top w:val="nil"/>
              <w:left w:val="nil"/>
              <w:bottom w:val="single" w:sz="4" w:space="0" w:color="auto"/>
              <w:right w:val="single" w:sz="4" w:space="0" w:color="auto"/>
            </w:tcBorders>
            <w:shd w:val="clear" w:color="auto" w:fill="auto"/>
            <w:noWrap/>
            <w:vAlign w:val="center"/>
            <w:hideMark/>
          </w:tcPr>
          <w:p w14:paraId="4A4C3EE1" w14:textId="77777777" w:rsidR="004D7FB3" w:rsidRPr="004D7FB3" w:rsidRDefault="004D7FB3" w:rsidP="006F0A56">
            <w:pPr>
              <w:jc w:val="right"/>
              <w:rPr>
                <w:rFonts w:ascii="Arial Narrow" w:hAnsi="Arial Narrow"/>
                <w:b/>
                <w:sz w:val="20"/>
                <w:szCs w:val="20"/>
                <w:lang w:eastAsia="bg-BG"/>
              </w:rPr>
            </w:pPr>
            <w:r w:rsidRPr="004D7FB3">
              <w:rPr>
                <w:rFonts w:ascii="Arial Narrow" w:hAnsi="Arial Narrow"/>
                <w:sz w:val="20"/>
                <w:szCs w:val="20"/>
                <w:lang w:eastAsia="bg-BG"/>
              </w:rPr>
              <w:t>26 026 476</w:t>
            </w:r>
          </w:p>
        </w:tc>
      </w:tr>
      <w:tr w:rsidR="004D7FB3" w:rsidRPr="004D7FB3" w14:paraId="6C75E567" w14:textId="77777777" w:rsidTr="008B7C13">
        <w:trPr>
          <w:trHeight w:val="265"/>
        </w:trPr>
        <w:tc>
          <w:tcPr>
            <w:tcW w:w="1729" w:type="dxa"/>
            <w:tcBorders>
              <w:top w:val="nil"/>
              <w:left w:val="single" w:sz="4" w:space="0" w:color="auto"/>
              <w:bottom w:val="single" w:sz="4" w:space="0" w:color="auto"/>
              <w:right w:val="single" w:sz="4" w:space="0" w:color="auto"/>
            </w:tcBorders>
            <w:shd w:val="clear" w:color="auto" w:fill="auto"/>
            <w:noWrap/>
            <w:vAlign w:val="center"/>
            <w:hideMark/>
          </w:tcPr>
          <w:p w14:paraId="455EC423" w14:textId="77777777" w:rsidR="004D7FB3" w:rsidRPr="004D7FB3" w:rsidRDefault="004D7FB3" w:rsidP="004D7FB3">
            <w:pPr>
              <w:rPr>
                <w:rFonts w:ascii="Arial Narrow" w:hAnsi="Arial Narrow"/>
                <w:b/>
                <w:sz w:val="20"/>
                <w:szCs w:val="20"/>
                <w:lang w:eastAsia="bg-BG"/>
              </w:rPr>
            </w:pPr>
            <w:r w:rsidRPr="004D7FB3">
              <w:rPr>
                <w:rFonts w:ascii="Arial Narrow" w:hAnsi="Arial Narrow"/>
                <w:sz w:val="20"/>
                <w:szCs w:val="20"/>
                <w:lang w:eastAsia="bg-BG"/>
              </w:rPr>
              <w:t>МеК-РП</w:t>
            </w:r>
          </w:p>
        </w:tc>
        <w:tc>
          <w:tcPr>
            <w:tcW w:w="1734" w:type="dxa"/>
            <w:tcBorders>
              <w:top w:val="nil"/>
              <w:left w:val="nil"/>
              <w:bottom w:val="single" w:sz="4" w:space="0" w:color="auto"/>
              <w:right w:val="single" w:sz="4" w:space="0" w:color="auto"/>
            </w:tcBorders>
            <w:shd w:val="clear" w:color="auto" w:fill="auto"/>
            <w:noWrap/>
            <w:vAlign w:val="center"/>
            <w:hideMark/>
          </w:tcPr>
          <w:p w14:paraId="5F974E47" w14:textId="77777777" w:rsidR="004D7FB3" w:rsidRPr="004D7FB3" w:rsidRDefault="004D7FB3" w:rsidP="004D7FB3">
            <w:pPr>
              <w:jc w:val="right"/>
              <w:rPr>
                <w:rFonts w:ascii="Arial Narrow" w:hAnsi="Arial Narrow" w:cstheme="minorBidi"/>
                <w:color w:val="000000"/>
                <w:sz w:val="20"/>
                <w:szCs w:val="20"/>
              </w:rPr>
            </w:pPr>
            <w:r w:rsidRPr="004D7FB3">
              <w:rPr>
                <w:rFonts w:ascii="Arial Narrow" w:hAnsi="Arial Narrow" w:cstheme="minorBidi"/>
                <w:color w:val="000000"/>
                <w:sz w:val="20"/>
                <w:szCs w:val="20"/>
              </w:rPr>
              <w:t>219</w:t>
            </w:r>
          </w:p>
        </w:tc>
        <w:tc>
          <w:tcPr>
            <w:tcW w:w="1591" w:type="dxa"/>
            <w:tcBorders>
              <w:top w:val="nil"/>
              <w:left w:val="nil"/>
              <w:bottom w:val="single" w:sz="4" w:space="0" w:color="auto"/>
              <w:right w:val="single" w:sz="4" w:space="0" w:color="auto"/>
            </w:tcBorders>
            <w:shd w:val="clear" w:color="auto" w:fill="auto"/>
            <w:noWrap/>
            <w:vAlign w:val="center"/>
            <w:hideMark/>
          </w:tcPr>
          <w:p w14:paraId="4AA2D248" w14:textId="77777777" w:rsidR="004D7FB3" w:rsidRPr="004D7FB3" w:rsidRDefault="004D7FB3" w:rsidP="004D7FB3">
            <w:pPr>
              <w:jc w:val="right"/>
              <w:rPr>
                <w:rFonts w:ascii="Arial Narrow" w:hAnsi="Arial Narrow" w:cstheme="minorBidi"/>
                <w:color w:val="000000"/>
                <w:sz w:val="20"/>
                <w:szCs w:val="20"/>
              </w:rPr>
            </w:pPr>
            <w:r w:rsidRPr="004D7FB3">
              <w:rPr>
                <w:rFonts w:ascii="Arial Narrow" w:hAnsi="Arial Narrow" w:cstheme="minorBidi"/>
                <w:color w:val="000000"/>
                <w:sz w:val="20"/>
                <w:szCs w:val="20"/>
              </w:rPr>
              <w:t>218</w:t>
            </w:r>
          </w:p>
        </w:tc>
        <w:tc>
          <w:tcPr>
            <w:tcW w:w="1156" w:type="dxa"/>
            <w:tcBorders>
              <w:top w:val="nil"/>
              <w:left w:val="nil"/>
              <w:bottom w:val="single" w:sz="4" w:space="0" w:color="auto"/>
              <w:right w:val="single" w:sz="4" w:space="0" w:color="auto"/>
            </w:tcBorders>
            <w:shd w:val="clear" w:color="auto" w:fill="auto"/>
            <w:noWrap/>
            <w:vAlign w:val="center"/>
            <w:hideMark/>
          </w:tcPr>
          <w:p w14:paraId="636A01D9" w14:textId="77777777" w:rsidR="004D7FB3" w:rsidRPr="004D7FB3" w:rsidRDefault="004D7FB3" w:rsidP="006F0A56">
            <w:pPr>
              <w:jc w:val="center"/>
              <w:rPr>
                <w:rFonts w:ascii="Arial Narrow" w:hAnsi="Arial Narrow"/>
                <w:b/>
                <w:sz w:val="20"/>
                <w:szCs w:val="20"/>
                <w:lang w:eastAsia="bg-BG"/>
              </w:rPr>
            </w:pPr>
            <w:r w:rsidRPr="004D7FB3">
              <w:rPr>
                <w:rFonts w:ascii="Arial Narrow" w:hAnsi="Arial Narrow"/>
                <w:sz w:val="20"/>
                <w:szCs w:val="20"/>
                <w:lang w:eastAsia="bg-BG"/>
              </w:rPr>
              <w:t>100</w:t>
            </w:r>
          </w:p>
        </w:tc>
        <w:tc>
          <w:tcPr>
            <w:tcW w:w="1156" w:type="dxa"/>
            <w:tcBorders>
              <w:top w:val="nil"/>
              <w:left w:val="nil"/>
              <w:bottom w:val="single" w:sz="4" w:space="0" w:color="auto"/>
              <w:right w:val="single" w:sz="4" w:space="0" w:color="auto"/>
            </w:tcBorders>
            <w:shd w:val="clear" w:color="auto" w:fill="auto"/>
            <w:noWrap/>
            <w:vAlign w:val="center"/>
            <w:hideMark/>
          </w:tcPr>
          <w:p w14:paraId="74D5DF09" w14:textId="77777777" w:rsidR="004D7FB3" w:rsidRPr="004D7FB3" w:rsidRDefault="004D7FB3" w:rsidP="006F0A56">
            <w:pPr>
              <w:jc w:val="center"/>
              <w:rPr>
                <w:rFonts w:ascii="Arial Narrow" w:hAnsi="Arial Narrow"/>
                <w:b/>
                <w:sz w:val="20"/>
                <w:szCs w:val="20"/>
                <w:lang w:eastAsia="bg-BG"/>
              </w:rPr>
            </w:pPr>
            <w:r w:rsidRPr="004D7FB3">
              <w:rPr>
                <w:rFonts w:ascii="Arial Narrow" w:hAnsi="Arial Narrow"/>
                <w:sz w:val="20"/>
                <w:szCs w:val="20"/>
                <w:lang w:eastAsia="bg-BG"/>
              </w:rPr>
              <w:t>-</w:t>
            </w:r>
          </w:p>
        </w:tc>
        <w:tc>
          <w:tcPr>
            <w:tcW w:w="868" w:type="dxa"/>
            <w:tcBorders>
              <w:top w:val="nil"/>
              <w:left w:val="nil"/>
              <w:bottom w:val="single" w:sz="4" w:space="0" w:color="auto"/>
              <w:right w:val="single" w:sz="4" w:space="0" w:color="auto"/>
            </w:tcBorders>
            <w:shd w:val="clear" w:color="auto" w:fill="auto"/>
            <w:noWrap/>
            <w:vAlign w:val="center"/>
            <w:hideMark/>
          </w:tcPr>
          <w:p w14:paraId="4BDA4A1D" w14:textId="77777777" w:rsidR="004D7FB3" w:rsidRPr="004D7FB3" w:rsidRDefault="004D7FB3" w:rsidP="006F0A56">
            <w:pPr>
              <w:jc w:val="center"/>
              <w:rPr>
                <w:rFonts w:ascii="Arial Narrow" w:hAnsi="Arial Narrow"/>
                <w:b/>
                <w:sz w:val="20"/>
                <w:szCs w:val="20"/>
                <w:lang w:eastAsia="bg-BG"/>
              </w:rPr>
            </w:pPr>
            <w:r w:rsidRPr="004D7FB3">
              <w:rPr>
                <w:rFonts w:ascii="Arial Narrow" w:hAnsi="Arial Narrow"/>
                <w:sz w:val="20"/>
                <w:szCs w:val="20"/>
                <w:lang w:eastAsia="bg-BG"/>
              </w:rPr>
              <w:t>-</w:t>
            </w:r>
          </w:p>
        </w:tc>
        <w:tc>
          <w:tcPr>
            <w:tcW w:w="1547" w:type="dxa"/>
            <w:tcBorders>
              <w:top w:val="nil"/>
              <w:left w:val="nil"/>
              <w:bottom w:val="single" w:sz="4" w:space="0" w:color="auto"/>
              <w:right w:val="single" w:sz="4" w:space="0" w:color="auto"/>
            </w:tcBorders>
            <w:shd w:val="clear" w:color="auto" w:fill="auto"/>
            <w:noWrap/>
            <w:vAlign w:val="center"/>
            <w:hideMark/>
          </w:tcPr>
          <w:p w14:paraId="105A1F78" w14:textId="77777777" w:rsidR="004D7FB3" w:rsidRPr="004D7FB3" w:rsidRDefault="004D7FB3" w:rsidP="006F0A56">
            <w:pPr>
              <w:jc w:val="right"/>
              <w:rPr>
                <w:rFonts w:ascii="Arial Narrow" w:hAnsi="Arial Narrow"/>
                <w:b/>
                <w:sz w:val="20"/>
                <w:szCs w:val="20"/>
                <w:lang w:eastAsia="bg-BG"/>
              </w:rPr>
            </w:pPr>
            <w:r w:rsidRPr="004D7FB3">
              <w:rPr>
                <w:rFonts w:ascii="Arial Narrow" w:hAnsi="Arial Narrow"/>
                <w:sz w:val="20"/>
                <w:szCs w:val="20"/>
                <w:lang w:eastAsia="bg-BG"/>
              </w:rPr>
              <w:t>4 954 862</w:t>
            </w:r>
          </w:p>
        </w:tc>
      </w:tr>
      <w:tr w:rsidR="004D7FB3" w:rsidRPr="004D7FB3" w14:paraId="575C8459" w14:textId="77777777" w:rsidTr="008B7C13">
        <w:trPr>
          <w:trHeight w:val="265"/>
        </w:trPr>
        <w:tc>
          <w:tcPr>
            <w:tcW w:w="1729" w:type="dxa"/>
            <w:tcBorders>
              <w:top w:val="nil"/>
              <w:left w:val="single" w:sz="4" w:space="0" w:color="auto"/>
              <w:bottom w:val="single" w:sz="4" w:space="0" w:color="auto"/>
              <w:right w:val="single" w:sz="4" w:space="0" w:color="auto"/>
            </w:tcBorders>
            <w:shd w:val="clear" w:color="auto" w:fill="auto"/>
            <w:noWrap/>
            <w:vAlign w:val="center"/>
            <w:hideMark/>
          </w:tcPr>
          <w:p w14:paraId="01EEA412" w14:textId="77777777" w:rsidR="004D7FB3" w:rsidRPr="004D7FB3" w:rsidRDefault="004D7FB3" w:rsidP="004D7FB3">
            <w:pPr>
              <w:rPr>
                <w:rFonts w:ascii="Arial Narrow" w:hAnsi="Arial Narrow"/>
                <w:b/>
                <w:sz w:val="20"/>
                <w:szCs w:val="20"/>
                <w:lang w:eastAsia="bg-BG"/>
              </w:rPr>
            </w:pPr>
            <w:r w:rsidRPr="004D7FB3">
              <w:rPr>
                <w:rFonts w:ascii="Arial Narrow" w:hAnsi="Arial Narrow"/>
                <w:sz w:val="20"/>
                <w:szCs w:val="20"/>
                <w:lang w:eastAsia="bg-BG"/>
              </w:rPr>
              <w:t>К-ЗП</w:t>
            </w:r>
          </w:p>
        </w:tc>
        <w:tc>
          <w:tcPr>
            <w:tcW w:w="1734" w:type="dxa"/>
            <w:tcBorders>
              <w:top w:val="nil"/>
              <w:left w:val="nil"/>
              <w:bottom w:val="single" w:sz="4" w:space="0" w:color="auto"/>
              <w:right w:val="single" w:sz="4" w:space="0" w:color="auto"/>
            </w:tcBorders>
            <w:shd w:val="clear" w:color="auto" w:fill="auto"/>
            <w:noWrap/>
            <w:vAlign w:val="center"/>
            <w:hideMark/>
          </w:tcPr>
          <w:p w14:paraId="3B18FF8F" w14:textId="77777777" w:rsidR="004D7FB3" w:rsidRPr="004D7FB3" w:rsidRDefault="004D7FB3" w:rsidP="004D7FB3">
            <w:pPr>
              <w:jc w:val="right"/>
              <w:rPr>
                <w:rFonts w:ascii="Arial Narrow" w:hAnsi="Arial Narrow" w:cstheme="minorBidi"/>
                <w:color w:val="000000"/>
                <w:sz w:val="20"/>
                <w:szCs w:val="20"/>
              </w:rPr>
            </w:pPr>
            <w:r w:rsidRPr="004D7FB3">
              <w:rPr>
                <w:rFonts w:ascii="Arial Narrow" w:hAnsi="Arial Narrow" w:cstheme="minorBidi"/>
                <w:color w:val="000000"/>
                <w:sz w:val="20"/>
                <w:szCs w:val="20"/>
              </w:rPr>
              <w:t>484</w:t>
            </w:r>
          </w:p>
        </w:tc>
        <w:tc>
          <w:tcPr>
            <w:tcW w:w="1591" w:type="dxa"/>
            <w:tcBorders>
              <w:top w:val="nil"/>
              <w:left w:val="nil"/>
              <w:bottom w:val="single" w:sz="4" w:space="0" w:color="auto"/>
              <w:right w:val="single" w:sz="4" w:space="0" w:color="auto"/>
            </w:tcBorders>
            <w:shd w:val="clear" w:color="auto" w:fill="auto"/>
            <w:noWrap/>
            <w:vAlign w:val="center"/>
            <w:hideMark/>
          </w:tcPr>
          <w:p w14:paraId="4910F38F" w14:textId="77777777" w:rsidR="004D7FB3" w:rsidRPr="004D7FB3" w:rsidRDefault="004D7FB3" w:rsidP="004D7FB3">
            <w:pPr>
              <w:jc w:val="right"/>
              <w:rPr>
                <w:rFonts w:ascii="Arial Narrow" w:hAnsi="Arial Narrow" w:cstheme="minorBidi"/>
                <w:color w:val="000000"/>
                <w:sz w:val="20"/>
                <w:szCs w:val="20"/>
              </w:rPr>
            </w:pPr>
            <w:r w:rsidRPr="004D7FB3">
              <w:rPr>
                <w:rFonts w:ascii="Arial Narrow" w:hAnsi="Arial Narrow" w:cstheme="minorBidi"/>
                <w:color w:val="000000"/>
                <w:sz w:val="20"/>
                <w:szCs w:val="20"/>
              </w:rPr>
              <w:t>484</w:t>
            </w:r>
          </w:p>
        </w:tc>
        <w:tc>
          <w:tcPr>
            <w:tcW w:w="1156" w:type="dxa"/>
            <w:tcBorders>
              <w:top w:val="nil"/>
              <w:left w:val="nil"/>
              <w:bottom w:val="single" w:sz="4" w:space="0" w:color="auto"/>
              <w:right w:val="single" w:sz="4" w:space="0" w:color="auto"/>
            </w:tcBorders>
            <w:shd w:val="clear" w:color="auto" w:fill="auto"/>
            <w:noWrap/>
            <w:vAlign w:val="center"/>
            <w:hideMark/>
          </w:tcPr>
          <w:p w14:paraId="2A5C80EE" w14:textId="77777777" w:rsidR="004D7FB3" w:rsidRPr="004D7FB3" w:rsidRDefault="004D7FB3" w:rsidP="006F0A56">
            <w:pPr>
              <w:jc w:val="center"/>
              <w:rPr>
                <w:rFonts w:ascii="Arial Narrow" w:hAnsi="Arial Narrow"/>
                <w:b/>
                <w:sz w:val="20"/>
                <w:szCs w:val="20"/>
                <w:lang w:eastAsia="bg-BG"/>
              </w:rPr>
            </w:pPr>
            <w:r w:rsidRPr="004D7FB3">
              <w:rPr>
                <w:rFonts w:ascii="Arial Narrow" w:hAnsi="Arial Narrow"/>
                <w:sz w:val="20"/>
                <w:szCs w:val="20"/>
                <w:lang w:eastAsia="bg-BG"/>
              </w:rPr>
              <w:t>100</w:t>
            </w:r>
          </w:p>
        </w:tc>
        <w:tc>
          <w:tcPr>
            <w:tcW w:w="1156" w:type="dxa"/>
            <w:tcBorders>
              <w:top w:val="nil"/>
              <w:left w:val="nil"/>
              <w:bottom w:val="single" w:sz="4" w:space="0" w:color="auto"/>
              <w:right w:val="single" w:sz="4" w:space="0" w:color="auto"/>
            </w:tcBorders>
            <w:shd w:val="clear" w:color="auto" w:fill="auto"/>
            <w:noWrap/>
            <w:vAlign w:val="center"/>
            <w:hideMark/>
          </w:tcPr>
          <w:p w14:paraId="39CAE4FB" w14:textId="77777777" w:rsidR="004D7FB3" w:rsidRPr="004D7FB3" w:rsidRDefault="004D7FB3" w:rsidP="006F0A56">
            <w:pPr>
              <w:jc w:val="center"/>
              <w:rPr>
                <w:rFonts w:ascii="Arial Narrow" w:hAnsi="Arial Narrow"/>
                <w:b/>
                <w:sz w:val="20"/>
                <w:szCs w:val="20"/>
                <w:lang w:eastAsia="bg-BG"/>
              </w:rPr>
            </w:pPr>
            <w:r w:rsidRPr="004D7FB3">
              <w:rPr>
                <w:rFonts w:ascii="Arial Narrow" w:hAnsi="Arial Narrow"/>
                <w:sz w:val="20"/>
                <w:szCs w:val="20"/>
                <w:lang w:eastAsia="bg-BG"/>
              </w:rPr>
              <w:t>-</w:t>
            </w:r>
          </w:p>
        </w:tc>
        <w:tc>
          <w:tcPr>
            <w:tcW w:w="868" w:type="dxa"/>
            <w:tcBorders>
              <w:top w:val="nil"/>
              <w:left w:val="nil"/>
              <w:bottom w:val="single" w:sz="4" w:space="0" w:color="auto"/>
              <w:right w:val="single" w:sz="4" w:space="0" w:color="auto"/>
            </w:tcBorders>
            <w:shd w:val="clear" w:color="auto" w:fill="auto"/>
            <w:noWrap/>
            <w:vAlign w:val="center"/>
            <w:hideMark/>
          </w:tcPr>
          <w:p w14:paraId="37BF45B4" w14:textId="77777777" w:rsidR="004D7FB3" w:rsidRPr="004D7FB3" w:rsidRDefault="004D7FB3" w:rsidP="006F0A56">
            <w:pPr>
              <w:jc w:val="center"/>
              <w:rPr>
                <w:rFonts w:ascii="Arial Narrow" w:hAnsi="Arial Narrow"/>
                <w:b/>
                <w:sz w:val="20"/>
                <w:szCs w:val="20"/>
                <w:lang w:eastAsia="bg-BG"/>
              </w:rPr>
            </w:pPr>
            <w:r w:rsidRPr="004D7FB3">
              <w:rPr>
                <w:rFonts w:ascii="Arial Narrow" w:hAnsi="Arial Narrow"/>
                <w:sz w:val="20"/>
                <w:szCs w:val="20"/>
                <w:lang w:eastAsia="bg-BG"/>
              </w:rPr>
              <w:t>-</w:t>
            </w:r>
          </w:p>
        </w:tc>
        <w:tc>
          <w:tcPr>
            <w:tcW w:w="1547" w:type="dxa"/>
            <w:tcBorders>
              <w:top w:val="nil"/>
              <w:left w:val="nil"/>
              <w:bottom w:val="single" w:sz="4" w:space="0" w:color="auto"/>
              <w:right w:val="single" w:sz="4" w:space="0" w:color="auto"/>
            </w:tcBorders>
            <w:shd w:val="clear" w:color="auto" w:fill="auto"/>
            <w:noWrap/>
            <w:vAlign w:val="center"/>
            <w:hideMark/>
          </w:tcPr>
          <w:p w14:paraId="3FE1E009" w14:textId="77777777" w:rsidR="004D7FB3" w:rsidRPr="004D7FB3" w:rsidRDefault="004D7FB3" w:rsidP="006F0A56">
            <w:pPr>
              <w:jc w:val="right"/>
              <w:rPr>
                <w:rFonts w:ascii="Arial Narrow" w:hAnsi="Arial Narrow"/>
                <w:b/>
                <w:sz w:val="20"/>
                <w:szCs w:val="20"/>
                <w:lang w:eastAsia="bg-BG"/>
              </w:rPr>
            </w:pPr>
            <w:r w:rsidRPr="004D7FB3">
              <w:rPr>
                <w:rFonts w:ascii="Arial Narrow" w:hAnsi="Arial Narrow"/>
                <w:sz w:val="20"/>
                <w:szCs w:val="20"/>
                <w:lang w:eastAsia="bg-BG"/>
              </w:rPr>
              <w:t>6 170 994</w:t>
            </w:r>
          </w:p>
        </w:tc>
      </w:tr>
      <w:tr w:rsidR="004D7FB3" w:rsidRPr="004D7FB3" w14:paraId="44A212F0" w14:textId="77777777" w:rsidTr="008B7C13">
        <w:trPr>
          <w:trHeight w:val="265"/>
        </w:trPr>
        <w:tc>
          <w:tcPr>
            <w:tcW w:w="1729" w:type="dxa"/>
            <w:tcBorders>
              <w:top w:val="nil"/>
              <w:left w:val="single" w:sz="4" w:space="0" w:color="auto"/>
              <w:bottom w:val="single" w:sz="4" w:space="0" w:color="auto"/>
              <w:right w:val="single" w:sz="4" w:space="0" w:color="auto"/>
            </w:tcBorders>
            <w:shd w:val="clear" w:color="auto" w:fill="auto"/>
            <w:noWrap/>
            <w:vAlign w:val="center"/>
            <w:hideMark/>
          </w:tcPr>
          <w:p w14:paraId="134E2453" w14:textId="77777777" w:rsidR="004D7FB3" w:rsidRPr="004D7FB3" w:rsidRDefault="004D7FB3" w:rsidP="004D7FB3">
            <w:pPr>
              <w:rPr>
                <w:rFonts w:ascii="Arial Narrow" w:hAnsi="Arial Narrow"/>
                <w:b/>
                <w:sz w:val="20"/>
                <w:szCs w:val="20"/>
                <w:lang w:eastAsia="bg-BG"/>
              </w:rPr>
            </w:pPr>
            <w:r w:rsidRPr="004D7FB3">
              <w:rPr>
                <w:rFonts w:ascii="Arial Narrow" w:hAnsi="Arial Narrow"/>
                <w:sz w:val="20"/>
                <w:szCs w:val="20"/>
                <w:lang w:eastAsia="bg-BG"/>
              </w:rPr>
              <w:t>Г-пл</w:t>
            </w:r>
          </w:p>
        </w:tc>
        <w:tc>
          <w:tcPr>
            <w:tcW w:w="1734" w:type="dxa"/>
            <w:tcBorders>
              <w:top w:val="nil"/>
              <w:left w:val="nil"/>
              <w:bottom w:val="single" w:sz="4" w:space="0" w:color="auto"/>
              <w:right w:val="single" w:sz="4" w:space="0" w:color="auto"/>
            </w:tcBorders>
            <w:shd w:val="clear" w:color="auto" w:fill="auto"/>
            <w:noWrap/>
            <w:vAlign w:val="center"/>
            <w:hideMark/>
          </w:tcPr>
          <w:p w14:paraId="37D43D66" w14:textId="77777777" w:rsidR="004D7FB3" w:rsidRPr="004D7FB3" w:rsidRDefault="004D7FB3" w:rsidP="004D7FB3">
            <w:pPr>
              <w:jc w:val="right"/>
              <w:rPr>
                <w:rFonts w:ascii="Arial Narrow" w:hAnsi="Arial Narrow" w:cstheme="minorBidi"/>
                <w:color w:val="000000"/>
                <w:sz w:val="20"/>
                <w:szCs w:val="20"/>
              </w:rPr>
            </w:pPr>
            <w:r w:rsidRPr="004D7FB3">
              <w:rPr>
                <w:rFonts w:ascii="Arial Narrow" w:hAnsi="Arial Narrow" w:cstheme="minorBidi"/>
                <w:color w:val="000000"/>
                <w:sz w:val="20"/>
                <w:szCs w:val="20"/>
              </w:rPr>
              <w:t>579</w:t>
            </w:r>
          </w:p>
        </w:tc>
        <w:tc>
          <w:tcPr>
            <w:tcW w:w="1591" w:type="dxa"/>
            <w:tcBorders>
              <w:top w:val="nil"/>
              <w:left w:val="nil"/>
              <w:bottom w:val="single" w:sz="4" w:space="0" w:color="auto"/>
              <w:right w:val="single" w:sz="4" w:space="0" w:color="auto"/>
            </w:tcBorders>
            <w:shd w:val="clear" w:color="auto" w:fill="auto"/>
            <w:noWrap/>
            <w:vAlign w:val="center"/>
            <w:hideMark/>
          </w:tcPr>
          <w:p w14:paraId="64444333" w14:textId="77777777" w:rsidR="004D7FB3" w:rsidRPr="004D7FB3" w:rsidRDefault="004D7FB3" w:rsidP="004D7FB3">
            <w:pPr>
              <w:jc w:val="right"/>
              <w:rPr>
                <w:rFonts w:ascii="Arial Narrow" w:hAnsi="Arial Narrow" w:cstheme="minorBidi"/>
                <w:color w:val="000000"/>
                <w:sz w:val="20"/>
                <w:szCs w:val="20"/>
              </w:rPr>
            </w:pPr>
            <w:r w:rsidRPr="004D7FB3">
              <w:rPr>
                <w:rFonts w:ascii="Arial Narrow" w:hAnsi="Arial Narrow" w:cstheme="minorBidi"/>
                <w:color w:val="000000"/>
                <w:sz w:val="20"/>
                <w:szCs w:val="20"/>
              </w:rPr>
              <w:t>571</w:t>
            </w:r>
          </w:p>
        </w:tc>
        <w:tc>
          <w:tcPr>
            <w:tcW w:w="1156" w:type="dxa"/>
            <w:tcBorders>
              <w:top w:val="nil"/>
              <w:left w:val="nil"/>
              <w:bottom w:val="single" w:sz="4" w:space="0" w:color="auto"/>
              <w:right w:val="single" w:sz="4" w:space="0" w:color="auto"/>
            </w:tcBorders>
            <w:shd w:val="clear" w:color="auto" w:fill="auto"/>
            <w:noWrap/>
            <w:vAlign w:val="center"/>
            <w:hideMark/>
          </w:tcPr>
          <w:p w14:paraId="29D2F0DE" w14:textId="77777777" w:rsidR="004D7FB3" w:rsidRPr="004D7FB3" w:rsidRDefault="004D7FB3" w:rsidP="006F0A56">
            <w:pPr>
              <w:jc w:val="center"/>
              <w:rPr>
                <w:rFonts w:ascii="Arial Narrow" w:hAnsi="Arial Narrow"/>
                <w:b/>
                <w:sz w:val="20"/>
                <w:szCs w:val="20"/>
                <w:lang w:eastAsia="bg-BG"/>
              </w:rPr>
            </w:pPr>
            <w:r w:rsidRPr="004D7FB3">
              <w:rPr>
                <w:rFonts w:ascii="Arial Narrow" w:hAnsi="Arial Narrow"/>
                <w:sz w:val="20"/>
                <w:szCs w:val="20"/>
                <w:lang w:eastAsia="bg-BG"/>
              </w:rPr>
              <w:t>100</w:t>
            </w:r>
          </w:p>
        </w:tc>
        <w:tc>
          <w:tcPr>
            <w:tcW w:w="1156" w:type="dxa"/>
            <w:tcBorders>
              <w:top w:val="nil"/>
              <w:left w:val="nil"/>
              <w:bottom w:val="single" w:sz="4" w:space="0" w:color="auto"/>
              <w:right w:val="single" w:sz="4" w:space="0" w:color="auto"/>
            </w:tcBorders>
            <w:shd w:val="clear" w:color="auto" w:fill="auto"/>
            <w:noWrap/>
            <w:vAlign w:val="center"/>
            <w:hideMark/>
          </w:tcPr>
          <w:p w14:paraId="1C6F395C" w14:textId="77777777" w:rsidR="004D7FB3" w:rsidRPr="004D7FB3" w:rsidRDefault="004D7FB3" w:rsidP="006F0A56">
            <w:pPr>
              <w:jc w:val="center"/>
              <w:rPr>
                <w:rFonts w:ascii="Arial Narrow" w:hAnsi="Arial Narrow"/>
                <w:b/>
                <w:sz w:val="20"/>
                <w:szCs w:val="20"/>
                <w:lang w:eastAsia="bg-BG"/>
              </w:rPr>
            </w:pPr>
            <w:r w:rsidRPr="004D7FB3">
              <w:rPr>
                <w:rFonts w:ascii="Arial Narrow" w:hAnsi="Arial Narrow"/>
                <w:sz w:val="20"/>
                <w:szCs w:val="20"/>
                <w:lang w:eastAsia="bg-BG"/>
              </w:rPr>
              <w:t>-</w:t>
            </w:r>
          </w:p>
        </w:tc>
        <w:tc>
          <w:tcPr>
            <w:tcW w:w="868" w:type="dxa"/>
            <w:tcBorders>
              <w:top w:val="nil"/>
              <w:left w:val="nil"/>
              <w:bottom w:val="single" w:sz="4" w:space="0" w:color="auto"/>
              <w:right w:val="single" w:sz="4" w:space="0" w:color="auto"/>
            </w:tcBorders>
            <w:shd w:val="clear" w:color="auto" w:fill="auto"/>
            <w:noWrap/>
            <w:vAlign w:val="center"/>
            <w:hideMark/>
          </w:tcPr>
          <w:p w14:paraId="71F8478D" w14:textId="77777777" w:rsidR="004D7FB3" w:rsidRPr="004D7FB3" w:rsidRDefault="004D7FB3" w:rsidP="006F0A56">
            <w:pPr>
              <w:jc w:val="center"/>
              <w:rPr>
                <w:rFonts w:ascii="Arial Narrow" w:hAnsi="Arial Narrow"/>
                <w:b/>
                <w:sz w:val="20"/>
                <w:szCs w:val="20"/>
                <w:lang w:eastAsia="bg-BG"/>
              </w:rPr>
            </w:pPr>
            <w:r w:rsidRPr="004D7FB3">
              <w:rPr>
                <w:rFonts w:ascii="Arial Narrow" w:hAnsi="Arial Narrow"/>
                <w:sz w:val="20"/>
                <w:szCs w:val="20"/>
                <w:lang w:eastAsia="bg-BG"/>
              </w:rPr>
              <w:t>-</w:t>
            </w:r>
          </w:p>
        </w:tc>
        <w:tc>
          <w:tcPr>
            <w:tcW w:w="1547" w:type="dxa"/>
            <w:tcBorders>
              <w:top w:val="nil"/>
              <w:left w:val="nil"/>
              <w:bottom w:val="single" w:sz="4" w:space="0" w:color="auto"/>
              <w:right w:val="single" w:sz="4" w:space="0" w:color="auto"/>
            </w:tcBorders>
            <w:shd w:val="clear" w:color="auto" w:fill="auto"/>
            <w:noWrap/>
            <w:vAlign w:val="center"/>
            <w:hideMark/>
          </w:tcPr>
          <w:p w14:paraId="5CDDD0DA" w14:textId="77777777" w:rsidR="004D7FB3" w:rsidRPr="004D7FB3" w:rsidRDefault="004D7FB3" w:rsidP="006F0A56">
            <w:pPr>
              <w:jc w:val="right"/>
              <w:rPr>
                <w:rFonts w:ascii="Arial Narrow" w:hAnsi="Arial Narrow"/>
                <w:b/>
                <w:sz w:val="20"/>
                <w:szCs w:val="20"/>
                <w:lang w:eastAsia="bg-BG"/>
              </w:rPr>
            </w:pPr>
            <w:r w:rsidRPr="004D7FB3">
              <w:rPr>
                <w:rFonts w:ascii="Arial Narrow" w:hAnsi="Arial Narrow"/>
                <w:sz w:val="20"/>
                <w:szCs w:val="20"/>
                <w:lang w:eastAsia="bg-BG"/>
              </w:rPr>
              <w:t>1 086 647</w:t>
            </w:r>
          </w:p>
        </w:tc>
      </w:tr>
      <w:tr w:rsidR="004D7FB3" w:rsidRPr="004D7FB3" w14:paraId="16B174C0" w14:textId="77777777" w:rsidTr="008B7C13">
        <w:trPr>
          <w:trHeight w:val="265"/>
        </w:trPr>
        <w:tc>
          <w:tcPr>
            <w:tcW w:w="1729" w:type="dxa"/>
            <w:tcBorders>
              <w:top w:val="nil"/>
              <w:left w:val="single" w:sz="4" w:space="0" w:color="auto"/>
              <w:bottom w:val="single" w:sz="4" w:space="0" w:color="auto"/>
              <w:right w:val="single" w:sz="4" w:space="0" w:color="auto"/>
            </w:tcBorders>
            <w:shd w:val="clear" w:color="auto" w:fill="auto"/>
            <w:noWrap/>
            <w:vAlign w:val="center"/>
            <w:hideMark/>
          </w:tcPr>
          <w:p w14:paraId="18BD4F91" w14:textId="77777777" w:rsidR="004D7FB3" w:rsidRPr="004D7FB3" w:rsidRDefault="004D7FB3" w:rsidP="004D7FB3">
            <w:pPr>
              <w:rPr>
                <w:rFonts w:ascii="Arial Narrow" w:hAnsi="Arial Narrow"/>
                <w:b/>
                <w:sz w:val="20"/>
                <w:szCs w:val="20"/>
                <w:lang w:eastAsia="bg-BG"/>
              </w:rPr>
            </w:pPr>
            <w:r w:rsidRPr="004D7FB3">
              <w:rPr>
                <w:rFonts w:ascii="Arial Narrow" w:hAnsi="Arial Narrow"/>
                <w:sz w:val="20"/>
                <w:szCs w:val="20"/>
                <w:lang w:eastAsia="bg-BG"/>
              </w:rPr>
              <w:t>Биволи</w:t>
            </w:r>
          </w:p>
        </w:tc>
        <w:tc>
          <w:tcPr>
            <w:tcW w:w="1734" w:type="dxa"/>
            <w:tcBorders>
              <w:top w:val="nil"/>
              <w:left w:val="nil"/>
              <w:bottom w:val="single" w:sz="4" w:space="0" w:color="auto"/>
              <w:right w:val="single" w:sz="4" w:space="0" w:color="auto"/>
            </w:tcBorders>
            <w:shd w:val="clear" w:color="auto" w:fill="auto"/>
            <w:noWrap/>
            <w:vAlign w:val="center"/>
            <w:hideMark/>
          </w:tcPr>
          <w:p w14:paraId="31A22101" w14:textId="77777777" w:rsidR="004D7FB3" w:rsidRPr="004D7FB3" w:rsidRDefault="004D7FB3" w:rsidP="004D7FB3">
            <w:pPr>
              <w:jc w:val="right"/>
              <w:rPr>
                <w:rFonts w:ascii="Arial Narrow" w:hAnsi="Arial Narrow" w:cstheme="minorBidi"/>
                <w:color w:val="000000"/>
                <w:sz w:val="20"/>
                <w:szCs w:val="20"/>
              </w:rPr>
            </w:pPr>
            <w:r w:rsidRPr="004D7FB3">
              <w:rPr>
                <w:rFonts w:ascii="Arial Narrow" w:hAnsi="Arial Narrow" w:cstheme="minorBidi"/>
                <w:color w:val="000000"/>
                <w:sz w:val="20"/>
                <w:szCs w:val="20"/>
              </w:rPr>
              <w:t>237</w:t>
            </w:r>
          </w:p>
        </w:tc>
        <w:tc>
          <w:tcPr>
            <w:tcW w:w="1591" w:type="dxa"/>
            <w:tcBorders>
              <w:top w:val="nil"/>
              <w:left w:val="nil"/>
              <w:bottom w:val="single" w:sz="4" w:space="0" w:color="auto"/>
              <w:right w:val="single" w:sz="4" w:space="0" w:color="auto"/>
            </w:tcBorders>
            <w:shd w:val="clear" w:color="auto" w:fill="auto"/>
            <w:noWrap/>
            <w:vAlign w:val="center"/>
            <w:hideMark/>
          </w:tcPr>
          <w:p w14:paraId="33D8E719" w14:textId="77777777" w:rsidR="004D7FB3" w:rsidRPr="004D7FB3" w:rsidRDefault="004D7FB3" w:rsidP="004D7FB3">
            <w:pPr>
              <w:jc w:val="right"/>
              <w:rPr>
                <w:rFonts w:ascii="Arial Narrow" w:hAnsi="Arial Narrow" w:cstheme="minorBidi"/>
                <w:color w:val="000000"/>
                <w:sz w:val="20"/>
                <w:szCs w:val="20"/>
              </w:rPr>
            </w:pPr>
            <w:r w:rsidRPr="004D7FB3">
              <w:rPr>
                <w:rFonts w:ascii="Arial Narrow" w:hAnsi="Arial Narrow" w:cstheme="minorBidi"/>
                <w:color w:val="000000"/>
                <w:sz w:val="20"/>
                <w:szCs w:val="20"/>
              </w:rPr>
              <w:t>233</w:t>
            </w:r>
          </w:p>
        </w:tc>
        <w:tc>
          <w:tcPr>
            <w:tcW w:w="1156" w:type="dxa"/>
            <w:tcBorders>
              <w:top w:val="nil"/>
              <w:left w:val="nil"/>
              <w:bottom w:val="single" w:sz="4" w:space="0" w:color="auto"/>
              <w:right w:val="single" w:sz="4" w:space="0" w:color="auto"/>
            </w:tcBorders>
            <w:shd w:val="clear" w:color="auto" w:fill="auto"/>
            <w:noWrap/>
            <w:vAlign w:val="center"/>
            <w:hideMark/>
          </w:tcPr>
          <w:p w14:paraId="23268BB7" w14:textId="77777777" w:rsidR="004D7FB3" w:rsidRPr="004D7FB3" w:rsidRDefault="004D7FB3" w:rsidP="006F0A56">
            <w:pPr>
              <w:jc w:val="center"/>
              <w:rPr>
                <w:rFonts w:ascii="Arial Narrow" w:hAnsi="Arial Narrow"/>
                <w:b/>
                <w:sz w:val="20"/>
                <w:szCs w:val="20"/>
                <w:lang w:eastAsia="bg-BG"/>
              </w:rPr>
            </w:pPr>
            <w:r w:rsidRPr="004D7FB3">
              <w:rPr>
                <w:rFonts w:ascii="Arial Narrow" w:hAnsi="Arial Narrow"/>
                <w:sz w:val="20"/>
                <w:szCs w:val="20"/>
                <w:lang w:eastAsia="bg-BG"/>
              </w:rPr>
              <w:t>100</w:t>
            </w:r>
          </w:p>
        </w:tc>
        <w:tc>
          <w:tcPr>
            <w:tcW w:w="1156" w:type="dxa"/>
            <w:tcBorders>
              <w:top w:val="nil"/>
              <w:left w:val="nil"/>
              <w:bottom w:val="single" w:sz="4" w:space="0" w:color="auto"/>
              <w:right w:val="single" w:sz="4" w:space="0" w:color="auto"/>
            </w:tcBorders>
            <w:shd w:val="clear" w:color="auto" w:fill="auto"/>
            <w:noWrap/>
            <w:vAlign w:val="center"/>
            <w:hideMark/>
          </w:tcPr>
          <w:p w14:paraId="18CAB8F6" w14:textId="77777777" w:rsidR="004D7FB3" w:rsidRPr="004D7FB3" w:rsidRDefault="004D7FB3" w:rsidP="006F0A56">
            <w:pPr>
              <w:jc w:val="center"/>
              <w:rPr>
                <w:rFonts w:ascii="Arial Narrow" w:hAnsi="Arial Narrow"/>
                <w:b/>
                <w:sz w:val="20"/>
                <w:szCs w:val="20"/>
                <w:lang w:eastAsia="bg-BG"/>
              </w:rPr>
            </w:pPr>
            <w:r w:rsidRPr="004D7FB3">
              <w:rPr>
                <w:rFonts w:ascii="Arial Narrow" w:hAnsi="Arial Narrow"/>
                <w:sz w:val="20"/>
                <w:szCs w:val="20"/>
                <w:lang w:eastAsia="bg-BG"/>
              </w:rPr>
              <w:t>-</w:t>
            </w:r>
          </w:p>
        </w:tc>
        <w:tc>
          <w:tcPr>
            <w:tcW w:w="868" w:type="dxa"/>
            <w:tcBorders>
              <w:top w:val="nil"/>
              <w:left w:val="nil"/>
              <w:bottom w:val="single" w:sz="4" w:space="0" w:color="auto"/>
              <w:right w:val="single" w:sz="4" w:space="0" w:color="auto"/>
            </w:tcBorders>
            <w:shd w:val="clear" w:color="auto" w:fill="auto"/>
            <w:noWrap/>
            <w:vAlign w:val="center"/>
            <w:hideMark/>
          </w:tcPr>
          <w:p w14:paraId="342661CD" w14:textId="77777777" w:rsidR="004D7FB3" w:rsidRPr="004D7FB3" w:rsidRDefault="004D7FB3" w:rsidP="006F0A56">
            <w:pPr>
              <w:jc w:val="center"/>
              <w:rPr>
                <w:rFonts w:ascii="Arial Narrow" w:hAnsi="Arial Narrow"/>
                <w:b/>
                <w:sz w:val="20"/>
                <w:szCs w:val="20"/>
                <w:lang w:eastAsia="bg-BG"/>
              </w:rPr>
            </w:pPr>
            <w:r w:rsidRPr="004D7FB3">
              <w:rPr>
                <w:rFonts w:ascii="Arial Narrow" w:hAnsi="Arial Narrow"/>
                <w:sz w:val="20"/>
                <w:szCs w:val="20"/>
                <w:lang w:eastAsia="bg-BG"/>
              </w:rPr>
              <w:t>-</w:t>
            </w:r>
          </w:p>
        </w:tc>
        <w:tc>
          <w:tcPr>
            <w:tcW w:w="1547" w:type="dxa"/>
            <w:tcBorders>
              <w:top w:val="nil"/>
              <w:left w:val="nil"/>
              <w:bottom w:val="single" w:sz="4" w:space="0" w:color="auto"/>
              <w:right w:val="single" w:sz="4" w:space="0" w:color="auto"/>
            </w:tcBorders>
            <w:shd w:val="clear" w:color="auto" w:fill="auto"/>
            <w:noWrap/>
            <w:vAlign w:val="center"/>
            <w:hideMark/>
          </w:tcPr>
          <w:p w14:paraId="3F82C44C" w14:textId="77777777" w:rsidR="004D7FB3" w:rsidRPr="004D7FB3" w:rsidRDefault="004D7FB3" w:rsidP="006F0A56">
            <w:pPr>
              <w:jc w:val="right"/>
              <w:rPr>
                <w:rFonts w:ascii="Arial Narrow" w:hAnsi="Arial Narrow"/>
                <w:b/>
                <w:sz w:val="20"/>
                <w:szCs w:val="20"/>
                <w:lang w:eastAsia="bg-BG"/>
              </w:rPr>
            </w:pPr>
            <w:r w:rsidRPr="004D7FB3">
              <w:rPr>
                <w:rFonts w:ascii="Arial Narrow" w:hAnsi="Arial Narrow"/>
                <w:sz w:val="20"/>
                <w:szCs w:val="20"/>
                <w:lang w:eastAsia="bg-BG"/>
              </w:rPr>
              <w:t>4 682 427</w:t>
            </w:r>
          </w:p>
        </w:tc>
      </w:tr>
      <w:tr w:rsidR="004D7FB3" w:rsidRPr="004D7FB3" w14:paraId="795184B8" w14:textId="77777777" w:rsidTr="008B7C13">
        <w:trPr>
          <w:trHeight w:val="265"/>
        </w:trPr>
        <w:tc>
          <w:tcPr>
            <w:tcW w:w="1729" w:type="dxa"/>
            <w:tcBorders>
              <w:top w:val="nil"/>
              <w:left w:val="single" w:sz="4" w:space="0" w:color="auto"/>
              <w:bottom w:val="single" w:sz="4" w:space="0" w:color="auto"/>
              <w:right w:val="single" w:sz="4" w:space="0" w:color="auto"/>
            </w:tcBorders>
            <w:shd w:val="clear" w:color="auto" w:fill="auto"/>
            <w:noWrap/>
            <w:vAlign w:val="center"/>
            <w:hideMark/>
          </w:tcPr>
          <w:p w14:paraId="30D894C3" w14:textId="77777777" w:rsidR="004D7FB3" w:rsidRPr="004D7FB3" w:rsidRDefault="004D7FB3" w:rsidP="004D7FB3">
            <w:pPr>
              <w:rPr>
                <w:rFonts w:ascii="Arial Narrow" w:hAnsi="Arial Narrow"/>
                <w:b/>
                <w:sz w:val="20"/>
                <w:szCs w:val="20"/>
                <w:lang w:eastAsia="bg-BG"/>
              </w:rPr>
            </w:pPr>
            <w:r w:rsidRPr="004D7FB3">
              <w:rPr>
                <w:rFonts w:ascii="Arial Narrow" w:hAnsi="Arial Narrow"/>
                <w:sz w:val="20"/>
                <w:szCs w:val="20"/>
                <w:lang w:eastAsia="bg-BG"/>
              </w:rPr>
              <w:t>ДПЖ-РП</w:t>
            </w:r>
          </w:p>
        </w:tc>
        <w:tc>
          <w:tcPr>
            <w:tcW w:w="1734" w:type="dxa"/>
            <w:tcBorders>
              <w:top w:val="nil"/>
              <w:left w:val="nil"/>
              <w:bottom w:val="single" w:sz="4" w:space="0" w:color="auto"/>
              <w:right w:val="single" w:sz="4" w:space="0" w:color="auto"/>
            </w:tcBorders>
            <w:shd w:val="clear" w:color="auto" w:fill="auto"/>
            <w:noWrap/>
            <w:vAlign w:val="center"/>
            <w:hideMark/>
          </w:tcPr>
          <w:p w14:paraId="7FCFBA5A" w14:textId="77777777" w:rsidR="004D7FB3" w:rsidRPr="004D7FB3" w:rsidRDefault="004D7FB3" w:rsidP="004D7FB3">
            <w:pPr>
              <w:jc w:val="right"/>
              <w:rPr>
                <w:rFonts w:ascii="Arial Narrow" w:hAnsi="Arial Narrow" w:cstheme="minorBidi"/>
                <w:color w:val="000000"/>
                <w:sz w:val="20"/>
                <w:szCs w:val="20"/>
              </w:rPr>
            </w:pPr>
            <w:r w:rsidRPr="004D7FB3">
              <w:rPr>
                <w:rFonts w:ascii="Arial Narrow" w:hAnsi="Arial Narrow" w:cstheme="minorBidi"/>
                <w:color w:val="000000"/>
                <w:sz w:val="20"/>
                <w:szCs w:val="20"/>
              </w:rPr>
              <w:t>1 200</w:t>
            </w:r>
          </w:p>
        </w:tc>
        <w:tc>
          <w:tcPr>
            <w:tcW w:w="1591" w:type="dxa"/>
            <w:tcBorders>
              <w:top w:val="nil"/>
              <w:left w:val="nil"/>
              <w:bottom w:val="single" w:sz="4" w:space="0" w:color="auto"/>
              <w:right w:val="single" w:sz="4" w:space="0" w:color="auto"/>
            </w:tcBorders>
            <w:shd w:val="clear" w:color="auto" w:fill="auto"/>
            <w:noWrap/>
            <w:vAlign w:val="center"/>
            <w:hideMark/>
          </w:tcPr>
          <w:p w14:paraId="5F2D13C4" w14:textId="77777777" w:rsidR="004D7FB3" w:rsidRPr="004D7FB3" w:rsidRDefault="004D7FB3" w:rsidP="004D7FB3">
            <w:pPr>
              <w:jc w:val="right"/>
              <w:rPr>
                <w:rFonts w:ascii="Arial Narrow" w:hAnsi="Arial Narrow" w:cstheme="minorBidi"/>
                <w:color w:val="000000"/>
                <w:sz w:val="20"/>
                <w:szCs w:val="20"/>
              </w:rPr>
            </w:pPr>
            <w:r w:rsidRPr="004D7FB3">
              <w:rPr>
                <w:rFonts w:ascii="Arial Narrow" w:hAnsi="Arial Narrow" w:cstheme="minorBidi"/>
                <w:color w:val="000000"/>
                <w:sz w:val="20"/>
                <w:szCs w:val="20"/>
              </w:rPr>
              <w:t>1 191</w:t>
            </w:r>
          </w:p>
        </w:tc>
        <w:tc>
          <w:tcPr>
            <w:tcW w:w="1156" w:type="dxa"/>
            <w:tcBorders>
              <w:top w:val="nil"/>
              <w:left w:val="nil"/>
              <w:bottom w:val="single" w:sz="4" w:space="0" w:color="auto"/>
              <w:right w:val="single" w:sz="4" w:space="0" w:color="auto"/>
            </w:tcBorders>
            <w:shd w:val="clear" w:color="auto" w:fill="auto"/>
            <w:noWrap/>
            <w:vAlign w:val="center"/>
            <w:hideMark/>
          </w:tcPr>
          <w:p w14:paraId="5F5C36D2" w14:textId="77777777" w:rsidR="004D7FB3" w:rsidRPr="004D7FB3" w:rsidRDefault="004D7FB3" w:rsidP="006F0A56">
            <w:pPr>
              <w:jc w:val="center"/>
              <w:rPr>
                <w:rFonts w:ascii="Arial Narrow" w:hAnsi="Arial Narrow"/>
                <w:b/>
                <w:sz w:val="20"/>
                <w:szCs w:val="20"/>
                <w:lang w:eastAsia="bg-BG"/>
              </w:rPr>
            </w:pPr>
            <w:r w:rsidRPr="004D7FB3">
              <w:rPr>
                <w:rFonts w:ascii="Arial Narrow" w:hAnsi="Arial Narrow"/>
                <w:sz w:val="20"/>
                <w:szCs w:val="20"/>
                <w:lang w:eastAsia="bg-BG"/>
              </w:rPr>
              <w:t>100</w:t>
            </w:r>
          </w:p>
        </w:tc>
        <w:tc>
          <w:tcPr>
            <w:tcW w:w="1156" w:type="dxa"/>
            <w:tcBorders>
              <w:top w:val="nil"/>
              <w:left w:val="nil"/>
              <w:bottom w:val="single" w:sz="4" w:space="0" w:color="auto"/>
              <w:right w:val="single" w:sz="4" w:space="0" w:color="auto"/>
            </w:tcBorders>
            <w:shd w:val="clear" w:color="auto" w:fill="auto"/>
            <w:noWrap/>
            <w:vAlign w:val="center"/>
            <w:hideMark/>
          </w:tcPr>
          <w:p w14:paraId="6FAFF05A" w14:textId="77777777" w:rsidR="004D7FB3" w:rsidRPr="004D7FB3" w:rsidRDefault="004D7FB3" w:rsidP="006F0A56">
            <w:pPr>
              <w:jc w:val="center"/>
              <w:rPr>
                <w:rFonts w:ascii="Arial Narrow" w:hAnsi="Arial Narrow"/>
                <w:b/>
                <w:sz w:val="20"/>
                <w:szCs w:val="20"/>
                <w:lang w:eastAsia="bg-BG"/>
              </w:rPr>
            </w:pPr>
            <w:r w:rsidRPr="004D7FB3">
              <w:rPr>
                <w:rFonts w:ascii="Arial Narrow" w:hAnsi="Arial Narrow"/>
                <w:sz w:val="20"/>
                <w:szCs w:val="20"/>
                <w:lang w:eastAsia="bg-BG"/>
              </w:rPr>
              <w:t>-</w:t>
            </w:r>
          </w:p>
        </w:tc>
        <w:tc>
          <w:tcPr>
            <w:tcW w:w="868" w:type="dxa"/>
            <w:tcBorders>
              <w:top w:val="nil"/>
              <w:left w:val="nil"/>
              <w:bottom w:val="single" w:sz="4" w:space="0" w:color="auto"/>
              <w:right w:val="single" w:sz="4" w:space="0" w:color="auto"/>
            </w:tcBorders>
            <w:shd w:val="clear" w:color="auto" w:fill="auto"/>
            <w:noWrap/>
            <w:vAlign w:val="center"/>
            <w:hideMark/>
          </w:tcPr>
          <w:p w14:paraId="4BA49346" w14:textId="77777777" w:rsidR="004D7FB3" w:rsidRPr="004D7FB3" w:rsidRDefault="004D7FB3" w:rsidP="006F0A56">
            <w:pPr>
              <w:jc w:val="center"/>
              <w:rPr>
                <w:rFonts w:ascii="Arial Narrow" w:hAnsi="Arial Narrow"/>
                <w:b/>
                <w:sz w:val="20"/>
                <w:szCs w:val="20"/>
                <w:lang w:eastAsia="bg-BG"/>
              </w:rPr>
            </w:pPr>
            <w:r w:rsidRPr="004D7FB3">
              <w:rPr>
                <w:rFonts w:ascii="Arial Narrow" w:hAnsi="Arial Narrow"/>
                <w:sz w:val="20"/>
                <w:szCs w:val="20"/>
                <w:lang w:eastAsia="bg-BG"/>
              </w:rPr>
              <w:t>-</w:t>
            </w:r>
          </w:p>
        </w:tc>
        <w:tc>
          <w:tcPr>
            <w:tcW w:w="1547" w:type="dxa"/>
            <w:tcBorders>
              <w:top w:val="nil"/>
              <w:left w:val="nil"/>
              <w:bottom w:val="single" w:sz="4" w:space="0" w:color="auto"/>
              <w:right w:val="single" w:sz="4" w:space="0" w:color="auto"/>
            </w:tcBorders>
            <w:shd w:val="clear" w:color="auto" w:fill="auto"/>
            <w:noWrap/>
            <w:vAlign w:val="center"/>
            <w:hideMark/>
          </w:tcPr>
          <w:p w14:paraId="03B2B189" w14:textId="77777777" w:rsidR="004D7FB3" w:rsidRPr="004D7FB3" w:rsidRDefault="004D7FB3" w:rsidP="006F0A56">
            <w:pPr>
              <w:jc w:val="right"/>
              <w:rPr>
                <w:rFonts w:ascii="Arial Narrow" w:hAnsi="Arial Narrow"/>
                <w:b/>
                <w:sz w:val="20"/>
                <w:szCs w:val="20"/>
                <w:lang w:eastAsia="bg-BG"/>
              </w:rPr>
            </w:pPr>
            <w:r w:rsidRPr="004D7FB3">
              <w:rPr>
                <w:rFonts w:ascii="Arial Narrow" w:hAnsi="Arial Narrow"/>
                <w:sz w:val="20"/>
                <w:szCs w:val="20"/>
                <w:lang w:eastAsia="bg-BG"/>
              </w:rPr>
              <w:t>17 068 753</w:t>
            </w:r>
          </w:p>
        </w:tc>
      </w:tr>
      <w:tr w:rsidR="004D7FB3" w:rsidRPr="004D7FB3" w14:paraId="1375DA71" w14:textId="77777777" w:rsidTr="008B7C13">
        <w:trPr>
          <w:trHeight w:val="265"/>
        </w:trPr>
        <w:tc>
          <w:tcPr>
            <w:tcW w:w="1729" w:type="dxa"/>
            <w:tcBorders>
              <w:top w:val="nil"/>
              <w:left w:val="single" w:sz="4" w:space="0" w:color="auto"/>
              <w:bottom w:val="single" w:sz="4" w:space="0" w:color="auto"/>
              <w:right w:val="single" w:sz="4" w:space="0" w:color="auto"/>
            </w:tcBorders>
            <w:shd w:val="clear" w:color="auto" w:fill="auto"/>
            <w:noWrap/>
            <w:vAlign w:val="center"/>
            <w:hideMark/>
          </w:tcPr>
          <w:p w14:paraId="475D90A3" w14:textId="77777777" w:rsidR="004D7FB3" w:rsidRPr="004D7FB3" w:rsidRDefault="004D7FB3" w:rsidP="004D7FB3">
            <w:pPr>
              <w:rPr>
                <w:rFonts w:ascii="Arial Narrow" w:hAnsi="Arial Narrow"/>
                <w:b/>
                <w:sz w:val="20"/>
                <w:szCs w:val="20"/>
                <w:lang w:eastAsia="bg-BG"/>
              </w:rPr>
            </w:pPr>
            <w:r w:rsidRPr="004D7FB3">
              <w:rPr>
                <w:rFonts w:ascii="Arial Narrow" w:hAnsi="Arial Narrow"/>
                <w:sz w:val="20"/>
                <w:szCs w:val="20"/>
                <w:lang w:eastAsia="bg-BG"/>
              </w:rPr>
              <w:t>ДПЖ-пл</w:t>
            </w:r>
          </w:p>
        </w:tc>
        <w:tc>
          <w:tcPr>
            <w:tcW w:w="1734" w:type="dxa"/>
            <w:tcBorders>
              <w:top w:val="nil"/>
              <w:left w:val="nil"/>
              <w:bottom w:val="single" w:sz="4" w:space="0" w:color="auto"/>
              <w:right w:val="single" w:sz="4" w:space="0" w:color="auto"/>
            </w:tcBorders>
            <w:shd w:val="clear" w:color="auto" w:fill="auto"/>
            <w:noWrap/>
            <w:vAlign w:val="center"/>
            <w:hideMark/>
          </w:tcPr>
          <w:p w14:paraId="6B82988D" w14:textId="77777777" w:rsidR="004D7FB3" w:rsidRPr="004D7FB3" w:rsidRDefault="004D7FB3" w:rsidP="004D7FB3">
            <w:pPr>
              <w:jc w:val="right"/>
              <w:rPr>
                <w:rFonts w:ascii="Arial Narrow" w:hAnsi="Arial Narrow" w:cstheme="minorBidi"/>
                <w:color w:val="000000"/>
                <w:sz w:val="20"/>
                <w:szCs w:val="20"/>
              </w:rPr>
            </w:pPr>
            <w:r w:rsidRPr="004D7FB3">
              <w:rPr>
                <w:rFonts w:ascii="Arial Narrow" w:hAnsi="Arial Narrow" w:cstheme="minorBidi"/>
                <w:color w:val="000000"/>
                <w:sz w:val="20"/>
                <w:szCs w:val="20"/>
              </w:rPr>
              <w:t>1 407</w:t>
            </w:r>
          </w:p>
        </w:tc>
        <w:tc>
          <w:tcPr>
            <w:tcW w:w="1591" w:type="dxa"/>
            <w:tcBorders>
              <w:top w:val="nil"/>
              <w:left w:val="nil"/>
              <w:bottom w:val="single" w:sz="4" w:space="0" w:color="auto"/>
              <w:right w:val="single" w:sz="4" w:space="0" w:color="auto"/>
            </w:tcBorders>
            <w:shd w:val="clear" w:color="auto" w:fill="auto"/>
            <w:noWrap/>
            <w:vAlign w:val="center"/>
            <w:hideMark/>
          </w:tcPr>
          <w:p w14:paraId="0C23432D" w14:textId="77777777" w:rsidR="004D7FB3" w:rsidRPr="004D7FB3" w:rsidRDefault="004D7FB3" w:rsidP="004D7FB3">
            <w:pPr>
              <w:jc w:val="right"/>
              <w:rPr>
                <w:rFonts w:ascii="Arial Narrow" w:hAnsi="Arial Narrow" w:cstheme="minorBidi"/>
                <w:color w:val="000000"/>
                <w:sz w:val="20"/>
                <w:szCs w:val="20"/>
              </w:rPr>
            </w:pPr>
            <w:r w:rsidRPr="004D7FB3">
              <w:rPr>
                <w:rFonts w:ascii="Arial Narrow" w:hAnsi="Arial Narrow" w:cstheme="minorBidi"/>
                <w:color w:val="000000"/>
                <w:sz w:val="20"/>
                <w:szCs w:val="20"/>
              </w:rPr>
              <w:t>1 404</w:t>
            </w:r>
          </w:p>
        </w:tc>
        <w:tc>
          <w:tcPr>
            <w:tcW w:w="1156" w:type="dxa"/>
            <w:tcBorders>
              <w:top w:val="nil"/>
              <w:left w:val="nil"/>
              <w:bottom w:val="single" w:sz="4" w:space="0" w:color="auto"/>
              <w:right w:val="single" w:sz="4" w:space="0" w:color="auto"/>
            </w:tcBorders>
            <w:shd w:val="clear" w:color="auto" w:fill="auto"/>
            <w:noWrap/>
            <w:vAlign w:val="center"/>
            <w:hideMark/>
          </w:tcPr>
          <w:p w14:paraId="3FD4C2D4" w14:textId="77777777" w:rsidR="004D7FB3" w:rsidRPr="004D7FB3" w:rsidRDefault="004D7FB3" w:rsidP="006F0A56">
            <w:pPr>
              <w:jc w:val="center"/>
              <w:rPr>
                <w:rFonts w:ascii="Arial Narrow" w:hAnsi="Arial Narrow"/>
                <w:b/>
                <w:sz w:val="20"/>
                <w:szCs w:val="20"/>
                <w:lang w:eastAsia="bg-BG"/>
              </w:rPr>
            </w:pPr>
            <w:r w:rsidRPr="004D7FB3">
              <w:rPr>
                <w:rFonts w:ascii="Arial Narrow" w:hAnsi="Arial Narrow"/>
                <w:sz w:val="20"/>
                <w:szCs w:val="20"/>
                <w:lang w:eastAsia="bg-BG"/>
              </w:rPr>
              <w:t>100</w:t>
            </w:r>
          </w:p>
        </w:tc>
        <w:tc>
          <w:tcPr>
            <w:tcW w:w="1156" w:type="dxa"/>
            <w:tcBorders>
              <w:top w:val="nil"/>
              <w:left w:val="nil"/>
              <w:bottom w:val="single" w:sz="4" w:space="0" w:color="auto"/>
              <w:right w:val="single" w:sz="4" w:space="0" w:color="auto"/>
            </w:tcBorders>
            <w:shd w:val="clear" w:color="auto" w:fill="auto"/>
            <w:noWrap/>
            <w:vAlign w:val="center"/>
            <w:hideMark/>
          </w:tcPr>
          <w:p w14:paraId="604322AB" w14:textId="77777777" w:rsidR="004D7FB3" w:rsidRPr="004D7FB3" w:rsidRDefault="004D7FB3" w:rsidP="006F0A56">
            <w:pPr>
              <w:jc w:val="center"/>
              <w:rPr>
                <w:rFonts w:ascii="Arial Narrow" w:hAnsi="Arial Narrow"/>
                <w:b/>
                <w:sz w:val="20"/>
                <w:szCs w:val="20"/>
                <w:lang w:eastAsia="bg-BG"/>
              </w:rPr>
            </w:pPr>
            <w:r w:rsidRPr="004D7FB3">
              <w:rPr>
                <w:rFonts w:ascii="Arial Narrow" w:hAnsi="Arial Narrow"/>
                <w:sz w:val="20"/>
                <w:szCs w:val="20"/>
                <w:lang w:eastAsia="bg-BG"/>
              </w:rPr>
              <w:t>-</w:t>
            </w:r>
          </w:p>
        </w:tc>
        <w:tc>
          <w:tcPr>
            <w:tcW w:w="868" w:type="dxa"/>
            <w:tcBorders>
              <w:top w:val="nil"/>
              <w:left w:val="nil"/>
              <w:bottom w:val="single" w:sz="4" w:space="0" w:color="auto"/>
              <w:right w:val="single" w:sz="4" w:space="0" w:color="auto"/>
            </w:tcBorders>
            <w:shd w:val="clear" w:color="auto" w:fill="auto"/>
            <w:noWrap/>
            <w:vAlign w:val="center"/>
            <w:hideMark/>
          </w:tcPr>
          <w:p w14:paraId="0A95EA4B" w14:textId="77777777" w:rsidR="004D7FB3" w:rsidRPr="004D7FB3" w:rsidRDefault="004D7FB3" w:rsidP="006F0A56">
            <w:pPr>
              <w:jc w:val="center"/>
              <w:rPr>
                <w:rFonts w:ascii="Arial Narrow" w:hAnsi="Arial Narrow"/>
                <w:b/>
                <w:sz w:val="20"/>
                <w:szCs w:val="20"/>
                <w:lang w:eastAsia="bg-BG"/>
              </w:rPr>
            </w:pPr>
            <w:r w:rsidRPr="004D7FB3">
              <w:rPr>
                <w:rFonts w:ascii="Arial Narrow" w:hAnsi="Arial Narrow"/>
                <w:sz w:val="20"/>
                <w:szCs w:val="20"/>
                <w:lang w:eastAsia="bg-BG"/>
              </w:rPr>
              <w:t>-</w:t>
            </w:r>
          </w:p>
        </w:tc>
        <w:tc>
          <w:tcPr>
            <w:tcW w:w="1547" w:type="dxa"/>
            <w:tcBorders>
              <w:top w:val="nil"/>
              <w:left w:val="nil"/>
              <w:bottom w:val="single" w:sz="4" w:space="0" w:color="auto"/>
              <w:right w:val="single" w:sz="4" w:space="0" w:color="auto"/>
            </w:tcBorders>
            <w:shd w:val="clear" w:color="auto" w:fill="auto"/>
            <w:noWrap/>
            <w:vAlign w:val="center"/>
            <w:hideMark/>
          </w:tcPr>
          <w:p w14:paraId="3449EF80" w14:textId="77777777" w:rsidR="004D7FB3" w:rsidRPr="004D7FB3" w:rsidRDefault="004D7FB3" w:rsidP="006F0A56">
            <w:pPr>
              <w:jc w:val="right"/>
              <w:rPr>
                <w:rFonts w:ascii="Arial Narrow" w:hAnsi="Arial Narrow"/>
                <w:b/>
                <w:sz w:val="20"/>
                <w:szCs w:val="20"/>
                <w:lang w:eastAsia="bg-BG"/>
              </w:rPr>
            </w:pPr>
            <w:r w:rsidRPr="004D7FB3">
              <w:rPr>
                <w:rFonts w:ascii="Arial Narrow" w:hAnsi="Arial Narrow"/>
                <w:sz w:val="20"/>
                <w:szCs w:val="20"/>
                <w:lang w:eastAsia="bg-BG"/>
              </w:rPr>
              <w:t>1 635 320</w:t>
            </w:r>
          </w:p>
        </w:tc>
      </w:tr>
      <w:tr w:rsidR="004D7FB3" w:rsidRPr="004D7FB3" w14:paraId="456BA8C5" w14:textId="77777777" w:rsidTr="008B7C13">
        <w:trPr>
          <w:trHeight w:val="265"/>
        </w:trPr>
        <w:tc>
          <w:tcPr>
            <w:tcW w:w="1729" w:type="dxa"/>
            <w:tcBorders>
              <w:top w:val="nil"/>
              <w:left w:val="single" w:sz="4" w:space="0" w:color="auto"/>
              <w:bottom w:val="single" w:sz="4" w:space="0" w:color="auto"/>
              <w:right w:val="single" w:sz="4" w:space="0" w:color="auto"/>
            </w:tcBorders>
            <w:shd w:val="clear" w:color="auto" w:fill="auto"/>
            <w:noWrap/>
            <w:vAlign w:val="center"/>
            <w:hideMark/>
          </w:tcPr>
          <w:p w14:paraId="2B49EBD5" w14:textId="77777777" w:rsidR="004D7FB3" w:rsidRPr="004D7FB3" w:rsidRDefault="004D7FB3" w:rsidP="004D7FB3">
            <w:pPr>
              <w:rPr>
                <w:rFonts w:ascii="Arial Narrow" w:hAnsi="Arial Narrow"/>
                <w:b/>
                <w:sz w:val="20"/>
                <w:szCs w:val="20"/>
                <w:lang w:eastAsia="bg-BG"/>
              </w:rPr>
            </w:pPr>
            <w:r w:rsidRPr="004D7FB3">
              <w:rPr>
                <w:rFonts w:ascii="Arial Narrow" w:hAnsi="Arial Narrow"/>
                <w:sz w:val="20"/>
                <w:szCs w:val="20"/>
                <w:lang w:eastAsia="bg-BG"/>
              </w:rPr>
              <w:t>ДПЖ – ЗП</w:t>
            </w:r>
          </w:p>
        </w:tc>
        <w:tc>
          <w:tcPr>
            <w:tcW w:w="1734" w:type="dxa"/>
            <w:tcBorders>
              <w:top w:val="nil"/>
              <w:left w:val="nil"/>
              <w:bottom w:val="single" w:sz="4" w:space="0" w:color="auto"/>
              <w:right w:val="single" w:sz="4" w:space="0" w:color="auto"/>
            </w:tcBorders>
            <w:shd w:val="clear" w:color="auto" w:fill="auto"/>
            <w:noWrap/>
            <w:vAlign w:val="center"/>
            <w:hideMark/>
          </w:tcPr>
          <w:p w14:paraId="4DE9087E" w14:textId="77777777" w:rsidR="004D7FB3" w:rsidRPr="004D7FB3" w:rsidRDefault="004D7FB3" w:rsidP="004D7FB3">
            <w:pPr>
              <w:jc w:val="right"/>
              <w:rPr>
                <w:rFonts w:ascii="Arial Narrow" w:hAnsi="Arial Narrow" w:cstheme="minorBidi"/>
                <w:color w:val="000000"/>
                <w:sz w:val="20"/>
                <w:szCs w:val="20"/>
              </w:rPr>
            </w:pPr>
            <w:r w:rsidRPr="004D7FB3">
              <w:rPr>
                <w:rFonts w:ascii="Arial Narrow" w:hAnsi="Arial Narrow" w:cstheme="minorBidi"/>
                <w:color w:val="000000"/>
                <w:sz w:val="20"/>
                <w:szCs w:val="20"/>
              </w:rPr>
              <w:t>802</w:t>
            </w:r>
          </w:p>
        </w:tc>
        <w:tc>
          <w:tcPr>
            <w:tcW w:w="1591" w:type="dxa"/>
            <w:tcBorders>
              <w:top w:val="nil"/>
              <w:left w:val="nil"/>
              <w:bottom w:val="single" w:sz="4" w:space="0" w:color="auto"/>
              <w:right w:val="single" w:sz="4" w:space="0" w:color="auto"/>
            </w:tcBorders>
            <w:shd w:val="clear" w:color="auto" w:fill="auto"/>
            <w:noWrap/>
            <w:vAlign w:val="center"/>
            <w:hideMark/>
          </w:tcPr>
          <w:p w14:paraId="7FF7B9DD" w14:textId="77777777" w:rsidR="004D7FB3" w:rsidRPr="004D7FB3" w:rsidRDefault="004D7FB3" w:rsidP="004D7FB3">
            <w:pPr>
              <w:jc w:val="right"/>
              <w:rPr>
                <w:rFonts w:ascii="Arial Narrow" w:hAnsi="Arial Narrow" w:cstheme="minorBidi"/>
                <w:color w:val="000000"/>
                <w:sz w:val="20"/>
                <w:szCs w:val="20"/>
              </w:rPr>
            </w:pPr>
            <w:r w:rsidRPr="004D7FB3">
              <w:rPr>
                <w:rFonts w:ascii="Arial Narrow" w:hAnsi="Arial Narrow" w:cstheme="minorBidi"/>
                <w:color w:val="000000"/>
                <w:sz w:val="20"/>
                <w:szCs w:val="20"/>
              </w:rPr>
              <w:t>798</w:t>
            </w:r>
          </w:p>
        </w:tc>
        <w:tc>
          <w:tcPr>
            <w:tcW w:w="1156" w:type="dxa"/>
            <w:tcBorders>
              <w:top w:val="nil"/>
              <w:left w:val="nil"/>
              <w:bottom w:val="single" w:sz="4" w:space="0" w:color="auto"/>
              <w:right w:val="single" w:sz="4" w:space="0" w:color="auto"/>
            </w:tcBorders>
            <w:shd w:val="clear" w:color="auto" w:fill="auto"/>
            <w:noWrap/>
            <w:vAlign w:val="center"/>
            <w:hideMark/>
          </w:tcPr>
          <w:p w14:paraId="5DA2494C" w14:textId="77777777" w:rsidR="004D7FB3" w:rsidRPr="004D7FB3" w:rsidRDefault="004D7FB3" w:rsidP="006F0A56">
            <w:pPr>
              <w:jc w:val="center"/>
              <w:rPr>
                <w:rFonts w:ascii="Arial Narrow" w:hAnsi="Arial Narrow"/>
                <w:b/>
                <w:sz w:val="20"/>
                <w:szCs w:val="20"/>
                <w:lang w:eastAsia="bg-BG"/>
              </w:rPr>
            </w:pPr>
            <w:r w:rsidRPr="004D7FB3">
              <w:rPr>
                <w:rFonts w:ascii="Arial Narrow" w:hAnsi="Arial Narrow"/>
                <w:sz w:val="20"/>
                <w:szCs w:val="20"/>
                <w:lang w:eastAsia="bg-BG"/>
              </w:rPr>
              <w:t>100</w:t>
            </w:r>
          </w:p>
        </w:tc>
        <w:tc>
          <w:tcPr>
            <w:tcW w:w="1156" w:type="dxa"/>
            <w:tcBorders>
              <w:top w:val="nil"/>
              <w:left w:val="nil"/>
              <w:bottom w:val="single" w:sz="4" w:space="0" w:color="auto"/>
              <w:right w:val="single" w:sz="4" w:space="0" w:color="auto"/>
            </w:tcBorders>
            <w:shd w:val="clear" w:color="auto" w:fill="auto"/>
            <w:noWrap/>
            <w:vAlign w:val="center"/>
            <w:hideMark/>
          </w:tcPr>
          <w:p w14:paraId="35E2C5BF" w14:textId="77777777" w:rsidR="004D7FB3" w:rsidRPr="004D7FB3" w:rsidRDefault="004D7FB3" w:rsidP="006F0A56">
            <w:pPr>
              <w:jc w:val="center"/>
              <w:rPr>
                <w:rFonts w:ascii="Arial Narrow" w:hAnsi="Arial Narrow"/>
                <w:b/>
                <w:sz w:val="20"/>
                <w:szCs w:val="20"/>
                <w:lang w:eastAsia="bg-BG"/>
              </w:rPr>
            </w:pPr>
            <w:r w:rsidRPr="004D7FB3">
              <w:rPr>
                <w:rFonts w:ascii="Arial Narrow" w:hAnsi="Arial Narrow"/>
                <w:sz w:val="20"/>
                <w:szCs w:val="20"/>
                <w:lang w:eastAsia="bg-BG"/>
              </w:rPr>
              <w:t>-</w:t>
            </w:r>
          </w:p>
        </w:tc>
        <w:tc>
          <w:tcPr>
            <w:tcW w:w="868" w:type="dxa"/>
            <w:tcBorders>
              <w:top w:val="nil"/>
              <w:left w:val="nil"/>
              <w:bottom w:val="single" w:sz="4" w:space="0" w:color="auto"/>
              <w:right w:val="single" w:sz="4" w:space="0" w:color="auto"/>
            </w:tcBorders>
            <w:shd w:val="clear" w:color="auto" w:fill="auto"/>
            <w:noWrap/>
            <w:vAlign w:val="center"/>
            <w:hideMark/>
          </w:tcPr>
          <w:p w14:paraId="57C901C2" w14:textId="77777777" w:rsidR="004D7FB3" w:rsidRPr="004D7FB3" w:rsidRDefault="004D7FB3" w:rsidP="006F0A56">
            <w:pPr>
              <w:jc w:val="center"/>
              <w:rPr>
                <w:rFonts w:ascii="Arial Narrow" w:hAnsi="Arial Narrow"/>
                <w:b/>
                <w:sz w:val="20"/>
                <w:szCs w:val="20"/>
                <w:lang w:eastAsia="bg-BG"/>
              </w:rPr>
            </w:pPr>
            <w:r w:rsidRPr="004D7FB3">
              <w:rPr>
                <w:rFonts w:ascii="Arial Narrow" w:hAnsi="Arial Narrow"/>
                <w:sz w:val="20"/>
                <w:szCs w:val="20"/>
                <w:lang w:eastAsia="bg-BG"/>
              </w:rPr>
              <w:t>-</w:t>
            </w:r>
          </w:p>
        </w:tc>
        <w:tc>
          <w:tcPr>
            <w:tcW w:w="1547" w:type="dxa"/>
            <w:tcBorders>
              <w:top w:val="nil"/>
              <w:left w:val="nil"/>
              <w:bottom w:val="single" w:sz="4" w:space="0" w:color="auto"/>
              <w:right w:val="single" w:sz="4" w:space="0" w:color="auto"/>
            </w:tcBorders>
            <w:shd w:val="clear" w:color="auto" w:fill="auto"/>
            <w:noWrap/>
            <w:vAlign w:val="center"/>
            <w:hideMark/>
          </w:tcPr>
          <w:p w14:paraId="5555535B" w14:textId="77777777" w:rsidR="004D7FB3" w:rsidRPr="004D7FB3" w:rsidRDefault="004D7FB3" w:rsidP="006F0A56">
            <w:pPr>
              <w:jc w:val="right"/>
              <w:rPr>
                <w:rFonts w:ascii="Arial Narrow" w:hAnsi="Arial Narrow"/>
                <w:b/>
                <w:sz w:val="20"/>
                <w:szCs w:val="20"/>
                <w:lang w:eastAsia="bg-BG"/>
              </w:rPr>
            </w:pPr>
            <w:r w:rsidRPr="004D7FB3">
              <w:rPr>
                <w:rFonts w:ascii="Arial Narrow" w:hAnsi="Arial Narrow"/>
                <w:sz w:val="20"/>
                <w:szCs w:val="20"/>
                <w:lang w:eastAsia="bg-BG"/>
              </w:rPr>
              <w:t>6 067 702</w:t>
            </w:r>
          </w:p>
        </w:tc>
      </w:tr>
      <w:tr w:rsidR="004D7FB3" w:rsidRPr="004D7FB3" w14:paraId="6D9340EE" w14:textId="77777777" w:rsidTr="008B7C13">
        <w:trPr>
          <w:trHeight w:val="265"/>
        </w:trPr>
        <w:tc>
          <w:tcPr>
            <w:tcW w:w="1729" w:type="dxa"/>
            <w:tcBorders>
              <w:top w:val="nil"/>
              <w:left w:val="single" w:sz="4" w:space="0" w:color="auto"/>
              <w:bottom w:val="single" w:sz="4" w:space="0" w:color="auto"/>
              <w:right w:val="single" w:sz="4" w:space="0" w:color="auto"/>
            </w:tcBorders>
            <w:shd w:val="clear" w:color="auto" w:fill="auto"/>
            <w:noWrap/>
            <w:vAlign w:val="center"/>
            <w:hideMark/>
          </w:tcPr>
          <w:p w14:paraId="4E3657D2" w14:textId="77777777" w:rsidR="004D7FB3" w:rsidRPr="004D7FB3" w:rsidRDefault="004D7FB3" w:rsidP="004D7FB3">
            <w:pPr>
              <w:rPr>
                <w:rFonts w:ascii="Arial Narrow" w:hAnsi="Arial Narrow"/>
                <w:b/>
                <w:sz w:val="20"/>
                <w:szCs w:val="20"/>
                <w:lang w:eastAsia="bg-BG"/>
              </w:rPr>
            </w:pPr>
            <w:r w:rsidRPr="004D7FB3">
              <w:rPr>
                <w:rFonts w:ascii="Arial Narrow" w:hAnsi="Arial Narrow"/>
                <w:sz w:val="20"/>
                <w:szCs w:val="20"/>
                <w:lang w:eastAsia="bg-BG"/>
              </w:rPr>
              <w:t>ПНДЖ1</w:t>
            </w:r>
          </w:p>
        </w:tc>
        <w:tc>
          <w:tcPr>
            <w:tcW w:w="1734" w:type="dxa"/>
            <w:tcBorders>
              <w:top w:val="nil"/>
              <w:left w:val="nil"/>
              <w:bottom w:val="single" w:sz="4" w:space="0" w:color="auto"/>
              <w:right w:val="single" w:sz="4" w:space="0" w:color="auto"/>
            </w:tcBorders>
            <w:shd w:val="clear" w:color="auto" w:fill="auto"/>
            <w:noWrap/>
            <w:vAlign w:val="center"/>
            <w:hideMark/>
          </w:tcPr>
          <w:p w14:paraId="15D3ED5B" w14:textId="77777777" w:rsidR="004D7FB3" w:rsidRPr="004D7FB3" w:rsidRDefault="004D7FB3" w:rsidP="004D7FB3">
            <w:pPr>
              <w:jc w:val="right"/>
              <w:rPr>
                <w:rFonts w:ascii="Arial Narrow" w:hAnsi="Arial Narrow" w:cstheme="minorBidi"/>
                <w:color w:val="000000"/>
                <w:sz w:val="20"/>
                <w:szCs w:val="20"/>
              </w:rPr>
            </w:pPr>
            <w:r w:rsidRPr="004D7FB3">
              <w:rPr>
                <w:rFonts w:ascii="Arial Narrow" w:hAnsi="Arial Narrow" w:cstheme="minorBidi"/>
                <w:color w:val="000000"/>
                <w:sz w:val="20"/>
                <w:szCs w:val="20"/>
              </w:rPr>
              <w:t>5 764</w:t>
            </w:r>
          </w:p>
        </w:tc>
        <w:tc>
          <w:tcPr>
            <w:tcW w:w="1591" w:type="dxa"/>
            <w:tcBorders>
              <w:top w:val="nil"/>
              <w:left w:val="nil"/>
              <w:bottom w:val="single" w:sz="4" w:space="0" w:color="auto"/>
              <w:right w:val="single" w:sz="4" w:space="0" w:color="auto"/>
            </w:tcBorders>
            <w:shd w:val="clear" w:color="auto" w:fill="auto"/>
            <w:noWrap/>
            <w:vAlign w:val="center"/>
            <w:hideMark/>
          </w:tcPr>
          <w:p w14:paraId="7E457C45" w14:textId="77777777" w:rsidR="004D7FB3" w:rsidRPr="004D7FB3" w:rsidRDefault="004D7FB3" w:rsidP="004D7FB3">
            <w:pPr>
              <w:jc w:val="right"/>
              <w:rPr>
                <w:rFonts w:ascii="Arial Narrow" w:hAnsi="Arial Narrow" w:cstheme="minorBidi"/>
                <w:color w:val="000000"/>
                <w:sz w:val="20"/>
                <w:szCs w:val="20"/>
              </w:rPr>
            </w:pPr>
            <w:r w:rsidRPr="004D7FB3">
              <w:rPr>
                <w:rFonts w:ascii="Arial Narrow" w:hAnsi="Arial Narrow" w:cstheme="minorBidi"/>
                <w:color w:val="000000"/>
                <w:sz w:val="20"/>
                <w:szCs w:val="20"/>
              </w:rPr>
              <w:t>5 732</w:t>
            </w:r>
          </w:p>
        </w:tc>
        <w:tc>
          <w:tcPr>
            <w:tcW w:w="1156" w:type="dxa"/>
            <w:tcBorders>
              <w:top w:val="nil"/>
              <w:left w:val="nil"/>
              <w:bottom w:val="single" w:sz="4" w:space="0" w:color="auto"/>
              <w:right w:val="single" w:sz="4" w:space="0" w:color="auto"/>
            </w:tcBorders>
            <w:shd w:val="clear" w:color="auto" w:fill="auto"/>
            <w:noWrap/>
            <w:vAlign w:val="center"/>
            <w:hideMark/>
          </w:tcPr>
          <w:p w14:paraId="4ABD5675" w14:textId="77777777" w:rsidR="004D7FB3" w:rsidRPr="004D7FB3" w:rsidRDefault="004D7FB3" w:rsidP="006F0A56">
            <w:pPr>
              <w:jc w:val="center"/>
              <w:rPr>
                <w:rFonts w:ascii="Arial Narrow" w:hAnsi="Arial Narrow"/>
                <w:b/>
                <w:sz w:val="20"/>
                <w:szCs w:val="20"/>
                <w:lang w:eastAsia="bg-BG"/>
              </w:rPr>
            </w:pPr>
            <w:r w:rsidRPr="004D7FB3">
              <w:rPr>
                <w:rFonts w:ascii="Arial Narrow" w:hAnsi="Arial Narrow"/>
                <w:sz w:val="20"/>
                <w:szCs w:val="20"/>
                <w:lang w:eastAsia="bg-BG"/>
              </w:rPr>
              <w:t>-</w:t>
            </w:r>
          </w:p>
        </w:tc>
        <w:tc>
          <w:tcPr>
            <w:tcW w:w="1156" w:type="dxa"/>
            <w:tcBorders>
              <w:top w:val="nil"/>
              <w:left w:val="nil"/>
              <w:bottom w:val="single" w:sz="4" w:space="0" w:color="auto"/>
              <w:right w:val="single" w:sz="4" w:space="0" w:color="auto"/>
            </w:tcBorders>
            <w:shd w:val="clear" w:color="auto" w:fill="auto"/>
            <w:noWrap/>
            <w:vAlign w:val="center"/>
            <w:hideMark/>
          </w:tcPr>
          <w:p w14:paraId="5CAA95DA" w14:textId="77777777" w:rsidR="004D7FB3" w:rsidRPr="004D7FB3" w:rsidRDefault="004D7FB3" w:rsidP="006F0A56">
            <w:pPr>
              <w:jc w:val="center"/>
              <w:rPr>
                <w:rFonts w:ascii="Arial Narrow" w:hAnsi="Arial Narrow"/>
                <w:b/>
                <w:sz w:val="20"/>
                <w:szCs w:val="20"/>
                <w:lang w:eastAsia="bg-BG"/>
              </w:rPr>
            </w:pPr>
            <w:r w:rsidRPr="004D7FB3">
              <w:rPr>
                <w:rFonts w:ascii="Arial Narrow" w:hAnsi="Arial Narrow"/>
                <w:sz w:val="20"/>
                <w:szCs w:val="20"/>
                <w:lang w:eastAsia="bg-BG"/>
              </w:rPr>
              <w:t>-</w:t>
            </w:r>
          </w:p>
        </w:tc>
        <w:tc>
          <w:tcPr>
            <w:tcW w:w="868" w:type="dxa"/>
            <w:tcBorders>
              <w:top w:val="nil"/>
              <w:left w:val="nil"/>
              <w:bottom w:val="single" w:sz="4" w:space="0" w:color="auto"/>
              <w:right w:val="single" w:sz="4" w:space="0" w:color="auto"/>
            </w:tcBorders>
            <w:shd w:val="clear" w:color="auto" w:fill="auto"/>
            <w:noWrap/>
            <w:vAlign w:val="center"/>
            <w:hideMark/>
          </w:tcPr>
          <w:p w14:paraId="1743B3C0" w14:textId="77777777" w:rsidR="004D7FB3" w:rsidRPr="004D7FB3" w:rsidRDefault="004D7FB3" w:rsidP="006F0A56">
            <w:pPr>
              <w:jc w:val="center"/>
              <w:rPr>
                <w:rFonts w:ascii="Arial Narrow" w:hAnsi="Arial Narrow"/>
                <w:b/>
                <w:sz w:val="20"/>
                <w:szCs w:val="20"/>
                <w:lang w:eastAsia="bg-BG"/>
              </w:rPr>
            </w:pPr>
            <w:r w:rsidRPr="004D7FB3">
              <w:rPr>
                <w:rFonts w:ascii="Arial Narrow" w:hAnsi="Arial Narrow"/>
                <w:sz w:val="20"/>
                <w:szCs w:val="20"/>
                <w:lang w:eastAsia="bg-BG"/>
              </w:rPr>
              <w:t>100</w:t>
            </w:r>
          </w:p>
        </w:tc>
        <w:tc>
          <w:tcPr>
            <w:tcW w:w="1547" w:type="dxa"/>
            <w:tcBorders>
              <w:top w:val="nil"/>
              <w:left w:val="nil"/>
              <w:bottom w:val="single" w:sz="4" w:space="0" w:color="auto"/>
              <w:right w:val="single" w:sz="4" w:space="0" w:color="auto"/>
            </w:tcBorders>
            <w:shd w:val="clear" w:color="auto" w:fill="auto"/>
            <w:noWrap/>
            <w:vAlign w:val="center"/>
            <w:hideMark/>
          </w:tcPr>
          <w:p w14:paraId="1B538147" w14:textId="77777777" w:rsidR="004D7FB3" w:rsidRPr="004D7FB3" w:rsidRDefault="004D7FB3" w:rsidP="006F0A56">
            <w:pPr>
              <w:jc w:val="right"/>
              <w:rPr>
                <w:rFonts w:ascii="Arial Narrow" w:hAnsi="Arial Narrow"/>
                <w:b/>
                <w:sz w:val="20"/>
                <w:szCs w:val="20"/>
                <w:lang w:eastAsia="bg-BG"/>
              </w:rPr>
            </w:pPr>
            <w:r w:rsidRPr="004D7FB3">
              <w:rPr>
                <w:rFonts w:ascii="Arial Narrow" w:hAnsi="Arial Narrow"/>
                <w:sz w:val="20"/>
                <w:szCs w:val="20"/>
                <w:lang w:eastAsia="bg-BG"/>
              </w:rPr>
              <w:t>28 791 404</w:t>
            </w:r>
          </w:p>
        </w:tc>
      </w:tr>
      <w:tr w:rsidR="004D7FB3" w:rsidRPr="004D7FB3" w14:paraId="266AA003" w14:textId="77777777" w:rsidTr="008B7C13">
        <w:trPr>
          <w:trHeight w:val="265"/>
        </w:trPr>
        <w:tc>
          <w:tcPr>
            <w:tcW w:w="1729" w:type="dxa"/>
            <w:tcBorders>
              <w:top w:val="nil"/>
              <w:left w:val="single" w:sz="4" w:space="0" w:color="auto"/>
              <w:bottom w:val="single" w:sz="4" w:space="0" w:color="auto"/>
              <w:right w:val="single" w:sz="4" w:space="0" w:color="auto"/>
            </w:tcBorders>
            <w:shd w:val="clear" w:color="auto" w:fill="auto"/>
            <w:noWrap/>
            <w:vAlign w:val="center"/>
            <w:hideMark/>
          </w:tcPr>
          <w:p w14:paraId="452ED6E2" w14:textId="77777777" w:rsidR="004D7FB3" w:rsidRPr="004D7FB3" w:rsidRDefault="004D7FB3" w:rsidP="004D7FB3">
            <w:pPr>
              <w:rPr>
                <w:rFonts w:ascii="Arial Narrow" w:hAnsi="Arial Narrow"/>
                <w:b/>
                <w:sz w:val="20"/>
                <w:szCs w:val="20"/>
                <w:lang w:eastAsia="bg-BG"/>
              </w:rPr>
            </w:pPr>
            <w:r w:rsidRPr="004D7FB3">
              <w:rPr>
                <w:rFonts w:ascii="Arial Narrow" w:hAnsi="Arial Narrow"/>
                <w:sz w:val="20"/>
                <w:szCs w:val="20"/>
                <w:lang w:eastAsia="bg-BG"/>
              </w:rPr>
              <w:t>ПНДЖ3</w:t>
            </w:r>
          </w:p>
        </w:tc>
        <w:tc>
          <w:tcPr>
            <w:tcW w:w="1734" w:type="dxa"/>
            <w:tcBorders>
              <w:top w:val="nil"/>
              <w:left w:val="nil"/>
              <w:bottom w:val="single" w:sz="4" w:space="0" w:color="auto"/>
              <w:right w:val="single" w:sz="4" w:space="0" w:color="auto"/>
            </w:tcBorders>
            <w:shd w:val="clear" w:color="auto" w:fill="auto"/>
            <w:noWrap/>
            <w:vAlign w:val="center"/>
            <w:hideMark/>
          </w:tcPr>
          <w:p w14:paraId="30F66FA6" w14:textId="77777777" w:rsidR="004D7FB3" w:rsidRPr="004D7FB3" w:rsidRDefault="004D7FB3" w:rsidP="004D7FB3">
            <w:pPr>
              <w:jc w:val="right"/>
              <w:rPr>
                <w:rFonts w:ascii="Arial Narrow" w:hAnsi="Arial Narrow" w:cstheme="minorBidi"/>
                <w:color w:val="000000"/>
                <w:sz w:val="20"/>
                <w:szCs w:val="20"/>
              </w:rPr>
            </w:pPr>
            <w:r w:rsidRPr="004D7FB3">
              <w:rPr>
                <w:rFonts w:ascii="Arial Narrow" w:hAnsi="Arial Narrow" w:cstheme="minorBidi"/>
                <w:color w:val="000000"/>
                <w:sz w:val="20"/>
                <w:szCs w:val="20"/>
              </w:rPr>
              <w:t>4 627</w:t>
            </w:r>
          </w:p>
        </w:tc>
        <w:tc>
          <w:tcPr>
            <w:tcW w:w="1591" w:type="dxa"/>
            <w:tcBorders>
              <w:top w:val="nil"/>
              <w:left w:val="nil"/>
              <w:bottom w:val="single" w:sz="4" w:space="0" w:color="auto"/>
              <w:right w:val="single" w:sz="4" w:space="0" w:color="auto"/>
            </w:tcBorders>
            <w:shd w:val="clear" w:color="auto" w:fill="auto"/>
            <w:noWrap/>
            <w:vAlign w:val="center"/>
            <w:hideMark/>
          </w:tcPr>
          <w:p w14:paraId="7925FB15" w14:textId="77777777" w:rsidR="004D7FB3" w:rsidRPr="004D7FB3" w:rsidRDefault="004D7FB3" w:rsidP="004D7FB3">
            <w:pPr>
              <w:jc w:val="right"/>
              <w:rPr>
                <w:rFonts w:ascii="Arial Narrow" w:hAnsi="Arial Narrow" w:cstheme="minorBidi"/>
                <w:color w:val="000000"/>
                <w:sz w:val="20"/>
                <w:szCs w:val="20"/>
              </w:rPr>
            </w:pPr>
            <w:r w:rsidRPr="004D7FB3">
              <w:rPr>
                <w:rFonts w:ascii="Arial Narrow" w:hAnsi="Arial Narrow" w:cstheme="minorBidi"/>
                <w:color w:val="000000"/>
                <w:sz w:val="20"/>
                <w:szCs w:val="20"/>
              </w:rPr>
              <w:t>4 615</w:t>
            </w:r>
          </w:p>
        </w:tc>
        <w:tc>
          <w:tcPr>
            <w:tcW w:w="1156" w:type="dxa"/>
            <w:tcBorders>
              <w:top w:val="nil"/>
              <w:left w:val="nil"/>
              <w:bottom w:val="single" w:sz="4" w:space="0" w:color="auto"/>
              <w:right w:val="single" w:sz="4" w:space="0" w:color="auto"/>
            </w:tcBorders>
            <w:shd w:val="clear" w:color="auto" w:fill="auto"/>
            <w:noWrap/>
            <w:vAlign w:val="center"/>
            <w:hideMark/>
          </w:tcPr>
          <w:p w14:paraId="411E5548" w14:textId="77777777" w:rsidR="004D7FB3" w:rsidRPr="004D7FB3" w:rsidRDefault="004D7FB3" w:rsidP="006F0A56">
            <w:pPr>
              <w:jc w:val="center"/>
              <w:rPr>
                <w:rFonts w:ascii="Arial Narrow" w:hAnsi="Arial Narrow"/>
                <w:b/>
                <w:sz w:val="20"/>
                <w:szCs w:val="20"/>
                <w:lang w:eastAsia="bg-BG"/>
              </w:rPr>
            </w:pPr>
            <w:r w:rsidRPr="004D7FB3">
              <w:rPr>
                <w:rFonts w:ascii="Arial Narrow" w:hAnsi="Arial Narrow"/>
                <w:sz w:val="20"/>
                <w:szCs w:val="20"/>
                <w:lang w:eastAsia="bg-BG"/>
              </w:rPr>
              <w:t>-</w:t>
            </w:r>
          </w:p>
        </w:tc>
        <w:tc>
          <w:tcPr>
            <w:tcW w:w="1156" w:type="dxa"/>
            <w:tcBorders>
              <w:top w:val="nil"/>
              <w:left w:val="nil"/>
              <w:bottom w:val="single" w:sz="4" w:space="0" w:color="auto"/>
              <w:right w:val="single" w:sz="4" w:space="0" w:color="auto"/>
            </w:tcBorders>
            <w:shd w:val="clear" w:color="auto" w:fill="auto"/>
            <w:noWrap/>
            <w:vAlign w:val="center"/>
            <w:hideMark/>
          </w:tcPr>
          <w:p w14:paraId="43BA805A" w14:textId="77777777" w:rsidR="004D7FB3" w:rsidRPr="004D7FB3" w:rsidRDefault="004D7FB3" w:rsidP="006F0A56">
            <w:pPr>
              <w:jc w:val="center"/>
              <w:rPr>
                <w:rFonts w:ascii="Arial Narrow" w:hAnsi="Arial Narrow"/>
                <w:b/>
                <w:sz w:val="20"/>
                <w:szCs w:val="20"/>
                <w:lang w:eastAsia="bg-BG"/>
              </w:rPr>
            </w:pPr>
            <w:r w:rsidRPr="004D7FB3">
              <w:rPr>
                <w:rFonts w:ascii="Arial Narrow" w:hAnsi="Arial Narrow"/>
                <w:sz w:val="20"/>
                <w:szCs w:val="20"/>
                <w:lang w:eastAsia="bg-BG"/>
              </w:rPr>
              <w:t>-</w:t>
            </w:r>
          </w:p>
        </w:tc>
        <w:tc>
          <w:tcPr>
            <w:tcW w:w="868" w:type="dxa"/>
            <w:tcBorders>
              <w:top w:val="nil"/>
              <w:left w:val="nil"/>
              <w:bottom w:val="single" w:sz="4" w:space="0" w:color="auto"/>
              <w:right w:val="single" w:sz="4" w:space="0" w:color="auto"/>
            </w:tcBorders>
            <w:shd w:val="clear" w:color="auto" w:fill="auto"/>
            <w:noWrap/>
            <w:vAlign w:val="center"/>
            <w:hideMark/>
          </w:tcPr>
          <w:p w14:paraId="64DAC453" w14:textId="77777777" w:rsidR="004D7FB3" w:rsidRPr="004D7FB3" w:rsidRDefault="004D7FB3" w:rsidP="006F0A56">
            <w:pPr>
              <w:jc w:val="center"/>
              <w:rPr>
                <w:rFonts w:ascii="Arial Narrow" w:hAnsi="Arial Narrow"/>
                <w:b/>
                <w:sz w:val="20"/>
                <w:szCs w:val="20"/>
                <w:lang w:eastAsia="bg-BG"/>
              </w:rPr>
            </w:pPr>
            <w:r w:rsidRPr="004D7FB3">
              <w:rPr>
                <w:rFonts w:ascii="Arial Narrow" w:hAnsi="Arial Narrow"/>
                <w:sz w:val="20"/>
                <w:szCs w:val="20"/>
                <w:lang w:eastAsia="bg-BG"/>
              </w:rPr>
              <w:t>100</w:t>
            </w:r>
          </w:p>
        </w:tc>
        <w:tc>
          <w:tcPr>
            <w:tcW w:w="1547" w:type="dxa"/>
            <w:tcBorders>
              <w:top w:val="nil"/>
              <w:left w:val="nil"/>
              <w:bottom w:val="single" w:sz="4" w:space="0" w:color="auto"/>
              <w:right w:val="single" w:sz="4" w:space="0" w:color="auto"/>
            </w:tcBorders>
            <w:shd w:val="clear" w:color="auto" w:fill="auto"/>
            <w:noWrap/>
            <w:vAlign w:val="center"/>
            <w:hideMark/>
          </w:tcPr>
          <w:p w14:paraId="37AA96DE" w14:textId="77777777" w:rsidR="004D7FB3" w:rsidRPr="004D7FB3" w:rsidRDefault="004D7FB3" w:rsidP="006F0A56">
            <w:pPr>
              <w:jc w:val="right"/>
              <w:rPr>
                <w:rFonts w:ascii="Arial Narrow" w:hAnsi="Arial Narrow"/>
                <w:b/>
                <w:sz w:val="20"/>
                <w:szCs w:val="20"/>
                <w:lang w:eastAsia="bg-BG"/>
              </w:rPr>
            </w:pPr>
            <w:r w:rsidRPr="004D7FB3">
              <w:rPr>
                <w:rFonts w:ascii="Arial Narrow" w:hAnsi="Arial Narrow"/>
                <w:sz w:val="20"/>
                <w:szCs w:val="20"/>
                <w:lang w:eastAsia="bg-BG"/>
              </w:rPr>
              <w:t>19 785 637</w:t>
            </w:r>
          </w:p>
        </w:tc>
      </w:tr>
      <w:tr w:rsidR="004D7FB3" w:rsidRPr="004D7FB3" w14:paraId="0EA3D78A" w14:textId="77777777" w:rsidTr="008B7C13">
        <w:trPr>
          <w:trHeight w:val="278"/>
        </w:trPr>
        <w:tc>
          <w:tcPr>
            <w:tcW w:w="1729" w:type="dxa"/>
            <w:tcBorders>
              <w:top w:val="nil"/>
              <w:left w:val="single" w:sz="4" w:space="0" w:color="auto"/>
              <w:bottom w:val="single" w:sz="4" w:space="0" w:color="auto"/>
              <w:right w:val="single" w:sz="4" w:space="0" w:color="auto"/>
            </w:tcBorders>
            <w:shd w:val="clear" w:color="auto" w:fill="auto"/>
            <w:noWrap/>
            <w:vAlign w:val="center"/>
            <w:hideMark/>
          </w:tcPr>
          <w:p w14:paraId="63895300" w14:textId="77777777" w:rsidR="004D7FB3" w:rsidRPr="004D7FB3" w:rsidRDefault="004D7FB3" w:rsidP="004D7FB3">
            <w:pPr>
              <w:rPr>
                <w:rFonts w:ascii="Arial Narrow" w:hAnsi="Arial Narrow"/>
                <w:b/>
                <w:sz w:val="20"/>
                <w:szCs w:val="20"/>
                <w:lang w:eastAsia="bg-BG"/>
              </w:rPr>
            </w:pPr>
            <w:r w:rsidRPr="004D7FB3">
              <w:rPr>
                <w:rFonts w:ascii="Arial Narrow" w:hAnsi="Arial Narrow"/>
                <w:b/>
                <w:sz w:val="20"/>
                <w:szCs w:val="20"/>
                <w:lang w:eastAsia="bg-BG"/>
              </w:rPr>
              <w:t>Общо:</w:t>
            </w:r>
          </w:p>
        </w:tc>
        <w:tc>
          <w:tcPr>
            <w:tcW w:w="1734" w:type="dxa"/>
            <w:tcBorders>
              <w:top w:val="nil"/>
              <w:left w:val="nil"/>
              <w:bottom w:val="single" w:sz="4" w:space="0" w:color="auto"/>
              <w:right w:val="single" w:sz="4" w:space="0" w:color="auto"/>
            </w:tcBorders>
            <w:shd w:val="clear" w:color="auto" w:fill="auto"/>
            <w:noWrap/>
            <w:vAlign w:val="center"/>
            <w:hideMark/>
          </w:tcPr>
          <w:p w14:paraId="264224E2" w14:textId="77777777" w:rsidR="004D7FB3" w:rsidRPr="004D7FB3" w:rsidRDefault="004D7FB3" w:rsidP="006F0A56">
            <w:pPr>
              <w:jc w:val="center"/>
              <w:rPr>
                <w:rFonts w:ascii="Arial Narrow" w:hAnsi="Arial Narrow"/>
                <w:b/>
                <w:sz w:val="20"/>
                <w:szCs w:val="20"/>
                <w:lang w:eastAsia="bg-BG"/>
              </w:rPr>
            </w:pPr>
          </w:p>
        </w:tc>
        <w:tc>
          <w:tcPr>
            <w:tcW w:w="1591" w:type="dxa"/>
            <w:tcBorders>
              <w:top w:val="nil"/>
              <w:left w:val="nil"/>
              <w:bottom w:val="single" w:sz="4" w:space="0" w:color="auto"/>
              <w:right w:val="single" w:sz="4" w:space="0" w:color="auto"/>
            </w:tcBorders>
            <w:shd w:val="clear" w:color="auto" w:fill="auto"/>
            <w:noWrap/>
            <w:vAlign w:val="center"/>
            <w:hideMark/>
          </w:tcPr>
          <w:p w14:paraId="528DAB92" w14:textId="77777777" w:rsidR="004D7FB3" w:rsidRPr="004D7FB3" w:rsidRDefault="004D7FB3" w:rsidP="006F0A56">
            <w:pPr>
              <w:jc w:val="center"/>
              <w:rPr>
                <w:rFonts w:ascii="Arial Narrow" w:hAnsi="Arial Narrow"/>
                <w:b/>
                <w:sz w:val="20"/>
                <w:szCs w:val="20"/>
                <w:lang w:eastAsia="bg-BG"/>
              </w:rPr>
            </w:pPr>
          </w:p>
        </w:tc>
        <w:tc>
          <w:tcPr>
            <w:tcW w:w="1156" w:type="dxa"/>
            <w:tcBorders>
              <w:top w:val="nil"/>
              <w:left w:val="nil"/>
              <w:bottom w:val="single" w:sz="4" w:space="0" w:color="auto"/>
              <w:right w:val="single" w:sz="4" w:space="0" w:color="auto"/>
            </w:tcBorders>
            <w:shd w:val="clear" w:color="auto" w:fill="auto"/>
            <w:noWrap/>
            <w:vAlign w:val="center"/>
            <w:hideMark/>
          </w:tcPr>
          <w:p w14:paraId="1FFBE618" w14:textId="77777777" w:rsidR="004D7FB3" w:rsidRPr="004D7FB3" w:rsidRDefault="004D7FB3" w:rsidP="006F0A56">
            <w:pPr>
              <w:jc w:val="center"/>
              <w:rPr>
                <w:rFonts w:ascii="Arial Narrow" w:hAnsi="Arial Narrow"/>
                <w:b/>
                <w:sz w:val="20"/>
                <w:szCs w:val="20"/>
                <w:lang w:eastAsia="bg-BG"/>
              </w:rPr>
            </w:pPr>
          </w:p>
        </w:tc>
        <w:tc>
          <w:tcPr>
            <w:tcW w:w="1156" w:type="dxa"/>
            <w:tcBorders>
              <w:top w:val="nil"/>
              <w:left w:val="nil"/>
              <w:bottom w:val="single" w:sz="4" w:space="0" w:color="auto"/>
              <w:right w:val="single" w:sz="4" w:space="0" w:color="auto"/>
            </w:tcBorders>
            <w:shd w:val="clear" w:color="auto" w:fill="auto"/>
            <w:noWrap/>
            <w:vAlign w:val="center"/>
            <w:hideMark/>
          </w:tcPr>
          <w:p w14:paraId="1DB6E955" w14:textId="77777777" w:rsidR="004D7FB3" w:rsidRPr="004D7FB3" w:rsidRDefault="004D7FB3" w:rsidP="006F0A56">
            <w:pPr>
              <w:jc w:val="center"/>
              <w:rPr>
                <w:rFonts w:ascii="Arial Narrow" w:hAnsi="Arial Narrow"/>
                <w:b/>
                <w:sz w:val="20"/>
                <w:szCs w:val="20"/>
                <w:lang w:eastAsia="bg-BG"/>
              </w:rPr>
            </w:pPr>
          </w:p>
        </w:tc>
        <w:tc>
          <w:tcPr>
            <w:tcW w:w="868" w:type="dxa"/>
            <w:tcBorders>
              <w:top w:val="nil"/>
              <w:left w:val="nil"/>
              <w:bottom w:val="single" w:sz="4" w:space="0" w:color="auto"/>
              <w:right w:val="single" w:sz="4" w:space="0" w:color="auto"/>
            </w:tcBorders>
            <w:shd w:val="clear" w:color="auto" w:fill="auto"/>
            <w:noWrap/>
            <w:vAlign w:val="center"/>
            <w:hideMark/>
          </w:tcPr>
          <w:p w14:paraId="0D2227B7" w14:textId="77777777" w:rsidR="004D7FB3" w:rsidRPr="004D7FB3" w:rsidRDefault="004D7FB3" w:rsidP="006F0A56">
            <w:pPr>
              <w:jc w:val="center"/>
              <w:rPr>
                <w:rFonts w:ascii="Arial Narrow" w:hAnsi="Arial Narrow"/>
                <w:b/>
                <w:sz w:val="20"/>
                <w:szCs w:val="20"/>
                <w:lang w:eastAsia="bg-BG"/>
              </w:rPr>
            </w:pPr>
          </w:p>
        </w:tc>
        <w:tc>
          <w:tcPr>
            <w:tcW w:w="1547" w:type="dxa"/>
            <w:tcBorders>
              <w:top w:val="nil"/>
              <w:left w:val="nil"/>
              <w:bottom w:val="single" w:sz="4" w:space="0" w:color="auto"/>
              <w:right w:val="single" w:sz="4" w:space="0" w:color="auto"/>
            </w:tcBorders>
            <w:shd w:val="clear" w:color="auto" w:fill="auto"/>
            <w:noWrap/>
            <w:vAlign w:val="center"/>
            <w:hideMark/>
          </w:tcPr>
          <w:p w14:paraId="725A560B" w14:textId="77777777" w:rsidR="004D7FB3" w:rsidRPr="004D7FB3" w:rsidRDefault="004D7FB3" w:rsidP="006F0A56">
            <w:pPr>
              <w:jc w:val="right"/>
              <w:rPr>
                <w:rFonts w:ascii="Arial Narrow" w:hAnsi="Arial Narrow"/>
                <w:b/>
                <w:color w:val="000000"/>
                <w:sz w:val="20"/>
                <w:szCs w:val="20"/>
                <w:lang w:eastAsia="bg-BG"/>
              </w:rPr>
            </w:pPr>
            <w:r w:rsidRPr="004D7FB3">
              <w:rPr>
                <w:rFonts w:ascii="Arial Narrow" w:hAnsi="Arial Narrow"/>
                <w:b/>
                <w:color w:val="000000"/>
                <w:sz w:val="20"/>
                <w:szCs w:val="20"/>
                <w:lang w:eastAsia="bg-BG"/>
              </w:rPr>
              <w:t>755 247 028</w:t>
            </w:r>
          </w:p>
        </w:tc>
      </w:tr>
    </w:tbl>
    <w:p w14:paraId="3E908035" w14:textId="77777777" w:rsidR="004D7FB3" w:rsidRPr="00725099" w:rsidRDefault="004D7FB3" w:rsidP="004D7FB3">
      <w:pPr>
        <w:spacing w:after="240"/>
        <w:rPr>
          <w:rFonts w:ascii="Arial Narrow" w:hAnsi="Arial Narrow"/>
          <w:bCs/>
          <w:i/>
          <w:color w:val="000000"/>
          <w:sz w:val="22"/>
          <w:szCs w:val="20"/>
        </w:rPr>
      </w:pPr>
      <w:r w:rsidRPr="00725099">
        <w:rPr>
          <w:rFonts w:ascii="Arial Narrow" w:eastAsia="Calibri" w:hAnsi="Arial Narrow" w:cs="Arial Narrow"/>
          <w:i/>
          <w:sz w:val="18"/>
          <w:szCs w:val="16"/>
        </w:rPr>
        <w:t xml:space="preserve">Източник: </w:t>
      </w:r>
      <w:r w:rsidRPr="004D7FB3">
        <w:rPr>
          <w:rFonts w:ascii="Arial Narrow" w:eastAsia="Calibri" w:hAnsi="Arial Narrow" w:cs="Arial Narrow"/>
          <w:sz w:val="18"/>
          <w:szCs w:val="16"/>
        </w:rPr>
        <w:t>ДФЗ-РА</w:t>
      </w:r>
    </w:p>
    <w:p w14:paraId="48933823" w14:textId="77777777" w:rsidR="004D7FB3" w:rsidRDefault="004D7FB3" w:rsidP="006F0A56">
      <w:pPr>
        <w:overflowPunct w:val="0"/>
        <w:autoSpaceDE w:val="0"/>
        <w:autoSpaceDN w:val="0"/>
        <w:adjustRightInd w:val="0"/>
        <w:spacing w:after="120"/>
        <w:jc w:val="both"/>
        <w:textAlignment w:val="baseline"/>
        <w:rPr>
          <w:rFonts w:ascii="Arial Narrow" w:eastAsia="Calibri" w:hAnsi="Arial Narrow"/>
          <w:b/>
        </w:rPr>
      </w:pPr>
    </w:p>
    <w:p w14:paraId="52DD6A1C" w14:textId="77777777" w:rsidR="00BA7C7F" w:rsidRPr="00C57ABA" w:rsidRDefault="00BA7C7F" w:rsidP="00BA7C7F">
      <w:pPr>
        <w:overflowPunct w:val="0"/>
        <w:autoSpaceDE w:val="0"/>
        <w:autoSpaceDN w:val="0"/>
        <w:adjustRightInd w:val="0"/>
        <w:spacing w:after="120"/>
        <w:ind w:firstLine="708"/>
        <w:jc w:val="both"/>
        <w:textAlignment w:val="baseline"/>
        <w:rPr>
          <w:rFonts w:ascii="Arial Narrow" w:eastAsia="Calibri" w:hAnsi="Arial Narrow"/>
          <w:b/>
        </w:rPr>
      </w:pPr>
      <w:r w:rsidRPr="00C57ABA">
        <w:rPr>
          <w:rFonts w:ascii="Arial Narrow" w:eastAsia="Calibri" w:hAnsi="Arial Narrow"/>
          <w:b/>
        </w:rPr>
        <w:t xml:space="preserve">Интервенции за подпомагане на площ </w:t>
      </w:r>
    </w:p>
    <w:p w14:paraId="133C9462" w14:textId="77777777" w:rsidR="00BA7C7F" w:rsidRPr="00C57ABA" w:rsidRDefault="00BA7C7F" w:rsidP="00BA7C7F">
      <w:pPr>
        <w:overflowPunct w:val="0"/>
        <w:autoSpaceDE w:val="0"/>
        <w:autoSpaceDN w:val="0"/>
        <w:adjustRightInd w:val="0"/>
        <w:spacing w:after="120"/>
        <w:ind w:firstLine="709"/>
        <w:jc w:val="both"/>
        <w:textAlignment w:val="baseline"/>
        <w:rPr>
          <w:rFonts w:ascii="Arial Narrow" w:eastAsia="Calibri" w:hAnsi="Arial Narrow" w:cs="Arial"/>
          <w:b/>
          <w:i/>
        </w:rPr>
      </w:pPr>
      <w:r w:rsidRPr="00C57ABA">
        <w:rPr>
          <w:rFonts w:ascii="Arial Narrow" w:eastAsia="Calibri" w:hAnsi="Arial Narrow" w:cs="Arial"/>
          <w:b/>
          <w:i/>
        </w:rPr>
        <w:t xml:space="preserve">Основно подпомагане на доходите за устойчивост </w:t>
      </w:r>
    </w:p>
    <w:p w14:paraId="16152FC6" w14:textId="77777777" w:rsidR="00BA7C7F" w:rsidRPr="00C57ABA" w:rsidRDefault="00BA7C7F" w:rsidP="00BA7C7F">
      <w:pPr>
        <w:overflowPunct w:val="0"/>
        <w:autoSpaceDE w:val="0"/>
        <w:autoSpaceDN w:val="0"/>
        <w:adjustRightInd w:val="0"/>
        <w:spacing w:after="120"/>
        <w:ind w:firstLine="709"/>
        <w:jc w:val="both"/>
        <w:textAlignment w:val="baseline"/>
        <w:rPr>
          <w:rFonts w:ascii="Arial Narrow" w:eastAsia="Calibri" w:hAnsi="Arial Narrow" w:cs="Arial"/>
        </w:rPr>
      </w:pPr>
      <w:r w:rsidRPr="00C57ABA">
        <w:rPr>
          <w:rFonts w:ascii="Arial Narrow" w:eastAsia="Calibri" w:hAnsi="Arial Narrow"/>
        </w:rPr>
        <w:lastRenderedPageBreak/>
        <w:t xml:space="preserve">През </w:t>
      </w:r>
      <w:r>
        <w:rPr>
          <w:rFonts w:ascii="Arial Narrow" w:eastAsia="Calibri" w:hAnsi="Arial Narrow"/>
        </w:rPr>
        <w:t xml:space="preserve">Кампания `2024 </w:t>
      </w:r>
      <w:r w:rsidRPr="00C57ABA">
        <w:rPr>
          <w:rFonts w:ascii="Arial Narrow" w:eastAsia="Calibri" w:hAnsi="Arial Narrow"/>
        </w:rPr>
        <w:t>се прилага интервенцията Основно подпома</w:t>
      </w:r>
      <w:r>
        <w:rPr>
          <w:rFonts w:ascii="Arial Narrow" w:eastAsia="Calibri" w:hAnsi="Arial Narrow"/>
        </w:rPr>
        <w:t>гане на доходите за устойчивост</w:t>
      </w:r>
      <w:r w:rsidRPr="00C57ABA">
        <w:rPr>
          <w:rFonts w:ascii="Arial Narrow" w:eastAsia="Calibri" w:hAnsi="Arial Narrow"/>
        </w:rPr>
        <w:t>, която е естествено продължение на прилаганата през миналия период Схема за единно плащане на площ</w:t>
      </w:r>
      <w:r>
        <w:rPr>
          <w:rFonts w:ascii="Arial Narrow" w:eastAsia="Calibri" w:hAnsi="Arial Narrow"/>
        </w:rPr>
        <w:t>. Минималният</w:t>
      </w:r>
      <w:r w:rsidRPr="00C57ABA">
        <w:rPr>
          <w:rFonts w:ascii="Arial Narrow" w:eastAsia="Calibri" w:hAnsi="Arial Narrow"/>
        </w:rPr>
        <w:t xml:space="preserve"> размер на допустимото стопанство </w:t>
      </w:r>
      <w:r>
        <w:rPr>
          <w:rFonts w:ascii="Arial Narrow" w:eastAsia="Calibri" w:hAnsi="Arial Narrow"/>
        </w:rPr>
        <w:t>е</w:t>
      </w:r>
      <w:r w:rsidRPr="00C57ABA">
        <w:rPr>
          <w:rFonts w:ascii="Arial Narrow" w:eastAsia="Calibri" w:hAnsi="Arial Narrow"/>
        </w:rPr>
        <w:t xml:space="preserve"> 0,5 ха</w:t>
      </w:r>
      <w:r>
        <w:rPr>
          <w:rFonts w:ascii="Arial Narrow" w:eastAsia="Calibri" w:hAnsi="Arial Narrow"/>
        </w:rPr>
        <w:t>, а</w:t>
      </w:r>
      <w:r w:rsidRPr="00C57ABA">
        <w:rPr>
          <w:rFonts w:ascii="Arial Narrow" w:eastAsia="Calibri" w:hAnsi="Arial Narrow"/>
        </w:rPr>
        <w:t xml:space="preserve"> минимал</w:t>
      </w:r>
      <w:r>
        <w:rPr>
          <w:rFonts w:ascii="Arial Narrow" w:eastAsia="Calibri" w:hAnsi="Arial Narrow"/>
        </w:rPr>
        <w:t>ният</w:t>
      </w:r>
      <w:r w:rsidRPr="00C57ABA">
        <w:rPr>
          <w:rFonts w:ascii="Arial Narrow" w:eastAsia="Calibri" w:hAnsi="Arial Narrow"/>
        </w:rPr>
        <w:t xml:space="preserve"> размер на парцела </w:t>
      </w:r>
      <w:r>
        <w:rPr>
          <w:rFonts w:ascii="Arial Narrow" w:eastAsia="Calibri" w:hAnsi="Arial Narrow"/>
        </w:rPr>
        <w:t>-</w:t>
      </w:r>
      <w:r w:rsidRPr="00C57ABA">
        <w:rPr>
          <w:rFonts w:ascii="Arial Narrow" w:eastAsia="Calibri" w:hAnsi="Arial Narrow"/>
        </w:rPr>
        <w:t xml:space="preserve"> 0,1 ха. </w:t>
      </w:r>
      <w:r>
        <w:rPr>
          <w:rFonts w:ascii="Arial Narrow" w:eastAsia="Calibri" w:hAnsi="Arial Narrow" w:cs="Arial"/>
        </w:rPr>
        <w:t xml:space="preserve">С цел </w:t>
      </w:r>
      <w:r w:rsidRPr="00C57ABA">
        <w:rPr>
          <w:rFonts w:ascii="Arial Narrow" w:eastAsia="Calibri" w:hAnsi="Arial Narrow" w:cs="Arial"/>
        </w:rPr>
        <w:t xml:space="preserve">по-балансирано разпределение и насочване на подкрепата съобразно приоритизираните потребности в СПРЗСР 2023-2027 г., е определена горна граница за размера на основното подпомагане на доходите за устойчивост, което се отпуска на земеделски стопанин за дадена календарна година. Намалението е със 100% за сумата, надвишаваща 100 000 евро </w:t>
      </w:r>
      <w:r>
        <w:rPr>
          <w:rFonts w:ascii="Arial Narrow" w:eastAsia="Calibri" w:hAnsi="Arial Narrow" w:cs="Arial"/>
        </w:rPr>
        <w:t>по интервенцията</w:t>
      </w:r>
      <w:r w:rsidRPr="00C57ABA">
        <w:rPr>
          <w:rFonts w:ascii="Arial Narrow" w:eastAsia="Calibri" w:hAnsi="Arial Narrow" w:cs="Arial"/>
        </w:rPr>
        <w:t xml:space="preserve"> ОПДУ. Преди прилагането на редукцията от размера на директните плащания за съответната календарна година се приспадат разходите за заплати и осигуровки за всяко заето лице в стопанството, в размер на не повече от 2,5 пъти средната брутна месечна заплата, определена от Националния статистически институт за икономическа дейност „Селско, горско и рибно стопанство“ за годината на кандидатстване. </w:t>
      </w:r>
    </w:p>
    <w:p w14:paraId="45D66CF0" w14:textId="77777777" w:rsidR="0070161B" w:rsidRPr="00C57ABA" w:rsidRDefault="00BA7C7F" w:rsidP="00DA1842">
      <w:pPr>
        <w:overflowPunct w:val="0"/>
        <w:autoSpaceDE w:val="0"/>
        <w:autoSpaceDN w:val="0"/>
        <w:adjustRightInd w:val="0"/>
        <w:spacing w:after="120"/>
        <w:ind w:firstLine="709"/>
        <w:jc w:val="both"/>
        <w:textAlignment w:val="baseline"/>
        <w:rPr>
          <w:rFonts w:ascii="Arial Narrow" w:eastAsia="Calibri" w:hAnsi="Arial Narrow"/>
        </w:rPr>
      </w:pPr>
      <w:r w:rsidRPr="00C57ABA">
        <w:rPr>
          <w:rFonts w:ascii="Arial Narrow" w:eastAsia="Calibri" w:hAnsi="Arial Narrow"/>
        </w:rPr>
        <w:t>Подадените заявления за подпомагане по ОПДУ за Кампания `2024 са 52 197. Към 30 юни 2025 г. общият размер на оторизираните средства е 750 654 132 лева. Размерът на подпомагането за единица площ е 199,3 л</w:t>
      </w:r>
      <w:r>
        <w:rPr>
          <w:rFonts w:ascii="Arial Narrow" w:eastAsia="Calibri" w:hAnsi="Arial Narrow"/>
        </w:rPr>
        <w:t>ева</w:t>
      </w:r>
      <w:r w:rsidRPr="00C57ABA">
        <w:rPr>
          <w:rFonts w:ascii="Arial Narrow" w:eastAsia="Calibri" w:hAnsi="Arial Narrow"/>
        </w:rPr>
        <w:t>/ха при годишно ориентировъчно разпределение на финансови средства (индикативен б</w:t>
      </w:r>
      <w:r>
        <w:rPr>
          <w:rFonts w:ascii="Arial Narrow" w:eastAsia="Calibri" w:hAnsi="Arial Narrow"/>
        </w:rPr>
        <w:t>юджет) в размер на 758 141 798</w:t>
      </w:r>
      <w:r w:rsidR="00DA1842">
        <w:rPr>
          <w:rFonts w:ascii="Arial Narrow" w:eastAsia="Calibri" w:hAnsi="Arial Narrow"/>
        </w:rPr>
        <w:t xml:space="preserve"> лева.</w:t>
      </w:r>
    </w:p>
    <w:p w14:paraId="4E1DFAE5" w14:textId="77777777" w:rsidR="00BA7C7F" w:rsidRPr="00C57ABA" w:rsidRDefault="00BA7C7F" w:rsidP="00BA7C7F">
      <w:pPr>
        <w:overflowPunct w:val="0"/>
        <w:autoSpaceDE w:val="0"/>
        <w:autoSpaceDN w:val="0"/>
        <w:adjustRightInd w:val="0"/>
        <w:spacing w:after="120"/>
        <w:ind w:firstLine="709"/>
        <w:jc w:val="both"/>
        <w:textAlignment w:val="baseline"/>
        <w:rPr>
          <w:rFonts w:ascii="Arial Narrow" w:eastAsia="Calibri" w:hAnsi="Arial Narrow" w:cs="Arial"/>
          <w:b/>
          <w:i/>
        </w:rPr>
      </w:pPr>
      <w:r w:rsidRPr="00C57ABA">
        <w:rPr>
          <w:rFonts w:ascii="Arial Narrow" w:eastAsia="Calibri" w:hAnsi="Arial Narrow" w:cs="Arial"/>
          <w:b/>
          <w:i/>
        </w:rPr>
        <w:t xml:space="preserve">Допълнително преразпределително подпомагане на доходите за устойчивост </w:t>
      </w:r>
    </w:p>
    <w:p w14:paraId="6F2EF682" w14:textId="77777777" w:rsidR="00BA7C7F" w:rsidRPr="00C57ABA" w:rsidRDefault="00BA7C7F" w:rsidP="00BA7C7F">
      <w:pPr>
        <w:overflowPunct w:val="0"/>
        <w:autoSpaceDE w:val="0"/>
        <w:autoSpaceDN w:val="0"/>
        <w:adjustRightInd w:val="0"/>
        <w:spacing w:after="120"/>
        <w:ind w:firstLine="709"/>
        <w:jc w:val="both"/>
        <w:textAlignment w:val="baseline"/>
        <w:rPr>
          <w:rFonts w:ascii="Arial Narrow" w:eastAsia="Calibri" w:hAnsi="Arial Narrow" w:cs="Arial"/>
        </w:rPr>
      </w:pPr>
      <w:r w:rsidRPr="00C57ABA">
        <w:rPr>
          <w:rFonts w:ascii="Arial Narrow" w:eastAsia="Calibri" w:hAnsi="Arial Narrow" w:cs="Arial"/>
        </w:rPr>
        <w:t xml:space="preserve">Интервенцията цели насърчаване на икономически по-уязвимите малки и средни стопанства. Подкрепата се предоставя като допълнително финансово подпомагане за първите 30 хектара на земеделски стопанства с максимален размер до 600 хектара. </w:t>
      </w:r>
    </w:p>
    <w:p w14:paraId="77B3D8D4" w14:textId="77777777" w:rsidR="00BA7C7F" w:rsidRPr="00C57ABA" w:rsidRDefault="00BA7C7F" w:rsidP="00BA7C7F">
      <w:pPr>
        <w:overflowPunct w:val="0"/>
        <w:autoSpaceDE w:val="0"/>
        <w:autoSpaceDN w:val="0"/>
        <w:adjustRightInd w:val="0"/>
        <w:spacing w:after="120"/>
        <w:ind w:firstLine="709"/>
        <w:jc w:val="both"/>
        <w:textAlignment w:val="baseline"/>
        <w:rPr>
          <w:rFonts w:ascii="Arial Narrow" w:eastAsia="Calibri" w:hAnsi="Arial Narrow" w:cs="Arial"/>
          <w:b/>
          <w:i/>
        </w:rPr>
      </w:pPr>
      <w:r w:rsidRPr="00C57ABA">
        <w:rPr>
          <w:rFonts w:ascii="Arial Narrow" w:eastAsia="Calibri" w:hAnsi="Arial Narrow" w:cs="Arial"/>
        </w:rPr>
        <w:t xml:space="preserve">За Кампания `2024 интервенцията е с индикативен бюджет 182 718 934 лева и е заявена от </w:t>
      </w:r>
      <w:r>
        <w:rPr>
          <w:rFonts w:ascii="Arial Narrow" w:eastAsia="Calibri" w:hAnsi="Arial Narrow" w:cs="Arial"/>
        </w:rPr>
        <w:t xml:space="preserve">             </w:t>
      </w:r>
      <w:r w:rsidRPr="00C57ABA">
        <w:rPr>
          <w:rFonts w:ascii="Arial Narrow" w:eastAsia="Calibri" w:hAnsi="Arial Narrow" w:cs="Arial"/>
        </w:rPr>
        <w:t>44 797 земеделски стопани. При определена ставка на единица площ от 231,82 л</w:t>
      </w:r>
      <w:r>
        <w:rPr>
          <w:rFonts w:ascii="Arial Narrow" w:eastAsia="Calibri" w:hAnsi="Arial Narrow" w:cs="Arial"/>
        </w:rPr>
        <w:t>ева</w:t>
      </w:r>
      <w:r w:rsidRPr="00C57ABA">
        <w:rPr>
          <w:rFonts w:ascii="Arial Narrow" w:eastAsia="Calibri" w:hAnsi="Arial Narrow" w:cs="Arial"/>
        </w:rPr>
        <w:t>/ха</w:t>
      </w:r>
      <w:r>
        <w:rPr>
          <w:rFonts w:ascii="Arial Narrow" w:eastAsia="Calibri" w:hAnsi="Arial Narrow" w:cs="Arial"/>
        </w:rPr>
        <w:t>,</w:t>
      </w:r>
      <w:r w:rsidRPr="00C57ABA">
        <w:rPr>
          <w:rFonts w:ascii="Arial Narrow" w:eastAsia="Calibri" w:hAnsi="Arial Narrow" w:cs="Arial"/>
        </w:rPr>
        <w:t xml:space="preserve"> към 30 юни 2025 г. са оторизирани плащания в размер на 163 464 352 лева.</w:t>
      </w:r>
    </w:p>
    <w:p w14:paraId="499223BE" w14:textId="77777777" w:rsidR="00BA7C7F" w:rsidRPr="00C57ABA" w:rsidRDefault="00BA7C7F" w:rsidP="00BA7C7F">
      <w:pPr>
        <w:overflowPunct w:val="0"/>
        <w:autoSpaceDE w:val="0"/>
        <w:autoSpaceDN w:val="0"/>
        <w:adjustRightInd w:val="0"/>
        <w:spacing w:after="120"/>
        <w:ind w:firstLine="709"/>
        <w:jc w:val="both"/>
        <w:textAlignment w:val="baseline"/>
        <w:rPr>
          <w:rFonts w:ascii="Arial Narrow" w:eastAsia="Calibri" w:hAnsi="Arial Narrow" w:cs="Arial"/>
          <w:b/>
          <w:i/>
        </w:rPr>
      </w:pPr>
      <w:r w:rsidRPr="00C57ABA">
        <w:rPr>
          <w:rFonts w:ascii="Arial Narrow" w:eastAsia="Calibri" w:hAnsi="Arial Narrow" w:cs="Arial"/>
          <w:b/>
          <w:i/>
        </w:rPr>
        <w:t xml:space="preserve">Плащане за малки земеделски стопани </w:t>
      </w:r>
    </w:p>
    <w:p w14:paraId="06720B11" w14:textId="77777777" w:rsidR="00BA7C7F" w:rsidRPr="00C57ABA" w:rsidRDefault="00BA7C7F" w:rsidP="00BA7C7F">
      <w:pPr>
        <w:overflowPunct w:val="0"/>
        <w:autoSpaceDE w:val="0"/>
        <w:autoSpaceDN w:val="0"/>
        <w:adjustRightInd w:val="0"/>
        <w:spacing w:after="120"/>
        <w:ind w:firstLine="709"/>
        <w:jc w:val="both"/>
        <w:textAlignment w:val="baseline"/>
        <w:rPr>
          <w:rFonts w:ascii="Arial Narrow" w:eastAsia="Calibri" w:hAnsi="Arial Narrow" w:cs="Arial"/>
        </w:rPr>
      </w:pPr>
      <w:r w:rsidRPr="00C57ABA">
        <w:rPr>
          <w:rFonts w:ascii="Arial Narrow" w:eastAsia="Calibri" w:hAnsi="Arial Narrow" w:cs="Arial"/>
        </w:rPr>
        <w:t xml:space="preserve">Интервенцията е насочена към дребните земеделски стопани, които са подали заявление по базовата интервенция ОПДУ, с цел да се подпомогне тяхната устойчивост и да се повиши потенциалът им за развитие. Подкрепата се предоставя под формата на еднократна сума в размер от 1 000 до 1 250 евро на стопанство, при облекчени административни условия. </w:t>
      </w:r>
    </w:p>
    <w:p w14:paraId="601F32E3" w14:textId="77777777" w:rsidR="00BA7C7F" w:rsidRPr="00C57ABA" w:rsidRDefault="00BA7C7F" w:rsidP="00BA7C7F">
      <w:pPr>
        <w:overflowPunct w:val="0"/>
        <w:autoSpaceDE w:val="0"/>
        <w:autoSpaceDN w:val="0"/>
        <w:adjustRightInd w:val="0"/>
        <w:spacing w:after="120"/>
        <w:ind w:firstLine="709"/>
        <w:jc w:val="both"/>
        <w:textAlignment w:val="baseline"/>
        <w:rPr>
          <w:rFonts w:ascii="Arial Narrow" w:eastAsia="Calibri" w:hAnsi="Arial Narrow" w:cs="Arial"/>
        </w:rPr>
      </w:pPr>
      <w:r w:rsidRPr="00C57ABA">
        <w:rPr>
          <w:rFonts w:ascii="Arial Narrow" w:eastAsia="Calibri" w:hAnsi="Arial Narrow" w:cs="Arial"/>
        </w:rPr>
        <w:t xml:space="preserve">За Кампания `2024  заявление за участие по интервенцията са подали 5 944 земеделски стопани. Към края на м. юни 2025 г. </w:t>
      </w:r>
      <w:r w:rsidRPr="00087CD0">
        <w:rPr>
          <w:rFonts w:ascii="Arial Narrow" w:eastAsia="Calibri" w:hAnsi="Arial Narrow" w:cs="Arial"/>
        </w:rPr>
        <w:t>по нея</w:t>
      </w:r>
      <w:r>
        <w:rPr>
          <w:rFonts w:ascii="Arial Narrow" w:eastAsia="Calibri" w:hAnsi="Arial Narrow" w:cs="Arial"/>
        </w:rPr>
        <w:t xml:space="preserve"> </w:t>
      </w:r>
      <w:r w:rsidRPr="00C57ABA">
        <w:rPr>
          <w:rFonts w:ascii="Arial Narrow" w:eastAsia="Calibri" w:hAnsi="Arial Narrow" w:cs="Arial"/>
        </w:rPr>
        <w:t xml:space="preserve">са оторизирани 14 203 998 лева. </w:t>
      </w:r>
    </w:p>
    <w:p w14:paraId="27F012A5" w14:textId="77777777" w:rsidR="00BA7C7F" w:rsidRPr="00C57ABA" w:rsidRDefault="00BA7C7F" w:rsidP="00BA7C7F">
      <w:pPr>
        <w:overflowPunct w:val="0"/>
        <w:autoSpaceDE w:val="0"/>
        <w:autoSpaceDN w:val="0"/>
        <w:adjustRightInd w:val="0"/>
        <w:spacing w:after="120"/>
        <w:ind w:firstLine="709"/>
        <w:jc w:val="both"/>
        <w:textAlignment w:val="baseline"/>
        <w:rPr>
          <w:rFonts w:ascii="Arial Narrow" w:eastAsia="Calibri" w:hAnsi="Arial Narrow" w:cs="Arial"/>
          <w:b/>
          <w:i/>
        </w:rPr>
      </w:pPr>
      <w:r w:rsidRPr="00C57ABA">
        <w:rPr>
          <w:rFonts w:ascii="Arial Narrow" w:eastAsia="Calibri" w:hAnsi="Arial Narrow" w:cs="Arial"/>
          <w:b/>
          <w:i/>
        </w:rPr>
        <w:t xml:space="preserve">Допълнително подпомагане на доходите за млади земеделски стопани </w:t>
      </w:r>
    </w:p>
    <w:p w14:paraId="40081829" w14:textId="77777777" w:rsidR="00BA7C7F" w:rsidRPr="00C57ABA" w:rsidRDefault="00BA7C7F" w:rsidP="00BA7C7F">
      <w:pPr>
        <w:overflowPunct w:val="0"/>
        <w:autoSpaceDE w:val="0"/>
        <w:autoSpaceDN w:val="0"/>
        <w:adjustRightInd w:val="0"/>
        <w:spacing w:after="120"/>
        <w:ind w:firstLine="709"/>
        <w:jc w:val="both"/>
        <w:textAlignment w:val="baseline"/>
        <w:rPr>
          <w:rFonts w:ascii="Arial Narrow" w:eastAsia="Calibri" w:hAnsi="Arial Narrow" w:cs="Arial"/>
        </w:rPr>
      </w:pPr>
      <w:r w:rsidRPr="00C57ABA">
        <w:rPr>
          <w:rFonts w:ascii="Arial Narrow" w:eastAsia="Calibri" w:hAnsi="Arial Narrow" w:cs="Arial"/>
        </w:rPr>
        <w:t>Подкрепата се предоставя на земеделски стопани, които са на не повече от 40 години през първата година на подаване на заявление за подпомагане, започнали са земеделска дейност през последните 5 години и имат професионални умения и компетентности в областта на селското стопанство.</w:t>
      </w:r>
      <w:r w:rsidRPr="00C57ABA">
        <w:rPr>
          <w:rFonts w:ascii="Arial Narrow" w:hAnsi="Arial Narrow"/>
        </w:rPr>
        <w:t xml:space="preserve"> Допустимата възраст </w:t>
      </w:r>
      <w:r w:rsidRPr="00C57ABA">
        <w:rPr>
          <w:rFonts w:ascii="Arial Narrow" w:eastAsia="Calibri" w:hAnsi="Arial Narrow" w:cs="Arial"/>
        </w:rPr>
        <w:t xml:space="preserve">на кандидатите и периодът на създаване на стопанството са базови изисквания, които осигуряват ефективно насочване на финансирането към целевата група бенефициенти, допринасят за привличането и задържането на млади земеделски производители в селското стопанство и подновяването на поколенията в сектора. Изискването за професионални умения и компетентности в областта на селското стопанство и/или ветеринарната медицина и/ или икономическо образование със земеделска насоченост също допринася по качествен начин за правилното насочване на подкрепата. </w:t>
      </w:r>
    </w:p>
    <w:p w14:paraId="1193BD08" w14:textId="77777777" w:rsidR="00BA7C7F" w:rsidRPr="00C57ABA" w:rsidRDefault="00BA7C7F" w:rsidP="00BA7C7F">
      <w:pPr>
        <w:overflowPunct w:val="0"/>
        <w:autoSpaceDE w:val="0"/>
        <w:autoSpaceDN w:val="0"/>
        <w:adjustRightInd w:val="0"/>
        <w:spacing w:after="120"/>
        <w:ind w:firstLine="709"/>
        <w:jc w:val="both"/>
        <w:textAlignment w:val="baseline"/>
        <w:rPr>
          <w:rFonts w:ascii="Arial Narrow" w:eastAsia="Calibri" w:hAnsi="Arial Narrow" w:cs="Arial"/>
        </w:rPr>
      </w:pPr>
      <w:r w:rsidRPr="00C57ABA">
        <w:rPr>
          <w:rFonts w:ascii="Arial Narrow" w:eastAsia="Calibri" w:hAnsi="Arial Narrow" w:cs="Arial"/>
        </w:rPr>
        <w:t xml:space="preserve">За Кампания `2024  заявления за подпомагане са подали 2 058 млади земеделски стопани. Към 30 юни 2025 г. по интервенцията са </w:t>
      </w:r>
      <w:r>
        <w:rPr>
          <w:rFonts w:ascii="Arial Narrow" w:eastAsia="Calibri" w:hAnsi="Arial Narrow" w:cs="Arial"/>
        </w:rPr>
        <w:t>изплатени</w:t>
      </w:r>
      <w:r w:rsidRPr="00C57ABA">
        <w:rPr>
          <w:rFonts w:ascii="Arial Narrow" w:eastAsia="Calibri" w:hAnsi="Arial Narrow" w:cs="Arial"/>
        </w:rPr>
        <w:t xml:space="preserve"> 20 412 635 лева, при </w:t>
      </w:r>
      <w:r>
        <w:rPr>
          <w:rFonts w:ascii="Arial Narrow" w:eastAsia="Calibri" w:hAnsi="Arial Narrow" w:cs="Arial"/>
        </w:rPr>
        <w:t>ставка</w:t>
      </w:r>
      <w:r w:rsidRPr="00C57ABA">
        <w:rPr>
          <w:rFonts w:ascii="Arial Narrow" w:eastAsia="Calibri" w:hAnsi="Arial Narrow" w:cs="Arial"/>
        </w:rPr>
        <w:t xml:space="preserve"> на единица площ в размер на 219,51 </w:t>
      </w:r>
      <w:r>
        <w:rPr>
          <w:rFonts w:ascii="Arial Narrow" w:eastAsia="Calibri" w:hAnsi="Arial Narrow" w:cs="Arial"/>
        </w:rPr>
        <w:t>лева</w:t>
      </w:r>
      <w:r w:rsidRPr="00C57ABA">
        <w:rPr>
          <w:rFonts w:ascii="Arial Narrow" w:eastAsia="Calibri" w:hAnsi="Arial Narrow" w:cs="Arial"/>
        </w:rPr>
        <w:t>/ха.</w:t>
      </w:r>
    </w:p>
    <w:p w14:paraId="6BC7911A" w14:textId="77777777" w:rsidR="00BA7C7F" w:rsidRPr="00C57ABA" w:rsidRDefault="00BA7C7F" w:rsidP="00BA7C7F">
      <w:pPr>
        <w:overflowPunct w:val="0"/>
        <w:autoSpaceDE w:val="0"/>
        <w:autoSpaceDN w:val="0"/>
        <w:adjustRightInd w:val="0"/>
        <w:spacing w:after="120"/>
        <w:ind w:firstLine="709"/>
        <w:jc w:val="both"/>
        <w:textAlignment w:val="baseline"/>
        <w:rPr>
          <w:rFonts w:ascii="Arial Narrow" w:eastAsia="Calibri" w:hAnsi="Arial Narrow"/>
          <w:b/>
          <w:i/>
        </w:rPr>
      </w:pPr>
      <w:r w:rsidRPr="00C57ABA">
        <w:rPr>
          <w:rFonts w:ascii="Arial Narrow" w:eastAsia="Calibri" w:hAnsi="Arial Narrow"/>
          <w:b/>
          <w:i/>
        </w:rPr>
        <w:t>Схеми за климата, околната среда и хуманното отношение към животните (Еко схеми)</w:t>
      </w:r>
    </w:p>
    <w:p w14:paraId="6216914C" w14:textId="77777777" w:rsidR="00BA7C7F" w:rsidRPr="00C57ABA" w:rsidRDefault="00BA7C7F" w:rsidP="00BA7C7F">
      <w:pPr>
        <w:overflowPunct w:val="0"/>
        <w:autoSpaceDE w:val="0"/>
        <w:autoSpaceDN w:val="0"/>
        <w:adjustRightInd w:val="0"/>
        <w:spacing w:after="120"/>
        <w:ind w:firstLine="709"/>
        <w:jc w:val="both"/>
        <w:textAlignment w:val="baseline"/>
        <w:rPr>
          <w:rFonts w:ascii="Arial Narrow" w:eastAsia="Calibri" w:hAnsi="Arial Narrow"/>
        </w:rPr>
      </w:pPr>
      <w:r w:rsidRPr="00C57ABA">
        <w:rPr>
          <w:rFonts w:ascii="Arial Narrow" w:eastAsia="Calibri" w:hAnsi="Arial Narrow"/>
        </w:rPr>
        <w:t>С реформата на Общата селскостопанска политика</w:t>
      </w:r>
      <w:r>
        <w:rPr>
          <w:rFonts w:ascii="Arial Narrow" w:eastAsia="Calibri" w:hAnsi="Arial Narrow"/>
        </w:rPr>
        <w:t xml:space="preserve">, въведена през </w:t>
      </w:r>
      <w:r w:rsidRPr="00C57ABA">
        <w:rPr>
          <w:rFonts w:ascii="Arial Narrow" w:eastAsia="Calibri" w:hAnsi="Arial Narrow"/>
        </w:rPr>
        <w:t>202</w:t>
      </w:r>
      <w:r>
        <w:rPr>
          <w:rFonts w:ascii="Arial Narrow" w:eastAsia="Calibri" w:hAnsi="Arial Narrow"/>
        </w:rPr>
        <w:t>4</w:t>
      </w:r>
      <w:r w:rsidRPr="00C57ABA">
        <w:rPr>
          <w:rFonts w:ascii="Arial Narrow" w:eastAsia="Calibri" w:hAnsi="Arial Narrow"/>
        </w:rPr>
        <w:t xml:space="preserve"> г.</w:t>
      </w:r>
      <w:r>
        <w:rPr>
          <w:rFonts w:ascii="Arial Narrow" w:eastAsia="Calibri" w:hAnsi="Arial Narrow"/>
        </w:rPr>
        <w:t>,</w:t>
      </w:r>
      <w:r w:rsidRPr="00C57ABA">
        <w:rPr>
          <w:rFonts w:ascii="Arial Narrow" w:eastAsia="Calibri" w:hAnsi="Arial Narrow"/>
        </w:rPr>
        <w:t xml:space="preserve"> предоставяните през програмния период 2014-2020 г. </w:t>
      </w:r>
      <w:r>
        <w:rPr>
          <w:rFonts w:ascii="Arial Narrow" w:eastAsia="Calibri" w:hAnsi="Arial Narrow"/>
        </w:rPr>
        <w:t>„</w:t>
      </w:r>
      <w:r w:rsidRPr="00C57ABA">
        <w:rPr>
          <w:rFonts w:ascii="Arial Narrow" w:eastAsia="Calibri" w:hAnsi="Arial Narrow"/>
        </w:rPr>
        <w:t>зелени</w:t>
      </w:r>
      <w:r>
        <w:rPr>
          <w:rFonts w:ascii="Arial Narrow" w:eastAsia="Calibri" w:hAnsi="Arial Narrow"/>
        </w:rPr>
        <w:t>“</w:t>
      </w:r>
      <w:r w:rsidRPr="00C57ABA">
        <w:rPr>
          <w:rFonts w:ascii="Arial Narrow" w:eastAsia="Calibri" w:hAnsi="Arial Narrow"/>
        </w:rPr>
        <w:t xml:space="preserve"> директни плащания са заменени с</w:t>
      </w:r>
      <w:r>
        <w:rPr>
          <w:rFonts w:ascii="Arial Narrow" w:eastAsia="Calibri" w:hAnsi="Arial Narrow"/>
        </w:rPr>
        <w:t xml:space="preserve"> доброволни</w:t>
      </w:r>
      <w:r w:rsidRPr="00C57ABA">
        <w:rPr>
          <w:rFonts w:ascii="Arial Narrow" w:eastAsia="Calibri" w:hAnsi="Arial Narrow"/>
        </w:rPr>
        <w:t xml:space="preserve"> схеми за климата, околната среда и хуманното отношение към животните - Еко схеми. Еко схемите са насочени към подобряване на екологичните и климатичните резултати на ОСП и надхвърлят задължителните </w:t>
      </w:r>
      <w:r w:rsidRPr="00C57ABA">
        <w:rPr>
          <w:rFonts w:ascii="Arial Narrow" w:eastAsia="Calibri" w:hAnsi="Arial Narrow"/>
        </w:rPr>
        <w:lastRenderedPageBreak/>
        <w:t xml:space="preserve">изисквания, които вече са предвидени </w:t>
      </w:r>
      <w:r>
        <w:rPr>
          <w:rFonts w:ascii="Arial Narrow" w:eastAsia="Calibri" w:hAnsi="Arial Narrow"/>
        </w:rPr>
        <w:t>със</w:t>
      </w:r>
      <w:r w:rsidRPr="00C57ABA">
        <w:rPr>
          <w:rFonts w:ascii="Arial Narrow" w:eastAsia="Calibri" w:hAnsi="Arial Narrow"/>
        </w:rPr>
        <w:t xml:space="preserve"> системата на предварителни условия. Съгласно одобрения </w:t>
      </w:r>
      <w:r>
        <w:rPr>
          <w:rFonts w:ascii="Arial Narrow" w:eastAsia="Calibri" w:hAnsi="Arial Narrow"/>
        </w:rPr>
        <w:t>СПРЗСР 2023-2027 г.</w:t>
      </w:r>
      <w:r w:rsidRPr="00C57ABA">
        <w:rPr>
          <w:rFonts w:ascii="Arial Narrow" w:eastAsia="Calibri" w:hAnsi="Arial Narrow"/>
        </w:rPr>
        <w:t xml:space="preserve">, през </w:t>
      </w:r>
      <w:r>
        <w:rPr>
          <w:rFonts w:ascii="Arial Narrow" w:eastAsia="Calibri" w:hAnsi="Arial Narrow"/>
        </w:rPr>
        <w:t xml:space="preserve">Кампания `2024  </w:t>
      </w:r>
      <w:r w:rsidRPr="00C57ABA">
        <w:rPr>
          <w:rFonts w:ascii="Arial Narrow" w:eastAsia="Calibri" w:hAnsi="Arial Narrow"/>
        </w:rPr>
        <w:t xml:space="preserve"> се прилагат следните еко схеми:</w:t>
      </w:r>
    </w:p>
    <w:p w14:paraId="16D0FE62" w14:textId="77777777" w:rsidR="00BA7C7F" w:rsidRPr="00C57ABA" w:rsidRDefault="00BA7C7F" w:rsidP="00BA7C7F">
      <w:pPr>
        <w:overflowPunct w:val="0"/>
        <w:autoSpaceDE w:val="0"/>
        <w:autoSpaceDN w:val="0"/>
        <w:adjustRightInd w:val="0"/>
        <w:spacing w:after="120"/>
        <w:ind w:firstLine="709"/>
        <w:jc w:val="both"/>
        <w:textAlignment w:val="baseline"/>
        <w:rPr>
          <w:rFonts w:ascii="Arial Narrow" w:eastAsia="Calibri" w:hAnsi="Arial Narrow"/>
          <w:i/>
        </w:rPr>
      </w:pPr>
      <w:r w:rsidRPr="00C57ABA">
        <w:rPr>
          <w:rFonts w:ascii="Arial Narrow" w:eastAsia="Calibri" w:hAnsi="Arial Narrow"/>
          <w:i/>
        </w:rPr>
        <w:t>Еко схема за биологично земеделие (селскостопански животни)</w:t>
      </w:r>
    </w:p>
    <w:p w14:paraId="6ABBAD0C" w14:textId="77777777" w:rsidR="00BA7C7F" w:rsidRPr="00C57ABA" w:rsidRDefault="00BA7C7F" w:rsidP="00BA7C7F">
      <w:pPr>
        <w:overflowPunct w:val="0"/>
        <w:autoSpaceDE w:val="0"/>
        <w:autoSpaceDN w:val="0"/>
        <w:adjustRightInd w:val="0"/>
        <w:spacing w:after="120"/>
        <w:ind w:firstLine="709"/>
        <w:jc w:val="both"/>
        <w:textAlignment w:val="baseline"/>
        <w:rPr>
          <w:rFonts w:ascii="Arial Narrow" w:eastAsia="Calibri" w:hAnsi="Arial Narrow"/>
        </w:rPr>
      </w:pPr>
      <w:r w:rsidRPr="00C57ABA">
        <w:rPr>
          <w:rFonts w:ascii="Arial Narrow" w:eastAsia="Calibri" w:hAnsi="Arial Narrow"/>
        </w:rPr>
        <w:t xml:space="preserve">Интервенцията е насочена към подпомагане на земеделски стопани, които отглеждат селскостопански животни (биологични и в преход) от следните видове: говеда, биволи, овце и/или кози, свине за пасищно отглеждане (Източнобалканска свиня, съгласно приложимото национално законодателство) и стопанисват постоянно затревени площи и/или площи, заети с фуражни култури (биологични и в преход). </w:t>
      </w:r>
    </w:p>
    <w:p w14:paraId="3CEA8F15" w14:textId="77777777" w:rsidR="00BA7C7F" w:rsidRPr="00C57ABA" w:rsidRDefault="00BA7C7F" w:rsidP="00BA7C7F">
      <w:pPr>
        <w:overflowPunct w:val="0"/>
        <w:autoSpaceDE w:val="0"/>
        <w:autoSpaceDN w:val="0"/>
        <w:adjustRightInd w:val="0"/>
        <w:spacing w:after="120"/>
        <w:ind w:firstLine="709"/>
        <w:jc w:val="both"/>
        <w:textAlignment w:val="baseline"/>
        <w:rPr>
          <w:rFonts w:ascii="Arial Narrow" w:eastAsia="Calibri" w:hAnsi="Arial Narrow"/>
        </w:rPr>
      </w:pPr>
      <w:r w:rsidRPr="00C57ABA">
        <w:rPr>
          <w:rFonts w:ascii="Arial Narrow" w:eastAsia="Calibri" w:hAnsi="Arial Narrow"/>
        </w:rPr>
        <w:t xml:space="preserve">За </w:t>
      </w:r>
      <w:r>
        <w:rPr>
          <w:rFonts w:ascii="Arial Narrow" w:eastAsia="Calibri" w:hAnsi="Arial Narrow"/>
        </w:rPr>
        <w:t xml:space="preserve">Кампания `2024  </w:t>
      </w:r>
      <w:r w:rsidRPr="00C57ABA">
        <w:rPr>
          <w:rFonts w:ascii="Arial Narrow" w:eastAsia="Calibri" w:hAnsi="Arial Narrow"/>
        </w:rPr>
        <w:t xml:space="preserve"> заявления за подпомагане са подали 339 земеделски стопани. Интервенцията е с годишно ориентировъчно разпределение на финансови средства (индикативен бюджет) в размер на 14 382 673 лева. До края на м. юни 2025 г. са оторизирани 26 314 094 лева, при ставка от 699,88 </w:t>
      </w:r>
      <w:r>
        <w:rPr>
          <w:rFonts w:ascii="Arial Narrow" w:eastAsia="Calibri" w:hAnsi="Arial Narrow"/>
        </w:rPr>
        <w:t>лева</w:t>
      </w:r>
      <w:r w:rsidRPr="00C57ABA">
        <w:rPr>
          <w:rFonts w:ascii="Arial Narrow" w:eastAsia="Calibri" w:hAnsi="Arial Narrow"/>
        </w:rPr>
        <w:t>/ха.</w:t>
      </w:r>
    </w:p>
    <w:p w14:paraId="0D7FFDC9" w14:textId="77777777" w:rsidR="00BA7C7F" w:rsidRPr="00C57ABA" w:rsidRDefault="00BA7C7F" w:rsidP="00BA7C7F">
      <w:pPr>
        <w:overflowPunct w:val="0"/>
        <w:autoSpaceDE w:val="0"/>
        <w:autoSpaceDN w:val="0"/>
        <w:adjustRightInd w:val="0"/>
        <w:spacing w:after="120"/>
        <w:ind w:firstLine="709"/>
        <w:jc w:val="both"/>
        <w:textAlignment w:val="baseline"/>
        <w:rPr>
          <w:rFonts w:ascii="Arial Narrow" w:eastAsia="Calibri" w:hAnsi="Arial Narrow"/>
          <w:i/>
        </w:rPr>
      </w:pPr>
      <w:r w:rsidRPr="00C57ABA">
        <w:rPr>
          <w:rFonts w:ascii="Arial Narrow" w:eastAsia="Calibri" w:hAnsi="Arial Narrow"/>
          <w:i/>
        </w:rPr>
        <w:t>Еко схема за поддържане и подобряване на биологичното разнообразие и екологичната инфраструктура</w:t>
      </w:r>
    </w:p>
    <w:p w14:paraId="0237C3BE" w14:textId="77777777" w:rsidR="00BA7C7F" w:rsidRPr="00C57ABA" w:rsidRDefault="00BA7C7F" w:rsidP="00BA7C7F">
      <w:pPr>
        <w:overflowPunct w:val="0"/>
        <w:autoSpaceDE w:val="0"/>
        <w:autoSpaceDN w:val="0"/>
        <w:adjustRightInd w:val="0"/>
        <w:spacing w:after="120"/>
        <w:ind w:firstLine="709"/>
        <w:jc w:val="both"/>
        <w:textAlignment w:val="baseline"/>
        <w:rPr>
          <w:rFonts w:ascii="Arial Narrow" w:eastAsia="Calibri" w:hAnsi="Arial Narrow"/>
        </w:rPr>
      </w:pPr>
      <w:r w:rsidRPr="00C57ABA">
        <w:rPr>
          <w:rFonts w:ascii="Arial Narrow" w:eastAsia="Calibri" w:hAnsi="Arial Narrow"/>
        </w:rPr>
        <w:t>Действието на интервенцията е насочено към създаване на условия за постигане на целите на Зелената сделка и по-конкретно към целта: „Връщане на най-малко 10% от земеделските площи с ландшафтни характеристики с голямо разнообразие до 2030 г.”.</w:t>
      </w:r>
    </w:p>
    <w:p w14:paraId="305CFA96" w14:textId="77777777" w:rsidR="00BA7C7F" w:rsidRPr="00C57ABA" w:rsidRDefault="00BA7C7F" w:rsidP="00BA7C7F">
      <w:pPr>
        <w:overflowPunct w:val="0"/>
        <w:autoSpaceDE w:val="0"/>
        <w:autoSpaceDN w:val="0"/>
        <w:adjustRightInd w:val="0"/>
        <w:spacing w:after="120"/>
        <w:ind w:firstLine="709"/>
        <w:jc w:val="both"/>
        <w:textAlignment w:val="baseline"/>
        <w:rPr>
          <w:rFonts w:ascii="Arial Narrow" w:eastAsia="Calibri" w:hAnsi="Arial Narrow"/>
        </w:rPr>
      </w:pPr>
      <w:r w:rsidRPr="00C57ABA">
        <w:rPr>
          <w:rFonts w:ascii="Arial Narrow" w:eastAsia="Calibri" w:hAnsi="Arial Narrow"/>
        </w:rPr>
        <w:t>През 2024 г. заявление за подпомагане по интервенцията са подали 5 199 земеделски стопани. Определеният индикативен бюджет възлиза на 8 551 537 л</w:t>
      </w:r>
      <w:r>
        <w:rPr>
          <w:rFonts w:ascii="Arial Narrow" w:eastAsia="Calibri" w:hAnsi="Arial Narrow"/>
        </w:rPr>
        <w:t>ева</w:t>
      </w:r>
      <w:r w:rsidRPr="00C57ABA">
        <w:rPr>
          <w:rFonts w:ascii="Arial Narrow" w:eastAsia="Calibri" w:hAnsi="Arial Narrow"/>
        </w:rPr>
        <w:t>.</w:t>
      </w:r>
    </w:p>
    <w:p w14:paraId="7A060690" w14:textId="77777777" w:rsidR="00BA7C7F" w:rsidRPr="00C57ABA" w:rsidRDefault="00BA7C7F" w:rsidP="00BA7C7F">
      <w:pPr>
        <w:overflowPunct w:val="0"/>
        <w:autoSpaceDE w:val="0"/>
        <w:autoSpaceDN w:val="0"/>
        <w:adjustRightInd w:val="0"/>
        <w:spacing w:after="120"/>
        <w:ind w:firstLine="709"/>
        <w:jc w:val="both"/>
        <w:textAlignment w:val="baseline"/>
        <w:rPr>
          <w:rFonts w:ascii="Arial Narrow" w:eastAsia="Calibri" w:hAnsi="Arial Narrow"/>
        </w:rPr>
      </w:pPr>
      <w:r w:rsidRPr="00C57ABA">
        <w:rPr>
          <w:rFonts w:ascii="Arial Narrow" w:eastAsia="Calibri" w:hAnsi="Arial Narrow"/>
          <w:i/>
        </w:rPr>
        <w:t>Еко схема за запазване и възстановяване на почвения потенциал – насърчаване на зелено торене и органично наторяване</w:t>
      </w:r>
      <w:r w:rsidRPr="00C57ABA">
        <w:rPr>
          <w:rFonts w:ascii="Arial Narrow" w:eastAsia="Calibri" w:hAnsi="Arial Narrow"/>
        </w:rPr>
        <w:t xml:space="preserve"> </w:t>
      </w:r>
    </w:p>
    <w:p w14:paraId="5436AA63" w14:textId="77777777" w:rsidR="00BA7C7F" w:rsidRPr="00C57ABA" w:rsidRDefault="00BA7C7F" w:rsidP="00BA7C7F">
      <w:pPr>
        <w:overflowPunct w:val="0"/>
        <w:autoSpaceDE w:val="0"/>
        <w:autoSpaceDN w:val="0"/>
        <w:adjustRightInd w:val="0"/>
        <w:spacing w:after="120"/>
        <w:ind w:firstLine="709"/>
        <w:jc w:val="both"/>
        <w:textAlignment w:val="baseline"/>
        <w:rPr>
          <w:rFonts w:ascii="Arial Narrow" w:eastAsia="Calibri" w:hAnsi="Arial Narrow"/>
        </w:rPr>
      </w:pPr>
      <w:r w:rsidRPr="00C57ABA">
        <w:rPr>
          <w:rFonts w:ascii="Arial Narrow" w:eastAsia="Calibri" w:hAnsi="Arial Narrow"/>
        </w:rPr>
        <w:t xml:space="preserve">С интервенцията се цели намаляване на употребата на изкуствени торове и заместването им с естествени хранителни вещества, образувани вследствие внасянето на външна естествена органична материя. </w:t>
      </w:r>
    </w:p>
    <w:p w14:paraId="50337D58" w14:textId="77777777" w:rsidR="00BA7C7F" w:rsidRPr="00C57ABA" w:rsidRDefault="00BA7C7F" w:rsidP="00BA7C7F">
      <w:pPr>
        <w:overflowPunct w:val="0"/>
        <w:autoSpaceDE w:val="0"/>
        <w:autoSpaceDN w:val="0"/>
        <w:adjustRightInd w:val="0"/>
        <w:spacing w:after="120"/>
        <w:ind w:firstLine="709"/>
        <w:jc w:val="both"/>
        <w:textAlignment w:val="baseline"/>
        <w:rPr>
          <w:rFonts w:ascii="Arial Narrow" w:eastAsia="Calibri" w:hAnsi="Arial Narrow"/>
        </w:rPr>
      </w:pPr>
      <w:r>
        <w:rPr>
          <w:rFonts w:ascii="Arial Narrow" w:eastAsia="Calibri" w:hAnsi="Arial Narrow"/>
        </w:rPr>
        <w:t xml:space="preserve">По интервенцията, с </w:t>
      </w:r>
      <w:r w:rsidRPr="00C57ABA">
        <w:rPr>
          <w:rFonts w:ascii="Arial Narrow" w:eastAsia="Calibri" w:hAnsi="Arial Narrow"/>
        </w:rPr>
        <w:t xml:space="preserve">индикативен бюджет </w:t>
      </w:r>
      <w:r>
        <w:rPr>
          <w:rFonts w:ascii="Arial Narrow" w:eastAsia="Calibri" w:hAnsi="Arial Narrow"/>
        </w:rPr>
        <w:t xml:space="preserve">от </w:t>
      </w:r>
      <w:r w:rsidRPr="00C57ABA">
        <w:rPr>
          <w:rFonts w:ascii="Arial Narrow" w:eastAsia="Calibri" w:hAnsi="Arial Narrow"/>
        </w:rPr>
        <w:t>78 407 659 лева</w:t>
      </w:r>
      <w:r>
        <w:rPr>
          <w:rFonts w:ascii="Arial Narrow" w:eastAsia="Calibri" w:hAnsi="Arial Narrow"/>
        </w:rPr>
        <w:t xml:space="preserve"> за Кампания `2024,  са п</w:t>
      </w:r>
      <w:r w:rsidRPr="00C57ABA">
        <w:rPr>
          <w:rFonts w:ascii="Arial Narrow" w:eastAsia="Calibri" w:hAnsi="Arial Narrow"/>
        </w:rPr>
        <w:t xml:space="preserve">одадени </w:t>
      </w:r>
      <w:r>
        <w:rPr>
          <w:rFonts w:ascii="Arial Narrow" w:eastAsia="Calibri" w:hAnsi="Arial Narrow"/>
        </w:rPr>
        <w:t xml:space="preserve">          </w:t>
      </w:r>
      <w:r w:rsidRPr="00C57ABA">
        <w:rPr>
          <w:rFonts w:ascii="Arial Narrow" w:eastAsia="Calibri" w:hAnsi="Arial Narrow"/>
        </w:rPr>
        <w:t xml:space="preserve">6 975 заявления. Към 30 юни 2025 г. са оторизирани 77 108 784 лева, при плащане на единица площ в размер на 39,09 </w:t>
      </w:r>
      <w:r>
        <w:rPr>
          <w:rFonts w:ascii="Arial Narrow" w:eastAsia="Calibri" w:hAnsi="Arial Narrow"/>
        </w:rPr>
        <w:t>лева</w:t>
      </w:r>
      <w:r w:rsidRPr="00C57ABA">
        <w:rPr>
          <w:rFonts w:ascii="Arial Narrow" w:eastAsia="Calibri" w:hAnsi="Arial Narrow"/>
        </w:rPr>
        <w:t>/ха.</w:t>
      </w:r>
    </w:p>
    <w:p w14:paraId="625C6997" w14:textId="77777777" w:rsidR="00BA7C7F" w:rsidRPr="00C57ABA" w:rsidRDefault="00BA7C7F" w:rsidP="00BA7C7F">
      <w:pPr>
        <w:overflowPunct w:val="0"/>
        <w:autoSpaceDE w:val="0"/>
        <w:autoSpaceDN w:val="0"/>
        <w:adjustRightInd w:val="0"/>
        <w:spacing w:after="120"/>
        <w:ind w:firstLine="709"/>
        <w:jc w:val="both"/>
        <w:textAlignment w:val="baseline"/>
        <w:rPr>
          <w:rFonts w:ascii="Arial Narrow" w:eastAsia="Calibri" w:hAnsi="Arial Narrow"/>
          <w:i/>
        </w:rPr>
      </w:pPr>
      <w:r w:rsidRPr="00C57ABA">
        <w:rPr>
          <w:rFonts w:ascii="Arial Narrow" w:eastAsia="Calibri" w:hAnsi="Arial Narrow"/>
          <w:i/>
        </w:rPr>
        <w:t>Еко схема за намаляване използването на пестициди</w:t>
      </w:r>
    </w:p>
    <w:p w14:paraId="0E4BB0C8" w14:textId="77777777" w:rsidR="00BA7C7F" w:rsidRPr="00C57ABA" w:rsidRDefault="00BA7C7F" w:rsidP="00BA7C7F">
      <w:pPr>
        <w:overflowPunct w:val="0"/>
        <w:autoSpaceDE w:val="0"/>
        <w:autoSpaceDN w:val="0"/>
        <w:adjustRightInd w:val="0"/>
        <w:spacing w:after="120"/>
        <w:ind w:firstLine="709"/>
        <w:jc w:val="both"/>
        <w:textAlignment w:val="baseline"/>
        <w:rPr>
          <w:rFonts w:ascii="Arial Narrow" w:eastAsia="Calibri" w:hAnsi="Arial Narrow"/>
        </w:rPr>
      </w:pPr>
      <w:r w:rsidRPr="00C57ABA">
        <w:rPr>
          <w:rFonts w:ascii="Arial Narrow" w:eastAsia="Calibri" w:hAnsi="Arial Narrow"/>
        </w:rPr>
        <w:t xml:space="preserve">Изискванията по интервенцията осигуряват намаляване на количествата използвани продукти за растителна защита при отглеждане на растениевъдна продукция. Подкрепата допринася за целите на Зелената сделка и най-вече към целта: „Намаляване с 50% на употребата и риска от пестициди и намаляване на употребата на по-опасни пестициди до 2030 г.” </w:t>
      </w:r>
    </w:p>
    <w:p w14:paraId="08C9A3DA" w14:textId="77777777" w:rsidR="00BA7C7F" w:rsidRPr="00C57ABA" w:rsidRDefault="00BA7C7F" w:rsidP="00BA7C7F">
      <w:pPr>
        <w:overflowPunct w:val="0"/>
        <w:autoSpaceDE w:val="0"/>
        <w:autoSpaceDN w:val="0"/>
        <w:adjustRightInd w:val="0"/>
        <w:spacing w:after="120"/>
        <w:ind w:firstLine="709"/>
        <w:jc w:val="both"/>
        <w:textAlignment w:val="baseline"/>
        <w:rPr>
          <w:rFonts w:ascii="Arial Narrow" w:eastAsia="Calibri" w:hAnsi="Arial Narrow"/>
        </w:rPr>
      </w:pPr>
      <w:r w:rsidRPr="00C57ABA">
        <w:rPr>
          <w:rFonts w:ascii="Arial Narrow" w:eastAsia="Calibri" w:hAnsi="Arial Narrow"/>
        </w:rPr>
        <w:t xml:space="preserve">За </w:t>
      </w:r>
      <w:r>
        <w:rPr>
          <w:rFonts w:ascii="Arial Narrow" w:eastAsia="Calibri" w:hAnsi="Arial Narrow"/>
        </w:rPr>
        <w:t xml:space="preserve">Кампания `2024 </w:t>
      </w:r>
      <w:r w:rsidRPr="00C57ABA">
        <w:rPr>
          <w:rFonts w:ascii="Arial Narrow" w:eastAsia="Calibri" w:hAnsi="Arial Narrow"/>
        </w:rPr>
        <w:t>по интервенцията са подадени 16 555 заявления за подпомагане. Определеният индикативен бюджет възлиза на 168 162 047 лева. До края на м. юни 2025 г. са изплатени 166 417 192 лева, при ставк</w:t>
      </w:r>
      <w:r>
        <w:rPr>
          <w:rFonts w:ascii="Arial Narrow" w:eastAsia="Calibri" w:hAnsi="Arial Narrow"/>
        </w:rPr>
        <w:t>а</w:t>
      </w:r>
      <w:r w:rsidRPr="00C57ABA">
        <w:rPr>
          <w:rFonts w:ascii="Arial Narrow" w:eastAsia="Calibri" w:hAnsi="Arial Narrow"/>
        </w:rPr>
        <w:t xml:space="preserve"> в размер на 61,15 </w:t>
      </w:r>
      <w:r>
        <w:rPr>
          <w:rFonts w:ascii="Arial Narrow" w:eastAsia="Calibri" w:hAnsi="Arial Narrow"/>
        </w:rPr>
        <w:t>лева</w:t>
      </w:r>
      <w:r w:rsidRPr="00C57ABA">
        <w:rPr>
          <w:rFonts w:ascii="Arial Narrow" w:eastAsia="Calibri" w:hAnsi="Arial Narrow"/>
        </w:rPr>
        <w:t xml:space="preserve">/ха за обработваеми земи, 321,55 </w:t>
      </w:r>
      <w:r>
        <w:rPr>
          <w:rFonts w:ascii="Arial Narrow" w:eastAsia="Calibri" w:hAnsi="Arial Narrow"/>
        </w:rPr>
        <w:t>лева</w:t>
      </w:r>
      <w:r w:rsidRPr="00C57ABA">
        <w:rPr>
          <w:rFonts w:ascii="Arial Narrow" w:eastAsia="Calibri" w:hAnsi="Arial Narrow"/>
        </w:rPr>
        <w:t xml:space="preserve">/ха за трайни насаждения и 11,50 </w:t>
      </w:r>
      <w:r>
        <w:rPr>
          <w:rFonts w:ascii="Arial Narrow" w:eastAsia="Calibri" w:hAnsi="Arial Narrow"/>
        </w:rPr>
        <w:t>лева</w:t>
      </w:r>
      <w:r w:rsidRPr="00C57ABA">
        <w:rPr>
          <w:rFonts w:ascii="Arial Narrow" w:eastAsia="Calibri" w:hAnsi="Arial Narrow"/>
        </w:rPr>
        <w:t>/ха за постоянно затревени площи.</w:t>
      </w:r>
    </w:p>
    <w:p w14:paraId="3A9FA8B4" w14:textId="77777777" w:rsidR="00BA7C7F" w:rsidRPr="00C57ABA" w:rsidRDefault="00BA7C7F" w:rsidP="00BA7C7F">
      <w:pPr>
        <w:overflowPunct w:val="0"/>
        <w:autoSpaceDE w:val="0"/>
        <w:autoSpaceDN w:val="0"/>
        <w:adjustRightInd w:val="0"/>
        <w:spacing w:after="120"/>
        <w:ind w:firstLine="709"/>
        <w:jc w:val="both"/>
        <w:textAlignment w:val="baseline"/>
        <w:rPr>
          <w:rFonts w:ascii="Arial Narrow" w:eastAsia="Calibri" w:hAnsi="Arial Narrow"/>
          <w:i/>
        </w:rPr>
      </w:pPr>
      <w:r w:rsidRPr="00C57ABA">
        <w:rPr>
          <w:rFonts w:ascii="Arial Narrow" w:eastAsia="Calibri" w:hAnsi="Arial Narrow"/>
          <w:i/>
        </w:rPr>
        <w:t>Еко схема за екологично поддържане на трайните насаждения</w:t>
      </w:r>
    </w:p>
    <w:p w14:paraId="1A17D84F" w14:textId="77777777" w:rsidR="00BA7C7F" w:rsidRPr="00C57ABA" w:rsidRDefault="00BA7C7F" w:rsidP="00BA7C7F">
      <w:pPr>
        <w:overflowPunct w:val="0"/>
        <w:autoSpaceDE w:val="0"/>
        <w:autoSpaceDN w:val="0"/>
        <w:adjustRightInd w:val="0"/>
        <w:spacing w:after="120"/>
        <w:ind w:firstLine="709"/>
        <w:jc w:val="both"/>
        <w:textAlignment w:val="baseline"/>
        <w:rPr>
          <w:rFonts w:ascii="Arial Narrow" w:eastAsia="Calibri" w:hAnsi="Arial Narrow"/>
        </w:rPr>
      </w:pPr>
      <w:r w:rsidRPr="00C57ABA">
        <w:rPr>
          <w:rFonts w:ascii="Arial Narrow" w:eastAsia="Calibri" w:hAnsi="Arial Narrow"/>
        </w:rPr>
        <w:t xml:space="preserve">С интервенцията се подпомагат земеделските стопани, обработващи трайни насаждения. Тя цели подобряване на хранителния баланс и намаляване количеството на влаганите с торенето хранителни елементи чрез поддържане на азотфиксиращи култури в междуредията, както и създаване на естествена преграда от изтичане на остатъци от ПРЗ извън парцела на трайните насаждения чрез поддържане на ивици с естествена растителност по краищата на трайните насаждения. </w:t>
      </w:r>
    </w:p>
    <w:p w14:paraId="1FD21D27" w14:textId="77777777" w:rsidR="00BA7C7F" w:rsidRPr="00C57ABA" w:rsidRDefault="00BA7C7F" w:rsidP="00BA7C7F">
      <w:pPr>
        <w:overflowPunct w:val="0"/>
        <w:autoSpaceDE w:val="0"/>
        <w:autoSpaceDN w:val="0"/>
        <w:adjustRightInd w:val="0"/>
        <w:spacing w:after="120"/>
        <w:ind w:firstLine="709"/>
        <w:jc w:val="both"/>
        <w:textAlignment w:val="baseline"/>
        <w:rPr>
          <w:rFonts w:ascii="Arial Narrow" w:eastAsia="Calibri" w:hAnsi="Arial Narrow"/>
        </w:rPr>
      </w:pPr>
      <w:r w:rsidRPr="00C57ABA">
        <w:rPr>
          <w:rFonts w:ascii="Arial Narrow" w:eastAsia="Calibri" w:hAnsi="Arial Narrow"/>
        </w:rPr>
        <w:t xml:space="preserve">Подадените заявления за подпомагане по интервенцията са 4 559. Определеният индикативен бюджет възлиза на 6 987 080 лева. Към 30 юни 2025 г. са изплатени 11 617 463 лева, при размер на плащането на единица площ от 330,39 </w:t>
      </w:r>
      <w:r>
        <w:rPr>
          <w:rFonts w:ascii="Arial Narrow" w:eastAsia="Calibri" w:hAnsi="Arial Narrow"/>
        </w:rPr>
        <w:t>лева</w:t>
      </w:r>
      <w:r w:rsidRPr="00C57ABA">
        <w:rPr>
          <w:rFonts w:ascii="Arial Narrow" w:eastAsia="Calibri" w:hAnsi="Arial Narrow"/>
        </w:rPr>
        <w:t xml:space="preserve">/ха </w:t>
      </w:r>
      <w:r>
        <w:rPr>
          <w:rFonts w:ascii="Arial Narrow" w:eastAsia="Calibri" w:hAnsi="Arial Narrow"/>
        </w:rPr>
        <w:t xml:space="preserve">за поддържане на междуредията и </w:t>
      </w:r>
      <w:r w:rsidRPr="00C57ABA">
        <w:rPr>
          <w:rFonts w:ascii="Arial Narrow" w:eastAsia="Calibri" w:hAnsi="Arial Narrow"/>
        </w:rPr>
        <w:t xml:space="preserve">129,71 </w:t>
      </w:r>
      <w:r>
        <w:rPr>
          <w:rFonts w:ascii="Arial Narrow" w:eastAsia="Calibri" w:hAnsi="Arial Narrow"/>
        </w:rPr>
        <w:t>лева</w:t>
      </w:r>
      <w:r w:rsidRPr="00C57ABA">
        <w:rPr>
          <w:rFonts w:ascii="Arial Narrow" w:eastAsia="Calibri" w:hAnsi="Arial Narrow"/>
        </w:rPr>
        <w:t>/ха за поддържане на ивици по краищата на парцела.</w:t>
      </w:r>
    </w:p>
    <w:p w14:paraId="5AB51B76" w14:textId="77777777" w:rsidR="00BA7C7F" w:rsidRPr="00C57ABA" w:rsidRDefault="00BA7C7F" w:rsidP="00BA7C7F">
      <w:pPr>
        <w:overflowPunct w:val="0"/>
        <w:autoSpaceDE w:val="0"/>
        <w:autoSpaceDN w:val="0"/>
        <w:adjustRightInd w:val="0"/>
        <w:spacing w:after="120"/>
        <w:ind w:firstLine="709"/>
        <w:jc w:val="both"/>
        <w:textAlignment w:val="baseline"/>
        <w:rPr>
          <w:rFonts w:ascii="Arial Narrow" w:eastAsia="Calibri" w:hAnsi="Arial Narrow"/>
          <w:i/>
        </w:rPr>
      </w:pPr>
      <w:r w:rsidRPr="00C57ABA">
        <w:rPr>
          <w:rFonts w:ascii="Arial Narrow" w:eastAsia="Calibri" w:hAnsi="Arial Narrow"/>
          <w:i/>
        </w:rPr>
        <w:t>Еко схема за екстензивно поддържане на постоянно затревените площи</w:t>
      </w:r>
    </w:p>
    <w:p w14:paraId="70EB63D8" w14:textId="77777777" w:rsidR="00BA7C7F" w:rsidRPr="00C57ABA" w:rsidRDefault="00BA7C7F" w:rsidP="00BA7C7F">
      <w:pPr>
        <w:overflowPunct w:val="0"/>
        <w:autoSpaceDE w:val="0"/>
        <w:autoSpaceDN w:val="0"/>
        <w:adjustRightInd w:val="0"/>
        <w:spacing w:after="120"/>
        <w:ind w:firstLine="709"/>
        <w:jc w:val="both"/>
        <w:textAlignment w:val="baseline"/>
        <w:rPr>
          <w:rFonts w:ascii="Arial Narrow" w:eastAsia="Calibri" w:hAnsi="Arial Narrow"/>
        </w:rPr>
      </w:pPr>
      <w:r w:rsidRPr="00C57ABA">
        <w:rPr>
          <w:rFonts w:ascii="Arial Narrow" w:eastAsia="Calibri" w:hAnsi="Arial Narrow"/>
        </w:rPr>
        <w:lastRenderedPageBreak/>
        <w:t xml:space="preserve">Интервенцията надгражда в качествен аспект състоянието на постоянно затревените площи и въвежда екстензивен режим на управление на пасищната екосистема. Тя допринася за предотвратяване загубата на пасища чрез намаляване на процесите на утъпкване и ерозия, рудерализация и развитие на нетипични видове, като значително подобрява способността на пасищните системи да поглъщат въглерод и да смекчават климатичните промени. </w:t>
      </w:r>
    </w:p>
    <w:p w14:paraId="1162377A" w14:textId="77777777" w:rsidR="00BA7C7F" w:rsidRPr="00C57ABA" w:rsidRDefault="00BA7C7F" w:rsidP="00BA7C7F">
      <w:pPr>
        <w:overflowPunct w:val="0"/>
        <w:autoSpaceDE w:val="0"/>
        <w:autoSpaceDN w:val="0"/>
        <w:adjustRightInd w:val="0"/>
        <w:spacing w:after="120"/>
        <w:ind w:firstLine="709"/>
        <w:jc w:val="both"/>
        <w:textAlignment w:val="baseline"/>
        <w:rPr>
          <w:rFonts w:ascii="Arial Narrow" w:eastAsia="Calibri" w:hAnsi="Arial Narrow"/>
        </w:rPr>
      </w:pPr>
      <w:r w:rsidRPr="00C57ABA">
        <w:rPr>
          <w:rFonts w:ascii="Arial Narrow" w:eastAsia="Calibri" w:hAnsi="Arial Narrow"/>
        </w:rPr>
        <w:t xml:space="preserve">За Кампания `2024  по интервенцията е определен индикативен бюджет в размер на 34 422 080 лева. За подпомагане </w:t>
      </w:r>
      <w:r>
        <w:rPr>
          <w:rFonts w:ascii="Arial Narrow" w:eastAsia="Calibri" w:hAnsi="Arial Narrow"/>
        </w:rPr>
        <w:t xml:space="preserve">по нея </w:t>
      </w:r>
      <w:r w:rsidRPr="00C57ABA">
        <w:rPr>
          <w:rFonts w:ascii="Arial Narrow" w:eastAsia="Calibri" w:hAnsi="Arial Narrow"/>
        </w:rPr>
        <w:t xml:space="preserve">са кандидатствали 2 260 земеделски стопани. Оторизираните до края на </w:t>
      </w:r>
      <w:r>
        <w:rPr>
          <w:rFonts w:ascii="Arial Narrow" w:eastAsia="Calibri" w:hAnsi="Arial Narrow"/>
        </w:rPr>
        <w:t xml:space="preserve">      </w:t>
      </w:r>
      <w:r w:rsidRPr="00C57ABA">
        <w:rPr>
          <w:rFonts w:ascii="Arial Narrow" w:eastAsia="Calibri" w:hAnsi="Arial Narrow"/>
        </w:rPr>
        <w:t xml:space="preserve">м. юни 2025 г. средства възлизат на 14 826 678 лева, при ставка от 156,46 </w:t>
      </w:r>
      <w:r>
        <w:rPr>
          <w:rFonts w:ascii="Arial Narrow" w:eastAsia="Calibri" w:hAnsi="Arial Narrow"/>
        </w:rPr>
        <w:t>лева</w:t>
      </w:r>
      <w:r w:rsidRPr="00C57ABA">
        <w:rPr>
          <w:rFonts w:ascii="Arial Narrow" w:eastAsia="Calibri" w:hAnsi="Arial Narrow"/>
        </w:rPr>
        <w:t>/ха.</w:t>
      </w:r>
    </w:p>
    <w:p w14:paraId="7FF70D45" w14:textId="77777777" w:rsidR="00BA7C7F" w:rsidRPr="00C57ABA" w:rsidRDefault="00BA7C7F" w:rsidP="00BA7C7F">
      <w:pPr>
        <w:overflowPunct w:val="0"/>
        <w:autoSpaceDE w:val="0"/>
        <w:autoSpaceDN w:val="0"/>
        <w:adjustRightInd w:val="0"/>
        <w:spacing w:after="120"/>
        <w:ind w:firstLine="709"/>
        <w:jc w:val="both"/>
        <w:textAlignment w:val="baseline"/>
        <w:rPr>
          <w:rFonts w:ascii="Arial Narrow" w:eastAsia="Calibri" w:hAnsi="Arial Narrow"/>
          <w:i/>
        </w:rPr>
      </w:pPr>
      <w:r w:rsidRPr="00C57ABA">
        <w:rPr>
          <w:rFonts w:ascii="Arial Narrow" w:eastAsia="Calibri" w:hAnsi="Arial Narrow"/>
          <w:i/>
        </w:rPr>
        <w:t>Еко схема за поддържане и подобряване на биоразнообразието в горски екосистеми</w:t>
      </w:r>
    </w:p>
    <w:p w14:paraId="43C51AFC" w14:textId="77777777" w:rsidR="00BA7C7F" w:rsidRPr="00C57ABA" w:rsidRDefault="00BA7C7F" w:rsidP="00BA7C7F">
      <w:pPr>
        <w:overflowPunct w:val="0"/>
        <w:autoSpaceDE w:val="0"/>
        <w:autoSpaceDN w:val="0"/>
        <w:adjustRightInd w:val="0"/>
        <w:spacing w:after="120"/>
        <w:ind w:firstLine="709"/>
        <w:jc w:val="both"/>
        <w:textAlignment w:val="baseline"/>
        <w:rPr>
          <w:rFonts w:ascii="Arial Narrow" w:eastAsia="Calibri" w:hAnsi="Arial Narrow"/>
        </w:rPr>
      </w:pPr>
      <w:r w:rsidRPr="00C57ABA">
        <w:rPr>
          <w:rFonts w:ascii="Arial Narrow" w:eastAsia="Calibri" w:hAnsi="Arial Narrow"/>
        </w:rPr>
        <w:t xml:space="preserve">Интервенцията е насочена към поддържане и подобряване на биоразнообразието в горски екосистеми, като въвежда практика в граничните земеделски земи да се отглеждат култури, достигнали степен на зрялост, които са благоприятни за изхранване на диви животни. Отглежданите култури не се третират с продукти за растителна защита, което намалява химическия натиск върху земеделската площ. Отглежданите земеделски култури в рамките на интервенцията не се използват за добиване на продукция, а се оставят за изхранване на дивите животни и птици. </w:t>
      </w:r>
    </w:p>
    <w:p w14:paraId="7BA90664" w14:textId="77777777" w:rsidR="00BA7C7F" w:rsidRPr="00C57ABA" w:rsidRDefault="00BA7C7F" w:rsidP="00BA7C7F">
      <w:pPr>
        <w:overflowPunct w:val="0"/>
        <w:autoSpaceDE w:val="0"/>
        <w:autoSpaceDN w:val="0"/>
        <w:adjustRightInd w:val="0"/>
        <w:spacing w:after="120"/>
        <w:ind w:firstLine="709"/>
        <w:jc w:val="both"/>
        <w:textAlignment w:val="baseline"/>
        <w:rPr>
          <w:rFonts w:ascii="Arial Narrow" w:eastAsia="Calibri" w:hAnsi="Arial Narrow"/>
        </w:rPr>
      </w:pPr>
      <w:r w:rsidRPr="00C57ABA">
        <w:rPr>
          <w:rFonts w:ascii="Arial Narrow" w:eastAsia="Calibri" w:hAnsi="Arial Narrow"/>
        </w:rPr>
        <w:t xml:space="preserve">Индикативният годишен бюджет по </w:t>
      </w:r>
      <w:r>
        <w:rPr>
          <w:rFonts w:ascii="Arial Narrow" w:eastAsia="Calibri" w:hAnsi="Arial Narrow"/>
        </w:rPr>
        <w:t>еко схемата</w:t>
      </w:r>
      <w:r w:rsidRPr="00C57ABA">
        <w:rPr>
          <w:rFonts w:ascii="Arial Narrow" w:eastAsia="Calibri" w:hAnsi="Arial Narrow"/>
        </w:rPr>
        <w:t xml:space="preserve"> е в размер на 840 994 </w:t>
      </w:r>
      <w:r>
        <w:rPr>
          <w:rFonts w:ascii="Arial Narrow" w:eastAsia="Calibri" w:hAnsi="Arial Narrow"/>
        </w:rPr>
        <w:t>лева.</w:t>
      </w:r>
      <w:r w:rsidRPr="00C57ABA">
        <w:rPr>
          <w:rFonts w:ascii="Arial Narrow" w:eastAsia="Calibri" w:hAnsi="Arial Narrow"/>
        </w:rPr>
        <w:t xml:space="preserve"> Заявление за подпомагане </w:t>
      </w:r>
      <w:r w:rsidRPr="009B2231">
        <w:rPr>
          <w:rFonts w:ascii="Arial Narrow" w:eastAsia="Calibri" w:hAnsi="Arial Narrow"/>
        </w:rPr>
        <w:t xml:space="preserve">за Кампания `2024  </w:t>
      </w:r>
      <w:r w:rsidRPr="00C57ABA">
        <w:rPr>
          <w:rFonts w:ascii="Arial Narrow" w:eastAsia="Calibri" w:hAnsi="Arial Narrow"/>
        </w:rPr>
        <w:t xml:space="preserve">са подали 201 земеделски стопани. Към 30 юни 2025 г. са изплатени 776 937 лева, при ставка от 420,50 </w:t>
      </w:r>
      <w:r>
        <w:rPr>
          <w:rFonts w:ascii="Arial Narrow" w:eastAsia="Calibri" w:hAnsi="Arial Narrow"/>
        </w:rPr>
        <w:t>лева</w:t>
      </w:r>
      <w:r w:rsidRPr="00C57ABA">
        <w:rPr>
          <w:rFonts w:ascii="Arial Narrow" w:eastAsia="Calibri" w:hAnsi="Arial Narrow"/>
        </w:rPr>
        <w:t>/ха.</w:t>
      </w:r>
    </w:p>
    <w:p w14:paraId="1E672A28" w14:textId="77777777" w:rsidR="00BA7C7F" w:rsidRPr="00C57ABA" w:rsidRDefault="00BA7C7F" w:rsidP="00BA7C7F">
      <w:pPr>
        <w:overflowPunct w:val="0"/>
        <w:autoSpaceDE w:val="0"/>
        <w:autoSpaceDN w:val="0"/>
        <w:adjustRightInd w:val="0"/>
        <w:spacing w:after="120"/>
        <w:ind w:firstLine="709"/>
        <w:jc w:val="both"/>
        <w:textAlignment w:val="baseline"/>
        <w:rPr>
          <w:rFonts w:ascii="Arial Narrow" w:eastAsia="Calibri" w:hAnsi="Arial Narrow"/>
          <w:i/>
        </w:rPr>
      </w:pPr>
      <w:r w:rsidRPr="00C57ABA">
        <w:rPr>
          <w:rFonts w:ascii="Arial Narrow" w:eastAsia="Calibri" w:hAnsi="Arial Narrow"/>
          <w:i/>
        </w:rPr>
        <w:t>Еко схема за разнообразяване на отглежданите култури</w:t>
      </w:r>
    </w:p>
    <w:p w14:paraId="76C915DF" w14:textId="77777777" w:rsidR="00BA7C7F" w:rsidRPr="00C57ABA" w:rsidRDefault="00BA7C7F" w:rsidP="00BA7C7F">
      <w:pPr>
        <w:overflowPunct w:val="0"/>
        <w:autoSpaceDE w:val="0"/>
        <w:autoSpaceDN w:val="0"/>
        <w:adjustRightInd w:val="0"/>
        <w:spacing w:after="120"/>
        <w:ind w:firstLine="709"/>
        <w:jc w:val="both"/>
        <w:textAlignment w:val="baseline"/>
        <w:rPr>
          <w:rFonts w:ascii="Arial Narrow" w:eastAsia="Calibri" w:hAnsi="Arial Narrow"/>
        </w:rPr>
      </w:pPr>
      <w:r w:rsidRPr="00C57ABA">
        <w:rPr>
          <w:rFonts w:ascii="Arial Narrow" w:eastAsia="Calibri" w:hAnsi="Arial Narrow"/>
        </w:rPr>
        <w:t xml:space="preserve">Изискванията в рамките на </w:t>
      </w:r>
      <w:r>
        <w:rPr>
          <w:rFonts w:ascii="Arial Narrow" w:eastAsia="Calibri" w:hAnsi="Arial Narrow"/>
        </w:rPr>
        <w:t>еко схемата</w:t>
      </w:r>
      <w:r w:rsidRPr="00C57ABA">
        <w:rPr>
          <w:rFonts w:ascii="Arial Narrow" w:eastAsia="Calibri" w:hAnsi="Arial Narrow"/>
        </w:rPr>
        <w:t xml:space="preserve"> осигуряват по-голям брой на отглежданите в земеделското стопанство земеделски култури. Това допринася за минимизиране на рисковете за стопанството вследствие на климатичните промени, увеличава съдържанието на хумус и хранителни вещества в почвата и предпазва от ерозия. Създават се естествени коридори и хранителна база за защитени видове, включително птици. </w:t>
      </w:r>
    </w:p>
    <w:p w14:paraId="1B5907F2" w14:textId="77777777" w:rsidR="00BA7C7F" w:rsidRPr="00C57ABA" w:rsidRDefault="00BA7C7F" w:rsidP="00BA7C7F">
      <w:pPr>
        <w:overflowPunct w:val="0"/>
        <w:autoSpaceDE w:val="0"/>
        <w:autoSpaceDN w:val="0"/>
        <w:adjustRightInd w:val="0"/>
        <w:spacing w:after="120"/>
        <w:ind w:firstLine="709"/>
        <w:jc w:val="both"/>
        <w:textAlignment w:val="baseline"/>
        <w:rPr>
          <w:rFonts w:ascii="Arial Narrow" w:eastAsia="Calibri" w:hAnsi="Arial Narrow"/>
        </w:rPr>
      </w:pPr>
      <w:r w:rsidRPr="00C57ABA">
        <w:rPr>
          <w:rFonts w:ascii="Arial Narrow" w:eastAsia="Calibri" w:hAnsi="Arial Narrow"/>
        </w:rPr>
        <w:t>Интервенцията е с годишен индикативен бюджет от 86 440 416 лева. За Кампания `2024  са подадени 21 848 заявления</w:t>
      </w:r>
      <w:r>
        <w:rPr>
          <w:rFonts w:ascii="Arial Narrow" w:eastAsia="Calibri" w:hAnsi="Arial Narrow"/>
        </w:rPr>
        <w:t xml:space="preserve"> за подпомагане</w:t>
      </w:r>
      <w:r w:rsidRPr="00C57ABA">
        <w:rPr>
          <w:rFonts w:ascii="Arial Narrow" w:eastAsia="Calibri" w:hAnsi="Arial Narrow"/>
        </w:rPr>
        <w:t xml:space="preserve">. Плащанията на единица площ възлизат на 67,59 </w:t>
      </w:r>
      <w:r>
        <w:rPr>
          <w:rFonts w:ascii="Arial Narrow" w:eastAsia="Calibri" w:hAnsi="Arial Narrow"/>
        </w:rPr>
        <w:t>лева</w:t>
      </w:r>
      <w:r w:rsidRPr="00C57ABA">
        <w:rPr>
          <w:rFonts w:ascii="Arial Narrow" w:eastAsia="Calibri" w:hAnsi="Arial Narrow"/>
        </w:rPr>
        <w:t xml:space="preserve">/ха за земеделски стопанства до 10 ха, 52,10 </w:t>
      </w:r>
      <w:r>
        <w:rPr>
          <w:rFonts w:ascii="Arial Narrow" w:eastAsia="Calibri" w:hAnsi="Arial Narrow"/>
        </w:rPr>
        <w:t>лева</w:t>
      </w:r>
      <w:r w:rsidRPr="00C57ABA">
        <w:rPr>
          <w:rFonts w:ascii="Arial Narrow" w:eastAsia="Calibri" w:hAnsi="Arial Narrow"/>
        </w:rPr>
        <w:t xml:space="preserve">/ха за земеделски стопанства между 10 и 30 ха и 27,61 </w:t>
      </w:r>
      <w:r>
        <w:rPr>
          <w:rFonts w:ascii="Arial Narrow" w:eastAsia="Calibri" w:hAnsi="Arial Narrow"/>
        </w:rPr>
        <w:t>лева</w:t>
      </w:r>
      <w:r w:rsidRPr="00C57ABA">
        <w:rPr>
          <w:rFonts w:ascii="Arial Narrow" w:eastAsia="Calibri" w:hAnsi="Arial Narrow"/>
        </w:rPr>
        <w:t>/ха за земеделски стопанства над 30 ха. Оторизираните средства към края н</w:t>
      </w:r>
      <w:r w:rsidR="00816B55">
        <w:rPr>
          <w:rFonts w:ascii="Arial Narrow" w:eastAsia="Calibri" w:hAnsi="Arial Narrow"/>
        </w:rPr>
        <w:t>а м. юни 2025 г. са в размер на</w:t>
      </w:r>
      <w:r>
        <w:rPr>
          <w:rFonts w:ascii="Arial Narrow" w:eastAsia="Calibri" w:hAnsi="Arial Narrow"/>
        </w:rPr>
        <w:t xml:space="preserve"> </w:t>
      </w:r>
      <w:r w:rsidRPr="00C57ABA">
        <w:rPr>
          <w:rFonts w:ascii="Arial Narrow" w:eastAsia="Calibri" w:hAnsi="Arial Narrow"/>
        </w:rPr>
        <w:t>85 265 182 лева.</w:t>
      </w:r>
    </w:p>
    <w:p w14:paraId="4192932D" w14:textId="77777777" w:rsidR="00BA7C7F" w:rsidRPr="00C57ABA" w:rsidRDefault="00BA7C7F" w:rsidP="00BA7C7F">
      <w:pPr>
        <w:overflowPunct w:val="0"/>
        <w:autoSpaceDE w:val="0"/>
        <w:autoSpaceDN w:val="0"/>
        <w:adjustRightInd w:val="0"/>
        <w:spacing w:after="120"/>
        <w:ind w:firstLine="709"/>
        <w:jc w:val="both"/>
        <w:textAlignment w:val="baseline"/>
        <w:rPr>
          <w:rFonts w:ascii="Arial Narrow" w:eastAsia="Calibri" w:hAnsi="Arial Narrow" w:cs="Arial"/>
          <w:b/>
          <w:i/>
        </w:rPr>
      </w:pPr>
      <w:r w:rsidRPr="00C57ABA">
        <w:rPr>
          <w:rFonts w:ascii="Arial Narrow" w:eastAsia="Calibri" w:hAnsi="Arial Narrow"/>
          <w:b/>
          <w:i/>
        </w:rPr>
        <w:t>Интервенции за обвързано с производството подпомагане</w:t>
      </w:r>
      <w:r w:rsidRPr="00C57ABA">
        <w:rPr>
          <w:rFonts w:ascii="Arial Narrow" w:eastAsia="Calibri" w:hAnsi="Arial Narrow" w:cs="Arial"/>
          <w:b/>
          <w:i/>
        </w:rPr>
        <w:t xml:space="preserve"> </w:t>
      </w:r>
    </w:p>
    <w:p w14:paraId="2F24EB08" w14:textId="77777777" w:rsidR="00BA7C7F" w:rsidRPr="00C57ABA" w:rsidRDefault="00BA7C7F" w:rsidP="00BA7C7F">
      <w:pPr>
        <w:overflowPunct w:val="0"/>
        <w:autoSpaceDE w:val="0"/>
        <w:autoSpaceDN w:val="0"/>
        <w:adjustRightInd w:val="0"/>
        <w:spacing w:after="120"/>
        <w:ind w:firstLine="709"/>
        <w:jc w:val="both"/>
        <w:textAlignment w:val="baseline"/>
        <w:rPr>
          <w:rFonts w:ascii="Arial Narrow" w:eastAsia="Calibri" w:hAnsi="Arial Narrow"/>
          <w:i/>
        </w:rPr>
      </w:pPr>
      <w:r w:rsidRPr="00C57ABA">
        <w:rPr>
          <w:rFonts w:ascii="Arial Narrow" w:eastAsia="Calibri" w:hAnsi="Arial Narrow"/>
          <w:i/>
        </w:rPr>
        <w:t>Обвързано с производството подпомагане за млечни крави</w:t>
      </w:r>
    </w:p>
    <w:p w14:paraId="365968E6" w14:textId="77777777" w:rsidR="00BA7C7F" w:rsidRPr="00C57ABA" w:rsidRDefault="00BA7C7F" w:rsidP="00BA7C7F">
      <w:pPr>
        <w:overflowPunct w:val="0"/>
        <w:autoSpaceDE w:val="0"/>
        <w:autoSpaceDN w:val="0"/>
        <w:adjustRightInd w:val="0"/>
        <w:spacing w:after="120"/>
        <w:ind w:firstLine="709"/>
        <w:jc w:val="both"/>
        <w:textAlignment w:val="baseline"/>
        <w:rPr>
          <w:rFonts w:ascii="Arial Narrow" w:eastAsia="Calibri" w:hAnsi="Arial Narrow"/>
        </w:rPr>
      </w:pPr>
      <w:r w:rsidRPr="00C57ABA">
        <w:rPr>
          <w:rFonts w:ascii="Arial Narrow" w:eastAsia="Calibri" w:hAnsi="Arial Narrow"/>
        </w:rPr>
        <w:t xml:space="preserve">Интервенцията с годишно ориентировъчно разпределение на финансови средства в размер на 21 863 198 лева е насочена към подпомагане на стопанства от млечния сектор за поддържане на нивото на добиваното мляко. За </w:t>
      </w:r>
      <w:r>
        <w:rPr>
          <w:rFonts w:ascii="Arial Narrow" w:eastAsia="Calibri" w:hAnsi="Arial Narrow"/>
        </w:rPr>
        <w:t xml:space="preserve">Кампания `2024 </w:t>
      </w:r>
      <w:r w:rsidRPr="00C57ABA">
        <w:rPr>
          <w:rFonts w:ascii="Arial Narrow" w:eastAsia="Calibri" w:hAnsi="Arial Narrow"/>
        </w:rPr>
        <w:t xml:space="preserve">заявления за подпомагане са подали 2 497 земеделски стопани. </w:t>
      </w:r>
      <w:r>
        <w:rPr>
          <w:rFonts w:ascii="Arial Narrow" w:eastAsia="Calibri" w:hAnsi="Arial Narrow"/>
        </w:rPr>
        <w:t xml:space="preserve">Определената </w:t>
      </w:r>
      <w:r w:rsidRPr="00C57ABA">
        <w:rPr>
          <w:rFonts w:ascii="Arial Narrow" w:eastAsia="Calibri" w:hAnsi="Arial Narrow"/>
        </w:rPr>
        <w:t xml:space="preserve">ставка </w:t>
      </w:r>
      <w:r>
        <w:rPr>
          <w:rFonts w:ascii="Arial Narrow" w:eastAsia="Calibri" w:hAnsi="Arial Narrow"/>
        </w:rPr>
        <w:t xml:space="preserve">на животно </w:t>
      </w:r>
      <w:r w:rsidRPr="00C57ABA">
        <w:rPr>
          <w:rFonts w:ascii="Arial Narrow" w:eastAsia="Calibri" w:hAnsi="Arial Narrow"/>
        </w:rPr>
        <w:t>е в размер</w:t>
      </w:r>
      <w:r>
        <w:rPr>
          <w:rFonts w:ascii="Arial Narrow" w:eastAsia="Calibri" w:hAnsi="Arial Narrow"/>
        </w:rPr>
        <w:t xml:space="preserve"> на 316,59 лева/глава за първите </w:t>
      </w:r>
      <w:r w:rsidRPr="00C57ABA">
        <w:rPr>
          <w:rFonts w:ascii="Arial Narrow" w:eastAsia="Calibri" w:hAnsi="Arial Narrow"/>
        </w:rPr>
        <w:t xml:space="preserve">150 (включително) допустими животни и 253,28 </w:t>
      </w:r>
      <w:r>
        <w:rPr>
          <w:rFonts w:ascii="Arial Narrow" w:eastAsia="Calibri" w:hAnsi="Arial Narrow"/>
        </w:rPr>
        <w:t>лева</w:t>
      </w:r>
      <w:r w:rsidRPr="00C57ABA">
        <w:rPr>
          <w:rFonts w:ascii="Arial Narrow" w:eastAsia="Calibri" w:hAnsi="Arial Narrow"/>
        </w:rPr>
        <w:t>/глава за животните над 150-ото допустимо животно. Към 30 юни 2025 г. по интервенцията са оторизирани 21 611 432 лева.</w:t>
      </w:r>
    </w:p>
    <w:p w14:paraId="1F1A14FA" w14:textId="77777777" w:rsidR="00BA7C7F" w:rsidRPr="00C57ABA" w:rsidRDefault="00BA7C7F" w:rsidP="00BA7C7F">
      <w:pPr>
        <w:overflowPunct w:val="0"/>
        <w:autoSpaceDE w:val="0"/>
        <w:autoSpaceDN w:val="0"/>
        <w:adjustRightInd w:val="0"/>
        <w:spacing w:after="120"/>
        <w:ind w:firstLine="709"/>
        <w:jc w:val="both"/>
        <w:textAlignment w:val="baseline"/>
        <w:rPr>
          <w:rFonts w:ascii="Arial Narrow" w:eastAsia="Calibri" w:hAnsi="Arial Narrow"/>
          <w:i/>
        </w:rPr>
      </w:pPr>
      <w:r w:rsidRPr="00C57ABA">
        <w:rPr>
          <w:rFonts w:ascii="Arial Narrow" w:eastAsia="Calibri" w:hAnsi="Arial Narrow"/>
          <w:i/>
        </w:rPr>
        <w:t>Обвързано с производството подпомагане за млечни крави включени в развъдни програми</w:t>
      </w:r>
    </w:p>
    <w:p w14:paraId="46A370FE" w14:textId="77777777" w:rsidR="00BA7C7F" w:rsidRPr="00C57ABA" w:rsidRDefault="00BA7C7F" w:rsidP="00BA7C7F">
      <w:pPr>
        <w:overflowPunct w:val="0"/>
        <w:autoSpaceDE w:val="0"/>
        <w:autoSpaceDN w:val="0"/>
        <w:adjustRightInd w:val="0"/>
        <w:spacing w:after="120"/>
        <w:ind w:firstLine="709"/>
        <w:jc w:val="both"/>
        <w:textAlignment w:val="baseline"/>
        <w:rPr>
          <w:rFonts w:ascii="Arial Narrow" w:eastAsia="Calibri" w:hAnsi="Arial Narrow"/>
        </w:rPr>
      </w:pPr>
      <w:r w:rsidRPr="00C57ABA">
        <w:rPr>
          <w:rFonts w:ascii="Arial Narrow" w:eastAsia="Calibri" w:hAnsi="Arial Narrow"/>
        </w:rPr>
        <w:t xml:space="preserve">За Кампания `2024 заявление за подпомагане са подали 704 земеделски стопани. Годишният индикативен бюджет за интервенцията е в размер на 32 906 324 лева, а определените за подпомагане плащания на глава животно - 472,73 </w:t>
      </w:r>
      <w:r>
        <w:rPr>
          <w:rFonts w:ascii="Arial Narrow" w:eastAsia="Calibri" w:hAnsi="Arial Narrow"/>
        </w:rPr>
        <w:t>лева</w:t>
      </w:r>
      <w:r w:rsidRPr="00C57ABA">
        <w:rPr>
          <w:rFonts w:ascii="Arial Narrow" w:eastAsia="Calibri" w:hAnsi="Arial Narrow"/>
        </w:rPr>
        <w:t xml:space="preserve">/глава за първите 150 (включително) допустими животни и 378,18 </w:t>
      </w:r>
      <w:r>
        <w:rPr>
          <w:rFonts w:ascii="Arial Narrow" w:eastAsia="Calibri" w:hAnsi="Arial Narrow"/>
        </w:rPr>
        <w:t>лева</w:t>
      </w:r>
      <w:r w:rsidRPr="00C57ABA">
        <w:rPr>
          <w:rFonts w:ascii="Arial Narrow" w:eastAsia="Calibri" w:hAnsi="Arial Narrow"/>
        </w:rPr>
        <w:t>/глава за животните над 150-ото допустимо животно. Оторизираните средства до края на м. юни 2025 г. възлизат на 32 648 597 лева.</w:t>
      </w:r>
    </w:p>
    <w:p w14:paraId="0732A6A1" w14:textId="77777777" w:rsidR="00BA7C7F" w:rsidRPr="00C57ABA" w:rsidRDefault="00BA7C7F" w:rsidP="00BA7C7F">
      <w:pPr>
        <w:overflowPunct w:val="0"/>
        <w:autoSpaceDE w:val="0"/>
        <w:autoSpaceDN w:val="0"/>
        <w:adjustRightInd w:val="0"/>
        <w:spacing w:after="120"/>
        <w:ind w:firstLine="709"/>
        <w:jc w:val="both"/>
        <w:textAlignment w:val="baseline"/>
        <w:rPr>
          <w:rFonts w:ascii="Arial Narrow" w:eastAsia="Calibri" w:hAnsi="Arial Narrow"/>
          <w:i/>
        </w:rPr>
      </w:pPr>
      <w:r w:rsidRPr="00C57ABA">
        <w:rPr>
          <w:rFonts w:ascii="Arial Narrow" w:eastAsia="Calibri" w:hAnsi="Arial Narrow"/>
          <w:i/>
        </w:rPr>
        <w:t xml:space="preserve">Обвързано с производството подпомагане за месодайни крави  </w:t>
      </w:r>
    </w:p>
    <w:p w14:paraId="3D2F269C" w14:textId="77777777" w:rsidR="00BA7C7F" w:rsidRPr="00C57ABA" w:rsidRDefault="00BA7C7F" w:rsidP="00BA7C7F">
      <w:pPr>
        <w:overflowPunct w:val="0"/>
        <w:autoSpaceDE w:val="0"/>
        <w:autoSpaceDN w:val="0"/>
        <w:adjustRightInd w:val="0"/>
        <w:spacing w:after="120"/>
        <w:ind w:firstLine="709"/>
        <w:jc w:val="both"/>
        <w:textAlignment w:val="baseline"/>
        <w:rPr>
          <w:rFonts w:ascii="Arial Narrow" w:eastAsia="Calibri" w:hAnsi="Arial Narrow"/>
        </w:rPr>
      </w:pPr>
      <w:r w:rsidRPr="00C57ABA">
        <w:rPr>
          <w:rFonts w:ascii="Arial Narrow" w:eastAsia="Calibri" w:hAnsi="Arial Narrow"/>
        </w:rPr>
        <w:t xml:space="preserve">Интервенцията е с индикативен бюджет в размер на 27 117 851 лева. За Кампания `2024  за подпомагане </w:t>
      </w:r>
      <w:r>
        <w:rPr>
          <w:rFonts w:ascii="Arial Narrow" w:eastAsia="Calibri" w:hAnsi="Arial Narrow"/>
        </w:rPr>
        <w:t xml:space="preserve">по нея </w:t>
      </w:r>
      <w:r w:rsidRPr="00C57ABA">
        <w:rPr>
          <w:rFonts w:ascii="Arial Narrow" w:eastAsia="Calibri" w:hAnsi="Arial Narrow"/>
        </w:rPr>
        <w:t xml:space="preserve">са кандидатствали 3 845 земеделски стопани. Ставката за подпомагане на глава животно е 250,01 </w:t>
      </w:r>
      <w:r>
        <w:rPr>
          <w:rFonts w:ascii="Arial Narrow" w:eastAsia="Calibri" w:hAnsi="Arial Narrow"/>
        </w:rPr>
        <w:t>лева</w:t>
      </w:r>
      <w:r w:rsidRPr="00C57ABA">
        <w:rPr>
          <w:rFonts w:ascii="Arial Narrow" w:eastAsia="Calibri" w:hAnsi="Arial Narrow"/>
        </w:rPr>
        <w:t xml:space="preserve">/глава за първите 150 (включително) допустими животни и 200 </w:t>
      </w:r>
      <w:r>
        <w:rPr>
          <w:rFonts w:ascii="Arial Narrow" w:eastAsia="Calibri" w:hAnsi="Arial Narrow"/>
        </w:rPr>
        <w:t>лева</w:t>
      </w:r>
      <w:r w:rsidRPr="00C57ABA">
        <w:rPr>
          <w:rFonts w:ascii="Arial Narrow" w:eastAsia="Calibri" w:hAnsi="Arial Narrow"/>
        </w:rPr>
        <w:t xml:space="preserve">/глава за </w:t>
      </w:r>
      <w:r w:rsidRPr="00C57ABA">
        <w:rPr>
          <w:rFonts w:ascii="Arial Narrow" w:eastAsia="Calibri" w:hAnsi="Arial Narrow"/>
        </w:rPr>
        <w:lastRenderedPageBreak/>
        <w:t>животните над 150-ото допустимо животно. Изплатените до края на м. юни 2025 г. средства възлизат на 26 026 476 лева.</w:t>
      </w:r>
    </w:p>
    <w:p w14:paraId="54E90A62" w14:textId="77777777" w:rsidR="00BA7C7F" w:rsidRPr="00C57ABA" w:rsidRDefault="00BA7C7F" w:rsidP="00BA7C7F">
      <w:pPr>
        <w:overflowPunct w:val="0"/>
        <w:autoSpaceDE w:val="0"/>
        <w:autoSpaceDN w:val="0"/>
        <w:adjustRightInd w:val="0"/>
        <w:spacing w:after="120"/>
        <w:ind w:firstLine="709"/>
        <w:jc w:val="both"/>
        <w:textAlignment w:val="baseline"/>
        <w:rPr>
          <w:rFonts w:ascii="Arial Narrow" w:eastAsia="Calibri" w:hAnsi="Arial Narrow"/>
          <w:i/>
        </w:rPr>
      </w:pPr>
      <w:r w:rsidRPr="00C57ABA">
        <w:rPr>
          <w:rFonts w:ascii="Arial Narrow" w:eastAsia="Calibri" w:hAnsi="Arial Narrow"/>
          <w:i/>
        </w:rPr>
        <w:t xml:space="preserve">Обвързано с производството подпомагане за месодайни крави, включени в развъдни програми </w:t>
      </w:r>
    </w:p>
    <w:p w14:paraId="0B403808" w14:textId="77777777" w:rsidR="00BA7C7F" w:rsidRPr="00C57ABA" w:rsidRDefault="00BA7C7F" w:rsidP="00BA7C7F">
      <w:pPr>
        <w:overflowPunct w:val="0"/>
        <w:autoSpaceDE w:val="0"/>
        <w:autoSpaceDN w:val="0"/>
        <w:adjustRightInd w:val="0"/>
        <w:spacing w:after="120"/>
        <w:ind w:firstLine="709"/>
        <w:jc w:val="both"/>
        <w:textAlignment w:val="baseline"/>
        <w:rPr>
          <w:rFonts w:ascii="Arial Narrow" w:eastAsia="Calibri" w:hAnsi="Arial Narrow"/>
        </w:rPr>
      </w:pPr>
      <w:r>
        <w:rPr>
          <w:rFonts w:ascii="Arial Narrow" w:eastAsia="Calibri" w:hAnsi="Arial Narrow"/>
        </w:rPr>
        <w:t>И</w:t>
      </w:r>
      <w:r w:rsidRPr="00C57ABA">
        <w:rPr>
          <w:rFonts w:ascii="Arial Narrow" w:eastAsia="Calibri" w:hAnsi="Arial Narrow"/>
        </w:rPr>
        <w:t>ндикатив</w:t>
      </w:r>
      <w:r>
        <w:rPr>
          <w:rFonts w:ascii="Arial Narrow" w:eastAsia="Calibri" w:hAnsi="Arial Narrow"/>
        </w:rPr>
        <w:t>ният</w:t>
      </w:r>
      <w:r w:rsidRPr="00C57ABA">
        <w:rPr>
          <w:rFonts w:ascii="Arial Narrow" w:eastAsia="Calibri" w:hAnsi="Arial Narrow"/>
        </w:rPr>
        <w:t xml:space="preserve"> бюджет </w:t>
      </w:r>
      <w:r>
        <w:rPr>
          <w:rFonts w:ascii="Arial Narrow" w:eastAsia="Calibri" w:hAnsi="Arial Narrow"/>
        </w:rPr>
        <w:t>на</w:t>
      </w:r>
      <w:r w:rsidRPr="00C57ABA">
        <w:rPr>
          <w:rFonts w:ascii="Arial Narrow" w:eastAsia="Calibri" w:hAnsi="Arial Narrow"/>
        </w:rPr>
        <w:t xml:space="preserve"> интервенцията за Кампания `2024 е 5 020 872 лева. </w:t>
      </w:r>
      <w:r>
        <w:rPr>
          <w:rFonts w:ascii="Arial Narrow" w:eastAsia="Calibri" w:hAnsi="Arial Narrow"/>
        </w:rPr>
        <w:t xml:space="preserve">Участие в нея са заявили </w:t>
      </w:r>
      <w:r w:rsidRPr="00C57ABA">
        <w:rPr>
          <w:rFonts w:ascii="Arial Narrow" w:eastAsia="Calibri" w:hAnsi="Arial Narrow"/>
        </w:rPr>
        <w:t xml:space="preserve">219 </w:t>
      </w:r>
      <w:r>
        <w:rPr>
          <w:rFonts w:ascii="Arial Narrow" w:eastAsia="Calibri" w:hAnsi="Arial Narrow"/>
        </w:rPr>
        <w:t>земеделски стопани</w:t>
      </w:r>
      <w:r w:rsidRPr="00C57ABA">
        <w:rPr>
          <w:rFonts w:ascii="Arial Narrow" w:eastAsia="Calibri" w:hAnsi="Arial Narrow"/>
        </w:rPr>
        <w:t>. При ставк</w:t>
      </w:r>
      <w:r>
        <w:rPr>
          <w:rFonts w:ascii="Arial Narrow" w:eastAsia="Calibri" w:hAnsi="Arial Narrow"/>
        </w:rPr>
        <w:t>а</w:t>
      </w:r>
      <w:r w:rsidRPr="00C57ABA">
        <w:rPr>
          <w:rFonts w:ascii="Arial Narrow" w:eastAsia="Calibri" w:hAnsi="Arial Narrow"/>
        </w:rPr>
        <w:t xml:space="preserve"> от 384,18 </w:t>
      </w:r>
      <w:r>
        <w:rPr>
          <w:rFonts w:ascii="Arial Narrow" w:eastAsia="Calibri" w:hAnsi="Arial Narrow"/>
        </w:rPr>
        <w:t>лева</w:t>
      </w:r>
      <w:r w:rsidRPr="00C57ABA">
        <w:rPr>
          <w:rFonts w:ascii="Arial Narrow" w:eastAsia="Calibri" w:hAnsi="Arial Narrow"/>
        </w:rPr>
        <w:t xml:space="preserve">/глава за първите 150 (включително) допустими животни и 307,35 </w:t>
      </w:r>
      <w:r>
        <w:rPr>
          <w:rFonts w:ascii="Arial Narrow" w:eastAsia="Calibri" w:hAnsi="Arial Narrow"/>
        </w:rPr>
        <w:t>лева</w:t>
      </w:r>
      <w:r w:rsidRPr="00C57ABA">
        <w:rPr>
          <w:rFonts w:ascii="Arial Narrow" w:eastAsia="Calibri" w:hAnsi="Arial Narrow"/>
        </w:rPr>
        <w:t>/глава за животните над 150-ото допустимо животно</w:t>
      </w:r>
      <w:r>
        <w:rPr>
          <w:rFonts w:ascii="Arial Narrow" w:eastAsia="Calibri" w:hAnsi="Arial Narrow"/>
        </w:rPr>
        <w:t>,</w:t>
      </w:r>
      <w:r w:rsidRPr="00C57ABA">
        <w:rPr>
          <w:rFonts w:ascii="Arial Narrow" w:eastAsia="Calibri" w:hAnsi="Arial Narrow"/>
        </w:rPr>
        <w:t xml:space="preserve"> оторизираните </w:t>
      </w:r>
      <w:r>
        <w:rPr>
          <w:rFonts w:ascii="Arial Narrow" w:eastAsia="Calibri" w:hAnsi="Arial Narrow"/>
        </w:rPr>
        <w:t xml:space="preserve">до </w:t>
      </w:r>
      <w:r w:rsidRPr="00C57ABA">
        <w:rPr>
          <w:rFonts w:ascii="Arial Narrow" w:eastAsia="Calibri" w:hAnsi="Arial Narrow"/>
        </w:rPr>
        <w:t>30 юни 2025 г. средства са в размер на 4 954 862 лева.</w:t>
      </w:r>
    </w:p>
    <w:p w14:paraId="39B249FF" w14:textId="77777777" w:rsidR="00BA7C7F" w:rsidRPr="00C57ABA" w:rsidRDefault="00BA7C7F" w:rsidP="00BA7C7F">
      <w:pPr>
        <w:overflowPunct w:val="0"/>
        <w:autoSpaceDE w:val="0"/>
        <w:autoSpaceDN w:val="0"/>
        <w:adjustRightInd w:val="0"/>
        <w:spacing w:after="120"/>
        <w:ind w:firstLine="709"/>
        <w:jc w:val="both"/>
        <w:textAlignment w:val="baseline"/>
        <w:rPr>
          <w:rFonts w:ascii="Arial Narrow" w:eastAsia="Calibri" w:hAnsi="Arial Narrow"/>
          <w:i/>
        </w:rPr>
      </w:pPr>
      <w:r w:rsidRPr="00C57ABA">
        <w:rPr>
          <w:rFonts w:ascii="Arial Narrow" w:eastAsia="Calibri" w:hAnsi="Arial Narrow"/>
          <w:i/>
        </w:rPr>
        <w:t xml:space="preserve">Обвързано с производството подпомагане за крави от застрашени от изчезване породи </w:t>
      </w:r>
    </w:p>
    <w:p w14:paraId="07CD933B" w14:textId="77777777" w:rsidR="00BA7C7F" w:rsidRPr="00C57ABA" w:rsidRDefault="00BA7C7F" w:rsidP="00BA7C7F">
      <w:pPr>
        <w:overflowPunct w:val="0"/>
        <w:autoSpaceDE w:val="0"/>
        <w:autoSpaceDN w:val="0"/>
        <w:adjustRightInd w:val="0"/>
        <w:spacing w:after="120"/>
        <w:ind w:firstLine="709"/>
        <w:jc w:val="both"/>
        <w:textAlignment w:val="baseline"/>
        <w:rPr>
          <w:rFonts w:ascii="Arial Narrow" w:eastAsia="Calibri" w:hAnsi="Arial Narrow"/>
        </w:rPr>
      </w:pPr>
      <w:r w:rsidRPr="00C57ABA">
        <w:rPr>
          <w:rFonts w:ascii="Arial Narrow" w:eastAsia="Calibri" w:hAnsi="Arial Narrow"/>
        </w:rPr>
        <w:t xml:space="preserve">Интервенцията с индикативен бюджет от 6 231 688 лева за </w:t>
      </w:r>
      <w:r>
        <w:rPr>
          <w:rFonts w:ascii="Arial Narrow" w:eastAsia="Calibri" w:hAnsi="Arial Narrow"/>
        </w:rPr>
        <w:t>Кампания `2024</w:t>
      </w:r>
      <w:r w:rsidRPr="00C57ABA">
        <w:rPr>
          <w:rFonts w:ascii="Arial Narrow" w:eastAsia="Calibri" w:hAnsi="Arial Narrow"/>
        </w:rPr>
        <w:t xml:space="preserve"> е заявена за подпомагане от 484 земеделски стопани. Размерът на плащането на глава животно възлиза на 251,32  </w:t>
      </w:r>
      <w:r>
        <w:rPr>
          <w:rFonts w:ascii="Arial Narrow" w:eastAsia="Calibri" w:hAnsi="Arial Narrow"/>
        </w:rPr>
        <w:t>лева</w:t>
      </w:r>
      <w:r w:rsidRPr="00C57ABA">
        <w:rPr>
          <w:rFonts w:ascii="Arial Narrow" w:eastAsia="Calibri" w:hAnsi="Arial Narrow"/>
        </w:rPr>
        <w:t xml:space="preserve">/глава за първите 150 (включително) допустими животни и 201,06 </w:t>
      </w:r>
      <w:r>
        <w:rPr>
          <w:rFonts w:ascii="Arial Narrow" w:eastAsia="Calibri" w:hAnsi="Arial Narrow"/>
        </w:rPr>
        <w:t>лева</w:t>
      </w:r>
      <w:r w:rsidRPr="00C57ABA">
        <w:rPr>
          <w:rFonts w:ascii="Arial Narrow" w:eastAsia="Calibri" w:hAnsi="Arial Narrow"/>
        </w:rPr>
        <w:t>/глава за животните над 150-ото допустимо животно. Оторизираните средства към 30 юни 2025 г. по тази интервенция възлизат на                  6 170 994 лева.</w:t>
      </w:r>
    </w:p>
    <w:p w14:paraId="7495FEDE" w14:textId="77777777" w:rsidR="00BA7C7F" w:rsidRPr="00C57ABA" w:rsidRDefault="00BA7C7F" w:rsidP="00BA7C7F">
      <w:pPr>
        <w:overflowPunct w:val="0"/>
        <w:autoSpaceDE w:val="0"/>
        <w:autoSpaceDN w:val="0"/>
        <w:adjustRightInd w:val="0"/>
        <w:spacing w:after="120"/>
        <w:ind w:firstLine="709"/>
        <w:jc w:val="both"/>
        <w:textAlignment w:val="baseline"/>
        <w:rPr>
          <w:rFonts w:ascii="Arial Narrow" w:eastAsia="Calibri" w:hAnsi="Arial Narrow"/>
          <w:i/>
        </w:rPr>
      </w:pPr>
      <w:r w:rsidRPr="00C57ABA">
        <w:rPr>
          <w:rFonts w:ascii="Arial Narrow" w:eastAsia="Calibri" w:hAnsi="Arial Narrow"/>
          <w:i/>
        </w:rPr>
        <w:t xml:space="preserve">Обвързано с производството подпомагане за говеда в планински райони </w:t>
      </w:r>
    </w:p>
    <w:p w14:paraId="395F92F2" w14:textId="77777777" w:rsidR="00BA7C7F" w:rsidRPr="00C57ABA" w:rsidRDefault="00BA7C7F" w:rsidP="00BA7C7F">
      <w:pPr>
        <w:overflowPunct w:val="0"/>
        <w:autoSpaceDE w:val="0"/>
        <w:autoSpaceDN w:val="0"/>
        <w:adjustRightInd w:val="0"/>
        <w:spacing w:after="120"/>
        <w:ind w:firstLine="709"/>
        <w:jc w:val="both"/>
        <w:textAlignment w:val="baseline"/>
        <w:rPr>
          <w:rFonts w:ascii="Arial Narrow" w:eastAsia="Calibri" w:hAnsi="Arial Narrow"/>
        </w:rPr>
      </w:pPr>
      <w:r w:rsidRPr="00C57ABA">
        <w:rPr>
          <w:rFonts w:ascii="Arial Narrow" w:eastAsia="Calibri" w:hAnsi="Arial Narrow"/>
        </w:rPr>
        <w:t xml:space="preserve">За Кампания `2024  по интервенцията е определен индикативен бюджет в размер на 1 092 875 лева. Заявление за подпомагане </w:t>
      </w:r>
      <w:r>
        <w:rPr>
          <w:rFonts w:ascii="Arial Narrow" w:eastAsia="Calibri" w:hAnsi="Arial Narrow"/>
        </w:rPr>
        <w:t xml:space="preserve">по нея </w:t>
      </w:r>
      <w:r w:rsidRPr="00C57ABA">
        <w:rPr>
          <w:rFonts w:ascii="Arial Narrow" w:eastAsia="Calibri" w:hAnsi="Arial Narrow"/>
        </w:rPr>
        <w:t>са подали 579 земеделски стопани. Оторизирани са плащания в размер на 1 086 647 лева</w:t>
      </w:r>
      <w:r>
        <w:rPr>
          <w:rFonts w:ascii="Arial Narrow" w:eastAsia="Calibri" w:hAnsi="Arial Narrow"/>
        </w:rPr>
        <w:t xml:space="preserve"> при определена ставка на животно </w:t>
      </w:r>
      <w:r w:rsidRPr="00C57ABA">
        <w:rPr>
          <w:rFonts w:ascii="Arial Narrow" w:eastAsia="Calibri" w:hAnsi="Arial Narrow"/>
        </w:rPr>
        <w:t xml:space="preserve">в размер на 277,45 </w:t>
      </w:r>
      <w:r>
        <w:rPr>
          <w:rFonts w:ascii="Arial Narrow" w:eastAsia="Calibri" w:hAnsi="Arial Narrow"/>
        </w:rPr>
        <w:t>лева</w:t>
      </w:r>
      <w:r w:rsidRPr="00C57ABA">
        <w:rPr>
          <w:rFonts w:ascii="Arial Narrow" w:eastAsia="Calibri" w:hAnsi="Arial Narrow"/>
        </w:rPr>
        <w:t>/глава</w:t>
      </w:r>
      <w:r>
        <w:rPr>
          <w:rFonts w:ascii="Arial Narrow" w:eastAsia="Calibri" w:hAnsi="Arial Narrow"/>
        </w:rPr>
        <w:t>.</w:t>
      </w:r>
    </w:p>
    <w:p w14:paraId="229510FA" w14:textId="77777777" w:rsidR="00BA7C7F" w:rsidRPr="00C57ABA" w:rsidRDefault="00BA7C7F" w:rsidP="00BA7C7F">
      <w:pPr>
        <w:overflowPunct w:val="0"/>
        <w:autoSpaceDE w:val="0"/>
        <w:autoSpaceDN w:val="0"/>
        <w:adjustRightInd w:val="0"/>
        <w:spacing w:after="120"/>
        <w:ind w:firstLine="709"/>
        <w:jc w:val="both"/>
        <w:textAlignment w:val="baseline"/>
        <w:rPr>
          <w:rFonts w:ascii="Arial Narrow" w:eastAsia="Calibri" w:hAnsi="Arial Narrow"/>
          <w:i/>
        </w:rPr>
      </w:pPr>
      <w:r w:rsidRPr="00C57ABA">
        <w:rPr>
          <w:rFonts w:ascii="Arial Narrow" w:eastAsia="Calibri" w:hAnsi="Arial Narrow"/>
          <w:i/>
        </w:rPr>
        <w:t>Обвързано с производството подпомагане за биволи</w:t>
      </w:r>
    </w:p>
    <w:p w14:paraId="4BB9101A" w14:textId="77777777" w:rsidR="00BA7C7F" w:rsidRPr="00C57ABA" w:rsidRDefault="00BA7C7F" w:rsidP="00BA7C7F">
      <w:pPr>
        <w:overflowPunct w:val="0"/>
        <w:autoSpaceDE w:val="0"/>
        <w:autoSpaceDN w:val="0"/>
        <w:adjustRightInd w:val="0"/>
        <w:spacing w:after="120"/>
        <w:ind w:firstLine="709"/>
        <w:jc w:val="both"/>
        <w:textAlignment w:val="baseline"/>
        <w:rPr>
          <w:rFonts w:ascii="Arial Narrow" w:eastAsia="Calibri" w:hAnsi="Arial Narrow"/>
        </w:rPr>
      </w:pPr>
      <w:r w:rsidRPr="00C57ABA">
        <w:rPr>
          <w:rFonts w:ascii="Arial Narrow" w:eastAsia="Calibri" w:hAnsi="Arial Narrow"/>
        </w:rPr>
        <w:t xml:space="preserve">Подпомагането на биволовъдството, като уязвим сектор, се осъществява чрез отделна интервенция за директни плащания. Подкрепата е насочена към стопани, които отглеждат 10 и повече биволи. </w:t>
      </w:r>
    </w:p>
    <w:p w14:paraId="15AB81A6" w14:textId="77777777" w:rsidR="00BA7C7F" w:rsidRPr="00C57ABA" w:rsidRDefault="00BA7C7F" w:rsidP="00BA7C7F">
      <w:pPr>
        <w:overflowPunct w:val="0"/>
        <w:autoSpaceDE w:val="0"/>
        <w:autoSpaceDN w:val="0"/>
        <w:adjustRightInd w:val="0"/>
        <w:spacing w:after="120"/>
        <w:ind w:firstLine="709"/>
        <w:jc w:val="both"/>
        <w:textAlignment w:val="baseline"/>
        <w:rPr>
          <w:rFonts w:ascii="Arial Narrow" w:eastAsia="Calibri" w:hAnsi="Arial Narrow"/>
        </w:rPr>
      </w:pPr>
      <w:r w:rsidRPr="00C57ABA">
        <w:rPr>
          <w:rFonts w:ascii="Arial Narrow" w:eastAsia="Calibri" w:hAnsi="Arial Narrow"/>
        </w:rPr>
        <w:t>Годишният индикативен бюджет по интервенцията за Кампания `2024 е 4 896 719 лева. Заявления за подпомагане са подадени от 237 земеделски стопани. Ставк</w:t>
      </w:r>
      <w:r>
        <w:rPr>
          <w:rFonts w:ascii="Arial Narrow" w:eastAsia="Calibri" w:hAnsi="Arial Narrow"/>
        </w:rPr>
        <w:t xml:space="preserve">ата </w:t>
      </w:r>
      <w:r w:rsidRPr="00C57ABA">
        <w:rPr>
          <w:rFonts w:ascii="Arial Narrow" w:eastAsia="Calibri" w:hAnsi="Arial Narrow"/>
        </w:rPr>
        <w:t xml:space="preserve">за подпомагане </w:t>
      </w:r>
      <w:r>
        <w:rPr>
          <w:rFonts w:ascii="Arial Narrow" w:eastAsia="Calibri" w:hAnsi="Arial Narrow"/>
        </w:rPr>
        <w:t xml:space="preserve">е в размер на </w:t>
      </w:r>
      <w:r w:rsidRPr="00C57ABA">
        <w:rPr>
          <w:rFonts w:ascii="Arial Narrow" w:eastAsia="Calibri" w:hAnsi="Arial Narrow"/>
        </w:rPr>
        <w:t xml:space="preserve">408,19 </w:t>
      </w:r>
      <w:r>
        <w:rPr>
          <w:rFonts w:ascii="Arial Narrow" w:eastAsia="Calibri" w:hAnsi="Arial Narrow"/>
        </w:rPr>
        <w:t>лева</w:t>
      </w:r>
      <w:r w:rsidRPr="00C57ABA">
        <w:rPr>
          <w:rFonts w:ascii="Arial Narrow" w:eastAsia="Calibri" w:hAnsi="Arial Narrow"/>
        </w:rPr>
        <w:t xml:space="preserve">/глава за първите 150 (включително) допустими животни и 326,55 </w:t>
      </w:r>
      <w:r>
        <w:rPr>
          <w:rFonts w:ascii="Arial Narrow" w:eastAsia="Calibri" w:hAnsi="Arial Narrow"/>
        </w:rPr>
        <w:t>лева</w:t>
      </w:r>
      <w:r w:rsidRPr="00C57ABA">
        <w:rPr>
          <w:rFonts w:ascii="Arial Narrow" w:eastAsia="Calibri" w:hAnsi="Arial Narrow"/>
        </w:rPr>
        <w:t xml:space="preserve">/глава за животните над 150-ото допустимо животно. </w:t>
      </w:r>
      <w:r>
        <w:rPr>
          <w:rFonts w:ascii="Arial Narrow" w:eastAsia="Calibri" w:hAnsi="Arial Narrow"/>
        </w:rPr>
        <w:t>Разплатените</w:t>
      </w:r>
      <w:r w:rsidRPr="00C57ABA">
        <w:rPr>
          <w:rFonts w:ascii="Arial Narrow" w:eastAsia="Calibri" w:hAnsi="Arial Narrow"/>
        </w:rPr>
        <w:t xml:space="preserve"> средства към 30 юни 2025 г. възлизат на 4 682 427 </w:t>
      </w:r>
      <w:r>
        <w:rPr>
          <w:rFonts w:ascii="Arial Narrow" w:eastAsia="Calibri" w:hAnsi="Arial Narrow"/>
        </w:rPr>
        <w:t>лева</w:t>
      </w:r>
    </w:p>
    <w:p w14:paraId="6F998CBA" w14:textId="77777777" w:rsidR="00BA7C7F" w:rsidRPr="00C57ABA" w:rsidRDefault="00BA7C7F" w:rsidP="00BA7C7F">
      <w:pPr>
        <w:overflowPunct w:val="0"/>
        <w:autoSpaceDE w:val="0"/>
        <w:autoSpaceDN w:val="0"/>
        <w:adjustRightInd w:val="0"/>
        <w:spacing w:after="120"/>
        <w:ind w:firstLine="709"/>
        <w:jc w:val="both"/>
        <w:textAlignment w:val="baseline"/>
        <w:rPr>
          <w:rFonts w:ascii="Arial Narrow" w:eastAsia="Calibri" w:hAnsi="Arial Narrow"/>
          <w:i/>
        </w:rPr>
      </w:pPr>
      <w:r w:rsidRPr="00C57ABA">
        <w:rPr>
          <w:rFonts w:ascii="Arial Narrow" w:eastAsia="Calibri" w:hAnsi="Arial Narrow"/>
          <w:i/>
        </w:rPr>
        <w:t xml:space="preserve">Обвързано с производството подпомагане за овце и кози, включени в развъдни програми </w:t>
      </w:r>
    </w:p>
    <w:p w14:paraId="70B8AA16" w14:textId="77777777" w:rsidR="00BA7C7F" w:rsidRPr="00C57ABA" w:rsidRDefault="00BA7C7F" w:rsidP="00BA7C7F">
      <w:pPr>
        <w:overflowPunct w:val="0"/>
        <w:autoSpaceDE w:val="0"/>
        <w:autoSpaceDN w:val="0"/>
        <w:adjustRightInd w:val="0"/>
        <w:spacing w:after="120"/>
        <w:ind w:firstLine="709"/>
        <w:jc w:val="both"/>
        <w:textAlignment w:val="baseline"/>
        <w:rPr>
          <w:rFonts w:ascii="Arial Narrow" w:eastAsia="Calibri" w:hAnsi="Arial Narrow"/>
        </w:rPr>
      </w:pPr>
      <w:r w:rsidRPr="00C57ABA">
        <w:rPr>
          <w:rFonts w:ascii="Arial Narrow" w:eastAsia="Calibri" w:hAnsi="Arial Narrow"/>
        </w:rPr>
        <w:t xml:space="preserve">Интервенцията е насочена към земеделски стопани, които отглеждат 50 и повече овце-майки, включени в развъдни програми, от една порода, и/или 20 и повече кози-майки включени в развъдни програми, от една порода. </w:t>
      </w:r>
    </w:p>
    <w:p w14:paraId="77620B32" w14:textId="77777777" w:rsidR="00BA7C7F" w:rsidRPr="00C57ABA" w:rsidRDefault="00BA7C7F" w:rsidP="00BA7C7F">
      <w:pPr>
        <w:overflowPunct w:val="0"/>
        <w:autoSpaceDE w:val="0"/>
        <w:autoSpaceDN w:val="0"/>
        <w:adjustRightInd w:val="0"/>
        <w:spacing w:after="120"/>
        <w:ind w:firstLine="709"/>
        <w:jc w:val="both"/>
        <w:textAlignment w:val="baseline"/>
        <w:rPr>
          <w:rFonts w:ascii="Arial Narrow" w:eastAsia="Calibri" w:hAnsi="Arial Narrow"/>
        </w:rPr>
      </w:pPr>
      <w:r w:rsidRPr="00C57ABA">
        <w:rPr>
          <w:rFonts w:ascii="Arial Narrow" w:eastAsia="Calibri" w:hAnsi="Arial Narrow"/>
        </w:rPr>
        <w:t>Индикативния</w:t>
      </w:r>
      <w:r>
        <w:rPr>
          <w:rFonts w:ascii="Arial Narrow" w:eastAsia="Calibri" w:hAnsi="Arial Narrow"/>
        </w:rPr>
        <w:t>т</w:t>
      </w:r>
      <w:r w:rsidRPr="00C57ABA">
        <w:rPr>
          <w:rFonts w:ascii="Arial Narrow" w:eastAsia="Calibri" w:hAnsi="Arial Narrow"/>
        </w:rPr>
        <w:t xml:space="preserve"> бюджет по </w:t>
      </w:r>
      <w:r>
        <w:rPr>
          <w:rFonts w:ascii="Arial Narrow" w:eastAsia="Calibri" w:hAnsi="Arial Narrow"/>
        </w:rPr>
        <w:t xml:space="preserve">тази </w:t>
      </w:r>
      <w:r w:rsidRPr="00C57ABA">
        <w:rPr>
          <w:rFonts w:ascii="Arial Narrow" w:eastAsia="Calibri" w:hAnsi="Arial Narrow"/>
        </w:rPr>
        <w:t xml:space="preserve">интервенция за Кампания `2024  е в размер на 17 286 316 лева. Заявления за подпомагане са подали 1 203 земеделски стопани. Ставките за подпомагане за едно животно са 84,24 </w:t>
      </w:r>
      <w:r>
        <w:rPr>
          <w:rFonts w:ascii="Arial Narrow" w:eastAsia="Calibri" w:hAnsi="Arial Narrow"/>
        </w:rPr>
        <w:t>лева</w:t>
      </w:r>
      <w:r w:rsidRPr="00C57ABA">
        <w:rPr>
          <w:rFonts w:ascii="Arial Narrow" w:eastAsia="Calibri" w:hAnsi="Arial Narrow"/>
        </w:rPr>
        <w:t xml:space="preserve">/глава за първите 300 (включително) допустими животни и  67,40 </w:t>
      </w:r>
      <w:r>
        <w:rPr>
          <w:rFonts w:ascii="Arial Narrow" w:eastAsia="Calibri" w:hAnsi="Arial Narrow"/>
        </w:rPr>
        <w:t>лева</w:t>
      </w:r>
      <w:r w:rsidRPr="00C57ABA">
        <w:rPr>
          <w:rFonts w:ascii="Arial Narrow" w:eastAsia="Calibri" w:hAnsi="Arial Narrow"/>
        </w:rPr>
        <w:t>/глава за над 300-ото допустимо животно. Оторизираните средства към 30 юни 2025 г. възлизат на 17 068 753 лева.</w:t>
      </w:r>
    </w:p>
    <w:p w14:paraId="07546B16" w14:textId="77777777" w:rsidR="00BA7C7F" w:rsidRPr="00C57ABA" w:rsidRDefault="00BA7C7F" w:rsidP="00BA7C7F">
      <w:pPr>
        <w:overflowPunct w:val="0"/>
        <w:autoSpaceDE w:val="0"/>
        <w:autoSpaceDN w:val="0"/>
        <w:adjustRightInd w:val="0"/>
        <w:spacing w:after="120"/>
        <w:ind w:firstLine="709"/>
        <w:jc w:val="both"/>
        <w:textAlignment w:val="baseline"/>
        <w:rPr>
          <w:rFonts w:ascii="Arial Narrow" w:eastAsia="Calibri" w:hAnsi="Arial Narrow"/>
          <w:i/>
        </w:rPr>
      </w:pPr>
      <w:r w:rsidRPr="00C57ABA">
        <w:rPr>
          <w:rFonts w:ascii="Arial Narrow" w:eastAsia="Calibri" w:hAnsi="Arial Narrow"/>
          <w:i/>
        </w:rPr>
        <w:t>Обвързано с производството подпомагане за овце и кози в планински райони</w:t>
      </w:r>
    </w:p>
    <w:p w14:paraId="4C9CF073" w14:textId="77777777" w:rsidR="00BA7C7F" w:rsidRPr="00C57ABA" w:rsidRDefault="00BA7C7F" w:rsidP="00BA7C7F">
      <w:pPr>
        <w:overflowPunct w:val="0"/>
        <w:autoSpaceDE w:val="0"/>
        <w:autoSpaceDN w:val="0"/>
        <w:adjustRightInd w:val="0"/>
        <w:spacing w:after="120"/>
        <w:ind w:firstLine="709"/>
        <w:jc w:val="both"/>
        <w:textAlignment w:val="baseline"/>
        <w:rPr>
          <w:rFonts w:ascii="Arial Narrow" w:eastAsia="Calibri" w:hAnsi="Arial Narrow"/>
        </w:rPr>
      </w:pPr>
      <w:r w:rsidRPr="00C57ABA">
        <w:rPr>
          <w:rFonts w:ascii="Arial Narrow" w:eastAsia="Calibri" w:hAnsi="Arial Narrow"/>
        </w:rPr>
        <w:t xml:space="preserve">По интервенцията с индикативен бюджет за Кампания `2024  в размер на 1 642 294 лева се подпомагат земеделски стопани, които отглеждат от 10 до 49 овце-майки и/или кози-майки, с цел запазване нивото на производство в тази категория стопанства. Заявление за подпомагане са подали                    1 408 </w:t>
      </w:r>
      <w:r>
        <w:rPr>
          <w:rFonts w:ascii="Arial Narrow" w:eastAsia="Calibri" w:hAnsi="Arial Narrow"/>
        </w:rPr>
        <w:t>бенефициенти</w:t>
      </w:r>
      <w:r w:rsidRPr="00C57ABA">
        <w:rPr>
          <w:rFonts w:ascii="Arial Narrow" w:eastAsia="Calibri" w:hAnsi="Arial Narrow"/>
        </w:rPr>
        <w:t xml:space="preserve">. Размерът на плащането на </w:t>
      </w:r>
      <w:r>
        <w:rPr>
          <w:rFonts w:ascii="Arial Narrow" w:eastAsia="Calibri" w:hAnsi="Arial Narrow"/>
        </w:rPr>
        <w:t>едно</w:t>
      </w:r>
      <w:r w:rsidRPr="00C57ABA">
        <w:rPr>
          <w:rFonts w:ascii="Arial Narrow" w:eastAsia="Calibri" w:hAnsi="Arial Narrow"/>
        </w:rPr>
        <w:t xml:space="preserve"> животно възлиза на 42,71 </w:t>
      </w:r>
      <w:r>
        <w:rPr>
          <w:rFonts w:ascii="Arial Narrow" w:eastAsia="Calibri" w:hAnsi="Arial Narrow"/>
        </w:rPr>
        <w:t>лева</w:t>
      </w:r>
      <w:r w:rsidRPr="00C57ABA">
        <w:rPr>
          <w:rFonts w:ascii="Arial Narrow" w:eastAsia="Calibri" w:hAnsi="Arial Narrow"/>
        </w:rPr>
        <w:t xml:space="preserve">/глава допустимо за подпомагане животно. Към 30 юни 2025 г. са </w:t>
      </w:r>
      <w:r>
        <w:rPr>
          <w:rFonts w:ascii="Arial Narrow" w:eastAsia="Calibri" w:hAnsi="Arial Narrow"/>
        </w:rPr>
        <w:t xml:space="preserve">извършени плащания </w:t>
      </w:r>
      <w:r w:rsidRPr="00C57ABA">
        <w:rPr>
          <w:rFonts w:ascii="Arial Narrow" w:eastAsia="Calibri" w:hAnsi="Arial Narrow"/>
        </w:rPr>
        <w:t>в размер на 1 635 320 лева.</w:t>
      </w:r>
    </w:p>
    <w:p w14:paraId="3BC1543A" w14:textId="77777777" w:rsidR="00BA7C7F" w:rsidRPr="00C57ABA" w:rsidRDefault="00BA7C7F" w:rsidP="00BA7C7F">
      <w:pPr>
        <w:overflowPunct w:val="0"/>
        <w:autoSpaceDE w:val="0"/>
        <w:autoSpaceDN w:val="0"/>
        <w:adjustRightInd w:val="0"/>
        <w:spacing w:after="120"/>
        <w:ind w:firstLine="709"/>
        <w:jc w:val="both"/>
        <w:textAlignment w:val="baseline"/>
        <w:rPr>
          <w:rFonts w:ascii="Arial Narrow" w:eastAsia="Calibri" w:hAnsi="Arial Narrow"/>
          <w:i/>
        </w:rPr>
      </w:pPr>
      <w:r w:rsidRPr="00C57ABA">
        <w:rPr>
          <w:rFonts w:ascii="Arial Narrow" w:eastAsia="Calibri" w:hAnsi="Arial Narrow"/>
          <w:i/>
        </w:rPr>
        <w:t>Обвързано с производството подпомагане за овце и кози от местни породи, включени в развъдни програми</w:t>
      </w:r>
    </w:p>
    <w:p w14:paraId="02C916DB" w14:textId="77777777" w:rsidR="00BA7C7F" w:rsidRPr="00C57ABA" w:rsidRDefault="00BA7C7F" w:rsidP="00BA7C7F">
      <w:pPr>
        <w:overflowPunct w:val="0"/>
        <w:autoSpaceDE w:val="0"/>
        <w:autoSpaceDN w:val="0"/>
        <w:adjustRightInd w:val="0"/>
        <w:spacing w:after="120"/>
        <w:ind w:firstLine="709"/>
        <w:jc w:val="both"/>
        <w:textAlignment w:val="baseline"/>
        <w:rPr>
          <w:rFonts w:ascii="Arial Narrow" w:eastAsia="Calibri" w:hAnsi="Arial Narrow"/>
        </w:rPr>
      </w:pPr>
      <w:r w:rsidRPr="00C57ABA">
        <w:rPr>
          <w:rFonts w:ascii="Arial Narrow" w:eastAsia="Calibri" w:hAnsi="Arial Narrow"/>
        </w:rPr>
        <w:t xml:space="preserve">За Кампания `2024 по интервенцията с годишно ориентировъчно разпределени финансови средства в размер на 6 196 058 лева са кандидатствали 803 земеделски стопани. Определената ставка е в размер на 48,19 </w:t>
      </w:r>
      <w:r>
        <w:rPr>
          <w:rFonts w:ascii="Arial Narrow" w:eastAsia="Calibri" w:hAnsi="Arial Narrow"/>
        </w:rPr>
        <w:t>лева</w:t>
      </w:r>
      <w:r w:rsidRPr="00C57ABA">
        <w:rPr>
          <w:rFonts w:ascii="Arial Narrow" w:eastAsia="Calibri" w:hAnsi="Arial Narrow"/>
        </w:rPr>
        <w:t xml:space="preserve">/глава за първите 300 (включително) допустими за подпомагане животни и 38,55 </w:t>
      </w:r>
      <w:r>
        <w:rPr>
          <w:rFonts w:ascii="Arial Narrow" w:eastAsia="Calibri" w:hAnsi="Arial Narrow"/>
        </w:rPr>
        <w:t>лева</w:t>
      </w:r>
      <w:r w:rsidRPr="00C57ABA">
        <w:rPr>
          <w:rFonts w:ascii="Arial Narrow" w:eastAsia="Calibri" w:hAnsi="Arial Narrow"/>
        </w:rPr>
        <w:t>/глава за над 300-ото допустимо за подпомагане животно. До края на м. юни 2025 г. са изплатени 6 067 702 лева.</w:t>
      </w:r>
    </w:p>
    <w:p w14:paraId="777E849B" w14:textId="77777777" w:rsidR="00BA7C7F" w:rsidRPr="00C57ABA" w:rsidRDefault="00BA7C7F" w:rsidP="00BA7C7F">
      <w:pPr>
        <w:overflowPunct w:val="0"/>
        <w:autoSpaceDE w:val="0"/>
        <w:autoSpaceDN w:val="0"/>
        <w:adjustRightInd w:val="0"/>
        <w:spacing w:after="120"/>
        <w:ind w:firstLine="709"/>
        <w:jc w:val="both"/>
        <w:textAlignment w:val="baseline"/>
        <w:rPr>
          <w:rFonts w:ascii="Arial Narrow" w:eastAsia="Calibri" w:hAnsi="Arial Narrow"/>
          <w:i/>
        </w:rPr>
      </w:pPr>
      <w:r w:rsidRPr="00C57ABA">
        <w:rPr>
          <w:rFonts w:ascii="Arial Narrow" w:eastAsia="Calibri" w:hAnsi="Arial Narrow"/>
          <w:i/>
        </w:rPr>
        <w:lastRenderedPageBreak/>
        <w:t xml:space="preserve">Обвързано с производството подпомагане на доходите за плодове </w:t>
      </w:r>
    </w:p>
    <w:p w14:paraId="4BB21F3A" w14:textId="77777777" w:rsidR="00BA7C7F" w:rsidRPr="00C57ABA" w:rsidRDefault="00BA7C7F" w:rsidP="00BA7C7F">
      <w:pPr>
        <w:overflowPunct w:val="0"/>
        <w:autoSpaceDE w:val="0"/>
        <w:autoSpaceDN w:val="0"/>
        <w:adjustRightInd w:val="0"/>
        <w:spacing w:after="120"/>
        <w:ind w:firstLine="709"/>
        <w:jc w:val="both"/>
        <w:textAlignment w:val="baseline"/>
        <w:rPr>
          <w:rFonts w:ascii="Arial Narrow" w:eastAsia="Calibri" w:hAnsi="Arial Narrow"/>
        </w:rPr>
      </w:pPr>
      <w:r w:rsidRPr="00C57ABA">
        <w:rPr>
          <w:rFonts w:ascii="Arial Narrow" w:eastAsia="Calibri" w:hAnsi="Arial Narrow"/>
        </w:rPr>
        <w:t xml:space="preserve">За Кампания `2024  заявления за подпомагане по интервенцията са подадени от 7 581 земеделски стопани. Определеният индикативен бюджет е в размер на 45 211 822 лева. Размерът на плащането на единица площ е в размер на 1 836,07 </w:t>
      </w:r>
      <w:r>
        <w:rPr>
          <w:rFonts w:ascii="Arial Narrow" w:eastAsia="Calibri" w:hAnsi="Arial Narrow"/>
        </w:rPr>
        <w:t>лева</w:t>
      </w:r>
      <w:r w:rsidRPr="00C57ABA">
        <w:rPr>
          <w:rFonts w:ascii="Arial Narrow" w:eastAsia="Calibri" w:hAnsi="Arial Narrow"/>
        </w:rPr>
        <w:t xml:space="preserve">/ха за първите 30 допустими хектари и 1 224,06 </w:t>
      </w:r>
      <w:r>
        <w:rPr>
          <w:rFonts w:ascii="Arial Narrow" w:eastAsia="Calibri" w:hAnsi="Arial Narrow"/>
        </w:rPr>
        <w:t>лева</w:t>
      </w:r>
      <w:r w:rsidRPr="00C57ABA">
        <w:rPr>
          <w:rFonts w:ascii="Arial Narrow" w:eastAsia="Calibri" w:hAnsi="Arial Narrow"/>
        </w:rPr>
        <w:t>/ха за допустимите за подпомагане площи над 30-ия хектар. Към 30 юни 2025 г. оторизираните средства по интервенцията възлизат на 44 768 680 лева.</w:t>
      </w:r>
    </w:p>
    <w:p w14:paraId="0B64DAA7" w14:textId="77777777" w:rsidR="00BA7C7F" w:rsidRPr="00C57ABA" w:rsidRDefault="00BA7C7F" w:rsidP="00BA7C7F">
      <w:pPr>
        <w:overflowPunct w:val="0"/>
        <w:autoSpaceDE w:val="0"/>
        <w:autoSpaceDN w:val="0"/>
        <w:adjustRightInd w:val="0"/>
        <w:spacing w:after="120"/>
        <w:ind w:firstLine="709"/>
        <w:jc w:val="both"/>
        <w:textAlignment w:val="baseline"/>
        <w:rPr>
          <w:rFonts w:ascii="Arial Narrow" w:eastAsia="Calibri" w:hAnsi="Arial Narrow"/>
          <w:i/>
        </w:rPr>
      </w:pPr>
      <w:r w:rsidRPr="00C57ABA">
        <w:rPr>
          <w:rFonts w:ascii="Arial Narrow" w:eastAsia="Calibri" w:hAnsi="Arial Narrow"/>
          <w:i/>
        </w:rPr>
        <w:t>Обвързано с производството подпомагане на доходите за плодови насаждения до встъпването им в плододаване</w:t>
      </w:r>
    </w:p>
    <w:p w14:paraId="3724DF55" w14:textId="77777777" w:rsidR="00BA7C7F" w:rsidRPr="00C57ABA" w:rsidRDefault="00BA7C7F" w:rsidP="00BA7C7F">
      <w:pPr>
        <w:overflowPunct w:val="0"/>
        <w:autoSpaceDE w:val="0"/>
        <w:autoSpaceDN w:val="0"/>
        <w:adjustRightInd w:val="0"/>
        <w:spacing w:after="120"/>
        <w:ind w:firstLine="709"/>
        <w:jc w:val="both"/>
        <w:textAlignment w:val="baseline"/>
        <w:rPr>
          <w:rFonts w:ascii="Arial Narrow" w:eastAsia="Calibri" w:hAnsi="Arial Narrow"/>
        </w:rPr>
      </w:pPr>
      <w:r w:rsidRPr="00C57ABA">
        <w:rPr>
          <w:rFonts w:ascii="Arial Narrow" w:eastAsia="Calibri" w:hAnsi="Arial Narrow"/>
        </w:rPr>
        <w:t xml:space="preserve">Индикативния бюджет по интервенцията за Кампания `2024  </w:t>
      </w:r>
      <w:r>
        <w:rPr>
          <w:rFonts w:ascii="Arial Narrow" w:eastAsia="Calibri" w:hAnsi="Arial Narrow"/>
        </w:rPr>
        <w:t>е</w:t>
      </w:r>
      <w:r w:rsidRPr="00C57ABA">
        <w:rPr>
          <w:rFonts w:ascii="Arial Narrow" w:eastAsia="Calibri" w:hAnsi="Arial Narrow"/>
        </w:rPr>
        <w:t xml:space="preserve"> 2 365 677 лева, от които до края на м. юни 2025 г. са разплатени 2 273 730 лева при ставка на единица площ от 679,99 </w:t>
      </w:r>
      <w:r>
        <w:rPr>
          <w:rFonts w:ascii="Arial Narrow" w:eastAsia="Calibri" w:hAnsi="Arial Narrow"/>
        </w:rPr>
        <w:t>лева</w:t>
      </w:r>
      <w:r w:rsidRPr="00C57ABA">
        <w:rPr>
          <w:rFonts w:ascii="Arial Narrow" w:eastAsia="Calibri" w:hAnsi="Arial Narrow"/>
        </w:rPr>
        <w:t xml:space="preserve">/ха. Заявление за подпомагане е подадено от 2 103 земеделски стопани. </w:t>
      </w:r>
    </w:p>
    <w:p w14:paraId="1C988F3B" w14:textId="77777777" w:rsidR="00BA7C7F" w:rsidRPr="00C57ABA" w:rsidRDefault="00BA7C7F" w:rsidP="00BA7C7F">
      <w:pPr>
        <w:overflowPunct w:val="0"/>
        <w:autoSpaceDE w:val="0"/>
        <w:autoSpaceDN w:val="0"/>
        <w:adjustRightInd w:val="0"/>
        <w:spacing w:after="120"/>
        <w:ind w:firstLine="709"/>
        <w:jc w:val="both"/>
        <w:textAlignment w:val="baseline"/>
        <w:rPr>
          <w:rFonts w:ascii="Arial Narrow" w:eastAsia="Calibri" w:hAnsi="Arial Narrow"/>
          <w:b/>
          <w:i/>
        </w:rPr>
      </w:pPr>
      <w:r w:rsidRPr="00C57ABA">
        <w:rPr>
          <w:rFonts w:ascii="Arial Narrow" w:eastAsia="Calibri" w:hAnsi="Arial Narrow"/>
          <w:i/>
        </w:rPr>
        <w:t>Обвързано с производството подпомагане на доходите за зеленчуци (домати, краставици, корнишони и патладжани)</w:t>
      </w:r>
      <w:r w:rsidRPr="00C57ABA">
        <w:rPr>
          <w:rFonts w:ascii="Arial Narrow" w:eastAsia="Calibri" w:hAnsi="Arial Narrow"/>
          <w:b/>
          <w:i/>
        </w:rPr>
        <w:t xml:space="preserve">  </w:t>
      </w:r>
    </w:p>
    <w:p w14:paraId="23BB8BA0" w14:textId="77777777" w:rsidR="00BA7C7F" w:rsidRPr="00C57ABA" w:rsidRDefault="00BA7C7F" w:rsidP="00BA7C7F">
      <w:pPr>
        <w:overflowPunct w:val="0"/>
        <w:autoSpaceDE w:val="0"/>
        <w:autoSpaceDN w:val="0"/>
        <w:adjustRightInd w:val="0"/>
        <w:spacing w:after="120"/>
        <w:ind w:firstLine="709"/>
        <w:jc w:val="both"/>
        <w:textAlignment w:val="baseline"/>
        <w:rPr>
          <w:rFonts w:ascii="Arial Narrow" w:eastAsia="Calibri" w:hAnsi="Arial Narrow"/>
        </w:rPr>
      </w:pPr>
      <w:r w:rsidRPr="00C57ABA">
        <w:rPr>
          <w:rFonts w:ascii="Arial Narrow" w:eastAsia="Calibri" w:hAnsi="Arial Narrow"/>
        </w:rPr>
        <w:t xml:space="preserve">За Кампания `2024  по интервенцията с индикативен бюджет от 5 319 891 лева са кандидатствали 1 467 земеделски стопани. Размерът на плащането на единица площ </w:t>
      </w:r>
      <w:r>
        <w:rPr>
          <w:rFonts w:ascii="Arial Narrow" w:eastAsia="Calibri" w:hAnsi="Arial Narrow"/>
        </w:rPr>
        <w:t>е</w:t>
      </w:r>
      <w:r w:rsidRPr="00C57ABA">
        <w:rPr>
          <w:rFonts w:ascii="Arial Narrow" w:eastAsia="Calibri" w:hAnsi="Arial Narrow"/>
        </w:rPr>
        <w:t xml:space="preserve"> 1 993,43 </w:t>
      </w:r>
      <w:r>
        <w:rPr>
          <w:rFonts w:ascii="Arial Narrow" w:eastAsia="Calibri" w:hAnsi="Arial Narrow"/>
        </w:rPr>
        <w:t>лева</w:t>
      </w:r>
      <w:r w:rsidRPr="00C57ABA">
        <w:rPr>
          <w:rFonts w:ascii="Arial Narrow" w:eastAsia="Calibri" w:hAnsi="Arial Narrow"/>
        </w:rPr>
        <w:t xml:space="preserve">/ха за първите до 30 ха от стопанството и 1 328,95 </w:t>
      </w:r>
      <w:r>
        <w:rPr>
          <w:rFonts w:ascii="Arial Narrow" w:eastAsia="Calibri" w:hAnsi="Arial Narrow"/>
        </w:rPr>
        <w:t>лева</w:t>
      </w:r>
      <w:r w:rsidRPr="00C57ABA">
        <w:rPr>
          <w:rFonts w:ascii="Arial Narrow" w:eastAsia="Calibri" w:hAnsi="Arial Narrow"/>
        </w:rPr>
        <w:t>/ха за площите над 30-ия хектар. Към 30 юни 2025 г. оторизираните средства са в размер на 5 156 513 лева.</w:t>
      </w:r>
    </w:p>
    <w:p w14:paraId="6CE82DA6" w14:textId="77777777" w:rsidR="00BA7C7F" w:rsidRPr="00C57ABA" w:rsidRDefault="00BA7C7F" w:rsidP="00BA7C7F">
      <w:pPr>
        <w:overflowPunct w:val="0"/>
        <w:autoSpaceDE w:val="0"/>
        <w:autoSpaceDN w:val="0"/>
        <w:adjustRightInd w:val="0"/>
        <w:spacing w:after="120"/>
        <w:ind w:firstLine="709"/>
        <w:jc w:val="both"/>
        <w:textAlignment w:val="baseline"/>
        <w:rPr>
          <w:rFonts w:ascii="Arial Narrow" w:eastAsia="Calibri" w:hAnsi="Arial Narrow"/>
          <w:b/>
          <w:i/>
        </w:rPr>
      </w:pPr>
      <w:r w:rsidRPr="00C57ABA">
        <w:rPr>
          <w:rFonts w:ascii="Arial Narrow" w:eastAsia="Calibri" w:hAnsi="Arial Narrow"/>
          <w:i/>
        </w:rPr>
        <w:t>Обвързано производството подпомагане на доходите за зеленчуци (пипер)</w:t>
      </w:r>
      <w:r w:rsidRPr="00C57ABA">
        <w:rPr>
          <w:rFonts w:ascii="Arial Narrow" w:eastAsia="Calibri" w:hAnsi="Arial Narrow"/>
          <w:b/>
          <w:i/>
        </w:rPr>
        <w:t xml:space="preserve"> </w:t>
      </w:r>
    </w:p>
    <w:p w14:paraId="222C1FCF" w14:textId="77777777" w:rsidR="00BA7C7F" w:rsidRPr="00C57ABA" w:rsidRDefault="00BA7C7F" w:rsidP="00BA7C7F">
      <w:pPr>
        <w:overflowPunct w:val="0"/>
        <w:autoSpaceDE w:val="0"/>
        <w:autoSpaceDN w:val="0"/>
        <w:adjustRightInd w:val="0"/>
        <w:spacing w:after="120"/>
        <w:ind w:firstLine="709"/>
        <w:jc w:val="both"/>
        <w:textAlignment w:val="baseline"/>
        <w:rPr>
          <w:rFonts w:ascii="Arial Narrow" w:eastAsia="Calibri" w:hAnsi="Arial Narrow"/>
        </w:rPr>
      </w:pPr>
      <w:r w:rsidRPr="00C57ABA">
        <w:rPr>
          <w:rFonts w:ascii="Arial Narrow" w:eastAsia="Calibri" w:hAnsi="Arial Narrow"/>
        </w:rPr>
        <w:t xml:space="preserve">Определеният годишен индикативен бюджет по интервенцията е 4 407 386 лева, а ставката за Кампания `2024 е 2 265,52 </w:t>
      </w:r>
      <w:r>
        <w:rPr>
          <w:rFonts w:ascii="Arial Narrow" w:eastAsia="Calibri" w:hAnsi="Arial Narrow"/>
        </w:rPr>
        <w:t>лева</w:t>
      </w:r>
      <w:r w:rsidRPr="00C57ABA">
        <w:rPr>
          <w:rFonts w:ascii="Arial Narrow" w:eastAsia="Calibri" w:hAnsi="Arial Narrow"/>
        </w:rPr>
        <w:t xml:space="preserve">/ха за първите до 30 ха от стопанството и 1 510,35 </w:t>
      </w:r>
      <w:r>
        <w:rPr>
          <w:rFonts w:ascii="Arial Narrow" w:eastAsia="Calibri" w:hAnsi="Arial Narrow"/>
        </w:rPr>
        <w:t>лева</w:t>
      </w:r>
      <w:r w:rsidRPr="00C57ABA">
        <w:rPr>
          <w:rFonts w:ascii="Arial Narrow" w:eastAsia="Calibri" w:hAnsi="Arial Narrow"/>
        </w:rPr>
        <w:t xml:space="preserve">/ха за площите над 30-ия хектар. Заявление за подпомагане са подали 1 050 земеделски стопани. До края на </w:t>
      </w:r>
      <w:r>
        <w:rPr>
          <w:rFonts w:ascii="Arial Narrow" w:eastAsia="Calibri" w:hAnsi="Arial Narrow"/>
        </w:rPr>
        <w:t xml:space="preserve"> </w:t>
      </w:r>
      <w:r w:rsidRPr="00C57ABA">
        <w:rPr>
          <w:rFonts w:ascii="Arial Narrow" w:eastAsia="Calibri" w:hAnsi="Arial Narrow"/>
        </w:rPr>
        <w:t>м. юни 2025 г. са разплатени 4 310 622 лева.</w:t>
      </w:r>
    </w:p>
    <w:p w14:paraId="11CD0E43" w14:textId="77777777" w:rsidR="00BA7C7F" w:rsidRPr="00C57ABA" w:rsidRDefault="00BA7C7F" w:rsidP="00BA7C7F">
      <w:pPr>
        <w:overflowPunct w:val="0"/>
        <w:autoSpaceDE w:val="0"/>
        <w:autoSpaceDN w:val="0"/>
        <w:adjustRightInd w:val="0"/>
        <w:spacing w:after="120"/>
        <w:ind w:firstLine="709"/>
        <w:jc w:val="both"/>
        <w:textAlignment w:val="baseline"/>
        <w:rPr>
          <w:rFonts w:ascii="Arial Narrow" w:eastAsia="Calibri" w:hAnsi="Arial Narrow"/>
          <w:i/>
        </w:rPr>
      </w:pPr>
      <w:r w:rsidRPr="00C57ABA">
        <w:rPr>
          <w:rFonts w:ascii="Arial Narrow" w:eastAsia="Calibri" w:hAnsi="Arial Narrow"/>
          <w:i/>
        </w:rPr>
        <w:t xml:space="preserve">Обвързано с производството подпомагане на доходите за зеленчуци (моркови, зеле, дини и пъпеши) </w:t>
      </w:r>
    </w:p>
    <w:p w14:paraId="02A8CD73" w14:textId="77777777" w:rsidR="00BA7C7F" w:rsidRPr="00C57ABA" w:rsidRDefault="00BA7C7F" w:rsidP="00BA7C7F">
      <w:pPr>
        <w:overflowPunct w:val="0"/>
        <w:autoSpaceDE w:val="0"/>
        <w:autoSpaceDN w:val="0"/>
        <w:adjustRightInd w:val="0"/>
        <w:spacing w:after="120"/>
        <w:ind w:firstLine="709"/>
        <w:jc w:val="both"/>
        <w:textAlignment w:val="baseline"/>
        <w:rPr>
          <w:rFonts w:ascii="Arial Narrow" w:eastAsia="Calibri" w:hAnsi="Arial Narrow"/>
        </w:rPr>
      </w:pPr>
      <w:r w:rsidRPr="00C57ABA">
        <w:rPr>
          <w:rFonts w:ascii="Arial Narrow" w:eastAsia="Calibri" w:hAnsi="Arial Narrow"/>
        </w:rPr>
        <w:t xml:space="preserve">За Кампания `2024  </w:t>
      </w:r>
      <w:r>
        <w:rPr>
          <w:rFonts w:ascii="Arial Narrow" w:eastAsia="Calibri" w:hAnsi="Arial Narrow"/>
        </w:rPr>
        <w:t xml:space="preserve">участие в интервенцията са заявили </w:t>
      </w:r>
      <w:r w:rsidRPr="00C57ABA">
        <w:rPr>
          <w:rFonts w:ascii="Arial Narrow" w:eastAsia="Calibri" w:hAnsi="Arial Narrow"/>
        </w:rPr>
        <w:t xml:space="preserve">3 070 земеделски стопани. Индикативният бюджет за кампанията е 8 499 131 лева, а размерът на плащането на единица площ е 863,66 </w:t>
      </w:r>
      <w:r>
        <w:rPr>
          <w:rFonts w:ascii="Arial Narrow" w:eastAsia="Calibri" w:hAnsi="Arial Narrow"/>
        </w:rPr>
        <w:t>лева</w:t>
      </w:r>
      <w:r w:rsidRPr="00C57ABA">
        <w:rPr>
          <w:rFonts w:ascii="Arial Narrow" w:eastAsia="Calibri" w:hAnsi="Arial Narrow"/>
        </w:rPr>
        <w:t xml:space="preserve">/ха за първите до 30 ха от стопанството и 575,77 </w:t>
      </w:r>
      <w:r>
        <w:rPr>
          <w:rFonts w:ascii="Arial Narrow" w:eastAsia="Calibri" w:hAnsi="Arial Narrow"/>
        </w:rPr>
        <w:t>лева</w:t>
      </w:r>
      <w:r w:rsidRPr="00C57ABA">
        <w:rPr>
          <w:rFonts w:ascii="Arial Narrow" w:eastAsia="Calibri" w:hAnsi="Arial Narrow"/>
        </w:rPr>
        <w:t>/ха за площите над 30-ия хектар. Оторизираните средства към 30 юни 2025 г. възлизат на 8 264 095 лева.</w:t>
      </w:r>
    </w:p>
    <w:p w14:paraId="20DE7598" w14:textId="77777777" w:rsidR="00BA7C7F" w:rsidRPr="00C57ABA" w:rsidRDefault="00BA7C7F" w:rsidP="00BA7C7F">
      <w:pPr>
        <w:overflowPunct w:val="0"/>
        <w:autoSpaceDE w:val="0"/>
        <w:autoSpaceDN w:val="0"/>
        <w:adjustRightInd w:val="0"/>
        <w:spacing w:after="120"/>
        <w:ind w:firstLine="709"/>
        <w:jc w:val="both"/>
        <w:textAlignment w:val="baseline"/>
        <w:rPr>
          <w:rFonts w:ascii="Arial Narrow" w:eastAsia="Calibri" w:hAnsi="Arial Narrow"/>
          <w:i/>
        </w:rPr>
      </w:pPr>
      <w:r w:rsidRPr="00C57ABA">
        <w:rPr>
          <w:rFonts w:ascii="Arial Narrow" w:eastAsia="Calibri" w:hAnsi="Arial Narrow"/>
          <w:i/>
        </w:rPr>
        <w:t xml:space="preserve">Обвързано с производството подпомагане на доходите за зеленчуци (лук и чесън) </w:t>
      </w:r>
    </w:p>
    <w:p w14:paraId="11520045" w14:textId="77777777" w:rsidR="00BA7C7F" w:rsidRPr="00C57ABA" w:rsidRDefault="00BA7C7F" w:rsidP="00BA7C7F">
      <w:pPr>
        <w:overflowPunct w:val="0"/>
        <w:autoSpaceDE w:val="0"/>
        <w:autoSpaceDN w:val="0"/>
        <w:adjustRightInd w:val="0"/>
        <w:spacing w:after="120"/>
        <w:ind w:firstLine="709"/>
        <w:jc w:val="both"/>
        <w:textAlignment w:val="baseline"/>
        <w:rPr>
          <w:rFonts w:ascii="Arial Narrow" w:eastAsia="Calibri" w:hAnsi="Arial Narrow"/>
        </w:rPr>
      </w:pPr>
      <w:r w:rsidRPr="00C57ABA">
        <w:rPr>
          <w:rFonts w:ascii="Arial Narrow" w:eastAsia="Calibri" w:hAnsi="Arial Narrow"/>
        </w:rPr>
        <w:t xml:space="preserve">По интервенцията с индикативен бюджет </w:t>
      </w:r>
      <w:r>
        <w:rPr>
          <w:rFonts w:ascii="Arial Narrow" w:eastAsia="Calibri" w:hAnsi="Arial Narrow"/>
        </w:rPr>
        <w:t>от</w:t>
      </w:r>
      <w:r w:rsidRPr="00C57ABA">
        <w:rPr>
          <w:rFonts w:ascii="Arial Narrow" w:eastAsia="Calibri" w:hAnsi="Arial Narrow"/>
        </w:rPr>
        <w:t xml:space="preserve"> 3 718 669 лева за Кампания `2024 са кандидатствали 705 земеделски стопани. Ставката за първите до 30 ха от стопанството е 1 284,77 </w:t>
      </w:r>
      <w:r>
        <w:rPr>
          <w:rFonts w:ascii="Arial Narrow" w:eastAsia="Calibri" w:hAnsi="Arial Narrow"/>
        </w:rPr>
        <w:t>лева</w:t>
      </w:r>
      <w:r w:rsidRPr="00C57ABA">
        <w:rPr>
          <w:rFonts w:ascii="Arial Narrow" w:eastAsia="Calibri" w:hAnsi="Arial Narrow"/>
        </w:rPr>
        <w:t xml:space="preserve">/ха, а за площите над 30-ия хектар - 856,52 </w:t>
      </w:r>
      <w:r>
        <w:rPr>
          <w:rFonts w:ascii="Arial Narrow" w:eastAsia="Calibri" w:hAnsi="Arial Narrow"/>
        </w:rPr>
        <w:t>лева</w:t>
      </w:r>
      <w:r w:rsidRPr="00C57ABA">
        <w:rPr>
          <w:rFonts w:ascii="Arial Narrow" w:eastAsia="Calibri" w:hAnsi="Arial Narrow"/>
        </w:rPr>
        <w:t>/ха. Към 30 юни 2025 г. са изплатени 3 608 098 лева.</w:t>
      </w:r>
    </w:p>
    <w:p w14:paraId="11E11C74" w14:textId="77777777" w:rsidR="00BA7C7F" w:rsidRPr="00C57ABA" w:rsidRDefault="00BA7C7F" w:rsidP="00BA7C7F">
      <w:pPr>
        <w:overflowPunct w:val="0"/>
        <w:autoSpaceDE w:val="0"/>
        <w:autoSpaceDN w:val="0"/>
        <w:adjustRightInd w:val="0"/>
        <w:spacing w:after="120"/>
        <w:ind w:firstLine="709"/>
        <w:jc w:val="both"/>
        <w:textAlignment w:val="baseline"/>
        <w:rPr>
          <w:rFonts w:ascii="Arial Narrow" w:eastAsia="Calibri" w:hAnsi="Arial Narrow"/>
          <w:i/>
        </w:rPr>
      </w:pPr>
      <w:r w:rsidRPr="00C57ABA">
        <w:rPr>
          <w:rFonts w:ascii="Arial Narrow" w:eastAsia="Calibri" w:hAnsi="Arial Narrow"/>
          <w:i/>
        </w:rPr>
        <w:t xml:space="preserve">Обвързано с производството подпомагане на доходите за производство на семена от картофи </w:t>
      </w:r>
    </w:p>
    <w:p w14:paraId="040D4943" w14:textId="77777777" w:rsidR="00BA7C7F" w:rsidRPr="00C57ABA" w:rsidRDefault="00BA7C7F" w:rsidP="00BA7C7F">
      <w:pPr>
        <w:overflowPunct w:val="0"/>
        <w:autoSpaceDE w:val="0"/>
        <w:autoSpaceDN w:val="0"/>
        <w:adjustRightInd w:val="0"/>
        <w:spacing w:after="120"/>
        <w:ind w:firstLine="709"/>
        <w:jc w:val="both"/>
        <w:textAlignment w:val="baseline"/>
        <w:rPr>
          <w:rFonts w:ascii="Arial Narrow" w:eastAsia="Calibri" w:hAnsi="Arial Narrow"/>
        </w:rPr>
      </w:pPr>
      <w:r w:rsidRPr="00C57ABA">
        <w:rPr>
          <w:rFonts w:ascii="Arial Narrow" w:eastAsia="Calibri" w:hAnsi="Arial Narrow"/>
        </w:rPr>
        <w:t>Интервенцията с ориентировъчно разпределени финансови средства за Кампания `2024  в размер на 869 405 лева е заявена за подпомагане от 92 земеделски стопани. При п</w:t>
      </w:r>
      <w:r>
        <w:rPr>
          <w:rFonts w:ascii="Arial Narrow" w:eastAsia="Calibri" w:hAnsi="Arial Narrow"/>
        </w:rPr>
        <w:t xml:space="preserve">лащане на единица площ от </w:t>
      </w:r>
      <w:r w:rsidRPr="00C57ABA">
        <w:rPr>
          <w:rFonts w:ascii="Arial Narrow" w:eastAsia="Calibri" w:hAnsi="Arial Narrow"/>
        </w:rPr>
        <w:t xml:space="preserve">1 529,44 </w:t>
      </w:r>
      <w:r>
        <w:rPr>
          <w:rFonts w:ascii="Arial Narrow" w:eastAsia="Calibri" w:hAnsi="Arial Narrow"/>
        </w:rPr>
        <w:t>лева</w:t>
      </w:r>
      <w:r w:rsidRPr="00C57ABA">
        <w:rPr>
          <w:rFonts w:ascii="Arial Narrow" w:eastAsia="Calibri" w:hAnsi="Arial Narrow"/>
        </w:rPr>
        <w:t>/ха, до края на м. юни 2025 г.</w:t>
      </w:r>
      <w:r>
        <w:rPr>
          <w:rFonts w:ascii="Arial Narrow" w:eastAsia="Calibri" w:hAnsi="Arial Narrow"/>
        </w:rPr>
        <w:t xml:space="preserve"> </w:t>
      </w:r>
      <w:r w:rsidRPr="00C57ABA">
        <w:rPr>
          <w:rFonts w:ascii="Arial Narrow" w:eastAsia="Calibri" w:hAnsi="Arial Narrow"/>
        </w:rPr>
        <w:t xml:space="preserve">са </w:t>
      </w:r>
      <w:r>
        <w:rPr>
          <w:rFonts w:ascii="Arial Narrow" w:eastAsia="Calibri" w:hAnsi="Arial Narrow"/>
        </w:rPr>
        <w:t xml:space="preserve">извършени плащания в размер </w:t>
      </w:r>
      <w:r w:rsidRPr="00C57ABA">
        <w:rPr>
          <w:rFonts w:ascii="Arial Narrow" w:eastAsia="Calibri" w:hAnsi="Arial Narrow"/>
        </w:rPr>
        <w:t>на 827 855 лева.</w:t>
      </w:r>
    </w:p>
    <w:p w14:paraId="0CC04EE2" w14:textId="77777777" w:rsidR="00BA7C7F" w:rsidRPr="00C57ABA" w:rsidRDefault="00BA7C7F" w:rsidP="00BA7C7F">
      <w:pPr>
        <w:overflowPunct w:val="0"/>
        <w:autoSpaceDE w:val="0"/>
        <w:autoSpaceDN w:val="0"/>
        <w:adjustRightInd w:val="0"/>
        <w:spacing w:after="120"/>
        <w:ind w:firstLine="709"/>
        <w:jc w:val="both"/>
        <w:textAlignment w:val="baseline"/>
        <w:rPr>
          <w:rFonts w:ascii="Arial Narrow" w:eastAsia="Calibri" w:hAnsi="Arial Narrow"/>
          <w:i/>
        </w:rPr>
      </w:pPr>
      <w:r w:rsidRPr="00C57ABA">
        <w:rPr>
          <w:rFonts w:ascii="Arial Narrow" w:eastAsia="Calibri" w:hAnsi="Arial Narrow"/>
          <w:i/>
        </w:rPr>
        <w:t xml:space="preserve">Обвързано с производството подпомагане на доходите за оранжерийно производство </w:t>
      </w:r>
    </w:p>
    <w:p w14:paraId="489EE8C7" w14:textId="77777777" w:rsidR="00BA7C7F" w:rsidRPr="00C57ABA" w:rsidRDefault="00BA7C7F" w:rsidP="00BA7C7F">
      <w:pPr>
        <w:overflowPunct w:val="0"/>
        <w:autoSpaceDE w:val="0"/>
        <w:autoSpaceDN w:val="0"/>
        <w:adjustRightInd w:val="0"/>
        <w:spacing w:after="120"/>
        <w:ind w:firstLine="709"/>
        <w:jc w:val="both"/>
        <w:textAlignment w:val="baseline"/>
        <w:rPr>
          <w:rFonts w:ascii="Arial Narrow" w:eastAsia="Calibri" w:hAnsi="Arial Narrow"/>
        </w:rPr>
      </w:pPr>
      <w:r w:rsidRPr="00C57ABA">
        <w:rPr>
          <w:rFonts w:ascii="Arial Narrow" w:eastAsia="Calibri" w:hAnsi="Arial Narrow"/>
        </w:rPr>
        <w:t xml:space="preserve">Поради специфичния характер на оранжерийното производство допустими за подпомагане са площи с минимален размер на стопанството от 0,5 ха, които могат да бъдат комбинирани от полско и оранжерийно производство. </w:t>
      </w:r>
    </w:p>
    <w:p w14:paraId="1354E85F" w14:textId="77777777" w:rsidR="00BA7C7F" w:rsidRPr="00C57ABA" w:rsidRDefault="00BA7C7F" w:rsidP="00BA7C7F">
      <w:pPr>
        <w:overflowPunct w:val="0"/>
        <w:autoSpaceDE w:val="0"/>
        <w:autoSpaceDN w:val="0"/>
        <w:adjustRightInd w:val="0"/>
        <w:spacing w:after="120"/>
        <w:ind w:firstLine="709"/>
        <w:jc w:val="both"/>
        <w:textAlignment w:val="baseline"/>
        <w:rPr>
          <w:rFonts w:ascii="Arial Narrow" w:eastAsia="Calibri" w:hAnsi="Arial Narrow"/>
        </w:rPr>
      </w:pPr>
      <w:r w:rsidRPr="00C57ABA">
        <w:rPr>
          <w:rFonts w:ascii="Arial Narrow" w:eastAsia="Calibri" w:hAnsi="Arial Narrow"/>
        </w:rPr>
        <w:t xml:space="preserve">За Кампания `2024 по интервенцията са кандидатствали 1 278 земеделски стопани. Определеният годишен бюджет е в размер на 12 015 075 лева. Към 30 юни 2025 г. са оторизирани средства в размер    </w:t>
      </w:r>
      <w:r>
        <w:rPr>
          <w:rFonts w:ascii="Arial Narrow" w:eastAsia="Calibri" w:hAnsi="Arial Narrow"/>
        </w:rPr>
        <w:t xml:space="preserve">на </w:t>
      </w:r>
      <w:r w:rsidRPr="00C57ABA">
        <w:rPr>
          <w:rFonts w:ascii="Arial Narrow" w:eastAsia="Calibri" w:hAnsi="Arial Narrow"/>
        </w:rPr>
        <w:t xml:space="preserve">11 929 043 лева при ставка от 16 007,13 </w:t>
      </w:r>
      <w:r>
        <w:rPr>
          <w:rFonts w:ascii="Arial Narrow" w:eastAsia="Calibri" w:hAnsi="Arial Narrow"/>
        </w:rPr>
        <w:t>лева</w:t>
      </w:r>
      <w:r w:rsidRPr="00C57ABA">
        <w:rPr>
          <w:rFonts w:ascii="Arial Narrow" w:eastAsia="Calibri" w:hAnsi="Arial Narrow"/>
        </w:rPr>
        <w:t xml:space="preserve">/ха. </w:t>
      </w:r>
    </w:p>
    <w:p w14:paraId="3B634254" w14:textId="77777777" w:rsidR="00BA7C7F" w:rsidRPr="00C57ABA" w:rsidRDefault="00BA7C7F" w:rsidP="00BA7C7F">
      <w:pPr>
        <w:overflowPunct w:val="0"/>
        <w:autoSpaceDE w:val="0"/>
        <w:autoSpaceDN w:val="0"/>
        <w:adjustRightInd w:val="0"/>
        <w:spacing w:after="120"/>
        <w:ind w:firstLine="709"/>
        <w:jc w:val="both"/>
        <w:textAlignment w:val="baseline"/>
        <w:rPr>
          <w:rFonts w:ascii="Arial Narrow" w:eastAsia="Calibri" w:hAnsi="Arial Narrow"/>
          <w:i/>
        </w:rPr>
      </w:pPr>
      <w:r w:rsidRPr="00C57ABA">
        <w:rPr>
          <w:rFonts w:ascii="Arial Narrow" w:eastAsia="Calibri" w:hAnsi="Arial Narrow"/>
          <w:i/>
        </w:rPr>
        <w:t xml:space="preserve">Обвързано производството подпомагане на доходите за плодове и зеленчуци в планинските райони </w:t>
      </w:r>
    </w:p>
    <w:p w14:paraId="69F464BC" w14:textId="77777777" w:rsidR="00BA7C7F" w:rsidRPr="00C57ABA" w:rsidRDefault="00BA7C7F" w:rsidP="00BA7C7F">
      <w:pPr>
        <w:overflowPunct w:val="0"/>
        <w:autoSpaceDE w:val="0"/>
        <w:autoSpaceDN w:val="0"/>
        <w:adjustRightInd w:val="0"/>
        <w:spacing w:after="120"/>
        <w:ind w:firstLine="709"/>
        <w:jc w:val="both"/>
        <w:textAlignment w:val="baseline"/>
        <w:rPr>
          <w:rFonts w:ascii="Arial Narrow" w:eastAsia="Calibri" w:hAnsi="Arial Narrow"/>
        </w:rPr>
      </w:pPr>
      <w:r w:rsidRPr="00C57ABA">
        <w:rPr>
          <w:rFonts w:ascii="Arial Narrow" w:eastAsia="Calibri" w:hAnsi="Arial Narrow"/>
        </w:rPr>
        <w:lastRenderedPageBreak/>
        <w:t xml:space="preserve">Интервенцията е насочена към най-малките земеделски стопани, със стопанства с размер до </w:t>
      </w:r>
      <w:r>
        <w:rPr>
          <w:rFonts w:ascii="Arial Narrow" w:eastAsia="Calibri" w:hAnsi="Arial Narrow"/>
        </w:rPr>
        <w:t xml:space="preserve">                 </w:t>
      </w:r>
      <w:r w:rsidRPr="00C57ABA">
        <w:rPr>
          <w:rFonts w:ascii="Arial Narrow" w:eastAsia="Calibri" w:hAnsi="Arial Narrow"/>
        </w:rPr>
        <w:t xml:space="preserve">1,5 ха земеделски площи, разположени в планински райони. </w:t>
      </w:r>
    </w:p>
    <w:p w14:paraId="5FC9606E" w14:textId="77777777" w:rsidR="00BA7C7F" w:rsidRPr="00C57ABA" w:rsidRDefault="00BA7C7F" w:rsidP="00BA7C7F">
      <w:pPr>
        <w:overflowPunct w:val="0"/>
        <w:autoSpaceDE w:val="0"/>
        <w:autoSpaceDN w:val="0"/>
        <w:adjustRightInd w:val="0"/>
        <w:spacing w:after="120"/>
        <w:ind w:firstLine="709"/>
        <w:jc w:val="both"/>
        <w:textAlignment w:val="baseline"/>
        <w:rPr>
          <w:rFonts w:ascii="Arial Narrow" w:eastAsia="Calibri" w:hAnsi="Arial Narrow"/>
        </w:rPr>
      </w:pPr>
      <w:r w:rsidRPr="00C57ABA">
        <w:rPr>
          <w:rFonts w:ascii="Arial Narrow" w:eastAsia="Calibri" w:hAnsi="Arial Narrow"/>
        </w:rPr>
        <w:t xml:space="preserve">За Кампания `2024 заявления за подпомагане по интервенцията са подали 164 земеделски стопани. </w:t>
      </w:r>
      <w:r>
        <w:rPr>
          <w:rFonts w:ascii="Arial Narrow" w:eastAsia="Calibri" w:hAnsi="Arial Narrow"/>
        </w:rPr>
        <w:t>О</w:t>
      </w:r>
      <w:r w:rsidRPr="00C57ABA">
        <w:rPr>
          <w:rFonts w:ascii="Arial Narrow" w:eastAsia="Calibri" w:hAnsi="Arial Narrow"/>
        </w:rPr>
        <w:t>т годишния индикативен бюджет в размер на 384 964 лева</w:t>
      </w:r>
      <w:r>
        <w:rPr>
          <w:rFonts w:ascii="Arial Narrow" w:eastAsia="Calibri" w:hAnsi="Arial Narrow"/>
        </w:rPr>
        <w:t>, к</w:t>
      </w:r>
      <w:r w:rsidRPr="00C57ABA">
        <w:rPr>
          <w:rFonts w:ascii="Arial Narrow" w:eastAsia="Calibri" w:hAnsi="Arial Narrow"/>
        </w:rPr>
        <w:t xml:space="preserve">ъм 30 юни 2025 г. са оторизирани 367 487 лева, при плащане на единица площ от 2 375,48 </w:t>
      </w:r>
      <w:r>
        <w:rPr>
          <w:rFonts w:ascii="Arial Narrow" w:eastAsia="Calibri" w:hAnsi="Arial Narrow"/>
        </w:rPr>
        <w:t>лева</w:t>
      </w:r>
      <w:r w:rsidRPr="00C57ABA">
        <w:rPr>
          <w:rFonts w:ascii="Arial Narrow" w:eastAsia="Calibri" w:hAnsi="Arial Narrow"/>
        </w:rPr>
        <w:t>/ха.</w:t>
      </w:r>
    </w:p>
    <w:p w14:paraId="4B853786" w14:textId="77777777" w:rsidR="00BA7C7F" w:rsidRPr="00C57ABA" w:rsidRDefault="00BA7C7F" w:rsidP="00BA7C7F">
      <w:pPr>
        <w:overflowPunct w:val="0"/>
        <w:autoSpaceDE w:val="0"/>
        <w:autoSpaceDN w:val="0"/>
        <w:adjustRightInd w:val="0"/>
        <w:spacing w:after="120"/>
        <w:ind w:firstLine="709"/>
        <w:jc w:val="both"/>
        <w:textAlignment w:val="baseline"/>
        <w:rPr>
          <w:rFonts w:ascii="Arial Narrow" w:eastAsia="Calibri" w:hAnsi="Arial Narrow"/>
          <w:i/>
        </w:rPr>
      </w:pPr>
      <w:r w:rsidRPr="00C57ABA">
        <w:rPr>
          <w:rFonts w:ascii="Arial Narrow" w:eastAsia="Calibri" w:hAnsi="Arial Narrow"/>
          <w:i/>
        </w:rPr>
        <w:t>Обвързано с производството подпомагане на доходите за протеинови култури</w:t>
      </w:r>
    </w:p>
    <w:p w14:paraId="50AFE82B" w14:textId="77777777" w:rsidR="00BA7C7F" w:rsidRPr="00C57ABA" w:rsidRDefault="00BA7C7F" w:rsidP="00BA7C7F">
      <w:pPr>
        <w:overflowPunct w:val="0"/>
        <w:autoSpaceDE w:val="0"/>
        <w:autoSpaceDN w:val="0"/>
        <w:adjustRightInd w:val="0"/>
        <w:spacing w:after="120"/>
        <w:ind w:firstLine="709"/>
        <w:jc w:val="both"/>
        <w:textAlignment w:val="baseline"/>
        <w:rPr>
          <w:rFonts w:ascii="Arial Narrow" w:eastAsia="Calibri" w:hAnsi="Arial Narrow"/>
        </w:rPr>
      </w:pPr>
      <w:r w:rsidRPr="00C57ABA">
        <w:rPr>
          <w:rFonts w:ascii="Arial Narrow" w:eastAsia="Calibri" w:hAnsi="Arial Narrow"/>
        </w:rPr>
        <w:t xml:space="preserve">Интервенцията косвено цели подпомагане на животновъдите, чрез подкрепа за производството на протеинови култури за фураж. Индикативният бюджет за Кампания `2024  </w:t>
      </w:r>
      <w:r>
        <w:rPr>
          <w:rFonts w:ascii="Arial Narrow" w:eastAsia="Calibri" w:hAnsi="Arial Narrow"/>
        </w:rPr>
        <w:t xml:space="preserve">по нея </w:t>
      </w:r>
      <w:r w:rsidRPr="00C57ABA">
        <w:rPr>
          <w:rFonts w:ascii="Arial Narrow" w:eastAsia="Calibri" w:hAnsi="Arial Narrow"/>
        </w:rPr>
        <w:t>възлиза</w:t>
      </w:r>
      <w:r>
        <w:rPr>
          <w:rFonts w:ascii="Arial Narrow" w:eastAsia="Calibri" w:hAnsi="Arial Narrow"/>
        </w:rPr>
        <w:t xml:space="preserve"> на</w:t>
      </w:r>
      <w:r w:rsidRPr="00C57ABA">
        <w:rPr>
          <w:rFonts w:ascii="Arial Narrow" w:eastAsia="Calibri" w:hAnsi="Arial Narrow"/>
        </w:rPr>
        <w:t xml:space="preserve"> 31 853 350 лева. Заявление за подпомагане са подали 14 090 земеделски стопани. Оторизираните до края на м. юни 2025 г. </w:t>
      </w:r>
      <w:r>
        <w:rPr>
          <w:rFonts w:ascii="Arial Narrow" w:eastAsia="Calibri" w:hAnsi="Arial Narrow"/>
        </w:rPr>
        <w:t>средства са в размер на</w:t>
      </w:r>
      <w:r w:rsidRPr="00C57ABA">
        <w:rPr>
          <w:rFonts w:ascii="Arial Narrow" w:eastAsia="Calibri" w:hAnsi="Arial Narrow"/>
        </w:rPr>
        <w:t xml:space="preserve"> 31 718 667 лева, а </w:t>
      </w:r>
      <w:r>
        <w:rPr>
          <w:rFonts w:ascii="Arial Narrow" w:eastAsia="Calibri" w:hAnsi="Arial Narrow"/>
        </w:rPr>
        <w:t xml:space="preserve">определената </w:t>
      </w:r>
      <w:r w:rsidRPr="00C57ABA">
        <w:rPr>
          <w:rFonts w:ascii="Arial Narrow" w:eastAsia="Calibri" w:hAnsi="Arial Narrow"/>
        </w:rPr>
        <w:t xml:space="preserve">ставка на единица площ е 254,74 </w:t>
      </w:r>
      <w:r>
        <w:rPr>
          <w:rFonts w:ascii="Arial Narrow" w:eastAsia="Calibri" w:hAnsi="Arial Narrow"/>
        </w:rPr>
        <w:t>лева</w:t>
      </w:r>
      <w:r w:rsidRPr="00C57ABA">
        <w:rPr>
          <w:rFonts w:ascii="Arial Narrow" w:eastAsia="Calibri" w:hAnsi="Arial Narrow"/>
        </w:rPr>
        <w:t>/ха.</w:t>
      </w:r>
    </w:p>
    <w:p w14:paraId="076AA752" w14:textId="77777777" w:rsidR="00BA7C7F" w:rsidRPr="00C57ABA" w:rsidRDefault="00BA7C7F" w:rsidP="00BA7C7F">
      <w:pPr>
        <w:overflowPunct w:val="0"/>
        <w:autoSpaceDE w:val="0"/>
        <w:autoSpaceDN w:val="0"/>
        <w:adjustRightInd w:val="0"/>
        <w:spacing w:after="120"/>
        <w:ind w:firstLine="709"/>
        <w:jc w:val="both"/>
        <w:textAlignment w:val="baseline"/>
        <w:rPr>
          <w:rFonts w:ascii="Arial Narrow" w:eastAsia="Calibri" w:hAnsi="Arial Narrow"/>
          <w:i/>
        </w:rPr>
      </w:pPr>
      <w:r w:rsidRPr="00C57ABA">
        <w:rPr>
          <w:rFonts w:ascii="Arial Narrow" w:eastAsia="Calibri" w:hAnsi="Arial Narrow"/>
          <w:i/>
        </w:rPr>
        <w:t xml:space="preserve">Специално плащане за култура - памук </w:t>
      </w:r>
    </w:p>
    <w:p w14:paraId="21A1A545" w14:textId="77777777" w:rsidR="00D87D7C" w:rsidRPr="00C57ABA" w:rsidRDefault="00BA7C7F" w:rsidP="0070161B">
      <w:pPr>
        <w:overflowPunct w:val="0"/>
        <w:autoSpaceDE w:val="0"/>
        <w:autoSpaceDN w:val="0"/>
        <w:adjustRightInd w:val="0"/>
        <w:spacing w:after="120"/>
        <w:ind w:firstLine="709"/>
        <w:jc w:val="both"/>
        <w:textAlignment w:val="baseline"/>
        <w:rPr>
          <w:rFonts w:ascii="Arial Narrow" w:eastAsia="Calibri" w:hAnsi="Arial Narrow"/>
        </w:rPr>
      </w:pPr>
      <w:r w:rsidRPr="00C57ABA">
        <w:rPr>
          <w:rFonts w:ascii="Arial Narrow" w:eastAsia="Calibri" w:hAnsi="Arial Narrow"/>
        </w:rPr>
        <w:t xml:space="preserve">Размерът на специалното плащане за </w:t>
      </w:r>
      <w:r>
        <w:rPr>
          <w:rFonts w:ascii="Arial Narrow" w:eastAsia="Calibri" w:hAnsi="Arial Narrow"/>
        </w:rPr>
        <w:t>памук</w:t>
      </w:r>
      <w:r w:rsidRPr="00C57ABA">
        <w:rPr>
          <w:rFonts w:ascii="Arial Narrow" w:eastAsia="Calibri" w:hAnsi="Arial Narrow"/>
        </w:rPr>
        <w:t xml:space="preserve"> </w:t>
      </w:r>
      <w:r>
        <w:rPr>
          <w:rFonts w:ascii="Arial Narrow" w:eastAsia="Calibri" w:hAnsi="Arial Narrow"/>
        </w:rPr>
        <w:t>н</w:t>
      </w:r>
      <w:r w:rsidRPr="00C57ABA">
        <w:rPr>
          <w:rFonts w:ascii="Arial Narrow" w:eastAsia="Calibri" w:hAnsi="Arial Narrow"/>
        </w:rPr>
        <w:t xml:space="preserve">а единица площ, отговаряща на условията за подпомагане, определен в европейското законодателство, </w:t>
      </w:r>
      <w:r>
        <w:rPr>
          <w:rFonts w:ascii="Arial Narrow" w:eastAsia="Calibri" w:hAnsi="Arial Narrow"/>
        </w:rPr>
        <w:t>е</w:t>
      </w:r>
      <w:r w:rsidRPr="00C57ABA">
        <w:rPr>
          <w:rFonts w:ascii="Arial Narrow" w:eastAsia="Calibri" w:hAnsi="Arial Narrow"/>
        </w:rPr>
        <w:t xml:space="preserve"> 1 492,96 </w:t>
      </w:r>
      <w:r>
        <w:rPr>
          <w:rFonts w:ascii="Arial Narrow" w:eastAsia="Calibri" w:hAnsi="Arial Narrow"/>
        </w:rPr>
        <w:t>лева</w:t>
      </w:r>
      <w:r w:rsidRPr="00C57ABA">
        <w:rPr>
          <w:rFonts w:ascii="Arial Narrow" w:eastAsia="Calibri" w:hAnsi="Arial Narrow"/>
        </w:rPr>
        <w:t xml:space="preserve">/ха. По интервенцията за България са разпределени финансови средства в размер на 5 002 584 лева. Заявления за подпомагане за Кампания `2024  са подали 64 земеделски стопани. Към 30 юни 2025 г. </w:t>
      </w:r>
      <w:r>
        <w:rPr>
          <w:rFonts w:ascii="Arial Narrow" w:eastAsia="Calibri" w:hAnsi="Arial Narrow"/>
        </w:rPr>
        <w:t>са разплатени средства</w:t>
      </w:r>
      <w:r w:rsidRPr="00C57ABA">
        <w:rPr>
          <w:rFonts w:ascii="Arial Narrow" w:eastAsia="Calibri" w:hAnsi="Arial Narrow"/>
        </w:rPr>
        <w:t xml:space="preserve"> в размер на 3 079 827 лева.</w:t>
      </w:r>
    </w:p>
    <w:p w14:paraId="514E0F8C" w14:textId="77777777" w:rsidR="00BA7C7F" w:rsidRPr="00C57ABA" w:rsidRDefault="00BA7C7F" w:rsidP="00BA7C7F">
      <w:pPr>
        <w:overflowPunct w:val="0"/>
        <w:autoSpaceDE w:val="0"/>
        <w:autoSpaceDN w:val="0"/>
        <w:adjustRightInd w:val="0"/>
        <w:spacing w:after="120"/>
        <w:ind w:firstLine="709"/>
        <w:jc w:val="both"/>
        <w:textAlignment w:val="baseline"/>
        <w:rPr>
          <w:rFonts w:ascii="Arial Narrow" w:eastAsia="Calibri" w:hAnsi="Arial Narrow"/>
          <w:b/>
          <w:i/>
        </w:rPr>
      </w:pPr>
      <w:r w:rsidRPr="00C57ABA">
        <w:rPr>
          <w:rFonts w:ascii="Arial Narrow" w:eastAsia="Calibri" w:hAnsi="Arial Narrow"/>
          <w:b/>
          <w:i/>
        </w:rPr>
        <w:t>Преходна национална помощ</w:t>
      </w:r>
    </w:p>
    <w:p w14:paraId="3AB752A3" w14:textId="77777777" w:rsidR="00BA7C7F" w:rsidRPr="00C57ABA" w:rsidRDefault="00BA7C7F" w:rsidP="00BA7C7F">
      <w:pPr>
        <w:overflowPunct w:val="0"/>
        <w:autoSpaceDE w:val="0"/>
        <w:autoSpaceDN w:val="0"/>
        <w:adjustRightInd w:val="0"/>
        <w:spacing w:after="120"/>
        <w:ind w:firstLine="709"/>
        <w:jc w:val="both"/>
        <w:textAlignment w:val="baseline"/>
        <w:rPr>
          <w:rFonts w:ascii="Arial Narrow" w:eastAsia="Calibri" w:hAnsi="Arial Narrow" w:cs="Arial"/>
        </w:rPr>
      </w:pPr>
      <w:r w:rsidRPr="00C57ABA">
        <w:rPr>
          <w:rFonts w:ascii="Arial Narrow" w:eastAsia="Calibri" w:hAnsi="Arial Narrow" w:cs="Arial"/>
        </w:rPr>
        <w:t xml:space="preserve">През 2024 г., следвайки последователността в политиката за подпомагане на сектори „Животновъдство“ и „Тютюн“ с национални средства, България се възползва от възможността да продължи </w:t>
      </w:r>
      <w:r>
        <w:rPr>
          <w:rFonts w:ascii="Arial Narrow" w:eastAsia="Calibri" w:hAnsi="Arial Narrow" w:cs="Arial"/>
        </w:rPr>
        <w:t>тяхната подкрепа</w:t>
      </w:r>
      <w:r w:rsidRPr="00C57ABA">
        <w:rPr>
          <w:rFonts w:ascii="Arial Narrow" w:eastAsia="Calibri" w:hAnsi="Arial Narrow" w:cs="Arial"/>
        </w:rPr>
        <w:t xml:space="preserve"> чрез прилагане на интервенции за преходна национална помощ за говеда, биволи, овце-майки и кози-майки и тютюн, при условията на схемите за национални доплащания, прилагани през 2013 г.</w:t>
      </w:r>
    </w:p>
    <w:p w14:paraId="25EA1CD2" w14:textId="77777777" w:rsidR="00BA7C7F" w:rsidRPr="00C57ABA" w:rsidRDefault="00BA7C7F" w:rsidP="00BA7C7F">
      <w:pPr>
        <w:overflowPunct w:val="0"/>
        <w:autoSpaceDE w:val="0"/>
        <w:autoSpaceDN w:val="0"/>
        <w:adjustRightInd w:val="0"/>
        <w:spacing w:after="120"/>
        <w:ind w:firstLine="709"/>
        <w:jc w:val="both"/>
        <w:textAlignment w:val="baseline"/>
        <w:rPr>
          <w:rFonts w:ascii="Arial Narrow" w:eastAsia="Calibri" w:hAnsi="Arial Narrow" w:cs="Arial"/>
          <w:i/>
        </w:rPr>
      </w:pPr>
      <w:r w:rsidRPr="00C57ABA">
        <w:rPr>
          <w:rFonts w:ascii="Arial Narrow" w:eastAsia="Calibri" w:hAnsi="Arial Narrow" w:cs="Arial"/>
          <w:i/>
        </w:rPr>
        <w:t>Преходна национална помощ за говеда - необвързана с производство</w:t>
      </w:r>
    </w:p>
    <w:p w14:paraId="21606375" w14:textId="77777777" w:rsidR="00BA7C7F" w:rsidRPr="00C57ABA" w:rsidRDefault="00BA7C7F" w:rsidP="00BA7C7F">
      <w:pPr>
        <w:overflowPunct w:val="0"/>
        <w:autoSpaceDE w:val="0"/>
        <w:autoSpaceDN w:val="0"/>
        <w:adjustRightInd w:val="0"/>
        <w:spacing w:after="120"/>
        <w:ind w:firstLine="709"/>
        <w:jc w:val="both"/>
        <w:textAlignment w:val="baseline"/>
        <w:rPr>
          <w:rFonts w:ascii="Arial Narrow" w:eastAsia="Calibri" w:hAnsi="Arial Narrow" w:cs="Arial"/>
        </w:rPr>
      </w:pPr>
      <w:r w:rsidRPr="00C57ABA">
        <w:rPr>
          <w:rFonts w:ascii="Arial Narrow" w:eastAsia="Calibri" w:hAnsi="Arial Narrow" w:cs="Arial"/>
        </w:rPr>
        <w:t xml:space="preserve">Бюджетът по интервенцията за Кампания `2024  е в размер на 28 857 927 лева. За подпомагане са кандидатствали 5 768 земеделски стопани. Плащането на </w:t>
      </w:r>
      <w:r>
        <w:rPr>
          <w:rFonts w:ascii="Arial Narrow" w:eastAsia="Calibri" w:hAnsi="Arial Narrow" w:cs="Arial"/>
        </w:rPr>
        <w:t>едно</w:t>
      </w:r>
      <w:r w:rsidRPr="00C57ABA">
        <w:rPr>
          <w:rFonts w:ascii="Arial Narrow" w:eastAsia="Calibri" w:hAnsi="Arial Narrow" w:cs="Arial"/>
        </w:rPr>
        <w:t xml:space="preserve"> животно </w:t>
      </w:r>
      <w:r>
        <w:rPr>
          <w:rFonts w:ascii="Arial Narrow" w:eastAsia="Calibri" w:hAnsi="Arial Narrow" w:cs="Arial"/>
        </w:rPr>
        <w:t>при</w:t>
      </w:r>
      <w:r w:rsidRPr="00C57ABA">
        <w:rPr>
          <w:rFonts w:ascii="Arial Narrow" w:eastAsia="Calibri" w:hAnsi="Arial Narrow" w:cs="Arial"/>
        </w:rPr>
        <w:t xml:space="preserve"> говеда</w:t>
      </w:r>
      <w:r>
        <w:rPr>
          <w:rFonts w:ascii="Arial Narrow" w:eastAsia="Calibri" w:hAnsi="Arial Narrow" w:cs="Arial"/>
        </w:rPr>
        <w:t>та</w:t>
      </w:r>
      <w:r w:rsidRPr="00C57ABA">
        <w:rPr>
          <w:rFonts w:ascii="Arial Narrow" w:eastAsia="Calibri" w:hAnsi="Arial Narrow" w:cs="Arial"/>
        </w:rPr>
        <w:t xml:space="preserve"> е 70,29 </w:t>
      </w:r>
      <w:r>
        <w:rPr>
          <w:rFonts w:ascii="Arial Narrow" w:eastAsia="Calibri" w:hAnsi="Arial Narrow" w:cs="Arial"/>
        </w:rPr>
        <w:t>лева</w:t>
      </w:r>
      <w:r w:rsidRPr="00C57ABA">
        <w:rPr>
          <w:rFonts w:ascii="Arial Narrow" w:eastAsia="Calibri" w:hAnsi="Arial Narrow" w:cs="Arial"/>
        </w:rPr>
        <w:t xml:space="preserve">/глава, а </w:t>
      </w:r>
      <w:r>
        <w:rPr>
          <w:rFonts w:ascii="Arial Narrow" w:eastAsia="Calibri" w:hAnsi="Arial Narrow" w:cs="Arial"/>
        </w:rPr>
        <w:t>при</w:t>
      </w:r>
      <w:r w:rsidRPr="00C57ABA">
        <w:rPr>
          <w:rFonts w:ascii="Arial Narrow" w:eastAsia="Calibri" w:hAnsi="Arial Narrow" w:cs="Arial"/>
        </w:rPr>
        <w:t xml:space="preserve"> биволи</w:t>
      </w:r>
      <w:r>
        <w:rPr>
          <w:rFonts w:ascii="Arial Narrow" w:eastAsia="Calibri" w:hAnsi="Arial Narrow" w:cs="Arial"/>
        </w:rPr>
        <w:t>те - 1</w:t>
      </w:r>
      <w:r w:rsidRPr="00C57ABA">
        <w:rPr>
          <w:rFonts w:ascii="Arial Narrow" w:eastAsia="Calibri" w:hAnsi="Arial Narrow" w:cs="Arial"/>
        </w:rPr>
        <w:t xml:space="preserve">23,00 </w:t>
      </w:r>
      <w:r>
        <w:rPr>
          <w:rFonts w:ascii="Arial Narrow" w:eastAsia="Calibri" w:hAnsi="Arial Narrow" w:cs="Arial"/>
        </w:rPr>
        <w:t>лева</w:t>
      </w:r>
      <w:r w:rsidRPr="00C57ABA">
        <w:rPr>
          <w:rFonts w:ascii="Arial Narrow" w:eastAsia="Calibri" w:hAnsi="Arial Narrow" w:cs="Arial"/>
        </w:rPr>
        <w:t>/глава. Към 30 юни 2025 г. са оторизирани 28 791 404 лева.</w:t>
      </w:r>
    </w:p>
    <w:p w14:paraId="09D437B4" w14:textId="77777777" w:rsidR="00BA7C7F" w:rsidRPr="00C57ABA" w:rsidRDefault="00BA7C7F" w:rsidP="00BA7C7F">
      <w:pPr>
        <w:overflowPunct w:val="0"/>
        <w:autoSpaceDE w:val="0"/>
        <w:autoSpaceDN w:val="0"/>
        <w:adjustRightInd w:val="0"/>
        <w:spacing w:after="120"/>
        <w:ind w:firstLine="709"/>
        <w:jc w:val="both"/>
        <w:textAlignment w:val="baseline"/>
        <w:rPr>
          <w:rFonts w:ascii="Arial Narrow" w:eastAsia="Calibri" w:hAnsi="Arial Narrow" w:cs="Arial"/>
          <w:i/>
        </w:rPr>
      </w:pPr>
      <w:r w:rsidRPr="00C57ABA">
        <w:rPr>
          <w:rFonts w:ascii="Arial Narrow" w:eastAsia="Calibri" w:hAnsi="Arial Narrow" w:cs="Arial"/>
          <w:i/>
        </w:rPr>
        <w:t xml:space="preserve">Преходна национална помощ за овце-майки и/или кози-майки (обвързана с производство) </w:t>
      </w:r>
    </w:p>
    <w:p w14:paraId="2D69B0B6" w14:textId="77777777" w:rsidR="00BA7C7F" w:rsidRPr="00C57ABA" w:rsidRDefault="00BA7C7F" w:rsidP="00BA7C7F">
      <w:pPr>
        <w:overflowPunct w:val="0"/>
        <w:autoSpaceDE w:val="0"/>
        <w:autoSpaceDN w:val="0"/>
        <w:adjustRightInd w:val="0"/>
        <w:spacing w:after="120"/>
        <w:ind w:firstLine="709"/>
        <w:jc w:val="both"/>
        <w:textAlignment w:val="baseline"/>
        <w:rPr>
          <w:rFonts w:ascii="Arial Narrow" w:eastAsia="Calibri" w:hAnsi="Arial Narrow" w:cs="Arial"/>
        </w:rPr>
      </w:pPr>
      <w:r w:rsidRPr="00C57ABA">
        <w:rPr>
          <w:rFonts w:ascii="Arial Narrow" w:eastAsia="Calibri" w:hAnsi="Arial Narrow" w:cs="Arial"/>
        </w:rPr>
        <w:t xml:space="preserve">Заявление за кандидатстване по интервенцията с бюджет от 24 145 818 лева са подали 4 634 земеделски стопани. Ставката за подпомагане е 41,07 </w:t>
      </w:r>
      <w:r>
        <w:rPr>
          <w:rFonts w:ascii="Arial Narrow" w:eastAsia="Calibri" w:hAnsi="Arial Narrow" w:cs="Arial"/>
        </w:rPr>
        <w:t>лева</w:t>
      </w:r>
      <w:r w:rsidRPr="00C57ABA">
        <w:rPr>
          <w:rFonts w:ascii="Arial Narrow" w:eastAsia="Calibri" w:hAnsi="Arial Narrow" w:cs="Arial"/>
        </w:rPr>
        <w:t>/глава. Оторизираният до 30 юни 2025 г. финансов ресурс възлиза на 19 860 713 лева.</w:t>
      </w:r>
    </w:p>
    <w:p w14:paraId="4AACF20F" w14:textId="77777777" w:rsidR="00BA7C7F" w:rsidRPr="00C57ABA" w:rsidRDefault="00BA7C7F" w:rsidP="00BA7C7F">
      <w:pPr>
        <w:overflowPunct w:val="0"/>
        <w:autoSpaceDE w:val="0"/>
        <w:autoSpaceDN w:val="0"/>
        <w:adjustRightInd w:val="0"/>
        <w:spacing w:after="120"/>
        <w:ind w:firstLine="709"/>
        <w:jc w:val="both"/>
        <w:textAlignment w:val="baseline"/>
        <w:rPr>
          <w:rFonts w:ascii="Arial Narrow" w:eastAsia="Calibri" w:hAnsi="Arial Narrow" w:cs="Arial"/>
          <w:i/>
        </w:rPr>
      </w:pPr>
      <w:r w:rsidRPr="00C57ABA">
        <w:rPr>
          <w:rFonts w:ascii="Arial Narrow" w:eastAsia="Calibri" w:hAnsi="Arial Narrow" w:cs="Arial"/>
          <w:i/>
        </w:rPr>
        <w:t>Преходна национална помощ за тютюн, необвързана с производството</w:t>
      </w:r>
    </w:p>
    <w:p w14:paraId="67CF0F46" w14:textId="77777777" w:rsidR="00BA7C7F" w:rsidRPr="00C57ABA" w:rsidRDefault="00BA7C7F" w:rsidP="00BA7C7F">
      <w:pPr>
        <w:overflowPunct w:val="0"/>
        <w:autoSpaceDE w:val="0"/>
        <w:autoSpaceDN w:val="0"/>
        <w:adjustRightInd w:val="0"/>
        <w:spacing w:after="120"/>
        <w:ind w:firstLine="709"/>
        <w:jc w:val="both"/>
        <w:textAlignment w:val="baseline"/>
        <w:rPr>
          <w:rFonts w:ascii="Arial Narrow" w:eastAsia="Calibri" w:hAnsi="Arial Narrow" w:cs="Arial"/>
        </w:rPr>
      </w:pPr>
      <w:r w:rsidRPr="00C57ABA">
        <w:rPr>
          <w:rFonts w:ascii="Arial Narrow" w:eastAsia="Calibri" w:hAnsi="Arial Narrow" w:cs="Arial"/>
        </w:rPr>
        <w:t xml:space="preserve">За </w:t>
      </w:r>
      <w:r>
        <w:rPr>
          <w:rFonts w:ascii="Arial Narrow" w:eastAsia="Calibri" w:hAnsi="Arial Narrow" w:cs="Arial"/>
        </w:rPr>
        <w:t xml:space="preserve">Кампания `2024 по интервенцията </w:t>
      </w:r>
      <w:r w:rsidRPr="00C57ABA">
        <w:rPr>
          <w:rFonts w:ascii="Arial Narrow" w:eastAsia="Calibri" w:hAnsi="Arial Narrow" w:cs="Arial"/>
        </w:rPr>
        <w:t xml:space="preserve">са кандидатствали 8 404 земеделски стопани за предадените през референтната година количества тютюн. Бюджетът за кампанията е в размер на               70 897 261 лева. Ставката за подпомагане за сорт „Басми“ е 5,40 </w:t>
      </w:r>
      <w:r>
        <w:rPr>
          <w:rFonts w:ascii="Arial Narrow" w:eastAsia="Calibri" w:hAnsi="Arial Narrow" w:cs="Arial"/>
        </w:rPr>
        <w:t>лева</w:t>
      </w:r>
      <w:r w:rsidRPr="00C57ABA">
        <w:rPr>
          <w:rFonts w:ascii="Arial Narrow" w:eastAsia="Calibri" w:hAnsi="Arial Narrow" w:cs="Arial"/>
        </w:rPr>
        <w:t xml:space="preserve">/кг за количества до 2 тона и                4,10 </w:t>
      </w:r>
      <w:r>
        <w:rPr>
          <w:rFonts w:ascii="Arial Narrow" w:eastAsia="Calibri" w:hAnsi="Arial Narrow" w:cs="Arial"/>
        </w:rPr>
        <w:t>лева</w:t>
      </w:r>
      <w:r w:rsidRPr="00C57ABA">
        <w:rPr>
          <w:rFonts w:ascii="Arial Narrow" w:eastAsia="Calibri" w:hAnsi="Arial Narrow" w:cs="Arial"/>
        </w:rPr>
        <w:t xml:space="preserve">/кг за количества над 2 тона. Плащането за сортовете „Каба Кулак“ и „Бърлей“ е 4 </w:t>
      </w:r>
      <w:r>
        <w:rPr>
          <w:rFonts w:ascii="Arial Narrow" w:eastAsia="Calibri" w:hAnsi="Arial Narrow" w:cs="Arial"/>
        </w:rPr>
        <w:t>лева</w:t>
      </w:r>
      <w:r w:rsidRPr="00C57ABA">
        <w:rPr>
          <w:rFonts w:ascii="Arial Narrow" w:eastAsia="Calibri" w:hAnsi="Arial Narrow" w:cs="Arial"/>
        </w:rPr>
        <w:t xml:space="preserve">/кг, а за сорт „Виржиния“ – 3 </w:t>
      </w:r>
      <w:r>
        <w:rPr>
          <w:rFonts w:ascii="Arial Narrow" w:eastAsia="Calibri" w:hAnsi="Arial Narrow" w:cs="Arial"/>
        </w:rPr>
        <w:t>лева</w:t>
      </w:r>
      <w:r w:rsidRPr="00C57ABA">
        <w:rPr>
          <w:rFonts w:ascii="Arial Narrow" w:eastAsia="Calibri" w:hAnsi="Arial Narrow" w:cs="Arial"/>
        </w:rPr>
        <w:t>/кг. Към 30 юни 2025 г. са разплатени 70 821 367 лева.</w:t>
      </w:r>
    </w:p>
    <w:p w14:paraId="0D89EADE" w14:textId="77777777" w:rsidR="00BA7C7F" w:rsidRPr="00C57ABA" w:rsidRDefault="00BA7C7F" w:rsidP="00BA7C7F">
      <w:pPr>
        <w:autoSpaceDE w:val="0"/>
        <w:autoSpaceDN w:val="0"/>
        <w:adjustRightInd w:val="0"/>
        <w:spacing w:after="120"/>
        <w:jc w:val="both"/>
        <w:rPr>
          <w:rFonts w:ascii="Arial Narrow" w:eastAsia="Calibri" w:hAnsi="Arial Narrow"/>
          <w:b/>
          <w:szCs w:val="22"/>
        </w:rPr>
      </w:pPr>
      <w:r w:rsidRPr="00C57ABA">
        <w:rPr>
          <w:rFonts w:ascii="Arial Narrow" w:eastAsia="Calibri" w:hAnsi="Arial Narrow"/>
          <w:b/>
          <w:szCs w:val="22"/>
        </w:rPr>
        <w:t xml:space="preserve">Таблица </w:t>
      </w:r>
      <w:r w:rsidR="00CA4006" w:rsidRPr="001B6ED3">
        <w:rPr>
          <w:rFonts w:ascii="Arial Narrow" w:hAnsi="Arial Narrow" w:cs="Arial Narrow"/>
          <w:b/>
          <w:bCs/>
          <w:lang w:val="bg-BG"/>
        </w:rPr>
        <w:t>ІV.</w:t>
      </w:r>
      <w:r w:rsidR="00DA1842">
        <w:rPr>
          <w:rFonts w:ascii="Arial Narrow" w:hAnsi="Arial Narrow" w:cs="Arial Narrow"/>
          <w:b/>
          <w:bCs/>
          <w:lang w:val="bg-BG"/>
        </w:rPr>
        <w:t>3</w:t>
      </w:r>
      <w:r w:rsidR="00CA4006">
        <w:rPr>
          <w:rFonts w:ascii="Arial Narrow" w:hAnsi="Arial Narrow" w:cs="Arial Narrow"/>
          <w:b/>
          <w:bCs/>
          <w:lang w:val="bg-BG"/>
        </w:rPr>
        <w:t xml:space="preserve">. </w:t>
      </w:r>
      <w:r w:rsidRPr="00C57ABA">
        <w:rPr>
          <w:rFonts w:ascii="Arial Narrow" w:eastAsia="Calibri" w:hAnsi="Arial Narrow"/>
          <w:b/>
          <w:szCs w:val="22"/>
        </w:rPr>
        <w:t xml:space="preserve">Размер на подпомагането по интервенции за директни плащания </w:t>
      </w:r>
      <w:r w:rsidRPr="00C57ABA">
        <w:rPr>
          <w:rFonts w:ascii="Arial Narrow" w:hAnsi="Arial Narrow" w:cs="Calibri"/>
          <w:b/>
          <w:bCs/>
          <w:color w:val="000000"/>
        </w:rPr>
        <w:t xml:space="preserve">и преходна национална помощ </w:t>
      </w:r>
      <w:r w:rsidRPr="00C57ABA">
        <w:rPr>
          <w:rFonts w:ascii="Arial Narrow" w:eastAsia="Calibri" w:hAnsi="Arial Narrow"/>
          <w:b/>
          <w:szCs w:val="22"/>
        </w:rPr>
        <w:t>за Кампания `2024</w:t>
      </w:r>
    </w:p>
    <w:tbl>
      <w:tblPr>
        <w:tblW w:w="9754" w:type="dxa"/>
        <w:tblInd w:w="108" w:type="dxa"/>
        <w:tblLayout w:type="fixed"/>
        <w:tblLook w:val="04A0" w:firstRow="1" w:lastRow="0" w:firstColumn="1" w:lastColumn="0" w:noHBand="0" w:noVBand="1"/>
      </w:tblPr>
      <w:tblGrid>
        <w:gridCol w:w="2207"/>
        <w:gridCol w:w="1741"/>
        <w:gridCol w:w="1452"/>
        <w:gridCol w:w="1378"/>
        <w:gridCol w:w="1380"/>
        <w:gridCol w:w="1596"/>
      </w:tblGrid>
      <w:tr w:rsidR="00BA7C7F" w:rsidRPr="00C57ABA" w14:paraId="28BB5C2D" w14:textId="77777777" w:rsidTr="00B37935">
        <w:trPr>
          <w:trHeight w:val="1136"/>
          <w:tblHeader/>
        </w:trPr>
        <w:tc>
          <w:tcPr>
            <w:tcW w:w="220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7F03F27A" w14:textId="77777777" w:rsidR="00BA7C7F" w:rsidRPr="006F4BBB" w:rsidRDefault="00BA7C7F" w:rsidP="00BA7C7F">
            <w:pPr>
              <w:jc w:val="center"/>
              <w:rPr>
                <w:rFonts w:ascii="Arial Narrow" w:hAnsi="Arial Narrow" w:cs="Calibri"/>
                <w:b/>
                <w:bCs/>
                <w:color w:val="000000"/>
                <w:sz w:val="20"/>
                <w:szCs w:val="20"/>
              </w:rPr>
            </w:pPr>
            <w:r w:rsidRPr="006F4BBB">
              <w:rPr>
                <w:rFonts w:ascii="Arial Narrow" w:hAnsi="Arial Narrow" w:cs="Calibri"/>
                <w:b/>
                <w:bCs/>
                <w:color w:val="000000"/>
                <w:sz w:val="20"/>
                <w:szCs w:val="20"/>
              </w:rPr>
              <w:t>Интервенция</w:t>
            </w:r>
          </w:p>
        </w:tc>
        <w:tc>
          <w:tcPr>
            <w:tcW w:w="1741"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557A3C7D" w14:textId="77777777" w:rsidR="00BA7C7F" w:rsidRPr="002B7FF3" w:rsidRDefault="00BA7C7F" w:rsidP="00BA7C7F">
            <w:pPr>
              <w:jc w:val="center"/>
              <w:rPr>
                <w:rFonts w:ascii="Arial Narrow" w:hAnsi="Arial Narrow" w:cs="Calibri"/>
                <w:b/>
                <w:bCs/>
                <w:color w:val="000000"/>
                <w:sz w:val="20"/>
                <w:szCs w:val="20"/>
              </w:rPr>
            </w:pPr>
            <w:r w:rsidRPr="002B7FF3">
              <w:rPr>
                <w:rFonts w:ascii="Arial Narrow" w:hAnsi="Arial Narrow" w:cs="Calibri"/>
                <w:b/>
                <w:bCs/>
                <w:color w:val="000000"/>
                <w:sz w:val="20"/>
                <w:szCs w:val="20"/>
              </w:rPr>
              <w:t>Годишно ориентировъчно разпределение на финансови средства</w:t>
            </w:r>
            <w:r w:rsidRPr="002B7FF3">
              <w:rPr>
                <w:rFonts w:ascii="Arial Narrow" w:hAnsi="Arial Narrow" w:cs="Calibri"/>
                <w:b/>
                <w:bCs/>
                <w:color w:val="000000"/>
                <w:sz w:val="20"/>
                <w:szCs w:val="20"/>
              </w:rPr>
              <w:br/>
              <w:t>(лева)*</w:t>
            </w:r>
          </w:p>
        </w:tc>
        <w:tc>
          <w:tcPr>
            <w:tcW w:w="1452"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4D6F5F27" w14:textId="77777777" w:rsidR="00BA7C7F" w:rsidRPr="00986DAD" w:rsidRDefault="00BA7C7F" w:rsidP="00BA7C7F">
            <w:pPr>
              <w:jc w:val="center"/>
              <w:rPr>
                <w:rFonts w:ascii="Arial Narrow" w:hAnsi="Arial Narrow" w:cs="Calibri"/>
                <w:b/>
                <w:bCs/>
                <w:color w:val="000000"/>
                <w:sz w:val="20"/>
                <w:szCs w:val="20"/>
              </w:rPr>
            </w:pPr>
            <w:r w:rsidRPr="00986DAD">
              <w:rPr>
                <w:rFonts w:ascii="Arial Narrow" w:hAnsi="Arial Narrow" w:cs="Calibri"/>
                <w:b/>
                <w:bCs/>
                <w:color w:val="000000"/>
                <w:sz w:val="20"/>
                <w:szCs w:val="20"/>
              </w:rPr>
              <w:t xml:space="preserve">Подадени валидни заявления </w:t>
            </w:r>
            <w:r w:rsidRPr="00986DAD">
              <w:rPr>
                <w:rFonts w:ascii="Arial Narrow" w:hAnsi="Arial Narrow" w:cs="Calibri"/>
                <w:b/>
                <w:bCs/>
                <w:color w:val="000000"/>
                <w:sz w:val="20"/>
                <w:szCs w:val="20"/>
              </w:rPr>
              <w:br/>
              <w:t>(бр.)</w:t>
            </w:r>
          </w:p>
        </w:tc>
        <w:tc>
          <w:tcPr>
            <w:tcW w:w="2758" w:type="dxa"/>
            <w:gridSpan w:val="2"/>
            <w:tcBorders>
              <w:top w:val="single" w:sz="4" w:space="0" w:color="auto"/>
              <w:left w:val="nil"/>
              <w:bottom w:val="single" w:sz="4" w:space="0" w:color="auto"/>
              <w:right w:val="single" w:sz="4" w:space="0" w:color="auto"/>
            </w:tcBorders>
            <w:shd w:val="clear" w:color="000000" w:fill="FFFFFF"/>
            <w:vAlign w:val="center"/>
            <w:hideMark/>
          </w:tcPr>
          <w:p w14:paraId="44A2298B" w14:textId="77777777" w:rsidR="00BA7C7F" w:rsidRPr="00C81B63" w:rsidRDefault="00BA7C7F" w:rsidP="00BA7C7F">
            <w:pPr>
              <w:jc w:val="center"/>
              <w:rPr>
                <w:rFonts w:ascii="Arial Narrow" w:hAnsi="Arial Narrow" w:cs="Calibri"/>
                <w:b/>
                <w:bCs/>
                <w:color w:val="000000"/>
                <w:sz w:val="20"/>
                <w:szCs w:val="20"/>
              </w:rPr>
            </w:pPr>
            <w:r w:rsidRPr="00986DAD">
              <w:rPr>
                <w:rFonts w:ascii="Arial Narrow" w:hAnsi="Arial Narrow" w:cs="Calibri"/>
                <w:b/>
                <w:bCs/>
                <w:color w:val="000000"/>
                <w:sz w:val="20"/>
                <w:szCs w:val="20"/>
              </w:rPr>
              <w:t>Ставка, лева</w:t>
            </w:r>
            <w:r w:rsidRPr="00C81B63">
              <w:rPr>
                <w:rFonts w:ascii="Arial Narrow" w:hAnsi="Arial Narrow" w:cs="Calibri"/>
                <w:b/>
                <w:bCs/>
                <w:color w:val="000000"/>
                <w:sz w:val="20"/>
                <w:szCs w:val="20"/>
              </w:rPr>
              <w:t>/1-ца**</w:t>
            </w:r>
          </w:p>
        </w:tc>
        <w:tc>
          <w:tcPr>
            <w:tcW w:w="1596" w:type="dxa"/>
            <w:vMerge w:val="restart"/>
            <w:tcBorders>
              <w:top w:val="single" w:sz="4" w:space="0" w:color="auto"/>
              <w:left w:val="single" w:sz="4" w:space="0" w:color="auto"/>
              <w:right w:val="single" w:sz="4" w:space="0" w:color="auto"/>
            </w:tcBorders>
            <w:shd w:val="clear" w:color="000000" w:fill="FFFFFF"/>
            <w:vAlign w:val="center"/>
            <w:hideMark/>
          </w:tcPr>
          <w:p w14:paraId="1C209330" w14:textId="77777777" w:rsidR="00BA7C7F" w:rsidRPr="00BA44FC" w:rsidRDefault="00BA7C7F" w:rsidP="00BA7C7F">
            <w:pPr>
              <w:jc w:val="center"/>
              <w:rPr>
                <w:rFonts w:ascii="Arial Narrow" w:hAnsi="Arial Narrow" w:cs="Calibri"/>
                <w:b/>
                <w:bCs/>
                <w:color w:val="000000"/>
                <w:sz w:val="20"/>
                <w:szCs w:val="20"/>
              </w:rPr>
            </w:pPr>
            <w:r w:rsidRPr="00BA44FC">
              <w:rPr>
                <w:rFonts w:ascii="Arial Narrow" w:hAnsi="Arial Narrow" w:cs="Calibri"/>
                <w:b/>
                <w:bCs/>
                <w:color w:val="000000"/>
                <w:sz w:val="20"/>
                <w:szCs w:val="20"/>
              </w:rPr>
              <w:t>Оторизирани плащания (лева)****</w:t>
            </w:r>
          </w:p>
        </w:tc>
      </w:tr>
      <w:tr w:rsidR="00BA7C7F" w:rsidRPr="00C57ABA" w14:paraId="0D0431EB" w14:textId="77777777" w:rsidTr="00B37935">
        <w:trPr>
          <w:trHeight w:val="442"/>
          <w:tblHeader/>
        </w:trPr>
        <w:tc>
          <w:tcPr>
            <w:tcW w:w="2207" w:type="dxa"/>
            <w:vMerge/>
            <w:tcBorders>
              <w:top w:val="single" w:sz="4" w:space="0" w:color="auto"/>
              <w:left w:val="single" w:sz="4" w:space="0" w:color="auto"/>
              <w:bottom w:val="single" w:sz="4" w:space="0" w:color="auto"/>
              <w:right w:val="single" w:sz="4" w:space="0" w:color="auto"/>
            </w:tcBorders>
            <w:vAlign w:val="center"/>
            <w:hideMark/>
          </w:tcPr>
          <w:p w14:paraId="36CBE59E" w14:textId="77777777" w:rsidR="00BA7C7F" w:rsidRPr="006F4BBB" w:rsidRDefault="00BA7C7F" w:rsidP="00BA7C7F">
            <w:pPr>
              <w:rPr>
                <w:rFonts w:ascii="Arial Narrow" w:hAnsi="Arial Narrow" w:cs="Calibri"/>
                <w:b/>
                <w:bCs/>
                <w:color w:val="000000"/>
                <w:sz w:val="20"/>
                <w:szCs w:val="20"/>
              </w:rPr>
            </w:pPr>
          </w:p>
        </w:tc>
        <w:tc>
          <w:tcPr>
            <w:tcW w:w="1741" w:type="dxa"/>
            <w:vMerge/>
            <w:tcBorders>
              <w:top w:val="single" w:sz="4" w:space="0" w:color="auto"/>
              <w:left w:val="single" w:sz="4" w:space="0" w:color="auto"/>
              <w:bottom w:val="single" w:sz="4" w:space="0" w:color="auto"/>
              <w:right w:val="single" w:sz="4" w:space="0" w:color="auto"/>
            </w:tcBorders>
            <w:vAlign w:val="center"/>
            <w:hideMark/>
          </w:tcPr>
          <w:p w14:paraId="4734ABE0" w14:textId="77777777" w:rsidR="00BA7C7F" w:rsidRPr="006F4BBB" w:rsidRDefault="00BA7C7F" w:rsidP="00BA7C7F">
            <w:pPr>
              <w:rPr>
                <w:rFonts w:ascii="Arial Narrow" w:hAnsi="Arial Narrow" w:cs="Calibri"/>
                <w:b/>
                <w:bCs/>
                <w:color w:val="000000"/>
                <w:sz w:val="20"/>
                <w:szCs w:val="20"/>
              </w:rPr>
            </w:pPr>
          </w:p>
        </w:tc>
        <w:tc>
          <w:tcPr>
            <w:tcW w:w="1452" w:type="dxa"/>
            <w:vMerge/>
            <w:tcBorders>
              <w:top w:val="single" w:sz="4" w:space="0" w:color="auto"/>
              <w:left w:val="single" w:sz="4" w:space="0" w:color="auto"/>
              <w:bottom w:val="single" w:sz="4" w:space="0" w:color="auto"/>
              <w:right w:val="single" w:sz="4" w:space="0" w:color="auto"/>
            </w:tcBorders>
            <w:vAlign w:val="center"/>
            <w:hideMark/>
          </w:tcPr>
          <w:p w14:paraId="4AB2832C" w14:textId="77777777" w:rsidR="00BA7C7F" w:rsidRPr="006F4BBB" w:rsidRDefault="00BA7C7F" w:rsidP="00BA7C7F">
            <w:pPr>
              <w:rPr>
                <w:rFonts w:ascii="Arial Narrow" w:hAnsi="Arial Narrow" w:cs="Calibri"/>
                <w:b/>
                <w:bCs/>
                <w:color w:val="000000"/>
                <w:sz w:val="20"/>
                <w:szCs w:val="20"/>
              </w:rPr>
            </w:pPr>
          </w:p>
        </w:tc>
        <w:tc>
          <w:tcPr>
            <w:tcW w:w="1378" w:type="dxa"/>
            <w:tcBorders>
              <w:top w:val="nil"/>
              <w:left w:val="nil"/>
              <w:bottom w:val="single" w:sz="4" w:space="0" w:color="auto"/>
              <w:right w:val="single" w:sz="4" w:space="0" w:color="auto"/>
            </w:tcBorders>
            <w:shd w:val="clear" w:color="000000" w:fill="FFFFFF"/>
            <w:vAlign w:val="center"/>
            <w:hideMark/>
          </w:tcPr>
          <w:p w14:paraId="3D5EFDCF" w14:textId="77777777" w:rsidR="00BA7C7F" w:rsidRPr="006F4BBB" w:rsidRDefault="00BA7C7F" w:rsidP="00BA7C7F">
            <w:pPr>
              <w:jc w:val="center"/>
              <w:rPr>
                <w:rFonts w:ascii="Arial Narrow" w:hAnsi="Arial Narrow" w:cs="Calibri"/>
                <w:b/>
                <w:bCs/>
                <w:color w:val="000000"/>
                <w:sz w:val="20"/>
                <w:szCs w:val="20"/>
              </w:rPr>
            </w:pPr>
            <w:r w:rsidRPr="006F4BBB">
              <w:rPr>
                <w:rFonts w:ascii="Arial Narrow" w:hAnsi="Arial Narrow" w:cs="Calibri"/>
                <w:b/>
                <w:bCs/>
                <w:color w:val="000000"/>
                <w:sz w:val="20"/>
                <w:szCs w:val="20"/>
              </w:rPr>
              <w:t>до/ха, бр.</w:t>
            </w:r>
          </w:p>
        </w:tc>
        <w:tc>
          <w:tcPr>
            <w:tcW w:w="1380" w:type="dxa"/>
            <w:tcBorders>
              <w:top w:val="nil"/>
              <w:left w:val="nil"/>
              <w:bottom w:val="single" w:sz="4" w:space="0" w:color="auto"/>
              <w:right w:val="single" w:sz="4" w:space="0" w:color="auto"/>
            </w:tcBorders>
            <w:shd w:val="clear" w:color="000000" w:fill="FFFFFF"/>
            <w:vAlign w:val="center"/>
            <w:hideMark/>
          </w:tcPr>
          <w:p w14:paraId="003BCB57" w14:textId="77777777" w:rsidR="00BA7C7F" w:rsidRPr="006F4BBB" w:rsidRDefault="00BA7C7F" w:rsidP="00BA7C7F">
            <w:pPr>
              <w:jc w:val="center"/>
              <w:rPr>
                <w:rFonts w:ascii="Arial Narrow" w:hAnsi="Arial Narrow" w:cs="Calibri"/>
                <w:b/>
                <w:bCs/>
                <w:color w:val="000000"/>
                <w:sz w:val="20"/>
                <w:szCs w:val="20"/>
              </w:rPr>
            </w:pPr>
            <w:r w:rsidRPr="006F4BBB">
              <w:rPr>
                <w:rFonts w:ascii="Arial Narrow" w:hAnsi="Arial Narrow" w:cs="Calibri"/>
                <w:b/>
                <w:bCs/>
                <w:color w:val="000000"/>
                <w:sz w:val="20"/>
                <w:szCs w:val="20"/>
              </w:rPr>
              <w:t>над/ха, бр.</w:t>
            </w:r>
          </w:p>
        </w:tc>
        <w:tc>
          <w:tcPr>
            <w:tcW w:w="1596" w:type="dxa"/>
            <w:vMerge/>
            <w:tcBorders>
              <w:left w:val="single" w:sz="4" w:space="0" w:color="auto"/>
              <w:bottom w:val="single" w:sz="4" w:space="0" w:color="auto"/>
              <w:right w:val="single" w:sz="4" w:space="0" w:color="auto"/>
            </w:tcBorders>
            <w:vAlign w:val="center"/>
            <w:hideMark/>
          </w:tcPr>
          <w:p w14:paraId="10F4739E" w14:textId="77777777" w:rsidR="00BA7C7F" w:rsidRPr="006F4BBB" w:rsidRDefault="00BA7C7F" w:rsidP="00BA7C7F">
            <w:pPr>
              <w:rPr>
                <w:rFonts w:ascii="Arial Narrow" w:hAnsi="Arial Narrow" w:cs="Calibri"/>
                <w:b/>
                <w:bCs/>
                <w:color w:val="000000"/>
                <w:sz w:val="20"/>
                <w:szCs w:val="20"/>
              </w:rPr>
            </w:pPr>
          </w:p>
        </w:tc>
      </w:tr>
      <w:tr w:rsidR="00BA7C7F" w:rsidRPr="00C57ABA" w14:paraId="02DBED47" w14:textId="77777777" w:rsidTr="00B37935">
        <w:trPr>
          <w:trHeight w:val="308"/>
        </w:trPr>
        <w:tc>
          <w:tcPr>
            <w:tcW w:w="2207" w:type="dxa"/>
            <w:tcBorders>
              <w:top w:val="nil"/>
              <w:left w:val="single" w:sz="4" w:space="0" w:color="auto"/>
              <w:bottom w:val="single" w:sz="4" w:space="0" w:color="auto"/>
              <w:right w:val="single" w:sz="4" w:space="0" w:color="auto"/>
            </w:tcBorders>
            <w:shd w:val="clear" w:color="auto" w:fill="auto"/>
            <w:vAlign w:val="center"/>
            <w:hideMark/>
          </w:tcPr>
          <w:p w14:paraId="74FBCB15" w14:textId="77777777" w:rsidR="00BA7C7F" w:rsidRPr="00022A0B" w:rsidRDefault="00BA7C7F" w:rsidP="00BA7C7F">
            <w:pPr>
              <w:rPr>
                <w:rFonts w:ascii="Arial Narrow" w:hAnsi="Arial Narrow" w:cs="Calibri"/>
                <w:color w:val="000000"/>
                <w:sz w:val="20"/>
                <w:szCs w:val="20"/>
              </w:rPr>
            </w:pPr>
            <w:r w:rsidRPr="00022A0B">
              <w:rPr>
                <w:rFonts w:ascii="Arial Narrow" w:hAnsi="Arial Narrow" w:cs="Calibri"/>
                <w:color w:val="000000"/>
                <w:sz w:val="20"/>
                <w:szCs w:val="20"/>
              </w:rPr>
              <w:t>ОПДУ</w:t>
            </w:r>
          </w:p>
        </w:tc>
        <w:tc>
          <w:tcPr>
            <w:tcW w:w="1741" w:type="dxa"/>
            <w:tcBorders>
              <w:top w:val="nil"/>
              <w:left w:val="nil"/>
              <w:bottom w:val="single" w:sz="4" w:space="0" w:color="auto"/>
              <w:right w:val="single" w:sz="4" w:space="0" w:color="auto"/>
            </w:tcBorders>
            <w:shd w:val="clear" w:color="auto" w:fill="auto"/>
            <w:noWrap/>
            <w:vAlign w:val="center"/>
            <w:hideMark/>
          </w:tcPr>
          <w:p w14:paraId="7AAAD84C" w14:textId="77777777" w:rsidR="00BA7C7F" w:rsidRPr="00022A0B" w:rsidRDefault="00BA7C7F" w:rsidP="00BA7C7F">
            <w:pPr>
              <w:jc w:val="right"/>
              <w:rPr>
                <w:rFonts w:ascii="Arial Narrow" w:hAnsi="Arial Narrow" w:cs="Calibri"/>
                <w:color w:val="000000"/>
                <w:sz w:val="20"/>
                <w:szCs w:val="20"/>
              </w:rPr>
            </w:pPr>
            <w:r w:rsidRPr="00022A0B">
              <w:rPr>
                <w:rFonts w:ascii="Arial Narrow" w:hAnsi="Arial Narrow" w:cs="Calibri"/>
                <w:color w:val="000000"/>
                <w:sz w:val="20"/>
                <w:szCs w:val="20"/>
              </w:rPr>
              <w:t>758 141 798</w:t>
            </w:r>
          </w:p>
        </w:tc>
        <w:tc>
          <w:tcPr>
            <w:tcW w:w="1452" w:type="dxa"/>
            <w:tcBorders>
              <w:top w:val="nil"/>
              <w:left w:val="nil"/>
              <w:bottom w:val="single" w:sz="4" w:space="0" w:color="auto"/>
              <w:right w:val="single" w:sz="4" w:space="0" w:color="auto"/>
            </w:tcBorders>
            <w:shd w:val="clear" w:color="auto" w:fill="auto"/>
            <w:vAlign w:val="center"/>
            <w:hideMark/>
          </w:tcPr>
          <w:p w14:paraId="0738CEC7" w14:textId="77777777" w:rsidR="00BA7C7F" w:rsidRPr="00022A0B" w:rsidRDefault="00BA7C7F" w:rsidP="00BA7C7F">
            <w:pPr>
              <w:jc w:val="right"/>
              <w:rPr>
                <w:rFonts w:ascii="Arial Narrow" w:hAnsi="Arial Narrow" w:cs="Calibri"/>
                <w:color w:val="000000"/>
                <w:sz w:val="20"/>
                <w:szCs w:val="20"/>
              </w:rPr>
            </w:pPr>
            <w:r w:rsidRPr="00022A0B">
              <w:rPr>
                <w:rFonts w:ascii="Arial Narrow" w:hAnsi="Arial Narrow" w:cs="Calibri"/>
                <w:color w:val="000000"/>
                <w:sz w:val="20"/>
                <w:szCs w:val="20"/>
              </w:rPr>
              <w:t>52 197</w:t>
            </w:r>
          </w:p>
        </w:tc>
        <w:tc>
          <w:tcPr>
            <w:tcW w:w="2758" w:type="dxa"/>
            <w:gridSpan w:val="2"/>
            <w:tcBorders>
              <w:top w:val="single" w:sz="4" w:space="0" w:color="auto"/>
              <w:left w:val="nil"/>
              <w:bottom w:val="single" w:sz="4" w:space="0" w:color="auto"/>
              <w:right w:val="single" w:sz="4" w:space="0" w:color="auto"/>
            </w:tcBorders>
            <w:shd w:val="clear" w:color="auto" w:fill="auto"/>
            <w:vAlign w:val="center"/>
            <w:hideMark/>
          </w:tcPr>
          <w:p w14:paraId="296162D0" w14:textId="77777777" w:rsidR="00BA7C7F" w:rsidRPr="00022A0B" w:rsidRDefault="00BA7C7F" w:rsidP="00BA7C7F">
            <w:pPr>
              <w:jc w:val="center"/>
              <w:rPr>
                <w:rFonts w:ascii="Arial Narrow" w:hAnsi="Arial Narrow" w:cs="Calibri"/>
                <w:color w:val="000000"/>
                <w:sz w:val="20"/>
                <w:szCs w:val="20"/>
              </w:rPr>
            </w:pPr>
            <w:r w:rsidRPr="00022A0B">
              <w:rPr>
                <w:rFonts w:ascii="Arial Narrow" w:hAnsi="Arial Narrow" w:cs="Calibri"/>
                <w:color w:val="000000"/>
                <w:sz w:val="20"/>
                <w:szCs w:val="20"/>
              </w:rPr>
              <w:t>199,30</w:t>
            </w:r>
          </w:p>
        </w:tc>
        <w:tc>
          <w:tcPr>
            <w:tcW w:w="1596" w:type="dxa"/>
            <w:tcBorders>
              <w:top w:val="nil"/>
              <w:left w:val="nil"/>
              <w:bottom w:val="single" w:sz="4" w:space="0" w:color="auto"/>
              <w:right w:val="single" w:sz="4" w:space="0" w:color="auto"/>
            </w:tcBorders>
            <w:shd w:val="clear" w:color="auto" w:fill="auto"/>
            <w:noWrap/>
            <w:vAlign w:val="center"/>
            <w:hideMark/>
          </w:tcPr>
          <w:p w14:paraId="18189A16" w14:textId="77777777" w:rsidR="00BA7C7F" w:rsidRPr="00022A0B" w:rsidRDefault="00BA7C7F" w:rsidP="00BA7C7F">
            <w:pPr>
              <w:jc w:val="right"/>
              <w:rPr>
                <w:rFonts w:ascii="Arial Narrow" w:hAnsi="Arial Narrow" w:cs="Calibri"/>
                <w:color w:val="000000"/>
                <w:sz w:val="20"/>
                <w:szCs w:val="20"/>
              </w:rPr>
            </w:pPr>
            <w:r w:rsidRPr="00022A0B">
              <w:rPr>
                <w:rFonts w:ascii="Arial Narrow" w:hAnsi="Arial Narrow" w:cs="Calibri"/>
                <w:color w:val="000000"/>
                <w:sz w:val="20"/>
                <w:szCs w:val="20"/>
              </w:rPr>
              <w:t>750 654 132</w:t>
            </w:r>
          </w:p>
        </w:tc>
      </w:tr>
      <w:tr w:rsidR="00BA7C7F" w:rsidRPr="00C57ABA" w14:paraId="42D14290" w14:textId="77777777" w:rsidTr="00B37935">
        <w:trPr>
          <w:trHeight w:val="308"/>
        </w:trPr>
        <w:tc>
          <w:tcPr>
            <w:tcW w:w="2207" w:type="dxa"/>
            <w:tcBorders>
              <w:top w:val="nil"/>
              <w:left w:val="single" w:sz="4" w:space="0" w:color="auto"/>
              <w:bottom w:val="single" w:sz="4" w:space="0" w:color="auto"/>
              <w:right w:val="single" w:sz="4" w:space="0" w:color="auto"/>
            </w:tcBorders>
            <w:shd w:val="clear" w:color="auto" w:fill="auto"/>
            <w:vAlign w:val="center"/>
            <w:hideMark/>
          </w:tcPr>
          <w:p w14:paraId="4A2A6182" w14:textId="77777777" w:rsidR="00BA7C7F" w:rsidRPr="00022A0B" w:rsidRDefault="00BA7C7F" w:rsidP="00BA7C7F">
            <w:pPr>
              <w:rPr>
                <w:rFonts w:ascii="Arial Narrow" w:hAnsi="Arial Narrow" w:cs="Calibri"/>
                <w:color w:val="000000"/>
                <w:sz w:val="20"/>
                <w:szCs w:val="20"/>
              </w:rPr>
            </w:pPr>
            <w:r w:rsidRPr="00022A0B">
              <w:rPr>
                <w:rFonts w:ascii="Arial Narrow" w:hAnsi="Arial Narrow" w:cs="Calibri"/>
                <w:color w:val="000000"/>
                <w:sz w:val="20"/>
                <w:szCs w:val="20"/>
              </w:rPr>
              <w:t>ДП-ОПДУ***</w:t>
            </w:r>
          </w:p>
        </w:tc>
        <w:tc>
          <w:tcPr>
            <w:tcW w:w="1741" w:type="dxa"/>
            <w:tcBorders>
              <w:top w:val="nil"/>
              <w:left w:val="nil"/>
              <w:bottom w:val="single" w:sz="4" w:space="0" w:color="auto"/>
              <w:right w:val="single" w:sz="4" w:space="0" w:color="auto"/>
            </w:tcBorders>
            <w:shd w:val="clear" w:color="auto" w:fill="auto"/>
            <w:noWrap/>
            <w:vAlign w:val="center"/>
            <w:hideMark/>
          </w:tcPr>
          <w:p w14:paraId="56EB9237" w14:textId="77777777" w:rsidR="00BA7C7F" w:rsidRPr="00022A0B" w:rsidRDefault="00BA7C7F" w:rsidP="00BA7C7F">
            <w:pPr>
              <w:jc w:val="right"/>
              <w:rPr>
                <w:rFonts w:ascii="Arial Narrow" w:hAnsi="Arial Narrow" w:cs="Calibri"/>
                <w:color w:val="000000"/>
                <w:sz w:val="20"/>
                <w:szCs w:val="20"/>
              </w:rPr>
            </w:pPr>
            <w:r w:rsidRPr="00022A0B">
              <w:rPr>
                <w:rFonts w:ascii="Arial Narrow" w:hAnsi="Arial Narrow" w:cs="Calibri"/>
                <w:color w:val="000000"/>
                <w:sz w:val="20"/>
                <w:szCs w:val="20"/>
              </w:rPr>
              <w:t>182 718 934</w:t>
            </w:r>
          </w:p>
        </w:tc>
        <w:tc>
          <w:tcPr>
            <w:tcW w:w="1452" w:type="dxa"/>
            <w:tcBorders>
              <w:top w:val="nil"/>
              <w:left w:val="nil"/>
              <w:bottom w:val="single" w:sz="4" w:space="0" w:color="auto"/>
              <w:right w:val="single" w:sz="4" w:space="0" w:color="auto"/>
            </w:tcBorders>
            <w:shd w:val="clear" w:color="auto" w:fill="auto"/>
            <w:vAlign w:val="center"/>
            <w:hideMark/>
          </w:tcPr>
          <w:p w14:paraId="26553E98" w14:textId="77777777" w:rsidR="00BA7C7F" w:rsidRPr="00022A0B" w:rsidRDefault="00BA7C7F" w:rsidP="00BA7C7F">
            <w:pPr>
              <w:jc w:val="right"/>
              <w:rPr>
                <w:rFonts w:ascii="Arial Narrow" w:hAnsi="Arial Narrow" w:cs="Calibri"/>
                <w:color w:val="000000"/>
                <w:sz w:val="20"/>
                <w:szCs w:val="20"/>
              </w:rPr>
            </w:pPr>
            <w:r w:rsidRPr="00022A0B">
              <w:rPr>
                <w:rFonts w:ascii="Arial Narrow" w:hAnsi="Arial Narrow" w:cs="Calibri"/>
                <w:color w:val="000000"/>
                <w:sz w:val="20"/>
                <w:szCs w:val="20"/>
              </w:rPr>
              <w:t>44 797</w:t>
            </w:r>
          </w:p>
        </w:tc>
        <w:tc>
          <w:tcPr>
            <w:tcW w:w="2758" w:type="dxa"/>
            <w:gridSpan w:val="2"/>
            <w:tcBorders>
              <w:top w:val="single" w:sz="4" w:space="0" w:color="auto"/>
              <w:left w:val="nil"/>
              <w:bottom w:val="single" w:sz="4" w:space="0" w:color="auto"/>
              <w:right w:val="single" w:sz="4" w:space="0" w:color="auto"/>
            </w:tcBorders>
            <w:shd w:val="clear" w:color="auto" w:fill="auto"/>
            <w:vAlign w:val="center"/>
            <w:hideMark/>
          </w:tcPr>
          <w:p w14:paraId="2F4F154D" w14:textId="77777777" w:rsidR="00BA7C7F" w:rsidRPr="00022A0B" w:rsidRDefault="00BA7C7F" w:rsidP="00BA7C7F">
            <w:pPr>
              <w:jc w:val="center"/>
              <w:rPr>
                <w:rFonts w:ascii="Arial Narrow" w:hAnsi="Arial Narrow" w:cs="Calibri"/>
                <w:color w:val="000000"/>
                <w:sz w:val="20"/>
                <w:szCs w:val="20"/>
              </w:rPr>
            </w:pPr>
            <w:r w:rsidRPr="00022A0B">
              <w:rPr>
                <w:rFonts w:ascii="Arial Narrow" w:hAnsi="Arial Narrow" w:cs="Calibri"/>
                <w:color w:val="000000"/>
                <w:sz w:val="20"/>
                <w:szCs w:val="20"/>
              </w:rPr>
              <w:t>231,82</w:t>
            </w:r>
          </w:p>
        </w:tc>
        <w:tc>
          <w:tcPr>
            <w:tcW w:w="1596" w:type="dxa"/>
            <w:tcBorders>
              <w:top w:val="nil"/>
              <w:left w:val="nil"/>
              <w:bottom w:val="single" w:sz="4" w:space="0" w:color="auto"/>
              <w:right w:val="single" w:sz="4" w:space="0" w:color="auto"/>
            </w:tcBorders>
            <w:shd w:val="clear" w:color="auto" w:fill="auto"/>
            <w:noWrap/>
            <w:vAlign w:val="center"/>
            <w:hideMark/>
          </w:tcPr>
          <w:p w14:paraId="07F0FAC6" w14:textId="77777777" w:rsidR="00BA7C7F" w:rsidRPr="00022A0B" w:rsidRDefault="00BA7C7F" w:rsidP="00BA7C7F">
            <w:pPr>
              <w:jc w:val="right"/>
              <w:rPr>
                <w:rFonts w:ascii="Arial Narrow" w:hAnsi="Arial Narrow" w:cs="Calibri"/>
                <w:color w:val="000000"/>
                <w:sz w:val="20"/>
                <w:szCs w:val="20"/>
              </w:rPr>
            </w:pPr>
            <w:r w:rsidRPr="00022A0B">
              <w:rPr>
                <w:rFonts w:ascii="Arial Narrow" w:hAnsi="Arial Narrow" w:cs="Calibri"/>
                <w:color w:val="000000"/>
                <w:sz w:val="20"/>
                <w:szCs w:val="20"/>
              </w:rPr>
              <w:t>163 464 352</w:t>
            </w:r>
          </w:p>
        </w:tc>
      </w:tr>
      <w:tr w:rsidR="00BA7C7F" w:rsidRPr="00C57ABA" w14:paraId="5595DF2D" w14:textId="77777777" w:rsidTr="00B37935">
        <w:trPr>
          <w:trHeight w:val="308"/>
        </w:trPr>
        <w:tc>
          <w:tcPr>
            <w:tcW w:w="2207" w:type="dxa"/>
            <w:tcBorders>
              <w:top w:val="nil"/>
              <w:left w:val="single" w:sz="4" w:space="0" w:color="auto"/>
              <w:bottom w:val="single" w:sz="4" w:space="0" w:color="auto"/>
              <w:right w:val="single" w:sz="4" w:space="0" w:color="auto"/>
            </w:tcBorders>
            <w:shd w:val="clear" w:color="auto" w:fill="auto"/>
            <w:vAlign w:val="center"/>
            <w:hideMark/>
          </w:tcPr>
          <w:p w14:paraId="70F376D6" w14:textId="77777777" w:rsidR="00BA7C7F" w:rsidRPr="00022A0B" w:rsidRDefault="00BA7C7F" w:rsidP="00BA7C7F">
            <w:pPr>
              <w:rPr>
                <w:rFonts w:ascii="Arial Narrow" w:hAnsi="Arial Narrow" w:cs="Calibri"/>
                <w:color w:val="000000"/>
                <w:sz w:val="20"/>
                <w:szCs w:val="20"/>
              </w:rPr>
            </w:pPr>
            <w:r w:rsidRPr="00022A0B">
              <w:rPr>
                <w:rFonts w:ascii="Arial Narrow" w:hAnsi="Arial Narrow" w:cs="Calibri"/>
                <w:color w:val="000000"/>
                <w:sz w:val="20"/>
                <w:szCs w:val="20"/>
              </w:rPr>
              <w:t>ДЗС</w:t>
            </w:r>
          </w:p>
        </w:tc>
        <w:tc>
          <w:tcPr>
            <w:tcW w:w="1741" w:type="dxa"/>
            <w:tcBorders>
              <w:top w:val="nil"/>
              <w:left w:val="nil"/>
              <w:bottom w:val="single" w:sz="4" w:space="0" w:color="auto"/>
              <w:right w:val="single" w:sz="4" w:space="0" w:color="auto"/>
            </w:tcBorders>
            <w:shd w:val="clear" w:color="auto" w:fill="auto"/>
            <w:noWrap/>
            <w:vAlign w:val="center"/>
            <w:hideMark/>
          </w:tcPr>
          <w:p w14:paraId="4722D87E" w14:textId="77777777" w:rsidR="00BA7C7F" w:rsidRPr="00022A0B" w:rsidRDefault="00BA7C7F" w:rsidP="00BA7C7F">
            <w:pPr>
              <w:jc w:val="right"/>
              <w:rPr>
                <w:rFonts w:ascii="Arial Narrow" w:hAnsi="Arial Narrow" w:cs="Calibri"/>
                <w:color w:val="000000"/>
                <w:sz w:val="20"/>
                <w:szCs w:val="20"/>
              </w:rPr>
            </w:pPr>
            <w:r w:rsidRPr="00022A0B">
              <w:rPr>
                <w:rFonts w:ascii="Arial Narrow" w:hAnsi="Arial Narrow" w:cs="Calibri"/>
                <w:color w:val="000000"/>
                <w:sz w:val="20"/>
                <w:szCs w:val="20"/>
              </w:rPr>
              <w:t>14 233 335</w:t>
            </w:r>
          </w:p>
        </w:tc>
        <w:tc>
          <w:tcPr>
            <w:tcW w:w="1452" w:type="dxa"/>
            <w:tcBorders>
              <w:top w:val="nil"/>
              <w:left w:val="nil"/>
              <w:bottom w:val="single" w:sz="4" w:space="0" w:color="auto"/>
              <w:right w:val="single" w:sz="4" w:space="0" w:color="auto"/>
            </w:tcBorders>
            <w:shd w:val="clear" w:color="auto" w:fill="auto"/>
            <w:vAlign w:val="center"/>
            <w:hideMark/>
          </w:tcPr>
          <w:p w14:paraId="1ED83138" w14:textId="77777777" w:rsidR="00BA7C7F" w:rsidRPr="00022A0B" w:rsidRDefault="00BA7C7F" w:rsidP="00BA7C7F">
            <w:pPr>
              <w:jc w:val="right"/>
              <w:rPr>
                <w:rFonts w:ascii="Arial Narrow" w:hAnsi="Arial Narrow" w:cs="Calibri"/>
                <w:color w:val="000000"/>
                <w:sz w:val="20"/>
                <w:szCs w:val="20"/>
              </w:rPr>
            </w:pPr>
            <w:r w:rsidRPr="00022A0B">
              <w:rPr>
                <w:rFonts w:ascii="Arial Narrow" w:hAnsi="Arial Narrow" w:cs="Calibri"/>
                <w:color w:val="000000"/>
                <w:sz w:val="20"/>
                <w:szCs w:val="20"/>
              </w:rPr>
              <w:t>5 944</w:t>
            </w:r>
          </w:p>
        </w:tc>
        <w:tc>
          <w:tcPr>
            <w:tcW w:w="2758" w:type="dxa"/>
            <w:gridSpan w:val="2"/>
            <w:tcBorders>
              <w:top w:val="single" w:sz="4" w:space="0" w:color="auto"/>
              <w:left w:val="nil"/>
              <w:bottom w:val="single" w:sz="4" w:space="0" w:color="auto"/>
              <w:right w:val="single" w:sz="4" w:space="0" w:color="auto"/>
            </w:tcBorders>
            <w:shd w:val="clear" w:color="auto" w:fill="auto"/>
            <w:vAlign w:val="center"/>
            <w:hideMark/>
          </w:tcPr>
          <w:p w14:paraId="66E4E3D8" w14:textId="77777777" w:rsidR="00BA7C7F" w:rsidRPr="00022A0B" w:rsidRDefault="00BA7C7F" w:rsidP="00BA7C7F">
            <w:pPr>
              <w:jc w:val="center"/>
              <w:rPr>
                <w:rFonts w:ascii="Arial Narrow" w:hAnsi="Arial Narrow" w:cs="Calibri"/>
                <w:color w:val="000000"/>
                <w:sz w:val="20"/>
                <w:szCs w:val="20"/>
              </w:rPr>
            </w:pPr>
            <w:r w:rsidRPr="00022A0B">
              <w:rPr>
                <w:rFonts w:ascii="Arial Narrow" w:hAnsi="Arial Narrow" w:cs="Calibri"/>
                <w:color w:val="000000"/>
                <w:sz w:val="20"/>
                <w:szCs w:val="20"/>
              </w:rPr>
              <w:t>2 444,75</w:t>
            </w:r>
          </w:p>
        </w:tc>
        <w:tc>
          <w:tcPr>
            <w:tcW w:w="1596" w:type="dxa"/>
            <w:tcBorders>
              <w:top w:val="nil"/>
              <w:left w:val="nil"/>
              <w:bottom w:val="single" w:sz="4" w:space="0" w:color="auto"/>
              <w:right w:val="single" w:sz="4" w:space="0" w:color="auto"/>
            </w:tcBorders>
            <w:shd w:val="clear" w:color="auto" w:fill="auto"/>
            <w:noWrap/>
            <w:vAlign w:val="center"/>
            <w:hideMark/>
          </w:tcPr>
          <w:p w14:paraId="7605BFA4" w14:textId="77777777" w:rsidR="00BA7C7F" w:rsidRPr="00022A0B" w:rsidRDefault="00BA7C7F" w:rsidP="00BA7C7F">
            <w:pPr>
              <w:jc w:val="right"/>
              <w:rPr>
                <w:rFonts w:ascii="Arial Narrow" w:hAnsi="Arial Narrow" w:cs="Calibri"/>
                <w:color w:val="000000"/>
                <w:sz w:val="20"/>
                <w:szCs w:val="20"/>
              </w:rPr>
            </w:pPr>
            <w:r w:rsidRPr="00022A0B">
              <w:rPr>
                <w:rFonts w:ascii="Arial Narrow" w:hAnsi="Arial Narrow" w:cs="Calibri"/>
                <w:color w:val="000000"/>
                <w:sz w:val="20"/>
                <w:szCs w:val="20"/>
              </w:rPr>
              <w:t>14 203 998</w:t>
            </w:r>
          </w:p>
        </w:tc>
      </w:tr>
      <w:tr w:rsidR="00BA7C7F" w:rsidRPr="00C57ABA" w14:paraId="09F2D188" w14:textId="77777777" w:rsidTr="00B37935">
        <w:trPr>
          <w:trHeight w:val="308"/>
        </w:trPr>
        <w:tc>
          <w:tcPr>
            <w:tcW w:w="2207" w:type="dxa"/>
            <w:tcBorders>
              <w:top w:val="nil"/>
              <w:left w:val="single" w:sz="4" w:space="0" w:color="auto"/>
              <w:bottom w:val="single" w:sz="4" w:space="0" w:color="auto"/>
              <w:right w:val="single" w:sz="4" w:space="0" w:color="auto"/>
            </w:tcBorders>
            <w:shd w:val="clear" w:color="auto" w:fill="auto"/>
            <w:vAlign w:val="center"/>
            <w:hideMark/>
          </w:tcPr>
          <w:p w14:paraId="719FB110" w14:textId="77777777" w:rsidR="00BA7C7F" w:rsidRPr="00022A0B" w:rsidRDefault="00BA7C7F" w:rsidP="00BA7C7F">
            <w:pPr>
              <w:rPr>
                <w:rFonts w:ascii="Arial Narrow" w:hAnsi="Arial Narrow" w:cs="Calibri"/>
                <w:color w:val="000000"/>
                <w:sz w:val="20"/>
                <w:szCs w:val="20"/>
              </w:rPr>
            </w:pPr>
            <w:r w:rsidRPr="00022A0B">
              <w:rPr>
                <w:rFonts w:ascii="Arial Narrow" w:hAnsi="Arial Narrow" w:cs="Calibri"/>
                <w:color w:val="000000"/>
                <w:sz w:val="20"/>
                <w:szCs w:val="20"/>
              </w:rPr>
              <w:lastRenderedPageBreak/>
              <w:t>МЗС</w:t>
            </w:r>
          </w:p>
        </w:tc>
        <w:tc>
          <w:tcPr>
            <w:tcW w:w="1741" w:type="dxa"/>
            <w:tcBorders>
              <w:top w:val="nil"/>
              <w:left w:val="nil"/>
              <w:bottom w:val="single" w:sz="4" w:space="0" w:color="auto"/>
              <w:right w:val="single" w:sz="4" w:space="0" w:color="auto"/>
            </w:tcBorders>
            <w:shd w:val="clear" w:color="auto" w:fill="auto"/>
            <w:noWrap/>
            <w:vAlign w:val="center"/>
            <w:hideMark/>
          </w:tcPr>
          <w:p w14:paraId="1658AC59" w14:textId="77777777" w:rsidR="00BA7C7F" w:rsidRPr="00022A0B" w:rsidRDefault="00BA7C7F" w:rsidP="00BA7C7F">
            <w:pPr>
              <w:jc w:val="right"/>
              <w:rPr>
                <w:rFonts w:ascii="Arial Narrow" w:hAnsi="Arial Narrow" w:cs="Calibri"/>
                <w:color w:val="000000"/>
                <w:sz w:val="20"/>
                <w:szCs w:val="20"/>
              </w:rPr>
            </w:pPr>
            <w:r w:rsidRPr="00022A0B">
              <w:rPr>
                <w:rFonts w:ascii="Arial Narrow" w:hAnsi="Arial Narrow" w:cs="Calibri"/>
                <w:color w:val="000000"/>
                <w:sz w:val="20"/>
                <w:szCs w:val="20"/>
              </w:rPr>
              <w:t>23 895 573</w:t>
            </w:r>
          </w:p>
        </w:tc>
        <w:tc>
          <w:tcPr>
            <w:tcW w:w="1452" w:type="dxa"/>
            <w:tcBorders>
              <w:top w:val="nil"/>
              <w:left w:val="nil"/>
              <w:bottom w:val="single" w:sz="4" w:space="0" w:color="auto"/>
              <w:right w:val="single" w:sz="4" w:space="0" w:color="auto"/>
            </w:tcBorders>
            <w:shd w:val="clear" w:color="auto" w:fill="auto"/>
            <w:vAlign w:val="center"/>
            <w:hideMark/>
          </w:tcPr>
          <w:p w14:paraId="62D89DC8" w14:textId="77777777" w:rsidR="00BA7C7F" w:rsidRPr="00022A0B" w:rsidRDefault="00BA7C7F" w:rsidP="00BA7C7F">
            <w:pPr>
              <w:jc w:val="right"/>
              <w:rPr>
                <w:rFonts w:ascii="Arial Narrow" w:hAnsi="Arial Narrow" w:cs="Calibri"/>
                <w:color w:val="000000"/>
                <w:sz w:val="20"/>
                <w:szCs w:val="20"/>
              </w:rPr>
            </w:pPr>
            <w:r w:rsidRPr="00022A0B">
              <w:rPr>
                <w:rFonts w:ascii="Arial Narrow" w:hAnsi="Arial Narrow" w:cs="Calibri"/>
                <w:color w:val="000000"/>
                <w:sz w:val="20"/>
                <w:szCs w:val="20"/>
              </w:rPr>
              <w:t>2 058</w:t>
            </w:r>
          </w:p>
        </w:tc>
        <w:tc>
          <w:tcPr>
            <w:tcW w:w="2758" w:type="dxa"/>
            <w:gridSpan w:val="2"/>
            <w:tcBorders>
              <w:top w:val="single" w:sz="4" w:space="0" w:color="auto"/>
              <w:left w:val="nil"/>
              <w:bottom w:val="single" w:sz="4" w:space="0" w:color="auto"/>
              <w:right w:val="single" w:sz="4" w:space="0" w:color="auto"/>
            </w:tcBorders>
            <w:shd w:val="clear" w:color="auto" w:fill="auto"/>
            <w:vAlign w:val="center"/>
            <w:hideMark/>
          </w:tcPr>
          <w:p w14:paraId="2B29FE7D" w14:textId="77777777" w:rsidR="00BA7C7F" w:rsidRPr="00022A0B" w:rsidRDefault="00BA7C7F" w:rsidP="00BA7C7F">
            <w:pPr>
              <w:jc w:val="center"/>
              <w:rPr>
                <w:rFonts w:ascii="Arial Narrow" w:hAnsi="Arial Narrow" w:cs="Calibri"/>
                <w:color w:val="000000"/>
                <w:sz w:val="20"/>
                <w:szCs w:val="20"/>
              </w:rPr>
            </w:pPr>
            <w:r w:rsidRPr="00022A0B">
              <w:rPr>
                <w:rFonts w:ascii="Arial Narrow" w:hAnsi="Arial Narrow" w:cs="Calibri"/>
                <w:color w:val="000000"/>
                <w:sz w:val="20"/>
                <w:szCs w:val="20"/>
              </w:rPr>
              <w:t>219,51</w:t>
            </w:r>
          </w:p>
        </w:tc>
        <w:tc>
          <w:tcPr>
            <w:tcW w:w="1596" w:type="dxa"/>
            <w:tcBorders>
              <w:top w:val="nil"/>
              <w:left w:val="nil"/>
              <w:bottom w:val="single" w:sz="4" w:space="0" w:color="auto"/>
              <w:right w:val="single" w:sz="4" w:space="0" w:color="auto"/>
            </w:tcBorders>
            <w:shd w:val="clear" w:color="auto" w:fill="auto"/>
            <w:noWrap/>
            <w:vAlign w:val="center"/>
            <w:hideMark/>
          </w:tcPr>
          <w:p w14:paraId="0514CC6B" w14:textId="77777777" w:rsidR="00BA7C7F" w:rsidRPr="00022A0B" w:rsidRDefault="00BA7C7F" w:rsidP="00BA7C7F">
            <w:pPr>
              <w:jc w:val="right"/>
              <w:rPr>
                <w:rFonts w:ascii="Arial Narrow" w:hAnsi="Arial Narrow" w:cs="Calibri"/>
                <w:color w:val="000000"/>
                <w:sz w:val="20"/>
                <w:szCs w:val="20"/>
              </w:rPr>
            </w:pPr>
            <w:r w:rsidRPr="00022A0B">
              <w:rPr>
                <w:rFonts w:ascii="Arial Narrow" w:hAnsi="Arial Narrow" w:cs="Calibri"/>
                <w:color w:val="000000"/>
                <w:sz w:val="20"/>
                <w:szCs w:val="20"/>
              </w:rPr>
              <w:t>20 412 635</w:t>
            </w:r>
          </w:p>
        </w:tc>
      </w:tr>
      <w:tr w:rsidR="00BA7C7F" w:rsidRPr="00C57ABA" w14:paraId="062F2AE3" w14:textId="77777777" w:rsidTr="00B37935">
        <w:trPr>
          <w:trHeight w:val="308"/>
        </w:trPr>
        <w:tc>
          <w:tcPr>
            <w:tcW w:w="2207" w:type="dxa"/>
            <w:tcBorders>
              <w:top w:val="nil"/>
              <w:left w:val="single" w:sz="4" w:space="0" w:color="auto"/>
              <w:bottom w:val="single" w:sz="4" w:space="0" w:color="auto"/>
              <w:right w:val="single" w:sz="4" w:space="0" w:color="auto"/>
            </w:tcBorders>
            <w:shd w:val="clear" w:color="auto" w:fill="auto"/>
            <w:vAlign w:val="center"/>
            <w:hideMark/>
          </w:tcPr>
          <w:p w14:paraId="435D0BC6" w14:textId="77777777" w:rsidR="00BA7C7F" w:rsidRPr="00022A0B" w:rsidRDefault="00BA7C7F" w:rsidP="00BA7C7F">
            <w:pPr>
              <w:rPr>
                <w:rFonts w:ascii="Arial Narrow" w:hAnsi="Arial Narrow" w:cs="Calibri"/>
                <w:color w:val="000000"/>
                <w:sz w:val="20"/>
                <w:szCs w:val="20"/>
              </w:rPr>
            </w:pPr>
            <w:r w:rsidRPr="00022A0B">
              <w:rPr>
                <w:rFonts w:ascii="Arial Narrow" w:hAnsi="Arial Narrow" w:cs="Calibri"/>
                <w:color w:val="000000"/>
                <w:sz w:val="20"/>
                <w:szCs w:val="20"/>
              </w:rPr>
              <w:t>Памук</w:t>
            </w:r>
          </w:p>
        </w:tc>
        <w:tc>
          <w:tcPr>
            <w:tcW w:w="1741" w:type="dxa"/>
            <w:tcBorders>
              <w:top w:val="nil"/>
              <w:left w:val="nil"/>
              <w:bottom w:val="single" w:sz="4" w:space="0" w:color="auto"/>
              <w:right w:val="single" w:sz="4" w:space="0" w:color="auto"/>
            </w:tcBorders>
            <w:shd w:val="clear" w:color="auto" w:fill="auto"/>
            <w:noWrap/>
            <w:vAlign w:val="center"/>
            <w:hideMark/>
          </w:tcPr>
          <w:p w14:paraId="63997BB3" w14:textId="77777777" w:rsidR="00BA7C7F" w:rsidRPr="00022A0B" w:rsidRDefault="00BA7C7F" w:rsidP="00BA7C7F">
            <w:pPr>
              <w:jc w:val="right"/>
              <w:rPr>
                <w:rFonts w:ascii="Arial Narrow" w:hAnsi="Arial Narrow" w:cs="Calibri"/>
                <w:color w:val="000000"/>
                <w:sz w:val="20"/>
                <w:szCs w:val="20"/>
              </w:rPr>
            </w:pPr>
            <w:r w:rsidRPr="00022A0B">
              <w:rPr>
                <w:rFonts w:ascii="Arial Narrow" w:hAnsi="Arial Narrow" w:cs="Calibri"/>
                <w:color w:val="000000"/>
                <w:sz w:val="20"/>
                <w:szCs w:val="20"/>
              </w:rPr>
              <w:t>5 002 584</w:t>
            </w:r>
          </w:p>
        </w:tc>
        <w:tc>
          <w:tcPr>
            <w:tcW w:w="1452" w:type="dxa"/>
            <w:tcBorders>
              <w:top w:val="nil"/>
              <w:left w:val="nil"/>
              <w:bottom w:val="single" w:sz="4" w:space="0" w:color="auto"/>
              <w:right w:val="single" w:sz="4" w:space="0" w:color="auto"/>
            </w:tcBorders>
            <w:shd w:val="clear" w:color="auto" w:fill="auto"/>
            <w:vAlign w:val="center"/>
            <w:hideMark/>
          </w:tcPr>
          <w:p w14:paraId="122B7AE4" w14:textId="77777777" w:rsidR="00BA7C7F" w:rsidRPr="00022A0B" w:rsidRDefault="00BA7C7F" w:rsidP="00BA7C7F">
            <w:pPr>
              <w:jc w:val="right"/>
              <w:rPr>
                <w:rFonts w:ascii="Arial Narrow" w:hAnsi="Arial Narrow" w:cs="Calibri"/>
                <w:color w:val="000000"/>
                <w:sz w:val="20"/>
                <w:szCs w:val="20"/>
              </w:rPr>
            </w:pPr>
            <w:r w:rsidRPr="00022A0B">
              <w:rPr>
                <w:rFonts w:ascii="Arial Narrow" w:hAnsi="Arial Narrow" w:cs="Calibri"/>
                <w:color w:val="000000"/>
                <w:sz w:val="20"/>
                <w:szCs w:val="20"/>
              </w:rPr>
              <w:t>64</w:t>
            </w:r>
          </w:p>
        </w:tc>
        <w:tc>
          <w:tcPr>
            <w:tcW w:w="2758" w:type="dxa"/>
            <w:gridSpan w:val="2"/>
            <w:tcBorders>
              <w:top w:val="single" w:sz="4" w:space="0" w:color="auto"/>
              <w:left w:val="nil"/>
              <w:bottom w:val="single" w:sz="4" w:space="0" w:color="auto"/>
              <w:right w:val="single" w:sz="4" w:space="0" w:color="auto"/>
            </w:tcBorders>
            <w:shd w:val="clear" w:color="auto" w:fill="auto"/>
            <w:noWrap/>
            <w:vAlign w:val="center"/>
            <w:hideMark/>
          </w:tcPr>
          <w:p w14:paraId="29162FC8" w14:textId="77777777" w:rsidR="00BA7C7F" w:rsidRPr="00022A0B" w:rsidRDefault="00BA7C7F" w:rsidP="00BA7C7F">
            <w:pPr>
              <w:jc w:val="center"/>
              <w:rPr>
                <w:rFonts w:ascii="Arial Narrow" w:hAnsi="Arial Narrow" w:cs="Calibri"/>
                <w:color w:val="000000"/>
                <w:sz w:val="20"/>
                <w:szCs w:val="20"/>
              </w:rPr>
            </w:pPr>
            <w:r w:rsidRPr="00022A0B">
              <w:rPr>
                <w:rFonts w:ascii="Arial Narrow" w:hAnsi="Arial Narrow" w:cs="Calibri"/>
                <w:color w:val="000000"/>
                <w:sz w:val="20"/>
                <w:szCs w:val="20"/>
              </w:rPr>
              <w:t>1 492,96</w:t>
            </w:r>
          </w:p>
        </w:tc>
        <w:tc>
          <w:tcPr>
            <w:tcW w:w="1596" w:type="dxa"/>
            <w:tcBorders>
              <w:top w:val="nil"/>
              <w:left w:val="nil"/>
              <w:bottom w:val="single" w:sz="4" w:space="0" w:color="auto"/>
              <w:right w:val="single" w:sz="4" w:space="0" w:color="auto"/>
            </w:tcBorders>
            <w:shd w:val="clear" w:color="auto" w:fill="auto"/>
            <w:noWrap/>
            <w:vAlign w:val="center"/>
            <w:hideMark/>
          </w:tcPr>
          <w:p w14:paraId="5333D2EA" w14:textId="77777777" w:rsidR="00BA7C7F" w:rsidRPr="00022A0B" w:rsidRDefault="00BA7C7F" w:rsidP="00BA7C7F">
            <w:pPr>
              <w:jc w:val="right"/>
              <w:rPr>
                <w:rFonts w:ascii="Arial Narrow" w:hAnsi="Arial Narrow" w:cs="Calibri"/>
                <w:color w:val="000000"/>
                <w:sz w:val="20"/>
                <w:szCs w:val="20"/>
              </w:rPr>
            </w:pPr>
            <w:r w:rsidRPr="00022A0B">
              <w:rPr>
                <w:rFonts w:ascii="Arial Narrow" w:hAnsi="Arial Narrow" w:cs="Calibri"/>
                <w:color w:val="000000"/>
                <w:sz w:val="20"/>
                <w:szCs w:val="20"/>
              </w:rPr>
              <w:t>3 079 827</w:t>
            </w:r>
          </w:p>
        </w:tc>
      </w:tr>
      <w:tr w:rsidR="00BA7C7F" w:rsidRPr="00C57ABA" w14:paraId="7E9B16C8" w14:textId="77777777" w:rsidTr="00B37935">
        <w:trPr>
          <w:trHeight w:val="308"/>
        </w:trPr>
        <w:tc>
          <w:tcPr>
            <w:tcW w:w="2207" w:type="dxa"/>
            <w:tcBorders>
              <w:top w:val="nil"/>
              <w:left w:val="single" w:sz="4" w:space="0" w:color="auto"/>
              <w:bottom w:val="single" w:sz="4" w:space="0" w:color="auto"/>
              <w:right w:val="single" w:sz="4" w:space="0" w:color="auto"/>
            </w:tcBorders>
            <w:shd w:val="clear" w:color="auto" w:fill="auto"/>
            <w:vAlign w:val="center"/>
            <w:hideMark/>
          </w:tcPr>
          <w:p w14:paraId="5A8CEBB4" w14:textId="77777777" w:rsidR="00BA7C7F" w:rsidRPr="00022A0B" w:rsidRDefault="00BA7C7F" w:rsidP="00BA7C7F">
            <w:pPr>
              <w:rPr>
                <w:rFonts w:ascii="Arial Narrow" w:hAnsi="Arial Narrow" w:cs="Calibri"/>
                <w:color w:val="000000"/>
                <w:sz w:val="20"/>
                <w:szCs w:val="20"/>
              </w:rPr>
            </w:pPr>
            <w:r w:rsidRPr="00022A0B">
              <w:rPr>
                <w:rFonts w:ascii="Arial Narrow" w:hAnsi="Arial Narrow" w:cs="Calibri"/>
                <w:color w:val="000000"/>
                <w:sz w:val="20"/>
                <w:szCs w:val="20"/>
              </w:rPr>
              <w:t>Еко-БЖ</w:t>
            </w:r>
          </w:p>
        </w:tc>
        <w:tc>
          <w:tcPr>
            <w:tcW w:w="1741" w:type="dxa"/>
            <w:tcBorders>
              <w:top w:val="nil"/>
              <w:left w:val="nil"/>
              <w:bottom w:val="single" w:sz="4" w:space="0" w:color="auto"/>
              <w:right w:val="single" w:sz="4" w:space="0" w:color="auto"/>
            </w:tcBorders>
            <w:shd w:val="clear" w:color="auto" w:fill="auto"/>
            <w:noWrap/>
            <w:vAlign w:val="center"/>
            <w:hideMark/>
          </w:tcPr>
          <w:p w14:paraId="6B3B3CCB" w14:textId="77777777" w:rsidR="00BA7C7F" w:rsidRPr="00022A0B" w:rsidRDefault="00BA7C7F" w:rsidP="00BA7C7F">
            <w:pPr>
              <w:jc w:val="right"/>
              <w:rPr>
                <w:rFonts w:ascii="Arial Narrow" w:hAnsi="Arial Narrow" w:cs="Calibri"/>
                <w:color w:val="000000"/>
                <w:sz w:val="20"/>
                <w:szCs w:val="20"/>
              </w:rPr>
            </w:pPr>
            <w:r w:rsidRPr="00022A0B">
              <w:rPr>
                <w:rFonts w:ascii="Arial Narrow" w:hAnsi="Arial Narrow" w:cs="Calibri"/>
                <w:color w:val="000000"/>
                <w:sz w:val="20"/>
                <w:szCs w:val="20"/>
              </w:rPr>
              <w:t>14 382 673</w:t>
            </w:r>
          </w:p>
        </w:tc>
        <w:tc>
          <w:tcPr>
            <w:tcW w:w="1452" w:type="dxa"/>
            <w:tcBorders>
              <w:top w:val="nil"/>
              <w:left w:val="nil"/>
              <w:bottom w:val="single" w:sz="4" w:space="0" w:color="auto"/>
              <w:right w:val="single" w:sz="4" w:space="0" w:color="auto"/>
            </w:tcBorders>
            <w:shd w:val="clear" w:color="auto" w:fill="auto"/>
            <w:vAlign w:val="center"/>
            <w:hideMark/>
          </w:tcPr>
          <w:p w14:paraId="5A9820DF" w14:textId="77777777" w:rsidR="00BA7C7F" w:rsidRPr="00022A0B" w:rsidRDefault="00BA7C7F" w:rsidP="00BA7C7F">
            <w:pPr>
              <w:jc w:val="right"/>
              <w:rPr>
                <w:rFonts w:ascii="Arial Narrow" w:hAnsi="Arial Narrow" w:cs="Calibri"/>
                <w:color w:val="000000"/>
                <w:sz w:val="20"/>
                <w:szCs w:val="20"/>
              </w:rPr>
            </w:pPr>
            <w:r w:rsidRPr="00022A0B">
              <w:rPr>
                <w:rFonts w:ascii="Arial Narrow" w:hAnsi="Arial Narrow" w:cs="Calibri"/>
                <w:color w:val="000000"/>
                <w:sz w:val="20"/>
                <w:szCs w:val="20"/>
              </w:rPr>
              <w:t>339</w:t>
            </w:r>
          </w:p>
        </w:tc>
        <w:tc>
          <w:tcPr>
            <w:tcW w:w="2758" w:type="dxa"/>
            <w:gridSpan w:val="2"/>
            <w:tcBorders>
              <w:top w:val="single" w:sz="4" w:space="0" w:color="auto"/>
              <w:left w:val="nil"/>
              <w:bottom w:val="single" w:sz="4" w:space="0" w:color="auto"/>
              <w:right w:val="single" w:sz="4" w:space="0" w:color="auto"/>
            </w:tcBorders>
            <w:shd w:val="clear" w:color="auto" w:fill="auto"/>
            <w:vAlign w:val="center"/>
            <w:hideMark/>
          </w:tcPr>
          <w:p w14:paraId="1931DEDC" w14:textId="77777777" w:rsidR="00BA7C7F" w:rsidRPr="00022A0B" w:rsidRDefault="00BA7C7F" w:rsidP="00BA7C7F">
            <w:pPr>
              <w:jc w:val="center"/>
              <w:rPr>
                <w:rFonts w:ascii="Arial Narrow" w:hAnsi="Arial Narrow" w:cs="Calibri"/>
                <w:color w:val="000000"/>
                <w:sz w:val="20"/>
                <w:szCs w:val="20"/>
              </w:rPr>
            </w:pPr>
            <w:r w:rsidRPr="00022A0B">
              <w:rPr>
                <w:rFonts w:ascii="Arial Narrow" w:hAnsi="Arial Narrow" w:cs="Calibri"/>
                <w:color w:val="000000"/>
                <w:sz w:val="20"/>
                <w:szCs w:val="20"/>
              </w:rPr>
              <w:t>699,88</w:t>
            </w:r>
          </w:p>
        </w:tc>
        <w:tc>
          <w:tcPr>
            <w:tcW w:w="1596" w:type="dxa"/>
            <w:tcBorders>
              <w:top w:val="nil"/>
              <w:left w:val="nil"/>
              <w:bottom w:val="single" w:sz="4" w:space="0" w:color="auto"/>
              <w:right w:val="single" w:sz="4" w:space="0" w:color="auto"/>
            </w:tcBorders>
            <w:shd w:val="clear" w:color="auto" w:fill="auto"/>
            <w:noWrap/>
            <w:vAlign w:val="center"/>
            <w:hideMark/>
          </w:tcPr>
          <w:p w14:paraId="293F5B37" w14:textId="77777777" w:rsidR="00BA7C7F" w:rsidRPr="00022A0B" w:rsidRDefault="00BA7C7F" w:rsidP="00BA7C7F">
            <w:pPr>
              <w:jc w:val="right"/>
              <w:rPr>
                <w:rFonts w:ascii="Arial Narrow" w:hAnsi="Arial Narrow" w:cs="Calibri"/>
                <w:color w:val="000000"/>
                <w:sz w:val="20"/>
                <w:szCs w:val="20"/>
              </w:rPr>
            </w:pPr>
            <w:r w:rsidRPr="00022A0B">
              <w:rPr>
                <w:rFonts w:ascii="Arial Narrow" w:hAnsi="Arial Narrow" w:cs="Calibri"/>
                <w:color w:val="000000"/>
                <w:sz w:val="20"/>
                <w:szCs w:val="20"/>
              </w:rPr>
              <w:t>26 314 094</w:t>
            </w:r>
          </w:p>
        </w:tc>
      </w:tr>
      <w:tr w:rsidR="00BA7C7F" w:rsidRPr="00C57ABA" w14:paraId="3845D1B3" w14:textId="77777777" w:rsidTr="00B37935">
        <w:trPr>
          <w:trHeight w:val="308"/>
        </w:trPr>
        <w:tc>
          <w:tcPr>
            <w:tcW w:w="2207" w:type="dxa"/>
            <w:tcBorders>
              <w:top w:val="nil"/>
              <w:left w:val="single" w:sz="4" w:space="0" w:color="auto"/>
              <w:bottom w:val="single" w:sz="4" w:space="0" w:color="auto"/>
              <w:right w:val="single" w:sz="4" w:space="0" w:color="auto"/>
            </w:tcBorders>
            <w:shd w:val="clear" w:color="auto" w:fill="auto"/>
            <w:vAlign w:val="center"/>
            <w:hideMark/>
          </w:tcPr>
          <w:p w14:paraId="1EC5F3A4" w14:textId="77777777" w:rsidR="00BA7C7F" w:rsidRPr="00022A0B" w:rsidRDefault="00BA7C7F" w:rsidP="00BA7C7F">
            <w:pPr>
              <w:rPr>
                <w:rFonts w:ascii="Arial Narrow" w:hAnsi="Arial Narrow" w:cs="Calibri"/>
                <w:color w:val="000000"/>
                <w:sz w:val="20"/>
                <w:szCs w:val="20"/>
              </w:rPr>
            </w:pPr>
            <w:r w:rsidRPr="00022A0B">
              <w:rPr>
                <w:rFonts w:ascii="Arial Narrow" w:hAnsi="Arial Narrow" w:cs="Calibri"/>
                <w:color w:val="000000"/>
                <w:sz w:val="20"/>
                <w:szCs w:val="20"/>
              </w:rPr>
              <w:t>Еко-БРЕИ</w:t>
            </w:r>
          </w:p>
        </w:tc>
        <w:tc>
          <w:tcPr>
            <w:tcW w:w="1741" w:type="dxa"/>
            <w:tcBorders>
              <w:top w:val="nil"/>
              <w:left w:val="nil"/>
              <w:bottom w:val="single" w:sz="4" w:space="0" w:color="auto"/>
              <w:right w:val="single" w:sz="4" w:space="0" w:color="auto"/>
            </w:tcBorders>
            <w:shd w:val="clear" w:color="auto" w:fill="auto"/>
            <w:noWrap/>
            <w:vAlign w:val="center"/>
            <w:hideMark/>
          </w:tcPr>
          <w:p w14:paraId="2B208D28" w14:textId="77777777" w:rsidR="00BA7C7F" w:rsidRPr="00022A0B" w:rsidRDefault="00BA7C7F" w:rsidP="00BA7C7F">
            <w:pPr>
              <w:jc w:val="right"/>
              <w:rPr>
                <w:rFonts w:ascii="Arial Narrow" w:hAnsi="Arial Narrow" w:cs="Calibri"/>
                <w:color w:val="000000"/>
                <w:sz w:val="20"/>
                <w:szCs w:val="20"/>
              </w:rPr>
            </w:pPr>
            <w:r w:rsidRPr="00022A0B">
              <w:rPr>
                <w:rFonts w:ascii="Arial Narrow" w:hAnsi="Arial Narrow" w:cs="Calibri"/>
                <w:color w:val="000000"/>
                <w:sz w:val="20"/>
                <w:szCs w:val="20"/>
              </w:rPr>
              <w:t>8 551 537</w:t>
            </w:r>
          </w:p>
        </w:tc>
        <w:tc>
          <w:tcPr>
            <w:tcW w:w="1452" w:type="dxa"/>
            <w:tcBorders>
              <w:top w:val="nil"/>
              <w:left w:val="nil"/>
              <w:bottom w:val="single" w:sz="4" w:space="0" w:color="auto"/>
              <w:right w:val="single" w:sz="4" w:space="0" w:color="auto"/>
            </w:tcBorders>
            <w:shd w:val="clear" w:color="auto" w:fill="auto"/>
            <w:vAlign w:val="center"/>
            <w:hideMark/>
          </w:tcPr>
          <w:p w14:paraId="1AD40250" w14:textId="77777777" w:rsidR="00BA7C7F" w:rsidRPr="00022A0B" w:rsidRDefault="00BA7C7F" w:rsidP="00BA7C7F">
            <w:pPr>
              <w:jc w:val="right"/>
              <w:rPr>
                <w:rFonts w:ascii="Arial Narrow" w:hAnsi="Arial Narrow" w:cs="Calibri"/>
                <w:color w:val="000000"/>
                <w:sz w:val="20"/>
                <w:szCs w:val="20"/>
              </w:rPr>
            </w:pPr>
            <w:r w:rsidRPr="00022A0B">
              <w:rPr>
                <w:rFonts w:ascii="Arial Narrow" w:hAnsi="Arial Narrow" w:cs="Calibri"/>
                <w:color w:val="000000"/>
                <w:sz w:val="20"/>
                <w:szCs w:val="20"/>
              </w:rPr>
              <w:t>5 199</w:t>
            </w:r>
          </w:p>
        </w:tc>
        <w:tc>
          <w:tcPr>
            <w:tcW w:w="2758" w:type="dxa"/>
            <w:gridSpan w:val="2"/>
            <w:tcBorders>
              <w:top w:val="single" w:sz="4" w:space="0" w:color="auto"/>
              <w:left w:val="nil"/>
              <w:bottom w:val="single" w:sz="4" w:space="0" w:color="auto"/>
              <w:right w:val="single" w:sz="4" w:space="0" w:color="auto"/>
            </w:tcBorders>
            <w:shd w:val="clear" w:color="auto" w:fill="auto"/>
            <w:vAlign w:val="center"/>
            <w:hideMark/>
          </w:tcPr>
          <w:p w14:paraId="5269752D" w14:textId="77777777" w:rsidR="00BA7C7F" w:rsidRPr="00022A0B" w:rsidRDefault="00BA7C7F" w:rsidP="00BA7C7F">
            <w:pPr>
              <w:jc w:val="center"/>
              <w:rPr>
                <w:rFonts w:ascii="Arial Narrow" w:hAnsi="Arial Narrow" w:cs="Calibri"/>
                <w:color w:val="000000"/>
                <w:sz w:val="20"/>
                <w:szCs w:val="20"/>
              </w:rPr>
            </w:pPr>
            <w:r w:rsidRPr="00022A0B">
              <w:rPr>
                <w:rFonts w:ascii="Arial Narrow" w:hAnsi="Arial Narrow" w:cs="Calibri"/>
                <w:color w:val="000000"/>
                <w:sz w:val="20"/>
                <w:szCs w:val="20"/>
              </w:rPr>
              <w:t>-</w:t>
            </w:r>
          </w:p>
        </w:tc>
        <w:tc>
          <w:tcPr>
            <w:tcW w:w="1596" w:type="dxa"/>
            <w:tcBorders>
              <w:top w:val="nil"/>
              <w:left w:val="nil"/>
              <w:bottom w:val="single" w:sz="4" w:space="0" w:color="auto"/>
              <w:right w:val="single" w:sz="4" w:space="0" w:color="auto"/>
            </w:tcBorders>
            <w:shd w:val="clear" w:color="auto" w:fill="auto"/>
            <w:noWrap/>
            <w:vAlign w:val="center"/>
            <w:hideMark/>
          </w:tcPr>
          <w:p w14:paraId="32C12F71" w14:textId="77777777" w:rsidR="00BA7C7F" w:rsidRPr="00022A0B" w:rsidRDefault="00BA7C7F" w:rsidP="00BA7C7F">
            <w:pPr>
              <w:jc w:val="center"/>
              <w:rPr>
                <w:rFonts w:ascii="Arial Narrow" w:hAnsi="Arial Narrow" w:cs="Calibri"/>
                <w:color w:val="000000"/>
                <w:sz w:val="20"/>
                <w:szCs w:val="20"/>
              </w:rPr>
            </w:pPr>
            <w:r w:rsidRPr="00022A0B">
              <w:rPr>
                <w:rFonts w:ascii="Arial Narrow" w:hAnsi="Arial Narrow" w:cs="Calibri"/>
                <w:color w:val="000000"/>
                <w:sz w:val="20"/>
                <w:szCs w:val="20"/>
              </w:rPr>
              <w:t>-</w:t>
            </w:r>
          </w:p>
        </w:tc>
      </w:tr>
      <w:tr w:rsidR="00BA7C7F" w:rsidRPr="00C57ABA" w14:paraId="77BCACA7" w14:textId="77777777" w:rsidTr="00B37935">
        <w:trPr>
          <w:trHeight w:val="308"/>
        </w:trPr>
        <w:tc>
          <w:tcPr>
            <w:tcW w:w="2207" w:type="dxa"/>
            <w:tcBorders>
              <w:top w:val="nil"/>
              <w:left w:val="single" w:sz="4" w:space="0" w:color="auto"/>
              <w:bottom w:val="single" w:sz="4" w:space="0" w:color="auto"/>
              <w:right w:val="single" w:sz="4" w:space="0" w:color="auto"/>
            </w:tcBorders>
            <w:shd w:val="clear" w:color="auto" w:fill="auto"/>
            <w:vAlign w:val="center"/>
            <w:hideMark/>
          </w:tcPr>
          <w:p w14:paraId="698A9D16" w14:textId="77777777" w:rsidR="00BA7C7F" w:rsidRPr="00022A0B" w:rsidRDefault="00BA7C7F" w:rsidP="00BA7C7F">
            <w:pPr>
              <w:rPr>
                <w:rFonts w:ascii="Arial Narrow" w:hAnsi="Arial Narrow" w:cs="Calibri"/>
                <w:color w:val="000000"/>
                <w:sz w:val="20"/>
                <w:szCs w:val="20"/>
              </w:rPr>
            </w:pPr>
            <w:r w:rsidRPr="00022A0B">
              <w:rPr>
                <w:rFonts w:ascii="Arial Narrow" w:hAnsi="Arial Narrow" w:cs="Calibri"/>
                <w:color w:val="000000"/>
                <w:sz w:val="20"/>
                <w:szCs w:val="20"/>
              </w:rPr>
              <w:t>Еко-ЗВПП</w:t>
            </w:r>
          </w:p>
        </w:tc>
        <w:tc>
          <w:tcPr>
            <w:tcW w:w="1741" w:type="dxa"/>
            <w:tcBorders>
              <w:top w:val="nil"/>
              <w:left w:val="nil"/>
              <w:bottom w:val="single" w:sz="4" w:space="0" w:color="auto"/>
              <w:right w:val="single" w:sz="4" w:space="0" w:color="auto"/>
            </w:tcBorders>
            <w:shd w:val="clear" w:color="auto" w:fill="auto"/>
            <w:noWrap/>
            <w:vAlign w:val="center"/>
            <w:hideMark/>
          </w:tcPr>
          <w:p w14:paraId="05B945C3" w14:textId="77777777" w:rsidR="00BA7C7F" w:rsidRPr="00022A0B" w:rsidRDefault="00BA7C7F" w:rsidP="00BA7C7F">
            <w:pPr>
              <w:jc w:val="right"/>
              <w:rPr>
                <w:rFonts w:ascii="Arial Narrow" w:hAnsi="Arial Narrow" w:cs="Calibri"/>
                <w:color w:val="000000"/>
                <w:sz w:val="20"/>
                <w:szCs w:val="20"/>
              </w:rPr>
            </w:pPr>
            <w:r w:rsidRPr="00022A0B">
              <w:rPr>
                <w:rFonts w:ascii="Arial Narrow" w:hAnsi="Arial Narrow" w:cs="Calibri"/>
                <w:color w:val="000000"/>
                <w:sz w:val="20"/>
                <w:szCs w:val="20"/>
              </w:rPr>
              <w:t>78 407 659</w:t>
            </w:r>
          </w:p>
        </w:tc>
        <w:tc>
          <w:tcPr>
            <w:tcW w:w="1452" w:type="dxa"/>
            <w:tcBorders>
              <w:top w:val="nil"/>
              <w:left w:val="nil"/>
              <w:bottom w:val="single" w:sz="4" w:space="0" w:color="auto"/>
              <w:right w:val="single" w:sz="4" w:space="0" w:color="auto"/>
            </w:tcBorders>
            <w:shd w:val="clear" w:color="auto" w:fill="auto"/>
            <w:vAlign w:val="center"/>
            <w:hideMark/>
          </w:tcPr>
          <w:p w14:paraId="2FB60B7A" w14:textId="77777777" w:rsidR="00BA7C7F" w:rsidRPr="00022A0B" w:rsidRDefault="00BA7C7F" w:rsidP="00BA7C7F">
            <w:pPr>
              <w:jc w:val="right"/>
              <w:rPr>
                <w:rFonts w:ascii="Arial Narrow" w:hAnsi="Arial Narrow" w:cs="Calibri"/>
                <w:color w:val="000000"/>
                <w:sz w:val="20"/>
                <w:szCs w:val="20"/>
              </w:rPr>
            </w:pPr>
            <w:r w:rsidRPr="00022A0B">
              <w:rPr>
                <w:rFonts w:ascii="Arial Narrow" w:hAnsi="Arial Narrow" w:cs="Calibri"/>
                <w:color w:val="000000"/>
                <w:sz w:val="20"/>
                <w:szCs w:val="20"/>
              </w:rPr>
              <w:t>6 975</w:t>
            </w:r>
          </w:p>
        </w:tc>
        <w:tc>
          <w:tcPr>
            <w:tcW w:w="2758" w:type="dxa"/>
            <w:gridSpan w:val="2"/>
            <w:tcBorders>
              <w:top w:val="single" w:sz="4" w:space="0" w:color="auto"/>
              <w:left w:val="nil"/>
              <w:bottom w:val="single" w:sz="4" w:space="0" w:color="auto"/>
              <w:right w:val="single" w:sz="4" w:space="0" w:color="auto"/>
            </w:tcBorders>
            <w:shd w:val="clear" w:color="auto" w:fill="auto"/>
            <w:vAlign w:val="center"/>
            <w:hideMark/>
          </w:tcPr>
          <w:p w14:paraId="75E325A7" w14:textId="77777777" w:rsidR="00BA7C7F" w:rsidRPr="00022A0B" w:rsidRDefault="00BA7C7F" w:rsidP="00BA7C7F">
            <w:pPr>
              <w:jc w:val="center"/>
              <w:rPr>
                <w:rFonts w:ascii="Arial Narrow" w:hAnsi="Arial Narrow" w:cs="Calibri"/>
                <w:color w:val="000000"/>
                <w:sz w:val="20"/>
                <w:szCs w:val="20"/>
              </w:rPr>
            </w:pPr>
            <w:r w:rsidRPr="00022A0B">
              <w:rPr>
                <w:rFonts w:ascii="Arial Narrow" w:hAnsi="Arial Narrow" w:cs="Calibri"/>
                <w:color w:val="000000"/>
                <w:sz w:val="20"/>
                <w:szCs w:val="20"/>
              </w:rPr>
              <w:t>39,09</w:t>
            </w:r>
          </w:p>
        </w:tc>
        <w:tc>
          <w:tcPr>
            <w:tcW w:w="1596" w:type="dxa"/>
            <w:tcBorders>
              <w:top w:val="nil"/>
              <w:left w:val="nil"/>
              <w:bottom w:val="single" w:sz="4" w:space="0" w:color="auto"/>
              <w:right w:val="single" w:sz="4" w:space="0" w:color="auto"/>
            </w:tcBorders>
            <w:shd w:val="clear" w:color="auto" w:fill="auto"/>
            <w:noWrap/>
            <w:vAlign w:val="center"/>
            <w:hideMark/>
          </w:tcPr>
          <w:p w14:paraId="26286BCF" w14:textId="77777777" w:rsidR="00BA7C7F" w:rsidRPr="00022A0B" w:rsidRDefault="00BA7C7F" w:rsidP="00BA7C7F">
            <w:pPr>
              <w:jc w:val="right"/>
              <w:rPr>
                <w:rFonts w:ascii="Arial Narrow" w:hAnsi="Arial Narrow" w:cs="Calibri"/>
                <w:color w:val="000000"/>
                <w:sz w:val="20"/>
                <w:szCs w:val="20"/>
              </w:rPr>
            </w:pPr>
            <w:r w:rsidRPr="00022A0B">
              <w:rPr>
                <w:rFonts w:ascii="Arial Narrow" w:hAnsi="Arial Narrow" w:cs="Calibri"/>
                <w:color w:val="000000"/>
                <w:sz w:val="20"/>
                <w:szCs w:val="20"/>
              </w:rPr>
              <w:t>77 108 784</w:t>
            </w:r>
          </w:p>
        </w:tc>
      </w:tr>
      <w:tr w:rsidR="00BA7C7F" w:rsidRPr="00C57ABA" w14:paraId="6D4F4220" w14:textId="77777777" w:rsidTr="00B37935">
        <w:trPr>
          <w:trHeight w:val="308"/>
        </w:trPr>
        <w:tc>
          <w:tcPr>
            <w:tcW w:w="2207" w:type="dxa"/>
            <w:tcBorders>
              <w:top w:val="nil"/>
              <w:left w:val="single" w:sz="4" w:space="0" w:color="auto"/>
              <w:bottom w:val="single" w:sz="4" w:space="0" w:color="auto"/>
              <w:right w:val="single" w:sz="4" w:space="0" w:color="auto"/>
            </w:tcBorders>
            <w:shd w:val="clear" w:color="auto" w:fill="auto"/>
            <w:vAlign w:val="center"/>
            <w:hideMark/>
          </w:tcPr>
          <w:p w14:paraId="1C387550" w14:textId="77777777" w:rsidR="00BA7C7F" w:rsidRPr="00022A0B" w:rsidRDefault="00BA7C7F" w:rsidP="00BA7C7F">
            <w:pPr>
              <w:rPr>
                <w:rFonts w:ascii="Arial Narrow" w:hAnsi="Arial Narrow" w:cs="Calibri"/>
                <w:color w:val="000000"/>
                <w:sz w:val="20"/>
                <w:szCs w:val="20"/>
              </w:rPr>
            </w:pPr>
            <w:r w:rsidRPr="00022A0B">
              <w:rPr>
                <w:rFonts w:ascii="Arial Narrow" w:hAnsi="Arial Narrow" w:cs="Calibri"/>
                <w:color w:val="000000"/>
                <w:sz w:val="20"/>
                <w:szCs w:val="20"/>
              </w:rPr>
              <w:t>Еко-НИП</w:t>
            </w:r>
          </w:p>
        </w:tc>
        <w:tc>
          <w:tcPr>
            <w:tcW w:w="1741" w:type="dxa"/>
            <w:tcBorders>
              <w:top w:val="nil"/>
              <w:left w:val="nil"/>
              <w:bottom w:val="single" w:sz="4" w:space="0" w:color="auto"/>
              <w:right w:val="single" w:sz="4" w:space="0" w:color="auto"/>
            </w:tcBorders>
            <w:shd w:val="clear" w:color="auto" w:fill="auto"/>
            <w:noWrap/>
            <w:vAlign w:val="center"/>
            <w:hideMark/>
          </w:tcPr>
          <w:p w14:paraId="3CF92E3E" w14:textId="77777777" w:rsidR="00BA7C7F" w:rsidRPr="00022A0B" w:rsidRDefault="00BA7C7F" w:rsidP="00BA7C7F">
            <w:pPr>
              <w:jc w:val="right"/>
              <w:rPr>
                <w:rFonts w:ascii="Arial Narrow" w:hAnsi="Arial Narrow" w:cs="Calibri"/>
                <w:color w:val="000000"/>
                <w:sz w:val="20"/>
                <w:szCs w:val="20"/>
              </w:rPr>
            </w:pPr>
            <w:r w:rsidRPr="00022A0B">
              <w:rPr>
                <w:rFonts w:ascii="Arial Narrow" w:hAnsi="Arial Narrow" w:cs="Calibri"/>
                <w:color w:val="000000"/>
                <w:sz w:val="20"/>
                <w:szCs w:val="20"/>
              </w:rPr>
              <w:t>168 162 047</w:t>
            </w:r>
          </w:p>
        </w:tc>
        <w:tc>
          <w:tcPr>
            <w:tcW w:w="1452" w:type="dxa"/>
            <w:tcBorders>
              <w:top w:val="nil"/>
              <w:left w:val="nil"/>
              <w:bottom w:val="single" w:sz="4" w:space="0" w:color="auto"/>
              <w:right w:val="single" w:sz="4" w:space="0" w:color="auto"/>
            </w:tcBorders>
            <w:shd w:val="clear" w:color="auto" w:fill="auto"/>
            <w:vAlign w:val="center"/>
            <w:hideMark/>
          </w:tcPr>
          <w:p w14:paraId="3E6FD27F" w14:textId="77777777" w:rsidR="00BA7C7F" w:rsidRPr="00022A0B" w:rsidRDefault="00BA7C7F" w:rsidP="00BA7C7F">
            <w:pPr>
              <w:jc w:val="right"/>
              <w:rPr>
                <w:rFonts w:ascii="Arial Narrow" w:hAnsi="Arial Narrow" w:cs="Calibri"/>
                <w:color w:val="000000"/>
                <w:sz w:val="20"/>
                <w:szCs w:val="20"/>
              </w:rPr>
            </w:pPr>
            <w:r w:rsidRPr="00022A0B">
              <w:rPr>
                <w:rFonts w:ascii="Arial Narrow" w:hAnsi="Arial Narrow" w:cs="Calibri"/>
                <w:color w:val="000000"/>
                <w:sz w:val="20"/>
                <w:szCs w:val="20"/>
              </w:rPr>
              <w:t>16 555</w:t>
            </w:r>
          </w:p>
        </w:tc>
        <w:tc>
          <w:tcPr>
            <w:tcW w:w="2758" w:type="dxa"/>
            <w:gridSpan w:val="2"/>
            <w:tcBorders>
              <w:top w:val="single" w:sz="4" w:space="0" w:color="auto"/>
              <w:left w:val="nil"/>
              <w:bottom w:val="single" w:sz="4" w:space="0" w:color="auto"/>
              <w:right w:val="single" w:sz="4" w:space="0" w:color="auto"/>
            </w:tcBorders>
            <w:shd w:val="clear" w:color="auto" w:fill="auto"/>
            <w:vAlign w:val="center"/>
            <w:hideMark/>
          </w:tcPr>
          <w:p w14:paraId="62EB2109" w14:textId="77777777" w:rsidR="00BA7C7F" w:rsidRPr="00022A0B" w:rsidRDefault="00BA7C7F" w:rsidP="00BA7C7F">
            <w:pPr>
              <w:jc w:val="center"/>
              <w:rPr>
                <w:rFonts w:ascii="Arial Narrow" w:hAnsi="Arial Narrow" w:cs="Calibri"/>
                <w:color w:val="000000"/>
                <w:sz w:val="20"/>
                <w:szCs w:val="20"/>
              </w:rPr>
            </w:pPr>
            <w:r w:rsidRPr="00022A0B">
              <w:rPr>
                <w:rFonts w:ascii="Arial Narrow" w:hAnsi="Arial Narrow" w:cs="Calibri"/>
                <w:color w:val="000000"/>
                <w:sz w:val="20"/>
                <w:szCs w:val="20"/>
              </w:rPr>
              <w:t>61,15 / 321,55 / 11,50</w:t>
            </w:r>
          </w:p>
        </w:tc>
        <w:tc>
          <w:tcPr>
            <w:tcW w:w="1596" w:type="dxa"/>
            <w:tcBorders>
              <w:top w:val="nil"/>
              <w:left w:val="nil"/>
              <w:bottom w:val="single" w:sz="4" w:space="0" w:color="auto"/>
              <w:right w:val="single" w:sz="4" w:space="0" w:color="auto"/>
            </w:tcBorders>
            <w:shd w:val="clear" w:color="auto" w:fill="auto"/>
            <w:noWrap/>
            <w:vAlign w:val="center"/>
            <w:hideMark/>
          </w:tcPr>
          <w:p w14:paraId="715F3A5F" w14:textId="77777777" w:rsidR="00BA7C7F" w:rsidRPr="00022A0B" w:rsidRDefault="00BA7C7F" w:rsidP="00BA7C7F">
            <w:pPr>
              <w:jc w:val="right"/>
              <w:rPr>
                <w:rFonts w:ascii="Arial Narrow" w:hAnsi="Arial Narrow" w:cs="Calibri"/>
                <w:color w:val="000000"/>
                <w:sz w:val="20"/>
                <w:szCs w:val="20"/>
              </w:rPr>
            </w:pPr>
            <w:r w:rsidRPr="00022A0B">
              <w:rPr>
                <w:rFonts w:ascii="Arial Narrow" w:hAnsi="Arial Narrow" w:cs="Calibri"/>
                <w:color w:val="000000"/>
                <w:sz w:val="20"/>
                <w:szCs w:val="20"/>
              </w:rPr>
              <w:t>166 417 192</w:t>
            </w:r>
          </w:p>
        </w:tc>
      </w:tr>
      <w:tr w:rsidR="00BA7C7F" w:rsidRPr="00C57ABA" w14:paraId="0B026872" w14:textId="77777777" w:rsidTr="00B37935">
        <w:trPr>
          <w:trHeight w:val="308"/>
        </w:trPr>
        <w:tc>
          <w:tcPr>
            <w:tcW w:w="2207" w:type="dxa"/>
            <w:tcBorders>
              <w:top w:val="nil"/>
              <w:left w:val="single" w:sz="4" w:space="0" w:color="auto"/>
              <w:bottom w:val="single" w:sz="4" w:space="0" w:color="auto"/>
              <w:right w:val="single" w:sz="4" w:space="0" w:color="auto"/>
            </w:tcBorders>
            <w:shd w:val="clear" w:color="auto" w:fill="auto"/>
            <w:vAlign w:val="center"/>
            <w:hideMark/>
          </w:tcPr>
          <w:p w14:paraId="14A8A9F5" w14:textId="77777777" w:rsidR="00BA7C7F" w:rsidRPr="00022A0B" w:rsidRDefault="00BA7C7F" w:rsidP="00BA7C7F">
            <w:pPr>
              <w:rPr>
                <w:rFonts w:ascii="Arial Narrow" w:hAnsi="Arial Narrow" w:cs="Calibri"/>
                <w:color w:val="000000"/>
                <w:sz w:val="20"/>
                <w:szCs w:val="20"/>
              </w:rPr>
            </w:pPr>
            <w:r w:rsidRPr="00022A0B">
              <w:rPr>
                <w:rFonts w:ascii="Arial Narrow" w:hAnsi="Arial Narrow" w:cs="Calibri"/>
                <w:color w:val="000000"/>
                <w:sz w:val="20"/>
                <w:szCs w:val="20"/>
              </w:rPr>
              <w:t>Еко-ТН</w:t>
            </w:r>
          </w:p>
        </w:tc>
        <w:tc>
          <w:tcPr>
            <w:tcW w:w="1741" w:type="dxa"/>
            <w:tcBorders>
              <w:top w:val="nil"/>
              <w:left w:val="nil"/>
              <w:bottom w:val="single" w:sz="4" w:space="0" w:color="auto"/>
              <w:right w:val="single" w:sz="4" w:space="0" w:color="auto"/>
            </w:tcBorders>
            <w:shd w:val="clear" w:color="auto" w:fill="auto"/>
            <w:noWrap/>
            <w:vAlign w:val="center"/>
            <w:hideMark/>
          </w:tcPr>
          <w:p w14:paraId="258CD7E0" w14:textId="77777777" w:rsidR="00BA7C7F" w:rsidRPr="00022A0B" w:rsidRDefault="00BA7C7F" w:rsidP="00BA7C7F">
            <w:pPr>
              <w:jc w:val="right"/>
              <w:rPr>
                <w:rFonts w:ascii="Arial Narrow" w:hAnsi="Arial Narrow" w:cs="Calibri"/>
                <w:color w:val="000000"/>
                <w:sz w:val="20"/>
                <w:szCs w:val="20"/>
              </w:rPr>
            </w:pPr>
            <w:r w:rsidRPr="00022A0B">
              <w:rPr>
                <w:rFonts w:ascii="Arial Narrow" w:hAnsi="Arial Narrow" w:cs="Calibri"/>
                <w:color w:val="000000"/>
                <w:sz w:val="20"/>
                <w:szCs w:val="20"/>
              </w:rPr>
              <w:t>6 987 080</w:t>
            </w:r>
          </w:p>
        </w:tc>
        <w:tc>
          <w:tcPr>
            <w:tcW w:w="1452" w:type="dxa"/>
            <w:tcBorders>
              <w:top w:val="nil"/>
              <w:left w:val="nil"/>
              <w:bottom w:val="single" w:sz="4" w:space="0" w:color="auto"/>
              <w:right w:val="single" w:sz="4" w:space="0" w:color="auto"/>
            </w:tcBorders>
            <w:shd w:val="clear" w:color="auto" w:fill="auto"/>
            <w:vAlign w:val="center"/>
            <w:hideMark/>
          </w:tcPr>
          <w:p w14:paraId="274264DF" w14:textId="77777777" w:rsidR="00BA7C7F" w:rsidRPr="00022A0B" w:rsidRDefault="00BA7C7F" w:rsidP="00BA7C7F">
            <w:pPr>
              <w:jc w:val="right"/>
              <w:rPr>
                <w:rFonts w:ascii="Arial Narrow" w:hAnsi="Arial Narrow" w:cs="Calibri"/>
                <w:color w:val="000000"/>
                <w:sz w:val="20"/>
                <w:szCs w:val="20"/>
              </w:rPr>
            </w:pPr>
            <w:r w:rsidRPr="00022A0B">
              <w:rPr>
                <w:rFonts w:ascii="Arial Narrow" w:hAnsi="Arial Narrow" w:cs="Calibri"/>
                <w:color w:val="000000"/>
                <w:sz w:val="20"/>
                <w:szCs w:val="20"/>
              </w:rPr>
              <w:t>4 559</w:t>
            </w:r>
          </w:p>
        </w:tc>
        <w:tc>
          <w:tcPr>
            <w:tcW w:w="2758" w:type="dxa"/>
            <w:gridSpan w:val="2"/>
            <w:tcBorders>
              <w:top w:val="single" w:sz="4" w:space="0" w:color="auto"/>
              <w:left w:val="nil"/>
              <w:bottom w:val="single" w:sz="4" w:space="0" w:color="auto"/>
              <w:right w:val="single" w:sz="4" w:space="0" w:color="auto"/>
            </w:tcBorders>
            <w:shd w:val="clear" w:color="auto" w:fill="auto"/>
            <w:vAlign w:val="center"/>
            <w:hideMark/>
          </w:tcPr>
          <w:p w14:paraId="39249734" w14:textId="77777777" w:rsidR="00BA7C7F" w:rsidRPr="00022A0B" w:rsidRDefault="00BA7C7F" w:rsidP="00BA7C7F">
            <w:pPr>
              <w:jc w:val="center"/>
              <w:rPr>
                <w:rFonts w:ascii="Arial Narrow" w:hAnsi="Arial Narrow" w:cs="Calibri"/>
                <w:color w:val="000000"/>
                <w:sz w:val="20"/>
                <w:szCs w:val="20"/>
              </w:rPr>
            </w:pPr>
            <w:r w:rsidRPr="00022A0B">
              <w:rPr>
                <w:rFonts w:ascii="Arial Narrow" w:hAnsi="Arial Narrow" w:cs="Calibri"/>
                <w:color w:val="000000"/>
                <w:sz w:val="20"/>
                <w:szCs w:val="20"/>
              </w:rPr>
              <w:t>330,39/129,71</w:t>
            </w:r>
          </w:p>
        </w:tc>
        <w:tc>
          <w:tcPr>
            <w:tcW w:w="1596" w:type="dxa"/>
            <w:tcBorders>
              <w:top w:val="nil"/>
              <w:left w:val="nil"/>
              <w:bottom w:val="single" w:sz="4" w:space="0" w:color="auto"/>
              <w:right w:val="single" w:sz="4" w:space="0" w:color="auto"/>
            </w:tcBorders>
            <w:shd w:val="clear" w:color="auto" w:fill="auto"/>
            <w:noWrap/>
            <w:vAlign w:val="center"/>
            <w:hideMark/>
          </w:tcPr>
          <w:p w14:paraId="4BC977B6" w14:textId="77777777" w:rsidR="00BA7C7F" w:rsidRPr="00022A0B" w:rsidRDefault="00BA7C7F" w:rsidP="00BA7C7F">
            <w:pPr>
              <w:jc w:val="right"/>
              <w:rPr>
                <w:rFonts w:ascii="Arial Narrow" w:hAnsi="Arial Narrow" w:cs="Calibri"/>
                <w:color w:val="000000"/>
                <w:sz w:val="20"/>
                <w:szCs w:val="20"/>
              </w:rPr>
            </w:pPr>
            <w:r w:rsidRPr="00022A0B">
              <w:rPr>
                <w:rFonts w:ascii="Arial Narrow" w:hAnsi="Arial Narrow" w:cs="Calibri"/>
                <w:color w:val="000000"/>
                <w:sz w:val="20"/>
                <w:szCs w:val="20"/>
              </w:rPr>
              <w:t>11 617 463</w:t>
            </w:r>
          </w:p>
        </w:tc>
      </w:tr>
      <w:tr w:rsidR="00BA7C7F" w:rsidRPr="00C57ABA" w14:paraId="3421662D" w14:textId="77777777" w:rsidTr="00B37935">
        <w:trPr>
          <w:trHeight w:val="308"/>
        </w:trPr>
        <w:tc>
          <w:tcPr>
            <w:tcW w:w="2207" w:type="dxa"/>
            <w:tcBorders>
              <w:top w:val="nil"/>
              <w:left w:val="single" w:sz="4" w:space="0" w:color="auto"/>
              <w:bottom w:val="single" w:sz="4" w:space="0" w:color="auto"/>
              <w:right w:val="single" w:sz="4" w:space="0" w:color="auto"/>
            </w:tcBorders>
            <w:shd w:val="clear" w:color="auto" w:fill="auto"/>
            <w:vAlign w:val="center"/>
            <w:hideMark/>
          </w:tcPr>
          <w:p w14:paraId="766DA365" w14:textId="77777777" w:rsidR="00BA7C7F" w:rsidRPr="00022A0B" w:rsidRDefault="00BA7C7F" w:rsidP="00BA7C7F">
            <w:pPr>
              <w:rPr>
                <w:rFonts w:ascii="Arial Narrow" w:hAnsi="Arial Narrow" w:cs="Calibri"/>
                <w:color w:val="000000"/>
                <w:sz w:val="20"/>
                <w:szCs w:val="20"/>
              </w:rPr>
            </w:pPr>
            <w:r w:rsidRPr="00022A0B">
              <w:rPr>
                <w:rFonts w:ascii="Arial Narrow" w:hAnsi="Arial Narrow" w:cs="Calibri"/>
                <w:color w:val="000000"/>
                <w:sz w:val="20"/>
                <w:szCs w:val="20"/>
              </w:rPr>
              <w:t>Еко-ПЗП</w:t>
            </w:r>
          </w:p>
        </w:tc>
        <w:tc>
          <w:tcPr>
            <w:tcW w:w="1741" w:type="dxa"/>
            <w:tcBorders>
              <w:top w:val="nil"/>
              <w:left w:val="nil"/>
              <w:bottom w:val="single" w:sz="4" w:space="0" w:color="auto"/>
              <w:right w:val="single" w:sz="4" w:space="0" w:color="auto"/>
            </w:tcBorders>
            <w:shd w:val="clear" w:color="auto" w:fill="auto"/>
            <w:noWrap/>
            <w:vAlign w:val="center"/>
            <w:hideMark/>
          </w:tcPr>
          <w:p w14:paraId="67224C8E" w14:textId="77777777" w:rsidR="00BA7C7F" w:rsidRPr="00022A0B" w:rsidRDefault="00BA7C7F" w:rsidP="00BA7C7F">
            <w:pPr>
              <w:jc w:val="right"/>
              <w:rPr>
                <w:rFonts w:ascii="Arial Narrow" w:hAnsi="Arial Narrow" w:cs="Calibri"/>
                <w:color w:val="000000"/>
                <w:sz w:val="20"/>
                <w:szCs w:val="20"/>
              </w:rPr>
            </w:pPr>
            <w:r w:rsidRPr="00022A0B">
              <w:rPr>
                <w:rFonts w:ascii="Arial Narrow" w:hAnsi="Arial Narrow" w:cs="Calibri"/>
                <w:color w:val="000000"/>
                <w:sz w:val="20"/>
                <w:szCs w:val="20"/>
              </w:rPr>
              <w:t>34 422 080</w:t>
            </w:r>
          </w:p>
        </w:tc>
        <w:tc>
          <w:tcPr>
            <w:tcW w:w="1452" w:type="dxa"/>
            <w:tcBorders>
              <w:top w:val="nil"/>
              <w:left w:val="nil"/>
              <w:bottom w:val="single" w:sz="4" w:space="0" w:color="auto"/>
              <w:right w:val="single" w:sz="4" w:space="0" w:color="auto"/>
            </w:tcBorders>
            <w:shd w:val="clear" w:color="auto" w:fill="auto"/>
            <w:vAlign w:val="center"/>
            <w:hideMark/>
          </w:tcPr>
          <w:p w14:paraId="29DFCEF6" w14:textId="77777777" w:rsidR="00BA7C7F" w:rsidRPr="00022A0B" w:rsidRDefault="00BA7C7F" w:rsidP="00BA7C7F">
            <w:pPr>
              <w:jc w:val="right"/>
              <w:rPr>
                <w:rFonts w:ascii="Arial Narrow" w:hAnsi="Arial Narrow" w:cs="Calibri"/>
                <w:color w:val="000000"/>
                <w:sz w:val="20"/>
                <w:szCs w:val="20"/>
              </w:rPr>
            </w:pPr>
            <w:r w:rsidRPr="00022A0B">
              <w:rPr>
                <w:rFonts w:ascii="Arial Narrow" w:hAnsi="Arial Narrow" w:cs="Calibri"/>
                <w:color w:val="000000"/>
                <w:sz w:val="20"/>
                <w:szCs w:val="20"/>
              </w:rPr>
              <w:t>2 260</w:t>
            </w:r>
          </w:p>
        </w:tc>
        <w:tc>
          <w:tcPr>
            <w:tcW w:w="2758" w:type="dxa"/>
            <w:gridSpan w:val="2"/>
            <w:tcBorders>
              <w:top w:val="single" w:sz="4" w:space="0" w:color="auto"/>
              <w:left w:val="nil"/>
              <w:bottom w:val="single" w:sz="4" w:space="0" w:color="auto"/>
              <w:right w:val="single" w:sz="4" w:space="0" w:color="auto"/>
            </w:tcBorders>
            <w:shd w:val="clear" w:color="auto" w:fill="auto"/>
            <w:vAlign w:val="center"/>
            <w:hideMark/>
          </w:tcPr>
          <w:p w14:paraId="0A137203" w14:textId="77777777" w:rsidR="00BA7C7F" w:rsidRPr="00022A0B" w:rsidRDefault="00BA7C7F" w:rsidP="00BA7C7F">
            <w:pPr>
              <w:jc w:val="center"/>
              <w:rPr>
                <w:rFonts w:ascii="Arial Narrow" w:hAnsi="Arial Narrow" w:cs="Calibri"/>
                <w:color w:val="000000"/>
                <w:sz w:val="20"/>
                <w:szCs w:val="20"/>
              </w:rPr>
            </w:pPr>
            <w:r w:rsidRPr="00022A0B">
              <w:rPr>
                <w:rFonts w:ascii="Arial Narrow" w:hAnsi="Arial Narrow" w:cs="Calibri"/>
                <w:color w:val="000000"/>
                <w:sz w:val="20"/>
                <w:szCs w:val="20"/>
              </w:rPr>
              <w:t>156,46</w:t>
            </w:r>
          </w:p>
        </w:tc>
        <w:tc>
          <w:tcPr>
            <w:tcW w:w="1596" w:type="dxa"/>
            <w:tcBorders>
              <w:top w:val="nil"/>
              <w:left w:val="nil"/>
              <w:bottom w:val="single" w:sz="4" w:space="0" w:color="auto"/>
              <w:right w:val="single" w:sz="4" w:space="0" w:color="auto"/>
            </w:tcBorders>
            <w:shd w:val="clear" w:color="auto" w:fill="auto"/>
            <w:noWrap/>
            <w:vAlign w:val="center"/>
            <w:hideMark/>
          </w:tcPr>
          <w:p w14:paraId="27098ADF" w14:textId="77777777" w:rsidR="00BA7C7F" w:rsidRPr="00022A0B" w:rsidRDefault="00BA7C7F" w:rsidP="00BA7C7F">
            <w:pPr>
              <w:jc w:val="right"/>
              <w:rPr>
                <w:rFonts w:ascii="Arial Narrow" w:hAnsi="Arial Narrow" w:cs="Calibri"/>
                <w:color w:val="000000"/>
                <w:sz w:val="20"/>
                <w:szCs w:val="20"/>
              </w:rPr>
            </w:pPr>
            <w:r w:rsidRPr="00022A0B">
              <w:rPr>
                <w:rFonts w:ascii="Arial Narrow" w:hAnsi="Arial Narrow" w:cs="Calibri"/>
                <w:color w:val="000000"/>
                <w:sz w:val="20"/>
                <w:szCs w:val="20"/>
              </w:rPr>
              <w:t>14 826 678</w:t>
            </w:r>
          </w:p>
        </w:tc>
      </w:tr>
      <w:tr w:rsidR="00BA7C7F" w:rsidRPr="00C57ABA" w14:paraId="6133FBF6" w14:textId="77777777" w:rsidTr="00B37935">
        <w:trPr>
          <w:trHeight w:val="308"/>
        </w:trPr>
        <w:tc>
          <w:tcPr>
            <w:tcW w:w="2207" w:type="dxa"/>
            <w:tcBorders>
              <w:top w:val="nil"/>
              <w:left w:val="single" w:sz="4" w:space="0" w:color="auto"/>
              <w:bottom w:val="single" w:sz="4" w:space="0" w:color="auto"/>
              <w:right w:val="single" w:sz="4" w:space="0" w:color="auto"/>
            </w:tcBorders>
            <w:shd w:val="clear" w:color="auto" w:fill="auto"/>
            <w:vAlign w:val="center"/>
            <w:hideMark/>
          </w:tcPr>
          <w:p w14:paraId="0059AC09" w14:textId="77777777" w:rsidR="00BA7C7F" w:rsidRPr="00022A0B" w:rsidRDefault="00BA7C7F" w:rsidP="00BA7C7F">
            <w:pPr>
              <w:rPr>
                <w:rFonts w:ascii="Arial Narrow" w:hAnsi="Arial Narrow" w:cs="Calibri"/>
                <w:color w:val="000000"/>
                <w:sz w:val="20"/>
                <w:szCs w:val="20"/>
              </w:rPr>
            </w:pPr>
            <w:r w:rsidRPr="00022A0B">
              <w:rPr>
                <w:rFonts w:ascii="Arial Narrow" w:hAnsi="Arial Narrow" w:cs="Calibri"/>
                <w:color w:val="000000"/>
                <w:sz w:val="20"/>
                <w:szCs w:val="20"/>
              </w:rPr>
              <w:t>Еко-ГТ</w:t>
            </w:r>
          </w:p>
        </w:tc>
        <w:tc>
          <w:tcPr>
            <w:tcW w:w="1741" w:type="dxa"/>
            <w:tcBorders>
              <w:top w:val="nil"/>
              <w:left w:val="nil"/>
              <w:bottom w:val="single" w:sz="4" w:space="0" w:color="auto"/>
              <w:right w:val="single" w:sz="4" w:space="0" w:color="auto"/>
            </w:tcBorders>
            <w:shd w:val="clear" w:color="auto" w:fill="auto"/>
            <w:noWrap/>
            <w:vAlign w:val="center"/>
            <w:hideMark/>
          </w:tcPr>
          <w:p w14:paraId="0B298707" w14:textId="77777777" w:rsidR="00BA7C7F" w:rsidRPr="00022A0B" w:rsidRDefault="00BA7C7F" w:rsidP="00BA7C7F">
            <w:pPr>
              <w:jc w:val="right"/>
              <w:rPr>
                <w:rFonts w:ascii="Arial Narrow" w:hAnsi="Arial Narrow" w:cs="Calibri"/>
                <w:color w:val="000000"/>
                <w:sz w:val="20"/>
                <w:szCs w:val="20"/>
              </w:rPr>
            </w:pPr>
            <w:r w:rsidRPr="00022A0B">
              <w:rPr>
                <w:rFonts w:ascii="Arial Narrow" w:hAnsi="Arial Narrow" w:cs="Calibri"/>
                <w:color w:val="000000"/>
                <w:sz w:val="20"/>
                <w:szCs w:val="20"/>
              </w:rPr>
              <w:t>840 994</w:t>
            </w:r>
          </w:p>
        </w:tc>
        <w:tc>
          <w:tcPr>
            <w:tcW w:w="1452" w:type="dxa"/>
            <w:tcBorders>
              <w:top w:val="nil"/>
              <w:left w:val="nil"/>
              <w:bottom w:val="single" w:sz="4" w:space="0" w:color="auto"/>
              <w:right w:val="single" w:sz="4" w:space="0" w:color="auto"/>
            </w:tcBorders>
            <w:shd w:val="clear" w:color="auto" w:fill="auto"/>
            <w:vAlign w:val="center"/>
            <w:hideMark/>
          </w:tcPr>
          <w:p w14:paraId="532DBC09" w14:textId="77777777" w:rsidR="00BA7C7F" w:rsidRPr="00022A0B" w:rsidRDefault="00BA7C7F" w:rsidP="00BA7C7F">
            <w:pPr>
              <w:jc w:val="right"/>
              <w:rPr>
                <w:rFonts w:ascii="Arial Narrow" w:hAnsi="Arial Narrow" w:cs="Calibri"/>
                <w:color w:val="000000"/>
                <w:sz w:val="20"/>
                <w:szCs w:val="20"/>
              </w:rPr>
            </w:pPr>
            <w:r w:rsidRPr="00022A0B">
              <w:rPr>
                <w:rFonts w:ascii="Arial Narrow" w:hAnsi="Arial Narrow" w:cs="Calibri"/>
                <w:color w:val="000000"/>
                <w:sz w:val="20"/>
                <w:szCs w:val="20"/>
              </w:rPr>
              <w:t>201</w:t>
            </w:r>
          </w:p>
        </w:tc>
        <w:tc>
          <w:tcPr>
            <w:tcW w:w="2758" w:type="dxa"/>
            <w:gridSpan w:val="2"/>
            <w:tcBorders>
              <w:top w:val="single" w:sz="4" w:space="0" w:color="auto"/>
              <w:left w:val="nil"/>
              <w:bottom w:val="single" w:sz="4" w:space="0" w:color="auto"/>
              <w:right w:val="single" w:sz="4" w:space="0" w:color="auto"/>
            </w:tcBorders>
            <w:shd w:val="clear" w:color="auto" w:fill="auto"/>
            <w:vAlign w:val="center"/>
            <w:hideMark/>
          </w:tcPr>
          <w:p w14:paraId="1C9378BC" w14:textId="77777777" w:rsidR="00BA7C7F" w:rsidRPr="00022A0B" w:rsidRDefault="00BA7C7F" w:rsidP="00BA7C7F">
            <w:pPr>
              <w:jc w:val="center"/>
              <w:rPr>
                <w:rFonts w:ascii="Arial Narrow" w:hAnsi="Arial Narrow" w:cs="Calibri"/>
                <w:color w:val="000000"/>
                <w:sz w:val="20"/>
                <w:szCs w:val="20"/>
              </w:rPr>
            </w:pPr>
            <w:r w:rsidRPr="00022A0B">
              <w:rPr>
                <w:rFonts w:ascii="Arial Narrow" w:hAnsi="Arial Narrow" w:cs="Calibri"/>
                <w:color w:val="000000"/>
                <w:sz w:val="20"/>
                <w:szCs w:val="20"/>
              </w:rPr>
              <w:t>420,50</w:t>
            </w:r>
          </w:p>
        </w:tc>
        <w:tc>
          <w:tcPr>
            <w:tcW w:w="1596" w:type="dxa"/>
            <w:tcBorders>
              <w:top w:val="nil"/>
              <w:left w:val="nil"/>
              <w:bottom w:val="single" w:sz="4" w:space="0" w:color="auto"/>
              <w:right w:val="single" w:sz="4" w:space="0" w:color="auto"/>
            </w:tcBorders>
            <w:shd w:val="clear" w:color="auto" w:fill="auto"/>
            <w:noWrap/>
            <w:vAlign w:val="center"/>
            <w:hideMark/>
          </w:tcPr>
          <w:p w14:paraId="608B75D3" w14:textId="77777777" w:rsidR="00BA7C7F" w:rsidRPr="00022A0B" w:rsidRDefault="00BA7C7F" w:rsidP="00BA7C7F">
            <w:pPr>
              <w:jc w:val="right"/>
              <w:rPr>
                <w:rFonts w:ascii="Arial Narrow" w:hAnsi="Arial Narrow" w:cs="Calibri"/>
                <w:color w:val="000000"/>
                <w:sz w:val="20"/>
                <w:szCs w:val="20"/>
              </w:rPr>
            </w:pPr>
            <w:r w:rsidRPr="00022A0B">
              <w:rPr>
                <w:rFonts w:ascii="Arial Narrow" w:hAnsi="Arial Narrow" w:cs="Calibri"/>
                <w:color w:val="000000"/>
                <w:sz w:val="20"/>
                <w:szCs w:val="20"/>
              </w:rPr>
              <w:t>776 937</w:t>
            </w:r>
          </w:p>
        </w:tc>
      </w:tr>
      <w:tr w:rsidR="00BA7C7F" w:rsidRPr="00C57ABA" w14:paraId="48BF8AB9" w14:textId="77777777" w:rsidTr="00B37935">
        <w:trPr>
          <w:trHeight w:val="308"/>
        </w:trPr>
        <w:tc>
          <w:tcPr>
            <w:tcW w:w="2207" w:type="dxa"/>
            <w:tcBorders>
              <w:top w:val="nil"/>
              <w:left w:val="single" w:sz="4" w:space="0" w:color="auto"/>
              <w:bottom w:val="single" w:sz="4" w:space="0" w:color="auto"/>
              <w:right w:val="single" w:sz="4" w:space="0" w:color="auto"/>
            </w:tcBorders>
            <w:shd w:val="clear" w:color="auto" w:fill="auto"/>
            <w:vAlign w:val="center"/>
            <w:hideMark/>
          </w:tcPr>
          <w:p w14:paraId="2256042E" w14:textId="77777777" w:rsidR="00BA7C7F" w:rsidRPr="00022A0B" w:rsidRDefault="00BA7C7F" w:rsidP="00BA7C7F">
            <w:pPr>
              <w:rPr>
                <w:rFonts w:ascii="Arial Narrow" w:hAnsi="Arial Narrow" w:cs="Calibri"/>
                <w:color w:val="000000"/>
                <w:sz w:val="20"/>
                <w:szCs w:val="20"/>
              </w:rPr>
            </w:pPr>
            <w:r w:rsidRPr="00022A0B">
              <w:rPr>
                <w:rFonts w:ascii="Arial Narrow" w:hAnsi="Arial Narrow" w:cs="Calibri"/>
                <w:color w:val="000000"/>
                <w:sz w:val="20"/>
                <w:szCs w:val="20"/>
              </w:rPr>
              <w:t>Еко-РОК</w:t>
            </w:r>
          </w:p>
        </w:tc>
        <w:tc>
          <w:tcPr>
            <w:tcW w:w="1741" w:type="dxa"/>
            <w:tcBorders>
              <w:top w:val="nil"/>
              <w:left w:val="nil"/>
              <w:bottom w:val="single" w:sz="4" w:space="0" w:color="auto"/>
              <w:right w:val="single" w:sz="4" w:space="0" w:color="auto"/>
            </w:tcBorders>
            <w:shd w:val="clear" w:color="auto" w:fill="auto"/>
            <w:noWrap/>
            <w:vAlign w:val="center"/>
            <w:hideMark/>
          </w:tcPr>
          <w:p w14:paraId="58EB1D32" w14:textId="77777777" w:rsidR="00BA7C7F" w:rsidRPr="00022A0B" w:rsidRDefault="00BA7C7F" w:rsidP="00BA7C7F">
            <w:pPr>
              <w:jc w:val="right"/>
              <w:rPr>
                <w:rFonts w:ascii="Arial Narrow" w:hAnsi="Arial Narrow" w:cs="Calibri"/>
                <w:color w:val="000000"/>
                <w:sz w:val="20"/>
                <w:szCs w:val="20"/>
              </w:rPr>
            </w:pPr>
            <w:r w:rsidRPr="00022A0B">
              <w:rPr>
                <w:rFonts w:ascii="Arial Narrow" w:hAnsi="Arial Narrow" w:cs="Calibri"/>
                <w:color w:val="000000"/>
                <w:sz w:val="20"/>
                <w:szCs w:val="20"/>
              </w:rPr>
              <w:t>86 440 416</w:t>
            </w:r>
          </w:p>
        </w:tc>
        <w:tc>
          <w:tcPr>
            <w:tcW w:w="1452" w:type="dxa"/>
            <w:tcBorders>
              <w:top w:val="nil"/>
              <w:left w:val="nil"/>
              <w:bottom w:val="single" w:sz="4" w:space="0" w:color="auto"/>
              <w:right w:val="single" w:sz="4" w:space="0" w:color="auto"/>
            </w:tcBorders>
            <w:shd w:val="clear" w:color="auto" w:fill="auto"/>
            <w:vAlign w:val="center"/>
            <w:hideMark/>
          </w:tcPr>
          <w:p w14:paraId="4ECBE1C0" w14:textId="77777777" w:rsidR="00BA7C7F" w:rsidRPr="00022A0B" w:rsidRDefault="00BA7C7F" w:rsidP="00BA7C7F">
            <w:pPr>
              <w:jc w:val="right"/>
              <w:rPr>
                <w:rFonts w:ascii="Arial Narrow" w:hAnsi="Arial Narrow" w:cs="Calibri"/>
                <w:color w:val="000000"/>
                <w:sz w:val="20"/>
                <w:szCs w:val="20"/>
              </w:rPr>
            </w:pPr>
            <w:r w:rsidRPr="00022A0B">
              <w:rPr>
                <w:rFonts w:ascii="Arial Narrow" w:hAnsi="Arial Narrow" w:cs="Calibri"/>
                <w:color w:val="000000"/>
                <w:sz w:val="20"/>
                <w:szCs w:val="20"/>
              </w:rPr>
              <w:t>21 848</w:t>
            </w:r>
          </w:p>
        </w:tc>
        <w:tc>
          <w:tcPr>
            <w:tcW w:w="2758" w:type="dxa"/>
            <w:gridSpan w:val="2"/>
            <w:tcBorders>
              <w:top w:val="single" w:sz="4" w:space="0" w:color="auto"/>
              <w:left w:val="nil"/>
              <w:bottom w:val="single" w:sz="4" w:space="0" w:color="auto"/>
              <w:right w:val="single" w:sz="4" w:space="0" w:color="auto"/>
            </w:tcBorders>
            <w:shd w:val="clear" w:color="auto" w:fill="auto"/>
            <w:vAlign w:val="center"/>
            <w:hideMark/>
          </w:tcPr>
          <w:p w14:paraId="7EA073BD" w14:textId="77777777" w:rsidR="00BA7C7F" w:rsidRPr="00022A0B" w:rsidRDefault="00BA7C7F" w:rsidP="00BA7C7F">
            <w:pPr>
              <w:jc w:val="center"/>
              <w:rPr>
                <w:rFonts w:ascii="Arial Narrow" w:hAnsi="Arial Narrow" w:cs="Calibri"/>
                <w:color w:val="000000"/>
                <w:sz w:val="20"/>
                <w:szCs w:val="20"/>
              </w:rPr>
            </w:pPr>
            <w:r w:rsidRPr="00022A0B">
              <w:rPr>
                <w:rFonts w:ascii="Arial Narrow" w:hAnsi="Arial Narrow" w:cs="Calibri"/>
                <w:color w:val="000000"/>
                <w:sz w:val="20"/>
                <w:szCs w:val="20"/>
              </w:rPr>
              <w:t>67,59 / 52,10 / 27,61</w:t>
            </w:r>
          </w:p>
        </w:tc>
        <w:tc>
          <w:tcPr>
            <w:tcW w:w="1596" w:type="dxa"/>
            <w:tcBorders>
              <w:top w:val="nil"/>
              <w:left w:val="nil"/>
              <w:bottom w:val="single" w:sz="4" w:space="0" w:color="auto"/>
              <w:right w:val="single" w:sz="4" w:space="0" w:color="auto"/>
            </w:tcBorders>
            <w:shd w:val="clear" w:color="auto" w:fill="auto"/>
            <w:noWrap/>
            <w:vAlign w:val="center"/>
            <w:hideMark/>
          </w:tcPr>
          <w:p w14:paraId="6C851690" w14:textId="77777777" w:rsidR="00BA7C7F" w:rsidRPr="00022A0B" w:rsidRDefault="00BA7C7F" w:rsidP="00BA7C7F">
            <w:pPr>
              <w:jc w:val="right"/>
              <w:rPr>
                <w:rFonts w:ascii="Arial Narrow" w:hAnsi="Arial Narrow" w:cs="Calibri"/>
                <w:color w:val="000000"/>
                <w:sz w:val="20"/>
                <w:szCs w:val="20"/>
              </w:rPr>
            </w:pPr>
            <w:r w:rsidRPr="00022A0B">
              <w:rPr>
                <w:rFonts w:ascii="Arial Narrow" w:hAnsi="Arial Narrow" w:cs="Calibri"/>
                <w:color w:val="000000"/>
                <w:sz w:val="20"/>
                <w:szCs w:val="20"/>
              </w:rPr>
              <w:t>85 265 182</w:t>
            </w:r>
          </w:p>
        </w:tc>
      </w:tr>
      <w:tr w:rsidR="00BA7C7F" w:rsidRPr="00C57ABA" w14:paraId="5168D75E" w14:textId="77777777" w:rsidTr="00B37935">
        <w:trPr>
          <w:trHeight w:val="308"/>
        </w:trPr>
        <w:tc>
          <w:tcPr>
            <w:tcW w:w="2207" w:type="dxa"/>
            <w:tcBorders>
              <w:top w:val="nil"/>
              <w:left w:val="single" w:sz="4" w:space="0" w:color="auto"/>
              <w:bottom w:val="single" w:sz="4" w:space="0" w:color="auto"/>
              <w:right w:val="single" w:sz="4" w:space="0" w:color="auto"/>
            </w:tcBorders>
            <w:shd w:val="clear" w:color="auto" w:fill="auto"/>
            <w:vAlign w:val="center"/>
            <w:hideMark/>
          </w:tcPr>
          <w:p w14:paraId="7739B126" w14:textId="77777777" w:rsidR="00BA7C7F" w:rsidRPr="00022A0B" w:rsidRDefault="00BA7C7F" w:rsidP="00BA7C7F">
            <w:pPr>
              <w:rPr>
                <w:rFonts w:ascii="Arial Narrow" w:hAnsi="Arial Narrow" w:cs="Calibri"/>
                <w:color w:val="000000"/>
                <w:sz w:val="20"/>
                <w:szCs w:val="20"/>
              </w:rPr>
            </w:pPr>
            <w:r w:rsidRPr="00022A0B">
              <w:rPr>
                <w:rFonts w:ascii="Arial Narrow" w:hAnsi="Arial Narrow" w:cs="Calibri"/>
                <w:color w:val="000000"/>
                <w:sz w:val="20"/>
                <w:szCs w:val="20"/>
              </w:rPr>
              <w:t>МлК</w:t>
            </w:r>
          </w:p>
        </w:tc>
        <w:tc>
          <w:tcPr>
            <w:tcW w:w="1741" w:type="dxa"/>
            <w:tcBorders>
              <w:top w:val="nil"/>
              <w:left w:val="nil"/>
              <w:bottom w:val="single" w:sz="4" w:space="0" w:color="auto"/>
              <w:right w:val="single" w:sz="4" w:space="0" w:color="auto"/>
            </w:tcBorders>
            <w:shd w:val="clear" w:color="auto" w:fill="auto"/>
            <w:noWrap/>
            <w:vAlign w:val="center"/>
            <w:hideMark/>
          </w:tcPr>
          <w:p w14:paraId="7B4DE5C1" w14:textId="77777777" w:rsidR="00BA7C7F" w:rsidRPr="00022A0B" w:rsidRDefault="00BA7C7F" w:rsidP="00BA7C7F">
            <w:pPr>
              <w:jc w:val="right"/>
              <w:rPr>
                <w:rFonts w:ascii="Arial Narrow" w:hAnsi="Arial Narrow" w:cs="Calibri"/>
                <w:color w:val="000000"/>
                <w:sz w:val="20"/>
                <w:szCs w:val="20"/>
              </w:rPr>
            </w:pPr>
            <w:r w:rsidRPr="00022A0B">
              <w:rPr>
                <w:rFonts w:ascii="Arial Narrow" w:hAnsi="Arial Narrow" w:cs="Calibri"/>
                <w:color w:val="000000"/>
                <w:sz w:val="20"/>
                <w:szCs w:val="20"/>
              </w:rPr>
              <w:t>21 863 198</w:t>
            </w:r>
          </w:p>
        </w:tc>
        <w:tc>
          <w:tcPr>
            <w:tcW w:w="1452" w:type="dxa"/>
            <w:tcBorders>
              <w:top w:val="nil"/>
              <w:left w:val="nil"/>
              <w:bottom w:val="single" w:sz="4" w:space="0" w:color="auto"/>
              <w:right w:val="single" w:sz="4" w:space="0" w:color="auto"/>
            </w:tcBorders>
            <w:shd w:val="clear" w:color="auto" w:fill="auto"/>
            <w:vAlign w:val="center"/>
            <w:hideMark/>
          </w:tcPr>
          <w:p w14:paraId="76740D21" w14:textId="77777777" w:rsidR="00BA7C7F" w:rsidRPr="00022A0B" w:rsidRDefault="00BA7C7F" w:rsidP="00BA7C7F">
            <w:pPr>
              <w:jc w:val="right"/>
              <w:rPr>
                <w:rFonts w:ascii="Arial Narrow" w:hAnsi="Arial Narrow" w:cs="Calibri"/>
                <w:color w:val="000000"/>
                <w:sz w:val="20"/>
                <w:szCs w:val="20"/>
              </w:rPr>
            </w:pPr>
            <w:r w:rsidRPr="00022A0B">
              <w:rPr>
                <w:rFonts w:ascii="Arial Narrow" w:hAnsi="Arial Narrow" w:cs="Calibri"/>
                <w:color w:val="000000"/>
                <w:sz w:val="20"/>
                <w:szCs w:val="20"/>
              </w:rPr>
              <w:t>2 497</w:t>
            </w:r>
          </w:p>
        </w:tc>
        <w:tc>
          <w:tcPr>
            <w:tcW w:w="1378" w:type="dxa"/>
            <w:tcBorders>
              <w:top w:val="nil"/>
              <w:left w:val="nil"/>
              <w:bottom w:val="single" w:sz="4" w:space="0" w:color="auto"/>
              <w:right w:val="single" w:sz="4" w:space="0" w:color="auto"/>
            </w:tcBorders>
            <w:shd w:val="clear" w:color="auto" w:fill="auto"/>
            <w:vAlign w:val="center"/>
            <w:hideMark/>
          </w:tcPr>
          <w:p w14:paraId="5D289A1B" w14:textId="77777777" w:rsidR="00BA7C7F" w:rsidRPr="00022A0B" w:rsidRDefault="00BA7C7F" w:rsidP="00BA7C7F">
            <w:pPr>
              <w:jc w:val="center"/>
              <w:rPr>
                <w:rFonts w:ascii="Arial Narrow" w:hAnsi="Arial Narrow" w:cs="Calibri"/>
                <w:color w:val="000000"/>
                <w:sz w:val="20"/>
                <w:szCs w:val="20"/>
              </w:rPr>
            </w:pPr>
            <w:r w:rsidRPr="00022A0B">
              <w:rPr>
                <w:rFonts w:ascii="Arial Narrow" w:hAnsi="Arial Narrow" w:cs="Calibri"/>
                <w:color w:val="000000"/>
                <w:sz w:val="20"/>
                <w:szCs w:val="20"/>
              </w:rPr>
              <w:t>316,59</w:t>
            </w:r>
          </w:p>
        </w:tc>
        <w:tc>
          <w:tcPr>
            <w:tcW w:w="1380" w:type="dxa"/>
            <w:tcBorders>
              <w:top w:val="nil"/>
              <w:left w:val="nil"/>
              <w:bottom w:val="single" w:sz="4" w:space="0" w:color="auto"/>
              <w:right w:val="single" w:sz="4" w:space="0" w:color="auto"/>
            </w:tcBorders>
            <w:shd w:val="clear" w:color="auto" w:fill="auto"/>
            <w:noWrap/>
            <w:vAlign w:val="center"/>
            <w:hideMark/>
          </w:tcPr>
          <w:p w14:paraId="79ACE608" w14:textId="77777777" w:rsidR="00BA7C7F" w:rsidRPr="00022A0B" w:rsidRDefault="00BA7C7F" w:rsidP="00BA7C7F">
            <w:pPr>
              <w:jc w:val="center"/>
              <w:rPr>
                <w:rFonts w:ascii="Arial Narrow" w:hAnsi="Arial Narrow" w:cs="Calibri"/>
                <w:color w:val="000000"/>
                <w:sz w:val="20"/>
                <w:szCs w:val="20"/>
              </w:rPr>
            </w:pPr>
            <w:r w:rsidRPr="00022A0B">
              <w:rPr>
                <w:rFonts w:ascii="Arial Narrow" w:hAnsi="Arial Narrow" w:cs="Calibri"/>
                <w:color w:val="000000"/>
                <w:sz w:val="20"/>
                <w:szCs w:val="20"/>
              </w:rPr>
              <w:t>253,28</w:t>
            </w:r>
          </w:p>
        </w:tc>
        <w:tc>
          <w:tcPr>
            <w:tcW w:w="1596" w:type="dxa"/>
            <w:tcBorders>
              <w:top w:val="nil"/>
              <w:left w:val="nil"/>
              <w:bottom w:val="single" w:sz="4" w:space="0" w:color="auto"/>
              <w:right w:val="single" w:sz="4" w:space="0" w:color="auto"/>
            </w:tcBorders>
            <w:shd w:val="clear" w:color="auto" w:fill="auto"/>
            <w:noWrap/>
            <w:vAlign w:val="center"/>
            <w:hideMark/>
          </w:tcPr>
          <w:p w14:paraId="7901B425" w14:textId="77777777" w:rsidR="00BA7C7F" w:rsidRPr="00022A0B" w:rsidRDefault="00BA7C7F" w:rsidP="00BA7C7F">
            <w:pPr>
              <w:jc w:val="right"/>
              <w:rPr>
                <w:rFonts w:ascii="Arial Narrow" w:hAnsi="Arial Narrow" w:cs="Calibri"/>
                <w:color w:val="000000"/>
                <w:sz w:val="20"/>
                <w:szCs w:val="20"/>
              </w:rPr>
            </w:pPr>
            <w:r w:rsidRPr="00022A0B">
              <w:rPr>
                <w:rFonts w:ascii="Arial Narrow" w:hAnsi="Arial Narrow" w:cs="Calibri"/>
                <w:color w:val="000000"/>
                <w:sz w:val="20"/>
                <w:szCs w:val="20"/>
              </w:rPr>
              <w:t>21 611 432</w:t>
            </w:r>
          </w:p>
        </w:tc>
      </w:tr>
      <w:tr w:rsidR="00BA7C7F" w:rsidRPr="00C57ABA" w14:paraId="243DA629" w14:textId="77777777" w:rsidTr="00B37935">
        <w:trPr>
          <w:trHeight w:val="308"/>
        </w:trPr>
        <w:tc>
          <w:tcPr>
            <w:tcW w:w="2207" w:type="dxa"/>
            <w:tcBorders>
              <w:top w:val="nil"/>
              <w:left w:val="single" w:sz="4" w:space="0" w:color="auto"/>
              <w:bottom w:val="single" w:sz="4" w:space="0" w:color="auto"/>
              <w:right w:val="single" w:sz="4" w:space="0" w:color="auto"/>
            </w:tcBorders>
            <w:shd w:val="clear" w:color="auto" w:fill="auto"/>
            <w:vAlign w:val="center"/>
            <w:hideMark/>
          </w:tcPr>
          <w:p w14:paraId="3E1B0897" w14:textId="77777777" w:rsidR="00BA7C7F" w:rsidRPr="00022A0B" w:rsidRDefault="00BA7C7F" w:rsidP="00BA7C7F">
            <w:pPr>
              <w:rPr>
                <w:rFonts w:ascii="Arial Narrow" w:hAnsi="Arial Narrow" w:cs="Calibri"/>
                <w:color w:val="000000"/>
                <w:sz w:val="20"/>
                <w:szCs w:val="20"/>
              </w:rPr>
            </w:pPr>
            <w:r w:rsidRPr="00022A0B">
              <w:rPr>
                <w:rFonts w:ascii="Arial Narrow" w:hAnsi="Arial Narrow" w:cs="Calibri"/>
                <w:color w:val="000000"/>
                <w:sz w:val="20"/>
                <w:szCs w:val="20"/>
              </w:rPr>
              <w:t>МлК-РП</w:t>
            </w:r>
          </w:p>
        </w:tc>
        <w:tc>
          <w:tcPr>
            <w:tcW w:w="1741" w:type="dxa"/>
            <w:tcBorders>
              <w:top w:val="nil"/>
              <w:left w:val="nil"/>
              <w:bottom w:val="single" w:sz="4" w:space="0" w:color="auto"/>
              <w:right w:val="single" w:sz="4" w:space="0" w:color="auto"/>
            </w:tcBorders>
            <w:shd w:val="clear" w:color="auto" w:fill="auto"/>
            <w:noWrap/>
            <w:vAlign w:val="center"/>
            <w:hideMark/>
          </w:tcPr>
          <w:p w14:paraId="2E2561B9" w14:textId="77777777" w:rsidR="00BA7C7F" w:rsidRPr="00022A0B" w:rsidRDefault="00BA7C7F" w:rsidP="00BA7C7F">
            <w:pPr>
              <w:jc w:val="right"/>
              <w:rPr>
                <w:rFonts w:ascii="Arial Narrow" w:hAnsi="Arial Narrow" w:cs="Calibri"/>
                <w:color w:val="000000"/>
                <w:sz w:val="20"/>
                <w:szCs w:val="20"/>
              </w:rPr>
            </w:pPr>
            <w:r w:rsidRPr="00022A0B">
              <w:rPr>
                <w:rFonts w:ascii="Arial Narrow" w:hAnsi="Arial Narrow" w:cs="Calibri"/>
                <w:color w:val="000000"/>
                <w:sz w:val="20"/>
                <w:szCs w:val="20"/>
              </w:rPr>
              <w:t>32 906 324</w:t>
            </w:r>
          </w:p>
        </w:tc>
        <w:tc>
          <w:tcPr>
            <w:tcW w:w="1452" w:type="dxa"/>
            <w:tcBorders>
              <w:top w:val="nil"/>
              <w:left w:val="nil"/>
              <w:bottom w:val="single" w:sz="4" w:space="0" w:color="auto"/>
              <w:right w:val="single" w:sz="4" w:space="0" w:color="auto"/>
            </w:tcBorders>
            <w:shd w:val="clear" w:color="auto" w:fill="auto"/>
            <w:vAlign w:val="center"/>
            <w:hideMark/>
          </w:tcPr>
          <w:p w14:paraId="6B22BA04" w14:textId="77777777" w:rsidR="00BA7C7F" w:rsidRPr="00022A0B" w:rsidRDefault="00BA7C7F" w:rsidP="00BA7C7F">
            <w:pPr>
              <w:jc w:val="right"/>
              <w:rPr>
                <w:rFonts w:ascii="Arial Narrow" w:hAnsi="Arial Narrow" w:cs="Calibri"/>
                <w:color w:val="000000"/>
                <w:sz w:val="20"/>
                <w:szCs w:val="20"/>
              </w:rPr>
            </w:pPr>
            <w:r w:rsidRPr="00022A0B">
              <w:rPr>
                <w:rFonts w:ascii="Arial Narrow" w:hAnsi="Arial Narrow" w:cs="Calibri"/>
                <w:color w:val="000000"/>
                <w:sz w:val="20"/>
                <w:szCs w:val="20"/>
              </w:rPr>
              <w:t>704</w:t>
            </w:r>
          </w:p>
        </w:tc>
        <w:tc>
          <w:tcPr>
            <w:tcW w:w="1378" w:type="dxa"/>
            <w:tcBorders>
              <w:top w:val="nil"/>
              <w:left w:val="nil"/>
              <w:bottom w:val="single" w:sz="4" w:space="0" w:color="auto"/>
              <w:right w:val="single" w:sz="4" w:space="0" w:color="auto"/>
            </w:tcBorders>
            <w:shd w:val="clear" w:color="auto" w:fill="auto"/>
            <w:vAlign w:val="center"/>
            <w:hideMark/>
          </w:tcPr>
          <w:p w14:paraId="2E47140E" w14:textId="77777777" w:rsidR="00BA7C7F" w:rsidRPr="00022A0B" w:rsidRDefault="00BA7C7F" w:rsidP="00BA7C7F">
            <w:pPr>
              <w:jc w:val="center"/>
              <w:rPr>
                <w:rFonts w:ascii="Arial Narrow" w:hAnsi="Arial Narrow" w:cs="Calibri"/>
                <w:color w:val="000000"/>
                <w:sz w:val="20"/>
                <w:szCs w:val="20"/>
              </w:rPr>
            </w:pPr>
            <w:r w:rsidRPr="00022A0B">
              <w:rPr>
                <w:rFonts w:ascii="Arial Narrow" w:hAnsi="Arial Narrow" w:cs="Calibri"/>
                <w:color w:val="000000"/>
                <w:sz w:val="20"/>
                <w:szCs w:val="20"/>
              </w:rPr>
              <w:t>472,73</w:t>
            </w:r>
          </w:p>
        </w:tc>
        <w:tc>
          <w:tcPr>
            <w:tcW w:w="1380" w:type="dxa"/>
            <w:tcBorders>
              <w:top w:val="nil"/>
              <w:left w:val="nil"/>
              <w:bottom w:val="single" w:sz="4" w:space="0" w:color="auto"/>
              <w:right w:val="single" w:sz="4" w:space="0" w:color="auto"/>
            </w:tcBorders>
            <w:shd w:val="clear" w:color="auto" w:fill="auto"/>
            <w:noWrap/>
            <w:vAlign w:val="center"/>
            <w:hideMark/>
          </w:tcPr>
          <w:p w14:paraId="77D92670" w14:textId="77777777" w:rsidR="00BA7C7F" w:rsidRPr="00022A0B" w:rsidRDefault="00BA7C7F" w:rsidP="00BA7C7F">
            <w:pPr>
              <w:jc w:val="center"/>
              <w:rPr>
                <w:rFonts w:ascii="Arial Narrow" w:hAnsi="Arial Narrow" w:cs="Calibri"/>
                <w:color w:val="000000"/>
                <w:sz w:val="20"/>
                <w:szCs w:val="20"/>
              </w:rPr>
            </w:pPr>
            <w:r w:rsidRPr="00022A0B">
              <w:rPr>
                <w:rFonts w:ascii="Arial Narrow" w:hAnsi="Arial Narrow" w:cs="Calibri"/>
                <w:color w:val="000000"/>
                <w:sz w:val="20"/>
                <w:szCs w:val="20"/>
              </w:rPr>
              <w:t>378,18</w:t>
            </w:r>
          </w:p>
        </w:tc>
        <w:tc>
          <w:tcPr>
            <w:tcW w:w="1596" w:type="dxa"/>
            <w:tcBorders>
              <w:top w:val="nil"/>
              <w:left w:val="nil"/>
              <w:bottom w:val="single" w:sz="4" w:space="0" w:color="auto"/>
              <w:right w:val="single" w:sz="4" w:space="0" w:color="auto"/>
            </w:tcBorders>
            <w:shd w:val="clear" w:color="auto" w:fill="auto"/>
            <w:noWrap/>
            <w:vAlign w:val="center"/>
            <w:hideMark/>
          </w:tcPr>
          <w:p w14:paraId="60A49038" w14:textId="77777777" w:rsidR="00BA7C7F" w:rsidRPr="00022A0B" w:rsidRDefault="00BA7C7F" w:rsidP="00BA7C7F">
            <w:pPr>
              <w:jc w:val="right"/>
              <w:rPr>
                <w:rFonts w:ascii="Arial Narrow" w:hAnsi="Arial Narrow" w:cs="Calibri"/>
                <w:color w:val="000000"/>
                <w:sz w:val="20"/>
                <w:szCs w:val="20"/>
              </w:rPr>
            </w:pPr>
            <w:r w:rsidRPr="00022A0B">
              <w:rPr>
                <w:rFonts w:ascii="Arial Narrow" w:hAnsi="Arial Narrow" w:cs="Calibri"/>
                <w:color w:val="000000"/>
                <w:sz w:val="20"/>
                <w:szCs w:val="20"/>
              </w:rPr>
              <w:t>32 648 597</w:t>
            </w:r>
          </w:p>
        </w:tc>
      </w:tr>
      <w:tr w:rsidR="00BA7C7F" w:rsidRPr="00C57ABA" w14:paraId="4A965706" w14:textId="77777777" w:rsidTr="00B37935">
        <w:trPr>
          <w:trHeight w:val="308"/>
        </w:trPr>
        <w:tc>
          <w:tcPr>
            <w:tcW w:w="2207" w:type="dxa"/>
            <w:tcBorders>
              <w:top w:val="nil"/>
              <w:left w:val="single" w:sz="4" w:space="0" w:color="auto"/>
              <w:bottom w:val="single" w:sz="4" w:space="0" w:color="auto"/>
              <w:right w:val="single" w:sz="4" w:space="0" w:color="auto"/>
            </w:tcBorders>
            <w:shd w:val="clear" w:color="auto" w:fill="auto"/>
            <w:vAlign w:val="center"/>
            <w:hideMark/>
          </w:tcPr>
          <w:p w14:paraId="6C1C495C" w14:textId="77777777" w:rsidR="00BA7C7F" w:rsidRPr="00022A0B" w:rsidRDefault="00BA7C7F" w:rsidP="00BA7C7F">
            <w:pPr>
              <w:rPr>
                <w:rFonts w:ascii="Arial Narrow" w:hAnsi="Arial Narrow" w:cs="Calibri"/>
                <w:color w:val="000000"/>
                <w:sz w:val="20"/>
                <w:szCs w:val="20"/>
              </w:rPr>
            </w:pPr>
            <w:r w:rsidRPr="00022A0B">
              <w:rPr>
                <w:rFonts w:ascii="Arial Narrow" w:hAnsi="Arial Narrow" w:cs="Calibri"/>
                <w:color w:val="000000"/>
                <w:sz w:val="20"/>
                <w:szCs w:val="20"/>
              </w:rPr>
              <w:t>МеК</w:t>
            </w:r>
          </w:p>
        </w:tc>
        <w:tc>
          <w:tcPr>
            <w:tcW w:w="1741" w:type="dxa"/>
            <w:tcBorders>
              <w:top w:val="nil"/>
              <w:left w:val="nil"/>
              <w:bottom w:val="single" w:sz="4" w:space="0" w:color="auto"/>
              <w:right w:val="single" w:sz="4" w:space="0" w:color="auto"/>
            </w:tcBorders>
            <w:shd w:val="clear" w:color="auto" w:fill="auto"/>
            <w:noWrap/>
            <w:vAlign w:val="center"/>
            <w:hideMark/>
          </w:tcPr>
          <w:p w14:paraId="14373FCB" w14:textId="77777777" w:rsidR="00BA7C7F" w:rsidRPr="00022A0B" w:rsidRDefault="00BA7C7F" w:rsidP="00BA7C7F">
            <w:pPr>
              <w:jc w:val="right"/>
              <w:rPr>
                <w:rFonts w:ascii="Arial Narrow" w:hAnsi="Arial Narrow" w:cs="Calibri"/>
                <w:color w:val="000000"/>
                <w:sz w:val="20"/>
                <w:szCs w:val="20"/>
              </w:rPr>
            </w:pPr>
            <w:r w:rsidRPr="00022A0B">
              <w:rPr>
                <w:rFonts w:ascii="Arial Narrow" w:hAnsi="Arial Narrow" w:cs="Calibri"/>
                <w:color w:val="000000"/>
                <w:sz w:val="20"/>
                <w:szCs w:val="20"/>
              </w:rPr>
              <w:t>27 117 851</w:t>
            </w:r>
          </w:p>
        </w:tc>
        <w:tc>
          <w:tcPr>
            <w:tcW w:w="1452" w:type="dxa"/>
            <w:tcBorders>
              <w:top w:val="nil"/>
              <w:left w:val="nil"/>
              <w:bottom w:val="single" w:sz="4" w:space="0" w:color="auto"/>
              <w:right w:val="single" w:sz="4" w:space="0" w:color="auto"/>
            </w:tcBorders>
            <w:shd w:val="clear" w:color="auto" w:fill="auto"/>
            <w:vAlign w:val="center"/>
            <w:hideMark/>
          </w:tcPr>
          <w:p w14:paraId="2696FB7B" w14:textId="77777777" w:rsidR="00BA7C7F" w:rsidRPr="00022A0B" w:rsidRDefault="00BA7C7F" w:rsidP="00BA7C7F">
            <w:pPr>
              <w:jc w:val="right"/>
              <w:rPr>
                <w:rFonts w:ascii="Arial Narrow" w:hAnsi="Arial Narrow" w:cs="Calibri"/>
                <w:color w:val="000000"/>
                <w:sz w:val="20"/>
                <w:szCs w:val="20"/>
              </w:rPr>
            </w:pPr>
            <w:r w:rsidRPr="00022A0B">
              <w:rPr>
                <w:rFonts w:ascii="Arial Narrow" w:hAnsi="Arial Narrow" w:cs="Calibri"/>
                <w:color w:val="000000"/>
                <w:sz w:val="20"/>
                <w:szCs w:val="20"/>
              </w:rPr>
              <w:t>3 845</w:t>
            </w:r>
          </w:p>
        </w:tc>
        <w:tc>
          <w:tcPr>
            <w:tcW w:w="1378" w:type="dxa"/>
            <w:tcBorders>
              <w:top w:val="nil"/>
              <w:left w:val="nil"/>
              <w:bottom w:val="single" w:sz="4" w:space="0" w:color="auto"/>
              <w:right w:val="single" w:sz="4" w:space="0" w:color="auto"/>
            </w:tcBorders>
            <w:shd w:val="clear" w:color="auto" w:fill="auto"/>
            <w:vAlign w:val="center"/>
            <w:hideMark/>
          </w:tcPr>
          <w:p w14:paraId="093A6206" w14:textId="77777777" w:rsidR="00BA7C7F" w:rsidRPr="00022A0B" w:rsidRDefault="00BA7C7F" w:rsidP="00BA7C7F">
            <w:pPr>
              <w:jc w:val="center"/>
              <w:rPr>
                <w:rFonts w:ascii="Arial Narrow" w:hAnsi="Arial Narrow" w:cs="Calibri"/>
                <w:color w:val="000000"/>
                <w:sz w:val="20"/>
                <w:szCs w:val="20"/>
              </w:rPr>
            </w:pPr>
            <w:r w:rsidRPr="00022A0B">
              <w:rPr>
                <w:rFonts w:ascii="Arial Narrow" w:hAnsi="Arial Narrow" w:cs="Calibri"/>
                <w:color w:val="000000"/>
                <w:sz w:val="20"/>
                <w:szCs w:val="20"/>
              </w:rPr>
              <w:t>250,01</w:t>
            </w:r>
          </w:p>
        </w:tc>
        <w:tc>
          <w:tcPr>
            <w:tcW w:w="1380" w:type="dxa"/>
            <w:tcBorders>
              <w:top w:val="nil"/>
              <w:left w:val="nil"/>
              <w:bottom w:val="single" w:sz="4" w:space="0" w:color="auto"/>
              <w:right w:val="single" w:sz="4" w:space="0" w:color="auto"/>
            </w:tcBorders>
            <w:shd w:val="clear" w:color="auto" w:fill="auto"/>
            <w:noWrap/>
            <w:vAlign w:val="center"/>
            <w:hideMark/>
          </w:tcPr>
          <w:p w14:paraId="1FCF2678" w14:textId="77777777" w:rsidR="00BA7C7F" w:rsidRPr="00022A0B" w:rsidRDefault="00BA7C7F" w:rsidP="00BA7C7F">
            <w:pPr>
              <w:jc w:val="center"/>
              <w:rPr>
                <w:rFonts w:ascii="Arial Narrow" w:hAnsi="Arial Narrow" w:cs="Calibri"/>
                <w:color w:val="000000"/>
                <w:sz w:val="20"/>
                <w:szCs w:val="20"/>
              </w:rPr>
            </w:pPr>
            <w:r w:rsidRPr="00022A0B">
              <w:rPr>
                <w:rFonts w:ascii="Arial Narrow" w:hAnsi="Arial Narrow" w:cs="Calibri"/>
                <w:color w:val="000000"/>
                <w:sz w:val="20"/>
                <w:szCs w:val="20"/>
              </w:rPr>
              <w:t>200,00</w:t>
            </w:r>
          </w:p>
        </w:tc>
        <w:tc>
          <w:tcPr>
            <w:tcW w:w="1596" w:type="dxa"/>
            <w:tcBorders>
              <w:top w:val="nil"/>
              <w:left w:val="nil"/>
              <w:bottom w:val="single" w:sz="4" w:space="0" w:color="auto"/>
              <w:right w:val="single" w:sz="4" w:space="0" w:color="auto"/>
            </w:tcBorders>
            <w:shd w:val="clear" w:color="auto" w:fill="auto"/>
            <w:noWrap/>
            <w:vAlign w:val="center"/>
            <w:hideMark/>
          </w:tcPr>
          <w:p w14:paraId="69039C76" w14:textId="77777777" w:rsidR="00BA7C7F" w:rsidRPr="00022A0B" w:rsidRDefault="00BA7C7F" w:rsidP="00BA7C7F">
            <w:pPr>
              <w:jc w:val="right"/>
              <w:rPr>
                <w:rFonts w:ascii="Arial Narrow" w:hAnsi="Arial Narrow" w:cs="Calibri"/>
                <w:color w:val="000000"/>
                <w:sz w:val="20"/>
                <w:szCs w:val="20"/>
              </w:rPr>
            </w:pPr>
            <w:r w:rsidRPr="00022A0B">
              <w:rPr>
                <w:rFonts w:ascii="Arial Narrow" w:hAnsi="Arial Narrow" w:cs="Calibri"/>
                <w:color w:val="000000"/>
                <w:sz w:val="20"/>
                <w:szCs w:val="20"/>
              </w:rPr>
              <w:t>26 026 476</w:t>
            </w:r>
          </w:p>
        </w:tc>
      </w:tr>
      <w:tr w:rsidR="00BA7C7F" w:rsidRPr="00C57ABA" w14:paraId="68F0C454" w14:textId="77777777" w:rsidTr="00B37935">
        <w:trPr>
          <w:trHeight w:val="308"/>
        </w:trPr>
        <w:tc>
          <w:tcPr>
            <w:tcW w:w="2207" w:type="dxa"/>
            <w:tcBorders>
              <w:top w:val="nil"/>
              <w:left w:val="single" w:sz="4" w:space="0" w:color="auto"/>
              <w:bottom w:val="single" w:sz="4" w:space="0" w:color="auto"/>
              <w:right w:val="single" w:sz="4" w:space="0" w:color="auto"/>
            </w:tcBorders>
            <w:shd w:val="clear" w:color="auto" w:fill="auto"/>
            <w:vAlign w:val="center"/>
            <w:hideMark/>
          </w:tcPr>
          <w:p w14:paraId="04955A33" w14:textId="77777777" w:rsidR="00BA7C7F" w:rsidRPr="00022A0B" w:rsidRDefault="00BA7C7F" w:rsidP="00BA7C7F">
            <w:pPr>
              <w:rPr>
                <w:rFonts w:ascii="Arial Narrow" w:hAnsi="Arial Narrow" w:cs="Calibri"/>
                <w:color w:val="000000"/>
                <w:sz w:val="20"/>
                <w:szCs w:val="20"/>
              </w:rPr>
            </w:pPr>
            <w:r w:rsidRPr="00022A0B">
              <w:rPr>
                <w:rFonts w:ascii="Arial Narrow" w:hAnsi="Arial Narrow" w:cs="Calibri"/>
                <w:color w:val="000000"/>
                <w:sz w:val="20"/>
                <w:szCs w:val="20"/>
              </w:rPr>
              <w:t>МеК-РП</w:t>
            </w:r>
          </w:p>
        </w:tc>
        <w:tc>
          <w:tcPr>
            <w:tcW w:w="1741" w:type="dxa"/>
            <w:tcBorders>
              <w:top w:val="nil"/>
              <w:left w:val="nil"/>
              <w:bottom w:val="single" w:sz="4" w:space="0" w:color="auto"/>
              <w:right w:val="single" w:sz="4" w:space="0" w:color="auto"/>
            </w:tcBorders>
            <w:shd w:val="clear" w:color="auto" w:fill="auto"/>
            <w:noWrap/>
            <w:vAlign w:val="center"/>
            <w:hideMark/>
          </w:tcPr>
          <w:p w14:paraId="70B201E8" w14:textId="77777777" w:rsidR="00BA7C7F" w:rsidRPr="00022A0B" w:rsidRDefault="00BA7C7F" w:rsidP="00BA7C7F">
            <w:pPr>
              <w:jc w:val="right"/>
              <w:rPr>
                <w:rFonts w:ascii="Arial Narrow" w:hAnsi="Arial Narrow" w:cs="Calibri"/>
                <w:color w:val="000000"/>
                <w:sz w:val="20"/>
                <w:szCs w:val="20"/>
              </w:rPr>
            </w:pPr>
            <w:r w:rsidRPr="00022A0B">
              <w:rPr>
                <w:rFonts w:ascii="Arial Narrow" w:hAnsi="Arial Narrow" w:cs="Calibri"/>
                <w:color w:val="000000"/>
                <w:sz w:val="20"/>
                <w:szCs w:val="20"/>
              </w:rPr>
              <w:t>5 020 872</w:t>
            </w:r>
          </w:p>
        </w:tc>
        <w:tc>
          <w:tcPr>
            <w:tcW w:w="1452" w:type="dxa"/>
            <w:tcBorders>
              <w:top w:val="nil"/>
              <w:left w:val="nil"/>
              <w:bottom w:val="single" w:sz="4" w:space="0" w:color="auto"/>
              <w:right w:val="single" w:sz="4" w:space="0" w:color="auto"/>
            </w:tcBorders>
            <w:shd w:val="clear" w:color="auto" w:fill="auto"/>
            <w:vAlign w:val="center"/>
            <w:hideMark/>
          </w:tcPr>
          <w:p w14:paraId="78002800" w14:textId="77777777" w:rsidR="00BA7C7F" w:rsidRPr="00022A0B" w:rsidRDefault="00BA7C7F" w:rsidP="00BA7C7F">
            <w:pPr>
              <w:jc w:val="right"/>
              <w:rPr>
                <w:rFonts w:ascii="Arial Narrow" w:hAnsi="Arial Narrow" w:cs="Calibri"/>
                <w:color w:val="000000"/>
                <w:sz w:val="20"/>
                <w:szCs w:val="20"/>
              </w:rPr>
            </w:pPr>
            <w:r w:rsidRPr="00022A0B">
              <w:rPr>
                <w:rFonts w:ascii="Arial Narrow" w:hAnsi="Arial Narrow" w:cs="Calibri"/>
                <w:color w:val="000000"/>
                <w:sz w:val="20"/>
                <w:szCs w:val="20"/>
              </w:rPr>
              <w:t>219</w:t>
            </w:r>
          </w:p>
        </w:tc>
        <w:tc>
          <w:tcPr>
            <w:tcW w:w="1378" w:type="dxa"/>
            <w:tcBorders>
              <w:top w:val="nil"/>
              <w:left w:val="nil"/>
              <w:bottom w:val="single" w:sz="4" w:space="0" w:color="auto"/>
              <w:right w:val="single" w:sz="4" w:space="0" w:color="auto"/>
            </w:tcBorders>
            <w:shd w:val="clear" w:color="auto" w:fill="auto"/>
            <w:vAlign w:val="center"/>
            <w:hideMark/>
          </w:tcPr>
          <w:p w14:paraId="390B789E" w14:textId="77777777" w:rsidR="00BA7C7F" w:rsidRPr="00022A0B" w:rsidRDefault="00BA7C7F" w:rsidP="00BA7C7F">
            <w:pPr>
              <w:jc w:val="center"/>
              <w:rPr>
                <w:rFonts w:ascii="Arial Narrow" w:hAnsi="Arial Narrow" w:cs="Calibri"/>
                <w:color w:val="000000"/>
                <w:sz w:val="20"/>
                <w:szCs w:val="20"/>
              </w:rPr>
            </w:pPr>
            <w:r w:rsidRPr="00022A0B">
              <w:rPr>
                <w:rFonts w:ascii="Arial Narrow" w:hAnsi="Arial Narrow" w:cs="Calibri"/>
                <w:color w:val="000000"/>
                <w:sz w:val="20"/>
                <w:szCs w:val="20"/>
              </w:rPr>
              <w:t>384,18</w:t>
            </w:r>
          </w:p>
        </w:tc>
        <w:tc>
          <w:tcPr>
            <w:tcW w:w="1380" w:type="dxa"/>
            <w:tcBorders>
              <w:top w:val="nil"/>
              <w:left w:val="nil"/>
              <w:bottom w:val="single" w:sz="4" w:space="0" w:color="auto"/>
              <w:right w:val="single" w:sz="4" w:space="0" w:color="auto"/>
            </w:tcBorders>
            <w:shd w:val="clear" w:color="auto" w:fill="auto"/>
            <w:vAlign w:val="center"/>
            <w:hideMark/>
          </w:tcPr>
          <w:p w14:paraId="081F1F8A" w14:textId="77777777" w:rsidR="00BA7C7F" w:rsidRPr="00022A0B" w:rsidRDefault="00BA7C7F" w:rsidP="00BA7C7F">
            <w:pPr>
              <w:jc w:val="center"/>
              <w:rPr>
                <w:rFonts w:ascii="Arial Narrow" w:hAnsi="Arial Narrow" w:cs="Calibri"/>
                <w:color w:val="000000"/>
                <w:sz w:val="20"/>
                <w:szCs w:val="20"/>
              </w:rPr>
            </w:pPr>
            <w:r w:rsidRPr="00022A0B">
              <w:rPr>
                <w:rFonts w:ascii="Arial Narrow" w:hAnsi="Arial Narrow" w:cs="Calibri"/>
                <w:color w:val="000000"/>
                <w:sz w:val="20"/>
                <w:szCs w:val="20"/>
              </w:rPr>
              <w:t>307,35</w:t>
            </w:r>
          </w:p>
        </w:tc>
        <w:tc>
          <w:tcPr>
            <w:tcW w:w="1596" w:type="dxa"/>
            <w:tcBorders>
              <w:top w:val="nil"/>
              <w:left w:val="nil"/>
              <w:bottom w:val="single" w:sz="4" w:space="0" w:color="auto"/>
              <w:right w:val="single" w:sz="4" w:space="0" w:color="auto"/>
            </w:tcBorders>
            <w:shd w:val="clear" w:color="auto" w:fill="auto"/>
            <w:noWrap/>
            <w:vAlign w:val="center"/>
            <w:hideMark/>
          </w:tcPr>
          <w:p w14:paraId="2D09B851" w14:textId="77777777" w:rsidR="00BA7C7F" w:rsidRPr="00022A0B" w:rsidRDefault="00BA7C7F" w:rsidP="00BA7C7F">
            <w:pPr>
              <w:jc w:val="right"/>
              <w:rPr>
                <w:rFonts w:ascii="Arial Narrow" w:hAnsi="Arial Narrow" w:cs="Calibri"/>
                <w:color w:val="000000"/>
                <w:sz w:val="20"/>
                <w:szCs w:val="20"/>
              </w:rPr>
            </w:pPr>
            <w:r w:rsidRPr="00022A0B">
              <w:rPr>
                <w:rFonts w:ascii="Arial Narrow" w:hAnsi="Arial Narrow" w:cs="Calibri"/>
                <w:color w:val="000000"/>
                <w:sz w:val="20"/>
                <w:szCs w:val="20"/>
              </w:rPr>
              <w:t>4 954 862</w:t>
            </w:r>
          </w:p>
        </w:tc>
      </w:tr>
      <w:tr w:rsidR="00BA7C7F" w:rsidRPr="00C57ABA" w14:paraId="104BEDBD" w14:textId="77777777" w:rsidTr="00B37935">
        <w:trPr>
          <w:trHeight w:val="308"/>
        </w:trPr>
        <w:tc>
          <w:tcPr>
            <w:tcW w:w="2207" w:type="dxa"/>
            <w:tcBorders>
              <w:top w:val="nil"/>
              <w:left w:val="single" w:sz="4" w:space="0" w:color="auto"/>
              <w:bottom w:val="single" w:sz="4" w:space="0" w:color="auto"/>
              <w:right w:val="single" w:sz="4" w:space="0" w:color="auto"/>
            </w:tcBorders>
            <w:shd w:val="clear" w:color="auto" w:fill="auto"/>
            <w:vAlign w:val="center"/>
            <w:hideMark/>
          </w:tcPr>
          <w:p w14:paraId="77A8C099" w14:textId="77777777" w:rsidR="00BA7C7F" w:rsidRPr="00022A0B" w:rsidRDefault="00BA7C7F" w:rsidP="00BA7C7F">
            <w:pPr>
              <w:rPr>
                <w:rFonts w:ascii="Arial Narrow" w:hAnsi="Arial Narrow" w:cs="Calibri"/>
                <w:color w:val="000000"/>
                <w:sz w:val="20"/>
                <w:szCs w:val="20"/>
              </w:rPr>
            </w:pPr>
            <w:r w:rsidRPr="00022A0B">
              <w:rPr>
                <w:rFonts w:ascii="Arial Narrow" w:hAnsi="Arial Narrow" w:cs="Calibri"/>
                <w:color w:val="000000"/>
                <w:sz w:val="20"/>
                <w:szCs w:val="20"/>
              </w:rPr>
              <w:t>К-ЗП</w:t>
            </w:r>
          </w:p>
        </w:tc>
        <w:tc>
          <w:tcPr>
            <w:tcW w:w="1741" w:type="dxa"/>
            <w:tcBorders>
              <w:top w:val="nil"/>
              <w:left w:val="nil"/>
              <w:bottom w:val="single" w:sz="4" w:space="0" w:color="auto"/>
              <w:right w:val="single" w:sz="4" w:space="0" w:color="auto"/>
            </w:tcBorders>
            <w:shd w:val="clear" w:color="auto" w:fill="auto"/>
            <w:noWrap/>
            <w:vAlign w:val="center"/>
            <w:hideMark/>
          </w:tcPr>
          <w:p w14:paraId="1FF1B7FA" w14:textId="77777777" w:rsidR="00BA7C7F" w:rsidRPr="00022A0B" w:rsidRDefault="00BA7C7F" w:rsidP="00BA7C7F">
            <w:pPr>
              <w:jc w:val="right"/>
              <w:rPr>
                <w:rFonts w:ascii="Arial Narrow" w:hAnsi="Arial Narrow" w:cs="Calibri"/>
                <w:color w:val="000000"/>
                <w:sz w:val="20"/>
                <w:szCs w:val="20"/>
              </w:rPr>
            </w:pPr>
            <w:r w:rsidRPr="00022A0B">
              <w:rPr>
                <w:rFonts w:ascii="Arial Narrow" w:hAnsi="Arial Narrow" w:cs="Calibri"/>
                <w:color w:val="000000"/>
                <w:sz w:val="20"/>
                <w:szCs w:val="20"/>
              </w:rPr>
              <w:t>6 231 688</w:t>
            </w:r>
          </w:p>
        </w:tc>
        <w:tc>
          <w:tcPr>
            <w:tcW w:w="1452" w:type="dxa"/>
            <w:tcBorders>
              <w:top w:val="nil"/>
              <w:left w:val="nil"/>
              <w:bottom w:val="single" w:sz="4" w:space="0" w:color="auto"/>
              <w:right w:val="single" w:sz="4" w:space="0" w:color="auto"/>
            </w:tcBorders>
            <w:shd w:val="clear" w:color="auto" w:fill="auto"/>
            <w:vAlign w:val="center"/>
            <w:hideMark/>
          </w:tcPr>
          <w:p w14:paraId="172BB82E" w14:textId="77777777" w:rsidR="00BA7C7F" w:rsidRPr="00022A0B" w:rsidRDefault="00BA7C7F" w:rsidP="00BA7C7F">
            <w:pPr>
              <w:jc w:val="right"/>
              <w:rPr>
                <w:rFonts w:ascii="Arial Narrow" w:hAnsi="Arial Narrow" w:cs="Calibri"/>
                <w:color w:val="000000"/>
                <w:sz w:val="20"/>
                <w:szCs w:val="20"/>
              </w:rPr>
            </w:pPr>
            <w:r w:rsidRPr="00022A0B">
              <w:rPr>
                <w:rFonts w:ascii="Arial Narrow" w:hAnsi="Arial Narrow" w:cs="Calibri"/>
                <w:color w:val="000000"/>
                <w:sz w:val="20"/>
                <w:szCs w:val="20"/>
              </w:rPr>
              <w:t>484</w:t>
            </w:r>
          </w:p>
        </w:tc>
        <w:tc>
          <w:tcPr>
            <w:tcW w:w="1378" w:type="dxa"/>
            <w:tcBorders>
              <w:top w:val="nil"/>
              <w:left w:val="nil"/>
              <w:bottom w:val="single" w:sz="4" w:space="0" w:color="auto"/>
              <w:right w:val="single" w:sz="4" w:space="0" w:color="auto"/>
            </w:tcBorders>
            <w:shd w:val="clear" w:color="auto" w:fill="auto"/>
            <w:vAlign w:val="center"/>
            <w:hideMark/>
          </w:tcPr>
          <w:p w14:paraId="034585B2" w14:textId="77777777" w:rsidR="00BA7C7F" w:rsidRPr="00022A0B" w:rsidRDefault="00BA7C7F" w:rsidP="00BA7C7F">
            <w:pPr>
              <w:jc w:val="center"/>
              <w:rPr>
                <w:rFonts w:ascii="Arial Narrow" w:hAnsi="Arial Narrow" w:cs="Calibri"/>
                <w:color w:val="000000"/>
                <w:sz w:val="20"/>
                <w:szCs w:val="20"/>
              </w:rPr>
            </w:pPr>
            <w:r w:rsidRPr="00022A0B">
              <w:rPr>
                <w:rFonts w:ascii="Arial Narrow" w:hAnsi="Arial Narrow" w:cs="Calibri"/>
                <w:color w:val="000000"/>
                <w:sz w:val="20"/>
                <w:szCs w:val="20"/>
              </w:rPr>
              <w:t>251,32</w:t>
            </w:r>
          </w:p>
        </w:tc>
        <w:tc>
          <w:tcPr>
            <w:tcW w:w="1380" w:type="dxa"/>
            <w:tcBorders>
              <w:top w:val="nil"/>
              <w:left w:val="nil"/>
              <w:bottom w:val="single" w:sz="4" w:space="0" w:color="auto"/>
              <w:right w:val="single" w:sz="4" w:space="0" w:color="auto"/>
            </w:tcBorders>
            <w:shd w:val="clear" w:color="auto" w:fill="auto"/>
            <w:noWrap/>
            <w:vAlign w:val="center"/>
            <w:hideMark/>
          </w:tcPr>
          <w:p w14:paraId="1D26ADFF" w14:textId="77777777" w:rsidR="00BA7C7F" w:rsidRPr="00022A0B" w:rsidRDefault="00BA7C7F" w:rsidP="00BA7C7F">
            <w:pPr>
              <w:jc w:val="center"/>
              <w:rPr>
                <w:rFonts w:ascii="Arial Narrow" w:hAnsi="Arial Narrow" w:cs="Calibri"/>
                <w:color w:val="000000"/>
                <w:sz w:val="20"/>
                <w:szCs w:val="20"/>
              </w:rPr>
            </w:pPr>
            <w:r w:rsidRPr="00022A0B">
              <w:rPr>
                <w:rFonts w:ascii="Arial Narrow" w:hAnsi="Arial Narrow" w:cs="Calibri"/>
                <w:color w:val="000000"/>
                <w:sz w:val="20"/>
                <w:szCs w:val="20"/>
              </w:rPr>
              <w:t>201,06</w:t>
            </w:r>
          </w:p>
        </w:tc>
        <w:tc>
          <w:tcPr>
            <w:tcW w:w="1596" w:type="dxa"/>
            <w:tcBorders>
              <w:top w:val="nil"/>
              <w:left w:val="nil"/>
              <w:bottom w:val="single" w:sz="4" w:space="0" w:color="auto"/>
              <w:right w:val="single" w:sz="4" w:space="0" w:color="auto"/>
            </w:tcBorders>
            <w:shd w:val="clear" w:color="auto" w:fill="auto"/>
            <w:noWrap/>
            <w:vAlign w:val="center"/>
            <w:hideMark/>
          </w:tcPr>
          <w:p w14:paraId="6FEDC92E" w14:textId="77777777" w:rsidR="00BA7C7F" w:rsidRPr="00022A0B" w:rsidRDefault="00BA7C7F" w:rsidP="00BA7C7F">
            <w:pPr>
              <w:jc w:val="right"/>
              <w:rPr>
                <w:rFonts w:ascii="Arial Narrow" w:hAnsi="Arial Narrow" w:cs="Calibri"/>
                <w:color w:val="000000"/>
                <w:sz w:val="20"/>
                <w:szCs w:val="20"/>
              </w:rPr>
            </w:pPr>
            <w:r w:rsidRPr="00022A0B">
              <w:rPr>
                <w:rFonts w:ascii="Arial Narrow" w:hAnsi="Arial Narrow" w:cs="Calibri"/>
                <w:color w:val="000000"/>
                <w:sz w:val="20"/>
                <w:szCs w:val="20"/>
              </w:rPr>
              <w:t>6 170 994</w:t>
            </w:r>
          </w:p>
        </w:tc>
      </w:tr>
      <w:tr w:rsidR="00BA7C7F" w:rsidRPr="00C57ABA" w14:paraId="05CBCDDE" w14:textId="77777777" w:rsidTr="00B37935">
        <w:trPr>
          <w:trHeight w:val="308"/>
        </w:trPr>
        <w:tc>
          <w:tcPr>
            <w:tcW w:w="2207" w:type="dxa"/>
            <w:tcBorders>
              <w:top w:val="nil"/>
              <w:left w:val="single" w:sz="4" w:space="0" w:color="auto"/>
              <w:bottom w:val="single" w:sz="4" w:space="0" w:color="auto"/>
              <w:right w:val="single" w:sz="4" w:space="0" w:color="auto"/>
            </w:tcBorders>
            <w:shd w:val="clear" w:color="auto" w:fill="auto"/>
            <w:vAlign w:val="center"/>
            <w:hideMark/>
          </w:tcPr>
          <w:p w14:paraId="4BEC213C" w14:textId="77777777" w:rsidR="00BA7C7F" w:rsidRPr="00022A0B" w:rsidRDefault="00BA7C7F" w:rsidP="00BA7C7F">
            <w:pPr>
              <w:rPr>
                <w:rFonts w:ascii="Arial Narrow" w:hAnsi="Arial Narrow" w:cs="Calibri"/>
                <w:color w:val="000000"/>
                <w:sz w:val="20"/>
                <w:szCs w:val="20"/>
              </w:rPr>
            </w:pPr>
            <w:r w:rsidRPr="00022A0B">
              <w:rPr>
                <w:rFonts w:ascii="Arial Narrow" w:hAnsi="Arial Narrow" w:cs="Calibri"/>
                <w:color w:val="000000"/>
                <w:sz w:val="20"/>
                <w:szCs w:val="20"/>
              </w:rPr>
              <w:t>Г-пл</w:t>
            </w:r>
          </w:p>
        </w:tc>
        <w:tc>
          <w:tcPr>
            <w:tcW w:w="1741" w:type="dxa"/>
            <w:tcBorders>
              <w:top w:val="nil"/>
              <w:left w:val="nil"/>
              <w:bottom w:val="single" w:sz="4" w:space="0" w:color="auto"/>
              <w:right w:val="single" w:sz="4" w:space="0" w:color="auto"/>
            </w:tcBorders>
            <w:shd w:val="clear" w:color="auto" w:fill="auto"/>
            <w:noWrap/>
            <w:vAlign w:val="center"/>
            <w:hideMark/>
          </w:tcPr>
          <w:p w14:paraId="3CC3CFC4" w14:textId="77777777" w:rsidR="00BA7C7F" w:rsidRPr="00022A0B" w:rsidRDefault="00BA7C7F" w:rsidP="00BA7C7F">
            <w:pPr>
              <w:jc w:val="right"/>
              <w:rPr>
                <w:rFonts w:ascii="Arial Narrow" w:hAnsi="Arial Narrow" w:cs="Calibri"/>
                <w:color w:val="000000"/>
                <w:sz w:val="20"/>
                <w:szCs w:val="20"/>
              </w:rPr>
            </w:pPr>
            <w:r w:rsidRPr="00022A0B">
              <w:rPr>
                <w:rFonts w:ascii="Arial Narrow" w:hAnsi="Arial Narrow" w:cs="Calibri"/>
                <w:color w:val="000000"/>
                <w:sz w:val="20"/>
                <w:szCs w:val="20"/>
              </w:rPr>
              <w:t>1 092 875</w:t>
            </w:r>
          </w:p>
        </w:tc>
        <w:tc>
          <w:tcPr>
            <w:tcW w:w="1452" w:type="dxa"/>
            <w:tcBorders>
              <w:top w:val="nil"/>
              <w:left w:val="nil"/>
              <w:bottom w:val="single" w:sz="4" w:space="0" w:color="auto"/>
              <w:right w:val="single" w:sz="4" w:space="0" w:color="auto"/>
            </w:tcBorders>
            <w:shd w:val="clear" w:color="auto" w:fill="auto"/>
            <w:vAlign w:val="center"/>
            <w:hideMark/>
          </w:tcPr>
          <w:p w14:paraId="3F066B4B" w14:textId="77777777" w:rsidR="00BA7C7F" w:rsidRPr="00022A0B" w:rsidRDefault="00BA7C7F" w:rsidP="00BA7C7F">
            <w:pPr>
              <w:jc w:val="right"/>
              <w:rPr>
                <w:rFonts w:ascii="Arial Narrow" w:hAnsi="Arial Narrow" w:cs="Calibri"/>
                <w:color w:val="000000"/>
                <w:sz w:val="20"/>
                <w:szCs w:val="20"/>
              </w:rPr>
            </w:pPr>
            <w:r w:rsidRPr="00022A0B">
              <w:rPr>
                <w:rFonts w:ascii="Arial Narrow" w:hAnsi="Arial Narrow" w:cs="Calibri"/>
                <w:color w:val="000000"/>
                <w:sz w:val="20"/>
                <w:szCs w:val="20"/>
              </w:rPr>
              <w:t>579</w:t>
            </w:r>
          </w:p>
        </w:tc>
        <w:tc>
          <w:tcPr>
            <w:tcW w:w="2758" w:type="dxa"/>
            <w:gridSpan w:val="2"/>
            <w:tcBorders>
              <w:top w:val="single" w:sz="4" w:space="0" w:color="auto"/>
              <w:left w:val="nil"/>
              <w:bottom w:val="single" w:sz="4" w:space="0" w:color="auto"/>
              <w:right w:val="single" w:sz="4" w:space="0" w:color="auto"/>
            </w:tcBorders>
            <w:shd w:val="clear" w:color="auto" w:fill="auto"/>
            <w:vAlign w:val="center"/>
            <w:hideMark/>
          </w:tcPr>
          <w:p w14:paraId="744EF4F5" w14:textId="77777777" w:rsidR="00BA7C7F" w:rsidRPr="00022A0B" w:rsidRDefault="00BA7C7F" w:rsidP="00BA7C7F">
            <w:pPr>
              <w:jc w:val="center"/>
              <w:rPr>
                <w:rFonts w:ascii="Arial Narrow" w:hAnsi="Arial Narrow" w:cs="Calibri"/>
                <w:color w:val="000000"/>
                <w:sz w:val="20"/>
                <w:szCs w:val="20"/>
              </w:rPr>
            </w:pPr>
            <w:r w:rsidRPr="00022A0B">
              <w:rPr>
                <w:rFonts w:ascii="Arial Narrow" w:hAnsi="Arial Narrow" w:cs="Calibri"/>
                <w:color w:val="000000"/>
                <w:sz w:val="20"/>
                <w:szCs w:val="20"/>
              </w:rPr>
              <w:t>277,45</w:t>
            </w:r>
          </w:p>
        </w:tc>
        <w:tc>
          <w:tcPr>
            <w:tcW w:w="1596" w:type="dxa"/>
            <w:tcBorders>
              <w:top w:val="nil"/>
              <w:left w:val="nil"/>
              <w:bottom w:val="single" w:sz="4" w:space="0" w:color="auto"/>
              <w:right w:val="single" w:sz="4" w:space="0" w:color="auto"/>
            </w:tcBorders>
            <w:shd w:val="clear" w:color="auto" w:fill="auto"/>
            <w:noWrap/>
            <w:vAlign w:val="center"/>
            <w:hideMark/>
          </w:tcPr>
          <w:p w14:paraId="14185D9B" w14:textId="77777777" w:rsidR="00BA7C7F" w:rsidRPr="00022A0B" w:rsidRDefault="00BA7C7F" w:rsidP="00BA7C7F">
            <w:pPr>
              <w:jc w:val="right"/>
              <w:rPr>
                <w:rFonts w:ascii="Arial Narrow" w:hAnsi="Arial Narrow" w:cs="Calibri"/>
                <w:color w:val="000000"/>
                <w:sz w:val="20"/>
                <w:szCs w:val="20"/>
              </w:rPr>
            </w:pPr>
            <w:r w:rsidRPr="00022A0B">
              <w:rPr>
                <w:rFonts w:ascii="Arial Narrow" w:hAnsi="Arial Narrow" w:cs="Calibri"/>
                <w:color w:val="000000"/>
                <w:sz w:val="20"/>
                <w:szCs w:val="20"/>
              </w:rPr>
              <w:t>1 086 647</w:t>
            </w:r>
          </w:p>
        </w:tc>
      </w:tr>
      <w:tr w:rsidR="00BA7C7F" w:rsidRPr="00C57ABA" w14:paraId="1C0B1695" w14:textId="77777777" w:rsidTr="00B37935">
        <w:trPr>
          <w:trHeight w:val="308"/>
        </w:trPr>
        <w:tc>
          <w:tcPr>
            <w:tcW w:w="2207" w:type="dxa"/>
            <w:tcBorders>
              <w:top w:val="nil"/>
              <w:left w:val="single" w:sz="4" w:space="0" w:color="auto"/>
              <w:bottom w:val="single" w:sz="4" w:space="0" w:color="auto"/>
              <w:right w:val="single" w:sz="4" w:space="0" w:color="auto"/>
            </w:tcBorders>
            <w:shd w:val="clear" w:color="auto" w:fill="auto"/>
            <w:vAlign w:val="center"/>
            <w:hideMark/>
          </w:tcPr>
          <w:p w14:paraId="76A566DB" w14:textId="77777777" w:rsidR="00BA7C7F" w:rsidRPr="00022A0B" w:rsidRDefault="00BA7C7F" w:rsidP="00BA7C7F">
            <w:pPr>
              <w:rPr>
                <w:rFonts w:ascii="Arial Narrow" w:hAnsi="Arial Narrow" w:cs="Calibri"/>
                <w:color w:val="000000"/>
                <w:sz w:val="20"/>
                <w:szCs w:val="20"/>
              </w:rPr>
            </w:pPr>
            <w:r w:rsidRPr="00022A0B">
              <w:rPr>
                <w:rFonts w:ascii="Arial Narrow" w:hAnsi="Arial Narrow" w:cs="Calibri"/>
                <w:color w:val="000000"/>
                <w:sz w:val="20"/>
                <w:szCs w:val="20"/>
              </w:rPr>
              <w:t>Биволи</w:t>
            </w:r>
          </w:p>
        </w:tc>
        <w:tc>
          <w:tcPr>
            <w:tcW w:w="1741" w:type="dxa"/>
            <w:tcBorders>
              <w:top w:val="nil"/>
              <w:left w:val="nil"/>
              <w:bottom w:val="single" w:sz="4" w:space="0" w:color="auto"/>
              <w:right w:val="single" w:sz="4" w:space="0" w:color="auto"/>
            </w:tcBorders>
            <w:shd w:val="clear" w:color="auto" w:fill="auto"/>
            <w:noWrap/>
            <w:vAlign w:val="center"/>
            <w:hideMark/>
          </w:tcPr>
          <w:p w14:paraId="4267DC04" w14:textId="77777777" w:rsidR="00BA7C7F" w:rsidRPr="00022A0B" w:rsidRDefault="00BA7C7F" w:rsidP="00BA7C7F">
            <w:pPr>
              <w:jc w:val="right"/>
              <w:rPr>
                <w:rFonts w:ascii="Arial Narrow" w:hAnsi="Arial Narrow" w:cs="Calibri"/>
                <w:color w:val="000000"/>
                <w:sz w:val="20"/>
                <w:szCs w:val="20"/>
              </w:rPr>
            </w:pPr>
            <w:r w:rsidRPr="00022A0B">
              <w:rPr>
                <w:rFonts w:ascii="Arial Narrow" w:hAnsi="Arial Narrow" w:cs="Calibri"/>
                <w:color w:val="000000"/>
                <w:sz w:val="20"/>
                <w:szCs w:val="20"/>
              </w:rPr>
              <w:t>4 896 719</w:t>
            </w:r>
          </w:p>
        </w:tc>
        <w:tc>
          <w:tcPr>
            <w:tcW w:w="1452" w:type="dxa"/>
            <w:tcBorders>
              <w:top w:val="nil"/>
              <w:left w:val="nil"/>
              <w:bottom w:val="single" w:sz="4" w:space="0" w:color="auto"/>
              <w:right w:val="single" w:sz="4" w:space="0" w:color="auto"/>
            </w:tcBorders>
            <w:shd w:val="clear" w:color="auto" w:fill="auto"/>
            <w:vAlign w:val="center"/>
            <w:hideMark/>
          </w:tcPr>
          <w:p w14:paraId="2570540E" w14:textId="77777777" w:rsidR="00BA7C7F" w:rsidRPr="00022A0B" w:rsidRDefault="00BA7C7F" w:rsidP="00BA7C7F">
            <w:pPr>
              <w:jc w:val="right"/>
              <w:rPr>
                <w:rFonts w:ascii="Arial Narrow" w:hAnsi="Arial Narrow" w:cs="Calibri"/>
                <w:color w:val="000000"/>
                <w:sz w:val="20"/>
                <w:szCs w:val="20"/>
              </w:rPr>
            </w:pPr>
            <w:r w:rsidRPr="00022A0B">
              <w:rPr>
                <w:rFonts w:ascii="Arial Narrow" w:hAnsi="Arial Narrow" w:cs="Calibri"/>
                <w:color w:val="000000"/>
                <w:sz w:val="20"/>
                <w:szCs w:val="20"/>
              </w:rPr>
              <w:t>237</w:t>
            </w:r>
          </w:p>
        </w:tc>
        <w:tc>
          <w:tcPr>
            <w:tcW w:w="1378" w:type="dxa"/>
            <w:tcBorders>
              <w:top w:val="nil"/>
              <w:left w:val="nil"/>
              <w:bottom w:val="single" w:sz="4" w:space="0" w:color="auto"/>
              <w:right w:val="single" w:sz="4" w:space="0" w:color="auto"/>
            </w:tcBorders>
            <w:shd w:val="clear" w:color="auto" w:fill="auto"/>
            <w:vAlign w:val="center"/>
            <w:hideMark/>
          </w:tcPr>
          <w:p w14:paraId="61556551" w14:textId="77777777" w:rsidR="00BA7C7F" w:rsidRPr="00022A0B" w:rsidRDefault="00BA7C7F" w:rsidP="00BA7C7F">
            <w:pPr>
              <w:jc w:val="center"/>
              <w:rPr>
                <w:rFonts w:ascii="Arial Narrow" w:hAnsi="Arial Narrow" w:cs="Calibri"/>
                <w:color w:val="000000"/>
                <w:sz w:val="20"/>
                <w:szCs w:val="20"/>
              </w:rPr>
            </w:pPr>
            <w:r w:rsidRPr="00022A0B">
              <w:rPr>
                <w:rFonts w:ascii="Arial Narrow" w:hAnsi="Arial Narrow" w:cs="Calibri"/>
                <w:color w:val="000000"/>
                <w:sz w:val="20"/>
                <w:szCs w:val="20"/>
              </w:rPr>
              <w:t>408,19</w:t>
            </w:r>
          </w:p>
        </w:tc>
        <w:tc>
          <w:tcPr>
            <w:tcW w:w="1380" w:type="dxa"/>
            <w:tcBorders>
              <w:top w:val="nil"/>
              <w:left w:val="nil"/>
              <w:bottom w:val="single" w:sz="4" w:space="0" w:color="auto"/>
              <w:right w:val="single" w:sz="4" w:space="0" w:color="auto"/>
            </w:tcBorders>
            <w:shd w:val="clear" w:color="auto" w:fill="auto"/>
            <w:vAlign w:val="center"/>
            <w:hideMark/>
          </w:tcPr>
          <w:p w14:paraId="241CB22A" w14:textId="77777777" w:rsidR="00BA7C7F" w:rsidRPr="00022A0B" w:rsidRDefault="00BA7C7F" w:rsidP="00BA7C7F">
            <w:pPr>
              <w:jc w:val="center"/>
              <w:rPr>
                <w:rFonts w:ascii="Arial Narrow" w:hAnsi="Arial Narrow" w:cs="Calibri"/>
                <w:color w:val="000000"/>
                <w:sz w:val="20"/>
                <w:szCs w:val="20"/>
              </w:rPr>
            </w:pPr>
            <w:r w:rsidRPr="00022A0B">
              <w:rPr>
                <w:rFonts w:ascii="Arial Narrow" w:hAnsi="Arial Narrow" w:cs="Calibri"/>
                <w:color w:val="000000"/>
                <w:sz w:val="20"/>
                <w:szCs w:val="20"/>
              </w:rPr>
              <w:t>326,55</w:t>
            </w:r>
          </w:p>
        </w:tc>
        <w:tc>
          <w:tcPr>
            <w:tcW w:w="1596" w:type="dxa"/>
            <w:tcBorders>
              <w:top w:val="nil"/>
              <w:left w:val="nil"/>
              <w:bottom w:val="single" w:sz="4" w:space="0" w:color="auto"/>
              <w:right w:val="single" w:sz="4" w:space="0" w:color="auto"/>
            </w:tcBorders>
            <w:shd w:val="clear" w:color="auto" w:fill="auto"/>
            <w:noWrap/>
            <w:vAlign w:val="center"/>
            <w:hideMark/>
          </w:tcPr>
          <w:p w14:paraId="7BEBB1A6" w14:textId="77777777" w:rsidR="00BA7C7F" w:rsidRPr="00022A0B" w:rsidRDefault="00BA7C7F" w:rsidP="00BA7C7F">
            <w:pPr>
              <w:jc w:val="right"/>
              <w:rPr>
                <w:rFonts w:ascii="Arial Narrow" w:hAnsi="Arial Narrow" w:cs="Calibri"/>
                <w:color w:val="000000"/>
                <w:sz w:val="20"/>
                <w:szCs w:val="20"/>
              </w:rPr>
            </w:pPr>
            <w:r w:rsidRPr="00022A0B">
              <w:rPr>
                <w:rFonts w:ascii="Arial Narrow" w:hAnsi="Arial Narrow" w:cs="Calibri"/>
                <w:color w:val="000000"/>
                <w:sz w:val="20"/>
                <w:szCs w:val="20"/>
              </w:rPr>
              <w:t>4 682 427</w:t>
            </w:r>
          </w:p>
        </w:tc>
      </w:tr>
      <w:tr w:rsidR="00BA7C7F" w:rsidRPr="00C57ABA" w14:paraId="6F3E14C1" w14:textId="77777777" w:rsidTr="00B37935">
        <w:trPr>
          <w:trHeight w:val="308"/>
        </w:trPr>
        <w:tc>
          <w:tcPr>
            <w:tcW w:w="2207" w:type="dxa"/>
            <w:tcBorders>
              <w:top w:val="nil"/>
              <w:left w:val="single" w:sz="4" w:space="0" w:color="auto"/>
              <w:bottom w:val="single" w:sz="4" w:space="0" w:color="auto"/>
              <w:right w:val="single" w:sz="4" w:space="0" w:color="auto"/>
            </w:tcBorders>
            <w:shd w:val="clear" w:color="auto" w:fill="auto"/>
            <w:vAlign w:val="center"/>
            <w:hideMark/>
          </w:tcPr>
          <w:p w14:paraId="706E0D8B" w14:textId="77777777" w:rsidR="00BA7C7F" w:rsidRPr="00022A0B" w:rsidRDefault="00BA7C7F" w:rsidP="00BA7C7F">
            <w:pPr>
              <w:rPr>
                <w:rFonts w:ascii="Arial Narrow" w:hAnsi="Arial Narrow" w:cs="Calibri"/>
                <w:color w:val="000000"/>
                <w:sz w:val="20"/>
                <w:szCs w:val="20"/>
              </w:rPr>
            </w:pPr>
            <w:r w:rsidRPr="00022A0B">
              <w:rPr>
                <w:rFonts w:ascii="Arial Narrow" w:hAnsi="Arial Narrow" w:cs="Calibri"/>
                <w:color w:val="000000"/>
                <w:sz w:val="20"/>
                <w:szCs w:val="20"/>
              </w:rPr>
              <w:t>ДПЖ-РП</w:t>
            </w:r>
          </w:p>
        </w:tc>
        <w:tc>
          <w:tcPr>
            <w:tcW w:w="1741" w:type="dxa"/>
            <w:tcBorders>
              <w:top w:val="nil"/>
              <w:left w:val="nil"/>
              <w:bottom w:val="single" w:sz="4" w:space="0" w:color="auto"/>
              <w:right w:val="single" w:sz="4" w:space="0" w:color="auto"/>
            </w:tcBorders>
            <w:shd w:val="clear" w:color="auto" w:fill="auto"/>
            <w:noWrap/>
            <w:vAlign w:val="center"/>
            <w:hideMark/>
          </w:tcPr>
          <w:p w14:paraId="490A8F46" w14:textId="77777777" w:rsidR="00BA7C7F" w:rsidRPr="00022A0B" w:rsidRDefault="00BA7C7F" w:rsidP="00BA7C7F">
            <w:pPr>
              <w:jc w:val="right"/>
              <w:rPr>
                <w:rFonts w:ascii="Arial Narrow" w:hAnsi="Arial Narrow" w:cs="Calibri"/>
                <w:color w:val="000000"/>
                <w:sz w:val="20"/>
                <w:szCs w:val="20"/>
              </w:rPr>
            </w:pPr>
            <w:r w:rsidRPr="00022A0B">
              <w:rPr>
                <w:rFonts w:ascii="Arial Narrow" w:hAnsi="Arial Narrow" w:cs="Calibri"/>
                <w:color w:val="000000"/>
                <w:sz w:val="20"/>
                <w:szCs w:val="20"/>
              </w:rPr>
              <w:t>17 286 316</w:t>
            </w:r>
          </w:p>
        </w:tc>
        <w:tc>
          <w:tcPr>
            <w:tcW w:w="1452" w:type="dxa"/>
            <w:tcBorders>
              <w:top w:val="nil"/>
              <w:left w:val="nil"/>
              <w:bottom w:val="single" w:sz="4" w:space="0" w:color="auto"/>
              <w:right w:val="single" w:sz="4" w:space="0" w:color="auto"/>
            </w:tcBorders>
            <w:shd w:val="clear" w:color="auto" w:fill="auto"/>
            <w:vAlign w:val="center"/>
            <w:hideMark/>
          </w:tcPr>
          <w:p w14:paraId="35273AFC" w14:textId="77777777" w:rsidR="00BA7C7F" w:rsidRPr="00022A0B" w:rsidRDefault="00BA7C7F" w:rsidP="00BA7C7F">
            <w:pPr>
              <w:jc w:val="right"/>
              <w:rPr>
                <w:rFonts w:ascii="Arial Narrow" w:hAnsi="Arial Narrow" w:cs="Calibri"/>
                <w:color w:val="000000"/>
                <w:sz w:val="20"/>
                <w:szCs w:val="20"/>
              </w:rPr>
            </w:pPr>
            <w:r w:rsidRPr="00022A0B">
              <w:rPr>
                <w:rFonts w:ascii="Arial Narrow" w:hAnsi="Arial Narrow" w:cs="Calibri"/>
                <w:color w:val="000000"/>
                <w:sz w:val="20"/>
                <w:szCs w:val="20"/>
              </w:rPr>
              <w:t>1 203</w:t>
            </w:r>
          </w:p>
        </w:tc>
        <w:tc>
          <w:tcPr>
            <w:tcW w:w="1378" w:type="dxa"/>
            <w:tcBorders>
              <w:top w:val="nil"/>
              <w:left w:val="nil"/>
              <w:bottom w:val="single" w:sz="4" w:space="0" w:color="auto"/>
              <w:right w:val="single" w:sz="4" w:space="0" w:color="auto"/>
            </w:tcBorders>
            <w:shd w:val="clear" w:color="auto" w:fill="auto"/>
            <w:vAlign w:val="center"/>
            <w:hideMark/>
          </w:tcPr>
          <w:p w14:paraId="3D0EA51F" w14:textId="77777777" w:rsidR="00BA7C7F" w:rsidRPr="00022A0B" w:rsidRDefault="00BA7C7F" w:rsidP="00BA7C7F">
            <w:pPr>
              <w:jc w:val="center"/>
              <w:rPr>
                <w:rFonts w:ascii="Arial Narrow" w:hAnsi="Arial Narrow" w:cs="Calibri"/>
                <w:color w:val="000000"/>
                <w:sz w:val="20"/>
                <w:szCs w:val="20"/>
              </w:rPr>
            </w:pPr>
            <w:r w:rsidRPr="00022A0B">
              <w:rPr>
                <w:rFonts w:ascii="Arial Narrow" w:hAnsi="Arial Narrow" w:cs="Calibri"/>
                <w:color w:val="000000"/>
                <w:sz w:val="20"/>
                <w:szCs w:val="20"/>
              </w:rPr>
              <w:t>84,24</w:t>
            </w:r>
          </w:p>
        </w:tc>
        <w:tc>
          <w:tcPr>
            <w:tcW w:w="1380" w:type="dxa"/>
            <w:tcBorders>
              <w:top w:val="nil"/>
              <w:left w:val="nil"/>
              <w:bottom w:val="single" w:sz="4" w:space="0" w:color="auto"/>
              <w:right w:val="single" w:sz="4" w:space="0" w:color="auto"/>
            </w:tcBorders>
            <w:shd w:val="clear" w:color="auto" w:fill="auto"/>
            <w:vAlign w:val="center"/>
            <w:hideMark/>
          </w:tcPr>
          <w:p w14:paraId="75E16C5A" w14:textId="77777777" w:rsidR="00BA7C7F" w:rsidRPr="00022A0B" w:rsidRDefault="00BA7C7F" w:rsidP="00BA7C7F">
            <w:pPr>
              <w:jc w:val="center"/>
              <w:rPr>
                <w:rFonts w:ascii="Arial Narrow" w:hAnsi="Arial Narrow" w:cs="Calibri"/>
                <w:color w:val="000000"/>
                <w:sz w:val="20"/>
                <w:szCs w:val="20"/>
              </w:rPr>
            </w:pPr>
            <w:r w:rsidRPr="00022A0B">
              <w:rPr>
                <w:rFonts w:ascii="Arial Narrow" w:hAnsi="Arial Narrow" w:cs="Calibri"/>
                <w:color w:val="000000"/>
                <w:sz w:val="20"/>
                <w:szCs w:val="20"/>
              </w:rPr>
              <w:t>67,40</w:t>
            </w:r>
          </w:p>
        </w:tc>
        <w:tc>
          <w:tcPr>
            <w:tcW w:w="1596" w:type="dxa"/>
            <w:tcBorders>
              <w:top w:val="nil"/>
              <w:left w:val="nil"/>
              <w:bottom w:val="single" w:sz="4" w:space="0" w:color="auto"/>
              <w:right w:val="single" w:sz="4" w:space="0" w:color="auto"/>
            </w:tcBorders>
            <w:shd w:val="clear" w:color="auto" w:fill="auto"/>
            <w:noWrap/>
            <w:vAlign w:val="center"/>
            <w:hideMark/>
          </w:tcPr>
          <w:p w14:paraId="6406AD95" w14:textId="77777777" w:rsidR="00BA7C7F" w:rsidRPr="00022A0B" w:rsidRDefault="00BA7C7F" w:rsidP="00BA7C7F">
            <w:pPr>
              <w:jc w:val="right"/>
              <w:rPr>
                <w:rFonts w:ascii="Arial Narrow" w:hAnsi="Arial Narrow" w:cs="Calibri"/>
                <w:color w:val="000000"/>
                <w:sz w:val="20"/>
                <w:szCs w:val="20"/>
              </w:rPr>
            </w:pPr>
            <w:r w:rsidRPr="00022A0B">
              <w:rPr>
                <w:rFonts w:ascii="Arial Narrow" w:hAnsi="Arial Narrow" w:cs="Calibri"/>
                <w:color w:val="000000"/>
                <w:sz w:val="20"/>
                <w:szCs w:val="20"/>
              </w:rPr>
              <w:t>17 068 753</w:t>
            </w:r>
          </w:p>
        </w:tc>
      </w:tr>
      <w:tr w:rsidR="00BA7C7F" w:rsidRPr="00C57ABA" w14:paraId="318F01A0" w14:textId="77777777" w:rsidTr="00B37935">
        <w:trPr>
          <w:trHeight w:val="308"/>
        </w:trPr>
        <w:tc>
          <w:tcPr>
            <w:tcW w:w="2207" w:type="dxa"/>
            <w:tcBorders>
              <w:top w:val="nil"/>
              <w:left w:val="single" w:sz="4" w:space="0" w:color="auto"/>
              <w:bottom w:val="single" w:sz="4" w:space="0" w:color="auto"/>
              <w:right w:val="single" w:sz="4" w:space="0" w:color="auto"/>
            </w:tcBorders>
            <w:shd w:val="clear" w:color="auto" w:fill="auto"/>
            <w:vAlign w:val="center"/>
            <w:hideMark/>
          </w:tcPr>
          <w:p w14:paraId="3BAF11F8" w14:textId="77777777" w:rsidR="00BA7C7F" w:rsidRPr="00022A0B" w:rsidRDefault="00BA7C7F" w:rsidP="00BA7C7F">
            <w:pPr>
              <w:rPr>
                <w:rFonts w:ascii="Arial Narrow" w:hAnsi="Arial Narrow" w:cs="Calibri"/>
                <w:color w:val="000000"/>
                <w:sz w:val="20"/>
                <w:szCs w:val="20"/>
              </w:rPr>
            </w:pPr>
            <w:r w:rsidRPr="00022A0B">
              <w:rPr>
                <w:rFonts w:ascii="Arial Narrow" w:hAnsi="Arial Narrow" w:cs="Calibri"/>
                <w:color w:val="000000"/>
                <w:sz w:val="20"/>
                <w:szCs w:val="20"/>
              </w:rPr>
              <w:t>ДПЖ-пл</w:t>
            </w:r>
          </w:p>
        </w:tc>
        <w:tc>
          <w:tcPr>
            <w:tcW w:w="1741" w:type="dxa"/>
            <w:tcBorders>
              <w:top w:val="nil"/>
              <w:left w:val="nil"/>
              <w:bottom w:val="single" w:sz="4" w:space="0" w:color="auto"/>
              <w:right w:val="single" w:sz="4" w:space="0" w:color="auto"/>
            </w:tcBorders>
            <w:shd w:val="clear" w:color="auto" w:fill="auto"/>
            <w:noWrap/>
            <w:vAlign w:val="center"/>
            <w:hideMark/>
          </w:tcPr>
          <w:p w14:paraId="465139A0" w14:textId="77777777" w:rsidR="00BA7C7F" w:rsidRPr="00022A0B" w:rsidRDefault="00BA7C7F" w:rsidP="00BA7C7F">
            <w:pPr>
              <w:jc w:val="right"/>
              <w:rPr>
                <w:rFonts w:ascii="Arial Narrow" w:hAnsi="Arial Narrow" w:cs="Calibri"/>
                <w:color w:val="000000"/>
                <w:sz w:val="20"/>
                <w:szCs w:val="20"/>
              </w:rPr>
            </w:pPr>
            <w:r w:rsidRPr="00022A0B">
              <w:rPr>
                <w:rFonts w:ascii="Arial Narrow" w:hAnsi="Arial Narrow" w:cs="Calibri"/>
                <w:color w:val="000000"/>
                <w:sz w:val="20"/>
                <w:szCs w:val="20"/>
              </w:rPr>
              <w:t>1 642 294</w:t>
            </w:r>
          </w:p>
        </w:tc>
        <w:tc>
          <w:tcPr>
            <w:tcW w:w="1452" w:type="dxa"/>
            <w:tcBorders>
              <w:top w:val="nil"/>
              <w:left w:val="nil"/>
              <w:bottom w:val="single" w:sz="4" w:space="0" w:color="auto"/>
              <w:right w:val="single" w:sz="4" w:space="0" w:color="auto"/>
            </w:tcBorders>
            <w:shd w:val="clear" w:color="auto" w:fill="auto"/>
            <w:vAlign w:val="center"/>
            <w:hideMark/>
          </w:tcPr>
          <w:p w14:paraId="351C837F" w14:textId="77777777" w:rsidR="00BA7C7F" w:rsidRPr="00022A0B" w:rsidRDefault="00BA7C7F" w:rsidP="00BA7C7F">
            <w:pPr>
              <w:jc w:val="right"/>
              <w:rPr>
                <w:rFonts w:ascii="Arial Narrow" w:hAnsi="Arial Narrow" w:cs="Calibri"/>
                <w:color w:val="000000"/>
                <w:sz w:val="20"/>
                <w:szCs w:val="20"/>
              </w:rPr>
            </w:pPr>
            <w:r w:rsidRPr="00022A0B">
              <w:rPr>
                <w:rFonts w:ascii="Arial Narrow" w:hAnsi="Arial Narrow" w:cs="Calibri"/>
                <w:color w:val="000000"/>
                <w:sz w:val="20"/>
                <w:szCs w:val="20"/>
              </w:rPr>
              <w:t>1 408</w:t>
            </w:r>
          </w:p>
        </w:tc>
        <w:tc>
          <w:tcPr>
            <w:tcW w:w="2758" w:type="dxa"/>
            <w:gridSpan w:val="2"/>
            <w:tcBorders>
              <w:top w:val="single" w:sz="4" w:space="0" w:color="auto"/>
              <w:left w:val="nil"/>
              <w:bottom w:val="single" w:sz="4" w:space="0" w:color="auto"/>
              <w:right w:val="single" w:sz="4" w:space="0" w:color="auto"/>
            </w:tcBorders>
            <w:shd w:val="clear" w:color="auto" w:fill="auto"/>
            <w:noWrap/>
            <w:vAlign w:val="center"/>
            <w:hideMark/>
          </w:tcPr>
          <w:p w14:paraId="21ED66D8" w14:textId="77777777" w:rsidR="00BA7C7F" w:rsidRPr="00022A0B" w:rsidRDefault="00BA7C7F" w:rsidP="00BA7C7F">
            <w:pPr>
              <w:jc w:val="center"/>
              <w:rPr>
                <w:rFonts w:ascii="Arial Narrow" w:hAnsi="Arial Narrow" w:cs="Calibri"/>
                <w:color w:val="000000"/>
                <w:sz w:val="20"/>
                <w:szCs w:val="20"/>
              </w:rPr>
            </w:pPr>
            <w:r w:rsidRPr="00022A0B">
              <w:rPr>
                <w:rFonts w:ascii="Arial Narrow" w:hAnsi="Arial Narrow" w:cs="Calibri"/>
                <w:color w:val="000000"/>
                <w:sz w:val="20"/>
                <w:szCs w:val="20"/>
              </w:rPr>
              <w:t>42,71</w:t>
            </w:r>
          </w:p>
        </w:tc>
        <w:tc>
          <w:tcPr>
            <w:tcW w:w="1596" w:type="dxa"/>
            <w:tcBorders>
              <w:top w:val="nil"/>
              <w:left w:val="nil"/>
              <w:bottom w:val="single" w:sz="4" w:space="0" w:color="auto"/>
              <w:right w:val="single" w:sz="4" w:space="0" w:color="auto"/>
            </w:tcBorders>
            <w:shd w:val="clear" w:color="auto" w:fill="auto"/>
            <w:noWrap/>
            <w:vAlign w:val="center"/>
            <w:hideMark/>
          </w:tcPr>
          <w:p w14:paraId="2B8F3FCA" w14:textId="77777777" w:rsidR="00BA7C7F" w:rsidRPr="00022A0B" w:rsidRDefault="00BA7C7F" w:rsidP="00BA7C7F">
            <w:pPr>
              <w:jc w:val="right"/>
              <w:rPr>
                <w:rFonts w:ascii="Arial Narrow" w:hAnsi="Arial Narrow" w:cs="Calibri"/>
                <w:color w:val="000000"/>
                <w:sz w:val="20"/>
                <w:szCs w:val="20"/>
              </w:rPr>
            </w:pPr>
            <w:r w:rsidRPr="00022A0B">
              <w:rPr>
                <w:rFonts w:ascii="Arial Narrow" w:hAnsi="Arial Narrow" w:cs="Calibri"/>
                <w:color w:val="000000"/>
                <w:sz w:val="20"/>
                <w:szCs w:val="20"/>
              </w:rPr>
              <w:t>1 635 320</w:t>
            </w:r>
          </w:p>
        </w:tc>
      </w:tr>
      <w:tr w:rsidR="00BA7C7F" w:rsidRPr="00C57ABA" w14:paraId="5FA3F5BC" w14:textId="77777777" w:rsidTr="00B37935">
        <w:trPr>
          <w:trHeight w:val="308"/>
        </w:trPr>
        <w:tc>
          <w:tcPr>
            <w:tcW w:w="2207" w:type="dxa"/>
            <w:tcBorders>
              <w:top w:val="nil"/>
              <w:left w:val="single" w:sz="4" w:space="0" w:color="auto"/>
              <w:bottom w:val="single" w:sz="4" w:space="0" w:color="auto"/>
              <w:right w:val="single" w:sz="4" w:space="0" w:color="auto"/>
            </w:tcBorders>
            <w:shd w:val="clear" w:color="auto" w:fill="auto"/>
            <w:vAlign w:val="center"/>
            <w:hideMark/>
          </w:tcPr>
          <w:p w14:paraId="563E176A" w14:textId="77777777" w:rsidR="00BA7C7F" w:rsidRPr="00022A0B" w:rsidRDefault="00BA7C7F" w:rsidP="00BA7C7F">
            <w:pPr>
              <w:rPr>
                <w:rFonts w:ascii="Arial Narrow" w:hAnsi="Arial Narrow" w:cs="Calibri"/>
                <w:color w:val="000000"/>
                <w:sz w:val="20"/>
                <w:szCs w:val="20"/>
              </w:rPr>
            </w:pPr>
            <w:r w:rsidRPr="00022A0B">
              <w:rPr>
                <w:rFonts w:ascii="Arial Narrow" w:hAnsi="Arial Narrow" w:cs="Calibri"/>
                <w:color w:val="000000"/>
                <w:sz w:val="20"/>
                <w:szCs w:val="20"/>
              </w:rPr>
              <w:t>ДПЖ-MП</w:t>
            </w:r>
          </w:p>
        </w:tc>
        <w:tc>
          <w:tcPr>
            <w:tcW w:w="1741" w:type="dxa"/>
            <w:tcBorders>
              <w:top w:val="nil"/>
              <w:left w:val="nil"/>
              <w:bottom w:val="single" w:sz="4" w:space="0" w:color="auto"/>
              <w:right w:val="single" w:sz="4" w:space="0" w:color="auto"/>
            </w:tcBorders>
            <w:shd w:val="clear" w:color="auto" w:fill="auto"/>
            <w:noWrap/>
            <w:vAlign w:val="center"/>
            <w:hideMark/>
          </w:tcPr>
          <w:p w14:paraId="27151181" w14:textId="77777777" w:rsidR="00BA7C7F" w:rsidRPr="00022A0B" w:rsidRDefault="00BA7C7F" w:rsidP="00BA7C7F">
            <w:pPr>
              <w:jc w:val="right"/>
              <w:rPr>
                <w:rFonts w:ascii="Arial Narrow" w:hAnsi="Arial Narrow" w:cs="Calibri"/>
                <w:color w:val="000000"/>
                <w:sz w:val="20"/>
                <w:szCs w:val="20"/>
              </w:rPr>
            </w:pPr>
            <w:r w:rsidRPr="00022A0B">
              <w:rPr>
                <w:rFonts w:ascii="Arial Narrow" w:hAnsi="Arial Narrow" w:cs="Calibri"/>
                <w:color w:val="000000"/>
                <w:sz w:val="20"/>
                <w:szCs w:val="20"/>
              </w:rPr>
              <w:t>6 196 058</w:t>
            </w:r>
          </w:p>
        </w:tc>
        <w:tc>
          <w:tcPr>
            <w:tcW w:w="1452" w:type="dxa"/>
            <w:tcBorders>
              <w:top w:val="nil"/>
              <w:left w:val="nil"/>
              <w:bottom w:val="single" w:sz="4" w:space="0" w:color="auto"/>
              <w:right w:val="single" w:sz="4" w:space="0" w:color="auto"/>
            </w:tcBorders>
            <w:shd w:val="clear" w:color="auto" w:fill="auto"/>
            <w:vAlign w:val="center"/>
            <w:hideMark/>
          </w:tcPr>
          <w:p w14:paraId="6E4D4D17" w14:textId="77777777" w:rsidR="00BA7C7F" w:rsidRPr="00022A0B" w:rsidRDefault="00BA7C7F" w:rsidP="00BA7C7F">
            <w:pPr>
              <w:jc w:val="right"/>
              <w:rPr>
                <w:rFonts w:ascii="Arial Narrow" w:hAnsi="Arial Narrow" w:cs="Calibri"/>
                <w:color w:val="000000"/>
                <w:sz w:val="20"/>
                <w:szCs w:val="20"/>
              </w:rPr>
            </w:pPr>
            <w:r w:rsidRPr="00022A0B">
              <w:rPr>
                <w:rFonts w:ascii="Arial Narrow" w:hAnsi="Arial Narrow" w:cs="Calibri"/>
                <w:color w:val="000000"/>
                <w:sz w:val="20"/>
                <w:szCs w:val="20"/>
              </w:rPr>
              <w:t>803</w:t>
            </w:r>
          </w:p>
        </w:tc>
        <w:tc>
          <w:tcPr>
            <w:tcW w:w="1378" w:type="dxa"/>
            <w:tcBorders>
              <w:top w:val="nil"/>
              <w:left w:val="nil"/>
              <w:bottom w:val="single" w:sz="4" w:space="0" w:color="auto"/>
              <w:right w:val="single" w:sz="4" w:space="0" w:color="auto"/>
            </w:tcBorders>
            <w:shd w:val="clear" w:color="auto" w:fill="auto"/>
            <w:noWrap/>
            <w:vAlign w:val="center"/>
            <w:hideMark/>
          </w:tcPr>
          <w:p w14:paraId="26935348" w14:textId="77777777" w:rsidR="00BA7C7F" w:rsidRPr="00022A0B" w:rsidRDefault="00BA7C7F" w:rsidP="00BA7C7F">
            <w:pPr>
              <w:jc w:val="center"/>
              <w:rPr>
                <w:rFonts w:ascii="Arial Narrow" w:hAnsi="Arial Narrow" w:cs="Calibri"/>
                <w:color w:val="000000"/>
                <w:sz w:val="20"/>
                <w:szCs w:val="20"/>
              </w:rPr>
            </w:pPr>
            <w:r w:rsidRPr="00022A0B">
              <w:rPr>
                <w:rFonts w:ascii="Arial Narrow" w:hAnsi="Arial Narrow" w:cs="Calibri"/>
                <w:color w:val="000000"/>
                <w:sz w:val="20"/>
                <w:szCs w:val="20"/>
              </w:rPr>
              <w:t>48,19</w:t>
            </w:r>
          </w:p>
        </w:tc>
        <w:tc>
          <w:tcPr>
            <w:tcW w:w="1380" w:type="dxa"/>
            <w:tcBorders>
              <w:top w:val="nil"/>
              <w:left w:val="nil"/>
              <w:bottom w:val="single" w:sz="4" w:space="0" w:color="auto"/>
              <w:right w:val="single" w:sz="4" w:space="0" w:color="auto"/>
            </w:tcBorders>
            <w:shd w:val="clear" w:color="auto" w:fill="auto"/>
            <w:vAlign w:val="center"/>
            <w:hideMark/>
          </w:tcPr>
          <w:p w14:paraId="7CEEC898" w14:textId="77777777" w:rsidR="00BA7C7F" w:rsidRPr="00022A0B" w:rsidRDefault="00BA7C7F" w:rsidP="00BA7C7F">
            <w:pPr>
              <w:jc w:val="center"/>
              <w:rPr>
                <w:rFonts w:ascii="Arial Narrow" w:hAnsi="Arial Narrow" w:cs="Calibri"/>
                <w:color w:val="000000"/>
                <w:sz w:val="20"/>
                <w:szCs w:val="20"/>
              </w:rPr>
            </w:pPr>
            <w:r w:rsidRPr="00022A0B">
              <w:rPr>
                <w:rFonts w:ascii="Arial Narrow" w:hAnsi="Arial Narrow" w:cs="Calibri"/>
                <w:color w:val="000000"/>
                <w:sz w:val="20"/>
                <w:szCs w:val="20"/>
              </w:rPr>
              <w:t>38,55</w:t>
            </w:r>
          </w:p>
        </w:tc>
        <w:tc>
          <w:tcPr>
            <w:tcW w:w="1596" w:type="dxa"/>
            <w:tcBorders>
              <w:top w:val="nil"/>
              <w:left w:val="nil"/>
              <w:bottom w:val="single" w:sz="4" w:space="0" w:color="auto"/>
              <w:right w:val="single" w:sz="4" w:space="0" w:color="auto"/>
            </w:tcBorders>
            <w:shd w:val="clear" w:color="auto" w:fill="auto"/>
            <w:noWrap/>
            <w:vAlign w:val="center"/>
            <w:hideMark/>
          </w:tcPr>
          <w:p w14:paraId="6F926E72" w14:textId="77777777" w:rsidR="00BA7C7F" w:rsidRPr="00022A0B" w:rsidRDefault="00BA7C7F" w:rsidP="00BA7C7F">
            <w:pPr>
              <w:jc w:val="right"/>
              <w:rPr>
                <w:rFonts w:ascii="Arial Narrow" w:hAnsi="Arial Narrow" w:cs="Calibri"/>
                <w:color w:val="000000"/>
                <w:sz w:val="20"/>
                <w:szCs w:val="20"/>
              </w:rPr>
            </w:pPr>
            <w:r w:rsidRPr="00022A0B">
              <w:rPr>
                <w:rFonts w:ascii="Arial Narrow" w:hAnsi="Arial Narrow" w:cs="Calibri"/>
                <w:color w:val="000000"/>
                <w:sz w:val="20"/>
                <w:szCs w:val="20"/>
              </w:rPr>
              <w:t>6 067 702</w:t>
            </w:r>
          </w:p>
        </w:tc>
      </w:tr>
      <w:tr w:rsidR="00BA7C7F" w:rsidRPr="00C57ABA" w14:paraId="7CD58138" w14:textId="77777777" w:rsidTr="00B37935">
        <w:trPr>
          <w:trHeight w:val="308"/>
        </w:trPr>
        <w:tc>
          <w:tcPr>
            <w:tcW w:w="2207" w:type="dxa"/>
            <w:tcBorders>
              <w:top w:val="nil"/>
              <w:left w:val="single" w:sz="4" w:space="0" w:color="auto"/>
              <w:bottom w:val="single" w:sz="4" w:space="0" w:color="auto"/>
              <w:right w:val="single" w:sz="4" w:space="0" w:color="auto"/>
            </w:tcBorders>
            <w:shd w:val="clear" w:color="auto" w:fill="auto"/>
            <w:vAlign w:val="center"/>
            <w:hideMark/>
          </w:tcPr>
          <w:p w14:paraId="301723E9" w14:textId="77777777" w:rsidR="00BA7C7F" w:rsidRPr="00022A0B" w:rsidRDefault="00BA7C7F" w:rsidP="00BA7C7F">
            <w:pPr>
              <w:rPr>
                <w:rFonts w:ascii="Arial Narrow" w:hAnsi="Arial Narrow" w:cs="Calibri"/>
                <w:color w:val="000000"/>
                <w:sz w:val="20"/>
                <w:szCs w:val="20"/>
              </w:rPr>
            </w:pPr>
            <w:r w:rsidRPr="00022A0B">
              <w:rPr>
                <w:rFonts w:ascii="Arial Narrow" w:hAnsi="Arial Narrow" w:cs="Calibri"/>
                <w:color w:val="000000"/>
                <w:sz w:val="20"/>
                <w:szCs w:val="20"/>
              </w:rPr>
              <w:t>ИП</w:t>
            </w:r>
          </w:p>
        </w:tc>
        <w:tc>
          <w:tcPr>
            <w:tcW w:w="1741" w:type="dxa"/>
            <w:tcBorders>
              <w:top w:val="nil"/>
              <w:left w:val="nil"/>
              <w:bottom w:val="single" w:sz="4" w:space="0" w:color="auto"/>
              <w:right w:val="single" w:sz="4" w:space="0" w:color="auto"/>
            </w:tcBorders>
            <w:shd w:val="clear" w:color="auto" w:fill="auto"/>
            <w:noWrap/>
            <w:vAlign w:val="center"/>
            <w:hideMark/>
          </w:tcPr>
          <w:p w14:paraId="02C969BB" w14:textId="77777777" w:rsidR="00BA7C7F" w:rsidRPr="00022A0B" w:rsidRDefault="00BA7C7F" w:rsidP="00BA7C7F">
            <w:pPr>
              <w:jc w:val="right"/>
              <w:rPr>
                <w:rFonts w:ascii="Arial Narrow" w:hAnsi="Arial Narrow" w:cs="Calibri"/>
                <w:color w:val="000000"/>
                <w:sz w:val="20"/>
                <w:szCs w:val="20"/>
              </w:rPr>
            </w:pPr>
            <w:r w:rsidRPr="00022A0B">
              <w:rPr>
                <w:rFonts w:ascii="Arial Narrow" w:hAnsi="Arial Narrow" w:cs="Calibri"/>
                <w:color w:val="000000"/>
                <w:sz w:val="20"/>
                <w:szCs w:val="20"/>
              </w:rPr>
              <w:t>45 211 822</w:t>
            </w:r>
          </w:p>
        </w:tc>
        <w:tc>
          <w:tcPr>
            <w:tcW w:w="1452" w:type="dxa"/>
            <w:tcBorders>
              <w:top w:val="nil"/>
              <w:left w:val="nil"/>
              <w:bottom w:val="single" w:sz="4" w:space="0" w:color="auto"/>
              <w:right w:val="single" w:sz="4" w:space="0" w:color="auto"/>
            </w:tcBorders>
            <w:shd w:val="clear" w:color="auto" w:fill="auto"/>
            <w:vAlign w:val="center"/>
            <w:hideMark/>
          </w:tcPr>
          <w:p w14:paraId="03E9D45F" w14:textId="77777777" w:rsidR="00BA7C7F" w:rsidRPr="00022A0B" w:rsidRDefault="00BA7C7F" w:rsidP="00BA7C7F">
            <w:pPr>
              <w:jc w:val="right"/>
              <w:rPr>
                <w:rFonts w:ascii="Arial Narrow" w:hAnsi="Arial Narrow" w:cs="Calibri"/>
                <w:color w:val="000000"/>
                <w:sz w:val="20"/>
                <w:szCs w:val="20"/>
              </w:rPr>
            </w:pPr>
            <w:r w:rsidRPr="00022A0B">
              <w:rPr>
                <w:rFonts w:ascii="Arial Narrow" w:hAnsi="Arial Narrow" w:cs="Calibri"/>
                <w:color w:val="000000"/>
                <w:sz w:val="20"/>
                <w:szCs w:val="20"/>
              </w:rPr>
              <w:t>7 581</w:t>
            </w:r>
          </w:p>
        </w:tc>
        <w:tc>
          <w:tcPr>
            <w:tcW w:w="1378" w:type="dxa"/>
            <w:tcBorders>
              <w:top w:val="nil"/>
              <w:left w:val="nil"/>
              <w:bottom w:val="single" w:sz="4" w:space="0" w:color="auto"/>
              <w:right w:val="single" w:sz="4" w:space="0" w:color="auto"/>
            </w:tcBorders>
            <w:shd w:val="clear" w:color="auto" w:fill="auto"/>
            <w:vAlign w:val="center"/>
            <w:hideMark/>
          </w:tcPr>
          <w:p w14:paraId="3C850526" w14:textId="77777777" w:rsidR="00BA7C7F" w:rsidRPr="00022A0B" w:rsidRDefault="00BA7C7F" w:rsidP="00BA7C7F">
            <w:pPr>
              <w:jc w:val="center"/>
              <w:rPr>
                <w:rFonts w:ascii="Arial Narrow" w:hAnsi="Arial Narrow" w:cs="Calibri"/>
                <w:color w:val="000000"/>
                <w:sz w:val="20"/>
                <w:szCs w:val="20"/>
              </w:rPr>
            </w:pPr>
            <w:r w:rsidRPr="00022A0B">
              <w:rPr>
                <w:rFonts w:ascii="Arial Narrow" w:hAnsi="Arial Narrow" w:cs="Calibri"/>
                <w:color w:val="000000"/>
                <w:sz w:val="20"/>
                <w:szCs w:val="20"/>
              </w:rPr>
              <w:t>1 836,07</w:t>
            </w:r>
          </w:p>
        </w:tc>
        <w:tc>
          <w:tcPr>
            <w:tcW w:w="1380" w:type="dxa"/>
            <w:tcBorders>
              <w:top w:val="nil"/>
              <w:left w:val="nil"/>
              <w:bottom w:val="single" w:sz="4" w:space="0" w:color="auto"/>
              <w:right w:val="single" w:sz="4" w:space="0" w:color="auto"/>
            </w:tcBorders>
            <w:shd w:val="clear" w:color="auto" w:fill="auto"/>
            <w:noWrap/>
            <w:vAlign w:val="center"/>
            <w:hideMark/>
          </w:tcPr>
          <w:p w14:paraId="56235BF5" w14:textId="77777777" w:rsidR="00BA7C7F" w:rsidRPr="00022A0B" w:rsidRDefault="00BA7C7F" w:rsidP="00BA7C7F">
            <w:pPr>
              <w:jc w:val="center"/>
              <w:rPr>
                <w:rFonts w:ascii="Arial Narrow" w:hAnsi="Arial Narrow" w:cs="Calibri"/>
                <w:color w:val="000000"/>
                <w:sz w:val="20"/>
                <w:szCs w:val="20"/>
              </w:rPr>
            </w:pPr>
            <w:r w:rsidRPr="00022A0B">
              <w:rPr>
                <w:rFonts w:ascii="Arial Narrow" w:hAnsi="Arial Narrow" w:cs="Calibri"/>
                <w:color w:val="000000"/>
                <w:sz w:val="20"/>
                <w:szCs w:val="20"/>
              </w:rPr>
              <w:t>1 224,06</w:t>
            </w:r>
          </w:p>
        </w:tc>
        <w:tc>
          <w:tcPr>
            <w:tcW w:w="1596" w:type="dxa"/>
            <w:tcBorders>
              <w:top w:val="nil"/>
              <w:left w:val="nil"/>
              <w:bottom w:val="single" w:sz="4" w:space="0" w:color="auto"/>
              <w:right w:val="single" w:sz="4" w:space="0" w:color="auto"/>
            </w:tcBorders>
            <w:shd w:val="clear" w:color="auto" w:fill="auto"/>
            <w:noWrap/>
            <w:vAlign w:val="center"/>
            <w:hideMark/>
          </w:tcPr>
          <w:p w14:paraId="258BBCC4" w14:textId="77777777" w:rsidR="00BA7C7F" w:rsidRPr="00022A0B" w:rsidRDefault="00BA7C7F" w:rsidP="00BA7C7F">
            <w:pPr>
              <w:jc w:val="right"/>
              <w:rPr>
                <w:rFonts w:ascii="Arial Narrow" w:hAnsi="Arial Narrow" w:cs="Calibri"/>
                <w:color w:val="000000"/>
                <w:sz w:val="20"/>
                <w:szCs w:val="20"/>
              </w:rPr>
            </w:pPr>
            <w:r w:rsidRPr="00022A0B">
              <w:rPr>
                <w:rFonts w:ascii="Arial Narrow" w:hAnsi="Arial Narrow" w:cs="Calibri"/>
                <w:color w:val="000000"/>
                <w:sz w:val="20"/>
                <w:szCs w:val="20"/>
              </w:rPr>
              <w:t>44 768 680</w:t>
            </w:r>
          </w:p>
        </w:tc>
      </w:tr>
      <w:tr w:rsidR="00BA7C7F" w:rsidRPr="00C57ABA" w14:paraId="19885998" w14:textId="77777777" w:rsidTr="00B37935">
        <w:trPr>
          <w:trHeight w:val="308"/>
        </w:trPr>
        <w:tc>
          <w:tcPr>
            <w:tcW w:w="2207" w:type="dxa"/>
            <w:tcBorders>
              <w:top w:val="nil"/>
              <w:left w:val="single" w:sz="4" w:space="0" w:color="auto"/>
              <w:bottom w:val="single" w:sz="4" w:space="0" w:color="auto"/>
              <w:right w:val="single" w:sz="4" w:space="0" w:color="auto"/>
            </w:tcBorders>
            <w:shd w:val="clear" w:color="auto" w:fill="auto"/>
            <w:vAlign w:val="center"/>
            <w:hideMark/>
          </w:tcPr>
          <w:p w14:paraId="25CB2F44" w14:textId="77777777" w:rsidR="00BA7C7F" w:rsidRPr="00022A0B" w:rsidRDefault="00BA7C7F" w:rsidP="00BA7C7F">
            <w:pPr>
              <w:rPr>
                <w:rFonts w:ascii="Arial Narrow" w:hAnsi="Arial Narrow" w:cs="Calibri"/>
                <w:color w:val="000000"/>
                <w:sz w:val="20"/>
                <w:szCs w:val="20"/>
              </w:rPr>
            </w:pPr>
            <w:r w:rsidRPr="00022A0B">
              <w:rPr>
                <w:rFonts w:ascii="Arial Narrow" w:hAnsi="Arial Narrow" w:cs="Calibri"/>
                <w:color w:val="000000"/>
                <w:sz w:val="20"/>
                <w:szCs w:val="20"/>
              </w:rPr>
              <w:t>ИП-Н</w:t>
            </w:r>
          </w:p>
        </w:tc>
        <w:tc>
          <w:tcPr>
            <w:tcW w:w="1741" w:type="dxa"/>
            <w:tcBorders>
              <w:top w:val="nil"/>
              <w:left w:val="nil"/>
              <w:bottom w:val="single" w:sz="4" w:space="0" w:color="auto"/>
              <w:right w:val="single" w:sz="4" w:space="0" w:color="auto"/>
            </w:tcBorders>
            <w:shd w:val="clear" w:color="auto" w:fill="auto"/>
            <w:noWrap/>
            <w:vAlign w:val="center"/>
            <w:hideMark/>
          </w:tcPr>
          <w:p w14:paraId="7EE10928" w14:textId="77777777" w:rsidR="00BA7C7F" w:rsidRPr="00022A0B" w:rsidRDefault="00BA7C7F" w:rsidP="00BA7C7F">
            <w:pPr>
              <w:jc w:val="right"/>
              <w:rPr>
                <w:rFonts w:ascii="Arial Narrow" w:hAnsi="Arial Narrow" w:cs="Calibri"/>
                <w:color w:val="000000"/>
                <w:sz w:val="20"/>
                <w:szCs w:val="20"/>
              </w:rPr>
            </w:pPr>
            <w:r w:rsidRPr="00022A0B">
              <w:rPr>
                <w:rFonts w:ascii="Arial Narrow" w:hAnsi="Arial Narrow" w:cs="Calibri"/>
                <w:color w:val="000000"/>
                <w:sz w:val="20"/>
                <w:szCs w:val="20"/>
              </w:rPr>
              <w:t>2 365 677</w:t>
            </w:r>
          </w:p>
        </w:tc>
        <w:tc>
          <w:tcPr>
            <w:tcW w:w="1452" w:type="dxa"/>
            <w:tcBorders>
              <w:top w:val="nil"/>
              <w:left w:val="nil"/>
              <w:bottom w:val="single" w:sz="4" w:space="0" w:color="auto"/>
              <w:right w:val="single" w:sz="4" w:space="0" w:color="auto"/>
            </w:tcBorders>
            <w:shd w:val="clear" w:color="auto" w:fill="auto"/>
            <w:vAlign w:val="center"/>
            <w:hideMark/>
          </w:tcPr>
          <w:p w14:paraId="1A295259" w14:textId="77777777" w:rsidR="00BA7C7F" w:rsidRPr="00022A0B" w:rsidRDefault="00BA7C7F" w:rsidP="00BA7C7F">
            <w:pPr>
              <w:jc w:val="right"/>
              <w:rPr>
                <w:rFonts w:ascii="Arial Narrow" w:hAnsi="Arial Narrow" w:cs="Calibri"/>
                <w:color w:val="000000"/>
                <w:sz w:val="20"/>
                <w:szCs w:val="20"/>
              </w:rPr>
            </w:pPr>
            <w:r w:rsidRPr="00022A0B">
              <w:rPr>
                <w:rFonts w:ascii="Arial Narrow" w:hAnsi="Arial Narrow" w:cs="Calibri"/>
                <w:color w:val="000000"/>
                <w:sz w:val="20"/>
                <w:szCs w:val="20"/>
              </w:rPr>
              <w:t>2 103</w:t>
            </w:r>
          </w:p>
        </w:tc>
        <w:tc>
          <w:tcPr>
            <w:tcW w:w="2758" w:type="dxa"/>
            <w:gridSpan w:val="2"/>
            <w:tcBorders>
              <w:top w:val="single" w:sz="4" w:space="0" w:color="auto"/>
              <w:left w:val="nil"/>
              <w:bottom w:val="single" w:sz="4" w:space="0" w:color="auto"/>
              <w:right w:val="single" w:sz="4" w:space="0" w:color="auto"/>
            </w:tcBorders>
            <w:shd w:val="clear" w:color="auto" w:fill="auto"/>
            <w:vAlign w:val="center"/>
            <w:hideMark/>
          </w:tcPr>
          <w:p w14:paraId="3E48DBE7" w14:textId="77777777" w:rsidR="00BA7C7F" w:rsidRPr="00022A0B" w:rsidRDefault="00BA7C7F" w:rsidP="00BA7C7F">
            <w:pPr>
              <w:jc w:val="center"/>
              <w:rPr>
                <w:rFonts w:ascii="Arial Narrow" w:hAnsi="Arial Narrow" w:cs="Calibri"/>
                <w:color w:val="000000"/>
                <w:sz w:val="20"/>
                <w:szCs w:val="20"/>
              </w:rPr>
            </w:pPr>
            <w:r w:rsidRPr="00022A0B">
              <w:rPr>
                <w:rFonts w:ascii="Arial Narrow" w:hAnsi="Arial Narrow" w:cs="Calibri"/>
                <w:color w:val="000000"/>
                <w:sz w:val="20"/>
                <w:szCs w:val="20"/>
              </w:rPr>
              <w:t>679,99</w:t>
            </w:r>
          </w:p>
        </w:tc>
        <w:tc>
          <w:tcPr>
            <w:tcW w:w="1596" w:type="dxa"/>
            <w:tcBorders>
              <w:top w:val="nil"/>
              <w:left w:val="nil"/>
              <w:bottom w:val="single" w:sz="4" w:space="0" w:color="auto"/>
              <w:right w:val="single" w:sz="4" w:space="0" w:color="auto"/>
            </w:tcBorders>
            <w:shd w:val="clear" w:color="auto" w:fill="auto"/>
            <w:noWrap/>
            <w:vAlign w:val="center"/>
            <w:hideMark/>
          </w:tcPr>
          <w:p w14:paraId="0C28EFE8" w14:textId="77777777" w:rsidR="00BA7C7F" w:rsidRPr="00022A0B" w:rsidRDefault="00BA7C7F" w:rsidP="00BA7C7F">
            <w:pPr>
              <w:jc w:val="right"/>
              <w:rPr>
                <w:rFonts w:ascii="Arial Narrow" w:hAnsi="Arial Narrow" w:cs="Calibri"/>
                <w:color w:val="000000"/>
                <w:sz w:val="20"/>
                <w:szCs w:val="20"/>
              </w:rPr>
            </w:pPr>
            <w:r w:rsidRPr="00022A0B">
              <w:rPr>
                <w:rFonts w:ascii="Arial Narrow" w:hAnsi="Arial Narrow" w:cs="Calibri"/>
                <w:color w:val="000000"/>
                <w:sz w:val="20"/>
                <w:szCs w:val="20"/>
              </w:rPr>
              <w:t>2 273 730</w:t>
            </w:r>
          </w:p>
        </w:tc>
      </w:tr>
      <w:tr w:rsidR="00BA7C7F" w:rsidRPr="00C57ABA" w14:paraId="024FEC19" w14:textId="77777777" w:rsidTr="00B37935">
        <w:trPr>
          <w:trHeight w:val="308"/>
        </w:trPr>
        <w:tc>
          <w:tcPr>
            <w:tcW w:w="2207" w:type="dxa"/>
            <w:tcBorders>
              <w:top w:val="nil"/>
              <w:left w:val="single" w:sz="4" w:space="0" w:color="auto"/>
              <w:bottom w:val="single" w:sz="4" w:space="0" w:color="auto"/>
              <w:right w:val="single" w:sz="4" w:space="0" w:color="auto"/>
            </w:tcBorders>
            <w:shd w:val="clear" w:color="auto" w:fill="auto"/>
            <w:vAlign w:val="center"/>
            <w:hideMark/>
          </w:tcPr>
          <w:p w14:paraId="1EE1EC8B" w14:textId="77777777" w:rsidR="00BA7C7F" w:rsidRPr="00022A0B" w:rsidRDefault="00BA7C7F" w:rsidP="00BA7C7F">
            <w:pPr>
              <w:rPr>
                <w:rFonts w:ascii="Arial Narrow" w:hAnsi="Arial Narrow" w:cs="Calibri"/>
                <w:color w:val="000000"/>
                <w:sz w:val="20"/>
                <w:szCs w:val="20"/>
              </w:rPr>
            </w:pPr>
            <w:r w:rsidRPr="00022A0B">
              <w:rPr>
                <w:rFonts w:ascii="Arial Narrow" w:hAnsi="Arial Narrow" w:cs="Calibri"/>
                <w:color w:val="000000"/>
                <w:sz w:val="20"/>
                <w:szCs w:val="20"/>
              </w:rPr>
              <w:t>ИЗ-ДККП</w:t>
            </w:r>
          </w:p>
        </w:tc>
        <w:tc>
          <w:tcPr>
            <w:tcW w:w="1741" w:type="dxa"/>
            <w:tcBorders>
              <w:top w:val="nil"/>
              <w:left w:val="nil"/>
              <w:bottom w:val="single" w:sz="4" w:space="0" w:color="auto"/>
              <w:right w:val="single" w:sz="4" w:space="0" w:color="auto"/>
            </w:tcBorders>
            <w:shd w:val="clear" w:color="auto" w:fill="auto"/>
            <w:noWrap/>
            <w:vAlign w:val="center"/>
            <w:hideMark/>
          </w:tcPr>
          <w:p w14:paraId="5C3C5F8B" w14:textId="77777777" w:rsidR="00BA7C7F" w:rsidRPr="00022A0B" w:rsidRDefault="00BA7C7F" w:rsidP="00BA7C7F">
            <w:pPr>
              <w:jc w:val="right"/>
              <w:rPr>
                <w:rFonts w:ascii="Arial Narrow" w:hAnsi="Arial Narrow" w:cs="Calibri"/>
                <w:color w:val="000000"/>
                <w:sz w:val="20"/>
                <w:szCs w:val="20"/>
              </w:rPr>
            </w:pPr>
            <w:r w:rsidRPr="00022A0B">
              <w:rPr>
                <w:rFonts w:ascii="Arial Narrow" w:hAnsi="Arial Narrow" w:cs="Calibri"/>
                <w:color w:val="000000"/>
                <w:sz w:val="20"/>
                <w:szCs w:val="20"/>
              </w:rPr>
              <w:t>5 319 891</w:t>
            </w:r>
          </w:p>
        </w:tc>
        <w:tc>
          <w:tcPr>
            <w:tcW w:w="1452" w:type="dxa"/>
            <w:tcBorders>
              <w:top w:val="nil"/>
              <w:left w:val="nil"/>
              <w:bottom w:val="single" w:sz="4" w:space="0" w:color="auto"/>
              <w:right w:val="single" w:sz="4" w:space="0" w:color="auto"/>
            </w:tcBorders>
            <w:shd w:val="clear" w:color="auto" w:fill="auto"/>
            <w:vAlign w:val="center"/>
            <w:hideMark/>
          </w:tcPr>
          <w:p w14:paraId="132A498A" w14:textId="77777777" w:rsidR="00BA7C7F" w:rsidRPr="00022A0B" w:rsidRDefault="00BA7C7F" w:rsidP="00BA7C7F">
            <w:pPr>
              <w:jc w:val="right"/>
              <w:rPr>
                <w:rFonts w:ascii="Arial Narrow" w:hAnsi="Arial Narrow" w:cs="Calibri"/>
                <w:color w:val="000000"/>
                <w:sz w:val="20"/>
                <w:szCs w:val="20"/>
              </w:rPr>
            </w:pPr>
            <w:r w:rsidRPr="00022A0B">
              <w:rPr>
                <w:rFonts w:ascii="Arial Narrow" w:hAnsi="Arial Narrow" w:cs="Calibri"/>
                <w:color w:val="000000"/>
                <w:sz w:val="20"/>
                <w:szCs w:val="20"/>
              </w:rPr>
              <w:t>1 467</w:t>
            </w:r>
          </w:p>
        </w:tc>
        <w:tc>
          <w:tcPr>
            <w:tcW w:w="1378" w:type="dxa"/>
            <w:tcBorders>
              <w:top w:val="nil"/>
              <w:left w:val="nil"/>
              <w:bottom w:val="single" w:sz="4" w:space="0" w:color="auto"/>
              <w:right w:val="single" w:sz="4" w:space="0" w:color="auto"/>
            </w:tcBorders>
            <w:shd w:val="clear" w:color="auto" w:fill="auto"/>
            <w:vAlign w:val="center"/>
            <w:hideMark/>
          </w:tcPr>
          <w:p w14:paraId="5853F824" w14:textId="77777777" w:rsidR="00BA7C7F" w:rsidRPr="00022A0B" w:rsidRDefault="00BA7C7F" w:rsidP="00BA7C7F">
            <w:pPr>
              <w:jc w:val="center"/>
              <w:rPr>
                <w:rFonts w:ascii="Arial Narrow" w:hAnsi="Arial Narrow" w:cs="Calibri"/>
                <w:color w:val="000000"/>
                <w:sz w:val="20"/>
                <w:szCs w:val="20"/>
              </w:rPr>
            </w:pPr>
            <w:r w:rsidRPr="00022A0B">
              <w:rPr>
                <w:rFonts w:ascii="Arial Narrow" w:hAnsi="Arial Narrow" w:cs="Calibri"/>
                <w:color w:val="000000"/>
                <w:sz w:val="20"/>
                <w:szCs w:val="20"/>
              </w:rPr>
              <w:t>1 993,43</w:t>
            </w:r>
          </w:p>
        </w:tc>
        <w:tc>
          <w:tcPr>
            <w:tcW w:w="1380" w:type="dxa"/>
            <w:tcBorders>
              <w:top w:val="nil"/>
              <w:left w:val="nil"/>
              <w:bottom w:val="single" w:sz="4" w:space="0" w:color="auto"/>
              <w:right w:val="single" w:sz="4" w:space="0" w:color="auto"/>
            </w:tcBorders>
            <w:shd w:val="clear" w:color="auto" w:fill="auto"/>
            <w:vAlign w:val="center"/>
            <w:hideMark/>
          </w:tcPr>
          <w:p w14:paraId="28636215" w14:textId="77777777" w:rsidR="00BA7C7F" w:rsidRPr="00022A0B" w:rsidRDefault="00BA7C7F" w:rsidP="00BA7C7F">
            <w:pPr>
              <w:jc w:val="center"/>
              <w:rPr>
                <w:rFonts w:ascii="Arial Narrow" w:hAnsi="Arial Narrow" w:cs="Calibri"/>
                <w:color w:val="000000"/>
                <w:sz w:val="20"/>
                <w:szCs w:val="20"/>
              </w:rPr>
            </w:pPr>
            <w:r w:rsidRPr="00022A0B">
              <w:rPr>
                <w:rFonts w:ascii="Arial Narrow" w:hAnsi="Arial Narrow" w:cs="Calibri"/>
                <w:color w:val="000000"/>
                <w:sz w:val="20"/>
                <w:szCs w:val="20"/>
              </w:rPr>
              <w:t>1 328,95</w:t>
            </w:r>
          </w:p>
        </w:tc>
        <w:tc>
          <w:tcPr>
            <w:tcW w:w="1596" w:type="dxa"/>
            <w:tcBorders>
              <w:top w:val="nil"/>
              <w:left w:val="nil"/>
              <w:bottom w:val="single" w:sz="4" w:space="0" w:color="auto"/>
              <w:right w:val="single" w:sz="4" w:space="0" w:color="auto"/>
            </w:tcBorders>
            <w:shd w:val="clear" w:color="auto" w:fill="auto"/>
            <w:noWrap/>
            <w:vAlign w:val="center"/>
            <w:hideMark/>
          </w:tcPr>
          <w:p w14:paraId="07B693C7" w14:textId="77777777" w:rsidR="00BA7C7F" w:rsidRPr="00022A0B" w:rsidRDefault="00BA7C7F" w:rsidP="00BA7C7F">
            <w:pPr>
              <w:jc w:val="right"/>
              <w:rPr>
                <w:rFonts w:ascii="Arial Narrow" w:hAnsi="Arial Narrow" w:cs="Calibri"/>
                <w:color w:val="000000"/>
                <w:sz w:val="20"/>
                <w:szCs w:val="20"/>
              </w:rPr>
            </w:pPr>
            <w:r w:rsidRPr="00022A0B">
              <w:rPr>
                <w:rFonts w:ascii="Arial Narrow" w:hAnsi="Arial Narrow" w:cs="Calibri"/>
                <w:color w:val="000000"/>
                <w:sz w:val="20"/>
                <w:szCs w:val="20"/>
              </w:rPr>
              <w:t>5 156 513</w:t>
            </w:r>
          </w:p>
        </w:tc>
      </w:tr>
      <w:tr w:rsidR="00BA7C7F" w:rsidRPr="00C57ABA" w14:paraId="73649689" w14:textId="77777777" w:rsidTr="00B37935">
        <w:trPr>
          <w:trHeight w:val="308"/>
        </w:trPr>
        <w:tc>
          <w:tcPr>
            <w:tcW w:w="2207" w:type="dxa"/>
            <w:tcBorders>
              <w:top w:val="nil"/>
              <w:left w:val="single" w:sz="4" w:space="0" w:color="auto"/>
              <w:bottom w:val="single" w:sz="4" w:space="0" w:color="auto"/>
              <w:right w:val="single" w:sz="4" w:space="0" w:color="auto"/>
            </w:tcBorders>
            <w:shd w:val="clear" w:color="auto" w:fill="auto"/>
            <w:vAlign w:val="center"/>
            <w:hideMark/>
          </w:tcPr>
          <w:p w14:paraId="4F213467" w14:textId="77777777" w:rsidR="00BA7C7F" w:rsidRPr="00022A0B" w:rsidRDefault="00BA7C7F" w:rsidP="00BA7C7F">
            <w:pPr>
              <w:rPr>
                <w:rFonts w:ascii="Arial Narrow" w:hAnsi="Arial Narrow" w:cs="Calibri"/>
                <w:color w:val="000000"/>
                <w:sz w:val="20"/>
                <w:szCs w:val="20"/>
              </w:rPr>
            </w:pPr>
            <w:r w:rsidRPr="00022A0B">
              <w:rPr>
                <w:rFonts w:ascii="Arial Narrow" w:hAnsi="Arial Narrow" w:cs="Calibri"/>
                <w:color w:val="000000"/>
                <w:sz w:val="20"/>
                <w:szCs w:val="20"/>
              </w:rPr>
              <w:t>ИЗ-П</w:t>
            </w:r>
          </w:p>
        </w:tc>
        <w:tc>
          <w:tcPr>
            <w:tcW w:w="1741" w:type="dxa"/>
            <w:tcBorders>
              <w:top w:val="nil"/>
              <w:left w:val="nil"/>
              <w:bottom w:val="single" w:sz="4" w:space="0" w:color="auto"/>
              <w:right w:val="single" w:sz="4" w:space="0" w:color="auto"/>
            </w:tcBorders>
            <w:shd w:val="clear" w:color="auto" w:fill="auto"/>
            <w:noWrap/>
            <w:vAlign w:val="center"/>
            <w:hideMark/>
          </w:tcPr>
          <w:p w14:paraId="47E42B89" w14:textId="77777777" w:rsidR="00BA7C7F" w:rsidRPr="00022A0B" w:rsidRDefault="00BA7C7F" w:rsidP="00BA7C7F">
            <w:pPr>
              <w:jc w:val="right"/>
              <w:rPr>
                <w:rFonts w:ascii="Arial Narrow" w:hAnsi="Arial Narrow" w:cs="Calibri"/>
                <w:color w:val="000000"/>
                <w:sz w:val="20"/>
                <w:szCs w:val="20"/>
              </w:rPr>
            </w:pPr>
            <w:r w:rsidRPr="00022A0B">
              <w:rPr>
                <w:rFonts w:ascii="Arial Narrow" w:hAnsi="Arial Narrow" w:cs="Calibri"/>
                <w:color w:val="000000"/>
                <w:sz w:val="20"/>
                <w:szCs w:val="20"/>
              </w:rPr>
              <w:t>4 407 386</w:t>
            </w:r>
          </w:p>
        </w:tc>
        <w:tc>
          <w:tcPr>
            <w:tcW w:w="1452" w:type="dxa"/>
            <w:tcBorders>
              <w:top w:val="nil"/>
              <w:left w:val="nil"/>
              <w:bottom w:val="single" w:sz="4" w:space="0" w:color="auto"/>
              <w:right w:val="single" w:sz="4" w:space="0" w:color="auto"/>
            </w:tcBorders>
            <w:shd w:val="clear" w:color="auto" w:fill="auto"/>
            <w:vAlign w:val="center"/>
            <w:hideMark/>
          </w:tcPr>
          <w:p w14:paraId="176708A1" w14:textId="77777777" w:rsidR="00BA7C7F" w:rsidRPr="00022A0B" w:rsidRDefault="00BA7C7F" w:rsidP="00BA7C7F">
            <w:pPr>
              <w:jc w:val="right"/>
              <w:rPr>
                <w:rFonts w:ascii="Arial Narrow" w:hAnsi="Arial Narrow" w:cs="Calibri"/>
                <w:color w:val="000000"/>
                <w:sz w:val="20"/>
                <w:szCs w:val="20"/>
              </w:rPr>
            </w:pPr>
            <w:r w:rsidRPr="00022A0B">
              <w:rPr>
                <w:rFonts w:ascii="Arial Narrow" w:hAnsi="Arial Narrow" w:cs="Calibri"/>
                <w:color w:val="000000"/>
                <w:sz w:val="20"/>
                <w:szCs w:val="20"/>
              </w:rPr>
              <w:t>1 050</w:t>
            </w:r>
          </w:p>
        </w:tc>
        <w:tc>
          <w:tcPr>
            <w:tcW w:w="1378" w:type="dxa"/>
            <w:tcBorders>
              <w:top w:val="nil"/>
              <w:left w:val="nil"/>
              <w:bottom w:val="single" w:sz="4" w:space="0" w:color="auto"/>
              <w:right w:val="single" w:sz="4" w:space="0" w:color="auto"/>
            </w:tcBorders>
            <w:shd w:val="clear" w:color="auto" w:fill="auto"/>
            <w:vAlign w:val="center"/>
            <w:hideMark/>
          </w:tcPr>
          <w:p w14:paraId="66C2C481" w14:textId="77777777" w:rsidR="00BA7C7F" w:rsidRPr="00022A0B" w:rsidRDefault="00BA7C7F" w:rsidP="00BA7C7F">
            <w:pPr>
              <w:jc w:val="center"/>
              <w:rPr>
                <w:rFonts w:ascii="Arial Narrow" w:hAnsi="Arial Narrow" w:cs="Calibri"/>
                <w:color w:val="000000"/>
                <w:sz w:val="20"/>
                <w:szCs w:val="20"/>
              </w:rPr>
            </w:pPr>
            <w:r w:rsidRPr="00022A0B">
              <w:rPr>
                <w:rFonts w:ascii="Arial Narrow" w:hAnsi="Arial Narrow" w:cs="Calibri"/>
                <w:color w:val="000000"/>
                <w:sz w:val="20"/>
                <w:szCs w:val="20"/>
              </w:rPr>
              <w:t>2 265,52</w:t>
            </w:r>
          </w:p>
        </w:tc>
        <w:tc>
          <w:tcPr>
            <w:tcW w:w="1380" w:type="dxa"/>
            <w:tcBorders>
              <w:top w:val="nil"/>
              <w:left w:val="nil"/>
              <w:bottom w:val="single" w:sz="4" w:space="0" w:color="auto"/>
              <w:right w:val="single" w:sz="4" w:space="0" w:color="auto"/>
            </w:tcBorders>
            <w:shd w:val="clear" w:color="auto" w:fill="auto"/>
            <w:vAlign w:val="center"/>
            <w:hideMark/>
          </w:tcPr>
          <w:p w14:paraId="58F975A8" w14:textId="77777777" w:rsidR="00BA7C7F" w:rsidRPr="00022A0B" w:rsidRDefault="00BA7C7F" w:rsidP="00BA7C7F">
            <w:pPr>
              <w:jc w:val="center"/>
              <w:rPr>
                <w:rFonts w:ascii="Arial Narrow" w:hAnsi="Arial Narrow" w:cs="Calibri"/>
                <w:color w:val="000000"/>
                <w:sz w:val="20"/>
                <w:szCs w:val="20"/>
              </w:rPr>
            </w:pPr>
            <w:r w:rsidRPr="00022A0B">
              <w:rPr>
                <w:rFonts w:ascii="Arial Narrow" w:hAnsi="Arial Narrow" w:cs="Calibri"/>
                <w:color w:val="000000"/>
                <w:sz w:val="20"/>
                <w:szCs w:val="20"/>
              </w:rPr>
              <w:t>1 510,35</w:t>
            </w:r>
          </w:p>
        </w:tc>
        <w:tc>
          <w:tcPr>
            <w:tcW w:w="1596" w:type="dxa"/>
            <w:tcBorders>
              <w:top w:val="nil"/>
              <w:left w:val="nil"/>
              <w:bottom w:val="single" w:sz="4" w:space="0" w:color="auto"/>
              <w:right w:val="single" w:sz="4" w:space="0" w:color="auto"/>
            </w:tcBorders>
            <w:shd w:val="clear" w:color="auto" w:fill="auto"/>
            <w:noWrap/>
            <w:vAlign w:val="center"/>
            <w:hideMark/>
          </w:tcPr>
          <w:p w14:paraId="7523A457" w14:textId="77777777" w:rsidR="00BA7C7F" w:rsidRPr="00022A0B" w:rsidRDefault="00BA7C7F" w:rsidP="00BA7C7F">
            <w:pPr>
              <w:jc w:val="right"/>
              <w:rPr>
                <w:rFonts w:ascii="Arial Narrow" w:hAnsi="Arial Narrow" w:cs="Calibri"/>
                <w:color w:val="000000"/>
                <w:sz w:val="20"/>
                <w:szCs w:val="20"/>
              </w:rPr>
            </w:pPr>
            <w:r w:rsidRPr="00022A0B">
              <w:rPr>
                <w:rFonts w:ascii="Arial Narrow" w:hAnsi="Arial Narrow" w:cs="Calibri"/>
                <w:color w:val="000000"/>
                <w:sz w:val="20"/>
                <w:szCs w:val="20"/>
              </w:rPr>
              <w:t>4 310 622</w:t>
            </w:r>
          </w:p>
        </w:tc>
      </w:tr>
      <w:tr w:rsidR="00BA7C7F" w:rsidRPr="00C57ABA" w14:paraId="40A4156E" w14:textId="77777777" w:rsidTr="00B37935">
        <w:trPr>
          <w:trHeight w:val="308"/>
        </w:trPr>
        <w:tc>
          <w:tcPr>
            <w:tcW w:w="2207" w:type="dxa"/>
            <w:tcBorders>
              <w:top w:val="nil"/>
              <w:left w:val="single" w:sz="4" w:space="0" w:color="auto"/>
              <w:bottom w:val="single" w:sz="4" w:space="0" w:color="auto"/>
              <w:right w:val="single" w:sz="4" w:space="0" w:color="auto"/>
            </w:tcBorders>
            <w:shd w:val="clear" w:color="auto" w:fill="auto"/>
            <w:vAlign w:val="center"/>
            <w:hideMark/>
          </w:tcPr>
          <w:p w14:paraId="74F00C90" w14:textId="77777777" w:rsidR="00BA7C7F" w:rsidRPr="00022A0B" w:rsidRDefault="00BA7C7F" w:rsidP="00BA7C7F">
            <w:pPr>
              <w:rPr>
                <w:rFonts w:ascii="Arial Narrow" w:hAnsi="Arial Narrow" w:cs="Calibri"/>
                <w:color w:val="000000"/>
                <w:sz w:val="20"/>
                <w:szCs w:val="20"/>
              </w:rPr>
            </w:pPr>
            <w:r w:rsidRPr="00022A0B">
              <w:rPr>
                <w:rFonts w:ascii="Arial Narrow" w:hAnsi="Arial Narrow" w:cs="Calibri"/>
                <w:color w:val="000000"/>
                <w:sz w:val="20"/>
                <w:szCs w:val="20"/>
              </w:rPr>
              <w:t>ИЗ-МЗДП</w:t>
            </w:r>
          </w:p>
        </w:tc>
        <w:tc>
          <w:tcPr>
            <w:tcW w:w="1741" w:type="dxa"/>
            <w:tcBorders>
              <w:top w:val="nil"/>
              <w:left w:val="nil"/>
              <w:bottom w:val="single" w:sz="4" w:space="0" w:color="auto"/>
              <w:right w:val="single" w:sz="4" w:space="0" w:color="auto"/>
            </w:tcBorders>
            <w:shd w:val="clear" w:color="auto" w:fill="auto"/>
            <w:noWrap/>
            <w:vAlign w:val="center"/>
            <w:hideMark/>
          </w:tcPr>
          <w:p w14:paraId="381EE7D3" w14:textId="77777777" w:rsidR="00BA7C7F" w:rsidRPr="00022A0B" w:rsidRDefault="00BA7C7F" w:rsidP="00BA7C7F">
            <w:pPr>
              <w:jc w:val="right"/>
              <w:rPr>
                <w:rFonts w:ascii="Arial Narrow" w:hAnsi="Arial Narrow" w:cs="Calibri"/>
                <w:color w:val="000000"/>
                <w:sz w:val="20"/>
                <w:szCs w:val="20"/>
              </w:rPr>
            </w:pPr>
            <w:r w:rsidRPr="00022A0B">
              <w:rPr>
                <w:rFonts w:ascii="Arial Narrow" w:hAnsi="Arial Narrow" w:cs="Calibri"/>
                <w:color w:val="000000"/>
                <w:sz w:val="20"/>
                <w:szCs w:val="20"/>
              </w:rPr>
              <w:t>8 499 131</w:t>
            </w:r>
          </w:p>
        </w:tc>
        <w:tc>
          <w:tcPr>
            <w:tcW w:w="1452" w:type="dxa"/>
            <w:tcBorders>
              <w:top w:val="nil"/>
              <w:left w:val="nil"/>
              <w:bottom w:val="single" w:sz="4" w:space="0" w:color="auto"/>
              <w:right w:val="single" w:sz="4" w:space="0" w:color="auto"/>
            </w:tcBorders>
            <w:shd w:val="clear" w:color="auto" w:fill="auto"/>
            <w:vAlign w:val="center"/>
            <w:hideMark/>
          </w:tcPr>
          <w:p w14:paraId="14B058B4" w14:textId="77777777" w:rsidR="00BA7C7F" w:rsidRPr="00022A0B" w:rsidRDefault="00BA7C7F" w:rsidP="00BA7C7F">
            <w:pPr>
              <w:jc w:val="right"/>
              <w:rPr>
                <w:rFonts w:ascii="Arial Narrow" w:hAnsi="Arial Narrow" w:cs="Calibri"/>
                <w:color w:val="000000"/>
                <w:sz w:val="20"/>
                <w:szCs w:val="20"/>
              </w:rPr>
            </w:pPr>
            <w:r w:rsidRPr="00022A0B">
              <w:rPr>
                <w:rFonts w:ascii="Arial Narrow" w:hAnsi="Arial Narrow" w:cs="Calibri"/>
                <w:color w:val="000000"/>
                <w:sz w:val="20"/>
                <w:szCs w:val="20"/>
              </w:rPr>
              <w:t>3 070</w:t>
            </w:r>
          </w:p>
        </w:tc>
        <w:tc>
          <w:tcPr>
            <w:tcW w:w="1378" w:type="dxa"/>
            <w:tcBorders>
              <w:top w:val="nil"/>
              <w:left w:val="nil"/>
              <w:bottom w:val="single" w:sz="4" w:space="0" w:color="auto"/>
              <w:right w:val="single" w:sz="4" w:space="0" w:color="auto"/>
            </w:tcBorders>
            <w:shd w:val="clear" w:color="auto" w:fill="auto"/>
            <w:vAlign w:val="center"/>
            <w:hideMark/>
          </w:tcPr>
          <w:p w14:paraId="4C47BD11" w14:textId="77777777" w:rsidR="00BA7C7F" w:rsidRPr="00022A0B" w:rsidRDefault="00BA7C7F" w:rsidP="00BA7C7F">
            <w:pPr>
              <w:jc w:val="center"/>
              <w:rPr>
                <w:rFonts w:ascii="Arial Narrow" w:hAnsi="Arial Narrow" w:cs="Calibri"/>
                <w:color w:val="000000"/>
                <w:sz w:val="20"/>
                <w:szCs w:val="20"/>
              </w:rPr>
            </w:pPr>
            <w:r w:rsidRPr="00022A0B">
              <w:rPr>
                <w:rFonts w:ascii="Arial Narrow" w:hAnsi="Arial Narrow" w:cs="Calibri"/>
                <w:color w:val="000000"/>
                <w:sz w:val="20"/>
                <w:szCs w:val="20"/>
              </w:rPr>
              <w:t>863,66</w:t>
            </w:r>
          </w:p>
        </w:tc>
        <w:tc>
          <w:tcPr>
            <w:tcW w:w="1380" w:type="dxa"/>
            <w:tcBorders>
              <w:top w:val="nil"/>
              <w:left w:val="nil"/>
              <w:bottom w:val="single" w:sz="4" w:space="0" w:color="auto"/>
              <w:right w:val="single" w:sz="4" w:space="0" w:color="auto"/>
            </w:tcBorders>
            <w:shd w:val="clear" w:color="auto" w:fill="auto"/>
            <w:vAlign w:val="center"/>
            <w:hideMark/>
          </w:tcPr>
          <w:p w14:paraId="772D208C" w14:textId="77777777" w:rsidR="00BA7C7F" w:rsidRPr="00022A0B" w:rsidRDefault="00BA7C7F" w:rsidP="00BA7C7F">
            <w:pPr>
              <w:jc w:val="center"/>
              <w:rPr>
                <w:rFonts w:ascii="Arial Narrow" w:hAnsi="Arial Narrow" w:cs="Calibri"/>
                <w:color w:val="000000"/>
                <w:sz w:val="20"/>
                <w:szCs w:val="20"/>
              </w:rPr>
            </w:pPr>
            <w:r w:rsidRPr="00022A0B">
              <w:rPr>
                <w:rFonts w:ascii="Arial Narrow" w:hAnsi="Arial Narrow" w:cs="Calibri"/>
                <w:color w:val="000000"/>
                <w:sz w:val="20"/>
                <w:szCs w:val="20"/>
              </w:rPr>
              <w:t>575,77</w:t>
            </w:r>
          </w:p>
        </w:tc>
        <w:tc>
          <w:tcPr>
            <w:tcW w:w="1596" w:type="dxa"/>
            <w:tcBorders>
              <w:top w:val="nil"/>
              <w:left w:val="nil"/>
              <w:bottom w:val="single" w:sz="4" w:space="0" w:color="auto"/>
              <w:right w:val="single" w:sz="4" w:space="0" w:color="auto"/>
            </w:tcBorders>
            <w:shd w:val="clear" w:color="auto" w:fill="auto"/>
            <w:noWrap/>
            <w:vAlign w:val="center"/>
            <w:hideMark/>
          </w:tcPr>
          <w:p w14:paraId="19467FDE" w14:textId="77777777" w:rsidR="00BA7C7F" w:rsidRPr="00022A0B" w:rsidRDefault="00BA7C7F" w:rsidP="00BA7C7F">
            <w:pPr>
              <w:jc w:val="right"/>
              <w:rPr>
                <w:rFonts w:ascii="Arial Narrow" w:hAnsi="Arial Narrow" w:cs="Calibri"/>
                <w:color w:val="000000"/>
                <w:sz w:val="20"/>
                <w:szCs w:val="20"/>
              </w:rPr>
            </w:pPr>
            <w:r w:rsidRPr="00022A0B">
              <w:rPr>
                <w:rFonts w:ascii="Arial Narrow" w:hAnsi="Arial Narrow" w:cs="Calibri"/>
                <w:color w:val="000000"/>
                <w:sz w:val="20"/>
                <w:szCs w:val="20"/>
              </w:rPr>
              <w:t>8 264 095</w:t>
            </w:r>
          </w:p>
        </w:tc>
      </w:tr>
      <w:tr w:rsidR="00BA7C7F" w:rsidRPr="00C57ABA" w14:paraId="39BEC83F" w14:textId="77777777" w:rsidTr="00B37935">
        <w:trPr>
          <w:trHeight w:val="308"/>
        </w:trPr>
        <w:tc>
          <w:tcPr>
            <w:tcW w:w="2207" w:type="dxa"/>
            <w:tcBorders>
              <w:top w:val="nil"/>
              <w:left w:val="single" w:sz="4" w:space="0" w:color="auto"/>
              <w:bottom w:val="single" w:sz="4" w:space="0" w:color="auto"/>
              <w:right w:val="single" w:sz="4" w:space="0" w:color="auto"/>
            </w:tcBorders>
            <w:shd w:val="clear" w:color="auto" w:fill="auto"/>
            <w:vAlign w:val="center"/>
            <w:hideMark/>
          </w:tcPr>
          <w:p w14:paraId="71D6F61F" w14:textId="77777777" w:rsidR="00BA7C7F" w:rsidRPr="00022A0B" w:rsidRDefault="00BA7C7F" w:rsidP="00BA7C7F">
            <w:pPr>
              <w:rPr>
                <w:rFonts w:ascii="Arial Narrow" w:hAnsi="Arial Narrow" w:cs="Calibri"/>
                <w:color w:val="000000"/>
                <w:sz w:val="20"/>
                <w:szCs w:val="20"/>
              </w:rPr>
            </w:pPr>
            <w:r w:rsidRPr="00022A0B">
              <w:rPr>
                <w:rFonts w:ascii="Arial Narrow" w:hAnsi="Arial Narrow" w:cs="Calibri"/>
                <w:color w:val="000000"/>
                <w:sz w:val="20"/>
                <w:szCs w:val="20"/>
              </w:rPr>
              <w:t>ИЗ-ЛЧ</w:t>
            </w:r>
          </w:p>
        </w:tc>
        <w:tc>
          <w:tcPr>
            <w:tcW w:w="1741" w:type="dxa"/>
            <w:tcBorders>
              <w:top w:val="nil"/>
              <w:left w:val="nil"/>
              <w:bottom w:val="single" w:sz="4" w:space="0" w:color="auto"/>
              <w:right w:val="single" w:sz="4" w:space="0" w:color="auto"/>
            </w:tcBorders>
            <w:shd w:val="clear" w:color="auto" w:fill="auto"/>
            <w:noWrap/>
            <w:vAlign w:val="center"/>
            <w:hideMark/>
          </w:tcPr>
          <w:p w14:paraId="5EAD094F" w14:textId="77777777" w:rsidR="00BA7C7F" w:rsidRPr="00022A0B" w:rsidRDefault="00BA7C7F" w:rsidP="00BA7C7F">
            <w:pPr>
              <w:jc w:val="right"/>
              <w:rPr>
                <w:rFonts w:ascii="Arial Narrow" w:hAnsi="Arial Narrow" w:cs="Calibri"/>
                <w:color w:val="000000"/>
                <w:sz w:val="20"/>
                <w:szCs w:val="20"/>
              </w:rPr>
            </w:pPr>
            <w:r w:rsidRPr="00022A0B">
              <w:rPr>
                <w:rFonts w:ascii="Arial Narrow" w:hAnsi="Arial Narrow" w:cs="Calibri"/>
                <w:color w:val="000000"/>
                <w:sz w:val="20"/>
                <w:szCs w:val="20"/>
              </w:rPr>
              <w:t>3 718 669</w:t>
            </w:r>
          </w:p>
        </w:tc>
        <w:tc>
          <w:tcPr>
            <w:tcW w:w="1452" w:type="dxa"/>
            <w:tcBorders>
              <w:top w:val="nil"/>
              <w:left w:val="nil"/>
              <w:bottom w:val="single" w:sz="4" w:space="0" w:color="auto"/>
              <w:right w:val="single" w:sz="4" w:space="0" w:color="auto"/>
            </w:tcBorders>
            <w:shd w:val="clear" w:color="auto" w:fill="auto"/>
            <w:vAlign w:val="center"/>
            <w:hideMark/>
          </w:tcPr>
          <w:p w14:paraId="2F4AF3E4" w14:textId="77777777" w:rsidR="00BA7C7F" w:rsidRPr="00022A0B" w:rsidRDefault="00BA7C7F" w:rsidP="00BA7C7F">
            <w:pPr>
              <w:jc w:val="right"/>
              <w:rPr>
                <w:rFonts w:ascii="Arial Narrow" w:hAnsi="Arial Narrow" w:cs="Calibri"/>
                <w:color w:val="000000"/>
                <w:sz w:val="20"/>
                <w:szCs w:val="20"/>
              </w:rPr>
            </w:pPr>
            <w:r w:rsidRPr="00022A0B">
              <w:rPr>
                <w:rFonts w:ascii="Arial Narrow" w:hAnsi="Arial Narrow" w:cs="Calibri"/>
                <w:color w:val="000000"/>
                <w:sz w:val="20"/>
                <w:szCs w:val="20"/>
              </w:rPr>
              <w:t>705</w:t>
            </w:r>
          </w:p>
        </w:tc>
        <w:tc>
          <w:tcPr>
            <w:tcW w:w="1378" w:type="dxa"/>
            <w:tcBorders>
              <w:top w:val="nil"/>
              <w:left w:val="nil"/>
              <w:bottom w:val="single" w:sz="4" w:space="0" w:color="auto"/>
              <w:right w:val="single" w:sz="4" w:space="0" w:color="auto"/>
            </w:tcBorders>
            <w:shd w:val="clear" w:color="auto" w:fill="auto"/>
            <w:vAlign w:val="center"/>
            <w:hideMark/>
          </w:tcPr>
          <w:p w14:paraId="697B43A6" w14:textId="77777777" w:rsidR="00BA7C7F" w:rsidRPr="00022A0B" w:rsidRDefault="00BA7C7F" w:rsidP="00BA7C7F">
            <w:pPr>
              <w:jc w:val="center"/>
              <w:rPr>
                <w:rFonts w:ascii="Arial Narrow" w:hAnsi="Arial Narrow" w:cs="Calibri"/>
                <w:color w:val="000000"/>
                <w:sz w:val="20"/>
                <w:szCs w:val="20"/>
              </w:rPr>
            </w:pPr>
            <w:r w:rsidRPr="00022A0B">
              <w:rPr>
                <w:rFonts w:ascii="Arial Narrow" w:hAnsi="Arial Narrow" w:cs="Calibri"/>
                <w:color w:val="000000"/>
                <w:sz w:val="20"/>
                <w:szCs w:val="20"/>
              </w:rPr>
              <w:t>1 284,77</w:t>
            </w:r>
          </w:p>
        </w:tc>
        <w:tc>
          <w:tcPr>
            <w:tcW w:w="1380" w:type="dxa"/>
            <w:tcBorders>
              <w:top w:val="nil"/>
              <w:left w:val="nil"/>
              <w:bottom w:val="single" w:sz="4" w:space="0" w:color="auto"/>
              <w:right w:val="single" w:sz="4" w:space="0" w:color="auto"/>
            </w:tcBorders>
            <w:shd w:val="clear" w:color="auto" w:fill="auto"/>
            <w:vAlign w:val="center"/>
            <w:hideMark/>
          </w:tcPr>
          <w:p w14:paraId="38DF1EA2" w14:textId="77777777" w:rsidR="00BA7C7F" w:rsidRPr="00022A0B" w:rsidRDefault="00BA7C7F" w:rsidP="00BA7C7F">
            <w:pPr>
              <w:jc w:val="center"/>
              <w:rPr>
                <w:rFonts w:ascii="Arial Narrow" w:hAnsi="Arial Narrow" w:cs="Calibri"/>
                <w:color w:val="000000"/>
                <w:sz w:val="20"/>
                <w:szCs w:val="20"/>
              </w:rPr>
            </w:pPr>
            <w:r w:rsidRPr="00022A0B">
              <w:rPr>
                <w:rFonts w:ascii="Arial Narrow" w:hAnsi="Arial Narrow" w:cs="Calibri"/>
                <w:color w:val="000000"/>
                <w:sz w:val="20"/>
                <w:szCs w:val="20"/>
              </w:rPr>
              <w:t>856,52</w:t>
            </w:r>
          </w:p>
        </w:tc>
        <w:tc>
          <w:tcPr>
            <w:tcW w:w="1596" w:type="dxa"/>
            <w:tcBorders>
              <w:top w:val="nil"/>
              <w:left w:val="nil"/>
              <w:bottom w:val="single" w:sz="4" w:space="0" w:color="auto"/>
              <w:right w:val="single" w:sz="4" w:space="0" w:color="auto"/>
            </w:tcBorders>
            <w:shd w:val="clear" w:color="auto" w:fill="auto"/>
            <w:noWrap/>
            <w:vAlign w:val="center"/>
            <w:hideMark/>
          </w:tcPr>
          <w:p w14:paraId="62A6F2D5" w14:textId="77777777" w:rsidR="00BA7C7F" w:rsidRPr="00022A0B" w:rsidRDefault="00BA7C7F" w:rsidP="00BA7C7F">
            <w:pPr>
              <w:jc w:val="right"/>
              <w:rPr>
                <w:rFonts w:ascii="Arial Narrow" w:hAnsi="Arial Narrow" w:cs="Calibri"/>
                <w:color w:val="000000"/>
                <w:sz w:val="20"/>
                <w:szCs w:val="20"/>
              </w:rPr>
            </w:pPr>
            <w:r w:rsidRPr="00022A0B">
              <w:rPr>
                <w:rFonts w:ascii="Arial Narrow" w:hAnsi="Arial Narrow" w:cs="Calibri"/>
                <w:color w:val="000000"/>
                <w:sz w:val="20"/>
                <w:szCs w:val="20"/>
              </w:rPr>
              <w:t>3 608 098</w:t>
            </w:r>
          </w:p>
        </w:tc>
      </w:tr>
      <w:tr w:rsidR="00BA7C7F" w:rsidRPr="00C57ABA" w14:paraId="7AFA584D" w14:textId="77777777" w:rsidTr="00B37935">
        <w:trPr>
          <w:trHeight w:val="308"/>
        </w:trPr>
        <w:tc>
          <w:tcPr>
            <w:tcW w:w="2207" w:type="dxa"/>
            <w:tcBorders>
              <w:top w:val="nil"/>
              <w:left w:val="single" w:sz="4" w:space="0" w:color="auto"/>
              <w:bottom w:val="single" w:sz="4" w:space="0" w:color="auto"/>
              <w:right w:val="single" w:sz="4" w:space="0" w:color="auto"/>
            </w:tcBorders>
            <w:shd w:val="clear" w:color="auto" w:fill="auto"/>
            <w:vAlign w:val="center"/>
            <w:hideMark/>
          </w:tcPr>
          <w:p w14:paraId="6714DDD2" w14:textId="77777777" w:rsidR="00BA7C7F" w:rsidRPr="00022A0B" w:rsidRDefault="00BA7C7F" w:rsidP="00BA7C7F">
            <w:pPr>
              <w:rPr>
                <w:rFonts w:ascii="Arial Narrow" w:hAnsi="Arial Narrow" w:cs="Calibri"/>
                <w:color w:val="000000"/>
                <w:sz w:val="20"/>
                <w:szCs w:val="20"/>
              </w:rPr>
            </w:pPr>
            <w:r w:rsidRPr="00022A0B">
              <w:rPr>
                <w:rFonts w:ascii="Arial Narrow" w:hAnsi="Arial Narrow" w:cs="Calibri"/>
                <w:color w:val="000000"/>
                <w:sz w:val="20"/>
                <w:szCs w:val="20"/>
              </w:rPr>
              <w:t>ИОП</w:t>
            </w:r>
          </w:p>
        </w:tc>
        <w:tc>
          <w:tcPr>
            <w:tcW w:w="1741" w:type="dxa"/>
            <w:tcBorders>
              <w:top w:val="nil"/>
              <w:left w:val="nil"/>
              <w:bottom w:val="single" w:sz="4" w:space="0" w:color="auto"/>
              <w:right w:val="single" w:sz="4" w:space="0" w:color="auto"/>
            </w:tcBorders>
            <w:shd w:val="clear" w:color="auto" w:fill="auto"/>
            <w:noWrap/>
            <w:vAlign w:val="center"/>
            <w:hideMark/>
          </w:tcPr>
          <w:p w14:paraId="268E9F53" w14:textId="77777777" w:rsidR="00BA7C7F" w:rsidRPr="00022A0B" w:rsidRDefault="00BA7C7F" w:rsidP="00BA7C7F">
            <w:pPr>
              <w:jc w:val="right"/>
              <w:rPr>
                <w:rFonts w:ascii="Arial Narrow" w:hAnsi="Arial Narrow" w:cs="Calibri"/>
                <w:color w:val="000000"/>
                <w:sz w:val="20"/>
                <w:szCs w:val="20"/>
              </w:rPr>
            </w:pPr>
            <w:r w:rsidRPr="00022A0B">
              <w:rPr>
                <w:rFonts w:ascii="Arial Narrow" w:hAnsi="Arial Narrow" w:cs="Calibri"/>
                <w:color w:val="000000"/>
                <w:sz w:val="20"/>
                <w:szCs w:val="20"/>
              </w:rPr>
              <w:t>12 015 075</w:t>
            </w:r>
          </w:p>
        </w:tc>
        <w:tc>
          <w:tcPr>
            <w:tcW w:w="1452" w:type="dxa"/>
            <w:tcBorders>
              <w:top w:val="nil"/>
              <w:left w:val="nil"/>
              <w:bottom w:val="single" w:sz="4" w:space="0" w:color="auto"/>
              <w:right w:val="single" w:sz="4" w:space="0" w:color="auto"/>
            </w:tcBorders>
            <w:shd w:val="clear" w:color="auto" w:fill="auto"/>
            <w:vAlign w:val="center"/>
            <w:hideMark/>
          </w:tcPr>
          <w:p w14:paraId="48830B6B" w14:textId="77777777" w:rsidR="00BA7C7F" w:rsidRPr="00022A0B" w:rsidRDefault="00BA7C7F" w:rsidP="00BA7C7F">
            <w:pPr>
              <w:jc w:val="right"/>
              <w:rPr>
                <w:rFonts w:ascii="Arial Narrow" w:hAnsi="Arial Narrow" w:cs="Calibri"/>
                <w:color w:val="000000"/>
                <w:sz w:val="20"/>
                <w:szCs w:val="20"/>
              </w:rPr>
            </w:pPr>
            <w:r w:rsidRPr="00022A0B">
              <w:rPr>
                <w:rFonts w:ascii="Arial Narrow" w:hAnsi="Arial Narrow" w:cs="Calibri"/>
                <w:color w:val="000000"/>
                <w:sz w:val="20"/>
                <w:szCs w:val="20"/>
              </w:rPr>
              <w:t>1 278</w:t>
            </w:r>
          </w:p>
        </w:tc>
        <w:tc>
          <w:tcPr>
            <w:tcW w:w="2758" w:type="dxa"/>
            <w:gridSpan w:val="2"/>
            <w:tcBorders>
              <w:top w:val="single" w:sz="4" w:space="0" w:color="auto"/>
              <w:left w:val="nil"/>
              <w:bottom w:val="single" w:sz="4" w:space="0" w:color="auto"/>
              <w:right w:val="single" w:sz="4" w:space="0" w:color="auto"/>
            </w:tcBorders>
            <w:shd w:val="clear" w:color="auto" w:fill="auto"/>
            <w:vAlign w:val="center"/>
            <w:hideMark/>
          </w:tcPr>
          <w:p w14:paraId="6659E0A9" w14:textId="77777777" w:rsidR="00BA7C7F" w:rsidRPr="00022A0B" w:rsidRDefault="00BA7C7F" w:rsidP="00BA7C7F">
            <w:pPr>
              <w:jc w:val="center"/>
              <w:rPr>
                <w:rFonts w:ascii="Arial Narrow" w:hAnsi="Arial Narrow" w:cs="Calibri"/>
                <w:color w:val="000000"/>
                <w:sz w:val="20"/>
                <w:szCs w:val="20"/>
              </w:rPr>
            </w:pPr>
            <w:r w:rsidRPr="00022A0B">
              <w:rPr>
                <w:rFonts w:ascii="Arial Narrow" w:hAnsi="Arial Narrow" w:cs="Calibri"/>
                <w:color w:val="000000"/>
                <w:sz w:val="20"/>
                <w:szCs w:val="20"/>
              </w:rPr>
              <w:t>16 007,13</w:t>
            </w:r>
          </w:p>
        </w:tc>
        <w:tc>
          <w:tcPr>
            <w:tcW w:w="1596" w:type="dxa"/>
            <w:tcBorders>
              <w:top w:val="nil"/>
              <w:left w:val="nil"/>
              <w:bottom w:val="single" w:sz="4" w:space="0" w:color="auto"/>
              <w:right w:val="single" w:sz="4" w:space="0" w:color="auto"/>
            </w:tcBorders>
            <w:shd w:val="clear" w:color="auto" w:fill="auto"/>
            <w:noWrap/>
            <w:vAlign w:val="center"/>
            <w:hideMark/>
          </w:tcPr>
          <w:p w14:paraId="210C969A" w14:textId="77777777" w:rsidR="00BA7C7F" w:rsidRPr="00022A0B" w:rsidRDefault="00BA7C7F" w:rsidP="00BA7C7F">
            <w:pPr>
              <w:jc w:val="right"/>
              <w:rPr>
                <w:rFonts w:ascii="Arial Narrow" w:hAnsi="Arial Narrow" w:cs="Calibri"/>
                <w:color w:val="000000"/>
                <w:sz w:val="20"/>
                <w:szCs w:val="20"/>
              </w:rPr>
            </w:pPr>
            <w:r w:rsidRPr="00022A0B">
              <w:rPr>
                <w:rFonts w:ascii="Arial Narrow" w:hAnsi="Arial Narrow" w:cs="Calibri"/>
                <w:color w:val="000000"/>
                <w:sz w:val="20"/>
                <w:szCs w:val="20"/>
              </w:rPr>
              <w:t>11 929 043</w:t>
            </w:r>
          </w:p>
        </w:tc>
      </w:tr>
      <w:tr w:rsidR="00BA7C7F" w:rsidRPr="00C57ABA" w14:paraId="60C2B5A8" w14:textId="77777777" w:rsidTr="00B37935">
        <w:trPr>
          <w:trHeight w:val="308"/>
        </w:trPr>
        <w:tc>
          <w:tcPr>
            <w:tcW w:w="2207" w:type="dxa"/>
            <w:tcBorders>
              <w:top w:val="nil"/>
              <w:left w:val="single" w:sz="4" w:space="0" w:color="auto"/>
              <w:bottom w:val="single" w:sz="4" w:space="0" w:color="auto"/>
              <w:right w:val="single" w:sz="4" w:space="0" w:color="auto"/>
            </w:tcBorders>
            <w:shd w:val="clear" w:color="auto" w:fill="auto"/>
            <w:vAlign w:val="center"/>
            <w:hideMark/>
          </w:tcPr>
          <w:p w14:paraId="711A7150" w14:textId="77777777" w:rsidR="00BA7C7F" w:rsidRPr="00022A0B" w:rsidRDefault="00BA7C7F" w:rsidP="00BA7C7F">
            <w:pPr>
              <w:rPr>
                <w:rFonts w:ascii="Arial Narrow" w:hAnsi="Arial Narrow" w:cs="Calibri"/>
                <w:color w:val="000000"/>
                <w:sz w:val="20"/>
                <w:szCs w:val="20"/>
              </w:rPr>
            </w:pPr>
            <w:r w:rsidRPr="00022A0B">
              <w:rPr>
                <w:rFonts w:ascii="Arial Narrow" w:hAnsi="Arial Narrow" w:cs="Calibri"/>
                <w:color w:val="000000"/>
                <w:sz w:val="20"/>
                <w:szCs w:val="20"/>
              </w:rPr>
              <w:t>ИЗП-пл</w:t>
            </w:r>
          </w:p>
        </w:tc>
        <w:tc>
          <w:tcPr>
            <w:tcW w:w="1741" w:type="dxa"/>
            <w:tcBorders>
              <w:top w:val="nil"/>
              <w:left w:val="nil"/>
              <w:bottom w:val="single" w:sz="4" w:space="0" w:color="auto"/>
              <w:right w:val="single" w:sz="4" w:space="0" w:color="auto"/>
            </w:tcBorders>
            <w:shd w:val="clear" w:color="auto" w:fill="auto"/>
            <w:noWrap/>
            <w:vAlign w:val="center"/>
            <w:hideMark/>
          </w:tcPr>
          <w:p w14:paraId="1E7A0745" w14:textId="77777777" w:rsidR="00BA7C7F" w:rsidRPr="00022A0B" w:rsidRDefault="00BA7C7F" w:rsidP="00BA7C7F">
            <w:pPr>
              <w:jc w:val="right"/>
              <w:rPr>
                <w:rFonts w:ascii="Arial Narrow" w:hAnsi="Arial Narrow" w:cs="Calibri"/>
                <w:color w:val="000000"/>
                <w:sz w:val="20"/>
                <w:szCs w:val="20"/>
              </w:rPr>
            </w:pPr>
            <w:r w:rsidRPr="00022A0B">
              <w:rPr>
                <w:rFonts w:ascii="Arial Narrow" w:hAnsi="Arial Narrow" w:cs="Calibri"/>
                <w:color w:val="000000"/>
                <w:sz w:val="20"/>
                <w:szCs w:val="20"/>
              </w:rPr>
              <w:t>384 964</w:t>
            </w:r>
          </w:p>
        </w:tc>
        <w:tc>
          <w:tcPr>
            <w:tcW w:w="1452" w:type="dxa"/>
            <w:tcBorders>
              <w:top w:val="nil"/>
              <w:left w:val="nil"/>
              <w:bottom w:val="single" w:sz="4" w:space="0" w:color="auto"/>
              <w:right w:val="single" w:sz="4" w:space="0" w:color="auto"/>
            </w:tcBorders>
            <w:shd w:val="clear" w:color="auto" w:fill="auto"/>
            <w:vAlign w:val="center"/>
            <w:hideMark/>
          </w:tcPr>
          <w:p w14:paraId="4A75A99F" w14:textId="77777777" w:rsidR="00BA7C7F" w:rsidRPr="00022A0B" w:rsidRDefault="00BA7C7F" w:rsidP="00BA7C7F">
            <w:pPr>
              <w:jc w:val="right"/>
              <w:rPr>
                <w:rFonts w:ascii="Arial Narrow" w:hAnsi="Arial Narrow" w:cs="Calibri"/>
                <w:color w:val="000000"/>
                <w:sz w:val="20"/>
                <w:szCs w:val="20"/>
              </w:rPr>
            </w:pPr>
            <w:r w:rsidRPr="00022A0B">
              <w:rPr>
                <w:rFonts w:ascii="Arial Narrow" w:hAnsi="Arial Narrow" w:cs="Calibri"/>
                <w:color w:val="000000"/>
                <w:sz w:val="20"/>
                <w:szCs w:val="20"/>
              </w:rPr>
              <w:t>164</w:t>
            </w:r>
          </w:p>
        </w:tc>
        <w:tc>
          <w:tcPr>
            <w:tcW w:w="2758" w:type="dxa"/>
            <w:gridSpan w:val="2"/>
            <w:tcBorders>
              <w:top w:val="single" w:sz="4" w:space="0" w:color="auto"/>
              <w:left w:val="nil"/>
              <w:bottom w:val="single" w:sz="4" w:space="0" w:color="auto"/>
              <w:right w:val="single" w:sz="4" w:space="0" w:color="auto"/>
            </w:tcBorders>
            <w:shd w:val="clear" w:color="auto" w:fill="auto"/>
            <w:vAlign w:val="center"/>
            <w:hideMark/>
          </w:tcPr>
          <w:p w14:paraId="1EF92483" w14:textId="77777777" w:rsidR="00BA7C7F" w:rsidRPr="00022A0B" w:rsidRDefault="00BA7C7F" w:rsidP="00BA7C7F">
            <w:pPr>
              <w:jc w:val="center"/>
              <w:rPr>
                <w:rFonts w:ascii="Arial Narrow" w:hAnsi="Arial Narrow" w:cs="Calibri"/>
                <w:color w:val="000000"/>
                <w:sz w:val="20"/>
                <w:szCs w:val="20"/>
              </w:rPr>
            </w:pPr>
            <w:r w:rsidRPr="00022A0B">
              <w:rPr>
                <w:rFonts w:ascii="Arial Narrow" w:hAnsi="Arial Narrow" w:cs="Calibri"/>
                <w:color w:val="000000"/>
                <w:sz w:val="20"/>
                <w:szCs w:val="20"/>
              </w:rPr>
              <w:t>2 375,48</w:t>
            </w:r>
          </w:p>
        </w:tc>
        <w:tc>
          <w:tcPr>
            <w:tcW w:w="1596" w:type="dxa"/>
            <w:tcBorders>
              <w:top w:val="nil"/>
              <w:left w:val="nil"/>
              <w:bottom w:val="single" w:sz="4" w:space="0" w:color="auto"/>
              <w:right w:val="single" w:sz="4" w:space="0" w:color="auto"/>
            </w:tcBorders>
            <w:shd w:val="clear" w:color="auto" w:fill="auto"/>
            <w:noWrap/>
            <w:vAlign w:val="center"/>
            <w:hideMark/>
          </w:tcPr>
          <w:p w14:paraId="56FA70B5" w14:textId="77777777" w:rsidR="00BA7C7F" w:rsidRPr="00022A0B" w:rsidRDefault="00BA7C7F" w:rsidP="00BA7C7F">
            <w:pPr>
              <w:jc w:val="right"/>
              <w:rPr>
                <w:rFonts w:ascii="Arial Narrow" w:hAnsi="Arial Narrow" w:cs="Calibri"/>
                <w:color w:val="000000"/>
                <w:sz w:val="20"/>
                <w:szCs w:val="20"/>
              </w:rPr>
            </w:pPr>
            <w:r w:rsidRPr="00022A0B">
              <w:rPr>
                <w:rFonts w:ascii="Arial Narrow" w:hAnsi="Arial Narrow" w:cs="Calibri"/>
                <w:color w:val="000000"/>
                <w:sz w:val="20"/>
                <w:szCs w:val="20"/>
              </w:rPr>
              <w:t>367 487</w:t>
            </w:r>
          </w:p>
        </w:tc>
      </w:tr>
      <w:tr w:rsidR="00BA7C7F" w:rsidRPr="00C57ABA" w14:paraId="6CA5F0F4" w14:textId="77777777" w:rsidTr="00B37935">
        <w:trPr>
          <w:trHeight w:val="308"/>
        </w:trPr>
        <w:tc>
          <w:tcPr>
            <w:tcW w:w="2207" w:type="dxa"/>
            <w:tcBorders>
              <w:top w:val="nil"/>
              <w:left w:val="single" w:sz="4" w:space="0" w:color="auto"/>
              <w:bottom w:val="single" w:sz="4" w:space="0" w:color="auto"/>
              <w:right w:val="single" w:sz="4" w:space="0" w:color="auto"/>
            </w:tcBorders>
            <w:shd w:val="clear" w:color="auto" w:fill="auto"/>
            <w:vAlign w:val="center"/>
            <w:hideMark/>
          </w:tcPr>
          <w:p w14:paraId="28BFC912" w14:textId="77777777" w:rsidR="00BA7C7F" w:rsidRPr="00022A0B" w:rsidRDefault="00BA7C7F" w:rsidP="00BA7C7F">
            <w:pPr>
              <w:rPr>
                <w:rFonts w:ascii="Arial Narrow" w:hAnsi="Arial Narrow" w:cs="Calibri"/>
                <w:color w:val="000000"/>
                <w:sz w:val="20"/>
                <w:szCs w:val="20"/>
              </w:rPr>
            </w:pPr>
            <w:r w:rsidRPr="00022A0B">
              <w:rPr>
                <w:rFonts w:ascii="Arial Narrow" w:hAnsi="Arial Narrow" w:cs="Calibri"/>
                <w:color w:val="000000"/>
                <w:sz w:val="20"/>
                <w:szCs w:val="20"/>
              </w:rPr>
              <w:t>ИПК</w:t>
            </w:r>
          </w:p>
        </w:tc>
        <w:tc>
          <w:tcPr>
            <w:tcW w:w="1741" w:type="dxa"/>
            <w:tcBorders>
              <w:top w:val="nil"/>
              <w:left w:val="nil"/>
              <w:bottom w:val="single" w:sz="4" w:space="0" w:color="auto"/>
              <w:right w:val="single" w:sz="4" w:space="0" w:color="auto"/>
            </w:tcBorders>
            <w:shd w:val="clear" w:color="auto" w:fill="auto"/>
            <w:noWrap/>
            <w:vAlign w:val="center"/>
            <w:hideMark/>
          </w:tcPr>
          <w:p w14:paraId="6091859D" w14:textId="77777777" w:rsidR="00BA7C7F" w:rsidRPr="00022A0B" w:rsidRDefault="00BA7C7F" w:rsidP="00BA7C7F">
            <w:pPr>
              <w:jc w:val="right"/>
              <w:rPr>
                <w:rFonts w:ascii="Arial Narrow" w:hAnsi="Arial Narrow" w:cs="Calibri"/>
                <w:color w:val="000000"/>
                <w:sz w:val="20"/>
                <w:szCs w:val="20"/>
              </w:rPr>
            </w:pPr>
            <w:r w:rsidRPr="00022A0B">
              <w:rPr>
                <w:rFonts w:ascii="Arial Narrow" w:hAnsi="Arial Narrow" w:cs="Calibri"/>
                <w:color w:val="000000"/>
                <w:sz w:val="20"/>
                <w:szCs w:val="20"/>
              </w:rPr>
              <w:t>31 853 350</w:t>
            </w:r>
          </w:p>
        </w:tc>
        <w:tc>
          <w:tcPr>
            <w:tcW w:w="1452" w:type="dxa"/>
            <w:tcBorders>
              <w:top w:val="nil"/>
              <w:left w:val="nil"/>
              <w:bottom w:val="single" w:sz="4" w:space="0" w:color="auto"/>
              <w:right w:val="single" w:sz="4" w:space="0" w:color="auto"/>
            </w:tcBorders>
            <w:shd w:val="clear" w:color="auto" w:fill="auto"/>
            <w:vAlign w:val="center"/>
            <w:hideMark/>
          </w:tcPr>
          <w:p w14:paraId="49BFBC37" w14:textId="77777777" w:rsidR="00BA7C7F" w:rsidRPr="00022A0B" w:rsidRDefault="00BA7C7F" w:rsidP="00BA7C7F">
            <w:pPr>
              <w:jc w:val="right"/>
              <w:rPr>
                <w:rFonts w:ascii="Arial Narrow" w:hAnsi="Arial Narrow" w:cs="Calibri"/>
                <w:color w:val="000000"/>
                <w:sz w:val="20"/>
                <w:szCs w:val="20"/>
              </w:rPr>
            </w:pPr>
            <w:r w:rsidRPr="00022A0B">
              <w:rPr>
                <w:rFonts w:ascii="Arial Narrow" w:hAnsi="Arial Narrow" w:cs="Calibri"/>
                <w:color w:val="000000"/>
                <w:sz w:val="20"/>
                <w:szCs w:val="20"/>
              </w:rPr>
              <w:t>14 090</w:t>
            </w:r>
          </w:p>
        </w:tc>
        <w:tc>
          <w:tcPr>
            <w:tcW w:w="2758" w:type="dxa"/>
            <w:gridSpan w:val="2"/>
            <w:tcBorders>
              <w:top w:val="single" w:sz="4" w:space="0" w:color="auto"/>
              <w:left w:val="nil"/>
              <w:bottom w:val="single" w:sz="4" w:space="0" w:color="auto"/>
              <w:right w:val="single" w:sz="4" w:space="0" w:color="auto"/>
            </w:tcBorders>
            <w:shd w:val="clear" w:color="auto" w:fill="auto"/>
            <w:vAlign w:val="center"/>
            <w:hideMark/>
          </w:tcPr>
          <w:p w14:paraId="5BA45E33" w14:textId="77777777" w:rsidR="00BA7C7F" w:rsidRPr="00022A0B" w:rsidRDefault="00BA7C7F" w:rsidP="00BA7C7F">
            <w:pPr>
              <w:jc w:val="center"/>
              <w:rPr>
                <w:rFonts w:ascii="Arial Narrow" w:hAnsi="Arial Narrow" w:cs="Calibri"/>
                <w:color w:val="000000"/>
                <w:sz w:val="20"/>
                <w:szCs w:val="20"/>
              </w:rPr>
            </w:pPr>
            <w:r w:rsidRPr="00022A0B">
              <w:rPr>
                <w:rFonts w:ascii="Arial Narrow" w:hAnsi="Arial Narrow" w:cs="Calibri"/>
                <w:color w:val="000000"/>
                <w:sz w:val="20"/>
                <w:szCs w:val="20"/>
              </w:rPr>
              <w:t>254,74</w:t>
            </w:r>
          </w:p>
        </w:tc>
        <w:tc>
          <w:tcPr>
            <w:tcW w:w="1596" w:type="dxa"/>
            <w:tcBorders>
              <w:top w:val="nil"/>
              <w:left w:val="nil"/>
              <w:bottom w:val="single" w:sz="4" w:space="0" w:color="auto"/>
              <w:right w:val="single" w:sz="4" w:space="0" w:color="auto"/>
            </w:tcBorders>
            <w:shd w:val="clear" w:color="auto" w:fill="auto"/>
            <w:noWrap/>
            <w:vAlign w:val="center"/>
            <w:hideMark/>
          </w:tcPr>
          <w:p w14:paraId="4BBEAAA9" w14:textId="77777777" w:rsidR="00BA7C7F" w:rsidRPr="00022A0B" w:rsidRDefault="00BA7C7F" w:rsidP="00BA7C7F">
            <w:pPr>
              <w:jc w:val="right"/>
              <w:rPr>
                <w:rFonts w:ascii="Arial Narrow" w:hAnsi="Arial Narrow" w:cs="Calibri"/>
                <w:color w:val="000000"/>
                <w:sz w:val="20"/>
                <w:szCs w:val="20"/>
              </w:rPr>
            </w:pPr>
            <w:r w:rsidRPr="00022A0B">
              <w:rPr>
                <w:rFonts w:ascii="Arial Narrow" w:hAnsi="Arial Narrow" w:cs="Calibri"/>
                <w:color w:val="000000"/>
                <w:sz w:val="20"/>
                <w:szCs w:val="20"/>
              </w:rPr>
              <w:t>31 718 667</w:t>
            </w:r>
          </w:p>
        </w:tc>
      </w:tr>
      <w:tr w:rsidR="00BA7C7F" w:rsidRPr="00C57ABA" w14:paraId="4A124007" w14:textId="77777777" w:rsidTr="00B37935">
        <w:trPr>
          <w:trHeight w:val="308"/>
        </w:trPr>
        <w:tc>
          <w:tcPr>
            <w:tcW w:w="2207" w:type="dxa"/>
            <w:tcBorders>
              <w:top w:val="nil"/>
              <w:left w:val="single" w:sz="4" w:space="0" w:color="auto"/>
              <w:bottom w:val="single" w:sz="4" w:space="0" w:color="auto"/>
              <w:right w:val="single" w:sz="4" w:space="0" w:color="auto"/>
            </w:tcBorders>
            <w:shd w:val="clear" w:color="auto" w:fill="auto"/>
            <w:vAlign w:val="center"/>
            <w:hideMark/>
          </w:tcPr>
          <w:p w14:paraId="3519BF7F" w14:textId="77777777" w:rsidR="00BA7C7F" w:rsidRPr="00022A0B" w:rsidRDefault="00BA7C7F" w:rsidP="00BA7C7F">
            <w:pPr>
              <w:rPr>
                <w:rFonts w:ascii="Arial Narrow" w:hAnsi="Arial Narrow" w:cs="Calibri"/>
                <w:color w:val="000000"/>
                <w:sz w:val="20"/>
                <w:szCs w:val="20"/>
              </w:rPr>
            </w:pPr>
            <w:r w:rsidRPr="00022A0B">
              <w:rPr>
                <w:rFonts w:ascii="Arial Narrow" w:hAnsi="Arial Narrow" w:cs="Calibri"/>
                <w:color w:val="000000"/>
                <w:sz w:val="20"/>
                <w:szCs w:val="20"/>
              </w:rPr>
              <w:t>ИЗ-ПСК</w:t>
            </w:r>
          </w:p>
        </w:tc>
        <w:tc>
          <w:tcPr>
            <w:tcW w:w="1741" w:type="dxa"/>
            <w:tcBorders>
              <w:top w:val="nil"/>
              <w:left w:val="nil"/>
              <w:bottom w:val="single" w:sz="4" w:space="0" w:color="auto"/>
              <w:right w:val="single" w:sz="4" w:space="0" w:color="auto"/>
            </w:tcBorders>
            <w:shd w:val="clear" w:color="auto" w:fill="auto"/>
            <w:noWrap/>
            <w:vAlign w:val="center"/>
            <w:hideMark/>
          </w:tcPr>
          <w:p w14:paraId="37D4328B" w14:textId="77777777" w:rsidR="00BA7C7F" w:rsidRPr="00022A0B" w:rsidRDefault="00BA7C7F" w:rsidP="00BA7C7F">
            <w:pPr>
              <w:jc w:val="right"/>
              <w:rPr>
                <w:rFonts w:ascii="Arial Narrow" w:hAnsi="Arial Narrow" w:cs="Calibri"/>
                <w:color w:val="000000"/>
                <w:sz w:val="20"/>
                <w:szCs w:val="20"/>
              </w:rPr>
            </w:pPr>
            <w:r w:rsidRPr="00022A0B">
              <w:rPr>
                <w:rFonts w:ascii="Arial Narrow" w:hAnsi="Arial Narrow" w:cs="Calibri"/>
                <w:color w:val="000000"/>
                <w:sz w:val="20"/>
                <w:szCs w:val="20"/>
              </w:rPr>
              <w:t>869 405</w:t>
            </w:r>
          </w:p>
        </w:tc>
        <w:tc>
          <w:tcPr>
            <w:tcW w:w="1452" w:type="dxa"/>
            <w:tcBorders>
              <w:top w:val="nil"/>
              <w:left w:val="nil"/>
              <w:bottom w:val="single" w:sz="4" w:space="0" w:color="auto"/>
              <w:right w:val="single" w:sz="4" w:space="0" w:color="auto"/>
            </w:tcBorders>
            <w:shd w:val="clear" w:color="auto" w:fill="auto"/>
            <w:vAlign w:val="center"/>
            <w:hideMark/>
          </w:tcPr>
          <w:p w14:paraId="62A3DC4E" w14:textId="77777777" w:rsidR="00BA7C7F" w:rsidRPr="00022A0B" w:rsidRDefault="00BA7C7F" w:rsidP="00BA7C7F">
            <w:pPr>
              <w:jc w:val="right"/>
              <w:rPr>
                <w:rFonts w:ascii="Arial Narrow" w:hAnsi="Arial Narrow" w:cs="Calibri"/>
                <w:color w:val="000000"/>
                <w:sz w:val="20"/>
                <w:szCs w:val="20"/>
              </w:rPr>
            </w:pPr>
            <w:r w:rsidRPr="00022A0B">
              <w:rPr>
                <w:rFonts w:ascii="Arial Narrow" w:hAnsi="Arial Narrow" w:cs="Calibri"/>
                <w:color w:val="000000"/>
                <w:sz w:val="20"/>
                <w:szCs w:val="20"/>
              </w:rPr>
              <w:t>92</w:t>
            </w:r>
          </w:p>
        </w:tc>
        <w:tc>
          <w:tcPr>
            <w:tcW w:w="2758" w:type="dxa"/>
            <w:gridSpan w:val="2"/>
            <w:tcBorders>
              <w:top w:val="single" w:sz="4" w:space="0" w:color="auto"/>
              <w:left w:val="nil"/>
              <w:bottom w:val="single" w:sz="4" w:space="0" w:color="auto"/>
              <w:right w:val="single" w:sz="4" w:space="0" w:color="auto"/>
            </w:tcBorders>
            <w:shd w:val="clear" w:color="auto" w:fill="auto"/>
            <w:vAlign w:val="center"/>
            <w:hideMark/>
          </w:tcPr>
          <w:p w14:paraId="4347860F" w14:textId="77777777" w:rsidR="00BA7C7F" w:rsidRPr="00022A0B" w:rsidRDefault="00BA7C7F" w:rsidP="00BA7C7F">
            <w:pPr>
              <w:jc w:val="center"/>
              <w:rPr>
                <w:rFonts w:ascii="Arial Narrow" w:hAnsi="Arial Narrow" w:cs="Calibri"/>
                <w:color w:val="000000"/>
                <w:sz w:val="20"/>
                <w:szCs w:val="20"/>
              </w:rPr>
            </w:pPr>
            <w:r w:rsidRPr="00022A0B">
              <w:rPr>
                <w:rFonts w:ascii="Arial Narrow" w:hAnsi="Arial Narrow" w:cs="Calibri"/>
                <w:color w:val="000000"/>
                <w:sz w:val="20"/>
                <w:szCs w:val="20"/>
              </w:rPr>
              <w:t>1 529,44</w:t>
            </w:r>
          </w:p>
        </w:tc>
        <w:tc>
          <w:tcPr>
            <w:tcW w:w="1596" w:type="dxa"/>
            <w:tcBorders>
              <w:top w:val="nil"/>
              <w:left w:val="nil"/>
              <w:bottom w:val="single" w:sz="4" w:space="0" w:color="auto"/>
              <w:right w:val="single" w:sz="4" w:space="0" w:color="auto"/>
            </w:tcBorders>
            <w:shd w:val="clear" w:color="auto" w:fill="auto"/>
            <w:noWrap/>
            <w:vAlign w:val="center"/>
            <w:hideMark/>
          </w:tcPr>
          <w:p w14:paraId="29EED29B" w14:textId="77777777" w:rsidR="00BA7C7F" w:rsidRPr="00022A0B" w:rsidRDefault="00BA7C7F" w:rsidP="00BA7C7F">
            <w:pPr>
              <w:jc w:val="right"/>
              <w:rPr>
                <w:rFonts w:ascii="Arial Narrow" w:hAnsi="Arial Narrow" w:cs="Calibri"/>
                <w:color w:val="000000"/>
                <w:sz w:val="20"/>
                <w:szCs w:val="20"/>
              </w:rPr>
            </w:pPr>
            <w:r w:rsidRPr="00022A0B">
              <w:rPr>
                <w:rFonts w:ascii="Arial Narrow" w:hAnsi="Arial Narrow" w:cs="Calibri"/>
                <w:color w:val="000000"/>
                <w:sz w:val="20"/>
                <w:szCs w:val="20"/>
              </w:rPr>
              <w:t>827 855</w:t>
            </w:r>
          </w:p>
        </w:tc>
      </w:tr>
      <w:tr w:rsidR="00BA7C7F" w:rsidRPr="00C57ABA" w14:paraId="3F455BDD" w14:textId="77777777" w:rsidTr="00B37935">
        <w:trPr>
          <w:trHeight w:val="591"/>
        </w:trPr>
        <w:tc>
          <w:tcPr>
            <w:tcW w:w="2207" w:type="dxa"/>
            <w:tcBorders>
              <w:top w:val="nil"/>
              <w:left w:val="single" w:sz="4" w:space="0" w:color="auto"/>
              <w:bottom w:val="single" w:sz="4" w:space="0" w:color="auto"/>
              <w:right w:val="single" w:sz="4" w:space="0" w:color="auto"/>
            </w:tcBorders>
            <w:shd w:val="clear" w:color="auto" w:fill="auto"/>
            <w:vAlign w:val="center"/>
            <w:hideMark/>
          </w:tcPr>
          <w:p w14:paraId="392F1D77" w14:textId="77777777" w:rsidR="00BA7C7F" w:rsidRPr="00022A0B" w:rsidRDefault="00BA7C7F" w:rsidP="00BA7C7F">
            <w:pPr>
              <w:rPr>
                <w:rFonts w:ascii="Arial Narrow" w:hAnsi="Arial Narrow" w:cs="Calibri"/>
                <w:color w:val="000000"/>
                <w:sz w:val="20"/>
                <w:szCs w:val="20"/>
              </w:rPr>
            </w:pPr>
            <w:r w:rsidRPr="00022A0B">
              <w:rPr>
                <w:rFonts w:ascii="Arial Narrow" w:hAnsi="Arial Narrow" w:cs="Calibri"/>
                <w:color w:val="000000"/>
                <w:sz w:val="20"/>
                <w:szCs w:val="20"/>
              </w:rPr>
              <w:t xml:space="preserve">ПНДЖ1 </w:t>
            </w:r>
          </w:p>
        </w:tc>
        <w:tc>
          <w:tcPr>
            <w:tcW w:w="1741" w:type="dxa"/>
            <w:tcBorders>
              <w:top w:val="nil"/>
              <w:left w:val="nil"/>
              <w:bottom w:val="single" w:sz="4" w:space="0" w:color="auto"/>
              <w:right w:val="single" w:sz="4" w:space="0" w:color="auto"/>
            </w:tcBorders>
            <w:shd w:val="clear" w:color="auto" w:fill="auto"/>
            <w:noWrap/>
            <w:vAlign w:val="center"/>
            <w:hideMark/>
          </w:tcPr>
          <w:p w14:paraId="5F8A3EA9" w14:textId="77777777" w:rsidR="00BA7C7F" w:rsidRPr="00022A0B" w:rsidRDefault="00BA7C7F" w:rsidP="00BA7C7F">
            <w:pPr>
              <w:jc w:val="right"/>
              <w:rPr>
                <w:rFonts w:ascii="Arial Narrow" w:hAnsi="Arial Narrow" w:cs="Calibri"/>
                <w:color w:val="000000"/>
                <w:sz w:val="20"/>
                <w:szCs w:val="20"/>
              </w:rPr>
            </w:pPr>
            <w:r w:rsidRPr="00022A0B">
              <w:rPr>
                <w:rFonts w:ascii="Arial Narrow" w:hAnsi="Arial Narrow" w:cs="Calibri"/>
                <w:color w:val="000000"/>
                <w:sz w:val="20"/>
                <w:szCs w:val="20"/>
              </w:rPr>
              <w:t>28 857 927</w:t>
            </w:r>
          </w:p>
        </w:tc>
        <w:tc>
          <w:tcPr>
            <w:tcW w:w="1452" w:type="dxa"/>
            <w:tcBorders>
              <w:top w:val="nil"/>
              <w:left w:val="nil"/>
              <w:bottom w:val="single" w:sz="4" w:space="0" w:color="auto"/>
              <w:right w:val="single" w:sz="4" w:space="0" w:color="auto"/>
            </w:tcBorders>
            <w:shd w:val="clear" w:color="auto" w:fill="auto"/>
            <w:vAlign w:val="center"/>
            <w:hideMark/>
          </w:tcPr>
          <w:p w14:paraId="5592D0D4" w14:textId="77777777" w:rsidR="00BA7C7F" w:rsidRPr="00022A0B" w:rsidRDefault="00BA7C7F" w:rsidP="00BA7C7F">
            <w:pPr>
              <w:jc w:val="right"/>
              <w:rPr>
                <w:rFonts w:ascii="Arial Narrow" w:hAnsi="Arial Narrow" w:cs="Calibri"/>
                <w:color w:val="000000"/>
                <w:sz w:val="20"/>
                <w:szCs w:val="20"/>
              </w:rPr>
            </w:pPr>
            <w:r w:rsidRPr="00022A0B">
              <w:rPr>
                <w:rFonts w:ascii="Arial Narrow" w:hAnsi="Arial Narrow" w:cs="Calibri"/>
                <w:color w:val="000000"/>
                <w:sz w:val="20"/>
                <w:szCs w:val="20"/>
              </w:rPr>
              <w:t>5 768</w:t>
            </w:r>
          </w:p>
        </w:tc>
        <w:tc>
          <w:tcPr>
            <w:tcW w:w="2758" w:type="dxa"/>
            <w:gridSpan w:val="2"/>
            <w:tcBorders>
              <w:top w:val="single" w:sz="4" w:space="0" w:color="auto"/>
              <w:left w:val="nil"/>
              <w:bottom w:val="single" w:sz="4" w:space="0" w:color="auto"/>
              <w:right w:val="single" w:sz="4" w:space="0" w:color="auto"/>
            </w:tcBorders>
            <w:shd w:val="clear" w:color="auto" w:fill="auto"/>
            <w:vAlign w:val="center"/>
            <w:hideMark/>
          </w:tcPr>
          <w:p w14:paraId="7C624362" w14:textId="77777777" w:rsidR="00BA7C7F" w:rsidRPr="00022A0B" w:rsidRDefault="00BA7C7F" w:rsidP="00BA7C7F">
            <w:pPr>
              <w:jc w:val="center"/>
              <w:rPr>
                <w:rFonts w:ascii="Arial Narrow" w:hAnsi="Arial Narrow" w:cs="Calibri"/>
                <w:color w:val="000000"/>
                <w:sz w:val="20"/>
                <w:szCs w:val="20"/>
              </w:rPr>
            </w:pPr>
            <w:r w:rsidRPr="00022A0B">
              <w:rPr>
                <w:rFonts w:ascii="Arial Narrow" w:hAnsi="Arial Narrow" w:cs="Calibri"/>
                <w:color w:val="000000"/>
                <w:sz w:val="20"/>
                <w:szCs w:val="20"/>
              </w:rPr>
              <w:t xml:space="preserve">70,29 (за говеда)  </w:t>
            </w:r>
            <w:r w:rsidRPr="00022A0B">
              <w:rPr>
                <w:rFonts w:ascii="Arial Narrow" w:hAnsi="Arial Narrow" w:cs="Calibri"/>
                <w:color w:val="000000"/>
                <w:sz w:val="20"/>
                <w:szCs w:val="20"/>
              </w:rPr>
              <w:br/>
              <w:t>123,00 (за биволи)</w:t>
            </w:r>
          </w:p>
        </w:tc>
        <w:tc>
          <w:tcPr>
            <w:tcW w:w="1596" w:type="dxa"/>
            <w:tcBorders>
              <w:top w:val="nil"/>
              <w:left w:val="nil"/>
              <w:bottom w:val="single" w:sz="4" w:space="0" w:color="auto"/>
              <w:right w:val="single" w:sz="4" w:space="0" w:color="auto"/>
            </w:tcBorders>
            <w:shd w:val="clear" w:color="auto" w:fill="auto"/>
            <w:noWrap/>
            <w:vAlign w:val="center"/>
            <w:hideMark/>
          </w:tcPr>
          <w:p w14:paraId="60BFF5CB" w14:textId="77777777" w:rsidR="00BA7C7F" w:rsidRPr="00022A0B" w:rsidRDefault="00BA7C7F" w:rsidP="00BA7C7F">
            <w:pPr>
              <w:jc w:val="right"/>
              <w:rPr>
                <w:rFonts w:ascii="Arial Narrow" w:hAnsi="Arial Narrow" w:cs="Calibri"/>
                <w:color w:val="000000"/>
                <w:sz w:val="20"/>
                <w:szCs w:val="20"/>
              </w:rPr>
            </w:pPr>
            <w:r w:rsidRPr="00022A0B">
              <w:rPr>
                <w:rFonts w:ascii="Arial Narrow" w:hAnsi="Arial Narrow" w:cs="Calibri"/>
                <w:color w:val="000000"/>
                <w:sz w:val="20"/>
                <w:szCs w:val="20"/>
              </w:rPr>
              <w:t>28 791 404</w:t>
            </w:r>
          </w:p>
        </w:tc>
      </w:tr>
      <w:tr w:rsidR="00BA7C7F" w:rsidRPr="00C57ABA" w14:paraId="61E3F8C2" w14:textId="77777777" w:rsidTr="00B37935">
        <w:trPr>
          <w:trHeight w:val="308"/>
        </w:trPr>
        <w:tc>
          <w:tcPr>
            <w:tcW w:w="2207" w:type="dxa"/>
            <w:tcBorders>
              <w:top w:val="nil"/>
              <w:left w:val="single" w:sz="4" w:space="0" w:color="auto"/>
              <w:bottom w:val="single" w:sz="4" w:space="0" w:color="auto"/>
              <w:right w:val="single" w:sz="4" w:space="0" w:color="auto"/>
            </w:tcBorders>
            <w:shd w:val="clear" w:color="auto" w:fill="auto"/>
            <w:vAlign w:val="center"/>
            <w:hideMark/>
          </w:tcPr>
          <w:p w14:paraId="62E2156F" w14:textId="77777777" w:rsidR="00BA7C7F" w:rsidRPr="00022A0B" w:rsidRDefault="00BA7C7F" w:rsidP="00BA7C7F">
            <w:pPr>
              <w:rPr>
                <w:rFonts w:ascii="Arial Narrow" w:hAnsi="Arial Narrow" w:cs="Calibri"/>
                <w:color w:val="000000"/>
                <w:sz w:val="20"/>
                <w:szCs w:val="20"/>
              </w:rPr>
            </w:pPr>
            <w:r w:rsidRPr="00022A0B">
              <w:rPr>
                <w:rFonts w:ascii="Arial Narrow" w:hAnsi="Arial Narrow" w:cs="Calibri"/>
                <w:color w:val="000000"/>
                <w:sz w:val="20"/>
                <w:szCs w:val="20"/>
              </w:rPr>
              <w:t xml:space="preserve">ПНДЖ3 </w:t>
            </w:r>
          </w:p>
        </w:tc>
        <w:tc>
          <w:tcPr>
            <w:tcW w:w="1741" w:type="dxa"/>
            <w:tcBorders>
              <w:top w:val="nil"/>
              <w:left w:val="nil"/>
              <w:bottom w:val="single" w:sz="4" w:space="0" w:color="auto"/>
              <w:right w:val="single" w:sz="4" w:space="0" w:color="auto"/>
            </w:tcBorders>
            <w:shd w:val="clear" w:color="auto" w:fill="auto"/>
            <w:noWrap/>
            <w:vAlign w:val="center"/>
            <w:hideMark/>
          </w:tcPr>
          <w:p w14:paraId="165D2F99" w14:textId="77777777" w:rsidR="00BA7C7F" w:rsidRPr="00022A0B" w:rsidRDefault="00BA7C7F" w:rsidP="00BA7C7F">
            <w:pPr>
              <w:jc w:val="right"/>
              <w:rPr>
                <w:rFonts w:ascii="Arial Narrow" w:hAnsi="Arial Narrow" w:cs="Calibri"/>
                <w:color w:val="000000"/>
                <w:sz w:val="20"/>
                <w:szCs w:val="20"/>
              </w:rPr>
            </w:pPr>
            <w:r w:rsidRPr="00022A0B">
              <w:rPr>
                <w:rFonts w:ascii="Arial Narrow" w:hAnsi="Arial Narrow" w:cs="Calibri"/>
                <w:color w:val="000000"/>
                <w:sz w:val="20"/>
                <w:szCs w:val="20"/>
              </w:rPr>
              <w:t>24 145 818</w:t>
            </w:r>
          </w:p>
        </w:tc>
        <w:tc>
          <w:tcPr>
            <w:tcW w:w="1452" w:type="dxa"/>
            <w:tcBorders>
              <w:top w:val="nil"/>
              <w:left w:val="nil"/>
              <w:bottom w:val="single" w:sz="4" w:space="0" w:color="auto"/>
              <w:right w:val="single" w:sz="4" w:space="0" w:color="auto"/>
            </w:tcBorders>
            <w:shd w:val="clear" w:color="auto" w:fill="auto"/>
            <w:vAlign w:val="center"/>
            <w:hideMark/>
          </w:tcPr>
          <w:p w14:paraId="0FF7C61E" w14:textId="77777777" w:rsidR="00BA7C7F" w:rsidRPr="00022A0B" w:rsidRDefault="00BA7C7F" w:rsidP="00BA7C7F">
            <w:pPr>
              <w:jc w:val="right"/>
              <w:rPr>
                <w:rFonts w:ascii="Arial Narrow" w:hAnsi="Arial Narrow" w:cs="Calibri"/>
                <w:color w:val="000000"/>
                <w:sz w:val="20"/>
                <w:szCs w:val="20"/>
              </w:rPr>
            </w:pPr>
            <w:r w:rsidRPr="00022A0B">
              <w:rPr>
                <w:rFonts w:ascii="Arial Narrow" w:hAnsi="Arial Narrow" w:cs="Calibri"/>
                <w:color w:val="000000"/>
                <w:sz w:val="20"/>
                <w:szCs w:val="20"/>
              </w:rPr>
              <w:t>4 634</w:t>
            </w:r>
          </w:p>
        </w:tc>
        <w:tc>
          <w:tcPr>
            <w:tcW w:w="2758" w:type="dxa"/>
            <w:gridSpan w:val="2"/>
            <w:tcBorders>
              <w:top w:val="single" w:sz="4" w:space="0" w:color="auto"/>
              <w:left w:val="nil"/>
              <w:bottom w:val="single" w:sz="4" w:space="0" w:color="auto"/>
              <w:right w:val="single" w:sz="4" w:space="0" w:color="auto"/>
            </w:tcBorders>
            <w:shd w:val="clear" w:color="auto" w:fill="auto"/>
            <w:vAlign w:val="center"/>
            <w:hideMark/>
          </w:tcPr>
          <w:p w14:paraId="2F7835F4" w14:textId="77777777" w:rsidR="00BA7C7F" w:rsidRPr="00022A0B" w:rsidRDefault="00BA7C7F" w:rsidP="00BA7C7F">
            <w:pPr>
              <w:jc w:val="center"/>
              <w:rPr>
                <w:rFonts w:ascii="Arial Narrow" w:hAnsi="Arial Narrow" w:cs="Calibri"/>
                <w:color w:val="000000"/>
                <w:sz w:val="20"/>
                <w:szCs w:val="20"/>
              </w:rPr>
            </w:pPr>
            <w:r w:rsidRPr="00022A0B">
              <w:rPr>
                <w:rFonts w:ascii="Arial Narrow" w:hAnsi="Arial Narrow" w:cs="Calibri"/>
                <w:color w:val="000000"/>
                <w:sz w:val="20"/>
                <w:szCs w:val="20"/>
              </w:rPr>
              <w:t>41,07</w:t>
            </w:r>
          </w:p>
        </w:tc>
        <w:tc>
          <w:tcPr>
            <w:tcW w:w="1596" w:type="dxa"/>
            <w:tcBorders>
              <w:top w:val="nil"/>
              <w:left w:val="nil"/>
              <w:bottom w:val="single" w:sz="4" w:space="0" w:color="auto"/>
              <w:right w:val="single" w:sz="4" w:space="0" w:color="auto"/>
            </w:tcBorders>
            <w:shd w:val="clear" w:color="auto" w:fill="auto"/>
            <w:noWrap/>
            <w:vAlign w:val="center"/>
            <w:hideMark/>
          </w:tcPr>
          <w:p w14:paraId="31BAAF4D" w14:textId="77777777" w:rsidR="00BA7C7F" w:rsidRPr="00022A0B" w:rsidRDefault="00BA7C7F" w:rsidP="00BA7C7F">
            <w:pPr>
              <w:jc w:val="right"/>
              <w:rPr>
                <w:rFonts w:ascii="Arial Narrow" w:hAnsi="Arial Narrow" w:cs="Calibri"/>
                <w:color w:val="000000"/>
                <w:sz w:val="20"/>
                <w:szCs w:val="20"/>
              </w:rPr>
            </w:pPr>
            <w:r w:rsidRPr="00022A0B">
              <w:rPr>
                <w:rFonts w:ascii="Arial Narrow" w:hAnsi="Arial Narrow" w:cs="Calibri"/>
                <w:color w:val="000000"/>
                <w:sz w:val="20"/>
                <w:szCs w:val="20"/>
              </w:rPr>
              <w:t>19 860 713</w:t>
            </w:r>
          </w:p>
        </w:tc>
      </w:tr>
      <w:tr w:rsidR="00BA7C7F" w:rsidRPr="00C57ABA" w14:paraId="2C3BA302" w14:textId="77777777" w:rsidTr="00B37935">
        <w:trPr>
          <w:trHeight w:val="344"/>
        </w:trPr>
        <w:tc>
          <w:tcPr>
            <w:tcW w:w="2207" w:type="dxa"/>
            <w:tcBorders>
              <w:top w:val="nil"/>
              <w:left w:val="single" w:sz="4" w:space="0" w:color="auto"/>
              <w:bottom w:val="single" w:sz="4" w:space="0" w:color="auto"/>
              <w:right w:val="single" w:sz="4" w:space="0" w:color="auto"/>
            </w:tcBorders>
            <w:shd w:val="clear" w:color="auto" w:fill="auto"/>
            <w:vAlign w:val="center"/>
            <w:hideMark/>
          </w:tcPr>
          <w:p w14:paraId="01CB17E0" w14:textId="77777777" w:rsidR="00BA7C7F" w:rsidRPr="00022A0B" w:rsidRDefault="00BA7C7F" w:rsidP="00BA7C7F">
            <w:pPr>
              <w:rPr>
                <w:rFonts w:ascii="Arial Narrow" w:hAnsi="Arial Narrow" w:cs="Calibri"/>
                <w:color w:val="000000"/>
                <w:sz w:val="20"/>
                <w:szCs w:val="20"/>
              </w:rPr>
            </w:pPr>
            <w:r w:rsidRPr="00022A0B">
              <w:rPr>
                <w:rFonts w:ascii="Arial Narrow" w:hAnsi="Arial Narrow" w:cs="Calibri"/>
                <w:color w:val="000000"/>
                <w:sz w:val="20"/>
                <w:szCs w:val="20"/>
              </w:rPr>
              <w:t xml:space="preserve">ПНДТ </w:t>
            </w:r>
          </w:p>
        </w:tc>
        <w:tc>
          <w:tcPr>
            <w:tcW w:w="1741" w:type="dxa"/>
            <w:tcBorders>
              <w:top w:val="nil"/>
              <w:left w:val="nil"/>
              <w:bottom w:val="single" w:sz="4" w:space="0" w:color="auto"/>
              <w:right w:val="single" w:sz="4" w:space="0" w:color="auto"/>
            </w:tcBorders>
            <w:shd w:val="clear" w:color="auto" w:fill="auto"/>
            <w:noWrap/>
            <w:vAlign w:val="center"/>
            <w:hideMark/>
          </w:tcPr>
          <w:p w14:paraId="675FA757" w14:textId="77777777" w:rsidR="00BA7C7F" w:rsidRPr="00022A0B" w:rsidRDefault="00BA7C7F" w:rsidP="00BA7C7F">
            <w:pPr>
              <w:jc w:val="right"/>
              <w:rPr>
                <w:rFonts w:ascii="Arial Narrow" w:hAnsi="Arial Narrow" w:cs="Calibri"/>
                <w:color w:val="000000"/>
                <w:sz w:val="20"/>
                <w:szCs w:val="20"/>
              </w:rPr>
            </w:pPr>
            <w:r w:rsidRPr="00022A0B">
              <w:rPr>
                <w:rFonts w:ascii="Arial Narrow" w:hAnsi="Arial Narrow" w:cs="Calibri"/>
                <w:color w:val="000000"/>
                <w:sz w:val="20"/>
                <w:szCs w:val="20"/>
              </w:rPr>
              <w:t>70 897 261</w:t>
            </w:r>
          </w:p>
        </w:tc>
        <w:tc>
          <w:tcPr>
            <w:tcW w:w="1452" w:type="dxa"/>
            <w:tcBorders>
              <w:top w:val="nil"/>
              <w:left w:val="nil"/>
              <w:bottom w:val="single" w:sz="4" w:space="0" w:color="auto"/>
              <w:right w:val="single" w:sz="4" w:space="0" w:color="auto"/>
            </w:tcBorders>
            <w:shd w:val="clear" w:color="auto" w:fill="auto"/>
            <w:vAlign w:val="center"/>
            <w:hideMark/>
          </w:tcPr>
          <w:p w14:paraId="5BA3B2EF" w14:textId="77777777" w:rsidR="00BA7C7F" w:rsidRPr="00022A0B" w:rsidRDefault="00BA7C7F" w:rsidP="00BA7C7F">
            <w:pPr>
              <w:jc w:val="right"/>
              <w:rPr>
                <w:rFonts w:ascii="Arial Narrow" w:hAnsi="Arial Narrow" w:cs="Calibri"/>
                <w:color w:val="000000"/>
                <w:sz w:val="20"/>
                <w:szCs w:val="20"/>
              </w:rPr>
            </w:pPr>
            <w:r w:rsidRPr="00022A0B">
              <w:rPr>
                <w:rFonts w:ascii="Arial Narrow" w:hAnsi="Arial Narrow" w:cs="Calibri"/>
                <w:color w:val="000000"/>
                <w:sz w:val="20"/>
                <w:szCs w:val="20"/>
              </w:rPr>
              <w:t>8 404</w:t>
            </w:r>
          </w:p>
        </w:tc>
        <w:tc>
          <w:tcPr>
            <w:tcW w:w="2758" w:type="dxa"/>
            <w:gridSpan w:val="2"/>
            <w:tcBorders>
              <w:top w:val="single" w:sz="4" w:space="0" w:color="auto"/>
              <w:left w:val="nil"/>
              <w:bottom w:val="single" w:sz="4" w:space="0" w:color="auto"/>
              <w:right w:val="single" w:sz="4" w:space="0" w:color="auto"/>
            </w:tcBorders>
            <w:shd w:val="clear" w:color="auto" w:fill="auto"/>
            <w:vAlign w:val="center"/>
            <w:hideMark/>
          </w:tcPr>
          <w:p w14:paraId="3214751C" w14:textId="77777777" w:rsidR="00BA7C7F" w:rsidRPr="00022A0B" w:rsidRDefault="00BA7C7F" w:rsidP="00BA7C7F">
            <w:pPr>
              <w:jc w:val="center"/>
              <w:rPr>
                <w:rFonts w:ascii="Arial Narrow" w:hAnsi="Arial Narrow" w:cs="Calibri"/>
                <w:color w:val="000000"/>
                <w:sz w:val="20"/>
                <w:szCs w:val="20"/>
              </w:rPr>
            </w:pPr>
            <w:r w:rsidRPr="00022A0B">
              <w:rPr>
                <w:rFonts w:ascii="Arial Narrow" w:hAnsi="Arial Narrow" w:cs="Calibri"/>
                <w:color w:val="000000"/>
                <w:sz w:val="20"/>
                <w:szCs w:val="20"/>
              </w:rPr>
              <w:t>5,40 / 4,10 / 4,00 / 4,00 /3,00</w:t>
            </w:r>
          </w:p>
        </w:tc>
        <w:tc>
          <w:tcPr>
            <w:tcW w:w="1596" w:type="dxa"/>
            <w:tcBorders>
              <w:top w:val="nil"/>
              <w:left w:val="nil"/>
              <w:bottom w:val="single" w:sz="4" w:space="0" w:color="auto"/>
              <w:right w:val="single" w:sz="4" w:space="0" w:color="auto"/>
            </w:tcBorders>
            <w:shd w:val="clear" w:color="auto" w:fill="auto"/>
            <w:noWrap/>
            <w:vAlign w:val="center"/>
            <w:hideMark/>
          </w:tcPr>
          <w:p w14:paraId="55DD776E" w14:textId="77777777" w:rsidR="00BA7C7F" w:rsidRPr="00022A0B" w:rsidRDefault="00BA7C7F" w:rsidP="00BA7C7F">
            <w:pPr>
              <w:jc w:val="right"/>
              <w:rPr>
                <w:rFonts w:ascii="Arial Narrow" w:hAnsi="Arial Narrow" w:cs="Calibri"/>
                <w:color w:val="000000"/>
                <w:sz w:val="20"/>
                <w:szCs w:val="20"/>
              </w:rPr>
            </w:pPr>
            <w:r w:rsidRPr="00022A0B">
              <w:rPr>
                <w:rFonts w:ascii="Arial Narrow" w:hAnsi="Arial Narrow" w:cs="Calibri"/>
                <w:color w:val="000000"/>
                <w:sz w:val="20"/>
                <w:szCs w:val="20"/>
              </w:rPr>
              <w:t>70 821 367</w:t>
            </w:r>
          </w:p>
        </w:tc>
      </w:tr>
      <w:tr w:rsidR="00BA7C7F" w:rsidRPr="00C57ABA" w14:paraId="4E7E21CC" w14:textId="77777777" w:rsidTr="00B37935">
        <w:trPr>
          <w:trHeight w:val="344"/>
        </w:trPr>
        <w:tc>
          <w:tcPr>
            <w:tcW w:w="2207" w:type="dxa"/>
            <w:tcBorders>
              <w:top w:val="single" w:sz="4" w:space="0" w:color="auto"/>
              <w:left w:val="single" w:sz="4" w:space="0" w:color="auto"/>
              <w:bottom w:val="single" w:sz="4" w:space="0" w:color="auto"/>
              <w:right w:val="single" w:sz="4" w:space="0" w:color="auto"/>
            </w:tcBorders>
            <w:shd w:val="clear" w:color="auto" w:fill="auto"/>
            <w:vAlign w:val="center"/>
          </w:tcPr>
          <w:p w14:paraId="06E95AB9" w14:textId="77777777" w:rsidR="00BA7C7F" w:rsidRPr="00022A0B" w:rsidRDefault="00BA7C7F" w:rsidP="00BA7C7F">
            <w:pPr>
              <w:rPr>
                <w:rFonts w:ascii="Arial Narrow" w:hAnsi="Arial Narrow" w:cs="Calibri"/>
                <w:b/>
                <w:color w:val="000000"/>
                <w:sz w:val="20"/>
                <w:szCs w:val="20"/>
              </w:rPr>
            </w:pPr>
            <w:r w:rsidRPr="00022A0B">
              <w:rPr>
                <w:rFonts w:ascii="Arial Narrow" w:hAnsi="Arial Narrow" w:cs="Calibri"/>
                <w:b/>
                <w:color w:val="000000"/>
                <w:sz w:val="20"/>
                <w:szCs w:val="20"/>
              </w:rPr>
              <w:t>Общо</w:t>
            </w:r>
          </w:p>
        </w:tc>
        <w:tc>
          <w:tcPr>
            <w:tcW w:w="1741" w:type="dxa"/>
            <w:tcBorders>
              <w:top w:val="single" w:sz="4" w:space="0" w:color="auto"/>
              <w:left w:val="nil"/>
              <w:bottom w:val="single" w:sz="4" w:space="0" w:color="auto"/>
              <w:right w:val="single" w:sz="4" w:space="0" w:color="auto"/>
            </w:tcBorders>
            <w:shd w:val="clear" w:color="auto" w:fill="auto"/>
            <w:noWrap/>
            <w:vAlign w:val="center"/>
          </w:tcPr>
          <w:p w14:paraId="414A1A43" w14:textId="77777777" w:rsidR="00BA7C7F" w:rsidRPr="00022A0B" w:rsidRDefault="00BA7C7F" w:rsidP="00BA7C7F">
            <w:pPr>
              <w:jc w:val="right"/>
              <w:rPr>
                <w:rFonts w:ascii="Arial Narrow" w:hAnsi="Arial Narrow" w:cs="Calibri"/>
                <w:b/>
                <w:color w:val="000000"/>
                <w:sz w:val="20"/>
                <w:szCs w:val="20"/>
              </w:rPr>
            </w:pPr>
          </w:p>
        </w:tc>
        <w:tc>
          <w:tcPr>
            <w:tcW w:w="1452" w:type="dxa"/>
            <w:tcBorders>
              <w:top w:val="single" w:sz="4" w:space="0" w:color="auto"/>
              <w:left w:val="nil"/>
              <w:bottom w:val="single" w:sz="4" w:space="0" w:color="auto"/>
              <w:right w:val="single" w:sz="4" w:space="0" w:color="auto"/>
            </w:tcBorders>
            <w:shd w:val="clear" w:color="auto" w:fill="auto"/>
            <w:vAlign w:val="center"/>
          </w:tcPr>
          <w:p w14:paraId="52DE58E0" w14:textId="77777777" w:rsidR="00BA7C7F" w:rsidRPr="00022A0B" w:rsidRDefault="00BA7C7F" w:rsidP="00BA7C7F">
            <w:pPr>
              <w:jc w:val="right"/>
              <w:rPr>
                <w:rFonts w:ascii="Arial Narrow" w:hAnsi="Arial Narrow" w:cs="Calibri"/>
                <w:b/>
                <w:color w:val="000000"/>
                <w:sz w:val="20"/>
                <w:szCs w:val="20"/>
              </w:rPr>
            </w:pPr>
          </w:p>
        </w:tc>
        <w:tc>
          <w:tcPr>
            <w:tcW w:w="2758" w:type="dxa"/>
            <w:gridSpan w:val="2"/>
            <w:tcBorders>
              <w:top w:val="single" w:sz="4" w:space="0" w:color="auto"/>
              <w:left w:val="nil"/>
              <w:bottom w:val="single" w:sz="4" w:space="0" w:color="auto"/>
              <w:right w:val="single" w:sz="4" w:space="0" w:color="auto"/>
            </w:tcBorders>
            <w:shd w:val="clear" w:color="auto" w:fill="auto"/>
            <w:vAlign w:val="center"/>
          </w:tcPr>
          <w:p w14:paraId="37046FBA" w14:textId="77777777" w:rsidR="00BA7C7F" w:rsidRPr="00022A0B" w:rsidRDefault="00BA7C7F" w:rsidP="00BA7C7F">
            <w:pPr>
              <w:jc w:val="center"/>
              <w:rPr>
                <w:rFonts w:ascii="Arial Narrow" w:hAnsi="Arial Narrow" w:cs="Calibri"/>
                <w:b/>
                <w:color w:val="000000"/>
                <w:sz w:val="20"/>
                <w:szCs w:val="20"/>
              </w:rPr>
            </w:pPr>
          </w:p>
        </w:tc>
        <w:tc>
          <w:tcPr>
            <w:tcW w:w="1596" w:type="dxa"/>
            <w:tcBorders>
              <w:top w:val="single" w:sz="4" w:space="0" w:color="auto"/>
              <w:left w:val="nil"/>
              <w:bottom w:val="single" w:sz="4" w:space="0" w:color="auto"/>
              <w:right w:val="single" w:sz="4" w:space="0" w:color="auto"/>
            </w:tcBorders>
            <w:shd w:val="clear" w:color="auto" w:fill="auto"/>
            <w:noWrap/>
            <w:vAlign w:val="center"/>
          </w:tcPr>
          <w:p w14:paraId="403F110E" w14:textId="77777777" w:rsidR="00BA7C7F" w:rsidRPr="00022A0B" w:rsidRDefault="00BA7C7F" w:rsidP="00BA7C7F">
            <w:pPr>
              <w:jc w:val="right"/>
              <w:rPr>
                <w:rFonts w:ascii="Arial Narrow" w:hAnsi="Arial Narrow" w:cs="Calibri"/>
                <w:b/>
                <w:color w:val="000000"/>
                <w:sz w:val="20"/>
                <w:szCs w:val="20"/>
              </w:rPr>
            </w:pPr>
            <w:r w:rsidRPr="00022A0B">
              <w:rPr>
                <w:rFonts w:ascii="Arial Narrow" w:hAnsi="Arial Narrow" w:cs="Calibri"/>
                <w:b/>
                <w:color w:val="000000"/>
                <w:sz w:val="20"/>
                <w:szCs w:val="20"/>
              </w:rPr>
              <w:t>1 688 792 758</w:t>
            </w:r>
          </w:p>
        </w:tc>
      </w:tr>
    </w:tbl>
    <w:p w14:paraId="57E37589" w14:textId="77777777" w:rsidR="00BA7C7F" w:rsidRPr="00C57ABA" w:rsidRDefault="00BA7C7F" w:rsidP="00BA7C7F">
      <w:pPr>
        <w:rPr>
          <w:rFonts w:ascii="Arial Narrow" w:eastAsia="Calibri" w:hAnsi="Arial Narrow" w:cs="Arial Narrow"/>
          <w:i/>
          <w:sz w:val="18"/>
          <w:szCs w:val="16"/>
        </w:rPr>
      </w:pPr>
      <w:r w:rsidRPr="00725099">
        <w:rPr>
          <w:rFonts w:ascii="Arial Narrow" w:eastAsia="Calibri" w:hAnsi="Arial Narrow" w:cs="Arial Narrow"/>
          <w:i/>
          <w:sz w:val="18"/>
          <w:szCs w:val="16"/>
        </w:rPr>
        <w:t>Източник</w:t>
      </w:r>
      <w:r w:rsidRPr="00C57ABA">
        <w:rPr>
          <w:rFonts w:ascii="Arial Narrow" w:eastAsia="Calibri" w:hAnsi="Arial Narrow" w:cs="Arial Narrow"/>
          <w:i/>
          <w:sz w:val="18"/>
          <w:szCs w:val="16"/>
        </w:rPr>
        <w:t>: ДФЗ-РА</w:t>
      </w:r>
    </w:p>
    <w:p w14:paraId="4C20EE39" w14:textId="77777777" w:rsidR="00BA7C7F" w:rsidRPr="00C57ABA" w:rsidRDefault="00BA7C7F" w:rsidP="00BA7C7F">
      <w:pPr>
        <w:rPr>
          <w:rFonts w:ascii="Arial Narrow" w:hAnsi="Arial Narrow"/>
          <w:bCs/>
          <w:color w:val="000000"/>
          <w:sz w:val="22"/>
          <w:szCs w:val="20"/>
        </w:rPr>
      </w:pPr>
      <w:r w:rsidRPr="00C57ABA">
        <w:rPr>
          <w:rFonts w:ascii="Arial Narrow" w:eastAsia="Calibri" w:hAnsi="Arial Narrow" w:cs="Arial Narrow"/>
          <w:i/>
          <w:sz w:val="18"/>
          <w:szCs w:val="16"/>
        </w:rPr>
        <w:t xml:space="preserve">Забележка: </w:t>
      </w:r>
    </w:p>
    <w:p w14:paraId="265FD84D" w14:textId="77777777" w:rsidR="00BA7C7F" w:rsidRPr="00C57ABA" w:rsidRDefault="00BA7C7F" w:rsidP="00BA7C7F">
      <w:pPr>
        <w:jc w:val="both"/>
        <w:rPr>
          <w:rFonts w:ascii="Arial Narrow" w:eastAsia="Calibri" w:hAnsi="Arial Narrow"/>
          <w:sz w:val="18"/>
        </w:rPr>
      </w:pPr>
      <w:r w:rsidRPr="00C57ABA">
        <w:rPr>
          <w:rFonts w:ascii="Arial Narrow" w:eastAsia="Calibri" w:hAnsi="Arial Narrow"/>
          <w:sz w:val="20"/>
        </w:rPr>
        <w:t xml:space="preserve">* </w:t>
      </w:r>
      <w:r w:rsidRPr="00C57ABA">
        <w:rPr>
          <w:rFonts w:ascii="Arial Narrow" w:eastAsia="Calibri" w:hAnsi="Arial Narrow"/>
          <w:sz w:val="18"/>
        </w:rPr>
        <w:t>Съгласно чл. 101, параграф 3 от Регламент (ЕС) 2021/2115 на Европейския Парламент и на Съвета от 2 декември 2021 година, определените индикативни финансови средства по интервенциите за директни плащания могат да бъдат използвани за други интервенции по директни плащания, без това да налага изменение на СПРЗСР 2023-2027 г.</w:t>
      </w:r>
    </w:p>
    <w:p w14:paraId="45F9C269" w14:textId="77777777" w:rsidR="00BA7C7F" w:rsidRPr="00C57ABA" w:rsidRDefault="00BA7C7F" w:rsidP="00BA7C7F">
      <w:pPr>
        <w:jc w:val="both"/>
        <w:rPr>
          <w:rFonts w:ascii="Arial Narrow" w:hAnsi="Arial Narrow"/>
          <w:bCs/>
          <w:color w:val="000000"/>
          <w:sz w:val="18"/>
          <w:szCs w:val="18"/>
        </w:rPr>
      </w:pPr>
      <w:r w:rsidRPr="00C57ABA">
        <w:rPr>
          <w:rFonts w:ascii="Arial Narrow" w:hAnsi="Arial Narrow"/>
          <w:bCs/>
          <w:color w:val="000000"/>
          <w:sz w:val="20"/>
          <w:szCs w:val="20"/>
        </w:rPr>
        <w:t xml:space="preserve">** </w:t>
      </w:r>
      <w:r w:rsidRPr="00C57ABA">
        <w:rPr>
          <w:rFonts w:ascii="Arial Narrow" w:hAnsi="Arial Narrow"/>
          <w:bCs/>
          <w:color w:val="000000"/>
          <w:sz w:val="18"/>
          <w:szCs w:val="18"/>
        </w:rPr>
        <w:t xml:space="preserve">По интервенциите МлК, МлК-РП, МеК, МеК-РП, К-ЗП и Биволи се предоставя завишено подпомагане за първите 150 допустими за подпомагане животни по съответната интервенция. По интервенциите ДПЖ-РП и ДПЖ-ЗП се предоставя завишено подпомагане за първите 300 допустими за подпомагане животни по съответната интервенция. По интервенциите ИП, ИЗ-ДККП, ИЗ-П, ИЗ-МЗДП и ИЗ-ЛЧ се предоставя завишено подпомагане за първите 30 хектара от допустимата за подпомагане площ по съответната интервенция. По интервенцията Еко-НИП </w:t>
      </w:r>
      <w:r w:rsidRPr="00C57ABA">
        <w:rPr>
          <w:rFonts w:ascii="Arial Narrow" w:hAnsi="Arial Narrow"/>
          <w:bCs/>
          <w:color w:val="000000"/>
          <w:sz w:val="18"/>
          <w:szCs w:val="18"/>
        </w:rPr>
        <w:lastRenderedPageBreak/>
        <w:t>ставките са определени в зависимост от вида на земеползването, съответно за обработваеми земи/трайни насаждения/постоянно затревени площи. За интервенцията Еко-РОК ставките са определени според размера на стопанството, съответно: до 10 ха. /от 10 до 30 ха / над 30 ха. По интервенцията ПНДТ ставките са определени по сортове изкупен тютюн, съответно: Басми до 2 тона / Басми над 2 тона / Каба Кулак / Бърлей / Виржиния. Ставката за малки земеделски стопани (ДЗС) заменя всички останали директни плащания за земеделския стопанин и се предоставя под формата на еднократн</w:t>
      </w:r>
      <w:r>
        <w:rPr>
          <w:rFonts w:ascii="Arial Narrow" w:hAnsi="Arial Narrow"/>
          <w:bCs/>
          <w:color w:val="000000"/>
          <w:sz w:val="18"/>
          <w:szCs w:val="18"/>
        </w:rPr>
        <w:t>а</w:t>
      </w:r>
      <w:r w:rsidRPr="00C57ABA">
        <w:rPr>
          <w:rFonts w:ascii="Arial Narrow" w:hAnsi="Arial Narrow"/>
          <w:bCs/>
          <w:color w:val="000000"/>
          <w:sz w:val="18"/>
          <w:szCs w:val="18"/>
        </w:rPr>
        <w:t xml:space="preserve"> сума в размер на левовата равностойност на от 1000 до 1250 евро. </w:t>
      </w:r>
    </w:p>
    <w:p w14:paraId="19A41814" w14:textId="77777777" w:rsidR="00BA7C7F" w:rsidRPr="00C57ABA" w:rsidRDefault="00BA7C7F" w:rsidP="00BA7C7F">
      <w:pPr>
        <w:jc w:val="both"/>
        <w:rPr>
          <w:rFonts w:ascii="Arial Narrow" w:hAnsi="Arial Narrow"/>
          <w:bCs/>
          <w:color w:val="000000"/>
          <w:sz w:val="18"/>
          <w:szCs w:val="18"/>
        </w:rPr>
      </w:pPr>
      <w:r w:rsidRPr="00C57ABA">
        <w:rPr>
          <w:rFonts w:ascii="Arial Narrow" w:hAnsi="Arial Narrow"/>
          <w:bCs/>
          <w:color w:val="000000"/>
          <w:sz w:val="18"/>
          <w:szCs w:val="18"/>
        </w:rPr>
        <w:t>*** По интервенцията ДП-ОПДУ стойността на годишно ориентировъчно разпределените финансови средства включва сумата, генерирана от налагане на намаления на плащанията по ОПДУ (таван на плащанията), съгласно чл. 57, ал. 2 от Закона за подпомагане на земеделските производители.</w:t>
      </w:r>
    </w:p>
    <w:p w14:paraId="473C7A40" w14:textId="77777777" w:rsidR="00BA7C7F" w:rsidRPr="00C57ABA" w:rsidRDefault="00BA7C7F" w:rsidP="00BA7C7F">
      <w:pPr>
        <w:overflowPunct w:val="0"/>
        <w:autoSpaceDE w:val="0"/>
        <w:autoSpaceDN w:val="0"/>
        <w:adjustRightInd w:val="0"/>
        <w:spacing w:before="60"/>
        <w:jc w:val="both"/>
        <w:textAlignment w:val="baseline"/>
        <w:rPr>
          <w:rFonts w:ascii="Arial Narrow" w:eastAsia="Calibri" w:hAnsi="Arial Narrow"/>
          <w:sz w:val="20"/>
        </w:rPr>
      </w:pPr>
      <w:r w:rsidRPr="00C57ABA">
        <w:rPr>
          <w:rFonts w:ascii="Arial Narrow" w:eastAsia="Calibri" w:hAnsi="Arial Narrow" w:cs="Arial Narrow"/>
          <w:sz w:val="18"/>
          <w:szCs w:val="16"/>
        </w:rPr>
        <w:t>****Данни към 30.06.2025 г.</w:t>
      </w:r>
    </w:p>
    <w:p w14:paraId="762AD1EC" w14:textId="77777777" w:rsidR="00BA7C7F" w:rsidRPr="00C57ABA" w:rsidRDefault="00BA7C7F" w:rsidP="00BA7C7F">
      <w:pPr>
        <w:overflowPunct w:val="0"/>
        <w:autoSpaceDE w:val="0"/>
        <w:autoSpaceDN w:val="0"/>
        <w:adjustRightInd w:val="0"/>
        <w:jc w:val="both"/>
        <w:textAlignment w:val="baseline"/>
        <w:rPr>
          <w:rFonts w:ascii="Arial Narrow" w:eastAsia="Calibri" w:hAnsi="Arial Narrow"/>
          <w:b/>
        </w:rPr>
      </w:pPr>
    </w:p>
    <w:p w14:paraId="63C4416B" w14:textId="77777777" w:rsidR="00BA7C7F" w:rsidRPr="00C57ABA" w:rsidRDefault="00BA7C7F" w:rsidP="00BA7C7F">
      <w:pPr>
        <w:overflowPunct w:val="0"/>
        <w:autoSpaceDE w:val="0"/>
        <w:autoSpaceDN w:val="0"/>
        <w:adjustRightInd w:val="0"/>
        <w:spacing w:after="120"/>
        <w:jc w:val="both"/>
        <w:textAlignment w:val="baseline"/>
        <w:rPr>
          <w:rFonts w:ascii="Arial Narrow" w:eastAsia="Calibri" w:hAnsi="Arial Narrow"/>
          <w:b/>
        </w:rPr>
      </w:pPr>
      <w:r w:rsidRPr="00C57ABA">
        <w:rPr>
          <w:rFonts w:ascii="Arial Narrow" w:eastAsia="Calibri" w:hAnsi="Arial Narrow"/>
          <w:b/>
        </w:rPr>
        <w:t xml:space="preserve">Кампания `2025 </w:t>
      </w:r>
    </w:p>
    <w:p w14:paraId="7B0E9B48" w14:textId="77777777" w:rsidR="00B37935" w:rsidRPr="00C57ABA" w:rsidRDefault="00BA7C7F" w:rsidP="0070161B">
      <w:pPr>
        <w:overflowPunct w:val="0"/>
        <w:autoSpaceDE w:val="0"/>
        <w:autoSpaceDN w:val="0"/>
        <w:adjustRightInd w:val="0"/>
        <w:spacing w:after="120"/>
        <w:ind w:firstLine="720"/>
        <w:jc w:val="both"/>
        <w:textAlignment w:val="baseline"/>
        <w:rPr>
          <w:rFonts w:ascii="Arial Narrow" w:eastAsia="Calibri" w:hAnsi="Arial Narrow"/>
        </w:rPr>
      </w:pPr>
      <w:r w:rsidRPr="00C57ABA">
        <w:rPr>
          <w:rFonts w:ascii="Arial Narrow" w:eastAsia="Calibri" w:hAnsi="Arial Narrow"/>
        </w:rPr>
        <w:t>Приемът на заявления за директни плащания за Кампания `2025 приключи на 9 юни 2025 г. Общо по всички интервенции са приети 62 808 заявления за подпомагане, а заявената площ е в размер на              3 858 429 ха.</w:t>
      </w:r>
    </w:p>
    <w:p w14:paraId="7A680B32" w14:textId="77777777" w:rsidR="00BA7C7F" w:rsidRPr="00C57ABA" w:rsidRDefault="00BA7C7F" w:rsidP="00BA7C7F">
      <w:pPr>
        <w:overflowPunct w:val="0"/>
        <w:autoSpaceDE w:val="0"/>
        <w:autoSpaceDN w:val="0"/>
        <w:adjustRightInd w:val="0"/>
        <w:spacing w:after="120"/>
        <w:jc w:val="both"/>
        <w:textAlignment w:val="baseline"/>
        <w:rPr>
          <w:rFonts w:ascii="Arial Narrow" w:eastAsia="Calibri" w:hAnsi="Arial Narrow"/>
          <w:b/>
        </w:rPr>
      </w:pPr>
      <w:r w:rsidRPr="00C57ABA">
        <w:rPr>
          <w:rFonts w:ascii="Arial Narrow" w:eastAsia="Calibri" w:hAnsi="Arial Narrow"/>
          <w:b/>
        </w:rPr>
        <w:t xml:space="preserve">Таблица </w:t>
      </w:r>
      <w:r w:rsidR="00CA4006" w:rsidRPr="001B6ED3">
        <w:rPr>
          <w:rFonts w:ascii="Arial Narrow" w:hAnsi="Arial Narrow" w:cs="Arial Narrow"/>
          <w:b/>
          <w:bCs/>
          <w:lang w:val="bg-BG"/>
        </w:rPr>
        <w:t>ІV</w:t>
      </w:r>
      <w:r w:rsidR="00CA4006">
        <w:rPr>
          <w:rFonts w:ascii="Arial Narrow" w:hAnsi="Arial Narrow" w:cs="Arial Narrow"/>
          <w:b/>
          <w:bCs/>
          <w:lang w:val="bg-BG"/>
        </w:rPr>
        <w:t>.</w:t>
      </w:r>
      <w:r w:rsidR="00DA1842">
        <w:rPr>
          <w:rFonts w:ascii="Arial Narrow" w:hAnsi="Arial Narrow" w:cs="Arial Narrow"/>
          <w:b/>
          <w:bCs/>
          <w:lang w:val="bg-BG"/>
        </w:rPr>
        <w:t>4</w:t>
      </w:r>
      <w:r w:rsidRPr="00C57ABA">
        <w:rPr>
          <w:rFonts w:ascii="Arial Narrow" w:eastAsia="Calibri" w:hAnsi="Arial Narrow"/>
          <w:b/>
        </w:rPr>
        <w:t>. Подадени заявления за Кампания` 2025</w:t>
      </w:r>
    </w:p>
    <w:tbl>
      <w:tblPr>
        <w:tblW w:w="9797" w:type="dxa"/>
        <w:tblInd w:w="108" w:type="dxa"/>
        <w:tblLook w:val="04A0" w:firstRow="1" w:lastRow="0" w:firstColumn="1" w:lastColumn="0" w:noHBand="0" w:noVBand="1"/>
      </w:tblPr>
      <w:tblGrid>
        <w:gridCol w:w="6249"/>
        <w:gridCol w:w="1774"/>
        <w:gridCol w:w="1774"/>
      </w:tblGrid>
      <w:tr w:rsidR="00BA7C7F" w:rsidRPr="00C57ABA" w14:paraId="7B25105C" w14:textId="77777777" w:rsidTr="00B37935">
        <w:trPr>
          <w:trHeight w:val="808"/>
          <w:tblHeader/>
        </w:trPr>
        <w:tc>
          <w:tcPr>
            <w:tcW w:w="624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8268B1" w14:textId="77777777" w:rsidR="00BA7C7F" w:rsidRPr="00022A0B" w:rsidRDefault="00BA7C7F" w:rsidP="00BA7C7F">
            <w:pPr>
              <w:jc w:val="center"/>
              <w:rPr>
                <w:rFonts w:ascii="Arial Narrow" w:hAnsi="Arial Narrow" w:cs="Calibri"/>
                <w:b/>
                <w:color w:val="000000"/>
                <w:sz w:val="20"/>
                <w:szCs w:val="20"/>
              </w:rPr>
            </w:pPr>
            <w:r w:rsidRPr="00022A0B">
              <w:rPr>
                <w:rFonts w:ascii="Arial Narrow" w:hAnsi="Arial Narrow" w:cs="Calibri"/>
                <w:b/>
                <w:color w:val="000000"/>
                <w:sz w:val="20"/>
                <w:szCs w:val="20"/>
              </w:rPr>
              <w:t>Интервенция</w:t>
            </w:r>
          </w:p>
        </w:tc>
        <w:tc>
          <w:tcPr>
            <w:tcW w:w="1774" w:type="dxa"/>
            <w:tcBorders>
              <w:top w:val="single" w:sz="4" w:space="0" w:color="auto"/>
              <w:left w:val="nil"/>
              <w:bottom w:val="single" w:sz="4" w:space="0" w:color="auto"/>
              <w:right w:val="single" w:sz="4" w:space="0" w:color="auto"/>
            </w:tcBorders>
            <w:shd w:val="clear" w:color="auto" w:fill="auto"/>
            <w:vAlign w:val="center"/>
            <w:hideMark/>
          </w:tcPr>
          <w:p w14:paraId="19F6F497" w14:textId="77777777" w:rsidR="00BA7C7F" w:rsidRPr="00022A0B" w:rsidRDefault="00BA7C7F" w:rsidP="00BA7C7F">
            <w:pPr>
              <w:jc w:val="center"/>
              <w:rPr>
                <w:rFonts w:ascii="Arial Narrow" w:hAnsi="Arial Narrow" w:cs="Calibri"/>
                <w:b/>
                <w:color w:val="000000"/>
                <w:sz w:val="20"/>
                <w:szCs w:val="20"/>
              </w:rPr>
            </w:pPr>
            <w:r w:rsidRPr="00022A0B">
              <w:rPr>
                <w:rFonts w:ascii="Arial Narrow" w:hAnsi="Arial Narrow" w:cs="Calibri"/>
                <w:b/>
                <w:color w:val="000000"/>
                <w:sz w:val="20"/>
                <w:szCs w:val="20"/>
              </w:rPr>
              <w:t>Брой подадени заявления за подпомагане</w:t>
            </w:r>
          </w:p>
        </w:tc>
        <w:tc>
          <w:tcPr>
            <w:tcW w:w="1774" w:type="dxa"/>
            <w:tcBorders>
              <w:top w:val="single" w:sz="4" w:space="0" w:color="auto"/>
              <w:left w:val="nil"/>
              <w:bottom w:val="single" w:sz="4" w:space="0" w:color="auto"/>
              <w:right w:val="single" w:sz="4" w:space="0" w:color="auto"/>
            </w:tcBorders>
            <w:shd w:val="clear" w:color="auto" w:fill="auto"/>
            <w:vAlign w:val="center"/>
            <w:hideMark/>
          </w:tcPr>
          <w:p w14:paraId="321217BA" w14:textId="77777777" w:rsidR="00BA7C7F" w:rsidRPr="00022A0B" w:rsidRDefault="00BA7C7F" w:rsidP="00BA7C7F">
            <w:pPr>
              <w:jc w:val="center"/>
              <w:rPr>
                <w:rFonts w:ascii="Arial Narrow" w:hAnsi="Arial Narrow" w:cs="Calibri"/>
                <w:b/>
                <w:color w:val="000000"/>
                <w:sz w:val="20"/>
                <w:szCs w:val="20"/>
              </w:rPr>
            </w:pPr>
            <w:r w:rsidRPr="00022A0B">
              <w:rPr>
                <w:rFonts w:ascii="Arial Narrow" w:hAnsi="Arial Narrow" w:cs="Calibri"/>
                <w:b/>
                <w:color w:val="000000"/>
                <w:sz w:val="20"/>
                <w:szCs w:val="20"/>
              </w:rPr>
              <w:t>Декларирани площи/животни</w:t>
            </w:r>
            <w:r w:rsidRPr="00022A0B">
              <w:rPr>
                <w:rFonts w:ascii="Arial Narrow" w:hAnsi="Arial Narrow" w:cs="Calibri"/>
                <w:b/>
                <w:color w:val="000000"/>
                <w:sz w:val="20"/>
                <w:szCs w:val="20"/>
              </w:rPr>
              <w:br/>
              <w:t>(бр./ха)*</w:t>
            </w:r>
          </w:p>
        </w:tc>
      </w:tr>
      <w:tr w:rsidR="00BA7C7F" w:rsidRPr="00C57ABA" w14:paraId="4882C97F" w14:textId="77777777" w:rsidTr="00B37935">
        <w:trPr>
          <w:trHeight w:val="340"/>
        </w:trPr>
        <w:tc>
          <w:tcPr>
            <w:tcW w:w="6249" w:type="dxa"/>
            <w:tcBorders>
              <w:top w:val="nil"/>
              <w:left w:val="single" w:sz="4" w:space="0" w:color="auto"/>
              <w:bottom w:val="single" w:sz="4" w:space="0" w:color="auto"/>
              <w:right w:val="single" w:sz="4" w:space="0" w:color="auto"/>
            </w:tcBorders>
            <w:shd w:val="clear" w:color="auto" w:fill="auto"/>
            <w:vAlign w:val="center"/>
            <w:hideMark/>
          </w:tcPr>
          <w:p w14:paraId="57F198CD" w14:textId="77777777" w:rsidR="00BA7C7F" w:rsidRPr="00022A0B" w:rsidRDefault="00BA7C7F" w:rsidP="00BA7C7F">
            <w:pPr>
              <w:rPr>
                <w:rFonts w:ascii="Arial Narrow" w:hAnsi="Arial Narrow" w:cs="Calibri"/>
                <w:color w:val="000000"/>
                <w:sz w:val="20"/>
                <w:szCs w:val="20"/>
              </w:rPr>
            </w:pPr>
            <w:r w:rsidRPr="00022A0B">
              <w:rPr>
                <w:rFonts w:ascii="Arial Narrow" w:hAnsi="Arial Narrow" w:cs="Calibri"/>
                <w:color w:val="000000"/>
                <w:sz w:val="20"/>
                <w:szCs w:val="20"/>
              </w:rPr>
              <w:t xml:space="preserve">Основно подпомагане на доходите за устойчивост </w:t>
            </w:r>
          </w:p>
        </w:tc>
        <w:tc>
          <w:tcPr>
            <w:tcW w:w="1774" w:type="dxa"/>
            <w:tcBorders>
              <w:top w:val="nil"/>
              <w:left w:val="nil"/>
              <w:bottom w:val="single" w:sz="4" w:space="0" w:color="auto"/>
              <w:right w:val="single" w:sz="4" w:space="0" w:color="auto"/>
            </w:tcBorders>
            <w:shd w:val="clear" w:color="auto" w:fill="auto"/>
            <w:noWrap/>
            <w:vAlign w:val="center"/>
            <w:hideMark/>
          </w:tcPr>
          <w:p w14:paraId="6A7FC238" w14:textId="77777777" w:rsidR="00BA7C7F" w:rsidRPr="00022A0B" w:rsidRDefault="00BA7C7F" w:rsidP="00BA7C7F">
            <w:pPr>
              <w:jc w:val="right"/>
              <w:rPr>
                <w:rFonts w:ascii="Arial Narrow" w:hAnsi="Arial Narrow" w:cs="Calibri"/>
                <w:color w:val="000000"/>
                <w:sz w:val="20"/>
                <w:szCs w:val="20"/>
              </w:rPr>
            </w:pPr>
            <w:r w:rsidRPr="00022A0B">
              <w:rPr>
                <w:rFonts w:ascii="Arial Narrow" w:hAnsi="Arial Narrow" w:cs="Calibri"/>
                <w:color w:val="000000"/>
                <w:sz w:val="20"/>
                <w:szCs w:val="20"/>
              </w:rPr>
              <w:t>44 530</w:t>
            </w:r>
          </w:p>
        </w:tc>
        <w:tc>
          <w:tcPr>
            <w:tcW w:w="1774" w:type="dxa"/>
            <w:tcBorders>
              <w:top w:val="nil"/>
              <w:left w:val="nil"/>
              <w:bottom w:val="single" w:sz="4" w:space="0" w:color="auto"/>
              <w:right w:val="single" w:sz="4" w:space="0" w:color="auto"/>
            </w:tcBorders>
            <w:shd w:val="clear" w:color="auto" w:fill="auto"/>
            <w:noWrap/>
            <w:vAlign w:val="center"/>
            <w:hideMark/>
          </w:tcPr>
          <w:p w14:paraId="424ABEB4" w14:textId="77777777" w:rsidR="00BA7C7F" w:rsidRPr="00022A0B" w:rsidRDefault="00BA7C7F" w:rsidP="00BA7C7F">
            <w:pPr>
              <w:jc w:val="right"/>
              <w:rPr>
                <w:rFonts w:ascii="Arial Narrow" w:hAnsi="Arial Narrow" w:cs="Calibri"/>
                <w:color w:val="000000"/>
                <w:sz w:val="20"/>
                <w:szCs w:val="20"/>
              </w:rPr>
            </w:pPr>
            <w:r w:rsidRPr="00022A0B">
              <w:rPr>
                <w:rFonts w:ascii="Arial Narrow" w:hAnsi="Arial Narrow" w:cs="Calibri"/>
                <w:color w:val="000000"/>
                <w:sz w:val="20"/>
                <w:szCs w:val="20"/>
              </w:rPr>
              <w:t>3 840 933</w:t>
            </w:r>
          </w:p>
        </w:tc>
      </w:tr>
      <w:tr w:rsidR="00BA7C7F" w:rsidRPr="00C57ABA" w14:paraId="557DB960" w14:textId="77777777" w:rsidTr="00B37935">
        <w:trPr>
          <w:trHeight w:val="340"/>
        </w:trPr>
        <w:tc>
          <w:tcPr>
            <w:tcW w:w="6249" w:type="dxa"/>
            <w:tcBorders>
              <w:top w:val="nil"/>
              <w:left w:val="single" w:sz="4" w:space="0" w:color="auto"/>
              <w:bottom w:val="single" w:sz="4" w:space="0" w:color="auto"/>
              <w:right w:val="single" w:sz="4" w:space="0" w:color="auto"/>
            </w:tcBorders>
            <w:shd w:val="clear" w:color="auto" w:fill="auto"/>
            <w:vAlign w:val="center"/>
            <w:hideMark/>
          </w:tcPr>
          <w:p w14:paraId="5C78D943" w14:textId="77777777" w:rsidR="00BA7C7F" w:rsidRPr="00022A0B" w:rsidRDefault="00BA7C7F" w:rsidP="00BA7C7F">
            <w:pPr>
              <w:rPr>
                <w:rFonts w:ascii="Arial Narrow" w:hAnsi="Arial Narrow" w:cs="Calibri"/>
                <w:color w:val="000000"/>
                <w:sz w:val="20"/>
                <w:szCs w:val="20"/>
              </w:rPr>
            </w:pPr>
            <w:r w:rsidRPr="00022A0B">
              <w:rPr>
                <w:rFonts w:ascii="Arial Narrow" w:hAnsi="Arial Narrow" w:cs="Calibri"/>
                <w:color w:val="000000"/>
                <w:sz w:val="20"/>
                <w:szCs w:val="20"/>
              </w:rPr>
              <w:t xml:space="preserve">Допълнително преразпределително подпомагане на доходите за устойчивост </w:t>
            </w:r>
          </w:p>
        </w:tc>
        <w:tc>
          <w:tcPr>
            <w:tcW w:w="1774" w:type="dxa"/>
            <w:tcBorders>
              <w:top w:val="nil"/>
              <w:left w:val="nil"/>
              <w:bottom w:val="single" w:sz="4" w:space="0" w:color="auto"/>
              <w:right w:val="single" w:sz="4" w:space="0" w:color="auto"/>
            </w:tcBorders>
            <w:shd w:val="clear" w:color="auto" w:fill="auto"/>
            <w:noWrap/>
            <w:vAlign w:val="center"/>
            <w:hideMark/>
          </w:tcPr>
          <w:p w14:paraId="2333CE29" w14:textId="77777777" w:rsidR="00BA7C7F" w:rsidRPr="00022A0B" w:rsidRDefault="00BA7C7F" w:rsidP="00BA7C7F">
            <w:pPr>
              <w:jc w:val="right"/>
              <w:rPr>
                <w:rFonts w:ascii="Arial Narrow" w:hAnsi="Arial Narrow" w:cs="Calibri"/>
                <w:color w:val="000000"/>
                <w:sz w:val="20"/>
                <w:szCs w:val="20"/>
              </w:rPr>
            </w:pPr>
            <w:r w:rsidRPr="00022A0B">
              <w:rPr>
                <w:rFonts w:ascii="Arial Narrow" w:hAnsi="Arial Narrow" w:cs="Calibri"/>
                <w:color w:val="000000"/>
                <w:sz w:val="20"/>
                <w:szCs w:val="20"/>
              </w:rPr>
              <w:t>43 078</w:t>
            </w:r>
          </w:p>
        </w:tc>
        <w:tc>
          <w:tcPr>
            <w:tcW w:w="1774" w:type="dxa"/>
            <w:tcBorders>
              <w:top w:val="nil"/>
              <w:left w:val="nil"/>
              <w:bottom w:val="single" w:sz="4" w:space="0" w:color="auto"/>
              <w:right w:val="single" w:sz="4" w:space="0" w:color="auto"/>
            </w:tcBorders>
            <w:shd w:val="clear" w:color="auto" w:fill="auto"/>
            <w:noWrap/>
            <w:vAlign w:val="center"/>
            <w:hideMark/>
          </w:tcPr>
          <w:p w14:paraId="1578C72D" w14:textId="77777777" w:rsidR="00BA7C7F" w:rsidRPr="00022A0B" w:rsidRDefault="00BA7C7F" w:rsidP="00BA7C7F">
            <w:pPr>
              <w:jc w:val="right"/>
              <w:rPr>
                <w:rFonts w:ascii="Arial Narrow" w:hAnsi="Arial Narrow" w:cs="Calibri"/>
                <w:color w:val="000000"/>
                <w:sz w:val="20"/>
                <w:szCs w:val="20"/>
              </w:rPr>
            </w:pPr>
            <w:r w:rsidRPr="00022A0B">
              <w:rPr>
                <w:rFonts w:ascii="Arial Narrow" w:hAnsi="Arial Narrow" w:cs="Calibri"/>
                <w:color w:val="000000"/>
                <w:sz w:val="20"/>
                <w:szCs w:val="20"/>
              </w:rPr>
              <w:t>703 910</w:t>
            </w:r>
          </w:p>
        </w:tc>
      </w:tr>
      <w:tr w:rsidR="00BA7C7F" w:rsidRPr="00C57ABA" w14:paraId="1DEDA923" w14:textId="77777777" w:rsidTr="00B37935">
        <w:trPr>
          <w:trHeight w:val="340"/>
        </w:trPr>
        <w:tc>
          <w:tcPr>
            <w:tcW w:w="6249" w:type="dxa"/>
            <w:tcBorders>
              <w:top w:val="nil"/>
              <w:left w:val="single" w:sz="4" w:space="0" w:color="auto"/>
              <w:bottom w:val="single" w:sz="4" w:space="0" w:color="auto"/>
              <w:right w:val="single" w:sz="4" w:space="0" w:color="auto"/>
            </w:tcBorders>
            <w:shd w:val="clear" w:color="auto" w:fill="auto"/>
            <w:vAlign w:val="center"/>
            <w:hideMark/>
          </w:tcPr>
          <w:p w14:paraId="533D8246" w14:textId="77777777" w:rsidR="00BA7C7F" w:rsidRPr="00022A0B" w:rsidRDefault="00BA7C7F" w:rsidP="00BA7C7F">
            <w:pPr>
              <w:rPr>
                <w:rFonts w:ascii="Arial Narrow" w:hAnsi="Arial Narrow" w:cs="Calibri"/>
                <w:color w:val="000000"/>
                <w:sz w:val="20"/>
                <w:szCs w:val="20"/>
              </w:rPr>
            </w:pPr>
            <w:r w:rsidRPr="00022A0B">
              <w:rPr>
                <w:rFonts w:ascii="Arial Narrow" w:hAnsi="Arial Narrow" w:cs="Calibri"/>
                <w:color w:val="000000"/>
                <w:sz w:val="20"/>
                <w:szCs w:val="20"/>
              </w:rPr>
              <w:t xml:space="preserve">Плащане за малки земеделски стопани </w:t>
            </w:r>
          </w:p>
        </w:tc>
        <w:tc>
          <w:tcPr>
            <w:tcW w:w="1774" w:type="dxa"/>
            <w:tcBorders>
              <w:top w:val="nil"/>
              <w:left w:val="nil"/>
              <w:bottom w:val="single" w:sz="4" w:space="0" w:color="auto"/>
              <w:right w:val="single" w:sz="4" w:space="0" w:color="auto"/>
            </w:tcBorders>
            <w:shd w:val="clear" w:color="auto" w:fill="auto"/>
            <w:noWrap/>
            <w:vAlign w:val="center"/>
            <w:hideMark/>
          </w:tcPr>
          <w:p w14:paraId="79BB8E91" w14:textId="77777777" w:rsidR="00BA7C7F" w:rsidRPr="00022A0B" w:rsidRDefault="00BA7C7F" w:rsidP="00BA7C7F">
            <w:pPr>
              <w:jc w:val="right"/>
              <w:rPr>
                <w:rFonts w:ascii="Arial Narrow" w:hAnsi="Arial Narrow" w:cs="Calibri"/>
                <w:color w:val="000000"/>
                <w:sz w:val="20"/>
                <w:szCs w:val="20"/>
              </w:rPr>
            </w:pPr>
            <w:r w:rsidRPr="00022A0B">
              <w:rPr>
                <w:rFonts w:ascii="Arial Narrow" w:hAnsi="Arial Narrow" w:cs="Calibri"/>
                <w:color w:val="000000"/>
                <w:sz w:val="20"/>
                <w:szCs w:val="20"/>
              </w:rPr>
              <w:t>7 015</w:t>
            </w:r>
          </w:p>
        </w:tc>
        <w:tc>
          <w:tcPr>
            <w:tcW w:w="1774" w:type="dxa"/>
            <w:tcBorders>
              <w:top w:val="nil"/>
              <w:left w:val="nil"/>
              <w:bottom w:val="single" w:sz="4" w:space="0" w:color="auto"/>
              <w:right w:val="single" w:sz="4" w:space="0" w:color="auto"/>
            </w:tcBorders>
            <w:shd w:val="clear" w:color="auto" w:fill="auto"/>
            <w:noWrap/>
            <w:vAlign w:val="center"/>
            <w:hideMark/>
          </w:tcPr>
          <w:p w14:paraId="2B595A65" w14:textId="77777777" w:rsidR="00BA7C7F" w:rsidRPr="00022A0B" w:rsidRDefault="00BA7C7F" w:rsidP="00BA7C7F">
            <w:pPr>
              <w:jc w:val="right"/>
              <w:rPr>
                <w:rFonts w:ascii="Arial Narrow" w:hAnsi="Arial Narrow" w:cs="Calibri"/>
                <w:color w:val="000000"/>
                <w:sz w:val="20"/>
                <w:szCs w:val="20"/>
              </w:rPr>
            </w:pPr>
            <w:r w:rsidRPr="00022A0B">
              <w:rPr>
                <w:rFonts w:ascii="Arial Narrow" w:hAnsi="Arial Narrow" w:cs="Calibri"/>
                <w:color w:val="000000"/>
                <w:sz w:val="20"/>
                <w:szCs w:val="20"/>
              </w:rPr>
              <w:t>9 402</w:t>
            </w:r>
          </w:p>
        </w:tc>
      </w:tr>
      <w:tr w:rsidR="00BA7C7F" w:rsidRPr="00C57ABA" w14:paraId="285BF12A" w14:textId="77777777" w:rsidTr="00B37935">
        <w:trPr>
          <w:trHeight w:val="340"/>
        </w:trPr>
        <w:tc>
          <w:tcPr>
            <w:tcW w:w="6249" w:type="dxa"/>
            <w:tcBorders>
              <w:top w:val="nil"/>
              <w:left w:val="single" w:sz="4" w:space="0" w:color="auto"/>
              <w:bottom w:val="single" w:sz="4" w:space="0" w:color="auto"/>
              <w:right w:val="single" w:sz="4" w:space="0" w:color="auto"/>
            </w:tcBorders>
            <w:shd w:val="clear" w:color="auto" w:fill="auto"/>
            <w:vAlign w:val="center"/>
            <w:hideMark/>
          </w:tcPr>
          <w:p w14:paraId="417E7264" w14:textId="77777777" w:rsidR="00BA7C7F" w:rsidRPr="00022A0B" w:rsidRDefault="00BA7C7F" w:rsidP="00BA7C7F">
            <w:pPr>
              <w:rPr>
                <w:rFonts w:ascii="Arial Narrow" w:hAnsi="Arial Narrow" w:cs="Calibri"/>
                <w:color w:val="000000"/>
                <w:sz w:val="20"/>
                <w:szCs w:val="20"/>
              </w:rPr>
            </w:pPr>
            <w:r w:rsidRPr="00022A0B">
              <w:rPr>
                <w:rFonts w:ascii="Arial Narrow" w:hAnsi="Arial Narrow" w:cs="Calibri"/>
                <w:color w:val="000000"/>
                <w:sz w:val="20"/>
                <w:szCs w:val="20"/>
              </w:rPr>
              <w:t xml:space="preserve">Допълнително подпомагане на доходите за млади земеделски стопани </w:t>
            </w:r>
          </w:p>
        </w:tc>
        <w:tc>
          <w:tcPr>
            <w:tcW w:w="1774" w:type="dxa"/>
            <w:tcBorders>
              <w:top w:val="nil"/>
              <w:left w:val="nil"/>
              <w:bottom w:val="single" w:sz="4" w:space="0" w:color="auto"/>
              <w:right w:val="single" w:sz="4" w:space="0" w:color="auto"/>
            </w:tcBorders>
            <w:shd w:val="clear" w:color="auto" w:fill="auto"/>
            <w:noWrap/>
            <w:vAlign w:val="center"/>
            <w:hideMark/>
          </w:tcPr>
          <w:p w14:paraId="2AF73587" w14:textId="77777777" w:rsidR="00BA7C7F" w:rsidRPr="00022A0B" w:rsidRDefault="00BA7C7F" w:rsidP="00BA7C7F">
            <w:pPr>
              <w:jc w:val="right"/>
              <w:rPr>
                <w:rFonts w:ascii="Arial Narrow" w:hAnsi="Arial Narrow" w:cs="Calibri"/>
                <w:color w:val="000000"/>
                <w:sz w:val="20"/>
                <w:szCs w:val="20"/>
              </w:rPr>
            </w:pPr>
            <w:r w:rsidRPr="00022A0B">
              <w:rPr>
                <w:rFonts w:ascii="Arial Narrow" w:hAnsi="Arial Narrow" w:cs="Calibri"/>
                <w:color w:val="000000"/>
                <w:sz w:val="20"/>
                <w:szCs w:val="20"/>
              </w:rPr>
              <w:t>2 213</w:t>
            </w:r>
          </w:p>
        </w:tc>
        <w:tc>
          <w:tcPr>
            <w:tcW w:w="1774" w:type="dxa"/>
            <w:tcBorders>
              <w:top w:val="nil"/>
              <w:left w:val="nil"/>
              <w:bottom w:val="single" w:sz="4" w:space="0" w:color="auto"/>
              <w:right w:val="single" w:sz="4" w:space="0" w:color="auto"/>
            </w:tcBorders>
            <w:shd w:val="clear" w:color="auto" w:fill="auto"/>
            <w:noWrap/>
            <w:vAlign w:val="center"/>
            <w:hideMark/>
          </w:tcPr>
          <w:p w14:paraId="68CD55A8" w14:textId="77777777" w:rsidR="00BA7C7F" w:rsidRPr="00022A0B" w:rsidRDefault="00BA7C7F" w:rsidP="00BA7C7F">
            <w:pPr>
              <w:jc w:val="right"/>
              <w:rPr>
                <w:rFonts w:ascii="Arial Narrow" w:hAnsi="Arial Narrow" w:cs="Calibri"/>
                <w:color w:val="000000"/>
                <w:sz w:val="20"/>
                <w:szCs w:val="20"/>
              </w:rPr>
            </w:pPr>
            <w:r w:rsidRPr="00022A0B">
              <w:rPr>
                <w:rFonts w:ascii="Arial Narrow" w:hAnsi="Arial Narrow" w:cs="Calibri"/>
                <w:color w:val="000000"/>
                <w:sz w:val="20"/>
                <w:szCs w:val="20"/>
              </w:rPr>
              <w:t>138 316</w:t>
            </w:r>
          </w:p>
        </w:tc>
      </w:tr>
      <w:tr w:rsidR="00BA7C7F" w:rsidRPr="00C57ABA" w14:paraId="16EFA684" w14:textId="77777777" w:rsidTr="00B37935">
        <w:trPr>
          <w:trHeight w:val="340"/>
        </w:trPr>
        <w:tc>
          <w:tcPr>
            <w:tcW w:w="6249" w:type="dxa"/>
            <w:tcBorders>
              <w:top w:val="nil"/>
              <w:left w:val="single" w:sz="4" w:space="0" w:color="auto"/>
              <w:bottom w:val="single" w:sz="4" w:space="0" w:color="auto"/>
              <w:right w:val="single" w:sz="4" w:space="0" w:color="auto"/>
            </w:tcBorders>
            <w:shd w:val="clear" w:color="auto" w:fill="auto"/>
            <w:vAlign w:val="center"/>
            <w:hideMark/>
          </w:tcPr>
          <w:p w14:paraId="6A3F97A5" w14:textId="77777777" w:rsidR="00BA7C7F" w:rsidRPr="00022A0B" w:rsidRDefault="00BA7C7F" w:rsidP="00BA7C7F">
            <w:pPr>
              <w:rPr>
                <w:rFonts w:ascii="Arial Narrow" w:hAnsi="Arial Narrow" w:cs="Calibri"/>
                <w:color w:val="000000"/>
                <w:sz w:val="20"/>
                <w:szCs w:val="20"/>
              </w:rPr>
            </w:pPr>
            <w:r w:rsidRPr="00022A0B">
              <w:rPr>
                <w:rFonts w:ascii="Arial Narrow" w:hAnsi="Arial Narrow" w:cs="Calibri"/>
                <w:color w:val="000000"/>
                <w:sz w:val="20"/>
                <w:szCs w:val="20"/>
              </w:rPr>
              <w:t xml:space="preserve">Специално плащане за култура - памук </w:t>
            </w:r>
          </w:p>
        </w:tc>
        <w:tc>
          <w:tcPr>
            <w:tcW w:w="1774" w:type="dxa"/>
            <w:tcBorders>
              <w:top w:val="nil"/>
              <w:left w:val="nil"/>
              <w:bottom w:val="single" w:sz="4" w:space="0" w:color="auto"/>
              <w:right w:val="single" w:sz="4" w:space="0" w:color="auto"/>
            </w:tcBorders>
            <w:shd w:val="clear" w:color="auto" w:fill="auto"/>
            <w:noWrap/>
            <w:vAlign w:val="center"/>
            <w:hideMark/>
          </w:tcPr>
          <w:p w14:paraId="24A98868" w14:textId="77777777" w:rsidR="00BA7C7F" w:rsidRPr="00022A0B" w:rsidRDefault="00BA7C7F" w:rsidP="00BA7C7F">
            <w:pPr>
              <w:jc w:val="right"/>
              <w:rPr>
                <w:rFonts w:ascii="Arial Narrow" w:hAnsi="Arial Narrow" w:cs="Calibri"/>
                <w:color w:val="000000"/>
                <w:sz w:val="20"/>
                <w:szCs w:val="20"/>
              </w:rPr>
            </w:pPr>
            <w:r w:rsidRPr="00022A0B">
              <w:rPr>
                <w:rFonts w:ascii="Arial Narrow" w:hAnsi="Arial Narrow" w:cs="Calibri"/>
                <w:color w:val="000000"/>
                <w:sz w:val="20"/>
                <w:szCs w:val="20"/>
              </w:rPr>
              <w:t>90</w:t>
            </w:r>
          </w:p>
        </w:tc>
        <w:tc>
          <w:tcPr>
            <w:tcW w:w="1774" w:type="dxa"/>
            <w:tcBorders>
              <w:top w:val="nil"/>
              <w:left w:val="nil"/>
              <w:bottom w:val="single" w:sz="4" w:space="0" w:color="auto"/>
              <w:right w:val="single" w:sz="4" w:space="0" w:color="auto"/>
            </w:tcBorders>
            <w:shd w:val="clear" w:color="auto" w:fill="auto"/>
            <w:noWrap/>
            <w:vAlign w:val="center"/>
            <w:hideMark/>
          </w:tcPr>
          <w:p w14:paraId="16E2D41A" w14:textId="77777777" w:rsidR="00BA7C7F" w:rsidRPr="00022A0B" w:rsidRDefault="00BA7C7F" w:rsidP="00BA7C7F">
            <w:pPr>
              <w:jc w:val="right"/>
              <w:rPr>
                <w:rFonts w:ascii="Arial Narrow" w:hAnsi="Arial Narrow" w:cs="Calibri"/>
                <w:color w:val="000000"/>
                <w:sz w:val="20"/>
                <w:szCs w:val="20"/>
              </w:rPr>
            </w:pPr>
            <w:r w:rsidRPr="00022A0B">
              <w:rPr>
                <w:rFonts w:ascii="Arial Narrow" w:hAnsi="Arial Narrow" w:cs="Calibri"/>
                <w:color w:val="000000"/>
                <w:sz w:val="20"/>
                <w:szCs w:val="20"/>
              </w:rPr>
              <w:t>3 020</w:t>
            </w:r>
          </w:p>
        </w:tc>
      </w:tr>
      <w:tr w:rsidR="00BA7C7F" w:rsidRPr="00C57ABA" w14:paraId="4602259B" w14:textId="77777777" w:rsidTr="00B37935">
        <w:trPr>
          <w:trHeight w:val="340"/>
        </w:trPr>
        <w:tc>
          <w:tcPr>
            <w:tcW w:w="6249" w:type="dxa"/>
            <w:tcBorders>
              <w:top w:val="nil"/>
              <w:left w:val="single" w:sz="4" w:space="0" w:color="auto"/>
              <w:bottom w:val="single" w:sz="4" w:space="0" w:color="auto"/>
              <w:right w:val="single" w:sz="4" w:space="0" w:color="auto"/>
            </w:tcBorders>
            <w:shd w:val="clear" w:color="auto" w:fill="auto"/>
            <w:vAlign w:val="center"/>
            <w:hideMark/>
          </w:tcPr>
          <w:p w14:paraId="02D3CADB" w14:textId="77777777" w:rsidR="00BA7C7F" w:rsidRPr="00022A0B" w:rsidRDefault="00BA7C7F" w:rsidP="00BA7C7F">
            <w:pPr>
              <w:rPr>
                <w:rFonts w:ascii="Arial Narrow" w:hAnsi="Arial Narrow" w:cs="Calibri"/>
                <w:color w:val="000000"/>
                <w:sz w:val="20"/>
                <w:szCs w:val="20"/>
              </w:rPr>
            </w:pPr>
            <w:r w:rsidRPr="00022A0B">
              <w:rPr>
                <w:rFonts w:ascii="Arial Narrow" w:hAnsi="Arial Narrow" w:cs="Calibri"/>
                <w:color w:val="000000"/>
                <w:sz w:val="20"/>
                <w:szCs w:val="20"/>
              </w:rPr>
              <w:t>Еко схема за биологично земеделие (селскостопански животни)</w:t>
            </w:r>
          </w:p>
        </w:tc>
        <w:tc>
          <w:tcPr>
            <w:tcW w:w="1774" w:type="dxa"/>
            <w:tcBorders>
              <w:top w:val="nil"/>
              <w:left w:val="nil"/>
              <w:bottom w:val="single" w:sz="4" w:space="0" w:color="auto"/>
              <w:right w:val="single" w:sz="4" w:space="0" w:color="auto"/>
            </w:tcBorders>
            <w:shd w:val="clear" w:color="auto" w:fill="auto"/>
            <w:noWrap/>
            <w:vAlign w:val="center"/>
            <w:hideMark/>
          </w:tcPr>
          <w:p w14:paraId="1219F02E" w14:textId="77777777" w:rsidR="00BA7C7F" w:rsidRPr="00022A0B" w:rsidRDefault="00BA7C7F" w:rsidP="00BA7C7F">
            <w:pPr>
              <w:jc w:val="right"/>
              <w:rPr>
                <w:rFonts w:ascii="Arial Narrow" w:hAnsi="Arial Narrow" w:cs="Calibri"/>
                <w:color w:val="000000"/>
                <w:sz w:val="20"/>
                <w:szCs w:val="20"/>
              </w:rPr>
            </w:pPr>
            <w:r w:rsidRPr="00022A0B">
              <w:rPr>
                <w:rFonts w:ascii="Arial Narrow" w:hAnsi="Arial Narrow" w:cs="Calibri"/>
                <w:color w:val="000000"/>
                <w:sz w:val="20"/>
                <w:szCs w:val="20"/>
              </w:rPr>
              <w:t>532</w:t>
            </w:r>
          </w:p>
        </w:tc>
        <w:tc>
          <w:tcPr>
            <w:tcW w:w="1774" w:type="dxa"/>
            <w:tcBorders>
              <w:top w:val="nil"/>
              <w:left w:val="nil"/>
              <w:bottom w:val="single" w:sz="4" w:space="0" w:color="auto"/>
              <w:right w:val="single" w:sz="4" w:space="0" w:color="auto"/>
            </w:tcBorders>
            <w:shd w:val="clear" w:color="auto" w:fill="auto"/>
            <w:noWrap/>
            <w:vAlign w:val="center"/>
            <w:hideMark/>
          </w:tcPr>
          <w:p w14:paraId="081FC62B" w14:textId="77777777" w:rsidR="00BA7C7F" w:rsidRPr="00022A0B" w:rsidRDefault="00BA7C7F" w:rsidP="00BA7C7F">
            <w:pPr>
              <w:jc w:val="right"/>
              <w:rPr>
                <w:rFonts w:ascii="Arial Narrow" w:hAnsi="Arial Narrow" w:cs="Calibri"/>
                <w:color w:val="000000"/>
                <w:sz w:val="20"/>
                <w:szCs w:val="20"/>
              </w:rPr>
            </w:pPr>
            <w:r w:rsidRPr="00022A0B">
              <w:rPr>
                <w:rFonts w:ascii="Arial Narrow" w:hAnsi="Arial Narrow" w:cs="Calibri"/>
                <w:color w:val="000000"/>
                <w:sz w:val="20"/>
                <w:szCs w:val="20"/>
              </w:rPr>
              <w:t>69 624</w:t>
            </w:r>
          </w:p>
        </w:tc>
      </w:tr>
      <w:tr w:rsidR="00BA7C7F" w:rsidRPr="00C57ABA" w14:paraId="4A84C153" w14:textId="77777777" w:rsidTr="00B37935">
        <w:trPr>
          <w:trHeight w:val="531"/>
        </w:trPr>
        <w:tc>
          <w:tcPr>
            <w:tcW w:w="6249" w:type="dxa"/>
            <w:tcBorders>
              <w:top w:val="nil"/>
              <w:left w:val="single" w:sz="4" w:space="0" w:color="auto"/>
              <w:bottom w:val="single" w:sz="4" w:space="0" w:color="auto"/>
              <w:right w:val="single" w:sz="4" w:space="0" w:color="auto"/>
            </w:tcBorders>
            <w:shd w:val="clear" w:color="auto" w:fill="auto"/>
            <w:vAlign w:val="center"/>
            <w:hideMark/>
          </w:tcPr>
          <w:p w14:paraId="5B6977CF" w14:textId="77777777" w:rsidR="00BA7C7F" w:rsidRPr="00022A0B" w:rsidRDefault="00BA7C7F" w:rsidP="00BA7C7F">
            <w:pPr>
              <w:rPr>
                <w:rFonts w:ascii="Arial Narrow" w:hAnsi="Arial Narrow" w:cs="Calibri"/>
                <w:color w:val="000000"/>
                <w:sz w:val="20"/>
                <w:szCs w:val="20"/>
              </w:rPr>
            </w:pPr>
            <w:r w:rsidRPr="00022A0B">
              <w:rPr>
                <w:rFonts w:ascii="Arial Narrow" w:hAnsi="Arial Narrow" w:cs="Calibri"/>
                <w:color w:val="000000"/>
                <w:sz w:val="20"/>
                <w:szCs w:val="20"/>
              </w:rPr>
              <w:t xml:space="preserve">Еко схема за поддържане и подобряване на биологичното разнообразие и екологичната инфраструктура </w:t>
            </w:r>
          </w:p>
        </w:tc>
        <w:tc>
          <w:tcPr>
            <w:tcW w:w="1774" w:type="dxa"/>
            <w:tcBorders>
              <w:top w:val="nil"/>
              <w:left w:val="nil"/>
              <w:bottom w:val="single" w:sz="4" w:space="0" w:color="auto"/>
              <w:right w:val="single" w:sz="4" w:space="0" w:color="auto"/>
            </w:tcBorders>
            <w:shd w:val="clear" w:color="auto" w:fill="auto"/>
            <w:noWrap/>
            <w:vAlign w:val="center"/>
            <w:hideMark/>
          </w:tcPr>
          <w:p w14:paraId="78262B7E" w14:textId="77777777" w:rsidR="00BA7C7F" w:rsidRPr="00022A0B" w:rsidRDefault="00BA7C7F" w:rsidP="00BA7C7F">
            <w:pPr>
              <w:jc w:val="right"/>
              <w:rPr>
                <w:rFonts w:ascii="Arial Narrow" w:hAnsi="Arial Narrow" w:cs="Calibri"/>
                <w:color w:val="000000"/>
                <w:sz w:val="20"/>
                <w:szCs w:val="20"/>
              </w:rPr>
            </w:pPr>
            <w:r w:rsidRPr="00022A0B">
              <w:rPr>
                <w:rFonts w:ascii="Arial Narrow" w:hAnsi="Arial Narrow" w:cs="Calibri"/>
                <w:color w:val="000000"/>
                <w:sz w:val="20"/>
                <w:szCs w:val="20"/>
              </w:rPr>
              <w:t>5 933</w:t>
            </w:r>
          </w:p>
        </w:tc>
        <w:tc>
          <w:tcPr>
            <w:tcW w:w="1774" w:type="dxa"/>
            <w:tcBorders>
              <w:top w:val="nil"/>
              <w:left w:val="nil"/>
              <w:bottom w:val="single" w:sz="4" w:space="0" w:color="auto"/>
              <w:right w:val="single" w:sz="4" w:space="0" w:color="auto"/>
            </w:tcBorders>
            <w:shd w:val="clear" w:color="auto" w:fill="auto"/>
            <w:noWrap/>
            <w:vAlign w:val="center"/>
            <w:hideMark/>
          </w:tcPr>
          <w:p w14:paraId="6B5F852B" w14:textId="77777777" w:rsidR="00BA7C7F" w:rsidRPr="00022A0B" w:rsidRDefault="00BA7C7F" w:rsidP="00BA7C7F">
            <w:pPr>
              <w:jc w:val="right"/>
              <w:rPr>
                <w:rFonts w:ascii="Arial Narrow" w:hAnsi="Arial Narrow" w:cs="Calibri"/>
                <w:color w:val="000000"/>
                <w:sz w:val="20"/>
                <w:szCs w:val="20"/>
              </w:rPr>
            </w:pPr>
            <w:r w:rsidRPr="00022A0B">
              <w:rPr>
                <w:rFonts w:ascii="Arial Narrow" w:hAnsi="Arial Narrow" w:cs="Calibri"/>
                <w:color w:val="000000"/>
                <w:sz w:val="20"/>
                <w:szCs w:val="20"/>
              </w:rPr>
              <w:t>28 359</w:t>
            </w:r>
          </w:p>
        </w:tc>
      </w:tr>
      <w:tr w:rsidR="00BA7C7F" w:rsidRPr="00C57ABA" w14:paraId="6BB5BEC8" w14:textId="77777777" w:rsidTr="00B37935">
        <w:trPr>
          <w:trHeight w:val="528"/>
        </w:trPr>
        <w:tc>
          <w:tcPr>
            <w:tcW w:w="6249" w:type="dxa"/>
            <w:tcBorders>
              <w:top w:val="nil"/>
              <w:left w:val="single" w:sz="4" w:space="0" w:color="auto"/>
              <w:bottom w:val="single" w:sz="4" w:space="0" w:color="auto"/>
              <w:right w:val="single" w:sz="4" w:space="0" w:color="auto"/>
            </w:tcBorders>
            <w:shd w:val="clear" w:color="auto" w:fill="auto"/>
            <w:vAlign w:val="center"/>
            <w:hideMark/>
          </w:tcPr>
          <w:p w14:paraId="61F96CFC" w14:textId="77777777" w:rsidR="00BA7C7F" w:rsidRPr="00022A0B" w:rsidRDefault="00BA7C7F" w:rsidP="00BA7C7F">
            <w:pPr>
              <w:rPr>
                <w:rFonts w:ascii="Arial Narrow" w:hAnsi="Arial Narrow" w:cs="Calibri"/>
                <w:color w:val="000000"/>
                <w:sz w:val="20"/>
                <w:szCs w:val="20"/>
              </w:rPr>
            </w:pPr>
            <w:r w:rsidRPr="00022A0B">
              <w:rPr>
                <w:rFonts w:ascii="Arial Narrow" w:hAnsi="Arial Narrow" w:cs="Calibri"/>
                <w:color w:val="000000"/>
                <w:sz w:val="20"/>
                <w:szCs w:val="20"/>
              </w:rPr>
              <w:t xml:space="preserve">Еко схема за запазване и възстановяване на почвения потенциал – насърчаване на зелено торене и органично наторяване </w:t>
            </w:r>
          </w:p>
        </w:tc>
        <w:tc>
          <w:tcPr>
            <w:tcW w:w="1774" w:type="dxa"/>
            <w:tcBorders>
              <w:top w:val="nil"/>
              <w:left w:val="nil"/>
              <w:bottom w:val="single" w:sz="4" w:space="0" w:color="auto"/>
              <w:right w:val="single" w:sz="4" w:space="0" w:color="auto"/>
            </w:tcBorders>
            <w:shd w:val="clear" w:color="auto" w:fill="auto"/>
            <w:noWrap/>
            <w:vAlign w:val="center"/>
            <w:hideMark/>
          </w:tcPr>
          <w:p w14:paraId="38D6E59A" w14:textId="77777777" w:rsidR="00BA7C7F" w:rsidRPr="00022A0B" w:rsidRDefault="00BA7C7F" w:rsidP="00BA7C7F">
            <w:pPr>
              <w:jc w:val="right"/>
              <w:rPr>
                <w:rFonts w:ascii="Arial Narrow" w:hAnsi="Arial Narrow" w:cs="Calibri"/>
                <w:color w:val="000000"/>
                <w:sz w:val="20"/>
                <w:szCs w:val="20"/>
              </w:rPr>
            </w:pPr>
            <w:r w:rsidRPr="00022A0B">
              <w:rPr>
                <w:rFonts w:ascii="Arial Narrow" w:hAnsi="Arial Narrow" w:cs="Calibri"/>
                <w:color w:val="000000"/>
                <w:sz w:val="20"/>
                <w:szCs w:val="20"/>
              </w:rPr>
              <w:t>9 629</w:t>
            </w:r>
          </w:p>
        </w:tc>
        <w:tc>
          <w:tcPr>
            <w:tcW w:w="1774" w:type="dxa"/>
            <w:tcBorders>
              <w:top w:val="nil"/>
              <w:left w:val="nil"/>
              <w:bottom w:val="single" w:sz="4" w:space="0" w:color="auto"/>
              <w:right w:val="single" w:sz="4" w:space="0" w:color="auto"/>
            </w:tcBorders>
            <w:shd w:val="clear" w:color="auto" w:fill="auto"/>
            <w:noWrap/>
            <w:vAlign w:val="center"/>
            <w:hideMark/>
          </w:tcPr>
          <w:p w14:paraId="2733078F" w14:textId="77777777" w:rsidR="00BA7C7F" w:rsidRPr="00022A0B" w:rsidRDefault="00BA7C7F" w:rsidP="00BA7C7F">
            <w:pPr>
              <w:jc w:val="right"/>
              <w:rPr>
                <w:rFonts w:ascii="Arial Narrow" w:hAnsi="Arial Narrow" w:cs="Calibri"/>
                <w:color w:val="000000"/>
                <w:sz w:val="20"/>
                <w:szCs w:val="20"/>
              </w:rPr>
            </w:pPr>
            <w:r w:rsidRPr="00022A0B">
              <w:rPr>
                <w:rFonts w:ascii="Arial Narrow" w:hAnsi="Arial Narrow" w:cs="Calibri"/>
                <w:color w:val="000000"/>
                <w:sz w:val="20"/>
                <w:szCs w:val="20"/>
              </w:rPr>
              <w:t>2 529 161</w:t>
            </w:r>
          </w:p>
        </w:tc>
      </w:tr>
      <w:tr w:rsidR="00BA7C7F" w:rsidRPr="00C57ABA" w14:paraId="6A5A75FA" w14:textId="77777777" w:rsidTr="00B37935">
        <w:trPr>
          <w:trHeight w:val="340"/>
        </w:trPr>
        <w:tc>
          <w:tcPr>
            <w:tcW w:w="6249" w:type="dxa"/>
            <w:tcBorders>
              <w:top w:val="nil"/>
              <w:left w:val="single" w:sz="4" w:space="0" w:color="auto"/>
              <w:bottom w:val="single" w:sz="4" w:space="0" w:color="auto"/>
              <w:right w:val="single" w:sz="4" w:space="0" w:color="auto"/>
            </w:tcBorders>
            <w:shd w:val="clear" w:color="auto" w:fill="auto"/>
            <w:vAlign w:val="center"/>
            <w:hideMark/>
          </w:tcPr>
          <w:p w14:paraId="3664E396" w14:textId="77777777" w:rsidR="00BA7C7F" w:rsidRPr="00022A0B" w:rsidRDefault="00BA7C7F" w:rsidP="00BA7C7F">
            <w:pPr>
              <w:rPr>
                <w:rFonts w:ascii="Arial Narrow" w:hAnsi="Arial Narrow" w:cs="Calibri"/>
                <w:color w:val="000000"/>
                <w:sz w:val="20"/>
                <w:szCs w:val="20"/>
              </w:rPr>
            </w:pPr>
            <w:r w:rsidRPr="00022A0B">
              <w:rPr>
                <w:rFonts w:ascii="Arial Narrow" w:hAnsi="Arial Narrow" w:cs="Calibri"/>
                <w:color w:val="000000"/>
                <w:sz w:val="20"/>
                <w:szCs w:val="20"/>
              </w:rPr>
              <w:t>Еко схема за намаляване използването на пестициди</w:t>
            </w:r>
          </w:p>
        </w:tc>
        <w:tc>
          <w:tcPr>
            <w:tcW w:w="1774" w:type="dxa"/>
            <w:tcBorders>
              <w:top w:val="nil"/>
              <w:left w:val="nil"/>
              <w:bottom w:val="single" w:sz="4" w:space="0" w:color="auto"/>
              <w:right w:val="single" w:sz="4" w:space="0" w:color="auto"/>
            </w:tcBorders>
            <w:shd w:val="clear" w:color="auto" w:fill="auto"/>
            <w:noWrap/>
            <w:vAlign w:val="center"/>
            <w:hideMark/>
          </w:tcPr>
          <w:p w14:paraId="577BBEBE" w14:textId="77777777" w:rsidR="00BA7C7F" w:rsidRPr="00022A0B" w:rsidRDefault="00BA7C7F" w:rsidP="00BA7C7F">
            <w:pPr>
              <w:jc w:val="right"/>
              <w:rPr>
                <w:rFonts w:ascii="Arial Narrow" w:hAnsi="Arial Narrow" w:cs="Calibri"/>
                <w:color w:val="000000"/>
                <w:sz w:val="20"/>
                <w:szCs w:val="20"/>
              </w:rPr>
            </w:pPr>
            <w:r w:rsidRPr="00022A0B">
              <w:rPr>
                <w:rFonts w:ascii="Arial Narrow" w:hAnsi="Arial Narrow" w:cs="Calibri"/>
                <w:color w:val="000000"/>
                <w:sz w:val="20"/>
                <w:szCs w:val="20"/>
              </w:rPr>
              <w:t>17 750</w:t>
            </w:r>
          </w:p>
        </w:tc>
        <w:tc>
          <w:tcPr>
            <w:tcW w:w="1774" w:type="dxa"/>
            <w:tcBorders>
              <w:top w:val="nil"/>
              <w:left w:val="nil"/>
              <w:bottom w:val="single" w:sz="4" w:space="0" w:color="auto"/>
              <w:right w:val="single" w:sz="4" w:space="0" w:color="auto"/>
            </w:tcBorders>
            <w:shd w:val="clear" w:color="auto" w:fill="auto"/>
            <w:noWrap/>
            <w:vAlign w:val="center"/>
            <w:hideMark/>
          </w:tcPr>
          <w:p w14:paraId="41516347" w14:textId="77777777" w:rsidR="00BA7C7F" w:rsidRPr="00022A0B" w:rsidRDefault="00BA7C7F" w:rsidP="00BA7C7F">
            <w:pPr>
              <w:jc w:val="right"/>
              <w:rPr>
                <w:rFonts w:ascii="Arial Narrow" w:hAnsi="Arial Narrow" w:cs="Calibri"/>
                <w:color w:val="000000"/>
                <w:sz w:val="20"/>
                <w:szCs w:val="20"/>
              </w:rPr>
            </w:pPr>
            <w:r w:rsidRPr="00022A0B">
              <w:rPr>
                <w:rFonts w:ascii="Arial Narrow" w:hAnsi="Arial Narrow" w:cs="Calibri"/>
                <w:color w:val="000000"/>
                <w:sz w:val="20"/>
                <w:szCs w:val="20"/>
              </w:rPr>
              <w:t>3 040 705</w:t>
            </w:r>
          </w:p>
        </w:tc>
      </w:tr>
      <w:tr w:rsidR="00BA7C7F" w:rsidRPr="00C57ABA" w14:paraId="65A9D998" w14:textId="77777777" w:rsidTr="00B37935">
        <w:trPr>
          <w:trHeight w:val="340"/>
        </w:trPr>
        <w:tc>
          <w:tcPr>
            <w:tcW w:w="6249" w:type="dxa"/>
            <w:tcBorders>
              <w:top w:val="nil"/>
              <w:left w:val="single" w:sz="4" w:space="0" w:color="auto"/>
              <w:bottom w:val="single" w:sz="4" w:space="0" w:color="auto"/>
              <w:right w:val="single" w:sz="4" w:space="0" w:color="auto"/>
            </w:tcBorders>
            <w:shd w:val="clear" w:color="auto" w:fill="auto"/>
            <w:vAlign w:val="center"/>
            <w:hideMark/>
          </w:tcPr>
          <w:p w14:paraId="2B6CFA32" w14:textId="77777777" w:rsidR="00BA7C7F" w:rsidRPr="00022A0B" w:rsidRDefault="00BA7C7F" w:rsidP="00BA7C7F">
            <w:pPr>
              <w:rPr>
                <w:rFonts w:ascii="Arial Narrow" w:hAnsi="Arial Narrow" w:cs="Calibri"/>
                <w:color w:val="000000"/>
                <w:sz w:val="20"/>
                <w:szCs w:val="20"/>
              </w:rPr>
            </w:pPr>
            <w:r w:rsidRPr="00022A0B">
              <w:rPr>
                <w:rFonts w:ascii="Arial Narrow" w:hAnsi="Arial Narrow" w:cs="Calibri"/>
                <w:color w:val="000000"/>
                <w:sz w:val="20"/>
                <w:szCs w:val="20"/>
              </w:rPr>
              <w:t xml:space="preserve">Еко схема за екологично поддържане на трайните насаждения </w:t>
            </w:r>
          </w:p>
        </w:tc>
        <w:tc>
          <w:tcPr>
            <w:tcW w:w="1774" w:type="dxa"/>
            <w:tcBorders>
              <w:top w:val="nil"/>
              <w:left w:val="nil"/>
              <w:bottom w:val="single" w:sz="4" w:space="0" w:color="auto"/>
              <w:right w:val="single" w:sz="4" w:space="0" w:color="auto"/>
            </w:tcBorders>
            <w:shd w:val="clear" w:color="auto" w:fill="auto"/>
            <w:noWrap/>
            <w:vAlign w:val="center"/>
            <w:hideMark/>
          </w:tcPr>
          <w:p w14:paraId="0EC72C1B" w14:textId="77777777" w:rsidR="00BA7C7F" w:rsidRPr="00022A0B" w:rsidRDefault="00BA7C7F" w:rsidP="00BA7C7F">
            <w:pPr>
              <w:jc w:val="right"/>
              <w:rPr>
                <w:rFonts w:ascii="Arial Narrow" w:hAnsi="Arial Narrow" w:cs="Calibri"/>
                <w:color w:val="000000"/>
                <w:sz w:val="20"/>
                <w:szCs w:val="20"/>
              </w:rPr>
            </w:pPr>
            <w:r w:rsidRPr="00022A0B">
              <w:rPr>
                <w:rFonts w:ascii="Arial Narrow" w:hAnsi="Arial Narrow" w:cs="Calibri"/>
                <w:color w:val="000000"/>
                <w:sz w:val="20"/>
                <w:szCs w:val="20"/>
              </w:rPr>
              <w:t>5 295</w:t>
            </w:r>
          </w:p>
        </w:tc>
        <w:tc>
          <w:tcPr>
            <w:tcW w:w="1774" w:type="dxa"/>
            <w:tcBorders>
              <w:top w:val="nil"/>
              <w:left w:val="nil"/>
              <w:bottom w:val="single" w:sz="4" w:space="0" w:color="auto"/>
              <w:right w:val="single" w:sz="4" w:space="0" w:color="auto"/>
            </w:tcBorders>
            <w:shd w:val="clear" w:color="auto" w:fill="auto"/>
            <w:noWrap/>
            <w:vAlign w:val="center"/>
            <w:hideMark/>
          </w:tcPr>
          <w:p w14:paraId="09F3B66B" w14:textId="77777777" w:rsidR="00BA7C7F" w:rsidRPr="00022A0B" w:rsidRDefault="00BA7C7F" w:rsidP="00BA7C7F">
            <w:pPr>
              <w:jc w:val="right"/>
              <w:rPr>
                <w:rFonts w:ascii="Arial Narrow" w:hAnsi="Arial Narrow" w:cs="Calibri"/>
                <w:color w:val="000000"/>
                <w:sz w:val="20"/>
                <w:szCs w:val="20"/>
              </w:rPr>
            </w:pPr>
            <w:r w:rsidRPr="00022A0B">
              <w:rPr>
                <w:rFonts w:ascii="Arial Narrow" w:hAnsi="Arial Narrow" w:cs="Calibri"/>
                <w:color w:val="000000"/>
                <w:sz w:val="20"/>
                <w:szCs w:val="20"/>
              </w:rPr>
              <w:t>40 418</w:t>
            </w:r>
          </w:p>
        </w:tc>
      </w:tr>
      <w:tr w:rsidR="00BA7C7F" w:rsidRPr="00C57ABA" w14:paraId="0430F6AC" w14:textId="77777777" w:rsidTr="00B37935">
        <w:trPr>
          <w:trHeight w:val="340"/>
        </w:trPr>
        <w:tc>
          <w:tcPr>
            <w:tcW w:w="6249" w:type="dxa"/>
            <w:tcBorders>
              <w:top w:val="nil"/>
              <w:left w:val="single" w:sz="4" w:space="0" w:color="auto"/>
              <w:bottom w:val="single" w:sz="4" w:space="0" w:color="auto"/>
              <w:right w:val="single" w:sz="4" w:space="0" w:color="auto"/>
            </w:tcBorders>
            <w:shd w:val="clear" w:color="auto" w:fill="auto"/>
            <w:vAlign w:val="center"/>
            <w:hideMark/>
          </w:tcPr>
          <w:p w14:paraId="400D9B4C" w14:textId="77777777" w:rsidR="00BA7C7F" w:rsidRPr="00022A0B" w:rsidRDefault="00BA7C7F" w:rsidP="00BA7C7F">
            <w:pPr>
              <w:rPr>
                <w:rFonts w:ascii="Arial Narrow" w:hAnsi="Arial Narrow" w:cs="Calibri"/>
                <w:color w:val="000000"/>
                <w:sz w:val="20"/>
                <w:szCs w:val="20"/>
              </w:rPr>
            </w:pPr>
            <w:r w:rsidRPr="00022A0B">
              <w:rPr>
                <w:rFonts w:ascii="Arial Narrow" w:hAnsi="Arial Narrow" w:cs="Calibri"/>
                <w:color w:val="000000"/>
                <w:sz w:val="20"/>
                <w:szCs w:val="20"/>
              </w:rPr>
              <w:t xml:space="preserve">Еко схема за екстензивно поддържане на постоянно затревените площи </w:t>
            </w:r>
          </w:p>
        </w:tc>
        <w:tc>
          <w:tcPr>
            <w:tcW w:w="1774" w:type="dxa"/>
            <w:tcBorders>
              <w:top w:val="nil"/>
              <w:left w:val="nil"/>
              <w:bottom w:val="single" w:sz="4" w:space="0" w:color="auto"/>
              <w:right w:val="single" w:sz="4" w:space="0" w:color="auto"/>
            </w:tcBorders>
            <w:shd w:val="clear" w:color="auto" w:fill="auto"/>
            <w:noWrap/>
            <w:vAlign w:val="center"/>
            <w:hideMark/>
          </w:tcPr>
          <w:p w14:paraId="650B8ED8" w14:textId="77777777" w:rsidR="00BA7C7F" w:rsidRPr="00022A0B" w:rsidRDefault="00BA7C7F" w:rsidP="00BA7C7F">
            <w:pPr>
              <w:jc w:val="right"/>
              <w:rPr>
                <w:rFonts w:ascii="Arial Narrow" w:hAnsi="Arial Narrow" w:cs="Calibri"/>
                <w:color w:val="000000"/>
                <w:sz w:val="20"/>
                <w:szCs w:val="20"/>
              </w:rPr>
            </w:pPr>
            <w:r w:rsidRPr="00022A0B">
              <w:rPr>
                <w:rFonts w:ascii="Arial Narrow" w:hAnsi="Arial Narrow" w:cs="Calibri"/>
                <w:color w:val="000000"/>
                <w:sz w:val="20"/>
                <w:szCs w:val="20"/>
              </w:rPr>
              <w:t>3 308</w:t>
            </w:r>
          </w:p>
        </w:tc>
        <w:tc>
          <w:tcPr>
            <w:tcW w:w="1774" w:type="dxa"/>
            <w:tcBorders>
              <w:top w:val="nil"/>
              <w:left w:val="nil"/>
              <w:bottom w:val="single" w:sz="4" w:space="0" w:color="auto"/>
              <w:right w:val="single" w:sz="4" w:space="0" w:color="auto"/>
            </w:tcBorders>
            <w:shd w:val="clear" w:color="auto" w:fill="auto"/>
            <w:noWrap/>
            <w:vAlign w:val="center"/>
            <w:hideMark/>
          </w:tcPr>
          <w:p w14:paraId="0773E551" w14:textId="77777777" w:rsidR="00BA7C7F" w:rsidRPr="00022A0B" w:rsidRDefault="00BA7C7F" w:rsidP="00BA7C7F">
            <w:pPr>
              <w:jc w:val="right"/>
              <w:rPr>
                <w:rFonts w:ascii="Arial Narrow" w:hAnsi="Arial Narrow" w:cs="Calibri"/>
                <w:color w:val="000000"/>
                <w:sz w:val="20"/>
                <w:szCs w:val="20"/>
              </w:rPr>
            </w:pPr>
            <w:r w:rsidRPr="00022A0B">
              <w:rPr>
                <w:rFonts w:ascii="Arial Narrow" w:hAnsi="Arial Narrow" w:cs="Calibri"/>
                <w:color w:val="000000"/>
                <w:sz w:val="20"/>
                <w:szCs w:val="20"/>
              </w:rPr>
              <w:t>200 381</w:t>
            </w:r>
          </w:p>
        </w:tc>
      </w:tr>
      <w:tr w:rsidR="00BA7C7F" w:rsidRPr="00C57ABA" w14:paraId="6A68346B" w14:textId="77777777" w:rsidTr="00B37935">
        <w:trPr>
          <w:trHeight w:val="557"/>
        </w:trPr>
        <w:tc>
          <w:tcPr>
            <w:tcW w:w="6249" w:type="dxa"/>
            <w:tcBorders>
              <w:top w:val="nil"/>
              <w:left w:val="single" w:sz="4" w:space="0" w:color="auto"/>
              <w:bottom w:val="single" w:sz="4" w:space="0" w:color="auto"/>
              <w:right w:val="single" w:sz="4" w:space="0" w:color="auto"/>
            </w:tcBorders>
            <w:shd w:val="clear" w:color="auto" w:fill="auto"/>
            <w:vAlign w:val="center"/>
            <w:hideMark/>
          </w:tcPr>
          <w:p w14:paraId="6573D855" w14:textId="77777777" w:rsidR="00BA7C7F" w:rsidRPr="00022A0B" w:rsidRDefault="00BA7C7F" w:rsidP="00BA7C7F">
            <w:pPr>
              <w:rPr>
                <w:rFonts w:ascii="Arial Narrow" w:hAnsi="Arial Narrow" w:cs="Calibri"/>
                <w:color w:val="000000"/>
                <w:sz w:val="20"/>
                <w:szCs w:val="20"/>
              </w:rPr>
            </w:pPr>
            <w:r w:rsidRPr="00022A0B">
              <w:rPr>
                <w:rFonts w:ascii="Arial Narrow" w:hAnsi="Arial Narrow" w:cs="Calibri"/>
                <w:color w:val="000000"/>
                <w:sz w:val="20"/>
                <w:szCs w:val="20"/>
              </w:rPr>
              <w:t>Еко схема за поддържане и подобряване на биоразнообразието в горски екосистеми</w:t>
            </w:r>
          </w:p>
        </w:tc>
        <w:tc>
          <w:tcPr>
            <w:tcW w:w="1774" w:type="dxa"/>
            <w:tcBorders>
              <w:top w:val="nil"/>
              <w:left w:val="nil"/>
              <w:bottom w:val="single" w:sz="4" w:space="0" w:color="auto"/>
              <w:right w:val="single" w:sz="4" w:space="0" w:color="auto"/>
            </w:tcBorders>
            <w:shd w:val="clear" w:color="auto" w:fill="auto"/>
            <w:noWrap/>
            <w:vAlign w:val="center"/>
            <w:hideMark/>
          </w:tcPr>
          <w:p w14:paraId="283F2965" w14:textId="77777777" w:rsidR="00BA7C7F" w:rsidRPr="00022A0B" w:rsidRDefault="00BA7C7F" w:rsidP="00BA7C7F">
            <w:pPr>
              <w:jc w:val="right"/>
              <w:rPr>
                <w:rFonts w:ascii="Arial Narrow" w:hAnsi="Arial Narrow" w:cs="Calibri"/>
                <w:color w:val="000000"/>
                <w:sz w:val="20"/>
                <w:szCs w:val="20"/>
              </w:rPr>
            </w:pPr>
            <w:r w:rsidRPr="00022A0B">
              <w:rPr>
                <w:rFonts w:ascii="Arial Narrow" w:hAnsi="Arial Narrow" w:cs="Calibri"/>
                <w:color w:val="000000"/>
                <w:sz w:val="20"/>
                <w:szCs w:val="20"/>
              </w:rPr>
              <w:t>202</w:t>
            </w:r>
          </w:p>
        </w:tc>
        <w:tc>
          <w:tcPr>
            <w:tcW w:w="1774" w:type="dxa"/>
            <w:tcBorders>
              <w:top w:val="nil"/>
              <w:left w:val="nil"/>
              <w:bottom w:val="single" w:sz="4" w:space="0" w:color="auto"/>
              <w:right w:val="single" w:sz="4" w:space="0" w:color="auto"/>
            </w:tcBorders>
            <w:shd w:val="clear" w:color="auto" w:fill="auto"/>
            <w:noWrap/>
            <w:vAlign w:val="center"/>
            <w:hideMark/>
          </w:tcPr>
          <w:p w14:paraId="1A23CC7A" w14:textId="77777777" w:rsidR="00BA7C7F" w:rsidRPr="00022A0B" w:rsidRDefault="00BA7C7F" w:rsidP="00BA7C7F">
            <w:pPr>
              <w:jc w:val="right"/>
              <w:rPr>
                <w:rFonts w:ascii="Arial Narrow" w:hAnsi="Arial Narrow" w:cs="Calibri"/>
                <w:color w:val="000000"/>
                <w:sz w:val="20"/>
                <w:szCs w:val="20"/>
              </w:rPr>
            </w:pPr>
            <w:r w:rsidRPr="00022A0B">
              <w:rPr>
                <w:rFonts w:ascii="Arial Narrow" w:hAnsi="Arial Narrow" w:cs="Calibri"/>
                <w:color w:val="000000"/>
                <w:sz w:val="20"/>
                <w:szCs w:val="20"/>
              </w:rPr>
              <w:t>3 127</w:t>
            </w:r>
          </w:p>
        </w:tc>
      </w:tr>
      <w:tr w:rsidR="00BA7C7F" w:rsidRPr="00C57ABA" w14:paraId="44642F33" w14:textId="77777777" w:rsidTr="00B37935">
        <w:trPr>
          <w:trHeight w:val="340"/>
        </w:trPr>
        <w:tc>
          <w:tcPr>
            <w:tcW w:w="6249" w:type="dxa"/>
            <w:tcBorders>
              <w:top w:val="nil"/>
              <w:left w:val="single" w:sz="4" w:space="0" w:color="auto"/>
              <w:bottom w:val="single" w:sz="4" w:space="0" w:color="auto"/>
              <w:right w:val="single" w:sz="4" w:space="0" w:color="auto"/>
            </w:tcBorders>
            <w:shd w:val="clear" w:color="auto" w:fill="auto"/>
            <w:vAlign w:val="center"/>
            <w:hideMark/>
          </w:tcPr>
          <w:p w14:paraId="3AAFCD61" w14:textId="77777777" w:rsidR="00BA7C7F" w:rsidRPr="00022A0B" w:rsidRDefault="00BA7C7F" w:rsidP="00BA7C7F">
            <w:pPr>
              <w:rPr>
                <w:rFonts w:ascii="Arial Narrow" w:hAnsi="Arial Narrow" w:cs="Calibri"/>
                <w:color w:val="000000"/>
                <w:sz w:val="20"/>
                <w:szCs w:val="20"/>
              </w:rPr>
            </w:pPr>
            <w:r w:rsidRPr="00022A0B">
              <w:rPr>
                <w:rFonts w:ascii="Arial Narrow" w:hAnsi="Arial Narrow" w:cs="Calibri"/>
                <w:color w:val="000000"/>
                <w:sz w:val="20"/>
                <w:szCs w:val="20"/>
              </w:rPr>
              <w:t xml:space="preserve">Еко схема за разнообразяване на отглежданите култури </w:t>
            </w:r>
          </w:p>
        </w:tc>
        <w:tc>
          <w:tcPr>
            <w:tcW w:w="1774" w:type="dxa"/>
            <w:tcBorders>
              <w:top w:val="nil"/>
              <w:left w:val="nil"/>
              <w:bottom w:val="single" w:sz="4" w:space="0" w:color="auto"/>
              <w:right w:val="single" w:sz="4" w:space="0" w:color="auto"/>
            </w:tcBorders>
            <w:shd w:val="clear" w:color="auto" w:fill="auto"/>
            <w:noWrap/>
            <w:vAlign w:val="center"/>
            <w:hideMark/>
          </w:tcPr>
          <w:p w14:paraId="0566DA48" w14:textId="77777777" w:rsidR="00BA7C7F" w:rsidRPr="00022A0B" w:rsidRDefault="00BA7C7F" w:rsidP="00BA7C7F">
            <w:pPr>
              <w:jc w:val="right"/>
              <w:rPr>
                <w:rFonts w:ascii="Arial Narrow" w:hAnsi="Arial Narrow" w:cs="Calibri"/>
                <w:color w:val="000000"/>
                <w:sz w:val="20"/>
                <w:szCs w:val="20"/>
              </w:rPr>
            </w:pPr>
            <w:r w:rsidRPr="00022A0B">
              <w:rPr>
                <w:rFonts w:ascii="Arial Narrow" w:hAnsi="Arial Narrow" w:cs="Calibri"/>
                <w:color w:val="000000"/>
                <w:sz w:val="20"/>
                <w:szCs w:val="20"/>
              </w:rPr>
              <w:t>21 773</w:t>
            </w:r>
          </w:p>
        </w:tc>
        <w:tc>
          <w:tcPr>
            <w:tcW w:w="1774" w:type="dxa"/>
            <w:tcBorders>
              <w:top w:val="nil"/>
              <w:left w:val="nil"/>
              <w:bottom w:val="single" w:sz="4" w:space="0" w:color="auto"/>
              <w:right w:val="single" w:sz="4" w:space="0" w:color="auto"/>
            </w:tcBorders>
            <w:shd w:val="clear" w:color="auto" w:fill="auto"/>
            <w:noWrap/>
            <w:vAlign w:val="center"/>
            <w:hideMark/>
          </w:tcPr>
          <w:p w14:paraId="55D0C00A" w14:textId="77777777" w:rsidR="00BA7C7F" w:rsidRPr="00022A0B" w:rsidRDefault="00BA7C7F" w:rsidP="00BA7C7F">
            <w:pPr>
              <w:jc w:val="right"/>
              <w:rPr>
                <w:rFonts w:ascii="Arial Narrow" w:hAnsi="Arial Narrow" w:cs="Calibri"/>
                <w:color w:val="000000"/>
                <w:sz w:val="20"/>
                <w:szCs w:val="20"/>
              </w:rPr>
            </w:pPr>
            <w:r w:rsidRPr="00022A0B">
              <w:rPr>
                <w:rFonts w:ascii="Arial Narrow" w:hAnsi="Arial Narrow" w:cs="Calibri"/>
                <w:color w:val="000000"/>
                <w:sz w:val="20"/>
                <w:szCs w:val="20"/>
              </w:rPr>
              <w:t>3 009 855</w:t>
            </w:r>
          </w:p>
        </w:tc>
      </w:tr>
      <w:tr w:rsidR="00BA7C7F" w:rsidRPr="00C57ABA" w14:paraId="0220C27F" w14:textId="77777777" w:rsidTr="00B37935">
        <w:trPr>
          <w:trHeight w:val="340"/>
        </w:trPr>
        <w:tc>
          <w:tcPr>
            <w:tcW w:w="6249" w:type="dxa"/>
            <w:tcBorders>
              <w:top w:val="nil"/>
              <w:left w:val="single" w:sz="4" w:space="0" w:color="auto"/>
              <w:bottom w:val="single" w:sz="4" w:space="0" w:color="auto"/>
              <w:right w:val="single" w:sz="4" w:space="0" w:color="auto"/>
            </w:tcBorders>
            <w:shd w:val="clear" w:color="auto" w:fill="auto"/>
            <w:vAlign w:val="center"/>
            <w:hideMark/>
          </w:tcPr>
          <w:p w14:paraId="5273A320" w14:textId="77777777" w:rsidR="00BA7C7F" w:rsidRPr="00022A0B" w:rsidRDefault="00BA7C7F" w:rsidP="00BA7C7F">
            <w:pPr>
              <w:rPr>
                <w:rFonts w:ascii="Arial Narrow" w:hAnsi="Arial Narrow" w:cs="Calibri"/>
                <w:color w:val="000000"/>
                <w:sz w:val="20"/>
                <w:szCs w:val="20"/>
              </w:rPr>
            </w:pPr>
            <w:r w:rsidRPr="00022A0B">
              <w:rPr>
                <w:rFonts w:ascii="Arial Narrow" w:hAnsi="Arial Narrow" w:cs="Calibri"/>
                <w:color w:val="000000"/>
                <w:sz w:val="20"/>
                <w:szCs w:val="20"/>
              </w:rPr>
              <w:t xml:space="preserve">Обвързано с производството подпомагане за млечни крави </w:t>
            </w:r>
          </w:p>
        </w:tc>
        <w:tc>
          <w:tcPr>
            <w:tcW w:w="1774" w:type="dxa"/>
            <w:tcBorders>
              <w:top w:val="nil"/>
              <w:left w:val="nil"/>
              <w:bottom w:val="single" w:sz="4" w:space="0" w:color="auto"/>
              <w:right w:val="single" w:sz="4" w:space="0" w:color="auto"/>
            </w:tcBorders>
            <w:shd w:val="clear" w:color="auto" w:fill="auto"/>
            <w:noWrap/>
            <w:vAlign w:val="center"/>
            <w:hideMark/>
          </w:tcPr>
          <w:p w14:paraId="3945D62C" w14:textId="77777777" w:rsidR="00BA7C7F" w:rsidRPr="00022A0B" w:rsidRDefault="00BA7C7F" w:rsidP="00BA7C7F">
            <w:pPr>
              <w:jc w:val="right"/>
              <w:rPr>
                <w:rFonts w:ascii="Arial Narrow" w:hAnsi="Arial Narrow" w:cs="Calibri"/>
                <w:color w:val="000000"/>
                <w:sz w:val="20"/>
                <w:szCs w:val="20"/>
              </w:rPr>
            </w:pPr>
            <w:r w:rsidRPr="00022A0B">
              <w:rPr>
                <w:rFonts w:ascii="Arial Narrow" w:hAnsi="Arial Narrow" w:cs="Calibri"/>
                <w:color w:val="000000"/>
                <w:sz w:val="20"/>
                <w:szCs w:val="20"/>
              </w:rPr>
              <w:t>2 312</w:t>
            </w:r>
          </w:p>
        </w:tc>
        <w:tc>
          <w:tcPr>
            <w:tcW w:w="1774" w:type="dxa"/>
            <w:tcBorders>
              <w:top w:val="nil"/>
              <w:left w:val="nil"/>
              <w:bottom w:val="single" w:sz="4" w:space="0" w:color="auto"/>
              <w:right w:val="single" w:sz="4" w:space="0" w:color="auto"/>
            </w:tcBorders>
            <w:shd w:val="clear" w:color="auto" w:fill="auto"/>
            <w:noWrap/>
            <w:vAlign w:val="center"/>
            <w:hideMark/>
          </w:tcPr>
          <w:p w14:paraId="47361DC4" w14:textId="77777777" w:rsidR="00BA7C7F" w:rsidRPr="00022A0B" w:rsidRDefault="00BA7C7F" w:rsidP="00BA7C7F">
            <w:pPr>
              <w:jc w:val="right"/>
              <w:rPr>
                <w:rFonts w:ascii="Arial Narrow" w:hAnsi="Arial Narrow" w:cs="Calibri"/>
                <w:color w:val="000000"/>
                <w:sz w:val="20"/>
                <w:szCs w:val="20"/>
              </w:rPr>
            </w:pPr>
            <w:r w:rsidRPr="00022A0B">
              <w:rPr>
                <w:rFonts w:ascii="Arial Narrow" w:hAnsi="Arial Narrow" w:cs="Calibri"/>
                <w:color w:val="000000"/>
                <w:sz w:val="20"/>
                <w:szCs w:val="20"/>
              </w:rPr>
              <w:t>68 526</w:t>
            </w:r>
          </w:p>
        </w:tc>
      </w:tr>
      <w:tr w:rsidR="00BA7C7F" w:rsidRPr="00C57ABA" w14:paraId="053CAB31" w14:textId="77777777" w:rsidTr="00B37935">
        <w:trPr>
          <w:trHeight w:val="557"/>
        </w:trPr>
        <w:tc>
          <w:tcPr>
            <w:tcW w:w="6249" w:type="dxa"/>
            <w:tcBorders>
              <w:top w:val="nil"/>
              <w:left w:val="single" w:sz="4" w:space="0" w:color="auto"/>
              <w:bottom w:val="single" w:sz="4" w:space="0" w:color="auto"/>
              <w:right w:val="single" w:sz="4" w:space="0" w:color="auto"/>
            </w:tcBorders>
            <w:shd w:val="clear" w:color="auto" w:fill="auto"/>
            <w:vAlign w:val="center"/>
            <w:hideMark/>
          </w:tcPr>
          <w:p w14:paraId="3DD230E4" w14:textId="77777777" w:rsidR="00BA7C7F" w:rsidRPr="00022A0B" w:rsidRDefault="00BA7C7F" w:rsidP="00BA7C7F">
            <w:pPr>
              <w:rPr>
                <w:rFonts w:ascii="Arial Narrow" w:hAnsi="Arial Narrow" w:cs="Calibri"/>
                <w:color w:val="000000"/>
                <w:sz w:val="20"/>
                <w:szCs w:val="20"/>
              </w:rPr>
            </w:pPr>
            <w:r w:rsidRPr="00022A0B">
              <w:rPr>
                <w:rFonts w:ascii="Arial Narrow" w:hAnsi="Arial Narrow" w:cs="Calibri"/>
                <w:color w:val="000000"/>
                <w:sz w:val="20"/>
                <w:szCs w:val="20"/>
              </w:rPr>
              <w:t>Обвързано с производството подпомагане за млечни крави включени в развъдни програми</w:t>
            </w:r>
          </w:p>
        </w:tc>
        <w:tc>
          <w:tcPr>
            <w:tcW w:w="1774" w:type="dxa"/>
            <w:tcBorders>
              <w:top w:val="nil"/>
              <w:left w:val="nil"/>
              <w:bottom w:val="single" w:sz="4" w:space="0" w:color="auto"/>
              <w:right w:val="single" w:sz="4" w:space="0" w:color="auto"/>
            </w:tcBorders>
            <w:shd w:val="clear" w:color="auto" w:fill="auto"/>
            <w:noWrap/>
            <w:vAlign w:val="center"/>
            <w:hideMark/>
          </w:tcPr>
          <w:p w14:paraId="43AA81DB" w14:textId="77777777" w:rsidR="00BA7C7F" w:rsidRPr="00022A0B" w:rsidRDefault="00BA7C7F" w:rsidP="00BA7C7F">
            <w:pPr>
              <w:jc w:val="right"/>
              <w:rPr>
                <w:rFonts w:ascii="Arial Narrow" w:hAnsi="Arial Narrow" w:cs="Calibri"/>
                <w:color w:val="000000"/>
                <w:sz w:val="20"/>
                <w:szCs w:val="20"/>
              </w:rPr>
            </w:pPr>
            <w:r w:rsidRPr="00022A0B">
              <w:rPr>
                <w:rFonts w:ascii="Arial Narrow" w:hAnsi="Arial Narrow" w:cs="Calibri"/>
                <w:color w:val="000000"/>
                <w:sz w:val="20"/>
                <w:szCs w:val="20"/>
              </w:rPr>
              <w:t>703</w:t>
            </w:r>
          </w:p>
        </w:tc>
        <w:tc>
          <w:tcPr>
            <w:tcW w:w="1774" w:type="dxa"/>
            <w:tcBorders>
              <w:top w:val="nil"/>
              <w:left w:val="nil"/>
              <w:bottom w:val="single" w:sz="4" w:space="0" w:color="auto"/>
              <w:right w:val="single" w:sz="4" w:space="0" w:color="auto"/>
            </w:tcBorders>
            <w:shd w:val="clear" w:color="auto" w:fill="auto"/>
            <w:noWrap/>
            <w:vAlign w:val="center"/>
            <w:hideMark/>
          </w:tcPr>
          <w:p w14:paraId="7F449608" w14:textId="77777777" w:rsidR="00BA7C7F" w:rsidRPr="00022A0B" w:rsidRDefault="00BA7C7F" w:rsidP="00BA7C7F">
            <w:pPr>
              <w:jc w:val="right"/>
              <w:rPr>
                <w:rFonts w:ascii="Arial Narrow" w:hAnsi="Arial Narrow" w:cs="Calibri"/>
                <w:color w:val="000000"/>
                <w:sz w:val="20"/>
                <w:szCs w:val="20"/>
              </w:rPr>
            </w:pPr>
            <w:r w:rsidRPr="00022A0B">
              <w:rPr>
                <w:rFonts w:ascii="Arial Narrow" w:hAnsi="Arial Narrow" w:cs="Calibri"/>
                <w:color w:val="000000"/>
                <w:sz w:val="20"/>
                <w:szCs w:val="20"/>
              </w:rPr>
              <w:t>78 234</w:t>
            </w:r>
          </w:p>
        </w:tc>
      </w:tr>
      <w:tr w:rsidR="00BA7C7F" w:rsidRPr="00C57ABA" w14:paraId="1800B469" w14:textId="77777777" w:rsidTr="00B37935">
        <w:trPr>
          <w:trHeight w:val="371"/>
        </w:trPr>
        <w:tc>
          <w:tcPr>
            <w:tcW w:w="6249" w:type="dxa"/>
            <w:tcBorders>
              <w:top w:val="nil"/>
              <w:left w:val="single" w:sz="4" w:space="0" w:color="auto"/>
              <w:bottom w:val="single" w:sz="4" w:space="0" w:color="auto"/>
              <w:right w:val="single" w:sz="4" w:space="0" w:color="auto"/>
            </w:tcBorders>
            <w:shd w:val="clear" w:color="auto" w:fill="auto"/>
            <w:vAlign w:val="center"/>
            <w:hideMark/>
          </w:tcPr>
          <w:p w14:paraId="03803B11" w14:textId="77777777" w:rsidR="00BA7C7F" w:rsidRPr="00022A0B" w:rsidRDefault="00BA7C7F" w:rsidP="00BA7C7F">
            <w:pPr>
              <w:rPr>
                <w:rFonts w:ascii="Arial Narrow" w:hAnsi="Arial Narrow" w:cs="Calibri"/>
                <w:color w:val="000000"/>
                <w:sz w:val="20"/>
                <w:szCs w:val="20"/>
              </w:rPr>
            </w:pPr>
            <w:r w:rsidRPr="00022A0B">
              <w:rPr>
                <w:rFonts w:ascii="Arial Narrow" w:hAnsi="Arial Narrow" w:cs="Calibri"/>
                <w:color w:val="000000"/>
                <w:sz w:val="20"/>
                <w:szCs w:val="20"/>
              </w:rPr>
              <w:t xml:space="preserve">Обвързано с производството подпомагане за месодайни крави </w:t>
            </w:r>
          </w:p>
        </w:tc>
        <w:tc>
          <w:tcPr>
            <w:tcW w:w="1774" w:type="dxa"/>
            <w:tcBorders>
              <w:top w:val="nil"/>
              <w:left w:val="nil"/>
              <w:bottom w:val="single" w:sz="4" w:space="0" w:color="auto"/>
              <w:right w:val="single" w:sz="4" w:space="0" w:color="auto"/>
            </w:tcBorders>
            <w:shd w:val="clear" w:color="auto" w:fill="auto"/>
            <w:noWrap/>
            <w:vAlign w:val="center"/>
            <w:hideMark/>
          </w:tcPr>
          <w:p w14:paraId="69669A7E" w14:textId="77777777" w:rsidR="00BA7C7F" w:rsidRPr="00022A0B" w:rsidRDefault="00BA7C7F" w:rsidP="00BA7C7F">
            <w:pPr>
              <w:jc w:val="right"/>
              <w:rPr>
                <w:rFonts w:ascii="Arial Narrow" w:hAnsi="Arial Narrow" w:cs="Calibri"/>
                <w:color w:val="000000"/>
                <w:sz w:val="20"/>
                <w:szCs w:val="20"/>
              </w:rPr>
            </w:pPr>
            <w:r w:rsidRPr="00022A0B">
              <w:rPr>
                <w:rFonts w:ascii="Arial Narrow" w:hAnsi="Arial Narrow" w:cs="Calibri"/>
                <w:color w:val="000000"/>
                <w:sz w:val="20"/>
                <w:szCs w:val="20"/>
              </w:rPr>
              <w:t>3 879</w:t>
            </w:r>
          </w:p>
        </w:tc>
        <w:tc>
          <w:tcPr>
            <w:tcW w:w="1774" w:type="dxa"/>
            <w:tcBorders>
              <w:top w:val="nil"/>
              <w:left w:val="nil"/>
              <w:bottom w:val="single" w:sz="4" w:space="0" w:color="auto"/>
              <w:right w:val="single" w:sz="4" w:space="0" w:color="auto"/>
            </w:tcBorders>
            <w:shd w:val="clear" w:color="auto" w:fill="auto"/>
            <w:noWrap/>
            <w:vAlign w:val="center"/>
            <w:hideMark/>
          </w:tcPr>
          <w:p w14:paraId="2041D121" w14:textId="77777777" w:rsidR="00BA7C7F" w:rsidRPr="00022A0B" w:rsidRDefault="00BA7C7F" w:rsidP="00BA7C7F">
            <w:pPr>
              <w:jc w:val="right"/>
              <w:rPr>
                <w:rFonts w:ascii="Arial Narrow" w:hAnsi="Arial Narrow" w:cs="Calibri"/>
                <w:color w:val="000000"/>
                <w:sz w:val="20"/>
                <w:szCs w:val="20"/>
              </w:rPr>
            </w:pPr>
            <w:r w:rsidRPr="00022A0B">
              <w:rPr>
                <w:rFonts w:ascii="Arial Narrow" w:hAnsi="Arial Narrow" w:cs="Calibri"/>
                <w:color w:val="000000"/>
                <w:sz w:val="20"/>
                <w:szCs w:val="20"/>
              </w:rPr>
              <w:t>116 728</w:t>
            </w:r>
          </w:p>
        </w:tc>
      </w:tr>
      <w:tr w:rsidR="00BA7C7F" w:rsidRPr="00C57ABA" w14:paraId="60BC9CBF" w14:textId="77777777" w:rsidTr="00B37935">
        <w:trPr>
          <w:trHeight w:val="557"/>
        </w:trPr>
        <w:tc>
          <w:tcPr>
            <w:tcW w:w="6249" w:type="dxa"/>
            <w:tcBorders>
              <w:top w:val="nil"/>
              <w:left w:val="single" w:sz="4" w:space="0" w:color="auto"/>
              <w:bottom w:val="single" w:sz="4" w:space="0" w:color="auto"/>
              <w:right w:val="single" w:sz="4" w:space="0" w:color="auto"/>
            </w:tcBorders>
            <w:shd w:val="clear" w:color="auto" w:fill="auto"/>
            <w:vAlign w:val="center"/>
            <w:hideMark/>
          </w:tcPr>
          <w:p w14:paraId="6E15D651" w14:textId="77777777" w:rsidR="00BA7C7F" w:rsidRPr="00022A0B" w:rsidRDefault="00BA7C7F" w:rsidP="00BA7C7F">
            <w:pPr>
              <w:rPr>
                <w:rFonts w:ascii="Arial Narrow" w:hAnsi="Arial Narrow" w:cs="Calibri"/>
                <w:color w:val="000000"/>
                <w:sz w:val="20"/>
                <w:szCs w:val="20"/>
              </w:rPr>
            </w:pPr>
            <w:r w:rsidRPr="00022A0B">
              <w:rPr>
                <w:rFonts w:ascii="Arial Narrow" w:hAnsi="Arial Narrow" w:cs="Calibri"/>
                <w:color w:val="000000"/>
                <w:sz w:val="20"/>
                <w:szCs w:val="20"/>
              </w:rPr>
              <w:t>Обвързано с производството подпомагане за месодайни крави, включени в развъдни програми</w:t>
            </w:r>
          </w:p>
        </w:tc>
        <w:tc>
          <w:tcPr>
            <w:tcW w:w="1774" w:type="dxa"/>
            <w:tcBorders>
              <w:top w:val="nil"/>
              <w:left w:val="nil"/>
              <w:bottom w:val="single" w:sz="4" w:space="0" w:color="auto"/>
              <w:right w:val="single" w:sz="4" w:space="0" w:color="auto"/>
            </w:tcBorders>
            <w:shd w:val="clear" w:color="auto" w:fill="auto"/>
            <w:noWrap/>
            <w:vAlign w:val="center"/>
            <w:hideMark/>
          </w:tcPr>
          <w:p w14:paraId="56CBC7C7" w14:textId="77777777" w:rsidR="00BA7C7F" w:rsidRPr="00022A0B" w:rsidRDefault="00BA7C7F" w:rsidP="00BA7C7F">
            <w:pPr>
              <w:jc w:val="right"/>
              <w:rPr>
                <w:rFonts w:ascii="Arial Narrow" w:hAnsi="Arial Narrow" w:cs="Calibri"/>
                <w:color w:val="000000"/>
                <w:sz w:val="20"/>
                <w:szCs w:val="20"/>
              </w:rPr>
            </w:pPr>
            <w:r w:rsidRPr="00022A0B">
              <w:rPr>
                <w:rFonts w:ascii="Arial Narrow" w:hAnsi="Arial Narrow" w:cs="Calibri"/>
                <w:color w:val="000000"/>
                <w:sz w:val="20"/>
                <w:szCs w:val="20"/>
              </w:rPr>
              <w:t>246</w:t>
            </w:r>
          </w:p>
        </w:tc>
        <w:tc>
          <w:tcPr>
            <w:tcW w:w="1774" w:type="dxa"/>
            <w:tcBorders>
              <w:top w:val="nil"/>
              <w:left w:val="nil"/>
              <w:bottom w:val="single" w:sz="4" w:space="0" w:color="auto"/>
              <w:right w:val="single" w:sz="4" w:space="0" w:color="auto"/>
            </w:tcBorders>
            <w:shd w:val="clear" w:color="auto" w:fill="auto"/>
            <w:noWrap/>
            <w:vAlign w:val="center"/>
            <w:hideMark/>
          </w:tcPr>
          <w:p w14:paraId="62BBFBED" w14:textId="77777777" w:rsidR="00BA7C7F" w:rsidRPr="00022A0B" w:rsidRDefault="00BA7C7F" w:rsidP="00BA7C7F">
            <w:pPr>
              <w:jc w:val="right"/>
              <w:rPr>
                <w:rFonts w:ascii="Arial Narrow" w:hAnsi="Arial Narrow" w:cs="Calibri"/>
                <w:color w:val="000000"/>
                <w:sz w:val="20"/>
                <w:szCs w:val="20"/>
              </w:rPr>
            </w:pPr>
            <w:r w:rsidRPr="00022A0B">
              <w:rPr>
                <w:rFonts w:ascii="Arial Narrow" w:hAnsi="Arial Narrow" w:cs="Calibri"/>
                <w:color w:val="000000"/>
                <w:sz w:val="20"/>
                <w:szCs w:val="20"/>
              </w:rPr>
              <w:t>15 215</w:t>
            </w:r>
          </w:p>
        </w:tc>
      </w:tr>
      <w:tr w:rsidR="00BA7C7F" w:rsidRPr="00C57ABA" w14:paraId="0389717F" w14:textId="77777777" w:rsidTr="00B37935">
        <w:trPr>
          <w:trHeight w:val="557"/>
        </w:trPr>
        <w:tc>
          <w:tcPr>
            <w:tcW w:w="6249" w:type="dxa"/>
            <w:tcBorders>
              <w:top w:val="nil"/>
              <w:left w:val="single" w:sz="4" w:space="0" w:color="auto"/>
              <w:bottom w:val="single" w:sz="4" w:space="0" w:color="auto"/>
              <w:right w:val="single" w:sz="4" w:space="0" w:color="auto"/>
            </w:tcBorders>
            <w:shd w:val="clear" w:color="auto" w:fill="auto"/>
            <w:vAlign w:val="center"/>
            <w:hideMark/>
          </w:tcPr>
          <w:p w14:paraId="3ED62992" w14:textId="77777777" w:rsidR="00BA7C7F" w:rsidRPr="00022A0B" w:rsidRDefault="00BA7C7F" w:rsidP="00BA7C7F">
            <w:pPr>
              <w:rPr>
                <w:rFonts w:ascii="Arial Narrow" w:hAnsi="Arial Narrow" w:cs="Calibri"/>
                <w:color w:val="000000"/>
                <w:sz w:val="20"/>
                <w:szCs w:val="20"/>
              </w:rPr>
            </w:pPr>
            <w:r w:rsidRPr="00022A0B">
              <w:rPr>
                <w:rFonts w:ascii="Arial Narrow" w:hAnsi="Arial Narrow" w:cs="Calibri"/>
                <w:color w:val="000000"/>
                <w:sz w:val="20"/>
                <w:szCs w:val="20"/>
              </w:rPr>
              <w:t>Обвързано с производството подпомагане за крави от застрашени от изчезване породи</w:t>
            </w:r>
          </w:p>
        </w:tc>
        <w:tc>
          <w:tcPr>
            <w:tcW w:w="1774" w:type="dxa"/>
            <w:tcBorders>
              <w:top w:val="nil"/>
              <w:left w:val="nil"/>
              <w:bottom w:val="single" w:sz="4" w:space="0" w:color="auto"/>
              <w:right w:val="single" w:sz="4" w:space="0" w:color="auto"/>
            </w:tcBorders>
            <w:shd w:val="clear" w:color="auto" w:fill="auto"/>
            <w:noWrap/>
            <w:vAlign w:val="center"/>
            <w:hideMark/>
          </w:tcPr>
          <w:p w14:paraId="3905AC3E" w14:textId="77777777" w:rsidR="00BA7C7F" w:rsidRPr="00022A0B" w:rsidRDefault="00BA7C7F" w:rsidP="00BA7C7F">
            <w:pPr>
              <w:jc w:val="right"/>
              <w:rPr>
                <w:rFonts w:ascii="Arial Narrow" w:hAnsi="Arial Narrow" w:cs="Calibri"/>
                <w:color w:val="000000"/>
                <w:sz w:val="20"/>
                <w:szCs w:val="20"/>
              </w:rPr>
            </w:pPr>
            <w:r w:rsidRPr="00022A0B">
              <w:rPr>
                <w:rFonts w:ascii="Arial Narrow" w:hAnsi="Arial Narrow" w:cs="Calibri"/>
                <w:color w:val="000000"/>
                <w:sz w:val="20"/>
                <w:szCs w:val="20"/>
              </w:rPr>
              <w:t>524</w:t>
            </w:r>
          </w:p>
        </w:tc>
        <w:tc>
          <w:tcPr>
            <w:tcW w:w="1774" w:type="dxa"/>
            <w:tcBorders>
              <w:top w:val="nil"/>
              <w:left w:val="nil"/>
              <w:bottom w:val="single" w:sz="4" w:space="0" w:color="auto"/>
              <w:right w:val="single" w:sz="4" w:space="0" w:color="auto"/>
            </w:tcBorders>
            <w:shd w:val="clear" w:color="auto" w:fill="auto"/>
            <w:noWrap/>
            <w:vAlign w:val="center"/>
            <w:hideMark/>
          </w:tcPr>
          <w:p w14:paraId="29AD9713" w14:textId="77777777" w:rsidR="00BA7C7F" w:rsidRPr="00022A0B" w:rsidRDefault="00BA7C7F" w:rsidP="00BA7C7F">
            <w:pPr>
              <w:jc w:val="right"/>
              <w:rPr>
                <w:rFonts w:ascii="Arial Narrow" w:hAnsi="Arial Narrow" w:cs="Calibri"/>
                <w:color w:val="000000"/>
                <w:sz w:val="20"/>
                <w:szCs w:val="20"/>
              </w:rPr>
            </w:pPr>
            <w:r w:rsidRPr="00022A0B">
              <w:rPr>
                <w:rFonts w:ascii="Arial Narrow" w:hAnsi="Arial Narrow" w:cs="Calibri"/>
                <w:color w:val="000000"/>
                <w:sz w:val="20"/>
                <w:szCs w:val="20"/>
              </w:rPr>
              <w:t>28 848</w:t>
            </w:r>
          </w:p>
        </w:tc>
      </w:tr>
      <w:tr w:rsidR="00BA7C7F" w:rsidRPr="00C57ABA" w14:paraId="7F8B4EB3" w14:textId="77777777" w:rsidTr="00B37935">
        <w:trPr>
          <w:trHeight w:val="340"/>
        </w:trPr>
        <w:tc>
          <w:tcPr>
            <w:tcW w:w="6249" w:type="dxa"/>
            <w:tcBorders>
              <w:top w:val="nil"/>
              <w:left w:val="single" w:sz="4" w:space="0" w:color="auto"/>
              <w:bottom w:val="single" w:sz="4" w:space="0" w:color="auto"/>
              <w:right w:val="single" w:sz="4" w:space="0" w:color="auto"/>
            </w:tcBorders>
            <w:shd w:val="clear" w:color="auto" w:fill="auto"/>
            <w:vAlign w:val="center"/>
            <w:hideMark/>
          </w:tcPr>
          <w:p w14:paraId="4AD3D473" w14:textId="77777777" w:rsidR="00BA7C7F" w:rsidRPr="00022A0B" w:rsidRDefault="00BA7C7F" w:rsidP="00BA7C7F">
            <w:pPr>
              <w:rPr>
                <w:rFonts w:ascii="Arial Narrow" w:hAnsi="Arial Narrow" w:cs="Calibri"/>
                <w:color w:val="000000"/>
                <w:sz w:val="20"/>
                <w:szCs w:val="20"/>
              </w:rPr>
            </w:pPr>
            <w:r w:rsidRPr="00022A0B">
              <w:rPr>
                <w:rFonts w:ascii="Arial Narrow" w:hAnsi="Arial Narrow" w:cs="Calibri"/>
                <w:color w:val="000000"/>
                <w:sz w:val="20"/>
                <w:szCs w:val="20"/>
              </w:rPr>
              <w:t xml:space="preserve">Обвързано с производството подпомагане за говеда в планински райони </w:t>
            </w:r>
          </w:p>
        </w:tc>
        <w:tc>
          <w:tcPr>
            <w:tcW w:w="1774" w:type="dxa"/>
            <w:tcBorders>
              <w:top w:val="nil"/>
              <w:left w:val="nil"/>
              <w:bottom w:val="single" w:sz="4" w:space="0" w:color="auto"/>
              <w:right w:val="single" w:sz="4" w:space="0" w:color="auto"/>
            </w:tcBorders>
            <w:shd w:val="clear" w:color="auto" w:fill="auto"/>
            <w:noWrap/>
            <w:vAlign w:val="center"/>
            <w:hideMark/>
          </w:tcPr>
          <w:p w14:paraId="3B8A2C46" w14:textId="77777777" w:rsidR="00BA7C7F" w:rsidRPr="00022A0B" w:rsidRDefault="00BA7C7F" w:rsidP="00BA7C7F">
            <w:pPr>
              <w:jc w:val="right"/>
              <w:rPr>
                <w:rFonts w:ascii="Arial Narrow" w:hAnsi="Arial Narrow" w:cs="Calibri"/>
                <w:color w:val="000000"/>
                <w:sz w:val="20"/>
                <w:szCs w:val="20"/>
              </w:rPr>
            </w:pPr>
            <w:r w:rsidRPr="00022A0B">
              <w:rPr>
                <w:rFonts w:ascii="Arial Narrow" w:hAnsi="Arial Narrow" w:cs="Calibri"/>
                <w:color w:val="000000"/>
                <w:sz w:val="20"/>
                <w:szCs w:val="20"/>
              </w:rPr>
              <w:t>577</w:t>
            </w:r>
          </w:p>
        </w:tc>
        <w:tc>
          <w:tcPr>
            <w:tcW w:w="1774" w:type="dxa"/>
            <w:tcBorders>
              <w:top w:val="nil"/>
              <w:left w:val="nil"/>
              <w:bottom w:val="single" w:sz="4" w:space="0" w:color="auto"/>
              <w:right w:val="single" w:sz="4" w:space="0" w:color="auto"/>
            </w:tcBorders>
            <w:shd w:val="clear" w:color="auto" w:fill="auto"/>
            <w:noWrap/>
            <w:vAlign w:val="center"/>
            <w:hideMark/>
          </w:tcPr>
          <w:p w14:paraId="3ED153DE" w14:textId="77777777" w:rsidR="00BA7C7F" w:rsidRPr="00022A0B" w:rsidRDefault="00BA7C7F" w:rsidP="00BA7C7F">
            <w:pPr>
              <w:jc w:val="right"/>
              <w:rPr>
                <w:rFonts w:ascii="Arial Narrow" w:hAnsi="Arial Narrow" w:cs="Calibri"/>
                <w:color w:val="000000"/>
                <w:sz w:val="20"/>
                <w:szCs w:val="20"/>
              </w:rPr>
            </w:pPr>
            <w:r w:rsidRPr="00022A0B">
              <w:rPr>
                <w:rFonts w:ascii="Arial Narrow" w:hAnsi="Arial Narrow" w:cs="Calibri"/>
                <w:color w:val="000000"/>
                <w:sz w:val="20"/>
                <w:szCs w:val="20"/>
              </w:rPr>
              <w:t>4 117</w:t>
            </w:r>
          </w:p>
        </w:tc>
      </w:tr>
      <w:tr w:rsidR="00BA7C7F" w:rsidRPr="00C57ABA" w14:paraId="0DAB3907" w14:textId="77777777" w:rsidTr="00B37935">
        <w:trPr>
          <w:trHeight w:val="340"/>
        </w:trPr>
        <w:tc>
          <w:tcPr>
            <w:tcW w:w="6249" w:type="dxa"/>
            <w:tcBorders>
              <w:top w:val="nil"/>
              <w:left w:val="single" w:sz="4" w:space="0" w:color="auto"/>
              <w:bottom w:val="single" w:sz="4" w:space="0" w:color="auto"/>
              <w:right w:val="single" w:sz="4" w:space="0" w:color="auto"/>
            </w:tcBorders>
            <w:shd w:val="clear" w:color="auto" w:fill="auto"/>
            <w:vAlign w:val="center"/>
            <w:hideMark/>
          </w:tcPr>
          <w:p w14:paraId="1E572E2D" w14:textId="77777777" w:rsidR="00BA7C7F" w:rsidRPr="00022A0B" w:rsidRDefault="00BA7C7F" w:rsidP="00BA7C7F">
            <w:pPr>
              <w:rPr>
                <w:rFonts w:ascii="Arial Narrow" w:hAnsi="Arial Narrow" w:cs="Calibri"/>
                <w:color w:val="000000"/>
                <w:sz w:val="20"/>
                <w:szCs w:val="20"/>
              </w:rPr>
            </w:pPr>
            <w:r w:rsidRPr="00022A0B">
              <w:rPr>
                <w:rFonts w:ascii="Arial Narrow" w:hAnsi="Arial Narrow" w:cs="Calibri"/>
                <w:color w:val="000000"/>
                <w:sz w:val="20"/>
                <w:szCs w:val="20"/>
              </w:rPr>
              <w:t xml:space="preserve">Обвързано с производството подпомагане за биволи </w:t>
            </w:r>
          </w:p>
        </w:tc>
        <w:tc>
          <w:tcPr>
            <w:tcW w:w="1774" w:type="dxa"/>
            <w:tcBorders>
              <w:top w:val="nil"/>
              <w:left w:val="nil"/>
              <w:bottom w:val="single" w:sz="4" w:space="0" w:color="auto"/>
              <w:right w:val="single" w:sz="4" w:space="0" w:color="auto"/>
            </w:tcBorders>
            <w:shd w:val="clear" w:color="auto" w:fill="auto"/>
            <w:noWrap/>
            <w:vAlign w:val="center"/>
            <w:hideMark/>
          </w:tcPr>
          <w:p w14:paraId="119345A6" w14:textId="77777777" w:rsidR="00BA7C7F" w:rsidRPr="00022A0B" w:rsidRDefault="00BA7C7F" w:rsidP="00BA7C7F">
            <w:pPr>
              <w:jc w:val="right"/>
              <w:rPr>
                <w:rFonts w:ascii="Arial Narrow" w:hAnsi="Arial Narrow" w:cs="Calibri"/>
                <w:color w:val="000000"/>
                <w:sz w:val="20"/>
                <w:szCs w:val="20"/>
              </w:rPr>
            </w:pPr>
            <w:r w:rsidRPr="00022A0B">
              <w:rPr>
                <w:rFonts w:ascii="Arial Narrow" w:hAnsi="Arial Narrow" w:cs="Calibri"/>
                <w:color w:val="000000"/>
                <w:sz w:val="20"/>
                <w:szCs w:val="20"/>
              </w:rPr>
              <w:t>233</w:t>
            </w:r>
          </w:p>
        </w:tc>
        <w:tc>
          <w:tcPr>
            <w:tcW w:w="1774" w:type="dxa"/>
            <w:tcBorders>
              <w:top w:val="nil"/>
              <w:left w:val="nil"/>
              <w:bottom w:val="single" w:sz="4" w:space="0" w:color="auto"/>
              <w:right w:val="single" w:sz="4" w:space="0" w:color="auto"/>
            </w:tcBorders>
            <w:shd w:val="clear" w:color="auto" w:fill="auto"/>
            <w:noWrap/>
            <w:vAlign w:val="center"/>
            <w:hideMark/>
          </w:tcPr>
          <w:p w14:paraId="59E3A7DA" w14:textId="77777777" w:rsidR="00BA7C7F" w:rsidRPr="00022A0B" w:rsidRDefault="00BA7C7F" w:rsidP="00BA7C7F">
            <w:pPr>
              <w:jc w:val="right"/>
              <w:rPr>
                <w:rFonts w:ascii="Arial Narrow" w:hAnsi="Arial Narrow" w:cs="Calibri"/>
                <w:color w:val="000000"/>
                <w:sz w:val="20"/>
                <w:szCs w:val="20"/>
              </w:rPr>
            </w:pPr>
            <w:r w:rsidRPr="00022A0B">
              <w:rPr>
                <w:rFonts w:ascii="Arial Narrow" w:hAnsi="Arial Narrow" w:cs="Calibri"/>
                <w:color w:val="000000"/>
                <w:sz w:val="20"/>
                <w:szCs w:val="20"/>
              </w:rPr>
              <w:t>12 965</w:t>
            </w:r>
          </w:p>
        </w:tc>
      </w:tr>
      <w:tr w:rsidR="00BA7C7F" w:rsidRPr="00C57ABA" w14:paraId="2271F933" w14:textId="77777777" w:rsidTr="00B37935">
        <w:trPr>
          <w:trHeight w:val="576"/>
        </w:trPr>
        <w:tc>
          <w:tcPr>
            <w:tcW w:w="6249" w:type="dxa"/>
            <w:tcBorders>
              <w:top w:val="nil"/>
              <w:left w:val="single" w:sz="4" w:space="0" w:color="auto"/>
              <w:bottom w:val="single" w:sz="4" w:space="0" w:color="auto"/>
              <w:right w:val="single" w:sz="4" w:space="0" w:color="auto"/>
            </w:tcBorders>
            <w:shd w:val="clear" w:color="auto" w:fill="auto"/>
            <w:vAlign w:val="center"/>
            <w:hideMark/>
          </w:tcPr>
          <w:p w14:paraId="7CB78B6B" w14:textId="77777777" w:rsidR="00BA7C7F" w:rsidRPr="00022A0B" w:rsidRDefault="00BA7C7F" w:rsidP="00BA7C7F">
            <w:pPr>
              <w:rPr>
                <w:rFonts w:ascii="Arial Narrow" w:hAnsi="Arial Narrow" w:cs="Calibri"/>
                <w:color w:val="000000"/>
                <w:sz w:val="20"/>
                <w:szCs w:val="20"/>
              </w:rPr>
            </w:pPr>
            <w:r w:rsidRPr="00022A0B">
              <w:rPr>
                <w:rFonts w:ascii="Arial Narrow" w:hAnsi="Arial Narrow" w:cs="Calibri"/>
                <w:color w:val="000000"/>
                <w:sz w:val="20"/>
                <w:szCs w:val="20"/>
              </w:rPr>
              <w:t xml:space="preserve">Обвързано с производството подпомагане за овце и кози от местни породи, включени в развъдни програми </w:t>
            </w:r>
          </w:p>
        </w:tc>
        <w:tc>
          <w:tcPr>
            <w:tcW w:w="1774" w:type="dxa"/>
            <w:tcBorders>
              <w:top w:val="nil"/>
              <w:left w:val="nil"/>
              <w:bottom w:val="single" w:sz="4" w:space="0" w:color="auto"/>
              <w:right w:val="single" w:sz="4" w:space="0" w:color="auto"/>
            </w:tcBorders>
            <w:shd w:val="clear" w:color="auto" w:fill="auto"/>
            <w:noWrap/>
            <w:vAlign w:val="center"/>
            <w:hideMark/>
          </w:tcPr>
          <w:p w14:paraId="286C8BD2" w14:textId="77777777" w:rsidR="00BA7C7F" w:rsidRPr="00022A0B" w:rsidRDefault="00BA7C7F" w:rsidP="00BA7C7F">
            <w:pPr>
              <w:jc w:val="right"/>
              <w:rPr>
                <w:rFonts w:ascii="Arial Narrow" w:hAnsi="Arial Narrow" w:cs="Calibri"/>
                <w:color w:val="000000"/>
                <w:sz w:val="20"/>
                <w:szCs w:val="20"/>
              </w:rPr>
            </w:pPr>
            <w:r w:rsidRPr="00022A0B">
              <w:rPr>
                <w:rFonts w:ascii="Arial Narrow" w:hAnsi="Arial Narrow" w:cs="Calibri"/>
                <w:color w:val="000000"/>
                <w:sz w:val="20"/>
                <w:szCs w:val="20"/>
              </w:rPr>
              <w:t>1 181</w:t>
            </w:r>
          </w:p>
        </w:tc>
        <w:tc>
          <w:tcPr>
            <w:tcW w:w="1774" w:type="dxa"/>
            <w:tcBorders>
              <w:top w:val="nil"/>
              <w:left w:val="nil"/>
              <w:bottom w:val="single" w:sz="4" w:space="0" w:color="auto"/>
              <w:right w:val="single" w:sz="4" w:space="0" w:color="auto"/>
            </w:tcBorders>
            <w:shd w:val="clear" w:color="auto" w:fill="auto"/>
            <w:noWrap/>
            <w:vAlign w:val="center"/>
            <w:hideMark/>
          </w:tcPr>
          <w:p w14:paraId="673CCC2E" w14:textId="77777777" w:rsidR="00BA7C7F" w:rsidRPr="00022A0B" w:rsidRDefault="00BA7C7F" w:rsidP="00BA7C7F">
            <w:pPr>
              <w:jc w:val="right"/>
              <w:rPr>
                <w:rFonts w:ascii="Arial Narrow" w:hAnsi="Arial Narrow" w:cs="Calibri"/>
                <w:color w:val="000000"/>
                <w:sz w:val="20"/>
                <w:szCs w:val="20"/>
              </w:rPr>
            </w:pPr>
            <w:r w:rsidRPr="00022A0B">
              <w:rPr>
                <w:rFonts w:ascii="Arial Narrow" w:hAnsi="Arial Narrow" w:cs="Calibri"/>
                <w:color w:val="000000"/>
                <w:sz w:val="20"/>
                <w:szCs w:val="20"/>
              </w:rPr>
              <w:t>219 453</w:t>
            </w:r>
          </w:p>
        </w:tc>
      </w:tr>
      <w:tr w:rsidR="00BA7C7F" w:rsidRPr="00C57ABA" w14:paraId="754E8CCD" w14:textId="77777777" w:rsidTr="00B37935">
        <w:trPr>
          <w:trHeight w:val="340"/>
        </w:trPr>
        <w:tc>
          <w:tcPr>
            <w:tcW w:w="6249" w:type="dxa"/>
            <w:tcBorders>
              <w:top w:val="nil"/>
              <w:left w:val="single" w:sz="4" w:space="0" w:color="auto"/>
              <w:bottom w:val="single" w:sz="4" w:space="0" w:color="auto"/>
              <w:right w:val="single" w:sz="4" w:space="0" w:color="auto"/>
            </w:tcBorders>
            <w:shd w:val="clear" w:color="auto" w:fill="auto"/>
            <w:vAlign w:val="center"/>
            <w:hideMark/>
          </w:tcPr>
          <w:p w14:paraId="0971D001" w14:textId="77777777" w:rsidR="00BA7C7F" w:rsidRPr="00022A0B" w:rsidRDefault="00BA7C7F" w:rsidP="00BA7C7F">
            <w:pPr>
              <w:rPr>
                <w:rFonts w:ascii="Arial Narrow" w:hAnsi="Arial Narrow" w:cs="Calibri"/>
                <w:color w:val="000000"/>
                <w:sz w:val="20"/>
                <w:szCs w:val="20"/>
              </w:rPr>
            </w:pPr>
            <w:r w:rsidRPr="00022A0B">
              <w:rPr>
                <w:rFonts w:ascii="Arial Narrow" w:hAnsi="Arial Narrow" w:cs="Calibri"/>
                <w:color w:val="000000"/>
                <w:sz w:val="20"/>
                <w:szCs w:val="20"/>
              </w:rPr>
              <w:t xml:space="preserve">Обвързано с производството подпомагане за овце и кози в планински райони </w:t>
            </w:r>
          </w:p>
        </w:tc>
        <w:tc>
          <w:tcPr>
            <w:tcW w:w="1774" w:type="dxa"/>
            <w:tcBorders>
              <w:top w:val="nil"/>
              <w:left w:val="nil"/>
              <w:bottom w:val="single" w:sz="4" w:space="0" w:color="auto"/>
              <w:right w:val="single" w:sz="4" w:space="0" w:color="auto"/>
            </w:tcBorders>
            <w:shd w:val="clear" w:color="auto" w:fill="auto"/>
            <w:noWrap/>
            <w:vAlign w:val="center"/>
            <w:hideMark/>
          </w:tcPr>
          <w:p w14:paraId="6E456BDC" w14:textId="77777777" w:rsidR="00BA7C7F" w:rsidRPr="00022A0B" w:rsidRDefault="00BA7C7F" w:rsidP="00BA7C7F">
            <w:pPr>
              <w:jc w:val="right"/>
              <w:rPr>
                <w:rFonts w:ascii="Arial Narrow" w:hAnsi="Arial Narrow" w:cs="Calibri"/>
                <w:color w:val="000000"/>
                <w:sz w:val="20"/>
                <w:szCs w:val="20"/>
              </w:rPr>
            </w:pPr>
            <w:r w:rsidRPr="00022A0B">
              <w:rPr>
                <w:rFonts w:ascii="Arial Narrow" w:hAnsi="Arial Narrow" w:cs="Calibri"/>
                <w:color w:val="000000"/>
                <w:sz w:val="20"/>
                <w:szCs w:val="20"/>
              </w:rPr>
              <w:t>1 251</w:t>
            </w:r>
          </w:p>
        </w:tc>
        <w:tc>
          <w:tcPr>
            <w:tcW w:w="1774" w:type="dxa"/>
            <w:tcBorders>
              <w:top w:val="nil"/>
              <w:left w:val="nil"/>
              <w:bottom w:val="single" w:sz="4" w:space="0" w:color="auto"/>
              <w:right w:val="single" w:sz="4" w:space="0" w:color="auto"/>
            </w:tcBorders>
            <w:shd w:val="clear" w:color="auto" w:fill="auto"/>
            <w:noWrap/>
            <w:vAlign w:val="center"/>
            <w:hideMark/>
          </w:tcPr>
          <w:p w14:paraId="7847CB48" w14:textId="77777777" w:rsidR="00BA7C7F" w:rsidRPr="00022A0B" w:rsidRDefault="00BA7C7F" w:rsidP="00BA7C7F">
            <w:pPr>
              <w:jc w:val="right"/>
              <w:rPr>
                <w:rFonts w:ascii="Arial Narrow" w:hAnsi="Arial Narrow" w:cs="Calibri"/>
                <w:color w:val="000000"/>
                <w:sz w:val="20"/>
                <w:szCs w:val="20"/>
              </w:rPr>
            </w:pPr>
            <w:r w:rsidRPr="00022A0B">
              <w:rPr>
                <w:rFonts w:ascii="Arial Narrow" w:hAnsi="Arial Narrow" w:cs="Calibri"/>
                <w:color w:val="000000"/>
                <w:sz w:val="20"/>
                <w:szCs w:val="20"/>
              </w:rPr>
              <w:t>34 463</w:t>
            </w:r>
          </w:p>
        </w:tc>
      </w:tr>
      <w:tr w:rsidR="00BA7C7F" w:rsidRPr="00C57ABA" w14:paraId="1AAFE3E1" w14:textId="77777777" w:rsidTr="00B37935">
        <w:trPr>
          <w:trHeight w:val="542"/>
        </w:trPr>
        <w:tc>
          <w:tcPr>
            <w:tcW w:w="6249" w:type="dxa"/>
            <w:tcBorders>
              <w:top w:val="nil"/>
              <w:left w:val="single" w:sz="4" w:space="0" w:color="auto"/>
              <w:bottom w:val="single" w:sz="4" w:space="0" w:color="auto"/>
              <w:right w:val="single" w:sz="4" w:space="0" w:color="auto"/>
            </w:tcBorders>
            <w:shd w:val="clear" w:color="auto" w:fill="auto"/>
            <w:vAlign w:val="center"/>
            <w:hideMark/>
          </w:tcPr>
          <w:p w14:paraId="617C9A38" w14:textId="77777777" w:rsidR="00BA7C7F" w:rsidRPr="00022A0B" w:rsidRDefault="00BA7C7F" w:rsidP="00BA7C7F">
            <w:pPr>
              <w:rPr>
                <w:rFonts w:ascii="Arial Narrow" w:hAnsi="Arial Narrow" w:cs="Calibri"/>
                <w:color w:val="000000"/>
                <w:sz w:val="20"/>
                <w:szCs w:val="20"/>
              </w:rPr>
            </w:pPr>
            <w:r w:rsidRPr="00022A0B">
              <w:rPr>
                <w:rFonts w:ascii="Arial Narrow" w:hAnsi="Arial Narrow" w:cs="Calibri"/>
                <w:color w:val="000000"/>
                <w:sz w:val="20"/>
                <w:szCs w:val="20"/>
              </w:rPr>
              <w:t xml:space="preserve">Обвързано с производството подпомагане за овце и кози от застрашени от изчезване породи </w:t>
            </w:r>
          </w:p>
        </w:tc>
        <w:tc>
          <w:tcPr>
            <w:tcW w:w="1774" w:type="dxa"/>
            <w:tcBorders>
              <w:top w:val="nil"/>
              <w:left w:val="nil"/>
              <w:bottom w:val="single" w:sz="4" w:space="0" w:color="auto"/>
              <w:right w:val="single" w:sz="4" w:space="0" w:color="auto"/>
            </w:tcBorders>
            <w:shd w:val="clear" w:color="auto" w:fill="auto"/>
            <w:noWrap/>
            <w:vAlign w:val="center"/>
            <w:hideMark/>
          </w:tcPr>
          <w:p w14:paraId="04353907" w14:textId="77777777" w:rsidR="00BA7C7F" w:rsidRPr="00022A0B" w:rsidRDefault="00BA7C7F" w:rsidP="00BA7C7F">
            <w:pPr>
              <w:jc w:val="right"/>
              <w:rPr>
                <w:rFonts w:ascii="Arial Narrow" w:hAnsi="Arial Narrow" w:cs="Calibri"/>
                <w:color w:val="000000"/>
                <w:sz w:val="20"/>
                <w:szCs w:val="20"/>
              </w:rPr>
            </w:pPr>
            <w:r w:rsidRPr="00022A0B">
              <w:rPr>
                <w:rFonts w:ascii="Arial Narrow" w:hAnsi="Arial Narrow" w:cs="Calibri"/>
                <w:color w:val="000000"/>
                <w:sz w:val="20"/>
                <w:szCs w:val="20"/>
              </w:rPr>
              <w:t>749</w:t>
            </w:r>
          </w:p>
        </w:tc>
        <w:tc>
          <w:tcPr>
            <w:tcW w:w="1774" w:type="dxa"/>
            <w:tcBorders>
              <w:top w:val="nil"/>
              <w:left w:val="nil"/>
              <w:bottom w:val="single" w:sz="4" w:space="0" w:color="auto"/>
              <w:right w:val="single" w:sz="4" w:space="0" w:color="auto"/>
            </w:tcBorders>
            <w:shd w:val="clear" w:color="auto" w:fill="auto"/>
            <w:noWrap/>
            <w:vAlign w:val="center"/>
            <w:hideMark/>
          </w:tcPr>
          <w:p w14:paraId="08D97D7D" w14:textId="77777777" w:rsidR="00BA7C7F" w:rsidRPr="00022A0B" w:rsidRDefault="00BA7C7F" w:rsidP="00BA7C7F">
            <w:pPr>
              <w:jc w:val="right"/>
              <w:rPr>
                <w:rFonts w:ascii="Arial Narrow" w:hAnsi="Arial Narrow" w:cs="Calibri"/>
                <w:color w:val="000000"/>
                <w:sz w:val="20"/>
                <w:szCs w:val="20"/>
              </w:rPr>
            </w:pPr>
            <w:r w:rsidRPr="00022A0B">
              <w:rPr>
                <w:rFonts w:ascii="Arial Narrow" w:hAnsi="Arial Narrow" w:cs="Calibri"/>
                <w:color w:val="000000"/>
                <w:sz w:val="20"/>
                <w:szCs w:val="20"/>
              </w:rPr>
              <w:t>131 353</w:t>
            </w:r>
          </w:p>
        </w:tc>
      </w:tr>
      <w:tr w:rsidR="00BA7C7F" w:rsidRPr="00C57ABA" w14:paraId="04267F11" w14:textId="77777777" w:rsidTr="00B37935">
        <w:trPr>
          <w:trHeight w:val="340"/>
        </w:trPr>
        <w:tc>
          <w:tcPr>
            <w:tcW w:w="6249" w:type="dxa"/>
            <w:tcBorders>
              <w:top w:val="nil"/>
              <w:left w:val="single" w:sz="4" w:space="0" w:color="auto"/>
              <w:bottom w:val="single" w:sz="4" w:space="0" w:color="auto"/>
              <w:right w:val="single" w:sz="4" w:space="0" w:color="auto"/>
            </w:tcBorders>
            <w:shd w:val="clear" w:color="auto" w:fill="auto"/>
            <w:vAlign w:val="center"/>
            <w:hideMark/>
          </w:tcPr>
          <w:p w14:paraId="68C5DC71" w14:textId="77777777" w:rsidR="00BA7C7F" w:rsidRPr="00022A0B" w:rsidRDefault="00BA7C7F" w:rsidP="00BA7C7F">
            <w:pPr>
              <w:rPr>
                <w:rFonts w:ascii="Arial Narrow" w:hAnsi="Arial Narrow" w:cs="Calibri"/>
                <w:color w:val="000000"/>
                <w:sz w:val="20"/>
                <w:szCs w:val="20"/>
              </w:rPr>
            </w:pPr>
            <w:r w:rsidRPr="00022A0B">
              <w:rPr>
                <w:rFonts w:ascii="Arial Narrow" w:hAnsi="Arial Narrow" w:cs="Calibri"/>
                <w:color w:val="000000"/>
                <w:sz w:val="20"/>
                <w:szCs w:val="20"/>
              </w:rPr>
              <w:lastRenderedPageBreak/>
              <w:t xml:space="preserve">Обвързано с производството подпомагане на доходите за плодове </w:t>
            </w:r>
          </w:p>
        </w:tc>
        <w:tc>
          <w:tcPr>
            <w:tcW w:w="1774" w:type="dxa"/>
            <w:tcBorders>
              <w:top w:val="nil"/>
              <w:left w:val="nil"/>
              <w:bottom w:val="single" w:sz="4" w:space="0" w:color="auto"/>
              <w:right w:val="single" w:sz="4" w:space="0" w:color="auto"/>
            </w:tcBorders>
            <w:shd w:val="clear" w:color="auto" w:fill="auto"/>
            <w:noWrap/>
            <w:vAlign w:val="center"/>
            <w:hideMark/>
          </w:tcPr>
          <w:p w14:paraId="09A6D39D" w14:textId="77777777" w:rsidR="00BA7C7F" w:rsidRPr="00022A0B" w:rsidRDefault="00BA7C7F" w:rsidP="00BA7C7F">
            <w:pPr>
              <w:jc w:val="right"/>
              <w:rPr>
                <w:rFonts w:ascii="Arial Narrow" w:hAnsi="Arial Narrow" w:cs="Calibri"/>
                <w:color w:val="000000"/>
                <w:sz w:val="20"/>
                <w:szCs w:val="20"/>
              </w:rPr>
            </w:pPr>
            <w:r w:rsidRPr="00022A0B">
              <w:rPr>
                <w:rFonts w:ascii="Arial Narrow" w:hAnsi="Arial Narrow" w:cs="Calibri"/>
                <w:color w:val="000000"/>
                <w:sz w:val="20"/>
                <w:szCs w:val="20"/>
              </w:rPr>
              <w:t>7 025</w:t>
            </w:r>
          </w:p>
        </w:tc>
        <w:tc>
          <w:tcPr>
            <w:tcW w:w="1774" w:type="dxa"/>
            <w:tcBorders>
              <w:top w:val="nil"/>
              <w:left w:val="nil"/>
              <w:bottom w:val="single" w:sz="4" w:space="0" w:color="auto"/>
              <w:right w:val="single" w:sz="4" w:space="0" w:color="auto"/>
            </w:tcBorders>
            <w:shd w:val="clear" w:color="auto" w:fill="auto"/>
            <w:noWrap/>
            <w:vAlign w:val="center"/>
            <w:hideMark/>
          </w:tcPr>
          <w:p w14:paraId="6010EB7A" w14:textId="77777777" w:rsidR="00BA7C7F" w:rsidRPr="00022A0B" w:rsidRDefault="00BA7C7F" w:rsidP="00BA7C7F">
            <w:pPr>
              <w:jc w:val="right"/>
              <w:rPr>
                <w:rFonts w:ascii="Arial Narrow" w:hAnsi="Arial Narrow" w:cs="Calibri"/>
                <w:color w:val="000000"/>
                <w:sz w:val="20"/>
                <w:szCs w:val="20"/>
              </w:rPr>
            </w:pPr>
            <w:r w:rsidRPr="00022A0B">
              <w:rPr>
                <w:rFonts w:ascii="Arial Narrow" w:hAnsi="Arial Narrow" w:cs="Calibri"/>
                <w:color w:val="000000"/>
                <w:sz w:val="20"/>
                <w:szCs w:val="20"/>
              </w:rPr>
              <w:t>26 764</w:t>
            </w:r>
          </w:p>
        </w:tc>
      </w:tr>
      <w:tr w:rsidR="00BA7C7F" w:rsidRPr="00C57ABA" w14:paraId="59C3B1D6" w14:textId="77777777" w:rsidTr="00B37935">
        <w:trPr>
          <w:trHeight w:val="555"/>
        </w:trPr>
        <w:tc>
          <w:tcPr>
            <w:tcW w:w="6249" w:type="dxa"/>
            <w:tcBorders>
              <w:top w:val="nil"/>
              <w:left w:val="single" w:sz="4" w:space="0" w:color="auto"/>
              <w:bottom w:val="single" w:sz="4" w:space="0" w:color="auto"/>
              <w:right w:val="single" w:sz="4" w:space="0" w:color="auto"/>
            </w:tcBorders>
            <w:shd w:val="clear" w:color="auto" w:fill="auto"/>
            <w:vAlign w:val="center"/>
            <w:hideMark/>
          </w:tcPr>
          <w:p w14:paraId="53E55730" w14:textId="77777777" w:rsidR="00BA7C7F" w:rsidRPr="00022A0B" w:rsidRDefault="00BA7C7F" w:rsidP="00BA7C7F">
            <w:pPr>
              <w:rPr>
                <w:rFonts w:ascii="Arial Narrow" w:hAnsi="Arial Narrow" w:cs="Calibri"/>
                <w:color w:val="000000"/>
                <w:sz w:val="20"/>
                <w:szCs w:val="20"/>
              </w:rPr>
            </w:pPr>
            <w:r w:rsidRPr="00022A0B">
              <w:rPr>
                <w:rFonts w:ascii="Arial Narrow" w:hAnsi="Arial Narrow" w:cs="Calibri"/>
                <w:color w:val="000000"/>
                <w:sz w:val="20"/>
                <w:szCs w:val="20"/>
              </w:rPr>
              <w:t>Обвързано с производството подпомагане на доходите за плодови насаждения до встъпването им в плододаване</w:t>
            </w:r>
          </w:p>
        </w:tc>
        <w:tc>
          <w:tcPr>
            <w:tcW w:w="1774" w:type="dxa"/>
            <w:tcBorders>
              <w:top w:val="nil"/>
              <w:left w:val="nil"/>
              <w:bottom w:val="single" w:sz="4" w:space="0" w:color="auto"/>
              <w:right w:val="single" w:sz="4" w:space="0" w:color="auto"/>
            </w:tcBorders>
            <w:shd w:val="clear" w:color="auto" w:fill="auto"/>
            <w:noWrap/>
            <w:vAlign w:val="center"/>
            <w:hideMark/>
          </w:tcPr>
          <w:p w14:paraId="204EA621" w14:textId="77777777" w:rsidR="00BA7C7F" w:rsidRPr="00022A0B" w:rsidRDefault="00BA7C7F" w:rsidP="00BA7C7F">
            <w:pPr>
              <w:jc w:val="right"/>
              <w:rPr>
                <w:rFonts w:ascii="Arial Narrow" w:hAnsi="Arial Narrow" w:cs="Calibri"/>
                <w:color w:val="000000"/>
                <w:sz w:val="20"/>
                <w:szCs w:val="20"/>
              </w:rPr>
            </w:pPr>
            <w:r w:rsidRPr="00022A0B">
              <w:rPr>
                <w:rFonts w:ascii="Arial Narrow" w:hAnsi="Arial Narrow" w:cs="Calibri"/>
                <w:color w:val="000000"/>
                <w:sz w:val="20"/>
                <w:szCs w:val="20"/>
              </w:rPr>
              <w:t>2 226</w:t>
            </w:r>
          </w:p>
        </w:tc>
        <w:tc>
          <w:tcPr>
            <w:tcW w:w="1774" w:type="dxa"/>
            <w:tcBorders>
              <w:top w:val="nil"/>
              <w:left w:val="nil"/>
              <w:bottom w:val="single" w:sz="4" w:space="0" w:color="auto"/>
              <w:right w:val="single" w:sz="4" w:space="0" w:color="auto"/>
            </w:tcBorders>
            <w:shd w:val="clear" w:color="auto" w:fill="auto"/>
            <w:noWrap/>
            <w:vAlign w:val="center"/>
            <w:hideMark/>
          </w:tcPr>
          <w:p w14:paraId="044803BA" w14:textId="77777777" w:rsidR="00BA7C7F" w:rsidRPr="00022A0B" w:rsidRDefault="00BA7C7F" w:rsidP="00BA7C7F">
            <w:pPr>
              <w:jc w:val="right"/>
              <w:rPr>
                <w:rFonts w:ascii="Arial Narrow" w:hAnsi="Arial Narrow" w:cs="Calibri"/>
                <w:color w:val="000000"/>
                <w:sz w:val="20"/>
                <w:szCs w:val="20"/>
              </w:rPr>
            </w:pPr>
            <w:r w:rsidRPr="00022A0B">
              <w:rPr>
                <w:rFonts w:ascii="Arial Narrow" w:hAnsi="Arial Narrow" w:cs="Calibri"/>
                <w:color w:val="000000"/>
                <w:sz w:val="20"/>
                <w:szCs w:val="20"/>
              </w:rPr>
              <w:t>4 465</w:t>
            </w:r>
          </w:p>
        </w:tc>
      </w:tr>
      <w:tr w:rsidR="00BA7C7F" w:rsidRPr="00C57ABA" w14:paraId="3B5474DF" w14:textId="77777777" w:rsidTr="00B37935">
        <w:trPr>
          <w:trHeight w:val="592"/>
        </w:trPr>
        <w:tc>
          <w:tcPr>
            <w:tcW w:w="6249" w:type="dxa"/>
            <w:tcBorders>
              <w:top w:val="nil"/>
              <w:left w:val="single" w:sz="4" w:space="0" w:color="auto"/>
              <w:bottom w:val="single" w:sz="4" w:space="0" w:color="auto"/>
              <w:right w:val="single" w:sz="4" w:space="0" w:color="auto"/>
            </w:tcBorders>
            <w:shd w:val="clear" w:color="auto" w:fill="auto"/>
            <w:vAlign w:val="center"/>
            <w:hideMark/>
          </w:tcPr>
          <w:p w14:paraId="438A5295" w14:textId="77777777" w:rsidR="00BA7C7F" w:rsidRPr="00022A0B" w:rsidRDefault="00BA7C7F" w:rsidP="00BA7C7F">
            <w:pPr>
              <w:rPr>
                <w:rFonts w:ascii="Arial Narrow" w:hAnsi="Arial Narrow" w:cs="Calibri"/>
                <w:color w:val="000000"/>
                <w:sz w:val="20"/>
                <w:szCs w:val="20"/>
              </w:rPr>
            </w:pPr>
            <w:r w:rsidRPr="00022A0B">
              <w:rPr>
                <w:rFonts w:ascii="Arial Narrow" w:hAnsi="Arial Narrow" w:cs="Calibri"/>
                <w:color w:val="000000"/>
                <w:sz w:val="20"/>
                <w:szCs w:val="20"/>
              </w:rPr>
              <w:t xml:space="preserve">Обвързано с производството подпомагане на доходите за зеленчуци (домати, краставици, корнишони и патладжани) </w:t>
            </w:r>
          </w:p>
        </w:tc>
        <w:tc>
          <w:tcPr>
            <w:tcW w:w="1774" w:type="dxa"/>
            <w:tcBorders>
              <w:top w:val="nil"/>
              <w:left w:val="nil"/>
              <w:bottom w:val="single" w:sz="4" w:space="0" w:color="auto"/>
              <w:right w:val="single" w:sz="4" w:space="0" w:color="auto"/>
            </w:tcBorders>
            <w:shd w:val="clear" w:color="auto" w:fill="auto"/>
            <w:noWrap/>
            <w:vAlign w:val="center"/>
            <w:hideMark/>
          </w:tcPr>
          <w:p w14:paraId="2C8EF0ED" w14:textId="77777777" w:rsidR="00BA7C7F" w:rsidRPr="00022A0B" w:rsidRDefault="00BA7C7F" w:rsidP="00BA7C7F">
            <w:pPr>
              <w:jc w:val="right"/>
              <w:rPr>
                <w:rFonts w:ascii="Arial Narrow" w:hAnsi="Arial Narrow" w:cs="Calibri"/>
                <w:color w:val="000000"/>
                <w:sz w:val="20"/>
                <w:szCs w:val="20"/>
              </w:rPr>
            </w:pPr>
            <w:r w:rsidRPr="00022A0B">
              <w:rPr>
                <w:rFonts w:ascii="Arial Narrow" w:hAnsi="Arial Narrow" w:cs="Calibri"/>
                <w:color w:val="000000"/>
                <w:sz w:val="20"/>
                <w:szCs w:val="20"/>
              </w:rPr>
              <w:t>1 474</w:t>
            </w:r>
          </w:p>
        </w:tc>
        <w:tc>
          <w:tcPr>
            <w:tcW w:w="1774" w:type="dxa"/>
            <w:tcBorders>
              <w:top w:val="nil"/>
              <w:left w:val="nil"/>
              <w:bottom w:val="single" w:sz="4" w:space="0" w:color="auto"/>
              <w:right w:val="single" w:sz="4" w:space="0" w:color="auto"/>
            </w:tcBorders>
            <w:shd w:val="clear" w:color="auto" w:fill="auto"/>
            <w:noWrap/>
            <w:vAlign w:val="center"/>
            <w:hideMark/>
          </w:tcPr>
          <w:p w14:paraId="02BD82ED" w14:textId="77777777" w:rsidR="00BA7C7F" w:rsidRPr="00022A0B" w:rsidRDefault="00BA7C7F" w:rsidP="00BA7C7F">
            <w:pPr>
              <w:jc w:val="right"/>
              <w:rPr>
                <w:rFonts w:ascii="Arial Narrow" w:hAnsi="Arial Narrow" w:cs="Calibri"/>
                <w:color w:val="000000"/>
                <w:sz w:val="20"/>
                <w:szCs w:val="20"/>
              </w:rPr>
            </w:pPr>
            <w:r w:rsidRPr="00022A0B">
              <w:rPr>
                <w:rFonts w:ascii="Arial Narrow" w:hAnsi="Arial Narrow" w:cs="Calibri"/>
                <w:color w:val="000000"/>
                <w:sz w:val="20"/>
                <w:szCs w:val="20"/>
              </w:rPr>
              <w:t>3 026</w:t>
            </w:r>
          </w:p>
        </w:tc>
      </w:tr>
      <w:tr w:rsidR="00BA7C7F" w:rsidRPr="00C57ABA" w14:paraId="2FED2D61" w14:textId="77777777" w:rsidTr="00B37935">
        <w:trPr>
          <w:trHeight w:val="340"/>
        </w:trPr>
        <w:tc>
          <w:tcPr>
            <w:tcW w:w="6249" w:type="dxa"/>
            <w:tcBorders>
              <w:top w:val="nil"/>
              <w:left w:val="single" w:sz="4" w:space="0" w:color="auto"/>
              <w:bottom w:val="single" w:sz="4" w:space="0" w:color="auto"/>
              <w:right w:val="single" w:sz="4" w:space="0" w:color="auto"/>
            </w:tcBorders>
            <w:shd w:val="clear" w:color="auto" w:fill="auto"/>
            <w:vAlign w:val="center"/>
            <w:hideMark/>
          </w:tcPr>
          <w:p w14:paraId="32146063" w14:textId="77777777" w:rsidR="00BA7C7F" w:rsidRPr="00022A0B" w:rsidRDefault="00BA7C7F" w:rsidP="00BA7C7F">
            <w:pPr>
              <w:rPr>
                <w:rFonts w:ascii="Arial Narrow" w:hAnsi="Arial Narrow" w:cs="Calibri"/>
                <w:color w:val="000000"/>
                <w:sz w:val="20"/>
                <w:szCs w:val="20"/>
              </w:rPr>
            </w:pPr>
            <w:r w:rsidRPr="00022A0B">
              <w:rPr>
                <w:rFonts w:ascii="Arial Narrow" w:hAnsi="Arial Narrow" w:cs="Calibri"/>
                <w:color w:val="000000"/>
                <w:sz w:val="20"/>
                <w:szCs w:val="20"/>
              </w:rPr>
              <w:t xml:space="preserve">Обвързано производството подпомагане на доходите за зеленчуци (пипер) </w:t>
            </w:r>
          </w:p>
        </w:tc>
        <w:tc>
          <w:tcPr>
            <w:tcW w:w="1774" w:type="dxa"/>
            <w:tcBorders>
              <w:top w:val="nil"/>
              <w:left w:val="nil"/>
              <w:bottom w:val="single" w:sz="4" w:space="0" w:color="auto"/>
              <w:right w:val="single" w:sz="4" w:space="0" w:color="auto"/>
            </w:tcBorders>
            <w:shd w:val="clear" w:color="auto" w:fill="auto"/>
            <w:noWrap/>
            <w:vAlign w:val="center"/>
            <w:hideMark/>
          </w:tcPr>
          <w:p w14:paraId="52C28A7C" w14:textId="77777777" w:rsidR="00BA7C7F" w:rsidRPr="00022A0B" w:rsidRDefault="00BA7C7F" w:rsidP="00BA7C7F">
            <w:pPr>
              <w:jc w:val="right"/>
              <w:rPr>
                <w:rFonts w:ascii="Arial Narrow" w:hAnsi="Arial Narrow" w:cs="Calibri"/>
                <w:color w:val="000000"/>
                <w:sz w:val="20"/>
                <w:szCs w:val="20"/>
              </w:rPr>
            </w:pPr>
            <w:r w:rsidRPr="00022A0B">
              <w:rPr>
                <w:rFonts w:ascii="Arial Narrow" w:hAnsi="Arial Narrow" w:cs="Calibri"/>
                <w:color w:val="000000"/>
                <w:sz w:val="20"/>
                <w:szCs w:val="20"/>
              </w:rPr>
              <w:t>960</w:t>
            </w:r>
          </w:p>
        </w:tc>
        <w:tc>
          <w:tcPr>
            <w:tcW w:w="1774" w:type="dxa"/>
            <w:tcBorders>
              <w:top w:val="nil"/>
              <w:left w:val="nil"/>
              <w:bottom w:val="single" w:sz="4" w:space="0" w:color="auto"/>
              <w:right w:val="single" w:sz="4" w:space="0" w:color="auto"/>
            </w:tcBorders>
            <w:shd w:val="clear" w:color="auto" w:fill="auto"/>
            <w:noWrap/>
            <w:vAlign w:val="center"/>
            <w:hideMark/>
          </w:tcPr>
          <w:p w14:paraId="0C478CB2" w14:textId="77777777" w:rsidR="00BA7C7F" w:rsidRPr="00022A0B" w:rsidRDefault="00BA7C7F" w:rsidP="00BA7C7F">
            <w:pPr>
              <w:jc w:val="right"/>
              <w:rPr>
                <w:rFonts w:ascii="Arial Narrow" w:hAnsi="Arial Narrow" w:cs="Calibri"/>
                <w:color w:val="000000"/>
                <w:sz w:val="20"/>
                <w:szCs w:val="20"/>
              </w:rPr>
            </w:pPr>
            <w:r w:rsidRPr="00022A0B">
              <w:rPr>
                <w:rFonts w:ascii="Arial Narrow" w:hAnsi="Arial Narrow" w:cs="Calibri"/>
                <w:color w:val="000000"/>
                <w:sz w:val="20"/>
                <w:szCs w:val="20"/>
              </w:rPr>
              <w:t>2 071</w:t>
            </w:r>
          </w:p>
        </w:tc>
      </w:tr>
      <w:tr w:rsidR="00BA7C7F" w:rsidRPr="00C57ABA" w14:paraId="10EF2866" w14:textId="77777777" w:rsidTr="00B37935">
        <w:trPr>
          <w:trHeight w:val="580"/>
        </w:trPr>
        <w:tc>
          <w:tcPr>
            <w:tcW w:w="6249" w:type="dxa"/>
            <w:tcBorders>
              <w:top w:val="nil"/>
              <w:left w:val="single" w:sz="4" w:space="0" w:color="auto"/>
              <w:bottom w:val="single" w:sz="4" w:space="0" w:color="auto"/>
              <w:right w:val="single" w:sz="4" w:space="0" w:color="auto"/>
            </w:tcBorders>
            <w:shd w:val="clear" w:color="auto" w:fill="auto"/>
            <w:vAlign w:val="center"/>
            <w:hideMark/>
          </w:tcPr>
          <w:p w14:paraId="38F2BC3A" w14:textId="77777777" w:rsidR="00BA7C7F" w:rsidRPr="00022A0B" w:rsidRDefault="00BA7C7F" w:rsidP="00BA7C7F">
            <w:pPr>
              <w:rPr>
                <w:rFonts w:ascii="Arial Narrow" w:hAnsi="Arial Narrow" w:cs="Calibri"/>
                <w:color w:val="000000"/>
                <w:sz w:val="20"/>
                <w:szCs w:val="20"/>
              </w:rPr>
            </w:pPr>
            <w:r w:rsidRPr="00022A0B">
              <w:rPr>
                <w:rFonts w:ascii="Arial Narrow" w:hAnsi="Arial Narrow" w:cs="Calibri"/>
                <w:color w:val="000000"/>
                <w:sz w:val="20"/>
                <w:szCs w:val="20"/>
              </w:rPr>
              <w:t xml:space="preserve">Обвързано с производството подпомагане на доходите за зеленчуци (моркови, зеле, дини и пъпеши) </w:t>
            </w:r>
          </w:p>
        </w:tc>
        <w:tc>
          <w:tcPr>
            <w:tcW w:w="1774" w:type="dxa"/>
            <w:tcBorders>
              <w:top w:val="nil"/>
              <w:left w:val="nil"/>
              <w:bottom w:val="single" w:sz="4" w:space="0" w:color="auto"/>
              <w:right w:val="single" w:sz="4" w:space="0" w:color="auto"/>
            </w:tcBorders>
            <w:shd w:val="clear" w:color="auto" w:fill="auto"/>
            <w:noWrap/>
            <w:vAlign w:val="center"/>
            <w:hideMark/>
          </w:tcPr>
          <w:p w14:paraId="532BDCAE" w14:textId="77777777" w:rsidR="00BA7C7F" w:rsidRPr="00022A0B" w:rsidRDefault="00BA7C7F" w:rsidP="00BA7C7F">
            <w:pPr>
              <w:jc w:val="right"/>
              <w:rPr>
                <w:rFonts w:ascii="Arial Narrow" w:hAnsi="Arial Narrow" w:cs="Calibri"/>
                <w:color w:val="000000"/>
                <w:sz w:val="20"/>
                <w:szCs w:val="20"/>
              </w:rPr>
            </w:pPr>
            <w:r w:rsidRPr="00022A0B">
              <w:rPr>
                <w:rFonts w:ascii="Arial Narrow" w:hAnsi="Arial Narrow" w:cs="Calibri"/>
                <w:color w:val="000000"/>
                <w:sz w:val="20"/>
                <w:szCs w:val="20"/>
              </w:rPr>
              <w:t>3 222</w:t>
            </w:r>
          </w:p>
        </w:tc>
        <w:tc>
          <w:tcPr>
            <w:tcW w:w="1774" w:type="dxa"/>
            <w:tcBorders>
              <w:top w:val="nil"/>
              <w:left w:val="nil"/>
              <w:bottom w:val="single" w:sz="4" w:space="0" w:color="auto"/>
              <w:right w:val="single" w:sz="4" w:space="0" w:color="auto"/>
            </w:tcBorders>
            <w:shd w:val="clear" w:color="auto" w:fill="auto"/>
            <w:noWrap/>
            <w:vAlign w:val="center"/>
            <w:hideMark/>
          </w:tcPr>
          <w:p w14:paraId="54BDD05B" w14:textId="77777777" w:rsidR="00BA7C7F" w:rsidRPr="00022A0B" w:rsidRDefault="00BA7C7F" w:rsidP="00BA7C7F">
            <w:pPr>
              <w:jc w:val="right"/>
              <w:rPr>
                <w:rFonts w:ascii="Arial Narrow" w:hAnsi="Arial Narrow" w:cs="Calibri"/>
                <w:color w:val="000000"/>
                <w:sz w:val="20"/>
                <w:szCs w:val="20"/>
              </w:rPr>
            </w:pPr>
            <w:r w:rsidRPr="00022A0B">
              <w:rPr>
                <w:rFonts w:ascii="Arial Narrow" w:hAnsi="Arial Narrow" w:cs="Calibri"/>
                <w:color w:val="000000"/>
                <w:sz w:val="20"/>
                <w:szCs w:val="20"/>
              </w:rPr>
              <w:t>11 001</w:t>
            </w:r>
          </w:p>
        </w:tc>
      </w:tr>
      <w:tr w:rsidR="00BA7C7F" w:rsidRPr="00C57ABA" w14:paraId="420320E5" w14:textId="77777777" w:rsidTr="00B37935">
        <w:trPr>
          <w:trHeight w:val="534"/>
        </w:trPr>
        <w:tc>
          <w:tcPr>
            <w:tcW w:w="6249" w:type="dxa"/>
            <w:tcBorders>
              <w:top w:val="nil"/>
              <w:left w:val="single" w:sz="4" w:space="0" w:color="auto"/>
              <w:bottom w:val="single" w:sz="4" w:space="0" w:color="auto"/>
              <w:right w:val="single" w:sz="4" w:space="0" w:color="auto"/>
            </w:tcBorders>
            <w:shd w:val="clear" w:color="auto" w:fill="auto"/>
            <w:vAlign w:val="center"/>
            <w:hideMark/>
          </w:tcPr>
          <w:p w14:paraId="41ED95C4" w14:textId="77777777" w:rsidR="00BA7C7F" w:rsidRPr="00022A0B" w:rsidRDefault="00BA7C7F" w:rsidP="00BA7C7F">
            <w:pPr>
              <w:rPr>
                <w:rFonts w:ascii="Arial Narrow" w:hAnsi="Arial Narrow" w:cs="Calibri"/>
                <w:color w:val="000000"/>
                <w:sz w:val="20"/>
                <w:szCs w:val="20"/>
              </w:rPr>
            </w:pPr>
            <w:r w:rsidRPr="00022A0B">
              <w:rPr>
                <w:rFonts w:ascii="Arial Narrow" w:hAnsi="Arial Narrow" w:cs="Calibri"/>
                <w:color w:val="000000"/>
                <w:sz w:val="20"/>
                <w:szCs w:val="20"/>
              </w:rPr>
              <w:t>Обвързано с производството подпомагане на доходите за зеленчуци (лук и чесън)</w:t>
            </w:r>
          </w:p>
        </w:tc>
        <w:tc>
          <w:tcPr>
            <w:tcW w:w="1774" w:type="dxa"/>
            <w:tcBorders>
              <w:top w:val="nil"/>
              <w:left w:val="nil"/>
              <w:bottom w:val="single" w:sz="4" w:space="0" w:color="auto"/>
              <w:right w:val="single" w:sz="4" w:space="0" w:color="auto"/>
            </w:tcBorders>
            <w:shd w:val="clear" w:color="auto" w:fill="auto"/>
            <w:noWrap/>
            <w:vAlign w:val="center"/>
            <w:hideMark/>
          </w:tcPr>
          <w:p w14:paraId="52974955" w14:textId="77777777" w:rsidR="00BA7C7F" w:rsidRPr="00022A0B" w:rsidRDefault="00BA7C7F" w:rsidP="00BA7C7F">
            <w:pPr>
              <w:jc w:val="right"/>
              <w:rPr>
                <w:rFonts w:ascii="Arial Narrow" w:hAnsi="Arial Narrow" w:cs="Calibri"/>
                <w:color w:val="000000"/>
                <w:sz w:val="20"/>
                <w:szCs w:val="20"/>
              </w:rPr>
            </w:pPr>
            <w:r w:rsidRPr="00022A0B">
              <w:rPr>
                <w:rFonts w:ascii="Arial Narrow" w:hAnsi="Arial Narrow" w:cs="Calibri"/>
                <w:color w:val="000000"/>
                <w:sz w:val="20"/>
                <w:szCs w:val="20"/>
              </w:rPr>
              <w:t>656</w:t>
            </w:r>
          </w:p>
        </w:tc>
        <w:tc>
          <w:tcPr>
            <w:tcW w:w="1774" w:type="dxa"/>
            <w:tcBorders>
              <w:top w:val="nil"/>
              <w:left w:val="nil"/>
              <w:bottom w:val="single" w:sz="4" w:space="0" w:color="auto"/>
              <w:right w:val="single" w:sz="4" w:space="0" w:color="auto"/>
            </w:tcBorders>
            <w:shd w:val="clear" w:color="auto" w:fill="auto"/>
            <w:noWrap/>
            <w:vAlign w:val="center"/>
            <w:hideMark/>
          </w:tcPr>
          <w:p w14:paraId="10E52683" w14:textId="77777777" w:rsidR="00BA7C7F" w:rsidRPr="00022A0B" w:rsidRDefault="00BA7C7F" w:rsidP="00BA7C7F">
            <w:pPr>
              <w:jc w:val="right"/>
              <w:rPr>
                <w:rFonts w:ascii="Arial Narrow" w:hAnsi="Arial Narrow" w:cs="Calibri"/>
                <w:color w:val="000000"/>
                <w:sz w:val="20"/>
                <w:szCs w:val="20"/>
              </w:rPr>
            </w:pPr>
            <w:r w:rsidRPr="00022A0B">
              <w:rPr>
                <w:rFonts w:ascii="Arial Narrow" w:hAnsi="Arial Narrow" w:cs="Calibri"/>
                <w:color w:val="000000"/>
                <w:sz w:val="20"/>
                <w:szCs w:val="20"/>
              </w:rPr>
              <w:t>3 347</w:t>
            </w:r>
          </w:p>
        </w:tc>
      </w:tr>
      <w:tr w:rsidR="00BA7C7F" w:rsidRPr="00C57ABA" w14:paraId="0A6760F4" w14:textId="77777777" w:rsidTr="00B37935">
        <w:trPr>
          <w:trHeight w:val="542"/>
        </w:trPr>
        <w:tc>
          <w:tcPr>
            <w:tcW w:w="6249" w:type="dxa"/>
            <w:tcBorders>
              <w:top w:val="nil"/>
              <w:left w:val="single" w:sz="4" w:space="0" w:color="auto"/>
              <w:bottom w:val="single" w:sz="4" w:space="0" w:color="auto"/>
              <w:right w:val="single" w:sz="4" w:space="0" w:color="auto"/>
            </w:tcBorders>
            <w:shd w:val="clear" w:color="auto" w:fill="auto"/>
            <w:vAlign w:val="center"/>
            <w:hideMark/>
          </w:tcPr>
          <w:p w14:paraId="0D11B89A" w14:textId="77777777" w:rsidR="00BA7C7F" w:rsidRPr="00022A0B" w:rsidRDefault="00BA7C7F" w:rsidP="00BA7C7F">
            <w:pPr>
              <w:rPr>
                <w:rFonts w:ascii="Arial Narrow" w:hAnsi="Arial Narrow" w:cs="Calibri"/>
                <w:color w:val="000000"/>
                <w:sz w:val="20"/>
                <w:szCs w:val="20"/>
              </w:rPr>
            </w:pPr>
            <w:r w:rsidRPr="00022A0B">
              <w:rPr>
                <w:rFonts w:ascii="Arial Narrow" w:hAnsi="Arial Narrow" w:cs="Calibri"/>
                <w:color w:val="000000"/>
                <w:sz w:val="20"/>
                <w:szCs w:val="20"/>
              </w:rPr>
              <w:t xml:space="preserve">Обвързано с производството подпомагане на доходите за оранжерийно производство </w:t>
            </w:r>
          </w:p>
        </w:tc>
        <w:tc>
          <w:tcPr>
            <w:tcW w:w="1774" w:type="dxa"/>
            <w:tcBorders>
              <w:top w:val="nil"/>
              <w:left w:val="nil"/>
              <w:bottom w:val="single" w:sz="4" w:space="0" w:color="auto"/>
              <w:right w:val="single" w:sz="4" w:space="0" w:color="auto"/>
            </w:tcBorders>
            <w:shd w:val="clear" w:color="auto" w:fill="auto"/>
            <w:noWrap/>
            <w:vAlign w:val="center"/>
            <w:hideMark/>
          </w:tcPr>
          <w:p w14:paraId="7BE3A364" w14:textId="77777777" w:rsidR="00BA7C7F" w:rsidRPr="00022A0B" w:rsidRDefault="00BA7C7F" w:rsidP="00BA7C7F">
            <w:pPr>
              <w:jc w:val="right"/>
              <w:rPr>
                <w:rFonts w:ascii="Arial Narrow" w:hAnsi="Arial Narrow" w:cs="Calibri"/>
                <w:color w:val="000000"/>
                <w:sz w:val="20"/>
                <w:szCs w:val="20"/>
              </w:rPr>
            </w:pPr>
            <w:r w:rsidRPr="00022A0B">
              <w:rPr>
                <w:rFonts w:ascii="Arial Narrow" w:hAnsi="Arial Narrow" w:cs="Calibri"/>
                <w:color w:val="000000"/>
                <w:sz w:val="20"/>
                <w:szCs w:val="20"/>
              </w:rPr>
              <w:t>1 269</w:t>
            </w:r>
          </w:p>
        </w:tc>
        <w:tc>
          <w:tcPr>
            <w:tcW w:w="1774" w:type="dxa"/>
            <w:tcBorders>
              <w:top w:val="nil"/>
              <w:left w:val="nil"/>
              <w:bottom w:val="single" w:sz="4" w:space="0" w:color="auto"/>
              <w:right w:val="single" w:sz="4" w:space="0" w:color="auto"/>
            </w:tcBorders>
            <w:shd w:val="clear" w:color="auto" w:fill="auto"/>
            <w:noWrap/>
            <w:vAlign w:val="center"/>
            <w:hideMark/>
          </w:tcPr>
          <w:p w14:paraId="67001D0D" w14:textId="77777777" w:rsidR="00BA7C7F" w:rsidRPr="00022A0B" w:rsidRDefault="00BA7C7F" w:rsidP="00BA7C7F">
            <w:pPr>
              <w:jc w:val="right"/>
              <w:rPr>
                <w:rFonts w:ascii="Arial Narrow" w:hAnsi="Arial Narrow" w:cs="Calibri"/>
                <w:color w:val="000000"/>
                <w:sz w:val="20"/>
                <w:szCs w:val="20"/>
              </w:rPr>
            </w:pPr>
            <w:r w:rsidRPr="00022A0B">
              <w:rPr>
                <w:rFonts w:ascii="Arial Narrow" w:hAnsi="Arial Narrow" w:cs="Calibri"/>
                <w:color w:val="000000"/>
                <w:sz w:val="20"/>
                <w:szCs w:val="20"/>
              </w:rPr>
              <w:t>938</w:t>
            </w:r>
          </w:p>
        </w:tc>
      </w:tr>
      <w:tr w:rsidR="00BA7C7F" w:rsidRPr="00C57ABA" w14:paraId="1B9DF95A" w14:textId="77777777" w:rsidTr="00B37935">
        <w:trPr>
          <w:trHeight w:val="536"/>
        </w:trPr>
        <w:tc>
          <w:tcPr>
            <w:tcW w:w="6249" w:type="dxa"/>
            <w:tcBorders>
              <w:top w:val="nil"/>
              <w:left w:val="single" w:sz="4" w:space="0" w:color="auto"/>
              <w:bottom w:val="single" w:sz="4" w:space="0" w:color="auto"/>
              <w:right w:val="single" w:sz="4" w:space="0" w:color="auto"/>
            </w:tcBorders>
            <w:shd w:val="clear" w:color="auto" w:fill="auto"/>
            <w:vAlign w:val="center"/>
            <w:hideMark/>
          </w:tcPr>
          <w:p w14:paraId="3AFF3354" w14:textId="77777777" w:rsidR="00BA7C7F" w:rsidRPr="00022A0B" w:rsidRDefault="00BA7C7F" w:rsidP="00BA7C7F">
            <w:pPr>
              <w:rPr>
                <w:rFonts w:ascii="Arial Narrow" w:hAnsi="Arial Narrow" w:cs="Calibri"/>
                <w:color w:val="000000"/>
                <w:sz w:val="20"/>
                <w:szCs w:val="20"/>
              </w:rPr>
            </w:pPr>
            <w:r w:rsidRPr="00022A0B">
              <w:rPr>
                <w:rFonts w:ascii="Arial Narrow" w:hAnsi="Arial Narrow" w:cs="Calibri"/>
                <w:color w:val="000000"/>
                <w:sz w:val="20"/>
                <w:szCs w:val="20"/>
              </w:rPr>
              <w:t xml:space="preserve">Обвързано производството подпомагане на доходите за плодове и зеленчуци в планинските райони </w:t>
            </w:r>
          </w:p>
        </w:tc>
        <w:tc>
          <w:tcPr>
            <w:tcW w:w="1774" w:type="dxa"/>
            <w:tcBorders>
              <w:top w:val="nil"/>
              <w:left w:val="nil"/>
              <w:bottom w:val="single" w:sz="4" w:space="0" w:color="auto"/>
              <w:right w:val="single" w:sz="4" w:space="0" w:color="auto"/>
            </w:tcBorders>
            <w:shd w:val="clear" w:color="auto" w:fill="auto"/>
            <w:noWrap/>
            <w:vAlign w:val="center"/>
            <w:hideMark/>
          </w:tcPr>
          <w:p w14:paraId="6B60EA51" w14:textId="77777777" w:rsidR="00BA7C7F" w:rsidRPr="00022A0B" w:rsidRDefault="00BA7C7F" w:rsidP="00BA7C7F">
            <w:pPr>
              <w:jc w:val="right"/>
              <w:rPr>
                <w:rFonts w:ascii="Arial Narrow" w:hAnsi="Arial Narrow" w:cs="Calibri"/>
                <w:color w:val="000000"/>
                <w:sz w:val="20"/>
                <w:szCs w:val="20"/>
              </w:rPr>
            </w:pPr>
            <w:r w:rsidRPr="00022A0B">
              <w:rPr>
                <w:rFonts w:ascii="Arial Narrow" w:hAnsi="Arial Narrow" w:cs="Calibri"/>
                <w:color w:val="000000"/>
                <w:sz w:val="20"/>
                <w:szCs w:val="20"/>
              </w:rPr>
              <w:t>170</w:t>
            </w:r>
          </w:p>
        </w:tc>
        <w:tc>
          <w:tcPr>
            <w:tcW w:w="1774" w:type="dxa"/>
            <w:tcBorders>
              <w:top w:val="nil"/>
              <w:left w:val="nil"/>
              <w:bottom w:val="single" w:sz="4" w:space="0" w:color="auto"/>
              <w:right w:val="single" w:sz="4" w:space="0" w:color="auto"/>
            </w:tcBorders>
            <w:shd w:val="clear" w:color="auto" w:fill="auto"/>
            <w:noWrap/>
            <w:vAlign w:val="center"/>
            <w:hideMark/>
          </w:tcPr>
          <w:p w14:paraId="000A063D" w14:textId="77777777" w:rsidR="00BA7C7F" w:rsidRPr="00022A0B" w:rsidRDefault="00BA7C7F" w:rsidP="00BA7C7F">
            <w:pPr>
              <w:jc w:val="right"/>
              <w:rPr>
                <w:rFonts w:ascii="Arial Narrow" w:hAnsi="Arial Narrow" w:cs="Calibri"/>
                <w:color w:val="000000"/>
                <w:sz w:val="20"/>
                <w:szCs w:val="20"/>
              </w:rPr>
            </w:pPr>
            <w:r w:rsidRPr="00022A0B">
              <w:rPr>
                <w:rFonts w:ascii="Arial Narrow" w:hAnsi="Arial Narrow" w:cs="Calibri"/>
                <w:color w:val="000000"/>
                <w:sz w:val="20"/>
                <w:szCs w:val="20"/>
              </w:rPr>
              <w:t>178</w:t>
            </w:r>
          </w:p>
        </w:tc>
      </w:tr>
      <w:tr w:rsidR="00BA7C7F" w:rsidRPr="00C57ABA" w14:paraId="3580CD82" w14:textId="77777777" w:rsidTr="00B37935">
        <w:trPr>
          <w:trHeight w:val="654"/>
        </w:trPr>
        <w:tc>
          <w:tcPr>
            <w:tcW w:w="6249" w:type="dxa"/>
            <w:tcBorders>
              <w:top w:val="nil"/>
              <w:left w:val="single" w:sz="4" w:space="0" w:color="auto"/>
              <w:bottom w:val="single" w:sz="4" w:space="0" w:color="auto"/>
              <w:right w:val="single" w:sz="4" w:space="0" w:color="auto"/>
            </w:tcBorders>
            <w:shd w:val="clear" w:color="auto" w:fill="auto"/>
            <w:vAlign w:val="center"/>
            <w:hideMark/>
          </w:tcPr>
          <w:p w14:paraId="1673A51A" w14:textId="77777777" w:rsidR="00BA7C7F" w:rsidRPr="00022A0B" w:rsidRDefault="00BA7C7F" w:rsidP="00BA7C7F">
            <w:pPr>
              <w:rPr>
                <w:rFonts w:ascii="Arial Narrow" w:hAnsi="Arial Narrow" w:cs="Calibri"/>
                <w:color w:val="000000"/>
                <w:sz w:val="20"/>
                <w:szCs w:val="20"/>
              </w:rPr>
            </w:pPr>
            <w:r w:rsidRPr="00022A0B">
              <w:rPr>
                <w:rFonts w:ascii="Arial Narrow" w:hAnsi="Arial Narrow" w:cs="Calibri"/>
                <w:color w:val="000000"/>
                <w:sz w:val="20"/>
                <w:szCs w:val="20"/>
              </w:rPr>
              <w:t>Обвързано с производството подпомагане на доходите за протеинови култури</w:t>
            </w:r>
          </w:p>
        </w:tc>
        <w:tc>
          <w:tcPr>
            <w:tcW w:w="1774" w:type="dxa"/>
            <w:tcBorders>
              <w:top w:val="nil"/>
              <w:left w:val="nil"/>
              <w:bottom w:val="single" w:sz="4" w:space="0" w:color="auto"/>
              <w:right w:val="single" w:sz="4" w:space="0" w:color="auto"/>
            </w:tcBorders>
            <w:shd w:val="clear" w:color="auto" w:fill="auto"/>
            <w:noWrap/>
            <w:vAlign w:val="center"/>
            <w:hideMark/>
          </w:tcPr>
          <w:p w14:paraId="6D91886C" w14:textId="77777777" w:rsidR="00BA7C7F" w:rsidRPr="00022A0B" w:rsidRDefault="00BA7C7F" w:rsidP="00BA7C7F">
            <w:pPr>
              <w:jc w:val="right"/>
              <w:rPr>
                <w:rFonts w:ascii="Arial Narrow" w:hAnsi="Arial Narrow" w:cs="Calibri"/>
                <w:color w:val="000000"/>
                <w:sz w:val="20"/>
                <w:szCs w:val="20"/>
              </w:rPr>
            </w:pPr>
            <w:r w:rsidRPr="00022A0B">
              <w:rPr>
                <w:rFonts w:ascii="Arial Narrow" w:hAnsi="Arial Narrow" w:cs="Calibri"/>
                <w:color w:val="000000"/>
                <w:sz w:val="20"/>
                <w:szCs w:val="20"/>
              </w:rPr>
              <w:t>13 632</w:t>
            </w:r>
          </w:p>
        </w:tc>
        <w:tc>
          <w:tcPr>
            <w:tcW w:w="1774" w:type="dxa"/>
            <w:tcBorders>
              <w:top w:val="nil"/>
              <w:left w:val="nil"/>
              <w:bottom w:val="single" w:sz="4" w:space="0" w:color="auto"/>
              <w:right w:val="single" w:sz="4" w:space="0" w:color="auto"/>
            </w:tcBorders>
            <w:shd w:val="clear" w:color="auto" w:fill="auto"/>
            <w:noWrap/>
            <w:vAlign w:val="center"/>
            <w:hideMark/>
          </w:tcPr>
          <w:p w14:paraId="032B76FF" w14:textId="77777777" w:rsidR="00BA7C7F" w:rsidRPr="00022A0B" w:rsidRDefault="00BA7C7F" w:rsidP="00BA7C7F">
            <w:pPr>
              <w:jc w:val="right"/>
              <w:rPr>
                <w:rFonts w:ascii="Arial Narrow" w:hAnsi="Arial Narrow" w:cs="Calibri"/>
                <w:color w:val="000000"/>
                <w:sz w:val="20"/>
                <w:szCs w:val="20"/>
              </w:rPr>
            </w:pPr>
            <w:r w:rsidRPr="00022A0B">
              <w:rPr>
                <w:rFonts w:ascii="Arial Narrow" w:hAnsi="Arial Narrow" w:cs="Calibri"/>
                <w:color w:val="000000"/>
                <w:sz w:val="20"/>
                <w:szCs w:val="20"/>
              </w:rPr>
              <w:t>124 622</w:t>
            </w:r>
          </w:p>
        </w:tc>
      </w:tr>
      <w:tr w:rsidR="00BA7C7F" w:rsidRPr="00C57ABA" w14:paraId="04C8E861" w14:textId="77777777" w:rsidTr="00B37935">
        <w:trPr>
          <w:trHeight w:val="533"/>
        </w:trPr>
        <w:tc>
          <w:tcPr>
            <w:tcW w:w="6249" w:type="dxa"/>
            <w:tcBorders>
              <w:top w:val="nil"/>
              <w:left w:val="single" w:sz="4" w:space="0" w:color="auto"/>
              <w:bottom w:val="single" w:sz="4" w:space="0" w:color="auto"/>
              <w:right w:val="single" w:sz="4" w:space="0" w:color="auto"/>
            </w:tcBorders>
            <w:shd w:val="clear" w:color="auto" w:fill="auto"/>
            <w:vAlign w:val="center"/>
            <w:hideMark/>
          </w:tcPr>
          <w:p w14:paraId="2958C8E6" w14:textId="77777777" w:rsidR="00BA7C7F" w:rsidRPr="00022A0B" w:rsidRDefault="00BA7C7F" w:rsidP="00BA7C7F">
            <w:pPr>
              <w:rPr>
                <w:rFonts w:ascii="Arial Narrow" w:hAnsi="Arial Narrow" w:cs="Calibri"/>
                <w:color w:val="000000"/>
                <w:sz w:val="20"/>
                <w:szCs w:val="20"/>
              </w:rPr>
            </w:pPr>
            <w:r w:rsidRPr="00022A0B">
              <w:rPr>
                <w:rFonts w:ascii="Arial Narrow" w:hAnsi="Arial Narrow" w:cs="Calibri"/>
                <w:color w:val="000000"/>
                <w:sz w:val="20"/>
                <w:szCs w:val="20"/>
              </w:rPr>
              <w:t>Обвързано с производството подпомагане на доходите за производство на семена от картофи</w:t>
            </w:r>
          </w:p>
        </w:tc>
        <w:tc>
          <w:tcPr>
            <w:tcW w:w="1774" w:type="dxa"/>
            <w:tcBorders>
              <w:top w:val="nil"/>
              <w:left w:val="nil"/>
              <w:bottom w:val="single" w:sz="4" w:space="0" w:color="auto"/>
              <w:right w:val="single" w:sz="4" w:space="0" w:color="auto"/>
            </w:tcBorders>
            <w:shd w:val="clear" w:color="auto" w:fill="auto"/>
            <w:noWrap/>
            <w:vAlign w:val="center"/>
            <w:hideMark/>
          </w:tcPr>
          <w:p w14:paraId="4E1FF3C6" w14:textId="77777777" w:rsidR="00BA7C7F" w:rsidRPr="00022A0B" w:rsidRDefault="00BA7C7F" w:rsidP="00BA7C7F">
            <w:pPr>
              <w:jc w:val="right"/>
              <w:rPr>
                <w:rFonts w:ascii="Arial Narrow" w:hAnsi="Arial Narrow" w:cs="Calibri"/>
                <w:color w:val="000000"/>
                <w:sz w:val="20"/>
                <w:szCs w:val="20"/>
              </w:rPr>
            </w:pPr>
            <w:r w:rsidRPr="00022A0B">
              <w:rPr>
                <w:rFonts w:ascii="Arial Narrow" w:hAnsi="Arial Narrow" w:cs="Calibri"/>
                <w:color w:val="000000"/>
                <w:sz w:val="20"/>
                <w:szCs w:val="20"/>
              </w:rPr>
              <w:t>104</w:t>
            </w:r>
          </w:p>
        </w:tc>
        <w:tc>
          <w:tcPr>
            <w:tcW w:w="1774" w:type="dxa"/>
            <w:tcBorders>
              <w:top w:val="nil"/>
              <w:left w:val="nil"/>
              <w:bottom w:val="single" w:sz="4" w:space="0" w:color="auto"/>
              <w:right w:val="single" w:sz="4" w:space="0" w:color="auto"/>
            </w:tcBorders>
            <w:shd w:val="clear" w:color="auto" w:fill="auto"/>
            <w:noWrap/>
            <w:vAlign w:val="center"/>
            <w:hideMark/>
          </w:tcPr>
          <w:p w14:paraId="3AD7D310" w14:textId="77777777" w:rsidR="00BA7C7F" w:rsidRPr="00022A0B" w:rsidRDefault="00BA7C7F" w:rsidP="00BA7C7F">
            <w:pPr>
              <w:jc w:val="right"/>
              <w:rPr>
                <w:rFonts w:ascii="Arial Narrow" w:hAnsi="Arial Narrow" w:cs="Calibri"/>
                <w:color w:val="000000"/>
                <w:sz w:val="20"/>
                <w:szCs w:val="20"/>
              </w:rPr>
            </w:pPr>
            <w:r w:rsidRPr="00022A0B">
              <w:rPr>
                <w:rFonts w:ascii="Arial Narrow" w:hAnsi="Arial Narrow" w:cs="Calibri"/>
                <w:color w:val="000000"/>
                <w:sz w:val="20"/>
                <w:szCs w:val="20"/>
              </w:rPr>
              <w:t>1 270</w:t>
            </w:r>
          </w:p>
        </w:tc>
      </w:tr>
      <w:tr w:rsidR="00BA7C7F" w:rsidRPr="00C57ABA" w14:paraId="45F92786" w14:textId="77777777" w:rsidTr="00B37935">
        <w:trPr>
          <w:trHeight w:val="340"/>
        </w:trPr>
        <w:tc>
          <w:tcPr>
            <w:tcW w:w="6249" w:type="dxa"/>
            <w:tcBorders>
              <w:top w:val="nil"/>
              <w:left w:val="single" w:sz="4" w:space="0" w:color="auto"/>
              <w:bottom w:val="single" w:sz="4" w:space="0" w:color="auto"/>
              <w:right w:val="single" w:sz="4" w:space="0" w:color="auto"/>
            </w:tcBorders>
            <w:shd w:val="clear" w:color="auto" w:fill="auto"/>
            <w:vAlign w:val="center"/>
            <w:hideMark/>
          </w:tcPr>
          <w:p w14:paraId="2A87835E" w14:textId="77777777" w:rsidR="00BA7C7F" w:rsidRPr="00022A0B" w:rsidRDefault="00BA7C7F" w:rsidP="00BA7C7F">
            <w:pPr>
              <w:rPr>
                <w:rFonts w:ascii="Arial Narrow" w:hAnsi="Arial Narrow" w:cs="Calibri"/>
                <w:color w:val="000000"/>
                <w:sz w:val="20"/>
                <w:szCs w:val="20"/>
              </w:rPr>
            </w:pPr>
            <w:r w:rsidRPr="00022A0B">
              <w:rPr>
                <w:rFonts w:ascii="Arial Narrow" w:hAnsi="Arial Narrow" w:cs="Calibri"/>
                <w:color w:val="000000"/>
                <w:sz w:val="20"/>
                <w:szCs w:val="20"/>
              </w:rPr>
              <w:t>Преходна национална помощ за говеда, необвързана с производство</w:t>
            </w:r>
          </w:p>
        </w:tc>
        <w:tc>
          <w:tcPr>
            <w:tcW w:w="1774" w:type="dxa"/>
            <w:tcBorders>
              <w:top w:val="nil"/>
              <w:left w:val="nil"/>
              <w:bottom w:val="single" w:sz="4" w:space="0" w:color="auto"/>
              <w:right w:val="single" w:sz="4" w:space="0" w:color="auto"/>
            </w:tcBorders>
            <w:shd w:val="clear" w:color="auto" w:fill="auto"/>
            <w:noWrap/>
            <w:vAlign w:val="center"/>
            <w:hideMark/>
          </w:tcPr>
          <w:p w14:paraId="2BC7747B" w14:textId="77777777" w:rsidR="00BA7C7F" w:rsidRPr="00022A0B" w:rsidRDefault="00BA7C7F" w:rsidP="00BA7C7F">
            <w:pPr>
              <w:jc w:val="right"/>
              <w:rPr>
                <w:rFonts w:ascii="Arial Narrow" w:hAnsi="Arial Narrow" w:cs="Calibri"/>
                <w:color w:val="000000"/>
                <w:sz w:val="20"/>
                <w:szCs w:val="20"/>
              </w:rPr>
            </w:pPr>
            <w:r w:rsidRPr="00022A0B">
              <w:rPr>
                <w:rFonts w:ascii="Arial Narrow" w:hAnsi="Arial Narrow" w:cs="Calibri"/>
                <w:color w:val="000000"/>
                <w:sz w:val="20"/>
                <w:szCs w:val="20"/>
              </w:rPr>
              <w:t>5 445</w:t>
            </w:r>
          </w:p>
        </w:tc>
        <w:tc>
          <w:tcPr>
            <w:tcW w:w="1774" w:type="dxa"/>
            <w:tcBorders>
              <w:top w:val="nil"/>
              <w:left w:val="nil"/>
              <w:bottom w:val="single" w:sz="4" w:space="0" w:color="auto"/>
              <w:right w:val="single" w:sz="4" w:space="0" w:color="auto"/>
            </w:tcBorders>
            <w:shd w:val="clear" w:color="auto" w:fill="auto"/>
            <w:noWrap/>
            <w:vAlign w:val="center"/>
            <w:hideMark/>
          </w:tcPr>
          <w:p w14:paraId="1DCC6987" w14:textId="77777777" w:rsidR="00BA7C7F" w:rsidRPr="00022A0B" w:rsidRDefault="00BA7C7F" w:rsidP="00BA7C7F">
            <w:pPr>
              <w:jc w:val="right"/>
              <w:rPr>
                <w:rFonts w:ascii="Arial Narrow" w:hAnsi="Arial Narrow" w:cs="Calibri"/>
                <w:color w:val="000000"/>
                <w:sz w:val="20"/>
                <w:szCs w:val="20"/>
              </w:rPr>
            </w:pPr>
            <w:r w:rsidRPr="00022A0B">
              <w:rPr>
                <w:rFonts w:ascii="Arial Narrow" w:hAnsi="Arial Narrow" w:cs="Calibri"/>
                <w:color w:val="000000"/>
                <w:sz w:val="20"/>
                <w:szCs w:val="20"/>
              </w:rPr>
              <w:t>394 170</w:t>
            </w:r>
          </w:p>
        </w:tc>
      </w:tr>
      <w:tr w:rsidR="00BA7C7F" w:rsidRPr="00C57ABA" w14:paraId="0C6877CF" w14:textId="77777777" w:rsidTr="00B37935">
        <w:trPr>
          <w:trHeight w:val="581"/>
        </w:trPr>
        <w:tc>
          <w:tcPr>
            <w:tcW w:w="6249" w:type="dxa"/>
            <w:tcBorders>
              <w:top w:val="nil"/>
              <w:left w:val="single" w:sz="4" w:space="0" w:color="auto"/>
              <w:bottom w:val="single" w:sz="4" w:space="0" w:color="auto"/>
              <w:right w:val="single" w:sz="4" w:space="0" w:color="auto"/>
            </w:tcBorders>
            <w:shd w:val="clear" w:color="auto" w:fill="auto"/>
            <w:vAlign w:val="center"/>
            <w:hideMark/>
          </w:tcPr>
          <w:p w14:paraId="026E2476" w14:textId="77777777" w:rsidR="00BA7C7F" w:rsidRPr="00022A0B" w:rsidRDefault="00BA7C7F" w:rsidP="00BA7C7F">
            <w:pPr>
              <w:rPr>
                <w:rFonts w:ascii="Arial Narrow" w:hAnsi="Arial Narrow" w:cs="Calibri"/>
                <w:color w:val="000000"/>
                <w:sz w:val="20"/>
                <w:szCs w:val="20"/>
              </w:rPr>
            </w:pPr>
            <w:r w:rsidRPr="00022A0B">
              <w:rPr>
                <w:rFonts w:ascii="Arial Narrow" w:hAnsi="Arial Narrow" w:cs="Calibri"/>
                <w:color w:val="000000"/>
                <w:sz w:val="20"/>
                <w:szCs w:val="20"/>
              </w:rPr>
              <w:t>Преходна национална помощ за овце-майки и/или кози - майки, обвързана с производство</w:t>
            </w:r>
          </w:p>
        </w:tc>
        <w:tc>
          <w:tcPr>
            <w:tcW w:w="1774" w:type="dxa"/>
            <w:tcBorders>
              <w:top w:val="nil"/>
              <w:left w:val="nil"/>
              <w:bottom w:val="single" w:sz="4" w:space="0" w:color="auto"/>
              <w:right w:val="single" w:sz="4" w:space="0" w:color="auto"/>
            </w:tcBorders>
            <w:shd w:val="clear" w:color="auto" w:fill="auto"/>
            <w:noWrap/>
            <w:vAlign w:val="center"/>
            <w:hideMark/>
          </w:tcPr>
          <w:p w14:paraId="5679821B" w14:textId="77777777" w:rsidR="00BA7C7F" w:rsidRPr="00022A0B" w:rsidRDefault="00BA7C7F" w:rsidP="00BA7C7F">
            <w:pPr>
              <w:jc w:val="right"/>
              <w:rPr>
                <w:rFonts w:ascii="Arial Narrow" w:hAnsi="Arial Narrow" w:cs="Calibri"/>
                <w:color w:val="000000"/>
                <w:sz w:val="20"/>
                <w:szCs w:val="20"/>
              </w:rPr>
            </w:pPr>
            <w:r w:rsidRPr="00022A0B">
              <w:rPr>
                <w:rFonts w:ascii="Arial Narrow" w:hAnsi="Arial Narrow" w:cs="Calibri"/>
                <w:color w:val="000000"/>
                <w:sz w:val="20"/>
                <w:szCs w:val="20"/>
              </w:rPr>
              <w:t>4 443</w:t>
            </w:r>
          </w:p>
        </w:tc>
        <w:tc>
          <w:tcPr>
            <w:tcW w:w="1774" w:type="dxa"/>
            <w:tcBorders>
              <w:top w:val="nil"/>
              <w:left w:val="nil"/>
              <w:bottom w:val="single" w:sz="4" w:space="0" w:color="auto"/>
              <w:right w:val="single" w:sz="4" w:space="0" w:color="auto"/>
            </w:tcBorders>
            <w:shd w:val="clear" w:color="auto" w:fill="auto"/>
            <w:noWrap/>
            <w:vAlign w:val="center"/>
            <w:hideMark/>
          </w:tcPr>
          <w:p w14:paraId="0E812B58" w14:textId="77777777" w:rsidR="00BA7C7F" w:rsidRPr="00022A0B" w:rsidRDefault="00BA7C7F" w:rsidP="00BA7C7F">
            <w:pPr>
              <w:jc w:val="right"/>
              <w:rPr>
                <w:rFonts w:ascii="Arial Narrow" w:hAnsi="Arial Narrow" w:cs="Calibri"/>
                <w:color w:val="000000"/>
                <w:sz w:val="20"/>
                <w:szCs w:val="20"/>
              </w:rPr>
            </w:pPr>
            <w:r w:rsidRPr="00022A0B">
              <w:rPr>
                <w:rFonts w:ascii="Arial Narrow" w:hAnsi="Arial Narrow" w:cs="Calibri"/>
                <w:color w:val="000000"/>
                <w:sz w:val="20"/>
                <w:szCs w:val="20"/>
              </w:rPr>
              <w:t>487 296</w:t>
            </w:r>
          </w:p>
        </w:tc>
      </w:tr>
      <w:tr w:rsidR="00BA7C7F" w:rsidRPr="00C57ABA" w14:paraId="582B355F" w14:textId="77777777" w:rsidTr="00B37935">
        <w:trPr>
          <w:trHeight w:val="340"/>
        </w:trPr>
        <w:tc>
          <w:tcPr>
            <w:tcW w:w="6249" w:type="dxa"/>
            <w:tcBorders>
              <w:top w:val="nil"/>
              <w:left w:val="single" w:sz="4" w:space="0" w:color="auto"/>
              <w:bottom w:val="single" w:sz="4" w:space="0" w:color="auto"/>
              <w:right w:val="single" w:sz="4" w:space="0" w:color="auto"/>
            </w:tcBorders>
            <w:shd w:val="clear" w:color="auto" w:fill="auto"/>
            <w:vAlign w:val="center"/>
            <w:hideMark/>
          </w:tcPr>
          <w:p w14:paraId="1EC8F374" w14:textId="77777777" w:rsidR="00BA7C7F" w:rsidRPr="00022A0B" w:rsidRDefault="00BA7C7F" w:rsidP="00BA7C7F">
            <w:pPr>
              <w:rPr>
                <w:rFonts w:ascii="Arial Narrow" w:hAnsi="Arial Narrow" w:cs="Calibri"/>
                <w:color w:val="000000"/>
                <w:sz w:val="20"/>
                <w:szCs w:val="20"/>
              </w:rPr>
            </w:pPr>
            <w:r w:rsidRPr="00022A0B">
              <w:rPr>
                <w:rFonts w:ascii="Arial Narrow" w:hAnsi="Arial Narrow" w:cs="Calibri"/>
                <w:color w:val="000000"/>
                <w:sz w:val="20"/>
                <w:szCs w:val="20"/>
              </w:rPr>
              <w:t>Преходна национална помощ за тютюн, необвързана с производството</w:t>
            </w:r>
          </w:p>
        </w:tc>
        <w:tc>
          <w:tcPr>
            <w:tcW w:w="1774" w:type="dxa"/>
            <w:tcBorders>
              <w:top w:val="nil"/>
              <w:left w:val="nil"/>
              <w:bottom w:val="single" w:sz="4" w:space="0" w:color="auto"/>
              <w:right w:val="single" w:sz="4" w:space="0" w:color="auto"/>
            </w:tcBorders>
            <w:shd w:val="clear" w:color="auto" w:fill="auto"/>
            <w:noWrap/>
            <w:vAlign w:val="center"/>
            <w:hideMark/>
          </w:tcPr>
          <w:p w14:paraId="1E3065E9" w14:textId="77777777" w:rsidR="00BA7C7F" w:rsidRPr="00022A0B" w:rsidRDefault="00BA7C7F" w:rsidP="00BA7C7F">
            <w:pPr>
              <w:jc w:val="right"/>
              <w:rPr>
                <w:rFonts w:ascii="Arial Narrow" w:hAnsi="Arial Narrow" w:cs="Calibri"/>
                <w:color w:val="000000"/>
                <w:sz w:val="20"/>
                <w:szCs w:val="20"/>
              </w:rPr>
            </w:pPr>
            <w:r w:rsidRPr="00022A0B">
              <w:rPr>
                <w:rFonts w:ascii="Arial Narrow" w:hAnsi="Arial Narrow" w:cs="Calibri"/>
                <w:color w:val="000000"/>
                <w:sz w:val="20"/>
                <w:szCs w:val="20"/>
              </w:rPr>
              <w:t>8 475</w:t>
            </w:r>
          </w:p>
        </w:tc>
        <w:tc>
          <w:tcPr>
            <w:tcW w:w="1774" w:type="dxa"/>
            <w:tcBorders>
              <w:top w:val="nil"/>
              <w:left w:val="nil"/>
              <w:bottom w:val="single" w:sz="4" w:space="0" w:color="auto"/>
              <w:right w:val="single" w:sz="4" w:space="0" w:color="auto"/>
            </w:tcBorders>
            <w:shd w:val="clear" w:color="auto" w:fill="auto"/>
            <w:noWrap/>
            <w:vAlign w:val="center"/>
            <w:hideMark/>
          </w:tcPr>
          <w:p w14:paraId="41C25B09" w14:textId="77777777" w:rsidR="00BA7C7F" w:rsidRPr="00022A0B" w:rsidRDefault="00BA7C7F" w:rsidP="00BA7C7F">
            <w:pPr>
              <w:jc w:val="right"/>
              <w:rPr>
                <w:rFonts w:ascii="Arial Narrow" w:hAnsi="Arial Narrow" w:cs="Calibri"/>
                <w:color w:val="000000"/>
                <w:sz w:val="20"/>
                <w:szCs w:val="20"/>
              </w:rPr>
            </w:pPr>
            <w:r w:rsidRPr="00022A0B">
              <w:rPr>
                <w:rFonts w:ascii="Arial Narrow" w:hAnsi="Arial Narrow" w:cs="Calibri"/>
                <w:color w:val="000000"/>
                <w:sz w:val="20"/>
                <w:szCs w:val="20"/>
              </w:rPr>
              <w:t>2 537 483 кг</w:t>
            </w:r>
          </w:p>
        </w:tc>
      </w:tr>
    </w:tbl>
    <w:p w14:paraId="0CAB53D5" w14:textId="77777777" w:rsidR="00BA7C7F" w:rsidRPr="00725099" w:rsidRDefault="00BA7C7F" w:rsidP="00BA7C7F">
      <w:pPr>
        <w:rPr>
          <w:rFonts w:ascii="Arial Narrow" w:eastAsia="Calibri" w:hAnsi="Arial Narrow" w:cs="Arial Narrow"/>
          <w:i/>
          <w:sz w:val="18"/>
          <w:szCs w:val="16"/>
        </w:rPr>
      </w:pPr>
      <w:r w:rsidRPr="00725099">
        <w:rPr>
          <w:rFonts w:ascii="Arial Narrow" w:eastAsia="Calibri" w:hAnsi="Arial Narrow" w:cs="Arial Narrow"/>
          <w:i/>
          <w:sz w:val="18"/>
          <w:szCs w:val="16"/>
        </w:rPr>
        <w:t>Източник: ДФЗ-РА</w:t>
      </w:r>
    </w:p>
    <w:p w14:paraId="23BBCF73" w14:textId="77777777" w:rsidR="00BA7C7F" w:rsidRPr="00C57ABA" w:rsidRDefault="00BA7C7F" w:rsidP="00BA7C7F">
      <w:pPr>
        <w:overflowPunct w:val="0"/>
        <w:autoSpaceDE w:val="0"/>
        <w:autoSpaceDN w:val="0"/>
        <w:adjustRightInd w:val="0"/>
        <w:jc w:val="both"/>
        <w:textAlignment w:val="baseline"/>
        <w:rPr>
          <w:rFonts w:ascii="Arial Narrow" w:eastAsia="Calibri" w:hAnsi="Arial Narrow"/>
          <w:sz w:val="18"/>
        </w:rPr>
      </w:pPr>
      <w:r w:rsidRPr="00C57ABA">
        <w:rPr>
          <w:rFonts w:ascii="Arial Narrow" w:eastAsia="Calibri" w:hAnsi="Arial Narrow"/>
          <w:sz w:val="18"/>
        </w:rPr>
        <w:t>Забележка: *Данните не са окончателни. До 1 декември 2025 г. кандидатите за подпомагане имат възможност да оттеглят парцели, интервенции и заявления.</w:t>
      </w:r>
    </w:p>
    <w:p w14:paraId="771223AC" w14:textId="77777777" w:rsidR="00BA7C7F" w:rsidRDefault="00BA7C7F" w:rsidP="00B37935">
      <w:pPr>
        <w:widowControl w:val="0"/>
        <w:autoSpaceDE w:val="0"/>
        <w:autoSpaceDN w:val="0"/>
        <w:adjustRightInd w:val="0"/>
        <w:ind w:firstLine="709"/>
        <w:jc w:val="both"/>
        <w:rPr>
          <w:rFonts w:ascii="Arial Narrow" w:eastAsiaTheme="minorHAnsi" w:hAnsi="Arial Narrow"/>
          <w:bCs/>
          <w:color w:val="FF0000"/>
        </w:rPr>
      </w:pPr>
    </w:p>
    <w:p w14:paraId="0DEF86D5" w14:textId="77777777" w:rsidR="00DB240E" w:rsidRPr="00D87D7C" w:rsidRDefault="007B3E82" w:rsidP="006E11F9">
      <w:pPr>
        <w:pStyle w:val="ListParagraph"/>
        <w:keepNext/>
        <w:numPr>
          <w:ilvl w:val="1"/>
          <w:numId w:val="34"/>
        </w:numPr>
        <w:tabs>
          <w:tab w:val="left" w:pos="1276"/>
        </w:tabs>
        <w:overflowPunct w:val="0"/>
        <w:autoSpaceDE w:val="0"/>
        <w:autoSpaceDN w:val="0"/>
        <w:adjustRightInd w:val="0"/>
        <w:spacing w:after="120"/>
        <w:ind w:left="789" w:hanging="429"/>
        <w:contextualSpacing w:val="0"/>
        <w:jc w:val="both"/>
        <w:textAlignment w:val="baseline"/>
        <w:outlineLvl w:val="0"/>
        <w:rPr>
          <w:rFonts w:ascii="Arial Narrow" w:hAnsi="Arial Narrow"/>
          <w:b/>
          <w:bCs/>
          <w:lang w:val="bg-BG" w:eastAsia="bg-BG"/>
        </w:rPr>
      </w:pPr>
      <w:bookmarkStart w:id="85" w:name="_Toc210747579"/>
      <w:r w:rsidRPr="00D87D7C">
        <w:rPr>
          <w:rFonts w:ascii="Arial Narrow" w:hAnsi="Arial Narrow"/>
          <w:b/>
          <w:bCs/>
          <w:lang w:val="bg-BG" w:eastAsia="bg-BG"/>
        </w:rPr>
        <w:t>Механизми за пазарна подкрепа</w:t>
      </w:r>
      <w:bookmarkEnd w:id="85"/>
      <w:r w:rsidRPr="00D87D7C">
        <w:rPr>
          <w:rFonts w:ascii="Arial Narrow" w:hAnsi="Arial Narrow"/>
          <w:b/>
          <w:bCs/>
          <w:lang w:val="bg-BG" w:eastAsia="bg-BG"/>
        </w:rPr>
        <w:t xml:space="preserve"> </w:t>
      </w:r>
    </w:p>
    <w:p w14:paraId="39144AE8" w14:textId="77777777" w:rsidR="00D87D7C" w:rsidRPr="00D87D7C" w:rsidRDefault="00440867" w:rsidP="006E11F9">
      <w:pPr>
        <w:pStyle w:val="ListParagraph"/>
        <w:numPr>
          <w:ilvl w:val="2"/>
          <w:numId w:val="33"/>
        </w:numPr>
        <w:tabs>
          <w:tab w:val="num" w:pos="900"/>
        </w:tabs>
        <w:spacing w:after="120"/>
        <w:ind w:left="1037" w:hanging="680"/>
        <w:outlineLvl w:val="0"/>
        <w:rPr>
          <w:rFonts w:ascii="Arial Narrow" w:eastAsia="Calibri" w:hAnsi="Arial Narrow"/>
          <w:b/>
        </w:rPr>
      </w:pPr>
      <w:r w:rsidRPr="00D87D7C">
        <w:rPr>
          <w:rFonts w:ascii="Arial Narrow" w:eastAsia="Calibri" w:hAnsi="Arial Narrow"/>
          <w:b/>
          <w:lang w:val="bg-BG" w:eastAsia="bg-BG"/>
        </w:rPr>
        <w:tab/>
      </w:r>
      <w:bookmarkStart w:id="86" w:name="_Toc210747580"/>
      <w:r w:rsidRPr="00D87D7C">
        <w:rPr>
          <w:rFonts w:ascii="Arial Narrow" w:eastAsia="Calibri" w:hAnsi="Arial Narrow"/>
          <w:b/>
        </w:rPr>
        <w:t>Договорни отношения в сектора на млякото</w:t>
      </w:r>
      <w:bookmarkEnd w:id="86"/>
    </w:p>
    <w:p w14:paraId="5A8A8297" w14:textId="77777777" w:rsidR="00D87D7C" w:rsidRPr="00D87D7C" w:rsidRDefault="00D87D7C" w:rsidP="00D87D7C">
      <w:pPr>
        <w:tabs>
          <w:tab w:val="left" w:pos="0"/>
          <w:tab w:val="left" w:pos="709"/>
        </w:tabs>
        <w:spacing w:after="120"/>
        <w:ind w:firstLine="709"/>
        <w:jc w:val="both"/>
        <w:rPr>
          <w:rFonts w:ascii="Arial Narrow" w:hAnsi="Arial Narrow"/>
          <w:lang w:val="bg-BG"/>
        </w:rPr>
      </w:pPr>
      <w:r w:rsidRPr="00D87D7C">
        <w:rPr>
          <w:rFonts w:ascii="Arial Narrow" w:hAnsi="Arial Narrow"/>
          <w:lang w:val="bg-BG"/>
        </w:rPr>
        <w:t>Основните цели на схемата са свързани с реалното подобряване на възможностите на млекопроизводителите за договаряне с преработвателите, което от своя страна да доведе до по-справедливо разпределение на добавената стойност по веригата на доставките.</w:t>
      </w:r>
    </w:p>
    <w:p w14:paraId="0EC0D2AB" w14:textId="77777777" w:rsidR="00D87D7C" w:rsidRPr="00D87D7C" w:rsidRDefault="00D87D7C" w:rsidP="00D87D7C">
      <w:pPr>
        <w:tabs>
          <w:tab w:val="left" w:pos="0"/>
        </w:tabs>
        <w:spacing w:after="120"/>
        <w:jc w:val="both"/>
        <w:rPr>
          <w:rFonts w:ascii="Arial Narrow" w:hAnsi="Arial Narrow"/>
          <w:lang w:val="bg-BG"/>
        </w:rPr>
      </w:pPr>
      <w:r w:rsidRPr="00D87D7C">
        <w:rPr>
          <w:rFonts w:ascii="Arial Narrow" w:hAnsi="Arial Narrow"/>
          <w:lang w:val="bg-BG"/>
        </w:rPr>
        <w:tab/>
        <w:t>От въвеждането на регулаторния режим до момента са извършени промени в законодателството, касаещо схемата, с цел облекчаване на административната тежест и съответно намаляване на административния капацитет за регистрирането и контрола на схемата от ДФЗ. От 2020 г. се предоставя услуга за електронно регистриране на договори от първи изкупвач.</w:t>
      </w:r>
    </w:p>
    <w:p w14:paraId="165EAE9C" w14:textId="77777777" w:rsidR="00D87D7C" w:rsidRPr="00D87D7C" w:rsidRDefault="00D87D7C" w:rsidP="00D87D7C">
      <w:pPr>
        <w:tabs>
          <w:tab w:val="left" w:pos="0"/>
        </w:tabs>
        <w:spacing w:after="120"/>
        <w:jc w:val="both"/>
        <w:rPr>
          <w:rFonts w:ascii="Arial Narrow" w:hAnsi="Arial Narrow"/>
          <w:b/>
          <w:lang w:val="bg-BG"/>
        </w:rPr>
      </w:pPr>
      <w:r w:rsidRPr="00D87D7C">
        <w:rPr>
          <w:rFonts w:ascii="Arial Narrow" w:hAnsi="Arial Narrow"/>
          <w:lang w:val="bg-BG"/>
        </w:rPr>
        <w:tab/>
        <w:t>През 2024 г. на база риск анализ са назначени 35 проверки на изкупвачи на сурово краве, овче, козе и биволско мляко. Въз основа на извършен обстоен анализ на риска са извършени проверки и на 24 изкупвачи при изкупуване на сурово мляко без сключен договор. Издадени са 9 броя АУАН, за които наказателното производство произтича в издаване на 3 мотивирани резолюции за прекратяване на производството и 1 писмено предупреждение. По 5 броя издадени АУАН са отправени предложения до нарушителите за сключване на споразумение и заплащане на наложените имуществени санкции и глоби в намален размер. Общо са наложени имуществени санкции на стойност 7 000 лева. До края на декември 2024 г. доброволно са заплатени имуществени санкции на стойност 6 300 лева.</w:t>
      </w:r>
    </w:p>
    <w:p w14:paraId="495D4AE6" w14:textId="77777777" w:rsidR="00D87D7C" w:rsidRPr="00D87D7C" w:rsidRDefault="00D87D7C" w:rsidP="00D87D7C">
      <w:pPr>
        <w:tabs>
          <w:tab w:val="left" w:pos="0"/>
        </w:tabs>
        <w:spacing w:after="120"/>
        <w:jc w:val="both"/>
        <w:rPr>
          <w:rFonts w:ascii="Arial Narrow" w:hAnsi="Arial Narrow"/>
          <w:lang w:val="bg-BG"/>
        </w:rPr>
      </w:pPr>
      <w:r w:rsidRPr="00D87D7C">
        <w:rPr>
          <w:rFonts w:ascii="Arial Narrow" w:hAnsi="Arial Narrow"/>
          <w:lang w:val="bg-BG"/>
        </w:rPr>
        <w:tab/>
        <w:t xml:space="preserve">По схема  „Договорни отношения в сектора на млякото“ през 2024 г. са приети и обработени 1 146 заявления, отнасящи се за 6 440 договора/анекса/прекратявания между производители и първи изкупвачи на сурово краве, овче, козе и биволско мляко. По електронен път са постъпили 29 заявления за регистриране на договори в системата за електронни услуги на ДФЗ. </w:t>
      </w:r>
    </w:p>
    <w:p w14:paraId="1B0F2430" w14:textId="77777777" w:rsidR="00D87D7C" w:rsidRPr="00D87D7C" w:rsidRDefault="00D87D7C" w:rsidP="00D87D7C">
      <w:pPr>
        <w:tabs>
          <w:tab w:val="left" w:pos="0"/>
        </w:tabs>
        <w:spacing w:after="120"/>
        <w:jc w:val="both"/>
        <w:rPr>
          <w:rFonts w:ascii="Arial Narrow" w:hAnsi="Arial Narrow"/>
          <w:lang w:val="bg-BG"/>
        </w:rPr>
      </w:pPr>
      <w:r w:rsidRPr="00D87D7C">
        <w:rPr>
          <w:rFonts w:ascii="Arial Narrow" w:hAnsi="Arial Narrow"/>
          <w:lang w:val="bg-BG"/>
        </w:rPr>
        <w:lastRenderedPageBreak/>
        <w:tab/>
        <w:t>През първото полугодие на 2025 г. са приети и обработени 533 заявления, отнасящи се за 3 013 броя договора/анекса/прекратявания между производители и първи изкупвачи на сурово краве, овче, козе и биволско мляко.</w:t>
      </w:r>
    </w:p>
    <w:p w14:paraId="2EEBF59E" w14:textId="77777777" w:rsidR="00D87D7C" w:rsidRPr="00D87D7C" w:rsidRDefault="00440867" w:rsidP="006E11F9">
      <w:pPr>
        <w:pStyle w:val="ListParagraph"/>
        <w:numPr>
          <w:ilvl w:val="2"/>
          <w:numId w:val="33"/>
        </w:numPr>
        <w:tabs>
          <w:tab w:val="num" w:pos="900"/>
        </w:tabs>
        <w:spacing w:after="120"/>
        <w:ind w:left="1037" w:hanging="680"/>
        <w:outlineLvl w:val="0"/>
        <w:rPr>
          <w:rFonts w:ascii="Arial Narrow" w:hAnsi="Arial Narrow"/>
          <w:b/>
        </w:rPr>
      </w:pPr>
      <w:bookmarkStart w:id="87" w:name="_Toc210747581"/>
      <w:r w:rsidRPr="00D87D7C">
        <w:rPr>
          <w:rFonts w:ascii="Arial Narrow" w:hAnsi="Arial Narrow"/>
          <w:b/>
        </w:rPr>
        <w:t>Оперативни програми</w:t>
      </w:r>
      <w:bookmarkEnd w:id="87"/>
    </w:p>
    <w:p w14:paraId="2D3A805F" w14:textId="77777777" w:rsidR="00D87D7C" w:rsidRPr="00C57ABA" w:rsidRDefault="00D87D7C" w:rsidP="00D87D7C">
      <w:pPr>
        <w:tabs>
          <w:tab w:val="left" w:pos="0"/>
        </w:tabs>
        <w:spacing w:after="120"/>
        <w:ind w:firstLine="709"/>
        <w:jc w:val="both"/>
        <w:rPr>
          <w:rFonts w:ascii="Arial Narrow" w:hAnsi="Arial Narrow"/>
          <w:b/>
          <w:i/>
        </w:rPr>
      </w:pPr>
      <w:r w:rsidRPr="00C57ABA">
        <w:rPr>
          <w:rFonts w:ascii="Arial Narrow" w:hAnsi="Arial Narrow"/>
          <w:b/>
          <w:i/>
        </w:rPr>
        <w:t>Схема „Оперативни програми“</w:t>
      </w:r>
    </w:p>
    <w:p w14:paraId="385B8B69" w14:textId="77777777" w:rsidR="00D87D7C" w:rsidRPr="00C57ABA" w:rsidRDefault="00D87D7C" w:rsidP="00D87D7C">
      <w:pPr>
        <w:tabs>
          <w:tab w:val="left" w:pos="0"/>
        </w:tabs>
        <w:spacing w:after="120"/>
        <w:jc w:val="both"/>
        <w:rPr>
          <w:rFonts w:ascii="Arial Narrow" w:eastAsia="Calibri" w:hAnsi="Arial Narrow"/>
        </w:rPr>
      </w:pPr>
      <w:r w:rsidRPr="00C57ABA">
        <w:rPr>
          <w:rFonts w:ascii="Arial Narrow" w:hAnsi="Arial Narrow"/>
        </w:rPr>
        <w:tab/>
        <w:t xml:space="preserve">През 2024 г. една организация на производители изпълнява </w:t>
      </w:r>
      <w:r>
        <w:rPr>
          <w:rFonts w:ascii="Arial Narrow" w:hAnsi="Arial Narrow"/>
        </w:rPr>
        <w:t>последната година от оп</w:t>
      </w:r>
      <w:r w:rsidRPr="00C57ABA">
        <w:rPr>
          <w:rFonts w:ascii="Arial Narrow" w:hAnsi="Arial Narrow"/>
        </w:rPr>
        <w:t>еративна</w:t>
      </w:r>
      <w:r>
        <w:rPr>
          <w:rFonts w:ascii="Arial Narrow" w:hAnsi="Arial Narrow"/>
        </w:rPr>
        <w:t>та си</w:t>
      </w:r>
      <w:r w:rsidRPr="00C57ABA">
        <w:rPr>
          <w:rFonts w:ascii="Arial Narrow" w:hAnsi="Arial Narrow"/>
        </w:rPr>
        <w:t xml:space="preserve"> програма с </w:t>
      </w:r>
      <w:r>
        <w:rPr>
          <w:rFonts w:ascii="Arial Narrow" w:hAnsi="Arial Narrow"/>
        </w:rPr>
        <w:t xml:space="preserve">обща </w:t>
      </w:r>
      <w:r w:rsidRPr="00C57ABA">
        <w:rPr>
          <w:rFonts w:ascii="Arial Narrow" w:hAnsi="Arial Narrow"/>
        </w:rPr>
        <w:t>продължителност 3 години</w:t>
      </w:r>
      <w:r>
        <w:rPr>
          <w:rFonts w:ascii="Arial Narrow" w:hAnsi="Arial Narrow"/>
        </w:rPr>
        <w:t xml:space="preserve">. </w:t>
      </w:r>
      <w:r w:rsidRPr="00C57ABA">
        <w:rPr>
          <w:rFonts w:ascii="Arial Narrow" w:eastAsia="Calibri" w:hAnsi="Arial Narrow"/>
        </w:rPr>
        <w:t xml:space="preserve">През годината са приети и обработени две заявки за окончателно плащане за 2023 г. по две оперативни програми, с които се отчитат извършени инвестиции, разходи и дейности през 2023 г., както и една заявка за междинно плащане за 2024 г. </w:t>
      </w:r>
    </w:p>
    <w:p w14:paraId="2B001F40" w14:textId="77777777" w:rsidR="00D87D7C" w:rsidRPr="00C57ABA" w:rsidRDefault="00D87D7C" w:rsidP="00D87D7C">
      <w:pPr>
        <w:spacing w:after="120"/>
        <w:ind w:firstLine="709"/>
        <w:jc w:val="both"/>
        <w:rPr>
          <w:rFonts w:ascii="Arial Narrow" w:eastAsia="Calibri" w:hAnsi="Arial Narrow"/>
        </w:rPr>
      </w:pPr>
      <w:r w:rsidRPr="00C57ABA">
        <w:rPr>
          <w:rFonts w:ascii="Arial Narrow" w:eastAsia="Calibri" w:hAnsi="Arial Narrow"/>
        </w:rPr>
        <w:t>Общо изплатените средства през 2024 г. по схемата са на стойност 380 086 лева, от които 110 522 лева от ЕФГЗ и 269 56</w:t>
      </w:r>
      <w:r>
        <w:rPr>
          <w:rFonts w:ascii="Arial Narrow" w:eastAsia="Calibri" w:hAnsi="Arial Narrow"/>
        </w:rPr>
        <w:t>4</w:t>
      </w:r>
      <w:r w:rsidRPr="00C57ABA">
        <w:rPr>
          <w:rFonts w:ascii="Arial Narrow" w:eastAsia="Calibri" w:hAnsi="Arial Narrow"/>
        </w:rPr>
        <w:t xml:space="preserve"> лева от НБ. </w:t>
      </w:r>
    </w:p>
    <w:p w14:paraId="3EBBA780" w14:textId="77777777" w:rsidR="00D87D7C" w:rsidRDefault="00D87D7C" w:rsidP="00D87D7C">
      <w:pPr>
        <w:spacing w:after="120"/>
        <w:ind w:firstLine="720"/>
        <w:jc w:val="both"/>
        <w:rPr>
          <w:rFonts w:ascii="Arial Narrow" w:hAnsi="Arial Narrow"/>
        </w:rPr>
      </w:pPr>
      <w:r w:rsidRPr="00C57ABA">
        <w:rPr>
          <w:rFonts w:ascii="Arial Narrow" w:hAnsi="Arial Narrow"/>
        </w:rPr>
        <w:t xml:space="preserve">През 2024 г. </w:t>
      </w:r>
      <w:r>
        <w:rPr>
          <w:rFonts w:ascii="Arial Narrow" w:hAnsi="Arial Narrow"/>
        </w:rPr>
        <w:t>от Д</w:t>
      </w:r>
      <w:r w:rsidRPr="00C57ABA">
        <w:rPr>
          <w:rFonts w:ascii="Arial Narrow" w:hAnsi="Arial Narrow"/>
        </w:rPr>
        <w:t xml:space="preserve">ържавен фонд „Земеделие“- РА </w:t>
      </w:r>
      <w:r>
        <w:rPr>
          <w:rFonts w:ascii="Arial Narrow" w:hAnsi="Arial Narrow"/>
        </w:rPr>
        <w:t xml:space="preserve">са </w:t>
      </w:r>
      <w:r w:rsidRPr="00C57ABA">
        <w:rPr>
          <w:rFonts w:ascii="Arial Narrow" w:hAnsi="Arial Narrow"/>
        </w:rPr>
        <w:t>извърш</w:t>
      </w:r>
      <w:r>
        <w:rPr>
          <w:rFonts w:ascii="Arial Narrow" w:hAnsi="Arial Narrow"/>
        </w:rPr>
        <w:t>ени</w:t>
      </w:r>
      <w:r w:rsidRPr="00C57ABA">
        <w:rPr>
          <w:rFonts w:ascii="Arial Narrow" w:hAnsi="Arial Narrow"/>
        </w:rPr>
        <w:t xml:space="preserve"> проверки </w:t>
      </w:r>
      <w:r>
        <w:rPr>
          <w:rFonts w:ascii="Arial Narrow" w:hAnsi="Arial Narrow"/>
        </w:rPr>
        <w:t>на</w:t>
      </w:r>
      <w:r w:rsidRPr="00C57ABA">
        <w:rPr>
          <w:rFonts w:ascii="Arial Narrow" w:hAnsi="Arial Narrow"/>
        </w:rPr>
        <w:t xml:space="preserve"> три организации на производители на плодове и зеленчуци, приключили изпълнението на оперативните си програми. В хода на проверките е установено, че организациите спазват поетите от тях задължения. </w:t>
      </w:r>
    </w:p>
    <w:p w14:paraId="4015BDC1" w14:textId="77777777" w:rsidR="00D87D7C" w:rsidRPr="00C57ABA" w:rsidRDefault="00D87D7C" w:rsidP="00D87D7C">
      <w:pPr>
        <w:spacing w:after="120"/>
        <w:ind w:firstLine="709"/>
        <w:jc w:val="both"/>
        <w:rPr>
          <w:rFonts w:ascii="Arial Narrow" w:hAnsi="Arial Narrow"/>
          <w:b/>
          <w:i/>
        </w:rPr>
      </w:pPr>
      <w:r w:rsidRPr="00C57ABA">
        <w:rPr>
          <w:rFonts w:ascii="Arial Narrow" w:hAnsi="Arial Narrow"/>
          <w:b/>
          <w:i/>
        </w:rPr>
        <w:t>Схема „Групи производители на плодове и зеленчуци”.</w:t>
      </w:r>
    </w:p>
    <w:p w14:paraId="1D1D704E" w14:textId="77777777" w:rsidR="00D87D7C" w:rsidRPr="00C57ABA" w:rsidRDefault="00D87D7C" w:rsidP="00D87D7C">
      <w:pPr>
        <w:spacing w:after="120"/>
        <w:ind w:firstLine="709"/>
        <w:jc w:val="both"/>
        <w:rPr>
          <w:rFonts w:ascii="Arial Narrow" w:hAnsi="Arial Narrow"/>
        </w:rPr>
      </w:pPr>
      <w:r w:rsidRPr="00C57ABA">
        <w:rPr>
          <w:rFonts w:ascii="Arial Narrow" w:hAnsi="Arial Narrow"/>
        </w:rPr>
        <w:tab/>
        <w:t>През 2024 г. по схемата са извършени 6 проверки от ДФЗ-РА за спазване на нормативни и договорни задължения по изпълнени планове за признаване на групи производители на плодове и зеленчуци след извършено плащане. Проверките не са установили неспазване на задълженията от страна на групите производители.</w:t>
      </w:r>
    </w:p>
    <w:p w14:paraId="0D6A15FD" w14:textId="77777777" w:rsidR="00D87D7C" w:rsidRPr="00C57ABA" w:rsidRDefault="00D87D7C" w:rsidP="00D87D7C">
      <w:pPr>
        <w:tabs>
          <w:tab w:val="left" w:pos="0"/>
        </w:tabs>
        <w:spacing w:after="120"/>
        <w:jc w:val="both"/>
        <w:rPr>
          <w:rFonts w:ascii="Arial Narrow" w:hAnsi="Arial Narrow"/>
          <w:b/>
          <w:i/>
        </w:rPr>
      </w:pPr>
      <w:r w:rsidRPr="00C57ABA">
        <w:rPr>
          <w:rFonts w:ascii="Arial Narrow" w:hAnsi="Arial Narrow"/>
          <w:b/>
          <w:i/>
        </w:rPr>
        <w:tab/>
        <w:t>Интервенции от Стратегическия план за развитие на земеделието и селските райони за периода 2023-2027 г. в секторите „Плодове и зеленчуци” и „Мляко и млечни продукти”</w:t>
      </w:r>
      <w:bookmarkStart w:id="88" w:name="to_paragraph_id49279960"/>
      <w:bookmarkEnd w:id="88"/>
    </w:p>
    <w:p w14:paraId="39DA407C" w14:textId="77777777" w:rsidR="00D87D7C" w:rsidRPr="00C57ABA" w:rsidRDefault="00D87D7C" w:rsidP="00D87D7C">
      <w:pPr>
        <w:spacing w:after="120"/>
        <w:ind w:firstLine="709"/>
        <w:jc w:val="both"/>
        <w:rPr>
          <w:rFonts w:ascii="Arial Narrow" w:hAnsi="Arial Narrow"/>
        </w:rPr>
      </w:pPr>
      <w:r w:rsidRPr="00C57ABA">
        <w:rPr>
          <w:rFonts w:ascii="Arial Narrow" w:hAnsi="Arial Narrow"/>
        </w:rPr>
        <w:t xml:space="preserve">Интервенциите за изпълнение на оперативни програми се прилагат по реда на Наредба №13 от 01.09.2023 г. за условията и реда за прилагане на интервенции от СПРЗСР 2023-2027 г. в секторите „Мляко и млечни продукти” и „Плодове и зеленчуци”. </w:t>
      </w:r>
    </w:p>
    <w:p w14:paraId="04E8AA05" w14:textId="77777777" w:rsidR="00D87D7C" w:rsidRPr="00C57ABA" w:rsidRDefault="00D87D7C" w:rsidP="00D87D7C">
      <w:pPr>
        <w:spacing w:after="120"/>
        <w:ind w:firstLine="709"/>
        <w:jc w:val="both"/>
        <w:rPr>
          <w:rFonts w:ascii="Arial Narrow" w:hAnsi="Arial Narrow"/>
          <w:i/>
        </w:rPr>
      </w:pPr>
      <w:r w:rsidRPr="00C57ABA">
        <w:rPr>
          <w:rFonts w:ascii="Arial Narrow" w:hAnsi="Arial Narrow"/>
          <w:i/>
        </w:rPr>
        <w:t>Оперативни програми в сектор „Мляко и млечни продукти“</w:t>
      </w:r>
    </w:p>
    <w:p w14:paraId="6CCF348A" w14:textId="77777777" w:rsidR="00D87D7C" w:rsidRPr="00C57ABA" w:rsidRDefault="00D87D7C" w:rsidP="00D87D7C">
      <w:pPr>
        <w:spacing w:after="120"/>
        <w:ind w:firstLine="720"/>
        <w:jc w:val="both"/>
        <w:rPr>
          <w:rFonts w:ascii="Arial Narrow" w:hAnsi="Arial Narrow"/>
        </w:rPr>
      </w:pPr>
      <w:r w:rsidRPr="00C57ABA">
        <w:rPr>
          <w:rFonts w:ascii="Arial Narrow" w:hAnsi="Arial Narrow"/>
        </w:rPr>
        <w:t>В СПРЗСР 2023-2027 г. са предвидени интервенции чрез оперативни програми на признати организации на производители и асоциации на организации на производители в сектор „Мляко и млечни продукти“.</w:t>
      </w:r>
      <w:r>
        <w:rPr>
          <w:rFonts w:ascii="Arial Narrow" w:hAnsi="Arial Narrow"/>
        </w:rPr>
        <w:t xml:space="preserve"> </w:t>
      </w:r>
    </w:p>
    <w:p w14:paraId="641F9136" w14:textId="77777777" w:rsidR="00D87D7C" w:rsidRPr="00C57ABA" w:rsidRDefault="00D87D7C" w:rsidP="00D87D7C">
      <w:pPr>
        <w:spacing w:after="120"/>
        <w:ind w:firstLine="720"/>
        <w:jc w:val="both"/>
        <w:rPr>
          <w:rFonts w:ascii="Arial Narrow" w:hAnsi="Arial Narrow"/>
        </w:rPr>
      </w:pPr>
      <w:r w:rsidRPr="00C57ABA">
        <w:rPr>
          <w:rFonts w:ascii="Arial Narrow" w:hAnsi="Arial Narrow"/>
        </w:rPr>
        <w:t xml:space="preserve">За сектора е допустимо подпомагането и на групи производители, като наред с оперативната си програма, те следва да представят и план за признаване. Групите следва да бъдат признати като организации до четири години от началото на одобрената им оперативна програма и не по-късно от             31 декември 2027 г. </w:t>
      </w:r>
    </w:p>
    <w:p w14:paraId="2A12A0DB" w14:textId="77777777" w:rsidR="00D87D7C" w:rsidRPr="00C57ABA" w:rsidRDefault="00D87D7C" w:rsidP="00D87D7C">
      <w:pPr>
        <w:spacing w:after="120"/>
        <w:ind w:firstLine="709"/>
        <w:jc w:val="both"/>
        <w:rPr>
          <w:rFonts w:ascii="Arial Narrow" w:hAnsi="Arial Narrow"/>
        </w:rPr>
      </w:pPr>
      <w:r w:rsidRPr="00C57ABA">
        <w:rPr>
          <w:rFonts w:ascii="Arial Narrow" w:hAnsi="Arial Narrow"/>
        </w:rPr>
        <w:t>Финансовата помощ от ЕС за оперативни програми в сектор „Мляко и млечни продукти“ е по-малката стойност от 50% от реално извършените разходи по оперативната програма или 6% от стойността на пред</w:t>
      </w:r>
      <w:r>
        <w:rPr>
          <w:rFonts w:ascii="Arial Narrow" w:hAnsi="Arial Narrow"/>
        </w:rPr>
        <w:t xml:space="preserve">лаганата на пазара продукция от </w:t>
      </w:r>
      <w:r w:rsidRPr="00C57ABA">
        <w:rPr>
          <w:rFonts w:ascii="Arial Narrow" w:hAnsi="Arial Narrow"/>
        </w:rPr>
        <w:t>организацията. От оперативния фонд се разплащат само разходите и дейностите по оперативната програма. Набирането на средства в него се извършва чрез финансови вноски от групата/организацията и/или от нейните членове и финансовата помощ от ЕФГЗ. Вноските в оперативния фонд се определят с решение на Общото събрание на групата/организацията.</w:t>
      </w:r>
    </w:p>
    <w:p w14:paraId="27B1BC0A" w14:textId="77777777" w:rsidR="00D87D7C" w:rsidRPr="00C57ABA" w:rsidRDefault="00D87D7C" w:rsidP="00D87D7C">
      <w:pPr>
        <w:spacing w:after="120"/>
        <w:ind w:firstLine="709"/>
        <w:jc w:val="both"/>
        <w:rPr>
          <w:rFonts w:ascii="Arial Narrow" w:hAnsi="Arial Narrow"/>
        </w:rPr>
      </w:pPr>
      <w:r>
        <w:rPr>
          <w:rFonts w:ascii="Arial Narrow" w:hAnsi="Arial Narrow"/>
        </w:rPr>
        <w:t xml:space="preserve">Заявки за одобрение на оперативна програма </w:t>
      </w:r>
      <w:r w:rsidRPr="001B385E">
        <w:rPr>
          <w:rFonts w:ascii="Arial Narrow" w:hAnsi="Arial Narrow"/>
        </w:rPr>
        <w:t xml:space="preserve">по интервенциите </w:t>
      </w:r>
      <w:r>
        <w:rPr>
          <w:rFonts w:ascii="Arial Narrow" w:hAnsi="Arial Narrow"/>
        </w:rPr>
        <w:t xml:space="preserve">се </w:t>
      </w:r>
      <w:r w:rsidRPr="00C57ABA">
        <w:rPr>
          <w:rFonts w:ascii="Arial Narrow" w:hAnsi="Arial Narrow"/>
        </w:rPr>
        <w:t xml:space="preserve">подават ежегодно в периода </w:t>
      </w:r>
      <w:r>
        <w:rPr>
          <w:rFonts w:ascii="Arial Narrow" w:hAnsi="Arial Narrow"/>
        </w:rPr>
        <w:t xml:space="preserve">           </w:t>
      </w:r>
      <w:r w:rsidRPr="00C57ABA">
        <w:rPr>
          <w:rFonts w:ascii="Arial Narrow" w:hAnsi="Arial Narrow"/>
        </w:rPr>
        <w:t>1 - 15 октомври</w:t>
      </w:r>
      <w:r>
        <w:rPr>
          <w:rFonts w:ascii="Arial Narrow" w:hAnsi="Arial Narrow"/>
        </w:rPr>
        <w:t xml:space="preserve"> </w:t>
      </w:r>
      <w:r w:rsidRPr="001B385E">
        <w:rPr>
          <w:rFonts w:ascii="Arial Narrow" w:hAnsi="Arial Narrow"/>
        </w:rPr>
        <w:t>през СЕУ на ДФЗ - РА</w:t>
      </w:r>
      <w:r>
        <w:rPr>
          <w:rFonts w:ascii="Arial Narrow" w:hAnsi="Arial Narrow"/>
        </w:rPr>
        <w:t xml:space="preserve">. </w:t>
      </w:r>
      <w:r w:rsidRPr="00C57ABA">
        <w:rPr>
          <w:rFonts w:ascii="Arial Narrow" w:hAnsi="Arial Narrow"/>
        </w:rPr>
        <w:t>През 2024 г. няма депозирани и одобрени програми в сектор „Мляко и млечни продукти“.</w:t>
      </w:r>
    </w:p>
    <w:p w14:paraId="6887943C" w14:textId="77777777" w:rsidR="00D87D7C" w:rsidRPr="00C57ABA" w:rsidRDefault="00D87D7C" w:rsidP="00D87D7C">
      <w:pPr>
        <w:spacing w:after="120"/>
        <w:jc w:val="both"/>
        <w:rPr>
          <w:rFonts w:ascii="Arial Narrow" w:hAnsi="Arial Narrow"/>
          <w:b/>
          <w:szCs w:val="20"/>
        </w:rPr>
      </w:pPr>
      <w:r w:rsidRPr="00C57ABA">
        <w:rPr>
          <w:rFonts w:ascii="Arial Narrow" w:hAnsi="Arial Narrow"/>
          <w:b/>
          <w:szCs w:val="20"/>
        </w:rPr>
        <w:t xml:space="preserve">Таблица </w:t>
      </w:r>
      <w:r w:rsidR="00CA4006" w:rsidRPr="001B6ED3">
        <w:rPr>
          <w:rFonts w:ascii="Arial Narrow" w:hAnsi="Arial Narrow" w:cs="Arial Narrow"/>
          <w:b/>
          <w:bCs/>
          <w:lang w:val="bg-BG"/>
        </w:rPr>
        <w:t>ІV</w:t>
      </w:r>
      <w:r w:rsidR="00CA4006">
        <w:rPr>
          <w:rFonts w:ascii="Arial Narrow" w:hAnsi="Arial Narrow" w:cs="Arial Narrow"/>
          <w:b/>
          <w:bCs/>
          <w:lang w:val="bg-BG"/>
        </w:rPr>
        <w:t>.</w:t>
      </w:r>
      <w:r w:rsidR="00DA1842">
        <w:rPr>
          <w:rFonts w:ascii="Arial Narrow" w:hAnsi="Arial Narrow" w:cs="Arial Narrow"/>
          <w:b/>
          <w:bCs/>
          <w:lang w:val="bg-BG"/>
        </w:rPr>
        <w:t>5</w:t>
      </w:r>
      <w:r w:rsidRPr="00C57ABA">
        <w:rPr>
          <w:rFonts w:ascii="Arial Narrow" w:hAnsi="Arial Narrow"/>
          <w:b/>
          <w:szCs w:val="20"/>
        </w:rPr>
        <w:t>.</w:t>
      </w:r>
      <w:r w:rsidRPr="00C57ABA">
        <w:rPr>
          <w:rFonts w:ascii="Arial Narrow" w:eastAsia="Calibri" w:hAnsi="Arial Narrow"/>
          <w:b/>
          <w:szCs w:val="22"/>
        </w:rPr>
        <w:t xml:space="preserve"> </w:t>
      </w:r>
      <w:r w:rsidRPr="00C57ABA">
        <w:rPr>
          <w:rFonts w:ascii="Arial Narrow" w:hAnsi="Arial Narrow"/>
          <w:b/>
          <w:szCs w:val="20"/>
        </w:rPr>
        <w:t>Планиран размер на финансовата помощ за изпълнение на оперативни програми в сектор „Мляко и млечни продукти“ по СПРЗСР 2023-2027 г., лева</w:t>
      </w:r>
    </w:p>
    <w:tbl>
      <w:tblPr>
        <w:tblW w:w="4947" w:type="pct"/>
        <w:tblInd w:w="70" w:type="dxa"/>
        <w:tblCellMar>
          <w:left w:w="70" w:type="dxa"/>
          <w:right w:w="70" w:type="dxa"/>
        </w:tblCellMar>
        <w:tblLook w:val="04A0" w:firstRow="1" w:lastRow="0" w:firstColumn="1" w:lastColumn="0" w:noHBand="0" w:noVBand="1"/>
      </w:tblPr>
      <w:tblGrid>
        <w:gridCol w:w="3239"/>
        <w:gridCol w:w="1056"/>
        <w:gridCol w:w="1026"/>
        <w:gridCol w:w="1026"/>
        <w:gridCol w:w="1026"/>
        <w:gridCol w:w="1026"/>
        <w:gridCol w:w="1297"/>
      </w:tblGrid>
      <w:tr w:rsidR="00D87D7C" w:rsidRPr="00C57ABA" w14:paraId="39B41AC8" w14:textId="77777777" w:rsidTr="00B06D6E">
        <w:trPr>
          <w:trHeight w:val="785"/>
          <w:tblHeader/>
        </w:trPr>
        <w:tc>
          <w:tcPr>
            <w:tcW w:w="167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4EC260" w14:textId="77777777" w:rsidR="00D87D7C" w:rsidRPr="00C57ABA" w:rsidRDefault="00D87D7C" w:rsidP="00B06D6E">
            <w:pPr>
              <w:ind w:left="-286"/>
              <w:jc w:val="center"/>
              <w:rPr>
                <w:rFonts w:ascii="Arial Narrow" w:hAnsi="Arial Narrow"/>
                <w:b/>
                <w:bCs/>
                <w:color w:val="000000"/>
                <w:sz w:val="20"/>
                <w:szCs w:val="20"/>
              </w:rPr>
            </w:pPr>
          </w:p>
        </w:tc>
        <w:tc>
          <w:tcPr>
            <w:tcW w:w="544" w:type="pct"/>
            <w:tcBorders>
              <w:top w:val="single" w:sz="4" w:space="0" w:color="auto"/>
              <w:left w:val="nil"/>
              <w:bottom w:val="single" w:sz="4" w:space="0" w:color="auto"/>
              <w:right w:val="single" w:sz="4" w:space="0" w:color="auto"/>
            </w:tcBorders>
            <w:shd w:val="clear" w:color="auto" w:fill="auto"/>
            <w:noWrap/>
            <w:vAlign w:val="center"/>
            <w:hideMark/>
          </w:tcPr>
          <w:p w14:paraId="4C83AB06" w14:textId="77777777" w:rsidR="00D87D7C" w:rsidRPr="00C57ABA" w:rsidRDefault="00D87D7C" w:rsidP="00B06D6E">
            <w:pPr>
              <w:jc w:val="center"/>
              <w:rPr>
                <w:rFonts w:ascii="Arial Narrow" w:hAnsi="Arial Narrow"/>
                <w:b/>
                <w:bCs/>
                <w:color w:val="000000"/>
                <w:sz w:val="20"/>
                <w:szCs w:val="20"/>
              </w:rPr>
            </w:pPr>
            <w:r w:rsidRPr="00C57ABA">
              <w:rPr>
                <w:rFonts w:ascii="Arial Narrow" w:hAnsi="Arial Narrow"/>
                <w:b/>
                <w:bCs/>
                <w:color w:val="000000"/>
                <w:sz w:val="20"/>
                <w:szCs w:val="20"/>
              </w:rPr>
              <w:t>2024 г.</w:t>
            </w:r>
          </w:p>
        </w:tc>
        <w:tc>
          <w:tcPr>
            <w:tcW w:w="529" w:type="pct"/>
            <w:tcBorders>
              <w:top w:val="single" w:sz="4" w:space="0" w:color="auto"/>
              <w:left w:val="nil"/>
              <w:bottom w:val="single" w:sz="4" w:space="0" w:color="auto"/>
              <w:right w:val="single" w:sz="4" w:space="0" w:color="auto"/>
            </w:tcBorders>
            <w:shd w:val="clear" w:color="auto" w:fill="auto"/>
            <w:noWrap/>
            <w:vAlign w:val="center"/>
            <w:hideMark/>
          </w:tcPr>
          <w:p w14:paraId="7244F053" w14:textId="77777777" w:rsidR="00D87D7C" w:rsidRPr="00C57ABA" w:rsidRDefault="00D87D7C" w:rsidP="00B06D6E">
            <w:pPr>
              <w:jc w:val="center"/>
              <w:rPr>
                <w:rFonts w:ascii="Arial Narrow" w:hAnsi="Arial Narrow"/>
                <w:b/>
                <w:bCs/>
                <w:color w:val="000000"/>
                <w:sz w:val="20"/>
                <w:szCs w:val="20"/>
              </w:rPr>
            </w:pPr>
            <w:r w:rsidRPr="00C57ABA">
              <w:rPr>
                <w:rFonts w:ascii="Arial Narrow" w:hAnsi="Arial Narrow"/>
                <w:b/>
                <w:bCs/>
                <w:color w:val="000000"/>
                <w:sz w:val="20"/>
                <w:szCs w:val="20"/>
              </w:rPr>
              <w:t>2025 г.</w:t>
            </w:r>
          </w:p>
        </w:tc>
        <w:tc>
          <w:tcPr>
            <w:tcW w:w="529" w:type="pct"/>
            <w:tcBorders>
              <w:top w:val="single" w:sz="4" w:space="0" w:color="auto"/>
              <w:left w:val="nil"/>
              <w:bottom w:val="single" w:sz="4" w:space="0" w:color="auto"/>
              <w:right w:val="single" w:sz="4" w:space="0" w:color="auto"/>
            </w:tcBorders>
            <w:shd w:val="clear" w:color="auto" w:fill="auto"/>
            <w:noWrap/>
            <w:vAlign w:val="center"/>
            <w:hideMark/>
          </w:tcPr>
          <w:p w14:paraId="59C4969D" w14:textId="77777777" w:rsidR="00D87D7C" w:rsidRPr="00C57ABA" w:rsidRDefault="00D87D7C" w:rsidP="00B06D6E">
            <w:pPr>
              <w:jc w:val="center"/>
              <w:rPr>
                <w:rFonts w:ascii="Arial Narrow" w:hAnsi="Arial Narrow"/>
                <w:b/>
                <w:bCs/>
                <w:color w:val="000000"/>
                <w:sz w:val="20"/>
                <w:szCs w:val="20"/>
              </w:rPr>
            </w:pPr>
            <w:r w:rsidRPr="00C57ABA">
              <w:rPr>
                <w:rFonts w:ascii="Arial Narrow" w:hAnsi="Arial Narrow"/>
                <w:b/>
                <w:bCs/>
                <w:color w:val="000000"/>
                <w:sz w:val="20"/>
                <w:szCs w:val="20"/>
              </w:rPr>
              <w:t>2026 г.</w:t>
            </w:r>
          </w:p>
        </w:tc>
        <w:tc>
          <w:tcPr>
            <w:tcW w:w="529" w:type="pct"/>
            <w:tcBorders>
              <w:top w:val="single" w:sz="4" w:space="0" w:color="auto"/>
              <w:left w:val="nil"/>
              <w:bottom w:val="single" w:sz="4" w:space="0" w:color="auto"/>
              <w:right w:val="single" w:sz="4" w:space="0" w:color="auto"/>
            </w:tcBorders>
            <w:shd w:val="clear" w:color="auto" w:fill="auto"/>
            <w:noWrap/>
            <w:vAlign w:val="center"/>
            <w:hideMark/>
          </w:tcPr>
          <w:p w14:paraId="65D2E59E" w14:textId="77777777" w:rsidR="00D87D7C" w:rsidRPr="00C57ABA" w:rsidRDefault="00D87D7C" w:rsidP="00B06D6E">
            <w:pPr>
              <w:jc w:val="center"/>
              <w:rPr>
                <w:rFonts w:ascii="Arial Narrow" w:hAnsi="Arial Narrow"/>
                <w:b/>
                <w:bCs/>
                <w:color w:val="000000"/>
                <w:sz w:val="20"/>
                <w:szCs w:val="20"/>
              </w:rPr>
            </w:pPr>
            <w:r w:rsidRPr="00C57ABA">
              <w:rPr>
                <w:rFonts w:ascii="Arial Narrow" w:hAnsi="Arial Narrow"/>
                <w:b/>
                <w:bCs/>
                <w:color w:val="000000"/>
                <w:sz w:val="20"/>
                <w:szCs w:val="20"/>
              </w:rPr>
              <w:t>2027 г.</w:t>
            </w:r>
          </w:p>
        </w:tc>
        <w:tc>
          <w:tcPr>
            <w:tcW w:w="529" w:type="pct"/>
            <w:tcBorders>
              <w:top w:val="single" w:sz="4" w:space="0" w:color="auto"/>
              <w:left w:val="nil"/>
              <w:bottom w:val="single" w:sz="4" w:space="0" w:color="auto"/>
              <w:right w:val="single" w:sz="4" w:space="0" w:color="auto"/>
            </w:tcBorders>
            <w:shd w:val="clear" w:color="auto" w:fill="auto"/>
            <w:noWrap/>
            <w:vAlign w:val="center"/>
            <w:hideMark/>
          </w:tcPr>
          <w:p w14:paraId="66BFBD68" w14:textId="77777777" w:rsidR="00D87D7C" w:rsidRPr="00C57ABA" w:rsidRDefault="00D87D7C" w:rsidP="00B06D6E">
            <w:pPr>
              <w:jc w:val="center"/>
              <w:rPr>
                <w:rFonts w:ascii="Arial Narrow" w:hAnsi="Arial Narrow"/>
                <w:b/>
                <w:bCs/>
                <w:color w:val="000000"/>
                <w:sz w:val="20"/>
                <w:szCs w:val="20"/>
              </w:rPr>
            </w:pPr>
            <w:r w:rsidRPr="00C57ABA">
              <w:rPr>
                <w:rFonts w:ascii="Arial Narrow" w:hAnsi="Arial Narrow"/>
                <w:b/>
                <w:bCs/>
                <w:color w:val="000000"/>
                <w:sz w:val="20"/>
                <w:szCs w:val="20"/>
              </w:rPr>
              <w:t>2028 г.</w:t>
            </w:r>
          </w:p>
        </w:tc>
        <w:tc>
          <w:tcPr>
            <w:tcW w:w="669" w:type="pct"/>
            <w:tcBorders>
              <w:top w:val="single" w:sz="4" w:space="0" w:color="auto"/>
              <w:left w:val="nil"/>
              <w:bottom w:val="single" w:sz="4" w:space="0" w:color="auto"/>
              <w:right w:val="single" w:sz="4" w:space="0" w:color="auto"/>
            </w:tcBorders>
            <w:shd w:val="clear" w:color="auto" w:fill="auto"/>
            <w:vAlign w:val="center"/>
            <w:hideMark/>
          </w:tcPr>
          <w:p w14:paraId="64D224E8" w14:textId="77777777" w:rsidR="00D87D7C" w:rsidRPr="00C57ABA" w:rsidRDefault="00D87D7C" w:rsidP="00B06D6E">
            <w:pPr>
              <w:jc w:val="center"/>
              <w:rPr>
                <w:rFonts w:ascii="Arial Narrow" w:hAnsi="Arial Narrow"/>
                <w:b/>
                <w:bCs/>
                <w:color w:val="000000"/>
                <w:sz w:val="20"/>
                <w:szCs w:val="20"/>
              </w:rPr>
            </w:pPr>
            <w:r w:rsidRPr="00C57ABA">
              <w:rPr>
                <w:rFonts w:ascii="Arial Narrow" w:hAnsi="Arial Narrow"/>
                <w:b/>
                <w:bCs/>
                <w:color w:val="000000"/>
                <w:sz w:val="20"/>
                <w:szCs w:val="20"/>
              </w:rPr>
              <w:t xml:space="preserve">Общо за периода </w:t>
            </w:r>
          </w:p>
          <w:p w14:paraId="6CDEC839" w14:textId="77777777" w:rsidR="00D87D7C" w:rsidRPr="00C57ABA" w:rsidRDefault="00D87D7C" w:rsidP="00B06D6E">
            <w:pPr>
              <w:jc w:val="center"/>
              <w:rPr>
                <w:rFonts w:ascii="Arial Narrow" w:hAnsi="Arial Narrow"/>
                <w:b/>
                <w:bCs/>
                <w:color w:val="000000"/>
                <w:sz w:val="20"/>
                <w:szCs w:val="20"/>
              </w:rPr>
            </w:pPr>
            <w:r w:rsidRPr="00C57ABA">
              <w:rPr>
                <w:rFonts w:ascii="Arial Narrow" w:hAnsi="Arial Narrow"/>
                <w:b/>
                <w:bCs/>
                <w:color w:val="000000"/>
                <w:sz w:val="20"/>
                <w:szCs w:val="20"/>
              </w:rPr>
              <w:t>2024-2028 г.</w:t>
            </w:r>
          </w:p>
        </w:tc>
      </w:tr>
      <w:tr w:rsidR="00D87D7C" w:rsidRPr="00C57ABA" w14:paraId="480F313B" w14:textId="77777777" w:rsidTr="00B06D6E">
        <w:trPr>
          <w:trHeight w:val="514"/>
        </w:trPr>
        <w:tc>
          <w:tcPr>
            <w:tcW w:w="1670" w:type="pct"/>
            <w:tcBorders>
              <w:top w:val="nil"/>
              <w:left w:val="single" w:sz="4" w:space="0" w:color="auto"/>
              <w:bottom w:val="single" w:sz="4" w:space="0" w:color="auto"/>
              <w:right w:val="single" w:sz="4" w:space="0" w:color="auto"/>
            </w:tcBorders>
            <w:shd w:val="clear" w:color="auto" w:fill="auto"/>
            <w:vAlign w:val="center"/>
            <w:hideMark/>
          </w:tcPr>
          <w:p w14:paraId="4D745009" w14:textId="77777777" w:rsidR="00D87D7C" w:rsidRPr="00C57ABA" w:rsidRDefault="00D87D7C" w:rsidP="00B06D6E">
            <w:pPr>
              <w:rPr>
                <w:rFonts w:ascii="Arial Narrow" w:hAnsi="Arial Narrow"/>
                <w:color w:val="000000"/>
                <w:sz w:val="20"/>
                <w:szCs w:val="20"/>
              </w:rPr>
            </w:pPr>
            <w:r w:rsidRPr="00C57ABA">
              <w:rPr>
                <w:rFonts w:ascii="Arial Narrow" w:hAnsi="Arial Narrow"/>
                <w:color w:val="000000"/>
                <w:sz w:val="20"/>
                <w:szCs w:val="20"/>
              </w:rPr>
              <w:t>Оперативни програми в сектор „Мляко и млечни продукти“</w:t>
            </w:r>
          </w:p>
        </w:tc>
        <w:tc>
          <w:tcPr>
            <w:tcW w:w="544" w:type="pct"/>
            <w:tcBorders>
              <w:top w:val="nil"/>
              <w:left w:val="single" w:sz="4" w:space="0" w:color="auto"/>
              <w:bottom w:val="single" w:sz="4" w:space="0" w:color="auto"/>
              <w:right w:val="single" w:sz="4" w:space="0" w:color="auto"/>
            </w:tcBorders>
            <w:shd w:val="clear" w:color="auto" w:fill="auto"/>
            <w:noWrap/>
            <w:vAlign w:val="center"/>
            <w:hideMark/>
          </w:tcPr>
          <w:p w14:paraId="022F39E5" w14:textId="77777777" w:rsidR="00D87D7C" w:rsidRPr="00C57ABA" w:rsidRDefault="00D87D7C" w:rsidP="00B06D6E">
            <w:pPr>
              <w:jc w:val="right"/>
              <w:rPr>
                <w:rFonts w:ascii="Arial Narrow" w:hAnsi="Arial Narrow" w:cs="Calibri"/>
                <w:color w:val="000000"/>
                <w:sz w:val="20"/>
                <w:szCs w:val="20"/>
              </w:rPr>
            </w:pPr>
            <w:r w:rsidRPr="00C57ABA">
              <w:rPr>
                <w:rFonts w:ascii="Arial Narrow" w:hAnsi="Arial Narrow" w:cs="Calibri"/>
                <w:color w:val="000000"/>
                <w:sz w:val="20"/>
                <w:szCs w:val="20"/>
              </w:rPr>
              <w:t>360 000</w:t>
            </w:r>
          </w:p>
        </w:tc>
        <w:tc>
          <w:tcPr>
            <w:tcW w:w="529" w:type="pct"/>
            <w:tcBorders>
              <w:top w:val="nil"/>
              <w:left w:val="nil"/>
              <w:bottom w:val="single" w:sz="4" w:space="0" w:color="auto"/>
              <w:right w:val="single" w:sz="4" w:space="0" w:color="auto"/>
            </w:tcBorders>
            <w:shd w:val="clear" w:color="auto" w:fill="auto"/>
            <w:noWrap/>
            <w:vAlign w:val="center"/>
            <w:hideMark/>
          </w:tcPr>
          <w:p w14:paraId="68CCCAC0" w14:textId="77777777" w:rsidR="00D87D7C" w:rsidRPr="00C57ABA" w:rsidRDefault="00D87D7C" w:rsidP="00B06D6E">
            <w:pPr>
              <w:jc w:val="right"/>
              <w:rPr>
                <w:rFonts w:ascii="Arial Narrow" w:hAnsi="Arial Narrow" w:cs="Calibri"/>
                <w:color w:val="000000"/>
                <w:sz w:val="20"/>
                <w:szCs w:val="20"/>
              </w:rPr>
            </w:pPr>
            <w:r w:rsidRPr="00C57ABA">
              <w:rPr>
                <w:rFonts w:ascii="Arial Narrow" w:hAnsi="Arial Narrow" w:cs="Calibri"/>
                <w:color w:val="000000"/>
                <w:sz w:val="20"/>
                <w:szCs w:val="20"/>
              </w:rPr>
              <w:t>360 000</w:t>
            </w:r>
          </w:p>
        </w:tc>
        <w:tc>
          <w:tcPr>
            <w:tcW w:w="529" w:type="pct"/>
            <w:tcBorders>
              <w:top w:val="nil"/>
              <w:left w:val="nil"/>
              <w:bottom w:val="single" w:sz="4" w:space="0" w:color="auto"/>
              <w:right w:val="single" w:sz="4" w:space="0" w:color="auto"/>
            </w:tcBorders>
            <w:shd w:val="clear" w:color="auto" w:fill="auto"/>
            <w:noWrap/>
            <w:vAlign w:val="center"/>
            <w:hideMark/>
          </w:tcPr>
          <w:p w14:paraId="138B0950" w14:textId="77777777" w:rsidR="00D87D7C" w:rsidRPr="00C57ABA" w:rsidRDefault="00D87D7C" w:rsidP="00B06D6E">
            <w:pPr>
              <w:jc w:val="right"/>
              <w:rPr>
                <w:rFonts w:ascii="Arial Narrow" w:hAnsi="Arial Narrow" w:cs="Calibri"/>
                <w:color w:val="000000"/>
                <w:sz w:val="20"/>
                <w:szCs w:val="20"/>
              </w:rPr>
            </w:pPr>
            <w:r w:rsidRPr="00C57ABA">
              <w:rPr>
                <w:rFonts w:ascii="Arial Narrow" w:hAnsi="Arial Narrow" w:cs="Calibri"/>
                <w:color w:val="000000"/>
                <w:sz w:val="20"/>
                <w:szCs w:val="20"/>
              </w:rPr>
              <w:t>360 000</w:t>
            </w:r>
          </w:p>
        </w:tc>
        <w:tc>
          <w:tcPr>
            <w:tcW w:w="529" w:type="pct"/>
            <w:tcBorders>
              <w:top w:val="nil"/>
              <w:left w:val="nil"/>
              <w:bottom w:val="single" w:sz="4" w:space="0" w:color="auto"/>
              <w:right w:val="single" w:sz="4" w:space="0" w:color="auto"/>
            </w:tcBorders>
            <w:shd w:val="clear" w:color="auto" w:fill="auto"/>
            <w:noWrap/>
            <w:vAlign w:val="center"/>
            <w:hideMark/>
          </w:tcPr>
          <w:p w14:paraId="57F0F935" w14:textId="77777777" w:rsidR="00D87D7C" w:rsidRPr="00C57ABA" w:rsidRDefault="00D87D7C" w:rsidP="00B06D6E">
            <w:pPr>
              <w:jc w:val="right"/>
              <w:rPr>
                <w:rFonts w:ascii="Arial Narrow" w:hAnsi="Arial Narrow" w:cs="Calibri"/>
                <w:color w:val="000000"/>
                <w:sz w:val="20"/>
                <w:szCs w:val="20"/>
              </w:rPr>
            </w:pPr>
            <w:r w:rsidRPr="00C57ABA">
              <w:rPr>
                <w:rFonts w:ascii="Arial Narrow" w:hAnsi="Arial Narrow" w:cs="Calibri"/>
                <w:color w:val="000000"/>
                <w:sz w:val="20"/>
                <w:szCs w:val="20"/>
              </w:rPr>
              <w:t>360 000</w:t>
            </w:r>
          </w:p>
        </w:tc>
        <w:tc>
          <w:tcPr>
            <w:tcW w:w="529" w:type="pct"/>
            <w:tcBorders>
              <w:top w:val="nil"/>
              <w:left w:val="nil"/>
              <w:bottom w:val="single" w:sz="4" w:space="0" w:color="auto"/>
              <w:right w:val="single" w:sz="4" w:space="0" w:color="auto"/>
            </w:tcBorders>
            <w:shd w:val="clear" w:color="auto" w:fill="auto"/>
            <w:noWrap/>
            <w:vAlign w:val="center"/>
            <w:hideMark/>
          </w:tcPr>
          <w:p w14:paraId="52955A78" w14:textId="77777777" w:rsidR="00D87D7C" w:rsidRPr="00C57ABA" w:rsidRDefault="00D87D7C" w:rsidP="00B06D6E">
            <w:pPr>
              <w:jc w:val="right"/>
              <w:rPr>
                <w:rFonts w:ascii="Arial Narrow" w:hAnsi="Arial Narrow" w:cs="Calibri"/>
                <w:color w:val="000000"/>
                <w:sz w:val="20"/>
                <w:szCs w:val="20"/>
              </w:rPr>
            </w:pPr>
            <w:r w:rsidRPr="00C57ABA">
              <w:rPr>
                <w:rFonts w:ascii="Arial Narrow" w:hAnsi="Arial Narrow" w:cs="Calibri"/>
                <w:color w:val="000000"/>
                <w:sz w:val="20"/>
                <w:szCs w:val="20"/>
              </w:rPr>
              <w:t>360 000</w:t>
            </w:r>
          </w:p>
        </w:tc>
        <w:tc>
          <w:tcPr>
            <w:tcW w:w="669" w:type="pct"/>
            <w:tcBorders>
              <w:top w:val="nil"/>
              <w:left w:val="nil"/>
              <w:bottom w:val="single" w:sz="4" w:space="0" w:color="auto"/>
              <w:right w:val="single" w:sz="4" w:space="0" w:color="auto"/>
            </w:tcBorders>
            <w:shd w:val="clear" w:color="auto" w:fill="auto"/>
            <w:noWrap/>
            <w:vAlign w:val="center"/>
            <w:hideMark/>
          </w:tcPr>
          <w:p w14:paraId="46BC7CDE" w14:textId="77777777" w:rsidR="00D87D7C" w:rsidRPr="00C57ABA" w:rsidRDefault="00D87D7C" w:rsidP="00B06D6E">
            <w:pPr>
              <w:jc w:val="right"/>
              <w:rPr>
                <w:rFonts w:ascii="Arial Narrow" w:hAnsi="Arial Narrow" w:cs="Calibri"/>
                <w:color w:val="000000"/>
                <w:sz w:val="20"/>
                <w:szCs w:val="20"/>
              </w:rPr>
            </w:pPr>
            <w:r w:rsidRPr="00C57ABA">
              <w:rPr>
                <w:rFonts w:ascii="Arial Narrow" w:hAnsi="Arial Narrow" w:cs="Calibri"/>
                <w:color w:val="000000"/>
                <w:sz w:val="20"/>
                <w:szCs w:val="20"/>
              </w:rPr>
              <w:t>1 800 000</w:t>
            </w:r>
          </w:p>
        </w:tc>
      </w:tr>
    </w:tbl>
    <w:p w14:paraId="09E08372" w14:textId="77777777" w:rsidR="00D87D7C" w:rsidRPr="00725099" w:rsidRDefault="00D87D7C" w:rsidP="00D87D7C">
      <w:pPr>
        <w:spacing w:after="120"/>
        <w:rPr>
          <w:rFonts w:ascii="Arial Narrow" w:hAnsi="Arial Narrow"/>
          <w:sz w:val="18"/>
        </w:rPr>
      </w:pPr>
      <w:r w:rsidRPr="00725099">
        <w:rPr>
          <w:rFonts w:ascii="Arial Narrow" w:hAnsi="Arial Narrow"/>
          <w:i/>
          <w:sz w:val="18"/>
        </w:rPr>
        <w:t xml:space="preserve"> Източник: </w:t>
      </w:r>
      <w:r w:rsidRPr="00725099">
        <w:rPr>
          <w:rFonts w:ascii="Arial Narrow" w:hAnsi="Arial Narrow"/>
          <w:sz w:val="18"/>
        </w:rPr>
        <w:t>ДФЗ-РА</w:t>
      </w:r>
    </w:p>
    <w:p w14:paraId="051F6C2F" w14:textId="77777777" w:rsidR="00D87D7C" w:rsidRPr="00C57ABA" w:rsidRDefault="00D87D7C" w:rsidP="00D87D7C">
      <w:pPr>
        <w:spacing w:after="120"/>
        <w:ind w:firstLine="720"/>
        <w:jc w:val="both"/>
        <w:rPr>
          <w:rFonts w:ascii="Arial Narrow" w:hAnsi="Arial Narrow"/>
          <w:b/>
          <w:i/>
        </w:rPr>
      </w:pPr>
      <w:r w:rsidRPr="00C57ABA">
        <w:rPr>
          <w:rFonts w:ascii="Arial Narrow" w:hAnsi="Arial Narrow"/>
          <w:b/>
          <w:i/>
        </w:rPr>
        <w:t>Оперативни програми в сектор „Плодове и зеленчуци“</w:t>
      </w:r>
    </w:p>
    <w:p w14:paraId="2185EA4B" w14:textId="77777777" w:rsidR="00D87D7C" w:rsidRPr="00C57ABA" w:rsidRDefault="00D87D7C" w:rsidP="00D87D7C">
      <w:pPr>
        <w:spacing w:after="120"/>
        <w:ind w:firstLine="720"/>
        <w:jc w:val="both"/>
        <w:rPr>
          <w:rFonts w:ascii="Arial Narrow" w:hAnsi="Arial Narrow"/>
        </w:rPr>
      </w:pPr>
      <w:r w:rsidRPr="00C57ABA">
        <w:rPr>
          <w:rFonts w:ascii="Arial Narrow" w:hAnsi="Arial Narrow"/>
        </w:rPr>
        <w:t>Финансовото подпомагане е насочено към повишаване на конкурентоспособността и пазарната ориентация на организациите на производители и асоциациите на организации на производители в сектор „Плодове и зеленчуци“, намаляване на колебанията в доходите на земеделските производители при кризи, увеличаване на потреблението на плодове и зеленчуци и повишаване използването на екологични техники в производството.</w:t>
      </w:r>
    </w:p>
    <w:p w14:paraId="297A00F6" w14:textId="77777777" w:rsidR="00D87D7C" w:rsidRPr="00C57ABA" w:rsidRDefault="00D87D7C" w:rsidP="00D87D7C">
      <w:pPr>
        <w:spacing w:after="120"/>
        <w:ind w:firstLine="720"/>
        <w:jc w:val="both"/>
        <w:rPr>
          <w:rFonts w:ascii="Arial Narrow" w:hAnsi="Arial Narrow"/>
        </w:rPr>
      </w:pPr>
      <w:r w:rsidRPr="00C57ABA">
        <w:rPr>
          <w:rFonts w:ascii="Arial Narrow" w:hAnsi="Arial Narrow"/>
        </w:rPr>
        <w:t xml:space="preserve">За подкрепа могат да кандидатстват организации на производители на плодове и зеленчуци, които са признати от </w:t>
      </w:r>
      <w:r w:rsidRPr="00C57ABA">
        <w:rPr>
          <w:rFonts w:ascii="Arial Narrow" w:hAnsi="Arial Narrow"/>
          <w:color w:val="000000" w:themeColor="text1"/>
        </w:rPr>
        <w:t>министъра</w:t>
      </w:r>
      <w:r w:rsidRPr="00C57ABA">
        <w:rPr>
          <w:rFonts w:ascii="Arial Narrow" w:hAnsi="Arial Narrow"/>
        </w:rPr>
        <w:t xml:space="preserve"> на земеделието и храните. Те трябва да имат създаден оперативен фонд и да представят за одобрение оперативна/и програма/и. Финансирането на оперативната програма се извършва само от оперативния фонд, който се формира от финансови вноски от организацията и/или от нейните членове</w:t>
      </w:r>
      <w:r>
        <w:rPr>
          <w:rFonts w:ascii="Arial Narrow" w:hAnsi="Arial Narrow"/>
        </w:rPr>
        <w:t>,</w:t>
      </w:r>
      <w:r w:rsidRPr="00C57ABA">
        <w:rPr>
          <w:rFonts w:ascii="Arial Narrow" w:hAnsi="Arial Narrow"/>
        </w:rPr>
        <w:t xml:space="preserve"> и финансова помощ от ЕФГЗ. Вноските в оперативния фонд се определят с решение на Общото събрание на организацията. От оперативния фонд се разплащат всички разходи и дейности по оперативната програма.</w:t>
      </w:r>
    </w:p>
    <w:p w14:paraId="48839C4F" w14:textId="77777777" w:rsidR="00D87D7C" w:rsidRPr="00C57ABA" w:rsidRDefault="00D87D7C" w:rsidP="00D87D7C">
      <w:pPr>
        <w:spacing w:after="120"/>
        <w:ind w:firstLine="720"/>
        <w:jc w:val="both"/>
        <w:rPr>
          <w:rFonts w:ascii="Arial Narrow" w:hAnsi="Arial Narrow"/>
        </w:rPr>
      </w:pPr>
      <w:r w:rsidRPr="00C57ABA">
        <w:rPr>
          <w:rFonts w:ascii="Arial Narrow" w:hAnsi="Arial Narrow"/>
        </w:rPr>
        <w:t xml:space="preserve">Финансовата помощ от ЕС е по-малката стойност от 50% от реално извършените разходи от оперативната програма или 4,1% от стойността на предлаганата на пазара продукция от организацията. </w:t>
      </w:r>
    </w:p>
    <w:p w14:paraId="7C104C5A" w14:textId="77777777" w:rsidR="00D87D7C" w:rsidRPr="00C57ABA" w:rsidRDefault="00D87D7C" w:rsidP="00D87D7C">
      <w:pPr>
        <w:spacing w:after="120"/>
        <w:ind w:firstLine="720"/>
        <w:jc w:val="both"/>
        <w:rPr>
          <w:rFonts w:ascii="Arial Narrow" w:hAnsi="Arial Narrow"/>
        </w:rPr>
      </w:pPr>
      <w:r w:rsidRPr="00C57ABA">
        <w:rPr>
          <w:rFonts w:ascii="Arial Narrow" w:hAnsi="Arial Narrow"/>
        </w:rPr>
        <w:t xml:space="preserve">Организации на производители в региони, в които степента на организираност в сектора на плодовете и зеленчуците е значително под средната за Съюза, могат в допълнение към финансовата помощ от ЕС да получат национална финансова помощ, определена като по-малката стойност между 80% от реално платените вноски в оперативния фонд или 10% от стойността на предлаганата на пазара продукция на организацията на производители. </w:t>
      </w:r>
    </w:p>
    <w:p w14:paraId="184E07BE" w14:textId="77777777" w:rsidR="00D87D7C" w:rsidRDefault="00D87D7C" w:rsidP="00D87D7C">
      <w:pPr>
        <w:spacing w:after="120"/>
        <w:ind w:firstLine="709"/>
        <w:rPr>
          <w:rFonts w:ascii="Arial Narrow" w:hAnsi="Arial Narrow"/>
        </w:rPr>
      </w:pPr>
      <w:r w:rsidRPr="001B385E">
        <w:rPr>
          <w:rFonts w:ascii="Arial Narrow" w:hAnsi="Arial Narrow"/>
        </w:rPr>
        <w:t>Заявки за одобрение на оперативна програма по интервенциите в сектор</w:t>
      </w:r>
      <w:r>
        <w:rPr>
          <w:rFonts w:ascii="Arial Narrow" w:hAnsi="Arial Narrow"/>
        </w:rPr>
        <w:t xml:space="preserve"> „Плодове и зеленчуци“ </w:t>
      </w:r>
      <w:r w:rsidRPr="001B385E">
        <w:rPr>
          <w:rFonts w:ascii="Arial Narrow" w:hAnsi="Arial Narrow"/>
        </w:rPr>
        <w:t xml:space="preserve"> се подават ежегодно в </w:t>
      </w:r>
      <w:r>
        <w:rPr>
          <w:rFonts w:ascii="Arial Narrow" w:hAnsi="Arial Narrow"/>
        </w:rPr>
        <w:t xml:space="preserve">периода </w:t>
      </w:r>
      <w:r w:rsidRPr="001B385E">
        <w:rPr>
          <w:rFonts w:ascii="Arial Narrow" w:hAnsi="Arial Narrow"/>
        </w:rPr>
        <w:t>1 август - 1 с</w:t>
      </w:r>
      <w:r>
        <w:rPr>
          <w:rFonts w:ascii="Arial Narrow" w:hAnsi="Arial Narrow"/>
        </w:rPr>
        <w:t xml:space="preserve">ептември през СЕУ на ДФЗ - РА. </w:t>
      </w:r>
    </w:p>
    <w:p w14:paraId="048BBEFF" w14:textId="77777777" w:rsidR="00D87D7C" w:rsidRPr="00C57ABA" w:rsidRDefault="00D87D7C" w:rsidP="00D87D7C">
      <w:pPr>
        <w:spacing w:after="120"/>
        <w:ind w:firstLine="709"/>
        <w:jc w:val="both"/>
        <w:rPr>
          <w:rFonts w:ascii="Arial Narrow" w:hAnsi="Arial Narrow"/>
        </w:rPr>
      </w:pPr>
      <w:r w:rsidRPr="00C57ABA">
        <w:rPr>
          <w:rFonts w:ascii="Arial Narrow" w:hAnsi="Arial Narrow"/>
        </w:rPr>
        <w:t>През 2024 г. по интервенциите за изпълнение на оперативни програми в сектор „Плодове и зеленчуци“ се изпълняват три оперативни програми, всяка от които е с продължителност 3 години</w:t>
      </w:r>
      <w:r>
        <w:rPr>
          <w:rFonts w:ascii="Arial Narrow" w:hAnsi="Arial Narrow"/>
        </w:rPr>
        <w:t>,</w:t>
      </w:r>
      <w:r w:rsidRPr="00C57ABA">
        <w:rPr>
          <w:rFonts w:ascii="Arial Narrow" w:hAnsi="Arial Narrow"/>
        </w:rPr>
        <w:t xml:space="preserve"> на обща стойност 4 790 543 лева, като финансовата помощ от ЕФГЗ и НБ е на обща стойност 2 958 683 лева.</w:t>
      </w:r>
    </w:p>
    <w:p w14:paraId="002AEE3E" w14:textId="77777777" w:rsidR="00D87D7C" w:rsidRPr="00C57ABA" w:rsidRDefault="00D87D7C" w:rsidP="00D87D7C">
      <w:pPr>
        <w:spacing w:after="120"/>
        <w:ind w:firstLine="720"/>
        <w:jc w:val="both"/>
        <w:rPr>
          <w:rFonts w:ascii="Arial Narrow" w:hAnsi="Arial Narrow"/>
        </w:rPr>
      </w:pPr>
      <w:r w:rsidRPr="00C57ABA">
        <w:rPr>
          <w:rFonts w:ascii="Arial Narrow" w:hAnsi="Arial Narrow"/>
        </w:rPr>
        <w:t xml:space="preserve">Изплатената финансова помощ през 2024 г. по интервенциите в сектор „Плодове и зеленчуци“ е в размер на 305 405 </w:t>
      </w:r>
      <w:r>
        <w:rPr>
          <w:rFonts w:ascii="Arial Narrow" w:hAnsi="Arial Narrow"/>
        </w:rPr>
        <w:t>лева</w:t>
      </w:r>
      <w:r w:rsidRPr="00C57ABA">
        <w:rPr>
          <w:rFonts w:ascii="Arial Narrow" w:hAnsi="Arial Narrow"/>
        </w:rPr>
        <w:t xml:space="preserve">, от които 93 845 </w:t>
      </w:r>
      <w:r>
        <w:rPr>
          <w:rFonts w:ascii="Arial Narrow" w:hAnsi="Arial Narrow"/>
        </w:rPr>
        <w:t>лева</w:t>
      </w:r>
      <w:r w:rsidRPr="00C57ABA">
        <w:rPr>
          <w:rFonts w:ascii="Arial Narrow" w:hAnsi="Arial Narrow"/>
        </w:rPr>
        <w:t xml:space="preserve"> от ЕФГЗ и  211 559 </w:t>
      </w:r>
      <w:r>
        <w:rPr>
          <w:rFonts w:ascii="Arial Narrow" w:hAnsi="Arial Narrow"/>
        </w:rPr>
        <w:t>лева</w:t>
      </w:r>
      <w:r w:rsidRPr="00C57ABA">
        <w:rPr>
          <w:rFonts w:ascii="Arial Narrow" w:hAnsi="Arial Narrow"/>
        </w:rPr>
        <w:t xml:space="preserve"> от НБ. </w:t>
      </w:r>
    </w:p>
    <w:p w14:paraId="0A027D72" w14:textId="77777777" w:rsidR="00D87D7C" w:rsidRPr="00C57ABA" w:rsidRDefault="00D87D7C" w:rsidP="00D87D7C">
      <w:pPr>
        <w:spacing w:after="120"/>
        <w:jc w:val="both"/>
        <w:rPr>
          <w:rFonts w:ascii="Arial Narrow" w:hAnsi="Arial Narrow"/>
          <w:szCs w:val="20"/>
        </w:rPr>
      </w:pPr>
      <w:r w:rsidRPr="00C57ABA">
        <w:rPr>
          <w:rFonts w:ascii="Arial Narrow" w:hAnsi="Arial Narrow"/>
          <w:b/>
          <w:szCs w:val="20"/>
        </w:rPr>
        <w:t xml:space="preserve">Таблица </w:t>
      </w:r>
      <w:r w:rsidR="00CA4006" w:rsidRPr="001B6ED3">
        <w:rPr>
          <w:rFonts w:ascii="Arial Narrow" w:hAnsi="Arial Narrow" w:cs="Arial Narrow"/>
          <w:b/>
          <w:bCs/>
          <w:lang w:val="bg-BG"/>
        </w:rPr>
        <w:t>ІV</w:t>
      </w:r>
      <w:r w:rsidR="00CA4006">
        <w:rPr>
          <w:rFonts w:ascii="Arial Narrow" w:hAnsi="Arial Narrow" w:cs="Arial Narrow"/>
          <w:b/>
          <w:bCs/>
          <w:lang w:val="bg-BG"/>
        </w:rPr>
        <w:t>.</w:t>
      </w:r>
      <w:r w:rsidR="00712B4B">
        <w:rPr>
          <w:rFonts w:ascii="Arial Narrow" w:hAnsi="Arial Narrow" w:cs="Arial Narrow"/>
          <w:b/>
          <w:bCs/>
          <w:lang w:val="bg-BG"/>
        </w:rPr>
        <w:t>6</w:t>
      </w:r>
      <w:r w:rsidRPr="00C57ABA">
        <w:rPr>
          <w:rFonts w:ascii="Arial Narrow" w:hAnsi="Arial Narrow"/>
          <w:b/>
          <w:szCs w:val="20"/>
        </w:rPr>
        <w:t>.</w:t>
      </w:r>
      <w:r w:rsidRPr="00C57ABA">
        <w:rPr>
          <w:rFonts w:ascii="Arial Narrow" w:hAnsi="Arial Narrow" w:cs="Arial Narrow"/>
          <w:b/>
          <w:bCs/>
          <w:szCs w:val="20"/>
        </w:rPr>
        <w:t xml:space="preserve"> </w:t>
      </w:r>
      <w:r w:rsidRPr="00C57ABA">
        <w:rPr>
          <w:rFonts w:ascii="Arial Narrow" w:hAnsi="Arial Narrow"/>
          <w:b/>
          <w:szCs w:val="20"/>
        </w:rPr>
        <w:t>Планиран размер на финансовата помощ за изпълнение на оперативни програми в сектор „</w:t>
      </w:r>
      <w:r w:rsidRPr="00C57ABA">
        <w:rPr>
          <w:rFonts w:ascii="Arial Narrow" w:eastAsia="Calibri" w:hAnsi="Arial Narrow"/>
          <w:b/>
          <w:szCs w:val="20"/>
        </w:rPr>
        <w:t>Плодове</w:t>
      </w:r>
      <w:r w:rsidRPr="00C57ABA">
        <w:rPr>
          <w:rFonts w:ascii="Arial Narrow" w:hAnsi="Arial Narrow"/>
          <w:b/>
          <w:szCs w:val="20"/>
        </w:rPr>
        <w:t xml:space="preserve"> и зеленчуци“ по СПРЗСР 2023-2027 г., лева</w:t>
      </w:r>
    </w:p>
    <w:tbl>
      <w:tblPr>
        <w:tblW w:w="4859" w:type="pct"/>
        <w:tblInd w:w="70" w:type="dxa"/>
        <w:tblCellMar>
          <w:left w:w="70" w:type="dxa"/>
          <w:right w:w="70" w:type="dxa"/>
        </w:tblCellMar>
        <w:tblLook w:val="04A0" w:firstRow="1" w:lastRow="0" w:firstColumn="1" w:lastColumn="0" w:noHBand="0" w:noVBand="1"/>
      </w:tblPr>
      <w:tblGrid>
        <w:gridCol w:w="3180"/>
        <w:gridCol w:w="1034"/>
        <w:gridCol w:w="1008"/>
        <w:gridCol w:w="1008"/>
        <w:gridCol w:w="1008"/>
        <w:gridCol w:w="1008"/>
        <w:gridCol w:w="1278"/>
      </w:tblGrid>
      <w:tr w:rsidR="00D87D7C" w:rsidRPr="00C57ABA" w14:paraId="6E5511AB" w14:textId="77777777" w:rsidTr="00B06D6E">
        <w:trPr>
          <w:trHeight w:val="869"/>
          <w:tblHeader/>
        </w:trPr>
        <w:tc>
          <w:tcPr>
            <w:tcW w:w="167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932561" w14:textId="77777777" w:rsidR="00D87D7C" w:rsidRPr="00C57ABA" w:rsidRDefault="00D87D7C" w:rsidP="00B06D6E">
            <w:pPr>
              <w:ind w:left="-286" w:firstLine="2"/>
              <w:jc w:val="center"/>
              <w:rPr>
                <w:rFonts w:ascii="Arial Narrow" w:hAnsi="Arial Narrow"/>
                <w:b/>
                <w:bCs/>
                <w:color w:val="000000"/>
                <w:sz w:val="20"/>
                <w:szCs w:val="20"/>
              </w:rPr>
            </w:pPr>
          </w:p>
        </w:tc>
        <w:tc>
          <w:tcPr>
            <w:tcW w:w="543" w:type="pct"/>
            <w:tcBorders>
              <w:top w:val="single" w:sz="4" w:space="0" w:color="auto"/>
              <w:left w:val="nil"/>
              <w:bottom w:val="single" w:sz="4" w:space="0" w:color="auto"/>
              <w:right w:val="single" w:sz="4" w:space="0" w:color="auto"/>
            </w:tcBorders>
            <w:shd w:val="clear" w:color="auto" w:fill="auto"/>
            <w:noWrap/>
            <w:vAlign w:val="center"/>
            <w:hideMark/>
          </w:tcPr>
          <w:p w14:paraId="540DCD79" w14:textId="77777777" w:rsidR="00D87D7C" w:rsidRPr="00C57ABA" w:rsidRDefault="00D87D7C" w:rsidP="00B06D6E">
            <w:pPr>
              <w:jc w:val="center"/>
              <w:rPr>
                <w:rFonts w:ascii="Arial Narrow" w:hAnsi="Arial Narrow"/>
                <w:b/>
                <w:bCs/>
                <w:color w:val="000000"/>
                <w:sz w:val="20"/>
                <w:szCs w:val="20"/>
              </w:rPr>
            </w:pPr>
            <w:r w:rsidRPr="00C57ABA">
              <w:rPr>
                <w:rFonts w:ascii="Arial Narrow" w:hAnsi="Arial Narrow"/>
                <w:b/>
                <w:bCs/>
                <w:color w:val="000000"/>
                <w:sz w:val="20"/>
                <w:szCs w:val="20"/>
              </w:rPr>
              <w:t>2024 г.</w:t>
            </w:r>
          </w:p>
        </w:tc>
        <w:tc>
          <w:tcPr>
            <w:tcW w:w="529" w:type="pct"/>
            <w:tcBorders>
              <w:top w:val="single" w:sz="4" w:space="0" w:color="auto"/>
              <w:left w:val="nil"/>
              <w:bottom w:val="single" w:sz="4" w:space="0" w:color="auto"/>
              <w:right w:val="single" w:sz="4" w:space="0" w:color="auto"/>
            </w:tcBorders>
            <w:shd w:val="clear" w:color="auto" w:fill="auto"/>
            <w:noWrap/>
            <w:vAlign w:val="center"/>
            <w:hideMark/>
          </w:tcPr>
          <w:p w14:paraId="30908458" w14:textId="77777777" w:rsidR="00D87D7C" w:rsidRPr="00C57ABA" w:rsidRDefault="00D87D7C" w:rsidP="00B06D6E">
            <w:pPr>
              <w:jc w:val="center"/>
              <w:rPr>
                <w:rFonts w:ascii="Arial Narrow" w:hAnsi="Arial Narrow"/>
                <w:b/>
                <w:bCs/>
                <w:color w:val="000000"/>
                <w:sz w:val="20"/>
                <w:szCs w:val="20"/>
              </w:rPr>
            </w:pPr>
            <w:r w:rsidRPr="00C57ABA">
              <w:rPr>
                <w:rFonts w:ascii="Arial Narrow" w:hAnsi="Arial Narrow"/>
                <w:b/>
                <w:bCs/>
                <w:color w:val="000000"/>
                <w:sz w:val="20"/>
                <w:szCs w:val="20"/>
              </w:rPr>
              <w:t>2025 г.</w:t>
            </w:r>
          </w:p>
        </w:tc>
        <w:tc>
          <w:tcPr>
            <w:tcW w:w="529" w:type="pct"/>
            <w:tcBorders>
              <w:top w:val="single" w:sz="4" w:space="0" w:color="auto"/>
              <w:left w:val="nil"/>
              <w:bottom w:val="single" w:sz="4" w:space="0" w:color="auto"/>
              <w:right w:val="single" w:sz="4" w:space="0" w:color="auto"/>
            </w:tcBorders>
            <w:shd w:val="clear" w:color="auto" w:fill="auto"/>
            <w:noWrap/>
            <w:vAlign w:val="center"/>
            <w:hideMark/>
          </w:tcPr>
          <w:p w14:paraId="3331FCFC" w14:textId="77777777" w:rsidR="00D87D7C" w:rsidRPr="00C57ABA" w:rsidRDefault="00D87D7C" w:rsidP="00B06D6E">
            <w:pPr>
              <w:jc w:val="center"/>
              <w:rPr>
                <w:rFonts w:ascii="Arial Narrow" w:hAnsi="Arial Narrow"/>
                <w:b/>
                <w:bCs/>
                <w:color w:val="000000"/>
                <w:sz w:val="20"/>
                <w:szCs w:val="20"/>
              </w:rPr>
            </w:pPr>
            <w:r w:rsidRPr="00C57ABA">
              <w:rPr>
                <w:rFonts w:ascii="Arial Narrow" w:hAnsi="Arial Narrow"/>
                <w:b/>
                <w:bCs/>
                <w:color w:val="000000"/>
                <w:sz w:val="20"/>
                <w:szCs w:val="20"/>
              </w:rPr>
              <w:t>2026 г.</w:t>
            </w:r>
          </w:p>
        </w:tc>
        <w:tc>
          <w:tcPr>
            <w:tcW w:w="529" w:type="pct"/>
            <w:tcBorders>
              <w:top w:val="single" w:sz="4" w:space="0" w:color="auto"/>
              <w:left w:val="nil"/>
              <w:bottom w:val="single" w:sz="4" w:space="0" w:color="auto"/>
              <w:right w:val="single" w:sz="4" w:space="0" w:color="auto"/>
            </w:tcBorders>
            <w:shd w:val="clear" w:color="auto" w:fill="auto"/>
            <w:noWrap/>
            <w:vAlign w:val="center"/>
            <w:hideMark/>
          </w:tcPr>
          <w:p w14:paraId="1FC3214C" w14:textId="77777777" w:rsidR="00D87D7C" w:rsidRPr="00C57ABA" w:rsidRDefault="00D87D7C" w:rsidP="00B06D6E">
            <w:pPr>
              <w:jc w:val="center"/>
              <w:rPr>
                <w:rFonts w:ascii="Arial Narrow" w:hAnsi="Arial Narrow"/>
                <w:b/>
                <w:bCs/>
                <w:color w:val="000000"/>
                <w:sz w:val="20"/>
                <w:szCs w:val="20"/>
              </w:rPr>
            </w:pPr>
            <w:r w:rsidRPr="00C57ABA">
              <w:rPr>
                <w:rFonts w:ascii="Arial Narrow" w:hAnsi="Arial Narrow"/>
                <w:b/>
                <w:bCs/>
                <w:color w:val="000000"/>
                <w:sz w:val="20"/>
                <w:szCs w:val="20"/>
              </w:rPr>
              <w:t>2027 г.</w:t>
            </w:r>
          </w:p>
        </w:tc>
        <w:tc>
          <w:tcPr>
            <w:tcW w:w="529" w:type="pct"/>
            <w:tcBorders>
              <w:top w:val="single" w:sz="4" w:space="0" w:color="auto"/>
              <w:left w:val="nil"/>
              <w:bottom w:val="single" w:sz="4" w:space="0" w:color="auto"/>
              <w:right w:val="single" w:sz="4" w:space="0" w:color="auto"/>
            </w:tcBorders>
            <w:shd w:val="clear" w:color="auto" w:fill="auto"/>
            <w:noWrap/>
            <w:vAlign w:val="center"/>
            <w:hideMark/>
          </w:tcPr>
          <w:p w14:paraId="1BE11A9B" w14:textId="77777777" w:rsidR="00D87D7C" w:rsidRPr="00C57ABA" w:rsidRDefault="00D87D7C" w:rsidP="00B06D6E">
            <w:pPr>
              <w:jc w:val="center"/>
              <w:rPr>
                <w:rFonts w:ascii="Arial Narrow" w:hAnsi="Arial Narrow"/>
                <w:b/>
                <w:bCs/>
                <w:color w:val="000000"/>
                <w:sz w:val="20"/>
                <w:szCs w:val="20"/>
              </w:rPr>
            </w:pPr>
            <w:r w:rsidRPr="00C57ABA">
              <w:rPr>
                <w:rFonts w:ascii="Arial Narrow" w:hAnsi="Arial Narrow"/>
                <w:b/>
                <w:bCs/>
                <w:color w:val="000000"/>
                <w:sz w:val="20"/>
                <w:szCs w:val="20"/>
              </w:rPr>
              <w:t>2028 г.</w:t>
            </w:r>
          </w:p>
        </w:tc>
        <w:tc>
          <w:tcPr>
            <w:tcW w:w="671" w:type="pct"/>
            <w:tcBorders>
              <w:top w:val="single" w:sz="4" w:space="0" w:color="auto"/>
              <w:left w:val="nil"/>
              <w:bottom w:val="single" w:sz="4" w:space="0" w:color="auto"/>
              <w:right w:val="single" w:sz="4" w:space="0" w:color="auto"/>
            </w:tcBorders>
            <w:shd w:val="clear" w:color="auto" w:fill="auto"/>
            <w:vAlign w:val="center"/>
            <w:hideMark/>
          </w:tcPr>
          <w:p w14:paraId="25C6766A" w14:textId="77777777" w:rsidR="00D87D7C" w:rsidRPr="00C57ABA" w:rsidRDefault="00D87D7C" w:rsidP="00B06D6E">
            <w:pPr>
              <w:jc w:val="center"/>
              <w:rPr>
                <w:rFonts w:ascii="Arial Narrow" w:hAnsi="Arial Narrow"/>
                <w:b/>
                <w:bCs/>
                <w:color w:val="000000"/>
                <w:sz w:val="20"/>
                <w:szCs w:val="20"/>
              </w:rPr>
            </w:pPr>
            <w:r w:rsidRPr="00C57ABA">
              <w:rPr>
                <w:rFonts w:ascii="Arial Narrow" w:hAnsi="Arial Narrow"/>
                <w:b/>
                <w:bCs/>
                <w:color w:val="000000"/>
                <w:sz w:val="20"/>
                <w:szCs w:val="20"/>
              </w:rPr>
              <w:t xml:space="preserve">Общо за периода </w:t>
            </w:r>
          </w:p>
          <w:p w14:paraId="49B98CA2" w14:textId="77777777" w:rsidR="00D87D7C" w:rsidRPr="00C57ABA" w:rsidRDefault="00D87D7C" w:rsidP="00B06D6E">
            <w:pPr>
              <w:jc w:val="center"/>
              <w:rPr>
                <w:rFonts w:ascii="Arial Narrow" w:hAnsi="Arial Narrow"/>
                <w:b/>
                <w:bCs/>
                <w:color w:val="000000"/>
                <w:sz w:val="20"/>
                <w:szCs w:val="20"/>
              </w:rPr>
            </w:pPr>
            <w:r w:rsidRPr="00C57ABA">
              <w:rPr>
                <w:rFonts w:ascii="Arial Narrow" w:hAnsi="Arial Narrow"/>
                <w:b/>
                <w:bCs/>
                <w:color w:val="000000"/>
                <w:sz w:val="20"/>
                <w:szCs w:val="20"/>
              </w:rPr>
              <w:t>2024-2028 г.</w:t>
            </w:r>
          </w:p>
        </w:tc>
      </w:tr>
      <w:tr w:rsidR="00D87D7C" w:rsidRPr="00C57ABA" w14:paraId="6B00DF97" w14:textId="77777777" w:rsidTr="00B06D6E">
        <w:trPr>
          <w:trHeight w:val="673"/>
        </w:trPr>
        <w:tc>
          <w:tcPr>
            <w:tcW w:w="1670" w:type="pct"/>
            <w:tcBorders>
              <w:top w:val="nil"/>
              <w:left w:val="single" w:sz="4" w:space="0" w:color="auto"/>
              <w:bottom w:val="single" w:sz="4" w:space="0" w:color="auto"/>
              <w:right w:val="single" w:sz="4" w:space="0" w:color="auto"/>
            </w:tcBorders>
            <w:shd w:val="clear" w:color="auto" w:fill="auto"/>
            <w:vAlign w:val="center"/>
            <w:hideMark/>
          </w:tcPr>
          <w:p w14:paraId="5093BFC3" w14:textId="77777777" w:rsidR="00D87D7C" w:rsidRPr="00C57ABA" w:rsidRDefault="00D87D7C" w:rsidP="00B06D6E">
            <w:pPr>
              <w:rPr>
                <w:rFonts w:ascii="Arial Narrow" w:hAnsi="Arial Narrow"/>
                <w:color w:val="000000"/>
                <w:sz w:val="20"/>
                <w:szCs w:val="20"/>
              </w:rPr>
            </w:pPr>
            <w:r w:rsidRPr="00C57ABA">
              <w:rPr>
                <w:rFonts w:ascii="Arial Narrow" w:hAnsi="Arial Narrow"/>
                <w:color w:val="000000"/>
                <w:sz w:val="20"/>
                <w:szCs w:val="20"/>
              </w:rPr>
              <w:t>Оперативни програми в сектор „Плодове и зеленчуци“</w:t>
            </w:r>
          </w:p>
        </w:tc>
        <w:tc>
          <w:tcPr>
            <w:tcW w:w="5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307262" w14:textId="77777777" w:rsidR="00D87D7C" w:rsidRPr="00C57ABA" w:rsidRDefault="00D87D7C" w:rsidP="00B06D6E">
            <w:pPr>
              <w:jc w:val="right"/>
              <w:rPr>
                <w:rFonts w:ascii="Arial Narrow" w:hAnsi="Arial Narrow" w:cs="Calibri"/>
                <w:color w:val="000000"/>
                <w:sz w:val="20"/>
                <w:szCs w:val="20"/>
              </w:rPr>
            </w:pPr>
            <w:r w:rsidRPr="00C57ABA">
              <w:rPr>
                <w:rFonts w:ascii="Arial Narrow" w:hAnsi="Arial Narrow" w:cs="Calibri"/>
                <w:color w:val="000000"/>
                <w:sz w:val="20"/>
                <w:szCs w:val="20"/>
              </w:rPr>
              <w:t>553 500</w:t>
            </w:r>
          </w:p>
        </w:tc>
        <w:tc>
          <w:tcPr>
            <w:tcW w:w="529" w:type="pct"/>
            <w:tcBorders>
              <w:top w:val="single" w:sz="4" w:space="0" w:color="auto"/>
              <w:left w:val="nil"/>
              <w:bottom w:val="single" w:sz="4" w:space="0" w:color="auto"/>
              <w:right w:val="single" w:sz="4" w:space="0" w:color="auto"/>
            </w:tcBorders>
            <w:shd w:val="clear" w:color="auto" w:fill="auto"/>
            <w:noWrap/>
            <w:vAlign w:val="center"/>
            <w:hideMark/>
          </w:tcPr>
          <w:p w14:paraId="10A0EB94" w14:textId="77777777" w:rsidR="00D87D7C" w:rsidRPr="00C57ABA" w:rsidRDefault="00D87D7C" w:rsidP="00B06D6E">
            <w:pPr>
              <w:jc w:val="right"/>
              <w:rPr>
                <w:rFonts w:ascii="Arial Narrow" w:hAnsi="Arial Narrow" w:cs="Calibri"/>
                <w:color w:val="000000"/>
                <w:sz w:val="20"/>
                <w:szCs w:val="20"/>
              </w:rPr>
            </w:pPr>
            <w:r w:rsidRPr="00C57ABA">
              <w:rPr>
                <w:rFonts w:ascii="Arial Narrow" w:hAnsi="Arial Narrow" w:cs="Calibri"/>
                <w:color w:val="000000"/>
                <w:sz w:val="20"/>
                <w:szCs w:val="20"/>
              </w:rPr>
              <w:t>738 000</w:t>
            </w:r>
          </w:p>
        </w:tc>
        <w:tc>
          <w:tcPr>
            <w:tcW w:w="529" w:type="pct"/>
            <w:tcBorders>
              <w:top w:val="single" w:sz="4" w:space="0" w:color="auto"/>
              <w:left w:val="nil"/>
              <w:bottom w:val="single" w:sz="4" w:space="0" w:color="auto"/>
              <w:right w:val="single" w:sz="4" w:space="0" w:color="auto"/>
            </w:tcBorders>
            <w:shd w:val="clear" w:color="auto" w:fill="auto"/>
            <w:noWrap/>
            <w:vAlign w:val="center"/>
            <w:hideMark/>
          </w:tcPr>
          <w:p w14:paraId="087A354E" w14:textId="77777777" w:rsidR="00D87D7C" w:rsidRPr="00C57ABA" w:rsidRDefault="00D87D7C" w:rsidP="00B06D6E">
            <w:pPr>
              <w:jc w:val="right"/>
              <w:rPr>
                <w:rFonts w:ascii="Arial Narrow" w:hAnsi="Arial Narrow" w:cs="Calibri"/>
                <w:color w:val="000000"/>
                <w:sz w:val="20"/>
                <w:szCs w:val="20"/>
              </w:rPr>
            </w:pPr>
            <w:r w:rsidRPr="00C57ABA">
              <w:rPr>
                <w:rFonts w:ascii="Arial Narrow" w:hAnsi="Arial Narrow" w:cs="Calibri"/>
                <w:color w:val="000000"/>
                <w:sz w:val="20"/>
                <w:szCs w:val="20"/>
              </w:rPr>
              <w:t>738 000</w:t>
            </w:r>
          </w:p>
        </w:tc>
        <w:tc>
          <w:tcPr>
            <w:tcW w:w="529" w:type="pct"/>
            <w:tcBorders>
              <w:top w:val="single" w:sz="4" w:space="0" w:color="auto"/>
              <w:left w:val="nil"/>
              <w:bottom w:val="single" w:sz="4" w:space="0" w:color="auto"/>
              <w:right w:val="single" w:sz="4" w:space="0" w:color="auto"/>
            </w:tcBorders>
            <w:shd w:val="clear" w:color="auto" w:fill="auto"/>
            <w:noWrap/>
            <w:vAlign w:val="center"/>
            <w:hideMark/>
          </w:tcPr>
          <w:p w14:paraId="535BAF13" w14:textId="77777777" w:rsidR="00D87D7C" w:rsidRPr="00C57ABA" w:rsidRDefault="00D87D7C" w:rsidP="00B06D6E">
            <w:pPr>
              <w:jc w:val="right"/>
              <w:rPr>
                <w:rFonts w:ascii="Arial Narrow" w:hAnsi="Arial Narrow" w:cs="Calibri"/>
                <w:color w:val="000000"/>
                <w:sz w:val="20"/>
                <w:szCs w:val="20"/>
              </w:rPr>
            </w:pPr>
            <w:r w:rsidRPr="00C57ABA">
              <w:rPr>
                <w:rFonts w:ascii="Arial Narrow" w:hAnsi="Arial Narrow" w:cs="Calibri"/>
                <w:color w:val="000000"/>
                <w:sz w:val="20"/>
                <w:szCs w:val="20"/>
              </w:rPr>
              <w:t>738 000</w:t>
            </w:r>
          </w:p>
        </w:tc>
        <w:tc>
          <w:tcPr>
            <w:tcW w:w="529" w:type="pct"/>
            <w:tcBorders>
              <w:top w:val="single" w:sz="4" w:space="0" w:color="auto"/>
              <w:left w:val="nil"/>
              <w:bottom w:val="single" w:sz="4" w:space="0" w:color="auto"/>
              <w:right w:val="single" w:sz="4" w:space="0" w:color="auto"/>
            </w:tcBorders>
            <w:shd w:val="clear" w:color="auto" w:fill="auto"/>
            <w:noWrap/>
            <w:vAlign w:val="center"/>
            <w:hideMark/>
          </w:tcPr>
          <w:p w14:paraId="7F585F83" w14:textId="77777777" w:rsidR="00D87D7C" w:rsidRPr="00C57ABA" w:rsidRDefault="00D87D7C" w:rsidP="00B06D6E">
            <w:pPr>
              <w:jc w:val="right"/>
              <w:rPr>
                <w:rFonts w:ascii="Arial Narrow" w:hAnsi="Arial Narrow" w:cs="Calibri"/>
                <w:color w:val="000000"/>
                <w:sz w:val="20"/>
                <w:szCs w:val="20"/>
              </w:rPr>
            </w:pPr>
            <w:r w:rsidRPr="00C57ABA">
              <w:rPr>
                <w:rFonts w:ascii="Arial Narrow" w:hAnsi="Arial Narrow" w:cs="Calibri"/>
                <w:color w:val="000000"/>
                <w:sz w:val="20"/>
                <w:szCs w:val="20"/>
              </w:rPr>
              <w:t>0</w:t>
            </w:r>
          </w:p>
        </w:tc>
        <w:tc>
          <w:tcPr>
            <w:tcW w:w="671" w:type="pct"/>
            <w:tcBorders>
              <w:top w:val="single" w:sz="4" w:space="0" w:color="auto"/>
              <w:left w:val="nil"/>
              <w:bottom w:val="single" w:sz="4" w:space="0" w:color="auto"/>
              <w:right w:val="single" w:sz="4" w:space="0" w:color="auto"/>
            </w:tcBorders>
            <w:shd w:val="clear" w:color="auto" w:fill="auto"/>
            <w:noWrap/>
            <w:vAlign w:val="center"/>
            <w:hideMark/>
          </w:tcPr>
          <w:p w14:paraId="7C552F34" w14:textId="77777777" w:rsidR="00D87D7C" w:rsidRPr="00C57ABA" w:rsidRDefault="00D87D7C" w:rsidP="00B06D6E">
            <w:pPr>
              <w:jc w:val="right"/>
              <w:rPr>
                <w:rFonts w:ascii="Arial Narrow" w:hAnsi="Arial Narrow" w:cs="Calibri"/>
                <w:color w:val="000000"/>
                <w:sz w:val="20"/>
                <w:szCs w:val="20"/>
              </w:rPr>
            </w:pPr>
            <w:r w:rsidRPr="00C57ABA">
              <w:rPr>
                <w:rFonts w:ascii="Arial Narrow" w:hAnsi="Arial Narrow" w:cs="Calibri"/>
                <w:color w:val="000000"/>
                <w:sz w:val="20"/>
                <w:szCs w:val="20"/>
              </w:rPr>
              <w:t>2 767 500</w:t>
            </w:r>
          </w:p>
        </w:tc>
      </w:tr>
    </w:tbl>
    <w:p w14:paraId="1B8E8DE2" w14:textId="77777777" w:rsidR="00D87D7C" w:rsidRPr="00725099" w:rsidRDefault="00D87D7C" w:rsidP="002844F0">
      <w:pPr>
        <w:rPr>
          <w:rFonts w:ascii="Arial Narrow" w:hAnsi="Arial Narrow"/>
          <w:i/>
          <w:sz w:val="18"/>
        </w:rPr>
      </w:pPr>
      <w:r w:rsidRPr="00725099">
        <w:rPr>
          <w:rFonts w:ascii="Arial Narrow" w:hAnsi="Arial Narrow"/>
          <w:i/>
          <w:sz w:val="18"/>
        </w:rPr>
        <w:t xml:space="preserve">Източник: </w:t>
      </w:r>
      <w:r w:rsidRPr="00725099">
        <w:rPr>
          <w:rFonts w:ascii="Arial Narrow" w:hAnsi="Arial Narrow"/>
          <w:sz w:val="18"/>
        </w:rPr>
        <w:t>ДФЗ-РА</w:t>
      </w:r>
    </w:p>
    <w:p w14:paraId="46E5CB7A" w14:textId="77777777" w:rsidR="002844F0" w:rsidRPr="002844F0" w:rsidRDefault="002844F0" w:rsidP="002844F0">
      <w:pPr>
        <w:rPr>
          <w:rFonts w:ascii="Arial Narrow" w:hAnsi="Arial Narrow"/>
          <w:i/>
          <w:sz w:val="18"/>
        </w:rPr>
      </w:pPr>
    </w:p>
    <w:p w14:paraId="78BBDFE2" w14:textId="77777777" w:rsidR="002844F0" w:rsidRPr="002844F0" w:rsidRDefault="00440867" w:rsidP="006E11F9">
      <w:pPr>
        <w:pStyle w:val="ListParagraph"/>
        <w:numPr>
          <w:ilvl w:val="2"/>
          <w:numId w:val="33"/>
        </w:numPr>
        <w:tabs>
          <w:tab w:val="num" w:pos="900"/>
        </w:tabs>
        <w:spacing w:after="120"/>
        <w:ind w:left="1037" w:hanging="680"/>
        <w:outlineLvl w:val="0"/>
        <w:rPr>
          <w:rFonts w:ascii="Arial Narrow" w:hAnsi="Arial Narrow"/>
          <w:b/>
        </w:rPr>
      </w:pPr>
      <w:bookmarkStart w:id="89" w:name="_Toc210747582"/>
      <w:r w:rsidRPr="002844F0">
        <w:rPr>
          <w:rFonts w:ascii="Arial Narrow" w:hAnsi="Arial Narrow"/>
          <w:b/>
        </w:rPr>
        <w:t>Организации и групи на производители</w:t>
      </w:r>
      <w:bookmarkEnd w:id="89"/>
      <w:r w:rsidRPr="002844F0">
        <w:rPr>
          <w:rFonts w:ascii="Arial Narrow" w:hAnsi="Arial Narrow"/>
          <w:b/>
        </w:rPr>
        <w:t xml:space="preserve"> </w:t>
      </w:r>
    </w:p>
    <w:p w14:paraId="5A88D5C3" w14:textId="77777777" w:rsidR="002844F0" w:rsidRPr="00C57ABA" w:rsidRDefault="002844F0" w:rsidP="002844F0">
      <w:pPr>
        <w:spacing w:after="120"/>
        <w:ind w:firstLine="709"/>
        <w:jc w:val="both"/>
        <w:rPr>
          <w:rFonts w:ascii="Arial Narrow" w:hAnsi="Arial Narrow"/>
        </w:rPr>
      </w:pPr>
      <w:r w:rsidRPr="00C57ABA">
        <w:rPr>
          <w:rFonts w:ascii="Arial Narrow" w:hAnsi="Arial Narrow"/>
        </w:rPr>
        <w:t>Към края на 2024 г. са признати 37 групи и организации на производители на земеделски продукти, от които: в сектор „Зърнени-житни и маслодайни култури“ - 1 ОП,  в сектор „Зърнени-житни култури“ - 2 ГП, в сектор „Плодове и зеленчу</w:t>
      </w:r>
      <w:r>
        <w:rPr>
          <w:rFonts w:ascii="Arial Narrow" w:hAnsi="Arial Narrow"/>
        </w:rPr>
        <w:t>ци“ - 5 ОП, в сектор „Плодове“ -</w:t>
      </w:r>
      <w:r w:rsidRPr="00C57ABA">
        <w:rPr>
          <w:rFonts w:ascii="Arial Narrow" w:hAnsi="Arial Narrow"/>
        </w:rPr>
        <w:t xml:space="preserve"> 1 ГП и 7 ОП, в сектор „Зеленчуци“ – 4 ОП, в сектор „Картофи“ - 1 ГП, в сектор „Медицински и етеричномаслени култури“ - 1 ГП, в сектор „Мляко и млечни продукти“ - 1 ОП, в сектор „Мляко“ - 9 ГП, в сектор „Месо“ - 2 ГП, в сектор „Мед и пчелни продукти“ - 3 ОП.</w:t>
      </w:r>
    </w:p>
    <w:p w14:paraId="4E7D9300" w14:textId="77777777" w:rsidR="002844F0" w:rsidRDefault="002844F0" w:rsidP="002844F0">
      <w:pPr>
        <w:spacing w:after="120"/>
        <w:ind w:firstLine="720"/>
        <w:jc w:val="both"/>
        <w:rPr>
          <w:rFonts w:ascii="Arial Narrow" w:hAnsi="Arial Narrow"/>
          <w:color w:val="FF0000"/>
        </w:rPr>
      </w:pPr>
      <w:r w:rsidRPr="00C57ABA">
        <w:rPr>
          <w:rFonts w:ascii="Arial Narrow" w:hAnsi="Arial Narrow"/>
        </w:rPr>
        <w:lastRenderedPageBreak/>
        <w:t xml:space="preserve">Най-много сдружения са реализирани </w:t>
      </w:r>
      <w:r>
        <w:rPr>
          <w:rFonts w:ascii="Arial Narrow" w:hAnsi="Arial Narrow"/>
        </w:rPr>
        <w:t>в сектор „Плодове и зеленчуци“ -</w:t>
      </w:r>
      <w:r w:rsidRPr="00C57ABA">
        <w:rPr>
          <w:rFonts w:ascii="Arial Narrow" w:hAnsi="Arial Narrow"/>
        </w:rPr>
        <w:t xml:space="preserve"> 16 ОП и 1 ГП и в се</w:t>
      </w:r>
      <w:r>
        <w:rPr>
          <w:rFonts w:ascii="Arial Narrow" w:hAnsi="Arial Narrow"/>
        </w:rPr>
        <w:t>ктор „Мляко и млечни продукти“ -</w:t>
      </w:r>
      <w:r w:rsidRPr="00C57ABA">
        <w:rPr>
          <w:rFonts w:ascii="Arial Narrow" w:hAnsi="Arial Narrow"/>
        </w:rPr>
        <w:t xml:space="preserve"> 1 ОП и 9 ГП. С най-висока степен на сдружаване на база брой представляващи земеделски производители се откроява с</w:t>
      </w:r>
      <w:r>
        <w:rPr>
          <w:rFonts w:ascii="Arial Narrow" w:hAnsi="Arial Narrow"/>
        </w:rPr>
        <w:t xml:space="preserve">ектор „Мляко и млечни продукти“ </w:t>
      </w:r>
      <w:r w:rsidRPr="00C57ABA">
        <w:rPr>
          <w:rFonts w:ascii="Arial Narrow" w:hAnsi="Arial Narrow"/>
        </w:rPr>
        <w:t>с 323 земеделски стопани, следван от сектор „Плодове и зеленчуци“ със 122 производители</w:t>
      </w:r>
    </w:p>
    <w:p w14:paraId="427D35D3" w14:textId="77777777" w:rsidR="002844F0" w:rsidRPr="002844F0" w:rsidRDefault="00440867" w:rsidP="006E11F9">
      <w:pPr>
        <w:pStyle w:val="ListParagraph"/>
        <w:numPr>
          <w:ilvl w:val="2"/>
          <w:numId w:val="33"/>
        </w:numPr>
        <w:tabs>
          <w:tab w:val="num" w:pos="993"/>
        </w:tabs>
        <w:spacing w:after="120"/>
        <w:ind w:left="1037" w:hanging="680"/>
        <w:jc w:val="both"/>
        <w:outlineLvl w:val="0"/>
        <w:rPr>
          <w:rFonts w:ascii="Arial Narrow" w:hAnsi="Arial Narrow"/>
          <w:b/>
        </w:rPr>
      </w:pPr>
      <w:bookmarkStart w:id="90" w:name="_Toc210747583"/>
      <w:r w:rsidRPr="002844F0">
        <w:rPr>
          <w:rFonts w:ascii="Arial Narrow" w:hAnsi="Arial Narrow"/>
          <w:b/>
        </w:rPr>
        <w:t>Схема за предлагане на плодове, зеленчуци, мля</w:t>
      </w:r>
      <w:r w:rsidR="002844F0" w:rsidRPr="002844F0">
        <w:rPr>
          <w:rFonts w:ascii="Arial Narrow" w:hAnsi="Arial Narrow"/>
          <w:b/>
        </w:rPr>
        <w:t xml:space="preserve">ко и млечни продукти в детските </w:t>
      </w:r>
      <w:r w:rsidRPr="002844F0">
        <w:rPr>
          <w:rFonts w:ascii="Arial Narrow" w:hAnsi="Arial Narrow"/>
          <w:b/>
        </w:rPr>
        <w:t>градини и училищата в България (схема „Училищен плод“ и схема „Училищно мляко“)</w:t>
      </w:r>
      <w:bookmarkEnd w:id="90"/>
    </w:p>
    <w:p w14:paraId="5886BCC9" w14:textId="77777777" w:rsidR="002844F0" w:rsidRPr="002844F0" w:rsidRDefault="002844F0" w:rsidP="002844F0">
      <w:pPr>
        <w:spacing w:after="120"/>
        <w:ind w:firstLine="720"/>
        <w:jc w:val="both"/>
        <w:rPr>
          <w:rFonts w:ascii="Arial Narrow" w:hAnsi="Arial Narrow"/>
          <w:lang w:val="bg-BG"/>
        </w:rPr>
      </w:pPr>
      <w:r w:rsidRPr="002844F0">
        <w:rPr>
          <w:rFonts w:ascii="Arial Narrow" w:hAnsi="Arial Narrow"/>
          <w:lang w:val="bg-BG"/>
        </w:rPr>
        <w:t>Схемата цели създаване на здравословни хранителни навици на децата и учениците чрез регулярни доставки на плодове, зеленчуци, мляко и млечни продукти в институции в системата на предучилищното и училищното образование. Помощта е насочена към децата от І до ІV група в детските градини и учениците от подготвителен клас до ІV клас включително, на територията на цялата страна. Доставките се извършват само през учебните дни. Финансовата помощ се предоставя за доставка на продукти, за съпътстващи образователни мерки и за дейности по наблюдение, оценка и публичност.</w:t>
      </w:r>
    </w:p>
    <w:p w14:paraId="440562C1" w14:textId="77777777" w:rsidR="002844F0" w:rsidRPr="002844F0" w:rsidRDefault="002844F0" w:rsidP="002844F0">
      <w:pPr>
        <w:spacing w:after="120"/>
        <w:ind w:firstLine="720"/>
        <w:jc w:val="both"/>
        <w:rPr>
          <w:rFonts w:ascii="Arial Narrow" w:hAnsi="Arial Narrow"/>
          <w:i/>
          <w:lang w:val="bg-BG" w:eastAsia="bg-BG"/>
        </w:rPr>
      </w:pPr>
      <w:r w:rsidRPr="002844F0">
        <w:rPr>
          <w:rFonts w:ascii="Arial Narrow" w:hAnsi="Arial Narrow"/>
          <w:i/>
          <w:lang w:val="bg-BG" w:eastAsia="bg-BG"/>
        </w:rPr>
        <w:t>Учебна 2023/2024 година</w:t>
      </w:r>
    </w:p>
    <w:p w14:paraId="1DAA69FF" w14:textId="77777777" w:rsidR="002844F0" w:rsidRPr="002844F0" w:rsidRDefault="002844F0" w:rsidP="002844F0">
      <w:pPr>
        <w:spacing w:after="120"/>
        <w:ind w:firstLine="720"/>
        <w:jc w:val="both"/>
        <w:rPr>
          <w:rFonts w:ascii="Arial Narrow" w:hAnsi="Arial Narrow"/>
          <w:lang w:val="bg-BG" w:eastAsia="bg-BG"/>
        </w:rPr>
      </w:pPr>
      <w:r w:rsidRPr="002844F0">
        <w:rPr>
          <w:rFonts w:ascii="Arial Narrow" w:hAnsi="Arial Narrow"/>
          <w:lang w:val="bg-BG" w:eastAsia="bg-BG"/>
        </w:rPr>
        <w:t>От 2023/2024 учебна година започна нов програмен период за двете схеми. Разработена е нова Национална стратегия, на базата на която схемите ще се прилагат до 2028/2029 учебна година. Редът и условията за прилагане на училищните схеми са уредени нормативно с Наредба за условията и реда за прилагане на схеми за предоставяне на плодове и зеленчуци и на мляко и млечни продукти в учебните заведения - Схема „Училищен плод“ и Схема „Училищно мляко“.</w:t>
      </w:r>
    </w:p>
    <w:p w14:paraId="2DB113FC" w14:textId="77777777" w:rsidR="002844F0" w:rsidRPr="002844F0" w:rsidRDefault="002844F0" w:rsidP="002844F0">
      <w:pPr>
        <w:spacing w:after="120"/>
        <w:ind w:firstLine="720"/>
        <w:jc w:val="both"/>
        <w:rPr>
          <w:rFonts w:ascii="Arial Narrow" w:hAnsi="Arial Narrow"/>
          <w:lang w:val="bg-BG" w:eastAsia="bg-BG"/>
        </w:rPr>
      </w:pPr>
      <w:r w:rsidRPr="002844F0">
        <w:rPr>
          <w:rFonts w:ascii="Arial Narrow" w:hAnsi="Arial Narrow"/>
          <w:lang w:val="bg-BG" w:eastAsia="bg-BG"/>
        </w:rPr>
        <w:t>По схема „Училищен плод” доставки са извършили 85 одобрени заявители. Плодове и зеленчуци са получили 423 353 деца в 3 385 институции в системата на предучилищното и училищното образование. Общият бюджет за учебната година, който покрива и разходи за съпътстващи мерки и информационни дейности, възлиза на 25 245 420 лева, от които 4 273 924 лева от ЕС и 20 971 496 лева от НБ. Изплатени са средства в размер на 16 180 767 лева, в това число 4 223 443 лева от ЕС и 11 957 324 лева от НБ.</w:t>
      </w:r>
    </w:p>
    <w:p w14:paraId="7D5874CC" w14:textId="77777777" w:rsidR="002844F0" w:rsidRPr="002844F0" w:rsidRDefault="002844F0" w:rsidP="002844F0">
      <w:pPr>
        <w:spacing w:after="120"/>
        <w:ind w:firstLine="720"/>
        <w:jc w:val="both"/>
        <w:rPr>
          <w:rFonts w:ascii="Arial Narrow" w:hAnsi="Arial Narrow"/>
          <w:lang w:val="bg-BG" w:eastAsia="bg-BG"/>
        </w:rPr>
      </w:pPr>
      <w:r w:rsidRPr="002844F0">
        <w:rPr>
          <w:rFonts w:ascii="Arial Narrow" w:hAnsi="Arial Narrow"/>
          <w:lang w:val="bg-BG" w:eastAsia="bg-BG"/>
        </w:rPr>
        <w:t>По схема „Училищно мляко” са получени доставки от 91 одобрени заявители. Мляко и млечни продукти са предоставени на 425 424 деца в 3 392 институции в системата на предучилищното и училищното образование. Общият годишен бюджет по схемата възлиза на 24 624 913 лева, в това число 3 520 616 лева от ЕС и 21 104 297 лева от НБ. Изплатени са средства в размер на 23 701 681 лева.</w:t>
      </w:r>
    </w:p>
    <w:p w14:paraId="4585B689" w14:textId="77777777" w:rsidR="002844F0" w:rsidRPr="002844F0" w:rsidRDefault="002844F0" w:rsidP="002844F0">
      <w:pPr>
        <w:spacing w:after="120"/>
        <w:ind w:firstLine="720"/>
        <w:jc w:val="both"/>
        <w:rPr>
          <w:rFonts w:ascii="Arial Narrow" w:hAnsi="Arial Narrow"/>
          <w:i/>
          <w:lang w:val="bg-BG" w:eastAsia="bg-BG"/>
        </w:rPr>
      </w:pPr>
      <w:r w:rsidRPr="002844F0">
        <w:rPr>
          <w:rFonts w:ascii="Arial Narrow" w:hAnsi="Arial Narrow"/>
          <w:i/>
          <w:lang w:val="bg-BG" w:eastAsia="bg-BG"/>
        </w:rPr>
        <w:t>Учебна 2024/2025 година</w:t>
      </w:r>
    </w:p>
    <w:p w14:paraId="35B88C7F" w14:textId="77777777" w:rsidR="002844F0" w:rsidRPr="002844F0" w:rsidRDefault="002844F0" w:rsidP="002844F0">
      <w:pPr>
        <w:spacing w:after="120"/>
        <w:ind w:firstLine="720"/>
        <w:jc w:val="both"/>
        <w:rPr>
          <w:rFonts w:ascii="Arial Narrow" w:hAnsi="Arial Narrow"/>
          <w:lang w:val="bg-BG" w:eastAsia="bg-BG"/>
        </w:rPr>
      </w:pPr>
      <w:r w:rsidRPr="002844F0">
        <w:rPr>
          <w:rFonts w:ascii="Arial Narrow" w:hAnsi="Arial Narrow"/>
          <w:lang w:val="bg-BG" w:eastAsia="bg-BG"/>
        </w:rPr>
        <w:t xml:space="preserve">От 2024/2025 учебна година броят на доставките на биологично произведени продукти е увеличен на девет (до 2023/2024 учебна година тези доставки са между четири и шест), шест от които следва да включват продукти, произведени от български земеделски стопани. Завишен е и броят на доставките на плодове и зеленчуци, произведени от български земеделски производители – от 25 на 26 (от общо 50 за цялата учебна година). Същевременно асортиментът на допустимите за раздаване в учебните заведения плодове и зеленчуци е разширен с включването на малини и боровинки. </w:t>
      </w:r>
    </w:p>
    <w:p w14:paraId="03F2BF1B" w14:textId="77777777" w:rsidR="002844F0" w:rsidRPr="002844F0" w:rsidRDefault="002844F0" w:rsidP="002844F0">
      <w:pPr>
        <w:spacing w:after="120"/>
        <w:ind w:firstLine="720"/>
        <w:jc w:val="both"/>
        <w:rPr>
          <w:rFonts w:ascii="Arial Narrow" w:hAnsi="Arial Narrow"/>
          <w:lang w:val="bg-BG" w:eastAsia="bg-BG"/>
        </w:rPr>
      </w:pPr>
      <w:r w:rsidRPr="002844F0">
        <w:rPr>
          <w:rFonts w:ascii="Arial Narrow" w:hAnsi="Arial Narrow"/>
          <w:lang w:val="bg-BG" w:eastAsia="bg-BG"/>
        </w:rPr>
        <w:t xml:space="preserve">По схема „Училищен плод” са извършени доставки от 95 одобрени заявители. Плодове и зеленчуци са предоставени на 445 860 деца в 3 502 детски/учебни заведения в системата на предучилищното и училищното образование. Общият бюджет по схемата за учебната година, който покрива и разходи за съпътстващи мерки и информационни дейности, възлиза на 26 366 499 лева, от които 4 273 585 лева от ЕС и 22 092 914 лева от НБ. Изплатени са средства в размер на 16 251 642 лева, в това число: 4 110 826 лева от ЕС и 12 140 816 лева от НБ. </w:t>
      </w:r>
    </w:p>
    <w:p w14:paraId="129A0F8E" w14:textId="77777777" w:rsidR="00440867" w:rsidRPr="002844F0" w:rsidRDefault="002844F0" w:rsidP="002844F0">
      <w:pPr>
        <w:spacing w:after="120"/>
        <w:ind w:firstLine="720"/>
        <w:jc w:val="both"/>
        <w:rPr>
          <w:rFonts w:ascii="Arial Narrow" w:hAnsi="Arial Narrow"/>
          <w:lang w:val="bg-BG" w:eastAsia="bg-BG"/>
        </w:rPr>
      </w:pPr>
      <w:r w:rsidRPr="002844F0">
        <w:rPr>
          <w:rFonts w:ascii="Arial Narrow" w:hAnsi="Arial Narrow"/>
          <w:lang w:val="bg-BG" w:eastAsia="bg-BG"/>
        </w:rPr>
        <w:t xml:space="preserve">По схема „Училищно мляко” са извършени доставки от 95 одобрени заявители. Продукти са получили 442 030 деца в 3 495 детски/учебни заведения в системата на предучилищното и училищното образование. Общият годишен бюджет по схемата е в размер на 25 724 172 лева, от които  3 520 616 лева от ЕС и 22 203 556 лева от НБ. Изплатени са средства в размер на 23 726 931 лева, в това число 2 372 693 лева от ЕС и 21 354 238 лева от НБ. </w:t>
      </w:r>
      <w:r w:rsidR="00440867" w:rsidRPr="00B10684">
        <w:rPr>
          <w:rFonts w:ascii="Arial Narrow" w:hAnsi="Arial Narrow"/>
          <w:color w:val="FF0000"/>
        </w:rPr>
        <w:t xml:space="preserve"> </w:t>
      </w:r>
      <w:bookmarkStart w:id="91" w:name="_Toc119489892"/>
    </w:p>
    <w:p w14:paraId="3B537C86" w14:textId="77777777" w:rsidR="002844F0" w:rsidRPr="002844F0" w:rsidRDefault="00440867" w:rsidP="006E11F9">
      <w:pPr>
        <w:pStyle w:val="ListParagraph"/>
        <w:numPr>
          <w:ilvl w:val="2"/>
          <w:numId w:val="33"/>
        </w:numPr>
        <w:tabs>
          <w:tab w:val="num" w:pos="993"/>
        </w:tabs>
        <w:spacing w:after="120"/>
        <w:ind w:left="1037" w:hanging="680"/>
        <w:jc w:val="both"/>
        <w:outlineLvl w:val="0"/>
        <w:rPr>
          <w:rFonts w:ascii="Arial Narrow" w:hAnsi="Arial Narrow"/>
          <w:b/>
        </w:rPr>
      </w:pPr>
      <w:bookmarkStart w:id="92" w:name="_Toc210747584"/>
      <w:r w:rsidRPr="002844F0">
        <w:rPr>
          <w:rFonts w:ascii="Arial Narrow" w:hAnsi="Arial Narrow"/>
          <w:b/>
        </w:rPr>
        <w:t>Сектор „Пчеларство“</w:t>
      </w:r>
      <w:bookmarkEnd w:id="91"/>
      <w:bookmarkEnd w:id="92"/>
    </w:p>
    <w:p w14:paraId="0CDCF487" w14:textId="77777777" w:rsidR="002844F0" w:rsidRPr="002844F0" w:rsidRDefault="002844F0" w:rsidP="002844F0">
      <w:pPr>
        <w:spacing w:after="120"/>
        <w:ind w:firstLine="709"/>
        <w:jc w:val="both"/>
        <w:rPr>
          <w:rFonts w:ascii="Arial Narrow" w:hAnsi="Arial Narrow"/>
          <w:lang w:val="bg-BG" w:eastAsia="bg-BG"/>
        </w:rPr>
      </w:pPr>
      <w:r w:rsidRPr="002844F0">
        <w:rPr>
          <w:rFonts w:ascii="Arial Narrow" w:hAnsi="Arial Narrow"/>
          <w:lang w:val="bg-BG" w:eastAsia="bg-BG"/>
        </w:rPr>
        <w:t xml:space="preserve">След приключването на изпълнението на петата тригодишна Национална програма по пчеларство (2020-2022 г.) секторът се подпомага чрез прилагане на интервенциите по чл. 55 от Регламент (ЕС) </w:t>
      </w:r>
      <w:r w:rsidRPr="002844F0">
        <w:rPr>
          <w:rFonts w:ascii="Arial Narrow" w:hAnsi="Arial Narrow"/>
          <w:lang w:val="bg-BG" w:eastAsia="bg-BG"/>
        </w:rPr>
        <w:lastRenderedPageBreak/>
        <w:t xml:space="preserve">2021/2115 на Европейския парламент и на Съвета за стратегическите планове по ОСП, заложени в одобрения СПРЗСР 2023-2027 г. </w:t>
      </w:r>
    </w:p>
    <w:p w14:paraId="139D9C56" w14:textId="77777777" w:rsidR="002844F0" w:rsidRDefault="002844F0" w:rsidP="002844F0">
      <w:pPr>
        <w:spacing w:after="120"/>
        <w:ind w:firstLine="720"/>
        <w:jc w:val="both"/>
        <w:rPr>
          <w:rFonts w:ascii="Arial Narrow" w:hAnsi="Arial Narrow"/>
          <w:lang w:val="bg-BG" w:eastAsia="bg-BG"/>
        </w:rPr>
      </w:pPr>
      <w:r w:rsidRPr="002844F0">
        <w:rPr>
          <w:rFonts w:ascii="Arial Narrow" w:hAnsi="Arial Narrow"/>
          <w:lang w:val="bg-BG" w:eastAsia="bg-BG"/>
        </w:rPr>
        <w:t>През м. февруари 2024 г. през СЕУ на ДФЗ-РА е проведен прием на заявления за подпомагане по секторните интервенции за финансовата 2024 г., с бюджет от 6 286 801 лева. Приети са 1 729 заявления с общ размер на заявената финансова помощ 8 047 653 лева. Сключени са 1 567 договора, с размер финансова помощ 6 466 072 лева. Изплатената подкрепа през финансовата година възлиза на 5 626 031 лева.</w:t>
      </w:r>
    </w:p>
    <w:p w14:paraId="2083590C" w14:textId="77777777" w:rsidR="002844F0" w:rsidRPr="002844F0" w:rsidRDefault="002844F0" w:rsidP="002844F0">
      <w:pPr>
        <w:spacing w:after="120"/>
        <w:ind w:right="142" w:firstLine="708"/>
        <w:jc w:val="both"/>
        <w:rPr>
          <w:rFonts w:ascii="Arial Narrow" w:hAnsi="Arial Narrow"/>
          <w:lang w:val="bg-BG" w:eastAsia="bg-BG"/>
        </w:rPr>
      </w:pPr>
      <w:r w:rsidRPr="002844F0">
        <w:rPr>
          <w:rFonts w:ascii="Arial Narrow" w:hAnsi="Arial Narrow"/>
          <w:lang w:val="bg-BG" w:eastAsia="bg-BG"/>
        </w:rPr>
        <w:t>В периода 9 - 23 декември 2024 г. през СЕУ на ДФЗ-РА е проведен прием на заявления за подпомагане по интервенциите в сектор „Пчеларство“ за финансовата 2025 г., с бюджет в размер на                 10 077 843 лева. Приети са 1 419 заявления, с общ размер на заявената финансова помощ 7 609 723 лева.</w:t>
      </w:r>
    </w:p>
    <w:p w14:paraId="69FBF7F9" w14:textId="77777777" w:rsidR="002844F0" w:rsidRPr="002844F0" w:rsidRDefault="002844F0" w:rsidP="002844F0">
      <w:pPr>
        <w:widowControl w:val="0"/>
        <w:adjustRightInd w:val="0"/>
        <w:spacing w:after="120"/>
        <w:ind w:right="45"/>
        <w:jc w:val="both"/>
        <w:textAlignment w:val="baseline"/>
        <w:rPr>
          <w:rFonts w:ascii="Arial Narrow" w:hAnsi="Arial Narrow"/>
          <w:b/>
          <w:szCs w:val="20"/>
          <w:lang w:val="bg-BG" w:eastAsia="bg-BG"/>
        </w:rPr>
      </w:pPr>
      <w:r w:rsidRPr="002844F0">
        <w:rPr>
          <w:rFonts w:ascii="Arial Narrow" w:hAnsi="Arial Narrow"/>
          <w:b/>
          <w:szCs w:val="20"/>
          <w:lang w:val="bg-BG" w:eastAsia="bg-BG"/>
        </w:rPr>
        <w:t xml:space="preserve">Таблица </w:t>
      </w:r>
      <w:r w:rsidR="00CA4006" w:rsidRPr="001B6ED3">
        <w:rPr>
          <w:rFonts w:ascii="Arial Narrow" w:hAnsi="Arial Narrow" w:cs="Arial Narrow"/>
          <w:b/>
          <w:bCs/>
          <w:lang w:val="bg-BG"/>
        </w:rPr>
        <w:t>ІV</w:t>
      </w:r>
      <w:r w:rsidR="00CA4006">
        <w:rPr>
          <w:rFonts w:ascii="Arial Narrow" w:hAnsi="Arial Narrow" w:cs="Arial Narrow"/>
          <w:b/>
          <w:bCs/>
          <w:lang w:val="bg-BG"/>
        </w:rPr>
        <w:t>.</w:t>
      </w:r>
      <w:r w:rsidR="00712B4B">
        <w:rPr>
          <w:rFonts w:ascii="Arial Narrow" w:hAnsi="Arial Narrow" w:cs="Arial Narrow"/>
          <w:b/>
          <w:bCs/>
          <w:lang w:val="bg-BG"/>
        </w:rPr>
        <w:t>7</w:t>
      </w:r>
      <w:r w:rsidRPr="002844F0">
        <w:rPr>
          <w:rFonts w:ascii="Arial Narrow" w:hAnsi="Arial Narrow"/>
          <w:b/>
          <w:szCs w:val="20"/>
          <w:lang w:val="bg-BG" w:eastAsia="bg-BG"/>
        </w:rPr>
        <w:t>. Бюджет и изплатена финансова помощ по интервенциите в сектор „ Пчеларство“ за 2024 г., лева</w:t>
      </w:r>
    </w:p>
    <w:tbl>
      <w:tblPr>
        <w:tblStyle w:val="TableGrid80"/>
        <w:tblW w:w="0" w:type="auto"/>
        <w:tblInd w:w="108" w:type="dxa"/>
        <w:tblLook w:val="04A0" w:firstRow="1" w:lastRow="0" w:firstColumn="1" w:lastColumn="0" w:noHBand="0" w:noVBand="1"/>
      </w:tblPr>
      <w:tblGrid>
        <w:gridCol w:w="1544"/>
        <w:gridCol w:w="1118"/>
        <w:gridCol w:w="1369"/>
        <w:gridCol w:w="1325"/>
        <w:gridCol w:w="1428"/>
        <w:gridCol w:w="1388"/>
        <w:gridCol w:w="1520"/>
      </w:tblGrid>
      <w:tr w:rsidR="002844F0" w:rsidRPr="002844F0" w14:paraId="2BF0EF0D" w14:textId="77777777" w:rsidTr="0070161B">
        <w:trPr>
          <w:trHeight w:val="1701"/>
        </w:trPr>
        <w:tc>
          <w:tcPr>
            <w:tcW w:w="1560" w:type="dxa"/>
            <w:tcBorders>
              <w:top w:val="single" w:sz="4" w:space="0" w:color="auto"/>
              <w:left w:val="single" w:sz="4" w:space="0" w:color="auto"/>
              <w:bottom w:val="single" w:sz="4" w:space="0" w:color="auto"/>
              <w:right w:val="single" w:sz="4" w:space="0" w:color="auto"/>
            </w:tcBorders>
            <w:shd w:val="clear" w:color="auto" w:fill="FFFFFF"/>
            <w:vAlign w:val="center"/>
          </w:tcPr>
          <w:p w14:paraId="02650AC4" w14:textId="77777777" w:rsidR="002844F0" w:rsidRPr="002844F0" w:rsidRDefault="002844F0" w:rsidP="002844F0">
            <w:pPr>
              <w:jc w:val="center"/>
              <w:rPr>
                <w:rFonts w:ascii="Arial Narrow" w:hAnsi="Arial Narrow"/>
                <w:b/>
                <w:color w:val="000000"/>
                <w:sz w:val="20"/>
                <w:szCs w:val="20"/>
                <w:lang w:val="bg-BG" w:eastAsia="bg-BG"/>
              </w:rPr>
            </w:pPr>
            <w:r w:rsidRPr="002844F0">
              <w:rPr>
                <w:rFonts w:ascii="Arial Narrow" w:hAnsi="Arial Narrow"/>
                <w:b/>
                <w:color w:val="000000"/>
                <w:sz w:val="20"/>
                <w:szCs w:val="20"/>
                <w:lang w:val="bg-BG" w:eastAsia="bg-BG"/>
              </w:rPr>
              <w:t>Интервенции</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795AA59D" w14:textId="77777777" w:rsidR="002844F0" w:rsidRPr="002844F0" w:rsidRDefault="002844F0" w:rsidP="002844F0">
            <w:pPr>
              <w:jc w:val="center"/>
              <w:rPr>
                <w:rFonts w:ascii="Arial Narrow" w:hAnsi="Arial Narrow"/>
                <w:b/>
                <w:color w:val="000000"/>
                <w:sz w:val="20"/>
                <w:szCs w:val="20"/>
                <w:lang w:val="bg-BG" w:eastAsia="bg-BG"/>
              </w:rPr>
            </w:pPr>
            <w:r w:rsidRPr="002844F0">
              <w:rPr>
                <w:rFonts w:ascii="Arial Narrow" w:hAnsi="Arial Narrow"/>
                <w:b/>
                <w:color w:val="000000"/>
                <w:sz w:val="20"/>
                <w:szCs w:val="20"/>
                <w:lang w:val="bg-BG" w:eastAsia="bg-BG"/>
              </w:rPr>
              <w:t>Бюджет по схемата 2024</w:t>
            </w:r>
          </w:p>
          <w:p w14:paraId="259082E2" w14:textId="77777777" w:rsidR="002844F0" w:rsidRPr="002844F0" w:rsidRDefault="002844F0" w:rsidP="002844F0">
            <w:pPr>
              <w:jc w:val="center"/>
              <w:rPr>
                <w:rFonts w:ascii="Arial Narrow" w:hAnsi="Arial Narrow"/>
                <w:b/>
                <w:color w:val="000000"/>
                <w:sz w:val="20"/>
                <w:szCs w:val="20"/>
                <w:lang w:val="bg-BG" w:eastAsia="bg-BG"/>
              </w:rPr>
            </w:pPr>
            <w:r w:rsidRPr="002844F0">
              <w:rPr>
                <w:rFonts w:ascii="Arial Narrow" w:hAnsi="Arial Narrow"/>
                <w:b/>
                <w:color w:val="000000"/>
                <w:sz w:val="20"/>
                <w:szCs w:val="20"/>
                <w:lang w:val="bg-BG" w:eastAsia="bg-BG"/>
              </w:rPr>
              <w:t>(лева)</w:t>
            </w:r>
          </w:p>
        </w:tc>
        <w:tc>
          <w:tcPr>
            <w:tcW w:w="1375" w:type="dxa"/>
            <w:tcBorders>
              <w:top w:val="single" w:sz="4" w:space="0" w:color="auto"/>
              <w:left w:val="single" w:sz="4" w:space="0" w:color="auto"/>
              <w:bottom w:val="single" w:sz="4" w:space="0" w:color="auto"/>
              <w:right w:val="single" w:sz="4" w:space="0" w:color="auto"/>
            </w:tcBorders>
            <w:shd w:val="clear" w:color="auto" w:fill="FFFFFF"/>
            <w:vAlign w:val="center"/>
          </w:tcPr>
          <w:p w14:paraId="33F9D279" w14:textId="77777777" w:rsidR="002844F0" w:rsidRPr="002844F0" w:rsidRDefault="002844F0" w:rsidP="002844F0">
            <w:pPr>
              <w:tabs>
                <w:tab w:val="left" w:pos="872"/>
              </w:tabs>
              <w:jc w:val="center"/>
              <w:rPr>
                <w:rFonts w:ascii="Arial Narrow" w:hAnsi="Arial Narrow"/>
                <w:b/>
                <w:color w:val="000000"/>
                <w:sz w:val="20"/>
                <w:szCs w:val="20"/>
                <w:lang w:val="bg-BG" w:eastAsia="bg-BG"/>
              </w:rPr>
            </w:pPr>
            <w:r w:rsidRPr="002844F0">
              <w:rPr>
                <w:rFonts w:ascii="Arial Narrow" w:hAnsi="Arial Narrow"/>
                <w:b/>
                <w:color w:val="000000"/>
                <w:sz w:val="20"/>
                <w:szCs w:val="20"/>
                <w:lang w:val="bg-BG" w:eastAsia="bg-BG"/>
              </w:rPr>
              <w:t>Приети заявления за подпомагане</w:t>
            </w:r>
          </w:p>
          <w:p w14:paraId="120C328B" w14:textId="77777777" w:rsidR="002844F0" w:rsidRPr="002844F0" w:rsidRDefault="002844F0" w:rsidP="002844F0">
            <w:pPr>
              <w:tabs>
                <w:tab w:val="left" w:pos="872"/>
              </w:tabs>
              <w:jc w:val="center"/>
              <w:rPr>
                <w:rFonts w:ascii="Arial Narrow" w:hAnsi="Arial Narrow"/>
                <w:b/>
                <w:color w:val="000000"/>
                <w:sz w:val="20"/>
                <w:szCs w:val="20"/>
                <w:lang w:val="bg-BG" w:eastAsia="bg-BG"/>
              </w:rPr>
            </w:pPr>
            <w:r w:rsidRPr="002844F0">
              <w:rPr>
                <w:rFonts w:ascii="Arial Narrow" w:hAnsi="Arial Narrow"/>
                <w:b/>
                <w:color w:val="000000"/>
                <w:sz w:val="20"/>
                <w:szCs w:val="20"/>
                <w:lang w:val="bg-BG" w:eastAsia="bg-BG"/>
              </w:rPr>
              <w:t>(брой)</w:t>
            </w:r>
          </w:p>
        </w:tc>
        <w:tc>
          <w:tcPr>
            <w:tcW w:w="1339" w:type="dxa"/>
            <w:tcBorders>
              <w:top w:val="single" w:sz="4" w:space="0" w:color="auto"/>
              <w:left w:val="single" w:sz="4" w:space="0" w:color="auto"/>
              <w:bottom w:val="single" w:sz="4" w:space="0" w:color="auto"/>
              <w:right w:val="single" w:sz="4" w:space="0" w:color="auto"/>
            </w:tcBorders>
            <w:shd w:val="clear" w:color="auto" w:fill="FFFFFF"/>
            <w:vAlign w:val="center"/>
          </w:tcPr>
          <w:p w14:paraId="78FBB604" w14:textId="77777777" w:rsidR="002844F0" w:rsidRPr="002844F0" w:rsidRDefault="002844F0" w:rsidP="002844F0">
            <w:pPr>
              <w:jc w:val="center"/>
              <w:rPr>
                <w:rFonts w:ascii="Arial Narrow" w:hAnsi="Arial Narrow"/>
                <w:b/>
                <w:color w:val="000000"/>
                <w:sz w:val="20"/>
                <w:szCs w:val="20"/>
                <w:lang w:val="bg-BG" w:eastAsia="bg-BG"/>
              </w:rPr>
            </w:pPr>
            <w:r w:rsidRPr="002844F0">
              <w:rPr>
                <w:rFonts w:ascii="Arial Narrow" w:hAnsi="Arial Narrow"/>
                <w:b/>
                <w:color w:val="000000"/>
                <w:sz w:val="20"/>
                <w:szCs w:val="20"/>
                <w:lang w:val="bg-BG" w:eastAsia="bg-BG"/>
              </w:rPr>
              <w:t>Подписани договори</w:t>
            </w:r>
          </w:p>
          <w:p w14:paraId="6B82A825" w14:textId="77777777" w:rsidR="002844F0" w:rsidRPr="002844F0" w:rsidRDefault="002844F0" w:rsidP="002844F0">
            <w:pPr>
              <w:jc w:val="center"/>
              <w:rPr>
                <w:rFonts w:ascii="Arial Narrow" w:hAnsi="Arial Narrow"/>
                <w:b/>
                <w:color w:val="000000"/>
                <w:sz w:val="20"/>
                <w:szCs w:val="20"/>
                <w:lang w:val="bg-BG" w:eastAsia="bg-BG"/>
              </w:rPr>
            </w:pPr>
            <w:r w:rsidRPr="002844F0">
              <w:rPr>
                <w:rFonts w:ascii="Arial Narrow" w:hAnsi="Arial Narrow"/>
                <w:b/>
                <w:color w:val="000000"/>
                <w:sz w:val="20"/>
                <w:szCs w:val="20"/>
                <w:lang w:val="bg-BG" w:eastAsia="bg-BG"/>
              </w:rPr>
              <w:t>(брой)</w:t>
            </w:r>
          </w:p>
        </w:tc>
        <w:tc>
          <w:tcPr>
            <w:tcW w:w="1438" w:type="dxa"/>
            <w:tcBorders>
              <w:top w:val="single" w:sz="4" w:space="0" w:color="auto"/>
              <w:left w:val="single" w:sz="4" w:space="0" w:color="auto"/>
              <w:bottom w:val="single" w:sz="4" w:space="0" w:color="auto"/>
              <w:right w:val="single" w:sz="4" w:space="0" w:color="auto"/>
            </w:tcBorders>
            <w:shd w:val="clear" w:color="auto" w:fill="FFFFFF"/>
            <w:vAlign w:val="center"/>
          </w:tcPr>
          <w:p w14:paraId="0E79747A" w14:textId="77777777" w:rsidR="002844F0" w:rsidRPr="002844F0" w:rsidRDefault="002844F0" w:rsidP="002844F0">
            <w:pPr>
              <w:tabs>
                <w:tab w:val="left" w:pos="1058"/>
              </w:tabs>
              <w:jc w:val="center"/>
              <w:rPr>
                <w:rFonts w:ascii="Arial Narrow" w:hAnsi="Arial Narrow"/>
                <w:b/>
                <w:color w:val="000000"/>
                <w:sz w:val="20"/>
                <w:szCs w:val="20"/>
                <w:lang w:val="bg-BG" w:eastAsia="bg-BG"/>
              </w:rPr>
            </w:pPr>
            <w:r w:rsidRPr="002844F0">
              <w:rPr>
                <w:rFonts w:ascii="Arial Narrow" w:hAnsi="Arial Narrow"/>
                <w:b/>
                <w:color w:val="000000"/>
                <w:sz w:val="20"/>
                <w:szCs w:val="20"/>
                <w:lang w:val="bg-BG" w:eastAsia="bg-BG"/>
              </w:rPr>
              <w:t>Финансова помощ, съгласно подписаните договори</w:t>
            </w:r>
          </w:p>
          <w:p w14:paraId="6476287C" w14:textId="77777777" w:rsidR="002844F0" w:rsidRPr="002844F0" w:rsidRDefault="002844F0" w:rsidP="002844F0">
            <w:pPr>
              <w:tabs>
                <w:tab w:val="left" w:pos="1058"/>
              </w:tabs>
              <w:jc w:val="center"/>
              <w:rPr>
                <w:rFonts w:ascii="Arial Narrow" w:hAnsi="Arial Narrow"/>
                <w:b/>
                <w:color w:val="000000"/>
                <w:sz w:val="20"/>
                <w:szCs w:val="20"/>
                <w:lang w:val="bg-BG" w:eastAsia="bg-BG"/>
              </w:rPr>
            </w:pPr>
            <w:r w:rsidRPr="002844F0">
              <w:rPr>
                <w:rFonts w:ascii="Arial Narrow" w:hAnsi="Arial Narrow"/>
                <w:b/>
                <w:color w:val="000000"/>
                <w:sz w:val="20"/>
                <w:szCs w:val="20"/>
                <w:lang w:val="bg-BG" w:eastAsia="bg-BG"/>
              </w:rPr>
              <w:t>(лева)</w:t>
            </w:r>
          </w:p>
        </w:tc>
        <w:tc>
          <w:tcPr>
            <w:tcW w:w="1408" w:type="dxa"/>
            <w:tcBorders>
              <w:top w:val="single" w:sz="4" w:space="0" w:color="auto"/>
              <w:left w:val="single" w:sz="4" w:space="0" w:color="auto"/>
              <w:bottom w:val="single" w:sz="4" w:space="0" w:color="auto"/>
              <w:right w:val="single" w:sz="4" w:space="0" w:color="auto"/>
            </w:tcBorders>
            <w:shd w:val="clear" w:color="auto" w:fill="FFFFFF"/>
            <w:vAlign w:val="center"/>
          </w:tcPr>
          <w:p w14:paraId="23FC17C8" w14:textId="77777777" w:rsidR="002844F0" w:rsidRPr="002844F0" w:rsidRDefault="002844F0" w:rsidP="002844F0">
            <w:pPr>
              <w:jc w:val="center"/>
              <w:rPr>
                <w:rFonts w:ascii="Arial Narrow" w:hAnsi="Arial Narrow"/>
                <w:b/>
                <w:color w:val="000000"/>
                <w:sz w:val="20"/>
                <w:szCs w:val="20"/>
                <w:lang w:val="bg-BG" w:eastAsia="bg-BG"/>
              </w:rPr>
            </w:pPr>
            <w:r w:rsidRPr="002844F0">
              <w:rPr>
                <w:rFonts w:ascii="Arial Narrow" w:hAnsi="Arial Narrow"/>
                <w:b/>
                <w:color w:val="000000"/>
                <w:sz w:val="20"/>
                <w:szCs w:val="20"/>
                <w:lang w:val="bg-BG" w:eastAsia="bg-BG"/>
              </w:rPr>
              <w:t>Изплатени заявления към края на отчетния период (брой)</w:t>
            </w:r>
          </w:p>
        </w:tc>
        <w:tc>
          <w:tcPr>
            <w:tcW w:w="1546" w:type="dxa"/>
            <w:tcBorders>
              <w:top w:val="single" w:sz="4" w:space="0" w:color="auto"/>
              <w:left w:val="single" w:sz="4" w:space="0" w:color="auto"/>
              <w:bottom w:val="single" w:sz="4" w:space="0" w:color="auto"/>
              <w:right w:val="single" w:sz="4" w:space="0" w:color="auto"/>
            </w:tcBorders>
            <w:shd w:val="clear" w:color="auto" w:fill="FFFFFF"/>
            <w:vAlign w:val="center"/>
          </w:tcPr>
          <w:p w14:paraId="19291B5E" w14:textId="77777777" w:rsidR="002844F0" w:rsidRPr="002844F0" w:rsidRDefault="002844F0" w:rsidP="002844F0">
            <w:pPr>
              <w:jc w:val="center"/>
              <w:rPr>
                <w:rFonts w:ascii="Arial Narrow" w:hAnsi="Arial Narrow"/>
                <w:b/>
                <w:color w:val="000000"/>
                <w:sz w:val="20"/>
                <w:szCs w:val="20"/>
                <w:lang w:val="bg-BG" w:eastAsia="bg-BG"/>
              </w:rPr>
            </w:pPr>
            <w:r w:rsidRPr="002844F0">
              <w:rPr>
                <w:rFonts w:ascii="Arial Narrow" w:hAnsi="Arial Narrow"/>
                <w:b/>
                <w:color w:val="000000"/>
                <w:sz w:val="20"/>
                <w:szCs w:val="20"/>
                <w:lang w:val="bg-BG" w:eastAsia="bg-BG"/>
              </w:rPr>
              <w:t>Изплатена финансова помощ към края на отчетния период</w:t>
            </w:r>
          </w:p>
          <w:p w14:paraId="590B921B" w14:textId="77777777" w:rsidR="002844F0" w:rsidRPr="002844F0" w:rsidRDefault="002844F0" w:rsidP="002844F0">
            <w:pPr>
              <w:jc w:val="center"/>
              <w:rPr>
                <w:rFonts w:ascii="Arial Narrow" w:hAnsi="Arial Narrow"/>
                <w:b/>
                <w:color w:val="000000"/>
                <w:sz w:val="20"/>
                <w:szCs w:val="20"/>
                <w:lang w:val="bg-BG" w:eastAsia="bg-BG"/>
              </w:rPr>
            </w:pPr>
            <w:r w:rsidRPr="002844F0">
              <w:rPr>
                <w:rFonts w:ascii="Arial Narrow" w:hAnsi="Arial Narrow"/>
                <w:b/>
                <w:color w:val="000000"/>
                <w:sz w:val="20"/>
                <w:szCs w:val="20"/>
                <w:lang w:val="bg-BG" w:eastAsia="bg-BG"/>
              </w:rPr>
              <w:t>(лева)</w:t>
            </w:r>
          </w:p>
        </w:tc>
      </w:tr>
      <w:tr w:rsidR="002844F0" w:rsidRPr="002844F0" w14:paraId="02945D72" w14:textId="77777777" w:rsidTr="0070161B">
        <w:trPr>
          <w:trHeight w:val="986"/>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550F8603" w14:textId="77777777" w:rsidR="002844F0" w:rsidRPr="002844F0" w:rsidRDefault="002844F0" w:rsidP="002844F0">
            <w:pPr>
              <w:rPr>
                <w:rFonts w:ascii="Arial Narrow" w:eastAsia="Calibri" w:hAnsi="Arial Narrow"/>
                <w:sz w:val="20"/>
                <w:szCs w:val="20"/>
                <w:lang w:val="bg-BG" w:eastAsia="bg-BG"/>
              </w:rPr>
            </w:pPr>
            <w:r w:rsidRPr="002844F0">
              <w:rPr>
                <w:rFonts w:ascii="Arial Narrow" w:eastAsia="Calibri" w:hAnsi="Arial Narrow"/>
                <w:sz w:val="20"/>
                <w:szCs w:val="20"/>
                <w:lang w:val="bg-BG" w:eastAsia="bg-BG"/>
              </w:rPr>
              <w:t>Интервенции в пчеларския сектор 2023-2027</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4F94F515" w14:textId="77777777" w:rsidR="002844F0" w:rsidRPr="002844F0" w:rsidRDefault="002844F0" w:rsidP="002844F0">
            <w:pPr>
              <w:jc w:val="right"/>
              <w:rPr>
                <w:rFonts w:ascii="Arial Narrow" w:eastAsia="Calibri" w:hAnsi="Arial Narrow"/>
                <w:color w:val="000000"/>
                <w:sz w:val="20"/>
                <w:szCs w:val="20"/>
                <w:lang w:val="bg-BG" w:eastAsia="bg-BG"/>
              </w:rPr>
            </w:pPr>
            <w:r w:rsidRPr="002844F0">
              <w:rPr>
                <w:rFonts w:ascii="Arial Narrow" w:eastAsia="Calibri" w:hAnsi="Arial Narrow"/>
                <w:color w:val="000000"/>
                <w:sz w:val="20"/>
                <w:szCs w:val="20"/>
                <w:lang w:val="bg-BG" w:eastAsia="bg-BG"/>
              </w:rPr>
              <w:t>6 286 801</w:t>
            </w:r>
          </w:p>
        </w:tc>
        <w:tc>
          <w:tcPr>
            <w:tcW w:w="1375" w:type="dxa"/>
            <w:tcBorders>
              <w:top w:val="single" w:sz="4" w:space="0" w:color="auto"/>
              <w:left w:val="single" w:sz="4" w:space="0" w:color="auto"/>
              <w:bottom w:val="single" w:sz="4" w:space="0" w:color="auto"/>
              <w:right w:val="single" w:sz="4" w:space="0" w:color="auto"/>
            </w:tcBorders>
            <w:shd w:val="clear" w:color="auto" w:fill="auto"/>
            <w:vAlign w:val="center"/>
          </w:tcPr>
          <w:p w14:paraId="208B1839" w14:textId="77777777" w:rsidR="002844F0" w:rsidRPr="002844F0" w:rsidRDefault="002844F0" w:rsidP="002844F0">
            <w:pPr>
              <w:jc w:val="right"/>
              <w:rPr>
                <w:rFonts w:ascii="Arial Narrow" w:eastAsia="Calibri" w:hAnsi="Arial Narrow"/>
                <w:sz w:val="20"/>
                <w:szCs w:val="20"/>
                <w:lang w:val="bg-BG" w:eastAsia="bg-BG"/>
              </w:rPr>
            </w:pPr>
            <w:r w:rsidRPr="002844F0">
              <w:rPr>
                <w:rFonts w:ascii="Arial Narrow" w:eastAsia="Calibri" w:hAnsi="Arial Narrow"/>
                <w:sz w:val="20"/>
                <w:szCs w:val="20"/>
                <w:lang w:val="bg-BG" w:eastAsia="bg-BG"/>
              </w:rPr>
              <w:t>1 729</w:t>
            </w:r>
          </w:p>
        </w:tc>
        <w:tc>
          <w:tcPr>
            <w:tcW w:w="1339" w:type="dxa"/>
            <w:tcBorders>
              <w:top w:val="single" w:sz="4" w:space="0" w:color="auto"/>
              <w:left w:val="single" w:sz="4" w:space="0" w:color="auto"/>
              <w:bottom w:val="single" w:sz="4" w:space="0" w:color="auto"/>
              <w:right w:val="single" w:sz="4" w:space="0" w:color="auto"/>
            </w:tcBorders>
            <w:shd w:val="clear" w:color="auto" w:fill="auto"/>
            <w:vAlign w:val="center"/>
          </w:tcPr>
          <w:p w14:paraId="132D0446" w14:textId="77777777" w:rsidR="002844F0" w:rsidRPr="002844F0" w:rsidRDefault="002844F0" w:rsidP="002844F0">
            <w:pPr>
              <w:jc w:val="right"/>
              <w:rPr>
                <w:rFonts w:ascii="Arial Narrow" w:eastAsia="Calibri" w:hAnsi="Arial Narrow"/>
                <w:sz w:val="20"/>
                <w:szCs w:val="20"/>
                <w:lang w:val="bg-BG" w:eastAsia="bg-BG"/>
              </w:rPr>
            </w:pPr>
            <w:r w:rsidRPr="002844F0">
              <w:rPr>
                <w:rFonts w:ascii="Arial Narrow" w:eastAsia="Calibri" w:hAnsi="Arial Narrow"/>
                <w:sz w:val="20"/>
                <w:szCs w:val="20"/>
                <w:lang w:val="bg-BG" w:eastAsia="bg-BG"/>
              </w:rPr>
              <w:t>1 567</w:t>
            </w:r>
          </w:p>
        </w:tc>
        <w:tc>
          <w:tcPr>
            <w:tcW w:w="1438" w:type="dxa"/>
            <w:tcBorders>
              <w:top w:val="single" w:sz="4" w:space="0" w:color="auto"/>
              <w:left w:val="single" w:sz="4" w:space="0" w:color="auto"/>
              <w:bottom w:val="single" w:sz="4" w:space="0" w:color="auto"/>
              <w:right w:val="single" w:sz="4" w:space="0" w:color="auto"/>
            </w:tcBorders>
            <w:shd w:val="clear" w:color="auto" w:fill="auto"/>
            <w:vAlign w:val="center"/>
          </w:tcPr>
          <w:p w14:paraId="4109A26F" w14:textId="77777777" w:rsidR="002844F0" w:rsidRPr="002844F0" w:rsidRDefault="002844F0" w:rsidP="002844F0">
            <w:pPr>
              <w:jc w:val="right"/>
              <w:rPr>
                <w:rFonts w:ascii="Arial Narrow" w:eastAsia="Calibri" w:hAnsi="Arial Narrow"/>
                <w:sz w:val="20"/>
                <w:szCs w:val="20"/>
                <w:lang w:val="bg-BG" w:eastAsia="bg-BG"/>
              </w:rPr>
            </w:pPr>
            <w:r w:rsidRPr="002844F0">
              <w:rPr>
                <w:rFonts w:ascii="Arial Narrow" w:eastAsia="Calibri" w:hAnsi="Arial Narrow"/>
                <w:sz w:val="20"/>
                <w:szCs w:val="20"/>
                <w:lang w:val="bg-BG" w:eastAsia="bg-BG"/>
              </w:rPr>
              <w:t>6 466 072</w:t>
            </w:r>
          </w:p>
        </w:tc>
        <w:tc>
          <w:tcPr>
            <w:tcW w:w="1408" w:type="dxa"/>
            <w:tcBorders>
              <w:top w:val="single" w:sz="4" w:space="0" w:color="auto"/>
              <w:left w:val="single" w:sz="4" w:space="0" w:color="auto"/>
              <w:bottom w:val="single" w:sz="4" w:space="0" w:color="auto"/>
              <w:right w:val="single" w:sz="4" w:space="0" w:color="auto"/>
            </w:tcBorders>
            <w:shd w:val="clear" w:color="auto" w:fill="auto"/>
            <w:vAlign w:val="center"/>
          </w:tcPr>
          <w:p w14:paraId="29A94E39" w14:textId="77777777" w:rsidR="002844F0" w:rsidRPr="002844F0" w:rsidRDefault="002844F0" w:rsidP="002844F0">
            <w:pPr>
              <w:jc w:val="right"/>
              <w:rPr>
                <w:rFonts w:ascii="Arial Narrow" w:eastAsia="Calibri" w:hAnsi="Arial Narrow"/>
                <w:sz w:val="20"/>
                <w:szCs w:val="20"/>
                <w:highlight w:val="yellow"/>
                <w:lang w:val="bg-BG" w:eastAsia="bg-BG"/>
              </w:rPr>
            </w:pPr>
            <w:r w:rsidRPr="002844F0">
              <w:rPr>
                <w:rFonts w:ascii="Arial Narrow" w:eastAsia="Calibri" w:hAnsi="Arial Narrow"/>
                <w:sz w:val="20"/>
                <w:szCs w:val="20"/>
                <w:lang w:val="bg-BG" w:eastAsia="bg-BG"/>
              </w:rPr>
              <w:t>1 512</w:t>
            </w:r>
          </w:p>
        </w:tc>
        <w:tc>
          <w:tcPr>
            <w:tcW w:w="1546" w:type="dxa"/>
            <w:tcBorders>
              <w:top w:val="single" w:sz="4" w:space="0" w:color="auto"/>
              <w:left w:val="single" w:sz="4" w:space="0" w:color="auto"/>
              <w:bottom w:val="single" w:sz="4" w:space="0" w:color="auto"/>
              <w:right w:val="single" w:sz="4" w:space="0" w:color="auto"/>
            </w:tcBorders>
            <w:shd w:val="clear" w:color="auto" w:fill="auto"/>
            <w:vAlign w:val="center"/>
          </w:tcPr>
          <w:p w14:paraId="5F2AA8A3" w14:textId="77777777" w:rsidR="002844F0" w:rsidRPr="002844F0" w:rsidRDefault="002844F0" w:rsidP="002844F0">
            <w:pPr>
              <w:jc w:val="right"/>
              <w:rPr>
                <w:rFonts w:ascii="Arial Narrow" w:eastAsia="Calibri" w:hAnsi="Arial Narrow"/>
                <w:sz w:val="20"/>
                <w:szCs w:val="20"/>
                <w:highlight w:val="yellow"/>
                <w:lang w:val="bg-BG" w:eastAsia="bg-BG"/>
              </w:rPr>
            </w:pPr>
            <w:r w:rsidRPr="002844F0">
              <w:rPr>
                <w:rFonts w:ascii="Arial Narrow" w:eastAsia="Calibri" w:hAnsi="Arial Narrow"/>
                <w:sz w:val="20"/>
                <w:szCs w:val="20"/>
                <w:lang w:val="bg-BG" w:eastAsia="bg-BG"/>
              </w:rPr>
              <w:t>5 626 031</w:t>
            </w:r>
          </w:p>
        </w:tc>
      </w:tr>
    </w:tbl>
    <w:p w14:paraId="10D184EE" w14:textId="77777777" w:rsidR="002844F0" w:rsidRPr="00725099" w:rsidRDefault="002844F0" w:rsidP="002844F0">
      <w:pPr>
        <w:spacing w:after="240"/>
        <w:rPr>
          <w:rFonts w:ascii="Arial Narrow" w:hAnsi="Arial Narrow"/>
          <w:sz w:val="18"/>
          <w:lang w:val="bg-BG" w:eastAsia="bg-BG"/>
        </w:rPr>
      </w:pPr>
      <w:r w:rsidRPr="00725099">
        <w:rPr>
          <w:rFonts w:ascii="Arial Narrow" w:hAnsi="Arial Narrow"/>
          <w:i/>
          <w:sz w:val="18"/>
          <w:lang w:val="bg-BG" w:eastAsia="bg-BG"/>
        </w:rPr>
        <w:t xml:space="preserve">Източник: </w:t>
      </w:r>
      <w:r w:rsidRPr="00725099">
        <w:rPr>
          <w:rFonts w:ascii="Arial Narrow" w:hAnsi="Arial Narrow"/>
          <w:sz w:val="18"/>
          <w:lang w:val="bg-BG" w:eastAsia="bg-BG"/>
        </w:rPr>
        <w:t>ДФЗ-РА</w:t>
      </w:r>
    </w:p>
    <w:p w14:paraId="50E55FE0" w14:textId="77777777" w:rsidR="002844F0" w:rsidRPr="002844F0" w:rsidRDefault="002844F0" w:rsidP="002844F0">
      <w:pPr>
        <w:spacing w:after="120"/>
        <w:ind w:right="142" w:firstLine="709"/>
        <w:jc w:val="both"/>
        <w:rPr>
          <w:rFonts w:ascii="Arial Narrow" w:hAnsi="Arial Narrow"/>
          <w:lang w:val="bg-BG" w:eastAsia="bg-BG"/>
        </w:rPr>
      </w:pPr>
      <w:r w:rsidRPr="002844F0">
        <w:rPr>
          <w:rFonts w:ascii="Arial Narrow" w:hAnsi="Arial Narrow"/>
          <w:lang w:val="bg-BG" w:eastAsia="bg-BG"/>
        </w:rPr>
        <w:t xml:space="preserve">С цел по-ефективно усвояване на финансовия ресурс, в периода 7 - 22 май 2025 г. е осъществен втори прием по интервенциите в сектор „Пчеларство“ за 2025 г. </w:t>
      </w:r>
    </w:p>
    <w:p w14:paraId="0A9BF4D0" w14:textId="77777777" w:rsidR="002844F0" w:rsidRPr="00B06D6E" w:rsidRDefault="002844F0" w:rsidP="00B06D6E">
      <w:pPr>
        <w:spacing w:after="120"/>
        <w:ind w:right="142" w:firstLine="709"/>
        <w:jc w:val="both"/>
        <w:rPr>
          <w:rFonts w:ascii="Arial Narrow" w:hAnsi="Arial Narrow"/>
          <w:lang w:val="bg-BG" w:eastAsia="bg-BG"/>
        </w:rPr>
      </w:pPr>
      <w:r w:rsidRPr="002844F0">
        <w:rPr>
          <w:rFonts w:ascii="Arial Narrow" w:hAnsi="Arial Narrow"/>
          <w:lang w:val="bg-BG" w:eastAsia="bg-BG"/>
        </w:rPr>
        <w:t>До 15.08.2025 г. бенефициентите с подписан договор от двата приема следва да подадат заявления за плащане, които ще бъдат разплатени от ДФЗ-РА в срок до 15 октомври 2025 г.</w:t>
      </w:r>
    </w:p>
    <w:p w14:paraId="1C0B7A46" w14:textId="77777777" w:rsidR="00B06D6E" w:rsidRPr="00B06D6E" w:rsidRDefault="00440867" w:rsidP="006E11F9">
      <w:pPr>
        <w:pStyle w:val="ListParagraph"/>
        <w:numPr>
          <w:ilvl w:val="2"/>
          <w:numId w:val="33"/>
        </w:numPr>
        <w:tabs>
          <w:tab w:val="num" w:pos="900"/>
        </w:tabs>
        <w:spacing w:after="120"/>
        <w:ind w:left="1037" w:hanging="680"/>
        <w:outlineLvl w:val="0"/>
        <w:rPr>
          <w:rFonts w:ascii="Arial Narrow" w:hAnsi="Arial Narrow"/>
          <w:b/>
        </w:rPr>
      </w:pPr>
      <w:bookmarkStart w:id="93" w:name="_Toc119489893"/>
      <w:bookmarkStart w:id="94" w:name="_Toc210747585"/>
      <w:r w:rsidRPr="00B06D6E">
        <w:rPr>
          <w:rFonts w:ascii="Arial Narrow" w:hAnsi="Arial Narrow"/>
          <w:b/>
        </w:rPr>
        <w:t>Сектор „Вино“</w:t>
      </w:r>
      <w:bookmarkEnd w:id="93"/>
      <w:bookmarkEnd w:id="94"/>
    </w:p>
    <w:p w14:paraId="7F5E976F" w14:textId="77777777" w:rsidR="00B06D6E" w:rsidRPr="00B06D6E" w:rsidRDefault="00B06D6E" w:rsidP="00B06D6E">
      <w:pPr>
        <w:spacing w:after="120"/>
        <w:ind w:firstLine="720"/>
        <w:jc w:val="both"/>
        <w:rPr>
          <w:rFonts w:ascii="Arial Narrow" w:hAnsi="Arial Narrow"/>
          <w:lang w:val="bg-BG" w:eastAsia="bg-BG"/>
        </w:rPr>
      </w:pPr>
      <w:r w:rsidRPr="00B06D6E">
        <w:rPr>
          <w:rFonts w:ascii="Arial Narrow" w:hAnsi="Arial Narrow"/>
          <w:lang w:val="bg-BG" w:eastAsia="bg-BG"/>
        </w:rPr>
        <w:t>Прилагането на интервенциите в лозаро-винарския сектор, включени в СПРЗСР 2023-2027 г., стартира през м. октомври 2023 г. С Наредба №14 от 11.09.2023 г. са уредени условията и редът за предоставяне на финансова помощ по следните интервенции:</w:t>
      </w:r>
    </w:p>
    <w:p w14:paraId="6AE46C84" w14:textId="77777777" w:rsidR="00B06D6E" w:rsidRPr="00B06D6E" w:rsidRDefault="00B06D6E" w:rsidP="009C6577">
      <w:pPr>
        <w:numPr>
          <w:ilvl w:val="0"/>
          <w:numId w:val="53"/>
        </w:numPr>
        <w:spacing w:after="120"/>
        <w:contextualSpacing/>
        <w:jc w:val="both"/>
        <w:rPr>
          <w:rFonts w:ascii="Arial Narrow" w:hAnsi="Arial Narrow"/>
          <w:lang w:val="bg-BG" w:eastAsia="bg-BG"/>
        </w:rPr>
      </w:pPr>
      <w:r w:rsidRPr="00B06D6E">
        <w:rPr>
          <w:rFonts w:ascii="Arial Narrow" w:hAnsi="Arial Narrow"/>
          <w:lang w:val="bg-BG" w:eastAsia="bg-BG"/>
        </w:rPr>
        <w:t>Преструктуриране и конверсия на лозя</w:t>
      </w:r>
    </w:p>
    <w:p w14:paraId="5823F312" w14:textId="77777777" w:rsidR="00B06D6E" w:rsidRPr="00B06D6E" w:rsidRDefault="00B06D6E" w:rsidP="009C6577">
      <w:pPr>
        <w:numPr>
          <w:ilvl w:val="0"/>
          <w:numId w:val="53"/>
        </w:numPr>
        <w:spacing w:after="120"/>
        <w:contextualSpacing/>
        <w:jc w:val="both"/>
        <w:rPr>
          <w:rFonts w:ascii="Arial Narrow" w:hAnsi="Arial Narrow"/>
          <w:lang w:val="bg-BG" w:eastAsia="bg-BG"/>
        </w:rPr>
      </w:pPr>
      <w:r w:rsidRPr="00B06D6E">
        <w:rPr>
          <w:rFonts w:ascii="Arial Narrow" w:hAnsi="Arial Narrow"/>
          <w:lang w:val="bg-BG" w:eastAsia="bg-BG"/>
        </w:rPr>
        <w:t>Инвестиции в лозаро-винарския сектор</w:t>
      </w:r>
    </w:p>
    <w:p w14:paraId="7630E1C3" w14:textId="77777777" w:rsidR="00B06D6E" w:rsidRPr="00B06D6E" w:rsidRDefault="00B06D6E" w:rsidP="009C6577">
      <w:pPr>
        <w:numPr>
          <w:ilvl w:val="0"/>
          <w:numId w:val="53"/>
        </w:numPr>
        <w:spacing w:after="120"/>
        <w:contextualSpacing/>
        <w:jc w:val="both"/>
        <w:rPr>
          <w:rFonts w:ascii="Arial Narrow" w:hAnsi="Arial Narrow"/>
          <w:lang w:val="bg-BG" w:eastAsia="bg-BG"/>
        </w:rPr>
      </w:pPr>
      <w:r w:rsidRPr="00B06D6E">
        <w:rPr>
          <w:rFonts w:ascii="Arial Narrow" w:hAnsi="Arial Narrow"/>
          <w:lang w:val="bg-BG" w:eastAsia="bg-BG"/>
        </w:rPr>
        <w:t>Събиране на реколтата на зелено</w:t>
      </w:r>
    </w:p>
    <w:p w14:paraId="4C51E914" w14:textId="77777777" w:rsidR="00B06D6E" w:rsidRPr="00B06D6E" w:rsidRDefault="00B06D6E" w:rsidP="009C6577">
      <w:pPr>
        <w:numPr>
          <w:ilvl w:val="0"/>
          <w:numId w:val="53"/>
        </w:numPr>
        <w:spacing w:after="120"/>
        <w:contextualSpacing/>
        <w:jc w:val="both"/>
        <w:rPr>
          <w:rFonts w:ascii="Arial Narrow" w:hAnsi="Arial Narrow"/>
          <w:lang w:val="bg-BG" w:eastAsia="bg-BG"/>
        </w:rPr>
      </w:pPr>
      <w:r w:rsidRPr="00B06D6E">
        <w:rPr>
          <w:rFonts w:ascii="Arial Narrow" w:hAnsi="Arial Narrow"/>
          <w:lang w:val="bg-BG" w:eastAsia="bg-BG"/>
        </w:rPr>
        <w:t>Застраховане на реколтата</w:t>
      </w:r>
    </w:p>
    <w:p w14:paraId="7D678C30" w14:textId="77777777" w:rsidR="00B06D6E" w:rsidRPr="00B06D6E" w:rsidRDefault="00B06D6E" w:rsidP="009C6577">
      <w:pPr>
        <w:numPr>
          <w:ilvl w:val="0"/>
          <w:numId w:val="53"/>
        </w:numPr>
        <w:spacing w:after="120"/>
        <w:contextualSpacing/>
        <w:jc w:val="both"/>
        <w:rPr>
          <w:rFonts w:ascii="Arial Narrow" w:hAnsi="Arial Narrow"/>
          <w:lang w:val="bg-BG" w:eastAsia="bg-BG"/>
        </w:rPr>
      </w:pPr>
      <w:r w:rsidRPr="00B06D6E">
        <w:rPr>
          <w:rFonts w:ascii="Arial Narrow" w:hAnsi="Arial Narrow"/>
          <w:lang w:val="bg-BG" w:eastAsia="bg-BG"/>
        </w:rPr>
        <w:t>Информиране в държавите членки</w:t>
      </w:r>
    </w:p>
    <w:p w14:paraId="087A0B2C" w14:textId="77777777" w:rsidR="00B06D6E" w:rsidRPr="00B06D6E" w:rsidRDefault="00B06D6E" w:rsidP="009C6577">
      <w:pPr>
        <w:numPr>
          <w:ilvl w:val="0"/>
          <w:numId w:val="53"/>
        </w:numPr>
        <w:spacing w:after="120"/>
        <w:contextualSpacing/>
        <w:jc w:val="both"/>
        <w:rPr>
          <w:rFonts w:ascii="Arial Narrow" w:hAnsi="Arial Narrow"/>
          <w:lang w:val="bg-BG" w:eastAsia="bg-BG"/>
        </w:rPr>
      </w:pPr>
      <w:r w:rsidRPr="00B06D6E">
        <w:rPr>
          <w:rFonts w:ascii="Arial Narrow" w:hAnsi="Arial Narrow"/>
          <w:lang w:val="bg-BG" w:eastAsia="bg-BG"/>
        </w:rPr>
        <w:t>Популяризиране в трети държави</w:t>
      </w:r>
    </w:p>
    <w:p w14:paraId="4D0B42AB" w14:textId="77777777" w:rsidR="00B06D6E" w:rsidRPr="00B06D6E" w:rsidRDefault="00B06D6E" w:rsidP="009C6577">
      <w:pPr>
        <w:numPr>
          <w:ilvl w:val="0"/>
          <w:numId w:val="53"/>
        </w:numPr>
        <w:spacing w:after="120"/>
        <w:contextualSpacing/>
        <w:jc w:val="both"/>
        <w:rPr>
          <w:rFonts w:ascii="Arial Narrow" w:hAnsi="Arial Narrow"/>
          <w:lang w:val="bg-BG" w:eastAsia="bg-BG"/>
        </w:rPr>
      </w:pPr>
      <w:r w:rsidRPr="00B06D6E">
        <w:rPr>
          <w:rFonts w:ascii="Arial Narrow" w:hAnsi="Arial Narrow"/>
          <w:lang w:val="bg-BG" w:eastAsia="bg-BG"/>
        </w:rPr>
        <w:t>Инвестиции в екологични съоръжения</w:t>
      </w:r>
    </w:p>
    <w:p w14:paraId="44096FFD" w14:textId="77777777" w:rsidR="00B06D6E" w:rsidRPr="00B06D6E" w:rsidRDefault="00B06D6E" w:rsidP="00B06D6E">
      <w:pPr>
        <w:spacing w:after="120"/>
        <w:ind w:firstLine="720"/>
        <w:jc w:val="both"/>
        <w:rPr>
          <w:rFonts w:ascii="Arial Narrow" w:hAnsi="Arial Narrow"/>
          <w:lang w:val="bg-BG" w:eastAsia="bg-BG"/>
        </w:rPr>
      </w:pPr>
      <w:r w:rsidRPr="00B06D6E">
        <w:rPr>
          <w:rFonts w:ascii="Arial Narrow" w:hAnsi="Arial Narrow"/>
          <w:lang w:val="bg-BG" w:eastAsia="bg-BG"/>
        </w:rPr>
        <w:t>Подкрепата по интервенциите се финансира от ЕФГЗ, като по интервенции „Популяризиране трети държави“ и „Информиране в държавите членки“ е предвидено и национално подпомагане.</w:t>
      </w:r>
    </w:p>
    <w:p w14:paraId="391A1CE5" w14:textId="77777777" w:rsidR="00B06D6E" w:rsidRPr="00B06D6E" w:rsidRDefault="00B06D6E" w:rsidP="00B06D6E">
      <w:pPr>
        <w:spacing w:after="120"/>
        <w:ind w:firstLine="720"/>
        <w:jc w:val="both"/>
        <w:rPr>
          <w:rFonts w:ascii="Arial Narrow" w:hAnsi="Arial Narrow"/>
          <w:lang w:val="bg-BG" w:eastAsia="bg-BG"/>
        </w:rPr>
      </w:pPr>
      <w:r w:rsidRPr="00B06D6E">
        <w:rPr>
          <w:rFonts w:ascii="Arial Narrow" w:hAnsi="Arial Narrow"/>
          <w:lang w:val="bg-BG" w:eastAsia="bg-BG"/>
        </w:rPr>
        <w:t>През проведените за финансовата 2024 г. приеми по интервенциите в сектора са подадени общо 233 заявления със заявена субсидия в размер на 49 488 646 лева. Сключени са 200 административни договора със стойност на одобрената финансова помощ в размер на 35 206 792 лева.</w:t>
      </w:r>
    </w:p>
    <w:p w14:paraId="39D34AD1" w14:textId="77777777" w:rsidR="00B06D6E" w:rsidRPr="00B06D6E" w:rsidRDefault="00B06D6E" w:rsidP="00B06D6E">
      <w:pPr>
        <w:spacing w:after="120"/>
        <w:jc w:val="both"/>
        <w:rPr>
          <w:rFonts w:ascii="Arial Narrow" w:hAnsi="Arial Narrow"/>
          <w:lang w:val="bg-BG" w:eastAsia="bg-BG"/>
        </w:rPr>
      </w:pPr>
      <w:r w:rsidRPr="00B06D6E">
        <w:rPr>
          <w:rFonts w:ascii="Arial Narrow" w:hAnsi="Arial Narrow"/>
          <w:b/>
          <w:szCs w:val="20"/>
          <w:lang w:val="bg-BG" w:eastAsia="bg-BG"/>
        </w:rPr>
        <w:t xml:space="preserve">Таблица </w:t>
      </w:r>
      <w:r w:rsidR="00CA4006" w:rsidRPr="001B6ED3">
        <w:rPr>
          <w:rFonts w:ascii="Arial Narrow" w:hAnsi="Arial Narrow" w:cs="Arial Narrow"/>
          <w:b/>
          <w:bCs/>
          <w:lang w:val="bg-BG"/>
        </w:rPr>
        <w:t>ІV</w:t>
      </w:r>
      <w:r w:rsidR="00CA4006">
        <w:rPr>
          <w:rFonts w:ascii="Arial Narrow" w:hAnsi="Arial Narrow" w:cs="Arial Narrow"/>
          <w:b/>
          <w:bCs/>
          <w:lang w:val="bg-BG"/>
        </w:rPr>
        <w:t>.</w:t>
      </w:r>
      <w:r w:rsidR="00712B4B">
        <w:rPr>
          <w:rFonts w:ascii="Arial Narrow" w:hAnsi="Arial Narrow" w:cs="Arial Narrow"/>
          <w:b/>
          <w:bCs/>
          <w:lang w:val="bg-BG"/>
        </w:rPr>
        <w:t>8</w:t>
      </w:r>
      <w:r w:rsidR="00CA4006">
        <w:rPr>
          <w:rFonts w:ascii="Arial Narrow" w:hAnsi="Arial Narrow" w:cs="Arial Narrow"/>
          <w:b/>
          <w:bCs/>
          <w:lang w:val="bg-BG"/>
        </w:rPr>
        <w:t>.</w:t>
      </w:r>
      <w:r w:rsidRPr="00B06D6E">
        <w:rPr>
          <w:rFonts w:ascii="Arial Narrow" w:hAnsi="Arial Narrow" w:cs="Arial Narrow"/>
          <w:b/>
          <w:bCs/>
          <w:lang w:val="bg-BG" w:eastAsia="bg-BG"/>
        </w:rPr>
        <w:t xml:space="preserve"> Бюджет за интервенциите в лозаро-винарския сектор за 2024 финансова година, лева</w:t>
      </w:r>
    </w:p>
    <w:tbl>
      <w:tblPr>
        <w:tblW w:w="985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70" w:type="dxa"/>
          <w:right w:w="70" w:type="dxa"/>
        </w:tblCellMar>
        <w:tblLook w:val="04A0" w:firstRow="1" w:lastRow="0" w:firstColumn="1" w:lastColumn="0" w:noHBand="0" w:noVBand="1"/>
      </w:tblPr>
      <w:tblGrid>
        <w:gridCol w:w="4818"/>
        <w:gridCol w:w="1727"/>
        <w:gridCol w:w="1655"/>
        <w:gridCol w:w="1655"/>
      </w:tblGrid>
      <w:tr w:rsidR="00B06D6E" w:rsidRPr="00B06D6E" w14:paraId="4A7F32D3" w14:textId="77777777" w:rsidTr="0070161B">
        <w:trPr>
          <w:trHeight w:val="529"/>
        </w:trPr>
        <w:tc>
          <w:tcPr>
            <w:tcW w:w="4818" w:type="dxa"/>
            <w:vMerge w:val="restart"/>
            <w:shd w:val="clear" w:color="auto" w:fill="FFFFFF"/>
            <w:noWrap/>
            <w:vAlign w:val="center"/>
          </w:tcPr>
          <w:p w14:paraId="79EA14A8" w14:textId="77777777" w:rsidR="00B06D6E" w:rsidRPr="00B06D6E" w:rsidRDefault="00B06D6E" w:rsidP="00B06D6E">
            <w:pPr>
              <w:ind w:firstLine="720"/>
              <w:rPr>
                <w:rFonts w:ascii="Arial Narrow" w:hAnsi="Arial Narrow"/>
                <w:b/>
                <w:bCs/>
                <w:sz w:val="20"/>
                <w:szCs w:val="20"/>
                <w:lang w:val="bg-BG" w:eastAsia="bg-BG"/>
              </w:rPr>
            </w:pPr>
          </w:p>
        </w:tc>
        <w:tc>
          <w:tcPr>
            <w:tcW w:w="1727" w:type="dxa"/>
            <w:vMerge w:val="restart"/>
            <w:shd w:val="clear" w:color="auto" w:fill="FFFFFF"/>
            <w:vAlign w:val="center"/>
          </w:tcPr>
          <w:p w14:paraId="24275DFB" w14:textId="77777777" w:rsidR="00B06D6E" w:rsidRPr="00B06D6E" w:rsidRDefault="00B06D6E" w:rsidP="00B06D6E">
            <w:pPr>
              <w:jc w:val="center"/>
              <w:rPr>
                <w:rFonts w:ascii="Arial Narrow" w:hAnsi="Arial Narrow"/>
                <w:b/>
                <w:bCs/>
                <w:sz w:val="20"/>
                <w:szCs w:val="20"/>
                <w:lang w:val="bg-BG" w:eastAsia="bg-BG"/>
              </w:rPr>
            </w:pPr>
            <w:r w:rsidRPr="00B06D6E">
              <w:rPr>
                <w:rFonts w:ascii="Arial Narrow" w:hAnsi="Arial Narrow"/>
                <w:b/>
                <w:bCs/>
                <w:sz w:val="20"/>
                <w:szCs w:val="20"/>
                <w:lang w:val="bg-BG" w:eastAsia="bg-BG"/>
              </w:rPr>
              <w:t>Общо</w:t>
            </w:r>
          </w:p>
        </w:tc>
        <w:tc>
          <w:tcPr>
            <w:tcW w:w="3310" w:type="dxa"/>
            <w:gridSpan w:val="2"/>
            <w:shd w:val="clear" w:color="auto" w:fill="FFFFFF"/>
            <w:noWrap/>
            <w:vAlign w:val="center"/>
          </w:tcPr>
          <w:p w14:paraId="154D1DDC" w14:textId="77777777" w:rsidR="00B06D6E" w:rsidRPr="00B06D6E" w:rsidRDefault="00B06D6E" w:rsidP="00B06D6E">
            <w:pPr>
              <w:jc w:val="center"/>
              <w:rPr>
                <w:rFonts w:ascii="Arial Narrow" w:hAnsi="Arial Narrow"/>
                <w:b/>
                <w:bCs/>
                <w:sz w:val="20"/>
                <w:szCs w:val="20"/>
                <w:lang w:val="bg-BG" w:eastAsia="bg-BG"/>
              </w:rPr>
            </w:pPr>
            <w:r w:rsidRPr="00B06D6E">
              <w:rPr>
                <w:rFonts w:ascii="Arial Narrow" w:hAnsi="Arial Narrow"/>
                <w:b/>
                <w:bCs/>
                <w:sz w:val="20"/>
                <w:szCs w:val="20"/>
                <w:lang w:val="bg-BG" w:eastAsia="bg-BG"/>
              </w:rPr>
              <w:t>В това число:</w:t>
            </w:r>
          </w:p>
        </w:tc>
      </w:tr>
      <w:tr w:rsidR="00B06D6E" w:rsidRPr="00B06D6E" w14:paraId="528AE266" w14:textId="77777777" w:rsidTr="0070161B">
        <w:trPr>
          <w:trHeight w:val="398"/>
        </w:trPr>
        <w:tc>
          <w:tcPr>
            <w:tcW w:w="4818" w:type="dxa"/>
            <w:vMerge/>
            <w:shd w:val="clear" w:color="auto" w:fill="FFFFFF"/>
            <w:noWrap/>
            <w:vAlign w:val="center"/>
            <w:hideMark/>
          </w:tcPr>
          <w:p w14:paraId="0CCDA172" w14:textId="77777777" w:rsidR="00B06D6E" w:rsidRPr="00B06D6E" w:rsidRDefault="00B06D6E" w:rsidP="00B06D6E">
            <w:pPr>
              <w:ind w:firstLine="720"/>
              <w:rPr>
                <w:rFonts w:ascii="Arial Narrow" w:hAnsi="Arial Narrow"/>
                <w:b/>
                <w:bCs/>
                <w:sz w:val="20"/>
                <w:szCs w:val="20"/>
                <w:lang w:val="bg-BG" w:eastAsia="bg-BG"/>
              </w:rPr>
            </w:pPr>
          </w:p>
        </w:tc>
        <w:tc>
          <w:tcPr>
            <w:tcW w:w="1727" w:type="dxa"/>
            <w:vMerge/>
            <w:shd w:val="clear" w:color="auto" w:fill="FFFFFF"/>
          </w:tcPr>
          <w:p w14:paraId="47B74F41" w14:textId="77777777" w:rsidR="00B06D6E" w:rsidRPr="00B06D6E" w:rsidRDefault="00B06D6E" w:rsidP="00B06D6E">
            <w:pPr>
              <w:ind w:firstLine="720"/>
              <w:rPr>
                <w:rFonts w:ascii="Arial Narrow" w:hAnsi="Arial Narrow"/>
                <w:b/>
                <w:bCs/>
                <w:sz w:val="20"/>
                <w:szCs w:val="20"/>
                <w:lang w:val="bg-BG" w:eastAsia="bg-BG"/>
              </w:rPr>
            </w:pPr>
          </w:p>
        </w:tc>
        <w:tc>
          <w:tcPr>
            <w:tcW w:w="1655" w:type="dxa"/>
            <w:shd w:val="clear" w:color="auto" w:fill="FFFFFF"/>
            <w:noWrap/>
            <w:vAlign w:val="center"/>
            <w:hideMark/>
          </w:tcPr>
          <w:p w14:paraId="5E685D55" w14:textId="77777777" w:rsidR="00B06D6E" w:rsidRPr="00B06D6E" w:rsidRDefault="00B06D6E" w:rsidP="00B06D6E">
            <w:pPr>
              <w:jc w:val="center"/>
              <w:rPr>
                <w:rFonts w:ascii="Arial Narrow" w:hAnsi="Arial Narrow"/>
                <w:b/>
                <w:bCs/>
                <w:sz w:val="20"/>
                <w:szCs w:val="20"/>
                <w:lang w:val="bg-BG" w:eastAsia="bg-BG"/>
              </w:rPr>
            </w:pPr>
            <w:r w:rsidRPr="00B06D6E">
              <w:rPr>
                <w:rFonts w:ascii="Arial Narrow" w:hAnsi="Arial Narrow"/>
                <w:b/>
                <w:bCs/>
                <w:sz w:val="20"/>
                <w:szCs w:val="20"/>
                <w:lang w:val="bg-BG" w:eastAsia="bg-BG"/>
              </w:rPr>
              <w:t>От ЕФГЗ</w:t>
            </w:r>
          </w:p>
        </w:tc>
        <w:tc>
          <w:tcPr>
            <w:tcW w:w="1655" w:type="dxa"/>
            <w:shd w:val="clear" w:color="auto" w:fill="FFFFFF"/>
            <w:noWrap/>
            <w:vAlign w:val="center"/>
            <w:hideMark/>
          </w:tcPr>
          <w:p w14:paraId="64D17538" w14:textId="77777777" w:rsidR="00B06D6E" w:rsidRPr="00B06D6E" w:rsidRDefault="00B06D6E" w:rsidP="00B06D6E">
            <w:pPr>
              <w:jc w:val="center"/>
              <w:rPr>
                <w:rFonts w:ascii="Arial Narrow" w:hAnsi="Arial Narrow"/>
                <w:b/>
                <w:bCs/>
                <w:sz w:val="20"/>
                <w:szCs w:val="20"/>
                <w:lang w:val="bg-BG" w:eastAsia="bg-BG"/>
              </w:rPr>
            </w:pPr>
            <w:r w:rsidRPr="00B06D6E">
              <w:rPr>
                <w:rFonts w:ascii="Arial Narrow" w:hAnsi="Arial Narrow"/>
                <w:b/>
                <w:bCs/>
                <w:sz w:val="20"/>
                <w:szCs w:val="20"/>
                <w:lang w:val="bg-BG" w:eastAsia="bg-BG"/>
              </w:rPr>
              <w:t>От НБ</w:t>
            </w:r>
          </w:p>
        </w:tc>
      </w:tr>
      <w:tr w:rsidR="00B06D6E" w:rsidRPr="00B06D6E" w14:paraId="78E64D8A" w14:textId="77777777" w:rsidTr="0070161B">
        <w:trPr>
          <w:trHeight w:val="280"/>
        </w:trPr>
        <w:tc>
          <w:tcPr>
            <w:tcW w:w="4818" w:type="dxa"/>
            <w:shd w:val="clear" w:color="auto" w:fill="FFFFFF"/>
            <w:vAlign w:val="center"/>
            <w:hideMark/>
          </w:tcPr>
          <w:p w14:paraId="351C42F7" w14:textId="77777777" w:rsidR="00B06D6E" w:rsidRPr="00B06D6E" w:rsidRDefault="00B06D6E" w:rsidP="00B06D6E">
            <w:pPr>
              <w:rPr>
                <w:rFonts w:ascii="Arial Narrow" w:hAnsi="Arial Narrow"/>
                <w:bCs/>
                <w:sz w:val="20"/>
                <w:szCs w:val="20"/>
                <w:lang w:val="bg-BG" w:eastAsia="bg-BG"/>
              </w:rPr>
            </w:pPr>
            <w:r w:rsidRPr="00B06D6E">
              <w:rPr>
                <w:rFonts w:ascii="Arial Narrow" w:hAnsi="Arial Narrow"/>
                <w:bCs/>
                <w:sz w:val="20"/>
                <w:szCs w:val="20"/>
                <w:lang w:val="bg-BG" w:eastAsia="bg-BG"/>
              </w:rPr>
              <w:lastRenderedPageBreak/>
              <w:t>Интервенция „Преструктуриране и конверсия на лозя“</w:t>
            </w:r>
          </w:p>
        </w:tc>
        <w:tc>
          <w:tcPr>
            <w:tcW w:w="1727" w:type="dxa"/>
            <w:shd w:val="clear" w:color="auto" w:fill="FFFFFF"/>
            <w:vAlign w:val="center"/>
          </w:tcPr>
          <w:p w14:paraId="1841C464" w14:textId="77777777" w:rsidR="00B06D6E" w:rsidRPr="00B06D6E" w:rsidRDefault="00B06D6E" w:rsidP="00B06D6E">
            <w:pPr>
              <w:ind w:firstLine="217"/>
              <w:jc w:val="right"/>
              <w:rPr>
                <w:rFonts w:ascii="Arial Narrow" w:hAnsi="Arial Narrow"/>
                <w:sz w:val="20"/>
                <w:szCs w:val="20"/>
                <w:lang w:val="bg-BG" w:eastAsia="bg-BG"/>
              </w:rPr>
            </w:pPr>
            <w:r w:rsidRPr="00B06D6E">
              <w:rPr>
                <w:rFonts w:ascii="Arial Narrow" w:hAnsi="Arial Narrow"/>
                <w:sz w:val="20"/>
                <w:szCs w:val="20"/>
                <w:lang w:val="bg-BG" w:eastAsia="bg-BG"/>
              </w:rPr>
              <w:t>24 165 305</w:t>
            </w:r>
          </w:p>
        </w:tc>
        <w:tc>
          <w:tcPr>
            <w:tcW w:w="1655" w:type="dxa"/>
            <w:shd w:val="clear" w:color="auto" w:fill="FFFFFF"/>
            <w:noWrap/>
            <w:vAlign w:val="center"/>
            <w:hideMark/>
          </w:tcPr>
          <w:p w14:paraId="2E17EED2" w14:textId="77777777" w:rsidR="00B06D6E" w:rsidRPr="00B06D6E" w:rsidRDefault="00B06D6E" w:rsidP="00B06D6E">
            <w:pPr>
              <w:ind w:firstLine="217"/>
              <w:jc w:val="right"/>
              <w:rPr>
                <w:rFonts w:ascii="Arial Narrow" w:hAnsi="Arial Narrow"/>
                <w:sz w:val="20"/>
                <w:szCs w:val="20"/>
                <w:lang w:val="bg-BG" w:eastAsia="bg-BG"/>
              </w:rPr>
            </w:pPr>
            <w:r w:rsidRPr="00B06D6E">
              <w:rPr>
                <w:rFonts w:ascii="Arial Narrow" w:hAnsi="Arial Narrow"/>
                <w:sz w:val="20"/>
                <w:szCs w:val="20"/>
                <w:lang w:val="bg-BG" w:eastAsia="bg-BG"/>
              </w:rPr>
              <w:t>24 165 305</w:t>
            </w:r>
          </w:p>
        </w:tc>
        <w:tc>
          <w:tcPr>
            <w:tcW w:w="1655" w:type="dxa"/>
            <w:shd w:val="clear" w:color="auto" w:fill="FFFFFF"/>
            <w:noWrap/>
            <w:vAlign w:val="center"/>
          </w:tcPr>
          <w:p w14:paraId="6731B47F" w14:textId="77777777" w:rsidR="00B06D6E" w:rsidRPr="00B06D6E" w:rsidRDefault="00B06D6E" w:rsidP="00B06D6E">
            <w:pPr>
              <w:ind w:firstLine="217"/>
              <w:jc w:val="center"/>
              <w:rPr>
                <w:rFonts w:ascii="Arial Narrow" w:hAnsi="Arial Narrow"/>
                <w:sz w:val="20"/>
                <w:szCs w:val="20"/>
                <w:lang w:val="bg-BG" w:eastAsia="bg-BG"/>
              </w:rPr>
            </w:pPr>
            <w:r w:rsidRPr="00B06D6E">
              <w:rPr>
                <w:rFonts w:ascii="Arial Narrow" w:hAnsi="Arial Narrow"/>
                <w:sz w:val="20"/>
                <w:szCs w:val="20"/>
                <w:lang w:val="bg-BG" w:eastAsia="bg-BG"/>
              </w:rPr>
              <w:t>-</w:t>
            </w:r>
          </w:p>
        </w:tc>
      </w:tr>
      <w:tr w:rsidR="00B06D6E" w:rsidRPr="00B06D6E" w14:paraId="037F0B35" w14:textId="77777777" w:rsidTr="0070161B">
        <w:trPr>
          <w:trHeight w:val="280"/>
        </w:trPr>
        <w:tc>
          <w:tcPr>
            <w:tcW w:w="4818" w:type="dxa"/>
            <w:shd w:val="clear" w:color="auto" w:fill="FFFFFF"/>
            <w:vAlign w:val="center"/>
            <w:hideMark/>
          </w:tcPr>
          <w:p w14:paraId="3639AC6E" w14:textId="77777777" w:rsidR="00B06D6E" w:rsidRPr="00B06D6E" w:rsidRDefault="00B06D6E" w:rsidP="00B06D6E">
            <w:pPr>
              <w:rPr>
                <w:rFonts w:ascii="Arial Narrow" w:hAnsi="Arial Narrow"/>
                <w:bCs/>
                <w:sz w:val="20"/>
                <w:szCs w:val="20"/>
                <w:lang w:val="bg-BG" w:eastAsia="bg-BG"/>
              </w:rPr>
            </w:pPr>
            <w:r w:rsidRPr="00B06D6E">
              <w:rPr>
                <w:rFonts w:ascii="Arial Narrow" w:hAnsi="Arial Narrow"/>
                <w:bCs/>
                <w:sz w:val="20"/>
                <w:szCs w:val="20"/>
                <w:lang w:val="bg-BG" w:eastAsia="bg-BG"/>
              </w:rPr>
              <w:t>Интервенция „Инвестиции в лозаро-винарския сектор“</w:t>
            </w:r>
          </w:p>
        </w:tc>
        <w:tc>
          <w:tcPr>
            <w:tcW w:w="1727" w:type="dxa"/>
            <w:shd w:val="clear" w:color="auto" w:fill="FFFFFF"/>
            <w:vAlign w:val="center"/>
          </w:tcPr>
          <w:p w14:paraId="5D98D731" w14:textId="77777777" w:rsidR="00B06D6E" w:rsidRPr="00B06D6E" w:rsidRDefault="00B06D6E" w:rsidP="00B06D6E">
            <w:pPr>
              <w:ind w:firstLine="217"/>
              <w:jc w:val="right"/>
              <w:rPr>
                <w:rFonts w:ascii="Arial Narrow" w:hAnsi="Arial Narrow"/>
                <w:sz w:val="20"/>
                <w:szCs w:val="20"/>
                <w:lang w:val="bg-BG" w:eastAsia="bg-BG"/>
              </w:rPr>
            </w:pPr>
            <w:r w:rsidRPr="00B06D6E">
              <w:rPr>
                <w:rFonts w:ascii="Arial Narrow" w:hAnsi="Arial Narrow"/>
                <w:sz w:val="20"/>
                <w:szCs w:val="20"/>
                <w:lang w:val="bg-BG" w:eastAsia="bg-BG"/>
              </w:rPr>
              <w:t>19 338 282</w:t>
            </w:r>
          </w:p>
        </w:tc>
        <w:tc>
          <w:tcPr>
            <w:tcW w:w="1655" w:type="dxa"/>
            <w:shd w:val="clear" w:color="auto" w:fill="FFFFFF"/>
            <w:noWrap/>
            <w:vAlign w:val="center"/>
            <w:hideMark/>
          </w:tcPr>
          <w:p w14:paraId="4B846DD5" w14:textId="77777777" w:rsidR="00B06D6E" w:rsidRPr="00B06D6E" w:rsidRDefault="00B06D6E" w:rsidP="00B06D6E">
            <w:pPr>
              <w:ind w:firstLine="217"/>
              <w:jc w:val="right"/>
              <w:rPr>
                <w:rFonts w:ascii="Arial Narrow" w:hAnsi="Arial Narrow"/>
                <w:sz w:val="20"/>
                <w:szCs w:val="20"/>
                <w:lang w:val="bg-BG" w:eastAsia="bg-BG"/>
              </w:rPr>
            </w:pPr>
            <w:r w:rsidRPr="00B06D6E">
              <w:rPr>
                <w:rFonts w:ascii="Arial Narrow" w:hAnsi="Arial Narrow"/>
                <w:sz w:val="20"/>
                <w:szCs w:val="20"/>
                <w:lang w:val="bg-BG" w:eastAsia="bg-BG"/>
              </w:rPr>
              <w:t>19 338 282</w:t>
            </w:r>
          </w:p>
        </w:tc>
        <w:tc>
          <w:tcPr>
            <w:tcW w:w="1655" w:type="dxa"/>
            <w:shd w:val="clear" w:color="auto" w:fill="FFFFFF"/>
            <w:noWrap/>
            <w:vAlign w:val="center"/>
          </w:tcPr>
          <w:p w14:paraId="327667F6" w14:textId="77777777" w:rsidR="00B06D6E" w:rsidRPr="00B06D6E" w:rsidRDefault="00B06D6E" w:rsidP="00B06D6E">
            <w:pPr>
              <w:ind w:firstLine="217"/>
              <w:jc w:val="center"/>
              <w:rPr>
                <w:rFonts w:ascii="Arial Narrow" w:hAnsi="Arial Narrow"/>
                <w:sz w:val="20"/>
                <w:szCs w:val="20"/>
                <w:lang w:val="bg-BG" w:eastAsia="bg-BG"/>
              </w:rPr>
            </w:pPr>
            <w:r w:rsidRPr="00B06D6E">
              <w:rPr>
                <w:rFonts w:ascii="Arial Narrow" w:hAnsi="Arial Narrow"/>
                <w:sz w:val="20"/>
                <w:szCs w:val="20"/>
                <w:lang w:val="bg-BG" w:eastAsia="bg-BG"/>
              </w:rPr>
              <w:t>-</w:t>
            </w:r>
          </w:p>
        </w:tc>
      </w:tr>
      <w:tr w:rsidR="00B06D6E" w:rsidRPr="00B06D6E" w14:paraId="59914FCB" w14:textId="77777777" w:rsidTr="0070161B">
        <w:trPr>
          <w:trHeight w:val="280"/>
        </w:trPr>
        <w:tc>
          <w:tcPr>
            <w:tcW w:w="4818" w:type="dxa"/>
            <w:shd w:val="clear" w:color="auto" w:fill="FFFFFF"/>
            <w:vAlign w:val="center"/>
            <w:hideMark/>
          </w:tcPr>
          <w:p w14:paraId="3BDDA4A1" w14:textId="77777777" w:rsidR="00B06D6E" w:rsidRPr="00B06D6E" w:rsidRDefault="00B06D6E" w:rsidP="00B06D6E">
            <w:pPr>
              <w:rPr>
                <w:rFonts w:ascii="Arial Narrow" w:hAnsi="Arial Narrow"/>
                <w:bCs/>
                <w:sz w:val="20"/>
                <w:szCs w:val="20"/>
                <w:lang w:val="bg-BG" w:eastAsia="bg-BG"/>
              </w:rPr>
            </w:pPr>
            <w:r w:rsidRPr="00B06D6E">
              <w:rPr>
                <w:rFonts w:ascii="Arial Narrow" w:hAnsi="Arial Narrow"/>
                <w:bCs/>
                <w:sz w:val="20"/>
                <w:szCs w:val="20"/>
                <w:lang w:val="bg-BG" w:eastAsia="bg-BG"/>
              </w:rPr>
              <w:t>Интервенция „Събиране на реколтата на зелено“</w:t>
            </w:r>
          </w:p>
        </w:tc>
        <w:tc>
          <w:tcPr>
            <w:tcW w:w="1727" w:type="dxa"/>
            <w:shd w:val="clear" w:color="auto" w:fill="FFFFFF"/>
            <w:vAlign w:val="center"/>
          </w:tcPr>
          <w:p w14:paraId="41018D0E" w14:textId="77777777" w:rsidR="00B06D6E" w:rsidRPr="00B06D6E" w:rsidRDefault="00B06D6E" w:rsidP="00B06D6E">
            <w:pPr>
              <w:ind w:firstLine="217"/>
              <w:jc w:val="right"/>
              <w:rPr>
                <w:rFonts w:ascii="Arial Narrow" w:hAnsi="Arial Narrow"/>
                <w:sz w:val="20"/>
                <w:szCs w:val="20"/>
                <w:lang w:val="bg-BG" w:eastAsia="bg-BG"/>
              </w:rPr>
            </w:pPr>
            <w:r w:rsidRPr="00B06D6E">
              <w:rPr>
                <w:rFonts w:ascii="Arial Narrow" w:hAnsi="Arial Narrow"/>
                <w:sz w:val="20"/>
                <w:szCs w:val="20"/>
                <w:lang w:val="bg-BG" w:eastAsia="bg-BG"/>
              </w:rPr>
              <w:t>500 000</w:t>
            </w:r>
          </w:p>
        </w:tc>
        <w:tc>
          <w:tcPr>
            <w:tcW w:w="1655" w:type="dxa"/>
            <w:shd w:val="clear" w:color="auto" w:fill="FFFFFF"/>
            <w:noWrap/>
            <w:vAlign w:val="center"/>
            <w:hideMark/>
          </w:tcPr>
          <w:p w14:paraId="738D2062" w14:textId="77777777" w:rsidR="00B06D6E" w:rsidRPr="00B06D6E" w:rsidRDefault="00B06D6E" w:rsidP="00B06D6E">
            <w:pPr>
              <w:ind w:firstLine="217"/>
              <w:jc w:val="right"/>
              <w:rPr>
                <w:rFonts w:ascii="Arial Narrow" w:hAnsi="Arial Narrow"/>
                <w:sz w:val="20"/>
                <w:szCs w:val="20"/>
                <w:lang w:val="bg-BG" w:eastAsia="bg-BG"/>
              </w:rPr>
            </w:pPr>
            <w:r w:rsidRPr="00B06D6E">
              <w:rPr>
                <w:rFonts w:ascii="Arial Narrow" w:hAnsi="Arial Narrow"/>
                <w:sz w:val="20"/>
                <w:szCs w:val="20"/>
                <w:lang w:val="bg-BG" w:eastAsia="bg-BG"/>
              </w:rPr>
              <w:t>500 000</w:t>
            </w:r>
          </w:p>
        </w:tc>
        <w:tc>
          <w:tcPr>
            <w:tcW w:w="1655" w:type="dxa"/>
            <w:shd w:val="clear" w:color="auto" w:fill="FFFFFF"/>
            <w:noWrap/>
            <w:vAlign w:val="center"/>
          </w:tcPr>
          <w:p w14:paraId="082048B0" w14:textId="77777777" w:rsidR="00B06D6E" w:rsidRPr="00B06D6E" w:rsidRDefault="00B06D6E" w:rsidP="00B06D6E">
            <w:pPr>
              <w:ind w:firstLine="217"/>
              <w:jc w:val="center"/>
              <w:rPr>
                <w:rFonts w:ascii="Arial Narrow" w:hAnsi="Arial Narrow"/>
                <w:sz w:val="20"/>
                <w:szCs w:val="20"/>
                <w:lang w:val="bg-BG" w:eastAsia="bg-BG"/>
              </w:rPr>
            </w:pPr>
            <w:r w:rsidRPr="00B06D6E">
              <w:rPr>
                <w:rFonts w:ascii="Arial Narrow" w:hAnsi="Arial Narrow"/>
                <w:sz w:val="20"/>
                <w:szCs w:val="20"/>
                <w:lang w:val="bg-BG" w:eastAsia="bg-BG"/>
              </w:rPr>
              <w:t>-</w:t>
            </w:r>
          </w:p>
        </w:tc>
      </w:tr>
      <w:tr w:rsidR="00B06D6E" w:rsidRPr="00B06D6E" w14:paraId="2924E4C4" w14:textId="77777777" w:rsidTr="0070161B">
        <w:trPr>
          <w:trHeight w:val="280"/>
        </w:trPr>
        <w:tc>
          <w:tcPr>
            <w:tcW w:w="4818" w:type="dxa"/>
            <w:shd w:val="clear" w:color="auto" w:fill="FFFFFF"/>
            <w:vAlign w:val="center"/>
            <w:hideMark/>
          </w:tcPr>
          <w:p w14:paraId="36AF0001" w14:textId="77777777" w:rsidR="00B06D6E" w:rsidRPr="00B06D6E" w:rsidRDefault="00B06D6E" w:rsidP="00B06D6E">
            <w:pPr>
              <w:rPr>
                <w:rFonts w:ascii="Arial Narrow" w:hAnsi="Arial Narrow"/>
                <w:bCs/>
                <w:sz w:val="20"/>
                <w:szCs w:val="20"/>
                <w:lang w:val="bg-BG" w:eastAsia="bg-BG"/>
              </w:rPr>
            </w:pPr>
            <w:r w:rsidRPr="00B06D6E">
              <w:rPr>
                <w:rFonts w:ascii="Arial Narrow" w:hAnsi="Arial Narrow"/>
                <w:bCs/>
                <w:sz w:val="20"/>
                <w:szCs w:val="20"/>
                <w:lang w:val="bg-BG" w:eastAsia="bg-BG"/>
              </w:rPr>
              <w:t>Интервенция „Застраховане на реколтата“</w:t>
            </w:r>
          </w:p>
        </w:tc>
        <w:tc>
          <w:tcPr>
            <w:tcW w:w="1727" w:type="dxa"/>
            <w:shd w:val="clear" w:color="auto" w:fill="FFFFFF"/>
            <w:vAlign w:val="center"/>
          </w:tcPr>
          <w:p w14:paraId="729FF75C" w14:textId="77777777" w:rsidR="00B06D6E" w:rsidRPr="00B06D6E" w:rsidRDefault="00B06D6E" w:rsidP="00B06D6E">
            <w:pPr>
              <w:ind w:firstLine="217"/>
              <w:jc w:val="right"/>
              <w:rPr>
                <w:rFonts w:ascii="Arial Narrow" w:hAnsi="Arial Narrow"/>
                <w:sz w:val="20"/>
                <w:szCs w:val="20"/>
                <w:lang w:val="bg-BG" w:eastAsia="bg-BG"/>
              </w:rPr>
            </w:pPr>
            <w:r w:rsidRPr="00B06D6E">
              <w:rPr>
                <w:rFonts w:ascii="Arial Narrow" w:hAnsi="Arial Narrow"/>
                <w:sz w:val="20"/>
                <w:szCs w:val="20"/>
                <w:lang w:val="bg-BG" w:eastAsia="bg-BG"/>
              </w:rPr>
              <w:t>300 000</w:t>
            </w:r>
          </w:p>
        </w:tc>
        <w:tc>
          <w:tcPr>
            <w:tcW w:w="1655" w:type="dxa"/>
            <w:shd w:val="clear" w:color="auto" w:fill="FFFFFF"/>
            <w:noWrap/>
            <w:vAlign w:val="center"/>
            <w:hideMark/>
          </w:tcPr>
          <w:p w14:paraId="7DE16BD2" w14:textId="77777777" w:rsidR="00B06D6E" w:rsidRPr="00B06D6E" w:rsidRDefault="00B06D6E" w:rsidP="00B06D6E">
            <w:pPr>
              <w:ind w:firstLine="217"/>
              <w:jc w:val="right"/>
              <w:rPr>
                <w:rFonts w:ascii="Arial Narrow" w:hAnsi="Arial Narrow"/>
                <w:sz w:val="20"/>
                <w:szCs w:val="20"/>
                <w:lang w:val="bg-BG" w:eastAsia="bg-BG"/>
              </w:rPr>
            </w:pPr>
            <w:r w:rsidRPr="00B06D6E">
              <w:rPr>
                <w:rFonts w:ascii="Arial Narrow" w:hAnsi="Arial Narrow"/>
                <w:sz w:val="20"/>
                <w:szCs w:val="20"/>
                <w:lang w:val="bg-BG" w:eastAsia="bg-BG"/>
              </w:rPr>
              <w:t>300 000</w:t>
            </w:r>
          </w:p>
        </w:tc>
        <w:tc>
          <w:tcPr>
            <w:tcW w:w="1655" w:type="dxa"/>
            <w:shd w:val="clear" w:color="auto" w:fill="FFFFFF"/>
            <w:noWrap/>
            <w:vAlign w:val="center"/>
          </w:tcPr>
          <w:p w14:paraId="4BF24A9A" w14:textId="77777777" w:rsidR="00B06D6E" w:rsidRPr="00B06D6E" w:rsidRDefault="00B06D6E" w:rsidP="00B06D6E">
            <w:pPr>
              <w:ind w:firstLine="217"/>
              <w:jc w:val="center"/>
              <w:rPr>
                <w:rFonts w:ascii="Arial Narrow" w:hAnsi="Arial Narrow"/>
                <w:sz w:val="20"/>
                <w:szCs w:val="20"/>
                <w:lang w:val="bg-BG" w:eastAsia="bg-BG"/>
              </w:rPr>
            </w:pPr>
            <w:r w:rsidRPr="00B06D6E">
              <w:rPr>
                <w:rFonts w:ascii="Arial Narrow" w:hAnsi="Arial Narrow"/>
                <w:sz w:val="20"/>
                <w:szCs w:val="20"/>
                <w:lang w:val="bg-BG" w:eastAsia="bg-BG"/>
              </w:rPr>
              <w:t>-</w:t>
            </w:r>
          </w:p>
        </w:tc>
      </w:tr>
      <w:tr w:rsidR="00B06D6E" w:rsidRPr="00B06D6E" w14:paraId="707F1BE3" w14:textId="77777777" w:rsidTr="0070161B">
        <w:trPr>
          <w:trHeight w:val="280"/>
        </w:trPr>
        <w:tc>
          <w:tcPr>
            <w:tcW w:w="4818" w:type="dxa"/>
            <w:shd w:val="clear" w:color="auto" w:fill="FFFFFF"/>
            <w:vAlign w:val="center"/>
            <w:hideMark/>
          </w:tcPr>
          <w:p w14:paraId="0768FF7C" w14:textId="77777777" w:rsidR="00B06D6E" w:rsidRPr="00B06D6E" w:rsidRDefault="00B06D6E" w:rsidP="00B06D6E">
            <w:pPr>
              <w:rPr>
                <w:rFonts w:ascii="Arial Narrow" w:hAnsi="Arial Narrow"/>
                <w:bCs/>
                <w:sz w:val="20"/>
                <w:szCs w:val="20"/>
                <w:lang w:val="bg-BG" w:eastAsia="bg-BG"/>
              </w:rPr>
            </w:pPr>
            <w:r w:rsidRPr="00B06D6E">
              <w:rPr>
                <w:rFonts w:ascii="Arial Narrow" w:hAnsi="Arial Narrow"/>
                <w:bCs/>
                <w:sz w:val="20"/>
                <w:szCs w:val="20"/>
                <w:lang w:val="bg-BG" w:eastAsia="bg-BG"/>
              </w:rPr>
              <w:t>Интервенция „Информиране в държавите членки“</w:t>
            </w:r>
          </w:p>
        </w:tc>
        <w:tc>
          <w:tcPr>
            <w:tcW w:w="1727" w:type="dxa"/>
            <w:shd w:val="clear" w:color="auto" w:fill="FFFFFF"/>
            <w:vAlign w:val="center"/>
          </w:tcPr>
          <w:p w14:paraId="621DE813" w14:textId="77777777" w:rsidR="00B06D6E" w:rsidRPr="00B06D6E" w:rsidRDefault="00B06D6E" w:rsidP="00B06D6E">
            <w:pPr>
              <w:ind w:firstLine="217"/>
              <w:jc w:val="right"/>
              <w:rPr>
                <w:rFonts w:ascii="Arial Narrow" w:hAnsi="Arial Narrow"/>
                <w:sz w:val="20"/>
                <w:szCs w:val="20"/>
                <w:lang w:val="bg-BG" w:eastAsia="bg-BG"/>
              </w:rPr>
            </w:pPr>
            <w:r w:rsidRPr="00B06D6E">
              <w:rPr>
                <w:rFonts w:ascii="Arial Narrow" w:hAnsi="Arial Narrow"/>
                <w:sz w:val="20"/>
                <w:szCs w:val="20"/>
                <w:lang w:val="bg-BG" w:eastAsia="bg-BG"/>
              </w:rPr>
              <w:t>1 564 640</w:t>
            </w:r>
          </w:p>
        </w:tc>
        <w:tc>
          <w:tcPr>
            <w:tcW w:w="1655" w:type="dxa"/>
            <w:shd w:val="clear" w:color="auto" w:fill="FFFFFF"/>
            <w:noWrap/>
            <w:vAlign w:val="center"/>
            <w:hideMark/>
          </w:tcPr>
          <w:p w14:paraId="305D0B4D" w14:textId="77777777" w:rsidR="00B06D6E" w:rsidRPr="00B06D6E" w:rsidRDefault="00B06D6E" w:rsidP="00B06D6E">
            <w:pPr>
              <w:ind w:firstLine="217"/>
              <w:jc w:val="right"/>
              <w:rPr>
                <w:rFonts w:ascii="Arial Narrow" w:hAnsi="Arial Narrow"/>
                <w:sz w:val="20"/>
                <w:szCs w:val="20"/>
                <w:lang w:val="bg-BG" w:eastAsia="bg-BG"/>
              </w:rPr>
            </w:pPr>
            <w:r w:rsidRPr="00B06D6E">
              <w:rPr>
                <w:rFonts w:ascii="Arial Narrow" w:hAnsi="Arial Narrow"/>
                <w:sz w:val="20"/>
                <w:szCs w:val="20"/>
                <w:lang w:val="bg-BG" w:eastAsia="bg-BG"/>
              </w:rPr>
              <w:t>977 900</w:t>
            </w:r>
          </w:p>
        </w:tc>
        <w:tc>
          <w:tcPr>
            <w:tcW w:w="1655" w:type="dxa"/>
            <w:shd w:val="clear" w:color="auto" w:fill="FFFFFF"/>
            <w:noWrap/>
            <w:vAlign w:val="center"/>
          </w:tcPr>
          <w:p w14:paraId="7C87601C" w14:textId="77777777" w:rsidR="00B06D6E" w:rsidRPr="00B06D6E" w:rsidRDefault="00B06D6E" w:rsidP="00B06D6E">
            <w:pPr>
              <w:ind w:firstLine="217"/>
              <w:jc w:val="right"/>
              <w:rPr>
                <w:rFonts w:ascii="Arial Narrow" w:hAnsi="Arial Narrow"/>
                <w:sz w:val="20"/>
                <w:szCs w:val="20"/>
                <w:lang w:val="bg-BG" w:eastAsia="bg-BG"/>
              </w:rPr>
            </w:pPr>
            <w:r w:rsidRPr="00B06D6E">
              <w:rPr>
                <w:rFonts w:ascii="Arial Narrow" w:hAnsi="Arial Narrow"/>
                <w:bCs/>
                <w:sz w:val="20"/>
                <w:szCs w:val="20"/>
                <w:lang w:val="bg-BG" w:eastAsia="bg-BG"/>
              </w:rPr>
              <w:t>586 740</w:t>
            </w:r>
          </w:p>
        </w:tc>
      </w:tr>
      <w:tr w:rsidR="00B06D6E" w:rsidRPr="00B06D6E" w14:paraId="2D07A804" w14:textId="77777777" w:rsidTr="0070161B">
        <w:trPr>
          <w:trHeight w:val="280"/>
        </w:trPr>
        <w:tc>
          <w:tcPr>
            <w:tcW w:w="4818" w:type="dxa"/>
            <w:shd w:val="clear" w:color="auto" w:fill="FFFFFF"/>
            <w:vAlign w:val="center"/>
            <w:hideMark/>
          </w:tcPr>
          <w:p w14:paraId="575DCE45" w14:textId="77777777" w:rsidR="00B06D6E" w:rsidRPr="00B06D6E" w:rsidRDefault="00B06D6E" w:rsidP="00B06D6E">
            <w:pPr>
              <w:rPr>
                <w:rFonts w:ascii="Arial Narrow" w:hAnsi="Arial Narrow"/>
                <w:bCs/>
                <w:sz w:val="20"/>
                <w:szCs w:val="20"/>
                <w:lang w:val="bg-BG" w:eastAsia="bg-BG"/>
              </w:rPr>
            </w:pPr>
            <w:r w:rsidRPr="00B06D6E">
              <w:rPr>
                <w:rFonts w:ascii="Arial Narrow" w:hAnsi="Arial Narrow"/>
                <w:bCs/>
                <w:sz w:val="20"/>
                <w:szCs w:val="20"/>
                <w:lang w:val="bg-BG" w:eastAsia="bg-BG"/>
              </w:rPr>
              <w:t>Интервенция „Популяризиране в трети държави“</w:t>
            </w:r>
          </w:p>
        </w:tc>
        <w:tc>
          <w:tcPr>
            <w:tcW w:w="1727" w:type="dxa"/>
            <w:shd w:val="clear" w:color="auto" w:fill="FFFFFF"/>
            <w:vAlign w:val="center"/>
          </w:tcPr>
          <w:p w14:paraId="44BF222E" w14:textId="77777777" w:rsidR="00B06D6E" w:rsidRPr="00B06D6E" w:rsidRDefault="00B06D6E" w:rsidP="00B06D6E">
            <w:pPr>
              <w:ind w:firstLine="217"/>
              <w:jc w:val="right"/>
              <w:rPr>
                <w:rFonts w:ascii="Arial Narrow" w:hAnsi="Arial Narrow"/>
                <w:sz w:val="20"/>
                <w:szCs w:val="20"/>
                <w:lang w:val="bg-BG" w:eastAsia="bg-BG"/>
              </w:rPr>
            </w:pPr>
            <w:r w:rsidRPr="00B06D6E">
              <w:rPr>
                <w:rFonts w:ascii="Arial Narrow" w:hAnsi="Arial Narrow"/>
                <w:sz w:val="20"/>
                <w:szCs w:val="20"/>
                <w:lang w:val="bg-BG" w:eastAsia="bg-BG"/>
              </w:rPr>
              <w:t>1 564 640</w:t>
            </w:r>
          </w:p>
        </w:tc>
        <w:tc>
          <w:tcPr>
            <w:tcW w:w="1655" w:type="dxa"/>
            <w:shd w:val="clear" w:color="auto" w:fill="FFFFFF"/>
            <w:noWrap/>
            <w:vAlign w:val="center"/>
            <w:hideMark/>
          </w:tcPr>
          <w:p w14:paraId="738F14E0" w14:textId="77777777" w:rsidR="00B06D6E" w:rsidRPr="00B06D6E" w:rsidRDefault="00B06D6E" w:rsidP="00B06D6E">
            <w:pPr>
              <w:ind w:firstLine="217"/>
              <w:jc w:val="right"/>
              <w:rPr>
                <w:rFonts w:ascii="Arial Narrow" w:hAnsi="Arial Narrow"/>
                <w:sz w:val="20"/>
                <w:szCs w:val="20"/>
                <w:lang w:val="bg-BG" w:eastAsia="bg-BG"/>
              </w:rPr>
            </w:pPr>
            <w:r w:rsidRPr="00B06D6E">
              <w:rPr>
                <w:rFonts w:ascii="Arial Narrow" w:hAnsi="Arial Narrow"/>
                <w:sz w:val="20"/>
                <w:szCs w:val="20"/>
                <w:lang w:val="bg-BG" w:eastAsia="bg-BG"/>
              </w:rPr>
              <w:t>977 900</w:t>
            </w:r>
          </w:p>
        </w:tc>
        <w:tc>
          <w:tcPr>
            <w:tcW w:w="1655" w:type="dxa"/>
            <w:shd w:val="clear" w:color="auto" w:fill="FFFFFF"/>
            <w:noWrap/>
            <w:vAlign w:val="center"/>
          </w:tcPr>
          <w:p w14:paraId="5320D13B" w14:textId="77777777" w:rsidR="00B06D6E" w:rsidRPr="00B06D6E" w:rsidRDefault="00B06D6E" w:rsidP="00B06D6E">
            <w:pPr>
              <w:ind w:firstLine="217"/>
              <w:jc w:val="right"/>
              <w:rPr>
                <w:rFonts w:ascii="Arial Narrow" w:hAnsi="Arial Narrow"/>
                <w:sz w:val="20"/>
                <w:szCs w:val="20"/>
                <w:lang w:val="bg-BG" w:eastAsia="bg-BG"/>
              </w:rPr>
            </w:pPr>
            <w:r w:rsidRPr="00B06D6E">
              <w:rPr>
                <w:rFonts w:ascii="Arial Narrow" w:hAnsi="Arial Narrow"/>
                <w:bCs/>
                <w:sz w:val="20"/>
                <w:szCs w:val="20"/>
                <w:lang w:val="bg-BG" w:eastAsia="bg-BG"/>
              </w:rPr>
              <w:t>586 740</w:t>
            </w:r>
          </w:p>
        </w:tc>
      </w:tr>
      <w:tr w:rsidR="00B06D6E" w:rsidRPr="00B06D6E" w14:paraId="4326DDA6" w14:textId="77777777" w:rsidTr="0070161B">
        <w:trPr>
          <w:trHeight w:val="280"/>
        </w:trPr>
        <w:tc>
          <w:tcPr>
            <w:tcW w:w="4818" w:type="dxa"/>
            <w:shd w:val="clear" w:color="auto" w:fill="FFFFFF"/>
            <w:vAlign w:val="center"/>
            <w:hideMark/>
          </w:tcPr>
          <w:p w14:paraId="19C5644B" w14:textId="77777777" w:rsidR="00B06D6E" w:rsidRPr="00B06D6E" w:rsidRDefault="00B06D6E" w:rsidP="00B06D6E">
            <w:pPr>
              <w:rPr>
                <w:rFonts w:ascii="Arial Narrow" w:hAnsi="Arial Narrow"/>
                <w:bCs/>
                <w:sz w:val="20"/>
                <w:szCs w:val="20"/>
                <w:lang w:val="bg-BG" w:eastAsia="bg-BG"/>
              </w:rPr>
            </w:pPr>
            <w:r w:rsidRPr="00B06D6E">
              <w:rPr>
                <w:rFonts w:ascii="Arial Narrow" w:hAnsi="Arial Narrow"/>
                <w:bCs/>
                <w:sz w:val="20"/>
                <w:szCs w:val="20"/>
                <w:lang w:val="bg-BG" w:eastAsia="bg-BG"/>
              </w:rPr>
              <w:t>Интервенция „Инвестиции в екологични съоръжения“</w:t>
            </w:r>
          </w:p>
        </w:tc>
        <w:tc>
          <w:tcPr>
            <w:tcW w:w="1727" w:type="dxa"/>
            <w:shd w:val="clear" w:color="auto" w:fill="FFFFFF"/>
            <w:vAlign w:val="center"/>
          </w:tcPr>
          <w:p w14:paraId="44A5459F" w14:textId="77777777" w:rsidR="00B06D6E" w:rsidRPr="00B06D6E" w:rsidRDefault="00B06D6E" w:rsidP="00B06D6E">
            <w:pPr>
              <w:ind w:firstLine="215"/>
              <w:jc w:val="right"/>
              <w:rPr>
                <w:rFonts w:ascii="Arial Narrow" w:hAnsi="Arial Narrow"/>
                <w:sz w:val="20"/>
                <w:szCs w:val="20"/>
                <w:lang w:val="bg-BG" w:eastAsia="bg-BG"/>
              </w:rPr>
            </w:pPr>
            <w:r w:rsidRPr="00B06D6E">
              <w:rPr>
                <w:rFonts w:ascii="Arial Narrow" w:hAnsi="Arial Narrow"/>
                <w:sz w:val="20"/>
                <w:szCs w:val="20"/>
                <w:lang w:val="bg-BG" w:eastAsia="bg-BG"/>
              </w:rPr>
              <w:t>4 045 745</w:t>
            </w:r>
          </w:p>
        </w:tc>
        <w:tc>
          <w:tcPr>
            <w:tcW w:w="1655" w:type="dxa"/>
            <w:shd w:val="clear" w:color="auto" w:fill="FFFFFF"/>
            <w:noWrap/>
            <w:vAlign w:val="center"/>
            <w:hideMark/>
          </w:tcPr>
          <w:p w14:paraId="136CBD54" w14:textId="77777777" w:rsidR="00B06D6E" w:rsidRPr="00B06D6E" w:rsidRDefault="00B06D6E" w:rsidP="00B06D6E">
            <w:pPr>
              <w:ind w:firstLine="217"/>
              <w:jc w:val="right"/>
              <w:rPr>
                <w:rFonts w:ascii="Arial Narrow" w:hAnsi="Arial Narrow"/>
                <w:sz w:val="20"/>
                <w:szCs w:val="20"/>
                <w:lang w:val="bg-BG" w:eastAsia="bg-BG"/>
              </w:rPr>
            </w:pPr>
            <w:r w:rsidRPr="00B06D6E">
              <w:rPr>
                <w:rFonts w:ascii="Arial Narrow" w:hAnsi="Arial Narrow"/>
                <w:sz w:val="20"/>
                <w:szCs w:val="20"/>
                <w:lang w:val="bg-BG" w:eastAsia="bg-BG"/>
              </w:rPr>
              <w:t>4 045 745</w:t>
            </w:r>
          </w:p>
        </w:tc>
        <w:tc>
          <w:tcPr>
            <w:tcW w:w="1655" w:type="dxa"/>
            <w:shd w:val="clear" w:color="auto" w:fill="FFFFFF"/>
            <w:noWrap/>
            <w:vAlign w:val="center"/>
          </w:tcPr>
          <w:p w14:paraId="4DA80DD1" w14:textId="77777777" w:rsidR="00B06D6E" w:rsidRPr="00B06D6E" w:rsidRDefault="00B06D6E" w:rsidP="00B06D6E">
            <w:pPr>
              <w:ind w:firstLine="217"/>
              <w:jc w:val="center"/>
              <w:rPr>
                <w:rFonts w:ascii="Arial Narrow" w:hAnsi="Arial Narrow"/>
                <w:sz w:val="20"/>
                <w:szCs w:val="20"/>
                <w:lang w:val="bg-BG" w:eastAsia="bg-BG"/>
              </w:rPr>
            </w:pPr>
            <w:r w:rsidRPr="00B06D6E">
              <w:rPr>
                <w:rFonts w:ascii="Arial Narrow" w:hAnsi="Arial Narrow"/>
                <w:sz w:val="20"/>
                <w:szCs w:val="20"/>
                <w:lang w:val="bg-BG" w:eastAsia="bg-BG"/>
              </w:rPr>
              <w:t>-</w:t>
            </w:r>
          </w:p>
        </w:tc>
      </w:tr>
      <w:tr w:rsidR="00B06D6E" w:rsidRPr="00B06D6E" w14:paraId="7BA2DA58" w14:textId="77777777" w:rsidTr="0070161B">
        <w:trPr>
          <w:trHeight w:val="447"/>
        </w:trPr>
        <w:tc>
          <w:tcPr>
            <w:tcW w:w="4818" w:type="dxa"/>
            <w:shd w:val="clear" w:color="auto" w:fill="FFFFFF"/>
            <w:noWrap/>
            <w:vAlign w:val="center"/>
            <w:hideMark/>
          </w:tcPr>
          <w:p w14:paraId="4511F129" w14:textId="77777777" w:rsidR="00B06D6E" w:rsidRPr="00B06D6E" w:rsidRDefault="00B06D6E" w:rsidP="00B06D6E">
            <w:pPr>
              <w:rPr>
                <w:rFonts w:ascii="Arial Narrow" w:hAnsi="Arial Narrow"/>
                <w:sz w:val="20"/>
                <w:szCs w:val="20"/>
                <w:lang w:val="bg-BG" w:eastAsia="bg-BG"/>
              </w:rPr>
            </w:pPr>
            <w:r w:rsidRPr="00B06D6E">
              <w:rPr>
                <w:rFonts w:ascii="Arial Narrow" w:hAnsi="Arial Narrow"/>
                <w:b/>
                <w:sz w:val="20"/>
                <w:szCs w:val="20"/>
                <w:lang w:val="bg-BG" w:eastAsia="bg-BG"/>
              </w:rPr>
              <w:t>ОБЩО:</w:t>
            </w:r>
          </w:p>
        </w:tc>
        <w:tc>
          <w:tcPr>
            <w:tcW w:w="1727" w:type="dxa"/>
            <w:shd w:val="clear" w:color="auto" w:fill="FFFFFF"/>
            <w:vAlign w:val="center"/>
          </w:tcPr>
          <w:p w14:paraId="5C5D9326" w14:textId="77777777" w:rsidR="00B06D6E" w:rsidRPr="00B06D6E" w:rsidRDefault="00B06D6E" w:rsidP="00B06D6E">
            <w:pPr>
              <w:ind w:firstLine="217"/>
              <w:jc w:val="right"/>
              <w:rPr>
                <w:rFonts w:ascii="Arial Narrow" w:hAnsi="Arial Narrow"/>
                <w:b/>
                <w:bCs/>
                <w:sz w:val="20"/>
                <w:szCs w:val="20"/>
                <w:lang w:val="bg-BG" w:eastAsia="bg-BG"/>
              </w:rPr>
            </w:pPr>
            <w:r w:rsidRPr="00B06D6E">
              <w:rPr>
                <w:rFonts w:ascii="Arial Narrow" w:hAnsi="Arial Narrow"/>
                <w:b/>
                <w:bCs/>
                <w:sz w:val="20"/>
                <w:szCs w:val="20"/>
                <w:lang w:val="bg-BG" w:eastAsia="bg-BG"/>
              </w:rPr>
              <w:t>51 478 612</w:t>
            </w:r>
          </w:p>
        </w:tc>
        <w:tc>
          <w:tcPr>
            <w:tcW w:w="1655" w:type="dxa"/>
            <w:shd w:val="clear" w:color="auto" w:fill="FFFFFF"/>
            <w:noWrap/>
            <w:vAlign w:val="center"/>
            <w:hideMark/>
          </w:tcPr>
          <w:p w14:paraId="0CE3102B" w14:textId="77777777" w:rsidR="00B06D6E" w:rsidRPr="00B06D6E" w:rsidRDefault="00B06D6E" w:rsidP="00B06D6E">
            <w:pPr>
              <w:ind w:firstLine="217"/>
              <w:jc w:val="right"/>
              <w:rPr>
                <w:rFonts w:ascii="Arial Narrow" w:hAnsi="Arial Narrow"/>
                <w:b/>
                <w:bCs/>
                <w:sz w:val="20"/>
                <w:szCs w:val="20"/>
                <w:lang w:val="bg-BG" w:eastAsia="bg-BG"/>
              </w:rPr>
            </w:pPr>
            <w:r w:rsidRPr="00B06D6E">
              <w:rPr>
                <w:rFonts w:ascii="Arial Narrow" w:hAnsi="Arial Narrow"/>
                <w:b/>
                <w:bCs/>
                <w:sz w:val="20"/>
                <w:szCs w:val="20"/>
                <w:lang w:val="bg-BG" w:eastAsia="bg-BG"/>
              </w:rPr>
              <w:t>50 305 132</w:t>
            </w:r>
          </w:p>
        </w:tc>
        <w:tc>
          <w:tcPr>
            <w:tcW w:w="1655" w:type="dxa"/>
            <w:shd w:val="clear" w:color="auto" w:fill="FFFFFF"/>
            <w:noWrap/>
            <w:vAlign w:val="center"/>
          </w:tcPr>
          <w:p w14:paraId="7DF002A8" w14:textId="77777777" w:rsidR="00B06D6E" w:rsidRPr="00B06D6E" w:rsidRDefault="00B06D6E" w:rsidP="00B06D6E">
            <w:pPr>
              <w:ind w:firstLine="217"/>
              <w:jc w:val="right"/>
              <w:rPr>
                <w:rFonts w:ascii="Arial Narrow" w:hAnsi="Arial Narrow"/>
                <w:b/>
                <w:bCs/>
                <w:sz w:val="20"/>
                <w:szCs w:val="20"/>
                <w:lang w:val="bg-BG" w:eastAsia="bg-BG"/>
              </w:rPr>
            </w:pPr>
            <w:r w:rsidRPr="00B06D6E">
              <w:rPr>
                <w:rFonts w:ascii="Arial Narrow" w:hAnsi="Arial Narrow"/>
                <w:b/>
                <w:bCs/>
                <w:sz w:val="20"/>
                <w:szCs w:val="20"/>
                <w:lang w:val="bg-BG" w:eastAsia="bg-BG"/>
              </w:rPr>
              <w:t>1 173 480</w:t>
            </w:r>
          </w:p>
        </w:tc>
      </w:tr>
    </w:tbl>
    <w:p w14:paraId="319F50CA" w14:textId="77777777" w:rsidR="00B06D6E" w:rsidRPr="00725099" w:rsidRDefault="00B06D6E" w:rsidP="00B06D6E">
      <w:pPr>
        <w:spacing w:after="240"/>
        <w:rPr>
          <w:rFonts w:ascii="Arial Narrow" w:hAnsi="Arial Narrow"/>
          <w:sz w:val="18"/>
          <w:lang w:val="bg-BG" w:eastAsia="bg-BG"/>
        </w:rPr>
      </w:pPr>
      <w:r w:rsidRPr="00725099">
        <w:rPr>
          <w:rFonts w:ascii="Arial Narrow" w:hAnsi="Arial Narrow"/>
          <w:i/>
          <w:sz w:val="18"/>
          <w:lang w:val="bg-BG" w:eastAsia="bg-BG"/>
        </w:rPr>
        <w:t xml:space="preserve">Източник: </w:t>
      </w:r>
      <w:r w:rsidRPr="00725099">
        <w:rPr>
          <w:rFonts w:ascii="Arial Narrow" w:hAnsi="Arial Narrow"/>
          <w:sz w:val="18"/>
          <w:lang w:val="bg-BG" w:eastAsia="bg-BG"/>
        </w:rPr>
        <w:t>ДФЗ-РА</w:t>
      </w:r>
    </w:p>
    <w:p w14:paraId="47EB21BC" w14:textId="77777777" w:rsidR="00B06D6E" w:rsidRPr="00B06D6E" w:rsidRDefault="00B06D6E" w:rsidP="00B06D6E">
      <w:pPr>
        <w:spacing w:after="120"/>
        <w:ind w:firstLine="720"/>
        <w:jc w:val="both"/>
        <w:rPr>
          <w:rFonts w:ascii="Arial Narrow" w:hAnsi="Arial Narrow"/>
          <w:b/>
          <w:i/>
          <w:lang w:val="bg-BG" w:eastAsia="bg-BG"/>
        </w:rPr>
      </w:pPr>
      <w:r w:rsidRPr="00B06D6E">
        <w:rPr>
          <w:rFonts w:ascii="Arial Narrow" w:hAnsi="Arial Narrow"/>
          <w:b/>
          <w:i/>
          <w:lang w:val="bg-BG" w:eastAsia="bg-BG"/>
        </w:rPr>
        <w:t>Интервенция „Преструктуриране и конверсия на лозя“</w:t>
      </w:r>
    </w:p>
    <w:p w14:paraId="227A06A9" w14:textId="77777777" w:rsidR="00B06D6E" w:rsidRPr="00B06D6E" w:rsidRDefault="00B06D6E" w:rsidP="00B06D6E">
      <w:pPr>
        <w:spacing w:after="120"/>
        <w:ind w:firstLine="720"/>
        <w:jc w:val="both"/>
        <w:rPr>
          <w:rFonts w:ascii="Arial Narrow" w:hAnsi="Arial Narrow"/>
          <w:lang w:val="bg-BG" w:eastAsia="bg-BG"/>
        </w:rPr>
      </w:pPr>
      <w:r w:rsidRPr="00B06D6E">
        <w:rPr>
          <w:rFonts w:ascii="Arial Narrow" w:hAnsi="Arial Narrow"/>
          <w:lang w:val="bg-BG" w:eastAsia="bg-BG"/>
        </w:rPr>
        <w:t xml:space="preserve">Интервенцията е важна част от СПРЗСР 2023-2027 г. и е от основно значение за лозаро-винарския сектор. Тя присъства и в предходните три национални програми, изпълнявани за периоди 2009-2013 г., 2014-2018 г. и 2019-2023 г. Това е най-успешно прилаганата мярка, към която производителите проявяват висок интерес за участие. Подкрепата по нея </w:t>
      </w:r>
      <w:r w:rsidRPr="00B06D6E">
        <w:rPr>
          <w:rFonts w:ascii="Arial Narrow" w:hAnsi="Arial Narrow" w:cs="Arial Narrow"/>
          <w:lang w:val="bg-BG" w:eastAsia="bg-BG"/>
        </w:rPr>
        <w:t>допринася</w:t>
      </w:r>
      <w:r w:rsidRPr="00B06D6E">
        <w:rPr>
          <w:rFonts w:ascii="Arial Narrow" w:hAnsi="Arial Narrow"/>
          <w:lang w:val="bg-BG" w:eastAsia="bg-BG"/>
        </w:rPr>
        <w:t xml:space="preserve"> </w:t>
      </w:r>
      <w:r w:rsidRPr="00B06D6E">
        <w:rPr>
          <w:rFonts w:ascii="Arial Narrow" w:hAnsi="Arial Narrow" w:cs="Arial Narrow"/>
          <w:lang w:val="bg-BG" w:eastAsia="bg-BG"/>
        </w:rPr>
        <w:t>за</w:t>
      </w:r>
      <w:r w:rsidRPr="00B06D6E">
        <w:rPr>
          <w:rFonts w:ascii="Arial Narrow" w:hAnsi="Arial Narrow"/>
          <w:lang w:val="bg-BG" w:eastAsia="bg-BG"/>
        </w:rPr>
        <w:t xml:space="preserve"> </w:t>
      </w:r>
      <w:r w:rsidRPr="00B06D6E">
        <w:rPr>
          <w:rFonts w:ascii="Arial Narrow" w:hAnsi="Arial Narrow" w:cs="Arial Narrow"/>
          <w:lang w:val="bg-BG" w:eastAsia="bg-BG"/>
        </w:rPr>
        <w:t>конкурентоспособността</w:t>
      </w:r>
      <w:r w:rsidRPr="00B06D6E">
        <w:rPr>
          <w:rFonts w:ascii="Arial Narrow" w:hAnsi="Arial Narrow"/>
          <w:lang w:val="bg-BG" w:eastAsia="bg-BG"/>
        </w:rPr>
        <w:t xml:space="preserve"> </w:t>
      </w:r>
      <w:r w:rsidRPr="00B06D6E">
        <w:rPr>
          <w:rFonts w:ascii="Arial Narrow" w:hAnsi="Arial Narrow" w:cs="Arial Narrow"/>
          <w:lang w:val="bg-BG" w:eastAsia="bg-BG"/>
        </w:rPr>
        <w:t>и</w:t>
      </w:r>
      <w:r w:rsidRPr="00B06D6E">
        <w:rPr>
          <w:rFonts w:ascii="Arial Narrow" w:hAnsi="Arial Narrow"/>
          <w:lang w:val="bg-BG" w:eastAsia="bg-BG"/>
        </w:rPr>
        <w:t xml:space="preserve"> </w:t>
      </w:r>
      <w:r w:rsidRPr="00B06D6E">
        <w:rPr>
          <w:rFonts w:ascii="Arial Narrow" w:hAnsi="Arial Narrow" w:cs="Arial Narrow"/>
          <w:lang w:val="bg-BG" w:eastAsia="bg-BG"/>
        </w:rPr>
        <w:t>пазарната</w:t>
      </w:r>
      <w:r w:rsidRPr="00B06D6E">
        <w:rPr>
          <w:rFonts w:ascii="Arial Narrow" w:hAnsi="Arial Narrow"/>
          <w:lang w:val="bg-BG" w:eastAsia="bg-BG"/>
        </w:rPr>
        <w:t xml:space="preserve"> </w:t>
      </w:r>
      <w:r w:rsidRPr="00B06D6E">
        <w:rPr>
          <w:rFonts w:ascii="Arial Narrow" w:hAnsi="Arial Narrow" w:cs="Arial Narrow"/>
          <w:lang w:val="bg-BG" w:eastAsia="bg-BG"/>
        </w:rPr>
        <w:t>ориентация</w:t>
      </w:r>
      <w:r w:rsidRPr="00B06D6E">
        <w:rPr>
          <w:rFonts w:ascii="Arial Narrow" w:hAnsi="Arial Narrow"/>
          <w:lang w:val="bg-BG" w:eastAsia="bg-BG"/>
        </w:rPr>
        <w:t xml:space="preserve"> </w:t>
      </w:r>
      <w:r w:rsidRPr="00B06D6E">
        <w:rPr>
          <w:rFonts w:ascii="Arial Narrow" w:hAnsi="Arial Narrow" w:cs="Arial Narrow"/>
          <w:lang w:val="bg-BG" w:eastAsia="bg-BG"/>
        </w:rPr>
        <w:t>на</w:t>
      </w:r>
      <w:r w:rsidRPr="00B06D6E">
        <w:rPr>
          <w:rFonts w:ascii="Arial Narrow" w:hAnsi="Arial Narrow"/>
          <w:lang w:val="bg-BG" w:eastAsia="bg-BG"/>
        </w:rPr>
        <w:t xml:space="preserve"> </w:t>
      </w:r>
      <w:r w:rsidRPr="00B06D6E">
        <w:rPr>
          <w:rFonts w:ascii="Arial Narrow" w:hAnsi="Arial Narrow" w:cs="Arial Narrow"/>
          <w:lang w:val="bg-BG" w:eastAsia="bg-BG"/>
        </w:rPr>
        <w:t>стопанствата</w:t>
      </w:r>
      <w:r w:rsidRPr="00B06D6E">
        <w:rPr>
          <w:rFonts w:ascii="Arial Narrow" w:hAnsi="Arial Narrow"/>
          <w:lang w:val="bg-BG" w:eastAsia="bg-BG"/>
        </w:rPr>
        <w:t xml:space="preserve">, </w:t>
      </w:r>
      <w:r w:rsidRPr="00B06D6E">
        <w:rPr>
          <w:rFonts w:ascii="Arial Narrow" w:hAnsi="Arial Narrow" w:cs="Arial Narrow"/>
          <w:lang w:val="bg-BG" w:eastAsia="bg-BG"/>
        </w:rPr>
        <w:t>защитата</w:t>
      </w:r>
      <w:r w:rsidRPr="00B06D6E">
        <w:rPr>
          <w:rFonts w:ascii="Arial Narrow" w:hAnsi="Arial Narrow"/>
          <w:lang w:val="bg-BG" w:eastAsia="bg-BG"/>
        </w:rPr>
        <w:t xml:space="preserve"> </w:t>
      </w:r>
      <w:r w:rsidRPr="00B06D6E">
        <w:rPr>
          <w:rFonts w:ascii="Arial Narrow" w:hAnsi="Arial Narrow" w:cs="Arial Narrow"/>
          <w:lang w:val="bg-BG" w:eastAsia="bg-BG"/>
        </w:rPr>
        <w:t>на</w:t>
      </w:r>
      <w:r w:rsidRPr="00B06D6E">
        <w:rPr>
          <w:rFonts w:ascii="Arial Narrow" w:hAnsi="Arial Narrow"/>
          <w:lang w:val="bg-BG" w:eastAsia="bg-BG"/>
        </w:rPr>
        <w:t xml:space="preserve"> </w:t>
      </w:r>
      <w:r w:rsidRPr="00B06D6E">
        <w:rPr>
          <w:rFonts w:ascii="Arial Narrow" w:hAnsi="Arial Narrow" w:cs="Arial Narrow"/>
          <w:lang w:val="bg-BG" w:eastAsia="bg-BG"/>
        </w:rPr>
        <w:t>природните</w:t>
      </w:r>
      <w:r w:rsidRPr="00B06D6E">
        <w:rPr>
          <w:rFonts w:ascii="Arial Narrow" w:hAnsi="Arial Narrow"/>
          <w:lang w:val="bg-BG" w:eastAsia="bg-BG"/>
        </w:rPr>
        <w:t xml:space="preserve"> </w:t>
      </w:r>
      <w:r w:rsidRPr="00B06D6E">
        <w:rPr>
          <w:rFonts w:ascii="Arial Narrow" w:hAnsi="Arial Narrow" w:cs="Arial Narrow"/>
          <w:lang w:val="bg-BG" w:eastAsia="bg-BG"/>
        </w:rPr>
        <w:t>ресурси</w:t>
      </w:r>
      <w:r w:rsidRPr="00B06D6E">
        <w:rPr>
          <w:rFonts w:ascii="Arial Narrow" w:hAnsi="Arial Narrow"/>
          <w:lang w:val="bg-BG" w:eastAsia="bg-BG"/>
        </w:rPr>
        <w:t xml:space="preserve"> </w:t>
      </w:r>
      <w:r w:rsidRPr="00B06D6E">
        <w:rPr>
          <w:rFonts w:ascii="Arial Narrow" w:hAnsi="Arial Narrow" w:cs="Arial Narrow"/>
          <w:lang w:val="bg-BG" w:eastAsia="bg-BG"/>
        </w:rPr>
        <w:t>и</w:t>
      </w:r>
      <w:r w:rsidRPr="00B06D6E">
        <w:rPr>
          <w:rFonts w:ascii="Arial Narrow" w:hAnsi="Arial Narrow"/>
          <w:lang w:val="bg-BG" w:eastAsia="bg-BG"/>
        </w:rPr>
        <w:t xml:space="preserve"> </w:t>
      </w:r>
      <w:r w:rsidRPr="00B06D6E">
        <w:rPr>
          <w:rFonts w:ascii="Arial Narrow" w:hAnsi="Arial Narrow" w:cs="Arial Narrow"/>
          <w:lang w:val="bg-BG" w:eastAsia="bg-BG"/>
        </w:rPr>
        <w:t>околната</w:t>
      </w:r>
      <w:r w:rsidRPr="00B06D6E">
        <w:rPr>
          <w:rFonts w:ascii="Arial Narrow" w:hAnsi="Arial Narrow"/>
          <w:lang w:val="bg-BG" w:eastAsia="bg-BG"/>
        </w:rPr>
        <w:t xml:space="preserve"> </w:t>
      </w:r>
      <w:r w:rsidRPr="00B06D6E">
        <w:rPr>
          <w:rFonts w:ascii="Arial Narrow" w:hAnsi="Arial Narrow" w:cs="Arial Narrow"/>
          <w:lang w:val="bg-BG" w:eastAsia="bg-BG"/>
        </w:rPr>
        <w:t>среда</w:t>
      </w:r>
      <w:r w:rsidRPr="00B06D6E">
        <w:rPr>
          <w:rFonts w:ascii="Arial Narrow" w:hAnsi="Arial Narrow"/>
          <w:lang w:val="bg-BG" w:eastAsia="bg-BG"/>
        </w:rPr>
        <w:t xml:space="preserve">, </w:t>
      </w:r>
      <w:r w:rsidRPr="00B06D6E">
        <w:rPr>
          <w:rFonts w:ascii="Arial Narrow" w:hAnsi="Arial Narrow" w:cs="Arial Narrow"/>
          <w:lang w:val="bg-BG" w:eastAsia="bg-BG"/>
        </w:rPr>
        <w:t>обновяването</w:t>
      </w:r>
      <w:r w:rsidRPr="00B06D6E">
        <w:rPr>
          <w:rFonts w:ascii="Arial Narrow" w:hAnsi="Arial Narrow"/>
          <w:lang w:val="bg-BG" w:eastAsia="bg-BG"/>
        </w:rPr>
        <w:t xml:space="preserve"> </w:t>
      </w:r>
      <w:r w:rsidRPr="00B06D6E">
        <w:rPr>
          <w:rFonts w:ascii="Arial Narrow" w:hAnsi="Arial Narrow" w:cs="Arial Narrow"/>
          <w:lang w:val="bg-BG" w:eastAsia="bg-BG"/>
        </w:rPr>
        <w:t>на</w:t>
      </w:r>
      <w:r w:rsidRPr="00B06D6E">
        <w:rPr>
          <w:rFonts w:ascii="Arial Narrow" w:hAnsi="Arial Narrow"/>
          <w:lang w:val="bg-BG" w:eastAsia="bg-BG"/>
        </w:rPr>
        <w:t xml:space="preserve"> </w:t>
      </w:r>
      <w:r w:rsidRPr="00B06D6E">
        <w:rPr>
          <w:rFonts w:ascii="Arial Narrow" w:hAnsi="Arial Narrow" w:cs="Arial Narrow"/>
          <w:lang w:val="bg-BG" w:eastAsia="bg-BG"/>
        </w:rPr>
        <w:t>производствения</w:t>
      </w:r>
      <w:r w:rsidRPr="00B06D6E">
        <w:rPr>
          <w:rFonts w:ascii="Arial Narrow" w:hAnsi="Arial Narrow"/>
          <w:lang w:val="bg-BG" w:eastAsia="bg-BG"/>
        </w:rPr>
        <w:t xml:space="preserve"> потенциал в лозарството, поддържането и изграждането на неговата модерна и конкурентна структура.</w:t>
      </w:r>
    </w:p>
    <w:p w14:paraId="3E5E414F" w14:textId="77777777" w:rsidR="00B06D6E" w:rsidRPr="00B06D6E" w:rsidRDefault="00B06D6E" w:rsidP="00B06D6E">
      <w:pPr>
        <w:spacing w:after="120"/>
        <w:ind w:firstLine="720"/>
        <w:jc w:val="both"/>
        <w:rPr>
          <w:rFonts w:ascii="Arial Narrow" w:hAnsi="Arial Narrow"/>
          <w:lang w:val="bg-BG" w:eastAsia="bg-BG"/>
        </w:rPr>
      </w:pPr>
      <w:r w:rsidRPr="00B06D6E">
        <w:rPr>
          <w:rFonts w:ascii="Arial Narrow" w:hAnsi="Arial Narrow"/>
          <w:lang w:val="bg-BG" w:eastAsia="bg-BG"/>
        </w:rPr>
        <w:t>Финансовият ресурс по интервенцията е предоставен изцяло от ЕФГЗ, като проектите се финансират с до 75% от извършените и одобрени разходи. Основните дейности в нейния обхват са:</w:t>
      </w:r>
    </w:p>
    <w:p w14:paraId="40FC4B37" w14:textId="77777777" w:rsidR="00B06D6E" w:rsidRPr="00B06D6E" w:rsidRDefault="00B06D6E" w:rsidP="009C6577">
      <w:pPr>
        <w:numPr>
          <w:ilvl w:val="0"/>
          <w:numId w:val="52"/>
        </w:numPr>
        <w:tabs>
          <w:tab w:val="left" w:pos="1134"/>
        </w:tabs>
        <w:autoSpaceDE w:val="0"/>
        <w:autoSpaceDN w:val="0"/>
        <w:adjustRightInd w:val="0"/>
        <w:spacing w:after="120"/>
        <w:ind w:left="714" w:hanging="357"/>
        <w:jc w:val="both"/>
        <w:rPr>
          <w:rFonts w:ascii="Arial Narrow" w:eastAsia="Calibri" w:hAnsi="Arial Narrow"/>
          <w:lang w:val="bg-BG"/>
        </w:rPr>
      </w:pPr>
      <w:r w:rsidRPr="00B06D6E">
        <w:rPr>
          <w:rFonts w:ascii="Arial Narrow" w:eastAsia="Calibri" w:hAnsi="Arial Narrow"/>
          <w:lang w:val="bg-BG"/>
        </w:rPr>
        <w:t>Конверсия на сортовия състав на насажденията;</w:t>
      </w:r>
    </w:p>
    <w:p w14:paraId="29DE5CD1" w14:textId="77777777" w:rsidR="00B06D6E" w:rsidRPr="00B06D6E" w:rsidRDefault="00B06D6E" w:rsidP="009C6577">
      <w:pPr>
        <w:numPr>
          <w:ilvl w:val="0"/>
          <w:numId w:val="52"/>
        </w:numPr>
        <w:tabs>
          <w:tab w:val="left" w:pos="1134"/>
        </w:tabs>
        <w:autoSpaceDE w:val="0"/>
        <w:autoSpaceDN w:val="0"/>
        <w:adjustRightInd w:val="0"/>
        <w:spacing w:after="120"/>
        <w:ind w:left="714" w:hanging="357"/>
        <w:jc w:val="both"/>
        <w:rPr>
          <w:rFonts w:ascii="Arial Narrow" w:eastAsia="Calibri" w:hAnsi="Arial Narrow"/>
          <w:lang w:val="bg-BG"/>
        </w:rPr>
      </w:pPr>
      <w:r w:rsidRPr="00B06D6E">
        <w:rPr>
          <w:rFonts w:ascii="Arial Narrow" w:eastAsia="Calibri" w:hAnsi="Arial Narrow"/>
          <w:lang w:val="bg-BG"/>
        </w:rPr>
        <w:t>Промяна на местонахождението на лозята;</w:t>
      </w:r>
    </w:p>
    <w:p w14:paraId="529B7D9D" w14:textId="77777777" w:rsidR="00B06D6E" w:rsidRPr="00B06D6E" w:rsidRDefault="00B06D6E" w:rsidP="009C6577">
      <w:pPr>
        <w:numPr>
          <w:ilvl w:val="0"/>
          <w:numId w:val="52"/>
        </w:numPr>
        <w:tabs>
          <w:tab w:val="left" w:pos="1134"/>
        </w:tabs>
        <w:autoSpaceDE w:val="0"/>
        <w:autoSpaceDN w:val="0"/>
        <w:adjustRightInd w:val="0"/>
        <w:spacing w:after="120"/>
        <w:ind w:left="714" w:hanging="357"/>
        <w:jc w:val="both"/>
        <w:rPr>
          <w:rFonts w:ascii="Arial Narrow" w:eastAsia="Calibri" w:hAnsi="Arial Narrow"/>
          <w:lang w:val="bg-BG"/>
        </w:rPr>
      </w:pPr>
      <w:r w:rsidRPr="00B06D6E">
        <w:rPr>
          <w:rFonts w:ascii="Arial Narrow" w:eastAsia="Calibri" w:hAnsi="Arial Narrow"/>
          <w:lang w:val="bg-BG"/>
        </w:rPr>
        <w:t>Подобряване на техниките за управление на лозята.</w:t>
      </w:r>
    </w:p>
    <w:p w14:paraId="322ED903" w14:textId="77777777" w:rsidR="00B06D6E" w:rsidRPr="00B06D6E" w:rsidRDefault="00B06D6E" w:rsidP="00B06D6E">
      <w:pPr>
        <w:spacing w:after="120"/>
        <w:ind w:firstLine="720"/>
        <w:jc w:val="both"/>
        <w:rPr>
          <w:rFonts w:ascii="Arial Narrow" w:hAnsi="Arial Narrow"/>
          <w:lang w:val="bg-BG" w:eastAsia="bg-BG"/>
        </w:rPr>
      </w:pPr>
      <w:r w:rsidRPr="00B06D6E">
        <w:rPr>
          <w:rFonts w:ascii="Arial Narrow" w:hAnsi="Arial Narrow"/>
          <w:lang w:val="bg-BG" w:eastAsia="bg-BG"/>
        </w:rPr>
        <w:t>През финансова 2024 г. по интервенция „Преструктуриране и конверсия на лозя“ са отворени два приема - през периода м. октомври - м. ноември 2023 г. и през м. юли 2024 г. Постъпили са общо 90 заявления за подпомагане и са сключени 74 договора за предоставяне на финансова помощ в размер на 21 376 009 лева. Изплатените средства през календарната 2024 г. възлизат на 14 091 983 лева.</w:t>
      </w:r>
    </w:p>
    <w:p w14:paraId="4A480DEC" w14:textId="77777777" w:rsidR="00B06D6E" w:rsidRPr="00B06D6E" w:rsidRDefault="00B06D6E" w:rsidP="00B06D6E">
      <w:pPr>
        <w:spacing w:after="120"/>
        <w:jc w:val="both"/>
        <w:rPr>
          <w:rFonts w:ascii="Arial Narrow" w:hAnsi="Arial Narrow"/>
          <w:lang w:val="bg-BG" w:eastAsia="bg-BG"/>
        </w:rPr>
      </w:pPr>
      <w:r w:rsidRPr="00B06D6E">
        <w:rPr>
          <w:rFonts w:ascii="Arial Narrow" w:hAnsi="Arial Narrow"/>
          <w:b/>
          <w:szCs w:val="20"/>
          <w:lang w:val="bg-BG" w:eastAsia="bg-BG"/>
        </w:rPr>
        <w:t xml:space="preserve">Таблица </w:t>
      </w:r>
      <w:r w:rsidR="00CA4006" w:rsidRPr="001B6ED3">
        <w:rPr>
          <w:rFonts w:ascii="Arial Narrow" w:hAnsi="Arial Narrow" w:cs="Arial Narrow"/>
          <w:b/>
          <w:bCs/>
          <w:lang w:val="bg-BG"/>
        </w:rPr>
        <w:t>ІV</w:t>
      </w:r>
      <w:r w:rsidR="00712B4B">
        <w:rPr>
          <w:rFonts w:ascii="Arial Narrow" w:hAnsi="Arial Narrow" w:cs="Arial Narrow"/>
          <w:b/>
          <w:bCs/>
          <w:lang w:val="bg-BG"/>
        </w:rPr>
        <w:t>.9</w:t>
      </w:r>
      <w:r w:rsidR="00CA4006">
        <w:rPr>
          <w:rFonts w:ascii="Arial Narrow" w:hAnsi="Arial Narrow" w:cs="Arial Narrow"/>
          <w:b/>
          <w:bCs/>
          <w:lang w:val="bg-BG"/>
        </w:rPr>
        <w:t>.</w:t>
      </w:r>
      <w:r w:rsidRPr="00B06D6E">
        <w:rPr>
          <w:rFonts w:ascii="Arial Narrow" w:hAnsi="Arial Narrow" w:cs="Arial Narrow"/>
          <w:b/>
          <w:bCs/>
          <w:lang w:val="bg-BG" w:eastAsia="bg-BG"/>
        </w:rPr>
        <w:t xml:space="preserve"> Данни за прилагане на интервенция „Преструктуриране и конверсия на лозя“ за финансовата 2024 г.</w:t>
      </w:r>
    </w:p>
    <w:tbl>
      <w:tblPr>
        <w:tblW w:w="4965" w:type="pct"/>
        <w:tblInd w:w="70" w:type="dxa"/>
        <w:tblLayout w:type="fixed"/>
        <w:tblCellMar>
          <w:top w:w="15" w:type="dxa"/>
          <w:left w:w="70" w:type="dxa"/>
          <w:bottom w:w="15" w:type="dxa"/>
          <w:right w:w="70" w:type="dxa"/>
        </w:tblCellMar>
        <w:tblLook w:val="04A0" w:firstRow="1" w:lastRow="0" w:firstColumn="1" w:lastColumn="0" w:noHBand="0" w:noVBand="1"/>
      </w:tblPr>
      <w:tblGrid>
        <w:gridCol w:w="2620"/>
        <w:gridCol w:w="1843"/>
        <w:gridCol w:w="1781"/>
        <w:gridCol w:w="1578"/>
        <w:gridCol w:w="1909"/>
      </w:tblGrid>
      <w:tr w:rsidR="00B06D6E" w:rsidRPr="00B06D6E" w14:paraId="1912AA20" w14:textId="77777777" w:rsidTr="00B06D6E">
        <w:trPr>
          <w:trHeight w:val="1027"/>
        </w:trPr>
        <w:tc>
          <w:tcPr>
            <w:tcW w:w="1346" w:type="pct"/>
            <w:tcBorders>
              <w:top w:val="single" w:sz="4" w:space="0" w:color="auto"/>
              <w:left w:val="single" w:sz="4" w:space="0" w:color="auto"/>
              <w:bottom w:val="single" w:sz="4" w:space="0" w:color="auto"/>
              <w:right w:val="single" w:sz="4" w:space="0" w:color="auto"/>
            </w:tcBorders>
            <w:noWrap/>
            <w:vAlign w:val="center"/>
            <w:hideMark/>
          </w:tcPr>
          <w:p w14:paraId="494AFBAA" w14:textId="77777777" w:rsidR="00B06D6E" w:rsidRPr="00B06D6E" w:rsidRDefault="00B06D6E" w:rsidP="00B06D6E">
            <w:pPr>
              <w:jc w:val="center"/>
              <w:rPr>
                <w:rFonts w:ascii="Arial Narrow" w:hAnsi="Arial Narrow"/>
                <w:b/>
                <w:sz w:val="20"/>
                <w:szCs w:val="20"/>
                <w:lang w:val="bg-BG" w:eastAsia="bg-BG"/>
              </w:rPr>
            </w:pPr>
            <w:r w:rsidRPr="00B06D6E">
              <w:rPr>
                <w:rFonts w:ascii="Arial Narrow" w:hAnsi="Arial Narrow"/>
                <w:b/>
                <w:sz w:val="20"/>
                <w:szCs w:val="20"/>
                <w:lang w:val="bg-BG" w:eastAsia="bg-BG"/>
              </w:rPr>
              <w:t>Прием</w:t>
            </w:r>
          </w:p>
        </w:tc>
        <w:tc>
          <w:tcPr>
            <w:tcW w:w="947" w:type="pct"/>
            <w:tcBorders>
              <w:top w:val="single" w:sz="4" w:space="0" w:color="auto"/>
              <w:left w:val="single" w:sz="4" w:space="0" w:color="auto"/>
              <w:bottom w:val="single" w:sz="4" w:space="0" w:color="auto"/>
              <w:right w:val="single" w:sz="4" w:space="0" w:color="auto"/>
            </w:tcBorders>
            <w:noWrap/>
            <w:vAlign w:val="center"/>
            <w:hideMark/>
          </w:tcPr>
          <w:p w14:paraId="5CA575EF" w14:textId="77777777" w:rsidR="00B06D6E" w:rsidRPr="00B06D6E" w:rsidRDefault="00B06D6E" w:rsidP="00B06D6E">
            <w:pPr>
              <w:jc w:val="center"/>
              <w:rPr>
                <w:rFonts w:ascii="Arial Narrow" w:hAnsi="Arial Narrow"/>
                <w:b/>
                <w:sz w:val="20"/>
                <w:szCs w:val="20"/>
                <w:lang w:val="bg-BG" w:eastAsia="bg-BG"/>
              </w:rPr>
            </w:pPr>
            <w:r w:rsidRPr="00B06D6E">
              <w:rPr>
                <w:rFonts w:ascii="Arial Narrow" w:hAnsi="Arial Narrow"/>
                <w:b/>
                <w:sz w:val="20"/>
                <w:szCs w:val="20"/>
                <w:lang w:val="bg-BG" w:eastAsia="bg-BG"/>
              </w:rPr>
              <w:t>Брой подадени заявления за финансово подпомагане</w:t>
            </w:r>
          </w:p>
        </w:tc>
        <w:tc>
          <w:tcPr>
            <w:tcW w:w="915" w:type="pct"/>
            <w:tcBorders>
              <w:top w:val="single" w:sz="4" w:space="0" w:color="auto"/>
              <w:left w:val="single" w:sz="4" w:space="0" w:color="auto"/>
              <w:bottom w:val="single" w:sz="4" w:space="0" w:color="auto"/>
              <w:right w:val="single" w:sz="4" w:space="0" w:color="auto"/>
            </w:tcBorders>
            <w:noWrap/>
            <w:vAlign w:val="center"/>
            <w:hideMark/>
          </w:tcPr>
          <w:p w14:paraId="52AA2F1C" w14:textId="77777777" w:rsidR="00B06D6E" w:rsidRPr="00B06D6E" w:rsidRDefault="00B06D6E" w:rsidP="00B06D6E">
            <w:pPr>
              <w:jc w:val="center"/>
              <w:rPr>
                <w:rFonts w:ascii="Arial Narrow" w:hAnsi="Arial Narrow"/>
                <w:b/>
                <w:sz w:val="20"/>
                <w:szCs w:val="20"/>
                <w:lang w:val="bg-BG" w:eastAsia="bg-BG"/>
              </w:rPr>
            </w:pPr>
            <w:r w:rsidRPr="00B06D6E">
              <w:rPr>
                <w:rFonts w:ascii="Arial Narrow" w:hAnsi="Arial Narrow"/>
                <w:b/>
                <w:sz w:val="20"/>
                <w:szCs w:val="20"/>
                <w:lang w:val="bg-BG" w:eastAsia="bg-BG"/>
              </w:rPr>
              <w:t>Заявена</w:t>
            </w:r>
          </w:p>
          <w:p w14:paraId="65DE247B" w14:textId="77777777" w:rsidR="00B06D6E" w:rsidRPr="00B06D6E" w:rsidRDefault="00B06D6E" w:rsidP="00B06D6E">
            <w:pPr>
              <w:jc w:val="center"/>
              <w:rPr>
                <w:rFonts w:ascii="Arial Narrow" w:hAnsi="Arial Narrow"/>
                <w:b/>
                <w:sz w:val="20"/>
                <w:szCs w:val="20"/>
                <w:lang w:val="bg-BG" w:eastAsia="bg-BG"/>
              </w:rPr>
            </w:pPr>
            <w:r w:rsidRPr="00B06D6E">
              <w:rPr>
                <w:rFonts w:ascii="Arial Narrow" w:hAnsi="Arial Narrow"/>
                <w:b/>
                <w:sz w:val="20"/>
                <w:szCs w:val="20"/>
                <w:lang w:val="bg-BG" w:eastAsia="bg-BG"/>
              </w:rPr>
              <w:t>финансова</w:t>
            </w:r>
          </w:p>
          <w:p w14:paraId="162A5E53" w14:textId="77777777" w:rsidR="00B06D6E" w:rsidRPr="00B06D6E" w:rsidRDefault="00B06D6E" w:rsidP="00B06D6E">
            <w:pPr>
              <w:jc w:val="center"/>
              <w:rPr>
                <w:rFonts w:ascii="Arial Narrow" w:hAnsi="Arial Narrow"/>
                <w:b/>
                <w:sz w:val="20"/>
                <w:szCs w:val="20"/>
                <w:lang w:val="bg-BG" w:eastAsia="bg-BG"/>
              </w:rPr>
            </w:pPr>
            <w:r w:rsidRPr="00B06D6E">
              <w:rPr>
                <w:rFonts w:ascii="Arial Narrow" w:hAnsi="Arial Narrow"/>
                <w:b/>
                <w:sz w:val="20"/>
                <w:szCs w:val="20"/>
                <w:lang w:val="bg-BG" w:eastAsia="bg-BG"/>
              </w:rPr>
              <w:t>помощ</w:t>
            </w:r>
          </w:p>
          <w:p w14:paraId="72714F3F" w14:textId="77777777" w:rsidR="00B06D6E" w:rsidRPr="00B06D6E" w:rsidRDefault="00B06D6E" w:rsidP="00B06D6E">
            <w:pPr>
              <w:jc w:val="center"/>
              <w:rPr>
                <w:rFonts w:ascii="Arial Narrow" w:hAnsi="Arial Narrow"/>
                <w:b/>
                <w:sz w:val="20"/>
                <w:szCs w:val="20"/>
                <w:lang w:val="bg-BG" w:eastAsia="bg-BG"/>
              </w:rPr>
            </w:pPr>
            <w:r w:rsidRPr="00B06D6E">
              <w:rPr>
                <w:rFonts w:ascii="Arial Narrow" w:hAnsi="Arial Narrow"/>
                <w:b/>
                <w:sz w:val="20"/>
                <w:szCs w:val="20"/>
                <w:lang w:val="bg-BG" w:eastAsia="bg-BG"/>
              </w:rPr>
              <w:t xml:space="preserve"> (лева)</w:t>
            </w:r>
          </w:p>
        </w:tc>
        <w:tc>
          <w:tcPr>
            <w:tcW w:w="811" w:type="pct"/>
            <w:tcBorders>
              <w:top w:val="single" w:sz="4" w:space="0" w:color="auto"/>
              <w:left w:val="single" w:sz="4" w:space="0" w:color="auto"/>
              <w:bottom w:val="single" w:sz="4" w:space="0" w:color="auto"/>
              <w:right w:val="single" w:sz="4" w:space="0" w:color="auto"/>
            </w:tcBorders>
            <w:noWrap/>
            <w:vAlign w:val="center"/>
            <w:hideMark/>
          </w:tcPr>
          <w:p w14:paraId="7FFA0D75" w14:textId="77777777" w:rsidR="00B06D6E" w:rsidRPr="00B06D6E" w:rsidRDefault="00B06D6E" w:rsidP="00B06D6E">
            <w:pPr>
              <w:jc w:val="center"/>
              <w:rPr>
                <w:rFonts w:ascii="Arial Narrow" w:hAnsi="Arial Narrow"/>
                <w:b/>
                <w:sz w:val="20"/>
                <w:szCs w:val="20"/>
                <w:lang w:val="bg-BG" w:eastAsia="bg-BG"/>
              </w:rPr>
            </w:pPr>
            <w:r w:rsidRPr="00B06D6E">
              <w:rPr>
                <w:rFonts w:ascii="Arial Narrow" w:hAnsi="Arial Narrow"/>
                <w:b/>
                <w:sz w:val="20"/>
                <w:szCs w:val="20"/>
                <w:lang w:val="bg-BG" w:eastAsia="bg-BG"/>
              </w:rPr>
              <w:t>Брой сключени</w:t>
            </w:r>
          </w:p>
          <w:p w14:paraId="36E33F29" w14:textId="77777777" w:rsidR="00B06D6E" w:rsidRPr="00B06D6E" w:rsidRDefault="00B06D6E" w:rsidP="00B06D6E">
            <w:pPr>
              <w:jc w:val="center"/>
              <w:rPr>
                <w:rFonts w:ascii="Arial Narrow" w:hAnsi="Arial Narrow"/>
                <w:b/>
                <w:sz w:val="20"/>
                <w:szCs w:val="20"/>
                <w:lang w:val="bg-BG" w:eastAsia="bg-BG"/>
              </w:rPr>
            </w:pPr>
            <w:r w:rsidRPr="00B06D6E">
              <w:rPr>
                <w:rFonts w:ascii="Arial Narrow" w:hAnsi="Arial Narrow"/>
                <w:b/>
                <w:sz w:val="20"/>
                <w:szCs w:val="20"/>
                <w:lang w:val="bg-BG" w:eastAsia="bg-BG"/>
              </w:rPr>
              <w:t>договори</w:t>
            </w:r>
          </w:p>
        </w:tc>
        <w:tc>
          <w:tcPr>
            <w:tcW w:w="981" w:type="pct"/>
            <w:tcBorders>
              <w:top w:val="single" w:sz="4" w:space="0" w:color="auto"/>
              <w:left w:val="single" w:sz="4" w:space="0" w:color="auto"/>
              <w:bottom w:val="single" w:sz="4" w:space="0" w:color="auto"/>
              <w:right w:val="single" w:sz="4" w:space="0" w:color="auto"/>
            </w:tcBorders>
            <w:noWrap/>
            <w:vAlign w:val="center"/>
            <w:hideMark/>
          </w:tcPr>
          <w:p w14:paraId="46FAD2E6" w14:textId="77777777" w:rsidR="00B06D6E" w:rsidRPr="00B06D6E" w:rsidRDefault="00B06D6E" w:rsidP="00B06D6E">
            <w:pPr>
              <w:jc w:val="center"/>
              <w:rPr>
                <w:rFonts w:ascii="Arial Narrow" w:hAnsi="Arial Narrow"/>
                <w:b/>
                <w:sz w:val="20"/>
                <w:szCs w:val="20"/>
                <w:lang w:val="bg-BG" w:eastAsia="bg-BG"/>
              </w:rPr>
            </w:pPr>
            <w:r w:rsidRPr="00B06D6E">
              <w:rPr>
                <w:rFonts w:ascii="Arial Narrow" w:hAnsi="Arial Narrow"/>
                <w:b/>
                <w:sz w:val="20"/>
                <w:szCs w:val="20"/>
                <w:lang w:val="bg-BG" w:eastAsia="bg-BG"/>
              </w:rPr>
              <w:t>Одобрена</w:t>
            </w:r>
          </w:p>
          <w:p w14:paraId="1F799494" w14:textId="77777777" w:rsidR="00B06D6E" w:rsidRPr="00B06D6E" w:rsidRDefault="00B06D6E" w:rsidP="00B06D6E">
            <w:pPr>
              <w:jc w:val="center"/>
              <w:rPr>
                <w:rFonts w:ascii="Arial Narrow" w:hAnsi="Arial Narrow"/>
                <w:b/>
                <w:sz w:val="20"/>
                <w:szCs w:val="20"/>
                <w:lang w:val="bg-BG" w:eastAsia="bg-BG"/>
              </w:rPr>
            </w:pPr>
            <w:r w:rsidRPr="00B06D6E">
              <w:rPr>
                <w:rFonts w:ascii="Arial Narrow" w:hAnsi="Arial Narrow"/>
                <w:b/>
                <w:sz w:val="20"/>
                <w:szCs w:val="20"/>
                <w:lang w:val="bg-BG" w:eastAsia="bg-BG"/>
              </w:rPr>
              <w:t>финансова</w:t>
            </w:r>
          </w:p>
          <w:p w14:paraId="1645AF23" w14:textId="77777777" w:rsidR="00B06D6E" w:rsidRPr="00B06D6E" w:rsidRDefault="00B06D6E" w:rsidP="00B06D6E">
            <w:pPr>
              <w:jc w:val="center"/>
              <w:rPr>
                <w:rFonts w:ascii="Arial Narrow" w:hAnsi="Arial Narrow"/>
                <w:b/>
                <w:sz w:val="20"/>
                <w:szCs w:val="20"/>
                <w:lang w:val="bg-BG" w:eastAsia="bg-BG"/>
              </w:rPr>
            </w:pPr>
            <w:r w:rsidRPr="00B06D6E">
              <w:rPr>
                <w:rFonts w:ascii="Arial Narrow" w:hAnsi="Arial Narrow"/>
                <w:b/>
                <w:sz w:val="20"/>
                <w:szCs w:val="20"/>
                <w:lang w:val="bg-BG" w:eastAsia="bg-BG"/>
              </w:rPr>
              <w:t xml:space="preserve">помощ </w:t>
            </w:r>
          </w:p>
          <w:p w14:paraId="0A5C7C21" w14:textId="77777777" w:rsidR="00B06D6E" w:rsidRPr="00B06D6E" w:rsidRDefault="00B06D6E" w:rsidP="00B06D6E">
            <w:pPr>
              <w:jc w:val="center"/>
              <w:rPr>
                <w:rFonts w:ascii="Arial Narrow" w:hAnsi="Arial Narrow"/>
                <w:b/>
                <w:sz w:val="20"/>
                <w:szCs w:val="20"/>
                <w:lang w:val="bg-BG" w:eastAsia="bg-BG"/>
              </w:rPr>
            </w:pPr>
            <w:r w:rsidRPr="00B06D6E">
              <w:rPr>
                <w:rFonts w:ascii="Arial Narrow" w:hAnsi="Arial Narrow"/>
                <w:b/>
                <w:sz w:val="20"/>
                <w:szCs w:val="20"/>
                <w:lang w:val="bg-BG" w:eastAsia="bg-BG"/>
              </w:rPr>
              <w:t>(лева)</w:t>
            </w:r>
          </w:p>
        </w:tc>
      </w:tr>
      <w:tr w:rsidR="00B06D6E" w:rsidRPr="00B06D6E" w14:paraId="3B04CDEF" w14:textId="77777777" w:rsidTr="00B06D6E">
        <w:trPr>
          <w:trHeight w:val="300"/>
        </w:trPr>
        <w:tc>
          <w:tcPr>
            <w:tcW w:w="1346" w:type="pct"/>
            <w:tcBorders>
              <w:top w:val="single" w:sz="4" w:space="0" w:color="auto"/>
              <w:left w:val="single" w:sz="4" w:space="0" w:color="auto"/>
              <w:bottom w:val="single" w:sz="4" w:space="0" w:color="auto"/>
              <w:right w:val="single" w:sz="4" w:space="0" w:color="auto"/>
            </w:tcBorders>
            <w:noWrap/>
            <w:vAlign w:val="center"/>
            <w:hideMark/>
          </w:tcPr>
          <w:p w14:paraId="7C154093" w14:textId="77777777" w:rsidR="00B06D6E" w:rsidRPr="00B06D6E" w:rsidRDefault="00B06D6E" w:rsidP="00B06D6E">
            <w:pPr>
              <w:rPr>
                <w:rFonts w:ascii="Arial Narrow" w:hAnsi="Arial Narrow"/>
                <w:sz w:val="20"/>
                <w:szCs w:val="20"/>
                <w:lang w:val="bg-BG" w:eastAsia="bg-BG"/>
              </w:rPr>
            </w:pPr>
            <w:r w:rsidRPr="00B06D6E">
              <w:rPr>
                <w:rFonts w:ascii="Arial Narrow" w:hAnsi="Arial Narrow"/>
                <w:sz w:val="20"/>
                <w:szCs w:val="20"/>
                <w:lang w:val="bg-BG" w:eastAsia="bg-BG"/>
              </w:rPr>
              <w:t>Първи прием</w:t>
            </w:r>
          </w:p>
        </w:tc>
        <w:tc>
          <w:tcPr>
            <w:tcW w:w="947" w:type="pct"/>
            <w:tcBorders>
              <w:top w:val="single" w:sz="4" w:space="0" w:color="auto"/>
              <w:left w:val="single" w:sz="4" w:space="0" w:color="auto"/>
              <w:bottom w:val="single" w:sz="4" w:space="0" w:color="auto"/>
              <w:right w:val="single" w:sz="4" w:space="0" w:color="auto"/>
            </w:tcBorders>
            <w:noWrap/>
            <w:vAlign w:val="center"/>
            <w:hideMark/>
          </w:tcPr>
          <w:p w14:paraId="565B3505" w14:textId="77777777" w:rsidR="00B06D6E" w:rsidRPr="00B06D6E" w:rsidRDefault="00B06D6E" w:rsidP="00B06D6E">
            <w:pPr>
              <w:jc w:val="right"/>
              <w:rPr>
                <w:rFonts w:ascii="Arial Narrow" w:hAnsi="Arial Narrow"/>
                <w:sz w:val="20"/>
                <w:szCs w:val="20"/>
                <w:lang w:val="bg-BG" w:eastAsia="bg-BG"/>
              </w:rPr>
            </w:pPr>
            <w:r w:rsidRPr="00B06D6E">
              <w:rPr>
                <w:rFonts w:ascii="Arial Narrow" w:hAnsi="Arial Narrow"/>
                <w:sz w:val="20"/>
                <w:szCs w:val="20"/>
                <w:lang w:val="bg-BG" w:eastAsia="bg-BG"/>
              </w:rPr>
              <w:t>74</w:t>
            </w:r>
          </w:p>
        </w:tc>
        <w:tc>
          <w:tcPr>
            <w:tcW w:w="915" w:type="pct"/>
            <w:tcBorders>
              <w:top w:val="single" w:sz="4" w:space="0" w:color="auto"/>
              <w:left w:val="single" w:sz="4" w:space="0" w:color="auto"/>
              <w:bottom w:val="single" w:sz="4" w:space="0" w:color="auto"/>
              <w:right w:val="single" w:sz="4" w:space="0" w:color="auto"/>
            </w:tcBorders>
            <w:noWrap/>
            <w:vAlign w:val="center"/>
            <w:hideMark/>
          </w:tcPr>
          <w:p w14:paraId="040DF722" w14:textId="77777777" w:rsidR="00B06D6E" w:rsidRPr="00B06D6E" w:rsidRDefault="00B06D6E" w:rsidP="00B06D6E">
            <w:pPr>
              <w:jc w:val="right"/>
              <w:rPr>
                <w:rFonts w:ascii="Arial Narrow" w:hAnsi="Arial Narrow"/>
                <w:sz w:val="20"/>
                <w:szCs w:val="20"/>
                <w:lang w:val="bg-BG" w:eastAsia="bg-BG"/>
              </w:rPr>
            </w:pPr>
            <w:r w:rsidRPr="00B06D6E">
              <w:rPr>
                <w:rFonts w:ascii="Arial Narrow" w:hAnsi="Arial Narrow"/>
                <w:sz w:val="20"/>
                <w:szCs w:val="20"/>
                <w:lang w:val="bg-BG" w:eastAsia="bg-BG"/>
              </w:rPr>
              <w:t>24 335 142</w:t>
            </w:r>
          </w:p>
        </w:tc>
        <w:tc>
          <w:tcPr>
            <w:tcW w:w="811" w:type="pct"/>
            <w:tcBorders>
              <w:top w:val="single" w:sz="4" w:space="0" w:color="auto"/>
              <w:left w:val="single" w:sz="4" w:space="0" w:color="auto"/>
              <w:bottom w:val="single" w:sz="4" w:space="0" w:color="auto"/>
              <w:right w:val="single" w:sz="4" w:space="0" w:color="auto"/>
            </w:tcBorders>
            <w:noWrap/>
            <w:vAlign w:val="center"/>
            <w:hideMark/>
          </w:tcPr>
          <w:p w14:paraId="26CE7F90" w14:textId="77777777" w:rsidR="00B06D6E" w:rsidRPr="00B06D6E" w:rsidRDefault="00B06D6E" w:rsidP="00B06D6E">
            <w:pPr>
              <w:jc w:val="right"/>
              <w:rPr>
                <w:rFonts w:ascii="Arial Narrow" w:hAnsi="Arial Narrow"/>
                <w:sz w:val="20"/>
                <w:szCs w:val="20"/>
                <w:lang w:val="bg-BG" w:eastAsia="bg-BG"/>
              </w:rPr>
            </w:pPr>
            <w:r w:rsidRPr="00B06D6E">
              <w:rPr>
                <w:rFonts w:ascii="Arial Narrow" w:hAnsi="Arial Narrow"/>
                <w:sz w:val="20"/>
                <w:szCs w:val="20"/>
                <w:lang w:val="bg-BG" w:eastAsia="bg-BG"/>
              </w:rPr>
              <w:t>63</w:t>
            </w:r>
          </w:p>
        </w:tc>
        <w:tc>
          <w:tcPr>
            <w:tcW w:w="981" w:type="pct"/>
            <w:tcBorders>
              <w:top w:val="single" w:sz="4" w:space="0" w:color="auto"/>
              <w:left w:val="single" w:sz="4" w:space="0" w:color="auto"/>
              <w:bottom w:val="single" w:sz="4" w:space="0" w:color="auto"/>
              <w:right w:val="single" w:sz="4" w:space="0" w:color="auto"/>
            </w:tcBorders>
            <w:noWrap/>
            <w:vAlign w:val="center"/>
            <w:hideMark/>
          </w:tcPr>
          <w:p w14:paraId="5B00713B" w14:textId="77777777" w:rsidR="00B06D6E" w:rsidRPr="00B06D6E" w:rsidRDefault="00B06D6E" w:rsidP="00B06D6E">
            <w:pPr>
              <w:jc w:val="right"/>
              <w:rPr>
                <w:rFonts w:ascii="Arial Narrow" w:hAnsi="Arial Narrow"/>
                <w:sz w:val="20"/>
                <w:szCs w:val="20"/>
                <w:lang w:val="bg-BG" w:eastAsia="bg-BG"/>
              </w:rPr>
            </w:pPr>
            <w:r w:rsidRPr="00B06D6E">
              <w:rPr>
                <w:rFonts w:ascii="Arial Narrow" w:hAnsi="Arial Narrow"/>
                <w:sz w:val="20"/>
                <w:szCs w:val="20"/>
                <w:lang w:val="bg-BG" w:eastAsia="bg-BG"/>
              </w:rPr>
              <w:t>17 681 808</w:t>
            </w:r>
          </w:p>
        </w:tc>
      </w:tr>
      <w:tr w:rsidR="00B06D6E" w:rsidRPr="00B06D6E" w14:paraId="68315D5C" w14:textId="77777777" w:rsidTr="00B06D6E">
        <w:trPr>
          <w:trHeight w:val="300"/>
        </w:trPr>
        <w:tc>
          <w:tcPr>
            <w:tcW w:w="1346" w:type="pct"/>
            <w:tcBorders>
              <w:top w:val="single" w:sz="4" w:space="0" w:color="auto"/>
              <w:left w:val="single" w:sz="4" w:space="0" w:color="auto"/>
              <w:bottom w:val="single" w:sz="4" w:space="0" w:color="auto"/>
              <w:right w:val="single" w:sz="4" w:space="0" w:color="auto"/>
            </w:tcBorders>
            <w:noWrap/>
            <w:vAlign w:val="center"/>
            <w:hideMark/>
          </w:tcPr>
          <w:p w14:paraId="425D1A13" w14:textId="77777777" w:rsidR="00B06D6E" w:rsidRPr="00B06D6E" w:rsidRDefault="00B06D6E" w:rsidP="00B06D6E">
            <w:pPr>
              <w:rPr>
                <w:rFonts w:ascii="Arial Narrow" w:hAnsi="Arial Narrow"/>
                <w:sz w:val="20"/>
                <w:szCs w:val="20"/>
                <w:lang w:val="bg-BG" w:eastAsia="bg-BG"/>
              </w:rPr>
            </w:pPr>
            <w:r w:rsidRPr="00B06D6E">
              <w:rPr>
                <w:rFonts w:ascii="Arial Narrow" w:hAnsi="Arial Narrow"/>
                <w:sz w:val="20"/>
                <w:szCs w:val="20"/>
                <w:lang w:val="bg-BG" w:eastAsia="bg-BG"/>
              </w:rPr>
              <w:t>Втори прием</w:t>
            </w:r>
          </w:p>
        </w:tc>
        <w:tc>
          <w:tcPr>
            <w:tcW w:w="947" w:type="pct"/>
            <w:tcBorders>
              <w:top w:val="single" w:sz="4" w:space="0" w:color="auto"/>
              <w:left w:val="single" w:sz="4" w:space="0" w:color="auto"/>
              <w:bottom w:val="single" w:sz="4" w:space="0" w:color="auto"/>
              <w:right w:val="single" w:sz="4" w:space="0" w:color="auto"/>
            </w:tcBorders>
            <w:noWrap/>
            <w:vAlign w:val="center"/>
            <w:hideMark/>
          </w:tcPr>
          <w:p w14:paraId="08BE12FD" w14:textId="77777777" w:rsidR="00B06D6E" w:rsidRPr="00B06D6E" w:rsidRDefault="00B06D6E" w:rsidP="00B06D6E">
            <w:pPr>
              <w:jc w:val="right"/>
              <w:rPr>
                <w:rFonts w:ascii="Arial Narrow" w:hAnsi="Arial Narrow"/>
                <w:sz w:val="20"/>
                <w:szCs w:val="20"/>
                <w:lang w:val="bg-BG" w:eastAsia="bg-BG"/>
              </w:rPr>
            </w:pPr>
            <w:r w:rsidRPr="00B06D6E">
              <w:rPr>
                <w:rFonts w:ascii="Arial Narrow" w:hAnsi="Arial Narrow"/>
                <w:sz w:val="20"/>
                <w:szCs w:val="20"/>
                <w:lang w:val="bg-BG" w:eastAsia="bg-BG"/>
              </w:rPr>
              <w:t>16</w:t>
            </w:r>
          </w:p>
        </w:tc>
        <w:tc>
          <w:tcPr>
            <w:tcW w:w="915" w:type="pct"/>
            <w:tcBorders>
              <w:top w:val="single" w:sz="4" w:space="0" w:color="auto"/>
              <w:left w:val="single" w:sz="4" w:space="0" w:color="auto"/>
              <w:bottom w:val="single" w:sz="4" w:space="0" w:color="auto"/>
              <w:right w:val="single" w:sz="4" w:space="0" w:color="auto"/>
            </w:tcBorders>
            <w:noWrap/>
            <w:vAlign w:val="center"/>
            <w:hideMark/>
          </w:tcPr>
          <w:p w14:paraId="7EEB1D58" w14:textId="77777777" w:rsidR="00B06D6E" w:rsidRPr="00B06D6E" w:rsidRDefault="00B06D6E" w:rsidP="00B06D6E">
            <w:pPr>
              <w:jc w:val="right"/>
              <w:rPr>
                <w:rFonts w:ascii="Arial Narrow" w:hAnsi="Arial Narrow"/>
                <w:sz w:val="20"/>
                <w:szCs w:val="20"/>
                <w:lang w:val="bg-BG" w:eastAsia="bg-BG"/>
              </w:rPr>
            </w:pPr>
            <w:r w:rsidRPr="00B06D6E">
              <w:rPr>
                <w:rFonts w:ascii="Arial Narrow" w:hAnsi="Arial Narrow"/>
                <w:sz w:val="20"/>
                <w:szCs w:val="20"/>
                <w:lang w:val="bg-BG" w:eastAsia="bg-BG"/>
              </w:rPr>
              <w:t>6 016 063</w:t>
            </w:r>
          </w:p>
        </w:tc>
        <w:tc>
          <w:tcPr>
            <w:tcW w:w="811" w:type="pct"/>
            <w:tcBorders>
              <w:top w:val="single" w:sz="4" w:space="0" w:color="auto"/>
              <w:left w:val="single" w:sz="4" w:space="0" w:color="auto"/>
              <w:bottom w:val="single" w:sz="4" w:space="0" w:color="auto"/>
              <w:right w:val="single" w:sz="4" w:space="0" w:color="auto"/>
            </w:tcBorders>
            <w:noWrap/>
            <w:vAlign w:val="center"/>
            <w:hideMark/>
          </w:tcPr>
          <w:p w14:paraId="1CD1A3F8" w14:textId="77777777" w:rsidR="00B06D6E" w:rsidRPr="00B06D6E" w:rsidRDefault="00B06D6E" w:rsidP="00B06D6E">
            <w:pPr>
              <w:jc w:val="right"/>
              <w:rPr>
                <w:rFonts w:ascii="Arial Narrow" w:hAnsi="Arial Narrow"/>
                <w:sz w:val="20"/>
                <w:szCs w:val="20"/>
                <w:lang w:val="bg-BG" w:eastAsia="bg-BG"/>
              </w:rPr>
            </w:pPr>
            <w:r w:rsidRPr="00B06D6E">
              <w:rPr>
                <w:rFonts w:ascii="Arial Narrow" w:hAnsi="Arial Narrow"/>
                <w:sz w:val="20"/>
                <w:szCs w:val="20"/>
                <w:lang w:val="bg-BG" w:eastAsia="bg-BG"/>
              </w:rPr>
              <w:t>11</w:t>
            </w:r>
          </w:p>
        </w:tc>
        <w:tc>
          <w:tcPr>
            <w:tcW w:w="981" w:type="pct"/>
            <w:tcBorders>
              <w:top w:val="single" w:sz="4" w:space="0" w:color="auto"/>
              <w:left w:val="single" w:sz="4" w:space="0" w:color="auto"/>
              <w:bottom w:val="single" w:sz="4" w:space="0" w:color="auto"/>
              <w:right w:val="single" w:sz="4" w:space="0" w:color="auto"/>
            </w:tcBorders>
            <w:noWrap/>
            <w:vAlign w:val="center"/>
            <w:hideMark/>
          </w:tcPr>
          <w:p w14:paraId="318C2342" w14:textId="77777777" w:rsidR="00B06D6E" w:rsidRPr="00B06D6E" w:rsidRDefault="00B06D6E" w:rsidP="00B06D6E">
            <w:pPr>
              <w:jc w:val="right"/>
              <w:rPr>
                <w:rFonts w:ascii="Arial Narrow" w:hAnsi="Arial Narrow"/>
                <w:sz w:val="20"/>
                <w:szCs w:val="20"/>
                <w:lang w:val="bg-BG" w:eastAsia="bg-BG"/>
              </w:rPr>
            </w:pPr>
            <w:r w:rsidRPr="00B06D6E">
              <w:rPr>
                <w:rFonts w:ascii="Arial Narrow" w:hAnsi="Arial Narrow"/>
                <w:sz w:val="20"/>
                <w:szCs w:val="20"/>
                <w:lang w:val="bg-BG" w:eastAsia="bg-BG"/>
              </w:rPr>
              <w:t>3 694 201</w:t>
            </w:r>
          </w:p>
        </w:tc>
      </w:tr>
      <w:tr w:rsidR="00B06D6E" w:rsidRPr="00B06D6E" w14:paraId="47C7504F" w14:textId="77777777" w:rsidTr="00B06D6E">
        <w:trPr>
          <w:trHeight w:val="300"/>
        </w:trPr>
        <w:tc>
          <w:tcPr>
            <w:tcW w:w="1346" w:type="pct"/>
            <w:tcBorders>
              <w:top w:val="single" w:sz="4" w:space="0" w:color="auto"/>
              <w:left w:val="single" w:sz="4" w:space="0" w:color="auto"/>
              <w:bottom w:val="single" w:sz="4" w:space="0" w:color="auto"/>
              <w:right w:val="single" w:sz="4" w:space="0" w:color="auto"/>
            </w:tcBorders>
            <w:noWrap/>
            <w:vAlign w:val="center"/>
          </w:tcPr>
          <w:p w14:paraId="48D79014" w14:textId="77777777" w:rsidR="00B06D6E" w:rsidRPr="00B06D6E" w:rsidRDefault="00B06D6E" w:rsidP="00B06D6E">
            <w:pPr>
              <w:rPr>
                <w:rFonts w:ascii="Arial Narrow" w:hAnsi="Arial Narrow"/>
                <w:b/>
                <w:sz w:val="20"/>
                <w:szCs w:val="20"/>
                <w:lang w:val="bg-BG" w:eastAsia="bg-BG"/>
              </w:rPr>
            </w:pPr>
            <w:r w:rsidRPr="00B06D6E">
              <w:rPr>
                <w:rFonts w:ascii="Arial Narrow" w:hAnsi="Arial Narrow"/>
                <w:b/>
                <w:sz w:val="20"/>
                <w:szCs w:val="20"/>
                <w:lang w:val="bg-BG" w:eastAsia="bg-BG"/>
              </w:rPr>
              <w:t>ОБЩО</w:t>
            </w:r>
          </w:p>
        </w:tc>
        <w:tc>
          <w:tcPr>
            <w:tcW w:w="947" w:type="pct"/>
            <w:tcBorders>
              <w:top w:val="single" w:sz="4" w:space="0" w:color="auto"/>
              <w:left w:val="single" w:sz="4" w:space="0" w:color="auto"/>
              <w:bottom w:val="single" w:sz="4" w:space="0" w:color="auto"/>
              <w:right w:val="single" w:sz="4" w:space="0" w:color="auto"/>
            </w:tcBorders>
            <w:noWrap/>
            <w:vAlign w:val="center"/>
          </w:tcPr>
          <w:p w14:paraId="10BF1A32" w14:textId="77777777" w:rsidR="00B06D6E" w:rsidRPr="00B06D6E" w:rsidRDefault="00B06D6E" w:rsidP="00B06D6E">
            <w:pPr>
              <w:jc w:val="right"/>
              <w:rPr>
                <w:rFonts w:ascii="Arial Narrow" w:hAnsi="Arial Narrow"/>
                <w:b/>
                <w:sz w:val="20"/>
                <w:szCs w:val="20"/>
                <w:lang w:val="bg-BG" w:eastAsia="bg-BG"/>
              </w:rPr>
            </w:pPr>
            <w:r w:rsidRPr="00B06D6E">
              <w:rPr>
                <w:rFonts w:ascii="Arial Narrow" w:hAnsi="Arial Narrow"/>
                <w:b/>
                <w:sz w:val="20"/>
                <w:szCs w:val="20"/>
                <w:lang w:val="bg-BG" w:eastAsia="bg-BG"/>
              </w:rPr>
              <w:t>90</w:t>
            </w:r>
          </w:p>
        </w:tc>
        <w:tc>
          <w:tcPr>
            <w:tcW w:w="915" w:type="pct"/>
            <w:tcBorders>
              <w:top w:val="single" w:sz="4" w:space="0" w:color="auto"/>
              <w:left w:val="single" w:sz="4" w:space="0" w:color="auto"/>
              <w:bottom w:val="single" w:sz="4" w:space="0" w:color="auto"/>
              <w:right w:val="single" w:sz="4" w:space="0" w:color="auto"/>
            </w:tcBorders>
            <w:noWrap/>
            <w:vAlign w:val="center"/>
          </w:tcPr>
          <w:p w14:paraId="0E5CBC38" w14:textId="77777777" w:rsidR="00B06D6E" w:rsidRPr="00B06D6E" w:rsidRDefault="00B06D6E" w:rsidP="00B06D6E">
            <w:pPr>
              <w:jc w:val="right"/>
              <w:rPr>
                <w:rFonts w:ascii="Arial Narrow" w:hAnsi="Arial Narrow"/>
                <w:b/>
                <w:sz w:val="20"/>
                <w:szCs w:val="20"/>
                <w:lang w:val="bg-BG" w:eastAsia="bg-BG"/>
              </w:rPr>
            </w:pPr>
            <w:r w:rsidRPr="00B06D6E">
              <w:rPr>
                <w:rFonts w:ascii="Arial Narrow" w:hAnsi="Arial Narrow"/>
                <w:b/>
                <w:sz w:val="20"/>
                <w:szCs w:val="20"/>
                <w:lang w:val="bg-BG" w:eastAsia="bg-BG"/>
              </w:rPr>
              <w:t>30 351 205</w:t>
            </w:r>
          </w:p>
        </w:tc>
        <w:tc>
          <w:tcPr>
            <w:tcW w:w="811" w:type="pct"/>
            <w:tcBorders>
              <w:top w:val="single" w:sz="4" w:space="0" w:color="auto"/>
              <w:left w:val="single" w:sz="4" w:space="0" w:color="auto"/>
              <w:bottom w:val="single" w:sz="4" w:space="0" w:color="auto"/>
              <w:right w:val="single" w:sz="4" w:space="0" w:color="auto"/>
            </w:tcBorders>
            <w:noWrap/>
            <w:vAlign w:val="center"/>
          </w:tcPr>
          <w:p w14:paraId="16AD71D5" w14:textId="77777777" w:rsidR="00B06D6E" w:rsidRPr="00B06D6E" w:rsidRDefault="00B06D6E" w:rsidP="00B06D6E">
            <w:pPr>
              <w:jc w:val="right"/>
              <w:rPr>
                <w:rFonts w:ascii="Arial Narrow" w:hAnsi="Arial Narrow"/>
                <w:b/>
                <w:sz w:val="20"/>
                <w:szCs w:val="20"/>
                <w:lang w:val="bg-BG" w:eastAsia="bg-BG"/>
              </w:rPr>
            </w:pPr>
            <w:r w:rsidRPr="00B06D6E">
              <w:rPr>
                <w:rFonts w:ascii="Arial Narrow" w:hAnsi="Arial Narrow"/>
                <w:b/>
                <w:sz w:val="20"/>
                <w:szCs w:val="20"/>
                <w:lang w:val="bg-BG" w:eastAsia="bg-BG"/>
              </w:rPr>
              <w:t>74</w:t>
            </w:r>
          </w:p>
        </w:tc>
        <w:tc>
          <w:tcPr>
            <w:tcW w:w="981" w:type="pct"/>
            <w:tcBorders>
              <w:top w:val="single" w:sz="4" w:space="0" w:color="auto"/>
              <w:left w:val="single" w:sz="4" w:space="0" w:color="auto"/>
              <w:bottom w:val="single" w:sz="4" w:space="0" w:color="auto"/>
              <w:right w:val="single" w:sz="4" w:space="0" w:color="auto"/>
            </w:tcBorders>
            <w:noWrap/>
            <w:vAlign w:val="center"/>
          </w:tcPr>
          <w:p w14:paraId="16F4C8C8" w14:textId="77777777" w:rsidR="00B06D6E" w:rsidRPr="00B06D6E" w:rsidRDefault="00B06D6E" w:rsidP="00B06D6E">
            <w:pPr>
              <w:jc w:val="right"/>
              <w:rPr>
                <w:rFonts w:ascii="Arial Narrow" w:hAnsi="Arial Narrow"/>
                <w:b/>
                <w:sz w:val="20"/>
                <w:szCs w:val="20"/>
                <w:lang w:val="bg-BG" w:eastAsia="bg-BG"/>
              </w:rPr>
            </w:pPr>
            <w:r w:rsidRPr="00B06D6E">
              <w:rPr>
                <w:rFonts w:ascii="Arial Narrow" w:hAnsi="Arial Narrow"/>
                <w:b/>
                <w:sz w:val="20"/>
                <w:szCs w:val="20"/>
                <w:lang w:val="bg-BG" w:eastAsia="bg-BG"/>
              </w:rPr>
              <w:t>21 376 009</w:t>
            </w:r>
          </w:p>
        </w:tc>
      </w:tr>
    </w:tbl>
    <w:p w14:paraId="4460D49E" w14:textId="77777777" w:rsidR="00B06D6E" w:rsidRPr="00725099" w:rsidRDefault="00B06D6E" w:rsidP="00B06D6E">
      <w:pPr>
        <w:spacing w:after="240"/>
        <w:rPr>
          <w:rFonts w:ascii="Arial Narrow" w:hAnsi="Arial Narrow"/>
          <w:sz w:val="18"/>
          <w:lang w:val="bg-BG" w:eastAsia="bg-BG"/>
        </w:rPr>
      </w:pPr>
      <w:r w:rsidRPr="00725099">
        <w:rPr>
          <w:rFonts w:ascii="Arial Narrow" w:hAnsi="Arial Narrow"/>
          <w:i/>
          <w:sz w:val="18"/>
          <w:lang w:val="bg-BG" w:eastAsia="bg-BG"/>
        </w:rPr>
        <w:t xml:space="preserve">Източник: </w:t>
      </w:r>
      <w:r w:rsidRPr="00725099">
        <w:rPr>
          <w:rFonts w:ascii="Arial Narrow" w:hAnsi="Arial Narrow"/>
          <w:sz w:val="18"/>
          <w:lang w:val="bg-BG" w:eastAsia="bg-BG"/>
        </w:rPr>
        <w:t>ДФЗ-РА</w:t>
      </w:r>
    </w:p>
    <w:p w14:paraId="51C99D25" w14:textId="77777777" w:rsidR="006A0AEE" w:rsidRDefault="006A0AEE" w:rsidP="00B06D6E">
      <w:pPr>
        <w:spacing w:after="120"/>
        <w:ind w:firstLine="720"/>
        <w:jc w:val="both"/>
        <w:rPr>
          <w:rFonts w:ascii="Arial Narrow" w:hAnsi="Arial Narrow"/>
          <w:b/>
          <w:i/>
          <w:lang w:val="bg-BG" w:eastAsia="bg-BG"/>
        </w:rPr>
      </w:pPr>
    </w:p>
    <w:p w14:paraId="3E9E75EC" w14:textId="77777777" w:rsidR="00B06D6E" w:rsidRPr="00B06D6E" w:rsidRDefault="00B06D6E" w:rsidP="00B06D6E">
      <w:pPr>
        <w:spacing w:after="120"/>
        <w:ind w:firstLine="720"/>
        <w:jc w:val="both"/>
        <w:rPr>
          <w:rFonts w:ascii="Arial Narrow" w:hAnsi="Arial Narrow"/>
          <w:b/>
          <w:i/>
          <w:lang w:val="bg-BG" w:eastAsia="bg-BG"/>
        </w:rPr>
      </w:pPr>
      <w:r w:rsidRPr="00B06D6E">
        <w:rPr>
          <w:rFonts w:ascii="Arial Narrow" w:hAnsi="Arial Narrow"/>
          <w:b/>
          <w:i/>
          <w:lang w:val="bg-BG" w:eastAsia="bg-BG"/>
        </w:rPr>
        <w:t>Интервенция „Инвестиции в лозаро-винарския сектор“</w:t>
      </w:r>
    </w:p>
    <w:p w14:paraId="601EC4A3" w14:textId="77777777" w:rsidR="00B06D6E" w:rsidRPr="00B06D6E" w:rsidRDefault="00B06D6E" w:rsidP="00B06D6E">
      <w:pPr>
        <w:spacing w:after="120"/>
        <w:ind w:firstLine="720"/>
        <w:jc w:val="both"/>
        <w:rPr>
          <w:rFonts w:ascii="Arial Narrow" w:hAnsi="Arial Narrow"/>
          <w:lang w:val="bg-BG" w:eastAsia="bg-BG"/>
        </w:rPr>
      </w:pPr>
      <w:r w:rsidRPr="00B06D6E">
        <w:rPr>
          <w:rFonts w:ascii="Arial Narrow" w:hAnsi="Arial Narrow"/>
          <w:lang w:val="bg-BG" w:eastAsia="bg-BG"/>
        </w:rPr>
        <w:t xml:space="preserve">Целта на интервенция „Инвестиции в лозаро-винарския сектор“ е подобряване на общите резултати на винарските предприятия, повишаване на тяхната конкурентоспособност и адаптирането им към изискванията на пазара. За постигането на тази цел се предвижда изпълнение на дейности, насочени към инвестиции за подобряване на материални и нематериални активи – съоръжения за преработка и/или инфраструктура на предприятията в лозаро-винарския сектор, както и на структурите и средствата за предлагане на пазара. Осъществяваните инвестиции следва да допринесат и за повишаване на устойчивостта на процесите във винопроизводството. </w:t>
      </w:r>
    </w:p>
    <w:p w14:paraId="176A7C41" w14:textId="77777777" w:rsidR="00B06D6E" w:rsidRPr="00B06D6E" w:rsidRDefault="00B06D6E" w:rsidP="00B06D6E">
      <w:pPr>
        <w:spacing w:after="120"/>
        <w:ind w:firstLine="720"/>
        <w:jc w:val="both"/>
        <w:rPr>
          <w:rFonts w:ascii="Arial Narrow" w:hAnsi="Arial Narrow"/>
          <w:lang w:val="bg-BG" w:eastAsia="bg-BG"/>
        </w:rPr>
      </w:pPr>
      <w:r w:rsidRPr="00B06D6E">
        <w:rPr>
          <w:rFonts w:ascii="Arial Narrow" w:hAnsi="Arial Narrow"/>
          <w:lang w:val="bg-BG" w:eastAsia="bg-BG"/>
        </w:rPr>
        <w:lastRenderedPageBreak/>
        <w:t xml:space="preserve">Интервенцията се финансира изцяло от ЕФГЗ, като подпомагането е в размер до 50% от извършените и одобрени разходи. </w:t>
      </w:r>
    </w:p>
    <w:p w14:paraId="6B2D97B0" w14:textId="77777777" w:rsidR="00B06D6E" w:rsidRPr="00B06D6E" w:rsidRDefault="00B06D6E" w:rsidP="00B06D6E">
      <w:pPr>
        <w:spacing w:after="120"/>
        <w:jc w:val="both"/>
        <w:rPr>
          <w:rFonts w:ascii="Arial Narrow" w:hAnsi="Arial Narrow"/>
          <w:lang w:val="bg-BG" w:eastAsia="bg-BG"/>
        </w:rPr>
      </w:pPr>
      <w:r w:rsidRPr="00B06D6E">
        <w:rPr>
          <w:rFonts w:ascii="Arial Narrow" w:hAnsi="Arial Narrow"/>
          <w:b/>
          <w:szCs w:val="20"/>
          <w:lang w:val="bg-BG" w:eastAsia="bg-BG"/>
        </w:rPr>
        <w:t xml:space="preserve">Таблица </w:t>
      </w:r>
      <w:r w:rsidR="00CA4006" w:rsidRPr="001B6ED3">
        <w:rPr>
          <w:rFonts w:ascii="Arial Narrow" w:hAnsi="Arial Narrow" w:cs="Arial Narrow"/>
          <w:b/>
          <w:bCs/>
          <w:lang w:val="bg-BG"/>
        </w:rPr>
        <w:t>ІV</w:t>
      </w:r>
      <w:r w:rsidR="00CA4006">
        <w:rPr>
          <w:rFonts w:ascii="Arial Narrow" w:hAnsi="Arial Narrow" w:cs="Arial Narrow"/>
          <w:b/>
          <w:bCs/>
          <w:lang w:val="bg-BG"/>
        </w:rPr>
        <w:t>.</w:t>
      </w:r>
      <w:r w:rsidR="00712B4B">
        <w:rPr>
          <w:rFonts w:ascii="Arial Narrow" w:hAnsi="Arial Narrow" w:cs="Arial Narrow"/>
          <w:b/>
          <w:bCs/>
          <w:lang w:val="bg-BG"/>
        </w:rPr>
        <w:t>10</w:t>
      </w:r>
      <w:r w:rsidR="00CA4006">
        <w:rPr>
          <w:rFonts w:ascii="Arial Narrow" w:hAnsi="Arial Narrow" w:cs="Arial Narrow"/>
          <w:b/>
          <w:bCs/>
          <w:lang w:val="bg-BG"/>
        </w:rPr>
        <w:t>.</w:t>
      </w:r>
      <w:r w:rsidRPr="00B06D6E">
        <w:rPr>
          <w:rFonts w:ascii="Arial Narrow" w:hAnsi="Arial Narrow" w:cs="Arial Narrow"/>
          <w:b/>
          <w:bCs/>
          <w:lang w:val="bg-BG" w:eastAsia="bg-BG"/>
        </w:rPr>
        <w:t xml:space="preserve"> Данни за прилагане на интервенция „</w:t>
      </w:r>
      <w:r w:rsidRPr="00B06D6E">
        <w:rPr>
          <w:rFonts w:ascii="Arial Narrow" w:hAnsi="Arial Narrow"/>
          <w:b/>
          <w:lang w:val="bg-BG" w:eastAsia="bg-BG"/>
        </w:rPr>
        <w:t xml:space="preserve">Инвестиции в лозаро-винарския сектор“ </w:t>
      </w:r>
      <w:r w:rsidRPr="00B06D6E">
        <w:rPr>
          <w:rFonts w:ascii="Arial Narrow" w:hAnsi="Arial Narrow" w:cs="Arial Narrow"/>
          <w:b/>
          <w:bCs/>
          <w:lang w:val="bg-BG" w:eastAsia="bg-BG"/>
        </w:rPr>
        <w:t>за финансовата 2024 г.</w:t>
      </w:r>
    </w:p>
    <w:tbl>
      <w:tblPr>
        <w:tblStyle w:val="TableGrid83"/>
        <w:tblW w:w="9831" w:type="dxa"/>
        <w:tblInd w:w="108" w:type="dxa"/>
        <w:tblLook w:val="04A0" w:firstRow="1" w:lastRow="0" w:firstColumn="1" w:lastColumn="0" w:noHBand="0" w:noVBand="1"/>
      </w:tblPr>
      <w:tblGrid>
        <w:gridCol w:w="2667"/>
        <w:gridCol w:w="1968"/>
        <w:gridCol w:w="1686"/>
        <w:gridCol w:w="1755"/>
        <w:gridCol w:w="1755"/>
      </w:tblGrid>
      <w:tr w:rsidR="00B06D6E" w:rsidRPr="00B06D6E" w14:paraId="47A18B30" w14:textId="77777777" w:rsidTr="00B06D6E">
        <w:trPr>
          <w:trHeight w:val="1035"/>
          <w:tblHeader/>
        </w:trPr>
        <w:tc>
          <w:tcPr>
            <w:tcW w:w="2667" w:type="dxa"/>
            <w:tcBorders>
              <w:top w:val="single" w:sz="4" w:space="0" w:color="auto"/>
              <w:left w:val="single" w:sz="4" w:space="0" w:color="auto"/>
              <w:bottom w:val="single" w:sz="4" w:space="0" w:color="auto"/>
              <w:right w:val="single" w:sz="4" w:space="0" w:color="auto"/>
            </w:tcBorders>
            <w:vAlign w:val="center"/>
          </w:tcPr>
          <w:p w14:paraId="4F211F1E" w14:textId="77777777" w:rsidR="00B06D6E" w:rsidRPr="00B06D6E" w:rsidRDefault="00B06D6E" w:rsidP="00B06D6E">
            <w:pPr>
              <w:spacing w:after="120"/>
              <w:jc w:val="center"/>
              <w:rPr>
                <w:rFonts w:ascii="Arial Narrow" w:hAnsi="Arial Narrow"/>
                <w:b/>
                <w:sz w:val="20"/>
                <w:szCs w:val="20"/>
                <w:lang w:val="bg-BG" w:eastAsia="bg-BG"/>
              </w:rPr>
            </w:pPr>
            <w:r w:rsidRPr="00B06D6E">
              <w:rPr>
                <w:rFonts w:ascii="Arial Narrow" w:hAnsi="Arial Narrow"/>
                <w:b/>
                <w:sz w:val="20"/>
                <w:szCs w:val="20"/>
                <w:lang w:val="bg-BG" w:eastAsia="bg-BG"/>
              </w:rPr>
              <w:t>Прием</w:t>
            </w:r>
          </w:p>
        </w:tc>
        <w:tc>
          <w:tcPr>
            <w:tcW w:w="1968" w:type="dxa"/>
            <w:tcBorders>
              <w:top w:val="single" w:sz="4" w:space="0" w:color="auto"/>
              <w:left w:val="single" w:sz="4" w:space="0" w:color="auto"/>
              <w:bottom w:val="single" w:sz="4" w:space="0" w:color="auto"/>
              <w:right w:val="single" w:sz="4" w:space="0" w:color="auto"/>
            </w:tcBorders>
            <w:vAlign w:val="center"/>
          </w:tcPr>
          <w:p w14:paraId="44B39631" w14:textId="77777777" w:rsidR="00B06D6E" w:rsidRPr="00B06D6E" w:rsidRDefault="00B06D6E" w:rsidP="00B06D6E">
            <w:pPr>
              <w:jc w:val="center"/>
              <w:rPr>
                <w:rFonts w:ascii="Arial Narrow" w:hAnsi="Arial Narrow"/>
                <w:b/>
                <w:sz w:val="20"/>
                <w:szCs w:val="20"/>
                <w:lang w:val="bg-BG" w:eastAsia="bg-BG"/>
              </w:rPr>
            </w:pPr>
            <w:r w:rsidRPr="00B06D6E">
              <w:rPr>
                <w:rFonts w:ascii="Arial Narrow" w:hAnsi="Arial Narrow"/>
                <w:b/>
                <w:sz w:val="20"/>
                <w:szCs w:val="20"/>
                <w:lang w:val="bg-BG" w:eastAsia="bg-BG"/>
              </w:rPr>
              <w:t>Брой подадени заявления за финансово подпомагане</w:t>
            </w:r>
          </w:p>
        </w:tc>
        <w:tc>
          <w:tcPr>
            <w:tcW w:w="1686" w:type="dxa"/>
            <w:tcBorders>
              <w:top w:val="single" w:sz="4" w:space="0" w:color="auto"/>
              <w:left w:val="single" w:sz="4" w:space="0" w:color="auto"/>
              <w:bottom w:val="single" w:sz="4" w:space="0" w:color="auto"/>
              <w:right w:val="single" w:sz="4" w:space="0" w:color="auto"/>
            </w:tcBorders>
            <w:vAlign w:val="center"/>
          </w:tcPr>
          <w:p w14:paraId="3895BCE7" w14:textId="77777777" w:rsidR="00B06D6E" w:rsidRPr="00B06D6E" w:rsidRDefault="00B06D6E" w:rsidP="00B06D6E">
            <w:pPr>
              <w:jc w:val="center"/>
              <w:rPr>
                <w:rFonts w:ascii="Arial Narrow" w:hAnsi="Arial Narrow"/>
                <w:b/>
                <w:sz w:val="20"/>
                <w:szCs w:val="20"/>
                <w:lang w:val="bg-BG" w:eastAsia="bg-BG"/>
              </w:rPr>
            </w:pPr>
            <w:r w:rsidRPr="00B06D6E">
              <w:rPr>
                <w:rFonts w:ascii="Arial Narrow" w:hAnsi="Arial Narrow"/>
                <w:b/>
                <w:sz w:val="20"/>
                <w:szCs w:val="20"/>
                <w:lang w:val="bg-BG" w:eastAsia="bg-BG"/>
              </w:rPr>
              <w:t>Заявена</w:t>
            </w:r>
          </w:p>
          <w:p w14:paraId="637CC15C" w14:textId="77777777" w:rsidR="00B06D6E" w:rsidRPr="00B06D6E" w:rsidRDefault="00B06D6E" w:rsidP="00B06D6E">
            <w:pPr>
              <w:jc w:val="center"/>
              <w:rPr>
                <w:rFonts w:ascii="Arial Narrow" w:hAnsi="Arial Narrow"/>
                <w:b/>
                <w:sz w:val="20"/>
                <w:szCs w:val="20"/>
                <w:lang w:val="bg-BG" w:eastAsia="bg-BG"/>
              </w:rPr>
            </w:pPr>
            <w:r w:rsidRPr="00B06D6E">
              <w:rPr>
                <w:rFonts w:ascii="Arial Narrow" w:hAnsi="Arial Narrow"/>
                <w:b/>
                <w:sz w:val="20"/>
                <w:szCs w:val="20"/>
                <w:lang w:val="bg-BG" w:eastAsia="bg-BG"/>
              </w:rPr>
              <w:t>финансова</w:t>
            </w:r>
          </w:p>
          <w:p w14:paraId="4412BF49" w14:textId="77777777" w:rsidR="00B06D6E" w:rsidRPr="00B06D6E" w:rsidRDefault="00B06D6E" w:rsidP="00B06D6E">
            <w:pPr>
              <w:jc w:val="center"/>
              <w:rPr>
                <w:rFonts w:ascii="Arial Narrow" w:hAnsi="Arial Narrow"/>
                <w:b/>
                <w:sz w:val="20"/>
                <w:szCs w:val="20"/>
                <w:lang w:val="bg-BG" w:eastAsia="bg-BG"/>
              </w:rPr>
            </w:pPr>
            <w:r w:rsidRPr="00B06D6E">
              <w:rPr>
                <w:rFonts w:ascii="Arial Narrow" w:hAnsi="Arial Narrow"/>
                <w:b/>
                <w:sz w:val="20"/>
                <w:szCs w:val="20"/>
                <w:lang w:val="bg-BG" w:eastAsia="bg-BG"/>
              </w:rPr>
              <w:t>помощ</w:t>
            </w:r>
          </w:p>
          <w:p w14:paraId="1E413DB2" w14:textId="77777777" w:rsidR="00B06D6E" w:rsidRPr="00B06D6E" w:rsidRDefault="00B06D6E" w:rsidP="00B06D6E">
            <w:pPr>
              <w:jc w:val="center"/>
              <w:rPr>
                <w:rFonts w:ascii="Arial Narrow" w:hAnsi="Arial Narrow"/>
                <w:b/>
                <w:sz w:val="20"/>
                <w:szCs w:val="20"/>
                <w:lang w:val="bg-BG" w:eastAsia="bg-BG"/>
              </w:rPr>
            </w:pPr>
            <w:r w:rsidRPr="00B06D6E">
              <w:rPr>
                <w:rFonts w:ascii="Arial Narrow" w:hAnsi="Arial Narrow"/>
                <w:b/>
                <w:sz w:val="20"/>
                <w:szCs w:val="20"/>
                <w:lang w:val="bg-BG" w:eastAsia="bg-BG"/>
              </w:rPr>
              <w:t xml:space="preserve"> (лева)</w:t>
            </w:r>
          </w:p>
        </w:tc>
        <w:tc>
          <w:tcPr>
            <w:tcW w:w="1755" w:type="dxa"/>
            <w:tcBorders>
              <w:top w:val="single" w:sz="4" w:space="0" w:color="auto"/>
              <w:left w:val="single" w:sz="4" w:space="0" w:color="auto"/>
              <w:bottom w:val="single" w:sz="4" w:space="0" w:color="auto"/>
              <w:right w:val="single" w:sz="4" w:space="0" w:color="auto"/>
            </w:tcBorders>
            <w:vAlign w:val="center"/>
          </w:tcPr>
          <w:p w14:paraId="47E897E7" w14:textId="77777777" w:rsidR="00B06D6E" w:rsidRPr="00B06D6E" w:rsidRDefault="00B06D6E" w:rsidP="00B06D6E">
            <w:pPr>
              <w:jc w:val="center"/>
              <w:rPr>
                <w:rFonts w:ascii="Arial Narrow" w:hAnsi="Arial Narrow"/>
                <w:b/>
                <w:sz w:val="20"/>
                <w:szCs w:val="20"/>
                <w:lang w:val="bg-BG" w:eastAsia="bg-BG"/>
              </w:rPr>
            </w:pPr>
            <w:r w:rsidRPr="00B06D6E">
              <w:rPr>
                <w:rFonts w:ascii="Arial Narrow" w:hAnsi="Arial Narrow"/>
                <w:b/>
                <w:sz w:val="20"/>
                <w:szCs w:val="20"/>
                <w:lang w:val="bg-BG" w:eastAsia="bg-BG"/>
              </w:rPr>
              <w:t>Брой сключени</w:t>
            </w:r>
          </w:p>
          <w:p w14:paraId="41184246" w14:textId="77777777" w:rsidR="00B06D6E" w:rsidRPr="00B06D6E" w:rsidRDefault="00B06D6E" w:rsidP="00B06D6E">
            <w:pPr>
              <w:jc w:val="center"/>
              <w:rPr>
                <w:rFonts w:ascii="Arial Narrow" w:hAnsi="Arial Narrow"/>
                <w:b/>
                <w:sz w:val="20"/>
                <w:szCs w:val="20"/>
                <w:lang w:val="bg-BG" w:eastAsia="bg-BG"/>
              </w:rPr>
            </w:pPr>
            <w:r w:rsidRPr="00B06D6E">
              <w:rPr>
                <w:rFonts w:ascii="Arial Narrow" w:hAnsi="Arial Narrow"/>
                <w:b/>
                <w:sz w:val="20"/>
                <w:szCs w:val="20"/>
                <w:lang w:val="bg-BG" w:eastAsia="bg-BG"/>
              </w:rPr>
              <w:t>договори</w:t>
            </w:r>
          </w:p>
        </w:tc>
        <w:tc>
          <w:tcPr>
            <w:tcW w:w="1755" w:type="dxa"/>
            <w:tcBorders>
              <w:top w:val="single" w:sz="4" w:space="0" w:color="auto"/>
              <w:left w:val="single" w:sz="4" w:space="0" w:color="auto"/>
              <w:bottom w:val="single" w:sz="4" w:space="0" w:color="auto"/>
              <w:right w:val="single" w:sz="4" w:space="0" w:color="auto"/>
            </w:tcBorders>
            <w:vAlign w:val="center"/>
          </w:tcPr>
          <w:p w14:paraId="5AB34A99" w14:textId="77777777" w:rsidR="00B06D6E" w:rsidRPr="00B06D6E" w:rsidRDefault="00B06D6E" w:rsidP="00B06D6E">
            <w:pPr>
              <w:jc w:val="center"/>
              <w:rPr>
                <w:rFonts w:ascii="Arial Narrow" w:hAnsi="Arial Narrow"/>
                <w:b/>
                <w:sz w:val="20"/>
                <w:szCs w:val="20"/>
                <w:lang w:val="bg-BG" w:eastAsia="bg-BG"/>
              </w:rPr>
            </w:pPr>
            <w:r w:rsidRPr="00B06D6E">
              <w:rPr>
                <w:rFonts w:ascii="Arial Narrow" w:hAnsi="Arial Narrow"/>
                <w:b/>
                <w:sz w:val="20"/>
                <w:szCs w:val="20"/>
                <w:lang w:val="bg-BG" w:eastAsia="bg-BG"/>
              </w:rPr>
              <w:t>Одобрена</w:t>
            </w:r>
          </w:p>
          <w:p w14:paraId="2B41C140" w14:textId="77777777" w:rsidR="00B06D6E" w:rsidRPr="00B06D6E" w:rsidRDefault="00B06D6E" w:rsidP="00B06D6E">
            <w:pPr>
              <w:jc w:val="center"/>
              <w:rPr>
                <w:rFonts w:ascii="Arial Narrow" w:hAnsi="Arial Narrow"/>
                <w:b/>
                <w:sz w:val="20"/>
                <w:szCs w:val="20"/>
                <w:lang w:val="bg-BG" w:eastAsia="bg-BG"/>
              </w:rPr>
            </w:pPr>
            <w:r w:rsidRPr="00B06D6E">
              <w:rPr>
                <w:rFonts w:ascii="Arial Narrow" w:hAnsi="Arial Narrow"/>
                <w:b/>
                <w:sz w:val="20"/>
                <w:szCs w:val="20"/>
                <w:lang w:val="bg-BG" w:eastAsia="bg-BG"/>
              </w:rPr>
              <w:t>финансова</w:t>
            </w:r>
          </w:p>
          <w:p w14:paraId="149F7CC9" w14:textId="77777777" w:rsidR="00B06D6E" w:rsidRPr="00B06D6E" w:rsidRDefault="00B06D6E" w:rsidP="00B06D6E">
            <w:pPr>
              <w:jc w:val="center"/>
              <w:rPr>
                <w:rFonts w:ascii="Arial Narrow" w:hAnsi="Arial Narrow"/>
                <w:b/>
                <w:sz w:val="20"/>
                <w:szCs w:val="20"/>
                <w:lang w:val="bg-BG" w:eastAsia="bg-BG"/>
              </w:rPr>
            </w:pPr>
            <w:r w:rsidRPr="00B06D6E">
              <w:rPr>
                <w:rFonts w:ascii="Arial Narrow" w:hAnsi="Arial Narrow"/>
                <w:b/>
                <w:sz w:val="20"/>
                <w:szCs w:val="20"/>
                <w:lang w:val="bg-BG" w:eastAsia="bg-BG"/>
              </w:rPr>
              <w:t xml:space="preserve">помощ </w:t>
            </w:r>
          </w:p>
          <w:p w14:paraId="4582D7E7" w14:textId="77777777" w:rsidR="00B06D6E" w:rsidRPr="00B06D6E" w:rsidRDefault="00B06D6E" w:rsidP="00B06D6E">
            <w:pPr>
              <w:jc w:val="center"/>
              <w:rPr>
                <w:rFonts w:ascii="Arial Narrow" w:hAnsi="Arial Narrow"/>
                <w:b/>
                <w:sz w:val="20"/>
                <w:szCs w:val="20"/>
                <w:lang w:val="bg-BG" w:eastAsia="bg-BG"/>
              </w:rPr>
            </w:pPr>
            <w:r w:rsidRPr="00B06D6E">
              <w:rPr>
                <w:rFonts w:ascii="Arial Narrow" w:hAnsi="Arial Narrow"/>
                <w:b/>
                <w:sz w:val="20"/>
                <w:szCs w:val="20"/>
                <w:lang w:val="bg-BG" w:eastAsia="bg-BG"/>
              </w:rPr>
              <w:t>(лева)</w:t>
            </w:r>
          </w:p>
        </w:tc>
      </w:tr>
      <w:tr w:rsidR="00B06D6E" w:rsidRPr="00B06D6E" w14:paraId="39722D97" w14:textId="77777777" w:rsidTr="00B06D6E">
        <w:trPr>
          <w:trHeight w:val="310"/>
        </w:trPr>
        <w:tc>
          <w:tcPr>
            <w:tcW w:w="2667" w:type="dxa"/>
            <w:vAlign w:val="center"/>
          </w:tcPr>
          <w:p w14:paraId="1B659B36" w14:textId="77777777" w:rsidR="00B06D6E" w:rsidRPr="00B06D6E" w:rsidRDefault="00B06D6E" w:rsidP="00B06D6E">
            <w:pPr>
              <w:rPr>
                <w:rFonts w:ascii="Arial Narrow" w:hAnsi="Arial Narrow"/>
                <w:sz w:val="20"/>
                <w:szCs w:val="20"/>
                <w:lang w:val="bg-BG" w:eastAsia="bg-BG"/>
              </w:rPr>
            </w:pPr>
            <w:r w:rsidRPr="00B06D6E">
              <w:rPr>
                <w:rFonts w:ascii="Arial Narrow" w:hAnsi="Arial Narrow"/>
                <w:sz w:val="20"/>
                <w:szCs w:val="20"/>
                <w:lang w:val="bg-BG" w:eastAsia="bg-BG"/>
              </w:rPr>
              <w:t>Първи прием</w:t>
            </w:r>
          </w:p>
        </w:tc>
        <w:tc>
          <w:tcPr>
            <w:tcW w:w="1968" w:type="dxa"/>
            <w:vAlign w:val="center"/>
          </w:tcPr>
          <w:p w14:paraId="24003A3D" w14:textId="77777777" w:rsidR="00B06D6E" w:rsidRPr="00B06D6E" w:rsidRDefault="00B06D6E" w:rsidP="00B06D6E">
            <w:pPr>
              <w:jc w:val="right"/>
              <w:rPr>
                <w:rFonts w:ascii="Arial Narrow" w:hAnsi="Arial Narrow"/>
                <w:sz w:val="20"/>
                <w:szCs w:val="20"/>
                <w:lang w:val="bg-BG" w:eastAsia="bg-BG"/>
              </w:rPr>
            </w:pPr>
            <w:r w:rsidRPr="00B06D6E">
              <w:rPr>
                <w:rFonts w:ascii="Arial Narrow" w:hAnsi="Arial Narrow"/>
                <w:sz w:val="20"/>
                <w:szCs w:val="20"/>
                <w:lang w:val="bg-BG" w:eastAsia="bg-BG"/>
              </w:rPr>
              <w:t>59</w:t>
            </w:r>
          </w:p>
        </w:tc>
        <w:tc>
          <w:tcPr>
            <w:tcW w:w="1686" w:type="dxa"/>
            <w:vAlign w:val="center"/>
          </w:tcPr>
          <w:p w14:paraId="37C704E9" w14:textId="77777777" w:rsidR="00B06D6E" w:rsidRPr="00B06D6E" w:rsidRDefault="00B06D6E" w:rsidP="00B06D6E">
            <w:pPr>
              <w:jc w:val="right"/>
              <w:rPr>
                <w:rFonts w:ascii="Arial Narrow" w:hAnsi="Arial Narrow"/>
                <w:sz w:val="20"/>
                <w:szCs w:val="20"/>
                <w:lang w:val="bg-BG" w:eastAsia="bg-BG"/>
              </w:rPr>
            </w:pPr>
            <w:r w:rsidRPr="00B06D6E">
              <w:rPr>
                <w:rFonts w:ascii="Arial Narrow" w:hAnsi="Arial Narrow"/>
                <w:sz w:val="20"/>
                <w:szCs w:val="20"/>
                <w:lang w:val="bg-BG" w:eastAsia="bg-BG"/>
              </w:rPr>
              <w:t>28 010 515</w:t>
            </w:r>
          </w:p>
        </w:tc>
        <w:tc>
          <w:tcPr>
            <w:tcW w:w="1755" w:type="dxa"/>
            <w:vAlign w:val="center"/>
          </w:tcPr>
          <w:p w14:paraId="691434CF" w14:textId="77777777" w:rsidR="00B06D6E" w:rsidRPr="00B06D6E" w:rsidRDefault="00B06D6E" w:rsidP="00B06D6E">
            <w:pPr>
              <w:jc w:val="right"/>
              <w:rPr>
                <w:rFonts w:ascii="Arial Narrow" w:hAnsi="Arial Narrow"/>
                <w:sz w:val="20"/>
                <w:szCs w:val="20"/>
                <w:lang w:val="bg-BG" w:eastAsia="bg-BG"/>
              </w:rPr>
            </w:pPr>
            <w:r w:rsidRPr="00B06D6E">
              <w:rPr>
                <w:rFonts w:ascii="Arial Narrow" w:hAnsi="Arial Narrow"/>
                <w:sz w:val="20"/>
                <w:szCs w:val="20"/>
                <w:lang w:val="bg-BG" w:eastAsia="bg-BG"/>
              </w:rPr>
              <w:t>50</w:t>
            </w:r>
          </w:p>
        </w:tc>
        <w:tc>
          <w:tcPr>
            <w:tcW w:w="1755" w:type="dxa"/>
            <w:vAlign w:val="center"/>
          </w:tcPr>
          <w:p w14:paraId="473AE50E" w14:textId="77777777" w:rsidR="00B06D6E" w:rsidRPr="00B06D6E" w:rsidRDefault="00B06D6E" w:rsidP="00B06D6E">
            <w:pPr>
              <w:jc w:val="right"/>
              <w:rPr>
                <w:rFonts w:ascii="Arial Narrow" w:hAnsi="Arial Narrow"/>
                <w:sz w:val="20"/>
                <w:szCs w:val="20"/>
                <w:lang w:val="bg-BG" w:eastAsia="bg-BG"/>
              </w:rPr>
            </w:pPr>
            <w:r w:rsidRPr="00B06D6E">
              <w:rPr>
                <w:rFonts w:ascii="Arial Narrow" w:hAnsi="Arial Narrow"/>
                <w:sz w:val="20"/>
                <w:szCs w:val="20"/>
                <w:lang w:val="bg-BG" w:eastAsia="bg-BG"/>
              </w:rPr>
              <w:t>20 179 866</w:t>
            </w:r>
          </w:p>
        </w:tc>
      </w:tr>
      <w:tr w:rsidR="00B06D6E" w:rsidRPr="00B06D6E" w14:paraId="1757A5BA" w14:textId="77777777" w:rsidTr="00B06D6E">
        <w:trPr>
          <w:trHeight w:val="285"/>
        </w:trPr>
        <w:tc>
          <w:tcPr>
            <w:tcW w:w="2667" w:type="dxa"/>
            <w:vAlign w:val="center"/>
          </w:tcPr>
          <w:p w14:paraId="6C4BDC16" w14:textId="77777777" w:rsidR="00B06D6E" w:rsidRPr="00B06D6E" w:rsidRDefault="00B06D6E" w:rsidP="00B06D6E">
            <w:pPr>
              <w:rPr>
                <w:rFonts w:ascii="Arial Narrow" w:hAnsi="Arial Narrow"/>
                <w:sz w:val="20"/>
                <w:szCs w:val="20"/>
                <w:lang w:val="bg-BG" w:eastAsia="bg-BG"/>
              </w:rPr>
            </w:pPr>
            <w:r w:rsidRPr="00B06D6E">
              <w:rPr>
                <w:rFonts w:ascii="Arial Narrow" w:hAnsi="Arial Narrow"/>
                <w:sz w:val="20"/>
                <w:szCs w:val="20"/>
                <w:lang w:val="bg-BG" w:eastAsia="bg-BG"/>
              </w:rPr>
              <w:t>Втори прием</w:t>
            </w:r>
          </w:p>
        </w:tc>
        <w:tc>
          <w:tcPr>
            <w:tcW w:w="1968" w:type="dxa"/>
            <w:vAlign w:val="center"/>
          </w:tcPr>
          <w:p w14:paraId="354716DA" w14:textId="77777777" w:rsidR="00B06D6E" w:rsidRPr="00B06D6E" w:rsidRDefault="00B06D6E" w:rsidP="00B06D6E">
            <w:pPr>
              <w:jc w:val="right"/>
              <w:rPr>
                <w:rFonts w:ascii="Arial Narrow" w:hAnsi="Arial Narrow"/>
                <w:sz w:val="20"/>
                <w:szCs w:val="20"/>
                <w:lang w:val="bg-BG" w:eastAsia="bg-BG"/>
              </w:rPr>
            </w:pPr>
            <w:r w:rsidRPr="00B06D6E">
              <w:rPr>
                <w:rFonts w:ascii="Arial Narrow" w:hAnsi="Arial Narrow"/>
                <w:sz w:val="20"/>
                <w:szCs w:val="20"/>
                <w:lang w:val="bg-BG" w:eastAsia="bg-BG"/>
              </w:rPr>
              <w:t>20</w:t>
            </w:r>
          </w:p>
        </w:tc>
        <w:tc>
          <w:tcPr>
            <w:tcW w:w="1686" w:type="dxa"/>
            <w:vAlign w:val="center"/>
          </w:tcPr>
          <w:p w14:paraId="0344818A" w14:textId="77777777" w:rsidR="00B06D6E" w:rsidRPr="00B06D6E" w:rsidRDefault="00B06D6E" w:rsidP="00B06D6E">
            <w:pPr>
              <w:jc w:val="right"/>
              <w:rPr>
                <w:rFonts w:ascii="Arial Narrow" w:hAnsi="Arial Narrow"/>
                <w:sz w:val="20"/>
                <w:szCs w:val="20"/>
                <w:lang w:val="bg-BG" w:eastAsia="bg-BG"/>
              </w:rPr>
            </w:pPr>
            <w:r w:rsidRPr="00B06D6E">
              <w:rPr>
                <w:rFonts w:ascii="Arial Narrow" w:hAnsi="Arial Narrow"/>
                <w:sz w:val="20"/>
                <w:szCs w:val="20"/>
                <w:lang w:val="bg-BG" w:eastAsia="bg-BG"/>
              </w:rPr>
              <w:t>8 592 987</w:t>
            </w:r>
          </w:p>
        </w:tc>
        <w:tc>
          <w:tcPr>
            <w:tcW w:w="1755" w:type="dxa"/>
            <w:vAlign w:val="center"/>
          </w:tcPr>
          <w:p w14:paraId="762A4486" w14:textId="77777777" w:rsidR="00B06D6E" w:rsidRPr="00B06D6E" w:rsidRDefault="00B06D6E" w:rsidP="00B06D6E">
            <w:pPr>
              <w:jc w:val="right"/>
              <w:rPr>
                <w:rFonts w:ascii="Arial Narrow" w:hAnsi="Arial Narrow"/>
                <w:sz w:val="20"/>
                <w:szCs w:val="20"/>
                <w:lang w:val="bg-BG" w:eastAsia="bg-BG"/>
              </w:rPr>
            </w:pPr>
            <w:r w:rsidRPr="00B06D6E">
              <w:rPr>
                <w:rFonts w:ascii="Arial Narrow" w:hAnsi="Arial Narrow"/>
                <w:sz w:val="20"/>
                <w:szCs w:val="20"/>
                <w:lang w:val="bg-BG" w:eastAsia="bg-BG"/>
              </w:rPr>
              <w:t>18</w:t>
            </w:r>
          </w:p>
        </w:tc>
        <w:tc>
          <w:tcPr>
            <w:tcW w:w="1755" w:type="dxa"/>
            <w:vAlign w:val="center"/>
          </w:tcPr>
          <w:p w14:paraId="4E93CE21" w14:textId="77777777" w:rsidR="00B06D6E" w:rsidRPr="00B06D6E" w:rsidRDefault="00B06D6E" w:rsidP="00B06D6E">
            <w:pPr>
              <w:jc w:val="right"/>
              <w:rPr>
                <w:rFonts w:ascii="Arial Narrow" w:hAnsi="Arial Narrow"/>
                <w:sz w:val="20"/>
                <w:szCs w:val="20"/>
                <w:lang w:val="bg-BG" w:eastAsia="bg-BG"/>
              </w:rPr>
            </w:pPr>
            <w:r w:rsidRPr="00B06D6E">
              <w:rPr>
                <w:rFonts w:ascii="Arial Narrow" w:hAnsi="Arial Narrow"/>
                <w:sz w:val="20"/>
                <w:szCs w:val="20"/>
                <w:lang w:val="bg-BG" w:eastAsia="bg-BG"/>
              </w:rPr>
              <w:t>6 967 451</w:t>
            </w:r>
          </w:p>
        </w:tc>
      </w:tr>
      <w:tr w:rsidR="00B06D6E" w:rsidRPr="00B06D6E" w14:paraId="2A391DFB" w14:textId="77777777" w:rsidTr="00B06D6E">
        <w:trPr>
          <w:trHeight w:val="386"/>
        </w:trPr>
        <w:tc>
          <w:tcPr>
            <w:tcW w:w="2667" w:type="dxa"/>
            <w:vAlign w:val="center"/>
          </w:tcPr>
          <w:p w14:paraId="187D8CF7" w14:textId="77777777" w:rsidR="00B06D6E" w:rsidRPr="00B06D6E" w:rsidRDefault="00B06D6E" w:rsidP="00B06D6E">
            <w:pPr>
              <w:jc w:val="both"/>
              <w:rPr>
                <w:rFonts w:ascii="Arial Narrow" w:hAnsi="Arial Narrow"/>
                <w:b/>
                <w:sz w:val="20"/>
                <w:szCs w:val="20"/>
                <w:lang w:val="bg-BG" w:eastAsia="bg-BG"/>
              </w:rPr>
            </w:pPr>
            <w:r w:rsidRPr="00B06D6E">
              <w:rPr>
                <w:rFonts w:ascii="Arial Narrow" w:hAnsi="Arial Narrow"/>
                <w:b/>
                <w:sz w:val="20"/>
                <w:szCs w:val="20"/>
                <w:lang w:val="bg-BG" w:eastAsia="bg-BG"/>
              </w:rPr>
              <w:t>ОБЩО:</w:t>
            </w:r>
          </w:p>
        </w:tc>
        <w:tc>
          <w:tcPr>
            <w:tcW w:w="1968" w:type="dxa"/>
            <w:vAlign w:val="center"/>
          </w:tcPr>
          <w:p w14:paraId="2395A2A5" w14:textId="77777777" w:rsidR="00B06D6E" w:rsidRPr="00B06D6E" w:rsidRDefault="00B06D6E" w:rsidP="00B06D6E">
            <w:pPr>
              <w:jc w:val="right"/>
              <w:rPr>
                <w:rFonts w:ascii="Arial Narrow" w:hAnsi="Arial Narrow"/>
                <w:b/>
                <w:sz w:val="20"/>
                <w:szCs w:val="20"/>
                <w:lang w:val="bg-BG" w:eastAsia="bg-BG"/>
              </w:rPr>
            </w:pPr>
            <w:r w:rsidRPr="00B06D6E">
              <w:rPr>
                <w:rFonts w:ascii="Arial Narrow" w:hAnsi="Arial Narrow"/>
                <w:b/>
                <w:sz w:val="20"/>
                <w:szCs w:val="20"/>
                <w:lang w:val="bg-BG" w:eastAsia="bg-BG"/>
              </w:rPr>
              <w:t>79</w:t>
            </w:r>
          </w:p>
        </w:tc>
        <w:tc>
          <w:tcPr>
            <w:tcW w:w="1686" w:type="dxa"/>
            <w:vAlign w:val="center"/>
          </w:tcPr>
          <w:p w14:paraId="3E8D4F49" w14:textId="77777777" w:rsidR="00B06D6E" w:rsidRPr="00B06D6E" w:rsidRDefault="00B06D6E" w:rsidP="00B06D6E">
            <w:pPr>
              <w:jc w:val="right"/>
              <w:rPr>
                <w:rFonts w:ascii="Arial Narrow" w:hAnsi="Arial Narrow"/>
                <w:b/>
                <w:sz w:val="20"/>
                <w:szCs w:val="20"/>
                <w:lang w:val="bg-BG" w:eastAsia="bg-BG"/>
              </w:rPr>
            </w:pPr>
            <w:r w:rsidRPr="00B06D6E">
              <w:rPr>
                <w:rFonts w:ascii="Arial Narrow" w:hAnsi="Arial Narrow"/>
                <w:b/>
                <w:sz w:val="20"/>
                <w:szCs w:val="20"/>
                <w:lang w:val="bg-BG" w:eastAsia="bg-BG"/>
              </w:rPr>
              <w:t>36 603 503</w:t>
            </w:r>
          </w:p>
        </w:tc>
        <w:tc>
          <w:tcPr>
            <w:tcW w:w="1755" w:type="dxa"/>
            <w:vAlign w:val="center"/>
          </w:tcPr>
          <w:p w14:paraId="4E2777F7" w14:textId="77777777" w:rsidR="00B06D6E" w:rsidRPr="00B06D6E" w:rsidRDefault="00B06D6E" w:rsidP="00B06D6E">
            <w:pPr>
              <w:jc w:val="right"/>
              <w:rPr>
                <w:rFonts w:ascii="Arial Narrow" w:hAnsi="Arial Narrow"/>
                <w:b/>
                <w:sz w:val="20"/>
                <w:szCs w:val="20"/>
                <w:lang w:val="bg-BG" w:eastAsia="bg-BG"/>
              </w:rPr>
            </w:pPr>
            <w:r w:rsidRPr="00B06D6E">
              <w:rPr>
                <w:rFonts w:ascii="Arial Narrow" w:hAnsi="Arial Narrow"/>
                <w:b/>
                <w:sz w:val="20"/>
                <w:szCs w:val="20"/>
                <w:lang w:val="bg-BG" w:eastAsia="bg-BG"/>
              </w:rPr>
              <w:t>68</w:t>
            </w:r>
          </w:p>
        </w:tc>
        <w:tc>
          <w:tcPr>
            <w:tcW w:w="1755" w:type="dxa"/>
            <w:vAlign w:val="center"/>
          </w:tcPr>
          <w:p w14:paraId="5B320D67" w14:textId="77777777" w:rsidR="00B06D6E" w:rsidRPr="00B06D6E" w:rsidRDefault="00B06D6E" w:rsidP="00B06D6E">
            <w:pPr>
              <w:jc w:val="right"/>
              <w:rPr>
                <w:rFonts w:ascii="Arial Narrow" w:hAnsi="Arial Narrow"/>
                <w:b/>
                <w:sz w:val="20"/>
                <w:szCs w:val="20"/>
                <w:lang w:val="bg-BG" w:eastAsia="bg-BG"/>
              </w:rPr>
            </w:pPr>
            <w:r w:rsidRPr="00B06D6E">
              <w:rPr>
                <w:rFonts w:ascii="Arial Narrow" w:hAnsi="Arial Narrow"/>
                <w:b/>
                <w:sz w:val="20"/>
                <w:szCs w:val="20"/>
                <w:lang w:val="bg-BG" w:eastAsia="bg-BG"/>
              </w:rPr>
              <w:t>27 147 317</w:t>
            </w:r>
          </w:p>
        </w:tc>
      </w:tr>
    </w:tbl>
    <w:p w14:paraId="6C3FFFCC" w14:textId="77777777" w:rsidR="00B06D6E" w:rsidRPr="00725099" w:rsidRDefault="00B06D6E" w:rsidP="00B06D6E">
      <w:pPr>
        <w:spacing w:after="240"/>
        <w:rPr>
          <w:rFonts w:ascii="Arial Narrow" w:hAnsi="Arial Narrow"/>
          <w:sz w:val="18"/>
          <w:lang w:val="bg-BG" w:eastAsia="bg-BG"/>
        </w:rPr>
      </w:pPr>
      <w:r w:rsidRPr="00725099">
        <w:rPr>
          <w:rFonts w:ascii="Arial Narrow" w:hAnsi="Arial Narrow"/>
          <w:i/>
          <w:sz w:val="18"/>
          <w:lang w:val="bg-BG" w:eastAsia="bg-BG"/>
        </w:rPr>
        <w:t xml:space="preserve">Източник: </w:t>
      </w:r>
      <w:r w:rsidRPr="00725099">
        <w:rPr>
          <w:rFonts w:ascii="Arial Narrow" w:hAnsi="Arial Narrow"/>
          <w:sz w:val="18"/>
          <w:lang w:val="bg-BG" w:eastAsia="bg-BG"/>
        </w:rPr>
        <w:t>ДФЗ-РА</w:t>
      </w:r>
    </w:p>
    <w:p w14:paraId="6E45183D" w14:textId="77777777" w:rsidR="00B06D6E" w:rsidRPr="00B06D6E" w:rsidRDefault="00B06D6E" w:rsidP="00B06D6E">
      <w:pPr>
        <w:spacing w:after="120"/>
        <w:ind w:firstLine="720"/>
        <w:jc w:val="both"/>
        <w:rPr>
          <w:rFonts w:ascii="Arial Narrow" w:hAnsi="Arial Narrow"/>
          <w:lang w:val="bg-BG" w:eastAsia="bg-BG"/>
        </w:rPr>
      </w:pPr>
      <w:r w:rsidRPr="00B06D6E">
        <w:rPr>
          <w:rFonts w:ascii="Arial Narrow" w:hAnsi="Arial Narrow"/>
          <w:lang w:val="bg-BG" w:eastAsia="bg-BG"/>
        </w:rPr>
        <w:t>През финансова 2024 г. по интервенция „Инвестиции в лозаро-винарския сектор“ са отворени два приема - през периода м. януари – м. февруари 2024 г. и през м. юни 2024 г. Постъпили са общо 79 заявления и са сключени 68 договора с размер на ободрената субсидия 27 147 317 лева. През календарната 2024 г. са извършени плащания на стойност 15 809 161 лева.</w:t>
      </w:r>
    </w:p>
    <w:p w14:paraId="6BBFC1FC" w14:textId="77777777" w:rsidR="00B06D6E" w:rsidRPr="00B06D6E" w:rsidRDefault="00B06D6E" w:rsidP="00B06D6E">
      <w:pPr>
        <w:spacing w:after="120"/>
        <w:ind w:firstLine="720"/>
        <w:jc w:val="both"/>
        <w:rPr>
          <w:rFonts w:ascii="Arial Narrow" w:hAnsi="Arial Narrow"/>
          <w:b/>
          <w:i/>
          <w:lang w:val="bg-BG" w:eastAsia="bg-BG"/>
        </w:rPr>
      </w:pPr>
      <w:r w:rsidRPr="00B06D6E">
        <w:rPr>
          <w:rFonts w:ascii="Arial Narrow" w:hAnsi="Arial Narrow"/>
          <w:b/>
          <w:i/>
          <w:lang w:val="bg-BG" w:eastAsia="bg-BG"/>
        </w:rPr>
        <w:t>Интервенция „Инвестиции в екологични съоръжения“</w:t>
      </w:r>
    </w:p>
    <w:p w14:paraId="3681DB0E" w14:textId="77777777" w:rsidR="00B06D6E" w:rsidRPr="00B06D6E" w:rsidRDefault="00B06D6E" w:rsidP="00B06D6E">
      <w:pPr>
        <w:spacing w:after="120"/>
        <w:ind w:firstLine="720"/>
        <w:jc w:val="both"/>
        <w:rPr>
          <w:rFonts w:ascii="Arial Narrow" w:hAnsi="Arial Narrow"/>
          <w:lang w:val="bg-BG" w:eastAsia="bg-BG"/>
        </w:rPr>
      </w:pPr>
      <w:r w:rsidRPr="00B06D6E">
        <w:rPr>
          <w:rFonts w:ascii="Arial Narrow" w:hAnsi="Arial Narrow"/>
          <w:lang w:val="bg-BG" w:eastAsia="bg-BG"/>
        </w:rPr>
        <w:t>Интервенция „Инвестиции в екологични съоръжения“ се прилага за първи път в България през програмния период 2023-2027 г. Подпомагането е насочено към намаляване на екологичния отпечатък от дейността на предприятията за производство на вино и повишаване на тяхната конкурентоспособност чрез производството на енергия от възобновяеми източници и изграждане на пречиствателни и компостиращи станции.</w:t>
      </w:r>
    </w:p>
    <w:p w14:paraId="2EBD8154" w14:textId="77777777" w:rsidR="00B06D6E" w:rsidRPr="00B06D6E" w:rsidRDefault="00B06D6E" w:rsidP="00B06D6E">
      <w:pPr>
        <w:spacing w:after="120"/>
        <w:ind w:firstLine="720"/>
        <w:jc w:val="both"/>
        <w:rPr>
          <w:rFonts w:ascii="Arial Narrow" w:hAnsi="Arial Narrow"/>
          <w:lang w:val="bg-BG" w:eastAsia="bg-BG"/>
        </w:rPr>
      </w:pPr>
      <w:r w:rsidRPr="00B06D6E">
        <w:rPr>
          <w:rFonts w:ascii="Arial Narrow" w:hAnsi="Arial Narrow"/>
          <w:lang w:val="bg-BG" w:eastAsia="bg-BG"/>
        </w:rPr>
        <w:t>През финансовата 2024 г. по интервенцията са отворени два приема - в периода м. януари -              м. февруари 2024 г. и през м. юни 2024 г. Постъпили са общо 15 заявления и са сключени 12 договора за предоставяне на финансова помощ в размер на 3 960 076 лева. В рамките на календарната 2024 г. са разплатени 662 567 лева.</w:t>
      </w:r>
    </w:p>
    <w:p w14:paraId="371733CE" w14:textId="77777777" w:rsidR="00B06D6E" w:rsidRPr="00B06D6E" w:rsidRDefault="00B06D6E" w:rsidP="00B06D6E">
      <w:pPr>
        <w:spacing w:after="120"/>
        <w:jc w:val="both"/>
        <w:rPr>
          <w:rFonts w:ascii="Arial Narrow" w:hAnsi="Arial Narrow"/>
          <w:lang w:val="bg-BG" w:eastAsia="bg-BG"/>
        </w:rPr>
      </w:pPr>
      <w:r w:rsidRPr="00B06D6E">
        <w:rPr>
          <w:rFonts w:ascii="Arial Narrow" w:hAnsi="Arial Narrow"/>
          <w:b/>
          <w:szCs w:val="20"/>
          <w:lang w:val="bg-BG" w:eastAsia="bg-BG"/>
        </w:rPr>
        <w:t xml:space="preserve">Таблица </w:t>
      </w:r>
      <w:r w:rsidR="00CA4006" w:rsidRPr="001B6ED3">
        <w:rPr>
          <w:rFonts w:ascii="Arial Narrow" w:hAnsi="Arial Narrow" w:cs="Arial Narrow"/>
          <w:b/>
          <w:bCs/>
          <w:lang w:val="bg-BG"/>
        </w:rPr>
        <w:t>ІV</w:t>
      </w:r>
      <w:r w:rsidR="00CA4006">
        <w:rPr>
          <w:rFonts w:ascii="Arial Narrow" w:hAnsi="Arial Narrow" w:cs="Arial Narrow"/>
          <w:b/>
          <w:bCs/>
          <w:lang w:val="bg-BG"/>
        </w:rPr>
        <w:t>.1</w:t>
      </w:r>
      <w:r w:rsidR="00712B4B">
        <w:rPr>
          <w:rFonts w:ascii="Arial Narrow" w:hAnsi="Arial Narrow" w:cs="Arial Narrow"/>
          <w:b/>
          <w:bCs/>
          <w:lang w:val="bg-BG"/>
        </w:rPr>
        <w:t>1</w:t>
      </w:r>
      <w:r w:rsidR="00CA4006">
        <w:rPr>
          <w:rFonts w:ascii="Arial Narrow" w:hAnsi="Arial Narrow" w:cs="Arial Narrow"/>
          <w:b/>
          <w:bCs/>
          <w:lang w:val="bg-BG"/>
        </w:rPr>
        <w:t>.</w:t>
      </w:r>
      <w:r w:rsidRPr="00B06D6E">
        <w:rPr>
          <w:rFonts w:ascii="Arial Narrow" w:hAnsi="Arial Narrow" w:cs="Arial Narrow"/>
          <w:b/>
          <w:bCs/>
          <w:lang w:val="bg-BG" w:eastAsia="bg-BG"/>
        </w:rPr>
        <w:t xml:space="preserve"> Данни за прилагане на интервенция „</w:t>
      </w:r>
      <w:r w:rsidRPr="00B06D6E">
        <w:rPr>
          <w:rFonts w:ascii="Arial Narrow" w:hAnsi="Arial Narrow"/>
          <w:b/>
          <w:lang w:val="bg-BG" w:eastAsia="bg-BG"/>
        </w:rPr>
        <w:t xml:space="preserve">Инвестиции в екологични съоръжения“ </w:t>
      </w:r>
      <w:r w:rsidRPr="00B06D6E">
        <w:rPr>
          <w:rFonts w:ascii="Arial Narrow" w:hAnsi="Arial Narrow" w:cs="Arial Narrow"/>
          <w:b/>
          <w:bCs/>
          <w:lang w:val="bg-BG" w:eastAsia="bg-BG"/>
        </w:rPr>
        <w:t>за финансовата 2024 г.</w:t>
      </w:r>
    </w:p>
    <w:tbl>
      <w:tblPr>
        <w:tblStyle w:val="TableGrid83"/>
        <w:tblW w:w="9709" w:type="dxa"/>
        <w:tblInd w:w="108" w:type="dxa"/>
        <w:tblLook w:val="04A0" w:firstRow="1" w:lastRow="0" w:firstColumn="1" w:lastColumn="0" w:noHBand="0" w:noVBand="1"/>
      </w:tblPr>
      <w:tblGrid>
        <w:gridCol w:w="2360"/>
        <w:gridCol w:w="1829"/>
        <w:gridCol w:w="1774"/>
        <w:gridCol w:w="1619"/>
        <w:gridCol w:w="2127"/>
      </w:tblGrid>
      <w:tr w:rsidR="00B06D6E" w:rsidRPr="00B06D6E" w14:paraId="36937494" w14:textId="77777777" w:rsidTr="00F66E81">
        <w:trPr>
          <w:trHeight w:val="845"/>
        </w:trPr>
        <w:tc>
          <w:tcPr>
            <w:tcW w:w="2360" w:type="dxa"/>
            <w:tcBorders>
              <w:top w:val="single" w:sz="4" w:space="0" w:color="auto"/>
              <w:left w:val="single" w:sz="4" w:space="0" w:color="auto"/>
              <w:bottom w:val="single" w:sz="4" w:space="0" w:color="auto"/>
              <w:right w:val="single" w:sz="4" w:space="0" w:color="auto"/>
            </w:tcBorders>
            <w:vAlign w:val="center"/>
          </w:tcPr>
          <w:p w14:paraId="102B39D5" w14:textId="77777777" w:rsidR="00B06D6E" w:rsidRPr="00B06D6E" w:rsidRDefault="00B06D6E" w:rsidP="00B06D6E">
            <w:pPr>
              <w:spacing w:after="120"/>
              <w:jc w:val="center"/>
              <w:rPr>
                <w:rFonts w:ascii="Arial Narrow" w:hAnsi="Arial Narrow"/>
                <w:b/>
                <w:sz w:val="20"/>
                <w:szCs w:val="20"/>
                <w:lang w:val="bg-BG" w:eastAsia="bg-BG"/>
              </w:rPr>
            </w:pPr>
            <w:r w:rsidRPr="00B06D6E">
              <w:rPr>
                <w:rFonts w:ascii="Arial Narrow" w:hAnsi="Arial Narrow"/>
                <w:b/>
                <w:sz w:val="20"/>
                <w:szCs w:val="20"/>
                <w:lang w:val="bg-BG" w:eastAsia="bg-BG"/>
              </w:rPr>
              <w:t>Прием</w:t>
            </w:r>
          </w:p>
        </w:tc>
        <w:tc>
          <w:tcPr>
            <w:tcW w:w="1829" w:type="dxa"/>
            <w:tcBorders>
              <w:top w:val="single" w:sz="4" w:space="0" w:color="auto"/>
              <w:left w:val="single" w:sz="4" w:space="0" w:color="auto"/>
              <w:bottom w:val="single" w:sz="4" w:space="0" w:color="auto"/>
              <w:right w:val="single" w:sz="4" w:space="0" w:color="auto"/>
            </w:tcBorders>
            <w:vAlign w:val="center"/>
          </w:tcPr>
          <w:p w14:paraId="65566B9B" w14:textId="77777777" w:rsidR="00B06D6E" w:rsidRPr="00B06D6E" w:rsidRDefault="00B06D6E" w:rsidP="00B06D6E">
            <w:pPr>
              <w:spacing w:after="120"/>
              <w:ind w:firstLine="22"/>
              <w:jc w:val="center"/>
              <w:rPr>
                <w:rFonts w:ascii="Arial Narrow" w:hAnsi="Arial Narrow"/>
                <w:b/>
                <w:sz w:val="20"/>
                <w:szCs w:val="20"/>
                <w:lang w:val="bg-BG" w:eastAsia="bg-BG"/>
              </w:rPr>
            </w:pPr>
            <w:r w:rsidRPr="00B06D6E">
              <w:rPr>
                <w:rFonts w:ascii="Arial Narrow" w:hAnsi="Arial Narrow"/>
                <w:b/>
                <w:sz w:val="20"/>
                <w:szCs w:val="20"/>
                <w:lang w:val="bg-BG" w:eastAsia="bg-BG"/>
              </w:rPr>
              <w:t>Брой подадени заявления за финансово подпомагане</w:t>
            </w:r>
          </w:p>
        </w:tc>
        <w:tc>
          <w:tcPr>
            <w:tcW w:w="1774" w:type="dxa"/>
            <w:tcBorders>
              <w:top w:val="single" w:sz="4" w:space="0" w:color="auto"/>
              <w:left w:val="single" w:sz="4" w:space="0" w:color="auto"/>
              <w:bottom w:val="single" w:sz="4" w:space="0" w:color="auto"/>
              <w:right w:val="single" w:sz="4" w:space="0" w:color="auto"/>
            </w:tcBorders>
            <w:vAlign w:val="center"/>
          </w:tcPr>
          <w:p w14:paraId="3F6B013C" w14:textId="77777777" w:rsidR="00B06D6E" w:rsidRPr="00B06D6E" w:rsidRDefault="00B06D6E" w:rsidP="00B06D6E">
            <w:pPr>
              <w:jc w:val="center"/>
              <w:rPr>
                <w:rFonts w:ascii="Arial Narrow" w:hAnsi="Arial Narrow"/>
                <w:b/>
                <w:sz w:val="20"/>
                <w:szCs w:val="20"/>
                <w:lang w:val="bg-BG" w:eastAsia="bg-BG"/>
              </w:rPr>
            </w:pPr>
            <w:r w:rsidRPr="00B06D6E">
              <w:rPr>
                <w:rFonts w:ascii="Arial Narrow" w:hAnsi="Arial Narrow"/>
                <w:b/>
                <w:sz w:val="20"/>
                <w:szCs w:val="20"/>
                <w:lang w:val="bg-BG" w:eastAsia="bg-BG"/>
              </w:rPr>
              <w:t>Заявена</w:t>
            </w:r>
          </w:p>
          <w:p w14:paraId="071B322B" w14:textId="77777777" w:rsidR="00B06D6E" w:rsidRPr="00B06D6E" w:rsidRDefault="00B06D6E" w:rsidP="00B06D6E">
            <w:pPr>
              <w:jc w:val="center"/>
              <w:rPr>
                <w:rFonts w:ascii="Arial Narrow" w:hAnsi="Arial Narrow"/>
                <w:b/>
                <w:sz w:val="20"/>
                <w:szCs w:val="20"/>
                <w:lang w:val="bg-BG" w:eastAsia="bg-BG"/>
              </w:rPr>
            </w:pPr>
            <w:r w:rsidRPr="00B06D6E">
              <w:rPr>
                <w:rFonts w:ascii="Arial Narrow" w:hAnsi="Arial Narrow"/>
                <w:b/>
                <w:sz w:val="20"/>
                <w:szCs w:val="20"/>
                <w:lang w:val="bg-BG" w:eastAsia="bg-BG"/>
              </w:rPr>
              <w:t>финансова</w:t>
            </w:r>
          </w:p>
          <w:p w14:paraId="39604728" w14:textId="77777777" w:rsidR="00B06D6E" w:rsidRPr="00B06D6E" w:rsidRDefault="00B06D6E" w:rsidP="00B06D6E">
            <w:pPr>
              <w:jc w:val="center"/>
              <w:rPr>
                <w:rFonts w:ascii="Arial Narrow" w:hAnsi="Arial Narrow"/>
                <w:b/>
                <w:sz w:val="20"/>
                <w:szCs w:val="20"/>
                <w:lang w:val="bg-BG" w:eastAsia="bg-BG"/>
              </w:rPr>
            </w:pPr>
            <w:r w:rsidRPr="00B06D6E">
              <w:rPr>
                <w:rFonts w:ascii="Arial Narrow" w:hAnsi="Arial Narrow"/>
                <w:b/>
                <w:sz w:val="20"/>
                <w:szCs w:val="20"/>
                <w:lang w:val="bg-BG" w:eastAsia="bg-BG"/>
              </w:rPr>
              <w:t>помощ</w:t>
            </w:r>
          </w:p>
          <w:p w14:paraId="3D969176" w14:textId="77777777" w:rsidR="00B06D6E" w:rsidRPr="00B06D6E" w:rsidRDefault="00B06D6E" w:rsidP="00B06D6E">
            <w:pPr>
              <w:spacing w:after="120"/>
              <w:ind w:firstLine="22"/>
              <w:jc w:val="center"/>
              <w:rPr>
                <w:rFonts w:ascii="Arial Narrow" w:hAnsi="Arial Narrow"/>
                <w:b/>
                <w:sz w:val="20"/>
                <w:szCs w:val="20"/>
                <w:lang w:val="bg-BG" w:eastAsia="bg-BG"/>
              </w:rPr>
            </w:pPr>
            <w:r w:rsidRPr="00B06D6E">
              <w:rPr>
                <w:rFonts w:ascii="Arial Narrow" w:hAnsi="Arial Narrow"/>
                <w:b/>
                <w:sz w:val="20"/>
                <w:szCs w:val="20"/>
                <w:lang w:val="bg-BG" w:eastAsia="bg-BG"/>
              </w:rPr>
              <w:t xml:space="preserve"> (лева)</w:t>
            </w:r>
          </w:p>
        </w:tc>
        <w:tc>
          <w:tcPr>
            <w:tcW w:w="1619" w:type="dxa"/>
            <w:tcBorders>
              <w:top w:val="single" w:sz="4" w:space="0" w:color="auto"/>
              <w:left w:val="single" w:sz="4" w:space="0" w:color="auto"/>
              <w:bottom w:val="single" w:sz="4" w:space="0" w:color="auto"/>
              <w:right w:val="single" w:sz="4" w:space="0" w:color="auto"/>
            </w:tcBorders>
            <w:vAlign w:val="center"/>
          </w:tcPr>
          <w:p w14:paraId="54574417" w14:textId="77777777" w:rsidR="00B06D6E" w:rsidRPr="00B06D6E" w:rsidRDefault="00B06D6E" w:rsidP="00B06D6E">
            <w:pPr>
              <w:jc w:val="center"/>
              <w:rPr>
                <w:rFonts w:ascii="Arial Narrow" w:hAnsi="Arial Narrow"/>
                <w:b/>
                <w:sz w:val="20"/>
                <w:szCs w:val="20"/>
                <w:lang w:val="bg-BG" w:eastAsia="bg-BG"/>
              </w:rPr>
            </w:pPr>
            <w:r w:rsidRPr="00B06D6E">
              <w:rPr>
                <w:rFonts w:ascii="Arial Narrow" w:hAnsi="Arial Narrow"/>
                <w:b/>
                <w:sz w:val="20"/>
                <w:szCs w:val="20"/>
                <w:lang w:val="bg-BG" w:eastAsia="bg-BG"/>
              </w:rPr>
              <w:t>Брой сключени</w:t>
            </w:r>
          </w:p>
          <w:p w14:paraId="32DC1999" w14:textId="77777777" w:rsidR="00B06D6E" w:rsidRPr="00B06D6E" w:rsidRDefault="00B06D6E" w:rsidP="00B06D6E">
            <w:pPr>
              <w:spacing w:after="120"/>
              <w:ind w:firstLine="22"/>
              <w:jc w:val="center"/>
              <w:rPr>
                <w:rFonts w:ascii="Arial Narrow" w:hAnsi="Arial Narrow"/>
                <w:b/>
                <w:sz w:val="20"/>
                <w:szCs w:val="20"/>
                <w:lang w:val="bg-BG" w:eastAsia="bg-BG"/>
              </w:rPr>
            </w:pPr>
            <w:r w:rsidRPr="00B06D6E">
              <w:rPr>
                <w:rFonts w:ascii="Arial Narrow" w:hAnsi="Arial Narrow"/>
                <w:b/>
                <w:sz w:val="20"/>
                <w:szCs w:val="20"/>
                <w:lang w:val="bg-BG" w:eastAsia="bg-BG"/>
              </w:rPr>
              <w:t>договори</w:t>
            </w:r>
          </w:p>
        </w:tc>
        <w:tc>
          <w:tcPr>
            <w:tcW w:w="2127" w:type="dxa"/>
            <w:tcBorders>
              <w:top w:val="single" w:sz="4" w:space="0" w:color="auto"/>
              <w:left w:val="single" w:sz="4" w:space="0" w:color="auto"/>
              <w:bottom w:val="single" w:sz="4" w:space="0" w:color="auto"/>
              <w:right w:val="single" w:sz="4" w:space="0" w:color="auto"/>
            </w:tcBorders>
            <w:vAlign w:val="center"/>
          </w:tcPr>
          <w:p w14:paraId="40CEC3FF" w14:textId="77777777" w:rsidR="00B06D6E" w:rsidRPr="00B06D6E" w:rsidRDefault="00B06D6E" w:rsidP="00B06D6E">
            <w:pPr>
              <w:jc w:val="center"/>
              <w:rPr>
                <w:rFonts w:ascii="Arial Narrow" w:hAnsi="Arial Narrow"/>
                <w:b/>
                <w:sz w:val="20"/>
                <w:szCs w:val="20"/>
                <w:lang w:val="bg-BG" w:eastAsia="bg-BG"/>
              </w:rPr>
            </w:pPr>
            <w:r w:rsidRPr="00B06D6E">
              <w:rPr>
                <w:rFonts w:ascii="Arial Narrow" w:hAnsi="Arial Narrow"/>
                <w:b/>
                <w:sz w:val="20"/>
                <w:szCs w:val="20"/>
                <w:lang w:val="bg-BG" w:eastAsia="bg-BG"/>
              </w:rPr>
              <w:t>Одобрена</w:t>
            </w:r>
          </w:p>
          <w:p w14:paraId="5741D711" w14:textId="77777777" w:rsidR="00B06D6E" w:rsidRPr="00B06D6E" w:rsidRDefault="00B06D6E" w:rsidP="00B06D6E">
            <w:pPr>
              <w:jc w:val="center"/>
              <w:rPr>
                <w:rFonts w:ascii="Arial Narrow" w:hAnsi="Arial Narrow"/>
                <w:b/>
                <w:sz w:val="20"/>
                <w:szCs w:val="20"/>
                <w:lang w:val="bg-BG" w:eastAsia="bg-BG"/>
              </w:rPr>
            </w:pPr>
            <w:r w:rsidRPr="00B06D6E">
              <w:rPr>
                <w:rFonts w:ascii="Arial Narrow" w:hAnsi="Arial Narrow"/>
                <w:b/>
                <w:sz w:val="20"/>
                <w:szCs w:val="20"/>
                <w:lang w:val="bg-BG" w:eastAsia="bg-BG"/>
              </w:rPr>
              <w:t>финансова</w:t>
            </w:r>
          </w:p>
          <w:p w14:paraId="13E48151" w14:textId="77777777" w:rsidR="00B06D6E" w:rsidRPr="00B06D6E" w:rsidRDefault="00B06D6E" w:rsidP="00B06D6E">
            <w:pPr>
              <w:jc w:val="center"/>
              <w:rPr>
                <w:rFonts w:ascii="Arial Narrow" w:hAnsi="Arial Narrow"/>
                <w:b/>
                <w:sz w:val="20"/>
                <w:szCs w:val="20"/>
                <w:lang w:val="bg-BG" w:eastAsia="bg-BG"/>
              </w:rPr>
            </w:pPr>
            <w:r w:rsidRPr="00B06D6E">
              <w:rPr>
                <w:rFonts w:ascii="Arial Narrow" w:hAnsi="Arial Narrow"/>
                <w:b/>
                <w:sz w:val="20"/>
                <w:szCs w:val="20"/>
                <w:lang w:val="bg-BG" w:eastAsia="bg-BG"/>
              </w:rPr>
              <w:t xml:space="preserve">помощ </w:t>
            </w:r>
          </w:p>
          <w:p w14:paraId="4041C79C" w14:textId="77777777" w:rsidR="00B06D6E" w:rsidRPr="00B06D6E" w:rsidRDefault="00B06D6E" w:rsidP="00B06D6E">
            <w:pPr>
              <w:spacing w:after="120"/>
              <w:jc w:val="center"/>
              <w:rPr>
                <w:rFonts w:ascii="Arial Narrow" w:hAnsi="Arial Narrow"/>
                <w:b/>
                <w:sz w:val="20"/>
                <w:szCs w:val="20"/>
                <w:lang w:val="bg-BG" w:eastAsia="bg-BG"/>
              </w:rPr>
            </w:pPr>
            <w:r w:rsidRPr="00B06D6E">
              <w:rPr>
                <w:rFonts w:ascii="Arial Narrow" w:hAnsi="Arial Narrow"/>
                <w:b/>
                <w:sz w:val="20"/>
                <w:szCs w:val="20"/>
                <w:lang w:val="bg-BG" w:eastAsia="bg-BG"/>
              </w:rPr>
              <w:t>(лева)</w:t>
            </w:r>
          </w:p>
        </w:tc>
      </w:tr>
      <w:tr w:rsidR="00B06D6E" w:rsidRPr="00B06D6E" w14:paraId="520292C8" w14:textId="77777777" w:rsidTr="00F66E81">
        <w:trPr>
          <w:trHeight w:val="281"/>
        </w:trPr>
        <w:tc>
          <w:tcPr>
            <w:tcW w:w="2360" w:type="dxa"/>
            <w:vAlign w:val="center"/>
          </w:tcPr>
          <w:p w14:paraId="51EC217D" w14:textId="77777777" w:rsidR="00B06D6E" w:rsidRPr="00B06D6E" w:rsidRDefault="00B06D6E" w:rsidP="00B06D6E">
            <w:pPr>
              <w:rPr>
                <w:rFonts w:ascii="Arial Narrow" w:hAnsi="Arial Narrow"/>
                <w:sz w:val="20"/>
                <w:szCs w:val="20"/>
                <w:lang w:val="bg-BG" w:eastAsia="bg-BG"/>
              </w:rPr>
            </w:pPr>
            <w:r w:rsidRPr="00B06D6E">
              <w:rPr>
                <w:rFonts w:ascii="Arial Narrow" w:hAnsi="Arial Narrow"/>
                <w:sz w:val="20"/>
                <w:szCs w:val="20"/>
                <w:lang w:val="bg-BG" w:eastAsia="bg-BG"/>
              </w:rPr>
              <w:t>Първи прием</w:t>
            </w:r>
          </w:p>
        </w:tc>
        <w:tc>
          <w:tcPr>
            <w:tcW w:w="1829" w:type="dxa"/>
            <w:vAlign w:val="center"/>
          </w:tcPr>
          <w:p w14:paraId="6ACD9C70" w14:textId="77777777" w:rsidR="00B06D6E" w:rsidRPr="00B06D6E" w:rsidRDefault="00B06D6E" w:rsidP="00B06D6E">
            <w:pPr>
              <w:ind w:firstLine="22"/>
              <w:jc w:val="right"/>
              <w:rPr>
                <w:rFonts w:ascii="Arial Narrow" w:hAnsi="Arial Narrow"/>
                <w:sz w:val="20"/>
                <w:szCs w:val="20"/>
                <w:lang w:val="bg-BG" w:eastAsia="bg-BG"/>
              </w:rPr>
            </w:pPr>
            <w:r w:rsidRPr="00B06D6E">
              <w:rPr>
                <w:rFonts w:ascii="Arial Narrow" w:hAnsi="Arial Narrow"/>
                <w:sz w:val="20"/>
                <w:szCs w:val="20"/>
                <w:lang w:val="bg-BG" w:eastAsia="bg-BG"/>
              </w:rPr>
              <w:t>12</w:t>
            </w:r>
          </w:p>
        </w:tc>
        <w:tc>
          <w:tcPr>
            <w:tcW w:w="1774" w:type="dxa"/>
            <w:vAlign w:val="center"/>
          </w:tcPr>
          <w:p w14:paraId="6CF76155" w14:textId="77777777" w:rsidR="00B06D6E" w:rsidRPr="00B06D6E" w:rsidRDefault="00B06D6E" w:rsidP="00B06D6E">
            <w:pPr>
              <w:ind w:firstLine="22"/>
              <w:jc w:val="right"/>
              <w:rPr>
                <w:rFonts w:ascii="Arial Narrow" w:hAnsi="Arial Narrow"/>
                <w:sz w:val="20"/>
                <w:szCs w:val="20"/>
                <w:lang w:val="bg-BG" w:eastAsia="bg-BG"/>
              </w:rPr>
            </w:pPr>
            <w:r w:rsidRPr="00B06D6E">
              <w:rPr>
                <w:rFonts w:ascii="Arial Narrow" w:hAnsi="Arial Narrow"/>
                <w:sz w:val="20"/>
                <w:szCs w:val="20"/>
                <w:lang w:val="bg-BG" w:eastAsia="bg-BG"/>
              </w:rPr>
              <w:t>4 150 058</w:t>
            </w:r>
          </w:p>
        </w:tc>
        <w:tc>
          <w:tcPr>
            <w:tcW w:w="1619" w:type="dxa"/>
            <w:vAlign w:val="center"/>
          </w:tcPr>
          <w:p w14:paraId="695DE267" w14:textId="77777777" w:rsidR="00B06D6E" w:rsidRPr="00B06D6E" w:rsidRDefault="00B06D6E" w:rsidP="00B06D6E">
            <w:pPr>
              <w:ind w:firstLine="22"/>
              <w:jc w:val="right"/>
              <w:rPr>
                <w:rFonts w:ascii="Arial Narrow" w:hAnsi="Arial Narrow"/>
                <w:sz w:val="20"/>
                <w:szCs w:val="20"/>
                <w:lang w:val="bg-BG" w:eastAsia="bg-BG"/>
              </w:rPr>
            </w:pPr>
            <w:r w:rsidRPr="00B06D6E">
              <w:rPr>
                <w:rFonts w:ascii="Arial Narrow" w:hAnsi="Arial Narrow"/>
                <w:sz w:val="20"/>
                <w:szCs w:val="20"/>
                <w:lang w:val="bg-BG" w:eastAsia="bg-BG"/>
              </w:rPr>
              <w:t>10</w:t>
            </w:r>
          </w:p>
        </w:tc>
        <w:tc>
          <w:tcPr>
            <w:tcW w:w="2127" w:type="dxa"/>
            <w:vAlign w:val="center"/>
          </w:tcPr>
          <w:p w14:paraId="51C3723E" w14:textId="77777777" w:rsidR="00B06D6E" w:rsidRPr="00B06D6E" w:rsidRDefault="00B06D6E" w:rsidP="00B06D6E">
            <w:pPr>
              <w:jc w:val="right"/>
              <w:rPr>
                <w:rFonts w:ascii="Arial Narrow" w:hAnsi="Arial Narrow"/>
                <w:sz w:val="20"/>
                <w:szCs w:val="20"/>
                <w:lang w:val="bg-BG" w:eastAsia="bg-BG"/>
              </w:rPr>
            </w:pPr>
            <w:r w:rsidRPr="00B06D6E">
              <w:rPr>
                <w:rFonts w:ascii="Arial Narrow" w:hAnsi="Arial Narrow"/>
                <w:sz w:val="20"/>
                <w:szCs w:val="20"/>
                <w:lang w:val="bg-BG" w:eastAsia="bg-BG"/>
              </w:rPr>
              <w:t>2 710 716</w:t>
            </w:r>
          </w:p>
        </w:tc>
      </w:tr>
      <w:tr w:rsidR="00B06D6E" w:rsidRPr="00B06D6E" w14:paraId="31D7C871" w14:textId="77777777" w:rsidTr="00F66E81">
        <w:trPr>
          <w:trHeight w:val="281"/>
        </w:trPr>
        <w:tc>
          <w:tcPr>
            <w:tcW w:w="2360" w:type="dxa"/>
            <w:vAlign w:val="center"/>
          </w:tcPr>
          <w:p w14:paraId="47C5EFD4" w14:textId="77777777" w:rsidR="00B06D6E" w:rsidRPr="00B06D6E" w:rsidRDefault="00B06D6E" w:rsidP="00B06D6E">
            <w:pPr>
              <w:rPr>
                <w:rFonts w:ascii="Arial Narrow" w:hAnsi="Arial Narrow"/>
                <w:sz w:val="20"/>
                <w:szCs w:val="20"/>
                <w:lang w:val="bg-BG" w:eastAsia="bg-BG"/>
              </w:rPr>
            </w:pPr>
            <w:r w:rsidRPr="00B06D6E">
              <w:rPr>
                <w:rFonts w:ascii="Arial Narrow" w:hAnsi="Arial Narrow"/>
                <w:sz w:val="20"/>
                <w:szCs w:val="20"/>
                <w:lang w:val="bg-BG" w:eastAsia="bg-BG"/>
              </w:rPr>
              <w:t>Втори прием</w:t>
            </w:r>
          </w:p>
        </w:tc>
        <w:tc>
          <w:tcPr>
            <w:tcW w:w="1829" w:type="dxa"/>
            <w:vAlign w:val="center"/>
          </w:tcPr>
          <w:p w14:paraId="0F8E6472" w14:textId="77777777" w:rsidR="00B06D6E" w:rsidRPr="00B06D6E" w:rsidRDefault="00B06D6E" w:rsidP="00B06D6E">
            <w:pPr>
              <w:ind w:firstLine="22"/>
              <w:jc w:val="right"/>
              <w:rPr>
                <w:rFonts w:ascii="Arial Narrow" w:hAnsi="Arial Narrow"/>
                <w:sz w:val="20"/>
                <w:szCs w:val="20"/>
                <w:lang w:val="bg-BG" w:eastAsia="bg-BG"/>
              </w:rPr>
            </w:pPr>
            <w:r w:rsidRPr="00B06D6E">
              <w:rPr>
                <w:rFonts w:ascii="Arial Narrow" w:hAnsi="Arial Narrow"/>
                <w:sz w:val="20"/>
                <w:szCs w:val="20"/>
                <w:lang w:val="bg-BG" w:eastAsia="bg-BG"/>
              </w:rPr>
              <w:t>3</w:t>
            </w:r>
          </w:p>
        </w:tc>
        <w:tc>
          <w:tcPr>
            <w:tcW w:w="1774" w:type="dxa"/>
            <w:vAlign w:val="center"/>
          </w:tcPr>
          <w:p w14:paraId="64B02761" w14:textId="77777777" w:rsidR="00B06D6E" w:rsidRPr="00B06D6E" w:rsidRDefault="00B06D6E" w:rsidP="00B06D6E">
            <w:pPr>
              <w:ind w:firstLine="22"/>
              <w:jc w:val="right"/>
              <w:rPr>
                <w:rFonts w:ascii="Arial Narrow" w:hAnsi="Arial Narrow"/>
                <w:sz w:val="20"/>
                <w:szCs w:val="20"/>
                <w:lang w:val="bg-BG" w:eastAsia="bg-BG"/>
              </w:rPr>
            </w:pPr>
            <w:r w:rsidRPr="00B06D6E">
              <w:rPr>
                <w:rFonts w:ascii="Arial Narrow" w:hAnsi="Arial Narrow"/>
                <w:sz w:val="20"/>
                <w:szCs w:val="20"/>
                <w:lang w:val="bg-BG" w:eastAsia="bg-BG"/>
              </w:rPr>
              <w:t>2 233 228</w:t>
            </w:r>
          </w:p>
        </w:tc>
        <w:tc>
          <w:tcPr>
            <w:tcW w:w="1619" w:type="dxa"/>
            <w:vAlign w:val="center"/>
          </w:tcPr>
          <w:p w14:paraId="54E39665" w14:textId="77777777" w:rsidR="00B06D6E" w:rsidRPr="00B06D6E" w:rsidRDefault="00B06D6E" w:rsidP="00B06D6E">
            <w:pPr>
              <w:ind w:firstLine="22"/>
              <w:jc w:val="right"/>
              <w:rPr>
                <w:rFonts w:ascii="Arial Narrow" w:hAnsi="Arial Narrow"/>
                <w:sz w:val="20"/>
                <w:szCs w:val="20"/>
                <w:lang w:val="bg-BG" w:eastAsia="bg-BG"/>
              </w:rPr>
            </w:pPr>
            <w:r w:rsidRPr="00B06D6E">
              <w:rPr>
                <w:rFonts w:ascii="Arial Narrow" w:hAnsi="Arial Narrow"/>
                <w:sz w:val="20"/>
                <w:szCs w:val="20"/>
                <w:lang w:val="bg-BG" w:eastAsia="bg-BG"/>
              </w:rPr>
              <w:t>2</w:t>
            </w:r>
          </w:p>
        </w:tc>
        <w:tc>
          <w:tcPr>
            <w:tcW w:w="2127" w:type="dxa"/>
            <w:vAlign w:val="center"/>
          </w:tcPr>
          <w:p w14:paraId="3A0D7895" w14:textId="77777777" w:rsidR="00B06D6E" w:rsidRPr="00B06D6E" w:rsidRDefault="00B06D6E" w:rsidP="00B06D6E">
            <w:pPr>
              <w:jc w:val="right"/>
              <w:rPr>
                <w:rFonts w:ascii="Arial Narrow" w:hAnsi="Arial Narrow"/>
                <w:sz w:val="20"/>
                <w:szCs w:val="20"/>
                <w:lang w:val="bg-BG" w:eastAsia="bg-BG"/>
              </w:rPr>
            </w:pPr>
            <w:r w:rsidRPr="00B06D6E">
              <w:rPr>
                <w:rFonts w:ascii="Arial Narrow" w:hAnsi="Arial Narrow"/>
                <w:sz w:val="20"/>
                <w:szCs w:val="20"/>
                <w:lang w:val="bg-BG" w:eastAsia="bg-BG"/>
              </w:rPr>
              <w:t>1 249 360</w:t>
            </w:r>
          </w:p>
        </w:tc>
      </w:tr>
      <w:tr w:rsidR="00B06D6E" w:rsidRPr="00B06D6E" w14:paraId="3243A2A3" w14:textId="77777777" w:rsidTr="00F66E81">
        <w:trPr>
          <w:trHeight w:val="281"/>
        </w:trPr>
        <w:tc>
          <w:tcPr>
            <w:tcW w:w="2360" w:type="dxa"/>
            <w:vAlign w:val="center"/>
          </w:tcPr>
          <w:p w14:paraId="3E316880" w14:textId="77777777" w:rsidR="00B06D6E" w:rsidRPr="00B06D6E" w:rsidRDefault="00B06D6E" w:rsidP="00B06D6E">
            <w:pPr>
              <w:ind w:firstLine="22"/>
              <w:rPr>
                <w:rFonts w:ascii="Arial Narrow" w:hAnsi="Arial Narrow"/>
                <w:b/>
                <w:sz w:val="20"/>
                <w:szCs w:val="20"/>
                <w:lang w:val="bg-BG" w:eastAsia="bg-BG"/>
              </w:rPr>
            </w:pPr>
            <w:r w:rsidRPr="00B06D6E">
              <w:rPr>
                <w:rFonts w:ascii="Arial Narrow" w:hAnsi="Arial Narrow"/>
                <w:b/>
                <w:sz w:val="20"/>
                <w:szCs w:val="20"/>
                <w:lang w:val="bg-BG" w:eastAsia="bg-BG"/>
              </w:rPr>
              <w:t>ОБЩО:</w:t>
            </w:r>
          </w:p>
        </w:tc>
        <w:tc>
          <w:tcPr>
            <w:tcW w:w="1829" w:type="dxa"/>
            <w:vAlign w:val="center"/>
          </w:tcPr>
          <w:p w14:paraId="0882BAFD" w14:textId="77777777" w:rsidR="00B06D6E" w:rsidRPr="00B06D6E" w:rsidRDefault="00B06D6E" w:rsidP="00B06D6E">
            <w:pPr>
              <w:ind w:firstLine="22"/>
              <w:jc w:val="right"/>
              <w:rPr>
                <w:rFonts w:ascii="Arial Narrow" w:hAnsi="Arial Narrow"/>
                <w:b/>
                <w:sz w:val="20"/>
                <w:szCs w:val="20"/>
                <w:lang w:val="bg-BG" w:eastAsia="bg-BG"/>
              </w:rPr>
            </w:pPr>
            <w:r w:rsidRPr="00B06D6E">
              <w:rPr>
                <w:rFonts w:ascii="Arial Narrow" w:hAnsi="Arial Narrow"/>
                <w:b/>
                <w:sz w:val="20"/>
                <w:szCs w:val="20"/>
                <w:lang w:val="bg-BG" w:eastAsia="bg-BG"/>
              </w:rPr>
              <w:t>15</w:t>
            </w:r>
          </w:p>
        </w:tc>
        <w:tc>
          <w:tcPr>
            <w:tcW w:w="1774" w:type="dxa"/>
            <w:vAlign w:val="center"/>
          </w:tcPr>
          <w:p w14:paraId="1A4C3023" w14:textId="77777777" w:rsidR="00B06D6E" w:rsidRPr="00B06D6E" w:rsidRDefault="00B06D6E" w:rsidP="00B06D6E">
            <w:pPr>
              <w:ind w:firstLine="22"/>
              <w:jc w:val="right"/>
              <w:rPr>
                <w:rFonts w:ascii="Arial Narrow" w:hAnsi="Arial Narrow"/>
                <w:b/>
                <w:sz w:val="20"/>
                <w:szCs w:val="20"/>
                <w:lang w:val="bg-BG" w:eastAsia="bg-BG"/>
              </w:rPr>
            </w:pPr>
            <w:r w:rsidRPr="00B06D6E">
              <w:rPr>
                <w:rFonts w:ascii="Arial Narrow" w:hAnsi="Arial Narrow"/>
                <w:b/>
                <w:sz w:val="20"/>
                <w:szCs w:val="20"/>
                <w:lang w:val="bg-BG" w:eastAsia="bg-BG"/>
              </w:rPr>
              <w:t>6 383 286</w:t>
            </w:r>
          </w:p>
        </w:tc>
        <w:tc>
          <w:tcPr>
            <w:tcW w:w="1619" w:type="dxa"/>
            <w:vAlign w:val="center"/>
          </w:tcPr>
          <w:p w14:paraId="77DF7957" w14:textId="77777777" w:rsidR="00B06D6E" w:rsidRPr="00B06D6E" w:rsidRDefault="00B06D6E" w:rsidP="00B06D6E">
            <w:pPr>
              <w:ind w:firstLine="22"/>
              <w:jc w:val="right"/>
              <w:rPr>
                <w:rFonts w:ascii="Arial Narrow" w:hAnsi="Arial Narrow"/>
                <w:b/>
                <w:sz w:val="20"/>
                <w:szCs w:val="20"/>
                <w:lang w:val="bg-BG" w:eastAsia="bg-BG"/>
              </w:rPr>
            </w:pPr>
            <w:r w:rsidRPr="00B06D6E">
              <w:rPr>
                <w:rFonts w:ascii="Arial Narrow" w:hAnsi="Arial Narrow"/>
                <w:b/>
                <w:sz w:val="20"/>
                <w:szCs w:val="20"/>
                <w:lang w:val="bg-BG" w:eastAsia="bg-BG"/>
              </w:rPr>
              <w:t>12</w:t>
            </w:r>
          </w:p>
        </w:tc>
        <w:tc>
          <w:tcPr>
            <w:tcW w:w="2127" w:type="dxa"/>
            <w:vAlign w:val="center"/>
          </w:tcPr>
          <w:p w14:paraId="533EFB83" w14:textId="77777777" w:rsidR="00B06D6E" w:rsidRPr="00B06D6E" w:rsidRDefault="00B06D6E" w:rsidP="00B06D6E">
            <w:pPr>
              <w:jc w:val="right"/>
              <w:rPr>
                <w:rFonts w:ascii="Arial Narrow" w:hAnsi="Arial Narrow"/>
                <w:b/>
                <w:sz w:val="20"/>
                <w:szCs w:val="20"/>
                <w:lang w:val="bg-BG" w:eastAsia="bg-BG"/>
              </w:rPr>
            </w:pPr>
            <w:r w:rsidRPr="00B06D6E">
              <w:rPr>
                <w:rFonts w:ascii="Arial Narrow" w:hAnsi="Arial Narrow"/>
                <w:b/>
                <w:sz w:val="20"/>
                <w:szCs w:val="20"/>
                <w:lang w:val="bg-BG" w:eastAsia="bg-BG"/>
              </w:rPr>
              <w:t>3 960 076</w:t>
            </w:r>
          </w:p>
        </w:tc>
      </w:tr>
    </w:tbl>
    <w:p w14:paraId="67C31D15" w14:textId="77777777" w:rsidR="00B06D6E" w:rsidRPr="00F66E81" w:rsidRDefault="00B06D6E" w:rsidP="00B06D6E">
      <w:pPr>
        <w:spacing w:after="240"/>
        <w:rPr>
          <w:rFonts w:ascii="Arial Narrow" w:hAnsi="Arial Narrow"/>
          <w:sz w:val="18"/>
          <w:lang w:val="bg-BG" w:eastAsia="bg-BG"/>
        </w:rPr>
      </w:pPr>
      <w:r w:rsidRPr="00F66E81">
        <w:rPr>
          <w:rFonts w:ascii="Arial Narrow" w:hAnsi="Arial Narrow"/>
          <w:i/>
          <w:sz w:val="18"/>
          <w:lang w:val="bg-BG" w:eastAsia="bg-BG"/>
        </w:rPr>
        <w:t xml:space="preserve">Източник: </w:t>
      </w:r>
      <w:r w:rsidRPr="00F66E81">
        <w:rPr>
          <w:rFonts w:ascii="Arial Narrow" w:hAnsi="Arial Narrow"/>
          <w:sz w:val="18"/>
          <w:lang w:val="bg-BG" w:eastAsia="bg-BG"/>
        </w:rPr>
        <w:t>ДФЗ-РА</w:t>
      </w:r>
    </w:p>
    <w:p w14:paraId="433F8E9D" w14:textId="77777777" w:rsidR="00B06D6E" w:rsidRPr="00B06D6E" w:rsidRDefault="00B06D6E" w:rsidP="00B06D6E">
      <w:pPr>
        <w:spacing w:after="120"/>
        <w:ind w:firstLine="720"/>
        <w:jc w:val="both"/>
        <w:rPr>
          <w:rFonts w:ascii="Arial Narrow" w:hAnsi="Arial Narrow"/>
          <w:b/>
          <w:i/>
          <w:lang w:val="bg-BG" w:eastAsia="bg-BG"/>
        </w:rPr>
      </w:pPr>
      <w:r w:rsidRPr="00B06D6E">
        <w:rPr>
          <w:rFonts w:ascii="Arial Narrow" w:hAnsi="Arial Narrow"/>
          <w:b/>
          <w:i/>
          <w:lang w:val="bg-BG" w:eastAsia="bg-BG"/>
        </w:rPr>
        <w:t>Интервенция „Застраховане на реколта“</w:t>
      </w:r>
    </w:p>
    <w:p w14:paraId="784EEAA8" w14:textId="77777777" w:rsidR="00B06D6E" w:rsidRPr="00B06D6E" w:rsidRDefault="00B06D6E" w:rsidP="00B06D6E">
      <w:pPr>
        <w:spacing w:after="120"/>
        <w:ind w:firstLine="720"/>
        <w:jc w:val="both"/>
        <w:rPr>
          <w:rFonts w:ascii="Arial Narrow" w:hAnsi="Arial Narrow"/>
          <w:lang w:val="bg-BG" w:eastAsia="bg-BG"/>
        </w:rPr>
      </w:pPr>
      <w:r w:rsidRPr="00B06D6E">
        <w:rPr>
          <w:rFonts w:ascii="Arial Narrow" w:hAnsi="Arial Narrow"/>
          <w:lang w:val="bg-BG" w:eastAsia="bg-BG"/>
        </w:rPr>
        <w:t xml:space="preserve">По интервенцията се подпомага застраховането на реколта от лозя с винени сортове грозде. В обхвата й са включени рискове като слана, буря, градушка, заледяване, силен проливен дъжд, тежка суша и природни бедствия, както и други застрахователни рискове, които могат да доведат до унищожаване на реколтата. Финансовата помощ възлиза на до 80% от разходите за застрахователни премии. </w:t>
      </w:r>
    </w:p>
    <w:p w14:paraId="068D3621" w14:textId="77777777" w:rsidR="00B06D6E" w:rsidRPr="00B06D6E" w:rsidRDefault="00B06D6E" w:rsidP="00B06D6E">
      <w:pPr>
        <w:spacing w:after="120"/>
        <w:ind w:firstLine="720"/>
        <w:jc w:val="both"/>
        <w:rPr>
          <w:rFonts w:ascii="Arial Narrow" w:hAnsi="Arial Narrow"/>
          <w:lang w:val="bg-BG" w:eastAsia="bg-BG"/>
        </w:rPr>
      </w:pPr>
      <w:r w:rsidRPr="00B06D6E">
        <w:rPr>
          <w:rFonts w:ascii="Arial Narrow" w:hAnsi="Arial Narrow"/>
          <w:lang w:val="bg-BG" w:eastAsia="bg-BG"/>
        </w:rPr>
        <w:t>В периода 15 май - 15 юни 2024 г. е проведен прием по интервенцията, с постъпили 49 заявления за подпомагане. Сключени са 46 административни договора с общ размер на субсидията 405 197 лева, които са разплатени изцяло през календарната 2024 г.</w:t>
      </w:r>
    </w:p>
    <w:p w14:paraId="726256A5" w14:textId="77777777" w:rsidR="00B06D6E" w:rsidRPr="00B06D6E" w:rsidRDefault="00B06D6E" w:rsidP="00B06D6E">
      <w:pPr>
        <w:keepNext/>
        <w:spacing w:after="120"/>
        <w:jc w:val="both"/>
        <w:rPr>
          <w:rFonts w:ascii="Arial Narrow" w:hAnsi="Arial Narrow"/>
          <w:lang w:val="bg-BG" w:eastAsia="bg-BG"/>
        </w:rPr>
      </w:pPr>
      <w:r w:rsidRPr="00B06D6E">
        <w:rPr>
          <w:rFonts w:ascii="Arial Narrow" w:hAnsi="Arial Narrow"/>
          <w:b/>
          <w:szCs w:val="20"/>
          <w:lang w:val="bg-BG" w:eastAsia="bg-BG"/>
        </w:rPr>
        <w:lastRenderedPageBreak/>
        <w:t xml:space="preserve">Таблица </w:t>
      </w:r>
      <w:r w:rsidR="00CA4006" w:rsidRPr="001B6ED3">
        <w:rPr>
          <w:rFonts w:ascii="Arial Narrow" w:hAnsi="Arial Narrow" w:cs="Arial Narrow"/>
          <w:b/>
          <w:bCs/>
          <w:lang w:val="bg-BG"/>
        </w:rPr>
        <w:t>ІV.1</w:t>
      </w:r>
      <w:r w:rsidR="00712B4B">
        <w:rPr>
          <w:rFonts w:ascii="Arial Narrow" w:hAnsi="Arial Narrow" w:cs="Arial Narrow"/>
          <w:b/>
          <w:bCs/>
          <w:lang w:val="bg-BG"/>
        </w:rPr>
        <w:t>2</w:t>
      </w:r>
      <w:r w:rsidR="00CA4006">
        <w:rPr>
          <w:rFonts w:ascii="Arial Narrow" w:hAnsi="Arial Narrow" w:cs="Arial Narrow"/>
          <w:b/>
          <w:bCs/>
          <w:lang w:val="bg-BG"/>
        </w:rPr>
        <w:t>.</w:t>
      </w:r>
      <w:r w:rsidRPr="00B06D6E">
        <w:rPr>
          <w:rFonts w:ascii="Arial Narrow" w:hAnsi="Arial Narrow" w:cs="Arial Narrow"/>
          <w:b/>
          <w:bCs/>
          <w:lang w:val="bg-BG" w:eastAsia="bg-BG"/>
        </w:rPr>
        <w:t xml:space="preserve"> Данни за прилагане на интервенция „</w:t>
      </w:r>
      <w:r w:rsidRPr="00B06D6E">
        <w:rPr>
          <w:rFonts w:ascii="Arial Narrow" w:hAnsi="Arial Narrow"/>
          <w:b/>
          <w:lang w:val="bg-BG" w:eastAsia="bg-BG"/>
        </w:rPr>
        <w:t xml:space="preserve">Застраховане на реколта“ </w:t>
      </w:r>
      <w:r w:rsidRPr="00B06D6E">
        <w:rPr>
          <w:rFonts w:ascii="Arial Narrow" w:hAnsi="Arial Narrow" w:cs="Arial Narrow"/>
          <w:b/>
          <w:bCs/>
          <w:lang w:val="bg-BG" w:eastAsia="bg-BG"/>
        </w:rPr>
        <w:t>за финансовата 2024 г.</w:t>
      </w:r>
    </w:p>
    <w:tbl>
      <w:tblPr>
        <w:tblStyle w:val="TableGrid83"/>
        <w:tblW w:w="9782" w:type="dxa"/>
        <w:tblInd w:w="108" w:type="dxa"/>
        <w:tblLook w:val="04A0" w:firstRow="1" w:lastRow="0" w:firstColumn="1" w:lastColumn="0" w:noHBand="0" w:noVBand="1"/>
      </w:tblPr>
      <w:tblGrid>
        <w:gridCol w:w="2730"/>
        <w:gridCol w:w="1727"/>
        <w:gridCol w:w="1871"/>
        <w:gridCol w:w="1696"/>
        <w:gridCol w:w="1758"/>
      </w:tblGrid>
      <w:tr w:rsidR="00B06D6E" w:rsidRPr="00B06D6E" w14:paraId="48FBF38E" w14:textId="77777777" w:rsidTr="00CA4006">
        <w:trPr>
          <w:trHeight w:val="893"/>
        </w:trPr>
        <w:tc>
          <w:tcPr>
            <w:tcW w:w="2730" w:type="dxa"/>
            <w:vAlign w:val="center"/>
          </w:tcPr>
          <w:p w14:paraId="41A2DCCC" w14:textId="77777777" w:rsidR="00B06D6E" w:rsidRPr="00B06D6E" w:rsidRDefault="00B06D6E" w:rsidP="00B06D6E">
            <w:pPr>
              <w:jc w:val="center"/>
              <w:rPr>
                <w:rFonts w:ascii="Arial Narrow" w:hAnsi="Arial Narrow"/>
                <w:b/>
                <w:sz w:val="20"/>
                <w:szCs w:val="20"/>
                <w:lang w:val="bg-BG" w:eastAsia="bg-BG"/>
              </w:rPr>
            </w:pPr>
            <w:r w:rsidRPr="00B06D6E">
              <w:rPr>
                <w:rFonts w:ascii="Arial Narrow" w:hAnsi="Arial Narrow"/>
                <w:b/>
                <w:sz w:val="20"/>
                <w:szCs w:val="20"/>
                <w:lang w:val="bg-BG" w:eastAsia="bg-BG"/>
              </w:rPr>
              <w:t>Интервенция</w:t>
            </w:r>
          </w:p>
        </w:tc>
        <w:tc>
          <w:tcPr>
            <w:tcW w:w="1727" w:type="dxa"/>
            <w:vAlign w:val="center"/>
          </w:tcPr>
          <w:p w14:paraId="1FFD4478" w14:textId="77777777" w:rsidR="00B06D6E" w:rsidRPr="00B06D6E" w:rsidRDefault="00B06D6E" w:rsidP="00B06D6E">
            <w:pPr>
              <w:jc w:val="center"/>
              <w:rPr>
                <w:rFonts w:ascii="Arial Narrow" w:hAnsi="Arial Narrow"/>
                <w:b/>
                <w:sz w:val="20"/>
                <w:szCs w:val="20"/>
                <w:lang w:val="bg-BG" w:eastAsia="bg-BG"/>
              </w:rPr>
            </w:pPr>
            <w:r w:rsidRPr="00B06D6E">
              <w:rPr>
                <w:rFonts w:ascii="Arial Narrow" w:hAnsi="Arial Narrow"/>
                <w:b/>
                <w:sz w:val="20"/>
                <w:szCs w:val="20"/>
                <w:lang w:val="bg-BG" w:eastAsia="bg-BG"/>
              </w:rPr>
              <w:t>Брой подадени заявления за финансово подпомагане</w:t>
            </w:r>
          </w:p>
        </w:tc>
        <w:tc>
          <w:tcPr>
            <w:tcW w:w="1871" w:type="dxa"/>
            <w:vAlign w:val="center"/>
          </w:tcPr>
          <w:p w14:paraId="52387893" w14:textId="77777777" w:rsidR="00B06D6E" w:rsidRPr="00B06D6E" w:rsidRDefault="00B06D6E" w:rsidP="00B06D6E">
            <w:pPr>
              <w:jc w:val="center"/>
              <w:rPr>
                <w:rFonts w:ascii="Arial Narrow" w:hAnsi="Arial Narrow"/>
                <w:b/>
                <w:sz w:val="20"/>
                <w:szCs w:val="20"/>
                <w:lang w:val="bg-BG" w:eastAsia="bg-BG"/>
              </w:rPr>
            </w:pPr>
            <w:r w:rsidRPr="00B06D6E">
              <w:rPr>
                <w:rFonts w:ascii="Arial Narrow" w:hAnsi="Arial Narrow"/>
                <w:b/>
                <w:sz w:val="20"/>
                <w:szCs w:val="20"/>
                <w:lang w:val="bg-BG" w:eastAsia="bg-BG"/>
              </w:rPr>
              <w:t>Заявена</w:t>
            </w:r>
          </w:p>
          <w:p w14:paraId="5B767618" w14:textId="77777777" w:rsidR="00B06D6E" w:rsidRPr="00B06D6E" w:rsidRDefault="00B06D6E" w:rsidP="00B06D6E">
            <w:pPr>
              <w:jc w:val="center"/>
              <w:rPr>
                <w:rFonts w:ascii="Arial Narrow" w:hAnsi="Arial Narrow"/>
                <w:b/>
                <w:sz w:val="20"/>
                <w:szCs w:val="20"/>
                <w:lang w:val="bg-BG" w:eastAsia="bg-BG"/>
              </w:rPr>
            </w:pPr>
            <w:r w:rsidRPr="00B06D6E">
              <w:rPr>
                <w:rFonts w:ascii="Arial Narrow" w:hAnsi="Arial Narrow"/>
                <w:b/>
                <w:sz w:val="20"/>
                <w:szCs w:val="20"/>
                <w:lang w:val="bg-BG" w:eastAsia="bg-BG"/>
              </w:rPr>
              <w:t>финансова</w:t>
            </w:r>
          </w:p>
          <w:p w14:paraId="6A9D56A0" w14:textId="77777777" w:rsidR="00B06D6E" w:rsidRPr="00B06D6E" w:rsidRDefault="00B06D6E" w:rsidP="00B06D6E">
            <w:pPr>
              <w:jc w:val="center"/>
              <w:rPr>
                <w:rFonts w:ascii="Arial Narrow" w:hAnsi="Arial Narrow"/>
                <w:b/>
                <w:sz w:val="20"/>
                <w:szCs w:val="20"/>
                <w:lang w:val="bg-BG" w:eastAsia="bg-BG"/>
              </w:rPr>
            </w:pPr>
            <w:r w:rsidRPr="00B06D6E">
              <w:rPr>
                <w:rFonts w:ascii="Arial Narrow" w:hAnsi="Arial Narrow"/>
                <w:b/>
                <w:sz w:val="20"/>
                <w:szCs w:val="20"/>
                <w:lang w:val="bg-BG" w:eastAsia="bg-BG"/>
              </w:rPr>
              <w:t>помощ</w:t>
            </w:r>
          </w:p>
          <w:p w14:paraId="31112526" w14:textId="77777777" w:rsidR="00B06D6E" w:rsidRPr="00B06D6E" w:rsidRDefault="00B06D6E" w:rsidP="00B06D6E">
            <w:pPr>
              <w:jc w:val="center"/>
              <w:rPr>
                <w:rFonts w:ascii="Arial Narrow" w:hAnsi="Arial Narrow"/>
                <w:b/>
                <w:sz w:val="20"/>
                <w:szCs w:val="20"/>
                <w:lang w:val="bg-BG" w:eastAsia="bg-BG"/>
              </w:rPr>
            </w:pPr>
            <w:r w:rsidRPr="00B06D6E">
              <w:rPr>
                <w:rFonts w:ascii="Arial Narrow" w:hAnsi="Arial Narrow"/>
                <w:b/>
                <w:sz w:val="20"/>
                <w:szCs w:val="20"/>
                <w:lang w:val="bg-BG" w:eastAsia="bg-BG"/>
              </w:rPr>
              <w:t>(лева)</w:t>
            </w:r>
          </w:p>
        </w:tc>
        <w:tc>
          <w:tcPr>
            <w:tcW w:w="1696" w:type="dxa"/>
            <w:vAlign w:val="center"/>
          </w:tcPr>
          <w:p w14:paraId="79CAE14B" w14:textId="77777777" w:rsidR="00B06D6E" w:rsidRPr="00B06D6E" w:rsidRDefault="00B06D6E" w:rsidP="00B06D6E">
            <w:pPr>
              <w:jc w:val="center"/>
              <w:rPr>
                <w:rFonts w:ascii="Arial Narrow" w:hAnsi="Arial Narrow"/>
                <w:b/>
                <w:sz w:val="20"/>
                <w:szCs w:val="20"/>
                <w:lang w:val="bg-BG" w:eastAsia="bg-BG"/>
              </w:rPr>
            </w:pPr>
            <w:r w:rsidRPr="00B06D6E">
              <w:rPr>
                <w:rFonts w:ascii="Arial Narrow" w:hAnsi="Arial Narrow"/>
                <w:b/>
                <w:sz w:val="20"/>
                <w:szCs w:val="20"/>
                <w:lang w:val="bg-BG" w:eastAsia="bg-BG"/>
              </w:rPr>
              <w:t>Брой сключени</w:t>
            </w:r>
          </w:p>
          <w:p w14:paraId="7731E6D0" w14:textId="77777777" w:rsidR="00B06D6E" w:rsidRPr="00B06D6E" w:rsidRDefault="00B06D6E" w:rsidP="00B06D6E">
            <w:pPr>
              <w:jc w:val="center"/>
              <w:rPr>
                <w:rFonts w:ascii="Arial Narrow" w:hAnsi="Arial Narrow"/>
                <w:b/>
                <w:sz w:val="20"/>
                <w:szCs w:val="20"/>
                <w:lang w:val="bg-BG" w:eastAsia="bg-BG"/>
              </w:rPr>
            </w:pPr>
            <w:r w:rsidRPr="00B06D6E">
              <w:rPr>
                <w:rFonts w:ascii="Arial Narrow" w:hAnsi="Arial Narrow"/>
                <w:b/>
                <w:sz w:val="20"/>
                <w:szCs w:val="20"/>
                <w:lang w:val="bg-BG" w:eastAsia="bg-BG"/>
              </w:rPr>
              <w:t>договори</w:t>
            </w:r>
          </w:p>
        </w:tc>
        <w:tc>
          <w:tcPr>
            <w:tcW w:w="1758" w:type="dxa"/>
            <w:vAlign w:val="center"/>
          </w:tcPr>
          <w:p w14:paraId="5070C168" w14:textId="77777777" w:rsidR="00B06D6E" w:rsidRPr="00B06D6E" w:rsidRDefault="00B06D6E" w:rsidP="00B06D6E">
            <w:pPr>
              <w:jc w:val="center"/>
              <w:rPr>
                <w:rFonts w:ascii="Arial Narrow" w:hAnsi="Arial Narrow"/>
                <w:b/>
                <w:sz w:val="20"/>
                <w:szCs w:val="20"/>
                <w:lang w:val="bg-BG" w:eastAsia="bg-BG"/>
              </w:rPr>
            </w:pPr>
            <w:r w:rsidRPr="00B06D6E">
              <w:rPr>
                <w:rFonts w:ascii="Arial Narrow" w:hAnsi="Arial Narrow"/>
                <w:b/>
                <w:sz w:val="20"/>
                <w:szCs w:val="20"/>
                <w:lang w:val="bg-BG" w:eastAsia="bg-BG"/>
              </w:rPr>
              <w:t>Одобрена</w:t>
            </w:r>
          </w:p>
          <w:p w14:paraId="10B898C3" w14:textId="77777777" w:rsidR="00B06D6E" w:rsidRPr="00B06D6E" w:rsidRDefault="00B06D6E" w:rsidP="00B06D6E">
            <w:pPr>
              <w:jc w:val="center"/>
              <w:rPr>
                <w:rFonts w:ascii="Arial Narrow" w:hAnsi="Arial Narrow"/>
                <w:b/>
                <w:sz w:val="20"/>
                <w:szCs w:val="20"/>
                <w:lang w:val="bg-BG" w:eastAsia="bg-BG"/>
              </w:rPr>
            </w:pPr>
            <w:r w:rsidRPr="00B06D6E">
              <w:rPr>
                <w:rFonts w:ascii="Arial Narrow" w:hAnsi="Arial Narrow"/>
                <w:b/>
                <w:sz w:val="20"/>
                <w:szCs w:val="20"/>
                <w:lang w:val="bg-BG" w:eastAsia="bg-BG"/>
              </w:rPr>
              <w:t>финансова</w:t>
            </w:r>
          </w:p>
          <w:p w14:paraId="14C92C7C" w14:textId="77777777" w:rsidR="00B06D6E" w:rsidRPr="00B06D6E" w:rsidRDefault="00B06D6E" w:rsidP="00B06D6E">
            <w:pPr>
              <w:jc w:val="center"/>
              <w:rPr>
                <w:rFonts w:ascii="Arial Narrow" w:hAnsi="Arial Narrow"/>
                <w:b/>
                <w:sz w:val="20"/>
                <w:szCs w:val="20"/>
                <w:lang w:val="bg-BG" w:eastAsia="bg-BG"/>
              </w:rPr>
            </w:pPr>
            <w:r w:rsidRPr="00B06D6E">
              <w:rPr>
                <w:rFonts w:ascii="Arial Narrow" w:hAnsi="Arial Narrow"/>
                <w:b/>
                <w:sz w:val="20"/>
                <w:szCs w:val="20"/>
                <w:lang w:val="bg-BG" w:eastAsia="bg-BG"/>
              </w:rPr>
              <w:t>помощ</w:t>
            </w:r>
          </w:p>
          <w:p w14:paraId="04BC5B01" w14:textId="77777777" w:rsidR="00B06D6E" w:rsidRPr="00B06D6E" w:rsidRDefault="00B06D6E" w:rsidP="00B06D6E">
            <w:pPr>
              <w:jc w:val="center"/>
              <w:rPr>
                <w:rFonts w:ascii="Arial Narrow" w:hAnsi="Arial Narrow"/>
                <w:b/>
                <w:sz w:val="20"/>
                <w:szCs w:val="20"/>
                <w:lang w:val="bg-BG" w:eastAsia="bg-BG"/>
              </w:rPr>
            </w:pPr>
            <w:r w:rsidRPr="00B06D6E">
              <w:rPr>
                <w:rFonts w:ascii="Arial Narrow" w:hAnsi="Arial Narrow"/>
                <w:b/>
                <w:sz w:val="20"/>
                <w:szCs w:val="20"/>
                <w:lang w:val="bg-BG" w:eastAsia="bg-BG"/>
              </w:rPr>
              <w:t>(лева)</w:t>
            </w:r>
          </w:p>
        </w:tc>
      </w:tr>
      <w:tr w:rsidR="00B06D6E" w:rsidRPr="00B06D6E" w14:paraId="05E5CB68" w14:textId="77777777" w:rsidTr="00CA4006">
        <w:trPr>
          <w:trHeight w:val="351"/>
        </w:trPr>
        <w:tc>
          <w:tcPr>
            <w:tcW w:w="2730" w:type="dxa"/>
            <w:vAlign w:val="center"/>
          </w:tcPr>
          <w:p w14:paraId="04BB5F4A" w14:textId="77777777" w:rsidR="00B06D6E" w:rsidRPr="00B06D6E" w:rsidRDefault="00B06D6E" w:rsidP="00B06D6E">
            <w:pPr>
              <w:rPr>
                <w:rFonts w:ascii="Arial Narrow" w:hAnsi="Arial Narrow"/>
                <w:sz w:val="20"/>
                <w:szCs w:val="20"/>
                <w:lang w:val="bg-BG" w:eastAsia="bg-BG"/>
              </w:rPr>
            </w:pPr>
            <w:r w:rsidRPr="00B06D6E">
              <w:rPr>
                <w:rFonts w:ascii="Arial Narrow" w:hAnsi="Arial Narrow"/>
                <w:sz w:val="20"/>
                <w:szCs w:val="20"/>
                <w:lang w:val="bg-BG" w:eastAsia="bg-BG"/>
              </w:rPr>
              <w:t>Застраховане на реколта</w:t>
            </w:r>
          </w:p>
        </w:tc>
        <w:tc>
          <w:tcPr>
            <w:tcW w:w="1727" w:type="dxa"/>
            <w:vAlign w:val="center"/>
          </w:tcPr>
          <w:p w14:paraId="23433F0D" w14:textId="77777777" w:rsidR="00B06D6E" w:rsidRPr="00B06D6E" w:rsidRDefault="00B06D6E" w:rsidP="00B06D6E">
            <w:pPr>
              <w:jc w:val="right"/>
              <w:rPr>
                <w:rFonts w:ascii="Arial Narrow" w:hAnsi="Arial Narrow"/>
                <w:sz w:val="20"/>
                <w:szCs w:val="20"/>
                <w:lang w:val="bg-BG" w:eastAsia="bg-BG"/>
              </w:rPr>
            </w:pPr>
            <w:r w:rsidRPr="00B06D6E">
              <w:rPr>
                <w:rFonts w:ascii="Arial Narrow" w:hAnsi="Arial Narrow"/>
                <w:sz w:val="20"/>
                <w:szCs w:val="20"/>
                <w:lang w:val="bg-BG" w:eastAsia="bg-BG"/>
              </w:rPr>
              <w:t>49</w:t>
            </w:r>
          </w:p>
        </w:tc>
        <w:tc>
          <w:tcPr>
            <w:tcW w:w="1871" w:type="dxa"/>
            <w:vAlign w:val="center"/>
          </w:tcPr>
          <w:p w14:paraId="65D68CCB" w14:textId="77777777" w:rsidR="00B06D6E" w:rsidRPr="00B06D6E" w:rsidRDefault="00B06D6E" w:rsidP="00B06D6E">
            <w:pPr>
              <w:jc w:val="right"/>
              <w:rPr>
                <w:rFonts w:ascii="Arial Narrow" w:hAnsi="Arial Narrow"/>
                <w:sz w:val="20"/>
                <w:szCs w:val="20"/>
                <w:lang w:val="bg-BG" w:eastAsia="bg-BG"/>
              </w:rPr>
            </w:pPr>
            <w:r w:rsidRPr="00B06D6E">
              <w:rPr>
                <w:rFonts w:ascii="Arial Narrow" w:hAnsi="Arial Narrow"/>
                <w:sz w:val="20"/>
                <w:szCs w:val="20"/>
                <w:lang w:val="bg-BG" w:eastAsia="bg-BG"/>
              </w:rPr>
              <w:t>485 795</w:t>
            </w:r>
          </w:p>
        </w:tc>
        <w:tc>
          <w:tcPr>
            <w:tcW w:w="1696" w:type="dxa"/>
            <w:vAlign w:val="center"/>
          </w:tcPr>
          <w:p w14:paraId="72E434FD" w14:textId="77777777" w:rsidR="00B06D6E" w:rsidRPr="00B06D6E" w:rsidRDefault="00B06D6E" w:rsidP="00B06D6E">
            <w:pPr>
              <w:jc w:val="right"/>
              <w:rPr>
                <w:rFonts w:ascii="Arial Narrow" w:hAnsi="Arial Narrow"/>
                <w:sz w:val="20"/>
                <w:szCs w:val="20"/>
                <w:lang w:val="bg-BG" w:eastAsia="bg-BG"/>
              </w:rPr>
            </w:pPr>
            <w:r w:rsidRPr="00B06D6E">
              <w:rPr>
                <w:rFonts w:ascii="Arial Narrow" w:hAnsi="Arial Narrow"/>
                <w:sz w:val="20"/>
                <w:szCs w:val="20"/>
                <w:lang w:val="bg-BG" w:eastAsia="bg-BG"/>
              </w:rPr>
              <w:t>46</w:t>
            </w:r>
          </w:p>
        </w:tc>
        <w:tc>
          <w:tcPr>
            <w:tcW w:w="1758" w:type="dxa"/>
            <w:vAlign w:val="center"/>
          </w:tcPr>
          <w:p w14:paraId="37D1C7AB" w14:textId="77777777" w:rsidR="00B06D6E" w:rsidRPr="00B06D6E" w:rsidRDefault="00B06D6E" w:rsidP="00B06D6E">
            <w:pPr>
              <w:jc w:val="right"/>
              <w:rPr>
                <w:rFonts w:ascii="Arial Narrow" w:hAnsi="Arial Narrow"/>
                <w:sz w:val="20"/>
                <w:szCs w:val="20"/>
                <w:lang w:val="bg-BG" w:eastAsia="bg-BG"/>
              </w:rPr>
            </w:pPr>
            <w:r w:rsidRPr="00B06D6E">
              <w:rPr>
                <w:rFonts w:ascii="Arial Narrow" w:hAnsi="Arial Narrow"/>
                <w:sz w:val="20"/>
                <w:szCs w:val="20"/>
                <w:lang w:val="bg-BG" w:eastAsia="bg-BG"/>
              </w:rPr>
              <w:t>405 197</w:t>
            </w:r>
          </w:p>
        </w:tc>
      </w:tr>
    </w:tbl>
    <w:p w14:paraId="5BB917EA" w14:textId="77777777" w:rsidR="00B06D6E" w:rsidRPr="00F66E81" w:rsidRDefault="00B06D6E" w:rsidP="00B06D6E">
      <w:pPr>
        <w:spacing w:after="240"/>
        <w:rPr>
          <w:rFonts w:ascii="Arial Narrow" w:hAnsi="Arial Narrow"/>
          <w:sz w:val="18"/>
          <w:lang w:val="bg-BG" w:eastAsia="bg-BG"/>
        </w:rPr>
      </w:pPr>
      <w:r w:rsidRPr="00F66E81">
        <w:rPr>
          <w:rFonts w:ascii="Arial Narrow" w:hAnsi="Arial Narrow"/>
          <w:i/>
          <w:sz w:val="18"/>
          <w:lang w:val="bg-BG" w:eastAsia="bg-BG"/>
        </w:rPr>
        <w:t xml:space="preserve">Източник: </w:t>
      </w:r>
      <w:r w:rsidRPr="00F66E81">
        <w:rPr>
          <w:rFonts w:ascii="Arial Narrow" w:hAnsi="Arial Narrow"/>
          <w:sz w:val="18"/>
          <w:lang w:val="bg-BG" w:eastAsia="bg-BG"/>
        </w:rPr>
        <w:t>ДФЗ-РА</w:t>
      </w:r>
    </w:p>
    <w:p w14:paraId="66D7629E" w14:textId="77777777" w:rsidR="00B06D6E" w:rsidRPr="00B06D6E" w:rsidRDefault="00B06D6E" w:rsidP="00B06D6E">
      <w:pPr>
        <w:spacing w:after="120"/>
        <w:ind w:firstLine="720"/>
        <w:jc w:val="both"/>
        <w:rPr>
          <w:rFonts w:ascii="Arial Narrow" w:hAnsi="Arial Narrow"/>
          <w:i/>
          <w:lang w:val="bg-BG" w:eastAsia="bg-BG"/>
        </w:rPr>
      </w:pPr>
      <w:r w:rsidRPr="00B06D6E">
        <w:rPr>
          <w:rFonts w:ascii="Arial Narrow" w:hAnsi="Arial Narrow"/>
          <w:b/>
          <w:i/>
          <w:lang w:val="bg-BG" w:eastAsia="bg-BG"/>
        </w:rPr>
        <w:t>Интервенция „Събиране на реколтата на зелено“</w:t>
      </w:r>
      <w:r w:rsidRPr="00B06D6E">
        <w:rPr>
          <w:rFonts w:ascii="Arial Narrow" w:hAnsi="Arial Narrow"/>
          <w:i/>
          <w:lang w:val="bg-BG" w:eastAsia="bg-BG"/>
        </w:rPr>
        <w:t xml:space="preserve"> </w:t>
      </w:r>
    </w:p>
    <w:p w14:paraId="6FEF35D7" w14:textId="77777777" w:rsidR="00B06D6E" w:rsidRPr="00B06D6E" w:rsidRDefault="00B06D6E" w:rsidP="00B06D6E">
      <w:pPr>
        <w:spacing w:after="120"/>
        <w:ind w:firstLine="720"/>
        <w:jc w:val="both"/>
        <w:rPr>
          <w:rFonts w:ascii="Arial Narrow" w:hAnsi="Arial Narrow"/>
          <w:lang w:val="bg-BG" w:eastAsia="bg-BG"/>
        </w:rPr>
      </w:pPr>
      <w:r w:rsidRPr="00B06D6E">
        <w:rPr>
          <w:rFonts w:ascii="Arial Narrow" w:hAnsi="Arial Narrow"/>
          <w:lang w:val="bg-BG" w:eastAsia="bg-BG"/>
        </w:rPr>
        <w:t>Интервенцията е кризисна и нейното прилагане се обосновава от възникнал пазарен дисбаланс в сектора - очаквано свръхпроизводство на винено грозде в комбинация с високи складови наличности на вино в предприятията. Подпомага се пълното ръчно отстраняване на гроздовете, докато все още не са узрели, като по този начин добивът от съответната заявена площ се намалява до нула. Интервенцията може да се прилага за всички сортове винени лозя съгласно Списък на класифицираните винени сортове лози по лозарски райони и лозарски зони в ЕС на Република България.</w:t>
      </w:r>
    </w:p>
    <w:p w14:paraId="46F16F44" w14:textId="77777777" w:rsidR="00B06D6E" w:rsidRPr="00B06D6E" w:rsidRDefault="00B06D6E" w:rsidP="00B06D6E">
      <w:pPr>
        <w:spacing w:after="120"/>
        <w:ind w:firstLine="720"/>
        <w:jc w:val="both"/>
        <w:rPr>
          <w:rFonts w:ascii="Arial Narrow" w:hAnsi="Arial Narrow"/>
          <w:lang w:val="bg-BG" w:eastAsia="bg-BG"/>
        </w:rPr>
      </w:pPr>
      <w:r w:rsidRPr="00B06D6E">
        <w:rPr>
          <w:rFonts w:ascii="Arial Narrow" w:hAnsi="Arial Narrow"/>
          <w:lang w:val="bg-BG" w:eastAsia="bg-BG"/>
        </w:rPr>
        <w:t>През финансовата 2024 г. по тази интервенция не е отварян прием поради липса на пазарна ситуация.</w:t>
      </w:r>
    </w:p>
    <w:p w14:paraId="37466EC7" w14:textId="77777777" w:rsidR="00B06D6E" w:rsidRPr="00B06D6E" w:rsidRDefault="00B06D6E" w:rsidP="00B06D6E">
      <w:pPr>
        <w:spacing w:after="120"/>
        <w:ind w:firstLine="720"/>
        <w:jc w:val="both"/>
        <w:rPr>
          <w:rFonts w:ascii="Arial Narrow" w:hAnsi="Arial Narrow"/>
          <w:lang w:val="bg-BG" w:eastAsia="bg-BG"/>
        </w:rPr>
      </w:pPr>
      <w:r w:rsidRPr="00B06D6E">
        <w:rPr>
          <w:rFonts w:ascii="Arial Narrow" w:hAnsi="Arial Narrow"/>
          <w:lang w:val="bg-BG" w:eastAsia="bg-BG"/>
        </w:rPr>
        <w:t xml:space="preserve">По </w:t>
      </w:r>
      <w:r w:rsidRPr="00B06D6E">
        <w:rPr>
          <w:rFonts w:ascii="Arial Narrow" w:hAnsi="Arial Narrow"/>
          <w:b/>
          <w:i/>
          <w:lang w:val="bg-BG" w:eastAsia="bg-BG"/>
        </w:rPr>
        <w:t>интервенции „Популяризиране в трети държави“</w:t>
      </w:r>
      <w:r w:rsidRPr="00B06D6E">
        <w:rPr>
          <w:rFonts w:ascii="Arial Narrow" w:hAnsi="Arial Narrow"/>
          <w:lang w:val="bg-BG" w:eastAsia="bg-BG"/>
        </w:rPr>
        <w:t xml:space="preserve"> и </w:t>
      </w:r>
      <w:r w:rsidRPr="00B06D6E">
        <w:rPr>
          <w:rFonts w:ascii="Arial Narrow" w:hAnsi="Arial Narrow"/>
          <w:b/>
          <w:i/>
          <w:lang w:val="bg-BG" w:eastAsia="bg-BG"/>
        </w:rPr>
        <w:t>„Информиране в държавите членки“</w:t>
      </w:r>
      <w:r w:rsidRPr="00B06D6E">
        <w:rPr>
          <w:rFonts w:ascii="Arial Narrow" w:hAnsi="Arial Narrow"/>
          <w:lang w:val="bg-BG" w:eastAsia="bg-BG"/>
        </w:rPr>
        <w:t xml:space="preserve"> за финансовата 2024 г. не са постъпили заявления за предоставяне на финансова помощ. През календарната 2024 г. по интервенция „Популяризиране в трети държави“ са изплатени 116 209 лева, а по интервенция „Информиране в държавите членки“ - 43 821 лева. </w:t>
      </w:r>
    </w:p>
    <w:p w14:paraId="2414916D" w14:textId="77777777" w:rsidR="00B06D6E" w:rsidRPr="00B06D6E" w:rsidRDefault="00B06D6E" w:rsidP="00B06D6E">
      <w:pPr>
        <w:spacing w:after="120"/>
        <w:ind w:firstLine="720"/>
        <w:jc w:val="both"/>
        <w:rPr>
          <w:rFonts w:ascii="Arial Narrow" w:hAnsi="Arial Narrow"/>
          <w:lang w:val="bg-BG" w:eastAsia="bg-BG"/>
        </w:rPr>
      </w:pPr>
      <w:r w:rsidRPr="00B06D6E">
        <w:rPr>
          <w:rFonts w:ascii="Arial Narrow" w:hAnsi="Arial Narrow"/>
          <w:lang w:val="bg-BG" w:eastAsia="bg-BG"/>
        </w:rPr>
        <w:t>За финансовата 2025 г. по двете промоционални интервенции е проведен прием в периода 1 - 15 декември 2024 г. Подадено е 1 заявление за финансова помощ по интервенция „Информиране в държавите членки“, което към месец юни 2025 г. е в процес на административна обработка.</w:t>
      </w:r>
    </w:p>
    <w:p w14:paraId="441BC0DD" w14:textId="77777777" w:rsidR="00B06D6E" w:rsidRPr="00B06D6E" w:rsidRDefault="00B06D6E" w:rsidP="00B06D6E">
      <w:pPr>
        <w:spacing w:after="120"/>
        <w:ind w:firstLine="709"/>
        <w:jc w:val="both"/>
        <w:rPr>
          <w:rFonts w:ascii="Arial Narrow" w:hAnsi="Arial Narrow"/>
          <w:color w:val="000000"/>
          <w:lang w:val="bg-BG" w:eastAsia="bg-BG"/>
        </w:rPr>
      </w:pPr>
      <w:r w:rsidRPr="00B06D6E">
        <w:rPr>
          <w:rFonts w:ascii="Arial Narrow" w:hAnsi="Arial Narrow"/>
          <w:color w:val="000000"/>
          <w:lang w:val="bg-BG" w:eastAsia="bg-BG"/>
        </w:rPr>
        <w:t>През финансовата 2025 г. се обработват заявления и се сключват договори по приеми от 2024 г. и 2025 г. Обработват се и заявки за авансово и окончателно плащане по всички интервенции в лозаро-винарския сектор.</w:t>
      </w:r>
    </w:p>
    <w:p w14:paraId="77C2B5F3" w14:textId="77777777" w:rsidR="00B06D6E" w:rsidRPr="00B06D6E" w:rsidRDefault="00B06D6E" w:rsidP="00B06D6E">
      <w:pPr>
        <w:spacing w:after="120"/>
        <w:jc w:val="both"/>
        <w:rPr>
          <w:rFonts w:ascii="Arial Narrow" w:hAnsi="Arial Narrow"/>
          <w:b/>
          <w:lang w:val="bg-BG" w:eastAsia="bg-BG"/>
        </w:rPr>
      </w:pPr>
      <w:r w:rsidRPr="00B06D6E">
        <w:rPr>
          <w:rFonts w:ascii="Arial Narrow" w:hAnsi="Arial Narrow"/>
          <w:b/>
          <w:lang w:val="bg-BG" w:eastAsia="bg-BG"/>
        </w:rPr>
        <w:t xml:space="preserve">Таблица </w:t>
      </w:r>
      <w:r w:rsidR="00CA4006" w:rsidRPr="001B6ED3">
        <w:rPr>
          <w:rFonts w:ascii="Arial Narrow" w:hAnsi="Arial Narrow" w:cs="Arial Narrow"/>
          <w:b/>
          <w:bCs/>
          <w:lang w:val="bg-BG"/>
        </w:rPr>
        <w:t>ІV.1</w:t>
      </w:r>
      <w:r w:rsidR="00712B4B">
        <w:rPr>
          <w:rFonts w:ascii="Arial Narrow" w:hAnsi="Arial Narrow" w:cs="Arial Narrow"/>
          <w:b/>
          <w:bCs/>
          <w:lang w:val="bg-BG"/>
        </w:rPr>
        <w:t>3</w:t>
      </w:r>
      <w:r w:rsidR="00CA4006">
        <w:rPr>
          <w:rFonts w:ascii="Arial Narrow" w:hAnsi="Arial Narrow" w:cs="Arial Narrow"/>
          <w:b/>
          <w:bCs/>
          <w:lang w:val="bg-BG"/>
        </w:rPr>
        <w:t>.</w:t>
      </w:r>
      <w:r w:rsidRPr="00B06D6E">
        <w:rPr>
          <w:rFonts w:ascii="Arial Narrow" w:hAnsi="Arial Narrow"/>
          <w:b/>
          <w:lang w:val="bg-BG" w:eastAsia="bg-BG"/>
        </w:rPr>
        <w:t xml:space="preserve"> Данни за прилагане на интервенциите за лозаро-винарския сектор през финансовата 2025 г.</w:t>
      </w:r>
    </w:p>
    <w:tbl>
      <w:tblPr>
        <w:tblW w:w="4994" w:type="pct"/>
        <w:tblInd w:w="70" w:type="dxa"/>
        <w:tblCellMar>
          <w:left w:w="70" w:type="dxa"/>
          <w:right w:w="70" w:type="dxa"/>
        </w:tblCellMar>
        <w:tblLook w:val="04A0" w:firstRow="1" w:lastRow="0" w:firstColumn="1" w:lastColumn="0" w:noHBand="0" w:noVBand="1"/>
      </w:tblPr>
      <w:tblGrid>
        <w:gridCol w:w="3916"/>
        <w:gridCol w:w="1468"/>
        <w:gridCol w:w="1470"/>
        <w:gridCol w:w="1466"/>
        <w:gridCol w:w="1468"/>
      </w:tblGrid>
      <w:tr w:rsidR="00B06D6E" w:rsidRPr="00B06D6E" w14:paraId="284214C8" w14:textId="77777777" w:rsidTr="00F66E81">
        <w:trPr>
          <w:cantSplit/>
          <w:trHeight w:val="1254"/>
        </w:trPr>
        <w:tc>
          <w:tcPr>
            <w:tcW w:w="200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3CB190D" w14:textId="77777777" w:rsidR="00B06D6E" w:rsidRPr="00B06D6E" w:rsidRDefault="00B06D6E" w:rsidP="00B06D6E">
            <w:pPr>
              <w:jc w:val="center"/>
              <w:rPr>
                <w:rFonts w:ascii="Arial Narrow" w:hAnsi="Arial Narrow"/>
                <w:b/>
                <w:bCs/>
                <w:color w:val="000000"/>
                <w:sz w:val="20"/>
                <w:szCs w:val="20"/>
                <w:lang w:val="bg-BG" w:eastAsia="zh-CN"/>
              </w:rPr>
            </w:pPr>
            <w:r w:rsidRPr="00B06D6E">
              <w:rPr>
                <w:rFonts w:ascii="Arial Narrow" w:hAnsi="Arial Narrow"/>
                <w:b/>
                <w:bCs/>
                <w:color w:val="000000"/>
                <w:sz w:val="20"/>
                <w:szCs w:val="20"/>
                <w:lang w:val="bg-BG" w:eastAsia="zh-CN"/>
              </w:rPr>
              <w:t>Интервенция</w:t>
            </w:r>
          </w:p>
        </w:tc>
        <w:tc>
          <w:tcPr>
            <w:tcW w:w="750" w:type="pct"/>
            <w:tcBorders>
              <w:top w:val="single" w:sz="4" w:space="0" w:color="auto"/>
              <w:left w:val="nil"/>
              <w:bottom w:val="single" w:sz="4" w:space="0" w:color="auto"/>
              <w:right w:val="single" w:sz="4" w:space="0" w:color="auto"/>
            </w:tcBorders>
            <w:shd w:val="clear" w:color="auto" w:fill="auto"/>
            <w:vAlign w:val="center"/>
            <w:hideMark/>
          </w:tcPr>
          <w:p w14:paraId="218CBF3F" w14:textId="77777777" w:rsidR="00B06D6E" w:rsidRPr="00B06D6E" w:rsidRDefault="00B06D6E" w:rsidP="00B06D6E">
            <w:pPr>
              <w:jc w:val="center"/>
              <w:rPr>
                <w:rFonts w:ascii="Arial Narrow" w:hAnsi="Arial Narrow"/>
                <w:b/>
                <w:bCs/>
                <w:color w:val="000000"/>
                <w:sz w:val="20"/>
                <w:szCs w:val="20"/>
                <w:lang w:val="bg-BG" w:eastAsia="zh-CN"/>
              </w:rPr>
            </w:pPr>
            <w:r w:rsidRPr="00B06D6E">
              <w:rPr>
                <w:rFonts w:ascii="Arial Narrow" w:hAnsi="Arial Narrow"/>
                <w:b/>
                <w:bCs/>
                <w:color w:val="000000"/>
                <w:sz w:val="20"/>
                <w:szCs w:val="20"/>
                <w:lang w:val="bg-BG" w:eastAsia="zh-CN"/>
              </w:rPr>
              <w:t>Брой приети заявления</w:t>
            </w:r>
          </w:p>
        </w:tc>
        <w:tc>
          <w:tcPr>
            <w:tcW w:w="75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F919E38" w14:textId="77777777" w:rsidR="00B06D6E" w:rsidRPr="00B06D6E" w:rsidRDefault="00B06D6E" w:rsidP="00B06D6E">
            <w:pPr>
              <w:jc w:val="center"/>
              <w:rPr>
                <w:rFonts w:ascii="Arial Narrow" w:hAnsi="Arial Narrow"/>
                <w:b/>
                <w:bCs/>
                <w:color w:val="000000"/>
                <w:sz w:val="20"/>
                <w:szCs w:val="20"/>
                <w:lang w:val="bg-BG" w:eastAsia="zh-CN"/>
              </w:rPr>
            </w:pPr>
            <w:r w:rsidRPr="00B06D6E">
              <w:rPr>
                <w:rFonts w:ascii="Arial Narrow" w:hAnsi="Arial Narrow"/>
                <w:b/>
                <w:bCs/>
                <w:color w:val="000000"/>
                <w:sz w:val="20"/>
                <w:szCs w:val="20"/>
                <w:lang w:val="bg-BG" w:eastAsia="zh-CN"/>
              </w:rPr>
              <w:t>Общо заявена финансова помощ</w:t>
            </w:r>
          </w:p>
          <w:p w14:paraId="006F8504" w14:textId="77777777" w:rsidR="00B06D6E" w:rsidRPr="00B06D6E" w:rsidRDefault="00B06D6E" w:rsidP="00B06D6E">
            <w:pPr>
              <w:jc w:val="center"/>
              <w:rPr>
                <w:rFonts w:ascii="Arial Narrow" w:hAnsi="Arial Narrow"/>
                <w:b/>
                <w:bCs/>
                <w:color w:val="000000"/>
                <w:sz w:val="20"/>
                <w:szCs w:val="20"/>
                <w:lang w:val="bg-BG" w:eastAsia="zh-CN"/>
              </w:rPr>
            </w:pPr>
            <w:r w:rsidRPr="00B06D6E">
              <w:rPr>
                <w:rFonts w:ascii="Arial Narrow" w:hAnsi="Arial Narrow"/>
                <w:b/>
                <w:bCs/>
                <w:color w:val="000000"/>
                <w:sz w:val="20"/>
                <w:szCs w:val="20"/>
                <w:lang w:val="bg-BG" w:eastAsia="zh-CN"/>
              </w:rPr>
              <w:t>(лева)</w:t>
            </w:r>
          </w:p>
        </w:tc>
        <w:tc>
          <w:tcPr>
            <w:tcW w:w="749" w:type="pct"/>
            <w:tcBorders>
              <w:top w:val="single" w:sz="4" w:space="0" w:color="auto"/>
              <w:left w:val="single" w:sz="4" w:space="0" w:color="auto"/>
              <w:bottom w:val="single" w:sz="4" w:space="0" w:color="auto"/>
              <w:right w:val="single" w:sz="4" w:space="0" w:color="auto"/>
            </w:tcBorders>
            <w:shd w:val="clear" w:color="auto" w:fill="auto"/>
            <w:vAlign w:val="center"/>
          </w:tcPr>
          <w:p w14:paraId="514EA68B" w14:textId="77777777" w:rsidR="00B06D6E" w:rsidRPr="00B06D6E" w:rsidRDefault="00B06D6E" w:rsidP="00B06D6E">
            <w:pPr>
              <w:jc w:val="center"/>
              <w:rPr>
                <w:rFonts w:ascii="Arial Narrow" w:hAnsi="Arial Narrow"/>
                <w:b/>
                <w:bCs/>
                <w:color w:val="000000"/>
                <w:sz w:val="20"/>
                <w:szCs w:val="20"/>
                <w:lang w:val="bg-BG" w:eastAsia="zh-CN"/>
              </w:rPr>
            </w:pPr>
            <w:r w:rsidRPr="00B06D6E">
              <w:rPr>
                <w:rFonts w:ascii="Arial Narrow" w:hAnsi="Arial Narrow"/>
                <w:b/>
                <w:bCs/>
                <w:color w:val="000000"/>
                <w:sz w:val="20"/>
                <w:szCs w:val="20"/>
                <w:lang w:val="bg-BG" w:eastAsia="zh-CN"/>
              </w:rPr>
              <w:t>Брой сключени договори</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1581643" w14:textId="77777777" w:rsidR="00B06D6E" w:rsidRPr="00B06D6E" w:rsidRDefault="00B06D6E" w:rsidP="00B06D6E">
            <w:pPr>
              <w:jc w:val="center"/>
              <w:rPr>
                <w:rFonts w:ascii="Arial Narrow" w:hAnsi="Arial Narrow"/>
                <w:b/>
                <w:bCs/>
                <w:color w:val="000000"/>
                <w:sz w:val="20"/>
                <w:szCs w:val="20"/>
                <w:lang w:val="bg-BG" w:eastAsia="zh-CN"/>
              </w:rPr>
            </w:pPr>
            <w:r w:rsidRPr="00B06D6E">
              <w:rPr>
                <w:rFonts w:ascii="Arial Narrow" w:hAnsi="Arial Narrow"/>
                <w:b/>
                <w:bCs/>
                <w:color w:val="000000"/>
                <w:sz w:val="20"/>
                <w:szCs w:val="20"/>
                <w:lang w:val="bg-BG" w:eastAsia="zh-CN"/>
              </w:rPr>
              <w:t xml:space="preserve">Общо одобрена финансова  помощ </w:t>
            </w:r>
          </w:p>
          <w:p w14:paraId="3B5ADFA2" w14:textId="77777777" w:rsidR="00B06D6E" w:rsidRPr="00B06D6E" w:rsidRDefault="00B06D6E" w:rsidP="00B06D6E">
            <w:pPr>
              <w:jc w:val="center"/>
              <w:rPr>
                <w:rFonts w:ascii="Arial Narrow" w:hAnsi="Arial Narrow"/>
                <w:b/>
                <w:bCs/>
                <w:color w:val="000000"/>
                <w:sz w:val="20"/>
                <w:szCs w:val="20"/>
                <w:lang w:val="bg-BG" w:eastAsia="zh-CN"/>
              </w:rPr>
            </w:pPr>
            <w:r w:rsidRPr="00B06D6E">
              <w:rPr>
                <w:rFonts w:ascii="Arial Narrow" w:hAnsi="Arial Narrow"/>
                <w:b/>
                <w:bCs/>
                <w:color w:val="000000"/>
                <w:sz w:val="20"/>
                <w:szCs w:val="20"/>
                <w:lang w:val="bg-BG" w:eastAsia="zh-CN"/>
              </w:rPr>
              <w:t>(лева)</w:t>
            </w:r>
          </w:p>
        </w:tc>
      </w:tr>
      <w:tr w:rsidR="00B06D6E" w:rsidRPr="00B06D6E" w14:paraId="411BF5CB" w14:textId="77777777" w:rsidTr="00F66E81">
        <w:trPr>
          <w:trHeight w:val="348"/>
        </w:trPr>
        <w:tc>
          <w:tcPr>
            <w:tcW w:w="2000" w:type="pct"/>
            <w:tcBorders>
              <w:top w:val="nil"/>
              <w:left w:val="single" w:sz="4" w:space="0" w:color="auto"/>
              <w:bottom w:val="single" w:sz="4" w:space="0" w:color="auto"/>
              <w:right w:val="single" w:sz="4" w:space="0" w:color="auto"/>
            </w:tcBorders>
            <w:shd w:val="clear" w:color="auto" w:fill="auto"/>
            <w:vAlign w:val="center"/>
            <w:hideMark/>
          </w:tcPr>
          <w:p w14:paraId="0A2408B6" w14:textId="77777777" w:rsidR="00B06D6E" w:rsidRPr="00B06D6E" w:rsidRDefault="00B06D6E" w:rsidP="00B06D6E">
            <w:pPr>
              <w:rPr>
                <w:rFonts w:ascii="Arial Narrow" w:hAnsi="Arial Narrow"/>
                <w:color w:val="000000"/>
                <w:sz w:val="20"/>
                <w:szCs w:val="20"/>
                <w:lang w:val="bg-BG" w:eastAsia="zh-CN"/>
              </w:rPr>
            </w:pPr>
            <w:r w:rsidRPr="00B06D6E">
              <w:rPr>
                <w:rFonts w:ascii="Arial Narrow" w:hAnsi="Arial Narrow"/>
                <w:color w:val="000000"/>
                <w:sz w:val="20"/>
                <w:szCs w:val="20"/>
                <w:lang w:val="bg-BG" w:eastAsia="zh-CN"/>
              </w:rPr>
              <w:t>Преструктуриране и конверсия на лозя</w:t>
            </w:r>
          </w:p>
        </w:tc>
        <w:tc>
          <w:tcPr>
            <w:tcW w:w="750" w:type="pct"/>
            <w:tcBorders>
              <w:top w:val="single" w:sz="4" w:space="0" w:color="auto"/>
              <w:left w:val="nil"/>
              <w:bottom w:val="single" w:sz="4" w:space="0" w:color="auto"/>
              <w:right w:val="single" w:sz="4" w:space="0" w:color="auto"/>
            </w:tcBorders>
            <w:shd w:val="clear" w:color="auto" w:fill="auto"/>
            <w:noWrap/>
            <w:vAlign w:val="center"/>
            <w:hideMark/>
          </w:tcPr>
          <w:p w14:paraId="236EEF9B" w14:textId="77777777" w:rsidR="00B06D6E" w:rsidRPr="00B06D6E" w:rsidRDefault="00B06D6E" w:rsidP="00B06D6E">
            <w:pPr>
              <w:jc w:val="right"/>
              <w:rPr>
                <w:rFonts w:ascii="Arial Narrow" w:hAnsi="Arial Narrow"/>
                <w:color w:val="000000"/>
                <w:sz w:val="20"/>
                <w:szCs w:val="20"/>
                <w:lang w:val="bg-BG" w:eastAsia="zh-CN"/>
              </w:rPr>
            </w:pPr>
            <w:r w:rsidRPr="00B06D6E">
              <w:rPr>
                <w:rFonts w:ascii="Arial Narrow" w:hAnsi="Arial Narrow"/>
                <w:color w:val="000000"/>
                <w:sz w:val="20"/>
                <w:szCs w:val="20"/>
                <w:lang w:val="bg-BG" w:eastAsia="zh-CN"/>
              </w:rPr>
              <w:t>77</w:t>
            </w:r>
          </w:p>
        </w:tc>
        <w:tc>
          <w:tcPr>
            <w:tcW w:w="75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EADDB4" w14:textId="77777777" w:rsidR="00B06D6E" w:rsidRPr="00B06D6E" w:rsidRDefault="00B06D6E" w:rsidP="00B06D6E">
            <w:pPr>
              <w:jc w:val="right"/>
              <w:rPr>
                <w:rFonts w:ascii="Arial Narrow" w:hAnsi="Arial Narrow"/>
                <w:color w:val="000000"/>
                <w:sz w:val="20"/>
                <w:szCs w:val="20"/>
                <w:lang w:val="bg-BG" w:eastAsia="zh-CN"/>
              </w:rPr>
            </w:pPr>
            <w:r w:rsidRPr="00B06D6E">
              <w:rPr>
                <w:rFonts w:ascii="Arial Narrow" w:hAnsi="Arial Narrow"/>
                <w:color w:val="000000"/>
                <w:sz w:val="20"/>
                <w:szCs w:val="20"/>
                <w:lang w:val="bg-BG" w:eastAsia="zh-CN"/>
              </w:rPr>
              <w:t>28 873 913</w:t>
            </w:r>
          </w:p>
        </w:tc>
        <w:tc>
          <w:tcPr>
            <w:tcW w:w="749" w:type="pct"/>
            <w:tcBorders>
              <w:top w:val="single" w:sz="4" w:space="0" w:color="auto"/>
              <w:left w:val="single" w:sz="4" w:space="0" w:color="auto"/>
              <w:bottom w:val="single" w:sz="4" w:space="0" w:color="auto"/>
              <w:right w:val="single" w:sz="4" w:space="0" w:color="auto"/>
            </w:tcBorders>
            <w:shd w:val="clear" w:color="auto" w:fill="auto"/>
            <w:vAlign w:val="center"/>
          </w:tcPr>
          <w:p w14:paraId="5A483EC5" w14:textId="77777777" w:rsidR="00B06D6E" w:rsidRPr="00B06D6E" w:rsidRDefault="00B06D6E" w:rsidP="00B06D6E">
            <w:pPr>
              <w:jc w:val="right"/>
              <w:rPr>
                <w:rFonts w:ascii="Arial Narrow" w:hAnsi="Arial Narrow"/>
                <w:color w:val="000000"/>
                <w:sz w:val="20"/>
                <w:szCs w:val="20"/>
                <w:lang w:val="bg-BG" w:eastAsia="zh-CN"/>
              </w:rPr>
            </w:pPr>
            <w:r w:rsidRPr="00B06D6E">
              <w:rPr>
                <w:rFonts w:ascii="Arial Narrow" w:hAnsi="Arial Narrow"/>
                <w:color w:val="000000"/>
                <w:sz w:val="20"/>
                <w:szCs w:val="20"/>
                <w:lang w:val="bg-BG" w:eastAsia="zh-CN"/>
              </w:rPr>
              <w:t>60</w:t>
            </w:r>
          </w:p>
        </w:tc>
        <w:tc>
          <w:tcPr>
            <w:tcW w:w="75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9CF97D" w14:textId="77777777" w:rsidR="00B06D6E" w:rsidRPr="00B06D6E" w:rsidRDefault="00B06D6E" w:rsidP="00B06D6E">
            <w:pPr>
              <w:jc w:val="right"/>
              <w:rPr>
                <w:rFonts w:ascii="Arial Narrow" w:hAnsi="Arial Narrow"/>
                <w:color w:val="000000"/>
                <w:sz w:val="20"/>
                <w:szCs w:val="20"/>
                <w:lang w:val="bg-BG" w:eastAsia="zh-CN"/>
              </w:rPr>
            </w:pPr>
            <w:r w:rsidRPr="00B06D6E">
              <w:rPr>
                <w:rFonts w:ascii="Arial Narrow" w:hAnsi="Arial Narrow"/>
                <w:color w:val="000000"/>
                <w:sz w:val="20"/>
                <w:szCs w:val="20"/>
                <w:lang w:val="bg-BG" w:eastAsia="zh-CN"/>
              </w:rPr>
              <w:t>22 583 176</w:t>
            </w:r>
          </w:p>
        </w:tc>
      </w:tr>
      <w:tr w:rsidR="00B06D6E" w:rsidRPr="00B06D6E" w14:paraId="504C6817" w14:textId="77777777" w:rsidTr="00F66E81">
        <w:trPr>
          <w:trHeight w:val="348"/>
        </w:trPr>
        <w:tc>
          <w:tcPr>
            <w:tcW w:w="2000" w:type="pct"/>
            <w:tcBorders>
              <w:top w:val="nil"/>
              <w:left w:val="single" w:sz="4" w:space="0" w:color="auto"/>
              <w:bottom w:val="single" w:sz="4" w:space="0" w:color="auto"/>
              <w:right w:val="single" w:sz="4" w:space="0" w:color="auto"/>
            </w:tcBorders>
            <w:shd w:val="clear" w:color="auto" w:fill="auto"/>
            <w:vAlign w:val="center"/>
            <w:hideMark/>
          </w:tcPr>
          <w:p w14:paraId="68B14E3A" w14:textId="77777777" w:rsidR="00B06D6E" w:rsidRPr="00B06D6E" w:rsidRDefault="00B06D6E" w:rsidP="00B06D6E">
            <w:pPr>
              <w:rPr>
                <w:rFonts w:ascii="Arial Narrow" w:hAnsi="Arial Narrow"/>
                <w:color w:val="000000"/>
                <w:sz w:val="20"/>
                <w:szCs w:val="20"/>
                <w:lang w:val="bg-BG" w:eastAsia="zh-CN"/>
              </w:rPr>
            </w:pPr>
            <w:r w:rsidRPr="00B06D6E">
              <w:rPr>
                <w:rFonts w:ascii="Arial Narrow" w:hAnsi="Arial Narrow"/>
                <w:color w:val="000000"/>
                <w:sz w:val="20"/>
                <w:szCs w:val="20"/>
                <w:lang w:val="bg-BG" w:eastAsia="zh-CN"/>
              </w:rPr>
              <w:t>Инвестиции в лозаро-винарския сектор</w:t>
            </w:r>
          </w:p>
        </w:tc>
        <w:tc>
          <w:tcPr>
            <w:tcW w:w="750" w:type="pct"/>
            <w:tcBorders>
              <w:top w:val="single" w:sz="4" w:space="0" w:color="auto"/>
              <w:left w:val="nil"/>
              <w:bottom w:val="single" w:sz="4" w:space="0" w:color="auto"/>
              <w:right w:val="single" w:sz="4" w:space="0" w:color="auto"/>
            </w:tcBorders>
            <w:shd w:val="clear" w:color="auto" w:fill="auto"/>
            <w:noWrap/>
            <w:vAlign w:val="center"/>
            <w:hideMark/>
          </w:tcPr>
          <w:p w14:paraId="7512ECF8" w14:textId="77777777" w:rsidR="00B06D6E" w:rsidRPr="00B06D6E" w:rsidRDefault="00B06D6E" w:rsidP="00B06D6E">
            <w:pPr>
              <w:jc w:val="right"/>
              <w:rPr>
                <w:rFonts w:ascii="Arial Narrow" w:hAnsi="Arial Narrow"/>
                <w:color w:val="000000"/>
                <w:sz w:val="20"/>
                <w:szCs w:val="20"/>
                <w:lang w:val="bg-BG" w:eastAsia="zh-CN"/>
              </w:rPr>
            </w:pPr>
            <w:r w:rsidRPr="00B06D6E">
              <w:rPr>
                <w:rFonts w:ascii="Arial Narrow" w:hAnsi="Arial Narrow"/>
                <w:color w:val="000000"/>
                <w:sz w:val="20"/>
                <w:szCs w:val="20"/>
                <w:lang w:val="bg-BG" w:eastAsia="zh-CN"/>
              </w:rPr>
              <w:t>83</w:t>
            </w:r>
          </w:p>
        </w:tc>
        <w:tc>
          <w:tcPr>
            <w:tcW w:w="75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19E77E" w14:textId="77777777" w:rsidR="00B06D6E" w:rsidRPr="00B06D6E" w:rsidRDefault="00B06D6E" w:rsidP="00B06D6E">
            <w:pPr>
              <w:jc w:val="right"/>
              <w:rPr>
                <w:rFonts w:ascii="Arial Narrow" w:hAnsi="Arial Narrow"/>
                <w:color w:val="000000"/>
                <w:sz w:val="20"/>
                <w:szCs w:val="20"/>
                <w:lang w:val="bg-BG" w:eastAsia="zh-CN"/>
              </w:rPr>
            </w:pPr>
            <w:r w:rsidRPr="00B06D6E">
              <w:rPr>
                <w:rFonts w:ascii="Arial Narrow" w:hAnsi="Arial Narrow"/>
                <w:color w:val="000000"/>
                <w:sz w:val="20"/>
                <w:szCs w:val="20"/>
                <w:lang w:val="bg-BG" w:eastAsia="zh-CN"/>
              </w:rPr>
              <w:t>22 041 169</w:t>
            </w:r>
          </w:p>
        </w:tc>
        <w:tc>
          <w:tcPr>
            <w:tcW w:w="749" w:type="pct"/>
            <w:tcBorders>
              <w:top w:val="single" w:sz="4" w:space="0" w:color="auto"/>
              <w:left w:val="single" w:sz="4" w:space="0" w:color="auto"/>
              <w:bottom w:val="single" w:sz="4" w:space="0" w:color="auto"/>
              <w:right w:val="single" w:sz="4" w:space="0" w:color="auto"/>
            </w:tcBorders>
            <w:shd w:val="clear" w:color="auto" w:fill="auto"/>
            <w:vAlign w:val="center"/>
          </w:tcPr>
          <w:p w14:paraId="66D2C149" w14:textId="77777777" w:rsidR="00B06D6E" w:rsidRPr="00B06D6E" w:rsidRDefault="00B06D6E" w:rsidP="00B06D6E">
            <w:pPr>
              <w:jc w:val="right"/>
              <w:rPr>
                <w:rFonts w:ascii="Arial Narrow" w:hAnsi="Arial Narrow"/>
                <w:color w:val="000000"/>
                <w:sz w:val="20"/>
                <w:szCs w:val="20"/>
                <w:lang w:val="bg-BG" w:eastAsia="zh-CN"/>
              </w:rPr>
            </w:pPr>
            <w:r w:rsidRPr="00B06D6E">
              <w:rPr>
                <w:rFonts w:ascii="Arial Narrow" w:hAnsi="Arial Narrow"/>
                <w:color w:val="000000"/>
                <w:sz w:val="20"/>
                <w:szCs w:val="20"/>
                <w:lang w:val="bg-BG" w:eastAsia="zh-CN"/>
              </w:rPr>
              <w:t>26</w:t>
            </w:r>
          </w:p>
        </w:tc>
        <w:tc>
          <w:tcPr>
            <w:tcW w:w="75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4DF8BE" w14:textId="77777777" w:rsidR="00B06D6E" w:rsidRPr="00B06D6E" w:rsidRDefault="00B06D6E" w:rsidP="00B06D6E">
            <w:pPr>
              <w:jc w:val="right"/>
              <w:rPr>
                <w:rFonts w:ascii="Arial Narrow" w:hAnsi="Arial Narrow"/>
                <w:color w:val="000000"/>
                <w:sz w:val="20"/>
                <w:szCs w:val="20"/>
                <w:lang w:val="bg-BG" w:eastAsia="zh-CN"/>
              </w:rPr>
            </w:pPr>
            <w:r w:rsidRPr="00B06D6E">
              <w:rPr>
                <w:rFonts w:ascii="Arial Narrow" w:hAnsi="Arial Narrow"/>
                <w:color w:val="000000"/>
                <w:sz w:val="20"/>
                <w:szCs w:val="20"/>
                <w:lang w:val="bg-BG" w:eastAsia="zh-CN"/>
              </w:rPr>
              <w:t>3 694 463</w:t>
            </w:r>
          </w:p>
        </w:tc>
      </w:tr>
      <w:tr w:rsidR="00B06D6E" w:rsidRPr="00B06D6E" w14:paraId="70EE422F" w14:textId="77777777" w:rsidTr="00F66E81">
        <w:trPr>
          <w:trHeight w:val="348"/>
        </w:trPr>
        <w:tc>
          <w:tcPr>
            <w:tcW w:w="2000" w:type="pct"/>
            <w:tcBorders>
              <w:top w:val="nil"/>
              <w:left w:val="single" w:sz="4" w:space="0" w:color="auto"/>
              <w:bottom w:val="single" w:sz="4" w:space="0" w:color="auto"/>
              <w:right w:val="single" w:sz="4" w:space="0" w:color="auto"/>
            </w:tcBorders>
            <w:shd w:val="clear" w:color="auto" w:fill="auto"/>
            <w:vAlign w:val="center"/>
            <w:hideMark/>
          </w:tcPr>
          <w:p w14:paraId="1E4216BF" w14:textId="77777777" w:rsidR="00B06D6E" w:rsidRPr="00B06D6E" w:rsidRDefault="00B06D6E" w:rsidP="00B06D6E">
            <w:pPr>
              <w:rPr>
                <w:rFonts w:ascii="Arial Narrow" w:hAnsi="Arial Narrow"/>
                <w:color w:val="000000"/>
                <w:sz w:val="20"/>
                <w:szCs w:val="20"/>
                <w:lang w:val="bg-BG" w:eastAsia="zh-CN"/>
              </w:rPr>
            </w:pPr>
            <w:r w:rsidRPr="00B06D6E">
              <w:rPr>
                <w:rFonts w:ascii="Arial Narrow" w:hAnsi="Arial Narrow"/>
                <w:color w:val="000000"/>
                <w:sz w:val="20"/>
                <w:szCs w:val="20"/>
                <w:lang w:val="bg-BG" w:eastAsia="zh-CN"/>
              </w:rPr>
              <w:t>Инвестиции в екологични съоръжения</w:t>
            </w:r>
          </w:p>
        </w:tc>
        <w:tc>
          <w:tcPr>
            <w:tcW w:w="750" w:type="pct"/>
            <w:tcBorders>
              <w:top w:val="single" w:sz="4" w:space="0" w:color="auto"/>
              <w:left w:val="nil"/>
              <w:bottom w:val="single" w:sz="4" w:space="0" w:color="auto"/>
              <w:right w:val="single" w:sz="4" w:space="0" w:color="auto"/>
            </w:tcBorders>
            <w:shd w:val="clear" w:color="auto" w:fill="auto"/>
            <w:noWrap/>
            <w:vAlign w:val="center"/>
            <w:hideMark/>
          </w:tcPr>
          <w:p w14:paraId="686F4F70" w14:textId="77777777" w:rsidR="00B06D6E" w:rsidRPr="00B06D6E" w:rsidRDefault="00B06D6E" w:rsidP="00B06D6E">
            <w:pPr>
              <w:jc w:val="right"/>
              <w:rPr>
                <w:rFonts w:ascii="Arial Narrow" w:hAnsi="Arial Narrow"/>
                <w:color w:val="000000"/>
                <w:sz w:val="20"/>
                <w:szCs w:val="20"/>
                <w:lang w:val="bg-BG" w:eastAsia="zh-CN"/>
              </w:rPr>
            </w:pPr>
            <w:r w:rsidRPr="00B06D6E">
              <w:rPr>
                <w:rFonts w:ascii="Arial Narrow" w:hAnsi="Arial Narrow"/>
                <w:color w:val="000000"/>
                <w:sz w:val="20"/>
                <w:szCs w:val="20"/>
                <w:lang w:val="bg-BG" w:eastAsia="zh-CN"/>
              </w:rPr>
              <w:t>17</w:t>
            </w:r>
          </w:p>
        </w:tc>
        <w:tc>
          <w:tcPr>
            <w:tcW w:w="75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47626B" w14:textId="77777777" w:rsidR="00B06D6E" w:rsidRPr="00B06D6E" w:rsidRDefault="00B06D6E" w:rsidP="00B06D6E">
            <w:pPr>
              <w:jc w:val="right"/>
              <w:rPr>
                <w:rFonts w:ascii="Arial Narrow" w:hAnsi="Arial Narrow"/>
                <w:color w:val="000000"/>
                <w:sz w:val="20"/>
                <w:szCs w:val="20"/>
                <w:lang w:val="bg-BG" w:eastAsia="zh-CN"/>
              </w:rPr>
            </w:pPr>
            <w:r w:rsidRPr="00B06D6E">
              <w:rPr>
                <w:rFonts w:ascii="Arial Narrow" w:hAnsi="Arial Narrow"/>
                <w:color w:val="000000"/>
                <w:sz w:val="20"/>
                <w:szCs w:val="20"/>
                <w:lang w:val="bg-BG" w:eastAsia="zh-CN"/>
              </w:rPr>
              <w:t>4 889 676</w:t>
            </w:r>
          </w:p>
        </w:tc>
        <w:tc>
          <w:tcPr>
            <w:tcW w:w="749" w:type="pct"/>
            <w:tcBorders>
              <w:top w:val="single" w:sz="4" w:space="0" w:color="auto"/>
              <w:left w:val="single" w:sz="4" w:space="0" w:color="auto"/>
              <w:bottom w:val="single" w:sz="4" w:space="0" w:color="auto"/>
              <w:right w:val="single" w:sz="4" w:space="0" w:color="auto"/>
            </w:tcBorders>
            <w:shd w:val="clear" w:color="auto" w:fill="auto"/>
            <w:vAlign w:val="center"/>
          </w:tcPr>
          <w:p w14:paraId="7A975778" w14:textId="77777777" w:rsidR="00B06D6E" w:rsidRPr="00B06D6E" w:rsidRDefault="00B06D6E" w:rsidP="00B06D6E">
            <w:pPr>
              <w:jc w:val="right"/>
              <w:rPr>
                <w:rFonts w:ascii="Arial Narrow" w:hAnsi="Arial Narrow"/>
                <w:color w:val="000000"/>
                <w:sz w:val="20"/>
                <w:szCs w:val="20"/>
                <w:lang w:val="bg-BG" w:eastAsia="zh-CN"/>
              </w:rPr>
            </w:pPr>
            <w:r w:rsidRPr="00B06D6E">
              <w:rPr>
                <w:rFonts w:ascii="Arial Narrow" w:hAnsi="Arial Narrow"/>
                <w:color w:val="000000"/>
                <w:sz w:val="20"/>
                <w:szCs w:val="20"/>
                <w:lang w:val="bg-BG" w:eastAsia="zh-CN"/>
              </w:rPr>
              <w:t>1</w:t>
            </w:r>
          </w:p>
        </w:tc>
        <w:tc>
          <w:tcPr>
            <w:tcW w:w="75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038411" w14:textId="77777777" w:rsidR="00B06D6E" w:rsidRPr="00B06D6E" w:rsidRDefault="00B06D6E" w:rsidP="00B06D6E">
            <w:pPr>
              <w:jc w:val="right"/>
              <w:rPr>
                <w:rFonts w:ascii="Arial Narrow" w:hAnsi="Arial Narrow"/>
                <w:color w:val="000000"/>
                <w:sz w:val="20"/>
                <w:szCs w:val="20"/>
                <w:lang w:val="bg-BG" w:eastAsia="zh-CN"/>
              </w:rPr>
            </w:pPr>
            <w:r w:rsidRPr="00B06D6E">
              <w:rPr>
                <w:rFonts w:ascii="Arial Narrow" w:hAnsi="Arial Narrow"/>
                <w:color w:val="000000"/>
                <w:sz w:val="20"/>
                <w:szCs w:val="20"/>
                <w:lang w:val="bg-BG" w:eastAsia="zh-CN"/>
              </w:rPr>
              <w:t>252 940</w:t>
            </w:r>
          </w:p>
        </w:tc>
      </w:tr>
      <w:tr w:rsidR="00B06D6E" w:rsidRPr="00B06D6E" w14:paraId="6FD6B1B8" w14:textId="77777777" w:rsidTr="00F66E81">
        <w:trPr>
          <w:trHeight w:val="348"/>
        </w:trPr>
        <w:tc>
          <w:tcPr>
            <w:tcW w:w="2000" w:type="pct"/>
            <w:tcBorders>
              <w:top w:val="nil"/>
              <w:left w:val="single" w:sz="4" w:space="0" w:color="auto"/>
              <w:bottom w:val="single" w:sz="4" w:space="0" w:color="auto"/>
              <w:right w:val="single" w:sz="4" w:space="0" w:color="auto"/>
            </w:tcBorders>
            <w:shd w:val="clear" w:color="auto" w:fill="auto"/>
            <w:vAlign w:val="center"/>
            <w:hideMark/>
          </w:tcPr>
          <w:p w14:paraId="7F6E063F" w14:textId="77777777" w:rsidR="00B06D6E" w:rsidRPr="00B06D6E" w:rsidRDefault="00B06D6E" w:rsidP="00B06D6E">
            <w:pPr>
              <w:rPr>
                <w:rFonts w:ascii="Arial Narrow" w:hAnsi="Arial Narrow"/>
                <w:color w:val="000000"/>
                <w:sz w:val="20"/>
                <w:szCs w:val="20"/>
                <w:lang w:val="bg-BG" w:eastAsia="zh-CN"/>
              </w:rPr>
            </w:pPr>
            <w:r w:rsidRPr="00B06D6E">
              <w:rPr>
                <w:rFonts w:ascii="Arial Narrow" w:hAnsi="Arial Narrow"/>
                <w:color w:val="000000"/>
                <w:sz w:val="20"/>
                <w:szCs w:val="20"/>
                <w:lang w:val="bg-BG" w:eastAsia="zh-CN"/>
              </w:rPr>
              <w:t>Застраховане на реколтата</w:t>
            </w:r>
          </w:p>
        </w:tc>
        <w:tc>
          <w:tcPr>
            <w:tcW w:w="750" w:type="pct"/>
            <w:tcBorders>
              <w:top w:val="single" w:sz="4" w:space="0" w:color="auto"/>
              <w:left w:val="nil"/>
              <w:bottom w:val="single" w:sz="4" w:space="0" w:color="auto"/>
              <w:right w:val="single" w:sz="4" w:space="0" w:color="auto"/>
            </w:tcBorders>
            <w:shd w:val="clear" w:color="auto" w:fill="auto"/>
            <w:noWrap/>
            <w:vAlign w:val="center"/>
            <w:hideMark/>
          </w:tcPr>
          <w:p w14:paraId="3AF2A4C9" w14:textId="77777777" w:rsidR="00B06D6E" w:rsidRPr="00B06D6E" w:rsidRDefault="00B06D6E" w:rsidP="00B06D6E">
            <w:pPr>
              <w:jc w:val="right"/>
              <w:rPr>
                <w:rFonts w:ascii="Arial Narrow" w:hAnsi="Arial Narrow"/>
                <w:color w:val="000000"/>
                <w:sz w:val="20"/>
                <w:szCs w:val="20"/>
                <w:lang w:val="bg-BG" w:eastAsia="zh-CN"/>
              </w:rPr>
            </w:pPr>
            <w:r w:rsidRPr="00B06D6E">
              <w:rPr>
                <w:rFonts w:ascii="Arial Narrow" w:hAnsi="Arial Narrow"/>
                <w:color w:val="000000"/>
                <w:sz w:val="20"/>
                <w:szCs w:val="20"/>
                <w:lang w:val="bg-BG" w:eastAsia="zh-CN"/>
              </w:rPr>
              <w:t>47</w:t>
            </w:r>
          </w:p>
        </w:tc>
        <w:tc>
          <w:tcPr>
            <w:tcW w:w="75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A87D47" w14:textId="77777777" w:rsidR="00B06D6E" w:rsidRPr="00B06D6E" w:rsidRDefault="00B06D6E" w:rsidP="00B06D6E">
            <w:pPr>
              <w:jc w:val="right"/>
              <w:rPr>
                <w:rFonts w:ascii="Arial Narrow" w:hAnsi="Arial Narrow"/>
                <w:color w:val="000000"/>
                <w:sz w:val="20"/>
                <w:szCs w:val="20"/>
                <w:lang w:val="bg-BG" w:eastAsia="zh-CN"/>
              </w:rPr>
            </w:pPr>
            <w:r w:rsidRPr="00B06D6E">
              <w:rPr>
                <w:rFonts w:ascii="Arial Narrow" w:hAnsi="Arial Narrow"/>
                <w:color w:val="000000"/>
                <w:sz w:val="20"/>
                <w:szCs w:val="20"/>
                <w:lang w:val="bg-BG" w:eastAsia="zh-CN"/>
              </w:rPr>
              <w:t>431 899</w:t>
            </w:r>
          </w:p>
        </w:tc>
        <w:tc>
          <w:tcPr>
            <w:tcW w:w="749" w:type="pct"/>
            <w:tcBorders>
              <w:top w:val="single" w:sz="4" w:space="0" w:color="auto"/>
              <w:left w:val="single" w:sz="4" w:space="0" w:color="auto"/>
              <w:bottom w:val="single" w:sz="4" w:space="0" w:color="auto"/>
              <w:right w:val="single" w:sz="4" w:space="0" w:color="auto"/>
            </w:tcBorders>
            <w:shd w:val="clear" w:color="auto" w:fill="auto"/>
            <w:vAlign w:val="center"/>
          </w:tcPr>
          <w:p w14:paraId="1FDAC07F" w14:textId="77777777" w:rsidR="00B06D6E" w:rsidRPr="00B06D6E" w:rsidRDefault="00B06D6E" w:rsidP="00B06D6E">
            <w:pPr>
              <w:jc w:val="center"/>
              <w:rPr>
                <w:rFonts w:ascii="Arial Narrow" w:hAnsi="Arial Narrow"/>
                <w:color w:val="000000"/>
                <w:sz w:val="20"/>
                <w:szCs w:val="20"/>
                <w:lang w:val="bg-BG" w:eastAsia="zh-CN"/>
              </w:rPr>
            </w:pPr>
            <w:r w:rsidRPr="00B06D6E">
              <w:rPr>
                <w:rFonts w:ascii="Arial Narrow" w:hAnsi="Arial Narrow"/>
                <w:color w:val="000000"/>
                <w:sz w:val="20"/>
                <w:szCs w:val="20"/>
                <w:lang w:val="bg-BG" w:eastAsia="zh-CN"/>
              </w:rPr>
              <w:t>-</w:t>
            </w:r>
          </w:p>
        </w:tc>
        <w:tc>
          <w:tcPr>
            <w:tcW w:w="75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17885A" w14:textId="77777777" w:rsidR="00B06D6E" w:rsidRPr="00B06D6E" w:rsidRDefault="00B06D6E" w:rsidP="00B06D6E">
            <w:pPr>
              <w:jc w:val="center"/>
              <w:rPr>
                <w:rFonts w:ascii="Arial Narrow" w:hAnsi="Arial Narrow"/>
                <w:color w:val="000000"/>
                <w:sz w:val="20"/>
                <w:szCs w:val="20"/>
                <w:lang w:val="bg-BG" w:eastAsia="zh-CN"/>
              </w:rPr>
            </w:pPr>
            <w:r w:rsidRPr="00B06D6E">
              <w:rPr>
                <w:rFonts w:ascii="Arial Narrow" w:hAnsi="Arial Narrow"/>
                <w:color w:val="000000"/>
                <w:sz w:val="20"/>
                <w:szCs w:val="20"/>
                <w:lang w:val="bg-BG" w:eastAsia="zh-CN"/>
              </w:rPr>
              <w:t>-</w:t>
            </w:r>
          </w:p>
        </w:tc>
      </w:tr>
      <w:tr w:rsidR="00B06D6E" w:rsidRPr="00B06D6E" w14:paraId="0B8C7096" w14:textId="77777777" w:rsidTr="00F66E81">
        <w:trPr>
          <w:trHeight w:val="348"/>
        </w:trPr>
        <w:tc>
          <w:tcPr>
            <w:tcW w:w="2000" w:type="pct"/>
            <w:tcBorders>
              <w:top w:val="single" w:sz="4" w:space="0" w:color="auto"/>
              <w:left w:val="single" w:sz="4" w:space="0" w:color="auto"/>
              <w:bottom w:val="single" w:sz="4" w:space="0" w:color="auto"/>
              <w:right w:val="single" w:sz="4" w:space="0" w:color="auto"/>
            </w:tcBorders>
            <w:shd w:val="clear" w:color="auto" w:fill="auto"/>
            <w:vAlign w:val="center"/>
          </w:tcPr>
          <w:p w14:paraId="1A6CD58F" w14:textId="77777777" w:rsidR="00B06D6E" w:rsidRPr="00B06D6E" w:rsidRDefault="00B06D6E" w:rsidP="00B06D6E">
            <w:pPr>
              <w:rPr>
                <w:rFonts w:ascii="Arial Narrow" w:hAnsi="Arial Narrow"/>
                <w:b/>
                <w:color w:val="000000"/>
                <w:sz w:val="20"/>
                <w:szCs w:val="20"/>
                <w:lang w:val="bg-BG" w:eastAsia="zh-CN"/>
              </w:rPr>
            </w:pPr>
            <w:r w:rsidRPr="00B06D6E">
              <w:rPr>
                <w:rFonts w:ascii="Arial Narrow" w:hAnsi="Arial Narrow"/>
                <w:b/>
                <w:color w:val="000000"/>
                <w:sz w:val="20"/>
                <w:szCs w:val="20"/>
                <w:lang w:val="bg-BG" w:eastAsia="zh-CN"/>
              </w:rPr>
              <w:t>Общо</w:t>
            </w:r>
          </w:p>
        </w:tc>
        <w:tc>
          <w:tcPr>
            <w:tcW w:w="750" w:type="pct"/>
            <w:tcBorders>
              <w:top w:val="single" w:sz="4" w:space="0" w:color="auto"/>
              <w:left w:val="nil"/>
              <w:bottom w:val="single" w:sz="4" w:space="0" w:color="auto"/>
              <w:right w:val="single" w:sz="4" w:space="0" w:color="auto"/>
            </w:tcBorders>
            <w:shd w:val="clear" w:color="auto" w:fill="auto"/>
            <w:noWrap/>
            <w:vAlign w:val="center"/>
          </w:tcPr>
          <w:p w14:paraId="5C499036" w14:textId="77777777" w:rsidR="00B06D6E" w:rsidRPr="00B06D6E" w:rsidRDefault="00B06D6E" w:rsidP="00B06D6E">
            <w:pPr>
              <w:jc w:val="right"/>
              <w:rPr>
                <w:rFonts w:ascii="Arial Narrow" w:hAnsi="Arial Narrow"/>
                <w:b/>
                <w:color w:val="000000"/>
                <w:sz w:val="20"/>
                <w:szCs w:val="20"/>
                <w:lang w:val="bg-BG" w:eastAsia="zh-CN"/>
              </w:rPr>
            </w:pPr>
            <w:r w:rsidRPr="00B06D6E">
              <w:rPr>
                <w:rFonts w:ascii="Arial Narrow" w:hAnsi="Arial Narrow"/>
                <w:b/>
                <w:color w:val="000000"/>
                <w:sz w:val="20"/>
                <w:szCs w:val="20"/>
                <w:lang w:val="bg-BG" w:eastAsia="zh-CN"/>
              </w:rPr>
              <w:t>224</w:t>
            </w:r>
          </w:p>
        </w:tc>
        <w:tc>
          <w:tcPr>
            <w:tcW w:w="75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D2E497A" w14:textId="77777777" w:rsidR="00B06D6E" w:rsidRPr="00B06D6E" w:rsidRDefault="00B06D6E" w:rsidP="00B06D6E">
            <w:pPr>
              <w:jc w:val="right"/>
              <w:rPr>
                <w:rFonts w:ascii="Arial Narrow" w:hAnsi="Arial Narrow"/>
                <w:b/>
                <w:sz w:val="20"/>
                <w:szCs w:val="20"/>
                <w:lang w:val="bg-BG" w:eastAsia="zh-CN"/>
              </w:rPr>
            </w:pPr>
            <w:r w:rsidRPr="00B06D6E">
              <w:rPr>
                <w:rFonts w:ascii="Arial Narrow" w:hAnsi="Arial Narrow"/>
                <w:b/>
                <w:sz w:val="20"/>
                <w:szCs w:val="20"/>
                <w:lang w:val="bg-BG" w:eastAsia="zh-CN"/>
              </w:rPr>
              <w:t>56 236 657</w:t>
            </w:r>
          </w:p>
        </w:tc>
        <w:tc>
          <w:tcPr>
            <w:tcW w:w="749" w:type="pct"/>
            <w:tcBorders>
              <w:top w:val="single" w:sz="4" w:space="0" w:color="auto"/>
              <w:left w:val="single" w:sz="4" w:space="0" w:color="auto"/>
              <w:bottom w:val="single" w:sz="4" w:space="0" w:color="auto"/>
              <w:right w:val="single" w:sz="4" w:space="0" w:color="auto"/>
            </w:tcBorders>
            <w:shd w:val="clear" w:color="auto" w:fill="auto"/>
            <w:vAlign w:val="center"/>
          </w:tcPr>
          <w:p w14:paraId="43C58957" w14:textId="77777777" w:rsidR="00B06D6E" w:rsidRPr="00B06D6E" w:rsidRDefault="00B06D6E" w:rsidP="00B06D6E">
            <w:pPr>
              <w:jc w:val="right"/>
              <w:rPr>
                <w:rFonts w:ascii="Arial Narrow" w:hAnsi="Arial Narrow"/>
                <w:b/>
                <w:sz w:val="20"/>
                <w:szCs w:val="20"/>
                <w:lang w:val="bg-BG" w:eastAsia="zh-CN"/>
              </w:rPr>
            </w:pPr>
            <w:r w:rsidRPr="00B06D6E">
              <w:rPr>
                <w:rFonts w:ascii="Arial Narrow" w:hAnsi="Arial Narrow"/>
                <w:b/>
                <w:sz w:val="20"/>
                <w:szCs w:val="20"/>
                <w:lang w:val="bg-BG" w:eastAsia="zh-CN"/>
              </w:rPr>
              <w:t>87</w:t>
            </w:r>
          </w:p>
        </w:tc>
        <w:tc>
          <w:tcPr>
            <w:tcW w:w="75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C32950B" w14:textId="77777777" w:rsidR="00B06D6E" w:rsidRPr="00B06D6E" w:rsidRDefault="00B06D6E" w:rsidP="00B06D6E">
            <w:pPr>
              <w:jc w:val="right"/>
              <w:rPr>
                <w:rFonts w:ascii="Arial Narrow" w:hAnsi="Arial Narrow"/>
                <w:b/>
                <w:color w:val="000000"/>
                <w:sz w:val="20"/>
                <w:szCs w:val="20"/>
                <w:lang w:val="bg-BG" w:eastAsia="zh-CN"/>
              </w:rPr>
            </w:pPr>
            <w:r w:rsidRPr="00B06D6E">
              <w:rPr>
                <w:rFonts w:ascii="Arial Narrow" w:hAnsi="Arial Narrow"/>
                <w:b/>
                <w:color w:val="000000"/>
                <w:sz w:val="20"/>
                <w:szCs w:val="20"/>
                <w:lang w:val="bg-BG" w:eastAsia="zh-CN"/>
              </w:rPr>
              <w:t>26 530 579</w:t>
            </w:r>
          </w:p>
        </w:tc>
      </w:tr>
    </w:tbl>
    <w:p w14:paraId="25C7D6B4" w14:textId="77777777" w:rsidR="00B06D6E" w:rsidRDefault="00B06D6E" w:rsidP="00B06D6E">
      <w:pPr>
        <w:spacing w:after="240"/>
        <w:rPr>
          <w:rFonts w:ascii="Arial Narrow" w:hAnsi="Arial Narrow"/>
          <w:sz w:val="18"/>
          <w:lang w:val="bg-BG" w:eastAsia="bg-BG"/>
        </w:rPr>
      </w:pPr>
      <w:r w:rsidRPr="00F66E81">
        <w:rPr>
          <w:rFonts w:ascii="Arial Narrow" w:hAnsi="Arial Narrow"/>
          <w:i/>
          <w:sz w:val="18"/>
          <w:lang w:val="bg-BG" w:eastAsia="bg-BG"/>
        </w:rPr>
        <w:t xml:space="preserve">Източник: </w:t>
      </w:r>
      <w:r w:rsidRPr="00F66E81">
        <w:rPr>
          <w:rFonts w:ascii="Arial Narrow" w:hAnsi="Arial Narrow"/>
          <w:sz w:val="18"/>
          <w:lang w:val="bg-BG" w:eastAsia="bg-BG"/>
        </w:rPr>
        <w:t>ДФЗ-РА</w:t>
      </w:r>
    </w:p>
    <w:p w14:paraId="7E84714F" w14:textId="77777777" w:rsidR="00712B4B" w:rsidRPr="00F66E81" w:rsidRDefault="00712B4B" w:rsidP="00B06D6E">
      <w:pPr>
        <w:spacing w:after="240"/>
        <w:rPr>
          <w:rFonts w:ascii="Arial Narrow" w:hAnsi="Arial Narrow"/>
          <w:sz w:val="18"/>
          <w:lang w:val="bg-BG" w:eastAsia="bg-BG"/>
        </w:rPr>
      </w:pPr>
    </w:p>
    <w:p w14:paraId="39FBCD33" w14:textId="77777777" w:rsidR="00440867" w:rsidRPr="00815B86" w:rsidRDefault="00440867" w:rsidP="006E11F9">
      <w:pPr>
        <w:pStyle w:val="ListParagraph"/>
        <w:numPr>
          <w:ilvl w:val="2"/>
          <w:numId w:val="33"/>
        </w:numPr>
        <w:tabs>
          <w:tab w:val="num" w:pos="900"/>
        </w:tabs>
        <w:spacing w:after="120"/>
        <w:ind w:left="1037" w:hanging="680"/>
        <w:outlineLvl w:val="0"/>
        <w:rPr>
          <w:rFonts w:ascii="Arial Narrow" w:hAnsi="Arial Narrow"/>
          <w:b/>
        </w:rPr>
      </w:pPr>
      <w:bookmarkStart w:id="95" w:name="_Toc119489894"/>
      <w:bookmarkStart w:id="96" w:name="_Toc210747586"/>
      <w:r w:rsidRPr="00815B86">
        <w:rPr>
          <w:rFonts w:ascii="Arial Narrow" w:hAnsi="Arial Narrow"/>
          <w:b/>
        </w:rPr>
        <w:t>Публична интервенция и частно складиране</w:t>
      </w:r>
      <w:bookmarkEnd w:id="95"/>
      <w:bookmarkEnd w:id="96"/>
    </w:p>
    <w:p w14:paraId="0BFBEDC7" w14:textId="77777777" w:rsidR="00815B86" w:rsidRPr="00815B86" w:rsidRDefault="00815B86" w:rsidP="00815B86">
      <w:pPr>
        <w:spacing w:after="120"/>
        <w:ind w:firstLine="720"/>
        <w:jc w:val="both"/>
        <w:rPr>
          <w:rFonts w:ascii="Arial Narrow" w:hAnsi="Arial Narrow"/>
          <w:lang w:val="bg-BG" w:eastAsia="bg-BG"/>
        </w:rPr>
      </w:pPr>
      <w:r w:rsidRPr="00815B86">
        <w:rPr>
          <w:rFonts w:ascii="Arial Narrow" w:hAnsi="Arial Narrow"/>
          <w:lang w:val="bg-BG" w:eastAsia="bg-BG"/>
        </w:rPr>
        <w:t xml:space="preserve">При възникване на нормативно определени пазарни условия чрез актове за изпълнение на Европейската комисия могат да бъдат открити публична интервенция за обикновена и твърда пшеница, ечемик, царевица и неолющен ориз, говеждо и телешко месо, масло и обезмаслено мляко на прах, месо, както и частно складиране на продукти. </w:t>
      </w:r>
    </w:p>
    <w:p w14:paraId="5ADDB35F" w14:textId="77777777" w:rsidR="00815B86" w:rsidRPr="00815B86" w:rsidRDefault="00815B86" w:rsidP="00815B86">
      <w:pPr>
        <w:tabs>
          <w:tab w:val="left" w:pos="2835"/>
        </w:tabs>
        <w:spacing w:after="120"/>
        <w:ind w:firstLine="720"/>
        <w:jc w:val="both"/>
        <w:rPr>
          <w:rFonts w:ascii="Arial Narrow" w:hAnsi="Arial Narrow"/>
          <w:lang w:val="bg-BG" w:eastAsia="bg-BG"/>
        </w:rPr>
      </w:pPr>
      <w:r w:rsidRPr="00815B86">
        <w:rPr>
          <w:rFonts w:ascii="Arial Narrow" w:hAnsi="Arial Narrow"/>
          <w:lang w:val="bg-BG" w:eastAsia="bg-BG"/>
        </w:rPr>
        <w:lastRenderedPageBreak/>
        <w:t>През 2024 г. не са налице условия за откриване на публична интервенция и частно складиране на продукти.</w:t>
      </w:r>
    </w:p>
    <w:p w14:paraId="063739AD" w14:textId="77777777" w:rsidR="00815B86" w:rsidRPr="00815B86" w:rsidRDefault="00440867" w:rsidP="006E11F9">
      <w:pPr>
        <w:pStyle w:val="ListParagraph"/>
        <w:numPr>
          <w:ilvl w:val="2"/>
          <w:numId w:val="33"/>
        </w:numPr>
        <w:tabs>
          <w:tab w:val="num" w:pos="900"/>
        </w:tabs>
        <w:spacing w:after="120"/>
        <w:ind w:left="1037" w:hanging="680"/>
        <w:outlineLvl w:val="0"/>
        <w:rPr>
          <w:rFonts w:ascii="Arial Narrow" w:hAnsi="Arial Narrow"/>
          <w:b/>
        </w:rPr>
      </w:pPr>
      <w:bookmarkStart w:id="97" w:name="_Toc119489895"/>
      <w:bookmarkStart w:id="98" w:name="_Toc210747587"/>
      <w:r w:rsidRPr="00815B86">
        <w:rPr>
          <w:rFonts w:ascii="Arial Narrow" w:hAnsi="Arial Narrow"/>
          <w:b/>
        </w:rPr>
        <w:t>Сектор „Захар“</w:t>
      </w:r>
      <w:bookmarkEnd w:id="97"/>
      <w:bookmarkEnd w:id="98"/>
    </w:p>
    <w:p w14:paraId="0FAC667C" w14:textId="77777777" w:rsidR="00815B86" w:rsidRPr="00815B86" w:rsidRDefault="00815B86" w:rsidP="00815B86">
      <w:pPr>
        <w:spacing w:after="120"/>
        <w:ind w:firstLine="720"/>
        <w:jc w:val="both"/>
        <w:rPr>
          <w:rFonts w:ascii="Arial Narrow" w:hAnsi="Arial Narrow"/>
          <w:lang w:val="bg-BG" w:eastAsia="bg-BG"/>
        </w:rPr>
      </w:pPr>
      <w:r w:rsidRPr="00815B86">
        <w:rPr>
          <w:rFonts w:ascii="Arial Narrow" w:hAnsi="Arial Narrow"/>
          <w:lang w:val="bg-BG" w:eastAsia="bg-BG"/>
        </w:rPr>
        <w:t xml:space="preserve">На основание Регламент за изпълнение (ЕС) 2017/1185 на Комисията от 20.04.2017 г. за определяне на правила за прилагане на регламенти (ЕС) № 1307/2013 и (ЕС) № 1308/2013 на Европейския парламент и на Съвета по отношение на уведомленията до Комисията относно информация и документи и за изменение и отмяна на няколко регламента на Комисията и чл. 10а от Закона за прилагане на Общата организация на пазарите на земеделски продукти на Европейския съюз, рафинериите за захар подават в МЗХ уведомления за цени и наличности от захар, а производителите на изоглюкоза – уведомления за производството на изоглюкоза. </w:t>
      </w:r>
    </w:p>
    <w:p w14:paraId="63E46535" w14:textId="77777777" w:rsidR="00815B86" w:rsidRDefault="00815B86" w:rsidP="00815B86">
      <w:pPr>
        <w:spacing w:after="120"/>
        <w:ind w:firstLine="720"/>
        <w:jc w:val="both"/>
        <w:rPr>
          <w:rFonts w:ascii="Arial Narrow" w:hAnsi="Arial Narrow"/>
          <w:color w:val="FF0000"/>
        </w:rPr>
      </w:pPr>
      <w:r w:rsidRPr="00815B86">
        <w:rPr>
          <w:rFonts w:ascii="Arial Narrow" w:hAnsi="Arial Narrow"/>
          <w:lang w:val="bg-BG" w:eastAsia="bg-BG"/>
        </w:rPr>
        <w:t>През 2024 г. на територията на България действат едно предприятие за производство на изоглюкоза и една рафинерия за захар.</w:t>
      </w:r>
    </w:p>
    <w:p w14:paraId="4C0B8B01" w14:textId="77777777" w:rsidR="00815B86" w:rsidRPr="00815B86" w:rsidRDefault="00440867" w:rsidP="006E11F9">
      <w:pPr>
        <w:pStyle w:val="ListParagraph"/>
        <w:numPr>
          <w:ilvl w:val="2"/>
          <w:numId w:val="33"/>
        </w:numPr>
        <w:tabs>
          <w:tab w:val="num" w:pos="900"/>
        </w:tabs>
        <w:spacing w:after="120"/>
        <w:ind w:left="1037" w:hanging="680"/>
        <w:outlineLvl w:val="0"/>
        <w:rPr>
          <w:rFonts w:ascii="Arial Narrow" w:hAnsi="Arial Narrow"/>
          <w:b/>
        </w:rPr>
      </w:pPr>
      <w:bookmarkStart w:id="99" w:name="_Toc210747588"/>
      <w:r w:rsidRPr="00815B86">
        <w:rPr>
          <w:rFonts w:ascii="Arial Narrow" w:hAnsi="Arial Narrow"/>
          <w:b/>
        </w:rPr>
        <w:t>Промоционални програми</w:t>
      </w:r>
      <w:bookmarkEnd w:id="99"/>
    </w:p>
    <w:p w14:paraId="71E07CA7" w14:textId="77777777" w:rsidR="00815B86" w:rsidRPr="00815B86" w:rsidRDefault="00815B86" w:rsidP="00815B86">
      <w:pPr>
        <w:spacing w:after="120"/>
        <w:ind w:firstLine="720"/>
        <w:jc w:val="both"/>
        <w:rPr>
          <w:rFonts w:ascii="Arial Narrow" w:hAnsi="Arial Narrow"/>
          <w:lang w:val="bg-BG" w:eastAsia="bg-BG"/>
        </w:rPr>
      </w:pPr>
      <w:r w:rsidRPr="00815B86">
        <w:rPr>
          <w:rFonts w:ascii="Arial Narrow" w:hAnsi="Arial Narrow"/>
          <w:lang w:val="bg-BG" w:eastAsia="bg-BG"/>
        </w:rPr>
        <w:t xml:space="preserve">Промоционалните програми обхващат дейности, насочени към предоставяне на информация за представяния продукт и улесняване на неговото предлагане на пазара. В програмите могат да бъдат включени организиране на обучения, конференции с участието на журналисти и лекари, промоции в супермаркети и магазини, дегустации, реклама, организиране на конкурси, публикации в специализирана преса и интернет, участие в изложби, панаири, национални и международни изложения. </w:t>
      </w:r>
    </w:p>
    <w:p w14:paraId="4C1B03F6" w14:textId="77777777" w:rsidR="00815B86" w:rsidRPr="00815B86" w:rsidRDefault="00815B86" w:rsidP="00815B86">
      <w:pPr>
        <w:spacing w:after="120"/>
        <w:ind w:firstLine="720"/>
        <w:jc w:val="both"/>
        <w:rPr>
          <w:rFonts w:ascii="Arial Narrow" w:hAnsi="Arial Narrow"/>
          <w:lang w:val="bg-BG" w:eastAsia="bg-BG"/>
        </w:rPr>
      </w:pPr>
      <w:r w:rsidRPr="00815B86">
        <w:rPr>
          <w:rFonts w:ascii="Arial Narrow" w:hAnsi="Arial Narrow"/>
          <w:lang w:val="bg-BG" w:eastAsia="bg-BG"/>
        </w:rPr>
        <w:t>Изпълнението на промоционалните програми допринася за увеличаването на пазарния дял и на търсенето на продуктите в целевите държави, подобрява се имиджът на продуктите, в сравнение с други сходни продукти, и същевременно се увеличава консумацията на промотираните продукти.</w:t>
      </w:r>
    </w:p>
    <w:p w14:paraId="4373C06B" w14:textId="77777777" w:rsidR="00815B86" w:rsidRPr="00815B86" w:rsidRDefault="00815B86" w:rsidP="00815B86">
      <w:pPr>
        <w:spacing w:after="120"/>
        <w:ind w:firstLine="720"/>
        <w:jc w:val="both"/>
        <w:rPr>
          <w:rFonts w:ascii="Arial Narrow" w:hAnsi="Arial Narrow"/>
          <w:lang w:val="bg-BG" w:eastAsia="bg-BG"/>
        </w:rPr>
      </w:pPr>
      <w:r w:rsidRPr="00815B86">
        <w:rPr>
          <w:rFonts w:ascii="Arial Narrow" w:hAnsi="Arial Narrow"/>
          <w:lang w:val="bg-BG" w:eastAsia="bg-BG"/>
        </w:rPr>
        <w:t xml:space="preserve">Правилата за прилагане на промоционални програми са установени с Регламент (ЕС) № 1144/2014 на Европейския парламент и на Съвета от 22.10.2014 г. Съгласно европейското законодателство, изборът на програмите за 2024 г., за които се предоставя финансово подпомагане, се извършва от Европейската изпълнителна агенция за научни изследвания - EREA. </w:t>
      </w:r>
    </w:p>
    <w:p w14:paraId="4AA9B0B9" w14:textId="77777777" w:rsidR="00815B86" w:rsidRPr="00815B86" w:rsidRDefault="00815B86" w:rsidP="00815B86">
      <w:pPr>
        <w:spacing w:after="120"/>
        <w:ind w:firstLine="720"/>
        <w:jc w:val="both"/>
        <w:rPr>
          <w:rFonts w:ascii="Arial Narrow" w:hAnsi="Arial Narrow"/>
          <w:lang w:val="bg-BG" w:eastAsia="bg-BG"/>
        </w:rPr>
      </w:pPr>
      <w:r w:rsidRPr="00815B86">
        <w:rPr>
          <w:rFonts w:ascii="Arial Narrow" w:hAnsi="Arial Narrow"/>
          <w:lang w:val="bg-BG" w:eastAsia="bg-BG"/>
        </w:rPr>
        <w:t>За Кампания `2024 България има една одобрена обикновена промоционална програма, за която се извършват административни проверки.</w:t>
      </w:r>
    </w:p>
    <w:p w14:paraId="6AED799A" w14:textId="77777777" w:rsidR="00440867" w:rsidRPr="008D6BBB" w:rsidRDefault="00440867" w:rsidP="006E11F9">
      <w:pPr>
        <w:pStyle w:val="ListParagraph"/>
        <w:numPr>
          <w:ilvl w:val="2"/>
          <w:numId w:val="33"/>
        </w:numPr>
        <w:tabs>
          <w:tab w:val="num" w:pos="900"/>
        </w:tabs>
        <w:spacing w:after="120"/>
        <w:ind w:left="1037" w:hanging="680"/>
        <w:outlineLvl w:val="0"/>
        <w:rPr>
          <w:rFonts w:ascii="Arial Narrow" w:hAnsi="Arial Narrow"/>
          <w:b/>
          <w:bCs/>
        </w:rPr>
      </w:pPr>
      <w:bookmarkStart w:id="100" w:name="_Toc210747589"/>
      <w:r w:rsidRPr="008D6BBB">
        <w:rPr>
          <w:rFonts w:ascii="Arial Narrow" w:hAnsi="Arial Narrow"/>
          <w:b/>
        </w:rPr>
        <w:t>Политика на качество</w:t>
      </w:r>
      <w:bookmarkEnd w:id="100"/>
      <w:r w:rsidRPr="008D6BBB">
        <w:rPr>
          <w:rFonts w:ascii="Arial Narrow" w:hAnsi="Arial Narrow"/>
          <w:b/>
        </w:rPr>
        <w:t xml:space="preserve"> </w:t>
      </w:r>
      <w:r w:rsidRPr="008D6BBB">
        <w:rPr>
          <w:rFonts w:ascii="Arial Narrow" w:hAnsi="Arial Narrow"/>
          <w:b/>
          <w:bCs/>
        </w:rPr>
        <w:t xml:space="preserve"> </w:t>
      </w:r>
    </w:p>
    <w:p w14:paraId="335F0554" w14:textId="77777777" w:rsidR="008D6BBB" w:rsidRPr="008D6BBB" w:rsidRDefault="008D6BBB" w:rsidP="008D6BBB">
      <w:pPr>
        <w:spacing w:after="120"/>
        <w:ind w:firstLine="720"/>
        <w:jc w:val="both"/>
        <w:rPr>
          <w:rFonts w:ascii="Arial Narrow" w:hAnsi="Arial Narrow"/>
          <w:lang w:val="bg-BG" w:eastAsia="bg-BG"/>
        </w:rPr>
      </w:pPr>
      <w:r w:rsidRPr="008D6BBB">
        <w:rPr>
          <w:rFonts w:ascii="Arial Narrow" w:hAnsi="Arial Narrow"/>
          <w:lang w:val="bg-BG" w:eastAsia="bg-BG"/>
        </w:rPr>
        <w:t>След регистрацията на ЗНП „Българско кисело мляко“ и ЗНП „Българско бяло саламурено сирене“ в Европейския регистър на ЗНП и ЗГУ през 2023 г., през 2024 г. са предприети действия за информиране на националните асоциации на млекопреработвателите относно изискванията при производството и контрола на продукти с двете защитени наименования. В резултат от проведените процедури в регистъра на производителите на ЗНП „Българско кисело мляко“ са вписани 34 млекопреработвателни фирми, а в регистъра на производителите на ЗНП „Българско бяло саламурено сирене“ - 28 фирми. Към средата на 2025 г. в процедура за вписване в двата регистъра на различен етап са още 7 млекопреработвателни предприятия, които ще имат възможността да се възползват от предимствата от прилагането на европейските схеми за качество на земеделски продукти и храни.</w:t>
      </w:r>
    </w:p>
    <w:p w14:paraId="5F5C2F12" w14:textId="77777777" w:rsidR="008D6BBB" w:rsidRPr="008D6BBB" w:rsidRDefault="008D6BBB" w:rsidP="008D6BBB">
      <w:pPr>
        <w:spacing w:after="120"/>
        <w:ind w:firstLine="720"/>
        <w:jc w:val="both"/>
        <w:rPr>
          <w:rFonts w:ascii="Arial Narrow" w:hAnsi="Arial Narrow"/>
          <w:lang w:val="bg-BG" w:eastAsia="bg-BG"/>
        </w:rPr>
      </w:pPr>
      <w:r w:rsidRPr="008D6BBB">
        <w:rPr>
          <w:rFonts w:ascii="Arial Narrow" w:hAnsi="Arial Narrow"/>
          <w:lang w:val="bg-BG" w:eastAsia="bg-BG"/>
        </w:rPr>
        <w:t>През 2024 г. в Официалния вестник на ЕС е публикувано заявление за регистрация на ЗНП „Странджански билков чай“ за предоставяне право на мотивирано възражение от държавите членки и от трети страни в рамките на три месеца от дата на публикуване (13.02.2024 г.). Проведени са успешни консултации и преговори по възражение на Министерството на развитието на селските райони и храните на Гърция по подаденото в ЕК българско заявление за регистрация на този продукт. На 3 юни 2025 г. ЕК вписа „Странджански билков чай“ в Регистъра на географските означения на Европейския съюз с публикуване в Официалния вестник на Европейския съюз на Регламент за изпълнение (ЕС) 2025/1084 на Комисията от 2 юни 2025 г. за вписване на наименование в регистъра на географските означения на Съюза - „Странджански билков чай / Strandzhanski bilkov chay“ (ЗНП).</w:t>
      </w:r>
    </w:p>
    <w:p w14:paraId="6E86B149" w14:textId="77777777" w:rsidR="008D6BBB" w:rsidRPr="008D6BBB" w:rsidRDefault="008D6BBB" w:rsidP="008D6BBB">
      <w:pPr>
        <w:spacing w:after="120"/>
        <w:ind w:firstLine="720"/>
        <w:jc w:val="both"/>
        <w:rPr>
          <w:rFonts w:ascii="Arial Narrow" w:hAnsi="Arial Narrow"/>
          <w:lang w:val="bg-BG" w:eastAsia="bg-BG"/>
        </w:rPr>
      </w:pPr>
      <w:r w:rsidRPr="008D6BBB">
        <w:rPr>
          <w:rFonts w:ascii="Arial Narrow" w:hAnsi="Arial Narrow"/>
          <w:lang w:val="bg-BG" w:eastAsia="bg-BG"/>
        </w:rPr>
        <w:t xml:space="preserve">Във връзка с публикуването в Официален вестник на ЕС на Регламент (ЕС) 2024/1143 на Европейския парламент и на Съвета от 11 април 2024 година относно географските означения за вина, </w:t>
      </w:r>
      <w:r w:rsidRPr="008D6BBB">
        <w:rPr>
          <w:rFonts w:ascii="Arial Narrow" w:hAnsi="Arial Narrow"/>
          <w:lang w:val="bg-BG" w:eastAsia="bg-BG"/>
        </w:rPr>
        <w:lastRenderedPageBreak/>
        <w:t>спиртни напитки и селскостопански продукти, както и за храните с традиционно специфичен характер и незадължителните термини за качество за селскостопанските продукти, за изменение на регламенти (ЕС) № 1308/2013, (ЕС) 2019/787 и (ЕС) 2019/1753 и за отмяна на Регламент (ЕС) № 1151/2012, стартираха дейности по актуализация на националната нормативна уредба, касаеща схемите за качество.</w:t>
      </w:r>
    </w:p>
    <w:p w14:paraId="404C1F00" w14:textId="77777777" w:rsidR="008D6BBB" w:rsidRPr="008D6BBB" w:rsidRDefault="008D6BBB" w:rsidP="008D6BBB">
      <w:pPr>
        <w:spacing w:after="120"/>
        <w:ind w:firstLine="720"/>
        <w:jc w:val="both"/>
        <w:rPr>
          <w:rFonts w:ascii="Arial Narrow" w:hAnsi="Arial Narrow"/>
          <w:lang w:val="bg-BG" w:eastAsia="bg-BG"/>
        </w:rPr>
      </w:pPr>
      <w:r w:rsidRPr="008D6BBB">
        <w:rPr>
          <w:rFonts w:ascii="Arial Narrow" w:hAnsi="Arial Narrow"/>
          <w:lang w:val="bg-BG" w:eastAsia="bg-BG"/>
        </w:rPr>
        <w:t xml:space="preserve">През м. май 2024 г. в МЗХ е проведена съвместна Мини-конференция на Европейската комисия, Министерството на земеделието и храните, Министерството на икономиката и индустрията и Изпълнителната агенция по лозата и виното на тема: „Новости при Европейските схеми за качество и аспекти на подготовка на заявления за регистрация на географски означения“. В рамките на конференцията на земеделския бранш е разяснена извършената с Регламент (ЕС) 2024/1143 реформа по отношение схемите за качество. </w:t>
      </w:r>
    </w:p>
    <w:p w14:paraId="434E28FA" w14:textId="77777777" w:rsidR="008D6BBB" w:rsidRPr="008D6BBB" w:rsidRDefault="008D6BBB" w:rsidP="008D6BBB">
      <w:pPr>
        <w:spacing w:after="120"/>
        <w:ind w:firstLine="720"/>
        <w:jc w:val="both"/>
        <w:rPr>
          <w:rFonts w:ascii="Arial Narrow" w:hAnsi="Arial Narrow"/>
          <w:lang w:val="bg-BG" w:eastAsia="bg-BG"/>
        </w:rPr>
      </w:pPr>
      <w:r w:rsidRPr="008D6BBB">
        <w:rPr>
          <w:rFonts w:ascii="Arial Narrow" w:hAnsi="Arial Narrow"/>
          <w:lang w:val="bg-BG" w:eastAsia="bg-BG"/>
        </w:rPr>
        <w:t>Министерство на земеделието и храните активно съдейства на групите от производители, които кандидатстват за регистрация на техните продукти в европейските регистри, а след подаване на заявленията ги подпомага при изготвянето и оформянето на необходимата документация в рамките на националната и европейската процедура.</w:t>
      </w:r>
    </w:p>
    <w:p w14:paraId="2886E0D4" w14:textId="77777777" w:rsidR="008D6BBB" w:rsidRPr="008D6BBB" w:rsidRDefault="008D6BBB" w:rsidP="008D6BBB">
      <w:pPr>
        <w:spacing w:after="120"/>
        <w:ind w:firstLine="720"/>
        <w:jc w:val="both"/>
        <w:rPr>
          <w:rFonts w:ascii="Arial Narrow" w:hAnsi="Arial Narrow"/>
          <w:lang w:val="bg-BG" w:eastAsia="bg-BG"/>
        </w:rPr>
      </w:pPr>
      <w:r w:rsidRPr="008D6BBB">
        <w:rPr>
          <w:rFonts w:ascii="Arial Narrow" w:hAnsi="Arial Narrow"/>
          <w:lang w:val="bg-BG" w:eastAsia="bg-BG"/>
        </w:rPr>
        <w:t>На производителите на ЗНП „Странджански манов мед“/„Манов мед от Странджа“ е предоставена държавна помощ „de minimis“ за покриване на разходите за сертификация на продукта.</w:t>
      </w:r>
    </w:p>
    <w:p w14:paraId="596BEEF8" w14:textId="77777777" w:rsidR="008D6BBB" w:rsidRPr="008D6BBB" w:rsidRDefault="00440867" w:rsidP="006E11F9">
      <w:pPr>
        <w:pStyle w:val="ListParagraph"/>
        <w:numPr>
          <w:ilvl w:val="2"/>
          <w:numId w:val="33"/>
        </w:numPr>
        <w:tabs>
          <w:tab w:val="num" w:pos="900"/>
        </w:tabs>
        <w:spacing w:after="120"/>
        <w:ind w:left="1037" w:hanging="680"/>
        <w:outlineLvl w:val="0"/>
        <w:rPr>
          <w:rFonts w:ascii="Arial Narrow" w:hAnsi="Arial Narrow"/>
          <w:b/>
        </w:rPr>
      </w:pPr>
      <w:bookmarkStart w:id="101" w:name="_Toc210747590"/>
      <w:r w:rsidRPr="008D6BBB">
        <w:rPr>
          <w:rFonts w:ascii="Arial Narrow" w:hAnsi="Arial Narrow"/>
          <w:b/>
        </w:rPr>
        <w:t>Схема „Временни извънредни мерки“</w:t>
      </w:r>
      <w:bookmarkEnd w:id="101"/>
    </w:p>
    <w:p w14:paraId="1CBB84A6" w14:textId="77777777" w:rsidR="008D6BBB" w:rsidRPr="008D6BBB" w:rsidRDefault="008D6BBB" w:rsidP="008D6BBB">
      <w:pPr>
        <w:spacing w:after="120"/>
        <w:ind w:firstLine="720"/>
        <w:jc w:val="both"/>
        <w:rPr>
          <w:rFonts w:ascii="Arial Narrow" w:hAnsi="Arial Narrow"/>
          <w:i/>
          <w:lang w:val="bg-BG" w:eastAsia="bg-BG"/>
        </w:rPr>
      </w:pPr>
      <w:r w:rsidRPr="008D6BBB">
        <w:rPr>
          <w:rFonts w:ascii="Arial Narrow" w:hAnsi="Arial Narrow"/>
          <w:i/>
          <w:lang w:val="bg-BG" w:eastAsia="bg-BG"/>
        </w:rPr>
        <w:t>Извънредна мярка в някои сектори</w:t>
      </w:r>
    </w:p>
    <w:p w14:paraId="60DCA500" w14:textId="77777777" w:rsidR="008D6BBB" w:rsidRPr="008D6BBB" w:rsidRDefault="008D6BBB" w:rsidP="008D6BBB">
      <w:pPr>
        <w:spacing w:after="120"/>
        <w:ind w:firstLine="720"/>
        <w:jc w:val="both"/>
        <w:rPr>
          <w:rFonts w:ascii="Arial Narrow" w:hAnsi="Arial Narrow"/>
          <w:lang w:val="bg-BG" w:eastAsia="bg-BG"/>
        </w:rPr>
      </w:pPr>
      <w:r w:rsidRPr="008D6BBB">
        <w:rPr>
          <w:rFonts w:ascii="Arial Narrow" w:hAnsi="Arial Narrow"/>
          <w:lang w:val="bg-BG" w:eastAsia="bg-BG"/>
        </w:rPr>
        <w:t xml:space="preserve">През лятото на 2024 г. производството на пролетните култури беше сериозно засегнато от прояви на неблагоприятни климатични явления - необичайно високи температури и засушавания, съпроводени с развитие на пожари. </w:t>
      </w:r>
    </w:p>
    <w:p w14:paraId="0BB2E2E5" w14:textId="77777777" w:rsidR="008D6BBB" w:rsidRPr="008D6BBB" w:rsidRDefault="008D6BBB" w:rsidP="008D6BBB">
      <w:pPr>
        <w:spacing w:after="120"/>
        <w:ind w:firstLine="720"/>
        <w:jc w:val="both"/>
        <w:rPr>
          <w:rFonts w:ascii="Arial Narrow" w:hAnsi="Arial Narrow"/>
          <w:lang w:val="bg-BG" w:eastAsia="bg-BG"/>
        </w:rPr>
      </w:pPr>
      <w:r w:rsidRPr="008D6BBB">
        <w:rPr>
          <w:rFonts w:ascii="Arial Narrow" w:hAnsi="Arial Narrow"/>
          <w:lang w:val="bg-BG" w:eastAsia="bg-BG"/>
        </w:rPr>
        <w:t>С Регламент за изпълнение (ЕС) 2024/2675 на Комисията за предоставяне на спешно финансово подпомагане за селскостопанските сектори, засегнати от неблагоприятни метеорологични явления в България, Германия, Естония, Италия и Румъния, в съответствие с Регламент (ЕС) № 1308/2013 на Европейския парламент и на Съвета, на България е предоставен финансов ресурс от ЕФГЗ в размер на 10 900 000 евро (21 318 220 лева). Допуска се предоставяне на допълнително национално подпомагане до 200% от европейските средства, което представлява 21 800 000 евро (42 636 440 лева).</w:t>
      </w:r>
    </w:p>
    <w:p w14:paraId="68B72243" w14:textId="77777777" w:rsidR="008D6BBB" w:rsidRPr="008D6BBB" w:rsidRDefault="008D6BBB" w:rsidP="008D6BBB">
      <w:pPr>
        <w:spacing w:after="120"/>
        <w:ind w:firstLine="720"/>
        <w:jc w:val="both"/>
        <w:rPr>
          <w:rFonts w:ascii="Arial Narrow" w:hAnsi="Arial Narrow"/>
          <w:lang w:val="bg-BG" w:eastAsia="bg-BG"/>
        </w:rPr>
      </w:pPr>
      <w:r w:rsidRPr="008D6BBB">
        <w:rPr>
          <w:rFonts w:ascii="Arial Narrow" w:hAnsi="Arial Narrow"/>
          <w:lang w:val="bg-BG" w:eastAsia="bg-BG"/>
        </w:rPr>
        <w:t xml:space="preserve">В тази връзка е изготвена Наредба за условията и реда за предоставяне на спешна финансова помощ на земеделските стопани, отглеждащи царевица за зърно. Предвидено е помощта да бъде предоставена за площите с царевица за зърно на земеделски стопани, които са допустими за подпомагане по интервенция „Основно подпомагане на доходите за устойчивост“ за кампания 2024 г., тъй като за тях са идентифицирани най-сериозни загуби на доход.  </w:t>
      </w:r>
    </w:p>
    <w:p w14:paraId="54AA5196" w14:textId="77777777" w:rsidR="008D6BBB" w:rsidRPr="008D6BBB" w:rsidRDefault="008D6BBB" w:rsidP="008D6BBB">
      <w:pPr>
        <w:spacing w:after="120"/>
        <w:ind w:firstLine="720"/>
        <w:jc w:val="both"/>
        <w:rPr>
          <w:rFonts w:ascii="Arial Narrow" w:hAnsi="Arial Narrow"/>
          <w:highlight w:val="lightGray"/>
          <w:lang w:val="bg-BG" w:eastAsia="bg-BG"/>
        </w:rPr>
      </w:pPr>
      <w:r w:rsidRPr="008D6BBB">
        <w:rPr>
          <w:rFonts w:ascii="Arial Narrow" w:hAnsi="Arial Narrow"/>
          <w:lang w:val="bg-BG" w:eastAsia="bg-BG"/>
        </w:rPr>
        <w:t>Като допустими по извънредната финансова помощ са установени 8 869 бенефициенти, а допустимите за подпомагане площи възлизат на 511 374 ха. Изплатени са средства в размер на                                 21 314 082 лева от ЕФГЗ.</w:t>
      </w:r>
    </w:p>
    <w:p w14:paraId="2508BAE4" w14:textId="77777777" w:rsidR="00440867" w:rsidRPr="008D6BBB" w:rsidRDefault="00440867" w:rsidP="00440867">
      <w:pPr>
        <w:spacing w:after="120"/>
        <w:ind w:left="720"/>
        <w:jc w:val="both"/>
        <w:rPr>
          <w:rFonts w:ascii="Arial Narrow" w:hAnsi="Arial Narrow"/>
          <w:b/>
          <w:bCs/>
        </w:rPr>
      </w:pPr>
      <w:r w:rsidRPr="008D6BBB">
        <w:rPr>
          <w:rFonts w:ascii="Arial Narrow" w:hAnsi="Arial Narrow"/>
          <w:b/>
          <w:bCs/>
        </w:rPr>
        <w:t>Търговски механизми</w:t>
      </w:r>
    </w:p>
    <w:p w14:paraId="5AF676AC" w14:textId="77777777" w:rsidR="00440867" w:rsidRPr="008D6BBB" w:rsidRDefault="00440867" w:rsidP="006E11F9">
      <w:pPr>
        <w:pStyle w:val="ListParagraph"/>
        <w:numPr>
          <w:ilvl w:val="2"/>
          <w:numId w:val="33"/>
        </w:numPr>
        <w:tabs>
          <w:tab w:val="num" w:pos="900"/>
        </w:tabs>
        <w:spacing w:after="120"/>
        <w:ind w:left="1037" w:hanging="680"/>
        <w:outlineLvl w:val="0"/>
        <w:rPr>
          <w:rFonts w:ascii="Arial Narrow" w:hAnsi="Arial Narrow"/>
          <w:b/>
          <w:bCs/>
        </w:rPr>
      </w:pPr>
      <w:bookmarkStart w:id="102" w:name="_Toc210747591"/>
      <w:r w:rsidRPr="008D6BBB">
        <w:rPr>
          <w:rFonts w:ascii="Arial Narrow" w:hAnsi="Arial Narrow"/>
          <w:b/>
          <w:bCs/>
        </w:rPr>
        <w:t>Лицензиране на износа</w:t>
      </w:r>
      <w:bookmarkEnd w:id="102"/>
    </w:p>
    <w:p w14:paraId="3C338704" w14:textId="77777777" w:rsidR="008D6BBB" w:rsidRPr="008D6BBB" w:rsidRDefault="00440867" w:rsidP="008D6BBB">
      <w:pPr>
        <w:tabs>
          <w:tab w:val="left" w:pos="709"/>
        </w:tabs>
        <w:overflowPunct w:val="0"/>
        <w:autoSpaceDE w:val="0"/>
        <w:autoSpaceDN w:val="0"/>
        <w:adjustRightInd w:val="0"/>
        <w:spacing w:after="120"/>
        <w:jc w:val="both"/>
        <w:textAlignment w:val="baseline"/>
        <w:rPr>
          <w:rFonts w:ascii="Arial Narrow" w:hAnsi="Arial Narrow"/>
          <w:b/>
          <w:lang w:val="bg-BG" w:eastAsia="bg-BG"/>
        </w:rPr>
      </w:pPr>
      <w:r w:rsidRPr="00B10684">
        <w:rPr>
          <w:rFonts w:ascii="Arial Narrow" w:hAnsi="Arial Narrow"/>
          <w:b/>
          <w:color w:val="FF0000"/>
        </w:rPr>
        <w:tab/>
      </w:r>
      <w:r w:rsidR="008D6BBB" w:rsidRPr="008D6BBB">
        <w:rPr>
          <w:rFonts w:ascii="Arial Narrow" w:hAnsi="Arial Narrow"/>
          <w:b/>
          <w:lang w:val="bg-BG" w:eastAsia="bg-BG"/>
        </w:rPr>
        <w:t>Схема „Лицензии при износ на млечни продукти за САЩ и Канада за календарна 2024 г.”</w:t>
      </w:r>
    </w:p>
    <w:p w14:paraId="1FCF78D3" w14:textId="77777777" w:rsidR="008D6BBB" w:rsidRPr="008D6BBB" w:rsidRDefault="008D6BBB" w:rsidP="008D6BBB">
      <w:pPr>
        <w:tabs>
          <w:tab w:val="left" w:pos="709"/>
        </w:tabs>
        <w:overflowPunct w:val="0"/>
        <w:autoSpaceDE w:val="0"/>
        <w:autoSpaceDN w:val="0"/>
        <w:adjustRightInd w:val="0"/>
        <w:spacing w:after="120"/>
        <w:jc w:val="both"/>
        <w:textAlignment w:val="baseline"/>
        <w:rPr>
          <w:rFonts w:ascii="Arial Narrow" w:hAnsi="Arial Narrow"/>
          <w:lang w:val="bg-BG" w:eastAsia="bg-BG"/>
        </w:rPr>
      </w:pPr>
      <w:r w:rsidRPr="008D6BBB">
        <w:rPr>
          <w:rFonts w:ascii="Arial Narrow" w:hAnsi="Arial Narrow"/>
          <w:lang w:val="bg-BG" w:eastAsia="bg-BG"/>
        </w:rPr>
        <w:tab/>
        <w:t xml:space="preserve">Съгласно Споразумението между Европейската общност и Канада, подписано през 1995 г., за да се възползват търговците от намаляване на митото при внос на сирена и кашкавал в САЩ и Канада, задължително се изисква лицензия за износ, издадена в рамките на квота. Квотната система при внос в САЩ и Канада е механизъм за закрила на местното производство и е комбинация от два инструмента – квоти и вносни мита. За България споразумението влиза в сила веднага след присъединяването към ЕС на 01.01.2007 г. Чрез износната лицензия за САЩ и Канада се дава право на намалено мито при внос на млечни продукти под код 0406, произведени в държава членка на Европейския съюз. </w:t>
      </w:r>
    </w:p>
    <w:p w14:paraId="755AFE5B" w14:textId="77777777" w:rsidR="008D6BBB" w:rsidRPr="008D6BBB" w:rsidRDefault="008D6BBB" w:rsidP="008D6BBB">
      <w:pPr>
        <w:tabs>
          <w:tab w:val="left" w:pos="709"/>
        </w:tabs>
        <w:overflowPunct w:val="0"/>
        <w:autoSpaceDE w:val="0"/>
        <w:autoSpaceDN w:val="0"/>
        <w:adjustRightInd w:val="0"/>
        <w:spacing w:after="120"/>
        <w:jc w:val="both"/>
        <w:textAlignment w:val="baseline"/>
        <w:rPr>
          <w:rFonts w:ascii="Arial Narrow" w:hAnsi="Arial Narrow"/>
          <w:lang w:val="bg-BG" w:eastAsia="bg-BG"/>
        </w:rPr>
      </w:pPr>
      <w:r w:rsidRPr="008D6BBB">
        <w:rPr>
          <w:rFonts w:ascii="Arial Narrow" w:hAnsi="Arial Narrow"/>
          <w:lang w:val="bg-BG" w:eastAsia="bg-BG"/>
        </w:rPr>
        <w:lastRenderedPageBreak/>
        <w:tab/>
        <w:t>През 2024 г. са издадени 63 лицензии за износ на мляко и млечни продукти за САЩ и Канада в рамките на квота, в това число 27 лицензии за износ на 87 тона кашкавал, 29 лицензии за износ на 293 тона краве сирене и 7 лицензии за износ на 41 тона овче сирене.</w:t>
      </w:r>
    </w:p>
    <w:p w14:paraId="3EDCE2BE" w14:textId="77777777" w:rsidR="008D6BBB" w:rsidRPr="008D6BBB" w:rsidRDefault="008D6BBB" w:rsidP="00440867">
      <w:pPr>
        <w:tabs>
          <w:tab w:val="left" w:pos="709"/>
        </w:tabs>
        <w:overflowPunct w:val="0"/>
        <w:autoSpaceDE w:val="0"/>
        <w:autoSpaceDN w:val="0"/>
        <w:adjustRightInd w:val="0"/>
        <w:spacing w:after="120"/>
        <w:jc w:val="both"/>
        <w:textAlignment w:val="baseline"/>
        <w:rPr>
          <w:rFonts w:ascii="Arial Narrow" w:hAnsi="Arial Narrow"/>
          <w:lang w:val="bg-BG" w:eastAsia="bg-BG"/>
        </w:rPr>
      </w:pPr>
      <w:r w:rsidRPr="008D6BBB">
        <w:rPr>
          <w:rFonts w:ascii="Arial Narrow" w:hAnsi="Arial Narrow"/>
          <w:lang w:val="bg-BG" w:eastAsia="bg-BG"/>
        </w:rPr>
        <w:tab/>
        <w:t>За периода 01.01.-20.06.2025 г. са издадени общо 37 лицензии за износ на млечни продукти за САЩ и Канада, като се очаква годишният брой да остане близък до нивата от предходните години – около 60 лицензии.</w:t>
      </w:r>
    </w:p>
    <w:p w14:paraId="3AF36C43" w14:textId="77777777" w:rsidR="008D6BBB" w:rsidRPr="008D6BBB" w:rsidRDefault="00440867" w:rsidP="006E11F9">
      <w:pPr>
        <w:pStyle w:val="ListParagraph"/>
        <w:numPr>
          <w:ilvl w:val="2"/>
          <w:numId w:val="33"/>
        </w:numPr>
        <w:tabs>
          <w:tab w:val="num" w:pos="900"/>
        </w:tabs>
        <w:spacing w:after="120"/>
        <w:ind w:left="1037" w:hanging="680"/>
        <w:outlineLvl w:val="0"/>
        <w:rPr>
          <w:rFonts w:ascii="Arial Narrow" w:hAnsi="Arial Narrow"/>
          <w:b/>
          <w:bCs/>
        </w:rPr>
      </w:pPr>
      <w:bookmarkStart w:id="103" w:name="_Toc210747592"/>
      <w:r w:rsidRPr="008D6BBB">
        <w:rPr>
          <w:rFonts w:ascii="Arial Narrow" w:hAnsi="Arial Narrow"/>
          <w:b/>
          <w:bCs/>
        </w:rPr>
        <w:t>Лицензиране на вноса на земеделски продукти от трети страни</w:t>
      </w:r>
      <w:bookmarkEnd w:id="103"/>
    </w:p>
    <w:p w14:paraId="278D2CFE" w14:textId="77777777" w:rsidR="008D6BBB" w:rsidRPr="008D6BBB" w:rsidRDefault="008D6BBB" w:rsidP="008D6BBB">
      <w:pPr>
        <w:spacing w:after="120"/>
        <w:ind w:firstLine="720"/>
        <w:jc w:val="both"/>
        <w:rPr>
          <w:rFonts w:ascii="Arial Narrow" w:hAnsi="Arial Narrow"/>
          <w:lang w:val="bg-BG" w:eastAsia="bg-BG"/>
        </w:rPr>
      </w:pPr>
      <w:r w:rsidRPr="008D6BBB">
        <w:rPr>
          <w:rFonts w:ascii="Arial Narrow" w:hAnsi="Arial Narrow"/>
          <w:lang w:val="bg-BG" w:eastAsia="bg-BG"/>
        </w:rPr>
        <w:t xml:space="preserve">В съответствие с европейското законодателство на задължително лицензиране при внос от трети страни подлежат следните продукти: ориз; семена от коноп за посев; конопени семена, непредназначени за посев; необработен или отопен коноп и етилов алкохол със земеделски произход. </w:t>
      </w:r>
    </w:p>
    <w:p w14:paraId="6E03E044" w14:textId="77777777" w:rsidR="008D6BBB" w:rsidRPr="008D6BBB" w:rsidRDefault="008D6BBB" w:rsidP="008D6BBB">
      <w:pPr>
        <w:spacing w:after="120"/>
        <w:ind w:firstLine="720"/>
        <w:jc w:val="both"/>
        <w:rPr>
          <w:rFonts w:ascii="Arial Narrow" w:hAnsi="Arial Narrow"/>
          <w:lang w:val="bg-BG" w:eastAsia="bg-BG"/>
        </w:rPr>
      </w:pPr>
      <w:r w:rsidRPr="008D6BBB">
        <w:rPr>
          <w:rFonts w:ascii="Arial Narrow" w:hAnsi="Arial Narrow"/>
          <w:lang w:val="bg-BG" w:eastAsia="bg-BG"/>
        </w:rPr>
        <w:t xml:space="preserve">Прилагането на лицензионен режим при внос на земеделски продукти от трети стани в рамките на тарифни квоти и преференциални режими обхваща следните групи земеделски продукти: зърнени култури, ориз, захар, маслиново масло и трапезни маслини, пресни и преработени плодове и зеленчуци (чесън и консервирани гъби), говеждо и телешко месо, свинско месо, мляко и млечни продукти, яйца и яйчен албумин и месо от домашни птици. </w:t>
      </w:r>
    </w:p>
    <w:p w14:paraId="25BF824C" w14:textId="77777777" w:rsidR="008D6BBB" w:rsidRPr="008D6BBB" w:rsidRDefault="008D6BBB" w:rsidP="008D6BBB">
      <w:pPr>
        <w:spacing w:after="120"/>
        <w:ind w:firstLine="720"/>
        <w:jc w:val="both"/>
        <w:rPr>
          <w:rFonts w:ascii="Arial Narrow" w:hAnsi="Arial Narrow"/>
          <w:lang w:val="bg-BG" w:eastAsia="bg-BG"/>
        </w:rPr>
      </w:pPr>
      <w:r w:rsidRPr="008D6BBB">
        <w:rPr>
          <w:rFonts w:ascii="Arial Narrow" w:hAnsi="Arial Narrow"/>
          <w:lang w:val="bg-BG" w:eastAsia="bg-BG"/>
        </w:rPr>
        <w:t>През 20</w:t>
      </w:r>
      <w:r w:rsidRPr="008D6BBB">
        <w:rPr>
          <w:rFonts w:ascii="Arial Narrow" w:hAnsi="Arial Narrow"/>
          <w:lang w:val="ru-RU" w:eastAsia="bg-BG"/>
        </w:rPr>
        <w:t>2</w:t>
      </w:r>
      <w:r w:rsidRPr="008D6BBB">
        <w:rPr>
          <w:rFonts w:ascii="Arial Narrow" w:hAnsi="Arial Narrow"/>
          <w:lang w:eastAsia="bg-BG"/>
        </w:rPr>
        <w:t>4</w:t>
      </w:r>
      <w:r w:rsidRPr="008D6BBB">
        <w:rPr>
          <w:rFonts w:ascii="Arial Narrow" w:hAnsi="Arial Narrow"/>
          <w:lang w:val="bg-BG" w:eastAsia="bg-BG"/>
        </w:rPr>
        <w:t xml:space="preserve"> г. са подадени </w:t>
      </w:r>
      <w:r w:rsidRPr="008D6BBB">
        <w:rPr>
          <w:rFonts w:ascii="Arial Narrow" w:hAnsi="Arial Narrow"/>
          <w:lang w:val="ru-RU" w:eastAsia="bg-BG"/>
        </w:rPr>
        <w:t>314</w:t>
      </w:r>
      <w:r w:rsidRPr="008D6BBB">
        <w:rPr>
          <w:rFonts w:ascii="Arial Narrow" w:hAnsi="Arial Narrow"/>
          <w:lang w:val="bg-BG" w:eastAsia="bg-BG"/>
        </w:rPr>
        <w:t xml:space="preserve"> заявления за издаване на лицензии за внос на земеделски продукти от трети страни и извлечения. Издадени са 287 лицензии за внос (в т. ч. 177 по тарифни квоти и 110 - по общи условия) и 25 извлечения. </w:t>
      </w:r>
    </w:p>
    <w:p w14:paraId="3EF65F2C" w14:textId="77777777" w:rsidR="008D6BBB" w:rsidRPr="008D6BBB" w:rsidRDefault="008D6BBB" w:rsidP="008D6BBB">
      <w:pPr>
        <w:spacing w:after="120"/>
        <w:ind w:firstLine="720"/>
        <w:jc w:val="both"/>
        <w:rPr>
          <w:rFonts w:ascii="Arial Narrow" w:hAnsi="Arial Narrow"/>
          <w:lang w:val="bg-BG" w:eastAsia="bg-BG"/>
        </w:rPr>
      </w:pPr>
      <w:r w:rsidRPr="008D6BBB">
        <w:rPr>
          <w:rFonts w:ascii="Arial Narrow" w:hAnsi="Arial Narrow"/>
          <w:lang w:val="bg-BG" w:eastAsia="bg-BG"/>
        </w:rPr>
        <w:t>Учредените в полза на Министерството на земеделието и храните обезпечения за изпълнение на задължението за внос по издадените през 20</w:t>
      </w:r>
      <w:r w:rsidRPr="008D6BBB">
        <w:rPr>
          <w:rFonts w:ascii="Arial Narrow" w:hAnsi="Arial Narrow"/>
          <w:lang w:val="ru-RU" w:eastAsia="bg-BG"/>
        </w:rPr>
        <w:t>24</w:t>
      </w:r>
      <w:r w:rsidRPr="008D6BBB">
        <w:rPr>
          <w:rFonts w:ascii="Arial Narrow" w:hAnsi="Arial Narrow"/>
          <w:lang w:val="bg-BG" w:eastAsia="bg-BG"/>
        </w:rPr>
        <w:t xml:space="preserve"> г. лицензии възлизат на</w:t>
      </w:r>
      <w:r w:rsidRPr="008D6BBB">
        <w:rPr>
          <w:rFonts w:ascii="Arial Narrow" w:hAnsi="Arial Narrow"/>
          <w:lang w:val="ru-RU" w:eastAsia="bg-BG"/>
        </w:rPr>
        <w:t xml:space="preserve"> 91 892 512</w:t>
      </w:r>
      <w:r w:rsidRPr="008D6BBB">
        <w:rPr>
          <w:rFonts w:ascii="Arial Narrow" w:hAnsi="Arial Narrow"/>
          <w:lang w:val="bg-BG" w:eastAsia="bg-BG"/>
        </w:rPr>
        <w:t xml:space="preserve"> лева.</w:t>
      </w:r>
    </w:p>
    <w:p w14:paraId="0CADF25B" w14:textId="77777777" w:rsidR="008D6BBB" w:rsidRPr="008D6BBB" w:rsidRDefault="008D6BBB" w:rsidP="008D6BBB">
      <w:pPr>
        <w:spacing w:after="120"/>
        <w:ind w:firstLine="720"/>
        <w:jc w:val="both"/>
        <w:rPr>
          <w:rFonts w:ascii="Arial Narrow" w:hAnsi="Arial Narrow"/>
          <w:lang w:val="bg-BG" w:eastAsia="bg-BG"/>
        </w:rPr>
      </w:pPr>
      <w:r w:rsidRPr="008D6BBB">
        <w:rPr>
          <w:rFonts w:ascii="Arial Narrow" w:hAnsi="Arial Narrow"/>
          <w:lang w:val="bg-BG" w:eastAsia="bg-BG"/>
        </w:rPr>
        <w:t>През 20</w:t>
      </w:r>
      <w:r w:rsidRPr="008D6BBB">
        <w:rPr>
          <w:rFonts w:ascii="Arial Narrow" w:hAnsi="Arial Narrow"/>
          <w:lang w:val="ru-RU" w:eastAsia="bg-BG"/>
        </w:rPr>
        <w:t>24</w:t>
      </w:r>
      <w:r w:rsidRPr="008D6BBB">
        <w:rPr>
          <w:rFonts w:ascii="Arial Narrow" w:hAnsi="Arial Narrow"/>
          <w:lang w:val="bg-BG" w:eastAsia="bg-BG"/>
        </w:rPr>
        <w:t xml:space="preserve"> г. в регистъра на МЗХ са вписани </w:t>
      </w:r>
      <w:r w:rsidRPr="008D6BBB">
        <w:rPr>
          <w:rFonts w:ascii="Arial Narrow" w:hAnsi="Arial Narrow"/>
          <w:lang w:val="ru-RU" w:eastAsia="bg-BG"/>
        </w:rPr>
        <w:t>4</w:t>
      </w:r>
      <w:r w:rsidRPr="008D6BBB">
        <w:rPr>
          <w:rFonts w:ascii="Arial Narrow" w:hAnsi="Arial Narrow"/>
          <w:lang w:val="bg-BG" w:eastAsia="bg-BG"/>
        </w:rPr>
        <w:t xml:space="preserve"> нови фирми на вносители на земеделски продукти. Към 31.12.20</w:t>
      </w:r>
      <w:r w:rsidRPr="008D6BBB">
        <w:rPr>
          <w:rFonts w:ascii="Arial Narrow" w:hAnsi="Arial Narrow"/>
          <w:lang w:eastAsia="bg-BG"/>
        </w:rPr>
        <w:t>2</w:t>
      </w:r>
      <w:r w:rsidRPr="008D6BBB">
        <w:rPr>
          <w:rFonts w:ascii="Arial Narrow" w:hAnsi="Arial Narrow"/>
          <w:lang w:val="bg-BG" w:eastAsia="bg-BG"/>
        </w:rPr>
        <w:t>4 г. регистрираните вносители на земеделски продукти са 529.</w:t>
      </w:r>
    </w:p>
    <w:p w14:paraId="08373898" w14:textId="77777777" w:rsidR="008D6BBB" w:rsidRPr="008D6BBB" w:rsidRDefault="007B3E82" w:rsidP="006E11F9">
      <w:pPr>
        <w:pStyle w:val="ListParagraph"/>
        <w:widowControl w:val="0"/>
        <w:numPr>
          <w:ilvl w:val="0"/>
          <w:numId w:val="33"/>
        </w:numPr>
        <w:spacing w:after="120"/>
        <w:ind w:left="495" w:hanging="211"/>
        <w:outlineLvl w:val="0"/>
        <w:rPr>
          <w:rFonts w:ascii="Arial Narrow" w:hAnsi="Arial Narrow"/>
          <w:b/>
          <w:lang w:val="bg-BG"/>
        </w:rPr>
      </w:pPr>
      <w:bookmarkStart w:id="104" w:name="_Toc210747593"/>
      <w:r w:rsidRPr="008D6BBB">
        <w:rPr>
          <w:rFonts w:ascii="Arial Narrow" w:hAnsi="Arial Narrow"/>
          <w:b/>
          <w:lang w:val="bg-BG"/>
        </w:rPr>
        <w:t>Подпомагане по Втори стълб на ОСП</w:t>
      </w:r>
      <w:bookmarkStart w:id="105" w:name="_Toc495397915"/>
      <w:bookmarkEnd w:id="104"/>
    </w:p>
    <w:p w14:paraId="4982E726" w14:textId="77777777" w:rsidR="008D6BBB" w:rsidRPr="008D6BBB" w:rsidRDefault="008D6BBB" w:rsidP="008D6BBB">
      <w:pPr>
        <w:spacing w:after="120"/>
        <w:ind w:firstLine="709"/>
        <w:jc w:val="both"/>
        <w:rPr>
          <w:rFonts w:ascii="Arial Narrow" w:hAnsi="Arial Narrow"/>
          <w:b/>
          <w:lang w:val="bg-BG" w:eastAsia="bg-BG"/>
        </w:rPr>
      </w:pPr>
      <w:r w:rsidRPr="008D6BBB">
        <w:rPr>
          <w:rFonts w:ascii="Arial Narrow" w:hAnsi="Arial Narrow"/>
          <w:b/>
          <w:lang w:val="bg-BG" w:eastAsia="bg-BG"/>
        </w:rPr>
        <w:t>Програма за развитие на селските райони 2014-2020 г.</w:t>
      </w:r>
    </w:p>
    <w:p w14:paraId="3DEA8508" w14:textId="77777777" w:rsidR="008D6BBB" w:rsidRPr="008D6BBB" w:rsidRDefault="008D6BBB" w:rsidP="008D6BBB">
      <w:pPr>
        <w:spacing w:after="120"/>
        <w:ind w:firstLine="720"/>
        <w:jc w:val="both"/>
        <w:rPr>
          <w:rFonts w:ascii="Arial Narrow" w:hAnsi="Arial Narrow"/>
          <w:lang w:val="bg-BG" w:eastAsia="bg-BG"/>
        </w:rPr>
      </w:pPr>
      <w:r w:rsidRPr="008D6BBB">
        <w:rPr>
          <w:rFonts w:ascii="Arial Narrow" w:hAnsi="Arial Narrow"/>
          <w:lang w:val="bg-BG" w:eastAsia="bg-BG"/>
        </w:rPr>
        <w:t>Програмата за развитие на селските райони на България за програмния период 2014-2020 г. е одобрена с Решение за изпълнение на Комисията C (2015) 3480 от 26.05.2015 г.</w:t>
      </w:r>
    </w:p>
    <w:p w14:paraId="68FE50C8" w14:textId="77777777" w:rsidR="008D6BBB" w:rsidRPr="008D6BBB" w:rsidRDefault="008D6BBB" w:rsidP="008D6BBB">
      <w:pPr>
        <w:spacing w:after="120"/>
        <w:ind w:firstLine="720"/>
        <w:jc w:val="both"/>
        <w:rPr>
          <w:rFonts w:ascii="Arial Narrow" w:hAnsi="Arial Narrow"/>
          <w:lang w:val="bg-BG" w:eastAsia="bg-BG"/>
        </w:rPr>
      </w:pPr>
      <w:r w:rsidRPr="008D6BBB">
        <w:rPr>
          <w:rFonts w:ascii="Arial Narrow" w:hAnsi="Arial Narrow"/>
          <w:lang w:val="bg-BG" w:eastAsia="bg-BG"/>
        </w:rPr>
        <w:t>Общият бюджет на ПРСР 2014-2020 г. е в размер на 7 416 153 009 лева публични средства (3 791 876 986 евро), съгласно действащото към 31.12.2024 г. 17-то изменение, в т. ч. принос от ЕЗФРСР в размер на 6 119 785 771 лева (3 129 044 775 евро) и национално съфинансиране – 1 296 367 238 лева (662 832 211 евро).</w:t>
      </w:r>
    </w:p>
    <w:p w14:paraId="7F6DF06E" w14:textId="77777777" w:rsidR="008D6BBB" w:rsidRPr="008D6BBB" w:rsidRDefault="008D6BBB" w:rsidP="008D6BBB">
      <w:pPr>
        <w:spacing w:after="120"/>
        <w:ind w:firstLine="720"/>
        <w:jc w:val="both"/>
        <w:rPr>
          <w:rFonts w:ascii="Arial Narrow" w:hAnsi="Arial Narrow"/>
          <w:lang w:val="bg-BG" w:eastAsia="bg-BG"/>
        </w:rPr>
      </w:pPr>
      <w:r w:rsidRPr="008D6BBB">
        <w:rPr>
          <w:rFonts w:ascii="Arial Narrow" w:hAnsi="Arial Narrow"/>
          <w:lang w:val="bg-BG" w:eastAsia="bg-BG"/>
        </w:rPr>
        <w:t xml:space="preserve">Договорените средства (без отчитане на поети бъдещи и преходни задължения по мерките с многогодишен ангажимент) са в размер на 6 969 765 743 лева (3 563 639 300 евро) публични средства или 94% от целия бюджет на ПРСР 2014-2020 г. </w:t>
      </w:r>
    </w:p>
    <w:p w14:paraId="37AD9BC1" w14:textId="77777777" w:rsidR="008D6BBB" w:rsidRPr="008D6BBB" w:rsidRDefault="008D6BBB" w:rsidP="008D6BBB">
      <w:pPr>
        <w:spacing w:after="120"/>
        <w:ind w:firstLine="720"/>
        <w:jc w:val="both"/>
        <w:rPr>
          <w:rFonts w:ascii="Arial Narrow" w:hAnsi="Arial Narrow"/>
          <w:lang w:val="bg-BG" w:eastAsia="bg-BG"/>
        </w:rPr>
      </w:pPr>
      <w:r w:rsidRPr="008D6BBB">
        <w:rPr>
          <w:rFonts w:ascii="Arial Narrow" w:hAnsi="Arial Narrow"/>
          <w:lang w:val="bg-BG" w:eastAsia="bg-BG"/>
        </w:rPr>
        <w:t>Разплатените към 31.12.2024 г. субсидии са в размер на 2 986 797 433 евро (5 841 578 419 лева) публични средства, което представлява 79% от целия наличен бюджет на Програмата. За календарната 2024 г. са извършени плащания в размер на 651 615 889 лева (333 171 024 евро) публични средства.</w:t>
      </w:r>
    </w:p>
    <w:p w14:paraId="1A3D1541" w14:textId="77777777" w:rsidR="008D6BBB" w:rsidRPr="008D6BBB" w:rsidRDefault="008D6BBB" w:rsidP="008D6BBB">
      <w:pPr>
        <w:spacing w:after="120"/>
        <w:ind w:firstLine="720"/>
        <w:jc w:val="both"/>
        <w:rPr>
          <w:rFonts w:ascii="Arial Narrow" w:hAnsi="Arial Narrow"/>
          <w:lang w:val="bg-BG" w:eastAsia="bg-BG"/>
        </w:rPr>
      </w:pPr>
      <w:r w:rsidRPr="008D6BBB">
        <w:rPr>
          <w:rFonts w:ascii="Arial Narrow" w:hAnsi="Arial Narrow"/>
          <w:lang w:val="bg-BG" w:eastAsia="bg-BG"/>
        </w:rPr>
        <w:t>Изпълнението на ПРСР 2014-2020 г. приключва през 2025 г. Създадена е организация за навременно финализиране на всички поети договорни задължения по мерките и подмерките на Програмата, с цел надлежна обработка и разплащане от страна на структурите на ДФЗ до края на календарната година.</w:t>
      </w:r>
    </w:p>
    <w:p w14:paraId="346525CC" w14:textId="77777777" w:rsidR="008D6BBB" w:rsidRPr="008D6BBB" w:rsidRDefault="008D6BBB" w:rsidP="008D6BBB">
      <w:pPr>
        <w:spacing w:after="120"/>
        <w:ind w:firstLine="720"/>
        <w:jc w:val="both"/>
        <w:rPr>
          <w:rFonts w:ascii="Arial Narrow" w:hAnsi="Arial Narrow"/>
          <w:b/>
          <w:lang w:val="bg-BG" w:eastAsia="bg-BG"/>
        </w:rPr>
      </w:pPr>
      <w:r w:rsidRPr="008D6BBB">
        <w:rPr>
          <w:rFonts w:ascii="Arial Narrow" w:hAnsi="Arial Narrow"/>
          <w:b/>
          <w:lang w:val="bg-BG" w:eastAsia="bg-BG"/>
        </w:rPr>
        <w:t>Мярка 1 „Трансфер на знания и действия за осведомяване“</w:t>
      </w:r>
    </w:p>
    <w:p w14:paraId="2767CC04" w14:textId="77777777" w:rsidR="008D6BBB" w:rsidRPr="008D6BBB" w:rsidRDefault="008D6BBB" w:rsidP="008D6BBB">
      <w:pPr>
        <w:spacing w:after="120"/>
        <w:ind w:firstLine="720"/>
        <w:jc w:val="both"/>
        <w:rPr>
          <w:rFonts w:ascii="Arial Narrow" w:hAnsi="Arial Narrow"/>
          <w:b/>
          <w:lang w:val="bg-BG" w:eastAsia="bg-BG"/>
        </w:rPr>
      </w:pPr>
      <w:r w:rsidRPr="008D6BBB">
        <w:rPr>
          <w:rFonts w:ascii="Arial Narrow" w:hAnsi="Arial Narrow"/>
          <w:b/>
          <w:lang w:val="bg-BG" w:eastAsia="bg-BG"/>
        </w:rPr>
        <w:t xml:space="preserve">Подмярка 1.1. „Професионално обучение и придобиване на умения“ </w:t>
      </w:r>
    </w:p>
    <w:p w14:paraId="540A852D" w14:textId="77777777" w:rsidR="008D6BBB" w:rsidRPr="008D6BBB" w:rsidRDefault="008D6BBB" w:rsidP="008D6BBB">
      <w:pPr>
        <w:spacing w:after="120"/>
        <w:ind w:firstLine="720"/>
        <w:jc w:val="both"/>
        <w:rPr>
          <w:rFonts w:ascii="Arial Narrow" w:hAnsi="Arial Narrow"/>
          <w:lang w:val="bg-BG" w:eastAsia="bg-BG"/>
        </w:rPr>
      </w:pPr>
      <w:r w:rsidRPr="008D6BBB">
        <w:rPr>
          <w:rFonts w:ascii="Arial Narrow" w:hAnsi="Arial Narrow"/>
          <w:lang w:val="bg-BG" w:eastAsia="bg-BG"/>
        </w:rPr>
        <w:t xml:space="preserve">Подпомагането по подмярка 1.1 „Професионално обучение и придобиване на умения“ е насочено към повишаване на знанията и подобряване на уменията на земеделските и горските стопани и на заетите лица в техните стопанства, чрез постигане на подходящо ниво на техническо и икономическо обучение и </w:t>
      </w:r>
      <w:r w:rsidRPr="008D6BBB">
        <w:rPr>
          <w:rFonts w:ascii="Arial Narrow" w:hAnsi="Arial Narrow"/>
          <w:lang w:val="bg-BG" w:eastAsia="bg-BG"/>
        </w:rPr>
        <w:lastRenderedPageBreak/>
        <w:t>увеличаване на капацитета за достъп на знания и информация в областта на селското и горското стопанство.</w:t>
      </w:r>
    </w:p>
    <w:p w14:paraId="32A3F361" w14:textId="77777777" w:rsidR="008D6BBB" w:rsidRPr="008D6BBB" w:rsidRDefault="008D6BBB" w:rsidP="008D6BBB">
      <w:pPr>
        <w:spacing w:after="120"/>
        <w:ind w:firstLine="720"/>
        <w:jc w:val="both"/>
        <w:rPr>
          <w:rFonts w:ascii="Arial Narrow" w:hAnsi="Arial Narrow"/>
          <w:lang w:val="bg-BG" w:eastAsia="bg-BG"/>
        </w:rPr>
      </w:pPr>
      <w:r w:rsidRPr="008D6BBB">
        <w:rPr>
          <w:rFonts w:ascii="Arial Narrow" w:hAnsi="Arial Narrow"/>
          <w:lang w:val="bg-BG" w:eastAsia="bg-BG"/>
        </w:rPr>
        <w:t>Към 31.12.2024 г. действащите договори по подмярката са 17, като по 3 от тях изпълнението на дейностите по подписаните договори не е стартирало. Общият брой обучени лица по проектите, получили плащане (8 проекта) е 1 946. Срокът за изпълнение на подписаните договори за предоставяне на БФП  е м. август 2025 г.</w:t>
      </w:r>
    </w:p>
    <w:p w14:paraId="56BC9685" w14:textId="77777777" w:rsidR="008D6BBB" w:rsidRPr="008D6BBB" w:rsidRDefault="008D6BBB" w:rsidP="008D6BBB">
      <w:pPr>
        <w:spacing w:after="120"/>
        <w:ind w:firstLine="720"/>
        <w:jc w:val="both"/>
        <w:rPr>
          <w:rFonts w:ascii="Arial Narrow" w:hAnsi="Arial Narrow"/>
          <w:lang w:val="bg-BG" w:eastAsia="bg-BG"/>
        </w:rPr>
      </w:pPr>
      <w:r w:rsidRPr="008D6BBB">
        <w:rPr>
          <w:rFonts w:ascii="Arial Narrow" w:hAnsi="Arial Narrow"/>
          <w:lang w:val="bg-BG" w:eastAsia="bg-BG"/>
        </w:rPr>
        <w:t xml:space="preserve">За периода от началото на прилагане на подмярката (2019 г.) до 2024 г. разплатените средства са в размер на 1 011 480 лева. През 2024 г. са извършени плащания в размер на </w:t>
      </w:r>
      <w:r w:rsidR="00845C06" w:rsidRPr="004E30CA">
        <w:rPr>
          <w:rFonts w:ascii="Arial Narrow" w:hAnsi="Arial Narrow"/>
          <w:lang w:val="bg-BG" w:eastAsia="bg-BG"/>
        </w:rPr>
        <w:t xml:space="preserve">844 952,09 </w:t>
      </w:r>
      <w:r w:rsidRPr="008D6BBB">
        <w:rPr>
          <w:rFonts w:ascii="Arial Narrow" w:hAnsi="Arial Narrow"/>
          <w:lang w:val="bg-BG" w:eastAsia="bg-BG"/>
        </w:rPr>
        <w:t xml:space="preserve">лева. </w:t>
      </w:r>
    </w:p>
    <w:p w14:paraId="1BE754B2" w14:textId="77777777" w:rsidR="008D6BBB" w:rsidRPr="008D6BBB" w:rsidRDefault="008D6BBB" w:rsidP="008D6BBB">
      <w:pPr>
        <w:spacing w:after="120"/>
        <w:ind w:firstLine="720"/>
        <w:jc w:val="both"/>
        <w:rPr>
          <w:rFonts w:ascii="Arial Narrow" w:hAnsi="Arial Narrow"/>
          <w:b/>
          <w:lang w:val="bg-BG" w:eastAsia="bg-BG"/>
        </w:rPr>
      </w:pPr>
      <w:r w:rsidRPr="008D6BBB">
        <w:rPr>
          <w:rFonts w:ascii="Arial Narrow" w:hAnsi="Arial Narrow"/>
          <w:b/>
          <w:lang w:val="bg-BG" w:eastAsia="bg-BG"/>
        </w:rPr>
        <w:t>Подмярка 1.2. „Демонстрационни дейности и действия по осведомяване“</w:t>
      </w:r>
    </w:p>
    <w:p w14:paraId="14A8E51E" w14:textId="77777777" w:rsidR="008D6BBB" w:rsidRPr="008D6BBB" w:rsidRDefault="008D6BBB" w:rsidP="008D6BBB">
      <w:pPr>
        <w:spacing w:after="120"/>
        <w:ind w:firstLine="720"/>
        <w:jc w:val="both"/>
        <w:rPr>
          <w:rFonts w:ascii="Arial Narrow" w:hAnsi="Arial Narrow"/>
          <w:bCs/>
          <w:lang w:val="bg-BG" w:eastAsia="bg-BG"/>
        </w:rPr>
      </w:pPr>
      <w:r w:rsidRPr="008D6BBB">
        <w:rPr>
          <w:rFonts w:ascii="Arial Narrow" w:hAnsi="Arial Narrow"/>
          <w:bCs/>
          <w:lang w:val="bg-BG" w:eastAsia="bg-BG"/>
        </w:rPr>
        <w:t>По подмярката се подпомагат организирането и провеждането на демонстрационни дейности в областта на селското стопанство и горското стопанство, с цел повишаване на знанията и подобряване на уменията на земеделските и горските стопани и на заетите лица в техните стопанства чрез постигане на подходящо ниво на техническо и икономическо обучение и увеличаване на капацитета за достъп до знания и информация в областта на селското и горското стопанство.</w:t>
      </w:r>
    </w:p>
    <w:p w14:paraId="2E6A6912" w14:textId="77777777" w:rsidR="008D6BBB" w:rsidRPr="008D6BBB" w:rsidRDefault="008D6BBB" w:rsidP="008D6BBB">
      <w:pPr>
        <w:spacing w:after="120"/>
        <w:ind w:firstLine="720"/>
        <w:jc w:val="both"/>
        <w:rPr>
          <w:rFonts w:ascii="Arial Narrow" w:hAnsi="Arial Narrow"/>
          <w:bCs/>
          <w:lang w:val="bg-BG" w:eastAsia="bg-BG"/>
        </w:rPr>
      </w:pPr>
      <w:r w:rsidRPr="008D6BBB">
        <w:rPr>
          <w:rFonts w:ascii="Arial Narrow" w:hAnsi="Arial Narrow"/>
          <w:bCs/>
          <w:lang w:val="bg-BG" w:eastAsia="bg-BG"/>
        </w:rPr>
        <w:t>Към 31.12.2024 г. по подмярката са сключени 13 договора с</w:t>
      </w:r>
      <w:r w:rsidRPr="008D6BBB">
        <w:rPr>
          <w:rFonts w:ascii="Arial Narrow" w:hAnsi="Arial Narrow"/>
          <w:lang w:val="bg-BG" w:eastAsia="bg-BG"/>
        </w:rPr>
        <w:t xml:space="preserve"> БФП в размер на 5 046 042 лева</w:t>
      </w:r>
      <w:r w:rsidRPr="008D6BBB">
        <w:rPr>
          <w:rFonts w:ascii="Arial Narrow" w:hAnsi="Arial Narrow"/>
          <w:bCs/>
          <w:lang w:val="bg-BG" w:eastAsia="bg-BG"/>
        </w:rPr>
        <w:t xml:space="preserve"> публични средства. Бенефициентите провеждат демонстрационни дейности в областта на животновъдството, лозарството, тютюнопроизводството, зърнено-житните и бобовите култури, отглеждането на лечебни и ароматни растения, екологичното плодопроизводство, горското стопанство, почвознанието, подобряването на биоразнообразието и адаптирането към климатичните промени за екологосъобразно земеделие.</w:t>
      </w:r>
    </w:p>
    <w:p w14:paraId="434DA1B8" w14:textId="77777777" w:rsidR="008D6BBB" w:rsidRPr="008D6BBB" w:rsidRDefault="008D6BBB" w:rsidP="008D6BBB">
      <w:pPr>
        <w:spacing w:after="120"/>
        <w:ind w:firstLine="720"/>
        <w:jc w:val="both"/>
        <w:rPr>
          <w:rFonts w:ascii="Arial Narrow" w:hAnsi="Arial Narrow"/>
          <w:bCs/>
          <w:lang w:val="bg-BG" w:eastAsia="bg-BG"/>
        </w:rPr>
      </w:pPr>
      <w:r w:rsidRPr="008D6BBB">
        <w:rPr>
          <w:rFonts w:ascii="Arial Narrow" w:hAnsi="Arial Narrow"/>
          <w:bCs/>
          <w:lang w:val="bg-BG" w:eastAsia="bg-BG"/>
        </w:rPr>
        <w:t xml:space="preserve">Подпомогнатите дейности се реализират в градовете София, Плевен, Добрич, Русе, Варна, Стара Загора, Пловдив, Смолян, Кюстендил и др. В тях ще се включат над 8 000 участници, от които 1 610 са заети в сферата на горското стопанство, а останалите - в селското стопанство. </w:t>
      </w:r>
    </w:p>
    <w:p w14:paraId="1441E2F1" w14:textId="77777777" w:rsidR="008D6BBB" w:rsidRPr="008D6BBB" w:rsidRDefault="008D6BBB" w:rsidP="008D6BBB">
      <w:pPr>
        <w:spacing w:after="120"/>
        <w:ind w:firstLine="720"/>
        <w:jc w:val="both"/>
        <w:rPr>
          <w:rFonts w:ascii="Arial Narrow" w:hAnsi="Arial Narrow"/>
          <w:bCs/>
          <w:lang w:val="bg-BG" w:eastAsia="bg-BG"/>
        </w:rPr>
      </w:pPr>
      <w:r w:rsidRPr="008D6BBB">
        <w:rPr>
          <w:rFonts w:ascii="Arial Narrow" w:hAnsi="Arial Narrow"/>
          <w:bCs/>
          <w:lang w:val="bg-BG" w:eastAsia="bg-BG"/>
        </w:rPr>
        <w:t>Към  края на 2024 г. се провеждат демонстрационните дейности, предвидени по проектите, като някои от бенефициентите - възложители по ЗОП все още са в процес на съгласуване на документация.</w:t>
      </w:r>
    </w:p>
    <w:p w14:paraId="3EABFBE3" w14:textId="77777777" w:rsidR="008D6BBB" w:rsidRPr="008D6BBB" w:rsidRDefault="008D6BBB" w:rsidP="008D6BBB">
      <w:pPr>
        <w:spacing w:after="120"/>
        <w:ind w:firstLine="720"/>
        <w:jc w:val="both"/>
        <w:rPr>
          <w:rFonts w:ascii="Arial Narrow" w:hAnsi="Arial Narrow"/>
          <w:bCs/>
          <w:lang w:val="bg-BG" w:eastAsia="bg-BG"/>
        </w:rPr>
      </w:pPr>
      <w:r w:rsidRPr="008D6BBB">
        <w:rPr>
          <w:rFonts w:ascii="Arial Narrow" w:hAnsi="Arial Narrow"/>
          <w:bCs/>
          <w:lang w:val="bg-BG" w:eastAsia="bg-BG"/>
        </w:rPr>
        <w:t xml:space="preserve">Общо изплатените публични средства по подмярката към 31.12.2024 г. са в размер на 121 908 лева публични средства по два от 13-те сключени договора. За първите пет месеца на 2025 г. са извършени плащания на стойност 190 890 лева. </w:t>
      </w:r>
    </w:p>
    <w:p w14:paraId="66EB001D" w14:textId="77777777" w:rsidR="008D6BBB" w:rsidRPr="008D6BBB" w:rsidRDefault="008D6BBB" w:rsidP="008D6BBB">
      <w:pPr>
        <w:spacing w:after="120"/>
        <w:ind w:firstLine="720"/>
        <w:jc w:val="both"/>
        <w:rPr>
          <w:rFonts w:ascii="Arial Narrow" w:hAnsi="Arial Narrow"/>
          <w:b/>
          <w:lang w:val="bg-BG" w:eastAsia="bg-BG"/>
        </w:rPr>
      </w:pPr>
      <w:bookmarkStart w:id="106" w:name="_Toc201928048"/>
      <w:r w:rsidRPr="008D6BBB">
        <w:rPr>
          <w:rFonts w:ascii="Arial Narrow" w:hAnsi="Arial Narrow"/>
          <w:b/>
          <w:lang w:val="bg-BG" w:eastAsia="bg-BG"/>
        </w:rPr>
        <w:t>Мярка 2 „Консултантски услуги, управление на стопанството и услуги по заместване в стопанството“</w:t>
      </w:r>
      <w:bookmarkEnd w:id="106"/>
    </w:p>
    <w:p w14:paraId="607051C4" w14:textId="77777777" w:rsidR="008D6BBB" w:rsidRPr="008D6BBB" w:rsidRDefault="008D6BBB" w:rsidP="008D6BBB">
      <w:pPr>
        <w:spacing w:after="120"/>
        <w:ind w:firstLine="720"/>
        <w:jc w:val="both"/>
        <w:rPr>
          <w:rFonts w:ascii="Arial Narrow" w:hAnsi="Arial Narrow"/>
          <w:b/>
          <w:bCs/>
          <w:lang w:val="bg-BG" w:eastAsia="bg-BG"/>
        </w:rPr>
      </w:pPr>
      <w:r w:rsidRPr="008D6BBB">
        <w:rPr>
          <w:rFonts w:ascii="Arial Narrow" w:hAnsi="Arial Narrow"/>
          <w:b/>
          <w:bCs/>
          <w:lang w:val="bg-BG" w:eastAsia="bg-BG"/>
        </w:rPr>
        <w:t>Подмярка 2.1. „Помощ за осигуряване на консултантски услуги”</w:t>
      </w:r>
    </w:p>
    <w:p w14:paraId="4FFDC85C" w14:textId="77777777" w:rsidR="008D6BBB" w:rsidRPr="008D6BBB" w:rsidRDefault="008D6BBB" w:rsidP="008D6BBB">
      <w:pPr>
        <w:spacing w:after="120"/>
        <w:ind w:firstLine="720"/>
        <w:jc w:val="both"/>
        <w:rPr>
          <w:rFonts w:ascii="Arial Narrow" w:hAnsi="Arial Narrow"/>
          <w:bCs/>
          <w:lang w:val="bg-BG" w:eastAsia="bg-BG"/>
        </w:rPr>
      </w:pPr>
      <w:r w:rsidRPr="008D6BBB">
        <w:rPr>
          <w:rFonts w:ascii="Arial Narrow" w:hAnsi="Arial Narrow"/>
          <w:bCs/>
          <w:lang w:val="bg-BG" w:eastAsia="bg-BG"/>
        </w:rPr>
        <w:t>Подмярка 2.1. се прилага с две подмерки - подмярка 2.1.1 „Консултантски услуги за земеделски и горски стопани“ и подмярка 2.1.2 „Консултантски услуги за малки земеделски стопани“.</w:t>
      </w:r>
    </w:p>
    <w:p w14:paraId="55FC4A70" w14:textId="77777777" w:rsidR="008D6BBB" w:rsidRPr="008D6BBB" w:rsidRDefault="008D6BBB" w:rsidP="008D6BBB">
      <w:pPr>
        <w:spacing w:after="120"/>
        <w:ind w:firstLine="720"/>
        <w:jc w:val="both"/>
        <w:rPr>
          <w:rFonts w:ascii="Arial Narrow" w:hAnsi="Arial Narrow"/>
          <w:b/>
          <w:bCs/>
          <w:lang w:val="bg-BG" w:eastAsia="bg-BG"/>
        </w:rPr>
      </w:pPr>
      <w:r w:rsidRPr="008D6BBB">
        <w:rPr>
          <w:rFonts w:ascii="Arial Narrow" w:hAnsi="Arial Narrow"/>
          <w:b/>
          <w:bCs/>
          <w:lang w:val="bg-BG" w:eastAsia="bg-BG"/>
        </w:rPr>
        <w:t>Подмярка 2.1.1. „Консултантски услуги за земеделски и горски стопани”</w:t>
      </w:r>
    </w:p>
    <w:p w14:paraId="4AC07C6F" w14:textId="77777777" w:rsidR="008D6BBB" w:rsidRPr="008D6BBB" w:rsidRDefault="008D6BBB" w:rsidP="008D6BBB">
      <w:pPr>
        <w:spacing w:after="120"/>
        <w:ind w:firstLine="720"/>
        <w:jc w:val="both"/>
        <w:rPr>
          <w:rFonts w:ascii="Arial Narrow" w:hAnsi="Arial Narrow"/>
          <w:bCs/>
          <w:lang w:val="bg-BG" w:eastAsia="bg-BG"/>
        </w:rPr>
      </w:pPr>
      <w:r w:rsidRPr="008D6BBB">
        <w:rPr>
          <w:rFonts w:ascii="Arial Narrow" w:hAnsi="Arial Narrow"/>
          <w:bCs/>
          <w:lang w:val="bg-BG" w:eastAsia="bg-BG"/>
        </w:rPr>
        <w:t>Подмярка 2.1.1. „Консултантски услуги за земеделски и горски стопани“ има за цел предоставяне на консултантски услуги на земеделските стопани, младите земеделски стопани и горските стопани за подобряване на икономическите и екологичните показатели, както и на климатичната съобразеност и устойчивост на изменението на климата на техните стопанства.</w:t>
      </w:r>
    </w:p>
    <w:p w14:paraId="55728EAE" w14:textId="77777777" w:rsidR="008D6BBB" w:rsidRPr="008D6BBB" w:rsidRDefault="008D6BBB" w:rsidP="008D6BBB">
      <w:pPr>
        <w:spacing w:after="120"/>
        <w:ind w:firstLine="720"/>
        <w:jc w:val="both"/>
        <w:rPr>
          <w:rFonts w:ascii="Arial Narrow" w:hAnsi="Arial Narrow"/>
          <w:bCs/>
          <w:lang w:val="bg-BG" w:eastAsia="bg-BG"/>
        </w:rPr>
      </w:pPr>
      <w:r w:rsidRPr="008D6BBB">
        <w:rPr>
          <w:rFonts w:ascii="Arial Narrow" w:hAnsi="Arial Narrow"/>
          <w:bCs/>
          <w:lang w:val="bg-BG" w:eastAsia="bg-BG"/>
        </w:rPr>
        <w:t>При първия прием по подмярката, проведен през 2015 г., като единствен ползвател на финансовата помощ, който да предоставя консултантски услуги на земеделски стопани, кандидати по подмярка 6.1 „Стартова помощ за млади земеделски стопани" от ПРСР 2014-2020 г., е определена Националната служба за съвети в земеделието.</w:t>
      </w:r>
    </w:p>
    <w:p w14:paraId="26D899AE" w14:textId="77777777" w:rsidR="008D6BBB" w:rsidRPr="008D6BBB" w:rsidRDefault="008D6BBB" w:rsidP="008D6BBB">
      <w:pPr>
        <w:spacing w:after="120"/>
        <w:ind w:firstLine="708"/>
        <w:jc w:val="both"/>
        <w:rPr>
          <w:rFonts w:ascii="Arial Narrow" w:eastAsia="Calibri" w:hAnsi="Arial Narrow"/>
          <w:lang w:val="bg-BG" w:eastAsia="bg-BG"/>
        </w:rPr>
      </w:pPr>
      <w:r w:rsidRPr="008D6BBB">
        <w:rPr>
          <w:rFonts w:ascii="Arial Narrow" w:eastAsia="Calibri" w:hAnsi="Arial Narrow"/>
          <w:lang w:val="bg-BG" w:eastAsia="bg-BG"/>
        </w:rPr>
        <w:t>В рамките на проведения през 2022 г. прием, с бюджет от 5 867 400 лева, са постъпили и са одобрени три проектни предложения със стойност на субсидията 1 955 800 лева.</w:t>
      </w:r>
      <w:r w:rsidRPr="008D6BBB">
        <w:rPr>
          <w:lang w:val="bg-BG" w:eastAsia="bg-BG"/>
        </w:rPr>
        <w:t xml:space="preserve"> </w:t>
      </w:r>
    </w:p>
    <w:p w14:paraId="5E8C7456" w14:textId="77777777" w:rsidR="006A0AEE" w:rsidRDefault="008D6BBB" w:rsidP="008D6BBB">
      <w:pPr>
        <w:spacing w:after="120"/>
        <w:ind w:firstLine="720"/>
        <w:jc w:val="both"/>
        <w:rPr>
          <w:rFonts w:ascii="Arial Narrow" w:hAnsi="Arial Narrow"/>
          <w:bCs/>
          <w:lang w:val="bg-BG" w:eastAsia="bg-BG"/>
        </w:rPr>
      </w:pPr>
      <w:r w:rsidRPr="008D6BBB">
        <w:rPr>
          <w:rFonts w:ascii="Arial Narrow" w:hAnsi="Arial Narrow"/>
          <w:bCs/>
          <w:lang w:val="bg-BG" w:eastAsia="bg-BG"/>
        </w:rPr>
        <w:t>Общо изплатените публични средства по подмярката за периода от началото на прилагането й до края на 2024 г. са в размер на 3 673 323 лева. През 2024 г. плащанията възлизат на 435 862 лева</w:t>
      </w:r>
      <w:r w:rsidR="00845C06">
        <w:rPr>
          <w:rFonts w:ascii="Arial Narrow" w:hAnsi="Arial Narrow"/>
          <w:bCs/>
          <w:lang w:val="bg-BG" w:eastAsia="bg-BG"/>
        </w:rPr>
        <w:t xml:space="preserve">. </w:t>
      </w:r>
    </w:p>
    <w:p w14:paraId="4D57F610" w14:textId="77777777" w:rsidR="008D6BBB" w:rsidRPr="008D6BBB" w:rsidRDefault="008D6BBB" w:rsidP="008D6BBB">
      <w:pPr>
        <w:spacing w:after="120"/>
        <w:ind w:firstLine="720"/>
        <w:jc w:val="both"/>
        <w:rPr>
          <w:rFonts w:ascii="Arial Narrow" w:hAnsi="Arial Narrow"/>
          <w:b/>
          <w:bCs/>
          <w:lang w:val="bg-BG" w:eastAsia="bg-BG"/>
        </w:rPr>
      </w:pPr>
      <w:r w:rsidRPr="008D6BBB">
        <w:rPr>
          <w:rFonts w:ascii="Arial Narrow" w:hAnsi="Arial Narrow"/>
          <w:b/>
          <w:bCs/>
          <w:lang w:val="bg-BG" w:eastAsia="bg-BG"/>
        </w:rPr>
        <w:lastRenderedPageBreak/>
        <w:t>Подмярка 2.1.2. „Консултантски услуги за малки земеделски стопанства”</w:t>
      </w:r>
    </w:p>
    <w:p w14:paraId="42879017" w14:textId="77777777" w:rsidR="008D6BBB" w:rsidRPr="008D6BBB" w:rsidRDefault="008D6BBB" w:rsidP="008D6BBB">
      <w:pPr>
        <w:spacing w:after="120"/>
        <w:ind w:firstLine="720"/>
        <w:jc w:val="both"/>
        <w:rPr>
          <w:rFonts w:ascii="Arial Narrow" w:hAnsi="Arial Narrow"/>
          <w:bCs/>
          <w:lang w:val="bg-BG" w:eastAsia="bg-BG"/>
        </w:rPr>
      </w:pPr>
      <w:r w:rsidRPr="008D6BBB">
        <w:rPr>
          <w:rFonts w:ascii="Arial Narrow" w:hAnsi="Arial Narrow"/>
          <w:bCs/>
          <w:lang w:val="bg-BG" w:eastAsia="bg-BG"/>
        </w:rPr>
        <w:t xml:space="preserve">Подмярката има за цел предоставяне на бърз и лесен достъп на малките земеделски стопанства до качествени консултантски услуги и удовлетворяване на потребностите им за повишаване на тяхната квалификация и управленски умения, жизнеспособност, осведоменост, знания за опазване на околната среда, адаптиране към климатичните промени и подобряване на управлението на риска. В нейните рамки Националната служба за съвети в земеделието предоставя шест основни напълно безплатни консултантски пакета за малките земеделски стопанства. </w:t>
      </w:r>
    </w:p>
    <w:p w14:paraId="65AF98BF" w14:textId="77777777" w:rsidR="008D6BBB" w:rsidRPr="008D6BBB" w:rsidRDefault="008D6BBB" w:rsidP="008D6BBB">
      <w:pPr>
        <w:spacing w:after="120"/>
        <w:ind w:firstLine="720"/>
        <w:jc w:val="both"/>
        <w:rPr>
          <w:rFonts w:ascii="Arial Narrow" w:hAnsi="Arial Narrow"/>
          <w:bCs/>
          <w:lang w:val="bg-BG" w:eastAsia="bg-BG"/>
        </w:rPr>
      </w:pPr>
      <w:r w:rsidRPr="008D6BBB">
        <w:rPr>
          <w:rFonts w:ascii="Arial Narrow" w:hAnsi="Arial Narrow"/>
          <w:bCs/>
          <w:lang w:val="bg-BG" w:eastAsia="bg-BG"/>
        </w:rPr>
        <w:t>За периода от стартирането й до 31.12.2024 г. по подмярката са разплатени общо 24 277 760 лева, от които през 2024 г. - 3 480 506 лева. За първите пет месеца на 2025 г. са извършени плащания в размер на 703 398 лева.</w:t>
      </w:r>
    </w:p>
    <w:p w14:paraId="1C83C1CA" w14:textId="77777777" w:rsidR="008D6BBB" w:rsidRPr="008D6BBB" w:rsidRDefault="008D6BBB" w:rsidP="008D6BBB">
      <w:pPr>
        <w:spacing w:after="120"/>
        <w:ind w:firstLine="720"/>
        <w:jc w:val="both"/>
        <w:rPr>
          <w:rFonts w:ascii="Arial Narrow" w:hAnsi="Arial Narrow"/>
          <w:b/>
          <w:bCs/>
          <w:lang w:val="bg-BG" w:eastAsia="bg-BG"/>
        </w:rPr>
      </w:pPr>
      <w:r w:rsidRPr="008D6BBB">
        <w:rPr>
          <w:rFonts w:ascii="Arial Narrow" w:hAnsi="Arial Narrow"/>
          <w:b/>
          <w:bCs/>
          <w:lang w:val="bg-BG" w:eastAsia="bg-BG"/>
        </w:rPr>
        <w:t xml:space="preserve">Подмярка 2.2. „Създаване на консултантски услуги“  </w:t>
      </w:r>
    </w:p>
    <w:p w14:paraId="05AE132A" w14:textId="77777777" w:rsidR="008D6BBB" w:rsidRPr="008D6BBB" w:rsidRDefault="008D6BBB" w:rsidP="008D6BBB">
      <w:pPr>
        <w:spacing w:after="120"/>
        <w:ind w:firstLine="720"/>
        <w:jc w:val="both"/>
        <w:rPr>
          <w:rFonts w:ascii="Arial Narrow" w:hAnsi="Arial Narrow"/>
          <w:lang w:val="bg-BG" w:eastAsia="bg-BG"/>
        </w:rPr>
      </w:pPr>
      <w:r w:rsidRPr="008D6BBB">
        <w:rPr>
          <w:rFonts w:ascii="Arial Narrow" w:hAnsi="Arial Narrow"/>
          <w:bCs/>
          <w:lang w:val="bg-BG" w:eastAsia="bg-BG"/>
        </w:rPr>
        <w:t xml:space="preserve">Прилагането на подмярката стартира през 2021 г. с бюджет от 11 734 800 лева и единствен бенефициент Националната служба за съвети в земеделието, </w:t>
      </w:r>
      <w:r w:rsidRPr="008D6BBB">
        <w:rPr>
          <w:rFonts w:ascii="Arial Narrow" w:hAnsi="Arial Narrow"/>
          <w:lang w:val="bg-BG" w:eastAsia="bg-BG"/>
        </w:rPr>
        <w:t xml:space="preserve">за изпълнение на дейност „Създаване на мобилни общински центрове (офиси) за консултантски услуги“. </w:t>
      </w:r>
    </w:p>
    <w:p w14:paraId="0221EF41" w14:textId="77777777" w:rsidR="008D6BBB" w:rsidRPr="008D6BBB" w:rsidRDefault="008D6BBB" w:rsidP="008D6BBB">
      <w:pPr>
        <w:spacing w:after="120"/>
        <w:ind w:firstLine="720"/>
        <w:jc w:val="both"/>
        <w:rPr>
          <w:rFonts w:ascii="Arial Narrow" w:hAnsi="Arial Narrow"/>
          <w:bCs/>
          <w:lang w:val="bg-BG" w:eastAsia="bg-BG"/>
        </w:rPr>
      </w:pPr>
      <w:r w:rsidRPr="008D6BBB">
        <w:rPr>
          <w:rFonts w:ascii="Arial Narrow" w:hAnsi="Arial Narrow"/>
          <w:bCs/>
          <w:lang w:val="bg-BG" w:eastAsia="bg-BG"/>
        </w:rPr>
        <w:t>През 2024 г. одобреният проект е в напреднал процес на изпълнение, като част от основните извършвани дейности са:</w:t>
      </w:r>
    </w:p>
    <w:p w14:paraId="6AE43E8B" w14:textId="77777777" w:rsidR="008D6BBB" w:rsidRPr="008D6BBB" w:rsidRDefault="008D6BBB" w:rsidP="009C6577">
      <w:pPr>
        <w:numPr>
          <w:ilvl w:val="0"/>
          <w:numId w:val="52"/>
        </w:numPr>
        <w:tabs>
          <w:tab w:val="left" w:pos="1134"/>
        </w:tabs>
        <w:autoSpaceDE w:val="0"/>
        <w:autoSpaceDN w:val="0"/>
        <w:adjustRightInd w:val="0"/>
        <w:spacing w:after="120"/>
        <w:ind w:left="714" w:hanging="357"/>
        <w:contextualSpacing/>
        <w:jc w:val="both"/>
        <w:rPr>
          <w:rFonts w:ascii="Arial Narrow" w:eastAsia="Calibri" w:hAnsi="Arial Narrow"/>
          <w:lang w:val="bg-BG"/>
        </w:rPr>
      </w:pPr>
      <w:r w:rsidRPr="008D6BBB">
        <w:rPr>
          <w:rFonts w:ascii="Arial Narrow" w:eastAsia="Calibri" w:hAnsi="Arial Narrow"/>
          <w:lang w:val="bg-BG"/>
        </w:rPr>
        <w:t>Провеждане на съвместни информационни семинари с обхват до 70 участника за представяне на дейности по ПРСР -  на регионално ниво;</w:t>
      </w:r>
    </w:p>
    <w:p w14:paraId="51404199" w14:textId="77777777" w:rsidR="008D6BBB" w:rsidRPr="008D6BBB" w:rsidRDefault="008D6BBB" w:rsidP="009C6577">
      <w:pPr>
        <w:numPr>
          <w:ilvl w:val="0"/>
          <w:numId w:val="52"/>
        </w:numPr>
        <w:tabs>
          <w:tab w:val="left" w:pos="1134"/>
        </w:tabs>
        <w:autoSpaceDE w:val="0"/>
        <w:autoSpaceDN w:val="0"/>
        <w:adjustRightInd w:val="0"/>
        <w:spacing w:after="120"/>
        <w:ind w:left="714" w:hanging="357"/>
        <w:contextualSpacing/>
        <w:jc w:val="both"/>
        <w:rPr>
          <w:rFonts w:ascii="Arial Narrow" w:eastAsia="Calibri" w:hAnsi="Arial Narrow"/>
          <w:lang w:val="bg-BG"/>
        </w:rPr>
      </w:pPr>
      <w:r w:rsidRPr="008D6BBB">
        <w:rPr>
          <w:rFonts w:ascii="Arial Narrow" w:eastAsia="Calibri" w:hAnsi="Arial Narrow"/>
          <w:lang w:val="bg-BG"/>
        </w:rPr>
        <w:t>Предоставяне на съвети и консултации на малки земеделски стопанства;</w:t>
      </w:r>
    </w:p>
    <w:p w14:paraId="2921791A" w14:textId="77777777" w:rsidR="008D6BBB" w:rsidRPr="008D6BBB" w:rsidRDefault="008D6BBB" w:rsidP="009C6577">
      <w:pPr>
        <w:numPr>
          <w:ilvl w:val="0"/>
          <w:numId w:val="52"/>
        </w:numPr>
        <w:tabs>
          <w:tab w:val="left" w:pos="1134"/>
        </w:tabs>
        <w:autoSpaceDE w:val="0"/>
        <w:autoSpaceDN w:val="0"/>
        <w:adjustRightInd w:val="0"/>
        <w:spacing w:after="120"/>
        <w:ind w:left="714" w:hanging="357"/>
        <w:contextualSpacing/>
        <w:jc w:val="both"/>
        <w:rPr>
          <w:rFonts w:ascii="Arial Narrow" w:eastAsia="Calibri" w:hAnsi="Arial Narrow"/>
          <w:lang w:val="bg-BG"/>
        </w:rPr>
      </w:pPr>
      <w:r w:rsidRPr="008D6BBB">
        <w:rPr>
          <w:rFonts w:ascii="Arial Narrow" w:eastAsia="Calibri" w:hAnsi="Arial Narrow"/>
          <w:lang w:val="bg-BG"/>
        </w:rPr>
        <w:t>Организиране на информационни събития за малки земеделски стопанства в различни населени места;</w:t>
      </w:r>
    </w:p>
    <w:p w14:paraId="042FB137" w14:textId="77777777" w:rsidR="008D6BBB" w:rsidRPr="008D6BBB" w:rsidRDefault="008D6BBB" w:rsidP="009C6577">
      <w:pPr>
        <w:numPr>
          <w:ilvl w:val="0"/>
          <w:numId w:val="52"/>
        </w:numPr>
        <w:tabs>
          <w:tab w:val="left" w:pos="1134"/>
        </w:tabs>
        <w:autoSpaceDE w:val="0"/>
        <w:autoSpaceDN w:val="0"/>
        <w:adjustRightInd w:val="0"/>
        <w:spacing w:after="120"/>
        <w:ind w:left="714" w:hanging="357"/>
        <w:contextualSpacing/>
        <w:jc w:val="both"/>
        <w:rPr>
          <w:rFonts w:ascii="Arial Narrow" w:eastAsia="Calibri" w:hAnsi="Arial Narrow"/>
          <w:lang w:val="bg-BG"/>
        </w:rPr>
      </w:pPr>
      <w:r w:rsidRPr="008D6BBB">
        <w:rPr>
          <w:rFonts w:ascii="Arial Narrow" w:eastAsia="Calibri" w:hAnsi="Arial Narrow"/>
          <w:lang w:val="bg-BG"/>
        </w:rPr>
        <w:t>Посещения на малки земеделски стопанства за разясняване на условията за кандидатстване по Тематичната подпрограма и други мерки, финансирани чрез ЕЗФРСР, и предоставяне на други съвети и консултации, пряко свързани с дейността на земеделските стопанства.</w:t>
      </w:r>
    </w:p>
    <w:p w14:paraId="34AE4B7F" w14:textId="77777777" w:rsidR="008D6BBB" w:rsidRPr="008D6BBB" w:rsidRDefault="008D6BBB" w:rsidP="008D6BBB">
      <w:pPr>
        <w:spacing w:after="120"/>
        <w:ind w:firstLine="720"/>
        <w:jc w:val="both"/>
        <w:rPr>
          <w:rFonts w:ascii="Arial Narrow" w:hAnsi="Arial Narrow"/>
          <w:bCs/>
          <w:lang w:val="bg-BG" w:eastAsia="bg-BG"/>
        </w:rPr>
      </w:pPr>
      <w:r w:rsidRPr="008D6BBB">
        <w:rPr>
          <w:rFonts w:ascii="Arial Narrow" w:hAnsi="Arial Narrow"/>
          <w:bCs/>
          <w:lang w:val="bg-BG" w:eastAsia="bg-BG"/>
        </w:rPr>
        <w:t>За периода на прилагане на подмярката до края на 2024 г. разплатените средства са в размер на        5 050 007 лева. През 2024 г. плащанията възлизат на 2 297 998 лева.</w:t>
      </w:r>
    </w:p>
    <w:p w14:paraId="1D9309AD" w14:textId="77777777" w:rsidR="008D6BBB" w:rsidRPr="008D6BBB" w:rsidRDefault="008D6BBB" w:rsidP="008D6BBB">
      <w:pPr>
        <w:spacing w:after="120"/>
        <w:ind w:firstLine="720"/>
        <w:jc w:val="both"/>
        <w:rPr>
          <w:rFonts w:ascii="Arial Narrow" w:hAnsi="Arial Narrow"/>
          <w:b/>
          <w:lang w:val="bg-BG" w:eastAsia="bg-BG"/>
        </w:rPr>
      </w:pPr>
      <w:bookmarkStart w:id="107" w:name="_Toc201928049"/>
      <w:r w:rsidRPr="008D6BBB">
        <w:rPr>
          <w:rFonts w:ascii="Arial Narrow" w:hAnsi="Arial Narrow"/>
          <w:b/>
          <w:lang w:val="bg-BG" w:eastAsia="bg-BG"/>
        </w:rPr>
        <w:t>Мярка 4 „Инвестиции в материални активи“</w:t>
      </w:r>
      <w:bookmarkEnd w:id="107"/>
    </w:p>
    <w:p w14:paraId="2CE6F0B7" w14:textId="77777777" w:rsidR="008D6BBB" w:rsidRPr="008D6BBB" w:rsidRDefault="008D6BBB" w:rsidP="008D6BBB">
      <w:pPr>
        <w:spacing w:after="120"/>
        <w:ind w:firstLine="720"/>
        <w:jc w:val="both"/>
        <w:rPr>
          <w:rFonts w:ascii="Arial Narrow" w:hAnsi="Arial Narrow"/>
          <w:b/>
          <w:bCs/>
          <w:lang w:val="bg-BG" w:eastAsia="bg-BG"/>
        </w:rPr>
      </w:pPr>
      <w:r w:rsidRPr="008D6BBB">
        <w:rPr>
          <w:rFonts w:ascii="Arial Narrow" w:hAnsi="Arial Narrow"/>
          <w:b/>
          <w:bCs/>
          <w:lang w:val="bg-BG" w:eastAsia="bg-BG"/>
        </w:rPr>
        <w:t>Подмярка 4.1. „Инвестиции в земеделски стопанства”</w:t>
      </w:r>
    </w:p>
    <w:p w14:paraId="32AD5F2B" w14:textId="77777777" w:rsidR="008D6BBB" w:rsidRPr="008D6BBB" w:rsidRDefault="008D6BBB" w:rsidP="008D6BBB">
      <w:pPr>
        <w:spacing w:after="120"/>
        <w:ind w:firstLine="720"/>
        <w:jc w:val="both"/>
        <w:rPr>
          <w:rFonts w:ascii="Arial Narrow" w:hAnsi="Arial Narrow"/>
          <w:lang w:val="bg-BG" w:eastAsia="bg-BG"/>
        </w:rPr>
      </w:pPr>
      <w:r w:rsidRPr="008D6BBB">
        <w:rPr>
          <w:rFonts w:ascii="Arial Narrow" w:hAnsi="Arial Narrow"/>
          <w:lang w:val="bg-BG" w:eastAsia="bg-BG"/>
        </w:rPr>
        <w:t xml:space="preserve">Подпомагането по подмярката е насочено към модернизиране на земеделските стопанства, включително в чувствителни сектори със затруднен достъп до пазара, обновяване на физическия капитал и нематериалните активи, свързани с организацията и управление на стопанствата, въвеждане на нови и енергоспестяващи технологии, подобряване на предпазарната подготовка и съхранение на продукцията. </w:t>
      </w:r>
    </w:p>
    <w:p w14:paraId="4028C16C" w14:textId="77777777" w:rsidR="008D6BBB" w:rsidRPr="008D6BBB" w:rsidRDefault="008D6BBB" w:rsidP="008D6BBB">
      <w:pPr>
        <w:spacing w:after="120"/>
        <w:ind w:firstLine="720"/>
        <w:jc w:val="both"/>
        <w:rPr>
          <w:rFonts w:ascii="Arial Narrow" w:hAnsi="Arial Narrow"/>
          <w:lang w:val="bg-BG" w:eastAsia="bg-BG"/>
        </w:rPr>
      </w:pPr>
      <w:r w:rsidRPr="008D6BBB">
        <w:rPr>
          <w:rFonts w:ascii="Arial Narrow" w:hAnsi="Arial Narrow"/>
          <w:lang w:val="bg-BG" w:eastAsia="bg-BG"/>
        </w:rPr>
        <w:t>За периода 2015-2024 г. по подмярката са проведени пет приема на заявления за предоставяне на финансова помощ. Сключени са 3 669 договора, с обща стойност на одобрената субсидия в размер на 1 494 898 899 лева. През календарната 2024 г. са сключени 276 договора със субсидия в размер на 64 909 587 лева.</w:t>
      </w:r>
    </w:p>
    <w:p w14:paraId="76912D0A" w14:textId="77777777" w:rsidR="008D6BBB" w:rsidRPr="008D6BBB" w:rsidRDefault="008D6BBB" w:rsidP="008D6BBB">
      <w:pPr>
        <w:spacing w:after="120"/>
        <w:ind w:firstLine="720"/>
        <w:jc w:val="both"/>
        <w:rPr>
          <w:rFonts w:ascii="Arial Narrow" w:hAnsi="Arial Narrow"/>
          <w:lang w:val="bg-BG" w:eastAsia="bg-BG"/>
        </w:rPr>
      </w:pPr>
      <w:r w:rsidRPr="008D6BBB">
        <w:rPr>
          <w:rFonts w:ascii="Arial Narrow" w:hAnsi="Arial Narrow"/>
          <w:lang w:val="bg-BG" w:eastAsia="bg-BG"/>
        </w:rPr>
        <w:t>В резултат на изпълнението на одобрените проекти по подмярката е заявено създаването на            6 303 нови работни места, което допринася за устойчивото развитие на селските райони и повишаване на заетостта в земеделския сектор.</w:t>
      </w:r>
    </w:p>
    <w:p w14:paraId="3A79CC8C" w14:textId="77777777" w:rsidR="008D6BBB" w:rsidRPr="008D6BBB" w:rsidRDefault="008D6BBB" w:rsidP="008D6BBB">
      <w:pPr>
        <w:spacing w:after="120"/>
        <w:ind w:firstLine="720"/>
        <w:jc w:val="both"/>
        <w:rPr>
          <w:rFonts w:ascii="Arial Narrow" w:hAnsi="Arial Narrow"/>
          <w:lang w:val="bg-BG" w:eastAsia="bg-BG"/>
        </w:rPr>
      </w:pPr>
      <w:r w:rsidRPr="008D6BBB">
        <w:rPr>
          <w:rFonts w:ascii="Arial Narrow" w:hAnsi="Arial Narrow"/>
          <w:lang w:val="bg-BG" w:eastAsia="bg-BG"/>
        </w:rPr>
        <w:t xml:space="preserve">Към 31.12.2024 г. за целия период на прилагане на ПРСР 2014-2020 г. по подмярка 4.1 „Инвестиции в земеделски стопанства“ са изплатени 926 835 571 лева публични средства. За календарната 2024 г. предоставената финансова помощ е в размер на </w:t>
      </w:r>
      <w:r w:rsidR="009A4A7E" w:rsidRPr="004E30CA">
        <w:rPr>
          <w:rFonts w:ascii="Arial Narrow" w:hAnsi="Arial Narrow"/>
          <w:lang w:val="bg-BG" w:eastAsia="bg-BG"/>
        </w:rPr>
        <w:t>178 355 876</w:t>
      </w:r>
      <w:r w:rsidR="009A4A7E">
        <w:rPr>
          <w:rFonts w:ascii="Arial Narrow" w:hAnsi="Arial Narrow"/>
          <w:lang w:val="bg-BG" w:eastAsia="bg-BG"/>
        </w:rPr>
        <w:t xml:space="preserve"> </w:t>
      </w:r>
      <w:r w:rsidRPr="008D6BBB">
        <w:rPr>
          <w:rFonts w:ascii="Arial Narrow" w:hAnsi="Arial Narrow"/>
          <w:lang w:val="bg-BG" w:eastAsia="bg-BG"/>
        </w:rPr>
        <w:t xml:space="preserve">лева, а за първите пет месеца на 2025 г. - на </w:t>
      </w:r>
      <w:r w:rsidR="009A4A7E" w:rsidRPr="004E30CA">
        <w:rPr>
          <w:rFonts w:ascii="Arial Narrow" w:hAnsi="Arial Narrow"/>
          <w:lang w:val="bg-BG" w:eastAsia="bg-BG"/>
        </w:rPr>
        <w:t>52 974 534</w:t>
      </w:r>
      <w:r w:rsidR="009A4A7E" w:rsidRPr="004F093A">
        <w:rPr>
          <w:rFonts w:ascii="Arial Narrow" w:hAnsi="Arial Narrow"/>
          <w:lang w:val="bg-BG" w:eastAsia="bg-BG"/>
        </w:rPr>
        <w:t xml:space="preserve"> </w:t>
      </w:r>
      <w:r w:rsidRPr="004F093A">
        <w:rPr>
          <w:rFonts w:ascii="Arial Narrow" w:hAnsi="Arial Narrow"/>
          <w:lang w:val="bg-BG" w:eastAsia="bg-BG"/>
        </w:rPr>
        <w:t>лева.</w:t>
      </w:r>
    </w:p>
    <w:p w14:paraId="6DA8F0B2" w14:textId="77777777" w:rsidR="008D6BBB" w:rsidRPr="008D6BBB" w:rsidRDefault="008D6BBB" w:rsidP="008D6BBB">
      <w:pPr>
        <w:spacing w:after="120"/>
        <w:ind w:firstLine="720"/>
        <w:jc w:val="both"/>
        <w:rPr>
          <w:rFonts w:ascii="Arial Narrow" w:hAnsi="Arial Narrow"/>
          <w:b/>
          <w:bCs/>
          <w:lang w:val="bg-BG" w:eastAsia="bg-BG"/>
        </w:rPr>
      </w:pPr>
      <w:r w:rsidRPr="008D6BBB">
        <w:rPr>
          <w:rFonts w:ascii="Arial Narrow" w:hAnsi="Arial Narrow"/>
          <w:b/>
          <w:bCs/>
          <w:lang w:val="bg-BG" w:eastAsia="bg-BG"/>
        </w:rPr>
        <w:t>4.1.2. „Инвестиции в земеделски стопанства по Тематична подпрограма за развитие на малки стопанства“</w:t>
      </w:r>
    </w:p>
    <w:p w14:paraId="0526D4B4" w14:textId="77777777" w:rsidR="008D6BBB" w:rsidRPr="008D6BBB" w:rsidRDefault="008D6BBB" w:rsidP="008D6BBB">
      <w:pPr>
        <w:spacing w:after="120"/>
        <w:ind w:firstLine="720"/>
        <w:jc w:val="both"/>
        <w:rPr>
          <w:rFonts w:ascii="Arial Narrow" w:hAnsi="Arial Narrow"/>
          <w:lang w:val="bg-BG" w:eastAsia="bg-BG"/>
        </w:rPr>
      </w:pPr>
      <w:r w:rsidRPr="008D6BBB">
        <w:rPr>
          <w:rFonts w:ascii="Arial Narrow" w:hAnsi="Arial Narrow"/>
          <w:lang w:val="bg-BG" w:eastAsia="bg-BG"/>
        </w:rPr>
        <w:t xml:space="preserve">Подпомагането цели подобряване на икономическата устойчивост и резултатите на малките стопанства чрез преструктуриране и развитие на наличните им материални мощности, насърчаване </w:t>
      </w:r>
      <w:r w:rsidRPr="008D6BBB">
        <w:rPr>
          <w:rFonts w:ascii="Arial Narrow" w:hAnsi="Arial Narrow"/>
          <w:lang w:val="bg-BG" w:eastAsia="bg-BG"/>
        </w:rPr>
        <w:lastRenderedPageBreak/>
        <w:t>въвеждането на нови процеси и технологии за повишаване качеството на произвежданата продукция, опазване на компонентите на околната среда. Към края на 2024 г., когато прилагането на Подпрограмата приключва, са изпълнени 96% от договорените проекти.</w:t>
      </w:r>
    </w:p>
    <w:p w14:paraId="3DBAB091" w14:textId="77777777" w:rsidR="008D6BBB" w:rsidRPr="008D6BBB" w:rsidRDefault="008D6BBB" w:rsidP="008D6BBB">
      <w:pPr>
        <w:spacing w:after="120"/>
        <w:ind w:firstLine="720"/>
        <w:jc w:val="both"/>
        <w:rPr>
          <w:rFonts w:ascii="Arial Narrow" w:hAnsi="Arial Narrow"/>
          <w:lang w:val="bg-BG" w:eastAsia="bg-BG"/>
        </w:rPr>
      </w:pPr>
      <w:r w:rsidRPr="008D6BBB">
        <w:rPr>
          <w:rFonts w:ascii="Arial Narrow" w:hAnsi="Arial Narrow"/>
          <w:lang w:val="bg-BG" w:eastAsia="bg-BG"/>
        </w:rPr>
        <w:t>Проведени са два приема, в рамките на които са постъпили 502 проектни предложения. Към края на 2024 г. са сключени 247 административни договора на стойност 6 495 975 лева.</w:t>
      </w:r>
    </w:p>
    <w:p w14:paraId="3E1486D7" w14:textId="77777777" w:rsidR="009072FF" w:rsidRPr="009072FF" w:rsidRDefault="008D6BBB" w:rsidP="009072FF">
      <w:pPr>
        <w:spacing w:after="120"/>
        <w:ind w:firstLine="720"/>
        <w:jc w:val="both"/>
        <w:rPr>
          <w:rFonts w:ascii="Arial Narrow" w:hAnsi="Arial Narrow"/>
          <w:u w:val="single"/>
          <w:lang w:val="bg-BG" w:eastAsia="bg-BG"/>
        </w:rPr>
      </w:pPr>
      <w:r w:rsidRPr="008D6BBB">
        <w:rPr>
          <w:rFonts w:ascii="Arial Narrow" w:hAnsi="Arial Narrow"/>
          <w:lang w:val="bg-BG" w:eastAsia="bg-BG"/>
        </w:rPr>
        <w:t xml:space="preserve">За периода от началото на прилагането на ПРСР 2014-2020 г. до 31.12.2024 г. по подмярката са изплатени 5 054 504 лева, в това число през 2024 г. – 656 724 лева. </w:t>
      </w:r>
      <w:r w:rsidR="009072FF" w:rsidRPr="004E30CA">
        <w:rPr>
          <w:rFonts w:ascii="Arial Narrow" w:hAnsi="Arial Narrow"/>
          <w:u w:val="single"/>
          <w:lang w:val="bg-BG" w:eastAsia="bg-BG"/>
        </w:rPr>
        <w:t xml:space="preserve">За първите пет месеца на 2025 г. са изплатени </w:t>
      </w:r>
      <w:r w:rsidR="009072FF" w:rsidRPr="004E30CA">
        <w:rPr>
          <w:rFonts w:ascii="Arial Narrow" w:hAnsi="Arial Narrow"/>
          <w:u w:val="single"/>
          <w:lang w:eastAsia="bg-BG"/>
        </w:rPr>
        <w:t>6 728</w:t>
      </w:r>
      <w:r w:rsidR="009072FF" w:rsidRPr="004E30CA">
        <w:rPr>
          <w:rFonts w:ascii="Arial Narrow" w:hAnsi="Arial Narrow"/>
          <w:u w:val="single"/>
          <w:lang w:val="bg-BG" w:eastAsia="bg-BG"/>
        </w:rPr>
        <w:t xml:space="preserve"> лева</w:t>
      </w:r>
      <w:r w:rsidR="00A85E6B">
        <w:rPr>
          <w:rFonts w:ascii="Arial Narrow" w:hAnsi="Arial Narrow"/>
          <w:u w:val="single"/>
          <w:lang w:val="bg-BG" w:eastAsia="bg-BG"/>
        </w:rPr>
        <w:t>.</w:t>
      </w:r>
    </w:p>
    <w:p w14:paraId="3485A99E" w14:textId="77777777" w:rsidR="008D6BBB" w:rsidRPr="008D6BBB" w:rsidRDefault="008D6BBB" w:rsidP="008D6BBB">
      <w:pPr>
        <w:spacing w:after="120"/>
        <w:ind w:firstLine="720"/>
        <w:jc w:val="both"/>
        <w:rPr>
          <w:rFonts w:ascii="Arial Narrow" w:hAnsi="Arial Narrow"/>
          <w:b/>
          <w:bCs/>
          <w:lang w:val="bg-BG" w:eastAsia="bg-BG"/>
        </w:rPr>
      </w:pPr>
      <w:r w:rsidRPr="008D6BBB">
        <w:rPr>
          <w:rFonts w:ascii="Arial Narrow" w:hAnsi="Arial Narrow"/>
          <w:b/>
          <w:bCs/>
          <w:lang w:val="bg-BG" w:eastAsia="bg-BG"/>
        </w:rPr>
        <w:t>Подмярка 4.2. „Инвестиции в преработка/маркетинг на селскостопански продукти“</w:t>
      </w:r>
    </w:p>
    <w:p w14:paraId="06C8DF21" w14:textId="77777777" w:rsidR="008D6BBB" w:rsidRPr="008D6BBB" w:rsidRDefault="008D6BBB" w:rsidP="008D6BBB">
      <w:pPr>
        <w:spacing w:after="120"/>
        <w:ind w:firstLine="720"/>
        <w:jc w:val="both"/>
        <w:rPr>
          <w:rFonts w:ascii="Arial Narrow" w:hAnsi="Arial Narrow"/>
          <w:lang w:val="bg-BG" w:eastAsia="bg-BG"/>
        </w:rPr>
      </w:pPr>
      <w:r w:rsidRPr="008D6BBB">
        <w:rPr>
          <w:rFonts w:ascii="Arial Narrow" w:hAnsi="Arial Narrow"/>
          <w:lang w:val="bg-BG" w:eastAsia="bg-BG"/>
        </w:rPr>
        <w:t xml:space="preserve">Подмярката допринася за подобряване на вертикалното и хоризонталното сътрудничество между земеделските производители, преработватели и търговци, повишаване на тяхната конкурентоспособност и по-доброто им интегриране в агрохранителната верига. Реализираните инвестиции в добавяне на стойност към селскостопански продукти подпомагат създаването на устойчива заетост, включително на територията на селските райони. </w:t>
      </w:r>
    </w:p>
    <w:p w14:paraId="6324A876" w14:textId="77777777" w:rsidR="008D6BBB" w:rsidRPr="008D6BBB" w:rsidRDefault="008D6BBB" w:rsidP="008D6BBB">
      <w:pPr>
        <w:spacing w:after="120"/>
        <w:ind w:firstLine="720"/>
        <w:jc w:val="both"/>
        <w:rPr>
          <w:rFonts w:ascii="Arial Narrow" w:hAnsi="Arial Narrow"/>
          <w:lang w:val="bg-BG" w:eastAsia="bg-BG"/>
        </w:rPr>
      </w:pPr>
      <w:r w:rsidRPr="008D6BBB">
        <w:rPr>
          <w:rFonts w:ascii="Arial Narrow" w:hAnsi="Arial Narrow"/>
          <w:lang w:val="bg-BG" w:eastAsia="bg-BG"/>
        </w:rPr>
        <w:t xml:space="preserve">За периода от началото на прилагане на подмярката до края на 2024 г. са проведени пет приема, с постъпили общо 2 011 проекта. От тях одобрени за подкрепа и сключване на административни договори са 1 035 проекта със стойност на БФП в размер на 1 125 589 974 лева. </w:t>
      </w:r>
    </w:p>
    <w:p w14:paraId="105FAEE8" w14:textId="77777777" w:rsidR="008D6BBB" w:rsidRPr="008D6BBB" w:rsidRDefault="008D6BBB" w:rsidP="008D6BBB">
      <w:pPr>
        <w:spacing w:after="120"/>
        <w:ind w:firstLine="720"/>
        <w:jc w:val="both"/>
        <w:rPr>
          <w:rFonts w:ascii="Arial Narrow" w:hAnsi="Arial Narrow"/>
          <w:lang w:val="bg-BG" w:eastAsia="bg-BG"/>
        </w:rPr>
      </w:pPr>
      <w:r w:rsidRPr="008D6BBB">
        <w:rPr>
          <w:rFonts w:ascii="Arial Narrow" w:hAnsi="Arial Narrow"/>
          <w:lang w:val="bg-BG" w:eastAsia="bg-BG"/>
        </w:rPr>
        <w:t xml:space="preserve">Към края на 2024 г. общо платените публични средства с натрупване за периода на прилагане на подмярката са в размер на 501 834 397 лева от ЕЗФРСР и НБ. За 2024 г. изплатените субсидии са на стойност </w:t>
      </w:r>
      <w:r w:rsidR="004F093A" w:rsidRPr="004E30CA">
        <w:rPr>
          <w:rFonts w:ascii="Arial Narrow" w:hAnsi="Arial Narrow"/>
          <w:lang w:val="bg-BG" w:eastAsia="bg-BG"/>
        </w:rPr>
        <w:t>127 591 228</w:t>
      </w:r>
      <w:r w:rsidR="004F093A" w:rsidRPr="00B45461">
        <w:rPr>
          <w:rFonts w:ascii="Arial Narrow" w:hAnsi="Arial Narrow"/>
          <w:lang w:val="bg-BG" w:eastAsia="bg-BG"/>
        </w:rPr>
        <w:t xml:space="preserve"> </w:t>
      </w:r>
      <w:r w:rsidRPr="008D6BBB">
        <w:rPr>
          <w:rFonts w:ascii="Arial Narrow" w:hAnsi="Arial Narrow"/>
          <w:lang w:val="bg-BG" w:eastAsia="bg-BG"/>
        </w:rPr>
        <w:t xml:space="preserve">лева, а за първите пет месеца на 2025 г. </w:t>
      </w:r>
      <w:r w:rsidRPr="00A85E6B">
        <w:rPr>
          <w:rFonts w:ascii="Arial Narrow" w:hAnsi="Arial Narrow"/>
          <w:lang w:val="bg-BG" w:eastAsia="bg-BG"/>
        </w:rPr>
        <w:t xml:space="preserve">– </w:t>
      </w:r>
      <w:r w:rsidR="004F093A" w:rsidRPr="004E30CA">
        <w:rPr>
          <w:rFonts w:ascii="Arial Narrow" w:hAnsi="Arial Narrow"/>
          <w:lang w:val="bg-BG" w:eastAsia="bg-BG"/>
        </w:rPr>
        <w:t>35 290 821</w:t>
      </w:r>
      <w:r w:rsidR="004F093A">
        <w:rPr>
          <w:rFonts w:ascii="Arial Narrow" w:hAnsi="Arial Narrow"/>
          <w:lang w:val="bg-BG" w:eastAsia="bg-BG"/>
        </w:rPr>
        <w:t xml:space="preserve"> </w:t>
      </w:r>
      <w:r w:rsidRPr="008D6BBB">
        <w:rPr>
          <w:rFonts w:ascii="Arial Narrow" w:hAnsi="Arial Narrow"/>
          <w:lang w:val="bg-BG" w:eastAsia="bg-BG"/>
        </w:rPr>
        <w:t>лева.</w:t>
      </w:r>
    </w:p>
    <w:p w14:paraId="41C5AD4F" w14:textId="77777777" w:rsidR="008D6BBB" w:rsidRPr="008D6BBB" w:rsidRDefault="008D6BBB" w:rsidP="008D6BBB">
      <w:pPr>
        <w:spacing w:after="120"/>
        <w:ind w:firstLine="720"/>
        <w:jc w:val="both"/>
        <w:rPr>
          <w:rFonts w:ascii="Arial Narrow" w:hAnsi="Arial Narrow"/>
          <w:b/>
          <w:bCs/>
          <w:lang w:val="bg-BG" w:eastAsia="bg-BG"/>
        </w:rPr>
      </w:pPr>
      <w:r w:rsidRPr="008D6BBB">
        <w:rPr>
          <w:rFonts w:ascii="Arial Narrow" w:hAnsi="Arial Narrow"/>
          <w:b/>
          <w:bCs/>
          <w:lang w:val="bg-BG" w:eastAsia="bg-BG"/>
        </w:rPr>
        <w:t>Подмярка 4.3. „Подкрепа за инвестиции в инфраструктура, свързана с развитието, модернизирането или адаптирането на селското и горското стопанство“</w:t>
      </w:r>
    </w:p>
    <w:p w14:paraId="57967DEC" w14:textId="77777777" w:rsidR="008D6BBB" w:rsidRPr="008D6BBB" w:rsidRDefault="008D6BBB" w:rsidP="008D6BBB">
      <w:pPr>
        <w:spacing w:after="120"/>
        <w:ind w:firstLine="720"/>
        <w:jc w:val="both"/>
        <w:rPr>
          <w:rFonts w:ascii="Arial Narrow" w:hAnsi="Arial Narrow"/>
          <w:lang w:val="bg-BG" w:eastAsia="bg-BG"/>
        </w:rPr>
      </w:pPr>
      <w:r w:rsidRPr="008D6BBB">
        <w:rPr>
          <w:rFonts w:ascii="Arial Narrow" w:hAnsi="Arial Narrow"/>
          <w:lang w:val="bg-BG" w:eastAsia="bg-BG"/>
        </w:rPr>
        <w:t xml:space="preserve">Подпомагането по подмярката е насочено към реконструкция/рехабилитация и модернизация на хидромелиоративната инфраструктура извън земеделските стопанства, използвана само за селскостопански нужди, с цел намаляване на загубите на вода и адаптиране на селското стопанство към последиците от изменението на климата. Чрез подкрепата се създават условия за ефективно използване на водните ресурси посредством въвеждането на нови технологии, които водят до реално понижаване на загубите и на консумацията на вода в селското стопанство, повишаване на конкурентните предимства и намаляване на натиска върху водните тела. </w:t>
      </w:r>
    </w:p>
    <w:p w14:paraId="4369B8DA" w14:textId="77777777" w:rsidR="008D6BBB" w:rsidRPr="008D6BBB" w:rsidRDefault="008D6BBB" w:rsidP="008D6BBB">
      <w:pPr>
        <w:spacing w:after="120"/>
        <w:ind w:firstLine="720"/>
        <w:jc w:val="both"/>
        <w:rPr>
          <w:rFonts w:ascii="Arial Narrow" w:hAnsi="Arial Narrow"/>
          <w:lang w:val="bg-BG" w:eastAsia="bg-BG"/>
        </w:rPr>
      </w:pPr>
      <w:r w:rsidRPr="008D6BBB">
        <w:rPr>
          <w:rFonts w:ascii="Arial Narrow" w:hAnsi="Arial Narrow"/>
          <w:lang w:val="bg-BG" w:eastAsia="bg-BG"/>
        </w:rPr>
        <w:t>По подмярка 4.3 са проведени три приема и са подписани 27 договора с общ размер на договорената субсидия 115 978 940 лева.</w:t>
      </w:r>
    </w:p>
    <w:p w14:paraId="49E54F2C" w14:textId="77777777" w:rsidR="008D6BBB" w:rsidRPr="008D6BBB" w:rsidRDefault="008D6BBB" w:rsidP="008D6BBB">
      <w:pPr>
        <w:spacing w:after="120"/>
        <w:ind w:firstLine="720"/>
        <w:jc w:val="both"/>
        <w:rPr>
          <w:rFonts w:ascii="Arial Narrow" w:hAnsi="Arial Narrow"/>
          <w:lang w:val="bg-BG" w:eastAsia="bg-BG"/>
        </w:rPr>
      </w:pPr>
      <w:r w:rsidRPr="008D6BBB">
        <w:rPr>
          <w:rFonts w:ascii="Arial Narrow" w:hAnsi="Arial Narrow"/>
          <w:lang w:val="bg-BG" w:eastAsia="bg-BG"/>
        </w:rPr>
        <w:t>За периода на прилагането й до 31.12.2024 г. по подмярката са изплатени 68 989 610 лева, в това число 20 256 132 лева през 2024 г. За първите пет месеца на 2025 г. са извършени плащания на стойност 5 682 179 лева.</w:t>
      </w:r>
    </w:p>
    <w:p w14:paraId="7D1B2BDD" w14:textId="77777777" w:rsidR="008D6BBB" w:rsidRPr="008D6BBB" w:rsidRDefault="008D6BBB" w:rsidP="008D6BBB">
      <w:pPr>
        <w:spacing w:after="120"/>
        <w:ind w:firstLine="720"/>
        <w:jc w:val="both"/>
        <w:rPr>
          <w:rFonts w:ascii="Arial Narrow" w:hAnsi="Arial Narrow"/>
          <w:b/>
          <w:lang w:val="bg-BG" w:eastAsia="bg-BG"/>
        </w:rPr>
      </w:pPr>
      <w:bookmarkStart w:id="108" w:name="_Toc201928050"/>
      <w:r w:rsidRPr="008D6BBB">
        <w:rPr>
          <w:rFonts w:ascii="Arial Narrow" w:hAnsi="Arial Narrow"/>
          <w:b/>
          <w:lang w:val="bg-BG" w:eastAsia="bg-BG"/>
        </w:rPr>
        <w:t xml:space="preserve">Мярка 5 „Възстановяване на селскостопански производствен потенциал и въвеждане на подходящи превантивни мерки”  </w:t>
      </w:r>
    </w:p>
    <w:p w14:paraId="166EB82C" w14:textId="77777777" w:rsidR="008D6BBB" w:rsidRPr="008D6BBB" w:rsidRDefault="008D6BBB" w:rsidP="008D6BBB">
      <w:pPr>
        <w:spacing w:after="120"/>
        <w:ind w:firstLine="720"/>
        <w:jc w:val="both"/>
        <w:rPr>
          <w:rFonts w:ascii="Arial Narrow" w:hAnsi="Arial Narrow"/>
          <w:lang w:val="bg-BG" w:eastAsia="bg-BG"/>
        </w:rPr>
      </w:pPr>
      <w:r w:rsidRPr="008D6BBB">
        <w:rPr>
          <w:rFonts w:ascii="Arial Narrow" w:hAnsi="Arial Narrow"/>
          <w:lang w:val="bg-BG" w:eastAsia="bg-BG"/>
        </w:rPr>
        <w:t xml:space="preserve">Мярката се прилага с две подмерки - подмярка 5.1 „Подкрепа за инвестиции в превантивни мерки, насочени към ограничаване на последствията от вероятни природни бедствия, неблагоприятни климатични явления и катастрофични събития“ и подмярка 5.2 „Инвестиции за възстановяване на потенциала на земеделските земи и на селскостопанския производствен потенциал, нарушени от природни бедствия, неблагоприятни климатични явления и катастрофични събития“. </w:t>
      </w:r>
    </w:p>
    <w:p w14:paraId="309C1F44" w14:textId="77777777" w:rsidR="008D6BBB" w:rsidRPr="008D6BBB" w:rsidRDefault="008D6BBB" w:rsidP="008D6BBB">
      <w:pPr>
        <w:spacing w:after="120"/>
        <w:ind w:firstLine="720"/>
        <w:jc w:val="both"/>
        <w:rPr>
          <w:rFonts w:ascii="Arial Narrow" w:hAnsi="Arial Narrow"/>
          <w:b/>
          <w:lang w:val="bg-BG" w:eastAsia="bg-BG"/>
        </w:rPr>
      </w:pPr>
      <w:r w:rsidRPr="008D6BBB">
        <w:rPr>
          <w:rFonts w:ascii="Arial Narrow" w:hAnsi="Arial Narrow"/>
          <w:b/>
          <w:lang w:val="bg-BG" w:eastAsia="bg-BG"/>
        </w:rPr>
        <w:t>Подмярка 5.1. „Подкрепа за инвестиции в превантивни мерки“</w:t>
      </w:r>
      <w:bookmarkEnd w:id="108"/>
    </w:p>
    <w:p w14:paraId="70683EC7" w14:textId="77777777" w:rsidR="008D6BBB" w:rsidRPr="008D6BBB" w:rsidRDefault="008D6BBB" w:rsidP="008D6BBB">
      <w:pPr>
        <w:spacing w:after="120"/>
        <w:ind w:firstLine="720"/>
        <w:jc w:val="both"/>
        <w:rPr>
          <w:rFonts w:ascii="Arial Narrow" w:hAnsi="Arial Narrow"/>
          <w:lang w:val="bg-BG" w:eastAsia="bg-BG"/>
        </w:rPr>
      </w:pPr>
      <w:r w:rsidRPr="008D6BBB">
        <w:rPr>
          <w:rFonts w:ascii="Arial Narrow" w:hAnsi="Arial Narrow"/>
          <w:lang w:val="bg-BG" w:eastAsia="bg-BG"/>
        </w:rPr>
        <w:t xml:space="preserve">Подкрепата по подмярката е насочена към изпълнение на следните видове дейности: </w:t>
      </w:r>
    </w:p>
    <w:p w14:paraId="6A3D58A5" w14:textId="77777777" w:rsidR="008D6BBB" w:rsidRPr="008D6BBB" w:rsidRDefault="008D6BBB" w:rsidP="009C6577">
      <w:pPr>
        <w:numPr>
          <w:ilvl w:val="0"/>
          <w:numId w:val="52"/>
        </w:numPr>
        <w:tabs>
          <w:tab w:val="left" w:pos="1134"/>
        </w:tabs>
        <w:autoSpaceDE w:val="0"/>
        <w:autoSpaceDN w:val="0"/>
        <w:adjustRightInd w:val="0"/>
        <w:spacing w:after="120"/>
        <w:ind w:left="714" w:hanging="357"/>
        <w:contextualSpacing/>
        <w:jc w:val="both"/>
        <w:rPr>
          <w:rFonts w:ascii="Arial Narrow" w:eastAsia="Calibri" w:hAnsi="Arial Narrow"/>
          <w:lang w:val="bg-BG"/>
        </w:rPr>
      </w:pPr>
      <w:r w:rsidRPr="008D6BBB">
        <w:rPr>
          <w:rFonts w:ascii="Arial Narrow" w:eastAsia="Calibri" w:hAnsi="Arial Narrow"/>
          <w:lang w:val="bg-BG"/>
        </w:rPr>
        <w:t xml:space="preserve">Превенция и ограничаване на възможностите за разпространението на епизоотии и масови заразни болести по селскостопанските животни; превенция на опасни метеорологични явления - градушки; </w:t>
      </w:r>
    </w:p>
    <w:p w14:paraId="4E7E91A0" w14:textId="77777777" w:rsidR="008D6BBB" w:rsidRPr="008D6BBB" w:rsidRDefault="008D6BBB" w:rsidP="009C6577">
      <w:pPr>
        <w:numPr>
          <w:ilvl w:val="0"/>
          <w:numId w:val="52"/>
        </w:numPr>
        <w:tabs>
          <w:tab w:val="left" w:pos="1134"/>
        </w:tabs>
        <w:autoSpaceDE w:val="0"/>
        <w:autoSpaceDN w:val="0"/>
        <w:adjustRightInd w:val="0"/>
        <w:spacing w:after="120"/>
        <w:ind w:left="714" w:hanging="357"/>
        <w:contextualSpacing/>
        <w:jc w:val="both"/>
        <w:rPr>
          <w:rFonts w:ascii="Arial Narrow" w:eastAsia="Calibri" w:hAnsi="Arial Narrow"/>
          <w:lang w:val="bg-BG"/>
        </w:rPr>
      </w:pPr>
      <w:r w:rsidRPr="008D6BBB">
        <w:rPr>
          <w:rFonts w:ascii="Arial Narrow" w:eastAsia="Calibri" w:hAnsi="Arial Narrow"/>
          <w:lang w:val="bg-BG"/>
        </w:rPr>
        <w:lastRenderedPageBreak/>
        <w:t xml:space="preserve">Повишаване на оперативния капацитет на публични субекти за предотвратяване на епизоотии, както и за борбата с тях, включително чрез намаляване на времето за реакция от страна на компетентните органи; </w:t>
      </w:r>
    </w:p>
    <w:p w14:paraId="68A57F3D" w14:textId="77777777" w:rsidR="008D6BBB" w:rsidRPr="008D6BBB" w:rsidRDefault="008D6BBB" w:rsidP="009C6577">
      <w:pPr>
        <w:numPr>
          <w:ilvl w:val="0"/>
          <w:numId w:val="52"/>
        </w:numPr>
        <w:tabs>
          <w:tab w:val="left" w:pos="1134"/>
        </w:tabs>
        <w:autoSpaceDE w:val="0"/>
        <w:autoSpaceDN w:val="0"/>
        <w:adjustRightInd w:val="0"/>
        <w:spacing w:after="120"/>
        <w:ind w:left="714" w:hanging="357"/>
        <w:contextualSpacing/>
        <w:jc w:val="both"/>
        <w:rPr>
          <w:rFonts w:ascii="Arial Narrow" w:eastAsia="Calibri" w:hAnsi="Arial Narrow"/>
          <w:lang w:val="bg-BG"/>
        </w:rPr>
      </w:pPr>
      <w:r w:rsidRPr="008D6BBB">
        <w:rPr>
          <w:rFonts w:ascii="Arial Narrow" w:eastAsia="Calibri" w:hAnsi="Arial Narrow"/>
          <w:lang w:val="bg-BG"/>
        </w:rPr>
        <w:t xml:space="preserve">Дейности в животновъдни обекти, специализирани в отглеждането на свине, овце, кози и птици; </w:t>
      </w:r>
    </w:p>
    <w:p w14:paraId="300F3861" w14:textId="77777777" w:rsidR="008D6BBB" w:rsidRPr="008D6BBB" w:rsidRDefault="008D6BBB" w:rsidP="009C6577">
      <w:pPr>
        <w:numPr>
          <w:ilvl w:val="0"/>
          <w:numId w:val="52"/>
        </w:numPr>
        <w:tabs>
          <w:tab w:val="left" w:pos="1134"/>
        </w:tabs>
        <w:autoSpaceDE w:val="0"/>
        <w:autoSpaceDN w:val="0"/>
        <w:adjustRightInd w:val="0"/>
        <w:spacing w:after="120"/>
        <w:ind w:left="714" w:hanging="357"/>
        <w:contextualSpacing/>
        <w:jc w:val="both"/>
        <w:rPr>
          <w:rFonts w:ascii="Arial Narrow" w:eastAsia="Calibri" w:hAnsi="Arial Narrow"/>
          <w:lang w:val="bg-BG"/>
        </w:rPr>
      </w:pPr>
      <w:r w:rsidRPr="008D6BBB">
        <w:rPr>
          <w:rFonts w:ascii="Arial Narrow" w:eastAsia="Calibri" w:hAnsi="Arial Narrow"/>
          <w:lang w:val="bg-BG"/>
        </w:rPr>
        <w:t xml:space="preserve">Повишаване на оперативния капацитет на публични субекти за осигуряване на надеждна и ефективна защита от градушки и други неблагоприятни климатични явления, обхващаща земеделските площи на територията на цялата страна. Целевата подкрепа осигурява надграждане на необходимата метеорологична радарна мрежа чрез въвеждането в експлоатация на нови мрежи и прилежащото към тях оборудване и обслужващи транспортни средства. </w:t>
      </w:r>
    </w:p>
    <w:p w14:paraId="52F2A652" w14:textId="77777777" w:rsidR="008D6BBB" w:rsidRPr="008D6BBB" w:rsidRDefault="008D6BBB" w:rsidP="008D6BBB">
      <w:pPr>
        <w:spacing w:after="120"/>
        <w:ind w:firstLine="720"/>
        <w:jc w:val="both"/>
        <w:rPr>
          <w:rFonts w:ascii="Arial Narrow" w:hAnsi="Arial Narrow"/>
          <w:lang w:val="bg-BG" w:eastAsia="bg-BG"/>
        </w:rPr>
      </w:pPr>
      <w:r w:rsidRPr="008D6BBB">
        <w:rPr>
          <w:rFonts w:ascii="Arial Narrow" w:hAnsi="Arial Narrow"/>
          <w:lang w:val="bg-BG" w:eastAsia="bg-BG"/>
        </w:rPr>
        <w:t>За периода на прилагане на ПРСР 2014-2020 г. по подмярката са отворени 3 приема за подбор, по които са постъпили 70 проектни предложения. От тях одобрени за финансиране и сключване на договори са 57 проекта със стойност на БФП в размер на 27 978 621 лева. Общо изплатените средства до 31.12.2024 г. са 16 848 351 лева.</w:t>
      </w:r>
    </w:p>
    <w:p w14:paraId="41E383C3" w14:textId="77777777" w:rsidR="008D6BBB" w:rsidRPr="008D6BBB" w:rsidRDefault="008D6BBB" w:rsidP="008D6BBB">
      <w:pPr>
        <w:spacing w:after="120"/>
        <w:ind w:firstLine="720"/>
        <w:jc w:val="both"/>
        <w:rPr>
          <w:rFonts w:ascii="Arial Narrow" w:hAnsi="Arial Narrow"/>
          <w:lang w:val="bg-BG" w:eastAsia="bg-BG"/>
        </w:rPr>
      </w:pPr>
      <w:r w:rsidRPr="008D6BBB">
        <w:rPr>
          <w:rFonts w:ascii="Arial Narrow" w:hAnsi="Arial Narrow"/>
          <w:lang w:val="bg-BG" w:eastAsia="bg-BG"/>
        </w:rPr>
        <w:t>През 2024 г. са разплатени 7 416 4</w:t>
      </w:r>
      <w:r w:rsidR="00D21F5E">
        <w:rPr>
          <w:rFonts w:ascii="Arial Narrow" w:hAnsi="Arial Narrow"/>
          <w:lang w:val="bg-BG" w:eastAsia="bg-BG"/>
        </w:rPr>
        <w:t>86 лева, а в периода м. януари -</w:t>
      </w:r>
      <w:r w:rsidRPr="008D6BBB">
        <w:rPr>
          <w:rFonts w:ascii="Arial Narrow" w:hAnsi="Arial Narrow"/>
          <w:lang w:val="bg-BG" w:eastAsia="bg-BG"/>
        </w:rPr>
        <w:t xml:space="preserve"> м. май 2025 г. - 1 074 856 лева.</w:t>
      </w:r>
    </w:p>
    <w:p w14:paraId="50429FDD" w14:textId="77777777" w:rsidR="008D6BBB" w:rsidRPr="008D6BBB" w:rsidRDefault="008D6BBB" w:rsidP="008D6BBB">
      <w:pPr>
        <w:spacing w:after="120"/>
        <w:ind w:firstLine="720"/>
        <w:jc w:val="both"/>
        <w:rPr>
          <w:rFonts w:ascii="Arial Narrow" w:hAnsi="Arial Narrow"/>
          <w:b/>
          <w:lang w:val="bg-BG" w:eastAsia="bg-BG"/>
        </w:rPr>
      </w:pPr>
      <w:r w:rsidRPr="008D6BBB">
        <w:rPr>
          <w:rFonts w:ascii="Arial Narrow" w:hAnsi="Arial Narrow"/>
          <w:b/>
          <w:lang w:val="bg-BG" w:eastAsia="bg-BG"/>
        </w:rPr>
        <w:t>Подмярка 5.2 „Инвестиции за възстановяване на потенциала на земеделските земи и на селскостопанския производствен потенциал, нарушени от природни бедствия, неблагоприятни климатични явления и катастрофични събития“</w:t>
      </w:r>
    </w:p>
    <w:p w14:paraId="26FBBAD4" w14:textId="77777777" w:rsidR="008D6BBB" w:rsidRPr="008D6BBB" w:rsidRDefault="008D6BBB" w:rsidP="008D6BBB">
      <w:pPr>
        <w:spacing w:after="120"/>
        <w:ind w:firstLine="720"/>
        <w:jc w:val="both"/>
        <w:rPr>
          <w:rFonts w:ascii="Arial Narrow" w:hAnsi="Arial Narrow"/>
          <w:lang w:val="bg-BG" w:eastAsia="bg-BG"/>
        </w:rPr>
      </w:pPr>
      <w:r w:rsidRPr="008D6BBB">
        <w:rPr>
          <w:rFonts w:ascii="Arial Narrow" w:hAnsi="Arial Narrow"/>
          <w:lang w:val="bg-BG" w:eastAsia="bg-BG"/>
        </w:rPr>
        <w:t xml:space="preserve">Подпомагането цели възстановяване на производствения потенциал, нарушен от остри заразни заболявания по свинете, дребните преживни животни (овце и кози) и птиците. </w:t>
      </w:r>
    </w:p>
    <w:p w14:paraId="223B0CD1" w14:textId="77777777" w:rsidR="008D6BBB" w:rsidRPr="008D6BBB" w:rsidRDefault="008D6BBB" w:rsidP="008D6BBB">
      <w:pPr>
        <w:spacing w:after="120"/>
        <w:ind w:firstLine="720"/>
        <w:jc w:val="both"/>
        <w:rPr>
          <w:lang w:val="bg-BG" w:eastAsia="bg-BG"/>
        </w:rPr>
      </w:pPr>
      <w:r w:rsidRPr="008D6BBB">
        <w:rPr>
          <w:rFonts w:ascii="Arial Narrow" w:hAnsi="Arial Narrow"/>
          <w:lang w:val="bg-BG" w:eastAsia="bg-BG"/>
        </w:rPr>
        <w:t xml:space="preserve">Подмярка 5.2 стартира през 2020 г. Проведен е един прием, в рамките на който са сключени два договора с общ размер на субсидията 1 202 748 лева. Договорените средства са разплатени изцяло на бенефициентите. </w:t>
      </w:r>
      <w:r w:rsidRPr="008D6BBB">
        <w:rPr>
          <w:lang w:val="bg-BG" w:eastAsia="bg-BG"/>
        </w:rPr>
        <w:t xml:space="preserve"> </w:t>
      </w:r>
      <w:bookmarkStart w:id="109" w:name="_Toc201928051"/>
    </w:p>
    <w:p w14:paraId="4E677170" w14:textId="77777777" w:rsidR="008D6BBB" w:rsidRPr="008D6BBB" w:rsidRDefault="008D6BBB" w:rsidP="008D6BBB">
      <w:pPr>
        <w:spacing w:after="120"/>
        <w:ind w:firstLine="720"/>
        <w:jc w:val="both"/>
        <w:rPr>
          <w:rFonts w:ascii="Arial Narrow" w:hAnsi="Arial Narrow"/>
          <w:b/>
          <w:lang w:val="bg-BG" w:eastAsia="bg-BG"/>
        </w:rPr>
      </w:pPr>
      <w:r w:rsidRPr="008D6BBB">
        <w:rPr>
          <w:rFonts w:ascii="Arial Narrow" w:hAnsi="Arial Narrow"/>
          <w:b/>
          <w:lang w:val="bg-BG" w:eastAsia="bg-BG"/>
        </w:rPr>
        <w:t>Мярка 6 „Развитие на стопанства и предприятия”</w:t>
      </w:r>
      <w:bookmarkEnd w:id="109"/>
    </w:p>
    <w:p w14:paraId="7177A269" w14:textId="77777777" w:rsidR="008D6BBB" w:rsidRPr="008D6BBB" w:rsidRDefault="008D6BBB" w:rsidP="008D6BBB">
      <w:pPr>
        <w:spacing w:after="120"/>
        <w:ind w:firstLine="720"/>
        <w:jc w:val="both"/>
        <w:rPr>
          <w:rFonts w:ascii="Arial Narrow" w:hAnsi="Arial Narrow"/>
          <w:lang w:val="bg-BG" w:eastAsia="bg-BG"/>
        </w:rPr>
      </w:pPr>
      <w:r w:rsidRPr="008D6BBB">
        <w:rPr>
          <w:rFonts w:ascii="Arial Narrow" w:hAnsi="Arial Narrow"/>
          <w:lang w:val="bg-BG" w:eastAsia="bg-BG"/>
        </w:rPr>
        <w:t>Мярката се прилага с четири подмерки - подмярка 6.1 „Стартова помощ за млади зем</w:t>
      </w:r>
      <w:r w:rsidR="00D21F5E">
        <w:rPr>
          <w:rFonts w:ascii="Arial Narrow" w:hAnsi="Arial Narrow"/>
          <w:lang w:val="bg-BG" w:eastAsia="bg-BG"/>
        </w:rPr>
        <w:t>еделски стопани“, подмярка 6.3 -</w:t>
      </w:r>
      <w:r w:rsidRPr="008D6BBB">
        <w:rPr>
          <w:rFonts w:ascii="Arial Narrow" w:hAnsi="Arial Narrow"/>
          <w:lang w:val="bg-BG" w:eastAsia="bg-BG"/>
        </w:rPr>
        <w:t xml:space="preserve"> „Стартова помощ за развитието на малки стопанства“,  подмярка 6.4.1 „Инвестиции в подкрепа на неземеделски дейности“ и подмярка 6.4.2 „Инвестиции в подкрепа на неземеделски дейности по Тематичната подпрограма за развитие на малки стопанства“.</w:t>
      </w:r>
    </w:p>
    <w:p w14:paraId="159E965A" w14:textId="77777777" w:rsidR="008D6BBB" w:rsidRPr="008D6BBB" w:rsidRDefault="008D6BBB" w:rsidP="008D6BBB">
      <w:pPr>
        <w:spacing w:after="120"/>
        <w:ind w:firstLine="720"/>
        <w:jc w:val="both"/>
        <w:rPr>
          <w:rFonts w:ascii="Arial Narrow" w:hAnsi="Arial Narrow"/>
          <w:b/>
          <w:bCs/>
          <w:lang w:val="bg-BG" w:eastAsia="bg-BG"/>
        </w:rPr>
      </w:pPr>
      <w:r w:rsidRPr="008D6BBB">
        <w:rPr>
          <w:rFonts w:ascii="Arial Narrow" w:hAnsi="Arial Narrow"/>
          <w:b/>
          <w:bCs/>
          <w:lang w:val="bg-BG" w:eastAsia="bg-BG"/>
        </w:rPr>
        <w:t>Подмярка 6.1. „Стартова помощ за млади земеделски стопани”</w:t>
      </w:r>
    </w:p>
    <w:p w14:paraId="7FFAA613" w14:textId="77777777" w:rsidR="008D6BBB" w:rsidRPr="008D6BBB" w:rsidRDefault="008D6BBB" w:rsidP="008D6BBB">
      <w:pPr>
        <w:spacing w:after="120"/>
        <w:ind w:firstLine="720"/>
        <w:jc w:val="both"/>
        <w:rPr>
          <w:rFonts w:ascii="Arial Narrow" w:hAnsi="Arial Narrow"/>
          <w:lang w:val="bg-BG" w:eastAsia="bg-BG"/>
        </w:rPr>
      </w:pPr>
      <w:r w:rsidRPr="008D6BBB">
        <w:rPr>
          <w:rFonts w:ascii="Arial Narrow" w:hAnsi="Arial Narrow"/>
          <w:lang w:val="bg-BG" w:eastAsia="bg-BG"/>
        </w:rPr>
        <w:t xml:space="preserve">Подмярка 6.1 е насочена към увеличаване на броя и дела на младите земеделски стопани, което да допринесе за устойчивото развитие и за улесняване на структурните промени в земеделието. Подпомага се процесът на създаване на жизнеспособни и устойчиви земеделски стопанства или поемането от млади хора на вече съществуващи стопанства. </w:t>
      </w:r>
    </w:p>
    <w:p w14:paraId="4DC22D9F" w14:textId="77777777" w:rsidR="008D6BBB" w:rsidRPr="008D6BBB" w:rsidRDefault="008D6BBB" w:rsidP="008D6BBB">
      <w:pPr>
        <w:spacing w:after="120"/>
        <w:ind w:firstLine="720"/>
        <w:jc w:val="both"/>
        <w:rPr>
          <w:rFonts w:ascii="Arial Narrow" w:hAnsi="Arial Narrow"/>
          <w:lang w:val="bg-BG" w:eastAsia="bg-BG"/>
        </w:rPr>
      </w:pPr>
      <w:r w:rsidRPr="008D6BBB">
        <w:rPr>
          <w:rFonts w:ascii="Arial Narrow" w:hAnsi="Arial Narrow"/>
          <w:lang w:val="bg-BG" w:eastAsia="bg-BG"/>
        </w:rPr>
        <w:t xml:space="preserve">За периода от началото на прилагането й до края на 2024 г. по подмярката са проведени четири приема, със сключени 2 969 договора на стойност 145 169 255 лева. Общо изплатените средства с натрупване до 31.12.2024 г. възлизат на 155 830 397 лева по ЕЗФРСР и НБ. </w:t>
      </w:r>
    </w:p>
    <w:p w14:paraId="2D5D1D61" w14:textId="77777777" w:rsidR="008D6BBB" w:rsidRPr="008D6BBB" w:rsidRDefault="008D6BBB" w:rsidP="008D6BBB">
      <w:pPr>
        <w:spacing w:after="120"/>
        <w:ind w:firstLine="720"/>
        <w:jc w:val="both"/>
        <w:rPr>
          <w:rFonts w:ascii="Arial Narrow" w:hAnsi="Arial Narrow"/>
          <w:lang w:val="bg-BG" w:eastAsia="bg-BG"/>
        </w:rPr>
      </w:pPr>
      <w:r w:rsidRPr="008D6BBB">
        <w:rPr>
          <w:rFonts w:ascii="Arial Narrow" w:hAnsi="Arial Narrow"/>
          <w:lang w:val="bg-BG" w:eastAsia="bg-BG"/>
        </w:rPr>
        <w:t xml:space="preserve">През 2024 г. са извършени са плащания в размер на </w:t>
      </w:r>
      <w:r w:rsidR="009D4613" w:rsidRPr="009D4613">
        <w:rPr>
          <w:rFonts w:ascii="Arial Narrow" w:hAnsi="Arial Narrow"/>
          <w:lang w:val="bg-BG" w:eastAsia="bg-BG"/>
        </w:rPr>
        <w:t xml:space="preserve">13 059 249 </w:t>
      </w:r>
      <w:r w:rsidRPr="008D6BBB">
        <w:rPr>
          <w:rFonts w:ascii="Arial Narrow" w:hAnsi="Arial Narrow"/>
          <w:lang w:val="bg-BG" w:eastAsia="bg-BG"/>
        </w:rPr>
        <w:t xml:space="preserve">лева, а за първите пет месеца на 2025 г.  – в размер на </w:t>
      </w:r>
      <w:r w:rsidR="009D4613" w:rsidRPr="009D4613">
        <w:rPr>
          <w:rFonts w:ascii="Arial Narrow" w:hAnsi="Arial Narrow"/>
          <w:lang w:val="bg-BG" w:eastAsia="bg-BG"/>
        </w:rPr>
        <w:t xml:space="preserve">1 858 019 </w:t>
      </w:r>
      <w:r w:rsidRPr="008D6BBB">
        <w:rPr>
          <w:rFonts w:ascii="Arial Narrow" w:hAnsi="Arial Narrow"/>
          <w:lang w:val="bg-BG" w:eastAsia="bg-BG"/>
        </w:rPr>
        <w:t>лева.</w:t>
      </w:r>
    </w:p>
    <w:p w14:paraId="683CEC4D" w14:textId="77777777" w:rsidR="008D6BBB" w:rsidRPr="008D6BBB" w:rsidRDefault="008D6BBB" w:rsidP="008D6BBB">
      <w:pPr>
        <w:spacing w:after="120"/>
        <w:ind w:firstLine="720"/>
        <w:jc w:val="both"/>
        <w:rPr>
          <w:rFonts w:ascii="Arial Narrow" w:hAnsi="Arial Narrow"/>
          <w:b/>
          <w:bCs/>
          <w:lang w:val="bg-BG" w:eastAsia="bg-BG"/>
        </w:rPr>
      </w:pPr>
      <w:r w:rsidRPr="008D6BBB">
        <w:rPr>
          <w:rFonts w:ascii="Arial Narrow" w:hAnsi="Arial Narrow"/>
          <w:b/>
          <w:bCs/>
          <w:lang w:val="bg-BG" w:eastAsia="bg-BG"/>
        </w:rPr>
        <w:t>Подмярка 6.3. „Стартова помощ за развитието на малки стопанства”</w:t>
      </w:r>
    </w:p>
    <w:p w14:paraId="04422C8E" w14:textId="77777777" w:rsidR="008D6BBB" w:rsidRPr="008D6BBB" w:rsidRDefault="008D6BBB" w:rsidP="008D6BBB">
      <w:pPr>
        <w:spacing w:after="120"/>
        <w:ind w:firstLine="720"/>
        <w:jc w:val="both"/>
        <w:rPr>
          <w:rFonts w:ascii="Arial Narrow" w:hAnsi="Arial Narrow"/>
          <w:lang w:val="bg-BG" w:eastAsia="bg-BG"/>
        </w:rPr>
      </w:pPr>
      <w:r w:rsidRPr="008D6BBB">
        <w:rPr>
          <w:rFonts w:ascii="Arial Narrow" w:hAnsi="Arial Narrow"/>
          <w:lang w:val="bg-BG" w:eastAsia="bg-BG"/>
        </w:rPr>
        <w:t xml:space="preserve">Подмярката е насочена към осигуряване на устойчиво развитие и растеж на малките стопанства чрез активизиране на тяхната инвестиционна дейност. </w:t>
      </w:r>
    </w:p>
    <w:p w14:paraId="79B3EA3F" w14:textId="77777777" w:rsidR="008D6BBB" w:rsidRPr="008D6BBB" w:rsidRDefault="008D6BBB" w:rsidP="008D6BBB">
      <w:pPr>
        <w:spacing w:after="120"/>
        <w:ind w:firstLine="720"/>
        <w:jc w:val="both"/>
        <w:rPr>
          <w:rFonts w:ascii="Arial Narrow" w:hAnsi="Arial Narrow"/>
          <w:lang w:val="bg-BG" w:eastAsia="bg-BG"/>
        </w:rPr>
      </w:pPr>
      <w:r w:rsidRPr="008D6BBB">
        <w:rPr>
          <w:rFonts w:ascii="Arial Narrow" w:hAnsi="Arial Narrow"/>
          <w:lang w:val="bg-BG" w:eastAsia="bg-BG"/>
        </w:rPr>
        <w:t xml:space="preserve">От началото на прилагане на ПРСР 2014-2020 г. до 31.12.2024 г. по подмярка 6.3 са сключени 4 992 договора с одобрена субсидия на обща стойност 146 450 304 лева. Към края на 2024 г. са приключени малко над 95% от всички одобрени проекти. </w:t>
      </w:r>
    </w:p>
    <w:p w14:paraId="062E689A" w14:textId="77777777" w:rsidR="008D6BBB" w:rsidRPr="008D6BBB" w:rsidRDefault="008D6BBB" w:rsidP="008D6BBB">
      <w:pPr>
        <w:spacing w:after="120"/>
        <w:ind w:firstLine="720"/>
        <w:jc w:val="both"/>
        <w:rPr>
          <w:rFonts w:ascii="Arial Narrow" w:hAnsi="Arial Narrow"/>
          <w:lang w:val="bg-BG" w:eastAsia="bg-BG"/>
        </w:rPr>
      </w:pPr>
      <w:r w:rsidRPr="008D6BBB">
        <w:rPr>
          <w:rFonts w:ascii="Arial Narrow" w:hAnsi="Arial Narrow"/>
          <w:lang w:val="bg-BG" w:eastAsia="bg-BG"/>
        </w:rPr>
        <w:t>По подмярката са подпомогнати и 3 581 фермери под формата на продължаващи плащания от програмен период 2007-2013 г., като тези плащания са добавени и отчетени заедно с текущо изпълняваните договори.</w:t>
      </w:r>
    </w:p>
    <w:p w14:paraId="3D6F9D35" w14:textId="77777777" w:rsidR="008D6BBB" w:rsidRPr="008D6BBB" w:rsidRDefault="008D6BBB" w:rsidP="008D6BBB">
      <w:pPr>
        <w:spacing w:after="120"/>
        <w:ind w:firstLine="720"/>
        <w:jc w:val="both"/>
        <w:rPr>
          <w:rFonts w:ascii="Arial Narrow" w:hAnsi="Arial Narrow"/>
          <w:lang w:val="bg-BG" w:eastAsia="bg-BG"/>
        </w:rPr>
      </w:pPr>
      <w:r w:rsidRPr="008D6BBB">
        <w:rPr>
          <w:rFonts w:ascii="Arial Narrow" w:hAnsi="Arial Narrow"/>
          <w:lang w:val="bg-BG" w:eastAsia="bg-BG"/>
        </w:rPr>
        <w:lastRenderedPageBreak/>
        <w:t xml:space="preserve">Общо платените публични средства с натрупване за периода на прилагане на подмярка 6.3 са на стойност 153 186 777 лева. През 2024 г. са извършени плащания в размер на </w:t>
      </w:r>
      <w:r w:rsidR="00E774EE" w:rsidRPr="00E774EE">
        <w:rPr>
          <w:rFonts w:ascii="Arial Narrow" w:hAnsi="Arial Narrow"/>
          <w:lang w:val="bg-BG" w:eastAsia="bg-BG"/>
        </w:rPr>
        <w:t xml:space="preserve">8 137 725 </w:t>
      </w:r>
      <w:r w:rsidRPr="008D6BBB">
        <w:rPr>
          <w:rFonts w:ascii="Arial Narrow" w:hAnsi="Arial Narrow"/>
          <w:lang w:val="bg-BG" w:eastAsia="bg-BG"/>
        </w:rPr>
        <w:t xml:space="preserve">лева, а за периода м. януари – м. май 2025 г. те възлизат на </w:t>
      </w:r>
      <w:r w:rsidR="00E774EE" w:rsidRPr="00E774EE">
        <w:rPr>
          <w:rFonts w:ascii="Arial Narrow" w:hAnsi="Arial Narrow"/>
          <w:lang w:val="bg-BG" w:eastAsia="bg-BG"/>
        </w:rPr>
        <w:t xml:space="preserve">184 396 </w:t>
      </w:r>
      <w:r w:rsidRPr="008D6BBB">
        <w:rPr>
          <w:rFonts w:ascii="Arial Narrow" w:hAnsi="Arial Narrow"/>
          <w:lang w:val="bg-BG" w:eastAsia="bg-BG"/>
        </w:rPr>
        <w:t>лева.</w:t>
      </w:r>
    </w:p>
    <w:p w14:paraId="7DEEDC1B" w14:textId="77777777" w:rsidR="008D6BBB" w:rsidRPr="008D6BBB" w:rsidRDefault="008D6BBB" w:rsidP="008D6BBB">
      <w:pPr>
        <w:spacing w:after="120"/>
        <w:ind w:firstLine="720"/>
        <w:jc w:val="both"/>
        <w:rPr>
          <w:rFonts w:ascii="Arial Narrow" w:hAnsi="Arial Narrow"/>
          <w:b/>
          <w:bCs/>
          <w:lang w:val="bg-BG" w:eastAsia="bg-BG"/>
        </w:rPr>
      </w:pPr>
      <w:r w:rsidRPr="008D6BBB">
        <w:rPr>
          <w:rFonts w:ascii="Arial Narrow" w:hAnsi="Arial Narrow"/>
          <w:b/>
          <w:bCs/>
          <w:lang w:val="bg-BG" w:eastAsia="bg-BG"/>
        </w:rPr>
        <w:t>Подмярка 6.4.1. „Инвестиции в подкрепа на неземеделски дейности“</w:t>
      </w:r>
    </w:p>
    <w:p w14:paraId="4F7F008D" w14:textId="77777777" w:rsidR="008D6BBB" w:rsidRPr="008D6BBB" w:rsidRDefault="008D6BBB" w:rsidP="008D6BBB">
      <w:pPr>
        <w:spacing w:after="120"/>
        <w:ind w:firstLine="720"/>
        <w:jc w:val="both"/>
        <w:rPr>
          <w:rFonts w:ascii="Arial Narrow" w:hAnsi="Arial Narrow"/>
          <w:lang w:val="bg-BG" w:eastAsia="bg-BG"/>
        </w:rPr>
      </w:pPr>
      <w:r w:rsidRPr="008D6BBB">
        <w:rPr>
          <w:rFonts w:ascii="Arial Narrow" w:hAnsi="Arial Narrow"/>
          <w:lang w:val="bg-BG" w:eastAsia="bg-BG"/>
        </w:rPr>
        <w:t xml:space="preserve">Подмярката е насочена към подпомагане на инвестиции в неземеделски дейности, които са от съществено значение за нарастването на конкурентоспособността на селските райони. Насърчаването на този тип инвестиции подпомага създаването на заетост и способства диверсификацията на земеделските стопани към неземеделски дейности. Подкрепата допринася за развитието на технологиите в областта на „зелената икономика“, включително на енергия от ВЕИ за собствено потребление. </w:t>
      </w:r>
    </w:p>
    <w:p w14:paraId="56450E18" w14:textId="77777777" w:rsidR="008D6BBB" w:rsidRPr="008D6BBB" w:rsidRDefault="008D6BBB" w:rsidP="008D6BBB">
      <w:pPr>
        <w:spacing w:after="120"/>
        <w:ind w:firstLine="720"/>
        <w:jc w:val="both"/>
        <w:rPr>
          <w:rFonts w:ascii="Arial Narrow" w:hAnsi="Arial Narrow"/>
          <w:lang w:val="bg-BG" w:eastAsia="bg-BG"/>
        </w:rPr>
      </w:pPr>
      <w:r w:rsidRPr="008D6BBB">
        <w:rPr>
          <w:rFonts w:ascii="Arial Narrow" w:hAnsi="Arial Narrow"/>
          <w:lang w:val="bg-BG" w:eastAsia="bg-BG"/>
        </w:rPr>
        <w:t>В рамките на трите приема по подмярка 6.4.1. са постъпили 770 проектни предложения. От тях одобрени за финансиране и сключване на договори за предоставяне на БФП са 313 проекта със сума на одобрената субсидия в размер на 83 272 794 лева.</w:t>
      </w:r>
    </w:p>
    <w:p w14:paraId="323A85A3" w14:textId="77777777" w:rsidR="0052475A" w:rsidRPr="008D6BBB" w:rsidRDefault="008D6BBB" w:rsidP="00BC3ADA">
      <w:pPr>
        <w:spacing w:after="120"/>
        <w:ind w:firstLine="720"/>
        <w:jc w:val="both"/>
        <w:rPr>
          <w:rFonts w:ascii="Arial Narrow" w:hAnsi="Arial Narrow"/>
          <w:lang w:val="bg-BG" w:eastAsia="bg-BG"/>
        </w:rPr>
      </w:pPr>
      <w:r w:rsidRPr="008D6BBB">
        <w:rPr>
          <w:rFonts w:ascii="Arial Narrow" w:hAnsi="Arial Narrow"/>
          <w:lang w:val="bg-BG" w:eastAsia="bg-BG"/>
        </w:rPr>
        <w:t>За периода на прилагане на ПРСР 2014-2020 г. до края на 2024 г. по подмярката са извършени плащания в размер на 40 034 039 лева. През 2024 г. са разплатени 9 377 141 лева, а за</w:t>
      </w:r>
      <w:r w:rsidR="00D21F5E">
        <w:rPr>
          <w:rFonts w:ascii="Arial Narrow" w:hAnsi="Arial Narrow"/>
          <w:lang w:val="bg-BG" w:eastAsia="bg-BG"/>
        </w:rPr>
        <w:t xml:space="preserve"> първите пет месеца на 2025 г. -</w:t>
      </w:r>
      <w:r w:rsidRPr="008D6BBB">
        <w:rPr>
          <w:rFonts w:ascii="Arial Narrow" w:hAnsi="Arial Narrow"/>
          <w:lang w:val="bg-BG" w:eastAsia="bg-BG"/>
        </w:rPr>
        <w:t xml:space="preserve"> 3 043 415 лева.</w:t>
      </w:r>
    </w:p>
    <w:p w14:paraId="0A258CAB" w14:textId="77777777" w:rsidR="008D6BBB" w:rsidRPr="008D6BBB" w:rsidRDefault="008D6BBB" w:rsidP="0052475A">
      <w:pPr>
        <w:spacing w:after="120"/>
        <w:ind w:firstLine="720"/>
        <w:jc w:val="both"/>
        <w:rPr>
          <w:rFonts w:ascii="Arial Narrow" w:hAnsi="Arial Narrow"/>
          <w:b/>
          <w:lang w:val="bg-BG" w:eastAsia="bg-BG"/>
        </w:rPr>
      </w:pPr>
      <w:bookmarkStart w:id="110" w:name="_Toc201928052"/>
      <w:r w:rsidRPr="008D6BBB">
        <w:rPr>
          <w:rFonts w:ascii="Arial Narrow" w:hAnsi="Arial Narrow"/>
          <w:b/>
          <w:lang w:val="bg-BG" w:eastAsia="bg-BG"/>
        </w:rPr>
        <w:t>Мярка 7 „Основни услуги и обновяване на селата в селските райони“</w:t>
      </w:r>
      <w:bookmarkEnd w:id="110"/>
    </w:p>
    <w:p w14:paraId="5D92366A" w14:textId="77777777" w:rsidR="008D6BBB" w:rsidRPr="008D6BBB" w:rsidRDefault="008D6BBB" w:rsidP="008D6BBB">
      <w:pPr>
        <w:spacing w:after="120"/>
        <w:ind w:firstLine="720"/>
        <w:jc w:val="both"/>
        <w:rPr>
          <w:rFonts w:ascii="Arial Narrow" w:hAnsi="Arial Narrow"/>
          <w:b/>
          <w:lang w:val="bg-BG" w:eastAsia="bg-BG"/>
        </w:rPr>
      </w:pPr>
      <w:r w:rsidRPr="008D6BBB">
        <w:rPr>
          <w:rFonts w:ascii="Arial Narrow" w:hAnsi="Arial Narrow"/>
          <w:b/>
          <w:lang w:val="bg-BG" w:eastAsia="bg-BG"/>
        </w:rPr>
        <w:t>Подмярка 7.2. „Инвестиции в създаването, подобряването или разширяването на всички видове малка по мащаби инфраструктура“</w:t>
      </w:r>
    </w:p>
    <w:p w14:paraId="4D3E667C" w14:textId="77777777" w:rsidR="008D6BBB" w:rsidRPr="008D6BBB" w:rsidRDefault="008D6BBB" w:rsidP="008D6BBB">
      <w:pPr>
        <w:spacing w:after="120"/>
        <w:ind w:firstLine="720"/>
        <w:jc w:val="both"/>
        <w:rPr>
          <w:rFonts w:ascii="Arial Narrow" w:hAnsi="Arial Narrow"/>
          <w:lang w:val="bg-BG" w:eastAsia="bg-BG"/>
        </w:rPr>
      </w:pPr>
      <w:r w:rsidRPr="008D6BBB">
        <w:rPr>
          <w:rFonts w:ascii="Arial Narrow" w:hAnsi="Arial Narrow"/>
          <w:lang w:val="bg-BG" w:eastAsia="bg-BG"/>
        </w:rPr>
        <w:t>Предоставянето на фокусирана подкрепа по подмярка 7.2 има за цел да насърчи икономическото развитие, социалното приобщаване и намаляването на бедността в селските райони.</w:t>
      </w:r>
    </w:p>
    <w:p w14:paraId="6DEE850D" w14:textId="77777777" w:rsidR="008D6BBB" w:rsidRPr="008D6BBB" w:rsidRDefault="008D6BBB" w:rsidP="008D6BBB">
      <w:pPr>
        <w:spacing w:after="120"/>
        <w:ind w:firstLine="720"/>
        <w:jc w:val="both"/>
        <w:rPr>
          <w:rFonts w:ascii="Arial Narrow" w:hAnsi="Arial Narrow"/>
          <w:lang w:val="bg-BG" w:eastAsia="bg-BG"/>
        </w:rPr>
      </w:pPr>
      <w:r w:rsidRPr="008D6BBB">
        <w:rPr>
          <w:rFonts w:ascii="Arial Narrow" w:hAnsi="Arial Narrow"/>
          <w:lang w:val="bg-BG" w:eastAsia="bg-BG"/>
        </w:rPr>
        <w:t xml:space="preserve">В рамките на проведените в периода 2016-2024 г. 13 приема на заявления за подпомагане по подмярката са постъпили 1 773 проекта. Към края на 2024 г. действащите договори са 922, с одобрена субсидия в размер на 1 446 997 725 лева. </w:t>
      </w:r>
    </w:p>
    <w:p w14:paraId="7273340A" w14:textId="77777777" w:rsidR="008D6BBB" w:rsidRPr="008D6BBB" w:rsidRDefault="008D6BBB" w:rsidP="008D6BBB">
      <w:pPr>
        <w:spacing w:after="120"/>
        <w:ind w:firstLine="720"/>
        <w:jc w:val="both"/>
        <w:rPr>
          <w:rFonts w:ascii="Arial Narrow" w:hAnsi="Arial Narrow"/>
          <w:lang w:val="bg-BG" w:eastAsia="bg-BG"/>
        </w:rPr>
      </w:pPr>
      <w:r w:rsidRPr="008D6BBB">
        <w:rPr>
          <w:rFonts w:ascii="Arial Narrow" w:hAnsi="Arial Narrow"/>
          <w:lang w:val="bg-BG" w:eastAsia="bg-BG"/>
        </w:rPr>
        <w:t>Инвестициите по сключените договори обхващат 2 230 населени места с общо население 6 557 594 души. Физическата реализация по инфраструктурните проекти включва изграждане и подобряване на 1 253 км улична инфраструктура (улици, тротоари и съоръжения към тях), 987 км пътна инфраструктура и 1 393 км водоснабдителна мрежа.</w:t>
      </w:r>
    </w:p>
    <w:p w14:paraId="48A04843" w14:textId="77777777" w:rsidR="008D6BBB" w:rsidRPr="008D6BBB" w:rsidRDefault="008D6BBB" w:rsidP="008D6BBB">
      <w:pPr>
        <w:spacing w:after="120"/>
        <w:ind w:firstLine="720"/>
        <w:jc w:val="both"/>
        <w:rPr>
          <w:rFonts w:ascii="Arial Narrow" w:hAnsi="Arial Narrow"/>
          <w:lang w:val="bg-BG" w:eastAsia="bg-BG"/>
        </w:rPr>
      </w:pPr>
      <w:r w:rsidRPr="008D6BBB">
        <w:rPr>
          <w:rFonts w:ascii="Arial Narrow" w:hAnsi="Arial Narrow"/>
          <w:lang w:val="bg-BG" w:eastAsia="bg-BG"/>
        </w:rPr>
        <w:t xml:space="preserve">За периода от началото на прилагането й до 31.12.2024 г. по подмярката са разплатени общо 1 205 474 349 лева, а през 2024 г. плащанията възлизат на </w:t>
      </w:r>
      <w:r w:rsidR="00856E9F" w:rsidRPr="00856E9F">
        <w:rPr>
          <w:rFonts w:ascii="Arial Narrow" w:hAnsi="Arial Narrow"/>
          <w:lang w:val="bg-BG" w:eastAsia="bg-BG"/>
        </w:rPr>
        <w:t xml:space="preserve">138 154 152 </w:t>
      </w:r>
      <w:r w:rsidRPr="008D6BBB">
        <w:rPr>
          <w:rFonts w:ascii="Arial Narrow" w:hAnsi="Arial Narrow"/>
          <w:lang w:val="bg-BG" w:eastAsia="bg-BG"/>
        </w:rPr>
        <w:t xml:space="preserve">лева. В периода 01.01.-31.05.2025 г. са платени средства на стойност </w:t>
      </w:r>
      <w:r w:rsidR="00856E9F" w:rsidRPr="00856E9F">
        <w:rPr>
          <w:rFonts w:ascii="Arial Narrow" w:hAnsi="Arial Narrow"/>
          <w:lang w:val="bg-BG" w:eastAsia="bg-BG"/>
        </w:rPr>
        <w:t xml:space="preserve">39 184 910 </w:t>
      </w:r>
      <w:r w:rsidRPr="008D6BBB">
        <w:rPr>
          <w:rFonts w:ascii="Arial Narrow" w:hAnsi="Arial Narrow"/>
          <w:lang w:val="bg-BG" w:eastAsia="bg-BG"/>
        </w:rPr>
        <w:t xml:space="preserve">лева.  </w:t>
      </w:r>
    </w:p>
    <w:p w14:paraId="48010A15" w14:textId="77777777" w:rsidR="008D6BBB" w:rsidRPr="008D6BBB" w:rsidRDefault="008D6BBB" w:rsidP="008D6BBB">
      <w:pPr>
        <w:spacing w:after="120"/>
        <w:ind w:firstLine="720"/>
        <w:jc w:val="both"/>
        <w:rPr>
          <w:rFonts w:ascii="Arial Narrow" w:hAnsi="Arial Narrow"/>
          <w:b/>
          <w:lang w:val="bg-BG" w:eastAsia="bg-BG"/>
        </w:rPr>
      </w:pPr>
      <w:r w:rsidRPr="008D6BBB">
        <w:rPr>
          <w:rFonts w:ascii="Arial Narrow" w:hAnsi="Arial Narrow"/>
          <w:b/>
          <w:lang w:val="bg-BG" w:eastAsia="bg-BG"/>
        </w:rPr>
        <w:t>Подмярка 7.6. „Проучвания и инвестиции, свързани с поддържане, възстановяване и подобряване на културното и природно наследство на селата”</w:t>
      </w:r>
    </w:p>
    <w:p w14:paraId="6AEC9600" w14:textId="77777777" w:rsidR="008D6BBB" w:rsidRPr="008D6BBB" w:rsidRDefault="008D6BBB" w:rsidP="008D6BBB">
      <w:pPr>
        <w:spacing w:after="120"/>
        <w:ind w:firstLine="720"/>
        <w:jc w:val="both"/>
        <w:rPr>
          <w:rFonts w:ascii="Arial Narrow" w:hAnsi="Arial Narrow"/>
          <w:lang w:val="bg-BG" w:eastAsia="bg-BG"/>
        </w:rPr>
      </w:pPr>
      <w:r w:rsidRPr="008D6BBB">
        <w:rPr>
          <w:rFonts w:ascii="Arial Narrow" w:hAnsi="Arial Narrow"/>
          <w:lang w:val="bg-BG" w:eastAsia="bg-BG"/>
        </w:rPr>
        <w:t>Подмярката цели повишаване качеството на живот и запазване на културната идентичност и традиции в селските райони. За периода на нейното прилагане са проведени два приема (през 2016 г. и 2020 г.), в рамките на които са постъпили 481 проектни предложения. От тях одобрени за финансиране и сключване на договори са 203 проекта със стойност на безвъзмездната финансова помощ в размер на 113 687 506 лева.</w:t>
      </w:r>
    </w:p>
    <w:p w14:paraId="11437E0E" w14:textId="77777777" w:rsidR="008D6BBB" w:rsidRPr="008D6BBB" w:rsidRDefault="008D6BBB" w:rsidP="008D6BBB">
      <w:pPr>
        <w:spacing w:after="120"/>
        <w:ind w:firstLine="720"/>
        <w:jc w:val="both"/>
        <w:rPr>
          <w:rFonts w:ascii="Arial Narrow" w:hAnsi="Arial Narrow"/>
          <w:lang w:val="bg-BG" w:eastAsia="bg-BG"/>
        </w:rPr>
      </w:pPr>
      <w:r w:rsidRPr="008D6BBB">
        <w:rPr>
          <w:rFonts w:ascii="Arial Narrow" w:hAnsi="Arial Narrow"/>
          <w:lang w:val="bg-BG" w:eastAsia="bg-BG"/>
        </w:rPr>
        <w:t>Подпомогнатите инвестиции обхващат 197 населени места с общо 2 640 446 души население, което подчертава значимото социално покритие на проектите.</w:t>
      </w:r>
    </w:p>
    <w:p w14:paraId="6547A2E5" w14:textId="77777777" w:rsidR="008D6BBB" w:rsidRPr="008D6BBB" w:rsidRDefault="008D6BBB" w:rsidP="008D6BBB">
      <w:pPr>
        <w:spacing w:after="120"/>
        <w:ind w:firstLine="720"/>
        <w:jc w:val="both"/>
        <w:rPr>
          <w:rFonts w:ascii="Arial Narrow" w:hAnsi="Arial Narrow"/>
          <w:lang w:val="bg-BG" w:eastAsia="bg-BG"/>
        </w:rPr>
      </w:pPr>
      <w:r w:rsidRPr="008D6BBB">
        <w:rPr>
          <w:rFonts w:ascii="Arial Narrow" w:hAnsi="Arial Narrow"/>
          <w:lang w:val="bg-BG" w:eastAsia="bg-BG"/>
        </w:rPr>
        <w:t xml:space="preserve">До края на 2024 г. са извършени плащания в размер на 75 691 122 лева с натрупване, в това число през 2024 г. - </w:t>
      </w:r>
      <w:r w:rsidR="005D5A20" w:rsidRPr="004E30CA">
        <w:rPr>
          <w:rFonts w:ascii="Arial Narrow" w:hAnsi="Arial Narrow"/>
          <w:lang w:val="bg-BG" w:eastAsia="bg-BG"/>
        </w:rPr>
        <w:t>14 006 886</w:t>
      </w:r>
      <w:r w:rsidR="005D5A20" w:rsidRPr="00B45461">
        <w:rPr>
          <w:rFonts w:ascii="Arial Narrow" w:hAnsi="Arial Narrow"/>
          <w:lang w:val="bg-BG" w:eastAsia="bg-BG"/>
        </w:rPr>
        <w:t xml:space="preserve"> </w:t>
      </w:r>
      <w:r w:rsidRPr="008D6BBB">
        <w:rPr>
          <w:rFonts w:ascii="Arial Narrow" w:hAnsi="Arial Narrow"/>
          <w:lang w:val="bg-BG" w:eastAsia="bg-BG"/>
        </w:rPr>
        <w:t>лева. За първите пет месеца на 2025 г. са разплатени 3 242 221 лева.</w:t>
      </w:r>
    </w:p>
    <w:p w14:paraId="084113CC" w14:textId="77777777" w:rsidR="008D6BBB" w:rsidRPr="008D6BBB" w:rsidRDefault="008D6BBB" w:rsidP="008D6BBB">
      <w:pPr>
        <w:spacing w:after="120"/>
        <w:ind w:firstLine="720"/>
        <w:jc w:val="both"/>
        <w:rPr>
          <w:rFonts w:ascii="Arial Narrow" w:hAnsi="Arial Narrow"/>
          <w:b/>
          <w:lang w:val="bg-BG" w:eastAsia="bg-BG"/>
        </w:rPr>
      </w:pPr>
      <w:bookmarkStart w:id="111" w:name="_Toc201928053"/>
      <w:r w:rsidRPr="008D6BBB">
        <w:rPr>
          <w:rFonts w:ascii="Arial Narrow" w:hAnsi="Arial Narrow"/>
          <w:b/>
          <w:lang w:val="bg-BG" w:eastAsia="bg-BG"/>
        </w:rPr>
        <w:t>Мярка 8 „Инвестиции в развитие на горските райони и подобряване на жизнеспособността на горите“</w:t>
      </w:r>
      <w:bookmarkEnd w:id="111"/>
    </w:p>
    <w:p w14:paraId="43A11C1A" w14:textId="77777777" w:rsidR="008D6BBB" w:rsidRPr="008D6BBB" w:rsidRDefault="008D6BBB" w:rsidP="008D6BBB">
      <w:pPr>
        <w:spacing w:after="120"/>
        <w:ind w:firstLine="720"/>
        <w:jc w:val="both"/>
        <w:rPr>
          <w:rFonts w:ascii="Arial Narrow" w:hAnsi="Arial Narrow"/>
          <w:lang w:val="bg-BG" w:eastAsia="bg-BG"/>
        </w:rPr>
      </w:pPr>
      <w:r w:rsidRPr="008D6BBB">
        <w:rPr>
          <w:rFonts w:ascii="Arial Narrow" w:hAnsi="Arial Narrow"/>
          <w:lang w:val="bg-BG" w:eastAsia="bg-BG"/>
        </w:rPr>
        <w:t xml:space="preserve">По мярката са предвидени 5 подмерки, от които се прилагат 4 - подмярка 8.1. „Залесяване и поддръжка”, подмярка 8.3. „Предотвратяване на щети по горите от горски пожари, природни бедствия и катастрофични събития”, подмярка 8.4. „Възстановяване на щети по горите от горски пожари, природни </w:t>
      </w:r>
      <w:r w:rsidRPr="008D6BBB">
        <w:rPr>
          <w:rFonts w:ascii="Arial Narrow" w:hAnsi="Arial Narrow"/>
          <w:lang w:val="bg-BG" w:eastAsia="bg-BG"/>
        </w:rPr>
        <w:lastRenderedPageBreak/>
        <w:t>бедствия и катастрофични събития” и подмярка 8.6. „Инвестиции в технологии за лесовъдство и в преработката, мобилизирането и търговията на горски продукти”.</w:t>
      </w:r>
    </w:p>
    <w:p w14:paraId="16BFE49E" w14:textId="77777777" w:rsidR="008D6BBB" w:rsidRPr="008D6BBB" w:rsidRDefault="008D6BBB" w:rsidP="008D6BBB">
      <w:pPr>
        <w:spacing w:after="120"/>
        <w:ind w:firstLine="720"/>
        <w:jc w:val="both"/>
        <w:rPr>
          <w:rFonts w:ascii="Arial Narrow" w:hAnsi="Arial Narrow"/>
          <w:b/>
          <w:lang w:val="bg-BG" w:eastAsia="bg-BG"/>
        </w:rPr>
      </w:pPr>
      <w:r w:rsidRPr="008D6BBB">
        <w:rPr>
          <w:rFonts w:ascii="Arial Narrow" w:hAnsi="Arial Narrow"/>
          <w:b/>
          <w:bCs/>
          <w:lang w:val="bg-BG" w:eastAsia="bg-BG"/>
        </w:rPr>
        <w:t>Подмярка 8.1. „Залесяване и поддръжка“</w:t>
      </w:r>
    </w:p>
    <w:p w14:paraId="5AB24CB3" w14:textId="77777777" w:rsidR="008D6BBB" w:rsidRPr="008D6BBB" w:rsidRDefault="008D6BBB" w:rsidP="008D6BBB">
      <w:pPr>
        <w:spacing w:after="120"/>
        <w:ind w:firstLine="720"/>
        <w:jc w:val="both"/>
        <w:rPr>
          <w:rFonts w:ascii="Arial Narrow" w:hAnsi="Arial Narrow"/>
          <w:lang w:val="bg-BG" w:eastAsia="bg-BG"/>
        </w:rPr>
      </w:pPr>
      <w:r w:rsidRPr="008D6BBB">
        <w:rPr>
          <w:rFonts w:ascii="Arial Narrow" w:hAnsi="Arial Narrow"/>
          <w:lang w:val="bg-BG" w:eastAsia="bg-BG"/>
        </w:rPr>
        <w:t>Предоставеното подпомагане по подмярка 8.1 „Залесяване и поддръжка“ цели да стимулира изпълнението на проекти, които допринасят за опазването на околната среда и адаптацията към климатичните предизвикателства с акценти към увеличаването на лесистите площи в равнинните зони, ограничаването на ерозията, съхраняването на почвеното качество, възстановяването на водния баланс и насърчаването на устойчиви земеделски практики.</w:t>
      </w:r>
    </w:p>
    <w:p w14:paraId="05355DED" w14:textId="77777777" w:rsidR="008D6BBB" w:rsidRPr="008D6BBB" w:rsidRDefault="008D6BBB" w:rsidP="008D6BBB">
      <w:pPr>
        <w:spacing w:after="120"/>
        <w:ind w:firstLine="720"/>
        <w:jc w:val="both"/>
        <w:rPr>
          <w:rFonts w:ascii="Arial Narrow" w:hAnsi="Arial Narrow"/>
          <w:lang w:val="bg-BG" w:eastAsia="bg-BG"/>
        </w:rPr>
      </w:pPr>
      <w:r w:rsidRPr="008D6BBB">
        <w:rPr>
          <w:rFonts w:ascii="Arial Narrow" w:hAnsi="Arial Narrow"/>
          <w:lang w:val="bg-BG" w:eastAsia="bg-BG"/>
        </w:rPr>
        <w:t>По подмярката е проведен един прием през 2020 г., с постъпили 22 проектни предложения. От тях одобрени за финансиране са 2 проекта на стойност 168 232 лева, по които плащания не са извършвани.</w:t>
      </w:r>
    </w:p>
    <w:p w14:paraId="6B60F9FA" w14:textId="77777777" w:rsidR="008D6BBB" w:rsidRPr="008D6BBB" w:rsidRDefault="008D6BBB" w:rsidP="008D6BBB">
      <w:pPr>
        <w:spacing w:after="120"/>
        <w:ind w:firstLine="720"/>
        <w:jc w:val="both"/>
        <w:rPr>
          <w:rFonts w:ascii="Arial Narrow" w:hAnsi="Arial Narrow"/>
          <w:b/>
          <w:lang w:val="bg-BG" w:eastAsia="bg-BG"/>
        </w:rPr>
      </w:pPr>
      <w:r w:rsidRPr="008D6BBB">
        <w:rPr>
          <w:rFonts w:ascii="Arial Narrow" w:hAnsi="Arial Narrow"/>
          <w:b/>
          <w:bCs/>
          <w:lang w:val="bg-BG" w:eastAsia="bg-BG"/>
        </w:rPr>
        <w:t>Подмярка 8.3. „Предотвратяване на щети по горите от горски пожари, природни бедствия и катастрофични събития“</w:t>
      </w:r>
    </w:p>
    <w:p w14:paraId="0262E475" w14:textId="77777777" w:rsidR="008D6BBB" w:rsidRPr="008D6BBB" w:rsidRDefault="008D6BBB" w:rsidP="008D6BBB">
      <w:pPr>
        <w:spacing w:after="120"/>
        <w:ind w:firstLine="720"/>
        <w:jc w:val="both"/>
        <w:rPr>
          <w:rFonts w:ascii="Arial Narrow" w:hAnsi="Arial Narrow"/>
          <w:lang w:val="bg-BG" w:eastAsia="bg-BG"/>
        </w:rPr>
      </w:pPr>
      <w:r w:rsidRPr="008D6BBB">
        <w:rPr>
          <w:rFonts w:ascii="Arial Narrow" w:hAnsi="Arial Narrow"/>
          <w:lang w:val="bg-BG" w:eastAsia="bg-BG"/>
        </w:rPr>
        <w:t xml:space="preserve">Целта на подмярката е намаляване на заплахата от горски пожари и ограничаване на опасността от вредители, болести, природни бедствия и катастрофични събития в горските територии чрез въвеждане на нови превантивни дейности и подобряване на вече прилаганите. Допустими за подпомагане са всички собственици на горски територии. </w:t>
      </w:r>
    </w:p>
    <w:p w14:paraId="26E32111" w14:textId="77777777" w:rsidR="008D6BBB" w:rsidRPr="008D6BBB" w:rsidRDefault="008D6BBB" w:rsidP="008D6BBB">
      <w:pPr>
        <w:spacing w:after="120"/>
        <w:ind w:firstLine="720"/>
        <w:jc w:val="both"/>
        <w:rPr>
          <w:rFonts w:ascii="Arial Narrow" w:hAnsi="Arial Narrow"/>
          <w:lang w:val="bg-BG" w:eastAsia="bg-BG"/>
        </w:rPr>
      </w:pPr>
      <w:r w:rsidRPr="008D6BBB">
        <w:rPr>
          <w:rFonts w:ascii="Arial Narrow" w:hAnsi="Arial Narrow"/>
          <w:lang w:val="bg-BG" w:eastAsia="bg-BG"/>
        </w:rPr>
        <w:t xml:space="preserve">Към края на 2024 г. по подмярката са сключени 23 договора за предоставяне на безвъзмездна финансова помощ в размер на 35 220 956 лева. Проектите са разпределени в различни региони на страната, като се наблюдава концентриране на интервенции в зони с доказано висок пожарен риск, включително части от Южен централен, Югоизточен и Югозападен район. </w:t>
      </w:r>
    </w:p>
    <w:p w14:paraId="7278445E" w14:textId="77777777" w:rsidR="008D6BBB" w:rsidRPr="008D6BBB" w:rsidRDefault="008D6BBB" w:rsidP="008D6BBB">
      <w:pPr>
        <w:spacing w:after="120"/>
        <w:ind w:firstLine="720"/>
        <w:jc w:val="both"/>
        <w:rPr>
          <w:rFonts w:ascii="Arial Narrow" w:hAnsi="Arial Narrow"/>
          <w:lang w:val="bg-BG" w:eastAsia="bg-BG"/>
        </w:rPr>
      </w:pPr>
      <w:r w:rsidRPr="008D6BBB">
        <w:rPr>
          <w:rFonts w:ascii="Arial Narrow" w:hAnsi="Arial Narrow"/>
          <w:lang w:val="bg-BG" w:eastAsia="bg-BG"/>
        </w:rPr>
        <w:t xml:space="preserve">За периода на прилагането й до 31 декември 2024 г. по подмярка 8.3 са изплатени общо                    27 838 131 лева, от които през 2024 г. – 4 704 220 лева. </w:t>
      </w:r>
    </w:p>
    <w:p w14:paraId="0AE3CE07" w14:textId="77777777" w:rsidR="008D6BBB" w:rsidRPr="008D6BBB" w:rsidRDefault="008D6BBB" w:rsidP="008D6BBB">
      <w:pPr>
        <w:spacing w:after="120"/>
        <w:ind w:firstLine="720"/>
        <w:jc w:val="both"/>
        <w:rPr>
          <w:rFonts w:ascii="Arial Narrow" w:hAnsi="Arial Narrow"/>
          <w:b/>
          <w:lang w:val="bg-BG" w:eastAsia="bg-BG"/>
        </w:rPr>
      </w:pPr>
      <w:r w:rsidRPr="008D6BBB">
        <w:rPr>
          <w:rFonts w:ascii="Arial Narrow" w:hAnsi="Arial Narrow"/>
          <w:b/>
          <w:bCs/>
          <w:lang w:val="bg-BG" w:eastAsia="bg-BG"/>
        </w:rPr>
        <w:t>Подмярка 8.4. „Възстановяване на щети по горите от горски пожари, природни бедствия и катастрофични събития“</w:t>
      </w:r>
    </w:p>
    <w:p w14:paraId="60638A07" w14:textId="77777777" w:rsidR="008D6BBB" w:rsidRPr="008D6BBB" w:rsidRDefault="008D6BBB" w:rsidP="008D6BBB">
      <w:pPr>
        <w:spacing w:after="120"/>
        <w:ind w:firstLine="720"/>
        <w:jc w:val="both"/>
        <w:rPr>
          <w:rFonts w:ascii="Arial Narrow" w:hAnsi="Arial Narrow"/>
          <w:lang w:val="bg-BG" w:eastAsia="bg-BG"/>
        </w:rPr>
      </w:pPr>
      <w:r w:rsidRPr="008D6BBB">
        <w:rPr>
          <w:rFonts w:ascii="Arial Narrow" w:hAnsi="Arial Narrow"/>
          <w:lang w:val="bg-BG" w:eastAsia="bg-BG"/>
        </w:rPr>
        <w:t>Подпомагането по подмярка 8.4 е насочено към възстановяване на горите, пострадали от горски пожари, природни бедствия, катастрофични събития, болести и вредители, както и защита на околната среда и адаптиране към промените в климата.</w:t>
      </w:r>
    </w:p>
    <w:p w14:paraId="65B3242E" w14:textId="77777777" w:rsidR="008D6BBB" w:rsidRPr="008D6BBB" w:rsidRDefault="008D6BBB" w:rsidP="008D6BBB">
      <w:pPr>
        <w:spacing w:after="120"/>
        <w:ind w:firstLine="720"/>
        <w:jc w:val="both"/>
        <w:rPr>
          <w:rFonts w:ascii="Arial Narrow" w:hAnsi="Arial Narrow"/>
          <w:lang w:val="bg-BG" w:eastAsia="bg-BG"/>
        </w:rPr>
      </w:pPr>
      <w:r w:rsidRPr="008D6BBB">
        <w:rPr>
          <w:rFonts w:ascii="Arial Narrow" w:hAnsi="Arial Narrow"/>
          <w:lang w:val="bg-BG" w:eastAsia="bg-BG"/>
        </w:rPr>
        <w:t xml:space="preserve">В рамките на осъществения през 2018 г. прием на проектни предложения са постъпили 14 проекта. От тях към 31.12.2024 г. са сключени 12 административни договора със стойност на одобрена субсидия  4 214 442 лева. </w:t>
      </w:r>
    </w:p>
    <w:p w14:paraId="247FD94C" w14:textId="77777777" w:rsidR="008D6BBB" w:rsidRPr="008D6BBB" w:rsidRDefault="008D6BBB" w:rsidP="008D6BBB">
      <w:pPr>
        <w:spacing w:after="120"/>
        <w:ind w:firstLine="720"/>
        <w:jc w:val="both"/>
        <w:rPr>
          <w:rFonts w:ascii="Arial Narrow" w:hAnsi="Arial Narrow"/>
          <w:lang w:val="bg-BG" w:eastAsia="bg-BG"/>
        </w:rPr>
      </w:pPr>
      <w:r w:rsidRPr="008D6BBB">
        <w:rPr>
          <w:rFonts w:ascii="Arial Narrow" w:hAnsi="Arial Narrow"/>
          <w:lang w:val="bg-BG" w:eastAsia="bg-BG"/>
        </w:rPr>
        <w:t>Проектите обхващат дейности за възстановяване на увредени горски площи, превенция на ерозията и използване на местни дървесни видове. Размерът на площите за възстановяване варира значително - от 12 ха при най-малките проекти до над 3 550 ха при най-големите интервенции. Географското разпределение на проектите обхваща предимно Югозападния и Югоизточния район на страната, като акцент е поставен върху чувствителни територии с по-висока склонност към ерозионни процеси и риск от горски пожари.</w:t>
      </w:r>
    </w:p>
    <w:p w14:paraId="57BFF141" w14:textId="77777777" w:rsidR="008D6BBB" w:rsidRPr="008D6BBB" w:rsidRDefault="008D6BBB" w:rsidP="008D6BBB">
      <w:pPr>
        <w:spacing w:after="120"/>
        <w:ind w:firstLine="720"/>
        <w:jc w:val="both"/>
        <w:rPr>
          <w:rFonts w:ascii="Arial Narrow" w:hAnsi="Arial Narrow"/>
          <w:lang w:val="bg-BG" w:eastAsia="bg-BG"/>
        </w:rPr>
      </w:pPr>
      <w:r w:rsidRPr="008D6BBB">
        <w:rPr>
          <w:rFonts w:ascii="Arial Narrow" w:hAnsi="Arial Narrow"/>
          <w:lang w:val="bg-BG" w:eastAsia="bg-BG"/>
        </w:rPr>
        <w:t>Разплатените средства за периода на прилагане на подмярката до края на 2024 г. възлизат на       2 241 081 лева.</w:t>
      </w:r>
    </w:p>
    <w:p w14:paraId="799730BD" w14:textId="77777777" w:rsidR="008D6BBB" w:rsidRPr="008D6BBB" w:rsidRDefault="008D6BBB" w:rsidP="008D6BBB">
      <w:pPr>
        <w:spacing w:after="120"/>
        <w:ind w:firstLine="720"/>
        <w:jc w:val="both"/>
        <w:rPr>
          <w:rFonts w:ascii="Arial Narrow" w:hAnsi="Arial Narrow"/>
          <w:b/>
          <w:lang w:val="bg-BG" w:eastAsia="bg-BG"/>
        </w:rPr>
      </w:pPr>
      <w:r w:rsidRPr="008D6BBB">
        <w:rPr>
          <w:rFonts w:ascii="Arial Narrow" w:hAnsi="Arial Narrow"/>
          <w:b/>
          <w:bCs/>
          <w:lang w:val="bg-BG" w:eastAsia="bg-BG"/>
        </w:rPr>
        <w:t>Подмярка 8.6. „Инвестиции в технологии за лесовъдство и в преработката, мобилизирането и търговията с горски продукти“</w:t>
      </w:r>
    </w:p>
    <w:p w14:paraId="3835B29B" w14:textId="77777777" w:rsidR="008D6BBB" w:rsidRPr="008D6BBB" w:rsidRDefault="008D6BBB" w:rsidP="008D6BBB">
      <w:pPr>
        <w:spacing w:after="120"/>
        <w:ind w:firstLine="720"/>
        <w:jc w:val="both"/>
        <w:rPr>
          <w:rFonts w:ascii="Arial Narrow" w:hAnsi="Arial Narrow"/>
          <w:lang w:val="bg-BG" w:eastAsia="bg-BG"/>
        </w:rPr>
      </w:pPr>
      <w:r w:rsidRPr="008D6BBB">
        <w:rPr>
          <w:rFonts w:ascii="Arial Narrow" w:hAnsi="Arial Narrow"/>
          <w:lang w:val="bg-BG" w:eastAsia="bg-BG"/>
        </w:rPr>
        <w:t>Целта на подкрепата е повишаване на конкурентоспособността и създаване на нови работни места чрез насърчаване на преработката и маркетинга на горските продукти, както и подобряване състоянието на горите, тяхното опазване и устойчиво стопанисване.</w:t>
      </w:r>
    </w:p>
    <w:p w14:paraId="7F11A62B" w14:textId="77777777" w:rsidR="008D6BBB" w:rsidRPr="008D6BBB" w:rsidRDefault="008D6BBB" w:rsidP="008D6BBB">
      <w:pPr>
        <w:spacing w:after="120"/>
        <w:ind w:firstLine="720"/>
        <w:jc w:val="both"/>
        <w:rPr>
          <w:rFonts w:ascii="Arial Narrow" w:hAnsi="Arial Narrow"/>
          <w:lang w:val="bg-BG" w:eastAsia="bg-BG"/>
        </w:rPr>
      </w:pPr>
      <w:r w:rsidRPr="008D6BBB">
        <w:rPr>
          <w:rFonts w:ascii="Arial Narrow" w:hAnsi="Arial Narrow"/>
          <w:lang w:val="bg-BG" w:eastAsia="bg-BG"/>
        </w:rPr>
        <w:t>По подмярката е проведен един прием през 2018 г., с постъпи 191 проекта, от които към края на 2024 г. са сключени 72 договора за финансова помощ на стойност 28 008 583 лева.</w:t>
      </w:r>
    </w:p>
    <w:p w14:paraId="6320B2DC" w14:textId="77777777" w:rsidR="008D6BBB" w:rsidRPr="008D6BBB" w:rsidRDefault="008D6BBB" w:rsidP="008D6BBB">
      <w:pPr>
        <w:spacing w:after="120"/>
        <w:ind w:firstLine="720"/>
        <w:jc w:val="both"/>
        <w:rPr>
          <w:rFonts w:ascii="Arial Narrow" w:hAnsi="Arial Narrow"/>
          <w:lang w:val="bg-BG" w:eastAsia="bg-BG"/>
        </w:rPr>
      </w:pPr>
      <w:r w:rsidRPr="008D6BBB">
        <w:rPr>
          <w:rFonts w:ascii="Arial Narrow" w:hAnsi="Arial Narrow"/>
          <w:lang w:val="bg-BG" w:eastAsia="bg-BG"/>
        </w:rPr>
        <w:lastRenderedPageBreak/>
        <w:t>За периода на прилагане на подмярка 8.6 до края на 2024 г. са разплатени общо 11 970 300 лева. Плащанията през календарната 2024 г. възлизат на 4 622 011 лева.</w:t>
      </w:r>
    </w:p>
    <w:p w14:paraId="787A89D8" w14:textId="77777777" w:rsidR="008D6BBB" w:rsidRPr="008D6BBB" w:rsidRDefault="008D6BBB" w:rsidP="008D6BBB">
      <w:pPr>
        <w:spacing w:after="120"/>
        <w:ind w:firstLine="720"/>
        <w:jc w:val="both"/>
        <w:rPr>
          <w:rFonts w:ascii="Arial Narrow" w:hAnsi="Arial Narrow"/>
          <w:b/>
          <w:bCs/>
          <w:lang w:val="bg-BG" w:eastAsia="bg-BG"/>
        </w:rPr>
      </w:pPr>
      <w:r w:rsidRPr="008D6BBB">
        <w:rPr>
          <w:rFonts w:ascii="Arial Narrow" w:hAnsi="Arial Narrow"/>
          <w:b/>
          <w:bCs/>
          <w:lang w:val="bg-BG" w:eastAsia="bg-BG"/>
        </w:rPr>
        <w:t>Мярка 9 „Учредяване на групи и организации на производителите“</w:t>
      </w:r>
    </w:p>
    <w:p w14:paraId="10072134" w14:textId="77777777" w:rsidR="008D6BBB" w:rsidRPr="008D6BBB" w:rsidRDefault="008D6BBB" w:rsidP="008D6BBB">
      <w:pPr>
        <w:spacing w:after="120"/>
        <w:ind w:firstLine="720"/>
        <w:jc w:val="both"/>
        <w:rPr>
          <w:rFonts w:ascii="Arial Narrow" w:hAnsi="Arial Narrow"/>
          <w:lang w:val="bg-BG" w:eastAsia="bg-BG"/>
        </w:rPr>
      </w:pPr>
      <w:r w:rsidRPr="008D6BBB">
        <w:rPr>
          <w:rFonts w:ascii="Arial Narrow" w:hAnsi="Arial Narrow"/>
          <w:lang w:val="bg-BG" w:eastAsia="bg-BG"/>
        </w:rPr>
        <w:t>Подпомагането по мярка 9 „Учредяване на групи и организации на производителите“ е насочено към създаването на групи и организации на производители в земеделския сектор. То допринася за подобряване на конкурентоспособността на първичните производители чрез по-доброто им интегриране в селскостопанската и хранителната верига посредством схеми за качество, които да добавят стойност към селскостопанските продукти, популяризиране на местните пазари и къси вериги на доставки, групи и организации на производителите и междубраншови организации.</w:t>
      </w:r>
    </w:p>
    <w:p w14:paraId="7C917392" w14:textId="77777777" w:rsidR="008D6BBB" w:rsidRPr="008D6BBB" w:rsidRDefault="008D6BBB" w:rsidP="008D6BBB">
      <w:pPr>
        <w:spacing w:after="120"/>
        <w:ind w:firstLine="720"/>
        <w:jc w:val="both"/>
        <w:rPr>
          <w:rFonts w:ascii="Arial Narrow" w:hAnsi="Arial Narrow"/>
          <w:lang w:val="bg-BG" w:eastAsia="bg-BG"/>
        </w:rPr>
      </w:pPr>
      <w:r w:rsidRPr="008D6BBB">
        <w:rPr>
          <w:rFonts w:ascii="Arial Narrow" w:hAnsi="Arial Narrow"/>
          <w:lang w:val="bg-BG" w:eastAsia="bg-BG"/>
        </w:rPr>
        <w:t>За периода от прилагането й до 31.12.2024 г. по мярката са сключени 30 договора с общ размер на одобрената субсидия 15 994 966 лева. Изплатени са 9 220 269 лева публични средства, в това число през 2024 г. - 450 098 лева.</w:t>
      </w:r>
    </w:p>
    <w:p w14:paraId="730BA444" w14:textId="77777777" w:rsidR="008D6BBB" w:rsidRPr="008D6BBB" w:rsidRDefault="008D6BBB" w:rsidP="008D6BBB">
      <w:pPr>
        <w:spacing w:after="120"/>
        <w:ind w:firstLine="720"/>
        <w:jc w:val="both"/>
        <w:rPr>
          <w:rFonts w:ascii="Arial Narrow" w:hAnsi="Arial Narrow"/>
          <w:b/>
          <w:lang w:val="bg-BG" w:eastAsia="bg-BG"/>
        </w:rPr>
      </w:pPr>
      <w:bookmarkStart w:id="112" w:name="_Toc201928054"/>
      <w:r w:rsidRPr="008D6BBB">
        <w:rPr>
          <w:rFonts w:ascii="Arial Narrow" w:hAnsi="Arial Narrow"/>
          <w:b/>
          <w:lang w:val="bg-BG" w:eastAsia="bg-BG"/>
        </w:rPr>
        <w:t>Мярка 10 „Агроекология и климат“</w:t>
      </w:r>
      <w:bookmarkEnd w:id="112"/>
    </w:p>
    <w:p w14:paraId="20A9CB34" w14:textId="77777777" w:rsidR="008D6BBB" w:rsidRPr="008D6BBB" w:rsidRDefault="008D6BBB" w:rsidP="008D6BBB">
      <w:pPr>
        <w:spacing w:after="120"/>
        <w:ind w:firstLine="720"/>
        <w:jc w:val="both"/>
        <w:rPr>
          <w:rFonts w:ascii="Arial Narrow" w:hAnsi="Arial Narrow"/>
          <w:bCs/>
          <w:lang w:val="bg-BG" w:eastAsia="bg-BG"/>
        </w:rPr>
      </w:pPr>
      <w:r w:rsidRPr="008D6BBB">
        <w:rPr>
          <w:rFonts w:ascii="Arial Narrow" w:hAnsi="Arial Narrow"/>
          <w:bCs/>
          <w:lang w:val="bg-BG" w:eastAsia="bg-BG"/>
        </w:rPr>
        <w:t>За Кампания `2024 е осъществен прием на заявления за плащане по изпълнявани ангажименти в преходния период (приключващи в края 2024 г.) по следните направления:</w:t>
      </w:r>
    </w:p>
    <w:p w14:paraId="2CE53F2B" w14:textId="77777777" w:rsidR="008D6BBB" w:rsidRPr="008D6BBB" w:rsidRDefault="008D6BBB" w:rsidP="009C6577">
      <w:pPr>
        <w:numPr>
          <w:ilvl w:val="0"/>
          <w:numId w:val="52"/>
        </w:numPr>
        <w:tabs>
          <w:tab w:val="left" w:pos="1134"/>
        </w:tabs>
        <w:autoSpaceDE w:val="0"/>
        <w:autoSpaceDN w:val="0"/>
        <w:adjustRightInd w:val="0"/>
        <w:spacing w:after="120"/>
        <w:ind w:left="714" w:hanging="357"/>
        <w:contextualSpacing/>
        <w:jc w:val="both"/>
        <w:rPr>
          <w:rFonts w:ascii="Arial Narrow" w:eastAsia="Calibri" w:hAnsi="Arial Narrow"/>
          <w:lang w:val="bg-BG"/>
        </w:rPr>
      </w:pPr>
      <w:r w:rsidRPr="008D6BBB">
        <w:rPr>
          <w:rFonts w:ascii="Arial Narrow" w:eastAsia="Calibri" w:hAnsi="Arial Narrow"/>
          <w:lang w:val="bg-BG"/>
        </w:rPr>
        <w:t>Възстановяване и поддържане на постоянно затревени площи с висока природна стойност, с постъпили  451 заявления;</w:t>
      </w:r>
    </w:p>
    <w:p w14:paraId="71B50DB7" w14:textId="77777777" w:rsidR="008D6BBB" w:rsidRPr="008D6BBB" w:rsidRDefault="008D6BBB" w:rsidP="009C6577">
      <w:pPr>
        <w:numPr>
          <w:ilvl w:val="0"/>
          <w:numId w:val="52"/>
        </w:numPr>
        <w:tabs>
          <w:tab w:val="left" w:pos="1134"/>
        </w:tabs>
        <w:autoSpaceDE w:val="0"/>
        <w:autoSpaceDN w:val="0"/>
        <w:adjustRightInd w:val="0"/>
        <w:spacing w:after="120"/>
        <w:ind w:left="714" w:hanging="357"/>
        <w:contextualSpacing/>
        <w:jc w:val="both"/>
        <w:rPr>
          <w:rFonts w:ascii="Arial Narrow" w:eastAsia="Calibri" w:hAnsi="Arial Narrow"/>
          <w:lang w:val="bg-BG"/>
        </w:rPr>
      </w:pPr>
      <w:r w:rsidRPr="008D6BBB">
        <w:rPr>
          <w:rFonts w:ascii="Arial Narrow" w:eastAsia="Calibri" w:hAnsi="Arial Narrow"/>
          <w:lang w:val="bg-BG"/>
        </w:rPr>
        <w:t>Опазване на застрашени от изчезване местни породи, важни за селското стопанство, с постъпили 1 362 заявления;</w:t>
      </w:r>
    </w:p>
    <w:p w14:paraId="49DC0F0E" w14:textId="77777777" w:rsidR="008D6BBB" w:rsidRDefault="008D6BBB" w:rsidP="009C6577">
      <w:pPr>
        <w:numPr>
          <w:ilvl w:val="0"/>
          <w:numId w:val="52"/>
        </w:numPr>
        <w:tabs>
          <w:tab w:val="left" w:pos="1134"/>
        </w:tabs>
        <w:autoSpaceDE w:val="0"/>
        <w:autoSpaceDN w:val="0"/>
        <w:adjustRightInd w:val="0"/>
        <w:spacing w:after="120"/>
        <w:ind w:left="714" w:hanging="357"/>
        <w:contextualSpacing/>
        <w:jc w:val="both"/>
        <w:rPr>
          <w:rFonts w:ascii="Arial Narrow" w:eastAsia="Calibri" w:hAnsi="Arial Narrow"/>
          <w:lang w:val="bg-BG"/>
        </w:rPr>
      </w:pPr>
      <w:r w:rsidRPr="008D6BBB">
        <w:rPr>
          <w:rFonts w:ascii="Arial Narrow" w:eastAsia="Calibri" w:hAnsi="Arial Narrow"/>
          <w:lang w:val="bg-BG"/>
        </w:rPr>
        <w:t>Опазване на застрашени от изчезване местни сортове, важни за селското стопанство, с постъпили 542.</w:t>
      </w:r>
    </w:p>
    <w:p w14:paraId="1A3A6361" w14:textId="77777777" w:rsidR="00B14A38" w:rsidRPr="008D6BBB" w:rsidRDefault="00B14A38" w:rsidP="00B14A38">
      <w:pPr>
        <w:tabs>
          <w:tab w:val="left" w:pos="1134"/>
        </w:tabs>
        <w:autoSpaceDE w:val="0"/>
        <w:autoSpaceDN w:val="0"/>
        <w:adjustRightInd w:val="0"/>
        <w:spacing w:after="120"/>
        <w:ind w:left="714"/>
        <w:contextualSpacing/>
        <w:jc w:val="both"/>
        <w:rPr>
          <w:rFonts w:ascii="Arial Narrow" w:eastAsia="Calibri" w:hAnsi="Arial Narrow"/>
          <w:lang w:val="bg-BG"/>
        </w:rPr>
      </w:pPr>
    </w:p>
    <w:p w14:paraId="4D034B2B" w14:textId="77777777" w:rsidR="008D6BBB" w:rsidRPr="008D6BBB" w:rsidRDefault="008D6BBB" w:rsidP="008D6BBB">
      <w:pPr>
        <w:spacing w:after="120"/>
        <w:ind w:firstLine="720"/>
        <w:jc w:val="both"/>
        <w:rPr>
          <w:rFonts w:ascii="Arial Narrow" w:hAnsi="Arial Narrow"/>
          <w:bCs/>
          <w:lang w:val="bg-BG" w:eastAsia="bg-BG"/>
        </w:rPr>
      </w:pPr>
      <w:r w:rsidRPr="008D6BBB">
        <w:rPr>
          <w:rFonts w:ascii="Arial Narrow" w:hAnsi="Arial Narrow"/>
          <w:bCs/>
          <w:lang w:val="bg-BG" w:eastAsia="bg-BG"/>
        </w:rPr>
        <w:t xml:space="preserve">Общо изплатените средства по мярка 10 към 31.12.2024 г. за кампании 2015-2024 възлизат на         526 104 687 лева публични средства. През 2024 г. са осъществени плащания в размер на 30 399 755 лева. </w:t>
      </w:r>
    </w:p>
    <w:p w14:paraId="12677CAD" w14:textId="77777777" w:rsidR="008D6BBB" w:rsidRPr="008D6BBB" w:rsidRDefault="008D6BBB" w:rsidP="008D6BBB">
      <w:pPr>
        <w:spacing w:after="120"/>
        <w:ind w:firstLine="720"/>
        <w:jc w:val="both"/>
        <w:rPr>
          <w:rFonts w:ascii="Arial Narrow" w:hAnsi="Arial Narrow"/>
          <w:b/>
          <w:lang w:val="bg-BG" w:eastAsia="bg-BG"/>
        </w:rPr>
      </w:pPr>
      <w:bookmarkStart w:id="113" w:name="_Toc201928055"/>
      <w:r w:rsidRPr="008D6BBB">
        <w:rPr>
          <w:rFonts w:ascii="Arial Narrow" w:hAnsi="Arial Narrow"/>
          <w:b/>
          <w:lang w:val="bg-BG" w:eastAsia="bg-BG"/>
        </w:rPr>
        <w:t>Мярка 11 „Биологично земеделие“</w:t>
      </w:r>
      <w:bookmarkEnd w:id="113"/>
      <w:r w:rsidRPr="008D6BBB">
        <w:rPr>
          <w:rFonts w:ascii="Arial Narrow" w:hAnsi="Arial Narrow"/>
          <w:b/>
          <w:lang w:val="bg-BG" w:eastAsia="bg-BG"/>
        </w:rPr>
        <w:t xml:space="preserve"> </w:t>
      </w:r>
    </w:p>
    <w:p w14:paraId="2726BA56" w14:textId="77777777" w:rsidR="008D6BBB" w:rsidRPr="008D6BBB" w:rsidRDefault="008D6BBB" w:rsidP="008D6BBB">
      <w:pPr>
        <w:spacing w:after="120"/>
        <w:ind w:firstLine="720"/>
        <w:jc w:val="both"/>
        <w:rPr>
          <w:rFonts w:ascii="Arial Narrow" w:hAnsi="Arial Narrow"/>
          <w:bCs/>
          <w:lang w:val="bg-BG" w:eastAsia="bg-BG"/>
        </w:rPr>
      </w:pPr>
      <w:r w:rsidRPr="008D6BBB">
        <w:rPr>
          <w:rFonts w:ascii="Arial Narrow" w:hAnsi="Arial Narrow"/>
          <w:bCs/>
          <w:lang w:val="bg-BG" w:eastAsia="bg-BG"/>
        </w:rPr>
        <w:t>Мярката обхваща прилагането на две подмерки - подмярка 11.1 „Плащания за преминаване към биологично земеделие“ и подмярка 11.2 „Плащания за поддържане на биологично земеделие”.</w:t>
      </w:r>
    </w:p>
    <w:p w14:paraId="13C745A5" w14:textId="77777777" w:rsidR="008D6BBB" w:rsidRPr="008D6BBB" w:rsidRDefault="008D6BBB" w:rsidP="008D6BBB">
      <w:pPr>
        <w:spacing w:after="120"/>
        <w:ind w:firstLine="720"/>
        <w:jc w:val="both"/>
        <w:rPr>
          <w:rFonts w:ascii="Arial Narrow" w:hAnsi="Arial Narrow"/>
          <w:bCs/>
          <w:lang w:val="bg-BG" w:eastAsia="bg-BG"/>
        </w:rPr>
      </w:pPr>
      <w:r w:rsidRPr="008D6BBB">
        <w:rPr>
          <w:rFonts w:ascii="Arial Narrow" w:hAnsi="Arial Narrow"/>
          <w:bCs/>
          <w:lang w:val="bg-BG" w:eastAsia="bg-BG"/>
        </w:rPr>
        <w:t>Подпомагането е предвидено в три направления:</w:t>
      </w:r>
    </w:p>
    <w:p w14:paraId="5EC77A98" w14:textId="77777777" w:rsidR="008D6BBB" w:rsidRPr="008D6BBB" w:rsidRDefault="008D6BBB" w:rsidP="009C6577">
      <w:pPr>
        <w:numPr>
          <w:ilvl w:val="0"/>
          <w:numId w:val="52"/>
        </w:numPr>
        <w:tabs>
          <w:tab w:val="left" w:pos="1134"/>
        </w:tabs>
        <w:autoSpaceDE w:val="0"/>
        <w:autoSpaceDN w:val="0"/>
        <w:adjustRightInd w:val="0"/>
        <w:spacing w:after="120"/>
        <w:ind w:left="714" w:hanging="357"/>
        <w:contextualSpacing/>
        <w:jc w:val="both"/>
        <w:rPr>
          <w:rFonts w:ascii="Arial Narrow" w:eastAsia="Calibri" w:hAnsi="Arial Narrow"/>
          <w:lang w:val="bg-BG"/>
        </w:rPr>
      </w:pPr>
      <w:r w:rsidRPr="008D6BBB">
        <w:rPr>
          <w:rFonts w:ascii="Arial Narrow" w:eastAsia="Calibri" w:hAnsi="Arial Narrow"/>
          <w:lang w:val="bg-BG"/>
        </w:rPr>
        <w:t>Биологично растениевъдство, с постъпили 416 заявления за подпомагане за Кампания `2024;</w:t>
      </w:r>
    </w:p>
    <w:p w14:paraId="25B70724" w14:textId="77777777" w:rsidR="008D6BBB" w:rsidRPr="008D6BBB" w:rsidRDefault="008D6BBB" w:rsidP="009C6577">
      <w:pPr>
        <w:numPr>
          <w:ilvl w:val="0"/>
          <w:numId w:val="52"/>
        </w:numPr>
        <w:tabs>
          <w:tab w:val="left" w:pos="1134"/>
        </w:tabs>
        <w:autoSpaceDE w:val="0"/>
        <w:autoSpaceDN w:val="0"/>
        <w:adjustRightInd w:val="0"/>
        <w:spacing w:after="120"/>
        <w:ind w:left="714" w:hanging="357"/>
        <w:contextualSpacing/>
        <w:jc w:val="both"/>
        <w:rPr>
          <w:rFonts w:ascii="Arial Narrow" w:eastAsia="Calibri" w:hAnsi="Arial Narrow"/>
          <w:lang w:val="bg-BG"/>
        </w:rPr>
      </w:pPr>
      <w:r w:rsidRPr="008D6BBB">
        <w:rPr>
          <w:rFonts w:ascii="Arial Narrow" w:eastAsia="Calibri" w:hAnsi="Arial Narrow"/>
          <w:lang w:val="bg-BG"/>
        </w:rPr>
        <w:t>Биологично пчеларство, с постъпили 290 заявления за Кампания `2024;</w:t>
      </w:r>
    </w:p>
    <w:p w14:paraId="7999B575" w14:textId="77777777" w:rsidR="008D6BBB" w:rsidRPr="008D6BBB" w:rsidRDefault="008D6BBB" w:rsidP="009C6577">
      <w:pPr>
        <w:numPr>
          <w:ilvl w:val="0"/>
          <w:numId w:val="52"/>
        </w:numPr>
        <w:tabs>
          <w:tab w:val="left" w:pos="1134"/>
        </w:tabs>
        <w:autoSpaceDE w:val="0"/>
        <w:autoSpaceDN w:val="0"/>
        <w:adjustRightInd w:val="0"/>
        <w:spacing w:after="120"/>
        <w:ind w:left="714" w:hanging="357"/>
        <w:contextualSpacing/>
        <w:jc w:val="both"/>
        <w:rPr>
          <w:rFonts w:ascii="Arial Narrow" w:eastAsia="Calibri" w:hAnsi="Arial Narrow"/>
          <w:lang w:val="bg-BG"/>
        </w:rPr>
      </w:pPr>
      <w:r w:rsidRPr="008D6BBB">
        <w:rPr>
          <w:rFonts w:ascii="Arial Narrow" w:eastAsia="Calibri" w:hAnsi="Arial Narrow"/>
          <w:lang w:val="bg-BG"/>
        </w:rPr>
        <w:t>Биологично животновъдство, с постъпили 8 заявления за подпомагане за Кампания `2024.</w:t>
      </w:r>
    </w:p>
    <w:p w14:paraId="18D3515A" w14:textId="77777777" w:rsidR="008D6BBB" w:rsidRPr="008D6BBB" w:rsidRDefault="008D6BBB" w:rsidP="008D6BBB">
      <w:pPr>
        <w:spacing w:after="120"/>
        <w:ind w:firstLine="720"/>
        <w:jc w:val="both"/>
        <w:rPr>
          <w:rFonts w:ascii="Arial Narrow" w:hAnsi="Arial Narrow"/>
          <w:bCs/>
          <w:lang w:val="bg-BG" w:eastAsia="bg-BG"/>
        </w:rPr>
      </w:pPr>
      <w:r w:rsidRPr="008D6BBB">
        <w:rPr>
          <w:rFonts w:ascii="Arial Narrow" w:hAnsi="Arial Narrow"/>
          <w:bCs/>
          <w:lang w:val="bg-BG" w:eastAsia="bg-BG"/>
        </w:rPr>
        <w:t xml:space="preserve">Към 31.12.2024 г. по мярка 11 са разплатени средствата за кампании 2015-2023 на обща стойност 407 245 483 лева публични средства (средствата включват плащанията по преходни ангажименти от предишния програмен период). Плащанията през 2024 г. възлизат на 12 294 107 лева. </w:t>
      </w:r>
    </w:p>
    <w:p w14:paraId="7DE4A94E" w14:textId="77777777" w:rsidR="008D6BBB" w:rsidRPr="008D6BBB" w:rsidRDefault="008D6BBB" w:rsidP="008D6BBB">
      <w:pPr>
        <w:spacing w:after="120"/>
        <w:ind w:firstLine="720"/>
        <w:jc w:val="both"/>
        <w:rPr>
          <w:rFonts w:ascii="Arial Narrow" w:hAnsi="Arial Narrow"/>
          <w:b/>
          <w:lang w:val="bg-BG" w:eastAsia="bg-BG"/>
        </w:rPr>
      </w:pPr>
      <w:bookmarkStart w:id="114" w:name="_Toc201928056"/>
      <w:r w:rsidRPr="008D6BBB">
        <w:rPr>
          <w:rFonts w:ascii="Arial Narrow" w:hAnsi="Arial Narrow"/>
          <w:b/>
          <w:lang w:val="bg-BG" w:eastAsia="bg-BG"/>
        </w:rPr>
        <w:t>Мярка 12 „Плащания по „Натура-2000” и Рамковата директива за водите“</w:t>
      </w:r>
      <w:bookmarkEnd w:id="114"/>
    </w:p>
    <w:p w14:paraId="48401DB5" w14:textId="77777777" w:rsidR="008D6BBB" w:rsidRPr="008D6BBB" w:rsidRDefault="008D6BBB" w:rsidP="008D6BBB">
      <w:pPr>
        <w:spacing w:after="120"/>
        <w:ind w:firstLine="720"/>
        <w:jc w:val="both"/>
        <w:rPr>
          <w:rFonts w:ascii="Arial Narrow" w:hAnsi="Arial Narrow"/>
          <w:bCs/>
          <w:lang w:val="bg-BG" w:eastAsia="bg-BG"/>
        </w:rPr>
      </w:pPr>
      <w:r w:rsidRPr="008D6BBB">
        <w:rPr>
          <w:rFonts w:ascii="Arial Narrow" w:hAnsi="Arial Narrow"/>
          <w:bCs/>
          <w:lang w:val="bg-BG" w:eastAsia="bg-BG"/>
        </w:rPr>
        <w:t>През календарната 2024 г. мярката не се прилага. Обявени са приеми по аналогична интервенция „Плащания за земеделски земи в зони от Натура 2000”, включена в СПРЗСР 2023-2027 г.</w:t>
      </w:r>
    </w:p>
    <w:p w14:paraId="5EC072B5" w14:textId="77777777" w:rsidR="008D6BBB" w:rsidRPr="008D6BBB" w:rsidRDefault="008D6BBB" w:rsidP="008D6BBB">
      <w:pPr>
        <w:spacing w:after="120"/>
        <w:ind w:firstLine="720"/>
        <w:jc w:val="both"/>
        <w:rPr>
          <w:rFonts w:ascii="Arial Narrow" w:hAnsi="Arial Narrow"/>
          <w:b/>
          <w:lang w:val="bg-BG" w:eastAsia="bg-BG"/>
        </w:rPr>
      </w:pPr>
      <w:bookmarkStart w:id="115" w:name="_Toc201928057"/>
      <w:r w:rsidRPr="008D6BBB">
        <w:rPr>
          <w:rFonts w:ascii="Arial Narrow" w:hAnsi="Arial Narrow"/>
          <w:b/>
          <w:lang w:val="bg-BG" w:eastAsia="bg-BG"/>
        </w:rPr>
        <w:t>Мярка 13 „Плащания за райони, изправени пред природни или други специфични ограничения“</w:t>
      </w:r>
      <w:bookmarkEnd w:id="115"/>
    </w:p>
    <w:p w14:paraId="17FD6E4F" w14:textId="77777777" w:rsidR="008D6BBB" w:rsidRPr="008D6BBB" w:rsidRDefault="008D6BBB" w:rsidP="008D6BBB">
      <w:pPr>
        <w:spacing w:after="120"/>
        <w:ind w:firstLine="720"/>
        <w:jc w:val="both"/>
        <w:rPr>
          <w:rFonts w:ascii="Arial Narrow" w:hAnsi="Arial Narrow"/>
          <w:bCs/>
          <w:lang w:val="bg-BG" w:eastAsia="bg-BG"/>
        </w:rPr>
      </w:pPr>
      <w:r w:rsidRPr="008D6BBB">
        <w:rPr>
          <w:rFonts w:ascii="Arial Narrow" w:hAnsi="Arial Narrow"/>
          <w:bCs/>
          <w:lang w:val="bg-BG" w:eastAsia="bg-BG"/>
        </w:rPr>
        <w:t>Мярката не се прилага през 2024 г., тъй като са обявени приеми по аналогична интервенция „Плащания за райони, изправени пред природни или други специфични ограничения“ от СПРЗСР 2023-2027 г. </w:t>
      </w:r>
    </w:p>
    <w:p w14:paraId="707D9D65" w14:textId="77777777" w:rsidR="008D6BBB" w:rsidRPr="008D6BBB" w:rsidRDefault="008D6BBB" w:rsidP="008D6BBB">
      <w:pPr>
        <w:spacing w:after="120"/>
        <w:ind w:firstLine="720"/>
        <w:jc w:val="both"/>
        <w:rPr>
          <w:rFonts w:ascii="Arial Narrow" w:hAnsi="Arial Narrow"/>
          <w:b/>
          <w:lang w:val="bg-BG" w:eastAsia="bg-BG"/>
        </w:rPr>
      </w:pPr>
      <w:bookmarkStart w:id="116" w:name="_Toc201928058"/>
      <w:r w:rsidRPr="008D6BBB">
        <w:rPr>
          <w:rFonts w:ascii="Arial Narrow" w:hAnsi="Arial Narrow"/>
          <w:b/>
          <w:lang w:val="bg-BG" w:eastAsia="bg-BG"/>
        </w:rPr>
        <w:t>Мярка 14 „Хуманно отношение към животните“</w:t>
      </w:r>
      <w:bookmarkEnd w:id="116"/>
    </w:p>
    <w:p w14:paraId="1E0C1D96" w14:textId="77777777" w:rsidR="008D6BBB" w:rsidRPr="008D6BBB" w:rsidRDefault="008D6BBB" w:rsidP="008D6BBB">
      <w:pPr>
        <w:spacing w:after="120"/>
        <w:ind w:firstLine="720"/>
        <w:jc w:val="both"/>
        <w:rPr>
          <w:rFonts w:ascii="Arial Narrow" w:hAnsi="Arial Narrow"/>
          <w:bCs/>
          <w:lang w:val="bg-BG" w:eastAsia="bg-BG"/>
        </w:rPr>
      </w:pPr>
      <w:r w:rsidRPr="008D6BBB">
        <w:rPr>
          <w:rFonts w:ascii="Arial Narrow" w:hAnsi="Arial Narrow"/>
          <w:bCs/>
          <w:lang w:val="bg-BG" w:eastAsia="bg-BG"/>
        </w:rPr>
        <w:t>През календарната 2024 г. мярката не се прилага. Проведени са приеми по аналогична интервенция, включена в СПРЗСР 2023-2027 г. </w:t>
      </w:r>
      <w:bookmarkStart w:id="117" w:name="_Toc201928059"/>
    </w:p>
    <w:p w14:paraId="51D7BA90" w14:textId="77777777" w:rsidR="008D6BBB" w:rsidRPr="008D6BBB" w:rsidRDefault="008D6BBB" w:rsidP="008D6BBB">
      <w:pPr>
        <w:spacing w:after="120"/>
        <w:ind w:firstLine="720"/>
        <w:jc w:val="both"/>
        <w:rPr>
          <w:rFonts w:ascii="Arial Narrow" w:hAnsi="Arial Narrow"/>
          <w:b/>
          <w:lang w:val="bg-BG" w:eastAsia="bg-BG"/>
        </w:rPr>
      </w:pPr>
      <w:r w:rsidRPr="008D6BBB">
        <w:rPr>
          <w:rFonts w:ascii="Arial Narrow" w:hAnsi="Arial Narrow"/>
          <w:b/>
          <w:lang w:val="bg-BG" w:eastAsia="bg-BG"/>
        </w:rPr>
        <w:t>Мярка 16 „Сътрудничество“</w:t>
      </w:r>
      <w:bookmarkEnd w:id="117"/>
    </w:p>
    <w:p w14:paraId="5C1D138E" w14:textId="77777777" w:rsidR="008D6BBB" w:rsidRPr="008D6BBB" w:rsidRDefault="008D6BBB" w:rsidP="008D6BBB">
      <w:pPr>
        <w:spacing w:after="120"/>
        <w:ind w:firstLine="720"/>
        <w:jc w:val="both"/>
        <w:rPr>
          <w:rFonts w:ascii="Arial Narrow" w:hAnsi="Arial Narrow"/>
          <w:b/>
          <w:lang w:val="bg-BG" w:eastAsia="bg-BG"/>
        </w:rPr>
      </w:pPr>
      <w:r w:rsidRPr="008D6BBB">
        <w:rPr>
          <w:rFonts w:ascii="Arial Narrow" w:hAnsi="Arial Narrow"/>
          <w:b/>
          <w:lang w:val="bg-BG" w:eastAsia="bg-BG"/>
        </w:rPr>
        <w:lastRenderedPageBreak/>
        <w:t>Подмярка 16.1. „Подкрепа за сформиране и функциониране на оперативни групи в рамките на ЕПИ“</w:t>
      </w:r>
    </w:p>
    <w:p w14:paraId="62842858" w14:textId="77777777" w:rsidR="008D6BBB" w:rsidRPr="008D6BBB" w:rsidRDefault="008D6BBB" w:rsidP="008D6BBB">
      <w:pPr>
        <w:spacing w:after="120"/>
        <w:ind w:firstLine="720"/>
        <w:jc w:val="both"/>
        <w:rPr>
          <w:rFonts w:ascii="Arial Narrow" w:hAnsi="Arial Narrow"/>
          <w:lang w:val="bg-BG" w:eastAsia="bg-BG"/>
        </w:rPr>
      </w:pPr>
      <w:r w:rsidRPr="008D6BBB">
        <w:rPr>
          <w:rFonts w:ascii="Arial Narrow" w:hAnsi="Arial Narrow"/>
          <w:lang w:val="bg-BG" w:eastAsia="bg-BG"/>
        </w:rPr>
        <w:t>Подпомагането по подмярка 16.1 „Подкрепа за сформиране и функциониране на оперативни групи в рамките на ЕПИ“ е насочено към функциониране на оперативни групи, създадени за изпълнение на конкретен иновативен проект за постигане на целите на ЕПИ.</w:t>
      </w:r>
    </w:p>
    <w:p w14:paraId="030C982E" w14:textId="77777777" w:rsidR="008D6BBB" w:rsidRPr="008D6BBB" w:rsidRDefault="008D6BBB" w:rsidP="008D6BBB">
      <w:pPr>
        <w:spacing w:after="120"/>
        <w:ind w:firstLine="720"/>
        <w:jc w:val="both"/>
        <w:rPr>
          <w:rFonts w:ascii="Arial Narrow" w:hAnsi="Arial Narrow"/>
          <w:lang w:val="bg-BG" w:eastAsia="bg-BG"/>
        </w:rPr>
      </w:pPr>
      <w:r w:rsidRPr="008D6BBB">
        <w:rPr>
          <w:rFonts w:ascii="Arial Narrow" w:hAnsi="Arial Narrow"/>
          <w:lang w:val="bg-BG" w:eastAsia="bg-BG"/>
        </w:rPr>
        <w:t xml:space="preserve">По подмярката са реализирани два приема - през 2019 г. и 2020 г. с общ бюджет от 59 710 500 лева. Към 31.12.2024 г. в процес на изпълнение са 24 договора. </w:t>
      </w:r>
    </w:p>
    <w:p w14:paraId="1536D8E2" w14:textId="77777777" w:rsidR="008D6BBB" w:rsidRPr="008D6BBB" w:rsidRDefault="008D6BBB" w:rsidP="008D6BBB">
      <w:pPr>
        <w:spacing w:after="120"/>
        <w:ind w:firstLine="720"/>
        <w:jc w:val="both"/>
        <w:rPr>
          <w:rFonts w:ascii="Arial Narrow" w:hAnsi="Arial Narrow"/>
          <w:lang w:val="bg-BG" w:eastAsia="bg-BG"/>
        </w:rPr>
      </w:pPr>
      <w:r w:rsidRPr="008D6BBB">
        <w:rPr>
          <w:rFonts w:ascii="Arial Narrow" w:hAnsi="Arial Narrow"/>
          <w:lang w:val="bg-BG" w:eastAsia="bg-BG"/>
        </w:rPr>
        <w:t xml:space="preserve">Общо изплатените средства за периода на прилагане на ПРСР 2014-2020 г. до края на 2024 г. са в размер на 7 431 731 лева, в това число през 2024 г. – 2 168 551 лева. За първите пет месеца на 2025 г. са извършени плащания на стойност </w:t>
      </w:r>
      <w:r w:rsidR="005D5A20" w:rsidRPr="005D5A20">
        <w:rPr>
          <w:rFonts w:ascii="Arial Narrow" w:hAnsi="Arial Narrow"/>
          <w:lang w:val="bg-BG" w:eastAsia="bg-BG"/>
        </w:rPr>
        <w:t xml:space="preserve">656 942 </w:t>
      </w:r>
      <w:r w:rsidRPr="008D6BBB">
        <w:rPr>
          <w:rFonts w:ascii="Arial Narrow" w:hAnsi="Arial Narrow"/>
          <w:lang w:val="bg-BG" w:eastAsia="bg-BG"/>
        </w:rPr>
        <w:t xml:space="preserve">лева. </w:t>
      </w:r>
    </w:p>
    <w:p w14:paraId="742B041B" w14:textId="77777777" w:rsidR="008D6BBB" w:rsidRPr="008D6BBB" w:rsidRDefault="008D6BBB" w:rsidP="008D6BBB">
      <w:pPr>
        <w:spacing w:after="120"/>
        <w:ind w:firstLine="720"/>
        <w:jc w:val="both"/>
        <w:rPr>
          <w:rFonts w:ascii="Arial Narrow" w:hAnsi="Arial Narrow"/>
          <w:b/>
          <w:lang w:val="bg-BG" w:eastAsia="bg-BG"/>
        </w:rPr>
      </w:pPr>
      <w:r w:rsidRPr="008D6BBB">
        <w:rPr>
          <w:rFonts w:ascii="Arial Narrow" w:hAnsi="Arial Narrow"/>
          <w:b/>
          <w:lang w:val="bg-BG" w:eastAsia="bg-BG"/>
        </w:rPr>
        <w:t>Подмярка 16.4. „Подкрепа за хоризонтално и вертикално сътрудничество между участниците във веригата на доставки“</w:t>
      </w:r>
    </w:p>
    <w:p w14:paraId="314984E2" w14:textId="77777777" w:rsidR="008D6BBB" w:rsidRPr="008D6BBB" w:rsidRDefault="008D6BBB" w:rsidP="008D6BBB">
      <w:pPr>
        <w:spacing w:after="120"/>
        <w:ind w:firstLine="720"/>
        <w:jc w:val="both"/>
        <w:rPr>
          <w:rFonts w:ascii="Arial Narrow" w:hAnsi="Arial Narrow"/>
          <w:lang w:val="bg-BG" w:eastAsia="bg-BG"/>
        </w:rPr>
      </w:pPr>
      <w:r w:rsidRPr="008D6BBB">
        <w:rPr>
          <w:rFonts w:ascii="Arial Narrow" w:hAnsi="Arial Narrow"/>
          <w:lang w:val="bg-BG" w:eastAsia="bg-BG"/>
        </w:rPr>
        <w:t>Подпомагането по Подмярка 16.4 се предоставя за създаване и развитие на къси вериги на доставка и на местни пазари. То обхваща само вериги, които включват не повече от един посредник между земеделския стопанин и потребителя. Местни пазари са тези в радиус до 75 км от стопанството на произход, на която територия трябва да се осъществяват както преработката на продукта, така и продажбата му на крайния потребител.</w:t>
      </w:r>
    </w:p>
    <w:p w14:paraId="6C7B9C5A" w14:textId="77777777" w:rsidR="008D6BBB" w:rsidRPr="008D6BBB" w:rsidRDefault="008D6BBB" w:rsidP="008D6BBB">
      <w:pPr>
        <w:spacing w:after="120"/>
        <w:ind w:firstLine="720"/>
        <w:jc w:val="both"/>
        <w:rPr>
          <w:rFonts w:ascii="Arial Narrow" w:hAnsi="Arial Narrow"/>
          <w:lang w:val="bg-BG" w:eastAsia="bg-BG"/>
        </w:rPr>
      </w:pPr>
      <w:r w:rsidRPr="008D6BBB">
        <w:rPr>
          <w:rFonts w:ascii="Arial Narrow" w:hAnsi="Arial Narrow"/>
          <w:lang w:val="bg-BG" w:eastAsia="bg-BG"/>
        </w:rPr>
        <w:t>Към 31.12.2024 г. по подмярката се изпълняват 4 административни договора, по които през 2024 г. са извършени плащания в размер на 20 565 лева.</w:t>
      </w:r>
    </w:p>
    <w:p w14:paraId="5D2A291F" w14:textId="77777777" w:rsidR="008D6BBB" w:rsidRPr="008D6BBB" w:rsidRDefault="008D6BBB" w:rsidP="008D6BBB">
      <w:pPr>
        <w:spacing w:after="120"/>
        <w:ind w:firstLine="720"/>
        <w:jc w:val="both"/>
        <w:rPr>
          <w:rFonts w:ascii="Arial Narrow" w:hAnsi="Arial Narrow"/>
          <w:b/>
          <w:lang w:val="bg-BG" w:eastAsia="bg-BG"/>
        </w:rPr>
      </w:pPr>
      <w:bookmarkStart w:id="118" w:name="_Toc201928060"/>
      <w:r w:rsidRPr="008D6BBB">
        <w:rPr>
          <w:rFonts w:ascii="Arial Narrow" w:hAnsi="Arial Narrow"/>
          <w:b/>
          <w:lang w:val="bg-BG" w:eastAsia="bg-BG"/>
        </w:rPr>
        <w:t>Мярка 19 „Водено от общностите местно развитие“</w:t>
      </w:r>
      <w:bookmarkEnd w:id="118"/>
    </w:p>
    <w:p w14:paraId="357870FD" w14:textId="77777777" w:rsidR="008D6BBB" w:rsidRPr="008D6BBB" w:rsidRDefault="008D6BBB" w:rsidP="008D6BBB">
      <w:pPr>
        <w:spacing w:after="120"/>
        <w:ind w:firstLine="720"/>
        <w:jc w:val="both"/>
        <w:rPr>
          <w:rFonts w:ascii="Arial Narrow" w:hAnsi="Arial Narrow"/>
          <w:lang w:val="bg-BG" w:eastAsia="bg-BG"/>
        </w:rPr>
      </w:pPr>
      <w:r w:rsidRPr="008D6BBB">
        <w:rPr>
          <w:rFonts w:ascii="Arial Narrow" w:hAnsi="Arial Narrow"/>
          <w:lang w:val="bg-BG" w:eastAsia="bg-BG"/>
        </w:rPr>
        <w:t>Подпомагането по мярка 19 „Водено от общностите местно развитие“ е насочено към стимулиране на местното развитие в селските райони чрез финансиране от ПРСР, ОПИК, ОПРЧР, ОПОС, ОПНОИР по един или по няколко приоритета на относимата програма или програми, съобразено с правилата за използване на съответните фондове. Воденото от общностите местно развитие се извършва чрез интегрирани и многосекторни стратегии за местно развитие, основани на характеристиките на конкретната територия и разработени въз основа на местните потребности и потенциал.</w:t>
      </w:r>
    </w:p>
    <w:p w14:paraId="689374DF" w14:textId="77777777" w:rsidR="008D6BBB" w:rsidRPr="008D6BBB" w:rsidRDefault="008D6BBB" w:rsidP="008D6BBB">
      <w:pPr>
        <w:spacing w:after="120"/>
        <w:ind w:firstLine="720"/>
        <w:jc w:val="both"/>
        <w:rPr>
          <w:rFonts w:ascii="Arial Narrow" w:hAnsi="Arial Narrow"/>
          <w:lang w:val="bg-BG" w:eastAsia="bg-BG"/>
        </w:rPr>
      </w:pPr>
      <w:r w:rsidRPr="008D6BBB">
        <w:rPr>
          <w:rFonts w:ascii="Arial Narrow" w:hAnsi="Arial Narrow"/>
          <w:lang w:val="bg-BG" w:eastAsia="bg-BG"/>
        </w:rPr>
        <w:t>В програмния период 2014-2020 г. подходът LEADER/ВОМР включва 64 местни инициативни групи, обхващащи 117 общини с територия 53 828 кв. км и с население от 1 646 496 души.</w:t>
      </w:r>
    </w:p>
    <w:p w14:paraId="7BF77C7B" w14:textId="77777777" w:rsidR="008D6BBB" w:rsidRPr="008D6BBB" w:rsidRDefault="008D6BBB" w:rsidP="008D6BBB">
      <w:pPr>
        <w:spacing w:after="120"/>
        <w:ind w:firstLine="720"/>
        <w:jc w:val="both"/>
        <w:rPr>
          <w:rFonts w:ascii="Arial Narrow" w:hAnsi="Arial Narrow"/>
          <w:lang w:val="bg-BG" w:eastAsia="bg-BG"/>
        </w:rPr>
      </w:pPr>
      <w:r w:rsidRPr="008D6BBB">
        <w:rPr>
          <w:rFonts w:ascii="Arial Narrow" w:hAnsi="Arial Narrow"/>
          <w:lang w:val="bg-BG" w:eastAsia="bg-BG"/>
        </w:rPr>
        <w:t>Подкрепата за Воденото от общностите местно развитие се предоставя чрез прилагането на четири подмерки - подмярка 19.1 „Помощ за подготвителни дейности”; подмярка 19.2 „Прилагане на операции в рамките на стратегии за Водено от общностите местно развитие”; подмярка 19.3 „Подготовка и изпълнение на дейности за сътрудничество на МИГ“ и подмярка 19.4 „Текущи разходи и популяризиране на стратегия за водено от общностите местно развитие“.</w:t>
      </w:r>
    </w:p>
    <w:p w14:paraId="606F62FB" w14:textId="77777777" w:rsidR="008D6BBB" w:rsidRPr="008D6BBB" w:rsidRDefault="008D6BBB" w:rsidP="008D6BBB">
      <w:pPr>
        <w:spacing w:after="120"/>
        <w:ind w:firstLine="720"/>
        <w:jc w:val="both"/>
        <w:rPr>
          <w:rFonts w:ascii="Arial Narrow" w:hAnsi="Arial Narrow"/>
          <w:b/>
          <w:lang w:val="bg-BG" w:eastAsia="bg-BG"/>
        </w:rPr>
      </w:pPr>
      <w:r w:rsidRPr="008D6BBB">
        <w:rPr>
          <w:rFonts w:ascii="Arial Narrow" w:hAnsi="Arial Narrow"/>
          <w:b/>
          <w:lang w:val="bg-BG" w:eastAsia="bg-BG"/>
        </w:rPr>
        <w:t>Подмярка 19.1 „Помощ за подготвителни дейности”</w:t>
      </w:r>
    </w:p>
    <w:p w14:paraId="2C353165" w14:textId="77777777" w:rsidR="008D6BBB" w:rsidRPr="008D6BBB" w:rsidRDefault="008D6BBB" w:rsidP="008D6BBB">
      <w:pPr>
        <w:spacing w:after="120"/>
        <w:ind w:firstLine="720"/>
        <w:jc w:val="both"/>
        <w:rPr>
          <w:rFonts w:ascii="Arial Narrow" w:hAnsi="Arial Narrow"/>
          <w:lang w:val="bg-BG" w:eastAsia="bg-BG"/>
        </w:rPr>
      </w:pPr>
      <w:r w:rsidRPr="008D6BBB">
        <w:rPr>
          <w:rFonts w:ascii="Arial Narrow" w:hAnsi="Arial Narrow"/>
          <w:lang w:val="bg-BG" w:eastAsia="bg-BG"/>
        </w:rPr>
        <w:t>Към края на 2024 г. подмярка 19.1 „Помощ за подготвителни дейности“ е напълно приключена с ясно изразена подготвителна роля в рамките на ПРСР 2014–2020 г. Мярката стартира през 2015 г. с два приема, по които са сключени 100 договора за финансова помощ на стойност около 5 085 000 лева.  Обхванати са 180 общини с население от над 2,3 млн. души и територия от 74,4 хил. кв. км – около 78% от селските райони в страната. В резултат на изпълнението са организирани над 1 200 публични събития, които допринасят за мобилизация на местни партньорства и изграждане на капацитет.</w:t>
      </w:r>
    </w:p>
    <w:p w14:paraId="0FB4ACFC" w14:textId="77777777" w:rsidR="008D6BBB" w:rsidRPr="008D6BBB" w:rsidRDefault="008D6BBB" w:rsidP="008D6BBB">
      <w:pPr>
        <w:spacing w:after="120"/>
        <w:ind w:firstLine="720"/>
        <w:jc w:val="both"/>
        <w:rPr>
          <w:rFonts w:ascii="Arial Narrow" w:hAnsi="Arial Narrow"/>
          <w:lang w:val="bg-BG" w:eastAsia="bg-BG"/>
        </w:rPr>
      </w:pPr>
      <w:r w:rsidRPr="008D6BBB">
        <w:rPr>
          <w:rFonts w:ascii="Arial Narrow" w:hAnsi="Arial Narrow"/>
          <w:lang w:val="bg-BG" w:eastAsia="bg-BG"/>
        </w:rPr>
        <w:t xml:space="preserve">Всички проекти по подмярката са изпълнени. Общата стойност на изплатената безвъзмездна финансова помощ по подготвителните дейности достига 9 708 028 лева. През 2024 г. са извършени плащания в размер на 1 516 999 лева. </w:t>
      </w:r>
    </w:p>
    <w:p w14:paraId="215D095A" w14:textId="77777777" w:rsidR="008D6BBB" w:rsidRPr="008D6BBB" w:rsidRDefault="008D6BBB" w:rsidP="008D6BBB">
      <w:pPr>
        <w:spacing w:after="120"/>
        <w:ind w:firstLine="720"/>
        <w:jc w:val="both"/>
        <w:rPr>
          <w:rFonts w:ascii="Arial Narrow" w:hAnsi="Arial Narrow"/>
          <w:b/>
          <w:lang w:val="bg-BG" w:eastAsia="bg-BG"/>
        </w:rPr>
      </w:pPr>
      <w:r w:rsidRPr="008D6BBB">
        <w:rPr>
          <w:rFonts w:ascii="Arial Narrow" w:hAnsi="Arial Narrow"/>
          <w:b/>
          <w:lang w:val="bg-BG" w:eastAsia="bg-BG"/>
        </w:rPr>
        <w:t>Подмярка 19.2. „Прилагане на операции в рамките на стратегии за Водено от общностите местно развитие”</w:t>
      </w:r>
    </w:p>
    <w:p w14:paraId="093C9851" w14:textId="77777777" w:rsidR="008D6BBB" w:rsidRPr="008D6BBB" w:rsidRDefault="008D6BBB" w:rsidP="008D6BBB">
      <w:pPr>
        <w:spacing w:after="120"/>
        <w:ind w:firstLine="720"/>
        <w:jc w:val="both"/>
        <w:rPr>
          <w:rFonts w:ascii="Arial Narrow" w:hAnsi="Arial Narrow"/>
          <w:lang w:val="bg-BG" w:eastAsia="bg-BG"/>
        </w:rPr>
      </w:pPr>
      <w:r w:rsidRPr="008D6BBB">
        <w:rPr>
          <w:rFonts w:ascii="Arial Narrow" w:hAnsi="Arial Narrow"/>
          <w:lang w:val="bg-BG" w:eastAsia="bg-BG"/>
        </w:rPr>
        <w:t xml:space="preserve">Към края на 2024 г. подмярка 19.2 „Прилагане на операции в рамките на стратегии за Водено от общностите местно развитие (ВОМР)“ е в напреднал етап на изпълнение. Нейната цел е да разшири </w:t>
      </w:r>
      <w:r w:rsidRPr="008D6BBB">
        <w:rPr>
          <w:rFonts w:ascii="Arial Narrow" w:hAnsi="Arial Narrow"/>
          <w:lang w:val="bg-BG" w:eastAsia="bg-BG"/>
        </w:rPr>
        <w:lastRenderedPageBreak/>
        <w:t xml:space="preserve">подкрепата към селските райони чрез финансиране на проекти, подбрани и управлявани от местни партньорства в рамките на ВОМР. Одобрените по подмярката 64 МИГ покриват 117 общини, територия от 53,8 хил. кв. км и население от 1,65 млн. души. Еднофондови са 25 от изпълняваните стратегии, а многофондови са 39 от тях. </w:t>
      </w:r>
    </w:p>
    <w:p w14:paraId="74AC0E00" w14:textId="77777777" w:rsidR="008D6BBB" w:rsidRPr="008D6BBB" w:rsidRDefault="008D6BBB" w:rsidP="008D6BBB">
      <w:pPr>
        <w:spacing w:after="120"/>
        <w:ind w:firstLine="720"/>
        <w:jc w:val="both"/>
        <w:rPr>
          <w:rFonts w:ascii="Arial Narrow" w:hAnsi="Arial Narrow"/>
          <w:lang w:val="bg-BG" w:eastAsia="bg-BG"/>
        </w:rPr>
      </w:pPr>
      <w:r w:rsidRPr="008D6BBB">
        <w:rPr>
          <w:rFonts w:ascii="Arial Narrow" w:hAnsi="Arial Narrow"/>
          <w:lang w:val="bg-BG" w:eastAsia="bg-BG"/>
        </w:rPr>
        <w:t>Към 31.12.2024 г. по подмярката са сключени 2 271 договора с обща стойност на безвъзмездната финансова помощ 221 666 099 лева. Сключените през 2024 г. договори са 362, с общ размер на одобрената субсидия 34 540 658 лева.</w:t>
      </w:r>
    </w:p>
    <w:p w14:paraId="07A20725" w14:textId="77777777" w:rsidR="008D6BBB" w:rsidRPr="008D6BBB" w:rsidRDefault="008D6BBB" w:rsidP="008D6BBB">
      <w:pPr>
        <w:spacing w:after="120"/>
        <w:ind w:firstLine="720"/>
        <w:jc w:val="both"/>
        <w:rPr>
          <w:rFonts w:ascii="Arial Narrow" w:hAnsi="Arial Narrow"/>
          <w:lang w:val="bg-BG" w:eastAsia="bg-BG"/>
        </w:rPr>
      </w:pPr>
      <w:r w:rsidRPr="008D6BBB">
        <w:rPr>
          <w:rFonts w:ascii="Arial Narrow" w:hAnsi="Arial Narrow"/>
          <w:lang w:val="bg-BG" w:eastAsia="bg-BG"/>
        </w:rPr>
        <w:t xml:space="preserve">Общо за периода на прилагане на ПРСР 2014-2020 г. до края на 2024 г. са разплатени 133 392 288 лева. Плащанията през 2024 г. възлизат на </w:t>
      </w:r>
      <w:r w:rsidR="005D5A20" w:rsidRPr="005D5A20">
        <w:rPr>
          <w:rFonts w:ascii="Arial Narrow" w:hAnsi="Arial Narrow"/>
          <w:lang w:val="bg-BG" w:eastAsia="bg-BG"/>
        </w:rPr>
        <w:t xml:space="preserve">52 297 641 </w:t>
      </w:r>
      <w:r w:rsidRPr="008D6BBB">
        <w:rPr>
          <w:rFonts w:ascii="Arial Narrow" w:hAnsi="Arial Narrow"/>
          <w:lang w:val="bg-BG" w:eastAsia="bg-BG"/>
        </w:rPr>
        <w:t xml:space="preserve">лева, а за първите пет месеца на 2025 г. - на </w:t>
      </w:r>
      <w:r w:rsidR="005D5A20" w:rsidRPr="005D5A20">
        <w:rPr>
          <w:rFonts w:ascii="Arial Narrow" w:hAnsi="Arial Narrow"/>
          <w:lang w:val="bg-BG" w:eastAsia="bg-BG"/>
        </w:rPr>
        <w:t xml:space="preserve">11 175 643 </w:t>
      </w:r>
      <w:r w:rsidRPr="008D6BBB">
        <w:rPr>
          <w:rFonts w:ascii="Arial Narrow" w:hAnsi="Arial Narrow"/>
          <w:lang w:val="bg-BG" w:eastAsia="bg-BG"/>
        </w:rPr>
        <w:t xml:space="preserve">лева. </w:t>
      </w:r>
    </w:p>
    <w:p w14:paraId="6DF8D4B4" w14:textId="77777777" w:rsidR="008D6BBB" w:rsidRPr="008D6BBB" w:rsidRDefault="008D6BBB" w:rsidP="008D6BBB">
      <w:pPr>
        <w:spacing w:after="120"/>
        <w:ind w:firstLine="720"/>
        <w:jc w:val="both"/>
        <w:rPr>
          <w:rFonts w:ascii="Arial Narrow" w:hAnsi="Arial Narrow"/>
          <w:b/>
          <w:lang w:val="bg-BG" w:eastAsia="bg-BG"/>
        </w:rPr>
      </w:pPr>
      <w:r w:rsidRPr="008D6BBB">
        <w:rPr>
          <w:rFonts w:ascii="Arial Narrow" w:hAnsi="Arial Narrow"/>
          <w:b/>
          <w:lang w:val="bg-BG" w:eastAsia="bg-BG"/>
        </w:rPr>
        <w:t>Подмярка 19.3. „Подготовка и изпълнение на дейности за сътрудничество на МИГ“</w:t>
      </w:r>
    </w:p>
    <w:p w14:paraId="7E04FB6B" w14:textId="77777777" w:rsidR="008D6BBB" w:rsidRPr="008D6BBB" w:rsidRDefault="008D6BBB" w:rsidP="008D6BBB">
      <w:pPr>
        <w:spacing w:after="120"/>
        <w:ind w:firstLine="720"/>
        <w:jc w:val="both"/>
        <w:rPr>
          <w:rFonts w:ascii="Arial Narrow" w:hAnsi="Arial Narrow"/>
          <w:lang w:val="bg-BG" w:eastAsia="bg-BG"/>
        </w:rPr>
      </w:pPr>
      <w:r w:rsidRPr="008D6BBB">
        <w:rPr>
          <w:rFonts w:ascii="Arial Narrow" w:hAnsi="Arial Narrow"/>
          <w:lang w:val="bg-BG" w:eastAsia="bg-BG"/>
        </w:rPr>
        <w:t xml:space="preserve">Подмярка 19.3 „Подготовка и изпълнение на дейности за сътрудничество на МИГ“ е една от специфичните мерки, насочени към изграждане на капацитет за партньорство и транснационално сътрудничество в селските райони в рамките на ПРСР 2014-2020 г. и изпълнението й приключва в края на 2024 г. Тя има за цел да подпомогне МИГ при реализиране на съвместни вътрешни и транснационални проекти, които укрепват стратегическото взаимодействие между региони и страни. </w:t>
      </w:r>
    </w:p>
    <w:p w14:paraId="202E25CB" w14:textId="77777777" w:rsidR="008D6BBB" w:rsidRPr="008D6BBB" w:rsidRDefault="008D6BBB" w:rsidP="008D6BBB">
      <w:pPr>
        <w:spacing w:after="120"/>
        <w:ind w:firstLine="720"/>
        <w:jc w:val="both"/>
        <w:rPr>
          <w:rFonts w:ascii="Arial Narrow" w:hAnsi="Arial Narrow"/>
          <w:lang w:val="bg-BG" w:eastAsia="bg-BG"/>
        </w:rPr>
      </w:pPr>
      <w:r w:rsidRPr="008D6BBB">
        <w:rPr>
          <w:rFonts w:ascii="Arial Narrow" w:hAnsi="Arial Narrow"/>
          <w:lang w:val="bg-BG" w:eastAsia="bg-BG"/>
        </w:rPr>
        <w:t xml:space="preserve">За целия период на прилагането й до 31.12.2024 г. по подмярката са разплатени 6 180 970 лева, от които през 2024 г. - 2 019 255 лева. За периода м. януари – м. май 2025 г. са извършени плащания в размер на 137 500 лева. </w:t>
      </w:r>
    </w:p>
    <w:p w14:paraId="256CA235" w14:textId="77777777" w:rsidR="008D6BBB" w:rsidRPr="008D6BBB" w:rsidRDefault="008D6BBB" w:rsidP="008D6BBB">
      <w:pPr>
        <w:spacing w:after="120"/>
        <w:ind w:firstLine="720"/>
        <w:jc w:val="both"/>
        <w:rPr>
          <w:rFonts w:ascii="Arial Narrow" w:hAnsi="Arial Narrow"/>
          <w:b/>
          <w:lang w:val="bg-BG" w:eastAsia="bg-BG"/>
        </w:rPr>
      </w:pPr>
      <w:r w:rsidRPr="008D6BBB">
        <w:rPr>
          <w:rFonts w:ascii="Arial Narrow" w:hAnsi="Arial Narrow"/>
          <w:b/>
          <w:lang w:val="bg-BG" w:eastAsia="bg-BG"/>
        </w:rPr>
        <w:t>Подмярка 19.4. „Текущи разходи и популяризиране на стратегия за водено от общностите местно развитие“</w:t>
      </w:r>
    </w:p>
    <w:p w14:paraId="53978D57" w14:textId="77777777" w:rsidR="008D6BBB" w:rsidRPr="008D6BBB" w:rsidRDefault="008D6BBB" w:rsidP="008D6BBB">
      <w:pPr>
        <w:spacing w:after="120"/>
        <w:ind w:firstLine="720"/>
        <w:jc w:val="both"/>
        <w:rPr>
          <w:rFonts w:ascii="Arial Narrow" w:hAnsi="Arial Narrow"/>
          <w:lang w:val="bg-BG" w:eastAsia="bg-BG"/>
        </w:rPr>
      </w:pPr>
      <w:r w:rsidRPr="008D6BBB">
        <w:rPr>
          <w:rFonts w:ascii="Arial Narrow" w:hAnsi="Arial Narrow"/>
          <w:lang w:val="bg-BG" w:eastAsia="bg-BG"/>
        </w:rPr>
        <w:t xml:space="preserve">Подмярката има за цел да допринесе за развитието на МИГ като силни и ефикасно действащи партньорства и оперативни структури, като ги обезпечи с необходимия финансов ресурс за ефективното изпълнение на стратегиите за местно развитие и тяхното популяризиране. </w:t>
      </w:r>
    </w:p>
    <w:p w14:paraId="78162462" w14:textId="77777777" w:rsidR="008D6BBB" w:rsidRPr="008D6BBB" w:rsidRDefault="008D6BBB" w:rsidP="008D6BBB">
      <w:pPr>
        <w:spacing w:after="120"/>
        <w:ind w:firstLine="720"/>
        <w:jc w:val="both"/>
        <w:rPr>
          <w:rFonts w:ascii="Arial Narrow" w:hAnsi="Arial Narrow"/>
          <w:lang w:val="bg-BG" w:eastAsia="bg-BG"/>
        </w:rPr>
      </w:pPr>
      <w:r w:rsidRPr="008D6BBB">
        <w:rPr>
          <w:rFonts w:ascii="Arial Narrow" w:hAnsi="Arial Narrow"/>
          <w:lang w:val="bg-BG" w:eastAsia="bg-BG"/>
        </w:rPr>
        <w:t xml:space="preserve">От началото на прилагането на подмярка 19.4 до края на 2024 г. са разплатени 63 599 025 лева. През 2024 г. са осъществени плащания в размер на </w:t>
      </w:r>
      <w:r w:rsidR="004E3941" w:rsidRPr="004E3941">
        <w:rPr>
          <w:rFonts w:ascii="Arial Narrow" w:hAnsi="Arial Narrow"/>
          <w:lang w:val="bg-BG" w:eastAsia="bg-BG"/>
        </w:rPr>
        <w:t xml:space="preserve">6 907 149 </w:t>
      </w:r>
      <w:r w:rsidRPr="008D6BBB">
        <w:rPr>
          <w:rFonts w:ascii="Arial Narrow" w:hAnsi="Arial Narrow"/>
          <w:lang w:val="bg-BG" w:eastAsia="bg-BG"/>
        </w:rPr>
        <w:t xml:space="preserve">лева, а през първите пет месеца на 2025 г. – в размер на 4 962 601 лева. </w:t>
      </w:r>
      <w:bookmarkStart w:id="119" w:name="_Toc201928061"/>
    </w:p>
    <w:p w14:paraId="047EC562" w14:textId="77777777" w:rsidR="008D6BBB" w:rsidRPr="008D6BBB" w:rsidRDefault="008D6BBB" w:rsidP="008D6BBB">
      <w:pPr>
        <w:spacing w:after="120"/>
        <w:ind w:firstLine="720"/>
        <w:jc w:val="both"/>
        <w:rPr>
          <w:rFonts w:ascii="Arial Narrow" w:hAnsi="Arial Narrow"/>
          <w:b/>
          <w:lang w:val="bg-BG" w:eastAsia="bg-BG"/>
        </w:rPr>
      </w:pPr>
      <w:r w:rsidRPr="008D6BBB">
        <w:rPr>
          <w:rFonts w:ascii="Arial Narrow" w:hAnsi="Arial Narrow"/>
          <w:b/>
          <w:lang w:val="bg-BG" w:eastAsia="bg-BG"/>
        </w:rPr>
        <w:t>Мярка 21 „Извънредно временно подпомагане за земеделските стопани и МСП, които са особено засегнати от кризата, предизвикана от COVID-19</w:t>
      </w:r>
      <w:bookmarkEnd w:id="119"/>
      <w:r w:rsidRPr="008D6BBB">
        <w:rPr>
          <w:rFonts w:ascii="Arial Narrow" w:hAnsi="Arial Narrow"/>
          <w:b/>
          <w:lang w:val="bg-BG" w:eastAsia="bg-BG"/>
        </w:rPr>
        <w:t>“</w:t>
      </w:r>
      <w:r w:rsidRPr="008D6BBB">
        <w:rPr>
          <w:rFonts w:ascii="Arial Narrow" w:hAnsi="Arial Narrow"/>
          <w:b/>
          <w:bCs/>
          <w:lang w:val="bg-BG" w:eastAsia="bg-BG"/>
        </w:rPr>
        <w:t xml:space="preserve"> </w:t>
      </w:r>
    </w:p>
    <w:p w14:paraId="0E66E4CC" w14:textId="77777777" w:rsidR="008D6BBB" w:rsidRPr="008D6BBB" w:rsidRDefault="008D6BBB" w:rsidP="008D6BBB">
      <w:pPr>
        <w:spacing w:after="120"/>
        <w:ind w:firstLine="720"/>
        <w:jc w:val="both"/>
        <w:rPr>
          <w:rFonts w:ascii="Arial Narrow" w:hAnsi="Arial Narrow"/>
          <w:lang w:val="bg-BG" w:eastAsia="bg-BG"/>
        </w:rPr>
      </w:pPr>
      <w:r w:rsidRPr="008D6BBB">
        <w:rPr>
          <w:rFonts w:ascii="Arial Narrow" w:hAnsi="Arial Narrow"/>
          <w:lang w:val="bg-BG" w:eastAsia="bg-BG"/>
        </w:rPr>
        <w:t xml:space="preserve">Към края на 2024 г. мярката е напълно приключена финансово и административно. Въведена през м. юли 2020 г. с осмото изменение на ПРСР 2014-2020 г., тя включва три подмерки - за земеделски стопани, за МСП и признати групи и организации на производители. Целта </w:t>
      </w:r>
      <w:r w:rsidRPr="008D6BBB">
        <w:rPr>
          <w:rFonts w:ascii="Calibri" w:hAnsi="Calibri" w:cs="Calibri"/>
          <w:lang w:val="bg-BG" w:eastAsia="bg-BG"/>
        </w:rPr>
        <w:t>ѝ</w:t>
      </w:r>
      <w:r w:rsidRPr="008D6BBB">
        <w:rPr>
          <w:rFonts w:ascii="Arial Narrow" w:hAnsi="Arial Narrow"/>
          <w:lang w:val="bg-BG" w:eastAsia="bg-BG"/>
        </w:rPr>
        <w:t xml:space="preserve"> </w:t>
      </w:r>
      <w:r w:rsidRPr="008D6BBB">
        <w:rPr>
          <w:rFonts w:ascii="Arial Narrow" w:hAnsi="Arial Narrow" w:cs="Arial Narrow"/>
          <w:lang w:val="bg-BG" w:eastAsia="bg-BG"/>
        </w:rPr>
        <w:t>е</w:t>
      </w:r>
      <w:r w:rsidRPr="008D6BBB">
        <w:rPr>
          <w:rFonts w:ascii="Arial Narrow" w:hAnsi="Arial Narrow"/>
          <w:lang w:val="bg-BG" w:eastAsia="bg-BG"/>
        </w:rPr>
        <w:t xml:space="preserve"> </w:t>
      </w:r>
      <w:r w:rsidRPr="008D6BBB">
        <w:rPr>
          <w:rFonts w:ascii="Arial Narrow" w:hAnsi="Arial Narrow" w:cs="Arial Narrow"/>
          <w:lang w:val="bg-BG" w:eastAsia="bg-BG"/>
        </w:rPr>
        <w:t>да</w:t>
      </w:r>
      <w:r w:rsidRPr="008D6BBB">
        <w:rPr>
          <w:rFonts w:ascii="Arial Narrow" w:hAnsi="Arial Narrow"/>
          <w:lang w:val="bg-BG" w:eastAsia="bg-BG"/>
        </w:rPr>
        <w:t xml:space="preserve"> </w:t>
      </w:r>
      <w:r w:rsidRPr="008D6BBB">
        <w:rPr>
          <w:rFonts w:ascii="Arial Narrow" w:hAnsi="Arial Narrow" w:cs="Arial Narrow"/>
          <w:lang w:val="bg-BG" w:eastAsia="bg-BG"/>
        </w:rPr>
        <w:t>осигури</w:t>
      </w:r>
      <w:r w:rsidRPr="008D6BBB">
        <w:rPr>
          <w:rFonts w:ascii="Arial Narrow" w:hAnsi="Arial Narrow"/>
          <w:lang w:val="bg-BG" w:eastAsia="bg-BG"/>
        </w:rPr>
        <w:t xml:space="preserve"> </w:t>
      </w:r>
      <w:r w:rsidRPr="008D6BBB">
        <w:rPr>
          <w:rFonts w:ascii="Arial Narrow" w:hAnsi="Arial Narrow" w:cs="Arial Narrow"/>
          <w:lang w:val="bg-BG" w:eastAsia="bg-BG"/>
        </w:rPr>
        <w:t>еднократна</w:t>
      </w:r>
      <w:r w:rsidRPr="008D6BBB">
        <w:rPr>
          <w:rFonts w:ascii="Arial Narrow" w:hAnsi="Arial Narrow"/>
          <w:lang w:val="bg-BG" w:eastAsia="bg-BG"/>
        </w:rPr>
        <w:t xml:space="preserve"> </w:t>
      </w:r>
      <w:r w:rsidRPr="008D6BBB">
        <w:rPr>
          <w:rFonts w:ascii="Arial Narrow" w:hAnsi="Arial Narrow" w:cs="Arial Narrow"/>
          <w:lang w:val="bg-BG" w:eastAsia="bg-BG"/>
        </w:rPr>
        <w:t>подкрепа</w:t>
      </w:r>
      <w:r w:rsidRPr="008D6BBB">
        <w:rPr>
          <w:rFonts w:ascii="Arial Narrow" w:hAnsi="Arial Narrow"/>
          <w:lang w:val="bg-BG" w:eastAsia="bg-BG"/>
        </w:rPr>
        <w:t xml:space="preserve"> </w:t>
      </w:r>
      <w:r w:rsidRPr="008D6BBB">
        <w:rPr>
          <w:rFonts w:ascii="Arial Narrow" w:hAnsi="Arial Narrow" w:cs="Arial Narrow"/>
          <w:lang w:val="bg-BG" w:eastAsia="bg-BG"/>
        </w:rPr>
        <w:t>за</w:t>
      </w:r>
      <w:r w:rsidRPr="008D6BBB">
        <w:rPr>
          <w:rFonts w:ascii="Arial Narrow" w:hAnsi="Arial Narrow"/>
          <w:lang w:val="bg-BG" w:eastAsia="bg-BG"/>
        </w:rPr>
        <w:t xml:space="preserve"> </w:t>
      </w:r>
      <w:r w:rsidRPr="008D6BBB">
        <w:rPr>
          <w:rFonts w:ascii="Arial Narrow" w:hAnsi="Arial Narrow" w:cs="Arial Narrow"/>
          <w:lang w:val="bg-BG" w:eastAsia="bg-BG"/>
        </w:rPr>
        <w:t>справяне</w:t>
      </w:r>
      <w:r w:rsidRPr="008D6BBB">
        <w:rPr>
          <w:rFonts w:ascii="Arial Narrow" w:hAnsi="Arial Narrow"/>
          <w:lang w:val="bg-BG" w:eastAsia="bg-BG"/>
        </w:rPr>
        <w:t xml:space="preserve"> </w:t>
      </w:r>
      <w:r w:rsidRPr="008D6BBB">
        <w:rPr>
          <w:rFonts w:ascii="Arial Narrow" w:hAnsi="Arial Narrow" w:cs="Arial Narrow"/>
          <w:lang w:val="bg-BG" w:eastAsia="bg-BG"/>
        </w:rPr>
        <w:t>с</w:t>
      </w:r>
      <w:r w:rsidRPr="008D6BBB">
        <w:rPr>
          <w:rFonts w:ascii="Arial Narrow" w:hAnsi="Arial Narrow"/>
          <w:lang w:val="bg-BG" w:eastAsia="bg-BG"/>
        </w:rPr>
        <w:t xml:space="preserve"> </w:t>
      </w:r>
      <w:r w:rsidRPr="008D6BBB">
        <w:rPr>
          <w:rFonts w:ascii="Arial Narrow" w:hAnsi="Arial Narrow" w:cs="Arial Narrow"/>
          <w:lang w:val="bg-BG" w:eastAsia="bg-BG"/>
        </w:rPr>
        <w:t>икономическите</w:t>
      </w:r>
      <w:r w:rsidRPr="008D6BBB">
        <w:rPr>
          <w:rFonts w:ascii="Arial Narrow" w:hAnsi="Arial Narrow"/>
          <w:lang w:val="bg-BG" w:eastAsia="bg-BG"/>
        </w:rPr>
        <w:t xml:space="preserve"> </w:t>
      </w:r>
      <w:r w:rsidRPr="008D6BBB">
        <w:rPr>
          <w:rFonts w:ascii="Arial Narrow" w:hAnsi="Arial Narrow" w:cs="Arial Narrow"/>
          <w:lang w:val="bg-BG" w:eastAsia="bg-BG"/>
        </w:rPr>
        <w:t>последици</w:t>
      </w:r>
      <w:r w:rsidRPr="008D6BBB">
        <w:rPr>
          <w:rFonts w:ascii="Arial Narrow" w:hAnsi="Arial Narrow"/>
          <w:lang w:val="bg-BG" w:eastAsia="bg-BG"/>
        </w:rPr>
        <w:t xml:space="preserve"> </w:t>
      </w:r>
      <w:r w:rsidRPr="008D6BBB">
        <w:rPr>
          <w:rFonts w:ascii="Arial Narrow" w:hAnsi="Arial Narrow" w:cs="Arial Narrow"/>
          <w:lang w:val="bg-BG" w:eastAsia="bg-BG"/>
        </w:rPr>
        <w:t>от</w:t>
      </w:r>
      <w:r w:rsidRPr="008D6BBB">
        <w:rPr>
          <w:rFonts w:ascii="Arial Narrow" w:hAnsi="Arial Narrow"/>
          <w:lang w:val="bg-BG" w:eastAsia="bg-BG"/>
        </w:rPr>
        <w:t xml:space="preserve"> </w:t>
      </w:r>
      <w:r w:rsidRPr="008D6BBB">
        <w:rPr>
          <w:rFonts w:ascii="Arial Narrow" w:hAnsi="Arial Narrow" w:cs="Arial Narrow"/>
          <w:lang w:val="bg-BG" w:eastAsia="bg-BG"/>
        </w:rPr>
        <w:t>пандемията от COVID-19</w:t>
      </w:r>
      <w:r w:rsidRPr="008D6BBB">
        <w:rPr>
          <w:rFonts w:ascii="Arial Narrow" w:hAnsi="Arial Narrow"/>
          <w:lang w:val="bg-BG" w:eastAsia="bg-BG"/>
        </w:rPr>
        <w:t>.</w:t>
      </w:r>
    </w:p>
    <w:p w14:paraId="1C640F53" w14:textId="77777777" w:rsidR="008D6BBB" w:rsidRPr="008D6BBB" w:rsidRDefault="008D6BBB" w:rsidP="008D6BBB">
      <w:pPr>
        <w:spacing w:after="120"/>
        <w:ind w:firstLine="720"/>
        <w:jc w:val="both"/>
        <w:rPr>
          <w:rFonts w:ascii="Arial Narrow" w:hAnsi="Arial Narrow"/>
          <w:lang w:val="bg-BG" w:eastAsia="bg-BG"/>
        </w:rPr>
      </w:pPr>
      <w:r w:rsidRPr="008D6BBB">
        <w:rPr>
          <w:rFonts w:ascii="Arial Narrow" w:hAnsi="Arial Narrow"/>
          <w:lang w:val="bg-BG" w:eastAsia="bg-BG"/>
        </w:rPr>
        <w:t xml:space="preserve">За периода на прилагането й по мярката са разплатени общо 82 369 848 лева на над 30 хиляди бенефициенти. </w:t>
      </w:r>
      <w:bookmarkStart w:id="120" w:name="_Toc201928062"/>
    </w:p>
    <w:p w14:paraId="45AC92E2" w14:textId="77777777" w:rsidR="008D6BBB" w:rsidRPr="008D6BBB" w:rsidRDefault="008D6BBB" w:rsidP="008D6BBB">
      <w:pPr>
        <w:spacing w:after="120"/>
        <w:ind w:firstLine="720"/>
        <w:jc w:val="both"/>
        <w:rPr>
          <w:rFonts w:ascii="Arial Narrow" w:hAnsi="Arial Narrow"/>
          <w:b/>
          <w:lang w:val="bg-BG" w:eastAsia="bg-BG"/>
        </w:rPr>
      </w:pPr>
      <w:r w:rsidRPr="008D6BBB">
        <w:rPr>
          <w:rFonts w:ascii="Arial Narrow" w:hAnsi="Arial Narrow"/>
          <w:b/>
          <w:lang w:val="bg-BG" w:eastAsia="bg-BG"/>
        </w:rPr>
        <w:t>Мярка 22 „Извънредно временно подпомагане за земеделски стопани и МСП, които са особено засегнати от последиците от руското нашествие в Украйна"</w:t>
      </w:r>
      <w:bookmarkEnd w:id="120"/>
      <w:r w:rsidRPr="008D6BBB">
        <w:rPr>
          <w:rFonts w:ascii="Arial Narrow" w:hAnsi="Arial Narrow"/>
          <w:b/>
          <w:bCs/>
          <w:lang w:val="bg-BG" w:eastAsia="bg-BG"/>
        </w:rPr>
        <w:t xml:space="preserve"> </w:t>
      </w:r>
    </w:p>
    <w:p w14:paraId="088BB6A1" w14:textId="77777777" w:rsidR="008D6BBB" w:rsidRPr="008D6BBB" w:rsidRDefault="008D6BBB" w:rsidP="008D6BBB">
      <w:pPr>
        <w:spacing w:after="120"/>
        <w:ind w:firstLine="720"/>
        <w:jc w:val="both"/>
        <w:rPr>
          <w:rFonts w:ascii="Arial Narrow" w:hAnsi="Arial Narrow"/>
          <w:lang w:val="bg-BG" w:eastAsia="bg-BG"/>
        </w:rPr>
      </w:pPr>
      <w:r w:rsidRPr="008D6BBB">
        <w:rPr>
          <w:rFonts w:ascii="Arial Narrow" w:hAnsi="Arial Narrow"/>
          <w:lang w:val="bg-BG" w:eastAsia="bg-BG"/>
        </w:rPr>
        <w:t>Мярката представлява една от най-краткосрочните, но в същото време интензивно прилагани и отчетени интервенции в рамките на ПРСР 2014-2020 г. Тя се прилага чрез две подмерки -</w:t>
      </w:r>
      <w:r w:rsidRPr="008D6BBB">
        <w:rPr>
          <w:lang w:val="bg-BG" w:eastAsia="bg-BG"/>
        </w:rPr>
        <w:t xml:space="preserve"> </w:t>
      </w:r>
      <w:r w:rsidRPr="008D6BBB">
        <w:rPr>
          <w:rFonts w:ascii="Arial Narrow" w:hAnsi="Arial Narrow"/>
          <w:lang w:val="bg-BG" w:eastAsia="bg-BG"/>
        </w:rPr>
        <w:t>подмярка 22.1 „Извънредно временно подпомагане за земеделските стопани, които са особено засегнати от последиците от руското нашествие в Украйна“ и подмярка 22.2 „Извънредно временно подпомагане за МСП, засегнати от последиците от руското нашествие в Украйна“.</w:t>
      </w:r>
    </w:p>
    <w:p w14:paraId="72E9FFBF" w14:textId="77777777" w:rsidR="008D6BBB" w:rsidRPr="008D6BBB" w:rsidRDefault="008D6BBB" w:rsidP="008D6BBB">
      <w:pPr>
        <w:spacing w:after="120"/>
        <w:ind w:firstLine="720"/>
        <w:jc w:val="both"/>
        <w:rPr>
          <w:rFonts w:ascii="Arial Narrow" w:hAnsi="Arial Narrow"/>
          <w:lang w:val="bg-BG" w:eastAsia="bg-BG"/>
        </w:rPr>
      </w:pPr>
      <w:r w:rsidRPr="008D6BBB">
        <w:rPr>
          <w:rFonts w:ascii="Arial Narrow" w:hAnsi="Arial Narrow"/>
          <w:lang w:val="bg-BG" w:eastAsia="bg-BG"/>
        </w:rPr>
        <w:t>Подмярка 22.1 се прилага през 2022 г. и 2023 г. По нея са подпомогнати над 31 хиляди земеделски стопани, с общо изплатена сума в размер на 58 361 898 лева публични средства.</w:t>
      </w:r>
    </w:p>
    <w:p w14:paraId="16054A9C" w14:textId="77777777" w:rsidR="008D6BBB" w:rsidRPr="008D6BBB" w:rsidRDefault="008D6BBB" w:rsidP="008D6BBB">
      <w:pPr>
        <w:spacing w:after="120"/>
        <w:ind w:firstLine="720"/>
        <w:jc w:val="both"/>
        <w:rPr>
          <w:rFonts w:ascii="Arial Narrow" w:hAnsi="Arial Narrow"/>
          <w:lang w:val="bg-BG" w:eastAsia="bg-BG"/>
        </w:rPr>
      </w:pPr>
      <w:r w:rsidRPr="008D6BBB">
        <w:rPr>
          <w:rFonts w:ascii="Arial Narrow" w:hAnsi="Arial Narrow"/>
          <w:lang w:val="bg-BG" w:eastAsia="bg-BG"/>
        </w:rPr>
        <w:t>Приемът по подмярка 22.2, насочена към подпомагане на МСП, групи и организации на производители, е проведен през м. март 2023 г. Подпомогнати са 49 бенефициенти с общ размер на изплатената субсидия 3 909 723 лева.</w:t>
      </w:r>
    </w:p>
    <w:p w14:paraId="640BFED6" w14:textId="77777777" w:rsidR="008D6BBB" w:rsidRPr="008D6BBB" w:rsidRDefault="008D6BBB" w:rsidP="008D6BBB">
      <w:pPr>
        <w:spacing w:after="120"/>
        <w:ind w:firstLine="720"/>
        <w:jc w:val="both"/>
        <w:rPr>
          <w:rFonts w:ascii="Arial Narrow" w:hAnsi="Arial Narrow"/>
          <w:b/>
          <w:lang w:val="bg-BG" w:eastAsia="bg-BG"/>
        </w:rPr>
      </w:pPr>
      <w:bookmarkStart w:id="121" w:name="_Toc201928063"/>
      <w:r w:rsidRPr="008D6BBB">
        <w:rPr>
          <w:rFonts w:ascii="Arial Narrow" w:hAnsi="Arial Narrow"/>
          <w:b/>
          <w:lang w:val="bg-BG" w:eastAsia="bg-BG"/>
        </w:rPr>
        <w:lastRenderedPageBreak/>
        <w:t>Стратегически план за развитие на земеделието и селските райони за периода 2023-2027 г.</w:t>
      </w:r>
      <w:bookmarkEnd w:id="121"/>
      <w:r w:rsidRPr="008D6BBB">
        <w:rPr>
          <w:rFonts w:ascii="Arial Narrow" w:hAnsi="Arial Narrow"/>
          <w:b/>
          <w:lang w:val="bg-BG" w:eastAsia="bg-BG"/>
        </w:rPr>
        <w:t xml:space="preserve"> </w:t>
      </w:r>
    </w:p>
    <w:p w14:paraId="3B3C527A" w14:textId="77777777" w:rsidR="008D6BBB" w:rsidRPr="008D6BBB" w:rsidRDefault="008D6BBB" w:rsidP="008D6BBB">
      <w:pPr>
        <w:spacing w:after="120"/>
        <w:ind w:firstLine="720"/>
        <w:jc w:val="both"/>
        <w:rPr>
          <w:rFonts w:ascii="Arial Narrow" w:hAnsi="Arial Narrow"/>
          <w:lang w:val="bg-BG" w:eastAsia="bg-BG"/>
        </w:rPr>
      </w:pPr>
      <w:r w:rsidRPr="008D6BBB">
        <w:rPr>
          <w:rFonts w:ascii="Arial Narrow" w:hAnsi="Arial Narrow"/>
          <w:lang w:val="bg-BG" w:eastAsia="bg-BG"/>
        </w:rPr>
        <w:t xml:space="preserve">Стратегическият план за развитие на земеделието и селските райони за периода 2023-2027 г. е изготвен въз основа на изискванията и правилата, заложени в Дял III на Регламент №2021/2115 на Европейския Парламент и на Съвета от 2 декември 2021 година. </w:t>
      </w:r>
      <w:r w:rsidRPr="008D6BBB">
        <w:rPr>
          <w:rFonts w:ascii="Arial Narrow" w:hAnsi="Arial Narrow"/>
          <w:iCs/>
          <w:lang w:val="bg-BG" w:eastAsia="bg-BG"/>
        </w:rPr>
        <w:t>Той</w:t>
      </w:r>
      <w:r w:rsidRPr="008D6BBB">
        <w:rPr>
          <w:rFonts w:ascii="Arial Narrow" w:hAnsi="Arial Narrow"/>
          <w:lang w:val="bg-BG" w:eastAsia="bg-BG"/>
        </w:rPr>
        <w:t> е с национален териториален обхват и действа на цялата територия на страната в съответствие с многогодишната финансова рамка за периода 2023-2027 г. на ОСП на Европейския съюз.</w:t>
      </w:r>
    </w:p>
    <w:p w14:paraId="1434DA08" w14:textId="77777777" w:rsidR="008D6BBB" w:rsidRPr="008D6BBB" w:rsidRDefault="008D6BBB" w:rsidP="008D6BBB">
      <w:pPr>
        <w:spacing w:after="120"/>
        <w:ind w:firstLine="720"/>
        <w:jc w:val="both"/>
        <w:rPr>
          <w:rFonts w:ascii="Arial Narrow" w:hAnsi="Arial Narrow"/>
          <w:lang w:val="bg-BG" w:eastAsia="bg-BG"/>
        </w:rPr>
      </w:pPr>
      <w:r w:rsidRPr="008D6BBB">
        <w:rPr>
          <w:rFonts w:ascii="Arial Narrow" w:hAnsi="Arial Narrow"/>
          <w:iCs/>
          <w:lang w:val="bg-BG" w:eastAsia="bg-BG"/>
        </w:rPr>
        <w:t>Стратегическият план</w:t>
      </w:r>
      <w:r w:rsidRPr="008D6BBB">
        <w:rPr>
          <w:rFonts w:ascii="Arial Narrow" w:hAnsi="Arial Narrow"/>
          <w:i/>
          <w:iCs/>
          <w:lang w:val="bg-BG" w:eastAsia="bg-BG"/>
        </w:rPr>
        <w:t xml:space="preserve"> </w:t>
      </w:r>
      <w:r w:rsidRPr="008D6BBB">
        <w:rPr>
          <w:rFonts w:ascii="Arial Narrow" w:hAnsi="Arial Narrow"/>
          <w:lang w:val="bg-BG" w:eastAsia="bg-BG"/>
        </w:rPr>
        <w:t>се базира на десет основни цели, определени като „специфични цели“. Постигането на всяка една от тях се свързва със задоволяване на определени предварително дефинирани потребности. Посрещането на потребностите се реализира чрез интервенции, които създават рамката за реализиране на конкретни инвестиционни предложения на местно ниво.</w:t>
      </w:r>
    </w:p>
    <w:p w14:paraId="4A9D11DD" w14:textId="77777777" w:rsidR="008D6BBB" w:rsidRPr="008D6BBB" w:rsidRDefault="008D6BBB" w:rsidP="008D6BBB">
      <w:pPr>
        <w:spacing w:after="120"/>
        <w:ind w:firstLine="720"/>
        <w:jc w:val="both"/>
        <w:rPr>
          <w:rFonts w:ascii="Arial Narrow" w:hAnsi="Arial Narrow"/>
          <w:lang w:val="bg-BG" w:eastAsia="bg-BG"/>
        </w:rPr>
      </w:pPr>
      <w:r w:rsidRPr="008D6BBB">
        <w:rPr>
          <w:rFonts w:ascii="Arial Narrow" w:hAnsi="Arial Narrow"/>
          <w:lang w:val="bg-BG" w:eastAsia="bg-BG"/>
        </w:rPr>
        <w:t>Специфичните цели на СПРЗСР 2023-2027 г. са:</w:t>
      </w:r>
    </w:p>
    <w:p w14:paraId="06C32487" w14:textId="77777777" w:rsidR="008D6BBB" w:rsidRPr="008D6BBB" w:rsidRDefault="008D6BBB" w:rsidP="009C6577">
      <w:pPr>
        <w:numPr>
          <w:ilvl w:val="0"/>
          <w:numId w:val="52"/>
        </w:numPr>
        <w:tabs>
          <w:tab w:val="left" w:pos="1134"/>
        </w:tabs>
        <w:autoSpaceDE w:val="0"/>
        <w:autoSpaceDN w:val="0"/>
        <w:adjustRightInd w:val="0"/>
        <w:spacing w:after="120"/>
        <w:ind w:left="714" w:hanging="357"/>
        <w:contextualSpacing/>
        <w:jc w:val="both"/>
        <w:rPr>
          <w:rFonts w:ascii="Arial Narrow" w:hAnsi="Arial Narrow"/>
          <w:lang w:val="bg-BG" w:eastAsia="bg-BG"/>
        </w:rPr>
      </w:pPr>
      <w:r w:rsidRPr="008D6BBB">
        <w:rPr>
          <w:rFonts w:ascii="Arial Narrow" w:hAnsi="Arial Narrow"/>
          <w:b/>
          <w:bCs/>
          <w:lang w:val="bg-BG" w:eastAsia="bg-BG"/>
        </w:rPr>
        <w:t>Специфична цел № 1:</w:t>
      </w:r>
      <w:r w:rsidRPr="008D6BBB">
        <w:rPr>
          <w:rFonts w:ascii="Arial Narrow" w:hAnsi="Arial Narrow"/>
          <w:lang w:val="bg-BG" w:eastAsia="bg-BG"/>
        </w:rPr>
        <w:t xml:space="preserve"> Подпомагане на достатъчно надеждни земеделски доходи и устойчивост в целия ЕС с цел подобряване на продоволствената сигурност </w:t>
      </w:r>
    </w:p>
    <w:p w14:paraId="075D0F56" w14:textId="77777777" w:rsidR="008D6BBB" w:rsidRPr="008D6BBB" w:rsidRDefault="008D6BBB" w:rsidP="008D6BBB">
      <w:pPr>
        <w:tabs>
          <w:tab w:val="left" w:pos="709"/>
        </w:tabs>
        <w:spacing w:after="120"/>
        <w:jc w:val="both"/>
        <w:rPr>
          <w:rFonts w:ascii="Arial Narrow" w:hAnsi="Arial Narrow"/>
          <w:lang w:val="bg-BG" w:eastAsia="bg-BG"/>
        </w:rPr>
      </w:pPr>
      <w:r w:rsidRPr="008D6BBB">
        <w:rPr>
          <w:rFonts w:ascii="Arial Narrow" w:hAnsi="Arial Narrow"/>
          <w:b/>
          <w:bCs/>
          <w:lang w:val="bg-BG" w:eastAsia="bg-BG"/>
        </w:rPr>
        <w:tab/>
      </w:r>
      <w:r w:rsidRPr="008D6BBB">
        <w:rPr>
          <w:rFonts w:ascii="Arial Narrow" w:hAnsi="Arial Narrow"/>
          <w:lang w:val="bg-BG" w:eastAsia="bg-BG"/>
        </w:rPr>
        <w:t>В рамките на тази цел Стратегическият план адресира потребности чрез насочени интервенции, допринасящи за намаляване на разликите в доходите от селскостопанска дейност в сравнение с икономиката като цяло, включително намаляване на променливостта в доходите в различните видове стопанства и постигане на териториален баланс от гледна точна на стопанствата, попадащи в райони с природни ограничения.</w:t>
      </w:r>
    </w:p>
    <w:p w14:paraId="182203E0" w14:textId="77777777" w:rsidR="008D6BBB" w:rsidRPr="008D6BBB" w:rsidRDefault="008D6BBB" w:rsidP="009C6577">
      <w:pPr>
        <w:numPr>
          <w:ilvl w:val="0"/>
          <w:numId w:val="52"/>
        </w:numPr>
        <w:tabs>
          <w:tab w:val="left" w:pos="1134"/>
        </w:tabs>
        <w:autoSpaceDE w:val="0"/>
        <w:autoSpaceDN w:val="0"/>
        <w:adjustRightInd w:val="0"/>
        <w:spacing w:after="120"/>
        <w:ind w:left="714" w:hanging="357"/>
        <w:contextualSpacing/>
        <w:jc w:val="both"/>
        <w:rPr>
          <w:rFonts w:ascii="Arial Narrow" w:hAnsi="Arial Narrow"/>
          <w:lang w:val="bg-BG" w:eastAsia="bg-BG"/>
        </w:rPr>
      </w:pPr>
      <w:r w:rsidRPr="008D6BBB">
        <w:rPr>
          <w:rFonts w:ascii="Arial Narrow" w:hAnsi="Arial Narrow"/>
          <w:b/>
          <w:bCs/>
          <w:lang w:val="bg-BG" w:eastAsia="bg-BG"/>
        </w:rPr>
        <w:t>Специфична цел № 2</w:t>
      </w:r>
      <w:r w:rsidRPr="008D6BBB">
        <w:rPr>
          <w:rFonts w:ascii="Arial Narrow" w:hAnsi="Arial Narrow"/>
          <w:bCs/>
          <w:lang w:val="bg-BG" w:eastAsia="bg-BG"/>
        </w:rPr>
        <w:t>:</w:t>
      </w:r>
      <w:r w:rsidRPr="008D6BBB">
        <w:rPr>
          <w:rFonts w:ascii="Arial Narrow" w:hAnsi="Arial Narrow"/>
          <w:lang w:val="bg-BG" w:eastAsia="bg-BG"/>
        </w:rPr>
        <w:t> Засилване на пазарната ориентация и повишаване на конкурентоспособността, включително поставяне на по-голям акцент върху научните изследвания, технологиите и цифровизацията</w:t>
      </w:r>
    </w:p>
    <w:p w14:paraId="6BFB739A" w14:textId="77777777" w:rsidR="008D6BBB" w:rsidRPr="008D6BBB" w:rsidRDefault="008D6BBB" w:rsidP="008D6BBB">
      <w:pPr>
        <w:spacing w:after="120"/>
        <w:jc w:val="both"/>
        <w:rPr>
          <w:rFonts w:ascii="Arial Narrow" w:hAnsi="Arial Narrow"/>
          <w:lang w:val="bg-BG" w:eastAsia="bg-BG"/>
        </w:rPr>
      </w:pPr>
      <w:r w:rsidRPr="008D6BBB">
        <w:rPr>
          <w:rFonts w:ascii="Arial Narrow" w:hAnsi="Arial Narrow"/>
          <w:lang w:val="bg-BG" w:eastAsia="bg-BG"/>
        </w:rPr>
        <w:tab/>
        <w:t>За принос към целта в СПРЗСР 2023-2027 г. са включени интервенции за подпомагане на конкретни сектори за повишаване на производителността и конкурентоспособността на земеделските стопанства  и подобряване на тяхната ресурсна ефективност.</w:t>
      </w:r>
    </w:p>
    <w:p w14:paraId="288EC2DF" w14:textId="77777777" w:rsidR="008D6BBB" w:rsidRPr="008D6BBB" w:rsidRDefault="008D6BBB" w:rsidP="009C6577">
      <w:pPr>
        <w:numPr>
          <w:ilvl w:val="0"/>
          <w:numId w:val="52"/>
        </w:numPr>
        <w:tabs>
          <w:tab w:val="left" w:pos="1134"/>
        </w:tabs>
        <w:autoSpaceDE w:val="0"/>
        <w:autoSpaceDN w:val="0"/>
        <w:adjustRightInd w:val="0"/>
        <w:spacing w:after="120"/>
        <w:ind w:left="714" w:hanging="357"/>
        <w:contextualSpacing/>
        <w:jc w:val="both"/>
        <w:rPr>
          <w:rFonts w:ascii="Arial Narrow" w:hAnsi="Arial Narrow"/>
          <w:lang w:val="bg-BG" w:eastAsia="bg-BG"/>
        </w:rPr>
      </w:pPr>
      <w:r w:rsidRPr="008D6BBB">
        <w:rPr>
          <w:rFonts w:ascii="Arial Narrow" w:hAnsi="Arial Narrow"/>
          <w:b/>
          <w:bCs/>
          <w:lang w:val="bg-BG" w:eastAsia="bg-BG"/>
        </w:rPr>
        <w:t>Специфична цел № 3</w:t>
      </w:r>
      <w:r w:rsidRPr="008D6BBB">
        <w:rPr>
          <w:rFonts w:ascii="Arial Narrow" w:hAnsi="Arial Narrow"/>
          <w:bCs/>
          <w:lang w:val="bg-BG" w:eastAsia="bg-BG"/>
        </w:rPr>
        <w:t>:</w:t>
      </w:r>
      <w:r w:rsidRPr="008D6BBB">
        <w:rPr>
          <w:rFonts w:ascii="Arial Narrow" w:hAnsi="Arial Narrow"/>
          <w:lang w:val="bg-BG" w:eastAsia="bg-BG"/>
        </w:rPr>
        <w:t> Подобряване на позицията на земеделските стопани във веригата на стойността</w:t>
      </w:r>
    </w:p>
    <w:p w14:paraId="07D6BC75" w14:textId="77777777" w:rsidR="008D6BBB" w:rsidRPr="008D6BBB" w:rsidRDefault="008D6BBB" w:rsidP="008D6BBB">
      <w:pPr>
        <w:tabs>
          <w:tab w:val="left" w:pos="709"/>
        </w:tabs>
        <w:spacing w:after="120"/>
        <w:jc w:val="both"/>
        <w:rPr>
          <w:rFonts w:ascii="Arial Narrow" w:hAnsi="Arial Narrow"/>
          <w:lang w:val="bg-BG" w:eastAsia="bg-BG"/>
        </w:rPr>
      </w:pPr>
      <w:r w:rsidRPr="008D6BBB">
        <w:rPr>
          <w:rFonts w:ascii="Arial Narrow" w:hAnsi="Arial Narrow"/>
          <w:lang w:val="bg-BG" w:eastAsia="bg-BG"/>
        </w:rPr>
        <w:tab/>
        <w:t>Предвижда се подкрепа за използване на съществуващия потенциал за развитие на организации  и/или групи на производителите и на структурите за предлагане на продукция на пазара с цел директно повишаване на конкурентоспособността на производителите и техните организации. За подобряване на позицията на земеделските стопани във веригата за храни са насочени интервенции в сектор „Плодове и зеленчуци“, „Мляко и млечни продукти“.</w:t>
      </w:r>
    </w:p>
    <w:p w14:paraId="54088701" w14:textId="77777777" w:rsidR="008D6BBB" w:rsidRPr="008D6BBB" w:rsidRDefault="008D6BBB" w:rsidP="009C6577">
      <w:pPr>
        <w:numPr>
          <w:ilvl w:val="0"/>
          <w:numId w:val="52"/>
        </w:numPr>
        <w:tabs>
          <w:tab w:val="left" w:pos="1134"/>
        </w:tabs>
        <w:autoSpaceDE w:val="0"/>
        <w:autoSpaceDN w:val="0"/>
        <w:adjustRightInd w:val="0"/>
        <w:spacing w:after="120"/>
        <w:ind w:left="714" w:hanging="357"/>
        <w:contextualSpacing/>
        <w:jc w:val="both"/>
        <w:rPr>
          <w:rFonts w:ascii="Arial Narrow" w:hAnsi="Arial Narrow"/>
          <w:lang w:val="bg-BG" w:eastAsia="bg-BG"/>
        </w:rPr>
      </w:pPr>
      <w:r w:rsidRPr="008D6BBB">
        <w:rPr>
          <w:rFonts w:ascii="Arial Narrow" w:hAnsi="Arial Narrow"/>
          <w:b/>
          <w:bCs/>
          <w:lang w:val="bg-BG" w:eastAsia="bg-BG"/>
        </w:rPr>
        <w:t>Специфична цел № 4:</w:t>
      </w:r>
      <w:r w:rsidRPr="008D6BBB">
        <w:rPr>
          <w:rFonts w:ascii="Arial Narrow" w:hAnsi="Arial Narrow"/>
          <w:lang w:val="bg-BG" w:eastAsia="bg-BG"/>
        </w:rPr>
        <w:t> Принос за смекчаване на последиците от изменението на климата и за адаптацията към него, както и за устойчивата енергия</w:t>
      </w:r>
    </w:p>
    <w:p w14:paraId="66301B89" w14:textId="77777777" w:rsidR="008D6BBB" w:rsidRPr="008D6BBB" w:rsidRDefault="008D6BBB" w:rsidP="008D6BBB">
      <w:pPr>
        <w:spacing w:after="120"/>
        <w:jc w:val="both"/>
        <w:rPr>
          <w:rFonts w:ascii="Arial Narrow" w:hAnsi="Arial Narrow"/>
          <w:lang w:val="bg-BG" w:eastAsia="bg-BG"/>
        </w:rPr>
      </w:pPr>
      <w:r w:rsidRPr="008D6BBB">
        <w:rPr>
          <w:rFonts w:ascii="Arial Narrow" w:hAnsi="Arial Narrow"/>
          <w:lang w:val="bg-BG" w:eastAsia="bg-BG"/>
        </w:rPr>
        <w:tab/>
        <w:t>Специфичната цел се адресира чрез прилагане на интервенции с принос към подобряване на позицията на земеделските стопани във веригата за храни, с действия за смекчаване на изменението на климата и устойчивостта на селското стопанство спрямо изменението на климата, включително с дейности, водещи до улавянето на органичния въглерод в почвата и устойчиво производство на енергия от възобновяеми енергийни източници. Предвиждат се интервенции за предоставяне на консултантски услуги и повишаване на консултантския капацитет, както и за професионално обучение и придобиване на умения, в рамките на които за земеделските и горски стопани ще бъдат предвидени консултантски пакети и обучения по специфични въпроси, имащи отношение към идентифицираните потребности.</w:t>
      </w:r>
    </w:p>
    <w:p w14:paraId="5E9D3F5E" w14:textId="77777777" w:rsidR="008D6BBB" w:rsidRPr="008D6BBB" w:rsidRDefault="008D6BBB" w:rsidP="009C6577">
      <w:pPr>
        <w:numPr>
          <w:ilvl w:val="0"/>
          <w:numId w:val="52"/>
        </w:numPr>
        <w:tabs>
          <w:tab w:val="left" w:pos="1134"/>
        </w:tabs>
        <w:autoSpaceDE w:val="0"/>
        <w:autoSpaceDN w:val="0"/>
        <w:adjustRightInd w:val="0"/>
        <w:spacing w:after="120"/>
        <w:ind w:left="714" w:hanging="357"/>
        <w:contextualSpacing/>
        <w:jc w:val="both"/>
        <w:rPr>
          <w:rFonts w:ascii="Arial Narrow" w:hAnsi="Arial Narrow"/>
          <w:lang w:val="bg-BG" w:eastAsia="bg-BG"/>
        </w:rPr>
      </w:pPr>
      <w:r w:rsidRPr="008D6BBB">
        <w:rPr>
          <w:rFonts w:ascii="Arial Narrow" w:hAnsi="Arial Narrow"/>
          <w:b/>
          <w:bCs/>
          <w:lang w:val="bg-BG" w:eastAsia="bg-BG"/>
        </w:rPr>
        <w:t>Специфична цел № 5:</w:t>
      </w:r>
      <w:r w:rsidRPr="008D6BBB">
        <w:rPr>
          <w:rFonts w:ascii="Arial Narrow" w:hAnsi="Arial Narrow"/>
          <w:lang w:val="bg-BG" w:eastAsia="bg-BG"/>
        </w:rPr>
        <w:t> Насърчаване на устойчивото развитие и ефективното управление на природните ресурси като вода, почва и въздух</w:t>
      </w:r>
    </w:p>
    <w:p w14:paraId="5194E8DE" w14:textId="77777777" w:rsidR="008D6BBB" w:rsidRPr="008D6BBB" w:rsidRDefault="008D6BBB" w:rsidP="008D6BBB">
      <w:pPr>
        <w:tabs>
          <w:tab w:val="left" w:pos="709"/>
        </w:tabs>
        <w:spacing w:after="120"/>
        <w:jc w:val="both"/>
        <w:rPr>
          <w:rFonts w:ascii="Arial Narrow" w:hAnsi="Arial Narrow"/>
          <w:lang w:val="bg-BG" w:eastAsia="bg-BG"/>
        </w:rPr>
      </w:pPr>
      <w:r w:rsidRPr="008D6BBB">
        <w:rPr>
          <w:rFonts w:ascii="Arial Narrow" w:hAnsi="Arial Narrow"/>
          <w:lang w:val="bg-BG" w:eastAsia="bg-BG"/>
        </w:rPr>
        <w:tab/>
        <w:t>Посредством интервенции в рамките на директните плащания целта е таргетирана с прилагането на различни еко схеми (за разнообразяване на отглежданите култури, екстензивно поддържане на постоянно затревените площи, подобряване качеството на почвите чрез продължаване на усилията за ограничаване на процесите на водна и ветрова ерозия, поддържане и подобряване на биологичното разнообразие, за запазване и възстановяване на почвения потенциал и др.).</w:t>
      </w:r>
    </w:p>
    <w:p w14:paraId="58B65FD1" w14:textId="77777777" w:rsidR="008D6BBB" w:rsidRPr="008D6BBB" w:rsidRDefault="008D6BBB" w:rsidP="009C6577">
      <w:pPr>
        <w:numPr>
          <w:ilvl w:val="0"/>
          <w:numId w:val="52"/>
        </w:numPr>
        <w:tabs>
          <w:tab w:val="left" w:pos="1134"/>
        </w:tabs>
        <w:autoSpaceDE w:val="0"/>
        <w:autoSpaceDN w:val="0"/>
        <w:adjustRightInd w:val="0"/>
        <w:spacing w:after="120"/>
        <w:ind w:left="714" w:hanging="357"/>
        <w:contextualSpacing/>
        <w:jc w:val="both"/>
        <w:rPr>
          <w:rFonts w:ascii="Arial Narrow" w:hAnsi="Arial Narrow"/>
          <w:lang w:val="bg-BG" w:eastAsia="bg-BG"/>
        </w:rPr>
      </w:pPr>
      <w:r w:rsidRPr="008D6BBB">
        <w:rPr>
          <w:rFonts w:ascii="Arial Narrow" w:hAnsi="Arial Narrow"/>
          <w:b/>
          <w:bCs/>
          <w:lang w:val="bg-BG" w:eastAsia="bg-BG"/>
        </w:rPr>
        <w:lastRenderedPageBreak/>
        <w:t>Специфична цел № 6</w:t>
      </w:r>
      <w:r w:rsidRPr="008D6BBB">
        <w:rPr>
          <w:rFonts w:ascii="Arial Narrow" w:hAnsi="Arial Narrow"/>
          <w:bCs/>
          <w:lang w:val="bg-BG" w:eastAsia="bg-BG"/>
        </w:rPr>
        <w:t>:</w:t>
      </w:r>
      <w:r w:rsidRPr="008D6BBB">
        <w:rPr>
          <w:rFonts w:ascii="Arial Narrow" w:hAnsi="Arial Narrow"/>
          <w:lang w:val="bg-BG" w:eastAsia="bg-BG"/>
        </w:rPr>
        <w:t> Принос за защита на биологичното разнообразие, подобряване на екосистемните услуги и опазване на местообитанията и ландшафта</w:t>
      </w:r>
    </w:p>
    <w:p w14:paraId="6786C697" w14:textId="77777777" w:rsidR="008D6BBB" w:rsidRPr="008D6BBB" w:rsidRDefault="008D6BBB" w:rsidP="008D6BBB">
      <w:pPr>
        <w:tabs>
          <w:tab w:val="left" w:pos="709"/>
        </w:tabs>
        <w:spacing w:after="120"/>
        <w:jc w:val="both"/>
        <w:rPr>
          <w:rFonts w:ascii="Arial Narrow" w:hAnsi="Arial Narrow"/>
          <w:color w:val="000000"/>
          <w:lang w:val="bg-BG" w:eastAsia="bg-BG"/>
        </w:rPr>
      </w:pPr>
      <w:r w:rsidRPr="008D6BBB">
        <w:rPr>
          <w:rFonts w:ascii="Arial Narrow" w:hAnsi="Arial Narrow"/>
          <w:lang w:val="bg-BG" w:eastAsia="bg-BG"/>
        </w:rPr>
        <w:tab/>
        <w:t xml:space="preserve">Специфичната цел се адресира с интервенции, подпомагащи устойчиво управление, опазване и подобряване на природозащитното състояние на видове птици, свързани с обработваеми земи и тревни площи, поддържане на местообитания, съхраняване и възстановяване на елементи на ландшафта, пасторализъм, запазване и подобряване на генетичното разнообразие в животновъдството и растениевъдството и др. </w:t>
      </w:r>
      <w:r w:rsidRPr="008D6BBB">
        <w:rPr>
          <w:rFonts w:ascii="Arial Narrow" w:hAnsi="Arial Narrow"/>
          <w:color w:val="000000"/>
          <w:lang w:val="bg-BG" w:eastAsia="bg-BG"/>
        </w:rPr>
        <w:t>Териториалният обхват и дейностите съответстват и отразяват както ограничения в конкретни зони от мрежата Натура 2000 и планове за действия на МОСВ за опазване на видовете, така и на цялата територия на страната за други типове интервенции.</w:t>
      </w:r>
    </w:p>
    <w:p w14:paraId="387D7DC0" w14:textId="77777777" w:rsidR="008D6BBB" w:rsidRPr="008D6BBB" w:rsidRDefault="008D6BBB" w:rsidP="009C6577">
      <w:pPr>
        <w:numPr>
          <w:ilvl w:val="0"/>
          <w:numId w:val="52"/>
        </w:numPr>
        <w:tabs>
          <w:tab w:val="left" w:pos="1134"/>
        </w:tabs>
        <w:autoSpaceDE w:val="0"/>
        <w:autoSpaceDN w:val="0"/>
        <w:adjustRightInd w:val="0"/>
        <w:spacing w:after="120"/>
        <w:ind w:left="714" w:hanging="357"/>
        <w:contextualSpacing/>
        <w:jc w:val="both"/>
        <w:rPr>
          <w:rFonts w:ascii="Arial Narrow" w:hAnsi="Arial Narrow"/>
          <w:lang w:val="bg-BG" w:eastAsia="bg-BG"/>
        </w:rPr>
      </w:pPr>
      <w:r w:rsidRPr="008D6BBB">
        <w:rPr>
          <w:rFonts w:ascii="Arial Narrow" w:hAnsi="Arial Narrow"/>
          <w:b/>
          <w:bCs/>
          <w:lang w:val="bg-BG" w:eastAsia="bg-BG"/>
        </w:rPr>
        <w:t>Специфична цел № 7</w:t>
      </w:r>
      <w:r w:rsidRPr="008D6BBB">
        <w:rPr>
          <w:rFonts w:ascii="Arial Narrow" w:hAnsi="Arial Narrow"/>
          <w:bCs/>
          <w:lang w:val="bg-BG" w:eastAsia="bg-BG"/>
        </w:rPr>
        <w:t>:</w:t>
      </w:r>
      <w:r w:rsidRPr="008D6BBB">
        <w:rPr>
          <w:rFonts w:ascii="Arial Narrow" w:hAnsi="Arial Narrow"/>
          <w:lang w:val="bg-BG" w:eastAsia="bg-BG"/>
        </w:rPr>
        <w:t> Привличане на млади земеделски производители и улесняване развитието на стопанската дейност в селските райони</w:t>
      </w:r>
    </w:p>
    <w:p w14:paraId="414E01FF" w14:textId="77777777" w:rsidR="008D6BBB" w:rsidRPr="008D6BBB" w:rsidRDefault="008D6BBB" w:rsidP="008D6BBB">
      <w:pPr>
        <w:spacing w:after="120"/>
        <w:jc w:val="both"/>
        <w:rPr>
          <w:rFonts w:ascii="Arial Narrow" w:hAnsi="Arial Narrow"/>
          <w:lang w:val="bg-BG" w:eastAsia="bg-BG"/>
        </w:rPr>
      </w:pPr>
      <w:r w:rsidRPr="008D6BBB">
        <w:rPr>
          <w:rFonts w:ascii="Arial Narrow" w:hAnsi="Arial Narrow"/>
          <w:lang w:val="bg-BG" w:eastAsia="bg-BG"/>
        </w:rPr>
        <w:tab/>
        <w:t>Финансовата подкрепа чрез първоначален капитал ще подпомогне младите фермери да обновят технологично и да модернизират своите стопанства. Чрез интервенциите се търси насърчаване предаването на земеделската дейност между поколенията с цел съхранение на фермерството за устойчива земеделска заетост и развитие на собствен аграрен бизнес. Подкрепа се предоставя и за консултиране на млади земеделски стопани от страна на НССЗ и на други обучаващи организации по различни въпроси, свързани със селскостопанското производство. Цели се посредством различни форми и методи да се създадат възможности за провеждане на обучения и демонстрации, свързани с икономическите показатели на земеделското стопанство, конкурентоспособността, маркетинга и реализацията на произвежданите земеделски продукти. Подпомага се обединяването на млади земеделски стопани в организации и групи на производители, осъществяването на инвестиции за развитие на икономически дейности и за диверсифициране към други неземеделски дейности.</w:t>
      </w:r>
    </w:p>
    <w:p w14:paraId="68AF65E8" w14:textId="77777777" w:rsidR="008D6BBB" w:rsidRPr="008D6BBB" w:rsidRDefault="008D6BBB" w:rsidP="009C6577">
      <w:pPr>
        <w:numPr>
          <w:ilvl w:val="0"/>
          <w:numId w:val="52"/>
        </w:numPr>
        <w:tabs>
          <w:tab w:val="left" w:pos="1134"/>
        </w:tabs>
        <w:autoSpaceDE w:val="0"/>
        <w:autoSpaceDN w:val="0"/>
        <w:adjustRightInd w:val="0"/>
        <w:spacing w:after="120"/>
        <w:ind w:left="714" w:hanging="357"/>
        <w:contextualSpacing/>
        <w:jc w:val="both"/>
        <w:rPr>
          <w:rFonts w:ascii="Arial Narrow" w:hAnsi="Arial Narrow"/>
          <w:lang w:val="bg-BG" w:eastAsia="bg-BG"/>
        </w:rPr>
      </w:pPr>
      <w:r w:rsidRPr="008D6BBB">
        <w:rPr>
          <w:rFonts w:ascii="Arial Narrow" w:hAnsi="Arial Narrow"/>
          <w:b/>
          <w:bCs/>
          <w:lang w:val="bg-BG" w:eastAsia="bg-BG"/>
        </w:rPr>
        <w:t>Специфична цел № 8:</w:t>
      </w:r>
      <w:r w:rsidRPr="008D6BBB">
        <w:rPr>
          <w:rFonts w:ascii="Arial Narrow" w:hAnsi="Arial Narrow"/>
          <w:lang w:val="bg-BG" w:eastAsia="bg-BG"/>
        </w:rPr>
        <w:t> Насърчаване на заетостта, растежа, социалното приобщаване и местното развитие в селските райони, включително биоикономиката и устойчивото горско стопанство</w:t>
      </w:r>
    </w:p>
    <w:p w14:paraId="2BE5600E" w14:textId="77777777" w:rsidR="008D6BBB" w:rsidRPr="008D6BBB" w:rsidRDefault="008D6BBB" w:rsidP="008D6BBB">
      <w:pPr>
        <w:tabs>
          <w:tab w:val="left" w:pos="709"/>
        </w:tabs>
        <w:spacing w:after="120"/>
        <w:jc w:val="both"/>
        <w:rPr>
          <w:rFonts w:ascii="Arial Narrow" w:hAnsi="Arial Narrow"/>
          <w:lang w:val="bg-BG" w:eastAsia="bg-BG"/>
        </w:rPr>
      </w:pPr>
      <w:r w:rsidRPr="008D6BBB">
        <w:rPr>
          <w:rFonts w:ascii="Arial Narrow" w:hAnsi="Arial Narrow"/>
          <w:lang w:val="bg-BG" w:eastAsia="bg-BG"/>
        </w:rPr>
        <w:tab/>
        <w:t>Насочването на интервенциите към установените потребности цели създаване на работни места в селските райони, повишаване на брутния вътрешен продукт на глава от населението и насърчаване приобщаването в тези райони. Предвижда се подкрепа за инвестиции за развитие на икономически дейности, свързани с търговия, услуги, преработваща промишленост. Финансират се дейности за подобряване на публичната инфраструктура и технико-комуникационните системи, запазването на духовния и културния живот на населението в селските райони.</w:t>
      </w:r>
    </w:p>
    <w:p w14:paraId="19A2CCB5" w14:textId="77777777" w:rsidR="008D6BBB" w:rsidRPr="008D6BBB" w:rsidRDefault="008D6BBB" w:rsidP="009C6577">
      <w:pPr>
        <w:numPr>
          <w:ilvl w:val="0"/>
          <w:numId w:val="52"/>
        </w:numPr>
        <w:tabs>
          <w:tab w:val="left" w:pos="1134"/>
        </w:tabs>
        <w:autoSpaceDE w:val="0"/>
        <w:autoSpaceDN w:val="0"/>
        <w:adjustRightInd w:val="0"/>
        <w:spacing w:after="120"/>
        <w:ind w:left="714" w:hanging="357"/>
        <w:contextualSpacing/>
        <w:jc w:val="both"/>
        <w:rPr>
          <w:rFonts w:ascii="Arial Narrow" w:hAnsi="Arial Narrow"/>
          <w:lang w:val="bg-BG" w:eastAsia="bg-BG"/>
        </w:rPr>
      </w:pPr>
      <w:r w:rsidRPr="008D6BBB">
        <w:rPr>
          <w:rFonts w:ascii="Arial Narrow" w:hAnsi="Arial Narrow"/>
          <w:b/>
          <w:bCs/>
          <w:lang w:val="bg-BG" w:eastAsia="bg-BG"/>
        </w:rPr>
        <w:t>Специфична цел № 9</w:t>
      </w:r>
      <w:r w:rsidRPr="008D6BBB">
        <w:rPr>
          <w:rFonts w:ascii="Arial Narrow" w:hAnsi="Arial Narrow"/>
          <w:bCs/>
          <w:lang w:val="bg-BG" w:eastAsia="bg-BG"/>
        </w:rPr>
        <w:t>:</w:t>
      </w:r>
      <w:r w:rsidRPr="008D6BBB">
        <w:rPr>
          <w:rFonts w:ascii="Arial Narrow" w:hAnsi="Arial Narrow"/>
          <w:lang w:val="bg-BG" w:eastAsia="bg-BG"/>
        </w:rPr>
        <w:t> Подобряване на реакцията на селското стопанство в ЕС в отговор на обществените изисквания по отношение на храните и здравето, включително за безвредна, питателна и устойчива храна, както и за хуманно отношение към животните</w:t>
      </w:r>
    </w:p>
    <w:p w14:paraId="15940A82" w14:textId="77777777" w:rsidR="008D6BBB" w:rsidRPr="008D6BBB" w:rsidRDefault="008D6BBB" w:rsidP="008D6BBB">
      <w:pPr>
        <w:spacing w:after="120"/>
        <w:jc w:val="both"/>
        <w:rPr>
          <w:rFonts w:ascii="Arial Narrow" w:hAnsi="Arial Narrow"/>
          <w:lang w:val="bg-BG" w:eastAsia="bg-BG"/>
        </w:rPr>
      </w:pPr>
      <w:r w:rsidRPr="008D6BBB">
        <w:rPr>
          <w:rFonts w:ascii="Arial Narrow" w:hAnsi="Arial Narrow"/>
          <w:lang w:val="bg-BG" w:eastAsia="bg-BG"/>
        </w:rPr>
        <w:tab/>
        <w:t>Предвидена е подкрепа за биологичното производство, много малките земеделски стопанства, организациите на производители или групи от производители, насърчаване потреблението на биологични продукти, повишаване качеството на храните, подобряване отглеждането на животните, реализирането на инвестиции за превантивни действия и възстановяване на земеделския потенциал, намаляване употребата на антимикробни средства, торове и продукти за растителна защита и др.</w:t>
      </w:r>
    </w:p>
    <w:p w14:paraId="6B63CD07" w14:textId="77777777" w:rsidR="008D6BBB" w:rsidRPr="008D6BBB" w:rsidRDefault="008D6BBB" w:rsidP="009C6577">
      <w:pPr>
        <w:numPr>
          <w:ilvl w:val="0"/>
          <w:numId w:val="52"/>
        </w:numPr>
        <w:tabs>
          <w:tab w:val="left" w:pos="1134"/>
        </w:tabs>
        <w:autoSpaceDE w:val="0"/>
        <w:autoSpaceDN w:val="0"/>
        <w:adjustRightInd w:val="0"/>
        <w:spacing w:after="120"/>
        <w:ind w:left="714" w:hanging="357"/>
        <w:contextualSpacing/>
        <w:jc w:val="both"/>
        <w:rPr>
          <w:rFonts w:ascii="Arial Narrow" w:hAnsi="Arial Narrow"/>
          <w:lang w:val="bg-BG" w:eastAsia="bg-BG"/>
        </w:rPr>
      </w:pPr>
      <w:r w:rsidRPr="008D6BBB">
        <w:rPr>
          <w:rFonts w:ascii="Arial Narrow" w:hAnsi="Arial Narrow"/>
          <w:b/>
          <w:bCs/>
          <w:lang w:val="bg-BG" w:eastAsia="bg-BG"/>
        </w:rPr>
        <w:t>Специфична цел № 10</w:t>
      </w:r>
      <w:r w:rsidRPr="008D6BBB">
        <w:rPr>
          <w:rFonts w:ascii="Arial Narrow" w:hAnsi="Arial Narrow"/>
          <w:bCs/>
          <w:lang w:val="bg-BG" w:eastAsia="bg-BG"/>
        </w:rPr>
        <w:t xml:space="preserve"> (хоризонтална):</w:t>
      </w:r>
      <w:r w:rsidRPr="008D6BBB">
        <w:rPr>
          <w:rFonts w:ascii="Arial Narrow" w:hAnsi="Arial Narrow"/>
          <w:lang w:val="bg-BG" w:eastAsia="bg-BG"/>
        </w:rPr>
        <w:t> Модернизиране на сектора чрез стимулиране и споделяне на знания, иновациите и цифровизацията в селското стопанство и селските райони и насърчаване на използването им в по-голяма степен</w:t>
      </w:r>
    </w:p>
    <w:p w14:paraId="6EBD8166" w14:textId="77777777" w:rsidR="008D6BBB" w:rsidRPr="008D6BBB" w:rsidRDefault="008D6BBB" w:rsidP="008D6BBB">
      <w:pPr>
        <w:spacing w:after="120"/>
        <w:jc w:val="both"/>
        <w:rPr>
          <w:rFonts w:ascii="Arial Narrow" w:hAnsi="Arial Narrow"/>
          <w:lang w:val="bg-BG" w:eastAsia="bg-BG"/>
        </w:rPr>
      </w:pPr>
      <w:r w:rsidRPr="008D6BBB">
        <w:rPr>
          <w:rFonts w:ascii="Arial Narrow" w:hAnsi="Arial Narrow"/>
          <w:lang w:val="bg-BG" w:eastAsia="bg-BG"/>
        </w:rPr>
        <w:tab/>
        <w:t xml:space="preserve">В рамките на хоризонталната цел, СПРЗСР 2023-2027 г. адресира установените потребности чрез интервенции, целящи повишаване на квалификацията и знанията на земеделските и горски стопани и заетите лица в техните стопанства, създаване на по-ефективна системата за споделяне на знания и иновации и цифровизация в селското стопанство чрез въвличане на консултантски организации и повишаване на техния капацитет, стимулиране на различни форми на сътрудничество, допринасящи за постигане на целите на Европейското партньорство за иновации, както и форми на сътрудничество за скъсяване на веригата на доставки на селскостопански продукти и храни чрез ЕЗФРСР. </w:t>
      </w:r>
    </w:p>
    <w:p w14:paraId="771A09A2" w14:textId="77777777" w:rsidR="008D6BBB" w:rsidRPr="008D6BBB" w:rsidRDefault="008D6BBB" w:rsidP="008D6BBB">
      <w:pPr>
        <w:spacing w:after="120"/>
        <w:ind w:firstLine="720"/>
        <w:jc w:val="both"/>
        <w:rPr>
          <w:rFonts w:ascii="Arial Narrow" w:hAnsi="Arial Narrow"/>
          <w:b/>
          <w:bCs/>
          <w:lang w:val="bg-BG" w:eastAsia="bg-BG"/>
        </w:rPr>
      </w:pPr>
      <w:r w:rsidRPr="008D6BBB">
        <w:rPr>
          <w:rFonts w:ascii="Arial Narrow" w:hAnsi="Arial Narrow"/>
          <w:b/>
          <w:bCs/>
          <w:lang w:val="bg-BG" w:eastAsia="bg-BG"/>
        </w:rPr>
        <w:t>Интервенции от СПРЗСР 2023-2027 г., свързани с поемане на многогодишни ангажименти в областта на околната среда и климата</w:t>
      </w:r>
    </w:p>
    <w:p w14:paraId="3CF07520" w14:textId="77777777" w:rsidR="008D6BBB" w:rsidRPr="008D6BBB" w:rsidRDefault="008D6BBB" w:rsidP="008D6BBB">
      <w:pPr>
        <w:spacing w:after="120"/>
        <w:ind w:firstLine="720"/>
        <w:jc w:val="both"/>
        <w:rPr>
          <w:rFonts w:ascii="Arial Narrow" w:hAnsi="Arial Narrow"/>
          <w:b/>
          <w:lang w:val="bg-BG" w:eastAsia="bg-BG"/>
        </w:rPr>
      </w:pPr>
      <w:r w:rsidRPr="008D6BBB">
        <w:rPr>
          <w:rFonts w:ascii="Arial Narrow" w:hAnsi="Arial Narrow"/>
          <w:b/>
          <w:lang w:val="bg-BG" w:eastAsia="bg-BG"/>
        </w:rPr>
        <w:t>Интервенция II.А.1 „Биологично растениевъдство“</w:t>
      </w:r>
    </w:p>
    <w:p w14:paraId="6FCA2E67" w14:textId="77777777" w:rsidR="008D6BBB" w:rsidRPr="008D6BBB" w:rsidRDefault="008D6BBB" w:rsidP="008D6BBB">
      <w:pPr>
        <w:spacing w:after="120"/>
        <w:ind w:firstLine="720"/>
        <w:jc w:val="both"/>
        <w:rPr>
          <w:rFonts w:ascii="Arial Narrow" w:hAnsi="Arial Narrow"/>
          <w:bCs/>
          <w:lang w:val="bg-BG" w:eastAsia="bg-BG"/>
        </w:rPr>
      </w:pPr>
      <w:r w:rsidRPr="008D6BBB">
        <w:rPr>
          <w:rFonts w:ascii="Arial Narrow" w:hAnsi="Arial Narrow"/>
          <w:bCs/>
          <w:lang w:val="bg-BG" w:eastAsia="bg-BG"/>
        </w:rPr>
        <w:lastRenderedPageBreak/>
        <w:t xml:space="preserve">Ангажиментите по интервенцията, с продължителност пет години, са обособени в две операции - „Плащания за преминаване към биологично растениевъдство“ и „Плащания за поддържане на биологично растениевъдство“.. </w:t>
      </w:r>
    </w:p>
    <w:p w14:paraId="3A632732" w14:textId="77777777" w:rsidR="008D6BBB" w:rsidRPr="008D6BBB" w:rsidRDefault="008D6BBB" w:rsidP="008D6BBB">
      <w:pPr>
        <w:spacing w:after="120"/>
        <w:ind w:firstLine="720"/>
        <w:jc w:val="both"/>
        <w:rPr>
          <w:rFonts w:ascii="Arial Narrow" w:hAnsi="Arial Narrow"/>
          <w:bCs/>
          <w:lang w:val="bg-BG" w:eastAsia="bg-BG"/>
        </w:rPr>
      </w:pPr>
      <w:r w:rsidRPr="008D6BBB">
        <w:rPr>
          <w:rFonts w:ascii="Arial Narrow" w:hAnsi="Arial Narrow"/>
          <w:bCs/>
          <w:lang w:val="bg-BG" w:eastAsia="bg-BG"/>
        </w:rPr>
        <w:t>За Кампания `2024  са подадени 872 заявления по операция „Плащане за преминаване към биологично растениевъдство“ и 1 420 заявления по операция „Плащане за поддържане на биологично растениевъдство“.</w:t>
      </w:r>
    </w:p>
    <w:p w14:paraId="08E373B9" w14:textId="77777777" w:rsidR="008D6BBB" w:rsidRPr="008D6BBB" w:rsidRDefault="008D6BBB" w:rsidP="008D6BBB">
      <w:pPr>
        <w:spacing w:after="120"/>
        <w:ind w:firstLine="720"/>
        <w:jc w:val="both"/>
        <w:rPr>
          <w:rFonts w:ascii="Arial Narrow" w:hAnsi="Arial Narrow"/>
          <w:bCs/>
          <w:lang w:val="bg-BG" w:eastAsia="bg-BG"/>
        </w:rPr>
      </w:pPr>
      <w:r w:rsidRPr="008D6BBB">
        <w:rPr>
          <w:rFonts w:ascii="Arial Narrow" w:hAnsi="Arial Narrow"/>
          <w:bCs/>
          <w:lang w:val="bg-BG" w:eastAsia="bg-BG"/>
        </w:rPr>
        <w:t>Към 26.06.2025 г. по двете операции са разплатени средства в размер на 45 065 035 лева.</w:t>
      </w:r>
    </w:p>
    <w:p w14:paraId="18DB296C" w14:textId="77777777" w:rsidR="008D6BBB" w:rsidRPr="008D6BBB" w:rsidRDefault="008D6BBB" w:rsidP="008D6BBB">
      <w:pPr>
        <w:spacing w:after="120"/>
        <w:ind w:firstLine="720"/>
        <w:jc w:val="both"/>
        <w:rPr>
          <w:rFonts w:ascii="Arial Narrow" w:hAnsi="Arial Narrow"/>
          <w:b/>
          <w:lang w:val="bg-BG" w:eastAsia="bg-BG"/>
        </w:rPr>
      </w:pPr>
      <w:r w:rsidRPr="008D6BBB">
        <w:rPr>
          <w:rFonts w:ascii="Arial Narrow" w:hAnsi="Arial Narrow"/>
          <w:b/>
          <w:lang w:val="bg-BG" w:eastAsia="bg-BG"/>
        </w:rPr>
        <w:t>Интервенция II.А.9 „Биологично пчеларство“</w:t>
      </w:r>
    </w:p>
    <w:p w14:paraId="2AD0C3F7" w14:textId="77777777" w:rsidR="008D6BBB" w:rsidRPr="008D6BBB" w:rsidRDefault="008D6BBB" w:rsidP="008D6BBB">
      <w:pPr>
        <w:spacing w:after="120"/>
        <w:ind w:firstLine="720"/>
        <w:jc w:val="both"/>
        <w:rPr>
          <w:rFonts w:ascii="Arial Narrow" w:hAnsi="Arial Narrow"/>
          <w:bCs/>
          <w:lang w:val="bg-BG" w:eastAsia="bg-BG"/>
        </w:rPr>
      </w:pPr>
      <w:r w:rsidRPr="008D6BBB">
        <w:rPr>
          <w:rFonts w:ascii="Arial Narrow" w:hAnsi="Arial Narrow"/>
          <w:bCs/>
          <w:lang w:val="bg-BG" w:eastAsia="bg-BG"/>
        </w:rPr>
        <w:t>В рамките на интервенция „Биологично пчеларство“ са обособени две операции - „Плащания за преминаване към биологично пчеларство“ с продължителност 1 година и „Плащания за поддържане на биологично пчеларство“, обхващащи ангажименти с продължителност 5 години.</w:t>
      </w:r>
    </w:p>
    <w:p w14:paraId="25FAA942" w14:textId="77777777" w:rsidR="008D6BBB" w:rsidRPr="008D6BBB" w:rsidRDefault="008D6BBB" w:rsidP="008D6BBB">
      <w:pPr>
        <w:spacing w:after="120"/>
        <w:ind w:firstLine="720"/>
        <w:jc w:val="both"/>
        <w:rPr>
          <w:rFonts w:ascii="Arial Narrow" w:hAnsi="Arial Narrow"/>
          <w:bCs/>
          <w:lang w:val="bg-BG" w:eastAsia="bg-BG"/>
        </w:rPr>
      </w:pPr>
      <w:r w:rsidRPr="008D6BBB">
        <w:rPr>
          <w:rFonts w:ascii="Arial Narrow" w:hAnsi="Arial Narrow"/>
          <w:bCs/>
          <w:lang w:val="bg-BG" w:eastAsia="bg-BG"/>
        </w:rPr>
        <w:t xml:space="preserve">През Кампания `2024  са подадени 172 заявления по операция „Плащане за преминаване към биологично пчеларство“ и 762 заявления по операция „Плащане за поддържане на биологично пчеларство“. </w:t>
      </w:r>
    </w:p>
    <w:p w14:paraId="1C3C0A3E" w14:textId="77777777" w:rsidR="008D6BBB" w:rsidRPr="008D6BBB" w:rsidRDefault="008D6BBB" w:rsidP="008D6BBB">
      <w:pPr>
        <w:spacing w:after="120"/>
        <w:ind w:firstLine="720"/>
        <w:jc w:val="both"/>
        <w:rPr>
          <w:rFonts w:ascii="Arial Narrow" w:hAnsi="Arial Narrow"/>
          <w:bCs/>
          <w:lang w:val="bg-BG" w:eastAsia="bg-BG"/>
        </w:rPr>
      </w:pPr>
      <w:r w:rsidRPr="008D6BBB">
        <w:rPr>
          <w:rFonts w:ascii="Arial Narrow" w:hAnsi="Arial Narrow"/>
          <w:bCs/>
          <w:lang w:val="bg-BG" w:eastAsia="bg-BG"/>
        </w:rPr>
        <w:t>Изплатените към 26.06.2025 г. средства по двете операции възлизат на 10 029 183 лева.</w:t>
      </w:r>
    </w:p>
    <w:p w14:paraId="4661A804" w14:textId="77777777" w:rsidR="008D6BBB" w:rsidRPr="008D6BBB" w:rsidRDefault="008D6BBB" w:rsidP="008D6BBB">
      <w:pPr>
        <w:spacing w:after="120"/>
        <w:ind w:firstLine="720"/>
        <w:jc w:val="both"/>
        <w:rPr>
          <w:rFonts w:ascii="Arial Narrow" w:hAnsi="Arial Narrow"/>
          <w:b/>
          <w:lang w:val="bg-BG" w:eastAsia="bg-BG"/>
        </w:rPr>
      </w:pPr>
      <w:r w:rsidRPr="008D6BBB">
        <w:rPr>
          <w:rFonts w:ascii="Arial Narrow" w:hAnsi="Arial Narrow"/>
          <w:b/>
          <w:lang w:val="bg-BG" w:eastAsia="bg-BG"/>
        </w:rPr>
        <w:t>Интервенция II.А.10. „Подпомагане отглеждането на сортове, устойчиви към климатични условия чрез практики за интегрирано производство“</w:t>
      </w:r>
    </w:p>
    <w:p w14:paraId="2B7783D6" w14:textId="77777777" w:rsidR="008D6BBB" w:rsidRPr="008D6BBB" w:rsidRDefault="008D6BBB" w:rsidP="008D6BBB">
      <w:pPr>
        <w:spacing w:after="120"/>
        <w:ind w:firstLine="720"/>
        <w:jc w:val="both"/>
        <w:rPr>
          <w:rFonts w:ascii="Arial Narrow" w:hAnsi="Arial Narrow"/>
          <w:bCs/>
          <w:lang w:val="bg-BG" w:eastAsia="bg-BG"/>
        </w:rPr>
      </w:pPr>
      <w:r w:rsidRPr="008D6BBB">
        <w:rPr>
          <w:rFonts w:ascii="Arial Narrow" w:hAnsi="Arial Narrow"/>
          <w:bCs/>
          <w:lang w:val="bg-BG" w:eastAsia="bg-BG"/>
        </w:rPr>
        <w:t>През Кампания `2024  по интервенцията, в рамките на която могат да бъдат поемани ангажименти с продължителност 5 години, няма подадени заявления.</w:t>
      </w:r>
    </w:p>
    <w:p w14:paraId="23096F2D" w14:textId="77777777" w:rsidR="008D6BBB" w:rsidRPr="008D6BBB" w:rsidRDefault="008D6BBB" w:rsidP="008D6BBB">
      <w:pPr>
        <w:spacing w:after="120"/>
        <w:ind w:firstLine="720"/>
        <w:jc w:val="both"/>
        <w:rPr>
          <w:rFonts w:ascii="Arial Narrow" w:hAnsi="Arial Narrow"/>
          <w:b/>
          <w:lang w:val="bg-BG" w:eastAsia="bg-BG"/>
        </w:rPr>
      </w:pPr>
      <w:r w:rsidRPr="008D6BBB">
        <w:rPr>
          <w:rFonts w:ascii="Arial Narrow" w:hAnsi="Arial Narrow"/>
          <w:b/>
          <w:lang w:val="bg-BG" w:eastAsia="bg-BG"/>
        </w:rPr>
        <w:t xml:space="preserve">Интервенция II.А.12 „Насърчаване на естественото опрашване“. </w:t>
      </w:r>
    </w:p>
    <w:p w14:paraId="3BFAE14C" w14:textId="77777777" w:rsidR="008D6BBB" w:rsidRPr="008D6BBB" w:rsidRDefault="008D6BBB" w:rsidP="008D6BBB">
      <w:pPr>
        <w:spacing w:after="120"/>
        <w:ind w:firstLine="720"/>
        <w:jc w:val="both"/>
        <w:rPr>
          <w:rFonts w:ascii="Arial Narrow" w:hAnsi="Arial Narrow"/>
          <w:bCs/>
          <w:lang w:val="bg-BG" w:eastAsia="bg-BG"/>
        </w:rPr>
      </w:pPr>
      <w:r w:rsidRPr="008D6BBB">
        <w:rPr>
          <w:rFonts w:ascii="Arial Narrow" w:hAnsi="Arial Narrow"/>
          <w:bCs/>
          <w:lang w:val="bg-BG" w:eastAsia="bg-BG"/>
        </w:rPr>
        <w:t xml:space="preserve">По интервенцията са обособени в две операции  - Операция 1: „Осигуряване на опрашване в планински райони и защитени зони от мрежата Натура 2000 (стационарни пчелини)” и Операция 2: „Ангажименти за предоставяне на услугата по опрашване чрез преместване и временно разполагане на пчелни семейства (подвижно пчеларство)“, по които могат да бъдат поемани 5-годишни ангажименти. Компенсаторното подпомагане се предоставя като единична сума за стопанство за участие в една от двете операции,. </w:t>
      </w:r>
    </w:p>
    <w:p w14:paraId="22A1F32F" w14:textId="77777777" w:rsidR="008D6BBB" w:rsidRPr="008D6BBB" w:rsidRDefault="008D6BBB" w:rsidP="008D6BBB">
      <w:pPr>
        <w:spacing w:after="120"/>
        <w:ind w:firstLine="720"/>
        <w:jc w:val="both"/>
        <w:rPr>
          <w:rFonts w:ascii="Arial Narrow" w:hAnsi="Arial Narrow"/>
          <w:bCs/>
          <w:lang w:val="bg-BG" w:eastAsia="bg-BG"/>
        </w:rPr>
      </w:pPr>
      <w:r w:rsidRPr="008D6BBB">
        <w:rPr>
          <w:rFonts w:ascii="Arial Narrow" w:hAnsi="Arial Narrow"/>
          <w:bCs/>
          <w:lang w:val="bg-BG" w:eastAsia="bg-BG"/>
        </w:rPr>
        <w:t xml:space="preserve">За Кампания </w:t>
      </w:r>
      <w:r w:rsidRPr="008D6BBB">
        <w:rPr>
          <w:rFonts w:ascii="Arial Narrow" w:hAnsi="Arial Narrow"/>
          <w:bCs/>
          <w:lang w:eastAsia="bg-BG"/>
        </w:rPr>
        <w:t>`</w:t>
      </w:r>
      <w:r w:rsidRPr="008D6BBB">
        <w:rPr>
          <w:rFonts w:ascii="Arial Narrow" w:hAnsi="Arial Narrow"/>
          <w:bCs/>
          <w:lang w:val="bg-BG" w:eastAsia="bg-BG"/>
        </w:rPr>
        <w:t>2024 са подадени 316 заявления за подпомагане, а оторизираните средства към 26.06.2025 г. са в размер на 847 020 лева.</w:t>
      </w:r>
    </w:p>
    <w:p w14:paraId="39FB0BFF" w14:textId="77777777" w:rsidR="008D6BBB" w:rsidRPr="008D6BBB" w:rsidRDefault="008D6BBB" w:rsidP="008D6BBB">
      <w:pPr>
        <w:spacing w:after="120"/>
        <w:ind w:firstLine="720"/>
        <w:jc w:val="both"/>
        <w:rPr>
          <w:rFonts w:ascii="Arial Narrow" w:hAnsi="Arial Narrow"/>
          <w:b/>
          <w:lang w:val="bg-BG" w:eastAsia="bg-BG"/>
        </w:rPr>
      </w:pPr>
      <w:r w:rsidRPr="008D6BBB">
        <w:rPr>
          <w:rFonts w:ascii="Arial Narrow" w:hAnsi="Arial Narrow"/>
          <w:b/>
          <w:lang w:val="bg-BG" w:eastAsia="bg-BG"/>
        </w:rPr>
        <w:t>Интервенция II.А.4 „Насърчаване използването на култури и сортове, устойчиви към климатичните условия“</w:t>
      </w:r>
    </w:p>
    <w:p w14:paraId="6F07F8C5" w14:textId="77777777" w:rsidR="008D6BBB" w:rsidRPr="008D6BBB" w:rsidRDefault="008D6BBB" w:rsidP="008D6BBB">
      <w:pPr>
        <w:spacing w:after="120"/>
        <w:ind w:firstLine="720"/>
        <w:jc w:val="both"/>
        <w:rPr>
          <w:rFonts w:ascii="Arial Narrow" w:hAnsi="Arial Narrow"/>
          <w:bCs/>
          <w:lang w:val="bg-BG" w:eastAsia="bg-BG"/>
        </w:rPr>
      </w:pPr>
      <w:r w:rsidRPr="008D6BBB">
        <w:rPr>
          <w:rFonts w:ascii="Arial Narrow" w:hAnsi="Arial Narrow"/>
          <w:bCs/>
          <w:lang w:val="bg-BG" w:eastAsia="bg-BG"/>
        </w:rPr>
        <w:t>С първото изменение на СПРЗСР 2023-2027 г. (одобрено от ЕК през 2024 г.) по интервенцията са обособени две операции</w:t>
      </w:r>
      <w:r w:rsidRPr="008D6BBB">
        <w:rPr>
          <w:rFonts w:ascii="Arial Narrow" w:hAnsi="Arial Narrow"/>
          <w:bCs/>
          <w:lang w:eastAsia="bg-BG"/>
        </w:rPr>
        <w:t xml:space="preserve">, </w:t>
      </w:r>
      <w:r w:rsidRPr="008D6BBB">
        <w:rPr>
          <w:rFonts w:ascii="Arial Narrow" w:hAnsi="Arial Narrow"/>
          <w:bCs/>
          <w:lang w:val="bg-BG" w:eastAsia="bg-BG"/>
        </w:rPr>
        <w:t xml:space="preserve">които се прилагат от Кампания </w:t>
      </w:r>
      <w:r w:rsidRPr="008D6BBB">
        <w:rPr>
          <w:rFonts w:ascii="Arial Narrow" w:hAnsi="Arial Narrow"/>
          <w:bCs/>
          <w:lang w:eastAsia="bg-BG"/>
        </w:rPr>
        <w:t>`</w:t>
      </w:r>
      <w:r w:rsidRPr="008D6BBB">
        <w:rPr>
          <w:rFonts w:ascii="Arial Narrow" w:hAnsi="Arial Narrow"/>
          <w:bCs/>
          <w:lang w:val="bg-BG" w:eastAsia="bg-BG"/>
        </w:rPr>
        <w:t xml:space="preserve">2024 - „Отглеждане на устойчиви сортове с разрешени за употреба в биологичното производство продукти за растителна защита” и „Насърчаване отглеждане на устойчиви сортове“. </w:t>
      </w:r>
    </w:p>
    <w:p w14:paraId="1FDF942E" w14:textId="77777777" w:rsidR="008D6BBB" w:rsidRPr="008D6BBB" w:rsidRDefault="008D6BBB" w:rsidP="008D6BBB">
      <w:pPr>
        <w:spacing w:after="120"/>
        <w:ind w:firstLine="720"/>
        <w:jc w:val="both"/>
        <w:rPr>
          <w:rFonts w:ascii="Arial Narrow" w:hAnsi="Arial Narrow"/>
          <w:bCs/>
          <w:lang w:val="bg-BG" w:eastAsia="bg-BG"/>
        </w:rPr>
      </w:pPr>
      <w:r w:rsidRPr="008D6BBB">
        <w:rPr>
          <w:rFonts w:ascii="Arial Narrow" w:hAnsi="Arial Narrow"/>
          <w:bCs/>
          <w:lang w:val="bg-BG" w:eastAsia="bg-BG"/>
        </w:rPr>
        <w:t>По операция „Отглеждане на устойчиви сортове с разрешени за употреба в биологичното производство продукти за растителна защита” са подадени 134 заявления за подпомагане, а по операция „Насърчаване отглеждане на устойчиви сортове“ - 61 заявления. Към 26.06.2025 г. са извършени  плащания в размер общо на 865 071 лева.</w:t>
      </w:r>
    </w:p>
    <w:p w14:paraId="5F4470DE" w14:textId="77777777" w:rsidR="008D6BBB" w:rsidRPr="008D6BBB" w:rsidRDefault="008D6BBB" w:rsidP="008D6BBB">
      <w:pPr>
        <w:spacing w:after="120"/>
        <w:ind w:firstLine="720"/>
        <w:jc w:val="both"/>
        <w:rPr>
          <w:rFonts w:ascii="Arial Narrow" w:hAnsi="Arial Narrow"/>
          <w:b/>
          <w:lang w:val="bg-BG" w:eastAsia="bg-BG"/>
        </w:rPr>
      </w:pPr>
      <w:r w:rsidRPr="008D6BBB">
        <w:rPr>
          <w:rFonts w:ascii="Arial Narrow" w:hAnsi="Arial Narrow"/>
          <w:b/>
          <w:lang w:val="bg-BG" w:eastAsia="bg-BG"/>
        </w:rPr>
        <w:t xml:space="preserve">Интервенция II.А.5 „Опазване на застрашени от изчезване местни сортове, важни за селското стопанство“ </w:t>
      </w:r>
    </w:p>
    <w:p w14:paraId="5FAACB6A" w14:textId="77777777" w:rsidR="008D6BBB" w:rsidRPr="008D6BBB" w:rsidRDefault="008D6BBB" w:rsidP="008D6BBB">
      <w:pPr>
        <w:spacing w:after="120"/>
        <w:ind w:firstLine="720"/>
        <w:jc w:val="both"/>
        <w:rPr>
          <w:rFonts w:ascii="Arial Narrow" w:hAnsi="Arial Narrow"/>
          <w:bCs/>
          <w:lang w:val="bg-BG" w:eastAsia="bg-BG"/>
        </w:rPr>
      </w:pPr>
      <w:r w:rsidRPr="008D6BBB">
        <w:rPr>
          <w:rFonts w:ascii="Arial Narrow" w:hAnsi="Arial Narrow"/>
          <w:bCs/>
          <w:lang w:val="bg-BG" w:eastAsia="bg-BG"/>
        </w:rPr>
        <w:t>Интервенцията цели насочване на подкрепата към поддържане и развитие на застрашени местни сортове полски култури, трайни насаждения, зеленчуци, етерични и медицински култури. Площите, на които се отглеждат допустимите култури, подпомагани по аналогична дейност от мярка 10 „Агроекология  и климат“ от ПРСР 2014-2020 г., не се подпомагат по тази интервенция до края на 2024 г.</w:t>
      </w:r>
    </w:p>
    <w:p w14:paraId="364A8863" w14:textId="77777777" w:rsidR="008D6BBB" w:rsidRPr="008D6BBB" w:rsidRDefault="008D6BBB" w:rsidP="008D6BBB">
      <w:pPr>
        <w:spacing w:after="120"/>
        <w:ind w:firstLine="720"/>
        <w:jc w:val="both"/>
        <w:rPr>
          <w:rFonts w:ascii="Arial Narrow" w:hAnsi="Arial Narrow"/>
          <w:bCs/>
          <w:lang w:val="bg-BG" w:eastAsia="bg-BG"/>
        </w:rPr>
      </w:pPr>
      <w:r w:rsidRPr="008D6BBB">
        <w:rPr>
          <w:rFonts w:ascii="Arial Narrow" w:hAnsi="Arial Narrow"/>
          <w:bCs/>
          <w:lang w:val="bg-BG" w:eastAsia="bg-BG"/>
        </w:rPr>
        <w:t>През Кампания `2024 са подадени 217 заявления за подпомагане. Към</w:t>
      </w:r>
      <w:r w:rsidRPr="008D6BBB">
        <w:rPr>
          <w:rFonts w:ascii="Arial Narrow" w:hAnsi="Arial Narrow"/>
          <w:bCs/>
          <w:lang w:eastAsia="bg-BG"/>
        </w:rPr>
        <w:t xml:space="preserve"> 26.06.2025 г. </w:t>
      </w:r>
      <w:r w:rsidRPr="008D6BBB">
        <w:rPr>
          <w:rFonts w:ascii="Arial Narrow" w:hAnsi="Arial Narrow"/>
          <w:bCs/>
          <w:lang w:val="bg-BG" w:eastAsia="bg-BG"/>
        </w:rPr>
        <w:t xml:space="preserve">са оторизирани плащания на стойност </w:t>
      </w:r>
      <w:r w:rsidRPr="008D6BBB">
        <w:rPr>
          <w:rFonts w:ascii="Arial Narrow" w:hAnsi="Arial Narrow"/>
          <w:bCs/>
          <w:lang w:eastAsia="bg-BG"/>
        </w:rPr>
        <w:t xml:space="preserve">852 961 </w:t>
      </w:r>
      <w:r w:rsidRPr="008D6BBB">
        <w:rPr>
          <w:rFonts w:ascii="Arial Narrow" w:hAnsi="Arial Narrow"/>
          <w:bCs/>
          <w:lang w:val="bg-BG" w:eastAsia="bg-BG"/>
        </w:rPr>
        <w:t>лева.</w:t>
      </w:r>
    </w:p>
    <w:p w14:paraId="645F0080" w14:textId="77777777" w:rsidR="008D6BBB" w:rsidRPr="008D6BBB" w:rsidRDefault="008D6BBB" w:rsidP="008D6BBB">
      <w:pPr>
        <w:spacing w:after="120"/>
        <w:ind w:firstLine="720"/>
        <w:jc w:val="both"/>
        <w:rPr>
          <w:rFonts w:ascii="Arial Narrow" w:hAnsi="Arial Narrow"/>
          <w:b/>
          <w:lang w:val="bg-BG" w:eastAsia="bg-BG"/>
        </w:rPr>
      </w:pPr>
      <w:r w:rsidRPr="008D6BBB">
        <w:rPr>
          <w:rFonts w:ascii="Arial Narrow" w:hAnsi="Arial Narrow"/>
          <w:b/>
          <w:lang w:val="bg-BG" w:eastAsia="bg-BG"/>
        </w:rPr>
        <w:lastRenderedPageBreak/>
        <w:t xml:space="preserve">Интервенция II.А.6 „Опазване на местни породи (автохтонни), важни за селското стопанство“ </w:t>
      </w:r>
    </w:p>
    <w:p w14:paraId="2BA313BB" w14:textId="77777777" w:rsidR="008D6BBB" w:rsidRPr="008D6BBB" w:rsidRDefault="008D6BBB" w:rsidP="008D6BBB">
      <w:pPr>
        <w:spacing w:after="120"/>
        <w:ind w:firstLine="720"/>
        <w:jc w:val="both"/>
        <w:rPr>
          <w:rFonts w:ascii="Arial Narrow" w:hAnsi="Arial Narrow"/>
          <w:bCs/>
          <w:lang w:val="bg-BG" w:eastAsia="bg-BG"/>
        </w:rPr>
      </w:pPr>
      <w:r w:rsidRPr="008D6BBB">
        <w:rPr>
          <w:rFonts w:ascii="Arial Narrow" w:hAnsi="Arial Narrow"/>
          <w:bCs/>
          <w:lang w:val="bg-BG" w:eastAsia="bg-BG"/>
        </w:rPr>
        <w:t>По интервенцията се подпомагат земеделски стопани, които отглеждат животни от застрашени местни породи, с продължителност на поетите ангажименти от 3 последователни години.</w:t>
      </w:r>
    </w:p>
    <w:p w14:paraId="2A38AF9F" w14:textId="77777777" w:rsidR="008D6BBB" w:rsidRPr="008D6BBB" w:rsidRDefault="008D6BBB" w:rsidP="008D6BBB">
      <w:pPr>
        <w:spacing w:after="120"/>
        <w:ind w:firstLine="720"/>
        <w:jc w:val="both"/>
        <w:rPr>
          <w:rFonts w:ascii="Arial Narrow" w:hAnsi="Arial Narrow"/>
          <w:bCs/>
          <w:lang w:val="bg-BG" w:eastAsia="bg-BG"/>
        </w:rPr>
      </w:pPr>
      <w:r w:rsidRPr="008D6BBB">
        <w:rPr>
          <w:rFonts w:ascii="Arial Narrow" w:hAnsi="Arial Narrow"/>
          <w:bCs/>
          <w:lang w:val="bg-BG" w:eastAsia="bg-BG"/>
        </w:rPr>
        <w:t xml:space="preserve">За Кампания </w:t>
      </w:r>
      <w:r w:rsidRPr="008D6BBB">
        <w:rPr>
          <w:rFonts w:ascii="Arial Narrow" w:hAnsi="Arial Narrow"/>
          <w:bCs/>
          <w:lang w:eastAsia="bg-BG"/>
        </w:rPr>
        <w:t>`</w:t>
      </w:r>
      <w:r w:rsidRPr="008D6BBB">
        <w:rPr>
          <w:rFonts w:ascii="Arial Narrow" w:hAnsi="Arial Narrow"/>
          <w:bCs/>
          <w:lang w:val="bg-BG" w:eastAsia="bg-BG"/>
        </w:rPr>
        <w:t>2024 подадените заявления са 530, а разплатените средства към 26.06.2025 г. са в размер на 6 954 096 лева.</w:t>
      </w:r>
    </w:p>
    <w:p w14:paraId="5BB63390" w14:textId="77777777" w:rsidR="008D6BBB" w:rsidRPr="008D6BBB" w:rsidRDefault="008D6BBB" w:rsidP="008D6BBB">
      <w:pPr>
        <w:spacing w:after="120"/>
        <w:ind w:firstLine="720"/>
        <w:jc w:val="both"/>
        <w:rPr>
          <w:rFonts w:ascii="Arial Narrow" w:hAnsi="Arial Narrow"/>
          <w:b/>
          <w:bCs/>
          <w:lang w:val="bg-BG" w:eastAsia="bg-BG"/>
        </w:rPr>
      </w:pPr>
      <w:r w:rsidRPr="008D6BBB">
        <w:rPr>
          <w:rFonts w:ascii="Arial Narrow" w:hAnsi="Arial Narrow"/>
          <w:b/>
          <w:lang w:val="bg-BG" w:eastAsia="bg-BG"/>
        </w:rPr>
        <w:t>Интервенция II.А.7 „Традиционни практики за сезонна паша (пасторализъм)“</w:t>
      </w:r>
      <w:r w:rsidRPr="008D6BBB">
        <w:rPr>
          <w:rFonts w:ascii="Arial Narrow" w:hAnsi="Arial Narrow"/>
          <w:b/>
          <w:bCs/>
          <w:lang w:val="bg-BG" w:eastAsia="bg-BG"/>
        </w:rPr>
        <w:t xml:space="preserve">. </w:t>
      </w:r>
    </w:p>
    <w:p w14:paraId="77E4FC1E" w14:textId="77777777" w:rsidR="008D6BBB" w:rsidRPr="008D6BBB" w:rsidRDefault="008D6BBB" w:rsidP="008D6BBB">
      <w:pPr>
        <w:spacing w:after="120"/>
        <w:ind w:firstLine="720"/>
        <w:jc w:val="both"/>
        <w:rPr>
          <w:rFonts w:ascii="Arial Narrow" w:hAnsi="Arial Narrow"/>
          <w:bCs/>
          <w:lang w:val="bg-BG" w:eastAsia="bg-BG"/>
        </w:rPr>
      </w:pPr>
      <w:r w:rsidRPr="008D6BBB">
        <w:rPr>
          <w:rFonts w:ascii="Arial Narrow" w:hAnsi="Arial Narrow"/>
          <w:bCs/>
          <w:lang w:val="bg-BG" w:eastAsia="bg-BG"/>
        </w:rPr>
        <w:t xml:space="preserve">Подкрепата по интервенцията е свързана с поемане на тригодишни ангажименти. </w:t>
      </w:r>
    </w:p>
    <w:p w14:paraId="26A8FED0" w14:textId="77777777" w:rsidR="008D6BBB" w:rsidRPr="008D6BBB" w:rsidRDefault="008D6BBB" w:rsidP="008D6BBB">
      <w:pPr>
        <w:spacing w:after="120"/>
        <w:ind w:firstLine="720"/>
        <w:jc w:val="both"/>
        <w:rPr>
          <w:rFonts w:ascii="Arial Narrow" w:hAnsi="Arial Narrow"/>
          <w:bCs/>
          <w:lang w:val="bg-BG" w:eastAsia="bg-BG"/>
        </w:rPr>
      </w:pPr>
      <w:r w:rsidRPr="008D6BBB">
        <w:rPr>
          <w:rFonts w:ascii="Arial Narrow" w:hAnsi="Arial Narrow"/>
          <w:bCs/>
          <w:lang w:val="bg-BG" w:eastAsia="bg-BG"/>
        </w:rPr>
        <w:t>През Кампания `2024  са подадени 35</w:t>
      </w:r>
      <w:r w:rsidRPr="008D6BBB">
        <w:rPr>
          <w:rFonts w:ascii="Arial Narrow" w:hAnsi="Arial Narrow"/>
          <w:bCs/>
          <w:lang w:eastAsia="bg-BG"/>
        </w:rPr>
        <w:t>8</w:t>
      </w:r>
      <w:r w:rsidRPr="008D6BBB">
        <w:rPr>
          <w:rFonts w:ascii="Arial Narrow" w:hAnsi="Arial Narrow"/>
          <w:bCs/>
          <w:lang w:val="bg-BG" w:eastAsia="bg-BG"/>
        </w:rPr>
        <w:t xml:space="preserve"> заявления</w:t>
      </w:r>
      <w:r w:rsidRPr="008D6BBB">
        <w:rPr>
          <w:rFonts w:ascii="Arial Narrow" w:hAnsi="Arial Narrow"/>
          <w:bCs/>
          <w:lang w:eastAsia="bg-BG"/>
        </w:rPr>
        <w:t xml:space="preserve"> </w:t>
      </w:r>
      <w:r w:rsidRPr="008D6BBB">
        <w:rPr>
          <w:rFonts w:ascii="Arial Narrow" w:hAnsi="Arial Narrow"/>
          <w:bCs/>
          <w:lang w:val="bg-BG" w:eastAsia="bg-BG"/>
        </w:rPr>
        <w:t>за подпомагане. Към 26.06.2025 г. са извършени плащания в размер на 3 408 326 лева.</w:t>
      </w:r>
    </w:p>
    <w:p w14:paraId="3C444B67" w14:textId="77777777" w:rsidR="008D6BBB" w:rsidRPr="008D6BBB" w:rsidRDefault="008D6BBB" w:rsidP="008D6BBB">
      <w:pPr>
        <w:spacing w:after="120"/>
        <w:ind w:firstLine="720"/>
        <w:jc w:val="both"/>
        <w:rPr>
          <w:rFonts w:ascii="Arial Narrow" w:hAnsi="Arial Narrow"/>
          <w:b/>
          <w:lang w:val="bg-BG" w:eastAsia="bg-BG"/>
        </w:rPr>
      </w:pPr>
      <w:r w:rsidRPr="008D6BBB">
        <w:rPr>
          <w:rFonts w:ascii="Arial Narrow" w:hAnsi="Arial Narrow"/>
          <w:b/>
          <w:lang w:val="bg-BG" w:eastAsia="bg-BG"/>
        </w:rPr>
        <w:t xml:space="preserve">Интервенция II.АЕ.3 „Възстановяване и поддържане на деградирали пасищни територии“ </w:t>
      </w:r>
    </w:p>
    <w:p w14:paraId="230D8018" w14:textId="77777777" w:rsidR="008D6BBB" w:rsidRPr="008D6BBB" w:rsidRDefault="008D6BBB" w:rsidP="008D6BBB">
      <w:pPr>
        <w:spacing w:after="120"/>
        <w:ind w:firstLine="720"/>
        <w:jc w:val="both"/>
        <w:rPr>
          <w:rFonts w:ascii="Arial Narrow" w:hAnsi="Arial Narrow"/>
          <w:bCs/>
          <w:lang w:val="bg-BG" w:eastAsia="bg-BG"/>
        </w:rPr>
      </w:pPr>
      <w:r w:rsidRPr="008D6BBB">
        <w:rPr>
          <w:rFonts w:ascii="Arial Narrow" w:hAnsi="Arial Narrow"/>
          <w:bCs/>
          <w:lang w:val="bg-BG" w:eastAsia="bg-BG"/>
        </w:rPr>
        <w:t xml:space="preserve">По интервенцията, по която могат да се поемат ангажименти с продължителност от 5 години, за Кампания `2024 са подадени 6 заявления. Към 26.06.2025 г. са оторизирани плащания на стойност 118 488 лева.  </w:t>
      </w:r>
    </w:p>
    <w:p w14:paraId="57F7CBBE" w14:textId="77777777" w:rsidR="008D6BBB" w:rsidRPr="008D6BBB" w:rsidRDefault="008D6BBB" w:rsidP="008D6BBB">
      <w:pPr>
        <w:spacing w:after="120"/>
        <w:ind w:firstLine="720"/>
        <w:jc w:val="both"/>
        <w:rPr>
          <w:rFonts w:ascii="Arial Narrow" w:hAnsi="Arial Narrow"/>
          <w:b/>
          <w:lang w:val="bg-BG" w:eastAsia="bg-BG"/>
        </w:rPr>
      </w:pPr>
      <w:r w:rsidRPr="008D6BBB">
        <w:rPr>
          <w:rFonts w:ascii="Arial Narrow" w:hAnsi="Arial Narrow"/>
          <w:b/>
          <w:lang w:val="bg-BG" w:eastAsia="bg-BG"/>
        </w:rPr>
        <w:t>Интервенция II.А.8. „Поддържане на местообитанията на червеногушата гъска (Branta ruficollis), Кръстат (царски) орел и Египетски лешояд в орнитологични важни места в обработваеми земи“</w:t>
      </w:r>
    </w:p>
    <w:p w14:paraId="58502C9C" w14:textId="77777777" w:rsidR="008D6BBB" w:rsidRPr="008D6BBB" w:rsidRDefault="008D6BBB" w:rsidP="008D6BBB">
      <w:pPr>
        <w:spacing w:after="120"/>
        <w:ind w:firstLine="720"/>
        <w:jc w:val="both"/>
        <w:rPr>
          <w:rFonts w:ascii="Arial Narrow" w:hAnsi="Arial Narrow"/>
          <w:bCs/>
          <w:lang w:val="bg-BG" w:eastAsia="bg-BG"/>
        </w:rPr>
      </w:pPr>
      <w:r w:rsidRPr="008D6BBB">
        <w:rPr>
          <w:rFonts w:ascii="Arial Narrow" w:hAnsi="Arial Narrow"/>
          <w:bCs/>
          <w:lang w:val="bg-BG" w:eastAsia="bg-BG"/>
        </w:rPr>
        <w:t>Интервенцията е обособена в две операции - „Засяване и отглеждане на есенни зърнено-житни култури в местообитанията на червеногушата гъска на 50% от заявената по дейността площ и с минимум 30% царевица“ и „Превръщане на обработваеми земеделски земи в постоянно затревени площи, в гнездови райони на Кръстат (царски) орел и Египетски лешояд“. Ангажиментите са с продължителност 5 години.</w:t>
      </w:r>
    </w:p>
    <w:p w14:paraId="16CC4ECA" w14:textId="77777777" w:rsidR="008D6BBB" w:rsidRPr="008D6BBB" w:rsidRDefault="008D6BBB" w:rsidP="008D6BBB">
      <w:pPr>
        <w:spacing w:after="120"/>
        <w:ind w:firstLine="720"/>
        <w:jc w:val="both"/>
        <w:rPr>
          <w:rFonts w:ascii="Arial Narrow" w:hAnsi="Arial Narrow"/>
          <w:bCs/>
          <w:lang w:val="bg-BG" w:eastAsia="bg-BG"/>
        </w:rPr>
      </w:pPr>
      <w:r w:rsidRPr="008D6BBB">
        <w:rPr>
          <w:rFonts w:ascii="Arial Narrow" w:hAnsi="Arial Narrow"/>
          <w:bCs/>
          <w:lang w:val="bg-BG" w:eastAsia="bg-BG"/>
        </w:rPr>
        <w:t xml:space="preserve">През Кампания </w:t>
      </w:r>
      <w:r w:rsidRPr="008D6BBB">
        <w:rPr>
          <w:rFonts w:ascii="Arial Narrow" w:hAnsi="Arial Narrow"/>
          <w:bCs/>
          <w:lang w:eastAsia="bg-BG"/>
        </w:rPr>
        <w:t>`</w:t>
      </w:r>
      <w:r w:rsidRPr="008D6BBB">
        <w:rPr>
          <w:rFonts w:ascii="Arial Narrow" w:hAnsi="Arial Narrow"/>
          <w:bCs/>
          <w:lang w:val="bg-BG" w:eastAsia="bg-BG"/>
        </w:rPr>
        <w:t>2024 по интервенцията няма подадени заявления за подпомагане.</w:t>
      </w:r>
    </w:p>
    <w:p w14:paraId="36F7675C" w14:textId="77777777" w:rsidR="008D6BBB" w:rsidRPr="008D6BBB" w:rsidRDefault="008D6BBB" w:rsidP="008D6BBB">
      <w:pPr>
        <w:spacing w:after="120"/>
        <w:ind w:firstLine="720"/>
        <w:jc w:val="both"/>
        <w:rPr>
          <w:rFonts w:ascii="Arial Narrow" w:hAnsi="Arial Narrow"/>
          <w:b/>
          <w:lang w:val="bg-BG" w:eastAsia="bg-BG"/>
        </w:rPr>
      </w:pPr>
      <w:r w:rsidRPr="008D6BBB">
        <w:rPr>
          <w:rFonts w:ascii="Arial Narrow" w:hAnsi="Arial Narrow"/>
          <w:b/>
          <w:lang w:val="bg-BG" w:eastAsia="bg-BG"/>
        </w:rPr>
        <w:t>Интервенция II.А.2 „Хуманно отношение към животните и антимикробна резистентност“</w:t>
      </w:r>
    </w:p>
    <w:p w14:paraId="4C45154E" w14:textId="77777777" w:rsidR="008D6BBB" w:rsidRPr="008D6BBB" w:rsidRDefault="008D6BBB" w:rsidP="008D6BBB">
      <w:pPr>
        <w:spacing w:after="120"/>
        <w:ind w:firstLine="720"/>
        <w:jc w:val="both"/>
        <w:rPr>
          <w:rFonts w:ascii="Arial Narrow" w:hAnsi="Arial Narrow"/>
          <w:bCs/>
          <w:lang w:val="bg-BG" w:eastAsia="bg-BG"/>
        </w:rPr>
      </w:pPr>
      <w:r w:rsidRPr="008D6BBB">
        <w:rPr>
          <w:rFonts w:ascii="Arial Narrow" w:hAnsi="Arial Narrow"/>
          <w:bCs/>
          <w:lang w:val="bg-BG" w:eastAsia="bg-BG"/>
        </w:rPr>
        <w:t xml:space="preserve">Ангажиментите по интервенцията са с продължителност една година и са обособени в три дейности - „Осигуряване на благоприятна жизнена среда/свободна подова площ на животните“, „Осигуряване на свободно отглеждане на открито“ и „Намаляване употребата на антимикробни средства“. </w:t>
      </w:r>
    </w:p>
    <w:p w14:paraId="114F25DC" w14:textId="77777777" w:rsidR="008D6BBB" w:rsidRPr="008D6BBB" w:rsidRDefault="008D6BBB" w:rsidP="008D6BBB">
      <w:pPr>
        <w:spacing w:after="120"/>
        <w:ind w:firstLine="720"/>
        <w:jc w:val="both"/>
        <w:rPr>
          <w:rFonts w:ascii="Arial Narrow" w:hAnsi="Arial Narrow"/>
          <w:bCs/>
          <w:lang w:val="bg-BG" w:eastAsia="bg-BG"/>
        </w:rPr>
      </w:pPr>
      <w:r w:rsidRPr="008D6BBB">
        <w:rPr>
          <w:rFonts w:ascii="Arial Narrow" w:hAnsi="Arial Narrow"/>
          <w:bCs/>
          <w:lang w:val="bg-BG" w:eastAsia="bg-BG"/>
        </w:rPr>
        <w:t xml:space="preserve">За Кампания </w:t>
      </w:r>
      <w:r w:rsidRPr="008D6BBB">
        <w:rPr>
          <w:rFonts w:ascii="Arial Narrow" w:hAnsi="Arial Narrow"/>
          <w:bCs/>
          <w:lang w:eastAsia="bg-BG"/>
        </w:rPr>
        <w:t>`</w:t>
      </w:r>
      <w:r w:rsidRPr="008D6BBB">
        <w:rPr>
          <w:rFonts w:ascii="Arial Narrow" w:hAnsi="Arial Narrow"/>
          <w:bCs/>
          <w:lang w:val="bg-BG" w:eastAsia="bg-BG"/>
        </w:rPr>
        <w:t>2023 г. са приемани заявления само по първите две дейности. За Кампания `2024  интервенцията се прилага в пълнен обхват. По дейност „Осигуряване на благоприятна жизнена среда/свободна подова площ на животните“ са подадени 1 116 заявления за подпомагане, по дейност „Осигуряване на свободно отглеждане на открито</w:t>
      </w:r>
      <w:r w:rsidR="00D21F5E">
        <w:rPr>
          <w:rFonts w:ascii="Arial Narrow" w:hAnsi="Arial Narrow"/>
          <w:bCs/>
          <w:lang w:val="bg-BG" w:eastAsia="bg-BG"/>
        </w:rPr>
        <w:t xml:space="preserve">“ - 695 заявления и по дейност </w:t>
      </w:r>
      <w:r w:rsidRPr="008D6BBB">
        <w:rPr>
          <w:rFonts w:ascii="Arial Narrow" w:hAnsi="Arial Narrow"/>
          <w:bCs/>
          <w:lang w:val="bg-BG" w:eastAsia="bg-BG"/>
        </w:rPr>
        <w:t>„Намаляване употребата на антимикробни средства“ - 421 заявления. Към 26.06.2025 г. плащания по интервенцията не са оторизирани.</w:t>
      </w:r>
    </w:p>
    <w:p w14:paraId="246C1834" w14:textId="77777777" w:rsidR="008D6BBB" w:rsidRPr="008D6BBB" w:rsidRDefault="008D6BBB" w:rsidP="008D6BBB">
      <w:pPr>
        <w:spacing w:after="120"/>
        <w:ind w:firstLine="720"/>
        <w:jc w:val="both"/>
        <w:rPr>
          <w:rFonts w:ascii="Arial Narrow" w:hAnsi="Arial Narrow"/>
          <w:b/>
          <w:lang w:val="bg-BG" w:eastAsia="bg-BG"/>
        </w:rPr>
      </w:pPr>
      <w:r w:rsidRPr="008D6BBB">
        <w:rPr>
          <w:rFonts w:ascii="Arial Narrow" w:hAnsi="Arial Narrow"/>
          <w:b/>
          <w:lang w:val="bg-BG" w:eastAsia="bg-BG"/>
        </w:rPr>
        <w:t>Интервенция II.Б.1. „Плащания за райони, изправени пред природни или други специфични ограничения“</w:t>
      </w:r>
    </w:p>
    <w:p w14:paraId="61E94DF8" w14:textId="77777777" w:rsidR="008D6BBB" w:rsidRPr="008D6BBB" w:rsidRDefault="008D6BBB" w:rsidP="008D6BBB">
      <w:pPr>
        <w:spacing w:after="120"/>
        <w:ind w:firstLine="720"/>
        <w:jc w:val="both"/>
        <w:rPr>
          <w:rFonts w:ascii="Arial Narrow" w:hAnsi="Arial Narrow"/>
          <w:bCs/>
          <w:lang w:val="bg-BG" w:eastAsia="bg-BG"/>
        </w:rPr>
      </w:pPr>
      <w:r w:rsidRPr="008D6BBB">
        <w:rPr>
          <w:rFonts w:ascii="Arial Narrow" w:hAnsi="Arial Narrow"/>
          <w:bCs/>
          <w:lang w:val="bg-BG" w:eastAsia="bg-BG"/>
        </w:rPr>
        <w:t>Интервенцията се прилага в три направления - „Плащания за планински райони“ (НР 1), „Плащания за райони, различни от планинските райони, със съществени природни ограничения“ (НР 2) и „Плащания за райони със специфични ограничения“ (НР 3).</w:t>
      </w:r>
    </w:p>
    <w:p w14:paraId="4E60FD15" w14:textId="77777777" w:rsidR="008D6BBB" w:rsidRPr="008D6BBB" w:rsidRDefault="008D6BBB" w:rsidP="008D6BBB">
      <w:pPr>
        <w:spacing w:after="120"/>
        <w:ind w:firstLine="720"/>
        <w:jc w:val="both"/>
        <w:rPr>
          <w:rFonts w:ascii="Arial Narrow" w:hAnsi="Arial Narrow"/>
          <w:bCs/>
          <w:lang w:val="bg-BG" w:eastAsia="bg-BG"/>
        </w:rPr>
      </w:pPr>
      <w:r w:rsidRPr="008D6BBB">
        <w:rPr>
          <w:rFonts w:ascii="Arial Narrow" w:hAnsi="Arial Narrow"/>
          <w:bCs/>
          <w:lang w:val="bg-BG" w:eastAsia="bg-BG"/>
        </w:rPr>
        <w:t>През Кампания `2024  са подадени 17 745 заявления по направление НР 1, 5 363  заявления по направление НР 2 и 715 заявления по направление НР 3. Общо изплатените средства по интервенцията към 26.06.2025 г. възлизат на 101 962 498 лева.</w:t>
      </w:r>
    </w:p>
    <w:p w14:paraId="79D9EE3C" w14:textId="77777777" w:rsidR="008D6BBB" w:rsidRPr="008D6BBB" w:rsidRDefault="008D6BBB" w:rsidP="008D6BBB">
      <w:pPr>
        <w:spacing w:after="120"/>
        <w:ind w:firstLine="720"/>
        <w:jc w:val="both"/>
        <w:rPr>
          <w:rFonts w:ascii="Arial Narrow" w:hAnsi="Arial Narrow"/>
          <w:b/>
          <w:lang w:val="bg-BG" w:eastAsia="bg-BG"/>
        </w:rPr>
      </w:pPr>
      <w:r w:rsidRPr="008D6BBB">
        <w:rPr>
          <w:rFonts w:ascii="Arial Narrow" w:hAnsi="Arial Narrow"/>
          <w:b/>
          <w:lang w:val="bg-BG" w:eastAsia="bg-BG"/>
        </w:rPr>
        <w:t>Интервенция II.В.1. „Плащания за земеделски земи в зони от Натура 2000“</w:t>
      </w:r>
    </w:p>
    <w:p w14:paraId="38956B4F" w14:textId="77777777" w:rsidR="008D6BBB" w:rsidRPr="008D6BBB" w:rsidRDefault="008D6BBB" w:rsidP="008D6BBB">
      <w:pPr>
        <w:spacing w:after="120"/>
        <w:ind w:firstLine="720"/>
        <w:jc w:val="both"/>
        <w:rPr>
          <w:rFonts w:ascii="Arial Narrow" w:hAnsi="Arial Narrow"/>
          <w:bCs/>
          <w:lang w:val="bg-BG" w:eastAsia="bg-BG"/>
        </w:rPr>
      </w:pPr>
      <w:r w:rsidRPr="008D6BBB">
        <w:rPr>
          <w:rFonts w:ascii="Arial Narrow" w:hAnsi="Arial Narrow"/>
          <w:bCs/>
          <w:lang w:val="bg-BG" w:eastAsia="bg-BG"/>
        </w:rPr>
        <w:t xml:space="preserve">В интервенцията се включват всички земеделски земи (обработваеми земи, трайни насаждения и постоянно затревени площи), попадащи в обхвата на защитените зони по Натура 2000, за които са издадени заповеди за обявяването им, с разписани конкретни забрани за земеделски дейности. </w:t>
      </w:r>
    </w:p>
    <w:p w14:paraId="574284BF" w14:textId="77777777" w:rsidR="008D6BBB" w:rsidRPr="008D6BBB" w:rsidRDefault="008D6BBB" w:rsidP="008D6BBB">
      <w:pPr>
        <w:spacing w:after="120"/>
        <w:ind w:firstLine="720"/>
        <w:jc w:val="both"/>
        <w:rPr>
          <w:rFonts w:ascii="Arial Narrow" w:hAnsi="Arial Narrow"/>
          <w:bCs/>
          <w:lang w:val="bg-BG" w:eastAsia="bg-BG"/>
        </w:rPr>
      </w:pPr>
      <w:r w:rsidRPr="008D6BBB">
        <w:rPr>
          <w:rFonts w:ascii="Arial Narrow" w:hAnsi="Arial Narrow"/>
          <w:bCs/>
          <w:lang w:val="bg-BG" w:eastAsia="bg-BG"/>
        </w:rPr>
        <w:lastRenderedPageBreak/>
        <w:t>Подпомагането по интервенцията се предоставя под формата на годишно плащане на хектар земеделска площ за компенсиране на наложени забрани за извършване на конкретни земеделски дейности, включени в съответната заповед за обявяване за всяка зона от Натура 2000 или в утвърден план за управление на защитената зона от Натура 2000.</w:t>
      </w:r>
    </w:p>
    <w:p w14:paraId="2DEB856E" w14:textId="77777777" w:rsidR="008D6BBB" w:rsidRPr="008D6BBB" w:rsidRDefault="008D6BBB" w:rsidP="008D6BBB">
      <w:pPr>
        <w:spacing w:after="120"/>
        <w:ind w:firstLine="720"/>
        <w:jc w:val="both"/>
        <w:rPr>
          <w:rFonts w:ascii="Arial Narrow" w:hAnsi="Arial Narrow"/>
          <w:bCs/>
          <w:lang w:val="bg-BG" w:eastAsia="bg-BG"/>
        </w:rPr>
      </w:pPr>
      <w:r w:rsidRPr="008D6BBB">
        <w:rPr>
          <w:rFonts w:ascii="Arial Narrow" w:hAnsi="Arial Narrow"/>
          <w:bCs/>
          <w:lang w:val="bg-BG" w:eastAsia="bg-BG"/>
        </w:rPr>
        <w:t>През Кампания `2024  са постъпили 12 262 заявления за подпомагане.</w:t>
      </w:r>
      <w:r w:rsidRPr="008D6BBB">
        <w:rPr>
          <w:lang w:val="bg-BG" w:eastAsia="bg-BG"/>
        </w:rPr>
        <w:t xml:space="preserve"> </w:t>
      </w:r>
      <w:r w:rsidRPr="008D6BBB">
        <w:rPr>
          <w:rFonts w:ascii="Arial Narrow" w:hAnsi="Arial Narrow"/>
          <w:bCs/>
          <w:lang w:val="bg-BG" w:eastAsia="bg-BG"/>
        </w:rPr>
        <w:t>Към 26.06.2025 г. плащания по интервенцията не са оторизирани.</w:t>
      </w:r>
    </w:p>
    <w:p w14:paraId="3F6A91F8" w14:textId="77777777" w:rsidR="008D6BBB" w:rsidRPr="008D6BBB" w:rsidRDefault="008D6BBB" w:rsidP="008D6BBB">
      <w:pPr>
        <w:spacing w:after="120"/>
        <w:ind w:firstLine="720"/>
        <w:jc w:val="both"/>
        <w:rPr>
          <w:rFonts w:ascii="Arial Narrow" w:hAnsi="Arial Narrow"/>
          <w:b/>
          <w:lang w:val="bg-BG" w:eastAsia="bg-BG"/>
        </w:rPr>
      </w:pPr>
      <w:r w:rsidRPr="008D6BBB">
        <w:rPr>
          <w:rFonts w:ascii="Arial Narrow" w:hAnsi="Arial Narrow"/>
          <w:b/>
          <w:lang w:val="bg-BG" w:eastAsia="bg-BG"/>
        </w:rPr>
        <w:t xml:space="preserve">Интервенции от СПРЗСР 2023-2027 г. за консултантски услуги, повишаване на консултантския капацитет, сътрудничество и професионално обучение </w:t>
      </w:r>
    </w:p>
    <w:p w14:paraId="766EBC18" w14:textId="77777777" w:rsidR="008D6BBB" w:rsidRPr="008D6BBB" w:rsidRDefault="008D6BBB" w:rsidP="008D6BBB">
      <w:pPr>
        <w:spacing w:after="120"/>
        <w:ind w:firstLine="720"/>
        <w:jc w:val="both"/>
        <w:rPr>
          <w:rFonts w:ascii="Arial Narrow" w:hAnsi="Arial Narrow"/>
          <w:b/>
          <w:lang w:val="bg-BG" w:eastAsia="bg-BG"/>
        </w:rPr>
      </w:pPr>
      <w:r w:rsidRPr="008D6BBB">
        <w:rPr>
          <w:rFonts w:ascii="Arial Narrow" w:hAnsi="Arial Narrow"/>
          <w:b/>
          <w:lang w:val="bg-BG" w:eastAsia="bg-BG"/>
        </w:rPr>
        <w:t>Интервенция II.Ж.1. „Подкрепа за оперативни групи в рамките на Европейското партньорство за иновации“</w:t>
      </w:r>
    </w:p>
    <w:p w14:paraId="1132DF3B" w14:textId="77777777" w:rsidR="008D6BBB" w:rsidRPr="008D6BBB" w:rsidRDefault="008D6BBB" w:rsidP="008D6BBB">
      <w:pPr>
        <w:spacing w:after="120"/>
        <w:ind w:firstLine="720"/>
        <w:jc w:val="both"/>
        <w:rPr>
          <w:rFonts w:ascii="Arial Narrow" w:hAnsi="Arial Narrow"/>
          <w:lang w:val="bg-BG" w:eastAsia="bg-BG"/>
        </w:rPr>
      </w:pPr>
      <w:r w:rsidRPr="008D6BBB">
        <w:rPr>
          <w:rFonts w:ascii="Arial Narrow" w:hAnsi="Arial Narrow"/>
          <w:lang w:val="bg-BG" w:eastAsia="bg-BG"/>
        </w:rPr>
        <w:t>С тази интервенция се цели внедряване на върхови постижения на науката и технологиите в земеделската практика. По отношение на равнището на активност в областта на иновациите в земеделието се наблюдават разлики според икономическия тип на стопанствата, като в най-голяма степен на необходимост от въвеждането на иновации в производствената дейност е осъзната при малките и средните ферми и по-младите земеделски стопани. Факторите, които най-силно мотивират фермерите да въведат иновационно решение в своята практика, са получаването на по-високи добиви, реализирането на по-голяма печалба и очакваната икономия на време.</w:t>
      </w:r>
    </w:p>
    <w:p w14:paraId="67AA8D4F" w14:textId="77777777" w:rsidR="008D6BBB" w:rsidRPr="008D6BBB" w:rsidRDefault="008D6BBB" w:rsidP="008D6BBB">
      <w:pPr>
        <w:spacing w:after="120"/>
        <w:ind w:firstLine="720"/>
        <w:jc w:val="both"/>
        <w:rPr>
          <w:rFonts w:ascii="Arial Narrow" w:hAnsi="Arial Narrow"/>
          <w:lang w:val="bg-BG" w:eastAsia="bg-BG"/>
        </w:rPr>
      </w:pPr>
      <w:r w:rsidRPr="008D6BBB">
        <w:rPr>
          <w:rFonts w:ascii="Arial Narrow" w:hAnsi="Arial Narrow"/>
          <w:lang w:val="bg-BG" w:eastAsia="bg-BG"/>
        </w:rPr>
        <w:t xml:space="preserve">Интервенцията е насочена към Оперативни групи, създадени по реда на Закона за задълженията и договорите, или обединения по силата на споразумение за партньорство, при които допустим бенефициент по интервенцията е водещия партньор. Оперативните групи се сформират за постигане на целите на ЕПИ и могат да включват като участник най-малко един земеделски стопанин, а в случаите на проекти в сферата на горското стопанство - най-малко един горски стопанин. </w:t>
      </w:r>
    </w:p>
    <w:p w14:paraId="14FBF65B" w14:textId="77777777" w:rsidR="008D6BBB" w:rsidRPr="008D6BBB" w:rsidRDefault="008D6BBB" w:rsidP="008D6BBB">
      <w:pPr>
        <w:spacing w:after="120"/>
        <w:ind w:firstLine="720"/>
        <w:jc w:val="both"/>
        <w:rPr>
          <w:rFonts w:ascii="Arial Narrow" w:hAnsi="Arial Narrow"/>
          <w:lang w:val="bg-BG" w:eastAsia="bg-BG"/>
        </w:rPr>
      </w:pPr>
      <w:r w:rsidRPr="008D6BBB">
        <w:rPr>
          <w:rFonts w:ascii="Arial Narrow" w:hAnsi="Arial Narrow"/>
          <w:lang w:val="bg-BG" w:eastAsia="bg-BG"/>
        </w:rPr>
        <w:t>Оперативните групи могат да включват регистрирани земеделски стопани, в т. ч. признати групи или организации на производители, собственици/ползватели на горски територии, браншови организации за производство и преработка на селскостопански продукти и кооперации, научни институти или опитни станции, които извършват научни изследвания и научно обслужване в областта на селското стопанство или горското стопанство, висши училища, акредитирани по професионални направления „Растениевъдство“, „Растителна защита“, „Животновъдство“, „Ветеринарна медицина“, „Горско стопанство“, „Хранителни технологии“ и „Биотехнологии“.</w:t>
      </w:r>
    </w:p>
    <w:p w14:paraId="2126AEB1" w14:textId="77777777" w:rsidR="008D6BBB" w:rsidRPr="008D6BBB" w:rsidRDefault="008D6BBB" w:rsidP="008D6BBB">
      <w:pPr>
        <w:spacing w:after="120"/>
        <w:ind w:firstLine="720"/>
        <w:jc w:val="both"/>
        <w:rPr>
          <w:rFonts w:ascii="Arial Narrow" w:hAnsi="Arial Narrow"/>
          <w:lang w:val="bg-BG" w:eastAsia="bg-BG"/>
        </w:rPr>
      </w:pPr>
      <w:r w:rsidRPr="008D6BBB">
        <w:rPr>
          <w:rFonts w:ascii="Arial Narrow" w:hAnsi="Arial Narrow"/>
          <w:lang w:val="bg-BG" w:eastAsia="bg-BG"/>
        </w:rPr>
        <w:t>Подпомагат се най-общо дейности за изпълнение на новаторския проект в две стъпки: първа стъпка - сформиране на ОГ, с максимален размер на подкрепата 29 337 лева, и втора стъпка - функциониране на ОГ, с максимален размер на предоставените средства 782 320 лева. В случаите на проекти, чиито краен продукт попада извън обхвата на Анекс I от ДФЕС, помощта се ограничава до 684 530 лева.</w:t>
      </w:r>
    </w:p>
    <w:p w14:paraId="64088787" w14:textId="77777777" w:rsidR="008D6BBB" w:rsidRPr="008D6BBB" w:rsidRDefault="008D6BBB" w:rsidP="008D6BBB">
      <w:pPr>
        <w:spacing w:after="120"/>
        <w:ind w:firstLine="720"/>
        <w:jc w:val="both"/>
        <w:rPr>
          <w:rFonts w:ascii="Arial Narrow" w:hAnsi="Arial Narrow"/>
          <w:lang w:val="bg-BG" w:eastAsia="bg-BG"/>
        </w:rPr>
      </w:pPr>
      <w:r w:rsidRPr="008D6BBB">
        <w:rPr>
          <w:rFonts w:ascii="Arial Narrow" w:hAnsi="Arial Narrow"/>
          <w:lang w:val="bg-BG" w:eastAsia="bg-BG"/>
        </w:rPr>
        <w:t>През 2025 г. в процес на реализация е първа стъпка – в рамките на проведен прием са постъпили 118 заявления за подпомагане, които са в процедура по оценка. Най-голям е броят на привлечените за партньори земеделски стопани - над 230, консултантите са над 100, представителите на науката са над 30, а почти същия е броят и на университетите и професионалните гимназии.</w:t>
      </w:r>
    </w:p>
    <w:p w14:paraId="36442DF8" w14:textId="77777777" w:rsidR="008D6BBB" w:rsidRPr="008D6BBB" w:rsidRDefault="008D6BBB" w:rsidP="008D6BBB">
      <w:pPr>
        <w:spacing w:after="120"/>
        <w:ind w:firstLine="720"/>
        <w:jc w:val="both"/>
        <w:rPr>
          <w:rFonts w:ascii="Arial Narrow" w:hAnsi="Arial Narrow"/>
          <w:lang w:val="bg-BG" w:eastAsia="bg-BG"/>
        </w:rPr>
      </w:pPr>
      <w:r w:rsidRPr="008D6BBB">
        <w:rPr>
          <w:rFonts w:ascii="Arial Narrow" w:hAnsi="Arial Narrow"/>
          <w:lang w:val="bg-BG" w:eastAsia="bg-BG"/>
        </w:rPr>
        <w:t xml:space="preserve">Основните теми, които са застъпени в предвидените новаторски проекти, са свързани с областите дигитализация, почви, изменение на климата, животновъдство, прилагане на нови бизнес модели. </w:t>
      </w:r>
    </w:p>
    <w:p w14:paraId="70A45A75" w14:textId="77777777" w:rsidR="008D6BBB" w:rsidRPr="008D6BBB" w:rsidRDefault="008D6BBB" w:rsidP="008D6BBB">
      <w:pPr>
        <w:spacing w:after="120"/>
        <w:ind w:firstLine="720"/>
        <w:jc w:val="both"/>
        <w:rPr>
          <w:rFonts w:ascii="Arial Narrow" w:hAnsi="Arial Narrow"/>
          <w:lang w:val="bg-BG" w:eastAsia="bg-BG"/>
        </w:rPr>
      </w:pPr>
      <w:r w:rsidRPr="008D6BBB">
        <w:rPr>
          <w:rFonts w:ascii="Arial Narrow" w:hAnsi="Arial Narrow"/>
          <w:lang w:val="bg-BG" w:eastAsia="bg-BG"/>
        </w:rPr>
        <w:t>Втората стъпка от одобрението на оперативните групи предстои да бъде стартирана като прием през м. септември 2025 г., с бюджет от 58 674 000 лева.</w:t>
      </w:r>
    </w:p>
    <w:p w14:paraId="6C2F32C3" w14:textId="77777777" w:rsidR="008D6BBB" w:rsidRPr="008D6BBB" w:rsidRDefault="008D6BBB" w:rsidP="008D6BBB">
      <w:pPr>
        <w:spacing w:after="120"/>
        <w:ind w:firstLine="720"/>
        <w:jc w:val="both"/>
        <w:rPr>
          <w:rFonts w:ascii="Arial Narrow" w:hAnsi="Arial Narrow"/>
          <w:b/>
          <w:lang w:val="bg-BG" w:eastAsia="bg-BG"/>
        </w:rPr>
      </w:pPr>
      <w:r w:rsidRPr="008D6BBB">
        <w:rPr>
          <w:rFonts w:ascii="Arial Narrow" w:hAnsi="Arial Narrow"/>
          <w:b/>
          <w:lang w:val="bg-BG" w:eastAsia="bg-BG"/>
        </w:rPr>
        <w:t>Интервенция II.Ж.2 - Сътрудничество за къси вериги на доставка</w:t>
      </w:r>
    </w:p>
    <w:p w14:paraId="69BB5135" w14:textId="77777777" w:rsidR="008D6BBB" w:rsidRPr="008D6BBB" w:rsidRDefault="008D6BBB" w:rsidP="008D6BBB">
      <w:pPr>
        <w:spacing w:after="120"/>
        <w:ind w:firstLine="720"/>
        <w:jc w:val="both"/>
        <w:rPr>
          <w:rFonts w:ascii="Arial Narrow" w:hAnsi="Arial Narrow"/>
          <w:lang w:val="bg-BG" w:eastAsia="bg-BG"/>
        </w:rPr>
      </w:pPr>
      <w:r w:rsidRPr="008D6BBB">
        <w:rPr>
          <w:rFonts w:ascii="Arial Narrow" w:hAnsi="Arial Narrow"/>
          <w:lang w:val="bg-BG" w:eastAsia="bg-BG"/>
        </w:rPr>
        <w:t>Скъсяването на веригата на доставки на селскостопански продукти дава възможност, от една страна, да се гарантира качество на продуктите, а от друга – да се увеличи добавената стойност за производителите. Използването на къси вериги на доставки допринася за местното развитие и запазването на местната идентичност.</w:t>
      </w:r>
    </w:p>
    <w:p w14:paraId="52274D86" w14:textId="77777777" w:rsidR="008D6BBB" w:rsidRPr="008D6BBB" w:rsidRDefault="008D6BBB" w:rsidP="008D6BBB">
      <w:pPr>
        <w:spacing w:after="120"/>
        <w:ind w:firstLine="720"/>
        <w:jc w:val="both"/>
        <w:rPr>
          <w:rFonts w:ascii="Arial Narrow" w:hAnsi="Arial Narrow"/>
          <w:lang w:val="bg-BG" w:eastAsia="bg-BG"/>
        </w:rPr>
      </w:pPr>
      <w:r w:rsidRPr="008D6BBB">
        <w:rPr>
          <w:rFonts w:ascii="Arial Narrow" w:hAnsi="Arial Narrow"/>
          <w:lang w:val="bg-BG" w:eastAsia="bg-BG"/>
        </w:rPr>
        <w:lastRenderedPageBreak/>
        <w:t>Интервенцията е насочена към обединение от земеделски стопани, в това число групи и организации на производители, областно, регионално и национално представителни браншови организации за производство и преработка на селскостопански продукти в секторите „Растениевъдство“ и „Животновъдство“ и обединения, включващи най-малко 5 регистрирани земеделски стопани.</w:t>
      </w:r>
    </w:p>
    <w:p w14:paraId="48D5DD67" w14:textId="77777777" w:rsidR="008D6BBB" w:rsidRPr="008D6BBB" w:rsidRDefault="008D6BBB" w:rsidP="008D6BBB">
      <w:pPr>
        <w:spacing w:after="120"/>
        <w:ind w:firstLine="720"/>
        <w:jc w:val="both"/>
        <w:rPr>
          <w:rFonts w:ascii="Arial Narrow" w:hAnsi="Arial Narrow"/>
          <w:lang w:val="bg-BG" w:eastAsia="bg-BG"/>
        </w:rPr>
      </w:pPr>
      <w:r w:rsidRPr="008D6BBB">
        <w:rPr>
          <w:rFonts w:ascii="Arial Narrow" w:hAnsi="Arial Narrow"/>
          <w:lang w:val="bg-BG" w:eastAsia="bg-BG"/>
        </w:rPr>
        <w:t>Подпомагат се инвестиции за създаване и функциониране на къси вериги на доставки, чрез които селскостопанската продукция се предлага на крайните потребители директно от нейните производители.</w:t>
      </w:r>
    </w:p>
    <w:p w14:paraId="4F9B9C72" w14:textId="77777777" w:rsidR="008D6BBB" w:rsidRPr="008D6BBB" w:rsidRDefault="008D6BBB" w:rsidP="008D6BBB">
      <w:pPr>
        <w:spacing w:after="120"/>
        <w:ind w:firstLine="720"/>
        <w:jc w:val="both"/>
        <w:rPr>
          <w:rFonts w:ascii="Arial Narrow" w:hAnsi="Arial Narrow"/>
          <w:lang w:val="bg-BG" w:eastAsia="bg-BG"/>
        </w:rPr>
      </w:pPr>
      <w:r w:rsidRPr="008D6BBB">
        <w:rPr>
          <w:rFonts w:ascii="Arial Narrow" w:hAnsi="Arial Narrow"/>
          <w:lang w:val="bg-BG" w:eastAsia="bg-BG"/>
        </w:rPr>
        <w:t>Средствата, предоставяни под формата на допустими разходи за един проект, изпълняван от бенефициент за периода на прилагане на СПРЗСР 2023-2027 г., възлизат на 586 740 лева, в това число за:</w:t>
      </w:r>
    </w:p>
    <w:p w14:paraId="1FCDAE10" w14:textId="77777777" w:rsidR="008D6BBB" w:rsidRPr="008D6BBB" w:rsidRDefault="008D6BBB" w:rsidP="009C6577">
      <w:pPr>
        <w:numPr>
          <w:ilvl w:val="0"/>
          <w:numId w:val="52"/>
        </w:numPr>
        <w:tabs>
          <w:tab w:val="left" w:pos="1134"/>
        </w:tabs>
        <w:autoSpaceDE w:val="0"/>
        <w:autoSpaceDN w:val="0"/>
        <w:adjustRightInd w:val="0"/>
        <w:spacing w:after="120"/>
        <w:ind w:left="714" w:hanging="357"/>
        <w:contextualSpacing/>
        <w:jc w:val="both"/>
        <w:rPr>
          <w:rFonts w:ascii="Arial Narrow" w:eastAsia="Calibri" w:hAnsi="Arial Narrow"/>
          <w:lang w:val="bg-BG"/>
        </w:rPr>
      </w:pPr>
      <w:r w:rsidRPr="008D6BBB">
        <w:rPr>
          <w:rFonts w:ascii="Arial Narrow" w:eastAsia="Calibri" w:hAnsi="Arial Narrow"/>
          <w:lang w:val="bg-BG"/>
        </w:rPr>
        <w:t>Текущи разходи за функциониране на обединението за къса верига на доставки, като част от допустимите разходи по проекта, които не могат да надхвърлят 58 674 лева на година;</w:t>
      </w:r>
    </w:p>
    <w:p w14:paraId="309B5DD3" w14:textId="77777777" w:rsidR="008D6BBB" w:rsidRPr="008D6BBB" w:rsidRDefault="008D6BBB" w:rsidP="009C6577">
      <w:pPr>
        <w:numPr>
          <w:ilvl w:val="0"/>
          <w:numId w:val="52"/>
        </w:numPr>
        <w:tabs>
          <w:tab w:val="left" w:pos="1134"/>
        </w:tabs>
        <w:autoSpaceDE w:val="0"/>
        <w:autoSpaceDN w:val="0"/>
        <w:adjustRightInd w:val="0"/>
        <w:spacing w:after="120"/>
        <w:ind w:left="714" w:hanging="357"/>
        <w:contextualSpacing/>
        <w:jc w:val="both"/>
        <w:rPr>
          <w:rFonts w:ascii="Arial Narrow" w:eastAsia="Calibri" w:hAnsi="Arial Narrow"/>
          <w:lang w:val="bg-BG"/>
        </w:rPr>
      </w:pPr>
      <w:r w:rsidRPr="008D6BBB">
        <w:rPr>
          <w:rFonts w:ascii="Arial Narrow" w:eastAsia="Calibri" w:hAnsi="Arial Narrow"/>
          <w:lang w:val="bg-BG"/>
        </w:rPr>
        <w:t>Разходи за популяризиране на проекта на обединението за къса верига на доставки, като част от допустимите разходи по проекта, които не могат да надхвърлят 39 116 лева за периода на прилагане.</w:t>
      </w:r>
    </w:p>
    <w:p w14:paraId="536B4277" w14:textId="77777777" w:rsidR="008D6BBB" w:rsidRPr="008D6BBB" w:rsidRDefault="008D6BBB" w:rsidP="008D6BBB">
      <w:pPr>
        <w:spacing w:after="120"/>
        <w:ind w:firstLine="720"/>
        <w:jc w:val="both"/>
        <w:rPr>
          <w:rFonts w:ascii="Arial Narrow" w:hAnsi="Arial Narrow"/>
          <w:lang w:val="bg-BG" w:eastAsia="bg-BG"/>
        </w:rPr>
      </w:pPr>
      <w:r w:rsidRPr="008D6BBB">
        <w:rPr>
          <w:rFonts w:ascii="Arial Narrow" w:hAnsi="Arial Narrow"/>
          <w:lang w:val="bg-BG" w:eastAsia="bg-BG"/>
        </w:rPr>
        <w:t>Съгласно годишния индикативен график за приеми по СПРЗСР 2023-2027 г. за 2025 г. се предвижда първият прием по интервенцията да бъде отворен през м. септември 2025 г.</w:t>
      </w:r>
    </w:p>
    <w:p w14:paraId="54E1AEC3" w14:textId="77777777" w:rsidR="008D6BBB" w:rsidRPr="008D6BBB" w:rsidRDefault="008D6BBB" w:rsidP="008D6BBB">
      <w:pPr>
        <w:spacing w:after="120"/>
        <w:ind w:firstLine="720"/>
        <w:jc w:val="both"/>
        <w:rPr>
          <w:rFonts w:ascii="Arial Narrow" w:hAnsi="Arial Narrow"/>
          <w:b/>
          <w:lang w:val="bg-BG" w:eastAsia="bg-BG"/>
        </w:rPr>
      </w:pPr>
      <w:r w:rsidRPr="008D6BBB">
        <w:rPr>
          <w:rFonts w:ascii="Arial Narrow" w:hAnsi="Arial Narrow"/>
          <w:b/>
          <w:lang w:val="bg-BG" w:eastAsia="bg-BG"/>
        </w:rPr>
        <w:t>Интервенция II.И.1. - Консултантски услуги и повишаване на консултантския капацитет</w:t>
      </w:r>
    </w:p>
    <w:p w14:paraId="70FA5F61" w14:textId="77777777" w:rsidR="008D6BBB" w:rsidRPr="008D6BBB" w:rsidRDefault="008D6BBB" w:rsidP="008D6BBB">
      <w:pPr>
        <w:spacing w:after="120"/>
        <w:ind w:firstLine="720"/>
        <w:jc w:val="both"/>
        <w:rPr>
          <w:rFonts w:ascii="Arial Narrow" w:hAnsi="Arial Narrow"/>
          <w:lang w:val="bg-BG" w:eastAsia="bg-BG"/>
        </w:rPr>
      </w:pPr>
      <w:r w:rsidRPr="008D6BBB">
        <w:rPr>
          <w:rFonts w:ascii="Arial Narrow" w:hAnsi="Arial Narrow"/>
          <w:lang w:val="bg-BG" w:eastAsia="bg-BG"/>
        </w:rPr>
        <w:t>За да се увеличи конкурентоспособността и жизнеспособността на малките стопанства има ясна необходимост от подобряване на знанията и уменията на управителите на тези стопанства в областта на управлението и земеделското производство, в т. ч. чрез оказване на съдействие под формата на предоставяне на съвети от специалисти с подходяща експертиза.</w:t>
      </w:r>
    </w:p>
    <w:p w14:paraId="502A05B2" w14:textId="77777777" w:rsidR="008D6BBB" w:rsidRPr="008D6BBB" w:rsidRDefault="008D6BBB" w:rsidP="008D6BBB">
      <w:pPr>
        <w:spacing w:after="120"/>
        <w:ind w:firstLine="720"/>
        <w:jc w:val="both"/>
        <w:rPr>
          <w:rFonts w:ascii="Arial Narrow" w:hAnsi="Arial Narrow"/>
          <w:lang w:val="bg-BG" w:eastAsia="bg-BG"/>
        </w:rPr>
      </w:pPr>
      <w:r w:rsidRPr="008D6BBB">
        <w:rPr>
          <w:rFonts w:ascii="Arial Narrow" w:hAnsi="Arial Narrow"/>
          <w:lang w:val="bg-BG" w:eastAsia="bg-BG"/>
        </w:rPr>
        <w:t>Интервенцията е насочена към всички физически и юридически лица, които разполагат с експертиза за предоставяне на съветнически услуги, попадащи в приложното поле на включените съветнически пакети. Подпомагат се дейности за предоставяне на съвети на земеделски и горски стопани с цел подобряване на икономическите и екологичните показатели, както и на климатичната съобразеност и устойчивост на изменението на климата на техните стопанства.</w:t>
      </w:r>
    </w:p>
    <w:p w14:paraId="7729686F" w14:textId="77777777" w:rsidR="008D6BBB" w:rsidRPr="008D6BBB" w:rsidRDefault="008D6BBB" w:rsidP="008D6BBB">
      <w:pPr>
        <w:spacing w:after="120"/>
        <w:ind w:firstLine="720"/>
        <w:jc w:val="both"/>
        <w:rPr>
          <w:rFonts w:ascii="Arial Narrow" w:hAnsi="Arial Narrow"/>
          <w:lang w:val="bg-BG" w:eastAsia="bg-BG"/>
        </w:rPr>
      </w:pPr>
      <w:r w:rsidRPr="008D6BBB">
        <w:rPr>
          <w:rFonts w:ascii="Arial Narrow" w:hAnsi="Arial Narrow"/>
          <w:lang w:val="bg-BG" w:eastAsia="bg-BG"/>
        </w:rPr>
        <w:t>Предоставя се възможност и за подпомагане на дейности, свързани с разширяване на капацитета за предоставяне на съветнически услуги на малки, много малки земеделски стопанства и на млади земеделски стопани, чрез дейността на съветниците, които са част от общински мобилни консултантски центрове (офиси) на НССЗ.</w:t>
      </w:r>
    </w:p>
    <w:p w14:paraId="0A986450" w14:textId="77777777" w:rsidR="008D6BBB" w:rsidRPr="008D6BBB" w:rsidRDefault="008D6BBB" w:rsidP="008D6BBB">
      <w:pPr>
        <w:spacing w:after="120"/>
        <w:ind w:firstLine="720"/>
        <w:jc w:val="both"/>
        <w:rPr>
          <w:rFonts w:ascii="Arial Narrow" w:hAnsi="Arial Narrow"/>
          <w:lang w:val="bg-BG" w:eastAsia="bg-BG"/>
        </w:rPr>
      </w:pPr>
      <w:r w:rsidRPr="008D6BBB">
        <w:rPr>
          <w:rFonts w:ascii="Arial Narrow" w:hAnsi="Arial Narrow"/>
          <w:lang w:val="bg-BG" w:eastAsia="bg-BG"/>
        </w:rPr>
        <w:t>Средствата се предоставят под формата на стандартна таблица на разходите за единица продукт (стандартни опростени разходи) или така наречените съветнически пакети.</w:t>
      </w:r>
    </w:p>
    <w:p w14:paraId="134CF974" w14:textId="77777777" w:rsidR="008D6BBB" w:rsidRPr="008D6BBB" w:rsidRDefault="008D6BBB" w:rsidP="008D6BBB">
      <w:pPr>
        <w:spacing w:after="120"/>
        <w:ind w:firstLine="720"/>
        <w:jc w:val="both"/>
        <w:rPr>
          <w:rFonts w:ascii="Arial Narrow" w:hAnsi="Arial Narrow"/>
          <w:lang w:val="bg-BG" w:eastAsia="bg-BG"/>
        </w:rPr>
      </w:pPr>
      <w:r w:rsidRPr="008D6BBB">
        <w:rPr>
          <w:rFonts w:ascii="Arial Narrow" w:hAnsi="Arial Narrow"/>
          <w:lang w:val="bg-BG" w:eastAsia="bg-BG"/>
        </w:rPr>
        <w:t>Разходите за предоставяне на съветническите пакети могат да включват възнаграждения на консултантите, пътни разходи, материали, разходи, свързани с мястото на което се предоставя консултацията, други разходи, пряко свързани с предоставянето на консултантския пакет.</w:t>
      </w:r>
    </w:p>
    <w:p w14:paraId="0B0A86F3" w14:textId="77777777" w:rsidR="008D6BBB" w:rsidRPr="008D6BBB" w:rsidRDefault="008D6BBB" w:rsidP="008D6BBB">
      <w:pPr>
        <w:spacing w:after="120"/>
        <w:ind w:firstLine="720"/>
        <w:jc w:val="both"/>
        <w:rPr>
          <w:rFonts w:ascii="Arial Narrow" w:hAnsi="Arial Narrow"/>
          <w:lang w:val="bg-BG" w:eastAsia="bg-BG"/>
        </w:rPr>
      </w:pPr>
      <w:r w:rsidRPr="008D6BBB">
        <w:rPr>
          <w:rFonts w:ascii="Arial Narrow" w:hAnsi="Arial Narrow"/>
          <w:lang w:val="bg-BG" w:eastAsia="bg-BG"/>
        </w:rPr>
        <w:t>Размерът на безвъзмездната финансова помощ за дейности, свързани с предоставяне на съветнически услуги под формата на съветнически пакети, е до 100% от размера на предвидените разходи.</w:t>
      </w:r>
    </w:p>
    <w:p w14:paraId="2DE7C769" w14:textId="77777777" w:rsidR="008D6BBB" w:rsidRPr="008D6BBB" w:rsidRDefault="008D6BBB" w:rsidP="008D6BBB">
      <w:pPr>
        <w:spacing w:after="120"/>
        <w:ind w:firstLine="720"/>
        <w:jc w:val="both"/>
        <w:rPr>
          <w:rFonts w:ascii="Arial Narrow" w:hAnsi="Arial Narrow"/>
          <w:lang w:val="bg-BG" w:eastAsia="bg-BG"/>
        </w:rPr>
      </w:pPr>
      <w:r w:rsidRPr="008D6BBB">
        <w:rPr>
          <w:rFonts w:ascii="Arial Narrow" w:hAnsi="Arial Narrow"/>
          <w:lang w:val="bg-BG" w:eastAsia="bg-BG"/>
        </w:rPr>
        <w:t>През 2025 г. е предвиден прием на проектни предложения по интервенцията.</w:t>
      </w:r>
    </w:p>
    <w:p w14:paraId="2FD9C44A" w14:textId="77777777" w:rsidR="008D6BBB" w:rsidRPr="008D6BBB" w:rsidRDefault="008D6BBB" w:rsidP="008D6BBB">
      <w:pPr>
        <w:spacing w:after="120"/>
        <w:ind w:firstLine="720"/>
        <w:jc w:val="both"/>
        <w:rPr>
          <w:rFonts w:ascii="Arial Narrow" w:hAnsi="Arial Narrow"/>
          <w:b/>
          <w:lang w:val="bg-BG" w:eastAsia="bg-BG"/>
        </w:rPr>
      </w:pPr>
      <w:r w:rsidRPr="008D6BBB">
        <w:rPr>
          <w:rFonts w:ascii="Arial Narrow" w:hAnsi="Arial Narrow"/>
          <w:b/>
          <w:lang w:val="bg-BG" w:eastAsia="bg-BG"/>
        </w:rPr>
        <w:t>Интервенция II.И.2. - Професионално обучение и придобиване на знания</w:t>
      </w:r>
    </w:p>
    <w:p w14:paraId="504C06C0" w14:textId="77777777" w:rsidR="008D6BBB" w:rsidRPr="008D6BBB" w:rsidRDefault="008D6BBB" w:rsidP="008D6BBB">
      <w:pPr>
        <w:spacing w:after="120"/>
        <w:ind w:firstLine="720"/>
        <w:jc w:val="both"/>
        <w:rPr>
          <w:rFonts w:ascii="Arial Narrow" w:hAnsi="Arial Narrow"/>
          <w:lang w:val="bg-BG" w:eastAsia="bg-BG"/>
        </w:rPr>
      </w:pPr>
      <w:r w:rsidRPr="008D6BBB">
        <w:rPr>
          <w:rFonts w:ascii="Arial Narrow" w:hAnsi="Arial Narrow"/>
          <w:lang w:val="bg-BG" w:eastAsia="bg-BG"/>
        </w:rPr>
        <w:t xml:space="preserve">С тази интервенция се цели да се стимулират организациите, използващи различни методи за трансфер на знания, да предлагат форми и методи на обучение и повишаване на квалификацията, които се доближават в максимална степен до потребностите на заетите в селскостопанския сектор.  </w:t>
      </w:r>
    </w:p>
    <w:p w14:paraId="0FABD29D" w14:textId="77777777" w:rsidR="008D6BBB" w:rsidRPr="008D6BBB" w:rsidRDefault="008D6BBB" w:rsidP="008D6BBB">
      <w:pPr>
        <w:spacing w:after="120"/>
        <w:ind w:firstLine="720"/>
        <w:jc w:val="both"/>
        <w:rPr>
          <w:rFonts w:ascii="Arial Narrow" w:hAnsi="Arial Narrow"/>
          <w:lang w:val="bg-BG" w:eastAsia="bg-BG"/>
        </w:rPr>
      </w:pPr>
      <w:r w:rsidRPr="008D6BBB">
        <w:rPr>
          <w:rFonts w:ascii="Arial Narrow" w:hAnsi="Arial Narrow"/>
          <w:lang w:val="bg-BG" w:eastAsia="bg-BG"/>
        </w:rPr>
        <w:t xml:space="preserve">Интервенцията е насочена към институции в системата на професионалното образование и обучение, областно, регионално и национално представителни браншови организации за производство и преработка на селскостопански продукти, за дейности в сектора, за които има национално </w:t>
      </w:r>
      <w:r w:rsidRPr="008D6BBB">
        <w:rPr>
          <w:rFonts w:ascii="Arial Narrow" w:hAnsi="Arial Narrow"/>
          <w:lang w:val="bg-BG" w:eastAsia="bg-BG"/>
        </w:rPr>
        <w:lastRenderedPageBreak/>
        <w:t xml:space="preserve">представителство, при условие че проектът се изпълнява в партньорство с някой от останалите допустими бенефициенти, висши училища и научни организации и др.  </w:t>
      </w:r>
    </w:p>
    <w:p w14:paraId="4DBB82DD" w14:textId="77777777" w:rsidR="008D6BBB" w:rsidRPr="008D6BBB" w:rsidRDefault="008D6BBB" w:rsidP="008D6BBB">
      <w:pPr>
        <w:spacing w:after="120"/>
        <w:ind w:firstLine="720"/>
        <w:jc w:val="both"/>
        <w:rPr>
          <w:rFonts w:ascii="Arial Narrow" w:hAnsi="Arial Narrow"/>
          <w:lang w:val="bg-BG" w:eastAsia="bg-BG"/>
        </w:rPr>
      </w:pPr>
      <w:r w:rsidRPr="008D6BBB">
        <w:rPr>
          <w:rFonts w:ascii="Arial Narrow" w:hAnsi="Arial Narrow"/>
          <w:lang w:val="bg-BG" w:eastAsia="bg-BG"/>
        </w:rPr>
        <w:t>Подпомагането обхваща дейности за професионално обучение и придобиване на умения, които включват провеждане на:</w:t>
      </w:r>
    </w:p>
    <w:p w14:paraId="2D982A1C" w14:textId="77777777" w:rsidR="008D6BBB" w:rsidRPr="008D6BBB" w:rsidRDefault="008D6BBB" w:rsidP="009C6577">
      <w:pPr>
        <w:numPr>
          <w:ilvl w:val="0"/>
          <w:numId w:val="52"/>
        </w:numPr>
        <w:tabs>
          <w:tab w:val="left" w:pos="1134"/>
        </w:tabs>
        <w:autoSpaceDE w:val="0"/>
        <w:autoSpaceDN w:val="0"/>
        <w:adjustRightInd w:val="0"/>
        <w:spacing w:after="120"/>
        <w:ind w:left="714" w:hanging="357"/>
        <w:contextualSpacing/>
        <w:jc w:val="both"/>
        <w:rPr>
          <w:rFonts w:ascii="Arial Narrow" w:eastAsia="Calibri" w:hAnsi="Arial Narrow"/>
          <w:lang w:val="bg-BG"/>
        </w:rPr>
      </w:pPr>
      <w:r w:rsidRPr="008D6BBB">
        <w:rPr>
          <w:rFonts w:ascii="Arial Narrow" w:eastAsia="Calibri" w:hAnsi="Arial Narrow"/>
          <w:lang w:val="bg-BG"/>
        </w:rPr>
        <w:t>курсове за придобиване на квалификация по професия или по част от професия;</w:t>
      </w:r>
    </w:p>
    <w:p w14:paraId="41943523" w14:textId="77777777" w:rsidR="008D6BBB" w:rsidRPr="008D6BBB" w:rsidRDefault="008D6BBB" w:rsidP="009C6577">
      <w:pPr>
        <w:numPr>
          <w:ilvl w:val="0"/>
          <w:numId w:val="52"/>
        </w:numPr>
        <w:tabs>
          <w:tab w:val="left" w:pos="1134"/>
        </w:tabs>
        <w:autoSpaceDE w:val="0"/>
        <w:autoSpaceDN w:val="0"/>
        <w:adjustRightInd w:val="0"/>
        <w:spacing w:after="120"/>
        <w:ind w:left="714" w:hanging="357"/>
        <w:contextualSpacing/>
        <w:jc w:val="both"/>
        <w:rPr>
          <w:rFonts w:ascii="Arial Narrow" w:eastAsia="Calibri" w:hAnsi="Arial Narrow"/>
          <w:lang w:val="bg-BG"/>
        </w:rPr>
      </w:pPr>
      <w:r w:rsidRPr="008D6BBB">
        <w:rPr>
          <w:rFonts w:ascii="Arial Narrow" w:eastAsia="Calibri" w:hAnsi="Arial Narrow"/>
          <w:lang w:val="bg-BG"/>
        </w:rPr>
        <w:t>курсове за повишаване на квалификацията;</w:t>
      </w:r>
    </w:p>
    <w:p w14:paraId="6DC745B2" w14:textId="77777777" w:rsidR="008D6BBB" w:rsidRPr="008D6BBB" w:rsidRDefault="008D6BBB" w:rsidP="009C6577">
      <w:pPr>
        <w:numPr>
          <w:ilvl w:val="0"/>
          <w:numId w:val="52"/>
        </w:numPr>
        <w:tabs>
          <w:tab w:val="left" w:pos="1134"/>
        </w:tabs>
        <w:autoSpaceDE w:val="0"/>
        <w:autoSpaceDN w:val="0"/>
        <w:adjustRightInd w:val="0"/>
        <w:spacing w:after="120"/>
        <w:ind w:left="714" w:hanging="357"/>
        <w:contextualSpacing/>
        <w:jc w:val="both"/>
        <w:rPr>
          <w:rFonts w:ascii="Arial Narrow" w:eastAsia="Calibri" w:hAnsi="Arial Narrow"/>
          <w:lang w:val="bg-BG"/>
        </w:rPr>
      </w:pPr>
      <w:r w:rsidRPr="008D6BBB">
        <w:rPr>
          <w:rFonts w:ascii="Arial Narrow" w:eastAsia="Calibri" w:hAnsi="Arial Narrow"/>
          <w:lang w:val="bg-BG"/>
        </w:rPr>
        <w:t>специализирани курсове за придобиване на правоспособност за работа със земеделска и горска техника;</w:t>
      </w:r>
    </w:p>
    <w:p w14:paraId="10C9B088" w14:textId="77777777" w:rsidR="008D6BBB" w:rsidRPr="008D6BBB" w:rsidRDefault="008D6BBB" w:rsidP="009C6577">
      <w:pPr>
        <w:numPr>
          <w:ilvl w:val="0"/>
          <w:numId w:val="52"/>
        </w:numPr>
        <w:tabs>
          <w:tab w:val="left" w:pos="1134"/>
        </w:tabs>
        <w:autoSpaceDE w:val="0"/>
        <w:autoSpaceDN w:val="0"/>
        <w:adjustRightInd w:val="0"/>
        <w:spacing w:after="120"/>
        <w:ind w:left="714" w:hanging="357"/>
        <w:contextualSpacing/>
        <w:jc w:val="both"/>
        <w:rPr>
          <w:rFonts w:ascii="Arial Narrow" w:eastAsia="Calibri" w:hAnsi="Arial Narrow"/>
          <w:lang w:val="bg-BG"/>
        </w:rPr>
      </w:pPr>
      <w:r w:rsidRPr="008D6BBB">
        <w:rPr>
          <w:rFonts w:ascii="Arial Narrow" w:eastAsia="Calibri" w:hAnsi="Arial Narrow"/>
          <w:lang w:val="bg-BG"/>
        </w:rPr>
        <w:t>информационни семинари за повишаване на знанията по конкретни теми, насочени към постигане на специфичните цели и идентифицираните потребности в Стратегическия план;</w:t>
      </w:r>
    </w:p>
    <w:p w14:paraId="2486166B" w14:textId="77777777" w:rsidR="008D6BBB" w:rsidRPr="008D6BBB" w:rsidRDefault="008D6BBB" w:rsidP="009C6577">
      <w:pPr>
        <w:numPr>
          <w:ilvl w:val="0"/>
          <w:numId w:val="52"/>
        </w:numPr>
        <w:tabs>
          <w:tab w:val="left" w:pos="1134"/>
        </w:tabs>
        <w:autoSpaceDE w:val="0"/>
        <w:autoSpaceDN w:val="0"/>
        <w:adjustRightInd w:val="0"/>
        <w:spacing w:after="120"/>
        <w:ind w:left="714" w:hanging="357"/>
        <w:contextualSpacing/>
        <w:jc w:val="both"/>
        <w:rPr>
          <w:rFonts w:ascii="Arial Narrow" w:eastAsia="Calibri" w:hAnsi="Arial Narrow"/>
          <w:lang w:val="bg-BG"/>
        </w:rPr>
      </w:pPr>
      <w:r w:rsidRPr="008D6BBB">
        <w:rPr>
          <w:rFonts w:ascii="Arial Narrow" w:eastAsia="Calibri" w:hAnsi="Arial Narrow"/>
          <w:lang w:val="bg-BG"/>
        </w:rPr>
        <w:t>демонстрационни дейности.</w:t>
      </w:r>
    </w:p>
    <w:p w14:paraId="4716C583" w14:textId="77777777" w:rsidR="008D6BBB" w:rsidRPr="008D6BBB" w:rsidRDefault="008D6BBB" w:rsidP="008D6BBB">
      <w:pPr>
        <w:spacing w:after="120"/>
        <w:ind w:firstLine="720"/>
        <w:jc w:val="both"/>
        <w:rPr>
          <w:rFonts w:ascii="Arial Narrow" w:hAnsi="Arial Narrow"/>
          <w:lang w:val="bg-BG" w:eastAsia="bg-BG"/>
        </w:rPr>
      </w:pPr>
      <w:r w:rsidRPr="008D6BBB">
        <w:rPr>
          <w:rFonts w:ascii="Arial Narrow" w:hAnsi="Arial Narrow"/>
          <w:lang w:val="bg-BG" w:eastAsia="bg-BG"/>
        </w:rPr>
        <w:t>Средствата се предоставят под формата на единна ставка за единица продукт (стандартна таблица на опростените разходи), като покриват до 100% от размера на подпомаганите разходи.  Максималният размер за финансиране на един бенефициент е не повече от 1 000 000 лева за целия период на прилагане на СПРЗСР 2023-2027 г.</w:t>
      </w:r>
    </w:p>
    <w:p w14:paraId="4FA406BC" w14:textId="77777777" w:rsidR="008D6BBB" w:rsidRPr="008D6BBB" w:rsidRDefault="008D6BBB" w:rsidP="008D6BBB">
      <w:pPr>
        <w:spacing w:after="120"/>
        <w:ind w:firstLine="720"/>
        <w:jc w:val="both"/>
        <w:rPr>
          <w:rFonts w:ascii="Arial Narrow" w:hAnsi="Arial Narrow"/>
          <w:b/>
          <w:lang w:val="bg-BG" w:eastAsia="bg-BG"/>
        </w:rPr>
      </w:pPr>
      <w:r w:rsidRPr="008D6BBB">
        <w:rPr>
          <w:rFonts w:ascii="Arial Narrow" w:hAnsi="Arial Narrow"/>
          <w:b/>
          <w:lang w:val="bg-BG" w:eastAsia="bg-BG"/>
        </w:rPr>
        <w:t>Интервенции от СПРЗСР 2023-2027 г. за подкрепа на инвестиции</w:t>
      </w:r>
    </w:p>
    <w:p w14:paraId="62A33376" w14:textId="77777777" w:rsidR="008D6BBB" w:rsidRPr="008D6BBB" w:rsidRDefault="008D6BBB" w:rsidP="008D6BBB">
      <w:pPr>
        <w:spacing w:after="120"/>
        <w:ind w:firstLine="720"/>
        <w:jc w:val="both"/>
        <w:rPr>
          <w:rFonts w:ascii="Arial Narrow" w:hAnsi="Arial Narrow"/>
          <w:b/>
          <w:lang w:val="bg-BG" w:eastAsia="bg-BG"/>
        </w:rPr>
      </w:pPr>
      <w:r w:rsidRPr="008D6BBB">
        <w:rPr>
          <w:rFonts w:ascii="Arial Narrow" w:hAnsi="Arial Narrow"/>
          <w:b/>
          <w:lang w:val="bg-BG" w:eastAsia="bg-BG"/>
        </w:rPr>
        <w:t>Интервенция II.Г.1 - Инвестиции в земеделските стопанства</w:t>
      </w:r>
    </w:p>
    <w:p w14:paraId="29FA158D" w14:textId="77777777" w:rsidR="008D6BBB" w:rsidRPr="008D6BBB" w:rsidRDefault="008D6BBB" w:rsidP="008D6BBB">
      <w:pPr>
        <w:spacing w:after="120"/>
        <w:ind w:firstLine="720"/>
        <w:jc w:val="both"/>
        <w:rPr>
          <w:rFonts w:ascii="Arial Narrow" w:hAnsi="Arial Narrow"/>
          <w:lang w:val="bg-BG" w:eastAsia="bg-BG"/>
        </w:rPr>
      </w:pPr>
      <w:r w:rsidRPr="008D6BBB">
        <w:rPr>
          <w:rFonts w:ascii="Arial Narrow" w:hAnsi="Arial Narrow"/>
          <w:lang w:val="bg-BG" w:eastAsia="bg-BG"/>
        </w:rPr>
        <w:t xml:space="preserve">Подпомагането е насочено към земеделски стопани и групи организации на производители, а подкрепяните дейности в рамките на интервенцията могат да включват материални и нематериални инвестиции в новосъздадени и съществуващи земеделски стопанства. </w:t>
      </w:r>
    </w:p>
    <w:p w14:paraId="7A199A56" w14:textId="77777777" w:rsidR="008D6BBB" w:rsidRPr="008D6BBB" w:rsidRDefault="008D6BBB" w:rsidP="008D6BBB">
      <w:pPr>
        <w:spacing w:after="120"/>
        <w:ind w:firstLine="720"/>
        <w:jc w:val="both"/>
        <w:rPr>
          <w:rFonts w:ascii="Arial Narrow" w:hAnsi="Arial Narrow"/>
          <w:lang w:val="bg-BG" w:eastAsia="bg-BG"/>
        </w:rPr>
      </w:pPr>
      <w:r w:rsidRPr="008D6BBB">
        <w:rPr>
          <w:rFonts w:ascii="Arial Narrow" w:hAnsi="Arial Narrow"/>
          <w:lang w:val="bg-BG" w:eastAsia="bg-BG"/>
        </w:rPr>
        <w:t>Финансовата помощ е до 50% от общата стойност на допустимите за подпомагане разходи. В зависимост от нейния размер, тя може да бъде увеличена с до 25 % за проектни предложения, представени от кандидати групи/организации на производители, и с до 10 % за проектни предложения, които се изпълняват в чувствителни сектори, определени в анализа към Стратегическия план.</w:t>
      </w:r>
    </w:p>
    <w:p w14:paraId="4342C675" w14:textId="77777777" w:rsidR="008D6BBB" w:rsidRPr="008D6BBB" w:rsidRDefault="008D6BBB" w:rsidP="008D6BBB">
      <w:pPr>
        <w:spacing w:after="120"/>
        <w:ind w:firstLine="720"/>
        <w:jc w:val="both"/>
        <w:rPr>
          <w:rFonts w:ascii="Arial Narrow" w:hAnsi="Arial Narrow"/>
          <w:lang w:val="bg-BG" w:eastAsia="bg-BG"/>
        </w:rPr>
      </w:pPr>
      <w:r w:rsidRPr="008D6BBB">
        <w:rPr>
          <w:rFonts w:ascii="Arial Narrow" w:hAnsi="Arial Narrow"/>
          <w:lang w:val="bg-BG" w:eastAsia="bg-BG"/>
        </w:rPr>
        <w:t>Съгласно годишния индикативен график за приеми по СПРЗСР 2023-2027 г. за 2025 г. се предвижда първият прием по интервенцията да бъде отворен през м. септември 2025 г., с определен бюджет в размер на 283 591 000 лева.</w:t>
      </w:r>
    </w:p>
    <w:p w14:paraId="73C46206" w14:textId="77777777" w:rsidR="008D6BBB" w:rsidRPr="008D6BBB" w:rsidRDefault="008D6BBB" w:rsidP="008D6BBB">
      <w:pPr>
        <w:spacing w:after="120"/>
        <w:ind w:firstLine="720"/>
        <w:jc w:val="both"/>
        <w:rPr>
          <w:rFonts w:ascii="Arial Narrow" w:hAnsi="Arial Narrow"/>
          <w:b/>
          <w:lang w:val="bg-BG" w:eastAsia="bg-BG"/>
        </w:rPr>
      </w:pPr>
      <w:r w:rsidRPr="008D6BBB">
        <w:rPr>
          <w:rFonts w:ascii="Arial Narrow" w:hAnsi="Arial Narrow"/>
          <w:b/>
          <w:lang w:val="bg-BG" w:eastAsia="bg-BG"/>
        </w:rPr>
        <w:t xml:space="preserve">II.Г.1.1 - Инвестиции в земеделските стопанства насочени към опазване на компонентите на околната среда </w:t>
      </w:r>
    </w:p>
    <w:p w14:paraId="4FF1731E" w14:textId="77777777" w:rsidR="008D6BBB" w:rsidRPr="008D6BBB" w:rsidRDefault="008D6BBB" w:rsidP="008D6BBB">
      <w:pPr>
        <w:spacing w:after="120"/>
        <w:ind w:firstLine="720"/>
        <w:jc w:val="both"/>
        <w:rPr>
          <w:rFonts w:ascii="Arial Narrow" w:hAnsi="Arial Narrow"/>
          <w:lang w:val="bg-BG" w:eastAsia="bg-BG"/>
        </w:rPr>
      </w:pPr>
      <w:r w:rsidRPr="008D6BBB">
        <w:rPr>
          <w:rFonts w:ascii="Arial Narrow" w:hAnsi="Arial Narrow"/>
          <w:lang w:val="bg-BG" w:eastAsia="bg-BG"/>
        </w:rPr>
        <w:t xml:space="preserve">Подпомагането по тази интервенция цели принос към смекчаване на изменението на климата и адаптиране към него, популяризиране на устойчивата енергия, насърчаване на устойчивото развитие и ефикасното управление на природните ресурси като вода, почва и въздух, включително чрез намаляване на зависимостта от химически вещества. Насърчава се преобразуването и поддържането на площи в биологичното земеделие и отглеждането на животни по биологичен начин, с което да се отговори на нарастващото търсене на обществото за чисти и вкусни продукти, както и за прилагане на щадящи околната среда селскостопански практики. </w:t>
      </w:r>
    </w:p>
    <w:p w14:paraId="7CDA3850" w14:textId="77777777" w:rsidR="008D6BBB" w:rsidRPr="008D6BBB" w:rsidRDefault="008D6BBB" w:rsidP="008D6BBB">
      <w:pPr>
        <w:spacing w:after="120"/>
        <w:ind w:firstLine="720"/>
        <w:jc w:val="both"/>
        <w:rPr>
          <w:rFonts w:ascii="Arial Narrow" w:hAnsi="Arial Narrow"/>
          <w:lang w:val="bg-BG" w:eastAsia="bg-BG"/>
        </w:rPr>
      </w:pPr>
      <w:r w:rsidRPr="008D6BBB">
        <w:rPr>
          <w:rFonts w:ascii="Arial Narrow" w:hAnsi="Arial Narrow"/>
          <w:lang w:val="bg-BG" w:eastAsia="bg-BG"/>
        </w:rPr>
        <w:t>Финансовата помощ е в размер до 50 % от общия размер на допустимите за подпомагане разходи. В зависимост от нейния размер, тя може да се увеличи с до 25 % за проектни предложения, представени от кандидати групи/организации на производители, и с до 10 % за проектни предложения, които се изпълняват в чувствителни сектори, определени в анализа към Стратегическия план.</w:t>
      </w:r>
    </w:p>
    <w:p w14:paraId="5AAF3CE9" w14:textId="77777777" w:rsidR="008D6BBB" w:rsidRPr="008D6BBB" w:rsidRDefault="008D6BBB" w:rsidP="008D6BBB">
      <w:pPr>
        <w:spacing w:after="120"/>
        <w:ind w:firstLine="720"/>
        <w:jc w:val="both"/>
        <w:rPr>
          <w:rFonts w:ascii="Arial Narrow" w:hAnsi="Arial Narrow"/>
          <w:lang w:val="bg-BG" w:eastAsia="bg-BG"/>
        </w:rPr>
      </w:pPr>
      <w:r w:rsidRPr="008D6BBB">
        <w:rPr>
          <w:rFonts w:ascii="Arial Narrow" w:hAnsi="Arial Narrow"/>
          <w:lang w:val="bg-BG" w:eastAsia="bg-BG"/>
        </w:rPr>
        <w:t>Съгласно годишния индикативен график за приеми по СПРЗСР 2023-2027 г. за 2025 г., първият прием по интервенцията ще бъде отворен през м. септември 2025 г., с бюджет от 127 127 000 лева.</w:t>
      </w:r>
    </w:p>
    <w:p w14:paraId="0FC0AD8F" w14:textId="77777777" w:rsidR="008D6BBB" w:rsidRPr="008D6BBB" w:rsidRDefault="008D6BBB" w:rsidP="008D6BBB">
      <w:pPr>
        <w:spacing w:after="120"/>
        <w:ind w:firstLine="720"/>
        <w:jc w:val="both"/>
        <w:rPr>
          <w:rFonts w:ascii="Arial Narrow" w:hAnsi="Arial Narrow"/>
          <w:b/>
          <w:lang w:val="bg-BG" w:eastAsia="bg-BG"/>
        </w:rPr>
      </w:pPr>
      <w:r w:rsidRPr="008D6BBB">
        <w:rPr>
          <w:rFonts w:ascii="Arial Narrow" w:hAnsi="Arial Narrow"/>
          <w:b/>
          <w:lang w:val="bg-BG" w:eastAsia="bg-BG"/>
        </w:rPr>
        <w:t>II.Г.2 - Инвестиции за преработка на селскостопански продукти</w:t>
      </w:r>
    </w:p>
    <w:p w14:paraId="6DCF048A" w14:textId="77777777" w:rsidR="008D6BBB" w:rsidRPr="008D6BBB" w:rsidRDefault="008D6BBB" w:rsidP="008D6BBB">
      <w:pPr>
        <w:spacing w:after="120"/>
        <w:ind w:firstLine="720"/>
        <w:jc w:val="both"/>
        <w:rPr>
          <w:rFonts w:ascii="Arial Narrow" w:hAnsi="Arial Narrow"/>
          <w:lang w:val="bg-BG" w:eastAsia="bg-BG"/>
        </w:rPr>
      </w:pPr>
      <w:r w:rsidRPr="008D6BBB">
        <w:rPr>
          <w:rFonts w:ascii="Arial Narrow" w:hAnsi="Arial Narrow"/>
          <w:lang w:val="bg-BG" w:eastAsia="bg-BG"/>
        </w:rPr>
        <w:t xml:space="preserve">Интервенцията е насочена към подобряване на позицията на земеделските стопани във веригата на стойността, диверсификация на икономическата дейност, стимулиране на нови производства в областта на биоикономиката, както и осигуряване на необходимото количество и качество местни суровини за по-пълно използване на капацитета на селскостопанските производители. Подпомагане се </w:t>
      </w:r>
      <w:r w:rsidRPr="008D6BBB">
        <w:rPr>
          <w:rFonts w:ascii="Arial Narrow" w:hAnsi="Arial Narrow"/>
          <w:lang w:val="bg-BG" w:eastAsia="bg-BG"/>
        </w:rPr>
        <w:lastRenderedPageBreak/>
        <w:t>предоставя на преработватели на селскостопански продукти, земеделски стопани и групи и организации на производители.</w:t>
      </w:r>
    </w:p>
    <w:p w14:paraId="39EE07D0" w14:textId="77777777" w:rsidR="008D6BBB" w:rsidRPr="008D6BBB" w:rsidRDefault="008D6BBB" w:rsidP="008D6BBB">
      <w:pPr>
        <w:spacing w:after="120"/>
        <w:ind w:firstLine="720"/>
        <w:jc w:val="both"/>
        <w:rPr>
          <w:rFonts w:ascii="Arial Narrow" w:hAnsi="Arial Narrow"/>
          <w:lang w:val="bg-BG" w:eastAsia="bg-BG"/>
        </w:rPr>
      </w:pPr>
      <w:r w:rsidRPr="008D6BBB">
        <w:rPr>
          <w:rFonts w:ascii="Arial Narrow" w:hAnsi="Arial Narrow"/>
          <w:lang w:val="bg-BG" w:eastAsia="bg-BG"/>
        </w:rPr>
        <w:t>В обхвата на интервенцията подпомагане ще се предоставя в рамките на следните производствени сектори: мляко и млечни продукти, включително яйца от птици; месо и месни продукти; плодове и зеленчуци, включително гъби; пчелен мед; зърнени, мелничарски и нишестени продукти; растителни и животински масла и мазнини; технически и медицински култури, включително маслодайна роза и билки; готови храни за селскостопански животни; гроздова мъст, вино и оцет.</w:t>
      </w:r>
    </w:p>
    <w:p w14:paraId="7BAE7CC4" w14:textId="77777777" w:rsidR="008D6BBB" w:rsidRPr="008D6BBB" w:rsidRDefault="008D6BBB" w:rsidP="008D6BBB">
      <w:pPr>
        <w:spacing w:after="120"/>
        <w:ind w:firstLine="720"/>
        <w:jc w:val="both"/>
        <w:rPr>
          <w:rFonts w:ascii="Arial Narrow" w:hAnsi="Arial Narrow"/>
          <w:lang w:val="bg-BG" w:eastAsia="bg-BG"/>
        </w:rPr>
      </w:pPr>
      <w:r w:rsidRPr="008D6BBB">
        <w:rPr>
          <w:rFonts w:ascii="Arial Narrow" w:hAnsi="Arial Narrow"/>
          <w:lang w:val="bg-BG" w:eastAsia="bg-BG"/>
        </w:rPr>
        <w:t>Финансовата помощ е до 50% от общия размер на допустимите за финансово подпомагане разходи. За преработватели на селскостопански продукти, които са микро, малки, средни или големи предприятия по ЗМСП, подкрепата може да се увеличи с до 10% за проектни предложения, които се изпълняват в чувствителни сектори, определени в анализа към СПРЗСР. За земеделски стопани и групи/организации на производители, в зависимост от размера на финансовата помощ, същата може да се увеличи с до 25% за проектни предложения, представени от кандидати групи/организации на производители, и с до 10% за проектни предложения, които се изпълняват в чувствителни сектори, определени в анализа към СПРЗСР 2023-2027 г.</w:t>
      </w:r>
    </w:p>
    <w:p w14:paraId="6FF572F8" w14:textId="77777777" w:rsidR="008D6BBB" w:rsidRPr="008D6BBB" w:rsidRDefault="008D6BBB" w:rsidP="008D6BBB">
      <w:pPr>
        <w:spacing w:after="120"/>
        <w:ind w:firstLine="720"/>
        <w:jc w:val="both"/>
        <w:rPr>
          <w:rFonts w:ascii="Arial Narrow" w:hAnsi="Arial Narrow"/>
          <w:lang w:val="bg-BG" w:eastAsia="bg-BG"/>
        </w:rPr>
      </w:pPr>
      <w:r w:rsidRPr="008D6BBB">
        <w:rPr>
          <w:rFonts w:ascii="Arial Narrow" w:hAnsi="Arial Narrow"/>
          <w:lang w:val="bg-BG" w:eastAsia="bg-BG"/>
        </w:rPr>
        <w:t>Съгласно годишния индикативен график за приеми по СПРЗСР 2023-2027 г. за 2025 г. се предвижда първият прием по интервенцията да бъде отворен през м. ноември 2025 г. с бюджет от             342 265 000 лева.</w:t>
      </w:r>
    </w:p>
    <w:p w14:paraId="36489964" w14:textId="77777777" w:rsidR="008D6BBB" w:rsidRPr="008D6BBB" w:rsidRDefault="008D6BBB" w:rsidP="008D6BBB">
      <w:pPr>
        <w:spacing w:after="120"/>
        <w:ind w:firstLine="720"/>
        <w:jc w:val="both"/>
        <w:rPr>
          <w:rFonts w:ascii="Arial Narrow" w:hAnsi="Arial Narrow"/>
          <w:b/>
          <w:lang w:val="bg-BG" w:eastAsia="bg-BG"/>
        </w:rPr>
      </w:pPr>
      <w:r w:rsidRPr="008D6BBB">
        <w:rPr>
          <w:rFonts w:ascii="Arial Narrow" w:hAnsi="Arial Narrow"/>
          <w:b/>
          <w:lang w:val="bg-BG" w:eastAsia="bg-BG"/>
        </w:rPr>
        <w:t>II.Г.2.1 - Инвестиции за преработка на селскостопански продукти, насочени към опазване на компонентите на околната среда</w:t>
      </w:r>
    </w:p>
    <w:p w14:paraId="1A317091" w14:textId="77777777" w:rsidR="008D6BBB" w:rsidRPr="008D6BBB" w:rsidRDefault="008D6BBB" w:rsidP="008D6BBB">
      <w:pPr>
        <w:spacing w:after="120"/>
        <w:ind w:firstLine="720"/>
        <w:jc w:val="both"/>
        <w:rPr>
          <w:rFonts w:ascii="Arial Narrow" w:hAnsi="Arial Narrow"/>
          <w:lang w:val="bg-BG" w:eastAsia="bg-BG"/>
        </w:rPr>
      </w:pPr>
      <w:r w:rsidRPr="008D6BBB">
        <w:rPr>
          <w:rFonts w:ascii="Arial Narrow" w:hAnsi="Arial Narrow"/>
          <w:lang w:val="bg-BG" w:eastAsia="bg-BG"/>
        </w:rPr>
        <w:t>Интервенцията е допълваща към интервенция II.Г.2 „Инвестиции за преработка на селскостопански продукти“ и цели постигане на социално благосъстояние, като същевременно се намалят рисковете за околната среда и екологичните заплахи. Преработвателните предприятия ще се ангажират с устойчиво развитие, което гарантира дългосрочна рентабилност, включително ще се насърчи развитието на различни производства, базирани на алтернативни производствени процеси, които могат да намалят екологичния отпечатък от дейността. Интервенцията ще предоставя възможност и за подкрепа на дейности, насочени към по-добро оползотворяване на остатъците от селскостопанското производство с цел насърчаване на биоикономиката и кръговата икономика.</w:t>
      </w:r>
    </w:p>
    <w:p w14:paraId="75B818FB" w14:textId="77777777" w:rsidR="008D6BBB" w:rsidRPr="008D6BBB" w:rsidRDefault="008D6BBB" w:rsidP="008D6BBB">
      <w:pPr>
        <w:spacing w:after="120"/>
        <w:ind w:firstLine="720"/>
        <w:jc w:val="both"/>
        <w:rPr>
          <w:rFonts w:ascii="Arial Narrow" w:hAnsi="Arial Narrow"/>
          <w:lang w:val="bg-BG" w:eastAsia="bg-BG"/>
        </w:rPr>
      </w:pPr>
      <w:r w:rsidRPr="008D6BBB">
        <w:rPr>
          <w:rFonts w:ascii="Arial Narrow" w:hAnsi="Arial Narrow"/>
          <w:lang w:val="bg-BG" w:eastAsia="bg-BG"/>
        </w:rPr>
        <w:t>Финансовата помощ е в размер до 50% от общия размер на допустимите за финансово подпомагане разходи. За преработватели на селскостопански продукти, които са микро, малки, средни или големи предприятия по ЗМСП, финансовата помощ може да се увеличи с до 10% за проектни предложения, които се изпълняват в чувствителни сектори, определени в анализа към СПРЗСР. За земеделски стопани и групи/организации на производители, в зависимост от размера на финансовата помощ, същата може да се увеличи с до 25% за проектни предложения, представени от кандидати групи/организации на производители, и с до 10% за проектни предложения, които се изпълняват в чувствителни сектори, определени в анализа към СПРЗСР.</w:t>
      </w:r>
    </w:p>
    <w:p w14:paraId="32A338C4" w14:textId="77777777" w:rsidR="008D6BBB" w:rsidRPr="008D6BBB" w:rsidRDefault="008D6BBB" w:rsidP="008D6BBB">
      <w:pPr>
        <w:spacing w:after="120"/>
        <w:ind w:firstLine="720"/>
        <w:jc w:val="both"/>
        <w:rPr>
          <w:rFonts w:ascii="Arial Narrow" w:hAnsi="Arial Narrow"/>
          <w:lang w:val="bg-BG" w:eastAsia="bg-BG"/>
        </w:rPr>
      </w:pPr>
      <w:r w:rsidRPr="008D6BBB">
        <w:rPr>
          <w:rFonts w:ascii="Arial Narrow" w:hAnsi="Arial Narrow"/>
          <w:lang w:val="bg-BG" w:eastAsia="bg-BG"/>
        </w:rPr>
        <w:t>Съгласно годишния индикативен график за приеми по СПРЗСР 2023-2027 г. през м. ноември 2025 е планирано отравяне на първи прием по интервенцията с бюджет в размер на 107 569 000 лева.</w:t>
      </w:r>
    </w:p>
    <w:p w14:paraId="3AC57A1D" w14:textId="77777777" w:rsidR="008D6BBB" w:rsidRPr="008D6BBB" w:rsidRDefault="008D6BBB" w:rsidP="008D6BBB">
      <w:pPr>
        <w:spacing w:after="120"/>
        <w:ind w:firstLine="720"/>
        <w:jc w:val="both"/>
        <w:rPr>
          <w:rFonts w:ascii="Arial Narrow" w:hAnsi="Arial Narrow"/>
          <w:b/>
          <w:lang w:val="bg-BG" w:eastAsia="bg-BG"/>
        </w:rPr>
      </w:pPr>
      <w:r w:rsidRPr="008D6BBB">
        <w:rPr>
          <w:rFonts w:ascii="Arial Narrow" w:hAnsi="Arial Narrow"/>
          <w:b/>
          <w:lang w:val="bg-BG" w:eastAsia="bg-BG"/>
        </w:rPr>
        <w:t>II.Г.3 - Инвестиции за неселскостопански дейности в селските райони</w:t>
      </w:r>
    </w:p>
    <w:p w14:paraId="44EA8C3E" w14:textId="77777777" w:rsidR="008D6BBB" w:rsidRPr="008D6BBB" w:rsidRDefault="008D6BBB" w:rsidP="008D6BBB">
      <w:pPr>
        <w:spacing w:after="120"/>
        <w:ind w:firstLine="720"/>
        <w:jc w:val="both"/>
        <w:rPr>
          <w:rFonts w:ascii="Arial Narrow" w:hAnsi="Arial Narrow"/>
          <w:lang w:val="bg-BG" w:eastAsia="bg-BG"/>
        </w:rPr>
      </w:pPr>
      <w:r w:rsidRPr="008D6BBB">
        <w:rPr>
          <w:rFonts w:ascii="Arial Narrow" w:hAnsi="Arial Narrow"/>
          <w:lang w:val="bg-BG" w:eastAsia="bg-BG"/>
        </w:rPr>
        <w:t>Прилагането на интервенцията е насочено към улесняване развитието на стопанска дейност в селските райони, стимулиране на иновативни или технологично интензивни производства, диверсификация на икономическата дейност, както и подобряване на здравните и социалните услуги, на обектите за развитие на традициите и на културно-историческите обекти в селските райони. Предвидената диверсификация на икономиката в селските райони ще се постигне чрез развитие на икономически дейности, свързани с производство, търговия, услуги, преработващата промишленост и други. Освен това, на територията на селските райони съществува възможност да се развива бизнес, който допълва или подпомага селскостопанското производство.</w:t>
      </w:r>
    </w:p>
    <w:p w14:paraId="7512FAF7" w14:textId="77777777" w:rsidR="008D6BBB" w:rsidRPr="008D6BBB" w:rsidRDefault="008D6BBB" w:rsidP="008D6BBB">
      <w:pPr>
        <w:spacing w:after="120"/>
        <w:ind w:firstLine="720"/>
        <w:jc w:val="both"/>
        <w:rPr>
          <w:rFonts w:ascii="Arial Narrow" w:hAnsi="Arial Narrow"/>
          <w:lang w:val="bg-BG" w:eastAsia="bg-BG"/>
        </w:rPr>
      </w:pPr>
      <w:r w:rsidRPr="008D6BBB">
        <w:rPr>
          <w:rFonts w:ascii="Arial Narrow" w:hAnsi="Arial Narrow"/>
          <w:lang w:val="bg-BG" w:eastAsia="bg-BG"/>
        </w:rPr>
        <w:t xml:space="preserve">Интервенцията е насочена към земеделски стопани, микропредприятия и занаятчии в селските райони. Подкрепа се предоставя за развитие на дейности в областта на здравеопазването и социалните </w:t>
      </w:r>
      <w:r w:rsidRPr="008D6BBB">
        <w:rPr>
          <w:rFonts w:ascii="Arial Narrow" w:hAnsi="Arial Narrow"/>
          <w:lang w:val="bg-BG" w:eastAsia="bg-BG"/>
        </w:rPr>
        <w:lastRenderedPageBreak/>
        <w:t>услуги, които са ключови за преодоляване на множество здравни проблеми и предизвикателства в селските райони, здравните и социални неравенства и оптимизирането на извънболничната помощ.</w:t>
      </w:r>
    </w:p>
    <w:p w14:paraId="7432CAC4" w14:textId="77777777" w:rsidR="008D6BBB" w:rsidRPr="008D6BBB" w:rsidRDefault="008D6BBB" w:rsidP="008D6BBB">
      <w:pPr>
        <w:spacing w:after="120"/>
        <w:ind w:firstLine="720"/>
        <w:jc w:val="both"/>
        <w:rPr>
          <w:rFonts w:ascii="Arial Narrow" w:hAnsi="Arial Narrow"/>
          <w:lang w:val="bg-BG" w:eastAsia="bg-BG"/>
        </w:rPr>
      </w:pPr>
      <w:r w:rsidRPr="008D6BBB">
        <w:rPr>
          <w:rFonts w:ascii="Arial Narrow" w:hAnsi="Arial Narrow"/>
          <w:lang w:val="bg-BG" w:eastAsia="bg-BG"/>
        </w:rPr>
        <w:t>Финансовата помощ  по интервенцията е в размер до 50% от общия размер на допустимите за финансово подпомагане разходи.</w:t>
      </w:r>
    </w:p>
    <w:p w14:paraId="5B99B6EA" w14:textId="77777777" w:rsidR="0052475A" w:rsidRPr="008D6BBB" w:rsidRDefault="008D6BBB" w:rsidP="00BC3ADA">
      <w:pPr>
        <w:spacing w:after="120"/>
        <w:ind w:firstLine="720"/>
        <w:jc w:val="both"/>
        <w:rPr>
          <w:rFonts w:ascii="Arial Narrow" w:hAnsi="Arial Narrow"/>
          <w:lang w:val="bg-BG" w:eastAsia="bg-BG"/>
        </w:rPr>
      </w:pPr>
      <w:r w:rsidRPr="008D6BBB">
        <w:rPr>
          <w:rFonts w:ascii="Arial Narrow" w:hAnsi="Arial Narrow"/>
          <w:lang w:val="bg-BG" w:eastAsia="bg-BG"/>
        </w:rPr>
        <w:t xml:space="preserve">В периода м. януари – м. май 2025 г. са проведени приеми по три направления на интервенцията („Занаяти“, „Производство“, „Услуги“), с общ бюджет в размер на 193 148 794 лева. По направление „Занаяти“, с бюджет от 5 867 400 лева, са постъпили 7 проектни предложения с размер на заявената субсидия 1 124 746 лева. По направление „Производство“, с определен бюджет в размер на 91 447 194 лева, са постъпили 273 проекта със стойност на заявената субсидия 83 020 705 лева. По направление „Услуги“, чийто бюджет възлиза на 95 834 200 лева, са подадени 782 заявления за подпомагане, с искана субсидия в размер на 182 021 986 лева. </w:t>
      </w:r>
    </w:p>
    <w:p w14:paraId="330B16A2" w14:textId="77777777" w:rsidR="008D6BBB" w:rsidRPr="008D6BBB" w:rsidRDefault="008D6BBB" w:rsidP="008D6BBB">
      <w:pPr>
        <w:spacing w:after="120"/>
        <w:ind w:firstLine="720"/>
        <w:jc w:val="both"/>
        <w:rPr>
          <w:rFonts w:ascii="Arial Narrow" w:hAnsi="Arial Narrow"/>
          <w:b/>
          <w:lang w:val="bg-BG" w:eastAsia="bg-BG"/>
        </w:rPr>
      </w:pPr>
      <w:r w:rsidRPr="008D6BBB">
        <w:rPr>
          <w:rFonts w:ascii="Arial Narrow" w:hAnsi="Arial Narrow"/>
          <w:b/>
          <w:lang w:val="bg-BG" w:eastAsia="bg-BG"/>
        </w:rPr>
        <w:t>II.Г.5 - Инвестиции в инфраструктура за напояване</w:t>
      </w:r>
    </w:p>
    <w:p w14:paraId="4B7026B5" w14:textId="77777777" w:rsidR="008D6BBB" w:rsidRPr="008D6BBB" w:rsidRDefault="008D6BBB" w:rsidP="008D6BBB">
      <w:pPr>
        <w:spacing w:after="120"/>
        <w:ind w:firstLine="720"/>
        <w:jc w:val="both"/>
        <w:rPr>
          <w:rFonts w:ascii="Arial Narrow" w:hAnsi="Arial Narrow"/>
          <w:lang w:val="bg-BG" w:eastAsia="bg-BG"/>
        </w:rPr>
      </w:pPr>
      <w:r w:rsidRPr="008D6BBB">
        <w:rPr>
          <w:rFonts w:ascii="Arial Narrow" w:hAnsi="Arial Narrow"/>
          <w:lang w:val="bg-BG" w:eastAsia="bg-BG"/>
        </w:rPr>
        <w:t>Целта на интервенцията е насърчаване на устойчивото развитие и ефикасното управление на природните ресурси, като вода, почва и въздух, включително чрез намаляване на зависимостта от химически вещества.</w:t>
      </w:r>
    </w:p>
    <w:p w14:paraId="2889D023" w14:textId="77777777" w:rsidR="008D6BBB" w:rsidRPr="008D6BBB" w:rsidRDefault="008D6BBB" w:rsidP="008D6BBB">
      <w:pPr>
        <w:spacing w:after="120"/>
        <w:ind w:firstLine="720"/>
        <w:jc w:val="both"/>
        <w:rPr>
          <w:rFonts w:ascii="Arial Narrow" w:hAnsi="Arial Narrow"/>
          <w:lang w:val="bg-BG" w:eastAsia="bg-BG"/>
        </w:rPr>
      </w:pPr>
      <w:r w:rsidRPr="008D6BBB">
        <w:rPr>
          <w:rFonts w:ascii="Arial Narrow" w:hAnsi="Arial Narrow"/>
          <w:lang w:val="bg-BG" w:eastAsia="bg-BG"/>
        </w:rPr>
        <w:t xml:space="preserve">Подпомагат се дейности, свързани с материални и нематериални инвестиции за реконструкция и модернизация на съществуваща инфраструктура за напояване, използвана само за селскостопански цели и разположена извън земеделските стопанства. Субсидии се предоставят за дейности, включващи ремонт/реконструкция/рехабилитация на напоителни инсталации и напоителна инфраструктура, закупуване и инсталиране на нови машини, съоръжения и оборудване за напояване, измерване и мониторинг, включително и такива, пряко свързани с подобряване на енергийната ефективност и опазване на околната среда. Финансовата помощ по интервенцията е в размер до 100% от общия размер на допустимите разходи за инвестиции в инфраструктура извън земеделските стопанства. </w:t>
      </w:r>
    </w:p>
    <w:p w14:paraId="4A029526" w14:textId="77777777" w:rsidR="008D6BBB" w:rsidRPr="008D6BBB" w:rsidRDefault="008D6BBB" w:rsidP="008D6BBB">
      <w:pPr>
        <w:spacing w:after="120"/>
        <w:ind w:firstLine="720"/>
        <w:jc w:val="both"/>
        <w:rPr>
          <w:rFonts w:ascii="Arial Narrow" w:hAnsi="Arial Narrow"/>
          <w:lang w:val="bg-BG" w:eastAsia="bg-BG"/>
        </w:rPr>
      </w:pPr>
      <w:r w:rsidRPr="008D6BBB">
        <w:rPr>
          <w:rFonts w:ascii="Arial Narrow" w:hAnsi="Arial Narrow"/>
          <w:lang w:val="bg-BG" w:eastAsia="bg-BG"/>
        </w:rPr>
        <w:t>Общият бюджет на интервенцията е в размер на 195 580 000 лева. В периода м. февруари -              м. април 2025 г. е проведен прием, в рамките на който са постъпили 38 проекта със стойност на субсидията 248 339 307 лева.</w:t>
      </w:r>
    </w:p>
    <w:p w14:paraId="6020A2C0" w14:textId="77777777" w:rsidR="008D6BBB" w:rsidRPr="008D6BBB" w:rsidRDefault="008D6BBB" w:rsidP="008D6BBB">
      <w:pPr>
        <w:spacing w:after="120"/>
        <w:ind w:firstLine="720"/>
        <w:jc w:val="both"/>
        <w:rPr>
          <w:rFonts w:ascii="Arial Narrow" w:hAnsi="Arial Narrow"/>
          <w:b/>
          <w:lang w:val="bg-BG" w:eastAsia="bg-BG"/>
        </w:rPr>
      </w:pPr>
      <w:r w:rsidRPr="008D6BBB">
        <w:rPr>
          <w:rFonts w:ascii="Arial Narrow" w:hAnsi="Arial Narrow"/>
          <w:b/>
          <w:lang w:val="bg-BG" w:eastAsia="bg-BG"/>
        </w:rPr>
        <w:t>II.Д.1 - Стартова помощ за установяване на млади земеделски стопани в селското стопанство</w:t>
      </w:r>
    </w:p>
    <w:p w14:paraId="5F1098AF" w14:textId="77777777" w:rsidR="008D6BBB" w:rsidRPr="008D6BBB" w:rsidRDefault="008D6BBB" w:rsidP="008D6BBB">
      <w:pPr>
        <w:spacing w:after="120"/>
        <w:ind w:firstLine="720"/>
        <w:jc w:val="both"/>
        <w:rPr>
          <w:rFonts w:ascii="Arial Narrow" w:hAnsi="Arial Narrow"/>
          <w:lang w:val="bg-BG" w:eastAsia="bg-BG"/>
        </w:rPr>
      </w:pPr>
      <w:r w:rsidRPr="008D6BBB">
        <w:rPr>
          <w:rFonts w:ascii="Arial Narrow" w:hAnsi="Arial Narrow"/>
          <w:lang w:val="bg-BG" w:eastAsia="bg-BG"/>
        </w:rPr>
        <w:t>Интервенцията, с бюджет от 176 022 000 лева, предоставя подпомагане, способстващо привличането и запазването на млади земеделски стопани и други нови земеделски стопани и улесняването на устойчивото развитие на стопанска дейност в селските райони. Стимулира се  навлизането на нови млади хора в селското стопанство, както и надграждането на стопанствата на навлезлите вече в сектора млади фермери.</w:t>
      </w:r>
    </w:p>
    <w:p w14:paraId="1ABE51DC" w14:textId="77777777" w:rsidR="008D6BBB" w:rsidRPr="008D6BBB" w:rsidRDefault="008D6BBB" w:rsidP="008D6BBB">
      <w:pPr>
        <w:spacing w:after="120"/>
        <w:ind w:firstLine="720"/>
        <w:jc w:val="both"/>
        <w:rPr>
          <w:rFonts w:ascii="Arial Narrow" w:hAnsi="Arial Narrow"/>
          <w:lang w:val="bg-BG" w:eastAsia="bg-BG"/>
        </w:rPr>
      </w:pPr>
      <w:r w:rsidRPr="008D6BBB">
        <w:rPr>
          <w:rFonts w:ascii="Arial Narrow" w:hAnsi="Arial Narrow"/>
          <w:lang w:val="bg-BG" w:eastAsia="bg-BG"/>
        </w:rPr>
        <w:t>Помощта е насочена към земеделски стопани на възраст от 18 до 40 години, собственици на земеделско стопанство, притежаващи съответните професионални умения и познания за извършване на селскостопански и свързани със селското стопанство дейности. Подпомагането се предоставя под формата на еднократна сума за периода на изпълнение на бизнес план, като подкрепата е в размер на 78 232 лева за едно земеделско стопанство и се отпуска и изплаща на два етапа. Първият етап е след одобрение на проектното предложение, а вторият - след установяване на правилното изпълнение на бизнес плана.</w:t>
      </w:r>
    </w:p>
    <w:p w14:paraId="12572810" w14:textId="77777777" w:rsidR="008D6BBB" w:rsidRPr="008D6BBB" w:rsidRDefault="008D6BBB" w:rsidP="008D6BBB">
      <w:pPr>
        <w:spacing w:after="120"/>
        <w:ind w:firstLine="720"/>
        <w:jc w:val="both"/>
        <w:rPr>
          <w:rFonts w:ascii="Arial Narrow" w:hAnsi="Arial Narrow"/>
          <w:lang w:val="bg-BG" w:eastAsia="bg-BG"/>
        </w:rPr>
      </w:pPr>
      <w:r w:rsidRPr="008D6BBB">
        <w:rPr>
          <w:rFonts w:ascii="Arial Narrow" w:hAnsi="Arial Narrow"/>
          <w:lang w:val="bg-BG" w:eastAsia="bg-BG"/>
        </w:rPr>
        <w:t xml:space="preserve">В рамките на проведен в периода м. ноември 2024 г. – м.  януари 2025 г. прием са постъпили 1 094 проекта със стойност на заявената субсидия 85 585 808 лева. </w:t>
      </w:r>
    </w:p>
    <w:p w14:paraId="34A897B3" w14:textId="77777777" w:rsidR="008D6BBB" w:rsidRPr="008D6BBB" w:rsidRDefault="008D6BBB" w:rsidP="008D6BBB">
      <w:pPr>
        <w:spacing w:after="120"/>
        <w:ind w:firstLine="720"/>
        <w:jc w:val="both"/>
        <w:rPr>
          <w:rFonts w:ascii="Arial Narrow" w:hAnsi="Arial Narrow"/>
          <w:b/>
          <w:lang w:val="bg-BG" w:eastAsia="bg-BG"/>
        </w:rPr>
      </w:pPr>
      <w:r w:rsidRPr="008D6BBB">
        <w:rPr>
          <w:rFonts w:ascii="Arial Narrow" w:hAnsi="Arial Narrow"/>
          <w:b/>
          <w:lang w:val="bg-BG" w:eastAsia="bg-BG"/>
        </w:rPr>
        <w:t>II.Д.2 - Подпомагане на много малки земеделски стопанства</w:t>
      </w:r>
    </w:p>
    <w:p w14:paraId="42D0761C" w14:textId="77777777" w:rsidR="008D6BBB" w:rsidRPr="008D6BBB" w:rsidRDefault="008D6BBB" w:rsidP="008D6BBB">
      <w:pPr>
        <w:spacing w:after="120"/>
        <w:ind w:firstLine="720"/>
        <w:jc w:val="both"/>
        <w:rPr>
          <w:rFonts w:ascii="Arial Narrow" w:hAnsi="Arial Narrow"/>
          <w:lang w:val="bg-BG" w:eastAsia="bg-BG"/>
        </w:rPr>
      </w:pPr>
      <w:r w:rsidRPr="008D6BBB">
        <w:rPr>
          <w:rFonts w:ascii="Arial Narrow" w:hAnsi="Arial Narrow"/>
          <w:lang w:val="bg-BG" w:eastAsia="bg-BG"/>
        </w:rPr>
        <w:t>Интервенцията има за цел да обхване голям брой малки и полупазарни стопанства, които имат потенциал за развитие от гледна точка на мотивация и наличен фамилен труд. Разрастването на тяхното производство чрез подходяща публична подкрепа ще доведе до подсилване на групата от средните по размер стопанства, които са по-жизнеспособни. Това ще се отрази положително на цялостното състояние на отрасъла.</w:t>
      </w:r>
    </w:p>
    <w:p w14:paraId="524FDFF8" w14:textId="77777777" w:rsidR="008D6BBB" w:rsidRPr="008D6BBB" w:rsidRDefault="008D6BBB" w:rsidP="008D6BBB">
      <w:pPr>
        <w:spacing w:after="120"/>
        <w:ind w:firstLine="720"/>
        <w:jc w:val="both"/>
        <w:rPr>
          <w:rFonts w:ascii="Arial Narrow" w:hAnsi="Arial Narrow"/>
          <w:lang w:val="bg-BG" w:eastAsia="bg-BG"/>
        </w:rPr>
      </w:pPr>
      <w:r w:rsidRPr="008D6BBB">
        <w:rPr>
          <w:rFonts w:ascii="Arial Narrow" w:hAnsi="Arial Narrow"/>
          <w:lang w:val="bg-BG" w:eastAsia="bg-BG"/>
        </w:rPr>
        <w:lastRenderedPageBreak/>
        <w:t>Малките стопанства са в затруднено положение, с недостиг на капиталов ресурс, и за да разширят производството и да осъвременят производствените си мощности, трябва да увеличат продуктивността и да намалят зависимостта си от работна сила. Техническите и технологични нововъведения са важен детерминиращ фактор за по-високи производствени резултати. С подходящите интервенции ще се намали използването на ръчен труд и тези стопанства ще могат да следват добрите земеделски практики, което ще осигури по-високи добиви при отглеждането на плодове и зеленчуци и продуктивност в говедовъдните и овцевъдни стопанства с по-малко разходи на труд.</w:t>
      </w:r>
    </w:p>
    <w:p w14:paraId="5D501817" w14:textId="77777777" w:rsidR="008D6BBB" w:rsidRPr="008D6BBB" w:rsidRDefault="008D6BBB" w:rsidP="008D6BBB">
      <w:pPr>
        <w:spacing w:after="120"/>
        <w:ind w:firstLine="720"/>
        <w:jc w:val="both"/>
        <w:rPr>
          <w:rFonts w:ascii="Arial Narrow" w:hAnsi="Arial Narrow"/>
          <w:lang w:val="bg-BG" w:eastAsia="bg-BG"/>
        </w:rPr>
      </w:pPr>
      <w:r w:rsidRPr="008D6BBB">
        <w:rPr>
          <w:rFonts w:ascii="Arial Narrow" w:hAnsi="Arial Narrow"/>
          <w:lang w:val="bg-BG" w:eastAsia="bg-BG"/>
        </w:rPr>
        <w:t>Подпомагането се предоставя под формата на еднократна сума за периода на изпълнение на бизнес плана, като подкрепата е в размер на 39 116 лева за едно земеделско стопанство и се отпуска и изплаща на два етапа. Първият етап е след одобрение на проектното предложение, а вторият - след установяване на правилното изпълнение на бизнес плана.</w:t>
      </w:r>
    </w:p>
    <w:p w14:paraId="64B912E1" w14:textId="77777777" w:rsidR="008D6BBB" w:rsidRPr="008D6BBB" w:rsidRDefault="008D6BBB" w:rsidP="008D6BBB">
      <w:pPr>
        <w:spacing w:after="120"/>
        <w:ind w:firstLine="720"/>
        <w:jc w:val="both"/>
        <w:rPr>
          <w:rFonts w:ascii="Arial Narrow" w:hAnsi="Arial Narrow"/>
          <w:lang w:val="bg-BG" w:eastAsia="bg-BG"/>
        </w:rPr>
      </w:pPr>
      <w:r w:rsidRPr="008D6BBB">
        <w:rPr>
          <w:rFonts w:ascii="Arial Narrow" w:hAnsi="Arial Narrow"/>
          <w:lang w:val="bg-BG" w:eastAsia="bg-BG"/>
        </w:rPr>
        <w:t>Интервенцията е с бюджет от 58 674 000 лева. В периода м. ноември 2024 г. – м. февруари 2025 г. е проведен прием, с постъпили 1 432 проектни предложения със заявена субсидия в размер на 56 014 112 лева.</w:t>
      </w:r>
    </w:p>
    <w:p w14:paraId="2B162A7D" w14:textId="77777777" w:rsidR="008D6BBB" w:rsidRPr="008D6BBB" w:rsidRDefault="008D6BBB" w:rsidP="008D6BBB">
      <w:pPr>
        <w:spacing w:after="120"/>
        <w:ind w:firstLine="720"/>
        <w:jc w:val="both"/>
        <w:rPr>
          <w:rFonts w:ascii="Arial Narrow" w:hAnsi="Arial Narrow"/>
          <w:b/>
          <w:lang w:val="bg-BG" w:eastAsia="bg-BG"/>
        </w:rPr>
      </w:pPr>
      <w:r w:rsidRPr="008D6BBB">
        <w:rPr>
          <w:rFonts w:ascii="Arial Narrow" w:hAnsi="Arial Narrow"/>
          <w:b/>
          <w:lang w:val="bg-BG" w:eastAsia="bg-BG"/>
        </w:rPr>
        <w:t>II.Д.3 - Стартова помощ за установяване на нови земеделски стопани в селското стопанство</w:t>
      </w:r>
    </w:p>
    <w:p w14:paraId="0C68D4B5" w14:textId="77777777" w:rsidR="008D6BBB" w:rsidRPr="008D6BBB" w:rsidRDefault="008D6BBB" w:rsidP="008D6BBB">
      <w:pPr>
        <w:spacing w:after="120"/>
        <w:ind w:firstLine="720"/>
        <w:jc w:val="both"/>
        <w:rPr>
          <w:rFonts w:ascii="Arial Narrow" w:hAnsi="Arial Narrow"/>
          <w:lang w:val="bg-BG" w:eastAsia="bg-BG"/>
        </w:rPr>
      </w:pPr>
      <w:r w:rsidRPr="008D6BBB">
        <w:rPr>
          <w:rFonts w:ascii="Arial Narrow" w:hAnsi="Arial Narrow"/>
          <w:lang w:val="bg-BG" w:eastAsia="bg-BG"/>
        </w:rPr>
        <w:t>Подкрепата цели привличане на нови предприемачи в земеделието, различни от младите земеделски стопани. Чрез осигуряване на допълнителна възможност за стартиране на селскостопански бизнес се подпомага икономическото развитие в селските райони, насърчава се местната конкурентоспособност и се създават предпоставки за подобряване на степента на развитие на човешкия капитал, включително създаване на нови работни места. Предоставя се улеснен достъп до модернизация на новите земеделски стопанства още на етап стартиране на техния селскостопански бизнес, посредством въвеждане на специализирани машини и оборудване.</w:t>
      </w:r>
    </w:p>
    <w:p w14:paraId="2CB4C852" w14:textId="77777777" w:rsidR="008D6BBB" w:rsidRPr="008D6BBB" w:rsidRDefault="008D6BBB" w:rsidP="008D6BBB">
      <w:pPr>
        <w:spacing w:after="120"/>
        <w:ind w:firstLine="720"/>
        <w:jc w:val="both"/>
        <w:rPr>
          <w:rFonts w:ascii="Arial Narrow" w:hAnsi="Arial Narrow"/>
          <w:lang w:val="bg-BG" w:eastAsia="bg-BG"/>
        </w:rPr>
      </w:pPr>
      <w:r w:rsidRPr="008D6BBB">
        <w:rPr>
          <w:rFonts w:ascii="Arial Narrow" w:hAnsi="Arial Narrow"/>
          <w:lang w:val="bg-BG" w:eastAsia="bg-BG"/>
        </w:rPr>
        <w:t>В обхвата на интервенцията влизат земеделски стопани на възраст от 41 до 65 години, собственици на земеделско стопанство, които имат съответните професионални умения и познания за извършване на селскостопански и свързани със селското стопанство дейности. Предоставена е възможност, ако към момента на кандидатстване земеделските стопани не притежават професионални умения и познания, такива да бъдат придобити в установен срок.</w:t>
      </w:r>
    </w:p>
    <w:p w14:paraId="2E75BDD8" w14:textId="77777777" w:rsidR="008D6BBB" w:rsidRPr="008D6BBB" w:rsidRDefault="008D6BBB" w:rsidP="008D6BBB">
      <w:pPr>
        <w:spacing w:after="120"/>
        <w:ind w:firstLine="720"/>
        <w:jc w:val="both"/>
        <w:rPr>
          <w:rFonts w:ascii="Arial Narrow" w:hAnsi="Arial Narrow"/>
          <w:lang w:val="bg-BG" w:eastAsia="bg-BG"/>
        </w:rPr>
      </w:pPr>
      <w:r w:rsidRPr="008D6BBB">
        <w:rPr>
          <w:rFonts w:ascii="Arial Narrow" w:hAnsi="Arial Narrow"/>
          <w:lang w:val="bg-BG" w:eastAsia="bg-BG"/>
        </w:rPr>
        <w:t>Финансовата помощ се предоставя под формата на еднократна сума за периода на изпълнение на бизнес плана, в размер на 58 674 лева за едно земеделско стопанство, и се отпуска и изплаща на два етапа. Първият етап е след одобрение на проектното предложение, а вторият - след установяване на правилното изпълнение на бизнес плана.</w:t>
      </w:r>
    </w:p>
    <w:p w14:paraId="7600C8F4" w14:textId="77777777" w:rsidR="008D6BBB" w:rsidRPr="008D6BBB" w:rsidRDefault="008D6BBB" w:rsidP="008D6BBB">
      <w:pPr>
        <w:spacing w:after="120"/>
        <w:ind w:firstLine="720"/>
        <w:jc w:val="both"/>
        <w:rPr>
          <w:rFonts w:ascii="Arial Narrow" w:hAnsi="Arial Narrow"/>
          <w:lang w:val="bg-BG" w:eastAsia="bg-BG"/>
        </w:rPr>
      </w:pPr>
      <w:r w:rsidRPr="008D6BBB">
        <w:rPr>
          <w:rFonts w:ascii="Arial Narrow" w:hAnsi="Arial Narrow"/>
          <w:lang w:val="bg-BG" w:eastAsia="bg-BG"/>
        </w:rPr>
        <w:t xml:space="preserve">Интервенцията е с бюджет от 39 116 000 лева. В рамките на проведен прием в периода                        </w:t>
      </w:r>
      <w:r w:rsidR="00D21F5E">
        <w:rPr>
          <w:rFonts w:ascii="Arial Narrow" w:hAnsi="Arial Narrow"/>
          <w:lang w:val="bg-BG" w:eastAsia="bg-BG"/>
        </w:rPr>
        <w:t>м.  ноември 2024 г. -</w:t>
      </w:r>
      <w:r w:rsidRPr="008D6BBB">
        <w:rPr>
          <w:rFonts w:ascii="Arial Narrow" w:hAnsi="Arial Narrow"/>
          <w:lang w:val="bg-BG" w:eastAsia="bg-BG"/>
        </w:rPr>
        <w:t xml:space="preserve"> м. февруари 2025 г. са постъпили 652 проектни предложения, със стойност на исканата субсидия в размер на 38 255 448 лева.</w:t>
      </w:r>
    </w:p>
    <w:p w14:paraId="172A2F68" w14:textId="77777777" w:rsidR="008D6BBB" w:rsidRPr="008D6BBB" w:rsidRDefault="008D6BBB" w:rsidP="008D6BBB">
      <w:pPr>
        <w:spacing w:after="120"/>
        <w:ind w:firstLine="720"/>
        <w:jc w:val="both"/>
        <w:rPr>
          <w:rFonts w:ascii="Arial Narrow" w:hAnsi="Arial Narrow"/>
          <w:b/>
          <w:lang w:val="bg-BG" w:eastAsia="bg-BG"/>
        </w:rPr>
      </w:pPr>
      <w:r w:rsidRPr="008D6BBB">
        <w:rPr>
          <w:rFonts w:ascii="Arial Narrow" w:hAnsi="Arial Narrow"/>
          <w:b/>
          <w:lang w:val="bg-BG" w:eastAsia="bg-BG"/>
        </w:rPr>
        <w:t>II.Ж.3 - Подкрепа на организации на производители или групи от производители</w:t>
      </w:r>
    </w:p>
    <w:p w14:paraId="48695883" w14:textId="77777777" w:rsidR="008D6BBB" w:rsidRPr="008D6BBB" w:rsidRDefault="008D6BBB" w:rsidP="008D6BBB">
      <w:pPr>
        <w:spacing w:after="120"/>
        <w:ind w:firstLine="720"/>
        <w:jc w:val="both"/>
        <w:rPr>
          <w:rFonts w:ascii="Arial Narrow" w:hAnsi="Arial Narrow"/>
          <w:lang w:val="bg-BG" w:eastAsia="bg-BG"/>
        </w:rPr>
      </w:pPr>
      <w:r w:rsidRPr="008D6BBB">
        <w:rPr>
          <w:rFonts w:ascii="Arial Narrow" w:hAnsi="Arial Narrow"/>
          <w:lang w:val="bg-BG" w:eastAsia="bg-BG"/>
        </w:rPr>
        <w:t>Интервенцията, с определен бюджет от 24 447 500 лева, е насочена към стимулиране на сътрудничеството между земеделските стопанства. Обединяването на земеделските стопани в организации и групи на производители е механизъм, посредством който се цели концентриране на произведената земеделска продукция, планиране и адаптиране на производството в съответствие с търсенето на пазара по отношение на качество и количество, намаляване на производствените разходи, увеличаване на договорната сила на производителите на селскостопанска продукция във взаимоотношенията им с търговци на едро и дребно и постигане на по-добра пазарна реализация. Създава се възможност за повишаване на мотивацията на земеделските производители за обединяване в групи и организации, посредством определянето на различни приоритети и механизми за подпомагане. Това е от особено значение за групите и организациите и допринася за повишаване на тяхната конкурентоспособност и устойчивост.</w:t>
      </w:r>
    </w:p>
    <w:p w14:paraId="0C75681E" w14:textId="77777777" w:rsidR="008D6BBB" w:rsidRPr="008D6BBB" w:rsidRDefault="008D6BBB" w:rsidP="008D6BBB">
      <w:pPr>
        <w:spacing w:after="120"/>
        <w:ind w:firstLine="720"/>
        <w:jc w:val="both"/>
        <w:rPr>
          <w:rFonts w:ascii="Arial Narrow" w:hAnsi="Arial Narrow"/>
          <w:lang w:val="bg-BG" w:eastAsia="bg-BG"/>
        </w:rPr>
      </w:pPr>
      <w:r w:rsidRPr="008D6BBB">
        <w:rPr>
          <w:rFonts w:ascii="Arial Narrow" w:hAnsi="Arial Narrow"/>
          <w:lang w:val="bg-BG" w:eastAsia="bg-BG"/>
        </w:rPr>
        <w:t xml:space="preserve">Подпомагат се групи или организации на земеделски производители, признати от министъра на земеделието и храните по реда на специфичното национално законодателство. Размерът на финансовата помощ за групите и организациите на производители е под формата на годишно плащане в съответствие </w:t>
      </w:r>
      <w:r w:rsidRPr="008D6BBB">
        <w:rPr>
          <w:rFonts w:ascii="Arial Narrow" w:hAnsi="Arial Narrow"/>
          <w:lang w:val="bg-BG" w:eastAsia="bg-BG"/>
        </w:rPr>
        <w:lastRenderedPageBreak/>
        <w:t>с представения бизнес план и се определя като процент от стойността на годишната реализирана на пазара продукция от групата или организацията на производители.</w:t>
      </w:r>
    </w:p>
    <w:p w14:paraId="0F28082A" w14:textId="77777777" w:rsidR="008D6BBB" w:rsidRPr="008D6BBB" w:rsidRDefault="008D6BBB" w:rsidP="008D6BBB">
      <w:pPr>
        <w:spacing w:after="120"/>
        <w:ind w:firstLine="720"/>
        <w:jc w:val="both"/>
        <w:rPr>
          <w:rFonts w:ascii="Arial Narrow" w:hAnsi="Arial Narrow"/>
          <w:lang w:val="bg-BG" w:eastAsia="bg-BG"/>
        </w:rPr>
      </w:pPr>
      <w:r w:rsidRPr="008D6BBB">
        <w:rPr>
          <w:rFonts w:ascii="Arial Narrow" w:hAnsi="Arial Narrow"/>
          <w:lang w:val="bg-BG" w:eastAsia="bg-BG"/>
        </w:rPr>
        <w:t xml:space="preserve">В периода м. декември 2024 г. – м. март 2025 г. е отворен прием по  интервенцията, с постъпили 37 проекти предложения с обща стойност на субсидията 31 829 102 лева. </w:t>
      </w:r>
    </w:p>
    <w:p w14:paraId="0DCDEEC1" w14:textId="77777777" w:rsidR="008D6BBB" w:rsidRPr="008D6BBB" w:rsidRDefault="008D6BBB" w:rsidP="008D6BBB">
      <w:pPr>
        <w:spacing w:after="120"/>
        <w:ind w:firstLine="720"/>
        <w:jc w:val="both"/>
        <w:rPr>
          <w:rFonts w:ascii="Arial Narrow" w:hAnsi="Arial Narrow"/>
          <w:b/>
          <w:lang w:val="bg-BG" w:eastAsia="bg-BG"/>
        </w:rPr>
      </w:pPr>
      <w:r w:rsidRPr="008D6BBB">
        <w:rPr>
          <w:rFonts w:ascii="Arial Narrow" w:hAnsi="Arial Narrow"/>
          <w:b/>
          <w:lang w:val="bg-BG" w:eastAsia="bg-BG"/>
        </w:rPr>
        <w:t xml:space="preserve">Интервенции от СПРЗСР 2023-2027 г. за инвестиции в основни услуги и дребна по мащаби инфраструктура в селските райони и запазване на духовния и културния живот на населението в селските райони </w:t>
      </w:r>
    </w:p>
    <w:p w14:paraId="304D1E22" w14:textId="77777777" w:rsidR="008D6BBB" w:rsidRPr="008D6BBB" w:rsidRDefault="008D6BBB" w:rsidP="008D6BBB">
      <w:pPr>
        <w:spacing w:after="120"/>
        <w:ind w:firstLine="720"/>
        <w:jc w:val="both"/>
        <w:rPr>
          <w:rFonts w:ascii="Arial Narrow" w:hAnsi="Arial Narrow"/>
          <w:b/>
          <w:lang w:val="bg-BG" w:eastAsia="bg-BG"/>
        </w:rPr>
      </w:pPr>
      <w:r w:rsidRPr="008D6BBB">
        <w:rPr>
          <w:rFonts w:ascii="Arial Narrow" w:hAnsi="Arial Narrow"/>
          <w:b/>
          <w:lang w:val="bg-BG" w:eastAsia="bg-BG"/>
        </w:rPr>
        <w:t>Интервенция II.Г.6 - Инвестиции в основни услуги и дребни по мащаби инфраструктура в селските райони</w:t>
      </w:r>
    </w:p>
    <w:p w14:paraId="1989C4C9" w14:textId="77777777" w:rsidR="008D6BBB" w:rsidRPr="008D6BBB" w:rsidRDefault="008D6BBB" w:rsidP="008D6BBB">
      <w:pPr>
        <w:spacing w:after="120"/>
        <w:ind w:firstLine="720"/>
        <w:jc w:val="both"/>
        <w:rPr>
          <w:rFonts w:ascii="Arial Narrow" w:hAnsi="Arial Narrow"/>
          <w:lang w:val="bg-BG" w:eastAsia="bg-BG"/>
        </w:rPr>
      </w:pPr>
      <w:r w:rsidRPr="008D6BBB">
        <w:rPr>
          <w:rFonts w:ascii="Arial Narrow" w:hAnsi="Arial Narrow"/>
          <w:lang w:val="bg-BG" w:eastAsia="bg-BG"/>
        </w:rPr>
        <w:t>Интервенцията има за цел насърчаване на социалното приобщаване, подобряване на транспортната свързаност между населените места, енергийна ефективност на обществените сгради, както и на водопроводната и уличната мрежа, с цел повишаване качеството на живот в тях. Нейният бюджет възлиза на 977 923 783 лева.</w:t>
      </w:r>
    </w:p>
    <w:p w14:paraId="554F22F8" w14:textId="77777777" w:rsidR="008D6BBB" w:rsidRPr="008D6BBB" w:rsidRDefault="008D6BBB" w:rsidP="008D6BBB">
      <w:pPr>
        <w:spacing w:after="120"/>
        <w:ind w:firstLine="720"/>
        <w:jc w:val="both"/>
        <w:rPr>
          <w:rFonts w:ascii="Arial Narrow" w:hAnsi="Arial Narrow"/>
          <w:lang w:val="bg-BG" w:eastAsia="bg-BG"/>
        </w:rPr>
      </w:pPr>
      <w:r w:rsidRPr="008D6BBB">
        <w:rPr>
          <w:rFonts w:ascii="Arial Narrow" w:hAnsi="Arial Narrow"/>
          <w:lang w:val="bg-BG" w:eastAsia="bg-BG"/>
        </w:rPr>
        <w:t>Максималният размер на безвъзмездната финансова помощ е определен за всеки кандидат - община, съгласно одобрена от Комитета по наблюдение на СПРЗСР 2023-2027 г. „Методика за определяне на гарантирани бюджети за общините в обхвата на дефиницията за селски райони“.</w:t>
      </w:r>
    </w:p>
    <w:p w14:paraId="57FD56AA" w14:textId="77777777" w:rsidR="008D6BBB" w:rsidRPr="008D6BBB" w:rsidRDefault="008D6BBB" w:rsidP="008D6BBB">
      <w:pPr>
        <w:spacing w:after="120"/>
        <w:ind w:firstLine="720"/>
        <w:jc w:val="both"/>
        <w:rPr>
          <w:rFonts w:ascii="Arial Narrow" w:hAnsi="Arial Narrow"/>
          <w:lang w:val="bg-BG" w:eastAsia="bg-BG"/>
        </w:rPr>
      </w:pPr>
      <w:r w:rsidRPr="008D6BBB">
        <w:rPr>
          <w:rFonts w:ascii="Arial Narrow" w:hAnsi="Arial Narrow"/>
          <w:lang w:val="bg-BG" w:eastAsia="bg-BG"/>
        </w:rPr>
        <w:t>В периода м. де</w:t>
      </w:r>
      <w:r w:rsidR="00D21F5E">
        <w:rPr>
          <w:rFonts w:ascii="Arial Narrow" w:hAnsi="Arial Narrow"/>
          <w:lang w:val="bg-BG" w:eastAsia="bg-BG"/>
        </w:rPr>
        <w:t>кември 2024 г. -</w:t>
      </w:r>
      <w:r w:rsidRPr="008D6BBB">
        <w:rPr>
          <w:rFonts w:ascii="Arial Narrow" w:hAnsi="Arial Narrow"/>
          <w:lang w:val="bg-BG" w:eastAsia="bg-BG"/>
        </w:rPr>
        <w:t xml:space="preserve"> м. март 2025 г. е проведен първи прием на заявления за подпомагане. Постъпили са 585 проектни предложения, със стойност на заявената субсидия 735 808 159 лева. </w:t>
      </w:r>
    </w:p>
    <w:p w14:paraId="2CF2980B" w14:textId="77777777" w:rsidR="008D6BBB" w:rsidRPr="008D6BBB" w:rsidRDefault="008D6BBB" w:rsidP="008D6BBB">
      <w:pPr>
        <w:spacing w:after="120"/>
        <w:ind w:firstLine="720"/>
        <w:jc w:val="both"/>
        <w:rPr>
          <w:rFonts w:ascii="Arial Narrow" w:hAnsi="Arial Narrow"/>
          <w:lang w:val="bg-BG" w:eastAsia="bg-BG"/>
        </w:rPr>
      </w:pPr>
      <w:r w:rsidRPr="008D6BBB">
        <w:rPr>
          <w:rFonts w:ascii="Arial Narrow" w:hAnsi="Arial Narrow"/>
          <w:lang w:val="bg-BG" w:eastAsia="bg-BG"/>
        </w:rPr>
        <w:t>Втори прием на проектни предложения, с остатъчен бюджет от първия прием, е обя</w:t>
      </w:r>
      <w:r w:rsidR="00D21F5E">
        <w:rPr>
          <w:rFonts w:ascii="Arial Narrow" w:hAnsi="Arial Narrow"/>
          <w:lang w:val="bg-BG" w:eastAsia="bg-BG"/>
        </w:rPr>
        <w:t>вен в периода м. май 2025 г. -</w:t>
      </w:r>
      <w:r w:rsidRPr="008D6BBB">
        <w:rPr>
          <w:rFonts w:ascii="Arial Narrow" w:hAnsi="Arial Narrow"/>
          <w:lang w:val="bg-BG" w:eastAsia="bg-BG"/>
        </w:rPr>
        <w:t xml:space="preserve"> м. юли 2025 г. Подадени са 116 проекта, с общ размер на исканата субсидия 119 299 893 лева.</w:t>
      </w:r>
    </w:p>
    <w:p w14:paraId="71BFA121" w14:textId="77777777" w:rsidR="008D6BBB" w:rsidRPr="008D6BBB" w:rsidRDefault="008D6BBB" w:rsidP="008D6BBB">
      <w:pPr>
        <w:spacing w:after="120"/>
        <w:ind w:firstLine="720"/>
        <w:jc w:val="both"/>
        <w:rPr>
          <w:rFonts w:ascii="Arial Narrow" w:hAnsi="Arial Narrow"/>
          <w:b/>
          <w:lang w:val="bg-BG" w:eastAsia="bg-BG"/>
        </w:rPr>
      </w:pPr>
      <w:r w:rsidRPr="008D6BBB">
        <w:rPr>
          <w:rFonts w:ascii="Arial Narrow" w:hAnsi="Arial Narrow"/>
          <w:b/>
          <w:lang w:val="bg-BG" w:eastAsia="bg-BG"/>
        </w:rPr>
        <w:t>Интервенция II.Г.7 - Запазването на духовния и културния живот на населението в селските райони</w:t>
      </w:r>
    </w:p>
    <w:p w14:paraId="5F956599" w14:textId="77777777" w:rsidR="008D6BBB" w:rsidRPr="008D6BBB" w:rsidRDefault="008D6BBB" w:rsidP="008D6BBB">
      <w:pPr>
        <w:spacing w:after="120"/>
        <w:ind w:firstLine="720"/>
        <w:jc w:val="both"/>
        <w:rPr>
          <w:rFonts w:ascii="Arial Narrow" w:hAnsi="Arial Narrow"/>
          <w:lang w:val="bg-BG" w:eastAsia="bg-BG"/>
        </w:rPr>
      </w:pPr>
      <w:r w:rsidRPr="008D6BBB">
        <w:rPr>
          <w:rFonts w:ascii="Arial Narrow" w:hAnsi="Arial Narrow"/>
          <w:lang w:val="bg-BG" w:eastAsia="bg-BG"/>
        </w:rPr>
        <w:t>Интервенцията има за цел запазването на духовния и културния живот на населението чрез възстановяване, реставрация, ремонт и/или реконструкция на сгради с религиозно значение, което до голяма степен да допринесе за запазването на културната идентичност и традиции в селските райони и повишаване на качеството на живот на хората, живеещи в тях.</w:t>
      </w:r>
    </w:p>
    <w:p w14:paraId="01678D1B" w14:textId="77777777" w:rsidR="008D6BBB" w:rsidRPr="008D6BBB" w:rsidRDefault="008D6BBB" w:rsidP="008D6BBB">
      <w:pPr>
        <w:spacing w:after="120"/>
        <w:ind w:firstLine="720"/>
        <w:jc w:val="both"/>
        <w:rPr>
          <w:rFonts w:ascii="Arial Narrow" w:hAnsi="Arial Narrow"/>
          <w:lang w:val="bg-BG" w:eastAsia="bg-BG"/>
        </w:rPr>
      </w:pPr>
      <w:r w:rsidRPr="008D6BBB">
        <w:rPr>
          <w:rFonts w:ascii="Arial Narrow" w:hAnsi="Arial Narrow"/>
          <w:lang w:val="bg-BG" w:eastAsia="bg-BG"/>
        </w:rPr>
        <w:t>Съгласно годишния индикативен график за приеми по СПРЗСР 2023-2027 г. през 2025 г. се предвижда прием по интервенцията с бюджет в размер на 141 795 500 лева.</w:t>
      </w:r>
    </w:p>
    <w:p w14:paraId="7C9CF535" w14:textId="77777777" w:rsidR="008D6BBB" w:rsidRPr="008D6BBB" w:rsidRDefault="008D6BBB" w:rsidP="008D6BBB">
      <w:pPr>
        <w:spacing w:after="120"/>
        <w:ind w:firstLine="720"/>
        <w:jc w:val="both"/>
        <w:rPr>
          <w:rFonts w:ascii="Arial Narrow" w:hAnsi="Arial Narrow"/>
          <w:b/>
          <w:lang w:val="bg-BG" w:eastAsia="bg-BG"/>
        </w:rPr>
      </w:pPr>
      <w:r w:rsidRPr="008D6BBB">
        <w:rPr>
          <w:rFonts w:ascii="Arial Narrow" w:hAnsi="Arial Narrow"/>
          <w:b/>
          <w:lang w:val="bg-BG" w:eastAsia="bg-BG"/>
        </w:rPr>
        <w:t>Интервенции от СПРЗСР 2023-2027 г. за подхода „Водено от общностите местно развитие“</w:t>
      </w:r>
    </w:p>
    <w:p w14:paraId="2C77FF7F" w14:textId="77777777" w:rsidR="008D6BBB" w:rsidRPr="008D6BBB" w:rsidRDefault="008D6BBB" w:rsidP="008D6BBB">
      <w:pPr>
        <w:spacing w:after="120"/>
        <w:ind w:firstLine="720"/>
        <w:jc w:val="both"/>
        <w:rPr>
          <w:rFonts w:ascii="Arial Narrow" w:hAnsi="Arial Narrow"/>
          <w:b/>
          <w:lang w:val="bg-BG" w:eastAsia="bg-BG"/>
        </w:rPr>
      </w:pPr>
      <w:r w:rsidRPr="008D6BBB">
        <w:rPr>
          <w:rFonts w:ascii="Arial Narrow" w:hAnsi="Arial Narrow"/>
          <w:b/>
          <w:lang w:val="bg-BG" w:eastAsia="bg-BG"/>
        </w:rPr>
        <w:t>Интервенция II.Ж.5 - Изпълнението на операции, включително дейности за сътрудничество и тяхната подготовка, избрани в рамките на стратегията за местно развитие</w:t>
      </w:r>
    </w:p>
    <w:p w14:paraId="1291794A" w14:textId="77777777" w:rsidR="008D6BBB" w:rsidRPr="008D6BBB" w:rsidRDefault="008D6BBB" w:rsidP="008D6BBB">
      <w:pPr>
        <w:spacing w:after="120"/>
        <w:ind w:firstLine="720"/>
        <w:jc w:val="both"/>
        <w:rPr>
          <w:rFonts w:ascii="Arial Narrow" w:hAnsi="Arial Narrow"/>
          <w:lang w:val="bg-BG" w:eastAsia="bg-BG"/>
        </w:rPr>
      </w:pPr>
      <w:r w:rsidRPr="008D6BBB">
        <w:rPr>
          <w:rFonts w:ascii="Arial Narrow" w:hAnsi="Arial Narrow"/>
          <w:lang w:val="bg-BG" w:eastAsia="bg-BG"/>
        </w:rPr>
        <w:t>На 30 декември 2024 г. е прието Постановление на Министерския съвет №494 за определяне на правила за прилагане на подхода „Водено от общностите местно развитие" за периода 2023-2027 г.</w:t>
      </w:r>
    </w:p>
    <w:p w14:paraId="71E6D0AA" w14:textId="77777777" w:rsidR="008D6BBB" w:rsidRPr="008D6BBB" w:rsidRDefault="008D6BBB" w:rsidP="008D6BBB">
      <w:pPr>
        <w:spacing w:after="120"/>
        <w:ind w:firstLine="720"/>
        <w:jc w:val="both"/>
        <w:rPr>
          <w:rFonts w:ascii="Arial Narrow" w:hAnsi="Arial Narrow"/>
          <w:lang w:val="bg-BG" w:eastAsia="bg-BG"/>
        </w:rPr>
      </w:pPr>
      <w:r w:rsidRPr="008D6BBB">
        <w:rPr>
          <w:rFonts w:ascii="Arial Narrow" w:hAnsi="Arial Narrow"/>
          <w:lang w:val="bg-BG" w:eastAsia="bg-BG"/>
        </w:rPr>
        <w:t>Целите на интервенцията са: създаване на динамична жизнена среда; подобряване качеството на живот чрез развитие на хоризонтални и междусекторни партньорства и взаимодействие за инициативи от общ интерес, както и на практики и модели за добро управление и участие на заинтересованите страни в развитието на територията; подкрепа за териториалната идентичност, маркетинг и марки на база на специфичния териториален потенциал и продукти от местен характер; повишаване на конкурентоспособността на местните икономики и възможности за създаване на местен бизнес, включително чрез диверсификация и подкрепа за алтернативни дейности; подкрепа за въвеждането на иновации и насърчаване на прехода към кръгова икономика; насърчаване на устойчивата и качествена заетост и социално включване на уязвими и маргинализирани групи; съхраняване и опазване на околната среда и насърчаване на ресурсната ефективност, вкл. дейности за превенция и управление на риска и за използване потенциала на културното наследство; приобщаващо образование и образователна интеграция.</w:t>
      </w:r>
    </w:p>
    <w:p w14:paraId="3EE00038" w14:textId="77777777" w:rsidR="008D6BBB" w:rsidRPr="008D6BBB" w:rsidRDefault="008D6BBB" w:rsidP="008D6BBB">
      <w:pPr>
        <w:spacing w:after="120"/>
        <w:ind w:firstLine="720"/>
        <w:jc w:val="both"/>
        <w:rPr>
          <w:rFonts w:ascii="Arial Narrow" w:hAnsi="Arial Narrow"/>
          <w:lang w:val="bg-BG" w:eastAsia="bg-BG"/>
        </w:rPr>
      </w:pPr>
      <w:r w:rsidRPr="008D6BBB">
        <w:rPr>
          <w:rFonts w:ascii="Arial Narrow" w:hAnsi="Arial Narrow"/>
          <w:lang w:val="bg-BG" w:eastAsia="bg-BG"/>
        </w:rPr>
        <w:lastRenderedPageBreak/>
        <w:t xml:space="preserve">В периода м. февруари - м. юни 2025 г. е открит прием на проектни предложения с бюджет в размер на 556 743 199 лева. За финансиране на стратегиите за ВОМР е предвидено и допълващо финансиране от Европейския социален фонд плюс и Европейския фонд за регионално развитие, с което общият бюджет по подхода достига близо 740 000 000 лева. </w:t>
      </w:r>
    </w:p>
    <w:p w14:paraId="327544ED" w14:textId="77777777" w:rsidR="008D6BBB" w:rsidRPr="008D6BBB" w:rsidRDefault="008D6BBB" w:rsidP="008D6BBB">
      <w:pPr>
        <w:spacing w:after="120"/>
        <w:ind w:firstLine="720"/>
        <w:jc w:val="both"/>
        <w:rPr>
          <w:rFonts w:ascii="Arial Narrow" w:hAnsi="Arial Narrow"/>
          <w:lang w:val="bg-BG" w:eastAsia="bg-BG"/>
        </w:rPr>
      </w:pPr>
      <w:r w:rsidRPr="008D6BBB">
        <w:rPr>
          <w:rFonts w:ascii="Arial Narrow" w:hAnsi="Arial Narrow"/>
          <w:lang w:val="bg-BG" w:eastAsia="bg-BG"/>
        </w:rPr>
        <w:t>Допустими кандидати са МИГ, които са юридически лица с нестопанска цел, и осъществяват общественополезна дейност. Те трябва да са регистрирани като сдружения по Закона за юридическите лица с нестопанска цел и същевременно да са публично-частни партньорства, с представители на широк кръг заинтересовани лица от територията на тяхното действие.</w:t>
      </w:r>
    </w:p>
    <w:p w14:paraId="57E2171B" w14:textId="77777777" w:rsidR="008D6BBB" w:rsidRPr="00902B27" w:rsidRDefault="008D6BBB" w:rsidP="00902B27">
      <w:pPr>
        <w:spacing w:after="120"/>
        <w:ind w:firstLine="720"/>
        <w:jc w:val="both"/>
        <w:rPr>
          <w:rFonts w:ascii="Arial Narrow" w:hAnsi="Arial Narrow"/>
          <w:lang w:val="bg-BG" w:eastAsia="bg-BG"/>
        </w:rPr>
      </w:pPr>
      <w:r w:rsidRPr="008D6BBB">
        <w:rPr>
          <w:rFonts w:ascii="Arial Narrow" w:hAnsi="Arial Narrow"/>
          <w:lang w:val="bg-BG" w:eastAsia="bg-BG"/>
        </w:rPr>
        <w:t>Максималният размер на общия публичен принос по СПРЗСР 2023-2027 г. в рамките на стратегия за ВОМР е в съответствие с броя на населението в съответната територия и е насочен към изпълнение на дейности за сътрудничество, за управление, мониторинг, оценка и популяризиране на стратегията. За МИГ, обхващаща територия с население от 10 000 до 15 000 жители, включително се предвижда размер на подпомагането до 4 498 340 лева (2 300 000 евро), а за МИГ, обхв</w:t>
      </w:r>
      <w:r w:rsidR="0052475A">
        <w:rPr>
          <w:rFonts w:ascii="Arial Narrow" w:hAnsi="Arial Narrow"/>
          <w:lang w:val="bg-BG" w:eastAsia="bg-BG"/>
        </w:rPr>
        <w:t>ащаща територия с население над</w:t>
      </w:r>
      <w:r w:rsidRPr="008D6BBB">
        <w:rPr>
          <w:rFonts w:ascii="Arial Narrow" w:hAnsi="Arial Narrow"/>
          <w:lang w:val="bg-BG" w:eastAsia="bg-BG"/>
        </w:rPr>
        <w:t xml:space="preserve"> 15 001 жители, включително </w:t>
      </w:r>
      <w:r w:rsidR="0052475A">
        <w:rPr>
          <w:rFonts w:ascii="Arial Narrow" w:hAnsi="Arial Narrow"/>
          <w:lang w:val="bg-BG" w:eastAsia="bg-BG"/>
        </w:rPr>
        <w:t>-</w:t>
      </w:r>
      <w:r w:rsidRPr="008D6BBB">
        <w:rPr>
          <w:rFonts w:ascii="Arial Narrow" w:hAnsi="Arial Narrow"/>
          <w:lang w:val="bg-BG" w:eastAsia="bg-BG"/>
        </w:rPr>
        <w:t xml:space="preserve"> до 5 867 400 лева (3 000 000 евро). </w:t>
      </w:r>
    </w:p>
    <w:p w14:paraId="179D4CF0" w14:textId="77777777" w:rsidR="000E6DE1" w:rsidRPr="00902B27" w:rsidRDefault="00DF2FFE" w:rsidP="006E11F9">
      <w:pPr>
        <w:pStyle w:val="ListParagraph"/>
        <w:numPr>
          <w:ilvl w:val="0"/>
          <w:numId w:val="33"/>
        </w:numPr>
        <w:spacing w:after="120"/>
        <w:ind w:left="357" w:firstLine="3"/>
        <w:contextualSpacing w:val="0"/>
        <w:outlineLvl w:val="0"/>
        <w:rPr>
          <w:rFonts w:ascii="Arial Narrow" w:hAnsi="Arial Narrow"/>
          <w:b/>
          <w:bCs/>
        </w:rPr>
      </w:pPr>
      <w:bookmarkStart w:id="122" w:name="_Toc210747594"/>
      <w:bookmarkEnd w:id="105"/>
      <w:r w:rsidRPr="00902B27">
        <w:rPr>
          <w:rFonts w:ascii="Arial Narrow" w:hAnsi="Arial Narrow"/>
          <w:b/>
          <w:bCs/>
        </w:rPr>
        <w:t>Национален план за възстановяване и устойчивост</w:t>
      </w:r>
      <w:bookmarkEnd w:id="122"/>
    </w:p>
    <w:p w14:paraId="089D5CC5" w14:textId="77777777" w:rsidR="000E6DE1" w:rsidRPr="000E6DE1" w:rsidRDefault="000E6DE1" w:rsidP="000E6DE1">
      <w:pPr>
        <w:spacing w:after="120"/>
        <w:ind w:firstLine="720"/>
        <w:jc w:val="both"/>
        <w:rPr>
          <w:rFonts w:ascii="Arial Narrow" w:hAnsi="Arial Narrow"/>
          <w:lang w:val="bg-BG" w:eastAsia="bg-BG"/>
        </w:rPr>
      </w:pPr>
      <w:r w:rsidRPr="000E6DE1">
        <w:rPr>
          <w:rFonts w:ascii="Arial Narrow" w:hAnsi="Arial Narrow"/>
          <w:lang w:val="bg-BG" w:eastAsia="bg-BG"/>
        </w:rPr>
        <w:t xml:space="preserve">По реда на Постановление на Министерския съвет №157 от 2022 г. за определяне на органите и структурите, отговорни за изпълнението на Плана за възстановяване и устойчивост на Република България, и на техните основни функции, Министерство на земеделието и храните е определено за Структура за наблюдение и докладване във връзка с изпълнението на инвестиция К6.И1 „Фонд за насърчаване на технологичния и екологичен преход на селското стопанство“ на Компонент 6 „Устойчиво селско стопанство“ от НПВУ. </w:t>
      </w:r>
    </w:p>
    <w:p w14:paraId="17FCB348" w14:textId="77777777" w:rsidR="000E6DE1" w:rsidRPr="000E6DE1" w:rsidRDefault="000E6DE1" w:rsidP="000E6DE1">
      <w:pPr>
        <w:spacing w:after="120"/>
        <w:ind w:firstLine="720"/>
        <w:jc w:val="both"/>
        <w:rPr>
          <w:rFonts w:ascii="Arial Narrow" w:hAnsi="Arial Narrow"/>
          <w:lang w:val="bg-BG" w:eastAsia="bg-BG"/>
        </w:rPr>
      </w:pPr>
      <w:r w:rsidRPr="000E6DE1">
        <w:rPr>
          <w:rFonts w:ascii="Arial Narrow" w:hAnsi="Arial Narrow"/>
          <w:lang w:val="bg-BG" w:eastAsia="bg-BG"/>
        </w:rPr>
        <w:t xml:space="preserve">В периода м. септември - м. декември 2023 г. МЗХ проведе процедури чрез подбор на предложения за изпълнение на инвестиции по две направления - процедура BG-RRP-6.004 „Инвестиции в технологична и екологична модернизация“ и процедура BG-RRP-6.006 „Центрове за подготовка за предлагане на пазара и съхранение на плодове и зеленчуци“. От страна на потенциалните крайни получатели на финансова помощ е регистриран значителен интерес, съществено превишаващ предвидения бюджет. </w:t>
      </w:r>
    </w:p>
    <w:p w14:paraId="54769018" w14:textId="77777777" w:rsidR="000E6DE1" w:rsidRPr="000E6DE1" w:rsidRDefault="000E6DE1" w:rsidP="000E6DE1">
      <w:pPr>
        <w:spacing w:after="120"/>
        <w:ind w:firstLine="720"/>
        <w:jc w:val="both"/>
        <w:rPr>
          <w:rFonts w:ascii="Arial Narrow" w:hAnsi="Arial Narrow"/>
          <w:lang w:val="bg-BG" w:eastAsia="bg-BG"/>
        </w:rPr>
      </w:pPr>
      <w:r w:rsidRPr="000E6DE1">
        <w:rPr>
          <w:rFonts w:ascii="Arial Narrow" w:hAnsi="Arial Narrow"/>
          <w:lang w:val="bg-BG" w:eastAsia="bg-BG"/>
        </w:rPr>
        <w:t xml:space="preserve">Подкрепата по направление „Инвестиции в технологична и екологична модернизация“ е насочена към придобиване на материални и нематериални активи, свързани с дейности, допринасящи за опазване на околната среда, адаптиране на стопанствата към климатичните промени и подобрено използване на ресурсите. Стимулират се инвестиции в земеделските стопанства за въвеждане на цифрови решения, които подобряват процеса на отглеждане на селскостопанските култури и животни, както и на автоматизирани и роботизирани системи за управление на отделните фази на производствения процес.  </w:t>
      </w:r>
    </w:p>
    <w:p w14:paraId="6382D8BC" w14:textId="77777777" w:rsidR="000E6DE1" w:rsidRPr="000E6DE1" w:rsidRDefault="000E6DE1" w:rsidP="000E6DE1">
      <w:pPr>
        <w:spacing w:after="120"/>
        <w:ind w:firstLine="720"/>
        <w:jc w:val="both"/>
        <w:rPr>
          <w:rFonts w:ascii="Arial Narrow" w:hAnsi="Arial Narrow"/>
          <w:lang w:val="bg-BG" w:eastAsia="bg-BG"/>
        </w:rPr>
      </w:pPr>
      <w:r w:rsidRPr="000E6DE1">
        <w:rPr>
          <w:rFonts w:ascii="Arial Narrow" w:hAnsi="Arial Narrow"/>
          <w:lang w:val="bg-BG" w:eastAsia="bg-BG"/>
        </w:rPr>
        <w:t xml:space="preserve">В рамките на обявената процедура „Инвестиции в технологична и екологична модернизация“, с бюджет от 381 657 840 лева , са подадени 4 358 проектни предложения със заявена БФП в размер на 912 193 337 лева. Сключени са 1 520 договора за финансова помощ с размер на БФП 315 562 820 лева. Към края на 2024 г. 6 от договорите са прекратени. Към 31.12.2024 г. по процедурата са извършени плащания по 204 договора на обща стойност </w:t>
      </w:r>
      <w:r w:rsidR="00C818B4" w:rsidRPr="00C818B4">
        <w:rPr>
          <w:rFonts w:ascii="Arial Narrow" w:hAnsi="Arial Narrow"/>
          <w:lang w:val="bg-BG" w:eastAsia="bg-BG"/>
        </w:rPr>
        <w:t xml:space="preserve">40 773 791 </w:t>
      </w:r>
      <w:r w:rsidRPr="000E6DE1">
        <w:rPr>
          <w:rFonts w:ascii="Arial Narrow" w:hAnsi="Arial Narrow"/>
          <w:lang w:val="bg-BG" w:eastAsia="bg-BG"/>
        </w:rPr>
        <w:t xml:space="preserve">публични средства. </w:t>
      </w:r>
      <w:r w:rsidR="00C818B4" w:rsidRPr="00C818B4">
        <w:rPr>
          <w:rFonts w:ascii="Arial Narrow" w:hAnsi="Arial Narrow"/>
          <w:lang w:val="bg-BG" w:eastAsia="bg-BG"/>
        </w:rPr>
        <w:t>За първите пет месеца на 2025 г. са изплатени средства в размер на 102 364 689 лева</w:t>
      </w:r>
      <w:r w:rsidR="00C818B4">
        <w:rPr>
          <w:rFonts w:ascii="Arial Narrow" w:hAnsi="Arial Narrow"/>
          <w:lang w:val="bg-BG" w:eastAsia="bg-BG"/>
        </w:rPr>
        <w:t>.</w:t>
      </w:r>
      <w:r w:rsidRPr="000E6DE1">
        <w:rPr>
          <w:rFonts w:ascii="Arial Narrow" w:hAnsi="Arial Narrow"/>
          <w:lang w:val="bg-BG" w:eastAsia="bg-BG"/>
        </w:rPr>
        <w:t xml:space="preserve">Целта на подкрепата по направление „Инвестиции в центрове за подготовка за предлагане на пазара и съхранение на плодове и зеленчуци“ е стимулиране създаването на къси вериги на доставка, модернизирането и автоматизирането на процесите по събиране, подготовка за пазара и съхранение на пресни плодове и зеленчуци. Получатели на безвъзмездната помощ могат да бъдат земеделски стопани, организации на производители, кооперации, сдружения на земеделски стопани. </w:t>
      </w:r>
    </w:p>
    <w:p w14:paraId="2DC19358" w14:textId="77777777" w:rsidR="000E6DE1" w:rsidRPr="000E6DE1" w:rsidRDefault="000E6DE1" w:rsidP="000E6DE1">
      <w:pPr>
        <w:spacing w:after="120"/>
        <w:ind w:firstLine="720"/>
        <w:jc w:val="both"/>
        <w:rPr>
          <w:rFonts w:ascii="Arial Narrow" w:hAnsi="Arial Narrow"/>
          <w:lang w:val="bg-BG" w:eastAsia="bg-BG"/>
        </w:rPr>
      </w:pPr>
      <w:r w:rsidRPr="000E6DE1">
        <w:rPr>
          <w:rFonts w:ascii="Arial Narrow" w:hAnsi="Arial Narrow"/>
          <w:lang w:val="bg-BG" w:eastAsia="bg-BG"/>
        </w:rPr>
        <w:t xml:space="preserve">По процедура „Инвестиции в центрове за подготовка за предлагане на пазара и съхранение на плодове и зеленчуци“, с бюджет от 18 000 000 лева, са подадени 41 проектни предложения със заявена субсидия в размер на 26 270 388 лева. Сключени са 23 договора за подпомагане с размер на БФП 13 603 245 лева. </w:t>
      </w:r>
      <w:r w:rsidRPr="00A85E6B">
        <w:rPr>
          <w:rFonts w:ascii="Arial Narrow" w:hAnsi="Arial Narrow"/>
          <w:lang w:val="bg-BG" w:eastAsia="bg-BG"/>
        </w:rPr>
        <w:t>Към края на 2024 г. по процедурата са разплатени публични средства в размер на 262 556 лева.</w:t>
      </w:r>
    </w:p>
    <w:p w14:paraId="763E51C9" w14:textId="77777777" w:rsidR="000E6DE1" w:rsidRPr="000E6DE1" w:rsidRDefault="000E6DE1" w:rsidP="000E6DE1">
      <w:pPr>
        <w:spacing w:after="120"/>
        <w:ind w:firstLine="720"/>
        <w:jc w:val="both"/>
        <w:rPr>
          <w:rFonts w:ascii="Arial Narrow" w:hAnsi="Arial Narrow"/>
          <w:lang w:val="bg-BG" w:eastAsia="bg-BG"/>
        </w:rPr>
      </w:pPr>
      <w:bookmarkStart w:id="123" w:name="_Toc201928066"/>
      <w:r w:rsidRPr="000E6DE1">
        <w:rPr>
          <w:rFonts w:ascii="Arial Narrow" w:hAnsi="Arial Narrow"/>
          <w:lang w:val="bg-BG" w:eastAsia="bg-BG"/>
        </w:rPr>
        <w:t xml:space="preserve">Министерството на земеделието и храните е краен получател на средства по инвестиция К6.И2 „Дигитализация на процесите от фермата до трапезата“ от НПВУ, с бюджет в размер на 23 874 419 лева </w:t>
      </w:r>
      <w:r w:rsidRPr="000E6DE1">
        <w:rPr>
          <w:rFonts w:ascii="Arial Narrow" w:hAnsi="Arial Narrow"/>
          <w:lang w:val="bg-BG" w:eastAsia="bg-BG"/>
        </w:rPr>
        <w:lastRenderedPageBreak/>
        <w:t xml:space="preserve">(19 949 345 лева от МВУ и 3 925 074 лева от националния бюджет за невъзстановим ДДС). Инвестиционният проект предвижда изграждане на Електронна информационна система в земеделието за обмен на данни между публичната администрация и икономическите субекти в сектора, която ще осигури интегриране и съвместимост на данните от различни информационни системи, регистри и бази-данни, в и извън сектор Земеделие. </w:t>
      </w:r>
    </w:p>
    <w:p w14:paraId="4FD47C69" w14:textId="77777777" w:rsidR="000E6DE1" w:rsidRPr="000E6DE1" w:rsidRDefault="000E6DE1" w:rsidP="000E6DE1">
      <w:pPr>
        <w:spacing w:after="120"/>
        <w:ind w:firstLine="720"/>
        <w:jc w:val="both"/>
        <w:rPr>
          <w:rFonts w:ascii="Arial Narrow" w:hAnsi="Arial Narrow"/>
          <w:lang w:val="bg-BG" w:eastAsia="bg-BG"/>
        </w:rPr>
      </w:pPr>
      <w:r w:rsidRPr="000E6DE1">
        <w:rPr>
          <w:rFonts w:ascii="Arial Narrow" w:hAnsi="Arial Narrow"/>
          <w:lang w:val="bg-BG" w:eastAsia="bg-BG"/>
        </w:rPr>
        <w:t>Целта на ЕИСЗ е цифровизиране и обединяване на информационните ресурси в земеделието, създаване на условия за проследяване на напредъка по изпълнението на целите на зелената сделка в областта на селското стопанство, оптимизиране на бизнес-средата и намаляване на административната тежест.</w:t>
      </w:r>
      <w:r w:rsidRPr="000E6DE1">
        <w:rPr>
          <w:rFonts w:ascii="Arial Narrow" w:hAnsi="Arial Narrow"/>
          <w:lang w:val="bg-BG" w:eastAsia="bg-BG"/>
        </w:rPr>
        <w:tab/>
      </w:r>
    </w:p>
    <w:p w14:paraId="25B5B3AB" w14:textId="77777777" w:rsidR="000E6DE1" w:rsidRPr="000E6DE1" w:rsidRDefault="000E6DE1" w:rsidP="000E6DE1">
      <w:pPr>
        <w:spacing w:after="120"/>
        <w:ind w:firstLine="720"/>
        <w:jc w:val="both"/>
        <w:rPr>
          <w:rFonts w:ascii="Arial Narrow" w:hAnsi="Arial Narrow"/>
          <w:lang w:val="bg-BG" w:eastAsia="bg-BG"/>
        </w:rPr>
      </w:pPr>
      <w:r w:rsidRPr="000E6DE1">
        <w:rPr>
          <w:rFonts w:ascii="Arial Narrow" w:hAnsi="Arial Narrow"/>
          <w:lang w:val="bg-BG" w:eastAsia="bg-BG"/>
        </w:rPr>
        <w:t xml:space="preserve">Като елементи на ЕИСЗ ще бъдат разработени обща платформа за обединяване на модулите на системата и интегриране на данни от други информационни системи, четири модула и мрежа за комуникация от полеви и водни сензори. </w:t>
      </w:r>
    </w:p>
    <w:p w14:paraId="46BA73B3" w14:textId="77777777" w:rsidR="000E6DE1" w:rsidRPr="000E6DE1" w:rsidRDefault="000E6DE1" w:rsidP="000E6DE1">
      <w:pPr>
        <w:spacing w:after="120"/>
        <w:ind w:firstLine="720"/>
        <w:jc w:val="both"/>
        <w:rPr>
          <w:rFonts w:ascii="Arial Narrow" w:hAnsi="Arial Narrow"/>
          <w:lang w:val="bg-BG" w:eastAsia="bg-BG"/>
        </w:rPr>
      </w:pPr>
      <w:r w:rsidRPr="000E6DE1">
        <w:rPr>
          <w:rFonts w:ascii="Arial Narrow" w:hAnsi="Arial Narrow"/>
          <w:lang w:val="bg-BG" w:eastAsia="bg-BG"/>
        </w:rPr>
        <w:t>Модулът за употребата на продукти за растителна защита и торове цели намаляване използването на тези продукти чрез дигитализиране на дневниците за растителна защита, които водят земеделските стопани. В модула ще въвеждат информация търговци, вносители, дистрибутори, консултанти и професионални потребители на продукти за растителна защита.</w:t>
      </w:r>
    </w:p>
    <w:p w14:paraId="79F565ED" w14:textId="77777777" w:rsidR="000E6DE1" w:rsidRPr="000E6DE1" w:rsidRDefault="000E6DE1" w:rsidP="000E6DE1">
      <w:pPr>
        <w:spacing w:after="120"/>
        <w:ind w:firstLine="720"/>
        <w:jc w:val="both"/>
        <w:rPr>
          <w:rFonts w:ascii="Arial Narrow" w:hAnsi="Arial Narrow"/>
          <w:lang w:val="bg-BG" w:eastAsia="bg-BG"/>
        </w:rPr>
      </w:pPr>
      <w:r w:rsidRPr="000E6DE1">
        <w:rPr>
          <w:rFonts w:ascii="Arial Narrow" w:hAnsi="Arial Narrow"/>
          <w:lang w:val="bg-BG" w:eastAsia="bg-BG"/>
        </w:rPr>
        <w:t>Информационно-аналитичният модул за контрол на употребата на антимикробни ветеринарни лекарствени продукти ще събира и обобщава информация от всички субекти, имащи отношение към производството, търговията и прилагането на тези препарати. Целта е осигуряване на пълна проследимост на антимикробните средства и подобряване на официалния контрол чрез въвеждане на  електронна рецепта и на референтни прагове на тяхната употреба.</w:t>
      </w:r>
    </w:p>
    <w:p w14:paraId="56543560" w14:textId="77777777" w:rsidR="000E6DE1" w:rsidRPr="000E6DE1" w:rsidRDefault="000E6DE1" w:rsidP="000E6DE1">
      <w:pPr>
        <w:spacing w:after="120"/>
        <w:ind w:firstLine="720"/>
        <w:jc w:val="both"/>
        <w:rPr>
          <w:rFonts w:ascii="Arial Narrow" w:hAnsi="Arial Narrow"/>
          <w:lang w:val="bg-BG" w:eastAsia="bg-BG"/>
        </w:rPr>
      </w:pPr>
      <w:r w:rsidRPr="000E6DE1">
        <w:rPr>
          <w:rFonts w:ascii="Arial Narrow" w:hAnsi="Arial Narrow"/>
          <w:lang w:val="bg-BG" w:eastAsia="bg-BG"/>
        </w:rPr>
        <w:t>Модулът за проследяване „От фермата до трапезата“ ще събира и съхранява централизирано данни за даден продукт от производители, вносители, дистрибутори, търговци на едро и дребно, ще проследява движението му по логистичната верига и ще предоставя достоверна информация на всички участници в процеса, на контролните органи и на потребителите.</w:t>
      </w:r>
    </w:p>
    <w:p w14:paraId="77907C83" w14:textId="77777777" w:rsidR="000E6DE1" w:rsidRPr="000E6DE1" w:rsidRDefault="000E6DE1" w:rsidP="000E6DE1">
      <w:pPr>
        <w:spacing w:after="120"/>
        <w:ind w:firstLine="720"/>
        <w:jc w:val="both"/>
        <w:rPr>
          <w:rFonts w:ascii="Arial Narrow" w:hAnsi="Arial Narrow"/>
          <w:lang w:val="bg-BG" w:eastAsia="bg-BG"/>
        </w:rPr>
      </w:pPr>
      <w:r w:rsidRPr="000E6DE1">
        <w:rPr>
          <w:rFonts w:ascii="Arial Narrow" w:hAnsi="Arial Narrow"/>
          <w:lang w:val="bg-BG" w:eastAsia="bg-BG"/>
        </w:rPr>
        <w:t xml:space="preserve">Модулът за онлайн обучение представлява инструмент за подобряване на знанията и информираността на земеделските стопани по отношение прилагането на иновации, адаптирането на стопанствата към изменението на климата, по-ефективно използване на ресурсите и пр. </w:t>
      </w:r>
    </w:p>
    <w:p w14:paraId="7D05A938" w14:textId="77777777" w:rsidR="000E6DE1" w:rsidRPr="000E6DE1" w:rsidRDefault="000E6DE1" w:rsidP="000E6DE1">
      <w:pPr>
        <w:spacing w:after="120"/>
        <w:ind w:firstLine="720"/>
        <w:jc w:val="both"/>
        <w:rPr>
          <w:rFonts w:ascii="Arial Narrow" w:hAnsi="Arial Narrow"/>
          <w:lang w:val="bg-BG" w:eastAsia="bg-BG"/>
        </w:rPr>
      </w:pPr>
      <w:r w:rsidRPr="000E6DE1">
        <w:rPr>
          <w:rFonts w:ascii="Arial Narrow" w:hAnsi="Arial Narrow"/>
          <w:lang w:val="bg-BG" w:eastAsia="bg-BG"/>
        </w:rPr>
        <w:t>Мрежата за комуникация от полеви и водни сензори ще осигурява на земеделските стопанства данни за почвена влага, температура на въздуха и почвата и количество на валежите. Така фермерите ще могат за вземат адекватни решения за прилагането на най-подходящите агротехнически мероприятия.</w:t>
      </w:r>
    </w:p>
    <w:p w14:paraId="5D39BE75" w14:textId="77777777" w:rsidR="000E6DE1" w:rsidRPr="000E6DE1" w:rsidRDefault="000E6DE1" w:rsidP="000E6DE1">
      <w:pPr>
        <w:spacing w:after="120"/>
        <w:ind w:firstLine="720"/>
        <w:jc w:val="both"/>
        <w:rPr>
          <w:rFonts w:ascii="Arial Narrow" w:hAnsi="Arial Narrow"/>
          <w:lang w:val="bg-BG" w:eastAsia="bg-BG"/>
        </w:rPr>
      </w:pPr>
      <w:r w:rsidRPr="000E6DE1">
        <w:rPr>
          <w:rFonts w:ascii="Arial Narrow" w:hAnsi="Arial Narrow"/>
          <w:lang w:val="bg-BG" w:eastAsia="bg-BG"/>
        </w:rPr>
        <w:t xml:space="preserve">През 2024 г. чрез процедура по Закона за обществените поръчки е избран изпълнител, на който е възложено разработването на ЕИСЗ. Предвидените дейности са в процес на изпълнение съобразно изготвен от изпълнителя работен план. Крайният срок за изграждане на системата е 31.12.2025 г. </w:t>
      </w:r>
    </w:p>
    <w:p w14:paraId="0B4C64C0" w14:textId="77777777" w:rsidR="000E6DE1" w:rsidRPr="000E6DE1" w:rsidRDefault="000E6DE1" w:rsidP="000E6DE1">
      <w:pPr>
        <w:spacing w:after="120"/>
        <w:ind w:firstLine="720"/>
        <w:jc w:val="both"/>
        <w:rPr>
          <w:rFonts w:ascii="Arial Narrow" w:hAnsi="Arial Narrow"/>
          <w:lang w:val="bg-BG" w:eastAsia="bg-BG"/>
        </w:rPr>
      </w:pPr>
      <w:r w:rsidRPr="000E6DE1">
        <w:rPr>
          <w:rFonts w:ascii="Arial Narrow" w:hAnsi="Arial Narrow"/>
          <w:lang w:val="bg-BG" w:eastAsia="bg-BG"/>
        </w:rPr>
        <w:t>В контекста на предизвикателствата пред селското стопанство, свързани с преминаването към по-екологосъобразни практики, без това да засегне продоволствената сигурност на страната, Министерството на земеделието и храните е поело ангажименти за осъществяване на включена в НПВУ реформа - Актуализиране на стратегическата рамка на аграрния сектор. Същността на реформата се състои в подготовката на Национална програма за действие за принос към изпълнение на целите на Стратегията „От фермата до трапезата“. Целта на Програмата е да актуализира и надгради стратегическата рамка за управление на аграрния сектор, регламентирана в Националната програма за развитие България 2030, като очертае инструменти, мерки и дейности, свързани с изпълнение на конкретни цели и ангажименти, допринасящи за опазване на климата, околната среда, биоразнообразието и природните ресурси за периода до 2030 г.</w:t>
      </w:r>
    </w:p>
    <w:p w14:paraId="0CC1CFDA" w14:textId="77777777" w:rsidR="000E6DE1" w:rsidRPr="000E6DE1" w:rsidRDefault="000E6DE1" w:rsidP="000E6DE1">
      <w:pPr>
        <w:spacing w:after="120"/>
        <w:ind w:firstLine="720"/>
        <w:jc w:val="both"/>
        <w:rPr>
          <w:rFonts w:ascii="Arial Narrow" w:hAnsi="Arial Narrow"/>
          <w:lang w:val="bg-BG" w:eastAsia="bg-BG"/>
        </w:rPr>
      </w:pPr>
      <w:r w:rsidRPr="000E6DE1">
        <w:rPr>
          <w:rFonts w:ascii="Arial Narrow" w:hAnsi="Arial Narrow"/>
          <w:lang w:val="bg-BG" w:eastAsia="bg-BG"/>
        </w:rPr>
        <w:t>Програмата е одобрена с Решение на Министерския съвет №857/13.12.2024 г. и е в процес на изпълнение.</w:t>
      </w:r>
      <w:bookmarkEnd w:id="123"/>
    </w:p>
    <w:p w14:paraId="024F9738" w14:textId="77777777" w:rsidR="00BE6C31" w:rsidRPr="004F561A" w:rsidRDefault="0041415B" w:rsidP="006E11F9">
      <w:pPr>
        <w:pStyle w:val="ListParagraph"/>
        <w:numPr>
          <w:ilvl w:val="0"/>
          <w:numId w:val="33"/>
        </w:numPr>
        <w:spacing w:after="120"/>
        <w:ind w:left="357" w:firstLine="6"/>
        <w:contextualSpacing w:val="0"/>
        <w:outlineLvl w:val="0"/>
        <w:rPr>
          <w:rFonts w:ascii="Arial Narrow" w:hAnsi="Arial Narrow"/>
          <w:b/>
          <w:lang w:val="bg-BG" w:eastAsia="bg-BG"/>
        </w:rPr>
      </w:pPr>
      <w:bookmarkStart w:id="124" w:name="_Toc210747595"/>
      <w:r w:rsidRPr="004F561A">
        <w:rPr>
          <w:rFonts w:ascii="Arial Narrow" w:hAnsi="Arial Narrow"/>
          <w:b/>
          <w:lang w:val="bg-BG" w:eastAsia="bg-BG"/>
        </w:rPr>
        <w:t>Допълнително държавно подпомагане</w:t>
      </w:r>
      <w:bookmarkEnd w:id="124"/>
    </w:p>
    <w:p w14:paraId="4268FB96" w14:textId="77777777" w:rsidR="004F561A" w:rsidRPr="004F561A" w:rsidRDefault="004F561A" w:rsidP="004F561A">
      <w:pPr>
        <w:spacing w:after="120"/>
        <w:ind w:firstLine="706"/>
        <w:jc w:val="both"/>
        <w:rPr>
          <w:rFonts w:ascii="Arial Narrow" w:hAnsi="Arial Narrow"/>
          <w:lang w:val="bg-BG" w:eastAsia="bg-BG"/>
        </w:rPr>
      </w:pPr>
      <w:r w:rsidRPr="004F561A">
        <w:rPr>
          <w:rFonts w:ascii="Arial Narrow" w:hAnsi="Arial Narrow"/>
          <w:lang w:val="bg-BG" w:eastAsia="bg-BG"/>
        </w:rPr>
        <w:lastRenderedPageBreak/>
        <w:t>Подпомагането на земеделския сектор в България по двата стълба на ОСП се допълва от финансова подкрепа с национални средства по схеми за държавни помощи, краткосрочни и инвестиционни кредити, отпускани от ДФ „Земеделие”.</w:t>
      </w:r>
    </w:p>
    <w:p w14:paraId="508884D5" w14:textId="77777777" w:rsidR="00EB49E6" w:rsidRPr="004F561A" w:rsidRDefault="0041415B" w:rsidP="0072450C">
      <w:pPr>
        <w:pStyle w:val="ListParagraph"/>
        <w:numPr>
          <w:ilvl w:val="1"/>
          <w:numId w:val="19"/>
        </w:numPr>
        <w:spacing w:after="120"/>
        <w:ind w:left="792" w:hanging="432"/>
        <w:outlineLvl w:val="0"/>
        <w:rPr>
          <w:rFonts w:ascii="Arial Narrow" w:hAnsi="Arial Narrow"/>
          <w:b/>
          <w:lang w:val="bg-BG" w:eastAsia="bg-BG"/>
        </w:rPr>
      </w:pPr>
      <w:bookmarkStart w:id="125" w:name="_Toc210747596"/>
      <w:r w:rsidRPr="004F561A">
        <w:rPr>
          <w:rFonts w:ascii="Arial Narrow" w:hAnsi="Arial Narrow"/>
          <w:b/>
          <w:lang w:val="bg-BG" w:eastAsia="bg-BG"/>
        </w:rPr>
        <w:t xml:space="preserve">Държавни помощи </w:t>
      </w:r>
      <w:r w:rsidR="004F561A" w:rsidRPr="004F561A">
        <w:rPr>
          <w:rFonts w:ascii="Arial Narrow" w:hAnsi="Arial Narrow"/>
          <w:b/>
          <w:lang w:val="bg-BG" w:eastAsia="bg-BG"/>
        </w:rPr>
        <w:t>в земеделието</w:t>
      </w:r>
      <w:bookmarkEnd w:id="125"/>
    </w:p>
    <w:p w14:paraId="205CB9F8" w14:textId="77777777" w:rsidR="004F561A" w:rsidRPr="009E585F" w:rsidRDefault="004F561A" w:rsidP="004F561A">
      <w:pPr>
        <w:overflowPunct w:val="0"/>
        <w:autoSpaceDE w:val="0"/>
        <w:autoSpaceDN w:val="0"/>
        <w:adjustRightInd w:val="0"/>
        <w:spacing w:after="120"/>
        <w:ind w:firstLine="708"/>
        <w:jc w:val="both"/>
        <w:textAlignment w:val="baseline"/>
        <w:rPr>
          <w:rFonts w:ascii="Arial Narrow" w:eastAsia="Calibri" w:hAnsi="Arial Narrow"/>
        </w:rPr>
      </w:pPr>
      <w:r w:rsidRPr="009E585F">
        <w:rPr>
          <w:rFonts w:ascii="Arial Narrow" w:eastAsia="Calibri" w:hAnsi="Arial Narrow"/>
        </w:rPr>
        <w:t>Министерство на земеделието и храните определя и осъществя политиката за национално подпомагане в земеделието в съответствие със законодателството на Европейския съюз за държавните помощи и във връзка с разпоредбите на Закона за държавните помощи.</w:t>
      </w:r>
    </w:p>
    <w:p w14:paraId="205729B9" w14:textId="77777777" w:rsidR="004F561A" w:rsidRPr="009E585F" w:rsidRDefault="004F561A" w:rsidP="004F561A">
      <w:pPr>
        <w:overflowPunct w:val="0"/>
        <w:autoSpaceDE w:val="0"/>
        <w:autoSpaceDN w:val="0"/>
        <w:adjustRightInd w:val="0"/>
        <w:spacing w:after="120"/>
        <w:ind w:firstLine="708"/>
        <w:jc w:val="both"/>
        <w:textAlignment w:val="baseline"/>
        <w:rPr>
          <w:rFonts w:ascii="Arial Narrow" w:eastAsia="Calibri" w:hAnsi="Arial Narrow"/>
        </w:rPr>
      </w:pPr>
      <w:r w:rsidRPr="009E585F">
        <w:rPr>
          <w:rFonts w:ascii="Arial Narrow" w:eastAsia="Calibri" w:hAnsi="Arial Narrow"/>
        </w:rPr>
        <w:t>Държавните помощи като инструмент за подпомагане в селскостопанския отрасъл на страната се планират, разработват и насочват към приоритетните нужди на българското земеделие, при спазване на европейските и националните законодателни норми – договори, регламенти, решения, рамки и други.</w:t>
      </w:r>
    </w:p>
    <w:p w14:paraId="4AE874C0" w14:textId="77777777" w:rsidR="004F561A" w:rsidRPr="009E585F" w:rsidRDefault="004F561A" w:rsidP="004F561A">
      <w:pPr>
        <w:overflowPunct w:val="0"/>
        <w:autoSpaceDE w:val="0"/>
        <w:autoSpaceDN w:val="0"/>
        <w:adjustRightInd w:val="0"/>
        <w:spacing w:after="120"/>
        <w:ind w:firstLine="708"/>
        <w:jc w:val="both"/>
        <w:textAlignment w:val="baseline"/>
        <w:rPr>
          <w:rFonts w:ascii="Arial Narrow" w:eastAsia="Calibri" w:hAnsi="Arial Narrow"/>
        </w:rPr>
      </w:pPr>
      <w:r w:rsidRPr="009E585F">
        <w:rPr>
          <w:rFonts w:ascii="Arial Narrow" w:eastAsia="Calibri" w:hAnsi="Arial Narrow"/>
        </w:rPr>
        <w:t>Мерките, които се прилагат, са насочени към стимулиране на инвестициите с цел повишаване на ефективността на стопанствата и производство на по-качествена продукция, застраховане и компенсация на щети от природни бедствия и неблагоприятни климатични събития, съдействие за предотвратяване на заболявания по растения и животни, опазване на генетичните ресурси в растениевъдството и животновъдството, насърчаване на хуманното отношение към животните, стимулиране участието в изложения за популяризиране българското селскостопанско производство и за обмен на опит.</w:t>
      </w:r>
    </w:p>
    <w:p w14:paraId="52D3BBB9" w14:textId="77777777" w:rsidR="004F561A" w:rsidRPr="009E585F" w:rsidRDefault="004F561A" w:rsidP="004F561A">
      <w:pPr>
        <w:overflowPunct w:val="0"/>
        <w:autoSpaceDE w:val="0"/>
        <w:autoSpaceDN w:val="0"/>
        <w:adjustRightInd w:val="0"/>
        <w:spacing w:after="120"/>
        <w:ind w:firstLine="708"/>
        <w:jc w:val="both"/>
        <w:textAlignment w:val="baseline"/>
        <w:rPr>
          <w:rFonts w:ascii="Arial Narrow" w:eastAsia="Calibri" w:hAnsi="Arial Narrow"/>
        </w:rPr>
      </w:pPr>
      <w:r w:rsidRPr="009E585F">
        <w:rPr>
          <w:rFonts w:ascii="Arial Narrow" w:eastAsia="Calibri" w:hAnsi="Arial Narrow"/>
        </w:rPr>
        <w:t xml:space="preserve">Инициативата за подпомагане чрез мярка за държавна помощ </w:t>
      </w:r>
      <w:r>
        <w:rPr>
          <w:rFonts w:ascii="Arial Narrow" w:eastAsia="Calibri" w:hAnsi="Arial Narrow"/>
        </w:rPr>
        <w:t xml:space="preserve">обикновено </w:t>
      </w:r>
      <w:r w:rsidRPr="009E585F">
        <w:rPr>
          <w:rFonts w:ascii="Arial Narrow" w:eastAsia="Calibri" w:hAnsi="Arial Narrow"/>
        </w:rPr>
        <w:t>произтича от съответния бранш</w:t>
      </w:r>
      <w:r>
        <w:rPr>
          <w:rFonts w:ascii="Arial Narrow" w:eastAsia="Calibri" w:hAnsi="Arial Narrow"/>
        </w:rPr>
        <w:t xml:space="preserve"> </w:t>
      </w:r>
      <w:r w:rsidRPr="009E585F">
        <w:rPr>
          <w:rFonts w:ascii="Arial Narrow" w:eastAsia="Calibri" w:hAnsi="Arial Narrow"/>
        </w:rPr>
        <w:t xml:space="preserve">(Растениевъдство, Животновъдство, Преработка на селскостопански продукти), който участва при разработването </w:t>
      </w:r>
      <w:r w:rsidRPr="00893CB0">
        <w:rPr>
          <w:rFonts w:ascii="Arial Narrow" w:eastAsia="Calibri" w:hAnsi="Arial Narrow"/>
        </w:rPr>
        <w:t>на съответната мярка</w:t>
      </w:r>
      <w:r w:rsidRPr="009E585F">
        <w:rPr>
          <w:rFonts w:ascii="Arial Narrow" w:eastAsia="Calibri" w:hAnsi="Arial Narrow"/>
        </w:rPr>
        <w:t xml:space="preserve">. </w:t>
      </w:r>
    </w:p>
    <w:p w14:paraId="1FD5771C" w14:textId="77777777" w:rsidR="004F561A" w:rsidRPr="009E585F" w:rsidRDefault="004F561A" w:rsidP="004F561A">
      <w:pPr>
        <w:overflowPunct w:val="0"/>
        <w:autoSpaceDE w:val="0"/>
        <w:autoSpaceDN w:val="0"/>
        <w:adjustRightInd w:val="0"/>
        <w:spacing w:after="120"/>
        <w:ind w:firstLine="708"/>
        <w:jc w:val="both"/>
        <w:textAlignment w:val="baseline"/>
        <w:rPr>
          <w:rFonts w:ascii="Arial Narrow" w:eastAsia="Calibri" w:hAnsi="Arial Narrow"/>
        </w:rPr>
      </w:pPr>
      <w:r w:rsidRPr="009E585F">
        <w:rPr>
          <w:rFonts w:ascii="Arial Narrow" w:eastAsia="Calibri" w:hAnsi="Arial Narrow"/>
        </w:rPr>
        <w:t>Общата стойност на подпомагането с държавни помощи в сектор Земеделие през 2024 г. е в размер на 976 635 268 лева, от които:</w:t>
      </w:r>
    </w:p>
    <w:p w14:paraId="5B472AE9" w14:textId="77777777" w:rsidR="004F561A" w:rsidRPr="00893CB0" w:rsidRDefault="004F561A" w:rsidP="009C6577">
      <w:pPr>
        <w:pStyle w:val="ListParagraph"/>
        <w:numPr>
          <w:ilvl w:val="0"/>
          <w:numId w:val="54"/>
        </w:numPr>
        <w:overflowPunct w:val="0"/>
        <w:autoSpaceDE w:val="0"/>
        <w:autoSpaceDN w:val="0"/>
        <w:adjustRightInd w:val="0"/>
        <w:spacing w:after="120"/>
        <w:ind w:left="714" w:hanging="357"/>
        <w:contextualSpacing w:val="0"/>
        <w:jc w:val="both"/>
        <w:textAlignment w:val="baseline"/>
        <w:rPr>
          <w:rFonts w:ascii="Arial Narrow" w:eastAsia="Calibri" w:hAnsi="Arial Narrow"/>
        </w:rPr>
      </w:pPr>
      <w:r w:rsidRPr="00893CB0">
        <w:rPr>
          <w:rFonts w:ascii="Arial Narrow" w:hAnsi="Arial Narrow"/>
        </w:rPr>
        <w:t xml:space="preserve">845 898 265 </w:t>
      </w:r>
      <w:r w:rsidRPr="00893CB0">
        <w:rPr>
          <w:rFonts w:ascii="Arial Narrow" w:eastAsia="Calibri" w:hAnsi="Arial Narrow"/>
        </w:rPr>
        <w:t>лева по схеми на държавни помощи и помощи de minimis, администрирани от ДФЗ;</w:t>
      </w:r>
    </w:p>
    <w:p w14:paraId="54462042" w14:textId="77777777" w:rsidR="004F561A" w:rsidRPr="009E585F" w:rsidRDefault="004F561A" w:rsidP="009C6577">
      <w:pPr>
        <w:pStyle w:val="ListParagraph"/>
        <w:numPr>
          <w:ilvl w:val="0"/>
          <w:numId w:val="54"/>
        </w:numPr>
        <w:overflowPunct w:val="0"/>
        <w:autoSpaceDE w:val="0"/>
        <w:autoSpaceDN w:val="0"/>
        <w:adjustRightInd w:val="0"/>
        <w:spacing w:after="120"/>
        <w:ind w:left="714" w:hanging="357"/>
        <w:contextualSpacing w:val="0"/>
        <w:jc w:val="both"/>
        <w:textAlignment w:val="baseline"/>
        <w:rPr>
          <w:rFonts w:ascii="Arial Narrow" w:eastAsia="Calibri" w:hAnsi="Arial Narrow"/>
        </w:rPr>
      </w:pPr>
      <w:r w:rsidRPr="00893CB0">
        <w:rPr>
          <w:rFonts w:ascii="Arial Narrow" w:hAnsi="Arial Narrow"/>
          <w:lang w:eastAsia="bg-BG"/>
        </w:rPr>
        <w:t>130</w:t>
      </w:r>
      <w:r w:rsidRPr="009E585F">
        <w:rPr>
          <w:rFonts w:ascii="Arial Narrow" w:eastAsia="Calibri" w:hAnsi="Arial Narrow"/>
        </w:rPr>
        <w:t> 737 003 лева по 2 схеми за данъчни облекчения (преотстъпване на корпоративен данък за данъчна 2024 г. и намалена акцизна ставка на газьол).</w:t>
      </w:r>
    </w:p>
    <w:p w14:paraId="2150683C" w14:textId="77777777" w:rsidR="004F561A" w:rsidRPr="00893CB0" w:rsidRDefault="004F561A" w:rsidP="004F561A">
      <w:pPr>
        <w:overflowPunct w:val="0"/>
        <w:autoSpaceDE w:val="0"/>
        <w:autoSpaceDN w:val="0"/>
        <w:adjustRightInd w:val="0"/>
        <w:spacing w:after="120"/>
        <w:ind w:firstLine="708"/>
        <w:jc w:val="both"/>
        <w:textAlignment w:val="baseline"/>
        <w:rPr>
          <w:rFonts w:ascii="Arial Narrow" w:eastAsia="Calibri" w:hAnsi="Arial Narrow"/>
        </w:rPr>
      </w:pPr>
      <w:r w:rsidRPr="00893CB0">
        <w:rPr>
          <w:rFonts w:ascii="Arial Narrow" w:eastAsia="Calibri" w:hAnsi="Arial Narrow"/>
        </w:rPr>
        <w:t xml:space="preserve">През годината са предоставени държавни помощи в следните направления: </w:t>
      </w:r>
    </w:p>
    <w:p w14:paraId="24BB7AA0" w14:textId="77777777" w:rsidR="004F561A" w:rsidRPr="00893CB0" w:rsidRDefault="004F561A" w:rsidP="009C6577">
      <w:pPr>
        <w:pStyle w:val="ListParagraph"/>
        <w:numPr>
          <w:ilvl w:val="0"/>
          <w:numId w:val="55"/>
        </w:numPr>
        <w:spacing w:after="120"/>
        <w:ind w:left="714" w:right="11" w:hanging="357"/>
        <w:contextualSpacing w:val="0"/>
        <w:jc w:val="both"/>
        <w:rPr>
          <w:rFonts w:ascii="Arial Narrow" w:eastAsiaTheme="minorHAnsi" w:hAnsi="Arial Narrow"/>
          <w:b/>
        </w:rPr>
      </w:pPr>
      <w:r w:rsidRPr="00893CB0">
        <w:rPr>
          <w:rFonts w:ascii="Arial Narrow" w:eastAsiaTheme="minorHAnsi" w:hAnsi="Arial Narrow"/>
          <w:b/>
        </w:rPr>
        <w:t>Управление на риска и кризите, насочени към противодействие и компенсиране на щети при природни бедствия или неблагоприятни метеорологични условия, както и при болести по животните и растенията:</w:t>
      </w:r>
    </w:p>
    <w:p w14:paraId="475C01C6" w14:textId="77777777" w:rsidR="004F561A" w:rsidRPr="009E585F" w:rsidRDefault="004F561A" w:rsidP="009C6577">
      <w:pPr>
        <w:pStyle w:val="ListParagraph"/>
        <w:numPr>
          <w:ilvl w:val="0"/>
          <w:numId w:val="54"/>
        </w:numPr>
        <w:overflowPunct w:val="0"/>
        <w:autoSpaceDE w:val="0"/>
        <w:autoSpaceDN w:val="0"/>
        <w:adjustRightInd w:val="0"/>
        <w:spacing w:after="120"/>
        <w:ind w:left="714" w:hanging="357"/>
        <w:contextualSpacing w:val="0"/>
        <w:jc w:val="both"/>
        <w:textAlignment w:val="baseline"/>
        <w:rPr>
          <w:rFonts w:ascii="Arial Narrow" w:eastAsiaTheme="minorHAnsi" w:hAnsi="Arial Narrow"/>
        </w:rPr>
      </w:pPr>
      <w:r w:rsidRPr="009E585F">
        <w:rPr>
          <w:rFonts w:ascii="Arial Narrow" w:eastAsiaTheme="minorHAnsi" w:hAnsi="Arial Narrow"/>
        </w:rPr>
        <w:t xml:space="preserve">Помощ за компенсиране на щетите по земеделските култури, причинени от неблагоприятни климатични събития, които могат да бъдат приравнени на природни бедствия; </w:t>
      </w:r>
    </w:p>
    <w:p w14:paraId="2FBCE4DE" w14:textId="77777777" w:rsidR="004F561A" w:rsidRPr="009E585F" w:rsidRDefault="004F561A" w:rsidP="004F561A">
      <w:pPr>
        <w:spacing w:after="120"/>
        <w:ind w:right="12" w:firstLine="720"/>
        <w:jc w:val="both"/>
        <w:rPr>
          <w:rFonts w:ascii="Arial Narrow" w:eastAsiaTheme="minorHAnsi" w:hAnsi="Arial Narrow"/>
        </w:rPr>
      </w:pPr>
      <w:r w:rsidRPr="009E585F">
        <w:rPr>
          <w:rFonts w:ascii="Arial Narrow" w:eastAsiaTheme="minorHAnsi" w:hAnsi="Arial Narrow"/>
        </w:rPr>
        <w:t xml:space="preserve">Подпомагането по схемата на държавна помощ представлява директна помощ, която е в размер до 80% от средните производствени разходи за отглеждане на дадена култура през съответната стопанска година. </w:t>
      </w:r>
    </w:p>
    <w:p w14:paraId="7CA4ED9D" w14:textId="77777777" w:rsidR="004F561A" w:rsidRPr="009E585F" w:rsidRDefault="004F561A" w:rsidP="009C6577">
      <w:pPr>
        <w:pStyle w:val="ListParagraph"/>
        <w:numPr>
          <w:ilvl w:val="0"/>
          <w:numId w:val="54"/>
        </w:numPr>
        <w:overflowPunct w:val="0"/>
        <w:autoSpaceDE w:val="0"/>
        <w:autoSpaceDN w:val="0"/>
        <w:adjustRightInd w:val="0"/>
        <w:spacing w:after="120"/>
        <w:ind w:left="714" w:hanging="357"/>
        <w:contextualSpacing w:val="0"/>
        <w:jc w:val="both"/>
        <w:textAlignment w:val="baseline"/>
        <w:rPr>
          <w:rFonts w:ascii="Arial Narrow" w:eastAsiaTheme="minorHAnsi" w:hAnsi="Arial Narrow"/>
        </w:rPr>
      </w:pPr>
      <w:r w:rsidRPr="009E585F">
        <w:rPr>
          <w:rFonts w:ascii="Arial Narrow" w:eastAsiaTheme="minorHAnsi" w:hAnsi="Arial Narrow"/>
        </w:rPr>
        <w:t>Помощ за компенсиране на материални щети по загинали селскостопански животни и унищожени пчелни кошери;</w:t>
      </w:r>
    </w:p>
    <w:p w14:paraId="5E3C9F7D" w14:textId="77777777" w:rsidR="004F561A" w:rsidRPr="009E585F" w:rsidRDefault="004F561A" w:rsidP="004F561A">
      <w:pPr>
        <w:spacing w:after="120"/>
        <w:ind w:right="12" w:firstLine="720"/>
        <w:jc w:val="both"/>
        <w:rPr>
          <w:rFonts w:ascii="Arial Narrow" w:eastAsiaTheme="minorHAnsi" w:hAnsi="Arial Narrow"/>
        </w:rPr>
      </w:pPr>
      <w:r w:rsidRPr="009E585F">
        <w:rPr>
          <w:rFonts w:ascii="Arial Narrow" w:eastAsiaTheme="minorHAnsi" w:hAnsi="Arial Narrow"/>
        </w:rPr>
        <w:t>Помощта се изплаща във вид на директни помощи до 100% от средните пазарни цени на селскостопанските животни по видове и категории;</w:t>
      </w:r>
    </w:p>
    <w:p w14:paraId="56BF5733" w14:textId="77777777" w:rsidR="004F561A" w:rsidRPr="00893CB0" w:rsidRDefault="004F561A" w:rsidP="009C6577">
      <w:pPr>
        <w:pStyle w:val="ListParagraph"/>
        <w:numPr>
          <w:ilvl w:val="0"/>
          <w:numId w:val="54"/>
        </w:numPr>
        <w:overflowPunct w:val="0"/>
        <w:autoSpaceDE w:val="0"/>
        <w:autoSpaceDN w:val="0"/>
        <w:adjustRightInd w:val="0"/>
        <w:spacing w:after="120"/>
        <w:ind w:left="714" w:hanging="357"/>
        <w:contextualSpacing w:val="0"/>
        <w:jc w:val="both"/>
        <w:textAlignment w:val="baseline"/>
        <w:rPr>
          <w:rFonts w:ascii="Arial Narrow" w:eastAsiaTheme="minorHAnsi" w:hAnsi="Arial Narrow"/>
        </w:rPr>
      </w:pPr>
      <w:r w:rsidRPr="00893CB0">
        <w:rPr>
          <w:rFonts w:ascii="Arial Narrow" w:eastAsiaTheme="minorHAnsi" w:hAnsi="Arial Narrow"/>
        </w:rPr>
        <w:t>Държавни помощи за превенция на болести по растения и животни:</w:t>
      </w:r>
    </w:p>
    <w:p w14:paraId="058122BC" w14:textId="77777777" w:rsidR="004F561A" w:rsidRPr="009E585F" w:rsidRDefault="004F561A" w:rsidP="009C6577">
      <w:pPr>
        <w:pStyle w:val="ListParagraph"/>
        <w:numPr>
          <w:ilvl w:val="1"/>
          <w:numId w:val="54"/>
        </w:numPr>
        <w:overflowPunct w:val="0"/>
        <w:autoSpaceDE w:val="0"/>
        <w:autoSpaceDN w:val="0"/>
        <w:adjustRightInd w:val="0"/>
        <w:spacing w:after="120"/>
        <w:contextualSpacing w:val="0"/>
        <w:jc w:val="both"/>
        <w:textAlignment w:val="baseline"/>
        <w:rPr>
          <w:rFonts w:ascii="Arial Narrow" w:eastAsiaTheme="minorHAnsi" w:hAnsi="Arial Narrow"/>
          <w:lang w:val="ru-RU"/>
        </w:rPr>
      </w:pPr>
      <w:r w:rsidRPr="009E585F">
        <w:rPr>
          <w:rFonts w:ascii="Arial Narrow" w:eastAsiaTheme="minorHAnsi" w:hAnsi="Arial Narrow"/>
          <w:lang w:val="ru-RU"/>
        </w:rPr>
        <w:t>Помощ за компенсиране разходите на земеделски стопани, свързани с изпълнение на мерки по Националната програма за контрол на вредителите в трайните насаждения през зимния период;</w:t>
      </w:r>
      <w:r w:rsidRPr="009E585F">
        <w:rPr>
          <w:rFonts w:ascii="Arial Narrow" w:hAnsi="Arial Narrow"/>
          <w:lang w:val="ru-RU"/>
        </w:rPr>
        <w:t xml:space="preserve"> </w:t>
      </w:r>
    </w:p>
    <w:p w14:paraId="461E4CA8" w14:textId="77777777" w:rsidR="004F561A" w:rsidRPr="00893CB0" w:rsidRDefault="004F561A" w:rsidP="009C6577">
      <w:pPr>
        <w:pStyle w:val="ListParagraph"/>
        <w:numPr>
          <w:ilvl w:val="1"/>
          <w:numId w:val="54"/>
        </w:numPr>
        <w:overflowPunct w:val="0"/>
        <w:autoSpaceDE w:val="0"/>
        <w:autoSpaceDN w:val="0"/>
        <w:adjustRightInd w:val="0"/>
        <w:spacing w:after="120"/>
        <w:contextualSpacing w:val="0"/>
        <w:jc w:val="both"/>
        <w:textAlignment w:val="baseline"/>
        <w:rPr>
          <w:rFonts w:ascii="Arial Narrow" w:eastAsiaTheme="minorHAnsi" w:hAnsi="Arial Narrow"/>
          <w:lang w:val="ru-RU"/>
        </w:rPr>
      </w:pPr>
      <w:r w:rsidRPr="00893CB0">
        <w:rPr>
          <w:rFonts w:ascii="Arial Narrow" w:eastAsiaTheme="minorHAnsi" w:hAnsi="Arial Narrow"/>
          <w:lang w:val="ru-RU"/>
        </w:rPr>
        <w:t>Помощ за компенсиране разходите на земеделски производители, свързани с изпълнение на мерки по „Национална програма от мерки за контрол на почвени неприятели по картофите от сем. Телени червеи (Elateridae)“;</w:t>
      </w:r>
    </w:p>
    <w:p w14:paraId="136F9204" w14:textId="77777777" w:rsidR="004F561A" w:rsidRPr="009E585F" w:rsidRDefault="004F561A" w:rsidP="009C6577">
      <w:pPr>
        <w:pStyle w:val="ListParagraph"/>
        <w:numPr>
          <w:ilvl w:val="1"/>
          <w:numId w:val="54"/>
        </w:numPr>
        <w:overflowPunct w:val="0"/>
        <w:autoSpaceDE w:val="0"/>
        <w:autoSpaceDN w:val="0"/>
        <w:adjustRightInd w:val="0"/>
        <w:spacing w:after="120"/>
        <w:contextualSpacing w:val="0"/>
        <w:jc w:val="both"/>
        <w:textAlignment w:val="baseline"/>
        <w:rPr>
          <w:rFonts w:ascii="Arial Narrow" w:eastAsiaTheme="minorHAnsi" w:hAnsi="Arial Narrow"/>
          <w:lang w:val="ru-RU"/>
        </w:rPr>
      </w:pPr>
      <w:r w:rsidRPr="009E585F">
        <w:rPr>
          <w:rFonts w:ascii="Arial Narrow" w:eastAsiaTheme="minorHAnsi" w:hAnsi="Arial Narrow"/>
          <w:lang w:val="ru-RU"/>
        </w:rPr>
        <w:lastRenderedPageBreak/>
        <w:t xml:space="preserve">Помощ за компенсиране разходите на земеделски стопани, свързани с изпълнение на мерки по „Национална програма от мерки за контрол на Доматен миниращ молец - </w:t>
      </w:r>
      <w:r w:rsidRPr="00893CB0">
        <w:rPr>
          <w:rFonts w:ascii="Arial Narrow" w:eastAsiaTheme="minorHAnsi" w:hAnsi="Arial Narrow"/>
          <w:lang w:val="ru-RU"/>
        </w:rPr>
        <w:t>Tuta</w:t>
      </w:r>
      <w:r w:rsidRPr="009E585F">
        <w:rPr>
          <w:rFonts w:ascii="Arial Narrow" w:eastAsiaTheme="minorHAnsi" w:hAnsi="Arial Narrow"/>
          <w:lang w:val="ru-RU"/>
        </w:rPr>
        <w:t xml:space="preserve"> </w:t>
      </w:r>
      <w:r w:rsidRPr="00893CB0">
        <w:rPr>
          <w:rFonts w:ascii="Arial Narrow" w:eastAsiaTheme="minorHAnsi" w:hAnsi="Arial Narrow"/>
          <w:lang w:val="ru-RU"/>
        </w:rPr>
        <w:t>absoluta</w:t>
      </w:r>
      <w:r w:rsidRPr="009E585F">
        <w:rPr>
          <w:rFonts w:ascii="Arial Narrow" w:eastAsiaTheme="minorHAnsi" w:hAnsi="Arial Narrow"/>
          <w:lang w:val="ru-RU"/>
        </w:rPr>
        <w:t xml:space="preserve"> </w:t>
      </w:r>
      <w:r w:rsidRPr="00893CB0">
        <w:rPr>
          <w:rFonts w:ascii="Arial Narrow" w:eastAsiaTheme="minorHAnsi" w:hAnsi="Arial Narrow"/>
          <w:lang w:val="ru-RU"/>
        </w:rPr>
        <w:t>Meyrick</w:t>
      </w:r>
      <w:r w:rsidRPr="009E585F">
        <w:rPr>
          <w:rFonts w:ascii="Arial Narrow" w:eastAsiaTheme="minorHAnsi" w:hAnsi="Arial Narrow"/>
          <w:lang w:val="ru-RU"/>
        </w:rPr>
        <w:t xml:space="preserve"> (</w:t>
      </w:r>
      <w:r w:rsidRPr="00893CB0">
        <w:rPr>
          <w:rFonts w:ascii="Arial Narrow" w:eastAsiaTheme="minorHAnsi" w:hAnsi="Arial Narrow"/>
          <w:lang w:val="ru-RU"/>
        </w:rPr>
        <w:t>Lepidoptera</w:t>
      </w:r>
      <w:r w:rsidRPr="009E585F">
        <w:rPr>
          <w:rFonts w:ascii="Arial Narrow" w:eastAsiaTheme="minorHAnsi" w:hAnsi="Arial Narrow"/>
          <w:lang w:val="ru-RU"/>
        </w:rPr>
        <w:t>)</w:t>
      </w:r>
      <w:r w:rsidRPr="00893CB0">
        <w:rPr>
          <w:rFonts w:ascii="Arial Narrow" w:eastAsiaTheme="minorHAnsi" w:hAnsi="Arial Narrow"/>
          <w:lang w:val="ru-RU"/>
        </w:rPr>
        <w:t>“</w:t>
      </w:r>
      <w:r w:rsidRPr="009E585F">
        <w:rPr>
          <w:rFonts w:ascii="Arial Narrow" w:eastAsiaTheme="minorHAnsi" w:hAnsi="Arial Narrow"/>
          <w:lang w:val="ru-RU"/>
        </w:rPr>
        <w:t>;</w:t>
      </w:r>
    </w:p>
    <w:p w14:paraId="3A4153C8" w14:textId="77777777" w:rsidR="004F561A" w:rsidRPr="009E585F" w:rsidRDefault="004F561A" w:rsidP="009C6577">
      <w:pPr>
        <w:pStyle w:val="ListParagraph"/>
        <w:numPr>
          <w:ilvl w:val="1"/>
          <w:numId w:val="54"/>
        </w:numPr>
        <w:overflowPunct w:val="0"/>
        <w:autoSpaceDE w:val="0"/>
        <w:autoSpaceDN w:val="0"/>
        <w:adjustRightInd w:val="0"/>
        <w:spacing w:after="120"/>
        <w:contextualSpacing w:val="0"/>
        <w:jc w:val="both"/>
        <w:textAlignment w:val="baseline"/>
        <w:rPr>
          <w:rFonts w:ascii="Arial Narrow" w:eastAsiaTheme="minorHAnsi" w:hAnsi="Arial Narrow"/>
          <w:lang w:val="ru-RU"/>
        </w:rPr>
      </w:pPr>
      <w:r w:rsidRPr="00893CB0">
        <w:rPr>
          <w:rFonts w:ascii="Arial Narrow" w:eastAsiaTheme="minorHAnsi" w:hAnsi="Arial Narrow"/>
          <w:lang w:val="ru-RU"/>
        </w:rPr>
        <w:t>Помощ за компенсиране разходите на земеделски стопани, свързани с изпълнение на мерки по „Национална програма от мерки за предотвратяване на разпространението и контрол на вредителите по лозата (род Vitis);</w:t>
      </w:r>
    </w:p>
    <w:p w14:paraId="7737FF90" w14:textId="77777777" w:rsidR="004F561A" w:rsidRPr="00893CB0" w:rsidRDefault="004F561A" w:rsidP="009C6577">
      <w:pPr>
        <w:pStyle w:val="ListParagraph"/>
        <w:numPr>
          <w:ilvl w:val="1"/>
          <w:numId w:val="54"/>
        </w:numPr>
        <w:overflowPunct w:val="0"/>
        <w:autoSpaceDE w:val="0"/>
        <w:autoSpaceDN w:val="0"/>
        <w:adjustRightInd w:val="0"/>
        <w:spacing w:after="120"/>
        <w:contextualSpacing w:val="0"/>
        <w:jc w:val="both"/>
        <w:textAlignment w:val="baseline"/>
        <w:rPr>
          <w:rFonts w:ascii="Arial Narrow" w:eastAsiaTheme="minorHAnsi" w:hAnsi="Arial Narrow"/>
          <w:lang w:val="ru-RU"/>
        </w:rPr>
      </w:pPr>
      <w:r w:rsidRPr="00893CB0">
        <w:rPr>
          <w:rFonts w:ascii="Arial Narrow" w:eastAsiaTheme="minorHAnsi" w:hAnsi="Arial Narrow"/>
          <w:lang w:val="ru-RU"/>
        </w:rPr>
        <w:t>Помощ за компенсиране разходите на земеделски стопани, свързани с изпълнение на мерките по Държавната профилактична програма и Програмите за надзор и ликвидиране на болести по животните;</w:t>
      </w:r>
    </w:p>
    <w:p w14:paraId="3A542455" w14:textId="77777777" w:rsidR="004F561A" w:rsidRPr="00893CB0" w:rsidRDefault="004F561A" w:rsidP="009C6577">
      <w:pPr>
        <w:pStyle w:val="ListParagraph"/>
        <w:numPr>
          <w:ilvl w:val="1"/>
          <w:numId w:val="54"/>
        </w:numPr>
        <w:overflowPunct w:val="0"/>
        <w:autoSpaceDE w:val="0"/>
        <w:autoSpaceDN w:val="0"/>
        <w:adjustRightInd w:val="0"/>
        <w:spacing w:after="120"/>
        <w:contextualSpacing w:val="0"/>
        <w:jc w:val="both"/>
        <w:textAlignment w:val="baseline"/>
        <w:rPr>
          <w:rFonts w:ascii="Arial Narrow" w:eastAsiaTheme="minorHAnsi" w:hAnsi="Arial Narrow"/>
          <w:lang w:val="ru-RU"/>
        </w:rPr>
      </w:pPr>
      <w:r w:rsidRPr="00893CB0">
        <w:rPr>
          <w:rFonts w:ascii="Arial Narrow" w:eastAsiaTheme="minorHAnsi" w:hAnsi="Arial Narrow"/>
          <w:lang w:val="ru-RU"/>
        </w:rPr>
        <w:t>Помощ за съфинансиране на застрахователни премии при застраховане на</w:t>
      </w:r>
      <w:r w:rsidRPr="009E585F">
        <w:rPr>
          <w:rFonts w:ascii="Arial Narrow" w:eastAsiaTheme="minorHAnsi" w:hAnsi="Arial Narrow"/>
          <w:lang w:val="ru-RU"/>
        </w:rPr>
        <w:t xml:space="preserve"> </w:t>
      </w:r>
      <w:r w:rsidRPr="00893CB0">
        <w:rPr>
          <w:rFonts w:ascii="Arial Narrow" w:eastAsiaTheme="minorHAnsi" w:hAnsi="Arial Narrow"/>
          <w:lang w:val="ru-RU"/>
        </w:rPr>
        <w:t>селскостопанска продукция;</w:t>
      </w:r>
    </w:p>
    <w:p w14:paraId="4902B5CF" w14:textId="77777777" w:rsidR="004F561A" w:rsidRPr="00893CB0" w:rsidRDefault="004F561A" w:rsidP="009C6577">
      <w:pPr>
        <w:pStyle w:val="ListParagraph"/>
        <w:numPr>
          <w:ilvl w:val="1"/>
          <w:numId w:val="54"/>
        </w:numPr>
        <w:overflowPunct w:val="0"/>
        <w:autoSpaceDE w:val="0"/>
        <w:autoSpaceDN w:val="0"/>
        <w:adjustRightInd w:val="0"/>
        <w:spacing w:after="120"/>
        <w:contextualSpacing w:val="0"/>
        <w:jc w:val="both"/>
        <w:textAlignment w:val="baseline"/>
        <w:rPr>
          <w:rFonts w:ascii="Arial Narrow" w:eastAsiaTheme="minorHAnsi" w:hAnsi="Arial Narrow"/>
          <w:lang w:val="ru-RU"/>
        </w:rPr>
      </w:pPr>
      <w:r w:rsidRPr="00893CB0">
        <w:rPr>
          <w:rFonts w:ascii="Arial Narrow" w:eastAsiaTheme="minorHAnsi" w:hAnsi="Arial Narrow"/>
          <w:lang w:val="ru-RU"/>
        </w:rPr>
        <w:t>Помощ за компенсиране на разходи при отстраняване и унищожаване на мъртви животни.</w:t>
      </w:r>
    </w:p>
    <w:p w14:paraId="08059361" w14:textId="77777777" w:rsidR="004F561A" w:rsidRPr="009E585F" w:rsidRDefault="004F561A" w:rsidP="009C6577">
      <w:pPr>
        <w:pStyle w:val="ListParagraph"/>
        <w:numPr>
          <w:ilvl w:val="0"/>
          <w:numId w:val="55"/>
        </w:numPr>
        <w:spacing w:after="120"/>
        <w:ind w:left="714" w:right="11" w:hanging="357"/>
        <w:contextualSpacing w:val="0"/>
        <w:jc w:val="both"/>
        <w:rPr>
          <w:rFonts w:ascii="Arial Narrow" w:eastAsiaTheme="minorHAnsi" w:hAnsi="Arial Narrow"/>
          <w:b/>
        </w:rPr>
      </w:pPr>
      <w:r w:rsidRPr="009E585F">
        <w:rPr>
          <w:rFonts w:ascii="Arial Narrow" w:eastAsiaTheme="minorHAnsi" w:hAnsi="Arial Narrow"/>
          <w:b/>
        </w:rPr>
        <w:t>Помощи, насочени към гарантиране използването на качествен посевен материал в растениевъдството, поддържане на високо ниво на развъдната дейност в животновъдството и оптимизиране процеса по производство на качествени селскостопански продукти:</w:t>
      </w:r>
    </w:p>
    <w:p w14:paraId="58F3A729" w14:textId="77777777" w:rsidR="004F561A" w:rsidRPr="009E585F" w:rsidRDefault="004F561A" w:rsidP="009C6577">
      <w:pPr>
        <w:pStyle w:val="ListParagraph"/>
        <w:numPr>
          <w:ilvl w:val="0"/>
          <w:numId w:val="54"/>
        </w:numPr>
        <w:overflowPunct w:val="0"/>
        <w:autoSpaceDE w:val="0"/>
        <w:autoSpaceDN w:val="0"/>
        <w:adjustRightInd w:val="0"/>
        <w:spacing w:after="120"/>
        <w:ind w:left="714" w:hanging="357"/>
        <w:contextualSpacing w:val="0"/>
        <w:jc w:val="both"/>
        <w:textAlignment w:val="baseline"/>
        <w:rPr>
          <w:rFonts w:ascii="Arial Narrow" w:eastAsiaTheme="minorHAnsi" w:hAnsi="Arial Narrow"/>
        </w:rPr>
      </w:pPr>
      <w:r w:rsidRPr="009E585F">
        <w:rPr>
          <w:rFonts w:ascii="Arial Narrow" w:eastAsiaTheme="minorHAnsi" w:hAnsi="Arial Narrow"/>
        </w:rPr>
        <w:t xml:space="preserve">Помощ за участие на земеделски стопани в схема за качество за производство на качествени семена и посадъчен материал; </w:t>
      </w:r>
    </w:p>
    <w:p w14:paraId="1660AF35" w14:textId="77777777" w:rsidR="004F561A" w:rsidRPr="009E585F" w:rsidRDefault="004F561A" w:rsidP="009C6577">
      <w:pPr>
        <w:pStyle w:val="ListParagraph"/>
        <w:numPr>
          <w:ilvl w:val="0"/>
          <w:numId w:val="54"/>
        </w:numPr>
        <w:overflowPunct w:val="0"/>
        <w:autoSpaceDE w:val="0"/>
        <w:autoSpaceDN w:val="0"/>
        <w:adjustRightInd w:val="0"/>
        <w:spacing w:after="120"/>
        <w:ind w:left="714" w:hanging="357"/>
        <w:contextualSpacing w:val="0"/>
        <w:jc w:val="both"/>
        <w:textAlignment w:val="baseline"/>
        <w:rPr>
          <w:rFonts w:ascii="Arial Narrow" w:eastAsiaTheme="minorHAnsi" w:hAnsi="Arial Narrow"/>
        </w:rPr>
      </w:pPr>
      <w:r w:rsidRPr="009E585F">
        <w:rPr>
          <w:rFonts w:ascii="Arial Narrow" w:eastAsiaTheme="minorHAnsi" w:hAnsi="Arial Narrow"/>
        </w:rPr>
        <w:t>Помощ за водене на родословна книга и определяне на продуктивните качества на животните;</w:t>
      </w:r>
      <w:r w:rsidRPr="00893CB0">
        <w:rPr>
          <w:rFonts w:ascii="Arial Narrow" w:eastAsiaTheme="minorHAnsi" w:hAnsi="Arial Narrow"/>
          <w:lang w:val="bg-BG"/>
        </w:rPr>
        <w:t xml:space="preserve"> </w:t>
      </w:r>
    </w:p>
    <w:p w14:paraId="162E3988" w14:textId="77777777" w:rsidR="004F561A" w:rsidRPr="009E585F" w:rsidRDefault="004F561A" w:rsidP="009C6577">
      <w:pPr>
        <w:pStyle w:val="ListParagraph"/>
        <w:numPr>
          <w:ilvl w:val="0"/>
          <w:numId w:val="54"/>
        </w:numPr>
        <w:overflowPunct w:val="0"/>
        <w:autoSpaceDE w:val="0"/>
        <w:autoSpaceDN w:val="0"/>
        <w:adjustRightInd w:val="0"/>
        <w:spacing w:after="120"/>
        <w:ind w:left="714" w:hanging="357"/>
        <w:contextualSpacing w:val="0"/>
        <w:jc w:val="both"/>
        <w:textAlignment w:val="baseline"/>
        <w:rPr>
          <w:rFonts w:ascii="Arial Narrow" w:eastAsiaTheme="minorHAnsi" w:hAnsi="Arial Narrow"/>
        </w:rPr>
      </w:pPr>
      <w:r w:rsidRPr="009E585F">
        <w:rPr>
          <w:rFonts w:ascii="Arial Narrow" w:eastAsiaTheme="minorHAnsi" w:hAnsi="Arial Narrow"/>
        </w:rPr>
        <w:t>Помощ за сертифициране на стопанства в сектор „Плодове и зеленчуци“ по стандарта GLOBALG.A.P.</w:t>
      </w:r>
    </w:p>
    <w:p w14:paraId="0661CF81" w14:textId="77777777" w:rsidR="004F561A" w:rsidRPr="009E585F" w:rsidRDefault="004F561A" w:rsidP="009C6577">
      <w:pPr>
        <w:pStyle w:val="ListParagraph"/>
        <w:numPr>
          <w:ilvl w:val="0"/>
          <w:numId w:val="55"/>
        </w:numPr>
        <w:spacing w:after="120"/>
        <w:ind w:left="714" w:right="11" w:hanging="357"/>
        <w:contextualSpacing w:val="0"/>
        <w:jc w:val="both"/>
        <w:rPr>
          <w:rFonts w:ascii="Arial Narrow" w:eastAsiaTheme="minorHAnsi" w:hAnsi="Arial Narrow"/>
          <w:b/>
        </w:rPr>
      </w:pPr>
      <w:r w:rsidRPr="009E585F">
        <w:rPr>
          <w:rFonts w:ascii="Arial Narrow" w:eastAsiaTheme="minorHAnsi" w:hAnsi="Arial Narrow"/>
          <w:b/>
        </w:rPr>
        <w:t>Помощи, насочени към повишаване на качеството на храните и суровините от животински произход чрез отделяне на особено внимание на хуманно отношение към животните:</w:t>
      </w:r>
    </w:p>
    <w:p w14:paraId="71624B12" w14:textId="77777777" w:rsidR="004F561A" w:rsidRPr="009E585F" w:rsidRDefault="004F561A" w:rsidP="009C6577">
      <w:pPr>
        <w:pStyle w:val="ListParagraph"/>
        <w:numPr>
          <w:ilvl w:val="0"/>
          <w:numId w:val="54"/>
        </w:numPr>
        <w:overflowPunct w:val="0"/>
        <w:autoSpaceDE w:val="0"/>
        <w:autoSpaceDN w:val="0"/>
        <w:adjustRightInd w:val="0"/>
        <w:spacing w:after="120"/>
        <w:ind w:left="714" w:hanging="357"/>
        <w:contextualSpacing w:val="0"/>
        <w:jc w:val="both"/>
        <w:textAlignment w:val="baseline"/>
        <w:rPr>
          <w:rFonts w:ascii="Arial Narrow" w:eastAsiaTheme="minorHAnsi" w:hAnsi="Arial Narrow"/>
        </w:rPr>
      </w:pPr>
      <w:r w:rsidRPr="009E585F">
        <w:rPr>
          <w:rFonts w:ascii="Arial Narrow" w:eastAsiaTheme="minorHAnsi" w:hAnsi="Arial Narrow"/>
        </w:rPr>
        <w:t>Помощ за реализиране на доброволно поети ангажименти за хуманно отношение към свинете;</w:t>
      </w:r>
    </w:p>
    <w:p w14:paraId="62E6EF1E" w14:textId="77777777" w:rsidR="004F561A" w:rsidRPr="009E585F" w:rsidRDefault="004F561A" w:rsidP="009C6577">
      <w:pPr>
        <w:pStyle w:val="ListParagraph"/>
        <w:numPr>
          <w:ilvl w:val="0"/>
          <w:numId w:val="54"/>
        </w:numPr>
        <w:overflowPunct w:val="0"/>
        <w:autoSpaceDE w:val="0"/>
        <w:autoSpaceDN w:val="0"/>
        <w:adjustRightInd w:val="0"/>
        <w:spacing w:after="120"/>
        <w:ind w:left="714" w:hanging="357"/>
        <w:contextualSpacing w:val="0"/>
        <w:jc w:val="both"/>
        <w:textAlignment w:val="baseline"/>
        <w:rPr>
          <w:rFonts w:ascii="Arial Narrow" w:eastAsiaTheme="minorHAnsi" w:hAnsi="Arial Narrow"/>
        </w:rPr>
      </w:pPr>
      <w:r w:rsidRPr="009E585F">
        <w:rPr>
          <w:rFonts w:ascii="Arial Narrow" w:eastAsiaTheme="minorHAnsi" w:hAnsi="Arial Narrow"/>
        </w:rPr>
        <w:t>Помощ за реализиране на доброволно поети ангажименти за хуманно отношение към птиците.</w:t>
      </w:r>
    </w:p>
    <w:p w14:paraId="50703C39" w14:textId="77777777" w:rsidR="004F561A" w:rsidRPr="00893CB0" w:rsidRDefault="004F561A" w:rsidP="009C6577">
      <w:pPr>
        <w:pStyle w:val="ListParagraph"/>
        <w:numPr>
          <w:ilvl w:val="0"/>
          <w:numId w:val="55"/>
        </w:numPr>
        <w:spacing w:after="120"/>
        <w:ind w:left="714" w:right="11" w:hanging="357"/>
        <w:contextualSpacing w:val="0"/>
        <w:jc w:val="both"/>
        <w:rPr>
          <w:rFonts w:ascii="Arial Narrow" w:eastAsiaTheme="minorHAnsi" w:hAnsi="Arial Narrow"/>
          <w:lang w:val="ru-RU"/>
        </w:rPr>
      </w:pPr>
      <w:r w:rsidRPr="009E585F">
        <w:rPr>
          <w:rFonts w:ascii="Arial Narrow" w:eastAsiaTheme="minorHAnsi" w:hAnsi="Arial Narrow"/>
          <w:b/>
        </w:rPr>
        <w:t>Помощ за участие в изложения</w:t>
      </w:r>
      <w:r w:rsidRPr="009E585F">
        <w:rPr>
          <w:rFonts w:ascii="Arial Narrow" w:eastAsiaTheme="minorHAnsi" w:hAnsi="Arial Narrow"/>
        </w:rPr>
        <w:t xml:space="preserve"> </w:t>
      </w:r>
      <w:r>
        <w:rPr>
          <w:rFonts w:ascii="Arial Narrow" w:eastAsiaTheme="minorHAnsi" w:hAnsi="Arial Narrow"/>
        </w:rPr>
        <w:t>–</w:t>
      </w:r>
      <w:r w:rsidRPr="009E585F">
        <w:rPr>
          <w:rFonts w:ascii="Arial Narrow" w:eastAsiaTheme="minorHAnsi" w:hAnsi="Arial Narrow"/>
        </w:rPr>
        <w:t xml:space="preserve"> </w:t>
      </w:r>
    </w:p>
    <w:p w14:paraId="7CC326E0" w14:textId="77777777" w:rsidR="004F561A" w:rsidRDefault="004F561A" w:rsidP="004F561A">
      <w:pPr>
        <w:spacing w:after="120"/>
        <w:ind w:right="12" w:firstLine="720"/>
        <w:jc w:val="both"/>
        <w:rPr>
          <w:rFonts w:ascii="Arial Narrow" w:eastAsiaTheme="minorHAnsi" w:hAnsi="Arial Narrow"/>
        </w:rPr>
      </w:pPr>
      <w:r w:rsidRPr="00893CB0">
        <w:rPr>
          <w:rFonts w:ascii="Arial Narrow" w:eastAsiaTheme="minorHAnsi" w:hAnsi="Arial Narrow"/>
        </w:rPr>
        <w:t xml:space="preserve">Подпомагането от този вид допринася както за популяризацията на българската селскостопанска продукция на пазара, </w:t>
      </w:r>
      <w:r>
        <w:rPr>
          <w:rFonts w:ascii="Arial Narrow" w:eastAsiaTheme="minorHAnsi" w:hAnsi="Arial Narrow"/>
        </w:rPr>
        <w:t>както</w:t>
      </w:r>
      <w:r w:rsidRPr="00893CB0">
        <w:rPr>
          <w:rFonts w:ascii="Arial Narrow" w:eastAsiaTheme="minorHAnsi" w:hAnsi="Arial Narrow"/>
        </w:rPr>
        <w:t xml:space="preserve"> и за </w:t>
      </w:r>
      <w:r>
        <w:rPr>
          <w:rFonts w:ascii="Arial Narrow" w:eastAsiaTheme="minorHAnsi" w:hAnsi="Arial Narrow"/>
        </w:rPr>
        <w:t>промотиране</w:t>
      </w:r>
      <w:r w:rsidRPr="00893CB0">
        <w:rPr>
          <w:rFonts w:ascii="Arial Narrow" w:eastAsiaTheme="minorHAnsi" w:hAnsi="Arial Narrow"/>
        </w:rPr>
        <w:t xml:space="preserve"> на рентабилните сортове растения, породи животни, иновационни и ефективни технологии и практики сред българските земеделски стопани. Прилага се в сектори „Растениевъдство“, „Животновъдство“ и „Преработка на земеделски продукти“.</w:t>
      </w:r>
    </w:p>
    <w:p w14:paraId="65B76D36" w14:textId="77777777" w:rsidR="004F561A" w:rsidRDefault="004F561A" w:rsidP="009C6577">
      <w:pPr>
        <w:pStyle w:val="ListParagraph"/>
        <w:numPr>
          <w:ilvl w:val="0"/>
          <w:numId w:val="55"/>
        </w:numPr>
        <w:spacing w:after="120"/>
        <w:ind w:left="714" w:right="11" w:hanging="357"/>
        <w:contextualSpacing w:val="0"/>
        <w:jc w:val="both"/>
        <w:rPr>
          <w:rFonts w:ascii="Arial Narrow" w:eastAsiaTheme="minorHAnsi" w:hAnsi="Arial Narrow"/>
          <w:b/>
        </w:rPr>
      </w:pPr>
      <w:r w:rsidRPr="00893CB0">
        <w:rPr>
          <w:rFonts w:ascii="Arial Narrow" w:eastAsiaTheme="minorHAnsi" w:hAnsi="Arial Narrow"/>
          <w:b/>
        </w:rPr>
        <w:t>Помощ</w:t>
      </w:r>
      <w:r>
        <w:rPr>
          <w:rFonts w:ascii="Arial Narrow" w:eastAsiaTheme="minorHAnsi" w:hAnsi="Arial Narrow"/>
          <w:b/>
        </w:rPr>
        <w:t xml:space="preserve">и по </w:t>
      </w:r>
      <w:r w:rsidRPr="00893CB0">
        <w:rPr>
          <w:rFonts w:ascii="Arial Narrow" w:eastAsiaTheme="minorHAnsi" w:hAnsi="Arial Narrow"/>
          <w:b/>
        </w:rPr>
        <w:t>Временната рамка за мерки за държавна помощ при кризи и преход в подкрепа на икономиката след агресията на Русия срещу Украйна</w:t>
      </w:r>
      <w:r>
        <w:rPr>
          <w:rFonts w:ascii="Arial Narrow" w:eastAsiaTheme="minorHAnsi" w:hAnsi="Arial Narrow"/>
          <w:b/>
        </w:rPr>
        <w:t>:</w:t>
      </w:r>
      <w:r w:rsidRPr="006D540A">
        <w:rPr>
          <w:rFonts w:ascii="Arial Narrow" w:eastAsiaTheme="minorHAnsi" w:hAnsi="Arial Narrow"/>
          <w:b/>
        </w:rPr>
        <w:t xml:space="preserve"> </w:t>
      </w:r>
    </w:p>
    <w:p w14:paraId="48E5AAFA" w14:textId="77777777" w:rsidR="004F561A" w:rsidRDefault="004F561A" w:rsidP="009C6577">
      <w:pPr>
        <w:pStyle w:val="ListParagraph"/>
        <w:numPr>
          <w:ilvl w:val="0"/>
          <w:numId w:val="54"/>
        </w:numPr>
        <w:overflowPunct w:val="0"/>
        <w:autoSpaceDE w:val="0"/>
        <w:autoSpaceDN w:val="0"/>
        <w:adjustRightInd w:val="0"/>
        <w:spacing w:after="120"/>
        <w:ind w:left="714" w:hanging="357"/>
        <w:contextualSpacing w:val="0"/>
        <w:jc w:val="both"/>
        <w:textAlignment w:val="baseline"/>
        <w:rPr>
          <w:rFonts w:ascii="Arial Narrow" w:eastAsiaTheme="minorHAnsi" w:hAnsi="Arial Narrow"/>
        </w:rPr>
      </w:pPr>
      <w:r w:rsidRPr="00893CB0">
        <w:rPr>
          <w:rFonts w:ascii="Arial Narrow" w:eastAsiaTheme="minorHAnsi" w:hAnsi="Arial Narrow"/>
        </w:rPr>
        <w:t>Помощ в подкрепа на ликвидността на земеделски стопани за преодоляване на негативното икономическо въздействие на руската агресия срещу Украйна</w:t>
      </w:r>
      <w:r>
        <w:rPr>
          <w:rFonts w:ascii="Arial Narrow" w:eastAsiaTheme="minorHAnsi" w:hAnsi="Arial Narrow"/>
        </w:rPr>
        <w:t>;</w:t>
      </w:r>
    </w:p>
    <w:p w14:paraId="2DDD040D" w14:textId="77777777" w:rsidR="004F561A" w:rsidRPr="00893CB0" w:rsidRDefault="004F561A" w:rsidP="009C6577">
      <w:pPr>
        <w:pStyle w:val="ListParagraph"/>
        <w:numPr>
          <w:ilvl w:val="0"/>
          <w:numId w:val="54"/>
        </w:numPr>
        <w:overflowPunct w:val="0"/>
        <w:autoSpaceDE w:val="0"/>
        <w:autoSpaceDN w:val="0"/>
        <w:adjustRightInd w:val="0"/>
        <w:spacing w:after="120"/>
        <w:ind w:left="714" w:hanging="357"/>
        <w:contextualSpacing w:val="0"/>
        <w:jc w:val="both"/>
        <w:textAlignment w:val="baseline"/>
        <w:rPr>
          <w:rFonts w:ascii="Arial Narrow" w:eastAsiaTheme="minorHAnsi" w:hAnsi="Arial Narrow"/>
        </w:rPr>
      </w:pPr>
      <w:r w:rsidRPr="00893CB0">
        <w:rPr>
          <w:rFonts w:ascii="Arial Narrow" w:eastAsiaTheme="minorHAnsi" w:hAnsi="Arial Narrow"/>
        </w:rPr>
        <w:t>Помощ в подкрепа на разходи за вода за напояване при отглеждане на земеделски култури</w:t>
      </w:r>
      <w:r>
        <w:rPr>
          <w:rFonts w:ascii="Arial Narrow" w:eastAsiaTheme="minorHAnsi" w:hAnsi="Arial Narrow"/>
        </w:rPr>
        <w:t>.</w:t>
      </w:r>
    </w:p>
    <w:p w14:paraId="12F1284A" w14:textId="77777777" w:rsidR="004F561A" w:rsidRDefault="004F561A" w:rsidP="009C6577">
      <w:pPr>
        <w:pStyle w:val="ListParagraph"/>
        <w:numPr>
          <w:ilvl w:val="0"/>
          <w:numId w:val="55"/>
        </w:numPr>
        <w:spacing w:after="120"/>
        <w:ind w:left="714" w:right="11" w:hanging="357"/>
        <w:contextualSpacing w:val="0"/>
        <w:jc w:val="both"/>
        <w:rPr>
          <w:rFonts w:ascii="Arial Narrow" w:eastAsiaTheme="minorHAnsi" w:hAnsi="Arial Narrow"/>
        </w:rPr>
      </w:pPr>
      <w:r w:rsidRPr="009E585F">
        <w:rPr>
          <w:rFonts w:ascii="Arial Narrow" w:eastAsiaTheme="minorHAnsi" w:hAnsi="Arial Narrow"/>
          <w:b/>
        </w:rPr>
        <w:t>Минимални помощи de minimis</w:t>
      </w:r>
      <w:r w:rsidRPr="009E585F">
        <w:rPr>
          <w:rFonts w:ascii="Arial Narrow" w:eastAsiaTheme="minorHAnsi" w:hAnsi="Arial Narrow"/>
        </w:rPr>
        <w:t xml:space="preserve"> </w:t>
      </w:r>
    </w:p>
    <w:p w14:paraId="48A34FE3" w14:textId="77777777" w:rsidR="004F561A" w:rsidRPr="00893CB0" w:rsidRDefault="004F561A" w:rsidP="004F561A">
      <w:pPr>
        <w:spacing w:after="120"/>
        <w:ind w:right="12" w:firstLine="720"/>
        <w:jc w:val="both"/>
        <w:rPr>
          <w:rFonts w:ascii="Arial Narrow" w:eastAsiaTheme="minorHAnsi" w:hAnsi="Arial Narrow"/>
        </w:rPr>
      </w:pPr>
      <w:r w:rsidRPr="00893CB0">
        <w:rPr>
          <w:rFonts w:ascii="Arial Narrow" w:eastAsiaTheme="minorHAnsi" w:hAnsi="Arial Narrow"/>
        </w:rPr>
        <w:t xml:space="preserve">Помощите от типа de minimis се предоставят при спазване разпоредбите на Регламент (ЕС) № 1408/2013 г. и Регламент (ЕС) 2023/2831 г. Правилото de minimis се прилага по отношение на помощи, които поради малкия си размер не застрашават конкуренцията и могат да се предоставят от държавите членки без необходимост от одобрение от Европейската комисия. </w:t>
      </w:r>
    </w:p>
    <w:p w14:paraId="3C3C895D" w14:textId="77777777" w:rsidR="004F561A" w:rsidRPr="009E585F" w:rsidRDefault="004F561A" w:rsidP="004F561A">
      <w:pPr>
        <w:spacing w:after="120"/>
        <w:ind w:right="12" w:firstLine="720"/>
        <w:jc w:val="both"/>
        <w:rPr>
          <w:rFonts w:ascii="Arial Narrow" w:eastAsiaTheme="minorHAnsi" w:hAnsi="Arial Narrow"/>
          <w:lang w:val="ru-RU"/>
        </w:rPr>
      </w:pPr>
      <w:r w:rsidRPr="009E585F">
        <w:rPr>
          <w:rFonts w:ascii="Arial Narrow" w:eastAsiaTheme="minorHAnsi" w:hAnsi="Arial Narrow"/>
        </w:rPr>
        <w:t xml:space="preserve">През 2024 г. </w:t>
      </w:r>
      <w:r>
        <w:rPr>
          <w:rFonts w:ascii="Arial Narrow" w:eastAsiaTheme="minorHAnsi" w:hAnsi="Arial Narrow"/>
        </w:rPr>
        <w:t>по</w:t>
      </w:r>
      <w:r w:rsidRPr="009E585F">
        <w:rPr>
          <w:rFonts w:ascii="Arial Narrow" w:eastAsiaTheme="minorHAnsi" w:hAnsi="Arial Narrow"/>
        </w:rPr>
        <w:t xml:space="preserve"> разработени схеми de minimis </w:t>
      </w:r>
      <w:r>
        <w:rPr>
          <w:rFonts w:ascii="Arial Narrow" w:eastAsiaTheme="minorHAnsi" w:hAnsi="Arial Narrow"/>
        </w:rPr>
        <w:t xml:space="preserve">е </w:t>
      </w:r>
      <w:r w:rsidRPr="009E585F">
        <w:rPr>
          <w:rFonts w:ascii="Arial Narrow" w:eastAsiaTheme="minorHAnsi" w:hAnsi="Arial Narrow"/>
        </w:rPr>
        <w:t xml:space="preserve">предоставено подпомагане в размер на 14 226 957 </w:t>
      </w:r>
      <w:r>
        <w:rPr>
          <w:rFonts w:ascii="Arial Narrow" w:eastAsiaTheme="minorHAnsi" w:hAnsi="Arial Narrow"/>
        </w:rPr>
        <w:t>лева</w:t>
      </w:r>
      <w:r w:rsidRPr="009E585F">
        <w:rPr>
          <w:rFonts w:ascii="Arial Narrow" w:eastAsiaTheme="minorHAnsi" w:hAnsi="Arial Narrow"/>
        </w:rPr>
        <w:t>.</w:t>
      </w:r>
    </w:p>
    <w:p w14:paraId="796E7CB7" w14:textId="77777777" w:rsidR="004F561A" w:rsidRPr="009E585F" w:rsidRDefault="004F561A" w:rsidP="009C6577">
      <w:pPr>
        <w:pStyle w:val="ListParagraph"/>
        <w:numPr>
          <w:ilvl w:val="0"/>
          <w:numId w:val="55"/>
        </w:numPr>
        <w:spacing w:after="120"/>
        <w:ind w:left="714" w:right="11" w:hanging="357"/>
        <w:contextualSpacing w:val="0"/>
        <w:jc w:val="both"/>
        <w:rPr>
          <w:rFonts w:ascii="Arial Narrow" w:eastAsiaTheme="minorHAnsi" w:hAnsi="Arial Narrow"/>
          <w:b/>
        </w:rPr>
      </w:pPr>
      <w:r w:rsidRPr="009E585F">
        <w:rPr>
          <w:rFonts w:ascii="Arial Narrow" w:eastAsiaTheme="minorHAnsi" w:hAnsi="Arial Narrow"/>
          <w:b/>
        </w:rPr>
        <w:t>Държавни помощи</w:t>
      </w:r>
      <w:r>
        <w:rPr>
          <w:rFonts w:ascii="Arial Narrow" w:eastAsiaTheme="minorHAnsi" w:hAnsi="Arial Narrow"/>
          <w:b/>
        </w:rPr>
        <w:t xml:space="preserve"> под формата на данъчни облекчения (</w:t>
      </w:r>
      <w:r w:rsidRPr="009E585F">
        <w:rPr>
          <w:rFonts w:ascii="Arial Narrow" w:eastAsiaTheme="minorHAnsi" w:hAnsi="Arial Narrow"/>
          <w:b/>
        </w:rPr>
        <w:t>администрирани по друг ред)</w:t>
      </w:r>
    </w:p>
    <w:p w14:paraId="1EB360B5" w14:textId="77777777" w:rsidR="004F561A" w:rsidRPr="00893CB0" w:rsidRDefault="004F561A" w:rsidP="009C6577">
      <w:pPr>
        <w:pStyle w:val="ListParagraph"/>
        <w:numPr>
          <w:ilvl w:val="0"/>
          <w:numId w:val="54"/>
        </w:numPr>
        <w:overflowPunct w:val="0"/>
        <w:autoSpaceDE w:val="0"/>
        <w:autoSpaceDN w:val="0"/>
        <w:adjustRightInd w:val="0"/>
        <w:spacing w:after="120"/>
        <w:ind w:left="714" w:hanging="357"/>
        <w:contextualSpacing w:val="0"/>
        <w:jc w:val="both"/>
        <w:textAlignment w:val="baseline"/>
        <w:rPr>
          <w:rFonts w:ascii="Arial Narrow" w:hAnsi="Arial Narrow" w:cs="Arial"/>
          <w:sz w:val="20"/>
          <w:szCs w:val="20"/>
        </w:rPr>
      </w:pPr>
      <w:r w:rsidRPr="009E585F">
        <w:rPr>
          <w:rFonts w:ascii="Arial Narrow" w:eastAsiaTheme="minorHAnsi" w:hAnsi="Arial Narrow"/>
        </w:rPr>
        <w:t xml:space="preserve">Помощ за инвестиции в земеделски стопанства чрез преотстъпване на корпоративния данък. </w:t>
      </w:r>
    </w:p>
    <w:p w14:paraId="6291CCB4" w14:textId="77777777" w:rsidR="004F561A" w:rsidRPr="009E585F" w:rsidRDefault="004F561A" w:rsidP="004F561A">
      <w:pPr>
        <w:spacing w:after="120"/>
        <w:ind w:right="12" w:firstLine="720"/>
        <w:jc w:val="both"/>
        <w:rPr>
          <w:rFonts w:ascii="Arial Narrow" w:hAnsi="Arial Narrow" w:cs="Arial"/>
          <w:sz w:val="20"/>
          <w:szCs w:val="20"/>
        </w:rPr>
      </w:pPr>
      <w:r w:rsidRPr="009E585F">
        <w:rPr>
          <w:rFonts w:ascii="Arial Narrow" w:eastAsiaTheme="minorHAnsi" w:hAnsi="Arial Narrow"/>
        </w:rPr>
        <w:lastRenderedPageBreak/>
        <w:t>Помощта се администрира от Националната агенция за приходите. По данни на НАП</w:t>
      </w:r>
      <w:r>
        <w:rPr>
          <w:rFonts w:ascii="Arial Narrow" w:eastAsiaTheme="minorHAnsi" w:hAnsi="Arial Narrow"/>
        </w:rPr>
        <w:t>,</w:t>
      </w:r>
      <w:r w:rsidRPr="009E585F">
        <w:rPr>
          <w:rFonts w:ascii="Arial Narrow" w:eastAsiaTheme="minorHAnsi" w:hAnsi="Arial Narrow"/>
        </w:rPr>
        <w:t xml:space="preserve"> преотстъпеният данък за данъчна 2024 г. е в размер на 30 741 373 </w:t>
      </w:r>
      <w:r w:rsidRPr="009E585F">
        <w:rPr>
          <w:rFonts w:ascii="Arial Narrow" w:eastAsiaTheme="minorHAnsi" w:hAnsi="Arial Narrow"/>
          <w:lang w:val="ru-RU"/>
        </w:rPr>
        <w:t>л</w:t>
      </w:r>
      <w:r>
        <w:rPr>
          <w:rFonts w:ascii="Arial Narrow" w:eastAsiaTheme="minorHAnsi" w:hAnsi="Arial Narrow"/>
          <w:lang w:val="ru-RU"/>
        </w:rPr>
        <w:t>ева</w:t>
      </w:r>
      <w:r w:rsidRPr="009E585F">
        <w:rPr>
          <w:rFonts w:ascii="Arial Narrow" w:eastAsiaTheme="minorHAnsi" w:hAnsi="Arial Narrow"/>
          <w:lang w:val="ru-RU"/>
        </w:rPr>
        <w:t xml:space="preserve"> от 1 456 лица;</w:t>
      </w:r>
    </w:p>
    <w:p w14:paraId="0E670423" w14:textId="77777777" w:rsidR="004F561A" w:rsidRPr="009E585F" w:rsidRDefault="004F561A" w:rsidP="009C6577">
      <w:pPr>
        <w:pStyle w:val="ListParagraph"/>
        <w:numPr>
          <w:ilvl w:val="0"/>
          <w:numId w:val="54"/>
        </w:numPr>
        <w:overflowPunct w:val="0"/>
        <w:autoSpaceDE w:val="0"/>
        <w:autoSpaceDN w:val="0"/>
        <w:adjustRightInd w:val="0"/>
        <w:spacing w:after="120"/>
        <w:ind w:left="714" w:hanging="357"/>
        <w:contextualSpacing w:val="0"/>
        <w:jc w:val="both"/>
        <w:textAlignment w:val="baseline"/>
        <w:rPr>
          <w:rFonts w:ascii="Arial Narrow" w:eastAsiaTheme="minorHAnsi" w:hAnsi="Arial Narrow"/>
        </w:rPr>
      </w:pPr>
      <w:r w:rsidRPr="009E585F">
        <w:rPr>
          <w:rFonts w:ascii="Arial Narrow" w:eastAsiaTheme="minorHAnsi" w:hAnsi="Arial Narrow"/>
        </w:rPr>
        <w:t xml:space="preserve">Помощ под формата на отстъпка от стойността на акциза върху газьола, използван в първичното селскостопанско производство. </w:t>
      </w:r>
    </w:p>
    <w:p w14:paraId="21167807" w14:textId="77777777" w:rsidR="004F561A" w:rsidRPr="009E585F" w:rsidRDefault="004F561A" w:rsidP="004F561A">
      <w:pPr>
        <w:spacing w:after="120"/>
        <w:ind w:right="12" w:firstLine="720"/>
        <w:jc w:val="both"/>
        <w:rPr>
          <w:rFonts w:ascii="Arial Narrow" w:eastAsiaTheme="minorHAnsi" w:hAnsi="Arial Narrow"/>
        </w:rPr>
      </w:pPr>
      <w:r w:rsidRPr="009E585F">
        <w:rPr>
          <w:rFonts w:ascii="Arial Narrow" w:eastAsiaTheme="minorHAnsi" w:hAnsi="Arial Narrow"/>
        </w:rPr>
        <w:t xml:space="preserve">По линия на помощта през 2024 г. </w:t>
      </w:r>
      <w:r>
        <w:rPr>
          <w:rFonts w:ascii="Arial Narrow" w:eastAsiaTheme="minorHAnsi" w:hAnsi="Arial Narrow"/>
        </w:rPr>
        <w:t>са</w:t>
      </w:r>
      <w:r w:rsidRPr="009E585F">
        <w:rPr>
          <w:rFonts w:ascii="Arial Narrow" w:eastAsiaTheme="minorHAnsi" w:hAnsi="Arial Narrow"/>
        </w:rPr>
        <w:t xml:space="preserve"> изплатени 99 995 629 л</w:t>
      </w:r>
      <w:r>
        <w:rPr>
          <w:rFonts w:ascii="Arial Narrow" w:eastAsiaTheme="minorHAnsi" w:hAnsi="Arial Narrow"/>
        </w:rPr>
        <w:t>ева</w:t>
      </w:r>
      <w:r w:rsidRPr="009E585F">
        <w:rPr>
          <w:rFonts w:ascii="Arial Narrow" w:eastAsiaTheme="minorHAnsi" w:hAnsi="Arial Narrow"/>
        </w:rPr>
        <w:t xml:space="preserve"> на 14 640 земеделски стопани. </w:t>
      </w:r>
    </w:p>
    <w:p w14:paraId="760758B1" w14:textId="77777777" w:rsidR="004F561A" w:rsidRDefault="00CA4006" w:rsidP="004F561A">
      <w:pPr>
        <w:keepNext/>
        <w:shd w:val="clear" w:color="auto" w:fill="FFFFFF"/>
        <w:spacing w:after="120"/>
        <w:jc w:val="both"/>
        <w:rPr>
          <w:rFonts w:ascii="Arial Narrow" w:hAnsi="Arial Narrow"/>
          <w:b/>
        </w:rPr>
      </w:pPr>
      <w:r w:rsidRPr="0089257E">
        <w:rPr>
          <w:rFonts w:ascii="Arial Narrow" w:hAnsi="Arial Narrow"/>
          <w:b/>
          <w:lang w:val="bg-BG" w:eastAsia="bg-BG"/>
        </w:rPr>
        <w:t xml:space="preserve">Таблица </w:t>
      </w:r>
      <w:r w:rsidRPr="0089257E">
        <w:rPr>
          <w:rFonts w:ascii="Arial Narrow" w:hAnsi="Arial Narrow"/>
          <w:b/>
          <w:lang w:eastAsia="bg-BG"/>
        </w:rPr>
        <w:t>IV</w:t>
      </w:r>
      <w:r w:rsidRPr="0089257E">
        <w:rPr>
          <w:rFonts w:ascii="Arial Narrow" w:hAnsi="Arial Narrow"/>
          <w:b/>
          <w:lang w:val="bg-BG" w:eastAsia="bg-BG"/>
        </w:rPr>
        <w:t>.</w:t>
      </w:r>
      <w:r w:rsidR="00BC3ADA">
        <w:rPr>
          <w:rFonts w:ascii="Arial Narrow" w:hAnsi="Arial Narrow"/>
          <w:b/>
          <w:lang w:val="bg-BG" w:eastAsia="bg-BG"/>
        </w:rPr>
        <w:t>14</w:t>
      </w:r>
      <w:r>
        <w:rPr>
          <w:rFonts w:ascii="Arial Narrow" w:hAnsi="Arial Narrow"/>
          <w:b/>
          <w:lang w:val="bg-BG" w:eastAsia="bg-BG"/>
        </w:rPr>
        <w:t xml:space="preserve">. </w:t>
      </w:r>
      <w:r w:rsidR="004F561A" w:rsidRPr="009E585F">
        <w:rPr>
          <w:rFonts w:ascii="Arial Narrow" w:hAnsi="Arial Narrow"/>
          <w:b/>
        </w:rPr>
        <w:t xml:space="preserve">Държавни помощи в земеделието през 2024 г. </w:t>
      </w:r>
    </w:p>
    <w:tbl>
      <w:tblPr>
        <w:tblW w:w="10360" w:type="dxa"/>
        <w:tblLook w:val="04A0" w:firstRow="1" w:lastRow="0" w:firstColumn="1" w:lastColumn="0" w:noHBand="0" w:noVBand="1"/>
      </w:tblPr>
      <w:tblGrid>
        <w:gridCol w:w="460"/>
        <w:gridCol w:w="6580"/>
        <w:gridCol w:w="1660"/>
        <w:gridCol w:w="1660"/>
      </w:tblGrid>
      <w:tr w:rsidR="004F561A" w14:paraId="2E16C7FF" w14:textId="77777777" w:rsidTr="00121CC1">
        <w:trPr>
          <w:trHeight w:val="900"/>
          <w:tblHeader/>
        </w:trPr>
        <w:tc>
          <w:tcPr>
            <w:tcW w:w="4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E26854" w14:textId="77777777" w:rsidR="004F561A" w:rsidRDefault="004F561A" w:rsidP="00121CC1">
            <w:pPr>
              <w:jc w:val="center"/>
              <w:rPr>
                <w:rFonts w:ascii="Arial Narrow" w:hAnsi="Arial Narrow" w:cs="Calibri"/>
                <w:b/>
                <w:bCs/>
                <w:color w:val="000000"/>
                <w:sz w:val="20"/>
                <w:szCs w:val="20"/>
              </w:rPr>
            </w:pPr>
            <w:r>
              <w:rPr>
                <w:rFonts w:ascii="Arial Narrow" w:hAnsi="Arial Narrow" w:cs="Calibri"/>
                <w:b/>
                <w:bCs/>
                <w:color w:val="000000"/>
                <w:sz w:val="20"/>
                <w:szCs w:val="20"/>
              </w:rPr>
              <w:t>№</w:t>
            </w:r>
          </w:p>
        </w:tc>
        <w:tc>
          <w:tcPr>
            <w:tcW w:w="6580" w:type="dxa"/>
            <w:tcBorders>
              <w:top w:val="single" w:sz="4" w:space="0" w:color="auto"/>
              <w:left w:val="nil"/>
              <w:bottom w:val="single" w:sz="4" w:space="0" w:color="auto"/>
              <w:right w:val="single" w:sz="4" w:space="0" w:color="auto"/>
            </w:tcBorders>
            <w:shd w:val="clear" w:color="auto" w:fill="auto"/>
            <w:vAlign w:val="center"/>
            <w:hideMark/>
          </w:tcPr>
          <w:p w14:paraId="12C912E5" w14:textId="77777777" w:rsidR="004F561A" w:rsidRDefault="004F561A" w:rsidP="00121CC1">
            <w:pPr>
              <w:jc w:val="center"/>
              <w:rPr>
                <w:rFonts w:ascii="Arial Narrow" w:hAnsi="Arial Narrow" w:cs="Calibri"/>
                <w:b/>
                <w:bCs/>
                <w:color w:val="000000"/>
                <w:sz w:val="20"/>
                <w:szCs w:val="20"/>
              </w:rPr>
            </w:pPr>
            <w:r>
              <w:rPr>
                <w:rFonts w:ascii="Arial Narrow" w:hAnsi="Arial Narrow" w:cs="Calibri"/>
                <w:b/>
                <w:bCs/>
                <w:color w:val="000000"/>
                <w:sz w:val="20"/>
                <w:szCs w:val="20"/>
              </w:rPr>
              <w:t>Държавна помощ</w:t>
            </w:r>
          </w:p>
        </w:tc>
        <w:tc>
          <w:tcPr>
            <w:tcW w:w="1660" w:type="dxa"/>
            <w:tcBorders>
              <w:top w:val="single" w:sz="4" w:space="0" w:color="auto"/>
              <w:left w:val="nil"/>
              <w:bottom w:val="single" w:sz="4" w:space="0" w:color="auto"/>
              <w:right w:val="single" w:sz="4" w:space="0" w:color="auto"/>
            </w:tcBorders>
            <w:shd w:val="clear" w:color="auto" w:fill="auto"/>
            <w:vAlign w:val="center"/>
            <w:hideMark/>
          </w:tcPr>
          <w:p w14:paraId="46E68D65" w14:textId="77777777" w:rsidR="004F561A" w:rsidRDefault="004F561A" w:rsidP="00121CC1">
            <w:pPr>
              <w:jc w:val="center"/>
              <w:rPr>
                <w:rFonts w:ascii="Arial Narrow" w:hAnsi="Arial Narrow" w:cs="Calibri"/>
                <w:b/>
                <w:bCs/>
                <w:color w:val="000000"/>
                <w:sz w:val="20"/>
                <w:szCs w:val="20"/>
              </w:rPr>
            </w:pPr>
            <w:r>
              <w:rPr>
                <w:rFonts w:ascii="Arial Narrow" w:hAnsi="Arial Narrow" w:cs="Calibri"/>
                <w:b/>
                <w:bCs/>
                <w:color w:val="000000"/>
                <w:sz w:val="20"/>
                <w:szCs w:val="20"/>
              </w:rPr>
              <w:t>Усвоен финансов ресурс - лева</w:t>
            </w:r>
          </w:p>
        </w:tc>
        <w:tc>
          <w:tcPr>
            <w:tcW w:w="1660" w:type="dxa"/>
            <w:tcBorders>
              <w:top w:val="single" w:sz="4" w:space="0" w:color="auto"/>
              <w:left w:val="nil"/>
              <w:bottom w:val="single" w:sz="4" w:space="0" w:color="auto"/>
              <w:right w:val="single" w:sz="4" w:space="0" w:color="auto"/>
            </w:tcBorders>
            <w:shd w:val="clear" w:color="auto" w:fill="auto"/>
            <w:vAlign w:val="center"/>
            <w:hideMark/>
          </w:tcPr>
          <w:p w14:paraId="15CB29FF" w14:textId="77777777" w:rsidR="004F561A" w:rsidRDefault="004F561A" w:rsidP="00121CC1">
            <w:pPr>
              <w:jc w:val="center"/>
              <w:rPr>
                <w:rFonts w:ascii="Arial Narrow" w:hAnsi="Arial Narrow" w:cs="Calibri"/>
                <w:b/>
                <w:bCs/>
                <w:color w:val="000000"/>
                <w:sz w:val="20"/>
                <w:szCs w:val="20"/>
              </w:rPr>
            </w:pPr>
            <w:r>
              <w:rPr>
                <w:rFonts w:ascii="Arial Narrow" w:hAnsi="Arial Narrow" w:cs="Calibri"/>
                <w:b/>
                <w:bCs/>
                <w:color w:val="000000"/>
                <w:sz w:val="20"/>
                <w:szCs w:val="20"/>
              </w:rPr>
              <w:t>Брой  бенефициери</w:t>
            </w:r>
          </w:p>
        </w:tc>
      </w:tr>
      <w:tr w:rsidR="004F561A" w14:paraId="0D562ABE" w14:textId="77777777" w:rsidTr="00121CC1">
        <w:trPr>
          <w:trHeight w:val="300"/>
        </w:trPr>
        <w:tc>
          <w:tcPr>
            <w:tcW w:w="460" w:type="dxa"/>
            <w:tcBorders>
              <w:top w:val="nil"/>
              <w:left w:val="single" w:sz="4" w:space="0" w:color="auto"/>
              <w:bottom w:val="single" w:sz="4" w:space="0" w:color="auto"/>
              <w:right w:val="single" w:sz="4" w:space="0" w:color="auto"/>
            </w:tcBorders>
            <w:shd w:val="clear" w:color="auto" w:fill="auto"/>
            <w:vAlign w:val="center"/>
            <w:hideMark/>
          </w:tcPr>
          <w:p w14:paraId="3B03497E" w14:textId="77777777" w:rsidR="004F561A" w:rsidRDefault="004F561A" w:rsidP="00121CC1">
            <w:pPr>
              <w:jc w:val="center"/>
              <w:rPr>
                <w:rFonts w:ascii="Arial Narrow" w:hAnsi="Arial Narrow" w:cs="Calibri"/>
                <w:b/>
                <w:bCs/>
                <w:color w:val="000000"/>
                <w:sz w:val="20"/>
                <w:szCs w:val="20"/>
              </w:rPr>
            </w:pPr>
            <w:r>
              <w:rPr>
                <w:rFonts w:ascii="Arial Narrow" w:hAnsi="Arial Narrow" w:cs="Calibri"/>
                <w:b/>
                <w:bCs/>
                <w:color w:val="000000"/>
                <w:sz w:val="20"/>
                <w:szCs w:val="20"/>
              </w:rPr>
              <w:t> </w:t>
            </w:r>
          </w:p>
        </w:tc>
        <w:tc>
          <w:tcPr>
            <w:tcW w:w="6580" w:type="dxa"/>
            <w:tcBorders>
              <w:top w:val="nil"/>
              <w:left w:val="nil"/>
              <w:bottom w:val="single" w:sz="4" w:space="0" w:color="auto"/>
              <w:right w:val="single" w:sz="4" w:space="0" w:color="auto"/>
            </w:tcBorders>
            <w:shd w:val="clear" w:color="auto" w:fill="auto"/>
            <w:vAlign w:val="center"/>
            <w:hideMark/>
          </w:tcPr>
          <w:p w14:paraId="08274809" w14:textId="77777777" w:rsidR="004F561A" w:rsidRDefault="004F561A" w:rsidP="00121CC1">
            <w:pPr>
              <w:rPr>
                <w:rFonts w:ascii="Arial Narrow" w:hAnsi="Arial Narrow" w:cs="Calibri"/>
                <w:b/>
                <w:bCs/>
                <w:color w:val="000000"/>
                <w:sz w:val="20"/>
                <w:szCs w:val="20"/>
              </w:rPr>
            </w:pPr>
            <w:r>
              <w:rPr>
                <w:rFonts w:ascii="Arial Narrow" w:hAnsi="Arial Narrow" w:cs="Calibri"/>
                <w:b/>
                <w:bCs/>
                <w:color w:val="000000"/>
                <w:sz w:val="20"/>
                <w:szCs w:val="20"/>
              </w:rPr>
              <w:t>Държавни помощи, администрирани от ДФЗ</w:t>
            </w:r>
          </w:p>
        </w:tc>
        <w:tc>
          <w:tcPr>
            <w:tcW w:w="1660" w:type="dxa"/>
            <w:tcBorders>
              <w:top w:val="nil"/>
              <w:left w:val="nil"/>
              <w:bottom w:val="single" w:sz="4" w:space="0" w:color="auto"/>
              <w:right w:val="single" w:sz="4" w:space="0" w:color="auto"/>
            </w:tcBorders>
            <w:shd w:val="clear" w:color="auto" w:fill="auto"/>
            <w:vAlign w:val="center"/>
            <w:hideMark/>
          </w:tcPr>
          <w:p w14:paraId="66032BE7" w14:textId="77777777" w:rsidR="004F561A" w:rsidRDefault="004F561A" w:rsidP="00121CC1">
            <w:pPr>
              <w:jc w:val="center"/>
              <w:rPr>
                <w:rFonts w:ascii="Arial Narrow" w:hAnsi="Arial Narrow" w:cs="Calibri"/>
                <w:b/>
                <w:bCs/>
                <w:color w:val="000000"/>
                <w:sz w:val="20"/>
                <w:szCs w:val="20"/>
              </w:rPr>
            </w:pPr>
            <w:r>
              <w:rPr>
                <w:rFonts w:ascii="Arial Narrow" w:hAnsi="Arial Narrow" w:cs="Calibri"/>
                <w:b/>
                <w:bCs/>
                <w:color w:val="000000"/>
                <w:sz w:val="20"/>
                <w:szCs w:val="20"/>
              </w:rPr>
              <w:t> </w:t>
            </w:r>
          </w:p>
        </w:tc>
        <w:tc>
          <w:tcPr>
            <w:tcW w:w="1660" w:type="dxa"/>
            <w:tcBorders>
              <w:top w:val="nil"/>
              <w:left w:val="nil"/>
              <w:bottom w:val="single" w:sz="4" w:space="0" w:color="auto"/>
              <w:right w:val="single" w:sz="4" w:space="0" w:color="auto"/>
            </w:tcBorders>
            <w:shd w:val="clear" w:color="auto" w:fill="auto"/>
            <w:vAlign w:val="center"/>
            <w:hideMark/>
          </w:tcPr>
          <w:p w14:paraId="22B82452" w14:textId="77777777" w:rsidR="004F561A" w:rsidRDefault="004F561A" w:rsidP="00121CC1">
            <w:pPr>
              <w:jc w:val="center"/>
              <w:rPr>
                <w:rFonts w:ascii="Arial Narrow" w:hAnsi="Arial Narrow" w:cs="Calibri"/>
                <w:b/>
                <w:bCs/>
                <w:color w:val="000000"/>
                <w:sz w:val="20"/>
                <w:szCs w:val="20"/>
              </w:rPr>
            </w:pPr>
            <w:r>
              <w:rPr>
                <w:rFonts w:ascii="Arial Narrow" w:hAnsi="Arial Narrow" w:cs="Calibri"/>
                <w:b/>
                <w:bCs/>
                <w:color w:val="000000"/>
                <w:sz w:val="20"/>
                <w:szCs w:val="20"/>
              </w:rPr>
              <w:t> </w:t>
            </w:r>
          </w:p>
        </w:tc>
      </w:tr>
      <w:tr w:rsidR="004F561A" w14:paraId="12C0BD27" w14:textId="77777777" w:rsidTr="00121CC1">
        <w:trPr>
          <w:trHeight w:val="765"/>
        </w:trPr>
        <w:tc>
          <w:tcPr>
            <w:tcW w:w="460" w:type="dxa"/>
            <w:tcBorders>
              <w:top w:val="nil"/>
              <w:left w:val="single" w:sz="4" w:space="0" w:color="auto"/>
              <w:bottom w:val="single" w:sz="4" w:space="0" w:color="auto"/>
              <w:right w:val="single" w:sz="4" w:space="0" w:color="auto"/>
            </w:tcBorders>
            <w:shd w:val="clear" w:color="auto" w:fill="auto"/>
            <w:vAlign w:val="center"/>
            <w:hideMark/>
          </w:tcPr>
          <w:p w14:paraId="3DB28368" w14:textId="77777777" w:rsidR="004F561A" w:rsidRDefault="004F561A" w:rsidP="00121CC1">
            <w:pPr>
              <w:jc w:val="center"/>
              <w:rPr>
                <w:rFonts w:ascii="Arial Narrow" w:hAnsi="Arial Narrow" w:cs="Calibri"/>
                <w:sz w:val="20"/>
                <w:szCs w:val="20"/>
              </w:rPr>
            </w:pPr>
            <w:r>
              <w:rPr>
                <w:rFonts w:ascii="Arial Narrow" w:hAnsi="Arial Narrow" w:cs="Calibri"/>
                <w:sz w:val="20"/>
                <w:szCs w:val="20"/>
              </w:rPr>
              <w:t>1</w:t>
            </w:r>
          </w:p>
        </w:tc>
        <w:tc>
          <w:tcPr>
            <w:tcW w:w="6580" w:type="dxa"/>
            <w:tcBorders>
              <w:top w:val="nil"/>
              <w:left w:val="nil"/>
              <w:bottom w:val="single" w:sz="4" w:space="0" w:color="auto"/>
              <w:right w:val="single" w:sz="4" w:space="0" w:color="auto"/>
            </w:tcBorders>
            <w:shd w:val="clear" w:color="auto" w:fill="auto"/>
            <w:vAlign w:val="center"/>
            <w:hideMark/>
          </w:tcPr>
          <w:p w14:paraId="0467F218" w14:textId="77777777" w:rsidR="004F561A" w:rsidRDefault="004F561A" w:rsidP="00121CC1">
            <w:pPr>
              <w:rPr>
                <w:rFonts w:ascii="Arial Narrow" w:hAnsi="Arial Narrow" w:cs="Calibri"/>
                <w:sz w:val="20"/>
                <w:szCs w:val="20"/>
              </w:rPr>
            </w:pPr>
            <w:r>
              <w:rPr>
                <w:rFonts w:ascii="Arial Narrow" w:hAnsi="Arial Narrow" w:cs="Calibri"/>
                <w:sz w:val="20"/>
                <w:szCs w:val="20"/>
              </w:rPr>
              <w:t>Помощ за компенсиране на разходите на земеделските стопани, свързани с изпълнение на мерки по Държавната профилактична програма и Програмите за надзор и ликвидиране на  болести по животните</w:t>
            </w:r>
          </w:p>
        </w:tc>
        <w:tc>
          <w:tcPr>
            <w:tcW w:w="1660" w:type="dxa"/>
            <w:tcBorders>
              <w:top w:val="nil"/>
              <w:left w:val="nil"/>
              <w:bottom w:val="single" w:sz="4" w:space="0" w:color="auto"/>
              <w:right w:val="single" w:sz="4" w:space="0" w:color="auto"/>
            </w:tcBorders>
            <w:shd w:val="clear" w:color="auto" w:fill="auto"/>
            <w:vAlign w:val="center"/>
            <w:hideMark/>
          </w:tcPr>
          <w:p w14:paraId="22BF36DF" w14:textId="77777777" w:rsidR="004F561A" w:rsidRDefault="004F561A" w:rsidP="00121CC1">
            <w:pPr>
              <w:jc w:val="right"/>
              <w:rPr>
                <w:rFonts w:ascii="Arial Narrow" w:hAnsi="Arial Narrow" w:cs="Calibri"/>
                <w:sz w:val="20"/>
                <w:szCs w:val="20"/>
              </w:rPr>
            </w:pPr>
            <w:r>
              <w:rPr>
                <w:rFonts w:ascii="Arial Narrow" w:hAnsi="Arial Narrow" w:cs="Calibri"/>
                <w:sz w:val="20"/>
                <w:szCs w:val="20"/>
              </w:rPr>
              <w:t>22 488 452</w:t>
            </w:r>
          </w:p>
        </w:tc>
        <w:tc>
          <w:tcPr>
            <w:tcW w:w="1660" w:type="dxa"/>
            <w:tcBorders>
              <w:top w:val="nil"/>
              <w:left w:val="nil"/>
              <w:bottom w:val="single" w:sz="4" w:space="0" w:color="auto"/>
              <w:right w:val="single" w:sz="4" w:space="0" w:color="auto"/>
            </w:tcBorders>
            <w:shd w:val="clear" w:color="auto" w:fill="auto"/>
            <w:vAlign w:val="center"/>
            <w:hideMark/>
          </w:tcPr>
          <w:p w14:paraId="1CA8CCAD" w14:textId="77777777" w:rsidR="004F561A" w:rsidRDefault="004F561A" w:rsidP="00121CC1">
            <w:pPr>
              <w:jc w:val="right"/>
              <w:rPr>
                <w:rFonts w:ascii="Arial Narrow" w:hAnsi="Arial Narrow" w:cs="Calibri"/>
                <w:sz w:val="20"/>
                <w:szCs w:val="20"/>
              </w:rPr>
            </w:pPr>
            <w:r>
              <w:rPr>
                <w:rFonts w:ascii="Arial Narrow" w:hAnsi="Arial Narrow" w:cs="Calibri"/>
                <w:sz w:val="20"/>
                <w:szCs w:val="20"/>
              </w:rPr>
              <w:t>27 805</w:t>
            </w:r>
          </w:p>
        </w:tc>
      </w:tr>
      <w:tr w:rsidR="004F561A" w14:paraId="73E621D0" w14:textId="77777777" w:rsidTr="00121CC1">
        <w:trPr>
          <w:trHeight w:val="510"/>
        </w:trPr>
        <w:tc>
          <w:tcPr>
            <w:tcW w:w="460" w:type="dxa"/>
            <w:tcBorders>
              <w:top w:val="nil"/>
              <w:left w:val="single" w:sz="4" w:space="0" w:color="auto"/>
              <w:bottom w:val="single" w:sz="4" w:space="0" w:color="auto"/>
              <w:right w:val="single" w:sz="4" w:space="0" w:color="auto"/>
            </w:tcBorders>
            <w:shd w:val="clear" w:color="auto" w:fill="auto"/>
            <w:vAlign w:val="center"/>
            <w:hideMark/>
          </w:tcPr>
          <w:p w14:paraId="07252C68" w14:textId="77777777" w:rsidR="004F561A" w:rsidRDefault="004F561A" w:rsidP="00121CC1">
            <w:pPr>
              <w:jc w:val="center"/>
              <w:rPr>
                <w:rFonts w:ascii="Arial Narrow" w:hAnsi="Arial Narrow" w:cs="Calibri"/>
                <w:sz w:val="20"/>
                <w:szCs w:val="20"/>
              </w:rPr>
            </w:pPr>
            <w:r>
              <w:rPr>
                <w:rFonts w:ascii="Arial Narrow" w:hAnsi="Arial Narrow" w:cs="Calibri"/>
                <w:sz w:val="20"/>
                <w:szCs w:val="20"/>
              </w:rPr>
              <w:t>2</w:t>
            </w:r>
          </w:p>
        </w:tc>
        <w:tc>
          <w:tcPr>
            <w:tcW w:w="6580" w:type="dxa"/>
            <w:tcBorders>
              <w:top w:val="nil"/>
              <w:left w:val="nil"/>
              <w:bottom w:val="single" w:sz="4" w:space="0" w:color="auto"/>
              <w:right w:val="single" w:sz="4" w:space="0" w:color="auto"/>
            </w:tcBorders>
            <w:shd w:val="clear" w:color="auto" w:fill="auto"/>
            <w:vAlign w:val="center"/>
            <w:hideMark/>
          </w:tcPr>
          <w:p w14:paraId="38253DD7" w14:textId="77777777" w:rsidR="004F561A" w:rsidRDefault="004F561A" w:rsidP="00121CC1">
            <w:pPr>
              <w:rPr>
                <w:rFonts w:ascii="Arial Narrow" w:hAnsi="Arial Narrow" w:cs="Calibri"/>
                <w:sz w:val="20"/>
                <w:szCs w:val="20"/>
              </w:rPr>
            </w:pPr>
            <w:r>
              <w:rPr>
                <w:rFonts w:ascii="Arial Narrow" w:hAnsi="Arial Narrow" w:cs="Calibri"/>
                <w:sz w:val="20"/>
                <w:szCs w:val="20"/>
              </w:rPr>
              <w:t>Помощ за създаване и поддържане на родословна книга и за определяне продуктивността и генетичните качества на животните</w:t>
            </w:r>
          </w:p>
        </w:tc>
        <w:tc>
          <w:tcPr>
            <w:tcW w:w="1660" w:type="dxa"/>
            <w:tcBorders>
              <w:top w:val="nil"/>
              <w:left w:val="nil"/>
              <w:bottom w:val="single" w:sz="4" w:space="0" w:color="auto"/>
              <w:right w:val="single" w:sz="4" w:space="0" w:color="auto"/>
            </w:tcBorders>
            <w:shd w:val="clear" w:color="auto" w:fill="auto"/>
            <w:vAlign w:val="center"/>
            <w:hideMark/>
          </w:tcPr>
          <w:p w14:paraId="07C23375" w14:textId="77777777" w:rsidR="004F561A" w:rsidRDefault="004F561A" w:rsidP="00121CC1">
            <w:pPr>
              <w:jc w:val="right"/>
              <w:rPr>
                <w:rFonts w:ascii="Arial Narrow" w:hAnsi="Arial Narrow" w:cs="Calibri"/>
                <w:sz w:val="20"/>
                <w:szCs w:val="20"/>
              </w:rPr>
            </w:pPr>
            <w:r>
              <w:rPr>
                <w:rFonts w:ascii="Arial Narrow" w:hAnsi="Arial Narrow" w:cs="Calibri"/>
                <w:sz w:val="20"/>
                <w:szCs w:val="20"/>
              </w:rPr>
              <w:t>9 837 742</w:t>
            </w:r>
          </w:p>
        </w:tc>
        <w:tc>
          <w:tcPr>
            <w:tcW w:w="1660" w:type="dxa"/>
            <w:tcBorders>
              <w:top w:val="nil"/>
              <w:left w:val="nil"/>
              <w:bottom w:val="single" w:sz="4" w:space="0" w:color="auto"/>
              <w:right w:val="single" w:sz="4" w:space="0" w:color="auto"/>
            </w:tcBorders>
            <w:shd w:val="clear" w:color="auto" w:fill="auto"/>
            <w:vAlign w:val="center"/>
            <w:hideMark/>
          </w:tcPr>
          <w:p w14:paraId="403CB485" w14:textId="77777777" w:rsidR="004F561A" w:rsidRDefault="004F561A" w:rsidP="00121CC1">
            <w:pPr>
              <w:jc w:val="right"/>
              <w:rPr>
                <w:rFonts w:ascii="Arial Narrow" w:hAnsi="Arial Narrow" w:cs="Calibri"/>
                <w:sz w:val="20"/>
                <w:szCs w:val="20"/>
              </w:rPr>
            </w:pPr>
            <w:r>
              <w:rPr>
                <w:rFonts w:ascii="Arial Narrow" w:hAnsi="Arial Narrow" w:cs="Calibri"/>
                <w:sz w:val="20"/>
                <w:szCs w:val="20"/>
              </w:rPr>
              <w:t>5 253</w:t>
            </w:r>
          </w:p>
        </w:tc>
      </w:tr>
      <w:tr w:rsidR="004F561A" w14:paraId="55F024F2" w14:textId="77777777" w:rsidTr="00121CC1">
        <w:trPr>
          <w:trHeight w:val="510"/>
        </w:trPr>
        <w:tc>
          <w:tcPr>
            <w:tcW w:w="460" w:type="dxa"/>
            <w:tcBorders>
              <w:top w:val="nil"/>
              <w:left w:val="single" w:sz="4" w:space="0" w:color="auto"/>
              <w:bottom w:val="single" w:sz="4" w:space="0" w:color="auto"/>
              <w:right w:val="single" w:sz="4" w:space="0" w:color="auto"/>
            </w:tcBorders>
            <w:shd w:val="clear" w:color="auto" w:fill="auto"/>
            <w:vAlign w:val="center"/>
            <w:hideMark/>
          </w:tcPr>
          <w:p w14:paraId="5EAC1E0C" w14:textId="77777777" w:rsidR="004F561A" w:rsidRDefault="004F561A" w:rsidP="00121CC1">
            <w:pPr>
              <w:jc w:val="center"/>
              <w:rPr>
                <w:rFonts w:ascii="Arial Narrow" w:hAnsi="Arial Narrow" w:cs="Calibri"/>
                <w:sz w:val="20"/>
                <w:szCs w:val="20"/>
              </w:rPr>
            </w:pPr>
            <w:r>
              <w:rPr>
                <w:rFonts w:ascii="Arial Narrow" w:hAnsi="Arial Narrow" w:cs="Calibri"/>
                <w:sz w:val="20"/>
                <w:szCs w:val="20"/>
              </w:rPr>
              <w:t>3</w:t>
            </w:r>
          </w:p>
        </w:tc>
        <w:tc>
          <w:tcPr>
            <w:tcW w:w="6580" w:type="dxa"/>
            <w:tcBorders>
              <w:top w:val="nil"/>
              <w:left w:val="nil"/>
              <w:bottom w:val="single" w:sz="4" w:space="0" w:color="auto"/>
              <w:right w:val="single" w:sz="4" w:space="0" w:color="auto"/>
            </w:tcBorders>
            <w:shd w:val="clear" w:color="auto" w:fill="auto"/>
            <w:vAlign w:val="center"/>
            <w:hideMark/>
          </w:tcPr>
          <w:p w14:paraId="0C09AB5F" w14:textId="77777777" w:rsidR="004F561A" w:rsidRDefault="004F561A" w:rsidP="00121CC1">
            <w:pPr>
              <w:rPr>
                <w:rFonts w:ascii="Arial Narrow" w:hAnsi="Arial Narrow" w:cs="Calibri"/>
                <w:sz w:val="20"/>
                <w:szCs w:val="20"/>
              </w:rPr>
            </w:pPr>
            <w:r>
              <w:rPr>
                <w:rFonts w:ascii="Arial Narrow" w:hAnsi="Arial Narrow" w:cs="Calibri"/>
                <w:sz w:val="20"/>
                <w:szCs w:val="20"/>
              </w:rPr>
              <w:t>Помощ за компенсиране на материални щети по загинали селскостопански животни и унищожени пчелни кошери и пчелни семейства</w:t>
            </w:r>
          </w:p>
        </w:tc>
        <w:tc>
          <w:tcPr>
            <w:tcW w:w="1660" w:type="dxa"/>
            <w:tcBorders>
              <w:top w:val="nil"/>
              <w:left w:val="nil"/>
              <w:bottom w:val="single" w:sz="4" w:space="0" w:color="auto"/>
              <w:right w:val="single" w:sz="4" w:space="0" w:color="auto"/>
            </w:tcBorders>
            <w:shd w:val="clear" w:color="auto" w:fill="auto"/>
            <w:vAlign w:val="center"/>
            <w:hideMark/>
          </w:tcPr>
          <w:p w14:paraId="6A001C66" w14:textId="77777777" w:rsidR="004F561A" w:rsidRDefault="004F561A" w:rsidP="00121CC1">
            <w:pPr>
              <w:jc w:val="right"/>
              <w:rPr>
                <w:rFonts w:ascii="Arial Narrow" w:hAnsi="Arial Narrow" w:cs="Calibri"/>
                <w:sz w:val="20"/>
                <w:szCs w:val="20"/>
              </w:rPr>
            </w:pPr>
            <w:r>
              <w:rPr>
                <w:rFonts w:ascii="Arial Narrow" w:hAnsi="Arial Narrow" w:cs="Calibri"/>
                <w:sz w:val="20"/>
                <w:szCs w:val="20"/>
              </w:rPr>
              <w:t>239 010</w:t>
            </w:r>
          </w:p>
        </w:tc>
        <w:tc>
          <w:tcPr>
            <w:tcW w:w="1660" w:type="dxa"/>
            <w:tcBorders>
              <w:top w:val="nil"/>
              <w:left w:val="nil"/>
              <w:bottom w:val="single" w:sz="4" w:space="0" w:color="auto"/>
              <w:right w:val="single" w:sz="4" w:space="0" w:color="auto"/>
            </w:tcBorders>
            <w:shd w:val="clear" w:color="auto" w:fill="auto"/>
            <w:vAlign w:val="center"/>
            <w:hideMark/>
          </w:tcPr>
          <w:p w14:paraId="214E5A6F" w14:textId="77777777" w:rsidR="004F561A" w:rsidRDefault="004F561A" w:rsidP="00121CC1">
            <w:pPr>
              <w:jc w:val="right"/>
              <w:rPr>
                <w:rFonts w:ascii="Arial Narrow" w:hAnsi="Arial Narrow" w:cs="Calibri"/>
                <w:sz w:val="20"/>
                <w:szCs w:val="20"/>
              </w:rPr>
            </w:pPr>
            <w:r>
              <w:rPr>
                <w:rFonts w:ascii="Arial Narrow" w:hAnsi="Arial Narrow" w:cs="Calibri"/>
                <w:sz w:val="20"/>
                <w:szCs w:val="20"/>
              </w:rPr>
              <w:t>11</w:t>
            </w:r>
          </w:p>
        </w:tc>
      </w:tr>
      <w:tr w:rsidR="004F561A" w14:paraId="6C94382D" w14:textId="77777777" w:rsidTr="00121CC1">
        <w:trPr>
          <w:trHeight w:val="510"/>
        </w:trPr>
        <w:tc>
          <w:tcPr>
            <w:tcW w:w="460" w:type="dxa"/>
            <w:tcBorders>
              <w:top w:val="nil"/>
              <w:left w:val="single" w:sz="4" w:space="0" w:color="auto"/>
              <w:bottom w:val="single" w:sz="4" w:space="0" w:color="auto"/>
              <w:right w:val="single" w:sz="4" w:space="0" w:color="auto"/>
            </w:tcBorders>
            <w:shd w:val="clear" w:color="auto" w:fill="auto"/>
            <w:vAlign w:val="center"/>
            <w:hideMark/>
          </w:tcPr>
          <w:p w14:paraId="78C642D5" w14:textId="77777777" w:rsidR="004F561A" w:rsidRDefault="004F561A" w:rsidP="00121CC1">
            <w:pPr>
              <w:jc w:val="center"/>
              <w:rPr>
                <w:rFonts w:ascii="Arial Narrow" w:hAnsi="Arial Narrow" w:cs="Calibri"/>
                <w:sz w:val="20"/>
                <w:szCs w:val="20"/>
              </w:rPr>
            </w:pPr>
            <w:r>
              <w:rPr>
                <w:rFonts w:ascii="Arial Narrow" w:hAnsi="Arial Narrow" w:cs="Calibri"/>
                <w:sz w:val="20"/>
                <w:szCs w:val="20"/>
              </w:rPr>
              <w:t>4</w:t>
            </w:r>
          </w:p>
        </w:tc>
        <w:tc>
          <w:tcPr>
            <w:tcW w:w="6580" w:type="dxa"/>
            <w:tcBorders>
              <w:top w:val="nil"/>
              <w:left w:val="nil"/>
              <w:bottom w:val="single" w:sz="4" w:space="0" w:color="auto"/>
              <w:right w:val="single" w:sz="4" w:space="0" w:color="auto"/>
            </w:tcBorders>
            <w:shd w:val="clear" w:color="auto" w:fill="auto"/>
            <w:vAlign w:val="center"/>
            <w:hideMark/>
          </w:tcPr>
          <w:p w14:paraId="68FEED4C" w14:textId="77777777" w:rsidR="004F561A" w:rsidRDefault="004F561A" w:rsidP="00121CC1">
            <w:pPr>
              <w:rPr>
                <w:rFonts w:ascii="Arial Narrow" w:hAnsi="Arial Narrow" w:cs="Calibri"/>
                <w:sz w:val="20"/>
                <w:szCs w:val="20"/>
              </w:rPr>
            </w:pPr>
            <w:r>
              <w:rPr>
                <w:rFonts w:ascii="Arial Narrow" w:hAnsi="Arial Narrow" w:cs="Calibri"/>
                <w:sz w:val="20"/>
                <w:szCs w:val="20"/>
              </w:rPr>
              <w:t xml:space="preserve">Помощ за реализирането на доброволно поети ангажименти за хуманно отношение към свинете </w:t>
            </w:r>
          </w:p>
        </w:tc>
        <w:tc>
          <w:tcPr>
            <w:tcW w:w="1660" w:type="dxa"/>
            <w:tcBorders>
              <w:top w:val="nil"/>
              <w:left w:val="nil"/>
              <w:bottom w:val="single" w:sz="4" w:space="0" w:color="auto"/>
              <w:right w:val="single" w:sz="4" w:space="0" w:color="auto"/>
            </w:tcBorders>
            <w:shd w:val="clear" w:color="auto" w:fill="auto"/>
            <w:vAlign w:val="center"/>
            <w:hideMark/>
          </w:tcPr>
          <w:p w14:paraId="16E269A2" w14:textId="77777777" w:rsidR="004F561A" w:rsidRDefault="004F561A" w:rsidP="00121CC1">
            <w:pPr>
              <w:jc w:val="right"/>
              <w:rPr>
                <w:rFonts w:ascii="Arial Narrow" w:hAnsi="Arial Narrow" w:cs="Calibri"/>
                <w:sz w:val="20"/>
                <w:szCs w:val="20"/>
              </w:rPr>
            </w:pPr>
            <w:r>
              <w:rPr>
                <w:rFonts w:ascii="Arial Narrow" w:hAnsi="Arial Narrow" w:cs="Calibri"/>
                <w:sz w:val="20"/>
                <w:szCs w:val="20"/>
              </w:rPr>
              <w:t>41 915 068</w:t>
            </w:r>
          </w:p>
        </w:tc>
        <w:tc>
          <w:tcPr>
            <w:tcW w:w="1660" w:type="dxa"/>
            <w:tcBorders>
              <w:top w:val="nil"/>
              <w:left w:val="nil"/>
              <w:bottom w:val="single" w:sz="4" w:space="0" w:color="auto"/>
              <w:right w:val="single" w:sz="4" w:space="0" w:color="auto"/>
            </w:tcBorders>
            <w:shd w:val="clear" w:color="auto" w:fill="auto"/>
            <w:vAlign w:val="center"/>
            <w:hideMark/>
          </w:tcPr>
          <w:p w14:paraId="06FB2A58" w14:textId="77777777" w:rsidR="004F561A" w:rsidRDefault="004F561A" w:rsidP="00121CC1">
            <w:pPr>
              <w:jc w:val="right"/>
              <w:rPr>
                <w:rFonts w:ascii="Arial Narrow" w:hAnsi="Arial Narrow" w:cs="Calibri"/>
                <w:sz w:val="20"/>
                <w:szCs w:val="20"/>
              </w:rPr>
            </w:pPr>
            <w:r>
              <w:rPr>
                <w:rFonts w:ascii="Arial Narrow" w:hAnsi="Arial Narrow" w:cs="Calibri"/>
                <w:sz w:val="20"/>
                <w:szCs w:val="20"/>
              </w:rPr>
              <w:t>62</w:t>
            </w:r>
          </w:p>
        </w:tc>
      </w:tr>
      <w:tr w:rsidR="004F561A" w14:paraId="475BAE27" w14:textId="77777777" w:rsidTr="00121CC1">
        <w:trPr>
          <w:trHeight w:val="510"/>
        </w:trPr>
        <w:tc>
          <w:tcPr>
            <w:tcW w:w="460" w:type="dxa"/>
            <w:tcBorders>
              <w:top w:val="nil"/>
              <w:left w:val="single" w:sz="4" w:space="0" w:color="auto"/>
              <w:bottom w:val="single" w:sz="4" w:space="0" w:color="auto"/>
              <w:right w:val="single" w:sz="4" w:space="0" w:color="auto"/>
            </w:tcBorders>
            <w:shd w:val="clear" w:color="auto" w:fill="auto"/>
            <w:vAlign w:val="center"/>
            <w:hideMark/>
          </w:tcPr>
          <w:p w14:paraId="0D3BF7C2" w14:textId="77777777" w:rsidR="004F561A" w:rsidRDefault="004F561A" w:rsidP="00121CC1">
            <w:pPr>
              <w:jc w:val="center"/>
              <w:rPr>
                <w:rFonts w:ascii="Arial Narrow" w:hAnsi="Arial Narrow" w:cs="Calibri"/>
                <w:sz w:val="20"/>
                <w:szCs w:val="20"/>
              </w:rPr>
            </w:pPr>
            <w:r>
              <w:rPr>
                <w:rFonts w:ascii="Arial Narrow" w:hAnsi="Arial Narrow" w:cs="Calibri"/>
                <w:sz w:val="20"/>
                <w:szCs w:val="20"/>
              </w:rPr>
              <w:t>5</w:t>
            </w:r>
          </w:p>
        </w:tc>
        <w:tc>
          <w:tcPr>
            <w:tcW w:w="6580" w:type="dxa"/>
            <w:tcBorders>
              <w:top w:val="nil"/>
              <w:left w:val="nil"/>
              <w:bottom w:val="single" w:sz="4" w:space="0" w:color="auto"/>
              <w:right w:val="single" w:sz="4" w:space="0" w:color="auto"/>
            </w:tcBorders>
            <w:shd w:val="clear" w:color="auto" w:fill="auto"/>
            <w:vAlign w:val="center"/>
            <w:hideMark/>
          </w:tcPr>
          <w:p w14:paraId="509C860C" w14:textId="77777777" w:rsidR="004F561A" w:rsidRDefault="004F561A" w:rsidP="00121CC1">
            <w:pPr>
              <w:rPr>
                <w:rFonts w:ascii="Arial Narrow" w:hAnsi="Arial Narrow" w:cs="Calibri"/>
                <w:sz w:val="20"/>
                <w:szCs w:val="20"/>
              </w:rPr>
            </w:pPr>
            <w:r>
              <w:rPr>
                <w:rFonts w:ascii="Arial Narrow" w:hAnsi="Arial Narrow" w:cs="Calibri"/>
                <w:sz w:val="20"/>
                <w:szCs w:val="20"/>
              </w:rPr>
              <w:t>Помощ за реализирането на доброволно поети ангажименти за хуманно отношение към птиците</w:t>
            </w:r>
          </w:p>
        </w:tc>
        <w:tc>
          <w:tcPr>
            <w:tcW w:w="1660" w:type="dxa"/>
            <w:tcBorders>
              <w:top w:val="nil"/>
              <w:left w:val="nil"/>
              <w:bottom w:val="single" w:sz="4" w:space="0" w:color="auto"/>
              <w:right w:val="single" w:sz="4" w:space="0" w:color="auto"/>
            </w:tcBorders>
            <w:shd w:val="clear" w:color="auto" w:fill="auto"/>
            <w:vAlign w:val="center"/>
            <w:hideMark/>
          </w:tcPr>
          <w:p w14:paraId="1FCF5985" w14:textId="77777777" w:rsidR="004F561A" w:rsidRDefault="004F561A" w:rsidP="00121CC1">
            <w:pPr>
              <w:jc w:val="right"/>
              <w:rPr>
                <w:rFonts w:ascii="Arial Narrow" w:hAnsi="Arial Narrow" w:cs="Calibri"/>
                <w:sz w:val="20"/>
                <w:szCs w:val="20"/>
              </w:rPr>
            </w:pPr>
            <w:r>
              <w:rPr>
                <w:rFonts w:ascii="Arial Narrow" w:hAnsi="Arial Narrow" w:cs="Calibri"/>
                <w:sz w:val="20"/>
                <w:szCs w:val="20"/>
              </w:rPr>
              <w:t>39 244 685</w:t>
            </w:r>
          </w:p>
        </w:tc>
        <w:tc>
          <w:tcPr>
            <w:tcW w:w="1660" w:type="dxa"/>
            <w:tcBorders>
              <w:top w:val="nil"/>
              <w:left w:val="nil"/>
              <w:bottom w:val="single" w:sz="4" w:space="0" w:color="auto"/>
              <w:right w:val="single" w:sz="4" w:space="0" w:color="auto"/>
            </w:tcBorders>
            <w:shd w:val="clear" w:color="auto" w:fill="auto"/>
            <w:vAlign w:val="center"/>
            <w:hideMark/>
          </w:tcPr>
          <w:p w14:paraId="70AA1104" w14:textId="77777777" w:rsidR="004F561A" w:rsidRDefault="004F561A" w:rsidP="00121CC1">
            <w:pPr>
              <w:jc w:val="right"/>
              <w:rPr>
                <w:rFonts w:ascii="Arial Narrow" w:hAnsi="Arial Narrow" w:cs="Calibri"/>
                <w:sz w:val="20"/>
                <w:szCs w:val="20"/>
              </w:rPr>
            </w:pPr>
            <w:r>
              <w:rPr>
                <w:rFonts w:ascii="Arial Narrow" w:hAnsi="Arial Narrow" w:cs="Calibri"/>
                <w:sz w:val="20"/>
                <w:szCs w:val="20"/>
              </w:rPr>
              <w:t>252</w:t>
            </w:r>
          </w:p>
        </w:tc>
      </w:tr>
      <w:tr w:rsidR="004F561A" w14:paraId="06C6C822" w14:textId="77777777" w:rsidTr="00121CC1">
        <w:trPr>
          <w:trHeight w:val="510"/>
        </w:trPr>
        <w:tc>
          <w:tcPr>
            <w:tcW w:w="460" w:type="dxa"/>
            <w:tcBorders>
              <w:top w:val="nil"/>
              <w:left w:val="single" w:sz="4" w:space="0" w:color="auto"/>
              <w:bottom w:val="single" w:sz="4" w:space="0" w:color="auto"/>
              <w:right w:val="single" w:sz="4" w:space="0" w:color="auto"/>
            </w:tcBorders>
            <w:shd w:val="clear" w:color="auto" w:fill="auto"/>
            <w:vAlign w:val="center"/>
            <w:hideMark/>
          </w:tcPr>
          <w:p w14:paraId="2334F6FF" w14:textId="77777777" w:rsidR="004F561A" w:rsidRDefault="004F561A" w:rsidP="00121CC1">
            <w:pPr>
              <w:jc w:val="center"/>
              <w:rPr>
                <w:rFonts w:ascii="Arial Narrow" w:hAnsi="Arial Narrow" w:cs="Calibri"/>
                <w:sz w:val="20"/>
                <w:szCs w:val="20"/>
              </w:rPr>
            </w:pPr>
            <w:r>
              <w:rPr>
                <w:rFonts w:ascii="Arial Narrow" w:hAnsi="Arial Narrow" w:cs="Calibri"/>
                <w:sz w:val="20"/>
                <w:szCs w:val="20"/>
              </w:rPr>
              <w:t>6</w:t>
            </w:r>
          </w:p>
        </w:tc>
        <w:tc>
          <w:tcPr>
            <w:tcW w:w="6580" w:type="dxa"/>
            <w:tcBorders>
              <w:top w:val="nil"/>
              <w:left w:val="nil"/>
              <w:bottom w:val="single" w:sz="4" w:space="0" w:color="auto"/>
              <w:right w:val="single" w:sz="4" w:space="0" w:color="auto"/>
            </w:tcBorders>
            <w:shd w:val="clear" w:color="auto" w:fill="auto"/>
            <w:vAlign w:val="center"/>
            <w:hideMark/>
          </w:tcPr>
          <w:p w14:paraId="41F44C89" w14:textId="77777777" w:rsidR="004F561A" w:rsidRDefault="004F561A" w:rsidP="00121CC1">
            <w:pPr>
              <w:rPr>
                <w:rFonts w:ascii="Arial Narrow" w:hAnsi="Arial Narrow" w:cs="Calibri"/>
                <w:sz w:val="20"/>
                <w:szCs w:val="20"/>
              </w:rPr>
            </w:pPr>
            <w:r>
              <w:rPr>
                <w:rFonts w:ascii="Arial Narrow" w:hAnsi="Arial Narrow" w:cs="Calibri"/>
                <w:sz w:val="20"/>
                <w:szCs w:val="20"/>
              </w:rPr>
              <w:t>Помощ за компенсиране на разходите при отстраняване и унищожаване на мъртви животни-по помощта доставчиците на услуги са 2 бр. инсинератори</w:t>
            </w:r>
          </w:p>
        </w:tc>
        <w:tc>
          <w:tcPr>
            <w:tcW w:w="1660" w:type="dxa"/>
            <w:tcBorders>
              <w:top w:val="nil"/>
              <w:left w:val="nil"/>
              <w:bottom w:val="single" w:sz="4" w:space="0" w:color="auto"/>
              <w:right w:val="single" w:sz="4" w:space="0" w:color="auto"/>
            </w:tcBorders>
            <w:shd w:val="clear" w:color="auto" w:fill="auto"/>
            <w:vAlign w:val="center"/>
            <w:hideMark/>
          </w:tcPr>
          <w:p w14:paraId="5428EA93" w14:textId="77777777" w:rsidR="004F561A" w:rsidRDefault="004F561A" w:rsidP="00121CC1">
            <w:pPr>
              <w:jc w:val="right"/>
              <w:rPr>
                <w:rFonts w:ascii="Arial Narrow" w:hAnsi="Arial Narrow" w:cs="Calibri"/>
                <w:sz w:val="20"/>
                <w:szCs w:val="20"/>
              </w:rPr>
            </w:pPr>
            <w:r>
              <w:rPr>
                <w:rFonts w:ascii="Arial Narrow" w:hAnsi="Arial Narrow" w:cs="Calibri"/>
                <w:sz w:val="20"/>
                <w:szCs w:val="20"/>
              </w:rPr>
              <w:t>26 000 000</w:t>
            </w:r>
          </w:p>
        </w:tc>
        <w:tc>
          <w:tcPr>
            <w:tcW w:w="1660" w:type="dxa"/>
            <w:tcBorders>
              <w:top w:val="nil"/>
              <w:left w:val="nil"/>
              <w:bottom w:val="single" w:sz="4" w:space="0" w:color="auto"/>
              <w:right w:val="single" w:sz="4" w:space="0" w:color="auto"/>
            </w:tcBorders>
            <w:shd w:val="clear" w:color="auto" w:fill="auto"/>
            <w:vAlign w:val="center"/>
            <w:hideMark/>
          </w:tcPr>
          <w:p w14:paraId="40BBFC31" w14:textId="77777777" w:rsidR="004F561A" w:rsidRDefault="004F561A" w:rsidP="00121CC1">
            <w:pPr>
              <w:jc w:val="right"/>
              <w:rPr>
                <w:rFonts w:ascii="Arial Narrow" w:hAnsi="Arial Narrow" w:cs="Calibri"/>
                <w:sz w:val="20"/>
                <w:szCs w:val="20"/>
              </w:rPr>
            </w:pPr>
            <w:r>
              <w:rPr>
                <w:rFonts w:ascii="Arial Narrow" w:hAnsi="Arial Narrow" w:cs="Calibri"/>
                <w:sz w:val="20"/>
                <w:szCs w:val="20"/>
              </w:rPr>
              <w:t>2</w:t>
            </w:r>
          </w:p>
        </w:tc>
      </w:tr>
      <w:tr w:rsidR="004F561A" w14:paraId="38028CBC" w14:textId="77777777" w:rsidTr="00121CC1">
        <w:trPr>
          <w:trHeight w:val="765"/>
        </w:trPr>
        <w:tc>
          <w:tcPr>
            <w:tcW w:w="460" w:type="dxa"/>
            <w:tcBorders>
              <w:top w:val="nil"/>
              <w:left w:val="single" w:sz="4" w:space="0" w:color="auto"/>
              <w:bottom w:val="single" w:sz="4" w:space="0" w:color="auto"/>
              <w:right w:val="single" w:sz="4" w:space="0" w:color="auto"/>
            </w:tcBorders>
            <w:shd w:val="clear" w:color="auto" w:fill="auto"/>
            <w:vAlign w:val="center"/>
            <w:hideMark/>
          </w:tcPr>
          <w:p w14:paraId="12F87C26" w14:textId="77777777" w:rsidR="004F561A" w:rsidRDefault="004F561A" w:rsidP="00121CC1">
            <w:pPr>
              <w:jc w:val="center"/>
              <w:rPr>
                <w:rFonts w:ascii="Arial Narrow" w:hAnsi="Arial Narrow" w:cs="Calibri"/>
                <w:sz w:val="20"/>
                <w:szCs w:val="20"/>
              </w:rPr>
            </w:pPr>
            <w:r>
              <w:rPr>
                <w:rFonts w:ascii="Arial Narrow" w:hAnsi="Arial Narrow" w:cs="Calibri"/>
                <w:sz w:val="20"/>
                <w:szCs w:val="20"/>
              </w:rPr>
              <w:t>7</w:t>
            </w:r>
          </w:p>
        </w:tc>
        <w:tc>
          <w:tcPr>
            <w:tcW w:w="6580" w:type="dxa"/>
            <w:tcBorders>
              <w:top w:val="nil"/>
              <w:left w:val="nil"/>
              <w:bottom w:val="single" w:sz="4" w:space="0" w:color="auto"/>
              <w:right w:val="single" w:sz="4" w:space="0" w:color="auto"/>
            </w:tcBorders>
            <w:shd w:val="clear" w:color="auto" w:fill="auto"/>
            <w:vAlign w:val="center"/>
            <w:hideMark/>
          </w:tcPr>
          <w:p w14:paraId="61BF6F55" w14:textId="77777777" w:rsidR="004F561A" w:rsidRDefault="004F561A" w:rsidP="00121CC1">
            <w:pPr>
              <w:rPr>
                <w:rFonts w:ascii="Arial Narrow" w:hAnsi="Arial Narrow" w:cs="Calibri"/>
                <w:sz w:val="20"/>
                <w:szCs w:val="20"/>
              </w:rPr>
            </w:pPr>
            <w:r>
              <w:rPr>
                <w:rFonts w:ascii="Arial Narrow" w:hAnsi="Arial Narrow" w:cs="Calibri"/>
                <w:sz w:val="20"/>
                <w:szCs w:val="20"/>
              </w:rPr>
              <w:t>Помощ за компенсиране на щетите по земеделските култури, причинени от неблагоприятни климатични събития, които могат да бъдат приравнени на природни бедствия от август до октомври 2023 г.</w:t>
            </w:r>
          </w:p>
        </w:tc>
        <w:tc>
          <w:tcPr>
            <w:tcW w:w="1660" w:type="dxa"/>
            <w:tcBorders>
              <w:top w:val="nil"/>
              <w:left w:val="nil"/>
              <w:bottom w:val="single" w:sz="4" w:space="0" w:color="auto"/>
              <w:right w:val="single" w:sz="4" w:space="0" w:color="auto"/>
            </w:tcBorders>
            <w:shd w:val="clear" w:color="auto" w:fill="auto"/>
            <w:vAlign w:val="center"/>
            <w:hideMark/>
          </w:tcPr>
          <w:p w14:paraId="081EEC32" w14:textId="77777777" w:rsidR="004F561A" w:rsidRDefault="004F561A" w:rsidP="00121CC1">
            <w:pPr>
              <w:jc w:val="right"/>
              <w:rPr>
                <w:rFonts w:ascii="Arial Narrow" w:hAnsi="Arial Narrow" w:cs="Calibri"/>
                <w:sz w:val="20"/>
                <w:szCs w:val="20"/>
              </w:rPr>
            </w:pPr>
            <w:r>
              <w:rPr>
                <w:rFonts w:ascii="Arial Narrow" w:hAnsi="Arial Narrow" w:cs="Calibri"/>
                <w:sz w:val="20"/>
                <w:szCs w:val="20"/>
              </w:rPr>
              <w:t>2 629 527</w:t>
            </w:r>
          </w:p>
        </w:tc>
        <w:tc>
          <w:tcPr>
            <w:tcW w:w="1660" w:type="dxa"/>
            <w:tcBorders>
              <w:top w:val="nil"/>
              <w:left w:val="nil"/>
              <w:bottom w:val="single" w:sz="4" w:space="0" w:color="auto"/>
              <w:right w:val="single" w:sz="4" w:space="0" w:color="auto"/>
            </w:tcBorders>
            <w:shd w:val="clear" w:color="auto" w:fill="auto"/>
            <w:vAlign w:val="center"/>
            <w:hideMark/>
          </w:tcPr>
          <w:p w14:paraId="2557E540" w14:textId="77777777" w:rsidR="004F561A" w:rsidRDefault="004F561A" w:rsidP="00121CC1">
            <w:pPr>
              <w:jc w:val="right"/>
              <w:rPr>
                <w:rFonts w:ascii="Arial Narrow" w:hAnsi="Arial Narrow" w:cs="Calibri"/>
                <w:sz w:val="20"/>
                <w:szCs w:val="20"/>
              </w:rPr>
            </w:pPr>
            <w:r>
              <w:rPr>
                <w:rFonts w:ascii="Arial Narrow" w:hAnsi="Arial Narrow" w:cs="Calibri"/>
                <w:sz w:val="20"/>
                <w:szCs w:val="20"/>
              </w:rPr>
              <w:t>206</w:t>
            </w:r>
          </w:p>
        </w:tc>
      </w:tr>
      <w:tr w:rsidR="004F561A" w14:paraId="0F9E6C1D" w14:textId="77777777" w:rsidTr="00121CC1">
        <w:trPr>
          <w:trHeight w:val="765"/>
        </w:trPr>
        <w:tc>
          <w:tcPr>
            <w:tcW w:w="460" w:type="dxa"/>
            <w:tcBorders>
              <w:top w:val="nil"/>
              <w:left w:val="single" w:sz="4" w:space="0" w:color="auto"/>
              <w:bottom w:val="single" w:sz="4" w:space="0" w:color="auto"/>
              <w:right w:val="single" w:sz="4" w:space="0" w:color="auto"/>
            </w:tcBorders>
            <w:shd w:val="clear" w:color="auto" w:fill="auto"/>
            <w:vAlign w:val="center"/>
            <w:hideMark/>
          </w:tcPr>
          <w:p w14:paraId="54DDE2E2" w14:textId="77777777" w:rsidR="004F561A" w:rsidRDefault="004F561A" w:rsidP="00121CC1">
            <w:pPr>
              <w:jc w:val="center"/>
              <w:rPr>
                <w:rFonts w:ascii="Arial Narrow" w:hAnsi="Arial Narrow" w:cs="Calibri"/>
                <w:sz w:val="20"/>
                <w:szCs w:val="20"/>
              </w:rPr>
            </w:pPr>
            <w:r>
              <w:rPr>
                <w:rFonts w:ascii="Arial Narrow" w:hAnsi="Arial Narrow" w:cs="Calibri"/>
                <w:sz w:val="20"/>
                <w:szCs w:val="20"/>
              </w:rPr>
              <w:t>8</w:t>
            </w:r>
          </w:p>
        </w:tc>
        <w:tc>
          <w:tcPr>
            <w:tcW w:w="6580" w:type="dxa"/>
            <w:tcBorders>
              <w:top w:val="nil"/>
              <w:left w:val="nil"/>
              <w:bottom w:val="single" w:sz="4" w:space="0" w:color="auto"/>
              <w:right w:val="single" w:sz="4" w:space="0" w:color="auto"/>
            </w:tcBorders>
            <w:shd w:val="clear" w:color="auto" w:fill="auto"/>
            <w:vAlign w:val="center"/>
            <w:hideMark/>
          </w:tcPr>
          <w:p w14:paraId="5F55E918" w14:textId="77777777" w:rsidR="004F561A" w:rsidRDefault="004F561A" w:rsidP="00121CC1">
            <w:pPr>
              <w:rPr>
                <w:rFonts w:ascii="Arial Narrow" w:hAnsi="Arial Narrow" w:cs="Calibri"/>
                <w:sz w:val="20"/>
                <w:szCs w:val="20"/>
              </w:rPr>
            </w:pPr>
            <w:r>
              <w:rPr>
                <w:rFonts w:ascii="Arial Narrow" w:hAnsi="Arial Narrow" w:cs="Calibri"/>
                <w:sz w:val="20"/>
                <w:szCs w:val="20"/>
              </w:rPr>
              <w:t>Помощ за компенсиране на щетите по земеделските култури, причинени от неблагоприятни климатични събития, които могат да бъдат приравнени на природни бедствия от 2022 г.</w:t>
            </w:r>
          </w:p>
        </w:tc>
        <w:tc>
          <w:tcPr>
            <w:tcW w:w="1660" w:type="dxa"/>
            <w:tcBorders>
              <w:top w:val="nil"/>
              <w:left w:val="nil"/>
              <w:bottom w:val="single" w:sz="4" w:space="0" w:color="auto"/>
              <w:right w:val="single" w:sz="4" w:space="0" w:color="auto"/>
            </w:tcBorders>
            <w:shd w:val="clear" w:color="auto" w:fill="auto"/>
            <w:vAlign w:val="center"/>
            <w:hideMark/>
          </w:tcPr>
          <w:p w14:paraId="7DDC1442" w14:textId="77777777" w:rsidR="004F561A" w:rsidRDefault="004F561A" w:rsidP="00121CC1">
            <w:pPr>
              <w:jc w:val="right"/>
              <w:rPr>
                <w:rFonts w:ascii="Arial Narrow" w:hAnsi="Arial Narrow" w:cs="Calibri"/>
                <w:sz w:val="20"/>
                <w:szCs w:val="20"/>
              </w:rPr>
            </w:pPr>
            <w:r>
              <w:rPr>
                <w:rFonts w:ascii="Arial Narrow" w:hAnsi="Arial Narrow" w:cs="Calibri"/>
                <w:sz w:val="20"/>
                <w:szCs w:val="20"/>
              </w:rPr>
              <w:t>261 421</w:t>
            </w:r>
          </w:p>
        </w:tc>
        <w:tc>
          <w:tcPr>
            <w:tcW w:w="1660" w:type="dxa"/>
            <w:tcBorders>
              <w:top w:val="nil"/>
              <w:left w:val="nil"/>
              <w:bottom w:val="single" w:sz="4" w:space="0" w:color="auto"/>
              <w:right w:val="single" w:sz="4" w:space="0" w:color="auto"/>
            </w:tcBorders>
            <w:shd w:val="clear" w:color="auto" w:fill="auto"/>
            <w:vAlign w:val="center"/>
            <w:hideMark/>
          </w:tcPr>
          <w:p w14:paraId="7F02204F" w14:textId="77777777" w:rsidR="004F561A" w:rsidRDefault="004F561A" w:rsidP="00121CC1">
            <w:pPr>
              <w:jc w:val="right"/>
              <w:rPr>
                <w:rFonts w:ascii="Arial Narrow" w:hAnsi="Arial Narrow" w:cs="Calibri"/>
                <w:sz w:val="20"/>
                <w:szCs w:val="20"/>
              </w:rPr>
            </w:pPr>
            <w:r>
              <w:rPr>
                <w:rFonts w:ascii="Arial Narrow" w:hAnsi="Arial Narrow" w:cs="Calibri"/>
                <w:sz w:val="20"/>
                <w:szCs w:val="20"/>
              </w:rPr>
              <w:t>9</w:t>
            </w:r>
          </w:p>
        </w:tc>
      </w:tr>
      <w:tr w:rsidR="004F561A" w14:paraId="777EE1B3" w14:textId="77777777" w:rsidTr="00121CC1">
        <w:trPr>
          <w:trHeight w:val="765"/>
        </w:trPr>
        <w:tc>
          <w:tcPr>
            <w:tcW w:w="460" w:type="dxa"/>
            <w:tcBorders>
              <w:top w:val="nil"/>
              <w:left w:val="single" w:sz="4" w:space="0" w:color="auto"/>
              <w:bottom w:val="single" w:sz="4" w:space="0" w:color="auto"/>
              <w:right w:val="single" w:sz="4" w:space="0" w:color="auto"/>
            </w:tcBorders>
            <w:shd w:val="clear" w:color="auto" w:fill="auto"/>
            <w:vAlign w:val="center"/>
            <w:hideMark/>
          </w:tcPr>
          <w:p w14:paraId="4BA6604A" w14:textId="77777777" w:rsidR="004F561A" w:rsidRDefault="004F561A" w:rsidP="00121CC1">
            <w:pPr>
              <w:jc w:val="center"/>
              <w:rPr>
                <w:rFonts w:ascii="Arial Narrow" w:hAnsi="Arial Narrow" w:cs="Calibri"/>
                <w:sz w:val="20"/>
                <w:szCs w:val="20"/>
              </w:rPr>
            </w:pPr>
            <w:r>
              <w:rPr>
                <w:rFonts w:ascii="Arial Narrow" w:hAnsi="Arial Narrow" w:cs="Calibri"/>
                <w:sz w:val="20"/>
                <w:szCs w:val="20"/>
              </w:rPr>
              <w:t>9</w:t>
            </w:r>
          </w:p>
        </w:tc>
        <w:tc>
          <w:tcPr>
            <w:tcW w:w="6580" w:type="dxa"/>
            <w:tcBorders>
              <w:top w:val="nil"/>
              <w:left w:val="nil"/>
              <w:bottom w:val="single" w:sz="4" w:space="0" w:color="auto"/>
              <w:right w:val="single" w:sz="4" w:space="0" w:color="auto"/>
            </w:tcBorders>
            <w:shd w:val="clear" w:color="auto" w:fill="auto"/>
            <w:vAlign w:val="center"/>
            <w:hideMark/>
          </w:tcPr>
          <w:p w14:paraId="48C8C2DC" w14:textId="77777777" w:rsidR="004F561A" w:rsidRDefault="004F561A" w:rsidP="00121CC1">
            <w:pPr>
              <w:rPr>
                <w:rFonts w:ascii="Arial Narrow" w:hAnsi="Arial Narrow" w:cs="Calibri"/>
                <w:sz w:val="20"/>
                <w:szCs w:val="20"/>
              </w:rPr>
            </w:pPr>
            <w:r>
              <w:rPr>
                <w:rFonts w:ascii="Arial Narrow" w:hAnsi="Arial Narrow" w:cs="Calibri"/>
                <w:sz w:val="20"/>
                <w:szCs w:val="20"/>
              </w:rPr>
              <w:t>Помощ за компенсиране на щетите по земеделските култури, причинени от неблагоприятни климатични събития, които могат да бъдат приравнени на природни бедствия до 31.07.2024 г.</w:t>
            </w:r>
          </w:p>
        </w:tc>
        <w:tc>
          <w:tcPr>
            <w:tcW w:w="1660" w:type="dxa"/>
            <w:tcBorders>
              <w:top w:val="nil"/>
              <w:left w:val="nil"/>
              <w:bottom w:val="single" w:sz="4" w:space="0" w:color="auto"/>
              <w:right w:val="single" w:sz="4" w:space="0" w:color="auto"/>
            </w:tcBorders>
            <w:shd w:val="clear" w:color="auto" w:fill="auto"/>
            <w:vAlign w:val="center"/>
            <w:hideMark/>
          </w:tcPr>
          <w:p w14:paraId="58E852CE" w14:textId="77777777" w:rsidR="004F561A" w:rsidRDefault="004F561A" w:rsidP="00121CC1">
            <w:pPr>
              <w:jc w:val="right"/>
              <w:rPr>
                <w:rFonts w:ascii="Arial Narrow" w:hAnsi="Arial Narrow" w:cs="Calibri"/>
                <w:sz w:val="20"/>
                <w:szCs w:val="20"/>
              </w:rPr>
            </w:pPr>
            <w:r>
              <w:rPr>
                <w:rFonts w:ascii="Arial Narrow" w:hAnsi="Arial Narrow" w:cs="Calibri"/>
                <w:sz w:val="20"/>
                <w:szCs w:val="20"/>
              </w:rPr>
              <w:t>5 494 018</w:t>
            </w:r>
          </w:p>
        </w:tc>
        <w:tc>
          <w:tcPr>
            <w:tcW w:w="1660" w:type="dxa"/>
            <w:tcBorders>
              <w:top w:val="nil"/>
              <w:left w:val="nil"/>
              <w:bottom w:val="single" w:sz="4" w:space="0" w:color="auto"/>
              <w:right w:val="single" w:sz="4" w:space="0" w:color="auto"/>
            </w:tcBorders>
            <w:shd w:val="clear" w:color="auto" w:fill="auto"/>
            <w:vAlign w:val="center"/>
            <w:hideMark/>
          </w:tcPr>
          <w:p w14:paraId="63BD7D5A" w14:textId="77777777" w:rsidR="004F561A" w:rsidRDefault="004F561A" w:rsidP="00121CC1">
            <w:pPr>
              <w:jc w:val="right"/>
              <w:rPr>
                <w:rFonts w:ascii="Arial Narrow" w:hAnsi="Arial Narrow" w:cs="Calibri"/>
                <w:sz w:val="20"/>
                <w:szCs w:val="20"/>
              </w:rPr>
            </w:pPr>
            <w:r>
              <w:rPr>
                <w:rFonts w:ascii="Arial Narrow" w:hAnsi="Arial Narrow" w:cs="Calibri"/>
                <w:sz w:val="20"/>
                <w:szCs w:val="20"/>
              </w:rPr>
              <w:t>384</w:t>
            </w:r>
          </w:p>
        </w:tc>
      </w:tr>
      <w:tr w:rsidR="004F561A" w14:paraId="0739B095" w14:textId="77777777" w:rsidTr="00121CC1">
        <w:trPr>
          <w:trHeight w:val="765"/>
        </w:trPr>
        <w:tc>
          <w:tcPr>
            <w:tcW w:w="460" w:type="dxa"/>
            <w:tcBorders>
              <w:top w:val="nil"/>
              <w:left w:val="single" w:sz="4" w:space="0" w:color="auto"/>
              <w:bottom w:val="single" w:sz="4" w:space="0" w:color="auto"/>
              <w:right w:val="single" w:sz="4" w:space="0" w:color="auto"/>
            </w:tcBorders>
            <w:shd w:val="clear" w:color="auto" w:fill="auto"/>
            <w:vAlign w:val="center"/>
            <w:hideMark/>
          </w:tcPr>
          <w:p w14:paraId="59A58178" w14:textId="77777777" w:rsidR="004F561A" w:rsidRDefault="004F561A" w:rsidP="00121CC1">
            <w:pPr>
              <w:jc w:val="center"/>
              <w:rPr>
                <w:rFonts w:ascii="Arial Narrow" w:hAnsi="Arial Narrow" w:cs="Calibri"/>
                <w:sz w:val="20"/>
                <w:szCs w:val="20"/>
              </w:rPr>
            </w:pPr>
            <w:r>
              <w:rPr>
                <w:rFonts w:ascii="Arial Narrow" w:hAnsi="Arial Narrow" w:cs="Calibri"/>
                <w:sz w:val="20"/>
                <w:szCs w:val="20"/>
              </w:rPr>
              <w:t>10</w:t>
            </w:r>
          </w:p>
        </w:tc>
        <w:tc>
          <w:tcPr>
            <w:tcW w:w="6580" w:type="dxa"/>
            <w:tcBorders>
              <w:top w:val="nil"/>
              <w:left w:val="nil"/>
              <w:bottom w:val="single" w:sz="4" w:space="0" w:color="auto"/>
              <w:right w:val="single" w:sz="4" w:space="0" w:color="auto"/>
            </w:tcBorders>
            <w:shd w:val="clear" w:color="auto" w:fill="auto"/>
            <w:vAlign w:val="center"/>
            <w:hideMark/>
          </w:tcPr>
          <w:p w14:paraId="3D64B2BC" w14:textId="77777777" w:rsidR="004F561A" w:rsidRDefault="004F561A" w:rsidP="00121CC1">
            <w:pPr>
              <w:rPr>
                <w:rFonts w:ascii="Arial Narrow" w:hAnsi="Arial Narrow" w:cs="Calibri"/>
                <w:sz w:val="20"/>
                <w:szCs w:val="20"/>
              </w:rPr>
            </w:pPr>
            <w:r>
              <w:rPr>
                <w:rFonts w:ascii="Arial Narrow" w:hAnsi="Arial Narrow" w:cs="Calibri"/>
                <w:sz w:val="20"/>
                <w:szCs w:val="20"/>
              </w:rPr>
              <w:t>Помощ за компенсиране разходите на земеделски производители, свързани с изпълнение на мерки по Националната програма за контрол на вредителите в трайните насаждения през зимния период</w:t>
            </w:r>
          </w:p>
        </w:tc>
        <w:tc>
          <w:tcPr>
            <w:tcW w:w="1660" w:type="dxa"/>
            <w:tcBorders>
              <w:top w:val="nil"/>
              <w:left w:val="nil"/>
              <w:bottom w:val="single" w:sz="4" w:space="0" w:color="auto"/>
              <w:right w:val="single" w:sz="4" w:space="0" w:color="auto"/>
            </w:tcBorders>
            <w:shd w:val="clear" w:color="auto" w:fill="auto"/>
            <w:vAlign w:val="center"/>
            <w:hideMark/>
          </w:tcPr>
          <w:p w14:paraId="5B299D7A" w14:textId="77777777" w:rsidR="004F561A" w:rsidRDefault="004F561A" w:rsidP="00121CC1">
            <w:pPr>
              <w:jc w:val="right"/>
              <w:rPr>
                <w:rFonts w:ascii="Arial Narrow" w:hAnsi="Arial Narrow" w:cs="Calibri"/>
                <w:sz w:val="20"/>
                <w:szCs w:val="20"/>
              </w:rPr>
            </w:pPr>
            <w:r>
              <w:rPr>
                <w:rFonts w:ascii="Arial Narrow" w:hAnsi="Arial Narrow" w:cs="Calibri"/>
                <w:sz w:val="20"/>
                <w:szCs w:val="20"/>
              </w:rPr>
              <w:t>8 706 794</w:t>
            </w:r>
          </w:p>
        </w:tc>
        <w:tc>
          <w:tcPr>
            <w:tcW w:w="1660" w:type="dxa"/>
            <w:tcBorders>
              <w:top w:val="nil"/>
              <w:left w:val="nil"/>
              <w:bottom w:val="single" w:sz="4" w:space="0" w:color="auto"/>
              <w:right w:val="single" w:sz="4" w:space="0" w:color="auto"/>
            </w:tcBorders>
            <w:shd w:val="clear" w:color="auto" w:fill="auto"/>
            <w:vAlign w:val="center"/>
            <w:hideMark/>
          </w:tcPr>
          <w:p w14:paraId="668B4096" w14:textId="77777777" w:rsidR="004F561A" w:rsidRDefault="004F561A" w:rsidP="00121CC1">
            <w:pPr>
              <w:jc w:val="right"/>
              <w:rPr>
                <w:rFonts w:ascii="Arial Narrow" w:hAnsi="Arial Narrow" w:cs="Calibri"/>
                <w:sz w:val="20"/>
                <w:szCs w:val="20"/>
              </w:rPr>
            </w:pPr>
            <w:r>
              <w:rPr>
                <w:rFonts w:ascii="Arial Narrow" w:hAnsi="Arial Narrow" w:cs="Calibri"/>
                <w:sz w:val="20"/>
                <w:szCs w:val="20"/>
              </w:rPr>
              <w:t>3 429</w:t>
            </w:r>
          </w:p>
        </w:tc>
      </w:tr>
      <w:tr w:rsidR="004F561A" w14:paraId="5BF73B6C" w14:textId="77777777" w:rsidTr="00121CC1">
        <w:trPr>
          <w:trHeight w:val="765"/>
        </w:trPr>
        <w:tc>
          <w:tcPr>
            <w:tcW w:w="460" w:type="dxa"/>
            <w:tcBorders>
              <w:top w:val="nil"/>
              <w:left w:val="single" w:sz="4" w:space="0" w:color="auto"/>
              <w:bottom w:val="single" w:sz="4" w:space="0" w:color="auto"/>
              <w:right w:val="single" w:sz="4" w:space="0" w:color="auto"/>
            </w:tcBorders>
            <w:shd w:val="clear" w:color="auto" w:fill="auto"/>
            <w:vAlign w:val="center"/>
            <w:hideMark/>
          </w:tcPr>
          <w:p w14:paraId="4B3801CB" w14:textId="77777777" w:rsidR="004F561A" w:rsidRDefault="004F561A" w:rsidP="00121CC1">
            <w:pPr>
              <w:jc w:val="center"/>
              <w:rPr>
                <w:rFonts w:ascii="Arial Narrow" w:hAnsi="Arial Narrow" w:cs="Calibri"/>
                <w:sz w:val="20"/>
                <w:szCs w:val="20"/>
              </w:rPr>
            </w:pPr>
            <w:r>
              <w:rPr>
                <w:rFonts w:ascii="Arial Narrow" w:hAnsi="Arial Narrow" w:cs="Calibri"/>
                <w:sz w:val="20"/>
                <w:szCs w:val="20"/>
              </w:rPr>
              <w:t>11</w:t>
            </w:r>
          </w:p>
        </w:tc>
        <w:tc>
          <w:tcPr>
            <w:tcW w:w="6580" w:type="dxa"/>
            <w:tcBorders>
              <w:top w:val="nil"/>
              <w:left w:val="nil"/>
              <w:bottom w:val="single" w:sz="4" w:space="0" w:color="auto"/>
              <w:right w:val="single" w:sz="4" w:space="0" w:color="auto"/>
            </w:tcBorders>
            <w:shd w:val="clear" w:color="auto" w:fill="auto"/>
            <w:vAlign w:val="center"/>
            <w:hideMark/>
          </w:tcPr>
          <w:p w14:paraId="3EA9B564" w14:textId="77777777" w:rsidR="004F561A" w:rsidRDefault="004F561A" w:rsidP="00121CC1">
            <w:pPr>
              <w:rPr>
                <w:rFonts w:ascii="Arial Narrow" w:hAnsi="Arial Narrow" w:cs="Calibri"/>
                <w:sz w:val="20"/>
                <w:szCs w:val="20"/>
              </w:rPr>
            </w:pPr>
            <w:r>
              <w:rPr>
                <w:rFonts w:ascii="Arial Narrow" w:hAnsi="Arial Narrow" w:cs="Calibri"/>
                <w:sz w:val="20"/>
                <w:szCs w:val="20"/>
              </w:rPr>
              <w:t>Помощ за компенсиране разходите на земеделски производители, свързани с изпълнение на мерки по Националната програма от мерки за контрол на Доматен миниращ молец</w:t>
            </w:r>
          </w:p>
        </w:tc>
        <w:tc>
          <w:tcPr>
            <w:tcW w:w="1660" w:type="dxa"/>
            <w:tcBorders>
              <w:top w:val="nil"/>
              <w:left w:val="nil"/>
              <w:bottom w:val="single" w:sz="4" w:space="0" w:color="auto"/>
              <w:right w:val="single" w:sz="4" w:space="0" w:color="auto"/>
            </w:tcBorders>
            <w:shd w:val="clear" w:color="auto" w:fill="auto"/>
            <w:vAlign w:val="center"/>
            <w:hideMark/>
          </w:tcPr>
          <w:p w14:paraId="0FA0A5B5" w14:textId="77777777" w:rsidR="004F561A" w:rsidRDefault="004F561A" w:rsidP="00121CC1">
            <w:pPr>
              <w:jc w:val="right"/>
              <w:rPr>
                <w:rFonts w:ascii="Arial Narrow" w:hAnsi="Arial Narrow" w:cs="Calibri"/>
                <w:sz w:val="20"/>
                <w:szCs w:val="20"/>
              </w:rPr>
            </w:pPr>
            <w:r>
              <w:rPr>
                <w:rFonts w:ascii="Arial Narrow" w:hAnsi="Arial Narrow" w:cs="Calibri"/>
                <w:sz w:val="20"/>
                <w:szCs w:val="20"/>
              </w:rPr>
              <w:t>379 968</w:t>
            </w:r>
          </w:p>
        </w:tc>
        <w:tc>
          <w:tcPr>
            <w:tcW w:w="1660" w:type="dxa"/>
            <w:tcBorders>
              <w:top w:val="nil"/>
              <w:left w:val="nil"/>
              <w:bottom w:val="single" w:sz="4" w:space="0" w:color="auto"/>
              <w:right w:val="single" w:sz="4" w:space="0" w:color="auto"/>
            </w:tcBorders>
            <w:shd w:val="clear" w:color="auto" w:fill="auto"/>
            <w:vAlign w:val="center"/>
            <w:hideMark/>
          </w:tcPr>
          <w:p w14:paraId="2101C535" w14:textId="77777777" w:rsidR="004F561A" w:rsidRDefault="004F561A" w:rsidP="00121CC1">
            <w:pPr>
              <w:jc w:val="right"/>
              <w:rPr>
                <w:rFonts w:ascii="Arial Narrow" w:hAnsi="Arial Narrow" w:cs="Calibri"/>
                <w:sz w:val="20"/>
                <w:szCs w:val="20"/>
              </w:rPr>
            </w:pPr>
            <w:r>
              <w:rPr>
                <w:rFonts w:ascii="Arial Narrow" w:hAnsi="Arial Narrow" w:cs="Calibri"/>
                <w:sz w:val="20"/>
                <w:szCs w:val="20"/>
              </w:rPr>
              <w:t>205</w:t>
            </w:r>
          </w:p>
        </w:tc>
      </w:tr>
      <w:tr w:rsidR="004F561A" w14:paraId="0B23E405" w14:textId="77777777" w:rsidTr="00121CC1">
        <w:trPr>
          <w:trHeight w:val="765"/>
        </w:trPr>
        <w:tc>
          <w:tcPr>
            <w:tcW w:w="460" w:type="dxa"/>
            <w:tcBorders>
              <w:top w:val="nil"/>
              <w:left w:val="single" w:sz="4" w:space="0" w:color="auto"/>
              <w:bottom w:val="single" w:sz="4" w:space="0" w:color="auto"/>
              <w:right w:val="single" w:sz="4" w:space="0" w:color="auto"/>
            </w:tcBorders>
            <w:shd w:val="clear" w:color="auto" w:fill="auto"/>
            <w:vAlign w:val="center"/>
            <w:hideMark/>
          </w:tcPr>
          <w:p w14:paraId="36AF8EC7" w14:textId="77777777" w:rsidR="004F561A" w:rsidRDefault="004F561A" w:rsidP="00121CC1">
            <w:pPr>
              <w:jc w:val="center"/>
              <w:rPr>
                <w:rFonts w:ascii="Arial Narrow" w:hAnsi="Arial Narrow" w:cs="Calibri"/>
                <w:sz w:val="20"/>
                <w:szCs w:val="20"/>
              </w:rPr>
            </w:pPr>
            <w:r>
              <w:rPr>
                <w:rFonts w:ascii="Arial Narrow" w:hAnsi="Arial Narrow" w:cs="Calibri"/>
                <w:sz w:val="20"/>
                <w:szCs w:val="20"/>
              </w:rPr>
              <w:t>12</w:t>
            </w:r>
          </w:p>
        </w:tc>
        <w:tc>
          <w:tcPr>
            <w:tcW w:w="6580" w:type="dxa"/>
            <w:tcBorders>
              <w:top w:val="nil"/>
              <w:left w:val="nil"/>
              <w:bottom w:val="single" w:sz="4" w:space="0" w:color="auto"/>
              <w:right w:val="single" w:sz="4" w:space="0" w:color="auto"/>
            </w:tcBorders>
            <w:shd w:val="clear" w:color="auto" w:fill="auto"/>
            <w:vAlign w:val="center"/>
            <w:hideMark/>
          </w:tcPr>
          <w:p w14:paraId="08053B64" w14:textId="77777777" w:rsidR="004F561A" w:rsidRDefault="004F561A" w:rsidP="00121CC1">
            <w:pPr>
              <w:rPr>
                <w:rFonts w:ascii="Arial Narrow" w:hAnsi="Arial Narrow" w:cs="Calibri"/>
                <w:sz w:val="20"/>
                <w:szCs w:val="20"/>
              </w:rPr>
            </w:pPr>
            <w:r>
              <w:rPr>
                <w:rFonts w:ascii="Arial Narrow" w:hAnsi="Arial Narrow" w:cs="Calibri"/>
                <w:sz w:val="20"/>
                <w:szCs w:val="20"/>
              </w:rPr>
              <w:t>Помощ за компенсиране разходите на земеделски производители, свързани с изпълнение на мерки по „Национална програма от мерки за контрол на почвени неприятели по картофите от сем. Телени червеи</w:t>
            </w:r>
          </w:p>
        </w:tc>
        <w:tc>
          <w:tcPr>
            <w:tcW w:w="1660" w:type="dxa"/>
            <w:tcBorders>
              <w:top w:val="nil"/>
              <w:left w:val="nil"/>
              <w:bottom w:val="single" w:sz="4" w:space="0" w:color="auto"/>
              <w:right w:val="single" w:sz="4" w:space="0" w:color="auto"/>
            </w:tcBorders>
            <w:shd w:val="clear" w:color="auto" w:fill="auto"/>
            <w:vAlign w:val="center"/>
            <w:hideMark/>
          </w:tcPr>
          <w:p w14:paraId="4BC42FAA" w14:textId="77777777" w:rsidR="004F561A" w:rsidRDefault="004F561A" w:rsidP="00121CC1">
            <w:pPr>
              <w:jc w:val="right"/>
              <w:rPr>
                <w:rFonts w:ascii="Arial Narrow" w:hAnsi="Arial Narrow" w:cs="Calibri"/>
                <w:sz w:val="20"/>
                <w:szCs w:val="20"/>
              </w:rPr>
            </w:pPr>
            <w:r>
              <w:rPr>
                <w:rFonts w:ascii="Arial Narrow" w:hAnsi="Arial Narrow" w:cs="Calibri"/>
                <w:sz w:val="20"/>
                <w:szCs w:val="20"/>
              </w:rPr>
              <w:t>1 312 657</w:t>
            </w:r>
          </w:p>
        </w:tc>
        <w:tc>
          <w:tcPr>
            <w:tcW w:w="1660" w:type="dxa"/>
            <w:tcBorders>
              <w:top w:val="nil"/>
              <w:left w:val="nil"/>
              <w:bottom w:val="single" w:sz="4" w:space="0" w:color="auto"/>
              <w:right w:val="single" w:sz="4" w:space="0" w:color="auto"/>
            </w:tcBorders>
            <w:shd w:val="clear" w:color="auto" w:fill="auto"/>
            <w:vAlign w:val="center"/>
            <w:hideMark/>
          </w:tcPr>
          <w:p w14:paraId="40655969" w14:textId="77777777" w:rsidR="004F561A" w:rsidRDefault="004F561A" w:rsidP="00121CC1">
            <w:pPr>
              <w:jc w:val="right"/>
              <w:rPr>
                <w:rFonts w:ascii="Arial Narrow" w:hAnsi="Arial Narrow" w:cs="Calibri"/>
                <w:sz w:val="20"/>
                <w:szCs w:val="20"/>
              </w:rPr>
            </w:pPr>
            <w:r>
              <w:rPr>
                <w:rFonts w:ascii="Arial Narrow" w:hAnsi="Arial Narrow" w:cs="Calibri"/>
                <w:sz w:val="20"/>
                <w:szCs w:val="20"/>
              </w:rPr>
              <w:t>274</w:t>
            </w:r>
          </w:p>
        </w:tc>
      </w:tr>
      <w:tr w:rsidR="004F561A" w14:paraId="744F4200" w14:textId="77777777" w:rsidTr="00121CC1">
        <w:trPr>
          <w:trHeight w:val="510"/>
        </w:trPr>
        <w:tc>
          <w:tcPr>
            <w:tcW w:w="460" w:type="dxa"/>
            <w:tcBorders>
              <w:top w:val="nil"/>
              <w:left w:val="single" w:sz="4" w:space="0" w:color="auto"/>
              <w:bottom w:val="single" w:sz="4" w:space="0" w:color="auto"/>
              <w:right w:val="single" w:sz="4" w:space="0" w:color="auto"/>
            </w:tcBorders>
            <w:shd w:val="clear" w:color="auto" w:fill="auto"/>
            <w:vAlign w:val="center"/>
            <w:hideMark/>
          </w:tcPr>
          <w:p w14:paraId="7AEF433E" w14:textId="77777777" w:rsidR="004F561A" w:rsidRDefault="004F561A" w:rsidP="00121CC1">
            <w:pPr>
              <w:jc w:val="center"/>
              <w:rPr>
                <w:rFonts w:ascii="Arial Narrow" w:hAnsi="Arial Narrow" w:cs="Calibri"/>
                <w:sz w:val="20"/>
                <w:szCs w:val="20"/>
              </w:rPr>
            </w:pPr>
            <w:r>
              <w:rPr>
                <w:rFonts w:ascii="Arial Narrow" w:hAnsi="Arial Narrow" w:cs="Calibri"/>
                <w:sz w:val="20"/>
                <w:szCs w:val="20"/>
              </w:rPr>
              <w:t>13</w:t>
            </w:r>
          </w:p>
        </w:tc>
        <w:tc>
          <w:tcPr>
            <w:tcW w:w="6580" w:type="dxa"/>
            <w:tcBorders>
              <w:top w:val="nil"/>
              <w:left w:val="nil"/>
              <w:bottom w:val="single" w:sz="4" w:space="0" w:color="auto"/>
              <w:right w:val="single" w:sz="4" w:space="0" w:color="auto"/>
            </w:tcBorders>
            <w:shd w:val="clear" w:color="auto" w:fill="auto"/>
            <w:vAlign w:val="center"/>
            <w:hideMark/>
          </w:tcPr>
          <w:p w14:paraId="47F3A0E7" w14:textId="77777777" w:rsidR="004F561A" w:rsidRDefault="004F561A" w:rsidP="00121CC1">
            <w:pPr>
              <w:rPr>
                <w:rFonts w:ascii="Arial Narrow" w:hAnsi="Arial Narrow" w:cs="Calibri"/>
                <w:sz w:val="20"/>
                <w:szCs w:val="20"/>
              </w:rPr>
            </w:pPr>
            <w:r>
              <w:rPr>
                <w:rFonts w:ascii="Arial Narrow" w:hAnsi="Arial Narrow" w:cs="Calibri"/>
                <w:sz w:val="20"/>
                <w:szCs w:val="20"/>
              </w:rPr>
              <w:t>Помощ за съфинансиране на застрахователни премии при застраховане на селскостопанска продукция</w:t>
            </w:r>
          </w:p>
        </w:tc>
        <w:tc>
          <w:tcPr>
            <w:tcW w:w="1660" w:type="dxa"/>
            <w:tcBorders>
              <w:top w:val="nil"/>
              <w:left w:val="nil"/>
              <w:bottom w:val="single" w:sz="4" w:space="0" w:color="auto"/>
              <w:right w:val="single" w:sz="4" w:space="0" w:color="auto"/>
            </w:tcBorders>
            <w:shd w:val="clear" w:color="auto" w:fill="auto"/>
            <w:vAlign w:val="center"/>
            <w:hideMark/>
          </w:tcPr>
          <w:p w14:paraId="68708FAA" w14:textId="77777777" w:rsidR="004F561A" w:rsidRDefault="004F561A" w:rsidP="00121CC1">
            <w:pPr>
              <w:jc w:val="right"/>
              <w:rPr>
                <w:rFonts w:ascii="Arial Narrow" w:hAnsi="Arial Narrow" w:cs="Calibri"/>
                <w:sz w:val="20"/>
                <w:szCs w:val="20"/>
              </w:rPr>
            </w:pPr>
            <w:r>
              <w:rPr>
                <w:rFonts w:ascii="Arial Narrow" w:hAnsi="Arial Narrow" w:cs="Calibri"/>
                <w:sz w:val="20"/>
                <w:szCs w:val="20"/>
              </w:rPr>
              <w:t>3 033 449</w:t>
            </w:r>
          </w:p>
        </w:tc>
        <w:tc>
          <w:tcPr>
            <w:tcW w:w="1660" w:type="dxa"/>
            <w:tcBorders>
              <w:top w:val="nil"/>
              <w:left w:val="nil"/>
              <w:bottom w:val="single" w:sz="4" w:space="0" w:color="auto"/>
              <w:right w:val="single" w:sz="4" w:space="0" w:color="auto"/>
            </w:tcBorders>
            <w:shd w:val="clear" w:color="auto" w:fill="auto"/>
            <w:vAlign w:val="center"/>
            <w:hideMark/>
          </w:tcPr>
          <w:p w14:paraId="41444D1E" w14:textId="77777777" w:rsidR="004F561A" w:rsidRDefault="004F561A" w:rsidP="00121CC1">
            <w:pPr>
              <w:jc w:val="right"/>
              <w:rPr>
                <w:rFonts w:ascii="Arial Narrow" w:hAnsi="Arial Narrow" w:cs="Calibri"/>
                <w:sz w:val="20"/>
                <w:szCs w:val="20"/>
              </w:rPr>
            </w:pPr>
            <w:r>
              <w:rPr>
                <w:rFonts w:ascii="Arial Narrow" w:hAnsi="Arial Narrow" w:cs="Calibri"/>
                <w:sz w:val="20"/>
                <w:szCs w:val="20"/>
              </w:rPr>
              <w:t>678</w:t>
            </w:r>
          </w:p>
        </w:tc>
      </w:tr>
      <w:tr w:rsidR="004F561A" w14:paraId="726A4A5D" w14:textId="77777777" w:rsidTr="00121CC1">
        <w:trPr>
          <w:trHeight w:val="510"/>
        </w:trPr>
        <w:tc>
          <w:tcPr>
            <w:tcW w:w="460" w:type="dxa"/>
            <w:tcBorders>
              <w:top w:val="nil"/>
              <w:left w:val="single" w:sz="4" w:space="0" w:color="auto"/>
              <w:bottom w:val="single" w:sz="4" w:space="0" w:color="auto"/>
              <w:right w:val="single" w:sz="4" w:space="0" w:color="auto"/>
            </w:tcBorders>
            <w:shd w:val="clear" w:color="auto" w:fill="auto"/>
            <w:vAlign w:val="center"/>
            <w:hideMark/>
          </w:tcPr>
          <w:p w14:paraId="1FA3EC7E" w14:textId="77777777" w:rsidR="004F561A" w:rsidRDefault="004F561A" w:rsidP="00121CC1">
            <w:pPr>
              <w:jc w:val="center"/>
              <w:rPr>
                <w:rFonts w:ascii="Arial Narrow" w:hAnsi="Arial Narrow" w:cs="Calibri"/>
                <w:sz w:val="20"/>
                <w:szCs w:val="20"/>
              </w:rPr>
            </w:pPr>
            <w:r>
              <w:rPr>
                <w:rFonts w:ascii="Arial Narrow" w:hAnsi="Arial Narrow" w:cs="Calibri"/>
                <w:sz w:val="20"/>
                <w:szCs w:val="20"/>
              </w:rPr>
              <w:t>14</w:t>
            </w:r>
          </w:p>
        </w:tc>
        <w:tc>
          <w:tcPr>
            <w:tcW w:w="6580" w:type="dxa"/>
            <w:tcBorders>
              <w:top w:val="nil"/>
              <w:left w:val="nil"/>
              <w:bottom w:val="single" w:sz="4" w:space="0" w:color="auto"/>
              <w:right w:val="single" w:sz="4" w:space="0" w:color="auto"/>
            </w:tcBorders>
            <w:shd w:val="clear" w:color="auto" w:fill="auto"/>
            <w:vAlign w:val="center"/>
            <w:hideMark/>
          </w:tcPr>
          <w:p w14:paraId="6EB4663A" w14:textId="77777777" w:rsidR="004F561A" w:rsidRDefault="004F561A" w:rsidP="00121CC1">
            <w:pPr>
              <w:rPr>
                <w:rFonts w:ascii="Arial Narrow" w:hAnsi="Arial Narrow" w:cs="Calibri"/>
                <w:sz w:val="20"/>
                <w:szCs w:val="20"/>
              </w:rPr>
            </w:pPr>
            <w:r>
              <w:rPr>
                <w:rFonts w:ascii="Arial Narrow" w:hAnsi="Arial Narrow" w:cs="Calibri"/>
                <w:sz w:val="20"/>
                <w:szCs w:val="20"/>
              </w:rPr>
              <w:t>Помощ за участие на земеделски стопани в схема за качество за производство на семена и посадъчен материал - по помощта доставчик на услугата е ИАСАС</w:t>
            </w:r>
          </w:p>
        </w:tc>
        <w:tc>
          <w:tcPr>
            <w:tcW w:w="1660" w:type="dxa"/>
            <w:tcBorders>
              <w:top w:val="nil"/>
              <w:left w:val="nil"/>
              <w:bottom w:val="single" w:sz="4" w:space="0" w:color="auto"/>
              <w:right w:val="single" w:sz="4" w:space="0" w:color="auto"/>
            </w:tcBorders>
            <w:shd w:val="clear" w:color="auto" w:fill="auto"/>
            <w:vAlign w:val="center"/>
            <w:hideMark/>
          </w:tcPr>
          <w:p w14:paraId="19C2B1B7" w14:textId="77777777" w:rsidR="004F561A" w:rsidRDefault="004F561A" w:rsidP="00121CC1">
            <w:pPr>
              <w:jc w:val="right"/>
              <w:rPr>
                <w:rFonts w:ascii="Arial Narrow" w:hAnsi="Arial Narrow" w:cs="Calibri"/>
                <w:sz w:val="20"/>
                <w:szCs w:val="20"/>
              </w:rPr>
            </w:pPr>
            <w:r>
              <w:rPr>
                <w:rFonts w:ascii="Arial Narrow" w:hAnsi="Arial Narrow" w:cs="Calibri"/>
                <w:sz w:val="20"/>
                <w:szCs w:val="20"/>
              </w:rPr>
              <w:t>1 199 988</w:t>
            </w:r>
          </w:p>
        </w:tc>
        <w:tc>
          <w:tcPr>
            <w:tcW w:w="1660" w:type="dxa"/>
            <w:tcBorders>
              <w:top w:val="nil"/>
              <w:left w:val="nil"/>
              <w:bottom w:val="single" w:sz="4" w:space="0" w:color="auto"/>
              <w:right w:val="single" w:sz="4" w:space="0" w:color="auto"/>
            </w:tcBorders>
            <w:shd w:val="clear" w:color="auto" w:fill="auto"/>
            <w:vAlign w:val="center"/>
            <w:hideMark/>
          </w:tcPr>
          <w:p w14:paraId="5D2869A8" w14:textId="77777777" w:rsidR="004F561A" w:rsidRDefault="004F561A" w:rsidP="00121CC1">
            <w:pPr>
              <w:jc w:val="right"/>
              <w:rPr>
                <w:rFonts w:ascii="Arial Narrow" w:hAnsi="Arial Narrow" w:cs="Calibri"/>
                <w:sz w:val="20"/>
                <w:szCs w:val="20"/>
              </w:rPr>
            </w:pPr>
            <w:r>
              <w:rPr>
                <w:rFonts w:ascii="Arial Narrow" w:hAnsi="Arial Narrow" w:cs="Calibri"/>
                <w:sz w:val="20"/>
                <w:szCs w:val="20"/>
              </w:rPr>
              <w:t>1</w:t>
            </w:r>
          </w:p>
        </w:tc>
      </w:tr>
      <w:tr w:rsidR="004F561A" w14:paraId="3E9A4F57" w14:textId="77777777" w:rsidTr="00121CC1">
        <w:trPr>
          <w:trHeight w:val="765"/>
        </w:trPr>
        <w:tc>
          <w:tcPr>
            <w:tcW w:w="460" w:type="dxa"/>
            <w:tcBorders>
              <w:top w:val="nil"/>
              <w:left w:val="single" w:sz="4" w:space="0" w:color="auto"/>
              <w:bottom w:val="single" w:sz="4" w:space="0" w:color="auto"/>
              <w:right w:val="single" w:sz="4" w:space="0" w:color="auto"/>
            </w:tcBorders>
            <w:shd w:val="clear" w:color="auto" w:fill="auto"/>
            <w:vAlign w:val="center"/>
            <w:hideMark/>
          </w:tcPr>
          <w:p w14:paraId="72B3C70C" w14:textId="77777777" w:rsidR="004F561A" w:rsidRDefault="004F561A" w:rsidP="00121CC1">
            <w:pPr>
              <w:jc w:val="center"/>
              <w:rPr>
                <w:rFonts w:ascii="Arial Narrow" w:hAnsi="Arial Narrow" w:cs="Calibri"/>
                <w:sz w:val="20"/>
                <w:szCs w:val="20"/>
              </w:rPr>
            </w:pPr>
            <w:r>
              <w:rPr>
                <w:rFonts w:ascii="Arial Narrow" w:hAnsi="Arial Narrow" w:cs="Calibri"/>
                <w:sz w:val="20"/>
                <w:szCs w:val="20"/>
              </w:rPr>
              <w:t>15</w:t>
            </w:r>
          </w:p>
        </w:tc>
        <w:tc>
          <w:tcPr>
            <w:tcW w:w="6580" w:type="dxa"/>
            <w:tcBorders>
              <w:top w:val="nil"/>
              <w:left w:val="nil"/>
              <w:bottom w:val="single" w:sz="4" w:space="0" w:color="auto"/>
              <w:right w:val="single" w:sz="4" w:space="0" w:color="auto"/>
            </w:tcBorders>
            <w:shd w:val="clear" w:color="auto" w:fill="auto"/>
            <w:vAlign w:val="center"/>
            <w:hideMark/>
          </w:tcPr>
          <w:p w14:paraId="75E7FB89" w14:textId="77777777" w:rsidR="004F561A" w:rsidRDefault="004F561A" w:rsidP="00121CC1">
            <w:pPr>
              <w:rPr>
                <w:rFonts w:ascii="Arial Narrow" w:hAnsi="Arial Narrow" w:cs="Calibri"/>
                <w:sz w:val="20"/>
                <w:szCs w:val="20"/>
              </w:rPr>
            </w:pPr>
            <w:r>
              <w:rPr>
                <w:rFonts w:ascii="Arial Narrow" w:hAnsi="Arial Narrow" w:cs="Calibri"/>
                <w:sz w:val="20"/>
                <w:szCs w:val="20"/>
              </w:rPr>
              <w:t>Помощ за компенсиране разходите на земеделски стопани, свързани с изпълнение на мерки по Национална програма от мерки за предотвратяване разпространението и контрол на вредители по лозата (род Vitis)</w:t>
            </w:r>
          </w:p>
        </w:tc>
        <w:tc>
          <w:tcPr>
            <w:tcW w:w="1660" w:type="dxa"/>
            <w:tcBorders>
              <w:top w:val="nil"/>
              <w:left w:val="nil"/>
              <w:bottom w:val="single" w:sz="4" w:space="0" w:color="auto"/>
              <w:right w:val="single" w:sz="4" w:space="0" w:color="auto"/>
            </w:tcBorders>
            <w:shd w:val="clear" w:color="auto" w:fill="auto"/>
            <w:vAlign w:val="center"/>
            <w:hideMark/>
          </w:tcPr>
          <w:p w14:paraId="5FA9B16D" w14:textId="77777777" w:rsidR="004F561A" w:rsidRDefault="004F561A" w:rsidP="00121CC1">
            <w:pPr>
              <w:jc w:val="right"/>
              <w:rPr>
                <w:rFonts w:ascii="Arial Narrow" w:hAnsi="Arial Narrow" w:cs="Calibri"/>
                <w:sz w:val="20"/>
                <w:szCs w:val="20"/>
              </w:rPr>
            </w:pPr>
            <w:r>
              <w:rPr>
                <w:rFonts w:ascii="Arial Narrow" w:hAnsi="Arial Narrow" w:cs="Calibri"/>
                <w:sz w:val="20"/>
                <w:szCs w:val="20"/>
              </w:rPr>
              <w:t>1 024 737</w:t>
            </w:r>
          </w:p>
        </w:tc>
        <w:tc>
          <w:tcPr>
            <w:tcW w:w="1660" w:type="dxa"/>
            <w:tcBorders>
              <w:top w:val="nil"/>
              <w:left w:val="nil"/>
              <w:bottom w:val="single" w:sz="4" w:space="0" w:color="auto"/>
              <w:right w:val="single" w:sz="4" w:space="0" w:color="auto"/>
            </w:tcBorders>
            <w:shd w:val="clear" w:color="auto" w:fill="auto"/>
            <w:vAlign w:val="center"/>
            <w:hideMark/>
          </w:tcPr>
          <w:p w14:paraId="0C0889C7" w14:textId="77777777" w:rsidR="004F561A" w:rsidRDefault="004F561A" w:rsidP="00121CC1">
            <w:pPr>
              <w:jc w:val="right"/>
              <w:rPr>
                <w:rFonts w:ascii="Arial Narrow" w:hAnsi="Arial Narrow" w:cs="Calibri"/>
                <w:sz w:val="20"/>
                <w:szCs w:val="20"/>
              </w:rPr>
            </w:pPr>
            <w:r>
              <w:rPr>
                <w:rFonts w:ascii="Arial Narrow" w:hAnsi="Arial Narrow" w:cs="Calibri"/>
                <w:sz w:val="20"/>
                <w:szCs w:val="20"/>
              </w:rPr>
              <w:t>256</w:t>
            </w:r>
          </w:p>
        </w:tc>
      </w:tr>
      <w:tr w:rsidR="004F561A" w14:paraId="385FCAAD" w14:textId="77777777" w:rsidTr="00121CC1">
        <w:trPr>
          <w:trHeight w:val="510"/>
        </w:trPr>
        <w:tc>
          <w:tcPr>
            <w:tcW w:w="460" w:type="dxa"/>
            <w:tcBorders>
              <w:top w:val="nil"/>
              <w:left w:val="single" w:sz="4" w:space="0" w:color="auto"/>
              <w:bottom w:val="single" w:sz="4" w:space="0" w:color="auto"/>
              <w:right w:val="single" w:sz="4" w:space="0" w:color="auto"/>
            </w:tcBorders>
            <w:shd w:val="clear" w:color="auto" w:fill="auto"/>
            <w:vAlign w:val="center"/>
            <w:hideMark/>
          </w:tcPr>
          <w:p w14:paraId="40E2915A" w14:textId="77777777" w:rsidR="004F561A" w:rsidRDefault="004F561A" w:rsidP="00121CC1">
            <w:pPr>
              <w:jc w:val="center"/>
              <w:rPr>
                <w:rFonts w:ascii="Arial Narrow" w:hAnsi="Arial Narrow" w:cs="Calibri"/>
                <w:sz w:val="20"/>
                <w:szCs w:val="20"/>
              </w:rPr>
            </w:pPr>
            <w:r>
              <w:rPr>
                <w:rFonts w:ascii="Arial Narrow" w:hAnsi="Arial Narrow" w:cs="Calibri"/>
                <w:sz w:val="20"/>
                <w:szCs w:val="20"/>
              </w:rPr>
              <w:t>16</w:t>
            </w:r>
          </w:p>
        </w:tc>
        <w:tc>
          <w:tcPr>
            <w:tcW w:w="6580" w:type="dxa"/>
            <w:tcBorders>
              <w:top w:val="nil"/>
              <w:left w:val="nil"/>
              <w:bottom w:val="single" w:sz="4" w:space="0" w:color="auto"/>
              <w:right w:val="single" w:sz="4" w:space="0" w:color="auto"/>
            </w:tcBorders>
            <w:shd w:val="clear" w:color="auto" w:fill="auto"/>
            <w:vAlign w:val="center"/>
            <w:hideMark/>
          </w:tcPr>
          <w:p w14:paraId="4EEEEDE1" w14:textId="77777777" w:rsidR="004F561A" w:rsidRDefault="004F561A" w:rsidP="00121CC1">
            <w:pPr>
              <w:rPr>
                <w:rFonts w:ascii="Arial Narrow" w:hAnsi="Arial Narrow" w:cs="Calibri"/>
                <w:sz w:val="20"/>
                <w:szCs w:val="20"/>
              </w:rPr>
            </w:pPr>
            <w:r>
              <w:rPr>
                <w:rFonts w:ascii="Arial Narrow" w:hAnsi="Arial Narrow" w:cs="Calibri"/>
                <w:sz w:val="20"/>
                <w:szCs w:val="20"/>
              </w:rPr>
              <w:t>Помощ за сертифициране на стопанства в сектор „Плодове и зеленчуци“ по стандарта GLOBALG.A.P.</w:t>
            </w:r>
          </w:p>
        </w:tc>
        <w:tc>
          <w:tcPr>
            <w:tcW w:w="1660" w:type="dxa"/>
            <w:tcBorders>
              <w:top w:val="nil"/>
              <w:left w:val="nil"/>
              <w:bottom w:val="single" w:sz="4" w:space="0" w:color="auto"/>
              <w:right w:val="single" w:sz="4" w:space="0" w:color="auto"/>
            </w:tcBorders>
            <w:shd w:val="clear" w:color="auto" w:fill="auto"/>
            <w:vAlign w:val="center"/>
            <w:hideMark/>
          </w:tcPr>
          <w:p w14:paraId="3F28B5D1" w14:textId="77777777" w:rsidR="004F561A" w:rsidRDefault="004F561A" w:rsidP="00121CC1">
            <w:pPr>
              <w:jc w:val="right"/>
              <w:rPr>
                <w:rFonts w:ascii="Arial Narrow" w:hAnsi="Arial Narrow" w:cs="Calibri"/>
                <w:sz w:val="20"/>
                <w:szCs w:val="20"/>
              </w:rPr>
            </w:pPr>
            <w:r>
              <w:rPr>
                <w:rFonts w:ascii="Arial Narrow" w:hAnsi="Arial Narrow" w:cs="Calibri"/>
                <w:sz w:val="20"/>
                <w:szCs w:val="20"/>
              </w:rPr>
              <w:t>77 378</w:t>
            </w:r>
          </w:p>
        </w:tc>
        <w:tc>
          <w:tcPr>
            <w:tcW w:w="1660" w:type="dxa"/>
            <w:tcBorders>
              <w:top w:val="nil"/>
              <w:left w:val="nil"/>
              <w:bottom w:val="single" w:sz="4" w:space="0" w:color="auto"/>
              <w:right w:val="single" w:sz="4" w:space="0" w:color="auto"/>
            </w:tcBorders>
            <w:shd w:val="clear" w:color="auto" w:fill="auto"/>
            <w:vAlign w:val="center"/>
            <w:hideMark/>
          </w:tcPr>
          <w:p w14:paraId="17D3EE0B" w14:textId="77777777" w:rsidR="004F561A" w:rsidRDefault="004F561A" w:rsidP="00121CC1">
            <w:pPr>
              <w:jc w:val="right"/>
              <w:rPr>
                <w:rFonts w:ascii="Arial Narrow" w:hAnsi="Arial Narrow" w:cs="Calibri"/>
                <w:sz w:val="20"/>
                <w:szCs w:val="20"/>
              </w:rPr>
            </w:pPr>
            <w:r>
              <w:rPr>
                <w:rFonts w:ascii="Arial Narrow" w:hAnsi="Arial Narrow" w:cs="Calibri"/>
                <w:sz w:val="20"/>
                <w:szCs w:val="20"/>
              </w:rPr>
              <w:t>56</w:t>
            </w:r>
          </w:p>
        </w:tc>
      </w:tr>
      <w:tr w:rsidR="004F561A" w14:paraId="0E192A04" w14:textId="77777777" w:rsidTr="00121CC1">
        <w:trPr>
          <w:trHeight w:val="510"/>
        </w:trPr>
        <w:tc>
          <w:tcPr>
            <w:tcW w:w="460" w:type="dxa"/>
            <w:tcBorders>
              <w:top w:val="nil"/>
              <w:left w:val="single" w:sz="4" w:space="0" w:color="auto"/>
              <w:bottom w:val="single" w:sz="4" w:space="0" w:color="auto"/>
              <w:right w:val="single" w:sz="4" w:space="0" w:color="auto"/>
            </w:tcBorders>
            <w:shd w:val="clear" w:color="auto" w:fill="auto"/>
            <w:vAlign w:val="center"/>
            <w:hideMark/>
          </w:tcPr>
          <w:p w14:paraId="4DEF2EE8" w14:textId="77777777" w:rsidR="004F561A" w:rsidRDefault="004F561A" w:rsidP="00121CC1">
            <w:pPr>
              <w:jc w:val="center"/>
              <w:rPr>
                <w:rFonts w:ascii="Arial Narrow" w:hAnsi="Arial Narrow" w:cs="Calibri"/>
                <w:sz w:val="20"/>
                <w:szCs w:val="20"/>
              </w:rPr>
            </w:pPr>
            <w:r>
              <w:rPr>
                <w:rFonts w:ascii="Arial Narrow" w:hAnsi="Arial Narrow" w:cs="Calibri"/>
                <w:sz w:val="20"/>
                <w:szCs w:val="20"/>
              </w:rPr>
              <w:t>17</w:t>
            </w:r>
          </w:p>
        </w:tc>
        <w:tc>
          <w:tcPr>
            <w:tcW w:w="6580" w:type="dxa"/>
            <w:tcBorders>
              <w:top w:val="nil"/>
              <w:left w:val="nil"/>
              <w:bottom w:val="single" w:sz="4" w:space="0" w:color="auto"/>
              <w:right w:val="single" w:sz="4" w:space="0" w:color="auto"/>
            </w:tcBorders>
            <w:shd w:val="clear" w:color="auto" w:fill="auto"/>
            <w:vAlign w:val="center"/>
            <w:hideMark/>
          </w:tcPr>
          <w:p w14:paraId="6BE74EDF" w14:textId="77777777" w:rsidR="004F561A" w:rsidRDefault="004F561A" w:rsidP="00121CC1">
            <w:pPr>
              <w:rPr>
                <w:rFonts w:ascii="Arial Narrow" w:hAnsi="Arial Narrow" w:cs="Calibri"/>
                <w:sz w:val="20"/>
                <w:szCs w:val="20"/>
              </w:rPr>
            </w:pPr>
            <w:r>
              <w:rPr>
                <w:rFonts w:ascii="Arial Narrow" w:hAnsi="Arial Narrow" w:cs="Calibri"/>
                <w:sz w:val="20"/>
                <w:szCs w:val="20"/>
              </w:rPr>
              <w:t>Помощ за участие в изложения - по помощта доставчици на услугата са браншови организации</w:t>
            </w:r>
          </w:p>
        </w:tc>
        <w:tc>
          <w:tcPr>
            <w:tcW w:w="1660" w:type="dxa"/>
            <w:tcBorders>
              <w:top w:val="nil"/>
              <w:left w:val="nil"/>
              <w:bottom w:val="single" w:sz="4" w:space="0" w:color="auto"/>
              <w:right w:val="single" w:sz="4" w:space="0" w:color="auto"/>
            </w:tcBorders>
            <w:shd w:val="clear" w:color="auto" w:fill="auto"/>
            <w:vAlign w:val="center"/>
            <w:hideMark/>
          </w:tcPr>
          <w:p w14:paraId="23C9C3FD" w14:textId="77777777" w:rsidR="004F561A" w:rsidRDefault="004F561A" w:rsidP="00121CC1">
            <w:pPr>
              <w:jc w:val="right"/>
              <w:rPr>
                <w:rFonts w:ascii="Arial Narrow" w:hAnsi="Arial Narrow" w:cs="Calibri"/>
                <w:sz w:val="20"/>
                <w:szCs w:val="20"/>
              </w:rPr>
            </w:pPr>
            <w:r>
              <w:rPr>
                <w:rFonts w:ascii="Arial Narrow" w:hAnsi="Arial Narrow" w:cs="Calibri"/>
                <w:sz w:val="20"/>
                <w:szCs w:val="20"/>
              </w:rPr>
              <w:t>3 724 000</w:t>
            </w:r>
          </w:p>
        </w:tc>
        <w:tc>
          <w:tcPr>
            <w:tcW w:w="1660" w:type="dxa"/>
            <w:tcBorders>
              <w:top w:val="nil"/>
              <w:left w:val="nil"/>
              <w:bottom w:val="single" w:sz="4" w:space="0" w:color="auto"/>
              <w:right w:val="single" w:sz="4" w:space="0" w:color="auto"/>
            </w:tcBorders>
            <w:shd w:val="clear" w:color="auto" w:fill="auto"/>
            <w:vAlign w:val="center"/>
            <w:hideMark/>
          </w:tcPr>
          <w:p w14:paraId="0E7087DF" w14:textId="77777777" w:rsidR="004F561A" w:rsidRDefault="004F561A" w:rsidP="00121CC1">
            <w:pPr>
              <w:jc w:val="right"/>
              <w:rPr>
                <w:rFonts w:ascii="Arial Narrow" w:hAnsi="Arial Narrow" w:cs="Calibri"/>
                <w:sz w:val="20"/>
                <w:szCs w:val="20"/>
              </w:rPr>
            </w:pPr>
            <w:r>
              <w:rPr>
                <w:rFonts w:ascii="Arial Narrow" w:hAnsi="Arial Narrow" w:cs="Calibri"/>
                <w:sz w:val="20"/>
                <w:szCs w:val="20"/>
              </w:rPr>
              <w:t>39</w:t>
            </w:r>
          </w:p>
        </w:tc>
      </w:tr>
      <w:tr w:rsidR="004F561A" w14:paraId="4FE0FE12" w14:textId="77777777" w:rsidTr="00121CC1">
        <w:trPr>
          <w:trHeight w:val="510"/>
        </w:trPr>
        <w:tc>
          <w:tcPr>
            <w:tcW w:w="460" w:type="dxa"/>
            <w:tcBorders>
              <w:top w:val="nil"/>
              <w:left w:val="single" w:sz="4" w:space="0" w:color="auto"/>
              <w:bottom w:val="single" w:sz="4" w:space="0" w:color="auto"/>
              <w:right w:val="single" w:sz="4" w:space="0" w:color="auto"/>
            </w:tcBorders>
            <w:shd w:val="clear" w:color="auto" w:fill="auto"/>
            <w:vAlign w:val="center"/>
            <w:hideMark/>
          </w:tcPr>
          <w:p w14:paraId="766D912C" w14:textId="77777777" w:rsidR="004F561A" w:rsidRDefault="004F561A" w:rsidP="00121CC1">
            <w:pPr>
              <w:jc w:val="center"/>
              <w:rPr>
                <w:rFonts w:ascii="Arial Narrow" w:hAnsi="Arial Narrow" w:cs="Calibri"/>
                <w:sz w:val="20"/>
                <w:szCs w:val="20"/>
              </w:rPr>
            </w:pPr>
            <w:r>
              <w:rPr>
                <w:rFonts w:ascii="Arial Narrow" w:hAnsi="Arial Narrow" w:cs="Calibri"/>
                <w:sz w:val="20"/>
                <w:szCs w:val="20"/>
              </w:rPr>
              <w:lastRenderedPageBreak/>
              <w:t>18</w:t>
            </w:r>
          </w:p>
        </w:tc>
        <w:tc>
          <w:tcPr>
            <w:tcW w:w="6580" w:type="dxa"/>
            <w:tcBorders>
              <w:top w:val="nil"/>
              <w:left w:val="nil"/>
              <w:bottom w:val="single" w:sz="4" w:space="0" w:color="auto"/>
              <w:right w:val="single" w:sz="4" w:space="0" w:color="auto"/>
            </w:tcBorders>
            <w:shd w:val="clear" w:color="auto" w:fill="auto"/>
            <w:vAlign w:val="center"/>
            <w:hideMark/>
          </w:tcPr>
          <w:p w14:paraId="64674E40" w14:textId="77777777" w:rsidR="004F561A" w:rsidRDefault="004F561A" w:rsidP="00121CC1">
            <w:pPr>
              <w:rPr>
                <w:rFonts w:ascii="Arial Narrow" w:hAnsi="Arial Narrow" w:cs="Calibri"/>
                <w:sz w:val="20"/>
                <w:szCs w:val="20"/>
              </w:rPr>
            </w:pPr>
            <w:r>
              <w:rPr>
                <w:rFonts w:ascii="Arial Narrow" w:hAnsi="Arial Narrow" w:cs="Calibri"/>
                <w:sz w:val="20"/>
                <w:szCs w:val="20"/>
              </w:rPr>
              <w:t>Помощ в подкрепа на ликвидността на земеделски стопани за преодоляване на негативното икономическо въздействие на руската агресия срещу Украйна (включително остатъчни плащания по помощта, прилагана през 2023 г.)</w:t>
            </w:r>
          </w:p>
        </w:tc>
        <w:tc>
          <w:tcPr>
            <w:tcW w:w="1660" w:type="dxa"/>
            <w:tcBorders>
              <w:top w:val="nil"/>
              <w:left w:val="nil"/>
              <w:bottom w:val="single" w:sz="4" w:space="0" w:color="auto"/>
              <w:right w:val="single" w:sz="4" w:space="0" w:color="auto"/>
            </w:tcBorders>
            <w:shd w:val="clear" w:color="auto" w:fill="auto"/>
            <w:vAlign w:val="center"/>
            <w:hideMark/>
          </w:tcPr>
          <w:p w14:paraId="6A31E475" w14:textId="77777777" w:rsidR="004F561A" w:rsidRDefault="004F561A" w:rsidP="00121CC1">
            <w:pPr>
              <w:jc w:val="right"/>
              <w:rPr>
                <w:rFonts w:ascii="Arial Narrow" w:hAnsi="Arial Narrow" w:cs="Calibri"/>
                <w:sz w:val="20"/>
                <w:szCs w:val="20"/>
              </w:rPr>
            </w:pPr>
            <w:r>
              <w:rPr>
                <w:rFonts w:ascii="Arial Narrow" w:hAnsi="Arial Narrow" w:cs="Calibri"/>
                <w:sz w:val="20"/>
                <w:szCs w:val="20"/>
              </w:rPr>
              <w:t>653 101 595</w:t>
            </w:r>
          </w:p>
        </w:tc>
        <w:tc>
          <w:tcPr>
            <w:tcW w:w="1660" w:type="dxa"/>
            <w:tcBorders>
              <w:top w:val="nil"/>
              <w:left w:val="nil"/>
              <w:bottom w:val="single" w:sz="4" w:space="0" w:color="auto"/>
              <w:right w:val="single" w:sz="4" w:space="0" w:color="auto"/>
            </w:tcBorders>
            <w:shd w:val="clear" w:color="auto" w:fill="auto"/>
            <w:vAlign w:val="center"/>
            <w:hideMark/>
          </w:tcPr>
          <w:p w14:paraId="17165C56" w14:textId="77777777" w:rsidR="004F561A" w:rsidRDefault="004F561A" w:rsidP="00121CC1">
            <w:pPr>
              <w:jc w:val="right"/>
              <w:rPr>
                <w:rFonts w:ascii="Arial Narrow" w:hAnsi="Arial Narrow" w:cs="Calibri"/>
                <w:sz w:val="20"/>
                <w:szCs w:val="20"/>
              </w:rPr>
            </w:pPr>
            <w:r>
              <w:rPr>
                <w:rFonts w:ascii="Arial Narrow" w:hAnsi="Arial Narrow" w:cs="Calibri"/>
                <w:sz w:val="20"/>
                <w:szCs w:val="20"/>
              </w:rPr>
              <w:t>52 044</w:t>
            </w:r>
          </w:p>
        </w:tc>
      </w:tr>
      <w:tr w:rsidR="004F561A" w14:paraId="16F66527" w14:textId="77777777" w:rsidTr="00121CC1">
        <w:trPr>
          <w:trHeight w:val="510"/>
        </w:trPr>
        <w:tc>
          <w:tcPr>
            <w:tcW w:w="460" w:type="dxa"/>
            <w:tcBorders>
              <w:top w:val="nil"/>
              <w:left w:val="single" w:sz="4" w:space="0" w:color="auto"/>
              <w:bottom w:val="single" w:sz="4" w:space="0" w:color="auto"/>
              <w:right w:val="single" w:sz="4" w:space="0" w:color="auto"/>
            </w:tcBorders>
            <w:shd w:val="clear" w:color="auto" w:fill="auto"/>
            <w:vAlign w:val="center"/>
            <w:hideMark/>
          </w:tcPr>
          <w:p w14:paraId="057FE68A" w14:textId="77777777" w:rsidR="004F561A" w:rsidRDefault="004F561A" w:rsidP="00121CC1">
            <w:pPr>
              <w:jc w:val="center"/>
              <w:rPr>
                <w:rFonts w:ascii="Arial Narrow" w:hAnsi="Arial Narrow" w:cs="Calibri"/>
                <w:sz w:val="20"/>
                <w:szCs w:val="20"/>
              </w:rPr>
            </w:pPr>
            <w:r>
              <w:rPr>
                <w:rFonts w:ascii="Arial Narrow" w:hAnsi="Arial Narrow" w:cs="Calibri"/>
                <w:sz w:val="20"/>
                <w:szCs w:val="20"/>
              </w:rPr>
              <w:t>19</w:t>
            </w:r>
          </w:p>
        </w:tc>
        <w:tc>
          <w:tcPr>
            <w:tcW w:w="6580" w:type="dxa"/>
            <w:tcBorders>
              <w:top w:val="nil"/>
              <w:left w:val="nil"/>
              <w:bottom w:val="single" w:sz="4" w:space="0" w:color="auto"/>
              <w:right w:val="single" w:sz="4" w:space="0" w:color="auto"/>
            </w:tcBorders>
            <w:shd w:val="clear" w:color="auto" w:fill="auto"/>
            <w:vAlign w:val="center"/>
            <w:hideMark/>
          </w:tcPr>
          <w:p w14:paraId="16BBE220" w14:textId="77777777" w:rsidR="004F561A" w:rsidRDefault="004F561A" w:rsidP="00121CC1">
            <w:pPr>
              <w:rPr>
                <w:rFonts w:ascii="Arial Narrow" w:hAnsi="Arial Narrow" w:cs="Calibri"/>
                <w:sz w:val="20"/>
                <w:szCs w:val="20"/>
              </w:rPr>
            </w:pPr>
            <w:r>
              <w:rPr>
                <w:rFonts w:ascii="Arial Narrow" w:hAnsi="Arial Narrow" w:cs="Calibri"/>
                <w:sz w:val="20"/>
                <w:szCs w:val="20"/>
              </w:rPr>
              <w:t>Помощ в подкрепа на разходи за вода за напояване при отглеждане на земеделски култури (включително остатъчни плащания по помощта, прилагана през 2023 г.)</w:t>
            </w:r>
          </w:p>
        </w:tc>
        <w:tc>
          <w:tcPr>
            <w:tcW w:w="1660" w:type="dxa"/>
            <w:tcBorders>
              <w:top w:val="nil"/>
              <w:left w:val="nil"/>
              <w:bottom w:val="single" w:sz="4" w:space="0" w:color="auto"/>
              <w:right w:val="single" w:sz="4" w:space="0" w:color="auto"/>
            </w:tcBorders>
            <w:shd w:val="clear" w:color="auto" w:fill="auto"/>
            <w:vAlign w:val="center"/>
            <w:hideMark/>
          </w:tcPr>
          <w:p w14:paraId="40DE9C9F" w14:textId="77777777" w:rsidR="004F561A" w:rsidRDefault="004F561A" w:rsidP="00121CC1">
            <w:pPr>
              <w:jc w:val="right"/>
              <w:rPr>
                <w:rFonts w:ascii="Arial Narrow" w:hAnsi="Arial Narrow" w:cs="Calibri"/>
                <w:sz w:val="20"/>
                <w:szCs w:val="20"/>
              </w:rPr>
            </w:pPr>
            <w:r>
              <w:rPr>
                <w:rFonts w:ascii="Arial Narrow" w:hAnsi="Arial Narrow" w:cs="Calibri"/>
                <w:sz w:val="20"/>
                <w:szCs w:val="20"/>
              </w:rPr>
              <w:t>10 752 201</w:t>
            </w:r>
          </w:p>
        </w:tc>
        <w:tc>
          <w:tcPr>
            <w:tcW w:w="1660" w:type="dxa"/>
            <w:tcBorders>
              <w:top w:val="nil"/>
              <w:left w:val="nil"/>
              <w:bottom w:val="single" w:sz="4" w:space="0" w:color="auto"/>
              <w:right w:val="single" w:sz="4" w:space="0" w:color="auto"/>
            </w:tcBorders>
            <w:shd w:val="clear" w:color="auto" w:fill="auto"/>
            <w:vAlign w:val="center"/>
            <w:hideMark/>
          </w:tcPr>
          <w:p w14:paraId="372B660A" w14:textId="77777777" w:rsidR="004F561A" w:rsidRDefault="004F561A" w:rsidP="00121CC1">
            <w:pPr>
              <w:jc w:val="right"/>
              <w:rPr>
                <w:rFonts w:ascii="Arial Narrow" w:hAnsi="Arial Narrow" w:cs="Calibri"/>
                <w:sz w:val="20"/>
                <w:szCs w:val="20"/>
              </w:rPr>
            </w:pPr>
            <w:r>
              <w:rPr>
                <w:rFonts w:ascii="Arial Narrow" w:hAnsi="Arial Narrow" w:cs="Calibri"/>
                <w:sz w:val="20"/>
                <w:szCs w:val="20"/>
              </w:rPr>
              <w:t>1 162</w:t>
            </w:r>
          </w:p>
        </w:tc>
      </w:tr>
      <w:tr w:rsidR="004F561A" w14:paraId="5C5561CB" w14:textId="77777777" w:rsidTr="00121CC1">
        <w:trPr>
          <w:trHeight w:val="300"/>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059342A4" w14:textId="77777777" w:rsidR="004F561A" w:rsidRDefault="004F561A" w:rsidP="00121CC1">
            <w:pPr>
              <w:jc w:val="center"/>
              <w:rPr>
                <w:rFonts w:ascii="Arial Narrow" w:hAnsi="Arial Narrow" w:cs="Calibri"/>
                <w:sz w:val="20"/>
                <w:szCs w:val="20"/>
              </w:rPr>
            </w:pPr>
            <w:r>
              <w:rPr>
                <w:rFonts w:ascii="Arial Narrow" w:hAnsi="Arial Narrow" w:cs="Calibri"/>
                <w:sz w:val="20"/>
                <w:szCs w:val="20"/>
              </w:rPr>
              <w:t>20</w:t>
            </w:r>
          </w:p>
        </w:tc>
        <w:tc>
          <w:tcPr>
            <w:tcW w:w="6580" w:type="dxa"/>
            <w:tcBorders>
              <w:top w:val="nil"/>
              <w:left w:val="nil"/>
              <w:bottom w:val="single" w:sz="4" w:space="0" w:color="auto"/>
              <w:right w:val="single" w:sz="4" w:space="0" w:color="auto"/>
            </w:tcBorders>
            <w:shd w:val="clear" w:color="auto" w:fill="auto"/>
            <w:vAlign w:val="center"/>
            <w:hideMark/>
          </w:tcPr>
          <w:p w14:paraId="7D704D44" w14:textId="77777777" w:rsidR="004F561A" w:rsidRDefault="004F561A" w:rsidP="00121CC1">
            <w:pPr>
              <w:rPr>
                <w:rFonts w:ascii="Arial Narrow" w:hAnsi="Arial Narrow" w:cs="Calibri"/>
                <w:sz w:val="20"/>
                <w:szCs w:val="20"/>
              </w:rPr>
            </w:pPr>
            <w:r>
              <w:rPr>
                <w:rFonts w:ascii="Arial Narrow" w:hAnsi="Arial Narrow" w:cs="Calibri"/>
                <w:sz w:val="20"/>
                <w:szCs w:val="20"/>
              </w:rPr>
              <w:t>Плащания от предходни години по инвестиционни схеми за подпомагане</w:t>
            </w:r>
          </w:p>
        </w:tc>
        <w:tc>
          <w:tcPr>
            <w:tcW w:w="1660" w:type="dxa"/>
            <w:tcBorders>
              <w:top w:val="nil"/>
              <w:left w:val="nil"/>
              <w:bottom w:val="single" w:sz="4" w:space="0" w:color="auto"/>
              <w:right w:val="single" w:sz="4" w:space="0" w:color="auto"/>
            </w:tcBorders>
            <w:shd w:val="clear" w:color="auto" w:fill="auto"/>
            <w:noWrap/>
            <w:vAlign w:val="center"/>
            <w:hideMark/>
          </w:tcPr>
          <w:p w14:paraId="585112AD" w14:textId="77777777" w:rsidR="004F561A" w:rsidRDefault="004F561A" w:rsidP="00121CC1">
            <w:pPr>
              <w:jc w:val="right"/>
              <w:rPr>
                <w:rFonts w:ascii="Arial Narrow" w:hAnsi="Arial Narrow" w:cs="Calibri"/>
                <w:sz w:val="20"/>
                <w:szCs w:val="20"/>
              </w:rPr>
            </w:pPr>
            <w:r>
              <w:rPr>
                <w:rFonts w:ascii="Arial Narrow" w:hAnsi="Arial Narrow" w:cs="Calibri"/>
                <w:sz w:val="20"/>
                <w:szCs w:val="20"/>
              </w:rPr>
              <w:t>248 620</w:t>
            </w:r>
          </w:p>
        </w:tc>
        <w:tc>
          <w:tcPr>
            <w:tcW w:w="1660" w:type="dxa"/>
            <w:tcBorders>
              <w:top w:val="nil"/>
              <w:left w:val="nil"/>
              <w:bottom w:val="single" w:sz="4" w:space="0" w:color="auto"/>
              <w:right w:val="single" w:sz="4" w:space="0" w:color="auto"/>
            </w:tcBorders>
            <w:shd w:val="clear" w:color="auto" w:fill="auto"/>
            <w:noWrap/>
            <w:vAlign w:val="center"/>
            <w:hideMark/>
          </w:tcPr>
          <w:p w14:paraId="3946631F" w14:textId="77777777" w:rsidR="004F561A" w:rsidRDefault="004F561A" w:rsidP="00121CC1">
            <w:pPr>
              <w:jc w:val="right"/>
              <w:rPr>
                <w:rFonts w:ascii="Arial Narrow" w:hAnsi="Arial Narrow" w:cs="Calibri"/>
                <w:sz w:val="20"/>
                <w:szCs w:val="20"/>
              </w:rPr>
            </w:pPr>
            <w:r>
              <w:rPr>
                <w:rFonts w:ascii="Arial Narrow" w:hAnsi="Arial Narrow" w:cs="Calibri"/>
                <w:sz w:val="20"/>
                <w:szCs w:val="20"/>
              </w:rPr>
              <w:t>5</w:t>
            </w:r>
          </w:p>
        </w:tc>
      </w:tr>
      <w:tr w:rsidR="004F561A" w14:paraId="56A08F6E" w14:textId="77777777" w:rsidTr="00121CC1">
        <w:trPr>
          <w:trHeight w:val="300"/>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5295982A" w14:textId="77777777" w:rsidR="004F561A" w:rsidRDefault="004F561A" w:rsidP="00121CC1">
            <w:pPr>
              <w:jc w:val="center"/>
              <w:rPr>
                <w:rFonts w:ascii="Arial Narrow" w:hAnsi="Arial Narrow" w:cs="Calibri"/>
                <w:sz w:val="20"/>
                <w:szCs w:val="20"/>
              </w:rPr>
            </w:pPr>
            <w:r>
              <w:rPr>
                <w:rFonts w:ascii="Arial Narrow" w:hAnsi="Arial Narrow" w:cs="Calibri"/>
                <w:sz w:val="20"/>
                <w:szCs w:val="20"/>
              </w:rPr>
              <w:t>21</w:t>
            </w:r>
          </w:p>
        </w:tc>
        <w:tc>
          <w:tcPr>
            <w:tcW w:w="6580" w:type="dxa"/>
            <w:tcBorders>
              <w:top w:val="nil"/>
              <w:left w:val="nil"/>
              <w:bottom w:val="single" w:sz="4" w:space="0" w:color="auto"/>
              <w:right w:val="single" w:sz="4" w:space="0" w:color="auto"/>
            </w:tcBorders>
            <w:shd w:val="clear" w:color="auto" w:fill="auto"/>
            <w:vAlign w:val="center"/>
            <w:hideMark/>
          </w:tcPr>
          <w:p w14:paraId="4FFB60EB" w14:textId="77777777" w:rsidR="004F561A" w:rsidRDefault="004F561A" w:rsidP="00121CC1">
            <w:pPr>
              <w:rPr>
                <w:rFonts w:ascii="Arial Narrow" w:hAnsi="Arial Narrow" w:cs="Calibri"/>
                <w:sz w:val="20"/>
                <w:szCs w:val="20"/>
              </w:rPr>
            </w:pPr>
            <w:r>
              <w:rPr>
                <w:rFonts w:ascii="Arial Narrow" w:hAnsi="Arial Narrow" w:cs="Calibri"/>
                <w:sz w:val="20"/>
                <w:szCs w:val="20"/>
              </w:rPr>
              <w:t>Помощ де минимис (Регламент (ЕС)2023/2831 и Регламент (ЕС) 1408/2013)</w:t>
            </w:r>
          </w:p>
        </w:tc>
        <w:tc>
          <w:tcPr>
            <w:tcW w:w="1660" w:type="dxa"/>
            <w:tcBorders>
              <w:top w:val="nil"/>
              <w:left w:val="nil"/>
              <w:bottom w:val="single" w:sz="4" w:space="0" w:color="auto"/>
              <w:right w:val="single" w:sz="4" w:space="0" w:color="auto"/>
            </w:tcBorders>
            <w:shd w:val="clear" w:color="auto" w:fill="auto"/>
            <w:noWrap/>
            <w:vAlign w:val="center"/>
            <w:hideMark/>
          </w:tcPr>
          <w:p w14:paraId="79C1F328" w14:textId="77777777" w:rsidR="004F561A" w:rsidRDefault="004F561A" w:rsidP="00121CC1">
            <w:pPr>
              <w:jc w:val="right"/>
              <w:rPr>
                <w:rFonts w:ascii="Arial Narrow" w:hAnsi="Arial Narrow" w:cs="Calibri"/>
                <w:sz w:val="20"/>
                <w:szCs w:val="20"/>
              </w:rPr>
            </w:pPr>
            <w:r>
              <w:rPr>
                <w:rFonts w:ascii="Arial Narrow" w:hAnsi="Arial Narrow" w:cs="Calibri"/>
                <w:sz w:val="20"/>
                <w:szCs w:val="20"/>
              </w:rPr>
              <w:t>14 226 957</w:t>
            </w:r>
          </w:p>
        </w:tc>
        <w:tc>
          <w:tcPr>
            <w:tcW w:w="1660" w:type="dxa"/>
            <w:tcBorders>
              <w:top w:val="nil"/>
              <w:left w:val="nil"/>
              <w:bottom w:val="single" w:sz="4" w:space="0" w:color="auto"/>
              <w:right w:val="single" w:sz="4" w:space="0" w:color="auto"/>
            </w:tcBorders>
            <w:shd w:val="clear" w:color="auto" w:fill="auto"/>
            <w:noWrap/>
            <w:vAlign w:val="center"/>
            <w:hideMark/>
          </w:tcPr>
          <w:p w14:paraId="209A32EE" w14:textId="77777777" w:rsidR="004F561A" w:rsidRDefault="004F561A" w:rsidP="00121CC1">
            <w:pPr>
              <w:jc w:val="right"/>
              <w:rPr>
                <w:rFonts w:ascii="Arial Narrow" w:hAnsi="Arial Narrow" w:cs="Calibri"/>
                <w:sz w:val="20"/>
                <w:szCs w:val="20"/>
              </w:rPr>
            </w:pPr>
            <w:r>
              <w:rPr>
                <w:rFonts w:ascii="Arial Narrow" w:hAnsi="Arial Narrow" w:cs="Calibri"/>
                <w:sz w:val="20"/>
                <w:szCs w:val="20"/>
              </w:rPr>
              <w:t>2 224</w:t>
            </w:r>
          </w:p>
        </w:tc>
      </w:tr>
      <w:tr w:rsidR="004F561A" w14:paraId="10E030D7" w14:textId="77777777" w:rsidTr="00121CC1">
        <w:trPr>
          <w:trHeight w:val="300"/>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68AB46ED" w14:textId="77777777" w:rsidR="004F561A" w:rsidRDefault="004F561A" w:rsidP="00121CC1">
            <w:pPr>
              <w:jc w:val="center"/>
              <w:rPr>
                <w:rFonts w:ascii="Arial Narrow" w:hAnsi="Arial Narrow" w:cs="Calibri"/>
                <w:sz w:val="20"/>
                <w:szCs w:val="20"/>
              </w:rPr>
            </w:pPr>
            <w:r>
              <w:rPr>
                <w:rFonts w:ascii="Arial Narrow" w:hAnsi="Arial Narrow" w:cs="Calibri"/>
                <w:sz w:val="20"/>
                <w:szCs w:val="20"/>
              </w:rPr>
              <w:t> </w:t>
            </w:r>
          </w:p>
        </w:tc>
        <w:tc>
          <w:tcPr>
            <w:tcW w:w="6580" w:type="dxa"/>
            <w:tcBorders>
              <w:top w:val="nil"/>
              <w:left w:val="nil"/>
              <w:bottom w:val="single" w:sz="4" w:space="0" w:color="auto"/>
              <w:right w:val="single" w:sz="4" w:space="0" w:color="auto"/>
            </w:tcBorders>
            <w:shd w:val="clear" w:color="auto" w:fill="auto"/>
            <w:vAlign w:val="center"/>
            <w:hideMark/>
          </w:tcPr>
          <w:p w14:paraId="0DCCD562" w14:textId="77777777" w:rsidR="004F561A" w:rsidRDefault="004F561A" w:rsidP="00121CC1">
            <w:pPr>
              <w:rPr>
                <w:rFonts w:ascii="Arial Narrow" w:hAnsi="Arial Narrow" w:cs="Calibri"/>
                <w:b/>
                <w:bCs/>
                <w:color w:val="000000"/>
                <w:sz w:val="20"/>
                <w:szCs w:val="20"/>
              </w:rPr>
            </w:pPr>
            <w:r>
              <w:rPr>
                <w:rFonts w:ascii="Arial Narrow" w:hAnsi="Arial Narrow" w:cs="Calibri"/>
                <w:b/>
                <w:bCs/>
                <w:color w:val="000000"/>
                <w:sz w:val="20"/>
                <w:szCs w:val="20"/>
              </w:rPr>
              <w:t>Данъчни мерки</w:t>
            </w:r>
          </w:p>
        </w:tc>
        <w:tc>
          <w:tcPr>
            <w:tcW w:w="1660" w:type="dxa"/>
            <w:tcBorders>
              <w:top w:val="nil"/>
              <w:left w:val="nil"/>
              <w:bottom w:val="single" w:sz="4" w:space="0" w:color="auto"/>
              <w:right w:val="single" w:sz="4" w:space="0" w:color="auto"/>
            </w:tcBorders>
            <w:shd w:val="clear" w:color="auto" w:fill="auto"/>
            <w:noWrap/>
            <w:vAlign w:val="center"/>
            <w:hideMark/>
          </w:tcPr>
          <w:p w14:paraId="0622B791" w14:textId="77777777" w:rsidR="004F561A" w:rsidRDefault="004F561A" w:rsidP="00121CC1">
            <w:pPr>
              <w:jc w:val="right"/>
              <w:rPr>
                <w:rFonts w:ascii="Arial Narrow" w:hAnsi="Arial Narrow" w:cs="Calibri"/>
                <w:sz w:val="20"/>
                <w:szCs w:val="20"/>
              </w:rPr>
            </w:pPr>
            <w:r>
              <w:rPr>
                <w:rFonts w:ascii="Arial Narrow" w:hAnsi="Arial Narrow" w:cs="Calibri"/>
                <w:sz w:val="20"/>
                <w:szCs w:val="20"/>
              </w:rPr>
              <w:t> </w:t>
            </w:r>
          </w:p>
        </w:tc>
        <w:tc>
          <w:tcPr>
            <w:tcW w:w="1660" w:type="dxa"/>
            <w:tcBorders>
              <w:top w:val="nil"/>
              <w:left w:val="nil"/>
              <w:bottom w:val="single" w:sz="4" w:space="0" w:color="auto"/>
              <w:right w:val="single" w:sz="4" w:space="0" w:color="auto"/>
            </w:tcBorders>
            <w:shd w:val="clear" w:color="auto" w:fill="auto"/>
            <w:noWrap/>
            <w:vAlign w:val="center"/>
            <w:hideMark/>
          </w:tcPr>
          <w:p w14:paraId="7CE8FA88" w14:textId="77777777" w:rsidR="004F561A" w:rsidRDefault="004F561A" w:rsidP="00121CC1">
            <w:pPr>
              <w:jc w:val="right"/>
              <w:rPr>
                <w:rFonts w:ascii="Arial Narrow" w:hAnsi="Arial Narrow" w:cs="Calibri"/>
                <w:sz w:val="20"/>
                <w:szCs w:val="20"/>
              </w:rPr>
            </w:pPr>
            <w:r>
              <w:rPr>
                <w:rFonts w:ascii="Arial Narrow" w:hAnsi="Arial Narrow" w:cs="Calibri"/>
                <w:sz w:val="20"/>
                <w:szCs w:val="20"/>
              </w:rPr>
              <w:t> </w:t>
            </w:r>
          </w:p>
        </w:tc>
      </w:tr>
      <w:tr w:rsidR="004F561A" w14:paraId="69544FA0" w14:textId="77777777" w:rsidTr="00121CC1">
        <w:trPr>
          <w:trHeight w:val="765"/>
        </w:trPr>
        <w:tc>
          <w:tcPr>
            <w:tcW w:w="460" w:type="dxa"/>
            <w:tcBorders>
              <w:top w:val="nil"/>
              <w:left w:val="single" w:sz="4" w:space="0" w:color="auto"/>
              <w:bottom w:val="single" w:sz="4" w:space="0" w:color="auto"/>
              <w:right w:val="single" w:sz="4" w:space="0" w:color="auto"/>
            </w:tcBorders>
            <w:shd w:val="clear" w:color="auto" w:fill="auto"/>
            <w:vAlign w:val="center"/>
            <w:hideMark/>
          </w:tcPr>
          <w:p w14:paraId="03BE5E48" w14:textId="77777777" w:rsidR="004F561A" w:rsidRDefault="004F561A" w:rsidP="00121CC1">
            <w:pPr>
              <w:jc w:val="center"/>
              <w:rPr>
                <w:rFonts w:ascii="Arial Narrow" w:hAnsi="Arial Narrow" w:cs="Calibri"/>
                <w:sz w:val="20"/>
                <w:szCs w:val="20"/>
              </w:rPr>
            </w:pPr>
            <w:r>
              <w:rPr>
                <w:rFonts w:ascii="Arial Narrow" w:hAnsi="Arial Narrow" w:cs="Calibri"/>
                <w:sz w:val="20"/>
                <w:szCs w:val="20"/>
              </w:rPr>
              <w:t>22</w:t>
            </w:r>
          </w:p>
        </w:tc>
        <w:tc>
          <w:tcPr>
            <w:tcW w:w="6580" w:type="dxa"/>
            <w:tcBorders>
              <w:top w:val="nil"/>
              <w:left w:val="nil"/>
              <w:bottom w:val="single" w:sz="4" w:space="0" w:color="auto"/>
              <w:right w:val="single" w:sz="4" w:space="0" w:color="auto"/>
            </w:tcBorders>
            <w:shd w:val="clear" w:color="auto" w:fill="auto"/>
            <w:vAlign w:val="center"/>
            <w:hideMark/>
          </w:tcPr>
          <w:p w14:paraId="3933B025" w14:textId="77777777" w:rsidR="004F561A" w:rsidRDefault="004F561A" w:rsidP="00121CC1">
            <w:pPr>
              <w:rPr>
                <w:rFonts w:ascii="Arial Narrow" w:hAnsi="Arial Narrow" w:cs="Calibri"/>
                <w:sz w:val="20"/>
                <w:szCs w:val="20"/>
              </w:rPr>
            </w:pPr>
            <w:r>
              <w:rPr>
                <w:rFonts w:ascii="Arial Narrow" w:hAnsi="Arial Narrow" w:cs="Calibri"/>
                <w:sz w:val="20"/>
                <w:szCs w:val="20"/>
              </w:rPr>
              <w:t>Помощ под формата на отстъпка от стойността на акциза върху газьола, използван в първичното селскостопанско производство-разходите се докладват в МФ</w:t>
            </w:r>
          </w:p>
        </w:tc>
        <w:tc>
          <w:tcPr>
            <w:tcW w:w="1660" w:type="dxa"/>
            <w:tcBorders>
              <w:top w:val="nil"/>
              <w:left w:val="nil"/>
              <w:bottom w:val="single" w:sz="4" w:space="0" w:color="auto"/>
              <w:right w:val="single" w:sz="4" w:space="0" w:color="auto"/>
            </w:tcBorders>
            <w:shd w:val="clear" w:color="auto" w:fill="auto"/>
            <w:vAlign w:val="center"/>
            <w:hideMark/>
          </w:tcPr>
          <w:p w14:paraId="0EF959EE" w14:textId="77777777" w:rsidR="004F561A" w:rsidRDefault="004F561A" w:rsidP="00121CC1">
            <w:pPr>
              <w:jc w:val="right"/>
              <w:rPr>
                <w:rFonts w:ascii="Arial Narrow" w:hAnsi="Arial Narrow" w:cs="Calibri"/>
                <w:sz w:val="20"/>
                <w:szCs w:val="20"/>
              </w:rPr>
            </w:pPr>
            <w:r>
              <w:rPr>
                <w:rFonts w:ascii="Arial Narrow" w:hAnsi="Arial Narrow" w:cs="Calibri"/>
                <w:sz w:val="20"/>
                <w:szCs w:val="20"/>
              </w:rPr>
              <w:t>99 995 630</w:t>
            </w:r>
          </w:p>
        </w:tc>
        <w:tc>
          <w:tcPr>
            <w:tcW w:w="1660" w:type="dxa"/>
            <w:tcBorders>
              <w:top w:val="nil"/>
              <w:left w:val="nil"/>
              <w:bottom w:val="single" w:sz="4" w:space="0" w:color="auto"/>
              <w:right w:val="single" w:sz="4" w:space="0" w:color="auto"/>
            </w:tcBorders>
            <w:shd w:val="clear" w:color="auto" w:fill="auto"/>
            <w:vAlign w:val="center"/>
            <w:hideMark/>
          </w:tcPr>
          <w:p w14:paraId="0EFBB4D0" w14:textId="77777777" w:rsidR="004F561A" w:rsidRDefault="004F561A" w:rsidP="00121CC1">
            <w:pPr>
              <w:jc w:val="right"/>
              <w:rPr>
                <w:rFonts w:ascii="Arial Narrow" w:hAnsi="Arial Narrow" w:cs="Calibri"/>
                <w:sz w:val="20"/>
                <w:szCs w:val="20"/>
              </w:rPr>
            </w:pPr>
            <w:r>
              <w:rPr>
                <w:rFonts w:ascii="Arial Narrow" w:hAnsi="Arial Narrow" w:cs="Calibri"/>
                <w:sz w:val="20"/>
                <w:szCs w:val="20"/>
              </w:rPr>
              <w:t>14 640</w:t>
            </w:r>
          </w:p>
        </w:tc>
      </w:tr>
      <w:tr w:rsidR="004F561A" w14:paraId="5F81458B" w14:textId="77777777" w:rsidTr="00121CC1">
        <w:trPr>
          <w:trHeight w:val="510"/>
        </w:trPr>
        <w:tc>
          <w:tcPr>
            <w:tcW w:w="460" w:type="dxa"/>
            <w:tcBorders>
              <w:top w:val="nil"/>
              <w:left w:val="single" w:sz="4" w:space="0" w:color="auto"/>
              <w:bottom w:val="single" w:sz="4" w:space="0" w:color="auto"/>
              <w:right w:val="single" w:sz="4" w:space="0" w:color="auto"/>
            </w:tcBorders>
            <w:shd w:val="clear" w:color="auto" w:fill="auto"/>
            <w:vAlign w:val="center"/>
            <w:hideMark/>
          </w:tcPr>
          <w:p w14:paraId="627F9293" w14:textId="77777777" w:rsidR="004F561A" w:rsidRDefault="004F561A" w:rsidP="00121CC1">
            <w:pPr>
              <w:jc w:val="center"/>
              <w:rPr>
                <w:rFonts w:ascii="Arial Narrow" w:hAnsi="Arial Narrow" w:cs="Calibri"/>
                <w:sz w:val="20"/>
                <w:szCs w:val="20"/>
              </w:rPr>
            </w:pPr>
            <w:r>
              <w:rPr>
                <w:rFonts w:ascii="Arial Narrow" w:hAnsi="Arial Narrow" w:cs="Calibri"/>
                <w:sz w:val="20"/>
                <w:szCs w:val="20"/>
              </w:rPr>
              <w:t>23</w:t>
            </w:r>
          </w:p>
        </w:tc>
        <w:tc>
          <w:tcPr>
            <w:tcW w:w="6580" w:type="dxa"/>
            <w:tcBorders>
              <w:top w:val="nil"/>
              <w:left w:val="nil"/>
              <w:bottom w:val="single" w:sz="4" w:space="0" w:color="auto"/>
              <w:right w:val="single" w:sz="4" w:space="0" w:color="auto"/>
            </w:tcBorders>
            <w:shd w:val="clear" w:color="auto" w:fill="auto"/>
            <w:vAlign w:val="center"/>
            <w:hideMark/>
          </w:tcPr>
          <w:p w14:paraId="53270F5B" w14:textId="77777777" w:rsidR="004F561A" w:rsidRDefault="004F561A" w:rsidP="00121CC1">
            <w:pPr>
              <w:rPr>
                <w:rFonts w:ascii="Arial Narrow" w:hAnsi="Arial Narrow" w:cs="Calibri"/>
                <w:sz w:val="20"/>
                <w:szCs w:val="20"/>
              </w:rPr>
            </w:pPr>
            <w:r>
              <w:rPr>
                <w:rFonts w:ascii="Arial Narrow" w:hAnsi="Arial Narrow" w:cs="Calibri"/>
                <w:sz w:val="20"/>
                <w:szCs w:val="20"/>
              </w:rPr>
              <w:t xml:space="preserve">Помощ за инвестиции в земеделски стопанства, чрез преотстъпване на корпоративен данък - за данъчна 2024 г. </w:t>
            </w:r>
          </w:p>
        </w:tc>
        <w:tc>
          <w:tcPr>
            <w:tcW w:w="1660" w:type="dxa"/>
            <w:tcBorders>
              <w:top w:val="nil"/>
              <w:left w:val="nil"/>
              <w:bottom w:val="single" w:sz="4" w:space="0" w:color="auto"/>
              <w:right w:val="single" w:sz="4" w:space="0" w:color="auto"/>
            </w:tcBorders>
            <w:shd w:val="clear" w:color="auto" w:fill="auto"/>
            <w:vAlign w:val="center"/>
            <w:hideMark/>
          </w:tcPr>
          <w:p w14:paraId="1C84FCDD" w14:textId="77777777" w:rsidR="004F561A" w:rsidRDefault="004F561A" w:rsidP="00121CC1">
            <w:pPr>
              <w:jc w:val="right"/>
              <w:rPr>
                <w:rFonts w:ascii="Arial Narrow" w:hAnsi="Arial Narrow" w:cs="Calibri"/>
                <w:sz w:val="20"/>
                <w:szCs w:val="20"/>
              </w:rPr>
            </w:pPr>
            <w:r>
              <w:rPr>
                <w:rFonts w:ascii="Arial Narrow" w:hAnsi="Arial Narrow" w:cs="Calibri"/>
                <w:sz w:val="20"/>
                <w:szCs w:val="20"/>
              </w:rPr>
              <w:t>30 741 373</w:t>
            </w:r>
          </w:p>
        </w:tc>
        <w:tc>
          <w:tcPr>
            <w:tcW w:w="1660" w:type="dxa"/>
            <w:tcBorders>
              <w:top w:val="nil"/>
              <w:left w:val="nil"/>
              <w:bottom w:val="single" w:sz="4" w:space="0" w:color="auto"/>
              <w:right w:val="single" w:sz="4" w:space="0" w:color="auto"/>
            </w:tcBorders>
            <w:shd w:val="clear" w:color="auto" w:fill="auto"/>
            <w:vAlign w:val="center"/>
            <w:hideMark/>
          </w:tcPr>
          <w:p w14:paraId="34E565DB" w14:textId="77777777" w:rsidR="004F561A" w:rsidRDefault="004F561A" w:rsidP="00121CC1">
            <w:pPr>
              <w:jc w:val="right"/>
              <w:rPr>
                <w:rFonts w:ascii="Arial Narrow" w:hAnsi="Arial Narrow" w:cs="Calibri"/>
                <w:sz w:val="20"/>
                <w:szCs w:val="20"/>
              </w:rPr>
            </w:pPr>
            <w:r>
              <w:rPr>
                <w:rFonts w:ascii="Arial Narrow" w:hAnsi="Arial Narrow" w:cs="Calibri"/>
                <w:sz w:val="20"/>
                <w:szCs w:val="20"/>
              </w:rPr>
              <w:t>1 456</w:t>
            </w:r>
          </w:p>
        </w:tc>
      </w:tr>
      <w:tr w:rsidR="004F561A" w14:paraId="3977B0F8" w14:textId="77777777" w:rsidTr="00121CC1">
        <w:trPr>
          <w:trHeight w:val="300"/>
        </w:trPr>
        <w:tc>
          <w:tcPr>
            <w:tcW w:w="460" w:type="dxa"/>
            <w:tcBorders>
              <w:top w:val="nil"/>
              <w:left w:val="single" w:sz="4" w:space="0" w:color="auto"/>
              <w:bottom w:val="single" w:sz="4" w:space="0" w:color="auto"/>
              <w:right w:val="single" w:sz="4" w:space="0" w:color="auto"/>
            </w:tcBorders>
            <w:shd w:val="clear" w:color="auto" w:fill="auto"/>
            <w:vAlign w:val="center"/>
            <w:hideMark/>
          </w:tcPr>
          <w:p w14:paraId="7D55CE2B" w14:textId="77777777" w:rsidR="004F561A" w:rsidRDefault="004F561A" w:rsidP="00121CC1">
            <w:pPr>
              <w:jc w:val="center"/>
              <w:rPr>
                <w:rFonts w:ascii="Arial Narrow" w:hAnsi="Arial Narrow" w:cs="Calibri"/>
                <w:sz w:val="20"/>
                <w:szCs w:val="20"/>
              </w:rPr>
            </w:pPr>
            <w:r>
              <w:rPr>
                <w:rFonts w:ascii="Arial Narrow" w:hAnsi="Arial Narrow" w:cs="Calibri"/>
                <w:sz w:val="20"/>
                <w:szCs w:val="20"/>
              </w:rPr>
              <w:t> </w:t>
            </w:r>
          </w:p>
        </w:tc>
        <w:tc>
          <w:tcPr>
            <w:tcW w:w="6580" w:type="dxa"/>
            <w:tcBorders>
              <w:top w:val="nil"/>
              <w:left w:val="nil"/>
              <w:bottom w:val="single" w:sz="4" w:space="0" w:color="auto"/>
              <w:right w:val="single" w:sz="4" w:space="0" w:color="auto"/>
            </w:tcBorders>
            <w:shd w:val="clear" w:color="auto" w:fill="auto"/>
            <w:vAlign w:val="center"/>
            <w:hideMark/>
          </w:tcPr>
          <w:p w14:paraId="5FD33E4E" w14:textId="77777777" w:rsidR="004F561A" w:rsidRDefault="004F561A" w:rsidP="00121CC1">
            <w:pPr>
              <w:rPr>
                <w:rFonts w:ascii="Arial Narrow" w:hAnsi="Arial Narrow" w:cs="Calibri"/>
                <w:b/>
                <w:bCs/>
                <w:color w:val="000000"/>
                <w:sz w:val="20"/>
                <w:szCs w:val="20"/>
              </w:rPr>
            </w:pPr>
            <w:r>
              <w:rPr>
                <w:rFonts w:ascii="Arial Narrow" w:hAnsi="Arial Narrow" w:cs="Calibri"/>
                <w:b/>
                <w:bCs/>
                <w:color w:val="000000"/>
                <w:sz w:val="20"/>
                <w:szCs w:val="20"/>
              </w:rPr>
              <w:t>Общо държавни помощи, администрирани от ДФЗ</w:t>
            </w:r>
          </w:p>
        </w:tc>
        <w:tc>
          <w:tcPr>
            <w:tcW w:w="1660" w:type="dxa"/>
            <w:tcBorders>
              <w:top w:val="nil"/>
              <w:left w:val="nil"/>
              <w:bottom w:val="single" w:sz="4" w:space="0" w:color="auto"/>
              <w:right w:val="single" w:sz="4" w:space="0" w:color="auto"/>
            </w:tcBorders>
            <w:shd w:val="clear" w:color="auto" w:fill="auto"/>
            <w:noWrap/>
            <w:vAlign w:val="center"/>
            <w:hideMark/>
          </w:tcPr>
          <w:p w14:paraId="460A2BC0" w14:textId="77777777" w:rsidR="004F561A" w:rsidRDefault="004F561A" w:rsidP="00121CC1">
            <w:pPr>
              <w:jc w:val="right"/>
              <w:rPr>
                <w:rFonts w:ascii="Arial Narrow" w:hAnsi="Arial Narrow" w:cs="Calibri"/>
                <w:color w:val="000000"/>
                <w:sz w:val="20"/>
                <w:szCs w:val="20"/>
              </w:rPr>
            </w:pPr>
            <w:r>
              <w:rPr>
                <w:rFonts w:ascii="Arial Narrow" w:hAnsi="Arial Narrow" w:cs="Calibri"/>
                <w:color w:val="000000"/>
                <w:sz w:val="20"/>
                <w:szCs w:val="20"/>
              </w:rPr>
              <w:t>845 898 265</w:t>
            </w:r>
          </w:p>
        </w:tc>
        <w:tc>
          <w:tcPr>
            <w:tcW w:w="1660" w:type="dxa"/>
            <w:tcBorders>
              <w:top w:val="nil"/>
              <w:left w:val="nil"/>
              <w:bottom w:val="single" w:sz="4" w:space="0" w:color="auto"/>
              <w:right w:val="single" w:sz="4" w:space="0" w:color="auto"/>
            </w:tcBorders>
            <w:shd w:val="clear" w:color="auto" w:fill="auto"/>
            <w:noWrap/>
            <w:vAlign w:val="center"/>
            <w:hideMark/>
          </w:tcPr>
          <w:p w14:paraId="0F3D306E" w14:textId="77777777" w:rsidR="004F561A" w:rsidRDefault="004F561A" w:rsidP="00121CC1">
            <w:pPr>
              <w:jc w:val="right"/>
              <w:rPr>
                <w:rFonts w:ascii="Arial Narrow" w:hAnsi="Arial Narrow" w:cs="Calibri"/>
                <w:color w:val="000000"/>
                <w:sz w:val="20"/>
                <w:szCs w:val="20"/>
              </w:rPr>
            </w:pPr>
            <w:r>
              <w:rPr>
                <w:rFonts w:ascii="Arial Narrow" w:hAnsi="Arial Narrow" w:cs="Calibri"/>
                <w:color w:val="000000"/>
                <w:sz w:val="20"/>
                <w:szCs w:val="20"/>
              </w:rPr>
              <w:t>62 366</w:t>
            </w:r>
          </w:p>
        </w:tc>
      </w:tr>
      <w:tr w:rsidR="004F561A" w14:paraId="65C9F7CC" w14:textId="77777777" w:rsidTr="00121CC1">
        <w:trPr>
          <w:trHeight w:val="300"/>
        </w:trPr>
        <w:tc>
          <w:tcPr>
            <w:tcW w:w="460" w:type="dxa"/>
            <w:tcBorders>
              <w:top w:val="nil"/>
              <w:left w:val="single" w:sz="4" w:space="0" w:color="auto"/>
              <w:bottom w:val="single" w:sz="4" w:space="0" w:color="auto"/>
              <w:right w:val="single" w:sz="4" w:space="0" w:color="auto"/>
            </w:tcBorders>
            <w:shd w:val="clear" w:color="auto" w:fill="auto"/>
            <w:vAlign w:val="center"/>
            <w:hideMark/>
          </w:tcPr>
          <w:p w14:paraId="3FCCFF19" w14:textId="77777777" w:rsidR="004F561A" w:rsidRDefault="004F561A" w:rsidP="00121CC1">
            <w:pPr>
              <w:jc w:val="center"/>
              <w:rPr>
                <w:rFonts w:ascii="Arial Narrow" w:hAnsi="Arial Narrow" w:cs="Calibri"/>
                <w:sz w:val="20"/>
                <w:szCs w:val="20"/>
              </w:rPr>
            </w:pPr>
            <w:r>
              <w:rPr>
                <w:rFonts w:ascii="Arial Narrow" w:hAnsi="Arial Narrow" w:cs="Calibri"/>
                <w:sz w:val="20"/>
                <w:szCs w:val="20"/>
              </w:rPr>
              <w:t> </w:t>
            </w:r>
          </w:p>
        </w:tc>
        <w:tc>
          <w:tcPr>
            <w:tcW w:w="6580" w:type="dxa"/>
            <w:tcBorders>
              <w:top w:val="nil"/>
              <w:left w:val="nil"/>
              <w:bottom w:val="single" w:sz="4" w:space="0" w:color="auto"/>
              <w:right w:val="single" w:sz="4" w:space="0" w:color="auto"/>
            </w:tcBorders>
            <w:shd w:val="clear" w:color="auto" w:fill="auto"/>
            <w:vAlign w:val="center"/>
            <w:hideMark/>
          </w:tcPr>
          <w:p w14:paraId="3663363A" w14:textId="77777777" w:rsidR="004F561A" w:rsidRDefault="004F561A" w:rsidP="00121CC1">
            <w:pPr>
              <w:rPr>
                <w:rFonts w:ascii="Arial Narrow" w:hAnsi="Arial Narrow" w:cs="Calibri"/>
                <w:b/>
                <w:bCs/>
                <w:color w:val="000000"/>
                <w:sz w:val="20"/>
                <w:szCs w:val="20"/>
              </w:rPr>
            </w:pPr>
            <w:r>
              <w:rPr>
                <w:rFonts w:ascii="Arial Narrow" w:hAnsi="Arial Narrow" w:cs="Calibri"/>
                <w:b/>
                <w:bCs/>
                <w:color w:val="000000"/>
                <w:sz w:val="20"/>
                <w:szCs w:val="20"/>
              </w:rPr>
              <w:t>ОБЩО държавни помощи (вкл. чрез данъчни мерки)</w:t>
            </w:r>
          </w:p>
        </w:tc>
        <w:tc>
          <w:tcPr>
            <w:tcW w:w="1660" w:type="dxa"/>
            <w:tcBorders>
              <w:top w:val="nil"/>
              <w:left w:val="nil"/>
              <w:bottom w:val="single" w:sz="4" w:space="0" w:color="auto"/>
              <w:right w:val="single" w:sz="4" w:space="0" w:color="auto"/>
            </w:tcBorders>
            <w:shd w:val="clear" w:color="auto" w:fill="auto"/>
            <w:noWrap/>
            <w:vAlign w:val="center"/>
            <w:hideMark/>
          </w:tcPr>
          <w:p w14:paraId="1724283D" w14:textId="77777777" w:rsidR="004F561A" w:rsidRDefault="004F561A" w:rsidP="00121CC1">
            <w:pPr>
              <w:jc w:val="right"/>
              <w:rPr>
                <w:rFonts w:ascii="Arial Narrow" w:hAnsi="Arial Narrow" w:cs="Calibri"/>
                <w:color w:val="000000"/>
                <w:sz w:val="20"/>
                <w:szCs w:val="20"/>
              </w:rPr>
            </w:pPr>
            <w:r>
              <w:rPr>
                <w:rFonts w:ascii="Arial Narrow" w:hAnsi="Arial Narrow" w:cs="Calibri"/>
                <w:color w:val="000000"/>
                <w:sz w:val="20"/>
                <w:szCs w:val="20"/>
              </w:rPr>
              <w:t>976 635 268</w:t>
            </w:r>
          </w:p>
        </w:tc>
        <w:tc>
          <w:tcPr>
            <w:tcW w:w="1660" w:type="dxa"/>
            <w:tcBorders>
              <w:top w:val="nil"/>
              <w:left w:val="nil"/>
              <w:bottom w:val="single" w:sz="4" w:space="0" w:color="auto"/>
              <w:right w:val="single" w:sz="4" w:space="0" w:color="auto"/>
            </w:tcBorders>
            <w:shd w:val="clear" w:color="auto" w:fill="auto"/>
            <w:noWrap/>
            <w:vAlign w:val="center"/>
            <w:hideMark/>
          </w:tcPr>
          <w:p w14:paraId="6128657B" w14:textId="77777777" w:rsidR="004F561A" w:rsidRDefault="004F561A" w:rsidP="00121CC1">
            <w:pPr>
              <w:jc w:val="right"/>
              <w:rPr>
                <w:rFonts w:ascii="Arial Narrow" w:hAnsi="Arial Narrow" w:cs="Calibri"/>
                <w:color w:val="000000"/>
                <w:sz w:val="20"/>
                <w:szCs w:val="20"/>
              </w:rPr>
            </w:pPr>
            <w:r>
              <w:rPr>
                <w:rFonts w:ascii="Arial Narrow" w:hAnsi="Arial Narrow" w:cs="Calibri"/>
                <w:color w:val="000000"/>
                <w:sz w:val="20"/>
                <w:szCs w:val="20"/>
              </w:rPr>
              <w:t>78 462</w:t>
            </w:r>
          </w:p>
        </w:tc>
      </w:tr>
    </w:tbl>
    <w:p w14:paraId="10343E54" w14:textId="77777777" w:rsidR="004F561A" w:rsidRPr="00EA0339" w:rsidRDefault="004F561A" w:rsidP="004F561A">
      <w:pPr>
        <w:jc w:val="both"/>
        <w:rPr>
          <w:rFonts w:ascii="Arial Narrow" w:hAnsi="Arial Narrow"/>
          <w:i/>
          <w:sz w:val="18"/>
          <w:szCs w:val="18"/>
          <w:lang w:val="ru-RU"/>
        </w:rPr>
      </w:pPr>
      <w:r w:rsidRPr="00EA0339">
        <w:rPr>
          <w:rFonts w:ascii="Arial Narrow" w:hAnsi="Arial Narrow"/>
          <w:i/>
          <w:sz w:val="18"/>
          <w:szCs w:val="18"/>
        </w:rPr>
        <w:t>Източник: ДФ „Земеделие“, Национална агенция за приходите, Агенция „Митници“, БАБХ.</w:t>
      </w:r>
    </w:p>
    <w:p w14:paraId="3F47E19A" w14:textId="77777777" w:rsidR="004F561A" w:rsidRPr="009E585F" w:rsidRDefault="004F561A" w:rsidP="004F561A">
      <w:pPr>
        <w:ind w:firstLine="708"/>
        <w:jc w:val="both"/>
        <w:rPr>
          <w:rFonts w:ascii="Arial Narrow" w:hAnsi="Arial Narrow"/>
          <w:i/>
          <w:sz w:val="16"/>
          <w:szCs w:val="16"/>
          <w:lang w:val="ru-RU"/>
        </w:rPr>
      </w:pPr>
    </w:p>
    <w:p w14:paraId="43A6968E" w14:textId="77777777" w:rsidR="004F561A" w:rsidRPr="009E585F" w:rsidRDefault="004F561A" w:rsidP="004F561A">
      <w:pPr>
        <w:overflowPunct w:val="0"/>
        <w:autoSpaceDE w:val="0"/>
        <w:autoSpaceDN w:val="0"/>
        <w:adjustRightInd w:val="0"/>
        <w:spacing w:after="120"/>
        <w:ind w:firstLine="708"/>
        <w:jc w:val="both"/>
        <w:textAlignment w:val="baseline"/>
        <w:rPr>
          <w:rFonts w:ascii="Arial Narrow" w:hAnsi="Arial Narrow"/>
          <w:b/>
          <w:lang w:val="ru-RU"/>
        </w:rPr>
      </w:pPr>
      <w:r w:rsidRPr="009E585F">
        <w:rPr>
          <w:rFonts w:ascii="Arial Narrow" w:hAnsi="Arial Narrow"/>
          <w:b/>
        </w:rPr>
        <w:t>Данни за 20</w:t>
      </w:r>
      <w:r w:rsidRPr="009E585F">
        <w:rPr>
          <w:rFonts w:ascii="Arial Narrow" w:hAnsi="Arial Narrow"/>
          <w:b/>
          <w:lang w:val="ru-RU"/>
        </w:rPr>
        <w:t>25</w:t>
      </w:r>
      <w:r w:rsidRPr="009E585F">
        <w:rPr>
          <w:rFonts w:ascii="Arial Narrow" w:hAnsi="Arial Narrow"/>
          <w:b/>
        </w:rPr>
        <w:t xml:space="preserve"> г.</w:t>
      </w:r>
    </w:p>
    <w:p w14:paraId="68EA959B" w14:textId="77777777" w:rsidR="004F561A" w:rsidRPr="009E585F" w:rsidRDefault="004F561A" w:rsidP="004F561A">
      <w:pPr>
        <w:spacing w:after="120"/>
        <w:ind w:firstLine="708"/>
        <w:jc w:val="both"/>
        <w:rPr>
          <w:rFonts w:ascii="Arial Narrow" w:hAnsi="Arial Narrow"/>
        </w:rPr>
      </w:pPr>
      <w:r w:rsidRPr="009E585F">
        <w:rPr>
          <w:rFonts w:ascii="Arial Narrow" w:hAnsi="Arial Narrow"/>
        </w:rPr>
        <w:t xml:space="preserve">Към месец юли 2025 г. с решения на Управителния съвет на Държавен фонд „Земеделие” е утвърден ресурс за държавни помощи в селското стопанство в размер на </w:t>
      </w:r>
      <w:r w:rsidRPr="009E585F">
        <w:rPr>
          <w:rFonts w:ascii="Arial Narrow" w:hAnsi="Arial Narrow"/>
          <w:bCs/>
        </w:rPr>
        <w:t>160 003 589</w:t>
      </w:r>
      <w:r w:rsidRPr="009E585F">
        <w:rPr>
          <w:rFonts w:ascii="Arial Narrow" w:hAnsi="Arial Narrow"/>
        </w:rPr>
        <w:t xml:space="preserve"> л</w:t>
      </w:r>
      <w:r>
        <w:rPr>
          <w:rFonts w:ascii="Arial Narrow" w:hAnsi="Arial Narrow"/>
        </w:rPr>
        <w:t>ева</w:t>
      </w:r>
      <w:r w:rsidRPr="009E585F">
        <w:rPr>
          <w:rFonts w:ascii="Arial Narrow" w:hAnsi="Arial Narrow"/>
        </w:rPr>
        <w:t xml:space="preserve"> по схеми на държавни помощи и за помощи de minimis, прилагани от ДФЗ. Усвоеният ресурс е 113 682 356 л</w:t>
      </w:r>
      <w:r>
        <w:rPr>
          <w:rFonts w:ascii="Arial Narrow" w:hAnsi="Arial Narrow"/>
        </w:rPr>
        <w:t>е</w:t>
      </w:r>
      <w:r w:rsidRPr="009E585F">
        <w:rPr>
          <w:rFonts w:ascii="Arial Narrow" w:hAnsi="Arial Narrow"/>
        </w:rPr>
        <w:t>в</w:t>
      </w:r>
      <w:r>
        <w:rPr>
          <w:rFonts w:ascii="Arial Narrow" w:hAnsi="Arial Narrow"/>
        </w:rPr>
        <w:t>а</w:t>
      </w:r>
      <w:r w:rsidRPr="009E585F">
        <w:rPr>
          <w:rFonts w:ascii="Arial Narrow" w:hAnsi="Arial Narrow"/>
        </w:rPr>
        <w:t>.</w:t>
      </w:r>
    </w:p>
    <w:p w14:paraId="0A7A5B37" w14:textId="77777777" w:rsidR="00D7438A" w:rsidRPr="00D7438A" w:rsidRDefault="001A7889" w:rsidP="00D7438A">
      <w:pPr>
        <w:pStyle w:val="ListParagraph"/>
        <w:numPr>
          <w:ilvl w:val="1"/>
          <w:numId w:val="19"/>
        </w:numPr>
        <w:spacing w:after="120"/>
        <w:ind w:left="792" w:hanging="432"/>
        <w:outlineLvl w:val="0"/>
        <w:rPr>
          <w:rFonts w:ascii="Arial Narrow" w:hAnsi="Arial Narrow"/>
          <w:b/>
          <w:lang w:val="bg-BG" w:eastAsia="bg-BG"/>
        </w:rPr>
      </w:pPr>
      <w:bookmarkStart w:id="126" w:name="_Toc210747597"/>
      <w:r w:rsidRPr="00D7438A">
        <w:rPr>
          <w:rFonts w:ascii="Arial Narrow" w:hAnsi="Arial Narrow"/>
          <w:b/>
          <w:lang w:val="bg-BG" w:eastAsia="bg-BG"/>
        </w:rPr>
        <w:t>Краткосрочно кредитиране</w:t>
      </w:r>
      <w:bookmarkEnd w:id="126"/>
    </w:p>
    <w:p w14:paraId="130A02C8" w14:textId="77777777" w:rsidR="00D7438A" w:rsidRPr="000F3252" w:rsidRDefault="00D7438A" w:rsidP="00D7438A">
      <w:pPr>
        <w:spacing w:after="120"/>
        <w:ind w:firstLine="709"/>
        <w:jc w:val="both"/>
        <w:rPr>
          <w:rFonts w:ascii="Arial Narrow" w:hAnsi="Arial Narrow"/>
        </w:rPr>
      </w:pPr>
      <w:r w:rsidRPr="00E53A9B">
        <w:rPr>
          <w:rFonts w:ascii="Arial Narrow" w:hAnsi="Arial Narrow"/>
        </w:rPr>
        <w:t xml:space="preserve">През </w:t>
      </w:r>
      <w:r>
        <w:rPr>
          <w:rFonts w:ascii="Arial Narrow" w:hAnsi="Arial Narrow"/>
        </w:rPr>
        <w:t>2024 г.</w:t>
      </w:r>
      <w:r w:rsidRPr="00E53A9B">
        <w:rPr>
          <w:rFonts w:ascii="Arial Narrow" w:hAnsi="Arial Narrow"/>
        </w:rPr>
        <w:t xml:space="preserve"> са </w:t>
      </w:r>
      <w:r>
        <w:rPr>
          <w:rFonts w:ascii="Arial Narrow" w:hAnsi="Arial Narrow"/>
        </w:rPr>
        <w:t>отсрочени</w:t>
      </w:r>
      <w:r w:rsidRPr="00E53A9B">
        <w:rPr>
          <w:rFonts w:ascii="Arial Narrow" w:hAnsi="Arial Narrow"/>
        </w:rPr>
        <w:t xml:space="preserve"> кредити за животновъди, птицевъди и свиневъди, получени през </w:t>
      </w:r>
      <w:r w:rsidRPr="000062C5">
        <w:rPr>
          <w:rFonts w:ascii="Arial Narrow" w:hAnsi="Arial Narrow"/>
        </w:rPr>
        <w:t xml:space="preserve">периода </w:t>
      </w:r>
      <w:r>
        <w:rPr>
          <w:rFonts w:ascii="Arial Narrow" w:hAnsi="Arial Narrow"/>
        </w:rPr>
        <w:t>2008 -</w:t>
      </w:r>
      <w:r w:rsidRPr="00C905CD">
        <w:rPr>
          <w:rFonts w:ascii="Arial Narrow" w:hAnsi="Arial Narrow"/>
        </w:rPr>
        <w:t xml:space="preserve"> 2012 г.</w:t>
      </w:r>
      <w:r>
        <w:rPr>
          <w:rFonts w:ascii="Arial Narrow" w:hAnsi="Arial Narrow"/>
        </w:rPr>
        <w:t xml:space="preserve"> </w:t>
      </w:r>
      <w:r w:rsidRPr="000F3252">
        <w:rPr>
          <w:rFonts w:ascii="Arial Narrow" w:hAnsi="Arial Narrow"/>
        </w:rPr>
        <w:t>Лихвеният процент за отсрочване на предоставените краткосрочни кредити e 4</w:t>
      </w:r>
      <w:r>
        <w:rPr>
          <w:rFonts w:ascii="Arial Narrow" w:hAnsi="Arial Narrow"/>
        </w:rPr>
        <w:t>,</w:t>
      </w:r>
      <w:r w:rsidRPr="000F3252">
        <w:rPr>
          <w:rFonts w:ascii="Arial Narrow" w:hAnsi="Arial Narrow"/>
        </w:rPr>
        <w:t>5%</w:t>
      </w:r>
      <w:r>
        <w:rPr>
          <w:rFonts w:ascii="Arial Narrow" w:hAnsi="Arial Narrow"/>
        </w:rPr>
        <w:t>.</w:t>
      </w:r>
    </w:p>
    <w:p w14:paraId="0219762C" w14:textId="77777777" w:rsidR="00D7438A" w:rsidRPr="004E30CA" w:rsidRDefault="00D7438A" w:rsidP="00D7438A">
      <w:pPr>
        <w:shd w:val="clear" w:color="auto" w:fill="FFFFFF"/>
        <w:spacing w:after="120"/>
        <w:ind w:firstLine="708"/>
        <w:jc w:val="both"/>
        <w:rPr>
          <w:rFonts w:ascii="Arial Narrow" w:hAnsi="Arial Narrow"/>
          <w:color w:val="FF0000"/>
          <w:lang w:val="bg-BG"/>
        </w:rPr>
      </w:pPr>
      <w:r w:rsidRPr="000F3252">
        <w:rPr>
          <w:rFonts w:ascii="Arial Narrow" w:hAnsi="Arial Narrow"/>
        </w:rPr>
        <w:t>Кредитния</w:t>
      </w:r>
      <w:r>
        <w:rPr>
          <w:rFonts w:ascii="Arial Narrow" w:hAnsi="Arial Narrow"/>
        </w:rPr>
        <w:t>т</w:t>
      </w:r>
      <w:r w:rsidRPr="000F3252">
        <w:rPr>
          <w:rFonts w:ascii="Arial Narrow" w:hAnsi="Arial Narrow"/>
        </w:rPr>
        <w:t xml:space="preserve"> дълг по главницата на отсрочените кредити възлиза на 4 293 962 л</w:t>
      </w:r>
      <w:r>
        <w:rPr>
          <w:rFonts w:ascii="Arial Narrow" w:hAnsi="Arial Narrow"/>
        </w:rPr>
        <w:t>ева</w:t>
      </w:r>
      <w:r w:rsidRPr="000F3252">
        <w:rPr>
          <w:rFonts w:ascii="Arial Narrow" w:hAnsi="Arial Narrow"/>
        </w:rPr>
        <w:t xml:space="preserve"> и 928 479 </w:t>
      </w:r>
      <w:r>
        <w:rPr>
          <w:rFonts w:ascii="Arial Narrow" w:hAnsi="Arial Narrow"/>
        </w:rPr>
        <w:t>лева</w:t>
      </w:r>
      <w:r w:rsidRPr="000F3252">
        <w:rPr>
          <w:rFonts w:ascii="Arial Narrow" w:hAnsi="Arial Narrow"/>
        </w:rPr>
        <w:t xml:space="preserve"> по лихва, за 78 бенефициера (в т.ч. 26 бр. животновъди, 40 бр. птицевъди и 12 бр. свиневъди) по сключени 129 договора</w:t>
      </w:r>
      <w:r w:rsidR="00415549">
        <w:rPr>
          <w:rFonts w:ascii="Arial Narrow" w:hAnsi="Arial Narrow"/>
          <w:lang w:val="bg-BG"/>
        </w:rPr>
        <w:t>.</w:t>
      </w:r>
    </w:p>
    <w:p w14:paraId="25D71C59" w14:textId="77777777" w:rsidR="00D7438A" w:rsidRPr="00D7438A" w:rsidRDefault="001A7889" w:rsidP="00D7438A">
      <w:pPr>
        <w:pStyle w:val="ListParagraph"/>
        <w:numPr>
          <w:ilvl w:val="1"/>
          <w:numId w:val="19"/>
        </w:numPr>
        <w:spacing w:after="120"/>
        <w:ind w:left="792" w:hanging="432"/>
        <w:outlineLvl w:val="0"/>
        <w:rPr>
          <w:rFonts w:ascii="Arial Narrow" w:hAnsi="Arial Narrow"/>
          <w:b/>
          <w:lang w:val="bg-BG" w:eastAsia="bg-BG"/>
        </w:rPr>
      </w:pPr>
      <w:bookmarkStart w:id="127" w:name="_Toc210747598"/>
      <w:r w:rsidRPr="00D7438A">
        <w:rPr>
          <w:rFonts w:ascii="Arial Narrow" w:hAnsi="Arial Narrow"/>
          <w:b/>
          <w:lang w:val="bg-BG" w:eastAsia="bg-BG"/>
        </w:rPr>
        <w:t xml:space="preserve">Инвестиционни </w:t>
      </w:r>
      <w:r w:rsidR="001961CC" w:rsidRPr="00D7438A">
        <w:rPr>
          <w:rFonts w:ascii="Arial Narrow" w:hAnsi="Arial Narrow"/>
          <w:b/>
          <w:lang w:val="bg-BG" w:eastAsia="bg-BG"/>
        </w:rPr>
        <w:t xml:space="preserve">кредитни </w:t>
      </w:r>
      <w:r w:rsidRPr="00D7438A">
        <w:rPr>
          <w:rFonts w:ascii="Arial Narrow" w:hAnsi="Arial Narrow"/>
          <w:b/>
          <w:lang w:val="bg-BG" w:eastAsia="bg-BG"/>
        </w:rPr>
        <w:t>схеми на ДФЗ</w:t>
      </w:r>
      <w:bookmarkEnd w:id="127"/>
    </w:p>
    <w:p w14:paraId="48675C2C" w14:textId="77777777" w:rsidR="00D7438A" w:rsidRPr="00E54EDD" w:rsidRDefault="00D7438A" w:rsidP="00D7438A">
      <w:pPr>
        <w:spacing w:after="120"/>
        <w:ind w:firstLine="708"/>
        <w:jc w:val="both"/>
        <w:rPr>
          <w:rFonts w:ascii="Arial Narrow" w:hAnsi="Arial Narrow"/>
        </w:rPr>
      </w:pPr>
      <w:r w:rsidRPr="00340113">
        <w:rPr>
          <w:rFonts w:ascii="Arial Narrow" w:hAnsi="Arial Narrow"/>
          <w:bCs/>
        </w:rPr>
        <w:t>През 202</w:t>
      </w:r>
      <w:r>
        <w:rPr>
          <w:rFonts w:ascii="Arial Narrow" w:hAnsi="Arial Narrow"/>
          <w:bCs/>
        </w:rPr>
        <w:t>4</w:t>
      </w:r>
      <w:r w:rsidRPr="00340113">
        <w:rPr>
          <w:rFonts w:ascii="Arial Narrow" w:hAnsi="Arial Narrow"/>
          <w:bCs/>
        </w:rPr>
        <w:t xml:space="preserve"> г. ДФЗ прилага следните схеми за</w:t>
      </w:r>
      <w:r>
        <w:rPr>
          <w:rFonts w:ascii="Arial Narrow" w:hAnsi="Arial Narrow"/>
          <w:bCs/>
        </w:rPr>
        <w:t xml:space="preserve"> кредитиране </w:t>
      </w:r>
      <w:r w:rsidRPr="00E54EDD">
        <w:rPr>
          <w:rFonts w:ascii="Arial Narrow" w:hAnsi="Arial Narrow"/>
          <w:bCs/>
        </w:rPr>
        <w:t xml:space="preserve">на инвестиционните намерения на земеделските </w:t>
      </w:r>
      <w:r>
        <w:rPr>
          <w:rFonts w:ascii="Arial Narrow" w:hAnsi="Arial Narrow"/>
          <w:bCs/>
        </w:rPr>
        <w:t>стопани</w:t>
      </w:r>
      <w:r w:rsidRPr="00E54EDD">
        <w:rPr>
          <w:rFonts w:ascii="Arial Narrow" w:hAnsi="Arial Narrow"/>
        </w:rPr>
        <w:t>:</w:t>
      </w:r>
    </w:p>
    <w:p w14:paraId="4047ECA9" w14:textId="77777777" w:rsidR="00D7438A" w:rsidRPr="000F3252" w:rsidRDefault="00D7438A" w:rsidP="006E11F9">
      <w:pPr>
        <w:pStyle w:val="ListParagraph"/>
        <w:numPr>
          <w:ilvl w:val="0"/>
          <w:numId w:val="29"/>
        </w:numPr>
        <w:spacing w:after="120"/>
        <w:ind w:left="714" w:hanging="357"/>
        <w:contextualSpacing w:val="0"/>
        <w:jc w:val="both"/>
        <w:rPr>
          <w:rFonts w:ascii="Arial Narrow" w:hAnsi="Arial Narrow"/>
          <w:bCs/>
        </w:rPr>
      </w:pPr>
      <w:r w:rsidRPr="000F3252">
        <w:rPr>
          <w:rFonts w:ascii="Arial Narrow" w:hAnsi="Arial Narrow"/>
          <w:bCs/>
        </w:rPr>
        <w:t>Кредитиране със средства на ДФ "Земеделие" на кандидати с одобрени проекти по Наредба № 8 от 20.06.2023 г. за условията и реда за прилагане на интервенциите от Стратегическия план за развитие на земеделието и селските райони за периода 2023 – 2027 г.  в сектора на пчеларството;</w:t>
      </w:r>
    </w:p>
    <w:p w14:paraId="224EDFB8" w14:textId="77777777" w:rsidR="00D7438A" w:rsidRPr="000F3252" w:rsidRDefault="00D7438A" w:rsidP="006E11F9">
      <w:pPr>
        <w:pStyle w:val="ListParagraph"/>
        <w:numPr>
          <w:ilvl w:val="0"/>
          <w:numId w:val="29"/>
        </w:numPr>
        <w:spacing w:after="120"/>
        <w:ind w:left="714" w:hanging="357"/>
        <w:contextualSpacing w:val="0"/>
        <w:jc w:val="both"/>
        <w:rPr>
          <w:rFonts w:ascii="Arial Narrow" w:hAnsi="Arial Narrow"/>
          <w:bCs/>
        </w:rPr>
      </w:pPr>
      <w:r w:rsidRPr="000F3252">
        <w:rPr>
          <w:rFonts w:ascii="Arial Narrow" w:hAnsi="Arial Narrow"/>
          <w:bCs/>
        </w:rPr>
        <w:t>Кредитиране със средства на ДФ "Земеделие" за реализация на одобрени проекти за публични дейности на лица със сключени договори за предоставяне на финансова помощ по подмярка 4.3 от мярка 4 и подмярка 16.1.и подмярка 16.4. от мярка 16 от ПРСР 2014 - 2020 г.</w:t>
      </w:r>
      <w:r>
        <w:rPr>
          <w:rFonts w:ascii="Arial Narrow" w:hAnsi="Arial Narrow"/>
          <w:bCs/>
        </w:rPr>
        <w:t>;</w:t>
      </w:r>
    </w:p>
    <w:p w14:paraId="46E964E5" w14:textId="77777777" w:rsidR="00D7438A" w:rsidRPr="000F3252" w:rsidRDefault="00D7438A" w:rsidP="006E11F9">
      <w:pPr>
        <w:pStyle w:val="ListParagraph"/>
        <w:numPr>
          <w:ilvl w:val="0"/>
          <w:numId w:val="29"/>
        </w:numPr>
        <w:spacing w:after="120"/>
        <w:ind w:left="714" w:hanging="357"/>
        <w:contextualSpacing w:val="0"/>
        <w:jc w:val="both"/>
        <w:rPr>
          <w:rFonts w:ascii="Arial Narrow" w:hAnsi="Arial Narrow"/>
          <w:bCs/>
        </w:rPr>
      </w:pPr>
      <w:r w:rsidRPr="000F3252">
        <w:rPr>
          <w:rFonts w:ascii="Arial Narrow" w:hAnsi="Arial Narrow"/>
          <w:bCs/>
        </w:rPr>
        <w:t>Кредитна схема на Държавен фонд „Земеделие” за инвестиции в селското стопанство</w:t>
      </w:r>
      <w:r>
        <w:rPr>
          <w:rFonts w:ascii="Arial Narrow" w:hAnsi="Arial Narrow"/>
          <w:bCs/>
        </w:rPr>
        <w:t>.</w:t>
      </w:r>
    </w:p>
    <w:p w14:paraId="02D070DF" w14:textId="77777777" w:rsidR="00D7438A" w:rsidRPr="000F3252" w:rsidRDefault="00D7438A" w:rsidP="009C6577">
      <w:pPr>
        <w:pStyle w:val="ListParagraph"/>
        <w:numPr>
          <w:ilvl w:val="0"/>
          <w:numId w:val="54"/>
        </w:numPr>
        <w:overflowPunct w:val="0"/>
        <w:autoSpaceDE w:val="0"/>
        <w:autoSpaceDN w:val="0"/>
        <w:adjustRightInd w:val="0"/>
        <w:spacing w:after="120"/>
        <w:ind w:left="714" w:hanging="357"/>
        <w:contextualSpacing w:val="0"/>
        <w:jc w:val="both"/>
        <w:textAlignment w:val="baseline"/>
        <w:rPr>
          <w:rFonts w:ascii="Arial Narrow" w:hAnsi="Arial Narrow"/>
          <w:b/>
        </w:rPr>
      </w:pPr>
      <w:r w:rsidRPr="000F3252">
        <w:rPr>
          <w:rFonts w:ascii="Arial Narrow" w:hAnsi="Arial Narrow"/>
          <w:b/>
        </w:rPr>
        <w:t>Схема за кредитиране със средства на Държавен фонд „Земеделие” на кандидати с одобрени проекти по Наредба № 8 от 20.06.2023 г. за условията и реда за прилагане на интервенциите от Стратегическия план за развитие на земеделието и селските райони за периода 2023 – 2027 г. в сектора на пчеларството.</w:t>
      </w:r>
    </w:p>
    <w:p w14:paraId="1186E006" w14:textId="77777777" w:rsidR="00D7438A" w:rsidRPr="000F3252" w:rsidRDefault="00D7438A" w:rsidP="00D7438A">
      <w:pPr>
        <w:spacing w:after="120"/>
        <w:ind w:firstLine="708"/>
        <w:jc w:val="both"/>
        <w:rPr>
          <w:rFonts w:ascii="Arial Narrow" w:hAnsi="Arial Narrow"/>
          <w:color w:val="000000"/>
        </w:rPr>
      </w:pPr>
      <w:r w:rsidRPr="000F3252">
        <w:rPr>
          <w:rFonts w:ascii="Arial Narrow" w:hAnsi="Arial Narrow"/>
        </w:rPr>
        <w:t xml:space="preserve">Схемата </w:t>
      </w:r>
      <w:r>
        <w:rPr>
          <w:rFonts w:ascii="Arial Narrow" w:hAnsi="Arial Narrow"/>
        </w:rPr>
        <w:t xml:space="preserve">представлява продължение на подобна схема, прилагана от 2012 г. във връзка с </w:t>
      </w:r>
      <w:r w:rsidRPr="000F3252">
        <w:rPr>
          <w:rFonts w:ascii="Arial Narrow" w:hAnsi="Arial Narrow" w:cs="Arial Narrow"/>
        </w:rPr>
        <w:t>действа</w:t>
      </w:r>
      <w:r>
        <w:rPr>
          <w:rFonts w:ascii="Arial Narrow" w:hAnsi="Arial Narrow" w:cs="Arial Narrow"/>
        </w:rPr>
        <w:t>лата</w:t>
      </w:r>
      <w:r w:rsidRPr="000F3252">
        <w:rPr>
          <w:rFonts w:ascii="Arial Narrow" w:hAnsi="Arial Narrow"/>
        </w:rPr>
        <w:t xml:space="preserve"> </w:t>
      </w:r>
      <w:r w:rsidRPr="000F3252">
        <w:rPr>
          <w:rFonts w:ascii="Arial Narrow" w:hAnsi="Arial Narrow" w:cs="Arial Narrow"/>
        </w:rPr>
        <w:t>в</w:t>
      </w:r>
      <w:r w:rsidRPr="000F3252">
        <w:rPr>
          <w:rFonts w:ascii="Arial Narrow" w:hAnsi="Arial Narrow"/>
        </w:rPr>
        <w:t xml:space="preserve"> </w:t>
      </w:r>
      <w:r>
        <w:rPr>
          <w:rFonts w:ascii="Arial Narrow" w:hAnsi="Arial Narrow" w:cs="Arial Narrow"/>
        </w:rPr>
        <w:t>предходни</w:t>
      </w:r>
      <w:r w:rsidRPr="000F3252">
        <w:rPr>
          <w:rFonts w:ascii="Arial Narrow" w:hAnsi="Arial Narrow"/>
        </w:rPr>
        <w:t xml:space="preserve"> </w:t>
      </w:r>
      <w:r w:rsidRPr="000F3252">
        <w:rPr>
          <w:rFonts w:ascii="Arial Narrow" w:hAnsi="Arial Narrow" w:cs="Arial Narrow"/>
        </w:rPr>
        <w:t>периоди</w:t>
      </w:r>
      <w:r w:rsidRPr="000F3252">
        <w:rPr>
          <w:rFonts w:ascii="Arial Narrow" w:hAnsi="Arial Narrow"/>
        </w:rPr>
        <w:t xml:space="preserve"> </w:t>
      </w:r>
      <w:r w:rsidRPr="000F3252">
        <w:rPr>
          <w:rFonts w:ascii="Arial Narrow" w:hAnsi="Arial Narrow" w:cs="Arial Narrow"/>
        </w:rPr>
        <w:t>Национална</w:t>
      </w:r>
      <w:r w:rsidRPr="000F3252">
        <w:rPr>
          <w:rFonts w:ascii="Arial Narrow" w:hAnsi="Arial Narrow"/>
        </w:rPr>
        <w:t xml:space="preserve"> </w:t>
      </w:r>
      <w:r w:rsidRPr="000F3252">
        <w:rPr>
          <w:rFonts w:ascii="Arial Narrow" w:hAnsi="Arial Narrow" w:cs="Arial Narrow"/>
        </w:rPr>
        <w:t>програма</w:t>
      </w:r>
      <w:r w:rsidRPr="000F3252">
        <w:rPr>
          <w:rFonts w:ascii="Arial Narrow" w:hAnsi="Arial Narrow"/>
        </w:rPr>
        <w:t xml:space="preserve"> </w:t>
      </w:r>
      <w:r w:rsidRPr="000F3252">
        <w:rPr>
          <w:rFonts w:ascii="Arial Narrow" w:hAnsi="Arial Narrow" w:cs="Arial Narrow"/>
        </w:rPr>
        <w:t>по</w:t>
      </w:r>
      <w:r w:rsidRPr="000F3252">
        <w:rPr>
          <w:rFonts w:ascii="Arial Narrow" w:hAnsi="Arial Narrow"/>
        </w:rPr>
        <w:t xml:space="preserve"> </w:t>
      </w:r>
      <w:r w:rsidRPr="000F3252">
        <w:rPr>
          <w:rFonts w:ascii="Arial Narrow" w:hAnsi="Arial Narrow" w:cs="Arial Narrow"/>
        </w:rPr>
        <w:t>пче</w:t>
      </w:r>
      <w:r w:rsidRPr="000F3252">
        <w:rPr>
          <w:rFonts w:ascii="Arial Narrow" w:hAnsi="Arial Narrow"/>
        </w:rPr>
        <w:t xml:space="preserve">ларство. Прилагането на схемата за кредитиране допринася за значително увеличение в усвояването на средствата по инвестиционните проекти в пчеларския сектор. Държавен фонд „Земеделие“ отчита пълна и бърза възвръщаемост на </w:t>
      </w:r>
      <w:r w:rsidRPr="000F3252">
        <w:rPr>
          <w:rFonts w:ascii="Arial Narrow" w:hAnsi="Arial Narrow"/>
        </w:rPr>
        <w:lastRenderedPageBreak/>
        <w:t xml:space="preserve">предоставените кредити, заедно с начислените по тях лихви. По условията на схемата се предоставя възможност на голям брой земеделски производители да осигурят чрез кредит необходимия им финансов ресурс за реализация на одобрени проекти за закупуване на нови кошери, отводки, пчелни майки, ветеринарно-медицински препарати, пчеларско оборудване и прикачен инвентар за подвижно пчеларство. </w:t>
      </w:r>
      <w:r w:rsidRPr="000F3252">
        <w:rPr>
          <w:rFonts w:ascii="Arial Narrow" w:hAnsi="Arial Narrow"/>
          <w:color w:val="000000"/>
        </w:rPr>
        <w:t>Максималният размер на кредита е до 95% от размера на полагащата се безвъзмездна финансова помощ, изчислени въз основа на реално договорените разходи по сключени договори за покупко-продажба на активите, одобрени в договора за предоставяне на безвъзмездна финансова помощ. Л</w:t>
      </w:r>
      <w:r w:rsidRPr="000F3252">
        <w:rPr>
          <w:rFonts w:ascii="Arial Narrow" w:hAnsi="Arial Narrow"/>
        </w:rPr>
        <w:t xml:space="preserve">ихвеният процент е в размер 5,91% на годишна база. </w:t>
      </w:r>
      <w:r w:rsidRPr="000F3252">
        <w:rPr>
          <w:rFonts w:ascii="Arial Narrow" w:hAnsi="Arial Narrow"/>
          <w:color w:val="000000"/>
        </w:rPr>
        <w:t>Погасяването на кредита</w:t>
      </w:r>
      <w:r>
        <w:rPr>
          <w:rFonts w:ascii="Arial Narrow" w:hAnsi="Arial Narrow"/>
          <w:color w:val="000000"/>
        </w:rPr>
        <w:t xml:space="preserve"> и</w:t>
      </w:r>
      <w:r w:rsidRPr="000F3252">
        <w:rPr>
          <w:rFonts w:ascii="Arial Narrow" w:hAnsi="Arial Narrow"/>
          <w:color w:val="000000"/>
        </w:rPr>
        <w:t xml:space="preserve"> дължимите лихви се осъществява чрез прихващане от одобрената финансова помощ. </w:t>
      </w:r>
    </w:p>
    <w:p w14:paraId="7E4D04D2" w14:textId="77777777" w:rsidR="00D7438A" w:rsidRPr="000F3252" w:rsidRDefault="00D7438A" w:rsidP="00D7438A">
      <w:pPr>
        <w:spacing w:after="120"/>
        <w:ind w:firstLine="708"/>
        <w:jc w:val="both"/>
        <w:rPr>
          <w:rFonts w:ascii="Arial Narrow" w:hAnsi="Arial Narrow"/>
          <w:lang w:val="ru-RU"/>
        </w:rPr>
      </w:pPr>
      <w:r w:rsidRPr="000F3252">
        <w:rPr>
          <w:rFonts w:ascii="Arial Narrow" w:hAnsi="Arial Narrow"/>
        </w:rPr>
        <w:t xml:space="preserve">За срока на прием по схемата </w:t>
      </w:r>
      <w:r>
        <w:rPr>
          <w:rFonts w:ascii="Arial Narrow" w:hAnsi="Arial Narrow"/>
        </w:rPr>
        <w:t xml:space="preserve">през 2024 г. </w:t>
      </w:r>
      <w:r w:rsidRPr="000F3252">
        <w:rPr>
          <w:rFonts w:ascii="Arial Narrow" w:hAnsi="Arial Narrow"/>
        </w:rPr>
        <w:t xml:space="preserve">са подадени 94 заявления за кредит, като всички са обработени и са финансирани. Сумата на предоставените средства е </w:t>
      </w:r>
      <w:r w:rsidRPr="000F3252">
        <w:rPr>
          <w:rFonts w:ascii="Arial Narrow" w:hAnsi="Arial Narrow"/>
          <w:color w:val="000000"/>
          <w:lang w:val="ru-RU"/>
        </w:rPr>
        <w:t>581 571,06</w:t>
      </w:r>
      <w:r w:rsidRPr="000F3252">
        <w:rPr>
          <w:rFonts w:ascii="Arial Narrow" w:hAnsi="Arial Narrow"/>
          <w:color w:val="000000"/>
        </w:rPr>
        <w:t xml:space="preserve"> </w:t>
      </w:r>
      <w:r w:rsidRPr="000F3252">
        <w:rPr>
          <w:rFonts w:ascii="Arial Narrow" w:hAnsi="Arial Narrow"/>
        </w:rPr>
        <w:t xml:space="preserve">лева. След извършено прихващане с одобрената финансова помощ напълно са погасени 93 кредита, a 1 e предоговорен.  </w:t>
      </w:r>
    </w:p>
    <w:p w14:paraId="6BBED76F" w14:textId="77777777" w:rsidR="00D7438A" w:rsidRPr="00893CB0" w:rsidRDefault="00D7438A" w:rsidP="009C6577">
      <w:pPr>
        <w:pStyle w:val="ListParagraph"/>
        <w:numPr>
          <w:ilvl w:val="0"/>
          <w:numId w:val="54"/>
        </w:numPr>
        <w:overflowPunct w:val="0"/>
        <w:autoSpaceDE w:val="0"/>
        <w:autoSpaceDN w:val="0"/>
        <w:adjustRightInd w:val="0"/>
        <w:spacing w:after="120"/>
        <w:ind w:left="714" w:hanging="357"/>
        <w:contextualSpacing w:val="0"/>
        <w:jc w:val="both"/>
        <w:textAlignment w:val="baseline"/>
        <w:rPr>
          <w:rFonts w:ascii="Arial Narrow" w:hAnsi="Arial Narrow"/>
          <w:i/>
          <w:lang w:val="ru-RU"/>
        </w:rPr>
      </w:pPr>
      <w:r w:rsidRPr="00893CB0">
        <w:rPr>
          <w:rFonts w:ascii="Arial Narrow" w:eastAsia="Calibri" w:hAnsi="Arial Narrow"/>
          <w:b/>
        </w:rPr>
        <w:t>Кредитиране със средства на ДФ "Земеделие" за реализация на одобрени проекти за публични дейности на лица със сключени договори за предоставяне на финансова помощ по подмярка 4.3 от мярка 4 и подмярка 16.1 и подмярка 16.4 от мярка 16 от ПРСР 2014 - 2020 г.</w:t>
      </w:r>
    </w:p>
    <w:p w14:paraId="135BB3F0" w14:textId="77777777" w:rsidR="00D7438A" w:rsidRPr="00893CB0" w:rsidRDefault="00D7438A" w:rsidP="00D7438A">
      <w:pPr>
        <w:spacing w:after="120"/>
        <w:ind w:firstLine="709"/>
        <w:jc w:val="both"/>
        <w:rPr>
          <w:rFonts w:ascii="Arial Narrow" w:hAnsi="Arial Narrow"/>
          <w:lang w:val="ru-RU"/>
        </w:rPr>
      </w:pPr>
      <w:r>
        <w:rPr>
          <w:rFonts w:ascii="Arial Narrow" w:hAnsi="Arial Narrow"/>
          <w:lang w:val="ru-RU"/>
        </w:rPr>
        <w:t>С</w:t>
      </w:r>
      <w:r w:rsidRPr="00893CB0">
        <w:rPr>
          <w:rFonts w:ascii="Arial Narrow" w:hAnsi="Arial Narrow"/>
          <w:lang w:val="ru-RU"/>
        </w:rPr>
        <w:t xml:space="preserve">хемата за кредитиране е </w:t>
      </w:r>
      <w:r>
        <w:rPr>
          <w:rFonts w:ascii="Arial Narrow" w:hAnsi="Arial Narrow"/>
          <w:lang w:val="ru-RU"/>
        </w:rPr>
        <w:t>насочена към</w:t>
      </w:r>
      <w:r w:rsidRPr="00893CB0">
        <w:rPr>
          <w:rFonts w:ascii="Arial Narrow" w:hAnsi="Arial Narrow"/>
          <w:lang w:val="ru-RU"/>
        </w:rPr>
        <w:t xml:space="preserve"> подпом</w:t>
      </w:r>
      <w:r>
        <w:rPr>
          <w:rFonts w:ascii="Arial Narrow" w:hAnsi="Arial Narrow"/>
          <w:lang w:val="ru-RU"/>
        </w:rPr>
        <w:t>агане</w:t>
      </w:r>
      <w:r w:rsidRPr="00893CB0">
        <w:rPr>
          <w:rFonts w:ascii="Arial Narrow" w:hAnsi="Arial Narrow"/>
          <w:lang w:val="ru-RU"/>
        </w:rPr>
        <w:t xml:space="preserve"> реализирането на одобрени проекти за публични дейности на лица със сключени договори за предоставяне на финансова помощ по подмярка 4.3 от мярка 4, подмярка 16.1. и подмярка 16.4. от мярка 16. Прилагането на схема цели да повиши усвоените средства и да окаже положителен ефект върху изпълнението на заложените индикатори в ПРСР 2014 -2020 г.</w:t>
      </w:r>
    </w:p>
    <w:p w14:paraId="4012C658" w14:textId="77777777" w:rsidR="00D7438A" w:rsidRPr="00893CB0" w:rsidRDefault="00D7438A" w:rsidP="00D7438A">
      <w:pPr>
        <w:spacing w:after="120"/>
        <w:ind w:firstLine="708"/>
        <w:jc w:val="both"/>
        <w:rPr>
          <w:rFonts w:ascii="Arial Narrow" w:hAnsi="Arial Narrow"/>
        </w:rPr>
      </w:pPr>
      <w:r w:rsidRPr="00893CB0">
        <w:rPr>
          <w:rFonts w:ascii="Arial Narrow" w:hAnsi="Arial Narrow"/>
          <w:lang w:val="ru-RU"/>
        </w:rPr>
        <w:t>Предвидено е безвъзмездната финансова помощ, предоставена по ПРСР 2014 – 2020 г., да се прихваща за погасяване на кредита и дължимите лихви.</w:t>
      </w:r>
      <w:r w:rsidRPr="00893CB0">
        <w:rPr>
          <w:rFonts w:ascii="Arial Narrow" w:hAnsi="Arial Narrow"/>
          <w:b/>
          <w:lang w:val="ru-RU"/>
        </w:rPr>
        <w:t xml:space="preserve"> </w:t>
      </w:r>
      <w:r w:rsidRPr="00893CB0">
        <w:rPr>
          <w:rFonts w:ascii="Arial Narrow" w:hAnsi="Arial Narrow"/>
        </w:rPr>
        <w:t xml:space="preserve">За 2024 г. лихвеният процент е определен в размер, </w:t>
      </w:r>
      <w:r w:rsidRPr="00893CB0">
        <w:rPr>
          <w:rFonts w:ascii="Arial Narrow" w:hAnsi="Arial Narrow"/>
          <w:lang w:val="bg-BG"/>
        </w:rPr>
        <w:t>равен на референтния лихвен процент, приложим към датата на сключване на договора за кредит</w:t>
      </w:r>
      <w:r w:rsidRPr="00893CB0">
        <w:rPr>
          <w:rFonts w:ascii="Arial Narrow" w:hAnsi="Arial Narrow"/>
        </w:rPr>
        <w:t xml:space="preserve">, увеличен с един пункт надбавка. </w:t>
      </w:r>
      <w:r w:rsidRPr="004925B6">
        <w:rPr>
          <w:rFonts w:ascii="Arial Narrow" w:hAnsi="Arial Narrow"/>
        </w:rPr>
        <w:t>В рамките на годин</w:t>
      </w:r>
      <w:r w:rsidRPr="001B67A2">
        <w:rPr>
          <w:rFonts w:ascii="Arial Narrow" w:hAnsi="Arial Narrow"/>
        </w:rPr>
        <w:t>ата</w:t>
      </w:r>
      <w:r w:rsidRPr="00893CB0">
        <w:rPr>
          <w:rFonts w:ascii="Arial Narrow" w:hAnsi="Arial Narrow"/>
        </w:rPr>
        <w:t xml:space="preserve"> са одобрени две заявления за кредит и е финансирана 1 заявка за плащане в размер на 474 304,55 лева. </w:t>
      </w:r>
    </w:p>
    <w:p w14:paraId="2B4FF4BD" w14:textId="77777777" w:rsidR="00D7438A" w:rsidRDefault="00D7438A" w:rsidP="009C6577">
      <w:pPr>
        <w:pStyle w:val="ListParagraph"/>
        <w:numPr>
          <w:ilvl w:val="0"/>
          <w:numId w:val="54"/>
        </w:numPr>
        <w:overflowPunct w:val="0"/>
        <w:autoSpaceDE w:val="0"/>
        <w:autoSpaceDN w:val="0"/>
        <w:adjustRightInd w:val="0"/>
        <w:spacing w:after="120"/>
        <w:ind w:left="714" w:hanging="357"/>
        <w:contextualSpacing w:val="0"/>
        <w:jc w:val="both"/>
        <w:textAlignment w:val="baseline"/>
        <w:rPr>
          <w:rFonts w:ascii="Arial Narrow" w:hAnsi="Arial Narrow"/>
          <w:b/>
          <w:bCs/>
          <w:lang w:val="ru-RU"/>
        </w:rPr>
      </w:pPr>
      <w:r w:rsidRPr="00893CB0">
        <w:rPr>
          <w:rFonts w:ascii="Arial Narrow" w:hAnsi="Arial Narrow"/>
          <w:b/>
        </w:rPr>
        <w:t>Кредитна схема на Държавен фонд „Земеделие” за инвестиции в селското стопанство</w:t>
      </w:r>
      <w:r w:rsidRPr="00893CB0">
        <w:rPr>
          <w:rFonts w:ascii="Arial Narrow" w:hAnsi="Arial Narrow"/>
          <w:b/>
          <w:bCs/>
          <w:lang w:val="ru-RU"/>
        </w:rPr>
        <w:t xml:space="preserve"> </w:t>
      </w:r>
    </w:p>
    <w:p w14:paraId="356CB72D" w14:textId="77777777" w:rsidR="00D7438A" w:rsidRPr="00893CB0" w:rsidRDefault="00D7438A" w:rsidP="00D7438A">
      <w:pPr>
        <w:spacing w:after="120"/>
        <w:ind w:firstLine="708"/>
        <w:jc w:val="both"/>
        <w:rPr>
          <w:rFonts w:ascii="Arial Narrow" w:hAnsi="Arial Narrow"/>
          <w:b/>
          <w:bCs/>
          <w:lang w:val="ru-RU"/>
        </w:rPr>
      </w:pPr>
      <w:r w:rsidRPr="00893CB0">
        <w:rPr>
          <w:rFonts w:ascii="Arial Narrow" w:hAnsi="Arial Narrow"/>
        </w:rPr>
        <w:t>Кредитната схема на Държавен фонд „Земеделие”</w:t>
      </w:r>
      <w:r w:rsidRPr="00893CB0">
        <w:rPr>
          <w:rFonts w:ascii="Arial Narrow" w:hAnsi="Arial Narrow"/>
          <w:lang w:val="ru-RU"/>
        </w:rPr>
        <w:t xml:space="preserve"> </w:t>
      </w:r>
      <w:r w:rsidRPr="00893CB0">
        <w:rPr>
          <w:rFonts w:ascii="Arial Narrow" w:hAnsi="Arial Narrow"/>
        </w:rPr>
        <w:t xml:space="preserve">за инвестиции в селското стопанство е с три основни направления - „Растениевъдство”, „Животновъдство” и „Техническо обезпечаване”. </w:t>
      </w:r>
    </w:p>
    <w:p w14:paraId="26BBFBE3" w14:textId="77777777" w:rsidR="00D7438A" w:rsidRPr="00893CB0" w:rsidRDefault="00D7438A" w:rsidP="00D7438A">
      <w:pPr>
        <w:spacing w:after="120"/>
        <w:ind w:firstLine="708"/>
        <w:jc w:val="both"/>
        <w:rPr>
          <w:rFonts w:ascii="Arial Narrow" w:hAnsi="Arial Narrow"/>
        </w:rPr>
      </w:pPr>
      <w:r w:rsidRPr="00893CB0">
        <w:rPr>
          <w:rFonts w:ascii="Arial Narrow" w:hAnsi="Arial Narrow"/>
        </w:rPr>
        <w:t>Дейностите и обектите, предвидени за финансово подпомагане са:</w:t>
      </w:r>
    </w:p>
    <w:p w14:paraId="14BAF255" w14:textId="77777777" w:rsidR="00D7438A" w:rsidRPr="00893CB0" w:rsidRDefault="00D7438A" w:rsidP="009C6577">
      <w:pPr>
        <w:numPr>
          <w:ilvl w:val="0"/>
          <w:numId w:val="56"/>
        </w:numPr>
        <w:tabs>
          <w:tab w:val="center" w:pos="142"/>
        </w:tabs>
        <w:spacing w:after="120"/>
        <w:ind w:right="-28"/>
        <w:jc w:val="both"/>
        <w:rPr>
          <w:rFonts w:ascii="Arial Narrow" w:hAnsi="Arial Narrow"/>
        </w:rPr>
      </w:pPr>
      <w:r w:rsidRPr="00893CB0">
        <w:rPr>
          <w:rFonts w:ascii="Arial Narrow" w:hAnsi="Arial Narrow"/>
        </w:rPr>
        <w:t>създаване, възстановяване и отглеждане на трайни насаждения и инвестиции в оранжерийното производство;</w:t>
      </w:r>
    </w:p>
    <w:p w14:paraId="62EF6990" w14:textId="77777777" w:rsidR="00D7438A" w:rsidRPr="00893CB0" w:rsidRDefault="00D7438A" w:rsidP="009C6577">
      <w:pPr>
        <w:numPr>
          <w:ilvl w:val="0"/>
          <w:numId w:val="56"/>
        </w:numPr>
        <w:tabs>
          <w:tab w:val="center" w:pos="142"/>
        </w:tabs>
        <w:spacing w:after="120"/>
        <w:ind w:right="-28"/>
        <w:jc w:val="both"/>
        <w:rPr>
          <w:rFonts w:ascii="Arial Narrow" w:hAnsi="Arial Narrow"/>
          <w:lang w:val="ru-RU"/>
        </w:rPr>
      </w:pPr>
      <w:r w:rsidRPr="00893CB0">
        <w:rPr>
          <w:rFonts w:ascii="Arial Narrow" w:hAnsi="Arial Narrow"/>
        </w:rPr>
        <w:t>създаване и оборудване на животновъдни ферми и закупуване на чистопородни, хибридни и стокови  животни</w:t>
      </w:r>
      <w:r w:rsidRPr="00893CB0">
        <w:rPr>
          <w:rFonts w:ascii="Arial Narrow" w:hAnsi="Arial Narrow"/>
          <w:lang w:val="ru-RU"/>
        </w:rPr>
        <w:t>;</w:t>
      </w:r>
    </w:p>
    <w:p w14:paraId="15B1AC7B" w14:textId="77777777" w:rsidR="00D7438A" w:rsidRPr="00893CB0" w:rsidRDefault="00D7438A" w:rsidP="009C6577">
      <w:pPr>
        <w:numPr>
          <w:ilvl w:val="0"/>
          <w:numId w:val="56"/>
        </w:numPr>
        <w:tabs>
          <w:tab w:val="center" w:pos="142"/>
        </w:tabs>
        <w:spacing w:after="120"/>
        <w:ind w:right="-28"/>
        <w:jc w:val="both"/>
        <w:rPr>
          <w:rFonts w:ascii="Arial Narrow" w:hAnsi="Arial Narrow"/>
          <w:b/>
        </w:rPr>
      </w:pPr>
      <w:r w:rsidRPr="00893CB0">
        <w:rPr>
          <w:rFonts w:ascii="Arial Narrow" w:hAnsi="Arial Narrow"/>
        </w:rPr>
        <w:t>закупуване на техника, оборудване и инвентар, използвани в селското стопанство.</w:t>
      </w:r>
    </w:p>
    <w:p w14:paraId="5C32A520" w14:textId="77777777" w:rsidR="00D7438A" w:rsidRPr="00893CB0" w:rsidRDefault="00D7438A" w:rsidP="00D7438A">
      <w:pPr>
        <w:spacing w:after="120"/>
        <w:ind w:firstLine="708"/>
        <w:jc w:val="both"/>
        <w:rPr>
          <w:rFonts w:ascii="Arial Narrow" w:hAnsi="Arial Narrow"/>
        </w:rPr>
      </w:pPr>
      <w:r w:rsidRPr="00893CB0">
        <w:rPr>
          <w:rFonts w:ascii="Arial Narrow" w:hAnsi="Arial Narrow"/>
        </w:rPr>
        <w:t xml:space="preserve">Кредитите по схемата са със срок на погасяване от 12 месеца до </w:t>
      </w:r>
      <w:r w:rsidRPr="00893CB0">
        <w:rPr>
          <w:rFonts w:ascii="Arial Narrow" w:hAnsi="Arial Narrow"/>
          <w:lang w:val="ru-RU"/>
        </w:rPr>
        <w:t>114</w:t>
      </w:r>
      <w:r w:rsidRPr="00893CB0">
        <w:rPr>
          <w:rFonts w:ascii="Arial Narrow" w:hAnsi="Arial Narrow"/>
        </w:rPr>
        <w:t xml:space="preserve"> месеца в зависимост от вида на инвестицията, в които срокове се включват и гратисни периоди по отношение издължаване на главницата. Инвестиционните проекти се финансират при годишен лихвен процент, равен на референтния лихвен процент, приложим към датата на сключване на договора за кредит, но не по-нисък от определения от Управителния съвет на Държавен фонд „Земеделие” за 2024 г. – 5</w:t>
      </w:r>
      <w:r>
        <w:rPr>
          <w:rFonts w:ascii="Arial Narrow" w:hAnsi="Arial Narrow"/>
        </w:rPr>
        <w:t>,</w:t>
      </w:r>
      <w:r w:rsidRPr="00893CB0">
        <w:rPr>
          <w:rFonts w:ascii="Arial Narrow" w:hAnsi="Arial Narrow"/>
        </w:rPr>
        <w:t>91</w:t>
      </w:r>
      <w:r w:rsidRPr="00893CB0">
        <w:rPr>
          <w:rFonts w:ascii="Arial Narrow" w:hAnsi="Arial Narrow"/>
          <w:lang w:val="ru-RU"/>
        </w:rPr>
        <w:t>%</w:t>
      </w:r>
      <w:r w:rsidRPr="00893CB0">
        <w:rPr>
          <w:rFonts w:ascii="Arial Narrow" w:hAnsi="Arial Narrow"/>
        </w:rPr>
        <w:t xml:space="preserve"> при пряко кредитиране и до 7</w:t>
      </w:r>
      <w:r w:rsidRPr="00893CB0">
        <w:rPr>
          <w:rFonts w:ascii="Arial Narrow" w:hAnsi="Arial Narrow"/>
          <w:lang w:val="ru-RU"/>
        </w:rPr>
        <w:t>%</w:t>
      </w:r>
      <w:r w:rsidRPr="00893CB0">
        <w:rPr>
          <w:rFonts w:ascii="Arial Narrow" w:hAnsi="Arial Narrow"/>
        </w:rPr>
        <w:t xml:space="preserve"> при рефинансиране чрез търговски банки. За финансираните пряко от Държавен фонд „Земеделие” кредити таксата за обработка и управление е 0</w:t>
      </w:r>
      <w:r>
        <w:rPr>
          <w:rFonts w:ascii="Arial Narrow" w:hAnsi="Arial Narrow"/>
        </w:rPr>
        <w:t>,</w:t>
      </w:r>
      <w:r w:rsidRPr="00893CB0">
        <w:rPr>
          <w:rFonts w:ascii="Arial Narrow" w:hAnsi="Arial Narrow"/>
        </w:rPr>
        <w:t xml:space="preserve">5 </w:t>
      </w:r>
      <w:r w:rsidRPr="00893CB0">
        <w:rPr>
          <w:rFonts w:ascii="Arial Narrow" w:hAnsi="Arial Narrow"/>
          <w:lang w:val="ru-RU"/>
        </w:rPr>
        <w:t>%</w:t>
      </w:r>
      <w:r w:rsidRPr="00893CB0">
        <w:rPr>
          <w:rFonts w:ascii="Arial Narrow" w:hAnsi="Arial Narrow"/>
        </w:rPr>
        <w:t>.</w:t>
      </w:r>
    </w:p>
    <w:p w14:paraId="1DF5B08B" w14:textId="77777777" w:rsidR="00D7438A" w:rsidRPr="00893CB0" w:rsidRDefault="00D7438A" w:rsidP="00D7438A">
      <w:pPr>
        <w:spacing w:after="120"/>
        <w:ind w:firstLine="708"/>
        <w:jc w:val="both"/>
        <w:rPr>
          <w:rFonts w:ascii="Arial Narrow" w:hAnsi="Arial Narrow"/>
          <w:b/>
        </w:rPr>
      </w:pPr>
      <w:r>
        <w:rPr>
          <w:rFonts w:ascii="Arial Narrow" w:hAnsi="Arial Narrow"/>
          <w:b/>
        </w:rPr>
        <w:t>Очаквани данни за 2025 г.</w:t>
      </w:r>
    </w:p>
    <w:p w14:paraId="758277E5" w14:textId="77777777" w:rsidR="00D7438A" w:rsidRPr="00893CB0" w:rsidRDefault="00D7438A" w:rsidP="00D7438A">
      <w:pPr>
        <w:spacing w:after="120"/>
        <w:ind w:firstLine="708"/>
        <w:jc w:val="both"/>
        <w:rPr>
          <w:rFonts w:ascii="Arial Narrow" w:hAnsi="Arial Narrow"/>
        </w:rPr>
      </w:pPr>
      <w:r w:rsidRPr="00893CB0">
        <w:rPr>
          <w:rFonts w:ascii="Arial Narrow" w:hAnsi="Arial Narrow"/>
        </w:rPr>
        <w:t xml:space="preserve">За 2025 г. на земеделските производители се очаква да бъдат предоставени </w:t>
      </w:r>
      <w:r>
        <w:rPr>
          <w:rFonts w:ascii="Arial Narrow" w:hAnsi="Arial Narrow"/>
        </w:rPr>
        <w:t>инвестиционни кредити</w:t>
      </w:r>
      <w:r w:rsidRPr="00893CB0">
        <w:rPr>
          <w:rFonts w:ascii="Arial Narrow" w:hAnsi="Arial Narrow"/>
        </w:rPr>
        <w:t xml:space="preserve"> по следните схеми:</w:t>
      </w:r>
    </w:p>
    <w:p w14:paraId="293E7D43" w14:textId="77777777" w:rsidR="00D7438A" w:rsidRPr="00893CB0" w:rsidRDefault="00D7438A" w:rsidP="006E11F9">
      <w:pPr>
        <w:pStyle w:val="ListParagraph"/>
        <w:numPr>
          <w:ilvl w:val="0"/>
          <w:numId w:val="29"/>
        </w:numPr>
        <w:spacing w:after="120"/>
        <w:ind w:left="714" w:hanging="357"/>
        <w:contextualSpacing w:val="0"/>
        <w:jc w:val="both"/>
        <w:rPr>
          <w:rFonts w:ascii="Arial Narrow" w:hAnsi="Arial Narrow"/>
          <w:bCs/>
        </w:rPr>
      </w:pPr>
      <w:r w:rsidRPr="00893CB0">
        <w:rPr>
          <w:rFonts w:ascii="Arial Narrow" w:hAnsi="Arial Narrow"/>
          <w:bCs/>
        </w:rPr>
        <w:t>Кредитна схема за инвестиции в селското стопанство</w:t>
      </w:r>
      <w:r w:rsidRPr="00893CB0">
        <w:rPr>
          <w:rFonts w:ascii="Arial Narrow" w:hAnsi="Arial Narrow"/>
          <w:bCs/>
          <w:lang w:val="bg-BG"/>
        </w:rPr>
        <w:t>;</w:t>
      </w:r>
    </w:p>
    <w:p w14:paraId="5D582A8F" w14:textId="77777777" w:rsidR="00D7438A" w:rsidRPr="00893CB0" w:rsidRDefault="00D7438A" w:rsidP="006E11F9">
      <w:pPr>
        <w:pStyle w:val="ListParagraph"/>
        <w:numPr>
          <w:ilvl w:val="0"/>
          <w:numId w:val="29"/>
        </w:numPr>
        <w:spacing w:after="120"/>
        <w:ind w:left="714" w:hanging="357"/>
        <w:contextualSpacing w:val="0"/>
        <w:jc w:val="both"/>
        <w:rPr>
          <w:rFonts w:ascii="Arial Narrow" w:hAnsi="Arial Narrow"/>
          <w:bCs/>
        </w:rPr>
      </w:pPr>
      <w:r w:rsidRPr="00893CB0">
        <w:rPr>
          <w:rFonts w:ascii="Arial Narrow" w:hAnsi="Arial Narrow"/>
          <w:bCs/>
        </w:rPr>
        <w:lastRenderedPageBreak/>
        <w:t>Схема за кредитиране със средства на Държавен фонд „Земеделие” на кандидати с одобрени проекти по Наредба № 8 от 20.06.2023 г. за условията и реда за прилагане на интервенциите от Стратегическия план за развитие на земеделието и селските райони за периода 2023 – 2027 г. в сектора на пчеларството</w:t>
      </w:r>
      <w:r w:rsidRPr="00893CB0">
        <w:rPr>
          <w:rFonts w:ascii="Arial Narrow" w:hAnsi="Arial Narrow"/>
          <w:bCs/>
          <w:lang w:val="bg-BG"/>
        </w:rPr>
        <w:t>;</w:t>
      </w:r>
    </w:p>
    <w:p w14:paraId="1A65AB22" w14:textId="77777777" w:rsidR="00D7438A" w:rsidRPr="00893CB0" w:rsidRDefault="00D7438A" w:rsidP="006E11F9">
      <w:pPr>
        <w:pStyle w:val="ListParagraph"/>
        <w:numPr>
          <w:ilvl w:val="0"/>
          <w:numId w:val="29"/>
        </w:numPr>
        <w:spacing w:after="120"/>
        <w:ind w:left="714" w:hanging="357"/>
        <w:contextualSpacing w:val="0"/>
        <w:jc w:val="both"/>
        <w:rPr>
          <w:rFonts w:ascii="Arial Narrow" w:hAnsi="Arial Narrow"/>
          <w:bCs/>
        </w:rPr>
      </w:pPr>
      <w:r w:rsidRPr="00893CB0">
        <w:rPr>
          <w:rFonts w:ascii="Arial Narrow" w:hAnsi="Arial Narrow"/>
          <w:bCs/>
        </w:rPr>
        <w:t>Схема за кредитиране със средства на Държавен фонд “Земеделие“ за реализация на одобрени проекти за публични дейности на лица със сключени договори за предоставяне на финансова помощ по подмярка 4.3 от мярка 4 и подмярка 16.1. и подмярка 16.4. от мярка 16 от Програма за развитие на селските райони за периода 2014-2020 г.</w:t>
      </w:r>
      <w:r w:rsidRPr="00893CB0">
        <w:rPr>
          <w:rFonts w:ascii="Arial Narrow" w:hAnsi="Arial Narrow"/>
          <w:bCs/>
        </w:rPr>
        <w:tab/>
      </w:r>
    </w:p>
    <w:p w14:paraId="49630281" w14:textId="77777777" w:rsidR="00D7438A" w:rsidRPr="00893CB0" w:rsidRDefault="00D7438A" w:rsidP="00D7438A">
      <w:pPr>
        <w:spacing w:after="120"/>
        <w:ind w:firstLine="708"/>
        <w:jc w:val="both"/>
        <w:rPr>
          <w:rFonts w:ascii="Arial Narrow" w:hAnsi="Arial Narrow"/>
        </w:rPr>
      </w:pPr>
      <w:r w:rsidRPr="00893CB0">
        <w:rPr>
          <w:rFonts w:ascii="Arial Narrow" w:hAnsi="Arial Narrow"/>
          <w:bCs/>
        </w:rPr>
        <w:t>През 2025 г. в бюджета на Държавен фонд „Земеделие” за инвестиционни кредити са заложени 90 млн. лева, при условие за поддържане на нетно салдо до минус 40 млн. лева. С</w:t>
      </w:r>
      <w:r w:rsidRPr="00893CB0">
        <w:rPr>
          <w:rFonts w:ascii="Arial Narrow" w:hAnsi="Arial Narrow"/>
        </w:rPr>
        <w:t xml:space="preserve"> решение на Управителният съвет на </w:t>
      </w:r>
      <w:r>
        <w:rPr>
          <w:rFonts w:ascii="Arial Narrow" w:hAnsi="Arial Narrow"/>
        </w:rPr>
        <w:t>ДФЗ</w:t>
      </w:r>
      <w:r w:rsidRPr="00893CB0">
        <w:rPr>
          <w:rFonts w:ascii="Arial Narrow" w:hAnsi="Arial Narrow"/>
        </w:rPr>
        <w:t xml:space="preserve"> новите кредити, финансирани пряко от Фонда се олихвяват с годишен лихвен процент, равен на референтния лихвен процент, приложим към датата на сключване на договора за кредит, увеличен с един пункт надбавка. </w:t>
      </w:r>
    </w:p>
    <w:p w14:paraId="7663EFD1" w14:textId="77777777" w:rsidR="00D7438A" w:rsidRPr="00893CB0" w:rsidRDefault="00D7438A" w:rsidP="00D7438A">
      <w:pPr>
        <w:spacing w:after="120"/>
        <w:ind w:firstLine="708"/>
        <w:jc w:val="both"/>
        <w:rPr>
          <w:rFonts w:ascii="Arial Narrow" w:hAnsi="Arial Narrow"/>
          <w:bCs/>
        </w:rPr>
      </w:pPr>
      <w:r w:rsidRPr="00893CB0">
        <w:rPr>
          <w:rFonts w:ascii="Arial Narrow" w:hAnsi="Arial Narrow"/>
        </w:rPr>
        <w:t xml:space="preserve">Към юни 2025 г. по </w:t>
      </w:r>
      <w:r w:rsidRPr="00893CB0">
        <w:rPr>
          <w:rFonts w:ascii="Arial Narrow" w:hAnsi="Arial Narrow"/>
          <w:bCs/>
        </w:rPr>
        <w:t xml:space="preserve">схемата за кредитиране със средства на Държавен фонд “Земеделие“ за реализация на одобрени проекти за публични дейности на лица със сключени договори за предоставяне на финансова помощ по подмярка 4.3 от мярка 4 и подмярка 16.1. и подмярка 16.4. от мярка 16 от Програма за развитие на селските райони за периода 2014-2020 г. </w:t>
      </w:r>
      <w:r w:rsidRPr="00893CB0">
        <w:rPr>
          <w:rFonts w:ascii="Arial Narrow" w:hAnsi="Arial Narrow"/>
        </w:rPr>
        <w:t>е постъпило и платено 1 заявление за плащане на транш по поети ангажименти от 2024 г</w:t>
      </w:r>
      <w:r>
        <w:rPr>
          <w:rFonts w:ascii="Arial Narrow" w:hAnsi="Arial Narrow"/>
        </w:rPr>
        <w:t>.</w:t>
      </w:r>
      <w:r w:rsidRPr="00893CB0">
        <w:rPr>
          <w:rFonts w:ascii="Arial Narrow" w:hAnsi="Arial Narrow"/>
        </w:rPr>
        <w:t xml:space="preserve"> </w:t>
      </w:r>
      <w:r w:rsidRPr="00893CB0">
        <w:rPr>
          <w:rFonts w:ascii="Arial Narrow" w:hAnsi="Arial Narrow"/>
          <w:bCs/>
        </w:rPr>
        <w:t>в размер на 482 724,11 лева.</w:t>
      </w:r>
    </w:p>
    <w:p w14:paraId="72F426C6" w14:textId="77777777" w:rsidR="00D7438A" w:rsidRDefault="00D7438A" w:rsidP="00D7438A">
      <w:pPr>
        <w:shd w:val="clear" w:color="auto" w:fill="FFFFFF"/>
        <w:spacing w:after="120"/>
        <w:ind w:firstLine="708"/>
        <w:jc w:val="both"/>
        <w:rPr>
          <w:rFonts w:ascii="Arial Narrow" w:hAnsi="Arial Narrow"/>
          <w:bCs/>
        </w:rPr>
      </w:pPr>
      <w:r w:rsidRPr="00893CB0">
        <w:rPr>
          <w:rFonts w:ascii="Arial Narrow" w:hAnsi="Arial Narrow"/>
          <w:bCs/>
        </w:rPr>
        <w:t xml:space="preserve">Към 20 юни </w:t>
      </w:r>
      <w:r>
        <w:rPr>
          <w:rFonts w:ascii="Arial Narrow" w:hAnsi="Arial Narrow"/>
          <w:bCs/>
        </w:rPr>
        <w:t xml:space="preserve">2025 г. </w:t>
      </w:r>
      <w:r w:rsidRPr="00893CB0">
        <w:rPr>
          <w:rFonts w:ascii="Arial Narrow" w:hAnsi="Arial Narrow"/>
          <w:bCs/>
        </w:rPr>
        <w:t>по схема</w:t>
      </w:r>
      <w:r>
        <w:rPr>
          <w:rFonts w:ascii="Arial Narrow" w:hAnsi="Arial Narrow"/>
          <w:bCs/>
        </w:rPr>
        <w:t>та</w:t>
      </w:r>
      <w:r w:rsidRPr="00893CB0">
        <w:rPr>
          <w:rFonts w:ascii="Arial Narrow" w:hAnsi="Arial Narrow"/>
          <w:bCs/>
        </w:rPr>
        <w:t xml:space="preserve"> за кредитиране със средства на Държавен фонд „Земеделие” на кандидати с одобрени проекти по Наредба № 8 от 20.06.2023 г. за условията и реда за прилагане на интервенциите от </w:t>
      </w:r>
      <w:r>
        <w:rPr>
          <w:rFonts w:ascii="Arial Narrow" w:hAnsi="Arial Narrow"/>
          <w:bCs/>
        </w:rPr>
        <w:t>СПРЗСР</w:t>
      </w:r>
      <w:r w:rsidRPr="00893CB0">
        <w:rPr>
          <w:rFonts w:ascii="Arial Narrow" w:hAnsi="Arial Narrow"/>
          <w:bCs/>
        </w:rPr>
        <w:t xml:space="preserve"> 2023 – 2027 г. в сектора на пчеларството са постъпили 82 заявления за кредит. От тях са финансирани 65 бр</w:t>
      </w:r>
      <w:r>
        <w:rPr>
          <w:rFonts w:ascii="Arial Narrow" w:hAnsi="Arial Narrow"/>
          <w:bCs/>
        </w:rPr>
        <w:t>оя</w:t>
      </w:r>
      <w:r w:rsidRPr="00893CB0">
        <w:rPr>
          <w:rFonts w:ascii="Arial Narrow" w:hAnsi="Arial Narrow"/>
          <w:bCs/>
        </w:rPr>
        <w:t xml:space="preserve"> на обща стойност 442 401,93</w:t>
      </w:r>
      <w:r>
        <w:rPr>
          <w:rFonts w:ascii="Arial Narrow" w:hAnsi="Arial Narrow"/>
          <w:bCs/>
        </w:rPr>
        <w:t xml:space="preserve"> </w:t>
      </w:r>
      <w:r w:rsidRPr="00893CB0">
        <w:rPr>
          <w:rFonts w:ascii="Arial Narrow" w:hAnsi="Arial Narrow"/>
          <w:bCs/>
        </w:rPr>
        <w:t>лева.</w:t>
      </w:r>
    </w:p>
    <w:p w14:paraId="1B8071E4" w14:textId="77777777" w:rsidR="000D5944" w:rsidRPr="000F3252" w:rsidRDefault="000D5944" w:rsidP="00D7438A">
      <w:pPr>
        <w:shd w:val="clear" w:color="auto" w:fill="FFFFFF"/>
        <w:spacing w:after="120"/>
        <w:ind w:firstLine="708"/>
        <w:jc w:val="both"/>
        <w:rPr>
          <w:rFonts w:ascii="Arial Narrow" w:hAnsi="Arial Narrow"/>
          <w:highlight w:val="yellow"/>
          <w:u w:val="single"/>
        </w:rPr>
      </w:pPr>
    </w:p>
    <w:p w14:paraId="299E0A53" w14:textId="77777777" w:rsidR="007543AA" w:rsidRPr="000D5944" w:rsidRDefault="003959CF" w:rsidP="00513FF4">
      <w:pPr>
        <w:pStyle w:val="Heading1"/>
        <w:keepLines w:val="0"/>
        <w:numPr>
          <w:ilvl w:val="0"/>
          <w:numId w:val="14"/>
        </w:numPr>
        <w:tabs>
          <w:tab w:val="num" w:pos="360"/>
        </w:tabs>
        <w:overflowPunct w:val="0"/>
        <w:autoSpaceDE w:val="0"/>
        <w:autoSpaceDN w:val="0"/>
        <w:adjustRightInd w:val="0"/>
        <w:spacing w:before="240" w:after="120"/>
        <w:ind w:left="270" w:firstLine="10"/>
        <w:textAlignment w:val="baseline"/>
        <w:rPr>
          <w:rFonts w:ascii="Arial Narrow" w:hAnsi="Arial Narrow"/>
          <w:color w:val="auto"/>
          <w:sz w:val="24"/>
          <w:szCs w:val="24"/>
          <w:lang w:val="bg-BG"/>
        </w:rPr>
      </w:pPr>
      <w:bookmarkStart w:id="128" w:name="_Toc210747599"/>
      <w:r w:rsidRPr="000D5944">
        <w:rPr>
          <w:rFonts w:ascii="Arial Narrow" w:hAnsi="Arial Narrow"/>
          <w:color w:val="auto"/>
          <w:sz w:val="24"/>
          <w:szCs w:val="24"/>
          <w:lang w:val="bg-BG"/>
        </w:rPr>
        <w:t>Д</w:t>
      </w:r>
      <w:r w:rsidR="006B0B15" w:rsidRPr="000D5944">
        <w:rPr>
          <w:rFonts w:ascii="Arial Narrow" w:hAnsi="Arial Narrow"/>
          <w:color w:val="auto"/>
          <w:sz w:val="24"/>
          <w:szCs w:val="24"/>
          <w:lang w:val="bg-BG"/>
        </w:rPr>
        <w:t>ЕЙНОСТИ, СВЪРЗАНИ СЪС ЗЕМЕДЕЛСКОТО ПРОИЗВОДСТВО</w:t>
      </w:r>
      <w:bookmarkEnd w:id="128"/>
    </w:p>
    <w:p w14:paraId="2EFEEB78" w14:textId="77777777" w:rsidR="00B54243" w:rsidRPr="000D5944" w:rsidRDefault="00B54243" w:rsidP="005178DE">
      <w:pPr>
        <w:pStyle w:val="ListParagraph"/>
        <w:numPr>
          <w:ilvl w:val="0"/>
          <w:numId w:val="3"/>
        </w:numPr>
        <w:spacing w:after="120"/>
        <w:ind w:left="357" w:firstLine="3"/>
        <w:contextualSpacing w:val="0"/>
        <w:outlineLvl w:val="0"/>
        <w:rPr>
          <w:rFonts w:ascii="Arial Narrow" w:hAnsi="Arial Narrow" w:cs="Arial"/>
          <w:b/>
          <w:lang w:val="bg-BG"/>
        </w:rPr>
      </w:pPr>
      <w:bookmarkStart w:id="129" w:name="_Toc210747600"/>
      <w:r w:rsidRPr="000D5944">
        <w:rPr>
          <w:rFonts w:ascii="Arial Narrow" w:hAnsi="Arial Narrow" w:cs="Arial"/>
          <w:b/>
          <w:lang w:val="bg-BG"/>
        </w:rPr>
        <w:t>Контрол на земеделска и горска техника</w:t>
      </w:r>
      <w:bookmarkEnd w:id="129"/>
    </w:p>
    <w:p w14:paraId="049C21DB" w14:textId="77777777" w:rsidR="000D5944" w:rsidRPr="000D5944" w:rsidRDefault="00B54243" w:rsidP="000D5944">
      <w:pPr>
        <w:pStyle w:val="ListParagraph"/>
        <w:numPr>
          <w:ilvl w:val="1"/>
          <w:numId w:val="3"/>
        </w:numPr>
        <w:spacing w:after="120"/>
        <w:outlineLvl w:val="0"/>
        <w:rPr>
          <w:rFonts w:ascii="Arial Narrow" w:hAnsi="Arial Narrow" w:cs="Arial"/>
          <w:b/>
          <w:lang w:val="bg-BG"/>
        </w:rPr>
      </w:pPr>
      <w:bookmarkStart w:id="130" w:name="_Toc210747601"/>
      <w:r w:rsidRPr="000D5944">
        <w:rPr>
          <w:rFonts w:ascii="Arial Narrow" w:hAnsi="Arial Narrow" w:cs="Arial"/>
          <w:b/>
          <w:lang w:val="bg-BG"/>
        </w:rPr>
        <w:t>Регистрация на земеделска и горска техника</w:t>
      </w:r>
      <w:bookmarkEnd w:id="130"/>
    </w:p>
    <w:p w14:paraId="74CB7811" w14:textId="77777777" w:rsidR="000D5944" w:rsidRPr="00837FE5" w:rsidRDefault="000D5944" w:rsidP="000D5944">
      <w:pPr>
        <w:autoSpaceDE w:val="0"/>
        <w:autoSpaceDN w:val="0"/>
        <w:adjustRightInd w:val="0"/>
        <w:spacing w:after="120"/>
        <w:ind w:firstLine="720"/>
        <w:jc w:val="both"/>
        <w:rPr>
          <w:rFonts w:ascii="Arial Narrow" w:hAnsi="Arial Narrow" w:cs="Verdana"/>
          <w:lang w:val="bg-BG"/>
        </w:rPr>
      </w:pPr>
      <w:r w:rsidRPr="00837FE5">
        <w:rPr>
          <w:rFonts w:ascii="Arial Narrow" w:hAnsi="Arial Narrow" w:cs="Verdana"/>
          <w:lang w:val="bg-BG"/>
        </w:rPr>
        <w:t xml:space="preserve">Регистрацията на земеделската и горската техника позволява да се следи техническото състояние на всяка машина, да се контролира тяхната безопасност при работа и транспорт, да се поддържа база данни с всички машини на територията на страната, да се проследява динамиката на обновление на машинно-тракторния парк. </w:t>
      </w:r>
    </w:p>
    <w:p w14:paraId="3CCA1624" w14:textId="77777777" w:rsidR="000D5944" w:rsidRDefault="000D5944" w:rsidP="000D5944">
      <w:pPr>
        <w:autoSpaceDE w:val="0"/>
        <w:autoSpaceDN w:val="0"/>
        <w:adjustRightInd w:val="0"/>
        <w:spacing w:after="120"/>
        <w:ind w:firstLine="720"/>
        <w:jc w:val="both"/>
        <w:rPr>
          <w:rFonts w:ascii="Arial Narrow" w:hAnsi="Arial Narrow" w:cs="Verdana"/>
          <w:lang w:val="bg-BG"/>
        </w:rPr>
      </w:pPr>
      <w:r w:rsidRPr="00837FE5">
        <w:rPr>
          <w:rFonts w:ascii="Arial Narrow" w:hAnsi="Arial Narrow" w:cs="Verdana"/>
          <w:lang w:val="bg-BG"/>
        </w:rPr>
        <w:t>През 202</w:t>
      </w:r>
      <w:r>
        <w:rPr>
          <w:rFonts w:ascii="Arial Narrow" w:hAnsi="Arial Narrow" w:cs="Verdana"/>
        </w:rPr>
        <w:t>4</w:t>
      </w:r>
      <w:r w:rsidRPr="00837FE5">
        <w:rPr>
          <w:rFonts w:ascii="Arial Narrow" w:hAnsi="Arial Narrow" w:cs="Verdana"/>
          <w:lang w:val="bg-BG"/>
        </w:rPr>
        <w:t xml:space="preserve"> г. в страната са регистрирани общо </w:t>
      </w:r>
      <w:r>
        <w:rPr>
          <w:rFonts w:ascii="Arial Narrow" w:hAnsi="Arial Narrow" w:cs="Verdana"/>
        </w:rPr>
        <w:t>30</w:t>
      </w:r>
      <w:r w:rsidRPr="00837FE5">
        <w:rPr>
          <w:rFonts w:ascii="Arial Narrow" w:hAnsi="Arial Narrow" w:cs="Verdana"/>
          <w:lang w:val="bg-BG"/>
        </w:rPr>
        <w:t xml:space="preserve"> </w:t>
      </w:r>
      <w:r>
        <w:rPr>
          <w:rFonts w:ascii="Arial Narrow" w:hAnsi="Arial Narrow" w:cs="Verdana"/>
        </w:rPr>
        <w:t>616</w:t>
      </w:r>
      <w:r w:rsidRPr="00837FE5">
        <w:rPr>
          <w:rFonts w:ascii="Arial Narrow" w:hAnsi="Arial Narrow" w:cs="Verdana"/>
          <w:lang w:val="bg-BG"/>
        </w:rPr>
        <w:t xml:space="preserve"> броя земеделска и горска техника, от които </w:t>
      </w:r>
      <w:r w:rsidRPr="002936D5">
        <w:rPr>
          <w:rFonts w:ascii="Arial Narrow" w:hAnsi="Arial Narrow" w:cs="Verdana"/>
          <w:lang w:val="bg-BG"/>
        </w:rPr>
        <w:t xml:space="preserve">10 </w:t>
      </w:r>
      <w:r>
        <w:rPr>
          <w:rFonts w:ascii="Arial Narrow" w:hAnsi="Arial Narrow" w:cs="Verdana"/>
        </w:rPr>
        <w:t>606</w:t>
      </w:r>
      <w:r w:rsidRPr="00837FE5">
        <w:rPr>
          <w:rFonts w:ascii="Arial Narrow" w:hAnsi="Arial Narrow" w:cs="Verdana"/>
          <w:lang w:val="bg-BG"/>
        </w:rPr>
        <w:t xml:space="preserve"> броя са нови машини. </w:t>
      </w:r>
    </w:p>
    <w:p w14:paraId="2FC0478F" w14:textId="77777777" w:rsidR="003F3468" w:rsidRPr="00837FE5" w:rsidRDefault="003F3468" w:rsidP="000D5944">
      <w:pPr>
        <w:autoSpaceDE w:val="0"/>
        <w:autoSpaceDN w:val="0"/>
        <w:adjustRightInd w:val="0"/>
        <w:spacing w:after="120"/>
        <w:ind w:firstLine="720"/>
        <w:jc w:val="both"/>
        <w:rPr>
          <w:rFonts w:ascii="Arial Narrow" w:hAnsi="Arial Narrow" w:cs="Verdana"/>
          <w:lang w:val="bg-BG"/>
        </w:rPr>
      </w:pPr>
    </w:p>
    <w:p w14:paraId="7E8602AD" w14:textId="77777777" w:rsidR="000D5944" w:rsidRPr="00D3727E" w:rsidRDefault="000D5944" w:rsidP="000D5944">
      <w:pPr>
        <w:spacing w:after="120"/>
        <w:rPr>
          <w:rFonts w:ascii="Arial Narrow" w:eastAsia="Calibri" w:hAnsi="Arial Narrow" w:cs="Arial"/>
          <w:b/>
          <w:lang w:val="bg-BG"/>
        </w:rPr>
      </w:pPr>
      <w:r w:rsidRPr="00D3727E">
        <w:rPr>
          <w:rFonts w:ascii="Arial Narrow" w:hAnsi="Arial Narrow"/>
          <w:b/>
          <w:lang w:val="bg-BG" w:eastAsia="bg-BG"/>
        </w:rPr>
        <w:t xml:space="preserve">Таблица V.1. </w:t>
      </w:r>
      <w:r w:rsidRPr="00D3727E">
        <w:rPr>
          <w:rFonts w:ascii="Arial Narrow" w:eastAsia="Calibri" w:hAnsi="Arial Narrow" w:cs="Arial"/>
          <w:b/>
          <w:lang w:val="bg-BG"/>
        </w:rPr>
        <w:t>Регистрирана земед</w:t>
      </w:r>
      <w:r>
        <w:rPr>
          <w:rFonts w:ascii="Arial Narrow" w:eastAsia="Calibri" w:hAnsi="Arial Narrow" w:cs="Arial"/>
          <w:b/>
          <w:lang w:val="bg-BG"/>
        </w:rPr>
        <w:t>елска и горска техника през 202</w:t>
      </w:r>
      <w:r>
        <w:rPr>
          <w:rFonts w:ascii="Arial Narrow" w:eastAsia="Calibri" w:hAnsi="Arial Narrow" w:cs="Arial"/>
          <w:b/>
        </w:rPr>
        <w:t>4</w:t>
      </w:r>
      <w:r w:rsidRPr="00D3727E">
        <w:rPr>
          <w:rFonts w:ascii="Arial Narrow" w:eastAsia="Calibri" w:hAnsi="Arial Narrow" w:cs="Arial"/>
          <w:b/>
          <w:lang w:val="bg-BG"/>
        </w:rPr>
        <w:t xml:space="preserve"> г.</w:t>
      </w:r>
    </w:p>
    <w:tbl>
      <w:tblPr>
        <w:tblW w:w="4930"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503"/>
        <w:gridCol w:w="2081"/>
        <w:gridCol w:w="2079"/>
      </w:tblGrid>
      <w:tr w:rsidR="000D5944" w:rsidRPr="00D3727E" w14:paraId="68CD550A" w14:textId="77777777" w:rsidTr="004E30CA">
        <w:trPr>
          <w:trHeight w:val="537"/>
          <w:tblHeader/>
        </w:trPr>
        <w:tc>
          <w:tcPr>
            <w:tcW w:w="2847" w:type="pct"/>
            <w:vAlign w:val="center"/>
            <w:hideMark/>
          </w:tcPr>
          <w:p w14:paraId="76219CDB" w14:textId="77777777" w:rsidR="000D5944" w:rsidRPr="00D3727E" w:rsidRDefault="000D5944" w:rsidP="00121CC1">
            <w:pPr>
              <w:jc w:val="center"/>
              <w:rPr>
                <w:rFonts w:ascii="Arial Narrow" w:hAnsi="Arial Narrow" w:cs="Calibri"/>
                <w:b/>
                <w:bCs/>
                <w:color w:val="000000"/>
                <w:sz w:val="20"/>
                <w:szCs w:val="20"/>
                <w:lang w:val="bg-BG" w:eastAsia="bg-BG"/>
              </w:rPr>
            </w:pPr>
            <w:r w:rsidRPr="00D3727E">
              <w:rPr>
                <w:rFonts w:ascii="Arial Narrow" w:hAnsi="Arial Narrow" w:cs="Calibri"/>
                <w:b/>
                <w:bCs/>
                <w:color w:val="000000"/>
                <w:sz w:val="20"/>
                <w:szCs w:val="20"/>
                <w:lang w:val="bg-BG" w:eastAsia="bg-BG"/>
              </w:rPr>
              <w:t>Вид техника</w:t>
            </w:r>
          </w:p>
        </w:tc>
        <w:tc>
          <w:tcPr>
            <w:tcW w:w="1077" w:type="pct"/>
            <w:shd w:val="clear" w:color="auto" w:fill="auto"/>
            <w:vAlign w:val="center"/>
            <w:hideMark/>
          </w:tcPr>
          <w:p w14:paraId="028B8110" w14:textId="77777777" w:rsidR="000D5944" w:rsidRPr="00D3727E" w:rsidRDefault="000D5944" w:rsidP="00121CC1">
            <w:pPr>
              <w:jc w:val="center"/>
              <w:rPr>
                <w:rFonts w:ascii="Arial Narrow" w:hAnsi="Arial Narrow" w:cs="Calibri"/>
                <w:b/>
                <w:bCs/>
                <w:color w:val="000000"/>
                <w:sz w:val="20"/>
                <w:szCs w:val="20"/>
                <w:lang w:val="bg-BG" w:eastAsia="bg-BG"/>
              </w:rPr>
            </w:pPr>
            <w:r w:rsidRPr="00D3727E">
              <w:rPr>
                <w:rFonts w:ascii="Arial Narrow" w:hAnsi="Arial Narrow" w:cs="Calibri"/>
                <w:b/>
                <w:bCs/>
                <w:color w:val="000000"/>
                <w:sz w:val="20"/>
                <w:szCs w:val="20"/>
                <w:lang w:val="bg-BG" w:eastAsia="bg-BG"/>
              </w:rPr>
              <w:t>Общо</w:t>
            </w:r>
          </w:p>
        </w:tc>
        <w:tc>
          <w:tcPr>
            <w:tcW w:w="1076" w:type="pct"/>
            <w:shd w:val="clear" w:color="auto" w:fill="auto"/>
            <w:vAlign w:val="center"/>
            <w:hideMark/>
          </w:tcPr>
          <w:p w14:paraId="3CE2EDE6" w14:textId="77777777" w:rsidR="000D5944" w:rsidRPr="00D3727E" w:rsidRDefault="000D5944" w:rsidP="00121CC1">
            <w:pPr>
              <w:jc w:val="center"/>
              <w:rPr>
                <w:rFonts w:ascii="Arial Narrow" w:hAnsi="Arial Narrow" w:cs="Calibri"/>
                <w:b/>
                <w:bCs/>
                <w:color w:val="000000"/>
                <w:sz w:val="20"/>
                <w:szCs w:val="20"/>
                <w:lang w:val="bg-BG" w:eastAsia="bg-BG"/>
              </w:rPr>
            </w:pPr>
            <w:r w:rsidRPr="00D3727E">
              <w:rPr>
                <w:rFonts w:ascii="Arial Narrow" w:hAnsi="Arial Narrow" w:cs="Calibri"/>
                <w:b/>
                <w:bCs/>
                <w:color w:val="000000"/>
                <w:sz w:val="20"/>
                <w:szCs w:val="20"/>
                <w:lang w:val="bg-BG" w:eastAsia="bg-BG"/>
              </w:rPr>
              <w:t>в т.ч. нови машини</w:t>
            </w:r>
          </w:p>
        </w:tc>
      </w:tr>
      <w:tr w:rsidR="000D5944" w:rsidRPr="00D3727E" w14:paraId="606B383D" w14:textId="77777777" w:rsidTr="004E30CA">
        <w:trPr>
          <w:trHeight w:val="340"/>
        </w:trPr>
        <w:tc>
          <w:tcPr>
            <w:tcW w:w="2847" w:type="pct"/>
            <w:shd w:val="clear" w:color="auto" w:fill="auto"/>
            <w:noWrap/>
            <w:vAlign w:val="center"/>
          </w:tcPr>
          <w:p w14:paraId="2844523A" w14:textId="77777777" w:rsidR="000D5944" w:rsidRPr="00D3727E" w:rsidRDefault="000D5944" w:rsidP="00121CC1">
            <w:pPr>
              <w:rPr>
                <w:rFonts w:ascii="Arial Narrow" w:hAnsi="Arial Narrow" w:cs="Calibri"/>
                <w:color w:val="000000"/>
                <w:sz w:val="20"/>
                <w:szCs w:val="20"/>
                <w:lang w:val="bg-BG" w:eastAsia="bg-BG"/>
              </w:rPr>
            </w:pPr>
            <w:r w:rsidRPr="00D3727E">
              <w:rPr>
                <w:rFonts w:ascii="Arial Narrow" w:hAnsi="Arial Narrow" w:cs="Calibri"/>
                <w:color w:val="000000"/>
                <w:sz w:val="20"/>
                <w:szCs w:val="20"/>
                <w:lang w:val="bg-BG" w:eastAsia="bg-BG"/>
              </w:rPr>
              <w:t>Верижни трактори</w:t>
            </w:r>
          </w:p>
        </w:tc>
        <w:tc>
          <w:tcPr>
            <w:tcW w:w="10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0133CA2" w14:textId="77777777" w:rsidR="000D5944" w:rsidRPr="00E403F0" w:rsidRDefault="000D5944" w:rsidP="00121CC1">
            <w:pPr>
              <w:jc w:val="right"/>
              <w:rPr>
                <w:rFonts w:ascii="Arial Narrow" w:eastAsia="Calibri" w:hAnsi="Arial Narrow" w:cs="Calibri"/>
                <w:bCs/>
                <w:color w:val="000000"/>
                <w:sz w:val="22"/>
                <w:szCs w:val="22"/>
              </w:rPr>
            </w:pPr>
            <w:r>
              <w:rPr>
                <w:rFonts w:ascii="Arial Narrow" w:hAnsi="Arial Narrow" w:cs="Calibri"/>
                <w:color w:val="000000"/>
                <w:sz w:val="20"/>
                <w:szCs w:val="20"/>
              </w:rPr>
              <w:t>96</w:t>
            </w:r>
          </w:p>
        </w:tc>
        <w:tc>
          <w:tcPr>
            <w:tcW w:w="1076" w:type="pct"/>
            <w:tcBorders>
              <w:top w:val="single" w:sz="4" w:space="0" w:color="auto"/>
              <w:left w:val="nil"/>
              <w:bottom w:val="single" w:sz="4" w:space="0" w:color="auto"/>
              <w:right w:val="single" w:sz="4" w:space="0" w:color="auto"/>
            </w:tcBorders>
            <w:shd w:val="clear" w:color="auto" w:fill="auto"/>
            <w:noWrap/>
            <w:vAlign w:val="center"/>
          </w:tcPr>
          <w:p w14:paraId="5D09EA37" w14:textId="77777777" w:rsidR="000D5944" w:rsidRPr="00E403F0" w:rsidRDefault="000D5944" w:rsidP="00121CC1">
            <w:pPr>
              <w:jc w:val="right"/>
              <w:rPr>
                <w:rFonts w:ascii="Arial Narrow" w:eastAsia="Calibri" w:hAnsi="Arial Narrow" w:cs="Calibri"/>
                <w:bCs/>
                <w:color w:val="000000"/>
                <w:sz w:val="22"/>
                <w:szCs w:val="22"/>
              </w:rPr>
            </w:pPr>
            <w:r>
              <w:rPr>
                <w:rFonts w:ascii="Arial Narrow" w:hAnsi="Arial Narrow" w:cs="Calibri"/>
                <w:color w:val="000000"/>
                <w:sz w:val="20"/>
                <w:szCs w:val="20"/>
              </w:rPr>
              <w:t>9</w:t>
            </w:r>
          </w:p>
        </w:tc>
      </w:tr>
      <w:tr w:rsidR="000D5944" w:rsidRPr="00D3727E" w14:paraId="457D70F5" w14:textId="77777777" w:rsidTr="004E30CA">
        <w:trPr>
          <w:trHeight w:val="340"/>
        </w:trPr>
        <w:tc>
          <w:tcPr>
            <w:tcW w:w="2847" w:type="pct"/>
            <w:shd w:val="clear" w:color="auto" w:fill="auto"/>
            <w:noWrap/>
            <w:vAlign w:val="center"/>
          </w:tcPr>
          <w:p w14:paraId="0C596A75" w14:textId="77777777" w:rsidR="000D5944" w:rsidRPr="00D3727E" w:rsidRDefault="000D5944" w:rsidP="00121CC1">
            <w:pPr>
              <w:rPr>
                <w:rFonts w:ascii="Arial Narrow" w:hAnsi="Arial Narrow" w:cs="Calibri"/>
                <w:color w:val="000000"/>
                <w:sz w:val="20"/>
                <w:szCs w:val="20"/>
                <w:lang w:val="bg-BG" w:eastAsia="bg-BG"/>
              </w:rPr>
            </w:pPr>
            <w:r w:rsidRPr="00D3727E">
              <w:rPr>
                <w:rFonts w:ascii="Arial Narrow" w:hAnsi="Arial Narrow" w:cs="Calibri"/>
                <w:color w:val="000000"/>
                <w:sz w:val="20"/>
                <w:szCs w:val="20"/>
                <w:lang w:val="bg-BG" w:eastAsia="bg-BG"/>
              </w:rPr>
              <w:t>Колесни трактори</w:t>
            </w:r>
          </w:p>
        </w:tc>
        <w:tc>
          <w:tcPr>
            <w:tcW w:w="1077" w:type="pct"/>
            <w:tcBorders>
              <w:top w:val="nil"/>
              <w:left w:val="single" w:sz="4" w:space="0" w:color="auto"/>
              <w:bottom w:val="single" w:sz="4" w:space="0" w:color="auto"/>
              <w:right w:val="single" w:sz="4" w:space="0" w:color="auto"/>
            </w:tcBorders>
            <w:shd w:val="clear" w:color="auto" w:fill="auto"/>
            <w:noWrap/>
            <w:vAlign w:val="center"/>
          </w:tcPr>
          <w:p w14:paraId="5D55CC5D" w14:textId="77777777" w:rsidR="000D5944" w:rsidRPr="00E403F0" w:rsidRDefault="000D5944" w:rsidP="00121CC1">
            <w:pPr>
              <w:jc w:val="right"/>
              <w:rPr>
                <w:rFonts w:ascii="Arial Narrow" w:eastAsia="Calibri" w:hAnsi="Arial Narrow" w:cs="Calibri"/>
                <w:bCs/>
                <w:color w:val="000000"/>
                <w:sz w:val="22"/>
                <w:szCs w:val="22"/>
              </w:rPr>
            </w:pPr>
            <w:r>
              <w:rPr>
                <w:rFonts w:ascii="Arial Narrow" w:hAnsi="Arial Narrow" w:cs="Calibri"/>
                <w:color w:val="000000"/>
                <w:sz w:val="20"/>
                <w:szCs w:val="20"/>
              </w:rPr>
              <w:t>7 580</w:t>
            </w:r>
          </w:p>
        </w:tc>
        <w:tc>
          <w:tcPr>
            <w:tcW w:w="1076" w:type="pct"/>
            <w:tcBorders>
              <w:top w:val="nil"/>
              <w:left w:val="nil"/>
              <w:bottom w:val="single" w:sz="4" w:space="0" w:color="auto"/>
              <w:right w:val="single" w:sz="4" w:space="0" w:color="auto"/>
            </w:tcBorders>
            <w:shd w:val="clear" w:color="auto" w:fill="auto"/>
            <w:noWrap/>
            <w:vAlign w:val="center"/>
          </w:tcPr>
          <w:p w14:paraId="3F8DFF06" w14:textId="77777777" w:rsidR="000D5944" w:rsidRPr="00E403F0" w:rsidRDefault="000D5944" w:rsidP="00121CC1">
            <w:pPr>
              <w:jc w:val="right"/>
              <w:rPr>
                <w:rFonts w:ascii="Arial Narrow" w:eastAsia="Calibri" w:hAnsi="Arial Narrow" w:cs="Calibri"/>
                <w:bCs/>
                <w:color w:val="000000"/>
                <w:sz w:val="22"/>
                <w:szCs w:val="22"/>
              </w:rPr>
            </w:pPr>
            <w:r>
              <w:rPr>
                <w:rFonts w:ascii="Arial Narrow" w:hAnsi="Arial Narrow" w:cs="Calibri"/>
                <w:color w:val="000000"/>
                <w:sz w:val="20"/>
                <w:szCs w:val="20"/>
              </w:rPr>
              <w:t>1 367</w:t>
            </w:r>
          </w:p>
        </w:tc>
      </w:tr>
      <w:tr w:rsidR="000D5944" w:rsidRPr="00D3727E" w14:paraId="7A888348" w14:textId="77777777" w:rsidTr="004E30CA">
        <w:trPr>
          <w:trHeight w:val="340"/>
        </w:trPr>
        <w:tc>
          <w:tcPr>
            <w:tcW w:w="2847" w:type="pct"/>
            <w:shd w:val="clear" w:color="auto" w:fill="auto"/>
            <w:noWrap/>
            <w:vAlign w:val="center"/>
          </w:tcPr>
          <w:p w14:paraId="7863306E" w14:textId="77777777" w:rsidR="000D5944" w:rsidRPr="00D3727E" w:rsidRDefault="000D5944" w:rsidP="00121CC1">
            <w:pPr>
              <w:rPr>
                <w:rFonts w:ascii="Arial Narrow" w:hAnsi="Arial Narrow" w:cs="Calibri"/>
                <w:color w:val="000000"/>
                <w:sz w:val="20"/>
                <w:szCs w:val="20"/>
                <w:lang w:val="bg-BG" w:eastAsia="bg-BG"/>
              </w:rPr>
            </w:pPr>
            <w:r w:rsidRPr="00D3727E">
              <w:rPr>
                <w:rFonts w:ascii="Arial Narrow" w:hAnsi="Arial Narrow" w:cs="Calibri"/>
                <w:color w:val="000000"/>
                <w:sz w:val="20"/>
                <w:szCs w:val="20"/>
                <w:lang w:val="bg-BG" w:eastAsia="bg-BG"/>
              </w:rPr>
              <w:t>Самоходни шасита</w:t>
            </w:r>
          </w:p>
        </w:tc>
        <w:tc>
          <w:tcPr>
            <w:tcW w:w="1077" w:type="pct"/>
            <w:tcBorders>
              <w:top w:val="nil"/>
              <w:left w:val="single" w:sz="4" w:space="0" w:color="auto"/>
              <w:bottom w:val="single" w:sz="4" w:space="0" w:color="auto"/>
              <w:right w:val="single" w:sz="4" w:space="0" w:color="auto"/>
            </w:tcBorders>
            <w:shd w:val="clear" w:color="auto" w:fill="auto"/>
            <w:noWrap/>
            <w:vAlign w:val="center"/>
          </w:tcPr>
          <w:p w14:paraId="1045EC77" w14:textId="77777777" w:rsidR="000D5944" w:rsidRPr="00E403F0" w:rsidRDefault="000D5944" w:rsidP="00121CC1">
            <w:pPr>
              <w:jc w:val="right"/>
              <w:rPr>
                <w:rFonts w:ascii="Arial Narrow" w:eastAsia="Calibri" w:hAnsi="Arial Narrow" w:cs="Calibri"/>
                <w:bCs/>
                <w:color w:val="000000"/>
                <w:sz w:val="22"/>
                <w:szCs w:val="22"/>
              </w:rPr>
            </w:pPr>
            <w:r>
              <w:rPr>
                <w:rFonts w:ascii="Arial Narrow" w:hAnsi="Arial Narrow" w:cs="Calibri"/>
                <w:color w:val="000000"/>
                <w:sz w:val="20"/>
                <w:szCs w:val="20"/>
              </w:rPr>
              <w:t>6 539</w:t>
            </w:r>
          </w:p>
        </w:tc>
        <w:tc>
          <w:tcPr>
            <w:tcW w:w="1076" w:type="pct"/>
            <w:tcBorders>
              <w:top w:val="nil"/>
              <w:left w:val="nil"/>
              <w:bottom w:val="single" w:sz="4" w:space="0" w:color="auto"/>
              <w:right w:val="single" w:sz="4" w:space="0" w:color="auto"/>
            </w:tcBorders>
            <w:shd w:val="clear" w:color="auto" w:fill="auto"/>
            <w:noWrap/>
            <w:vAlign w:val="center"/>
          </w:tcPr>
          <w:p w14:paraId="658D587C" w14:textId="77777777" w:rsidR="000D5944" w:rsidRPr="00E403F0" w:rsidRDefault="000D5944" w:rsidP="00121CC1">
            <w:pPr>
              <w:jc w:val="right"/>
              <w:rPr>
                <w:rFonts w:ascii="Arial Narrow" w:eastAsia="Calibri" w:hAnsi="Arial Narrow" w:cs="Calibri"/>
                <w:bCs/>
                <w:color w:val="000000"/>
                <w:sz w:val="22"/>
                <w:szCs w:val="22"/>
              </w:rPr>
            </w:pPr>
            <w:r>
              <w:rPr>
                <w:rFonts w:ascii="Arial Narrow" w:hAnsi="Arial Narrow" w:cs="Calibri"/>
                <w:color w:val="000000"/>
                <w:sz w:val="20"/>
                <w:szCs w:val="20"/>
              </w:rPr>
              <w:t>2 184</w:t>
            </w:r>
          </w:p>
        </w:tc>
      </w:tr>
      <w:tr w:rsidR="000D5944" w:rsidRPr="00D3727E" w14:paraId="5F5AE5C3" w14:textId="77777777" w:rsidTr="004E30CA">
        <w:trPr>
          <w:trHeight w:val="340"/>
        </w:trPr>
        <w:tc>
          <w:tcPr>
            <w:tcW w:w="2847" w:type="pct"/>
            <w:shd w:val="clear" w:color="auto" w:fill="auto"/>
            <w:noWrap/>
            <w:vAlign w:val="center"/>
          </w:tcPr>
          <w:p w14:paraId="6221531F" w14:textId="77777777" w:rsidR="000D5944" w:rsidRPr="00D3727E" w:rsidRDefault="000D5944" w:rsidP="00121CC1">
            <w:pPr>
              <w:rPr>
                <w:rFonts w:ascii="Arial Narrow" w:hAnsi="Arial Narrow" w:cs="Calibri"/>
                <w:color w:val="000000"/>
                <w:sz w:val="20"/>
                <w:szCs w:val="20"/>
                <w:lang w:val="bg-BG" w:eastAsia="bg-BG"/>
              </w:rPr>
            </w:pPr>
            <w:r w:rsidRPr="00D3727E">
              <w:rPr>
                <w:rFonts w:ascii="Arial Narrow" w:hAnsi="Arial Narrow" w:cs="Calibri"/>
                <w:color w:val="000000"/>
                <w:sz w:val="20"/>
                <w:szCs w:val="20"/>
                <w:lang w:val="bg-BG" w:eastAsia="bg-BG"/>
              </w:rPr>
              <w:t>Друга самоходна техника</w:t>
            </w:r>
          </w:p>
        </w:tc>
        <w:tc>
          <w:tcPr>
            <w:tcW w:w="1077" w:type="pct"/>
            <w:tcBorders>
              <w:top w:val="nil"/>
              <w:left w:val="single" w:sz="4" w:space="0" w:color="auto"/>
              <w:bottom w:val="single" w:sz="4" w:space="0" w:color="auto"/>
              <w:right w:val="single" w:sz="4" w:space="0" w:color="auto"/>
            </w:tcBorders>
            <w:shd w:val="clear" w:color="auto" w:fill="auto"/>
            <w:noWrap/>
            <w:vAlign w:val="center"/>
          </w:tcPr>
          <w:p w14:paraId="337EB0BE" w14:textId="77777777" w:rsidR="000D5944" w:rsidRPr="00E403F0" w:rsidRDefault="000D5944" w:rsidP="00121CC1">
            <w:pPr>
              <w:jc w:val="right"/>
              <w:rPr>
                <w:rFonts w:ascii="Arial Narrow" w:eastAsia="Calibri" w:hAnsi="Arial Narrow" w:cs="Calibri"/>
                <w:bCs/>
                <w:color w:val="000000"/>
                <w:sz w:val="22"/>
                <w:szCs w:val="22"/>
              </w:rPr>
            </w:pPr>
            <w:r>
              <w:rPr>
                <w:rFonts w:ascii="Arial Narrow" w:hAnsi="Arial Narrow" w:cs="Calibri"/>
                <w:color w:val="000000"/>
                <w:sz w:val="20"/>
                <w:szCs w:val="20"/>
              </w:rPr>
              <w:t>114</w:t>
            </w:r>
          </w:p>
        </w:tc>
        <w:tc>
          <w:tcPr>
            <w:tcW w:w="1076" w:type="pct"/>
            <w:tcBorders>
              <w:top w:val="nil"/>
              <w:left w:val="nil"/>
              <w:bottom w:val="single" w:sz="4" w:space="0" w:color="auto"/>
              <w:right w:val="single" w:sz="4" w:space="0" w:color="auto"/>
            </w:tcBorders>
            <w:shd w:val="clear" w:color="auto" w:fill="auto"/>
            <w:noWrap/>
            <w:vAlign w:val="center"/>
          </w:tcPr>
          <w:p w14:paraId="1E4F32C1" w14:textId="77777777" w:rsidR="000D5944" w:rsidRPr="00E403F0" w:rsidRDefault="000D5944" w:rsidP="00121CC1">
            <w:pPr>
              <w:jc w:val="right"/>
              <w:rPr>
                <w:rFonts w:ascii="Arial Narrow" w:eastAsia="Calibri" w:hAnsi="Arial Narrow" w:cs="Calibri"/>
                <w:bCs/>
                <w:color w:val="000000"/>
                <w:sz w:val="22"/>
                <w:szCs w:val="22"/>
              </w:rPr>
            </w:pPr>
            <w:r>
              <w:rPr>
                <w:rFonts w:ascii="Arial Narrow" w:hAnsi="Arial Narrow" w:cs="Calibri"/>
                <w:color w:val="000000"/>
                <w:sz w:val="20"/>
                <w:szCs w:val="20"/>
              </w:rPr>
              <w:t>1</w:t>
            </w:r>
          </w:p>
        </w:tc>
      </w:tr>
      <w:tr w:rsidR="000D5944" w:rsidRPr="00D3727E" w14:paraId="632AF6B7" w14:textId="77777777" w:rsidTr="004E30CA">
        <w:trPr>
          <w:trHeight w:val="340"/>
        </w:trPr>
        <w:tc>
          <w:tcPr>
            <w:tcW w:w="2847" w:type="pct"/>
            <w:shd w:val="clear" w:color="auto" w:fill="auto"/>
            <w:noWrap/>
            <w:vAlign w:val="center"/>
          </w:tcPr>
          <w:p w14:paraId="3D2D46E7" w14:textId="77777777" w:rsidR="000D5944" w:rsidRPr="00D3727E" w:rsidRDefault="000D5944" w:rsidP="00121CC1">
            <w:pPr>
              <w:rPr>
                <w:rFonts w:ascii="Arial Narrow" w:hAnsi="Arial Narrow" w:cs="Calibri"/>
                <w:color w:val="000000"/>
                <w:sz w:val="20"/>
                <w:szCs w:val="20"/>
                <w:lang w:val="bg-BG" w:eastAsia="bg-BG"/>
              </w:rPr>
            </w:pPr>
            <w:r w:rsidRPr="00D3727E">
              <w:rPr>
                <w:rFonts w:ascii="Arial Narrow" w:hAnsi="Arial Narrow" w:cs="Calibri"/>
                <w:color w:val="000000"/>
                <w:sz w:val="20"/>
                <w:szCs w:val="20"/>
                <w:lang w:val="bg-BG" w:eastAsia="bg-BG"/>
              </w:rPr>
              <w:t>Тракторни ремаркета</w:t>
            </w:r>
          </w:p>
        </w:tc>
        <w:tc>
          <w:tcPr>
            <w:tcW w:w="1077" w:type="pct"/>
            <w:tcBorders>
              <w:top w:val="nil"/>
              <w:left w:val="single" w:sz="4" w:space="0" w:color="auto"/>
              <w:bottom w:val="single" w:sz="4" w:space="0" w:color="auto"/>
              <w:right w:val="single" w:sz="4" w:space="0" w:color="auto"/>
            </w:tcBorders>
            <w:shd w:val="clear" w:color="auto" w:fill="auto"/>
            <w:noWrap/>
            <w:vAlign w:val="center"/>
          </w:tcPr>
          <w:p w14:paraId="0D05D653" w14:textId="77777777" w:rsidR="000D5944" w:rsidRPr="00E403F0" w:rsidRDefault="000D5944" w:rsidP="00121CC1">
            <w:pPr>
              <w:jc w:val="right"/>
              <w:rPr>
                <w:rFonts w:ascii="Arial Narrow" w:eastAsia="Calibri" w:hAnsi="Arial Narrow" w:cs="Calibri"/>
                <w:bCs/>
                <w:color w:val="000000"/>
                <w:sz w:val="22"/>
                <w:szCs w:val="22"/>
              </w:rPr>
            </w:pPr>
            <w:r>
              <w:rPr>
                <w:rFonts w:ascii="Arial Narrow" w:hAnsi="Arial Narrow" w:cs="Calibri"/>
                <w:color w:val="000000"/>
                <w:sz w:val="20"/>
                <w:szCs w:val="20"/>
              </w:rPr>
              <w:t>2 372</w:t>
            </w:r>
          </w:p>
        </w:tc>
        <w:tc>
          <w:tcPr>
            <w:tcW w:w="1076" w:type="pct"/>
            <w:tcBorders>
              <w:top w:val="nil"/>
              <w:left w:val="nil"/>
              <w:bottom w:val="single" w:sz="4" w:space="0" w:color="auto"/>
              <w:right w:val="single" w:sz="4" w:space="0" w:color="auto"/>
            </w:tcBorders>
            <w:shd w:val="clear" w:color="auto" w:fill="auto"/>
            <w:noWrap/>
            <w:vAlign w:val="center"/>
          </w:tcPr>
          <w:p w14:paraId="33FBEFCA" w14:textId="77777777" w:rsidR="000D5944" w:rsidRPr="00E403F0" w:rsidRDefault="000D5944" w:rsidP="00121CC1">
            <w:pPr>
              <w:jc w:val="right"/>
              <w:rPr>
                <w:rFonts w:ascii="Arial Narrow" w:eastAsia="Calibri" w:hAnsi="Arial Narrow" w:cs="Calibri"/>
                <w:bCs/>
                <w:color w:val="000000"/>
                <w:sz w:val="22"/>
                <w:szCs w:val="22"/>
              </w:rPr>
            </w:pPr>
            <w:r>
              <w:rPr>
                <w:rFonts w:ascii="Arial Narrow" w:hAnsi="Arial Narrow" w:cs="Calibri"/>
                <w:color w:val="000000"/>
                <w:sz w:val="20"/>
                <w:szCs w:val="20"/>
              </w:rPr>
              <w:t>692</w:t>
            </w:r>
          </w:p>
        </w:tc>
      </w:tr>
      <w:tr w:rsidR="000D5944" w:rsidRPr="00D3727E" w14:paraId="272B8F61" w14:textId="77777777" w:rsidTr="004E30CA">
        <w:trPr>
          <w:trHeight w:val="340"/>
        </w:trPr>
        <w:tc>
          <w:tcPr>
            <w:tcW w:w="2847" w:type="pct"/>
            <w:shd w:val="clear" w:color="auto" w:fill="auto"/>
            <w:noWrap/>
            <w:vAlign w:val="center"/>
          </w:tcPr>
          <w:p w14:paraId="0247BEA0" w14:textId="77777777" w:rsidR="000D5944" w:rsidRPr="00D3727E" w:rsidRDefault="000D5944" w:rsidP="00121CC1">
            <w:pPr>
              <w:rPr>
                <w:rFonts w:ascii="Arial Narrow" w:hAnsi="Arial Narrow" w:cs="Calibri"/>
                <w:color w:val="000000"/>
                <w:sz w:val="20"/>
                <w:szCs w:val="20"/>
                <w:lang w:val="bg-BG" w:eastAsia="bg-BG"/>
              </w:rPr>
            </w:pPr>
            <w:r w:rsidRPr="00D3727E">
              <w:rPr>
                <w:rFonts w:ascii="Arial Narrow" w:hAnsi="Arial Narrow" w:cs="Calibri"/>
                <w:color w:val="000000"/>
                <w:sz w:val="20"/>
                <w:szCs w:val="20"/>
                <w:lang w:val="bg-BG" w:eastAsia="bg-BG"/>
              </w:rPr>
              <w:t>Горска техника</w:t>
            </w:r>
          </w:p>
        </w:tc>
        <w:tc>
          <w:tcPr>
            <w:tcW w:w="1077" w:type="pct"/>
            <w:tcBorders>
              <w:top w:val="nil"/>
              <w:left w:val="single" w:sz="4" w:space="0" w:color="auto"/>
              <w:bottom w:val="single" w:sz="4" w:space="0" w:color="auto"/>
              <w:right w:val="single" w:sz="4" w:space="0" w:color="auto"/>
            </w:tcBorders>
            <w:shd w:val="clear" w:color="auto" w:fill="auto"/>
            <w:noWrap/>
            <w:vAlign w:val="center"/>
          </w:tcPr>
          <w:p w14:paraId="1568A212" w14:textId="77777777" w:rsidR="000D5944" w:rsidRPr="00E403F0" w:rsidRDefault="000D5944" w:rsidP="00121CC1">
            <w:pPr>
              <w:jc w:val="right"/>
              <w:rPr>
                <w:rFonts w:ascii="Arial Narrow" w:eastAsia="Calibri" w:hAnsi="Arial Narrow" w:cs="Calibri"/>
                <w:bCs/>
                <w:color w:val="000000"/>
                <w:sz w:val="22"/>
                <w:szCs w:val="22"/>
              </w:rPr>
            </w:pPr>
            <w:r>
              <w:rPr>
                <w:rFonts w:ascii="Arial Narrow" w:hAnsi="Arial Narrow" w:cs="Calibri"/>
                <w:color w:val="000000"/>
                <w:sz w:val="20"/>
                <w:szCs w:val="20"/>
              </w:rPr>
              <w:t>1 665</w:t>
            </w:r>
          </w:p>
        </w:tc>
        <w:tc>
          <w:tcPr>
            <w:tcW w:w="1076" w:type="pct"/>
            <w:tcBorders>
              <w:top w:val="nil"/>
              <w:left w:val="nil"/>
              <w:bottom w:val="single" w:sz="4" w:space="0" w:color="auto"/>
              <w:right w:val="single" w:sz="4" w:space="0" w:color="auto"/>
            </w:tcBorders>
            <w:shd w:val="clear" w:color="auto" w:fill="auto"/>
            <w:noWrap/>
            <w:vAlign w:val="center"/>
          </w:tcPr>
          <w:p w14:paraId="6A1E4AE1" w14:textId="77777777" w:rsidR="000D5944" w:rsidRPr="00E403F0" w:rsidRDefault="000D5944" w:rsidP="00121CC1">
            <w:pPr>
              <w:jc w:val="right"/>
              <w:rPr>
                <w:rFonts w:ascii="Arial Narrow" w:eastAsia="Calibri" w:hAnsi="Arial Narrow" w:cs="Calibri"/>
                <w:bCs/>
                <w:color w:val="000000"/>
                <w:sz w:val="22"/>
                <w:szCs w:val="22"/>
              </w:rPr>
            </w:pPr>
            <w:r>
              <w:rPr>
                <w:rFonts w:ascii="Arial Narrow" w:hAnsi="Arial Narrow" w:cs="Calibri"/>
                <w:color w:val="000000"/>
                <w:sz w:val="20"/>
                <w:szCs w:val="20"/>
              </w:rPr>
              <w:t>592</w:t>
            </w:r>
          </w:p>
        </w:tc>
      </w:tr>
      <w:tr w:rsidR="000D5944" w:rsidRPr="00D3727E" w14:paraId="4DE6546C" w14:textId="77777777" w:rsidTr="004E30CA">
        <w:trPr>
          <w:trHeight w:val="340"/>
        </w:trPr>
        <w:tc>
          <w:tcPr>
            <w:tcW w:w="2847" w:type="pct"/>
            <w:shd w:val="clear" w:color="auto" w:fill="auto"/>
            <w:noWrap/>
            <w:vAlign w:val="center"/>
          </w:tcPr>
          <w:p w14:paraId="4D283675" w14:textId="77777777" w:rsidR="000D5944" w:rsidRPr="00D3727E" w:rsidRDefault="000D5944" w:rsidP="00121CC1">
            <w:pPr>
              <w:rPr>
                <w:rFonts w:ascii="Arial Narrow" w:hAnsi="Arial Narrow" w:cs="Calibri"/>
                <w:color w:val="000000"/>
                <w:sz w:val="20"/>
                <w:szCs w:val="20"/>
                <w:lang w:val="bg-BG" w:eastAsia="bg-BG"/>
              </w:rPr>
            </w:pPr>
            <w:r w:rsidRPr="00D3727E">
              <w:rPr>
                <w:rFonts w:ascii="Arial Narrow" w:hAnsi="Arial Narrow" w:cs="Calibri"/>
                <w:color w:val="000000"/>
                <w:sz w:val="20"/>
                <w:szCs w:val="20"/>
                <w:lang w:val="bg-BG" w:eastAsia="bg-BG"/>
              </w:rPr>
              <w:t>Зърнокомбайни</w:t>
            </w:r>
          </w:p>
        </w:tc>
        <w:tc>
          <w:tcPr>
            <w:tcW w:w="1077" w:type="pct"/>
            <w:tcBorders>
              <w:top w:val="nil"/>
              <w:left w:val="single" w:sz="4" w:space="0" w:color="auto"/>
              <w:bottom w:val="single" w:sz="4" w:space="0" w:color="auto"/>
              <w:right w:val="single" w:sz="4" w:space="0" w:color="auto"/>
            </w:tcBorders>
            <w:shd w:val="clear" w:color="auto" w:fill="auto"/>
            <w:noWrap/>
            <w:vAlign w:val="center"/>
          </w:tcPr>
          <w:p w14:paraId="1ABE0584" w14:textId="77777777" w:rsidR="000D5944" w:rsidRPr="00E403F0" w:rsidRDefault="000D5944" w:rsidP="00121CC1">
            <w:pPr>
              <w:jc w:val="right"/>
              <w:rPr>
                <w:rFonts w:ascii="Arial Narrow" w:eastAsia="Calibri" w:hAnsi="Arial Narrow" w:cs="Calibri"/>
                <w:bCs/>
                <w:color w:val="000000"/>
                <w:sz w:val="22"/>
                <w:szCs w:val="22"/>
              </w:rPr>
            </w:pPr>
            <w:r>
              <w:rPr>
                <w:rFonts w:ascii="Arial Narrow" w:hAnsi="Arial Narrow" w:cs="Calibri"/>
                <w:color w:val="000000"/>
                <w:sz w:val="20"/>
                <w:szCs w:val="20"/>
              </w:rPr>
              <w:t>712</w:t>
            </w:r>
          </w:p>
        </w:tc>
        <w:tc>
          <w:tcPr>
            <w:tcW w:w="1076" w:type="pct"/>
            <w:tcBorders>
              <w:top w:val="nil"/>
              <w:left w:val="nil"/>
              <w:bottom w:val="single" w:sz="4" w:space="0" w:color="auto"/>
              <w:right w:val="single" w:sz="4" w:space="0" w:color="auto"/>
            </w:tcBorders>
            <w:shd w:val="clear" w:color="auto" w:fill="auto"/>
            <w:noWrap/>
            <w:vAlign w:val="center"/>
          </w:tcPr>
          <w:p w14:paraId="06E658B9" w14:textId="77777777" w:rsidR="000D5944" w:rsidRPr="00E403F0" w:rsidRDefault="000D5944" w:rsidP="00121CC1">
            <w:pPr>
              <w:jc w:val="right"/>
              <w:rPr>
                <w:rFonts w:ascii="Arial Narrow" w:eastAsia="Calibri" w:hAnsi="Arial Narrow" w:cs="Calibri"/>
                <w:bCs/>
                <w:color w:val="000000"/>
                <w:sz w:val="22"/>
                <w:szCs w:val="22"/>
              </w:rPr>
            </w:pPr>
            <w:r>
              <w:rPr>
                <w:rFonts w:ascii="Arial Narrow" w:hAnsi="Arial Narrow" w:cs="Calibri"/>
                <w:color w:val="000000"/>
                <w:sz w:val="20"/>
                <w:szCs w:val="20"/>
              </w:rPr>
              <w:t>99</w:t>
            </w:r>
          </w:p>
        </w:tc>
      </w:tr>
      <w:tr w:rsidR="000D5944" w:rsidRPr="00D3727E" w14:paraId="22F85B80" w14:textId="77777777" w:rsidTr="004E30CA">
        <w:trPr>
          <w:trHeight w:val="340"/>
        </w:trPr>
        <w:tc>
          <w:tcPr>
            <w:tcW w:w="2847" w:type="pct"/>
            <w:shd w:val="clear" w:color="auto" w:fill="auto"/>
            <w:noWrap/>
            <w:vAlign w:val="center"/>
          </w:tcPr>
          <w:p w14:paraId="18419B50" w14:textId="77777777" w:rsidR="000D5944" w:rsidRPr="00D3727E" w:rsidRDefault="000D5944" w:rsidP="00121CC1">
            <w:pPr>
              <w:rPr>
                <w:rFonts w:ascii="Arial Narrow" w:hAnsi="Arial Narrow" w:cs="Calibri"/>
                <w:color w:val="000000"/>
                <w:sz w:val="20"/>
                <w:szCs w:val="20"/>
                <w:lang w:val="bg-BG" w:eastAsia="bg-BG"/>
              </w:rPr>
            </w:pPr>
            <w:r w:rsidRPr="00D3727E">
              <w:rPr>
                <w:rFonts w:ascii="Arial Narrow" w:hAnsi="Arial Narrow" w:cs="Calibri"/>
                <w:color w:val="000000"/>
                <w:sz w:val="20"/>
                <w:szCs w:val="20"/>
                <w:lang w:val="bg-BG" w:eastAsia="bg-BG"/>
              </w:rPr>
              <w:t>Самоходни силажокомбайни</w:t>
            </w:r>
          </w:p>
        </w:tc>
        <w:tc>
          <w:tcPr>
            <w:tcW w:w="1077" w:type="pct"/>
            <w:tcBorders>
              <w:top w:val="nil"/>
              <w:left w:val="single" w:sz="4" w:space="0" w:color="auto"/>
              <w:bottom w:val="single" w:sz="4" w:space="0" w:color="auto"/>
              <w:right w:val="single" w:sz="4" w:space="0" w:color="auto"/>
            </w:tcBorders>
            <w:shd w:val="clear" w:color="auto" w:fill="auto"/>
            <w:noWrap/>
            <w:vAlign w:val="center"/>
          </w:tcPr>
          <w:p w14:paraId="27F00B01" w14:textId="77777777" w:rsidR="000D5944" w:rsidRPr="00E403F0" w:rsidRDefault="000D5944" w:rsidP="00121CC1">
            <w:pPr>
              <w:jc w:val="right"/>
              <w:rPr>
                <w:rFonts w:ascii="Arial Narrow" w:eastAsia="Calibri" w:hAnsi="Arial Narrow" w:cs="Calibri"/>
                <w:bCs/>
                <w:color w:val="000000"/>
                <w:sz w:val="22"/>
                <w:szCs w:val="22"/>
              </w:rPr>
            </w:pPr>
            <w:r>
              <w:rPr>
                <w:rFonts w:ascii="Arial Narrow" w:hAnsi="Arial Narrow" w:cs="Calibri"/>
                <w:color w:val="000000"/>
                <w:sz w:val="20"/>
                <w:szCs w:val="20"/>
              </w:rPr>
              <w:t>36</w:t>
            </w:r>
          </w:p>
        </w:tc>
        <w:tc>
          <w:tcPr>
            <w:tcW w:w="1076" w:type="pct"/>
            <w:tcBorders>
              <w:top w:val="nil"/>
              <w:left w:val="nil"/>
              <w:bottom w:val="single" w:sz="4" w:space="0" w:color="auto"/>
              <w:right w:val="single" w:sz="4" w:space="0" w:color="auto"/>
            </w:tcBorders>
            <w:shd w:val="clear" w:color="auto" w:fill="auto"/>
            <w:noWrap/>
            <w:vAlign w:val="center"/>
          </w:tcPr>
          <w:p w14:paraId="3EE2EF05" w14:textId="77777777" w:rsidR="000D5944" w:rsidRPr="00E403F0" w:rsidRDefault="000D5944" w:rsidP="00121CC1">
            <w:pPr>
              <w:jc w:val="right"/>
              <w:rPr>
                <w:rFonts w:ascii="Arial Narrow" w:eastAsia="Calibri" w:hAnsi="Arial Narrow" w:cs="Calibri"/>
                <w:bCs/>
                <w:color w:val="000000"/>
                <w:sz w:val="22"/>
                <w:szCs w:val="22"/>
              </w:rPr>
            </w:pPr>
            <w:r>
              <w:rPr>
                <w:rFonts w:ascii="Arial Narrow" w:hAnsi="Arial Narrow" w:cs="Calibri"/>
                <w:color w:val="000000"/>
                <w:sz w:val="20"/>
                <w:szCs w:val="20"/>
              </w:rPr>
              <w:t>0</w:t>
            </w:r>
          </w:p>
        </w:tc>
      </w:tr>
      <w:tr w:rsidR="000D5944" w:rsidRPr="00D3727E" w14:paraId="5BFBF45A" w14:textId="77777777" w:rsidTr="004E30CA">
        <w:trPr>
          <w:trHeight w:val="340"/>
        </w:trPr>
        <w:tc>
          <w:tcPr>
            <w:tcW w:w="2847" w:type="pct"/>
            <w:shd w:val="clear" w:color="auto" w:fill="auto"/>
            <w:noWrap/>
            <w:vAlign w:val="center"/>
          </w:tcPr>
          <w:p w14:paraId="2CDAF852" w14:textId="77777777" w:rsidR="000D5944" w:rsidRPr="00D3727E" w:rsidRDefault="000D5944" w:rsidP="00121CC1">
            <w:pPr>
              <w:rPr>
                <w:rFonts w:ascii="Arial Narrow" w:hAnsi="Arial Narrow" w:cs="Calibri"/>
                <w:color w:val="000000"/>
                <w:sz w:val="20"/>
                <w:szCs w:val="20"/>
                <w:lang w:val="bg-BG" w:eastAsia="bg-BG"/>
              </w:rPr>
            </w:pPr>
            <w:r w:rsidRPr="00D3727E">
              <w:rPr>
                <w:rFonts w:ascii="Arial Narrow" w:hAnsi="Arial Narrow" w:cs="Calibri"/>
                <w:color w:val="000000"/>
                <w:sz w:val="20"/>
                <w:szCs w:val="20"/>
                <w:lang w:val="bg-BG" w:eastAsia="bg-BG"/>
              </w:rPr>
              <w:t>Други самоходни машини</w:t>
            </w:r>
          </w:p>
        </w:tc>
        <w:tc>
          <w:tcPr>
            <w:tcW w:w="1077" w:type="pct"/>
            <w:tcBorders>
              <w:top w:val="nil"/>
              <w:left w:val="single" w:sz="4" w:space="0" w:color="auto"/>
              <w:bottom w:val="single" w:sz="4" w:space="0" w:color="auto"/>
              <w:right w:val="single" w:sz="4" w:space="0" w:color="auto"/>
            </w:tcBorders>
            <w:shd w:val="clear" w:color="auto" w:fill="auto"/>
            <w:noWrap/>
            <w:vAlign w:val="center"/>
          </w:tcPr>
          <w:p w14:paraId="67752BD1" w14:textId="77777777" w:rsidR="000D5944" w:rsidRPr="00E403F0" w:rsidRDefault="000D5944" w:rsidP="00121CC1">
            <w:pPr>
              <w:jc w:val="right"/>
              <w:rPr>
                <w:rFonts w:ascii="Arial Narrow" w:eastAsia="Calibri" w:hAnsi="Arial Narrow" w:cs="Calibri"/>
                <w:bCs/>
                <w:color w:val="000000"/>
                <w:sz w:val="22"/>
                <w:szCs w:val="22"/>
              </w:rPr>
            </w:pPr>
            <w:r>
              <w:rPr>
                <w:rFonts w:ascii="Arial Narrow" w:hAnsi="Arial Narrow" w:cs="Calibri"/>
                <w:color w:val="000000"/>
                <w:sz w:val="20"/>
                <w:szCs w:val="20"/>
              </w:rPr>
              <w:t>108</w:t>
            </w:r>
          </w:p>
        </w:tc>
        <w:tc>
          <w:tcPr>
            <w:tcW w:w="1076" w:type="pct"/>
            <w:tcBorders>
              <w:top w:val="nil"/>
              <w:left w:val="nil"/>
              <w:bottom w:val="single" w:sz="4" w:space="0" w:color="auto"/>
              <w:right w:val="single" w:sz="4" w:space="0" w:color="auto"/>
            </w:tcBorders>
            <w:shd w:val="clear" w:color="auto" w:fill="auto"/>
            <w:noWrap/>
            <w:vAlign w:val="center"/>
          </w:tcPr>
          <w:p w14:paraId="151EDC73" w14:textId="77777777" w:rsidR="000D5944" w:rsidRPr="00E403F0" w:rsidRDefault="000D5944" w:rsidP="00121CC1">
            <w:pPr>
              <w:jc w:val="right"/>
              <w:rPr>
                <w:rFonts w:ascii="Arial Narrow" w:eastAsia="Calibri" w:hAnsi="Arial Narrow" w:cs="Calibri"/>
                <w:bCs/>
                <w:color w:val="000000"/>
                <w:sz w:val="22"/>
                <w:szCs w:val="22"/>
              </w:rPr>
            </w:pPr>
            <w:r>
              <w:rPr>
                <w:rFonts w:ascii="Arial Narrow" w:hAnsi="Arial Narrow" w:cs="Calibri"/>
                <w:color w:val="000000"/>
                <w:sz w:val="20"/>
                <w:szCs w:val="20"/>
              </w:rPr>
              <w:t>32</w:t>
            </w:r>
          </w:p>
        </w:tc>
      </w:tr>
      <w:tr w:rsidR="000D5944" w:rsidRPr="00D3727E" w14:paraId="5B434A60" w14:textId="77777777" w:rsidTr="004E30CA">
        <w:trPr>
          <w:trHeight w:val="340"/>
        </w:trPr>
        <w:tc>
          <w:tcPr>
            <w:tcW w:w="2847" w:type="pct"/>
            <w:shd w:val="clear" w:color="auto" w:fill="auto"/>
            <w:noWrap/>
            <w:vAlign w:val="center"/>
          </w:tcPr>
          <w:p w14:paraId="6BDA12F5" w14:textId="77777777" w:rsidR="000D5944" w:rsidRPr="00D3727E" w:rsidRDefault="000D5944" w:rsidP="00121CC1">
            <w:pPr>
              <w:rPr>
                <w:rFonts w:ascii="Arial Narrow" w:hAnsi="Arial Narrow" w:cs="Calibri"/>
                <w:color w:val="000000"/>
                <w:sz w:val="20"/>
                <w:szCs w:val="20"/>
                <w:lang w:val="bg-BG" w:eastAsia="bg-BG"/>
              </w:rPr>
            </w:pPr>
            <w:r w:rsidRPr="00D3727E">
              <w:rPr>
                <w:rFonts w:ascii="Arial Narrow" w:hAnsi="Arial Narrow" w:cs="Calibri"/>
                <w:color w:val="000000"/>
                <w:sz w:val="20"/>
                <w:szCs w:val="20"/>
                <w:lang w:val="bg-BG" w:eastAsia="bg-BG"/>
              </w:rPr>
              <w:lastRenderedPageBreak/>
              <w:t>Машини за сеитба и садене</w:t>
            </w:r>
          </w:p>
        </w:tc>
        <w:tc>
          <w:tcPr>
            <w:tcW w:w="1077" w:type="pct"/>
            <w:tcBorders>
              <w:top w:val="nil"/>
              <w:left w:val="single" w:sz="4" w:space="0" w:color="auto"/>
              <w:bottom w:val="single" w:sz="4" w:space="0" w:color="auto"/>
              <w:right w:val="single" w:sz="4" w:space="0" w:color="auto"/>
            </w:tcBorders>
            <w:shd w:val="clear" w:color="auto" w:fill="auto"/>
            <w:noWrap/>
            <w:vAlign w:val="center"/>
          </w:tcPr>
          <w:p w14:paraId="28164148" w14:textId="77777777" w:rsidR="000D5944" w:rsidRPr="00E403F0" w:rsidRDefault="000D5944" w:rsidP="00121CC1">
            <w:pPr>
              <w:jc w:val="right"/>
              <w:rPr>
                <w:rFonts w:ascii="Arial Narrow" w:eastAsia="Calibri" w:hAnsi="Arial Narrow" w:cs="Calibri"/>
                <w:bCs/>
                <w:color w:val="000000"/>
                <w:sz w:val="22"/>
                <w:szCs w:val="22"/>
              </w:rPr>
            </w:pPr>
            <w:r>
              <w:rPr>
                <w:rFonts w:ascii="Arial Narrow" w:hAnsi="Arial Narrow" w:cs="Calibri"/>
                <w:color w:val="000000"/>
                <w:sz w:val="20"/>
                <w:szCs w:val="20"/>
              </w:rPr>
              <w:t>1 311</w:t>
            </w:r>
          </w:p>
        </w:tc>
        <w:tc>
          <w:tcPr>
            <w:tcW w:w="1076" w:type="pct"/>
            <w:tcBorders>
              <w:top w:val="nil"/>
              <w:left w:val="nil"/>
              <w:bottom w:val="single" w:sz="4" w:space="0" w:color="auto"/>
              <w:right w:val="single" w:sz="4" w:space="0" w:color="auto"/>
            </w:tcBorders>
            <w:shd w:val="clear" w:color="auto" w:fill="auto"/>
            <w:noWrap/>
            <w:vAlign w:val="center"/>
          </w:tcPr>
          <w:p w14:paraId="78D33FCB" w14:textId="77777777" w:rsidR="000D5944" w:rsidRPr="00E403F0" w:rsidRDefault="000D5944" w:rsidP="00121CC1">
            <w:pPr>
              <w:jc w:val="right"/>
              <w:rPr>
                <w:rFonts w:ascii="Arial Narrow" w:eastAsia="Calibri" w:hAnsi="Arial Narrow" w:cs="Calibri"/>
                <w:bCs/>
                <w:color w:val="000000"/>
                <w:sz w:val="22"/>
                <w:szCs w:val="22"/>
              </w:rPr>
            </w:pPr>
            <w:r>
              <w:rPr>
                <w:rFonts w:ascii="Arial Narrow" w:hAnsi="Arial Narrow" w:cs="Calibri"/>
                <w:color w:val="000000"/>
                <w:sz w:val="20"/>
                <w:szCs w:val="20"/>
              </w:rPr>
              <w:t>646</w:t>
            </w:r>
          </w:p>
        </w:tc>
      </w:tr>
      <w:tr w:rsidR="000D5944" w:rsidRPr="00D3727E" w14:paraId="4930D6FB" w14:textId="77777777" w:rsidTr="004E30CA">
        <w:trPr>
          <w:trHeight w:val="340"/>
        </w:trPr>
        <w:tc>
          <w:tcPr>
            <w:tcW w:w="2847" w:type="pct"/>
            <w:shd w:val="clear" w:color="auto" w:fill="auto"/>
            <w:noWrap/>
            <w:vAlign w:val="center"/>
          </w:tcPr>
          <w:p w14:paraId="3F8939FD" w14:textId="77777777" w:rsidR="000D5944" w:rsidRPr="00D3727E" w:rsidRDefault="000D5944" w:rsidP="00121CC1">
            <w:pPr>
              <w:rPr>
                <w:rFonts w:ascii="Arial Narrow" w:hAnsi="Arial Narrow" w:cs="Calibri"/>
                <w:color w:val="000000"/>
                <w:sz w:val="20"/>
                <w:szCs w:val="20"/>
                <w:lang w:val="bg-BG" w:eastAsia="bg-BG"/>
              </w:rPr>
            </w:pPr>
            <w:r w:rsidRPr="00D3727E">
              <w:rPr>
                <w:rFonts w:ascii="Arial Narrow" w:hAnsi="Arial Narrow" w:cs="Calibri"/>
                <w:color w:val="000000"/>
                <w:sz w:val="20"/>
                <w:szCs w:val="20"/>
                <w:lang w:val="bg-BG" w:eastAsia="bg-BG"/>
              </w:rPr>
              <w:t>Машини за торене и растителна защита</w:t>
            </w:r>
          </w:p>
        </w:tc>
        <w:tc>
          <w:tcPr>
            <w:tcW w:w="1077" w:type="pct"/>
            <w:tcBorders>
              <w:top w:val="nil"/>
              <w:left w:val="single" w:sz="4" w:space="0" w:color="auto"/>
              <w:bottom w:val="single" w:sz="4" w:space="0" w:color="auto"/>
              <w:right w:val="single" w:sz="4" w:space="0" w:color="auto"/>
            </w:tcBorders>
            <w:shd w:val="clear" w:color="auto" w:fill="auto"/>
            <w:noWrap/>
            <w:vAlign w:val="center"/>
          </w:tcPr>
          <w:p w14:paraId="0E827515" w14:textId="77777777" w:rsidR="000D5944" w:rsidRPr="00E403F0" w:rsidRDefault="000D5944" w:rsidP="00121CC1">
            <w:pPr>
              <w:jc w:val="right"/>
              <w:rPr>
                <w:rFonts w:ascii="Arial Narrow" w:eastAsia="Calibri" w:hAnsi="Arial Narrow" w:cs="Calibri"/>
                <w:bCs/>
                <w:color w:val="000000"/>
                <w:sz w:val="22"/>
                <w:szCs w:val="22"/>
              </w:rPr>
            </w:pPr>
            <w:r>
              <w:rPr>
                <w:rFonts w:ascii="Arial Narrow" w:hAnsi="Arial Narrow" w:cs="Calibri"/>
                <w:color w:val="000000"/>
                <w:sz w:val="20"/>
                <w:szCs w:val="20"/>
              </w:rPr>
              <w:t>3 670</w:t>
            </w:r>
          </w:p>
        </w:tc>
        <w:tc>
          <w:tcPr>
            <w:tcW w:w="1076" w:type="pct"/>
            <w:tcBorders>
              <w:top w:val="nil"/>
              <w:left w:val="nil"/>
              <w:bottom w:val="single" w:sz="4" w:space="0" w:color="auto"/>
              <w:right w:val="single" w:sz="4" w:space="0" w:color="auto"/>
            </w:tcBorders>
            <w:shd w:val="clear" w:color="auto" w:fill="auto"/>
            <w:noWrap/>
            <w:vAlign w:val="center"/>
          </w:tcPr>
          <w:p w14:paraId="3DD255C2" w14:textId="77777777" w:rsidR="000D5944" w:rsidRPr="00E403F0" w:rsidRDefault="000D5944" w:rsidP="00121CC1">
            <w:pPr>
              <w:jc w:val="right"/>
              <w:rPr>
                <w:rFonts w:ascii="Arial Narrow" w:eastAsia="Calibri" w:hAnsi="Arial Narrow" w:cs="Calibri"/>
                <w:bCs/>
                <w:color w:val="000000"/>
                <w:sz w:val="22"/>
                <w:szCs w:val="22"/>
              </w:rPr>
            </w:pPr>
            <w:r>
              <w:rPr>
                <w:rFonts w:ascii="Arial Narrow" w:hAnsi="Arial Narrow" w:cs="Calibri"/>
                <w:color w:val="000000"/>
                <w:sz w:val="20"/>
                <w:szCs w:val="20"/>
              </w:rPr>
              <w:t>1 440</w:t>
            </w:r>
          </w:p>
        </w:tc>
      </w:tr>
      <w:tr w:rsidR="000D5944" w:rsidRPr="00D3727E" w14:paraId="4579CB2B" w14:textId="77777777" w:rsidTr="004E30CA">
        <w:trPr>
          <w:trHeight w:val="340"/>
        </w:trPr>
        <w:tc>
          <w:tcPr>
            <w:tcW w:w="2847" w:type="pct"/>
            <w:shd w:val="clear" w:color="auto" w:fill="auto"/>
            <w:noWrap/>
            <w:vAlign w:val="center"/>
          </w:tcPr>
          <w:p w14:paraId="71B43D69" w14:textId="77777777" w:rsidR="000D5944" w:rsidRPr="00D3727E" w:rsidRDefault="000D5944" w:rsidP="00121CC1">
            <w:pPr>
              <w:rPr>
                <w:rFonts w:ascii="Arial Narrow" w:hAnsi="Arial Narrow" w:cs="Calibri"/>
                <w:color w:val="000000"/>
                <w:sz w:val="20"/>
                <w:szCs w:val="20"/>
                <w:lang w:val="bg-BG" w:eastAsia="bg-BG"/>
              </w:rPr>
            </w:pPr>
            <w:r w:rsidRPr="00D3727E">
              <w:rPr>
                <w:rFonts w:ascii="Arial Narrow" w:hAnsi="Arial Narrow" w:cs="Calibri"/>
                <w:color w:val="000000"/>
                <w:sz w:val="20"/>
                <w:szCs w:val="20"/>
                <w:lang w:val="bg-BG" w:eastAsia="bg-BG"/>
              </w:rPr>
              <w:t>Фуражоприбиращи и фуражопреработващи</w:t>
            </w:r>
          </w:p>
        </w:tc>
        <w:tc>
          <w:tcPr>
            <w:tcW w:w="1077" w:type="pct"/>
            <w:tcBorders>
              <w:top w:val="nil"/>
              <w:left w:val="single" w:sz="4" w:space="0" w:color="auto"/>
              <w:bottom w:val="single" w:sz="4" w:space="0" w:color="auto"/>
              <w:right w:val="single" w:sz="4" w:space="0" w:color="auto"/>
            </w:tcBorders>
            <w:shd w:val="clear" w:color="auto" w:fill="auto"/>
            <w:noWrap/>
            <w:vAlign w:val="center"/>
          </w:tcPr>
          <w:p w14:paraId="2AA4EA5E" w14:textId="77777777" w:rsidR="000D5944" w:rsidRPr="00E403F0" w:rsidRDefault="000D5944" w:rsidP="00121CC1">
            <w:pPr>
              <w:jc w:val="right"/>
              <w:rPr>
                <w:rFonts w:ascii="Arial Narrow" w:eastAsia="Calibri" w:hAnsi="Arial Narrow" w:cs="Calibri"/>
                <w:bCs/>
                <w:color w:val="000000"/>
                <w:sz w:val="22"/>
                <w:szCs w:val="22"/>
              </w:rPr>
            </w:pPr>
            <w:r>
              <w:rPr>
                <w:rFonts w:ascii="Arial Narrow" w:hAnsi="Arial Narrow" w:cs="Calibri"/>
                <w:color w:val="000000"/>
                <w:sz w:val="20"/>
                <w:szCs w:val="20"/>
              </w:rPr>
              <w:t>3 108</w:t>
            </w:r>
          </w:p>
        </w:tc>
        <w:tc>
          <w:tcPr>
            <w:tcW w:w="1076" w:type="pct"/>
            <w:tcBorders>
              <w:top w:val="nil"/>
              <w:left w:val="nil"/>
              <w:bottom w:val="single" w:sz="4" w:space="0" w:color="auto"/>
              <w:right w:val="single" w:sz="4" w:space="0" w:color="auto"/>
            </w:tcBorders>
            <w:shd w:val="clear" w:color="auto" w:fill="auto"/>
            <w:noWrap/>
            <w:vAlign w:val="center"/>
          </w:tcPr>
          <w:p w14:paraId="13BFF07E" w14:textId="77777777" w:rsidR="000D5944" w:rsidRPr="00E403F0" w:rsidRDefault="000D5944" w:rsidP="00121CC1">
            <w:pPr>
              <w:jc w:val="right"/>
              <w:rPr>
                <w:rFonts w:ascii="Arial Narrow" w:eastAsia="Calibri" w:hAnsi="Arial Narrow" w:cs="Calibri"/>
                <w:bCs/>
                <w:color w:val="000000"/>
                <w:sz w:val="22"/>
                <w:szCs w:val="22"/>
              </w:rPr>
            </w:pPr>
            <w:r>
              <w:rPr>
                <w:rFonts w:ascii="Arial Narrow" w:hAnsi="Arial Narrow" w:cs="Calibri"/>
                <w:color w:val="000000"/>
                <w:sz w:val="20"/>
                <w:szCs w:val="20"/>
              </w:rPr>
              <w:t>1 718</w:t>
            </w:r>
          </w:p>
        </w:tc>
      </w:tr>
      <w:tr w:rsidR="000D5944" w:rsidRPr="00D3727E" w14:paraId="2ABD8E1A" w14:textId="77777777" w:rsidTr="004E30CA">
        <w:trPr>
          <w:trHeight w:val="340"/>
        </w:trPr>
        <w:tc>
          <w:tcPr>
            <w:tcW w:w="2847" w:type="pct"/>
            <w:shd w:val="clear" w:color="auto" w:fill="auto"/>
            <w:noWrap/>
            <w:vAlign w:val="center"/>
          </w:tcPr>
          <w:p w14:paraId="6C740FB4" w14:textId="77777777" w:rsidR="000D5944" w:rsidRPr="00D3727E" w:rsidRDefault="000D5944" w:rsidP="00121CC1">
            <w:pPr>
              <w:rPr>
                <w:rFonts w:ascii="Arial Narrow" w:hAnsi="Arial Narrow" w:cs="Calibri"/>
                <w:color w:val="000000"/>
                <w:sz w:val="20"/>
                <w:szCs w:val="20"/>
                <w:lang w:val="bg-BG" w:eastAsia="bg-BG"/>
              </w:rPr>
            </w:pPr>
            <w:r w:rsidRPr="00D3727E">
              <w:rPr>
                <w:rFonts w:ascii="Arial Narrow" w:hAnsi="Arial Narrow" w:cs="Calibri"/>
                <w:color w:val="000000"/>
                <w:sz w:val="20"/>
                <w:szCs w:val="20"/>
                <w:lang w:val="bg-BG" w:eastAsia="bg-BG"/>
              </w:rPr>
              <w:t>Почвообработващи</w:t>
            </w:r>
          </w:p>
        </w:tc>
        <w:tc>
          <w:tcPr>
            <w:tcW w:w="1077" w:type="pct"/>
            <w:tcBorders>
              <w:top w:val="nil"/>
              <w:left w:val="single" w:sz="4" w:space="0" w:color="auto"/>
              <w:bottom w:val="single" w:sz="4" w:space="0" w:color="auto"/>
              <w:right w:val="single" w:sz="4" w:space="0" w:color="auto"/>
            </w:tcBorders>
            <w:shd w:val="clear" w:color="auto" w:fill="auto"/>
            <w:noWrap/>
            <w:vAlign w:val="center"/>
          </w:tcPr>
          <w:p w14:paraId="3B8B597D" w14:textId="77777777" w:rsidR="000D5944" w:rsidRPr="00E403F0" w:rsidRDefault="000D5944" w:rsidP="00121CC1">
            <w:pPr>
              <w:jc w:val="right"/>
              <w:rPr>
                <w:rFonts w:ascii="Arial Narrow" w:eastAsia="Calibri" w:hAnsi="Arial Narrow" w:cs="Calibri"/>
                <w:bCs/>
                <w:color w:val="000000"/>
                <w:sz w:val="22"/>
                <w:szCs w:val="22"/>
              </w:rPr>
            </w:pPr>
            <w:r>
              <w:rPr>
                <w:rFonts w:ascii="Arial Narrow" w:hAnsi="Arial Narrow" w:cs="Calibri"/>
                <w:color w:val="000000"/>
                <w:sz w:val="20"/>
                <w:szCs w:val="20"/>
              </w:rPr>
              <w:t>3 172</w:t>
            </w:r>
          </w:p>
        </w:tc>
        <w:tc>
          <w:tcPr>
            <w:tcW w:w="1076" w:type="pct"/>
            <w:tcBorders>
              <w:top w:val="nil"/>
              <w:left w:val="nil"/>
              <w:bottom w:val="single" w:sz="4" w:space="0" w:color="auto"/>
              <w:right w:val="single" w:sz="4" w:space="0" w:color="auto"/>
            </w:tcBorders>
            <w:shd w:val="clear" w:color="auto" w:fill="auto"/>
            <w:noWrap/>
            <w:vAlign w:val="center"/>
          </w:tcPr>
          <w:p w14:paraId="6BF4D5DE" w14:textId="77777777" w:rsidR="000D5944" w:rsidRPr="00E403F0" w:rsidRDefault="000D5944" w:rsidP="00121CC1">
            <w:pPr>
              <w:jc w:val="right"/>
              <w:rPr>
                <w:rFonts w:ascii="Arial Narrow" w:eastAsia="Calibri" w:hAnsi="Arial Narrow" w:cs="Calibri"/>
                <w:bCs/>
                <w:color w:val="000000"/>
                <w:sz w:val="22"/>
                <w:szCs w:val="22"/>
              </w:rPr>
            </w:pPr>
            <w:r>
              <w:rPr>
                <w:rFonts w:ascii="Arial Narrow" w:hAnsi="Arial Narrow" w:cs="Calibri"/>
                <w:color w:val="000000"/>
                <w:sz w:val="20"/>
                <w:szCs w:val="20"/>
              </w:rPr>
              <w:t>1 724</w:t>
            </w:r>
          </w:p>
        </w:tc>
      </w:tr>
      <w:tr w:rsidR="000D5944" w:rsidRPr="00D3727E" w14:paraId="3C915C1C" w14:textId="77777777" w:rsidTr="004E30CA">
        <w:trPr>
          <w:trHeight w:val="340"/>
        </w:trPr>
        <w:tc>
          <w:tcPr>
            <w:tcW w:w="2847" w:type="pct"/>
            <w:shd w:val="clear" w:color="auto" w:fill="auto"/>
            <w:noWrap/>
            <w:vAlign w:val="center"/>
          </w:tcPr>
          <w:p w14:paraId="45013703" w14:textId="77777777" w:rsidR="000D5944" w:rsidRPr="00D3727E" w:rsidRDefault="000D5944" w:rsidP="00121CC1">
            <w:pPr>
              <w:rPr>
                <w:rFonts w:ascii="Arial Narrow" w:hAnsi="Arial Narrow" w:cs="Calibri"/>
                <w:color w:val="000000"/>
                <w:sz w:val="20"/>
                <w:szCs w:val="20"/>
                <w:lang w:val="bg-BG" w:eastAsia="bg-BG"/>
              </w:rPr>
            </w:pPr>
            <w:r w:rsidRPr="00D3727E">
              <w:rPr>
                <w:rFonts w:ascii="Arial Narrow" w:hAnsi="Arial Narrow" w:cs="Calibri"/>
                <w:color w:val="000000"/>
                <w:sz w:val="20"/>
                <w:szCs w:val="20"/>
                <w:lang w:val="bg-BG" w:eastAsia="bg-BG"/>
              </w:rPr>
              <w:t>Сушилни и други</w:t>
            </w:r>
          </w:p>
        </w:tc>
        <w:tc>
          <w:tcPr>
            <w:tcW w:w="1077" w:type="pct"/>
            <w:tcBorders>
              <w:top w:val="nil"/>
              <w:left w:val="single" w:sz="4" w:space="0" w:color="auto"/>
              <w:bottom w:val="single" w:sz="4" w:space="0" w:color="auto"/>
              <w:right w:val="single" w:sz="4" w:space="0" w:color="auto"/>
            </w:tcBorders>
            <w:shd w:val="clear" w:color="auto" w:fill="auto"/>
            <w:noWrap/>
            <w:vAlign w:val="center"/>
          </w:tcPr>
          <w:p w14:paraId="5AA85770" w14:textId="77777777" w:rsidR="000D5944" w:rsidRPr="00E403F0" w:rsidRDefault="000D5944" w:rsidP="00121CC1">
            <w:pPr>
              <w:jc w:val="right"/>
              <w:rPr>
                <w:rFonts w:ascii="Arial Narrow" w:eastAsia="Calibri" w:hAnsi="Arial Narrow" w:cs="Calibri"/>
                <w:bCs/>
                <w:color w:val="000000"/>
                <w:sz w:val="22"/>
                <w:szCs w:val="22"/>
              </w:rPr>
            </w:pPr>
            <w:r>
              <w:rPr>
                <w:rFonts w:ascii="Arial Narrow" w:hAnsi="Arial Narrow" w:cs="Calibri"/>
                <w:color w:val="000000"/>
                <w:sz w:val="20"/>
                <w:szCs w:val="20"/>
              </w:rPr>
              <w:t>3</w:t>
            </w:r>
          </w:p>
        </w:tc>
        <w:tc>
          <w:tcPr>
            <w:tcW w:w="1076" w:type="pct"/>
            <w:tcBorders>
              <w:top w:val="nil"/>
              <w:left w:val="nil"/>
              <w:bottom w:val="single" w:sz="4" w:space="0" w:color="auto"/>
              <w:right w:val="single" w:sz="4" w:space="0" w:color="auto"/>
            </w:tcBorders>
            <w:shd w:val="clear" w:color="auto" w:fill="auto"/>
            <w:noWrap/>
            <w:vAlign w:val="center"/>
          </w:tcPr>
          <w:p w14:paraId="072F4C5E" w14:textId="77777777" w:rsidR="000D5944" w:rsidRPr="00E403F0" w:rsidRDefault="000D5944" w:rsidP="00121CC1">
            <w:pPr>
              <w:jc w:val="right"/>
              <w:rPr>
                <w:rFonts w:ascii="Arial Narrow" w:eastAsia="Calibri" w:hAnsi="Arial Narrow" w:cs="Calibri"/>
                <w:bCs/>
                <w:color w:val="000000"/>
                <w:sz w:val="22"/>
                <w:szCs w:val="22"/>
              </w:rPr>
            </w:pPr>
            <w:r>
              <w:rPr>
                <w:rFonts w:ascii="Arial Narrow" w:hAnsi="Arial Narrow" w:cs="Calibri"/>
                <w:color w:val="000000"/>
                <w:sz w:val="20"/>
                <w:szCs w:val="20"/>
              </w:rPr>
              <w:t>0</w:t>
            </w:r>
          </w:p>
        </w:tc>
      </w:tr>
      <w:tr w:rsidR="000D5944" w:rsidRPr="00D3727E" w14:paraId="4D20CE89" w14:textId="77777777" w:rsidTr="004E30CA">
        <w:trPr>
          <w:trHeight w:val="340"/>
        </w:trPr>
        <w:tc>
          <w:tcPr>
            <w:tcW w:w="2847" w:type="pct"/>
            <w:shd w:val="clear" w:color="auto" w:fill="auto"/>
            <w:noWrap/>
            <w:vAlign w:val="center"/>
          </w:tcPr>
          <w:p w14:paraId="2F876D39" w14:textId="77777777" w:rsidR="000D5944" w:rsidRPr="00D3727E" w:rsidRDefault="000D5944" w:rsidP="00121CC1">
            <w:pPr>
              <w:rPr>
                <w:rFonts w:ascii="Arial Narrow" w:hAnsi="Arial Narrow" w:cs="Calibri"/>
                <w:color w:val="000000"/>
                <w:sz w:val="20"/>
                <w:szCs w:val="20"/>
                <w:lang w:val="bg-BG" w:eastAsia="bg-BG"/>
              </w:rPr>
            </w:pPr>
            <w:r w:rsidRPr="00D3727E">
              <w:rPr>
                <w:rFonts w:ascii="Arial Narrow" w:hAnsi="Arial Narrow" w:cs="Calibri"/>
                <w:color w:val="000000"/>
                <w:sz w:val="20"/>
                <w:szCs w:val="20"/>
                <w:lang w:val="bg-BG" w:eastAsia="bg-BG"/>
              </w:rPr>
              <w:t>Зърно и семепочистващи</w:t>
            </w:r>
          </w:p>
        </w:tc>
        <w:tc>
          <w:tcPr>
            <w:tcW w:w="1077" w:type="pct"/>
            <w:tcBorders>
              <w:top w:val="nil"/>
              <w:left w:val="single" w:sz="4" w:space="0" w:color="auto"/>
              <w:bottom w:val="single" w:sz="4" w:space="0" w:color="auto"/>
              <w:right w:val="single" w:sz="4" w:space="0" w:color="auto"/>
            </w:tcBorders>
            <w:shd w:val="clear" w:color="auto" w:fill="auto"/>
            <w:noWrap/>
            <w:vAlign w:val="center"/>
          </w:tcPr>
          <w:p w14:paraId="7975EF62" w14:textId="77777777" w:rsidR="000D5944" w:rsidRPr="00E403F0" w:rsidRDefault="000D5944" w:rsidP="00121CC1">
            <w:pPr>
              <w:jc w:val="right"/>
              <w:rPr>
                <w:rFonts w:ascii="Arial Narrow" w:eastAsia="Calibri" w:hAnsi="Arial Narrow" w:cs="Calibri"/>
                <w:bCs/>
                <w:color w:val="000000"/>
                <w:sz w:val="22"/>
                <w:szCs w:val="22"/>
              </w:rPr>
            </w:pPr>
            <w:r>
              <w:rPr>
                <w:rFonts w:ascii="Arial Narrow" w:hAnsi="Arial Narrow" w:cs="Calibri"/>
                <w:color w:val="000000"/>
                <w:sz w:val="20"/>
                <w:szCs w:val="20"/>
              </w:rPr>
              <w:t>18</w:t>
            </w:r>
          </w:p>
        </w:tc>
        <w:tc>
          <w:tcPr>
            <w:tcW w:w="1076" w:type="pct"/>
            <w:tcBorders>
              <w:top w:val="nil"/>
              <w:left w:val="nil"/>
              <w:bottom w:val="single" w:sz="4" w:space="0" w:color="auto"/>
              <w:right w:val="single" w:sz="4" w:space="0" w:color="auto"/>
            </w:tcBorders>
            <w:shd w:val="clear" w:color="auto" w:fill="auto"/>
            <w:noWrap/>
            <w:vAlign w:val="center"/>
          </w:tcPr>
          <w:p w14:paraId="3C6D6DF9" w14:textId="77777777" w:rsidR="000D5944" w:rsidRPr="00E403F0" w:rsidRDefault="000D5944" w:rsidP="00121CC1">
            <w:pPr>
              <w:jc w:val="right"/>
              <w:rPr>
                <w:rFonts w:ascii="Arial Narrow" w:eastAsia="Calibri" w:hAnsi="Arial Narrow" w:cs="Calibri"/>
                <w:bCs/>
                <w:color w:val="000000"/>
                <w:sz w:val="22"/>
                <w:szCs w:val="22"/>
              </w:rPr>
            </w:pPr>
            <w:r>
              <w:rPr>
                <w:rFonts w:ascii="Arial Narrow" w:hAnsi="Arial Narrow" w:cs="Calibri"/>
                <w:color w:val="000000"/>
                <w:sz w:val="20"/>
                <w:szCs w:val="20"/>
              </w:rPr>
              <w:t>14</w:t>
            </w:r>
          </w:p>
        </w:tc>
      </w:tr>
      <w:tr w:rsidR="000D5944" w:rsidRPr="00D3727E" w14:paraId="586864F7" w14:textId="77777777" w:rsidTr="004E30CA">
        <w:trPr>
          <w:trHeight w:val="340"/>
        </w:trPr>
        <w:tc>
          <w:tcPr>
            <w:tcW w:w="2847" w:type="pct"/>
            <w:shd w:val="clear" w:color="auto" w:fill="auto"/>
            <w:noWrap/>
            <w:vAlign w:val="center"/>
          </w:tcPr>
          <w:p w14:paraId="7EA038E1" w14:textId="77777777" w:rsidR="000D5944" w:rsidRPr="00D3727E" w:rsidRDefault="000D5944" w:rsidP="00121CC1">
            <w:pPr>
              <w:rPr>
                <w:rFonts w:ascii="Arial Narrow" w:hAnsi="Arial Narrow" w:cs="Calibri"/>
                <w:color w:val="000000"/>
                <w:sz w:val="20"/>
                <w:szCs w:val="20"/>
                <w:lang w:val="bg-BG" w:eastAsia="bg-BG"/>
              </w:rPr>
            </w:pPr>
            <w:r w:rsidRPr="00D3727E">
              <w:rPr>
                <w:rFonts w:ascii="Arial Narrow" w:hAnsi="Arial Narrow" w:cs="Calibri"/>
                <w:color w:val="000000"/>
                <w:sz w:val="20"/>
                <w:szCs w:val="20"/>
                <w:lang w:val="bg-BG" w:eastAsia="bg-BG"/>
              </w:rPr>
              <w:t>Машини за поливане</w:t>
            </w:r>
          </w:p>
        </w:tc>
        <w:tc>
          <w:tcPr>
            <w:tcW w:w="1077" w:type="pct"/>
            <w:tcBorders>
              <w:top w:val="nil"/>
              <w:left w:val="single" w:sz="4" w:space="0" w:color="auto"/>
              <w:bottom w:val="single" w:sz="4" w:space="0" w:color="auto"/>
              <w:right w:val="single" w:sz="4" w:space="0" w:color="auto"/>
            </w:tcBorders>
            <w:shd w:val="clear" w:color="auto" w:fill="auto"/>
            <w:noWrap/>
            <w:vAlign w:val="center"/>
          </w:tcPr>
          <w:p w14:paraId="63B30B25" w14:textId="77777777" w:rsidR="000D5944" w:rsidRPr="00E403F0" w:rsidRDefault="000D5944" w:rsidP="00121CC1">
            <w:pPr>
              <w:jc w:val="right"/>
              <w:rPr>
                <w:rFonts w:ascii="Arial Narrow" w:eastAsia="Calibri" w:hAnsi="Arial Narrow" w:cs="Calibri"/>
                <w:bCs/>
                <w:color w:val="000000"/>
                <w:sz w:val="22"/>
                <w:szCs w:val="22"/>
              </w:rPr>
            </w:pPr>
            <w:r>
              <w:rPr>
                <w:rFonts w:ascii="Arial Narrow" w:hAnsi="Arial Narrow" w:cs="Calibri"/>
                <w:color w:val="000000"/>
                <w:sz w:val="20"/>
                <w:szCs w:val="20"/>
              </w:rPr>
              <w:t>112</w:t>
            </w:r>
          </w:p>
        </w:tc>
        <w:tc>
          <w:tcPr>
            <w:tcW w:w="1076" w:type="pct"/>
            <w:tcBorders>
              <w:top w:val="nil"/>
              <w:left w:val="nil"/>
              <w:bottom w:val="single" w:sz="4" w:space="0" w:color="auto"/>
              <w:right w:val="single" w:sz="4" w:space="0" w:color="auto"/>
            </w:tcBorders>
            <w:shd w:val="clear" w:color="auto" w:fill="auto"/>
            <w:noWrap/>
            <w:vAlign w:val="center"/>
          </w:tcPr>
          <w:p w14:paraId="66BF6A93" w14:textId="77777777" w:rsidR="000D5944" w:rsidRPr="00E403F0" w:rsidRDefault="000D5944" w:rsidP="00121CC1">
            <w:pPr>
              <w:jc w:val="right"/>
              <w:rPr>
                <w:rFonts w:ascii="Arial Narrow" w:eastAsia="Calibri" w:hAnsi="Arial Narrow" w:cs="Calibri"/>
                <w:bCs/>
                <w:color w:val="000000"/>
                <w:sz w:val="22"/>
                <w:szCs w:val="22"/>
              </w:rPr>
            </w:pPr>
            <w:r>
              <w:rPr>
                <w:rFonts w:ascii="Arial Narrow" w:hAnsi="Arial Narrow" w:cs="Calibri"/>
                <w:color w:val="000000"/>
                <w:sz w:val="20"/>
                <w:szCs w:val="20"/>
              </w:rPr>
              <w:t>88</w:t>
            </w:r>
          </w:p>
        </w:tc>
      </w:tr>
      <w:tr w:rsidR="000D5944" w:rsidRPr="00D3727E" w14:paraId="3CAE9FE1" w14:textId="77777777" w:rsidTr="004E30CA">
        <w:trPr>
          <w:trHeight w:val="340"/>
        </w:trPr>
        <w:tc>
          <w:tcPr>
            <w:tcW w:w="2847" w:type="pct"/>
            <w:shd w:val="clear" w:color="auto" w:fill="auto"/>
            <w:noWrap/>
            <w:vAlign w:val="center"/>
          </w:tcPr>
          <w:p w14:paraId="37F63039" w14:textId="77777777" w:rsidR="000D5944" w:rsidRPr="00D3727E" w:rsidRDefault="000D5944" w:rsidP="00121CC1">
            <w:pPr>
              <w:rPr>
                <w:rFonts w:ascii="Arial Narrow" w:hAnsi="Arial Narrow" w:cs="Calibri"/>
                <w:b/>
                <w:bCs/>
                <w:color w:val="000000"/>
                <w:sz w:val="20"/>
                <w:szCs w:val="20"/>
                <w:lang w:val="bg-BG" w:eastAsia="bg-BG"/>
              </w:rPr>
            </w:pPr>
            <w:r w:rsidRPr="00D3727E">
              <w:rPr>
                <w:rFonts w:ascii="Arial Narrow" w:hAnsi="Arial Narrow" w:cs="Calibri"/>
                <w:b/>
                <w:bCs/>
                <w:color w:val="000000"/>
                <w:sz w:val="20"/>
                <w:szCs w:val="20"/>
                <w:lang w:val="bg-BG" w:eastAsia="bg-BG"/>
              </w:rPr>
              <w:t>Общо:</w:t>
            </w:r>
          </w:p>
        </w:tc>
        <w:tc>
          <w:tcPr>
            <w:tcW w:w="1077" w:type="pct"/>
            <w:tcBorders>
              <w:top w:val="nil"/>
              <w:left w:val="single" w:sz="4" w:space="0" w:color="auto"/>
              <w:bottom w:val="single" w:sz="4" w:space="0" w:color="auto"/>
              <w:right w:val="single" w:sz="4" w:space="0" w:color="auto"/>
            </w:tcBorders>
            <w:shd w:val="clear" w:color="auto" w:fill="auto"/>
            <w:noWrap/>
            <w:vAlign w:val="center"/>
          </w:tcPr>
          <w:p w14:paraId="7AA4C209" w14:textId="77777777" w:rsidR="000D5944" w:rsidRPr="00E403F0" w:rsidRDefault="000D5944" w:rsidP="00121CC1">
            <w:pPr>
              <w:jc w:val="right"/>
              <w:rPr>
                <w:rFonts w:ascii="Arial Narrow" w:eastAsia="Calibri" w:hAnsi="Arial Narrow" w:cs="Calibri"/>
                <w:b/>
                <w:bCs/>
                <w:color w:val="000000"/>
                <w:sz w:val="22"/>
                <w:szCs w:val="22"/>
              </w:rPr>
            </w:pPr>
            <w:r>
              <w:rPr>
                <w:rFonts w:ascii="Arial Narrow" w:hAnsi="Arial Narrow" w:cs="Calibri"/>
                <w:b/>
                <w:bCs/>
                <w:color w:val="000000"/>
                <w:sz w:val="20"/>
                <w:szCs w:val="20"/>
              </w:rPr>
              <w:t>30 616</w:t>
            </w:r>
          </w:p>
        </w:tc>
        <w:tc>
          <w:tcPr>
            <w:tcW w:w="1076" w:type="pct"/>
            <w:tcBorders>
              <w:top w:val="nil"/>
              <w:left w:val="nil"/>
              <w:bottom w:val="single" w:sz="4" w:space="0" w:color="auto"/>
              <w:right w:val="single" w:sz="4" w:space="0" w:color="auto"/>
            </w:tcBorders>
            <w:shd w:val="clear" w:color="auto" w:fill="auto"/>
            <w:noWrap/>
            <w:vAlign w:val="center"/>
          </w:tcPr>
          <w:p w14:paraId="1DB4D07A" w14:textId="77777777" w:rsidR="000D5944" w:rsidRPr="00E403F0" w:rsidRDefault="000D5944" w:rsidP="00121CC1">
            <w:pPr>
              <w:jc w:val="right"/>
              <w:rPr>
                <w:rFonts w:ascii="Arial Narrow" w:eastAsia="Calibri" w:hAnsi="Arial Narrow" w:cs="Calibri"/>
                <w:b/>
                <w:bCs/>
                <w:color w:val="000000"/>
                <w:sz w:val="22"/>
                <w:szCs w:val="22"/>
              </w:rPr>
            </w:pPr>
            <w:r>
              <w:rPr>
                <w:rFonts w:ascii="Arial Narrow" w:hAnsi="Arial Narrow" w:cs="Calibri"/>
                <w:b/>
                <w:bCs/>
                <w:color w:val="000000"/>
                <w:sz w:val="20"/>
                <w:szCs w:val="20"/>
              </w:rPr>
              <w:t>10 606</w:t>
            </w:r>
          </w:p>
        </w:tc>
      </w:tr>
    </w:tbl>
    <w:p w14:paraId="12384020" w14:textId="77777777" w:rsidR="000D5944" w:rsidRPr="00EA0339" w:rsidRDefault="000D5944" w:rsidP="000D5944">
      <w:pPr>
        <w:spacing w:after="240"/>
        <w:jc w:val="both"/>
        <w:rPr>
          <w:rFonts w:ascii="Arial Narrow" w:hAnsi="Arial Narrow"/>
          <w:i/>
          <w:sz w:val="16"/>
          <w:szCs w:val="16"/>
          <w:lang w:val="bg-BG" w:eastAsia="bg-BG"/>
        </w:rPr>
      </w:pPr>
      <w:r w:rsidRPr="00EA0339">
        <w:rPr>
          <w:rFonts w:ascii="Arial Narrow" w:hAnsi="Arial Narrow"/>
          <w:i/>
          <w:color w:val="FF0000"/>
          <w:sz w:val="18"/>
          <w:szCs w:val="18"/>
          <w:lang w:val="bg-BG" w:eastAsia="bg-BG"/>
        </w:rPr>
        <w:t xml:space="preserve"> </w:t>
      </w:r>
      <w:r w:rsidRPr="00EA0339">
        <w:rPr>
          <w:rFonts w:ascii="Arial Narrow" w:hAnsi="Arial Narrow"/>
          <w:i/>
          <w:sz w:val="16"/>
          <w:szCs w:val="16"/>
          <w:lang w:val="bg-BG" w:eastAsia="bg-BG"/>
        </w:rPr>
        <w:t xml:space="preserve">Източник: </w:t>
      </w:r>
      <w:r w:rsidRPr="00EA0339">
        <w:rPr>
          <w:rFonts w:ascii="Arial Narrow" w:hAnsi="Arial Narrow"/>
          <w:sz w:val="16"/>
          <w:szCs w:val="16"/>
          <w:lang w:val="bg-BG" w:eastAsia="bg-BG"/>
        </w:rPr>
        <w:t>МЗХ</w:t>
      </w:r>
    </w:p>
    <w:p w14:paraId="1300C6BF" w14:textId="77777777" w:rsidR="00DE2FFC" w:rsidRPr="00DE2FFC" w:rsidRDefault="00D83972" w:rsidP="00DE2FFC">
      <w:pPr>
        <w:numPr>
          <w:ilvl w:val="1"/>
          <w:numId w:val="3"/>
        </w:numPr>
        <w:spacing w:after="120"/>
        <w:ind w:left="788" w:hanging="431"/>
        <w:outlineLvl w:val="0"/>
        <w:rPr>
          <w:rFonts w:ascii="Arial Narrow" w:hAnsi="Arial Narrow" w:cs="Arial"/>
          <w:b/>
          <w:lang w:val="bg-BG"/>
        </w:rPr>
      </w:pPr>
      <w:bookmarkStart w:id="131" w:name="_Toc495659365"/>
      <w:bookmarkStart w:id="132" w:name="_Toc210747602"/>
      <w:r w:rsidRPr="00DE2FFC">
        <w:rPr>
          <w:rFonts w:ascii="Arial Narrow" w:hAnsi="Arial Narrow" w:cs="Arial"/>
          <w:b/>
          <w:lang w:val="bg-BG"/>
        </w:rPr>
        <w:t>Технически преглед на техниката</w:t>
      </w:r>
      <w:bookmarkEnd w:id="131"/>
      <w:bookmarkEnd w:id="132"/>
    </w:p>
    <w:p w14:paraId="1FD54CEE" w14:textId="77777777" w:rsidR="00DE2FFC" w:rsidRPr="002936D5" w:rsidRDefault="00DE2FFC" w:rsidP="00DE2FFC">
      <w:pPr>
        <w:autoSpaceDE w:val="0"/>
        <w:autoSpaceDN w:val="0"/>
        <w:adjustRightInd w:val="0"/>
        <w:spacing w:after="120"/>
        <w:ind w:firstLine="720"/>
        <w:jc w:val="both"/>
        <w:rPr>
          <w:rFonts w:ascii="Arial Narrow" w:hAnsi="Arial Narrow" w:cs="Verdana"/>
          <w:lang w:val="bg-BG"/>
        </w:rPr>
      </w:pPr>
      <w:r w:rsidRPr="002936D5">
        <w:rPr>
          <w:rFonts w:ascii="Arial Narrow" w:hAnsi="Arial Narrow" w:cs="Verdana"/>
          <w:lang w:val="bg-BG"/>
        </w:rPr>
        <w:t>Извършването на ефективен контрол на техническото състояние и безопасността на техниката гарантира защита живота и здравето на работещите със земеделска и горска техника и намаляване на трудовите злополуки и жертвите от пътнотранспортни произшествия, свързани с неизправности на техниката.</w:t>
      </w:r>
    </w:p>
    <w:p w14:paraId="54F4FB22" w14:textId="77777777" w:rsidR="00DE2FFC" w:rsidRPr="002936D5" w:rsidRDefault="00DE2FFC" w:rsidP="00DE2FFC">
      <w:pPr>
        <w:autoSpaceDE w:val="0"/>
        <w:autoSpaceDN w:val="0"/>
        <w:adjustRightInd w:val="0"/>
        <w:spacing w:after="120"/>
        <w:ind w:firstLine="720"/>
        <w:jc w:val="both"/>
        <w:rPr>
          <w:rFonts w:ascii="Arial Narrow" w:hAnsi="Arial Narrow" w:cs="Verdana"/>
          <w:lang w:val="bg-BG"/>
        </w:rPr>
      </w:pPr>
      <w:r w:rsidRPr="002936D5">
        <w:rPr>
          <w:rFonts w:ascii="Arial Narrow" w:hAnsi="Arial Narrow" w:cs="Verdana"/>
          <w:lang w:val="bg-BG"/>
        </w:rPr>
        <w:t>През 202</w:t>
      </w:r>
      <w:r>
        <w:rPr>
          <w:rFonts w:ascii="Arial Narrow" w:hAnsi="Arial Narrow" w:cs="Verdana"/>
        </w:rPr>
        <w:t>4</w:t>
      </w:r>
      <w:r w:rsidRPr="002936D5">
        <w:rPr>
          <w:rFonts w:ascii="Arial Narrow" w:hAnsi="Arial Narrow" w:cs="Verdana"/>
          <w:lang w:val="bg-BG"/>
        </w:rPr>
        <w:t xml:space="preserve"> г. областните дирекции „Земеделие“ са извършили 1</w:t>
      </w:r>
      <w:r>
        <w:rPr>
          <w:rFonts w:ascii="Arial Narrow" w:hAnsi="Arial Narrow" w:cs="Verdana"/>
        </w:rPr>
        <w:t>48</w:t>
      </w:r>
      <w:r w:rsidRPr="002936D5">
        <w:rPr>
          <w:rFonts w:ascii="Arial Narrow" w:hAnsi="Arial Narrow" w:cs="Verdana"/>
          <w:lang w:val="bg-BG"/>
        </w:rPr>
        <w:t xml:space="preserve"> </w:t>
      </w:r>
      <w:r>
        <w:rPr>
          <w:rFonts w:ascii="Arial Narrow" w:hAnsi="Arial Narrow" w:cs="Verdana"/>
        </w:rPr>
        <w:t>641</w:t>
      </w:r>
      <w:r w:rsidRPr="002936D5">
        <w:rPr>
          <w:rFonts w:ascii="Arial Narrow" w:hAnsi="Arial Narrow" w:cs="Verdana"/>
          <w:lang w:val="bg-BG"/>
        </w:rPr>
        <w:t xml:space="preserve"> технически прегледа на земеделска и горска техника.</w:t>
      </w:r>
    </w:p>
    <w:p w14:paraId="55533BCA" w14:textId="77777777" w:rsidR="00DE2FFC" w:rsidRPr="00DE2FFC" w:rsidRDefault="00BD753F" w:rsidP="00DE2FFC">
      <w:pPr>
        <w:widowControl w:val="0"/>
        <w:numPr>
          <w:ilvl w:val="1"/>
          <w:numId w:val="3"/>
        </w:numPr>
        <w:spacing w:after="120"/>
        <w:ind w:left="788" w:hanging="431"/>
        <w:outlineLvl w:val="0"/>
        <w:rPr>
          <w:rFonts w:ascii="Arial Narrow" w:eastAsia="Calibri" w:hAnsi="Arial Narrow" w:cs="Arial"/>
          <w:b/>
          <w:lang w:val="bg-BG"/>
        </w:rPr>
      </w:pPr>
      <w:bookmarkStart w:id="133" w:name="_Toc210747603"/>
      <w:r w:rsidRPr="00DE2FFC">
        <w:rPr>
          <w:rFonts w:ascii="Arial Narrow" w:eastAsia="Calibri" w:hAnsi="Arial Narrow" w:cs="Arial"/>
          <w:b/>
          <w:lang w:val="bg-BG"/>
        </w:rPr>
        <w:t>Правоспособност за работа с техника и издаване на свидетелства</w:t>
      </w:r>
      <w:bookmarkEnd w:id="133"/>
    </w:p>
    <w:p w14:paraId="7529988F" w14:textId="77777777" w:rsidR="00DE2FFC" w:rsidRDefault="00DE2FFC" w:rsidP="00DE2FFC">
      <w:pPr>
        <w:overflowPunct w:val="0"/>
        <w:autoSpaceDE w:val="0"/>
        <w:autoSpaceDN w:val="0"/>
        <w:spacing w:after="120" w:line="276" w:lineRule="auto"/>
        <w:ind w:firstLine="709"/>
        <w:jc w:val="both"/>
        <w:textAlignment w:val="baseline"/>
        <w:rPr>
          <w:rFonts w:ascii="Arial Narrow" w:eastAsia="Calibri" w:hAnsi="Arial Narrow"/>
          <w:lang w:val="bg-BG"/>
        </w:rPr>
      </w:pPr>
      <w:r w:rsidRPr="0019787E">
        <w:rPr>
          <w:rFonts w:ascii="Arial Narrow" w:eastAsia="Calibri" w:hAnsi="Arial Narrow"/>
          <w:lang w:val="bg-BG"/>
        </w:rPr>
        <w:t>След извършени</w:t>
      </w:r>
      <w:r>
        <w:rPr>
          <w:rFonts w:ascii="Arial Narrow" w:eastAsia="Calibri" w:hAnsi="Arial Narrow"/>
        </w:rPr>
        <w:t xml:space="preserve"> 70</w:t>
      </w:r>
      <w:r w:rsidRPr="0019787E">
        <w:rPr>
          <w:rFonts w:ascii="Arial Narrow" w:eastAsia="Calibri" w:hAnsi="Arial Narrow"/>
          <w:lang w:val="bg-BG"/>
        </w:rPr>
        <w:t xml:space="preserve"> проверки на място на материалната база и учебната документация, </w:t>
      </w:r>
      <w:r>
        <w:rPr>
          <w:rFonts w:ascii="Arial Narrow" w:eastAsia="Calibri" w:hAnsi="Arial Narrow"/>
          <w:lang w:val="bg-BG"/>
        </w:rPr>
        <w:t>в рамките на 202</w:t>
      </w:r>
      <w:r>
        <w:rPr>
          <w:rFonts w:ascii="Arial Narrow" w:eastAsia="Calibri" w:hAnsi="Arial Narrow"/>
        </w:rPr>
        <w:t>4</w:t>
      </w:r>
      <w:r w:rsidRPr="0019787E">
        <w:rPr>
          <w:rFonts w:ascii="Arial Narrow" w:eastAsia="Calibri" w:hAnsi="Arial Narrow"/>
          <w:lang w:val="bg-BG"/>
        </w:rPr>
        <w:t xml:space="preserve"> г. </w:t>
      </w:r>
      <w:r>
        <w:rPr>
          <w:rFonts w:ascii="Arial Narrow" w:eastAsia="Calibri" w:hAnsi="Arial Narrow"/>
          <w:lang w:val="bg-BG"/>
        </w:rPr>
        <w:t xml:space="preserve">са издадени </w:t>
      </w:r>
      <w:r>
        <w:rPr>
          <w:rFonts w:ascii="Arial Narrow" w:eastAsia="Calibri" w:hAnsi="Arial Narrow"/>
        </w:rPr>
        <w:t>68</w:t>
      </w:r>
      <w:r w:rsidRPr="0019787E">
        <w:rPr>
          <w:rFonts w:ascii="Arial Narrow" w:eastAsia="Calibri" w:hAnsi="Arial Narrow"/>
          <w:lang w:val="bg-BG"/>
        </w:rPr>
        <w:t xml:space="preserve"> удостоверения за регистрация на учебни форми за извършване на обучение на кандидатите за придобиване на правоспособност за работа със земеделска и горска техника</w:t>
      </w:r>
      <w:r>
        <w:rPr>
          <w:rFonts w:ascii="Arial Narrow" w:eastAsia="Calibri" w:hAnsi="Arial Narrow"/>
        </w:rPr>
        <w:t>.</w:t>
      </w:r>
      <w:r w:rsidRPr="00924D49">
        <w:t xml:space="preserve"> </w:t>
      </w:r>
      <w:r w:rsidRPr="00924D49">
        <w:rPr>
          <w:rFonts w:ascii="Arial Narrow" w:eastAsia="Calibri" w:hAnsi="Arial Narrow"/>
          <w:lang w:val="bg-BG"/>
        </w:rPr>
        <w:t>Извършени са и 3 проверки на място на материалната база във връзка с промяна на обстоятелствата.</w:t>
      </w:r>
      <w:r w:rsidRPr="0019787E">
        <w:rPr>
          <w:rFonts w:ascii="Arial Narrow" w:eastAsia="Calibri" w:hAnsi="Arial Narrow"/>
          <w:lang w:val="bg-BG"/>
        </w:rPr>
        <w:t xml:space="preserve"> </w:t>
      </w:r>
      <w:r>
        <w:rPr>
          <w:rFonts w:ascii="Arial Narrow" w:eastAsia="Calibri" w:hAnsi="Arial Narrow"/>
          <w:lang w:val="bg-BG"/>
        </w:rPr>
        <w:t xml:space="preserve">Направени са </w:t>
      </w:r>
      <w:r>
        <w:rPr>
          <w:rFonts w:ascii="Arial Narrow" w:eastAsia="Calibri" w:hAnsi="Arial Narrow"/>
        </w:rPr>
        <w:t>8</w:t>
      </w:r>
      <w:r w:rsidRPr="0019787E">
        <w:rPr>
          <w:rFonts w:ascii="Arial Narrow" w:eastAsia="Calibri" w:hAnsi="Arial Narrow"/>
          <w:lang w:val="bg-BG"/>
        </w:rPr>
        <w:t xml:space="preserve"> корекции на разрешителни и удостоверения за регистрация на учебни форми за промяна на обстоятелствата. </w:t>
      </w:r>
    </w:p>
    <w:p w14:paraId="57CEA088" w14:textId="77777777" w:rsidR="00DE2FFC" w:rsidRPr="00924D49" w:rsidRDefault="00DE2FFC" w:rsidP="00DE2FFC">
      <w:pPr>
        <w:overflowPunct w:val="0"/>
        <w:autoSpaceDE w:val="0"/>
        <w:autoSpaceDN w:val="0"/>
        <w:spacing w:after="120" w:line="276" w:lineRule="auto"/>
        <w:ind w:firstLine="709"/>
        <w:jc w:val="both"/>
        <w:textAlignment w:val="baseline"/>
        <w:rPr>
          <w:rFonts w:ascii="Arial Narrow" w:eastAsia="Calibri" w:hAnsi="Arial Narrow"/>
          <w:lang w:val="bg-BG"/>
        </w:rPr>
      </w:pPr>
      <w:r w:rsidRPr="00924D49">
        <w:rPr>
          <w:rFonts w:ascii="Arial Narrow" w:eastAsia="Calibri" w:hAnsi="Arial Narrow"/>
          <w:lang w:val="bg-BG"/>
        </w:rPr>
        <w:t>През годината са извършени 15 текущи проверки на основание на чл. 44, ал. 1 и ал. 2 от Наредба № 1/15.02.2019 за условията и реда за обучение на кандидатите за придобиване на правоспособност за работа със земеделска и горска техника и условията и реда за издаване на удостоверение за регистрация на учебни форми за тяхното обучение във връзка с изискванията с чл. 13 и 14 от същата наредба.</w:t>
      </w:r>
    </w:p>
    <w:p w14:paraId="2CF1618A" w14:textId="77777777" w:rsidR="00DE2FFC" w:rsidRDefault="00DE2FFC" w:rsidP="00DE2FFC">
      <w:pPr>
        <w:overflowPunct w:val="0"/>
        <w:autoSpaceDE w:val="0"/>
        <w:autoSpaceDN w:val="0"/>
        <w:spacing w:after="120" w:line="276" w:lineRule="auto"/>
        <w:ind w:firstLine="709"/>
        <w:jc w:val="both"/>
        <w:textAlignment w:val="baseline"/>
        <w:rPr>
          <w:rFonts w:ascii="Arial Narrow" w:eastAsia="Calibri" w:hAnsi="Arial Narrow"/>
          <w:lang w:val="bg-BG"/>
        </w:rPr>
      </w:pPr>
      <w:r w:rsidRPr="00924D49">
        <w:rPr>
          <w:rFonts w:ascii="Arial Narrow" w:eastAsia="Calibri" w:hAnsi="Arial Narrow"/>
          <w:lang w:val="bg-BG"/>
        </w:rPr>
        <w:t>Към 01.02.2024 г. има валидни 181 удостоверения по категории, издадени на 91 учебни форми за извършване на обучение</w:t>
      </w:r>
    </w:p>
    <w:p w14:paraId="4337C6B2" w14:textId="77777777" w:rsidR="00DE2FFC" w:rsidRDefault="00DE2FFC" w:rsidP="00DE2FFC">
      <w:pPr>
        <w:overflowPunct w:val="0"/>
        <w:autoSpaceDE w:val="0"/>
        <w:autoSpaceDN w:val="0"/>
        <w:spacing w:after="120" w:line="276" w:lineRule="auto"/>
        <w:jc w:val="both"/>
        <w:textAlignment w:val="baseline"/>
        <w:rPr>
          <w:rFonts w:ascii="Arial Narrow" w:eastAsia="Calibri" w:hAnsi="Arial Narrow" w:cs="Arial"/>
          <w:b/>
          <w:lang w:val="bg-BG"/>
        </w:rPr>
      </w:pPr>
      <w:r w:rsidRPr="0019787E">
        <w:rPr>
          <w:rFonts w:ascii="Arial Narrow" w:hAnsi="Arial Narrow"/>
          <w:b/>
          <w:lang w:val="bg-BG" w:eastAsia="bg-BG"/>
        </w:rPr>
        <w:t xml:space="preserve">Таблица V.2. </w:t>
      </w:r>
      <w:r w:rsidRPr="0019787E">
        <w:rPr>
          <w:rFonts w:ascii="Arial Narrow" w:eastAsia="Calibri" w:hAnsi="Arial Narrow" w:cs="Arial"/>
          <w:b/>
          <w:lang w:val="bg-BG"/>
        </w:rPr>
        <w:t xml:space="preserve">Издадени разрешителни и свидетелства за правоспособност по категории </w:t>
      </w:r>
      <w:r>
        <w:rPr>
          <w:rFonts w:ascii="Arial Narrow" w:eastAsia="Calibri" w:hAnsi="Arial Narrow" w:cs="Arial"/>
          <w:b/>
          <w:lang w:val="bg-BG"/>
        </w:rPr>
        <w:t>през    202</w:t>
      </w:r>
      <w:r>
        <w:rPr>
          <w:rFonts w:ascii="Arial Narrow" w:eastAsia="Calibri" w:hAnsi="Arial Narrow" w:cs="Arial"/>
          <w:b/>
        </w:rPr>
        <w:t>4</w:t>
      </w:r>
      <w:r w:rsidRPr="0019787E">
        <w:rPr>
          <w:rFonts w:ascii="Arial Narrow" w:eastAsia="Calibri" w:hAnsi="Arial Narrow" w:cs="Arial"/>
          <w:b/>
          <w:lang w:val="bg-BG"/>
        </w:rPr>
        <w:t xml:space="preserve"> г.</w:t>
      </w:r>
    </w:p>
    <w:tbl>
      <w:tblPr>
        <w:tblStyle w:val="TableGrid"/>
        <w:tblW w:w="9902" w:type="dxa"/>
        <w:tblInd w:w="108" w:type="dxa"/>
        <w:tblLook w:val="04A0" w:firstRow="1" w:lastRow="0" w:firstColumn="1" w:lastColumn="0" w:noHBand="0" w:noVBand="1"/>
      </w:tblPr>
      <w:tblGrid>
        <w:gridCol w:w="4897"/>
        <w:gridCol w:w="5005"/>
      </w:tblGrid>
      <w:tr w:rsidR="00DE2FFC" w14:paraId="093CD121" w14:textId="77777777" w:rsidTr="00DE2FFC">
        <w:trPr>
          <w:trHeight w:val="372"/>
        </w:trPr>
        <w:tc>
          <w:tcPr>
            <w:tcW w:w="4897" w:type="dxa"/>
            <w:vAlign w:val="center"/>
          </w:tcPr>
          <w:p w14:paraId="4DCE7327" w14:textId="77777777" w:rsidR="00DE2FFC" w:rsidRDefault="00DE2FFC" w:rsidP="00121CC1">
            <w:pPr>
              <w:overflowPunct w:val="0"/>
              <w:autoSpaceDE w:val="0"/>
              <w:autoSpaceDN w:val="0"/>
              <w:jc w:val="both"/>
              <w:textAlignment w:val="baseline"/>
              <w:rPr>
                <w:rFonts w:ascii="Arial Narrow" w:eastAsia="Calibri" w:hAnsi="Arial Narrow" w:cs="Arial"/>
                <w:b/>
                <w:lang w:val="bg-BG"/>
              </w:rPr>
            </w:pPr>
            <w:r w:rsidRPr="00945961">
              <w:rPr>
                <w:rFonts w:ascii="Arial Narrow" w:hAnsi="Arial Narrow" w:cs="Calibri"/>
                <w:b/>
                <w:color w:val="000000"/>
                <w:sz w:val="20"/>
                <w:szCs w:val="20"/>
                <w:lang w:val="bg-BG" w:eastAsia="bg-BG"/>
              </w:rPr>
              <w:t>Категория</w:t>
            </w:r>
          </w:p>
        </w:tc>
        <w:tc>
          <w:tcPr>
            <w:tcW w:w="5005" w:type="dxa"/>
            <w:vAlign w:val="center"/>
          </w:tcPr>
          <w:p w14:paraId="04248CDE" w14:textId="77777777" w:rsidR="00DE2FFC" w:rsidRDefault="00DE2FFC" w:rsidP="00121CC1">
            <w:pPr>
              <w:overflowPunct w:val="0"/>
              <w:autoSpaceDE w:val="0"/>
              <w:autoSpaceDN w:val="0"/>
              <w:jc w:val="both"/>
              <w:textAlignment w:val="baseline"/>
              <w:rPr>
                <w:rFonts w:ascii="Arial Narrow" w:eastAsia="Calibri" w:hAnsi="Arial Narrow" w:cs="Arial"/>
                <w:b/>
                <w:lang w:val="bg-BG"/>
              </w:rPr>
            </w:pPr>
            <w:r w:rsidRPr="00945961">
              <w:rPr>
                <w:rFonts w:ascii="Arial Narrow" w:hAnsi="Arial Narrow"/>
                <w:b/>
                <w:sz w:val="20"/>
                <w:szCs w:val="20"/>
                <w:lang w:val="bg-BG" w:eastAsia="bg-BG"/>
              </w:rPr>
              <w:t>Брой издадени свидетелства за правоспособност</w:t>
            </w:r>
          </w:p>
        </w:tc>
      </w:tr>
      <w:tr w:rsidR="00DE2FFC" w14:paraId="5C89D830" w14:textId="77777777" w:rsidTr="00DE2FFC">
        <w:trPr>
          <w:trHeight w:val="278"/>
        </w:trPr>
        <w:tc>
          <w:tcPr>
            <w:tcW w:w="4897" w:type="dxa"/>
            <w:vAlign w:val="center"/>
          </w:tcPr>
          <w:p w14:paraId="7D2FA677" w14:textId="77777777" w:rsidR="00DE2FFC" w:rsidRPr="00945961" w:rsidRDefault="00DE2FFC" w:rsidP="00121CC1">
            <w:pPr>
              <w:overflowPunct w:val="0"/>
              <w:autoSpaceDE w:val="0"/>
              <w:autoSpaceDN w:val="0"/>
              <w:jc w:val="both"/>
              <w:textAlignment w:val="baseline"/>
              <w:rPr>
                <w:rFonts w:ascii="Arial Narrow" w:hAnsi="Arial Narrow" w:cs="Calibri"/>
                <w:b/>
                <w:color w:val="000000"/>
                <w:sz w:val="20"/>
                <w:szCs w:val="20"/>
                <w:lang w:val="bg-BG" w:eastAsia="bg-BG"/>
              </w:rPr>
            </w:pPr>
            <w:r w:rsidRPr="0019787E">
              <w:rPr>
                <w:rFonts w:ascii="Arial Narrow" w:hAnsi="Arial Narrow" w:cs="Calibri"/>
                <w:color w:val="000000"/>
                <w:sz w:val="20"/>
                <w:szCs w:val="20"/>
                <w:lang w:val="bg-BG" w:eastAsia="bg-BG"/>
              </w:rPr>
              <w:t>Твк</w:t>
            </w:r>
          </w:p>
        </w:tc>
        <w:tc>
          <w:tcPr>
            <w:tcW w:w="5005" w:type="dxa"/>
            <w:vAlign w:val="center"/>
          </w:tcPr>
          <w:p w14:paraId="28122E60" w14:textId="77777777" w:rsidR="00DE2FFC" w:rsidRPr="00945961" w:rsidRDefault="00DE2FFC" w:rsidP="00121CC1">
            <w:pPr>
              <w:overflowPunct w:val="0"/>
              <w:autoSpaceDE w:val="0"/>
              <w:autoSpaceDN w:val="0"/>
              <w:jc w:val="right"/>
              <w:textAlignment w:val="baseline"/>
              <w:rPr>
                <w:rFonts w:ascii="Arial Narrow" w:hAnsi="Arial Narrow"/>
                <w:b/>
                <w:sz w:val="20"/>
                <w:szCs w:val="20"/>
                <w:lang w:val="bg-BG" w:eastAsia="bg-BG"/>
              </w:rPr>
            </w:pPr>
            <w:r>
              <w:rPr>
                <w:rFonts w:ascii="Arial Narrow" w:hAnsi="Arial Narrow" w:cs="Calibri"/>
                <w:color w:val="000000"/>
                <w:sz w:val="20"/>
                <w:szCs w:val="20"/>
                <w:lang w:val="bg-BG" w:eastAsia="bg-BG"/>
              </w:rPr>
              <w:t>5 081</w:t>
            </w:r>
          </w:p>
        </w:tc>
      </w:tr>
      <w:tr w:rsidR="00DE2FFC" w14:paraId="7BCC0964" w14:textId="77777777" w:rsidTr="00DE2FFC">
        <w:trPr>
          <w:trHeight w:val="278"/>
        </w:trPr>
        <w:tc>
          <w:tcPr>
            <w:tcW w:w="4897" w:type="dxa"/>
            <w:vAlign w:val="center"/>
          </w:tcPr>
          <w:p w14:paraId="2F3795EF" w14:textId="77777777" w:rsidR="00DE2FFC" w:rsidRPr="0019787E" w:rsidRDefault="00DE2FFC" w:rsidP="00121CC1">
            <w:pPr>
              <w:overflowPunct w:val="0"/>
              <w:autoSpaceDE w:val="0"/>
              <w:autoSpaceDN w:val="0"/>
              <w:jc w:val="both"/>
              <w:textAlignment w:val="baseline"/>
              <w:rPr>
                <w:rFonts w:ascii="Arial Narrow" w:hAnsi="Arial Narrow" w:cs="Calibri"/>
                <w:color w:val="000000"/>
                <w:sz w:val="20"/>
                <w:szCs w:val="20"/>
                <w:lang w:val="bg-BG" w:eastAsia="bg-BG"/>
              </w:rPr>
            </w:pPr>
            <w:r w:rsidRPr="0019787E">
              <w:rPr>
                <w:rFonts w:ascii="Arial Narrow" w:hAnsi="Arial Narrow" w:cs="Calibri"/>
                <w:color w:val="000000"/>
                <w:sz w:val="20"/>
                <w:szCs w:val="20"/>
                <w:lang w:val="bg-BG" w:eastAsia="bg-BG"/>
              </w:rPr>
              <w:t>Твк-З</w:t>
            </w:r>
          </w:p>
        </w:tc>
        <w:tc>
          <w:tcPr>
            <w:tcW w:w="5005" w:type="dxa"/>
            <w:vAlign w:val="center"/>
          </w:tcPr>
          <w:p w14:paraId="027FCC44" w14:textId="77777777" w:rsidR="00DE2FFC" w:rsidRDefault="00DE2FFC" w:rsidP="00121CC1">
            <w:pPr>
              <w:overflowPunct w:val="0"/>
              <w:autoSpaceDE w:val="0"/>
              <w:autoSpaceDN w:val="0"/>
              <w:jc w:val="right"/>
              <w:textAlignment w:val="baseline"/>
              <w:rPr>
                <w:rFonts w:ascii="Arial Narrow" w:hAnsi="Arial Narrow" w:cs="Calibri"/>
                <w:color w:val="000000"/>
                <w:sz w:val="20"/>
                <w:szCs w:val="20"/>
                <w:lang w:val="bg-BG" w:eastAsia="bg-BG"/>
              </w:rPr>
            </w:pPr>
            <w:r>
              <w:rPr>
                <w:rFonts w:ascii="Arial Narrow" w:hAnsi="Arial Narrow" w:cs="Calibri"/>
                <w:color w:val="000000"/>
                <w:sz w:val="20"/>
                <w:szCs w:val="20"/>
                <w:lang w:val="bg-BG" w:eastAsia="bg-BG"/>
              </w:rPr>
              <w:t>2 233</w:t>
            </w:r>
          </w:p>
        </w:tc>
      </w:tr>
      <w:tr w:rsidR="00DE2FFC" w14:paraId="08542DBD" w14:textId="77777777" w:rsidTr="00DE2FFC">
        <w:trPr>
          <w:trHeight w:val="278"/>
        </w:trPr>
        <w:tc>
          <w:tcPr>
            <w:tcW w:w="4897" w:type="dxa"/>
            <w:vAlign w:val="center"/>
          </w:tcPr>
          <w:p w14:paraId="5D91467A" w14:textId="77777777" w:rsidR="00DE2FFC" w:rsidRPr="0019787E" w:rsidRDefault="00DE2FFC" w:rsidP="00121CC1">
            <w:pPr>
              <w:overflowPunct w:val="0"/>
              <w:autoSpaceDE w:val="0"/>
              <w:autoSpaceDN w:val="0"/>
              <w:jc w:val="both"/>
              <w:textAlignment w:val="baseline"/>
              <w:rPr>
                <w:rFonts w:ascii="Arial Narrow" w:hAnsi="Arial Narrow" w:cs="Calibri"/>
                <w:color w:val="000000"/>
                <w:sz w:val="20"/>
                <w:szCs w:val="20"/>
                <w:lang w:val="bg-BG" w:eastAsia="bg-BG"/>
              </w:rPr>
            </w:pPr>
            <w:r w:rsidRPr="0019787E">
              <w:rPr>
                <w:rFonts w:ascii="Arial Narrow" w:hAnsi="Arial Narrow" w:cs="Calibri"/>
                <w:color w:val="000000"/>
                <w:sz w:val="20"/>
                <w:szCs w:val="20"/>
                <w:lang w:val="bg-BG" w:eastAsia="bg-BG"/>
              </w:rPr>
              <w:t>Твк-М</w:t>
            </w:r>
          </w:p>
        </w:tc>
        <w:tc>
          <w:tcPr>
            <w:tcW w:w="5005" w:type="dxa"/>
            <w:vAlign w:val="center"/>
          </w:tcPr>
          <w:p w14:paraId="29499E8C" w14:textId="77777777" w:rsidR="00DE2FFC" w:rsidRDefault="00DE2FFC" w:rsidP="00121CC1">
            <w:pPr>
              <w:overflowPunct w:val="0"/>
              <w:autoSpaceDE w:val="0"/>
              <w:autoSpaceDN w:val="0"/>
              <w:jc w:val="right"/>
              <w:textAlignment w:val="baseline"/>
              <w:rPr>
                <w:rFonts w:ascii="Arial Narrow" w:hAnsi="Arial Narrow" w:cs="Calibri"/>
                <w:color w:val="000000"/>
                <w:sz w:val="20"/>
                <w:szCs w:val="20"/>
                <w:lang w:val="bg-BG" w:eastAsia="bg-BG"/>
              </w:rPr>
            </w:pPr>
            <w:r>
              <w:rPr>
                <w:rFonts w:ascii="Arial Narrow" w:hAnsi="Arial Narrow" w:cs="Calibri"/>
                <w:color w:val="000000"/>
                <w:sz w:val="20"/>
                <w:szCs w:val="20"/>
                <w:lang w:val="bg-BG" w:eastAsia="bg-BG"/>
              </w:rPr>
              <w:t>666</w:t>
            </w:r>
          </w:p>
        </w:tc>
      </w:tr>
      <w:tr w:rsidR="00DE2FFC" w14:paraId="58A50604" w14:textId="77777777" w:rsidTr="00DE2FFC">
        <w:trPr>
          <w:trHeight w:val="278"/>
        </w:trPr>
        <w:tc>
          <w:tcPr>
            <w:tcW w:w="4897" w:type="dxa"/>
            <w:vAlign w:val="center"/>
          </w:tcPr>
          <w:p w14:paraId="206B6D13" w14:textId="77777777" w:rsidR="00DE2FFC" w:rsidRPr="0019787E" w:rsidRDefault="00DE2FFC" w:rsidP="00121CC1">
            <w:pPr>
              <w:overflowPunct w:val="0"/>
              <w:autoSpaceDE w:val="0"/>
              <w:autoSpaceDN w:val="0"/>
              <w:jc w:val="both"/>
              <w:textAlignment w:val="baseline"/>
              <w:rPr>
                <w:rFonts w:ascii="Arial Narrow" w:hAnsi="Arial Narrow" w:cs="Calibri"/>
                <w:color w:val="000000"/>
                <w:sz w:val="20"/>
                <w:szCs w:val="20"/>
                <w:lang w:val="bg-BG" w:eastAsia="bg-BG"/>
              </w:rPr>
            </w:pPr>
            <w:r w:rsidRPr="0019787E">
              <w:rPr>
                <w:rFonts w:ascii="Arial Narrow" w:hAnsi="Arial Narrow" w:cs="Calibri"/>
                <w:color w:val="000000"/>
                <w:sz w:val="20"/>
                <w:szCs w:val="20"/>
                <w:lang w:val="bg-BG" w:eastAsia="bg-BG"/>
              </w:rPr>
              <w:t xml:space="preserve">Твк-Г </w:t>
            </w:r>
          </w:p>
        </w:tc>
        <w:tc>
          <w:tcPr>
            <w:tcW w:w="5005" w:type="dxa"/>
            <w:vAlign w:val="center"/>
          </w:tcPr>
          <w:p w14:paraId="54443B55" w14:textId="77777777" w:rsidR="00DE2FFC" w:rsidRDefault="00DE2FFC" w:rsidP="00121CC1">
            <w:pPr>
              <w:overflowPunct w:val="0"/>
              <w:autoSpaceDE w:val="0"/>
              <w:autoSpaceDN w:val="0"/>
              <w:jc w:val="right"/>
              <w:textAlignment w:val="baseline"/>
              <w:rPr>
                <w:rFonts w:ascii="Arial Narrow" w:hAnsi="Arial Narrow" w:cs="Calibri"/>
                <w:color w:val="000000"/>
                <w:sz w:val="20"/>
                <w:szCs w:val="20"/>
                <w:lang w:val="bg-BG" w:eastAsia="bg-BG"/>
              </w:rPr>
            </w:pPr>
            <w:r>
              <w:rPr>
                <w:rFonts w:ascii="Arial Narrow" w:hAnsi="Arial Narrow" w:cs="Calibri"/>
                <w:color w:val="000000"/>
                <w:sz w:val="20"/>
                <w:szCs w:val="20"/>
                <w:lang w:val="bg-BG" w:eastAsia="bg-BG"/>
              </w:rPr>
              <w:t>318</w:t>
            </w:r>
          </w:p>
        </w:tc>
      </w:tr>
      <w:tr w:rsidR="00DE2FFC" w14:paraId="61B75901" w14:textId="77777777" w:rsidTr="00DE2FFC">
        <w:trPr>
          <w:trHeight w:val="278"/>
        </w:trPr>
        <w:tc>
          <w:tcPr>
            <w:tcW w:w="4897" w:type="dxa"/>
            <w:vAlign w:val="center"/>
          </w:tcPr>
          <w:p w14:paraId="4DE4B4FF" w14:textId="77777777" w:rsidR="00DE2FFC" w:rsidRPr="0019787E" w:rsidRDefault="00DE2FFC" w:rsidP="00121CC1">
            <w:pPr>
              <w:overflowPunct w:val="0"/>
              <w:autoSpaceDE w:val="0"/>
              <w:autoSpaceDN w:val="0"/>
              <w:jc w:val="both"/>
              <w:textAlignment w:val="baseline"/>
              <w:rPr>
                <w:rFonts w:ascii="Arial Narrow" w:hAnsi="Arial Narrow" w:cs="Calibri"/>
                <w:color w:val="000000"/>
                <w:sz w:val="20"/>
                <w:szCs w:val="20"/>
                <w:lang w:val="bg-BG" w:eastAsia="bg-BG"/>
              </w:rPr>
            </w:pPr>
            <w:r w:rsidRPr="0019787E">
              <w:rPr>
                <w:rFonts w:ascii="Arial Narrow" w:hAnsi="Arial Narrow" w:cs="Calibri"/>
                <w:color w:val="000000"/>
                <w:sz w:val="20"/>
                <w:szCs w:val="20"/>
                <w:lang w:val="bg-BG" w:eastAsia="bg-BG"/>
              </w:rPr>
              <w:t>Тпс-мот.тр.хр.</w:t>
            </w:r>
          </w:p>
        </w:tc>
        <w:tc>
          <w:tcPr>
            <w:tcW w:w="5005" w:type="dxa"/>
            <w:vAlign w:val="center"/>
          </w:tcPr>
          <w:p w14:paraId="5A0089E7" w14:textId="77777777" w:rsidR="00DE2FFC" w:rsidRDefault="00DE2FFC" w:rsidP="00121CC1">
            <w:pPr>
              <w:overflowPunct w:val="0"/>
              <w:autoSpaceDE w:val="0"/>
              <w:autoSpaceDN w:val="0"/>
              <w:jc w:val="right"/>
              <w:textAlignment w:val="baseline"/>
              <w:rPr>
                <w:rFonts w:ascii="Arial Narrow" w:hAnsi="Arial Narrow" w:cs="Calibri"/>
                <w:color w:val="000000"/>
                <w:sz w:val="20"/>
                <w:szCs w:val="20"/>
                <w:lang w:val="bg-BG" w:eastAsia="bg-BG"/>
              </w:rPr>
            </w:pPr>
            <w:r>
              <w:rPr>
                <w:rFonts w:ascii="Arial Narrow" w:hAnsi="Arial Narrow" w:cs="Calibri"/>
                <w:color w:val="000000"/>
                <w:sz w:val="20"/>
                <w:szCs w:val="20"/>
                <w:lang w:eastAsia="bg-BG"/>
              </w:rPr>
              <w:t>1 801</w:t>
            </w:r>
          </w:p>
        </w:tc>
      </w:tr>
      <w:tr w:rsidR="00DE2FFC" w14:paraId="6D8117D4" w14:textId="77777777" w:rsidTr="00DE2FFC">
        <w:trPr>
          <w:trHeight w:val="278"/>
        </w:trPr>
        <w:tc>
          <w:tcPr>
            <w:tcW w:w="4897" w:type="dxa"/>
            <w:vAlign w:val="center"/>
          </w:tcPr>
          <w:p w14:paraId="51DE5F64" w14:textId="77777777" w:rsidR="00DE2FFC" w:rsidRPr="0019787E" w:rsidRDefault="00DE2FFC" w:rsidP="00121CC1">
            <w:pPr>
              <w:overflowPunct w:val="0"/>
              <w:autoSpaceDE w:val="0"/>
              <w:autoSpaceDN w:val="0"/>
              <w:jc w:val="both"/>
              <w:textAlignment w:val="baseline"/>
              <w:rPr>
                <w:rFonts w:ascii="Arial Narrow" w:hAnsi="Arial Narrow" w:cs="Calibri"/>
                <w:color w:val="000000"/>
                <w:sz w:val="20"/>
                <w:szCs w:val="20"/>
                <w:lang w:val="bg-BG" w:eastAsia="bg-BG"/>
              </w:rPr>
            </w:pPr>
            <w:r w:rsidRPr="0019787E">
              <w:rPr>
                <w:rFonts w:ascii="Arial Narrow" w:hAnsi="Arial Narrow" w:cs="Calibri"/>
                <w:color w:val="000000"/>
                <w:sz w:val="20"/>
                <w:szCs w:val="20"/>
                <w:lang w:val="bg-BG" w:eastAsia="bg-BG"/>
              </w:rPr>
              <w:t>Тпс-гатер-банцизи</w:t>
            </w:r>
          </w:p>
        </w:tc>
        <w:tc>
          <w:tcPr>
            <w:tcW w:w="5005" w:type="dxa"/>
            <w:vAlign w:val="center"/>
          </w:tcPr>
          <w:p w14:paraId="5AFE6BF9" w14:textId="77777777" w:rsidR="00DE2FFC" w:rsidRDefault="00DE2FFC" w:rsidP="00121CC1">
            <w:pPr>
              <w:overflowPunct w:val="0"/>
              <w:autoSpaceDE w:val="0"/>
              <w:autoSpaceDN w:val="0"/>
              <w:jc w:val="right"/>
              <w:textAlignment w:val="baseline"/>
              <w:rPr>
                <w:rFonts w:ascii="Arial Narrow" w:hAnsi="Arial Narrow" w:cs="Calibri"/>
                <w:color w:val="000000"/>
                <w:sz w:val="20"/>
                <w:szCs w:val="20"/>
                <w:lang w:eastAsia="bg-BG"/>
              </w:rPr>
            </w:pPr>
            <w:r>
              <w:rPr>
                <w:rFonts w:ascii="Arial Narrow" w:hAnsi="Arial Narrow" w:cs="Calibri"/>
                <w:color w:val="000000"/>
                <w:sz w:val="20"/>
                <w:szCs w:val="20"/>
                <w:lang w:eastAsia="bg-BG"/>
              </w:rPr>
              <w:t>14</w:t>
            </w:r>
          </w:p>
        </w:tc>
      </w:tr>
      <w:tr w:rsidR="00DE2FFC" w14:paraId="026E916D" w14:textId="77777777" w:rsidTr="00DE2FFC">
        <w:trPr>
          <w:trHeight w:val="278"/>
        </w:trPr>
        <w:tc>
          <w:tcPr>
            <w:tcW w:w="4897" w:type="dxa"/>
            <w:vAlign w:val="center"/>
          </w:tcPr>
          <w:p w14:paraId="0C7C2132" w14:textId="77777777" w:rsidR="00DE2FFC" w:rsidRPr="0019787E" w:rsidRDefault="00DE2FFC" w:rsidP="00121CC1">
            <w:pPr>
              <w:overflowPunct w:val="0"/>
              <w:autoSpaceDE w:val="0"/>
              <w:autoSpaceDN w:val="0"/>
              <w:jc w:val="both"/>
              <w:textAlignment w:val="baseline"/>
              <w:rPr>
                <w:rFonts w:ascii="Arial Narrow" w:hAnsi="Arial Narrow" w:cs="Calibri"/>
                <w:color w:val="000000"/>
                <w:sz w:val="20"/>
                <w:szCs w:val="20"/>
                <w:lang w:val="bg-BG" w:eastAsia="bg-BG"/>
              </w:rPr>
            </w:pPr>
            <w:r w:rsidRPr="0019787E">
              <w:rPr>
                <w:rFonts w:ascii="Arial Narrow" w:hAnsi="Arial Narrow" w:cs="Calibri"/>
                <w:color w:val="000000"/>
                <w:sz w:val="20"/>
                <w:szCs w:val="20"/>
                <w:lang w:val="bg-BG" w:eastAsia="bg-BG"/>
              </w:rPr>
              <w:t>Тпс-въжени линии</w:t>
            </w:r>
          </w:p>
        </w:tc>
        <w:tc>
          <w:tcPr>
            <w:tcW w:w="5005" w:type="dxa"/>
            <w:vAlign w:val="center"/>
          </w:tcPr>
          <w:p w14:paraId="11123456" w14:textId="77777777" w:rsidR="00DE2FFC" w:rsidRDefault="00DE2FFC" w:rsidP="00121CC1">
            <w:pPr>
              <w:overflowPunct w:val="0"/>
              <w:autoSpaceDE w:val="0"/>
              <w:autoSpaceDN w:val="0"/>
              <w:jc w:val="right"/>
              <w:textAlignment w:val="baseline"/>
              <w:rPr>
                <w:rFonts w:ascii="Arial Narrow" w:hAnsi="Arial Narrow" w:cs="Calibri"/>
                <w:color w:val="000000"/>
                <w:sz w:val="20"/>
                <w:szCs w:val="20"/>
                <w:lang w:eastAsia="bg-BG"/>
              </w:rPr>
            </w:pPr>
            <w:r>
              <w:rPr>
                <w:rFonts w:ascii="Arial Narrow" w:hAnsi="Arial Narrow" w:cs="Calibri"/>
                <w:color w:val="000000"/>
                <w:sz w:val="20"/>
                <w:szCs w:val="20"/>
                <w:lang w:eastAsia="bg-BG"/>
              </w:rPr>
              <w:t>2</w:t>
            </w:r>
          </w:p>
        </w:tc>
      </w:tr>
      <w:tr w:rsidR="00DE2FFC" w14:paraId="5F3065A2" w14:textId="77777777" w:rsidTr="00DE2FFC">
        <w:trPr>
          <w:trHeight w:val="278"/>
        </w:trPr>
        <w:tc>
          <w:tcPr>
            <w:tcW w:w="4897" w:type="dxa"/>
            <w:vAlign w:val="center"/>
          </w:tcPr>
          <w:p w14:paraId="66CDAF54" w14:textId="77777777" w:rsidR="00DE2FFC" w:rsidRPr="0019787E" w:rsidRDefault="00DE2FFC" w:rsidP="00121CC1">
            <w:pPr>
              <w:overflowPunct w:val="0"/>
              <w:autoSpaceDE w:val="0"/>
              <w:autoSpaceDN w:val="0"/>
              <w:jc w:val="both"/>
              <w:textAlignment w:val="baseline"/>
              <w:rPr>
                <w:rFonts w:ascii="Arial Narrow" w:hAnsi="Arial Narrow" w:cs="Calibri"/>
                <w:color w:val="000000"/>
                <w:sz w:val="20"/>
                <w:szCs w:val="20"/>
                <w:lang w:val="bg-BG" w:eastAsia="bg-BG"/>
              </w:rPr>
            </w:pPr>
            <w:r w:rsidRPr="0019787E">
              <w:rPr>
                <w:rFonts w:ascii="Arial Narrow" w:hAnsi="Arial Narrow" w:cs="Calibri"/>
                <w:b/>
                <w:bCs/>
                <w:color w:val="000000"/>
                <w:sz w:val="20"/>
                <w:szCs w:val="20"/>
                <w:lang w:val="bg-BG" w:eastAsia="bg-BG"/>
              </w:rPr>
              <w:t>Общо</w:t>
            </w:r>
          </w:p>
        </w:tc>
        <w:tc>
          <w:tcPr>
            <w:tcW w:w="5005" w:type="dxa"/>
            <w:vAlign w:val="center"/>
          </w:tcPr>
          <w:p w14:paraId="7BCC1436" w14:textId="77777777" w:rsidR="00DE2FFC" w:rsidRDefault="00DE2FFC" w:rsidP="00121CC1">
            <w:pPr>
              <w:overflowPunct w:val="0"/>
              <w:autoSpaceDE w:val="0"/>
              <w:autoSpaceDN w:val="0"/>
              <w:jc w:val="right"/>
              <w:textAlignment w:val="baseline"/>
              <w:rPr>
                <w:rFonts w:ascii="Arial Narrow" w:hAnsi="Arial Narrow" w:cs="Calibri"/>
                <w:color w:val="000000"/>
                <w:sz w:val="20"/>
                <w:szCs w:val="20"/>
                <w:lang w:eastAsia="bg-BG"/>
              </w:rPr>
            </w:pPr>
            <w:r>
              <w:rPr>
                <w:rFonts w:ascii="Arial Narrow" w:hAnsi="Arial Narrow" w:cs="Calibri"/>
                <w:b/>
                <w:color w:val="000000"/>
                <w:sz w:val="20"/>
                <w:szCs w:val="20"/>
                <w:lang w:val="bg-BG" w:eastAsia="bg-BG"/>
              </w:rPr>
              <w:t xml:space="preserve">10 115  </w:t>
            </w:r>
          </w:p>
        </w:tc>
      </w:tr>
    </w:tbl>
    <w:p w14:paraId="5EB7E82B" w14:textId="77777777" w:rsidR="00DE2FFC" w:rsidRPr="00EA0339" w:rsidRDefault="00DE2FFC" w:rsidP="00DE2FFC">
      <w:pPr>
        <w:spacing w:after="240"/>
        <w:jc w:val="both"/>
        <w:rPr>
          <w:rFonts w:ascii="Arial Narrow" w:hAnsi="Arial Narrow"/>
          <w:sz w:val="16"/>
          <w:szCs w:val="16"/>
          <w:lang w:val="bg-BG" w:eastAsia="bg-BG"/>
        </w:rPr>
      </w:pPr>
      <w:r w:rsidRPr="00EA0339">
        <w:rPr>
          <w:rFonts w:ascii="Arial Narrow" w:hAnsi="Arial Narrow"/>
          <w:i/>
          <w:sz w:val="16"/>
          <w:szCs w:val="16"/>
          <w:lang w:val="bg-BG" w:eastAsia="bg-BG"/>
        </w:rPr>
        <w:t xml:space="preserve">Източник: </w:t>
      </w:r>
      <w:r w:rsidRPr="00EA0339">
        <w:rPr>
          <w:rFonts w:ascii="Arial Narrow" w:hAnsi="Arial Narrow"/>
          <w:sz w:val="16"/>
          <w:szCs w:val="16"/>
          <w:lang w:val="bg-BG" w:eastAsia="bg-BG"/>
        </w:rPr>
        <w:t>МЗХ</w:t>
      </w:r>
    </w:p>
    <w:p w14:paraId="50529E2D" w14:textId="77777777" w:rsidR="00DE2FFC" w:rsidRPr="00DE2FFC" w:rsidRDefault="00BD753F" w:rsidP="00DE2FFC">
      <w:pPr>
        <w:numPr>
          <w:ilvl w:val="1"/>
          <w:numId w:val="3"/>
        </w:numPr>
        <w:spacing w:after="120"/>
        <w:ind w:left="788" w:hanging="431"/>
        <w:outlineLvl w:val="0"/>
        <w:rPr>
          <w:rFonts w:ascii="Arial Narrow" w:eastAsia="Calibri" w:hAnsi="Arial Narrow" w:cs="Arial"/>
          <w:b/>
          <w:lang w:val="bg-BG"/>
        </w:rPr>
      </w:pPr>
      <w:bookmarkStart w:id="134" w:name="_Toc210747604"/>
      <w:r w:rsidRPr="00DE2FFC">
        <w:rPr>
          <w:rFonts w:ascii="Arial Narrow" w:eastAsia="Calibri" w:hAnsi="Arial Narrow" w:cs="Arial"/>
          <w:b/>
          <w:lang w:val="bg-BG"/>
        </w:rPr>
        <w:t>Изпитване и сертифициране на употребявана земеделска и горска техника</w:t>
      </w:r>
      <w:bookmarkEnd w:id="134"/>
    </w:p>
    <w:p w14:paraId="0C8AF50D" w14:textId="77777777" w:rsidR="00DE2FFC" w:rsidRPr="00245A14" w:rsidRDefault="00DE2FFC" w:rsidP="00DE2FFC">
      <w:pPr>
        <w:overflowPunct w:val="0"/>
        <w:autoSpaceDE w:val="0"/>
        <w:autoSpaceDN w:val="0"/>
        <w:spacing w:after="120" w:line="276" w:lineRule="auto"/>
        <w:ind w:firstLine="709"/>
        <w:jc w:val="both"/>
        <w:textAlignment w:val="baseline"/>
        <w:rPr>
          <w:rFonts w:ascii="Arial Narrow" w:hAnsi="Arial Narrow"/>
          <w:lang w:val="bg-BG"/>
        </w:rPr>
      </w:pPr>
      <w:r w:rsidRPr="00245A14">
        <w:rPr>
          <w:rFonts w:ascii="Arial Narrow" w:hAnsi="Arial Narrow"/>
          <w:lang w:val="bg-BG"/>
        </w:rPr>
        <w:lastRenderedPageBreak/>
        <w:t>През 202</w:t>
      </w:r>
      <w:r>
        <w:rPr>
          <w:rFonts w:ascii="Arial Narrow" w:hAnsi="Arial Narrow"/>
        </w:rPr>
        <w:t>4</w:t>
      </w:r>
      <w:r w:rsidRPr="00245A14">
        <w:rPr>
          <w:rFonts w:ascii="Arial Narrow" w:hAnsi="Arial Narrow"/>
          <w:lang w:val="bg-BG"/>
        </w:rPr>
        <w:t xml:space="preserve"> г. в центровете за изпитване и сертифициране в Русе и Пловдив са извършени</w:t>
      </w:r>
      <w:r>
        <w:rPr>
          <w:rFonts w:ascii="Arial Narrow" w:hAnsi="Arial Narrow"/>
        </w:rPr>
        <w:t xml:space="preserve"> </w:t>
      </w:r>
      <w:r w:rsidRPr="00245A14">
        <w:rPr>
          <w:rFonts w:ascii="Arial Narrow" w:hAnsi="Arial Narrow"/>
          <w:lang w:val="bg-BG"/>
        </w:rPr>
        <w:t>2</w:t>
      </w:r>
      <w:r>
        <w:rPr>
          <w:rFonts w:ascii="Arial Narrow" w:hAnsi="Arial Narrow"/>
          <w:lang w:val="bg-BG"/>
        </w:rPr>
        <w:t xml:space="preserve"> </w:t>
      </w:r>
      <w:r>
        <w:rPr>
          <w:rFonts w:ascii="Arial Narrow" w:hAnsi="Arial Narrow"/>
        </w:rPr>
        <w:t>770</w:t>
      </w:r>
      <w:r w:rsidRPr="00245A14">
        <w:rPr>
          <w:rFonts w:ascii="Arial Narrow" w:hAnsi="Arial Narrow"/>
          <w:lang w:val="bg-BG"/>
        </w:rPr>
        <w:t xml:space="preserve"> изпитвания на употребявана земеделска и горска техника и машини за земни работи.</w:t>
      </w:r>
    </w:p>
    <w:p w14:paraId="49E798E3" w14:textId="77777777" w:rsidR="00DE2FFC" w:rsidRDefault="00DE2FFC" w:rsidP="00DE2FFC">
      <w:pPr>
        <w:autoSpaceDE w:val="0"/>
        <w:autoSpaceDN w:val="0"/>
        <w:adjustRightInd w:val="0"/>
        <w:spacing w:before="120" w:after="120"/>
        <w:ind w:firstLine="720"/>
        <w:jc w:val="both"/>
        <w:rPr>
          <w:rFonts w:ascii="Arial Narrow" w:hAnsi="Arial Narrow" w:cs="Verdana"/>
          <w:color w:val="FF0000"/>
          <w:lang w:val="bg-BG"/>
        </w:rPr>
      </w:pPr>
      <w:r w:rsidRPr="00E403F0">
        <w:rPr>
          <w:rFonts w:ascii="Arial Narrow" w:hAnsi="Arial Narrow"/>
          <w:lang w:val="bg-BG"/>
        </w:rPr>
        <w:t>Извършени са и 767 проверки на оборудването за прилагане на продукти за растителна защита</w:t>
      </w:r>
      <w:r>
        <w:rPr>
          <w:rFonts w:ascii="Arial Narrow" w:hAnsi="Arial Narrow"/>
          <w:lang w:val="bg-BG"/>
        </w:rPr>
        <w:t>.</w:t>
      </w:r>
    </w:p>
    <w:p w14:paraId="54E119E6" w14:textId="77777777" w:rsidR="009529EF" w:rsidRPr="00121CC1" w:rsidRDefault="009529EF" w:rsidP="005178DE">
      <w:pPr>
        <w:pStyle w:val="ListParagraph"/>
        <w:numPr>
          <w:ilvl w:val="0"/>
          <w:numId w:val="3"/>
        </w:numPr>
        <w:spacing w:after="120"/>
        <w:ind w:left="357" w:firstLine="3"/>
        <w:contextualSpacing w:val="0"/>
        <w:outlineLvl w:val="0"/>
        <w:rPr>
          <w:rFonts w:ascii="Arial Narrow" w:hAnsi="Arial Narrow" w:cs="Arial"/>
          <w:b/>
          <w:bCs/>
          <w:lang w:val="bg-BG"/>
        </w:rPr>
      </w:pPr>
      <w:bookmarkStart w:id="135" w:name="_Toc210747605"/>
      <w:r w:rsidRPr="00121CC1">
        <w:rPr>
          <w:rFonts w:ascii="Arial Narrow" w:hAnsi="Arial Narrow" w:cs="Arial"/>
          <w:b/>
          <w:bCs/>
          <w:lang w:val="bg-BG"/>
        </w:rPr>
        <w:t>Хидромелиорации</w:t>
      </w:r>
      <w:bookmarkEnd w:id="135"/>
    </w:p>
    <w:p w14:paraId="5AAB79CD" w14:textId="77777777" w:rsidR="00121CC1" w:rsidRPr="00121CC1" w:rsidRDefault="0041298A" w:rsidP="00121CC1">
      <w:pPr>
        <w:pStyle w:val="ListParagraph"/>
        <w:numPr>
          <w:ilvl w:val="1"/>
          <w:numId w:val="3"/>
        </w:numPr>
        <w:spacing w:after="120"/>
        <w:contextualSpacing w:val="0"/>
        <w:outlineLvl w:val="0"/>
        <w:rPr>
          <w:rFonts w:ascii="Arial Narrow" w:hAnsi="Arial Narrow" w:cs="Arial"/>
          <w:b/>
          <w:lang w:val="bg-BG"/>
        </w:rPr>
      </w:pPr>
      <w:bookmarkStart w:id="136" w:name="_Toc210747606"/>
      <w:r w:rsidRPr="00121CC1">
        <w:rPr>
          <w:rFonts w:ascii="Arial Narrow" w:hAnsi="Arial Narrow" w:cs="Arial"/>
          <w:b/>
          <w:lang w:val="bg-BG"/>
        </w:rPr>
        <w:t>Обекти за предпазване от вредното въздействие на водите</w:t>
      </w:r>
      <w:bookmarkEnd w:id="136"/>
    </w:p>
    <w:p w14:paraId="7F6C80DD" w14:textId="77777777" w:rsidR="00121CC1" w:rsidRPr="00DA7C23" w:rsidRDefault="00121CC1" w:rsidP="00121CC1">
      <w:pPr>
        <w:overflowPunct w:val="0"/>
        <w:autoSpaceDE w:val="0"/>
        <w:autoSpaceDN w:val="0"/>
        <w:adjustRightInd w:val="0"/>
        <w:ind w:firstLine="709"/>
        <w:jc w:val="both"/>
        <w:rPr>
          <w:rFonts w:ascii="Arial Narrow" w:hAnsi="Arial Narrow"/>
          <w:lang w:val="bg-BG"/>
        </w:rPr>
      </w:pPr>
      <w:r w:rsidRPr="00DA7C23">
        <w:rPr>
          <w:rFonts w:ascii="Arial Narrow" w:hAnsi="Arial Narrow"/>
          <w:lang w:val="bg-BG"/>
        </w:rPr>
        <w:t xml:space="preserve">Годишният отчет на </w:t>
      </w:r>
      <w:r>
        <w:rPr>
          <w:rFonts w:ascii="Arial Narrow" w:hAnsi="Arial Narrow"/>
          <w:lang w:val="bg-BG"/>
        </w:rPr>
        <w:t xml:space="preserve">разходите, извършени от </w:t>
      </w:r>
      <w:r w:rsidRPr="00C026F6">
        <w:rPr>
          <w:rFonts w:ascii="Arial Narrow" w:hAnsi="Arial Narrow"/>
          <w:lang w:val="bg-BG"/>
        </w:rPr>
        <w:t xml:space="preserve">„Напоителни системи“ ЕАД </w:t>
      </w:r>
      <w:r>
        <w:rPr>
          <w:rFonts w:ascii="Arial Narrow" w:hAnsi="Arial Narrow"/>
          <w:lang w:val="bg-BG"/>
        </w:rPr>
        <w:t xml:space="preserve">през 2024 г. за дейността </w:t>
      </w:r>
      <w:r w:rsidRPr="00DA7C23">
        <w:rPr>
          <w:rFonts w:ascii="Arial Narrow" w:hAnsi="Arial Narrow"/>
          <w:lang w:val="bg-BG"/>
        </w:rPr>
        <w:t xml:space="preserve">по договор за обектите за предпазване от вредното въздействие на водите (ОПВВВ) е на обща стойност </w:t>
      </w:r>
      <w:r w:rsidRPr="00685B73">
        <w:rPr>
          <w:rFonts w:ascii="Arial Narrow" w:hAnsi="Arial Narrow"/>
          <w:lang w:val="bg-BG"/>
        </w:rPr>
        <w:t>29 559 388</w:t>
      </w:r>
      <w:r w:rsidRPr="00260129">
        <w:rPr>
          <w:rFonts w:ascii="Arial Narrow" w:hAnsi="Arial Narrow"/>
          <w:lang w:val="bg-BG"/>
        </w:rPr>
        <w:t xml:space="preserve"> </w:t>
      </w:r>
      <w:r w:rsidRPr="00DA7C23">
        <w:rPr>
          <w:rFonts w:ascii="Arial Narrow" w:hAnsi="Arial Narrow"/>
          <w:lang w:val="bg-BG"/>
        </w:rPr>
        <w:t>лева с ДДС, като предоставените авансови средства по договор</w:t>
      </w:r>
      <w:r>
        <w:rPr>
          <w:rFonts w:ascii="Arial Narrow" w:hAnsi="Arial Narrow"/>
          <w:lang w:val="bg-BG"/>
        </w:rPr>
        <w:t>а</w:t>
      </w:r>
      <w:r w:rsidRPr="00DA7C23">
        <w:rPr>
          <w:rFonts w:ascii="Arial Narrow" w:hAnsi="Arial Narrow"/>
          <w:lang w:val="bg-BG"/>
        </w:rPr>
        <w:t xml:space="preserve"> </w:t>
      </w:r>
      <w:r>
        <w:rPr>
          <w:rFonts w:ascii="Arial Narrow" w:hAnsi="Arial Narrow"/>
          <w:lang w:val="bg-BG"/>
        </w:rPr>
        <w:t>от МЗХ</w:t>
      </w:r>
      <w:r w:rsidRPr="00DA7C23">
        <w:rPr>
          <w:rFonts w:ascii="Arial Narrow" w:hAnsi="Arial Narrow"/>
          <w:lang w:val="bg-BG"/>
        </w:rPr>
        <w:t xml:space="preserve"> са </w:t>
      </w:r>
      <w:r w:rsidRPr="00685B73">
        <w:rPr>
          <w:rFonts w:ascii="Arial Narrow" w:hAnsi="Arial Narrow"/>
          <w:lang w:val="bg-BG"/>
        </w:rPr>
        <w:t>29 300 000</w:t>
      </w:r>
      <w:r w:rsidRPr="00260129">
        <w:rPr>
          <w:rFonts w:ascii="Arial Narrow" w:hAnsi="Arial Narrow"/>
          <w:lang w:val="bg-BG"/>
        </w:rPr>
        <w:t xml:space="preserve"> </w:t>
      </w:r>
      <w:r w:rsidRPr="00DA7C23">
        <w:rPr>
          <w:rFonts w:ascii="Arial Narrow" w:hAnsi="Arial Narrow"/>
          <w:lang w:val="bg-BG"/>
        </w:rPr>
        <w:t>лева с ДДС.</w:t>
      </w:r>
    </w:p>
    <w:p w14:paraId="0098A4DC" w14:textId="77777777" w:rsidR="00121CC1" w:rsidRPr="00C026F6" w:rsidRDefault="00121CC1" w:rsidP="00121CC1">
      <w:pPr>
        <w:overflowPunct w:val="0"/>
        <w:autoSpaceDE w:val="0"/>
        <w:autoSpaceDN w:val="0"/>
        <w:adjustRightInd w:val="0"/>
        <w:ind w:firstLine="709"/>
        <w:jc w:val="both"/>
        <w:rPr>
          <w:rFonts w:ascii="Arial Narrow" w:hAnsi="Arial Narrow"/>
          <w:lang w:val="bg-BG"/>
        </w:rPr>
      </w:pPr>
      <w:r w:rsidRPr="00C026F6">
        <w:rPr>
          <w:rFonts w:ascii="Arial Narrow" w:hAnsi="Arial Narrow"/>
          <w:lang w:val="bg-BG"/>
        </w:rPr>
        <w:t>През</w:t>
      </w:r>
      <w:r>
        <w:rPr>
          <w:rFonts w:ascii="Arial Narrow" w:hAnsi="Arial Narrow"/>
          <w:lang w:val="bg-BG"/>
        </w:rPr>
        <w:t xml:space="preserve"> 2024</w:t>
      </w:r>
      <w:r w:rsidRPr="00C026F6">
        <w:rPr>
          <w:rFonts w:ascii="Arial Narrow" w:hAnsi="Arial Narrow"/>
          <w:lang w:val="bg-BG"/>
        </w:rPr>
        <w:t xml:space="preserve"> г. са възстановени компрометирани участъ</w:t>
      </w:r>
      <w:r>
        <w:rPr>
          <w:rFonts w:ascii="Arial Narrow" w:hAnsi="Arial Narrow"/>
          <w:lang w:val="bg-BG"/>
        </w:rPr>
        <w:t>ци от корекции на реки и дерета</w:t>
      </w:r>
      <w:r w:rsidRPr="007C53C2">
        <w:rPr>
          <w:rFonts w:ascii="Arial Narrow" w:hAnsi="Arial Narrow"/>
          <w:lang w:val="bg-BG"/>
        </w:rPr>
        <w:t>, отводнителни канали</w:t>
      </w:r>
      <w:r w:rsidRPr="00C026F6">
        <w:rPr>
          <w:rFonts w:ascii="Arial Narrow" w:hAnsi="Arial Narrow"/>
          <w:lang w:val="bg-BG"/>
        </w:rPr>
        <w:t>, с което е подобрена тяхната проводимост и функцията им за защита от наводнения на земеделски земи, населени места и техническа инфраструктура.</w:t>
      </w:r>
    </w:p>
    <w:p w14:paraId="7AF94816" w14:textId="77777777" w:rsidR="00121CC1" w:rsidRPr="00685B73" w:rsidRDefault="00121CC1" w:rsidP="00121CC1">
      <w:pPr>
        <w:overflowPunct w:val="0"/>
        <w:autoSpaceDE w:val="0"/>
        <w:autoSpaceDN w:val="0"/>
        <w:adjustRightInd w:val="0"/>
        <w:ind w:firstLine="709"/>
        <w:jc w:val="both"/>
        <w:rPr>
          <w:rFonts w:ascii="Arial Narrow" w:hAnsi="Arial Narrow"/>
          <w:lang w:val="bg-BG"/>
        </w:rPr>
      </w:pPr>
      <w:r w:rsidRPr="00C026F6">
        <w:rPr>
          <w:rFonts w:ascii="Arial Narrow" w:hAnsi="Arial Narrow"/>
          <w:lang w:val="bg-BG"/>
        </w:rPr>
        <w:t xml:space="preserve">Извършено е поддържане експлоатационното състояние на отводнителни системи и </w:t>
      </w:r>
      <w:r w:rsidRPr="002830BC">
        <w:rPr>
          <w:rFonts w:ascii="Arial Narrow" w:hAnsi="Arial Narrow"/>
          <w:lang w:val="bg-BG"/>
        </w:rPr>
        <w:t>отводнителни полета</w:t>
      </w:r>
      <w:r w:rsidRPr="00C026F6">
        <w:rPr>
          <w:rFonts w:ascii="Arial Narrow" w:hAnsi="Arial Narrow"/>
          <w:lang w:val="bg-BG"/>
        </w:rPr>
        <w:t>, с което е постигнато подобряване на водно-въздушния баланс на почвата в обработваемите земеделски земи, способстващо за увеличение на добивите на селскостопанската продукция.</w:t>
      </w:r>
    </w:p>
    <w:p w14:paraId="484F6EBA" w14:textId="77777777" w:rsidR="00121CC1" w:rsidRPr="00C026F6" w:rsidRDefault="00121CC1" w:rsidP="00121CC1">
      <w:pPr>
        <w:overflowPunct w:val="0"/>
        <w:autoSpaceDE w:val="0"/>
        <w:autoSpaceDN w:val="0"/>
        <w:adjustRightInd w:val="0"/>
        <w:ind w:firstLine="709"/>
        <w:jc w:val="both"/>
        <w:rPr>
          <w:rFonts w:ascii="Arial Narrow" w:hAnsi="Arial Narrow"/>
          <w:lang w:val="bg-BG"/>
        </w:rPr>
      </w:pPr>
      <w:r w:rsidRPr="00C026F6">
        <w:rPr>
          <w:rFonts w:ascii="Arial Narrow" w:hAnsi="Arial Narrow"/>
          <w:lang w:val="bg-BG"/>
        </w:rPr>
        <w:t>Подобрено е състоянието на Дунавски диги, като са почистени участъци от храстовидна и дървесна растителност. Извършени са ремонти по отводнителни помпени станции.</w:t>
      </w:r>
    </w:p>
    <w:p w14:paraId="2A57A8D1" w14:textId="77777777" w:rsidR="00121CC1" w:rsidRPr="00C026F6" w:rsidRDefault="00121CC1" w:rsidP="00121CC1">
      <w:pPr>
        <w:overflowPunct w:val="0"/>
        <w:autoSpaceDE w:val="0"/>
        <w:autoSpaceDN w:val="0"/>
        <w:adjustRightInd w:val="0"/>
        <w:ind w:firstLine="709"/>
        <w:jc w:val="both"/>
        <w:rPr>
          <w:rFonts w:ascii="Arial Narrow" w:hAnsi="Arial Narrow"/>
          <w:lang w:val="bg-BG"/>
        </w:rPr>
      </w:pPr>
      <w:r w:rsidRPr="00C026F6">
        <w:rPr>
          <w:rFonts w:ascii="Arial Narrow" w:hAnsi="Arial Narrow"/>
          <w:lang w:val="bg-BG"/>
        </w:rPr>
        <w:t>Извършените дейности от „Напоителни системи“ ЕАД (финансирани със средства от държавния бюджет на България) са подобрили общото експлоатационно състояние на водностопанските системи и съоръжения.</w:t>
      </w:r>
    </w:p>
    <w:p w14:paraId="7FF42C32" w14:textId="77777777" w:rsidR="00121CC1" w:rsidRPr="00260129" w:rsidRDefault="00121CC1" w:rsidP="00121CC1">
      <w:pPr>
        <w:overflowPunct w:val="0"/>
        <w:autoSpaceDE w:val="0"/>
        <w:autoSpaceDN w:val="0"/>
        <w:adjustRightInd w:val="0"/>
        <w:ind w:firstLine="709"/>
        <w:jc w:val="both"/>
        <w:rPr>
          <w:rFonts w:ascii="Arial Narrow" w:hAnsi="Arial Narrow"/>
          <w:lang w:val="bg-BG"/>
        </w:rPr>
      </w:pPr>
      <w:r>
        <w:rPr>
          <w:rFonts w:ascii="Arial Narrow" w:hAnsi="Arial Narrow"/>
          <w:lang w:val="bg-BG"/>
        </w:rPr>
        <w:t xml:space="preserve">Въз основа на Договор № РД-50-7/18.03.2024 г., през 2025 г. </w:t>
      </w:r>
      <w:r w:rsidRPr="00260129">
        <w:rPr>
          <w:rFonts w:ascii="Arial Narrow" w:hAnsi="Arial Narrow"/>
          <w:lang w:val="bg-BG"/>
        </w:rPr>
        <w:t>„Напоителни системи” ЕАД извършва обществена услуга за защита от вредното въздействие на водите, включваща дейности по поддръжка и експлоатация на 3</w:t>
      </w:r>
      <w:r w:rsidRPr="00C026F6">
        <w:rPr>
          <w:rFonts w:ascii="Arial Narrow" w:hAnsi="Arial Narrow"/>
          <w:lang w:val="bg-BG"/>
        </w:rPr>
        <w:t xml:space="preserve"> </w:t>
      </w:r>
      <w:r>
        <w:rPr>
          <w:rFonts w:ascii="Arial Narrow" w:hAnsi="Arial Narrow"/>
          <w:lang w:val="bg-BG"/>
        </w:rPr>
        <w:t>141</w:t>
      </w:r>
      <w:r w:rsidRPr="00260129">
        <w:rPr>
          <w:rFonts w:ascii="Arial Narrow" w:hAnsi="Arial Narrow"/>
          <w:lang w:val="bg-BG"/>
        </w:rPr>
        <w:t xml:space="preserve"> км корекции на</w:t>
      </w:r>
      <w:r>
        <w:rPr>
          <w:rFonts w:ascii="Arial Narrow" w:hAnsi="Arial Narrow"/>
          <w:lang w:val="bg-BG"/>
        </w:rPr>
        <w:t xml:space="preserve"> реки, 241 км Дунавски диги, 255</w:t>
      </w:r>
      <w:r w:rsidRPr="00260129">
        <w:rPr>
          <w:rFonts w:ascii="Arial Narrow" w:hAnsi="Arial Narrow"/>
          <w:lang w:val="bg-BG"/>
        </w:rPr>
        <w:t xml:space="preserve"> км предпазни диги, 70 отводнителни пом</w:t>
      </w:r>
      <w:r>
        <w:rPr>
          <w:rFonts w:ascii="Arial Narrow" w:hAnsi="Arial Narrow"/>
          <w:lang w:val="bg-BG"/>
        </w:rPr>
        <w:t>пени станции (ОПС), 7</w:t>
      </w:r>
      <w:r w:rsidRPr="00C026F6">
        <w:rPr>
          <w:rFonts w:ascii="Arial Narrow" w:hAnsi="Arial Narrow"/>
          <w:lang w:val="bg-BG"/>
        </w:rPr>
        <w:t xml:space="preserve"> ретензионни язовир</w:t>
      </w:r>
      <w:r>
        <w:rPr>
          <w:rFonts w:ascii="Arial Narrow" w:hAnsi="Arial Narrow"/>
          <w:lang w:val="bg-BG"/>
        </w:rPr>
        <w:t>а</w:t>
      </w:r>
      <w:r w:rsidRPr="00C026F6">
        <w:rPr>
          <w:rFonts w:ascii="Arial Narrow" w:hAnsi="Arial Narrow"/>
          <w:lang w:val="bg-BG"/>
        </w:rPr>
        <w:t xml:space="preserve"> </w:t>
      </w:r>
      <w:r w:rsidRPr="00260129">
        <w:rPr>
          <w:rFonts w:ascii="Arial Narrow" w:hAnsi="Arial Narrow"/>
          <w:lang w:val="bg-BG"/>
        </w:rPr>
        <w:t>и отводнителни системи и полета</w:t>
      </w:r>
      <w:r>
        <w:rPr>
          <w:rFonts w:ascii="Arial Narrow" w:hAnsi="Arial Narrow"/>
          <w:lang w:val="bg-BG"/>
        </w:rPr>
        <w:t>,</w:t>
      </w:r>
      <w:r w:rsidRPr="00260129">
        <w:rPr>
          <w:rFonts w:ascii="Arial Narrow" w:hAnsi="Arial Narrow"/>
          <w:lang w:val="bg-BG"/>
        </w:rPr>
        <w:t xml:space="preserve"> отводняващи 1,46</w:t>
      </w:r>
      <w:r w:rsidRPr="00C026F6">
        <w:rPr>
          <w:rFonts w:ascii="Arial Narrow" w:hAnsi="Arial Narrow"/>
          <w:lang w:val="bg-BG"/>
        </w:rPr>
        <w:t>6 млн. дка площи.</w:t>
      </w:r>
    </w:p>
    <w:p w14:paraId="555064F0" w14:textId="77777777" w:rsidR="00121CC1" w:rsidRPr="00260129" w:rsidRDefault="00121CC1" w:rsidP="00121CC1">
      <w:pPr>
        <w:overflowPunct w:val="0"/>
        <w:autoSpaceDE w:val="0"/>
        <w:autoSpaceDN w:val="0"/>
        <w:adjustRightInd w:val="0"/>
        <w:ind w:firstLine="709"/>
        <w:jc w:val="both"/>
        <w:rPr>
          <w:rFonts w:ascii="Arial Narrow" w:hAnsi="Arial Narrow"/>
          <w:lang w:val="bg-BG"/>
        </w:rPr>
      </w:pPr>
      <w:r>
        <w:rPr>
          <w:rFonts w:ascii="Arial Narrow" w:hAnsi="Arial Narrow"/>
          <w:lang w:val="bg-BG"/>
        </w:rPr>
        <w:t>През първите пет месеца на 2025</w:t>
      </w:r>
      <w:r w:rsidRPr="00260129">
        <w:rPr>
          <w:rFonts w:ascii="Arial Narrow" w:hAnsi="Arial Narrow"/>
          <w:lang w:val="bg-BG"/>
        </w:rPr>
        <w:t xml:space="preserve"> г. направените разходи от „Напоителни системи” ЕАД за извършване на дейностите по договор</w:t>
      </w:r>
      <w:r w:rsidRPr="00BB5E18">
        <w:rPr>
          <w:rFonts w:ascii="Arial Narrow" w:hAnsi="Arial Narrow"/>
          <w:lang w:val="bg-BG"/>
        </w:rPr>
        <w:t xml:space="preserve"> за </w:t>
      </w:r>
      <w:r w:rsidRPr="00DA7C23">
        <w:rPr>
          <w:rFonts w:ascii="Arial Narrow" w:hAnsi="Arial Narrow"/>
          <w:lang w:val="bg-BG"/>
        </w:rPr>
        <w:t>ОПВВВ</w:t>
      </w:r>
      <w:r>
        <w:rPr>
          <w:rFonts w:ascii="Arial Narrow" w:hAnsi="Arial Narrow"/>
          <w:lang w:val="bg-BG"/>
        </w:rPr>
        <w:t xml:space="preserve"> са на стойност 11 432 319</w:t>
      </w:r>
      <w:r w:rsidRPr="00BB5E18">
        <w:rPr>
          <w:rFonts w:ascii="Arial Narrow" w:hAnsi="Arial Narrow"/>
          <w:lang w:val="bg-BG"/>
        </w:rPr>
        <w:t xml:space="preserve"> </w:t>
      </w:r>
      <w:r>
        <w:rPr>
          <w:rFonts w:ascii="Arial Narrow" w:hAnsi="Arial Narrow"/>
          <w:lang w:val="bg-BG"/>
        </w:rPr>
        <w:t>лева</w:t>
      </w:r>
      <w:r w:rsidRPr="00260129">
        <w:rPr>
          <w:rFonts w:ascii="Arial Narrow" w:hAnsi="Arial Narrow"/>
          <w:lang w:val="bg-BG"/>
        </w:rPr>
        <w:t xml:space="preserve"> с </w:t>
      </w:r>
      <w:r>
        <w:rPr>
          <w:rFonts w:ascii="Arial Narrow" w:hAnsi="Arial Narrow"/>
          <w:lang w:val="bg-BG"/>
        </w:rPr>
        <w:t>ДДС.</w:t>
      </w:r>
    </w:p>
    <w:p w14:paraId="083D1EE3" w14:textId="77777777" w:rsidR="00121CC1" w:rsidRPr="00685B73" w:rsidRDefault="00121CC1" w:rsidP="00121CC1">
      <w:pPr>
        <w:overflowPunct w:val="0"/>
        <w:autoSpaceDE w:val="0"/>
        <w:autoSpaceDN w:val="0"/>
        <w:adjustRightInd w:val="0"/>
        <w:ind w:firstLine="709"/>
        <w:jc w:val="both"/>
        <w:rPr>
          <w:rFonts w:ascii="Arial Narrow" w:hAnsi="Arial Narrow"/>
          <w:lang w:val="bg-BG"/>
        </w:rPr>
      </w:pPr>
      <w:r>
        <w:rPr>
          <w:rFonts w:ascii="Arial Narrow" w:hAnsi="Arial Narrow"/>
          <w:lang w:val="bg-BG"/>
        </w:rPr>
        <w:t>В периода до 31.05.2025</w:t>
      </w:r>
      <w:r w:rsidRPr="00260129">
        <w:rPr>
          <w:rFonts w:ascii="Arial Narrow" w:hAnsi="Arial Narrow"/>
          <w:lang w:val="bg-BG"/>
        </w:rPr>
        <w:t xml:space="preserve"> г. са извършени ремонтно-</w:t>
      </w:r>
      <w:r>
        <w:rPr>
          <w:rFonts w:ascii="Arial Narrow" w:hAnsi="Arial Narrow"/>
          <w:lang w:val="bg-BG"/>
        </w:rPr>
        <w:t>възстановителни работи на над 15</w:t>
      </w:r>
      <w:r w:rsidRPr="00F8035E">
        <w:rPr>
          <w:rFonts w:ascii="Arial Narrow" w:hAnsi="Arial Narrow"/>
          <w:lang w:val="bg-BG"/>
        </w:rPr>
        <w:t xml:space="preserve"> обекта (</w:t>
      </w:r>
      <w:r w:rsidRPr="00260129">
        <w:rPr>
          <w:rFonts w:ascii="Arial Narrow" w:hAnsi="Arial Narrow"/>
          <w:lang w:val="bg-BG"/>
        </w:rPr>
        <w:t xml:space="preserve">компрометирани участъци от корекции на реки, </w:t>
      </w:r>
      <w:r w:rsidRPr="00077AF6">
        <w:rPr>
          <w:rFonts w:ascii="Arial Narrow" w:hAnsi="Arial Narrow"/>
          <w:lang w:val="bg-BG"/>
        </w:rPr>
        <w:t>Дунавски диги, отводнителни канали, ремонти на ОПС, ретензионен язовир и др</w:t>
      </w:r>
      <w:r>
        <w:rPr>
          <w:rFonts w:ascii="Arial Narrow" w:hAnsi="Arial Narrow"/>
          <w:lang w:val="bg-BG"/>
        </w:rPr>
        <w:t>.</w:t>
      </w:r>
      <w:r w:rsidRPr="00F8035E">
        <w:rPr>
          <w:rFonts w:ascii="Arial Narrow" w:hAnsi="Arial Narrow"/>
          <w:lang w:val="bg-BG"/>
        </w:rPr>
        <w:t>).</w:t>
      </w:r>
      <w:r w:rsidRPr="00685B73">
        <w:rPr>
          <w:rFonts w:ascii="Arial Narrow" w:hAnsi="Arial Narrow"/>
          <w:lang w:val="bg-BG"/>
        </w:rPr>
        <w:t xml:space="preserve"> </w:t>
      </w:r>
      <w:r w:rsidRPr="00A37A4A">
        <w:rPr>
          <w:rFonts w:ascii="Arial Narrow" w:hAnsi="Arial Narrow"/>
          <w:lang w:val="bg-BG"/>
        </w:rPr>
        <w:t xml:space="preserve">Изготвени са работни проекти </w:t>
      </w:r>
      <w:r>
        <w:rPr>
          <w:rFonts w:ascii="Arial Narrow" w:hAnsi="Arial Narrow"/>
          <w:lang w:val="bg-BG"/>
        </w:rPr>
        <w:t>за два обекта – участъци от к</w:t>
      </w:r>
      <w:r w:rsidRPr="00A37A4A">
        <w:rPr>
          <w:rFonts w:ascii="Arial Narrow" w:hAnsi="Arial Narrow"/>
          <w:lang w:val="bg-BG"/>
        </w:rPr>
        <w:t>орекция на река Места</w:t>
      </w:r>
      <w:r w:rsidRPr="00685B73">
        <w:rPr>
          <w:rFonts w:ascii="Arial Narrow" w:hAnsi="Arial Narrow"/>
          <w:lang w:val="bg-BG"/>
        </w:rPr>
        <w:t>.</w:t>
      </w:r>
    </w:p>
    <w:p w14:paraId="2BD699D2" w14:textId="77777777" w:rsidR="00121CC1" w:rsidRPr="00F8035E" w:rsidRDefault="00121CC1" w:rsidP="00121CC1">
      <w:pPr>
        <w:overflowPunct w:val="0"/>
        <w:autoSpaceDE w:val="0"/>
        <w:autoSpaceDN w:val="0"/>
        <w:adjustRightInd w:val="0"/>
        <w:ind w:firstLine="709"/>
        <w:jc w:val="both"/>
        <w:rPr>
          <w:rFonts w:ascii="Arial Narrow" w:hAnsi="Arial Narrow"/>
          <w:lang w:val="bg-BG"/>
        </w:rPr>
      </w:pPr>
      <w:r>
        <w:rPr>
          <w:rFonts w:ascii="Arial Narrow" w:hAnsi="Arial Narrow"/>
          <w:lang w:val="bg-BG"/>
        </w:rPr>
        <w:t xml:space="preserve">В програмите за </w:t>
      </w:r>
      <w:r w:rsidRPr="00F8035E">
        <w:rPr>
          <w:rFonts w:ascii="Arial Narrow" w:hAnsi="Arial Narrow"/>
          <w:lang w:val="bg-BG"/>
        </w:rPr>
        <w:t>202</w:t>
      </w:r>
      <w:r>
        <w:rPr>
          <w:rFonts w:ascii="Arial Narrow" w:hAnsi="Arial Narrow"/>
          <w:lang w:val="bg-BG"/>
        </w:rPr>
        <w:t>5</w:t>
      </w:r>
      <w:r w:rsidRPr="00F8035E">
        <w:rPr>
          <w:rFonts w:ascii="Arial Narrow" w:hAnsi="Arial Narrow"/>
          <w:lang w:val="bg-BG"/>
        </w:rPr>
        <w:t xml:space="preserve"> г. се предвижда да продължи възстановяването на компрометирани участъци от диги, корекции на реки и други ОПВВВ, както и първоетапно възлагане и изготвяне на работни</w:t>
      </w:r>
      <w:r>
        <w:rPr>
          <w:rFonts w:ascii="Arial Narrow" w:hAnsi="Arial Narrow"/>
          <w:lang w:val="bg-BG"/>
        </w:rPr>
        <w:t>/технически инвестиционни</w:t>
      </w:r>
      <w:r w:rsidRPr="00F8035E">
        <w:rPr>
          <w:rFonts w:ascii="Arial Narrow" w:hAnsi="Arial Narrow"/>
          <w:lang w:val="bg-BG"/>
        </w:rPr>
        <w:t xml:space="preserve"> проекти на компрометирани обекти, с цел последващото им възстановяване. Очаква се разходите за дейностите </w:t>
      </w:r>
      <w:r>
        <w:rPr>
          <w:rFonts w:ascii="Arial Narrow" w:hAnsi="Arial Narrow"/>
          <w:lang w:val="bg-BG"/>
        </w:rPr>
        <w:t>през 2025 г. по Договор № РД-50-7/18.03.2024 г. да достигнат 29</w:t>
      </w:r>
      <w:r w:rsidRPr="00F8035E">
        <w:rPr>
          <w:rFonts w:ascii="Arial Narrow" w:hAnsi="Arial Narrow"/>
          <w:lang w:val="bg-BG"/>
        </w:rPr>
        <w:t xml:space="preserve"> млн. лева. </w:t>
      </w:r>
      <w:r>
        <w:rPr>
          <w:rFonts w:ascii="Arial Narrow" w:hAnsi="Arial Narrow"/>
          <w:lang w:val="bg-BG"/>
        </w:rPr>
        <w:t>Изпълнението на дейностите по ОПВВВ е сериозно затруднено, п</w:t>
      </w:r>
      <w:r w:rsidRPr="00F8035E">
        <w:rPr>
          <w:rFonts w:ascii="Arial Narrow" w:hAnsi="Arial Narrow"/>
          <w:lang w:val="bg-BG"/>
        </w:rPr>
        <w:t xml:space="preserve">оради </w:t>
      </w:r>
      <w:r>
        <w:rPr>
          <w:rFonts w:ascii="Arial Narrow" w:hAnsi="Arial Narrow"/>
          <w:lang w:val="bg-BG"/>
        </w:rPr>
        <w:t>недостиг на строителна техника, механизация и транспортни средства</w:t>
      </w:r>
      <w:r w:rsidRPr="00F8035E">
        <w:rPr>
          <w:rFonts w:ascii="Arial Narrow" w:hAnsi="Arial Narrow"/>
          <w:lang w:val="bg-BG"/>
        </w:rPr>
        <w:t xml:space="preserve">. </w:t>
      </w:r>
      <w:r>
        <w:rPr>
          <w:rFonts w:ascii="Arial Narrow" w:hAnsi="Arial Narrow"/>
          <w:lang w:val="bg-BG"/>
        </w:rPr>
        <w:t>Техническите средства, с които разполага дружеството са амортизирани и не са високоефективни, особено в критични и аварийни ситуации.</w:t>
      </w:r>
    </w:p>
    <w:p w14:paraId="62D7DF55" w14:textId="77777777" w:rsidR="00121CC1" w:rsidRPr="00AC05CA" w:rsidRDefault="00121CC1" w:rsidP="00121CC1">
      <w:pPr>
        <w:overflowPunct w:val="0"/>
        <w:autoSpaceDE w:val="0"/>
        <w:autoSpaceDN w:val="0"/>
        <w:adjustRightInd w:val="0"/>
        <w:ind w:firstLine="709"/>
        <w:jc w:val="both"/>
        <w:rPr>
          <w:rFonts w:ascii="Arial Narrow" w:hAnsi="Arial Narrow"/>
          <w:lang w:val="bg-BG"/>
        </w:rPr>
      </w:pPr>
      <w:r>
        <w:rPr>
          <w:rFonts w:ascii="Arial Narrow" w:hAnsi="Arial Narrow"/>
          <w:lang w:val="bg-BG"/>
        </w:rPr>
        <w:t xml:space="preserve">В изпълнение на Постановление на Министерски съвет № 201 от 14.07.2011 г. </w:t>
      </w:r>
      <w:r w:rsidRPr="00AC05CA">
        <w:rPr>
          <w:rFonts w:ascii="Arial Narrow" w:hAnsi="Arial Narrow"/>
          <w:lang w:val="bg-BG"/>
        </w:rPr>
        <w:t xml:space="preserve">Министерство на земеделието и храните е възложило на „Напоителни системи“ ЕАД функцията на възложител за изпълнение на строеж „Инженеринг - проучване, проектиране и изпълнение на строително монтажни работи, свързани с предотвратяване от наводняване на околните земеделски земи и на прилежащите съоръжения и насипи на ЛОТ4 от АМ „Тракия“ „Ямбол – Карнобат“. </w:t>
      </w:r>
      <w:r>
        <w:rPr>
          <w:rFonts w:ascii="Arial Narrow" w:hAnsi="Arial Narrow"/>
          <w:lang w:val="bg-BG"/>
        </w:rPr>
        <w:t>Към средата на 2025 г. з</w:t>
      </w:r>
      <w:r w:rsidRPr="00AC05CA">
        <w:rPr>
          <w:rFonts w:ascii="Arial Narrow" w:hAnsi="Arial Narrow"/>
          <w:lang w:val="bg-BG"/>
        </w:rPr>
        <w:t xml:space="preserve">авършени и предадени са 10 подобекта на строежа, като остават за реализация 2 подобекта по Азмак дере. </w:t>
      </w:r>
    </w:p>
    <w:p w14:paraId="0E9FBC1D" w14:textId="77777777" w:rsidR="00121CC1" w:rsidRDefault="00121CC1" w:rsidP="00121CC1">
      <w:pPr>
        <w:overflowPunct w:val="0"/>
        <w:autoSpaceDE w:val="0"/>
        <w:autoSpaceDN w:val="0"/>
        <w:adjustRightInd w:val="0"/>
        <w:spacing w:after="120"/>
        <w:ind w:firstLine="709"/>
        <w:jc w:val="both"/>
        <w:rPr>
          <w:rFonts w:ascii="Arial Narrow" w:hAnsi="Arial Narrow"/>
          <w:color w:val="FF0000"/>
          <w:lang w:val="bg-BG"/>
        </w:rPr>
      </w:pPr>
      <w:r w:rsidRPr="00297622">
        <w:rPr>
          <w:rFonts w:ascii="Arial Narrow" w:hAnsi="Arial Narrow"/>
          <w:lang w:val="bg-BG"/>
        </w:rPr>
        <w:t>За да се реализира строителството на двата подобекта</w:t>
      </w:r>
      <w:r>
        <w:rPr>
          <w:rFonts w:ascii="Arial Narrow" w:hAnsi="Arial Narrow"/>
          <w:lang w:val="bg-BG"/>
        </w:rPr>
        <w:t xml:space="preserve"> </w:t>
      </w:r>
      <w:r w:rsidRPr="004B1F58">
        <w:rPr>
          <w:rFonts w:ascii="Arial Narrow" w:hAnsi="Arial Narrow"/>
          <w:lang w:val="bg-BG"/>
        </w:rPr>
        <w:t>по Азмак дере</w:t>
      </w:r>
      <w:r w:rsidRPr="00297622">
        <w:rPr>
          <w:rFonts w:ascii="Arial Narrow" w:hAnsi="Arial Narrow"/>
          <w:lang w:val="bg-BG"/>
        </w:rPr>
        <w:t>, основна цел на този етап е да започне извършване на пълните археологически проучвания</w:t>
      </w:r>
      <w:r>
        <w:rPr>
          <w:rFonts w:ascii="Arial Narrow" w:hAnsi="Arial Narrow"/>
          <w:lang w:val="bg-BG"/>
        </w:rPr>
        <w:t>, както и на</w:t>
      </w:r>
      <w:r w:rsidRPr="00297622">
        <w:rPr>
          <w:rFonts w:ascii="Arial Narrow" w:hAnsi="Arial Narrow"/>
          <w:lang w:val="bg-BG"/>
        </w:rPr>
        <w:t xml:space="preserve"> съответните отчуждения и уреждане собствеността </w:t>
      </w:r>
      <w:r>
        <w:rPr>
          <w:rFonts w:ascii="Arial Narrow" w:hAnsi="Arial Narrow"/>
          <w:lang w:val="bg-BG"/>
        </w:rPr>
        <w:t>в публична държавна собственост на МЗХ на засегнатите</w:t>
      </w:r>
      <w:r w:rsidRPr="00297622">
        <w:rPr>
          <w:rFonts w:ascii="Arial Narrow" w:hAnsi="Arial Narrow"/>
          <w:lang w:val="bg-BG"/>
        </w:rPr>
        <w:t xml:space="preserve"> от подробния устройствен план </w:t>
      </w:r>
      <w:r>
        <w:rPr>
          <w:rFonts w:ascii="Arial Narrow" w:hAnsi="Arial Narrow"/>
          <w:lang w:val="bg-BG"/>
        </w:rPr>
        <w:t xml:space="preserve">частни имоти, общински имоти и </w:t>
      </w:r>
      <w:r w:rsidRPr="00297622">
        <w:rPr>
          <w:rFonts w:ascii="Arial Narrow" w:hAnsi="Arial Narrow"/>
          <w:lang w:val="bg-BG"/>
        </w:rPr>
        <w:t>имоти горски фонд</w:t>
      </w:r>
      <w:r>
        <w:rPr>
          <w:rFonts w:ascii="Arial Narrow" w:hAnsi="Arial Narrow"/>
          <w:lang w:val="bg-BG"/>
        </w:rPr>
        <w:t>, като тези процедури изискват значително технологично време</w:t>
      </w:r>
      <w:r w:rsidRPr="00297622">
        <w:rPr>
          <w:rFonts w:ascii="Arial Narrow" w:hAnsi="Arial Narrow"/>
          <w:lang w:val="bg-BG"/>
        </w:rPr>
        <w:t>.</w:t>
      </w:r>
    </w:p>
    <w:p w14:paraId="21005E28" w14:textId="77777777" w:rsidR="00121CC1" w:rsidRPr="005376E6" w:rsidRDefault="0041298A" w:rsidP="005376E6">
      <w:pPr>
        <w:pStyle w:val="ListParagraph"/>
        <w:numPr>
          <w:ilvl w:val="1"/>
          <w:numId w:val="3"/>
        </w:numPr>
        <w:spacing w:after="120"/>
        <w:contextualSpacing w:val="0"/>
        <w:outlineLvl w:val="0"/>
        <w:rPr>
          <w:rFonts w:ascii="Arial Narrow" w:hAnsi="Arial Narrow"/>
          <w:b/>
          <w:bCs/>
          <w:lang w:val="bg-BG" w:eastAsia="bg-BG"/>
        </w:rPr>
      </w:pPr>
      <w:bookmarkStart w:id="137" w:name="_Toc210747607"/>
      <w:r w:rsidRPr="005376E6">
        <w:rPr>
          <w:rFonts w:ascii="Arial Narrow" w:hAnsi="Arial Narrow"/>
          <w:b/>
          <w:bCs/>
          <w:lang w:val="bg-BG" w:eastAsia="bg-BG"/>
        </w:rPr>
        <w:t>Напояване</w:t>
      </w:r>
      <w:bookmarkEnd w:id="137"/>
    </w:p>
    <w:p w14:paraId="2628F229" w14:textId="77777777" w:rsidR="005376E6" w:rsidRPr="005376E6" w:rsidRDefault="005376E6" w:rsidP="005376E6">
      <w:pPr>
        <w:overflowPunct w:val="0"/>
        <w:autoSpaceDE w:val="0"/>
        <w:autoSpaceDN w:val="0"/>
        <w:adjustRightInd w:val="0"/>
        <w:spacing w:after="120"/>
        <w:ind w:firstLine="709"/>
        <w:jc w:val="both"/>
        <w:rPr>
          <w:rFonts w:ascii="Arial Narrow" w:hAnsi="Arial Narrow"/>
          <w:lang w:val="bg-BG"/>
        </w:rPr>
      </w:pPr>
      <w:r w:rsidRPr="005376E6">
        <w:rPr>
          <w:rFonts w:ascii="Arial Narrow" w:hAnsi="Arial Narrow"/>
          <w:lang w:val="bg-BG"/>
        </w:rPr>
        <w:lastRenderedPageBreak/>
        <w:t>Язовирите, собственост и стопанисвани от „Напоителни системи“ ЕАД са общо 181 броя. От тях, за ползване, включително стопанисването, поддръжка, експлоатация, опазване и мониторинг, понастоящем са предоставени 19 комплексни и значими язовира - публична държавна собственост, а 15 са ретензионни. През 2024 г. дружеството е извършвало частични и текущи ремонтни работи по напоителната инфраструктура, основно във връзка с подготовката на поливен сезон и възникнали аварийни ситуации.</w:t>
      </w:r>
    </w:p>
    <w:p w14:paraId="0BDEC944" w14:textId="77777777" w:rsidR="005376E6" w:rsidRPr="005376E6" w:rsidRDefault="005376E6" w:rsidP="005376E6">
      <w:pPr>
        <w:overflowPunct w:val="0"/>
        <w:autoSpaceDE w:val="0"/>
        <w:autoSpaceDN w:val="0"/>
        <w:adjustRightInd w:val="0"/>
        <w:spacing w:after="120"/>
        <w:ind w:firstLine="709"/>
        <w:jc w:val="both"/>
        <w:rPr>
          <w:rFonts w:ascii="Arial Narrow" w:hAnsi="Arial Narrow"/>
          <w:lang w:val="bg-BG"/>
        </w:rPr>
      </w:pPr>
      <w:r w:rsidRPr="005376E6">
        <w:rPr>
          <w:rFonts w:ascii="Arial Narrow" w:hAnsi="Arial Narrow"/>
          <w:lang w:val="bg-BG"/>
        </w:rPr>
        <w:t>През 2024 г. от „Напоителни системи” ЕАД са полети общо 342 614 дка с подадени водни маси в размер на 311 613 хил. м³, в т.ч. 115 219 дка ориз с 273 817 хил. м³ водни маси. Общо полетите площи са с около 11% повече в сравнение с предходната година.</w:t>
      </w:r>
    </w:p>
    <w:p w14:paraId="7CDBFC48" w14:textId="77777777" w:rsidR="005376E6" w:rsidRPr="005376E6" w:rsidRDefault="005376E6" w:rsidP="005376E6">
      <w:pPr>
        <w:overflowPunct w:val="0"/>
        <w:autoSpaceDE w:val="0"/>
        <w:autoSpaceDN w:val="0"/>
        <w:adjustRightInd w:val="0"/>
        <w:spacing w:after="120"/>
        <w:ind w:firstLine="709"/>
        <w:jc w:val="both"/>
        <w:rPr>
          <w:rFonts w:ascii="Arial Narrow" w:hAnsi="Arial Narrow"/>
          <w:lang w:val="bg-BG"/>
        </w:rPr>
      </w:pPr>
      <w:r w:rsidRPr="005376E6">
        <w:rPr>
          <w:rFonts w:ascii="Arial Narrow" w:hAnsi="Arial Narrow"/>
          <w:lang w:val="bg-BG"/>
        </w:rPr>
        <w:t>През последните години се наблюдава тенденция на нарастване на размера на поливаните площи, като основно влияние оказват атмосферните условия през съответната година – валежите и температурите по време на поливния сезон.</w:t>
      </w:r>
    </w:p>
    <w:p w14:paraId="1E6A5A68" w14:textId="77777777" w:rsidR="005376E6" w:rsidRPr="005376E6" w:rsidRDefault="005376E6" w:rsidP="005376E6">
      <w:pPr>
        <w:spacing w:after="120"/>
        <w:rPr>
          <w:rFonts w:ascii="Arial Narrow" w:hAnsi="Arial Narrow"/>
          <w:b/>
          <w:lang w:val="bg-BG" w:eastAsia="bg-BG"/>
        </w:rPr>
      </w:pPr>
      <w:r w:rsidRPr="005376E6">
        <w:rPr>
          <w:rFonts w:ascii="Arial Narrow" w:hAnsi="Arial Narrow"/>
          <w:b/>
          <w:lang w:val="bg-BG" w:eastAsia="bg-BG"/>
        </w:rPr>
        <w:t>Таблица V.3. Полети площи и подадени водни маси от „Напоителни системи“ ЕАД през 2024 г. по видове култури</w:t>
      </w:r>
    </w:p>
    <w:tbl>
      <w:tblPr>
        <w:tblW w:w="11199" w:type="dxa"/>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51"/>
        <w:gridCol w:w="659"/>
        <w:gridCol w:w="794"/>
        <w:gridCol w:w="659"/>
        <w:gridCol w:w="819"/>
        <w:gridCol w:w="659"/>
        <w:gridCol w:w="819"/>
        <w:gridCol w:w="659"/>
        <w:gridCol w:w="819"/>
        <w:gridCol w:w="659"/>
        <w:gridCol w:w="819"/>
        <w:gridCol w:w="655"/>
        <w:gridCol w:w="815"/>
        <w:gridCol w:w="639"/>
        <w:gridCol w:w="874"/>
      </w:tblGrid>
      <w:tr w:rsidR="005376E6" w:rsidRPr="005376E6" w14:paraId="4B0206F0" w14:textId="77777777" w:rsidTr="00305E62">
        <w:trPr>
          <w:trHeight w:val="615"/>
          <w:tblHeader/>
        </w:trPr>
        <w:tc>
          <w:tcPr>
            <w:tcW w:w="851" w:type="dxa"/>
            <w:vMerge w:val="restart"/>
            <w:shd w:val="clear" w:color="auto" w:fill="auto"/>
            <w:vAlign w:val="center"/>
            <w:hideMark/>
          </w:tcPr>
          <w:p w14:paraId="711B122F" w14:textId="77777777" w:rsidR="005376E6" w:rsidRPr="005376E6" w:rsidRDefault="005376E6" w:rsidP="005376E6">
            <w:pPr>
              <w:jc w:val="center"/>
              <w:rPr>
                <w:rFonts w:ascii="Arial Narrow" w:hAnsi="Arial Narrow" w:cs="Calibri"/>
                <w:b/>
                <w:bCs/>
                <w:color w:val="FF0000"/>
                <w:sz w:val="16"/>
                <w:szCs w:val="16"/>
                <w:lang w:val="bg-BG" w:eastAsia="bg-BG"/>
              </w:rPr>
            </w:pPr>
            <w:r w:rsidRPr="005376E6">
              <w:rPr>
                <w:rFonts w:ascii="Arial Narrow" w:hAnsi="Arial Narrow" w:cs="Calibri"/>
                <w:b/>
                <w:bCs/>
                <w:color w:val="FF0000"/>
                <w:sz w:val="16"/>
                <w:szCs w:val="16"/>
                <w:lang w:val="bg-BG" w:eastAsia="bg-BG"/>
              </w:rPr>
              <w:t> </w:t>
            </w:r>
          </w:p>
        </w:tc>
        <w:tc>
          <w:tcPr>
            <w:tcW w:w="1453" w:type="dxa"/>
            <w:gridSpan w:val="2"/>
            <w:shd w:val="clear" w:color="000000" w:fill="FFFFFF"/>
            <w:noWrap/>
            <w:vAlign w:val="center"/>
            <w:hideMark/>
          </w:tcPr>
          <w:p w14:paraId="36957D13" w14:textId="77777777" w:rsidR="005376E6" w:rsidRPr="005376E6" w:rsidRDefault="005376E6" w:rsidP="005376E6">
            <w:pPr>
              <w:jc w:val="center"/>
              <w:rPr>
                <w:rFonts w:ascii="Arial Narrow" w:hAnsi="Arial Narrow" w:cs="Calibri"/>
                <w:b/>
                <w:bCs/>
                <w:color w:val="000000"/>
                <w:sz w:val="16"/>
                <w:szCs w:val="16"/>
                <w:lang w:val="bg-BG" w:eastAsia="bg-BG"/>
              </w:rPr>
            </w:pPr>
            <w:r w:rsidRPr="005376E6">
              <w:rPr>
                <w:rFonts w:ascii="Arial Narrow" w:hAnsi="Arial Narrow" w:cs="Calibri"/>
                <w:b/>
                <w:bCs/>
                <w:color w:val="000000"/>
                <w:sz w:val="16"/>
                <w:szCs w:val="16"/>
                <w:lang w:val="bg-BG" w:eastAsia="bg-BG"/>
              </w:rPr>
              <w:t>ОБЩО</w:t>
            </w:r>
          </w:p>
        </w:tc>
        <w:tc>
          <w:tcPr>
            <w:tcW w:w="1478" w:type="dxa"/>
            <w:gridSpan w:val="2"/>
            <w:shd w:val="clear" w:color="000000" w:fill="FFFFFF"/>
            <w:noWrap/>
            <w:vAlign w:val="center"/>
            <w:hideMark/>
          </w:tcPr>
          <w:p w14:paraId="1FEC203D" w14:textId="77777777" w:rsidR="005376E6" w:rsidRPr="005376E6" w:rsidRDefault="005376E6" w:rsidP="005376E6">
            <w:pPr>
              <w:jc w:val="center"/>
              <w:rPr>
                <w:rFonts w:ascii="Arial Narrow" w:hAnsi="Arial Narrow" w:cs="Calibri"/>
                <w:b/>
                <w:bCs/>
                <w:color w:val="000000"/>
                <w:sz w:val="16"/>
                <w:szCs w:val="16"/>
                <w:lang w:val="bg-BG" w:eastAsia="bg-BG"/>
              </w:rPr>
            </w:pPr>
            <w:r w:rsidRPr="005376E6">
              <w:rPr>
                <w:rFonts w:ascii="Arial Narrow" w:hAnsi="Arial Narrow" w:cs="Calibri"/>
                <w:b/>
                <w:bCs/>
                <w:color w:val="000000"/>
                <w:sz w:val="16"/>
                <w:szCs w:val="16"/>
                <w:lang w:val="bg-BG" w:eastAsia="bg-BG"/>
              </w:rPr>
              <w:t>Царевица</w:t>
            </w:r>
          </w:p>
        </w:tc>
        <w:tc>
          <w:tcPr>
            <w:tcW w:w="1478" w:type="dxa"/>
            <w:gridSpan w:val="2"/>
            <w:shd w:val="clear" w:color="000000" w:fill="FFFFFF"/>
            <w:noWrap/>
            <w:vAlign w:val="center"/>
            <w:hideMark/>
          </w:tcPr>
          <w:p w14:paraId="409D91F0" w14:textId="77777777" w:rsidR="005376E6" w:rsidRPr="005376E6" w:rsidRDefault="005376E6" w:rsidP="005376E6">
            <w:pPr>
              <w:jc w:val="center"/>
              <w:rPr>
                <w:rFonts w:ascii="Arial Narrow" w:hAnsi="Arial Narrow" w:cs="Calibri"/>
                <w:b/>
                <w:bCs/>
                <w:color w:val="000000"/>
                <w:sz w:val="16"/>
                <w:szCs w:val="16"/>
                <w:lang w:val="bg-BG" w:eastAsia="bg-BG"/>
              </w:rPr>
            </w:pPr>
            <w:r w:rsidRPr="005376E6">
              <w:rPr>
                <w:rFonts w:ascii="Arial Narrow" w:hAnsi="Arial Narrow" w:cs="Calibri"/>
                <w:b/>
                <w:bCs/>
                <w:color w:val="000000"/>
                <w:sz w:val="16"/>
                <w:szCs w:val="16"/>
                <w:lang w:val="bg-BG" w:eastAsia="bg-BG"/>
              </w:rPr>
              <w:t>Тютюн</w:t>
            </w:r>
          </w:p>
        </w:tc>
        <w:tc>
          <w:tcPr>
            <w:tcW w:w="1478" w:type="dxa"/>
            <w:gridSpan w:val="2"/>
            <w:shd w:val="clear" w:color="000000" w:fill="FFFFFF"/>
            <w:noWrap/>
            <w:vAlign w:val="center"/>
            <w:hideMark/>
          </w:tcPr>
          <w:p w14:paraId="77F46C7D" w14:textId="77777777" w:rsidR="005376E6" w:rsidRPr="005376E6" w:rsidRDefault="005376E6" w:rsidP="005376E6">
            <w:pPr>
              <w:jc w:val="center"/>
              <w:rPr>
                <w:rFonts w:ascii="Arial Narrow" w:hAnsi="Arial Narrow" w:cs="Calibri"/>
                <w:b/>
                <w:bCs/>
                <w:color w:val="000000"/>
                <w:sz w:val="16"/>
                <w:szCs w:val="16"/>
                <w:lang w:val="bg-BG" w:eastAsia="bg-BG"/>
              </w:rPr>
            </w:pPr>
            <w:r w:rsidRPr="005376E6">
              <w:rPr>
                <w:rFonts w:ascii="Arial Narrow" w:hAnsi="Arial Narrow" w:cs="Calibri"/>
                <w:b/>
                <w:bCs/>
                <w:color w:val="000000"/>
                <w:sz w:val="16"/>
                <w:szCs w:val="16"/>
                <w:lang w:val="bg-BG" w:eastAsia="bg-BG"/>
              </w:rPr>
              <w:t>Зеленчуци</w:t>
            </w:r>
          </w:p>
        </w:tc>
        <w:tc>
          <w:tcPr>
            <w:tcW w:w="1478" w:type="dxa"/>
            <w:gridSpan w:val="2"/>
            <w:shd w:val="clear" w:color="000000" w:fill="FFFFFF"/>
            <w:vAlign w:val="center"/>
            <w:hideMark/>
          </w:tcPr>
          <w:p w14:paraId="76F30279" w14:textId="77777777" w:rsidR="005376E6" w:rsidRPr="005376E6" w:rsidRDefault="005376E6" w:rsidP="005376E6">
            <w:pPr>
              <w:jc w:val="center"/>
              <w:rPr>
                <w:rFonts w:ascii="Arial Narrow" w:hAnsi="Arial Narrow" w:cs="Calibri"/>
                <w:b/>
                <w:bCs/>
                <w:color w:val="000000"/>
                <w:sz w:val="16"/>
                <w:szCs w:val="16"/>
                <w:lang w:val="bg-BG" w:eastAsia="bg-BG"/>
              </w:rPr>
            </w:pPr>
            <w:r w:rsidRPr="005376E6">
              <w:rPr>
                <w:rFonts w:ascii="Arial Narrow" w:hAnsi="Arial Narrow" w:cs="Calibri"/>
                <w:b/>
                <w:bCs/>
                <w:color w:val="000000"/>
                <w:sz w:val="16"/>
                <w:szCs w:val="16"/>
                <w:lang w:val="bg-BG" w:eastAsia="bg-BG"/>
              </w:rPr>
              <w:t>Трайни насаждения</w:t>
            </w:r>
          </w:p>
        </w:tc>
        <w:tc>
          <w:tcPr>
            <w:tcW w:w="1470" w:type="dxa"/>
            <w:gridSpan w:val="2"/>
            <w:shd w:val="clear" w:color="000000" w:fill="FFFFFF"/>
            <w:vAlign w:val="center"/>
            <w:hideMark/>
          </w:tcPr>
          <w:p w14:paraId="63B2E0F4" w14:textId="77777777" w:rsidR="005376E6" w:rsidRPr="005376E6" w:rsidRDefault="005376E6" w:rsidP="005376E6">
            <w:pPr>
              <w:jc w:val="center"/>
              <w:rPr>
                <w:rFonts w:ascii="Arial Narrow" w:hAnsi="Arial Narrow" w:cs="Calibri"/>
                <w:b/>
                <w:bCs/>
                <w:color w:val="000000"/>
                <w:sz w:val="16"/>
                <w:szCs w:val="16"/>
                <w:lang w:val="bg-BG" w:eastAsia="bg-BG"/>
              </w:rPr>
            </w:pPr>
            <w:r w:rsidRPr="005376E6">
              <w:rPr>
                <w:rFonts w:ascii="Arial Narrow" w:hAnsi="Arial Narrow" w:cs="Calibri"/>
                <w:b/>
                <w:bCs/>
                <w:color w:val="000000"/>
                <w:sz w:val="16"/>
                <w:szCs w:val="16"/>
                <w:lang w:val="bg-BG" w:eastAsia="bg-BG"/>
              </w:rPr>
              <w:t>Ориз</w:t>
            </w:r>
          </w:p>
        </w:tc>
        <w:tc>
          <w:tcPr>
            <w:tcW w:w="1513" w:type="dxa"/>
            <w:gridSpan w:val="2"/>
            <w:shd w:val="clear" w:color="000000" w:fill="FFFFFF"/>
            <w:noWrap/>
            <w:vAlign w:val="center"/>
            <w:hideMark/>
          </w:tcPr>
          <w:p w14:paraId="606CDA5D" w14:textId="77777777" w:rsidR="005376E6" w:rsidRPr="005376E6" w:rsidRDefault="005376E6" w:rsidP="005376E6">
            <w:pPr>
              <w:jc w:val="center"/>
              <w:rPr>
                <w:rFonts w:ascii="Arial Narrow" w:hAnsi="Arial Narrow" w:cs="Calibri"/>
                <w:b/>
                <w:bCs/>
                <w:color w:val="000000"/>
                <w:sz w:val="16"/>
                <w:szCs w:val="16"/>
                <w:lang w:val="bg-BG" w:eastAsia="bg-BG"/>
              </w:rPr>
            </w:pPr>
            <w:r w:rsidRPr="005376E6">
              <w:rPr>
                <w:rFonts w:ascii="Arial Narrow" w:hAnsi="Arial Narrow" w:cs="Calibri"/>
                <w:b/>
                <w:bCs/>
                <w:color w:val="000000"/>
                <w:sz w:val="16"/>
                <w:szCs w:val="16"/>
                <w:lang w:val="bg-BG" w:eastAsia="bg-BG"/>
              </w:rPr>
              <w:t>Други култури</w:t>
            </w:r>
          </w:p>
        </w:tc>
      </w:tr>
      <w:tr w:rsidR="005376E6" w:rsidRPr="005376E6" w14:paraId="2FB3B3E6" w14:textId="77777777" w:rsidTr="00305E62">
        <w:trPr>
          <w:trHeight w:val="589"/>
          <w:tblHeader/>
        </w:trPr>
        <w:tc>
          <w:tcPr>
            <w:tcW w:w="851" w:type="dxa"/>
            <w:vMerge/>
            <w:vAlign w:val="center"/>
            <w:hideMark/>
          </w:tcPr>
          <w:p w14:paraId="27D10745" w14:textId="77777777" w:rsidR="005376E6" w:rsidRPr="005376E6" w:rsidRDefault="005376E6" w:rsidP="005376E6">
            <w:pPr>
              <w:rPr>
                <w:rFonts w:ascii="Arial Narrow" w:hAnsi="Arial Narrow" w:cs="Calibri"/>
                <w:b/>
                <w:bCs/>
                <w:color w:val="FF0000"/>
                <w:sz w:val="16"/>
                <w:szCs w:val="16"/>
                <w:lang w:val="bg-BG" w:eastAsia="bg-BG"/>
              </w:rPr>
            </w:pPr>
          </w:p>
        </w:tc>
        <w:tc>
          <w:tcPr>
            <w:tcW w:w="659" w:type="dxa"/>
            <w:shd w:val="clear" w:color="auto" w:fill="auto"/>
            <w:vAlign w:val="center"/>
            <w:hideMark/>
          </w:tcPr>
          <w:p w14:paraId="1910B2FE" w14:textId="77777777" w:rsidR="005376E6" w:rsidRPr="005376E6" w:rsidRDefault="005376E6" w:rsidP="005376E6">
            <w:pPr>
              <w:jc w:val="center"/>
              <w:rPr>
                <w:rFonts w:ascii="Arial Narrow" w:hAnsi="Arial Narrow" w:cs="Calibri"/>
                <w:color w:val="000000"/>
                <w:sz w:val="16"/>
                <w:szCs w:val="16"/>
                <w:lang w:val="bg-BG" w:eastAsia="bg-BG"/>
              </w:rPr>
            </w:pPr>
            <w:r w:rsidRPr="005376E6">
              <w:rPr>
                <w:rFonts w:ascii="Arial Narrow" w:hAnsi="Arial Narrow" w:cs="Calibri"/>
                <w:color w:val="000000"/>
                <w:sz w:val="16"/>
                <w:szCs w:val="16"/>
                <w:lang w:val="bg-BG" w:eastAsia="bg-BG"/>
              </w:rPr>
              <w:t>Полети площи</w:t>
            </w:r>
          </w:p>
        </w:tc>
        <w:tc>
          <w:tcPr>
            <w:tcW w:w="794" w:type="dxa"/>
            <w:shd w:val="clear" w:color="auto" w:fill="auto"/>
            <w:vAlign w:val="center"/>
            <w:hideMark/>
          </w:tcPr>
          <w:p w14:paraId="30AF7458" w14:textId="77777777" w:rsidR="005376E6" w:rsidRPr="005376E6" w:rsidRDefault="005376E6" w:rsidP="005376E6">
            <w:pPr>
              <w:jc w:val="center"/>
              <w:rPr>
                <w:rFonts w:ascii="Arial Narrow" w:hAnsi="Arial Narrow" w:cs="Calibri"/>
                <w:color w:val="000000"/>
                <w:sz w:val="16"/>
                <w:szCs w:val="16"/>
                <w:lang w:val="bg-BG" w:eastAsia="bg-BG"/>
              </w:rPr>
            </w:pPr>
            <w:r w:rsidRPr="005376E6">
              <w:rPr>
                <w:rFonts w:ascii="Arial Narrow" w:hAnsi="Arial Narrow" w:cs="Calibri"/>
                <w:color w:val="000000"/>
                <w:sz w:val="16"/>
                <w:szCs w:val="16"/>
                <w:lang w:val="bg-BG" w:eastAsia="bg-BG"/>
              </w:rPr>
              <w:t>Подадени водни маси</w:t>
            </w:r>
          </w:p>
        </w:tc>
        <w:tc>
          <w:tcPr>
            <w:tcW w:w="659" w:type="dxa"/>
            <w:shd w:val="clear" w:color="000000" w:fill="FFFFFF"/>
            <w:vAlign w:val="center"/>
            <w:hideMark/>
          </w:tcPr>
          <w:p w14:paraId="560F250A" w14:textId="77777777" w:rsidR="005376E6" w:rsidRPr="005376E6" w:rsidRDefault="005376E6" w:rsidP="005376E6">
            <w:pPr>
              <w:jc w:val="center"/>
              <w:rPr>
                <w:rFonts w:ascii="Arial Narrow" w:hAnsi="Arial Narrow" w:cs="Calibri"/>
                <w:color w:val="000000"/>
                <w:sz w:val="16"/>
                <w:szCs w:val="16"/>
                <w:lang w:val="bg-BG" w:eastAsia="bg-BG"/>
              </w:rPr>
            </w:pPr>
            <w:r w:rsidRPr="005376E6">
              <w:rPr>
                <w:rFonts w:ascii="Arial Narrow" w:hAnsi="Arial Narrow" w:cs="Calibri"/>
                <w:color w:val="000000"/>
                <w:sz w:val="16"/>
                <w:szCs w:val="16"/>
                <w:lang w:val="bg-BG" w:eastAsia="bg-BG"/>
              </w:rPr>
              <w:t>Полети площи</w:t>
            </w:r>
          </w:p>
        </w:tc>
        <w:tc>
          <w:tcPr>
            <w:tcW w:w="819" w:type="dxa"/>
            <w:shd w:val="clear" w:color="000000" w:fill="FFFFFF"/>
            <w:vAlign w:val="center"/>
            <w:hideMark/>
          </w:tcPr>
          <w:p w14:paraId="1E0CDF01" w14:textId="77777777" w:rsidR="005376E6" w:rsidRPr="005376E6" w:rsidRDefault="005376E6" w:rsidP="005376E6">
            <w:pPr>
              <w:jc w:val="center"/>
              <w:rPr>
                <w:rFonts w:ascii="Arial Narrow" w:hAnsi="Arial Narrow" w:cs="Calibri"/>
                <w:color w:val="000000"/>
                <w:sz w:val="16"/>
                <w:szCs w:val="16"/>
                <w:lang w:val="bg-BG" w:eastAsia="bg-BG"/>
              </w:rPr>
            </w:pPr>
            <w:r w:rsidRPr="005376E6">
              <w:rPr>
                <w:rFonts w:ascii="Arial Narrow" w:hAnsi="Arial Narrow" w:cs="Calibri"/>
                <w:color w:val="000000"/>
                <w:sz w:val="16"/>
                <w:szCs w:val="16"/>
                <w:lang w:val="bg-BG" w:eastAsia="bg-BG"/>
              </w:rPr>
              <w:t>Подадени водни маси</w:t>
            </w:r>
          </w:p>
        </w:tc>
        <w:tc>
          <w:tcPr>
            <w:tcW w:w="659" w:type="dxa"/>
            <w:shd w:val="clear" w:color="000000" w:fill="FFFFFF"/>
            <w:vAlign w:val="center"/>
            <w:hideMark/>
          </w:tcPr>
          <w:p w14:paraId="6ED3F231" w14:textId="77777777" w:rsidR="005376E6" w:rsidRPr="005376E6" w:rsidRDefault="005376E6" w:rsidP="005376E6">
            <w:pPr>
              <w:jc w:val="center"/>
              <w:rPr>
                <w:rFonts w:ascii="Arial Narrow" w:hAnsi="Arial Narrow" w:cs="Calibri"/>
                <w:color w:val="000000"/>
                <w:sz w:val="16"/>
                <w:szCs w:val="16"/>
                <w:lang w:val="bg-BG" w:eastAsia="bg-BG"/>
              </w:rPr>
            </w:pPr>
            <w:r w:rsidRPr="005376E6">
              <w:rPr>
                <w:rFonts w:ascii="Arial Narrow" w:hAnsi="Arial Narrow" w:cs="Calibri"/>
                <w:color w:val="000000"/>
                <w:sz w:val="16"/>
                <w:szCs w:val="16"/>
                <w:lang w:val="bg-BG" w:eastAsia="bg-BG"/>
              </w:rPr>
              <w:t>Полети площи</w:t>
            </w:r>
          </w:p>
        </w:tc>
        <w:tc>
          <w:tcPr>
            <w:tcW w:w="819" w:type="dxa"/>
            <w:shd w:val="clear" w:color="000000" w:fill="FFFFFF"/>
            <w:vAlign w:val="center"/>
            <w:hideMark/>
          </w:tcPr>
          <w:p w14:paraId="53FF30EB" w14:textId="77777777" w:rsidR="005376E6" w:rsidRPr="005376E6" w:rsidRDefault="005376E6" w:rsidP="005376E6">
            <w:pPr>
              <w:jc w:val="center"/>
              <w:rPr>
                <w:rFonts w:ascii="Arial Narrow" w:hAnsi="Arial Narrow" w:cs="Calibri"/>
                <w:color w:val="000000"/>
                <w:sz w:val="16"/>
                <w:szCs w:val="16"/>
                <w:lang w:val="bg-BG" w:eastAsia="bg-BG"/>
              </w:rPr>
            </w:pPr>
            <w:r w:rsidRPr="005376E6">
              <w:rPr>
                <w:rFonts w:ascii="Arial Narrow" w:hAnsi="Arial Narrow" w:cs="Calibri"/>
                <w:color w:val="000000"/>
                <w:sz w:val="16"/>
                <w:szCs w:val="16"/>
                <w:lang w:val="bg-BG" w:eastAsia="bg-BG"/>
              </w:rPr>
              <w:t>Подадени водни маси</w:t>
            </w:r>
          </w:p>
        </w:tc>
        <w:tc>
          <w:tcPr>
            <w:tcW w:w="659" w:type="dxa"/>
            <w:shd w:val="clear" w:color="000000" w:fill="FFFFFF"/>
            <w:vAlign w:val="center"/>
            <w:hideMark/>
          </w:tcPr>
          <w:p w14:paraId="00048F9A" w14:textId="77777777" w:rsidR="005376E6" w:rsidRPr="005376E6" w:rsidRDefault="005376E6" w:rsidP="005376E6">
            <w:pPr>
              <w:jc w:val="center"/>
              <w:rPr>
                <w:rFonts w:ascii="Arial Narrow" w:hAnsi="Arial Narrow" w:cs="Calibri"/>
                <w:color w:val="000000"/>
                <w:sz w:val="16"/>
                <w:szCs w:val="16"/>
                <w:lang w:val="bg-BG" w:eastAsia="bg-BG"/>
              </w:rPr>
            </w:pPr>
            <w:r w:rsidRPr="005376E6">
              <w:rPr>
                <w:rFonts w:ascii="Arial Narrow" w:hAnsi="Arial Narrow" w:cs="Calibri"/>
                <w:color w:val="000000"/>
                <w:sz w:val="16"/>
                <w:szCs w:val="16"/>
                <w:lang w:val="bg-BG" w:eastAsia="bg-BG"/>
              </w:rPr>
              <w:t>Полети площи</w:t>
            </w:r>
          </w:p>
        </w:tc>
        <w:tc>
          <w:tcPr>
            <w:tcW w:w="819" w:type="dxa"/>
            <w:shd w:val="clear" w:color="000000" w:fill="FFFFFF"/>
            <w:vAlign w:val="center"/>
            <w:hideMark/>
          </w:tcPr>
          <w:p w14:paraId="4A05AD75" w14:textId="77777777" w:rsidR="005376E6" w:rsidRPr="005376E6" w:rsidRDefault="005376E6" w:rsidP="005376E6">
            <w:pPr>
              <w:jc w:val="center"/>
              <w:rPr>
                <w:rFonts w:ascii="Arial Narrow" w:hAnsi="Arial Narrow" w:cs="Calibri"/>
                <w:color w:val="000000"/>
                <w:sz w:val="16"/>
                <w:szCs w:val="16"/>
                <w:lang w:val="bg-BG" w:eastAsia="bg-BG"/>
              </w:rPr>
            </w:pPr>
            <w:r w:rsidRPr="005376E6">
              <w:rPr>
                <w:rFonts w:ascii="Arial Narrow" w:hAnsi="Arial Narrow" w:cs="Calibri"/>
                <w:color w:val="000000"/>
                <w:sz w:val="16"/>
                <w:szCs w:val="16"/>
                <w:lang w:val="bg-BG" w:eastAsia="bg-BG"/>
              </w:rPr>
              <w:t>Подадени водни маси</w:t>
            </w:r>
          </w:p>
        </w:tc>
        <w:tc>
          <w:tcPr>
            <w:tcW w:w="659" w:type="dxa"/>
            <w:shd w:val="clear" w:color="000000" w:fill="FFFFFF"/>
            <w:vAlign w:val="center"/>
            <w:hideMark/>
          </w:tcPr>
          <w:p w14:paraId="56DC4948" w14:textId="77777777" w:rsidR="005376E6" w:rsidRPr="005376E6" w:rsidRDefault="005376E6" w:rsidP="005376E6">
            <w:pPr>
              <w:jc w:val="center"/>
              <w:rPr>
                <w:rFonts w:ascii="Arial Narrow" w:hAnsi="Arial Narrow" w:cs="Calibri"/>
                <w:color w:val="000000"/>
                <w:sz w:val="16"/>
                <w:szCs w:val="16"/>
                <w:lang w:val="bg-BG" w:eastAsia="bg-BG"/>
              </w:rPr>
            </w:pPr>
            <w:r w:rsidRPr="005376E6">
              <w:rPr>
                <w:rFonts w:ascii="Arial Narrow" w:hAnsi="Arial Narrow" w:cs="Calibri"/>
                <w:color w:val="000000"/>
                <w:sz w:val="16"/>
                <w:szCs w:val="16"/>
                <w:lang w:val="bg-BG" w:eastAsia="bg-BG"/>
              </w:rPr>
              <w:t>Полети площи</w:t>
            </w:r>
          </w:p>
        </w:tc>
        <w:tc>
          <w:tcPr>
            <w:tcW w:w="819" w:type="dxa"/>
            <w:shd w:val="clear" w:color="000000" w:fill="FFFFFF"/>
            <w:vAlign w:val="center"/>
            <w:hideMark/>
          </w:tcPr>
          <w:p w14:paraId="5BF42672" w14:textId="77777777" w:rsidR="005376E6" w:rsidRPr="005376E6" w:rsidRDefault="005376E6" w:rsidP="005376E6">
            <w:pPr>
              <w:jc w:val="center"/>
              <w:rPr>
                <w:rFonts w:ascii="Arial Narrow" w:hAnsi="Arial Narrow" w:cs="Calibri"/>
                <w:color w:val="000000"/>
                <w:sz w:val="16"/>
                <w:szCs w:val="16"/>
                <w:lang w:val="bg-BG" w:eastAsia="bg-BG"/>
              </w:rPr>
            </w:pPr>
            <w:r w:rsidRPr="005376E6">
              <w:rPr>
                <w:rFonts w:ascii="Arial Narrow" w:hAnsi="Arial Narrow" w:cs="Calibri"/>
                <w:color w:val="000000"/>
                <w:sz w:val="16"/>
                <w:szCs w:val="16"/>
                <w:lang w:val="bg-BG" w:eastAsia="bg-BG"/>
              </w:rPr>
              <w:t>Подадени водни маси</w:t>
            </w:r>
          </w:p>
        </w:tc>
        <w:tc>
          <w:tcPr>
            <w:tcW w:w="655" w:type="dxa"/>
            <w:shd w:val="clear" w:color="000000" w:fill="FFFFFF"/>
            <w:vAlign w:val="center"/>
            <w:hideMark/>
          </w:tcPr>
          <w:p w14:paraId="4073D4B5" w14:textId="77777777" w:rsidR="005376E6" w:rsidRPr="005376E6" w:rsidRDefault="005376E6" w:rsidP="005376E6">
            <w:pPr>
              <w:jc w:val="center"/>
              <w:rPr>
                <w:rFonts w:ascii="Arial Narrow" w:hAnsi="Arial Narrow" w:cs="Calibri"/>
                <w:color w:val="000000"/>
                <w:sz w:val="16"/>
                <w:szCs w:val="16"/>
                <w:lang w:val="bg-BG" w:eastAsia="bg-BG"/>
              </w:rPr>
            </w:pPr>
            <w:r w:rsidRPr="005376E6">
              <w:rPr>
                <w:rFonts w:ascii="Arial Narrow" w:hAnsi="Arial Narrow" w:cs="Calibri"/>
                <w:color w:val="000000"/>
                <w:sz w:val="16"/>
                <w:szCs w:val="16"/>
                <w:lang w:val="bg-BG" w:eastAsia="bg-BG"/>
              </w:rPr>
              <w:t>Полети площи</w:t>
            </w:r>
          </w:p>
        </w:tc>
        <w:tc>
          <w:tcPr>
            <w:tcW w:w="815" w:type="dxa"/>
            <w:shd w:val="clear" w:color="000000" w:fill="FFFFFF"/>
            <w:vAlign w:val="center"/>
            <w:hideMark/>
          </w:tcPr>
          <w:p w14:paraId="36B3EFCF" w14:textId="77777777" w:rsidR="005376E6" w:rsidRPr="005376E6" w:rsidRDefault="005376E6" w:rsidP="005376E6">
            <w:pPr>
              <w:jc w:val="center"/>
              <w:rPr>
                <w:rFonts w:ascii="Arial Narrow" w:hAnsi="Arial Narrow" w:cs="Calibri"/>
                <w:color w:val="000000"/>
                <w:sz w:val="16"/>
                <w:szCs w:val="16"/>
                <w:lang w:val="bg-BG" w:eastAsia="bg-BG"/>
              </w:rPr>
            </w:pPr>
            <w:r w:rsidRPr="005376E6">
              <w:rPr>
                <w:rFonts w:ascii="Arial Narrow" w:hAnsi="Arial Narrow" w:cs="Calibri"/>
                <w:color w:val="000000"/>
                <w:sz w:val="16"/>
                <w:szCs w:val="16"/>
                <w:lang w:val="bg-BG" w:eastAsia="bg-BG"/>
              </w:rPr>
              <w:t>Подадени водни маси</w:t>
            </w:r>
          </w:p>
        </w:tc>
        <w:tc>
          <w:tcPr>
            <w:tcW w:w="639" w:type="dxa"/>
            <w:shd w:val="clear" w:color="000000" w:fill="FFFFFF"/>
            <w:vAlign w:val="center"/>
            <w:hideMark/>
          </w:tcPr>
          <w:p w14:paraId="300399B0" w14:textId="77777777" w:rsidR="005376E6" w:rsidRPr="005376E6" w:rsidRDefault="005376E6" w:rsidP="005376E6">
            <w:pPr>
              <w:jc w:val="center"/>
              <w:rPr>
                <w:rFonts w:ascii="Arial Narrow" w:hAnsi="Arial Narrow" w:cs="Calibri"/>
                <w:color w:val="000000"/>
                <w:sz w:val="16"/>
                <w:szCs w:val="16"/>
                <w:lang w:val="bg-BG" w:eastAsia="bg-BG"/>
              </w:rPr>
            </w:pPr>
            <w:r w:rsidRPr="005376E6">
              <w:rPr>
                <w:rFonts w:ascii="Arial Narrow" w:hAnsi="Arial Narrow" w:cs="Calibri"/>
                <w:color w:val="000000"/>
                <w:sz w:val="16"/>
                <w:szCs w:val="16"/>
                <w:lang w:val="bg-BG" w:eastAsia="bg-BG"/>
              </w:rPr>
              <w:t>Полети площи</w:t>
            </w:r>
          </w:p>
        </w:tc>
        <w:tc>
          <w:tcPr>
            <w:tcW w:w="874" w:type="dxa"/>
            <w:shd w:val="clear" w:color="000000" w:fill="FFFFFF"/>
            <w:vAlign w:val="center"/>
            <w:hideMark/>
          </w:tcPr>
          <w:p w14:paraId="152BC557" w14:textId="77777777" w:rsidR="005376E6" w:rsidRPr="005376E6" w:rsidRDefault="005376E6" w:rsidP="005376E6">
            <w:pPr>
              <w:jc w:val="center"/>
              <w:rPr>
                <w:rFonts w:ascii="Arial Narrow" w:hAnsi="Arial Narrow" w:cs="Calibri"/>
                <w:color w:val="000000"/>
                <w:sz w:val="16"/>
                <w:szCs w:val="16"/>
                <w:lang w:val="bg-BG" w:eastAsia="bg-BG"/>
              </w:rPr>
            </w:pPr>
            <w:r w:rsidRPr="005376E6">
              <w:rPr>
                <w:rFonts w:ascii="Arial Narrow" w:hAnsi="Arial Narrow" w:cs="Calibri"/>
                <w:color w:val="000000"/>
                <w:sz w:val="16"/>
                <w:szCs w:val="16"/>
                <w:lang w:val="bg-BG" w:eastAsia="bg-BG"/>
              </w:rPr>
              <w:t xml:space="preserve">Подадени водни </w:t>
            </w:r>
          </w:p>
          <w:p w14:paraId="4B3E4A42" w14:textId="77777777" w:rsidR="005376E6" w:rsidRPr="005376E6" w:rsidRDefault="005376E6" w:rsidP="005376E6">
            <w:pPr>
              <w:jc w:val="center"/>
              <w:rPr>
                <w:rFonts w:ascii="Arial Narrow" w:hAnsi="Arial Narrow" w:cs="Calibri"/>
                <w:color w:val="000000"/>
                <w:sz w:val="16"/>
                <w:szCs w:val="16"/>
                <w:lang w:val="bg-BG" w:eastAsia="bg-BG"/>
              </w:rPr>
            </w:pPr>
            <w:r w:rsidRPr="005376E6">
              <w:rPr>
                <w:rFonts w:ascii="Arial Narrow" w:hAnsi="Arial Narrow" w:cs="Calibri"/>
                <w:color w:val="000000"/>
                <w:sz w:val="16"/>
                <w:szCs w:val="16"/>
                <w:lang w:val="bg-BG" w:eastAsia="bg-BG"/>
              </w:rPr>
              <w:t>маси</w:t>
            </w:r>
          </w:p>
        </w:tc>
      </w:tr>
      <w:tr w:rsidR="005376E6" w:rsidRPr="005376E6" w14:paraId="444900CF" w14:textId="77777777" w:rsidTr="00305E62">
        <w:trPr>
          <w:trHeight w:val="293"/>
          <w:tblHeader/>
        </w:trPr>
        <w:tc>
          <w:tcPr>
            <w:tcW w:w="851" w:type="dxa"/>
            <w:vMerge/>
            <w:vAlign w:val="center"/>
            <w:hideMark/>
          </w:tcPr>
          <w:p w14:paraId="1C0943F1" w14:textId="77777777" w:rsidR="005376E6" w:rsidRPr="005376E6" w:rsidRDefault="005376E6" w:rsidP="005376E6">
            <w:pPr>
              <w:rPr>
                <w:rFonts w:ascii="Arial Narrow" w:hAnsi="Arial Narrow" w:cs="Calibri"/>
                <w:b/>
                <w:bCs/>
                <w:color w:val="FF0000"/>
                <w:sz w:val="16"/>
                <w:szCs w:val="16"/>
                <w:lang w:val="bg-BG" w:eastAsia="bg-BG"/>
              </w:rPr>
            </w:pPr>
          </w:p>
        </w:tc>
        <w:tc>
          <w:tcPr>
            <w:tcW w:w="659" w:type="dxa"/>
            <w:shd w:val="clear" w:color="auto" w:fill="auto"/>
            <w:vAlign w:val="center"/>
            <w:hideMark/>
          </w:tcPr>
          <w:p w14:paraId="2A802FAC" w14:textId="77777777" w:rsidR="005376E6" w:rsidRPr="005376E6" w:rsidRDefault="005376E6" w:rsidP="005376E6">
            <w:pPr>
              <w:jc w:val="center"/>
              <w:rPr>
                <w:rFonts w:ascii="Arial Narrow" w:hAnsi="Arial Narrow" w:cs="Calibri"/>
                <w:color w:val="000000"/>
                <w:sz w:val="16"/>
                <w:szCs w:val="16"/>
                <w:lang w:val="bg-BG" w:eastAsia="bg-BG"/>
              </w:rPr>
            </w:pPr>
            <w:r w:rsidRPr="005376E6">
              <w:rPr>
                <w:rFonts w:ascii="Arial Narrow" w:hAnsi="Arial Narrow" w:cs="Calibri"/>
                <w:color w:val="000000"/>
                <w:sz w:val="16"/>
                <w:szCs w:val="16"/>
                <w:lang w:val="bg-BG" w:eastAsia="bg-BG"/>
              </w:rPr>
              <w:t>дка</w:t>
            </w:r>
          </w:p>
        </w:tc>
        <w:tc>
          <w:tcPr>
            <w:tcW w:w="794" w:type="dxa"/>
            <w:shd w:val="clear" w:color="auto" w:fill="auto"/>
            <w:vAlign w:val="center"/>
            <w:hideMark/>
          </w:tcPr>
          <w:p w14:paraId="12B19907" w14:textId="77777777" w:rsidR="005376E6" w:rsidRPr="005376E6" w:rsidRDefault="005376E6" w:rsidP="005376E6">
            <w:pPr>
              <w:jc w:val="center"/>
              <w:rPr>
                <w:rFonts w:ascii="Arial Narrow" w:hAnsi="Arial Narrow" w:cs="Calibri"/>
                <w:color w:val="000000"/>
                <w:sz w:val="16"/>
                <w:szCs w:val="16"/>
                <w:lang w:val="bg-BG" w:eastAsia="bg-BG"/>
              </w:rPr>
            </w:pPr>
            <w:r w:rsidRPr="005376E6">
              <w:rPr>
                <w:rFonts w:ascii="Arial Narrow" w:hAnsi="Arial Narrow" w:cs="Calibri"/>
                <w:color w:val="000000"/>
                <w:sz w:val="16"/>
                <w:szCs w:val="16"/>
                <w:lang w:val="bg-BG" w:eastAsia="bg-BG"/>
              </w:rPr>
              <w:t>хил. м3</w:t>
            </w:r>
          </w:p>
        </w:tc>
        <w:tc>
          <w:tcPr>
            <w:tcW w:w="659" w:type="dxa"/>
            <w:shd w:val="clear" w:color="000000" w:fill="FFFFFF"/>
            <w:vAlign w:val="center"/>
            <w:hideMark/>
          </w:tcPr>
          <w:p w14:paraId="42485638" w14:textId="77777777" w:rsidR="005376E6" w:rsidRPr="005376E6" w:rsidRDefault="005376E6" w:rsidP="005376E6">
            <w:pPr>
              <w:jc w:val="center"/>
              <w:rPr>
                <w:rFonts w:ascii="Arial Narrow" w:hAnsi="Arial Narrow" w:cs="Calibri"/>
                <w:color w:val="000000"/>
                <w:sz w:val="16"/>
                <w:szCs w:val="16"/>
                <w:lang w:val="bg-BG" w:eastAsia="bg-BG"/>
              </w:rPr>
            </w:pPr>
            <w:r w:rsidRPr="005376E6">
              <w:rPr>
                <w:rFonts w:ascii="Arial Narrow" w:hAnsi="Arial Narrow" w:cs="Calibri"/>
                <w:color w:val="000000"/>
                <w:sz w:val="16"/>
                <w:szCs w:val="16"/>
                <w:lang w:val="bg-BG" w:eastAsia="bg-BG"/>
              </w:rPr>
              <w:t>дка</w:t>
            </w:r>
          </w:p>
        </w:tc>
        <w:tc>
          <w:tcPr>
            <w:tcW w:w="819" w:type="dxa"/>
            <w:shd w:val="clear" w:color="000000" w:fill="FFFFFF"/>
            <w:vAlign w:val="center"/>
            <w:hideMark/>
          </w:tcPr>
          <w:p w14:paraId="6C20706B" w14:textId="77777777" w:rsidR="005376E6" w:rsidRPr="005376E6" w:rsidRDefault="005376E6" w:rsidP="005376E6">
            <w:pPr>
              <w:jc w:val="center"/>
              <w:rPr>
                <w:rFonts w:ascii="Arial Narrow" w:hAnsi="Arial Narrow" w:cs="Calibri"/>
                <w:color w:val="000000"/>
                <w:sz w:val="16"/>
                <w:szCs w:val="16"/>
                <w:lang w:val="bg-BG" w:eastAsia="bg-BG"/>
              </w:rPr>
            </w:pPr>
            <w:r w:rsidRPr="005376E6">
              <w:rPr>
                <w:rFonts w:ascii="Arial Narrow" w:hAnsi="Arial Narrow" w:cs="Calibri"/>
                <w:color w:val="000000"/>
                <w:sz w:val="16"/>
                <w:szCs w:val="16"/>
                <w:lang w:val="bg-BG" w:eastAsia="bg-BG"/>
              </w:rPr>
              <w:t>хил. м3</w:t>
            </w:r>
          </w:p>
        </w:tc>
        <w:tc>
          <w:tcPr>
            <w:tcW w:w="659" w:type="dxa"/>
            <w:shd w:val="clear" w:color="000000" w:fill="FFFFFF"/>
            <w:vAlign w:val="center"/>
            <w:hideMark/>
          </w:tcPr>
          <w:p w14:paraId="33859D0D" w14:textId="77777777" w:rsidR="005376E6" w:rsidRPr="005376E6" w:rsidRDefault="005376E6" w:rsidP="005376E6">
            <w:pPr>
              <w:jc w:val="center"/>
              <w:rPr>
                <w:rFonts w:ascii="Arial Narrow" w:hAnsi="Arial Narrow" w:cs="Calibri"/>
                <w:color w:val="000000"/>
                <w:sz w:val="16"/>
                <w:szCs w:val="16"/>
                <w:lang w:val="bg-BG" w:eastAsia="bg-BG"/>
              </w:rPr>
            </w:pPr>
            <w:r w:rsidRPr="005376E6">
              <w:rPr>
                <w:rFonts w:ascii="Arial Narrow" w:hAnsi="Arial Narrow" w:cs="Calibri"/>
                <w:color w:val="000000"/>
                <w:sz w:val="16"/>
                <w:szCs w:val="16"/>
                <w:lang w:val="bg-BG" w:eastAsia="bg-BG"/>
              </w:rPr>
              <w:t>дка</w:t>
            </w:r>
          </w:p>
        </w:tc>
        <w:tc>
          <w:tcPr>
            <w:tcW w:w="819" w:type="dxa"/>
            <w:shd w:val="clear" w:color="000000" w:fill="FFFFFF"/>
            <w:vAlign w:val="center"/>
            <w:hideMark/>
          </w:tcPr>
          <w:p w14:paraId="27E6D005" w14:textId="77777777" w:rsidR="005376E6" w:rsidRPr="005376E6" w:rsidRDefault="005376E6" w:rsidP="005376E6">
            <w:pPr>
              <w:jc w:val="center"/>
              <w:rPr>
                <w:rFonts w:ascii="Arial Narrow" w:hAnsi="Arial Narrow" w:cs="Calibri"/>
                <w:color w:val="000000"/>
                <w:sz w:val="16"/>
                <w:szCs w:val="16"/>
                <w:lang w:val="bg-BG" w:eastAsia="bg-BG"/>
              </w:rPr>
            </w:pPr>
            <w:r w:rsidRPr="005376E6">
              <w:rPr>
                <w:rFonts w:ascii="Arial Narrow" w:hAnsi="Arial Narrow" w:cs="Calibri"/>
                <w:color w:val="000000"/>
                <w:sz w:val="16"/>
                <w:szCs w:val="16"/>
                <w:lang w:val="bg-BG" w:eastAsia="bg-BG"/>
              </w:rPr>
              <w:t>хил. м3</w:t>
            </w:r>
          </w:p>
        </w:tc>
        <w:tc>
          <w:tcPr>
            <w:tcW w:w="659" w:type="dxa"/>
            <w:shd w:val="clear" w:color="000000" w:fill="FFFFFF"/>
            <w:vAlign w:val="center"/>
            <w:hideMark/>
          </w:tcPr>
          <w:p w14:paraId="5CC7108E" w14:textId="77777777" w:rsidR="005376E6" w:rsidRPr="005376E6" w:rsidRDefault="005376E6" w:rsidP="005376E6">
            <w:pPr>
              <w:jc w:val="center"/>
              <w:rPr>
                <w:rFonts w:ascii="Arial Narrow" w:hAnsi="Arial Narrow" w:cs="Calibri"/>
                <w:color w:val="000000"/>
                <w:sz w:val="16"/>
                <w:szCs w:val="16"/>
                <w:lang w:val="bg-BG" w:eastAsia="bg-BG"/>
              </w:rPr>
            </w:pPr>
            <w:r w:rsidRPr="005376E6">
              <w:rPr>
                <w:rFonts w:ascii="Arial Narrow" w:hAnsi="Arial Narrow" w:cs="Calibri"/>
                <w:color w:val="000000"/>
                <w:sz w:val="16"/>
                <w:szCs w:val="16"/>
                <w:lang w:val="bg-BG" w:eastAsia="bg-BG"/>
              </w:rPr>
              <w:t>дка</w:t>
            </w:r>
          </w:p>
        </w:tc>
        <w:tc>
          <w:tcPr>
            <w:tcW w:w="819" w:type="dxa"/>
            <w:shd w:val="clear" w:color="000000" w:fill="FFFFFF"/>
            <w:vAlign w:val="center"/>
            <w:hideMark/>
          </w:tcPr>
          <w:p w14:paraId="5BD2EF07" w14:textId="77777777" w:rsidR="005376E6" w:rsidRPr="005376E6" w:rsidRDefault="005376E6" w:rsidP="005376E6">
            <w:pPr>
              <w:jc w:val="center"/>
              <w:rPr>
                <w:rFonts w:ascii="Arial Narrow" w:hAnsi="Arial Narrow" w:cs="Calibri"/>
                <w:color w:val="000000"/>
                <w:sz w:val="16"/>
                <w:szCs w:val="16"/>
                <w:lang w:val="bg-BG" w:eastAsia="bg-BG"/>
              </w:rPr>
            </w:pPr>
            <w:r w:rsidRPr="005376E6">
              <w:rPr>
                <w:rFonts w:ascii="Arial Narrow" w:hAnsi="Arial Narrow" w:cs="Calibri"/>
                <w:color w:val="000000"/>
                <w:sz w:val="16"/>
                <w:szCs w:val="16"/>
                <w:lang w:val="bg-BG" w:eastAsia="bg-BG"/>
              </w:rPr>
              <w:t>хил. м3</w:t>
            </w:r>
          </w:p>
        </w:tc>
        <w:tc>
          <w:tcPr>
            <w:tcW w:w="659" w:type="dxa"/>
            <w:shd w:val="clear" w:color="000000" w:fill="FFFFFF"/>
            <w:vAlign w:val="center"/>
            <w:hideMark/>
          </w:tcPr>
          <w:p w14:paraId="4628B868" w14:textId="77777777" w:rsidR="005376E6" w:rsidRPr="005376E6" w:rsidRDefault="005376E6" w:rsidP="005376E6">
            <w:pPr>
              <w:jc w:val="center"/>
              <w:rPr>
                <w:rFonts w:ascii="Arial Narrow" w:hAnsi="Arial Narrow" w:cs="Calibri"/>
                <w:color w:val="000000"/>
                <w:sz w:val="16"/>
                <w:szCs w:val="16"/>
                <w:lang w:val="bg-BG" w:eastAsia="bg-BG"/>
              </w:rPr>
            </w:pPr>
            <w:r w:rsidRPr="005376E6">
              <w:rPr>
                <w:rFonts w:ascii="Arial Narrow" w:hAnsi="Arial Narrow" w:cs="Calibri"/>
                <w:color w:val="000000"/>
                <w:sz w:val="16"/>
                <w:szCs w:val="16"/>
                <w:lang w:val="bg-BG" w:eastAsia="bg-BG"/>
              </w:rPr>
              <w:t>дка</w:t>
            </w:r>
          </w:p>
        </w:tc>
        <w:tc>
          <w:tcPr>
            <w:tcW w:w="819" w:type="dxa"/>
            <w:shd w:val="clear" w:color="000000" w:fill="FFFFFF"/>
            <w:vAlign w:val="center"/>
            <w:hideMark/>
          </w:tcPr>
          <w:p w14:paraId="233757F5" w14:textId="77777777" w:rsidR="005376E6" w:rsidRPr="005376E6" w:rsidRDefault="005376E6" w:rsidP="005376E6">
            <w:pPr>
              <w:jc w:val="center"/>
              <w:rPr>
                <w:rFonts w:ascii="Arial Narrow" w:hAnsi="Arial Narrow" w:cs="Calibri"/>
                <w:color w:val="000000"/>
                <w:sz w:val="16"/>
                <w:szCs w:val="16"/>
                <w:lang w:val="bg-BG" w:eastAsia="bg-BG"/>
              </w:rPr>
            </w:pPr>
            <w:r w:rsidRPr="005376E6">
              <w:rPr>
                <w:rFonts w:ascii="Arial Narrow" w:hAnsi="Arial Narrow" w:cs="Calibri"/>
                <w:color w:val="000000"/>
                <w:sz w:val="16"/>
                <w:szCs w:val="16"/>
                <w:lang w:val="bg-BG" w:eastAsia="bg-BG"/>
              </w:rPr>
              <w:t>хил. м3</w:t>
            </w:r>
          </w:p>
        </w:tc>
        <w:tc>
          <w:tcPr>
            <w:tcW w:w="655" w:type="dxa"/>
            <w:shd w:val="clear" w:color="000000" w:fill="FFFFFF"/>
            <w:vAlign w:val="center"/>
            <w:hideMark/>
          </w:tcPr>
          <w:p w14:paraId="1D36143E" w14:textId="77777777" w:rsidR="005376E6" w:rsidRPr="005376E6" w:rsidRDefault="005376E6" w:rsidP="005376E6">
            <w:pPr>
              <w:jc w:val="center"/>
              <w:rPr>
                <w:rFonts w:ascii="Arial Narrow" w:hAnsi="Arial Narrow" w:cs="Calibri"/>
                <w:color w:val="000000"/>
                <w:sz w:val="16"/>
                <w:szCs w:val="16"/>
                <w:lang w:val="bg-BG" w:eastAsia="bg-BG"/>
              </w:rPr>
            </w:pPr>
            <w:r w:rsidRPr="005376E6">
              <w:rPr>
                <w:rFonts w:ascii="Arial Narrow" w:hAnsi="Arial Narrow" w:cs="Calibri"/>
                <w:color w:val="000000"/>
                <w:sz w:val="16"/>
                <w:szCs w:val="16"/>
                <w:lang w:val="bg-BG" w:eastAsia="bg-BG"/>
              </w:rPr>
              <w:t>дка</w:t>
            </w:r>
          </w:p>
        </w:tc>
        <w:tc>
          <w:tcPr>
            <w:tcW w:w="815" w:type="dxa"/>
            <w:shd w:val="clear" w:color="000000" w:fill="FFFFFF"/>
            <w:vAlign w:val="center"/>
            <w:hideMark/>
          </w:tcPr>
          <w:p w14:paraId="3EB357E1" w14:textId="77777777" w:rsidR="005376E6" w:rsidRPr="005376E6" w:rsidRDefault="005376E6" w:rsidP="005376E6">
            <w:pPr>
              <w:jc w:val="center"/>
              <w:rPr>
                <w:rFonts w:ascii="Arial Narrow" w:hAnsi="Arial Narrow" w:cs="Calibri"/>
                <w:color w:val="000000"/>
                <w:sz w:val="16"/>
                <w:szCs w:val="16"/>
                <w:lang w:val="bg-BG" w:eastAsia="bg-BG"/>
              </w:rPr>
            </w:pPr>
            <w:r w:rsidRPr="005376E6">
              <w:rPr>
                <w:rFonts w:ascii="Arial Narrow" w:hAnsi="Arial Narrow" w:cs="Calibri"/>
                <w:color w:val="000000"/>
                <w:sz w:val="16"/>
                <w:szCs w:val="16"/>
                <w:lang w:val="bg-BG" w:eastAsia="bg-BG"/>
              </w:rPr>
              <w:t>хил. м3</w:t>
            </w:r>
          </w:p>
        </w:tc>
        <w:tc>
          <w:tcPr>
            <w:tcW w:w="639" w:type="dxa"/>
            <w:shd w:val="clear" w:color="000000" w:fill="FFFFFF"/>
            <w:vAlign w:val="center"/>
            <w:hideMark/>
          </w:tcPr>
          <w:p w14:paraId="013F25EA" w14:textId="77777777" w:rsidR="005376E6" w:rsidRPr="005376E6" w:rsidRDefault="005376E6" w:rsidP="005376E6">
            <w:pPr>
              <w:jc w:val="center"/>
              <w:rPr>
                <w:rFonts w:ascii="Arial Narrow" w:hAnsi="Arial Narrow" w:cs="Calibri"/>
                <w:color w:val="000000"/>
                <w:sz w:val="16"/>
                <w:szCs w:val="16"/>
                <w:lang w:val="bg-BG" w:eastAsia="bg-BG"/>
              </w:rPr>
            </w:pPr>
            <w:r w:rsidRPr="005376E6">
              <w:rPr>
                <w:rFonts w:ascii="Arial Narrow" w:hAnsi="Arial Narrow" w:cs="Calibri"/>
                <w:color w:val="000000"/>
                <w:sz w:val="16"/>
                <w:szCs w:val="16"/>
                <w:lang w:val="bg-BG" w:eastAsia="bg-BG"/>
              </w:rPr>
              <w:t>дка</w:t>
            </w:r>
          </w:p>
        </w:tc>
        <w:tc>
          <w:tcPr>
            <w:tcW w:w="874" w:type="dxa"/>
            <w:shd w:val="clear" w:color="000000" w:fill="FFFFFF"/>
            <w:vAlign w:val="center"/>
            <w:hideMark/>
          </w:tcPr>
          <w:p w14:paraId="6E9E26F2" w14:textId="77777777" w:rsidR="005376E6" w:rsidRPr="005376E6" w:rsidRDefault="005376E6" w:rsidP="005376E6">
            <w:pPr>
              <w:jc w:val="center"/>
              <w:rPr>
                <w:rFonts w:ascii="Arial Narrow" w:hAnsi="Arial Narrow" w:cs="Calibri"/>
                <w:color w:val="000000"/>
                <w:sz w:val="16"/>
                <w:szCs w:val="16"/>
                <w:lang w:val="bg-BG" w:eastAsia="bg-BG"/>
              </w:rPr>
            </w:pPr>
            <w:r w:rsidRPr="005376E6">
              <w:rPr>
                <w:rFonts w:ascii="Arial Narrow" w:hAnsi="Arial Narrow" w:cs="Calibri"/>
                <w:color w:val="000000"/>
                <w:sz w:val="16"/>
                <w:szCs w:val="16"/>
                <w:lang w:val="bg-BG" w:eastAsia="bg-BG"/>
              </w:rPr>
              <w:t>хил. м3</w:t>
            </w:r>
          </w:p>
        </w:tc>
      </w:tr>
      <w:tr w:rsidR="005376E6" w:rsidRPr="005376E6" w14:paraId="6877EDD9" w14:textId="77777777" w:rsidTr="00305E62">
        <w:trPr>
          <w:trHeight w:val="293"/>
        </w:trPr>
        <w:tc>
          <w:tcPr>
            <w:tcW w:w="851" w:type="dxa"/>
            <w:shd w:val="clear" w:color="000000" w:fill="FFFFFF"/>
            <w:vAlign w:val="center"/>
          </w:tcPr>
          <w:p w14:paraId="3FB0E3FC" w14:textId="77777777" w:rsidR="005376E6" w:rsidRPr="005376E6" w:rsidRDefault="005376E6" w:rsidP="005376E6">
            <w:pPr>
              <w:rPr>
                <w:rFonts w:ascii="Arial Narrow" w:hAnsi="Arial Narrow" w:cs="Calibri"/>
                <w:color w:val="000000"/>
                <w:sz w:val="16"/>
                <w:szCs w:val="16"/>
                <w:lang w:val="bg-BG" w:eastAsia="bg-BG"/>
              </w:rPr>
            </w:pPr>
            <w:r w:rsidRPr="005376E6">
              <w:rPr>
                <w:rFonts w:ascii="Arial Narrow" w:hAnsi="Arial Narrow"/>
                <w:sz w:val="16"/>
                <w:szCs w:val="16"/>
                <w:lang w:val="bg-BG"/>
              </w:rPr>
              <w:t>Бургас</w:t>
            </w:r>
          </w:p>
        </w:tc>
        <w:tc>
          <w:tcPr>
            <w:tcW w:w="659" w:type="dxa"/>
            <w:shd w:val="clear" w:color="auto" w:fill="auto"/>
            <w:noWrap/>
            <w:vAlign w:val="center"/>
          </w:tcPr>
          <w:p w14:paraId="00270BC6" w14:textId="77777777" w:rsidR="005376E6" w:rsidRPr="005376E6" w:rsidRDefault="005376E6" w:rsidP="005376E6">
            <w:pPr>
              <w:jc w:val="right"/>
              <w:rPr>
                <w:rFonts w:ascii="Arial Narrow" w:hAnsi="Arial Narrow" w:cs="Calibri"/>
                <w:color w:val="000000"/>
                <w:sz w:val="16"/>
                <w:szCs w:val="16"/>
                <w:lang w:val="bg-BG" w:eastAsia="bg-BG"/>
              </w:rPr>
            </w:pPr>
            <w:r w:rsidRPr="005376E6">
              <w:rPr>
                <w:rFonts w:ascii="Arial Narrow" w:hAnsi="Arial Narrow"/>
                <w:sz w:val="16"/>
                <w:szCs w:val="16"/>
                <w:lang w:val="bg-BG"/>
              </w:rPr>
              <w:t>5 818</w:t>
            </w:r>
          </w:p>
        </w:tc>
        <w:tc>
          <w:tcPr>
            <w:tcW w:w="794" w:type="dxa"/>
            <w:shd w:val="clear" w:color="auto" w:fill="auto"/>
            <w:vAlign w:val="center"/>
          </w:tcPr>
          <w:p w14:paraId="74FB5A82" w14:textId="77777777" w:rsidR="005376E6" w:rsidRPr="005376E6" w:rsidRDefault="005376E6" w:rsidP="005376E6">
            <w:pPr>
              <w:jc w:val="right"/>
              <w:rPr>
                <w:rFonts w:ascii="Arial Narrow" w:hAnsi="Arial Narrow" w:cs="Calibri"/>
                <w:color w:val="000000"/>
                <w:sz w:val="16"/>
                <w:szCs w:val="16"/>
                <w:lang w:val="bg-BG" w:eastAsia="bg-BG"/>
              </w:rPr>
            </w:pPr>
            <w:r w:rsidRPr="005376E6">
              <w:rPr>
                <w:rFonts w:ascii="Arial Narrow" w:hAnsi="Arial Narrow" w:cs="Calibri"/>
                <w:color w:val="000000"/>
                <w:sz w:val="16"/>
                <w:szCs w:val="16"/>
                <w:lang w:val="bg-BG" w:eastAsia="bg-BG"/>
              </w:rPr>
              <w:t>320</w:t>
            </w:r>
          </w:p>
        </w:tc>
        <w:tc>
          <w:tcPr>
            <w:tcW w:w="659" w:type="dxa"/>
            <w:shd w:val="clear" w:color="000000" w:fill="FFFFFF"/>
            <w:noWrap/>
            <w:vAlign w:val="center"/>
          </w:tcPr>
          <w:p w14:paraId="69CC142D" w14:textId="77777777" w:rsidR="005376E6" w:rsidRPr="005376E6" w:rsidRDefault="005376E6" w:rsidP="005376E6">
            <w:pPr>
              <w:jc w:val="right"/>
              <w:rPr>
                <w:rFonts w:ascii="Arial Narrow" w:hAnsi="Arial Narrow" w:cs="Calibri"/>
                <w:color w:val="000000"/>
                <w:sz w:val="16"/>
                <w:szCs w:val="16"/>
                <w:lang w:val="bg-BG" w:eastAsia="bg-BG"/>
              </w:rPr>
            </w:pPr>
            <w:r w:rsidRPr="005376E6">
              <w:rPr>
                <w:rFonts w:ascii="Arial Narrow" w:hAnsi="Arial Narrow" w:cs="Calibri"/>
                <w:color w:val="000000"/>
                <w:sz w:val="16"/>
                <w:szCs w:val="16"/>
                <w:lang w:val="bg-BG" w:eastAsia="bg-BG"/>
              </w:rPr>
              <w:t>268</w:t>
            </w:r>
          </w:p>
        </w:tc>
        <w:tc>
          <w:tcPr>
            <w:tcW w:w="819" w:type="dxa"/>
            <w:shd w:val="clear" w:color="000000" w:fill="FFFFFF"/>
            <w:vAlign w:val="center"/>
          </w:tcPr>
          <w:p w14:paraId="552F009A" w14:textId="77777777" w:rsidR="005376E6" w:rsidRPr="005376E6" w:rsidRDefault="005376E6" w:rsidP="005376E6">
            <w:pPr>
              <w:jc w:val="right"/>
              <w:rPr>
                <w:rFonts w:ascii="Arial Narrow" w:hAnsi="Arial Narrow" w:cs="Calibri"/>
                <w:color w:val="000000"/>
                <w:sz w:val="16"/>
                <w:szCs w:val="16"/>
                <w:lang w:val="bg-BG" w:eastAsia="bg-BG"/>
              </w:rPr>
            </w:pPr>
            <w:r w:rsidRPr="005376E6">
              <w:rPr>
                <w:rFonts w:ascii="Arial Narrow" w:hAnsi="Arial Narrow" w:cs="Calibri"/>
                <w:color w:val="000000"/>
                <w:sz w:val="16"/>
                <w:szCs w:val="16"/>
                <w:lang w:val="bg-BG" w:eastAsia="bg-BG"/>
              </w:rPr>
              <w:t>19</w:t>
            </w:r>
          </w:p>
        </w:tc>
        <w:tc>
          <w:tcPr>
            <w:tcW w:w="659" w:type="dxa"/>
            <w:shd w:val="clear" w:color="000000" w:fill="FFFFFF"/>
            <w:noWrap/>
            <w:vAlign w:val="center"/>
          </w:tcPr>
          <w:p w14:paraId="0736F043" w14:textId="77777777" w:rsidR="005376E6" w:rsidRPr="005376E6" w:rsidRDefault="005376E6" w:rsidP="005376E6">
            <w:pPr>
              <w:jc w:val="right"/>
              <w:rPr>
                <w:rFonts w:ascii="Arial Narrow" w:hAnsi="Arial Narrow" w:cs="Calibri"/>
                <w:color w:val="000000"/>
                <w:sz w:val="16"/>
                <w:szCs w:val="16"/>
                <w:lang w:val="bg-BG" w:eastAsia="bg-BG"/>
              </w:rPr>
            </w:pPr>
            <w:r w:rsidRPr="005376E6">
              <w:rPr>
                <w:rFonts w:ascii="Arial Narrow" w:hAnsi="Arial Narrow" w:cs="Calibri"/>
                <w:color w:val="000000"/>
                <w:sz w:val="16"/>
                <w:szCs w:val="16"/>
                <w:lang w:val="bg-BG" w:eastAsia="bg-BG"/>
              </w:rPr>
              <w:t>0</w:t>
            </w:r>
          </w:p>
        </w:tc>
        <w:tc>
          <w:tcPr>
            <w:tcW w:w="819" w:type="dxa"/>
            <w:shd w:val="clear" w:color="000000" w:fill="FFFFFF"/>
            <w:vAlign w:val="center"/>
          </w:tcPr>
          <w:p w14:paraId="61ABE56C" w14:textId="77777777" w:rsidR="005376E6" w:rsidRPr="005376E6" w:rsidRDefault="005376E6" w:rsidP="005376E6">
            <w:pPr>
              <w:jc w:val="right"/>
              <w:rPr>
                <w:rFonts w:ascii="Arial Narrow" w:hAnsi="Arial Narrow" w:cs="Calibri"/>
                <w:color w:val="000000"/>
                <w:sz w:val="16"/>
                <w:szCs w:val="16"/>
                <w:lang w:val="bg-BG" w:eastAsia="bg-BG"/>
              </w:rPr>
            </w:pPr>
            <w:r w:rsidRPr="005376E6">
              <w:rPr>
                <w:rFonts w:ascii="Arial Narrow" w:hAnsi="Arial Narrow" w:cs="Calibri"/>
                <w:color w:val="000000"/>
                <w:sz w:val="16"/>
                <w:szCs w:val="16"/>
                <w:lang w:val="bg-BG" w:eastAsia="bg-BG"/>
              </w:rPr>
              <w:t>0</w:t>
            </w:r>
          </w:p>
        </w:tc>
        <w:tc>
          <w:tcPr>
            <w:tcW w:w="659" w:type="dxa"/>
            <w:shd w:val="clear" w:color="000000" w:fill="FFFFFF"/>
            <w:noWrap/>
            <w:vAlign w:val="center"/>
          </w:tcPr>
          <w:p w14:paraId="1A8D4B16" w14:textId="77777777" w:rsidR="005376E6" w:rsidRPr="005376E6" w:rsidRDefault="005376E6" w:rsidP="005376E6">
            <w:pPr>
              <w:jc w:val="right"/>
              <w:rPr>
                <w:rFonts w:ascii="Arial Narrow" w:hAnsi="Arial Narrow" w:cs="Calibri"/>
                <w:color w:val="000000"/>
                <w:sz w:val="16"/>
                <w:szCs w:val="16"/>
                <w:lang w:val="bg-BG" w:eastAsia="bg-BG"/>
              </w:rPr>
            </w:pPr>
            <w:r w:rsidRPr="005376E6">
              <w:rPr>
                <w:rFonts w:ascii="Arial Narrow" w:hAnsi="Arial Narrow" w:cs="Calibri"/>
                <w:color w:val="000000"/>
                <w:sz w:val="16"/>
                <w:szCs w:val="16"/>
                <w:lang w:val="bg-BG" w:eastAsia="bg-BG"/>
              </w:rPr>
              <w:t>32</w:t>
            </w:r>
          </w:p>
        </w:tc>
        <w:tc>
          <w:tcPr>
            <w:tcW w:w="819" w:type="dxa"/>
            <w:shd w:val="clear" w:color="000000" w:fill="FFFFFF"/>
            <w:vAlign w:val="center"/>
          </w:tcPr>
          <w:p w14:paraId="39863F38" w14:textId="77777777" w:rsidR="005376E6" w:rsidRPr="005376E6" w:rsidRDefault="005376E6" w:rsidP="005376E6">
            <w:pPr>
              <w:jc w:val="right"/>
              <w:rPr>
                <w:rFonts w:ascii="Arial Narrow" w:hAnsi="Arial Narrow" w:cs="Calibri"/>
                <w:color w:val="000000"/>
                <w:sz w:val="16"/>
                <w:szCs w:val="16"/>
                <w:lang w:val="bg-BG" w:eastAsia="bg-BG"/>
              </w:rPr>
            </w:pPr>
            <w:r w:rsidRPr="005376E6">
              <w:rPr>
                <w:rFonts w:ascii="Arial Narrow" w:hAnsi="Arial Narrow" w:cs="Calibri"/>
                <w:color w:val="000000"/>
                <w:sz w:val="16"/>
                <w:szCs w:val="16"/>
                <w:lang w:val="bg-BG" w:eastAsia="bg-BG"/>
              </w:rPr>
              <w:t>2</w:t>
            </w:r>
          </w:p>
        </w:tc>
        <w:tc>
          <w:tcPr>
            <w:tcW w:w="659" w:type="dxa"/>
            <w:shd w:val="clear" w:color="000000" w:fill="FFFFFF"/>
            <w:noWrap/>
            <w:vAlign w:val="center"/>
          </w:tcPr>
          <w:p w14:paraId="6E3411F8" w14:textId="77777777" w:rsidR="005376E6" w:rsidRPr="005376E6" w:rsidRDefault="005376E6" w:rsidP="005376E6">
            <w:pPr>
              <w:jc w:val="right"/>
              <w:rPr>
                <w:rFonts w:ascii="Arial Narrow" w:hAnsi="Arial Narrow" w:cs="Calibri"/>
                <w:color w:val="000000"/>
                <w:sz w:val="16"/>
                <w:szCs w:val="16"/>
                <w:lang w:val="bg-BG" w:eastAsia="bg-BG"/>
              </w:rPr>
            </w:pPr>
            <w:r w:rsidRPr="005376E6">
              <w:rPr>
                <w:rFonts w:ascii="Arial Narrow" w:hAnsi="Arial Narrow" w:cs="Calibri"/>
                <w:color w:val="000000"/>
                <w:sz w:val="16"/>
                <w:szCs w:val="16"/>
                <w:lang w:val="bg-BG" w:eastAsia="bg-BG"/>
              </w:rPr>
              <w:t>1 507</w:t>
            </w:r>
          </w:p>
        </w:tc>
        <w:tc>
          <w:tcPr>
            <w:tcW w:w="819" w:type="dxa"/>
            <w:shd w:val="clear" w:color="000000" w:fill="FFFFFF"/>
            <w:vAlign w:val="center"/>
          </w:tcPr>
          <w:p w14:paraId="5EA253FF" w14:textId="77777777" w:rsidR="005376E6" w:rsidRPr="005376E6" w:rsidRDefault="005376E6" w:rsidP="005376E6">
            <w:pPr>
              <w:jc w:val="right"/>
              <w:rPr>
                <w:rFonts w:ascii="Arial Narrow" w:hAnsi="Arial Narrow" w:cs="Calibri"/>
                <w:color w:val="000000"/>
                <w:sz w:val="16"/>
                <w:szCs w:val="16"/>
                <w:lang w:val="bg-BG" w:eastAsia="bg-BG"/>
              </w:rPr>
            </w:pPr>
            <w:r w:rsidRPr="005376E6">
              <w:rPr>
                <w:rFonts w:ascii="Arial Narrow" w:hAnsi="Arial Narrow" w:cs="Calibri"/>
                <w:color w:val="000000"/>
                <w:sz w:val="16"/>
                <w:szCs w:val="16"/>
                <w:lang w:val="bg-BG" w:eastAsia="bg-BG"/>
              </w:rPr>
              <w:t>63</w:t>
            </w:r>
          </w:p>
        </w:tc>
        <w:tc>
          <w:tcPr>
            <w:tcW w:w="655" w:type="dxa"/>
            <w:shd w:val="clear" w:color="000000" w:fill="FFFFFF"/>
            <w:vAlign w:val="center"/>
          </w:tcPr>
          <w:p w14:paraId="147D560D" w14:textId="77777777" w:rsidR="005376E6" w:rsidRPr="005376E6" w:rsidRDefault="005376E6" w:rsidP="005376E6">
            <w:pPr>
              <w:jc w:val="right"/>
              <w:rPr>
                <w:rFonts w:ascii="Arial Narrow" w:hAnsi="Arial Narrow" w:cs="Calibri"/>
                <w:color w:val="000000"/>
                <w:sz w:val="16"/>
                <w:szCs w:val="16"/>
                <w:lang w:val="bg-BG" w:eastAsia="bg-BG"/>
              </w:rPr>
            </w:pPr>
            <w:r w:rsidRPr="005376E6">
              <w:rPr>
                <w:rFonts w:ascii="Arial Narrow" w:hAnsi="Arial Narrow" w:cs="Calibri"/>
                <w:color w:val="000000"/>
                <w:sz w:val="16"/>
                <w:szCs w:val="16"/>
                <w:lang w:val="bg-BG" w:eastAsia="bg-BG"/>
              </w:rPr>
              <w:t>0</w:t>
            </w:r>
          </w:p>
        </w:tc>
        <w:tc>
          <w:tcPr>
            <w:tcW w:w="815" w:type="dxa"/>
            <w:shd w:val="clear" w:color="000000" w:fill="FFFFFF"/>
            <w:vAlign w:val="center"/>
          </w:tcPr>
          <w:p w14:paraId="275AE03B" w14:textId="77777777" w:rsidR="005376E6" w:rsidRPr="005376E6" w:rsidRDefault="005376E6" w:rsidP="005376E6">
            <w:pPr>
              <w:jc w:val="right"/>
              <w:rPr>
                <w:rFonts w:ascii="Arial Narrow" w:hAnsi="Arial Narrow" w:cs="Calibri"/>
                <w:color w:val="000000"/>
                <w:sz w:val="16"/>
                <w:szCs w:val="16"/>
                <w:lang w:val="bg-BG" w:eastAsia="bg-BG"/>
              </w:rPr>
            </w:pPr>
            <w:r w:rsidRPr="005376E6">
              <w:rPr>
                <w:rFonts w:ascii="Arial Narrow" w:hAnsi="Arial Narrow" w:cs="Calibri"/>
                <w:color w:val="000000"/>
                <w:sz w:val="16"/>
                <w:szCs w:val="16"/>
                <w:lang w:val="bg-BG" w:eastAsia="bg-BG"/>
              </w:rPr>
              <w:t> </w:t>
            </w:r>
          </w:p>
        </w:tc>
        <w:tc>
          <w:tcPr>
            <w:tcW w:w="639" w:type="dxa"/>
            <w:shd w:val="clear" w:color="000000" w:fill="FFFFFF"/>
            <w:noWrap/>
            <w:vAlign w:val="center"/>
          </w:tcPr>
          <w:p w14:paraId="6458F10D" w14:textId="77777777" w:rsidR="005376E6" w:rsidRPr="005376E6" w:rsidRDefault="005376E6" w:rsidP="005376E6">
            <w:pPr>
              <w:jc w:val="right"/>
              <w:rPr>
                <w:rFonts w:ascii="Arial Narrow" w:hAnsi="Arial Narrow" w:cs="Calibri"/>
                <w:color w:val="000000"/>
                <w:sz w:val="16"/>
                <w:szCs w:val="16"/>
                <w:lang w:val="bg-BG" w:eastAsia="bg-BG"/>
              </w:rPr>
            </w:pPr>
            <w:r w:rsidRPr="005376E6">
              <w:rPr>
                <w:rFonts w:ascii="Arial Narrow" w:hAnsi="Arial Narrow" w:cs="Calibri"/>
                <w:color w:val="000000"/>
                <w:sz w:val="16"/>
                <w:szCs w:val="16"/>
                <w:lang w:val="bg-BG" w:eastAsia="bg-BG"/>
              </w:rPr>
              <w:t>4 011</w:t>
            </w:r>
          </w:p>
        </w:tc>
        <w:tc>
          <w:tcPr>
            <w:tcW w:w="874" w:type="dxa"/>
            <w:shd w:val="clear" w:color="000000" w:fill="FFFFFF"/>
            <w:vAlign w:val="center"/>
          </w:tcPr>
          <w:p w14:paraId="432473B6" w14:textId="77777777" w:rsidR="005376E6" w:rsidRPr="005376E6" w:rsidRDefault="005376E6" w:rsidP="005376E6">
            <w:pPr>
              <w:jc w:val="right"/>
              <w:rPr>
                <w:rFonts w:ascii="Arial Narrow" w:hAnsi="Arial Narrow" w:cs="Calibri"/>
                <w:color w:val="000000"/>
                <w:sz w:val="16"/>
                <w:szCs w:val="16"/>
                <w:lang w:val="bg-BG" w:eastAsia="bg-BG"/>
              </w:rPr>
            </w:pPr>
            <w:r w:rsidRPr="005376E6">
              <w:rPr>
                <w:rFonts w:ascii="Arial Narrow" w:hAnsi="Arial Narrow" w:cs="Calibri"/>
                <w:color w:val="000000"/>
                <w:sz w:val="16"/>
                <w:szCs w:val="16"/>
                <w:lang w:val="bg-BG" w:eastAsia="bg-BG"/>
              </w:rPr>
              <w:t>236</w:t>
            </w:r>
          </w:p>
        </w:tc>
      </w:tr>
      <w:tr w:rsidR="005376E6" w:rsidRPr="005376E6" w14:paraId="3AF942EF" w14:textId="77777777" w:rsidTr="00305E62">
        <w:trPr>
          <w:trHeight w:val="293"/>
        </w:trPr>
        <w:tc>
          <w:tcPr>
            <w:tcW w:w="851" w:type="dxa"/>
            <w:shd w:val="clear" w:color="000000" w:fill="FFFFFF"/>
            <w:vAlign w:val="center"/>
          </w:tcPr>
          <w:p w14:paraId="5BEC8AC7" w14:textId="77777777" w:rsidR="005376E6" w:rsidRPr="005376E6" w:rsidRDefault="005376E6" w:rsidP="005376E6">
            <w:pPr>
              <w:rPr>
                <w:rFonts w:ascii="Arial Narrow" w:hAnsi="Arial Narrow" w:cs="Calibri"/>
                <w:color w:val="000000"/>
                <w:sz w:val="16"/>
                <w:szCs w:val="16"/>
                <w:lang w:val="bg-BG" w:eastAsia="bg-BG"/>
              </w:rPr>
            </w:pPr>
            <w:r w:rsidRPr="005376E6">
              <w:rPr>
                <w:rFonts w:ascii="Arial Narrow" w:hAnsi="Arial Narrow"/>
                <w:sz w:val="16"/>
                <w:szCs w:val="16"/>
                <w:lang w:val="bg-BG"/>
              </w:rPr>
              <w:t>Видин</w:t>
            </w:r>
          </w:p>
        </w:tc>
        <w:tc>
          <w:tcPr>
            <w:tcW w:w="659" w:type="dxa"/>
            <w:shd w:val="clear" w:color="auto" w:fill="auto"/>
            <w:noWrap/>
            <w:vAlign w:val="center"/>
          </w:tcPr>
          <w:p w14:paraId="1C94D22E" w14:textId="77777777" w:rsidR="005376E6" w:rsidRPr="005376E6" w:rsidRDefault="005376E6" w:rsidP="005376E6">
            <w:pPr>
              <w:jc w:val="right"/>
              <w:rPr>
                <w:rFonts w:ascii="Arial Narrow" w:hAnsi="Arial Narrow" w:cs="Calibri"/>
                <w:color w:val="000000"/>
                <w:sz w:val="16"/>
                <w:szCs w:val="16"/>
                <w:lang w:val="bg-BG" w:eastAsia="bg-BG"/>
              </w:rPr>
            </w:pPr>
            <w:r w:rsidRPr="005376E6">
              <w:rPr>
                <w:rFonts w:ascii="Arial Narrow" w:hAnsi="Arial Narrow" w:cs="Calibri"/>
                <w:color w:val="000000"/>
                <w:sz w:val="16"/>
                <w:szCs w:val="16"/>
                <w:lang w:val="bg-BG" w:eastAsia="bg-BG"/>
              </w:rPr>
              <w:t>0</w:t>
            </w:r>
          </w:p>
        </w:tc>
        <w:tc>
          <w:tcPr>
            <w:tcW w:w="794" w:type="dxa"/>
            <w:shd w:val="clear" w:color="auto" w:fill="auto"/>
            <w:vAlign w:val="center"/>
          </w:tcPr>
          <w:p w14:paraId="144FF90B" w14:textId="77777777" w:rsidR="005376E6" w:rsidRPr="005376E6" w:rsidRDefault="005376E6" w:rsidP="005376E6">
            <w:pPr>
              <w:jc w:val="right"/>
              <w:rPr>
                <w:rFonts w:ascii="Arial Narrow" w:hAnsi="Arial Narrow" w:cs="Calibri"/>
                <w:color w:val="000000"/>
                <w:sz w:val="16"/>
                <w:szCs w:val="16"/>
                <w:lang w:val="bg-BG" w:eastAsia="bg-BG"/>
              </w:rPr>
            </w:pPr>
            <w:r w:rsidRPr="005376E6">
              <w:rPr>
                <w:rFonts w:ascii="Arial Narrow" w:hAnsi="Arial Narrow" w:cs="Calibri"/>
                <w:color w:val="000000"/>
                <w:sz w:val="16"/>
                <w:szCs w:val="16"/>
                <w:lang w:val="bg-BG" w:eastAsia="bg-BG"/>
              </w:rPr>
              <w:t>0</w:t>
            </w:r>
          </w:p>
        </w:tc>
        <w:tc>
          <w:tcPr>
            <w:tcW w:w="659" w:type="dxa"/>
            <w:shd w:val="clear" w:color="000000" w:fill="FFFFFF"/>
            <w:noWrap/>
            <w:vAlign w:val="center"/>
          </w:tcPr>
          <w:p w14:paraId="5B11D5AA" w14:textId="77777777" w:rsidR="005376E6" w:rsidRPr="005376E6" w:rsidRDefault="005376E6" w:rsidP="005376E6">
            <w:pPr>
              <w:jc w:val="right"/>
              <w:rPr>
                <w:rFonts w:ascii="Arial Narrow" w:hAnsi="Arial Narrow" w:cs="Calibri"/>
                <w:color w:val="000000"/>
                <w:sz w:val="16"/>
                <w:szCs w:val="16"/>
                <w:lang w:val="bg-BG" w:eastAsia="bg-BG"/>
              </w:rPr>
            </w:pPr>
            <w:r w:rsidRPr="005376E6">
              <w:rPr>
                <w:rFonts w:ascii="Arial Narrow" w:hAnsi="Arial Narrow" w:cs="Calibri"/>
                <w:color w:val="000000"/>
                <w:sz w:val="16"/>
                <w:szCs w:val="16"/>
                <w:lang w:val="bg-BG" w:eastAsia="bg-BG"/>
              </w:rPr>
              <w:t>0</w:t>
            </w:r>
          </w:p>
        </w:tc>
        <w:tc>
          <w:tcPr>
            <w:tcW w:w="819" w:type="dxa"/>
            <w:shd w:val="clear" w:color="000000" w:fill="FFFFFF"/>
            <w:vAlign w:val="center"/>
          </w:tcPr>
          <w:p w14:paraId="563EBD36" w14:textId="77777777" w:rsidR="005376E6" w:rsidRPr="005376E6" w:rsidRDefault="005376E6" w:rsidP="005376E6">
            <w:pPr>
              <w:jc w:val="right"/>
              <w:rPr>
                <w:rFonts w:ascii="Arial Narrow" w:hAnsi="Arial Narrow" w:cs="Calibri"/>
                <w:color w:val="000000"/>
                <w:sz w:val="16"/>
                <w:szCs w:val="16"/>
                <w:lang w:val="bg-BG" w:eastAsia="bg-BG"/>
              </w:rPr>
            </w:pPr>
            <w:r w:rsidRPr="005376E6">
              <w:rPr>
                <w:rFonts w:ascii="Arial Narrow" w:hAnsi="Arial Narrow" w:cs="Calibri"/>
                <w:color w:val="000000"/>
                <w:sz w:val="16"/>
                <w:szCs w:val="16"/>
                <w:lang w:val="bg-BG" w:eastAsia="bg-BG"/>
              </w:rPr>
              <w:t>0</w:t>
            </w:r>
          </w:p>
        </w:tc>
        <w:tc>
          <w:tcPr>
            <w:tcW w:w="659" w:type="dxa"/>
            <w:shd w:val="clear" w:color="000000" w:fill="FFFFFF"/>
            <w:noWrap/>
            <w:vAlign w:val="center"/>
          </w:tcPr>
          <w:p w14:paraId="3FEDB462" w14:textId="77777777" w:rsidR="005376E6" w:rsidRPr="005376E6" w:rsidRDefault="005376E6" w:rsidP="005376E6">
            <w:pPr>
              <w:jc w:val="right"/>
              <w:rPr>
                <w:rFonts w:ascii="Arial Narrow" w:hAnsi="Arial Narrow" w:cs="Calibri"/>
                <w:color w:val="000000"/>
                <w:sz w:val="16"/>
                <w:szCs w:val="16"/>
                <w:lang w:val="bg-BG" w:eastAsia="bg-BG"/>
              </w:rPr>
            </w:pPr>
            <w:r w:rsidRPr="005376E6">
              <w:rPr>
                <w:rFonts w:ascii="Arial Narrow" w:hAnsi="Arial Narrow" w:cs="Calibri"/>
                <w:color w:val="000000"/>
                <w:sz w:val="16"/>
                <w:szCs w:val="16"/>
                <w:lang w:val="bg-BG" w:eastAsia="bg-BG"/>
              </w:rPr>
              <w:t>0</w:t>
            </w:r>
          </w:p>
        </w:tc>
        <w:tc>
          <w:tcPr>
            <w:tcW w:w="819" w:type="dxa"/>
            <w:shd w:val="clear" w:color="000000" w:fill="FFFFFF"/>
            <w:vAlign w:val="center"/>
          </w:tcPr>
          <w:p w14:paraId="1D2DDF6E" w14:textId="77777777" w:rsidR="005376E6" w:rsidRPr="005376E6" w:rsidRDefault="005376E6" w:rsidP="005376E6">
            <w:pPr>
              <w:jc w:val="right"/>
              <w:rPr>
                <w:rFonts w:ascii="Arial Narrow" w:hAnsi="Arial Narrow" w:cs="Calibri"/>
                <w:color w:val="000000"/>
                <w:sz w:val="16"/>
                <w:szCs w:val="16"/>
                <w:lang w:val="bg-BG" w:eastAsia="bg-BG"/>
              </w:rPr>
            </w:pPr>
            <w:r w:rsidRPr="005376E6">
              <w:rPr>
                <w:rFonts w:ascii="Arial Narrow" w:hAnsi="Arial Narrow" w:cs="Calibri"/>
                <w:color w:val="000000"/>
                <w:sz w:val="16"/>
                <w:szCs w:val="16"/>
                <w:lang w:val="bg-BG" w:eastAsia="bg-BG"/>
              </w:rPr>
              <w:t>0</w:t>
            </w:r>
          </w:p>
        </w:tc>
        <w:tc>
          <w:tcPr>
            <w:tcW w:w="659" w:type="dxa"/>
            <w:shd w:val="clear" w:color="000000" w:fill="FFFFFF"/>
            <w:noWrap/>
            <w:vAlign w:val="center"/>
          </w:tcPr>
          <w:p w14:paraId="03E151E9" w14:textId="77777777" w:rsidR="005376E6" w:rsidRPr="005376E6" w:rsidRDefault="005376E6" w:rsidP="005376E6">
            <w:pPr>
              <w:jc w:val="right"/>
              <w:rPr>
                <w:rFonts w:ascii="Arial Narrow" w:hAnsi="Arial Narrow" w:cs="Calibri"/>
                <w:color w:val="000000"/>
                <w:sz w:val="16"/>
                <w:szCs w:val="16"/>
                <w:lang w:val="bg-BG" w:eastAsia="bg-BG"/>
              </w:rPr>
            </w:pPr>
            <w:r w:rsidRPr="005376E6">
              <w:rPr>
                <w:rFonts w:ascii="Arial Narrow" w:hAnsi="Arial Narrow" w:cs="Calibri"/>
                <w:color w:val="000000"/>
                <w:sz w:val="16"/>
                <w:szCs w:val="16"/>
                <w:lang w:val="bg-BG" w:eastAsia="bg-BG"/>
              </w:rPr>
              <w:t>0</w:t>
            </w:r>
          </w:p>
        </w:tc>
        <w:tc>
          <w:tcPr>
            <w:tcW w:w="819" w:type="dxa"/>
            <w:shd w:val="clear" w:color="000000" w:fill="FFFFFF"/>
            <w:vAlign w:val="center"/>
          </w:tcPr>
          <w:p w14:paraId="76100E0A" w14:textId="77777777" w:rsidR="005376E6" w:rsidRPr="005376E6" w:rsidRDefault="005376E6" w:rsidP="005376E6">
            <w:pPr>
              <w:jc w:val="right"/>
              <w:rPr>
                <w:rFonts w:ascii="Arial Narrow" w:hAnsi="Arial Narrow" w:cs="Calibri"/>
                <w:color w:val="000000"/>
                <w:sz w:val="16"/>
                <w:szCs w:val="16"/>
                <w:lang w:val="bg-BG" w:eastAsia="bg-BG"/>
              </w:rPr>
            </w:pPr>
            <w:r w:rsidRPr="005376E6">
              <w:rPr>
                <w:rFonts w:ascii="Arial Narrow" w:hAnsi="Arial Narrow" w:cs="Calibri"/>
                <w:color w:val="000000"/>
                <w:sz w:val="16"/>
                <w:szCs w:val="16"/>
                <w:lang w:val="bg-BG" w:eastAsia="bg-BG"/>
              </w:rPr>
              <w:t>0</w:t>
            </w:r>
          </w:p>
        </w:tc>
        <w:tc>
          <w:tcPr>
            <w:tcW w:w="659" w:type="dxa"/>
            <w:shd w:val="clear" w:color="000000" w:fill="FFFFFF"/>
            <w:noWrap/>
            <w:vAlign w:val="center"/>
          </w:tcPr>
          <w:p w14:paraId="60F790E3" w14:textId="77777777" w:rsidR="005376E6" w:rsidRPr="005376E6" w:rsidRDefault="005376E6" w:rsidP="005376E6">
            <w:pPr>
              <w:jc w:val="right"/>
              <w:rPr>
                <w:rFonts w:ascii="Arial Narrow" w:hAnsi="Arial Narrow" w:cs="Calibri"/>
                <w:color w:val="000000"/>
                <w:sz w:val="16"/>
                <w:szCs w:val="16"/>
                <w:lang w:val="bg-BG" w:eastAsia="bg-BG"/>
              </w:rPr>
            </w:pPr>
            <w:r w:rsidRPr="005376E6">
              <w:rPr>
                <w:rFonts w:ascii="Arial Narrow" w:hAnsi="Arial Narrow" w:cs="Calibri"/>
                <w:color w:val="000000"/>
                <w:sz w:val="16"/>
                <w:szCs w:val="16"/>
                <w:lang w:val="bg-BG" w:eastAsia="bg-BG"/>
              </w:rPr>
              <w:t>0</w:t>
            </w:r>
          </w:p>
        </w:tc>
        <w:tc>
          <w:tcPr>
            <w:tcW w:w="819" w:type="dxa"/>
            <w:shd w:val="clear" w:color="000000" w:fill="FFFFFF"/>
            <w:vAlign w:val="center"/>
          </w:tcPr>
          <w:p w14:paraId="147E4D07" w14:textId="77777777" w:rsidR="005376E6" w:rsidRPr="005376E6" w:rsidRDefault="005376E6" w:rsidP="005376E6">
            <w:pPr>
              <w:jc w:val="right"/>
              <w:rPr>
                <w:rFonts w:ascii="Arial Narrow" w:hAnsi="Arial Narrow" w:cs="Calibri"/>
                <w:color w:val="000000"/>
                <w:sz w:val="16"/>
                <w:szCs w:val="16"/>
                <w:lang w:val="bg-BG" w:eastAsia="bg-BG"/>
              </w:rPr>
            </w:pPr>
            <w:r w:rsidRPr="005376E6">
              <w:rPr>
                <w:rFonts w:ascii="Arial Narrow" w:hAnsi="Arial Narrow" w:cs="Calibri"/>
                <w:color w:val="000000"/>
                <w:sz w:val="16"/>
                <w:szCs w:val="16"/>
                <w:lang w:val="bg-BG" w:eastAsia="bg-BG"/>
              </w:rPr>
              <w:t>0</w:t>
            </w:r>
          </w:p>
        </w:tc>
        <w:tc>
          <w:tcPr>
            <w:tcW w:w="655" w:type="dxa"/>
            <w:shd w:val="clear" w:color="000000" w:fill="FFFFFF"/>
            <w:vAlign w:val="center"/>
          </w:tcPr>
          <w:p w14:paraId="4C5DC2FC" w14:textId="77777777" w:rsidR="005376E6" w:rsidRPr="005376E6" w:rsidRDefault="005376E6" w:rsidP="005376E6">
            <w:pPr>
              <w:jc w:val="right"/>
              <w:rPr>
                <w:rFonts w:ascii="Arial Narrow" w:hAnsi="Arial Narrow" w:cs="Calibri"/>
                <w:color w:val="000000"/>
                <w:sz w:val="16"/>
                <w:szCs w:val="16"/>
                <w:lang w:val="bg-BG" w:eastAsia="bg-BG"/>
              </w:rPr>
            </w:pPr>
            <w:r w:rsidRPr="005376E6">
              <w:rPr>
                <w:rFonts w:ascii="Arial Narrow" w:hAnsi="Arial Narrow" w:cs="Calibri"/>
                <w:color w:val="000000"/>
                <w:sz w:val="16"/>
                <w:szCs w:val="16"/>
                <w:lang w:val="bg-BG" w:eastAsia="bg-BG"/>
              </w:rPr>
              <w:t>0</w:t>
            </w:r>
          </w:p>
        </w:tc>
        <w:tc>
          <w:tcPr>
            <w:tcW w:w="815" w:type="dxa"/>
            <w:shd w:val="clear" w:color="000000" w:fill="FFFFFF"/>
            <w:vAlign w:val="center"/>
          </w:tcPr>
          <w:p w14:paraId="440E154A" w14:textId="77777777" w:rsidR="005376E6" w:rsidRPr="005376E6" w:rsidRDefault="005376E6" w:rsidP="005376E6">
            <w:pPr>
              <w:jc w:val="right"/>
              <w:rPr>
                <w:rFonts w:ascii="Arial Narrow" w:hAnsi="Arial Narrow" w:cs="Calibri"/>
                <w:color w:val="000000"/>
                <w:sz w:val="16"/>
                <w:szCs w:val="16"/>
                <w:lang w:val="bg-BG" w:eastAsia="bg-BG"/>
              </w:rPr>
            </w:pPr>
            <w:r w:rsidRPr="005376E6">
              <w:rPr>
                <w:rFonts w:ascii="Arial Narrow" w:hAnsi="Arial Narrow" w:cs="Calibri"/>
                <w:color w:val="000000"/>
                <w:sz w:val="16"/>
                <w:szCs w:val="16"/>
                <w:lang w:val="bg-BG" w:eastAsia="bg-BG"/>
              </w:rPr>
              <w:t> </w:t>
            </w:r>
          </w:p>
        </w:tc>
        <w:tc>
          <w:tcPr>
            <w:tcW w:w="639" w:type="dxa"/>
            <w:shd w:val="clear" w:color="000000" w:fill="FFFFFF"/>
            <w:noWrap/>
            <w:vAlign w:val="center"/>
          </w:tcPr>
          <w:p w14:paraId="6B538641" w14:textId="77777777" w:rsidR="005376E6" w:rsidRPr="005376E6" w:rsidRDefault="005376E6" w:rsidP="005376E6">
            <w:pPr>
              <w:jc w:val="right"/>
              <w:rPr>
                <w:rFonts w:ascii="Arial Narrow" w:hAnsi="Arial Narrow" w:cs="Calibri"/>
                <w:color w:val="000000"/>
                <w:sz w:val="16"/>
                <w:szCs w:val="16"/>
                <w:lang w:val="bg-BG" w:eastAsia="bg-BG"/>
              </w:rPr>
            </w:pPr>
            <w:r w:rsidRPr="005376E6">
              <w:rPr>
                <w:rFonts w:ascii="Arial Narrow" w:hAnsi="Arial Narrow" w:cs="Calibri"/>
                <w:color w:val="000000"/>
                <w:sz w:val="16"/>
                <w:szCs w:val="16"/>
                <w:lang w:val="bg-BG" w:eastAsia="bg-BG"/>
              </w:rPr>
              <w:t>0</w:t>
            </w:r>
          </w:p>
        </w:tc>
        <w:tc>
          <w:tcPr>
            <w:tcW w:w="874" w:type="dxa"/>
            <w:shd w:val="clear" w:color="000000" w:fill="FFFFFF"/>
            <w:vAlign w:val="center"/>
          </w:tcPr>
          <w:p w14:paraId="7E526BAA" w14:textId="77777777" w:rsidR="005376E6" w:rsidRPr="005376E6" w:rsidRDefault="005376E6" w:rsidP="005376E6">
            <w:pPr>
              <w:jc w:val="right"/>
              <w:rPr>
                <w:rFonts w:ascii="Arial Narrow" w:hAnsi="Arial Narrow" w:cs="Calibri"/>
                <w:color w:val="000000"/>
                <w:sz w:val="16"/>
                <w:szCs w:val="16"/>
                <w:lang w:val="bg-BG" w:eastAsia="bg-BG"/>
              </w:rPr>
            </w:pPr>
            <w:r w:rsidRPr="005376E6">
              <w:rPr>
                <w:rFonts w:ascii="Arial Narrow" w:hAnsi="Arial Narrow" w:cs="Calibri"/>
                <w:color w:val="000000"/>
                <w:sz w:val="16"/>
                <w:szCs w:val="16"/>
                <w:lang w:val="bg-BG" w:eastAsia="bg-BG"/>
              </w:rPr>
              <w:t>0</w:t>
            </w:r>
          </w:p>
        </w:tc>
      </w:tr>
      <w:tr w:rsidR="005376E6" w:rsidRPr="005376E6" w14:paraId="2E720BDA" w14:textId="77777777" w:rsidTr="00305E62">
        <w:trPr>
          <w:trHeight w:val="498"/>
        </w:trPr>
        <w:tc>
          <w:tcPr>
            <w:tcW w:w="851" w:type="dxa"/>
            <w:shd w:val="clear" w:color="000000" w:fill="FFFFFF"/>
            <w:vAlign w:val="center"/>
          </w:tcPr>
          <w:p w14:paraId="07898D24" w14:textId="77777777" w:rsidR="005376E6" w:rsidRPr="005376E6" w:rsidRDefault="005376E6" w:rsidP="005376E6">
            <w:pPr>
              <w:rPr>
                <w:rFonts w:ascii="Arial Narrow" w:hAnsi="Arial Narrow" w:cs="Calibri"/>
                <w:color w:val="000000"/>
                <w:sz w:val="16"/>
                <w:szCs w:val="16"/>
                <w:lang w:val="bg-BG" w:eastAsia="bg-BG"/>
              </w:rPr>
            </w:pPr>
            <w:r w:rsidRPr="005376E6">
              <w:rPr>
                <w:rFonts w:ascii="Arial Narrow" w:hAnsi="Arial Narrow"/>
                <w:sz w:val="16"/>
                <w:szCs w:val="16"/>
                <w:lang w:val="bg-BG"/>
              </w:rPr>
              <w:t>Горна Тунджа</w:t>
            </w:r>
          </w:p>
        </w:tc>
        <w:tc>
          <w:tcPr>
            <w:tcW w:w="659" w:type="dxa"/>
            <w:shd w:val="clear" w:color="auto" w:fill="auto"/>
            <w:noWrap/>
            <w:vAlign w:val="center"/>
          </w:tcPr>
          <w:p w14:paraId="42F8480A" w14:textId="77777777" w:rsidR="005376E6" w:rsidRPr="005376E6" w:rsidRDefault="005376E6" w:rsidP="005376E6">
            <w:pPr>
              <w:jc w:val="right"/>
              <w:rPr>
                <w:rFonts w:ascii="Arial Narrow" w:hAnsi="Arial Narrow" w:cs="Calibri"/>
                <w:color w:val="000000"/>
                <w:sz w:val="16"/>
                <w:szCs w:val="16"/>
                <w:lang w:val="bg-BG" w:eastAsia="bg-BG"/>
              </w:rPr>
            </w:pPr>
            <w:r w:rsidRPr="005376E6">
              <w:rPr>
                <w:rFonts w:ascii="Arial Narrow" w:hAnsi="Arial Narrow" w:cs="Calibri"/>
                <w:color w:val="000000"/>
                <w:sz w:val="16"/>
                <w:szCs w:val="16"/>
                <w:lang w:val="bg-BG" w:eastAsia="bg-BG"/>
              </w:rPr>
              <w:t>27 227</w:t>
            </w:r>
          </w:p>
        </w:tc>
        <w:tc>
          <w:tcPr>
            <w:tcW w:w="794" w:type="dxa"/>
            <w:shd w:val="clear" w:color="auto" w:fill="auto"/>
            <w:vAlign w:val="center"/>
          </w:tcPr>
          <w:p w14:paraId="49F076AF" w14:textId="77777777" w:rsidR="005376E6" w:rsidRPr="005376E6" w:rsidRDefault="005376E6" w:rsidP="005376E6">
            <w:pPr>
              <w:jc w:val="right"/>
              <w:rPr>
                <w:rFonts w:ascii="Arial Narrow" w:hAnsi="Arial Narrow" w:cs="Calibri"/>
                <w:color w:val="000000"/>
                <w:sz w:val="16"/>
                <w:szCs w:val="16"/>
                <w:lang w:val="bg-BG" w:eastAsia="bg-BG"/>
              </w:rPr>
            </w:pPr>
            <w:r w:rsidRPr="005376E6">
              <w:rPr>
                <w:rFonts w:ascii="Arial Narrow" w:hAnsi="Arial Narrow" w:cs="Calibri"/>
                <w:color w:val="000000"/>
                <w:sz w:val="16"/>
                <w:szCs w:val="16"/>
                <w:lang w:val="bg-BG" w:eastAsia="bg-BG"/>
              </w:rPr>
              <w:t>40 449</w:t>
            </w:r>
          </w:p>
        </w:tc>
        <w:tc>
          <w:tcPr>
            <w:tcW w:w="659" w:type="dxa"/>
            <w:shd w:val="clear" w:color="000000" w:fill="FFFFFF"/>
            <w:noWrap/>
            <w:vAlign w:val="center"/>
          </w:tcPr>
          <w:p w14:paraId="2905E341" w14:textId="77777777" w:rsidR="005376E6" w:rsidRPr="005376E6" w:rsidRDefault="005376E6" w:rsidP="005376E6">
            <w:pPr>
              <w:jc w:val="right"/>
              <w:rPr>
                <w:rFonts w:ascii="Arial Narrow" w:hAnsi="Arial Narrow" w:cs="Calibri"/>
                <w:color w:val="000000"/>
                <w:sz w:val="16"/>
                <w:szCs w:val="16"/>
                <w:lang w:val="bg-BG" w:eastAsia="bg-BG"/>
              </w:rPr>
            </w:pPr>
            <w:r w:rsidRPr="005376E6">
              <w:rPr>
                <w:rFonts w:ascii="Arial Narrow" w:hAnsi="Arial Narrow" w:cs="Calibri"/>
                <w:color w:val="000000"/>
                <w:sz w:val="16"/>
                <w:szCs w:val="16"/>
                <w:lang w:val="bg-BG" w:eastAsia="bg-BG"/>
              </w:rPr>
              <w:t>8 251</w:t>
            </w:r>
          </w:p>
        </w:tc>
        <w:tc>
          <w:tcPr>
            <w:tcW w:w="819" w:type="dxa"/>
            <w:shd w:val="clear" w:color="000000" w:fill="FFFFFF"/>
            <w:vAlign w:val="center"/>
          </w:tcPr>
          <w:p w14:paraId="61EBF99F" w14:textId="77777777" w:rsidR="005376E6" w:rsidRPr="005376E6" w:rsidRDefault="005376E6" w:rsidP="005376E6">
            <w:pPr>
              <w:jc w:val="right"/>
              <w:rPr>
                <w:rFonts w:ascii="Arial Narrow" w:hAnsi="Arial Narrow" w:cs="Calibri"/>
                <w:color w:val="000000"/>
                <w:sz w:val="16"/>
                <w:szCs w:val="16"/>
                <w:lang w:val="bg-BG" w:eastAsia="bg-BG"/>
              </w:rPr>
            </w:pPr>
            <w:r w:rsidRPr="005376E6">
              <w:rPr>
                <w:rFonts w:ascii="Arial Narrow" w:hAnsi="Arial Narrow" w:cs="Calibri"/>
                <w:color w:val="000000"/>
                <w:sz w:val="16"/>
                <w:szCs w:val="16"/>
                <w:lang w:val="bg-BG" w:eastAsia="bg-BG"/>
              </w:rPr>
              <w:t>1 930</w:t>
            </w:r>
          </w:p>
        </w:tc>
        <w:tc>
          <w:tcPr>
            <w:tcW w:w="659" w:type="dxa"/>
            <w:shd w:val="clear" w:color="000000" w:fill="FFFFFF"/>
            <w:noWrap/>
            <w:vAlign w:val="center"/>
          </w:tcPr>
          <w:p w14:paraId="34D42DC4" w14:textId="77777777" w:rsidR="005376E6" w:rsidRPr="005376E6" w:rsidRDefault="005376E6" w:rsidP="005376E6">
            <w:pPr>
              <w:jc w:val="right"/>
              <w:rPr>
                <w:rFonts w:ascii="Arial Narrow" w:hAnsi="Arial Narrow" w:cs="Calibri"/>
                <w:color w:val="000000"/>
                <w:sz w:val="16"/>
                <w:szCs w:val="16"/>
                <w:lang w:val="bg-BG" w:eastAsia="bg-BG"/>
              </w:rPr>
            </w:pPr>
            <w:r w:rsidRPr="005376E6">
              <w:rPr>
                <w:rFonts w:ascii="Arial Narrow" w:hAnsi="Arial Narrow" w:cs="Calibri"/>
                <w:color w:val="000000"/>
                <w:sz w:val="16"/>
                <w:szCs w:val="16"/>
                <w:lang w:val="bg-BG" w:eastAsia="bg-BG"/>
              </w:rPr>
              <w:t>975</w:t>
            </w:r>
          </w:p>
        </w:tc>
        <w:tc>
          <w:tcPr>
            <w:tcW w:w="819" w:type="dxa"/>
            <w:shd w:val="clear" w:color="000000" w:fill="FFFFFF"/>
            <w:vAlign w:val="center"/>
          </w:tcPr>
          <w:p w14:paraId="4AEC8C59" w14:textId="77777777" w:rsidR="005376E6" w:rsidRPr="005376E6" w:rsidRDefault="005376E6" w:rsidP="005376E6">
            <w:pPr>
              <w:jc w:val="right"/>
              <w:rPr>
                <w:rFonts w:ascii="Arial Narrow" w:hAnsi="Arial Narrow" w:cs="Calibri"/>
                <w:color w:val="000000"/>
                <w:sz w:val="16"/>
                <w:szCs w:val="16"/>
                <w:lang w:val="bg-BG" w:eastAsia="bg-BG"/>
              </w:rPr>
            </w:pPr>
            <w:r w:rsidRPr="005376E6">
              <w:rPr>
                <w:rFonts w:ascii="Arial Narrow" w:hAnsi="Arial Narrow" w:cs="Calibri"/>
                <w:color w:val="000000"/>
                <w:sz w:val="16"/>
                <w:szCs w:val="16"/>
                <w:lang w:val="bg-BG" w:eastAsia="bg-BG"/>
              </w:rPr>
              <w:t>263</w:t>
            </w:r>
          </w:p>
        </w:tc>
        <w:tc>
          <w:tcPr>
            <w:tcW w:w="659" w:type="dxa"/>
            <w:shd w:val="clear" w:color="000000" w:fill="FFFFFF"/>
            <w:noWrap/>
            <w:vAlign w:val="center"/>
          </w:tcPr>
          <w:p w14:paraId="6FD10B7E" w14:textId="77777777" w:rsidR="005376E6" w:rsidRPr="005376E6" w:rsidRDefault="005376E6" w:rsidP="005376E6">
            <w:pPr>
              <w:jc w:val="right"/>
              <w:rPr>
                <w:rFonts w:ascii="Arial Narrow" w:hAnsi="Arial Narrow" w:cs="Calibri"/>
                <w:color w:val="000000"/>
                <w:sz w:val="16"/>
                <w:szCs w:val="16"/>
                <w:lang w:val="bg-BG" w:eastAsia="bg-BG"/>
              </w:rPr>
            </w:pPr>
            <w:r w:rsidRPr="005376E6">
              <w:rPr>
                <w:rFonts w:ascii="Arial Narrow" w:hAnsi="Arial Narrow" w:cs="Calibri"/>
                <w:color w:val="000000"/>
                <w:sz w:val="16"/>
                <w:szCs w:val="16"/>
                <w:lang w:val="bg-BG" w:eastAsia="bg-BG"/>
              </w:rPr>
              <w:t>947</w:t>
            </w:r>
          </w:p>
        </w:tc>
        <w:tc>
          <w:tcPr>
            <w:tcW w:w="819" w:type="dxa"/>
            <w:shd w:val="clear" w:color="000000" w:fill="FFFFFF"/>
            <w:vAlign w:val="center"/>
          </w:tcPr>
          <w:p w14:paraId="41B2E6D2" w14:textId="77777777" w:rsidR="005376E6" w:rsidRPr="005376E6" w:rsidRDefault="005376E6" w:rsidP="005376E6">
            <w:pPr>
              <w:jc w:val="right"/>
              <w:rPr>
                <w:rFonts w:ascii="Arial Narrow" w:hAnsi="Arial Narrow" w:cs="Calibri"/>
                <w:color w:val="000000"/>
                <w:sz w:val="16"/>
                <w:szCs w:val="16"/>
                <w:lang w:val="bg-BG" w:eastAsia="bg-BG"/>
              </w:rPr>
            </w:pPr>
            <w:r w:rsidRPr="005376E6">
              <w:rPr>
                <w:rFonts w:ascii="Arial Narrow" w:hAnsi="Arial Narrow" w:cs="Calibri"/>
                <w:color w:val="000000"/>
                <w:sz w:val="16"/>
                <w:szCs w:val="16"/>
                <w:lang w:val="bg-BG" w:eastAsia="bg-BG"/>
              </w:rPr>
              <w:t>209</w:t>
            </w:r>
          </w:p>
        </w:tc>
        <w:tc>
          <w:tcPr>
            <w:tcW w:w="659" w:type="dxa"/>
            <w:shd w:val="clear" w:color="000000" w:fill="FFFFFF"/>
            <w:noWrap/>
            <w:vAlign w:val="center"/>
          </w:tcPr>
          <w:p w14:paraId="074DDE7C" w14:textId="77777777" w:rsidR="005376E6" w:rsidRPr="005376E6" w:rsidRDefault="005376E6" w:rsidP="005376E6">
            <w:pPr>
              <w:jc w:val="right"/>
              <w:rPr>
                <w:rFonts w:ascii="Arial Narrow" w:hAnsi="Arial Narrow" w:cs="Calibri"/>
                <w:color w:val="000000"/>
                <w:sz w:val="16"/>
                <w:szCs w:val="16"/>
                <w:lang w:val="bg-BG" w:eastAsia="bg-BG"/>
              </w:rPr>
            </w:pPr>
            <w:r w:rsidRPr="005376E6">
              <w:rPr>
                <w:rFonts w:ascii="Arial Narrow" w:hAnsi="Arial Narrow" w:cs="Calibri"/>
                <w:color w:val="000000"/>
                <w:sz w:val="16"/>
                <w:szCs w:val="16"/>
                <w:lang w:val="bg-BG" w:eastAsia="bg-BG"/>
              </w:rPr>
              <w:t>743</w:t>
            </w:r>
          </w:p>
        </w:tc>
        <w:tc>
          <w:tcPr>
            <w:tcW w:w="819" w:type="dxa"/>
            <w:shd w:val="clear" w:color="000000" w:fill="FFFFFF"/>
            <w:vAlign w:val="center"/>
          </w:tcPr>
          <w:p w14:paraId="515CE681" w14:textId="77777777" w:rsidR="005376E6" w:rsidRPr="005376E6" w:rsidRDefault="005376E6" w:rsidP="005376E6">
            <w:pPr>
              <w:jc w:val="right"/>
              <w:rPr>
                <w:rFonts w:ascii="Arial Narrow" w:hAnsi="Arial Narrow" w:cs="Calibri"/>
                <w:color w:val="000000"/>
                <w:sz w:val="16"/>
                <w:szCs w:val="16"/>
                <w:lang w:val="bg-BG" w:eastAsia="bg-BG"/>
              </w:rPr>
            </w:pPr>
            <w:r w:rsidRPr="005376E6">
              <w:rPr>
                <w:rFonts w:ascii="Arial Narrow" w:hAnsi="Arial Narrow" w:cs="Calibri"/>
                <w:color w:val="000000"/>
                <w:sz w:val="16"/>
                <w:szCs w:val="16"/>
                <w:lang w:val="bg-BG" w:eastAsia="bg-BG"/>
              </w:rPr>
              <w:t>134</w:t>
            </w:r>
          </w:p>
        </w:tc>
        <w:tc>
          <w:tcPr>
            <w:tcW w:w="655" w:type="dxa"/>
            <w:shd w:val="clear" w:color="000000" w:fill="FFFFFF"/>
            <w:vAlign w:val="center"/>
          </w:tcPr>
          <w:p w14:paraId="7403CA30" w14:textId="77777777" w:rsidR="005376E6" w:rsidRPr="005376E6" w:rsidRDefault="005376E6" w:rsidP="005376E6">
            <w:pPr>
              <w:jc w:val="right"/>
              <w:rPr>
                <w:rFonts w:ascii="Arial Narrow" w:hAnsi="Arial Narrow" w:cs="Calibri"/>
                <w:color w:val="000000"/>
                <w:sz w:val="16"/>
                <w:szCs w:val="16"/>
                <w:lang w:val="bg-BG" w:eastAsia="bg-BG"/>
              </w:rPr>
            </w:pPr>
            <w:r w:rsidRPr="005376E6">
              <w:rPr>
                <w:rFonts w:ascii="Arial Narrow" w:hAnsi="Arial Narrow" w:cs="Calibri"/>
                <w:color w:val="000000"/>
                <w:sz w:val="16"/>
                <w:szCs w:val="16"/>
                <w:lang w:val="bg-BG" w:eastAsia="bg-BG"/>
              </w:rPr>
              <w:t>15 765</w:t>
            </w:r>
          </w:p>
        </w:tc>
        <w:tc>
          <w:tcPr>
            <w:tcW w:w="815" w:type="dxa"/>
            <w:shd w:val="clear" w:color="000000" w:fill="FFFFFF"/>
            <w:vAlign w:val="center"/>
          </w:tcPr>
          <w:p w14:paraId="50707FC8" w14:textId="77777777" w:rsidR="005376E6" w:rsidRPr="005376E6" w:rsidRDefault="005376E6" w:rsidP="005376E6">
            <w:pPr>
              <w:jc w:val="right"/>
              <w:rPr>
                <w:rFonts w:ascii="Arial Narrow" w:hAnsi="Arial Narrow" w:cs="Calibri"/>
                <w:color w:val="000000"/>
                <w:sz w:val="16"/>
                <w:szCs w:val="16"/>
                <w:lang w:val="bg-BG" w:eastAsia="bg-BG"/>
              </w:rPr>
            </w:pPr>
            <w:r w:rsidRPr="005376E6">
              <w:rPr>
                <w:rFonts w:ascii="Arial Narrow" w:hAnsi="Arial Narrow" w:cs="Calibri"/>
                <w:color w:val="000000"/>
                <w:sz w:val="16"/>
                <w:szCs w:val="16"/>
                <w:lang w:val="bg-BG" w:eastAsia="bg-BG"/>
              </w:rPr>
              <w:t>37 837</w:t>
            </w:r>
          </w:p>
        </w:tc>
        <w:tc>
          <w:tcPr>
            <w:tcW w:w="639" w:type="dxa"/>
            <w:shd w:val="clear" w:color="000000" w:fill="FFFFFF"/>
            <w:noWrap/>
            <w:vAlign w:val="center"/>
          </w:tcPr>
          <w:p w14:paraId="06E30EAD" w14:textId="77777777" w:rsidR="005376E6" w:rsidRPr="005376E6" w:rsidRDefault="005376E6" w:rsidP="005376E6">
            <w:pPr>
              <w:jc w:val="right"/>
              <w:rPr>
                <w:rFonts w:ascii="Arial Narrow" w:hAnsi="Arial Narrow" w:cs="Calibri"/>
                <w:color w:val="000000"/>
                <w:sz w:val="16"/>
                <w:szCs w:val="16"/>
                <w:lang w:val="bg-BG" w:eastAsia="bg-BG"/>
              </w:rPr>
            </w:pPr>
            <w:r w:rsidRPr="005376E6">
              <w:rPr>
                <w:rFonts w:ascii="Arial Narrow" w:hAnsi="Arial Narrow" w:cs="Calibri"/>
                <w:color w:val="000000"/>
                <w:sz w:val="16"/>
                <w:szCs w:val="16"/>
                <w:lang w:val="bg-BG" w:eastAsia="bg-BG"/>
              </w:rPr>
              <w:t>546</w:t>
            </w:r>
          </w:p>
        </w:tc>
        <w:tc>
          <w:tcPr>
            <w:tcW w:w="874" w:type="dxa"/>
            <w:shd w:val="clear" w:color="000000" w:fill="FFFFFF"/>
            <w:vAlign w:val="center"/>
          </w:tcPr>
          <w:p w14:paraId="4FB6AF5B" w14:textId="77777777" w:rsidR="005376E6" w:rsidRPr="005376E6" w:rsidRDefault="005376E6" w:rsidP="005376E6">
            <w:pPr>
              <w:jc w:val="right"/>
              <w:rPr>
                <w:rFonts w:ascii="Arial Narrow" w:hAnsi="Arial Narrow" w:cs="Calibri"/>
                <w:color w:val="000000"/>
                <w:sz w:val="16"/>
                <w:szCs w:val="16"/>
                <w:lang w:val="bg-BG" w:eastAsia="bg-BG"/>
              </w:rPr>
            </w:pPr>
            <w:r w:rsidRPr="005376E6">
              <w:rPr>
                <w:rFonts w:ascii="Arial Narrow" w:hAnsi="Arial Narrow" w:cs="Calibri"/>
                <w:color w:val="000000"/>
                <w:sz w:val="16"/>
                <w:szCs w:val="16"/>
                <w:lang w:val="bg-BG" w:eastAsia="bg-BG"/>
              </w:rPr>
              <w:t>76</w:t>
            </w:r>
          </w:p>
        </w:tc>
      </w:tr>
      <w:tr w:rsidR="005376E6" w:rsidRPr="005376E6" w14:paraId="4ABDCC72" w14:textId="77777777" w:rsidTr="00305E62">
        <w:trPr>
          <w:trHeight w:val="498"/>
        </w:trPr>
        <w:tc>
          <w:tcPr>
            <w:tcW w:w="851" w:type="dxa"/>
            <w:shd w:val="clear" w:color="000000" w:fill="FFFFFF"/>
            <w:vAlign w:val="center"/>
          </w:tcPr>
          <w:p w14:paraId="683D8335" w14:textId="77777777" w:rsidR="005376E6" w:rsidRPr="005376E6" w:rsidRDefault="005376E6" w:rsidP="005376E6">
            <w:pPr>
              <w:rPr>
                <w:rFonts w:ascii="Arial Narrow" w:hAnsi="Arial Narrow"/>
                <w:sz w:val="16"/>
                <w:szCs w:val="16"/>
                <w:lang w:val="bg-BG"/>
              </w:rPr>
            </w:pPr>
            <w:r w:rsidRPr="005376E6">
              <w:rPr>
                <w:rFonts w:ascii="Arial Narrow" w:hAnsi="Arial Narrow"/>
                <w:sz w:val="16"/>
                <w:szCs w:val="16"/>
                <w:lang w:val="bg-BG"/>
              </w:rPr>
              <w:t xml:space="preserve">Долен </w:t>
            </w:r>
          </w:p>
          <w:p w14:paraId="1ADF805E" w14:textId="77777777" w:rsidR="005376E6" w:rsidRPr="005376E6" w:rsidRDefault="005376E6" w:rsidP="005376E6">
            <w:pPr>
              <w:rPr>
                <w:rFonts w:ascii="Arial Narrow" w:hAnsi="Arial Narrow" w:cs="Calibri"/>
                <w:color w:val="000000"/>
                <w:sz w:val="16"/>
                <w:szCs w:val="16"/>
                <w:lang w:val="bg-BG" w:eastAsia="bg-BG"/>
              </w:rPr>
            </w:pPr>
            <w:r w:rsidRPr="005376E6">
              <w:rPr>
                <w:rFonts w:ascii="Arial Narrow" w:hAnsi="Arial Narrow"/>
                <w:sz w:val="16"/>
                <w:szCs w:val="16"/>
                <w:lang w:val="bg-BG"/>
              </w:rPr>
              <w:t xml:space="preserve">Дунав </w:t>
            </w:r>
          </w:p>
        </w:tc>
        <w:tc>
          <w:tcPr>
            <w:tcW w:w="659" w:type="dxa"/>
            <w:shd w:val="clear" w:color="auto" w:fill="auto"/>
            <w:noWrap/>
            <w:vAlign w:val="center"/>
          </w:tcPr>
          <w:p w14:paraId="0B4C5025" w14:textId="77777777" w:rsidR="005376E6" w:rsidRPr="005376E6" w:rsidRDefault="005376E6" w:rsidP="005376E6">
            <w:pPr>
              <w:jc w:val="right"/>
              <w:rPr>
                <w:rFonts w:ascii="Arial Narrow" w:hAnsi="Arial Narrow" w:cs="Calibri"/>
                <w:color w:val="000000"/>
                <w:sz w:val="16"/>
                <w:szCs w:val="16"/>
                <w:lang w:val="bg-BG" w:eastAsia="bg-BG"/>
              </w:rPr>
            </w:pPr>
            <w:r w:rsidRPr="005376E6">
              <w:rPr>
                <w:rFonts w:ascii="Arial Narrow" w:hAnsi="Arial Narrow" w:cs="Calibri"/>
                <w:color w:val="000000"/>
                <w:sz w:val="16"/>
                <w:szCs w:val="16"/>
                <w:lang w:val="bg-BG" w:eastAsia="bg-BG"/>
              </w:rPr>
              <w:t>9 126</w:t>
            </w:r>
          </w:p>
        </w:tc>
        <w:tc>
          <w:tcPr>
            <w:tcW w:w="794" w:type="dxa"/>
            <w:shd w:val="clear" w:color="auto" w:fill="auto"/>
            <w:vAlign w:val="center"/>
          </w:tcPr>
          <w:p w14:paraId="09AB658D" w14:textId="77777777" w:rsidR="005376E6" w:rsidRPr="005376E6" w:rsidRDefault="005376E6" w:rsidP="005376E6">
            <w:pPr>
              <w:jc w:val="right"/>
              <w:rPr>
                <w:rFonts w:ascii="Arial Narrow" w:hAnsi="Arial Narrow" w:cs="Calibri"/>
                <w:color w:val="000000"/>
                <w:sz w:val="16"/>
                <w:szCs w:val="16"/>
                <w:lang w:val="bg-BG" w:eastAsia="bg-BG"/>
              </w:rPr>
            </w:pPr>
            <w:r w:rsidRPr="005376E6">
              <w:rPr>
                <w:rFonts w:ascii="Arial Narrow" w:hAnsi="Arial Narrow" w:cs="Calibri"/>
                <w:color w:val="000000"/>
                <w:sz w:val="16"/>
                <w:szCs w:val="16"/>
                <w:lang w:val="bg-BG" w:eastAsia="bg-BG"/>
              </w:rPr>
              <w:t>1 928</w:t>
            </w:r>
          </w:p>
        </w:tc>
        <w:tc>
          <w:tcPr>
            <w:tcW w:w="659" w:type="dxa"/>
            <w:shd w:val="clear" w:color="000000" w:fill="FFFFFF"/>
            <w:noWrap/>
            <w:vAlign w:val="center"/>
          </w:tcPr>
          <w:p w14:paraId="0F6377FD" w14:textId="77777777" w:rsidR="005376E6" w:rsidRPr="005376E6" w:rsidRDefault="005376E6" w:rsidP="005376E6">
            <w:pPr>
              <w:jc w:val="right"/>
              <w:rPr>
                <w:rFonts w:ascii="Arial Narrow" w:hAnsi="Arial Narrow" w:cs="Calibri"/>
                <w:color w:val="000000"/>
                <w:sz w:val="16"/>
                <w:szCs w:val="16"/>
                <w:lang w:val="bg-BG" w:eastAsia="bg-BG"/>
              </w:rPr>
            </w:pPr>
            <w:r w:rsidRPr="005376E6">
              <w:rPr>
                <w:rFonts w:ascii="Arial Narrow" w:hAnsi="Arial Narrow" w:cs="Calibri"/>
                <w:color w:val="000000"/>
                <w:sz w:val="16"/>
                <w:szCs w:val="16"/>
                <w:lang w:val="bg-BG" w:eastAsia="bg-BG"/>
              </w:rPr>
              <w:t>1 553</w:t>
            </w:r>
          </w:p>
        </w:tc>
        <w:tc>
          <w:tcPr>
            <w:tcW w:w="819" w:type="dxa"/>
            <w:shd w:val="clear" w:color="000000" w:fill="FFFFFF"/>
            <w:vAlign w:val="center"/>
          </w:tcPr>
          <w:p w14:paraId="75FEED5D" w14:textId="77777777" w:rsidR="005376E6" w:rsidRPr="005376E6" w:rsidRDefault="005376E6" w:rsidP="005376E6">
            <w:pPr>
              <w:jc w:val="right"/>
              <w:rPr>
                <w:rFonts w:ascii="Arial Narrow" w:hAnsi="Arial Narrow" w:cs="Calibri"/>
                <w:color w:val="000000"/>
                <w:sz w:val="16"/>
                <w:szCs w:val="16"/>
                <w:lang w:val="bg-BG" w:eastAsia="bg-BG"/>
              </w:rPr>
            </w:pPr>
            <w:r w:rsidRPr="005376E6">
              <w:rPr>
                <w:rFonts w:ascii="Arial Narrow" w:hAnsi="Arial Narrow" w:cs="Calibri"/>
                <w:color w:val="000000"/>
                <w:sz w:val="16"/>
                <w:szCs w:val="16"/>
                <w:lang w:val="bg-BG" w:eastAsia="bg-BG"/>
              </w:rPr>
              <w:t>284</w:t>
            </w:r>
          </w:p>
        </w:tc>
        <w:tc>
          <w:tcPr>
            <w:tcW w:w="659" w:type="dxa"/>
            <w:shd w:val="clear" w:color="000000" w:fill="FFFFFF"/>
            <w:noWrap/>
            <w:vAlign w:val="center"/>
          </w:tcPr>
          <w:p w14:paraId="4FE4FB6D" w14:textId="77777777" w:rsidR="005376E6" w:rsidRPr="005376E6" w:rsidRDefault="005376E6" w:rsidP="005376E6">
            <w:pPr>
              <w:jc w:val="right"/>
              <w:rPr>
                <w:rFonts w:ascii="Arial Narrow" w:hAnsi="Arial Narrow" w:cs="Calibri"/>
                <w:color w:val="000000"/>
                <w:sz w:val="16"/>
                <w:szCs w:val="16"/>
                <w:lang w:val="bg-BG" w:eastAsia="bg-BG"/>
              </w:rPr>
            </w:pPr>
            <w:r w:rsidRPr="005376E6">
              <w:rPr>
                <w:rFonts w:ascii="Arial Narrow" w:hAnsi="Arial Narrow" w:cs="Calibri"/>
                <w:color w:val="000000"/>
                <w:sz w:val="16"/>
                <w:szCs w:val="16"/>
                <w:lang w:val="bg-BG" w:eastAsia="bg-BG"/>
              </w:rPr>
              <w:t>0</w:t>
            </w:r>
          </w:p>
        </w:tc>
        <w:tc>
          <w:tcPr>
            <w:tcW w:w="819" w:type="dxa"/>
            <w:shd w:val="clear" w:color="000000" w:fill="FFFFFF"/>
            <w:vAlign w:val="center"/>
          </w:tcPr>
          <w:p w14:paraId="1E8E5B24" w14:textId="77777777" w:rsidR="005376E6" w:rsidRPr="005376E6" w:rsidRDefault="005376E6" w:rsidP="005376E6">
            <w:pPr>
              <w:jc w:val="right"/>
              <w:rPr>
                <w:rFonts w:ascii="Arial Narrow" w:hAnsi="Arial Narrow" w:cs="Calibri"/>
                <w:color w:val="000000"/>
                <w:sz w:val="16"/>
                <w:szCs w:val="16"/>
                <w:lang w:val="bg-BG" w:eastAsia="bg-BG"/>
              </w:rPr>
            </w:pPr>
            <w:r w:rsidRPr="005376E6">
              <w:rPr>
                <w:rFonts w:ascii="Arial Narrow" w:hAnsi="Arial Narrow" w:cs="Calibri"/>
                <w:color w:val="000000"/>
                <w:sz w:val="16"/>
                <w:szCs w:val="16"/>
                <w:lang w:val="bg-BG" w:eastAsia="bg-BG"/>
              </w:rPr>
              <w:t>0</w:t>
            </w:r>
          </w:p>
        </w:tc>
        <w:tc>
          <w:tcPr>
            <w:tcW w:w="659" w:type="dxa"/>
            <w:shd w:val="clear" w:color="000000" w:fill="FFFFFF"/>
            <w:noWrap/>
            <w:vAlign w:val="center"/>
          </w:tcPr>
          <w:p w14:paraId="564B460C" w14:textId="77777777" w:rsidR="005376E6" w:rsidRPr="005376E6" w:rsidRDefault="005376E6" w:rsidP="005376E6">
            <w:pPr>
              <w:jc w:val="right"/>
              <w:rPr>
                <w:rFonts w:ascii="Arial Narrow" w:hAnsi="Arial Narrow" w:cs="Calibri"/>
                <w:color w:val="000000"/>
                <w:sz w:val="16"/>
                <w:szCs w:val="16"/>
                <w:lang w:val="bg-BG" w:eastAsia="bg-BG"/>
              </w:rPr>
            </w:pPr>
            <w:r w:rsidRPr="005376E6">
              <w:rPr>
                <w:rFonts w:ascii="Arial Narrow" w:hAnsi="Arial Narrow" w:cs="Calibri"/>
                <w:color w:val="000000"/>
                <w:sz w:val="16"/>
                <w:szCs w:val="16"/>
                <w:lang w:val="bg-BG" w:eastAsia="bg-BG"/>
              </w:rPr>
              <w:t>703</w:t>
            </w:r>
          </w:p>
        </w:tc>
        <w:tc>
          <w:tcPr>
            <w:tcW w:w="819" w:type="dxa"/>
            <w:shd w:val="clear" w:color="000000" w:fill="FFFFFF"/>
            <w:vAlign w:val="center"/>
          </w:tcPr>
          <w:p w14:paraId="20CB2FA0" w14:textId="77777777" w:rsidR="005376E6" w:rsidRPr="005376E6" w:rsidRDefault="005376E6" w:rsidP="005376E6">
            <w:pPr>
              <w:jc w:val="right"/>
              <w:rPr>
                <w:rFonts w:ascii="Arial Narrow" w:hAnsi="Arial Narrow" w:cs="Calibri"/>
                <w:color w:val="000000"/>
                <w:sz w:val="16"/>
                <w:szCs w:val="16"/>
                <w:lang w:val="bg-BG" w:eastAsia="bg-BG"/>
              </w:rPr>
            </w:pPr>
            <w:r w:rsidRPr="005376E6">
              <w:rPr>
                <w:rFonts w:ascii="Arial Narrow" w:hAnsi="Arial Narrow" w:cs="Calibri"/>
                <w:color w:val="000000"/>
                <w:sz w:val="16"/>
                <w:szCs w:val="16"/>
                <w:lang w:val="bg-BG" w:eastAsia="bg-BG"/>
              </w:rPr>
              <w:t>229</w:t>
            </w:r>
          </w:p>
        </w:tc>
        <w:tc>
          <w:tcPr>
            <w:tcW w:w="659" w:type="dxa"/>
            <w:shd w:val="clear" w:color="000000" w:fill="FFFFFF"/>
            <w:noWrap/>
            <w:vAlign w:val="center"/>
          </w:tcPr>
          <w:p w14:paraId="2DEECADE" w14:textId="77777777" w:rsidR="005376E6" w:rsidRPr="005376E6" w:rsidRDefault="005376E6" w:rsidP="005376E6">
            <w:pPr>
              <w:jc w:val="right"/>
              <w:rPr>
                <w:rFonts w:ascii="Arial Narrow" w:hAnsi="Arial Narrow" w:cs="Calibri"/>
                <w:color w:val="000000"/>
                <w:sz w:val="16"/>
                <w:szCs w:val="16"/>
                <w:lang w:val="bg-BG" w:eastAsia="bg-BG"/>
              </w:rPr>
            </w:pPr>
            <w:r w:rsidRPr="005376E6">
              <w:rPr>
                <w:rFonts w:ascii="Arial Narrow" w:hAnsi="Arial Narrow" w:cs="Calibri"/>
                <w:color w:val="000000"/>
                <w:sz w:val="16"/>
                <w:szCs w:val="16"/>
                <w:lang w:val="bg-BG" w:eastAsia="bg-BG"/>
              </w:rPr>
              <w:t>208</w:t>
            </w:r>
          </w:p>
        </w:tc>
        <w:tc>
          <w:tcPr>
            <w:tcW w:w="819" w:type="dxa"/>
            <w:shd w:val="clear" w:color="000000" w:fill="FFFFFF"/>
            <w:vAlign w:val="center"/>
          </w:tcPr>
          <w:p w14:paraId="3CE973E6" w14:textId="77777777" w:rsidR="005376E6" w:rsidRPr="005376E6" w:rsidRDefault="005376E6" w:rsidP="005376E6">
            <w:pPr>
              <w:jc w:val="right"/>
              <w:rPr>
                <w:rFonts w:ascii="Arial Narrow" w:hAnsi="Arial Narrow" w:cs="Calibri"/>
                <w:color w:val="000000"/>
                <w:sz w:val="16"/>
                <w:szCs w:val="16"/>
                <w:lang w:val="bg-BG" w:eastAsia="bg-BG"/>
              </w:rPr>
            </w:pPr>
            <w:r w:rsidRPr="005376E6">
              <w:rPr>
                <w:rFonts w:ascii="Arial Narrow" w:hAnsi="Arial Narrow" w:cs="Calibri"/>
                <w:color w:val="000000"/>
                <w:sz w:val="16"/>
                <w:szCs w:val="16"/>
                <w:lang w:val="bg-BG" w:eastAsia="bg-BG"/>
              </w:rPr>
              <w:t>33</w:t>
            </w:r>
          </w:p>
        </w:tc>
        <w:tc>
          <w:tcPr>
            <w:tcW w:w="655" w:type="dxa"/>
            <w:shd w:val="clear" w:color="000000" w:fill="FFFFFF"/>
            <w:vAlign w:val="center"/>
          </w:tcPr>
          <w:p w14:paraId="631022CF" w14:textId="77777777" w:rsidR="005376E6" w:rsidRPr="005376E6" w:rsidRDefault="005376E6" w:rsidP="005376E6">
            <w:pPr>
              <w:jc w:val="right"/>
              <w:rPr>
                <w:rFonts w:ascii="Arial Narrow" w:hAnsi="Arial Narrow" w:cs="Calibri"/>
                <w:color w:val="000000"/>
                <w:sz w:val="16"/>
                <w:szCs w:val="16"/>
                <w:lang w:val="bg-BG" w:eastAsia="bg-BG"/>
              </w:rPr>
            </w:pPr>
            <w:r w:rsidRPr="005376E6">
              <w:rPr>
                <w:rFonts w:ascii="Arial Narrow" w:hAnsi="Arial Narrow" w:cs="Calibri"/>
                <w:color w:val="000000"/>
                <w:sz w:val="16"/>
                <w:szCs w:val="16"/>
                <w:lang w:val="bg-BG" w:eastAsia="bg-BG"/>
              </w:rPr>
              <w:t>0</w:t>
            </w:r>
          </w:p>
        </w:tc>
        <w:tc>
          <w:tcPr>
            <w:tcW w:w="815" w:type="dxa"/>
            <w:shd w:val="clear" w:color="000000" w:fill="FFFFFF"/>
            <w:vAlign w:val="center"/>
          </w:tcPr>
          <w:p w14:paraId="7D143A62" w14:textId="77777777" w:rsidR="005376E6" w:rsidRPr="005376E6" w:rsidRDefault="005376E6" w:rsidP="005376E6">
            <w:pPr>
              <w:jc w:val="right"/>
              <w:rPr>
                <w:rFonts w:ascii="Arial Narrow" w:hAnsi="Arial Narrow" w:cs="Calibri"/>
                <w:color w:val="000000"/>
                <w:sz w:val="16"/>
                <w:szCs w:val="16"/>
                <w:lang w:val="bg-BG" w:eastAsia="bg-BG"/>
              </w:rPr>
            </w:pPr>
            <w:r w:rsidRPr="005376E6">
              <w:rPr>
                <w:rFonts w:ascii="Arial Narrow" w:hAnsi="Arial Narrow" w:cs="Calibri"/>
                <w:color w:val="000000"/>
                <w:sz w:val="16"/>
                <w:szCs w:val="16"/>
                <w:lang w:val="bg-BG" w:eastAsia="bg-BG"/>
              </w:rPr>
              <w:t> </w:t>
            </w:r>
          </w:p>
        </w:tc>
        <w:tc>
          <w:tcPr>
            <w:tcW w:w="639" w:type="dxa"/>
            <w:shd w:val="clear" w:color="000000" w:fill="FFFFFF"/>
            <w:noWrap/>
            <w:vAlign w:val="center"/>
          </w:tcPr>
          <w:p w14:paraId="0C10C3FB" w14:textId="77777777" w:rsidR="005376E6" w:rsidRPr="005376E6" w:rsidRDefault="005376E6" w:rsidP="005376E6">
            <w:pPr>
              <w:jc w:val="right"/>
              <w:rPr>
                <w:rFonts w:ascii="Arial Narrow" w:hAnsi="Arial Narrow" w:cs="Calibri"/>
                <w:color w:val="000000"/>
                <w:sz w:val="16"/>
                <w:szCs w:val="16"/>
                <w:lang w:val="bg-BG" w:eastAsia="bg-BG"/>
              </w:rPr>
            </w:pPr>
            <w:r w:rsidRPr="005376E6">
              <w:rPr>
                <w:rFonts w:ascii="Arial Narrow" w:hAnsi="Arial Narrow" w:cs="Calibri"/>
                <w:color w:val="000000"/>
                <w:sz w:val="16"/>
                <w:szCs w:val="16"/>
                <w:lang w:val="bg-BG" w:eastAsia="bg-BG"/>
              </w:rPr>
              <w:t>6 662</w:t>
            </w:r>
          </w:p>
        </w:tc>
        <w:tc>
          <w:tcPr>
            <w:tcW w:w="874" w:type="dxa"/>
            <w:shd w:val="clear" w:color="000000" w:fill="FFFFFF"/>
            <w:vAlign w:val="center"/>
          </w:tcPr>
          <w:p w14:paraId="7A3B29C1" w14:textId="77777777" w:rsidR="005376E6" w:rsidRPr="005376E6" w:rsidRDefault="005376E6" w:rsidP="005376E6">
            <w:pPr>
              <w:jc w:val="right"/>
              <w:rPr>
                <w:rFonts w:ascii="Arial Narrow" w:hAnsi="Arial Narrow" w:cs="Calibri"/>
                <w:color w:val="000000"/>
                <w:sz w:val="16"/>
                <w:szCs w:val="16"/>
                <w:lang w:val="bg-BG" w:eastAsia="bg-BG"/>
              </w:rPr>
            </w:pPr>
            <w:r w:rsidRPr="005376E6">
              <w:rPr>
                <w:rFonts w:ascii="Arial Narrow" w:hAnsi="Arial Narrow" w:cs="Calibri"/>
                <w:color w:val="000000"/>
                <w:sz w:val="16"/>
                <w:szCs w:val="16"/>
                <w:lang w:val="bg-BG" w:eastAsia="bg-BG"/>
              </w:rPr>
              <w:t>1 382</w:t>
            </w:r>
          </w:p>
        </w:tc>
      </w:tr>
      <w:tr w:rsidR="005376E6" w:rsidRPr="005376E6" w14:paraId="7A8089B7" w14:textId="77777777" w:rsidTr="00305E62">
        <w:trPr>
          <w:trHeight w:val="293"/>
        </w:trPr>
        <w:tc>
          <w:tcPr>
            <w:tcW w:w="851" w:type="dxa"/>
            <w:shd w:val="clear" w:color="000000" w:fill="FFFFFF"/>
            <w:noWrap/>
            <w:vAlign w:val="center"/>
          </w:tcPr>
          <w:p w14:paraId="6E590AA7" w14:textId="77777777" w:rsidR="005376E6" w:rsidRPr="005376E6" w:rsidRDefault="005376E6" w:rsidP="005376E6">
            <w:pPr>
              <w:rPr>
                <w:rFonts w:ascii="Arial Narrow" w:hAnsi="Arial Narrow" w:cs="Calibri"/>
                <w:color w:val="000000"/>
                <w:sz w:val="16"/>
                <w:szCs w:val="16"/>
                <w:lang w:val="bg-BG" w:eastAsia="bg-BG"/>
              </w:rPr>
            </w:pPr>
            <w:r w:rsidRPr="005376E6">
              <w:rPr>
                <w:rFonts w:ascii="Arial Narrow" w:hAnsi="Arial Narrow"/>
                <w:sz w:val="16"/>
                <w:szCs w:val="16"/>
                <w:lang w:val="bg-BG"/>
              </w:rPr>
              <w:t>Марица</w:t>
            </w:r>
          </w:p>
        </w:tc>
        <w:tc>
          <w:tcPr>
            <w:tcW w:w="659" w:type="dxa"/>
            <w:shd w:val="clear" w:color="auto" w:fill="auto"/>
            <w:noWrap/>
            <w:vAlign w:val="center"/>
          </w:tcPr>
          <w:p w14:paraId="68FA8F51" w14:textId="77777777" w:rsidR="005376E6" w:rsidRPr="005376E6" w:rsidRDefault="005376E6" w:rsidP="005376E6">
            <w:pPr>
              <w:jc w:val="right"/>
              <w:rPr>
                <w:rFonts w:ascii="Arial Narrow" w:hAnsi="Arial Narrow" w:cs="Calibri"/>
                <w:color w:val="000000"/>
                <w:sz w:val="16"/>
                <w:szCs w:val="16"/>
                <w:lang w:val="bg-BG" w:eastAsia="bg-BG"/>
              </w:rPr>
            </w:pPr>
            <w:r w:rsidRPr="005376E6">
              <w:rPr>
                <w:rFonts w:ascii="Arial Narrow" w:hAnsi="Arial Narrow" w:cs="Calibri"/>
                <w:color w:val="000000"/>
                <w:sz w:val="16"/>
                <w:szCs w:val="16"/>
                <w:lang w:val="bg-BG" w:eastAsia="bg-BG"/>
              </w:rPr>
              <w:t>99 943</w:t>
            </w:r>
          </w:p>
        </w:tc>
        <w:tc>
          <w:tcPr>
            <w:tcW w:w="794" w:type="dxa"/>
            <w:shd w:val="clear" w:color="auto" w:fill="auto"/>
            <w:vAlign w:val="center"/>
          </w:tcPr>
          <w:p w14:paraId="6F5910EE" w14:textId="77777777" w:rsidR="005376E6" w:rsidRPr="005376E6" w:rsidRDefault="005376E6" w:rsidP="005376E6">
            <w:pPr>
              <w:jc w:val="right"/>
              <w:rPr>
                <w:rFonts w:ascii="Arial Narrow" w:hAnsi="Arial Narrow" w:cs="Calibri"/>
                <w:color w:val="000000"/>
                <w:sz w:val="16"/>
                <w:szCs w:val="16"/>
                <w:lang w:val="bg-BG" w:eastAsia="bg-BG"/>
              </w:rPr>
            </w:pPr>
            <w:r w:rsidRPr="005376E6">
              <w:rPr>
                <w:rFonts w:ascii="Arial Narrow" w:hAnsi="Arial Narrow" w:cs="Calibri"/>
                <w:color w:val="000000"/>
                <w:sz w:val="16"/>
                <w:szCs w:val="16"/>
                <w:lang w:val="bg-BG" w:eastAsia="bg-BG"/>
              </w:rPr>
              <w:t>139 650</w:t>
            </w:r>
          </w:p>
        </w:tc>
        <w:tc>
          <w:tcPr>
            <w:tcW w:w="659" w:type="dxa"/>
            <w:shd w:val="clear" w:color="000000" w:fill="FFFFFF"/>
            <w:noWrap/>
            <w:vAlign w:val="center"/>
          </w:tcPr>
          <w:p w14:paraId="46EB79FD" w14:textId="77777777" w:rsidR="005376E6" w:rsidRPr="005376E6" w:rsidRDefault="005376E6" w:rsidP="005376E6">
            <w:pPr>
              <w:jc w:val="right"/>
              <w:rPr>
                <w:rFonts w:ascii="Arial Narrow" w:hAnsi="Arial Narrow" w:cs="Calibri"/>
                <w:color w:val="000000"/>
                <w:sz w:val="16"/>
                <w:szCs w:val="16"/>
                <w:lang w:val="bg-BG" w:eastAsia="bg-BG"/>
              </w:rPr>
            </w:pPr>
            <w:r w:rsidRPr="005376E6">
              <w:rPr>
                <w:rFonts w:ascii="Arial Narrow" w:hAnsi="Arial Narrow" w:cs="Calibri"/>
                <w:color w:val="000000"/>
                <w:sz w:val="16"/>
                <w:szCs w:val="16"/>
                <w:lang w:val="bg-BG" w:eastAsia="bg-BG"/>
              </w:rPr>
              <w:t>35 079</w:t>
            </w:r>
          </w:p>
        </w:tc>
        <w:tc>
          <w:tcPr>
            <w:tcW w:w="819" w:type="dxa"/>
            <w:shd w:val="clear" w:color="000000" w:fill="FFFFFF"/>
            <w:noWrap/>
            <w:vAlign w:val="center"/>
          </w:tcPr>
          <w:p w14:paraId="52B3BEBE" w14:textId="77777777" w:rsidR="005376E6" w:rsidRPr="005376E6" w:rsidRDefault="005376E6" w:rsidP="005376E6">
            <w:pPr>
              <w:jc w:val="right"/>
              <w:rPr>
                <w:rFonts w:ascii="Arial Narrow" w:hAnsi="Arial Narrow" w:cs="Calibri"/>
                <w:color w:val="000000"/>
                <w:sz w:val="16"/>
                <w:szCs w:val="16"/>
                <w:lang w:val="bg-BG" w:eastAsia="bg-BG"/>
              </w:rPr>
            </w:pPr>
            <w:r w:rsidRPr="005376E6">
              <w:rPr>
                <w:rFonts w:ascii="Arial Narrow" w:hAnsi="Arial Narrow" w:cs="Calibri"/>
                <w:color w:val="000000"/>
                <w:sz w:val="16"/>
                <w:szCs w:val="16"/>
                <w:lang w:val="bg-BG" w:eastAsia="bg-BG"/>
              </w:rPr>
              <w:t>5 494</w:t>
            </w:r>
          </w:p>
        </w:tc>
        <w:tc>
          <w:tcPr>
            <w:tcW w:w="659" w:type="dxa"/>
            <w:shd w:val="clear" w:color="000000" w:fill="FFFFFF"/>
            <w:noWrap/>
            <w:vAlign w:val="center"/>
          </w:tcPr>
          <w:p w14:paraId="54A96513" w14:textId="77777777" w:rsidR="005376E6" w:rsidRPr="005376E6" w:rsidRDefault="005376E6" w:rsidP="005376E6">
            <w:pPr>
              <w:jc w:val="right"/>
              <w:rPr>
                <w:rFonts w:ascii="Arial Narrow" w:hAnsi="Arial Narrow" w:cs="Calibri"/>
                <w:color w:val="000000"/>
                <w:sz w:val="16"/>
                <w:szCs w:val="16"/>
                <w:lang w:val="bg-BG" w:eastAsia="bg-BG"/>
              </w:rPr>
            </w:pPr>
            <w:r w:rsidRPr="005376E6">
              <w:rPr>
                <w:rFonts w:ascii="Arial Narrow" w:hAnsi="Arial Narrow" w:cs="Calibri"/>
                <w:color w:val="000000"/>
                <w:sz w:val="16"/>
                <w:szCs w:val="16"/>
                <w:lang w:val="bg-BG" w:eastAsia="bg-BG"/>
              </w:rPr>
              <w:t>492</w:t>
            </w:r>
          </w:p>
        </w:tc>
        <w:tc>
          <w:tcPr>
            <w:tcW w:w="819" w:type="dxa"/>
            <w:shd w:val="clear" w:color="000000" w:fill="FFFFFF"/>
            <w:noWrap/>
            <w:vAlign w:val="center"/>
          </w:tcPr>
          <w:p w14:paraId="019772E2" w14:textId="77777777" w:rsidR="005376E6" w:rsidRPr="005376E6" w:rsidRDefault="005376E6" w:rsidP="005376E6">
            <w:pPr>
              <w:jc w:val="right"/>
              <w:rPr>
                <w:rFonts w:ascii="Arial Narrow" w:hAnsi="Arial Narrow" w:cs="Calibri"/>
                <w:color w:val="000000"/>
                <w:sz w:val="16"/>
                <w:szCs w:val="16"/>
                <w:lang w:val="bg-BG" w:eastAsia="bg-BG"/>
              </w:rPr>
            </w:pPr>
            <w:r w:rsidRPr="005376E6">
              <w:rPr>
                <w:rFonts w:ascii="Arial Narrow" w:hAnsi="Arial Narrow" w:cs="Calibri"/>
                <w:color w:val="000000"/>
                <w:sz w:val="16"/>
                <w:szCs w:val="16"/>
                <w:lang w:val="bg-BG" w:eastAsia="bg-BG"/>
              </w:rPr>
              <w:t>84</w:t>
            </w:r>
          </w:p>
        </w:tc>
        <w:tc>
          <w:tcPr>
            <w:tcW w:w="659" w:type="dxa"/>
            <w:shd w:val="clear" w:color="000000" w:fill="FFFFFF"/>
            <w:noWrap/>
            <w:vAlign w:val="center"/>
          </w:tcPr>
          <w:p w14:paraId="2A1EE793" w14:textId="77777777" w:rsidR="005376E6" w:rsidRPr="005376E6" w:rsidRDefault="005376E6" w:rsidP="005376E6">
            <w:pPr>
              <w:jc w:val="right"/>
              <w:rPr>
                <w:rFonts w:ascii="Arial Narrow" w:hAnsi="Arial Narrow" w:cs="Calibri"/>
                <w:color w:val="000000"/>
                <w:sz w:val="16"/>
                <w:szCs w:val="16"/>
                <w:lang w:val="bg-BG" w:eastAsia="bg-BG"/>
              </w:rPr>
            </w:pPr>
            <w:r w:rsidRPr="005376E6">
              <w:rPr>
                <w:rFonts w:ascii="Arial Narrow" w:hAnsi="Arial Narrow" w:cs="Calibri"/>
                <w:color w:val="000000"/>
                <w:sz w:val="16"/>
                <w:szCs w:val="16"/>
                <w:lang w:val="bg-BG" w:eastAsia="bg-BG"/>
              </w:rPr>
              <w:t>1 110</w:t>
            </w:r>
          </w:p>
        </w:tc>
        <w:tc>
          <w:tcPr>
            <w:tcW w:w="819" w:type="dxa"/>
            <w:shd w:val="clear" w:color="000000" w:fill="FFFFFF"/>
            <w:noWrap/>
            <w:vAlign w:val="center"/>
          </w:tcPr>
          <w:p w14:paraId="7EA6B0F7" w14:textId="77777777" w:rsidR="005376E6" w:rsidRPr="005376E6" w:rsidRDefault="005376E6" w:rsidP="005376E6">
            <w:pPr>
              <w:jc w:val="right"/>
              <w:rPr>
                <w:rFonts w:ascii="Arial Narrow" w:hAnsi="Arial Narrow" w:cs="Calibri"/>
                <w:color w:val="000000"/>
                <w:sz w:val="16"/>
                <w:szCs w:val="16"/>
                <w:lang w:val="bg-BG" w:eastAsia="bg-BG"/>
              </w:rPr>
            </w:pPr>
            <w:r w:rsidRPr="005376E6">
              <w:rPr>
                <w:rFonts w:ascii="Arial Narrow" w:hAnsi="Arial Narrow" w:cs="Calibri"/>
                <w:color w:val="000000"/>
                <w:sz w:val="16"/>
                <w:szCs w:val="16"/>
                <w:lang w:val="bg-BG" w:eastAsia="bg-BG"/>
              </w:rPr>
              <w:t>137</w:t>
            </w:r>
          </w:p>
        </w:tc>
        <w:tc>
          <w:tcPr>
            <w:tcW w:w="659" w:type="dxa"/>
            <w:shd w:val="clear" w:color="000000" w:fill="FFFFFF"/>
            <w:noWrap/>
            <w:vAlign w:val="center"/>
          </w:tcPr>
          <w:p w14:paraId="5BDFF2C5" w14:textId="77777777" w:rsidR="005376E6" w:rsidRPr="005376E6" w:rsidRDefault="005376E6" w:rsidP="005376E6">
            <w:pPr>
              <w:jc w:val="right"/>
              <w:rPr>
                <w:rFonts w:ascii="Arial Narrow" w:hAnsi="Arial Narrow" w:cs="Calibri"/>
                <w:color w:val="000000"/>
                <w:sz w:val="16"/>
                <w:szCs w:val="16"/>
                <w:lang w:val="bg-BG" w:eastAsia="bg-BG"/>
              </w:rPr>
            </w:pPr>
            <w:r w:rsidRPr="005376E6">
              <w:rPr>
                <w:rFonts w:ascii="Arial Narrow" w:hAnsi="Arial Narrow" w:cs="Calibri"/>
                <w:color w:val="000000"/>
                <w:sz w:val="16"/>
                <w:szCs w:val="16"/>
                <w:lang w:val="bg-BG" w:eastAsia="bg-BG"/>
              </w:rPr>
              <w:t>3 619</w:t>
            </w:r>
          </w:p>
        </w:tc>
        <w:tc>
          <w:tcPr>
            <w:tcW w:w="819" w:type="dxa"/>
            <w:shd w:val="clear" w:color="000000" w:fill="FFFFFF"/>
            <w:noWrap/>
            <w:vAlign w:val="center"/>
          </w:tcPr>
          <w:p w14:paraId="39715B8A" w14:textId="77777777" w:rsidR="005376E6" w:rsidRPr="005376E6" w:rsidRDefault="005376E6" w:rsidP="005376E6">
            <w:pPr>
              <w:jc w:val="right"/>
              <w:rPr>
                <w:rFonts w:ascii="Arial Narrow" w:hAnsi="Arial Narrow" w:cs="Calibri"/>
                <w:color w:val="000000"/>
                <w:sz w:val="16"/>
                <w:szCs w:val="16"/>
                <w:lang w:val="bg-BG" w:eastAsia="bg-BG"/>
              </w:rPr>
            </w:pPr>
            <w:r w:rsidRPr="005376E6">
              <w:rPr>
                <w:rFonts w:ascii="Arial Narrow" w:hAnsi="Arial Narrow" w:cs="Calibri"/>
                <w:color w:val="000000"/>
                <w:sz w:val="16"/>
                <w:szCs w:val="16"/>
                <w:lang w:val="bg-BG" w:eastAsia="bg-BG"/>
              </w:rPr>
              <w:t>194</w:t>
            </w:r>
          </w:p>
        </w:tc>
        <w:tc>
          <w:tcPr>
            <w:tcW w:w="655" w:type="dxa"/>
            <w:shd w:val="clear" w:color="000000" w:fill="FFFFFF"/>
            <w:vAlign w:val="center"/>
          </w:tcPr>
          <w:p w14:paraId="4CD18D28" w14:textId="77777777" w:rsidR="005376E6" w:rsidRPr="005376E6" w:rsidRDefault="005376E6" w:rsidP="005376E6">
            <w:pPr>
              <w:jc w:val="right"/>
              <w:rPr>
                <w:rFonts w:ascii="Arial Narrow" w:hAnsi="Arial Narrow" w:cs="Calibri"/>
                <w:color w:val="000000"/>
                <w:sz w:val="16"/>
                <w:szCs w:val="16"/>
                <w:lang w:val="bg-BG" w:eastAsia="bg-BG"/>
              </w:rPr>
            </w:pPr>
            <w:r w:rsidRPr="005376E6">
              <w:rPr>
                <w:rFonts w:ascii="Arial Narrow" w:hAnsi="Arial Narrow" w:cs="Calibri"/>
                <w:color w:val="000000"/>
                <w:sz w:val="16"/>
                <w:szCs w:val="16"/>
                <w:lang w:val="bg-BG" w:eastAsia="bg-BG"/>
              </w:rPr>
              <w:t>56 653</w:t>
            </w:r>
          </w:p>
        </w:tc>
        <w:tc>
          <w:tcPr>
            <w:tcW w:w="815" w:type="dxa"/>
            <w:shd w:val="clear" w:color="000000" w:fill="FFFFFF"/>
            <w:vAlign w:val="center"/>
          </w:tcPr>
          <w:p w14:paraId="1E211113" w14:textId="77777777" w:rsidR="005376E6" w:rsidRPr="005376E6" w:rsidRDefault="005376E6" w:rsidP="005376E6">
            <w:pPr>
              <w:jc w:val="right"/>
              <w:rPr>
                <w:rFonts w:ascii="Arial Narrow" w:hAnsi="Arial Narrow" w:cs="Calibri"/>
                <w:color w:val="000000"/>
                <w:sz w:val="16"/>
                <w:szCs w:val="16"/>
                <w:lang w:val="bg-BG" w:eastAsia="bg-BG"/>
              </w:rPr>
            </w:pPr>
            <w:r w:rsidRPr="005376E6">
              <w:rPr>
                <w:rFonts w:ascii="Arial Narrow" w:hAnsi="Arial Narrow" w:cs="Calibri"/>
                <w:color w:val="000000"/>
                <w:sz w:val="16"/>
                <w:szCs w:val="16"/>
                <w:lang w:val="bg-BG" w:eastAsia="bg-BG"/>
              </w:rPr>
              <w:t xml:space="preserve">133 257 </w:t>
            </w:r>
          </w:p>
        </w:tc>
        <w:tc>
          <w:tcPr>
            <w:tcW w:w="639" w:type="dxa"/>
            <w:shd w:val="clear" w:color="000000" w:fill="FFFFFF"/>
            <w:noWrap/>
            <w:vAlign w:val="center"/>
          </w:tcPr>
          <w:p w14:paraId="7598BBB3" w14:textId="77777777" w:rsidR="005376E6" w:rsidRPr="005376E6" w:rsidRDefault="005376E6" w:rsidP="005376E6">
            <w:pPr>
              <w:jc w:val="right"/>
              <w:rPr>
                <w:rFonts w:ascii="Arial Narrow" w:hAnsi="Arial Narrow" w:cs="Calibri"/>
                <w:color w:val="000000"/>
                <w:sz w:val="16"/>
                <w:szCs w:val="16"/>
                <w:lang w:val="bg-BG" w:eastAsia="bg-BG"/>
              </w:rPr>
            </w:pPr>
            <w:r w:rsidRPr="005376E6">
              <w:rPr>
                <w:rFonts w:ascii="Arial Narrow" w:hAnsi="Arial Narrow" w:cs="Calibri"/>
                <w:color w:val="000000"/>
                <w:sz w:val="16"/>
                <w:szCs w:val="16"/>
                <w:lang w:val="bg-BG" w:eastAsia="bg-BG"/>
              </w:rPr>
              <w:t>3 000</w:t>
            </w:r>
          </w:p>
        </w:tc>
        <w:tc>
          <w:tcPr>
            <w:tcW w:w="874" w:type="dxa"/>
            <w:shd w:val="clear" w:color="000000" w:fill="FFFFFF"/>
            <w:noWrap/>
            <w:vAlign w:val="center"/>
          </w:tcPr>
          <w:p w14:paraId="7F65ABE6" w14:textId="77777777" w:rsidR="005376E6" w:rsidRPr="005376E6" w:rsidRDefault="005376E6" w:rsidP="005376E6">
            <w:pPr>
              <w:jc w:val="right"/>
              <w:rPr>
                <w:rFonts w:ascii="Arial Narrow" w:hAnsi="Arial Narrow" w:cs="Calibri"/>
                <w:color w:val="000000"/>
                <w:sz w:val="16"/>
                <w:szCs w:val="16"/>
                <w:lang w:val="bg-BG" w:eastAsia="bg-BG"/>
              </w:rPr>
            </w:pPr>
            <w:r w:rsidRPr="005376E6">
              <w:rPr>
                <w:rFonts w:ascii="Arial Narrow" w:hAnsi="Arial Narrow" w:cs="Calibri"/>
                <w:color w:val="000000"/>
                <w:sz w:val="16"/>
                <w:szCs w:val="16"/>
                <w:lang w:val="bg-BG" w:eastAsia="bg-BG"/>
              </w:rPr>
              <w:t>484</w:t>
            </w:r>
          </w:p>
        </w:tc>
      </w:tr>
      <w:tr w:rsidR="005376E6" w:rsidRPr="005376E6" w14:paraId="5DAA4136" w14:textId="77777777" w:rsidTr="00305E62">
        <w:trPr>
          <w:trHeight w:val="293"/>
        </w:trPr>
        <w:tc>
          <w:tcPr>
            <w:tcW w:w="851" w:type="dxa"/>
            <w:shd w:val="clear" w:color="000000" w:fill="FFFFFF"/>
            <w:noWrap/>
            <w:vAlign w:val="center"/>
          </w:tcPr>
          <w:p w14:paraId="303038BA" w14:textId="77777777" w:rsidR="005376E6" w:rsidRPr="005376E6" w:rsidRDefault="005376E6" w:rsidP="005376E6">
            <w:pPr>
              <w:rPr>
                <w:rFonts w:ascii="Arial Narrow" w:hAnsi="Arial Narrow" w:cs="Calibri"/>
                <w:color w:val="000000"/>
                <w:sz w:val="16"/>
                <w:szCs w:val="16"/>
                <w:lang w:val="bg-BG" w:eastAsia="bg-BG"/>
              </w:rPr>
            </w:pPr>
            <w:r w:rsidRPr="005376E6">
              <w:rPr>
                <w:rFonts w:ascii="Arial Narrow" w:hAnsi="Arial Narrow"/>
                <w:sz w:val="16"/>
                <w:szCs w:val="16"/>
                <w:lang w:val="bg-BG"/>
              </w:rPr>
              <w:t>Мизия</w:t>
            </w:r>
          </w:p>
        </w:tc>
        <w:tc>
          <w:tcPr>
            <w:tcW w:w="659" w:type="dxa"/>
            <w:shd w:val="clear" w:color="auto" w:fill="auto"/>
            <w:noWrap/>
            <w:vAlign w:val="center"/>
          </w:tcPr>
          <w:p w14:paraId="44FD0C2A" w14:textId="77777777" w:rsidR="005376E6" w:rsidRPr="005376E6" w:rsidRDefault="005376E6" w:rsidP="005376E6">
            <w:pPr>
              <w:jc w:val="right"/>
              <w:rPr>
                <w:rFonts w:ascii="Arial Narrow" w:hAnsi="Arial Narrow" w:cs="Calibri"/>
                <w:color w:val="000000"/>
                <w:sz w:val="16"/>
                <w:szCs w:val="16"/>
                <w:lang w:val="bg-BG" w:eastAsia="bg-BG"/>
              </w:rPr>
            </w:pPr>
            <w:r w:rsidRPr="005376E6">
              <w:rPr>
                <w:rFonts w:ascii="Arial Narrow" w:hAnsi="Arial Narrow" w:cs="Calibri"/>
                <w:color w:val="000000"/>
                <w:sz w:val="16"/>
                <w:szCs w:val="16"/>
                <w:lang w:val="bg-BG" w:eastAsia="bg-BG"/>
              </w:rPr>
              <w:t>1 665</w:t>
            </w:r>
          </w:p>
        </w:tc>
        <w:tc>
          <w:tcPr>
            <w:tcW w:w="794" w:type="dxa"/>
            <w:shd w:val="clear" w:color="auto" w:fill="auto"/>
            <w:vAlign w:val="center"/>
          </w:tcPr>
          <w:p w14:paraId="3AC883DF" w14:textId="77777777" w:rsidR="005376E6" w:rsidRPr="005376E6" w:rsidRDefault="005376E6" w:rsidP="005376E6">
            <w:pPr>
              <w:jc w:val="right"/>
              <w:rPr>
                <w:rFonts w:ascii="Arial Narrow" w:hAnsi="Arial Narrow" w:cs="Calibri"/>
                <w:color w:val="000000"/>
                <w:sz w:val="16"/>
                <w:szCs w:val="16"/>
                <w:lang w:val="bg-BG" w:eastAsia="bg-BG"/>
              </w:rPr>
            </w:pPr>
            <w:r w:rsidRPr="005376E6">
              <w:rPr>
                <w:rFonts w:ascii="Arial Narrow" w:hAnsi="Arial Narrow" w:cs="Calibri"/>
                <w:color w:val="000000"/>
                <w:sz w:val="16"/>
                <w:szCs w:val="16"/>
                <w:lang w:val="bg-BG" w:eastAsia="bg-BG"/>
              </w:rPr>
              <w:t>221</w:t>
            </w:r>
          </w:p>
        </w:tc>
        <w:tc>
          <w:tcPr>
            <w:tcW w:w="659" w:type="dxa"/>
            <w:shd w:val="clear" w:color="000000" w:fill="FFFFFF"/>
            <w:noWrap/>
            <w:vAlign w:val="center"/>
          </w:tcPr>
          <w:p w14:paraId="3977C8F8" w14:textId="77777777" w:rsidR="005376E6" w:rsidRPr="005376E6" w:rsidRDefault="005376E6" w:rsidP="005376E6">
            <w:pPr>
              <w:jc w:val="right"/>
              <w:rPr>
                <w:rFonts w:ascii="Arial Narrow" w:hAnsi="Arial Narrow" w:cs="Calibri"/>
                <w:color w:val="000000"/>
                <w:sz w:val="16"/>
                <w:szCs w:val="16"/>
                <w:lang w:val="bg-BG" w:eastAsia="bg-BG"/>
              </w:rPr>
            </w:pPr>
            <w:r w:rsidRPr="005376E6">
              <w:rPr>
                <w:rFonts w:ascii="Arial Narrow" w:hAnsi="Arial Narrow" w:cs="Calibri"/>
                <w:color w:val="000000"/>
                <w:sz w:val="16"/>
                <w:szCs w:val="16"/>
                <w:lang w:val="bg-BG" w:eastAsia="bg-BG"/>
              </w:rPr>
              <w:t>747</w:t>
            </w:r>
          </w:p>
        </w:tc>
        <w:tc>
          <w:tcPr>
            <w:tcW w:w="819" w:type="dxa"/>
            <w:shd w:val="clear" w:color="000000" w:fill="FFFFFF"/>
            <w:noWrap/>
            <w:vAlign w:val="center"/>
          </w:tcPr>
          <w:p w14:paraId="4365AC75" w14:textId="77777777" w:rsidR="005376E6" w:rsidRPr="005376E6" w:rsidRDefault="005376E6" w:rsidP="005376E6">
            <w:pPr>
              <w:jc w:val="right"/>
              <w:rPr>
                <w:rFonts w:ascii="Arial Narrow" w:hAnsi="Arial Narrow" w:cs="Calibri"/>
                <w:color w:val="000000"/>
                <w:sz w:val="16"/>
                <w:szCs w:val="16"/>
                <w:lang w:val="bg-BG" w:eastAsia="bg-BG"/>
              </w:rPr>
            </w:pPr>
            <w:r w:rsidRPr="005376E6">
              <w:rPr>
                <w:rFonts w:ascii="Arial Narrow" w:hAnsi="Arial Narrow" w:cs="Calibri"/>
                <w:color w:val="000000"/>
                <w:sz w:val="16"/>
                <w:szCs w:val="16"/>
                <w:lang w:val="bg-BG" w:eastAsia="bg-BG"/>
              </w:rPr>
              <w:t>98</w:t>
            </w:r>
          </w:p>
        </w:tc>
        <w:tc>
          <w:tcPr>
            <w:tcW w:w="659" w:type="dxa"/>
            <w:shd w:val="clear" w:color="000000" w:fill="FFFFFF"/>
            <w:noWrap/>
            <w:vAlign w:val="center"/>
          </w:tcPr>
          <w:p w14:paraId="2E95E098" w14:textId="77777777" w:rsidR="005376E6" w:rsidRPr="005376E6" w:rsidRDefault="005376E6" w:rsidP="005376E6">
            <w:pPr>
              <w:jc w:val="right"/>
              <w:rPr>
                <w:rFonts w:ascii="Arial Narrow" w:hAnsi="Arial Narrow" w:cs="Calibri"/>
                <w:color w:val="000000"/>
                <w:sz w:val="16"/>
                <w:szCs w:val="16"/>
                <w:lang w:val="bg-BG" w:eastAsia="bg-BG"/>
              </w:rPr>
            </w:pPr>
            <w:r w:rsidRPr="005376E6">
              <w:rPr>
                <w:rFonts w:ascii="Arial Narrow" w:hAnsi="Arial Narrow" w:cs="Calibri"/>
                <w:color w:val="000000"/>
                <w:sz w:val="16"/>
                <w:szCs w:val="16"/>
                <w:lang w:val="bg-BG" w:eastAsia="bg-BG"/>
              </w:rPr>
              <w:t>640</w:t>
            </w:r>
          </w:p>
        </w:tc>
        <w:tc>
          <w:tcPr>
            <w:tcW w:w="819" w:type="dxa"/>
            <w:shd w:val="clear" w:color="000000" w:fill="FFFFFF"/>
            <w:noWrap/>
            <w:vAlign w:val="center"/>
          </w:tcPr>
          <w:p w14:paraId="46D5E3C3" w14:textId="77777777" w:rsidR="005376E6" w:rsidRPr="005376E6" w:rsidRDefault="005376E6" w:rsidP="005376E6">
            <w:pPr>
              <w:jc w:val="right"/>
              <w:rPr>
                <w:rFonts w:ascii="Arial Narrow" w:hAnsi="Arial Narrow" w:cs="Calibri"/>
                <w:color w:val="000000"/>
                <w:sz w:val="16"/>
                <w:szCs w:val="16"/>
                <w:lang w:val="bg-BG" w:eastAsia="bg-BG"/>
              </w:rPr>
            </w:pPr>
            <w:r w:rsidRPr="005376E6">
              <w:rPr>
                <w:rFonts w:ascii="Arial Narrow" w:hAnsi="Arial Narrow" w:cs="Calibri"/>
                <w:color w:val="000000"/>
                <w:sz w:val="16"/>
                <w:szCs w:val="16"/>
                <w:lang w:val="bg-BG" w:eastAsia="bg-BG"/>
              </w:rPr>
              <w:t>54</w:t>
            </w:r>
          </w:p>
        </w:tc>
        <w:tc>
          <w:tcPr>
            <w:tcW w:w="659" w:type="dxa"/>
            <w:shd w:val="clear" w:color="000000" w:fill="FFFFFF"/>
            <w:noWrap/>
            <w:vAlign w:val="center"/>
          </w:tcPr>
          <w:p w14:paraId="168F80B1" w14:textId="77777777" w:rsidR="005376E6" w:rsidRPr="005376E6" w:rsidRDefault="005376E6" w:rsidP="005376E6">
            <w:pPr>
              <w:jc w:val="right"/>
              <w:rPr>
                <w:rFonts w:ascii="Arial Narrow" w:hAnsi="Arial Narrow" w:cs="Calibri"/>
                <w:color w:val="000000"/>
                <w:sz w:val="16"/>
                <w:szCs w:val="16"/>
                <w:lang w:val="bg-BG" w:eastAsia="bg-BG"/>
              </w:rPr>
            </w:pPr>
            <w:r w:rsidRPr="005376E6">
              <w:rPr>
                <w:rFonts w:ascii="Arial Narrow" w:hAnsi="Arial Narrow" w:cs="Calibri"/>
                <w:color w:val="000000"/>
                <w:sz w:val="16"/>
                <w:szCs w:val="16"/>
                <w:lang w:val="bg-BG" w:eastAsia="bg-BG"/>
              </w:rPr>
              <w:t>262</w:t>
            </w:r>
          </w:p>
        </w:tc>
        <w:tc>
          <w:tcPr>
            <w:tcW w:w="819" w:type="dxa"/>
            <w:shd w:val="clear" w:color="000000" w:fill="FFFFFF"/>
            <w:noWrap/>
            <w:vAlign w:val="center"/>
          </w:tcPr>
          <w:p w14:paraId="1A48B968" w14:textId="77777777" w:rsidR="005376E6" w:rsidRPr="005376E6" w:rsidRDefault="005376E6" w:rsidP="005376E6">
            <w:pPr>
              <w:jc w:val="right"/>
              <w:rPr>
                <w:rFonts w:ascii="Arial Narrow" w:hAnsi="Arial Narrow" w:cs="Calibri"/>
                <w:color w:val="000000"/>
                <w:sz w:val="16"/>
                <w:szCs w:val="16"/>
                <w:lang w:val="bg-BG" w:eastAsia="bg-BG"/>
              </w:rPr>
            </w:pPr>
            <w:r w:rsidRPr="005376E6">
              <w:rPr>
                <w:rFonts w:ascii="Arial Narrow" w:hAnsi="Arial Narrow" w:cs="Calibri"/>
                <w:color w:val="000000"/>
                <w:sz w:val="16"/>
                <w:szCs w:val="16"/>
                <w:lang w:val="bg-BG" w:eastAsia="bg-BG"/>
              </w:rPr>
              <w:t>66</w:t>
            </w:r>
          </w:p>
        </w:tc>
        <w:tc>
          <w:tcPr>
            <w:tcW w:w="659" w:type="dxa"/>
            <w:shd w:val="clear" w:color="000000" w:fill="FFFFFF"/>
            <w:noWrap/>
            <w:vAlign w:val="center"/>
          </w:tcPr>
          <w:p w14:paraId="72FD799C" w14:textId="77777777" w:rsidR="005376E6" w:rsidRPr="005376E6" w:rsidRDefault="005376E6" w:rsidP="005376E6">
            <w:pPr>
              <w:jc w:val="right"/>
              <w:rPr>
                <w:rFonts w:ascii="Arial Narrow" w:hAnsi="Arial Narrow" w:cs="Calibri"/>
                <w:color w:val="000000"/>
                <w:sz w:val="16"/>
                <w:szCs w:val="16"/>
                <w:lang w:val="bg-BG" w:eastAsia="bg-BG"/>
              </w:rPr>
            </w:pPr>
            <w:r w:rsidRPr="005376E6">
              <w:rPr>
                <w:rFonts w:ascii="Arial Narrow" w:hAnsi="Arial Narrow" w:cs="Calibri"/>
                <w:color w:val="000000"/>
                <w:sz w:val="16"/>
                <w:szCs w:val="16"/>
                <w:lang w:val="bg-BG" w:eastAsia="bg-BG"/>
              </w:rPr>
              <w:t>13</w:t>
            </w:r>
          </w:p>
        </w:tc>
        <w:tc>
          <w:tcPr>
            <w:tcW w:w="819" w:type="dxa"/>
            <w:shd w:val="clear" w:color="000000" w:fill="FFFFFF"/>
            <w:noWrap/>
            <w:vAlign w:val="center"/>
          </w:tcPr>
          <w:p w14:paraId="012F43AC" w14:textId="77777777" w:rsidR="005376E6" w:rsidRPr="005376E6" w:rsidRDefault="005376E6" w:rsidP="005376E6">
            <w:pPr>
              <w:jc w:val="right"/>
              <w:rPr>
                <w:rFonts w:ascii="Arial Narrow" w:hAnsi="Arial Narrow" w:cs="Calibri"/>
                <w:color w:val="000000"/>
                <w:sz w:val="16"/>
                <w:szCs w:val="16"/>
                <w:lang w:val="bg-BG" w:eastAsia="bg-BG"/>
              </w:rPr>
            </w:pPr>
            <w:r w:rsidRPr="005376E6">
              <w:rPr>
                <w:rFonts w:ascii="Arial Narrow" w:hAnsi="Arial Narrow" w:cs="Calibri"/>
                <w:color w:val="000000"/>
                <w:sz w:val="16"/>
                <w:szCs w:val="16"/>
                <w:lang w:val="bg-BG" w:eastAsia="bg-BG"/>
              </w:rPr>
              <w:t>2</w:t>
            </w:r>
          </w:p>
        </w:tc>
        <w:tc>
          <w:tcPr>
            <w:tcW w:w="655" w:type="dxa"/>
            <w:shd w:val="clear" w:color="000000" w:fill="FFFFFF"/>
            <w:vAlign w:val="center"/>
          </w:tcPr>
          <w:p w14:paraId="0D43C37A" w14:textId="77777777" w:rsidR="005376E6" w:rsidRPr="005376E6" w:rsidRDefault="005376E6" w:rsidP="005376E6">
            <w:pPr>
              <w:jc w:val="right"/>
              <w:rPr>
                <w:rFonts w:ascii="Arial Narrow" w:hAnsi="Arial Narrow" w:cs="Calibri"/>
                <w:color w:val="000000"/>
                <w:sz w:val="16"/>
                <w:szCs w:val="16"/>
                <w:lang w:val="bg-BG" w:eastAsia="bg-BG"/>
              </w:rPr>
            </w:pPr>
            <w:r w:rsidRPr="005376E6">
              <w:rPr>
                <w:rFonts w:ascii="Arial Narrow" w:hAnsi="Arial Narrow" w:cs="Calibri"/>
                <w:color w:val="000000"/>
                <w:sz w:val="16"/>
                <w:szCs w:val="16"/>
                <w:lang w:val="bg-BG" w:eastAsia="bg-BG"/>
              </w:rPr>
              <w:t>0</w:t>
            </w:r>
          </w:p>
        </w:tc>
        <w:tc>
          <w:tcPr>
            <w:tcW w:w="815" w:type="dxa"/>
            <w:shd w:val="clear" w:color="000000" w:fill="FFFFFF"/>
            <w:vAlign w:val="center"/>
          </w:tcPr>
          <w:p w14:paraId="7BAED651" w14:textId="77777777" w:rsidR="005376E6" w:rsidRPr="005376E6" w:rsidRDefault="005376E6" w:rsidP="005376E6">
            <w:pPr>
              <w:jc w:val="right"/>
              <w:rPr>
                <w:rFonts w:ascii="Arial Narrow" w:hAnsi="Arial Narrow" w:cs="Calibri"/>
                <w:color w:val="000000"/>
                <w:sz w:val="16"/>
                <w:szCs w:val="16"/>
                <w:lang w:val="bg-BG" w:eastAsia="bg-BG"/>
              </w:rPr>
            </w:pPr>
            <w:r w:rsidRPr="005376E6">
              <w:rPr>
                <w:rFonts w:ascii="Arial Narrow" w:hAnsi="Arial Narrow" w:cs="Calibri"/>
                <w:color w:val="000000"/>
                <w:sz w:val="16"/>
                <w:szCs w:val="16"/>
                <w:lang w:val="bg-BG" w:eastAsia="bg-BG"/>
              </w:rPr>
              <w:t> </w:t>
            </w:r>
          </w:p>
        </w:tc>
        <w:tc>
          <w:tcPr>
            <w:tcW w:w="639" w:type="dxa"/>
            <w:shd w:val="clear" w:color="000000" w:fill="FFFFFF"/>
            <w:noWrap/>
            <w:vAlign w:val="center"/>
          </w:tcPr>
          <w:p w14:paraId="7D60D333" w14:textId="77777777" w:rsidR="005376E6" w:rsidRPr="005376E6" w:rsidRDefault="005376E6" w:rsidP="005376E6">
            <w:pPr>
              <w:jc w:val="right"/>
              <w:rPr>
                <w:rFonts w:ascii="Arial Narrow" w:hAnsi="Arial Narrow" w:cs="Calibri"/>
                <w:color w:val="000000"/>
                <w:sz w:val="16"/>
                <w:szCs w:val="16"/>
                <w:lang w:val="bg-BG" w:eastAsia="bg-BG"/>
              </w:rPr>
            </w:pPr>
            <w:r w:rsidRPr="005376E6">
              <w:rPr>
                <w:rFonts w:ascii="Arial Narrow" w:hAnsi="Arial Narrow" w:cs="Calibri"/>
                <w:color w:val="000000"/>
                <w:sz w:val="16"/>
                <w:szCs w:val="16"/>
                <w:lang w:val="bg-BG" w:eastAsia="bg-BG"/>
              </w:rPr>
              <w:t>3</w:t>
            </w:r>
          </w:p>
        </w:tc>
        <w:tc>
          <w:tcPr>
            <w:tcW w:w="874" w:type="dxa"/>
            <w:shd w:val="clear" w:color="000000" w:fill="FFFFFF"/>
            <w:noWrap/>
            <w:vAlign w:val="center"/>
          </w:tcPr>
          <w:p w14:paraId="0693582C" w14:textId="77777777" w:rsidR="005376E6" w:rsidRPr="005376E6" w:rsidRDefault="005376E6" w:rsidP="005376E6">
            <w:pPr>
              <w:jc w:val="right"/>
              <w:rPr>
                <w:rFonts w:ascii="Arial Narrow" w:hAnsi="Arial Narrow" w:cs="Calibri"/>
                <w:color w:val="000000"/>
                <w:sz w:val="16"/>
                <w:szCs w:val="16"/>
                <w:lang w:val="bg-BG" w:eastAsia="bg-BG"/>
              </w:rPr>
            </w:pPr>
            <w:r w:rsidRPr="005376E6">
              <w:rPr>
                <w:rFonts w:ascii="Arial Narrow" w:hAnsi="Arial Narrow" w:cs="Calibri"/>
                <w:color w:val="000000"/>
                <w:sz w:val="16"/>
                <w:szCs w:val="16"/>
                <w:lang w:val="bg-BG" w:eastAsia="bg-BG"/>
              </w:rPr>
              <w:t>0</w:t>
            </w:r>
          </w:p>
        </w:tc>
      </w:tr>
      <w:tr w:rsidR="005376E6" w:rsidRPr="005376E6" w14:paraId="038E72A1" w14:textId="77777777" w:rsidTr="00305E62">
        <w:trPr>
          <w:trHeight w:val="293"/>
        </w:trPr>
        <w:tc>
          <w:tcPr>
            <w:tcW w:w="851" w:type="dxa"/>
            <w:shd w:val="clear" w:color="000000" w:fill="FFFFFF"/>
            <w:noWrap/>
            <w:vAlign w:val="center"/>
          </w:tcPr>
          <w:p w14:paraId="67949B6B" w14:textId="77777777" w:rsidR="005376E6" w:rsidRPr="005376E6" w:rsidRDefault="005376E6" w:rsidP="005376E6">
            <w:pPr>
              <w:rPr>
                <w:rFonts w:ascii="Arial Narrow" w:hAnsi="Arial Narrow" w:cs="Calibri"/>
                <w:color w:val="000000"/>
                <w:sz w:val="16"/>
                <w:szCs w:val="16"/>
                <w:lang w:val="bg-BG" w:eastAsia="bg-BG"/>
              </w:rPr>
            </w:pPr>
            <w:r w:rsidRPr="005376E6">
              <w:rPr>
                <w:rFonts w:ascii="Arial Narrow" w:hAnsi="Arial Narrow"/>
                <w:sz w:val="16"/>
                <w:szCs w:val="16"/>
                <w:lang w:val="bg-BG"/>
              </w:rPr>
              <w:t>София</w:t>
            </w:r>
          </w:p>
        </w:tc>
        <w:tc>
          <w:tcPr>
            <w:tcW w:w="659" w:type="dxa"/>
            <w:shd w:val="clear" w:color="auto" w:fill="auto"/>
            <w:noWrap/>
            <w:vAlign w:val="center"/>
          </w:tcPr>
          <w:p w14:paraId="4B1B39CD" w14:textId="77777777" w:rsidR="005376E6" w:rsidRPr="005376E6" w:rsidRDefault="005376E6" w:rsidP="005376E6">
            <w:pPr>
              <w:jc w:val="right"/>
              <w:rPr>
                <w:rFonts w:ascii="Arial Narrow" w:hAnsi="Arial Narrow" w:cs="Calibri"/>
                <w:color w:val="000000"/>
                <w:sz w:val="16"/>
                <w:szCs w:val="16"/>
                <w:lang w:val="bg-BG" w:eastAsia="bg-BG"/>
              </w:rPr>
            </w:pPr>
            <w:r w:rsidRPr="005376E6">
              <w:rPr>
                <w:rFonts w:ascii="Arial Narrow" w:hAnsi="Arial Narrow" w:cs="Calibri"/>
                <w:color w:val="000000"/>
                <w:sz w:val="16"/>
                <w:szCs w:val="16"/>
                <w:lang w:eastAsia="bg-BG"/>
              </w:rPr>
              <w:t>6 592</w:t>
            </w:r>
          </w:p>
        </w:tc>
        <w:tc>
          <w:tcPr>
            <w:tcW w:w="794" w:type="dxa"/>
            <w:shd w:val="clear" w:color="auto" w:fill="auto"/>
            <w:vAlign w:val="center"/>
          </w:tcPr>
          <w:p w14:paraId="6E8556D2" w14:textId="77777777" w:rsidR="005376E6" w:rsidRPr="005376E6" w:rsidRDefault="005376E6" w:rsidP="005376E6">
            <w:pPr>
              <w:jc w:val="right"/>
              <w:rPr>
                <w:rFonts w:ascii="Arial Narrow" w:hAnsi="Arial Narrow" w:cs="Calibri"/>
                <w:color w:val="000000"/>
                <w:sz w:val="16"/>
                <w:szCs w:val="16"/>
                <w:lang w:val="bg-BG" w:eastAsia="bg-BG"/>
              </w:rPr>
            </w:pPr>
            <w:r w:rsidRPr="005376E6">
              <w:rPr>
                <w:rFonts w:ascii="Arial Narrow" w:hAnsi="Arial Narrow" w:cs="Calibri"/>
                <w:color w:val="000000"/>
                <w:sz w:val="16"/>
                <w:szCs w:val="16"/>
                <w:lang w:eastAsia="bg-BG"/>
              </w:rPr>
              <w:t>994</w:t>
            </w:r>
          </w:p>
        </w:tc>
        <w:tc>
          <w:tcPr>
            <w:tcW w:w="659" w:type="dxa"/>
            <w:shd w:val="clear" w:color="000000" w:fill="FFFFFF"/>
            <w:noWrap/>
            <w:vAlign w:val="center"/>
          </w:tcPr>
          <w:p w14:paraId="0C609EF8" w14:textId="77777777" w:rsidR="005376E6" w:rsidRPr="005376E6" w:rsidRDefault="005376E6" w:rsidP="005376E6">
            <w:pPr>
              <w:jc w:val="right"/>
              <w:rPr>
                <w:rFonts w:ascii="Arial Narrow" w:hAnsi="Arial Narrow" w:cs="Calibri"/>
                <w:color w:val="000000"/>
                <w:sz w:val="16"/>
                <w:szCs w:val="16"/>
                <w:lang w:val="bg-BG" w:eastAsia="bg-BG"/>
              </w:rPr>
            </w:pPr>
            <w:r w:rsidRPr="005376E6">
              <w:rPr>
                <w:rFonts w:ascii="Arial Narrow" w:hAnsi="Arial Narrow" w:cs="Calibri"/>
                <w:color w:val="000000"/>
                <w:sz w:val="16"/>
                <w:szCs w:val="16"/>
                <w:lang w:eastAsia="bg-BG"/>
              </w:rPr>
              <w:t>50</w:t>
            </w:r>
          </w:p>
        </w:tc>
        <w:tc>
          <w:tcPr>
            <w:tcW w:w="819" w:type="dxa"/>
            <w:shd w:val="clear" w:color="000000" w:fill="FFFFFF"/>
            <w:noWrap/>
            <w:vAlign w:val="center"/>
          </w:tcPr>
          <w:p w14:paraId="71BF3A20" w14:textId="77777777" w:rsidR="005376E6" w:rsidRPr="005376E6" w:rsidRDefault="005376E6" w:rsidP="005376E6">
            <w:pPr>
              <w:jc w:val="right"/>
              <w:rPr>
                <w:rFonts w:ascii="Arial Narrow" w:hAnsi="Arial Narrow" w:cs="Calibri"/>
                <w:color w:val="000000"/>
                <w:sz w:val="16"/>
                <w:szCs w:val="16"/>
                <w:lang w:val="bg-BG" w:eastAsia="bg-BG"/>
              </w:rPr>
            </w:pPr>
            <w:r w:rsidRPr="005376E6">
              <w:rPr>
                <w:rFonts w:ascii="Arial Narrow" w:hAnsi="Arial Narrow" w:cs="Calibri"/>
                <w:color w:val="000000"/>
                <w:sz w:val="16"/>
                <w:szCs w:val="16"/>
                <w:lang w:eastAsia="bg-BG"/>
              </w:rPr>
              <w:t>4</w:t>
            </w:r>
          </w:p>
        </w:tc>
        <w:tc>
          <w:tcPr>
            <w:tcW w:w="659" w:type="dxa"/>
            <w:shd w:val="clear" w:color="000000" w:fill="FFFFFF"/>
            <w:noWrap/>
            <w:vAlign w:val="center"/>
          </w:tcPr>
          <w:p w14:paraId="5025DA01" w14:textId="77777777" w:rsidR="005376E6" w:rsidRPr="005376E6" w:rsidRDefault="005376E6" w:rsidP="005376E6">
            <w:pPr>
              <w:jc w:val="right"/>
              <w:rPr>
                <w:rFonts w:ascii="Arial Narrow" w:hAnsi="Arial Narrow" w:cs="Calibri"/>
                <w:color w:val="000000"/>
                <w:sz w:val="16"/>
                <w:szCs w:val="16"/>
                <w:lang w:val="bg-BG" w:eastAsia="bg-BG"/>
              </w:rPr>
            </w:pPr>
            <w:r w:rsidRPr="005376E6">
              <w:rPr>
                <w:rFonts w:ascii="Arial Narrow" w:hAnsi="Arial Narrow" w:cs="Calibri"/>
                <w:color w:val="000000"/>
                <w:sz w:val="16"/>
                <w:szCs w:val="16"/>
                <w:lang w:val="bg-BG" w:eastAsia="bg-BG"/>
              </w:rPr>
              <w:t>0</w:t>
            </w:r>
          </w:p>
        </w:tc>
        <w:tc>
          <w:tcPr>
            <w:tcW w:w="819" w:type="dxa"/>
            <w:shd w:val="clear" w:color="000000" w:fill="FFFFFF"/>
            <w:noWrap/>
            <w:vAlign w:val="center"/>
          </w:tcPr>
          <w:p w14:paraId="57294648" w14:textId="77777777" w:rsidR="005376E6" w:rsidRPr="005376E6" w:rsidRDefault="005376E6" w:rsidP="005376E6">
            <w:pPr>
              <w:jc w:val="right"/>
              <w:rPr>
                <w:rFonts w:ascii="Arial Narrow" w:hAnsi="Arial Narrow" w:cs="Calibri"/>
                <w:color w:val="000000"/>
                <w:sz w:val="16"/>
                <w:szCs w:val="16"/>
                <w:lang w:val="bg-BG" w:eastAsia="bg-BG"/>
              </w:rPr>
            </w:pPr>
            <w:r w:rsidRPr="005376E6">
              <w:rPr>
                <w:rFonts w:ascii="Arial Narrow" w:hAnsi="Arial Narrow" w:cs="Calibri"/>
                <w:color w:val="000000"/>
                <w:sz w:val="16"/>
                <w:szCs w:val="16"/>
                <w:lang w:val="bg-BG" w:eastAsia="bg-BG"/>
              </w:rPr>
              <w:t>0</w:t>
            </w:r>
          </w:p>
        </w:tc>
        <w:tc>
          <w:tcPr>
            <w:tcW w:w="659" w:type="dxa"/>
            <w:shd w:val="clear" w:color="000000" w:fill="FFFFFF"/>
            <w:noWrap/>
            <w:vAlign w:val="center"/>
          </w:tcPr>
          <w:p w14:paraId="657A23E7" w14:textId="77777777" w:rsidR="005376E6" w:rsidRPr="005376E6" w:rsidRDefault="005376E6" w:rsidP="005376E6">
            <w:pPr>
              <w:jc w:val="right"/>
              <w:rPr>
                <w:rFonts w:ascii="Arial Narrow" w:hAnsi="Arial Narrow" w:cs="Calibri"/>
                <w:color w:val="000000"/>
                <w:sz w:val="16"/>
                <w:szCs w:val="16"/>
                <w:lang w:val="bg-BG" w:eastAsia="bg-BG"/>
              </w:rPr>
            </w:pPr>
            <w:r w:rsidRPr="005376E6">
              <w:rPr>
                <w:rFonts w:ascii="Arial Narrow" w:hAnsi="Arial Narrow" w:cs="Calibri"/>
                <w:color w:val="000000"/>
                <w:sz w:val="16"/>
                <w:szCs w:val="16"/>
                <w:lang w:eastAsia="bg-BG"/>
              </w:rPr>
              <w:t>6 457</w:t>
            </w:r>
          </w:p>
        </w:tc>
        <w:tc>
          <w:tcPr>
            <w:tcW w:w="819" w:type="dxa"/>
            <w:shd w:val="clear" w:color="000000" w:fill="FFFFFF"/>
            <w:noWrap/>
            <w:vAlign w:val="center"/>
          </w:tcPr>
          <w:p w14:paraId="19C03667" w14:textId="77777777" w:rsidR="005376E6" w:rsidRPr="005376E6" w:rsidRDefault="005376E6" w:rsidP="005376E6">
            <w:pPr>
              <w:jc w:val="right"/>
              <w:rPr>
                <w:rFonts w:ascii="Arial Narrow" w:hAnsi="Arial Narrow" w:cs="Calibri"/>
                <w:color w:val="000000"/>
                <w:sz w:val="16"/>
                <w:szCs w:val="16"/>
                <w:lang w:val="bg-BG" w:eastAsia="bg-BG"/>
              </w:rPr>
            </w:pPr>
            <w:r w:rsidRPr="005376E6">
              <w:rPr>
                <w:rFonts w:ascii="Arial Narrow" w:hAnsi="Arial Narrow" w:cs="Calibri"/>
                <w:color w:val="000000"/>
                <w:sz w:val="16"/>
                <w:szCs w:val="16"/>
                <w:lang w:eastAsia="bg-BG"/>
              </w:rPr>
              <w:t>966</w:t>
            </w:r>
          </w:p>
        </w:tc>
        <w:tc>
          <w:tcPr>
            <w:tcW w:w="659" w:type="dxa"/>
            <w:shd w:val="clear" w:color="000000" w:fill="FFFFFF"/>
            <w:noWrap/>
            <w:vAlign w:val="center"/>
          </w:tcPr>
          <w:p w14:paraId="7DF3CCF4" w14:textId="77777777" w:rsidR="005376E6" w:rsidRPr="005376E6" w:rsidRDefault="005376E6" w:rsidP="005376E6">
            <w:pPr>
              <w:jc w:val="right"/>
              <w:rPr>
                <w:rFonts w:ascii="Arial Narrow" w:hAnsi="Arial Narrow" w:cs="Calibri"/>
                <w:color w:val="000000"/>
                <w:sz w:val="16"/>
                <w:szCs w:val="16"/>
                <w:lang w:val="bg-BG" w:eastAsia="bg-BG"/>
              </w:rPr>
            </w:pPr>
            <w:r w:rsidRPr="005376E6">
              <w:rPr>
                <w:rFonts w:ascii="Arial Narrow" w:hAnsi="Arial Narrow" w:cs="Calibri"/>
                <w:color w:val="000000"/>
                <w:sz w:val="16"/>
                <w:szCs w:val="16"/>
                <w:lang w:eastAsia="bg-BG"/>
              </w:rPr>
              <w:t>0</w:t>
            </w:r>
          </w:p>
        </w:tc>
        <w:tc>
          <w:tcPr>
            <w:tcW w:w="819" w:type="dxa"/>
            <w:shd w:val="clear" w:color="000000" w:fill="FFFFFF"/>
            <w:noWrap/>
            <w:vAlign w:val="center"/>
          </w:tcPr>
          <w:p w14:paraId="0D0AAE0C" w14:textId="77777777" w:rsidR="005376E6" w:rsidRPr="005376E6" w:rsidRDefault="005376E6" w:rsidP="005376E6">
            <w:pPr>
              <w:jc w:val="right"/>
              <w:rPr>
                <w:rFonts w:ascii="Arial Narrow" w:hAnsi="Arial Narrow" w:cs="Calibri"/>
                <w:color w:val="000000"/>
                <w:sz w:val="16"/>
                <w:szCs w:val="16"/>
                <w:lang w:val="bg-BG" w:eastAsia="bg-BG"/>
              </w:rPr>
            </w:pPr>
            <w:r w:rsidRPr="005376E6">
              <w:rPr>
                <w:rFonts w:ascii="Arial Narrow" w:hAnsi="Arial Narrow" w:cs="Calibri"/>
                <w:color w:val="000000"/>
                <w:sz w:val="16"/>
                <w:szCs w:val="16"/>
                <w:lang w:eastAsia="bg-BG"/>
              </w:rPr>
              <w:t>0</w:t>
            </w:r>
          </w:p>
        </w:tc>
        <w:tc>
          <w:tcPr>
            <w:tcW w:w="655" w:type="dxa"/>
            <w:shd w:val="clear" w:color="000000" w:fill="FFFFFF"/>
            <w:vAlign w:val="center"/>
          </w:tcPr>
          <w:p w14:paraId="6DC3AA25" w14:textId="77777777" w:rsidR="005376E6" w:rsidRPr="005376E6" w:rsidRDefault="005376E6" w:rsidP="005376E6">
            <w:pPr>
              <w:jc w:val="right"/>
              <w:rPr>
                <w:rFonts w:ascii="Arial Narrow" w:hAnsi="Arial Narrow" w:cs="Calibri"/>
                <w:color w:val="000000"/>
                <w:sz w:val="16"/>
                <w:szCs w:val="16"/>
                <w:lang w:val="bg-BG" w:eastAsia="bg-BG"/>
              </w:rPr>
            </w:pPr>
            <w:r w:rsidRPr="005376E6">
              <w:rPr>
                <w:rFonts w:ascii="Arial Narrow" w:hAnsi="Arial Narrow" w:cs="Calibri"/>
                <w:color w:val="000000"/>
                <w:sz w:val="16"/>
                <w:szCs w:val="16"/>
                <w:lang w:val="bg-BG" w:eastAsia="bg-BG"/>
              </w:rPr>
              <w:t>0</w:t>
            </w:r>
          </w:p>
        </w:tc>
        <w:tc>
          <w:tcPr>
            <w:tcW w:w="815" w:type="dxa"/>
            <w:shd w:val="clear" w:color="000000" w:fill="FFFFFF"/>
            <w:vAlign w:val="center"/>
          </w:tcPr>
          <w:p w14:paraId="06633898" w14:textId="77777777" w:rsidR="005376E6" w:rsidRPr="005376E6" w:rsidRDefault="005376E6" w:rsidP="005376E6">
            <w:pPr>
              <w:jc w:val="right"/>
              <w:rPr>
                <w:rFonts w:ascii="Arial Narrow" w:hAnsi="Arial Narrow" w:cs="Calibri"/>
                <w:color w:val="000000"/>
                <w:sz w:val="16"/>
                <w:szCs w:val="16"/>
                <w:lang w:val="bg-BG" w:eastAsia="bg-BG"/>
              </w:rPr>
            </w:pPr>
            <w:r w:rsidRPr="005376E6">
              <w:rPr>
                <w:rFonts w:ascii="Arial Narrow" w:hAnsi="Arial Narrow" w:cs="Calibri"/>
                <w:color w:val="000000"/>
                <w:sz w:val="16"/>
                <w:szCs w:val="16"/>
                <w:lang w:val="bg-BG" w:eastAsia="bg-BG"/>
              </w:rPr>
              <w:t> </w:t>
            </w:r>
          </w:p>
        </w:tc>
        <w:tc>
          <w:tcPr>
            <w:tcW w:w="639" w:type="dxa"/>
            <w:shd w:val="clear" w:color="000000" w:fill="FFFFFF"/>
            <w:noWrap/>
            <w:vAlign w:val="center"/>
          </w:tcPr>
          <w:p w14:paraId="277EC91B" w14:textId="77777777" w:rsidR="005376E6" w:rsidRPr="005376E6" w:rsidRDefault="005376E6" w:rsidP="005376E6">
            <w:pPr>
              <w:jc w:val="right"/>
              <w:rPr>
                <w:rFonts w:ascii="Arial Narrow" w:hAnsi="Arial Narrow" w:cs="Calibri"/>
                <w:color w:val="000000"/>
                <w:sz w:val="16"/>
                <w:szCs w:val="16"/>
                <w:lang w:val="bg-BG" w:eastAsia="bg-BG"/>
              </w:rPr>
            </w:pPr>
            <w:r w:rsidRPr="005376E6">
              <w:rPr>
                <w:rFonts w:ascii="Arial Narrow" w:hAnsi="Arial Narrow" w:cs="Calibri"/>
                <w:color w:val="000000"/>
                <w:sz w:val="16"/>
                <w:szCs w:val="16"/>
                <w:lang w:eastAsia="bg-BG"/>
              </w:rPr>
              <w:t>85</w:t>
            </w:r>
          </w:p>
        </w:tc>
        <w:tc>
          <w:tcPr>
            <w:tcW w:w="874" w:type="dxa"/>
            <w:shd w:val="clear" w:color="000000" w:fill="FFFFFF"/>
            <w:noWrap/>
            <w:vAlign w:val="center"/>
          </w:tcPr>
          <w:p w14:paraId="45F5D8E4" w14:textId="77777777" w:rsidR="005376E6" w:rsidRPr="005376E6" w:rsidRDefault="005376E6" w:rsidP="005376E6">
            <w:pPr>
              <w:jc w:val="right"/>
              <w:rPr>
                <w:rFonts w:ascii="Arial Narrow" w:hAnsi="Arial Narrow" w:cs="Calibri"/>
                <w:color w:val="000000"/>
                <w:sz w:val="16"/>
                <w:szCs w:val="16"/>
                <w:lang w:val="bg-BG" w:eastAsia="bg-BG"/>
              </w:rPr>
            </w:pPr>
            <w:r w:rsidRPr="005376E6">
              <w:rPr>
                <w:rFonts w:ascii="Arial Narrow" w:hAnsi="Arial Narrow" w:cs="Calibri"/>
                <w:color w:val="000000"/>
                <w:sz w:val="16"/>
                <w:szCs w:val="16"/>
                <w:lang w:eastAsia="bg-BG"/>
              </w:rPr>
              <w:t>24</w:t>
            </w:r>
          </w:p>
        </w:tc>
      </w:tr>
      <w:tr w:rsidR="005376E6" w:rsidRPr="005376E6" w14:paraId="0A94B064" w14:textId="77777777" w:rsidTr="00305E62">
        <w:trPr>
          <w:trHeight w:val="498"/>
        </w:trPr>
        <w:tc>
          <w:tcPr>
            <w:tcW w:w="851" w:type="dxa"/>
            <w:shd w:val="clear" w:color="000000" w:fill="FFFFFF"/>
            <w:vAlign w:val="center"/>
          </w:tcPr>
          <w:p w14:paraId="0AD04F20" w14:textId="77777777" w:rsidR="005376E6" w:rsidRPr="005376E6" w:rsidRDefault="005376E6" w:rsidP="005376E6">
            <w:pPr>
              <w:rPr>
                <w:rFonts w:ascii="Arial Narrow" w:hAnsi="Arial Narrow" w:cs="Calibri"/>
                <w:color w:val="000000"/>
                <w:sz w:val="16"/>
                <w:szCs w:val="16"/>
                <w:lang w:val="bg-BG" w:eastAsia="bg-BG"/>
              </w:rPr>
            </w:pPr>
            <w:r w:rsidRPr="005376E6">
              <w:rPr>
                <w:rFonts w:ascii="Arial Narrow" w:hAnsi="Arial Narrow"/>
                <w:sz w:val="16"/>
                <w:szCs w:val="16"/>
                <w:lang w:val="bg-BG"/>
              </w:rPr>
              <w:t xml:space="preserve">Среден Дунав </w:t>
            </w:r>
          </w:p>
        </w:tc>
        <w:tc>
          <w:tcPr>
            <w:tcW w:w="659" w:type="dxa"/>
            <w:shd w:val="clear" w:color="auto" w:fill="auto"/>
            <w:noWrap/>
            <w:vAlign w:val="center"/>
          </w:tcPr>
          <w:p w14:paraId="747840C9" w14:textId="77777777" w:rsidR="005376E6" w:rsidRPr="005376E6" w:rsidRDefault="005376E6" w:rsidP="005376E6">
            <w:pPr>
              <w:jc w:val="right"/>
              <w:rPr>
                <w:rFonts w:ascii="Arial Narrow" w:hAnsi="Arial Narrow" w:cs="Calibri"/>
                <w:color w:val="000000"/>
                <w:sz w:val="16"/>
                <w:szCs w:val="16"/>
                <w:lang w:val="bg-BG" w:eastAsia="bg-BG"/>
              </w:rPr>
            </w:pPr>
            <w:r w:rsidRPr="005376E6">
              <w:rPr>
                <w:rFonts w:ascii="Arial Narrow" w:hAnsi="Arial Narrow" w:cs="Calibri"/>
                <w:color w:val="000000"/>
                <w:sz w:val="16"/>
                <w:szCs w:val="16"/>
                <w:lang w:eastAsia="bg-BG"/>
              </w:rPr>
              <w:t>26 601</w:t>
            </w:r>
          </w:p>
        </w:tc>
        <w:tc>
          <w:tcPr>
            <w:tcW w:w="794" w:type="dxa"/>
            <w:shd w:val="clear" w:color="auto" w:fill="auto"/>
            <w:vAlign w:val="center"/>
          </w:tcPr>
          <w:p w14:paraId="445A47C5" w14:textId="77777777" w:rsidR="005376E6" w:rsidRPr="005376E6" w:rsidRDefault="005376E6" w:rsidP="005376E6">
            <w:pPr>
              <w:jc w:val="right"/>
              <w:rPr>
                <w:rFonts w:ascii="Arial Narrow" w:hAnsi="Arial Narrow" w:cs="Calibri"/>
                <w:color w:val="000000"/>
                <w:sz w:val="16"/>
                <w:szCs w:val="16"/>
                <w:lang w:val="bg-BG" w:eastAsia="bg-BG"/>
              </w:rPr>
            </w:pPr>
            <w:r w:rsidRPr="005376E6">
              <w:rPr>
                <w:rFonts w:ascii="Arial Narrow" w:hAnsi="Arial Narrow" w:cs="Calibri"/>
                <w:color w:val="000000"/>
                <w:sz w:val="16"/>
                <w:szCs w:val="16"/>
                <w:lang w:eastAsia="bg-BG"/>
              </w:rPr>
              <w:t>3 533</w:t>
            </w:r>
          </w:p>
        </w:tc>
        <w:tc>
          <w:tcPr>
            <w:tcW w:w="659" w:type="dxa"/>
            <w:shd w:val="clear" w:color="000000" w:fill="FFFFFF"/>
            <w:noWrap/>
            <w:vAlign w:val="center"/>
          </w:tcPr>
          <w:p w14:paraId="56802802" w14:textId="77777777" w:rsidR="005376E6" w:rsidRPr="005376E6" w:rsidRDefault="005376E6" w:rsidP="005376E6">
            <w:pPr>
              <w:jc w:val="right"/>
              <w:rPr>
                <w:rFonts w:ascii="Arial Narrow" w:hAnsi="Arial Narrow" w:cs="Calibri"/>
                <w:color w:val="000000"/>
                <w:sz w:val="16"/>
                <w:szCs w:val="16"/>
                <w:lang w:val="bg-BG" w:eastAsia="bg-BG"/>
              </w:rPr>
            </w:pPr>
            <w:r w:rsidRPr="005376E6">
              <w:rPr>
                <w:rFonts w:ascii="Arial Narrow" w:hAnsi="Arial Narrow" w:cs="Calibri"/>
                <w:color w:val="000000"/>
                <w:sz w:val="16"/>
                <w:szCs w:val="16"/>
                <w:lang w:eastAsia="bg-BG"/>
              </w:rPr>
              <w:t>13 633</w:t>
            </w:r>
          </w:p>
        </w:tc>
        <w:tc>
          <w:tcPr>
            <w:tcW w:w="819" w:type="dxa"/>
            <w:shd w:val="clear" w:color="000000" w:fill="FFFFFF"/>
            <w:noWrap/>
            <w:vAlign w:val="center"/>
          </w:tcPr>
          <w:p w14:paraId="0D8BAD98" w14:textId="77777777" w:rsidR="005376E6" w:rsidRPr="005376E6" w:rsidRDefault="005376E6" w:rsidP="005376E6">
            <w:pPr>
              <w:jc w:val="right"/>
              <w:rPr>
                <w:rFonts w:ascii="Arial Narrow" w:hAnsi="Arial Narrow" w:cs="Calibri"/>
                <w:color w:val="000000"/>
                <w:sz w:val="16"/>
                <w:szCs w:val="16"/>
                <w:lang w:val="bg-BG" w:eastAsia="bg-BG"/>
              </w:rPr>
            </w:pPr>
            <w:r w:rsidRPr="005376E6">
              <w:rPr>
                <w:rFonts w:ascii="Arial Narrow" w:hAnsi="Arial Narrow" w:cs="Calibri"/>
                <w:color w:val="000000"/>
                <w:sz w:val="16"/>
                <w:szCs w:val="16"/>
                <w:lang w:eastAsia="bg-BG"/>
              </w:rPr>
              <w:t>1 207</w:t>
            </w:r>
          </w:p>
        </w:tc>
        <w:tc>
          <w:tcPr>
            <w:tcW w:w="659" w:type="dxa"/>
            <w:shd w:val="clear" w:color="000000" w:fill="FFFFFF"/>
            <w:noWrap/>
            <w:vAlign w:val="center"/>
          </w:tcPr>
          <w:p w14:paraId="428F6407" w14:textId="77777777" w:rsidR="005376E6" w:rsidRPr="005376E6" w:rsidRDefault="005376E6" w:rsidP="005376E6">
            <w:pPr>
              <w:jc w:val="right"/>
              <w:rPr>
                <w:rFonts w:ascii="Arial Narrow" w:hAnsi="Arial Narrow" w:cs="Calibri"/>
                <w:color w:val="000000"/>
                <w:sz w:val="16"/>
                <w:szCs w:val="16"/>
                <w:lang w:val="bg-BG" w:eastAsia="bg-BG"/>
              </w:rPr>
            </w:pPr>
            <w:r w:rsidRPr="005376E6">
              <w:rPr>
                <w:rFonts w:ascii="Arial Narrow" w:hAnsi="Arial Narrow" w:cs="Calibri"/>
                <w:color w:val="000000"/>
                <w:sz w:val="16"/>
                <w:szCs w:val="16"/>
                <w:lang w:eastAsia="bg-BG"/>
              </w:rPr>
              <w:t>333</w:t>
            </w:r>
          </w:p>
        </w:tc>
        <w:tc>
          <w:tcPr>
            <w:tcW w:w="819" w:type="dxa"/>
            <w:shd w:val="clear" w:color="000000" w:fill="FFFFFF"/>
            <w:noWrap/>
            <w:vAlign w:val="center"/>
          </w:tcPr>
          <w:p w14:paraId="11FD4925" w14:textId="77777777" w:rsidR="005376E6" w:rsidRPr="005376E6" w:rsidRDefault="005376E6" w:rsidP="005376E6">
            <w:pPr>
              <w:jc w:val="right"/>
              <w:rPr>
                <w:rFonts w:ascii="Arial Narrow" w:hAnsi="Arial Narrow" w:cs="Calibri"/>
                <w:color w:val="000000"/>
                <w:sz w:val="16"/>
                <w:szCs w:val="16"/>
                <w:lang w:val="bg-BG" w:eastAsia="bg-BG"/>
              </w:rPr>
            </w:pPr>
            <w:r w:rsidRPr="005376E6">
              <w:rPr>
                <w:rFonts w:ascii="Arial Narrow" w:hAnsi="Arial Narrow" w:cs="Calibri"/>
                <w:color w:val="000000"/>
                <w:sz w:val="16"/>
                <w:szCs w:val="16"/>
                <w:lang w:eastAsia="bg-BG"/>
              </w:rPr>
              <w:t>87</w:t>
            </w:r>
          </w:p>
        </w:tc>
        <w:tc>
          <w:tcPr>
            <w:tcW w:w="659" w:type="dxa"/>
            <w:shd w:val="clear" w:color="000000" w:fill="FFFFFF"/>
            <w:noWrap/>
            <w:vAlign w:val="center"/>
          </w:tcPr>
          <w:p w14:paraId="3CEBD9CC" w14:textId="77777777" w:rsidR="005376E6" w:rsidRPr="005376E6" w:rsidRDefault="005376E6" w:rsidP="005376E6">
            <w:pPr>
              <w:jc w:val="right"/>
              <w:rPr>
                <w:rFonts w:ascii="Arial Narrow" w:hAnsi="Arial Narrow" w:cs="Calibri"/>
                <w:color w:val="000000"/>
                <w:sz w:val="16"/>
                <w:szCs w:val="16"/>
                <w:lang w:val="bg-BG" w:eastAsia="bg-BG"/>
              </w:rPr>
            </w:pPr>
            <w:r w:rsidRPr="005376E6">
              <w:rPr>
                <w:rFonts w:ascii="Arial Narrow" w:hAnsi="Arial Narrow" w:cs="Calibri"/>
                <w:color w:val="000000"/>
                <w:sz w:val="16"/>
                <w:szCs w:val="16"/>
                <w:lang w:eastAsia="bg-BG"/>
              </w:rPr>
              <w:t>6 499</w:t>
            </w:r>
          </w:p>
        </w:tc>
        <w:tc>
          <w:tcPr>
            <w:tcW w:w="819" w:type="dxa"/>
            <w:shd w:val="clear" w:color="000000" w:fill="FFFFFF"/>
            <w:noWrap/>
            <w:vAlign w:val="center"/>
          </w:tcPr>
          <w:p w14:paraId="3F0F3A48" w14:textId="77777777" w:rsidR="005376E6" w:rsidRPr="005376E6" w:rsidRDefault="005376E6" w:rsidP="005376E6">
            <w:pPr>
              <w:jc w:val="right"/>
              <w:rPr>
                <w:rFonts w:ascii="Arial Narrow" w:hAnsi="Arial Narrow" w:cs="Calibri"/>
                <w:color w:val="000000"/>
                <w:sz w:val="16"/>
                <w:szCs w:val="16"/>
                <w:lang w:val="bg-BG" w:eastAsia="bg-BG"/>
              </w:rPr>
            </w:pPr>
            <w:r w:rsidRPr="005376E6">
              <w:rPr>
                <w:rFonts w:ascii="Arial Narrow" w:hAnsi="Arial Narrow" w:cs="Calibri"/>
                <w:color w:val="000000"/>
                <w:sz w:val="16"/>
                <w:szCs w:val="16"/>
                <w:lang w:val="bg-BG" w:eastAsia="bg-BG"/>
              </w:rPr>
              <w:t xml:space="preserve">1 </w:t>
            </w:r>
            <w:r w:rsidRPr="005376E6">
              <w:rPr>
                <w:rFonts w:ascii="Arial Narrow" w:hAnsi="Arial Narrow" w:cs="Calibri"/>
                <w:color w:val="000000"/>
                <w:sz w:val="16"/>
                <w:szCs w:val="16"/>
                <w:lang w:eastAsia="bg-BG"/>
              </w:rPr>
              <w:t>563</w:t>
            </w:r>
          </w:p>
        </w:tc>
        <w:tc>
          <w:tcPr>
            <w:tcW w:w="659" w:type="dxa"/>
            <w:shd w:val="clear" w:color="000000" w:fill="FFFFFF"/>
            <w:noWrap/>
            <w:vAlign w:val="center"/>
          </w:tcPr>
          <w:p w14:paraId="463BA776" w14:textId="77777777" w:rsidR="005376E6" w:rsidRPr="005376E6" w:rsidRDefault="005376E6" w:rsidP="005376E6">
            <w:pPr>
              <w:jc w:val="right"/>
              <w:rPr>
                <w:rFonts w:ascii="Arial Narrow" w:hAnsi="Arial Narrow" w:cs="Calibri"/>
                <w:color w:val="000000"/>
                <w:sz w:val="16"/>
                <w:szCs w:val="16"/>
                <w:lang w:val="bg-BG" w:eastAsia="bg-BG"/>
              </w:rPr>
            </w:pPr>
            <w:r w:rsidRPr="005376E6">
              <w:rPr>
                <w:rFonts w:ascii="Arial Narrow" w:hAnsi="Arial Narrow" w:cs="Calibri"/>
                <w:color w:val="000000"/>
                <w:sz w:val="16"/>
                <w:szCs w:val="16"/>
                <w:lang w:eastAsia="bg-BG"/>
              </w:rPr>
              <w:t>920</w:t>
            </w:r>
          </w:p>
        </w:tc>
        <w:tc>
          <w:tcPr>
            <w:tcW w:w="819" w:type="dxa"/>
            <w:shd w:val="clear" w:color="000000" w:fill="FFFFFF"/>
            <w:noWrap/>
            <w:vAlign w:val="center"/>
          </w:tcPr>
          <w:p w14:paraId="79942265" w14:textId="77777777" w:rsidR="005376E6" w:rsidRPr="005376E6" w:rsidRDefault="005376E6" w:rsidP="005376E6">
            <w:pPr>
              <w:jc w:val="right"/>
              <w:rPr>
                <w:rFonts w:ascii="Arial Narrow" w:hAnsi="Arial Narrow" w:cs="Calibri"/>
                <w:color w:val="000000"/>
                <w:sz w:val="16"/>
                <w:szCs w:val="16"/>
                <w:lang w:val="bg-BG" w:eastAsia="bg-BG"/>
              </w:rPr>
            </w:pPr>
            <w:r w:rsidRPr="005376E6">
              <w:rPr>
                <w:rFonts w:ascii="Arial Narrow" w:hAnsi="Arial Narrow" w:cs="Calibri"/>
                <w:color w:val="000000"/>
                <w:sz w:val="16"/>
                <w:szCs w:val="16"/>
                <w:lang w:eastAsia="bg-BG"/>
              </w:rPr>
              <w:t>22</w:t>
            </w:r>
          </w:p>
        </w:tc>
        <w:tc>
          <w:tcPr>
            <w:tcW w:w="655" w:type="dxa"/>
            <w:shd w:val="clear" w:color="000000" w:fill="FFFFFF"/>
            <w:vAlign w:val="center"/>
          </w:tcPr>
          <w:p w14:paraId="42F8764D" w14:textId="77777777" w:rsidR="005376E6" w:rsidRPr="005376E6" w:rsidRDefault="005376E6" w:rsidP="005376E6">
            <w:pPr>
              <w:jc w:val="right"/>
              <w:rPr>
                <w:rFonts w:ascii="Arial Narrow" w:hAnsi="Arial Narrow" w:cs="Calibri"/>
                <w:color w:val="000000"/>
                <w:sz w:val="16"/>
                <w:szCs w:val="16"/>
                <w:lang w:val="bg-BG" w:eastAsia="bg-BG"/>
              </w:rPr>
            </w:pPr>
            <w:r w:rsidRPr="005376E6">
              <w:rPr>
                <w:rFonts w:ascii="Arial Narrow" w:hAnsi="Arial Narrow" w:cs="Calibri"/>
                <w:color w:val="000000"/>
                <w:sz w:val="16"/>
                <w:szCs w:val="16"/>
                <w:lang w:val="bg-BG" w:eastAsia="bg-BG"/>
              </w:rPr>
              <w:t>0</w:t>
            </w:r>
          </w:p>
        </w:tc>
        <w:tc>
          <w:tcPr>
            <w:tcW w:w="815" w:type="dxa"/>
            <w:shd w:val="clear" w:color="000000" w:fill="FFFFFF"/>
            <w:vAlign w:val="center"/>
          </w:tcPr>
          <w:p w14:paraId="50DF3A51" w14:textId="77777777" w:rsidR="005376E6" w:rsidRPr="005376E6" w:rsidRDefault="005376E6" w:rsidP="005376E6">
            <w:pPr>
              <w:jc w:val="right"/>
              <w:rPr>
                <w:rFonts w:ascii="Arial Narrow" w:hAnsi="Arial Narrow" w:cs="Calibri"/>
                <w:color w:val="000000"/>
                <w:sz w:val="16"/>
                <w:szCs w:val="16"/>
                <w:lang w:val="bg-BG" w:eastAsia="bg-BG"/>
              </w:rPr>
            </w:pPr>
            <w:r w:rsidRPr="005376E6">
              <w:rPr>
                <w:rFonts w:ascii="Arial Narrow" w:hAnsi="Arial Narrow" w:cs="Calibri"/>
                <w:color w:val="000000"/>
                <w:sz w:val="16"/>
                <w:szCs w:val="16"/>
                <w:lang w:val="bg-BG" w:eastAsia="bg-BG"/>
              </w:rPr>
              <w:t> </w:t>
            </w:r>
          </w:p>
        </w:tc>
        <w:tc>
          <w:tcPr>
            <w:tcW w:w="639" w:type="dxa"/>
            <w:shd w:val="clear" w:color="000000" w:fill="FFFFFF"/>
            <w:noWrap/>
            <w:vAlign w:val="center"/>
          </w:tcPr>
          <w:p w14:paraId="1ECD272B" w14:textId="77777777" w:rsidR="005376E6" w:rsidRPr="005376E6" w:rsidRDefault="005376E6" w:rsidP="005376E6">
            <w:pPr>
              <w:jc w:val="right"/>
              <w:rPr>
                <w:rFonts w:ascii="Arial Narrow" w:hAnsi="Arial Narrow" w:cs="Calibri"/>
                <w:color w:val="000000"/>
                <w:sz w:val="16"/>
                <w:szCs w:val="16"/>
                <w:lang w:val="bg-BG" w:eastAsia="bg-BG"/>
              </w:rPr>
            </w:pPr>
            <w:r w:rsidRPr="005376E6">
              <w:rPr>
                <w:rFonts w:ascii="Arial Narrow" w:hAnsi="Arial Narrow" w:cs="Calibri"/>
                <w:color w:val="000000"/>
                <w:sz w:val="16"/>
                <w:szCs w:val="16"/>
                <w:lang w:eastAsia="bg-BG"/>
              </w:rPr>
              <w:t>5 216</w:t>
            </w:r>
          </w:p>
        </w:tc>
        <w:tc>
          <w:tcPr>
            <w:tcW w:w="874" w:type="dxa"/>
            <w:shd w:val="clear" w:color="000000" w:fill="FFFFFF"/>
            <w:noWrap/>
            <w:vAlign w:val="center"/>
          </w:tcPr>
          <w:p w14:paraId="3F646C1F" w14:textId="77777777" w:rsidR="005376E6" w:rsidRPr="005376E6" w:rsidRDefault="005376E6" w:rsidP="005376E6">
            <w:pPr>
              <w:jc w:val="right"/>
              <w:rPr>
                <w:rFonts w:ascii="Arial Narrow" w:hAnsi="Arial Narrow" w:cs="Calibri"/>
                <w:color w:val="000000"/>
                <w:sz w:val="16"/>
                <w:szCs w:val="16"/>
                <w:lang w:val="bg-BG" w:eastAsia="bg-BG"/>
              </w:rPr>
            </w:pPr>
            <w:r w:rsidRPr="005376E6">
              <w:rPr>
                <w:rFonts w:ascii="Arial Narrow" w:hAnsi="Arial Narrow" w:cs="Calibri"/>
                <w:color w:val="000000"/>
                <w:sz w:val="16"/>
                <w:szCs w:val="16"/>
                <w:lang w:eastAsia="bg-BG"/>
              </w:rPr>
              <w:t>654</w:t>
            </w:r>
          </w:p>
        </w:tc>
      </w:tr>
      <w:tr w:rsidR="005376E6" w:rsidRPr="005376E6" w14:paraId="1C86C250" w14:textId="77777777" w:rsidTr="00305E62">
        <w:trPr>
          <w:trHeight w:val="498"/>
        </w:trPr>
        <w:tc>
          <w:tcPr>
            <w:tcW w:w="851" w:type="dxa"/>
            <w:shd w:val="clear" w:color="000000" w:fill="FFFFFF"/>
            <w:vAlign w:val="center"/>
          </w:tcPr>
          <w:p w14:paraId="053F989D" w14:textId="77777777" w:rsidR="005376E6" w:rsidRPr="005376E6" w:rsidRDefault="005376E6" w:rsidP="005376E6">
            <w:pPr>
              <w:rPr>
                <w:rFonts w:ascii="Arial Narrow" w:hAnsi="Arial Narrow" w:cs="Calibri"/>
                <w:color w:val="000000"/>
                <w:sz w:val="16"/>
                <w:szCs w:val="16"/>
                <w:lang w:val="bg-BG" w:eastAsia="bg-BG"/>
              </w:rPr>
            </w:pPr>
            <w:r w:rsidRPr="005376E6">
              <w:rPr>
                <w:rFonts w:ascii="Arial Narrow" w:hAnsi="Arial Narrow"/>
                <w:sz w:val="16"/>
                <w:szCs w:val="16"/>
                <w:lang w:val="bg-BG"/>
              </w:rPr>
              <w:t>Средна Тунджа</w:t>
            </w:r>
          </w:p>
        </w:tc>
        <w:tc>
          <w:tcPr>
            <w:tcW w:w="659" w:type="dxa"/>
            <w:shd w:val="clear" w:color="auto" w:fill="auto"/>
            <w:noWrap/>
            <w:vAlign w:val="center"/>
          </w:tcPr>
          <w:p w14:paraId="73CE7FEC" w14:textId="77777777" w:rsidR="005376E6" w:rsidRPr="005376E6" w:rsidRDefault="005376E6" w:rsidP="005376E6">
            <w:pPr>
              <w:jc w:val="right"/>
              <w:rPr>
                <w:rFonts w:ascii="Arial Narrow" w:hAnsi="Arial Narrow" w:cs="Calibri"/>
                <w:color w:val="000000"/>
                <w:sz w:val="16"/>
                <w:szCs w:val="16"/>
                <w:lang w:val="bg-BG" w:eastAsia="bg-BG"/>
              </w:rPr>
            </w:pPr>
            <w:r w:rsidRPr="005376E6">
              <w:rPr>
                <w:rFonts w:ascii="Arial Narrow" w:hAnsi="Arial Narrow" w:cs="Calibri"/>
                <w:color w:val="000000"/>
                <w:sz w:val="16"/>
                <w:szCs w:val="16"/>
                <w:lang w:eastAsia="bg-BG"/>
              </w:rPr>
              <w:t>56 945</w:t>
            </w:r>
          </w:p>
        </w:tc>
        <w:tc>
          <w:tcPr>
            <w:tcW w:w="794" w:type="dxa"/>
            <w:shd w:val="clear" w:color="auto" w:fill="auto"/>
            <w:vAlign w:val="center"/>
          </w:tcPr>
          <w:p w14:paraId="540E661D" w14:textId="77777777" w:rsidR="005376E6" w:rsidRPr="005376E6" w:rsidRDefault="005376E6" w:rsidP="005376E6">
            <w:pPr>
              <w:jc w:val="right"/>
              <w:rPr>
                <w:rFonts w:ascii="Arial Narrow" w:hAnsi="Arial Narrow" w:cs="Calibri"/>
                <w:color w:val="000000"/>
                <w:sz w:val="16"/>
                <w:szCs w:val="16"/>
                <w:lang w:val="bg-BG" w:eastAsia="bg-BG"/>
              </w:rPr>
            </w:pPr>
            <w:r w:rsidRPr="005376E6">
              <w:rPr>
                <w:rFonts w:ascii="Arial Narrow" w:hAnsi="Arial Narrow" w:cs="Calibri"/>
                <w:color w:val="000000"/>
                <w:sz w:val="16"/>
                <w:szCs w:val="16"/>
                <w:lang w:eastAsia="bg-BG"/>
              </w:rPr>
              <w:t>8 300</w:t>
            </w:r>
          </w:p>
        </w:tc>
        <w:tc>
          <w:tcPr>
            <w:tcW w:w="659" w:type="dxa"/>
            <w:shd w:val="clear" w:color="000000" w:fill="FFFFFF"/>
            <w:noWrap/>
            <w:vAlign w:val="center"/>
          </w:tcPr>
          <w:p w14:paraId="4770373C" w14:textId="77777777" w:rsidR="005376E6" w:rsidRPr="005376E6" w:rsidRDefault="005376E6" w:rsidP="005376E6">
            <w:pPr>
              <w:jc w:val="right"/>
              <w:rPr>
                <w:rFonts w:ascii="Arial Narrow" w:hAnsi="Arial Narrow" w:cs="Calibri"/>
                <w:color w:val="000000"/>
                <w:sz w:val="16"/>
                <w:szCs w:val="16"/>
                <w:lang w:val="bg-BG" w:eastAsia="bg-BG"/>
              </w:rPr>
            </w:pPr>
            <w:r w:rsidRPr="005376E6">
              <w:rPr>
                <w:rFonts w:ascii="Arial Narrow" w:hAnsi="Arial Narrow" w:cs="Calibri"/>
                <w:color w:val="000000"/>
                <w:sz w:val="16"/>
                <w:szCs w:val="16"/>
                <w:lang w:eastAsia="bg-BG"/>
              </w:rPr>
              <w:t>41 501</w:t>
            </w:r>
          </w:p>
        </w:tc>
        <w:tc>
          <w:tcPr>
            <w:tcW w:w="819" w:type="dxa"/>
            <w:shd w:val="clear" w:color="000000" w:fill="FFFFFF"/>
            <w:noWrap/>
            <w:vAlign w:val="center"/>
          </w:tcPr>
          <w:p w14:paraId="3703C453" w14:textId="77777777" w:rsidR="005376E6" w:rsidRPr="005376E6" w:rsidRDefault="005376E6" w:rsidP="005376E6">
            <w:pPr>
              <w:jc w:val="right"/>
              <w:rPr>
                <w:rFonts w:ascii="Arial Narrow" w:hAnsi="Arial Narrow" w:cs="Calibri"/>
                <w:color w:val="000000"/>
                <w:sz w:val="16"/>
                <w:szCs w:val="16"/>
                <w:lang w:val="bg-BG" w:eastAsia="bg-BG"/>
              </w:rPr>
            </w:pPr>
            <w:r w:rsidRPr="005376E6">
              <w:rPr>
                <w:rFonts w:ascii="Arial Narrow" w:hAnsi="Arial Narrow" w:cs="Calibri"/>
                <w:color w:val="000000"/>
                <w:sz w:val="16"/>
                <w:szCs w:val="16"/>
                <w:lang w:eastAsia="bg-BG"/>
              </w:rPr>
              <w:t>6 857</w:t>
            </w:r>
          </w:p>
        </w:tc>
        <w:tc>
          <w:tcPr>
            <w:tcW w:w="659" w:type="dxa"/>
            <w:shd w:val="clear" w:color="000000" w:fill="FFFFFF"/>
            <w:noWrap/>
            <w:vAlign w:val="center"/>
          </w:tcPr>
          <w:p w14:paraId="268F8197" w14:textId="77777777" w:rsidR="005376E6" w:rsidRPr="005376E6" w:rsidRDefault="005376E6" w:rsidP="005376E6">
            <w:pPr>
              <w:jc w:val="right"/>
              <w:rPr>
                <w:rFonts w:ascii="Arial Narrow" w:hAnsi="Arial Narrow" w:cs="Calibri"/>
                <w:color w:val="000000"/>
                <w:sz w:val="16"/>
                <w:szCs w:val="16"/>
                <w:lang w:val="bg-BG" w:eastAsia="bg-BG"/>
              </w:rPr>
            </w:pPr>
            <w:r w:rsidRPr="005376E6">
              <w:rPr>
                <w:rFonts w:ascii="Arial Narrow" w:hAnsi="Arial Narrow" w:cs="Calibri"/>
                <w:color w:val="000000"/>
                <w:sz w:val="16"/>
                <w:szCs w:val="16"/>
                <w:lang w:eastAsia="bg-BG"/>
              </w:rPr>
              <w:t>238</w:t>
            </w:r>
          </w:p>
        </w:tc>
        <w:tc>
          <w:tcPr>
            <w:tcW w:w="819" w:type="dxa"/>
            <w:shd w:val="clear" w:color="000000" w:fill="FFFFFF"/>
            <w:noWrap/>
            <w:vAlign w:val="center"/>
          </w:tcPr>
          <w:p w14:paraId="6A6B44BC" w14:textId="77777777" w:rsidR="005376E6" w:rsidRPr="005376E6" w:rsidRDefault="005376E6" w:rsidP="005376E6">
            <w:pPr>
              <w:jc w:val="right"/>
              <w:rPr>
                <w:rFonts w:ascii="Arial Narrow" w:hAnsi="Arial Narrow" w:cs="Calibri"/>
                <w:color w:val="000000"/>
                <w:sz w:val="16"/>
                <w:szCs w:val="16"/>
                <w:lang w:val="bg-BG" w:eastAsia="bg-BG"/>
              </w:rPr>
            </w:pPr>
            <w:r w:rsidRPr="005376E6">
              <w:rPr>
                <w:rFonts w:ascii="Arial Narrow" w:hAnsi="Arial Narrow" w:cs="Calibri"/>
                <w:color w:val="000000"/>
                <w:sz w:val="16"/>
                <w:szCs w:val="16"/>
                <w:lang w:eastAsia="bg-BG"/>
              </w:rPr>
              <w:t>71</w:t>
            </w:r>
          </w:p>
        </w:tc>
        <w:tc>
          <w:tcPr>
            <w:tcW w:w="659" w:type="dxa"/>
            <w:shd w:val="clear" w:color="000000" w:fill="FFFFFF"/>
            <w:noWrap/>
            <w:vAlign w:val="center"/>
          </w:tcPr>
          <w:p w14:paraId="3038DA0E" w14:textId="77777777" w:rsidR="005376E6" w:rsidRPr="005376E6" w:rsidRDefault="005376E6" w:rsidP="005376E6">
            <w:pPr>
              <w:jc w:val="right"/>
              <w:rPr>
                <w:rFonts w:ascii="Arial Narrow" w:hAnsi="Arial Narrow" w:cs="Calibri"/>
                <w:color w:val="000000"/>
                <w:sz w:val="16"/>
                <w:szCs w:val="16"/>
                <w:lang w:val="bg-BG" w:eastAsia="bg-BG"/>
              </w:rPr>
            </w:pPr>
            <w:r w:rsidRPr="005376E6">
              <w:rPr>
                <w:rFonts w:ascii="Arial Narrow" w:hAnsi="Arial Narrow" w:cs="Calibri"/>
                <w:color w:val="000000"/>
                <w:sz w:val="16"/>
                <w:szCs w:val="16"/>
                <w:lang w:eastAsia="bg-BG"/>
              </w:rPr>
              <w:t>1 762</w:t>
            </w:r>
          </w:p>
        </w:tc>
        <w:tc>
          <w:tcPr>
            <w:tcW w:w="819" w:type="dxa"/>
            <w:shd w:val="clear" w:color="000000" w:fill="FFFFFF"/>
            <w:noWrap/>
            <w:vAlign w:val="center"/>
          </w:tcPr>
          <w:p w14:paraId="10122B4C" w14:textId="77777777" w:rsidR="005376E6" w:rsidRPr="005376E6" w:rsidRDefault="005376E6" w:rsidP="005376E6">
            <w:pPr>
              <w:jc w:val="right"/>
              <w:rPr>
                <w:rFonts w:ascii="Arial Narrow" w:hAnsi="Arial Narrow" w:cs="Calibri"/>
                <w:color w:val="000000"/>
                <w:sz w:val="16"/>
                <w:szCs w:val="16"/>
                <w:lang w:val="bg-BG" w:eastAsia="bg-BG"/>
              </w:rPr>
            </w:pPr>
            <w:r w:rsidRPr="005376E6">
              <w:rPr>
                <w:rFonts w:ascii="Arial Narrow" w:hAnsi="Arial Narrow" w:cs="Calibri"/>
                <w:color w:val="000000"/>
                <w:sz w:val="16"/>
                <w:szCs w:val="16"/>
                <w:lang w:eastAsia="bg-BG"/>
              </w:rPr>
              <w:t>217</w:t>
            </w:r>
          </w:p>
        </w:tc>
        <w:tc>
          <w:tcPr>
            <w:tcW w:w="659" w:type="dxa"/>
            <w:shd w:val="clear" w:color="000000" w:fill="FFFFFF"/>
            <w:noWrap/>
            <w:vAlign w:val="center"/>
          </w:tcPr>
          <w:p w14:paraId="2413BEC7" w14:textId="77777777" w:rsidR="005376E6" w:rsidRPr="005376E6" w:rsidRDefault="005376E6" w:rsidP="005376E6">
            <w:pPr>
              <w:jc w:val="right"/>
              <w:rPr>
                <w:rFonts w:ascii="Arial Narrow" w:hAnsi="Arial Narrow" w:cs="Calibri"/>
                <w:color w:val="000000"/>
                <w:sz w:val="16"/>
                <w:szCs w:val="16"/>
                <w:lang w:val="bg-BG" w:eastAsia="bg-BG"/>
              </w:rPr>
            </w:pPr>
            <w:r w:rsidRPr="005376E6">
              <w:rPr>
                <w:rFonts w:ascii="Arial Narrow" w:hAnsi="Arial Narrow" w:cs="Calibri"/>
                <w:color w:val="000000"/>
                <w:sz w:val="16"/>
                <w:szCs w:val="16"/>
                <w:lang w:val="bg-BG" w:eastAsia="bg-BG"/>
              </w:rPr>
              <w:t xml:space="preserve">4 </w:t>
            </w:r>
            <w:r w:rsidRPr="005376E6">
              <w:rPr>
                <w:rFonts w:ascii="Arial Narrow" w:hAnsi="Arial Narrow" w:cs="Calibri"/>
                <w:color w:val="000000"/>
                <w:sz w:val="16"/>
                <w:szCs w:val="16"/>
                <w:lang w:eastAsia="bg-BG"/>
              </w:rPr>
              <w:t>843</w:t>
            </w:r>
          </w:p>
        </w:tc>
        <w:tc>
          <w:tcPr>
            <w:tcW w:w="819" w:type="dxa"/>
            <w:shd w:val="clear" w:color="000000" w:fill="FFFFFF"/>
            <w:noWrap/>
            <w:vAlign w:val="center"/>
          </w:tcPr>
          <w:p w14:paraId="248AACAA" w14:textId="77777777" w:rsidR="005376E6" w:rsidRPr="005376E6" w:rsidRDefault="005376E6" w:rsidP="005376E6">
            <w:pPr>
              <w:jc w:val="right"/>
              <w:rPr>
                <w:rFonts w:ascii="Arial Narrow" w:hAnsi="Arial Narrow" w:cs="Calibri"/>
                <w:color w:val="000000"/>
                <w:sz w:val="16"/>
                <w:szCs w:val="16"/>
                <w:lang w:val="bg-BG" w:eastAsia="bg-BG"/>
              </w:rPr>
            </w:pPr>
            <w:r w:rsidRPr="005376E6">
              <w:rPr>
                <w:rFonts w:ascii="Arial Narrow" w:hAnsi="Arial Narrow" w:cs="Calibri"/>
                <w:color w:val="000000"/>
                <w:sz w:val="16"/>
                <w:szCs w:val="16"/>
                <w:lang w:eastAsia="bg-BG"/>
              </w:rPr>
              <w:t>531</w:t>
            </w:r>
          </w:p>
        </w:tc>
        <w:tc>
          <w:tcPr>
            <w:tcW w:w="655" w:type="dxa"/>
            <w:shd w:val="clear" w:color="000000" w:fill="FFFFFF"/>
            <w:vAlign w:val="center"/>
          </w:tcPr>
          <w:p w14:paraId="770EBD76" w14:textId="77777777" w:rsidR="005376E6" w:rsidRPr="005376E6" w:rsidRDefault="005376E6" w:rsidP="005376E6">
            <w:pPr>
              <w:jc w:val="right"/>
              <w:rPr>
                <w:rFonts w:ascii="Arial Narrow" w:hAnsi="Arial Narrow" w:cs="Calibri"/>
                <w:color w:val="000000"/>
                <w:sz w:val="16"/>
                <w:szCs w:val="16"/>
                <w:lang w:val="bg-BG" w:eastAsia="bg-BG"/>
              </w:rPr>
            </w:pPr>
            <w:r w:rsidRPr="005376E6">
              <w:rPr>
                <w:rFonts w:ascii="Arial Narrow" w:hAnsi="Arial Narrow" w:cs="Calibri"/>
                <w:color w:val="000000"/>
                <w:sz w:val="16"/>
                <w:szCs w:val="16"/>
                <w:lang w:val="bg-BG" w:eastAsia="bg-BG"/>
              </w:rPr>
              <w:t>0</w:t>
            </w:r>
          </w:p>
        </w:tc>
        <w:tc>
          <w:tcPr>
            <w:tcW w:w="815" w:type="dxa"/>
            <w:shd w:val="clear" w:color="000000" w:fill="FFFFFF"/>
            <w:vAlign w:val="center"/>
          </w:tcPr>
          <w:p w14:paraId="0B87518E" w14:textId="77777777" w:rsidR="005376E6" w:rsidRPr="005376E6" w:rsidRDefault="005376E6" w:rsidP="005376E6">
            <w:pPr>
              <w:jc w:val="right"/>
              <w:rPr>
                <w:rFonts w:ascii="Arial Narrow" w:hAnsi="Arial Narrow" w:cs="Calibri"/>
                <w:color w:val="000000"/>
                <w:sz w:val="16"/>
                <w:szCs w:val="16"/>
                <w:lang w:val="bg-BG" w:eastAsia="bg-BG"/>
              </w:rPr>
            </w:pPr>
            <w:r w:rsidRPr="005376E6">
              <w:rPr>
                <w:rFonts w:ascii="Arial Narrow" w:hAnsi="Arial Narrow" w:cs="Calibri"/>
                <w:color w:val="000000"/>
                <w:sz w:val="16"/>
                <w:szCs w:val="16"/>
                <w:lang w:val="bg-BG" w:eastAsia="bg-BG"/>
              </w:rPr>
              <w:t> </w:t>
            </w:r>
          </w:p>
        </w:tc>
        <w:tc>
          <w:tcPr>
            <w:tcW w:w="639" w:type="dxa"/>
            <w:shd w:val="clear" w:color="000000" w:fill="FFFFFF"/>
            <w:noWrap/>
            <w:vAlign w:val="center"/>
          </w:tcPr>
          <w:p w14:paraId="61506776" w14:textId="77777777" w:rsidR="005376E6" w:rsidRPr="005376E6" w:rsidRDefault="005376E6" w:rsidP="005376E6">
            <w:pPr>
              <w:jc w:val="right"/>
              <w:rPr>
                <w:rFonts w:ascii="Arial Narrow" w:hAnsi="Arial Narrow" w:cs="Calibri"/>
                <w:color w:val="000000"/>
                <w:sz w:val="16"/>
                <w:szCs w:val="16"/>
                <w:lang w:val="bg-BG" w:eastAsia="bg-BG"/>
              </w:rPr>
            </w:pPr>
            <w:r w:rsidRPr="005376E6">
              <w:rPr>
                <w:rFonts w:ascii="Arial Narrow" w:hAnsi="Arial Narrow" w:cs="Calibri"/>
                <w:color w:val="000000"/>
                <w:sz w:val="16"/>
                <w:szCs w:val="16"/>
                <w:lang w:eastAsia="bg-BG"/>
              </w:rPr>
              <w:t>8 601</w:t>
            </w:r>
          </w:p>
        </w:tc>
        <w:tc>
          <w:tcPr>
            <w:tcW w:w="874" w:type="dxa"/>
            <w:shd w:val="clear" w:color="000000" w:fill="FFFFFF"/>
            <w:noWrap/>
            <w:vAlign w:val="center"/>
          </w:tcPr>
          <w:p w14:paraId="649E0084" w14:textId="77777777" w:rsidR="005376E6" w:rsidRPr="005376E6" w:rsidRDefault="005376E6" w:rsidP="005376E6">
            <w:pPr>
              <w:jc w:val="right"/>
              <w:rPr>
                <w:rFonts w:ascii="Arial Narrow" w:hAnsi="Arial Narrow" w:cs="Calibri"/>
                <w:color w:val="000000"/>
                <w:sz w:val="16"/>
                <w:szCs w:val="16"/>
                <w:lang w:val="bg-BG" w:eastAsia="bg-BG"/>
              </w:rPr>
            </w:pPr>
            <w:r w:rsidRPr="005376E6">
              <w:rPr>
                <w:rFonts w:ascii="Arial Narrow" w:hAnsi="Arial Narrow" w:cs="Calibri"/>
                <w:color w:val="000000"/>
                <w:sz w:val="16"/>
                <w:szCs w:val="16"/>
                <w:lang w:eastAsia="bg-BG"/>
              </w:rPr>
              <w:t>624</w:t>
            </w:r>
          </w:p>
        </w:tc>
      </w:tr>
      <w:tr w:rsidR="005376E6" w:rsidRPr="005376E6" w14:paraId="07BA5D67" w14:textId="77777777" w:rsidTr="00305E62">
        <w:trPr>
          <w:trHeight w:val="498"/>
        </w:trPr>
        <w:tc>
          <w:tcPr>
            <w:tcW w:w="851" w:type="dxa"/>
            <w:shd w:val="clear" w:color="000000" w:fill="FFFFFF"/>
            <w:vAlign w:val="center"/>
          </w:tcPr>
          <w:p w14:paraId="78D9424A" w14:textId="77777777" w:rsidR="005376E6" w:rsidRPr="005376E6" w:rsidRDefault="005376E6" w:rsidP="005376E6">
            <w:pPr>
              <w:rPr>
                <w:rFonts w:ascii="Arial Narrow" w:hAnsi="Arial Narrow" w:cs="Calibri"/>
                <w:color w:val="000000"/>
                <w:sz w:val="16"/>
                <w:szCs w:val="16"/>
                <w:lang w:val="bg-BG" w:eastAsia="bg-BG"/>
              </w:rPr>
            </w:pPr>
            <w:r w:rsidRPr="005376E6">
              <w:rPr>
                <w:rFonts w:ascii="Arial Narrow" w:hAnsi="Arial Narrow"/>
                <w:sz w:val="16"/>
                <w:szCs w:val="16"/>
                <w:lang w:val="bg-BG"/>
              </w:rPr>
              <w:t>Струма-Места</w:t>
            </w:r>
          </w:p>
        </w:tc>
        <w:tc>
          <w:tcPr>
            <w:tcW w:w="659" w:type="dxa"/>
            <w:shd w:val="clear" w:color="auto" w:fill="auto"/>
            <w:noWrap/>
            <w:vAlign w:val="center"/>
          </w:tcPr>
          <w:p w14:paraId="41D0F8CF" w14:textId="77777777" w:rsidR="005376E6" w:rsidRPr="005376E6" w:rsidRDefault="005376E6" w:rsidP="005376E6">
            <w:pPr>
              <w:jc w:val="right"/>
              <w:rPr>
                <w:rFonts w:ascii="Arial Narrow" w:hAnsi="Arial Narrow" w:cs="Calibri"/>
                <w:color w:val="000000"/>
                <w:sz w:val="16"/>
                <w:szCs w:val="16"/>
                <w:lang w:val="bg-BG" w:eastAsia="bg-BG"/>
              </w:rPr>
            </w:pPr>
            <w:r w:rsidRPr="005376E6">
              <w:rPr>
                <w:rFonts w:ascii="Arial Narrow" w:hAnsi="Arial Narrow" w:cs="Calibri"/>
                <w:color w:val="000000"/>
                <w:sz w:val="16"/>
                <w:szCs w:val="16"/>
                <w:lang w:eastAsia="bg-BG"/>
              </w:rPr>
              <w:t>12 343</w:t>
            </w:r>
          </w:p>
        </w:tc>
        <w:tc>
          <w:tcPr>
            <w:tcW w:w="794" w:type="dxa"/>
            <w:shd w:val="clear" w:color="auto" w:fill="auto"/>
            <w:vAlign w:val="center"/>
          </w:tcPr>
          <w:p w14:paraId="08E5F4A5" w14:textId="77777777" w:rsidR="005376E6" w:rsidRPr="005376E6" w:rsidRDefault="005376E6" w:rsidP="005376E6">
            <w:pPr>
              <w:jc w:val="right"/>
              <w:rPr>
                <w:rFonts w:ascii="Arial Narrow" w:hAnsi="Arial Narrow" w:cs="Calibri"/>
                <w:color w:val="000000"/>
                <w:sz w:val="16"/>
                <w:szCs w:val="16"/>
                <w:lang w:val="bg-BG" w:eastAsia="bg-BG"/>
              </w:rPr>
            </w:pPr>
            <w:r w:rsidRPr="005376E6">
              <w:rPr>
                <w:rFonts w:ascii="Arial Narrow" w:hAnsi="Arial Narrow" w:cs="Calibri"/>
                <w:color w:val="000000"/>
                <w:sz w:val="16"/>
                <w:szCs w:val="16"/>
                <w:lang w:eastAsia="bg-BG"/>
              </w:rPr>
              <w:t>2 562</w:t>
            </w:r>
          </w:p>
        </w:tc>
        <w:tc>
          <w:tcPr>
            <w:tcW w:w="659" w:type="dxa"/>
            <w:shd w:val="clear" w:color="000000" w:fill="FFFFFF"/>
            <w:noWrap/>
            <w:vAlign w:val="center"/>
          </w:tcPr>
          <w:p w14:paraId="78E71071" w14:textId="77777777" w:rsidR="005376E6" w:rsidRPr="005376E6" w:rsidRDefault="005376E6" w:rsidP="005376E6">
            <w:pPr>
              <w:jc w:val="right"/>
              <w:rPr>
                <w:rFonts w:ascii="Arial Narrow" w:hAnsi="Arial Narrow" w:cs="Calibri"/>
                <w:color w:val="000000"/>
                <w:sz w:val="16"/>
                <w:szCs w:val="16"/>
                <w:lang w:val="bg-BG" w:eastAsia="bg-BG"/>
              </w:rPr>
            </w:pPr>
            <w:r w:rsidRPr="005376E6">
              <w:rPr>
                <w:rFonts w:ascii="Arial Narrow" w:hAnsi="Arial Narrow" w:cs="Calibri"/>
                <w:color w:val="000000"/>
                <w:sz w:val="16"/>
                <w:szCs w:val="16"/>
                <w:lang w:eastAsia="bg-BG"/>
              </w:rPr>
              <w:t>5 154</w:t>
            </w:r>
          </w:p>
        </w:tc>
        <w:tc>
          <w:tcPr>
            <w:tcW w:w="819" w:type="dxa"/>
            <w:shd w:val="clear" w:color="000000" w:fill="FFFFFF"/>
            <w:noWrap/>
            <w:vAlign w:val="center"/>
          </w:tcPr>
          <w:p w14:paraId="536EA939" w14:textId="77777777" w:rsidR="005376E6" w:rsidRPr="005376E6" w:rsidRDefault="005376E6" w:rsidP="005376E6">
            <w:pPr>
              <w:jc w:val="right"/>
              <w:rPr>
                <w:rFonts w:ascii="Arial Narrow" w:hAnsi="Arial Narrow" w:cs="Calibri"/>
                <w:color w:val="000000"/>
                <w:sz w:val="16"/>
                <w:szCs w:val="16"/>
                <w:lang w:val="bg-BG" w:eastAsia="bg-BG"/>
              </w:rPr>
            </w:pPr>
            <w:r w:rsidRPr="005376E6">
              <w:rPr>
                <w:rFonts w:ascii="Arial Narrow" w:hAnsi="Arial Narrow" w:cs="Calibri"/>
                <w:color w:val="000000"/>
                <w:sz w:val="16"/>
                <w:szCs w:val="16"/>
                <w:lang w:eastAsia="bg-BG"/>
              </w:rPr>
              <w:t>1 054</w:t>
            </w:r>
          </w:p>
        </w:tc>
        <w:tc>
          <w:tcPr>
            <w:tcW w:w="659" w:type="dxa"/>
            <w:shd w:val="clear" w:color="000000" w:fill="FFFFFF"/>
            <w:noWrap/>
            <w:vAlign w:val="center"/>
          </w:tcPr>
          <w:p w14:paraId="575ED861" w14:textId="77777777" w:rsidR="005376E6" w:rsidRPr="005376E6" w:rsidRDefault="005376E6" w:rsidP="005376E6">
            <w:pPr>
              <w:jc w:val="right"/>
              <w:rPr>
                <w:rFonts w:ascii="Arial Narrow" w:hAnsi="Arial Narrow" w:cs="Calibri"/>
                <w:color w:val="000000"/>
                <w:sz w:val="16"/>
                <w:szCs w:val="16"/>
                <w:lang w:val="bg-BG" w:eastAsia="bg-BG"/>
              </w:rPr>
            </w:pPr>
            <w:r w:rsidRPr="005376E6">
              <w:rPr>
                <w:rFonts w:ascii="Arial Narrow" w:hAnsi="Arial Narrow" w:cs="Calibri"/>
                <w:color w:val="000000"/>
                <w:sz w:val="16"/>
                <w:szCs w:val="16"/>
                <w:lang w:eastAsia="bg-BG"/>
              </w:rPr>
              <w:t>178</w:t>
            </w:r>
          </w:p>
        </w:tc>
        <w:tc>
          <w:tcPr>
            <w:tcW w:w="819" w:type="dxa"/>
            <w:shd w:val="clear" w:color="000000" w:fill="FFFFFF"/>
            <w:noWrap/>
            <w:vAlign w:val="center"/>
          </w:tcPr>
          <w:p w14:paraId="6C9FF7EC" w14:textId="77777777" w:rsidR="005376E6" w:rsidRPr="005376E6" w:rsidRDefault="005376E6" w:rsidP="005376E6">
            <w:pPr>
              <w:jc w:val="right"/>
              <w:rPr>
                <w:rFonts w:ascii="Arial Narrow" w:hAnsi="Arial Narrow" w:cs="Calibri"/>
                <w:color w:val="000000"/>
                <w:sz w:val="16"/>
                <w:szCs w:val="16"/>
                <w:lang w:val="bg-BG" w:eastAsia="bg-BG"/>
              </w:rPr>
            </w:pPr>
            <w:r w:rsidRPr="005376E6">
              <w:rPr>
                <w:rFonts w:ascii="Arial Narrow" w:hAnsi="Arial Narrow" w:cs="Calibri"/>
                <w:color w:val="000000"/>
                <w:sz w:val="16"/>
                <w:szCs w:val="16"/>
                <w:lang w:eastAsia="bg-BG"/>
              </w:rPr>
              <w:t>22</w:t>
            </w:r>
          </w:p>
        </w:tc>
        <w:tc>
          <w:tcPr>
            <w:tcW w:w="659" w:type="dxa"/>
            <w:shd w:val="clear" w:color="000000" w:fill="FFFFFF"/>
            <w:noWrap/>
            <w:vAlign w:val="center"/>
          </w:tcPr>
          <w:p w14:paraId="4FF70E25" w14:textId="77777777" w:rsidR="005376E6" w:rsidRPr="005376E6" w:rsidRDefault="005376E6" w:rsidP="005376E6">
            <w:pPr>
              <w:jc w:val="right"/>
              <w:rPr>
                <w:rFonts w:ascii="Arial Narrow" w:hAnsi="Arial Narrow" w:cs="Calibri"/>
                <w:color w:val="000000"/>
                <w:sz w:val="16"/>
                <w:szCs w:val="16"/>
                <w:lang w:val="bg-BG" w:eastAsia="bg-BG"/>
              </w:rPr>
            </w:pPr>
            <w:r w:rsidRPr="005376E6">
              <w:rPr>
                <w:rFonts w:ascii="Arial Narrow" w:hAnsi="Arial Narrow" w:cs="Calibri"/>
                <w:color w:val="000000"/>
                <w:sz w:val="16"/>
                <w:szCs w:val="16"/>
                <w:lang w:eastAsia="bg-BG"/>
              </w:rPr>
              <w:t>3 895</w:t>
            </w:r>
          </w:p>
        </w:tc>
        <w:tc>
          <w:tcPr>
            <w:tcW w:w="819" w:type="dxa"/>
            <w:shd w:val="clear" w:color="000000" w:fill="FFFFFF"/>
            <w:noWrap/>
            <w:vAlign w:val="center"/>
          </w:tcPr>
          <w:p w14:paraId="53E6938E" w14:textId="77777777" w:rsidR="005376E6" w:rsidRPr="005376E6" w:rsidRDefault="005376E6" w:rsidP="005376E6">
            <w:pPr>
              <w:jc w:val="right"/>
              <w:rPr>
                <w:rFonts w:ascii="Arial Narrow" w:hAnsi="Arial Narrow" w:cs="Calibri"/>
                <w:color w:val="000000"/>
                <w:sz w:val="16"/>
                <w:szCs w:val="16"/>
                <w:lang w:val="bg-BG" w:eastAsia="bg-BG"/>
              </w:rPr>
            </w:pPr>
            <w:r w:rsidRPr="005376E6">
              <w:rPr>
                <w:rFonts w:ascii="Arial Narrow" w:hAnsi="Arial Narrow" w:cs="Calibri"/>
                <w:color w:val="000000"/>
                <w:sz w:val="16"/>
                <w:szCs w:val="16"/>
                <w:lang w:eastAsia="bg-BG"/>
              </w:rPr>
              <w:t>873</w:t>
            </w:r>
          </w:p>
        </w:tc>
        <w:tc>
          <w:tcPr>
            <w:tcW w:w="659" w:type="dxa"/>
            <w:shd w:val="clear" w:color="000000" w:fill="FFFFFF"/>
            <w:noWrap/>
            <w:vAlign w:val="center"/>
          </w:tcPr>
          <w:p w14:paraId="4FB7A0ED" w14:textId="77777777" w:rsidR="005376E6" w:rsidRPr="005376E6" w:rsidRDefault="005376E6" w:rsidP="005376E6">
            <w:pPr>
              <w:jc w:val="right"/>
              <w:rPr>
                <w:rFonts w:ascii="Arial Narrow" w:hAnsi="Arial Narrow" w:cs="Calibri"/>
                <w:color w:val="000000"/>
                <w:sz w:val="16"/>
                <w:szCs w:val="16"/>
                <w:lang w:val="bg-BG" w:eastAsia="bg-BG"/>
              </w:rPr>
            </w:pPr>
            <w:r w:rsidRPr="005376E6">
              <w:rPr>
                <w:rFonts w:ascii="Arial Narrow" w:hAnsi="Arial Narrow" w:cs="Calibri"/>
                <w:color w:val="000000"/>
                <w:sz w:val="16"/>
                <w:szCs w:val="16"/>
                <w:lang w:eastAsia="bg-BG"/>
              </w:rPr>
              <w:t>1 382</w:t>
            </w:r>
          </w:p>
        </w:tc>
        <w:tc>
          <w:tcPr>
            <w:tcW w:w="819" w:type="dxa"/>
            <w:shd w:val="clear" w:color="000000" w:fill="FFFFFF"/>
            <w:noWrap/>
            <w:vAlign w:val="center"/>
          </w:tcPr>
          <w:p w14:paraId="52A584FB" w14:textId="77777777" w:rsidR="005376E6" w:rsidRPr="005376E6" w:rsidRDefault="005376E6" w:rsidP="005376E6">
            <w:pPr>
              <w:jc w:val="right"/>
              <w:rPr>
                <w:rFonts w:ascii="Arial Narrow" w:hAnsi="Arial Narrow" w:cs="Calibri"/>
                <w:color w:val="000000"/>
                <w:sz w:val="16"/>
                <w:szCs w:val="16"/>
                <w:lang w:val="bg-BG" w:eastAsia="bg-BG"/>
              </w:rPr>
            </w:pPr>
            <w:r w:rsidRPr="005376E6">
              <w:rPr>
                <w:rFonts w:ascii="Arial Narrow" w:hAnsi="Arial Narrow" w:cs="Calibri"/>
                <w:color w:val="000000"/>
                <w:sz w:val="16"/>
                <w:szCs w:val="16"/>
                <w:lang w:eastAsia="bg-BG"/>
              </w:rPr>
              <w:t>129</w:t>
            </w:r>
          </w:p>
        </w:tc>
        <w:tc>
          <w:tcPr>
            <w:tcW w:w="655" w:type="dxa"/>
            <w:shd w:val="clear" w:color="000000" w:fill="FFFFFF"/>
            <w:vAlign w:val="center"/>
          </w:tcPr>
          <w:p w14:paraId="32EB65B4" w14:textId="77777777" w:rsidR="005376E6" w:rsidRPr="005376E6" w:rsidRDefault="005376E6" w:rsidP="005376E6">
            <w:pPr>
              <w:jc w:val="right"/>
              <w:rPr>
                <w:rFonts w:ascii="Arial Narrow" w:hAnsi="Arial Narrow" w:cs="Calibri"/>
                <w:color w:val="000000"/>
                <w:sz w:val="16"/>
                <w:szCs w:val="16"/>
                <w:lang w:val="bg-BG" w:eastAsia="bg-BG"/>
              </w:rPr>
            </w:pPr>
            <w:r w:rsidRPr="005376E6">
              <w:rPr>
                <w:rFonts w:ascii="Arial Narrow" w:hAnsi="Arial Narrow" w:cs="Calibri"/>
                <w:color w:val="000000"/>
                <w:sz w:val="16"/>
                <w:szCs w:val="16"/>
                <w:lang w:val="bg-BG" w:eastAsia="bg-BG"/>
              </w:rPr>
              <w:t>0</w:t>
            </w:r>
          </w:p>
        </w:tc>
        <w:tc>
          <w:tcPr>
            <w:tcW w:w="815" w:type="dxa"/>
            <w:shd w:val="clear" w:color="000000" w:fill="FFFFFF"/>
            <w:vAlign w:val="center"/>
          </w:tcPr>
          <w:p w14:paraId="0BA9800A" w14:textId="77777777" w:rsidR="005376E6" w:rsidRPr="005376E6" w:rsidRDefault="005376E6" w:rsidP="005376E6">
            <w:pPr>
              <w:jc w:val="right"/>
              <w:rPr>
                <w:rFonts w:ascii="Arial Narrow" w:hAnsi="Arial Narrow" w:cs="Calibri"/>
                <w:color w:val="000000"/>
                <w:sz w:val="16"/>
                <w:szCs w:val="16"/>
                <w:lang w:val="bg-BG" w:eastAsia="bg-BG"/>
              </w:rPr>
            </w:pPr>
            <w:r w:rsidRPr="005376E6">
              <w:rPr>
                <w:rFonts w:ascii="Arial Narrow" w:hAnsi="Arial Narrow" w:cs="Calibri"/>
                <w:color w:val="000000"/>
                <w:sz w:val="16"/>
                <w:szCs w:val="16"/>
                <w:lang w:val="bg-BG" w:eastAsia="bg-BG"/>
              </w:rPr>
              <w:t> </w:t>
            </w:r>
          </w:p>
        </w:tc>
        <w:tc>
          <w:tcPr>
            <w:tcW w:w="639" w:type="dxa"/>
            <w:shd w:val="clear" w:color="000000" w:fill="FFFFFF"/>
            <w:noWrap/>
            <w:vAlign w:val="center"/>
          </w:tcPr>
          <w:p w14:paraId="00A1A45A" w14:textId="77777777" w:rsidR="005376E6" w:rsidRPr="005376E6" w:rsidRDefault="005376E6" w:rsidP="005376E6">
            <w:pPr>
              <w:jc w:val="right"/>
              <w:rPr>
                <w:rFonts w:ascii="Arial Narrow" w:hAnsi="Arial Narrow" w:cs="Calibri"/>
                <w:color w:val="000000"/>
                <w:sz w:val="16"/>
                <w:szCs w:val="16"/>
                <w:lang w:val="bg-BG" w:eastAsia="bg-BG"/>
              </w:rPr>
            </w:pPr>
            <w:r w:rsidRPr="005376E6">
              <w:rPr>
                <w:rFonts w:ascii="Arial Narrow" w:hAnsi="Arial Narrow" w:cs="Calibri"/>
                <w:color w:val="000000"/>
                <w:sz w:val="16"/>
                <w:szCs w:val="16"/>
                <w:lang w:eastAsia="bg-BG"/>
              </w:rPr>
              <w:t>1 734</w:t>
            </w:r>
          </w:p>
        </w:tc>
        <w:tc>
          <w:tcPr>
            <w:tcW w:w="874" w:type="dxa"/>
            <w:shd w:val="clear" w:color="000000" w:fill="FFFFFF"/>
            <w:noWrap/>
            <w:vAlign w:val="center"/>
          </w:tcPr>
          <w:p w14:paraId="542AC452" w14:textId="77777777" w:rsidR="005376E6" w:rsidRPr="005376E6" w:rsidRDefault="005376E6" w:rsidP="005376E6">
            <w:pPr>
              <w:jc w:val="right"/>
              <w:rPr>
                <w:rFonts w:ascii="Arial Narrow" w:hAnsi="Arial Narrow" w:cs="Calibri"/>
                <w:color w:val="000000"/>
                <w:sz w:val="16"/>
                <w:szCs w:val="16"/>
                <w:lang w:val="bg-BG" w:eastAsia="bg-BG"/>
              </w:rPr>
            </w:pPr>
            <w:r w:rsidRPr="005376E6">
              <w:rPr>
                <w:rFonts w:ascii="Arial Narrow" w:hAnsi="Arial Narrow" w:cs="Calibri"/>
                <w:color w:val="000000"/>
                <w:sz w:val="16"/>
                <w:szCs w:val="16"/>
                <w:lang w:eastAsia="bg-BG"/>
              </w:rPr>
              <w:t>484</w:t>
            </w:r>
          </w:p>
        </w:tc>
      </w:tr>
      <w:tr w:rsidR="005376E6" w:rsidRPr="005376E6" w14:paraId="02EB6015" w14:textId="77777777" w:rsidTr="00305E62">
        <w:trPr>
          <w:trHeight w:val="293"/>
        </w:trPr>
        <w:tc>
          <w:tcPr>
            <w:tcW w:w="851" w:type="dxa"/>
            <w:shd w:val="clear" w:color="000000" w:fill="FFFFFF"/>
            <w:noWrap/>
            <w:vAlign w:val="center"/>
          </w:tcPr>
          <w:p w14:paraId="139DEEAB" w14:textId="77777777" w:rsidR="005376E6" w:rsidRPr="005376E6" w:rsidRDefault="005376E6" w:rsidP="005376E6">
            <w:pPr>
              <w:rPr>
                <w:rFonts w:ascii="Arial Narrow" w:hAnsi="Arial Narrow" w:cs="Calibri"/>
                <w:color w:val="000000"/>
                <w:sz w:val="16"/>
                <w:szCs w:val="16"/>
                <w:lang w:val="bg-BG" w:eastAsia="bg-BG"/>
              </w:rPr>
            </w:pPr>
            <w:r w:rsidRPr="005376E6">
              <w:rPr>
                <w:rFonts w:ascii="Arial Narrow" w:hAnsi="Arial Narrow"/>
                <w:sz w:val="16"/>
                <w:szCs w:val="16"/>
                <w:lang w:val="bg-BG"/>
              </w:rPr>
              <w:t>Тополница</w:t>
            </w:r>
          </w:p>
        </w:tc>
        <w:tc>
          <w:tcPr>
            <w:tcW w:w="659" w:type="dxa"/>
            <w:shd w:val="clear" w:color="auto" w:fill="auto"/>
            <w:noWrap/>
            <w:vAlign w:val="center"/>
          </w:tcPr>
          <w:p w14:paraId="2CD9DD14" w14:textId="77777777" w:rsidR="005376E6" w:rsidRPr="005376E6" w:rsidRDefault="005376E6" w:rsidP="005376E6">
            <w:pPr>
              <w:jc w:val="right"/>
              <w:rPr>
                <w:rFonts w:ascii="Arial Narrow" w:hAnsi="Arial Narrow" w:cs="Calibri"/>
                <w:color w:val="000000"/>
                <w:sz w:val="16"/>
                <w:szCs w:val="16"/>
                <w:lang w:val="bg-BG" w:eastAsia="bg-BG"/>
              </w:rPr>
            </w:pPr>
            <w:r w:rsidRPr="005376E6">
              <w:rPr>
                <w:rFonts w:ascii="Arial Narrow" w:hAnsi="Arial Narrow" w:cs="Calibri"/>
                <w:color w:val="000000"/>
                <w:sz w:val="16"/>
                <w:szCs w:val="16"/>
                <w:lang w:eastAsia="bg-BG"/>
              </w:rPr>
              <w:t>71</w:t>
            </w:r>
            <w:r w:rsidRPr="005376E6">
              <w:rPr>
                <w:rFonts w:ascii="Arial Narrow" w:hAnsi="Arial Narrow" w:cs="Calibri"/>
                <w:color w:val="000000"/>
                <w:sz w:val="16"/>
                <w:szCs w:val="16"/>
                <w:lang w:val="bg-BG" w:eastAsia="bg-BG"/>
              </w:rPr>
              <w:t xml:space="preserve"> </w:t>
            </w:r>
            <w:r w:rsidRPr="005376E6">
              <w:rPr>
                <w:rFonts w:ascii="Arial Narrow" w:hAnsi="Arial Narrow" w:cs="Calibri"/>
                <w:color w:val="000000"/>
                <w:sz w:val="16"/>
                <w:szCs w:val="16"/>
                <w:lang w:eastAsia="bg-BG"/>
              </w:rPr>
              <w:t>689</w:t>
            </w:r>
          </w:p>
        </w:tc>
        <w:tc>
          <w:tcPr>
            <w:tcW w:w="794" w:type="dxa"/>
            <w:shd w:val="clear" w:color="auto" w:fill="auto"/>
            <w:vAlign w:val="center"/>
          </w:tcPr>
          <w:p w14:paraId="3D0322A1" w14:textId="77777777" w:rsidR="005376E6" w:rsidRPr="005376E6" w:rsidRDefault="005376E6" w:rsidP="005376E6">
            <w:pPr>
              <w:jc w:val="right"/>
              <w:rPr>
                <w:rFonts w:ascii="Arial Narrow" w:hAnsi="Arial Narrow" w:cs="Calibri"/>
                <w:color w:val="000000"/>
                <w:sz w:val="16"/>
                <w:szCs w:val="16"/>
                <w:lang w:val="bg-BG" w:eastAsia="bg-BG"/>
              </w:rPr>
            </w:pPr>
            <w:r w:rsidRPr="005376E6">
              <w:rPr>
                <w:rFonts w:ascii="Arial Narrow" w:hAnsi="Arial Narrow" w:cs="Calibri"/>
                <w:color w:val="000000"/>
                <w:sz w:val="16"/>
                <w:szCs w:val="16"/>
                <w:lang w:eastAsia="bg-BG"/>
              </w:rPr>
              <w:t>108 725</w:t>
            </w:r>
          </w:p>
        </w:tc>
        <w:tc>
          <w:tcPr>
            <w:tcW w:w="659" w:type="dxa"/>
            <w:shd w:val="clear" w:color="000000" w:fill="FFFFFF"/>
            <w:noWrap/>
            <w:vAlign w:val="center"/>
          </w:tcPr>
          <w:p w14:paraId="3C545693" w14:textId="77777777" w:rsidR="005376E6" w:rsidRPr="005376E6" w:rsidRDefault="005376E6" w:rsidP="005376E6">
            <w:pPr>
              <w:jc w:val="right"/>
              <w:rPr>
                <w:rFonts w:ascii="Arial Narrow" w:hAnsi="Arial Narrow" w:cs="Calibri"/>
                <w:color w:val="000000"/>
                <w:sz w:val="16"/>
                <w:szCs w:val="16"/>
                <w:lang w:val="bg-BG" w:eastAsia="bg-BG"/>
              </w:rPr>
            </w:pPr>
            <w:r w:rsidRPr="005376E6">
              <w:rPr>
                <w:rFonts w:ascii="Arial Narrow" w:hAnsi="Arial Narrow" w:cs="Calibri"/>
                <w:color w:val="000000"/>
                <w:sz w:val="16"/>
                <w:szCs w:val="16"/>
                <w:lang w:eastAsia="bg-BG"/>
              </w:rPr>
              <w:t>18</w:t>
            </w:r>
            <w:r w:rsidRPr="005376E6">
              <w:rPr>
                <w:rFonts w:ascii="Arial Narrow" w:hAnsi="Arial Narrow" w:cs="Calibri"/>
                <w:color w:val="000000"/>
                <w:sz w:val="16"/>
                <w:szCs w:val="16"/>
                <w:lang w:val="bg-BG" w:eastAsia="bg-BG"/>
              </w:rPr>
              <w:t xml:space="preserve"> </w:t>
            </w:r>
            <w:r w:rsidRPr="005376E6">
              <w:rPr>
                <w:rFonts w:ascii="Arial Narrow" w:hAnsi="Arial Narrow" w:cs="Calibri"/>
                <w:color w:val="000000"/>
                <w:sz w:val="16"/>
                <w:szCs w:val="16"/>
                <w:lang w:eastAsia="bg-BG"/>
              </w:rPr>
              <w:t>918</w:t>
            </w:r>
          </w:p>
        </w:tc>
        <w:tc>
          <w:tcPr>
            <w:tcW w:w="819" w:type="dxa"/>
            <w:shd w:val="clear" w:color="000000" w:fill="FFFFFF"/>
            <w:noWrap/>
            <w:vAlign w:val="center"/>
          </w:tcPr>
          <w:p w14:paraId="0A8A2850" w14:textId="77777777" w:rsidR="005376E6" w:rsidRPr="005376E6" w:rsidRDefault="005376E6" w:rsidP="005376E6">
            <w:pPr>
              <w:jc w:val="right"/>
              <w:rPr>
                <w:rFonts w:ascii="Arial Narrow" w:hAnsi="Arial Narrow" w:cs="Calibri"/>
                <w:color w:val="000000"/>
                <w:sz w:val="16"/>
                <w:szCs w:val="16"/>
                <w:lang w:val="bg-BG" w:eastAsia="bg-BG"/>
              </w:rPr>
            </w:pPr>
            <w:r w:rsidRPr="005376E6">
              <w:rPr>
                <w:rFonts w:ascii="Arial Narrow" w:hAnsi="Arial Narrow" w:cs="Calibri"/>
                <w:color w:val="000000"/>
                <w:sz w:val="16"/>
                <w:szCs w:val="16"/>
                <w:lang w:eastAsia="bg-BG"/>
              </w:rPr>
              <w:t>4</w:t>
            </w:r>
            <w:r w:rsidRPr="005376E6">
              <w:rPr>
                <w:rFonts w:ascii="Arial Narrow" w:hAnsi="Arial Narrow" w:cs="Calibri"/>
                <w:color w:val="000000"/>
                <w:sz w:val="16"/>
                <w:szCs w:val="16"/>
                <w:lang w:val="bg-BG" w:eastAsia="bg-BG"/>
              </w:rPr>
              <w:t xml:space="preserve"> </w:t>
            </w:r>
            <w:r w:rsidRPr="005376E6">
              <w:rPr>
                <w:rFonts w:ascii="Arial Narrow" w:hAnsi="Arial Narrow" w:cs="Calibri"/>
                <w:color w:val="000000"/>
                <w:sz w:val="16"/>
                <w:szCs w:val="16"/>
                <w:lang w:eastAsia="bg-BG"/>
              </w:rPr>
              <w:t>556</w:t>
            </w:r>
          </w:p>
        </w:tc>
        <w:tc>
          <w:tcPr>
            <w:tcW w:w="659" w:type="dxa"/>
            <w:shd w:val="clear" w:color="000000" w:fill="FFFFFF"/>
            <w:noWrap/>
            <w:vAlign w:val="center"/>
          </w:tcPr>
          <w:p w14:paraId="71392F8B" w14:textId="77777777" w:rsidR="005376E6" w:rsidRPr="005376E6" w:rsidRDefault="005376E6" w:rsidP="005376E6">
            <w:pPr>
              <w:jc w:val="right"/>
              <w:rPr>
                <w:rFonts w:ascii="Arial Narrow" w:hAnsi="Arial Narrow" w:cs="Calibri"/>
                <w:color w:val="000000"/>
                <w:sz w:val="16"/>
                <w:szCs w:val="16"/>
                <w:lang w:val="bg-BG" w:eastAsia="bg-BG"/>
              </w:rPr>
            </w:pPr>
            <w:r w:rsidRPr="005376E6">
              <w:rPr>
                <w:rFonts w:ascii="Arial Narrow" w:hAnsi="Arial Narrow" w:cs="Calibri"/>
                <w:color w:val="000000"/>
                <w:sz w:val="16"/>
                <w:szCs w:val="16"/>
                <w:lang w:eastAsia="bg-BG"/>
              </w:rPr>
              <w:t>1 022</w:t>
            </w:r>
          </w:p>
        </w:tc>
        <w:tc>
          <w:tcPr>
            <w:tcW w:w="819" w:type="dxa"/>
            <w:shd w:val="clear" w:color="000000" w:fill="FFFFFF"/>
            <w:noWrap/>
            <w:vAlign w:val="center"/>
          </w:tcPr>
          <w:p w14:paraId="39E1E753" w14:textId="77777777" w:rsidR="005376E6" w:rsidRPr="005376E6" w:rsidRDefault="005376E6" w:rsidP="005376E6">
            <w:pPr>
              <w:jc w:val="right"/>
              <w:rPr>
                <w:rFonts w:ascii="Arial Narrow" w:hAnsi="Arial Narrow" w:cs="Calibri"/>
                <w:color w:val="000000"/>
                <w:sz w:val="16"/>
                <w:szCs w:val="16"/>
                <w:lang w:val="bg-BG" w:eastAsia="bg-BG"/>
              </w:rPr>
            </w:pPr>
            <w:r w:rsidRPr="005376E6">
              <w:rPr>
                <w:rFonts w:ascii="Arial Narrow" w:hAnsi="Arial Narrow" w:cs="Calibri"/>
                <w:color w:val="000000"/>
                <w:sz w:val="16"/>
                <w:szCs w:val="16"/>
                <w:lang w:eastAsia="bg-BG"/>
              </w:rPr>
              <w:t>237</w:t>
            </w:r>
          </w:p>
        </w:tc>
        <w:tc>
          <w:tcPr>
            <w:tcW w:w="659" w:type="dxa"/>
            <w:shd w:val="clear" w:color="000000" w:fill="FFFFFF"/>
            <w:noWrap/>
            <w:vAlign w:val="center"/>
          </w:tcPr>
          <w:p w14:paraId="2A74307F" w14:textId="77777777" w:rsidR="005376E6" w:rsidRPr="005376E6" w:rsidRDefault="005376E6" w:rsidP="005376E6">
            <w:pPr>
              <w:jc w:val="right"/>
              <w:rPr>
                <w:rFonts w:ascii="Arial Narrow" w:hAnsi="Arial Narrow" w:cs="Calibri"/>
                <w:color w:val="000000"/>
                <w:sz w:val="16"/>
                <w:szCs w:val="16"/>
                <w:lang w:val="bg-BG" w:eastAsia="bg-BG"/>
              </w:rPr>
            </w:pPr>
            <w:r w:rsidRPr="005376E6">
              <w:rPr>
                <w:rFonts w:ascii="Arial Narrow" w:hAnsi="Arial Narrow" w:cs="Calibri"/>
                <w:color w:val="000000"/>
                <w:sz w:val="16"/>
                <w:szCs w:val="16"/>
                <w:lang w:eastAsia="bg-BG"/>
              </w:rPr>
              <w:t>3 889</w:t>
            </w:r>
          </w:p>
        </w:tc>
        <w:tc>
          <w:tcPr>
            <w:tcW w:w="819" w:type="dxa"/>
            <w:shd w:val="clear" w:color="000000" w:fill="FFFFFF"/>
            <w:noWrap/>
            <w:vAlign w:val="center"/>
          </w:tcPr>
          <w:p w14:paraId="46754DB4" w14:textId="77777777" w:rsidR="005376E6" w:rsidRPr="005376E6" w:rsidRDefault="005376E6" w:rsidP="005376E6">
            <w:pPr>
              <w:jc w:val="right"/>
              <w:rPr>
                <w:rFonts w:ascii="Arial Narrow" w:hAnsi="Arial Narrow" w:cs="Calibri"/>
                <w:color w:val="000000"/>
                <w:sz w:val="16"/>
                <w:szCs w:val="16"/>
                <w:lang w:val="bg-BG" w:eastAsia="bg-BG"/>
              </w:rPr>
            </w:pPr>
            <w:r w:rsidRPr="005376E6">
              <w:rPr>
                <w:rFonts w:ascii="Arial Narrow" w:hAnsi="Arial Narrow" w:cs="Calibri"/>
                <w:color w:val="000000"/>
                <w:sz w:val="16"/>
                <w:szCs w:val="16"/>
                <w:lang w:eastAsia="bg-BG"/>
              </w:rPr>
              <w:t>525</w:t>
            </w:r>
          </w:p>
        </w:tc>
        <w:tc>
          <w:tcPr>
            <w:tcW w:w="659" w:type="dxa"/>
            <w:shd w:val="clear" w:color="000000" w:fill="FFFFFF"/>
            <w:noWrap/>
            <w:vAlign w:val="center"/>
          </w:tcPr>
          <w:p w14:paraId="1D32DCDE" w14:textId="77777777" w:rsidR="005376E6" w:rsidRPr="005376E6" w:rsidRDefault="005376E6" w:rsidP="005376E6">
            <w:pPr>
              <w:jc w:val="right"/>
              <w:rPr>
                <w:rFonts w:ascii="Arial Narrow" w:hAnsi="Arial Narrow" w:cs="Calibri"/>
                <w:color w:val="000000"/>
                <w:sz w:val="16"/>
                <w:szCs w:val="16"/>
                <w:lang w:val="bg-BG" w:eastAsia="bg-BG"/>
              </w:rPr>
            </w:pPr>
            <w:r w:rsidRPr="005376E6">
              <w:rPr>
                <w:rFonts w:ascii="Arial Narrow" w:hAnsi="Arial Narrow" w:cs="Calibri"/>
                <w:color w:val="000000"/>
                <w:sz w:val="16"/>
                <w:szCs w:val="16"/>
                <w:lang w:val="bg-BG" w:eastAsia="bg-BG"/>
              </w:rPr>
              <w:t xml:space="preserve">3 </w:t>
            </w:r>
            <w:r w:rsidRPr="005376E6">
              <w:rPr>
                <w:rFonts w:ascii="Arial Narrow" w:hAnsi="Arial Narrow" w:cs="Calibri"/>
                <w:color w:val="000000"/>
                <w:sz w:val="16"/>
                <w:szCs w:val="16"/>
                <w:lang w:eastAsia="bg-BG"/>
              </w:rPr>
              <w:t>693</w:t>
            </w:r>
          </w:p>
        </w:tc>
        <w:tc>
          <w:tcPr>
            <w:tcW w:w="819" w:type="dxa"/>
            <w:shd w:val="clear" w:color="000000" w:fill="FFFFFF"/>
            <w:noWrap/>
            <w:vAlign w:val="center"/>
          </w:tcPr>
          <w:p w14:paraId="434FE865" w14:textId="77777777" w:rsidR="005376E6" w:rsidRPr="005376E6" w:rsidRDefault="005376E6" w:rsidP="005376E6">
            <w:pPr>
              <w:jc w:val="right"/>
              <w:rPr>
                <w:rFonts w:ascii="Arial Narrow" w:hAnsi="Arial Narrow" w:cs="Calibri"/>
                <w:color w:val="000000"/>
                <w:sz w:val="16"/>
                <w:szCs w:val="16"/>
                <w:lang w:val="bg-BG" w:eastAsia="bg-BG"/>
              </w:rPr>
            </w:pPr>
            <w:r w:rsidRPr="005376E6">
              <w:rPr>
                <w:rFonts w:ascii="Arial Narrow" w:hAnsi="Arial Narrow" w:cs="Calibri"/>
                <w:color w:val="000000"/>
                <w:sz w:val="16"/>
                <w:szCs w:val="16"/>
                <w:lang w:val="bg-BG" w:eastAsia="bg-BG"/>
              </w:rPr>
              <w:t>365</w:t>
            </w:r>
          </w:p>
        </w:tc>
        <w:tc>
          <w:tcPr>
            <w:tcW w:w="655" w:type="dxa"/>
            <w:shd w:val="clear" w:color="000000" w:fill="FFFFFF"/>
            <w:vAlign w:val="center"/>
          </w:tcPr>
          <w:p w14:paraId="6B9349EC" w14:textId="77777777" w:rsidR="005376E6" w:rsidRPr="005376E6" w:rsidRDefault="005376E6" w:rsidP="005376E6">
            <w:pPr>
              <w:jc w:val="right"/>
              <w:rPr>
                <w:rFonts w:ascii="Arial Narrow" w:hAnsi="Arial Narrow" w:cs="Calibri"/>
                <w:color w:val="000000"/>
                <w:sz w:val="16"/>
                <w:szCs w:val="16"/>
                <w:lang w:val="bg-BG" w:eastAsia="bg-BG"/>
              </w:rPr>
            </w:pPr>
            <w:r w:rsidRPr="005376E6">
              <w:rPr>
                <w:rFonts w:ascii="Arial Narrow" w:hAnsi="Arial Narrow" w:cs="Calibri"/>
                <w:color w:val="000000"/>
                <w:sz w:val="16"/>
                <w:szCs w:val="16"/>
                <w:lang w:eastAsia="bg-BG"/>
              </w:rPr>
              <w:t>42 801</w:t>
            </w:r>
          </w:p>
        </w:tc>
        <w:tc>
          <w:tcPr>
            <w:tcW w:w="815" w:type="dxa"/>
            <w:shd w:val="clear" w:color="000000" w:fill="FFFFFF"/>
            <w:vAlign w:val="center"/>
          </w:tcPr>
          <w:p w14:paraId="0C87DDC5" w14:textId="77777777" w:rsidR="005376E6" w:rsidRPr="005376E6" w:rsidRDefault="005376E6" w:rsidP="005376E6">
            <w:pPr>
              <w:jc w:val="right"/>
              <w:rPr>
                <w:rFonts w:ascii="Arial Narrow" w:hAnsi="Arial Narrow" w:cs="Calibri"/>
                <w:color w:val="000000"/>
                <w:sz w:val="16"/>
                <w:szCs w:val="16"/>
                <w:lang w:val="bg-BG" w:eastAsia="bg-BG"/>
              </w:rPr>
            </w:pPr>
            <w:r w:rsidRPr="005376E6">
              <w:rPr>
                <w:rFonts w:ascii="Arial Narrow" w:hAnsi="Arial Narrow" w:cs="Calibri"/>
                <w:color w:val="000000"/>
                <w:sz w:val="16"/>
                <w:szCs w:val="16"/>
                <w:lang w:eastAsia="bg-BG"/>
              </w:rPr>
              <w:t>102 723</w:t>
            </w:r>
          </w:p>
        </w:tc>
        <w:tc>
          <w:tcPr>
            <w:tcW w:w="639" w:type="dxa"/>
            <w:shd w:val="clear" w:color="000000" w:fill="FFFFFF"/>
            <w:noWrap/>
            <w:vAlign w:val="center"/>
          </w:tcPr>
          <w:p w14:paraId="53538BEF" w14:textId="77777777" w:rsidR="005376E6" w:rsidRPr="005376E6" w:rsidRDefault="005376E6" w:rsidP="005376E6">
            <w:pPr>
              <w:jc w:val="right"/>
              <w:rPr>
                <w:rFonts w:ascii="Arial Narrow" w:hAnsi="Arial Narrow" w:cs="Calibri"/>
                <w:color w:val="000000"/>
                <w:sz w:val="16"/>
                <w:szCs w:val="16"/>
                <w:lang w:val="bg-BG" w:eastAsia="bg-BG"/>
              </w:rPr>
            </w:pPr>
            <w:r w:rsidRPr="005376E6">
              <w:rPr>
                <w:rFonts w:ascii="Arial Narrow" w:hAnsi="Arial Narrow" w:cs="Calibri"/>
                <w:color w:val="000000"/>
                <w:sz w:val="16"/>
                <w:szCs w:val="16"/>
                <w:lang w:eastAsia="bg-BG"/>
              </w:rPr>
              <w:t>1 366</w:t>
            </w:r>
          </w:p>
        </w:tc>
        <w:tc>
          <w:tcPr>
            <w:tcW w:w="874" w:type="dxa"/>
            <w:shd w:val="clear" w:color="000000" w:fill="FFFFFF"/>
            <w:noWrap/>
            <w:vAlign w:val="center"/>
          </w:tcPr>
          <w:p w14:paraId="472C2099" w14:textId="77777777" w:rsidR="005376E6" w:rsidRPr="005376E6" w:rsidRDefault="005376E6" w:rsidP="005376E6">
            <w:pPr>
              <w:jc w:val="right"/>
              <w:rPr>
                <w:rFonts w:ascii="Arial Narrow" w:hAnsi="Arial Narrow" w:cs="Calibri"/>
                <w:color w:val="000000"/>
                <w:sz w:val="16"/>
                <w:szCs w:val="16"/>
                <w:lang w:val="bg-BG" w:eastAsia="bg-BG"/>
              </w:rPr>
            </w:pPr>
            <w:r w:rsidRPr="005376E6">
              <w:rPr>
                <w:rFonts w:ascii="Arial Narrow" w:hAnsi="Arial Narrow" w:cs="Calibri"/>
                <w:color w:val="000000"/>
                <w:sz w:val="16"/>
                <w:szCs w:val="16"/>
                <w:lang w:eastAsia="bg-BG"/>
              </w:rPr>
              <w:t>319</w:t>
            </w:r>
          </w:p>
        </w:tc>
      </w:tr>
      <w:tr w:rsidR="005376E6" w:rsidRPr="005376E6" w14:paraId="15C0B97F" w14:textId="77777777" w:rsidTr="00305E62">
        <w:trPr>
          <w:trHeight w:val="293"/>
        </w:trPr>
        <w:tc>
          <w:tcPr>
            <w:tcW w:w="851" w:type="dxa"/>
            <w:shd w:val="clear" w:color="000000" w:fill="FFFFFF"/>
            <w:noWrap/>
            <w:vAlign w:val="center"/>
          </w:tcPr>
          <w:p w14:paraId="1AD1B895" w14:textId="77777777" w:rsidR="005376E6" w:rsidRPr="005376E6" w:rsidRDefault="005376E6" w:rsidP="005376E6">
            <w:pPr>
              <w:rPr>
                <w:rFonts w:ascii="Arial Narrow" w:hAnsi="Arial Narrow" w:cs="Calibri"/>
                <w:color w:val="000000"/>
                <w:sz w:val="16"/>
                <w:szCs w:val="16"/>
                <w:lang w:val="bg-BG" w:eastAsia="bg-BG"/>
              </w:rPr>
            </w:pPr>
            <w:r w:rsidRPr="005376E6">
              <w:rPr>
                <w:rFonts w:ascii="Arial Narrow" w:hAnsi="Arial Narrow"/>
                <w:sz w:val="16"/>
                <w:szCs w:val="16"/>
                <w:lang w:val="bg-BG"/>
              </w:rPr>
              <w:t>Хасково</w:t>
            </w:r>
          </w:p>
        </w:tc>
        <w:tc>
          <w:tcPr>
            <w:tcW w:w="659" w:type="dxa"/>
            <w:shd w:val="clear" w:color="auto" w:fill="auto"/>
            <w:noWrap/>
            <w:vAlign w:val="center"/>
          </w:tcPr>
          <w:p w14:paraId="7AA2F363" w14:textId="77777777" w:rsidR="005376E6" w:rsidRPr="005376E6" w:rsidRDefault="005376E6" w:rsidP="005376E6">
            <w:pPr>
              <w:jc w:val="right"/>
              <w:rPr>
                <w:rFonts w:ascii="Arial Narrow" w:hAnsi="Arial Narrow" w:cs="Calibri"/>
                <w:color w:val="000000"/>
                <w:sz w:val="16"/>
                <w:szCs w:val="16"/>
                <w:lang w:val="bg-BG" w:eastAsia="bg-BG"/>
              </w:rPr>
            </w:pPr>
            <w:r w:rsidRPr="005376E6">
              <w:rPr>
                <w:rFonts w:ascii="Arial Narrow" w:hAnsi="Arial Narrow" w:cs="Calibri"/>
                <w:color w:val="000000"/>
                <w:sz w:val="16"/>
                <w:szCs w:val="16"/>
                <w:lang w:eastAsia="bg-BG"/>
              </w:rPr>
              <w:t>5</w:t>
            </w:r>
            <w:r w:rsidRPr="005376E6">
              <w:rPr>
                <w:rFonts w:ascii="Arial Narrow" w:hAnsi="Arial Narrow" w:cs="Calibri"/>
                <w:color w:val="000000"/>
                <w:sz w:val="16"/>
                <w:szCs w:val="16"/>
                <w:lang w:val="bg-BG" w:eastAsia="bg-BG"/>
              </w:rPr>
              <w:t xml:space="preserve"> </w:t>
            </w:r>
            <w:r w:rsidRPr="005376E6">
              <w:rPr>
                <w:rFonts w:ascii="Arial Narrow" w:hAnsi="Arial Narrow" w:cs="Calibri"/>
                <w:color w:val="000000"/>
                <w:sz w:val="16"/>
                <w:szCs w:val="16"/>
                <w:lang w:eastAsia="bg-BG"/>
              </w:rPr>
              <w:t>330</w:t>
            </w:r>
          </w:p>
        </w:tc>
        <w:tc>
          <w:tcPr>
            <w:tcW w:w="794" w:type="dxa"/>
            <w:shd w:val="clear" w:color="auto" w:fill="auto"/>
            <w:vAlign w:val="center"/>
          </w:tcPr>
          <w:p w14:paraId="586003D7" w14:textId="77777777" w:rsidR="005376E6" w:rsidRPr="005376E6" w:rsidRDefault="005376E6" w:rsidP="005376E6">
            <w:pPr>
              <w:jc w:val="right"/>
              <w:rPr>
                <w:rFonts w:ascii="Arial Narrow" w:hAnsi="Arial Narrow" w:cs="Calibri"/>
                <w:color w:val="000000"/>
                <w:sz w:val="16"/>
                <w:szCs w:val="16"/>
                <w:lang w:val="bg-BG" w:eastAsia="bg-BG"/>
              </w:rPr>
            </w:pPr>
            <w:r w:rsidRPr="005376E6">
              <w:rPr>
                <w:rFonts w:ascii="Arial Narrow" w:hAnsi="Arial Narrow" w:cs="Calibri"/>
                <w:color w:val="000000"/>
                <w:sz w:val="16"/>
                <w:szCs w:val="16"/>
                <w:lang w:eastAsia="bg-BG"/>
              </w:rPr>
              <w:t>1 114</w:t>
            </w:r>
          </w:p>
        </w:tc>
        <w:tc>
          <w:tcPr>
            <w:tcW w:w="659" w:type="dxa"/>
            <w:shd w:val="clear" w:color="000000" w:fill="FFFFFF"/>
            <w:noWrap/>
            <w:vAlign w:val="center"/>
          </w:tcPr>
          <w:p w14:paraId="76803814" w14:textId="77777777" w:rsidR="005376E6" w:rsidRPr="005376E6" w:rsidRDefault="005376E6" w:rsidP="005376E6">
            <w:pPr>
              <w:jc w:val="right"/>
              <w:rPr>
                <w:rFonts w:ascii="Arial Narrow" w:hAnsi="Arial Narrow" w:cs="Calibri"/>
                <w:color w:val="000000"/>
                <w:sz w:val="16"/>
                <w:szCs w:val="16"/>
                <w:lang w:val="bg-BG" w:eastAsia="bg-BG"/>
              </w:rPr>
            </w:pPr>
            <w:r w:rsidRPr="005376E6">
              <w:rPr>
                <w:rFonts w:ascii="Arial Narrow" w:hAnsi="Arial Narrow" w:cs="Calibri"/>
                <w:color w:val="000000"/>
                <w:sz w:val="16"/>
                <w:szCs w:val="16"/>
                <w:lang w:eastAsia="bg-BG"/>
              </w:rPr>
              <w:t>2 368</w:t>
            </w:r>
          </w:p>
        </w:tc>
        <w:tc>
          <w:tcPr>
            <w:tcW w:w="819" w:type="dxa"/>
            <w:shd w:val="clear" w:color="000000" w:fill="FFFFFF"/>
            <w:noWrap/>
            <w:vAlign w:val="center"/>
          </w:tcPr>
          <w:p w14:paraId="2FF44377" w14:textId="77777777" w:rsidR="005376E6" w:rsidRPr="005376E6" w:rsidRDefault="005376E6" w:rsidP="005376E6">
            <w:pPr>
              <w:jc w:val="right"/>
              <w:rPr>
                <w:rFonts w:ascii="Arial Narrow" w:hAnsi="Arial Narrow" w:cs="Calibri"/>
                <w:color w:val="000000"/>
                <w:sz w:val="16"/>
                <w:szCs w:val="16"/>
                <w:lang w:val="bg-BG" w:eastAsia="bg-BG"/>
              </w:rPr>
            </w:pPr>
            <w:r w:rsidRPr="005376E6">
              <w:rPr>
                <w:rFonts w:ascii="Arial Narrow" w:hAnsi="Arial Narrow" w:cs="Calibri"/>
                <w:color w:val="000000"/>
                <w:sz w:val="16"/>
                <w:szCs w:val="16"/>
                <w:lang w:eastAsia="bg-BG"/>
              </w:rPr>
              <w:t>357</w:t>
            </w:r>
          </w:p>
        </w:tc>
        <w:tc>
          <w:tcPr>
            <w:tcW w:w="659" w:type="dxa"/>
            <w:shd w:val="clear" w:color="000000" w:fill="FFFFFF"/>
            <w:noWrap/>
            <w:vAlign w:val="center"/>
          </w:tcPr>
          <w:p w14:paraId="48CCEACC" w14:textId="77777777" w:rsidR="005376E6" w:rsidRPr="005376E6" w:rsidRDefault="005376E6" w:rsidP="005376E6">
            <w:pPr>
              <w:jc w:val="right"/>
              <w:rPr>
                <w:rFonts w:ascii="Arial Narrow" w:hAnsi="Arial Narrow" w:cs="Calibri"/>
                <w:color w:val="000000"/>
                <w:sz w:val="16"/>
                <w:szCs w:val="16"/>
                <w:lang w:val="bg-BG" w:eastAsia="bg-BG"/>
              </w:rPr>
            </w:pPr>
            <w:r w:rsidRPr="005376E6">
              <w:rPr>
                <w:rFonts w:ascii="Arial Narrow" w:hAnsi="Arial Narrow" w:cs="Calibri"/>
                <w:color w:val="000000"/>
                <w:sz w:val="16"/>
                <w:szCs w:val="16"/>
                <w:lang w:val="bg-BG" w:eastAsia="bg-BG"/>
              </w:rPr>
              <w:t>283</w:t>
            </w:r>
          </w:p>
        </w:tc>
        <w:tc>
          <w:tcPr>
            <w:tcW w:w="819" w:type="dxa"/>
            <w:shd w:val="clear" w:color="000000" w:fill="FFFFFF"/>
            <w:noWrap/>
            <w:vAlign w:val="center"/>
          </w:tcPr>
          <w:p w14:paraId="78586148" w14:textId="77777777" w:rsidR="005376E6" w:rsidRPr="005376E6" w:rsidRDefault="005376E6" w:rsidP="005376E6">
            <w:pPr>
              <w:jc w:val="right"/>
              <w:rPr>
                <w:rFonts w:ascii="Arial Narrow" w:hAnsi="Arial Narrow" w:cs="Calibri"/>
                <w:color w:val="000000"/>
                <w:sz w:val="16"/>
                <w:szCs w:val="16"/>
                <w:lang w:val="bg-BG" w:eastAsia="bg-BG"/>
              </w:rPr>
            </w:pPr>
            <w:r w:rsidRPr="005376E6">
              <w:rPr>
                <w:rFonts w:ascii="Arial Narrow" w:hAnsi="Arial Narrow" w:cs="Calibri"/>
                <w:color w:val="000000"/>
                <w:sz w:val="16"/>
                <w:szCs w:val="16"/>
                <w:lang w:eastAsia="bg-BG"/>
              </w:rPr>
              <w:t>35</w:t>
            </w:r>
          </w:p>
        </w:tc>
        <w:tc>
          <w:tcPr>
            <w:tcW w:w="659" w:type="dxa"/>
            <w:shd w:val="clear" w:color="000000" w:fill="FFFFFF"/>
            <w:noWrap/>
            <w:vAlign w:val="center"/>
          </w:tcPr>
          <w:p w14:paraId="71990ACD" w14:textId="77777777" w:rsidR="005376E6" w:rsidRPr="005376E6" w:rsidRDefault="005376E6" w:rsidP="005376E6">
            <w:pPr>
              <w:jc w:val="right"/>
              <w:rPr>
                <w:rFonts w:ascii="Arial Narrow" w:hAnsi="Arial Narrow" w:cs="Calibri"/>
                <w:color w:val="000000"/>
                <w:sz w:val="16"/>
                <w:szCs w:val="16"/>
                <w:lang w:val="bg-BG" w:eastAsia="bg-BG"/>
              </w:rPr>
            </w:pPr>
            <w:r w:rsidRPr="005376E6">
              <w:rPr>
                <w:rFonts w:ascii="Arial Narrow" w:hAnsi="Arial Narrow" w:cs="Calibri"/>
                <w:color w:val="000000"/>
                <w:sz w:val="16"/>
                <w:szCs w:val="16"/>
                <w:lang w:val="bg-BG" w:eastAsia="bg-BG"/>
              </w:rPr>
              <w:t xml:space="preserve">1 </w:t>
            </w:r>
            <w:r w:rsidRPr="005376E6">
              <w:rPr>
                <w:rFonts w:ascii="Arial Narrow" w:hAnsi="Arial Narrow" w:cs="Calibri"/>
                <w:color w:val="000000"/>
                <w:sz w:val="16"/>
                <w:szCs w:val="16"/>
                <w:lang w:eastAsia="bg-BG"/>
              </w:rPr>
              <w:t>725</w:t>
            </w:r>
          </w:p>
        </w:tc>
        <w:tc>
          <w:tcPr>
            <w:tcW w:w="819" w:type="dxa"/>
            <w:shd w:val="clear" w:color="000000" w:fill="FFFFFF"/>
            <w:noWrap/>
            <w:vAlign w:val="center"/>
          </w:tcPr>
          <w:p w14:paraId="17406039" w14:textId="77777777" w:rsidR="005376E6" w:rsidRPr="005376E6" w:rsidRDefault="005376E6" w:rsidP="005376E6">
            <w:pPr>
              <w:jc w:val="right"/>
              <w:rPr>
                <w:rFonts w:ascii="Arial Narrow" w:hAnsi="Arial Narrow" w:cs="Calibri"/>
                <w:color w:val="000000"/>
                <w:sz w:val="16"/>
                <w:szCs w:val="16"/>
                <w:lang w:val="bg-BG" w:eastAsia="bg-BG"/>
              </w:rPr>
            </w:pPr>
            <w:r w:rsidRPr="005376E6">
              <w:rPr>
                <w:rFonts w:ascii="Arial Narrow" w:hAnsi="Arial Narrow" w:cs="Calibri"/>
                <w:color w:val="000000"/>
                <w:sz w:val="16"/>
                <w:szCs w:val="16"/>
                <w:lang w:eastAsia="bg-BG"/>
              </w:rPr>
              <w:t>618</w:t>
            </w:r>
          </w:p>
        </w:tc>
        <w:tc>
          <w:tcPr>
            <w:tcW w:w="659" w:type="dxa"/>
            <w:shd w:val="clear" w:color="000000" w:fill="FFFFFF"/>
            <w:noWrap/>
            <w:vAlign w:val="center"/>
          </w:tcPr>
          <w:p w14:paraId="1BB82707" w14:textId="77777777" w:rsidR="005376E6" w:rsidRPr="005376E6" w:rsidRDefault="005376E6" w:rsidP="005376E6">
            <w:pPr>
              <w:jc w:val="right"/>
              <w:rPr>
                <w:rFonts w:ascii="Arial Narrow" w:hAnsi="Arial Narrow" w:cs="Calibri"/>
                <w:color w:val="000000"/>
                <w:sz w:val="16"/>
                <w:szCs w:val="16"/>
                <w:lang w:val="bg-BG" w:eastAsia="bg-BG"/>
              </w:rPr>
            </w:pPr>
            <w:r w:rsidRPr="005376E6">
              <w:rPr>
                <w:rFonts w:ascii="Arial Narrow" w:hAnsi="Arial Narrow" w:cs="Calibri"/>
                <w:color w:val="000000"/>
                <w:sz w:val="16"/>
                <w:szCs w:val="16"/>
                <w:lang w:eastAsia="bg-BG"/>
              </w:rPr>
              <w:t>574</w:t>
            </w:r>
          </w:p>
        </w:tc>
        <w:tc>
          <w:tcPr>
            <w:tcW w:w="819" w:type="dxa"/>
            <w:shd w:val="clear" w:color="000000" w:fill="FFFFFF"/>
            <w:noWrap/>
            <w:vAlign w:val="center"/>
          </w:tcPr>
          <w:p w14:paraId="02BDF37D" w14:textId="77777777" w:rsidR="005376E6" w:rsidRPr="005376E6" w:rsidRDefault="005376E6" w:rsidP="005376E6">
            <w:pPr>
              <w:jc w:val="right"/>
              <w:rPr>
                <w:rFonts w:ascii="Arial Narrow" w:hAnsi="Arial Narrow" w:cs="Calibri"/>
                <w:color w:val="000000"/>
                <w:sz w:val="16"/>
                <w:szCs w:val="16"/>
                <w:lang w:val="bg-BG" w:eastAsia="bg-BG"/>
              </w:rPr>
            </w:pPr>
            <w:r w:rsidRPr="005376E6">
              <w:rPr>
                <w:rFonts w:ascii="Arial Narrow" w:hAnsi="Arial Narrow" w:cs="Calibri"/>
                <w:color w:val="000000"/>
                <w:sz w:val="16"/>
                <w:szCs w:val="16"/>
                <w:lang w:eastAsia="bg-BG"/>
              </w:rPr>
              <w:t>53</w:t>
            </w:r>
          </w:p>
        </w:tc>
        <w:tc>
          <w:tcPr>
            <w:tcW w:w="655" w:type="dxa"/>
            <w:shd w:val="clear" w:color="000000" w:fill="FFFFFF"/>
            <w:vAlign w:val="center"/>
          </w:tcPr>
          <w:p w14:paraId="4C32C1E0" w14:textId="77777777" w:rsidR="005376E6" w:rsidRPr="005376E6" w:rsidRDefault="005376E6" w:rsidP="005376E6">
            <w:pPr>
              <w:jc w:val="right"/>
              <w:rPr>
                <w:rFonts w:ascii="Arial Narrow" w:hAnsi="Arial Narrow" w:cs="Calibri"/>
                <w:color w:val="000000"/>
                <w:sz w:val="16"/>
                <w:szCs w:val="16"/>
                <w:lang w:val="bg-BG" w:eastAsia="bg-BG"/>
              </w:rPr>
            </w:pPr>
            <w:r w:rsidRPr="005376E6">
              <w:rPr>
                <w:rFonts w:ascii="Arial Narrow" w:hAnsi="Arial Narrow" w:cs="Calibri"/>
                <w:color w:val="000000"/>
                <w:sz w:val="16"/>
                <w:szCs w:val="16"/>
                <w:lang w:val="bg-BG" w:eastAsia="bg-BG"/>
              </w:rPr>
              <w:t>0</w:t>
            </w:r>
          </w:p>
        </w:tc>
        <w:tc>
          <w:tcPr>
            <w:tcW w:w="815" w:type="dxa"/>
            <w:shd w:val="clear" w:color="000000" w:fill="FFFFFF"/>
            <w:vAlign w:val="center"/>
          </w:tcPr>
          <w:p w14:paraId="52448272" w14:textId="77777777" w:rsidR="005376E6" w:rsidRPr="005376E6" w:rsidRDefault="005376E6" w:rsidP="005376E6">
            <w:pPr>
              <w:jc w:val="right"/>
              <w:rPr>
                <w:rFonts w:ascii="Arial Narrow" w:hAnsi="Arial Narrow" w:cs="Calibri"/>
                <w:color w:val="000000"/>
                <w:sz w:val="16"/>
                <w:szCs w:val="16"/>
                <w:lang w:val="bg-BG" w:eastAsia="bg-BG"/>
              </w:rPr>
            </w:pPr>
            <w:r w:rsidRPr="005376E6">
              <w:rPr>
                <w:rFonts w:ascii="Arial Narrow" w:hAnsi="Arial Narrow" w:cs="Calibri"/>
                <w:color w:val="000000"/>
                <w:sz w:val="16"/>
                <w:szCs w:val="16"/>
                <w:lang w:val="bg-BG" w:eastAsia="bg-BG"/>
              </w:rPr>
              <w:t> </w:t>
            </w:r>
          </w:p>
        </w:tc>
        <w:tc>
          <w:tcPr>
            <w:tcW w:w="639" w:type="dxa"/>
            <w:shd w:val="clear" w:color="000000" w:fill="FFFFFF"/>
            <w:noWrap/>
            <w:vAlign w:val="center"/>
          </w:tcPr>
          <w:p w14:paraId="294D389D" w14:textId="77777777" w:rsidR="005376E6" w:rsidRPr="005376E6" w:rsidRDefault="005376E6" w:rsidP="005376E6">
            <w:pPr>
              <w:jc w:val="right"/>
              <w:rPr>
                <w:rFonts w:ascii="Arial Narrow" w:hAnsi="Arial Narrow" w:cs="Calibri"/>
                <w:color w:val="000000"/>
                <w:sz w:val="16"/>
                <w:szCs w:val="16"/>
                <w:lang w:val="bg-BG" w:eastAsia="bg-BG"/>
              </w:rPr>
            </w:pPr>
            <w:r w:rsidRPr="005376E6">
              <w:rPr>
                <w:rFonts w:ascii="Arial Narrow" w:hAnsi="Arial Narrow" w:cs="Calibri"/>
                <w:color w:val="000000"/>
                <w:sz w:val="16"/>
                <w:szCs w:val="16"/>
                <w:lang w:eastAsia="bg-BG"/>
              </w:rPr>
              <w:t>380</w:t>
            </w:r>
          </w:p>
        </w:tc>
        <w:tc>
          <w:tcPr>
            <w:tcW w:w="874" w:type="dxa"/>
            <w:shd w:val="clear" w:color="000000" w:fill="FFFFFF"/>
            <w:noWrap/>
            <w:vAlign w:val="center"/>
          </w:tcPr>
          <w:p w14:paraId="1281B9C7" w14:textId="77777777" w:rsidR="005376E6" w:rsidRPr="005376E6" w:rsidRDefault="005376E6" w:rsidP="005376E6">
            <w:pPr>
              <w:jc w:val="right"/>
              <w:rPr>
                <w:rFonts w:ascii="Arial Narrow" w:hAnsi="Arial Narrow" w:cs="Calibri"/>
                <w:color w:val="000000"/>
                <w:sz w:val="16"/>
                <w:szCs w:val="16"/>
                <w:lang w:val="bg-BG" w:eastAsia="bg-BG"/>
              </w:rPr>
            </w:pPr>
            <w:r w:rsidRPr="005376E6">
              <w:rPr>
                <w:rFonts w:ascii="Arial Narrow" w:hAnsi="Arial Narrow" w:cs="Calibri"/>
                <w:color w:val="000000"/>
                <w:sz w:val="16"/>
                <w:szCs w:val="16"/>
                <w:lang w:eastAsia="bg-BG"/>
              </w:rPr>
              <w:t>51</w:t>
            </w:r>
          </w:p>
        </w:tc>
      </w:tr>
      <w:tr w:rsidR="005376E6" w:rsidRPr="005376E6" w14:paraId="4C1199A2" w14:textId="77777777" w:rsidTr="00305E62">
        <w:trPr>
          <w:trHeight w:val="498"/>
        </w:trPr>
        <w:tc>
          <w:tcPr>
            <w:tcW w:w="851" w:type="dxa"/>
            <w:shd w:val="clear" w:color="000000" w:fill="FFFFFF"/>
            <w:vAlign w:val="center"/>
          </w:tcPr>
          <w:p w14:paraId="1D990B70" w14:textId="77777777" w:rsidR="005376E6" w:rsidRPr="005376E6" w:rsidRDefault="005376E6" w:rsidP="005376E6">
            <w:pPr>
              <w:rPr>
                <w:rFonts w:ascii="Arial Narrow" w:hAnsi="Arial Narrow"/>
                <w:sz w:val="16"/>
                <w:szCs w:val="16"/>
                <w:lang w:val="bg-BG"/>
              </w:rPr>
            </w:pPr>
            <w:r w:rsidRPr="005376E6">
              <w:rPr>
                <w:rFonts w:ascii="Arial Narrow" w:hAnsi="Arial Narrow"/>
                <w:sz w:val="16"/>
                <w:szCs w:val="16"/>
                <w:lang w:val="bg-BG"/>
              </w:rPr>
              <w:t xml:space="preserve">Черно </w:t>
            </w:r>
          </w:p>
          <w:p w14:paraId="13589A69" w14:textId="77777777" w:rsidR="005376E6" w:rsidRPr="005376E6" w:rsidRDefault="005376E6" w:rsidP="005376E6">
            <w:pPr>
              <w:rPr>
                <w:rFonts w:ascii="Arial Narrow" w:hAnsi="Arial Narrow" w:cs="Calibri"/>
                <w:color w:val="000000"/>
                <w:sz w:val="16"/>
                <w:szCs w:val="16"/>
                <w:lang w:val="bg-BG" w:eastAsia="bg-BG"/>
              </w:rPr>
            </w:pPr>
            <w:r w:rsidRPr="005376E6">
              <w:rPr>
                <w:rFonts w:ascii="Arial Narrow" w:hAnsi="Arial Narrow"/>
                <w:sz w:val="16"/>
                <w:szCs w:val="16"/>
                <w:lang w:val="bg-BG"/>
              </w:rPr>
              <w:t xml:space="preserve">Море </w:t>
            </w:r>
          </w:p>
        </w:tc>
        <w:tc>
          <w:tcPr>
            <w:tcW w:w="659" w:type="dxa"/>
            <w:shd w:val="clear" w:color="auto" w:fill="auto"/>
            <w:noWrap/>
            <w:vAlign w:val="center"/>
          </w:tcPr>
          <w:p w14:paraId="49287600" w14:textId="77777777" w:rsidR="005376E6" w:rsidRPr="005376E6" w:rsidRDefault="005376E6" w:rsidP="005376E6">
            <w:pPr>
              <w:jc w:val="right"/>
              <w:rPr>
                <w:rFonts w:ascii="Arial Narrow" w:hAnsi="Arial Narrow" w:cs="Calibri"/>
                <w:color w:val="000000"/>
                <w:sz w:val="16"/>
                <w:szCs w:val="16"/>
                <w:lang w:val="bg-BG" w:eastAsia="bg-BG"/>
              </w:rPr>
            </w:pPr>
            <w:r w:rsidRPr="005376E6">
              <w:rPr>
                <w:rFonts w:ascii="Arial Narrow" w:hAnsi="Arial Narrow" w:cs="Calibri"/>
                <w:color w:val="000000"/>
                <w:sz w:val="16"/>
                <w:szCs w:val="16"/>
                <w:lang w:eastAsia="bg-BG"/>
              </w:rPr>
              <w:t>2 332</w:t>
            </w:r>
          </w:p>
        </w:tc>
        <w:tc>
          <w:tcPr>
            <w:tcW w:w="794" w:type="dxa"/>
            <w:shd w:val="clear" w:color="auto" w:fill="auto"/>
            <w:vAlign w:val="center"/>
          </w:tcPr>
          <w:p w14:paraId="3043BF42" w14:textId="77777777" w:rsidR="005376E6" w:rsidRPr="005376E6" w:rsidRDefault="005376E6" w:rsidP="005376E6">
            <w:pPr>
              <w:jc w:val="right"/>
              <w:rPr>
                <w:rFonts w:ascii="Arial Narrow" w:hAnsi="Arial Narrow" w:cs="Calibri"/>
                <w:color w:val="000000"/>
                <w:sz w:val="16"/>
                <w:szCs w:val="16"/>
                <w:lang w:val="bg-BG" w:eastAsia="bg-BG"/>
              </w:rPr>
            </w:pPr>
            <w:r w:rsidRPr="005376E6">
              <w:rPr>
                <w:rFonts w:ascii="Arial Narrow" w:hAnsi="Arial Narrow" w:cs="Calibri"/>
                <w:color w:val="000000"/>
                <w:sz w:val="16"/>
                <w:szCs w:val="16"/>
                <w:lang w:eastAsia="bg-BG"/>
              </w:rPr>
              <w:t>383</w:t>
            </w:r>
          </w:p>
        </w:tc>
        <w:tc>
          <w:tcPr>
            <w:tcW w:w="659" w:type="dxa"/>
            <w:shd w:val="clear" w:color="000000" w:fill="FFFFFF"/>
            <w:noWrap/>
            <w:vAlign w:val="center"/>
          </w:tcPr>
          <w:p w14:paraId="320D17FA" w14:textId="77777777" w:rsidR="005376E6" w:rsidRPr="005376E6" w:rsidRDefault="005376E6" w:rsidP="005376E6">
            <w:pPr>
              <w:jc w:val="right"/>
              <w:rPr>
                <w:rFonts w:ascii="Arial Narrow" w:hAnsi="Arial Narrow" w:cs="Calibri"/>
                <w:color w:val="000000"/>
                <w:sz w:val="16"/>
                <w:szCs w:val="16"/>
                <w:lang w:val="bg-BG" w:eastAsia="bg-BG"/>
              </w:rPr>
            </w:pPr>
            <w:r w:rsidRPr="005376E6">
              <w:rPr>
                <w:rFonts w:ascii="Arial Narrow" w:hAnsi="Arial Narrow" w:cs="Calibri"/>
                <w:color w:val="000000"/>
                <w:sz w:val="16"/>
                <w:szCs w:val="16"/>
                <w:lang w:eastAsia="bg-BG"/>
              </w:rPr>
              <w:t>166</w:t>
            </w:r>
          </w:p>
        </w:tc>
        <w:tc>
          <w:tcPr>
            <w:tcW w:w="819" w:type="dxa"/>
            <w:shd w:val="clear" w:color="000000" w:fill="FFFFFF"/>
            <w:noWrap/>
            <w:vAlign w:val="center"/>
          </w:tcPr>
          <w:p w14:paraId="3B5D92DC" w14:textId="77777777" w:rsidR="005376E6" w:rsidRPr="005376E6" w:rsidRDefault="005376E6" w:rsidP="005376E6">
            <w:pPr>
              <w:jc w:val="right"/>
              <w:rPr>
                <w:rFonts w:ascii="Arial Narrow" w:hAnsi="Arial Narrow" w:cs="Calibri"/>
                <w:color w:val="000000"/>
                <w:sz w:val="16"/>
                <w:szCs w:val="16"/>
                <w:lang w:val="bg-BG" w:eastAsia="bg-BG"/>
              </w:rPr>
            </w:pPr>
            <w:r w:rsidRPr="005376E6">
              <w:rPr>
                <w:rFonts w:ascii="Arial Narrow" w:hAnsi="Arial Narrow" w:cs="Calibri"/>
                <w:color w:val="000000"/>
                <w:sz w:val="16"/>
                <w:szCs w:val="16"/>
                <w:lang w:eastAsia="bg-BG"/>
              </w:rPr>
              <w:t>34</w:t>
            </w:r>
          </w:p>
        </w:tc>
        <w:tc>
          <w:tcPr>
            <w:tcW w:w="659" w:type="dxa"/>
            <w:shd w:val="clear" w:color="000000" w:fill="FFFFFF"/>
            <w:noWrap/>
            <w:vAlign w:val="center"/>
          </w:tcPr>
          <w:p w14:paraId="0FD7CEE0" w14:textId="77777777" w:rsidR="005376E6" w:rsidRPr="005376E6" w:rsidRDefault="005376E6" w:rsidP="005376E6">
            <w:pPr>
              <w:jc w:val="right"/>
              <w:rPr>
                <w:rFonts w:ascii="Arial Narrow" w:hAnsi="Arial Narrow" w:cs="Calibri"/>
                <w:color w:val="000000"/>
                <w:sz w:val="16"/>
                <w:szCs w:val="16"/>
                <w:lang w:val="bg-BG" w:eastAsia="bg-BG"/>
              </w:rPr>
            </w:pPr>
            <w:r w:rsidRPr="005376E6">
              <w:rPr>
                <w:rFonts w:ascii="Arial Narrow" w:hAnsi="Arial Narrow" w:cs="Calibri"/>
                <w:color w:val="000000"/>
                <w:sz w:val="16"/>
                <w:szCs w:val="16"/>
                <w:lang w:val="bg-BG" w:eastAsia="bg-BG"/>
              </w:rPr>
              <w:t>0</w:t>
            </w:r>
          </w:p>
        </w:tc>
        <w:tc>
          <w:tcPr>
            <w:tcW w:w="819" w:type="dxa"/>
            <w:shd w:val="clear" w:color="000000" w:fill="FFFFFF"/>
            <w:noWrap/>
            <w:vAlign w:val="center"/>
          </w:tcPr>
          <w:p w14:paraId="65282FC1" w14:textId="77777777" w:rsidR="005376E6" w:rsidRPr="005376E6" w:rsidRDefault="005376E6" w:rsidP="005376E6">
            <w:pPr>
              <w:jc w:val="right"/>
              <w:rPr>
                <w:rFonts w:ascii="Arial Narrow" w:hAnsi="Arial Narrow" w:cs="Calibri"/>
                <w:color w:val="000000"/>
                <w:sz w:val="16"/>
                <w:szCs w:val="16"/>
                <w:lang w:val="bg-BG" w:eastAsia="bg-BG"/>
              </w:rPr>
            </w:pPr>
            <w:r w:rsidRPr="005376E6">
              <w:rPr>
                <w:rFonts w:ascii="Arial Narrow" w:hAnsi="Arial Narrow" w:cs="Calibri"/>
                <w:color w:val="000000"/>
                <w:sz w:val="16"/>
                <w:szCs w:val="16"/>
                <w:lang w:val="bg-BG" w:eastAsia="bg-BG"/>
              </w:rPr>
              <w:t>0</w:t>
            </w:r>
          </w:p>
        </w:tc>
        <w:tc>
          <w:tcPr>
            <w:tcW w:w="659" w:type="dxa"/>
            <w:shd w:val="clear" w:color="000000" w:fill="FFFFFF"/>
            <w:noWrap/>
            <w:vAlign w:val="center"/>
          </w:tcPr>
          <w:p w14:paraId="51BCEAC9" w14:textId="77777777" w:rsidR="005376E6" w:rsidRPr="005376E6" w:rsidRDefault="005376E6" w:rsidP="005376E6">
            <w:pPr>
              <w:jc w:val="right"/>
              <w:rPr>
                <w:rFonts w:ascii="Arial Narrow" w:hAnsi="Arial Narrow" w:cs="Calibri"/>
                <w:color w:val="000000"/>
                <w:sz w:val="16"/>
                <w:szCs w:val="16"/>
                <w:lang w:val="bg-BG" w:eastAsia="bg-BG"/>
              </w:rPr>
            </w:pPr>
            <w:r w:rsidRPr="005376E6">
              <w:rPr>
                <w:rFonts w:ascii="Arial Narrow" w:hAnsi="Arial Narrow" w:cs="Calibri"/>
                <w:color w:val="000000"/>
                <w:sz w:val="16"/>
                <w:szCs w:val="16"/>
                <w:lang w:eastAsia="bg-BG"/>
              </w:rPr>
              <w:t>1 540</w:t>
            </w:r>
          </w:p>
        </w:tc>
        <w:tc>
          <w:tcPr>
            <w:tcW w:w="819" w:type="dxa"/>
            <w:shd w:val="clear" w:color="000000" w:fill="FFFFFF"/>
            <w:noWrap/>
            <w:vAlign w:val="center"/>
          </w:tcPr>
          <w:p w14:paraId="5787FB88" w14:textId="77777777" w:rsidR="005376E6" w:rsidRPr="005376E6" w:rsidRDefault="005376E6" w:rsidP="005376E6">
            <w:pPr>
              <w:jc w:val="right"/>
              <w:rPr>
                <w:rFonts w:ascii="Arial Narrow" w:hAnsi="Arial Narrow" w:cs="Calibri"/>
                <w:color w:val="000000"/>
                <w:sz w:val="16"/>
                <w:szCs w:val="16"/>
                <w:lang w:val="bg-BG" w:eastAsia="bg-BG"/>
              </w:rPr>
            </w:pPr>
            <w:r w:rsidRPr="005376E6">
              <w:rPr>
                <w:rFonts w:ascii="Arial Narrow" w:hAnsi="Arial Narrow" w:cs="Calibri"/>
                <w:color w:val="000000"/>
                <w:sz w:val="16"/>
                <w:szCs w:val="16"/>
                <w:lang w:eastAsia="bg-BG"/>
              </w:rPr>
              <w:t>289</w:t>
            </w:r>
          </w:p>
        </w:tc>
        <w:tc>
          <w:tcPr>
            <w:tcW w:w="659" w:type="dxa"/>
            <w:shd w:val="clear" w:color="000000" w:fill="FFFFFF"/>
            <w:noWrap/>
            <w:vAlign w:val="center"/>
          </w:tcPr>
          <w:p w14:paraId="16C97A6F" w14:textId="77777777" w:rsidR="005376E6" w:rsidRPr="005376E6" w:rsidRDefault="005376E6" w:rsidP="005376E6">
            <w:pPr>
              <w:jc w:val="right"/>
              <w:rPr>
                <w:rFonts w:ascii="Arial Narrow" w:hAnsi="Arial Narrow" w:cs="Calibri"/>
                <w:color w:val="000000"/>
                <w:sz w:val="16"/>
                <w:szCs w:val="16"/>
                <w:lang w:val="bg-BG" w:eastAsia="bg-BG"/>
              </w:rPr>
            </w:pPr>
            <w:r w:rsidRPr="005376E6">
              <w:rPr>
                <w:rFonts w:ascii="Arial Narrow" w:hAnsi="Arial Narrow" w:cs="Calibri"/>
                <w:color w:val="000000"/>
                <w:sz w:val="16"/>
                <w:szCs w:val="16"/>
                <w:lang w:eastAsia="bg-BG"/>
              </w:rPr>
              <w:t>458</w:t>
            </w:r>
          </w:p>
        </w:tc>
        <w:tc>
          <w:tcPr>
            <w:tcW w:w="819" w:type="dxa"/>
            <w:shd w:val="clear" w:color="000000" w:fill="FFFFFF"/>
            <w:noWrap/>
            <w:vAlign w:val="center"/>
          </w:tcPr>
          <w:p w14:paraId="4A6AA8A0" w14:textId="77777777" w:rsidR="005376E6" w:rsidRPr="005376E6" w:rsidRDefault="005376E6" w:rsidP="005376E6">
            <w:pPr>
              <w:jc w:val="right"/>
              <w:rPr>
                <w:rFonts w:ascii="Arial Narrow" w:hAnsi="Arial Narrow" w:cs="Calibri"/>
                <w:color w:val="000000"/>
                <w:sz w:val="16"/>
                <w:szCs w:val="16"/>
                <w:lang w:val="bg-BG" w:eastAsia="bg-BG"/>
              </w:rPr>
            </w:pPr>
            <w:r w:rsidRPr="005376E6">
              <w:rPr>
                <w:rFonts w:ascii="Arial Narrow" w:hAnsi="Arial Narrow" w:cs="Calibri"/>
                <w:color w:val="000000"/>
                <w:sz w:val="16"/>
                <w:szCs w:val="16"/>
                <w:lang w:eastAsia="bg-BG"/>
              </w:rPr>
              <w:t>59</w:t>
            </w:r>
          </w:p>
        </w:tc>
        <w:tc>
          <w:tcPr>
            <w:tcW w:w="655" w:type="dxa"/>
            <w:shd w:val="clear" w:color="000000" w:fill="FFFFFF"/>
            <w:vAlign w:val="center"/>
          </w:tcPr>
          <w:p w14:paraId="78D3D3B8" w14:textId="77777777" w:rsidR="005376E6" w:rsidRPr="005376E6" w:rsidRDefault="005376E6" w:rsidP="005376E6">
            <w:pPr>
              <w:jc w:val="right"/>
              <w:rPr>
                <w:rFonts w:ascii="Arial Narrow" w:hAnsi="Arial Narrow" w:cs="Calibri"/>
                <w:color w:val="000000"/>
                <w:sz w:val="16"/>
                <w:szCs w:val="16"/>
                <w:lang w:val="bg-BG" w:eastAsia="bg-BG"/>
              </w:rPr>
            </w:pPr>
            <w:r w:rsidRPr="005376E6">
              <w:rPr>
                <w:rFonts w:ascii="Arial Narrow" w:hAnsi="Arial Narrow" w:cs="Calibri"/>
                <w:color w:val="000000"/>
                <w:sz w:val="16"/>
                <w:szCs w:val="16"/>
                <w:lang w:val="bg-BG" w:eastAsia="bg-BG"/>
              </w:rPr>
              <w:t>0</w:t>
            </w:r>
          </w:p>
        </w:tc>
        <w:tc>
          <w:tcPr>
            <w:tcW w:w="815" w:type="dxa"/>
            <w:shd w:val="clear" w:color="000000" w:fill="FFFFFF"/>
            <w:vAlign w:val="center"/>
          </w:tcPr>
          <w:p w14:paraId="716E32A0" w14:textId="77777777" w:rsidR="005376E6" w:rsidRPr="005376E6" w:rsidRDefault="005376E6" w:rsidP="005376E6">
            <w:pPr>
              <w:jc w:val="right"/>
              <w:rPr>
                <w:rFonts w:ascii="Arial Narrow" w:hAnsi="Arial Narrow" w:cs="Calibri"/>
                <w:color w:val="000000"/>
                <w:sz w:val="16"/>
                <w:szCs w:val="16"/>
                <w:lang w:val="bg-BG" w:eastAsia="bg-BG"/>
              </w:rPr>
            </w:pPr>
            <w:r w:rsidRPr="005376E6">
              <w:rPr>
                <w:rFonts w:ascii="Arial Narrow" w:hAnsi="Arial Narrow" w:cs="Calibri"/>
                <w:color w:val="000000"/>
                <w:sz w:val="16"/>
                <w:szCs w:val="16"/>
                <w:lang w:val="bg-BG" w:eastAsia="bg-BG"/>
              </w:rPr>
              <w:t> </w:t>
            </w:r>
          </w:p>
        </w:tc>
        <w:tc>
          <w:tcPr>
            <w:tcW w:w="639" w:type="dxa"/>
            <w:shd w:val="clear" w:color="000000" w:fill="FFFFFF"/>
            <w:noWrap/>
            <w:vAlign w:val="center"/>
          </w:tcPr>
          <w:p w14:paraId="2B991CD6" w14:textId="77777777" w:rsidR="005376E6" w:rsidRPr="005376E6" w:rsidRDefault="005376E6" w:rsidP="005376E6">
            <w:pPr>
              <w:jc w:val="right"/>
              <w:rPr>
                <w:rFonts w:ascii="Arial Narrow" w:hAnsi="Arial Narrow" w:cs="Calibri"/>
                <w:color w:val="000000"/>
                <w:sz w:val="16"/>
                <w:szCs w:val="16"/>
                <w:lang w:val="bg-BG" w:eastAsia="bg-BG"/>
              </w:rPr>
            </w:pPr>
            <w:r w:rsidRPr="005376E6">
              <w:rPr>
                <w:rFonts w:ascii="Arial Narrow" w:hAnsi="Arial Narrow" w:cs="Calibri"/>
                <w:color w:val="000000"/>
                <w:sz w:val="16"/>
                <w:szCs w:val="16"/>
                <w:lang w:eastAsia="bg-BG"/>
              </w:rPr>
              <w:t>168</w:t>
            </w:r>
          </w:p>
        </w:tc>
        <w:tc>
          <w:tcPr>
            <w:tcW w:w="874" w:type="dxa"/>
            <w:shd w:val="clear" w:color="000000" w:fill="FFFFFF"/>
            <w:noWrap/>
            <w:vAlign w:val="center"/>
          </w:tcPr>
          <w:p w14:paraId="2BF40932" w14:textId="77777777" w:rsidR="005376E6" w:rsidRPr="005376E6" w:rsidRDefault="005376E6" w:rsidP="005376E6">
            <w:pPr>
              <w:jc w:val="right"/>
              <w:rPr>
                <w:rFonts w:ascii="Arial Narrow" w:hAnsi="Arial Narrow" w:cs="Calibri"/>
                <w:color w:val="000000"/>
                <w:sz w:val="16"/>
                <w:szCs w:val="16"/>
                <w:lang w:val="bg-BG" w:eastAsia="bg-BG"/>
              </w:rPr>
            </w:pPr>
            <w:r w:rsidRPr="005376E6">
              <w:rPr>
                <w:rFonts w:ascii="Arial Narrow" w:hAnsi="Arial Narrow" w:cs="Calibri"/>
                <w:color w:val="000000"/>
                <w:sz w:val="16"/>
                <w:szCs w:val="16"/>
                <w:lang w:eastAsia="bg-BG"/>
              </w:rPr>
              <w:t>1</w:t>
            </w:r>
          </w:p>
        </w:tc>
      </w:tr>
      <w:tr w:rsidR="005376E6" w:rsidRPr="005376E6" w14:paraId="4138703A" w14:textId="77777777" w:rsidTr="00305E62">
        <w:trPr>
          <w:trHeight w:val="293"/>
        </w:trPr>
        <w:tc>
          <w:tcPr>
            <w:tcW w:w="851" w:type="dxa"/>
            <w:shd w:val="clear" w:color="000000" w:fill="FFFFFF"/>
            <w:noWrap/>
            <w:vAlign w:val="center"/>
          </w:tcPr>
          <w:p w14:paraId="5A3FA6DA" w14:textId="77777777" w:rsidR="005376E6" w:rsidRPr="005376E6" w:rsidRDefault="005376E6" w:rsidP="005376E6">
            <w:pPr>
              <w:rPr>
                <w:rFonts w:ascii="Arial Narrow" w:hAnsi="Arial Narrow" w:cs="Calibri"/>
                <w:color w:val="000000"/>
                <w:sz w:val="16"/>
                <w:szCs w:val="16"/>
                <w:lang w:val="bg-BG" w:eastAsia="bg-BG"/>
              </w:rPr>
            </w:pPr>
            <w:r w:rsidRPr="005376E6">
              <w:rPr>
                <w:rFonts w:ascii="Arial Narrow" w:hAnsi="Arial Narrow"/>
                <w:sz w:val="16"/>
                <w:szCs w:val="16"/>
                <w:lang w:val="bg-BG"/>
              </w:rPr>
              <w:t>Шумен</w:t>
            </w:r>
          </w:p>
        </w:tc>
        <w:tc>
          <w:tcPr>
            <w:tcW w:w="659" w:type="dxa"/>
            <w:shd w:val="clear" w:color="auto" w:fill="auto"/>
            <w:noWrap/>
            <w:vAlign w:val="center"/>
          </w:tcPr>
          <w:p w14:paraId="56F0F294" w14:textId="77777777" w:rsidR="005376E6" w:rsidRPr="005376E6" w:rsidRDefault="005376E6" w:rsidP="005376E6">
            <w:pPr>
              <w:jc w:val="right"/>
              <w:rPr>
                <w:rFonts w:ascii="Arial Narrow" w:hAnsi="Arial Narrow" w:cs="Calibri"/>
                <w:color w:val="000000"/>
                <w:sz w:val="16"/>
                <w:szCs w:val="16"/>
                <w:lang w:val="bg-BG" w:eastAsia="bg-BG"/>
              </w:rPr>
            </w:pPr>
            <w:r w:rsidRPr="005376E6">
              <w:rPr>
                <w:rFonts w:ascii="Arial Narrow" w:hAnsi="Arial Narrow" w:cs="Calibri"/>
                <w:color w:val="000000"/>
                <w:sz w:val="16"/>
                <w:szCs w:val="16"/>
                <w:lang w:eastAsia="bg-BG"/>
              </w:rPr>
              <w:t>17 003</w:t>
            </w:r>
          </w:p>
        </w:tc>
        <w:tc>
          <w:tcPr>
            <w:tcW w:w="794" w:type="dxa"/>
            <w:shd w:val="clear" w:color="auto" w:fill="auto"/>
            <w:vAlign w:val="center"/>
          </w:tcPr>
          <w:p w14:paraId="7496FB7E" w14:textId="77777777" w:rsidR="005376E6" w:rsidRPr="005376E6" w:rsidRDefault="005376E6" w:rsidP="005376E6">
            <w:pPr>
              <w:jc w:val="right"/>
              <w:rPr>
                <w:rFonts w:ascii="Arial Narrow" w:hAnsi="Arial Narrow" w:cs="Calibri"/>
                <w:color w:val="000000"/>
                <w:sz w:val="16"/>
                <w:szCs w:val="16"/>
                <w:lang w:val="bg-BG" w:eastAsia="bg-BG"/>
              </w:rPr>
            </w:pPr>
            <w:r w:rsidRPr="005376E6">
              <w:rPr>
                <w:rFonts w:ascii="Arial Narrow" w:hAnsi="Arial Narrow" w:cs="Calibri"/>
                <w:color w:val="000000"/>
                <w:sz w:val="16"/>
                <w:szCs w:val="16"/>
                <w:lang w:eastAsia="bg-BG"/>
              </w:rPr>
              <w:t>3 434</w:t>
            </w:r>
          </w:p>
        </w:tc>
        <w:tc>
          <w:tcPr>
            <w:tcW w:w="659" w:type="dxa"/>
            <w:shd w:val="clear" w:color="000000" w:fill="FFFFFF"/>
            <w:noWrap/>
            <w:vAlign w:val="center"/>
          </w:tcPr>
          <w:p w14:paraId="5F3B07E8" w14:textId="77777777" w:rsidR="005376E6" w:rsidRPr="005376E6" w:rsidRDefault="005376E6" w:rsidP="005376E6">
            <w:pPr>
              <w:jc w:val="right"/>
              <w:rPr>
                <w:rFonts w:ascii="Arial Narrow" w:hAnsi="Arial Narrow" w:cs="Calibri"/>
                <w:color w:val="000000"/>
                <w:sz w:val="16"/>
                <w:szCs w:val="16"/>
                <w:lang w:val="bg-BG" w:eastAsia="bg-BG"/>
              </w:rPr>
            </w:pPr>
            <w:r w:rsidRPr="005376E6">
              <w:rPr>
                <w:rFonts w:ascii="Arial Narrow" w:hAnsi="Arial Narrow" w:cs="Calibri"/>
                <w:color w:val="000000"/>
                <w:sz w:val="16"/>
                <w:szCs w:val="16"/>
                <w:lang w:eastAsia="bg-BG"/>
              </w:rPr>
              <w:t>13 982</w:t>
            </w:r>
          </w:p>
        </w:tc>
        <w:tc>
          <w:tcPr>
            <w:tcW w:w="819" w:type="dxa"/>
            <w:shd w:val="clear" w:color="000000" w:fill="FFFFFF"/>
            <w:noWrap/>
            <w:vAlign w:val="center"/>
          </w:tcPr>
          <w:p w14:paraId="76AB484A" w14:textId="77777777" w:rsidR="005376E6" w:rsidRPr="005376E6" w:rsidRDefault="005376E6" w:rsidP="005376E6">
            <w:pPr>
              <w:jc w:val="right"/>
              <w:rPr>
                <w:rFonts w:ascii="Arial Narrow" w:hAnsi="Arial Narrow" w:cs="Calibri"/>
                <w:color w:val="000000"/>
                <w:sz w:val="16"/>
                <w:szCs w:val="16"/>
                <w:lang w:val="bg-BG" w:eastAsia="bg-BG"/>
              </w:rPr>
            </w:pPr>
            <w:r w:rsidRPr="005376E6">
              <w:rPr>
                <w:rFonts w:ascii="Arial Narrow" w:hAnsi="Arial Narrow" w:cs="Calibri"/>
                <w:color w:val="000000"/>
                <w:sz w:val="16"/>
                <w:szCs w:val="16"/>
                <w:lang w:eastAsia="bg-BG"/>
              </w:rPr>
              <w:t>2 686</w:t>
            </w:r>
          </w:p>
        </w:tc>
        <w:tc>
          <w:tcPr>
            <w:tcW w:w="659" w:type="dxa"/>
            <w:shd w:val="clear" w:color="000000" w:fill="FFFFFF"/>
            <w:noWrap/>
            <w:vAlign w:val="center"/>
          </w:tcPr>
          <w:p w14:paraId="24012623" w14:textId="77777777" w:rsidR="005376E6" w:rsidRPr="005376E6" w:rsidRDefault="005376E6" w:rsidP="005376E6">
            <w:pPr>
              <w:jc w:val="right"/>
              <w:rPr>
                <w:rFonts w:ascii="Arial Narrow" w:hAnsi="Arial Narrow" w:cs="Calibri"/>
                <w:color w:val="000000"/>
                <w:sz w:val="16"/>
                <w:szCs w:val="16"/>
                <w:lang w:val="bg-BG" w:eastAsia="bg-BG"/>
              </w:rPr>
            </w:pPr>
            <w:r w:rsidRPr="005376E6">
              <w:rPr>
                <w:rFonts w:ascii="Arial Narrow" w:hAnsi="Arial Narrow" w:cs="Calibri"/>
                <w:color w:val="000000"/>
                <w:sz w:val="16"/>
                <w:szCs w:val="16"/>
                <w:lang w:val="bg-BG" w:eastAsia="bg-BG"/>
              </w:rPr>
              <w:t>0</w:t>
            </w:r>
          </w:p>
        </w:tc>
        <w:tc>
          <w:tcPr>
            <w:tcW w:w="819" w:type="dxa"/>
            <w:shd w:val="clear" w:color="000000" w:fill="FFFFFF"/>
            <w:noWrap/>
            <w:vAlign w:val="center"/>
          </w:tcPr>
          <w:p w14:paraId="5B20CBE1" w14:textId="77777777" w:rsidR="005376E6" w:rsidRPr="005376E6" w:rsidRDefault="005376E6" w:rsidP="005376E6">
            <w:pPr>
              <w:jc w:val="right"/>
              <w:rPr>
                <w:rFonts w:ascii="Arial Narrow" w:hAnsi="Arial Narrow" w:cs="Calibri"/>
                <w:color w:val="000000"/>
                <w:sz w:val="16"/>
                <w:szCs w:val="16"/>
                <w:lang w:val="bg-BG" w:eastAsia="bg-BG"/>
              </w:rPr>
            </w:pPr>
            <w:r w:rsidRPr="005376E6">
              <w:rPr>
                <w:rFonts w:ascii="Arial Narrow" w:hAnsi="Arial Narrow" w:cs="Calibri"/>
                <w:color w:val="000000"/>
                <w:sz w:val="16"/>
                <w:szCs w:val="16"/>
                <w:lang w:val="bg-BG" w:eastAsia="bg-BG"/>
              </w:rPr>
              <w:t>0</w:t>
            </w:r>
          </w:p>
        </w:tc>
        <w:tc>
          <w:tcPr>
            <w:tcW w:w="659" w:type="dxa"/>
            <w:shd w:val="clear" w:color="000000" w:fill="FFFFFF"/>
            <w:noWrap/>
            <w:vAlign w:val="center"/>
          </w:tcPr>
          <w:p w14:paraId="143A554D" w14:textId="77777777" w:rsidR="005376E6" w:rsidRPr="005376E6" w:rsidRDefault="005376E6" w:rsidP="005376E6">
            <w:pPr>
              <w:jc w:val="right"/>
              <w:rPr>
                <w:rFonts w:ascii="Arial Narrow" w:hAnsi="Arial Narrow" w:cs="Calibri"/>
                <w:color w:val="000000"/>
                <w:sz w:val="16"/>
                <w:szCs w:val="16"/>
                <w:lang w:val="bg-BG" w:eastAsia="bg-BG"/>
              </w:rPr>
            </w:pPr>
            <w:r w:rsidRPr="005376E6">
              <w:rPr>
                <w:rFonts w:ascii="Arial Narrow" w:hAnsi="Arial Narrow" w:cs="Calibri"/>
                <w:color w:val="000000"/>
                <w:sz w:val="16"/>
                <w:szCs w:val="16"/>
                <w:lang w:eastAsia="bg-BG"/>
              </w:rPr>
              <w:t>890</w:t>
            </w:r>
          </w:p>
        </w:tc>
        <w:tc>
          <w:tcPr>
            <w:tcW w:w="819" w:type="dxa"/>
            <w:shd w:val="clear" w:color="000000" w:fill="FFFFFF"/>
            <w:noWrap/>
            <w:vAlign w:val="center"/>
          </w:tcPr>
          <w:p w14:paraId="1CE7274B" w14:textId="77777777" w:rsidR="005376E6" w:rsidRPr="005376E6" w:rsidRDefault="005376E6" w:rsidP="005376E6">
            <w:pPr>
              <w:jc w:val="right"/>
              <w:rPr>
                <w:rFonts w:ascii="Arial Narrow" w:hAnsi="Arial Narrow" w:cs="Calibri"/>
                <w:color w:val="000000"/>
                <w:sz w:val="16"/>
                <w:szCs w:val="16"/>
                <w:lang w:val="bg-BG" w:eastAsia="bg-BG"/>
              </w:rPr>
            </w:pPr>
            <w:r w:rsidRPr="005376E6">
              <w:rPr>
                <w:rFonts w:ascii="Arial Narrow" w:hAnsi="Arial Narrow" w:cs="Calibri"/>
                <w:color w:val="000000"/>
                <w:sz w:val="16"/>
                <w:szCs w:val="16"/>
                <w:lang w:eastAsia="bg-BG"/>
              </w:rPr>
              <w:t>221</w:t>
            </w:r>
          </w:p>
        </w:tc>
        <w:tc>
          <w:tcPr>
            <w:tcW w:w="659" w:type="dxa"/>
            <w:shd w:val="clear" w:color="000000" w:fill="FFFFFF"/>
            <w:noWrap/>
            <w:vAlign w:val="center"/>
          </w:tcPr>
          <w:p w14:paraId="6ADB2430" w14:textId="77777777" w:rsidR="005376E6" w:rsidRPr="005376E6" w:rsidRDefault="005376E6" w:rsidP="005376E6">
            <w:pPr>
              <w:jc w:val="right"/>
              <w:rPr>
                <w:rFonts w:ascii="Arial Narrow" w:hAnsi="Arial Narrow" w:cs="Calibri"/>
                <w:color w:val="000000"/>
                <w:sz w:val="16"/>
                <w:szCs w:val="16"/>
                <w:lang w:val="bg-BG" w:eastAsia="bg-BG"/>
              </w:rPr>
            </w:pPr>
            <w:r w:rsidRPr="005376E6">
              <w:rPr>
                <w:rFonts w:ascii="Arial Narrow" w:hAnsi="Arial Narrow" w:cs="Calibri"/>
                <w:color w:val="000000"/>
                <w:sz w:val="16"/>
                <w:szCs w:val="16"/>
                <w:lang w:eastAsia="bg-BG"/>
              </w:rPr>
              <w:t>119</w:t>
            </w:r>
          </w:p>
        </w:tc>
        <w:tc>
          <w:tcPr>
            <w:tcW w:w="819" w:type="dxa"/>
            <w:shd w:val="clear" w:color="000000" w:fill="FFFFFF"/>
            <w:noWrap/>
            <w:vAlign w:val="center"/>
          </w:tcPr>
          <w:p w14:paraId="74082B43" w14:textId="77777777" w:rsidR="005376E6" w:rsidRPr="005376E6" w:rsidRDefault="005376E6" w:rsidP="005376E6">
            <w:pPr>
              <w:jc w:val="right"/>
              <w:rPr>
                <w:rFonts w:ascii="Arial Narrow" w:hAnsi="Arial Narrow" w:cs="Calibri"/>
                <w:color w:val="000000"/>
                <w:sz w:val="16"/>
                <w:szCs w:val="16"/>
                <w:lang w:val="bg-BG" w:eastAsia="bg-BG"/>
              </w:rPr>
            </w:pPr>
            <w:r w:rsidRPr="005376E6">
              <w:rPr>
                <w:rFonts w:ascii="Arial Narrow" w:hAnsi="Arial Narrow" w:cs="Calibri"/>
                <w:color w:val="000000"/>
                <w:sz w:val="16"/>
                <w:szCs w:val="16"/>
                <w:lang w:eastAsia="bg-BG"/>
              </w:rPr>
              <w:t>12</w:t>
            </w:r>
          </w:p>
        </w:tc>
        <w:tc>
          <w:tcPr>
            <w:tcW w:w="655" w:type="dxa"/>
            <w:shd w:val="clear" w:color="000000" w:fill="FFFFFF"/>
            <w:vAlign w:val="center"/>
          </w:tcPr>
          <w:p w14:paraId="7870A3D8" w14:textId="77777777" w:rsidR="005376E6" w:rsidRPr="005376E6" w:rsidRDefault="005376E6" w:rsidP="005376E6">
            <w:pPr>
              <w:jc w:val="right"/>
              <w:rPr>
                <w:rFonts w:ascii="Arial Narrow" w:hAnsi="Arial Narrow" w:cs="Calibri"/>
                <w:color w:val="000000"/>
                <w:sz w:val="16"/>
                <w:szCs w:val="16"/>
                <w:lang w:val="bg-BG" w:eastAsia="bg-BG"/>
              </w:rPr>
            </w:pPr>
            <w:r w:rsidRPr="005376E6">
              <w:rPr>
                <w:rFonts w:ascii="Arial Narrow" w:hAnsi="Arial Narrow" w:cs="Calibri"/>
                <w:color w:val="000000"/>
                <w:sz w:val="16"/>
                <w:szCs w:val="16"/>
                <w:lang w:val="bg-BG" w:eastAsia="bg-BG"/>
              </w:rPr>
              <w:t>0</w:t>
            </w:r>
          </w:p>
        </w:tc>
        <w:tc>
          <w:tcPr>
            <w:tcW w:w="815" w:type="dxa"/>
            <w:shd w:val="clear" w:color="000000" w:fill="FFFFFF"/>
            <w:vAlign w:val="center"/>
          </w:tcPr>
          <w:p w14:paraId="144A9513" w14:textId="77777777" w:rsidR="005376E6" w:rsidRPr="005376E6" w:rsidRDefault="005376E6" w:rsidP="005376E6">
            <w:pPr>
              <w:jc w:val="right"/>
              <w:rPr>
                <w:rFonts w:ascii="Arial Narrow" w:hAnsi="Arial Narrow" w:cs="Calibri"/>
                <w:color w:val="000000"/>
                <w:sz w:val="16"/>
                <w:szCs w:val="16"/>
                <w:lang w:val="bg-BG" w:eastAsia="bg-BG"/>
              </w:rPr>
            </w:pPr>
            <w:r w:rsidRPr="005376E6">
              <w:rPr>
                <w:rFonts w:ascii="Arial Narrow" w:hAnsi="Arial Narrow" w:cs="Calibri"/>
                <w:color w:val="000000"/>
                <w:sz w:val="16"/>
                <w:szCs w:val="16"/>
                <w:lang w:val="bg-BG" w:eastAsia="bg-BG"/>
              </w:rPr>
              <w:t> </w:t>
            </w:r>
          </w:p>
        </w:tc>
        <w:tc>
          <w:tcPr>
            <w:tcW w:w="639" w:type="dxa"/>
            <w:shd w:val="clear" w:color="000000" w:fill="FFFFFF"/>
            <w:noWrap/>
            <w:vAlign w:val="center"/>
          </w:tcPr>
          <w:p w14:paraId="0C45BA45" w14:textId="77777777" w:rsidR="005376E6" w:rsidRPr="005376E6" w:rsidRDefault="005376E6" w:rsidP="005376E6">
            <w:pPr>
              <w:jc w:val="right"/>
              <w:rPr>
                <w:rFonts w:ascii="Arial Narrow" w:hAnsi="Arial Narrow" w:cs="Calibri"/>
                <w:color w:val="000000"/>
                <w:sz w:val="16"/>
                <w:szCs w:val="16"/>
                <w:lang w:val="bg-BG" w:eastAsia="bg-BG"/>
              </w:rPr>
            </w:pPr>
            <w:r w:rsidRPr="005376E6">
              <w:rPr>
                <w:rFonts w:ascii="Arial Narrow" w:hAnsi="Arial Narrow" w:cs="Calibri"/>
                <w:color w:val="000000"/>
                <w:sz w:val="16"/>
                <w:szCs w:val="16"/>
                <w:lang w:eastAsia="bg-BG"/>
              </w:rPr>
              <w:t>2 012</w:t>
            </w:r>
          </w:p>
        </w:tc>
        <w:tc>
          <w:tcPr>
            <w:tcW w:w="874" w:type="dxa"/>
            <w:shd w:val="clear" w:color="000000" w:fill="FFFFFF"/>
            <w:noWrap/>
            <w:vAlign w:val="center"/>
          </w:tcPr>
          <w:p w14:paraId="6A079DAA" w14:textId="77777777" w:rsidR="005376E6" w:rsidRPr="005376E6" w:rsidRDefault="005376E6" w:rsidP="005376E6">
            <w:pPr>
              <w:jc w:val="right"/>
              <w:rPr>
                <w:rFonts w:ascii="Arial Narrow" w:hAnsi="Arial Narrow" w:cs="Calibri"/>
                <w:color w:val="000000"/>
                <w:sz w:val="16"/>
                <w:szCs w:val="16"/>
                <w:lang w:val="bg-BG" w:eastAsia="bg-BG"/>
              </w:rPr>
            </w:pPr>
            <w:r w:rsidRPr="005376E6">
              <w:rPr>
                <w:rFonts w:ascii="Arial Narrow" w:hAnsi="Arial Narrow" w:cs="Calibri"/>
                <w:color w:val="000000"/>
                <w:sz w:val="16"/>
                <w:szCs w:val="16"/>
                <w:lang w:eastAsia="bg-BG"/>
              </w:rPr>
              <w:t>515</w:t>
            </w:r>
          </w:p>
        </w:tc>
      </w:tr>
      <w:tr w:rsidR="005376E6" w:rsidRPr="005376E6" w14:paraId="5CDA4DB1" w14:textId="77777777" w:rsidTr="00305E62">
        <w:trPr>
          <w:trHeight w:val="293"/>
        </w:trPr>
        <w:tc>
          <w:tcPr>
            <w:tcW w:w="851" w:type="dxa"/>
            <w:shd w:val="clear" w:color="auto" w:fill="auto"/>
            <w:vAlign w:val="center"/>
          </w:tcPr>
          <w:p w14:paraId="2D36495F" w14:textId="77777777" w:rsidR="005376E6" w:rsidRPr="005376E6" w:rsidRDefault="005376E6" w:rsidP="005376E6">
            <w:pPr>
              <w:rPr>
                <w:rFonts w:ascii="Arial Narrow" w:hAnsi="Arial Narrow" w:cs="Calibri"/>
                <w:b/>
                <w:color w:val="000000"/>
                <w:sz w:val="16"/>
                <w:szCs w:val="16"/>
                <w:lang w:val="bg-BG" w:eastAsia="bg-BG"/>
              </w:rPr>
            </w:pPr>
            <w:r w:rsidRPr="005376E6">
              <w:rPr>
                <w:rFonts w:ascii="Arial Narrow" w:hAnsi="Arial Narrow"/>
                <w:b/>
                <w:sz w:val="16"/>
                <w:szCs w:val="16"/>
                <w:lang w:val="bg-BG"/>
              </w:rPr>
              <w:t xml:space="preserve">ОБЩО </w:t>
            </w:r>
          </w:p>
        </w:tc>
        <w:tc>
          <w:tcPr>
            <w:tcW w:w="659" w:type="dxa"/>
            <w:shd w:val="clear" w:color="auto" w:fill="auto"/>
            <w:noWrap/>
            <w:vAlign w:val="center"/>
          </w:tcPr>
          <w:p w14:paraId="16A9955C" w14:textId="77777777" w:rsidR="005376E6" w:rsidRPr="005376E6" w:rsidRDefault="005376E6" w:rsidP="005376E6">
            <w:pPr>
              <w:jc w:val="right"/>
              <w:rPr>
                <w:rFonts w:ascii="Arial Narrow" w:hAnsi="Arial Narrow" w:cs="Calibri"/>
                <w:b/>
                <w:color w:val="000000"/>
                <w:sz w:val="16"/>
                <w:szCs w:val="16"/>
                <w:lang w:val="bg-BG" w:eastAsia="bg-BG"/>
              </w:rPr>
            </w:pPr>
            <w:r w:rsidRPr="005376E6">
              <w:rPr>
                <w:rFonts w:ascii="Arial Narrow" w:hAnsi="Arial Narrow"/>
                <w:b/>
                <w:sz w:val="16"/>
                <w:szCs w:val="16"/>
                <w:lang w:val="bg-BG"/>
              </w:rPr>
              <w:t>342 614</w:t>
            </w:r>
          </w:p>
        </w:tc>
        <w:tc>
          <w:tcPr>
            <w:tcW w:w="794" w:type="dxa"/>
            <w:shd w:val="clear" w:color="auto" w:fill="auto"/>
            <w:noWrap/>
            <w:vAlign w:val="center"/>
          </w:tcPr>
          <w:p w14:paraId="02D3A7B8" w14:textId="77777777" w:rsidR="005376E6" w:rsidRPr="005376E6" w:rsidRDefault="005376E6" w:rsidP="005376E6">
            <w:pPr>
              <w:jc w:val="right"/>
              <w:rPr>
                <w:rFonts w:ascii="Arial Narrow" w:hAnsi="Arial Narrow" w:cs="Calibri"/>
                <w:b/>
                <w:color w:val="000000"/>
                <w:sz w:val="16"/>
                <w:szCs w:val="16"/>
                <w:lang w:val="bg-BG" w:eastAsia="bg-BG"/>
              </w:rPr>
            </w:pPr>
            <w:r w:rsidRPr="005376E6">
              <w:rPr>
                <w:rFonts w:ascii="Arial Narrow" w:hAnsi="Arial Narrow" w:cs="Calibri"/>
                <w:b/>
                <w:color w:val="000000"/>
                <w:sz w:val="16"/>
                <w:szCs w:val="16"/>
                <w:lang w:eastAsia="bg-BG"/>
              </w:rPr>
              <w:t>311</w:t>
            </w:r>
            <w:r w:rsidRPr="005376E6">
              <w:rPr>
                <w:rFonts w:ascii="Arial Narrow" w:hAnsi="Arial Narrow" w:cs="Calibri"/>
                <w:b/>
                <w:color w:val="000000"/>
                <w:sz w:val="16"/>
                <w:szCs w:val="16"/>
                <w:lang w:val="bg-BG" w:eastAsia="bg-BG"/>
              </w:rPr>
              <w:t xml:space="preserve"> </w:t>
            </w:r>
            <w:r w:rsidRPr="005376E6">
              <w:rPr>
                <w:rFonts w:ascii="Arial Narrow" w:hAnsi="Arial Narrow" w:cs="Calibri"/>
                <w:b/>
                <w:color w:val="000000"/>
                <w:sz w:val="16"/>
                <w:szCs w:val="16"/>
                <w:lang w:eastAsia="bg-BG"/>
              </w:rPr>
              <w:t>613</w:t>
            </w:r>
          </w:p>
        </w:tc>
        <w:tc>
          <w:tcPr>
            <w:tcW w:w="659" w:type="dxa"/>
            <w:shd w:val="clear" w:color="auto" w:fill="auto"/>
            <w:noWrap/>
            <w:vAlign w:val="center"/>
          </w:tcPr>
          <w:p w14:paraId="0CD5E14A" w14:textId="77777777" w:rsidR="005376E6" w:rsidRPr="005376E6" w:rsidRDefault="005376E6" w:rsidP="005376E6">
            <w:pPr>
              <w:jc w:val="right"/>
              <w:rPr>
                <w:rFonts w:ascii="Arial Narrow" w:hAnsi="Arial Narrow" w:cs="Calibri"/>
                <w:b/>
                <w:color w:val="000000"/>
                <w:sz w:val="16"/>
                <w:szCs w:val="16"/>
                <w:lang w:val="bg-BG" w:eastAsia="bg-BG"/>
              </w:rPr>
            </w:pPr>
            <w:r w:rsidRPr="005376E6">
              <w:rPr>
                <w:rFonts w:ascii="Arial Narrow" w:hAnsi="Arial Narrow" w:cs="Calibri"/>
                <w:b/>
                <w:color w:val="000000"/>
                <w:sz w:val="16"/>
                <w:szCs w:val="16"/>
                <w:lang w:eastAsia="bg-BG"/>
              </w:rPr>
              <w:t>141 670</w:t>
            </w:r>
          </w:p>
        </w:tc>
        <w:tc>
          <w:tcPr>
            <w:tcW w:w="819" w:type="dxa"/>
            <w:shd w:val="clear" w:color="auto" w:fill="auto"/>
            <w:noWrap/>
            <w:vAlign w:val="center"/>
          </w:tcPr>
          <w:p w14:paraId="04308425" w14:textId="77777777" w:rsidR="005376E6" w:rsidRPr="005376E6" w:rsidRDefault="005376E6" w:rsidP="005376E6">
            <w:pPr>
              <w:jc w:val="right"/>
              <w:rPr>
                <w:rFonts w:ascii="Arial Narrow" w:hAnsi="Arial Narrow" w:cs="Calibri"/>
                <w:b/>
                <w:color w:val="000000"/>
                <w:sz w:val="16"/>
                <w:szCs w:val="16"/>
                <w:lang w:val="bg-BG" w:eastAsia="bg-BG"/>
              </w:rPr>
            </w:pPr>
            <w:r w:rsidRPr="005376E6">
              <w:rPr>
                <w:rFonts w:ascii="Arial Narrow" w:hAnsi="Arial Narrow" w:cs="Calibri"/>
                <w:b/>
                <w:color w:val="000000"/>
                <w:sz w:val="16"/>
                <w:szCs w:val="16"/>
                <w:lang w:eastAsia="bg-BG"/>
              </w:rPr>
              <w:t>24 580</w:t>
            </w:r>
          </w:p>
        </w:tc>
        <w:tc>
          <w:tcPr>
            <w:tcW w:w="659" w:type="dxa"/>
            <w:shd w:val="clear" w:color="auto" w:fill="auto"/>
            <w:noWrap/>
            <w:vAlign w:val="center"/>
          </w:tcPr>
          <w:p w14:paraId="544A22A6" w14:textId="77777777" w:rsidR="005376E6" w:rsidRPr="005376E6" w:rsidRDefault="005376E6" w:rsidP="005376E6">
            <w:pPr>
              <w:jc w:val="right"/>
              <w:rPr>
                <w:rFonts w:ascii="Arial Narrow" w:hAnsi="Arial Narrow" w:cs="Calibri"/>
                <w:b/>
                <w:color w:val="000000"/>
                <w:sz w:val="16"/>
                <w:szCs w:val="16"/>
                <w:lang w:val="bg-BG" w:eastAsia="bg-BG"/>
              </w:rPr>
            </w:pPr>
            <w:r w:rsidRPr="005376E6">
              <w:rPr>
                <w:rFonts w:ascii="Arial Narrow" w:hAnsi="Arial Narrow" w:cs="Calibri"/>
                <w:b/>
                <w:color w:val="000000"/>
                <w:sz w:val="16"/>
                <w:szCs w:val="16"/>
                <w:lang w:eastAsia="bg-BG"/>
              </w:rPr>
              <w:t>4 161</w:t>
            </w:r>
          </w:p>
        </w:tc>
        <w:tc>
          <w:tcPr>
            <w:tcW w:w="819" w:type="dxa"/>
            <w:shd w:val="clear" w:color="auto" w:fill="auto"/>
            <w:noWrap/>
            <w:vAlign w:val="center"/>
          </w:tcPr>
          <w:p w14:paraId="3B201320" w14:textId="77777777" w:rsidR="005376E6" w:rsidRPr="005376E6" w:rsidRDefault="005376E6" w:rsidP="005376E6">
            <w:pPr>
              <w:jc w:val="right"/>
              <w:rPr>
                <w:rFonts w:ascii="Arial Narrow" w:hAnsi="Arial Narrow" w:cs="Calibri"/>
                <w:b/>
                <w:color w:val="000000"/>
                <w:sz w:val="16"/>
                <w:szCs w:val="16"/>
                <w:lang w:val="bg-BG" w:eastAsia="bg-BG"/>
              </w:rPr>
            </w:pPr>
            <w:r w:rsidRPr="005376E6">
              <w:rPr>
                <w:rFonts w:ascii="Arial Narrow" w:hAnsi="Arial Narrow" w:cs="Calibri"/>
                <w:b/>
                <w:color w:val="000000"/>
                <w:sz w:val="16"/>
                <w:szCs w:val="16"/>
                <w:lang w:eastAsia="bg-BG"/>
              </w:rPr>
              <w:t>853</w:t>
            </w:r>
          </w:p>
        </w:tc>
        <w:tc>
          <w:tcPr>
            <w:tcW w:w="659" w:type="dxa"/>
            <w:shd w:val="clear" w:color="auto" w:fill="auto"/>
            <w:noWrap/>
            <w:vAlign w:val="center"/>
          </w:tcPr>
          <w:p w14:paraId="588A76E2" w14:textId="77777777" w:rsidR="005376E6" w:rsidRPr="005376E6" w:rsidRDefault="005376E6" w:rsidP="005376E6">
            <w:pPr>
              <w:jc w:val="right"/>
              <w:rPr>
                <w:rFonts w:ascii="Arial Narrow" w:hAnsi="Arial Narrow" w:cs="Calibri"/>
                <w:b/>
                <w:color w:val="000000"/>
                <w:sz w:val="16"/>
                <w:szCs w:val="16"/>
                <w:lang w:val="bg-BG" w:eastAsia="bg-BG"/>
              </w:rPr>
            </w:pPr>
            <w:r w:rsidRPr="005376E6">
              <w:rPr>
                <w:rFonts w:ascii="Arial Narrow" w:hAnsi="Arial Narrow" w:cs="Calibri"/>
                <w:b/>
                <w:color w:val="000000"/>
                <w:sz w:val="16"/>
                <w:szCs w:val="16"/>
                <w:lang w:eastAsia="bg-BG"/>
              </w:rPr>
              <w:t>29 701</w:t>
            </w:r>
          </w:p>
        </w:tc>
        <w:tc>
          <w:tcPr>
            <w:tcW w:w="819" w:type="dxa"/>
            <w:shd w:val="clear" w:color="auto" w:fill="auto"/>
            <w:noWrap/>
            <w:vAlign w:val="center"/>
          </w:tcPr>
          <w:p w14:paraId="52FFA826" w14:textId="77777777" w:rsidR="005376E6" w:rsidRPr="005376E6" w:rsidRDefault="005376E6" w:rsidP="005376E6">
            <w:pPr>
              <w:jc w:val="right"/>
              <w:rPr>
                <w:rFonts w:ascii="Arial Narrow" w:hAnsi="Arial Narrow" w:cs="Calibri"/>
                <w:b/>
                <w:color w:val="000000"/>
                <w:sz w:val="16"/>
                <w:szCs w:val="16"/>
                <w:lang w:val="bg-BG" w:eastAsia="bg-BG"/>
              </w:rPr>
            </w:pPr>
            <w:r w:rsidRPr="005376E6">
              <w:rPr>
                <w:rFonts w:ascii="Arial Narrow" w:hAnsi="Arial Narrow" w:cs="Calibri"/>
                <w:b/>
                <w:color w:val="000000"/>
                <w:sz w:val="16"/>
                <w:szCs w:val="16"/>
                <w:lang w:eastAsia="bg-BG"/>
              </w:rPr>
              <w:t>5 915</w:t>
            </w:r>
          </w:p>
        </w:tc>
        <w:tc>
          <w:tcPr>
            <w:tcW w:w="659" w:type="dxa"/>
            <w:shd w:val="clear" w:color="auto" w:fill="auto"/>
            <w:noWrap/>
            <w:vAlign w:val="center"/>
          </w:tcPr>
          <w:p w14:paraId="34E290CC" w14:textId="77777777" w:rsidR="005376E6" w:rsidRPr="005376E6" w:rsidRDefault="005376E6" w:rsidP="005376E6">
            <w:pPr>
              <w:jc w:val="right"/>
              <w:rPr>
                <w:rFonts w:ascii="Arial Narrow" w:hAnsi="Arial Narrow" w:cs="Calibri"/>
                <w:b/>
                <w:color w:val="000000"/>
                <w:sz w:val="16"/>
                <w:szCs w:val="16"/>
                <w:lang w:val="bg-BG" w:eastAsia="bg-BG"/>
              </w:rPr>
            </w:pPr>
            <w:r w:rsidRPr="005376E6">
              <w:rPr>
                <w:rFonts w:ascii="Arial Narrow" w:hAnsi="Arial Narrow" w:cs="Calibri"/>
                <w:b/>
                <w:color w:val="000000"/>
                <w:sz w:val="16"/>
                <w:szCs w:val="16"/>
                <w:lang w:eastAsia="bg-BG"/>
              </w:rPr>
              <w:t>18 079</w:t>
            </w:r>
          </w:p>
        </w:tc>
        <w:tc>
          <w:tcPr>
            <w:tcW w:w="819" w:type="dxa"/>
            <w:shd w:val="clear" w:color="auto" w:fill="auto"/>
            <w:noWrap/>
            <w:vAlign w:val="center"/>
          </w:tcPr>
          <w:p w14:paraId="72D9B786" w14:textId="77777777" w:rsidR="005376E6" w:rsidRPr="005376E6" w:rsidRDefault="005376E6" w:rsidP="005376E6">
            <w:pPr>
              <w:jc w:val="right"/>
              <w:rPr>
                <w:rFonts w:ascii="Arial Narrow" w:hAnsi="Arial Narrow" w:cs="Calibri"/>
                <w:b/>
                <w:color w:val="000000"/>
                <w:sz w:val="16"/>
                <w:szCs w:val="16"/>
                <w:lang w:val="bg-BG" w:eastAsia="bg-BG"/>
              </w:rPr>
            </w:pPr>
            <w:r w:rsidRPr="005376E6">
              <w:rPr>
                <w:rFonts w:ascii="Arial Narrow" w:hAnsi="Arial Narrow" w:cs="Calibri"/>
                <w:b/>
                <w:color w:val="000000"/>
                <w:sz w:val="16"/>
                <w:szCs w:val="16"/>
                <w:lang w:eastAsia="bg-BG"/>
              </w:rPr>
              <w:t>1 597</w:t>
            </w:r>
          </w:p>
        </w:tc>
        <w:tc>
          <w:tcPr>
            <w:tcW w:w="655" w:type="dxa"/>
            <w:shd w:val="clear" w:color="auto" w:fill="auto"/>
            <w:vAlign w:val="center"/>
          </w:tcPr>
          <w:p w14:paraId="25629295" w14:textId="77777777" w:rsidR="005376E6" w:rsidRPr="005376E6" w:rsidRDefault="005376E6" w:rsidP="005376E6">
            <w:pPr>
              <w:jc w:val="right"/>
              <w:rPr>
                <w:rFonts w:ascii="Arial Narrow" w:hAnsi="Arial Narrow" w:cs="Calibri"/>
                <w:b/>
                <w:color w:val="000000"/>
                <w:sz w:val="16"/>
                <w:szCs w:val="16"/>
                <w:lang w:val="bg-BG" w:eastAsia="bg-BG"/>
              </w:rPr>
            </w:pPr>
            <w:r w:rsidRPr="005376E6">
              <w:rPr>
                <w:rFonts w:ascii="Arial Narrow" w:hAnsi="Arial Narrow" w:cs="Calibri"/>
                <w:b/>
                <w:color w:val="000000"/>
                <w:sz w:val="16"/>
                <w:szCs w:val="16"/>
                <w:lang w:val="bg-BG" w:eastAsia="bg-BG"/>
              </w:rPr>
              <w:t xml:space="preserve">115 </w:t>
            </w:r>
            <w:r w:rsidRPr="005376E6">
              <w:rPr>
                <w:rFonts w:ascii="Arial Narrow" w:hAnsi="Arial Narrow" w:cs="Calibri"/>
                <w:b/>
                <w:color w:val="000000"/>
                <w:sz w:val="16"/>
                <w:szCs w:val="16"/>
                <w:lang w:eastAsia="bg-BG"/>
              </w:rPr>
              <w:t>219</w:t>
            </w:r>
          </w:p>
        </w:tc>
        <w:tc>
          <w:tcPr>
            <w:tcW w:w="815" w:type="dxa"/>
            <w:shd w:val="clear" w:color="auto" w:fill="auto"/>
            <w:vAlign w:val="center"/>
          </w:tcPr>
          <w:p w14:paraId="519E1E31" w14:textId="77777777" w:rsidR="005376E6" w:rsidRPr="005376E6" w:rsidRDefault="005376E6" w:rsidP="005376E6">
            <w:pPr>
              <w:jc w:val="right"/>
              <w:rPr>
                <w:rFonts w:ascii="Arial Narrow" w:hAnsi="Arial Narrow" w:cs="Calibri"/>
                <w:b/>
                <w:color w:val="000000"/>
                <w:sz w:val="16"/>
                <w:szCs w:val="16"/>
                <w:lang w:val="bg-BG" w:eastAsia="bg-BG"/>
              </w:rPr>
            </w:pPr>
            <w:r w:rsidRPr="005376E6">
              <w:rPr>
                <w:rFonts w:ascii="Arial Narrow" w:hAnsi="Arial Narrow" w:cs="Calibri"/>
                <w:b/>
                <w:color w:val="000000"/>
                <w:sz w:val="16"/>
                <w:szCs w:val="16"/>
                <w:lang w:eastAsia="bg-BG"/>
              </w:rPr>
              <w:t>273</w:t>
            </w:r>
            <w:r w:rsidRPr="005376E6">
              <w:rPr>
                <w:rFonts w:ascii="Arial Narrow" w:hAnsi="Arial Narrow" w:cs="Calibri"/>
                <w:b/>
                <w:color w:val="000000"/>
                <w:sz w:val="16"/>
                <w:szCs w:val="16"/>
                <w:lang w:val="bg-BG" w:eastAsia="bg-BG"/>
              </w:rPr>
              <w:t xml:space="preserve"> </w:t>
            </w:r>
            <w:r w:rsidRPr="005376E6">
              <w:rPr>
                <w:rFonts w:ascii="Arial Narrow" w:hAnsi="Arial Narrow" w:cs="Calibri"/>
                <w:b/>
                <w:color w:val="000000"/>
                <w:sz w:val="16"/>
                <w:szCs w:val="16"/>
                <w:lang w:eastAsia="bg-BG"/>
              </w:rPr>
              <w:t>817</w:t>
            </w:r>
          </w:p>
        </w:tc>
        <w:tc>
          <w:tcPr>
            <w:tcW w:w="639" w:type="dxa"/>
            <w:shd w:val="clear" w:color="auto" w:fill="auto"/>
            <w:noWrap/>
            <w:vAlign w:val="center"/>
          </w:tcPr>
          <w:p w14:paraId="39F92341" w14:textId="77777777" w:rsidR="005376E6" w:rsidRPr="005376E6" w:rsidRDefault="005376E6" w:rsidP="005376E6">
            <w:pPr>
              <w:jc w:val="right"/>
              <w:rPr>
                <w:rFonts w:ascii="Arial Narrow" w:hAnsi="Arial Narrow" w:cs="Calibri"/>
                <w:b/>
                <w:color w:val="000000"/>
                <w:sz w:val="16"/>
                <w:szCs w:val="16"/>
                <w:lang w:val="bg-BG" w:eastAsia="bg-BG"/>
              </w:rPr>
            </w:pPr>
            <w:r w:rsidRPr="005376E6">
              <w:rPr>
                <w:rFonts w:ascii="Arial Narrow" w:hAnsi="Arial Narrow" w:cs="Calibri"/>
                <w:b/>
                <w:color w:val="000000"/>
                <w:sz w:val="16"/>
                <w:szCs w:val="16"/>
                <w:lang w:val="bg-BG" w:eastAsia="bg-BG"/>
              </w:rPr>
              <w:t xml:space="preserve">33 </w:t>
            </w:r>
            <w:r w:rsidRPr="005376E6">
              <w:rPr>
                <w:rFonts w:ascii="Arial Narrow" w:hAnsi="Arial Narrow" w:cs="Calibri"/>
                <w:b/>
                <w:color w:val="000000"/>
                <w:sz w:val="16"/>
                <w:szCs w:val="16"/>
                <w:lang w:eastAsia="bg-BG"/>
              </w:rPr>
              <w:t>784</w:t>
            </w:r>
          </w:p>
        </w:tc>
        <w:tc>
          <w:tcPr>
            <w:tcW w:w="874" w:type="dxa"/>
            <w:shd w:val="clear" w:color="auto" w:fill="auto"/>
            <w:noWrap/>
            <w:vAlign w:val="center"/>
          </w:tcPr>
          <w:p w14:paraId="25CA4C35" w14:textId="77777777" w:rsidR="005376E6" w:rsidRPr="005376E6" w:rsidRDefault="005376E6" w:rsidP="005376E6">
            <w:pPr>
              <w:jc w:val="right"/>
              <w:rPr>
                <w:rFonts w:ascii="Arial Narrow" w:hAnsi="Arial Narrow" w:cs="Calibri"/>
                <w:b/>
                <w:color w:val="000000"/>
                <w:sz w:val="16"/>
                <w:szCs w:val="16"/>
                <w:lang w:val="bg-BG" w:eastAsia="bg-BG"/>
              </w:rPr>
            </w:pPr>
            <w:r w:rsidRPr="005376E6">
              <w:rPr>
                <w:rFonts w:ascii="Arial Narrow" w:hAnsi="Arial Narrow" w:cs="Calibri"/>
                <w:b/>
                <w:color w:val="000000"/>
                <w:sz w:val="16"/>
                <w:szCs w:val="16"/>
                <w:lang w:val="bg-BG" w:eastAsia="bg-BG"/>
              </w:rPr>
              <w:t xml:space="preserve">4 </w:t>
            </w:r>
            <w:r w:rsidRPr="005376E6">
              <w:rPr>
                <w:rFonts w:ascii="Arial Narrow" w:hAnsi="Arial Narrow" w:cs="Calibri"/>
                <w:b/>
                <w:color w:val="000000"/>
                <w:sz w:val="16"/>
                <w:szCs w:val="16"/>
                <w:lang w:eastAsia="bg-BG"/>
              </w:rPr>
              <w:t>850</w:t>
            </w:r>
          </w:p>
        </w:tc>
      </w:tr>
    </w:tbl>
    <w:p w14:paraId="3DE3613C" w14:textId="77777777" w:rsidR="005376E6" w:rsidRPr="00EA0339" w:rsidRDefault="005376E6" w:rsidP="005376E6">
      <w:pPr>
        <w:spacing w:after="240"/>
        <w:jc w:val="both"/>
        <w:rPr>
          <w:rFonts w:ascii="Arial Narrow" w:eastAsia="Calibri" w:hAnsi="Arial Narrow"/>
          <w:i/>
          <w:sz w:val="18"/>
          <w:szCs w:val="18"/>
          <w:lang w:val="bg-BG" w:eastAsia="bg-BG"/>
        </w:rPr>
      </w:pPr>
      <w:r w:rsidRPr="00EA0339">
        <w:rPr>
          <w:rFonts w:ascii="Arial Narrow" w:eastAsia="Calibri" w:hAnsi="Arial Narrow"/>
          <w:i/>
          <w:sz w:val="18"/>
          <w:szCs w:val="18"/>
          <w:lang w:val="bg-BG" w:eastAsia="bg-BG"/>
        </w:rPr>
        <w:t>Източник: „Напоителни системи“ ЕАД</w:t>
      </w:r>
    </w:p>
    <w:p w14:paraId="5715FDC8" w14:textId="77777777" w:rsidR="005376E6" w:rsidRPr="005376E6" w:rsidRDefault="005376E6" w:rsidP="005376E6">
      <w:pPr>
        <w:overflowPunct w:val="0"/>
        <w:autoSpaceDE w:val="0"/>
        <w:autoSpaceDN w:val="0"/>
        <w:adjustRightInd w:val="0"/>
        <w:spacing w:after="120"/>
        <w:ind w:firstLine="709"/>
        <w:jc w:val="both"/>
        <w:rPr>
          <w:rFonts w:ascii="Arial Narrow" w:hAnsi="Arial Narrow"/>
          <w:lang w:val="bg-BG"/>
        </w:rPr>
      </w:pPr>
      <w:r w:rsidRPr="005376E6">
        <w:rPr>
          <w:rFonts w:ascii="Arial Narrow" w:hAnsi="Arial Narrow"/>
          <w:lang w:val="bg-BG"/>
        </w:rPr>
        <w:t>През 2024 г. цените, по които „Напоителни системи” ЕАД извършва услугата „доставка на вода за напояване” се запазват на нивата от предходната година, като са диференцирани по региони и в зависимост от начина на доставка.</w:t>
      </w:r>
    </w:p>
    <w:p w14:paraId="01B5CA56" w14:textId="77777777" w:rsidR="005376E6" w:rsidRPr="005376E6" w:rsidRDefault="005376E6" w:rsidP="005376E6">
      <w:pPr>
        <w:spacing w:before="120" w:after="120"/>
        <w:jc w:val="both"/>
        <w:rPr>
          <w:rFonts w:ascii="Arial Narrow" w:hAnsi="Arial Narrow"/>
          <w:b/>
          <w:lang w:val="bg-BG" w:eastAsia="bg-BG"/>
        </w:rPr>
      </w:pPr>
      <w:r w:rsidRPr="005376E6">
        <w:rPr>
          <w:rFonts w:ascii="Arial Narrow" w:hAnsi="Arial Narrow"/>
          <w:b/>
          <w:lang w:val="bg-BG" w:eastAsia="bg-BG"/>
        </w:rPr>
        <w:t>Таблица V.</w:t>
      </w:r>
      <w:r w:rsidRPr="005376E6">
        <w:rPr>
          <w:rFonts w:ascii="Arial Narrow" w:hAnsi="Arial Narrow"/>
          <w:b/>
          <w:lang w:eastAsia="bg-BG"/>
        </w:rPr>
        <w:t>4</w:t>
      </w:r>
      <w:r w:rsidRPr="005376E6">
        <w:rPr>
          <w:rFonts w:ascii="Arial Narrow" w:hAnsi="Arial Narrow"/>
          <w:b/>
          <w:lang w:val="bg-BG" w:eastAsia="bg-BG"/>
        </w:rPr>
        <w:t>. Обобщена справка за напояване от „Напоителни системи“ ЕАД за периода 202</w:t>
      </w:r>
      <w:r w:rsidRPr="005376E6">
        <w:rPr>
          <w:rFonts w:ascii="Arial Narrow" w:hAnsi="Arial Narrow"/>
          <w:b/>
          <w:lang w:eastAsia="bg-BG"/>
        </w:rPr>
        <w:t>2</w:t>
      </w:r>
      <w:r w:rsidRPr="005376E6">
        <w:rPr>
          <w:rFonts w:ascii="Arial Narrow" w:hAnsi="Arial Narrow"/>
          <w:b/>
          <w:lang w:val="bg-BG" w:eastAsia="bg-BG"/>
        </w:rPr>
        <w:t xml:space="preserve"> – 202</w:t>
      </w:r>
      <w:r w:rsidRPr="005376E6">
        <w:rPr>
          <w:rFonts w:ascii="Arial Narrow" w:hAnsi="Arial Narrow"/>
          <w:b/>
          <w:lang w:eastAsia="bg-BG"/>
        </w:rPr>
        <w:t>4</w:t>
      </w:r>
      <w:r w:rsidRPr="005376E6">
        <w:rPr>
          <w:rFonts w:ascii="Arial Narrow" w:hAnsi="Arial Narrow"/>
          <w:b/>
          <w:lang w:val="bg-BG" w:eastAsia="bg-BG"/>
        </w:rPr>
        <w:t xml:space="preserve"> г.</w:t>
      </w:r>
    </w:p>
    <w:tbl>
      <w:tblPr>
        <w:tblW w:w="5000" w:type="pct"/>
        <w:tblInd w:w="70" w:type="dxa"/>
        <w:tblCellMar>
          <w:left w:w="70" w:type="dxa"/>
          <w:right w:w="70" w:type="dxa"/>
        </w:tblCellMar>
        <w:tblLook w:val="04A0" w:firstRow="1" w:lastRow="0" w:firstColumn="1" w:lastColumn="0" w:noHBand="0" w:noVBand="1"/>
      </w:tblPr>
      <w:tblGrid>
        <w:gridCol w:w="1469"/>
        <w:gridCol w:w="923"/>
        <w:gridCol w:w="923"/>
        <w:gridCol w:w="933"/>
        <w:gridCol w:w="923"/>
        <w:gridCol w:w="923"/>
        <w:gridCol w:w="933"/>
        <w:gridCol w:w="923"/>
        <w:gridCol w:w="923"/>
        <w:gridCol w:w="927"/>
      </w:tblGrid>
      <w:tr w:rsidR="005376E6" w:rsidRPr="005376E6" w14:paraId="5526A07D" w14:textId="77777777" w:rsidTr="00305E62">
        <w:trPr>
          <w:trHeight w:val="366"/>
          <w:tblHeader/>
        </w:trPr>
        <w:tc>
          <w:tcPr>
            <w:tcW w:w="749"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361FEF34" w14:textId="77777777" w:rsidR="005376E6" w:rsidRPr="005376E6" w:rsidRDefault="005376E6" w:rsidP="005376E6">
            <w:pPr>
              <w:jc w:val="center"/>
              <w:rPr>
                <w:rFonts w:ascii="Arial Narrow" w:hAnsi="Arial Narrow"/>
                <w:lang w:val="bg-BG"/>
              </w:rPr>
            </w:pPr>
            <w:r w:rsidRPr="005376E6">
              <w:rPr>
                <w:rFonts w:ascii="Arial Narrow" w:hAnsi="Arial Narrow"/>
                <w:lang w:val="bg-BG"/>
              </w:rPr>
              <w:lastRenderedPageBreak/>
              <w:t> </w:t>
            </w:r>
          </w:p>
        </w:tc>
        <w:tc>
          <w:tcPr>
            <w:tcW w:w="1418" w:type="pct"/>
            <w:gridSpan w:val="3"/>
            <w:tcBorders>
              <w:top w:val="single" w:sz="4" w:space="0" w:color="auto"/>
              <w:left w:val="nil"/>
              <w:bottom w:val="single" w:sz="4" w:space="0" w:color="auto"/>
              <w:right w:val="single" w:sz="4" w:space="0" w:color="auto"/>
            </w:tcBorders>
            <w:shd w:val="clear" w:color="auto" w:fill="auto"/>
            <w:noWrap/>
            <w:vAlign w:val="center"/>
            <w:hideMark/>
          </w:tcPr>
          <w:p w14:paraId="02286CF2" w14:textId="77777777" w:rsidR="005376E6" w:rsidRPr="005376E6" w:rsidRDefault="005376E6" w:rsidP="005376E6">
            <w:pPr>
              <w:jc w:val="center"/>
              <w:rPr>
                <w:rFonts w:ascii="Arial Narrow" w:hAnsi="Arial Narrow"/>
                <w:b/>
                <w:bCs/>
                <w:sz w:val="20"/>
                <w:szCs w:val="20"/>
                <w:lang w:val="bg-BG"/>
              </w:rPr>
            </w:pPr>
            <w:r w:rsidRPr="005376E6">
              <w:rPr>
                <w:rFonts w:ascii="Arial Narrow" w:hAnsi="Arial Narrow"/>
                <w:b/>
                <w:bCs/>
                <w:sz w:val="20"/>
                <w:szCs w:val="20"/>
                <w:lang w:val="bg-BG"/>
              </w:rPr>
              <w:t>2022</w:t>
            </w:r>
          </w:p>
        </w:tc>
        <w:tc>
          <w:tcPr>
            <w:tcW w:w="1418" w:type="pct"/>
            <w:gridSpan w:val="3"/>
            <w:tcBorders>
              <w:top w:val="single" w:sz="4" w:space="0" w:color="auto"/>
              <w:left w:val="nil"/>
              <w:bottom w:val="single" w:sz="4" w:space="0" w:color="auto"/>
              <w:right w:val="single" w:sz="4" w:space="0" w:color="auto"/>
            </w:tcBorders>
            <w:shd w:val="clear" w:color="auto" w:fill="auto"/>
            <w:noWrap/>
            <w:vAlign w:val="center"/>
            <w:hideMark/>
          </w:tcPr>
          <w:p w14:paraId="63E83C3B" w14:textId="77777777" w:rsidR="005376E6" w:rsidRPr="005376E6" w:rsidRDefault="005376E6" w:rsidP="005376E6">
            <w:pPr>
              <w:jc w:val="center"/>
              <w:rPr>
                <w:rFonts w:ascii="Arial Narrow" w:hAnsi="Arial Narrow"/>
                <w:b/>
                <w:bCs/>
                <w:sz w:val="20"/>
                <w:szCs w:val="20"/>
                <w:lang w:val="bg-BG"/>
              </w:rPr>
            </w:pPr>
            <w:r w:rsidRPr="005376E6">
              <w:rPr>
                <w:rFonts w:ascii="Arial Narrow" w:hAnsi="Arial Narrow"/>
                <w:b/>
                <w:bCs/>
                <w:sz w:val="20"/>
                <w:szCs w:val="20"/>
                <w:lang w:val="bg-BG"/>
              </w:rPr>
              <w:t>2023</w:t>
            </w:r>
          </w:p>
        </w:tc>
        <w:tc>
          <w:tcPr>
            <w:tcW w:w="1416" w:type="pct"/>
            <w:gridSpan w:val="3"/>
            <w:tcBorders>
              <w:top w:val="single" w:sz="4" w:space="0" w:color="auto"/>
              <w:left w:val="nil"/>
              <w:bottom w:val="single" w:sz="4" w:space="0" w:color="auto"/>
              <w:right w:val="single" w:sz="4" w:space="0" w:color="auto"/>
            </w:tcBorders>
            <w:shd w:val="clear" w:color="auto" w:fill="auto"/>
            <w:noWrap/>
            <w:vAlign w:val="center"/>
            <w:hideMark/>
          </w:tcPr>
          <w:p w14:paraId="5F5B85BE" w14:textId="77777777" w:rsidR="005376E6" w:rsidRPr="005376E6" w:rsidRDefault="005376E6" w:rsidP="005376E6">
            <w:pPr>
              <w:jc w:val="center"/>
              <w:rPr>
                <w:rFonts w:ascii="Arial Narrow" w:hAnsi="Arial Narrow"/>
                <w:b/>
                <w:bCs/>
                <w:sz w:val="20"/>
                <w:szCs w:val="20"/>
                <w:lang w:val="bg-BG"/>
              </w:rPr>
            </w:pPr>
            <w:r w:rsidRPr="005376E6">
              <w:rPr>
                <w:rFonts w:ascii="Arial Narrow" w:hAnsi="Arial Narrow"/>
                <w:b/>
                <w:bCs/>
                <w:sz w:val="20"/>
                <w:szCs w:val="20"/>
                <w:lang w:val="bg-BG"/>
              </w:rPr>
              <w:t>2024</w:t>
            </w:r>
          </w:p>
        </w:tc>
      </w:tr>
      <w:tr w:rsidR="005376E6" w:rsidRPr="005376E6" w14:paraId="3A7F1BDD" w14:textId="77777777" w:rsidTr="00305E62">
        <w:trPr>
          <w:trHeight w:val="497"/>
          <w:tblHeader/>
        </w:trPr>
        <w:tc>
          <w:tcPr>
            <w:tcW w:w="749" w:type="pct"/>
            <w:vMerge/>
            <w:tcBorders>
              <w:top w:val="single" w:sz="4" w:space="0" w:color="auto"/>
              <w:left w:val="single" w:sz="4" w:space="0" w:color="auto"/>
              <w:bottom w:val="single" w:sz="4" w:space="0" w:color="000000"/>
              <w:right w:val="single" w:sz="4" w:space="0" w:color="auto"/>
            </w:tcBorders>
            <w:vAlign w:val="center"/>
            <w:hideMark/>
          </w:tcPr>
          <w:p w14:paraId="45E7CCC7" w14:textId="77777777" w:rsidR="005376E6" w:rsidRPr="005376E6" w:rsidRDefault="005376E6" w:rsidP="005376E6">
            <w:pPr>
              <w:rPr>
                <w:rFonts w:ascii="Arial Narrow" w:hAnsi="Arial Narrow" w:cs="Calibri"/>
                <w:color w:val="000000"/>
                <w:sz w:val="20"/>
                <w:szCs w:val="20"/>
                <w:lang w:val="bg-BG" w:eastAsia="bg-BG"/>
              </w:rPr>
            </w:pPr>
          </w:p>
        </w:tc>
        <w:tc>
          <w:tcPr>
            <w:tcW w:w="471" w:type="pct"/>
            <w:tcBorders>
              <w:top w:val="nil"/>
              <w:left w:val="nil"/>
              <w:bottom w:val="single" w:sz="4" w:space="0" w:color="auto"/>
              <w:right w:val="single" w:sz="4" w:space="0" w:color="auto"/>
            </w:tcBorders>
            <w:shd w:val="clear" w:color="auto" w:fill="auto"/>
            <w:vAlign w:val="center"/>
            <w:hideMark/>
          </w:tcPr>
          <w:p w14:paraId="68A7C150" w14:textId="77777777" w:rsidR="005376E6" w:rsidRPr="005376E6" w:rsidRDefault="005376E6" w:rsidP="005376E6">
            <w:pPr>
              <w:jc w:val="center"/>
              <w:rPr>
                <w:rFonts w:ascii="Arial Narrow" w:hAnsi="Arial Narrow" w:cs="Calibri"/>
                <w:sz w:val="20"/>
                <w:szCs w:val="20"/>
                <w:lang w:val="bg-BG" w:eastAsia="bg-BG"/>
              </w:rPr>
            </w:pPr>
            <w:r w:rsidRPr="005376E6">
              <w:rPr>
                <w:rFonts w:ascii="Arial Narrow" w:hAnsi="Arial Narrow" w:cs="Calibri"/>
                <w:sz w:val="20"/>
                <w:szCs w:val="20"/>
                <w:lang w:val="bg-BG" w:eastAsia="bg-BG"/>
              </w:rPr>
              <w:t xml:space="preserve">I </w:t>
            </w:r>
            <w:r w:rsidRPr="005376E6">
              <w:rPr>
                <w:rFonts w:ascii="Arial Narrow" w:hAnsi="Arial Narrow" w:cs="Calibri"/>
                <w:sz w:val="20"/>
                <w:szCs w:val="20"/>
                <w:vertAlign w:val="superscript"/>
                <w:lang w:val="bg-BG" w:eastAsia="bg-BG"/>
              </w:rPr>
              <w:t>ва</w:t>
            </w:r>
            <w:r w:rsidRPr="005376E6">
              <w:rPr>
                <w:rFonts w:ascii="Arial Narrow" w:hAnsi="Arial Narrow" w:cs="Calibri"/>
                <w:sz w:val="20"/>
                <w:szCs w:val="20"/>
                <w:lang w:val="bg-BG" w:eastAsia="bg-BG"/>
              </w:rPr>
              <w:t xml:space="preserve"> </w:t>
            </w:r>
          </w:p>
          <w:p w14:paraId="06AFFDCC" w14:textId="77777777" w:rsidR="005376E6" w:rsidRPr="005376E6" w:rsidRDefault="005376E6" w:rsidP="005376E6">
            <w:pPr>
              <w:jc w:val="center"/>
              <w:rPr>
                <w:rFonts w:ascii="Arial Narrow" w:hAnsi="Arial Narrow" w:cs="Calibri"/>
                <w:sz w:val="20"/>
                <w:szCs w:val="20"/>
                <w:lang w:val="bg-BG" w:eastAsia="bg-BG"/>
              </w:rPr>
            </w:pPr>
            <w:r w:rsidRPr="005376E6">
              <w:rPr>
                <w:rFonts w:ascii="Arial Narrow" w:hAnsi="Arial Narrow" w:cs="Calibri"/>
                <w:sz w:val="20"/>
                <w:szCs w:val="20"/>
                <w:lang w:val="bg-BG" w:eastAsia="bg-BG"/>
              </w:rPr>
              <w:t xml:space="preserve">поливка </w:t>
            </w:r>
          </w:p>
        </w:tc>
        <w:tc>
          <w:tcPr>
            <w:tcW w:w="471" w:type="pct"/>
            <w:tcBorders>
              <w:top w:val="nil"/>
              <w:left w:val="nil"/>
              <w:bottom w:val="single" w:sz="4" w:space="0" w:color="auto"/>
              <w:right w:val="single" w:sz="4" w:space="0" w:color="auto"/>
            </w:tcBorders>
            <w:shd w:val="clear" w:color="auto" w:fill="auto"/>
            <w:vAlign w:val="center"/>
            <w:hideMark/>
          </w:tcPr>
          <w:p w14:paraId="28A82585" w14:textId="77777777" w:rsidR="005376E6" w:rsidRPr="005376E6" w:rsidRDefault="005376E6" w:rsidP="005376E6">
            <w:pPr>
              <w:jc w:val="center"/>
              <w:rPr>
                <w:rFonts w:ascii="Arial Narrow" w:hAnsi="Arial Narrow"/>
                <w:sz w:val="20"/>
                <w:szCs w:val="20"/>
                <w:lang w:val="bg-BG"/>
              </w:rPr>
            </w:pPr>
            <w:r w:rsidRPr="005376E6">
              <w:rPr>
                <w:rFonts w:ascii="Arial Narrow" w:hAnsi="Arial Narrow"/>
                <w:sz w:val="20"/>
                <w:szCs w:val="20"/>
                <w:lang w:val="bg-BG"/>
              </w:rPr>
              <w:t>Поливо</w:t>
            </w:r>
          </w:p>
          <w:p w14:paraId="55B431D0" w14:textId="77777777" w:rsidR="005376E6" w:rsidRPr="005376E6" w:rsidRDefault="005376E6" w:rsidP="005376E6">
            <w:pPr>
              <w:jc w:val="center"/>
              <w:rPr>
                <w:rFonts w:ascii="Arial Narrow" w:hAnsi="Arial Narrow"/>
                <w:sz w:val="20"/>
                <w:szCs w:val="20"/>
                <w:lang w:val="bg-BG"/>
              </w:rPr>
            </w:pPr>
            <w:r w:rsidRPr="005376E6">
              <w:rPr>
                <w:rFonts w:ascii="Arial Narrow" w:hAnsi="Arial Narrow"/>
                <w:sz w:val="20"/>
                <w:szCs w:val="20"/>
                <w:lang w:val="bg-BG"/>
              </w:rPr>
              <w:t xml:space="preserve">декари </w:t>
            </w:r>
          </w:p>
        </w:tc>
        <w:tc>
          <w:tcPr>
            <w:tcW w:w="476" w:type="pct"/>
            <w:tcBorders>
              <w:top w:val="nil"/>
              <w:left w:val="nil"/>
              <w:bottom w:val="single" w:sz="4" w:space="0" w:color="auto"/>
              <w:right w:val="single" w:sz="4" w:space="0" w:color="auto"/>
            </w:tcBorders>
            <w:shd w:val="clear" w:color="auto" w:fill="auto"/>
            <w:vAlign w:val="center"/>
            <w:hideMark/>
          </w:tcPr>
          <w:p w14:paraId="7CE7D1E0" w14:textId="77777777" w:rsidR="005376E6" w:rsidRPr="005376E6" w:rsidRDefault="005376E6" w:rsidP="005376E6">
            <w:pPr>
              <w:jc w:val="center"/>
              <w:rPr>
                <w:rFonts w:ascii="Arial Narrow" w:hAnsi="Arial Narrow" w:cs="Calibri"/>
                <w:sz w:val="20"/>
                <w:szCs w:val="20"/>
                <w:lang w:val="bg-BG" w:eastAsia="bg-BG"/>
              </w:rPr>
            </w:pPr>
            <w:r w:rsidRPr="005376E6">
              <w:rPr>
                <w:rFonts w:ascii="Arial Narrow" w:hAnsi="Arial Narrow" w:cs="Calibri"/>
                <w:sz w:val="20"/>
                <w:szCs w:val="20"/>
                <w:lang w:val="bg-BG" w:eastAsia="bg-BG"/>
              </w:rPr>
              <w:t xml:space="preserve">Водни маси </w:t>
            </w:r>
          </w:p>
        </w:tc>
        <w:tc>
          <w:tcPr>
            <w:tcW w:w="471" w:type="pct"/>
            <w:tcBorders>
              <w:top w:val="nil"/>
              <w:left w:val="nil"/>
              <w:bottom w:val="single" w:sz="4" w:space="0" w:color="auto"/>
              <w:right w:val="single" w:sz="4" w:space="0" w:color="auto"/>
            </w:tcBorders>
            <w:shd w:val="clear" w:color="auto" w:fill="auto"/>
            <w:vAlign w:val="center"/>
            <w:hideMark/>
          </w:tcPr>
          <w:p w14:paraId="646B6BFE" w14:textId="77777777" w:rsidR="005376E6" w:rsidRPr="005376E6" w:rsidRDefault="005376E6" w:rsidP="005376E6">
            <w:pPr>
              <w:jc w:val="center"/>
              <w:rPr>
                <w:rFonts w:ascii="Arial Narrow" w:hAnsi="Arial Narrow" w:cs="Calibri"/>
                <w:sz w:val="20"/>
                <w:szCs w:val="20"/>
                <w:lang w:val="bg-BG" w:eastAsia="bg-BG"/>
              </w:rPr>
            </w:pPr>
            <w:r w:rsidRPr="005376E6">
              <w:rPr>
                <w:rFonts w:ascii="Arial Narrow" w:hAnsi="Arial Narrow" w:cs="Calibri"/>
                <w:sz w:val="20"/>
                <w:szCs w:val="20"/>
                <w:lang w:val="bg-BG" w:eastAsia="bg-BG"/>
              </w:rPr>
              <w:t xml:space="preserve">I </w:t>
            </w:r>
            <w:r w:rsidRPr="005376E6">
              <w:rPr>
                <w:rFonts w:ascii="Arial Narrow" w:hAnsi="Arial Narrow" w:cs="Calibri"/>
                <w:sz w:val="20"/>
                <w:szCs w:val="20"/>
                <w:vertAlign w:val="superscript"/>
                <w:lang w:val="bg-BG" w:eastAsia="bg-BG"/>
              </w:rPr>
              <w:t>ва</w:t>
            </w:r>
            <w:r w:rsidRPr="005376E6">
              <w:rPr>
                <w:rFonts w:ascii="Arial Narrow" w:hAnsi="Arial Narrow" w:cs="Calibri"/>
                <w:sz w:val="20"/>
                <w:szCs w:val="20"/>
                <w:lang w:val="bg-BG" w:eastAsia="bg-BG"/>
              </w:rPr>
              <w:t xml:space="preserve"> </w:t>
            </w:r>
          </w:p>
          <w:p w14:paraId="081AE597" w14:textId="77777777" w:rsidR="005376E6" w:rsidRPr="005376E6" w:rsidRDefault="005376E6" w:rsidP="005376E6">
            <w:pPr>
              <w:jc w:val="center"/>
              <w:rPr>
                <w:rFonts w:ascii="Arial Narrow" w:hAnsi="Arial Narrow" w:cs="Calibri"/>
                <w:sz w:val="20"/>
                <w:szCs w:val="20"/>
                <w:lang w:val="bg-BG" w:eastAsia="bg-BG"/>
              </w:rPr>
            </w:pPr>
            <w:r w:rsidRPr="005376E6">
              <w:rPr>
                <w:rFonts w:ascii="Arial Narrow" w:hAnsi="Arial Narrow" w:cs="Calibri"/>
                <w:sz w:val="20"/>
                <w:szCs w:val="20"/>
                <w:lang w:val="bg-BG" w:eastAsia="bg-BG"/>
              </w:rPr>
              <w:t xml:space="preserve">поливка </w:t>
            </w:r>
          </w:p>
        </w:tc>
        <w:tc>
          <w:tcPr>
            <w:tcW w:w="471" w:type="pct"/>
            <w:tcBorders>
              <w:top w:val="nil"/>
              <w:left w:val="nil"/>
              <w:bottom w:val="single" w:sz="4" w:space="0" w:color="auto"/>
              <w:right w:val="single" w:sz="4" w:space="0" w:color="auto"/>
            </w:tcBorders>
            <w:shd w:val="clear" w:color="auto" w:fill="auto"/>
            <w:vAlign w:val="center"/>
            <w:hideMark/>
          </w:tcPr>
          <w:p w14:paraId="0AE67E11" w14:textId="77777777" w:rsidR="005376E6" w:rsidRPr="005376E6" w:rsidRDefault="005376E6" w:rsidP="005376E6">
            <w:pPr>
              <w:jc w:val="center"/>
              <w:rPr>
                <w:rFonts w:ascii="Arial Narrow" w:hAnsi="Arial Narrow" w:cs="Calibri"/>
                <w:sz w:val="20"/>
                <w:szCs w:val="20"/>
                <w:lang w:val="bg-BG" w:eastAsia="bg-BG"/>
              </w:rPr>
            </w:pPr>
            <w:r w:rsidRPr="005376E6">
              <w:rPr>
                <w:rFonts w:ascii="Arial Narrow" w:hAnsi="Arial Narrow" w:cs="Calibri"/>
                <w:sz w:val="20"/>
                <w:szCs w:val="20"/>
                <w:lang w:val="bg-BG" w:eastAsia="bg-BG"/>
              </w:rPr>
              <w:t>Поливо</w:t>
            </w:r>
          </w:p>
          <w:p w14:paraId="477F0C18" w14:textId="77777777" w:rsidR="005376E6" w:rsidRPr="005376E6" w:rsidRDefault="005376E6" w:rsidP="005376E6">
            <w:pPr>
              <w:jc w:val="center"/>
              <w:rPr>
                <w:rFonts w:ascii="Arial Narrow" w:hAnsi="Arial Narrow" w:cs="Calibri"/>
                <w:sz w:val="20"/>
                <w:szCs w:val="20"/>
                <w:lang w:val="bg-BG" w:eastAsia="bg-BG"/>
              </w:rPr>
            </w:pPr>
            <w:r w:rsidRPr="005376E6">
              <w:rPr>
                <w:rFonts w:ascii="Arial Narrow" w:hAnsi="Arial Narrow" w:cs="Calibri"/>
                <w:sz w:val="20"/>
                <w:szCs w:val="20"/>
                <w:lang w:val="bg-BG" w:eastAsia="bg-BG"/>
              </w:rPr>
              <w:t>декари</w:t>
            </w:r>
          </w:p>
        </w:tc>
        <w:tc>
          <w:tcPr>
            <w:tcW w:w="476" w:type="pct"/>
            <w:tcBorders>
              <w:top w:val="nil"/>
              <w:left w:val="nil"/>
              <w:bottom w:val="single" w:sz="4" w:space="0" w:color="auto"/>
              <w:right w:val="single" w:sz="4" w:space="0" w:color="auto"/>
            </w:tcBorders>
            <w:shd w:val="clear" w:color="auto" w:fill="auto"/>
            <w:vAlign w:val="center"/>
            <w:hideMark/>
          </w:tcPr>
          <w:p w14:paraId="6FFFDE37" w14:textId="77777777" w:rsidR="005376E6" w:rsidRPr="005376E6" w:rsidRDefault="005376E6" w:rsidP="005376E6">
            <w:pPr>
              <w:jc w:val="center"/>
              <w:rPr>
                <w:rFonts w:ascii="Arial Narrow" w:hAnsi="Arial Narrow" w:cs="Calibri"/>
                <w:sz w:val="20"/>
                <w:szCs w:val="20"/>
                <w:lang w:val="bg-BG" w:eastAsia="bg-BG"/>
              </w:rPr>
            </w:pPr>
            <w:r w:rsidRPr="005376E6">
              <w:rPr>
                <w:rFonts w:ascii="Arial Narrow" w:hAnsi="Arial Narrow" w:cs="Calibri"/>
                <w:sz w:val="20"/>
                <w:szCs w:val="20"/>
                <w:lang w:val="bg-BG" w:eastAsia="bg-BG"/>
              </w:rPr>
              <w:t xml:space="preserve">Водни маси </w:t>
            </w:r>
          </w:p>
        </w:tc>
        <w:tc>
          <w:tcPr>
            <w:tcW w:w="471" w:type="pct"/>
            <w:tcBorders>
              <w:top w:val="nil"/>
              <w:left w:val="nil"/>
              <w:bottom w:val="single" w:sz="4" w:space="0" w:color="auto"/>
              <w:right w:val="single" w:sz="4" w:space="0" w:color="auto"/>
            </w:tcBorders>
            <w:shd w:val="clear" w:color="auto" w:fill="auto"/>
            <w:vAlign w:val="center"/>
            <w:hideMark/>
          </w:tcPr>
          <w:p w14:paraId="45FCDA98" w14:textId="77777777" w:rsidR="005376E6" w:rsidRPr="005376E6" w:rsidRDefault="005376E6" w:rsidP="005376E6">
            <w:pPr>
              <w:jc w:val="center"/>
              <w:rPr>
                <w:rFonts w:ascii="Arial Narrow" w:hAnsi="Arial Narrow" w:cs="Calibri"/>
                <w:sz w:val="20"/>
                <w:szCs w:val="20"/>
                <w:lang w:val="bg-BG" w:eastAsia="bg-BG"/>
              </w:rPr>
            </w:pPr>
            <w:r w:rsidRPr="005376E6">
              <w:rPr>
                <w:rFonts w:ascii="Arial Narrow" w:hAnsi="Arial Narrow" w:cs="Calibri"/>
                <w:sz w:val="20"/>
                <w:szCs w:val="20"/>
                <w:lang w:val="bg-BG" w:eastAsia="bg-BG"/>
              </w:rPr>
              <w:t xml:space="preserve">I </w:t>
            </w:r>
            <w:r w:rsidRPr="005376E6">
              <w:rPr>
                <w:rFonts w:ascii="Arial Narrow" w:hAnsi="Arial Narrow" w:cs="Calibri"/>
                <w:sz w:val="20"/>
                <w:szCs w:val="20"/>
                <w:vertAlign w:val="superscript"/>
                <w:lang w:val="bg-BG" w:eastAsia="bg-BG"/>
              </w:rPr>
              <w:t>ва</w:t>
            </w:r>
            <w:r w:rsidRPr="005376E6">
              <w:rPr>
                <w:rFonts w:ascii="Arial Narrow" w:hAnsi="Arial Narrow" w:cs="Calibri"/>
                <w:sz w:val="20"/>
                <w:szCs w:val="20"/>
                <w:lang w:val="bg-BG" w:eastAsia="bg-BG"/>
              </w:rPr>
              <w:t xml:space="preserve"> </w:t>
            </w:r>
          </w:p>
          <w:p w14:paraId="105AC161" w14:textId="77777777" w:rsidR="005376E6" w:rsidRPr="005376E6" w:rsidRDefault="005376E6" w:rsidP="005376E6">
            <w:pPr>
              <w:jc w:val="center"/>
              <w:rPr>
                <w:rFonts w:ascii="Arial Narrow" w:hAnsi="Arial Narrow" w:cs="Calibri"/>
                <w:sz w:val="20"/>
                <w:szCs w:val="20"/>
                <w:lang w:val="bg-BG" w:eastAsia="bg-BG"/>
              </w:rPr>
            </w:pPr>
            <w:r w:rsidRPr="005376E6">
              <w:rPr>
                <w:rFonts w:ascii="Arial Narrow" w:hAnsi="Arial Narrow" w:cs="Calibri"/>
                <w:sz w:val="20"/>
                <w:szCs w:val="20"/>
                <w:lang w:val="bg-BG" w:eastAsia="bg-BG"/>
              </w:rPr>
              <w:t xml:space="preserve">поливка </w:t>
            </w:r>
          </w:p>
        </w:tc>
        <w:tc>
          <w:tcPr>
            <w:tcW w:w="471" w:type="pct"/>
            <w:tcBorders>
              <w:top w:val="nil"/>
              <w:left w:val="nil"/>
              <w:bottom w:val="single" w:sz="4" w:space="0" w:color="auto"/>
              <w:right w:val="single" w:sz="4" w:space="0" w:color="auto"/>
            </w:tcBorders>
            <w:shd w:val="clear" w:color="auto" w:fill="auto"/>
            <w:vAlign w:val="center"/>
            <w:hideMark/>
          </w:tcPr>
          <w:p w14:paraId="04B956A5" w14:textId="77777777" w:rsidR="005376E6" w:rsidRPr="005376E6" w:rsidRDefault="005376E6" w:rsidP="005376E6">
            <w:pPr>
              <w:jc w:val="center"/>
              <w:rPr>
                <w:rFonts w:ascii="Arial Narrow" w:hAnsi="Arial Narrow" w:cs="Calibri"/>
                <w:sz w:val="20"/>
                <w:szCs w:val="20"/>
                <w:lang w:val="bg-BG" w:eastAsia="bg-BG"/>
              </w:rPr>
            </w:pPr>
            <w:r w:rsidRPr="005376E6">
              <w:rPr>
                <w:rFonts w:ascii="Arial Narrow" w:hAnsi="Arial Narrow" w:cs="Calibri"/>
                <w:sz w:val="20"/>
                <w:szCs w:val="20"/>
                <w:lang w:val="bg-BG" w:eastAsia="bg-BG"/>
              </w:rPr>
              <w:t>Поливо</w:t>
            </w:r>
          </w:p>
          <w:p w14:paraId="553DB874" w14:textId="77777777" w:rsidR="005376E6" w:rsidRPr="005376E6" w:rsidRDefault="005376E6" w:rsidP="005376E6">
            <w:pPr>
              <w:jc w:val="center"/>
              <w:rPr>
                <w:rFonts w:ascii="Arial Narrow" w:hAnsi="Arial Narrow" w:cs="Calibri"/>
                <w:sz w:val="20"/>
                <w:szCs w:val="20"/>
                <w:lang w:val="bg-BG" w:eastAsia="bg-BG"/>
              </w:rPr>
            </w:pPr>
            <w:r w:rsidRPr="005376E6">
              <w:rPr>
                <w:rFonts w:ascii="Arial Narrow" w:hAnsi="Arial Narrow" w:cs="Calibri"/>
                <w:sz w:val="20"/>
                <w:szCs w:val="20"/>
                <w:lang w:val="bg-BG" w:eastAsia="bg-BG"/>
              </w:rPr>
              <w:t xml:space="preserve">декари </w:t>
            </w:r>
          </w:p>
        </w:tc>
        <w:tc>
          <w:tcPr>
            <w:tcW w:w="474" w:type="pct"/>
            <w:tcBorders>
              <w:top w:val="nil"/>
              <w:left w:val="nil"/>
              <w:bottom w:val="single" w:sz="4" w:space="0" w:color="auto"/>
              <w:right w:val="single" w:sz="4" w:space="0" w:color="auto"/>
            </w:tcBorders>
            <w:shd w:val="clear" w:color="auto" w:fill="auto"/>
            <w:vAlign w:val="center"/>
            <w:hideMark/>
          </w:tcPr>
          <w:p w14:paraId="3BDA230A" w14:textId="77777777" w:rsidR="005376E6" w:rsidRPr="005376E6" w:rsidRDefault="005376E6" w:rsidP="005376E6">
            <w:pPr>
              <w:jc w:val="center"/>
              <w:rPr>
                <w:rFonts w:ascii="Arial Narrow" w:hAnsi="Arial Narrow" w:cs="Calibri"/>
                <w:sz w:val="20"/>
                <w:szCs w:val="20"/>
                <w:lang w:val="bg-BG" w:eastAsia="bg-BG"/>
              </w:rPr>
            </w:pPr>
            <w:r w:rsidRPr="005376E6">
              <w:rPr>
                <w:rFonts w:ascii="Arial Narrow" w:hAnsi="Arial Narrow" w:cs="Calibri"/>
                <w:sz w:val="20"/>
                <w:szCs w:val="20"/>
                <w:lang w:val="bg-BG" w:eastAsia="bg-BG"/>
              </w:rPr>
              <w:t xml:space="preserve">Водни маси </w:t>
            </w:r>
          </w:p>
        </w:tc>
      </w:tr>
      <w:tr w:rsidR="005376E6" w:rsidRPr="005376E6" w14:paraId="39CEA839" w14:textId="77777777" w:rsidTr="00305E62">
        <w:trPr>
          <w:trHeight w:val="234"/>
          <w:tblHeader/>
        </w:trPr>
        <w:tc>
          <w:tcPr>
            <w:tcW w:w="749" w:type="pct"/>
            <w:vMerge/>
            <w:tcBorders>
              <w:top w:val="single" w:sz="4" w:space="0" w:color="auto"/>
              <w:left w:val="single" w:sz="4" w:space="0" w:color="auto"/>
              <w:bottom w:val="single" w:sz="4" w:space="0" w:color="000000"/>
              <w:right w:val="single" w:sz="4" w:space="0" w:color="auto"/>
            </w:tcBorders>
            <w:vAlign w:val="center"/>
            <w:hideMark/>
          </w:tcPr>
          <w:p w14:paraId="395CAFF9" w14:textId="77777777" w:rsidR="005376E6" w:rsidRPr="005376E6" w:rsidRDefault="005376E6" w:rsidP="005376E6">
            <w:pPr>
              <w:rPr>
                <w:rFonts w:ascii="Arial Narrow" w:hAnsi="Arial Narrow" w:cs="Calibri"/>
                <w:color w:val="000000"/>
                <w:sz w:val="20"/>
                <w:szCs w:val="20"/>
                <w:lang w:val="bg-BG" w:eastAsia="bg-BG"/>
              </w:rPr>
            </w:pPr>
          </w:p>
        </w:tc>
        <w:tc>
          <w:tcPr>
            <w:tcW w:w="471" w:type="pct"/>
            <w:tcBorders>
              <w:top w:val="nil"/>
              <w:left w:val="nil"/>
              <w:bottom w:val="single" w:sz="4" w:space="0" w:color="auto"/>
              <w:right w:val="single" w:sz="4" w:space="0" w:color="auto"/>
            </w:tcBorders>
            <w:shd w:val="clear" w:color="auto" w:fill="auto"/>
            <w:noWrap/>
            <w:vAlign w:val="center"/>
            <w:hideMark/>
          </w:tcPr>
          <w:p w14:paraId="33D7B042" w14:textId="77777777" w:rsidR="005376E6" w:rsidRPr="005376E6" w:rsidRDefault="005376E6" w:rsidP="005376E6">
            <w:pPr>
              <w:jc w:val="center"/>
              <w:rPr>
                <w:rFonts w:ascii="Arial Narrow" w:hAnsi="Arial Narrow" w:cs="Calibri"/>
                <w:sz w:val="20"/>
                <w:szCs w:val="20"/>
                <w:lang w:val="bg-BG" w:eastAsia="bg-BG"/>
              </w:rPr>
            </w:pPr>
            <w:r w:rsidRPr="005376E6">
              <w:rPr>
                <w:rFonts w:ascii="Arial Narrow" w:hAnsi="Arial Narrow" w:cs="Calibri"/>
                <w:sz w:val="20"/>
                <w:szCs w:val="20"/>
                <w:lang w:val="bg-BG" w:eastAsia="bg-BG"/>
              </w:rPr>
              <w:t>дка</w:t>
            </w:r>
          </w:p>
        </w:tc>
        <w:tc>
          <w:tcPr>
            <w:tcW w:w="471" w:type="pct"/>
            <w:tcBorders>
              <w:top w:val="nil"/>
              <w:left w:val="nil"/>
              <w:bottom w:val="single" w:sz="4" w:space="0" w:color="auto"/>
              <w:right w:val="single" w:sz="4" w:space="0" w:color="auto"/>
            </w:tcBorders>
            <w:shd w:val="clear" w:color="auto" w:fill="auto"/>
            <w:noWrap/>
            <w:vAlign w:val="center"/>
            <w:hideMark/>
          </w:tcPr>
          <w:p w14:paraId="7491B4C8" w14:textId="77777777" w:rsidR="005376E6" w:rsidRPr="005376E6" w:rsidRDefault="005376E6" w:rsidP="005376E6">
            <w:pPr>
              <w:jc w:val="center"/>
              <w:rPr>
                <w:rFonts w:ascii="Arial Narrow" w:hAnsi="Arial Narrow" w:cs="Calibri"/>
                <w:sz w:val="20"/>
                <w:szCs w:val="20"/>
                <w:lang w:val="bg-BG" w:eastAsia="bg-BG"/>
              </w:rPr>
            </w:pPr>
            <w:r w:rsidRPr="005376E6">
              <w:rPr>
                <w:rFonts w:ascii="Arial Narrow" w:hAnsi="Arial Narrow" w:cs="Calibri"/>
                <w:sz w:val="20"/>
                <w:szCs w:val="20"/>
                <w:lang w:val="bg-BG" w:eastAsia="bg-BG"/>
              </w:rPr>
              <w:t>дка</w:t>
            </w:r>
          </w:p>
        </w:tc>
        <w:tc>
          <w:tcPr>
            <w:tcW w:w="476" w:type="pct"/>
            <w:tcBorders>
              <w:top w:val="nil"/>
              <w:left w:val="nil"/>
              <w:bottom w:val="single" w:sz="4" w:space="0" w:color="auto"/>
              <w:right w:val="single" w:sz="4" w:space="0" w:color="auto"/>
            </w:tcBorders>
            <w:shd w:val="clear" w:color="auto" w:fill="auto"/>
            <w:noWrap/>
            <w:vAlign w:val="center"/>
            <w:hideMark/>
          </w:tcPr>
          <w:p w14:paraId="14D15093" w14:textId="77777777" w:rsidR="005376E6" w:rsidRPr="005376E6" w:rsidRDefault="005376E6" w:rsidP="005376E6">
            <w:pPr>
              <w:jc w:val="center"/>
              <w:rPr>
                <w:rFonts w:ascii="Arial Narrow" w:hAnsi="Arial Narrow" w:cs="Calibri"/>
                <w:sz w:val="20"/>
                <w:szCs w:val="20"/>
                <w:lang w:val="bg-BG" w:eastAsia="bg-BG"/>
              </w:rPr>
            </w:pPr>
            <w:r w:rsidRPr="005376E6">
              <w:rPr>
                <w:rFonts w:ascii="Arial Narrow" w:hAnsi="Arial Narrow" w:cs="Calibri"/>
                <w:sz w:val="20"/>
                <w:szCs w:val="20"/>
                <w:lang w:val="bg-BG" w:eastAsia="bg-BG"/>
              </w:rPr>
              <w:t>хил. м</w:t>
            </w:r>
            <w:r w:rsidRPr="005376E6">
              <w:rPr>
                <w:rFonts w:ascii="Arial Narrow" w:hAnsi="Arial Narrow" w:cs="Calibri"/>
                <w:sz w:val="20"/>
                <w:szCs w:val="20"/>
                <w:vertAlign w:val="superscript"/>
                <w:lang w:val="bg-BG" w:eastAsia="bg-BG"/>
              </w:rPr>
              <w:t>3</w:t>
            </w:r>
          </w:p>
        </w:tc>
        <w:tc>
          <w:tcPr>
            <w:tcW w:w="471" w:type="pct"/>
            <w:tcBorders>
              <w:top w:val="nil"/>
              <w:left w:val="nil"/>
              <w:bottom w:val="single" w:sz="4" w:space="0" w:color="auto"/>
              <w:right w:val="single" w:sz="4" w:space="0" w:color="auto"/>
            </w:tcBorders>
            <w:shd w:val="clear" w:color="auto" w:fill="auto"/>
            <w:noWrap/>
            <w:vAlign w:val="center"/>
            <w:hideMark/>
          </w:tcPr>
          <w:p w14:paraId="3D0CCAE1" w14:textId="77777777" w:rsidR="005376E6" w:rsidRPr="005376E6" w:rsidRDefault="005376E6" w:rsidP="005376E6">
            <w:pPr>
              <w:jc w:val="center"/>
              <w:rPr>
                <w:rFonts w:ascii="Arial Narrow" w:hAnsi="Arial Narrow" w:cs="Calibri"/>
                <w:sz w:val="20"/>
                <w:szCs w:val="20"/>
                <w:lang w:val="bg-BG" w:eastAsia="bg-BG"/>
              </w:rPr>
            </w:pPr>
            <w:r w:rsidRPr="005376E6">
              <w:rPr>
                <w:rFonts w:ascii="Arial Narrow" w:hAnsi="Arial Narrow" w:cs="Calibri"/>
                <w:sz w:val="20"/>
                <w:szCs w:val="20"/>
                <w:lang w:val="bg-BG" w:eastAsia="bg-BG"/>
              </w:rPr>
              <w:t>дка</w:t>
            </w:r>
          </w:p>
        </w:tc>
        <w:tc>
          <w:tcPr>
            <w:tcW w:w="471" w:type="pct"/>
            <w:tcBorders>
              <w:top w:val="nil"/>
              <w:left w:val="nil"/>
              <w:bottom w:val="single" w:sz="4" w:space="0" w:color="auto"/>
              <w:right w:val="single" w:sz="4" w:space="0" w:color="auto"/>
            </w:tcBorders>
            <w:shd w:val="clear" w:color="auto" w:fill="auto"/>
            <w:noWrap/>
            <w:vAlign w:val="center"/>
            <w:hideMark/>
          </w:tcPr>
          <w:p w14:paraId="2ECFEB69" w14:textId="77777777" w:rsidR="005376E6" w:rsidRPr="005376E6" w:rsidRDefault="005376E6" w:rsidP="005376E6">
            <w:pPr>
              <w:jc w:val="center"/>
              <w:rPr>
                <w:rFonts w:ascii="Arial Narrow" w:hAnsi="Arial Narrow" w:cs="Calibri"/>
                <w:sz w:val="20"/>
                <w:szCs w:val="20"/>
                <w:lang w:val="bg-BG" w:eastAsia="bg-BG"/>
              </w:rPr>
            </w:pPr>
            <w:r w:rsidRPr="005376E6">
              <w:rPr>
                <w:rFonts w:ascii="Arial Narrow" w:hAnsi="Arial Narrow" w:cs="Calibri"/>
                <w:sz w:val="20"/>
                <w:szCs w:val="20"/>
                <w:lang w:val="bg-BG" w:eastAsia="bg-BG"/>
              </w:rPr>
              <w:t>дка</w:t>
            </w:r>
          </w:p>
        </w:tc>
        <w:tc>
          <w:tcPr>
            <w:tcW w:w="476" w:type="pct"/>
            <w:tcBorders>
              <w:top w:val="nil"/>
              <w:left w:val="nil"/>
              <w:bottom w:val="single" w:sz="4" w:space="0" w:color="auto"/>
              <w:right w:val="single" w:sz="4" w:space="0" w:color="auto"/>
            </w:tcBorders>
            <w:shd w:val="clear" w:color="auto" w:fill="auto"/>
            <w:noWrap/>
            <w:vAlign w:val="center"/>
            <w:hideMark/>
          </w:tcPr>
          <w:p w14:paraId="7986F488" w14:textId="77777777" w:rsidR="005376E6" w:rsidRPr="005376E6" w:rsidRDefault="005376E6" w:rsidP="005376E6">
            <w:pPr>
              <w:jc w:val="center"/>
              <w:rPr>
                <w:rFonts w:ascii="Arial Narrow" w:hAnsi="Arial Narrow" w:cs="Calibri"/>
                <w:sz w:val="20"/>
                <w:szCs w:val="20"/>
                <w:lang w:val="bg-BG" w:eastAsia="bg-BG"/>
              </w:rPr>
            </w:pPr>
            <w:r w:rsidRPr="005376E6">
              <w:rPr>
                <w:rFonts w:ascii="Arial Narrow" w:hAnsi="Arial Narrow" w:cs="Calibri"/>
                <w:sz w:val="20"/>
                <w:szCs w:val="20"/>
                <w:lang w:val="bg-BG" w:eastAsia="bg-BG"/>
              </w:rPr>
              <w:t>хил. м</w:t>
            </w:r>
            <w:r w:rsidRPr="005376E6">
              <w:rPr>
                <w:rFonts w:ascii="Arial Narrow" w:hAnsi="Arial Narrow" w:cs="Calibri"/>
                <w:sz w:val="20"/>
                <w:szCs w:val="20"/>
                <w:vertAlign w:val="superscript"/>
                <w:lang w:val="bg-BG" w:eastAsia="bg-BG"/>
              </w:rPr>
              <w:t>3</w:t>
            </w:r>
          </w:p>
        </w:tc>
        <w:tc>
          <w:tcPr>
            <w:tcW w:w="471" w:type="pct"/>
            <w:tcBorders>
              <w:top w:val="nil"/>
              <w:left w:val="nil"/>
              <w:bottom w:val="single" w:sz="4" w:space="0" w:color="auto"/>
              <w:right w:val="single" w:sz="4" w:space="0" w:color="auto"/>
            </w:tcBorders>
            <w:shd w:val="clear" w:color="auto" w:fill="auto"/>
            <w:noWrap/>
            <w:vAlign w:val="center"/>
            <w:hideMark/>
          </w:tcPr>
          <w:p w14:paraId="495FF9FF" w14:textId="77777777" w:rsidR="005376E6" w:rsidRPr="005376E6" w:rsidRDefault="005376E6" w:rsidP="005376E6">
            <w:pPr>
              <w:jc w:val="center"/>
              <w:rPr>
                <w:rFonts w:ascii="Arial Narrow" w:hAnsi="Arial Narrow" w:cs="Calibri"/>
                <w:sz w:val="20"/>
                <w:szCs w:val="20"/>
                <w:lang w:val="bg-BG" w:eastAsia="bg-BG"/>
              </w:rPr>
            </w:pPr>
            <w:r w:rsidRPr="005376E6">
              <w:rPr>
                <w:rFonts w:ascii="Arial Narrow" w:hAnsi="Arial Narrow" w:cs="Calibri"/>
                <w:sz w:val="20"/>
                <w:szCs w:val="20"/>
                <w:lang w:val="bg-BG" w:eastAsia="bg-BG"/>
              </w:rPr>
              <w:t>дка</w:t>
            </w:r>
          </w:p>
        </w:tc>
        <w:tc>
          <w:tcPr>
            <w:tcW w:w="471" w:type="pct"/>
            <w:tcBorders>
              <w:top w:val="nil"/>
              <w:left w:val="nil"/>
              <w:bottom w:val="single" w:sz="4" w:space="0" w:color="auto"/>
              <w:right w:val="single" w:sz="4" w:space="0" w:color="auto"/>
            </w:tcBorders>
            <w:shd w:val="clear" w:color="auto" w:fill="auto"/>
            <w:noWrap/>
            <w:vAlign w:val="center"/>
            <w:hideMark/>
          </w:tcPr>
          <w:p w14:paraId="02067765" w14:textId="77777777" w:rsidR="005376E6" w:rsidRPr="005376E6" w:rsidRDefault="005376E6" w:rsidP="005376E6">
            <w:pPr>
              <w:jc w:val="center"/>
              <w:rPr>
                <w:rFonts w:ascii="Arial Narrow" w:hAnsi="Arial Narrow" w:cs="Calibri"/>
                <w:sz w:val="20"/>
                <w:szCs w:val="20"/>
                <w:lang w:val="bg-BG" w:eastAsia="bg-BG"/>
              </w:rPr>
            </w:pPr>
            <w:r w:rsidRPr="005376E6">
              <w:rPr>
                <w:rFonts w:ascii="Arial Narrow" w:hAnsi="Arial Narrow" w:cs="Calibri"/>
                <w:sz w:val="20"/>
                <w:szCs w:val="20"/>
                <w:lang w:val="bg-BG" w:eastAsia="bg-BG"/>
              </w:rPr>
              <w:t>дка</w:t>
            </w:r>
          </w:p>
        </w:tc>
        <w:tc>
          <w:tcPr>
            <w:tcW w:w="474" w:type="pct"/>
            <w:tcBorders>
              <w:top w:val="nil"/>
              <w:left w:val="nil"/>
              <w:bottom w:val="single" w:sz="4" w:space="0" w:color="auto"/>
              <w:right w:val="single" w:sz="4" w:space="0" w:color="auto"/>
            </w:tcBorders>
            <w:shd w:val="clear" w:color="auto" w:fill="auto"/>
            <w:noWrap/>
            <w:vAlign w:val="center"/>
            <w:hideMark/>
          </w:tcPr>
          <w:p w14:paraId="4D1F034E" w14:textId="77777777" w:rsidR="005376E6" w:rsidRPr="005376E6" w:rsidRDefault="005376E6" w:rsidP="005376E6">
            <w:pPr>
              <w:jc w:val="center"/>
              <w:rPr>
                <w:rFonts w:ascii="Arial Narrow" w:hAnsi="Arial Narrow" w:cs="Calibri"/>
                <w:sz w:val="20"/>
                <w:szCs w:val="20"/>
                <w:lang w:val="bg-BG" w:eastAsia="bg-BG"/>
              </w:rPr>
            </w:pPr>
            <w:r w:rsidRPr="005376E6">
              <w:rPr>
                <w:rFonts w:ascii="Arial Narrow" w:hAnsi="Arial Narrow" w:cs="Calibri"/>
                <w:sz w:val="20"/>
                <w:szCs w:val="20"/>
                <w:lang w:val="bg-BG" w:eastAsia="bg-BG"/>
              </w:rPr>
              <w:t>хил. м</w:t>
            </w:r>
            <w:r w:rsidRPr="005376E6">
              <w:rPr>
                <w:rFonts w:ascii="Arial Narrow" w:hAnsi="Arial Narrow" w:cs="Calibri"/>
                <w:sz w:val="20"/>
                <w:szCs w:val="20"/>
                <w:vertAlign w:val="superscript"/>
                <w:lang w:val="bg-BG" w:eastAsia="bg-BG"/>
              </w:rPr>
              <w:t>3</w:t>
            </w:r>
          </w:p>
        </w:tc>
      </w:tr>
      <w:tr w:rsidR="005376E6" w:rsidRPr="005376E6" w14:paraId="6174BE90" w14:textId="77777777" w:rsidTr="00305E62">
        <w:trPr>
          <w:trHeight w:val="290"/>
        </w:trPr>
        <w:tc>
          <w:tcPr>
            <w:tcW w:w="749" w:type="pct"/>
            <w:tcBorders>
              <w:top w:val="nil"/>
              <w:left w:val="single" w:sz="4" w:space="0" w:color="auto"/>
              <w:bottom w:val="single" w:sz="4" w:space="0" w:color="auto"/>
              <w:right w:val="single" w:sz="4" w:space="0" w:color="auto"/>
            </w:tcBorders>
            <w:shd w:val="clear" w:color="000000" w:fill="FFFFFF"/>
            <w:vAlign w:val="center"/>
            <w:hideMark/>
          </w:tcPr>
          <w:p w14:paraId="481857DE" w14:textId="77777777" w:rsidR="005376E6" w:rsidRPr="005376E6" w:rsidRDefault="005376E6" w:rsidP="005376E6">
            <w:pPr>
              <w:rPr>
                <w:rFonts w:ascii="Arial Narrow" w:hAnsi="Arial Narrow" w:cs="Calibri"/>
                <w:color w:val="000000"/>
                <w:sz w:val="20"/>
                <w:szCs w:val="20"/>
                <w:lang w:val="bg-BG" w:eastAsia="bg-BG"/>
              </w:rPr>
            </w:pPr>
            <w:r w:rsidRPr="005376E6">
              <w:rPr>
                <w:rFonts w:ascii="Arial Narrow" w:hAnsi="Arial Narrow" w:cs="Calibri"/>
                <w:color w:val="000000"/>
                <w:sz w:val="20"/>
                <w:szCs w:val="20"/>
                <w:lang w:val="bg-BG" w:eastAsia="bg-BG"/>
              </w:rPr>
              <w:t>Бургас</w:t>
            </w:r>
          </w:p>
        </w:tc>
        <w:tc>
          <w:tcPr>
            <w:tcW w:w="471" w:type="pct"/>
            <w:tcBorders>
              <w:top w:val="nil"/>
              <w:left w:val="nil"/>
              <w:bottom w:val="single" w:sz="4" w:space="0" w:color="auto"/>
              <w:right w:val="single" w:sz="4" w:space="0" w:color="auto"/>
            </w:tcBorders>
            <w:shd w:val="clear" w:color="000000" w:fill="FFFFFF"/>
            <w:noWrap/>
            <w:vAlign w:val="center"/>
          </w:tcPr>
          <w:p w14:paraId="68EFAC39" w14:textId="77777777" w:rsidR="005376E6" w:rsidRPr="005376E6" w:rsidRDefault="005376E6" w:rsidP="005376E6">
            <w:pPr>
              <w:jc w:val="right"/>
              <w:rPr>
                <w:rFonts w:ascii="Arial Narrow" w:hAnsi="Arial Narrow" w:cs="Calibri"/>
                <w:color w:val="000000"/>
                <w:sz w:val="20"/>
                <w:szCs w:val="20"/>
                <w:lang w:val="bg-BG" w:eastAsia="bg-BG"/>
              </w:rPr>
            </w:pPr>
            <w:r w:rsidRPr="005376E6">
              <w:rPr>
                <w:rFonts w:ascii="Arial Narrow" w:hAnsi="Arial Narrow" w:cs="Calibri"/>
                <w:color w:val="000000"/>
                <w:sz w:val="20"/>
                <w:szCs w:val="20"/>
                <w:lang w:val="bg-BG" w:eastAsia="bg-BG"/>
              </w:rPr>
              <w:t>4 823</w:t>
            </w:r>
          </w:p>
        </w:tc>
        <w:tc>
          <w:tcPr>
            <w:tcW w:w="471" w:type="pct"/>
            <w:tcBorders>
              <w:top w:val="nil"/>
              <w:left w:val="nil"/>
              <w:bottom w:val="single" w:sz="4" w:space="0" w:color="auto"/>
              <w:right w:val="single" w:sz="4" w:space="0" w:color="auto"/>
            </w:tcBorders>
            <w:shd w:val="clear" w:color="000000" w:fill="FFFFFF"/>
            <w:noWrap/>
            <w:vAlign w:val="center"/>
          </w:tcPr>
          <w:p w14:paraId="4DAEF8F9" w14:textId="77777777" w:rsidR="005376E6" w:rsidRPr="005376E6" w:rsidRDefault="005376E6" w:rsidP="005376E6">
            <w:pPr>
              <w:jc w:val="right"/>
              <w:rPr>
                <w:rFonts w:ascii="Arial Narrow" w:hAnsi="Arial Narrow" w:cs="Calibri"/>
                <w:color w:val="000000"/>
                <w:sz w:val="20"/>
                <w:szCs w:val="20"/>
                <w:lang w:val="bg-BG" w:eastAsia="bg-BG"/>
              </w:rPr>
            </w:pPr>
            <w:r w:rsidRPr="005376E6">
              <w:rPr>
                <w:rFonts w:ascii="Arial Narrow" w:hAnsi="Arial Narrow" w:cs="Calibri"/>
                <w:color w:val="000000"/>
                <w:sz w:val="20"/>
                <w:szCs w:val="20"/>
                <w:lang w:val="bg-BG" w:eastAsia="bg-BG"/>
              </w:rPr>
              <w:t>5 864</w:t>
            </w:r>
          </w:p>
        </w:tc>
        <w:tc>
          <w:tcPr>
            <w:tcW w:w="476" w:type="pct"/>
            <w:tcBorders>
              <w:top w:val="nil"/>
              <w:left w:val="nil"/>
              <w:bottom w:val="single" w:sz="4" w:space="0" w:color="auto"/>
              <w:right w:val="single" w:sz="4" w:space="0" w:color="auto"/>
            </w:tcBorders>
            <w:shd w:val="clear" w:color="000000" w:fill="FFFFFF"/>
            <w:noWrap/>
            <w:vAlign w:val="center"/>
          </w:tcPr>
          <w:p w14:paraId="4C92425F" w14:textId="77777777" w:rsidR="005376E6" w:rsidRPr="005376E6" w:rsidRDefault="005376E6" w:rsidP="005376E6">
            <w:pPr>
              <w:jc w:val="right"/>
              <w:rPr>
                <w:rFonts w:ascii="Arial Narrow" w:hAnsi="Arial Narrow" w:cs="Calibri"/>
                <w:color w:val="000000"/>
                <w:sz w:val="20"/>
                <w:szCs w:val="20"/>
                <w:lang w:val="bg-BG" w:eastAsia="bg-BG"/>
              </w:rPr>
            </w:pPr>
            <w:r w:rsidRPr="005376E6">
              <w:rPr>
                <w:rFonts w:ascii="Arial Narrow" w:hAnsi="Arial Narrow" w:cs="Calibri"/>
                <w:color w:val="000000"/>
                <w:sz w:val="20"/>
                <w:szCs w:val="20"/>
                <w:lang w:val="bg-BG" w:eastAsia="bg-BG"/>
              </w:rPr>
              <w:t>238</w:t>
            </w:r>
          </w:p>
        </w:tc>
        <w:tc>
          <w:tcPr>
            <w:tcW w:w="471" w:type="pct"/>
            <w:tcBorders>
              <w:top w:val="nil"/>
              <w:left w:val="nil"/>
              <w:bottom w:val="single" w:sz="4" w:space="0" w:color="auto"/>
              <w:right w:val="single" w:sz="4" w:space="0" w:color="auto"/>
            </w:tcBorders>
            <w:shd w:val="clear" w:color="000000" w:fill="FFFFFF"/>
            <w:noWrap/>
            <w:vAlign w:val="center"/>
          </w:tcPr>
          <w:p w14:paraId="22090F27" w14:textId="77777777" w:rsidR="005376E6" w:rsidRPr="005376E6" w:rsidRDefault="005376E6" w:rsidP="005376E6">
            <w:pPr>
              <w:jc w:val="right"/>
              <w:rPr>
                <w:rFonts w:ascii="Arial Narrow" w:hAnsi="Arial Narrow" w:cs="Calibri"/>
                <w:color w:val="000000"/>
                <w:sz w:val="20"/>
                <w:szCs w:val="20"/>
                <w:lang w:val="bg-BG" w:eastAsia="bg-BG"/>
              </w:rPr>
            </w:pPr>
            <w:r w:rsidRPr="005376E6">
              <w:rPr>
                <w:rFonts w:ascii="Arial Narrow" w:hAnsi="Arial Narrow" w:cs="Calibri"/>
                <w:color w:val="000000"/>
                <w:sz w:val="20"/>
                <w:szCs w:val="20"/>
                <w:lang w:val="bg-BG" w:eastAsia="bg-BG"/>
              </w:rPr>
              <w:t>5 065</w:t>
            </w:r>
          </w:p>
        </w:tc>
        <w:tc>
          <w:tcPr>
            <w:tcW w:w="471" w:type="pct"/>
            <w:tcBorders>
              <w:top w:val="nil"/>
              <w:left w:val="nil"/>
              <w:bottom w:val="single" w:sz="4" w:space="0" w:color="auto"/>
              <w:right w:val="single" w:sz="4" w:space="0" w:color="auto"/>
            </w:tcBorders>
            <w:shd w:val="clear" w:color="000000" w:fill="FFFFFF"/>
            <w:noWrap/>
            <w:vAlign w:val="center"/>
          </w:tcPr>
          <w:p w14:paraId="50972070" w14:textId="77777777" w:rsidR="005376E6" w:rsidRPr="005376E6" w:rsidRDefault="005376E6" w:rsidP="005376E6">
            <w:pPr>
              <w:jc w:val="right"/>
              <w:rPr>
                <w:rFonts w:ascii="Arial Narrow" w:hAnsi="Arial Narrow" w:cs="Calibri"/>
                <w:color w:val="000000"/>
                <w:sz w:val="20"/>
                <w:szCs w:val="20"/>
                <w:lang w:val="bg-BG" w:eastAsia="bg-BG"/>
              </w:rPr>
            </w:pPr>
            <w:r w:rsidRPr="005376E6">
              <w:rPr>
                <w:rFonts w:ascii="Arial Narrow" w:hAnsi="Arial Narrow" w:cs="Calibri"/>
                <w:color w:val="000000"/>
                <w:sz w:val="20"/>
                <w:szCs w:val="20"/>
                <w:lang w:val="bg-BG" w:eastAsia="bg-BG"/>
              </w:rPr>
              <w:t>6 905</w:t>
            </w:r>
          </w:p>
        </w:tc>
        <w:tc>
          <w:tcPr>
            <w:tcW w:w="476" w:type="pct"/>
            <w:tcBorders>
              <w:top w:val="nil"/>
              <w:left w:val="nil"/>
              <w:bottom w:val="single" w:sz="4" w:space="0" w:color="auto"/>
              <w:right w:val="single" w:sz="4" w:space="0" w:color="auto"/>
            </w:tcBorders>
            <w:shd w:val="clear" w:color="000000" w:fill="FFFFFF"/>
            <w:noWrap/>
            <w:vAlign w:val="center"/>
          </w:tcPr>
          <w:p w14:paraId="50C43749" w14:textId="77777777" w:rsidR="005376E6" w:rsidRPr="005376E6" w:rsidRDefault="005376E6" w:rsidP="005376E6">
            <w:pPr>
              <w:jc w:val="right"/>
              <w:rPr>
                <w:rFonts w:ascii="Arial Narrow" w:hAnsi="Arial Narrow" w:cs="Calibri"/>
                <w:color w:val="000000"/>
                <w:sz w:val="20"/>
                <w:szCs w:val="20"/>
                <w:lang w:val="bg-BG" w:eastAsia="bg-BG"/>
              </w:rPr>
            </w:pPr>
            <w:r w:rsidRPr="005376E6">
              <w:rPr>
                <w:rFonts w:ascii="Arial Narrow" w:hAnsi="Arial Narrow" w:cs="Calibri"/>
                <w:color w:val="000000"/>
                <w:sz w:val="20"/>
                <w:szCs w:val="20"/>
                <w:lang w:val="bg-BG" w:eastAsia="bg-BG"/>
              </w:rPr>
              <w:t>304</w:t>
            </w:r>
          </w:p>
        </w:tc>
        <w:tc>
          <w:tcPr>
            <w:tcW w:w="471" w:type="pct"/>
            <w:tcBorders>
              <w:top w:val="nil"/>
              <w:left w:val="nil"/>
              <w:bottom w:val="single" w:sz="4" w:space="0" w:color="auto"/>
              <w:right w:val="single" w:sz="4" w:space="0" w:color="auto"/>
            </w:tcBorders>
            <w:shd w:val="clear" w:color="000000" w:fill="FFFFFF"/>
            <w:noWrap/>
            <w:vAlign w:val="center"/>
          </w:tcPr>
          <w:p w14:paraId="1289DA1E" w14:textId="77777777" w:rsidR="005376E6" w:rsidRPr="005376E6" w:rsidRDefault="005376E6" w:rsidP="005376E6">
            <w:pPr>
              <w:jc w:val="right"/>
              <w:rPr>
                <w:rFonts w:ascii="Arial Narrow" w:hAnsi="Arial Narrow" w:cs="Calibri"/>
                <w:color w:val="000000"/>
                <w:sz w:val="20"/>
                <w:szCs w:val="20"/>
                <w:lang w:val="bg-BG" w:eastAsia="bg-BG"/>
              </w:rPr>
            </w:pPr>
            <w:r w:rsidRPr="005376E6">
              <w:rPr>
                <w:rFonts w:ascii="Arial Narrow" w:hAnsi="Arial Narrow" w:cs="Calibri"/>
                <w:color w:val="000000"/>
                <w:sz w:val="20"/>
                <w:szCs w:val="20"/>
                <w:lang w:val="bg-BG" w:eastAsia="bg-BG"/>
              </w:rPr>
              <w:t>5818</w:t>
            </w:r>
          </w:p>
        </w:tc>
        <w:tc>
          <w:tcPr>
            <w:tcW w:w="471" w:type="pct"/>
            <w:tcBorders>
              <w:top w:val="nil"/>
              <w:left w:val="nil"/>
              <w:bottom w:val="single" w:sz="4" w:space="0" w:color="auto"/>
              <w:right w:val="single" w:sz="4" w:space="0" w:color="auto"/>
            </w:tcBorders>
            <w:shd w:val="clear" w:color="000000" w:fill="FFFFFF"/>
            <w:noWrap/>
            <w:vAlign w:val="center"/>
          </w:tcPr>
          <w:p w14:paraId="4D816845" w14:textId="77777777" w:rsidR="005376E6" w:rsidRPr="005376E6" w:rsidRDefault="005376E6" w:rsidP="005376E6">
            <w:pPr>
              <w:jc w:val="right"/>
              <w:rPr>
                <w:rFonts w:ascii="Arial Narrow" w:hAnsi="Arial Narrow" w:cs="Calibri"/>
                <w:color w:val="000000"/>
                <w:sz w:val="20"/>
                <w:szCs w:val="20"/>
                <w:lang w:val="bg-BG" w:eastAsia="bg-BG"/>
              </w:rPr>
            </w:pPr>
            <w:r w:rsidRPr="005376E6">
              <w:rPr>
                <w:rFonts w:ascii="Arial Narrow" w:hAnsi="Arial Narrow" w:cs="Calibri"/>
                <w:color w:val="000000"/>
                <w:sz w:val="20"/>
                <w:szCs w:val="20"/>
                <w:lang w:val="bg-BG" w:eastAsia="bg-BG"/>
              </w:rPr>
              <w:t>7747</w:t>
            </w:r>
          </w:p>
        </w:tc>
        <w:tc>
          <w:tcPr>
            <w:tcW w:w="474" w:type="pct"/>
            <w:tcBorders>
              <w:top w:val="nil"/>
              <w:left w:val="nil"/>
              <w:bottom w:val="single" w:sz="4" w:space="0" w:color="auto"/>
              <w:right w:val="single" w:sz="4" w:space="0" w:color="auto"/>
            </w:tcBorders>
            <w:shd w:val="clear" w:color="000000" w:fill="FFFFFF"/>
            <w:noWrap/>
            <w:vAlign w:val="center"/>
          </w:tcPr>
          <w:p w14:paraId="788A01D2" w14:textId="77777777" w:rsidR="005376E6" w:rsidRPr="005376E6" w:rsidRDefault="005376E6" w:rsidP="005376E6">
            <w:pPr>
              <w:jc w:val="right"/>
              <w:rPr>
                <w:rFonts w:ascii="Arial Narrow" w:hAnsi="Arial Narrow" w:cs="Calibri"/>
                <w:color w:val="000000"/>
                <w:sz w:val="20"/>
                <w:szCs w:val="20"/>
                <w:lang w:val="bg-BG" w:eastAsia="bg-BG"/>
              </w:rPr>
            </w:pPr>
            <w:r w:rsidRPr="005376E6">
              <w:rPr>
                <w:rFonts w:ascii="Arial Narrow" w:hAnsi="Arial Narrow" w:cs="Calibri"/>
                <w:color w:val="000000"/>
                <w:sz w:val="20"/>
                <w:szCs w:val="20"/>
                <w:lang w:val="bg-BG" w:eastAsia="bg-BG"/>
              </w:rPr>
              <w:t>320</w:t>
            </w:r>
          </w:p>
        </w:tc>
      </w:tr>
      <w:tr w:rsidR="005376E6" w:rsidRPr="005376E6" w14:paraId="3FD8AE5B" w14:textId="77777777" w:rsidTr="00305E62">
        <w:trPr>
          <w:trHeight w:val="290"/>
        </w:trPr>
        <w:tc>
          <w:tcPr>
            <w:tcW w:w="749" w:type="pct"/>
            <w:tcBorders>
              <w:top w:val="nil"/>
              <w:left w:val="single" w:sz="4" w:space="0" w:color="auto"/>
              <w:bottom w:val="single" w:sz="4" w:space="0" w:color="auto"/>
              <w:right w:val="single" w:sz="4" w:space="0" w:color="auto"/>
            </w:tcBorders>
            <w:shd w:val="clear" w:color="000000" w:fill="FFFFFF"/>
            <w:vAlign w:val="center"/>
            <w:hideMark/>
          </w:tcPr>
          <w:p w14:paraId="56BF7C18" w14:textId="77777777" w:rsidR="005376E6" w:rsidRPr="005376E6" w:rsidRDefault="005376E6" w:rsidP="005376E6">
            <w:pPr>
              <w:rPr>
                <w:rFonts w:ascii="Arial Narrow" w:hAnsi="Arial Narrow" w:cs="Calibri"/>
                <w:color w:val="000000"/>
                <w:sz w:val="20"/>
                <w:szCs w:val="20"/>
                <w:lang w:val="bg-BG" w:eastAsia="bg-BG"/>
              </w:rPr>
            </w:pPr>
            <w:r w:rsidRPr="005376E6">
              <w:rPr>
                <w:rFonts w:ascii="Arial Narrow" w:hAnsi="Arial Narrow" w:cs="Calibri"/>
                <w:color w:val="000000"/>
                <w:sz w:val="20"/>
                <w:szCs w:val="20"/>
                <w:lang w:val="bg-BG" w:eastAsia="bg-BG"/>
              </w:rPr>
              <w:t>Видин</w:t>
            </w:r>
          </w:p>
        </w:tc>
        <w:tc>
          <w:tcPr>
            <w:tcW w:w="471" w:type="pct"/>
            <w:tcBorders>
              <w:top w:val="nil"/>
              <w:left w:val="nil"/>
              <w:bottom w:val="single" w:sz="4" w:space="0" w:color="auto"/>
              <w:right w:val="single" w:sz="4" w:space="0" w:color="auto"/>
            </w:tcBorders>
            <w:shd w:val="clear" w:color="000000" w:fill="FFFFFF"/>
            <w:noWrap/>
            <w:vAlign w:val="center"/>
          </w:tcPr>
          <w:p w14:paraId="0B088023" w14:textId="77777777" w:rsidR="005376E6" w:rsidRPr="005376E6" w:rsidRDefault="005376E6" w:rsidP="005376E6">
            <w:pPr>
              <w:jc w:val="right"/>
              <w:rPr>
                <w:rFonts w:ascii="Arial Narrow" w:hAnsi="Arial Narrow" w:cs="Calibri"/>
                <w:color w:val="000000"/>
                <w:sz w:val="20"/>
                <w:szCs w:val="20"/>
                <w:lang w:val="bg-BG" w:eastAsia="bg-BG"/>
              </w:rPr>
            </w:pPr>
            <w:r w:rsidRPr="005376E6">
              <w:rPr>
                <w:rFonts w:ascii="Arial Narrow" w:hAnsi="Arial Narrow" w:cs="Calibri"/>
                <w:color w:val="000000"/>
                <w:sz w:val="20"/>
                <w:szCs w:val="20"/>
                <w:lang w:val="bg-BG" w:eastAsia="bg-BG"/>
              </w:rPr>
              <w:t>0</w:t>
            </w:r>
          </w:p>
        </w:tc>
        <w:tc>
          <w:tcPr>
            <w:tcW w:w="471" w:type="pct"/>
            <w:tcBorders>
              <w:top w:val="nil"/>
              <w:left w:val="nil"/>
              <w:bottom w:val="single" w:sz="4" w:space="0" w:color="auto"/>
              <w:right w:val="single" w:sz="4" w:space="0" w:color="auto"/>
            </w:tcBorders>
            <w:shd w:val="clear" w:color="000000" w:fill="FFFFFF"/>
            <w:noWrap/>
            <w:vAlign w:val="center"/>
          </w:tcPr>
          <w:p w14:paraId="602862E7" w14:textId="77777777" w:rsidR="005376E6" w:rsidRPr="005376E6" w:rsidRDefault="005376E6" w:rsidP="005376E6">
            <w:pPr>
              <w:jc w:val="right"/>
              <w:rPr>
                <w:rFonts w:ascii="Arial Narrow" w:hAnsi="Arial Narrow" w:cs="Calibri"/>
                <w:color w:val="000000"/>
                <w:sz w:val="20"/>
                <w:szCs w:val="20"/>
                <w:lang w:val="bg-BG" w:eastAsia="bg-BG"/>
              </w:rPr>
            </w:pPr>
            <w:r w:rsidRPr="005376E6">
              <w:rPr>
                <w:rFonts w:ascii="Arial Narrow" w:hAnsi="Arial Narrow" w:cs="Calibri"/>
                <w:color w:val="000000"/>
                <w:sz w:val="20"/>
                <w:szCs w:val="20"/>
                <w:lang w:val="bg-BG" w:eastAsia="bg-BG"/>
              </w:rPr>
              <w:t>0</w:t>
            </w:r>
          </w:p>
        </w:tc>
        <w:tc>
          <w:tcPr>
            <w:tcW w:w="476" w:type="pct"/>
            <w:tcBorders>
              <w:top w:val="nil"/>
              <w:left w:val="nil"/>
              <w:bottom w:val="single" w:sz="4" w:space="0" w:color="auto"/>
              <w:right w:val="single" w:sz="4" w:space="0" w:color="auto"/>
            </w:tcBorders>
            <w:shd w:val="clear" w:color="000000" w:fill="FFFFFF"/>
            <w:noWrap/>
            <w:vAlign w:val="center"/>
          </w:tcPr>
          <w:p w14:paraId="08672DDC" w14:textId="77777777" w:rsidR="005376E6" w:rsidRPr="005376E6" w:rsidRDefault="005376E6" w:rsidP="005376E6">
            <w:pPr>
              <w:jc w:val="right"/>
              <w:rPr>
                <w:rFonts w:ascii="Arial Narrow" w:hAnsi="Arial Narrow" w:cs="Calibri"/>
                <w:color w:val="000000"/>
                <w:sz w:val="20"/>
                <w:szCs w:val="20"/>
                <w:lang w:val="bg-BG" w:eastAsia="bg-BG"/>
              </w:rPr>
            </w:pPr>
            <w:r w:rsidRPr="005376E6">
              <w:rPr>
                <w:rFonts w:ascii="Arial Narrow" w:hAnsi="Arial Narrow" w:cs="Calibri"/>
                <w:color w:val="000000"/>
                <w:sz w:val="20"/>
                <w:szCs w:val="20"/>
                <w:lang w:val="bg-BG" w:eastAsia="bg-BG"/>
              </w:rPr>
              <w:t>0</w:t>
            </w:r>
          </w:p>
        </w:tc>
        <w:tc>
          <w:tcPr>
            <w:tcW w:w="471" w:type="pct"/>
            <w:tcBorders>
              <w:top w:val="nil"/>
              <w:left w:val="nil"/>
              <w:bottom w:val="single" w:sz="4" w:space="0" w:color="auto"/>
              <w:right w:val="single" w:sz="4" w:space="0" w:color="auto"/>
            </w:tcBorders>
            <w:shd w:val="clear" w:color="000000" w:fill="FFFFFF"/>
            <w:noWrap/>
            <w:vAlign w:val="center"/>
          </w:tcPr>
          <w:p w14:paraId="795700A6" w14:textId="77777777" w:rsidR="005376E6" w:rsidRPr="005376E6" w:rsidRDefault="005376E6" w:rsidP="005376E6">
            <w:pPr>
              <w:jc w:val="right"/>
              <w:rPr>
                <w:rFonts w:ascii="Arial Narrow" w:hAnsi="Arial Narrow" w:cs="Calibri"/>
                <w:color w:val="000000"/>
                <w:sz w:val="20"/>
                <w:szCs w:val="20"/>
                <w:lang w:val="bg-BG" w:eastAsia="bg-BG"/>
              </w:rPr>
            </w:pPr>
            <w:r w:rsidRPr="005376E6">
              <w:rPr>
                <w:rFonts w:ascii="Arial Narrow" w:hAnsi="Arial Narrow" w:cs="Calibri"/>
                <w:color w:val="000000"/>
                <w:sz w:val="20"/>
                <w:szCs w:val="20"/>
                <w:lang w:val="bg-BG" w:eastAsia="bg-BG"/>
              </w:rPr>
              <w:t>0</w:t>
            </w:r>
          </w:p>
        </w:tc>
        <w:tc>
          <w:tcPr>
            <w:tcW w:w="471" w:type="pct"/>
            <w:tcBorders>
              <w:top w:val="nil"/>
              <w:left w:val="nil"/>
              <w:bottom w:val="single" w:sz="4" w:space="0" w:color="auto"/>
              <w:right w:val="single" w:sz="4" w:space="0" w:color="auto"/>
            </w:tcBorders>
            <w:shd w:val="clear" w:color="000000" w:fill="FFFFFF"/>
            <w:noWrap/>
            <w:vAlign w:val="center"/>
          </w:tcPr>
          <w:p w14:paraId="19C0D532" w14:textId="77777777" w:rsidR="005376E6" w:rsidRPr="005376E6" w:rsidRDefault="005376E6" w:rsidP="005376E6">
            <w:pPr>
              <w:jc w:val="right"/>
              <w:rPr>
                <w:rFonts w:ascii="Arial Narrow" w:hAnsi="Arial Narrow" w:cs="Calibri"/>
                <w:color w:val="000000"/>
                <w:sz w:val="20"/>
                <w:szCs w:val="20"/>
                <w:lang w:val="bg-BG" w:eastAsia="bg-BG"/>
              </w:rPr>
            </w:pPr>
            <w:r w:rsidRPr="005376E6">
              <w:rPr>
                <w:rFonts w:ascii="Arial Narrow" w:hAnsi="Arial Narrow" w:cs="Calibri"/>
                <w:color w:val="000000"/>
                <w:sz w:val="20"/>
                <w:szCs w:val="20"/>
                <w:lang w:val="bg-BG" w:eastAsia="bg-BG"/>
              </w:rPr>
              <w:t>0</w:t>
            </w:r>
          </w:p>
        </w:tc>
        <w:tc>
          <w:tcPr>
            <w:tcW w:w="476" w:type="pct"/>
            <w:tcBorders>
              <w:top w:val="nil"/>
              <w:left w:val="nil"/>
              <w:bottom w:val="single" w:sz="4" w:space="0" w:color="auto"/>
              <w:right w:val="single" w:sz="4" w:space="0" w:color="auto"/>
            </w:tcBorders>
            <w:shd w:val="clear" w:color="000000" w:fill="FFFFFF"/>
            <w:noWrap/>
            <w:vAlign w:val="center"/>
          </w:tcPr>
          <w:p w14:paraId="15BFA06E" w14:textId="77777777" w:rsidR="005376E6" w:rsidRPr="005376E6" w:rsidRDefault="005376E6" w:rsidP="005376E6">
            <w:pPr>
              <w:jc w:val="right"/>
              <w:rPr>
                <w:rFonts w:ascii="Arial Narrow" w:hAnsi="Arial Narrow" w:cs="Calibri"/>
                <w:color w:val="000000"/>
                <w:sz w:val="20"/>
                <w:szCs w:val="20"/>
                <w:lang w:val="bg-BG" w:eastAsia="bg-BG"/>
              </w:rPr>
            </w:pPr>
            <w:r w:rsidRPr="005376E6">
              <w:rPr>
                <w:rFonts w:ascii="Arial Narrow" w:hAnsi="Arial Narrow" w:cs="Calibri"/>
                <w:color w:val="000000"/>
                <w:sz w:val="20"/>
                <w:szCs w:val="20"/>
                <w:lang w:val="bg-BG" w:eastAsia="bg-BG"/>
              </w:rPr>
              <w:t>0</w:t>
            </w:r>
          </w:p>
        </w:tc>
        <w:tc>
          <w:tcPr>
            <w:tcW w:w="471" w:type="pct"/>
            <w:tcBorders>
              <w:top w:val="nil"/>
              <w:left w:val="nil"/>
              <w:bottom w:val="single" w:sz="4" w:space="0" w:color="auto"/>
              <w:right w:val="single" w:sz="4" w:space="0" w:color="auto"/>
            </w:tcBorders>
            <w:shd w:val="clear" w:color="000000" w:fill="FFFFFF"/>
            <w:noWrap/>
            <w:vAlign w:val="center"/>
          </w:tcPr>
          <w:p w14:paraId="737A5774" w14:textId="77777777" w:rsidR="005376E6" w:rsidRPr="005376E6" w:rsidRDefault="005376E6" w:rsidP="005376E6">
            <w:pPr>
              <w:jc w:val="right"/>
              <w:rPr>
                <w:rFonts w:ascii="Arial Narrow" w:hAnsi="Arial Narrow" w:cs="Calibri"/>
                <w:color w:val="000000"/>
                <w:sz w:val="20"/>
                <w:szCs w:val="20"/>
                <w:lang w:val="bg-BG" w:eastAsia="bg-BG"/>
              </w:rPr>
            </w:pPr>
            <w:r w:rsidRPr="005376E6">
              <w:rPr>
                <w:rFonts w:ascii="Arial Narrow" w:hAnsi="Arial Narrow" w:cs="Calibri"/>
                <w:color w:val="000000"/>
                <w:sz w:val="20"/>
                <w:szCs w:val="20"/>
                <w:lang w:val="bg-BG" w:eastAsia="bg-BG"/>
              </w:rPr>
              <w:t>0</w:t>
            </w:r>
          </w:p>
        </w:tc>
        <w:tc>
          <w:tcPr>
            <w:tcW w:w="471" w:type="pct"/>
            <w:tcBorders>
              <w:top w:val="nil"/>
              <w:left w:val="nil"/>
              <w:bottom w:val="single" w:sz="4" w:space="0" w:color="auto"/>
              <w:right w:val="single" w:sz="4" w:space="0" w:color="auto"/>
            </w:tcBorders>
            <w:shd w:val="clear" w:color="000000" w:fill="FFFFFF"/>
            <w:noWrap/>
            <w:vAlign w:val="center"/>
          </w:tcPr>
          <w:p w14:paraId="3779DF86" w14:textId="77777777" w:rsidR="005376E6" w:rsidRPr="005376E6" w:rsidRDefault="005376E6" w:rsidP="005376E6">
            <w:pPr>
              <w:jc w:val="right"/>
              <w:rPr>
                <w:rFonts w:ascii="Arial Narrow" w:hAnsi="Arial Narrow" w:cs="Calibri"/>
                <w:color w:val="000000"/>
                <w:sz w:val="20"/>
                <w:szCs w:val="20"/>
                <w:lang w:val="bg-BG" w:eastAsia="bg-BG"/>
              </w:rPr>
            </w:pPr>
            <w:r w:rsidRPr="005376E6">
              <w:rPr>
                <w:rFonts w:ascii="Arial Narrow" w:hAnsi="Arial Narrow" w:cs="Calibri"/>
                <w:color w:val="000000"/>
                <w:sz w:val="20"/>
                <w:szCs w:val="20"/>
                <w:lang w:val="bg-BG" w:eastAsia="bg-BG"/>
              </w:rPr>
              <w:t>0</w:t>
            </w:r>
          </w:p>
        </w:tc>
        <w:tc>
          <w:tcPr>
            <w:tcW w:w="474" w:type="pct"/>
            <w:tcBorders>
              <w:top w:val="nil"/>
              <w:left w:val="nil"/>
              <w:bottom w:val="single" w:sz="4" w:space="0" w:color="auto"/>
              <w:right w:val="single" w:sz="4" w:space="0" w:color="auto"/>
            </w:tcBorders>
            <w:shd w:val="clear" w:color="000000" w:fill="FFFFFF"/>
            <w:noWrap/>
            <w:vAlign w:val="center"/>
          </w:tcPr>
          <w:p w14:paraId="5980DE30" w14:textId="77777777" w:rsidR="005376E6" w:rsidRPr="005376E6" w:rsidRDefault="005376E6" w:rsidP="005376E6">
            <w:pPr>
              <w:jc w:val="right"/>
              <w:rPr>
                <w:rFonts w:ascii="Arial Narrow" w:hAnsi="Arial Narrow" w:cs="Calibri"/>
                <w:color w:val="000000"/>
                <w:sz w:val="20"/>
                <w:szCs w:val="20"/>
                <w:lang w:val="bg-BG" w:eastAsia="bg-BG"/>
              </w:rPr>
            </w:pPr>
            <w:r w:rsidRPr="005376E6">
              <w:rPr>
                <w:rFonts w:ascii="Arial Narrow" w:hAnsi="Arial Narrow" w:cs="Calibri"/>
                <w:color w:val="000000"/>
                <w:sz w:val="20"/>
                <w:szCs w:val="20"/>
                <w:lang w:val="bg-BG" w:eastAsia="bg-BG"/>
              </w:rPr>
              <w:t>0</w:t>
            </w:r>
          </w:p>
        </w:tc>
      </w:tr>
      <w:tr w:rsidR="005376E6" w:rsidRPr="005376E6" w14:paraId="5F834E6C" w14:textId="77777777" w:rsidTr="00305E62">
        <w:trPr>
          <w:trHeight w:val="290"/>
        </w:trPr>
        <w:tc>
          <w:tcPr>
            <w:tcW w:w="749" w:type="pct"/>
            <w:tcBorders>
              <w:top w:val="nil"/>
              <w:left w:val="single" w:sz="4" w:space="0" w:color="auto"/>
              <w:bottom w:val="single" w:sz="4" w:space="0" w:color="auto"/>
              <w:right w:val="single" w:sz="4" w:space="0" w:color="auto"/>
            </w:tcBorders>
            <w:shd w:val="clear" w:color="000000" w:fill="FFFFFF"/>
            <w:vAlign w:val="center"/>
            <w:hideMark/>
          </w:tcPr>
          <w:p w14:paraId="76A5A781" w14:textId="77777777" w:rsidR="005376E6" w:rsidRPr="005376E6" w:rsidRDefault="005376E6" w:rsidP="005376E6">
            <w:pPr>
              <w:rPr>
                <w:rFonts w:ascii="Arial Narrow" w:hAnsi="Arial Narrow" w:cs="Calibri"/>
                <w:color w:val="000000"/>
                <w:sz w:val="20"/>
                <w:szCs w:val="20"/>
                <w:lang w:val="bg-BG" w:eastAsia="bg-BG"/>
              </w:rPr>
            </w:pPr>
            <w:r w:rsidRPr="005376E6">
              <w:rPr>
                <w:rFonts w:ascii="Arial Narrow" w:hAnsi="Arial Narrow" w:cs="Calibri"/>
                <w:color w:val="000000"/>
                <w:sz w:val="20"/>
                <w:szCs w:val="20"/>
                <w:lang w:val="bg-BG" w:eastAsia="bg-BG"/>
              </w:rPr>
              <w:t>Горна Тунджа</w:t>
            </w:r>
          </w:p>
        </w:tc>
        <w:tc>
          <w:tcPr>
            <w:tcW w:w="471" w:type="pct"/>
            <w:tcBorders>
              <w:top w:val="nil"/>
              <w:left w:val="nil"/>
              <w:bottom w:val="single" w:sz="4" w:space="0" w:color="auto"/>
              <w:right w:val="single" w:sz="4" w:space="0" w:color="auto"/>
            </w:tcBorders>
            <w:shd w:val="clear" w:color="000000" w:fill="FFFFFF"/>
            <w:noWrap/>
            <w:vAlign w:val="center"/>
          </w:tcPr>
          <w:p w14:paraId="4C1806E2" w14:textId="77777777" w:rsidR="005376E6" w:rsidRPr="005376E6" w:rsidRDefault="005376E6" w:rsidP="005376E6">
            <w:pPr>
              <w:jc w:val="right"/>
              <w:rPr>
                <w:rFonts w:ascii="Arial Narrow" w:hAnsi="Arial Narrow" w:cs="Calibri"/>
                <w:color w:val="000000"/>
                <w:sz w:val="20"/>
                <w:szCs w:val="20"/>
                <w:lang w:val="bg-BG" w:eastAsia="bg-BG"/>
              </w:rPr>
            </w:pPr>
            <w:r w:rsidRPr="005376E6">
              <w:rPr>
                <w:rFonts w:ascii="Arial Narrow" w:hAnsi="Arial Narrow" w:cs="Calibri"/>
                <w:color w:val="000000"/>
                <w:sz w:val="20"/>
                <w:szCs w:val="20"/>
                <w:lang w:val="bg-BG" w:eastAsia="bg-BG"/>
              </w:rPr>
              <w:t>19 280</w:t>
            </w:r>
          </w:p>
        </w:tc>
        <w:tc>
          <w:tcPr>
            <w:tcW w:w="471" w:type="pct"/>
            <w:tcBorders>
              <w:top w:val="nil"/>
              <w:left w:val="nil"/>
              <w:bottom w:val="single" w:sz="4" w:space="0" w:color="auto"/>
              <w:right w:val="single" w:sz="4" w:space="0" w:color="auto"/>
            </w:tcBorders>
            <w:shd w:val="clear" w:color="000000" w:fill="FFFFFF"/>
            <w:noWrap/>
            <w:vAlign w:val="center"/>
          </w:tcPr>
          <w:p w14:paraId="50CCF23A" w14:textId="77777777" w:rsidR="005376E6" w:rsidRPr="005376E6" w:rsidRDefault="005376E6" w:rsidP="005376E6">
            <w:pPr>
              <w:jc w:val="right"/>
              <w:rPr>
                <w:rFonts w:ascii="Arial Narrow" w:hAnsi="Arial Narrow" w:cs="Calibri"/>
                <w:color w:val="000000"/>
                <w:sz w:val="20"/>
                <w:szCs w:val="20"/>
                <w:lang w:val="bg-BG" w:eastAsia="bg-BG"/>
              </w:rPr>
            </w:pPr>
            <w:r w:rsidRPr="005376E6">
              <w:rPr>
                <w:rFonts w:ascii="Arial Narrow" w:hAnsi="Arial Narrow" w:cs="Calibri"/>
                <w:color w:val="000000"/>
                <w:sz w:val="20"/>
                <w:szCs w:val="20"/>
                <w:lang w:val="bg-BG" w:eastAsia="bg-BG"/>
              </w:rPr>
              <w:t>32 481</w:t>
            </w:r>
          </w:p>
        </w:tc>
        <w:tc>
          <w:tcPr>
            <w:tcW w:w="476" w:type="pct"/>
            <w:tcBorders>
              <w:top w:val="nil"/>
              <w:left w:val="nil"/>
              <w:bottom w:val="single" w:sz="4" w:space="0" w:color="auto"/>
              <w:right w:val="single" w:sz="4" w:space="0" w:color="auto"/>
            </w:tcBorders>
            <w:shd w:val="clear" w:color="000000" w:fill="FFFFFF"/>
            <w:noWrap/>
            <w:vAlign w:val="center"/>
          </w:tcPr>
          <w:p w14:paraId="61758B03" w14:textId="77777777" w:rsidR="005376E6" w:rsidRPr="005376E6" w:rsidRDefault="005376E6" w:rsidP="005376E6">
            <w:pPr>
              <w:jc w:val="right"/>
              <w:rPr>
                <w:rFonts w:ascii="Arial Narrow" w:hAnsi="Arial Narrow" w:cs="Calibri"/>
                <w:color w:val="000000"/>
                <w:sz w:val="20"/>
                <w:szCs w:val="20"/>
                <w:lang w:val="bg-BG" w:eastAsia="bg-BG"/>
              </w:rPr>
            </w:pPr>
            <w:r w:rsidRPr="005376E6">
              <w:rPr>
                <w:rFonts w:ascii="Arial Narrow" w:hAnsi="Arial Narrow" w:cs="Calibri"/>
                <w:color w:val="000000"/>
                <w:sz w:val="20"/>
                <w:szCs w:val="20"/>
                <w:lang w:val="bg-BG" w:eastAsia="bg-BG"/>
              </w:rPr>
              <w:t>31 144</w:t>
            </w:r>
          </w:p>
        </w:tc>
        <w:tc>
          <w:tcPr>
            <w:tcW w:w="471" w:type="pct"/>
            <w:tcBorders>
              <w:top w:val="nil"/>
              <w:left w:val="nil"/>
              <w:bottom w:val="single" w:sz="4" w:space="0" w:color="auto"/>
              <w:right w:val="single" w:sz="4" w:space="0" w:color="auto"/>
            </w:tcBorders>
            <w:shd w:val="clear" w:color="000000" w:fill="FFFFFF"/>
            <w:noWrap/>
            <w:vAlign w:val="center"/>
          </w:tcPr>
          <w:p w14:paraId="7562DA2A" w14:textId="77777777" w:rsidR="005376E6" w:rsidRPr="005376E6" w:rsidRDefault="005376E6" w:rsidP="005376E6">
            <w:pPr>
              <w:jc w:val="right"/>
              <w:rPr>
                <w:rFonts w:ascii="Arial Narrow" w:hAnsi="Arial Narrow" w:cs="Calibri"/>
                <w:color w:val="000000"/>
                <w:sz w:val="20"/>
                <w:szCs w:val="20"/>
                <w:lang w:val="bg-BG" w:eastAsia="bg-BG"/>
              </w:rPr>
            </w:pPr>
            <w:r w:rsidRPr="005376E6">
              <w:rPr>
                <w:rFonts w:ascii="Arial Narrow" w:hAnsi="Arial Narrow" w:cs="Calibri"/>
                <w:color w:val="000000"/>
                <w:sz w:val="20"/>
                <w:szCs w:val="20"/>
                <w:lang w:val="bg-BG" w:eastAsia="bg-BG"/>
              </w:rPr>
              <w:t>21 775</w:t>
            </w:r>
          </w:p>
        </w:tc>
        <w:tc>
          <w:tcPr>
            <w:tcW w:w="471" w:type="pct"/>
            <w:tcBorders>
              <w:top w:val="nil"/>
              <w:left w:val="nil"/>
              <w:bottom w:val="single" w:sz="4" w:space="0" w:color="auto"/>
              <w:right w:val="single" w:sz="4" w:space="0" w:color="auto"/>
            </w:tcBorders>
            <w:shd w:val="clear" w:color="000000" w:fill="FFFFFF"/>
            <w:noWrap/>
            <w:vAlign w:val="center"/>
          </w:tcPr>
          <w:p w14:paraId="6C58628F" w14:textId="77777777" w:rsidR="005376E6" w:rsidRPr="005376E6" w:rsidRDefault="005376E6" w:rsidP="005376E6">
            <w:pPr>
              <w:jc w:val="right"/>
              <w:rPr>
                <w:rFonts w:ascii="Arial Narrow" w:hAnsi="Arial Narrow" w:cs="Calibri"/>
                <w:color w:val="000000"/>
                <w:sz w:val="20"/>
                <w:szCs w:val="20"/>
                <w:lang w:val="bg-BG" w:eastAsia="bg-BG"/>
              </w:rPr>
            </w:pPr>
            <w:r w:rsidRPr="005376E6">
              <w:rPr>
                <w:rFonts w:ascii="Arial Narrow" w:hAnsi="Arial Narrow" w:cs="Calibri"/>
                <w:color w:val="000000"/>
                <w:sz w:val="20"/>
                <w:szCs w:val="20"/>
                <w:lang w:val="bg-BG" w:eastAsia="bg-BG"/>
              </w:rPr>
              <w:t>39 328</w:t>
            </w:r>
          </w:p>
        </w:tc>
        <w:tc>
          <w:tcPr>
            <w:tcW w:w="476" w:type="pct"/>
            <w:tcBorders>
              <w:top w:val="nil"/>
              <w:left w:val="nil"/>
              <w:bottom w:val="single" w:sz="4" w:space="0" w:color="auto"/>
              <w:right w:val="single" w:sz="4" w:space="0" w:color="auto"/>
            </w:tcBorders>
            <w:shd w:val="clear" w:color="000000" w:fill="FFFFFF"/>
            <w:noWrap/>
            <w:vAlign w:val="center"/>
          </w:tcPr>
          <w:p w14:paraId="15C9F7F8" w14:textId="77777777" w:rsidR="005376E6" w:rsidRPr="005376E6" w:rsidRDefault="005376E6" w:rsidP="005376E6">
            <w:pPr>
              <w:jc w:val="right"/>
              <w:rPr>
                <w:rFonts w:ascii="Arial Narrow" w:hAnsi="Arial Narrow" w:cs="Calibri"/>
                <w:color w:val="000000"/>
                <w:sz w:val="20"/>
                <w:szCs w:val="20"/>
                <w:lang w:val="bg-BG" w:eastAsia="bg-BG"/>
              </w:rPr>
            </w:pPr>
            <w:r w:rsidRPr="005376E6">
              <w:rPr>
                <w:rFonts w:ascii="Arial Narrow" w:hAnsi="Arial Narrow" w:cs="Calibri"/>
                <w:color w:val="000000"/>
                <w:sz w:val="20"/>
                <w:szCs w:val="20"/>
                <w:lang w:val="bg-BG" w:eastAsia="bg-BG"/>
              </w:rPr>
              <w:t>33 569</w:t>
            </w:r>
          </w:p>
        </w:tc>
        <w:tc>
          <w:tcPr>
            <w:tcW w:w="471" w:type="pct"/>
            <w:tcBorders>
              <w:top w:val="nil"/>
              <w:left w:val="nil"/>
              <w:bottom w:val="single" w:sz="4" w:space="0" w:color="auto"/>
              <w:right w:val="single" w:sz="4" w:space="0" w:color="auto"/>
            </w:tcBorders>
            <w:shd w:val="clear" w:color="000000" w:fill="FFFFFF"/>
            <w:noWrap/>
            <w:vAlign w:val="center"/>
          </w:tcPr>
          <w:p w14:paraId="003AADDA" w14:textId="77777777" w:rsidR="005376E6" w:rsidRPr="005376E6" w:rsidRDefault="005376E6" w:rsidP="005376E6">
            <w:pPr>
              <w:jc w:val="right"/>
              <w:rPr>
                <w:rFonts w:ascii="Arial Narrow" w:hAnsi="Arial Narrow" w:cs="Calibri"/>
                <w:color w:val="000000"/>
                <w:sz w:val="20"/>
                <w:szCs w:val="20"/>
                <w:lang w:val="bg-BG" w:eastAsia="bg-BG"/>
              </w:rPr>
            </w:pPr>
            <w:r w:rsidRPr="005376E6">
              <w:rPr>
                <w:rFonts w:ascii="Arial Narrow" w:hAnsi="Arial Narrow" w:cs="Calibri"/>
                <w:color w:val="000000"/>
                <w:sz w:val="20"/>
                <w:szCs w:val="20"/>
                <w:lang w:val="bg-BG" w:eastAsia="bg-BG"/>
              </w:rPr>
              <w:t>27 227</w:t>
            </w:r>
          </w:p>
        </w:tc>
        <w:tc>
          <w:tcPr>
            <w:tcW w:w="471" w:type="pct"/>
            <w:tcBorders>
              <w:top w:val="nil"/>
              <w:left w:val="nil"/>
              <w:bottom w:val="single" w:sz="4" w:space="0" w:color="auto"/>
              <w:right w:val="single" w:sz="4" w:space="0" w:color="auto"/>
            </w:tcBorders>
            <w:shd w:val="clear" w:color="000000" w:fill="FFFFFF"/>
            <w:noWrap/>
            <w:vAlign w:val="center"/>
          </w:tcPr>
          <w:p w14:paraId="662C45FB" w14:textId="77777777" w:rsidR="005376E6" w:rsidRPr="005376E6" w:rsidRDefault="005376E6" w:rsidP="005376E6">
            <w:pPr>
              <w:jc w:val="right"/>
              <w:rPr>
                <w:rFonts w:ascii="Arial Narrow" w:hAnsi="Arial Narrow" w:cs="Calibri"/>
                <w:color w:val="000000"/>
                <w:sz w:val="20"/>
                <w:szCs w:val="20"/>
                <w:lang w:val="bg-BG" w:eastAsia="bg-BG"/>
              </w:rPr>
            </w:pPr>
            <w:r w:rsidRPr="005376E6">
              <w:rPr>
                <w:rFonts w:ascii="Arial Narrow" w:hAnsi="Arial Narrow" w:cs="Calibri"/>
                <w:color w:val="000000"/>
                <w:sz w:val="20"/>
                <w:szCs w:val="20"/>
                <w:lang w:val="bg-BG" w:eastAsia="bg-BG"/>
              </w:rPr>
              <w:t>47 721</w:t>
            </w:r>
          </w:p>
        </w:tc>
        <w:tc>
          <w:tcPr>
            <w:tcW w:w="474" w:type="pct"/>
            <w:tcBorders>
              <w:top w:val="nil"/>
              <w:left w:val="nil"/>
              <w:bottom w:val="single" w:sz="4" w:space="0" w:color="auto"/>
              <w:right w:val="single" w:sz="4" w:space="0" w:color="auto"/>
            </w:tcBorders>
            <w:shd w:val="clear" w:color="000000" w:fill="FFFFFF"/>
            <w:noWrap/>
            <w:vAlign w:val="center"/>
          </w:tcPr>
          <w:p w14:paraId="4B859A75" w14:textId="77777777" w:rsidR="005376E6" w:rsidRPr="005376E6" w:rsidRDefault="005376E6" w:rsidP="005376E6">
            <w:pPr>
              <w:jc w:val="right"/>
              <w:rPr>
                <w:rFonts w:ascii="Arial Narrow" w:hAnsi="Arial Narrow" w:cs="Calibri"/>
                <w:color w:val="000000"/>
                <w:sz w:val="20"/>
                <w:szCs w:val="20"/>
                <w:lang w:val="bg-BG" w:eastAsia="bg-BG"/>
              </w:rPr>
            </w:pPr>
            <w:r w:rsidRPr="005376E6">
              <w:rPr>
                <w:rFonts w:ascii="Arial Narrow" w:hAnsi="Arial Narrow" w:cs="Calibri"/>
                <w:color w:val="000000"/>
                <w:sz w:val="20"/>
                <w:szCs w:val="20"/>
                <w:lang w:val="bg-BG" w:eastAsia="bg-BG"/>
              </w:rPr>
              <w:t>40 449</w:t>
            </w:r>
          </w:p>
        </w:tc>
      </w:tr>
      <w:tr w:rsidR="005376E6" w:rsidRPr="005376E6" w14:paraId="64433401" w14:textId="77777777" w:rsidTr="00305E62">
        <w:trPr>
          <w:trHeight w:val="290"/>
        </w:trPr>
        <w:tc>
          <w:tcPr>
            <w:tcW w:w="749" w:type="pct"/>
            <w:tcBorders>
              <w:top w:val="nil"/>
              <w:left w:val="single" w:sz="4" w:space="0" w:color="auto"/>
              <w:bottom w:val="single" w:sz="4" w:space="0" w:color="auto"/>
              <w:right w:val="single" w:sz="4" w:space="0" w:color="auto"/>
            </w:tcBorders>
            <w:shd w:val="clear" w:color="000000" w:fill="FFFFFF"/>
            <w:vAlign w:val="center"/>
            <w:hideMark/>
          </w:tcPr>
          <w:p w14:paraId="4B646FDB" w14:textId="77777777" w:rsidR="005376E6" w:rsidRPr="005376E6" w:rsidRDefault="005376E6" w:rsidP="005376E6">
            <w:pPr>
              <w:rPr>
                <w:rFonts w:ascii="Arial Narrow" w:hAnsi="Arial Narrow" w:cs="Calibri"/>
                <w:color w:val="000000"/>
                <w:sz w:val="20"/>
                <w:szCs w:val="20"/>
                <w:lang w:val="bg-BG" w:eastAsia="bg-BG"/>
              </w:rPr>
            </w:pPr>
            <w:r w:rsidRPr="005376E6">
              <w:rPr>
                <w:rFonts w:ascii="Arial Narrow" w:hAnsi="Arial Narrow" w:cs="Calibri"/>
                <w:color w:val="000000"/>
                <w:sz w:val="20"/>
                <w:szCs w:val="20"/>
                <w:lang w:val="bg-BG" w:eastAsia="bg-BG"/>
              </w:rPr>
              <w:t xml:space="preserve">Долен Дунав </w:t>
            </w:r>
          </w:p>
        </w:tc>
        <w:tc>
          <w:tcPr>
            <w:tcW w:w="471" w:type="pct"/>
            <w:tcBorders>
              <w:top w:val="nil"/>
              <w:left w:val="nil"/>
              <w:bottom w:val="single" w:sz="4" w:space="0" w:color="auto"/>
              <w:right w:val="single" w:sz="4" w:space="0" w:color="auto"/>
            </w:tcBorders>
            <w:shd w:val="clear" w:color="000000" w:fill="FFFFFF"/>
            <w:noWrap/>
            <w:vAlign w:val="center"/>
          </w:tcPr>
          <w:p w14:paraId="6724109A" w14:textId="77777777" w:rsidR="005376E6" w:rsidRPr="005376E6" w:rsidRDefault="005376E6" w:rsidP="005376E6">
            <w:pPr>
              <w:jc w:val="right"/>
              <w:rPr>
                <w:rFonts w:ascii="Arial Narrow" w:hAnsi="Arial Narrow" w:cs="Calibri"/>
                <w:color w:val="000000"/>
                <w:sz w:val="20"/>
                <w:szCs w:val="20"/>
                <w:lang w:val="bg-BG" w:eastAsia="bg-BG"/>
              </w:rPr>
            </w:pPr>
            <w:r w:rsidRPr="005376E6">
              <w:rPr>
                <w:rFonts w:ascii="Arial Narrow" w:hAnsi="Arial Narrow" w:cs="Calibri"/>
                <w:color w:val="000000"/>
                <w:sz w:val="20"/>
                <w:szCs w:val="20"/>
                <w:lang w:val="bg-BG" w:eastAsia="bg-BG"/>
              </w:rPr>
              <w:t>9 304</w:t>
            </w:r>
          </w:p>
        </w:tc>
        <w:tc>
          <w:tcPr>
            <w:tcW w:w="471" w:type="pct"/>
            <w:tcBorders>
              <w:top w:val="nil"/>
              <w:left w:val="nil"/>
              <w:bottom w:val="single" w:sz="4" w:space="0" w:color="auto"/>
              <w:right w:val="single" w:sz="4" w:space="0" w:color="auto"/>
            </w:tcBorders>
            <w:shd w:val="clear" w:color="000000" w:fill="FFFFFF"/>
            <w:noWrap/>
            <w:vAlign w:val="center"/>
          </w:tcPr>
          <w:p w14:paraId="6D9DE14C" w14:textId="77777777" w:rsidR="005376E6" w:rsidRPr="005376E6" w:rsidRDefault="005376E6" w:rsidP="005376E6">
            <w:pPr>
              <w:jc w:val="right"/>
              <w:rPr>
                <w:rFonts w:ascii="Arial Narrow" w:hAnsi="Arial Narrow" w:cs="Calibri"/>
                <w:color w:val="000000"/>
                <w:sz w:val="20"/>
                <w:szCs w:val="20"/>
                <w:lang w:val="bg-BG" w:eastAsia="bg-BG"/>
              </w:rPr>
            </w:pPr>
            <w:r w:rsidRPr="005376E6">
              <w:rPr>
                <w:rFonts w:ascii="Arial Narrow" w:hAnsi="Arial Narrow" w:cs="Calibri"/>
                <w:color w:val="000000"/>
                <w:sz w:val="20"/>
                <w:szCs w:val="20"/>
                <w:lang w:val="bg-BG" w:eastAsia="bg-BG"/>
              </w:rPr>
              <w:t>42 781</w:t>
            </w:r>
          </w:p>
        </w:tc>
        <w:tc>
          <w:tcPr>
            <w:tcW w:w="476" w:type="pct"/>
            <w:tcBorders>
              <w:top w:val="nil"/>
              <w:left w:val="nil"/>
              <w:bottom w:val="single" w:sz="4" w:space="0" w:color="auto"/>
              <w:right w:val="single" w:sz="4" w:space="0" w:color="auto"/>
            </w:tcBorders>
            <w:shd w:val="clear" w:color="000000" w:fill="FFFFFF"/>
            <w:noWrap/>
            <w:vAlign w:val="center"/>
          </w:tcPr>
          <w:p w14:paraId="5CD91C64" w14:textId="77777777" w:rsidR="005376E6" w:rsidRPr="005376E6" w:rsidRDefault="005376E6" w:rsidP="005376E6">
            <w:pPr>
              <w:jc w:val="right"/>
              <w:rPr>
                <w:rFonts w:ascii="Arial Narrow" w:hAnsi="Arial Narrow" w:cs="Calibri"/>
                <w:color w:val="000000"/>
                <w:sz w:val="20"/>
                <w:szCs w:val="20"/>
                <w:lang w:val="bg-BG" w:eastAsia="bg-BG"/>
              </w:rPr>
            </w:pPr>
            <w:r w:rsidRPr="005376E6">
              <w:rPr>
                <w:rFonts w:ascii="Arial Narrow" w:hAnsi="Arial Narrow" w:cs="Calibri"/>
                <w:color w:val="000000"/>
                <w:sz w:val="20"/>
                <w:szCs w:val="20"/>
                <w:lang w:val="bg-BG" w:eastAsia="bg-BG"/>
              </w:rPr>
              <w:t>1 934</w:t>
            </w:r>
          </w:p>
        </w:tc>
        <w:tc>
          <w:tcPr>
            <w:tcW w:w="471" w:type="pct"/>
            <w:tcBorders>
              <w:top w:val="nil"/>
              <w:left w:val="nil"/>
              <w:bottom w:val="single" w:sz="4" w:space="0" w:color="auto"/>
              <w:right w:val="single" w:sz="4" w:space="0" w:color="auto"/>
            </w:tcBorders>
            <w:shd w:val="clear" w:color="000000" w:fill="FFFFFF"/>
            <w:noWrap/>
            <w:vAlign w:val="center"/>
          </w:tcPr>
          <w:p w14:paraId="102304DE" w14:textId="77777777" w:rsidR="005376E6" w:rsidRPr="005376E6" w:rsidRDefault="005376E6" w:rsidP="005376E6">
            <w:pPr>
              <w:jc w:val="right"/>
              <w:rPr>
                <w:rFonts w:ascii="Arial Narrow" w:hAnsi="Arial Narrow" w:cs="Calibri"/>
                <w:color w:val="000000"/>
                <w:sz w:val="20"/>
                <w:szCs w:val="20"/>
                <w:lang w:val="bg-BG" w:eastAsia="bg-BG"/>
              </w:rPr>
            </w:pPr>
            <w:r w:rsidRPr="005376E6">
              <w:rPr>
                <w:rFonts w:ascii="Arial Narrow" w:hAnsi="Arial Narrow" w:cs="Calibri"/>
                <w:color w:val="000000"/>
                <w:sz w:val="20"/>
                <w:szCs w:val="20"/>
                <w:lang w:val="bg-BG" w:eastAsia="bg-BG"/>
              </w:rPr>
              <w:t>9 494</w:t>
            </w:r>
          </w:p>
        </w:tc>
        <w:tc>
          <w:tcPr>
            <w:tcW w:w="471" w:type="pct"/>
            <w:tcBorders>
              <w:top w:val="nil"/>
              <w:left w:val="nil"/>
              <w:bottom w:val="single" w:sz="4" w:space="0" w:color="auto"/>
              <w:right w:val="single" w:sz="4" w:space="0" w:color="auto"/>
            </w:tcBorders>
            <w:shd w:val="clear" w:color="000000" w:fill="FFFFFF"/>
            <w:noWrap/>
            <w:vAlign w:val="center"/>
          </w:tcPr>
          <w:p w14:paraId="2A7E78A4" w14:textId="77777777" w:rsidR="005376E6" w:rsidRPr="005376E6" w:rsidRDefault="005376E6" w:rsidP="005376E6">
            <w:pPr>
              <w:jc w:val="right"/>
              <w:rPr>
                <w:rFonts w:ascii="Arial Narrow" w:hAnsi="Arial Narrow" w:cs="Calibri"/>
                <w:color w:val="000000"/>
                <w:sz w:val="20"/>
                <w:szCs w:val="20"/>
                <w:lang w:val="bg-BG" w:eastAsia="bg-BG"/>
              </w:rPr>
            </w:pPr>
            <w:r w:rsidRPr="005376E6">
              <w:rPr>
                <w:rFonts w:ascii="Arial Narrow" w:hAnsi="Arial Narrow" w:cs="Calibri"/>
                <w:color w:val="000000"/>
                <w:sz w:val="20"/>
                <w:szCs w:val="20"/>
                <w:lang w:val="bg-BG" w:eastAsia="bg-BG"/>
              </w:rPr>
              <w:t>45 271</w:t>
            </w:r>
          </w:p>
        </w:tc>
        <w:tc>
          <w:tcPr>
            <w:tcW w:w="476" w:type="pct"/>
            <w:tcBorders>
              <w:top w:val="nil"/>
              <w:left w:val="nil"/>
              <w:bottom w:val="single" w:sz="4" w:space="0" w:color="auto"/>
              <w:right w:val="single" w:sz="4" w:space="0" w:color="auto"/>
            </w:tcBorders>
            <w:shd w:val="clear" w:color="000000" w:fill="FFFFFF"/>
            <w:noWrap/>
            <w:vAlign w:val="center"/>
          </w:tcPr>
          <w:p w14:paraId="50E6E3B3" w14:textId="77777777" w:rsidR="005376E6" w:rsidRPr="005376E6" w:rsidRDefault="005376E6" w:rsidP="005376E6">
            <w:pPr>
              <w:jc w:val="right"/>
              <w:rPr>
                <w:rFonts w:ascii="Arial Narrow" w:hAnsi="Arial Narrow" w:cs="Calibri"/>
                <w:color w:val="000000"/>
                <w:sz w:val="20"/>
                <w:szCs w:val="20"/>
                <w:lang w:val="bg-BG" w:eastAsia="bg-BG"/>
              </w:rPr>
            </w:pPr>
            <w:r w:rsidRPr="005376E6">
              <w:rPr>
                <w:rFonts w:ascii="Arial Narrow" w:hAnsi="Arial Narrow" w:cs="Calibri"/>
                <w:color w:val="000000"/>
                <w:sz w:val="20"/>
                <w:szCs w:val="20"/>
                <w:lang w:val="bg-BG" w:eastAsia="bg-BG"/>
              </w:rPr>
              <w:t>2 055</w:t>
            </w:r>
          </w:p>
        </w:tc>
        <w:tc>
          <w:tcPr>
            <w:tcW w:w="471" w:type="pct"/>
            <w:tcBorders>
              <w:top w:val="nil"/>
              <w:left w:val="nil"/>
              <w:bottom w:val="single" w:sz="4" w:space="0" w:color="auto"/>
              <w:right w:val="single" w:sz="4" w:space="0" w:color="auto"/>
            </w:tcBorders>
            <w:shd w:val="clear" w:color="000000" w:fill="FFFFFF"/>
            <w:noWrap/>
            <w:vAlign w:val="center"/>
          </w:tcPr>
          <w:p w14:paraId="44BA25BD" w14:textId="77777777" w:rsidR="005376E6" w:rsidRPr="005376E6" w:rsidRDefault="005376E6" w:rsidP="005376E6">
            <w:pPr>
              <w:jc w:val="right"/>
              <w:rPr>
                <w:rFonts w:ascii="Arial Narrow" w:hAnsi="Arial Narrow" w:cs="Calibri"/>
                <w:color w:val="000000"/>
                <w:sz w:val="20"/>
                <w:szCs w:val="20"/>
                <w:lang w:val="bg-BG" w:eastAsia="bg-BG"/>
              </w:rPr>
            </w:pPr>
            <w:r w:rsidRPr="005376E6">
              <w:rPr>
                <w:rFonts w:ascii="Arial Narrow" w:hAnsi="Arial Narrow" w:cs="Calibri"/>
                <w:color w:val="000000"/>
                <w:sz w:val="20"/>
                <w:szCs w:val="20"/>
                <w:lang w:val="bg-BG" w:eastAsia="bg-BG"/>
              </w:rPr>
              <w:t>9 126</w:t>
            </w:r>
          </w:p>
        </w:tc>
        <w:tc>
          <w:tcPr>
            <w:tcW w:w="471" w:type="pct"/>
            <w:tcBorders>
              <w:top w:val="nil"/>
              <w:left w:val="nil"/>
              <w:bottom w:val="single" w:sz="4" w:space="0" w:color="auto"/>
              <w:right w:val="single" w:sz="4" w:space="0" w:color="auto"/>
            </w:tcBorders>
            <w:shd w:val="clear" w:color="000000" w:fill="FFFFFF"/>
            <w:noWrap/>
            <w:vAlign w:val="center"/>
          </w:tcPr>
          <w:p w14:paraId="3446AA17" w14:textId="77777777" w:rsidR="005376E6" w:rsidRPr="005376E6" w:rsidRDefault="005376E6" w:rsidP="005376E6">
            <w:pPr>
              <w:jc w:val="right"/>
              <w:rPr>
                <w:rFonts w:ascii="Arial Narrow" w:hAnsi="Arial Narrow" w:cs="Calibri"/>
                <w:color w:val="000000"/>
                <w:sz w:val="20"/>
                <w:szCs w:val="20"/>
                <w:lang w:val="bg-BG" w:eastAsia="bg-BG"/>
              </w:rPr>
            </w:pPr>
            <w:r w:rsidRPr="005376E6">
              <w:rPr>
                <w:rFonts w:ascii="Arial Narrow" w:hAnsi="Arial Narrow" w:cs="Calibri"/>
                <w:color w:val="000000"/>
                <w:sz w:val="20"/>
                <w:szCs w:val="20"/>
                <w:lang w:val="bg-BG" w:eastAsia="bg-BG"/>
              </w:rPr>
              <w:t>45 392</w:t>
            </w:r>
          </w:p>
        </w:tc>
        <w:tc>
          <w:tcPr>
            <w:tcW w:w="474" w:type="pct"/>
            <w:tcBorders>
              <w:top w:val="nil"/>
              <w:left w:val="nil"/>
              <w:bottom w:val="single" w:sz="4" w:space="0" w:color="auto"/>
              <w:right w:val="single" w:sz="4" w:space="0" w:color="auto"/>
            </w:tcBorders>
            <w:shd w:val="clear" w:color="000000" w:fill="FFFFFF"/>
            <w:noWrap/>
            <w:vAlign w:val="center"/>
          </w:tcPr>
          <w:p w14:paraId="15F7F373" w14:textId="77777777" w:rsidR="005376E6" w:rsidRPr="005376E6" w:rsidRDefault="005376E6" w:rsidP="005376E6">
            <w:pPr>
              <w:jc w:val="right"/>
              <w:rPr>
                <w:rFonts w:ascii="Arial Narrow" w:hAnsi="Arial Narrow" w:cs="Calibri"/>
                <w:color w:val="000000"/>
                <w:sz w:val="20"/>
                <w:szCs w:val="20"/>
                <w:lang w:val="bg-BG" w:eastAsia="bg-BG"/>
              </w:rPr>
            </w:pPr>
            <w:r w:rsidRPr="005376E6">
              <w:rPr>
                <w:rFonts w:ascii="Arial Narrow" w:hAnsi="Arial Narrow" w:cs="Calibri"/>
                <w:color w:val="000000"/>
                <w:sz w:val="20"/>
                <w:szCs w:val="20"/>
                <w:lang w:val="bg-BG" w:eastAsia="bg-BG"/>
              </w:rPr>
              <w:t>1 928</w:t>
            </w:r>
          </w:p>
        </w:tc>
      </w:tr>
      <w:tr w:rsidR="005376E6" w:rsidRPr="005376E6" w14:paraId="5D87F6B2" w14:textId="77777777" w:rsidTr="00305E62">
        <w:trPr>
          <w:trHeight w:val="290"/>
        </w:trPr>
        <w:tc>
          <w:tcPr>
            <w:tcW w:w="749" w:type="pct"/>
            <w:tcBorders>
              <w:top w:val="nil"/>
              <w:left w:val="single" w:sz="4" w:space="0" w:color="auto"/>
              <w:bottom w:val="single" w:sz="4" w:space="0" w:color="auto"/>
              <w:right w:val="single" w:sz="4" w:space="0" w:color="auto"/>
            </w:tcBorders>
            <w:shd w:val="clear" w:color="000000" w:fill="FFFFFF"/>
            <w:noWrap/>
            <w:vAlign w:val="center"/>
            <w:hideMark/>
          </w:tcPr>
          <w:p w14:paraId="012EF12B" w14:textId="77777777" w:rsidR="005376E6" w:rsidRPr="005376E6" w:rsidRDefault="005376E6" w:rsidP="005376E6">
            <w:pPr>
              <w:rPr>
                <w:rFonts w:ascii="Arial Narrow" w:hAnsi="Arial Narrow" w:cs="Calibri"/>
                <w:color w:val="000000"/>
                <w:sz w:val="20"/>
                <w:szCs w:val="20"/>
                <w:lang w:val="bg-BG" w:eastAsia="bg-BG"/>
              </w:rPr>
            </w:pPr>
            <w:r w:rsidRPr="005376E6">
              <w:rPr>
                <w:rFonts w:ascii="Arial Narrow" w:hAnsi="Arial Narrow" w:cs="Calibri"/>
                <w:color w:val="000000"/>
                <w:sz w:val="20"/>
                <w:szCs w:val="20"/>
                <w:lang w:val="bg-BG" w:eastAsia="bg-BG"/>
              </w:rPr>
              <w:t>Марица</w:t>
            </w:r>
          </w:p>
        </w:tc>
        <w:tc>
          <w:tcPr>
            <w:tcW w:w="471" w:type="pct"/>
            <w:tcBorders>
              <w:top w:val="nil"/>
              <w:left w:val="nil"/>
              <w:bottom w:val="single" w:sz="4" w:space="0" w:color="auto"/>
              <w:right w:val="single" w:sz="4" w:space="0" w:color="auto"/>
            </w:tcBorders>
            <w:shd w:val="clear" w:color="000000" w:fill="FFFFFF"/>
            <w:noWrap/>
            <w:vAlign w:val="center"/>
          </w:tcPr>
          <w:p w14:paraId="00E6BA31" w14:textId="77777777" w:rsidR="005376E6" w:rsidRPr="005376E6" w:rsidRDefault="005376E6" w:rsidP="005376E6">
            <w:pPr>
              <w:jc w:val="right"/>
              <w:rPr>
                <w:rFonts w:ascii="Arial Narrow" w:hAnsi="Arial Narrow" w:cs="Calibri"/>
                <w:color w:val="000000"/>
                <w:sz w:val="20"/>
                <w:szCs w:val="20"/>
                <w:lang w:val="bg-BG" w:eastAsia="bg-BG"/>
              </w:rPr>
            </w:pPr>
            <w:r w:rsidRPr="005376E6">
              <w:rPr>
                <w:rFonts w:ascii="Arial Narrow" w:hAnsi="Arial Narrow" w:cs="Calibri"/>
                <w:color w:val="000000"/>
                <w:sz w:val="20"/>
                <w:szCs w:val="20"/>
                <w:lang w:val="bg-BG" w:eastAsia="bg-BG"/>
              </w:rPr>
              <w:t>87 954</w:t>
            </w:r>
          </w:p>
        </w:tc>
        <w:tc>
          <w:tcPr>
            <w:tcW w:w="471" w:type="pct"/>
            <w:tcBorders>
              <w:top w:val="nil"/>
              <w:left w:val="nil"/>
              <w:bottom w:val="single" w:sz="4" w:space="0" w:color="auto"/>
              <w:right w:val="single" w:sz="4" w:space="0" w:color="auto"/>
            </w:tcBorders>
            <w:shd w:val="clear" w:color="000000" w:fill="FFFFFF"/>
            <w:noWrap/>
            <w:vAlign w:val="center"/>
          </w:tcPr>
          <w:p w14:paraId="2E81ACCA" w14:textId="77777777" w:rsidR="005376E6" w:rsidRPr="005376E6" w:rsidRDefault="005376E6" w:rsidP="005376E6">
            <w:pPr>
              <w:jc w:val="right"/>
              <w:rPr>
                <w:rFonts w:ascii="Arial Narrow" w:hAnsi="Arial Narrow" w:cs="Calibri"/>
                <w:color w:val="000000"/>
                <w:sz w:val="20"/>
                <w:szCs w:val="20"/>
                <w:lang w:val="bg-BG" w:eastAsia="bg-BG"/>
              </w:rPr>
            </w:pPr>
            <w:r w:rsidRPr="005376E6">
              <w:rPr>
                <w:rFonts w:ascii="Arial Narrow" w:hAnsi="Arial Narrow" w:cs="Calibri"/>
                <w:color w:val="000000"/>
                <w:sz w:val="20"/>
                <w:szCs w:val="20"/>
                <w:lang w:val="bg-BG" w:eastAsia="bg-BG"/>
              </w:rPr>
              <w:t>269 376</w:t>
            </w:r>
          </w:p>
        </w:tc>
        <w:tc>
          <w:tcPr>
            <w:tcW w:w="476" w:type="pct"/>
            <w:tcBorders>
              <w:top w:val="nil"/>
              <w:left w:val="nil"/>
              <w:bottom w:val="single" w:sz="4" w:space="0" w:color="auto"/>
              <w:right w:val="single" w:sz="4" w:space="0" w:color="auto"/>
            </w:tcBorders>
            <w:shd w:val="clear" w:color="000000" w:fill="FFFFFF"/>
            <w:noWrap/>
            <w:vAlign w:val="center"/>
          </w:tcPr>
          <w:p w14:paraId="3FCE8F32" w14:textId="77777777" w:rsidR="005376E6" w:rsidRPr="005376E6" w:rsidRDefault="005376E6" w:rsidP="005376E6">
            <w:pPr>
              <w:jc w:val="right"/>
              <w:rPr>
                <w:rFonts w:ascii="Arial Narrow" w:hAnsi="Arial Narrow" w:cs="Calibri"/>
                <w:color w:val="000000"/>
                <w:sz w:val="20"/>
                <w:szCs w:val="20"/>
                <w:lang w:val="bg-BG" w:eastAsia="bg-BG"/>
              </w:rPr>
            </w:pPr>
            <w:r w:rsidRPr="005376E6">
              <w:rPr>
                <w:rFonts w:ascii="Arial Narrow" w:hAnsi="Arial Narrow" w:cs="Calibri"/>
                <w:color w:val="000000"/>
                <w:sz w:val="20"/>
                <w:szCs w:val="20"/>
                <w:lang w:val="bg-BG" w:eastAsia="bg-BG"/>
              </w:rPr>
              <w:t>132 586</w:t>
            </w:r>
          </w:p>
        </w:tc>
        <w:tc>
          <w:tcPr>
            <w:tcW w:w="471" w:type="pct"/>
            <w:tcBorders>
              <w:top w:val="nil"/>
              <w:left w:val="nil"/>
              <w:bottom w:val="single" w:sz="4" w:space="0" w:color="auto"/>
              <w:right w:val="single" w:sz="4" w:space="0" w:color="auto"/>
            </w:tcBorders>
            <w:shd w:val="clear" w:color="000000" w:fill="FFFFFF"/>
            <w:noWrap/>
            <w:vAlign w:val="center"/>
          </w:tcPr>
          <w:p w14:paraId="72583921" w14:textId="77777777" w:rsidR="005376E6" w:rsidRPr="005376E6" w:rsidRDefault="005376E6" w:rsidP="005376E6">
            <w:pPr>
              <w:jc w:val="right"/>
              <w:rPr>
                <w:rFonts w:ascii="Arial Narrow" w:hAnsi="Arial Narrow" w:cs="Calibri"/>
                <w:color w:val="000000"/>
                <w:sz w:val="20"/>
                <w:szCs w:val="20"/>
                <w:lang w:val="bg-BG" w:eastAsia="bg-BG"/>
              </w:rPr>
            </w:pPr>
            <w:r w:rsidRPr="005376E6">
              <w:rPr>
                <w:rFonts w:ascii="Arial Narrow" w:hAnsi="Arial Narrow" w:cs="Calibri"/>
                <w:color w:val="000000"/>
                <w:sz w:val="20"/>
                <w:szCs w:val="20"/>
                <w:lang w:val="bg-BG" w:eastAsia="bg-BG"/>
              </w:rPr>
              <w:t>99 513</w:t>
            </w:r>
          </w:p>
        </w:tc>
        <w:tc>
          <w:tcPr>
            <w:tcW w:w="471" w:type="pct"/>
            <w:tcBorders>
              <w:top w:val="nil"/>
              <w:left w:val="nil"/>
              <w:bottom w:val="single" w:sz="4" w:space="0" w:color="auto"/>
              <w:right w:val="single" w:sz="4" w:space="0" w:color="auto"/>
            </w:tcBorders>
            <w:shd w:val="clear" w:color="000000" w:fill="FFFFFF"/>
            <w:noWrap/>
            <w:vAlign w:val="center"/>
          </w:tcPr>
          <w:p w14:paraId="3D94A5EB" w14:textId="77777777" w:rsidR="005376E6" w:rsidRPr="005376E6" w:rsidRDefault="005376E6" w:rsidP="005376E6">
            <w:pPr>
              <w:jc w:val="right"/>
              <w:rPr>
                <w:rFonts w:ascii="Arial Narrow" w:hAnsi="Arial Narrow" w:cs="Calibri"/>
                <w:color w:val="000000"/>
                <w:sz w:val="20"/>
                <w:szCs w:val="20"/>
                <w:lang w:val="bg-BG" w:eastAsia="bg-BG"/>
              </w:rPr>
            </w:pPr>
            <w:r w:rsidRPr="005376E6">
              <w:rPr>
                <w:rFonts w:ascii="Arial Narrow" w:hAnsi="Arial Narrow" w:cs="Calibri"/>
                <w:color w:val="000000"/>
                <w:sz w:val="20"/>
                <w:szCs w:val="20"/>
                <w:lang w:val="bg-BG" w:eastAsia="bg-BG"/>
              </w:rPr>
              <w:t>314 441</w:t>
            </w:r>
          </w:p>
        </w:tc>
        <w:tc>
          <w:tcPr>
            <w:tcW w:w="476" w:type="pct"/>
            <w:tcBorders>
              <w:top w:val="nil"/>
              <w:left w:val="nil"/>
              <w:bottom w:val="single" w:sz="4" w:space="0" w:color="auto"/>
              <w:right w:val="single" w:sz="4" w:space="0" w:color="auto"/>
            </w:tcBorders>
            <w:shd w:val="clear" w:color="000000" w:fill="FFFFFF"/>
            <w:noWrap/>
            <w:vAlign w:val="center"/>
          </w:tcPr>
          <w:p w14:paraId="0AADF6D3" w14:textId="77777777" w:rsidR="005376E6" w:rsidRPr="005376E6" w:rsidRDefault="005376E6" w:rsidP="005376E6">
            <w:pPr>
              <w:jc w:val="right"/>
              <w:rPr>
                <w:rFonts w:ascii="Arial Narrow" w:hAnsi="Arial Narrow" w:cs="Calibri"/>
                <w:color w:val="000000"/>
                <w:sz w:val="20"/>
                <w:szCs w:val="20"/>
                <w:lang w:val="bg-BG" w:eastAsia="bg-BG"/>
              </w:rPr>
            </w:pPr>
            <w:r w:rsidRPr="005376E6">
              <w:rPr>
                <w:rFonts w:ascii="Arial Narrow" w:hAnsi="Arial Narrow" w:cs="Calibri"/>
                <w:color w:val="000000"/>
                <w:sz w:val="20"/>
                <w:szCs w:val="20"/>
                <w:lang w:val="bg-BG" w:eastAsia="bg-BG"/>
              </w:rPr>
              <w:t>155 766</w:t>
            </w:r>
          </w:p>
        </w:tc>
        <w:tc>
          <w:tcPr>
            <w:tcW w:w="471" w:type="pct"/>
            <w:tcBorders>
              <w:top w:val="nil"/>
              <w:left w:val="nil"/>
              <w:bottom w:val="single" w:sz="4" w:space="0" w:color="auto"/>
              <w:right w:val="single" w:sz="4" w:space="0" w:color="auto"/>
            </w:tcBorders>
            <w:shd w:val="clear" w:color="000000" w:fill="FFFFFF"/>
            <w:noWrap/>
            <w:vAlign w:val="center"/>
          </w:tcPr>
          <w:p w14:paraId="4EE2B6F2" w14:textId="77777777" w:rsidR="005376E6" w:rsidRPr="005376E6" w:rsidRDefault="005376E6" w:rsidP="005376E6">
            <w:pPr>
              <w:jc w:val="right"/>
              <w:rPr>
                <w:rFonts w:ascii="Arial Narrow" w:hAnsi="Arial Narrow" w:cs="Calibri"/>
                <w:color w:val="000000"/>
                <w:sz w:val="20"/>
                <w:szCs w:val="20"/>
                <w:lang w:eastAsia="bg-BG"/>
              </w:rPr>
            </w:pPr>
            <w:r w:rsidRPr="005376E6">
              <w:rPr>
                <w:rFonts w:ascii="Arial Narrow" w:hAnsi="Arial Narrow" w:cs="Calibri"/>
                <w:color w:val="000000"/>
                <w:sz w:val="20"/>
                <w:szCs w:val="20"/>
                <w:lang w:val="bg-BG" w:eastAsia="bg-BG"/>
              </w:rPr>
              <w:t xml:space="preserve">99 </w:t>
            </w:r>
            <w:r w:rsidRPr="005376E6">
              <w:rPr>
                <w:rFonts w:ascii="Arial Narrow" w:hAnsi="Arial Narrow" w:cs="Calibri"/>
                <w:color w:val="000000"/>
                <w:sz w:val="20"/>
                <w:szCs w:val="20"/>
                <w:lang w:eastAsia="bg-BG"/>
              </w:rPr>
              <w:t>943</w:t>
            </w:r>
          </w:p>
        </w:tc>
        <w:tc>
          <w:tcPr>
            <w:tcW w:w="471" w:type="pct"/>
            <w:tcBorders>
              <w:top w:val="nil"/>
              <w:left w:val="nil"/>
              <w:bottom w:val="single" w:sz="4" w:space="0" w:color="auto"/>
              <w:right w:val="single" w:sz="4" w:space="0" w:color="auto"/>
            </w:tcBorders>
            <w:shd w:val="clear" w:color="000000" w:fill="FFFFFF"/>
            <w:noWrap/>
            <w:vAlign w:val="center"/>
          </w:tcPr>
          <w:p w14:paraId="6A9147E4" w14:textId="77777777" w:rsidR="005376E6" w:rsidRPr="005376E6" w:rsidRDefault="005376E6" w:rsidP="005376E6">
            <w:pPr>
              <w:jc w:val="right"/>
              <w:rPr>
                <w:rFonts w:ascii="Arial Narrow" w:hAnsi="Arial Narrow" w:cs="Calibri"/>
                <w:color w:val="000000"/>
                <w:sz w:val="20"/>
                <w:szCs w:val="20"/>
                <w:lang w:val="bg-BG" w:eastAsia="bg-BG"/>
              </w:rPr>
            </w:pPr>
            <w:r w:rsidRPr="005376E6">
              <w:rPr>
                <w:rFonts w:ascii="Arial Narrow" w:hAnsi="Arial Narrow" w:cs="Calibri"/>
                <w:color w:val="000000"/>
                <w:sz w:val="20"/>
                <w:szCs w:val="20"/>
                <w:lang w:val="bg-BG" w:eastAsia="bg-BG"/>
              </w:rPr>
              <w:t>302 359</w:t>
            </w:r>
          </w:p>
        </w:tc>
        <w:tc>
          <w:tcPr>
            <w:tcW w:w="474" w:type="pct"/>
            <w:tcBorders>
              <w:top w:val="nil"/>
              <w:left w:val="nil"/>
              <w:bottom w:val="single" w:sz="4" w:space="0" w:color="auto"/>
              <w:right w:val="single" w:sz="4" w:space="0" w:color="auto"/>
            </w:tcBorders>
            <w:shd w:val="clear" w:color="000000" w:fill="FFFFFF"/>
            <w:noWrap/>
            <w:vAlign w:val="center"/>
          </w:tcPr>
          <w:p w14:paraId="627FD7D5" w14:textId="77777777" w:rsidR="005376E6" w:rsidRPr="005376E6" w:rsidRDefault="005376E6" w:rsidP="005376E6">
            <w:pPr>
              <w:jc w:val="right"/>
              <w:rPr>
                <w:rFonts w:ascii="Arial Narrow" w:hAnsi="Arial Narrow" w:cs="Calibri"/>
                <w:color w:val="000000"/>
                <w:sz w:val="20"/>
                <w:szCs w:val="20"/>
                <w:lang w:val="bg-BG" w:eastAsia="bg-BG"/>
              </w:rPr>
            </w:pPr>
            <w:r w:rsidRPr="005376E6">
              <w:rPr>
                <w:rFonts w:ascii="Arial Narrow" w:hAnsi="Arial Narrow" w:cs="Calibri"/>
                <w:color w:val="000000"/>
                <w:sz w:val="20"/>
                <w:szCs w:val="20"/>
                <w:lang w:val="bg-BG" w:eastAsia="bg-BG"/>
              </w:rPr>
              <w:t>139 650</w:t>
            </w:r>
          </w:p>
        </w:tc>
      </w:tr>
      <w:tr w:rsidR="005376E6" w:rsidRPr="005376E6" w14:paraId="149B9885" w14:textId="77777777" w:rsidTr="00305E62">
        <w:trPr>
          <w:trHeight w:val="290"/>
        </w:trPr>
        <w:tc>
          <w:tcPr>
            <w:tcW w:w="749" w:type="pct"/>
            <w:tcBorders>
              <w:top w:val="nil"/>
              <w:left w:val="single" w:sz="4" w:space="0" w:color="auto"/>
              <w:bottom w:val="single" w:sz="4" w:space="0" w:color="auto"/>
              <w:right w:val="single" w:sz="4" w:space="0" w:color="auto"/>
            </w:tcBorders>
            <w:shd w:val="clear" w:color="000000" w:fill="FFFFFF"/>
            <w:noWrap/>
            <w:vAlign w:val="center"/>
            <w:hideMark/>
          </w:tcPr>
          <w:p w14:paraId="440FEF38" w14:textId="77777777" w:rsidR="005376E6" w:rsidRPr="005376E6" w:rsidRDefault="005376E6" w:rsidP="005376E6">
            <w:pPr>
              <w:rPr>
                <w:rFonts w:ascii="Arial Narrow" w:hAnsi="Arial Narrow" w:cs="Calibri"/>
                <w:color w:val="000000"/>
                <w:sz w:val="20"/>
                <w:szCs w:val="20"/>
                <w:lang w:val="bg-BG" w:eastAsia="bg-BG"/>
              </w:rPr>
            </w:pPr>
            <w:r w:rsidRPr="005376E6">
              <w:rPr>
                <w:rFonts w:ascii="Arial Narrow" w:hAnsi="Arial Narrow" w:cs="Calibri"/>
                <w:color w:val="000000"/>
                <w:sz w:val="20"/>
                <w:szCs w:val="20"/>
                <w:lang w:val="bg-BG" w:eastAsia="bg-BG"/>
              </w:rPr>
              <w:t>Мизия</w:t>
            </w:r>
          </w:p>
        </w:tc>
        <w:tc>
          <w:tcPr>
            <w:tcW w:w="471" w:type="pct"/>
            <w:tcBorders>
              <w:top w:val="nil"/>
              <w:left w:val="nil"/>
              <w:bottom w:val="single" w:sz="4" w:space="0" w:color="auto"/>
              <w:right w:val="single" w:sz="4" w:space="0" w:color="auto"/>
            </w:tcBorders>
            <w:shd w:val="clear" w:color="000000" w:fill="FFFFFF"/>
            <w:noWrap/>
            <w:vAlign w:val="center"/>
          </w:tcPr>
          <w:p w14:paraId="3259080B" w14:textId="77777777" w:rsidR="005376E6" w:rsidRPr="005376E6" w:rsidRDefault="005376E6" w:rsidP="005376E6">
            <w:pPr>
              <w:jc w:val="right"/>
              <w:rPr>
                <w:rFonts w:ascii="Arial Narrow" w:hAnsi="Arial Narrow" w:cs="Calibri"/>
                <w:color w:val="000000"/>
                <w:sz w:val="20"/>
                <w:szCs w:val="20"/>
                <w:lang w:val="bg-BG" w:eastAsia="bg-BG"/>
              </w:rPr>
            </w:pPr>
            <w:r w:rsidRPr="005376E6">
              <w:rPr>
                <w:rFonts w:ascii="Arial Narrow" w:hAnsi="Arial Narrow" w:cs="Calibri"/>
                <w:color w:val="000000"/>
                <w:sz w:val="20"/>
                <w:szCs w:val="20"/>
                <w:lang w:val="bg-BG" w:eastAsia="bg-BG"/>
              </w:rPr>
              <w:t>2 010</w:t>
            </w:r>
          </w:p>
        </w:tc>
        <w:tc>
          <w:tcPr>
            <w:tcW w:w="471" w:type="pct"/>
            <w:tcBorders>
              <w:top w:val="nil"/>
              <w:left w:val="nil"/>
              <w:bottom w:val="single" w:sz="4" w:space="0" w:color="auto"/>
              <w:right w:val="single" w:sz="4" w:space="0" w:color="auto"/>
            </w:tcBorders>
            <w:shd w:val="clear" w:color="000000" w:fill="FFFFFF"/>
            <w:noWrap/>
            <w:vAlign w:val="center"/>
          </w:tcPr>
          <w:p w14:paraId="1C965987" w14:textId="77777777" w:rsidR="005376E6" w:rsidRPr="005376E6" w:rsidRDefault="005376E6" w:rsidP="005376E6">
            <w:pPr>
              <w:jc w:val="right"/>
              <w:rPr>
                <w:rFonts w:ascii="Arial Narrow" w:hAnsi="Arial Narrow" w:cs="Calibri"/>
                <w:color w:val="000000"/>
                <w:sz w:val="20"/>
                <w:szCs w:val="20"/>
                <w:lang w:val="bg-BG" w:eastAsia="bg-BG"/>
              </w:rPr>
            </w:pPr>
            <w:r w:rsidRPr="005376E6">
              <w:rPr>
                <w:rFonts w:ascii="Arial Narrow" w:hAnsi="Arial Narrow" w:cs="Calibri"/>
                <w:color w:val="000000"/>
                <w:sz w:val="20"/>
                <w:szCs w:val="20"/>
                <w:lang w:val="bg-BG" w:eastAsia="bg-BG"/>
              </w:rPr>
              <w:t>5 475</w:t>
            </w:r>
          </w:p>
        </w:tc>
        <w:tc>
          <w:tcPr>
            <w:tcW w:w="476" w:type="pct"/>
            <w:tcBorders>
              <w:top w:val="nil"/>
              <w:left w:val="nil"/>
              <w:bottom w:val="single" w:sz="4" w:space="0" w:color="auto"/>
              <w:right w:val="single" w:sz="4" w:space="0" w:color="auto"/>
            </w:tcBorders>
            <w:shd w:val="clear" w:color="000000" w:fill="FFFFFF"/>
            <w:noWrap/>
            <w:vAlign w:val="center"/>
          </w:tcPr>
          <w:p w14:paraId="4EF5471D" w14:textId="77777777" w:rsidR="005376E6" w:rsidRPr="005376E6" w:rsidRDefault="005376E6" w:rsidP="005376E6">
            <w:pPr>
              <w:jc w:val="right"/>
              <w:rPr>
                <w:rFonts w:ascii="Arial Narrow" w:hAnsi="Arial Narrow" w:cs="Calibri"/>
                <w:color w:val="000000"/>
                <w:sz w:val="20"/>
                <w:szCs w:val="20"/>
                <w:lang w:val="bg-BG" w:eastAsia="bg-BG"/>
              </w:rPr>
            </w:pPr>
            <w:r w:rsidRPr="005376E6">
              <w:rPr>
                <w:rFonts w:ascii="Arial Narrow" w:hAnsi="Arial Narrow" w:cs="Calibri"/>
                <w:color w:val="000000"/>
                <w:sz w:val="20"/>
                <w:szCs w:val="20"/>
                <w:lang w:val="bg-BG" w:eastAsia="bg-BG"/>
              </w:rPr>
              <w:t>121</w:t>
            </w:r>
          </w:p>
        </w:tc>
        <w:tc>
          <w:tcPr>
            <w:tcW w:w="471" w:type="pct"/>
            <w:tcBorders>
              <w:top w:val="nil"/>
              <w:left w:val="nil"/>
              <w:bottom w:val="single" w:sz="4" w:space="0" w:color="auto"/>
              <w:right w:val="single" w:sz="4" w:space="0" w:color="auto"/>
            </w:tcBorders>
            <w:shd w:val="clear" w:color="000000" w:fill="FFFFFF"/>
            <w:noWrap/>
            <w:vAlign w:val="center"/>
          </w:tcPr>
          <w:p w14:paraId="32B610C8" w14:textId="77777777" w:rsidR="005376E6" w:rsidRPr="005376E6" w:rsidRDefault="005376E6" w:rsidP="005376E6">
            <w:pPr>
              <w:jc w:val="right"/>
              <w:rPr>
                <w:rFonts w:ascii="Arial Narrow" w:hAnsi="Arial Narrow" w:cs="Calibri"/>
                <w:color w:val="000000"/>
                <w:sz w:val="20"/>
                <w:szCs w:val="20"/>
                <w:lang w:val="bg-BG" w:eastAsia="bg-BG"/>
              </w:rPr>
            </w:pPr>
            <w:r w:rsidRPr="005376E6">
              <w:rPr>
                <w:rFonts w:ascii="Arial Narrow" w:hAnsi="Arial Narrow" w:cs="Calibri"/>
                <w:color w:val="000000"/>
                <w:sz w:val="20"/>
                <w:szCs w:val="20"/>
                <w:lang w:val="bg-BG" w:eastAsia="bg-BG"/>
              </w:rPr>
              <w:t>1 473</w:t>
            </w:r>
          </w:p>
        </w:tc>
        <w:tc>
          <w:tcPr>
            <w:tcW w:w="471" w:type="pct"/>
            <w:tcBorders>
              <w:top w:val="nil"/>
              <w:left w:val="nil"/>
              <w:bottom w:val="single" w:sz="4" w:space="0" w:color="auto"/>
              <w:right w:val="single" w:sz="4" w:space="0" w:color="auto"/>
            </w:tcBorders>
            <w:shd w:val="clear" w:color="000000" w:fill="FFFFFF"/>
            <w:noWrap/>
            <w:vAlign w:val="center"/>
          </w:tcPr>
          <w:p w14:paraId="0DAE9C0E" w14:textId="77777777" w:rsidR="005376E6" w:rsidRPr="005376E6" w:rsidRDefault="005376E6" w:rsidP="005376E6">
            <w:pPr>
              <w:jc w:val="right"/>
              <w:rPr>
                <w:rFonts w:ascii="Arial Narrow" w:hAnsi="Arial Narrow" w:cs="Calibri"/>
                <w:color w:val="000000"/>
                <w:sz w:val="20"/>
                <w:szCs w:val="20"/>
                <w:lang w:val="bg-BG" w:eastAsia="bg-BG"/>
              </w:rPr>
            </w:pPr>
            <w:r w:rsidRPr="005376E6">
              <w:rPr>
                <w:rFonts w:ascii="Arial Narrow" w:hAnsi="Arial Narrow" w:cs="Calibri"/>
                <w:color w:val="000000"/>
                <w:sz w:val="20"/>
                <w:szCs w:val="20"/>
                <w:lang w:val="bg-BG" w:eastAsia="bg-BG"/>
              </w:rPr>
              <w:t>3 863</w:t>
            </w:r>
          </w:p>
        </w:tc>
        <w:tc>
          <w:tcPr>
            <w:tcW w:w="476" w:type="pct"/>
            <w:tcBorders>
              <w:top w:val="nil"/>
              <w:left w:val="nil"/>
              <w:bottom w:val="single" w:sz="4" w:space="0" w:color="auto"/>
              <w:right w:val="single" w:sz="4" w:space="0" w:color="auto"/>
            </w:tcBorders>
            <w:shd w:val="clear" w:color="000000" w:fill="FFFFFF"/>
            <w:noWrap/>
            <w:vAlign w:val="center"/>
          </w:tcPr>
          <w:p w14:paraId="7EA57EED" w14:textId="77777777" w:rsidR="005376E6" w:rsidRPr="005376E6" w:rsidRDefault="005376E6" w:rsidP="005376E6">
            <w:pPr>
              <w:jc w:val="right"/>
              <w:rPr>
                <w:rFonts w:ascii="Arial Narrow" w:hAnsi="Arial Narrow" w:cs="Calibri"/>
                <w:color w:val="000000"/>
                <w:sz w:val="20"/>
                <w:szCs w:val="20"/>
                <w:lang w:val="bg-BG" w:eastAsia="bg-BG"/>
              </w:rPr>
            </w:pPr>
            <w:r w:rsidRPr="005376E6">
              <w:rPr>
                <w:rFonts w:ascii="Arial Narrow" w:hAnsi="Arial Narrow" w:cs="Calibri"/>
                <w:color w:val="000000"/>
                <w:sz w:val="20"/>
                <w:szCs w:val="20"/>
                <w:lang w:val="bg-BG" w:eastAsia="bg-BG"/>
              </w:rPr>
              <w:t>157</w:t>
            </w:r>
          </w:p>
        </w:tc>
        <w:tc>
          <w:tcPr>
            <w:tcW w:w="471" w:type="pct"/>
            <w:tcBorders>
              <w:top w:val="nil"/>
              <w:left w:val="nil"/>
              <w:bottom w:val="single" w:sz="4" w:space="0" w:color="auto"/>
              <w:right w:val="single" w:sz="4" w:space="0" w:color="auto"/>
            </w:tcBorders>
            <w:shd w:val="clear" w:color="000000" w:fill="FFFFFF"/>
            <w:noWrap/>
            <w:vAlign w:val="center"/>
          </w:tcPr>
          <w:p w14:paraId="2E0352FE" w14:textId="77777777" w:rsidR="005376E6" w:rsidRPr="005376E6" w:rsidRDefault="005376E6" w:rsidP="005376E6">
            <w:pPr>
              <w:jc w:val="right"/>
              <w:rPr>
                <w:rFonts w:ascii="Arial Narrow" w:hAnsi="Arial Narrow" w:cs="Calibri"/>
                <w:color w:val="000000"/>
                <w:sz w:val="20"/>
                <w:szCs w:val="20"/>
                <w:lang w:val="bg-BG" w:eastAsia="bg-BG"/>
              </w:rPr>
            </w:pPr>
            <w:r w:rsidRPr="005376E6">
              <w:rPr>
                <w:rFonts w:ascii="Arial Narrow" w:hAnsi="Arial Narrow" w:cs="Calibri"/>
                <w:color w:val="000000"/>
                <w:sz w:val="20"/>
                <w:szCs w:val="20"/>
                <w:lang w:val="bg-BG" w:eastAsia="bg-BG"/>
              </w:rPr>
              <w:t>1 665</w:t>
            </w:r>
          </w:p>
        </w:tc>
        <w:tc>
          <w:tcPr>
            <w:tcW w:w="471" w:type="pct"/>
            <w:tcBorders>
              <w:top w:val="nil"/>
              <w:left w:val="nil"/>
              <w:bottom w:val="single" w:sz="4" w:space="0" w:color="auto"/>
              <w:right w:val="single" w:sz="4" w:space="0" w:color="auto"/>
            </w:tcBorders>
            <w:shd w:val="clear" w:color="000000" w:fill="FFFFFF"/>
            <w:noWrap/>
            <w:vAlign w:val="center"/>
          </w:tcPr>
          <w:p w14:paraId="5093AEB8" w14:textId="77777777" w:rsidR="005376E6" w:rsidRPr="005376E6" w:rsidRDefault="005376E6" w:rsidP="005376E6">
            <w:pPr>
              <w:jc w:val="right"/>
              <w:rPr>
                <w:rFonts w:ascii="Arial Narrow" w:hAnsi="Arial Narrow" w:cs="Calibri"/>
                <w:color w:val="000000"/>
                <w:sz w:val="20"/>
                <w:szCs w:val="20"/>
                <w:lang w:val="bg-BG" w:eastAsia="bg-BG"/>
              </w:rPr>
            </w:pPr>
            <w:r w:rsidRPr="005376E6">
              <w:rPr>
                <w:rFonts w:ascii="Arial Narrow" w:hAnsi="Arial Narrow" w:cs="Calibri"/>
                <w:color w:val="000000"/>
                <w:sz w:val="20"/>
                <w:szCs w:val="20"/>
                <w:lang w:val="bg-BG" w:eastAsia="bg-BG"/>
              </w:rPr>
              <w:t>3 914</w:t>
            </w:r>
          </w:p>
        </w:tc>
        <w:tc>
          <w:tcPr>
            <w:tcW w:w="474" w:type="pct"/>
            <w:tcBorders>
              <w:top w:val="nil"/>
              <w:left w:val="nil"/>
              <w:bottom w:val="single" w:sz="4" w:space="0" w:color="auto"/>
              <w:right w:val="single" w:sz="4" w:space="0" w:color="auto"/>
            </w:tcBorders>
            <w:shd w:val="clear" w:color="000000" w:fill="FFFFFF"/>
            <w:noWrap/>
            <w:vAlign w:val="center"/>
          </w:tcPr>
          <w:p w14:paraId="4CA29785" w14:textId="77777777" w:rsidR="005376E6" w:rsidRPr="005376E6" w:rsidRDefault="005376E6" w:rsidP="005376E6">
            <w:pPr>
              <w:jc w:val="right"/>
              <w:rPr>
                <w:rFonts w:ascii="Arial Narrow" w:hAnsi="Arial Narrow" w:cs="Calibri"/>
                <w:color w:val="000000"/>
                <w:sz w:val="20"/>
                <w:szCs w:val="20"/>
                <w:lang w:val="bg-BG" w:eastAsia="bg-BG"/>
              </w:rPr>
            </w:pPr>
            <w:r w:rsidRPr="005376E6">
              <w:rPr>
                <w:rFonts w:ascii="Arial Narrow" w:hAnsi="Arial Narrow" w:cs="Calibri"/>
                <w:color w:val="000000"/>
                <w:sz w:val="20"/>
                <w:szCs w:val="20"/>
                <w:lang w:val="bg-BG" w:eastAsia="bg-BG"/>
              </w:rPr>
              <w:t>221</w:t>
            </w:r>
          </w:p>
        </w:tc>
      </w:tr>
      <w:tr w:rsidR="005376E6" w:rsidRPr="005376E6" w14:paraId="6A3D4183" w14:textId="77777777" w:rsidTr="00305E62">
        <w:trPr>
          <w:trHeight w:val="290"/>
        </w:trPr>
        <w:tc>
          <w:tcPr>
            <w:tcW w:w="749" w:type="pct"/>
            <w:tcBorders>
              <w:top w:val="nil"/>
              <w:left w:val="single" w:sz="4" w:space="0" w:color="auto"/>
              <w:bottom w:val="single" w:sz="4" w:space="0" w:color="auto"/>
              <w:right w:val="single" w:sz="4" w:space="0" w:color="auto"/>
            </w:tcBorders>
            <w:shd w:val="clear" w:color="000000" w:fill="FFFFFF"/>
            <w:noWrap/>
            <w:vAlign w:val="center"/>
            <w:hideMark/>
          </w:tcPr>
          <w:p w14:paraId="3036D992" w14:textId="77777777" w:rsidR="005376E6" w:rsidRPr="005376E6" w:rsidRDefault="005376E6" w:rsidP="005376E6">
            <w:pPr>
              <w:rPr>
                <w:rFonts w:ascii="Arial Narrow" w:hAnsi="Arial Narrow" w:cs="Calibri"/>
                <w:color w:val="000000"/>
                <w:sz w:val="20"/>
                <w:szCs w:val="20"/>
                <w:lang w:val="bg-BG" w:eastAsia="bg-BG"/>
              </w:rPr>
            </w:pPr>
            <w:r w:rsidRPr="005376E6">
              <w:rPr>
                <w:rFonts w:ascii="Arial Narrow" w:hAnsi="Arial Narrow" w:cs="Calibri"/>
                <w:color w:val="000000"/>
                <w:sz w:val="20"/>
                <w:szCs w:val="20"/>
                <w:lang w:val="bg-BG" w:eastAsia="bg-BG"/>
              </w:rPr>
              <w:t>София</w:t>
            </w:r>
          </w:p>
        </w:tc>
        <w:tc>
          <w:tcPr>
            <w:tcW w:w="471" w:type="pct"/>
            <w:tcBorders>
              <w:top w:val="nil"/>
              <w:left w:val="nil"/>
              <w:bottom w:val="single" w:sz="4" w:space="0" w:color="auto"/>
              <w:right w:val="single" w:sz="4" w:space="0" w:color="auto"/>
            </w:tcBorders>
            <w:shd w:val="clear" w:color="000000" w:fill="FFFFFF"/>
            <w:noWrap/>
            <w:vAlign w:val="center"/>
          </w:tcPr>
          <w:p w14:paraId="434572CE" w14:textId="77777777" w:rsidR="005376E6" w:rsidRPr="005376E6" w:rsidRDefault="005376E6" w:rsidP="005376E6">
            <w:pPr>
              <w:jc w:val="right"/>
              <w:rPr>
                <w:rFonts w:ascii="Arial Narrow" w:hAnsi="Arial Narrow" w:cs="Calibri"/>
                <w:color w:val="000000"/>
                <w:sz w:val="20"/>
                <w:szCs w:val="20"/>
                <w:lang w:val="bg-BG" w:eastAsia="bg-BG"/>
              </w:rPr>
            </w:pPr>
            <w:r w:rsidRPr="005376E6">
              <w:rPr>
                <w:rFonts w:ascii="Arial Narrow" w:hAnsi="Arial Narrow" w:cs="Calibri"/>
                <w:color w:val="000000"/>
                <w:sz w:val="20"/>
                <w:szCs w:val="20"/>
                <w:lang w:val="bg-BG" w:eastAsia="bg-BG"/>
              </w:rPr>
              <w:t>4 898</w:t>
            </w:r>
          </w:p>
        </w:tc>
        <w:tc>
          <w:tcPr>
            <w:tcW w:w="471" w:type="pct"/>
            <w:tcBorders>
              <w:top w:val="nil"/>
              <w:left w:val="nil"/>
              <w:bottom w:val="single" w:sz="4" w:space="0" w:color="auto"/>
              <w:right w:val="single" w:sz="4" w:space="0" w:color="auto"/>
            </w:tcBorders>
            <w:shd w:val="clear" w:color="000000" w:fill="FFFFFF"/>
            <w:noWrap/>
            <w:vAlign w:val="center"/>
          </w:tcPr>
          <w:p w14:paraId="5A522E96" w14:textId="77777777" w:rsidR="005376E6" w:rsidRPr="005376E6" w:rsidRDefault="005376E6" w:rsidP="005376E6">
            <w:pPr>
              <w:jc w:val="right"/>
              <w:rPr>
                <w:rFonts w:ascii="Arial Narrow" w:hAnsi="Arial Narrow" w:cs="Calibri"/>
                <w:color w:val="000000"/>
                <w:sz w:val="20"/>
                <w:szCs w:val="20"/>
                <w:lang w:val="bg-BG" w:eastAsia="bg-BG"/>
              </w:rPr>
            </w:pPr>
            <w:r w:rsidRPr="005376E6">
              <w:rPr>
                <w:rFonts w:ascii="Arial Narrow" w:hAnsi="Arial Narrow" w:cs="Calibri"/>
                <w:color w:val="000000"/>
                <w:sz w:val="20"/>
                <w:szCs w:val="20"/>
                <w:lang w:val="bg-BG" w:eastAsia="bg-BG"/>
              </w:rPr>
              <w:t>9 012</w:t>
            </w:r>
          </w:p>
        </w:tc>
        <w:tc>
          <w:tcPr>
            <w:tcW w:w="476" w:type="pct"/>
            <w:tcBorders>
              <w:top w:val="nil"/>
              <w:left w:val="nil"/>
              <w:bottom w:val="single" w:sz="4" w:space="0" w:color="auto"/>
              <w:right w:val="single" w:sz="4" w:space="0" w:color="auto"/>
            </w:tcBorders>
            <w:shd w:val="clear" w:color="000000" w:fill="FFFFFF"/>
            <w:noWrap/>
            <w:vAlign w:val="center"/>
          </w:tcPr>
          <w:p w14:paraId="1DD223F6" w14:textId="77777777" w:rsidR="005376E6" w:rsidRPr="005376E6" w:rsidRDefault="005376E6" w:rsidP="005376E6">
            <w:pPr>
              <w:jc w:val="right"/>
              <w:rPr>
                <w:rFonts w:ascii="Arial Narrow" w:hAnsi="Arial Narrow" w:cs="Calibri"/>
                <w:color w:val="000000"/>
                <w:sz w:val="20"/>
                <w:szCs w:val="20"/>
                <w:lang w:val="bg-BG" w:eastAsia="bg-BG"/>
              </w:rPr>
            </w:pPr>
            <w:r w:rsidRPr="005376E6">
              <w:rPr>
                <w:rFonts w:ascii="Arial Narrow" w:hAnsi="Arial Narrow" w:cs="Calibri"/>
                <w:color w:val="000000"/>
                <w:sz w:val="20"/>
                <w:szCs w:val="20"/>
                <w:lang w:val="bg-BG" w:eastAsia="bg-BG"/>
              </w:rPr>
              <w:t>552</w:t>
            </w:r>
          </w:p>
        </w:tc>
        <w:tc>
          <w:tcPr>
            <w:tcW w:w="471" w:type="pct"/>
            <w:tcBorders>
              <w:top w:val="nil"/>
              <w:left w:val="nil"/>
              <w:bottom w:val="single" w:sz="4" w:space="0" w:color="auto"/>
              <w:right w:val="single" w:sz="4" w:space="0" w:color="auto"/>
            </w:tcBorders>
            <w:shd w:val="clear" w:color="000000" w:fill="FFFFFF"/>
            <w:noWrap/>
            <w:vAlign w:val="center"/>
          </w:tcPr>
          <w:p w14:paraId="21BA4453" w14:textId="77777777" w:rsidR="005376E6" w:rsidRPr="005376E6" w:rsidRDefault="005376E6" w:rsidP="005376E6">
            <w:pPr>
              <w:jc w:val="right"/>
              <w:rPr>
                <w:rFonts w:ascii="Arial Narrow" w:hAnsi="Arial Narrow" w:cs="Calibri"/>
                <w:color w:val="000000"/>
                <w:sz w:val="20"/>
                <w:szCs w:val="20"/>
                <w:lang w:val="bg-BG" w:eastAsia="bg-BG"/>
              </w:rPr>
            </w:pPr>
            <w:r w:rsidRPr="005376E6">
              <w:rPr>
                <w:rFonts w:ascii="Arial Narrow" w:hAnsi="Arial Narrow" w:cs="Calibri"/>
                <w:color w:val="000000"/>
                <w:sz w:val="20"/>
                <w:szCs w:val="20"/>
                <w:lang w:val="bg-BG" w:eastAsia="bg-BG"/>
              </w:rPr>
              <w:t>5 722</w:t>
            </w:r>
          </w:p>
        </w:tc>
        <w:tc>
          <w:tcPr>
            <w:tcW w:w="471" w:type="pct"/>
            <w:tcBorders>
              <w:top w:val="nil"/>
              <w:left w:val="nil"/>
              <w:bottom w:val="single" w:sz="4" w:space="0" w:color="auto"/>
              <w:right w:val="single" w:sz="4" w:space="0" w:color="auto"/>
            </w:tcBorders>
            <w:shd w:val="clear" w:color="000000" w:fill="FFFFFF"/>
            <w:noWrap/>
            <w:vAlign w:val="center"/>
          </w:tcPr>
          <w:p w14:paraId="01DBE139" w14:textId="77777777" w:rsidR="005376E6" w:rsidRPr="005376E6" w:rsidRDefault="005376E6" w:rsidP="005376E6">
            <w:pPr>
              <w:jc w:val="right"/>
              <w:rPr>
                <w:rFonts w:ascii="Arial Narrow" w:hAnsi="Arial Narrow" w:cs="Calibri"/>
                <w:color w:val="000000"/>
                <w:sz w:val="20"/>
                <w:szCs w:val="20"/>
                <w:lang w:val="bg-BG" w:eastAsia="bg-BG"/>
              </w:rPr>
            </w:pPr>
            <w:r w:rsidRPr="005376E6">
              <w:rPr>
                <w:rFonts w:ascii="Arial Narrow" w:hAnsi="Arial Narrow" w:cs="Calibri"/>
                <w:color w:val="000000"/>
                <w:sz w:val="20"/>
                <w:szCs w:val="20"/>
                <w:lang w:val="bg-BG" w:eastAsia="bg-BG"/>
              </w:rPr>
              <w:t>15 056</w:t>
            </w:r>
          </w:p>
        </w:tc>
        <w:tc>
          <w:tcPr>
            <w:tcW w:w="476" w:type="pct"/>
            <w:tcBorders>
              <w:top w:val="nil"/>
              <w:left w:val="nil"/>
              <w:bottom w:val="single" w:sz="4" w:space="0" w:color="auto"/>
              <w:right w:val="single" w:sz="4" w:space="0" w:color="auto"/>
            </w:tcBorders>
            <w:shd w:val="clear" w:color="000000" w:fill="FFFFFF"/>
            <w:noWrap/>
            <w:vAlign w:val="center"/>
          </w:tcPr>
          <w:p w14:paraId="6B5BFC9B" w14:textId="77777777" w:rsidR="005376E6" w:rsidRPr="005376E6" w:rsidRDefault="005376E6" w:rsidP="005376E6">
            <w:pPr>
              <w:jc w:val="right"/>
              <w:rPr>
                <w:rFonts w:ascii="Arial Narrow" w:hAnsi="Arial Narrow" w:cs="Calibri"/>
                <w:color w:val="000000"/>
                <w:sz w:val="20"/>
                <w:szCs w:val="20"/>
                <w:lang w:val="bg-BG" w:eastAsia="bg-BG"/>
              </w:rPr>
            </w:pPr>
            <w:r w:rsidRPr="005376E6">
              <w:rPr>
                <w:rFonts w:ascii="Arial Narrow" w:hAnsi="Arial Narrow" w:cs="Calibri"/>
                <w:color w:val="000000"/>
                <w:sz w:val="20"/>
                <w:szCs w:val="20"/>
                <w:lang w:val="bg-BG" w:eastAsia="bg-BG"/>
              </w:rPr>
              <w:t>929</w:t>
            </w:r>
          </w:p>
        </w:tc>
        <w:tc>
          <w:tcPr>
            <w:tcW w:w="471" w:type="pct"/>
            <w:tcBorders>
              <w:top w:val="nil"/>
              <w:left w:val="nil"/>
              <w:bottom w:val="single" w:sz="4" w:space="0" w:color="auto"/>
              <w:right w:val="single" w:sz="4" w:space="0" w:color="auto"/>
            </w:tcBorders>
            <w:shd w:val="clear" w:color="000000" w:fill="FFFFFF"/>
            <w:noWrap/>
            <w:vAlign w:val="center"/>
          </w:tcPr>
          <w:p w14:paraId="42F6A94B" w14:textId="77777777" w:rsidR="005376E6" w:rsidRPr="005376E6" w:rsidRDefault="005376E6" w:rsidP="005376E6">
            <w:pPr>
              <w:jc w:val="right"/>
              <w:rPr>
                <w:rFonts w:ascii="Arial Narrow" w:hAnsi="Arial Narrow" w:cs="Calibri"/>
                <w:color w:val="000000"/>
                <w:sz w:val="20"/>
                <w:szCs w:val="20"/>
                <w:lang w:val="bg-BG" w:eastAsia="bg-BG"/>
              </w:rPr>
            </w:pPr>
            <w:r w:rsidRPr="005376E6">
              <w:rPr>
                <w:rFonts w:ascii="Arial Narrow" w:hAnsi="Arial Narrow" w:cs="Calibri"/>
                <w:color w:val="000000"/>
                <w:sz w:val="20"/>
                <w:szCs w:val="20"/>
                <w:lang w:val="bg-BG" w:eastAsia="bg-BG"/>
              </w:rPr>
              <w:t>6 592</w:t>
            </w:r>
          </w:p>
        </w:tc>
        <w:tc>
          <w:tcPr>
            <w:tcW w:w="471" w:type="pct"/>
            <w:tcBorders>
              <w:top w:val="nil"/>
              <w:left w:val="nil"/>
              <w:bottom w:val="single" w:sz="4" w:space="0" w:color="auto"/>
              <w:right w:val="single" w:sz="4" w:space="0" w:color="auto"/>
            </w:tcBorders>
            <w:shd w:val="clear" w:color="000000" w:fill="FFFFFF"/>
            <w:noWrap/>
            <w:vAlign w:val="center"/>
          </w:tcPr>
          <w:p w14:paraId="0BC96AB5" w14:textId="77777777" w:rsidR="005376E6" w:rsidRPr="005376E6" w:rsidRDefault="005376E6" w:rsidP="005376E6">
            <w:pPr>
              <w:jc w:val="right"/>
              <w:rPr>
                <w:rFonts w:ascii="Arial Narrow" w:hAnsi="Arial Narrow" w:cs="Calibri"/>
                <w:color w:val="000000"/>
                <w:sz w:val="20"/>
                <w:szCs w:val="20"/>
                <w:lang w:val="bg-BG" w:eastAsia="bg-BG"/>
              </w:rPr>
            </w:pPr>
            <w:r w:rsidRPr="005376E6">
              <w:rPr>
                <w:rFonts w:ascii="Arial Narrow" w:hAnsi="Arial Narrow" w:cs="Calibri"/>
                <w:color w:val="000000"/>
                <w:sz w:val="20"/>
                <w:szCs w:val="20"/>
                <w:lang w:val="bg-BG" w:eastAsia="bg-BG"/>
              </w:rPr>
              <w:t>15 671</w:t>
            </w:r>
          </w:p>
        </w:tc>
        <w:tc>
          <w:tcPr>
            <w:tcW w:w="474" w:type="pct"/>
            <w:tcBorders>
              <w:top w:val="nil"/>
              <w:left w:val="nil"/>
              <w:bottom w:val="single" w:sz="4" w:space="0" w:color="auto"/>
              <w:right w:val="single" w:sz="4" w:space="0" w:color="auto"/>
            </w:tcBorders>
            <w:shd w:val="clear" w:color="000000" w:fill="FFFFFF"/>
            <w:noWrap/>
            <w:vAlign w:val="center"/>
          </w:tcPr>
          <w:p w14:paraId="490F47AB" w14:textId="77777777" w:rsidR="005376E6" w:rsidRPr="005376E6" w:rsidRDefault="005376E6" w:rsidP="005376E6">
            <w:pPr>
              <w:jc w:val="right"/>
              <w:rPr>
                <w:rFonts w:ascii="Arial Narrow" w:hAnsi="Arial Narrow" w:cs="Calibri"/>
                <w:color w:val="000000"/>
                <w:sz w:val="20"/>
                <w:szCs w:val="20"/>
                <w:lang w:val="bg-BG" w:eastAsia="bg-BG"/>
              </w:rPr>
            </w:pPr>
            <w:r w:rsidRPr="005376E6">
              <w:rPr>
                <w:rFonts w:ascii="Arial Narrow" w:hAnsi="Arial Narrow" w:cs="Calibri"/>
                <w:color w:val="000000"/>
                <w:sz w:val="20"/>
                <w:szCs w:val="20"/>
                <w:lang w:val="bg-BG" w:eastAsia="bg-BG"/>
              </w:rPr>
              <w:t>994</w:t>
            </w:r>
          </w:p>
        </w:tc>
      </w:tr>
      <w:tr w:rsidR="005376E6" w:rsidRPr="005376E6" w14:paraId="06E51061" w14:textId="77777777" w:rsidTr="00305E62">
        <w:trPr>
          <w:trHeight w:val="290"/>
        </w:trPr>
        <w:tc>
          <w:tcPr>
            <w:tcW w:w="749" w:type="pct"/>
            <w:tcBorders>
              <w:top w:val="nil"/>
              <w:left w:val="single" w:sz="4" w:space="0" w:color="auto"/>
              <w:bottom w:val="single" w:sz="4" w:space="0" w:color="auto"/>
              <w:right w:val="single" w:sz="4" w:space="0" w:color="auto"/>
            </w:tcBorders>
            <w:shd w:val="clear" w:color="000000" w:fill="FFFFFF"/>
            <w:vAlign w:val="center"/>
            <w:hideMark/>
          </w:tcPr>
          <w:p w14:paraId="4B0728FD" w14:textId="77777777" w:rsidR="005376E6" w:rsidRPr="005376E6" w:rsidRDefault="005376E6" w:rsidP="005376E6">
            <w:pPr>
              <w:rPr>
                <w:rFonts w:ascii="Arial Narrow" w:hAnsi="Arial Narrow" w:cs="Calibri"/>
                <w:color w:val="000000"/>
                <w:sz w:val="20"/>
                <w:szCs w:val="20"/>
                <w:lang w:val="bg-BG" w:eastAsia="bg-BG"/>
              </w:rPr>
            </w:pPr>
            <w:r w:rsidRPr="005376E6">
              <w:rPr>
                <w:rFonts w:ascii="Arial Narrow" w:hAnsi="Arial Narrow" w:cs="Calibri"/>
                <w:color w:val="000000"/>
                <w:sz w:val="20"/>
                <w:szCs w:val="20"/>
                <w:lang w:val="bg-BG" w:eastAsia="bg-BG"/>
              </w:rPr>
              <w:t xml:space="preserve">Среден Дунав </w:t>
            </w:r>
          </w:p>
        </w:tc>
        <w:tc>
          <w:tcPr>
            <w:tcW w:w="471" w:type="pct"/>
            <w:tcBorders>
              <w:top w:val="nil"/>
              <w:left w:val="nil"/>
              <w:bottom w:val="single" w:sz="4" w:space="0" w:color="auto"/>
              <w:right w:val="single" w:sz="4" w:space="0" w:color="auto"/>
            </w:tcBorders>
            <w:shd w:val="clear" w:color="000000" w:fill="FFFFFF"/>
            <w:noWrap/>
            <w:vAlign w:val="center"/>
          </w:tcPr>
          <w:p w14:paraId="6CBC490D" w14:textId="77777777" w:rsidR="005376E6" w:rsidRPr="005376E6" w:rsidRDefault="005376E6" w:rsidP="005376E6">
            <w:pPr>
              <w:jc w:val="right"/>
              <w:rPr>
                <w:rFonts w:ascii="Arial Narrow" w:hAnsi="Arial Narrow" w:cs="Calibri"/>
                <w:color w:val="000000"/>
                <w:sz w:val="20"/>
                <w:szCs w:val="20"/>
                <w:lang w:val="bg-BG" w:eastAsia="bg-BG"/>
              </w:rPr>
            </w:pPr>
            <w:r w:rsidRPr="005376E6">
              <w:rPr>
                <w:rFonts w:ascii="Arial Narrow" w:hAnsi="Arial Narrow" w:cs="Calibri"/>
                <w:color w:val="000000"/>
                <w:sz w:val="20"/>
                <w:szCs w:val="20"/>
                <w:lang w:val="bg-BG" w:eastAsia="bg-BG"/>
              </w:rPr>
              <w:t>15 366</w:t>
            </w:r>
          </w:p>
        </w:tc>
        <w:tc>
          <w:tcPr>
            <w:tcW w:w="471" w:type="pct"/>
            <w:tcBorders>
              <w:top w:val="nil"/>
              <w:left w:val="nil"/>
              <w:bottom w:val="single" w:sz="4" w:space="0" w:color="auto"/>
              <w:right w:val="single" w:sz="4" w:space="0" w:color="auto"/>
            </w:tcBorders>
            <w:shd w:val="clear" w:color="000000" w:fill="FFFFFF"/>
            <w:noWrap/>
            <w:vAlign w:val="center"/>
          </w:tcPr>
          <w:p w14:paraId="0E4B5B15" w14:textId="77777777" w:rsidR="005376E6" w:rsidRPr="005376E6" w:rsidRDefault="005376E6" w:rsidP="005376E6">
            <w:pPr>
              <w:jc w:val="right"/>
              <w:rPr>
                <w:rFonts w:ascii="Arial Narrow" w:hAnsi="Arial Narrow" w:cs="Calibri"/>
                <w:color w:val="000000"/>
                <w:sz w:val="20"/>
                <w:szCs w:val="20"/>
                <w:lang w:val="bg-BG" w:eastAsia="bg-BG"/>
              </w:rPr>
            </w:pPr>
            <w:r w:rsidRPr="005376E6">
              <w:rPr>
                <w:rFonts w:ascii="Arial Narrow" w:hAnsi="Arial Narrow" w:cs="Calibri"/>
                <w:color w:val="000000"/>
                <w:sz w:val="20"/>
                <w:szCs w:val="20"/>
                <w:lang w:val="bg-BG" w:eastAsia="bg-BG"/>
              </w:rPr>
              <w:t>62 326</w:t>
            </w:r>
          </w:p>
        </w:tc>
        <w:tc>
          <w:tcPr>
            <w:tcW w:w="476" w:type="pct"/>
            <w:tcBorders>
              <w:top w:val="nil"/>
              <w:left w:val="nil"/>
              <w:bottom w:val="single" w:sz="4" w:space="0" w:color="auto"/>
              <w:right w:val="single" w:sz="4" w:space="0" w:color="auto"/>
            </w:tcBorders>
            <w:shd w:val="clear" w:color="000000" w:fill="FFFFFF"/>
            <w:noWrap/>
            <w:vAlign w:val="center"/>
          </w:tcPr>
          <w:p w14:paraId="7BF1E2B5" w14:textId="77777777" w:rsidR="005376E6" w:rsidRPr="005376E6" w:rsidRDefault="005376E6" w:rsidP="005376E6">
            <w:pPr>
              <w:jc w:val="right"/>
              <w:rPr>
                <w:rFonts w:ascii="Arial Narrow" w:hAnsi="Arial Narrow" w:cs="Calibri"/>
                <w:color w:val="000000"/>
                <w:sz w:val="20"/>
                <w:szCs w:val="20"/>
                <w:lang w:val="bg-BG" w:eastAsia="bg-BG"/>
              </w:rPr>
            </w:pPr>
            <w:r w:rsidRPr="005376E6">
              <w:rPr>
                <w:rFonts w:ascii="Arial Narrow" w:hAnsi="Arial Narrow" w:cs="Calibri"/>
                <w:color w:val="000000"/>
                <w:sz w:val="20"/>
                <w:szCs w:val="20"/>
                <w:lang w:val="bg-BG" w:eastAsia="bg-BG"/>
              </w:rPr>
              <w:t>1 948</w:t>
            </w:r>
          </w:p>
        </w:tc>
        <w:tc>
          <w:tcPr>
            <w:tcW w:w="471" w:type="pct"/>
            <w:tcBorders>
              <w:top w:val="nil"/>
              <w:left w:val="nil"/>
              <w:bottom w:val="single" w:sz="4" w:space="0" w:color="auto"/>
              <w:right w:val="single" w:sz="4" w:space="0" w:color="auto"/>
            </w:tcBorders>
            <w:shd w:val="clear" w:color="000000" w:fill="FFFFFF"/>
            <w:noWrap/>
            <w:vAlign w:val="center"/>
          </w:tcPr>
          <w:p w14:paraId="09932ECC" w14:textId="77777777" w:rsidR="005376E6" w:rsidRPr="005376E6" w:rsidRDefault="005376E6" w:rsidP="005376E6">
            <w:pPr>
              <w:jc w:val="right"/>
              <w:rPr>
                <w:rFonts w:ascii="Arial Narrow" w:hAnsi="Arial Narrow" w:cs="Calibri"/>
                <w:color w:val="000000"/>
                <w:sz w:val="20"/>
                <w:szCs w:val="20"/>
                <w:lang w:val="bg-BG" w:eastAsia="bg-BG"/>
              </w:rPr>
            </w:pPr>
            <w:r w:rsidRPr="005376E6">
              <w:rPr>
                <w:rFonts w:ascii="Arial Narrow" w:hAnsi="Arial Narrow" w:cs="Calibri"/>
                <w:color w:val="000000"/>
                <w:sz w:val="20"/>
                <w:szCs w:val="20"/>
                <w:lang w:val="bg-BG" w:eastAsia="bg-BG"/>
              </w:rPr>
              <w:t>16 386</w:t>
            </w:r>
          </w:p>
        </w:tc>
        <w:tc>
          <w:tcPr>
            <w:tcW w:w="471" w:type="pct"/>
            <w:tcBorders>
              <w:top w:val="nil"/>
              <w:left w:val="nil"/>
              <w:bottom w:val="single" w:sz="4" w:space="0" w:color="auto"/>
              <w:right w:val="single" w:sz="4" w:space="0" w:color="auto"/>
            </w:tcBorders>
            <w:shd w:val="clear" w:color="000000" w:fill="FFFFFF"/>
            <w:noWrap/>
            <w:vAlign w:val="center"/>
          </w:tcPr>
          <w:p w14:paraId="6E76F118" w14:textId="77777777" w:rsidR="005376E6" w:rsidRPr="005376E6" w:rsidRDefault="005376E6" w:rsidP="005376E6">
            <w:pPr>
              <w:jc w:val="right"/>
              <w:rPr>
                <w:rFonts w:ascii="Arial Narrow" w:hAnsi="Arial Narrow" w:cs="Calibri"/>
                <w:color w:val="000000"/>
                <w:sz w:val="20"/>
                <w:szCs w:val="20"/>
                <w:lang w:val="bg-BG" w:eastAsia="bg-BG"/>
              </w:rPr>
            </w:pPr>
            <w:r w:rsidRPr="005376E6">
              <w:rPr>
                <w:rFonts w:ascii="Arial Narrow" w:hAnsi="Arial Narrow" w:cs="Calibri"/>
                <w:color w:val="000000"/>
                <w:sz w:val="20"/>
                <w:szCs w:val="20"/>
                <w:lang w:val="bg-BG" w:eastAsia="bg-BG"/>
              </w:rPr>
              <w:t>73 943</w:t>
            </w:r>
          </w:p>
        </w:tc>
        <w:tc>
          <w:tcPr>
            <w:tcW w:w="476" w:type="pct"/>
            <w:tcBorders>
              <w:top w:val="nil"/>
              <w:left w:val="nil"/>
              <w:bottom w:val="single" w:sz="4" w:space="0" w:color="auto"/>
              <w:right w:val="single" w:sz="4" w:space="0" w:color="auto"/>
            </w:tcBorders>
            <w:shd w:val="clear" w:color="000000" w:fill="FFFFFF"/>
            <w:noWrap/>
            <w:vAlign w:val="center"/>
          </w:tcPr>
          <w:p w14:paraId="640C0D45" w14:textId="77777777" w:rsidR="005376E6" w:rsidRPr="005376E6" w:rsidRDefault="005376E6" w:rsidP="005376E6">
            <w:pPr>
              <w:jc w:val="right"/>
              <w:rPr>
                <w:rFonts w:ascii="Arial Narrow" w:hAnsi="Arial Narrow" w:cs="Calibri"/>
                <w:color w:val="000000"/>
                <w:sz w:val="20"/>
                <w:szCs w:val="20"/>
                <w:lang w:val="bg-BG" w:eastAsia="bg-BG"/>
              </w:rPr>
            </w:pPr>
            <w:r w:rsidRPr="005376E6">
              <w:rPr>
                <w:rFonts w:ascii="Arial Narrow" w:hAnsi="Arial Narrow" w:cs="Calibri"/>
                <w:color w:val="000000"/>
                <w:sz w:val="20"/>
                <w:szCs w:val="20"/>
                <w:lang w:val="bg-BG" w:eastAsia="bg-BG"/>
              </w:rPr>
              <w:t>2 252</w:t>
            </w:r>
          </w:p>
        </w:tc>
        <w:tc>
          <w:tcPr>
            <w:tcW w:w="471" w:type="pct"/>
            <w:tcBorders>
              <w:top w:val="nil"/>
              <w:left w:val="nil"/>
              <w:bottom w:val="single" w:sz="4" w:space="0" w:color="auto"/>
              <w:right w:val="single" w:sz="4" w:space="0" w:color="auto"/>
            </w:tcBorders>
            <w:shd w:val="clear" w:color="000000" w:fill="FFFFFF"/>
            <w:noWrap/>
            <w:vAlign w:val="center"/>
          </w:tcPr>
          <w:p w14:paraId="3D65EB1B" w14:textId="77777777" w:rsidR="005376E6" w:rsidRPr="005376E6" w:rsidRDefault="005376E6" w:rsidP="005376E6">
            <w:pPr>
              <w:jc w:val="right"/>
              <w:rPr>
                <w:rFonts w:ascii="Arial Narrow" w:hAnsi="Arial Narrow" w:cs="Calibri"/>
                <w:color w:val="000000"/>
                <w:sz w:val="20"/>
                <w:szCs w:val="20"/>
                <w:lang w:val="bg-BG" w:eastAsia="bg-BG"/>
              </w:rPr>
            </w:pPr>
            <w:r w:rsidRPr="005376E6">
              <w:rPr>
                <w:rFonts w:ascii="Arial Narrow" w:hAnsi="Arial Narrow" w:cs="Calibri"/>
                <w:color w:val="000000"/>
                <w:sz w:val="20"/>
                <w:szCs w:val="20"/>
                <w:lang w:val="bg-BG" w:eastAsia="bg-BG"/>
              </w:rPr>
              <w:t>26 601</w:t>
            </w:r>
          </w:p>
        </w:tc>
        <w:tc>
          <w:tcPr>
            <w:tcW w:w="471" w:type="pct"/>
            <w:tcBorders>
              <w:top w:val="nil"/>
              <w:left w:val="nil"/>
              <w:bottom w:val="single" w:sz="4" w:space="0" w:color="auto"/>
              <w:right w:val="single" w:sz="4" w:space="0" w:color="auto"/>
            </w:tcBorders>
            <w:shd w:val="clear" w:color="000000" w:fill="FFFFFF"/>
            <w:noWrap/>
            <w:vAlign w:val="center"/>
          </w:tcPr>
          <w:p w14:paraId="09F938E3" w14:textId="77777777" w:rsidR="005376E6" w:rsidRPr="005376E6" w:rsidRDefault="005376E6" w:rsidP="005376E6">
            <w:pPr>
              <w:jc w:val="right"/>
              <w:rPr>
                <w:rFonts w:ascii="Arial Narrow" w:hAnsi="Arial Narrow" w:cs="Calibri"/>
                <w:color w:val="000000"/>
                <w:sz w:val="20"/>
                <w:szCs w:val="20"/>
                <w:lang w:val="bg-BG" w:eastAsia="bg-BG"/>
              </w:rPr>
            </w:pPr>
            <w:r w:rsidRPr="005376E6">
              <w:rPr>
                <w:rFonts w:ascii="Arial Narrow" w:hAnsi="Arial Narrow" w:cs="Calibri"/>
                <w:color w:val="000000"/>
                <w:sz w:val="20"/>
                <w:szCs w:val="20"/>
                <w:lang w:val="bg-BG" w:eastAsia="bg-BG"/>
              </w:rPr>
              <w:t>116 830</w:t>
            </w:r>
          </w:p>
        </w:tc>
        <w:tc>
          <w:tcPr>
            <w:tcW w:w="474" w:type="pct"/>
            <w:tcBorders>
              <w:top w:val="nil"/>
              <w:left w:val="nil"/>
              <w:bottom w:val="single" w:sz="4" w:space="0" w:color="auto"/>
              <w:right w:val="single" w:sz="4" w:space="0" w:color="auto"/>
            </w:tcBorders>
            <w:shd w:val="clear" w:color="000000" w:fill="FFFFFF"/>
            <w:noWrap/>
            <w:vAlign w:val="center"/>
          </w:tcPr>
          <w:p w14:paraId="39081A48" w14:textId="77777777" w:rsidR="005376E6" w:rsidRPr="005376E6" w:rsidRDefault="005376E6" w:rsidP="005376E6">
            <w:pPr>
              <w:jc w:val="right"/>
              <w:rPr>
                <w:rFonts w:ascii="Arial Narrow" w:hAnsi="Arial Narrow" w:cs="Calibri"/>
                <w:color w:val="000000"/>
                <w:sz w:val="20"/>
                <w:szCs w:val="20"/>
                <w:lang w:val="bg-BG" w:eastAsia="bg-BG"/>
              </w:rPr>
            </w:pPr>
            <w:r w:rsidRPr="005376E6">
              <w:rPr>
                <w:rFonts w:ascii="Arial Narrow" w:hAnsi="Arial Narrow" w:cs="Calibri"/>
                <w:color w:val="000000"/>
                <w:sz w:val="20"/>
                <w:szCs w:val="20"/>
                <w:lang w:val="bg-BG" w:eastAsia="bg-BG"/>
              </w:rPr>
              <w:t>3 533</w:t>
            </w:r>
          </w:p>
        </w:tc>
      </w:tr>
      <w:tr w:rsidR="005376E6" w:rsidRPr="005376E6" w14:paraId="218389BF" w14:textId="77777777" w:rsidTr="00305E62">
        <w:trPr>
          <w:trHeight w:val="290"/>
        </w:trPr>
        <w:tc>
          <w:tcPr>
            <w:tcW w:w="749" w:type="pct"/>
            <w:tcBorders>
              <w:top w:val="nil"/>
              <w:left w:val="single" w:sz="4" w:space="0" w:color="auto"/>
              <w:bottom w:val="single" w:sz="4" w:space="0" w:color="auto"/>
              <w:right w:val="single" w:sz="4" w:space="0" w:color="auto"/>
            </w:tcBorders>
            <w:shd w:val="clear" w:color="000000" w:fill="FFFFFF"/>
            <w:vAlign w:val="center"/>
            <w:hideMark/>
          </w:tcPr>
          <w:p w14:paraId="1CB21303" w14:textId="77777777" w:rsidR="005376E6" w:rsidRPr="005376E6" w:rsidRDefault="005376E6" w:rsidP="005376E6">
            <w:pPr>
              <w:rPr>
                <w:rFonts w:ascii="Arial Narrow" w:hAnsi="Arial Narrow" w:cs="Calibri"/>
                <w:color w:val="000000"/>
                <w:sz w:val="20"/>
                <w:szCs w:val="20"/>
                <w:lang w:val="bg-BG" w:eastAsia="bg-BG"/>
              </w:rPr>
            </w:pPr>
            <w:r w:rsidRPr="005376E6">
              <w:rPr>
                <w:rFonts w:ascii="Arial Narrow" w:hAnsi="Arial Narrow" w:cs="Calibri"/>
                <w:color w:val="000000"/>
                <w:sz w:val="20"/>
                <w:szCs w:val="20"/>
                <w:lang w:val="bg-BG" w:eastAsia="bg-BG"/>
              </w:rPr>
              <w:t>Средна Тунджа</w:t>
            </w:r>
          </w:p>
        </w:tc>
        <w:tc>
          <w:tcPr>
            <w:tcW w:w="471" w:type="pct"/>
            <w:tcBorders>
              <w:top w:val="nil"/>
              <w:left w:val="nil"/>
              <w:bottom w:val="single" w:sz="4" w:space="0" w:color="auto"/>
              <w:right w:val="single" w:sz="4" w:space="0" w:color="auto"/>
            </w:tcBorders>
            <w:shd w:val="clear" w:color="000000" w:fill="FFFFFF"/>
            <w:noWrap/>
            <w:vAlign w:val="center"/>
          </w:tcPr>
          <w:p w14:paraId="76900F49" w14:textId="77777777" w:rsidR="005376E6" w:rsidRPr="005376E6" w:rsidRDefault="005376E6" w:rsidP="005376E6">
            <w:pPr>
              <w:jc w:val="right"/>
              <w:rPr>
                <w:rFonts w:ascii="Arial Narrow" w:hAnsi="Arial Narrow" w:cs="Calibri"/>
                <w:color w:val="000000"/>
                <w:sz w:val="20"/>
                <w:szCs w:val="20"/>
                <w:lang w:val="bg-BG" w:eastAsia="bg-BG"/>
              </w:rPr>
            </w:pPr>
            <w:r w:rsidRPr="005376E6">
              <w:rPr>
                <w:rFonts w:ascii="Arial Narrow" w:hAnsi="Arial Narrow" w:cs="Calibri"/>
                <w:color w:val="000000"/>
                <w:sz w:val="20"/>
                <w:szCs w:val="20"/>
                <w:lang w:val="bg-BG" w:eastAsia="bg-BG"/>
              </w:rPr>
              <w:t>37 838</w:t>
            </w:r>
          </w:p>
        </w:tc>
        <w:tc>
          <w:tcPr>
            <w:tcW w:w="471" w:type="pct"/>
            <w:tcBorders>
              <w:top w:val="nil"/>
              <w:left w:val="nil"/>
              <w:bottom w:val="single" w:sz="4" w:space="0" w:color="auto"/>
              <w:right w:val="single" w:sz="4" w:space="0" w:color="auto"/>
            </w:tcBorders>
            <w:shd w:val="clear" w:color="000000" w:fill="FFFFFF"/>
            <w:noWrap/>
            <w:vAlign w:val="center"/>
          </w:tcPr>
          <w:p w14:paraId="0FA76260" w14:textId="77777777" w:rsidR="005376E6" w:rsidRPr="005376E6" w:rsidRDefault="005376E6" w:rsidP="005376E6">
            <w:pPr>
              <w:jc w:val="right"/>
              <w:rPr>
                <w:rFonts w:ascii="Arial Narrow" w:hAnsi="Arial Narrow" w:cs="Calibri"/>
                <w:color w:val="000000"/>
                <w:sz w:val="20"/>
                <w:szCs w:val="20"/>
                <w:lang w:val="bg-BG" w:eastAsia="bg-BG"/>
              </w:rPr>
            </w:pPr>
            <w:r w:rsidRPr="005376E6">
              <w:rPr>
                <w:rFonts w:ascii="Arial Narrow" w:hAnsi="Arial Narrow" w:cs="Calibri"/>
                <w:color w:val="000000"/>
                <w:sz w:val="20"/>
                <w:szCs w:val="20"/>
                <w:lang w:val="bg-BG" w:eastAsia="bg-BG"/>
              </w:rPr>
              <w:t>66 328</w:t>
            </w:r>
          </w:p>
        </w:tc>
        <w:tc>
          <w:tcPr>
            <w:tcW w:w="476" w:type="pct"/>
            <w:tcBorders>
              <w:top w:val="nil"/>
              <w:left w:val="nil"/>
              <w:bottom w:val="single" w:sz="4" w:space="0" w:color="auto"/>
              <w:right w:val="single" w:sz="4" w:space="0" w:color="auto"/>
            </w:tcBorders>
            <w:shd w:val="clear" w:color="000000" w:fill="FFFFFF"/>
            <w:noWrap/>
            <w:vAlign w:val="center"/>
          </w:tcPr>
          <w:p w14:paraId="2375C449" w14:textId="77777777" w:rsidR="005376E6" w:rsidRPr="005376E6" w:rsidRDefault="005376E6" w:rsidP="005376E6">
            <w:pPr>
              <w:jc w:val="right"/>
              <w:rPr>
                <w:rFonts w:ascii="Arial Narrow" w:hAnsi="Arial Narrow" w:cs="Calibri"/>
                <w:color w:val="000000"/>
                <w:sz w:val="20"/>
                <w:szCs w:val="20"/>
                <w:lang w:val="bg-BG" w:eastAsia="bg-BG"/>
              </w:rPr>
            </w:pPr>
            <w:r w:rsidRPr="005376E6">
              <w:rPr>
                <w:rFonts w:ascii="Arial Narrow" w:hAnsi="Arial Narrow" w:cs="Calibri"/>
                <w:color w:val="000000"/>
                <w:sz w:val="20"/>
                <w:szCs w:val="20"/>
                <w:lang w:val="bg-BG" w:eastAsia="bg-BG"/>
              </w:rPr>
              <w:t>4 629</w:t>
            </w:r>
          </w:p>
        </w:tc>
        <w:tc>
          <w:tcPr>
            <w:tcW w:w="471" w:type="pct"/>
            <w:tcBorders>
              <w:top w:val="nil"/>
              <w:left w:val="nil"/>
              <w:bottom w:val="single" w:sz="4" w:space="0" w:color="auto"/>
              <w:right w:val="single" w:sz="4" w:space="0" w:color="auto"/>
            </w:tcBorders>
            <w:shd w:val="clear" w:color="000000" w:fill="FFFFFF"/>
            <w:noWrap/>
            <w:vAlign w:val="center"/>
          </w:tcPr>
          <w:p w14:paraId="77F7DBF7" w14:textId="77777777" w:rsidR="005376E6" w:rsidRPr="005376E6" w:rsidRDefault="005376E6" w:rsidP="005376E6">
            <w:pPr>
              <w:jc w:val="right"/>
              <w:rPr>
                <w:rFonts w:ascii="Arial Narrow" w:hAnsi="Arial Narrow" w:cs="Calibri"/>
                <w:color w:val="000000"/>
                <w:sz w:val="20"/>
                <w:szCs w:val="20"/>
                <w:lang w:val="bg-BG" w:eastAsia="bg-BG"/>
              </w:rPr>
            </w:pPr>
            <w:r w:rsidRPr="005376E6">
              <w:rPr>
                <w:rFonts w:ascii="Arial Narrow" w:hAnsi="Arial Narrow" w:cs="Calibri"/>
                <w:color w:val="000000"/>
                <w:sz w:val="20"/>
                <w:szCs w:val="20"/>
                <w:lang w:val="bg-BG" w:eastAsia="bg-BG"/>
              </w:rPr>
              <w:t>46 192</w:t>
            </w:r>
          </w:p>
        </w:tc>
        <w:tc>
          <w:tcPr>
            <w:tcW w:w="471" w:type="pct"/>
            <w:tcBorders>
              <w:top w:val="nil"/>
              <w:left w:val="nil"/>
              <w:bottom w:val="single" w:sz="4" w:space="0" w:color="auto"/>
              <w:right w:val="single" w:sz="4" w:space="0" w:color="auto"/>
            </w:tcBorders>
            <w:shd w:val="clear" w:color="000000" w:fill="FFFFFF"/>
            <w:noWrap/>
            <w:vAlign w:val="center"/>
          </w:tcPr>
          <w:p w14:paraId="7ABE7C73" w14:textId="77777777" w:rsidR="005376E6" w:rsidRPr="005376E6" w:rsidRDefault="005376E6" w:rsidP="005376E6">
            <w:pPr>
              <w:jc w:val="right"/>
              <w:rPr>
                <w:rFonts w:ascii="Arial Narrow" w:hAnsi="Arial Narrow" w:cs="Calibri"/>
                <w:color w:val="000000"/>
                <w:sz w:val="20"/>
                <w:szCs w:val="20"/>
                <w:lang w:val="bg-BG" w:eastAsia="bg-BG"/>
              </w:rPr>
            </w:pPr>
            <w:r w:rsidRPr="005376E6">
              <w:rPr>
                <w:rFonts w:ascii="Arial Narrow" w:hAnsi="Arial Narrow" w:cs="Calibri"/>
                <w:color w:val="000000"/>
                <w:sz w:val="20"/>
                <w:szCs w:val="20"/>
                <w:lang w:val="bg-BG" w:eastAsia="bg-BG"/>
              </w:rPr>
              <w:t>80 133</w:t>
            </w:r>
          </w:p>
        </w:tc>
        <w:tc>
          <w:tcPr>
            <w:tcW w:w="476" w:type="pct"/>
            <w:tcBorders>
              <w:top w:val="nil"/>
              <w:left w:val="nil"/>
              <w:bottom w:val="single" w:sz="4" w:space="0" w:color="auto"/>
              <w:right w:val="single" w:sz="4" w:space="0" w:color="auto"/>
            </w:tcBorders>
            <w:shd w:val="clear" w:color="000000" w:fill="FFFFFF"/>
            <w:noWrap/>
            <w:vAlign w:val="center"/>
          </w:tcPr>
          <w:p w14:paraId="78B9535E" w14:textId="77777777" w:rsidR="005376E6" w:rsidRPr="005376E6" w:rsidRDefault="005376E6" w:rsidP="005376E6">
            <w:pPr>
              <w:jc w:val="right"/>
              <w:rPr>
                <w:rFonts w:ascii="Arial Narrow" w:hAnsi="Arial Narrow" w:cs="Calibri"/>
                <w:color w:val="000000"/>
                <w:sz w:val="20"/>
                <w:szCs w:val="20"/>
                <w:lang w:val="bg-BG" w:eastAsia="bg-BG"/>
              </w:rPr>
            </w:pPr>
            <w:r w:rsidRPr="005376E6">
              <w:rPr>
                <w:rFonts w:ascii="Arial Narrow" w:hAnsi="Arial Narrow" w:cs="Calibri"/>
                <w:color w:val="000000"/>
                <w:sz w:val="20"/>
                <w:szCs w:val="20"/>
                <w:lang w:val="bg-BG" w:eastAsia="bg-BG"/>
              </w:rPr>
              <w:t>5 386</w:t>
            </w:r>
          </w:p>
        </w:tc>
        <w:tc>
          <w:tcPr>
            <w:tcW w:w="471" w:type="pct"/>
            <w:tcBorders>
              <w:top w:val="nil"/>
              <w:left w:val="nil"/>
              <w:bottom w:val="single" w:sz="4" w:space="0" w:color="auto"/>
              <w:right w:val="single" w:sz="4" w:space="0" w:color="auto"/>
            </w:tcBorders>
            <w:shd w:val="clear" w:color="000000" w:fill="FFFFFF"/>
            <w:noWrap/>
            <w:vAlign w:val="center"/>
          </w:tcPr>
          <w:p w14:paraId="78C02645" w14:textId="77777777" w:rsidR="005376E6" w:rsidRPr="005376E6" w:rsidRDefault="005376E6" w:rsidP="005376E6">
            <w:pPr>
              <w:jc w:val="right"/>
              <w:rPr>
                <w:rFonts w:ascii="Arial Narrow" w:hAnsi="Arial Narrow" w:cs="Calibri"/>
                <w:color w:val="000000"/>
                <w:sz w:val="20"/>
                <w:szCs w:val="20"/>
                <w:lang w:val="bg-BG" w:eastAsia="bg-BG"/>
              </w:rPr>
            </w:pPr>
            <w:r w:rsidRPr="005376E6">
              <w:rPr>
                <w:rFonts w:ascii="Arial Narrow" w:hAnsi="Arial Narrow" w:cs="Calibri"/>
                <w:color w:val="000000"/>
                <w:sz w:val="20"/>
                <w:szCs w:val="20"/>
                <w:lang w:val="bg-BG" w:eastAsia="bg-BG"/>
              </w:rPr>
              <w:t>56 945</w:t>
            </w:r>
          </w:p>
        </w:tc>
        <w:tc>
          <w:tcPr>
            <w:tcW w:w="471" w:type="pct"/>
            <w:tcBorders>
              <w:top w:val="nil"/>
              <w:left w:val="nil"/>
              <w:bottom w:val="single" w:sz="4" w:space="0" w:color="auto"/>
              <w:right w:val="single" w:sz="4" w:space="0" w:color="auto"/>
            </w:tcBorders>
            <w:shd w:val="clear" w:color="000000" w:fill="FFFFFF"/>
            <w:noWrap/>
            <w:vAlign w:val="center"/>
          </w:tcPr>
          <w:p w14:paraId="7E891F45" w14:textId="77777777" w:rsidR="005376E6" w:rsidRPr="005376E6" w:rsidRDefault="005376E6" w:rsidP="005376E6">
            <w:pPr>
              <w:jc w:val="right"/>
              <w:rPr>
                <w:rFonts w:ascii="Arial Narrow" w:hAnsi="Arial Narrow" w:cs="Calibri"/>
                <w:color w:val="000000"/>
                <w:sz w:val="20"/>
                <w:szCs w:val="20"/>
                <w:lang w:val="bg-BG" w:eastAsia="bg-BG"/>
              </w:rPr>
            </w:pPr>
            <w:r w:rsidRPr="005376E6">
              <w:rPr>
                <w:rFonts w:ascii="Arial Narrow" w:hAnsi="Arial Narrow" w:cs="Calibri"/>
                <w:color w:val="000000"/>
                <w:sz w:val="20"/>
                <w:szCs w:val="20"/>
                <w:lang w:val="bg-BG" w:eastAsia="bg-BG"/>
              </w:rPr>
              <w:t>112 577</w:t>
            </w:r>
          </w:p>
        </w:tc>
        <w:tc>
          <w:tcPr>
            <w:tcW w:w="474" w:type="pct"/>
            <w:tcBorders>
              <w:top w:val="nil"/>
              <w:left w:val="nil"/>
              <w:bottom w:val="single" w:sz="4" w:space="0" w:color="auto"/>
              <w:right w:val="single" w:sz="4" w:space="0" w:color="auto"/>
            </w:tcBorders>
            <w:shd w:val="clear" w:color="000000" w:fill="FFFFFF"/>
            <w:noWrap/>
            <w:vAlign w:val="center"/>
          </w:tcPr>
          <w:p w14:paraId="6D81A428" w14:textId="77777777" w:rsidR="005376E6" w:rsidRPr="005376E6" w:rsidRDefault="005376E6" w:rsidP="005376E6">
            <w:pPr>
              <w:jc w:val="right"/>
              <w:rPr>
                <w:rFonts w:ascii="Arial Narrow" w:hAnsi="Arial Narrow" w:cs="Calibri"/>
                <w:color w:val="000000"/>
                <w:sz w:val="20"/>
                <w:szCs w:val="20"/>
                <w:lang w:val="bg-BG" w:eastAsia="bg-BG"/>
              </w:rPr>
            </w:pPr>
            <w:r w:rsidRPr="005376E6">
              <w:rPr>
                <w:rFonts w:ascii="Arial Narrow" w:hAnsi="Arial Narrow" w:cs="Calibri"/>
                <w:color w:val="000000"/>
                <w:sz w:val="20"/>
                <w:szCs w:val="20"/>
                <w:lang w:val="bg-BG" w:eastAsia="bg-BG"/>
              </w:rPr>
              <w:t>8 300</w:t>
            </w:r>
          </w:p>
        </w:tc>
      </w:tr>
      <w:tr w:rsidR="005376E6" w:rsidRPr="005376E6" w14:paraId="61D9318C" w14:textId="77777777" w:rsidTr="00305E62">
        <w:trPr>
          <w:trHeight w:val="290"/>
        </w:trPr>
        <w:tc>
          <w:tcPr>
            <w:tcW w:w="749" w:type="pct"/>
            <w:tcBorders>
              <w:top w:val="nil"/>
              <w:left w:val="single" w:sz="4" w:space="0" w:color="auto"/>
              <w:bottom w:val="single" w:sz="4" w:space="0" w:color="auto"/>
              <w:right w:val="single" w:sz="4" w:space="0" w:color="auto"/>
            </w:tcBorders>
            <w:shd w:val="clear" w:color="000000" w:fill="FFFFFF"/>
            <w:vAlign w:val="center"/>
            <w:hideMark/>
          </w:tcPr>
          <w:p w14:paraId="4E481790" w14:textId="77777777" w:rsidR="005376E6" w:rsidRPr="005376E6" w:rsidRDefault="005376E6" w:rsidP="005376E6">
            <w:pPr>
              <w:rPr>
                <w:rFonts w:ascii="Arial Narrow" w:hAnsi="Arial Narrow" w:cs="Calibri"/>
                <w:color w:val="000000"/>
                <w:sz w:val="20"/>
                <w:szCs w:val="20"/>
                <w:lang w:val="bg-BG" w:eastAsia="bg-BG"/>
              </w:rPr>
            </w:pPr>
            <w:r w:rsidRPr="005376E6">
              <w:rPr>
                <w:rFonts w:ascii="Arial Narrow" w:hAnsi="Arial Narrow" w:cs="Calibri"/>
                <w:color w:val="000000"/>
                <w:sz w:val="20"/>
                <w:szCs w:val="20"/>
                <w:lang w:val="bg-BG" w:eastAsia="bg-BG"/>
              </w:rPr>
              <w:t>Струма-Места</w:t>
            </w:r>
          </w:p>
        </w:tc>
        <w:tc>
          <w:tcPr>
            <w:tcW w:w="471" w:type="pct"/>
            <w:tcBorders>
              <w:top w:val="nil"/>
              <w:left w:val="nil"/>
              <w:bottom w:val="single" w:sz="4" w:space="0" w:color="auto"/>
              <w:right w:val="single" w:sz="4" w:space="0" w:color="auto"/>
            </w:tcBorders>
            <w:shd w:val="clear" w:color="000000" w:fill="FFFFFF"/>
            <w:noWrap/>
            <w:vAlign w:val="center"/>
          </w:tcPr>
          <w:p w14:paraId="3EBCCB7A" w14:textId="77777777" w:rsidR="005376E6" w:rsidRPr="005376E6" w:rsidRDefault="005376E6" w:rsidP="005376E6">
            <w:pPr>
              <w:jc w:val="right"/>
              <w:rPr>
                <w:rFonts w:ascii="Arial Narrow" w:hAnsi="Arial Narrow" w:cs="Calibri"/>
                <w:color w:val="000000"/>
                <w:sz w:val="20"/>
                <w:szCs w:val="20"/>
                <w:lang w:val="bg-BG" w:eastAsia="bg-BG"/>
              </w:rPr>
            </w:pPr>
            <w:r w:rsidRPr="005376E6">
              <w:rPr>
                <w:rFonts w:ascii="Arial Narrow" w:hAnsi="Arial Narrow" w:cs="Calibri"/>
                <w:color w:val="000000"/>
                <w:sz w:val="20"/>
                <w:szCs w:val="20"/>
                <w:lang w:val="bg-BG" w:eastAsia="bg-BG"/>
              </w:rPr>
              <w:t>9 024</w:t>
            </w:r>
          </w:p>
        </w:tc>
        <w:tc>
          <w:tcPr>
            <w:tcW w:w="471" w:type="pct"/>
            <w:tcBorders>
              <w:top w:val="nil"/>
              <w:left w:val="nil"/>
              <w:bottom w:val="single" w:sz="4" w:space="0" w:color="auto"/>
              <w:right w:val="single" w:sz="4" w:space="0" w:color="auto"/>
            </w:tcBorders>
            <w:shd w:val="clear" w:color="000000" w:fill="FFFFFF"/>
            <w:noWrap/>
            <w:vAlign w:val="center"/>
          </w:tcPr>
          <w:p w14:paraId="6BD6CAD4" w14:textId="77777777" w:rsidR="005376E6" w:rsidRPr="005376E6" w:rsidRDefault="005376E6" w:rsidP="005376E6">
            <w:pPr>
              <w:jc w:val="right"/>
              <w:rPr>
                <w:rFonts w:ascii="Arial Narrow" w:hAnsi="Arial Narrow" w:cs="Calibri"/>
                <w:color w:val="000000"/>
                <w:sz w:val="20"/>
                <w:szCs w:val="20"/>
                <w:lang w:val="bg-BG" w:eastAsia="bg-BG"/>
              </w:rPr>
            </w:pPr>
            <w:r w:rsidRPr="005376E6">
              <w:rPr>
                <w:rFonts w:ascii="Arial Narrow" w:hAnsi="Arial Narrow" w:cs="Calibri"/>
                <w:color w:val="000000"/>
                <w:sz w:val="20"/>
                <w:szCs w:val="20"/>
                <w:lang w:val="bg-BG" w:eastAsia="bg-BG"/>
              </w:rPr>
              <w:t>22 157</w:t>
            </w:r>
          </w:p>
        </w:tc>
        <w:tc>
          <w:tcPr>
            <w:tcW w:w="476" w:type="pct"/>
            <w:tcBorders>
              <w:top w:val="nil"/>
              <w:left w:val="nil"/>
              <w:bottom w:val="single" w:sz="4" w:space="0" w:color="auto"/>
              <w:right w:val="single" w:sz="4" w:space="0" w:color="auto"/>
            </w:tcBorders>
            <w:shd w:val="clear" w:color="000000" w:fill="FFFFFF"/>
            <w:noWrap/>
            <w:vAlign w:val="center"/>
          </w:tcPr>
          <w:p w14:paraId="2A301A1B" w14:textId="77777777" w:rsidR="005376E6" w:rsidRPr="005376E6" w:rsidRDefault="005376E6" w:rsidP="005376E6">
            <w:pPr>
              <w:jc w:val="right"/>
              <w:rPr>
                <w:rFonts w:ascii="Arial Narrow" w:hAnsi="Arial Narrow" w:cs="Calibri"/>
                <w:color w:val="000000"/>
                <w:sz w:val="20"/>
                <w:szCs w:val="20"/>
                <w:lang w:val="bg-BG" w:eastAsia="bg-BG"/>
              </w:rPr>
            </w:pPr>
            <w:r w:rsidRPr="005376E6">
              <w:rPr>
                <w:rFonts w:ascii="Arial Narrow" w:hAnsi="Arial Narrow" w:cs="Calibri"/>
                <w:color w:val="000000"/>
                <w:sz w:val="20"/>
                <w:szCs w:val="20"/>
                <w:lang w:val="bg-BG" w:eastAsia="bg-BG"/>
              </w:rPr>
              <w:t>1 469</w:t>
            </w:r>
          </w:p>
        </w:tc>
        <w:tc>
          <w:tcPr>
            <w:tcW w:w="471" w:type="pct"/>
            <w:tcBorders>
              <w:top w:val="nil"/>
              <w:left w:val="nil"/>
              <w:bottom w:val="single" w:sz="4" w:space="0" w:color="auto"/>
              <w:right w:val="single" w:sz="4" w:space="0" w:color="auto"/>
            </w:tcBorders>
            <w:shd w:val="clear" w:color="000000" w:fill="FFFFFF"/>
            <w:noWrap/>
            <w:vAlign w:val="center"/>
          </w:tcPr>
          <w:p w14:paraId="126657A7" w14:textId="77777777" w:rsidR="005376E6" w:rsidRPr="005376E6" w:rsidRDefault="005376E6" w:rsidP="005376E6">
            <w:pPr>
              <w:jc w:val="right"/>
              <w:rPr>
                <w:rFonts w:ascii="Arial Narrow" w:hAnsi="Arial Narrow" w:cs="Calibri"/>
                <w:color w:val="000000"/>
                <w:sz w:val="20"/>
                <w:szCs w:val="20"/>
                <w:lang w:val="bg-BG" w:eastAsia="bg-BG"/>
              </w:rPr>
            </w:pPr>
            <w:r w:rsidRPr="005376E6">
              <w:rPr>
                <w:rFonts w:ascii="Arial Narrow" w:hAnsi="Arial Narrow" w:cs="Calibri"/>
                <w:color w:val="000000"/>
                <w:sz w:val="20"/>
                <w:szCs w:val="20"/>
                <w:lang w:val="bg-BG" w:eastAsia="bg-BG"/>
              </w:rPr>
              <w:t>9 661</w:t>
            </w:r>
          </w:p>
        </w:tc>
        <w:tc>
          <w:tcPr>
            <w:tcW w:w="471" w:type="pct"/>
            <w:tcBorders>
              <w:top w:val="nil"/>
              <w:left w:val="nil"/>
              <w:bottom w:val="single" w:sz="4" w:space="0" w:color="auto"/>
              <w:right w:val="single" w:sz="4" w:space="0" w:color="auto"/>
            </w:tcBorders>
            <w:shd w:val="clear" w:color="000000" w:fill="FFFFFF"/>
            <w:noWrap/>
            <w:vAlign w:val="center"/>
          </w:tcPr>
          <w:p w14:paraId="7B3D4CF9" w14:textId="77777777" w:rsidR="005376E6" w:rsidRPr="005376E6" w:rsidRDefault="005376E6" w:rsidP="005376E6">
            <w:pPr>
              <w:jc w:val="right"/>
              <w:rPr>
                <w:rFonts w:ascii="Arial Narrow" w:hAnsi="Arial Narrow" w:cs="Calibri"/>
                <w:color w:val="000000"/>
                <w:sz w:val="20"/>
                <w:szCs w:val="20"/>
                <w:lang w:val="bg-BG" w:eastAsia="bg-BG"/>
              </w:rPr>
            </w:pPr>
            <w:r w:rsidRPr="005376E6">
              <w:rPr>
                <w:rFonts w:ascii="Arial Narrow" w:hAnsi="Arial Narrow" w:cs="Calibri"/>
                <w:color w:val="000000"/>
                <w:sz w:val="20"/>
                <w:szCs w:val="20"/>
                <w:lang w:val="bg-BG" w:eastAsia="bg-BG"/>
              </w:rPr>
              <w:t>22 509</w:t>
            </w:r>
          </w:p>
        </w:tc>
        <w:tc>
          <w:tcPr>
            <w:tcW w:w="476" w:type="pct"/>
            <w:tcBorders>
              <w:top w:val="nil"/>
              <w:left w:val="nil"/>
              <w:bottom w:val="single" w:sz="4" w:space="0" w:color="auto"/>
              <w:right w:val="single" w:sz="4" w:space="0" w:color="auto"/>
            </w:tcBorders>
            <w:shd w:val="clear" w:color="000000" w:fill="FFFFFF"/>
            <w:noWrap/>
            <w:vAlign w:val="center"/>
          </w:tcPr>
          <w:p w14:paraId="79BEEC35" w14:textId="77777777" w:rsidR="005376E6" w:rsidRPr="005376E6" w:rsidRDefault="005376E6" w:rsidP="005376E6">
            <w:pPr>
              <w:jc w:val="right"/>
              <w:rPr>
                <w:rFonts w:ascii="Arial Narrow" w:hAnsi="Arial Narrow" w:cs="Calibri"/>
                <w:color w:val="000000"/>
                <w:sz w:val="20"/>
                <w:szCs w:val="20"/>
                <w:lang w:val="bg-BG" w:eastAsia="bg-BG"/>
              </w:rPr>
            </w:pPr>
            <w:r w:rsidRPr="005376E6">
              <w:rPr>
                <w:rFonts w:ascii="Arial Narrow" w:hAnsi="Arial Narrow" w:cs="Calibri"/>
                <w:color w:val="000000"/>
                <w:sz w:val="20"/>
                <w:szCs w:val="20"/>
                <w:lang w:val="bg-BG" w:eastAsia="bg-BG"/>
              </w:rPr>
              <w:t>1 543</w:t>
            </w:r>
          </w:p>
        </w:tc>
        <w:tc>
          <w:tcPr>
            <w:tcW w:w="471" w:type="pct"/>
            <w:tcBorders>
              <w:top w:val="nil"/>
              <w:left w:val="nil"/>
              <w:bottom w:val="single" w:sz="4" w:space="0" w:color="auto"/>
              <w:right w:val="single" w:sz="4" w:space="0" w:color="auto"/>
            </w:tcBorders>
            <w:shd w:val="clear" w:color="000000" w:fill="FFFFFF"/>
            <w:noWrap/>
            <w:vAlign w:val="center"/>
          </w:tcPr>
          <w:p w14:paraId="2C78A1EB" w14:textId="77777777" w:rsidR="005376E6" w:rsidRPr="005376E6" w:rsidRDefault="005376E6" w:rsidP="005376E6">
            <w:pPr>
              <w:jc w:val="right"/>
              <w:rPr>
                <w:rFonts w:ascii="Arial Narrow" w:hAnsi="Arial Narrow" w:cs="Calibri"/>
                <w:color w:val="000000"/>
                <w:sz w:val="20"/>
                <w:szCs w:val="20"/>
                <w:lang w:val="bg-BG" w:eastAsia="bg-BG"/>
              </w:rPr>
            </w:pPr>
            <w:r w:rsidRPr="005376E6">
              <w:rPr>
                <w:rFonts w:ascii="Arial Narrow" w:hAnsi="Arial Narrow" w:cs="Calibri"/>
                <w:color w:val="000000"/>
                <w:sz w:val="20"/>
                <w:szCs w:val="20"/>
                <w:lang w:val="bg-BG" w:eastAsia="bg-BG"/>
              </w:rPr>
              <w:t>12 343</w:t>
            </w:r>
          </w:p>
        </w:tc>
        <w:tc>
          <w:tcPr>
            <w:tcW w:w="471" w:type="pct"/>
            <w:tcBorders>
              <w:top w:val="nil"/>
              <w:left w:val="nil"/>
              <w:bottom w:val="single" w:sz="4" w:space="0" w:color="auto"/>
              <w:right w:val="single" w:sz="4" w:space="0" w:color="auto"/>
            </w:tcBorders>
            <w:shd w:val="clear" w:color="000000" w:fill="FFFFFF"/>
            <w:noWrap/>
            <w:vAlign w:val="center"/>
          </w:tcPr>
          <w:p w14:paraId="2AE8872B" w14:textId="77777777" w:rsidR="005376E6" w:rsidRPr="005376E6" w:rsidRDefault="005376E6" w:rsidP="005376E6">
            <w:pPr>
              <w:jc w:val="right"/>
              <w:rPr>
                <w:rFonts w:ascii="Arial Narrow" w:hAnsi="Arial Narrow" w:cs="Calibri"/>
                <w:color w:val="000000"/>
                <w:sz w:val="20"/>
                <w:szCs w:val="20"/>
                <w:lang w:val="bg-BG" w:eastAsia="bg-BG"/>
              </w:rPr>
            </w:pPr>
            <w:r w:rsidRPr="005376E6">
              <w:rPr>
                <w:rFonts w:ascii="Arial Narrow" w:hAnsi="Arial Narrow" w:cs="Calibri"/>
                <w:color w:val="000000"/>
                <w:sz w:val="20"/>
                <w:szCs w:val="20"/>
                <w:lang w:val="bg-BG" w:eastAsia="bg-BG"/>
              </w:rPr>
              <w:t>36 777</w:t>
            </w:r>
          </w:p>
        </w:tc>
        <w:tc>
          <w:tcPr>
            <w:tcW w:w="474" w:type="pct"/>
            <w:tcBorders>
              <w:top w:val="nil"/>
              <w:left w:val="nil"/>
              <w:bottom w:val="single" w:sz="4" w:space="0" w:color="auto"/>
              <w:right w:val="single" w:sz="4" w:space="0" w:color="auto"/>
            </w:tcBorders>
            <w:shd w:val="clear" w:color="000000" w:fill="FFFFFF"/>
            <w:noWrap/>
            <w:vAlign w:val="center"/>
          </w:tcPr>
          <w:p w14:paraId="35964B72" w14:textId="77777777" w:rsidR="005376E6" w:rsidRPr="005376E6" w:rsidRDefault="005376E6" w:rsidP="005376E6">
            <w:pPr>
              <w:jc w:val="right"/>
              <w:rPr>
                <w:rFonts w:ascii="Arial Narrow" w:hAnsi="Arial Narrow" w:cs="Calibri"/>
                <w:color w:val="000000"/>
                <w:sz w:val="20"/>
                <w:szCs w:val="20"/>
                <w:lang w:val="bg-BG" w:eastAsia="bg-BG"/>
              </w:rPr>
            </w:pPr>
            <w:r w:rsidRPr="005376E6">
              <w:rPr>
                <w:rFonts w:ascii="Arial Narrow" w:hAnsi="Arial Narrow" w:cs="Calibri"/>
                <w:color w:val="000000"/>
                <w:sz w:val="20"/>
                <w:szCs w:val="20"/>
                <w:lang w:val="bg-BG" w:eastAsia="bg-BG"/>
              </w:rPr>
              <w:t>2 562</w:t>
            </w:r>
          </w:p>
        </w:tc>
      </w:tr>
      <w:tr w:rsidR="005376E6" w:rsidRPr="005376E6" w14:paraId="34B03FB5" w14:textId="77777777" w:rsidTr="00305E62">
        <w:trPr>
          <w:trHeight w:val="290"/>
        </w:trPr>
        <w:tc>
          <w:tcPr>
            <w:tcW w:w="749" w:type="pct"/>
            <w:tcBorders>
              <w:top w:val="nil"/>
              <w:left w:val="single" w:sz="4" w:space="0" w:color="auto"/>
              <w:bottom w:val="single" w:sz="4" w:space="0" w:color="auto"/>
              <w:right w:val="single" w:sz="4" w:space="0" w:color="auto"/>
            </w:tcBorders>
            <w:shd w:val="clear" w:color="000000" w:fill="FFFFFF"/>
            <w:noWrap/>
            <w:vAlign w:val="center"/>
            <w:hideMark/>
          </w:tcPr>
          <w:p w14:paraId="644EBF98" w14:textId="77777777" w:rsidR="005376E6" w:rsidRPr="005376E6" w:rsidRDefault="005376E6" w:rsidP="005376E6">
            <w:pPr>
              <w:rPr>
                <w:rFonts w:ascii="Arial Narrow" w:hAnsi="Arial Narrow" w:cs="Calibri"/>
                <w:color w:val="000000"/>
                <w:sz w:val="20"/>
                <w:szCs w:val="20"/>
                <w:lang w:val="bg-BG" w:eastAsia="bg-BG"/>
              </w:rPr>
            </w:pPr>
            <w:r w:rsidRPr="005376E6">
              <w:rPr>
                <w:rFonts w:ascii="Arial Narrow" w:hAnsi="Arial Narrow" w:cs="Calibri"/>
                <w:color w:val="000000"/>
                <w:sz w:val="20"/>
                <w:szCs w:val="20"/>
                <w:lang w:val="bg-BG" w:eastAsia="bg-BG"/>
              </w:rPr>
              <w:t>Тополница</w:t>
            </w:r>
          </w:p>
        </w:tc>
        <w:tc>
          <w:tcPr>
            <w:tcW w:w="471" w:type="pct"/>
            <w:tcBorders>
              <w:top w:val="nil"/>
              <w:left w:val="nil"/>
              <w:bottom w:val="single" w:sz="4" w:space="0" w:color="auto"/>
              <w:right w:val="single" w:sz="4" w:space="0" w:color="auto"/>
            </w:tcBorders>
            <w:shd w:val="clear" w:color="000000" w:fill="FFFFFF"/>
            <w:noWrap/>
            <w:vAlign w:val="center"/>
          </w:tcPr>
          <w:p w14:paraId="3C190E19" w14:textId="77777777" w:rsidR="005376E6" w:rsidRPr="005376E6" w:rsidRDefault="005376E6" w:rsidP="005376E6">
            <w:pPr>
              <w:jc w:val="right"/>
              <w:rPr>
                <w:rFonts w:ascii="Arial Narrow" w:hAnsi="Arial Narrow" w:cs="Calibri"/>
                <w:color w:val="000000"/>
                <w:sz w:val="20"/>
                <w:szCs w:val="20"/>
                <w:lang w:val="bg-BG" w:eastAsia="bg-BG"/>
              </w:rPr>
            </w:pPr>
            <w:r w:rsidRPr="005376E6">
              <w:rPr>
                <w:rFonts w:ascii="Arial Narrow" w:hAnsi="Arial Narrow" w:cs="Calibri"/>
                <w:color w:val="000000"/>
                <w:sz w:val="20"/>
                <w:szCs w:val="20"/>
                <w:lang w:val="bg-BG" w:eastAsia="bg-BG"/>
              </w:rPr>
              <w:t>62 958</w:t>
            </w:r>
          </w:p>
        </w:tc>
        <w:tc>
          <w:tcPr>
            <w:tcW w:w="471" w:type="pct"/>
            <w:tcBorders>
              <w:top w:val="nil"/>
              <w:left w:val="nil"/>
              <w:bottom w:val="single" w:sz="4" w:space="0" w:color="auto"/>
              <w:right w:val="single" w:sz="4" w:space="0" w:color="auto"/>
            </w:tcBorders>
            <w:shd w:val="clear" w:color="000000" w:fill="FFFFFF"/>
            <w:noWrap/>
            <w:vAlign w:val="center"/>
          </w:tcPr>
          <w:p w14:paraId="283EB3CB" w14:textId="77777777" w:rsidR="005376E6" w:rsidRPr="005376E6" w:rsidRDefault="005376E6" w:rsidP="005376E6">
            <w:pPr>
              <w:jc w:val="right"/>
              <w:rPr>
                <w:rFonts w:ascii="Arial Narrow" w:hAnsi="Arial Narrow" w:cs="Calibri"/>
                <w:color w:val="000000"/>
                <w:sz w:val="20"/>
                <w:szCs w:val="20"/>
                <w:lang w:val="bg-BG" w:eastAsia="bg-BG"/>
              </w:rPr>
            </w:pPr>
            <w:r w:rsidRPr="005376E6">
              <w:rPr>
                <w:rFonts w:ascii="Arial Narrow" w:hAnsi="Arial Narrow" w:cs="Calibri"/>
                <w:color w:val="000000"/>
                <w:sz w:val="20"/>
                <w:szCs w:val="20"/>
                <w:lang w:val="bg-BG" w:eastAsia="bg-BG"/>
              </w:rPr>
              <w:t>88 363</w:t>
            </w:r>
          </w:p>
        </w:tc>
        <w:tc>
          <w:tcPr>
            <w:tcW w:w="476" w:type="pct"/>
            <w:tcBorders>
              <w:top w:val="nil"/>
              <w:left w:val="nil"/>
              <w:bottom w:val="single" w:sz="4" w:space="0" w:color="auto"/>
              <w:right w:val="single" w:sz="4" w:space="0" w:color="auto"/>
            </w:tcBorders>
            <w:shd w:val="clear" w:color="000000" w:fill="FFFFFF"/>
            <w:noWrap/>
            <w:vAlign w:val="center"/>
          </w:tcPr>
          <w:p w14:paraId="08843D01" w14:textId="77777777" w:rsidR="005376E6" w:rsidRPr="005376E6" w:rsidRDefault="005376E6" w:rsidP="005376E6">
            <w:pPr>
              <w:jc w:val="right"/>
              <w:rPr>
                <w:rFonts w:ascii="Arial Narrow" w:hAnsi="Arial Narrow" w:cs="Calibri"/>
                <w:color w:val="000000"/>
                <w:sz w:val="20"/>
                <w:szCs w:val="20"/>
                <w:lang w:val="bg-BG" w:eastAsia="bg-BG"/>
              </w:rPr>
            </w:pPr>
            <w:r w:rsidRPr="005376E6">
              <w:rPr>
                <w:rFonts w:ascii="Arial Narrow" w:hAnsi="Arial Narrow" w:cs="Calibri"/>
                <w:color w:val="000000"/>
                <w:sz w:val="20"/>
                <w:szCs w:val="20"/>
                <w:lang w:val="bg-BG" w:eastAsia="bg-BG"/>
              </w:rPr>
              <w:t>88 283</w:t>
            </w:r>
          </w:p>
        </w:tc>
        <w:tc>
          <w:tcPr>
            <w:tcW w:w="471" w:type="pct"/>
            <w:tcBorders>
              <w:top w:val="nil"/>
              <w:left w:val="nil"/>
              <w:bottom w:val="single" w:sz="4" w:space="0" w:color="auto"/>
              <w:right w:val="single" w:sz="4" w:space="0" w:color="auto"/>
            </w:tcBorders>
            <w:shd w:val="clear" w:color="000000" w:fill="FFFFFF"/>
            <w:noWrap/>
            <w:vAlign w:val="center"/>
          </w:tcPr>
          <w:p w14:paraId="54250310" w14:textId="77777777" w:rsidR="005376E6" w:rsidRPr="005376E6" w:rsidRDefault="005376E6" w:rsidP="005376E6">
            <w:pPr>
              <w:jc w:val="right"/>
              <w:rPr>
                <w:rFonts w:ascii="Arial Narrow" w:hAnsi="Arial Narrow" w:cs="Calibri"/>
                <w:color w:val="000000"/>
                <w:sz w:val="20"/>
                <w:szCs w:val="20"/>
                <w:lang w:val="bg-BG" w:eastAsia="bg-BG"/>
              </w:rPr>
            </w:pPr>
            <w:r w:rsidRPr="005376E6">
              <w:rPr>
                <w:rFonts w:ascii="Arial Narrow" w:hAnsi="Arial Narrow" w:cs="Calibri"/>
                <w:color w:val="000000"/>
                <w:sz w:val="20"/>
                <w:szCs w:val="20"/>
                <w:lang w:val="bg-BG" w:eastAsia="bg-BG"/>
              </w:rPr>
              <w:t>67 269</w:t>
            </w:r>
          </w:p>
        </w:tc>
        <w:tc>
          <w:tcPr>
            <w:tcW w:w="471" w:type="pct"/>
            <w:tcBorders>
              <w:top w:val="nil"/>
              <w:left w:val="nil"/>
              <w:bottom w:val="single" w:sz="4" w:space="0" w:color="auto"/>
              <w:right w:val="single" w:sz="4" w:space="0" w:color="auto"/>
            </w:tcBorders>
            <w:shd w:val="clear" w:color="000000" w:fill="FFFFFF"/>
            <w:noWrap/>
            <w:vAlign w:val="center"/>
          </w:tcPr>
          <w:p w14:paraId="2AF36364" w14:textId="77777777" w:rsidR="005376E6" w:rsidRPr="005376E6" w:rsidRDefault="005376E6" w:rsidP="005376E6">
            <w:pPr>
              <w:jc w:val="right"/>
              <w:rPr>
                <w:rFonts w:ascii="Arial Narrow" w:hAnsi="Arial Narrow" w:cs="Calibri"/>
                <w:color w:val="000000"/>
                <w:sz w:val="20"/>
                <w:szCs w:val="20"/>
                <w:lang w:val="bg-BG" w:eastAsia="bg-BG"/>
              </w:rPr>
            </w:pPr>
            <w:r w:rsidRPr="005376E6">
              <w:rPr>
                <w:rFonts w:ascii="Arial Narrow" w:hAnsi="Arial Narrow" w:cs="Calibri"/>
                <w:color w:val="000000"/>
                <w:sz w:val="20"/>
                <w:szCs w:val="20"/>
                <w:lang w:val="bg-BG" w:eastAsia="bg-BG"/>
              </w:rPr>
              <w:t>95 684</w:t>
            </w:r>
          </w:p>
        </w:tc>
        <w:tc>
          <w:tcPr>
            <w:tcW w:w="476" w:type="pct"/>
            <w:tcBorders>
              <w:top w:val="nil"/>
              <w:left w:val="nil"/>
              <w:bottom w:val="single" w:sz="4" w:space="0" w:color="auto"/>
              <w:right w:val="single" w:sz="4" w:space="0" w:color="auto"/>
            </w:tcBorders>
            <w:shd w:val="clear" w:color="000000" w:fill="FFFFFF"/>
            <w:noWrap/>
            <w:vAlign w:val="center"/>
          </w:tcPr>
          <w:p w14:paraId="5638C05A" w14:textId="77777777" w:rsidR="005376E6" w:rsidRPr="005376E6" w:rsidRDefault="005376E6" w:rsidP="005376E6">
            <w:pPr>
              <w:jc w:val="right"/>
              <w:rPr>
                <w:rFonts w:ascii="Arial Narrow" w:hAnsi="Arial Narrow" w:cs="Calibri"/>
                <w:color w:val="000000"/>
                <w:sz w:val="20"/>
                <w:szCs w:val="20"/>
                <w:lang w:val="bg-BG" w:eastAsia="bg-BG"/>
              </w:rPr>
            </w:pPr>
            <w:r w:rsidRPr="005376E6">
              <w:rPr>
                <w:rFonts w:ascii="Arial Narrow" w:hAnsi="Arial Narrow" w:cs="Calibri"/>
                <w:color w:val="000000"/>
                <w:sz w:val="20"/>
                <w:szCs w:val="20"/>
                <w:lang w:val="bg-BG" w:eastAsia="bg-BG"/>
              </w:rPr>
              <w:t>88 672</w:t>
            </w:r>
          </w:p>
        </w:tc>
        <w:tc>
          <w:tcPr>
            <w:tcW w:w="471" w:type="pct"/>
            <w:tcBorders>
              <w:top w:val="nil"/>
              <w:left w:val="nil"/>
              <w:bottom w:val="single" w:sz="4" w:space="0" w:color="auto"/>
              <w:right w:val="single" w:sz="4" w:space="0" w:color="auto"/>
            </w:tcBorders>
            <w:shd w:val="clear" w:color="000000" w:fill="FFFFFF"/>
            <w:noWrap/>
            <w:vAlign w:val="center"/>
          </w:tcPr>
          <w:p w14:paraId="5A383268" w14:textId="77777777" w:rsidR="005376E6" w:rsidRPr="005376E6" w:rsidRDefault="005376E6" w:rsidP="005376E6">
            <w:pPr>
              <w:jc w:val="right"/>
              <w:rPr>
                <w:rFonts w:ascii="Arial Narrow" w:hAnsi="Arial Narrow" w:cs="Calibri"/>
                <w:color w:val="000000"/>
                <w:sz w:val="20"/>
                <w:szCs w:val="20"/>
                <w:lang w:val="bg-BG" w:eastAsia="bg-BG"/>
              </w:rPr>
            </w:pPr>
            <w:r w:rsidRPr="005376E6">
              <w:rPr>
                <w:rFonts w:ascii="Arial Narrow" w:hAnsi="Arial Narrow" w:cs="Calibri"/>
                <w:color w:val="000000"/>
                <w:sz w:val="20"/>
                <w:szCs w:val="20"/>
                <w:lang w:val="bg-BG" w:eastAsia="bg-BG"/>
              </w:rPr>
              <w:t>71 689</w:t>
            </w:r>
          </w:p>
        </w:tc>
        <w:tc>
          <w:tcPr>
            <w:tcW w:w="471" w:type="pct"/>
            <w:tcBorders>
              <w:top w:val="nil"/>
              <w:left w:val="nil"/>
              <w:bottom w:val="single" w:sz="4" w:space="0" w:color="auto"/>
              <w:right w:val="single" w:sz="4" w:space="0" w:color="auto"/>
            </w:tcBorders>
            <w:shd w:val="clear" w:color="000000" w:fill="FFFFFF"/>
            <w:noWrap/>
            <w:vAlign w:val="center"/>
          </w:tcPr>
          <w:p w14:paraId="38F2A755" w14:textId="77777777" w:rsidR="005376E6" w:rsidRPr="005376E6" w:rsidRDefault="005376E6" w:rsidP="005376E6">
            <w:pPr>
              <w:jc w:val="right"/>
              <w:rPr>
                <w:rFonts w:ascii="Arial Narrow" w:hAnsi="Arial Narrow" w:cs="Calibri"/>
                <w:color w:val="000000"/>
                <w:sz w:val="20"/>
                <w:szCs w:val="20"/>
                <w:lang w:val="bg-BG" w:eastAsia="bg-BG"/>
              </w:rPr>
            </w:pPr>
            <w:r w:rsidRPr="005376E6">
              <w:rPr>
                <w:rFonts w:ascii="Arial Narrow" w:hAnsi="Arial Narrow" w:cs="Calibri"/>
                <w:color w:val="000000"/>
                <w:sz w:val="20"/>
                <w:szCs w:val="20"/>
                <w:lang w:val="bg-BG" w:eastAsia="bg-BG"/>
              </w:rPr>
              <w:t>101 007</w:t>
            </w:r>
          </w:p>
        </w:tc>
        <w:tc>
          <w:tcPr>
            <w:tcW w:w="474" w:type="pct"/>
            <w:tcBorders>
              <w:top w:val="nil"/>
              <w:left w:val="nil"/>
              <w:bottom w:val="single" w:sz="4" w:space="0" w:color="auto"/>
              <w:right w:val="single" w:sz="4" w:space="0" w:color="auto"/>
            </w:tcBorders>
            <w:shd w:val="clear" w:color="000000" w:fill="FFFFFF"/>
            <w:noWrap/>
            <w:vAlign w:val="center"/>
          </w:tcPr>
          <w:p w14:paraId="500A42C4" w14:textId="77777777" w:rsidR="005376E6" w:rsidRPr="005376E6" w:rsidRDefault="005376E6" w:rsidP="005376E6">
            <w:pPr>
              <w:jc w:val="right"/>
              <w:rPr>
                <w:rFonts w:ascii="Arial Narrow" w:hAnsi="Arial Narrow" w:cs="Calibri"/>
                <w:color w:val="000000"/>
                <w:sz w:val="20"/>
                <w:szCs w:val="20"/>
                <w:lang w:val="bg-BG" w:eastAsia="bg-BG"/>
              </w:rPr>
            </w:pPr>
            <w:r w:rsidRPr="005376E6">
              <w:rPr>
                <w:rFonts w:ascii="Arial Narrow" w:hAnsi="Arial Narrow" w:cs="Calibri"/>
                <w:color w:val="000000"/>
                <w:sz w:val="20"/>
                <w:szCs w:val="20"/>
                <w:lang w:val="bg-BG" w:eastAsia="bg-BG"/>
              </w:rPr>
              <w:t>108 725</w:t>
            </w:r>
          </w:p>
        </w:tc>
      </w:tr>
      <w:tr w:rsidR="005376E6" w:rsidRPr="005376E6" w14:paraId="5B76438F" w14:textId="77777777" w:rsidTr="00305E62">
        <w:trPr>
          <w:trHeight w:val="290"/>
        </w:trPr>
        <w:tc>
          <w:tcPr>
            <w:tcW w:w="749" w:type="pct"/>
            <w:tcBorders>
              <w:top w:val="nil"/>
              <w:left w:val="single" w:sz="4" w:space="0" w:color="auto"/>
              <w:bottom w:val="single" w:sz="4" w:space="0" w:color="auto"/>
              <w:right w:val="single" w:sz="4" w:space="0" w:color="auto"/>
            </w:tcBorders>
            <w:shd w:val="clear" w:color="000000" w:fill="FFFFFF"/>
            <w:noWrap/>
            <w:vAlign w:val="center"/>
            <w:hideMark/>
          </w:tcPr>
          <w:p w14:paraId="6888C8CF" w14:textId="77777777" w:rsidR="005376E6" w:rsidRPr="005376E6" w:rsidRDefault="005376E6" w:rsidP="005376E6">
            <w:pPr>
              <w:rPr>
                <w:rFonts w:ascii="Arial Narrow" w:hAnsi="Arial Narrow" w:cs="Calibri"/>
                <w:color w:val="000000"/>
                <w:sz w:val="20"/>
                <w:szCs w:val="20"/>
                <w:lang w:val="bg-BG" w:eastAsia="bg-BG"/>
              </w:rPr>
            </w:pPr>
            <w:r w:rsidRPr="005376E6">
              <w:rPr>
                <w:rFonts w:ascii="Arial Narrow" w:hAnsi="Arial Narrow" w:cs="Calibri"/>
                <w:color w:val="000000"/>
                <w:sz w:val="20"/>
                <w:szCs w:val="20"/>
                <w:lang w:val="bg-BG" w:eastAsia="bg-BG"/>
              </w:rPr>
              <w:t>Хасково</w:t>
            </w:r>
          </w:p>
        </w:tc>
        <w:tc>
          <w:tcPr>
            <w:tcW w:w="471" w:type="pct"/>
            <w:tcBorders>
              <w:top w:val="nil"/>
              <w:left w:val="nil"/>
              <w:bottom w:val="single" w:sz="4" w:space="0" w:color="auto"/>
              <w:right w:val="single" w:sz="4" w:space="0" w:color="auto"/>
            </w:tcBorders>
            <w:shd w:val="clear" w:color="000000" w:fill="FFFFFF"/>
            <w:noWrap/>
            <w:vAlign w:val="center"/>
          </w:tcPr>
          <w:p w14:paraId="628CA708" w14:textId="77777777" w:rsidR="005376E6" w:rsidRPr="005376E6" w:rsidRDefault="005376E6" w:rsidP="005376E6">
            <w:pPr>
              <w:jc w:val="right"/>
              <w:rPr>
                <w:rFonts w:ascii="Arial Narrow" w:hAnsi="Arial Narrow" w:cs="Calibri"/>
                <w:color w:val="000000"/>
                <w:sz w:val="20"/>
                <w:szCs w:val="20"/>
                <w:lang w:val="bg-BG" w:eastAsia="bg-BG"/>
              </w:rPr>
            </w:pPr>
            <w:r w:rsidRPr="005376E6">
              <w:rPr>
                <w:rFonts w:ascii="Arial Narrow" w:hAnsi="Arial Narrow" w:cs="Calibri"/>
                <w:color w:val="000000"/>
                <w:sz w:val="20"/>
                <w:szCs w:val="20"/>
                <w:lang w:val="bg-BG" w:eastAsia="bg-BG"/>
              </w:rPr>
              <w:t>4 303</w:t>
            </w:r>
          </w:p>
        </w:tc>
        <w:tc>
          <w:tcPr>
            <w:tcW w:w="471" w:type="pct"/>
            <w:tcBorders>
              <w:top w:val="nil"/>
              <w:left w:val="nil"/>
              <w:bottom w:val="single" w:sz="4" w:space="0" w:color="auto"/>
              <w:right w:val="single" w:sz="4" w:space="0" w:color="auto"/>
            </w:tcBorders>
            <w:shd w:val="clear" w:color="000000" w:fill="FFFFFF"/>
            <w:noWrap/>
            <w:vAlign w:val="center"/>
          </w:tcPr>
          <w:p w14:paraId="48F0C515" w14:textId="77777777" w:rsidR="005376E6" w:rsidRPr="005376E6" w:rsidRDefault="005376E6" w:rsidP="005376E6">
            <w:pPr>
              <w:jc w:val="right"/>
              <w:rPr>
                <w:rFonts w:ascii="Arial Narrow" w:hAnsi="Arial Narrow" w:cs="Calibri"/>
                <w:color w:val="000000"/>
                <w:sz w:val="20"/>
                <w:szCs w:val="20"/>
                <w:lang w:val="bg-BG" w:eastAsia="bg-BG"/>
              </w:rPr>
            </w:pPr>
            <w:r w:rsidRPr="005376E6">
              <w:rPr>
                <w:rFonts w:ascii="Arial Narrow" w:hAnsi="Arial Narrow" w:cs="Calibri"/>
                <w:color w:val="000000"/>
                <w:sz w:val="20"/>
                <w:szCs w:val="20"/>
                <w:lang w:val="bg-BG" w:eastAsia="bg-BG"/>
              </w:rPr>
              <w:t>15 602</w:t>
            </w:r>
          </w:p>
        </w:tc>
        <w:tc>
          <w:tcPr>
            <w:tcW w:w="476" w:type="pct"/>
            <w:tcBorders>
              <w:top w:val="nil"/>
              <w:left w:val="nil"/>
              <w:bottom w:val="single" w:sz="4" w:space="0" w:color="auto"/>
              <w:right w:val="single" w:sz="4" w:space="0" w:color="auto"/>
            </w:tcBorders>
            <w:shd w:val="clear" w:color="000000" w:fill="FFFFFF"/>
            <w:noWrap/>
            <w:vAlign w:val="center"/>
          </w:tcPr>
          <w:p w14:paraId="57C5950A" w14:textId="77777777" w:rsidR="005376E6" w:rsidRPr="005376E6" w:rsidRDefault="005376E6" w:rsidP="005376E6">
            <w:pPr>
              <w:jc w:val="right"/>
              <w:rPr>
                <w:rFonts w:ascii="Arial Narrow" w:hAnsi="Arial Narrow" w:cs="Calibri"/>
                <w:color w:val="000000"/>
                <w:sz w:val="20"/>
                <w:szCs w:val="20"/>
                <w:lang w:val="bg-BG" w:eastAsia="bg-BG"/>
              </w:rPr>
            </w:pPr>
            <w:r w:rsidRPr="005376E6">
              <w:rPr>
                <w:rFonts w:ascii="Arial Narrow" w:hAnsi="Arial Narrow" w:cs="Calibri"/>
                <w:color w:val="000000"/>
                <w:sz w:val="20"/>
                <w:szCs w:val="20"/>
                <w:lang w:val="bg-BG" w:eastAsia="bg-BG"/>
              </w:rPr>
              <w:t>995</w:t>
            </w:r>
          </w:p>
        </w:tc>
        <w:tc>
          <w:tcPr>
            <w:tcW w:w="471" w:type="pct"/>
            <w:tcBorders>
              <w:top w:val="nil"/>
              <w:left w:val="nil"/>
              <w:bottom w:val="single" w:sz="4" w:space="0" w:color="auto"/>
              <w:right w:val="single" w:sz="4" w:space="0" w:color="auto"/>
            </w:tcBorders>
            <w:shd w:val="clear" w:color="000000" w:fill="FFFFFF"/>
            <w:noWrap/>
            <w:vAlign w:val="center"/>
          </w:tcPr>
          <w:p w14:paraId="51F37560" w14:textId="77777777" w:rsidR="005376E6" w:rsidRPr="005376E6" w:rsidRDefault="005376E6" w:rsidP="005376E6">
            <w:pPr>
              <w:jc w:val="right"/>
              <w:rPr>
                <w:rFonts w:ascii="Arial Narrow" w:hAnsi="Arial Narrow" w:cs="Calibri"/>
                <w:color w:val="000000"/>
                <w:sz w:val="20"/>
                <w:szCs w:val="20"/>
                <w:lang w:val="bg-BG" w:eastAsia="bg-BG"/>
              </w:rPr>
            </w:pPr>
            <w:r w:rsidRPr="005376E6">
              <w:rPr>
                <w:rFonts w:ascii="Arial Narrow" w:hAnsi="Arial Narrow" w:cs="Calibri"/>
                <w:color w:val="000000"/>
                <w:sz w:val="20"/>
                <w:szCs w:val="20"/>
                <w:lang w:val="bg-BG" w:eastAsia="bg-BG"/>
              </w:rPr>
              <w:t>3 784</w:t>
            </w:r>
          </w:p>
        </w:tc>
        <w:tc>
          <w:tcPr>
            <w:tcW w:w="471" w:type="pct"/>
            <w:tcBorders>
              <w:top w:val="nil"/>
              <w:left w:val="nil"/>
              <w:bottom w:val="single" w:sz="4" w:space="0" w:color="auto"/>
              <w:right w:val="single" w:sz="4" w:space="0" w:color="auto"/>
            </w:tcBorders>
            <w:shd w:val="clear" w:color="000000" w:fill="FFFFFF"/>
            <w:noWrap/>
            <w:vAlign w:val="center"/>
          </w:tcPr>
          <w:p w14:paraId="03EACE6D" w14:textId="77777777" w:rsidR="005376E6" w:rsidRPr="005376E6" w:rsidRDefault="005376E6" w:rsidP="005376E6">
            <w:pPr>
              <w:jc w:val="right"/>
              <w:rPr>
                <w:rFonts w:ascii="Arial Narrow" w:hAnsi="Arial Narrow" w:cs="Calibri"/>
                <w:color w:val="000000"/>
                <w:sz w:val="20"/>
                <w:szCs w:val="20"/>
                <w:lang w:val="bg-BG" w:eastAsia="bg-BG"/>
              </w:rPr>
            </w:pPr>
            <w:r w:rsidRPr="005376E6">
              <w:rPr>
                <w:rFonts w:ascii="Arial Narrow" w:hAnsi="Arial Narrow" w:cs="Calibri"/>
                <w:color w:val="000000"/>
                <w:sz w:val="20"/>
                <w:szCs w:val="20"/>
                <w:lang w:val="bg-BG" w:eastAsia="bg-BG"/>
              </w:rPr>
              <w:t>14 160</w:t>
            </w:r>
          </w:p>
        </w:tc>
        <w:tc>
          <w:tcPr>
            <w:tcW w:w="476" w:type="pct"/>
            <w:tcBorders>
              <w:top w:val="nil"/>
              <w:left w:val="nil"/>
              <w:bottom w:val="single" w:sz="4" w:space="0" w:color="auto"/>
              <w:right w:val="single" w:sz="4" w:space="0" w:color="auto"/>
            </w:tcBorders>
            <w:shd w:val="clear" w:color="000000" w:fill="FFFFFF"/>
            <w:noWrap/>
            <w:vAlign w:val="center"/>
          </w:tcPr>
          <w:p w14:paraId="61FDEA50" w14:textId="77777777" w:rsidR="005376E6" w:rsidRPr="005376E6" w:rsidRDefault="005376E6" w:rsidP="005376E6">
            <w:pPr>
              <w:jc w:val="right"/>
              <w:rPr>
                <w:rFonts w:ascii="Arial Narrow" w:hAnsi="Arial Narrow" w:cs="Calibri"/>
                <w:color w:val="000000"/>
                <w:sz w:val="20"/>
                <w:szCs w:val="20"/>
                <w:lang w:val="bg-BG" w:eastAsia="bg-BG"/>
              </w:rPr>
            </w:pPr>
            <w:r w:rsidRPr="005376E6">
              <w:rPr>
                <w:rFonts w:ascii="Arial Narrow" w:hAnsi="Arial Narrow" w:cs="Calibri"/>
                <w:color w:val="000000"/>
                <w:sz w:val="20"/>
                <w:szCs w:val="20"/>
                <w:lang w:val="bg-BG" w:eastAsia="bg-BG"/>
              </w:rPr>
              <w:t>929</w:t>
            </w:r>
          </w:p>
        </w:tc>
        <w:tc>
          <w:tcPr>
            <w:tcW w:w="471" w:type="pct"/>
            <w:tcBorders>
              <w:top w:val="nil"/>
              <w:left w:val="nil"/>
              <w:bottom w:val="single" w:sz="4" w:space="0" w:color="auto"/>
              <w:right w:val="single" w:sz="4" w:space="0" w:color="auto"/>
            </w:tcBorders>
            <w:shd w:val="clear" w:color="000000" w:fill="FFFFFF"/>
            <w:noWrap/>
            <w:vAlign w:val="center"/>
          </w:tcPr>
          <w:p w14:paraId="6512DA2C" w14:textId="77777777" w:rsidR="005376E6" w:rsidRPr="005376E6" w:rsidRDefault="005376E6" w:rsidP="005376E6">
            <w:pPr>
              <w:jc w:val="right"/>
              <w:rPr>
                <w:rFonts w:ascii="Arial Narrow" w:hAnsi="Arial Narrow" w:cs="Calibri"/>
                <w:color w:val="000000"/>
                <w:sz w:val="20"/>
                <w:szCs w:val="20"/>
                <w:lang w:val="bg-BG" w:eastAsia="bg-BG"/>
              </w:rPr>
            </w:pPr>
            <w:r w:rsidRPr="005376E6">
              <w:rPr>
                <w:rFonts w:ascii="Arial Narrow" w:hAnsi="Arial Narrow" w:cs="Calibri"/>
                <w:color w:val="000000"/>
                <w:sz w:val="20"/>
                <w:szCs w:val="20"/>
                <w:lang w:val="bg-BG" w:eastAsia="bg-BG"/>
              </w:rPr>
              <w:t>5 330</w:t>
            </w:r>
          </w:p>
        </w:tc>
        <w:tc>
          <w:tcPr>
            <w:tcW w:w="471" w:type="pct"/>
            <w:tcBorders>
              <w:top w:val="nil"/>
              <w:left w:val="nil"/>
              <w:bottom w:val="single" w:sz="4" w:space="0" w:color="auto"/>
              <w:right w:val="single" w:sz="4" w:space="0" w:color="auto"/>
            </w:tcBorders>
            <w:shd w:val="clear" w:color="000000" w:fill="FFFFFF"/>
            <w:noWrap/>
            <w:vAlign w:val="center"/>
          </w:tcPr>
          <w:p w14:paraId="1F48C565" w14:textId="77777777" w:rsidR="005376E6" w:rsidRPr="005376E6" w:rsidRDefault="005376E6" w:rsidP="005376E6">
            <w:pPr>
              <w:jc w:val="right"/>
              <w:rPr>
                <w:rFonts w:ascii="Arial Narrow" w:hAnsi="Arial Narrow" w:cs="Calibri"/>
                <w:color w:val="000000"/>
                <w:sz w:val="20"/>
                <w:szCs w:val="20"/>
                <w:lang w:val="bg-BG" w:eastAsia="bg-BG"/>
              </w:rPr>
            </w:pPr>
            <w:r w:rsidRPr="005376E6">
              <w:rPr>
                <w:rFonts w:ascii="Arial Narrow" w:hAnsi="Arial Narrow" w:cs="Calibri"/>
                <w:color w:val="000000"/>
                <w:sz w:val="20"/>
                <w:szCs w:val="20"/>
                <w:lang w:val="bg-BG" w:eastAsia="bg-BG"/>
              </w:rPr>
              <w:t>16 692</w:t>
            </w:r>
          </w:p>
        </w:tc>
        <w:tc>
          <w:tcPr>
            <w:tcW w:w="474" w:type="pct"/>
            <w:tcBorders>
              <w:top w:val="nil"/>
              <w:left w:val="nil"/>
              <w:bottom w:val="single" w:sz="4" w:space="0" w:color="auto"/>
              <w:right w:val="single" w:sz="4" w:space="0" w:color="auto"/>
            </w:tcBorders>
            <w:shd w:val="clear" w:color="000000" w:fill="FFFFFF"/>
            <w:noWrap/>
            <w:vAlign w:val="center"/>
          </w:tcPr>
          <w:p w14:paraId="45C96D63" w14:textId="77777777" w:rsidR="005376E6" w:rsidRPr="005376E6" w:rsidRDefault="005376E6" w:rsidP="005376E6">
            <w:pPr>
              <w:jc w:val="right"/>
              <w:rPr>
                <w:rFonts w:ascii="Arial Narrow" w:hAnsi="Arial Narrow" w:cs="Calibri"/>
                <w:color w:val="000000"/>
                <w:sz w:val="20"/>
                <w:szCs w:val="20"/>
                <w:lang w:val="bg-BG" w:eastAsia="bg-BG"/>
              </w:rPr>
            </w:pPr>
            <w:r w:rsidRPr="005376E6">
              <w:rPr>
                <w:rFonts w:ascii="Arial Narrow" w:hAnsi="Arial Narrow" w:cs="Calibri"/>
                <w:color w:val="000000"/>
                <w:sz w:val="20"/>
                <w:szCs w:val="20"/>
                <w:lang w:val="bg-BG" w:eastAsia="bg-BG"/>
              </w:rPr>
              <w:t>1 114</w:t>
            </w:r>
          </w:p>
        </w:tc>
      </w:tr>
      <w:tr w:rsidR="005376E6" w:rsidRPr="005376E6" w14:paraId="691406EA" w14:textId="77777777" w:rsidTr="00305E62">
        <w:trPr>
          <w:trHeight w:val="290"/>
        </w:trPr>
        <w:tc>
          <w:tcPr>
            <w:tcW w:w="749" w:type="pct"/>
            <w:tcBorders>
              <w:top w:val="nil"/>
              <w:left w:val="single" w:sz="4" w:space="0" w:color="auto"/>
              <w:bottom w:val="single" w:sz="4" w:space="0" w:color="auto"/>
              <w:right w:val="single" w:sz="4" w:space="0" w:color="auto"/>
            </w:tcBorders>
            <w:shd w:val="clear" w:color="000000" w:fill="FFFFFF"/>
            <w:vAlign w:val="center"/>
            <w:hideMark/>
          </w:tcPr>
          <w:p w14:paraId="630AA18F" w14:textId="77777777" w:rsidR="005376E6" w:rsidRPr="005376E6" w:rsidRDefault="005376E6" w:rsidP="005376E6">
            <w:pPr>
              <w:rPr>
                <w:rFonts w:ascii="Arial Narrow" w:hAnsi="Arial Narrow" w:cs="Calibri"/>
                <w:color w:val="000000"/>
                <w:sz w:val="20"/>
                <w:szCs w:val="20"/>
                <w:lang w:val="bg-BG" w:eastAsia="bg-BG"/>
              </w:rPr>
            </w:pPr>
            <w:r w:rsidRPr="005376E6">
              <w:rPr>
                <w:rFonts w:ascii="Arial Narrow" w:hAnsi="Arial Narrow" w:cs="Calibri"/>
                <w:color w:val="000000"/>
                <w:sz w:val="20"/>
                <w:szCs w:val="20"/>
                <w:lang w:val="bg-BG" w:eastAsia="bg-BG"/>
              </w:rPr>
              <w:t xml:space="preserve">Черно Море </w:t>
            </w:r>
          </w:p>
        </w:tc>
        <w:tc>
          <w:tcPr>
            <w:tcW w:w="471" w:type="pct"/>
            <w:tcBorders>
              <w:top w:val="nil"/>
              <w:left w:val="nil"/>
              <w:bottom w:val="single" w:sz="4" w:space="0" w:color="auto"/>
              <w:right w:val="single" w:sz="4" w:space="0" w:color="auto"/>
            </w:tcBorders>
            <w:shd w:val="clear" w:color="000000" w:fill="FFFFFF"/>
            <w:noWrap/>
            <w:vAlign w:val="center"/>
          </w:tcPr>
          <w:p w14:paraId="29E4D845" w14:textId="77777777" w:rsidR="005376E6" w:rsidRPr="005376E6" w:rsidRDefault="005376E6" w:rsidP="005376E6">
            <w:pPr>
              <w:jc w:val="right"/>
              <w:rPr>
                <w:rFonts w:ascii="Arial Narrow" w:hAnsi="Arial Narrow" w:cs="Calibri"/>
                <w:color w:val="000000"/>
                <w:sz w:val="20"/>
                <w:szCs w:val="20"/>
                <w:lang w:val="bg-BG" w:eastAsia="bg-BG"/>
              </w:rPr>
            </w:pPr>
            <w:r w:rsidRPr="005376E6">
              <w:rPr>
                <w:rFonts w:ascii="Arial Narrow" w:hAnsi="Arial Narrow" w:cs="Calibri"/>
                <w:color w:val="000000"/>
                <w:sz w:val="20"/>
                <w:szCs w:val="20"/>
                <w:lang w:val="bg-BG" w:eastAsia="bg-BG"/>
              </w:rPr>
              <w:t>4 527</w:t>
            </w:r>
          </w:p>
        </w:tc>
        <w:tc>
          <w:tcPr>
            <w:tcW w:w="471" w:type="pct"/>
            <w:tcBorders>
              <w:top w:val="nil"/>
              <w:left w:val="nil"/>
              <w:bottom w:val="single" w:sz="4" w:space="0" w:color="auto"/>
              <w:right w:val="single" w:sz="4" w:space="0" w:color="auto"/>
            </w:tcBorders>
            <w:shd w:val="clear" w:color="000000" w:fill="FFFFFF"/>
            <w:noWrap/>
            <w:vAlign w:val="center"/>
          </w:tcPr>
          <w:p w14:paraId="4B49A96E" w14:textId="77777777" w:rsidR="005376E6" w:rsidRPr="005376E6" w:rsidRDefault="005376E6" w:rsidP="005376E6">
            <w:pPr>
              <w:jc w:val="right"/>
              <w:rPr>
                <w:rFonts w:ascii="Arial Narrow" w:hAnsi="Arial Narrow" w:cs="Calibri"/>
                <w:color w:val="000000"/>
                <w:sz w:val="20"/>
                <w:szCs w:val="20"/>
                <w:lang w:val="bg-BG" w:eastAsia="bg-BG"/>
              </w:rPr>
            </w:pPr>
            <w:r w:rsidRPr="005376E6">
              <w:rPr>
                <w:rFonts w:ascii="Arial Narrow" w:hAnsi="Arial Narrow" w:cs="Calibri"/>
                <w:color w:val="000000"/>
                <w:sz w:val="20"/>
                <w:szCs w:val="20"/>
                <w:lang w:val="bg-BG" w:eastAsia="bg-BG"/>
              </w:rPr>
              <w:t>10 279</w:t>
            </w:r>
          </w:p>
        </w:tc>
        <w:tc>
          <w:tcPr>
            <w:tcW w:w="476" w:type="pct"/>
            <w:tcBorders>
              <w:top w:val="nil"/>
              <w:left w:val="nil"/>
              <w:bottom w:val="single" w:sz="4" w:space="0" w:color="auto"/>
              <w:right w:val="single" w:sz="4" w:space="0" w:color="auto"/>
            </w:tcBorders>
            <w:shd w:val="clear" w:color="000000" w:fill="FFFFFF"/>
            <w:noWrap/>
            <w:vAlign w:val="center"/>
          </w:tcPr>
          <w:p w14:paraId="63F5BD0C" w14:textId="77777777" w:rsidR="005376E6" w:rsidRPr="005376E6" w:rsidRDefault="005376E6" w:rsidP="005376E6">
            <w:pPr>
              <w:jc w:val="right"/>
              <w:rPr>
                <w:rFonts w:ascii="Arial Narrow" w:hAnsi="Arial Narrow" w:cs="Calibri"/>
                <w:color w:val="000000"/>
                <w:sz w:val="20"/>
                <w:szCs w:val="20"/>
                <w:lang w:val="bg-BG" w:eastAsia="bg-BG"/>
              </w:rPr>
            </w:pPr>
            <w:r w:rsidRPr="005376E6">
              <w:rPr>
                <w:rFonts w:ascii="Arial Narrow" w:hAnsi="Arial Narrow" w:cs="Calibri"/>
                <w:color w:val="000000"/>
                <w:sz w:val="20"/>
                <w:szCs w:val="20"/>
                <w:lang w:val="bg-BG" w:eastAsia="bg-BG"/>
              </w:rPr>
              <w:t>420</w:t>
            </w:r>
          </w:p>
        </w:tc>
        <w:tc>
          <w:tcPr>
            <w:tcW w:w="471" w:type="pct"/>
            <w:tcBorders>
              <w:top w:val="nil"/>
              <w:left w:val="nil"/>
              <w:bottom w:val="single" w:sz="4" w:space="0" w:color="auto"/>
              <w:right w:val="single" w:sz="4" w:space="0" w:color="auto"/>
            </w:tcBorders>
            <w:shd w:val="clear" w:color="000000" w:fill="FFFFFF"/>
            <w:noWrap/>
            <w:vAlign w:val="center"/>
          </w:tcPr>
          <w:p w14:paraId="65625843" w14:textId="77777777" w:rsidR="005376E6" w:rsidRPr="005376E6" w:rsidRDefault="005376E6" w:rsidP="005376E6">
            <w:pPr>
              <w:jc w:val="right"/>
              <w:rPr>
                <w:rFonts w:ascii="Arial Narrow" w:hAnsi="Arial Narrow" w:cs="Calibri"/>
                <w:color w:val="000000"/>
                <w:sz w:val="20"/>
                <w:szCs w:val="20"/>
                <w:lang w:val="bg-BG" w:eastAsia="bg-BG"/>
              </w:rPr>
            </w:pPr>
            <w:r w:rsidRPr="005376E6">
              <w:rPr>
                <w:rFonts w:ascii="Arial Narrow" w:hAnsi="Arial Narrow" w:cs="Calibri"/>
                <w:color w:val="000000"/>
                <w:sz w:val="20"/>
                <w:szCs w:val="20"/>
                <w:lang w:val="bg-BG" w:eastAsia="bg-BG"/>
              </w:rPr>
              <w:t>6 679</w:t>
            </w:r>
          </w:p>
        </w:tc>
        <w:tc>
          <w:tcPr>
            <w:tcW w:w="471" w:type="pct"/>
            <w:tcBorders>
              <w:top w:val="nil"/>
              <w:left w:val="nil"/>
              <w:bottom w:val="single" w:sz="4" w:space="0" w:color="auto"/>
              <w:right w:val="single" w:sz="4" w:space="0" w:color="auto"/>
            </w:tcBorders>
            <w:shd w:val="clear" w:color="000000" w:fill="FFFFFF"/>
            <w:noWrap/>
            <w:vAlign w:val="center"/>
          </w:tcPr>
          <w:p w14:paraId="08E0F98E" w14:textId="77777777" w:rsidR="005376E6" w:rsidRPr="005376E6" w:rsidRDefault="005376E6" w:rsidP="005376E6">
            <w:pPr>
              <w:jc w:val="right"/>
              <w:rPr>
                <w:rFonts w:ascii="Arial Narrow" w:hAnsi="Arial Narrow" w:cs="Calibri"/>
                <w:color w:val="000000"/>
                <w:sz w:val="20"/>
                <w:szCs w:val="20"/>
                <w:lang w:val="bg-BG" w:eastAsia="bg-BG"/>
              </w:rPr>
            </w:pPr>
            <w:r w:rsidRPr="005376E6">
              <w:rPr>
                <w:rFonts w:ascii="Arial Narrow" w:hAnsi="Arial Narrow" w:cs="Calibri"/>
                <w:color w:val="000000"/>
                <w:sz w:val="20"/>
                <w:szCs w:val="20"/>
                <w:lang w:val="bg-BG" w:eastAsia="bg-BG"/>
              </w:rPr>
              <w:t>14 865</w:t>
            </w:r>
          </w:p>
        </w:tc>
        <w:tc>
          <w:tcPr>
            <w:tcW w:w="476" w:type="pct"/>
            <w:tcBorders>
              <w:top w:val="nil"/>
              <w:left w:val="nil"/>
              <w:bottom w:val="single" w:sz="4" w:space="0" w:color="auto"/>
              <w:right w:val="single" w:sz="4" w:space="0" w:color="auto"/>
            </w:tcBorders>
            <w:shd w:val="clear" w:color="000000" w:fill="FFFFFF"/>
            <w:noWrap/>
            <w:vAlign w:val="center"/>
          </w:tcPr>
          <w:p w14:paraId="39D26FB0" w14:textId="77777777" w:rsidR="005376E6" w:rsidRPr="005376E6" w:rsidRDefault="005376E6" w:rsidP="005376E6">
            <w:pPr>
              <w:jc w:val="right"/>
              <w:rPr>
                <w:rFonts w:ascii="Arial Narrow" w:hAnsi="Arial Narrow" w:cs="Calibri"/>
                <w:color w:val="000000"/>
                <w:sz w:val="20"/>
                <w:szCs w:val="20"/>
                <w:lang w:val="bg-BG" w:eastAsia="bg-BG"/>
              </w:rPr>
            </w:pPr>
            <w:r w:rsidRPr="005376E6">
              <w:rPr>
                <w:rFonts w:ascii="Arial Narrow" w:hAnsi="Arial Narrow" w:cs="Calibri"/>
                <w:color w:val="000000"/>
                <w:sz w:val="20"/>
                <w:szCs w:val="20"/>
                <w:lang w:val="bg-BG" w:eastAsia="bg-BG"/>
              </w:rPr>
              <w:t>595</w:t>
            </w:r>
          </w:p>
        </w:tc>
        <w:tc>
          <w:tcPr>
            <w:tcW w:w="471" w:type="pct"/>
            <w:tcBorders>
              <w:top w:val="nil"/>
              <w:left w:val="nil"/>
              <w:bottom w:val="single" w:sz="4" w:space="0" w:color="auto"/>
              <w:right w:val="single" w:sz="4" w:space="0" w:color="auto"/>
            </w:tcBorders>
            <w:shd w:val="clear" w:color="000000" w:fill="FFFFFF"/>
            <w:noWrap/>
            <w:vAlign w:val="center"/>
          </w:tcPr>
          <w:p w14:paraId="59138821" w14:textId="77777777" w:rsidR="005376E6" w:rsidRPr="005376E6" w:rsidRDefault="005376E6" w:rsidP="005376E6">
            <w:pPr>
              <w:jc w:val="right"/>
              <w:rPr>
                <w:rFonts w:ascii="Arial Narrow" w:hAnsi="Arial Narrow" w:cs="Calibri"/>
                <w:color w:val="000000"/>
                <w:sz w:val="20"/>
                <w:szCs w:val="20"/>
                <w:lang w:val="bg-BG" w:eastAsia="bg-BG"/>
              </w:rPr>
            </w:pPr>
            <w:r w:rsidRPr="005376E6">
              <w:rPr>
                <w:rFonts w:ascii="Arial Narrow" w:hAnsi="Arial Narrow" w:cs="Calibri"/>
                <w:color w:val="000000"/>
                <w:sz w:val="20"/>
                <w:szCs w:val="20"/>
                <w:lang w:val="bg-BG" w:eastAsia="bg-BG"/>
              </w:rPr>
              <w:t>2 332</w:t>
            </w:r>
          </w:p>
        </w:tc>
        <w:tc>
          <w:tcPr>
            <w:tcW w:w="471" w:type="pct"/>
            <w:tcBorders>
              <w:top w:val="nil"/>
              <w:left w:val="nil"/>
              <w:bottom w:val="single" w:sz="4" w:space="0" w:color="auto"/>
              <w:right w:val="single" w:sz="4" w:space="0" w:color="auto"/>
            </w:tcBorders>
            <w:shd w:val="clear" w:color="000000" w:fill="FFFFFF"/>
            <w:noWrap/>
            <w:vAlign w:val="center"/>
          </w:tcPr>
          <w:p w14:paraId="5D5A47FB" w14:textId="77777777" w:rsidR="005376E6" w:rsidRPr="005376E6" w:rsidRDefault="005376E6" w:rsidP="005376E6">
            <w:pPr>
              <w:jc w:val="right"/>
              <w:rPr>
                <w:rFonts w:ascii="Arial Narrow" w:hAnsi="Arial Narrow" w:cs="Calibri"/>
                <w:color w:val="000000"/>
                <w:sz w:val="20"/>
                <w:szCs w:val="20"/>
                <w:lang w:val="bg-BG" w:eastAsia="bg-BG"/>
              </w:rPr>
            </w:pPr>
            <w:r w:rsidRPr="005376E6">
              <w:rPr>
                <w:rFonts w:ascii="Arial Narrow" w:hAnsi="Arial Narrow" w:cs="Calibri"/>
                <w:color w:val="000000"/>
                <w:sz w:val="20"/>
                <w:szCs w:val="20"/>
                <w:lang w:val="bg-BG" w:eastAsia="bg-BG"/>
              </w:rPr>
              <w:t>5 879</w:t>
            </w:r>
          </w:p>
        </w:tc>
        <w:tc>
          <w:tcPr>
            <w:tcW w:w="474" w:type="pct"/>
            <w:tcBorders>
              <w:top w:val="nil"/>
              <w:left w:val="nil"/>
              <w:bottom w:val="single" w:sz="4" w:space="0" w:color="auto"/>
              <w:right w:val="single" w:sz="4" w:space="0" w:color="auto"/>
            </w:tcBorders>
            <w:shd w:val="clear" w:color="000000" w:fill="FFFFFF"/>
            <w:noWrap/>
            <w:vAlign w:val="center"/>
          </w:tcPr>
          <w:p w14:paraId="6B885AE5" w14:textId="77777777" w:rsidR="005376E6" w:rsidRPr="005376E6" w:rsidRDefault="005376E6" w:rsidP="005376E6">
            <w:pPr>
              <w:jc w:val="right"/>
              <w:rPr>
                <w:rFonts w:ascii="Arial Narrow" w:hAnsi="Arial Narrow" w:cs="Calibri"/>
                <w:color w:val="000000"/>
                <w:sz w:val="20"/>
                <w:szCs w:val="20"/>
                <w:lang w:val="bg-BG" w:eastAsia="bg-BG"/>
              </w:rPr>
            </w:pPr>
            <w:r w:rsidRPr="005376E6">
              <w:rPr>
                <w:rFonts w:ascii="Arial Narrow" w:hAnsi="Arial Narrow" w:cs="Calibri"/>
                <w:color w:val="000000"/>
                <w:sz w:val="20"/>
                <w:szCs w:val="20"/>
                <w:lang w:val="bg-BG" w:eastAsia="bg-BG"/>
              </w:rPr>
              <w:t>383</w:t>
            </w:r>
          </w:p>
        </w:tc>
      </w:tr>
      <w:tr w:rsidR="005376E6" w:rsidRPr="005376E6" w14:paraId="60B7DFDF" w14:textId="77777777" w:rsidTr="00305E62">
        <w:trPr>
          <w:trHeight w:val="290"/>
        </w:trPr>
        <w:tc>
          <w:tcPr>
            <w:tcW w:w="749" w:type="pct"/>
            <w:tcBorders>
              <w:top w:val="nil"/>
              <w:left w:val="single" w:sz="4" w:space="0" w:color="auto"/>
              <w:bottom w:val="single" w:sz="4" w:space="0" w:color="auto"/>
              <w:right w:val="single" w:sz="4" w:space="0" w:color="auto"/>
            </w:tcBorders>
            <w:shd w:val="clear" w:color="000000" w:fill="FFFFFF"/>
            <w:noWrap/>
            <w:vAlign w:val="center"/>
            <w:hideMark/>
          </w:tcPr>
          <w:p w14:paraId="405A256F" w14:textId="77777777" w:rsidR="005376E6" w:rsidRPr="005376E6" w:rsidRDefault="005376E6" w:rsidP="005376E6">
            <w:pPr>
              <w:rPr>
                <w:rFonts w:ascii="Arial Narrow" w:hAnsi="Arial Narrow" w:cs="Calibri"/>
                <w:color w:val="000000"/>
                <w:sz w:val="20"/>
                <w:szCs w:val="20"/>
                <w:lang w:val="bg-BG" w:eastAsia="bg-BG"/>
              </w:rPr>
            </w:pPr>
            <w:r w:rsidRPr="005376E6">
              <w:rPr>
                <w:rFonts w:ascii="Arial Narrow" w:hAnsi="Arial Narrow" w:cs="Calibri"/>
                <w:color w:val="000000"/>
                <w:sz w:val="20"/>
                <w:szCs w:val="20"/>
                <w:lang w:val="bg-BG" w:eastAsia="bg-BG"/>
              </w:rPr>
              <w:t>Шумен</w:t>
            </w:r>
          </w:p>
        </w:tc>
        <w:tc>
          <w:tcPr>
            <w:tcW w:w="471" w:type="pct"/>
            <w:tcBorders>
              <w:top w:val="nil"/>
              <w:left w:val="nil"/>
              <w:bottom w:val="single" w:sz="4" w:space="0" w:color="auto"/>
              <w:right w:val="single" w:sz="4" w:space="0" w:color="auto"/>
            </w:tcBorders>
            <w:shd w:val="clear" w:color="000000" w:fill="FFFFFF"/>
            <w:noWrap/>
            <w:vAlign w:val="center"/>
          </w:tcPr>
          <w:p w14:paraId="5D5AF8C7" w14:textId="77777777" w:rsidR="005376E6" w:rsidRPr="005376E6" w:rsidRDefault="005376E6" w:rsidP="005376E6">
            <w:pPr>
              <w:jc w:val="right"/>
              <w:rPr>
                <w:rFonts w:ascii="Arial Narrow" w:hAnsi="Arial Narrow" w:cs="Calibri"/>
                <w:color w:val="000000"/>
                <w:sz w:val="20"/>
                <w:szCs w:val="20"/>
                <w:lang w:val="bg-BG" w:eastAsia="bg-BG"/>
              </w:rPr>
            </w:pPr>
            <w:r w:rsidRPr="005376E6">
              <w:rPr>
                <w:rFonts w:ascii="Arial Narrow" w:hAnsi="Arial Narrow" w:cs="Calibri"/>
                <w:color w:val="000000"/>
                <w:sz w:val="20"/>
                <w:szCs w:val="20"/>
                <w:lang w:val="bg-BG" w:eastAsia="bg-BG"/>
              </w:rPr>
              <w:t>12 515</w:t>
            </w:r>
          </w:p>
        </w:tc>
        <w:tc>
          <w:tcPr>
            <w:tcW w:w="471" w:type="pct"/>
            <w:tcBorders>
              <w:top w:val="nil"/>
              <w:left w:val="nil"/>
              <w:bottom w:val="single" w:sz="4" w:space="0" w:color="auto"/>
              <w:right w:val="single" w:sz="4" w:space="0" w:color="auto"/>
            </w:tcBorders>
            <w:shd w:val="clear" w:color="000000" w:fill="FFFFFF"/>
            <w:noWrap/>
            <w:vAlign w:val="center"/>
          </w:tcPr>
          <w:p w14:paraId="0606C1E3" w14:textId="77777777" w:rsidR="005376E6" w:rsidRPr="005376E6" w:rsidRDefault="005376E6" w:rsidP="005376E6">
            <w:pPr>
              <w:jc w:val="right"/>
              <w:rPr>
                <w:rFonts w:ascii="Arial Narrow" w:hAnsi="Arial Narrow" w:cs="Calibri"/>
                <w:color w:val="000000"/>
                <w:sz w:val="20"/>
                <w:szCs w:val="20"/>
                <w:lang w:val="bg-BG" w:eastAsia="bg-BG"/>
              </w:rPr>
            </w:pPr>
            <w:r w:rsidRPr="005376E6">
              <w:rPr>
                <w:rFonts w:ascii="Arial Narrow" w:hAnsi="Arial Narrow" w:cs="Calibri"/>
                <w:color w:val="000000"/>
                <w:sz w:val="20"/>
                <w:szCs w:val="20"/>
                <w:lang w:val="bg-BG" w:eastAsia="bg-BG"/>
              </w:rPr>
              <w:t>42 590</w:t>
            </w:r>
          </w:p>
        </w:tc>
        <w:tc>
          <w:tcPr>
            <w:tcW w:w="476" w:type="pct"/>
            <w:tcBorders>
              <w:top w:val="nil"/>
              <w:left w:val="nil"/>
              <w:bottom w:val="single" w:sz="4" w:space="0" w:color="auto"/>
              <w:right w:val="single" w:sz="4" w:space="0" w:color="auto"/>
            </w:tcBorders>
            <w:shd w:val="clear" w:color="000000" w:fill="FFFFFF"/>
            <w:noWrap/>
            <w:vAlign w:val="center"/>
          </w:tcPr>
          <w:p w14:paraId="4C48E1E7" w14:textId="77777777" w:rsidR="005376E6" w:rsidRPr="005376E6" w:rsidRDefault="005376E6" w:rsidP="005376E6">
            <w:pPr>
              <w:jc w:val="right"/>
              <w:rPr>
                <w:rFonts w:ascii="Arial Narrow" w:hAnsi="Arial Narrow" w:cs="Calibri"/>
                <w:color w:val="000000"/>
                <w:sz w:val="20"/>
                <w:szCs w:val="20"/>
                <w:lang w:val="bg-BG" w:eastAsia="bg-BG"/>
              </w:rPr>
            </w:pPr>
            <w:r w:rsidRPr="005376E6">
              <w:rPr>
                <w:rFonts w:ascii="Arial Narrow" w:hAnsi="Arial Narrow" w:cs="Calibri"/>
                <w:color w:val="000000"/>
                <w:sz w:val="20"/>
                <w:szCs w:val="20"/>
                <w:lang w:val="bg-BG" w:eastAsia="bg-BG"/>
              </w:rPr>
              <w:t>2 318</w:t>
            </w:r>
          </w:p>
        </w:tc>
        <w:tc>
          <w:tcPr>
            <w:tcW w:w="471" w:type="pct"/>
            <w:tcBorders>
              <w:top w:val="nil"/>
              <w:left w:val="nil"/>
              <w:bottom w:val="single" w:sz="4" w:space="0" w:color="auto"/>
              <w:right w:val="single" w:sz="4" w:space="0" w:color="auto"/>
            </w:tcBorders>
            <w:shd w:val="clear" w:color="000000" w:fill="FFFFFF"/>
            <w:noWrap/>
            <w:vAlign w:val="center"/>
          </w:tcPr>
          <w:p w14:paraId="230F3CDA" w14:textId="77777777" w:rsidR="005376E6" w:rsidRPr="005376E6" w:rsidRDefault="005376E6" w:rsidP="005376E6">
            <w:pPr>
              <w:jc w:val="right"/>
              <w:rPr>
                <w:rFonts w:ascii="Arial Narrow" w:hAnsi="Arial Narrow" w:cs="Calibri"/>
                <w:color w:val="000000"/>
                <w:sz w:val="20"/>
                <w:szCs w:val="20"/>
                <w:lang w:val="bg-BG" w:eastAsia="bg-BG"/>
              </w:rPr>
            </w:pPr>
            <w:r w:rsidRPr="005376E6">
              <w:rPr>
                <w:rFonts w:ascii="Arial Narrow" w:hAnsi="Arial Narrow" w:cs="Calibri"/>
                <w:color w:val="000000"/>
                <w:sz w:val="20"/>
                <w:szCs w:val="20"/>
                <w:lang w:val="bg-BG" w:eastAsia="bg-BG"/>
              </w:rPr>
              <w:t>15 363</w:t>
            </w:r>
          </w:p>
        </w:tc>
        <w:tc>
          <w:tcPr>
            <w:tcW w:w="471" w:type="pct"/>
            <w:tcBorders>
              <w:top w:val="nil"/>
              <w:left w:val="nil"/>
              <w:bottom w:val="single" w:sz="4" w:space="0" w:color="auto"/>
              <w:right w:val="single" w:sz="4" w:space="0" w:color="auto"/>
            </w:tcBorders>
            <w:shd w:val="clear" w:color="000000" w:fill="FFFFFF"/>
            <w:noWrap/>
            <w:vAlign w:val="center"/>
          </w:tcPr>
          <w:p w14:paraId="1A9E3A2F" w14:textId="77777777" w:rsidR="005376E6" w:rsidRPr="005376E6" w:rsidRDefault="005376E6" w:rsidP="005376E6">
            <w:pPr>
              <w:jc w:val="right"/>
              <w:rPr>
                <w:rFonts w:ascii="Arial Narrow" w:hAnsi="Arial Narrow" w:cs="Calibri"/>
                <w:color w:val="000000"/>
                <w:sz w:val="20"/>
                <w:szCs w:val="20"/>
                <w:lang w:val="bg-BG" w:eastAsia="bg-BG"/>
              </w:rPr>
            </w:pPr>
            <w:r w:rsidRPr="005376E6">
              <w:rPr>
                <w:rFonts w:ascii="Arial Narrow" w:hAnsi="Arial Narrow" w:cs="Calibri"/>
                <w:color w:val="000000"/>
                <w:sz w:val="20"/>
                <w:szCs w:val="20"/>
                <w:lang w:val="bg-BG" w:eastAsia="bg-BG"/>
              </w:rPr>
              <w:t>46 630</w:t>
            </w:r>
          </w:p>
        </w:tc>
        <w:tc>
          <w:tcPr>
            <w:tcW w:w="476" w:type="pct"/>
            <w:tcBorders>
              <w:top w:val="nil"/>
              <w:left w:val="nil"/>
              <w:bottom w:val="single" w:sz="4" w:space="0" w:color="auto"/>
              <w:right w:val="single" w:sz="4" w:space="0" w:color="auto"/>
            </w:tcBorders>
            <w:shd w:val="clear" w:color="000000" w:fill="FFFFFF"/>
            <w:noWrap/>
            <w:vAlign w:val="center"/>
          </w:tcPr>
          <w:p w14:paraId="432ADF63" w14:textId="77777777" w:rsidR="005376E6" w:rsidRPr="005376E6" w:rsidRDefault="005376E6" w:rsidP="005376E6">
            <w:pPr>
              <w:jc w:val="right"/>
              <w:rPr>
                <w:rFonts w:ascii="Arial Narrow" w:hAnsi="Arial Narrow" w:cs="Calibri"/>
                <w:color w:val="000000"/>
                <w:sz w:val="20"/>
                <w:szCs w:val="20"/>
                <w:lang w:val="bg-BG" w:eastAsia="bg-BG"/>
              </w:rPr>
            </w:pPr>
            <w:r w:rsidRPr="005376E6">
              <w:rPr>
                <w:rFonts w:ascii="Arial Narrow" w:hAnsi="Arial Narrow" w:cs="Calibri"/>
                <w:color w:val="000000"/>
                <w:sz w:val="20"/>
                <w:szCs w:val="20"/>
                <w:lang w:val="bg-BG" w:eastAsia="bg-BG"/>
              </w:rPr>
              <w:t>2 580</w:t>
            </w:r>
          </w:p>
        </w:tc>
        <w:tc>
          <w:tcPr>
            <w:tcW w:w="471" w:type="pct"/>
            <w:tcBorders>
              <w:top w:val="nil"/>
              <w:left w:val="nil"/>
              <w:bottom w:val="single" w:sz="4" w:space="0" w:color="auto"/>
              <w:right w:val="single" w:sz="4" w:space="0" w:color="auto"/>
            </w:tcBorders>
            <w:shd w:val="clear" w:color="000000" w:fill="FFFFFF"/>
            <w:noWrap/>
            <w:vAlign w:val="center"/>
          </w:tcPr>
          <w:p w14:paraId="5EC8A949" w14:textId="77777777" w:rsidR="005376E6" w:rsidRPr="005376E6" w:rsidRDefault="005376E6" w:rsidP="005376E6">
            <w:pPr>
              <w:jc w:val="right"/>
              <w:rPr>
                <w:rFonts w:ascii="Arial Narrow" w:hAnsi="Arial Narrow" w:cs="Calibri"/>
                <w:color w:val="000000"/>
                <w:sz w:val="20"/>
                <w:szCs w:val="20"/>
                <w:lang w:val="bg-BG" w:eastAsia="bg-BG"/>
              </w:rPr>
            </w:pPr>
            <w:r w:rsidRPr="005376E6">
              <w:rPr>
                <w:rFonts w:ascii="Arial Narrow" w:hAnsi="Arial Narrow" w:cs="Calibri"/>
                <w:color w:val="000000"/>
                <w:sz w:val="20"/>
                <w:szCs w:val="20"/>
                <w:lang w:val="bg-BG" w:eastAsia="bg-BG"/>
              </w:rPr>
              <w:t>17 003</w:t>
            </w:r>
          </w:p>
        </w:tc>
        <w:tc>
          <w:tcPr>
            <w:tcW w:w="471" w:type="pct"/>
            <w:tcBorders>
              <w:top w:val="nil"/>
              <w:left w:val="nil"/>
              <w:bottom w:val="single" w:sz="4" w:space="0" w:color="auto"/>
              <w:right w:val="single" w:sz="4" w:space="0" w:color="auto"/>
            </w:tcBorders>
            <w:shd w:val="clear" w:color="000000" w:fill="FFFFFF"/>
            <w:noWrap/>
            <w:vAlign w:val="center"/>
          </w:tcPr>
          <w:p w14:paraId="53134AEE" w14:textId="77777777" w:rsidR="005376E6" w:rsidRPr="005376E6" w:rsidRDefault="005376E6" w:rsidP="005376E6">
            <w:pPr>
              <w:jc w:val="right"/>
              <w:rPr>
                <w:rFonts w:ascii="Arial Narrow" w:hAnsi="Arial Narrow" w:cs="Calibri"/>
                <w:color w:val="000000"/>
                <w:sz w:val="20"/>
                <w:szCs w:val="20"/>
                <w:lang w:val="bg-BG" w:eastAsia="bg-BG"/>
              </w:rPr>
            </w:pPr>
            <w:r w:rsidRPr="005376E6">
              <w:rPr>
                <w:rFonts w:ascii="Arial Narrow" w:hAnsi="Arial Narrow" w:cs="Calibri"/>
                <w:color w:val="000000"/>
                <w:sz w:val="20"/>
                <w:szCs w:val="20"/>
                <w:lang w:val="bg-BG" w:eastAsia="bg-BG"/>
              </w:rPr>
              <w:t>67 292</w:t>
            </w:r>
          </w:p>
        </w:tc>
        <w:tc>
          <w:tcPr>
            <w:tcW w:w="474" w:type="pct"/>
            <w:tcBorders>
              <w:top w:val="nil"/>
              <w:left w:val="nil"/>
              <w:bottom w:val="single" w:sz="4" w:space="0" w:color="auto"/>
              <w:right w:val="single" w:sz="4" w:space="0" w:color="auto"/>
            </w:tcBorders>
            <w:shd w:val="clear" w:color="000000" w:fill="FFFFFF"/>
            <w:noWrap/>
            <w:vAlign w:val="center"/>
          </w:tcPr>
          <w:p w14:paraId="262E7E81" w14:textId="77777777" w:rsidR="005376E6" w:rsidRPr="005376E6" w:rsidRDefault="005376E6" w:rsidP="005376E6">
            <w:pPr>
              <w:jc w:val="right"/>
              <w:rPr>
                <w:rFonts w:ascii="Arial Narrow" w:hAnsi="Arial Narrow" w:cs="Calibri"/>
                <w:color w:val="000000"/>
                <w:sz w:val="20"/>
                <w:szCs w:val="20"/>
                <w:lang w:val="bg-BG" w:eastAsia="bg-BG"/>
              </w:rPr>
            </w:pPr>
            <w:r w:rsidRPr="005376E6">
              <w:rPr>
                <w:rFonts w:ascii="Arial Narrow" w:hAnsi="Arial Narrow" w:cs="Calibri"/>
                <w:color w:val="000000"/>
                <w:sz w:val="20"/>
                <w:szCs w:val="20"/>
                <w:lang w:val="bg-BG" w:eastAsia="bg-BG"/>
              </w:rPr>
              <w:t>3434</w:t>
            </w:r>
          </w:p>
        </w:tc>
      </w:tr>
      <w:tr w:rsidR="005376E6" w:rsidRPr="005376E6" w14:paraId="37B2790A" w14:textId="77777777" w:rsidTr="00305E62">
        <w:trPr>
          <w:trHeight w:val="327"/>
        </w:trPr>
        <w:tc>
          <w:tcPr>
            <w:tcW w:w="749" w:type="pct"/>
            <w:tcBorders>
              <w:top w:val="nil"/>
              <w:left w:val="single" w:sz="4" w:space="0" w:color="auto"/>
              <w:bottom w:val="single" w:sz="4" w:space="0" w:color="auto"/>
              <w:right w:val="single" w:sz="4" w:space="0" w:color="auto"/>
            </w:tcBorders>
            <w:shd w:val="clear" w:color="auto" w:fill="auto"/>
            <w:vAlign w:val="center"/>
            <w:hideMark/>
          </w:tcPr>
          <w:p w14:paraId="09145305" w14:textId="77777777" w:rsidR="005376E6" w:rsidRPr="005376E6" w:rsidRDefault="005376E6" w:rsidP="005376E6">
            <w:pPr>
              <w:rPr>
                <w:rFonts w:ascii="Arial Narrow" w:hAnsi="Arial Narrow" w:cs="Calibri"/>
                <w:b/>
                <w:bCs/>
                <w:color w:val="000000"/>
                <w:sz w:val="20"/>
                <w:szCs w:val="20"/>
                <w:lang w:val="bg-BG" w:eastAsia="bg-BG"/>
              </w:rPr>
            </w:pPr>
            <w:r w:rsidRPr="005376E6">
              <w:rPr>
                <w:rFonts w:ascii="Arial Narrow" w:hAnsi="Arial Narrow" w:cs="Calibri"/>
                <w:b/>
                <w:bCs/>
                <w:color w:val="000000"/>
                <w:sz w:val="20"/>
                <w:szCs w:val="20"/>
                <w:lang w:val="bg-BG" w:eastAsia="bg-BG"/>
              </w:rPr>
              <w:t xml:space="preserve">ОБЩО </w:t>
            </w:r>
          </w:p>
        </w:tc>
        <w:tc>
          <w:tcPr>
            <w:tcW w:w="471" w:type="pct"/>
            <w:tcBorders>
              <w:top w:val="nil"/>
              <w:left w:val="nil"/>
              <w:bottom w:val="single" w:sz="4" w:space="0" w:color="auto"/>
              <w:right w:val="single" w:sz="4" w:space="0" w:color="auto"/>
            </w:tcBorders>
            <w:shd w:val="clear" w:color="000000" w:fill="FFFFFF"/>
            <w:noWrap/>
            <w:vAlign w:val="center"/>
          </w:tcPr>
          <w:p w14:paraId="6BC19498" w14:textId="77777777" w:rsidR="005376E6" w:rsidRPr="005376E6" w:rsidRDefault="005376E6" w:rsidP="005376E6">
            <w:pPr>
              <w:jc w:val="right"/>
              <w:rPr>
                <w:rFonts w:ascii="Arial Narrow" w:hAnsi="Arial Narrow" w:cs="Calibri"/>
                <w:b/>
                <w:color w:val="000000"/>
                <w:sz w:val="20"/>
                <w:szCs w:val="20"/>
                <w:lang w:val="bg-BG" w:eastAsia="bg-BG"/>
              </w:rPr>
            </w:pPr>
            <w:r w:rsidRPr="005376E6">
              <w:rPr>
                <w:rFonts w:ascii="Arial Narrow" w:hAnsi="Arial Narrow" w:cs="Calibri"/>
                <w:b/>
                <w:color w:val="000000"/>
                <w:sz w:val="20"/>
                <w:szCs w:val="20"/>
                <w:lang w:val="bg-BG" w:eastAsia="bg-BG"/>
              </w:rPr>
              <w:t>274 800</w:t>
            </w:r>
          </w:p>
        </w:tc>
        <w:tc>
          <w:tcPr>
            <w:tcW w:w="471" w:type="pct"/>
            <w:tcBorders>
              <w:top w:val="nil"/>
              <w:left w:val="nil"/>
              <w:bottom w:val="single" w:sz="4" w:space="0" w:color="auto"/>
              <w:right w:val="single" w:sz="4" w:space="0" w:color="auto"/>
            </w:tcBorders>
            <w:shd w:val="clear" w:color="000000" w:fill="FFFFFF"/>
            <w:noWrap/>
            <w:vAlign w:val="center"/>
          </w:tcPr>
          <w:p w14:paraId="7C6E8ABE" w14:textId="77777777" w:rsidR="005376E6" w:rsidRPr="005376E6" w:rsidRDefault="005376E6" w:rsidP="005376E6">
            <w:pPr>
              <w:jc w:val="right"/>
              <w:rPr>
                <w:rFonts w:ascii="Arial Narrow" w:hAnsi="Arial Narrow" w:cs="Calibri"/>
                <w:b/>
                <w:color w:val="000000"/>
                <w:sz w:val="20"/>
                <w:szCs w:val="20"/>
                <w:lang w:val="bg-BG" w:eastAsia="bg-BG"/>
              </w:rPr>
            </w:pPr>
            <w:r w:rsidRPr="005376E6">
              <w:rPr>
                <w:rFonts w:ascii="Arial Narrow" w:hAnsi="Arial Narrow" w:cs="Calibri"/>
                <w:b/>
                <w:color w:val="000000"/>
                <w:sz w:val="20"/>
                <w:szCs w:val="20"/>
                <w:lang w:val="bg-BG" w:eastAsia="bg-BG"/>
              </w:rPr>
              <w:t>672 632</w:t>
            </w:r>
          </w:p>
        </w:tc>
        <w:tc>
          <w:tcPr>
            <w:tcW w:w="476" w:type="pct"/>
            <w:tcBorders>
              <w:top w:val="nil"/>
              <w:left w:val="nil"/>
              <w:bottom w:val="single" w:sz="4" w:space="0" w:color="auto"/>
              <w:right w:val="single" w:sz="4" w:space="0" w:color="auto"/>
            </w:tcBorders>
            <w:shd w:val="clear" w:color="000000" w:fill="FFFFFF"/>
            <w:noWrap/>
            <w:vAlign w:val="center"/>
          </w:tcPr>
          <w:p w14:paraId="37CDA139" w14:textId="77777777" w:rsidR="005376E6" w:rsidRPr="005376E6" w:rsidRDefault="005376E6" w:rsidP="005376E6">
            <w:pPr>
              <w:jc w:val="right"/>
              <w:rPr>
                <w:rFonts w:ascii="Arial Narrow" w:hAnsi="Arial Narrow" w:cs="Calibri"/>
                <w:b/>
                <w:color w:val="000000"/>
                <w:sz w:val="20"/>
                <w:szCs w:val="20"/>
                <w:lang w:val="bg-BG" w:eastAsia="bg-BG"/>
              </w:rPr>
            </w:pPr>
            <w:r w:rsidRPr="005376E6">
              <w:rPr>
                <w:rFonts w:ascii="Arial Narrow" w:hAnsi="Arial Narrow" w:cs="Calibri"/>
                <w:b/>
                <w:color w:val="000000"/>
                <w:sz w:val="20"/>
                <w:szCs w:val="20"/>
                <w:lang w:val="bg-BG" w:eastAsia="bg-BG"/>
              </w:rPr>
              <w:t>266 637</w:t>
            </w:r>
          </w:p>
        </w:tc>
        <w:tc>
          <w:tcPr>
            <w:tcW w:w="471" w:type="pct"/>
            <w:tcBorders>
              <w:top w:val="nil"/>
              <w:left w:val="nil"/>
              <w:bottom w:val="single" w:sz="4" w:space="0" w:color="auto"/>
              <w:right w:val="single" w:sz="4" w:space="0" w:color="auto"/>
            </w:tcBorders>
            <w:shd w:val="clear" w:color="000000" w:fill="FFFFFF"/>
            <w:noWrap/>
            <w:vAlign w:val="center"/>
          </w:tcPr>
          <w:p w14:paraId="66AEC778" w14:textId="77777777" w:rsidR="005376E6" w:rsidRPr="005376E6" w:rsidRDefault="005376E6" w:rsidP="005376E6">
            <w:pPr>
              <w:jc w:val="right"/>
              <w:rPr>
                <w:rFonts w:ascii="Arial Narrow" w:hAnsi="Arial Narrow" w:cs="Calibri"/>
                <w:b/>
                <w:color w:val="000000"/>
                <w:sz w:val="20"/>
                <w:szCs w:val="20"/>
                <w:lang w:val="bg-BG" w:eastAsia="bg-BG"/>
              </w:rPr>
            </w:pPr>
            <w:r w:rsidRPr="005376E6">
              <w:rPr>
                <w:rFonts w:ascii="Arial Narrow" w:hAnsi="Arial Narrow" w:cs="Calibri"/>
                <w:b/>
                <w:color w:val="000000"/>
                <w:sz w:val="20"/>
                <w:szCs w:val="20"/>
                <w:lang w:val="bg-BG" w:eastAsia="bg-BG"/>
              </w:rPr>
              <w:t>308 375</w:t>
            </w:r>
          </w:p>
        </w:tc>
        <w:tc>
          <w:tcPr>
            <w:tcW w:w="471" w:type="pct"/>
            <w:tcBorders>
              <w:top w:val="nil"/>
              <w:left w:val="nil"/>
              <w:bottom w:val="single" w:sz="4" w:space="0" w:color="auto"/>
              <w:right w:val="single" w:sz="4" w:space="0" w:color="auto"/>
            </w:tcBorders>
            <w:shd w:val="clear" w:color="000000" w:fill="FFFFFF"/>
            <w:noWrap/>
            <w:vAlign w:val="center"/>
          </w:tcPr>
          <w:p w14:paraId="5A273689" w14:textId="77777777" w:rsidR="005376E6" w:rsidRPr="005376E6" w:rsidRDefault="005376E6" w:rsidP="005376E6">
            <w:pPr>
              <w:jc w:val="right"/>
              <w:rPr>
                <w:rFonts w:ascii="Arial Narrow" w:hAnsi="Arial Narrow" w:cs="Calibri"/>
                <w:b/>
                <w:color w:val="000000"/>
                <w:sz w:val="20"/>
                <w:szCs w:val="20"/>
                <w:lang w:val="bg-BG" w:eastAsia="bg-BG"/>
              </w:rPr>
            </w:pPr>
            <w:r w:rsidRPr="005376E6">
              <w:rPr>
                <w:rFonts w:ascii="Arial Narrow" w:hAnsi="Arial Narrow" w:cs="Calibri"/>
                <w:b/>
                <w:color w:val="000000"/>
                <w:sz w:val="20"/>
                <w:szCs w:val="20"/>
                <w:lang w:val="bg-BG" w:eastAsia="bg-BG"/>
              </w:rPr>
              <w:t>772 787</w:t>
            </w:r>
          </w:p>
        </w:tc>
        <w:tc>
          <w:tcPr>
            <w:tcW w:w="476" w:type="pct"/>
            <w:tcBorders>
              <w:top w:val="nil"/>
              <w:left w:val="nil"/>
              <w:bottom w:val="single" w:sz="4" w:space="0" w:color="auto"/>
              <w:right w:val="single" w:sz="4" w:space="0" w:color="auto"/>
            </w:tcBorders>
            <w:shd w:val="clear" w:color="000000" w:fill="FFFFFF"/>
            <w:noWrap/>
            <w:vAlign w:val="center"/>
          </w:tcPr>
          <w:p w14:paraId="2D640DD9" w14:textId="77777777" w:rsidR="005376E6" w:rsidRPr="005376E6" w:rsidRDefault="005376E6" w:rsidP="005376E6">
            <w:pPr>
              <w:jc w:val="right"/>
              <w:rPr>
                <w:rFonts w:ascii="Arial Narrow" w:hAnsi="Arial Narrow" w:cs="Calibri"/>
                <w:b/>
                <w:color w:val="000000"/>
                <w:sz w:val="20"/>
                <w:szCs w:val="20"/>
                <w:lang w:val="bg-BG" w:eastAsia="bg-BG"/>
              </w:rPr>
            </w:pPr>
            <w:r w:rsidRPr="005376E6">
              <w:rPr>
                <w:rFonts w:ascii="Arial Narrow" w:hAnsi="Arial Narrow" w:cs="Calibri"/>
                <w:b/>
                <w:color w:val="000000"/>
                <w:sz w:val="20"/>
                <w:szCs w:val="20"/>
                <w:lang w:val="bg-BG" w:eastAsia="bg-BG"/>
              </w:rPr>
              <w:t>294 737</w:t>
            </w:r>
          </w:p>
        </w:tc>
        <w:tc>
          <w:tcPr>
            <w:tcW w:w="471" w:type="pct"/>
            <w:tcBorders>
              <w:top w:val="nil"/>
              <w:left w:val="nil"/>
              <w:bottom w:val="single" w:sz="4" w:space="0" w:color="auto"/>
              <w:right w:val="single" w:sz="4" w:space="0" w:color="auto"/>
            </w:tcBorders>
            <w:shd w:val="clear" w:color="000000" w:fill="FFFFFF"/>
            <w:noWrap/>
            <w:vAlign w:val="center"/>
          </w:tcPr>
          <w:p w14:paraId="7273FCC5" w14:textId="77777777" w:rsidR="005376E6" w:rsidRPr="005376E6" w:rsidRDefault="005376E6" w:rsidP="005376E6">
            <w:pPr>
              <w:jc w:val="right"/>
              <w:rPr>
                <w:rFonts w:ascii="Arial Narrow" w:hAnsi="Arial Narrow" w:cs="Calibri"/>
                <w:b/>
                <w:color w:val="000000"/>
                <w:sz w:val="20"/>
                <w:szCs w:val="20"/>
                <w:lang w:val="bg-BG" w:eastAsia="bg-BG"/>
              </w:rPr>
            </w:pPr>
            <w:r w:rsidRPr="005376E6">
              <w:rPr>
                <w:rFonts w:ascii="Arial Narrow" w:hAnsi="Arial Narrow" w:cs="Calibri"/>
                <w:b/>
                <w:color w:val="000000"/>
                <w:sz w:val="20"/>
                <w:szCs w:val="20"/>
                <w:lang w:val="bg-BG" w:eastAsia="bg-BG"/>
              </w:rPr>
              <w:t>342 614</w:t>
            </w:r>
          </w:p>
        </w:tc>
        <w:tc>
          <w:tcPr>
            <w:tcW w:w="471" w:type="pct"/>
            <w:tcBorders>
              <w:top w:val="nil"/>
              <w:left w:val="nil"/>
              <w:bottom w:val="single" w:sz="4" w:space="0" w:color="auto"/>
              <w:right w:val="single" w:sz="4" w:space="0" w:color="auto"/>
            </w:tcBorders>
            <w:shd w:val="clear" w:color="000000" w:fill="FFFFFF"/>
            <w:noWrap/>
            <w:vAlign w:val="center"/>
          </w:tcPr>
          <w:p w14:paraId="66B50195" w14:textId="77777777" w:rsidR="005376E6" w:rsidRPr="005376E6" w:rsidRDefault="005376E6" w:rsidP="005376E6">
            <w:pPr>
              <w:jc w:val="right"/>
              <w:rPr>
                <w:rFonts w:ascii="Arial Narrow" w:hAnsi="Arial Narrow" w:cs="Calibri"/>
                <w:b/>
                <w:color w:val="000000"/>
                <w:sz w:val="20"/>
                <w:szCs w:val="20"/>
                <w:lang w:val="bg-BG" w:eastAsia="bg-BG"/>
              </w:rPr>
            </w:pPr>
            <w:r w:rsidRPr="005376E6">
              <w:rPr>
                <w:rFonts w:ascii="Arial Narrow" w:hAnsi="Arial Narrow" w:cs="Calibri"/>
                <w:b/>
                <w:color w:val="000000"/>
                <w:sz w:val="20"/>
                <w:szCs w:val="20"/>
                <w:lang w:val="bg-BG" w:eastAsia="bg-BG"/>
              </w:rPr>
              <w:t>879 858</w:t>
            </w:r>
          </w:p>
        </w:tc>
        <w:tc>
          <w:tcPr>
            <w:tcW w:w="474" w:type="pct"/>
            <w:tcBorders>
              <w:top w:val="nil"/>
              <w:left w:val="nil"/>
              <w:bottom w:val="single" w:sz="4" w:space="0" w:color="auto"/>
              <w:right w:val="single" w:sz="4" w:space="0" w:color="auto"/>
            </w:tcBorders>
            <w:shd w:val="clear" w:color="000000" w:fill="FFFFFF"/>
            <w:noWrap/>
            <w:vAlign w:val="center"/>
          </w:tcPr>
          <w:p w14:paraId="490AA03F" w14:textId="77777777" w:rsidR="005376E6" w:rsidRPr="005376E6" w:rsidRDefault="005376E6" w:rsidP="005376E6">
            <w:pPr>
              <w:jc w:val="right"/>
              <w:rPr>
                <w:rFonts w:ascii="Arial Narrow" w:hAnsi="Arial Narrow" w:cs="Calibri"/>
                <w:b/>
                <w:color w:val="000000"/>
                <w:sz w:val="20"/>
                <w:szCs w:val="20"/>
                <w:lang w:val="bg-BG" w:eastAsia="bg-BG"/>
              </w:rPr>
            </w:pPr>
            <w:r w:rsidRPr="005376E6">
              <w:rPr>
                <w:rFonts w:ascii="Arial Narrow" w:hAnsi="Arial Narrow" w:cs="Calibri"/>
                <w:b/>
                <w:color w:val="000000"/>
                <w:sz w:val="20"/>
                <w:szCs w:val="20"/>
                <w:lang w:val="bg-BG" w:eastAsia="bg-BG"/>
              </w:rPr>
              <w:t>311 613</w:t>
            </w:r>
          </w:p>
        </w:tc>
      </w:tr>
    </w:tbl>
    <w:p w14:paraId="54DA3A8A" w14:textId="77777777" w:rsidR="00121CC1" w:rsidRPr="00EA0339" w:rsidRDefault="005376E6" w:rsidP="005376E6">
      <w:pPr>
        <w:spacing w:after="240"/>
        <w:jc w:val="both"/>
        <w:rPr>
          <w:rFonts w:ascii="Arial Narrow" w:eastAsia="Calibri" w:hAnsi="Arial Narrow"/>
          <w:i/>
          <w:sz w:val="18"/>
          <w:szCs w:val="18"/>
          <w:lang w:val="bg-BG" w:eastAsia="bg-BG"/>
        </w:rPr>
      </w:pPr>
      <w:r w:rsidRPr="00EA0339">
        <w:rPr>
          <w:rFonts w:ascii="Arial Narrow" w:eastAsia="Calibri" w:hAnsi="Arial Narrow"/>
          <w:i/>
          <w:sz w:val="18"/>
          <w:szCs w:val="18"/>
          <w:lang w:val="bg-BG" w:eastAsia="bg-BG"/>
        </w:rPr>
        <w:t>Източник: „Напоителни системи” ЕАД</w:t>
      </w:r>
    </w:p>
    <w:p w14:paraId="5304AC07" w14:textId="77777777" w:rsidR="007A1413" w:rsidRPr="007A1413" w:rsidRDefault="00C56BA7" w:rsidP="007A1413">
      <w:pPr>
        <w:pStyle w:val="ListParagraph"/>
        <w:numPr>
          <w:ilvl w:val="1"/>
          <w:numId w:val="3"/>
        </w:numPr>
        <w:spacing w:after="120"/>
        <w:contextualSpacing w:val="0"/>
        <w:outlineLvl w:val="0"/>
        <w:rPr>
          <w:rFonts w:ascii="Arial Narrow" w:hAnsi="Arial Narrow" w:cs="Arial"/>
          <w:b/>
          <w:lang w:val="bg-BG"/>
        </w:rPr>
      </w:pPr>
      <w:bookmarkStart w:id="138" w:name="_Toc210747608"/>
      <w:r w:rsidRPr="007A1413">
        <w:rPr>
          <w:rFonts w:ascii="Arial Narrow" w:hAnsi="Arial Narrow" w:cs="Arial"/>
          <w:b/>
          <w:lang w:val="bg-BG"/>
        </w:rPr>
        <w:t>Подкрепа за инвестиции в хидромелиоративна инфраструктура</w:t>
      </w:r>
      <w:bookmarkEnd w:id="138"/>
    </w:p>
    <w:p w14:paraId="754877F5" w14:textId="77777777" w:rsidR="007A1413" w:rsidRPr="00685B73" w:rsidRDefault="007A1413" w:rsidP="007A1413">
      <w:pPr>
        <w:ind w:firstLine="720"/>
        <w:jc w:val="both"/>
        <w:rPr>
          <w:rFonts w:ascii="Arial Narrow" w:hAnsi="Arial Narrow"/>
          <w:lang w:val="bg-BG"/>
        </w:rPr>
      </w:pPr>
      <w:r w:rsidRPr="004935D9">
        <w:rPr>
          <w:rFonts w:ascii="Arial Narrow" w:hAnsi="Arial Narrow"/>
          <w:lang w:val="bg-BG"/>
        </w:rPr>
        <w:t xml:space="preserve">Провеждането на държавната политика, </w:t>
      </w:r>
      <w:r>
        <w:rPr>
          <w:rFonts w:ascii="Arial Narrow" w:hAnsi="Arial Narrow"/>
          <w:lang w:val="bg-BG"/>
        </w:rPr>
        <w:t>насочена към</w:t>
      </w:r>
      <w:r w:rsidRPr="004935D9">
        <w:rPr>
          <w:rFonts w:ascii="Arial Narrow" w:hAnsi="Arial Narrow"/>
          <w:lang w:val="bg-BG"/>
        </w:rPr>
        <w:t xml:space="preserve"> развитието и поддържането на устойчиво, конкурентоспособно земеделие е неразривно свързано с адекватното стопанисване, управление и използване на изградената хидромелиоративна инфраструктура за доставка на вода за напояване, както и подсигуряване на ефикасна превенция чрез реконструкция/рехабилитация и модернизация на хидромелиоративна</w:t>
      </w:r>
      <w:r>
        <w:rPr>
          <w:rFonts w:ascii="Arial Narrow" w:hAnsi="Arial Narrow"/>
          <w:lang w:val="bg-BG"/>
        </w:rPr>
        <w:t>та</w:t>
      </w:r>
      <w:r w:rsidRPr="004935D9">
        <w:rPr>
          <w:rFonts w:ascii="Arial Narrow" w:hAnsi="Arial Narrow"/>
          <w:lang w:val="bg-BG"/>
        </w:rPr>
        <w:t xml:space="preserve"> инфраструктура</w:t>
      </w:r>
      <w:r>
        <w:rPr>
          <w:rFonts w:ascii="Arial Narrow" w:hAnsi="Arial Narrow"/>
          <w:lang w:val="bg-BG"/>
        </w:rPr>
        <w:t>,</w:t>
      </w:r>
      <w:r w:rsidRPr="004935D9">
        <w:rPr>
          <w:rFonts w:ascii="Arial Narrow" w:hAnsi="Arial Narrow"/>
          <w:lang w:val="bg-BG"/>
        </w:rPr>
        <w:t xml:space="preserve"> използвана за селскостопански цели и адаптиране на селското стопанство към последиците от изменението на климата</w:t>
      </w:r>
      <w:r w:rsidRPr="00685B73">
        <w:rPr>
          <w:rFonts w:ascii="Arial Narrow" w:hAnsi="Arial Narrow"/>
          <w:lang w:val="bg-BG"/>
        </w:rPr>
        <w:t>.</w:t>
      </w:r>
    </w:p>
    <w:p w14:paraId="782EF606" w14:textId="77777777" w:rsidR="007A1413" w:rsidRPr="00C94820" w:rsidRDefault="007A1413" w:rsidP="007A1413">
      <w:pPr>
        <w:ind w:firstLine="720"/>
        <w:jc w:val="both"/>
        <w:rPr>
          <w:rFonts w:ascii="Arial Narrow" w:hAnsi="Arial Narrow"/>
          <w:lang w:val="bg-BG"/>
        </w:rPr>
      </w:pPr>
      <w:r w:rsidRPr="004935D9">
        <w:rPr>
          <w:rFonts w:ascii="Arial Narrow" w:hAnsi="Arial Narrow"/>
          <w:lang w:val="bg-BG"/>
        </w:rPr>
        <w:t xml:space="preserve">С цел трайно осигуряване на по-качествена услуга и намаляване загубите на вода е необходимо </w:t>
      </w:r>
      <w:r>
        <w:rPr>
          <w:rFonts w:ascii="Arial Narrow" w:hAnsi="Arial Narrow"/>
          <w:lang w:val="bg-BG"/>
        </w:rPr>
        <w:t>влагането</w:t>
      </w:r>
      <w:r w:rsidRPr="004935D9">
        <w:rPr>
          <w:rFonts w:ascii="Arial Narrow" w:hAnsi="Arial Narrow"/>
          <w:lang w:val="bg-BG"/>
        </w:rPr>
        <w:t xml:space="preserve"> на значително по-големи средства. </w:t>
      </w:r>
      <w:r w:rsidRPr="00C94820">
        <w:rPr>
          <w:rFonts w:ascii="Arial Narrow" w:hAnsi="Arial Narrow"/>
          <w:lang w:val="bg-BG"/>
        </w:rPr>
        <w:t xml:space="preserve">В тази връзка </w:t>
      </w:r>
      <w:r>
        <w:rPr>
          <w:rFonts w:ascii="Arial Narrow" w:hAnsi="Arial Narrow"/>
          <w:lang w:val="bg-BG"/>
        </w:rPr>
        <w:t>„Напоителни системи“</w:t>
      </w:r>
      <w:r w:rsidRPr="004935D9">
        <w:rPr>
          <w:rFonts w:ascii="Arial Narrow" w:hAnsi="Arial Narrow"/>
          <w:lang w:val="bg-BG"/>
        </w:rPr>
        <w:t xml:space="preserve"> ЕАД</w:t>
      </w:r>
      <w:r>
        <w:rPr>
          <w:rFonts w:ascii="Arial Narrow" w:hAnsi="Arial Narrow"/>
          <w:lang w:val="bg-BG"/>
        </w:rPr>
        <w:t xml:space="preserve"> е кандидатствало по подмярка 4.3 „</w:t>
      </w:r>
      <w:r w:rsidRPr="00C94820">
        <w:rPr>
          <w:rFonts w:ascii="Arial Narrow" w:hAnsi="Arial Narrow"/>
          <w:lang w:val="bg-BG"/>
        </w:rPr>
        <w:t xml:space="preserve">Подкрепа за инвестиции в инфраструктура, свързана с развитието, модернизирането или адаптирането </w:t>
      </w:r>
      <w:r>
        <w:rPr>
          <w:rFonts w:ascii="Arial Narrow" w:hAnsi="Arial Narrow"/>
          <w:lang w:val="bg-BG"/>
        </w:rPr>
        <w:t>на селското и горско стопанство“ от мярка 4 „Инвестиции в материални активи“ от Програмата за развитие на селските райони за периода 2014 – 2020 г</w:t>
      </w:r>
      <w:r w:rsidRPr="00C94820">
        <w:rPr>
          <w:rFonts w:ascii="Arial Narrow" w:hAnsi="Arial Narrow"/>
          <w:lang w:val="bg-BG"/>
        </w:rPr>
        <w:t xml:space="preserve">. </w:t>
      </w:r>
    </w:p>
    <w:p w14:paraId="3CA1467B" w14:textId="77777777" w:rsidR="007A1413" w:rsidRDefault="007A1413" w:rsidP="007A1413">
      <w:pPr>
        <w:ind w:firstLine="720"/>
        <w:jc w:val="both"/>
        <w:rPr>
          <w:rFonts w:ascii="Arial Narrow" w:hAnsi="Arial Narrow"/>
          <w:lang w:val="bg-BG"/>
        </w:rPr>
      </w:pPr>
      <w:r w:rsidRPr="004935D9">
        <w:rPr>
          <w:rFonts w:ascii="Arial Narrow" w:hAnsi="Arial Narrow"/>
          <w:lang w:val="bg-BG"/>
        </w:rPr>
        <w:t xml:space="preserve">Съгласно условията за кандидатстване по </w:t>
      </w:r>
      <w:r>
        <w:rPr>
          <w:rFonts w:ascii="Arial Narrow" w:hAnsi="Arial Narrow"/>
          <w:lang w:val="bg-BG"/>
        </w:rPr>
        <w:t>под</w:t>
      </w:r>
      <w:r w:rsidRPr="004935D9">
        <w:rPr>
          <w:rFonts w:ascii="Arial Narrow" w:hAnsi="Arial Narrow"/>
          <w:lang w:val="bg-BG"/>
        </w:rPr>
        <w:t>мярка 4.3</w:t>
      </w:r>
      <w:r>
        <w:rPr>
          <w:rFonts w:ascii="Arial Narrow" w:hAnsi="Arial Narrow"/>
          <w:lang w:val="bg-BG"/>
        </w:rPr>
        <w:t xml:space="preserve"> са</w:t>
      </w:r>
      <w:r w:rsidRPr="004935D9">
        <w:rPr>
          <w:rFonts w:ascii="Arial Narrow" w:hAnsi="Arial Narrow"/>
          <w:lang w:val="bg-BG"/>
        </w:rPr>
        <w:t xml:space="preserve"> одобрени двадесет и </w:t>
      </w:r>
      <w:r>
        <w:rPr>
          <w:rFonts w:ascii="Arial Narrow" w:hAnsi="Arial Narrow"/>
          <w:lang w:val="bg-BG"/>
        </w:rPr>
        <w:t>четири проектни предложения от „Напоителни системи“</w:t>
      </w:r>
      <w:r w:rsidRPr="004935D9">
        <w:rPr>
          <w:rFonts w:ascii="Arial Narrow" w:hAnsi="Arial Narrow"/>
          <w:lang w:val="bg-BG"/>
        </w:rPr>
        <w:t xml:space="preserve"> ЕАД за възстановяване на съществуващи хидромелиоративни съоръже</w:t>
      </w:r>
      <w:r>
        <w:rPr>
          <w:rFonts w:ascii="Arial Narrow" w:hAnsi="Arial Narrow"/>
          <w:lang w:val="bg-BG"/>
        </w:rPr>
        <w:t>ния за напояване. През 2023 г. са</w:t>
      </w:r>
      <w:r w:rsidRPr="004935D9">
        <w:rPr>
          <w:rFonts w:ascii="Arial Narrow" w:hAnsi="Arial Narrow"/>
          <w:lang w:val="bg-BG"/>
        </w:rPr>
        <w:t xml:space="preserve"> </w:t>
      </w:r>
      <w:r>
        <w:rPr>
          <w:rFonts w:ascii="Arial Narrow" w:hAnsi="Arial Narrow"/>
          <w:lang w:val="bg-BG"/>
        </w:rPr>
        <w:t>сключ</w:t>
      </w:r>
      <w:r w:rsidRPr="004935D9">
        <w:rPr>
          <w:rFonts w:ascii="Arial Narrow" w:hAnsi="Arial Narrow"/>
          <w:lang w:val="bg-BG"/>
        </w:rPr>
        <w:t>е</w:t>
      </w:r>
      <w:r>
        <w:rPr>
          <w:rFonts w:ascii="Arial Narrow" w:hAnsi="Arial Narrow"/>
          <w:lang w:val="bg-BG"/>
        </w:rPr>
        <w:t>ни</w:t>
      </w:r>
      <w:r w:rsidRPr="004935D9">
        <w:rPr>
          <w:rFonts w:ascii="Arial Narrow" w:hAnsi="Arial Narrow"/>
          <w:lang w:val="bg-BG"/>
        </w:rPr>
        <w:t xml:space="preserve"> договори за изпълнение на всички обекти, одобрени по</w:t>
      </w:r>
      <w:r>
        <w:rPr>
          <w:rFonts w:ascii="Arial Narrow" w:hAnsi="Arial Narrow"/>
          <w:lang w:val="bg-BG"/>
        </w:rPr>
        <w:t xml:space="preserve"> мярката. С</w:t>
      </w:r>
      <w:r w:rsidRPr="00426439">
        <w:rPr>
          <w:rFonts w:ascii="Arial Narrow" w:hAnsi="Arial Narrow"/>
          <w:lang w:val="bg-BG"/>
        </w:rPr>
        <w:t xml:space="preserve">троително-монтажните </w:t>
      </w:r>
      <w:r>
        <w:rPr>
          <w:rFonts w:ascii="Arial Narrow" w:hAnsi="Arial Narrow"/>
          <w:lang w:val="bg-BG"/>
        </w:rPr>
        <w:t>дейности по</w:t>
      </w:r>
      <w:r w:rsidRPr="00426439">
        <w:rPr>
          <w:rFonts w:ascii="Arial Narrow" w:hAnsi="Arial Narrow"/>
          <w:lang w:val="bg-BG"/>
        </w:rPr>
        <w:t xml:space="preserve"> всички 24 обекта са завършени.</w:t>
      </w:r>
    </w:p>
    <w:p w14:paraId="1219B1BB" w14:textId="77777777" w:rsidR="007A1413" w:rsidRDefault="007A1413" w:rsidP="007A1413">
      <w:pPr>
        <w:ind w:firstLine="720"/>
        <w:jc w:val="both"/>
        <w:rPr>
          <w:rFonts w:ascii="Arial Narrow" w:hAnsi="Arial Narrow"/>
          <w:lang w:val="bg-BG"/>
        </w:rPr>
      </w:pPr>
      <w:r>
        <w:rPr>
          <w:rFonts w:ascii="Arial Narrow" w:hAnsi="Arial Narrow"/>
          <w:lang w:val="bg-BG"/>
        </w:rPr>
        <w:t>„Напоителни системи“</w:t>
      </w:r>
      <w:r w:rsidRPr="00C67FA7">
        <w:rPr>
          <w:rFonts w:ascii="Arial Narrow" w:hAnsi="Arial Narrow"/>
          <w:lang w:val="bg-BG"/>
        </w:rPr>
        <w:t xml:space="preserve"> ЕАД </w:t>
      </w:r>
      <w:r>
        <w:rPr>
          <w:rFonts w:ascii="Arial Narrow" w:hAnsi="Arial Narrow"/>
          <w:lang w:val="bg-BG"/>
        </w:rPr>
        <w:t>ще има</w:t>
      </w:r>
      <w:r w:rsidRPr="00802974">
        <w:rPr>
          <w:rFonts w:ascii="Arial Narrow" w:hAnsi="Arial Narrow"/>
          <w:lang w:val="bg-BG"/>
        </w:rPr>
        <w:t xml:space="preserve"> възможност </w:t>
      </w:r>
      <w:r>
        <w:rPr>
          <w:rFonts w:ascii="Arial Narrow" w:hAnsi="Arial Narrow"/>
          <w:lang w:val="bg-BG"/>
        </w:rPr>
        <w:t>да</w:t>
      </w:r>
      <w:r w:rsidRPr="00802974">
        <w:rPr>
          <w:rFonts w:ascii="Arial Narrow" w:hAnsi="Arial Narrow"/>
          <w:lang w:val="bg-BG"/>
        </w:rPr>
        <w:t xml:space="preserve"> кандидатства</w:t>
      </w:r>
      <w:r>
        <w:rPr>
          <w:rFonts w:ascii="Arial Narrow" w:hAnsi="Arial Narrow"/>
          <w:lang w:val="bg-BG"/>
        </w:rPr>
        <w:t xml:space="preserve"> и</w:t>
      </w:r>
      <w:r w:rsidRPr="00802974">
        <w:rPr>
          <w:rFonts w:ascii="Arial Narrow" w:hAnsi="Arial Narrow"/>
          <w:lang w:val="bg-BG"/>
        </w:rPr>
        <w:t xml:space="preserve"> по </w:t>
      </w:r>
      <w:r w:rsidRPr="00C67FA7">
        <w:rPr>
          <w:rFonts w:ascii="Arial Narrow" w:hAnsi="Arial Narrow"/>
          <w:lang w:val="bg-BG"/>
        </w:rPr>
        <w:t>интервенция II. Г.5 „Инвестиции в инфраструктура за напояване“</w:t>
      </w:r>
      <w:r>
        <w:rPr>
          <w:rFonts w:ascii="Arial Narrow" w:hAnsi="Arial Narrow"/>
          <w:lang w:val="bg-BG"/>
        </w:rPr>
        <w:t xml:space="preserve"> от</w:t>
      </w:r>
      <w:r w:rsidRPr="00802974">
        <w:rPr>
          <w:rFonts w:ascii="Arial Narrow" w:hAnsi="Arial Narrow"/>
          <w:lang w:val="bg-BG"/>
        </w:rPr>
        <w:t xml:space="preserve"> Стратегически</w:t>
      </w:r>
      <w:r>
        <w:rPr>
          <w:rFonts w:ascii="Arial Narrow" w:hAnsi="Arial Narrow"/>
          <w:lang w:val="bg-BG"/>
        </w:rPr>
        <w:t>я</w:t>
      </w:r>
      <w:r w:rsidRPr="00802974">
        <w:rPr>
          <w:rFonts w:ascii="Arial Narrow" w:hAnsi="Arial Narrow"/>
          <w:lang w:val="bg-BG"/>
        </w:rPr>
        <w:t xml:space="preserve"> план за развитие на земеделието и селските райони на България за периода 2023 - 2027 г.</w:t>
      </w:r>
      <w:r w:rsidRPr="00C67FA7">
        <w:rPr>
          <w:rFonts w:ascii="Arial Narrow" w:hAnsi="Arial Narrow"/>
          <w:lang w:val="bg-BG"/>
        </w:rPr>
        <w:t xml:space="preserve"> </w:t>
      </w:r>
      <w:r w:rsidRPr="00297622">
        <w:rPr>
          <w:rFonts w:ascii="Arial Narrow" w:hAnsi="Arial Narrow"/>
          <w:lang w:val="bg-BG"/>
        </w:rPr>
        <w:t>Подкрепата в рамките на интервенцията ще бъде насочена към инфраструктура за напояване, чрез която се постига икономическа устойчивост чрез увеличаване на съотношението между ползите за сектора на селското стопанство</w:t>
      </w:r>
      <w:r>
        <w:rPr>
          <w:rFonts w:ascii="Arial Narrow" w:hAnsi="Arial Narrow"/>
          <w:lang w:val="bg-BG"/>
        </w:rPr>
        <w:t>, както</w:t>
      </w:r>
      <w:r w:rsidRPr="00297622">
        <w:rPr>
          <w:rFonts w:ascii="Arial Narrow" w:hAnsi="Arial Narrow"/>
          <w:lang w:val="bg-BG"/>
        </w:rPr>
        <w:t xml:space="preserve"> и екологична устойчивост чрез ефективно използване на водните ресурси. </w:t>
      </w:r>
      <w:r>
        <w:rPr>
          <w:rFonts w:ascii="Arial Narrow" w:hAnsi="Arial Narrow"/>
          <w:lang w:val="bg-BG"/>
        </w:rPr>
        <w:t xml:space="preserve">Подпомагането ще бъде насочено към оператори, които управляват хидромелиоративна инфраструктура и предоставят услугата „Доставяне на вода за напояване“ в съответствие с приложимото национално законодателство. </w:t>
      </w:r>
      <w:r w:rsidRPr="00C67FA7">
        <w:rPr>
          <w:rFonts w:ascii="Arial Narrow" w:hAnsi="Arial Narrow"/>
          <w:lang w:val="bg-BG"/>
        </w:rPr>
        <w:t xml:space="preserve">Предвиден е финансов ресурс в размер на </w:t>
      </w:r>
      <w:r>
        <w:rPr>
          <w:rFonts w:ascii="Arial Narrow" w:hAnsi="Arial Narrow"/>
          <w:lang w:val="bg-BG"/>
        </w:rPr>
        <w:t xml:space="preserve">общо </w:t>
      </w:r>
      <w:r w:rsidRPr="00C67FA7">
        <w:rPr>
          <w:rFonts w:ascii="Arial Narrow" w:hAnsi="Arial Narrow"/>
          <w:lang w:val="bg-BG"/>
        </w:rPr>
        <w:t>100 млн. евро публични средства.</w:t>
      </w:r>
    </w:p>
    <w:p w14:paraId="7EC40CA0" w14:textId="77777777" w:rsidR="007A1413" w:rsidRPr="007A1413" w:rsidRDefault="007A1413" w:rsidP="00864916">
      <w:pPr>
        <w:spacing w:after="120"/>
        <w:ind w:firstLine="720"/>
        <w:jc w:val="both"/>
        <w:rPr>
          <w:rFonts w:ascii="Arial Narrow" w:hAnsi="Arial Narrow"/>
          <w:lang w:val="bg-BG"/>
        </w:rPr>
      </w:pPr>
      <w:r w:rsidRPr="00B232C5">
        <w:rPr>
          <w:rFonts w:ascii="Arial Narrow" w:hAnsi="Arial Narrow"/>
          <w:lang w:val="bg-BG"/>
        </w:rPr>
        <w:t xml:space="preserve">От страна на </w:t>
      </w:r>
      <w:r>
        <w:rPr>
          <w:rFonts w:ascii="Arial Narrow" w:hAnsi="Arial Narrow"/>
          <w:lang w:val="bg-BG"/>
        </w:rPr>
        <w:t>„Напоителни системи“</w:t>
      </w:r>
      <w:r w:rsidRPr="00C67FA7">
        <w:rPr>
          <w:rFonts w:ascii="Arial Narrow" w:hAnsi="Arial Narrow"/>
          <w:lang w:val="bg-BG"/>
        </w:rPr>
        <w:t xml:space="preserve"> ЕАД</w:t>
      </w:r>
      <w:r w:rsidRPr="00B232C5">
        <w:rPr>
          <w:rFonts w:ascii="Arial Narrow" w:hAnsi="Arial Narrow"/>
          <w:lang w:val="bg-BG"/>
        </w:rPr>
        <w:t xml:space="preserve"> са подготвени общо 41 Инвестиционни предложения за подпомагане, като същите са подбрани така, че включват участъци от най-интензивно използваните съоръжения за напояване с първостепенна нужда от рехабилитация, разположени на територията на цялата страна. </w:t>
      </w:r>
    </w:p>
    <w:p w14:paraId="42255115" w14:textId="77777777" w:rsidR="008F526C" w:rsidRPr="00864916" w:rsidRDefault="008F526C" w:rsidP="008F526C">
      <w:pPr>
        <w:keepNext/>
        <w:keepLines/>
        <w:widowControl w:val="0"/>
        <w:numPr>
          <w:ilvl w:val="0"/>
          <w:numId w:val="3"/>
        </w:numPr>
        <w:spacing w:after="120"/>
        <w:ind w:left="357" w:firstLine="6"/>
        <w:outlineLvl w:val="0"/>
        <w:rPr>
          <w:rFonts w:ascii="Arial Narrow" w:eastAsia="Calibri" w:hAnsi="Arial Narrow" w:cs="Arial"/>
          <w:b/>
          <w:bCs/>
          <w:lang w:val="bg-BG"/>
        </w:rPr>
      </w:pPr>
      <w:bookmarkStart w:id="139" w:name="_Toc56176104"/>
      <w:bookmarkStart w:id="140" w:name="_Toc210747609"/>
      <w:r w:rsidRPr="00864916">
        <w:rPr>
          <w:rFonts w:ascii="Arial Narrow" w:eastAsia="Calibri" w:hAnsi="Arial Narrow" w:cs="Arial"/>
          <w:b/>
          <w:bCs/>
          <w:lang w:val="bg-BG"/>
        </w:rPr>
        <w:lastRenderedPageBreak/>
        <w:t>Растителна защита и фитосанитарен контрол</w:t>
      </w:r>
      <w:bookmarkEnd w:id="139"/>
      <w:bookmarkEnd w:id="140"/>
    </w:p>
    <w:p w14:paraId="2CA46F51" w14:textId="77777777" w:rsidR="00864916" w:rsidRPr="00864916" w:rsidRDefault="008F526C" w:rsidP="00864916">
      <w:pPr>
        <w:numPr>
          <w:ilvl w:val="1"/>
          <w:numId w:val="3"/>
        </w:numPr>
        <w:spacing w:after="120"/>
        <w:ind w:left="357" w:firstLine="0"/>
        <w:outlineLvl w:val="0"/>
        <w:rPr>
          <w:rFonts w:ascii="Arial Narrow" w:hAnsi="Arial Narrow"/>
          <w:b/>
          <w:lang w:val="bg-BG"/>
        </w:rPr>
      </w:pPr>
      <w:bookmarkStart w:id="141" w:name="_Toc210747610"/>
      <w:r w:rsidRPr="00864916">
        <w:rPr>
          <w:rFonts w:ascii="Arial Narrow" w:hAnsi="Arial Narrow"/>
          <w:b/>
          <w:lang w:val="bg-BG"/>
        </w:rPr>
        <w:t>Наблюдение върху развитието на икономически важни вредители и растителна защита</w:t>
      </w:r>
      <w:bookmarkEnd w:id="141"/>
    </w:p>
    <w:p w14:paraId="3B4F445A" w14:textId="77777777" w:rsidR="00864916" w:rsidRDefault="00864916" w:rsidP="00864916">
      <w:pPr>
        <w:spacing w:after="120"/>
        <w:ind w:firstLine="709"/>
        <w:jc w:val="both"/>
        <w:rPr>
          <w:rFonts w:ascii="Arial Narrow" w:hAnsi="Arial Narrow"/>
          <w:lang w:val="bg-BG"/>
        </w:rPr>
      </w:pPr>
      <w:r w:rsidRPr="004B09A8">
        <w:rPr>
          <w:rFonts w:ascii="Arial Narrow" w:hAnsi="Arial Narrow"/>
          <w:lang w:val="bg-BG"/>
        </w:rPr>
        <w:t>Инспекторите по растителна защита към ОДБХ извършват системни наблюдения на земеделските култури за появата, развитието и разпространението на икономически важни болести и неприятели, които са в пряка зависимост от агрометериологичните условия по време на вегетация на културите. Задължение на земеделските производители е своевременно да обследват полетата за нападение от болести и неприятели и да прилагат химичен контрол само при достигане на праговете на икономическа вредност на вредителите при различните култури.</w:t>
      </w:r>
    </w:p>
    <w:p w14:paraId="6AFE06EF" w14:textId="77777777" w:rsidR="008F526C" w:rsidRPr="00305E62" w:rsidRDefault="008F526C" w:rsidP="008F526C">
      <w:pPr>
        <w:numPr>
          <w:ilvl w:val="1"/>
          <w:numId w:val="3"/>
        </w:numPr>
        <w:spacing w:after="120"/>
        <w:ind w:left="360" w:firstLine="0"/>
        <w:outlineLvl w:val="0"/>
        <w:rPr>
          <w:rFonts w:ascii="Arial Narrow" w:hAnsi="Arial Narrow"/>
          <w:b/>
          <w:lang w:val="bg-BG"/>
        </w:rPr>
      </w:pPr>
      <w:bookmarkStart w:id="142" w:name="_Toc56176105"/>
      <w:bookmarkStart w:id="143" w:name="_Toc210747611"/>
      <w:r w:rsidRPr="00305E62">
        <w:rPr>
          <w:rFonts w:ascii="Arial Narrow" w:hAnsi="Arial Narrow"/>
          <w:b/>
          <w:lang w:val="bg-BG"/>
        </w:rPr>
        <w:t>Растителна защита</w:t>
      </w:r>
      <w:bookmarkEnd w:id="142"/>
      <w:bookmarkEnd w:id="143"/>
    </w:p>
    <w:p w14:paraId="2E5D01A7" w14:textId="77777777" w:rsidR="00305E62" w:rsidRPr="00305E62" w:rsidRDefault="00305E62" w:rsidP="00305E62">
      <w:pPr>
        <w:numPr>
          <w:ilvl w:val="0"/>
          <w:numId w:val="15"/>
        </w:numPr>
        <w:spacing w:after="120" w:line="285" w:lineRule="auto"/>
        <w:ind w:left="709" w:hanging="284"/>
        <w:jc w:val="both"/>
        <w:rPr>
          <w:rFonts w:ascii="Arial Narrow" w:hAnsi="Arial Narrow"/>
          <w:b/>
          <w:lang w:val="bg-BG" w:eastAsia="bg-BG"/>
        </w:rPr>
      </w:pPr>
      <w:r w:rsidRPr="00305E62">
        <w:rPr>
          <w:rFonts w:ascii="Arial Narrow" w:hAnsi="Arial Narrow"/>
          <w:b/>
          <w:lang w:val="bg-BG" w:eastAsia="bg-BG"/>
        </w:rPr>
        <w:t>Растителна защита при зърнено-житни култури</w:t>
      </w:r>
    </w:p>
    <w:p w14:paraId="41151CD7" w14:textId="77777777" w:rsidR="00305E62" w:rsidRPr="00305E62" w:rsidRDefault="00305E62" w:rsidP="00305E62">
      <w:pPr>
        <w:spacing w:after="120"/>
        <w:ind w:firstLine="709"/>
        <w:jc w:val="both"/>
        <w:rPr>
          <w:rFonts w:ascii="Arial Narrow" w:hAnsi="Arial Narrow"/>
          <w:lang w:val="bg-BG" w:eastAsia="bg-BG"/>
        </w:rPr>
      </w:pPr>
      <w:r w:rsidRPr="00305E62">
        <w:rPr>
          <w:rFonts w:ascii="Arial Narrow" w:hAnsi="Arial Narrow"/>
          <w:lang w:val="bg-BG" w:eastAsia="bg-BG"/>
        </w:rPr>
        <w:t xml:space="preserve">През 2024 г. общото фитосанитарно състояние на зърнено - житните култури е добро. </w:t>
      </w:r>
    </w:p>
    <w:p w14:paraId="62002E48" w14:textId="77777777" w:rsidR="00305E62" w:rsidRPr="00305E62" w:rsidRDefault="00305E62" w:rsidP="00305E62">
      <w:pPr>
        <w:keepNext/>
        <w:widowControl w:val="0"/>
        <w:spacing w:after="120"/>
        <w:ind w:firstLine="709"/>
        <w:jc w:val="both"/>
        <w:rPr>
          <w:rFonts w:ascii="Arial Narrow" w:hAnsi="Arial Narrow"/>
          <w:b/>
          <w:lang w:val="bg-BG" w:eastAsia="bg-BG"/>
        </w:rPr>
      </w:pPr>
      <w:r w:rsidRPr="00305E62">
        <w:rPr>
          <w:rFonts w:ascii="Arial Narrow" w:hAnsi="Arial Narrow"/>
          <w:b/>
          <w:lang w:val="bg-BG" w:eastAsia="bg-BG"/>
        </w:rPr>
        <w:t>Контрол на плевели</w:t>
      </w:r>
    </w:p>
    <w:p w14:paraId="3BFC799E" w14:textId="77777777" w:rsidR="00305E62" w:rsidRPr="00305E62" w:rsidRDefault="00305E62" w:rsidP="00305E62">
      <w:pPr>
        <w:spacing w:after="120"/>
        <w:ind w:firstLine="709"/>
        <w:jc w:val="both"/>
        <w:rPr>
          <w:rFonts w:ascii="Arial Narrow" w:hAnsi="Arial Narrow"/>
          <w:lang w:val="bg-BG" w:eastAsia="bg-BG"/>
        </w:rPr>
      </w:pPr>
      <w:r w:rsidRPr="00305E62">
        <w:rPr>
          <w:rFonts w:ascii="Arial Narrow" w:hAnsi="Arial Narrow"/>
          <w:lang w:val="bg-BG" w:eastAsia="bg-BG"/>
        </w:rPr>
        <w:t xml:space="preserve">В рамките на 2024 г. са внесени хербициди общо на 1 329,950 хил. ха с есенници (при 1 328,580 хил. ха през предходната година), в т. ч. 1 161,268 хил. ха с пшеница и 168,682 хил. ха с ечемик. Третиране срещу широколистни плевели е проведено на 566,996 хил. ха. </w:t>
      </w:r>
    </w:p>
    <w:p w14:paraId="5FD266BB" w14:textId="77777777" w:rsidR="00305E62" w:rsidRPr="00305E62" w:rsidRDefault="00305E62" w:rsidP="00305E62">
      <w:pPr>
        <w:spacing w:after="120"/>
        <w:ind w:firstLine="709"/>
        <w:jc w:val="both"/>
        <w:rPr>
          <w:rFonts w:ascii="Arial Narrow" w:hAnsi="Arial Narrow"/>
          <w:lang w:val="bg-BG" w:eastAsia="bg-BG"/>
        </w:rPr>
      </w:pPr>
      <w:r w:rsidRPr="00305E62">
        <w:rPr>
          <w:rFonts w:ascii="Arial Narrow" w:hAnsi="Arial Narrow"/>
          <w:lang w:val="bg-BG" w:eastAsia="bg-BG"/>
        </w:rPr>
        <w:t>Върху засетите площи с царевица са внесени почвени хербициди на 254,956 хил. ха, с вегетационни хербициди срещу видове житни и широколистни плевели са третирани общо 285,804 хил. ха.</w:t>
      </w:r>
    </w:p>
    <w:p w14:paraId="25BC06F3" w14:textId="77777777" w:rsidR="00305E62" w:rsidRPr="00305E62" w:rsidRDefault="00305E62" w:rsidP="00305E62">
      <w:pPr>
        <w:keepNext/>
        <w:widowControl w:val="0"/>
        <w:spacing w:after="120"/>
        <w:ind w:firstLine="709"/>
        <w:jc w:val="both"/>
        <w:rPr>
          <w:rFonts w:ascii="Arial Narrow" w:hAnsi="Arial Narrow"/>
          <w:b/>
          <w:lang w:val="bg-BG" w:eastAsia="bg-BG"/>
        </w:rPr>
      </w:pPr>
      <w:r w:rsidRPr="00305E62">
        <w:rPr>
          <w:rFonts w:ascii="Arial Narrow" w:hAnsi="Arial Narrow"/>
          <w:b/>
          <w:lang w:val="bg-BG" w:eastAsia="bg-BG"/>
        </w:rPr>
        <w:t xml:space="preserve">Контрол на неприятели и болести </w:t>
      </w:r>
    </w:p>
    <w:p w14:paraId="39636B26" w14:textId="77777777" w:rsidR="00305E62" w:rsidRPr="00305E62" w:rsidRDefault="00305E62" w:rsidP="00305E62">
      <w:pPr>
        <w:spacing w:after="120"/>
        <w:ind w:firstLine="708"/>
        <w:rPr>
          <w:rFonts w:ascii="Arial Narrow" w:hAnsi="Arial Narrow"/>
          <w:b/>
          <w:i/>
          <w:lang w:val="bg-BG" w:eastAsia="bg-BG"/>
        </w:rPr>
      </w:pPr>
      <w:r w:rsidRPr="00305E62">
        <w:rPr>
          <w:rFonts w:ascii="Arial Narrow" w:hAnsi="Arial Narrow"/>
          <w:b/>
          <w:i/>
          <w:lang w:val="bg-BG" w:eastAsia="bg-BG"/>
        </w:rPr>
        <w:t>Вредна житна дървеница</w:t>
      </w:r>
    </w:p>
    <w:p w14:paraId="36126699" w14:textId="77777777" w:rsidR="00305E62" w:rsidRPr="00305E62" w:rsidRDefault="00305E62" w:rsidP="00305E62">
      <w:pPr>
        <w:spacing w:after="120"/>
        <w:ind w:firstLine="709"/>
        <w:jc w:val="both"/>
        <w:rPr>
          <w:rFonts w:ascii="Arial Narrow" w:hAnsi="Arial Narrow"/>
          <w:lang w:val="bg-BG" w:eastAsia="bg-BG"/>
        </w:rPr>
      </w:pPr>
      <w:r w:rsidRPr="00305E62">
        <w:rPr>
          <w:rFonts w:ascii="Arial Narrow" w:hAnsi="Arial Narrow"/>
          <w:lang w:val="bg-BG" w:eastAsia="bg-BG"/>
        </w:rPr>
        <w:t xml:space="preserve">Общо нападнатите площи от възрастното на вредната житна дървеница през годината са 184,242 хил. ха, а третиране е извършено на 110,452 хил. ха. </w:t>
      </w:r>
    </w:p>
    <w:p w14:paraId="7AF6D498" w14:textId="77777777" w:rsidR="00305E62" w:rsidRPr="00305E62" w:rsidRDefault="00305E62" w:rsidP="00305E62">
      <w:pPr>
        <w:spacing w:after="120"/>
        <w:ind w:firstLine="709"/>
        <w:jc w:val="both"/>
        <w:rPr>
          <w:rFonts w:ascii="Arial Narrow" w:hAnsi="Arial Narrow"/>
          <w:lang w:val="bg-BG" w:eastAsia="bg-BG"/>
        </w:rPr>
      </w:pPr>
      <w:r w:rsidRPr="00305E62">
        <w:rPr>
          <w:rFonts w:ascii="Arial Narrow" w:hAnsi="Arial Narrow"/>
          <w:lang w:val="bg-BG" w:eastAsia="bg-BG"/>
        </w:rPr>
        <w:t xml:space="preserve">Третиране срещу ларвите на неприятеля е извършено на 144,204 хил. ха, при нападнати 191,770 хил. ха. </w:t>
      </w:r>
    </w:p>
    <w:p w14:paraId="6A46C354" w14:textId="77777777" w:rsidR="00305E62" w:rsidRPr="00305E62" w:rsidRDefault="00305E62" w:rsidP="00305E62">
      <w:pPr>
        <w:spacing w:after="120"/>
        <w:ind w:firstLine="708"/>
        <w:rPr>
          <w:rFonts w:ascii="Arial Narrow" w:hAnsi="Arial Narrow"/>
          <w:b/>
          <w:i/>
          <w:lang w:val="bg-BG" w:eastAsia="bg-BG"/>
        </w:rPr>
      </w:pPr>
      <w:r w:rsidRPr="00305E62">
        <w:rPr>
          <w:rFonts w:ascii="Arial Narrow" w:hAnsi="Arial Narrow"/>
          <w:b/>
          <w:i/>
          <w:lang w:val="bg-BG" w:eastAsia="bg-BG"/>
        </w:rPr>
        <w:t xml:space="preserve">Обикновена житна пиявица </w:t>
      </w:r>
    </w:p>
    <w:p w14:paraId="37C04DF3" w14:textId="77777777" w:rsidR="00305E62" w:rsidRPr="00305E62" w:rsidRDefault="00305E62" w:rsidP="00305E62">
      <w:pPr>
        <w:spacing w:after="120"/>
        <w:ind w:firstLine="709"/>
        <w:jc w:val="both"/>
        <w:rPr>
          <w:rFonts w:ascii="Arial Narrow" w:hAnsi="Arial Narrow"/>
          <w:lang w:val="bg-BG" w:eastAsia="bg-BG"/>
        </w:rPr>
      </w:pPr>
      <w:r w:rsidRPr="00305E62">
        <w:rPr>
          <w:rFonts w:ascii="Arial Narrow" w:hAnsi="Arial Narrow"/>
          <w:lang w:val="bg-BG" w:eastAsia="bg-BG"/>
        </w:rPr>
        <w:t xml:space="preserve">През 2024 г. са третирани 167,760 хил. ха срещу ларвите на обикновена житна пиявица при нападнати 191,090 хил. ха.  </w:t>
      </w:r>
    </w:p>
    <w:p w14:paraId="677B3459" w14:textId="77777777" w:rsidR="00305E62" w:rsidRPr="00305E62" w:rsidRDefault="00305E62" w:rsidP="00305E62">
      <w:pPr>
        <w:spacing w:after="120"/>
        <w:ind w:firstLine="708"/>
        <w:rPr>
          <w:rFonts w:ascii="Arial Narrow" w:hAnsi="Arial Narrow"/>
          <w:b/>
          <w:i/>
          <w:lang w:val="bg-BG" w:eastAsia="bg-BG"/>
        </w:rPr>
      </w:pPr>
      <w:r w:rsidRPr="00305E62">
        <w:rPr>
          <w:rFonts w:ascii="Arial Narrow" w:hAnsi="Arial Narrow"/>
          <w:b/>
          <w:i/>
          <w:lang w:val="bg-BG" w:eastAsia="bg-BG"/>
        </w:rPr>
        <w:t>Западен царевичен коренов червей</w:t>
      </w:r>
    </w:p>
    <w:p w14:paraId="7C9428B3" w14:textId="77777777" w:rsidR="00305E62" w:rsidRPr="00305E62" w:rsidRDefault="00305E62" w:rsidP="00305E62">
      <w:pPr>
        <w:spacing w:after="120"/>
        <w:ind w:firstLine="709"/>
        <w:jc w:val="both"/>
        <w:rPr>
          <w:rFonts w:ascii="Arial Narrow" w:hAnsi="Arial Narrow"/>
          <w:lang w:val="bg-BG" w:eastAsia="bg-BG"/>
        </w:rPr>
      </w:pPr>
      <w:r w:rsidRPr="00305E62">
        <w:rPr>
          <w:rFonts w:ascii="Arial Narrow" w:hAnsi="Arial Narrow"/>
          <w:lang w:val="bg-BG" w:eastAsia="bg-BG"/>
        </w:rPr>
        <w:t>В рамките на 2024 г. са осигурени феромонови и фероконови уловки за установяване летежа и плътността на неприятеля. По оперативни данни на БАБХ общо нападнати площи от него са 1,600 хил. ха с царевица (при 3,490 хил. ха през 2023 г.), а третиране е извършено на 0,900 хил. ха. За контрол на неприятеля са налични голям брой разрешени за пускане на пазара и употреба продукти за растителна защита.</w:t>
      </w:r>
    </w:p>
    <w:p w14:paraId="5AEA4A38" w14:textId="77777777" w:rsidR="00305E62" w:rsidRPr="00305E62" w:rsidRDefault="00305E62" w:rsidP="00305E62">
      <w:pPr>
        <w:spacing w:after="120"/>
        <w:ind w:firstLine="708"/>
        <w:rPr>
          <w:rFonts w:ascii="Arial Narrow" w:hAnsi="Arial Narrow"/>
          <w:b/>
          <w:i/>
          <w:lang w:val="bg-BG" w:eastAsia="bg-BG"/>
        </w:rPr>
      </w:pPr>
      <w:r w:rsidRPr="00305E62">
        <w:rPr>
          <w:rFonts w:ascii="Arial Narrow" w:hAnsi="Arial Narrow"/>
          <w:b/>
          <w:i/>
          <w:lang w:val="bg-BG" w:eastAsia="bg-BG"/>
        </w:rPr>
        <w:t xml:space="preserve">Брашнеста мана </w:t>
      </w:r>
    </w:p>
    <w:p w14:paraId="692E3576" w14:textId="77777777" w:rsidR="00305E62" w:rsidRPr="00305E62" w:rsidRDefault="00305E62" w:rsidP="00305E62">
      <w:pPr>
        <w:spacing w:after="120"/>
        <w:ind w:firstLine="709"/>
        <w:jc w:val="both"/>
        <w:rPr>
          <w:rFonts w:ascii="Arial Narrow" w:hAnsi="Arial Narrow"/>
          <w:lang w:val="bg-BG" w:eastAsia="bg-BG"/>
        </w:rPr>
      </w:pPr>
      <w:r w:rsidRPr="00305E62">
        <w:rPr>
          <w:rFonts w:ascii="Arial Narrow" w:hAnsi="Arial Narrow"/>
          <w:lang w:val="bg-BG" w:eastAsia="bg-BG"/>
        </w:rPr>
        <w:t>Нападнатите площи с пшеница от брашнеста мана са 447,029 хил. ха, третиране е извършено на 599,924 хил. ха. Извършени са много ранни химични третирания, като на голяма част от третираните площи използваните фунгициди са съчетани с внасяне на вегетационни хербициди.</w:t>
      </w:r>
    </w:p>
    <w:p w14:paraId="2CC5D805" w14:textId="77777777" w:rsidR="00305E62" w:rsidRPr="00305E62" w:rsidRDefault="00305E62" w:rsidP="00305E62">
      <w:pPr>
        <w:spacing w:after="120"/>
        <w:ind w:firstLine="708"/>
        <w:rPr>
          <w:rFonts w:ascii="Arial Narrow" w:hAnsi="Arial Narrow"/>
          <w:b/>
          <w:i/>
          <w:lang w:val="bg-BG" w:eastAsia="bg-BG"/>
        </w:rPr>
      </w:pPr>
      <w:r w:rsidRPr="00305E62">
        <w:rPr>
          <w:rFonts w:ascii="Arial Narrow" w:hAnsi="Arial Narrow"/>
          <w:b/>
          <w:i/>
          <w:lang w:val="bg-BG" w:eastAsia="bg-BG"/>
        </w:rPr>
        <w:t xml:space="preserve">Септориози </w:t>
      </w:r>
    </w:p>
    <w:p w14:paraId="3CFCFDBA" w14:textId="77777777" w:rsidR="00305E62" w:rsidRPr="00305E62" w:rsidRDefault="00305E62" w:rsidP="00305E62">
      <w:pPr>
        <w:spacing w:after="120"/>
        <w:ind w:firstLine="709"/>
        <w:jc w:val="both"/>
        <w:rPr>
          <w:rFonts w:ascii="Arial Narrow" w:hAnsi="Arial Narrow"/>
          <w:lang w:val="bg-BG" w:eastAsia="bg-BG"/>
        </w:rPr>
      </w:pPr>
      <w:r w:rsidRPr="00305E62">
        <w:rPr>
          <w:rFonts w:ascii="Arial Narrow" w:hAnsi="Arial Narrow"/>
          <w:lang w:val="bg-BG" w:eastAsia="bg-BG"/>
        </w:rPr>
        <w:t xml:space="preserve">Нападение от болестта е отчетено на 239,290 хил. ха, а третиране е проведено на 339,620 хил. ха. </w:t>
      </w:r>
    </w:p>
    <w:p w14:paraId="509E8E1A" w14:textId="77777777" w:rsidR="00305E62" w:rsidRPr="00305E62" w:rsidRDefault="00305E62" w:rsidP="00305E62">
      <w:pPr>
        <w:numPr>
          <w:ilvl w:val="0"/>
          <w:numId w:val="27"/>
        </w:numPr>
        <w:spacing w:after="120" w:line="285" w:lineRule="auto"/>
        <w:ind w:left="709" w:hanging="284"/>
        <w:jc w:val="both"/>
        <w:rPr>
          <w:rFonts w:ascii="Arial Narrow" w:hAnsi="Arial Narrow"/>
          <w:b/>
          <w:lang w:val="bg-BG" w:eastAsia="bg-BG"/>
        </w:rPr>
      </w:pPr>
      <w:r w:rsidRPr="00305E62">
        <w:rPr>
          <w:rFonts w:ascii="Arial Narrow" w:hAnsi="Arial Narrow"/>
          <w:b/>
          <w:lang w:val="bg-BG" w:eastAsia="bg-BG"/>
        </w:rPr>
        <w:t>Растителна защита при технически култури</w:t>
      </w:r>
    </w:p>
    <w:p w14:paraId="6DBE6ADC" w14:textId="77777777" w:rsidR="00305E62" w:rsidRPr="00305E62" w:rsidRDefault="00305E62" w:rsidP="00305E62">
      <w:pPr>
        <w:keepNext/>
        <w:widowControl w:val="0"/>
        <w:spacing w:after="120"/>
        <w:ind w:firstLine="709"/>
        <w:jc w:val="both"/>
        <w:rPr>
          <w:rFonts w:ascii="Arial Narrow" w:hAnsi="Arial Narrow"/>
          <w:b/>
          <w:lang w:val="bg-BG" w:eastAsia="bg-BG"/>
        </w:rPr>
      </w:pPr>
      <w:r w:rsidRPr="00305E62">
        <w:rPr>
          <w:rFonts w:ascii="Arial Narrow" w:hAnsi="Arial Narrow"/>
          <w:b/>
          <w:lang w:val="bg-BG" w:eastAsia="bg-BG"/>
        </w:rPr>
        <w:t>Контрол на плевели</w:t>
      </w:r>
    </w:p>
    <w:p w14:paraId="3D167DF2" w14:textId="77777777" w:rsidR="00305E62" w:rsidRPr="00305E62" w:rsidRDefault="00305E62" w:rsidP="00305E62">
      <w:pPr>
        <w:spacing w:after="120"/>
        <w:ind w:firstLine="709"/>
        <w:jc w:val="both"/>
        <w:rPr>
          <w:rFonts w:ascii="Arial Narrow" w:hAnsi="Arial Narrow"/>
          <w:lang w:val="bg-BG" w:eastAsia="bg-BG"/>
        </w:rPr>
      </w:pPr>
      <w:r w:rsidRPr="00305E62">
        <w:rPr>
          <w:rFonts w:ascii="Arial Narrow" w:hAnsi="Arial Narrow"/>
          <w:lang w:val="bg-BG" w:eastAsia="bg-BG"/>
        </w:rPr>
        <w:t>През 2024 г. са внесени почвени хербициди на 399,447 хил. ха слънчоглед, а вегетационно са третирани 467,924 хил. ха.</w:t>
      </w:r>
    </w:p>
    <w:p w14:paraId="22EA88DA" w14:textId="77777777" w:rsidR="00305E62" w:rsidRPr="00305E62" w:rsidRDefault="00305E62" w:rsidP="00305E62">
      <w:pPr>
        <w:spacing w:after="120"/>
        <w:ind w:firstLine="709"/>
        <w:jc w:val="both"/>
        <w:rPr>
          <w:rFonts w:ascii="Arial Narrow" w:hAnsi="Arial Narrow"/>
          <w:lang w:val="bg-BG" w:eastAsia="bg-BG"/>
        </w:rPr>
      </w:pPr>
      <w:r w:rsidRPr="00305E62">
        <w:rPr>
          <w:rFonts w:ascii="Arial Narrow" w:hAnsi="Arial Narrow"/>
          <w:lang w:val="bg-BG" w:eastAsia="bg-BG"/>
        </w:rPr>
        <w:lastRenderedPageBreak/>
        <w:t xml:space="preserve">През есента е проведен химичен контрол на плевелите, при рапицата, основно с почвени хербициди, като са внесени на 27,395 хил. ха. Вегетационни хербициди са приложени на 43,457 хил. ха. </w:t>
      </w:r>
    </w:p>
    <w:p w14:paraId="1A90E82B" w14:textId="77777777" w:rsidR="00305E62" w:rsidRPr="00305E62" w:rsidRDefault="00305E62" w:rsidP="00305E62">
      <w:pPr>
        <w:spacing w:after="120"/>
        <w:ind w:firstLine="709"/>
        <w:jc w:val="both"/>
        <w:rPr>
          <w:rFonts w:ascii="Arial Narrow" w:hAnsi="Arial Narrow"/>
          <w:lang w:val="bg-BG" w:eastAsia="bg-BG"/>
        </w:rPr>
      </w:pPr>
      <w:r w:rsidRPr="00305E62">
        <w:rPr>
          <w:rFonts w:ascii="Arial Narrow" w:hAnsi="Arial Narrow"/>
          <w:lang w:val="bg-BG" w:eastAsia="bg-BG"/>
        </w:rPr>
        <w:t xml:space="preserve">Внесени са почвени хербициди на 1,019 хил. ха тютюн, с вегетационни хербициди са третирани 0,100 хил. ха. </w:t>
      </w:r>
    </w:p>
    <w:p w14:paraId="44276C59" w14:textId="77777777" w:rsidR="00305E62" w:rsidRPr="00305E62" w:rsidRDefault="00305E62" w:rsidP="00305E62">
      <w:pPr>
        <w:spacing w:after="120"/>
        <w:ind w:firstLine="709"/>
        <w:jc w:val="both"/>
        <w:rPr>
          <w:rFonts w:ascii="Arial Narrow" w:hAnsi="Arial Narrow"/>
          <w:lang w:val="bg-BG" w:eastAsia="bg-BG"/>
        </w:rPr>
      </w:pPr>
      <w:r w:rsidRPr="00305E62">
        <w:rPr>
          <w:rFonts w:ascii="Arial Narrow" w:hAnsi="Arial Narrow"/>
          <w:lang w:val="bg-BG" w:eastAsia="bg-BG"/>
        </w:rPr>
        <w:t xml:space="preserve">Химичният контрол на плевелите при картофите е проведен чрез внасяне на почвени и вегетационни хербициди. Почвени хербициди са внесени на 4,073 хил. ха, а вегетационни хербициди са приложени на 1,833 хил. ха. </w:t>
      </w:r>
    </w:p>
    <w:p w14:paraId="37746B0C" w14:textId="77777777" w:rsidR="00305E62" w:rsidRPr="00305E62" w:rsidRDefault="00305E62" w:rsidP="00305E62">
      <w:pPr>
        <w:keepNext/>
        <w:widowControl w:val="0"/>
        <w:spacing w:after="120"/>
        <w:ind w:firstLine="709"/>
        <w:jc w:val="both"/>
        <w:rPr>
          <w:rFonts w:ascii="Arial Narrow" w:hAnsi="Arial Narrow"/>
          <w:b/>
          <w:lang w:val="bg-BG" w:eastAsia="bg-BG"/>
        </w:rPr>
      </w:pPr>
      <w:r w:rsidRPr="00305E62">
        <w:rPr>
          <w:rFonts w:ascii="Arial Narrow" w:hAnsi="Arial Narrow"/>
          <w:b/>
          <w:lang w:val="bg-BG" w:eastAsia="bg-BG"/>
        </w:rPr>
        <w:t xml:space="preserve">Контрол на болести и неприятели </w:t>
      </w:r>
    </w:p>
    <w:p w14:paraId="083B879A" w14:textId="77777777" w:rsidR="00305E62" w:rsidRPr="00305E62" w:rsidRDefault="00305E62" w:rsidP="00305E62">
      <w:pPr>
        <w:spacing w:after="120"/>
        <w:ind w:firstLine="709"/>
        <w:jc w:val="both"/>
        <w:rPr>
          <w:rFonts w:ascii="Arial Narrow" w:hAnsi="Arial Narrow"/>
          <w:b/>
          <w:i/>
          <w:lang w:val="bg-BG" w:eastAsia="bg-BG"/>
        </w:rPr>
      </w:pPr>
      <w:r w:rsidRPr="00305E62">
        <w:rPr>
          <w:rFonts w:ascii="Arial Narrow" w:hAnsi="Arial Narrow"/>
          <w:b/>
          <w:i/>
          <w:lang w:val="bg-BG" w:eastAsia="bg-BG"/>
        </w:rPr>
        <w:t>Черни петна (фома) и Сиви петна (фомопсис) при слънчоглед</w:t>
      </w:r>
    </w:p>
    <w:p w14:paraId="6ECDC30F" w14:textId="77777777" w:rsidR="00305E62" w:rsidRPr="00305E62" w:rsidRDefault="00305E62" w:rsidP="00305E62">
      <w:pPr>
        <w:spacing w:after="120"/>
        <w:ind w:firstLine="709"/>
        <w:jc w:val="both"/>
        <w:rPr>
          <w:rFonts w:ascii="Arial Narrow" w:hAnsi="Arial Narrow"/>
          <w:lang w:val="bg-BG" w:eastAsia="bg-BG"/>
        </w:rPr>
      </w:pPr>
      <w:r w:rsidRPr="00305E62">
        <w:rPr>
          <w:rFonts w:ascii="Arial Narrow" w:hAnsi="Arial Narrow"/>
          <w:lang w:val="bg-BG" w:eastAsia="bg-BG"/>
        </w:rPr>
        <w:t xml:space="preserve">През годината е проведено третиране на 45,215 хил. ха срещу фома. Проведено е третиране на 45,050 хил. ха срещу фомопсис. Третиранията основно са превантивни. </w:t>
      </w:r>
    </w:p>
    <w:p w14:paraId="66C1056A" w14:textId="77777777" w:rsidR="00305E62" w:rsidRPr="00305E62" w:rsidRDefault="00305E62" w:rsidP="00305E62">
      <w:pPr>
        <w:spacing w:after="120"/>
        <w:ind w:firstLine="708"/>
        <w:rPr>
          <w:rFonts w:ascii="Arial Narrow" w:hAnsi="Arial Narrow"/>
          <w:b/>
          <w:i/>
          <w:lang w:val="bg-BG" w:eastAsia="bg-BG"/>
        </w:rPr>
      </w:pPr>
      <w:r w:rsidRPr="00305E62">
        <w:rPr>
          <w:rFonts w:ascii="Arial Narrow" w:hAnsi="Arial Narrow"/>
          <w:b/>
          <w:i/>
          <w:lang w:val="bg-BG" w:eastAsia="bg-BG"/>
        </w:rPr>
        <w:t xml:space="preserve">Мана по слънчогледа </w:t>
      </w:r>
    </w:p>
    <w:p w14:paraId="15F9B42A" w14:textId="77777777" w:rsidR="00305E62" w:rsidRPr="00305E62" w:rsidRDefault="00305E62" w:rsidP="00305E62">
      <w:pPr>
        <w:spacing w:after="120"/>
        <w:ind w:firstLine="709"/>
        <w:jc w:val="both"/>
        <w:rPr>
          <w:rFonts w:ascii="Arial Narrow" w:hAnsi="Arial Narrow"/>
          <w:lang w:val="bg-BG" w:eastAsia="bg-BG"/>
        </w:rPr>
      </w:pPr>
      <w:r w:rsidRPr="00305E62">
        <w:rPr>
          <w:rFonts w:ascii="Arial Narrow" w:hAnsi="Arial Narrow"/>
          <w:lang w:val="bg-BG" w:eastAsia="bg-BG"/>
        </w:rPr>
        <w:t>В рамките на 2024 г. се наблюдават прояви на системна и локална форма на мана по слънчогледа. Общо нападнатите площи от болестта през годината са 3,247 хил. ха, при 5,626 хил. ха през 2023 г.</w:t>
      </w:r>
    </w:p>
    <w:p w14:paraId="27815E04" w14:textId="77777777" w:rsidR="00305E62" w:rsidRPr="00305E62" w:rsidRDefault="00305E62" w:rsidP="00305E62">
      <w:pPr>
        <w:spacing w:after="120"/>
        <w:ind w:firstLine="709"/>
        <w:jc w:val="both"/>
        <w:rPr>
          <w:rFonts w:ascii="Arial Narrow" w:hAnsi="Arial Narrow"/>
          <w:lang w:val="bg-BG" w:eastAsia="bg-BG"/>
        </w:rPr>
      </w:pPr>
      <w:r w:rsidRPr="00305E62">
        <w:rPr>
          <w:rFonts w:ascii="Arial Narrow" w:hAnsi="Arial Narrow"/>
          <w:lang w:val="bg-BG" w:eastAsia="bg-BG"/>
        </w:rPr>
        <w:t>Причинител на маната е Plazmopara helianti (halstedii). Мерките за контрол на патогена са</w:t>
      </w:r>
      <w:r w:rsidRPr="00305E62">
        <w:rPr>
          <w:rFonts w:ascii="Arial Narrow" w:hAnsi="Arial Narrow"/>
          <w:lang w:eastAsia="bg-BG"/>
        </w:rPr>
        <w:t>:</w:t>
      </w:r>
      <w:r w:rsidRPr="00305E62">
        <w:rPr>
          <w:rFonts w:ascii="Arial Narrow" w:hAnsi="Arial Narrow"/>
          <w:lang w:val="bg-BG" w:eastAsia="bg-BG"/>
        </w:rPr>
        <w:t xml:space="preserve"> високо ниво на агротехника - задължително обеззаразяване на семената преди сеитба, дълбока оран след прибиране на реколтата, сеитба на устойчиви сортове и хибриди; задължително унищожаване на самосевките и при установена зараза - спазване на 7-8 годишно сеитбообращение с житни култури. За обеззаразяване на семената има разрешени за пускане на пазара и употреба продукти за растителна защита.</w:t>
      </w:r>
    </w:p>
    <w:p w14:paraId="2900801E" w14:textId="77777777" w:rsidR="00305E62" w:rsidRPr="00305E62" w:rsidRDefault="00305E62" w:rsidP="00305E62">
      <w:pPr>
        <w:spacing w:after="120"/>
        <w:ind w:firstLine="708"/>
        <w:rPr>
          <w:rFonts w:ascii="Arial Narrow" w:hAnsi="Arial Narrow"/>
          <w:b/>
          <w:i/>
          <w:lang w:val="bg-BG" w:eastAsia="bg-BG"/>
        </w:rPr>
      </w:pPr>
      <w:r w:rsidRPr="00305E62">
        <w:rPr>
          <w:rFonts w:ascii="Arial Narrow" w:hAnsi="Arial Narrow"/>
          <w:b/>
          <w:i/>
          <w:lang w:val="bg-BG" w:eastAsia="bg-BG"/>
        </w:rPr>
        <w:t xml:space="preserve">Рапичен цветояд </w:t>
      </w:r>
    </w:p>
    <w:p w14:paraId="133FCF60" w14:textId="77777777" w:rsidR="00305E62" w:rsidRPr="00305E62" w:rsidRDefault="00305E62" w:rsidP="00305E62">
      <w:pPr>
        <w:spacing w:after="120"/>
        <w:ind w:firstLine="709"/>
        <w:jc w:val="both"/>
        <w:rPr>
          <w:rFonts w:ascii="Arial Narrow" w:hAnsi="Arial Narrow"/>
          <w:lang w:val="bg-BG" w:eastAsia="bg-BG"/>
        </w:rPr>
      </w:pPr>
      <w:r w:rsidRPr="00305E62">
        <w:rPr>
          <w:rFonts w:ascii="Arial Narrow" w:hAnsi="Arial Narrow"/>
          <w:lang w:val="bg-BG" w:eastAsia="bg-BG"/>
        </w:rPr>
        <w:t>През месеците април и май 2024 г. са проведени третирания срещу рапичен цветояд на 53,441 хил. ха рапица.</w:t>
      </w:r>
    </w:p>
    <w:p w14:paraId="12034C80" w14:textId="77777777" w:rsidR="00305E62" w:rsidRPr="00305E62" w:rsidRDefault="00305E62" w:rsidP="00305E62">
      <w:pPr>
        <w:spacing w:after="120"/>
        <w:ind w:firstLine="708"/>
        <w:rPr>
          <w:rFonts w:ascii="Arial Narrow" w:hAnsi="Arial Narrow"/>
          <w:b/>
          <w:i/>
          <w:lang w:val="bg-BG" w:eastAsia="bg-BG"/>
        </w:rPr>
      </w:pPr>
      <w:r w:rsidRPr="00305E62">
        <w:rPr>
          <w:rFonts w:ascii="Arial Narrow" w:hAnsi="Arial Narrow"/>
          <w:b/>
          <w:i/>
          <w:lang w:val="bg-BG" w:eastAsia="bg-BG"/>
        </w:rPr>
        <w:t xml:space="preserve">Рапичeн стъблен скритохоботник </w:t>
      </w:r>
    </w:p>
    <w:p w14:paraId="239A8DF0" w14:textId="77777777" w:rsidR="00305E62" w:rsidRPr="00305E62" w:rsidRDefault="00305E62" w:rsidP="00305E62">
      <w:pPr>
        <w:spacing w:after="120"/>
        <w:ind w:firstLine="709"/>
        <w:jc w:val="both"/>
        <w:rPr>
          <w:rFonts w:ascii="Arial Narrow" w:hAnsi="Arial Narrow"/>
          <w:lang w:val="bg-BG" w:eastAsia="bg-BG"/>
        </w:rPr>
      </w:pPr>
      <w:r w:rsidRPr="00305E62">
        <w:rPr>
          <w:rFonts w:ascii="Arial Narrow" w:hAnsi="Arial Narrow"/>
          <w:lang w:val="bg-BG" w:eastAsia="bg-BG"/>
        </w:rPr>
        <w:t>През 2024 г. са третирани 19,760 хил. ха рапица срещу неприятеля.</w:t>
      </w:r>
    </w:p>
    <w:p w14:paraId="7B43F5F1" w14:textId="77777777" w:rsidR="00305E62" w:rsidRPr="00305E62" w:rsidRDefault="00305E62" w:rsidP="00305E62">
      <w:pPr>
        <w:numPr>
          <w:ilvl w:val="0"/>
          <w:numId w:val="27"/>
        </w:numPr>
        <w:spacing w:after="120" w:line="285" w:lineRule="auto"/>
        <w:ind w:left="709" w:hanging="284"/>
        <w:jc w:val="both"/>
        <w:rPr>
          <w:rFonts w:ascii="Arial Narrow" w:hAnsi="Arial Narrow"/>
          <w:b/>
          <w:lang w:val="bg-BG" w:eastAsia="bg-BG"/>
        </w:rPr>
      </w:pPr>
      <w:r w:rsidRPr="00305E62">
        <w:rPr>
          <w:rFonts w:ascii="Arial Narrow" w:hAnsi="Arial Narrow"/>
          <w:b/>
          <w:lang w:val="bg-BG" w:eastAsia="bg-BG"/>
        </w:rPr>
        <w:t>Растителна защита при зеленчукови култури</w:t>
      </w:r>
    </w:p>
    <w:p w14:paraId="793F22DF" w14:textId="77777777" w:rsidR="00305E62" w:rsidRPr="00305E62" w:rsidRDefault="00305E62" w:rsidP="00305E62">
      <w:pPr>
        <w:spacing w:after="120"/>
        <w:ind w:firstLine="709"/>
        <w:jc w:val="both"/>
        <w:rPr>
          <w:rFonts w:ascii="Arial Narrow" w:hAnsi="Arial Narrow"/>
          <w:b/>
          <w:lang w:val="bg-BG" w:eastAsia="bg-BG"/>
        </w:rPr>
      </w:pPr>
      <w:r w:rsidRPr="00305E62">
        <w:rPr>
          <w:rFonts w:ascii="Arial Narrow" w:hAnsi="Arial Narrow"/>
          <w:b/>
          <w:lang w:val="bg-BG" w:eastAsia="bg-BG"/>
        </w:rPr>
        <w:t>Контрол на неприятели</w:t>
      </w:r>
    </w:p>
    <w:p w14:paraId="0629BCD3" w14:textId="77777777" w:rsidR="00305E62" w:rsidRPr="00305E62" w:rsidRDefault="00305E62" w:rsidP="00305E62">
      <w:pPr>
        <w:spacing w:after="120"/>
        <w:ind w:firstLine="708"/>
        <w:rPr>
          <w:rFonts w:ascii="Arial Narrow" w:hAnsi="Arial Narrow"/>
          <w:b/>
          <w:i/>
          <w:lang w:val="bg-BG" w:eastAsia="bg-BG"/>
        </w:rPr>
      </w:pPr>
      <w:r w:rsidRPr="00305E62">
        <w:rPr>
          <w:rFonts w:ascii="Arial Narrow" w:hAnsi="Arial Narrow"/>
          <w:b/>
          <w:i/>
          <w:lang w:val="bg-BG" w:eastAsia="bg-BG"/>
        </w:rPr>
        <w:t xml:space="preserve">Доматен миниращ молец </w:t>
      </w:r>
    </w:p>
    <w:p w14:paraId="0A3DAF37" w14:textId="77777777" w:rsidR="00305E62" w:rsidRPr="00305E62" w:rsidRDefault="00305E62" w:rsidP="00305E62">
      <w:pPr>
        <w:spacing w:after="120"/>
        <w:ind w:firstLine="709"/>
        <w:jc w:val="both"/>
        <w:rPr>
          <w:rFonts w:ascii="Arial Narrow" w:hAnsi="Arial Narrow"/>
          <w:lang w:val="bg-BG" w:eastAsia="bg-BG"/>
        </w:rPr>
      </w:pPr>
      <w:r w:rsidRPr="00305E62">
        <w:rPr>
          <w:rFonts w:ascii="Arial Narrow" w:hAnsi="Arial Narrow"/>
          <w:lang w:val="bg-BG" w:eastAsia="bg-BG"/>
        </w:rPr>
        <w:t>В повечето оранжерии на страната не е допуснато намножаване на неприятеля през 2024 г. Проведени са от 1 до 10 броя третирания с инсектициди на 0,126 ха.</w:t>
      </w:r>
    </w:p>
    <w:p w14:paraId="7B778C2C" w14:textId="77777777" w:rsidR="00305E62" w:rsidRPr="00305E62" w:rsidRDefault="00305E62" w:rsidP="00305E62">
      <w:pPr>
        <w:spacing w:after="120"/>
        <w:ind w:firstLine="709"/>
        <w:jc w:val="both"/>
        <w:rPr>
          <w:rFonts w:ascii="Arial Narrow" w:hAnsi="Arial Narrow"/>
          <w:lang w:val="bg-BG" w:eastAsia="bg-BG"/>
        </w:rPr>
      </w:pPr>
      <w:r w:rsidRPr="00305E62">
        <w:rPr>
          <w:rFonts w:ascii="Arial Narrow" w:hAnsi="Arial Narrow"/>
          <w:lang w:val="bg-BG" w:eastAsia="bg-BG"/>
        </w:rPr>
        <w:t>При полски условия срещу доматения миниращ молец са проведени от 1 до 6 третирания на площ от 1,324 хил. ха.</w:t>
      </w:r>
    </w:p>
    <w:p w14:paraId="344960DB" w14:textId="77777777" w:rsidR="00305E62" w:rsidRPr="00305E62" w:rsidRDefault="00305E62" w:rsidP="00305E62">
      <w:pPr>
        <w:spacing w:after="120"/>
        <w:ind w:firstLine="709"/>
        <w:jc w:val="both"/>
        <w:rPr>
          <w:rFonts w:ascii="Arial Narrow" w:hAnsi="Arial Narrow"/>
          <w:lang w:val="bg-BG" w:eastAsia="bg-BG"/>
        </w:rPr>
      </w:pPr>
      <w:r w:rsidRPr="00305E62">
        <w:rPr>
          <w:rFonts w:ascii="Arial Narrow" w:hAnsi="Arial Narrow"/>
          <w:lang w:val="bg-BG" w:eastAsia="bg-BG"/>
        </w:rPr>
        <w:t>През годината продължава прилагането на държавна помощ по „Национална програма от мерки за контрол на Доматен миниращ молец“. Бенефициенти на помощта са земеделски стопани, отглеждащи в оранжерии домати, пипер, патладжан и картофи, на площи с размер над 1 дка. В рамките на 2024 г. по програмата са кандидатствали 204 земеделски стопани.</w:t>
      </w:r>
    </w:p>
    <w:p w14:paraId="7E15888C" w14:textId="77777777" w:rsidR="00305E62" w:rsidRPr="00305E62" w:rsidRDefault="00305E62" w:rsidP="00305E62">
      <w:pPr>
        <w:numPr>
          <w:ilvl w:val="0"/>
          <w:numId w:val="27"/>
        </w:numPr>
        <w:spacing w:after="120" w:line="285" w:lineRule="auto"/>
        <w:ind w:left="709" w:hanging="284"/>
        <w:jc w:val="both"/>
        <w:rPr>
          <w:rFonts w:ascii="Arial Narrow" w:hAnsi="Arial Narrow"/>
          <w:b/>
          <w:lang w:val="bg-BG" w:eastAsia="bg-BG"/>
        </w:rPr>
      </w:pPr>
      <w:r w:rsidRPr="00305E62">
        <w:rPr>
          <w:rFonts w:ascii="Arial Narrow" w:hAnsi="Arial Narrow"/>
          <w:b/>
          <w:lang w:val="bg-BG" w:eastAsia="bg-BG"/>
        </w:rPr>
        <w:t>Растителна защита при овощни култури</w:t>
      </w:r>
    </w:p>
    <w:p w14:paraId="1B245EA5" w14:textId="77777777" w:rsidR="00305E62" w:rsidRPr="00305E62" w:rsidRDefault="00305E62" w:rsidP="00305E62">
      <w:pPr>
        <w:spacing w:after="120"/>
        <w:ind w:firstLine="709"/>
        <w:jc w:val="both"/>
        <w:rPr>
          <w:rFonts w:ascii="Arial Narrow" w:hAnsi="Arial Narrow"/>
          <w:lang w:val="bg-BG" w:eastAsia="bg-BG"/>
        </w:rPr>
      </w:pPr>
      <w:r w:rsidRPr="00305E62">
        <w:rPr>
          <w:rFonts w:ascii="Arial Narrow" w:hAnsi="Arial Narrow"/>
          <w:b/>
          <w:lang w:val="bg-BG" w:eastAsia="bg-BG"/>
        </w:rPr>
        <w:t>Контрол на неприятели и болести</w:t>
      </w:r>
    </w:p>
    <w:p w14:paraId="5D4F961D" w14:textId="77777777" w:rsidR="00305E62" w:rsidRPr="00305E62" w:rsidRDefault="00305E62" w:rsidP="00305E62">
      <w:pPr>
        <w:spacing w:after="120"/>
        <w:ind w:firstLine="708"/>
        <w:rPr>
          <w:rFonts w:ascii="Arial Narrow" w:hAnsi="Arial Narrow"/>
          <w:b/>
          <w:i/>
          <w:lang w:val="bg-BG" w:eastAsia="bg-BG"/>
        </w:rPr>
      </w:pPr>
      <w:r w:rsidRPr="00305E62">
        <w:rPr>
          <w:rFonts w:ascii="Arial Narrow" w:hAnsi="Arial Narrow"/>
          <w:b/>
          <w:i/>
          <w:lang w:val="bg-BG" w:eastAsia="bg-BG"/>
        </w:rPr>
        <w:t xml:space="preserve">Листогризещи гъсеници </w:t>
      </w:r>
    </w:p>
    <w:p w14:paraId="513EBCE3" w14:textId="77777777" w:rsidR="00305E62" w:rsidRPr="00305E62" w:rsidRDefault="00305E62" w:rsidP="00305E62">
      <w:pPr>
        <w:spacing w:after="120"/>
        <w:ind w:firstLine="709"/>
        <w:jc w:val="both"/>
        <w:rPr>
          <w:rFonts w:ascii="Arial Narrow" w:hAnsi="Arial Narrow"/>
          <w:lang w:val="bg-BG" w:eastAsia="bg-BG"/>
        </w:rPr>
      </w:pPr>
      <w:r w:rsidRPr="00305E62">
        <w:rPr>
          <w:rFonts w:ascii="Arial Narrow" w:hAnsi="Arial Narrow"/>
          <w:lang w:val="bg-BG" w:eastAsia="bg-BG"/>
        </w:rPr>
        <w:t xml:space="preserve">Преобладаващи видове в овощните насаждения са: Гъботворка; Педомерки; Бяла американска пеперуда и Бяла овощна пеперуда. През 2024 г. неприятелите са в ниска популационна плътност и степен на нападение. Вредната дейност и разпространението на листогризещите гъсеници са ограничени от третиранията срещу други икономически важни вредители по овощните култури. Третиране срещу </w:t>
      </w:r>
      <w:r w:rsidRPr="00305E62">
        <w:rPr>
          <w:rFonts w:ascii="Arial Narrow" w:hAnsi="Arial Narrow"/>
          <w:lang w:val="bg-BG" w:eastAsia="bg-BG"/>
        </w:rPr>
        <w:lastRenderedPageBreak/>
        <w:t>основните листогризещи видове е извършено на 8,333 хил. ха овощни насаждения, в това число 0,787 хил. ха семкови и  7,546 хил. ха костилкови овощни видове съчетани с извеждането на борба и срещу други вредители.</w:t>
      </w:r>
    </w:p>
    <w:p w14:paraId="6EE12EF2" w14:textId="77777777" w:rsidR="00305E62" w:rsidRPr="00305E62" w:rsidRDefault="00305E62" w:rsidP="00305E62">
      <w:pPr>
        <w:spacing w:after="120"/>
        <w:ind w:firstLine="708"/>
        <w:rPr>
          <w:rFonts w:ascii="Arial Narrow" w:hAnsi="Arial Narrow"/>
          <w:b/>
          <w:i/>
          <w:lang w:val="bg-BG" w:eastAsia="bg-BG"/>
        </w:rPr>
      </w:pPr>
      <w:r w:rsidRPr="00305E62">
        <w:rPr>
          <w:rFonts w:ascii="Arial Narrow" w:hAnsi="Arial Narrow"/>
          <w:b/>
          <w:i/>
          <w:lang w:val="bg-BG" w:eastAsia="bg-BG"/>
        </w:rPr>
        <w:t>Листозавивачки и пъпкозавивачки</w:t>
      </w:r>
    </w:p>
    <w:p w14:paraId="4FD2FBFD" w14:textId="77777777" w:rsidR="00305E62" w:rsidRPr="00305E62" w:rsidRDefault="00305E62" w:rsidP="00305E62">
      <w:pPr>
        <w:spacing w:after="120"/>
        <w:ind w:firstLine="709"/>
        <w:jc w:val="both"/>
        <w:rPr>
          <w:rFonts w:ascii="Arial Narrow" w:hAnsi="Arial Narrow"/>
          <w:lang w:val="bg-BG" w:eastAsia="bg-BG"/>
        </w:rPr>
      </w:pPr>
      <w:r w:rsidRPr="00305E62">
        <w:rPr>
          <w:rFonts w:ascii="Arial Narrow" w:hAnsi="Arial Narrow"/>
          <w:lang w:val="bg-BG" w:eastAsia="bg-BG"/>
        </w:rPr>
        <w:t>Третиране срещу неприятелите е извършено на 1,586 хил. ха семкови овощни видове.</w:t>
      </w:r>
    </w:p>
    <w:p w14:paraId="6C19FF56" w14:textId="77777777" w:rsidR="00305E62" w:rsidRPr="00305E62" w:rsidRDefault="00305E62" w:rsidP="00305E62">
      <w:pPr>
        <w:spacing w:after="120"/>
        <w:ind w:firstLine="708"/>
        <w:rPr>
          <w:rFonts w:ascii="Arial Narrow" w:hAnsi="Arial Narrow"/>
          <w:b/>
          <w:i/>
          <w:lang w:val="bg-BG" w:eastAsia="bg-BG"/>
        </w:rPr>
      </w:pPr>
      <w:r w:rsidRPr="00305E62">
        <w:rPr>
          <w:rFonts w:ascii="Arial Narrow" w:hAnsi="Arial Narrow"/>
          <w:b/>
          <w:i/>
          <w:lang w:val="bg-BG" w:eastAsia="bg-BG"/>
        </w:rPr>
        <w:t xml:space="preserve">Листни въшки </w:t>
      </w:r>
    </w:p>
    <w:p w14:paraId="3C656BB2" w14:textId="77777777" w:rsidR="00305E62" w:rsidRPr="00305E62" w:rsidRDefault="00305E62" w:rsidP="00305E62">
      <w:pPr>
        <w:spacing w:after="120"/>
        <w:ind w:firstLine="709"/>
        <w:jc w:val="both"/>
        <w:rPr>
          <w:rFonts w:ascii="Arial Narrow" w:hAnsi="Arial Narrow"/>
          <w:lang w:val="bg-BG" w:eastAsia="bg-BG"/>
        </w:rPr>
      </w:pPr>
      <w:r w:rsidRPr="00305E62">
        <w:rPr>
          <w:rFonts w:ascii="Arial Narrow" w:hAnsi="Arial Narrow"/>
          <w:lang w:val="bg-BG" w:eastAsia="bg-BG"/>
        </w:rPr>
        <w:t xml:space="preserve">Нападение от листни въшки е констатирано повсеместно и при всички овощни култури. Третирани са 3,864 хил. ха семкови и 14,630 хил. ха костилкови овощни видове, от 1 до 6 пъти. </w:t>
      </w:r>
    </w:p>
    <w:p w14:paraId="19E16368" w14:textId="77777777" w:rsidR="00305E62" w:rsidRPr="00305E62" w:rsidRDefault="00305E62" w:rsidP="00305E62">
      <w:pPr>
        <w:spacing w:after="120"/>
        <w:ind w:firstLine="708"/>
        <w:rPr>
          <w:rFonts w:ascii="Arial Narrow" w:hAnsi="Arial Narrow"/>
          <w:b/>
          <w:i/>
          <w:lang w:val="bg-BG" w:eastAsia="bg-BG"/>
        </w:rPr>
      </w:pPr>
      <w:r w:rsidRPr="00305E62">
        <w:rPr>
          <w:rFonts w:ascii="Arial Narrow" w:hAnsi="Arial Narrow"/>
          <w:b/>
          <w:i/>
          <w:lang w:val="bg-BG" w:eastAsia="bg-BG"/>
        </w:rPr>
        <w:t xml:space="preserve">Калифорнийска щитоносна въшка </w:t>
      </w:r>
    </w:p>
    <w:p w14:paraId="76AF5B27" w14:textId="77777777" w:rsidR="00305E62" w:rsidRPr="00305E62" w:rsidRDefault="00305E62" w:rsidP="00305E62">
      <w:pPr>
        <w:spacing w:after="120"/>
        <w:ind w:firstLine="709"/>
        <w:jc w:val="both"/>
        <w:rPr>
          <w:rFonts w:ascii="Arial Narrow" w:hAnsi="Arial Narrow"/>
          <w:lang w:val="bg-BG" w:eastAsia="bg-BG"/>
        </w:rPr>
      </w:pPr>
      <w:r w:rsidRPr="00305E62">
        <w:rPr>
          <w:rFonts w:ascii="Arial Narrow" w:hAnsi="Arial Narrow"/>
          <w:lang w:val="bg-BG" w:eastAsia="bg-BG"/>
        </w:rPr>
        <w:t>Срещу калифорнийска щитоносна въшка са третирани общо 1,575 хил. ха овощни насаждения.</w:t>
      </w:r>
    </w:p>
    <w:p w14:paraId="4048E739" w14:textId="77777777" w:rsidR="00305E62" w:rsidRPr="00305E62" w:rsidRDefault="00305E62" w:rsidP="00305E62">
      <w:pPr>
        <w:spacing w:after="120"/>
        <w:ind w:firstLine="708"/>
        <w:rPr>
          <w:rFonts w:ascii="Arial Narrow" w:hAnsi="Arial Narrow"/>
          <w:b/>
          <w:i/>
          <w:lang w:val="bg-BG" w:eastAsia="bg-BG"/>
        </w:rPr>
      </w:pPr>
      <w:r w:rsidRPr="00305E62">
        <w:rPr>
          <w:rFonts w:ascii="Arial Narrow" w:hAnsi="Arial Narrow"/>
          <w:b/>
          <w:i/>
          <w:lang w:val="bg-BG" w:eastAsia="bg-BG"/>
        </w:rPr>
        <w:t xml:space="preserve">Обикновена сливова щитоносна въшка </w:t>
      </w:r>
    </w:p>
    <w:p w14:paraId="47DB3984" w14:textId="77777777" w:rsidR="00305E62" w:rsidRPr="00305E62" w:rsidRDefault="00305E62" w:rsidP="00305E62">
      <w:pPr>
        <w:spacing w:after="120"/>
        <w:ind w:firstLine="709"/>
        <w:jc w:val="both"/>
        <w:rPr>
          <w:rFonts w:ascii="Arial Narrow" w:hAnsi="Arial Narrow"/>
          <w:lang w:val="bg-BG" w:eastAsia="bg-BG"/>
        </w:rPr>
      </w:pPr>
      <w:r w:rsidRPr="00305E62">
        <w:rPr>
          <w:rFonts w:ascii="Arial Narrow" w:hAnsi="Arial Narrow"/>
          <w:lang w:val="bg-BG" w:eastAsia="bg-BG"/>
        </w:rPr>
        <w:t xml:space="preserve">В рамките на 2024 г. са третирани 1,907 хил. ха сливи от общо 10,069 хил. ха сливови насаждения, като основно са извършени комбинирани третирания със сливов плодов червей. </w:t>
      </w:r>
    </w:p>
    <w:p w14:paraId="403A658E" w14:textId="77777777" w:rsidR="00305E62" w:rsidRPr="00305E62" w:rsidRDefault="00305E62" w:rsidP="00305E62">
      <w:pPr>
        <w:spacing w:after="120"/>
        <w:ind w:firstLine="708"/>
        <w:rPr>
          <w:rFonts w:ascii="Arial Narrow" w:hAnsi="Arial Narrow"/>
          <w:b/>
          <w:i/>
          <w:lang w:val="bg-BG" w:eastAsia="bg-BG"/>
        </w:rPr>
      </w:pPr>
      <w:r w:rsidRPr="00305E62">
        <w:rPr>
          <w:rFonts w:ascii="Arial Narrow" w:hAnsi="Arial Narrow"/>
          <w:b/>
          <w:i/>
          <w:lang w:val="bg-BG" w:eastAsia="bg-BG"/>
        </w:rPr>
        <w:t xml:space="preserve">Черешова муха </w:t>
      </w:r>
    </w:p>
    <w:p w14:paraId="1B56C1F1" w14:textId="77777777" w:rsidR="00305E62" w:rsidRPr="00305E62" w:rsidRDefault="00305E62" w:rsidP="00305E62">
      <w:pPr>
        <w:spacing w:after="120"/>
        <w:ind w:firstLine="709"/>
        <w:jc w:val="both"/>
        <w:rPr>
          <w:rFonts w:ascii="Arial Narrow" w:hAnsi="Arial Narrow"/>
          <w:lang w:val="bg-BG" w:eastAsia="bg-BG"/>
        </w:rPr>
      </w:pPr>
      <w:r w:rsidRPr="00305E62">
        <w:rPr>
          <w:rFonts w:ascii="Arial Narrow" w:hAnsi="Arial Narrow"/>
          <w:lang w:val="bg-BG" w:eastAsia="bg-BG"/>
        </w:rPr>
        <w:t>Третираните площи са 10,628 хил. ха.</w:t>
      </w:r>
    </w:p>
    <w:p w14:paraId="6A5B0DB8" w14:textId="77777777" w:rsidR="00305E62" w:rsidRPr="00305E62" w:rsidRDefault="00305E62" w:rsidP="00305E62">
      <w:pPr>
        <w:spacing w:after="120"/>
        <w:ind w:firstLine="708"/>
        <w:rPr>
          <w:rFonts w:ascii="Arial Narrow" w:hAnsi="Arial Narrow"/>
          <w:b/>
          <w:i/>
          <w:lang w:val="bg-BG" w:eastAsia="bg-BG"/>
        </w:rPr>
      </w:pPr>
      <w:r w:rsidRPr="00305E62">
        <w:rPr>
          <w:rFonts w:ascii="Arial Narrow" w:hAnsi="Arial Narrow"/>
          <w:b/>
          <w:i/>
          <w:lang w:val="bg-BG" w:eastAsia="bg-BG"/>
        </w:rPr>
        <w:t>Черна сливова плодова оса</w:t>
      </w:r>
    </w:p>
    <w:p w14:paraId="422A3D83" w14:textId="77777777" w:rsidR="00305E62" w:rsidRPr="00305E62" w:rsidRDefault="00305E62" w:rsidP="00305E62">
      <w:pPr>
        <w:spacing w:after="120"/>
        <w:ind w:firstLine="709"/>
        <w:jc w:val="both"/>
        <w:rPr>
          <w:rFonts w:ascii="Arial Narrow" w:hAnsi="Arial Narrow"/>
          <w:lang w:val="bg-BG" w:eastAsia="bg-BG"/>
        </w:rPr>
      </w:pPr>
      <w:r w:rsidRPr="00305E62">
        <w:rPr>
          <w:rFonts w:ascii="Arial Narrow" w:hAnsi="Arial Narrow"/>
          <w:lang w:val="bg-BG" w:eastAsia="bg-BG"/>
        </w:rPr>
        <w:t>Срещу неприятеля са третирани 5,885 хил. ха от 1 до 2 пъти.</w:t>
      </w:r>
    </w:p>
    <w:p w14:paraId="6986931E" w14:textId="77777777" w:rsidR="00305E62" w:rsidRPr="00305E62" w:rsidRDefault="00305E62" w:rsidP="00305E62">
      <w:pPr>
        <w:spacing w:after="120"/>
        <w:ind w:firstLine="708"/>
        <w:rPr>
          <w:rFonts w:ascii="Arial Narrow" w:hAnsi="Arial Narrow"/>
          <w:b/>
          <w:i/>
          <w:lang w:val="bg-BG" w:eastAsia="bg-BG"/>
        </w:rPr>
      </w:pPr>
      <w:r w:rsidRPr="00305E62">
        <w:rPr>
          <w:rFonts w:ascii="Arial Narrow" w:hAnsi="Arial Narrow"/>
          <w:b/>
          <w:i/>
          <w:lang w:val="bg-BG" w:eastAsia="bg-BG"/>
        </w:rPr>
        <w:t xml:space="preserve">Плодови червеи </w:t>
      </w:r>
    </w:p>
    <w:p w14:paraId="6AC6DF81" w14:textId="77777777" w:rsidR="00305E62" w:rsidRPr="00305E62" w:rsidRDefault="00305E62" w:rsidP="00305E62">
      <w:pPr>
        <w:spacing w:after="120"/>
        <w:ind w:firstLine="709"/>
        <w:jc w:val="both"/>
        <w:rPr>
          <w:rFonts w:ascii="Arial Narrow" w:hAnsi="Arial Narrow"/>
          <w:lang w:val="bg-BG" w:eastAsia="bg-BG"/>
        </w:rPr>
      </w:pPr>
      <w:r w:rsidRPr="00305E62">
        <w:rPr>
          <w:rFonts w:ascii="Arial Narrow" w:hAnsi="Arial Narrow"/>
          <w:lang w:val="bg-BG" w:eastAsia="bg-BG"/>
        </w:rPr>
        <w:t>През 2024 г. са третирани 4,051 хил. ха ябълкови градини срещу ябълков плодов червей, 8,754 хил. ха сливови насаждения срещу сливов плодов червей и 5,787 хил. ха срещу източен плодов червей по праскови и кайсии.</w:t>
      </w:r>
    </w:p>
    <w:p w14:paraId="6A79507F" w14:textId="77777777" w:rsidR="00305E62" w:rsidRPr="00305E62" w:rsidRDefault="00305E62" w:rsidP="00305E62">
      <w:pPr>
        <w:spacing w:after="120"/>
        <w:ind w:firstLine="708"/>
        <w:rPr>
          <w:rFonts w:ascii="Arial Narrow" w:hAnsi="Arial Narrow"/>
          <w:b/>
          <w:i/>
          <w:lang w:val="bg-BG" w:eastAsia="bg-BG"/>
        </w:rPr>
      </w:pPr>
      <w:r w:rsidRPr="00305E62">
        <w:rPr>
          <w:rFonts w:ascii="Arial Narrow" w:hAnsi="Arial Narrow"/>
          <w:b/>
          <w:i/>
          <w:lang w:val="bg-BG" w:eastAsia="bg-BG"/>
        </w:rPr>
        <w:t>Прасковен клонков молец</w:t>
      </w:r>
    </w:p>
    <w:p w14:paraId="4B12030F" w14:textId="77777777" w:rsidR="00305E62" w:rsidRPr="00305E62" w:rsidRDefault="00305E62" w:rsidP="00305E62">
      <w:pPr>
        <w:spacing w:after="120"/>
        <w:ind w:firstLine="709"/>
        <w:jc w:val="both"/>
        <w:rPr>
          <w:rFonts w:ascii="Arial Narrow" w:hAnsi="Arial Narrow"/>
          <w:lang w:val="bg-BG" w:eastAsia="bg-BG"/>
        </w:rPr>
      </w:pPr>
      <w:r w:rsidRPr="00305E62">
        <w:rPr>
          <w:rFonts w:ascii="Arial Narrow" w:hAnsi="Arial Narrow"/>
          <w:lang w:val="bg-BG" w:eastAsia="bg-BG"/>
        </w:rPr>
        <w:t>Третирани са 2,914 хил. ха с праскови и кайсии.</w:t>
      </w:r>
    </w:p>
    <w:p w14:paraId="0D0C3802" w14:textId="77777777" w:rsidR="00305E62" w:rsidRPr="00305E62" w:rsidRDefault="00305E62" w:rsidP="00305E62">
      <w:pPr>
        <w:spacing w:after="120"/>
        <w:ind w:firstLine="708"/>
        <w:rPr>
          <w:rFonts w:ascii="Arial Narrow" w:hAnsi="Arial Narrow"/>
          <w:b/>
          <w:i/>
          <w:lang w:val="bg-BG" w:eastAsia="bg-BG"/>
        </w:rPr>
      </w:pPr>
      <w:r w:rsidRPr="00305E62">
        <w:rPr>
          <w:rFonts w:ascii="Arial Narrow" w:hAnsi="Arial Narrow"/>
          <w:b/>
          <w:i/>
          <w:lang w:val="bg-BG" w:eastAsia="bg-BG"/>
        </w:rPr>
        <w:t>Кръгломиниращ молец по ябълката</w:t>
      </w:r>
    </w:p>
    <w:p w14:paraId="28CD6B3C" w14:textId="77777777" w:rsidR="00305E62" w:rsidRPr="00305E62" w:rsidRDefault="00305E62" w:rsidP="00305E62">
      <w:pPr>
        <w:spacing w:after="120"/>
        <w:ind w:firstLine="709"/>
        <w:jc w:val="both"/>
        <w:rPr>
          <w:rFonts w:ascii="Arial Narrow" w:hAnsi="Arial Narrow"/>
          <w:lang w:val="bg-BG" w:eastAsia="bg-BG"/>
        </w:rPr>
      </w:pPr>
      <w:r w:rsidRPr="00305E62">
        <w:rPr>
          <w:rFonts w:ascii="Arial Narrow" w:hAnsi="Arial Narrow"/>
          <w:lang w:val="bg-BG" w:eastAsia="bg-BG"/>
        </w:rPr>
        <w:t xml:space="preserve">Срещу кръгломиниращ молец са третирани 0,423 хил. ха. </w:t>
      </w:r>
    </w:p>
    <w:p w14:paraId="6B97B3B6" w14:textId="77777777" w:rsidR="00305E62" w:rsidRPr="00305E62" w:rsidRDefault="00305E62" w:rsidP="00305E62">
      <w:pPr>
        <w:spacing w:after="120"/>
        <w:ind w:firstLine="708"/>
        <w:rPr>
          <w:rFonts w:ascii="Arial Narrow" w:hAnsi="Arial Narrow"/>
          <w:b/>
          <w:i/>
          <w:lang w:val="bg-BG" w:eastAsia="bg-BG"/>
        </w:rPr>
      </w:pPr>
      <w:r w:rsidRPr="00305E62">
        <w:rPr>
          <w:rFonts w:ascii="Arial Narrow" w:hAnsi="Arial Narrow"/>
          <w:b/>
          <w:i/>
          <w:lang w:val="bg-BG" w:eastAsia="bg-BG"/>
        </w:rPr>
        <w:t xml:space="preserve">Струпясване по ябълката и крушата </w:t>
      </w:r>
    </w:p>
    <w:p w14:paraId="35D641EE" w14:textId="77777777" w:rsidR="00305E62" w:rsidRPr="00305E62" w:rsidRDefault="00305E62" w:rsidP="00305E62">
      <w:pPr>
        <w:spacing w:after="120"/>
        <w:ind w:firstLine="709"/>
        <w:jc w:val="both"/>
        <w:rPr>
          <w:rFonts w:ascii="Arial Narrow" w:hAnsi="Arial Narrow"/>
          <w:lang w:val="bg-BG" w:eastAsia="bg-BG"/>
        </w:rPr>
      </w:pPr>
      <w:r w:rsidRPr="00305E62">
        <w:rPr>
          <w:rFonts w:ascii="Arial Narrow" w:hAnsi="Arial Narrow"/>
          <w:lang w:val="bg-BG" w:eastAsia="bg-BG"/>
        </w:rPr>
        <w:t>В рамките на 2024 г. срещу струпясване по ябълка и круша са третирани 3,934 хил. ха.</w:t>
      </w:r>
    </w:p>
    <w:p w14:paraId="77AC2831" w14:textId="77777777" w:rsidR="00305E62" w:rsidRPr="00305E62" w:rsidRDefault="00305E62" w:rsidP="00305E62">
      <w:pPr>
        <w:spacing w:after="120"/>
        <w:ind w:firstLine="708"/>
        <w:rPr>
          <w:rFonts w:ascii="Arial Narrow" w:hAnsi="Arial Narrow"/>
          <w:b/>
          <w:i/>
          <w:lang w:val="bg-BG" w:eastAsia="bg-BG"/>
        </w:rPr>
      </w:pPr>
      <w:r w:rsidRPr="00305E62">
        <w:rPr>
          <w:rFonts w:ascii="Arial Narrow" w:hAnsi="Arial Narrow"/>
          <w:b/>
          <w:i/>
          <w:lang w:val="bg-BG" w:eastAsia="bg-BG"/>
        </w:rPr>
        <w:t xml:space="preserve">Брашнеста мана по ябълката </w:t>
      </w:r>
    </w:p>
    <w:p w14:paraId="228ECCC0" w14:textId="77777777" w:rsidR="00305E62" w:rsidRPr="00305E62" w:rsidRDefault="00305E62" w:rsidP="00305E62">
      <w:pPr>
        <w:spacing w:after="120"/>
        <w:ind w:firstLine="709"/>
        <w:jc w:val="both"/>
        <w:rPr>
          <w:rFonts w:ascii="Arial Narrow" w:hAnsi="Arial Narrow"/>
          <w:lang w:val="bg-BG" w:eastAsia="bg-BG"/>
        </w:rPr>
      </w:pPr>
      <w:r w:rsidRPr="00305E62">
        <w:rPr>
          <w:rFonts w:ascii="Arial Narrow" w:hAnsi="Arial Narrow"/>
          <w:lang w:val="bg-BG" w:eastAsia="bg-BG"/>
        </w:rPr>
        <w:t xml:space="preserve">През годината срещу брашнеста мана са третирани 3,754 хил. ха ябълкови и крушови градини. </w:t>
      </w:r>
    </w:p>
    <w:p w14:paraId="5B51996C" w14:textId="77777777" w:rsidR="00305E62" w:rsidRPr="00305E62" w:rsidRDefault="00305E62" w:rsidP="00305E62">
      <w:pPr>
        <w:spacing w:after="120"/>
        <w:ind w:firstLine="708"/>
        <w:rPr>
          <w:rFonts w:ascii="Arial Narrow" w:hAnsi="Arial Narrow"/>
          <w:b/>
          <w:i/>
          <w:lang w:val="bg-BG" w:eastAsia="bg-BG"/>
        </w:rPr>
      </w:pPr>
      <w:r w:rsidRPr="00305E62">
        <w:rPr>
          <w:rFonts w:ascii="Arial Narrow" w:hAnsi="Arial Narrow"/>
          <w:b/>
          <w:i/>
          <w:lang w:val="bg-BG" w:eastAsia="bg-BG"/>
        </w:rPr>
        <w:t>Ранно кафяво гниене</w:t>
      </w:r>
    </w:p>
    <w:p w14:paraId="64779C7F" w14:textId="77777777" w:rsidR="00305E62" w:rsidRPr="00305E62" w:rsidRDefault="00305E62" w:rsidP="00305E62">
      <w:pPr>
        <w:spacing w:after="120"/>
        <w:ind w:firstLine="709"/>
        <w:jc w:val="both"/>
        <w:rPr>
          <w:rFonts w:ascii="Arial Narrow" w:hAnsi="Arial Narrow"/>
          <w:lang w:val="bg-BG" w:eastAsia="bg-BG"/>
        </w:rPr>
      </w:pPr>
      <w:r w:rsidRPr="00305E62">
        <w:rPr>
          <w:rFonts w:ascii="Arial Narrow" w:hAnsi="Arial Narrow"/>
          <w:lang w:val="bg-BG" w:eastAsia="bg-BG"/>
        </w:rPr>
        <w:t>Проведени са от 1 до 4 третирания срещу ранно кафяво гниене на 20,769 хил. ха от стопанисваните костилкови насаждения (в. т.ч. сливи, череши, вишни, праскови, кайсии).</w:t>
      </w:r>
    </w:p>
    <w:p w14:paraId="5BBBB34A" w14:textId="77777777" w:rsidR="00305E62" w:rsidRPr="00305E62" w:rsidRDefault="00305E62" w:rsidP="00305E62">
      <w:pPr>
        <w:spacing w:after="120"/>
        <w:ind w:firstLine="708"/>
        <w:rPr>
          <w:rFonts w:ascii="Arial Narrow" w:hAnsi="Arial Narrow"/>
          <w:b/>
          <w:i/>
          <w:lang w:val="bg-BG" w:eastAsia="bg-BG"/>
        </w:rPr>
      </w:pPr>
      <w:r w:rsidRPr="00305E62">
        <w:rPr>
          <w:rFonts w:ascii="Arial Narrow" w:hAnsi="Arial Narrow"/>
          <w:b/>
          <w:i/>
          <w:lang w:val="bg-BG" w:eastAsia="bg-BG"/>
        </w:rPr>
        <w:t>Късно кафяво гниене</w:t>
      </w:r>
    </w:p>
    <w:p w14:paraId="4ADA0116" w14:textId="77777777" w:rsidR="00305E62" w:rsidRPr="00305E62" w:rsidRDefault="00305E62" w:rsidP="00305E62">
      <w:pPr>
        <w:spacing w:after="120"/>
        <w:ind w:firstLine="709"/>
        <w:jc w:val="both"/>
        <w:rPr>
          <w:rFonts w:ascii="Arial Narrow" w:hAnsi="Arial Narrow"/>
          <w:lang w:val="bg-BG" w:eastAsia="bg-BG"/>
        </w:rPr>
      </w:pPr>
      <w:r w:rsidRPr="00305E62">
        <w:rPr>
          <w:rFonts w:ascii="Arial Narrow" w:hAnsi="Arial Narrow"/>
          <w:lang w:val="bg-BG" w:eastAsia="bg-BG"/>
        </w:rPr>
        <w:t>През 2024 г. са проведени от 1 до 4 третирания срещу късно кафяво гниене на 2,204 хил. ха от стопанисваните костилкови насаждения (в. т.ч. сливи, череши, вишни, праскови, кайсии).</w:t>
      </w:r>
    </w:p>
    <w:p w14:paraId="286895B7" w14:textId="77777777" w:rsidR="00305E62" w:rsidRPr="00305E62" w:rsidRDefault="00305E62" w:rsidP="00305E62">
      <w:pPr>
        <w:spacing w:after="120"/>
        <w:ind w:firstLine="708"/>
        <w:rPr>
          <w:rFonts w:ascii="Arial Narrow" w:hAnsi="Arial Narrow"/>
          <w:b/>
          <w:i/>
          <w:lang w:val="bg-BG" w:eastAsia="bg-BG"/>
        </w:rPr>
      </w:pPr>
      <w:r w:rsidRPr="00305E62">
        <w:rPr>
          <w:rFonts w:ascii="Arial Narrow" w:hAnsi="Arial Narrow"/>
          <w:b/>
          <w:i/>
          <w:lang w:val="bg-BG" w:eastAsia="bg-BG"/>
        </w:rPr>
        <w:t>Брашнеста мана по прасковата</w:t>
      </w:r>
    </w:p>
    <w:p w14:paraId="4F445676" w14:textId="77777777" w:rsidR="00305E62" w:rsidRPr="00305E62" w:rsidRDefault="00305E62" w:rsidP="00305E62">
      <w:pPr>
        <w:spacing w:after="120"/>
        <w:ind w:firstLine="709"/>
        <w:jc w:val="both"/>
        <w:rPr>
          <w:rFonts w:ascii="Arial Narrow" w:hAnsi="Arial Narrow"/>
          <w:lang w:val="bg-BG" w:eastAsia="bg-BG"/>
        </w:rPr>
      </w:pPr>
      <w:r w:rsidRPr="00305E62">
        <w:rPr>
          <w:rFonts w:ascii="Arial Narrow" w:hAnsi="Arial Narrow"/>
          <w:lang w:val="bg-BG" w:eastAsia="bg-BG"/>
        </w:rPr>
        <w:t xml:space="preserve">През вегетацията са проведени от 1 до 6 броя пръскания. Третирани са 2,317 хил. ха насаждения от праскови. </w:t>
      </w:r>
    </w:p>
    <w:p w14:paraId="0BB5C390" w14:textId="77777777" w:rsidR="00305E62" w:rsidRPr="00305E62" w:rsidRDefault="00305E62" w:rsidP="00305E62">
      <w:pPr>
        <w:spacing w:after="120"/>
        <w:ind w:firstLine="708"/>
        <w:rPr>
          <w:rFonts w:ascii="Arial Narrow" w:hAnsi="Arial Narrow"/>
          <w:b/>
          <w:i/>
          <w:lang w:val="bg-BG" w:eastAsia="bg-BG"/>
        </w:rPr>
      </w:pPr>
      <w:r w:rsidRPr="00305E62">
        <w:rPr>
          <w:rFonts w:ascii="Arial Narrow" w:hAnsi="Arial Narrow"/>
          <w:b/>
          <w:i/>
          <w:lang w:val="bg-BG" w:eastAsia="bg-BG"/>
        </w:rPr>
        <w:t>Къдравост по прасковата</w:t>
      </w:r>
    </w:p>
    <w:p w14:paraId="571C24DB" w14:textId="77777777" w:rsidR="00305E62" w:rsidRPr="00305E62" w:rsidRDefault="00305E62" w:rsidP="00305E62">
      <w:pPr>
        <w:spacing w:after="120"/>
        <w:ind w:firstLine="709"/>
        <w:jc w:val="both"/>
        <w:rPr>
          <w:rFonts w:ascii="Arial Narrow" w:hAnsi="Arial Narrow"/>
          <w:lang w:val="bg-BG" w:eastAsia="bg-BG"/>
        </w:rPr>
      </w:pPr>
      <w:r w:rsidRPr="00305E62">
        <w:rPr>
          <w:rFonts w:ascii="Arial Narrow" w:hAnsi="Arial Narrow"/>
          <w:lang w:val="bg-BG" w:eastAsia="bg-BG"/>
        </w:rPr>
        <w:t>Проведени са от 1 до 3 третирания на 3,946 хил. ха праскови.</w:t>
      </w:r>
    </w:p>
    <w:p w14:paraId="6DBED294" w14:textId="77777777" w:rsidR="00305E62" w:rsidRPr="00305E62" w:rsidRDefault="00305E62" w:rsidP="00305E62">
      <w:pPr>
        <w:spacing w:after="120"/>
        <w:ind w:firstLine="708"/>
        <w:rPr>
          <w:rFonts w:ascii="Arial Narrow" w:hAnsi="Arial Narrow"/>
          <w:b/>
          <w:i/>
          <w:lang w:val="bg-BG" w:eastAsia="bg-BG"/>
        </w:rPr>
      </w:pPr>
      <w:r w:rsidRPr="00305E62">
        <w:rPr>
          <w:rFonts w:ascii="Arial Narrow" w:hAnsi="Arial Narrow"/>
          <w:b/>
          <w:i/>
          <w:lang w:val="bg-BG" w:eastAsia="bg-BG"/>
        </w:rPr>
        <w:lastRenderedPageBreak/>
        <w:t xml:space="preserve">Бяла ръжда (Цилиндоспориоза) по черешата и вишната </w:t>
      </w:r>
    </w:p>
    <w:p w14:paraId="4CA15C9E" w14:textId="77777777" w:rsidR="00305E62" w:rsidRPr="00305E62" w:rsidRDefault="00305E62" w:rsidP="00305E62">
      <w:pPr>
        <w:spacing w:after="120"/>
        <w:ind w:firstLine="709"/>
        <w:jc w:val="both"/>
        <w:rPr>
          <w:rFonts w:ascii="Arial Narrow" w:hAnsi="Arial Narrow"/>
          <w:color w:val="FF0000"/>
          <w:lang w:val="bg-BG" w:eastAsia="bg-BG"/>
        </w:rPr>
      </w:pPr>
      <w:r w:rsidRPr="00305E62">
        <w:rPr>
          <w:rFonts w:ascii="Arial Narrow" w:hAnsi="Arial Narrow"/>
          <w:lang w:val="bg-BG" w:eastAsia="bg-BG"/>
        </w:rPr>
        <w:t>Извършени са от 1 до 5 третирания на площ от 6,609 хил. ха череши и вишни</w:t>
      </w:r>
      <w:r w:rsidRPr="00305E62">
        <w:rPr>
          <w:rFonts w:ascii="Arial Narrow" w:hAnsi="Arial Narrow"/>
          <w:color w:val="FF0000"/>
          <w:lang w:val="bg-BG" w:eastAsia="bg-BG"/>
        </w:rPr>
        <w:t>.</w:t>
      </w:r>
    </w:p>
    <w:p w14:paraId="656B061E" w14:textId="77777777" w:rsidR="00305E62" w:rsidRPr="00305E62" w:rsidRDefault="00305E62" w:rsidP="00305E62">
      <w:pPr>
        <w:spacing w:after="120"/>
        <w:ind w:firstLine="708"/>
        <w:rPr>
          <w:rFonts w:ascii="Arial Narrow" w:hAnsi="Arial Narrow"/>
          <w:b/>
          <w:i/>
          <w:lang w:val="bg-BG" w:eastAsia="bg-BG"/>
        </w:rPr>
      </w:pPr>
      <w:r w:rsidRPr="00305E62">
        <w:rPr>
          <w:rFonts w:ascii="Arial Narrow" w:hAnsi="Arial Narrow"/>
          <w:b/>
          <w:i/>
          <w:lang w:val="bg-BG" w:eastAsia="bg-BG"/>
        </w:rPr>
        <w:t>Черна златка</w:t>
      </w:r>
    </w:p>
    <w:p w14:paraId="55D69C3E" w14:textId="77777777" w:rsidR="00305E62" w:rsidRPr="00305E62" w:rsidRDefault="00305E62" w:rsidP="00305E62">
      <w:pPr>
        <w:spacing w:after="120"/>
        <w:ind w:firstLine="709"/>
        <w:jc w:val="both"/>
        <w:rPr>
          <w:rFonts w:ascii="Arial Narrow" w:hAnsi="Arial Narrow"/>
          <w:lang w:val="bg-BG" w:eastAsia="bg-BG"/>
        </w:rPr>
      </w:pPr>
      <w:r w:rsidRPr="00305E62">
        <w:rPr>
          <w:rFonts w:ascii="Arial Narrow" w:hAnsi="Arial Narrow"/>
          <w:lang w:val="bg-BG" w:eastAsia="bg-BG"/>
        </w:rPr>
        <w:t xml:space="preserve">През последните години тенденцията в развитието на неприятеля черна златка (Capnodis tenebrionis) е постепенно разширяване ареала на разпространение и увеличаване броя на нападнатите и унищожени растения. </w:t>
      </w:r>
    </w:p>
    <w:p w14:paraId="2534CD38" w14:textId="77777777" w:rsidR="00305E62" w:rsidRPr="00305E62" w:rsidRDefault="00305E62" w:rsidP="00305E62">
      <w:pPr>
        <w:spacing w:after="120"/>
        <w:ind w:firstLine="709"/>
        <w:jc w:val="both"/>
        <w:rPr>
          <w:rFonts w:ascii="Arial Narrow" w:hAnsi="Arial Narrow"/>
          <w:lang w:val="bg-BG" w:eastAsia="bg-BG"/>
        </w:rPr>
      </w:pPr>
      <w:r w:rsidRPr="00305E62">
        <w:rPr>
          <w:rFonts w:ascii="Arial Narrow" w:hAnsi="Arial Narrow"/>
          <w:lang w:val="bg-BG" w:eastAsia="bg-BG"/>
        </w:rPr>
        <w:t xml:space="preserve">Неприятелят е разпространен както на територията на България, така и в други държави членки на ЕС, като Гърция, Италия и Испания. </w:t>
      </w:r>
    </w:p>
    <w:p w14:paraId="75B196E3" w14:textId="77777777" w:rsidR="00305E62" w:rsidRPr="00305E62" w:rsidRDefault="00305E62" w:rsidP="00305E62">
      <w:pPr>
        <w:spacing w:after="120"/>
        <w:ind w:firstLine="709"/>
        <w:jc w:val="both"/>
        <w:rPr>
          <w:rFonts w:ascii="Arial Narrow" w:hAnsi="Arial Narrow"/>
          <w:lang w:val="bg-BG" w:eastAsia="bg-BG"/>
        </w:rPr>
      </w:pPr>
      <w:r w:rsidRPr="00305E62">
        <w:rPr>
          <w:rFonts w:ascii="Arial Narrow" w:hAnsi="Arial Narrow"/>
          <w:lang w:val="bg-BG" w:eastAsia="bg-BG"/>
        </w:rPr>
        <w:t xml:space="preserve">Напада основно костилкови и семкови овощни видове (кайсия, слива, праскова, череша, вишна и зарзала), но нанася вреди и по други видове от сем. Розоцветни, в т. ч. круша, дюля, маслодайната роза, глог и редица горски и декоративни видове. </w:t>
      </w:r>
    </w:p>
    <w:p w14:paraId="38F66F7C" w14:textId="77777777" w:rsidR="00305E62" w:rsidRPr="00305E62" w:rsidRDefault="00305E62" w:rsidP="00305E62">
      <w:pPr>
        <w:spacing w:after="120"/>
        <w:ind w:firstLine="709"/>
        <w:jc w:val="both"/>
        <w:rPr>
          <w:rFonts w:ascii="Arial Narrow" w:hAnsi="Arial Narrow"/>
          <w:lang w:val="bg-BG" w:eastAsia="bg-BG"/>
        </w:rPr>
      </w:pPr>
      <w:r w:rsidRPr="00305E62">
        <w:rPr>
          <w:rFonts w:ascii="Arial Narrow" w:hAnsi="Arial Narrow"/>
          <w:lang w:val="bg-BG" w:eastAsia="bg-BG"/>
        </w:rPr>
        <w:t>Глобалното затопляне оказва пряко влияние върху черната златка, като води до увеличено преживяване на зимуващите ларви и възрастни, скъсяване периода за развитие на ларвите, по-ранна поява на възрастните, увеличена способност за разпространение на възрастните, по-висока плодовитост и по-голям размер на популацията.</w:t>
      </w:r>
    </w:p>
    <w:p w14:paraId="611FCCF9" w14:textId="77777777" w:rsidR="00305E62" w:rsidRPr="00305E62" w:rsidRDefault="00305E62" w:rsidP="00305E62">
      <w:pPr>
        <w:spacing w:after="120"/>
        <w:ind w:firstLine="709"/>
        <w:jc w:val="both"/>
        <w:rPr>
          <w:rFonts w:ascii="Arial Narrow" w:hAnsi="Arial Narrow"/>
          <w:lang w:val="bg-BG" w:eastAsia="bg-BG"/>
        </w:rPr>
      </w:pPr>
      <w:r w:rsidRPr="00305E62">
        <w:rPr>
          <w:rFonts w:ascii="Arial Narrow" w:hAnsi="Arial Narrow"/>
          <w:lang w:val="bg-BG" w:eastAsia="bg-BG"/>
        </w:rPr>
        <w:t>В настоящия момент контролът на черната златка е предизвикателство пред земеделските стопани, поради липса на устойчиви подложки, липса на ефективни инструменти за мониторинг, както и проблеми в прилаганата агротехника (поддържане на почвената повърхност постоянно затревена и липса на гравитaчно напояване, наличие на стари болни дървета около масивите с трайни насаждения, изоставени градини, градини при които нивото на агротехника е занижено или такава напълно отсъства).</w:t>
      </w:r>
    </w:p>
    <w:p w14:paraId="1C076000" w14:textId="77777777" w:rsidR="00305E62" w:rsidRPr="00305E62" w:rsidRDefault="00305E62" w:rsidP="00305E62">
      <w:pPr>
        <w:numPr>
          <w:ilvl w:val="0"/>
          <w:numId w:val="27"/>
        </w:numPr>
        <w:spacing w:after="120" w:line="285" w:lineRule="auto"/>
        <w:ind w:left="709" w:hanging="284"/>
        <w:jc w:val="both"/>
        <w:rPr>
          <w:rFonts w:ascii="Arial Narrow" w:hAnsi="Arial Narrow"/>
          <w:b/>
          <w:lang w:val="bg-BG" w:eastAsia="bg-BG"/>
        </w:rPr>
      </w:pPr>
      <w:r w:rsidRPr="00305E62">
        <w:rPr>
          <w:rFonts w:ascii="Arial Narrow" w:hAnsi="Arial Narrow"/>
          <w:b/>
          <w:lang w:val="bg-BG" w:eastAsia="bg-BG"/>
        </w:rPr>
        <w:t xml:space="preserve">Растителна защита при лозя </w:t>
      </w:r>
    </w:p>
    <w:p w14:paraId="61FA96EC" w14:textId="77777777" w:rsidR="00305E62" w:rsidRPr="00305E62" w:rsidRDefault="00305E62" w:rsidP="00305E62">
      <w:pPr>
        <w:spacing w:after="120"/>
        <w:ind w:firstLine="709"/>
        <w:rPr>
          <w:rFonts w:ascii="Arial Narrow" w:hAnsi="Arial Narrow"/>
          <w:lang w:val="bg-BG" w:eastAsia="bg-BG"/>
        </w:rPr>
      </w:pPr>
      <w:r w:rsidRPr="00305E62">
        <w:rPr>
          <w:rFonts w:ascii="Arial Narrow" w:hAnsi="Arial Narrow"/>
          <w:b/>
          <w:lang w:val="bg-BG" w:eastAsia="bg-BG"/>
        </w:rPr>
        <w:t>Контрол на плевели</w:t>
      </w:r>
    </w:p>
    <w:p w14:paraId="657CBB0B" w14:textId="77777777" w:rsidR="00305E62" w:rsidRPr="00305E62" w:rsidRDefault="00305E62" w:rsidP="00305E62">
      <w:pPr>
        <w:spacing w:after="120"/>
        <w:ind w:firstLine="709"/>
        <w:jc w:val="both"/>
        <w:rPr>
          <w:rFonts w:ascii="Arial Narrow" w:hAnsi="Arial Narrow"/>
          <w:lang w:val="bg-BG" w:eastAsia="bg-BG"/>
        </w:rPr>
      </w:pPr>
      <w:r w:rsidRPr="00305E62">
        <w:rPr>
          <w:rFonts w:ascii="Arial Narrow" w:hAnsi="Arial Narrow"/>
          <w:lang w:val="bg-BG" w:eastAsia="bg-BG"/>
        </w:rPr>
        <w:t>В рамките на 2024 г. са приложени почвени хербициди на 1,000  хил. ха и вегетационни хербициди на 12,950 хил. ха от стопанисваните площи, заети с лозя.</w:t>
      </w:r>
    </w:p>
    <w:p w14:paraId="7D2070A1" w14:textId="77777777" w:rsidR="00305E62" w:rsidRPr="00305E62" w:rsidRDefault="00305E62" w:rsidP="00305E62">
      <w:pPr>
        <w:numPr>
          <w:ilvl w:val="0"/>
          <w:numId w:val="27"/>
        </w:numPr>
        <w:spacing w:after="120" w:line="285" w:lineRule="auto"/>
        <w:ind w:left="709" w:hanging="284"/>
        <w:jc w:val="both"/>
        <w:rPr>
          <w:rFonts w:ascii="Arial Narrow" w:hAnsi="Arial Narrow"/>
          <w:b/>
          <w:lang w:val="bg-BG" w:eastAsia="bg-BG"/>
        </w:rPr>
      </w:pPr>
      <w:r w:rsidRPr="00305E62">
        <w:rPr>
          <w:rFonts w:ascii="Arial Narrow" w:hAnsi="Arial Narrow"/>
          <w:b/>
          <w:lang w:val="bg-BG" w:eastAsia="bg-BG"/>
        </w:rPr>
        <w:t>Контрол на неприятели и болести</w:t>
      </w:r>
    </w:p>
    <w:p w14:paraId="608DD64F" w14:textId="77777777" w:rsidR="00305E62" w:rsidRPr="00305E62" w:rsidRDefault="00305E62" w:rsidP="00305E62">
      <w:pPr>
        <w:spacing w:after="120"/>
        <w:ind w:firstLine="709"/>
        <w:rPr>
          <w:rFonts w:ascii="Arial Narrow" w:hAnsi="Arial Narrow"/>
          <w:b/>
          <w:lang w:val="bg-BG" w:eastAsia="bg-BG"/>
        </w:rPr>
      </w:pPr>
      <w:r w:rsidRPr="00305E62">
        <w:rPr>
          <w:rFonts w:ascii="Arial Narrow" w:hAnsi="Arial Narrow"/>
          <w:b/>
          <w:lang w:val="bg-BG" w:eastAsia="bg-BG"/>
        </w:rPr>
        <w:t xml:space="preserve">Шарен гроздов молец </w:t>
      </w:r>
    </w:p>
    <w:p w14:paraId="3C637E6C" w14:textId="77777777" w:rsidR="00305E62" w:rsidRPr="00305E62" w:rsidRDefault="00305E62" w:rsidP="00305E62">
      <w:pPr>
        <w:spacing w:after="120"/>
        <w:ind w:firstLine="709"/>
        <w:jc w:val="both"/>
        <w:rPr>
          <w:rFonts w:ascii="Arial Narrow" w:hAnsi="Arial Narrow"/>
          <w:lang w:val="bg-BG" w:eastAsia="bg-BG"/>
        </w:rPr>
      </w:pPr>
      <w:r w:rsidRPr="00305E62">
        <w:rPr>
          <w:rFonts w:ascii="Arial Narrow" w:hAnsi="Arial Narrow"/>
          <w:lang w:val="bg-BG" w:eastAsia="bg-BG"/>
        </w:rPr>
        <w:t>През 2024 г. от общо 54,414 хил. ха лозя са третирани 15,871 хил. ха, от 1 до 6 пъти.</w:t>
      </w:r>
    </w:p>
    <w:p w14:paraId="4FF5DA63" w14:textId="77777777" w:rsidR="00305E62" w:rsidRPr="00305E62" w:rsidRDefault="00305E62" w:rsidP="00305E62">
      <w:pPr>
        <w:spacing w:after="120"/>
        <w:ind w:firstLine="709"/>
        <w:rPr>
          <w:rFonts w:ascii="Arial Narrow" w:hAnsi="Arial Narrow"/>
          <w:b/>
          <w:lang w:val="bg-BG" w:eastAsia="bg-BG"/>
        </w:rPr>
      </w:pPr>
      <w:r w:rsidRPr="00305E62">
        <w:rPr>
          <w:rFonts w:ascii="Arial Narrow" w:hAnsi="Arial Narrow"/>
          <w:b/>
          <w:lang w:val="bg-BG" w:eastAsia="bg-BG"/>
        </w:rPr>
        <w:t>Жълт лозов акар</w:t>
      </w:r>
    </w:p>
    <w:p w14:paraId="25C7EA0C" w14:textId="77777777" w:rsidR="00305E62" w:rsidRPr="00305E62" w:rsidRDefault="00305E62" w:rsidP="00305E62">
      <w:pPr>
        <w:spacing w:after="120"/>
        <w:ind w:firstLine="709"/>
        <w:jc w:val="both"/>
        <w:rPr>
          <w:rFonts w:ascii="Arial Narrow" w:hAnsi="Arial Narrow"/>
          <w:lang w:val="bg-BG" w:eastAsia="bg-BG"/>
        </w:rPr>
      </w:pPr>
      <w:r w:rsidRPr="00305E62">
        <w:rPr>
          <w:rFonts w:ascii="Arial Narrow" w:hAnsi="Arial Narrow"/>
          <w:lang w:val="bg-BG" w:eastAsia="bg-BG"/>
        </w:rPr>
        <w:t>През годината третиране е проведено на 5,878 хил. ха лозови насаждения, от 1 до 6 пъти.</w:t>
      </w:r>
    </w:p>
    <w:p w14:paraId="016A9F49" w14:textId="77777777" w:rsidR="00305E62" w:rsidRPr="00305E62" w:rsidRDefault="00305E62" w:rsidP="00305E62">
      <w:pPr>
        <w:spacing w:after="120"/>
        <w:ind w:firstLine="709"/>
        <w:rPr>
          <w:rFonts w:ascii="Arial Narrow" w:hAnsi="Arial Narrow"/>
          <w:b/>
          <w:lang w:val="bg-BG" w:eastAsia="bg-BG"/>
        </w:rPr>
      </w:pPr>
      <w:r w:rsidRPr="00305E62">
        <w:rPr>
          <w:rFonts w:ascii="Arial Narrow" w:hAnsi="Arial Narrow"/>
          <w:b/>
          <w:lang w:val="bg-BG" w:eastAsia="bg-BG"/>
        </w:rPr>
        <w:t xml:space="preserve">Мана по лозата </w:t>
      </w:r>
    </w:p>
    <w:p w14:paraId="726D6D96" w14:textId="77777777" w:rsidR="00305E62" w:rsidRPr="00305E62" w:rsidRDefault="00305E62" w:rsidP="00305E62">
      <w:pPr>
        <w:spacing w:after="120"/>
        <w:ind w:firstLine="709"/>
        <w:jc w:val="both"/>
        <w:rPr>
          <w:rFonts w:ascii="Arial Narrow" w:hAnsi="Arial Narrow"/>
          <w:lang w:val="bg-BG" w:eastAsia="bg-BG"/>
        </w:rPr>
      </w:pPr>
      <w:r w:rsidRPr="00305E62">
        <w:rPr>
          <w:rFonts w:ascii="Arial Narrow" w:hAnsi="Arial Narrow"/>
          <w:lang w:val="bg-BG" w:eastAsia="bg-BG"/>
        </w:rPr>
        <w:t>Срещу маната са проведени от 1 до 18 третирания на обща площ от 36,552 хил. ха.</w:t>
      </w:r>
    </w:p>
    <w:p w14:paraId="6B120AED" w14:textId="77777777" w:rsidR="00305E62" w:rsidRPr="00305E62" w:rsidRDefault="00305E62" w:rsidP="00305E62">
      <w:pPr>
        <w:spacing w:after="120"/>
        <w:ind w:firstLine="709"/>
        <w:rPr>
          <w:rFonts w:ascii="Arial Narrow" w:hAnsi="Arial Narrow"/>
          <w:b/>
          <w:lang w:val="bg-BG" w:eastAsia="bg-BG"/>
        </w:rPr>
      </w:pPr>
      <w:r w:rsidRPr="00305E62">
        <w:rPr>
          <w:rFonts w:ascii="Arial Narrow" w:hAnsi="Arial Narrow"/>
          <w:b/>
          <w:lang w:val="bg-BG" w:eastAsia="bg-BG"/>
        </w:rPr>
        <w:t>Брашнеста мана (Оидиум)</w:t>
      </w:r>
    </w:p>
    <w:p w14:paraId="2E3A2002" w14:textId="77777777" w:rsidR="00305E62" w:rsidRPr="00305E62" w:rsidRDefault="00305E62" w:rsidP="00305E62">
      <w:pPr>
        <w:spacing w:after="120"/>
        <w:ind w:firstLine="709"/>
        <w:jc w:val="both"/>
        <w:rPr>
          <w:rFonts w:ascii="Arial Narrow" w:hAnsi="Arial Narrow"/>
          <w:lang w:val="bg-BG" w:eastAsia="bg-BG"/>
        </w:rPr>
      </w:pPr>
      <w:r w:rsidRPr="00305E62">
        <w:rPr>
          <w:rFonts w:ascii="Arial Narrow" w:hAnsi="Arial Narrow"/>
          <w:lang w:val="bg-BG" w:eastAsia="bg-BG"/>
        </w:rPr>
        <w:t>Проведени са от 1 до 18 броя третирания на 37,813 хил. ха лозя.</w:t>
      </w:r>
    </w:p>
    <w:p w14:paraId="06EAB496" w14:textId="77777777" w:rsidR="00305E62" w:rsidRPr="00305E62" w:rsidRDefault="00305E62" w:rsidP="00305E62">
      <w:pPr>
        <w:spacing w:after="120"/>
        <w:ind w:firstLine="709"/>
        <w:rPr>
          <w:rFonts w:ascii="Arial Narrow" w:hAnsi="Arial Narrow"/>
          <w:b/>
          <w:lang w:val="bg-BG" w:eastAsia="bg-BG"/>
        </w:rPr>
      </w:pPr>
      <w:r w:rsidRPr="00305E62">
        <w:rPr>
          <w:rFonts w:ascii="Arial Narrow" w:hAnsi="Arial Narrow"/>
          <w:b/>
          <w:lang w:val="bg-BG" w:eastAsia="bg-BG"/>
        </w:rPr>
        <w:t xml:space="preserve">Сиво гниене (ботритис) </w:t>
      </w:r>
    </w:p>
    <w:p w14:paraId="751E9962" w14:textId="77777777" w:rsidR="00305E62" w:rsidRPr="00305E62" w:rsidRDefault="00305E62" w:rsidP="00305E62">
      <w:pPr>
        <w:spacing w:after="120"/>
        <w:ind w:firstLine="709"/>
        <w:jc w:val="both"/>
        <w:rPr>
          <w:rFonts w:ascii="Arial Narrow" w:hAnsi="Arial Narrow"/>
          <w:lang w:val="bg-BG" w:eastAsia="bg-BG"/>
        </w:rPr>
      </w:pPr>
      <w:r w:rsidRPr="00305E62">
        <w:rPr>
          <w:rFonts w:ascii="Arial Narrow" w:hAnsi="Arial Narrow"/>
          <w:lang w:val="bg-BG" w:eastAsia="bg-BG"/>
        </w:rPr>
        <w:t>Площите, третирани срещу сиво гниене, са 23,742 хил. ха, проведени са от 1 до 9 броя третирания.</w:t>
      </w:r>
    </w:p>
    <w:p w14:paraId="31EF3BF7" w14:textId="77777777" w:rsidR="00305E62" w:rsidRPr="00305E62" w:rsidRDefault="00305E62" w:rsidP="00305E62">
      <w:pPr>
        <w:numPr>
          <w:ilvl w:val="0"/>
          <w:numId w:val="27"/>
        </w:numPr>
        <w:spacing w:after="120" w:line="285" w:lineRule="auto"/>
        <w:ind w:left="709" w:hanging="284"/>
        <w:jc w:val="both"/>
        <w:rPr>
          <w:rFonts w:ascii="Arial Narrow" w:hAnsi="Arial Narrow"/>
          <w:b/>
          <w:lang w:val="bg-BG" w:eastAsia="bg-BG"/>
        </w:rPr>
      </w:pPr>
      <w:r w:rsidRPr="00305E62">
        <w:rPr>
          <w:rFonts w:ascii="Arial Narrow" w:hAnsi="Arial Narrow"/>
          <w:b/>
          <w:lang w:val="bg-BG" w:eastAsia="bg-BG"/>
        </w:rPr>
        <w:t xml:space="preserve">Растителна защита при многоядни неприятели </w:t>
      </w:r>
    </w:p>
    <w:p w14:paraId="41DC33D8" w14:textId="77777777" w:rsidR="00305E62" w:rsidRPr="00305E62" w:rsidRDefault="00305E62" w:rsidP="00305E62">
      <w:pPr>
        <w:spacing w:after="120"/>
        <w:ind w:firstLine="708"/>
        <w:jc w:val="both"/>
        <w:rPr>
          <w:rFonts w:ascii="Arial Narrow" w:hAnsi="Arial Narrow"/>
          <w:b/>
          <w:i/>
          <w:lang w:val="bg-BG" w:eastAsia="bg-BG"/>
        </w:rPr>
      </w:pPr>
      <w:r w:rsidRPr="00305E62">
        <w:rPr>
          <w:rFonts w:ascii="Arial Narrow" w:hAnsi="Arial Narrow"/>
          <w:b/>
          <w:i/>
          <w:lang w:val="bg-BG" w:eastAsia="bg-BG"/>
        </w:rPr>
        <w:t xml:space="preserve">Обикновена полевка </w:t>
      </w:r>
    </w:p>
    <w:p w14:paraId="37BDB964" w14:textId="77777777" w:rsidR="00305E62" w:rsidRPr="00305E62" w:rsidRDefault="00305E62" w:rsidP="00305E62">
      <w:pPr>
        <w:spacing w:after="120"/>
        <w:ind w:firstLine="709"/>
        <w:jc w:val="both"/>
        <w:rPr>
          <w:rFonts w:ascii="Arial Narrow" w:hAnsi="Arial Narrow"/>
          <w:lang w:val="bg-BG" w:eastAsia="bg-BG"/>
        </w:rPr>
      </w:pPr>
      <w:r w:rsidRPr="00305E62">
        <w:rPr>
          <w:rFonts w:ascii="Arial Narrow" w:hAnsi="Arial Narrow"/>
          <w:lang w:val="bg-BG" w:eastAsia="bg-BG"/>
        </w:rPr>
        <w:t>През пролетта на 2024 г. общо нападнатите есенници от обикновена полевка са 42,247 хил. ха. Химичен контрол е проведен на 34,255 хил. ха.</w:t>
      </w:r>
    </w:p>
    <w:p w14:paraId="047DF597" w14:textId="77777777" w:rsidR="00305E62" w:rsidRPr="00305E62" w:rsidRDefault="00305E62" w:rsidP="00305E62">
      <w:pPr>
        <w:spacing w:after="120"/>
        <w:ind w:firstLine="708"/>
        <w:jc w:val="both"/>
        <w:rPr>
          <w:rFonts w:ascii="Arial Narrow" w:hAnsi="Arial Narrow"/>
          <w:b/>
          <w:i/>
          <w:lang w:val="bg-BG" w:eastAsia="bg-BG"/>
        </w:rPr>
      </w:pPr>
      <w:r w:rsidRPr="00305E62">
        <w:rPr>
          <w:rFonts w:ascii="Arial Narrow" w:hAnsi="Arial Narrow"/>
          <w:b/>
          <w:i/>
          <w:lang w:val="bg-BG" w:eastAsia="bg-BG"/>
        </w:rPr>
        <w:t>Щурци</w:t>
      </w:r>
    </w:p>
    <w:p w14:paraId="6F436789" w14:textId="77777777" w:rsidR="00305E62" w:rsidRPr="00305E62" w:rsidRDefault="00305E62" w:rsidP="00305E62">
      <w:pPr>
        <w:spacing w:after="120"/>
        <w:ind w:firstLine="709"/>
        <w:jc w:val="both"/>
        <w:rPr>
          <w:rFonts w:ascii="Arial Narrow" w:hAnsi="Arial Narrow"/>
          <w:lang w:val="bg-BG" w:eastAsia="bg-BG"/>
        </w:rPr>
      </w:pPr>
      <w:r w:rsidRPr="00305E62">
        <w:rPr>
          <w:rFonts w:ascii="Arial Narrow" w:hAnsi="Arial Narrow"/>
          <w:lang w:val="bg-BG" w:eastAsia="bg-BG"/>
        </w:rPr>
        <w:lastRenderedPageBreak/>
        <w:t>През 2024 г. нападнати от щурци са 2,502 хил. ха със слънчоглед и 0,100 хил. ха с царевица. Към настоящия момент няма регистрирани продукти за растителна защита за извеждане борба с неприятеля.</w:t>
      </w:r>
    </w:p>
    <w:p w14:paraId="07E7F021" w14:textId="77777777" w:rsidR="00305E62" w:rsidRPr="00305E62" w:rsidRDefault="00305E62" w:rsidP="00305E62">
      <w:pPr>
        <w:spacing w:after="120"/>
        <w:ind w:firstLine="708"/>
        <w:jc w:val="both"/>
        <w:rPr>
          <w:rFonts w:ascii="Arial Narrow" w:hAnsi="Arial Narrow"/>
          <w:b/>
          <w:i/>
          <w:lang w:val="bg-BG" w:eastAsia="bg-BG"/>
        </w:rPr>
      </w:pPr>
      <w:r w:rsidRPr="00305E62">
        <w:rPr>
          <w:rFonts w:ascii="Arial Narrow" w:hAnsi="Arial Narrow"/>
          <w:b/>
          <w:i/>
          <w:lang w:val="bg-BG" w:eastAsia="bg-BG"/>
        </w:rPr>
        <w:t xml:space="preserve">Телени червеи </w:t>
      </w:r>
    </w:p>
    <w:p w14:paraId="67F3D11E" w14:textId="77777777" w:rsidR="00305E62" w:rsidRPr="00305E62" w:rsidRDefault="00305E62" w:rsidP="00305E62">
      <w:pPr>
        <w:spacing w:after="120"/>
        <w:ind w:firstLine="709"/>
        <w:jc w:val="both"/>
        <w:rPr>
          <w:rFonts w:ascii="Arial Narrow" w:hAnsi="Arial Narrow"/>
          <w:lang w:val="bg-BG" w:eastAsia="bg-BG"/>
        </w:rPr>
      </w:pPr>
      <w:r w:rsidRPr="00305E62">
        <w:rPr>
          <w:rFonts w:ascii="Arial Narrow" w:hAnsi="Arial Narrow"/>
          <w:lang w:val="bg-BG" w:eastAsia="bg-BG"/>
        </w:rPr>
        <w:t>Нападнатите площи от телени червеи при слънчоглед са 19,910 хил. ха, а при царевицата - 3,450 хил. ха.</w:t>
      </w:r>
    </w:p>
    <w:p w14:paraId="0FAA4F68" w14:textId="77777777" w:rsidR="00305E62" w:rsidRPr="00305E62" w:rsidRDefault="00305E62" w:rsidP="00305E62">
      <w:pPr>
        <w:spacing w:after="120"/>
        <w:ind w:firstLine="709"/>
        <w:jc w:val="both"/>
        <w:rPr>
          <w:rFonts w:ascii="Arial Narrow" w:hAnsi="Arial Narrow"/>
          <w:lang w:val="bg-BG" w:eastAsia="bg-BG"/>
        </w:rPr>
      </w:pPr>
      <w:r w:rsidRPr="00305E62">
        <w:rPr>
          <w:rFonts w:ascii="Arial Narrow" w:hAnsi="Arial Narrow"/>
          <w:lang w:val="bg-BG" w:eastAsia="bg-BG"/>
        </w:rPr>
        <w:t xml:space="preserve">През 2024 г. е приложена държавна помощ за компенсиране разходите на земеделски производители, свързани с изпълнение на мерки по „Национална програма от мерки за контрол на почвени неприятели по картофите от сем. Телени червеи”. Помощта се изразява в компенсиране разходите по закупуване на продукти за растителна защита, за контрол на почвени неприятели по картофите от сем. Телени червеи. </w:t>
      </w:r>
    </w:p>
    <w:p w14:paraId="13B504A7" w14:textId="77777777" w:rsidR="00305E62" w:rsidRPr="00305E62" w:rsidRDefault="00305E62" w:rsidP="00305E62">
      <w:pPr>
        <w:spacing w:after="120"/>
        <w:ind w:firstLine="709"/>
        <w:jc w:val="both"/>
        <w:rPr>
          <w:rFonts w:ascii="Arial Narrow" w:hAnsi="Arial Narrow"/>
          <w:lang w:val="bg-BG" w:eastAsia="bg-BG"/>
        </w:rPr>
      </w:pPr>
      <w:r w:rsidRPr="00305E62">
        <w:rPr>
          <w:rFonts w:ascii="Arial Narrow" w:hAnsi="Arial Narrow"/>
          <w:lang w:val="bg-BG" w:eastAsia="bg-BG"/>
        </w:rPr>
        <w:t xml:space="preserve">През годината земеделските стопани са подали 270 броя декларации за нападнати 2,654  хил. ха картофи.  </w:t>
      </w:r>
    </w:p>
    <w:p w14:paraId="2280332B" w14:textId="77777777" w:rsidR="00305E62" w:rsidRPr="00305E62" w:rsidRDefault="00305E62" w:rsidP="00305E62">
      <w:pPr>
        <w:spacing w:after="120"/>
        <w:ind w:firstLine="708"/>
        <w:jc w:val="both"/>
        <w:rPr>
          <w:rFonts w:ascii="Arial Narrow" w:hAnsi="Arial Narrow"/>
          <w:b/>
          <w:i/>
          <w:color w:val="FF0000"/>
          <w:lang w:val="bg-BG" w:eastAsia="bg-BG"/>
        </w:rPr>
      </w:pPr>
      <w:r w:rsidRPr="00305E62">
        <w:rPr>
          <w:rFonts w:ascii="Arial Narrow" w:hAnsi="Arial Narrow"/>
          <w:b/>
          <w:i/>
          <w:lang w:val="bg-BG" w:eastAsia="bg-BG"/>
        </w:rPr>
        <w:t>Сив царевичен хоботник</w:t>
      </w:r>
    </w:p>
    <w:p w14:paraId="2B37AA73" w14:textId="77777777" w:rsidR="00305E62" w:rsidRPr="00305E62" w:rsidRDefault="00305E62" w:rsidP="00305E62">
      <w:pPr>
        <w:spacing w:after="120"/>
        <w:ind w:firstLine="709"/>
        <w:jc w:val="both"/>
        <w:rPr>
          <w:rFonts w:ascii="Arial Narrow" w:hAnsi="Arial Narrow"/>
          <w:lang w:val="bg-BG" w:eastAsia="bg-BG"/>
        </w:rPr>
      </w:pPr>
      <w:r w:rsidRPr="00305E62">
        <w:rPr>
          <w:rFonts w:ascii="Arial Narrow" w:hAnsi="Arial Narrow"/>
          <w:lang w:val="bg-BG" w:eastAsia="bg-BG"/>
        </w:rPr>
        <w:t>Неприятелят е разпространен в цялата страна, но в най-висока плътност се среща в Дунавската равнина, Лудогорието и Добруджа. Най-сериозни повреди нанася по време на поникването на царевицата и слънчогледа. Употребата на обеззаразени семена е доказано най-ефективния метод за борба с почвените неприятели, които нанасят повреди в ранните фази от развитието на културите.</w:t>
      </w:r>
    </w:p>
    <w:p w14:paraId="1192CF9A" w14:textId="77777777" w:rsidR="00305E62" w:rsidRPr="00305E62" w:rsidRDefault="00305E62" w:rsidP="00305E62">
      <w:pPr>
        <w:spacing w:after="120"/>
        <w:ind w:firstLine="709"/>
        <w:jc w:val="both"/>
        <w:rPr>
          <w:rFonts w:ascii="Arial Narrow" w:hAnsi="Arial Narrow"/>
          <w:lang w:val="bg-BG" w:eastAsia="bg-BG"/>
        </w:rPr>
      </w:pPr>
      <w:r w:rsidRPr="00305E62">
        <w:rPr>
          <w:rFonts w:ascii="Arial Narrow" w:hAnsi="Arial Narrow"/>
          <w:lang w:val="bg-BG" w:eastAsia="bg-BG"/>
        </w:rPr>
        <w:t>През 2024 г. е изведен химичен контрол срещу сив царевичен хоботник на 20,250 хил. ха царевица (което е 3,92% от общата посевна площ) и 20,900 хил. ха слънчоглед (2,27% от площите, заети със слънчоглед). Към момента няма разрешени подходящи продукти за обеззаразяване на семената за справяне с неприятеля.</w:t>
      </w:r>
    </w:p>
    <w:p w14:paraId="483307E8" w14:textId="77777777" w:rsidR="00305E62" w:rsidRPr="00305E62" w:rsidRDefault="00305E62" w:rsidP="00305E62">
      <w:pPr>
        <w:spacing w:after="120"/>
        <w:ind w:firstLine="708"/>
        <w:jc w:val="both"/>
        <w:rPr>
          <w:rFonts w:ascii="Arial Narrow" w:hAnsi="Arial Narrow"/>
          <w:b/>
          <w:i/>
          <w:lang w:val="bg-BG" w:eastAsia="bg-BG"/>
        </w:rPr>
      </w:pPr>
      <w:r w:rsidRPr="00305E62">
        <w:rPr>
          <w:rFonts w:ascii="Arial Narrow" w:hAnsi="Arial Narrow"/>
          <w:b/>
          <w:i/>
          <w:lang w:val="bg-BG" w:eastAsia="bg-BG"/>
        </w:rPr>
        <w:t>Ливадна пеперуда</w:t>
      </w:r>
    </w:p>
    <w:p w14:paraId="68C33BA0" w14:textId="77777777" w:rsidR="00305E62" w:rsidRPr="00305E62" w:rsidRDefault="00305E62" w:rsidP="00305E62">
      <w:pPr>
        <w:spacing w:after="120"/>
        <w:ind w:firstLine="709"/>
        <w:jc w:val="both"/>
        <w:rPr>
          <w:rFonts w:ascii="Arial Narrow" w:hAnsi="Arial Narrow"/>
          <w:lang w:val="bg-BG" w:eastAsia="bg-BG"/>
        </w:rPr>
      </w:pPr>
      <w:r w:rsidRPr="00305E62">
        <w:rPr>
          <w:rFonts w:ascii="Arial Narrow" w:hAnsi="Arial Narrow"/>
          <w:lang w:val="bg-BG" w:eastAsia="bg-BG"/>
        </w:rPr>
        <w:t>В резултат на масовото намножаване на ливадна пеперуда през 2022 г. и обявения каламитет, през 2023 г., неприятелят остана под засилени, системни наблюдения и през 2024 г. Целта е да не се допусне масово намножаване и своевременно да бъдат приложени мерки за контрол.</w:t>
      </w:r>
    </w:p>
    <w:p w14:paraId="24D35BFE" w14:textId="77777777" w:rsidR="00305E62" w:rsidRPr="00305E62" w:rsidRDefault="00305E62" w:rsidP="00305E62">
      <w:pPr>
        <w:spacing w:after="120"/>
        <w:ind w:firstLine="709"/>
        <w:jc w:val="both"/>
        <w:rPr>
          <w:rFonts w:ascii="Arial Narrow" w:hAnsi="Arial Narrow"/>
          <w:lang w:val="bg-BG" w:eastAsia="bg-BG"/>
        </w:rPr>
      </w:pPr>
      <w:r w:rsidRPr="00305E62">
        <w:rPr>
          <w:rFonts w:ascii="Arial Narrow" w:hAnsi="Arial Narrow"/>
          <w:lang w:val="bg-BG" w:eastAsia="bg-BG"/>
        </w:rPr>
        <w:t>През 2024 г. нападение от ливадна пеперуда по царевица е отчетено на 0,200 хил. ха. При слънчогледа няма нападнати площи.</w:t>
      </w:r>
    </w:p>
    <w:p w14:paraId="5B7CE435" w14:textId="77777777" w:rsidR="00305E62" w:rsidRPr="00305E62" w:rsidRDefault="00305E62" w:rsidP="00305E62">
      <w:pPr>
        <w:spacing w:after="120"/>
        <w:ind w:firstLine="708"/>
        <w:jc w:val="both"/>
        <w:rPr>
          <w:rFonts w:ascii="Arial Narrow" w:hAnsi="Arial Narrow"/>
          <w:b/>
          <w:i/>
          <w:lang w:val="bg-BG" w:eastAsia="bg-BG"/>
        </w:rPr>
      </w:pPr>
      <w:r w:rsidRPr="00305E62">
        <w:rPr>
          <w:rFonts w:ascii="Arial Narrow" w:hAnsi="Arial Narrow"/>
          <w:b/>
          <w:i/>
          <w:lang w:val="bg-BG" w:eastAsia="bg-BG"/>
        </w:rPr>
        <w:t>Мароканския скакалец</w:t>
      </w:r>
    </w:p>
    <w:p w14:paraId="614BA34A" w14:textId="77777777" w:rsidR="00305E62" w:rsidRPr="00305E62" w:rsidRDefault="00305E62" w:rsidP="00305E62">
      <w:pPr>
        <w:spacing w:after="120"/>
        <w:ind w:firstLine="709"/>
        <w:jc w:val="both"/>
        <w:rPr>
          <w:rFonts w:ascii="Arial Narrow" w:hAnsi="Arial Narrow"/>
          <w:lang w:val="bg-BG" w:eastAsia="bg-BG"/>
        </w:rPr>
      </w:pPr>
      <w:r w:rsidRPr="00305E62">
        <w:rPr>
          <w:rFonts w:ascii="Arial Narrow" w:hAnsi="Arial Narrow"/>
          <w:lang w:val="bg-BG" w:eastAsia="bg-BG"/>
        </w:rPr>
        <w:t xml:space="preserve">Ежегодно вредителят се наблюдава с повишено внимание и в случай на необходимост е възможно да бъде обявен каламитет и да се предприемат действия за физическото му унищожаване и ограничаване на щетите. </w:t>
      </w:r>
    </w:p>
    <w:p w14:paraId="2DC42626" w14:textId="77777777" w:rsidR="00305E62" w:rsidRPr="00305E62" w:rsidRDefault="00305E62" w:rsidP="00305E62">
      <w:pPr>
        <w:spacing w:after="120"/>
        <w:ind w:firstLine="709"/>
        <w:jc w:val="both"/>
        <w:rPr>
          <w:rFonts w:ascii="Arial Narrow" w:hAnsi="Arial Narrow"/>
          <w:lang w:val="bg-BG" w:eastAsia="bg-BG"/>
        </w:rPr>
      </w:pPr>
      <w:r w:rsidRPr="00305E62">
        <w:rPr>
          <w:rFonts w:ascii="Arial Narrow" w:hAnsi="Arial Narrow"/>
          <w:lang w:val="bg-BG" w:eastAsia="bg-BG"/>
        </w:rPr>
        <w:t xml:space="preserve">През 2024 г. е обявен каламитет от марокански скакалец на територията на област Кърджали и област Благоевград, в резултат на установено от инспекторите по растителна защита масово намножаване на неприятеля. В кратък срок е създадена организация и незабавно са предприети действия за спешно извеждане на растителнозащитни мероприятия на засегнатите от неприятеля площи. Общо обработените площи възлизат на 32 331 дка, съответно 19 851 дка за област Кърджали (общините Черноочене, Кърджали, Джебел, Кирково и Момчилград) и 12 480 дка за област Благоевград (общините Сандански и Петрич). </w:t>
      </w:r>
    </w:p>
    <w:p w14:paraId="58F85898" w14:textId="77777777" w:rsidR="00305E62" w:rsidRPr="00305E62" w:rsidRDefault="00305E62" w:rsidP="00305E62">
      <w:pPr>
        <w:spacing w:after="120"/>
        <w:ind w:firstLine="709"/>
        <w:jc w:val="both"/>
        <w:rPr>
          <w:rFonts w:ascii="Arial Narrow" w:hAnsi="Arial Narrow"/>
          <w:lang w:val="bg-BG" w:eastAsia="bg-BG"/>
        </w:rPr>
      </w:pPr>
      <w:r w:rsidRPr="00305E62">
        <w:rPr>
          <w:rFonts w:ascii="Arial Narrow" w:hAnsi="Arial Narrow"/>
          <w:lang w:val="bg-BG" w:eastAsia="bg-BG"/>
        </w:rPr>
        <w:t xml:space="preserve">Третирането на засегнатите от неприятеля площи е извършено с авиационна техника, при спазване на действащото законодателство. При наблюденията, извършени след проведените третирания, е установено, че мароканският скакалец се е повлиял от приложеното активно вещество. </w:t>
      </w:r>
    </w:p>
    <w:p w14:paraId="4A6BA26C" w14:textId="77777777" w:rsidR="00305E62" w:rsidRPr="00305E62" w:rsidRDefault="00305E62" w:rsidP="00305E62">
      <w:pPr>
        <w:spacing w:after="120"/>
        <w:ind w:firstLine="709"/>
        <w:jc w:val="both"/>
        <w:rPr>
          <w:rFonts w:ascii="Arial Narrow" w:hAnsi="Arial Narrow"/>
          <w:lang w:val="bg-BG" w:eastAsia="bg-BG"/>
        </w:rPr>
      </w:pPr>
      <w:r w:rsidRPr="00305E62">
        <w:rPr>
          <w:rFonts w:ascii="Arial Narrow" w:hAnsi="Arial Narrow"/>
          <w:lang w:val="bg-BG" w:eastAsia="bg-BG"/>
        </w:rPr>
        <w:t>При обследвания на площи, силно нападнати през изминали години, на територията на област Хасково (общините Маджарово и Ивайловград) не са открити огнища от неприятеля в ливади и пасища.</w:t>
      </w:r>
    </w:p>
    <w:p w14:paraId="1E42F5F5" w14:textId="77777777" w:rsidR="00305E62" w:rsidRPr="00305E62" w:rsidRDefault="00305E62" w:rsidP="00305E62">
      <w:pPr>
        <w:spacing w:after="120"/>
        <w:ind w:firstLine="709"/>
        <w:jc w:val="both"/>
        <w:rPr>
          <w:rFonts w:ascii="Arial Narrow" w:hAnsi="Arial Narrow"/>
          <w:lang w:val="bg-BG" w:eastAsia="bg-BG"/>
        </w:rPr>
      </w:pPr>
      <w:r w:rsidRPr="00305E62">
        <w:rPr>
          <w:rFonts w:ascii="Arial Narrow" w:hAnsi="Arial Narrow"/>
          <w:lang w:val="bg-BG" w:eastAsia="bg-BG"/>
        </w:rPr>
        <w:t>Установено е нападение на смесена популация марокански и италиански скакалец в синори на площ около 10 дка на територията на Търговище.</w:t>
      </w:r>
    </w:p>
    <w:p w14:paraId="09E280FD" w14:textId="77777777" w:rsidR="00305E62" w:rsidRPr="00305E62" w:rsidRDefault="00305E62" w:rsidP="00305E62">
      <w:pPr>
        <w:spacing w:after="120"/>
        <w:ind w:firstLine="709"/>
        <w:jc w:val="both"/>
        <w:rPr>
          <w:rFonts w:ascii="Arial Narrow" w:hAnsi="Arial Narrow"/>
          <w:lang w:val="bg-BG" w:eastAsia="bg-BG"/>
        </w:rPr>
      </w:pPr>
      <w:r w:rsidRPr="00305E62">
        <w:rPr>
          <w:rFonts w:ascii="Arial Narrow" w:hAnsi="Arial Narrow"/>
          <w:lang w:val="bg-BG" w:eastAsia="bg-BG"/>
        </w:rPr>
        <w:lastRenderedPageBreak/>
        <w:t xml:space="preserve">В резултат на бързите, своевременно предприети адекватни действия от страна на инспекторите по растителна защита не е допусната миграция на скакалците към площи, заети със земеделски култури. </w:t>
      </w:r>
    </w:p>
    <w:p w14:paraId="517B1A3D" w14:textId="77777777" w:rsidR="00305E62" w:rsidRPr="00305E62" w:rsidRDefault="00305E62" w:rsidP="00305E62">
      <w:pPr>
        <w:spacing w:after="120"/>
        <w:ind w:firstLine="709"/>
        <w:jc w:val="both"/>
        <w:rPr>
          <w:rFonts w:ascii="Arial Narrow" w:hAnsi="Arial Narrow"/>
          <w:lang w:val="bg-BG" w:eastAsia="bg-BG"/>
        </w:rPr>
      </w:pPr>
      <w:r w:rsidRPr="00305E62">
        <w:rPr>
          <w:rFonts w:ascii="Arial Narrow" w:hAnsi="Arial Narrow"/>
          <w:lang w:val="bg-BG" w:eastAsia="bg-BG"/>
        </w:rPr>
        <w:t>Извършени обследвания за установяване на зимуващия запас сочат, че през 2025 г. има вероятност отново да има масово намножаване на неприятеля на определени места и той остава под засилено наблюдение.</w:t>
      </w:r>
    </w:p>
    <w:p w14:paraId="7AAA7611" w14:textId="77777777" w:rsidR="00305E62" w:rsidRPr="00305E62" w:rsidRDefault="008F526C" w:rsidP="00305E62">
      <w:pPr>
        <w:widowControl w:val="0"/>
        <w:numPr>
          <w:ilvl w:val="1"/>
          <w:numId w:val="3"/>
        </w:numPr>
        <w:spacing w:after="120"/>
        <w:ind w:left="357" w:firstLine="0"/>
        <w:outlineLvl w:val="0"/>
        <w:rPr>
          <w:rFonts w:ascii="Arial Narrow" w:hAnsi="Arial Narrow"/>
          <w:b/>
          <w:lang w:val="bg-BG"/>
        </w:rPr>
      </w:pPr>
      <w:bookmarkStart w:id="144" w:name="_Toc56176106"/>
      <w:bookmarkStart w:id="145" w:name="_Toc210747612"/>
      <w:r w:rsidRPr="00305E62">
        <w:rPr>
          <w:rFonts w:ascii="Arial Narrow" w:hAnsi="Arial Narrow"/>
          <w:b/>
          <w:lang w:val="bg-BG"/>
        </w:rPr>
        <w:t>Фитосанитарен контрол</w:t>
      </w:r>
      <w:bookmarkEnd w:id="144"/>
      <w:bookmarkEnd w:id="145"/>
    </w:p>
    <w:p w14:paraId="78805731" w14:textId="77777777" w:rsidR="00305E62" w:rsidRPr="00305E62" w:rsidRDefault="00305E62" w:rsidP="00305E62">
      <w:pPr>
        <w:spacing w:after="120"/>
        <w:ind w:firstLine="709"/>
        <w:jc w:val="both"/>
        <w:rPr>
          <w:rFonts w:ascii="Arial Narrow" w:hAnsi="Arial Narrow"/>
          <w:lang w:val="bg-BG" w:eastAsia="bg-BG"/>
        </w:rPr>
      </w:pPr>
      <w:r w:rsidRPr="00305E62">
        <w:rPr>
          <w:rFonts w:ascii="Arial Narrow" w:hAnsi="Arial Narrow"/>
          <w:lang w:val="bg-BG" w:eastAsia="bg-BG"/>
        </w:rPr>
        <w:t>Целите и приоритетите на фитосанитарния контрол  са:</w:t>
      </w:r>
    </w:p>
    <w:p w14:paraId="6E9DFE17" w14:textId="77777777" w:rsidR="00305E62" w:rsidRPr="00305E62" w:rsidRDefault="00305E62" w:rsidP="009C6577">
      <w:pPr>
        <w:numPr>
          <w:ilvl w:val="0"/>
          <w:numId w:val="45"/>
        </w:numPr>
        <w:spacing w:after="120" w:line="285" w:lineRule="auto"/>
        <w:ind w:hanging="295"/>
        <w:jc w:val="both"/>
        <w:rPr>
          <w:rFonts w:ascii="Arial Narrow" w:eastAsia="Calibri" w:hAnsi="Arial Narrow"/>
          <w:lang w:val="bg-BG"/>
        </w:rPr>
      </w:pPr>
      <w:r w:rsidRPr="00305E62">
        <w:rPr>
          <w:rFonts w:ascii="Arial Narrow" w:eastAsia="Calibri" w:hAnsi="Arial Narrow"/>
          <w:lang w:val="bg-BG"/>
        </w:rPr>
        <w:t>Защита на България и Европейския съюз от проникване и разпростнаение на нови вредители по растенията;</w:t>
      </w:r>
    </w:p>
    <w:p w14:paraId="3E29ABF8" w14:textId="77777777" w:rsidR="00305E62" w:rsidRPr="00305E62" w:rsidRDefault="00305E62" w:rsidP="009C6577">
      <w:pPr>
        <w:numPr>
          <w:ilvl w:val="0"/>
          <w:numId w:val="45"/>
        </w:numPr>
        <w:spacing w:after="120" w:line="285" w:lineRule="auto"/>
        <w:ind w:hanging="295"/>
        <w:jc w:val="both"/>
        <w:rPr>
          <w:rFonts w:ascii="Arial Narrow" w:eastAsia="Calibri" w:hAnsi="Arial Narrow"/>
          <w:lang w:val="bg-BG"/>
        </w:rPr>
      </w:pPr>
      <w:r w:rsidRPr="00305E62">
        <w:rPr>
          <w:rFonts w:ascii="Arial Narrow" w:eastAsia="Calibri" w:hAnsi="Arial Narrow"/>
          <w:lang w:val="bg-BG"/>
        </w:rPr>
        <w:t>Защита на растителните ресурси на България и ЕС, чрез предварително проучване на нови рискове и пътища за пренасяне, ранно откриване при внос или на територията на страната и успешно ликвидиране на възникналите огнища с вредители;</w:t>
      </w:r>
    </w:p>
    <w:p w14:paraId="5FB72D6C" w14:textId="77777777" w:rsidR="00305E62" w:rsidRPr="00305E62" w:rsidRDefault="00305E62" w:rsidP="009C6577">
      <w:pPr>
        <w:numPr>
          <w:ilvl w:val="0"/>
          <w:numId w:val="45"/>
        </w:numPr>
        <w:spacing w:after="120" w:line="285" w:lineRule="auto"/>
        <w:ind w:hanging="295"/>
        <w:jc w:val="both"/>
        <w:rPr>
          <w:rFonts w:ascii="Arial Narrow" w:eastAsia="Calibri" w:hAnsi="Arial Narrow"/>
          <w:lang w:val="bg-BG"/>
        </w:rPr>
      </w:pPr>
      <w:r w:rsidRPr="00305E62">
        <w:rPr>
          <w:rFonts w:ascii="Arial Narrow" w:eastAsia="Calibri" w:hAnsi="Arial Narrow"/>
          <w:lang w:val="bg-BG"/>
        </w:rPr>
        <w:t>Запазване на биологичното разнообразие и околната среда на България.</w:t>
      </w:r>
    </w:p>
    <w:p w14:paraId="11566A65" w14:textId="77777777" w:rsidR="00305E62" w:rsidRPr="00305E62" w:rsidRDefault="00305E62" w:rsidP="00305E62">
      <w:pPr>
        <w:spacing w:after="120"/>
        <w:ind w:firstLine="709"/>
        <w:jc w:val="both"/>
        <w:rPr>
          <w:rFonts w:ascii="Arial Narrow" w:hAnsi="Arial Narrow"/>
          <w:lang w:eastAsia="bg-BG"/>
        </w:rPr>
      </w:pPr>
      <w:r w:rsidRPr="00305E62">
        <w:rPr>
          <w:rFonts w:eastAsia="Calibri"/>
          <w:lang w:val="bg-BG"/>
        </w:rPr>
        <w:tab/>
      </w:r>
      <w:r w:rsidRPr="00305E62">
        <w:rPr>
          <w:rFonts w:ascii="Arial Narrow" w:hAnsi="Arial Narrow"/>
          <w:lang w:val="bg-BG" w:eastAsia="bg-BG"/>
        </w:rPr>
        <w:t xml:space="preserve">Дейностите за постигане на тези цели са: </w:t>
      </w:r>
    </w:p>
    <w:p w14:paraId="3B3C5638" w14:textId="77777777" w:rsidR="00305E62" w:rsidRPr="00305E62" w:rsidRDefault="00305E62" w:rsidP="009C6577">
      <w:pPr>
        <w:numPr>
          <w:ilvl w:val="0"/>
          <w:numId w:val="46"/>
        </w:numPr>
        <w:tabs>
          <w:tab w:val="num" w:pos="720"/>
        </w:tabs>
        <w:spacing w:after="120" w:line="285" w:lineRule="auto"/>
        <w:ind w:left="720" w:hanging="295"/>
        <w:jc w:val="both"/>
        <w:rPr>
          <w:rFonts w:ascii="Arial Narrow" w:eastAsia="Calibri" w:hAnsi="Arial Narrow"/>
          <w:lang w:val="bg-BG"/>
        </w:rPr>
      </w:pPr>
      <w:r w:rsidRPr="00305E62">
        <w:rPr>
          <w:rFonts w:ascii="Arial Narrow" w:eastAsia="Calibri" w:hAnsi="Arial Narrow"/>
          <w:lang w:val="bg-BG"/>
        </w:rPr>
        <w:t>Контрол при производството на растения и растителни продукти на територията на България с цел своевременно установяване и предотвратяване на разпространението на карантинни вредители по растенията и растителните продукти;</w:t>
      </w:r>
    </w:p>
    <w:p w14:paraId="14C47EA9" w14:textId="77777777" w:rsidR="00305E62" w:rsidRPr="00305E62" w:rsidRDefault="00305E62" w:rsidP="009C6577">
      <w:pPr>
        <w:numPr>
          <w:ilvl w:val="0"/>
          <w:numId w:val="46"/>
        </w:numPr>
        <w:tabs>
          <w:tab w:val="num" w:pos="720"/>
        </w:tabs>
        <w:spacing w:after="120" w:line="285" w:lineRule="auto"/>
        <w:ind w:left="720" w:hanging="295"/>
        <w:jc w:val="both"/>
        <w:rPr>
          <w:rFonts w:ascii="Arial Narrow" w:eastAsia="Calibri" w:hAnsi="Arial Narrow"/>
          <w:lang w:val="bg-BG"/>
        </w:rPr>
      </w:pPr>
      <w:r w:rsidRPr="00305E62">
        <w:rPr>
          <w:rFonts w:ascii="Arial Narrow" w:eastAsia="Calibri" w:hAnsi="Arial Narrow"/>
          <w:lang w:val="bg-BG"/>
        </w:rPr>
        <w:t>Ефективен контрол при внос на растения и растителни продукти от трети държави на територията на страната и ЕС като външна граница на Съюза;</w:t>
      </w:r>
    </w:p>
    <w:p w14:paraId="513BC47A" w14:textId="77777777" w:rsidR="00305E62" w:rsidRPr="00305E62" w:rsidRDefault="00305E62" w:rsidP="009C6577">
      <w:pPr>
        <w:numPr>
          <w:ilvl w:val="0"/>
          <w:numId w:val="46"/>
        </w:numPr>
        <w:tabs>
          <w:tab w:val="num" w:pos="720"/>
        </w:tabs>
        <w:spacing w:after="120" w:line="285" w:lineRule="auto"/>
        <w:ind w:left="720" w:hanging="295"/>
        <w:jc w:val="both"/>
        <w:rPr>
          <w:rFonts w:ascii="Arial Narrow" w:eastAsia="Calibri" w:hAnsi="Arial Narrow"/>
          <w:lang w:val="bg-BG"/>
        </w:rPr>
      </w:pPr>
      <w:r w:rsidRPr="00305E62">
        <w:rPr>
          <w:rFonts w:ascii="Arial Narrow" w:eastAsia="Calibri" w:hAnsi="Arial Narrow"/>
          <w:lang w:val="bg-BG"/>
        </w:rPr>
        <w:t>Осигуряване износ на растения и растителни продукти, съгласно фитосанитарните изисквания на страната вносител;</w:t>
      </w:r>
    </w:p>
    <w:p w14:paraId="7CED672A" w14:textId="77777777" w:rsidR="00305E62" w:rsidRPr="00305E62" w:rsidRDefault="00305E62" w:rsidP="009C6577">
      <w:pPr>
        <w:numPr>
          <w:ilvl w:val="0"/>
          <w:numId w:val="46"/>
        </w:numPr>
        <w:tabs>
          <w:tab w:val="num" w:pos="720"/>
        </w:tabs>
        <w:spacing w:after="120" w:line="285" w:lineRule="auto"/>
        <w:ind w:left="720" w:hanging="295"/>
        <w:jc w:val="both"/>
        <w:rPr>
          <w:rFonts w:ascii="Arial Narrow" w:eastAsia="Calibri" w:hAnsi="Arial Narrow"/>
          <w:lang w:val="bg-BG"/>
        </w:rPr>
      </w:pPr>
      <w:r w:rsidRPr="00305E62">
        <w:rPr>
          <w:rFonts w:ascii="Arial Narrow" w:eastAsia="Calibri" w:hAnsi="Arial Narrow"/>
          <w:lang w:val="bg-BG"/>
        </w:rPr>
        <w:t>Законодателство, хармонизирано с режима за растително здраве на ЕС;</w:t>
      </w:r>
    </w:p>
    <w:p w14:paraId="3A9BB736" w14:textId="77777777" w:rsidR="00305E62" w:rsidRPr="00305E62" w:rsidRDefault="00305E62" w:rsidP="009C6577">
      <w:pPr>
        <w:numPr>
          <w:ilvl w:val="0"/>
          <w:numId w:val="46"/>
        </w:numPr>
        <w:tabs>
          <w:tab w:val="num" w:pos="720"/>
        </w:tabs>
        <w:spacing w:after="120" w:line="285" w:lineRule="auto"/>
        <w:ind w:left="720" w:hanging="295"/>
        <w:jc w:val="both"/>
        <w:rPr>
          <w:rFonts w:ascii="Arial Narrow" w:eastAsia="Calibri" w:hAnsi="Arial Narrow"/>
          <w:lang w:val="bg-BG"/>
        </w:rPr>
      </w:pPr>
      <w:r w:rsidRPr="00305E62">
        <w:rPr>
          <w:rFonts w:ascii="Arial Narrow" w:eastAsia="Calibri" w:hAnsi="Arial Narrow"/>
          <w:lang w:val="bg-BG"/>
        </w:rPr>
        <w:t>Провеждане на фитосанитарни мониторингови програми за карантинни вредители, съобразени със законодателството на ЕС;</w:t>
      </w:r>
    </w:p>
    <w:p w14:paraId="02D05D53" w14:textId="77777777" w:rsidR="00AD0927" w:rsidRPr="00305E62" w:rsidRDefault="00305E62" w:rsidP="009C6577">
      <w:pPr>
        <w:numPr>
          <w:ilvl w:val="0"/>
          <w:numId w:val="46"/>
        </w:numPr>
        <w:tabs>
          <w:tab w:val="num" w:pos="720"/>
        </w:tabs>
        <w:spacing w:after="120" w:line="285" w:lineRule="auto"/>
        <w:ind w:left="720" w:hanging="295"/>
        <w:jc w:val="both"/>
        <w:rPr>
          <w:rFonts w:ascii="Arial Narrow" w:eastAsia="Calibri" w:hAnsi="Arial Narrow"/>
          <w:lang w:val="bg-BG"/>
        </w:rPr>
      </w:pPr>
      <w:r w:rsidRPr="00305E62">
        <w:rPr>
          <w:rFonts w:ascii="Arial Narrow" w:eastAsia="Calibri" w:hAnsi="Arial Narrow"/>
          <w:lang w:val="bg-BG"/>
        </w:rPr>
        <w:t xml:space="preserve">Лабораторно–диагностичната мрежа. </w:t>
      </w:r>
    </w:p>
    <w:p w14:paraId="0E98F04E" w14:textId="77777777" w:rsidR="00305E62" w:rsidRPr="00305E62" w:rsidRDefault="008F526C" w:rsidP="00305E62">
      <w:pPr>
        <w:pStyle w:val="ListParagraph"/>
        <w:widowControl w:val="0"/>
        <w:numPr>
          <w:ilvl w:val="2"/>
          <w:numId w:val="3"/>
        </w:numPr>
        <w:tabs>
          <w:tab w:val="left" w:pos="1080"/>
        </w:tabs>
        <w:spacing w:after="120"/>
        <w:ind w:left="1080" w:hanging="720"/>
        <w:contextualSpacing w:val="0"/>
        <w:jc w:val="both"/>
        <w:outlineLvl w:val="0"/>
        <w:rPr>
          <w:rFonts w:ascii="Arial Narrow" w:hAnsi="Arial Narrow"/>
          <w:b/>
          <w:iCs/>
          <w:lang w:val="bg-BG"/>
        </w:rPr>
      </w:pPr>
      <w:bookmarkStart w:id="146" w:name="_Toc210747613"/>
      <w:r w:rsidRPr="00305E62">
        <w:rPr>
          <w:rFonts w:ascii="Arial Narrow" w:hAnsi="Arial Narrow"/>
          <w:b/>
          <w:iCs/>
          <w:lang w:val="bg-BG"/>
        </w:rPr>
        <w:t>Контрол при производството на територията на България и движение на растения, растителни продукти и други обекти в ЕС</w:t>
      </w:r>
      <w:bookmarkEnd w:id="146"/>
    </w:p>
    <w:p w14:paraId="1C4787D4" w14:textId="77777777" w:rsidR="00305E62" w:rsidRPr="00305E62" w:rsidRDefault="00305E62" w:rsidP="00305E62">
      <w:pPr>
        <w:spacing w:after="120"/>
        <w:ind w:firstLine="709"/>
        <w:jc w:val="both"/>
        <w:rPr>
          <w:rFonts w:ascii="Arial Narrow" w:hAnsi="Arial Narrow"/>
          <w:lang w:val="bg-BG" w:eastAsia="bg-BG"/>
        </w:rPr>
      </w:pPr>
      <w:r w:rsidRPr="00305E62">
        <w:rPr>
          <w:rFonts w:ascii="Arial Narrow" w:hAnsi="Arial Narrow"/>
          <w:lang w:val="bg-BG" w:eastAsia="bg-BG"/>
        </w:rPr>
        <w:t>Фитосанитарният контрол при производство и движение на растения, растителни продукти и други обекти и наблюденията на територията на страната по отношение на карантинни вредители и регулираните некарантинни вредители (РНКВ) през 202</w:t>
      </w:r>
      <w:r w:rsidRPr="00305E62">
        <w:rPr>
          <w:rFonts w:ascii="Arial Narrow" w:hAnsi="Arial Narrow"/>
          <w:lang w:eastAsia="bg-BG"/>
        </w:rPr>
        <w:t>4</w:t>
      </w:r>
      <w:r w:rsidRPr="00305E62">
        <w:rPr>
          <w:rFonts w:ascii="Arial Narrow" w:hAnsi="Arial Narrow"/>
          <w:lang w:val="bg-BG" w:eastAsia="bg-BG"/>
        </w:rPr>
        <w:t xml:space="preserve"> г. се осъществява съгласно изискванията на Закона за защита на растенията (ЗЗР), в съответствие със законодателството на ЕС в областта.</w:t>
      </w:r>
    </w:p>
    <w:p w14:paraId="7F328FED" w14:textId="77777777" w:rsidR="00305E62" w:rsidRPr="00305E62" w:rsidRDefault="00305E62" w:rsidP="00305E62">
      <w:pPr>
        <w:spacing w:after="120"/>
        <w:ind w:firstLine="709"/>
        <w:jc w:val="both"/>
        <w:rPr>
          <w:rFonts w:ascii="Arial Narrow" w:hAnsi="Arial Narrow"/>
          <w:lang w:val="bg-BG" w:eastAsia="bg-BG"/>
        </w:rPr>
      </w:pPr>
      <w:r w:rsidRPr="00305E62">
        <w:rPr>
          <w:rFonts w:ascii="Arial Narrow" w:hAnsi="Arial Narrow"/>
          <w:lang w:val="bg-BG" w:eastAsia="bg-BG"/>
        </w:rPr>
        <w:t>В официалния регистър на професионалните оператори за ФСК се регистрират лицата по чл. 22, ал. 1 от Закона за защита на растенията - вносители, производители, преработватели, складове, спедиторски центрове, тържища и лица, които боравят с растения, растителни продукти и други обекти, подлежащи на фитосанитарен контрол.</w:t>
      </w:r>
    </w:p>
    <w:p w14:paraId="51C874FA" w14:textId="77777777" w:rsidR="00305E62" w:rsidRPr="00305E62" w:rsidRDefault="00305E62" w:rsidP="00305E62">
      <w:pPr>
        <w:spacing w:after="120"/>
        <w:ind w:firstLine="709"/>
        <w:jc w:val="both"/>
        <w:rPr>
          <w:rFonts w:ascii="Arial Narrow" w:hAnsi="Arial Narrow"/>
          <w:lang w:val="bg-BG" w:eastAsia="bg-BG"/>
        </w:rPr>
      </w:pPr>
      <w:r w:rsidRPr="00305E62">
        <w:rPr>
          <w:rFonts w:ascii="Arial Narrow" w:hAnsi="Arial Narrow"/>
          <w:lang w:val="bg-BG" w:eastAsia="bg-BG"/>
        </w:rPr>
        <w:t>Регистрираните професионални оператори за 2024 г. са 4 043. От тях, 178 са професионални оператори, регистрирани за термично третиране на дървен опаковъчен материал (ДОМ) и 694 - вносители на растения, растителни продукти и други обекти.</w:t>
      </w:r>
    </w:p>
    <w:p w14:paraId="123C7AA8" w14:textId="77777777" w:rsidR="00305E62" w:rsidRPr="00305E62" w:rsidRDefault="00305E62" w:rsidP="00305E62">
      <w:pPr>
        <w:spacing w:after="120"/>
        <w:ind w:firstLine="709"/>
        <w:jc w:val="both"/>
        <w:rPr>
          <w:rFonts w:ascii="Arial Narrow" w:hAnsi="Arial Narrow"/>
          <w:lang w:val="bg-BG" w:eastAsia="bg-BG"/>
        </w:rPr>
      </w:pPr>
      <w:r w:rsidRPr="00305E62">
        <w:rPr>
          <w:rFonts w:ascii="Arial Narrow" w:hAnsi="Arial Narrow"/>
          <w:lang w:val="bg-BG" w:eastAsia="bg-BG"/>
        </w:rPr>
        <w:t xml:space="preserve">В рамките на 2024 г. при производството на растения и растителна продукция са извършени 4 866 инспекции, при 5 669 през предходната година. </w:t>
      </w:r>
    </w:p>
    <w:p w14:paraId="353A3EB9" w14:textId="77777777" w:rsidR="00305E62" w:rsidRPr="00305E62" w:rsidRDefault="00305E62" w:rsidP="00305E62">
      <w:pPr>
        <w:spacing w:after="120"/>
        <w:ind w:firstLine="709"/>
        <w:jc w:val="both"/>
        <w:rPr>
          <w:rFonts w:ascii="Arial Narrow" w:hAnsi="Arial Narrow"/>
          <w:lang w:val="bg-BG" w:eastAsia="bg-BG"/>
        </w:rPr>
      </w:pPr>
      <w:r w:rsidRPr="00305E62">
        <w:rPr>
          <w:rFonts w:ascii="Arial Narrow" w:hAnsi="Arial Narrow"/>
          <w:lang w:val="bg-BG" w:eastAsia="bg-BG"/>
        </w:rPr>
        <w:lastRenderedPageBreak/>
        <w:t xml:space="preserve">Основен приоритет в областта е да се осигури производството на здрави растения и растителни продукти, тяхното движение на територията на ЕС чрез системата за растителни паспорти и безпроблемен износ за трети страни, спазвайки фитосанитарните изисквания при внос на страната – вносител.  </w:t>
      </w:r>
    </w:p>
    <w:p w14:paraId="168501D2" w14:textId="77777777" w:rsidR="00305E62" w:rsidRPr="00305E62" w:rsidRDefault="00123531" w:rsidP="00305E62">
      <w:pPr>
        <w:spacing w:after="120"/>
        <w:ind w:firstLine="709"/>
        <w:jc w:val="both"/>
        <w:rPr>
          <w:rFonts w:ascii="Arial Narrow" w:hAnsi="Arial Narrow"/>
          <w:lang w:val="bg-BG" w:eastAsia="bg-BG"/>
        </w:rPr>
      </w:pPr>
      <w:r>
        <w:rPr>
          <w:rFonts w:ascii="Arial Narrow" w:eastAsia="Calibri" w:hAnsi="Arial Narrow"/>
          <w:lang w:val="bg-BG" w:eastAsia="bg-BG"/>
        </w:rPr>
        <w:t>Фитосанитарните и</w:t>
      </w:r>
      <w:r w:rsidR="00305E62" w:rsidRPr="00305E62">
        <w:rPr>
          <w:rFonts w:ascii="Arial Narrow" w:eastAsia="Calibri" w:hAnsi="Arial Narrow"/>
          <w:lang w:val="bg-BG" w:eastAsia="bg-BG"/>
        </w:rPr>
        <w:t>нспектори на БАБХ през 202</w:t>
      </w:r>
      <w:r w:rsidR="00305E62" w:rsidRPr="00305E62">
        <w:rPr>
          <w:rFonts w:ascii="Arial Narrow" w:eastAsia="Calibri" w:hAnsi="Arial Narrow"/>
          <w:lang w:eastAsia="bg-BG"/>
        </w:rPr>
        <w:t>4</w:t>
      </w:r>
      <w:r w:rsidR="00305E62" w:rsidRPr="00305E62">
        <w:rPr>
          <w:rFonts w:ascii="Arial Narrow" w:eastAsia="Calibri" w:hAnsi="Arial Narrow"/>
          <w:lang w:val="bg-BG" w:eastAsia="bg-BG"/>
        </w:rPr>
        <w:t xml:space="preserve"> г. са извършили фитосанитарен контрол по следните национални мониторингови програми:</w:t>
      </w:r>
    </w:p>
    <w:p w14:paraId="07A39B20" w14:textId="77777777" w:rsidR="00305E62" w:rsidRPr="00305E62" w:rsidRDefault="00305E62" w:rsidP="009C6577">
      <w:pPr>
        <w:numPr>
          <w:ilvl w:val="0"/>
          <w:numId w:val="47"/>
        </w:numPr>
        <w:spacing w:after="120" w:line="285" w:lineRule="auto"/>
        <w:ind w:left="714" w:hanging="357"/>
        <w:jc w:val="both"/>
        <w:rPr>
          <w:rFonts w:ascii="Arial Narrow" w:hAnsi="Arial Narrow"/>
          <w:lang w:val="bg-BG" w:eastAsia="bg-BG"/>
        </w:rPr>
      </w:pPr>
      <w:r w:rsidRPr="00305E62">
        <w:rPr>
          <w:rFonts w:ascii="Arial Narrow" w:hAnsi="Arial Narrow"/>
          <w:lang w:val="bg-BG" w:eastAsia="bg-BG"/>
        </w:rPr>
        <w:t>Мониторинг за карантинни вредители по картофи;</w:t>
      </w:r>
    </w:p>
    <w:p w14:paraId="2A82D931" w14:textId="77777777" w:rsidR="00305E62" w:rsidRPr="00305E62" w:rsidRDefault="00305E62" w:rsidP="009C6577">
      <w:pPr>
        <w:numPr>
          <w:ilvl w:val="0"/>
          <w:numId w:val="47"/>
        </w:numPr>
        <w:spacing w:after="120" w:line="285" w:lineRule="auto"/>
        <w:ind w:left="714" w:hanging="357"/>
        <w:jc w:val="both"/>
        <w:rPr>
          <w:rFonts w:ascii="Arial Narrow" w:hAnsi="Arial Narrow"/>
          <w:lang w:val="bg-BG" w:eastAsia="bg-BG"/>
        </w:rPr>
      </w:pPr>
      <w:r w:rsidRPr="00305E62">
        <w:rPr>
          <w:rFonts w:ascii="Arial Narrow" w:hAnsi="Arial Narrow"/>
          <w:lang w:val="bg-BG" w:eastAsia="bg-BG"/>
        </w:rPr>
        <w:t xml:space="preserve">Мониторинг за карантинни вредители по овощни видове, включително ягоди и малини. </w:t>
      </w:r>
    </w:p>
    <w:p w14:paraId="78D2F9F9" w14:textId="77777777" w:rsidR="00305E62" w:rsidRPr="00305E62" w:rsidRDefault="00305E62" w:rsidP="009C6577">
      <w:pPr>
        <w:numPr>
          <w:ilvl w:val="0"/>
          <w:numId w:val="47"/>
        </w:numPr>
        <w:spacing w:after="120" w:line="285" w:lineRule="auto"/>
        <w:ind w:left="714" w:hanging="357"/>
        <w:jc w:val="both"/>
        <w:rPr>
          <w:rFonts w:ascii="Arial Narrow" w:hAnsi="Arial Narrow"/>
          <w:lang w:val="bg-BG" w:eastAsia="bg-BG"/>
        </w:rPr>
      </w:pPr>
      <w:r w:rsidRPr="00305E62">
        <w:rPr>
          <w:rFonts w:ascii="Arial Narrow" w:hAnsi="Arial Narrow"/>
          <w:lang w:val="bg-BG" w:eastAsia="bg-BG"/>
        </w:rPr>
        <w:t>Мониторинг за плодови мухи.</w:t>
      </w:r>
    </w:p>
    <w:p w14:paraId="50CCC91B" w14:textId="77777777" w:rsidR="00305E62" w:rsidRPr="00305E62" w:rsidRDefault="00305E62" w:rsidP="009C6577">
      <w:pPr>
        <w:numPr>
          <w:ilvl w:val="0"/>
          <w:numId w:val="47"/>
        </w:numPr>
        <w:spacing w:after="120" w:line="285" w:lineRule="auto"/>
        <w:ind w:left="714" w:hanging="357"/>
        <w:jc w:val="both"/>
        <w:rPr>
          <w:rFonts w:ascii="Arial Narrow" w:hAnsi="Arial Narrow"/>
          <w:lang w:val="bg-BG" w:eastAsia="bg-BG"/>
        </w:rPr>
      </w:pPr>
      <w:r w:rsidRPr="00305E62">
        <w:rPr>
          <w:rFonts w:ascii="Arial Narrow" w:hAnsi="Arial Narrow"/>
          <w:lang w:val="bg-BG" w:eastAsia="bg-BG"/>
        </w:rPr>
        <w:t>Мониторинг за карантинни вредители по лозата;</w:t>
      </w:r>
    </w:p>
    <w:p w14:paraId="5B4BF031" w14:textId="77777777" w:rsidR="00305E62" w:rsidRPr="00305E62" w:rsidRDefault="00305E62" w:rsidP="009C6577">
      <w:pPr>
        <w:numPr>
          <w:ilvl w:val="0"/>
          <w:numId w:val="47"/>
        </w:numPr>
        <w:spacing w:after="120" w:line="285" w:lineRule="auto"/>
        <w:ind w:left="714" w:hanging="357"/>
        <w:jc w:val="both"/>
        <w:rPr>
          <w:rFonts w:ascii="Arial Narrow" w:hAnsi="Arial Narrow"/>
          <w:lang w:val="bg-BG" w:eastAsia="bg-BG"/>
        </w:rPr>
      </w:pPr>
      <w:r w:rsidRPr="00305E62">
        <w:rPr>
          <w:rFonts w:ascii="Arial Narrow" w:hAnsi="Arial Narrow"/>
          <w:lang w:val="bg-BG" w:eastAsia="bg-BG"/>
        </w:rPr>
        <w:t xml:space="preserve">Мониторинг за карантинни вредители по зеленчукови видове в оранжерии и на открити площи; </w:t>
      </w:r>
    </w:p>
    <w:p w14:paraId="0B4A6A69" w14:textId="77777777" w:rsidR="00305E62" w:rsidRPr="00305E62" w:rsidRDefault="00305E62" w:rsidP="009C6577">
      <w:pPr>
        <w:numPr>
          <w:ilvl w:val="0"/>
          <w:numId w:val="47"/>
        </w:numPr>
        <w:spacing w:after="120" w:line="285" w:lineRule="auto"/>
        <w:ind w:left="714" w:hanging="357"/>
        <w:jc w:val="both"/>
        <w:rPr>
          <w:rFonts w:ascii="Arial Narrow" w:hAnsi="Arial Narrow"/>
          <w:lang w:val="bg-BG" w:eastAsia="bg-BG"/>
        </w:rPr>
      </w:pPr>
      <w:r w:rsidRPr="00305E62">
        <w:rPr>
          <w:rFonts w:ascii="Arial Narrow" w:hAnsi="Arial Narrow"/>
          <w:lang w:val="bg-BG" w:eastAsia="bg-BG"/>
        </w:rPr>
        <w:t>Мониторинг за карантинни вредители в оранжерии, разсадници и градински центрове за цветя и декоративни растения.</w:t>
      </w:r>
    </w:p>
    <w:p w14:paraId="40E0F31E" w14:textId="77777777" w:rsidR="00305E62" w:rsidRPr="00305E62" w:rsidRDefault="00305E62" w:rsidP="009C6577">
      <w:pPr>
        <w:numPr>
          <w:ilvl w:val="0"/>
          <w:numId w:val="47"/>
        </w:numPr>
        <w:spacing w:after="120" w:line="285" w:lineRule="auto"/>
        <w:ind w:left="714" w:hanging="357"/>
        <w:jc w:val="both"/>
        <w:rPr>
          <w:rFonts w:ascii="Arial Narrow" w:hAnsi="Arial Narrow"/>
          <w:lang w:val="bg-BG" w:eastAsia="bg-BG"/>
        </w:rPr>
      </w:pPr>
      <w:r w:rsidRPr="00305E62">
        <w:rPr>
          <w:rFonts w:ascii="Arial Narrow" w:hAnsi="Arial Narrow"/>
          <w:lang w:val="bg-BG" w:eastAsia="bg-BG"/>
        </w:rPr>
        <w:t>Мониторинг за Xylella fastidiosa;</w:t>
      </w:r>
    </w:p>
    <w:p w14:paraId="10DBAFDA" w14:textId="77777777" w:rsidR="00305E62" w:rsidRPr="00305E62" w:rsidRDefault="00305E62" w:rsidP="009C6577">
      <w:pPr>
        <w:numPr>
          <w:ilvl w:val="0"/>
          <w:numId w:val="47"/>
        </w:numPr>
        <w:spacing w:after="120" w:line="285" w:lineRule="auto"/>
        <w:ind w:left="714" w:hanging="357"/>
        <w:jc w:val="both"/>
        <w:rPr>
          <w:rFonts w:ascii="Arial Narrow" w:hAnsi="Arial Narrow"/>
          <w:lang w:val="bg-BG" w:eastAsia="bg-BG"/>
        </w:rPr>
      </w:pPr>
      <w:r w:rsidRPr="00305E62">
        <w:rPr>
          <w:rFonts w:ascii="Arial Narrow" w:hAnsi="Arial Narrow"/>
          <w:lang w:val="bg-BG" w:eastAsia="bg-BG"/>
        </w:rPr>
        <w:t>Мониторинг за карантинни вредители по горски видове;</w:t>
      </w:r>
    </w:p>
    <w:p w14:paraId="56F5EB87" w14:textId="77777777" w:rsidR="00305E62" w:rsidRPr="00305E62" w:rsidRDefault="00305E62" w:rsidP="009C6577">
      <w:pPr>
        <w:numPr>
          <w:ilvl w:val="0"/>
          <w:numId w:val="47"/>
        </w:numPr>
        <w:spacing w:after="120" w:line="285" w:lineRule="auto"/>
        <w:ind w:left="714" w:hanging="357"/>
        <w:jc w:val="both"/>
        <w:rPr>
          <w:rFonts w:ascii="Arial Narrow" w:hAnsi="Arial Narrow"/>
          <w:lang w:val="bg-BG" w:eastAsia="bg-BG"/>
        </w:rPr>
      </w:pPr>
      <w:r w:rsidRPr="00305E62">
        <w:rPr>
          <w:rFonts w:ascii="Arial Narrow" w:hAnsi="Arial Narrow"/>
          <w:lang w:val="bg-BG" w:eastAsia="bg-BG"/>
        </w:rPr>
        <w:t xml:space="preserve">Мониторинг за установяване наличие или отсъствие на вредителя Meloidogyne graminicola на територията на България; </w:t>
      </w:r>
    </w:p>
    <w:p w14:paraId="33596FC3" w14:textId="77777777" w:rsidR="00305E62" w:rsidRPr="00305E62" w:rsidRDefault="00305E62" w:rsidP="009C6577">
      <w:pPr>
        <w:numPr>
          <w:ilvl w:val="0"/>
          <w:numId w:val="47"/>
        </w:numPr>
        <w:spacing w:after="120" w:line="285" w:lineRule="auto"/>
        <w:ind w:left="714" w:hanging="357"/>
        <w:jc w:val="both"/>
        <w:rPr>
          <w:rFonts w:ascii="Arial Narrow" w:hAnsi="Arial Narrow"/>
          <w:lang w:val="bg-BG" w:eastAsia="bg-BG"/>
        </w:rPr>
      </w:pPr>
      <w:r w:rsidRPr="00305E62">
        <w:rPr>
          <w:rFonts w:ascii="Arial Narrow" w:hAnsi="Arial Narrow"/>
          <w:lang w:val="bg-BG" w:eastAsia="bg-BG"/>
        </w:rPr>
        <w:t xml:space="preserve">Календарен план за наблюдение на растения и растителни продукти за карантинни вредители. </w:t>
      </w:r>
    </w:p>
    <w:p w14:paraId="09215DE4" w14:textId="77777777" w:rsidR="00305E62" w:rsidRPr="00305E62" w:rsidRDefault="00305E62" w:rsidP="00305E62">
      <w:pPr>
        <w:spacing w:after="120"/>
        <w:ind w:firstLine="709"/>
        <w:jc w:val="both"/>
        <w:rPr>
          <w:rFonts w:ascii="Arial Narrow" w:hAnsi="Arial Narrow"/>
          <w:lang w:val="bg-BG" w:eastAsia="bg-BG"/>
        </w:rPr>
      </w:pPr>
      <w:r w:rsidRPr="00305E62">
        <w:rPr>
          <w:rFonts w:ascii="Arial Narrow" w:hAnsi="Arial Narrow"/>
          <w:lang w:val="bg-BG" w:eastAsia="bg-BG"/>
        </w:rPr>
        <w:t xml:space="preserve">При извършените наблюдения по мониторинговите програми на територията на страната през годината са документирани 5 657 проверки (при 6 395 за 2023 г.); анализирани са 1 675 проби в областните диагностични лаборатории по растително здраве (ОДЛРЗ) (при 1 510 за 2023 г.) и 3 355 проби в Централната лаборатория по карантина на растенията (ЦЛКР) (при 3 291 за 2023 г.). Издадени са 3 072 растителни паспорти (при 2 854 за 2023 г.) на стоки от местно производство за движение в страната и ЕС и 157 здравни свидетелства. </w:t>
      </w:r>
    </w:p>
    <w:p w14:paraId="601BA355" w14:textId="77777777" w:rsidR="00727F35" w:rsidRDefault="00727F35" w:rsidP="00305E62">
      <w:pPr>
        <w:spacing w:after="120"/>
        <w:ind w:firstLine="709"/>
        <w:jc w:val="both"/>
        <w:rPr>
          <w:rFonts w:ascii="Arial Narrow" w:hAnsi="Arial Narrow"/>
          <w:lang w:val="bg-BG" w:eastAsia="bg-BG"/>
        </w:rPr>
      </w:pPr>
      <w:r w:rsidRPr="00727F35">
        <w:rPr>
          <w:rFonts w:ascii="Arial Narrow" w:hAnsi="Arial Narrow"/>
          <w:lang w:val="bg-BG" w:eastAsia="bg-BG"/>
        </w:rPr>
        <w:t>Фитосанитарният контрол в БАБХ е свързан с дейността на Централна лаборатория по карантина на растенията (ЦЛКР), която е акредитирана за методите за лабораторни анализи, изпитвания и диагностика на вредителите и е определена за Национална референтна лаборатория за вредителите по растенията - насекоми и акари, нематоди, бактерии, гъби и омицети и за вируси, вироиди и фитоплазми.</w:t>
      </w:r>
    </w:p>
    <w:p w14:paraId="1F55D3DD" w14:textId="77777777" w:rsidR="00305E62" w:rsidRPr="00305E62" w:rsidRDefault="00305E62" w:rsidP="00305E62">
      <w:pPr>
        <w:spacing w:before="120" w:after="120"/>
        <w:ind w:firstLine="709"/>
        <w:jc w:val="both"/>
        <w:rPr>
          <w:rFonts w:ascii="Arial Narrow" w:hAnsi="Arial Narrow"/>
          <w:lang w:val="bg-BG" w:eastAsia="bg-BG"/>
        </w:rPr>
      </w:pPr>
      <w:r w:rsidRPr="00305E62">
        <w:rPr>
          <w:rFonts w:ascii="Arial Narrow" w:hAnsi="Arial Narrow"/>
          <w:lang w:val="bg-BG" w:eastAsia="bg-BG"/>
        </w:rPr>
        <w:t>В рамките на 2024 г. в Централната лаборатория са постъпили 4 701 проби и са извършени 11 415 анализи на растения, растителни материали и почви от внос, в т.ч. - от движение в ЕС, от контрол на терена, от мониторингови програми и от частния сектор.</w:t>
      </w:r>
    </w:p>
    <w:p w14:paraId="3AAD92E9" w14:textId="77777777" w:rsidR="00305E62" w:rsidRPr="00305E62" w:rsidRDefault="00305E62" w:rsidP="00305E62">
      <w:pPr>
        <w:spacing w:after="120"/>
        <w:ind w:firstLine="709"/>
        <w:jc w:val="both"/>
        <w:rPr>
          <w:rFonts w:ascii="Arial Narrow" w:hAnsi="Arial Narrow"/>
          <w:lang w:val="bg-BG" w:eastAsia="bg-BG"/>
        </w:rPr>
      </w:pPr>
      <w:r w:rsidRPr="00305E62">
        <w:rPr>
          <w:rFonts w:ascii="Arial Narrow" w:hAnsi="Arial Narrow"/>
          <w:lang w:val="bg-BG" w:eastAsia="bg-BG"/>
        </w:rPr>
        <w:t>Навременното откриване на вредителите дава възможност на фитосанитарните инспектори да предприемат своевременни действия за локализиране огнищата на зараза и ликвидирането им там, където бе възможно.</w:t>
      </w:r>
    </w:p>
    <w:p w14:paraId="2FE9D561" w14:textId="77777777" w:rsidR="00305E62" w:rsidRDefault="00305E62" w:rsidP="00305E62">
      <w:pPr>
        <w:widowControl w:val="0"/>
        <w:ind w:firstLine="709"/>
        <w:jc w:val="both"/>
        <w:rPr>
          <w:rFonts w:ascii="Arial Narrow" w:hAnsi="Arial Narrow"/>
          <w:color w:val="FF0000"/>
          <w:lang w:val="bg-BG"/>
        </w:rPr>
      </w:pPr>
      <w:r w:rsidRPr="00305E62">
        <w:rPr>
          <w:rFonts w:ascii="Arial Narrow" w:hAnsi="Arial Narrow"/>
          <w:lang w:val="bg-BG" w:eastAsia="bg-BG"/>
        </w:rPr>
        <w:t>В специализираната лаборатория по картофите в гр. Самоков се извършва тестиране на сортове картофи за устойчивост към картофените цистообразуващи нематоди.</w:t>
      </w:r>
    </w:p>
    <w:p w14:paraId="38ABB0D2" w14:textId="77777777" w:rsidR="00305E62" w:rsidRDefault="00305E62" w:rsidP="00FD0B81">
      <w:pPr>
        <w:widowControl w:val="0"/>
        <w:ind w:firstLine="709"/>
        <w:jc w:val="both"/>
        <w:rPr>
          <w:rFonts w:ascii="Arial Narrow" w:hAnsi="Arial Narrow"/>
          <w:color w:val="FF0000"/>
          <w:lang w:val="bg-BG"/>
        </w:rPr>
      </w:pPr>
    </w:p>
    <w:p w14:paraId="2DAB462D" w14:textId="77777777" w:rsidR="00B21AAB" w:rsidRPr="00B21AAB" w:rsidRDefault="008F526C" w:rsidP="00B21AAB">
      <w:pPr>
        <w:pStyle w:val="ListParagraph"/>
        <w:widowControl w:val="0"/>
        <w:numPr>
          <w:ilvl w:val="2"/>
          <w:numId w:val="3"/>
        </w:numPr>
        <w:tabs>
          <w:tab w:val="left" w:pos="1080"/>
        </w:tabs>
        <w:spacing w:after="120"/>
        <w:ind w:left="1080" w:hanging="720"/>
        <w:contextualSpacing w:val="0"/>
        <w:jc w:val="both"/>
        <w:outlineLvl w:val="0"/>
        <w:rPr>
          <w:rFonts w:ascii="Arial Narrow" w:hAnsi="Arial Narrow"/>
          <w:b/>
          <w:iCs/>
          <w:lang w:val="bg-BG"/>
        </w:rPr>
      </w:pPr>
      <w:bookmarkStart w:id="147" w:name="_Toc210747614"/>
      <w:r w:rsidRPr="00B21AAB">
        <w:rPr>
          <w:rFonts w:ascii="Arial Narrow" w:hAnsi="Arial Narrow"/>
          <w:b/>
          <w:iCs/>
          <w:lang w:val="bg-BG"/>
        </w:rPr>
        <w:t>Фитосанитарен контрол при износ</w:t>
      </w:r>
      <w:bookmarkEnd w:id="147"/>
    </w:p>
    <w:p w14:paraId="1EAFF6AE" w14:textId="77777777" w:rsidR="00B21AAB" w:rsidRDefault="00B21AAB" w:rsidP="00B21AAB">
      <w:pPr>
        <w:spacing w:after="120"/>
        <w:ind w:firstLine="709"/>
        <w:jc w:val="both"/>
        <w:rPr>
          <w:rFonts w:ascii="Arial Narrow" w:hAnsi="Arial Narrow"/>
          <w:lang w:val="bg-BG" w:eastAsia="bg-BG"/>
        </w:rPr>
      </w:pPr>
      <w:r w:rsidRPr="00B21AAB">
        <w:rPr>
          <w:rFonts w:ascii="Arial Narrow" w:hAnsi="Arial Narrow"/>
          <w:lang w:val="bg-BG" w:eastAsia="bg-BG"/>
        </w:rPr>
        <w:t xml:space="preserve">През 2024 г. са извършени 9 977 инспекции (12 479 за 2023 г.) на 30 906 пратки от растения и растителни продукти, предназначени за износ, за съответствие с фитосанитарните изисквания на страната вносител (30 592 през 2023 г.). </w:t>
      </w:r>
    </w:p>
    <w:p w14:paraId="5F972BE1" w14:textId="77777777" w:rsidR="00454097" w:rsidRDefault="00454097" w:rsidP="00B21AAB">
      <w:pPr>
        <w:spacing w:after="120"/>
        <w:ind w:firstLine="709"/>
        <w:jc w:val="both"/>
        <w:rPr>
          <w:rFonts w:ascii="Arial Narrow" w:hAnsi="Arial Narrow"/>
          <w:lang w:val="bg-BG" w:eastAsia="bg-BG"/>
        </w:rPr>
      </w:pPr>
      <w:r w:rsidRPr="00454097">
        <w:rPr>
          <w:rFonts w:ascii="Arial Narrow" w:hAnsi="Arial Narrow"/>
          <w:lang w:val="bg-BG" w:eastAsia="bg-BG"/>
        </w:rPr>
        <w:t>През 2024 г</w:t>
      </w:r>
      <w:r>
        <w:rPr>
          <w:rFonts w:ascii="Arial Narrow" w:hAnsi="Arial Narrow"/>
          <w:lang w:val="bg-BG" w:eastAsia="bg-BG"/>
        </w:rPr>
        <w:t>.</w:t>
      </w:r>
      <w:r w:rsidRPr="00454097">
        <w:rPr>
          <w:rFonts w:ascii="Arial Narrow" w:hAnsi="Arial Narrow"/>
          <w:lang w:val="bg-BG" w:eastAsia="bg-BG"/>
        </w:rPr>
        <w:t xml:space="preserve"> са издадени 15 646 броя фитосанитарни сертификати за износ, спрямо 15 950 броя за 2023 г</w:t>
      </w:r>
      <w:r>
        <w:rPr>
          <w:rFonts w:ascii="Arial Narrow" w:hAnsi="Arial Narrow"/>
          <w:lang w:val="bg-BG" w:eastAsia="bg-BG"/>
        </w:rPr>
        <w:t xml:space="preserve">. </w:t>
      </w:r>
    </w:p>
    <w:p w14:paraId="457B3932" w14:textId="77777777" w:rsidR="00B21AAB" w:rsidRDefault="00B21AAB" w:rsidP="00B21AAB">
      <w:pPr>
        <w:widowControl w:val="0"/>
        <w:spacing w:after="120"/>
        <w:ind w:firstLine="709"/>
        <w:jc w:val="both"/>
        <w:rPr>
          <w:rFonts w:ascii="Arial Narrow" w:hAnsi="Arial Narrow"/>
          <w:color w:val="FF0000"/>
          <w:lang w:val="bg-BG"/>
        </w:rPr>
      </w:pPr>
      <w:r w:rsidRPr="00B21AAB">
        <w:rPr>
          <w:rFonts w:ascii="Arial Narrow" w:hAnsi="Arial Narrow"/>
          <w:lang w:val="bg-BG" w:eastAsia="bg-BG"/>
        </w:rPr>
        <w:lastRenderedPageBreak/>
        <w:t>Основни стоки, обект на фитосанитарен контролол за експорт са: зърно от слънчоглед (белен, шарен, черен), пшеница и царевица, семена от кориандър, посевен материал, посадъчен материал, дървен материал, сушени билки и подправки. Износът на дървен материал е основно за Турция, Северна Македония, Сърбия, Албания и Израел. Най-значим е експортът на слънчоглед (белен и черен) за Великобритания, САЩ, Турция, Северна Македония, Сърбия и Австралия, а на пшеница за Алжир, Турция, Тунис, САЩ, Мароко и Тайланд. Износът на кориандър е най-съществен за Индонезия, Малайзия, Израел, Великобритания, ЮАР, Канада и Пакистан. Най-голям е износът на посевен материал (семена от пшеница, царевица, слънчоглед, домати, пипер и краставици) за Турция,  Северна Македония, Сърбия, Албания и Великобритания, а този на разсад (от лавандула, маслодайна роза, боровинки, ягоди, лозови подложки и лозови калеми) за Турция, Северна Македония, Сърбия, Грузия и Великобритания. Експортът на сушени билки е най-чувствителен за САЩ, Сърбия, Южна Корея, Израел и Северна Македония, а на подправки – за САЩ, Сърбия, Северна Македония, Израел.</w:t>
      </w:r>
    </w:p>
    <w:p w14:paraId="234E0091" w14:textId="77777777" w:rsidR="00B21AAB" w:rsidRPr="00B21AAB" w:rsidRDefault="008F526C" w:rsidP="00B21AAB">
      <w:pPr>
        <w:pStyle w:val="ListParagraph"/>
        <w:widowControl w:val="0"/>
        <w:numPr>
          <w:ilvl w:val="2"/>
          <w:numId w:val="3"/>
        </w:numPr>
        <w:tabs>
          <w:tab w:val="left" w:pos="1080"/>
        </w:tabs>
        <w:spacing w:after="120"/>
        <w:ind w:left="1080" w:hanging="720"/>
        <w:contextualSpacing w:val="0"/>
        <w:jc w:val="both"/>
        <w:outlineLvl w:val="0"/>
        <w:rPr>
          <w:rFonts w:ascii="Arial Narrow" w:hAnsi="Arial Narrow"/>
          <w:b/>
          <w:iCs/>
          <w:lang w:val="bg-BG"/>
        </w:rPr>
      </w:pPr>
      <w:bookmarkStart w:id="148" w:name="_Toc210747615"/>
      <w:r w:rsidRPr="00B21AAB">
        <w:rPr>
          <w:rFonts w:ascii="Arial Narrow" w:hAnsi="Arial Narrow"/>
          <w:b/>
          <w:iCs/>
          <w:lang w:val="bg-BG"/>
        </w:rPr>
        <w:t>Фитосанитарен контрол при внос</w:t>
      </w:r>
      <w:bookmarkEnd w:id="148"/>
    </w:p>
    <w:p w14:paraId="02788682" w14:textId="77777777" w:rsidR="00B21AAB" w:rsidRPr="00B21AAB" w:rsidRDefault="00B21AAB" w:rsidP="00B21AAB">
      <w:pPr>
        <w:spacing w:after="120"/>
        <w:ind w:firstLine="709"/>
        <w:jc w:val="both"/>
        <w:rPr>
          <w:rFonts w:ascii="Arial Narrow" w:hAnsi="Arial Narrow"/>
          <w:lang w:val="bg-BG" w:eastAsia="bg-BG"/>
        </w:rPr>
      </w:pPr>
      <w:r w:rsidRPr="00B21AAB">
        <w:rPr>
          <w:rFonts w:ascii="Arial Narrow" w:hAnsi="Arial Narrow"/>
          <w:lang w:val="bg-BG" w:eastAsia="bg-BG"/>
        </w:rPr>
        <w:t xml:space="preserve">В рамките на 2024 г. в официалния регистър по фитосанитарен контрол на вносителите на растения и растителни продукти са регистрирани 694 оператори, със 126 повече спрямо през предходната година. Издадени са 9 растителни паспорта, при 18 през 2023 г. </w:t>
      </w:r>
    </w:p>
    <w:p w14:paraId="64CCD5CF" w14:textId="77777777" w:rsidR="00B21AAB" w:rsidRPr="00B21AAB" w:rsidRDefault="008F526C" w:rsidP="00B21AAB">
      <w:pPr>
        <w:widowControl w:val="0"/>
        <w:numPr>
          <w:ilvl w:val="1"/>
          <w:numId w:val="3"/>
        </w:numPr>
        <w:spacing w:after="120"/>
        <w:ind w:left="357" w:firstLine="0"/>
        <w:outlineLvl w:val="0"/>
        <w:rPr>
          <w:rFonts w:ascii="Arial Narrow" w:hAnsi="Arial Narrow"/>
          <w:b/>
          <w:iCs/>
          <w:lang w:val="bg-BG"/>
        </w:rPr>
      </w:pPr>
      <w:bookmarkStart w:id="149" w:name="_Toc56176110"/>
      <w:bookmarkStart w:id="150" w:name="_Toc210747616"/>
      <w:r w:rsidRPr="00B21AAB">
        <w:rPr>
          <w:rFonts w:ascii="Arial Narrow" w:hAnsi="Arial Narrow"/>
          <w:b/>
          <w:iCs/>
          <w:lang w:val="bg-BG"/>
        </w:rPr>
        <w:t>Контрол на продукти за растителна защита и торове</w:t>
      </w:r>
      <w:bookmarkEnd w:id="149"/>
      <w:bookmarkEnd w:id="150"/>
    </w:p>
    <w:p w14:paraId="213342F7" w14:textId="77777777" w:rsidR="00B21AAB" w:rsidRPr="00B21AAB" w:rsidRDefault="00B21AAB" w:rsidP="00B21AAB">
      <w:pPr>
        <w:spacing w:after="120"/>
        <w:ind w:firstLine="709"/>
        <w:jc w:val="both"/>
        <w:rPr>
          <w:rFonts w:ascii="Arial Narrow" w:hAnsi="Arial Narrow"/>
          <w:lang w:val="bg-BG" w:eastAsia="bg-BG"/>
        </w:rPr>
      </w:pPr>
      <w:r w:rsidRPr="00B21AAB">
        <w:rPr>
          <w:rFonts w:ascii="Arial Narrow" w:hAnsi="Arial Narrow"/>
          <w:lang w:val="bg-BG" w:eastAsia="bg-BG"/>
        </w:rPr>
        <w:t>Основната цел на контрола върху предлагането на пазара на продукти за растителна защита (ПРЗ) и торове е да се гарантира предлагане на пазара, съхраняване, преопаковане и производство на разрешени, годни за употреба, ефикасни, максимално безопасни за здравето на хората и животните, щадящи околната среда ПРЗ и торове, които отговарят на законовите изисквания за опаковане и етикетиране. Обхват на контрола са фирмите за търговия, преопаковане и производство на ПРЗ и торове, както и нерегламентирани обекти за търговия и гранични пунктове.</w:t>
      </w:r>
    </w:p>
    <w:p w14:paraId="469CC344" w14:textId="77777777" w:rsidR="00B21AAB" w:rsidRPr="00B21AAB" w:rsidRDefault="00B21AAB" w:rsidP="00B21AAB">
      <w:pPr>
        <w:spacing w:after="120"/>
        <w:ind w:firstLine="709"/>
        <w:jc w:val="both"/>
        <w:rPr>
          <w:rFonts w:ascii="Arial Narrow" w:hAnsi="Arial Narrow"/>
          <w:lang w:val="bg-BG" w:eastAsia="bg-BG"/>
        </w:rPr>
      </w:pPr>
      <w:r w:rsidRPr="00B21AAB">
        <w:rPr>
          <w:rFonts w:ascii="Arial Narrow" w:hAnsi="Arial Narrow"/>
          <w:lang w:val="bg-BG" w:eastAsia="bg-BG"/>
        </w:rPr>
        <w:t>Контролът върху употребата на ПРЗ и торове е насочен към гарантиране правилната и устойчива употреба на продуктите за растителна защита при спазване на изискванията на Закона за защита на растенията, с цел производството на безопасна растителна продукция. Обхват на контрола са земеделските стопани, които прилагат продукти за растителна защита и торове при производството на растениевъдна продукция, предназначена за храна, фураж или други цели извън агрохранителната верига.</w:t>
      </w:r>
    </w:p>
    <w:p w14:paraId="06FBD0C3" w14:textId="77777777" w:rsidR="00B21AAB" w:rsidRPr="00B21AAB" w:rsidRDefault="00B21AAB" w:rsidP="00B21AAB">
      <w:pPr>
        <w:spacing w:after="120"/>
        <w:ind w:firstLine="709"/>
        <w:jc w:val="both"/>
        <w:rPr>
          <w:rFonts w:ascii="Arial Narrow" w:hAnsi="Arial Narrow"/>
          <w:lang w:val="bg-BG" w:eastAsia="bg-BG"/>
        </w:rPr>
      </w:pPr>
      <w:r w:rsidRPr="00B21AAB">
        <w:rPr>
          <w:rFonts w:ascii="Arial Narrow" w:hAnsi="Arial Narrow"/>
          <w:lang w:val="bg-BG" w:eastAsia="bg-BG"/>
        </w:rPr>
        <w:t>През 2024 г. са разрешени 67 продукта за растителна защита, подновено е разрешението на 1 продукт, прекратено или отнето на 41, а отказано е на 3 продукта за паралелна търговия и разрешаването на 2 продукта за ограничена и контролирана употреба и е изменено разрешението на 96 продукта.</w:t>
      </w:r>
    </w:p>
    <w:p w14:paraId="05848024" w14:textId="77777777" w:rsidR="00B21AAB" w:rsidRPr="00B21AAB" w:rsidRDefault="008F526C" w:rsidP="00B21AAB">
      <w:pPr>
        <w:pStyle w:val="ListParagraph"/>
        <w:numPr>
          <w:ilvl w:val="2"/>
          <w:numId w:val="3"/>
        </w:numPr>
        <w:tabs>
          <w:tab w:val="left" w:pos="1080"/>
        </w:tabs>
        <w:spacing w:after="120"/>
        <w:ind w:left="1080" w:hanging="720"/>
        <w:contextualSpacing w:val="0"/>
        <w:jc w:val="both"/>
        <w:outlineLvl w:val="0"/>
        <w:rPr>
          <w:rFonts w:ascii="Arial Narrow" w:hAnsi="Arial Narrow"/>
          <w:b/>
          <w:iCs/>
          <w:lang w:val="bg-BG"/>
        </w:rPr>
      </w:pPr>
      <w:bookmarkStart w:id="151" w:name="_Toc210747617"/>
      <w:r w:rsidRPr="00B21AAB">
        <w:rPr>
          <w:rFonts w:ascii="Arial Narrow" w:hAnsi="Arial Narrow"/>
          <w:b/>
          <w:iCs/>
          <w:lang w:val="bg-BG"/>
        </w:rPr>
        <w:t>Резултати от контролната дейност върху предлагането на пазара на ПРЗ</w:t>
      </w:r>
      <w:bookmarkEnd w:id="151"/>
      <w:r w:rsidRPr="00B21AAB">
        <w:rPr>
          <w:rFonts w:ascii="Arial Narrow" w:hAnsi="Arial Narrow"/>
          <w:b/>
          <w:iCs/>
          <w:lang w:val="bg-BG"/>
        </w:rPr>
        <w:t xml:space="preserve"> </w:t>
      </w:r>
    </w:p>
    <w:p w14:paraId="47349A80" w14:textId="77777777" w:rsidR="00B21AAB" w:rsidRPr="00B21AAB" w:rsidRDefault="00B21AAB" w:rsidP="00B21AAB">
      <w:pPr>
        <w:spacing w:after="120"/>
        <w:ind w:firstLine="709"/>
        <w:jc w:val="both"/>
        <w:rPr>
          <w:rFonts w:ascii="Arial Narrow" w:hAnsi="Arial Narrow"/>
          <w:lang w:val="bg-BG" w:eastAsia="bg-BG"/>
        </w:rPr>
      </w:pPr>
      <w:r w:rsidRPr="00B21AAB">
        <w:rPr>
          <w:rFonts w:ascii="Arial Narrow" w:hAnsi="Arial Narrow"/>
          <w:lang w:val="bg-BG" w:eastAsia="bg-BG"/>
        </w:rPr>
        <w:tab/>
        <w:t>На територията на страната са регистрирани 1 277 обекта, свързани с предлагането на продукти за растителна защита на пазара, в т. ч. 834 за търговия в селскостопанска аптека, 429 склада за търговия, 12 обекта за преопаковане и 2 фирми за производство на ПРЗ.</w:t>
      </w:r>
    </w:p>
    <w:p w14:paraId="48180DE5" w14:textId="77777777" w:rsidR="00B21AAB" w:rsidRPr="00B21AAB" w:rsidRDefault="00B21AAB" w:rsidP="00B21AAB">
      <w:pPr>
        <w:spacing w:after="120"/>
        <w:ind w:firstLine="709"/>
        <w:jc w:val="both"/>
        <w:rPr>
          <w:rFonts w:ascii="Arial Narrow" w:hAnsi="Arial Narrow"/>
          <w:lang w:val="bg-BG" w:eastAsia="bg-BG"/>
        </w:rPr>
      </w:pPr>
      <w:r w:rsidRPr="00B21AAB">
        <w:rPr>
          <w:rFonts w:ascii="Arial Narrow" w:hAnsi="Arial Narrow"/>
          <w:lang w:val="bg-BG" w:eastAsia="bg-BG"/>
        </w:rPr>
        <w:t>В рамките на 2024 г. са извършени 1 834 проверки, от които 980 в селскостопански аптеки, 667 в складове, 28 в обекти за преопаковане, 28 в обекти за производство на ПРЗ и 131 на нерегламентирани обекти (общински пазари, магазини и др.). Констатирани са несъответствия при 280 проверки, при които са издадени 434 предписания с разпореден срок за изпълнение. Съставени са 47 акта за административно нарушение.</w:t>
      </w:r>
    </w:p>
    <w:p w14:paraId="5DD9EB86" w14:textId="77777777" w:rsidR="00B21AAB" w:rsidRPr="00B21AAB" w:rsidRDefault="00B21AAB" w:rsidP="00B21AAB">
      <w:pPr>
        <w:spacing w:after="120"/>
        <w:rPr>
          <w:rFonts w:ascii="Arial Narrow" w:hAnsi="Arial Narrow"/>
          <w:b/>
          <w:lang w:val="bg-BG" w:eastAsia="bg-BG"/>
        </w:rPr>
      </w:pPr>
      <w:r w:rsidRPr="00B21AAB">
        <w:rPr>
          <w:rFonts w:ascii="Arial Narrow" w:hAnsi="Arial Narrow"/>
          <w:b/>
          <w:lang w:val="bg-BG" w:eastAsia="bg-BG"/>
        </w:rPr>
        <w:t>Таблица V.5. Контрол върху пазара на ПРЗ през периода 2022 - 2024 г.</w:t>
      </w:r>
    </w:p>
    <w:tbl>
      <w:tblPr>
        <w:tblW w:w="4954"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5171"/>
        <w:gridCol w:w="1513"/>
        <w:gridCol w:w="1513"/>
        <w:gridCol w:w="1513"/>
      </w:tblGrid>
      <w:tr w:rsidR="00B21AAB" w:rsidRPr="00B21AAB" w14:paraId="10EC130F" w14:textId="77777777" w:rsidTr="002E5F3D">
        <w:trPr>
          <w:trHeight w:val="350"/>
          <w:tblHeader/>
        </w:trPr>
        <w:tc>
          <w:tcPr>
            <w:tcW w:w="5253" w:type="dxa"/>
            <w:shd w:val="clear" w:color="000000" w:fill="FFFFFF"/>
            <w:vAlign w:val="center"/>
          </w:tcPr>
          <w:p w14:paraId="0C2D4BA6" w14:textId="77777777" w:rsidR="00B21AAB" w:rsidRPr="00B21AAB" w:rsidRDefault="00B21AAB" w:rsidP="00B21AAB">
            <w:pPr>
              <w:jc w:val="center"/>
              <w:rPr>
                <w:rFonts w:eastAsia="Calibri"/>
                <w:b/>
                <w:bCs/>
                <w:lang w:val="bg-BG" w:eastAsia="bg-BG"/>
              </w:rPr>
            </w:pPr>
            <w:r w:rsidRPr="00B21AAB">
              <w:rPr>
                <w:rFonts w:ascii="Arial Narrow" w:hAnsi="Arial Narrow" w:cs="Calibri"/>
                <w:b/>
                <w:bCs/>
                <w:sz w:val="20"/>
                <w:szCs w:val="20"/>
                <w:lang w:val="bg-BG" w:eastAsia="bg-BG"/>
              </w:rPr>
              <w:t>Дейности</w:t>
            </w:r>
          </w:p>
        </w:tc>
        <w:tc>
          <w:tcPr>
            <w:tcW w:w="1535" w:type="dxa"/>
            <w:shd w:val="clear" w:color="000000" w:fill="FFFFFF"/>
            <w:vAlign w:val="center"/>
          </w:tcPr>
          <w:p w14:paraId="40BBDC39" w14:textId="77777777" w:rsidR="00B21AAB" w:rsidRPr="00B21AAB" w:rsidRDefault="00B21AAB" w:rsidP="00B21AAB">
            <w:pPr>
              <w:jc w:val="center"/>
              <w:rPr>
                <w:rFonts w:ascii="Arial Narrow" w:hAnsi="Arial Narrow" w:cs="Calibri"/>
                <w:b/>
                <w:bCs/>
                <w:sz w:val="20"/>
                <w:szCs w:val="20"/>
                <w:lang w:val="bg-BG" w:eastAsia="bg-BG"/>
              </w:rPr>
            </w:pPr>
            <w:r w:rsidRPr="00B21AAB">
              <w:rPr>
                <w:rFonts w:ascii="Arial Narrow" w:hAnsi="Arial Narrow" w:cs="Calibri"/>
                <w:b/>
                <w:bCs/>
                <w:sz w:val="20"/>
                <w:szCs w:val="20"/>
                <w:lang w:val="bg-BG" w:eastAsia="bg-BG"/>
              </w:rPr>
              <w:t>2022</w:t>
            </w:r>
          </w:p>
        </w:tc>
        <w:tc>
          <w:tcPr>
            <w:tcW w:w="1535" w:type="dxa"/>
            <w:shd w:val="clear" w:color="000000" w:fill="FFFFFF"/>
            <w:vAlign w:val="center"/>
          </w:tcPr>
          <w:p w14:paraId="01FC440A" w14:textId="77777777" w:rsidR="00B21AAB" w:rsidRPr="00B21AAB" w:rsidRDefault="00B21AAB" w:rsidP="00B21AAB">
            <w:pPr>
              <w:jc w:val="center"/>
              <w:rPr>
                <w:rFonts w:ascii="Arial Narrow" w:hAnsi="Arial Narrow" w:cs="Calibri"/>
                <w:b/>
                <w:bCs/>
                <w:sz w:val="20"/>
                <w:szCs w:val="20"/>
                <w:lang w:val="bg-BG" w:eastAsia="bg-BG"/>
              </w:rPr>
            </w:pPr>
            <w:r w:rsidRPr="00B21AAB">
              <w:rPr>
                <w:rFonts w:ascii="Arial Narrow" w:hAnsi="Arial Narrow" w:cs="Calibri"/>
                <w:b/>
                <w:bCs/>
                <w:sz w:val="20"/>
                <w:szCs w:val="20"/>
                <w:lang w:val="bg-BG" w:eastAsia="bg-BG"/>
              </w:rPr>
              <w:t>2023</w:t>
            </w:r>
          </w:p>
        </w:tc>
        <w:tc>
          <w:tcPr>
            <w:tcW w:w="1535" w:type="dxa"/>
            <w:shd w:val="clear" w:color="000000" w:fill="FFFFFF"/>
            <w:vAlign w:val="center"/>
          </w:tcPr>
          <w:p w14:paraId="45CAD221" w14:textId="77777777" w:rsidR="00B21AAB" w:rsidRPr="00B21AAB" w:rsidRDefault="00B21AAB" w:rsidP="00B21AAB">
            <w:pPr>
              <w:jc w:val="center"/>
              <w:rPr>
                <w:rFonts w:ascii="Arial Narrow" w:hAnsi="Arial Narrow" w:cs="Calibri"/>
                <w:b/>
                <w:bCs/>
                <w:sz w:val="20"/>
                <w:szCs w:val="20"/>
                <w:lang w:val="bg-BG" w:eastAsia="bg-BG"/>
              </w:rPr>
            </w:pPr>
            <w:r w:rsidRPr="00B21AAB">
              <w:rPr>
                <w:rFonts w:ascii="Arial Narrow" w:hAnsi="Arial Narrow" w:cs="Calibri"/>
                <w:b/>
                <w:bCs/>
                <w:sz w:val="20"/>
                <w:szCs w:val="20"/>
                <w:lang w:val="bg-BG" w:eastAsia="bg-BG"/>
              </w:rPr>
              <w:t>2024</w:t>
            </w:r>
          </w:p>
        </w:tc>
      </w:tr>
      <w:tr w:rsidR="00B21AAB" w:rsidRPr="00B21AAB" w14:paraId="0E2C34C2" w14:textId="77777777" w:rsidTr="002E5F3D">
        <w:trPr>
          <w:trHeight w:val="309"/>
        </w:trPr>
        <w:tc>
          <w:tcPr>
            <w:tcW w:w="5253" w:type="dxa"/>
            <w:shd w:val="clear" w:color="000000" w:fill="FFFFFF"/>
            <w:vAlign w:val="center"/>
          </w:tcPr>
          <w:p w14:paraId="4BA3F37A" w14:textId="77777777" w:rsidR="00B21AAB" w:rsidRPr="00B21AAB" w:rsidRDefault="00B21AAB" w:rsidP="00B21AAB">
            <w:pPr>
              <w:rPr>
                <w:rFonts w:ascii="Arial Narrow" w:hAnsi="Arial Narrow" w:cs="Calibri"/>
                <w:sz w:val="20"/>
                <w:szCs w:val="20"/>
                <w:lang w:val="bg-BG" w:eastAsia="bg-BG"/>
              </w:rPr>
            </w:pPr>
            <w:r w:rsidRPr="00B21AAB">
              <w:rPr>
                <w:rFonts w:ascii="Arial Narrow" w:hAnsi="Arial Narrow" w:cs="Calibri"/>
                <w:sz w:val="20"/>
                <w:szCs w:val="20"/>
                <w:lang w:val="bg-BG" w:eastAsia="bg-BG"/>
              </w:rPr>
              <w:t>Брой регистрирани обекти</w:t>
            </w:r>
          </w:p>
        </w:tc>
        <w:tc>
          <w:tcPr>
            <w:tcW w:w="1535" w:type="dxa"/>
            <w:shd w:val="clear" w:color="000000" w:fill="FFFFFF"/>
            <w:vAlign w:val="center"/>
          </w:tcPr>
          <w:p w14:paraId="6BC05EAB" w14:textId="77777777" w:rsidR="00B21AAB" w:rsidRPr="00B21AAB" w:rsidRDefault="00B21AAB" w:rsidP="00B21AAB">
            <w:pPr>
              <w:jc w:val="right"/>
              <w:rPr>
                <w:rFonts w:ascii="Arial Narrow" w:eastAsia="Calibri" w:hAnsi="Arial Narrow" w:cs="Calibri"/>
                <w:sz w:val="20"/>
                <w:szCs w:val="20"/>
                <w:lang w:val="bg-BG"/>
              </w:rPr>
            </w:pPr>
            <w:r w:rsidRPr="00B21AAB">
              <w:rPr>
                <w:rFonts w:ascii="Arial Narrow" w:eastAsia="Calibri" w:hAnsi="Arial Narrow" w:cs="Calibri"/>
                <w:color w:val="000000"/>
                <w:kern w:val="28"/>
                <w:sz w:val="20"/>
                <w:szCs w:val="20"/>
                <w:lang w:val="bg-BG" w:eastAsia="bg-BG"/>
                <w14:ligatures w14:val="standard"/>
                <w14:cntxtAlts/>
              </w:rPr>
              <w:t>1 321</w:t>
            </w:r>
          </w:p>
        </w:tc>
        <w:tc>
          <w:tcPr>
            <w:tcW w:w="1535" w:type="dxa"/>
            <w:shd w:val="clear" w:color="000000" w:fill="FFFFFF"/>
            <w:vAlign w:val="center"/>
          </w:tcPr>
          <w:p w14:paraId="4DFCADAC" w14:textId="77777777" w:rsidR="00B21AAB" w:rsidRPr="00B21AAB" w:rsidRDefault="00B21AAB" w:rsidP="00B21AAB">
            <w:pPr>
              <w:jc w:val="right"/>
              <w:rPr>
                <w:rFonts w:ascii="Arial Narrow" w:eastAsia="Calibri" w:hAnsi="Arial Narrow" w:cs="Calibri"/>
                <w:sz w:val="20"/>
                <w:szCs w:val="20"/>
                <w:lang w:val="bg-BG"/>
              </w:rPr>
            </w:pPr>
            <w:r w:rsidRPr="00B21AAB">
              <w:rPr>
                <w:rFonts w:ascii="Arial Narrow" w:eastAsia="Calibri" w:hAnsi="Arial Narrow" w:cs="Calibri"/>
                <w:color w:val="000000"/>
                <w:kern w:val="28"/>
                <w:sz w:val="20"/>
                <w:szCs w:val="20"/>
                <w:lang w:val="bg-BG" w:eastAsia="bg-BG"/>
                <w14:ligatures w14:val="standard"/>
                <w14:cntxtAlts/>
              </w:rPr>
              <w:t>1 298</w:t>
            </w:r>
          </w:p>
        </w:tc>
        <w:tc>
          <w:tcPr>
            <w:tcW w:w="1535" w:type="dxa"/>
            <w:shd w:val="clear" w:color="000000" w:fill="FFFFFF"/>
            <w:vAlign w:val="center"/>
          </w:tcPr>
          <w:p w14:paraId="719F7A85" w14:textId="77777777" w:rsidR="00B21AAB" w:rsidRPr="00B21AAB" w:rsidRDefault="00B21AAB" w:rsidP="00B21AAB">
            <w:pPr>
              <w:jc w:val="right"/>
              <w:rPr>
                <w:rFonts w:ascii="Arial Narrow" w:eastAsia="Calibri" w:hAnsi="Arial Narrow" w:cs="Calibri"/>
                <w:sz w:val="20"/>
                <w:szCs w:val="20"/>
                <w:lang w:val="bg-BG"/>
              </w:rPr>
            </w:pPr>
            <w:r w:rsidRPr="00B21AAB">
              <w:rPr>
                <w:rFonts w:ascii="Arial Narrow" w:eastAsia="Calibri" w:hAnsi="Arial Narrow" w:cs="Calibri"/>
                <w:color w:val="000000"/>
                <w:kern w:val="28"/>
                <w:sz w:val="20"/>
                <w:szCs w:val="20"/>
                <w:lang w:val="bg-BG" w:eastAsia="bg-BG"/>
                <w14:ligatures w14:val="standard"/>
                <w14:cntxtAlts/>
              </w:rPr>
              <w:t>1 277</w:t>
            </w:r>
          </w:p>
        </w:tc>
      </w:tr>
      <w:tr w:rsidR="00B21AAB" w:rsidRPr="00B21AAB" w14:paraId="41A60290" w14:textId="77777777" w:rsidTr="002E5F3D">
        <w:trPr>
          <w:trHeight w:val="309"/>
        </w:trPr>
        <w:tc>
          <w:tcPr>
            <w:tcW w:w="5253" w:type="dxa"/>
            <w:shd w:val="clear" w:color="000000" w:fill="FFFFFF"/>
            <w:vAlign w:val="center"/>
          </w:tcPr>
          <w:p w14:paraId="50F0B471" w14:textId="77777777" w:rsidR="00B21AAB" w:rsidRPr="00B21AAB" w:rsidRDefault="00B21AAB" w:rsidP="00B21AAB">
            <w:pPr>
              <w:rPr>
                <w:rFonts w:ascii="Arial Narrow" w:hAnsi="Arial Narrow" w:cs="Calibri"/>
                <w:sz w:val="20"/>
                <w:szCs w:val="20"/>
                <w:lang w:val="bg-BG" w:eastAsia="bg-BG"/>
              </w:rPr>
            </w:pPr>
            <w:r w:rsidRPr="00B21AAB">
              <w:rPr>
                <w:rFonts w:ascii="Arial Narrow" w:hAnsi="Arial Narrow" w:cs="Calibri"/>
                <w:sz w:val="20"/>
                <w:szCs w:val="20"/>
                <w:lang w:val="bg-BG" w:eastAsia="bg-BG"/>
              </w:rPr>
              <w:t>Брой проверки на обекти</w:t>
            </w:r>
          </w:p>
        </w:tc>
        <w:tc>
          <w:tcPr>
            <w:tcW w:w="1535" w:type="dxa"/>
            <w:shd w:val="clear" w:color="000000" w:fill="FFFFFF"/>
            <w:vAlign w:val="center"/>
          </w:tcPr>
          <w:p w14:paraId="3D473535" w14:textId="77777777" w:rsidR="00B21AAB" w:rsidRPr="00B21AAB" w:rsidRDefault="00B21AAB" w:rsidP="00B21AAB">
            <w:pPr>
              <w:jc w:val="right"/>
              <w:rPr>
                <w:rFonts w:ascii="Arial Narrow" w:eastAsia="Calibri" w:hAnsi="Arial Narrow" w:cs="Calibri"/>
                <w:sz w:val="20"/>
                <w:szCs w:val="20"/>
                <w:lang w:val="bg-BG"/>
              </w:rPr>
            </w:pPr>
            <w:r w:rsidRPr="00B21AAB">
              <w:rPr>
                <w:rFonts w:ascii="Arial Narrow" w:eastAsia="Calibri" w:hAnsi="Arial Narrow" w:cs="Calibri"/>
                <w:color w:val="000000"/>
                <w:kern w:val="28"/>
                <w:sz w:val="20"/>
                <w:szCs w:val="20"/>
                <w:lang w:val="bg-BG" w:eastAsia="bg-BG"/>
                <w14:ligatures w14:val="standard"/>
                <w14:cntxtAlts/>
              </w:rPr>
              <w:t>1 582</w:t>
            </w:r>
          </w:p>
        </w:tc>
        <w:tc>
          <w:tcPr>
            <w:tcW w:w="1535" w:type="dxa"/>
            <w:shd w:val="clear" w:color="000000" w:fill="FFFFFF"/>
            <w:vAlign w:val="center"/>
          </w:tcPr>
          <w:p w14:paraId="6FD10A24" w14:textId="77777777" w:rsidR="00B21AAB" w:rsidRPr="00B21AAB" w:rsidRDefault="00B21AAB" w:rsidP="00B21AAB">
            <w:pPr>
              <w:jc w:val="right"/>
              <w:rPr>
                <w:rFonts w:ascii="Arial Narrow" w:eastAsia="Calibri" w:hAnsi="Arial Narrow" w:cs="Calibri"/>
                <w:sz w:val="20"/>
                <w:szCs w:val="20"/>
                <w:lang w:val="bg-BG"/>
              </w:rPr>
            </w:pPr>
            <w:r w:rsidRPr="00B21AAB">
              <w:rPr>
                <w:rFonts w:ascii="Arial Narrow" w:eastAsia="Calibri" w:hAnsi="Arial Narrow" w:cs="Calibri"/>
                <w:color w:val="000000"/>
                <w:kern w:val="28"/>
                <w:sz w:val="20"/>
                <w:szCs w:val="20"/>
                <w:lang w:val="bg-BG" w:eastAsia="bg-BG"/>
                <w14:ligatures w14:val="standard"/>
                <w14:cntxtAlts/>
              </w:rPr>
              <w:t>1 606</w:t>
            </w:r>
          </w:p>
        </w:tc>
        <w:tc>
          <w:tcPr>
            <w:tcW w:w="1535" w:type="dxa"/>
            <w:shd w:val="clear" w:color="000000" w:fill="FFFFFF"/>
            <w:vAlign w:val="center"/>
          </w:tcPr>
          <w:p w14:paraId="417F09C1" w14:textId="77777777" w:rsidR="00B21AAB" w:rsidRPr="00B21AAB" w:rsidRDefault="00B21AAB" w:rsidP="00B21AAB">
            <w:pPr>
              <w:jc w:val="right"/>
              <w:rPr>
                <w:rFonts w:ascii="Arial Narrow" w:eastAsia="Calibri" w:hAnsi="Arial Narrow" w:cs="Calibri"/>
                <w:sz w:val="20"/>
                <w:szCs w:val="20"/>
                <w:lang w:val="bg-BG"/>
              </w:rPr>
            </w:pPr>
            <w:r w:rsidRPr="00B21AAB">
              <w:rPr>
                <w:rFonts w:ascii="Arial Narrow" w:eastAsia="Calibri" w:hAnsi="Arial Narrow" w:cs="Calibri"/>
                <w:color w:val="000000"/>
                <w:kern w:val="28"/>
                <w:sz w:val="20"/>
                <w:szCs w:val="20"/>
                <w:lang w:val="bg-BG" w:eastAsia="bg-BG"/>
                <w14:ligatures w14:val="standard"/>
                <w14:cntxtAlts/>
              </w:rPr>
              <w:t>1 834</w:t>
            </w:r>
          </w:p>
        </w:tc>
      </w:tr>
      <w:tr w:rsidR="00B21AAB" w:rsidRPr="00B21AAB" w14:paraId="4D3A0360" w14:textId="77777777" w:rsidTr="002E5F3D">
        <w:trPr>
          <w:trHeight w:val="309"/>
        </w:trPr>
        <w:tc>
          <w:tcPr>
            <w:tcW w:w="5253" w:type="dxa"/>
            <w:shd w:val="clear" w:color="000000" w:fill="FFFFFF"/>
            <w:vAlign w:val="center"/>
          </w:tcPr>
          <w:p w14:paraId="18BD12CD" w14:textId="77777777" w:rsidR="00B21AAB" w:rsidRPr="00B21AAB" w:rsidRDefault="00B21AAB" w:rsidP="00B21AAB">
            <w:pPr>
              <w:rPr>
                <w:rFonts w:ascii="Arial Narrow" w:hAnsi="Arial Narrow" w:cs="Calibri"/>
                <w:sz w:val="20"/>
                <w:szCs w:val="20"/>
                <w:lang w:val="bg-BG" w:eastAsia="bg-BG"/>
              </w:rPr>
            </w:pPr>
            <w:r w:rsidRPr="00B21AAB">
              <w:rPr>
                <w:rFonts w:ascii="Arial Narrow" w:hAnsi="Arial Narrow" w:cs="Calibri"/>
                <w:sz w:val="20"/>
                <w:szCs w:val="20"/>
                <w:lang w:val="bg-BG" w:eastAsia="bg-BG"/>
              </w:rPr>
              <w:t>Брой проверки с несъответствия</w:t>
            </w:r>
          </w:p>
        </w:tc>
        <w:tc>
          <w:tcPr>
            <w:tcW w:w="1535" w:type="dxa"/>
            <w:shd w:val="clear" w:color="000000" w:fill="FFFFFF"/>
            <w:vAlign w:val="center"/>
          </w:tcPr>
          <w:p w14:paraId="2886F6B3" w14:textId="77777777" w:rsidR="00B21AAB" w:rsidRPr="00B21AAB" w:rsidRDefault="00B21AAB" w:rsidP="00B21AAB">
            <w:pPr>
              <w:jc w:val="right"/>
              <w:rPr>
                <w:rFonts w:ascii="Arial Narrow" w:eastAsia="Calibri" w:hAnsi="Arial Narrow" w:cs="Calibri"/>
                <w:sz w:val="20"/>
                <w:szCs w:val="20"/>
                <w:lang w:val="bg-BG"/>
              </w:rPr>
            </w:pPr>
            <w:r w:rsidRPr="00B21AAB">
              <w:rPr>
                <w:rFonts w:ascii="Arial Narrow" w:eastAsia="Calibri" w:hAnsi="Arial Narrow" w:cs="Calibri"/>
                <w:sz w:val="20"/>
                <w:szCs w:val="20"/>
                <w:lang w:val="bg-BG"/>
              </w:rPr>
              <w:t>149</w:t>
            </w:r>
          </w:p>
        </w:tc>
        <w:tc>
          <w:tcPr>
            <w:tcW w:w="1535" w:type="dxa"/>
            <w:shd w:val="clear" w:color="000000" w:fill="FFFFFF"/>
            <w:vAlign w:val="center"/>
          </w:tcPr>
          <w:p w14:paraId="5CB2FBA8" w14:textId="77777777" w:rsidR="00B21AAB" w:rsidRPr="00B21AAB" w:rsidRDefault="00B21AAB" w:rsidP="00B21AAB">
            <w:pPr>
              <w:jc w:val="right"/>
              <w:rPr>
                <w:rFonts w:ascii="Arial Narrow" w:eastAsia="Calibri" w:hAnsi="Arial Narrow" w:cs="Calibri"/>
                <w:sz w:val="20"/>
                <w:szCs w:val="20"/>
                <w:lang w:val="bg-BG"/>
              </w:rPr>
            </w:pPr>
            <w:r w:rsidRPr="00B21AAB">
              <w:rPr>
                <w:rFonts w:ascii="Arial Narrow" w:eastAsia="Calibri" w:hAnsi="Arial Narrow" w:cs="Calibri"/>
                <w:sz w:val="20"/>
                <w:szCs w:val="20"/>
                <w:lang w:val="bg-BG"/>
              </w:rPr>
              <w:t>177</w:t>
            </w:r>
          </w:p>
        </w:tc>
        <w:tc>
          <w:tcPr>
            <w:tcW w:w="1535" w:type="dxa"/>
            <w:shd w:val="clear" w:color="000000" w:fill="FFFFFF"/>
            <w:vAlign w:val="center"/>
          </w:tcPr>
          <w:p w14:paraId="596D3292" w14:textId="77777777" w:rsidR="00B21AAB" w:rsidRPr="00B21AAB" w:rsidRDefault="00B21AAB" w:rsidP="00B21AAB">
            <w:pPr>
              <w:jc w:val="right"/>
              <w:rPr>
                <w:rFonts w:ascii="Arial Narrow" w:eastAsia="Calibri" w:hAnsi="Arial Narrow" w:cs="Calibri"/>
                <w:sz w:val="20"/>
                <w:szCs w:val="20"/>
                <w:lang w:val="bg-BG"/>
              </w:rPr>
            </w:pPr>
            <w:r w:rsidRPr="00B21AAB">
              <w:rPr>
                <w:rFonts w:ascii="Arial Narrow" w:eastAsia="Calibri" w:hAnsi="Arial Narrow" w:cs="Calibri"/>
                <w:sz w:val="20"/>
                <w:szCs w:val="20"/>
                <w:lang w:val="bg-BG"/>
              </w:rPr>
              <w:t>280</w:t>
            </w:r>
          </w:p>
        </w:tc>
      </w:tr>
      <w:tr w:rsidR="00B21AAB" w:rsidRPr="00B21AAB" w14:paraId="2C8C743B" w14:textId="77777777" w:rsidTr="002E5F3D">
        <w:trPr>
          <w:trHeight w:val="309"/>
        </w:trPr>
        <w:tc>
          <w:tcPr>
            <w:tcW w:w="5253" w:type="dxa"/>
            <w:shd w:val="clear" w:color="000000" w:fill="FFFFFF"/>
            <w:vAlign w:val="center"/>
          </w:tcPr>
          <w:p w14:paraId="45A048C6" w14:textId="77777777" w:rsidR="00B21AAB" w:rsidRPr="00B21AAB" w:rsidRDefault="00B21AAB" w:rsidP="00B21AAB">
            <w:pPr>
              <w:rPr>
                <w:rFonts w:ascii="Arial Narrow" w:hAnsi="Arial Narrow" w:cs="Calibri"/>
                <w:sz w:val="20"/>
                <w:szCs w:val="20"/>
                <w:lang w:val="bg-BG" w:eastAsia="bg-BG"/>
              </w:rPr>
            </w:pPr>
            <w:r w:rsidRPr="00B21AAB">
              <w:rPr>
                <w:rFonts w:ascii="Arial Narrow" w:hAnsi="Arial Narrow" w:cs="Calibri"/>
                <w:sz w:val="20"/>
                <w:szCs w:val="20"/>
                <w:lang w:val="bg-BG" w:eastAsia="bg-BG"/>
              </w:rPr>
              <w:t>Брой предписания при установените несъответствия</w:t>
            </w:r>
          </w:p>
        </w:tc>
        <w:tc>
          <w:tcPr>
            <w:tcW w:w="1535" w:type="dxa"/>
            <w:shd w:val="clear" w:color="000000" w:fill="FFFFFF"/>
            <w:vAlign w:val="center"/>
          </w:tcPr>
          <w:p w14:paraId="3114B809" w14:textId="77777777" w:rsidR="00B21AAB" w:rsidRPr="00B21AAB" w:rsidRDefault="00B21AAB" w:rsidP="00B21AAB">
            <w:pPr>
              <w:jc w:val="right"/>
              <w:rPr>
                <w:rFonts w:ascii="Arial Narrow" w:eastAsia="Calibri" w:hAnsi="Arial Narrow" w:cs="Calibri"/>
                <w:sz w:val="20"/>
                <w:szCs w:val="20"/>
                <w:lang w:val="bg-BG"/>
              </w:rPr>
            </w:pPr>
            <w:r w:rsidRPr="00B21AAB">
              <w:rPr>
                <w:rFonts w:ascii="Arial Narrow" w:eastAsia="Calibri" w:hAnsi="Arial Narrow" w:cs="Calibri"/>
                <w:sz w:val="20"/>
                <w:szCs w:val="20"/>
                <w:lang w:val="bg-BG"/>
              </w:rPr>
              <w:t>173</w:t>
            </w:r>
          </w:p>
        </w:tc>
        <w:tc>
          <w:tcPr>
            <w:tcW w:w="1535" w:type="dxa"/>
            <w:shd w:val="clear" w:color="000000" w:fill="FFFFFF"/>
            <w:vAlign w:val="center"/>
          </w:tcPr>
          <w:p w14:paraId="02E4FE86" w14:textId="77777777" w:rsidR="00B21AAB" w:rsidRPr="00B21AAB" w:rsidRDefault="00B21AAB" w:rsidP="00B21AAB">
            <w:pPr>
              <w:jc w:val="right"/>
              <w:rPr>
                <w:rFonts w:ascii="Arial Narrow" w:eastAsia="Calibri" w:hAnsi="Arial Narrow" w:cs="Calibri"/>
                <w:sz w:val="20"/>
                <w:szCs w:val="20"/>
                <w:lang w:val="bg-BG"/>
              </w:rPr>
            </w:pPr>
            <w:r w:rsidRPr="00B21AAB">
              <w:rPr>
                <w:rFonts w:ascii="Arial Narrow" w:eastAsia="Calibri" w:hAnsi="Arial Narrow" w:cs="Calibri"/>
                <w:sz w:val="20"/>
                <w:szCs w:val="20"/>
                <w:lang w:val="bg-BG"/>
              </w:rPr>
              <w:t>256</w:t>
            </w:r>
          </w:p>
        </w:tc>
        <w:tc>
          <w:tcPr>
            <w:tcW w:w="1535" w:type="dxa"/>
            <w:shd w:val="clear" w:color="000000" w:fill="FFFFFF"/>
            <w:vAlign w:val="center"/>
          </w:tcPr>
          <w:p w14:paraId="26051893" w14:textId="77777777" w:rsidR="00B21AAB" w:rsidRPr="00B21AAB" w:rsidRDefault="00B21AAB" w:rsidP="00B21AAB">
            <w:pPr>
              <w:jc w:val="right"/>
              <w:rPr>
                <w:rFonts w:ascii="Arial Narrow" w:eastAsia="Calibri" w:hAnsi="Arial Narrow" w:cs="Calibri"/>
                <w:sz w:val="20"/>
                <w:szCs w:val="20"/>
                <w:lang w:val="bg-BG"/>
              </w:rPr>
            </w:pPr>
            <w:r w:rsidRPr="00B21AAB">
              <w:rPr>
                <w:rFonts w:ascii="Arial Narrow" w:eastAsia="Calibri" w:hAnsi="Arial Narrow" w:cs="Calibri"/>
                <w:sz w:val="20"/>
                <w:szCs w:val="20"/>
                <w:lang w:val="bg-BG"/>
              </w:rPr>
              <w:t>434</w:t>
            </w:r>
          </w:p>
        </w:tc>
      </w:tr>
      <w:tr w:rsidR="00B21AAB" w:rsidRPr="00B21AAB" w14:paraId="7FC085E6" w14:textId="77777777" w:rsidTr="002E5F3D">
        <w:trPr>
          <w:trHeight w:val="309"/>
        </w:trPr>
        <w:tc>
          <w:tcPr>
            <w:tcW w:w="5253" w:type="dxa"/>
            <w:shd w:val="clear" w:color="000000" w:fill="FFFFFF"/>
            <w:vAlign w:val="center"/>
          </w:tcPr>
          <w:p w14:paraId="2353C816" w14:textId="77777777" w:rsidR="00B21AAB" w:rsidRPr="00B21AAB" w:rsidRDefault="00B21AAB" w:rsidP="00B21AAB">
            <w:pPr>
              <w:rPr>
                <w:rFonts w:ascii="Arial Narrow" w:hAnsi="Arial Narrow" w:cs="Calibri"/>
                <w:sz w:val="20"/>
                <w:szCs w:val="20"/>
                <w:lang w:val="bg-BG" w:eastAsia="bg-BG"/>
              </w:rPr>
            </w:pPr>
            <w:r w:rsidRPr="00B21AAB">
              <w:rPr>
                <w:rFonts w:ascii="Arial Narrow" w:hAnsi="Arial Narrow" w:cs="Calibri"/>
                <w:sz w:val="20"/>
                <w:szCs w:val="20"/>
                <w:lang w:val="bg-BG" w:eastAsia="bg-BG"/>
              </w:rPr>
              <w:lastRenderedPageBreak/>
              <w:t>Брой взети проби от ПРЗ за анализ</w:t>
            </w:r>
          </w:p>
        </w:tc>
        <w:tc>
          <w:tcPr>
            <w:tcW w:w="1535" w:type="dxa"/>
            <w:shd w:val="clear" w:color="000000" w:fill="FFFFFF"/>
            <w:vAlign w:val="center"/>
          </w:tcPr>
          <w:p w14:paraId="602FC6DC" w14:textId="77777777" w:rsidR="00B21AAB" w:rsidRPr="00B21AAB" w:rsidRDefault="00B21AAB" w:rsidP="00B21AAB">
            <w:pPr>
              <w:jc w:val="right"/>
              <w:rPr>
                <w:rFonts w:ascii="Arial Narrow" w:eastAsia="Calibri" w:hAnsi="Arial Narrow" w:cs="Calibri"/>
                <w:sz w:val="20"/>
                <w:szCs w:val="20"/>
                <w:lang w:val="bg-BG"/>
              </w:rPr>
            </w:pPr>
            <w:r w:rsidRPr="00B21AAB">
              <w:rPr>
                <w:rFonts w:ascii="Arial Narrow" w:eastAsia="Calibri" w:hAnsi="Arial Narrow" w:cs="Calibri"/>
                <w:sz w:val="20"/>
                <w:szCs w:val="20"/>
                <w:lang w:val="bg-BG"/>
              </w:rPr>
              <w:t>88</w:t>
            </w:r>
          </w:p>
        </w:tc>
        <w:tc>
          <w:tcPr>
            <w:tcW w:w="1535" w:type="dxa"/>
            <w:shd w:val="clear" w:color="000000" w:fill="FFFFFF"/>
            <w:vAlign w:val="center"/>
          </w:tcPr>
          <w:p w14:paraId="23ECE215" w14:textId="77777777" w:rsidR="00B21AAB" w:rsidRPr="00B21AAB" w:rsidRDefault="00B21AAB" w:rsidP="00B21AAB">
            <w:pPr>
              <w:jc w:val="right"/>
              <w:rPr>
                <w:rFonts w:ascii="Arial Narrow" w:eastAsia="Calibri" w:hAnsi="Arial Narrow" w:cs="Calibri"/>
                <w:sz w:val="20"/>
                <w:szCs w:val="20"/>
                <w:lang w:val="bg-BG"/>
              </w:rPr>
            </w:pPr>
            <w:r w:rsidRPr="00B21AAB">
              <w:rPr>
                <w:rFonts w:ascii="Arial Narrow" w:eastAsia="Calibri" w:hAnsi="Arial Narrow" w:cs="Calibri"/>
                <w:sz w:val="20"/>
                <w:szCs w:val="20"/>
                <w:lang w:val="bg-BG"/>
              </w:rPr>
              <w:t>73</w:t>
            </w:r>
          </w:p>
        </w:tc>
        <w:tc>
          <w:tcPr>
            <w:tcW w:w="1535" w:type="dxa"/>
            <w:shd w:val="clear" w:color="000000" w:fill="FFFFFF"/>
            <w:vAlign w:val="center"/>
          </w:tcPr>
          <w:p w14:paraId="51A9F248" w14:textId="77777777" w:rsidR="00B21AAB" w:rsidRPr="00B21AAB" w:rsidRDefault="00B21AAB" w:rsidP="00B21AAB">
            <w:pPr>
              <w:jc w:val="right"/>
              <w:rPr>
                <w:rFonts w:ascii="Arial Narrow" w:eastAsia="Calibri" w:hAnsi="Arial Narrow" w:cs="Calibri"/>
                <w:sz w:val="20"/>
                <w:szCs w:val="20"/>
                <w:lang w:val="bg-BG"/>
              </w:rPr>
            </w:pPr>
            <w:r w:rsidRPr="00B21AAB">
              <w:rPr>
                <w:rFonts w:ascii="Arial Narrow" w:eastAsia="Calibri" w:hAnsi="Arial Narrow" w:cs="Calibri"/>
                <w:sz w:val="20"/>
                <w:szCs w:val="20"/>
                <w:lang w:val="bg-BG"/>
              </w:rPr>
              <w:t>80</w:t>
            </w:r>
          </w:p>
        </w:tc>
      </w:tr>
      <w:tr w:rsidR="00B21AAB" w:rsidRPr="00B21AAB" w14:paraId="48AD1497" w14:textId="77777777" w:rsidTr="002E5F3D">
        <w:trPr>
          <w:trHeight w:val="309"/>
        </w:trPr>
        <w:tc>
          <w:tcPr>
            <w:tcW w:w="5253" w:type="dxa"/>
            <w:shd w:val="clear" w:color="000000" w:fill="FFFFFF"/>
            <w:vAlign w:val="center"/>
          </w:tcPr>
          <w:p w14:paraId="17DDCF47" w14:textId="77777777" w:rsidR="00B21AAB" w:rsidRPr="00B21AAB" w:rsidRDefault="00B21AAB" w:rsidP="00B21AAB">
            <w:pPr>
              <w:rPr>
                <w:rFonts w:ascii="Arial Narrow" w:hAnsi="Arial Narrow" w:cs="Calibri"/>
                <w:sz w:val="20"/>
                <w:szCs w:val="20"/>
                <w:lang w:val="bg-BG" w:eastAsia="bg-BG"/>
              </w:rPr>
            </w:pPr>
            <w:r w:rsidRPr="00B21AAB">
              <w:rPr>
                <w:rFonts w:ascii="Arial Narrow" w:hAnsi="Arial Narrow" w:cs="Calibri"/>
                <w:sz w:val="20"/>
                <w:szCs w:val="20"/>
                <w:lang w:val="bg-BG" w:eastAsia="bg-BG"/>
              </w:rPr>
              <w:t>Брой актове за установени административни нарушения</w:t>
            </w:r>
          </w:p>
        </w:tc>
        <w:tc>
          <w:tcPr>
            <w:tcW w:w="1535" w:type="dxa"/>
            <w:shd w:val="clear" w:color="000000" w:fill="FFFFFF"/>
            <w:vAlign w:val="center"/>
          </w:tcPr>
          <w:p w14:paraId="3365A10C" w14:textId="77777777" w:rsidR="00B21AAB" w:rsidRPr="00B21AAB" w:rsidRDefault="00B21AAB" w:rsidP="00B21AAB">
            <w:pPr>
              <w:jc w:val="right"/>
              <w:rPr>
                <w:rFonts w:ascii="Arial Narrow" w:eastAsia="Calibri" w:hAnsi="Arial Narrow" w:cs="Calibri"/>
                <w:sz w:val="20"/>
                <w:szCs w:val="20"/>
                <w:lang w:val="bg-BG"/>
              </w:rPr>
            </w:pPr>
            <w:r w:rsidRPr="00B21AAB">
              <w:rPr>
                <w:rFonts w:ascii="Arial Narrow" w:eastAsia="Calibri" w:hAnsi="Arial Narrow" w:cs="Calibri"/>
                <w:sz w:val="20"/>
                <w:szCs w:val="20"/>
                <w:lang w:val="bg-BG"/>
              </w:rPr>
              <w:t>25</w:t>
            </w:r>
          </w:p>
        </w:tc>
        <w:tc>
          <w:tcPr>
            <w:tcW w:w="1535" w:type="dxa"/>
            <w:shd w:val="clear" w:color="000000" w:fill="FFFFFF"/>
            <w:vAlign w:val="center"/>
          </w:tcPr>
          <w:p w14:paraId="5CE0236C" w14:textId="77777777" w:rsidR="00B21AAB" w:rsidRPr="00B21AAB" w:rsidRDefault="00B21AAB" w:rsidP="00B21AAB">
            <w:pPr>
              <w:jc w:val="right"/>
              <w:rPr>
                <w:rFonts w:ascii="Arial Narrow" w:eastAsia="Calibri" w:hAnsi="Arial Narrow" w:cs="Calibri"/>
                <w:sz w:val="20"/>
                <w:szCs w:val="20"/>
                <w:lang w:val="bg-BG"/>
              </w:rPr>
            </w:pPr>
            <w:r w:rsidRPr="00B21AAB">
              <w:rPr>
                <w:rFonts w:ascii="Arial Narrow" w:eastAsia="Calibri" w:hAnsi="Arial Narrow" w:cs="Calibri"/>
                <w:sz w:val="20"/>
                <w:szCs w:val="20"/>
                <w:lang w:val="bg-BG"/>
              </w:rPr>
              <w:t>19</w:t>
            </w:r>
          </w:p>
        </w:tc>
        <w:tc>
          <w:tcPr>
            <w:tcW w:w="1535" w:type="dxa"/>
            <w:shd w:val="clear" w:color="000000" w:fill="FFFFFF"/>
            <w:vAlign w:val="center"/>
          </w:tcPr>
          <w:p w14:paraId="1DBBCCD0" w14:textId="77777777" w:rsidR="00B21AAB" w:rsidRPr="00B21AAB" w:rsidRDefault="00B21AAB" w:rsidP="00B21AAB">
            <w:pPr>
              <w:jc w:val="right"/>
              <w:rPr>
                <w:rFonts w:ascii="Arial Narrow" w:eastAsia="Calibri" w:hAnsi="Arial Narrow" w:cs="Calibri"/>
                <w:sz w:val="20"/>
                <w:szCs w:val="20"/>
                <w:lang w:val="bg-BG"/>
              </w:rPr>
            </w:pPr>
            <w:r w:rsidRPr="00B21AAB">
              <w:rPr>
                <w:rFonts w:ascii="Arial Narrow" w:eastAsia="Calibri" w:hAnsi="Arial Narrow" w:cs="Calibri"/>
                <w:sz w:val="20"/>
                <w:szCs w:val="20"/>
                <w:lang w:val="bg-BG"/>
              </w:rPr>
              <w:t>47</w:t>
            </w:r>
          </w:p>
        </w:tc>
      </w:tr>
    </w:tbl>
    <w:p w14:paraId="32FBB435" w14:textId="77777777" w:rsidR="00B21AAB" w:rsidRPr="00EA0339" w:rsidRDefault="00B21AAB" w:rsidP="00B21AAB">
      <w:pPr>
        <w:spacing w:after="240"/>
        <w:jc w:val="both"/>
        <w:rPr>
          <w:rFonts w:ascii="Arial Narrow" w:hAnsi="Arial Narrow"/>
          <w:i/>
          <w:sz w:val="18"/>
          <w:szCs w:val="18"/>
          <w:lang w:val="bg-BG" w:eastAsia="bg-BG"/>
        </w:rPr>
      </w:pPr>
      <w:r w:rsidRPr="00EA0339">
        <w:rPr>
          <w:rFonts w:ascii="Arial Narrow" w:hAnsi="Arial Narrow"/>
          <w:i/>
          <w:sz w:val="18"/>
          <w:szCs w:val="18"/>
          <w:lang w:val="bg-BG" w:eastAsia="bg-BG"/>
        </w:rPr>
        <w:t xml:space="preserve">Източник: </w:t>
      </w:r>
      <w:r w:rsidRPr="00EA0339">
        <w:rPr>
          <w:rFonts w:ascii="Arial Narrow" w:hAnsi="Arial Narrow"/>
          <w:sz w:val="18"/>
          <w:szCs w:val="18"/>
          <w:lang w:val="bg-BG" w:eastAsia="bg-BG"/>
        </w:rPr>
        <w:t>БАБХ</w:t>
      </w:r>
    </w:p>
    <w:p w14:paraId="7D3D1670" w14:textId="77777777" w:rsidR="00B21AAB" w:rsidRPr="00B21AAB" w:rsidRDefault="00B21AAB" w:rsidP="00B21AAB">
      <w:pPr>
        <w:spacing w:after="120"/>
        <w:ind w:firstLine="709"/>
        <w:jc w:val="both"/>
        <w:rPr>
          <w:rFonts w:ascii="Arial Narrow" w:hAnsi="Arial Narrow"/>
          <w:lang w:val="bg-BG" w:eastAsia="bg-BG"/>
        </w:rPr>
      </w:pPr>
      <w:r w:rsidRPr="00B21AAB">
        <w:rPr>
          <w:rFonts w:ascii="Arial Narrow" w:hAnsi="Arial Narrow"/>
          <w:lang w:val="bg-BG" w:eastAsia="bg-BG"/>
        </w:rPr>
        <w:tab/>
        <w:t xml:space="preserve">През годината са издадени общо 244 удостоверения, в т. ч. 59 за търговия с ПРЗ в складове, 43 за търговия в селскостопанска аптека, 1 за преопаковане на ПРЗ и 141 удостоверения за промяна на обстоятелствата. </w:t>
      </w:r>
    </w:p>
    <w:p w14:paraId="2B92C7F1" w14:textId="77777777" w:rsidR="00B21AAB" w:rsidRPr="00B21AAB" w:rsidRDefault="00B21AAB" w:rsidP="00B21AAB">
      <w:pPr>
        <w:spacing w:after="120"/>
        <w:ind w:firstLine="709"/>
        <w:jc w:val="both"/>
        <w:rPr>
          <w:rFonts w:ascii="Arial Narrow" w:hAnsi="Arial Narrow"/>
          <w:lang w:val="bg-BG" w:eastAsia="bg-BG"/>
        </w:rPr>
      </w:pPr>
      <w:r w:rsidRPr="00B21AAB">
        <w:rPr>
          <w:rFonts w:ascii="Arial Narrow" w:hAnsi="Arial Narrow"/>
          <w:lang w:val="bg-BG" w:eastAsia="bg-BG"/>
        </w:rPr>
        <w:t xml:space="preserve">През 2024 г. са взети 80 контролни проби за съответствие. В анализираните проби не са установени несъответствия. </w:t>
      </w:r>
    </w:p>
    <w:p w14:paraId="390D28C4" w14:textId="77777777" w:rsidR="00B21AAB" w:rsidRPr="00B21AAB" w:rsidRDefault="00B21AAB" w:rsidP="00B21AAB">
      <w:pPr>
        <w:spacing w:after="120"/>
        <w:ind w:firstLine="709"/>
        <w:jc w:val="both"/>
        <w:rPr>
          <w:rFonts w:ascii="Arial Narrow" w:hAnsi="Arial Narrow"/>
          <w:lang w:val="bg-BG" w:eastAsia="bg-BG"/>
        </w:rPr>
      </w:pPr>
      <w:r w:rsidRPr="00B21AAB">
        <w:rPr>
          <w:rFonts w:ascii="Arial Narrow" w:hAnsi="Arial Narrow"/>
          <w:lang w:val="bg-BG" w:eastAsia="bg-BG"/>
        </w:rPr>
        <w:t>По постъпили заявления са изготвени и издадени 55 удостоверения за удължаване срок на годност на ПРЗ.</w:t>
      </w:r>
    </w:p>
    <w:p w14:paraId="48E1B43B" w14:textId="77777777" w:rsidR="00B21AAB" w:rsidRPr="00B21AAB" w:rsidRDefault="00B21AAB" w:rsidP="00B21AAB">
      <w:pPr>
        <w:spacing w:after="120"/>
        <w:ind w:firstLine="709"/>
        <w:jc w:val="both"/>
        <w:rPr>
          <w:rFonts w:ascii="Arial Narrow" w:hAnsi="Arial Narrow"/>
          <w:lang w:val="bg-BG" w:eastAsia="bg-BG"/>
        </w:rPr>
      </w:pPr>
      <w:r w:rsidRPr="00B21AAB">
        <w:rPr>
          <w:rFonts w:ascii="Arial Narrow" w:hAnsi="Arial Narrow"/>
          <w:lang w:val="bg-BG" w:eastAsia="bg-BG"/>
        </w:rPr>
        <w:t>Иззети са общо 525,533 кг и 5 481,798 л ПРЗ от обектите за търговия, производство и преопаковане и оставени на отговорно пазене.</w:t>
      </w:r>
    </w:p>
    <w:p w14:paraId="15CC0AC9" w14:textId="77777777" w:rsidR="00B21AAB" w:rsidRPr="00B21AAB" w:rsidRDefault="008F526C" w:rsidP="00B21AAB">
      <w:pPr>
        <w:pStyle w:val="ListParagraph"/>
        <w:widowControl w:val="0"/>
        <w:numPr>
          <w:ilvl w:val="2"/>
          <w:numId w:val="3"/>
        </w:numPr>
        <w:tabs>
          <w:tab w:val="left" w:pos="1080"/>
        </w:tabs>
        <w:spacing w:after="120"/>
        <w:ind w:left="1080" w:hanging="720"/>
        <w:contextualSpacing w:val="0"/>
        <w:jc w:val="both"/>
        <w:outlineLvl w:val="0"/>
        <w:rPr>
          <w:rFonts w:ascii="Arial Narrow" w:hAnsi="Arial Narrow"/>
          <w:b/>
          <w:iCs/>
          <w:lang w:val="bg-BG"/>
        </w:rPr>
      </w:pPr>
      <w:bookmarkStart w:id="152" w:name="_Toc210747618"/>
      <w:r w:rsidRPr="00B21AAB">
        <w:rPr>
          <w:rFonts w:ascii="Arial Narrow" w:hAnsi="Arial Narrow"/>
          <w:b/>
          <w:iCs/>
          <w:lang w:val="bg-BG"/>
        </w:rPr>
        <w:t>Резултати от контролната дейност върху употребата на ПРЗ</w:t>
      </w:r>
      <w:bookmarkEnd w:id="152"/>
    </w:p>
    <w:p w14:paraId="4FC68235" w14:textId="77777777" w:rsidR="00B21AAB" w:rsidRPr="00B21AAB" w:rsidRDefault="00B21AAB" w:rsidP="00B21AAB">
      <w:pPr>
        <w:spacing w:after="120"/>
        <w:ind w:firstLine="709"/>
        <w:jc w:val="both"/>
        <w:rPr>
          <w:rFonts w:ascii="Arial Narrow" w:hAnsi="Arial Narrow"/>
          <w:lang w:val="bg-BG" w:eastAsia="bg-BG"/>
        </w:rPr>
      </w:pPr>
      <w:r w:rsidRPr="00B21AAB">
        <w:rPr>
          <w:rFonts w:ascii="Arial Narrow" w:hAnsi="Arial Narrow"/>
          <w:lang w:val="bg-BG" w:eastAsia="bg-BG"/>
        </w:rPr>
        <w:t xml:space="preserve">Общият брой на извършените проверки на употребата на ПРЗ в рамките на 2024 г. е 5 950, в т.ч. 3 768 документални проверки в ОДБХ, 2 045 документални проверки при посещение в стопанство, 23 при въздушно пръскане, 19 при извършване на фумигация, 52 при третиране на семена за посев и 43 при третиране с наземна техника. </w:t>
      </w:r>
    </w:p>
    <w:p w14:paraId="0D7E0625" w14:textId="77777777" w:rsidR="00B21AAB" w:rsidRPr="00B21AAB" w:rsidRDefault="00B21AAB" w:rsidP="00B21AAB">
      <w:pPr>
        <w:spacing w:after="120"/>
        <w:ind w:firstLine="709"/>
        <w:jc w:val="both"/>
        <w:rPr>
          <w:rFonts w:ascii="Arial Narrow" w:hAnsi="Arial Narrow"/>
          <w:lang w:val="bg-BG" w:eastAsia="bg-BG"/>
        </w:rPr>
      </w:pPr>
      <w:r w:rsidRPr="00B21AAB">
        <w:rPr>
          <w:rFonts w:ascii="Arial Narrow" w:hAnsi="Arial Narrow"/>
          <w:lang w:val="bg-BG" w:eastAsia="bg-BG"/>
        </w:rPr>
        <w:t>През годината са съставени 759 предписания и 67 акта за установено административно нарушение.</w:t>
      </w:r>
    </w:p>
    <w:p w14:paraId="36BE7995" w14:textId="77777777" w:rsidR="00B21AAB" w:rsidRPr="00B21AAB" w:rsidRDefault="00B21AAB" w:rsidP="00B21AAB">
      <w:pPr>
        <w:spacing w:after="120"/>
        <w:ind w:firstLine="709"/>
        <w:jc w:val="both"/>
        <w:rPr>
          <w:rFonts w:ascii="Arial Narrow" w:hAnsi="Arial Narrow"/>
          <w:lang w:val="bg-BG" w:eastAsia="bg-BG"/>
        </w:rPr>
      </w:pPr>
      <w:r w:rsidRPr="00B21AAB">
        <w:rPr>
          <w:rFonts w:ascii="Arial Narrow" w:hAnsi="Arial Narrow"/>
          <w:lang w:val="bg-BG" w:eastAsia="bg-BG"/>
        </w:rPr>
        <w:t>На територията на страната са извършени 100 проверки по сигнали или жалби относно употреба на ПРЗ и са съставени 16 акта за установено административно нарушение.</w:t>
      </w:r>
    </w:p>
    <w:p w14:paraId="444B0F30" w14:textId="77777777" w:rsidR="00B21AAB" w:rsidRPr="00B21AAB" w:rsidRDefault="00B21AAB" w:rsidP="00B21AAB">
      <w:pPr>
        <w:spacing w:after="120"/>
        <w:rPr>
          <w:rFonts w:ascii="Arial Narrow" w:hAnsi="Arial Narrow"/>
          <w:b/>
          <w:lang w:val="bg-BG" w:eastAsia="bg-BG"/>
        </w:rPr>
      </w:pPr>
      <w:r w:rsidRPr="00B21AAB">
        <w:rPr>
          <w:rFonts w:ascii="Arial Narrow" w:hAnsi="Arial Narrow"/>
          <w:b/>
          <w:lang w:val="bg-BG" w:eastAsia="bg-BG"/>
        </w:rPr>
        <w:t>Таблица V.6. Контрол върху употребата на ПРЗ през периода 2022 - 2024 г.</w:t>
      </w:r>
    </w:p>
    <w:tbl>
      <w:tblPr>
        <w:tblW w:w="4963"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5650"/>
        <w:gridCol w:w="1420"/>
        <w:gridCol w:w="1420"/>
        <w:gridCol w:w="1237"/>
      </w:tblGrid>
      <w:tr w:rsidR="00B21AAB" w:rsidRPr="00B21AAB" w14:paraId="57B4754C" w14:textId="77777777" w:rsidTr="002E5F3D">
        <w:trPr>
          <w:trHeight w:val="381"/>
          <w:tblHeader/>
        </w:trPr>
        <w:tc>
          <w:tcPr>
            <w:tcW w:w="2904" w:type="pct"/>
            <w:shd w:val="clear" w:color="000000" w:fill="FFFFFF"/>
            <w:vAlign w:val="center"/>
          </w:tcPr>
          <w:p w14:paraId="0E9277E9" w14:textId="77777777" w:rsidR="00B21AAB" w:rsidRPr="00B21AAB" w:rsidRDefault="00B21AAB" w:rsidP="00B21AAB">
            <w:pPr>
              <w:jc w:val="center"/>
              <w:rPr>
                <w:rFonts w:ascii="Arial Narrow" w:hAnsi="Arial Narrow" w:cs="Calibri"/>
                <w:b/>
                <w:bCs/>
                <w:sz w:val="20"/>
                <w:szCs w:val="20"/>
                <w:lang w:val="bg-BG" w:eastAsia="bg-BG"/>
              </w:rPr>
            </w:pPr>
            <w:r w:rsidRPr="00B21AAB">
              <w:rPr>
                <w:rFonts w:ascii="Arial Narrow" w:hAnsi="Arial Narrow" w:cs="Calibri"/>
                <w:b/>
                <w:bCs/>
                <w:sz w:val="20"/>
                <w:szCs w:val="20"/>
                <w:lang w:val="bg-BG" w:eastAsia="bg-BG"/>
              </w:rPr>
              <w:t>Дейности</w:t>
            </w:r>
          </w:p>
        </w:tc>
        <w:tc>
          <w:tcPr>
            <w:tcW w:w="730" w:type="pct"/>
            <w:shd w:val="clear" w:color="000000" w:fill="FFFFFF"/>
            <w:vAlign w:val="center"/>
          </w:tcPr>
          <w:p w14:paraId="240EE676" w14:textId="77777777" w:rsidR="00B21AAB" w:rsidRPr="00B21AAB" w:rsidRDefault="00B21AAB" w:rsidP="00B21AAB">
            <w:pPr>
              <w:jc w:val="center"/>
              <w:rPr>
                <w:rFonts w:ascii="Arial Narrow" w:hAnsi="Arial Narrow" w:cs="Calibri"/>
                <w:b/>
                <w:bCs/>
                <w:sz w:val="20"/>
                <w:szCs w:val="20"/>
                <w:lang w:val="bg-BG" w:eastAsia="bg-BG"/>
              </w:rPr>
            </w:pPr>
            <w:r w:rsidRPr="00B21AAB">
              <w:rPr>
                <w:rFonts w:ascii="Arial Narrow" w:hAnsi="Arial Narrow" w:cs="Calibri"/>
                <w:b/>
                <w:bCs/>
                <w:sz w:val="20"/>
                <w:szCs w:val="20"/>
                <w:lang w:val="bg-BG" w:eastAsia="bg-BG"/>
              </w:rPr>
              <w:t>2022</w:t>
            </w:r>
          </w:p>
        </w:tc>
        <w:tc>
          <w:tcPr>
            <w:tcW w:w="730" w:type="pct"/>
            <w:shd w:val="clear" w:color="000000" w:fill="FFFFFF"/>
            <w:vAlign w:val="center"/>
          </w:tcPr>
          <w:p w14:paraId="6AABF4E9" w14:textId="77777777" w:rsidR="00B21AAB" w:rsidRPr="00B21AAB" w:rsidRDefault="00B21AAB" w:rsidP="00B21AAB">
            <w:pPr>
              <w:jc w:val="center"/>
              <w:rPr>
                <w:rFonts w:ascii="Arial Narrow" w:hAnsi="Arial Narrow" w:cs="Calibri"/>
                <w:b/>
                <w:bCs/>
                <w:sz w:val="20"/>
                <w:szCs w:val="20"/>
                <w:lang w:val="bg-BG" w:eastAsia="bg-BG"/>
              </w:rPr>
            </w:pPr>
            <w:r w:rsidRPr="00B21AAB">
              <w:rPr>
                <w:rFonts w:ascii="Arial Narrow" w:hAnsi="Arial Narrow" w:cs="Calibri"/>
                <w:b/>
                <w:bCs/>
                <w:sz w:val="20"/>
                <w:szCs w:val="20"/>
                <w:lang w:val="bg-BG" w:eastAsia="bg-BG"/>
              </w:rPr>
              <w:t>2023</w:t>
            </w:r>
          </w:p>
        </w:tc>
        <w:tc>
          <w:tcPr>
            <w:tcW w:w="636" w:type="pct"/>
            <w:shd w:val="clear" w:color="000000" w:fill="FFFFFF"/>
            <w:vAlign w:val="center"/>
          </w:tcPr>
          <w:p w14:paraId="61DF89C0" w14:textId="77777777" w:rsidR="00B21AAB" w:rsidRPr="00B21AAB" w:rsidRDefault="00B21AAB" w:rsidP="00B21AAB">
            <w:pPr>
              <w:jc w:val="center"/>
              <w:rPr>
                <w:rFonts w:ascii="Arial Narrow" w:hAnsi="Arial Narrow" w:cs="Calibri"/>
                <w:b/>
                <w:bCs/>
                <w:sz w:val="20"/>
                <w:szCs w:val="20"/>
                <w:lang w:val="bg-BG" w:eastAsia="bg-BG"/>
              </w:rPr>
            </w:pPr>
            <w:r w:rsidRPr="00B21AAB">
              <w:rPr>
                <w:rFonts w:ascii="Arial Narrow" w:hAnsi="Arial Narrow" w:cs="Calibri"/>
                <w:b/>
                <w:bCs/>
                <w:sz w:val="20"/>
                <w:szCs w:val="20"/>
                <w:lang w:val="bg-BG" w:eastAsia="bg-BG"/>
              </w:rPr>
              <w:t>2024</w:t>
            </w:r>
          </w:p>
        </w:tc>
      </w:tr>
      <w:tr w:rsidR="00B21AAB" w:rsidRPr="00B21AAB" w14:paraId="4FF520CE" w14:textId="77777777" w:rsidTr="002E5F3D">
        <w:trPr>
          <w:trHeight w:val="263"/>
        </w:trPr>
        <w:tc>
          <w:tcPr>
            <w:tcW w:w="2904" w:type="pct"/>
            <w:shd w:val="clear" w:color="000000" w:fill="FFFFFF"/>
            <w:vAlign w:val="center"/>
          </w:tcPr>
          <w:p w14:paraId="4104C9B0" w14:textId="77777777" w:rsidR="00B21AAB" w:rsidRPr="00B21AAB" w:rsidRDefault="00B21AAB" w:rsidP="00B21AAB">
            <w:pPr>
              <w:rPr>
                <w:rFonts w:ascii="Arial Narrow" w:hAnsi="Arial Narrow" w:cs="Calibri"/>
                <w:sz w:val="20"/>
                <w:szCs w:val="20"/>
                <w:lang w:val="bg-BG" w:eastAsia="bg-BG"/>
              </w:rPr>
            </w:pPr>
            <w:r w:rsidRPr="00B21AAB">
              <w:rPr>
                <w:rFonts w:ascii="Arial Narrow" w:hAnsi="Arial Narrow" w:cs="Calibri"/>
                <w:sz w:val="20"/>
                <w:szCs w:val="20"/>
                <w:lang w:val="bg-BG" w:eastAsia="bg-BG"/>
              </w:rPr>
              <w:t>Брой извършени проверки върху употребата на ПРЗ</w:t>
            </w:r>
          </w:p>
        </w:tc>
        <w:tc>
          <w:tcPr>
            <w:tcW w:w="730" w:type="pct"/>
            <w:shd w:val="clear" w:color="000000" w:fill="FFFFFF"/>
            <w:vAlign w:val="center"/>
          </w:tcPr>
          <w:p w14:paraId="6FBA400C" w14:textId="77777777" w:rsidR="00B21AAB" w:rsidRPr="00B21AAB" w:rsidRDefault="00B21AAB" w:rsidP="00B21AAB">
            <w:pPr>
              <w:jc w:val="right"/>
              <w:rPr>
                <w:rFonts w:ascii="Arial Narrow" w:eastAsia="Calibri" w:hAnsi="Arial Narrow" w:cs="Calibri"/>
                <w:sz w:val="20"/>
                <w:szCs w:val="20"/>
                <w:lang w:val="bg-BG"/>
              </w:rPr>
            </w:pPr>
            <w:r w:rsidRPr="00B21AAB">
              <w:rPr>
                <w:rFonts w:ascii="Arial Narrow" w:eastAsia="Calibri" w:hAnsi="Arial Narrow" w:cs="Calibri"/>
                <w:sz w:val="20"/>
                <w:szCs w:val="20"/>
                <w:lang w:val="bg-BG"/>
              </w:rPr>
              <w:t>5 624</w:t>
            </w:r>
          </w:p>
        </w:tc>
        <w:tc>
          <w:tcPr>
            <w:tcW w:w="730" w:type="pct"/>
            <w:shd w:val="clear" w:color="000000" w:fill="FFFFFF"/>
            <w:vAlign w:val="center"/>
          </w:tcPr>
          <w:p w14:paraId="573807C4" w14:textId="77777777" w:rsidR="00B21AAB" w:rsidRPr="00B21AAB" w:rsidRDefault="00B21AAB" w:rsidP="00B21AAB">
            <w:pPr>
              <w:jc w:val="right"/>
              <w:rPr>
                <w:rFonts w:ascii="Arial Narrow" w:eastAsia="Calibri" w:hAnsi="Arial Narrow" w:cs="Calibri"/>
                <w:sz w:val="20"/>
                <w:szCs w:val="20"/>
                <w:lang w:val="bg-BG"/>
              </w:rPr>
            </w:pPr>
            <w:r w:rsidRPr="00B21AAB">
              <w:rPr>
                <w:rFonts w:ascii="Arial Narrow" w:eastAsia="Calibri" w:hAnsi="Arial Narrow" w:cs="Calibri"/>
                <w:sz w:val="20"/>
                <w:szCs w:val="20"/>
                <w:lang w:val="bg-BG"/>
              </w:rPr>
              <w:t>5 966</w:t>
            </w:r>
          </w:p>
        </w:tc>
        <w:tc>
          <w:tcPr>
            <w:tcW w:w="636" w:type="pct"/>
            <w:shd w:val="clear" w:color="000000" w:fill="FFFFFF"/>
            <w:vAlign w:val="center"/>
          </w:tcPr>
          <w:p w14:paraId="1B8ECA57" w14:textId="77777777" w:rsidR="00B21AAB" w:rsidRPr="00B21AAB" w:rsidRDefault="00B21AAB" w:rsidP="00B21AAB">
            <w:pPr>
              <w:jc w:val="right"/>
              <w:rPr>
                <w:rFonts w:ascii="Arial Narrow" w:eastAsia="Calibri" w:hAnsi="Arial Narrow" w:cs="Calibri"/>
                <w:sz w:val="20"/>
                <w:szCs w:val="20"/>
                <w:lang w:val="bg-BG"/>
              </w:rPr>
            </w:pPr>
            <w:r w:rsidRPr="00B21AAB">
              <w:rPr>
                <w:rFonts w:ascii="Arial Narrow" w:eastAsia="Calibri" w:hAnsi="Arial Narrow" w:cs="Calibri"/>
                <w:sz w:val="20"/>
                <w:szCs w:val="20"/>
                <w:lang w:val="bg-BG"/>
              </w:rPr>
              <w:t>5 950</w:t>
            </w:r>
          </w:p>
        </w:tc>
      </w:tr>
      <w:tr w:rsidR="00B21AAB" w:rsidRPr="00B21AAB" w14:paraId="5C932A4B" w14:textId="77777777" w:rsidTr="002E5F3D">
        <w:trPr>
          <w:trHeight w:val="263"/>
        </w:trPr>
        <w:tc>
          <w:tcPr>
            <w:tcW w:w="2904" w:type="pct"/>
            <w:shd w:val="clear" w:color="000000" w:fill="FFFFFF"/>
            <w:vAlign w:val="center"/>
          </w:tcPr>
          <w:p w14:paraId="09F85754" w14:textId="77777777" w:rsidR="00B21AAB" w:rsidRPr="00B21AAB" w:rsidRDefault="00B21AAB" w:rsidP="00B21AAB">
            <w:pPr>
              <w:rPr>
                <w:rFonts w:ascii="Arial Narrow" w:hAnsi="Arial Narrow" w:cs="Calibri"/>
                <w:sz w:val="20"/>
                <w:szCs w:val="20"/>
                <w:lang w:val="bg-BG" w:eastAsia="bg-BG"/>
              </w:rPr>
            </w:pPr>
            <w:r w:rsidRPr="00B21AAB">
              <w:rPr>
                <w:rFonts w:ascii="Arial Narrow" w:hAnsi="Arial Narrow" w:cs="Calibri"/>
                <w:sz w:val="20"/>
                <w:szCs w:val="20"/>
                <w:lang w:val="bg-BG" w:eastAsia="bg-BG"/>
              </w:rPr>
              <w:t>Брой планови проверки с несъответствия</w:t>
            </w:r>
          </w:p>
        </w:tc>
        <w:tc>
          <w:tcPr>
            <w:tcW w:w="730" w:type="pct"/>
            <w:shd w:val="clear" w:color="000000" w:fill="FFFFFF"/>
            <w:vAlign w:val="center"/>
          </w:tcPr>
          <w:p w14:paraId="173AF8DA" w14:textId="77777777" w:rsidR="00B21AAB" w:rsidRPr="00B21AAB" w:rsidRDefault="00B21AAB" w:rsidP="00B21AAB">
            <w:pPr>
              <w:jc w:val="right"/>
              <w:rPr>
                <w:rFonts w:ascii="Arial Narrow" w:eastAsia="Calibri" w:hAnsi="Arial Narrow" w:cs="Calibri"/>
                <w:sz w:val="20"/>
                <w:szCs w:val="20"/>
                <w:lang w:val="bg-BG"/>
              </w:rPr>
            </w:pPr>
            <w:r w:rsidRPr="00B21AAB">
              <w:rPr>
                <w:rFonts w:ascii="Arial Narrow" w:eastAsia="Calibri" w:hAnsi="Arial Narrow" w:cs="Calibri"/>
                <w:sz w:val="20"/>
                <w:szCs w:val="20"/>
                <w:lang w:val="bg-BG"/>
              </w:rPr>
              <w:t>770</w:t>
            </w:r>
          </w:p>
        </w:tc>
        <w:tc>
          <w:tcPr>
            <w:tcW w:w="730" w:type="pct"/>
            <w:shd w:val="clear" w:color="000000" w:fill="FFFFFF"/>
            <w:vAlign w:val="center"/>
          </w:tcPr>
          <w:p w14:paraId="4C6973AC" w14:textId="77777777" w:rsidR="00B21AAB" w:rsidRPr="00B21AAB" w:rsidRDefault="00B21AAB" w:rsidP="00B21AAB">
            <w:pPr>
              <w:jc w:val="right"/>
              <w:rPr>
                <w:rFonts w:ascii="Arial Narrow" w:eastAsia="Calibri" w:hAnsi="Arial Narrow" w:cs="Calibri"/>
                <w:sz w:val="20"/>
                <w:szCs w:val="20"/>
                <w:lang w:val="bg-BG"/>
              </w:rPr>
            </w:pPr>
            <w:r w:rsidRPr="00B21AAB">
              <w:rPr>
                <w:rFonts w:ascii="Arial Narrow" w:eastAsia="Calibri" w:hAnsi="Arial Narrow" w:cs="Calibri"/>
                <w:sz w:val="20"/>
                <w:szCs w:val="20"/>
                <w:lang w:val="bg-BG"/>
              </w:rPr>
              <w:t>687</w:t>
            </w:r>
          </w:p>
        </w:tc>
        <w:tc>
          <w:tcPr>
            <w:tcW w:w="636" w:type="pct"/>
            <w:shd w:val="clear" w:color="000000" w:fill="FFFFFF"/>
            <w:vAlign w:val="center"/>
          </w:tcPr>
          <w:p w14:paraId="04877B55" w14:textId="77777777" w:rsidR="00B21AAB" w:rsidRPr="00B21AAB" w:rsidRDefault="00B21AAB" w:rsidP="00B21AAB">
            <w:pPr>
              <w:jc w:val="right"/>
              <w:rPr>
                <w:rFonts w:ascii="Arial Narrow" w:eastAsia="Calibri" w:hAnsi="Arial Narrow" w:cs="Calibri"/>
                <w:sz w:val="20"/>
                <w:szCs w:val="20"/>
                <w:lang w:val="bg-BG"/>
              </w:rPr>
            </w:pPr>
            <w:r w:rsidRPr="00B21AAB">
              <w:rPr>
                <w:rFonts w:ascii="Arial Narrow" w:eastAsia="Calibri" w:hAnsi="Arial Narrow" w:cs="Calibri"/>
                <w:sz w:val="20"/>
                <w:szCs w:val="20"/>
                <w:lang w:val="bg-BG"/>
              </w:rPr>
              <w:t>468</w:t>
            </w:r>
          </w:p>
        </w:tc>
      </w:tr>
      <w:tr w:rsidR="00B21AAB" w:rsidRPr="00B21AAB" w14:paraId="51C2F897" w14:textId="77777777" w:rsidTr="002E5F3D">
        <w:trPr>
          <w:trHeight w:val="263"/>
        </w:trPr>
        <w:tc>
          <w:tcPr>
            <w:tcW w:w="2904" w:type="pct"/>
            <w:shd w:val="clear" w:color="000000" w:fill="FFFFFF"/>
            <w:vAlign w:val="center"/>
          </w:tcPr>
          <w:p w14:paraId="14CA64DA" w14:textId="77777777" w:rsidR="00B21AAB" w:rsidRPr="00B21AAB" w:rsidRDefault="00B21AAB" w:rsidP="00B21AAB">
            <w:pPr>
              <w:rPr>
                <w:rFonts w:ascii="Arial Narrow" w:hAnsi="Arial Narrow" w:cs="Calibri"/>
                <w:sz w:val="20"/>
                <w:szCs w:val="20"/>
                <w:lang w:val="bg-BG" w:eastAsia="bg-BG"/>
              </w:rPr>
            </w:pPr>
            <w:r w:rsidRPr="00B21AAB">
              <w:rPr>
                <w:rFonts w:ascii="Arial Narrow" w:hAnsi="Arial Narrow" w:cs="Calibri"/>
                <w:sz w:val="20"/>
                <w:szCs w:val="20"/>
                <w:lang w:val="bg-BG" w:eastAsia="bg-BG"/>
              </w:rPr>
              <w:t>Брой предписания</w:t>
            </w:r>
          </w:p>
        </w:tc>
        <w:tc>
          <w:tcPr>
            <w:tcW w:w="730" w:type="pct"/>
            <w:shd w:val="clear" w:color="000000" w:fill="FFFFFF"/>
            <w:vAlign w:val="center"/>
          </w:tcPr>
          <w:p w14:paraId="338BBE5C" w14:textId="77777777" w:rsidR="00B21AAB" w:rsidRPr="00B21AAB" w:rsidRDefault="00B21AAB" w:rsidP="00B21AAB">
            <w:pPr>
              <w:jc w:val="right"/>
              <w:rPr>
                <w:rFonts w:ascii="Arial Narrow" w:eastAsia="Calibri" w:hAnsi="Arial Narrow" w:cs="Calibri"/>
                <w:sz w:val="20"/>
                <w:szCs w:val="20"/>
                <w:lang w:val="bg-BG"/>
              </w:rPr>
            </w:pPr>
            <w:r w:rsidRPr="00B21AAB">
              <w:rPr>
                <w:rFonts w:ascii="Arial Narrow" w:eastAsia="Calibri" w:hAnsi="Arial Narrow" w:cs="Calibri"/>
                <w:sz w:val="20"/>
                <w:szCs w:val="20"/>
                <w:lang w:val="bg-BG"/>
              </w:rPr>
              <w:t>1 299</w:t>
            </w:r>
          </w:p>
        </w:tc>
        <w:tc>
          <w:tcPr>
            <w:tcW w:w="730" w:type="pct"/>
            <w:shd w:val="clear" w:color="000000" w:fill="FFFFFF"/>
            <w:vAlign w:val="center"/>
          </w:tcPr>
          <w:p w14:paraId="1312ADFC" w14:textId="77777777" w:rsidR="00B21AAB" w:rsidRPr="00B21AAB" w:rsidRDefault="00B21AAB" w:rsidP="00B21AAB">
            <w:pPr>
              <w:jc w:val="right"/>
              <w:rPr>
                <w:rFonts w:ascii="Arial Narrow" w:eastAsia="Calibri" w:hAnsi="Arial Narrow" w:cs="Calibri"/>
                <w:sz w:val="20"/>
                <w:szCs w:val="20"/>
                <w:lang w:val="bg-BG"/>
              </w:rPr>
            </w:pPr>
            <w:r w:rsidRPr="00B21AAB">
              <w:rPr>
                <w:rFonts w:ascii="Arial Narrow" w:eastAsia="Calibri" w:hAnsi="Arial Narrow" w:cs="Calibri"/>
                <w:sz w:val="20"/>
                <w:szCs w:val="20"/>
                <w:lang w:val="bg-BG"/>
              </w:rPr>
              <w:t>1 102</w:t>
            </w:r>
          </w:p>
        </w:tc>
        <w:tc>
          <w:tcPr>
            <w:tcW w:w="636" w:type="pct"/>
            <w:shd w:val="clear" w:color="000000" w:fill="FFFFFF"/>
            <w:vAlign w:val="center"/>
          </w:tcPr>
          <w:p w14:paraId="4EA958DD" w14:textId="77777777" w:rsidR="00B21AAB" w:rsidRPr="00B21AAB" w:rsidRDefault="00B21AAB" w:rsidP="00B21AAB">
            <w:pPr>
              <w:jc w:val="right"/>
              <w:rPr>
                <w:rFonts w:ascii="Arial Narrow" w:eastAsia="Calibri" w:hAnsi="Arial Narrow" w:cs="Calibri"/>
                <w:sz w:val="20"/>
                <w:szCs w:val="20"/>
                <w:lang w:val="bg-BG"/>
              </w:rPr>
            </w:pPr>
            <w:r w:rsidRPr="00B21AAB">
              <w:rPr>
                <w:rFonts w:ascii="Arial Narrow" w:eastAsia="Calibri" w:hAnsi="Arial Narrow" w:cs="Calibri"/>
                <w:sz w:val="20"/>
                <w:szCs w:val="20"/>
                <w:lang w:val="bg-BG"/>
              </w:rPr>
              <w:t>759</w:t>
            </w:r>
          </w:p>
        </w:tc>
      </w:tr>
      <w:tr w:rsidR="00B21AAB" w:rsidRPr="00B21AAB" w14:paraId="020F4B10" w14:textId="77777777" w:rsidTr="002E5F3D">
        <w:trPr>
          <w:trHeight w:val="263"/>
        </w:trPr>
        <w:tc>
          <w:tcPr>
            <w:tcW w:w="2904" w:type="pct"/>
            <w:shd w:val="clear" w:color="000000" w:fill="FFFFFF"/>
            <w:vAlign w:val="center"/>
          </w:tcPr>
          <w:p w14:paraId="3FC79EAF" w14:textId="77777777" w:rsidR="00B21AAB" w:rsidRPr="00B21AAB" w:rsidRDefault="00B21AAB" w:rsidP="00B21AAB">
            <w:pPr>
              <w:rPr>
                <w:rFonts w:ascii="Arial Narrow" w:hAnsi="Arial Narrow" w:cs="Calibri"/>
                <w:sz w:val="20"/>
                <w:szCs w:val="20"/>
                <w:lang w:val="bg-BG" w:eastAsia="bg-BG"/>
              </w:rPr>
            </w:pPr>
            <w:r w:rsidRPr="00B21AAB">
              <w:rPr>
                <w:rFonts w:ascii="Arial Narrow" w:hAnsi="Arial Narrow" w:cs="Calibri"/>
                <w:sz w:val="20"/>
                <w:szCs w:val="20"/>
                <w:lang w:val="bg-BG" w:eastAsia="bg-BG"/>
              </w:rPr>
              <w:t>Aктове за установени административни нарушения</w:t>
            </w:r>
          </w:p>
        </w:tc>
        <w:tc>
          <w:tcPr>
            <w:tcW w:w="730" w:type="pct"/>
            <w:shd w:val="clear" w:color="000000" w:fill="FFFFFF"/>
            <w:vAlign w:val="center"/>
          </w:tcPr>
          <w:p w14:paraId="681F73A4" w14:textId="77777777" w:rsidR="00B21AAB" w:rsidRPr="00B21AAB" w:rsidRDefault="00B21AAB" w:rsidP="00B21AAB">
            <w:pPr>
              <w:jc w:val="right"/>
              <w:rPr>
                <w:rFonts w:ascii="Arial Narrow" w:eastAsia="Calibri" w:hAnsi="Arial Narrow" w:cs="Calibri"/>
                <w:sz w:val="20"/>
                <w:szCs w:val="20"/>
                <w:lang w:val="bg-BG"/>
              </w:rPr>
            </w:pPr>
            <w:r w:rsidRPr="00B21AAB">
              <w:rPr>
                <w:rFonts w:ascii="Arial Narrow" w:eastAsia="Calibri" w:hAnsi="Arial Narrow" w:cs="Calibri"/>
                <w:sz w:val="20"/>
                <w:szCs w:val="20"/>
                <w:lang w:val="bg-BG"/>
              </w:rPr>
              <w:t>21</w:t>
            </w:r>
          </w:p>
        </w:tc>
        <w:tc>
          <w:tcPr>
            <w:tcW w:w="730" w:type="pct"/>
            <w:shd w:val="clear" w:color="000000" w:fill="FFFFFF"/>
            <w:vAlign w:val="center"/>
          </w:tcPr>
          <w:p w14:paraId="19A45324" w14:textId="77777777" w:rsidR="00B21AAB" w:rsidRPr="00B21AAB" w:rsidRDefault="00B21AAB" w:rsidP="00B21AAB">
            <w:pPr>
              <w:jc w:val="right"/>
              <w:rPr>
                <w:rFonts w:ascii="Arial Narrow" w:eastAsia="Calibri" w:hAnsi="Arial Narrow" w:cs="Calibri"/>
                <w:sz w:val="20"/>
                <w:szCs w:val="20"/>
                <w:lang w:val="bg-BG"/>
              </w:rPr>
            </w:pPr>
            <w:r w:rsidRPr="00B21AAB">
              <w:rPr>
                <w:rFonts w:ascii="Arial Narrow" w:eastAsia="Calibri" w:hAnsi="Arial Narrow" w:cs="Calibri"/>
                <w:sz w:val="20"/>
                <w:szCs w:val="20"/>
                <w:lang w:val="bg-BG"/>
              </w:rPr>
              <w:t>38</w:t>
            </w:r>
          </w:p>
        </w:tc>
        <w:tc>
          <w:tcPr>
            <w:tcW w:w="636" w:type="pct"/>
            <w:shd w:val="clear" w:color="000000" w:fill="FFFFFF"/>
            <w:vAlign w:val="center"/>
          </w:tcPr>
          <w:p w14:paraId="50164985" w14:textId="77777777" w:rsidR="00B21AAB" w:rsidRPr="00B21AAB" w:rsidRDefault="00B21AAB" w:rsidP="00B21AAB">
            <w:pPr>
              <w:jc w:val="right"/>
              <w:rPr>
                <w:rFonts w:ascii="Arial Narrow" w:eastAsia="Calibri" w:hAnsi="Arial Narrow" w:cs="Calibri"/>
                <w:sz w:val="20"/>
                <w:szCs w:val="20"/>
                <w:lang w:val="bg-BG"/>
              </w:rPr>
            </w:pPr>
            <w:r w:rsidRPr="00B21AAB">
              <w:rPr>
                <w:rFonts w:ascii="Arial Narrow" w:eastAsia="Calibri" w:hAnsi="Arial Narrow" w:cs="Calibri"/>
                <w:sz w:val="20"/>
                <w:szCs w:val="20"/>
                <w:lang w:val="bg-BG"/>
              </w:rPr>
              <w:t>67</w:t>
            </w:r>
          </w:p>
        </w:tc>
      </w:tr>
      <w:tr w:rsidR="00B21AAB" w:rsidRPr="00B21AAB" w14:paraId="6EA16E3D" w14:textId="77777777" w:rsidTr="002E5F3D">
        <w:trPr>
          <w:trHeight w:val="263"/>
        </w:trPr>
        <w:tc>
          <w:tcPr>
            <w:tcW w:w="2904" w:type="pct"/>
            <w:shd w:val="clear" w:color="000000" w:fill="FFFFFF"/>
            <w:vAlign w:val="center"/>
          </w:tcPr>
          <w:p w14:paraId="1FBF4CD4" w14:textId="77777777" w:rsidR="00B21AAB" w:rsidRPr="00B21AAB" w:rsidRDefault="00B21AAB" w:rsidP="00B21AAB">
            <w:pPr>
              <w:rPr>
                <w:rFonts w:ascii="Arial Narrow" w:hAnsi="Arial Narrow" w:cs="Calibri"/>
                <w:sz w:val="20"/>
                <w:szCs w:val="20"/>
                <w:lang w:val="bg-BG" w:eastAsia="bg-BG"/>
              </w:rPr>
            </w:pPr>
            <w:r w:rsidRPr="00B21AAB">
              <w:rPr>
                <w:rFonts w:ascii="Arial Narrow" w:hAnsi="Arial Narrow" w:cs="Calibri"/>
                <w:sz w:val="20"/>
                <w:szCs w:val="20"/>
                <w:lang w:val="bg-BG" w:eastAsia="bg-BG"/>
              </w:rPr>
              <w:t>Брой проверки по сигнали и жалби относно употребата на ПРЗ</w:t>
            </w:r>
          </w:p>
        </w:tc>
        <w:tc>
          <w:tcPr>
            <w:tcW w:w="730" w:type="pct"/>
            <w:shd w:val="clear" w:color="000000" w:fill="FFFFFF"/>
            <w:vAlign w:val="center"/>
          </w:tcPr>
          <w:p w14:paraId="08F31459" w14:textId="77777777" w:rsidR="00B21AAB" w:rsidRPr="00B21AAB" w:rsidRDefault="00B21AAB" w:rsidP="00B21AAB">
            <w:pPr>
              <w:jc w:val="right"/>
              <w:rPr>
                <w:rFonts w:ascii="Arial Narrow" w:eastAsia="Calibri" w:hAnsi="Arial Narrow" w:cs="Calibri"/>
                <w:sz w:val="20"/>
                <w:szCs w:val="20"/>
                <w:lang w:val="bg-BG"/>
              </w:rPr>
            </w:pPr>
            <w:r w:rsidRPr="00B21AAB">
              <w:rPr>
                <w:rFonts w:ascii="Arial Narrow" w:eastAsia="Calibri" w:hAnsi="Arial Narrow" w:cs="Calibri"/>
                <w:sz w:val="20"/>
                <w:szCs w:val="20"/>
                <w:lang w:val="bg-BG"/>
              </w:rPr>
              <w:t>156</w:t>
            </w:r>
          </w:p>
        </w:tc>
        <w:tc>
          <w:tcPr>
            <w:tcW w:w="730" w:type="pct"/>
            <w:shd w:val="clear" w:color="000000" w:fill="FFFFFF"/>
            <w:vAlign w:val="center"/>
          </w:tcPr>
          <w:p w14:paraId="70604EB4" w14:textId="77777777" w:rsidR="00B21AAB" w:rsidRPr="00B21AAB" w:rsidRDefault="00B21AAB" w:rsidP="00B21AAB">
            <w:pPr>
              <w:jc w:val="right"/>
              <w:rPr>
                <w:rFonts w:ascii="Arial Narrow" w:eastAsia="Calibri" w:hAnsi="Arial Narrow" w:cs="Calibri"/>
                <w:sz w:val="20"/>
                <w:szCs w:val="20"/>
                <w:lang w:val="bg-BG"/>
              </w:rPr>
            </w:pPr>
            <w:r w:rsidRPr="00B21AAB">
              <w:rPr>
                <w:rFonts w:ascii="Arial Narrow" w:eastAsia="Calibri" w:hAnsi="Arial Narrow" w:cs="Calibri"/>
                <w:sz w:val="20"/>
                <w:szCs w:val="20"/>
                <w:lang w:val="bg-BG"/>
              </w:rPr>
              <w:t>125</w:t>
            </w:r>
          </w:p>
        </w:tc>
        <w:tc>
          <w:tcPr>
            <w:tcW w:w="636" w:type="pct"/>
            <w:shd w:val="clear" w:color="000000" w:fill="FFFFFF"/>
            <w:vAlign w:val="center"/>
          </w:tcPr>
          <w:p w14:paraId="39B84E52" w14:textId="77777777" w:rsidR="00B21AAB" w:rsidRPr="00B21AAB" w:rsidRDefault="00B21AAB" w:rsidP="00B21AAB">
            <w:pPr>
              <w:jc w:val="right"/>
              <w:rPr>
                <w:rFonts w:ascii="Arial Narrow" w:eastAsia="Calibri" w:hAnsi="Arial Narrow" w:cs="Calibri"/>
                <w:sz w:val="20"/>
                <w:szCs w:val="20"/>
                <w:lang w:val="bg-BG"/>
              </w:rPr>
            </w:pPr>
            <w:r w:rsidRPr="00B21AAB">
              <w:rPr>
                <w:rFonts w:ascii="Arial Narrow" w:eastAsia="Calibri" w:hAnsi="Arial Narrow" w:cs="Calibri"/>
                <w:sz w:val="20"/>
                <w:szCs w:val="20"/>
                <w:lang w:val="bg-BG"/>
              </w:rPr>
              <w:t>100</w:t>
            </w:r>
          </w:p>
        </w:tc>
      </w:tr>
      <w:tr w:rsidR="00B21AAB" w:rsidRPr="00B21AAB" w14:paraId="747AB1C1" w14:textId="77777777" w:rsidTr="002E5F3D">
        <w:trPr>
          <w:trHeight w:val="274"/>
        </w:trPr>
        <w:tc>
          <w:tcPr>
            <w:tcW w:w="2904" w:type="pct"/>
            <w:shd w:val="clear" w:color="000000" w:fill="FFFFFF"/>
            <w:vAlign w:val="center"/>
          </w:tcPr>
          <w:p w14:paraId="420EFAD1" w14:textId="77777777" w:rsidR="00B21AAB" w:rsidRPr="00B21AAB" w:rsidRDefault="00B21AAB" w:rsidP="00B21AAB">
            <w:pPr>
              <w:rPr>
                <w:rFonts w:ascii="Arial Narrow" w:hAnsi="Arial Narrow" w:cs="Calibri"/>
                <w:sz w:val="20"/>
                <w:szCs w:val="20"/>
                <w:lang w:val="bg-BG" w:eastAsia="bg-BG"/>
              </w:rPr>
            </w:pPr>
            <w:r w:rsidRPr="00B21AAB">
              <w:rPr>
                <w:rFonts w:ascii="Arial Narrow" w:hAnsi="Arial Narrow" w:cs="Calibri"/>
                <w:sz w:val="20"/>
                <w:szCs w:val="20"/>
                <w:lang w:val="bg-BG" w:eastAsia="bg-BG"/>
              </w:rPr>
              <w:t>Актове за установено административно нарушение при сигнали и жалби</w:t>
            </w:r>
          </w:p>
        </w:tc>
        <w:tc>
          <w:tcPr>
            <w:tcW w:w="730" w:type="pct"/>
            <w:shd w:val="clear" w:color="000000" w:fill="FFFFFF"/>
            <w:vAlign w:val="center"/>
          </w:tcPr>
          <w:p w14:paraId="53B90A0D" w14:textId="77777777" w:rsidR="00B21AAB" w:rsidRPr="00B21AAB" w:rsidRDefault="00B21AAB" w:rsidP="00B21AAB">
            <w:pPr>
              <w:jc w:val="right"/>
              <w:rPr>
                <w:rFonts w:ascii="Arial Narrow" w:eastAsia="Calibri" w:hAnsi="Arial Narrow" w:cs="Calibri"/>
                <w:sz w:val="20"/>
                <w:szCs w:val="20"/>
                <w:lang w:val="bg-BG"/>
              </w:rPr>
            </w:pPr>
            <w:r w:rsidRPr="00B21AAB">
              <w:rPr>
                <w:rFonts w:ascii="Arial Narrow" w:eastAsia="Calibri" w:hAnsi="Arial Narrow" w:cs="Calibri"/>
                <w:sz w:val="20"/>
                <w:szCs w:val="20"/>
                <w:lang w:val="bg-BG"/>
              </w:rPr>
              <w:t>22</w:t>
            </w:r>
          </w:p>
        </w:tc>
        <w:tc>
          <w:tcPr>
            <w:tcW w:w="730" w:type="pct"/>
            <w:shd w:val="clear" w:color="000000" w:fill="FFFFFF"/>
            <w:vAlign w:val="center"/>
          </w:tcPr>
          <w:p w14:paraId="7CC384AA" w14:textId="77777777" w:rsidR="00B21AAB" w:rsidRPr="00B21AAB" w:rsidRDefault="00B21AAB" w:rsidP="00B21AAB">
            <w:pPr>
              <w:jc w:val="right"/>
              <w:rPr>
                <w:rFonts w:ascii="Arial Narrow" w:eastAsia="Calibri" w:hAnsi="Arial Narrow" w:cs="Calibri"/>
                <w:sz w:val="20"/>
                <w:szCs w:val="20"/>
                <w:lang w:val="bg-BG"/>
              </w:rPr>
            </w:pPr>
            <w:r w:rsidRPr="00B21AAB">
              <w:rPr>
                <w:rFonts w:ascii="Arial Narrow" w:eastAsia="Calibri" w:hAnsi="Arial Narrow" w:cs="Calibri"/>
                <w:sz w:val="20"/>
                <w:szCs w:val="20"/>
                <w:lang w:val="bg-BG"/>
              </w:rPr>
              <w:t>16</w:t>
            </w:r>
          </w:p>
        </w:tc>
        <w:tc>
          <w:tcPr>
            <w:tcW w:w="636" w:type="pct"/>
            <w:shd w:val="clear" w:color="000000" w:fill="FFFFFF"/>
            <w:vAlign w:val="center"/>
          </w:tcPr>
          <w:p w14:paraId="73C555D5" w14:textId="77777777" w:rsidR="00B21AAB" w:rsidRPr="00B21AAB" w:rsidRDefault="00B21AAB" w:rsidP="00B21AAB">
            <w:pPr>
              <w:jc w:val="right"/>
              <w:rPr>
                <w:rFonts w:ascii="Arial Narrow" w:eastAsia="Calibri" w:hAnsi="Arial Narrow" w:cs="Calibri"/>
                <w:sz w:val="20"/>
                <w:szCs w:val="20"/>
                <w:lang w:val="bg-BG"/>
              </w:rPr>
            </w:pPr>
            <w:r w:rsidRPr="00B21AAB">
              <w:rPr>
                <w:rFonts w:ascii="Arial Narrow" w:eastAsia="Calibri" w:hAnsi="Arial Narrow" w:cs="Calibri"/>
                <w:sz w:val="20"/>
                <w:szCs w:val="20"/>
                <w:lang w:val="bg-BG"/>
              </w:rPr>
              <w:t>16</w:t>
            </w:r>
          </w:p>
        </w:tc>
      </w:tr>
      <w:tr w:rsidR="00B21AAB" w:rsidRPr="00B21AAB" w14:paraId="0E7A5E17" w14:textId="77777777" w:rsidTr="002E5F3D">
        <w:trPr>
          <w:trHeight w:val="263"/>
        </w:trPr>
        <w:tc>
          <w:tcPr>
            <w:tcW w:w="2904" w:type="pct"/>
            <w:shd w:val="clear" w:color="000000" w:fill="FFFFFF"/>
            <w:vAlign w:val="center"/>
          </w:tcPr>
          <w:p w14:paraId="2202302D" w14:textId="77777777" w:rsidR="00B21AAB" w:rsidRPr="00B21AAB" w:rsidRDefault="00B21AAB" w:rsidP="00B21AAB">
            <w:pPr>
              <w:rPr>
                <w:rFonts w:ascii="Arial Narrow" w:hAnsi="Arial Narrow" w:cs="Calibri"/>
                <w:sz w:val="20"/>
                <w:szCs w:val="20"/>
                <w:lang w:val="bg-BG" w:eastAsia="bg-BG"/>
              </w:rPr>
            </w:pPr>
            <w:r w:rsidRPr="00B21AAB">
              <w:rPr>
                <w:rFonts w:ascii="Arial Narrow" w:hAnsi="Arial Narrow" w:cs="Calibri"/>
                <w:sz w:val="20"/>
                <w:szCs w:val="20"/>
                <w:lang w:val="bg-BG" w:eastAsia="bg-BG"/>
              </w:rPr>
              <w:t>Взети растителни проби за анализ:</w:t>
            </w:r>
          </w:p>
        </w:tc>
        <w:tc>
          <w:tcPr>
            <w:tcW w:w="730" w:type="pct"/>
            <w:shd w:val="clear" w:color="000000" w:fill="FFFFFF"/>
            <w:vAlign w:val="center"/>
          </w:tcPr>
          <w:p w14:paraId="48FEF9F3" w14:textId="77777777" w:rsidR="00B21AAB" w:rsidRPr="00B21AAB" w:rsidRDefault="00B21AAB" w:rsidP="00B21AAB">
            <w:pPr>
              <w:jc w:val="right"/>
              <w:rPr>
                <w:rFonts w:ascii="Arial Narrow" w:hAnsi="Arial Narrow" w:cs="Calibri"/>
                <w:color w:val="FF0000"/>
                <w:sz w:val="20"/>
                <w:szCs w:val="20"/>
                <w:lang w:val="bg-BG" w:eastAsia="bg-BG"/>
              </w:rPr>
            </w:pPr>
            <w:r w:rsidRPr="00B21AAB">
              <w:rPr>
                <w:rFonts w:ascii="Arial Narrow" w:eastAsia="Calibri" w:hAnsi="Arial Narrow" w:cs="Calibri"/>
                <w:color w:val="FF0000"/>
                <w:sz w:val="20"/>
                <w:szCs w:val="20"/>
                <w:lang w:val="bg-BG"/>
              </w:rPr>
              <w:t> </w:t>
            </w:r>
          </w:p>
        </w:tc>
        <w:tc>
          <w:tcPr>
            <w:tcW w:w="730" w:type="pct"/>
            <w:shd w:val="clear" w:color="000000" w:fill="FFFFFF"/>
            <w:vAlign w:val="center"/>
          </w:tcPr>
          <w:p w14:paraId="78C7C3AE" w14:textId="77777777" w:rsidR="00B21AAB" w:rsidRPr="00B21AAB" w:rsidRDefault="00B21AAB" w:rsidP="00B21AAB">
            <w:pPr>
              <w:jc w:val="right"/>
              <w:rPr>
                <w:rFonts w:ascii="Arial Narrow" w:eastAsia="Calibri" w:hAnsi="Arial Narrow" w:cs="Calibri"/>
                <w:color w:val="FF0000"/>
                <w:sz w:val="20"/>
                <w:szCs w:val="20"/>
                <w:lang w:val="bg-BG"/>
              </w:rPr>
            </w:pPr>
          </w:p>
        </w:tc>
        <w:tc>
          <w:tcPr>
            <w:tcW w:w="636" w:type="pct"/>
            <w:shd w:val="clear" w:color="000000" w:fill="FFFFFF"/>
            <w:vAlign w:val="center"/>
          </w:tcPr>
          <w:p w14:paraId="22AAD356" w14:textId="77777777" w:rsidR="00B21AAB" w:rsidRPr="00B21AAB" w:rsidRDefault="00B21AAB" w:rsidP="00B21AAB">
            <w:pPr>
              <w:jc w:val="right"/>
              <w:rPr>
                <w:rFonts w:ascii="Arial Narrow" w:eastAsia="Calibri" w:hAnsi="Arial Narrow" w:cs="Calibri"/>
                <w:color w:val="FF0000"/>
                <w:sz w:val="20"/>
                <w:szCs w:val="20"/>
                <w:lang w:val="bg-BG"/>
              </w:rPr>
            </w:pPr>
          </w:p>
        </w:tc>
      </w:tr>
      <w:tr w:rsidR="00B21AAB" w:rsidRPr="00B21AAB" w14:paraId="617B1FEE" w14:textId="77777777" w:rsidTr="002E5F3D">
        <w:trPr>
          <w:trHeight w:val="263"/>
        </w:trPr>
        <w:tc>
          <w:tcPr>
            <w:tcW w:w="2904" w:type="pct"/>
            <w:shd w:val="clear" w:color="000000" w:fill="FFFFFF"/>
            <w:vAlign w:val="center"/>
          </w:tcPr>
          <w:p w14:paraId="077855A7" w14:textId="77777777" w:rsidR="00B21AAB" w:rsidRPr="00B21AAB" w:rsidRDefault="00B21AAB" w:rsidP="00B21AAB">
            <w:pPr>
              <w:ind w:firstLine="224"/>
              <w:rPr>
                <w:rFonts w:ascii="Arial Narrow" w:hAnsi="Arial Narrow" w:cs="Calibri"/>
                <w:i/>
                <w:sz w:val="20"/>
                <w:szCs w:val="20"/>
                <w:lang w:val="bg-BG" w:eastAsia="bg-BG"/>
              </w:rPr>
            </w:pPr>
            <w:r w:rsidRPr="00B21AAB">
              <w:rPr>
                <w:rFonts w:ascii="Arial Narrow" w:hAnsi="Arial Narrow" w:cs="Calibri"/>
                <w:i/>
                <w:sz w:val="20"/>
                <w:szCs w:val="20"/>
                <w:lang w:val="bg-BG" w:eastAsia="bg-BG"/>
              </w:rPr>
              <w:t>Остатъци от пестициди</w:t>
            </w:r>
          </w:p>
        </w:tc>
        <w:tc>
          <w:tcPr>
            <w:tcW w:w="730" w:type="pct"/>
            <w:shd w:val="clear" w:color="000000" w:fill="FFFFFF"/>
            <w:vAlign w:val="center"/>
          </w:tcPr>
          <w:p w14:paraId="2E7A8B1C" w14:textId="77777777" w:rsidR="00B21AAB" w:rsidRPr="00B21AAB" w:rsidRDefault="00B21AAB" w:rsidP="00B21AAB">
            <w:pPr>
              <w:jc w:val="right"/>
              <w:rPr>
                <w:rFonts w:ascii="Arial Narrow" w:eastAsia="Calibri" w:hAnsi="Arial Narrow" w:cs="Calibri"/>
                <w:kern w:val="28"/>
                <w:sz w:val="20"/>
                <w:szCs w:val="20"/>
                <w:lang w:eastAsia="bg-BG"/>
                <w14:ligatures w14:val="standard"/>
                <w14:cntxtAlts/>
              </w:rPr>
            </w:pPr>
            <w:r w:rsidRPr="00B21AAB">
              <w:rPr>
                <w:rFonts w:ascii="Arial Narrow" w:eastAsia="Calibri" w:hAnsi="Arial Narrow" w:cs="Calibri"/>
                <w:kern w:val="28"/>
                <w:sz w:val="20"/>
                <w:szCs w:val="20"/>
                <w:lang w:eastAsia="bg-BG"/>
                <w14:ligatures w14:val="standard"/>
                <w14:cntxtAlts/>
              </w:rPr>
              <w:t>29</w:t>
            </w:r>
          </w:p>
        </w:tc>
        <w:tc>
          <w:tcPr>
            <w:tcW w:w="730" w:type="pct"/>
            <w:shd w:val="clear" w:color="000000" w:fill="FFFFFF"/>
            <w:vAlign w:val="center"/>
          </w:tcPr>
          <w:p w14:paraId="2E3787CA" w14:textId="77777777" w:rsidR="00B21AAB" w:rsidRPr="00B21AAB" w:rsidRDefault="00B21AAB" w:rsidP="00B21AAB">
            <w:pPr>
              <w:jc w:val="right"/>
              <w:rPr>
                <w:rFonts w:ascii="Arial Narrow" w:eastAsia="Calibri" w:hAnsi="Arial Narrow" w:cs="Calibri"/>
                <w:kern w:val="28"/>
                <w:sz w:val="20"/>
                <w:szCs w:val="20"/>
                <w:lang w:eastAsia="bg-BG"/>
                <w14:ligatures w14:val="standard"/>
                <w14:cntxtAlts/>
              </w:rPr>
            </w:pPr>
            <w:r w:rsidRPr="00B21AAB">
              <w:rPr>
                <w:rFonts w:ascii="Arial Narrow" w:eastAsia="Calibri" w:hAnsi="Arial Narrow" w:cs="Calibri"/>
                <w:kern w:val="28"/>
                <w:sz w:val="20"/>
                <w:szCs w:val="20"/>
                <w:lang w:eastAsia="bg-BG"/>
                <w14:ligatures w14:val="standard"/>
                <w14:cntxtAlts/>
              </w:rPr>
              <w:t>68</w:t>
            </w:r>
          </w:p>
        </w:tc>
        <w:tc>
          <w:tcPr>
            <w:tcW w:w="636" w:type="pct"/>
            <w:shd w:val="clear" w:color="000000" w:fill="FFFFFF"/>
            <w:vAlign w:val="center"/>
          </w:tcPr>
          <w:p w14:paraId="23612953" w14:textId="77777777" w:rsidR="00B21AAB" w:rsidRPr="00B21AAB" w:rsidRDefault="00B21AAB" w:rsidP="00B21AAB">
            <w:pPr>
              <w:jc w:val="right"/>
              <w:rPr>
                <w:rFonts w:ascii="Arial Narrow" w:eastAsia="Calibri" w:hAnsi="Arial Narrow" w:cs="Calibri"/>
                <w:kern w:val="28"/>
                <w:sz w:val="20"/>
                <w:szCs w:val="20"/>
                <w:lang w:eastAsia="bg-BG"/>
                <w14:ligatures w14:val="standard"/>
                <w14:cntxtAlts/>
              </w:rPr>
            </w:pPr>
            <w:r w:rsidRPr="00B21AAB">
              <w:rPr>
                <w:rFonts w:ascii="Arial Narrow" w:eastAsia="Calibri" w:hAnsi="Arial Narrow" w:cs="Calibri"/>
                <w:kern w:val="28"/>
                <w:sz w:val="20"/>
                <w:szCs w:val="20"/>
                <w:lang w:eastAsia="bg-BG"/>
                <w14:ligatures w14:val="standard"/>
                <w14:cntxtAlts/>
              </w:rPr>
              <w:t>78</w:t>
            </w:r>
          </w:p>
        </w:tc>
      </w:tr>
      <w:tr w:rsidR="00B21AAB" w:rsidRPr="00B21AAB" w14:paraId="294275F6" w14:textId="77777777" w:rsidTr="002E5F3D">
        <w:trPr>
          <w:trHeight w:val="263"/>
        </w:trPr>
        <w:tc>
          <w:tcPr>
            <w:tcW w:w="2904" w:type="pct"/>
            <w:shd w:val="clear" w:color="000000" w:fill="FFFFFF"/>
            <w:vAlign w:val="center"/>
          </w:tcPr>
          <w:p w14:paraId="4B84D1F0" w14:textId="77777777" w:rsidR="00B21AAB" w:rsidRPr="00B21AAB" w:rsidRDefault="00B21AAB" w:rsidP="00B21AAB">
            <w:pPr>
              <w:ind w:firstLine="224"/>
              <w:rPr>
                <w:rFonts w:ascii="Arial Narrow" w:hAnsi="Arial Narrow" w:cs="Calibri"/>
                <w:i/>
                <w:sz w:val="20"/>
                <w:szCs w:val="20"/>
                <w:lang w:val="bg-BG" w:eastAsia="bg-BG"/>
              </w:rPr>
            </w:pPr>
            <w:r w:rsidRPr="00B21AAB">
              <w:rPr>
                <w:rFonts w:ascii="Arial Narrow" w:hAnsi="Arial Narrow" w:cs="Calibri"/>
                <w:i/>
                <w:sz w:val="20"/>
                <w:szCs w:val="20"/>
                <w:lang w:val="bg-BG" w:eastAsia="bg-BG"/>
              </w:rPr>
              <w:t>Листни проби</w:t>
            </w:r>
          </w:p>
        </w:tc>
        <w:tc>
          <w:tcPr>
            <w:tcW w:w="730" w:type="pct"/>
            <w:shd w:val="clear" w:color="000000" w:fill="FFFFFF"/>
            <w:vAlign w:val="center"/>
          </w:tcPr>
          <w:p w14:paraId="4176D448" w14:textId="77777777" w:rsidR="00B21AAB" w:rsidRPr="00B21AAB" w:rsidRDefault="00B21AAB" w:rsidP="00B21AAB">
            <w:pPr>
              <w:jc w:val="right"/>
              <w:rPr>
                <w:rFonts w:ascii="Arial Narrow" w:eastAsia="Calibri" w:hAnsi="Arial Narrow" w:cs="Calibri"/>
                <w:kern w:val="28"/>
                <w:sz w:val="20"/>
                <w:szCs w:val="20"/>
                <w:lang w:eastAsia="bg-BG"/>
                <w14:ligatures w14:val="standard"/>
                <w14:cntxtAlts/>
              </w:rPr>
            </w:pPr>
            <w:r w:rsidRPr="00B21AAB">
              <w:rPr>
                <w:rFonts w:ascii="Arial Narrow" w:eastAsia="Calibri" w:hAnsi="Arial Narrow" w:cs="Calibri"/>
                <w:kern w:val="28"/>
                <w:sz w:val="20"/>
                <w:szCs w:val="20"/>
                <w:lang w:eastAsia="bg-BG"/>
                <w14:ligatures w14:val="standard"/>
                <w14:cntxtAlts/>
              </w:rPr>
              <w:t>13</w:t>
            </w:r>
          </w:p>
        </w:tc>
        <w:tc>
          <w:tcPr>
            <w:tcW w:w="730" w:type="pct"/>
            <w:shd w:val="clear" w:color="000000" w:fill="FFFFFF"/>
            <w:vAlign w:val="center"/>
          </w:tcPr>
          <w:p w14:paraId="06BA9DCF" w14:textId="77777777" w:rsidR="00B21AAB" w:rsidRPr="00B21AAB" w:rsidRDefault="00B21AAB" w:rsidP="00B21AAB">
            <w:pPr>
              <w:jc w:val="right"/>
              <w:rPr>
                <w:rFonts w:ascii="Arial Narrow" w:eastAsia="Calibri" w:hAnsi="Arial Narrow" w:cs="Calibri"/>
                <w:kern w:val="28"/>
                <w:sz w:val="20"/>
                <w:szCs w:val="20"/>
                <w:lang w:eastAsia="bg-BG"/>
                <w14:ligatures w14:val="standard"/>
                <w14:cntxtAlts/>
              </w:rPr>
            </w:pPr>
            <w:r w:rsidRPr="00B21AAB">
              <w:rPr>
                <w:rFonts w:ascii="Arial Narrow" w:eastAsia="Calibri" w:hAnsi="Arial Narrow" w:cs="Calibri"/>
                <w:kern w:val="28"/>
                <w:sz w:val="20"/>
                <w:szCs w:val="20"/>
                <w:lang w:eastAsia="bg-BG"/>
                <w14:ligatures w14:val="standard"/>
                <w14:cntxtAlts/>
              </w:rPr>
              <w:t>52</w:t>
            </w:r>
          </w:p>
        </w:tc>
        <w:tc>
          <w:tcPr>
            <w:tcW w:w="636" w:type="pct"/>
            <w:shd w:val="clear" w:color="000000" w:fill="FFFFFF"/>
            <w:vAlign w:val="center"/>
          </w:tcPr>
          <w:p w14:paraId="4044C4E6" w14:textId="77777777" w:rsidR="00B21AAB" w:rsidRPr="00B21AAB" w:rsidRDefault="00B21AAB" w:rsidP="00B21AAB">
            <w:pPr>
              <w:jc w:val="right"/>
              <w:rPr>
                <w:rFonts w:ascii="Arial Narrow" w:eastAsia="Calibri" w:hAnsi="Arial Narrow" w:cs="Calibri"/>
                <w:kern w:val="28"/>
                <w:sz w:val="20"/>
                <w:szCs w:val="20"/>
                <w:lang w:eastAsia="bg-BG"/>
                <w14:ligatures w14:val="standard"/>
                <w14:cntxtAlts/>
              </w:rPr>
            </w:pPr>
            <w:r w:rsidRPr="00B21AAB">
              <w:rPr>
                <w:rFonts w:ascii="Arial Narrow" w:eastAsia="Calibri" w:hAnsi="Arial Narrow" w:cs="Calibri"/>
                <w:kern w:val="28"/>
                <w:sz w:val="20"/>
                <w:szCs w:val="20"/>
                <w:lang w:eastAsia="bg-BG"/>
                <w14:ligatures w14:val="standard"/>
                <w14:cntxtAlts/>
              </w:rPr>
              <w:t>46</w:t>
            </w:r>
          </w:p>
        </w:tc>
      </w:tr>
      <w:tr w:rsidR="00B21AAB" w:rsidRPr="00B21AAB" w14:paraId="658A32AC" w14:textId="77777777" w:rsidTr="002E5F3D">
        <w:trPr>
          <w:trHeight w:val="263"/>
        </w:trPr>
        <w:tc>
          <w:tcPr>
            <w:tcW w:w="2904" w:type="pct"/>
            <w:shd w:val="clear" w:color="000000" w:fill="FFFFFF"/>
            <w:vAlign w:val="center"/>
          </w:tcPr>
          <w:p w14:paraId="75B42000" w14:textId="77777777" w:rsidR="00B21AAB" w:rsidRPr="00B21AAB" w:rsidRDefault="00B21AAB" w:rsidP="00B21AAB">
            <w:pPr>
              <w:ind w:firstLine="224"/>
              <w:rPr>
                <w:rFonts w:ascii="Arial Narrow" w:hAnsi="Arial Narrow" w:cs="Calibri"/>
                <w:i/>
                <w:sz w:val="20"/>
                <w:szCs w:val="20"/>
                <w:lang w:val="bg-BG" w:eastAsia="bg-BG"/>
              </w:rPr>
            </w:pPr>
            <w:r w:rsidRPr="00B21AAB">
              <w:rPr>
                <w:rFonts w:ascii="Arial Narrow" w:hAnsi="Arial Narrow" w:cs="Calibri"/>
                <w:i/>
                <w:sz w:val="20"/>
                <w:szCs w:val="20"/>
                <w:lang w:val="bg-BG" w:eastAsia="bg-BG"/>
              </w:rPr>
              <w:t>Замърсители-нитрати и тежки метали</w:t>
            </w:r>
          </w:p>
        </w:tc>
        <w:tc>
          <w:tcPr>
            <w:tcW w:w="730" w:type="pct"/>
            <w:shd w:val="clear" w:color="000000" w:fill="FFFFFF"/>
            <w:vAlign w:val="center"/>
          </w:tcPr>
          <w:p w14:paraId="1A3CA4B3" w14:textId="77777777" w:rsidR="00B21AAB" w:rsidRPr="00B21AAB" w:rsidRDefault="00B21AAB" w:rsidP="00B21AAB">
            <w:pPr>
              <w:jc w:val="right"/>
              <w:rPr>
                <w:rFonts w:ascii="Arial Narrow" w:eastAsia="Calibri" w:hAnsi="Arial Narrow" w:cs="Calibri"/>
                <w:kern w:val="28"/>
                <w:sz w:val="20"/>
                <w:szCs w:val="20"/>
                <w:lang w:eastAsia="bg-BG"/>
                <w14:ligatures w14:val="standard"/>
                <w14:cntxtAlts/>
              </w:rPr>
            </w:pPr>
            <w:r w:rsidRPr="00B21AAB">
              <w:rPr>
                <w:rFonts w:ascii="Arial Narrow" w:eastAsia="Calibri" w:hAnsi="Arial Narrow" w:cs="Calibri"/>
                <w:kern w:val="28"/>
                <w:sz w:val="20"/>
                <w:szCs w:val="20"/>
                <w:lang w:eastAsia="bg-BG"/>
                <w14:ligatures w14:val="standard"/>
                <w14:cntxtAlts/>
              </w:rPr>
              <w:t>24</w:t>
            </w:r>
          </w:p>
        </w:tc>
        <w:tc>
          <w:tcPr>
            <w:tcW w:w="730" w:type="pct"/>
            <w:shd w:val="clear" w:color="000000" w:fill="FFFFFF"/>
            <w:vAlign w:val="center"/>
          </w:tcPr>
          <w:p w14:paraId="238734E1" w14:textId="77777777" w:rsidR="00B21AAB" w:rsidRPr="00B21AAB" w:rsidRDefault="00B21AAB" w:rsidP="00B21AAB">
            <w:pPr>
              <w:jc w:val="right"/>
              <w:rPr>
                <w:rFonts w:ascii="Arial Narrow" w:eastAsia="Calibri" w:hAnsi="Arial Narrow" w:cs="Calibri"/>
                <w:kern w:val="28"/>
                <w:sz w:val="20"/>
                <w:szCs w:val="20"/>
                <w:lang w:eastAsia="bg-BG"/>
                <w14:ligatures w14:val="standard"/>
                <w14:cntxtAlts/>
              </w:rPr>
            </w:pPr>
            <w:r w:rsidRPr="00B21AAB">
              <w:rPr>
                <w:rFonts w:ascii="Arial Narrow" w:eastAsia="Calibri" w:hAnsi="Arial Narrow" w:cs="Calibri"/>
                <w:kern w:val="28"/>
                <w:sz w:val="20"/>
                <w:szCs w:val="20"/>
                <w:lang w:eastAsia="bg-BG"/>
                <w14:ligatures w14:val="standard"/>
                <w14:cntxtAlts/>
              </w:rPr>
              <w:t>36</w:t>
            </w:r>
          </w:p>
        </w:tc>
        <w:tc>
          <w:tcPr>
            <w:tcW w:w="636" w:type="pct"/>
            <w:shd w:val="clear" w:color="000000" w:fill="FFFFFF"/>
            <w:vAlign w:val="center"/>
          </w:tcPr>
          <w:p w14:paraId="15046B04" w14:textId="77777777" w:rsidR="00B21AAB" w:rsidRPr="00B21AAB" w:rsidRDefault="00B21AAB" w:rsidP="00B21AAB">
            <w:pPr>
              <w:jc w:val="right"/>
              <w:rPr>
                <w:rFonts w:ascii="Arial Narrow" w:eastAsia="Calibri" w:hAnsi="Arial Narrow" w:cs="Calibri"/>
                <w:kern w:val="28"/>
                <w:sz w:val="20"/>
                <w:szCs w:val="20"/>
                <w:lang w:eastAsia="bg-BG"/>
                <w14:ligatures w14:val="standard"/>
                <w14:cntxtAlts/>
              </w:rPr>
            </w:pPr>
            <w:r w:rsidRPr="00B21AAB">
              <w:rPr>
                <w:rFonts w:ascii="Arial Narrow" w:eastAsia="Calibri" w:hAnsi="Arial Narrow" w:cs="Calibri"/>
                <w:kern w:val="28"/>
                <w:sz w:val="20"/>
                <w:szCs w:val="20"/>
                <w:lang w:eastAsia="bg-BG"/>
                <w14:ligatures w14:val="standard"/>
                <w14:cntxtAlts/>
              </w:rPr>
              <w:t>33</w:t>
            </w:r>
          </w:p>
        </w:tc>
      </w:tr>
      <w:tr w:rsidR="00B21AAB" w:rsidRPr="00B21AAB" w14:paraId="17B36638" w14:textId="77777777" w:rsidTr="002E5F3D">
        <w:trPr>
          <w:trHeight w:val="263"/>
        </w:trPr>
        <w:tc>
          <w:tcPr>
            <w:tcW w:w="2904" w:type="pct"/>
            <w:shd w:val="clear" w:color="000000" w:fill="FFFFFF"/>
            <w:vAlign w:val="center"/>
          </w:tcPr>
          <w:p w14:paraId="01C6CF7F" w14:textId="77777777" w:rsidR="00B21AAB" w:rsidRPr="00B21AAB" w:rsidRDefault="00B21AAB" w:rsidP="00B21AAB">
            <w:pPr>
              <w:ind w:firstLine="224"/>
              <w:rPr>
                <w:rFonts w:ascii="Arial Narrow" w:hAnsi="Arial Narrow" w:cs="Calibri"/>
                <w:i/>
                <w:sz w:val="20"/>
                <w:szCs w:val="20"/>
                <w:lang w:val="bg-BG" w:eastAsia="bg-BG"/>
              </w:rPr>
            </w:pPr>
            <w:r w:rsidRPr="00B21AAB">
              <w:rPr>
                <w:rFonts w:ascii="Arial Narrow" w:hAnsi="Arial Narrow" w:cs="Calibri"/>
                <w:i/>
                <w:sz w:val="20"/>
                <w:szCs w:val="20"/>
                <w:lang w:val="bg-BG" w:eastAsia="bg-BG"/>
              </w:rPr>
              <w:t>По сигнали и жалби</w:t>
            </w:r>
          </w:p>
        </w:tc>
        <w:tc>
          <w:tcPr>
            <w:tcW w:w="730" w:type="pct"/>
            <w:shd w:val="clear" w:color="000000" w:fill="FFFFFF"/>
            <w:vAlign w:val="center"/>
          </w:tcPr>
          <w:p w14:paraId="4312FAE7" w14:textId="77777777" w:rsidR="00B21AAB" w:rsidRPr="00B21AAB" w:rsidRDefault="00B21AAB" w:rsidP="00B21AAB">
            <w:pPr>
              <w:jc w:val="right"/>
              <w:rPr>
                <w:rFonts w:ascii="Arial Narrow" w:eastAsia="Calibri" w:hAnsi="Arial Narrow" w:cs="Calibri"/>
                <w:kern w:val="28"/>
                <w:sz w:val="20"/>
                <w:szCs w:val="20"/>
                <w:lang w:eastAsia="bg-BG"/>
                <w14:ligatures w14:val="standard"/>
                <w14:cntxtAlts/>
              </w:rPr>
            </w:pPr>
            <w:r w:rsidRPr="00B21AAB">
              <w:rPr>
                <w:rFonts w:ascii="Arial Narrow" w:eastAsia="Calibri" w:hAnsi="Arial Narrow" w:cs="Calibri"/>
                <w:kern w:val="28"/>
                <w:sz w:val="20"/>
                <w:szCs w:val="20"/>
                <w:lang w:eastAsia="bg-BG"/>
                <w14:ligatures w14:val="standard"/>
                <w14:cntxtAlts/>
              </w:rPr>
              <w:t>27</w:t>
            </w:r>
          </w:p>
        </w:tc>
        <w:tc>
          <w:tcPr>
            <w:tcW w:w="730" w:type="pct"/>
            <w:shd w:val="clear" w:color="000000" w:fill="FFFFFF"/>
            <w:vAlign w:val="center"/>
          </w:tcPr>
          <w:p w14:paraId="4A303980" w14:textId="77777777" w:rsidR="00B21AAB" w:rsidRPr="00B21AAB" w:rsidRDefault="00B21AAB" w:rsidP="00B21AAB">
            <w:pPr>
              <w:jc w:val="right"/>
              <w:rPr>
                <w:rFonts w:ascii="Arial Narrow" w:eastAsia="Calibri" w:hAnsi="Arial Narrow" w:cs="Calibri"/>
                <w:kern w:val="28"/>
                <w:sz w:val="20"/>
                <w:szCs w:val="20"/>
                <w:lang w:eastAsia="bg-BG"/>
                <w14:ligatures w14:val="standard"/>
                <w14:cntxtAlts/>
              </w:rPr>
            </w:pPr>
            <w:r w:rsidRPr="00B21AAB">
              <w:rPr>
                <w:rFonts w:ascii="Arial Narrow" w:eastAsia="Calibri" w:hAnsi="Arial Narrow" w:cs="Calibri"/>
                <w:kern w:val="28"/>
                <w:sz w:val="20"/>
                <w:szCs w:val="20"/>
                <w:lang w:eastAsia="bg-BG"/>
                <w14:ligatures w14:val="standard"/>
                <w14:cntxtAlts/>
              </w:rPr>
              <w:t>14</w:t>
            </w:r>
          </w:p>
        </w:tc>
        <w:tc>
          <w:tcPr>
            <w:tcW w:w="636" w:type="pct"/>
            <w:shd w:val="clear" w:color="000000" w:fill="FFFFFF"/>
            <w:vAlign w:val="center"/>
          </w:tcPr>
          <w:p w14:paraId="371ABC37" w14:textId="77777777" w:rsidR="00B21AAB" w:rsidRPr="00B21AAB" w:rsidRDefault="00B21AAB" w:rsidP="00B21AAB">
            <w:pPr>
              <w:jc w:val="right"/>
              <w:rPr>
                <w:rFonts w:ascii="Arial Narrow" w:eastAsia="Calibri" w:hAnsi="Arial Narrow" w:cs="Calibri"/>
                <w:kern w:val="28"/>
                <w:sz w:val="20"/>
                <w:szCs w:val="20"/>
                <w:lang w:eastAsia="bg-BG"/>
                <w14:ligatures w14:val="standard"/>
                <w14:cntxtAlts/>
              </w:rPr>
            </w:pPr>
            <w:r w:rsidRPr="00B21AAB">
              <w:rPr>
                <w:rFonts w:ascii="Arial Narrow" w:eastAsia="Calibri" w:hAnsi="Arial Narrow" w:cs="Calibri"/>
                <w:kern w:val="28"/>
                <w:sz w:val="20"/>
                <w:szCs w:val="20"/>
                <w:lang w:eastAsia="bg-BG"/>
                <w14:ligatures w14:val="standard"/>
                <w14:cntxtAlts/>
              </w:rPr>
              <w:t>28</w:t>
            </w:r>
          </w:p>
        </w:tc>
      </w:tr>
      <w:tr w:rsidR="00B21AAB" w:rsidRPr="00B21AAB" w14:paraId="4341F380" w14:textId="77777777" w:rsidTr="002E5F3D">
        <w:trPr>
          <w:trHeight w:val="438"/>
        </w:trPr>
        <w:tc>
          <w:tcPr>
            <w:tcW w:w="2904" w:type="pct"/>
            <w:shd w:val="clear" w:color="000000" w:fill="FFFFFF"/>
            <w:vAlign w:val="center"/>
          </w:tcPr>
          <w:p w14:paraId="58653CD2" w14:textId="77777777" w:rsidR="00B21AAB" w:rsidRPr="00B21AAB" w:rsidRDefault="00B21AAB" w:rsidP="00B21AAB">
            <w:pPr>
              <w:rPr>
                <w:rFonts w:ascii="Arial Narrow" w:hAnsi="Arial Narrow" w:cs="Calibri"/>
                <w:sz w:val="20"/>
                <w:szCs w:val="20"/>
                <w:lang w:val="bg-BG" w:eastAsia="bg-BG"/>
              </w:rPr>
            </w:pPr>
            <w:r w:rsidRPr="00B21AAB">
              <w:rPr>
                <w:rFonts w:ascii="Arial Narrow" w:hAnsi="Arial Narrow" w:cs="Calibri"/>
                <w:sz w:val="20"/>
                <w:szCs w:val="20"/>
                <w:lang w:val="bg-BG" w:eastAsia="bg-BG"/>
              </w:rPr>
              <w:t>Актове за установено административно нарушение при взети растителни проби</w:t>
            </w:r>
          </w:p>
        </w:tc>
        <w:tc>
          <w:tcPr>
            <w:tcW w:w="730" w:type="pct"/>
            <w:shd w:val="clear" w:color="000000" w:fill="FFFFFF"/>
            <w:vAlign w:val="center"/>
          </w:tcPr>
          <w:p w14:paraId="3EDB3342" w14:textId="77777777" w:rsidR="00B21AAB" w:rsidRPr="00B21AAB" w:rsidRDefault="00B21AAB" w:rsidP="00B21AAB">
            <w:pPr>
              <w:jc w:val="right"/>
              <w:rPr>
                <w:rFonts w:ascii="Arial Narrow" w:eastAsia="Calibri" w:hAnsi="Arial Narrow" w:cs="Calibri"/>
                <w:kern w:val="28"/>
                <w:sz w:val="20"/>
                <w:szCs w:val="20"/>
                <w:lang w:eastAsia="bg-BG"/>
                <w14:ligatures w14:val="standard"/>
                <w14:cntxtAlts/>
              </w:rPr>
            </w:pPr>
            <w:r w:rsidRPr="00B21AAB">
              <w:rPr>
                <w:rFonts w:ascii="Arial Narrow" w:eastAsia="Calibri" w:hAnsi="Arial Narrow" w:cs="Calibri"/>
                <w:kern w:val="28"/>
                <w:sz w:val="20"/>
                <w:szCs w:val="20"/>
                <w:lang w:eastAsia="bg-BG"/>
                <w14:ligatures w14:val="standard"/>
                <w14:cntxtAlts/>
              </w:rPr>
              <w:t>16</w:t>
            </w:r>
          </w:p>
        </w:tc>
        <w:tc>
          <w:tcPr>
            <w:tcW w:w="730" w:type="pct"/>
            <w:shd w:val="clear" w:color="000000" w:fill="FFFFFF"/>
            <w:vAlign w:val="center"/>
          </w:tcPr>
          <w:p w14:paraId="7A4A4530" w14:textId="77777777" w:rsidR="00B21AAB" w:rsidRPr="00B21AAB" w:rsidRDefault="00B21AAB" w:rsidP="00B21AAB">
            <w:pPr>
              <w:jc w:val="right"/>
              <w:rPr>
                <w:rFonts w:ascii="Arial Narrow" w:eastAsia="Calibri" w:hAnsi="Arial Narrow" w:cs="Calibri"/>
                <w:kern w:val="28"/>
                <w:sz w:val="20"/>
                <w:szCs w:val="20"/>
                <w:lang w:eastAsia="bg-BG"/>
                <w14:ligatures w14:val="standard"/>
                <w14:cntxtAlts/>
              </w:rPr>
            </w:pPr>
            <w:r w:rsidRPr="00B21AAB">
              <w:rPr>
                <w:rFonts w:ascii="Arial Narrow" w:eastAsia="Calibri" w:hAnsi="Arial Narrow" w:cs="Calibri"/>
                <w:kern w:val="28"/>
                <w:sz w:val="20"/>
                <w:szCs w:val="20"/>
                <w:lang w:eastAsia="bg-BG"/>
                <w14:ligatures w14:val="standard"/>
                <w14:cntxtAlts/>
              </w:rPr>
              <w:t>19</w:t>
            </w:r>
          </w:p>
        </w:tc>
        <w:tc>
          <w:tcPr>
            <w:tcW w:w="636" w:type="pct"/>
            <w:shd w:val="clear" w:color="000000" w:fill="FFFFFF"/>
            <w:vAlign w:val="center"/>
          </w:tcPr>
          <w:p w14:paraId="0E4D36F4" w14:textId="77777777" w:rsidR="00B21AAB" w:rsidRPr="00B21AAB" w:rsidRDefault="00B21AAB" w:rsidP="00B21AAB">
            <w:pPr>
              <w:jc w:val="right"/>
              <w:rPr>
                <w:rFonts w:ascii="Arial Narrow" w:eastAsia="Calibri" w:hAnsi="Arial Narrow" w:cs="Calibri"/>
                <w:kern w:val="28"/>
                <w:sz w:val="20"/>
                <w:szCs w:val="20"/>
                <w:lang w:eastAsia="bg-BG"/>
                <w14:ligatures w14:val="standard"/>
                <w14:cntxtAlts/>
              </w:rPr>
            </w:pPr>
            <w:r w:rsidRPr="00B21AAB">
              <w:rPr>
                <w:rFonts w:ascii="Arial Narrow" w:eastAsia="Calibri" w:hAnsi="Arial Narrow" w:cs="Calibri"/>
                <w:kern w:val="28"/>
                <w:sz w:val="20"/>
                <w:szCs w:val="20"/>
                <w:lang w:eastAsia="bg-BG"/>
                <w14:ligatures w14:val="standard"/>
                <w14:cntxtAlts/>
              </w:rPr>
              <w:t>14</w:t>
            </w:r>
          </w:p>
        </w:tc>
      </w:tr>
      <w:tr w:rsidR="00B21AAB" w:rsidRPr="00B21AAB" w14:paraId="6E790C13" w14:textId="77777777" w:rsidTr="002E5F3D">
        <w:trPr>
          <w:trHeight w:val="263"/>
        </w:trPr>
        <w:tc>
          <w:tcPr>
            <w:tcW w:w="2904" w:type="pct"/>
            <w:shd w:val="clear" w:color="000000" w:fill="FFFFFF"/>
            <w:vAlign w:val="center"/>
          </w:tcPr>
          <w:p w14:paraId="54274C91" w14:textId="77777777" w:rsidR="00B21AAB" w:rsidRPr="00B21AAB" w:rsidRDefault="00B21AAB" w:rsidP="00B21AAB">
            <w:pPr>
              <w:rPr>
                <w:rFonts w:ascii="Arial Narrow" w:hAnsi="Arial Narrow" w:cs="Calibri"/>
                <w:sz w:val="20"/>
                <w:szCs w:val="20"/>
                <w:lang w:val="bg-BG" w:eastAsia="bg-BG"/>
              </w:rPr>
            </w:pPr>
            <w:r w:rsidRPr="00B21AAB">
              <w:rPr>
                <w:rFonts w:ascii="Arial Narrow" w:hAnsi="Arial Narrow" w:cs="Calibri"/>
                <w:sz w:val="20"/>
                <w:szCs w:val="20"/>
                <w:lang w:val="bg-BG" w:eastAsia="bg-BG"/>
              </w:rPr>
              <w:t>Брой лица, извършващи растителнозащитни услуги</w:t>
            </w:r>
          </w:p>
        </w:tc>
        <w:tc>
          <w:tcPr>
            <w:tcW w:w="730" w:type="pct"/>
            <w:shd w:val="clear" w:color="000000" w:fill="FFFFFF"/>
            <w:vAlign w:val="center"/>
          </w:tcPr>
          <w:p w14:paraId="02B13311" w14:textId="77777777" w:rsidR="00B21AAB" w:rsidRPr="00B21AAB" w:rsidRDefault="00B21AAB" w:rsidP="00B21AAB">
            <w:pPr>
              <w:jc w:val="right"/>
              <w:rPr>
                <w:rFonts w:ascii="Arial Narrow" w:eastAsia="Calibri" w:hAnsi="Arial Narrow" w:cs="Calibri"/>
                <w:kern w:val="28"/>
                <w:sz w:val="20"/>
                <w:szCs w:val="20"/>
                <w:lang w:eastAsia="bg-BG"/>
                <w14:ligatures w14:val="standard"/>
                <w14:cntxtAlts/>
              </w:rPr>
            </w:pPr>
            <w:r w:rsidRPr="00B21AAB">
              <w:rPr>
                <w:rFonts w:ascii="Arial Narrow" w:eastAsia="Calibri" w:hAnsi="Arial Narrow" w:cs="Calibri"/>
                <w:kern w:val="28"/>
                <w:sz w:val="20"/>
                <w:szCs w:val="20"/>
                <w:lang w:eastAsia="bg-BG"/>
                <w14:ligatures w14:val="standard"/>
                <w14:cntxtAlts/>
              </w:rPr>
              <w:t>65</w:t>
            </w:r>
          </w:p>
        </w:tc>
        <w:tc>
          <w:tcPr>
            <w:tcW w:w="730" w:type="pct"/>
            <w:shd w:val="clear" w:color="000000" w:fill="FFFFFF"/>
            <w:vAlign w:val="center"/>
          </w:tcPr>
          <w:p w14:paraId="6300C53A" w14:textId="77777777" w:rsidR="00B21AAB" w:rsidRPr="00B21AAB" w:rsidRDefault="00B21AAB" w:rsidP="00B21AAB">
            <w:pPr>
              <w:jc w:val="right"/>
              <w:rPr>
                <w:rFonts w:ascii="Arial Narrow" w:eastAsia="Calibri" w:hAnsi="Arial Narrow" w:cs="Calibri"/>
                <w:kern w:val="28"/>
                <w:sz w:val="20"/>
                <w:szCs w:val="20"/>
                <w:lang w:eastAsia="bg-BG"/>
                <w14:ligatures w14:val="standard"/>
                <w14:cntxtAlts/>
              </w:rPr>
            </w:pPr>
            <w:r w:rsidRPr="00B21AAB">
              <w:rPr>
                <w:rFonts w:ascii="Arial Narrow" w:eastAsia="Calibri" w:hAnsi="Arial Narrow" w:cs="Calibri"/>
                <w:kern w:val="28"/>
                <w:sz w:val="20"/>
                <w:szCs w:val="20"/>
                <w:lang w:eastAsia="bg-BG"/>
                <w14:ligatures w14:val="standard"/>
                <w14:cntxtAlts/>
              </w:rPr>
              <w:t>56</w:t>
            </w:r>
          </w:p>
        </w:tc>
        <w:tc>
          <w:tcPr>
            <w:tcW w:w="636" w:type="pct"/>
            <w:shd w:val="clear" w:color="000000" w:fill="FFFFFF"/>
            <w:vAlign w:val="center"/>
          </w:tcPr>
          <w:p w14:paraId="2F9B28CD" w14:textId="77777777" w:rsidR="00B21AAB" w:rsidRPr="00B21AAB" w:rsidRDefault="00B21AAB" w:rsidP="00B21AAB">
            <w:pPr>
              <w:jc w:val="right"/>
              <w:rPr>
                <w:rFonts w:ascii="Arial Narrow" w:eastAsia="Calibri" w:hAnsi="Arial Narrow" w:cs="Calibri"/>
                <w:kern w:val="28"/>
                <w:sz w:val="20"/>
                <w:szCs w:val="20"/>
                <w:lang w:eastAsia="bg-BG"/>
                <w14:ligatures w14:val="standard"/>
                <w14:cntxtAlts/>
              </w:rPr>
            </w:pPr>
            <w:r w:rsidRPr="00B21AAB">
              <w:rPr>
                <w:rFonts w:ascii="Arial Narrow" w:eastAsia="Calibri" w:hAnsi="Arial Narrow" w:cs="Calibri"/>
                <w:kern w:val="28"/>
                <w:sz w:val="20"/>
                <w:szCs w:val="20"/>
                <w:lang w:eastAsia="bg-BG"/>
                <w14:ligatures w14:val="standard"/>
                <w14:cntxtAlts/>
              </w:rPr>
              <w:t>54</w:t>
            </w:r>
          </w:p>
        </w:tc>
      </w:tr>
      <w:tr w:rsidR="00B21AAB" w:rsidRPr="00B21AAB" w14:paraId="094668D9" w14:textId="77777777" w:rsidTr="002E5F3D">
        <w:trPr>
          <w:trHeight w:val="263"/>
        </w:trPr>
        <w:tc>
          <w:tcPr>
            <w:tcW w:w="2904" w:type="pct"/>
            <w:shd w:val="clear" w:color="000000" w:fill="FFFFFF"/>
            <w:vAlign w:val="center"/>
          </w:tcPr>
          <w:p w14:paraId="34D1194F" w14:textId="77777777" w:rsidR="00B21AAB" w:rsidRPr="00B21AAB" w:rsidRDefault="00B21AAB" w:rsidP="00B21AAB">
            <w:pPr>
              <w:rPr>
                <w:rFonts w:ascii="Arial Narrow" w:hAnsi="Arial Narrow" w:cs="Calibri"/>
                <w:sz w:val="20"/>
                <w:szCs w:val="20"/>
                <w:lang w:val="bg-BG" w:eastAsia="bg-BG"/>
              </w:rPr>
            </w:pPr>
            <w:r w:rsidRPr="00B21AAB">
              <w:rPr>
                <w:rFonts w:ascii="Arial Narrow" w:hAnsi="Arial Narrow" w:cs="Calibri"/>
                <w:sz w:val="20"/>
                <w:szCs w:val="20"/>
                <w:lang w:val="bg-BG" w:eastAsia="bg-BG"/>
              </w:rPr>
              <w:t>Брой издадени разрешения за въздушно пръскане</w:t>
            </w:r>
          </w:p>
        </w:tc>
        <w:tc>
          <w:tcPr>
            <w:tcW w:w="730" w:type="pct"/>
            <w:shd w:val="clear" w:color="000000" w:fill="FFFFFF"/>
            <w:vAlign w:val="center"/>
          </w:tcPr>
          <w:p w14:paraId="54C4AE76" w14:textId="77777777" w:rsidR="00B21AAB" w:rsidRPr="00B21AAB" w:rsidRDefault="00B21AAB" w:rsidP="00B21AAB">
            <w:pPr>
              <w:jc w:val="right"/>
              <w:rPr>
                <w:rFonts w:ascii="Arial Narrow" w:eastAsia="Calibri" w:hAnsi="Arial Narrow" w:cs="Calibri"/>
                <w:kern w:val="28"/>
                <w:sz w:val="20"/>
                <w:szCs w:val="20"/>
                <w:lang w:eastAsia="bg-BG"/>
                <w14:ligatures w14:val="standard"/>
                <w14:cntxtAlts/>
              </w:rPr>
            </w:pPr>
            <w:r w:rsidRPr="00B21AAB">
              <w:rPr>
                <w:rFonts w:ascii="Arial Narrow" w:eastAsia="Calibri" w:hAnsi="Arial Narrow" w:cs="Calibri"/>
                <w:kern w:val="28"/>
                <w:sz w:val="20"/>
                <w:szCs w:val="20"/>
                <w:lang w:eastAsia="bg-BG"/>
                <w14:ligatures w14:val="standard"/>
                <w14:cntxtAlts/>
              </w:rPr>
              <w:t>59</w:t>
            </w:r>
          </w:p>
        </w:tc>
        <w:tc>
          <w:tcPr>
            <w:tcW w:w="730" w:type="pct"/>
            <w:shd w:val="clear" w:color="000000" w:fill="FFFFFF"/>
            <w:vAlign w:val="center"/>
          </w:tcPr>
          <w:p w14:paraId="1865B8A4" w14:textId="77777777" w:rsidR="00B21AAB" w:rsidRPr="00B21AAB" w:rsidRDefault="00B21AAB" w:rsidP="00B21AAB">
            <w:pPr>
              <w:jc w:val="right"/>
              <w:rPr>
                <w:rFonts w:ascii="Arial Narrow" w:eastAsia="Calibri" w:hAnsi="Arial Narrow" w:cs="Calibri"/>
                <w:kern w:val="28"/>
                <w:sz w:val="20"/>
                <w:szCs w:val="20"/>
                <w:lang w:eastAsia="bg-BG"/>
                <w14:ligatures w14:val="standard"/>
                <w14:cntxtAlts/>
              </w:rPr>
            </w:pPr>
            <w:r w:rsidRPr="00B21AAB">
              <w:rPr>
                <w:rFonts w:ascii="Arial Narrow" w:eastAsia="Calibri" w:hAnsi="Arial Narrow" w:cs="Calibri"/>
                <w:kern w:val="28"/>
                <w:sz w:val="20"/>
                <w:szCs w:val="20"/>
                <w:lang w:eastAsia="bg-BG"/>
                <w14:ligatures w14:val="standard"/>
                <w14:cntxtAlts/>
              </w:rPr>
              <w:t>54</w:t>
            </w:r>
          </w:p>
        </w:tc>
        <w:tc>
          <w:tcPr>
            <w:tcW w:w="636" w:type="pct"/>
            <w:shd w:val="clear" w:color="000000" w:fill="FFFFFF"/>
            <w:vAlign w:val="center"/>
          </w:tcPr>
          <w:p w14:paraId="116921E8" w14:textId="77777777" w:rsidR="00B21AAB" w:rsidRPr="00B21AAB" w:rsidRDefault="00B21AAB" w:rsidP="00B21AAB">
            <w:pPr>
              <w:jc w:val="right"/>
              <w:rPr>
                <w:rFonts w:ascii="Arial Narrow" w:eastAsia="Calibri" w:hAnsi="Arial Narrow" w:cs="Calibri"/>
                <w:kern w:val="28"/>
                <w:sz w:val="20"/>
                <w:szCs w:val="20"/>
                <w:lang w:eastAsia="bg-BG"/>
                <w14:ligatures w14:val="standard"/>
                <w14:cntxtAlts/>
              </w:rPr>
            </w:pPr>
            <w:r w:rsidRPr="00B21AAB">
              <w:rPr>
                <w:rFonts w:ascii="Arial Narrow" w:eastAsia="Calibri" w:hAnsi="Arial Narrow" w:cs="Calibri"/>
                <w:kern w:val="28"/>
                <w:sz w:val="20"/>
                <w:szCs w:val="20"/>
                <w:lang w:eastAsia="bg-BG"/>
                <w14:ligatures w14:val="standard"/>
                <w14:cntxtAlts/>
              </w:rPr>
              <w:t>34</w:t>
            </w:r>
          </w:p>
        </w:tc>
      </w:tr>
    </w:tbl>
    <w:p w14:paraId="6D30FCB5" w14:textId="77777777" w:rsidR="00B21AAB" w:rsidRPr="00EA0339" w:rsidRDefault="00B21AAB" w:rsidP="00B21AAB">
      <w:pPr>
        <w:spacing w:after="120"/>
        <w:jc w:val="both"/>
        <w:rPr>
          <w:rFonts w:ascii="Arial Narrow" w:hAnsi="Arial Narrow"/>
          <w:i/>
          <w:sz w:val="18"/>
          <w:szCs w:val="18"/>
          <w:lang w:val="bg-BG" w:eastAsia="bg-BG"/>
        </w:rPr>
      </w:pPr>
      <w:r w:rsidRPr="00EA0339">
        <w:rPr>
          <w:rFonts w:ascii="Arial Narrow" w:hAnsi="Arial Narrow"/>
          <w:i/>
          <w:sz w:val="18"/>
          <w:szCs w:val="18"/>
          <w:lang w:val="bg-BG" w:eastAsia="bg-BG"/>
        </w:rPr>
        <w:t xml:space="preserve">Източник: </w:t>
      </w:r>
      <w:r w:rsidRPr="00EA0339">
        <w:rPr>
          <w:rFonts w:ascii="Arial Narrow" w:hAnsi="Arial Narrow"/>
          <w:sz w:val="18"/>
          <w:szCs w:val="18"/>
          <w:lang w:val="bg-BG" w:eastAsia="bg-BG"/>
        </w:rPr>
        <w:t>БАБХ</w:t>
      </w:r>
    </w:p>
    <w:p w14:paraId="0B5BAE95" w14:textId="77777777" w:rsidR="00B21AAB" w:rsidRPr="00B21AAB" w:rsidRDefault="00B21AAB" w:rsidP="00B21AAB">
      <w:pPr>
        <w:widowControl w:val="0"/>
        <w:spacing w:after="120"/>
        <w:ind w:firstLine="709"/>
        <w:jc w:val="both"/>
        <w:rPr>
          <w:rFonts w:ascii="Arial Narrow" w:hAnsi="Arial Narrow"/>
          <w:b/>
          <w:iCs/>
          <w:lang w:val="bg-BG" w:eastAsia="bg-BG"/>
        </w:rPr>
      </w:pPr>
      <w:r w:rsidRPr="00B21AAB">
        <w:rPr>
          <w:rFonts w:eastAsia="Calibri"/>
          <w:color w:val="FF0000"/>
          <w:lang w:val="ru-RU" w:eastAsia="bg-BG"/>
        </w:rPr>
        <w:tab/>
      </w:r>
      <w:r w:rsidRPr="00B21AAB">
        <w:rPr>
          <w:rFonts w:ascii="Arial Narrow" w:hAnsi="Arial Narrow"/>
          <w:b/>
          <w:iCs/>
          <w:lang w:val="bg-BG" w:eastAsia="bg-BG"/>
        </w:rPr>
        <w:t>Издадени разрешения за прилагане на ПРЗ чрез въздушно пръскане</w:t>
      </w:r>
    </w:p>
    <w:p w14:paraId="5745434C" w14:textId="77777777" w:rsidR="00B21AAB" w:rsidRPr="00B21AAB" w:rsidRDefault="00B21AAB" w:rsidP="00B21AAB">
      <w:pPr>
        <w:widowControl w:val="0"/>
        <w:spacing w:after="120"/>
        <w:ind w:firstLine="709"/>
        <w:jc w:val="both"/>
        <w:rPr>
          <w:rFonts w:ascii="Arial Narrow" w:hAnsi="Arial Narrow"/>
          <w:color w:val="FF0000"/>
          <w:lang w:val="bg-BG" w:eastAsia="bg-BG"/>
        </w:rPr>
      </w:pPr>
      <w:r w:rsidRPr="00B21AAB">
        <w:rPr>
          <w:rFonts w:ascii="Arial Narrow" w:hAnsi="Arial Narrow"/>
          <w:lang w:val="bg-BG" w:eastAsia="bg-BG"/>
        </w:rPr>
        <w:t>През 2024 г. издадените разрешения за прилагане на ПРЗ чрез въздушно пръскане, съгласно чл. 109 от Закона за защита на растенията са 34, като са третирани 8</w:t>
      </w:r>
      <w:r w:rsidR="00454097">
        <w:rPr>
          <w:rFonts w:ascii="Arial Narrow" w:hAnsi="Arial Narrow"/>
          <w:lang w:val="bg-BG" w:eastAsia="bg-BG"/>
        </w:rPr>
        <w:t xml:space="preserve"> </w:t>
      </w:r>
      <w:r w:rsidRPr="00B21AAB">
        <w:rPr>
          <w:rFonts w:ascii="Arial Narrow" w:hAnsi="Arial Narrow"/>
          <w:lang w:val="bg-BG" w:eastAsia="bg-BG"/>
        </w:rPr>
        <w:t>141</w:t>
      </w:r>
      <w:r w:rsidR="00454097">
        <w:rPr>
          <w:rFonts w:ascii="Arial Narrow" w:hAnsi="Arial Narrow"/>
          <w:lang w:val="bg-BG" w:eastAsia="bg-BG"/>
        </w:rPr>
        <w:t>,</w:t>
      </w:r>
      <w:r w:rsidRPr="00B21AAB">
        <w:rPr>
          <w:rFonts w:ascii="Arial Narrow" w:hAnsi="Arial Narrow"/>
          <w:lang w:val="bg-BG" w:eastAsia="bg-BG"/>
        </w:rPr>
        <w:t xml:space="preserve">6 ха площи. </w:t>
      </w:r>
      <w:r w:rsidRPr="00B21AAB">
        <w:rPr>
          <w:rFonts w:ascii="Arial Narrow" w:hAnsi="Arial Narrow"/>
          <w:color w:val="FF0000"/>
          <w:lang w:val="bg-BG" w:eastAsia="bg-BG"/>
        </w:rPr>
        <w:tab/>
      </w:r>
    </w:p>
    <w:p w14:paraId="1733AB28" w14:textId="77777777" w:rsidR="00B21AAB" w:rsidRPr="00B21AAB" w:rsidRDefault="00B21AAB" w:rsidP="00B21AAB">
      <w:pPr>
        <w:widowControl w:val="0"/>
        <w:spacing w:after="120"/>
        <w:ind w:firstLine="709"/>
        <w:jc w:val="both"/>
        <w:rPr>
          <w:rFonts w:ascii="Arial Narrow" w:hAnsi="Arial Narrow"/>
          <w:lang w:val="bg-BG" w:eastAsia="bg-BG"/>
        </w:rPr>
      </w:pPr>
      <w:r w:rsidRPr="00B21AAB">
        <w:rPr>
          <w:rFonts w:ascii="Arial Narrow" w:hAnsi="Arial Narrow"/>
          <w:lang w:val="bg-BG" w:eastAsia="bg-BG"/>
        </w:rPr>
        <w:t xml:space="preserve">Лицата, които извършват специализирани растителнозащитни услуги са 54, като 22 от тях извършват фумигация, 23 третиране на семена за посев и 9 консултантски услуги. Извършени са 60 проверки на лицата, извършващи специализирани растителнозащитни услуги, при които има констатирани </w:t>
      </w:r>
      <w:r w:rsidRPr="00B21AAB">
        <w:rPr>
          <w:rFonts w:ascii="Arial Narrow" w:hAnsi="Arial Narrow"/>
          <w:lang w:val="bg-BG" w:eastAsia="bg-BG"/>
        </w:rPr>
        <w:lastRenderedPageBreak/>
        <w:t>3 несъответствия.</w:t>
      </w:r>
    </w:p>
    <w:p w14:paraId="3439CA44" w14:textId="77777777" w:rsidR="00B21AAB" w:rsidRPr="00B21AAB" w:rsidRDefault="00B21AAB" w:rsidP="00B21AAB">
      <w:pPr>
        <w:widowControl w:val="0"/>
        <w:spacing w:after="120"/>
        <w:ind w:firstLine="709"/>
        <w:jc w:val="both"/>
        <w:rPr>
          <w:rFonts w:ascii="Arial Narrow" w:hAnsi="Arial Narrow"/>
          <w:b/>
          <w:iCs/>
          <w:lang w:val="bg-BG" w:eastAsia="bg-BG"/>
        </w:rPr>
      </w:pPr>
      <w:r w:rsidRPr="00B21AAB">
        <w:rPr>
          <w:rFonts w:ascii="Arial Narrow" w:hAnsi="Arial Narrow"/>
          <w:b/>
          <w:iCs/>
          <w:lang w:val="bg-BG" w:eastAsia="bg-BG"/>
        </w:rPr>
        <w:t>Проби за остатъци от пестициди в изпълнение на Националната програма за контрол на остатъци от пестициди във и върху храни от растителен и животински произход и листни проби за идентификация на ПРЗ</w:t>
      </w:r>
    </w:p>
    <w:p w14:paraId="2811570A" w14:textId="77777777" w:rsidR="00B21AAB" w:rsidRPr="00B21AAB" w:rsidRDefault="00B21AAB" w:rsidP="00B21AAB">
      <w:pPr>
        <w:widowControl w:val="0"/>
        <w:spacing w:after="120"/>
        <w:ind w:firstLine="709"/>
        <w:jc w:val="both"/>
        <w:rPr>
          <w:rFonts w:ascii="Arial Narrow" w:hAnsi="Arial Narrow"/>
          <w:lang w:val="bg-BG" w:eastAsia="bg-BG"/>
        </w:rPr>
      </w:pPr>
      <w:r w:rsidRPr="00B21AAB">
        <w:rPr>
          <w:rFonts w:ascii="Arial Narrow" w:hAnsi="Arial Narrow"/>
          <w:lang w:val="bg-BG" w:eastAsia="bg-BG"/>
        </w:rPr>
        <w:tab/>
        <w:t xml:space="preserve">От планираните 80 проби за остатъци от пестициди през 2024 г. са взети 78 проби. Установени са 4 несъответствия. Съставени са 2 акта за административно нарушение за употреба на неразрешени ПРЗ (при марули и череши). </w:t>
      </w:r>
    </w:p>
    <w:p w14:paraId="3C44E749" w14:textId="77777777" w:rsidR="00B21AAB" w:rsidRPr="00B21AAB" w:rsidRDefault="00B21AAB" w:rsidP="00B21AAB">
      <w:pPr>
        <w:widowControl w:val="0"/>
        <w:spacing w:after="120"/>
        <w:ind w:firstLine="709"/>
        <w:jc w:val="both"/>
        <w:rPr>
          <w:rFonts w:ascii="Arial Narrow" w:hAnsi="Arial Narrow"/>
          <w:lang w:val="bg-BG" w:eastAsia="bg-BG"/>
        </w:rPr>
      </w:pPr>
      <w:r w:rsidRPr="00B21AAB">
        <w:rPr>
          <w:rFonts w:ascii="Arial Narrow" w:hAnsi="Arial Narrow"/>
          <w:lang w:val="bg-BG" w:eastAsia="bg-BG"/>
        </w:rPr>
        <w:tab/>
        <w:t xml:space="preserve">В рамките на 2024 г. от планираните 85 растителни проби (50 за идентификация на употребените ПРЗ и 35 при постъпили сигнали, свързани с опазване на пчелите от отравяне и сигнали за нерегламентирана употреба на ПРЗ) са взети и анализирани 46 проби. Взети са и 2 растителни проби от слънчоглед и лавандула при постъпили сигнали, свързани с опазване на пчелите от отравяне, които не са изпратени за лабораторен анализ, тъй като в пробите от пчели не са установени пестициди. Съставени са 7 акта за административно нарушение, от които 2 са за употреба на неразрешени ПРЗ, и по 1 за употреба на ПРЗ, извън обхвата на разрешената употреба и за неспазване на добрата растителнозащитна практика, 2 за липса на оповестяване в Електронната платформа за оповестяване на растителнозащитни дейности (ЕПОРД) и 1 за липса на уведомление на собствениците на пчелни семейства, за извършване на третиране с ПРЗ. </w:t>
      </w:r>
    </w:p>
    <w:p w14:paraId="3A69AE64" w14:textId="77777777" w:rsidR="00B21AAB" w:rsidRPr="00B21AAB" w:rsidRDefault="00B21AAB" w:rsidP="00B21AAB">
      <w:pPr>
        <w:spacing w:after="120"/>
        <w:ind w:firstLine="709"/>
        <w:jc w:val="both"/>
        <w:rPr>
          <w:rFonts w:ascii="Arial Narrow" w:hAnsi="Arial Narrow"/>
          <w:b/>
          <w:iCs/>
          <w:lang w:val="bg-BG" w:eastAsia="bg-BG"/>
        </w:rPr>
      </w:pPr>
      <w:r w:rsidRPr="00B21AAB">
        <w:rPr>
          <w:rFonts w:ascii="Arial Narrow" w:hAnsi="Arial Narrow"/>
          <w:b/>
          <w:iCs/>
          <w:lang w:val="bg-BG" w:eastAsia="bg-BG"/>
        </w:rPr>
        <w:t>Проби от растения и растителни продукти по Националната програма за контрол на замърсители в храни (нитрати, тежки метали – олово и кадмий и микробиологични замърсители)</w:t>
      </w:r>
    </w:p>
    <w:p w14:paraId="03540820" w14:textId="77777777" w:rsidR="00B21AAB" w:rsidRPr="00B21AAB" w:rsidRDefault="00B21AAB" w:rsidP="00B21AAB">
      <w:pPr>
        <w:spacing w:after="120"/>
        <w:ind w:firstLine="709"/>
        <w:jc w:val="both"/>
        <w:rPr>
          <w:rFonts w:ascii="Arial Narrow" w:hAnsi="Arial Narrow"/>
          <w:lang w:val="bg-BG" w:eastAsia="bg-BG"/>
        </w:rPr>
      </w:pPr>
      <w:r w:rsidRPr="00B21AAB">
        <w:rPr>
          <w:rFonts w:ascii="Arial Narrow" w:hAnsi="Arial Narrow"/>
          <w:lang w:val="bg-BG" w:eastAsia="bg-BG"/>
        </w:rPr>
        <w:t xml:space="preserve">През 2024 г. от планираните 34 проби, са взети и анализирани 33 (6 за съдържание на нитрати, 24 за тежки метали и 3 за микробиологични замърсители) при първичното производство на земеделски култури, като е установено 1 несъответствие за наличие на нитрати при спанак. </w:t>
      </w:r>
    </w:p>
    <w:p w14:paraId="49C86647" w14:textId="77777777" w:rsidR="00B21AAB" w:rsidRPr="00B21AAB" w:rsidRDefault="00B21AAB" w:rsidP="00B21AAB">
      <w:pPr>
        <w:spacing w:after="120"/>
        <w:ind w:firstLine="709"/>
        <w:jc w:val="both"/>
        <w:rPr>
          <w:rFonts w:ascii="Arial Narrow" w:hAnsi="Arial Narrow"/>
          <w:b/>
          <w:iCs/>
          <w:lang w:val="bg-BG" w:eastAsia="bg-BG"/>
        </w:rPr>
      </w:pPr>
      <w:r w:rsidRPr="00B21AAB">
        <w:rPr>
          <w:rFonts w:ascii="Arial Narrow" w:hAnsi="Arial Narrow"/>
          <w:b/>
          <w:iCs/>
          <w:lang w:val="bg-BG" w:eastAsia="bg-BG"/>
        </w:rPr>
        <w:t>Взети проби от растения и растителни продукти извън Националния план за контрол върху употребата на ПРЗ за 2024 г.</w:t>
      </w:r>
    </w:p>
    <w:p w14:paraId="2808838B" w14:textId="77777777" w:rsidR="00B21AAB" w:rsidRPr="00B21AAB" w:rsidRDefault="00B21AAB" w:rsidP="00B21AAB">
      <w:pPr>
        <w:spacing w:after="120"/>
        <w:ind w:firstLine="709"/>
        <w:jc w:val="both"/>
        <w:rPr>
          <w:rFonts w:ascii="Arial Narrow" w:hAnsi="Arial Narrow"/>
          <w:lang w:val="bg-BG" w:eastAsia="bg-BG"/>
        </w:rPr>
      </w:pPr>
      <w:r w:rsidRPr="00B21AAB">
        <w:rPr>
          <w:rFonts w:ascii="Arial Narrow" w:hAnsi="Arial Narrow"/>
          <w:lang w:val="bg-BG" w:eastAsia="bg-BG"/>
        </w:rPr>
        <w:tab/>
        <w:t>По сигнали, жалби и заповеди е извършен лабораторен анализ на 28 проби и са съставени 5 акта за установено административно нарушение, от които 2 за употреба на неразрешен ПРЗ, 1 за употреба на ПРЗ извън обхвата на разрешената употреба или в доза, която надвишава максимално разрешената доза на единица площ и 2 за липса на уведомление на собствениците на пчелни семейства, за извършване на третиране с ПРЗ.</w:t>
      </w:r>
    </w:p>
    <w:p w14:paraId="69AB3C7E" w14:textId="77777777" w:rsidR="00B21AAB" w:rsidRPr="00B21AAB" w:rsidRDefault="00B21AAB" w:rsidP="00B21AAB">
      <w:pPr>
        <w:spacing w:after="120"/>
        <w:ind w:firstLine="709"/>
        <w:jc w:val="both"/>
        <w:rPr>
          <w:rFonts w:ascii="Arial Narrow" w:hAnsi="Arial Narrow"/>
          <w:b/>
          <w:iCs/>
          <w:lang w:val="bg-BG" w:eastAsia="bg-BG"/>
        </w:rPr>
      </w:pPr>
      <w:r w:rsidRPr="00B21AAB">
        <w:rPr>
          <w:rFonts w:eastAsia="Calibri"/>
          <w:b/>
          <w:bCs/>
          <w:lang w:val="bg-BG" w:eastAsia="bg-BG"/>
        </w:rPr>
        <w:tab/>
      </w:r>
      <w:r w:rsidRPr="00B21AAB">
        <w:rPr>
          <w:rFonts w:ascii="Arial Narrow" w:hAnsi="Arial Narrow"/>
          <w:b/>
          <w:iCs/>
          <w:lang w:val="bg-BG" w:eastAsia="bg-BG"/>
        </w:rPr>
        <w:t>Издадени становища на земеделски стопани, кандидатствали за подпомагане през 2024 г.</w:t>
      </w:r>
    </w:p>
    <w:p w14:paraId="693C952C" w14:textId="77777777" w:rsidR="00B21AAB" w:rsidRPr="00B21AAB" w:rsidRDefault="00B21AAB" w:rsidP="00B21AAB">
      <w:pPr>
        <w:spacing w:after="120"/>
        <w:ind w:firstLine="709"/>
        <w:jc w:val="both"/>
        <w:rPr>
          <w:rFonts w:ascii="Arial Narrow" w:hAnsi="Arial Narrow"/>
          <w:lang w:val="bg-BG" w:eastAsia="bg-BG"/>
        </w:rPr>
      </w:pPr>
      <w:r w:rsidRPr="00B21AAB">
        <w:rPr>
          <w:rFonts w:ascii="Arial Narrow" w:hAnsi="Arial Narrow"/>
          <w:color w:val="FF0000"/>
          <w:lang w:val="bg-BG" w:eastAsia="bg-BG"/>
        </w:rPr>
        <w:tab/>
      </w:r>
      <w:r w:rsidRPr="00B21AAB">
        <w:rPr>
          <w:rFonts w:ascii="Arial Narrow" w:hAnsi="Arial Narrow"/>
          <w:lang w:val="bg-BG" w:eastAsia="bg-BG"/>
        </w:rPr>
        <w:t xml:space="preserve">През годината са извършени 1 948 проверки на земеделски стопани, при които са издадени 1 253 становища по мерките за подпомагане. </w:t>
      </w:r>
    </w:p>
    <w:p w14:paraId="5433AC4C" w14:textId="77777777" w:rsidR="00B21AAB" w:rsidRPr="00B21AAB" w:rsidRDefault="00B21AAB" w:rsidP="00B21AAB">
      <w:pPr>
        <w:spacing w:after="120"/>
        <w:ind w:firstLine="709"/>
        <w:jc w:val="both"/>
        <w:rPr>
          <w:rFonts w:ascii="Arial Narrow" w:hAnsi="Arial Narrow"/>
          <w:b/>
          <w:iCs/>
          <w:lang w:val="bg-BG" w:eastAsia="bg-BG"/>
        </w:rPr>
      </w:pPr>
      <w:r w:rsidRPr="00B21AAB">
        <w:rPr>
          <w:rFonts w:ascii="Arial Narrow" w:hAnsi="Arial Narrow"/>
          <w:b/>
          <w:iCs/>
          <w:lang w:val="bg-BG" w:eastAsia="bg-BG"/>
        </w:rPr>
        <w:t xml:space="preserve">Резултати от контролната дейност на земеделските стопани за наличие на микробиологични замърсители </w:t>
      </w:r>
    </w:p>
    <w:p w14:paraId="5D65CE5A" w14:textId="77777777" w:rsidR="00B21AAB" w:rsidRPr="00B21AAB" w:rsidRDefault="00B21AAB" w:rsidP="00B21AAB">
      <w:pPr>
        <w:spacing w:after="120"/>
        <w:ind w:firstLine="709"/>
        <w:jc w:val="both"/>
        <w:rPr>
          <w:rFonts w:ascii="Arial Narrow" w:hAnsi="Arial Narrow"/>
          <w:lang w:val="bg-BG" w:eastAsia="bg-BG"/>
        </w:rPr>
      </w:pPr>
      <w:r w:rsidRPr="00B21AAB">
        <w:rPr>
          <w:rFonts w:ascii="Arial Narrow" w:hAnsi="Arial Narrow"/>
          <w:lang w:val="bg-BG" w:eastAsia="bg-BG"/>
        </w:rPr>
        <w:t>В рамките на годината са извършени общо 123 проверки на земеделски стопани за наличие на микробиологични замърсители при първично производство на земеделски култури и са издадени 10 предписания.</w:t>
      </w:r>
    </w:p>
    <w:p w14:paraId="25AA3E5F" w14:textId="77777777" w:rsidR="00B21AAB" w:rsidRPr="00B21AAB" w:rsidRDefault="00B21AAB" w:rsidP="00B21AAB">
      <w:pPr>
        <w:spacing w:after="120"/>
        <w:ind w:firstLine="709"/>
        <w:jc w:val="both"/>
        <w:rPr>
          <w:rFonts w:ascii="Arial Narrow" w:hAnsi="Arial Narrow"/>
          <w:b/>
          <w:iCs/>
          <w:lang w:val="bg-BG" w:eastAsia="bg-BG"/>
        </w:rPr>
      </w:pPr>
      <w:r w:rsidRPr="00B21AAB">
        <w:rPr>
          <w:rFonts w:ascii="Arial Narrow" w:hAnsi="Arial Narrow"/>
          <w:b/>
          <w:iCs/>
          <w:lang w:val="bg-BG" w:eastAsia="bg-BG"/>
        </w:rPr>
        <w:t xml:space="preserve">Извършени проверки на земеделски стопанства за спазване на правилата за Добра Земеделска практика </w:t>
      </w:r>
    </w:p>
    <w:p w14:paraId="0F2776AA" w14:textId="77777777" w:rsidR="00B21AAB" w:rsidRPr="00B21AAB" w:rsidRDefault="00B21AAB" w:rsidP="00B21AAB">
      <w:pPr>
        <w:tabs>
          <w:tab w:val="left" w:pos="709"/>
        </w:tabs>
        <w:overflowPunct w:val="0"/>
        <w:autoSpaceDE w:val="0"/>
        <w:autoSpaceDN w:val="0"/>
        <w:adjustRightInd w:val="0"/>
        <w:spacing w:after="120"/>
        <w:jc w:val="both"/>
        <w:textAlignment w:val="baseline"/>
        <w:rPr>
          <w:rFonts w:ascii="Arial Narrow" w:hAnsi="Arial Narrow"/>
          <w:lang w:val="bg-BG" w:eastAsia="bg-BG"/>
        </w:rPr>
      </w:pPr>
      <w:r w:rsidRPr="00B21AAB">
        <w:rPr>
          <w:rFonts w:eastAsia="Calibri"/>
          <w:color w:val="FF0000"/>
          <w:lang w:val="bg-BG" w:eastAsia="bg-BG"/>
        </w:rPr>
        <w:tab/>
      </w:r>
      <w:r w:rsidRPr="00B21AAB">
        <w:rPr>
          <w:rFonts w:ascii="Arial Narrow" w:hAnsi="Arial Narrow"/>
          <w:lang w:val="bg-BG" w:eastAsia="bg-BG"/>
        </w:rPr>
        <w:t>През 2024 г. са извършени 245 проверки и са направени 5 предписания. Основните пропуски, които се допускат от земеделските стопани при спазване на правилата за добра земеделска практика са липсата на изградени съоръжения за съхранение на твърд или течен оборски тор и недостатъчен капацитет на торовата площадка.</w:t>
      </w:r>
    </w:p>
    <w:p w14:paraId="78001B6A" w14:textId="77777777" w:rsidR="00B21AAB" w:rsidRDefault="00B21AAB" w:rsidP="00B21AAB">
      <w:pPr>
        <w:spacing w:after="120"/>
        <w:ind w:firstLine="709"/>
        <w:jc w:val="both"/>
        <w:rPr>
          <w:rFonts w:ascii="Arial Narrow" w:hAnsi="Arial Narrow"/>
          <w:color w:val="FF0000"/>
          <w:lang w:val="bg-BG" w:eastAsia="bg-BG"/>
        </w:rPr>
      </w:pPr>
      <w:r w:rsidRPr="00B21AAB">
        <w:rPr>
          <w:rFonts w:ascii="Arial Narrow" w:hAnsi="Arial Narrow"/>
          <w:color w:val="FF0000"/>
          <w:lang w:val="bg-BG" w:eastAsia="bg-BG"/>
        </w:rPr>
        <w:tab/>
      </w:r>
      <w:r w:rsidRPr="00B21AAB">
        <w:rPr>
          <w:rFonts w:ascii="Arial Narrow" w:hAnsi="Arial Narrow"/>
          <w:lang w:val="bg-BG" w:eastAsia="bg-BG"/>
        </w:rPr>
        <w:t>Извършени са общо 13 проверки на земеделски стопанства по сигнали и жалби за спазване на добрата земеделска практика и са констатирани 4 несъответствия.</w:t>
      </w:r>
    </w:p>
    <w:p w14:paraId="3728B289" w14:textId="77777777" w:rsidR="00B21AAB" w:rsidRPr="00B21AAB" w:rsidRDefault="008F526C" w:rsidP="00B21AAB">
      <w:pPr>
        <w:pStyle w:val="ListParagraph"/>
        <w:widowControl w:val="0"/>
        <w:numPr>
          <w:ilvl w:val="2"/>
          <w:numId w:val="3"/>
        </w:numPr>
        <w:tabs>
          <w:tab w:val="left" w:pos="1080"/>
        </w:tabs>
        <w:spacing w:after="120"/>
        <w:ind w:left="1080" w:hanging="720"/>
        <w:contextualSpacing w:val="0"/>
        <w:jc w:val="both"/>
        <w:outlineLvl w:val="0"/>
        <w:rPr>
          <w:rFonts w:ascii="Arial Narrow" w:hAnsi="Arial Narrow"/>
          <w:b/>
          <w:iCs/>
          <w:lang w:val="bg-BG"/>
        </w:rPr>
      </w:pPr>
      <w:bookmarkStart w:id="153" w:name="_Toc210747619"/>
      <w:bookmarkStart w:id="154" w:name="_Toc526866132"/>
      <w:r w:rsidRPr="00B21AAB">
        <w:rPr>
          <w:rFonts w:ascii="Arial Narrow" w:hAnsi="Arial Narrow"/>
          <w:b/>
          <w:iCs/>
          <w:lang w:val="bg-BG"/>
        </w:rPr>
        <w:t xml:space="preserve">Анализ на резултатите от проведения контрол на пазара и употребата на ПРЗ през </w:t>
      </w:r>
      <w:r w:rsidR="003D554C" w:rsidRPr="00B21AAB">
        <w:rPr>
          <w:rFonts w:ascii="Arial Narrow" w:hAnsi="Arial Narrow"/>
          <w:b/>
          <w:iCs/>
          <w:lang w:val="bg-BG"/>
        </w:rPr>
        <w:t xml:space="preserve"> </w:t>
      </w:r>
      <w:r w:rsidR="00B21AAB" w:rsidRPr="00B21AAB">
        <w:rPr>
          <w:rFonts w:ascii="Arial Narrow" w:hAnsi="Arial Narrow"/>
          <w:b/>
          <w:iCs/>
          <w:lang w:val="bg-BG"/>
        </w:rPr>
        <w:t>2024</w:t>
      </w:r>
      <w:r w:rsidRPr="00B21AAB">
        <w:rPr>
          <w:rFonts w:ascii="Arial Narrow" w:hAnsi="Arial Narrow"/>
          <w:b/>
          <w:iCs/>
          <w:lang w:val="bg-BG"/>
        </w:rPr>
        <w:t xml:space="preserve"> г.</w:t>
      </w:r>
      <w:bookmarkEnd w:id="153"/>
    </w:p>
    <w:p w14:paraId="2F560385" w14:textId="77777777" w:rsidR="00B21AAB" w:rsidRPr="00B21AAB" w:rsidRDefault="00B21AAB" w:rsidP="00B21AAB">
      <w:pPr>
        <w:spacing w:after="120"/>
        <w:ind w:firstLine="709"/>
        <w:jc w:val="both"/>
        <w:rPr>
          <w:rFonts w:ascii="Arial Narrow" w:hAnsi="Arial Narrow"/>
          <w:lang w:val="bg-BG" w:eastAsia="bg-BG"/>
        </w:rPr>
      </w:pPr>
      <w:r w:rsidRPr="00B21AAB">
        <w:rPr>
          <w:rFonts w:ascii="Arial Narrow" w:hAnsi="Arial Narrow"/>
          <w:lang w:val="bg-BG" w:eastAsia="bg-BG"/>
        </w:rPr>
        <w:lastRenderedPageBreak/>
        <w:tab/>
        <w:t>Постигнат е напредък при изпълнение на целите, поставени в Годишните Национални планове за контрол на пазара и контрол върху употребата на продукти за растителна защита и торове, като извършените проверки са ефективни.</w:t>
      </w:r>
    </w:p>
    <w:p w14:paraId="11D1BF50" w14:textId="77777777" w:rsidR="00B21AAB" w:rsidRPr="00B21AAB" w:rsidRDefault="00B21AAB" w:rsidP="00B21AAB">
      <w:pPr>
        <w:spacing w:after="120"/>
        <w:ind w:firstLine="709"/>
        <w:jc w:val="both"/>
        <w:rPr>
          <w:rFonts w:ascii="Arial Narrow" w:hAnsi="Arial Narrow"/>
          <w:lang w:val="bg-BG" w:eastAsia="bg-BG"/>
        </w:rPr>
      </w:pPr>
      <w:r w:rsidRPr="00B21AAB">
        <w:rPr>
          <w:rFonts w:ascii="Arial Narrow" w:hAnsi="Arial Narrow"/>
          <w:lang w:val="bg-BG" w:eastAsia="bg-BG"/>
        </w:rPr>
        <w:tab/>
        <w:t>Констатираните през 2024 г. тежки нарушения при контролната дейност върху предлагането на пазара на ПРЗ са търговия и съхранение на неразрешени и с изтекъл срок на годност ПРЗ,</w:t>
      </w:r>
      <w:r w:rsidRPr="00B21AAB">
        <w:rPr>
          <w:rFonts w:ascii="Arial Narrow" w:hAnsi="Arial Narrow"/>
          <w:color w:val="000000"/>
          <w:lang w:val="bg-BG" w:eastAsia="bg-BG"/>
        </w:rPr>
        <w:t xml:space="preserve"> </w:t>
      </w:r>
      <w:r w:rsidRPr="00B21AAB">
        <w:rPr>
          <w:rFonts w:ascii="Arial Narrow" w:hAnsi="Arial Narrow"/>
          <w:lang w:val="bg-BG" w:eastAsia="bg-BG"/>
        </w:rPr>
        <w:t>продажба на ПРЗ от професионална категория на употреба на лице без сертификат и търговия с ПРЗ в нерегламентирани обекти без удостоверение за търговия, а най-често срещаните несъответствия са непълни данни в дневника за доставени и продаде ПРЗ, неподредени по предназначение ПРЗ, липса на договор за предаване на негодни ПРЗ и обособено място за съхранение на тези с изтекъл срок на годност.</w:t>
      </w:r>
    </w:p>
    <w:p w14:paraId="36A52A2B" w14:textId="77777777" w:rsidR="00B21AAB" w:rsidRPr="00B21AAB" w:rsidRDefault="00B21AAB" w:rsidP="00B21AAB">
      <w:pPr>
        <w:spacing w:after="120"/>
        <w:ind w:firstLine="709"/>
        <w:jc w:val="both"/>
        <w:rPr>
          <w:rFonts w:ascii="Arial Narrow" w:hAnsi="Arial Narrow"/>
          <w:lang w:val="bg-BG" w:eastAsia="bg-BG"/>
        </w:rPr>
      </w:pPr>
      <w:r w:rsidRPr="00B21AAB">
        <w:rPr>
          <w:rFonts w:ascii="Arial Narrow" w:hAnsi="Arial Narrow"/>
          <w:lang w:val="bg-BG" w:eastAsia="bg-BG"/>
        </w:rPr>
        <w:t xml:space="preserve">В рамките на 2024 г. най-често срещаните несъответствия при контролната дейност върху употребата на ПРЗ при земеделските стопани са липса на договор с фирма за събиране на празни опаковки, липса на уведомяване за проведени растителнозащитни  мероприятия в ЕПОРД, непълни данни в Дневник за проведените растителнозащитни мероприятия и торене или липса на такъв, също така липса на първични счетоводни документи и земеделският стопанин не притежава сертификат. Констатирани са и някои по-тежки нарушения като съхранение с цел употреба на неразрешени или негодни продукти за растителна защита и употребата на продукти за растителна защита извън обхвата на разрешената употреба. </w:t>
      </w:r>
    </w:p>
    <w:p w14:paraId="794F7FBF" w14:textId="77777777" w:rsidR="00B21AAB" w:rsidRPr="00B21AAB" w:rsidRDefault="00B21AAB" w:rsidP="00B21AAB">
      <w:pPr>
        <w:spacing w:after="120"/>
        <w:ind w:firstLine="709"/>
        <w:jc w:val="both"/>
        <w:rPr>
          <w:rFonts w:ascii="Arial Narrow" w:hAnsi="Arial Narrow"/>
          <w:lang w:val="bg-BG" w:eastAsia="bg-BG"/>
        </w:rPr>
      </w:pPr>
      <w:r w:rsidRPr="00B21AAB">
        <w:rPr>
          <w:rFonts w:ascii="Arial Narrow" w:hAnsi="Arial Narrow"/>
          <w:lang w:val="bg-BG" w:eastAsia="bg-BG"/>
        </w:rPr>
        <w:t>В зависимост от тежестта на установеното несъответствие са дадени предписания със срок за изпълнението им или са съставени актове за установяване на административно нарушение.</w:t>
      </w:r>
    </w:p>
    <w:p w14:paraId="79E4B134" w14:textId="77777777" w:rsidR="00B21AAB" w:rsidRPr="00B21AAB" w:rsidRDefault="00B21AAB" w:rsidP="00B21AAB">
      <w:pPr>
        <w:spacing w:after="120"/>
        <w:ind w:firstLine="709"/>
        <w:jc w:val="both"/>
        <w:rPr>
          <w:rFonts w:ascii="Arial Narrow" w:hAnsi="Arial Narrow"/>
          <w:lang w:val="bg-BG" w:eastAsia="bg-BG"/>
        </w:rPr>
      </w:pPr>
      <w:r w:rsidRPr="00B21AAB">
        <w:rPr>
          <w:rFonts w:ascii="Arial Narrow" w:hAnsi="Arial Narrow"/>
          <w:lang w:val="bg-BG" w:eastAsia="bg-BG"/>
        </w:rPr>
        <w:tab/>
        <w:t>Голяма част от търговците на ПРЗ и земеделските стопани изпълняват предписанията и оказват съдействие на компетентните органи, водят задължителната документация и записи.</w:t>
      </w:r>
    </w:p>
    <w:p w14:paraId="556F0A9B" w14:textId="77777777" w:rsidR="00B21AAB" w:rsidRPr="00B21AAB" w:rsidRDefault="00B21AAB" w:rsidP="00B21AAB">
      <w:pPr>
        <w:spacing w:after="120"/>
        <w:ind w:firstLine="709"/>
        <w:jc w:val="both"/>
        <w:rPr>
          <w:rFonts w:ascii="Arial Narrow" w:hAnsi="Arial Narrow"/>
          <w:lang w:val="bg-BG" w:eastAsia="bg-BG"/>
        </w:rPr>
      </w:pPr>
      <w:r w:rsidRPr="00B21AAB">
        <w:rPr>
          <w:rFonts w:ascii="Arial Narrow" w:hAnsi="Arial Narrow"/>
          <w:lang w:val="bg-BG" w:eastAsia="bg-BG"/>
        </w:rPr>
        <w:tab/>
        <w:t>С изграждането и ползване на ЕПОРД се наблюдава съществено намаляване на сигналите, свързани с опазване на пчелите от отравяне през годините.</w:t>
      </w:r>
    </w:p>
    <w:p w14:paraId="1FF6B9BF" w14:textId="77777777" w:rsidR="00B21AAB" w:rsidRPr="00B21AAB" w:rsidRDefault="00B21AAB" w:rsidP="00B21AAB">
      <w:pPr>
        <w:spacing w:after="120"/>
        <w:ind w:firstLine="709"/>
        <w:jc w:val="both"/>
        <w:rPr>
          <w:rFonts w:ascii="Arial Narrow" w:hAnsi="Arial Narrow"/>
          <w:lang w:val="bg-BG" w:eastAsia="bg-BG"/>
        </w:rPr>
      </w:pPr>
      <w:r w:rsidRPr="00B21AAB">
        <w:rPr>
          <w:rFonts w:ascii="Arial Narrow" w:hAnsi="Arial Narrow"/>
          <w:lang w:val="bg-BG" w:eastAsia="bg-BG"/>
        </w:rPr>
        <w:t>Запазва се тенденцията за намаляване на третираните площи чрез въздушно пръскане и издаване на разрешения за въздушно пръскане.</w:t>
      </w:r>
    </w:p>
    <w:p w14:paraId="57409B45" w14:textId="77777777" w:rsidR="00B21AAB" w:rsidRPr="00B21AAB" w:rsidRDefault="00B21AAB" w:rsidP="00B21AAB">
      <w:pPr>
        <w:spacing w:after="120"/>
        <w:ind w:firstLine="709"/>
        <w:jc w:val="both"/>
        <w:rPr>
          <w:rFonts w:ascii="Arial Narrow" w:hAnsi="Arial Narrow"/>
          <w:lang w:val="bg-BG" w:eastAsia="bg-BG"/>
        </w:rPr>
      </w:pPr>
      <w:r w:rsidRPr="00B21AAB">
        <w:rPr>
          <w:rFonts w:ascii="Arial Narrow" w:hAnsi="Arial Narrow"/>
          <w:lang w:val="bg-BG" w:eastAsia="bg-BG"/>
        </w:rPr>
        <w:tab/>
        <w:t xml:space="preserve">С цел противодействие на нелегалния внос, търговията и употребата на неразрешени и нелегални ПРЗ, през 2024 г. Българската агенция по безопасност на храните участва в международна операция SILVER AXE VІI, насочена срещу разпространението на нелегални пестициди. </w:t>
      </w:r>
    </w:p>
    <w:p w14:paraId="64917976" w14:textId="77777777" w:rsidR="00B21AAB" w:rsidRPr="00B21AAB" w:rsidRDefault="00B21AAB" w:rsidP="00B21AAB">
      <w:pPr>
        <w:spacing w:after="120"/>
        <w:ind w:firstLine="709"/>
        <w:jc w:val="both"/>
        <w:rPr>
          <w:rFonts w:ascii="Arial Narrow" w:hAnsi="Arial Narrow"/>
          <w:lang w:val="bg-BG" w:eastAsia="bg-BG"/>
        </w:rPr>
      </w:pPr>
      <w:r w:rsidRPr="00B21AAB">
        <w:rPr>
          <w:rFonts w:ascii="Arial Narrow" w:hAnsi="Arial Narrow"/>
          <w:lang w:val="bg-BG" w:eastAsia="bg-BG"/>
        </w:rPr>
        <w:t>В рамките на контролната дейност през годината на територията на страната са извършени общо 1 617 целеви проверки за нелегални продукти за растителна защита, от които 696 на обекти за търговия и 921 на земеделски стопани за употреба на ПРЗ, като са издадени 31 акта за установено административно нарушение. При извършените проверки са открити общо 7 362,65 л и 2 429,31 кг неразрешени ПРЗ във вътрешността на страната.</w:t>
      </w:r>
    </w:p>
    <w:p w14:paraId="3BED8413" w14:textId="77777777" w:rsidR="00B21AAB" w:rsidRPr="00B21AAB" w:rsidRDefault="00B21AAB" w:rsidP="00B21AAB">
      <w:pPr>
        <w:spacing w:after="120"/>
        <w:ind w:firstLine="709"/>
        <w:jc w:val="both"/>
        <w:rPr>
          <w:rFonts w:ascii="Arial Narrow" w:hAnsi="Arial Narrow"/>
          <w:lang w:val="bg-BG" w:eastAsia="bg-BG"/>
        </w:rPr>
      </w:pPr>
      <w:r w:rsidRPr="00B21AAB">
        <w:rPr>
          <w:rFonts w:eastAsia="Calibri"/>
          <w:bCs/>
          <w:lang w:val="bg-BG" w:eastAsia="bg-BG"/>
        </w:rPr>
        <w:tab/>
      </w:r>
      <w:r w:rsidRPr="00B21AAB">
        <w:rPr>
          <w:rFonts w:ascii="Arial Narrow" w:hAnsi="Arial Narrow"/>
          <w:lang w:val="bg-BG" w:eastAsia="bg-BG"/>
        </w:rPr>
        <w:t>Нерегламентираните обекти са рискови обекти, където се създават условия за нерегламентирана търговия с ПРЗ, както и търговия и разпространение на неразрешени или фалшиви ПРЗ, което налага да се акцентира върху този контрол и през следващите години.</w:t>
      </w:r>
    </w:p>
    <w:p w14:paraId="21F0AF6F" w14:textId="77777777" w:rsidR="00B21AAB" w:rsidRPr="00B21AAB" w:rsidRDefault="00B21AAB" w:rsidP="00B21AAB">
      <w:pPr>
        <w:spacing w:after="120"/>
        <w:ind w:firstLine="709"/>
        <w:jc w:val="both"/>
        <w:rPr>
          <w:rFonts w:ascii="Arial Narrow" w:hAnsi="Arial Narrow"/>
          <w:lang w:val="bg-BG" w:eastAsia="bg-BG"/>
        </w:rPr>
      </w:pPr>
      <w:r w:rsidRPr="00B21AAB">
        <w:rPr>
          <w:rFonts w:ascii="Arial Narrow" w:hAnsi="Arial Narrow"/>
          <w:lang w:val="bg-BG" w:eastAsia="bg-BG"/>
        </w:rPr>
        <w:t>За противодействие срещу нелегалната интернет търговия през 2024 г. са извършени множество проверки на онлайн сайтове за продажба на нелегални ПРЗ или етикетирани на език, различен от български. При констатираните нарушения са сигнализирани администраторите на сайтовете за премахване на обявите за нерегламентирана търговия на ПРЗ. За установените нарушения са изпратени официални писма до компетентните органи за предприемане мерки срещу нарушителите.</w:t>
      </w:r>
    </w:p>
    <w:p w14:paraId="298709B2" w14:textId="77777777" w:rsidR="00B21AAB" w:rsidRPr="00B21AAB" w:rsidRDefault="00B21AAB" w:rsidP="00B21AAB">
      <w:pPr>
        <w:spacing w:after="120"/>
        <w:ind w:firstLine="709"/>
        <w:jc w:val="both"/>
        <w:rPr>
          <w:rFonts w:ascii="Arial Narrow" w:hAnsi="Arial Narrow"/>
          <w:lang w:val="bg-BG" w:eastAsia="bg-BG"/>
        </w:rPr>
      </w:pPr>
      <w:r w:rsidRPr="00B21AAB">
        <w:rPr>
          <w:rFonts w:ascii="Arial Narrow" w:hAnsi="Arial Narrow"/>
          <w:lang w:val="bg-BG" w:eastAsia="bg-BG"/>
        </w:rPr>
        <w:t>От октомври 2024 г. се извършват съвместни проверки с органите на МВР на територията на цялата страна срещу нелегалната търговия и разпространението на незаконни ПРЗ.</w:t>
      </w:r>
    </w:p>
    <w:p w14:paraId="3C8BB95F" w14:textId="77777777" w:rsidR="00B76710" w:rsidRPr="00B21AAB" w:rsidRDefault="00B21AAB" w:rsidP="00C90314">
      <w:pPr>
        <w:spacing w:after="120"/>
        <w:ind w:firstLine="709"/>
        <w:jc w:val="both"/>
        <w:rPr>
          <w:rFonts w:ascii="Arial Narrow" w:hAnsi="Arial Narrow"/>
          <w:lang w:val="bg-BG" w:eastAsia="bg-BG"/>
        </w:rPr>
      </w:pPr>
      <w:r w:rsidRPr="00B21AAB">
        <w:rPr>
          <w:rFonts w:ascii="Arial Narrow" w:hAnsi="Arial Narrow"/>
          <w:lang w:val="bg-BG" w:eastAsia="bg-BG"/>
        </w:rPr>
        <w:t>През годината е проведен одит от Европейската Комисия на Република България с цел оценка на разрешаването и контрола върху пускането на пазара и употребата на продукти за растителна защита.</w:t>
      </w:r>
    </w:p>
    <w:p w14:paraId="575344D5" w14:textId="77777777" w:rsidR="008B1A67" w:rsidRPr="00C84D19" w:rsidRDefault="008B1A67" w:rsidP="00160B2E">
      <w:pPr>
        <w:pStyle w:val="ListParagraph"/>
        <w:numPr>
          <w:ilvl w:val="0"/>
          <w:numId w:val="3"/>
        </w:numPr>
        <w:spacing w:after="120"/>
        <w:ind w:left="357" w:firstLine="3"/>
        <w:contextualSpacing w:val="0"/>
        <w:outlineLvl w:val="0"/>
        <w:rPr>
          <w:rFonts w:ascii="Arial Narrow" w:hAnsi="Arial Narrow"/>
          <w:b/>
          <w:bCs/>
          <w:lang w:val="bg-BG" w:eastAsia="bg-BG"/>
        </w:rPr>
      </w:pPr>
      <w:bookmarkStart w:id="155" w:name="_Toc210747620"/>
      <w:bookmarkEnd w:id="154"/>
      <w:r w:rsidRPr="00C84D19">
        <w:rPr>
          <w:rFonts w:ascii="Arial Narrow" w:hAnsi="Arial Narrow"/>
          <w:b/>
          <w:bCs/>
          <w:lang w:val="bg-BG" w:eastAsia="bg-BG"/>
        </w:rPr>
        <w:t>Торове</w:t>
      </w:r>
      <w:bookmarkEnd w:id="155"/>
    </w:p>
    <w:p w14:paraId="3084789F" w14:textId="77777777" w:rsidR="00C84D19" w:rsidRPr="00C84D19" w:rsidRDefault="008B1A67" w:rsidP="00C84D19">
      <w:pPr>
        <w:pStyle w:val="ListParagraph"/>
        <w:keepNext/>
        <w:numPr>
          <w:ilvl w:val="1"/>
          <w:numId w:val="16"/>
        </w:numPr>
        <w:spacing w:after="120"/>
        <w:ind w:left="810" w:hanging="453"/>
        <w:outlineLvl w:val="0"/>
        <w:rPr>
          <w:rFonts w:ascii="Arial Narrow" w:hAnsi="Arial Narrow"/>
          <w:b/>
          <w:lang w:val="bg-BG" w:eastAsia="bg-BG"/>
        </w:rPr>
      </w:pPr>
      <w:bookmarkStart w:id="156" w:name="_Toc210747621"/>
      <w:r w:rsidRPr="00C84D19">
        <w:rPr>
          <w:rFonts w:ascii="Arial Narrow" w:hAnsi="Arial Narrow"/>
          <w:b/>
          <w:iCs/>
          <w:lang w:val="bg-BG" w:eastAsia="bg-BG"/>
        </w:rPr>
        <w:lastRenderedPageBreak/>
        <w:t>Регистрация</w:t>
      </w:r>
      <w:r w:rsidRPr="00C84D19">
        <w:rPr>
          <w:rFonts w:ascii="Arial Narrow" w:hAnsi="Arial Narrow"/>
          <w:b/>
          <w:lang w:val="bg-BG" w:eastAsia="bg-BG"/>
        </w:rPr>
        <w:t xml:space="preserve"> на торове</w:t>
      </w:r>
      <w:bookmarkEnd w:id="156"/>
    </w:p>
    <w:p w14:paraId="65142C0C" w14:textId="77777777" w:rsidR="00C84D19" w:rsidRPr="00C84D19" w:rsidRDefault="00C84D19" w:rsidP="00C84D19">
      <w:pPr>
        <w:spacing w:after="120"/>
        <w:ind w:right="29" w:firstLine="720"/>
        <w:jc w:val="both"/>
        <w:rPr>
          <w:rFonts w:ascii="Arial Narrow" w:hAnsi="Arial Narrow"/>
          <w:lang w:val="bg-BG" w:eastAsia="bg-BG"/>
        </w:rPr>
      </w:pPr>
      <w:r w:rsidRPr="00C84D19">
        <w:rPr>
          <w:rFonts w:ascii="Arial Narrow" w:hAnsi="Arial Narrow"/>
          <w:lang w:val="bg-BG" w:eastAsia="bg-BG"/>
        </w:rPr>
        <w:t xml:space="preserve">През 2024 г. в регистъра по чл. 6, ал. 1, т.14 от Закона за защита на растенията са вписани общо 106 торове, подобрители на почвата, биологично активни вещества и хранителни субстрати, които се пускат на пазара без нанесена маркировка „СЕ“. </w:t>
      </w:r>
    </w:p>
    <w:p w14:paraId="51EAC2B7" w14:textId="77777777" w:rsidR="00C84D19" w:rsidRPr="00C84D19" w:rsidRDefault="00985277" w:rsidP="00C84D19">
      <w:pPr>
        <w:pStyle w:val="ListParagraph"/>
        <w:keepNext/>
        <w:numPr>
          <w:ilvl w:val="1"/>
          <w:numId w:val="16"/>
        </w:numPr>
        <w:spacing w:after="120"/>
        <w:ind w:left="810" w:hanging="453"/>
        <w:outlineLvl w:val="0"/>
        <w:rPr>
          <w:rFonts w:ascii="Arial Narrow" w:hAnsi="Arial Narrow"/>
          <w:b/>
          <w:iCs/>
          <w:lang w:val="bg-BG" w:eastAsia="bg-BG"/>
        </w:rPr>
      </w:pPr>
      <w:bookmarkStart w:id="157" w:name="_Toc210747622"/>
      <w:r w:rsidRPr="00C84D19">
        <w:rPr>
          <w:rFonts w:ascii="Arial Narrow" w:hAnsi="Arial Narrow"/>
          <w:b/>
          <w:iCs/>
          <w:lang w:val="bg-BG" w:eastAsia="bg-BG"/>
        </w:rPr>
        <w:t>Контрол на торовете при предлагането им на пазара</w:t>
      </w:r>
      <w:bookmarkEnd w:id="157"/>
    </w:p>
    <w:p w14:paraId="363CD813" w14:textId="77777777" w:rsidR="00C84D19" w:rsidRPr="00C84D19" w:rsidRDefault="00C84D19" w:rsidP="00C84D19">
      <w:pPr>
        <w:spacing w:after="120"/>
        <w:ind w:right="29" w:firstLine="720"/>
        <w:jc w:val="both"/>
        <w:rPr>
          <w:rFonts w:ascii="Arial Narrow" w:hAnsi="Arial Narrow"/>
          <w:lang w:val="bg-BG" w:eastAsia="bg-BG"/>
        </w:rPr>
      </w:pPr>
      <w:r w:rsidRPr="00C84D19">
        <w:rPr>
          <w:rFonts w:ascii="Arial Narrow" w:hAnsi="Arial Narrow"/>
          <w:lang w:val="bg-BG" w:eastAsia="bg-BG"/>
        </w:rPr>
        <w:t xml:space="preserve">На територията на страната през 2024 г. са извършени общо 630 проверки във връзка с осъществявания от БАБХ контрол на торове, при планирани 565 проверки. Издадени са 20 предписания и е посочен срок за изпълнение. Няма съставени актове за установено административно нарушение. </w:t>
      </w:r>
    </w:p>
    <w:p w14:paraId="573A1277" w14:textId="77777777" w:rsidR="00C84D19" w:rsidRPr="00C84D19" w:rsidRDefault="00C84D19" w:rsidP="00C84D19">
      <w:pPr>
        <w:spacing w:after="120"/>
        <w:ind w:right="29" w:firstLine="720"/>
        <w:jc w:val="both"/>
        <w:rPr>
          <w:rFonts w:ascii="Arial Narrow" w:hAnsi="Arial Narrow"/>
          <w:lang w:val="bg-BG" w:eastAsia="bg-BG"/>
        </w:rPr>
      </w:pPr>
      <w:r w:rsidRPr="00C84D19">
        <w:rPr>
          <w:rFonts w:ascii="Arial Narrow" w:hAnsi="Arial Narrow"/>
          <w:lang w:val="bg-BG" w:eastAsia="bg-BG"/>
        </w:rPr>
        <w:t xml:space="preserve">В изпълнение на Националния план за контрол на торове, подобрители на почвата, биологично активни вещества и хранителни субстрати за 2024 г. са взети и изследвани 46 проби торове, регистрирани по националното законодателство. Изготвени са 46 становища за установяване на съответствие с показателите, обявени от производителя, съгласно Закона за защита на растенията. </w:t>
      </w:r>
    </w:p>
    <w:p w14:paraId="69E33698" w14:textId="77777777" w:rsidR="00C84D19" w:rsidRPr="00C84D19" w:rsidRDefault="00C84D19" w:rsidP="00C84D19">
      <w:pPr>
        <w:keepNext/>
        <w:spacing w:after="120"/>
        <w:ind w:right="-142"/>
        <w:rPr>
          <w:rFonts w:ascii="Arial Narrow" w:hAnsi="Arial Narrow"/>
          <w:b/>
          <w:bCs/>
          <w:lang w:val="bg-BG" w:eastAsia="bg-BG"/>
        </w:rPr>
      </w:pPr>
      <w:r w:rsidRPr="00C84D19">
        <w:rPr>
          <w:rFonts w:ascii="Arial Narrow" w:hAnsi="Arial Narrow"/>
          <w:b/>
          <w:bCs/>
          <w:lang w:val="bg-BG" w:eastAsia="bg-BG"/>
        </w:rPr>
        <w:t>Таблица V.7. Контрол върху торовете през периода 2022 - 2024 г.</w:t>
      </w:r>
    </w:p>
    <w:tbl>
      <w:tblPr>
        <w:tblW w:w="5000" w:type="pct"/>
        <w:tblInd w:w="108" w:type="dxa"/>
        <w:tblLook w:val="04A0" w:firstRow="1" w:lastRow="0" w:firstColumn="1" w:lastColumn="0" w:noHBand="0" w:noVBand="1"/>
      </w:tblPr>
      <w:tblGrid>
        <w:gridCol w:w="3146"/>
        <w:gridCol w:w="2218"/>
        <w:gridCol w:w="2218"/>
        <w:gridCol w:w="2218"/>
      </w:tblGrid>
      <w:tr w:rsidR="00C84D19" w:rsidRPr="00C84D19" w14:paraId="49B142A0" w14:textId="77777777" w:rsidTr="00EA0339">
        <w:trPr>
          <w:trHeight w:val="427"/>
        </w:trPr>
        <w:tc>
          <w:tcPr>
            <w:tcW w:w="321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CB25D7A" w14:textId="77777777" w:rsidR="00C84D19" w:rsidRPr="00C84D19" w:rsidRDefault="00C84D19" w:rsidP="00C84D19">
            <w:pPr>
              <w:jc w:val="center"/>
              <w:rPr>
                <w:rFonts w:ascii="Arial Narrow" w:hAnsi="Arial Narrow" w:cs="Arial"/>
                <w:b/>
                <w:bCs/>
                <w:sz w:val="20"/>
                <w:szCs w:val="20"/>
                <w:lang w:val="bg-BG" w:eastAsia="bg-BG"/>
              </w:rPr>
            </w:pPr>
            <w:r w:rsidRPr="00C84D19">
              <w:rPr>
                <w:rFonts w:ascii="Arial Narrow" w:hAnsi="Arial Narrow" w:cs="Arial"/>
                <w:b/>
                <w:bCs/>
                <w:sz w:val="20"/>
                <w:szCs w:val="20"/>
                <w:lang w:val="bg-BG" w:eastAsia="bg-BG"/>
              </w:rPr>
              <w:t>Дейности</w:t>
            </w:r>
          </w:p>
        </w:tc>
        <w:tc>
          <w:tcPr>
            <w:tcW w:w="2272" w:type="dxa"/>
            <w:tcBorders>
              <w:top w:val="single" w:sz="4" w:space="0" w:color="auto"/>
              <w:left w:val="nil"/>
              <w:bottom w:val="single" w:sz="4" w:space="0" w:color="auto"/>
              <w:right w:val="single" w:sz="4" w:space="0" w:color="auto"/>
            </w:tcBorders>
            <w:shd w:val="clear" w:color="000000" w:fill="FFFFFF"/>
            <w:vAlign w:val="center"/>
            <w:hideMark/>
          </w:tcPr>
          <w:p w14:paraId="71B8FF9D" w14:textId="77777777" w:rsidR="00C84D19" w:rsidRPr="00C84D19" w:rsidRDefault="00C84D19" w:rsidP="00C84D19">
            <w:pPr>
              <w:jc w:val="center"/>
              <w:rPr>
                <w:rFonts w:ascii="Arial Narrow" w:hAnsi="Arial Narrow" w:cs="Arial"/>
                <w:b/>
                <w:bCs/>
                <w:sz w:val="20"/>
                <w:szCs w:val="20"/>
                <w:lang w:val="bg-BG" w:eastAsia="bg-BG"/>
              </w:rPr>
            </w:pPr>
            <w:r w:rsidRPr="00C84D19">
              <w:rPr>
                <w:rFonts w:ascii="Arial Narrow" w:hAnsi="Arial Narrow" w:cs="Arial"/>
                <w:b/>
                <w:bCs/>
                <w:sz w:val="20"/>
                <w:szCs w:val="20"/>
                <w:lang w:val="bg-BG" w:eastAsia="bg-BG"/>
              </w:rPr>
              <w:t>2022</w:t>
            </w:r>
          </w:p>
        </w:tc>
        <w:tc>
          <w:tcPr>
            <w:tcW w:w="2272" w:type="dxa"/>
            <w:tcBorders>
              <w:top w:val="single" w:sz="4" w:space="0" w:color="auto"/>
              <w:left w:val="nil"/>
              <w:bottom w:val="single" w:sz="4" w:space="0" w:color="auto"/>
              <w:right w:val="single" w:sz="4" w:space="0" w:color="auto"/>
            </w:tcBorders>
            <w:shd w:val="clear" w:color="000000" w:fill="FFFFFF"/>
            <w:vAlign w:val="center"/>
            <w:hideMark/>
          </w:tcPr>
          <w:p w14:paraId="61331242" w14:textId="77777777" w:rsidR="00C84D19" w:rsidRPr="00C84D19" w:rsidRDefault="00C84D19" w:rsidP="00C84D19">
            <w:pPr>
              <w:jc w:val="center"/>
              <w:rPr>
                <w:rFonts w:ascii="Arial Narrow" w:hAnsi="Arial Narrow" w:cs="Arial"/>
                <w:b/>
                <w:bCs/>
                <w:sz w:val="20"/>
                <w:szCs w:val="20"/>
                <w:lang w:val="bg-BG" w:eastAsia="bg-BG"/>
              </w:rPr>
            </w:pPr>
            <w:r w:rsidRPr="00C84D19">
              <w:rPr>
                <w:rFonts w:ascii="Arial Narrow" w:hAnsi="Arial Narrow" w:cs="Arial"/>
                <w:b/>
                <w:bCs/>
                <w:sz w:val="20"/>
                <w:szCs w:val="20"/>
                <w:lang w:val="bg-BG" w:eastAsia="bg-BG"/>
              </w:rPr>
              <w:t>2023</w:t>
            </w:r>
          </w:p>
        </w:tc>
        <w:tc>
          <w:tcPr>
            <w:tcW w:w="2272" w:type="dxa"/>
            <w:tcBorders>
              <w:top w:val="single" w:sz="4" w:space="0" w:color="auto"/>
              <w:left w:val="nil"/>
              <w:bottom w:val="single" w:sz="4" w:space="0" w:color="auto"/>
              <w:right w:val="single" w:sz="4" w:space="0" w:color="auto"/>
            </w:tcBorders>
            <w:shd w:val="clear" w:color="000000" w:fill="FFFFFF"/>
            <w:vAlign w:val="center"/>
            <w:hideMark/>
          </w:tcPr>
          <w:p w14:paraId="7F50614A" w14:textId="77777777" w:rsidR="00C84D19" w:rsidRPr="00C84D19" w:rsidRDefault="00C84D19" w:rsidP="00C84D19">
            <w:pPr>
              <w:jc w:val="center"/>
              <w:rPr>
                <w:rFonts w:ascii="Arial Narrow" w:hAnsi="Arial Narrow" w:cs="Arial"/>
                <w:b/>
                <w:bCs/>
                <w:sz w:val="20"/>
                <w:szCs w:val="20"/>
                <w:lang w:val="bg-BG" w:eastAsia="bg-BG"/>
              </w:rPr>
            </w:pPr>
            <w:r w:rsidRPr="00C84D19">
              <w:rPr>
                <w:rFonts w:ascii="Arial Narrow" w:hAnsi="Arial Narrow" w:cs="Arial"/>
                <w:b/>
                <w:bCs/>
                <w:sz w:val="20"/>
                <w:szCs w:val="20"/>
                <w:lang w:val="bg-BG" w:eastAsia="bg-BG"/>
              </w:rPr>
              <w:t>2024</w:t>
            </w:r>
          </w:p>
        </w:tc>
      </w:tr>
      <w:tr w:rsidR="00C84D19" w:rsidRPr="00C84D19" w14:paraId="3569BEEA" w14:textId="77777777" w:rsidTr="00EA0339">
        <w:trPr>
          <w:trHeight w:val="363"/>
        </w:trPr>
        <w:tc>
          <w:tcPr>
            <w:tcW w:w="3210" w:type="dxa"/>
            <w:tcBorders>
              <w:top w:val="nil"/>
              <w:left w:val="single" w:sz="4" w:space="0" w:color="auto"/>
              <w:bottom w:val="single" w:sz="4" w:space="0" w:color="auto"/>
              <w:right w:val="single" w:sz="4" w:space="0" w:color="auto"/>
            </w:tcBorders>
            <w:shd w:val="clear" w:color="000000" w:fill="FFFFFF"/>
            <w:vAlign w:val="center"/>
            <w:hideMark/>
          </w:tcPr>
          <w:p w14:paraId="3055DFF3" w14:textId="77777777" w:rsidR="00C84D19" w:rsidRPr="00C84D19" w:rsidRDefault="00C84D19" w:rsidP="00C84D19">
            <w:pPr>
              <w:rPr>
                <w:rFonts w:ascii="Arial Narrow" w:hAnsi="Arial Narrow" w:cs="Arial"/>
                <w:sz w:val="20"/>
                <w:szCs w:val="20"/>
                <w:lang w:val="bg-BG" w:eastAsia="bg-BG"/>
              </w:rPr>
            </w:pPr>
            <w:r w:rsidRPr="00C84D19">
              <w:rPr>
                <w:rFonts w:ascii="Arial Narrow" w:hAnsi="Arial Narrow" w:cs="Arial"/>
                <w:sz w:val="20"/>
                <w:szCs w:val="20"/>
                <w:lang w:val="bg-BG" w:eastAsia="bg-BG"/>
              </w:rPr>
              <w:t>Брой регистрирани торове</w:t>
            </w:r>
          </w:p>
        </w:tc>
        <w:tc>
          <w:tcPr>
            <w:tcW w:w="2272" w:type="dxa"/>
            <w:tcBorders>
              <w:top w:val="nil"/>
              <w:left w:val="nil"/>
              <w:bottom w:val="single" w:sz="4" w:space="0" w:color="auto"/>
              <w:right w:val="single" w:sz="4" w:space="0" w:color="auto"/>
            </w:tcBorders>
            <w:shd w:val="clear" w:color="000000" w:fill="FFFFFF"/>
            <w:vAlign w:val="center"/>
            <w:hideMark/>
          </w:tcPr>
          <w:p w14:paraId="697D2F5D" w14:textId="77777777" w:rsidR="00C84D19" w:rsidRPr="00C84D19" w:rsidRDefault="00C84D19" w:rsidP="00C84D19">
            <w:pPr>
              <w:jc w:val="right"/>
              <w:rPr>
                <w:rFonts w:ascii="Arial Narrow" w:hAnsi="Arial Narrow" w:cs="Arial"/>
                <w:sz w:val="20"/>
                <w:szCs w:val="20"/>
                <w:lang w:val="bg-BG" w:eastAsia="bg-BG"/>
              </w:rPr>
            </w:pPr>
            <w:r w:rsidRPr="00C84D19">
              <w:rPr>
                <w:rFonts w:ascii="Arial Narrow" w:hAnsi="Arial Narrow" w:cs="Arial"/>
                <w:sz w:val="20"/>
                <w:szCs w:val="20"/>
                <w:lang w:val="bg-BG" w:eastAsia="bg-BG"/>
              </w:rPr>
              <w:t>110</w:t>
            </w:r>
          </w:p>
        </w:tc>
        <w:tc>
          <w:tcPr>
            <w:tcW w:w="2272" w:type="dxa"/>
            <w:tcBorders>
              <w:top w:val="nil"/>
              <w:left w:val="nil"/>
              <w:bottom w:val="single" w:sz="4" w:space="0" w:color="auto"/>
              <w:right w:val="single" w:sz="4" w:space="0" w:color="auto"/>
            </w:tcBorders>
            <w:shd w:val="clear" w:color="000000" w:fill="FFFFFF"/>
            <w:vAlign w:val="center"/>
            <w:hideMark/>
          </w:tcPr>
          <w:p w14:paraId="028EE492" w14:textId="77777777" w:rsidR="00C84D19" w:rsidRPr="00C84D19" w:rsidRDefault="00C84D19" w:rsidP="00C84D19">
            <w:pPr>
              <w:jc w:val="right"/>
              <w:rPr>
                <w:rFonts w:ascii="Arial Narrow" w:hAnsi="Arial Narrow" w:cs="Arial"/>
                <w:sz w:val="20"/>
                <w:szCs w:val="20"/>
                <w:lang w:val="bg-BG" w:eastAsia="bg-BG"/>
              </w:rPr>
            </w:pPr>
            <w:r w:rsidRPr="00C84D19">
              <w:rPr>
                <w:rFonts w:ascii="Arial Narrow" w:hAnsi="Arial Narrow" w:cs="Arial"/>
                <w:sz w:val="20"/>
                <w:szCs w:val="20"/>
                <w:lang w:val="bg-BG" w:eastAsia="bg-BG"/>
              </w:rPr>
              <w:t>111</w:t>
            </w:r>
          </w:p>
        </w:tc>
        <w:tc>
          <w:tcPr>
            <w:tcW w:w="2272" w:type="dxa"/>
            <w:tcBorders>
              <w:top w:val="nil"/>
              <w:left w:val="nil"/>
              <w:bottom w:val="single" w:sz="4" w:space="0" w:color="auto"/>
              <w:right w:val="single" w:sz="4" w:space="0" w:color="auto"/>
            </w:tcBorders>
            <w:shd w:val="clear" w:color="000000" w:fill="FFFFFF"/>
            <w:vAlign w:val="center"/>
            <w:hideMark/>
          </w:tcPr>
          <w:p w14:paraId="3EE36A17" w14:textId="77777777" w:rsidR="00C84D19" w:rsidRPr="00C84D19" w:rsidRDefault="00C84D19" w:rsidP="00C84D19">
            <w:pPr>
              <w:jc w:val="right"/>
              <w:rPr>
                <w:rFonts w:ascii="Arial Narrow" w:hAnsi="Arial Narrow" w:cs="Arial"/>
                <w:sz w:val="20"/>
                <w:szCs w:val="20"/>
                <w:lang w:val="bg-BG" w:eastAsia="bg-BG"/>
              </w:rPr>
            </w:pPr>
            <w:r w:rsidRPr="00C84D19">
              <w:rPr>
                <w:rFonts w:ascii="Arial Narrow" w:hAnsi="Arial Narrow" w:cs="Arial"/>
                <w:sz w:val="20"/>
                <w:szCs w:val="20"/>
                <w:lang w:val="bg-BG" w:eastAsia="bg-BG"/>
              </w:rPr>
              <w:t>106</w:t>
            </w:r>
          </w:p>
        </w:tc>
      </w:tr>
      <w:tr w:rsidR="00C84D19" w:rsidRPr="00C84D19" w14:paraId="1D1D86D0" w14:textId="77777777" w:rsidTr="00EA0339">
        <w:trPr>
          <w:trHeight w:val="363"/>
        </w:trPr>
        <w:tc>
          <w:tcPr>
            <w:tcW w:w="3210" w:type="dxa"/>
            <w:tcBorders>
              <w:top w:val="nil"/>
              <w:left w:val="single" w:sz="4" w:space="0" w:color="auto"/>
              <w:bottom w:val="single" w:sz="4" w:space="0" w:color="auto"/>
              <w:right w:val="single" w:sz="4" w:space="0" w:color="auto"/>
            </w:tcBorders>
            <w:shd w:val="clear" w:color="000000" w:fill="FFFFFF"/>
            <w:vAlign w:val="center"/>
            <w:hideMark/>
          </w:tcPr>
          <w:p w14:paraId="34CDD739" w14:textId="77777777" w:rsidR="00C84D19" w:rsidRPr="00C84D19" w:rsidRDefault="00C84D19" w:rsidP="00C84D19">
            <w:pPr>
              <w:rPr>
                <w:rFonts w:ascii="Arial Narrow" w:hAnsi="Arial Narrow" w:cs="Arial"/>
                <w:sz w:val="20"/>
                <w:szCs w:val="20"/>
                <w:lang w:val="bg-BG" w:eastAsia="bg-BG"/>
              </w:rPr>
            </w:pPr>
            <w:r w:rsidRPr="00C84D19">
              <w:rPr>
                <w:rFonts w:ascii="Arial Narrow" w:hAnsi="Arial Narrow" w:cs="Arial"/>
                <w:sz w:val="20"/>
                <w:szCs w:val="20"/>
                <w:lang w:val="bg-BG" w:eastAsia="bg-BG"/>
              </w:rPr>
              <w:t>Брой проверки на обекти</w:t>
            </w:r>
          </w:p>
        </w:tc>
        <w:tc>
          <w:tcPr>
            <w:tcW w:w="2272" w:type="dxa"/>
            <w:tcBorders>
              <w:top w:val="nil"/>
              <w:left w:val="nil"/>
              <w:bottom w:val="single" w:sz="4" w:space="0" w:color="auto"/>
              <w:right w:val="single" w:sz="4" w:space="0" w:color="auto"/>
            </w:tcBorders>
            <w:shd w:val="clear" w:color="000000" w:fill="FFFFFF"/>
            <w:vAlign w:val="center"/>
            <w:hideMark/>
          </w:tcPr>
          <w:p w14:paraId="57C672BB" w14:textId="77777777" w:rsidR="00C84D19" w:rsidRPr="00C84D19" w:rsidRDefault="00C84D19" w:rsidP="00C84D19">
            <w:pPr>
              <w:jc w:val="right"/>
              <w:rPr>
                <w:rFonts w:ascii="Arial Narrow" w:hAnsi="Arial Narrow" w:cs="Arial"/>
                <w:sz w:val="20"/>
                <w:szCs w:val="20"/>
                <w:lang w:val="bg-BG" w:eastAsia="bg-BG"/>
              </w:rPr>
            </w:pPr>
            <w:r w:rsidRPr="00C84D19">
              <w:rPr>
                <w:rFonts w:ascii="Arial Narrow" w:hAnsi="Arial Narrow" w:cs="Arial"/>
                <w:sz w:val="20"/>
                <w:szCs w:val="20"/>
                <w:lang w:val="bg-BG" w:eastAsia="bg-BG"/>
              </w:rPr>
              <w:t>876</w:t>
            </w:r>
          </w:p>
        </w:tc>
        <w:tc>
          <w:tcPr>
            <w:tcW w:w="2272" w:type="dxa"/>
            <w:tcBorders>
              <w:top w:val="nil"/>
              <w:left w:val="nil"/>
              <w:bottom w:val="single" w:sz="4" w:space="0" w:color="auto"/>
              <w:right w:val="single" w:sz="4" w:space="0" w:color="auto"/>
            </w:tcBorders>
            <w:shd w:val="clear" w:color="000000" w:fill="FFFFFF"/>
            <w:vAlign w:val="center"/>
            <w:hideMark/>
          </w:tcPr>
          <w:p w14:paraId="732C65A5" w14:textId="77777777" w:rsidR="00C84D19" w:rsidRPr="00C84D19" w:rsidRDefault="00C84D19" w:rsidP="00C84D19">
            <w:pPr>
              <w:jc w:val="right"/>
              <w:rPr>
                <w:rFonts w:ascii="Arial Narrow" w:hAnsi="Arial Narrow" w:cs="Arial"/>
                <w:sz w:val="20"/>
                <w:szCs w:val="20"/>
                <w:lang w:val="bg-BG" w:eastAsia="bg-BG"/>
              </w:rPr>
            </w:pPr>
            <w:r w:rsidRPr="00C84D19">
              <w:rPr>
                <w:rFonts w:ascii="Arial Narrow" w:hAnsi="Arial Narrow" w:cs="Arial"/>
                <w:sz w:val="20"/>
                <w:szCs w:val="20"/>
                <w:lang w:val="bg-BG" w:eastAsia="bg-BG"/>
              </w:rPr>
              <w:t>799</w:t>
            </w:r>
          </w:p>
        </w:tc>
        <w:tc>
          <w:tcPr>
            <w:tcW w:w="2272" w:type="dxa"/>
            <w:tcBorders>
              <w:top w:val="nil"/>
              <w:left w:val="nil"/>
              <w:bottom w:val="single" w:sz="4" w:space="0" w:color="auto"/>
              <w:right w:val="single" w:sz="4" w:space="0" w:color="auto"/>
            </w:tcBorders>
            <w:shd w:val="clear" w:color="000000" w:fill="FFFFFF"/>
            <w:vAlign w:val="center"/>
            <w:hideMark/>
          </w:tcPr>
          <w:p w14:paraId="0944527F" w14:textId="77777777" w:rsidR="00C84D19" w:rsidRPr="00C84D19" w:rsidRDefault="00C84D19" w:rsidP="00C84D19">
            <w:pPr>
              <w:jc w:val="right"/>
              <w:rPr>
                <w:rFonts w:ascii="Arial Narrow" w:hAnsi="Arial Narrow" w:cs="Arial"/>
                <w:sz w:val="20"/>
                <w:szCs w:val="20"/>
                <w:lang w:val="bg-BG" w:eastAsia="bg-BG"/>
              </w:rPr>
            </w:pPr>
            <w:r w:rsidRPr="00C84D19">
              <w:rPr>
                <w:rFonts w:ascii="Arial Narrow" w:hAnsi="Arial Narrow" w:cs="Arial"/>
                <w:sz w:val="20"/>
                <w:szCs w:val="20"/>
                <w:lang w:val="bg-BG" w:eastAsia="bg-BG"/>
              </w:rPr>
              <w:t>630</w:t>
            </w:r>
          </w:p>
        </w:tc>
      </w:tr>
      <w:tr w:rsidR="00C84D19" w:rsidRPr="00C84D19" w14:paraId="33EA21DB" w14:textId="77777777" w:rsidTr="00EA0339">
        <w:trPr>
          <w:trHeight w:val="363"/>
        </w:trPr>
        <w:tc>
          <w:tcPr>
            <w:tcW w:w="3210" w:type="dxa"/>
            <w:tcBorders>
              <w:top w:val="nil"/>
              <w:left w:val="single" w:sz="4" w:space="0" w:color="auto"/>
              <w:bottom w:val="single" w:sz="4" w:space="0" w:color="auto"/>
              <w:right w:val="single" w:sz="4" w:space="0" w:color="auto"/>
            </w:tcBorders>
            <w:shd w:val="clear" w:color="000000" w:fill="FFFFFF"/>
            <w:vAlign w:val="center"/>
            <w:hideMark/>
          </w:tcPr>
          <w:p w14:paraId="10C9A7A4" w14:textId="77777777" w:rsidR="00C84D19" w:rsidRPr="00C84D19" w:rsidRDefault="00C84D19" w:rsidP="00C84D19">
            <w:pPr>
              <w:rPr>
                <w:rFonts w:ascii="Arial Narrow" w:hAnsi="Arial Narrow" w:cs="Arial"/>
                <w:sz w:val="20"/>
                <w:szCs w:val="20"/>
                <w:lang w:val="bg-BG" w:eastAsia="bg-BG"/>
              </w:rPr>
            </w:pPr>
            <w:r w:rsidRPr="00C84D19">
              <w:rPr>
                <w:rFonts w:ascii="Arial Narrow" w:hAnsi="Arial Narrow" w:cs="Arial"/>
                <w:sz w:val="20"/>
                <w:szCs w:val="20"/>
                <w:lang w:val="bg-BG" w:eastAsia="bg-BG"/>
              </w:rPr>
              <w:t>Взети проби от торове за анализ</w:t>
            </w:r>
          </w:p>
        </w:tc>
        <w:tc>
          <w:tcPr>
            <w:tcW w:w="2272" w:type="dxa"/>
            <w:tcBorders>
              <w:top w:val="nil"/>
              <w:left w:val="nil"/>
              <w:bottom w:val="single" w:sz="4" w:space="0" w:color="auto"/>
              <w:right w:val="single" w:sz="4" w:space="0" w:color="auto"/>
            </w:tcBorders>
            <w:shd w:val="clear" w:color="000000" w:fill="FFFFFF"/>
            <w:vAlign w:val="center"/>
            <w:hideMark/>
          </w:tcPr>
          <w:p w14:paraId="2330FC65" w14:textId="77777777" w:rsidR="00C84D19" w:rsidRPr="00C84D19" w:rsidRDefault="00C84D19" w:rsidP="00C84D19">
            <w:pPr>
              <w:jc w:val="right"/>
              <w:rPr>
                <w:rFonts w:ascii="Arial Narrow" w:hAnsi="Arial Narrow" w:cs="Arial"/>
                <w:sz w:val="20"/>
                <w:szCs w:val="20"/>
                <w:lang w:val="bg-BG" w:eastAsia="bg-BG"/>
              </w:rPr>
            </w:pPr>
            <w:r w:rsidRPr="00C84D19">
              <w:rPr>
                <w:rFonts w:ascii="Arial Narrow" w:hAnsi="Arial Narrow" w:cs="Arial"/>
                <w:sz w:val="20"/>
                <w:szCs w:val="20"/>
                <w:lang w:val="bg-BG" w:eastAsia="bg-BG"/>
              </w:rPr>
              <w:t>73</w:t>
            </w:r>
          </w:p>
        </w:tc>
        <w:tc>
          <w:tcPr>
            <w:tcW w:w="2272" w:type="dxa"/>
            <w:tcBorders>
              <w:top w:val="nil"/>
              <w:left w:val="nil"/>
              <w:bottom w:val="single" w:sz="4" w:space="0" w:color="auto"/>
              <w:right w:val="single" w:sz="4" w:space="0" w:color="auto"/>
            </w:tcBorders>
            <w:shd w:val="clear" w:color="000000" w:fill="FFFFFF"/>
            <w:vAlign w:val="center"/>
            <w:hideMark/>
          </w:tcPr>
          <w:p w14:paraId="294F82EA" w14:textId="77777777" w:rsidR="00C84D19" w:rsidRPr="00C84D19" w:rsidRDefault="00C84D19" w:rsidP="00C84D19">
            <w:pPr>
              <w:jc w:val="right"/>
              <w:rPr>
                <w:rFonts w:ascii="Arial Narrow" w:hAnsi="Arial Narrow" w:cs="Arial"/>
                <w:sz w:val="20"/>
                <w:szCs w:val="20"/>
                <w:lang w:val="bg-BG" w:eastAsia="bg-BG"/>
              </w:rPr>
            </w:pPr>
            <w:r w:rsidRPr="00C84D19">
              <w:rPr>
                <w:rFonts w:ascii="Arial Narrow" w:hAnsi="Arial Narrow" w:cs="Arial"/>
                <w:sz w:val="20"/>
                <w:szCs w:val="20"/>
                <w:lang w:val="bg-BG" w:eastAsia="bg-BG"/>
              </w:rPr>
              <w:t>37</w:t>
            </w:r>
          </w:p>
        </w:tc>
        <w:tc>
          <w:tcPr>
            <w:tcW w:w="2272" w:type="dxa"/>
            <w:tcBorders>
              <w:top w:val="nil"/>
              <w:left w:val="nil"/>
              <w:bottom w:val="single" w:sz="4" w:space="0" w:color="auto"/>
              <w:right w:val="single" w:sz="4" w:space="0" w:color="auto"/>
            </w:tcBorders>
            <w:shd w:val="clear" w:color="000000" w:fill="FFFFFF"/>
            <w:vAlign w:val="center"/>
            <w:hideMark/>
          </w:tcPr>
          <w:p w14:paraId="6A5E04C6" w14:textId="77777777" w:rsidR="00C84D19" w:rsidRPr="00C84D19" w:rsidRDefault="00C84D19" w:rsidP="00C84D19">
            <w:pPr>
              <w:jc w:val="right"/>
              <w:rPr>
                <w:rFonts w:ascii="Arial Narrow" w:hAnsi="Arial Narrow" w:cs="Arial"/>
                <w:sz w:val="20"/>
                <w:szCs w:val="20"/>
                <w:lang w:val="bg-BG" w:eastAsia="bg-BG"/>
              </w:rPr>
            </w:pPr>
            <w:r w:rsidRPr="00C84D19">
              <w:rPr>
                <w:rFonts w:ascii="Arial Narrow" w:hAnsi="Arial Narrow" w:cs="Arial"/>
                <w:sz w:val="20"/>
                <w:szCs w:val="20"/>
                <w:lang w:val="bg-BG" w:eastAsia="bg-BG"/>
              </w:rPr>
              <w:t>46</w:t>
            </w:r>
          </w:p>
        </w:tc>
      </w:tr>
      <w:tr w:rsidR="00C84D19" w:rsidRPr="00C84D19" w14:paraId="57038F33" w14:textId="77777777" w:rsidTr="00EA0339">
        <w:trPr>
          <w:trHeight w:val="363"/>
        </w:trPr>
        <w:tc>
          <w:tcPr>
            <w:tcW w:w="3210" w:type="dxa"/>
            <w:tcBorders>
              <w:top w:val="nil"/>
              <w:left w:val="single" w:sz="4" w:space="0" w:color="auto"/>
              <w:bottom w:val="single" w:sz="4" w:space="0" w:color="auto"/>
              <w:right w:val="single" w:sz="4" w:space="0" w:color="auto"/>
            </w:tcBorders>
            <w:shd w:val="clear" w:color="000000" w:fill="FFFFFF"/>
            <w:vAlign w:val="center"/>
            <w:hideMark/>
          </w:tcPr>
          <w:p w14:paraId="3821A70D" w14:textId="77777777" w:rsidR="00C84D19" w:rsidRPr="00C84D19" w:rsidRDefault="00C84D19" w:rsidP="00C84D19">
            <w:pPr>
              <w:rPr>
                <w:rFonts w:ascii="Arial Narrow" w:hAnsi="Arial Narrow" w:cs="Arial"/>
                <w:sz w:val="20"/>
                <w:szCs w:val="20"/>
                <w:lang w:val="bg-BG" w:eastAsia="bg-BG"/>
              </w:rPr>
            </w:pPr>
            <w:r w:rsidRPr="00C84D19">
              <w:rPr>
                <w:rFonts w:ascii="Arial Narrow" w:hAnsi="Arial Narrow" w:cs="Arial"/>
                <w:sz w:val="20"/>
                <w:szCs w:val="20"/>
                <w:lang w:val="bg-BG" w:eastAsia="bg-BG"/>
              </w:rPr>
              <w:t>Актове за нарушения</w:t>
            </w:r>
          </w:p>
        </w:tc>
        <w:tc>
          <w:tcPr>
            <w:tcW w:w="2272" w:type="dxa"/>
            <w:tcBorders>
              <w:top w:val="nil"/>
              <w:left w:val="nil"/>
              <w:bottom w:val="single" w:sz="4" w:space="0" w:color="auto"/>
              <w:right w:val="single" w:sz="4" w:space="0" w:color="auto"/>
            </w:tcBorders>
            <w:shd w:val="clear" w:color="000000" w:fill="FFFFFF"/>
            <w:vAlign w:val="center"/>
            <w:hideMark/>
          </w:tcPr>
          <w:p w14:paraId="7E12650D" w14:textId="77777777" w:rsidR="00C84D19" w:rsidRPr="00C84D19" w:rsidRDefault="00C84D19" w:rsidP="00C84D19">
            <w:pPr>
              <w:jc w:val="right"/>
              <w:rPr>
                <w:rFonts w:ascii="Arial Narrow" w:hAnsi="Arial Narrow" w:cs="Arial"/>
                <w:sz w:val="20"/>
                <w:szCs w:val="20"/>
                <w:lang w:val="bg-BG" w:eastAsia="bg-BG"/>
              </w:rPr>
            </w:pPr>
            <w:r w:rsidRPr="00C84D19">
              <w:rPr>
                <w:rFonts w:ascii="Arial Narrow" w:hAnsi="Arial Narrow" w:cs="Arial"/>
                <w:sz w:val="20"/>
                <w:szCs w:val="20"/>
                <w:lang w:val="bg-BG" w:eastAsia="bg-BG"/>
              </w:rPr>
              <w:t>3</w:t>
            </w:r>
          </w:p>
        </w:tc>
        <w:tc>
          <w:tcPr>
            <w:tcW w:w="2272" w:type="dxa"/>
            <w:tcBorders>
              <w:top w:val="nil"/>
              <w:left w:val="nil"/>
              <w:bottom w:val="single" w:sz="4" w:space="0" w:color="auto"/>
              <w:right w:val="single" w:sz="4" w:space="0" w:color="auto"/>
            </w:tcBorders>
            <w:shd w:val="clear" w:color="000000" w:fill="FFFFFF"/>
            <w:vAlign w:val="center"/>
            <w:hideMark/>
          </w:tcPr>
          <w:p w14:paraId="22BBA0EE" w14:textId="77777777" w:rsidR="00C84D19" w:rsidRPr="00C84D19" w:rsidRDefault="00C84D19" w:rsidP="00C84D19">
            <w:pPr>
              <w:jc w:val="right"/>
              <w:rPr>
                <w:rFonts w:ascii="Arial Narrow" w:hAnsi="Arial Narrow" w:cs="Arial"/>
                <w:sz w:val="20"/>
                <w:szCs w:val="20"/>
                <w:lang w:val="bg-BG" w:eastAsia="bg-BG"/>
              </w:rPr>
            </w:pPr>
            <w:r w:rsidRPr="00C84D19">
              <w:rPr>
                <w:rFonts w:ascii="Arial Narrow" w:hAnsi="Arial Narrow" w:cs="Arial"/>
                <w:sz w:val="20"/>
                <w:szCs w:val="20"/>
                <w:lang w:val="bg-BG" w:eastAsia="bg-BG"/>
              </w:rPr>
              <w:t>1</w:t>
            </w:r>
          </w:p>
        </w:tc>
        <w:tc>
          <w:tcPr>
            <w:tcW w:w="2272" w:type="dxa"/>
            <w:tcBorders>
              <w:top w:val="nil"/>
              <w:left w:val="nil"/>
              <w:bottom w:val="single" w:sz="4" w:space="0" w:color="auto"/>
              <w:right w:val="single" w:sz="4" w:space="0" w:color="auto"/>
            </w:tcBorders>
            <w:shd w:val="clear" w:color="000000" w:fill="FFFFFF"/>
            <w:vAlign w:val="center"/>
            <w:hideMark/>
          </w:tcPr>
          <w:p w14:paraId="13199205" w14:textId="77777777" w:rsidR="00C84D19" w:rsidRPr="00C84D19" w:rsidRDefault="00C84D19" w:rsidP="00C84D19">
            <w:pPr>
              <w:jc w:val="right"/>
              <w:rPr>
                <w:rFonts w:ascii="Arial Narrow" w:hAnsi="Arial Narrow" w:cs="Arial"/>
                <w:sz w:val="20"/>
                <w:szCs w:val="20"/>
                <w:lang w:val="bg-BG" w:eastAsia="bg-BG"/>
              </w:rPr>
            </w:pPr>
            <w:r w:rsidRPr="00C84D19">
              <w:rPr>
                <w:rFonts w:ascii="Arial Narrow" w:hAnsi="Arial Narrow" w:cs="Arial"/>
                <w:sz w:val="20"/>
                <w:szCs w:val="20"/>
                <w:lang w:val="bg-BG" w:eastAsia="bg-BG"/>
              </w:rPr>
              <w:t>0</w:t>
            </w:r>
          </w:p>
        </w:tc>
      </w:tr>
    </w:tbl>
    <w:p w14:paraId="3E997902" w14:textId="77777777" w:rsidR="00C84D19" w:rsidRPr="00EA0339" w:rsidRDefault="00C84D19" w:rsidP="00C84D19">
      <w:pPr>
        <w:spacing w:after="120"/>
        <w:rPr>
          <w:rFonts w:ascii="Arial Narrow" w:hAnsi="Arial Narrow"/>
          <w:sz w:val="18"/>
          <w:szCs w:val="18"/>
          <w:lang w:val="bg-BG" w:eastAsia="bg-BG"/>
        </w:rPr>
      </w:pPr>
      <w:r w:rsidRPr="00EA0339">
        <w:rPr>
          <w:rFonts w:ascii="Arial Narrow" w:hAnsi="Arial Narrow"/>
          <w:bCs/>
          <w:i/>
          <w:sz w:val="18"/>
          <w:szCs w:val="18"/>
          <w:lang w:val="bg-BG" w:eastAsia="bg-BG"/>
        </w:rPr>
        <w:t>Източник</w:t>
      </w:r>
      <w:r w:rsidRPr="00EA0339">
        <w:rPr>
          <w:rFonts w:ascii="Arial Narrow" w:hAnsi="Arial Narrow"/>
          <w:bCs/>
          <w:sz w:val="18"/>
          <w:szCs w:val="18"/>
          <w:lang w:val="bg-BG" w:eastAsia="bg-BG"/>
        </w:rPr>
        <w:t>:</w:t>
      </w:r>
      <w:r w:rsidRPr="00EA0339">
        <w:rPr>
          <w:rFonts w:ascii="Arial Narrow" w:hAnsi="Arial Narrow"/>
          <w:sz w:val="18"/>
          <w:szCs w:val="18"/>
          <w:lang w:val="bg-BG" w:eastAsia="bg-BG"/>
        </w:rPr>
        <w:t xml:space="preserve"> БАБХ</w:t>
      </w:r>
    </w:p>
    <w:p w14:paraId="20C427A2" w14:textId="77777777" w:rsidR="00C84D19" w:rsidRPr="00C84D19" w:rsidRDefault="00C84D19" w:rsidP="00C84D19">
      <w:pPr>
        <w:keepNext/>
        <w:tabs>
          <w:tab w:val="left" w:pos="567"/>
        </w:tabs>
        <w:spacing w:after="120"/>
        <w:ind w:firstLine="720"/>
        <w:rPr>
          <w:rFonts w:ascii="Arial Narrow" w:hAnsi="Arial Narrow"/>
          <w:b/>
          <w:lang w:val="bg-BG" w:eastAsia="bg-BG"/>
        </w:rPr>
      </w:pPr>
      <w:r w:rsidRPr="00C84D19">
        <w:rPr>
          <w:rFonts w:ascii="Arial Narrow" w:hAnsi="Arial Narrow"/>
          <w:b/>
          <w:lang w:val="bg-BG" w:eastAsia="bg-BG"/>
        </w:rPr>
        <w:t>Употреба на утайки в земеделието</w:t>
      </w:r>
    </w:p>
    <w:p w14:paraId="20312687" w14:textId="77777777" w:rsidR="00C84D19" w:rsidRPr="00C84D19" w:rsidRDefault="00C84D19" w:rsidP="00C84D19">
      <w:pPr>
        <w:tabs>
          <w:tab w:val="left" w:pos="709"/>
        </w:tabs>
        <w:spacing w:after="120"/>
        <w:jc w:val="both"/>
        <w:rPr>
          <w:rFonts w:ascii="Arial Narrow" w:hAnsi="Arial Narrow"/>
          <w:lang w:val="bg-BG" w:eastAsia="bg-BG"/>
        </w:rPr>
      </w:pPr>
      <w:r w:rsidRPr="00C84D19">
        <w:rPr>
          <w:rFonts w:eastAsia="Calibri"/>
          <w:color w:val="FF0000"/>
          <w:lang w:val="bg-BG" w:eastAsia="bg-BG"/>
        </w:rPr>
        <w:tab/>
      </w:r>
      <w:r w:rsidRPr="00C84D19">
        <w:rPr>
          <w:rFonts w:ascii="Arial Narrow" w:hAnsi="Arial Narrow"/>
          <w:lang w:val="bg-BG" w:eastAsia="bg-BG"/>
        </w:rPr>
        <w:t xml:space="preserve">През 2024 г. са издадени 113 разрешения за оползотворяване на утайки от пречистването на отпадъчни води за употребата им в земеделието на полета с обща площ от 13 614,896 дка в землищата на с. Кубратово, кв. Бенковски, гр. Банкя, с. Клисура, с. Мало Бучино, с. Иваняне, с. Требич и с. Мрамор. </w:t>
      </w:r>
    </w:p>
    <w:p w14:paraId="189FD71F" w14:textId="77777777" w:rsidR="00C84D19" w:rsidRPr="00C84D19" w:rsidRDefault="00C84D19" w:rsidP="00C84D19">
      <w:pPr>
        <w:tabs>
          <w:tab w:val="left" w:pos="709"/>
        </w:tabs>
        <w:spacing w:after="120"/>
        <w:jc w:val="both"/>
        <w:rPr>
          <w:rFonts w:ascii="Arial Narrow" w:hAnsi="Arial Narrow"/>
          <w:lang w:val="bg-BG" w:eastAsia="bg-BG"/>
        </w:rPr>
      </w:pPr>
      <w:r w:rsidRPr="00C84D19">
        <w:rPr>
          <w:rFonts w:ascii="Arial Narrow" w:hAnsi="Arial Narrow"/>
          <w:lang w:val="bg-BG" w:eastAsia="bg-BG"/>
        </w:rPr>
        <w:tab/>
        <w:t>Общото количество оползотворена утайка, изразена като сухо вещество, е 32 853,62 тона (с 45% повече в сравнение с предходната година) при култури слънчоглед, царевица и пшеница. Производител на утайките е „Софийска вода” АД, като оползотворените утайки са от изсушителни полета на Селищните пречиствателни станции за отпадъчни води в с. Кубратово и кв. Бенковски.</w:t>
      </w:r>
    </w:p>
    <w:p w14:paraId="470C7E14" w14:textId="77777777" w:rsidR="00C84D19" w:rsidRDefault="00C84D19" w:rsidP="00C84D19">
      <w:pPr>
        <w:spacing w:after="120"/>
        <w:ind w:firstLine="629"/>
        <w:jc w:val="both"/>
        <w:rPr>
          <w:rFonts w:ascii="Arial Narrow" w:hAnsi="Arial Narrow"/>
          <w:color w:val="FF0000"/>
        </w:rPr>
      </w:pPr>
      <w:r w:rsidRPr="00C84D19">
        <w:rPr>
          <w:rFonts w:ascii="Arial Narrow" w:hAnsi="Arial Narrow"/>
          <w:lang w:val="bg-BG" w:eastAsia="bg-BG"/>
        </w:rPr>
        <w:tab/>
        <w:t>Максималното количество утайки, отговарящи на изискванията, съгласно приложение № 2 от Наредба за реда и начина за оползотворяване на утайки от пречистването на отпадъчни води чрез употребата им в земеделието, които могат да се употребят в почвата за единица площ годишно, така че да не превишават максимално допустимата концентрация на тежки метали в почвата, съгласно приложение № 1, въз основа на издадените разрешения от БАБХ за 2024 г. е 0,76 тона/дка, изразено като сухо вещество.</w:t>
      </w:r>
    </w:p>
    <w:p w14:paraId="454D997C" w14:textId="77777777" w:rsidR="00B72010" w:rsidRPr="00F031DF" w:rsidRDefault="002E769B" w:rsidP="00B72010">
      <w:pPr>
        <w:pStyle w:val="ListParagraph"/>
        <w:keepNext/>
        <w:keepLines/>
        <w:widowControl w:val="0"/>
        <w:numPr>
          <w:ilvl w:val="0"/>
          <w:numId w:val="16"/>
        </w:numPr>
        <w:tabs>
          <w:tab w:val="left" w:pos="630"/>
        </w:tabs>
        <w:spacing w:after="120"/>
        <w:ind w:left="357" w:firstLine="6"/>
        <w:outlineLvl w:val="0"/>
        <w:rPr>
          <w:rFonts w:ascii="Arial Narrow" w:hAnsi="Arial Narrow"/>
          <w:b/>
          <w:lang w:val="bg-BG"/>
        </w:rPr>
      </w:pPr>
      <w:bookmarkStart w:id="158" w:name="_Toc210747623"/>
      <w:r w:rsidRPr="00F031DF">
        <w:rPr>
          <w:rFonts w:ascii="Arial Narrow" w:hAnsi="Arial Narrow"/>
          <w:b/>
          <w:lang w:val="bg-BG"/>
        </w:rPr>
        <w:t>Сортоизпитване, апробация и семеконтрол</w:t>
      </w:r>
      <w:bookmarkEnd w:id="158"/>
      <w:r w:rsidRPr="00F031DF">
        <w:rPr>
          <w:rFonts w:ascii="Arial Narrow" w:hAnsi="Arial Narrow"/>
          <w:b/>
          <w:lang w:val="bg-BG"/>
        </w:rPr>
        <w:t xml:space="preserve"> </w:t>
      </w:r>
    </w:p>
    <w:p w14:paraId="4D060A2E" w14:textId="77777777" w:rsidR="00F031DF" w:rsidRPr="001F46A9" w:rsidRDefault="00F031DF" w:rsidP="00F031DF">
      <w:pPr>
        <w:spacing w:after="120"/>
        <w:ind w:firstLine="709"/>
        <w:jc w:val="both"/>
        <w:rPr>
          <w:rFonts w:ascii="Arial Narrow" w:hAnsi="Arial Narrow"/>
          <w:lang w:val="bg-BG" w:eastAsia="bg-BG"/>
        </w:rPr>
      </w:pPr>
      <w:r w:rsidRPr="001F46A9">
        <w:rPr>
          <w:rFonts w:ascii="Arial Narrow" w:hAnsi="Arial Narrow"/>
          <w:lang w:val="bg-BG" w:eastAsia="bg-BG"/>
        </w:rPr>
        <w:t>Държавната политика в областта на сортоизпитването, сортоподдържането, производството, търговията, вноса и износа на посевен и посадъчен материал се осъществява чрез Изпълнителната агенция по сортоизпитване, апробация и семеконтрол към МЗХ.</w:t>
      </w:r>
    </w:p>
    <w:p w14:paraId="7BC16245" w14:textId="77777777" w:rsidR="00F031DF" w:rsidRPr="001F46A9" w:rsidRDefault="00F031DF" w:rsidP="00F031DF">
      <w:pPr>
        <w:spacing w:after="120"/>
        <w:ind w:firstLine="709"/>
        <w:jc w:val="both"/>
        <w:rPr>
          <w:rFonts w:ascii="Arial Narrow" w:hAnsi="Arial Narrow"/>
          <w:lang w:val="bg-BG" w:eastAsia="bg-BG"/>
        </w:rPr>
      </w:pPr>
      <w:r w:rsidRPr="001F46A9">
        <w:rPr>
          <w:rFonts w:ascii="Arial Narrow" w:hAnsi="Arial Narrow"/>
          <w:lang w:val="bg-BG" w:eastAsia="bg-BG"/>
        </w:rPr>
        <w:t xml:space="preserve">ИАСАС осъществява контрола при производството, заготовката, разпространяването, търговията и съхраняването на посевен и посадъчен материал; сертифицирането му при спазване на приетите методи, схемите и технологични характеристики за качество; ръководи процедурата по изпитването, признаването и районирането на сортовете културни растения; ежегодно издава Официална сортова листа на Р България за сортовете от полски, зеленчукови, овощни култури и лози; вписва новорегистрираните сортове в Европейските каталози на ЕС и отговаря за пълното хармонизиране на националното законодателство в областта на семената и посадъчния материал с това на ЕС. </w:t>
      </w:r>
    </w:p>
    <w:p w14:paraId="44E3EFEC" w14:textId="77777777" w:rsidR="00F031DF" w:rsidRPr="001F46A9" w:rsidRDefault="00F031DF" w:rsidP="00F031DF">
      <w:pPr>
        <w:spacing w:after="120"/>
        <w:ind w:firstLine="709"/>
        <w:jc w:val="both"/>
        <w:rPr>
          <w:rFonts w:ascii="Arial Narrow" w:hAnsi="Arial Narrow"/>
          <w:lang w:val="bg-BG" w:eastAsia="bg-BG"/>
        </w:rPr>
      </w:pPr>
      <w:r w:rsidRPr="001F46A9">
        <w:rPr>
          <w:rFonts w:ascii="Arial Narrow" w:hAnsi="Arial Narrow"/>
          <w:lang w:val="bg-BG" w:eastAsia="bg-BG"/>
        </w:rPr>
        <w:lastRenderedPageBreak/>
        <w:t>Агенцията е национален орган по отношение прилагането на схемите за семена на Организацията за икономическо сътрудничество и развитие (OECD).</w:t>
      </w:r>
    </w:p>
    <w:p w14:paraId="7777F823" w14:textId="77777777" w:rsidR="00F031DF" w:rsidRPr="001F46A9" w:rsidRDefault="00F031DF" w:rsidP="00F031DF">
      <w:pPr>
        <w:spacing w:after="120"/>
        <w:ind w:firstLine="709"/>
        <w:jc w:val="both"/>
        <w:rPr>
          <w:rFonts w:ascii="Arial Narrow" w:hAnsi="Arial Narrow"/>
          <w:lang w:val="bg-BG" w:eastAsia="bg-BG"/>
        </w:rPr>
      </w:pPr>
      <w:r w:rsidRPr="001F46A9">
        <w:rPr>
          <w:rFonts w:ascii="Arial Narrow" w:hAnsi="Arial Narrow"/>
          <w:lang w:val="bg-BG" w:eastAsia="bg-BG"/>
        </w:rPr>
        <w:t xml:space="preserve">През 2024 г. са актуализирани подзаконови нормативни актове за семена и посадъчен материал, транспониращи директиви за изменения и допълнения на основни директиви на ЕС. Изменени са и допълнени действащи наредби, разработени са специализирани вътрешни нормативни документи, като методики за изпитване за различимост, хомогенност и стабилност (РХС) съобразно техническите протоколи на Европейския офис за сортовете растения (CPVO) и Международния съюз за защита на новите сортове растения (UPOV), методики за изпитване за биологични и стопански качества (БСК). </w:t>
      </w:r>
    </w:p>
    <w:p w14:paraId="50775AE3" w14:textId="77777777" w:rsidR="00F031DF" w:rsidRPr="005D3CFE" w:rsidRDefault="00F031DF" w:rsidP="00F031DF">
      <w:pPr>
        <w:spacing w:after="120"/>
        <w:ind w:firstLine="709"/>
        <w:jc w:val="both"/>
        <w:rPr>
          <w:rFonts w:ascii="Arial Narrow" w:hAnsi="Arial Narrow"/>
          <w:lang w:val="bg-BG" w:eastAsia="bg-BG"/>
        </w:rPr>
      </w:pPr>
      <w:r w:rsidRPr="005D3CFE">
        <w:rPr>
          <w:rFonts w:ascii="Arial Narrow" w:hAnsi="Arial Narrow"/>
          <w:lang w:val="bg-BG" w:eastAsia="bg-BG"/>
        </w:rPr>
        <w:t>За да отговори на очакванията на клиентите за предоставяне на административни услуги, при спазване на най-високи професионални стандарти, ИАСАС е акредитирана и има реално действащи системи за качество по ISO стандарт 9001:2015 и по стандарта на Международната асоциация на семетестващите лаборатории (ISTA). Агенцията е оправомощена от Европейския офис за сортовете растения (ЕОСР/CPVO) да извършва експертиза от негово име за различимост, хомогенност и стабилност на нови сортове, за предоставяне на правна закрила в ЕС.</w:t>
      </w:r>
    </w:p>
    <w:p w14:paraId="0DE6A031" w14:textId="77777777" w:rsidR="00B72010" w:rsidRPr="00F031DF" w:rsidRDefault="00B72010" w:rsidP="00B72010">
      <w:pPr>
        <w:keepNext/>
        <w:spacing w:after="120"/>
        <w:ind w:firstLine="709"/>
        <w:jc w:val="both"/>
        <w:rPr>
          <w:rFonts w:ascii="Arial Narrow" w:hAnsi="Arial Narrow"/>
          <w:b/>
          <w:lang w:val="bg-BG"/>
        </w:rPr>
      </w:pPr>
      <w:r w:rsidRPr="00F031DF">
        <w:rPr>
          <w:rFonts w:ascii="Arial Narrow" w:hAnsi="Arial Narrow"/>
          <w:b/>
          <w:lang w:val="bg-BG"/>
        </w:rPr>
        <w:t>Администриране на държавна помощ</w:t>
      </w:r>
    </w:p>
    <w:p w14:paraId="639C3697" w14:textId="77777777" w:rsidR="00F031DF" w:rsidRPr="0012038A" w:rsidRDefault="00F031DF" w:rsidP="00F031DF">
      <w:pPr>
        <w:spacing w:after="120"/>
        <w:ind w:firstLine="709"/>
        <w:jc w:val="both"/>
        <w:rPr>
          <w:rFonts w:ascii="Arial Narrow" w:hAnsi="Arial Narrow"/>
          <w:lang w:val="bg-BG" w:eastAsia="bg-BG"/>
        </w:rPr>
      </w:pPr>
      <w:r w:rsidRPr="0012038A">
        <w:rPr>
          <w:rFonts w:ascii="Arial Narrow" w:hAnsi="Arial Narrow"/>
          <w:lang w:val="bg-BG" w:eastAsia="bg-BG"/>
        </w:rPr>
        <w:t>В изпълнение на договор за предоставяне на държавна помощ за насърчаване на производството и използването на качествени семена и посадъчен материал, през 2024 г. ИАСАС е извършвала услуги на земеделските производители, свързани с:</w:t>
      </w:r>
    </w:p>
    <w:p w14:paraId="7AE720EF" w14:textId="77777777" w:rsidR="00F031DF" w:rsidRPr="0012038A" w:rsidRDefault="00F031DF" w:rsidP="00F031DF">
      <w:pPr>
        <w:numPr>
          <w:ilvl w:val="0"/>
          <w:numId w:val="4"/>
        </w:numPr>
        <w:autoSpaceDE w:val="0"/>
        <w:autoSpaceDN w:val="0"/>
        <w:adjustRightInd w:val="0"/>
        <w:spacing w:after="120"/>
        <w:ind w:left="720"/>
        <w:jc w:val="both"/>
        <w:rPr>
          <w:rFonts w:ascii="Arial Narrow" w:eastAsia="SimSun" w:hAnsi="Arial Narrow"/>
          <w:bCs/>
          <w:lang w:val="bg-BG" w:eastAsia="zh-CN"/>
        </w:rPr>
      </w:pPr>
      <w:r w:rsidRPr="0012038A">
        <w:rPr>
          <w:rFonts w:ascii="Arial Narrow" w:eastAsia="SimSun" w:hAnsi="Arial Narrow"/>
          <w:bCs/>
          <w:lang w:val="bg-BG" w:eastAsia="zh-CN"/>
        </w:rPr>
        <w:t xml:space="preserve">полска инспекция на семепроизводни посеви и маточни насаждения; издаване на етикети; </w:t>
      </w:r>
    </w:p>
    <w:p w14:paraId="0FE7681D" w14:textId="77777777" w:rsidR="00F031DF" w:rsidRPr="0012038A" w:rsidRDefault="00F031DF" w:rsidP="00F031DF">
      <w:pPr>
        <w:numPr>
          <w:ilvl w:val="0"/>
          <w:numId w:val="4"/>
        </w:numPr>
        <w:autoSpaceDE w:val="0"/>
        <w:autoSpaceDN w:val="0"/>
        <w:adjustRightInd w:val="0"/>
        <w:spacing w:after="120"/>
        <w:ind w:left="720"/>
        <w:jc w:val="both"/>
        <w:rPr>
          <w:rFonts w:ascii="Arial Narrow" w:eastAsia="SimSun" w:hAnsi="Arial Narrow"/>
          <w:bCs/>
          <w:lang w:val="bg-BG" w:eastAsia="zh-CN"/>
        </w:rPr>
      </w:pPr>
      <w:r w:rsidRPr="0012038A">
        <w:rPr>
          <w:rFonts w:ascii="Arial Narrow" w:eastAsia="SimSun" w:hAnsi="Arial Narrow"/>
          <w:bCs/>
          <w:lang w:val="bg-BG" w:eastAsia="zh-CN"/>
        </w:rPr>
        <w:t xml:space="preserve">вземане на проби от партиди семена, предназначени за сертифициране; </w:t>
      </w:r>
    </w:p>
    <w:p w14:paraId="3B91DA9B" w14:textId="77777777" w:rsidR="00F031DF" w:rsidRPr="0012038A" w:rsidRDefault="00F031DF" w:rsidP="00F031DF">
      <w:pPr>
        <w:numPr>
          <w:ilvl w:val="0"/>
          <w:numId w:val="4"/>
        </w:numPr>
        <w:autoSpaceDE w:val="0"/>
        <w:autoSpaceDN w:val="0"/>
        <w:adjustRightInd w:val="0"/>
        <w:spacing w:after="120"/>
        <w:ind w:left="720"/>
        <w:jc w:val="both"/>
        <w:rPr>
          <w:rFonts w:ascii="Arial Narrow" w:eastAsia="SimSun" w:hAnsi="Arial Narrow"/>
          <w:bCs/>
          <w:lang w:val="bg-BG" w:eastAsia="zh-CN"/>
        </w:rPr>
      </w:pPr>
      <w:r w:rsidRPr="0012038A">
        <w:rPr>
          <w:rFonts w:ascii="Arial Narrow" w:eastAsia="SimSun" w:hAnsi="Arial Narrow"/>
          <w:bCs/>
          <w:lang w:val="bg-BG" w:eastAsia="zh-CN"/>
        </w:rPr>
        <w:t xml:space="preserve">лабораторен анализ на проби семена по групи култури; </w:t>
      </w:r>
    </w:p>
    <w:p w14:paraId="657C3D61" w14:textId="77777777" w:rsidR="00F031DF" w:rsidRPr="0012038A" w:rsidRDefault="00F031DF" w:rsidP="00F031DF">
      <w:pPr>
        <w:numPr>
          <w:ilvl w:val="0"/>
          <w:numId w:val="4"/>
        </w:numPr>
        <w:autoSpaceDE w:val="0"/>
        <w:autoSpaceDN w:val="0"/>
        <w:adjustRightInd w:val="0"/>
        <w:spacing w:after="120"/>
        <w:ind w:left="720"/>
        <w:jc w:val="both"/>
        <w:rPr>
          <w:rFonts w:ascii="Arial Narrow" w:eastAsia="SimSun" w:hAnsi="Arial Narrow"/>
          <w:bCs/>
          <w:lang w:val="bg-BG" w:eastAsia="zh-CN"/>
        </w:rPr>
      </w:pPr>
      <w:r w:rsidRPr="0012038A">
        <w:rPr>
          <w:rFonts w:ascii="Arial Narrow" w:eastAsia="SimSun" w:hAnsi="Arial Narrow"/>
          <w:bCs/>
          <w:lang w:val="bg-BG" w:eastAsia="zh-CN"/>
        </w:rPr>
        <w:t>извършване на последващ контрол на партиди семена;</w:t>
      </w:r>
    </w:p>
    <w:p w14:paraId="6A4BA09B" w14:textId="77777777" w:rsidR="00F031DF" w:rsidRPr="0012038A" w:rsidRDefault="00F031DF" w:rsidP="00F031DF">
      <w:pPr>
        <w:numPr>
          <w:ilvl w:val="0"/>
          <w:numId w:val="4"/>
        </w:numPr>
        <w:autoSpaceDE w:val="0"/>
        <w:autoSpaceDN w:val="0"/>
        <w:adjustRightInd w:val="0"/>
        <w:spacing w:after="120"/>
        <w:ind w:left="720"/>
        <w:jc w:val="both"/>
        <w:rPr>
          <w:rFonts w:ascii="Arial Narrow" w:eastAsia="SimSun" w:hAnsi="Arial Narrow"/>
          <w:bCs/>
          <w:lang w:val="bg-BG" w:eastAsia="zh-CN"/>
        </w:rPr>
      </w:pPr>
      <w:r w:rsidRPr="0012038A">
        <w:rPr>
          <w:rFonts w:ascii="Arial Narrow" w:eastAsia="SimSun" w:hAnsi="Arial Narrow"/>
          <w:bCs/>
          <w:lang w:val="bg-BG" w:eastAsia="zh-CN"/>
        </w:rPr>
        <w:t>окачествяване на сертифициран и САС овощен и сертифициран и стандартен лозов посадъчен материал.</w:t>
      </w:r>
    </w:p>
    <w:p w14:paraId="725D4980" w14:textId="77777777" w:rsidR="00F031DF" w:rsidRPr="00380D2D" w:rsidRDefault="00F031DF" w:rsidP="00F031DF">
      <w:pPr>
        <w:spacing w:after="120"/>
        <w:ind w:firstLine="709"/>
        <w:jc w:val="both"/>
        <w:rPr>
          <w:rFonts w:ascii="Arial Narrow" w:hAnsi="Arial Narrow"/>
          <w:lang w:val="bg-BG" w:eastAsia="bg-BG"/>
        </w:rPr>
      </w:pPr>
      <w:r w:rsidRPr="00380D2D">
        <w:rPr>
          <w:rFonts w:ascii="Arial Narrow" w:hAnsi="Arial Narrow"/>
          <w:lang w:val="bg-BG" w:eastAsia="bg-BG"/>
        </w:rPr>
        <w:t xml:space="preserve">Схемата за качество въвежда допълнителни и някои по-високи изисквания към  производствения процес и крайния продукт и гарантира по-високо качество на произведените семена и посадъчен материал от следните групи култури: зърнени, фуражни, маслодайни култури, картофи, тютюн, памук, сертифициран и САС посадъчен материал от овощни култури, сертифициран и стандартен лозов посадъчен материал и сертифицирани и стандартни семена от зеленчукови култури. </w:t>
      </w:r>
    </w:p>
    <w:p w14:paraId="7FD9A29D" w14:textId="77777777" w:rsidR="00F031DF" w:rsidRPr="00380D2D" w:rsidRDefault="00F031DF" w:rsidP="00F031DF">
      <w:pPr>
        <w:spacing w:after="120"/>
        <w:ind w:firstLine="709"/>
        <w:jc w:val="both"/>
        <w:rPr>
          <w:rFonts w:ascii="Arial Narrow" w:hAnsi="Arial Narrow"/>
          <w:lang w:val="bg-BG" w:eastAsia="bg-BG"/>
        </w:rPr>
      </w:pPr>
      <w:r w:rsidRPr="00380D2D">
        <w:rPr>
          <w:rFonts w:ascii="Arial Narrow" w:hAnsi="Arial Narrow"/>
          <w:lang w:val="bg-BG" w:eastAsia="bg-BG"/>
        </w:rPr>
        <w:t>Общата стойност на услугите, предоставени от ИАСАС по тази схема през 2024 г., е в размер на 1 199 987 лева.</w:t>
      </w:r>
    </w:p>
    <w:p w14:paraId="5B406F9F" w14:textId="77777777" w:rsidR="00F031DF" w:rsidRPr="00380D2D" w:rsidRDefault="00F031DF" w:rsidP="00F031DF">
      <w:pPr>
        <w:spacing w:after="120"/>
        <w:ind w:firstLine="709"/>
        <w:jc w:val="both"/>
        <w:rPr>
          <w:rFonts w:ascii="Arial Narrow" w:hAnsi="Arial Narrow"/>
          <w:lang w:val="bg-BG" w:eastAsia="bg-BG"/>
        </w:rPr>
      </w:pPr>
      <w:r w:rsidRPr="00380D2D">
        <w:rPr>
          <w:rFonts w:ascii="Arial Narrow" w:hAnsi="Arial Narrow"/>
          <w:lang w:val="bg-BG" w:eastAsia="bg-BG"/>
        </w:rPr>
        <w:t>Държавната помощ е предпоставка за реализиране на значителна добавена стойност при използването на сертифицирани семена. Получателите на помощта са 446, но положителният ефект от производството на повече и по-качествена продукция от единица площ и подобряване агроекологичността на селскостопанското производство са от полза за цялото общество.</w:t>
      </w:r>
    </w:p>
    <w:p w14:paraId="52071A13" w14:textId="77777777" w:rsidR="00B72010" w:rsidRPr="00F031DF" w:rsidRDefault="00B72010" w:rsidP="00B72010">
      <w:pPr>
        <w:spacing w:after="120"/>
        <w:ind w:firstLine="708"/>
        <w:jc w:val="both"/>
        <w:rPr>
          <w:rFonts w:ascii="Arial Narrow" w:hAnsi="Arial Narrow"/>
          <w:b/>
          <w:lang w:val="bg-BG"/>
        </w:rPr>
      </w:pPr>
      <w:r w:rsidRPr="00F031DF">
        <w:rPr>
          <w:rFonts w:ascii="Arial Narrow" w:hAnsi="Arial Narrow"/>
          <w:b/>
          <w:lang w:val="bg-BG"/>
        </w:rPr>
        <w:t>Издаване на официална сортова листа на Република България</w:t>
      </w:r>
    </w:p>
    <w:p w14:paraId="758039A5" w14:textId="77777777" w:rsidR="00F031DF" w:rsidRPr="001F46A9" w:rsidRDefault="00F031DF" w:rsidP="00F031DF">
      <w:pPr>
        <w:spacing w:after="120"/>
        <w:ind w:firstLine="709"/>
        <w:jc w:val="both"/>
        <w:rPr>
          <w:rFonts w:ascii="Arial Narrow" w:hAnsi="Arial Narrow"/>
          <w:color w:val="FF0000"/>
          <w:lang w:val="bg-BG" w:eastAsia="bg-BG"/>
        </w:rPr>
      </w:pPr>
      <w:r w:rsidRPr="001F46A9">
        <w:rPr>
          <w:rFonts w:ascii="Arial Narrow" w:hAnsi="Arial Narrow"/>
          <w:color w:val="FF0000"/>
          <w:lang w:val="bg-BG"/>
        </w:rPr>
        <w:tab/>
      </w:r>
      <w:r w:rsidRPr="007364F3">
        <w:rPr>
          <w:rFonts w:ascii="Arial Narrow" w:hAnsi="Arial Narrow"/>
          <w:lang w:val="bg-BG" w:eastAsia="bg-BG"/>
        </w:rPr>
        <w:t>През 2024 г. ИАСАС осъществява постоянен обмен на информация с Европейската комисия, държавите членки и други международни институции, по отношение наименованията, вписването и отписването на сортове растения в и от официалната сортова листа, както и относно търговията на семена и посадъчен материал.</w:t>
      </w:r>
    </w:p>
    <w:p w14:paraId="53305A9D" w14:textId="77777777" w:rsidR="00F031DF" w:rsidRPr="00472047" w:rsidRDefault="00F031DF" w:rsidP="00F031DF">
      <w:pPr>
        <w:spacing w:after="120"/>
        <w:ind w:firstLine="709"/>
        <w:jc w:val="both"/>
        <w:rPr>
          <w:rFonts w:ascii="Arial Narrow" w:hAnsi="Arial Narrow"/>
          <w:lang w:val="bg-BG" w:eastAsia="bg-BG"/>
        </w:rPr>
      </w:pPr>
      <w:r w:rsidRPr="00472047">
        <w:rPr>
          <w:rFonts w:ascii="Arial Narrow" w:hAnsi="Arial Narrow"/>
          <w:lang w:val="bg-BG" w:eastAsia="bg-BG"/>
        </w:rPr>
        <w:t>Официалната сортова листа на Република България е част от Европейските каталози за сортове от полски и зеленчукови култури, което дава възможност на сортове българска селекция да присъстват на свободния пазар на ЕС. Официалната сортова листа е публикувана на интернет страницата на агенцията, като се актуализира своевременно след вписване на нови сортове растения. По Закона за закрила на новите сортове растения и породи животни агенцията извършва експертиза по същество за различимост, хомогенност и стабилност на новите сортове растения, въз основа на която Патентно ведомство издава сертификат за правна закрила.</w:t>
      </w:r>
    </w:p>
    <w:p w14:paraId="011113A1" w14:textId="77777777" w:rsidR="00F031DF" w:rsidRPr="00472047" w:rsidRDefault="00F031DF" w:rsidP="00F031DF">
      <w:pPr>
        <w:spacing w:after="120"/>
        <w:ind w:firstLine="709"/>
        <w:jc w:val="both"/>
        <w:rPr>
          <w:rFonts w:ascii="Arial Narrow" w:hAnsi="Arial Narrow"/>
          <w:lang w:val="bg-BG" w:eastAsia="bg-BG"/>
        </w:rPr>
      </w:pPr>
      <w:r w:rsidRPr="00472047">
        <w:rPr>
          <w:rFonts w:ascii="Arial Narrow" w:hAnsi="Arial Narrow"/>
          <w:lang w:val="bg-BG" w:eastAsia="bg-BG"/>
        </w:rPr>
        <w:lastRenderedPageBreak/>
        <w:t xml:space="preserve">През 2024 г. в официалната сортова листа са вписани 1 088 сорта (при 978 през 2023 г.) от следните видове земеделски растения: полски видове – 576, зеленчукови видове - 375, овощни видове - 4, лоза - 92, тютюн - 16, медицински и ароматни видове - 12 и видове извън обхвата на директиви 2002/53/ЕС и 2002/55/ЕС – 13 сорта. </w:t>
      </w:r>
    </w:p>
    <w:p w14:paraId="072AABC2" w14:textId="77777777" w:rsidR="00F031DF" w:rsidRPr="003243C8" w:rsidRDefault="00F031DF" w:rsidP="00F031DF">
      <w:pPr>
        <w:spacing w:after="120"/>
        <w:ind w:firstLine="709"/>
        <w:jc w:val="both"/>
        <w:rPr>
          <w:rFonts w:ascii="Arial Narrow" w:hAnsi="Arial Narrow"/>
          <w:lang w:val="bg-BG" w:eastAsia="bg-BG"/>
        </w:rPr>
      </w:pPr>
      <w:r w:rsidRPr="003243C8">
        <w:rPr>
          <w:rFonts w:ascii="Arial Narrow" w:hAnsi="Arial Narrow"/>
          <w:lang w:val="bg-BG" w:eastAsia="bg-BG"/>
        </w:rPr>
        <w:t xml:space="preserve">От тях, 260 сорта са защитени на територията на страната със сертификат за правна закрила, издаден от Патентно ведомство, както следва: полски видове - 177, зеленчукови видове - 47, овощни видове – 1, лоза - 19, тютюн - 7, </w:t>
      </w:r>
      <w:r w:rsidRPr="003243C8">
        <w:rPr>
          <w:rFonts w:ascii="Arial Narrow" w:hAnsi="Arial Narrow"/>
          <w:lang w:val="ru-RU" w:eastAsia="bg-BG"/>
        </w:rPr>
        <w:t xml:space="preserve">медицински и ароматни видове – </w:t>
      </w:r>
      <w:r w:rsidRPr="003243C8">
        <w:rPr>
          <w:rFonts w:ascii="Arial Narrow" w:hAnsi="Arial Narrow"/>
          <w:lang w:eastAsia="bg-BG"/>
        </w:rPr>
        <w:t>3</w:t>
      </w:r>
      <w:r w:rsidRPr="003243C8">
        <w:rPr>
          <w:rFonts w:ascii="Arial Narrow" w:hAnsi="Arial Narrow"/>
          <w:lang w:val="bg-BG" w:eastAsia="bg-BG"/>
        </w:rPr>
        <w:t>, видове, извън обхвата на директиви 2002/53/ЕС и 2002/55/ЕС - 6 сорта.</w:t>
      </w:r>
    </w:p>
    <w:p w14:paraId="0B0BE1A9" w14:textId="77777777" w:rsidR="00F031DF" w:rsidRPr="00DC7450" w:rsidRDefault="00F031DF" w:rsidP="00F031DF">
      <w:pPr>
        <w:widowControl w:val="0"/>
        <w:spacing w:after="120"/>
        <w:ind w:firstLine="709"/>
        <w:jc w:val="both"/>
        <w:rPr>
          <w:rFonts w:ascii="Arial Narrow" w:hAnsi="Arial Narrow"/>
          <w:b/>
          <w:lang w:val="bg-BG"/>
        </w:rPr>
      </w:pPr>
      <w:r w:rsidRPr="00DC7450">
        <w:rPr>
          <w:rFonts w:ascii="Arial Narrow" w:hAnsi="Arial Narrow"/>
          <w:b/>
          <w:lang w:val="bg-BG"/>
        </w:rPr>
        <w:t xml:space="preserve">Извършване на сортоизпитване за различимост, хомогенност и стабилност, грунтов контрол, биологични и стопански качества и предварително изпитване на нови сортове растения </w:t>
      </w:r>
    </w:p>
    <w:p w14:paraId="61DCC781" w14:textId="77777777" w:rsidR="00F031DF" w:rsidRPr="001F46A9" w:rsidRDefault="00F031DF" w:rsidP="00F031DF">
      <w:pPr>
        <w:widowControl w:val="0"/>
        <w:spacing w:after="120"/>
        <w:ind w:firstLine="709"/>
        <w:jc w:val="both"/>
        <w:rPr>
          <w:rFonts w:ascii="Arial Narrow" w:hAnsi="Arial Narrow"/>
          <w:color w:val="FF0000"/>
          <w:lang w:val="bg-BG" w:eastAsia="bg-BG"/>
        </w:rPr>
      </w:pPr>
      <w:r w:rsidRPr="0065122A">
        <w:rPr>
          <w:rFonts w:ascii="Arial Narrow" w:hAnsi="Arial Narrow"/>
          <w:lang w:val="bg-BG" w:eastAsia="bg-BG"/>
        </w:rPr>
        <w:t>През 2024 г. са заложени и изпитани общо 1 129 броя сортове, хибриди и линии (при 733 за 2023 г.), като 511 от тях са по сключени договори за сортоизпитване (при 409 за 2023 г.) и 618 - подобни сортове и сравнителна колекция за доказване различимостта на заявените нови сортове (при 324 за 2023 г.).</w:t>
      </w:r>
      <w:r w:rsidRPr="0065122A">
        <w:rPr>
          <w:rFonts w:ascii="Arial Narrow" w:hAnsi="Arial Narrow"/>
          <w:lang w:eastAsia="bg-BG"/>
        </w:rPr>
        <w:t xml:space="preserve"> </w:t>
      </w:r>
      <w:r w:rsidRPr="0065122A">
        <w:rPr>
          <w:rFonts w:ascii="Arial Narrow" w:hAnsi="Arial Narrow"/>
          <w:lang w:val="bg-BG" w:eastAsia="bg-BG"/>
        </w:rPr>
        <w:t xml:space="preserve">Сравнителната сортова колекция (семена, материал от вегетативно размножаващи се видове растения и официални сортоописания), поддържана от ИАСАС, наброява 7 650 сорта (при 9 988 за 2023 г.) от 82 вида култури. </w:t>
      </w:r>
      <w:r w:rsidRPr="00064E46">
        <w:rPr>
          <w:rFonts w:ascii="Arial Narrow" w:hAnsi="Arial Narrow"/>
          <w:lang w:val="bg-BG" w:eastAsia="bg-BG"/>
        </w:rPr>
        <w:t xml:space="preserve">За целите на сравнителната колекция за РХС </w:t>
      </w:r>
      <w:r>
        <w:rPr>
          <w:rFonts w:ascii="Arial Narrow" w:hAnsi="Arial Narrow"/>
          <w:lang w:val="bg-BG" w:eastAsia="bg-BG"/>
        </w:rPr>
        <w:t>с</w:t>
      </w:r>
      <w:r w:rsidRPr="00064E46">
        <w:rPr>
          <w:rFonts w:ascii="Arial Narrow" w:hAnsi="Arial Narrow"/>
          <w:lang w:val="bg-BG" w:eastAsia="bg-BG"/>
        </w:rPr>
        <w:t>а поискани семена от 1</w:t>
      </w:r>
      <w:r>
        <w:rPr>
          <w:rFonts w:ascii="Arial Narrow" w:hAnsi="Arial Narrow"/>
          <w:lang w:val="bg-BG" w:eastAsia="bg-BG"/>
        </w:rPr>
        <w:t xml:space="preserve"> </w:t>
      </w:r>
      <w:r w:rsidRPr="00064E46">
        <w:rPr>
          <w:rFonts w:ascii="Arial Narrow" w:hAnsi="Arial Narrow"/>
          <w:lang w:val="bg-BG" w:eastAsia="bg-BG"/>
        </w:rPr>
        <w:t>142 сорт</w:t>
      </w:r>
      <w:r>
        <w:rPr>
          <w:rFonts w:ascii="Arial Narrow" w:hAnsi="Arial Narrow"/>
          <w:lang w:val="bg-BG" w:eastAsia="bg-BG"/>
        </w:rPr>
        <w:t>а от 16 вида култури.</w:t>
      </w:r>
      <w:r w:rsidRPr="00064E46">
        <w:rPr>
          <w:rFonts w:ascii="Arial Narrow" w:hAnsi="Arial Narrow"/>
          <w:lang w:val="bg-BG" w:eastAsia="bg-BG"/>
        </w:rPr>
        <w:t xml:space="preserve"> </w:t>
      </w:r>
      <w:r>
        <w:rPr>
          <w:rFonts w:ascii="Arial Narrow" w:hAnsi="Arial Narrow"/>
          <w:lang w:val="bg-BG" w:eastAsia="bg-BG"/>
        </w:rPr>
        <w:t>П</w:t>
      </w:r>
      <w:r w:rsidRPr="00064E46">
        <w:rPr>
          <w:rFonts w:ascii="Arial Narrow" w:hAnsi="Arial Narrow"/>
          <w:lang w:val="bg-BG" w:eastAsia="bg-BG"/>
        </w:rPr>
        <w:t xml:space="preserve">олучени </w:t>
      </w:r>
      <w:r>
        <w:rPr>
          <w:rFonts w:ascii="Arial Narrow" w:hAnsi="Arial Narrow"/>
          <w:lang w:val="bg-BG" w:eastAsia="bg-BG"/>
        </w:rPr>
        <w:t xml:space="preserve">са </w:t>
      </w:r>
      <w:r w:rsidRPr="00064E46">
        <w:rPr>
          <w:rFonts w:ascii="Arial Narrow" w:hAnsi="Arial Narrow"/>
          <w:lang w:val="bg-BG" w:eastAsia="bg-BG"/>
        </w:rPr>
        <w:t>семена от 306 сорта.</w:t>
      </w:r>
    </w:p>
    <w:p w14:paraId="6DDE7D69" w14:textId="77777777" w:rsidR="00F031DF" w:rsidRPr="00BE19E8" w:rsidRDefault="00F031DF" w:rsidP="00F031DF">
      <w:pPr>
        <w:widowControl w:val="0"/>
        <w:spacing w:after="120"/>
        <w:ind w:firstLine="709"/>
        <w:jc w:val="both"/>
        <w:rPr>
          <w:rFonts w:ascii="Arial Narrow" w:hAnsi="Arial Narrow"/>
          <w:lang w:val="bg-BG" w:eastAsia="bg-BG"/>
        </w:rPr>
      </w:pPr>
      <w:r w:rsidRPr="00BE19E8">
        <w:rPr>
          <w:rFonts w:ascii="Arial Narrow" w:hAnsi="Arial Narrow"/>
          <w:lang w:val="bg-BG" w:eastAsia="bg-BG"/>
        </w:rPr>
        <w:t>С цел получаване на правна закрила на територията на страната са подготвени и изпратени до Патентно ведомство 7 реферата (при 55 за 2023 г.), окончателни доклада и официални сортоописания.</w:t>
      </w:r>
    </w:p>
    <w:p w14:paraId="0B7E09B4" w14:textId="77777777" w:rsidR="00F031DF" w:rsidRPr="004836A0" w:rsidRDefault="00F031DF" w:rsidP="00F031DF">
      <w:pPr>
        <w:widowControl w:val="0"/>
        <w:spacing w:after="120"/>
        <w:ind w:firstLine="709"/>
        <w:jc w:val="both"/>
        <w:rPr>
          <w:rFonts w:ascii="Arial Narrow" w:hAnsi="Arial Narrow"/>
          <w:lang w:val="bg-BG" w:eastAsia="bg-BG"/>
        </w:rPr>
      </w:pPr>
      <w:r w:rsidRPr="004836A0">
        <w:rPr>
          <w:rFonts w:ascii="Arial Narrow" w:hAnsi="Arial Narrow"/>
          <w:lang w:val="bg-BG" w:eastAsia="bg-BG"/>
        </w:rPr>
        <w:t>От Европейския офис за сортовете растения (ЕОСР) са заявени за изпитване 39 сорта с цел получаване на правна закрила на територията на ЕС - 37 сорта слънчоглед (при 15 сорта за 2023 г.), 1 сорт тютюн и 1 сорт ориз.</w:t>
      </w:r>
    </w:p>
    <w:p w14:paraId="7D46E8DF" w14:textId="77777777" w:rsidR="00F031DF" w:rsidRPr="00FD106E" w:rsidRDefault="00F031DF" w:rsidP="00F031DF">
      <w:pPr>
        <w:widowControl w:val="0"/>
        <w:spacing w:after="120"/>
        <w:ind w:firstLine="709"/>
        <w:jc w:val="both"/>
        <w:rPr>
          <w:rFonts w:ascii="Arial Narrow" w:hAnsi="Arial Narrow"/>
          <w:lang w:val="bg-BG" w:eastAsia="bg-BG"/>
        </w:rPr>
      </w:pPr>
      <w:r w:rsidRPr="00FD106E">
        <w:rPr>
          <w:rFonts w:ascii="Arial Narrow" w:hAnsi="Arial Narrow"/>
          <w:lang w:val="bg-BG" w:eastAsia="bg-BG"/>
        </w:rPr>
        <w:t>От общия брой засети/засадени сорта, 736 са полски, 319 зеленчукови, 50 маслодайни и влакнодайни и 24 овощни и лоза. В сравнение в предходната година се наблюдава увеличаване на броя при всички видове култури.</w:t>
      </w:r>
    </w:p>
    <w:p w14:paraId="2460B2D7" w14:textId="77777777" w:rsidR="00F031DF" w:rsidRPr="00041580" w:rsidRDefault="00F031DF" w:rsidP="00F031DF">
      <w:pPr>
        <w:widowControl w:val="0"/>
        <w:spacing w:after="120"/>
        <w:ind w:firstLine="709"/>
        <w:jc w:val="both"/>
        <w:rPr>
          <w:rFonts w:ascii="Arial Narrow" w:hAnsi="Arial Narrow"/>
          <w:lang w:val="bg-BG"/>
        </w:rPr>
      </w:pPr>
      <w:r w:rsidRPr="00041580">
        <w:rPr>
          <w:rFonts w:ascii="Arial Narrow" w:hAnsi="Arial Narrow"/>
          <w:lang w:val="bg-BG"/>
        </w:rPr>
        <w:t>По видове земеделски култури сортоизпитването за РХС е разпределено както следва:</w:t>
      </w:r>
    </w:p>
    <w:p w14:paraId="2CB9B773" w14:textId="77777777" w:rsidR="00F031DF" w:rsidRPr="00041580" w:rsidRDefault="00F031DF" w:rsidP="00F031DF">
      <w:pPr>
        <w:widowControl w:val="0"/>
        <w:numPr>
          <w:ilvl w:val="0"/>
          <w:numId w:val="4"/>
        </w:numPr>
        <w:autoSpaceDE w:val="0"/>
        <w:autoSpaceDN w:val="0"/>
        <w:adjustRightInd w:val="0"/>
        <w:spacing w:after="120"/>
        <w:ind w:left="720"/>
        <w:jc w:val="both"/>
        <w:rPr>
          <w:rFonts w:ascii="Arial Narrow" w:eastAsia="SimSun" w:hAnsi="Arial Narrow"/>
          <w:bCs/>
          <w:lang w:val="bg-BG" w:eastAsia="zh-CN"/>
        </w:rPr>
      </w:pPr>
      <w:r w:rsidRPr="00041580">
        <w:rPr>
          <w:rFonts w:ascii="Arial Narrow" w:eastAsia="SimSun" w:hAnsi="Arial Narrow"/>
          <w:bCs/>
          <w:lang w:val="bg-BG" w:eastAsia="zh-CN"/>
        </w:rPr>
        <w:t xml:space="preserve">14 вида полски култури (при 18 за 2023 г.); </w:t>
      </w:r>
    </w:p>
    <w:p w14:paraId="6BBF8C58" w14:textId="77777777" w:rsidR="00F031DF" w:rsidRPr="00041580" w:rsidRDefault="00F031DF" w:rsidP="00F031DF">
      <w:pPr>
        <w:widowControl w:val="0"/>
        <w:numPr>
          <w:ilvl w:val="0"/>
          <w:numId w:val="4"/>
        </w:numPr>
        <w:autoSpaceDE w:val="0"/>
        <w:autoSpaceDN w:val="0"/>
        <w:adjustRightInd w:val="0"/>
        <w:spacing w:after="120"/>
        <w:ind w:left="720"/>
        <w:jc w:val="both"/>
        <w:rPr>
          <w:rFonts w:ascii="Arial Narrow" w:eastAsia="SimSun" w:hAnsi="Arial Narrow"/>
          <w:bCs/>
          <w:lang w:val="bg-BG" w:eastAsia="zh-CN"/>
        </w:rPr>
      </w:pPr>
      <w:r w:rsidRPr="00041580">
        <w:rPr>
          <w:rFonts w:ascii="Arial Narrow" w:eastAsia="SimSun" w:hAnsi="Arial Narrow"/>
          <w:bCs/>
          <w:lang w:val="bg-BG" w:eastAsia="zh-CN"/>
        </w:rPr>
        <w:t xml:space="preserve">19 зеленчукови култури (при 18 за 2023 г.); </w:t>
      </w:r>
    </w:p>
    <w:p w14:paraId="2E77F671" w14:textId="77777777" w:rsidR="00F031DF" w:rsidRPr="00041580" w:rsidRDefault="00F031DF" w:rsidP="00F031DF">
      <w:pPr>
        <w:widowControl w:val="0"/>
        <w:numPr>
          <w:ilvl w:val="0"/>
          <w:numId w:val="4"/>
        </w:numPr>
        <w:autoSpaceDE w:val="0"/>
        <w:autoSpaceDN w:val="0"/>
        <w:adjustRightInd w:val="0"/>
        <w:spacing w:after="120"/>
        <w:ind w:left="720"/>
        <w:jc w:val="both"/>
        <w:rPr>
          <w:rFonts w:ascii="Arial Narrow" w:eastAsia="SimSun" w:hAnsi="Arial Narrow"/>
          <w:bCs/>
          <w:lang w:val="bg-BG" w:eastAsia="zh-CN"/>
        </w:rPr>
      </w:pPr>
      <w:r w:rsidRPr="00041580">
        <w:rPr>
          <w:rFonts w:ascii="Arial Narrow" w:eastAsia="SimSun" w:hAnsi="Arial Narrow"/>
          <w:bCs/>
          <w:lang w:val="bg-BG" w:eastAsia="zh-CN"/>
        </w:rPr>
        <w:t xml:space="preserve">3 вида маслодайни и влакнодайни (при 3 за 2023 г.); </w:t>
      </w:r>
    </w:p>
    <w:p w14:paraId="4B362B3C" w14:textId="77777777" w:rsidR="00F031DF" w:rsidRDefault="00F031DF" w:rsidP="00F031DF">
      <w:pPr>
        <w:widowControl w:val="0"/>
        <w:numPr>
          <w:ilvl w:val="0"/>
          <w:numId w:val="4"/>
        </w:numPr>
        <w:autoSpaceDE w:val="0"/>
        <w:autoSpaceDN w:val="0"/>
        <w:adjustRightInd w:val="0"/>
        <w:spacing w:after="120"/>
        <w:ind w:left="720"/>
        <w:jc w:val="both"/>
        <w:rPr>
          <w:rFonts w:ascii="Arial Narrow" w:eastAsia="SimSun" w:hAnsi="Arial Narrow"/>
          <w:bCs/>
          <w:lang w:val="bg-BG" w:eastAsia="zh-CN"/>
        </w:rPr>
      </w:pPr>
      <w:r w:rsidRPr="00041580">
        <w:rPr>
          <w:rFonts w:ascii="Arial Narrow" w:eastAsia="SimSun" w:hAnsi="Arial Narrow"/>
          <w:bCs/>
          <w:lang w:val="bg-BG" w:eastAsia="zh-CN"/>
        </w:rPr>
        <w:t>4 овощни вида и лоза (при 1 за 2023 г.).</w:t>
      </w:r>
    </w:p>
    <w:p w14:paraId="782582FF" w14:textId="77777777" w:rsidR="00F031DF" w:rsidRDefault="00F031DF" w:rsidP="00F031DF">
      <w:pPr>
        <w:widowControl w:val="0"/>
        <w:spacing w:after="120"/>
        <w:ind w:firstLine="709"/>
        <w:jc w:val="both"/>
        <w:rPr>
          <w:rFonts w:ascii="Arial Narrow" w:hAnsi="Arial Narrow"/>
          <w:lang w:val="bg-BG" w:eastAsia="bg-BG"/>
        </w:rPr>
      </w:pPr>
      <w:r>
        <w:rPr>
          <w:rFonts w:ascii="Arial Narrow" w:hAnsi="Arial Narrow"/>
          <w:lang w:val="bg-BG" w:eastAsia="bg-BG"/>
        </w:rPr>
        <w:t>От общия брой засе</w:t>
      </w:r>
      <w:r w:rsidRPr="00041580">
        <w:rPr>
          <w:rFonts w:ascii="Arial Narrow" w:hAnsi="Arial Narrow"/>
          <w:lang w:val="bg-BG" w:eastAsia="bg-BG"/>
        </w:rPr>
        <w:t>ти/засадени сорта</w:t>
      </w:r>
      <w:r>
        <w:rPr>
          <w:rFonts w:ascii="Arial Narrow" w:hAnsi="Arial Narrow"/>
          <w:lang w:val="bg-BG" w:eastAsia="bg-BG"/>
        </w:rPr>
        <w:t>,</w:t>
      </w:r>
      <w:r w:rsidRPr="00041580">
        <w:rPr>
          <w:rFonts w:ascii="Arial Narrow" w:hAnsi="Arial Narrow"/>
          <w:lang w:val="bg-BG" w:eastAsia="bg-BG"/>
        </w:rPr>
        <w:t xml:space="preserve"> 626 са полски, 202 зеленчукови, 5 етеричномаслени и лекарствени, 17 овощни видове и лоза. В сравнение в предходната година</w:t>
      </w:r>
      <w:r>
        <w:rPr>
          <w:rFonts w:ascii="Arial Narrow" w:hAnsi="Arial Narrow"/>
          <w:lang w:val="bg-BG" w:eastAsia="bg-BG"/>
        </w:rPr>
        <w:t xml:space="preserve">, </w:t>
      </w:r>
      <w:r w:rsidRPr="00041580">
        <w:rPr>
          <w:rFonts w:ascii="Arial Narrow" w:hAnsi="Arial Narrow"/>
          <w:lang w:val="bg-BG" w:eastAsia="bg-BG"/>
        </w:rPr>
        <w:t>при полските и овощните видове и лозата се наблюдава увелич</w:t>
      </w:r>
      <w:r>
        <w:rPr>
          <w:rFonts w:ascii="Arial Narrow" w:hAnsi="Arial Narrow"/>
          <w:lang w:val="bg-BG" w:eastAsia="bg-BG"/>
        </w:rPr>
        <w:t>ение</w:t>
      </w:r>
      <w:r w:rsidRPr="00041580">
        <w:rPr>
          <w:rFonts w:ascii="Arial Narrow" w:hAnsi="Arial Narrow"/>
          <w:lang w:val="bg-BG" w:eastAsia="bg-BG"/>
        </w:rPr>
        <w:t xml:space="preserve"> на броя, а при зеленчуковите видове </w:t>
      </w:r>
      <w:r>
        <w:rPr>
          <w:rFonts w:ascii="Arial Narrow" w:hAnsi="Arial Narrow"/>
          <w:lang w:val="bg-BG" w:eastAsia="bg-BG"/>
        </w:rPr>
        <w:t>-</w:t>
      </w:r>
      <w:r w:rsidRPr="00041580">
        <w:rPr>
          <w:rFonts w:ascii="Arial Narrow" w:hAnsi="Arial Narrow"/>
          <w:lang w:val="bg-BG" w:eastAsia="bg-BG"/>
        </w:rPr>
        <w:t xml:space="preserve"> намаление.</w:t>
      </w:r>
    </w:p>
    <w:p w14:paraId="521F678C" w14:textId="77777777" w:rsidR="00F031DF" w:rsidRPr="00041580" w:rsidRDefault="00F031DF" w:rsidP="00F031DF">
      <w:pPr>
        <w:widowControl w:val="0"/>
        <w:spacing w:after="120"/>
        <w:ind w:firstLine="709"/>
        <w:jc w:val="both"/>
        <w:rPr>
          <w:rFonts w:ascii="Arial Narrow" w:hAnsi="Arial Narrow"/>
          <w:lang w:val="bg-BG" w:eastAsia="bg-BG"/>
        </w:rPr>
      </w:pPr>
      <w:r w:rsidRPr="008975D4">
        <w:rPr>
          <w:rFonts w:ascii="Arial Narrow" w:hAnsi="Arial Narrow"/>
          <w:lang w:val="bg-BG" w:eastAsia="bg-BG"/>
        </w:rPr>
        <w:t xml:space="preserve">Изготвени </w:t>
      </w:r>
      <w:r>
        <w:rPr>
          <w:rFonts w:ascii="Arial Narrow" w:hAnsi="Arial Narrow"/>
          <w:lang w:val="bg-BG" w:eastAsia="bg-BG"/>
        </w:rPr>
        <w:t>с</w:t>
      </w:r>
      <w:r w:rsidRPr="008975D4">
        <w:rPr>
          <w:rFonts w:ascii="Arial Narrow" w:hAnsi="Arial Narrow"/>
          <w:lang w:val="bg-BG" w:eastAsia="bg-BG"/>
        </w:rPr>
        <w:t>а окончателни доклади с официалн</w:t>
      </w:r>
      <w:r>
        <w:rPr>
          <w:rFonts w:ascii="Arial Narrow" w:hAnsi="Arial Narrow"/>
          <w:lang w:val="bg-BG" w:eastAsia="bg-BG"/>
        </w:rPr>
        <w:t>и сортоописания, които са предст</w:t>
      </w:r>
      <w:r w:rsidRPr="008975D4">
        <w:rPr>
          <w:rFonts w:ascii="Arial Narrow" w:hAnsi="Arial Narrow"/>
          <w:lang w:val="bg-BG" w:eastAsia="bg-BG"/>
        </w:rPr>
        <w:t>а</w:t>
      </w:r>
      <w:r>
        <w:rPr>
          <w:rFonts w:ascii="Arial Narrow" w:hAnsi="Arial Narrow"/>
          <w:lang w:val="bg-BG" w:eastAsia="bg-BG"/>
        </w:rPr>
        <w:t>вени и приети</w:t>
      </w:r>
      <w:r w:rsidRPr="008975D4">
        <w:rPr>
          <w:rFonts w:ascii="Arial Narrow" w:hAnsi="Arial Narrow"/>
          <w:lang w:val="bg-BG" w:eastAsia="bg-BG"/>
        </w:rPr>
        <w:t xml:space="preserve"> на 3 експертни комисии. На заседанията на експертните коми</w:t>
      </w:r>
      <w:r>
        <w:rPr>
          <w:rFonts w:ascii="Arial Narrow" w:hAnsi="Arial Narrow"/>
          <w:lang w:val="bg-BG" w:eastAsia="bg-BG"/>
        </w:rPr>
        <w:t>сии за РХС с</w:t>
      </w:r>
      <w:r w:rsidRPr="008975D4">
        <w:rPr>
          <w:rFonts w:ascii="Arial Narrow" w:hAnsi="Arial Narrow"/>
          <w:lang w:val="bg-BG" w:eastAsia="bg-BG"/>
        </w:rPr>
        <w:t>а обсъдени и признати 1</w:t>
      </w:r>
      <w:r>
        <w:rPr>
          <w:rFonts w:ascii="Arial Narrow" w:hAnsi="Arial Narrow"/>
          <w:lang w:val="bg-BG" w:eastAsia="bg-BG"/>
        </w:rPr>
        <w:t>68 сорта, при 132 сорта за 2023</w:t>
      </w:r>
      <w:r w:rsidRPr="008975D4">
        <w:rPr>
          <w:rFonts w:ascii="Arial Narrow" w:hAnsi="Arial Narrow"/>
          <w:lang w:val="bg-BG" w:eastAsia="bg-BG"/>
        </w:rPr>
        <w:t xml:space="preserve"> г.</w:t>
      </w:r>
    </w:p>
    <w:p w14:paraId="19D449E4" w14:textId="77777777" w:rsidR="00F031DF" w:rsidRPr="00471144" w:rsidRDefault="00F031DF" w:rsidP="00F031DF">
      <w:pPr>
        <w:spacing w:after="120"/>
        <w:ind w:firstLine="709"/>
        <w:jc w:val="both"/>
        <w:rPr>
          <w:rFonts w:ascii="Arial Narrow" w:hAnsi="Arial Narrow"/>
          <w:lang w:val="bg-BG" w:eastAsia="bg-BG"/>
        </w:rPr>
      </w:pPr>
      <w:r w:rsidRPr="00471144">
        <w:rPr>
          <w:rFonts w:ascii="Arial Narrow" w:hAnsi="Arial Narrow"/>
          <w:lang w:val="bg-BG" w:eastAsia="bg-BG"/>
        </w:rPr>
        <w:t xml:space="preserve">През 2024 г. са заложени 806 проби за грунтов контрол (при 813 броя за 2023 г.) от 26 вида земеделски култури. </w:t>
      </w:r>
    </w:p>
    <w:p w14:paraId="0023761D" w14:textId="77777777" w:rsidR="00F031DF" w:rsidRPr="00DC7281" w:rsidRDefault="00F031DF" w:rsidP="00F031DF">
      <w:pPr>
        <w:spacing w:after="120"/>
        <w:ind w:firstLine="709"/>
        <w:jc w:val="both"/>
        <w:rPr>
          <w:rFonts w:ascii="Arial Narrow" w:hAnsi="Arial Narrow"/>
          <w:lang w:val="bg-BG" w:eastAsia="bg-BG"/>
        </w:rPr>
      </w:pPr>
      <w:r w:rsidRPr="00DC7281">
        <w:rPr>
          <w:rFonts w:ascii="Arial Narrow" w:hAnsi="Arial Narrow"/>
          <w:lang w:val="bg-BG" w:eastAsia="bg-BG"/>
        </w:rPr>
        <w:t>Общият брой на изпитваните за биологични и стопански качества (БСК) и предварително изпитване сортове, съгласно сключени договори (без участието на сортовете стандарти в опитите) е 1 083, с 18 по-малко спрямо 2023 г.</w:t>
      </w:r>
    </w:p>
    <w:p w14:paraId="6B76F88B" w14:textId="77777777" w:rsidR="00F031DF" w:rsidRPr="00DC7281" w:rsidRDefault="00F031DF" w:rsidP="00F031DF">
      <w:pPr>
        <w:spacing w:after="120"/>
        <w:ind w:firstLine="709"/>
        <w:jc w:val="both"/>
        <w:rPr>
          <w:rFonts w:ascii="Arial Narrow" w:hAnsi="Arial Narrow"/>
          <w:lang w:val="bg-BG" w:eastAsia="bg-BG"/>
        </w:rPr>
      </w:pPr>
      <w:r w:rsidRPr="00DC7281">
        <w:rPr>
          <w:rFonts w:ascii="Arial Narrow" w:hAnsi="Arial Narrow"/>
          <w:lang w:val="bg-BG" w:eastAsia="bg-BG"/>
        </w:rPr>
        <w:t xml:space="preserve">По договори за сортоизпитване за БСК с цел вписване в списък „А“ на Официалната сортова листа на страната са изпитани 188 сорта, а за предварително изпитване 895 сорта (при </w:t>
      </w:r>
      <w:r>
        <w:rPr>
          <w:rFonts w:ascii="Arial Narrow" w:hAnsi="Arial Narrow"/>
          <w:lang w:val="bg-BG" w:eastAsia="bg-BG"/>
        </w:rPr>
        <w:t xml:space="preserve">съответно 2020 и </w:t>
      </w:r>
      <w:r w:rsidRPr="00DC7281">
        <w:rPr>
          <w:rFonts w:ascii="Arial Narrow" w:hAnsi="Arial Narrow"/>
          <w:lang w:val="bg-BG" w:eastAsia="bg-BG"/>
        </w:rPr>
        <w:t xml:space="preserve">881 за 2023 г.). </w:t>
      </w:r>
    </w:p>
    <w:p w14:paraId="4E29EDAC" w14:textId="77777777" w:rsidR="00F031DF" w:rsidRPr="006530D1" w:rsidRDefault="00F031DF" w:rsidP="00F031DF">
      <w:pPr>
        <w:spacing w:after="120"/>
        <w:ind w:firstLine="709"/>
        <w:jc w:val="both"/>
        <w:rPr>
          <w:rFonts w:ascii="Arial Narrow" w:hAnsi="Arial Narrow"/>
          <w:lang w:val="bg-BG" w:eastAsia="bg-BG"/>
        </w:rPr>
      </w:pPr>
      <w:r w:rsidRPr="006530D1">
        <w:rPr>
          <w:rFonts w:ascii="Arial Narrow" w:hAnsi="Arial Narrow"/>
          <w:lang w:val="bg-BG" w:eastAsia="bg-BG"/>
        </w:rPr>
        <w:t xml:space="preserve">От изпитаните 1 037 броя сортове за БСК и предварително изпитване, 95,8% са чужда селекция (при 94,7% за 2023 г.). </w:t>
      </w:r>
    </w:p>
    <w:p w14:paraId="398FCD68" w14:textId="77777777" w:rsidR="00F031DF" w:rsidRPr="009127D1" w:rsidRDefault="00F031DF" w:rsidP="00F031DF">
      <w:pPr>
        <w:spacing w:after="120"/>
        <w:ind w:firstLine="709"/>
        <w:jc w:val="both"/>
        <w:rPr>
          <w:rFonts w:ascii="Arial Narrow" w:hAnsi="Arial Narrow"/>
          <w:lang w:val="bg-BG" w:eastAsia="bg-BG"/>
        </w:rPr>
      </w:pPr>
      <w:r w:rsidRPr="009127D1">
        <w:rPr>
          <w:rFonts w:ascii="Arial Narrow" w:hAnsi="Arial Narrow"/>
          <w:lang w:val="bg-BG" w:eastAsia="bg-BG"/>
        </w:rPr>
        <w:lastRenderedPageBreak/>
        <w:t>Проведени са 8 заседания за обсъждане на резултатите за БСК с цел вписване на сортове растения в списък „А“ на Официалната сортова листа. Изготвени са доклади за БСК за 72 сорта българска и чужда селекция, признати са 67.</w:t>
      </w:r>
    </w:p>
    <w:p w14:paraId="5CC7D42A" w14:textId="77777777" w:rsidR="00F031DF" w:rsidRPr="00A43276" w:rsidRDefault="00F031DF" w:rsidP="00F031DF">
      <w:pPr>
        <w:spacing w:after="120"/>
        <w:ind w:firstLine="709"/>
        <w:jc w:val="both"/>
        <w:rPr>
          <w:rFonts w:ascii="Arial Narrow" w:hAnsi="Arial Narrow"/>
          <w:lang w:val="bg-BG" w:eastAsia="bg-BG"/>
        </w:rPr>
      </w:pPr>
      <w:r w:rsidRPr="00A43276">
        <w:rPr>
          <w:rFonts w:ascii="Arial Narrow" w:hAnsi="Arial Narrow"/>
          <w:lang w:val="bg-BG" w:eastAsia="bg-BG"/>
        </w:rPr>
        <w:t xml:space="preserve">През годината са издадени 93 разрешения, като 21 от тях са актуализирани, съгласно чл. 39а от ЗППМ и в съответствие с Решение на Комисията 2004/842/ЕО, с което се подпомага бизнесът по отношение производство и търговия със семена в сектор земеделие. </w:t>
      </w:r>
    </w:p>
    <w:p w14:paraId="792330BD" w14:textId="77777777" w:rsidR="00F031DF" w:rsidRPr="006C3142" w:rsidRDefault="00F031DF" w:rsidP="00F031DF">
      <w:pPr>
        <w:spacing w:after="120"/>
        <w:ind w:firstLine="708"/>
        <w:jc w:val="both"/>
        <w:rPr>
          <w:rFonts w:ascii="Arial Narrow" w:hAnsi="Arial Narrow"/>
          <w:b/>
          <w:lang w:val="bg-BG"/>
        </w:rPr>
      </w:pPr>
      <w:r w:rsidRPr="006C3142">
        <w:rPr>
          <w:rFonts w:ascii="Arial Narrow" w:hAnsi="Arial Narrow"/>
          <w:b/>
          <w:lang w:val="bg-BG"/>
        </w:rPr>
        <w:t>Поддържане на публичен национален електронен регистър на лицата, които търгуват с посевен и/или посадъчен материал, по чл. 28, ал. 4 от ЗППМ</w:t>
      </w:r>
    </w:p>
    <w:p w14:paraId="5611A890" w14:textId="77777777" w:rsidR="00F031DF" w:rsidRPr="00526BA4" w:rsidRDefault="00F031DF" w:rsidP="00F031DF">
      <w:pPr>
        <w:spacing w:after="120"/>
        <w:ind w:firstLine="709"/>
        <w:jc w:val="both"/>
        <w:rPr>
          <w:rFonts w:ascii="Arial Narrow" w:hAnsi="Arial Narrow"/>
          <w:lang w:val="bg-BG" w:eastAsia="bg-BG"/>
        </w:rPr>
      </w:pPr>
      <w:r w:rsidRPr="00526BA4">
        <w:rPr>
          <w:rFonts w:ascii="Arial Narrow" w:hAnsi="Arial Narrow"/>
          <w:lang w:val="bg-BG" w:eastAsia="bg-BG"/>
        </w:rPr>
        <w:t>За регламентиране търговията с посевен и/или посадъчен материал, ИАСАС поддържа публичен национален електронен регистър на лицата, които търгуват с посевен и/или посадъчен материал</w:t>
      </w:r>
      <w:r>
        <w:rPr>
          <w:rFonts w:ascii="Arial Narrow" w:hAnsi="Arial Narrow"/>
          <w:lang w:val="bg-BG" w:eastAsia="bg-BG"/>
        </w:rPr>
        <w:t>.</w:t>
      </w:r>
      <w:r w:rsidRPr="00526BA4">
        <w:rPr>
          <w:rFonts w:ascii="Arial Narrow" w:hAnsi="Arial Narrow"/>
          <w:lang w:val="bg-BG" w:eastAsia="bg-BG"/>
        </w:rPr>
        <w:t xml:space="preserve"> </w:t>
      </w:r>
    </w:p>
    <w:p w14:paraId="7E7C7759" w14:textId="77777777" w:rsidR="00F031DF" w:rsidRPr="00FF5C0F" w:rsidRDefault="00F031DF" w:rsidP="00F031DF">
      <w:pPr>
        <w:spacing w:after="120"/>
        <w:ind w:firstLine="709"/>
        <w:jc w:val="both"/>
        <w:rPr>
          <w:rFonts w:ascii="Arial Narrow" w:hAnsi="Arial Narrow"/>
          <w:lang w:val="bg-BG" w:eastAsia="bg-BG"/>
        </w:rPr>
      </w:pPr>
      <w:r w:rsidRPr="00FF5C0F">
        <w:rPr>
          <w:rFonts w:ascii="Arial Narrow" w:hAnsi="Arial Narrow"/>
          <w:lang w:val="bg-BG" w:eastAsia="bg-BG"/>
        </w:rPr>
        <w:t>През 2024 г. са издадени общо 316 удостоверения за търговия (с 212 по-малко спрямо 2023 г.), като 250 са били за първоначална регистрация, 66 са преиздадени, а 13 лица са заличени от регистъра.</w:t>
      </w:r>
    </w:p>
    <w:p w14:paraId="07FB85C6" w14:textId="77777777" w:rsidR="00B72010" w:rsidRPr="00F031DF" w:rsidRDefault="00B72010" w:rsidP="00B72010">
      <w:pPr>
        <w:keepNext/>
        <w:keepLines/>
        <w:spacing w:after="120"/>
        <w:jc w:val="both"/>
        <w:rPr>
          <w:rFonts w:ascii="Arial Narrow" w:hAnsi="Arial Narrow"/>
          <w:b/>
          <w:lang w:val="bg-BG"/>
        </w:rPr>
      </w:pPr>
      <w:r w:rsidRPr="00B10684">
        <w:rPr>
          <w:rFonts w:ascii="Arial Narrow" w:hAnsi="Arial Narrow"/>
          <w:b/>
          <w:i/>
          <w:color w:val="FF0000"/>
          <w:lang w:val="bg-BG"/>
        </w:rPr>
        <w:tab/>
      </w:r>
      <w:r w:rsidRPr="00F031DF">
        <w:rPr>
          <w:rFonts w:ascii="Arial Narrow" w:hAnsi="Arial Narrow"/>
          <w:b/>
          <w:lang w:val="bg-BG"/>
        </w:rPr>
        <w:t>Сертифициране на посевен и посадъчен материал</w:t>
      </w:r>
    </w:p>
    <w:p w14:paraId="5747BAE5" w14:textId="77777777" w:rsidR="00F031DF" w:rsidRPr="00D84BD2" w:rsidRDefault="00F031DF" w:rsidP="00F031DF">
      <w:pPr>
        <w:spacing w:after="120"/>
        <w:ind w:firstLine="709"/>
        <w:jc w:val="both"/>
        <w:rPr>
          <w:rFonts w:ascii="Arial Narrow" w:hAnsi="Arial Narrow"/>
          <w:lang w:val="bg-BG" w:eastAsia="bg-BG"/>
        </w:rPr>
      </w:pPr>
      <w:r w:rsidRPr="00D84BD2">
        <w:rPr>
          <w:rFonts w:ascii="Arial Narrow" w:hAnsi="Arial Narrow"/>
          <w:lang w:val="bg-BG" w:eastAsia="bg-BG"/>
        </w:rPr>
        <w:t>Сертификацията на посевния и посадъчен материал се извършва съгласно изискванията на процедурите от системата за управление на качеството и „Схема за качество за производство на качествени семена и посадъчен материал“.</w:t>
      </w:r>
    </w:p>
    <w:p w14:paraId="75D9C558" w14:textId="77777777" w:rsidR="00F031DF" w:rsidRPr="00C3695D" w:rsidRDefault="00F031DF" w:rsidP="00F031DF">
      <w:pPr>
        <w:spacing w:after="120"/>
        <w:ind w:firstLine="709"/>
        <w:jc w:val="both"/>
        <w:rPr>
          <w:rFonts w:ascii="Arial Narrow" w:hAnsi="Arial Narrow"/>
          <w:lang w:val="bg-BG" w:eastAsia="bg-BG"/>
        </w:rPr>
      </w:pPr>
      <w:r w:rsidRPr="00C3695D">
        <w:rPr>
          <w:rFonts w:ascii="Arial Narrow" w:hAnsi="Arial Narrow"/>
          <w:lang w:val="bg-BG" w:eastAsia="bg-BG"/>
        </w:rPr>
        <w:t>През 202</w:t>
      </w:r>
      <w:r>
        <w:rPr>
          <w:rFonts w:ascii="Arial Narrow" w:hAnsi="Arial Narrow"/>
          <w:lang w:val="bg-BG" w:eastAsia="bg-BG"/>
        </w:rPr>
        <w:t>4</w:t>
      </w:r>
      <w:r w:rsidRPr="00C3695D">
        <w:rPr>
          <w:rFonts w:ascii="Arial Narrow" w:hAnsi="Arial Narrow"/>
          <w:lang w:val="bg-BG" w:eastAsia="bg-BG"/>
        </w:rPr>
        <w:t xml:space="preserve"> г. са получени заявления за сертификация за 35 056 хa семепроизводствени посеви от различни групи култури (при 32 826 хa за 2023 г.). </w:t>
      </w:r>
    </w:p>
    <w:p w14:paraId="3E74BF39" w14:textId="77777777" w:rsidR="00F031DF" w:rsidRPr="004C724E" w:rsidRDefault="00F031DF" w:rsidP="00F031DF">
      <w:pPr>
        <w:spacing w:after="120"/>
        <w:ind w:firstLine="709"/>
        <w:jc w:val="both"/>
        <w:rPr>
          <w:rFonts w:ascii="Arial Narrow" w:hAnsi="Arial Narrow"/>
          <w:lang w:val="bg-BG" w:eastAsia="bg-BG"/>
        </w:rPr>
      </w:pPr>
      <w:r w:rsidRPr="004C724E">
        <w:rPr>
          <w:rFonts w:ascii="Arial Narrow" w:hAnsi="Arial Narrow"/>
          <w:lang w:val="bg-BG" w:eastAsia="bg-BG"/>
        </w:rPr>
        <w:t xml:space="preserve">Общата площ на инспектираните посеви полски и зеленчукови култури от инспектори на ИАСАС възлиза на 34 504 хa (с 1 762,1 хa по-малко спрямо 2023 г.). От инспектираните видове земеделски растения най-голям дял заема групата на зърнените видове - 32 582 ха (94,4%), следвани </w:t>
      </w:r>
      <w:r>
        <w:rPr>
          <w:rFonts w:ascii="Arial Narrow" w:hAnsi="Arial Narrow"/>
          <w:lang w:val="bg-BG" w:eastAsia="bg-BG"/>
        </w:rPr>
        <w:t xml:space="preserve">от </w:t>
      </w:r>
      <w:r w:rsidRPr="004C724E">
        <w:rPr>
          <w:rFonts w:ascii="Arial Narrow" w:hAnsi="Arial Narrow"/>
          <w:lang w:val="bg-BG" w:eastAsia="bg-BG"/>
        </w:rPr>
        <w:t>фуражни - 956 ха (2,7%), картофи - 693 ха (2%),  маслодайни и влакнодайни - 229 ха (0,6%), зеленчукови видове - 35,6 ха (0,1%), тютюн – 2,3 ха и цвекло - 0,9 ха.</w:t>
      </w:r>
    </w:p>
    <w:p w14:paraId="1FD8CA19" w14:textId="77777777" w:rsidR="00F031DF" w:rsidRPr="00D02D03" w:rsidRDefault="00F031DF" w:rsidP="00F031DF">
      <w:pPr>
        <w:spacing w:after="120"/>
        <w:ind w:firstLine="709"/>
        <w:jc w:val="both"/>
        <w:rPr>
          <w:rFonts w:ascii="Arial Narrow" w:hAnsi="Arial Narrow"/>
          <w:lang w:val="bg-BG" w:eastAsia="bg-BG"/>
        </w:rPr>
      </w:pPr>
      <w:r w:rsidRPr="00D02D03">
        <w:rPr>
          <w:rFonts w:ascii="Arial Narrow" w:hAnsi="Arial Narrow"/>
          <w:lang w:val="bg-BG" w:eastAsia="bg-BG"/>
        </w:rPr>
        <w:t>След извършване на полските инспекции, 34 337 ха от семепроизводствените посеви са одобрени</w:t>
      </w:r>
      <w:r>
        <w:rPr>
          <w:rFonts w:ascii="Arial Narrow" w:hAnsi="Arial Narrow"/>
          <w:lang w:val="bg-BG" w:eastAsia="bg-BG"/>
        </w:rPr>
        <w:t xml:space="preserve"> (при 32 527 ха за 2023 г.)</w:t>
      </w:r>
      <w:r w:rsidRPr="00D02D03">
        <w:rPr>
          <w:rFonts w:ascii="Arial Narrow" w:hAnsi="Arial Narrow"/>
          <w:lang w:val="bg-BG" w:eastAsia="bg-BG"/>
        </w:rPr>
        <w:t>, 70,1 ха са декласирани в по-ниска категория от заявената за сертификация, а 97,1 ха са бракувани поради по-ниски показатели от изискващите се съгласно наредбите по чл. 29, ал. 6 от ЗППМ.</w:t>
      </w:r>
    </w:p>
    <w:p w14:paraId="5ACDD322" w14:textId="77777777" w:rsidR="00F031DF" w:rsidRPr="000E751C" w:rsidRDefault="00F031DF" w:rsidP="00F031DF">
      <w:pPr>
        <w:spacing w:after="120"/>
        <w:ind w:firstLine="709"/>
        <w:jc w:val="both"/>
        <w:rPr>
          <w:rFonts w:ascii="Arial Narrow" w:hAnsi="Arial Narrow"/>
          <w:lang w:val="bg-BG" w:eastAsia="bg-BG"/>
        </w:rPr>
      </w:pPr>
      <w:r w:rsidRPr="000E751C">
        <w:rPr>
          <w:rFonts w:ascii="Arial Narrow" w:hAnsi="Arial Narrow"/>
          <w:lang w:val="bg-BG" w:eastAsia="bg-BG"/>
        </w:rPr>
        <w:t>За целите на сертификацията са взети 6 252 проби от хомогенно заготвени партиди семена. От физически лица (пробовземачи), получили разрешение по условията и реда на Наредба № 8 от 31 октомври 2016 г., са взети 437 проби.</w:t>
      </w:r>
    </w:p>
    <w:p w14:paraId="2529A615" w14:textId="77777777" w:rsidR="00F031DF" w:rsidRPr="00936CAF" w:rsidRDefault="00F031DF" w:rsidP="00F031DF">
      <w:pPr>
        <w:spacing w:after="120"/>
        <w:ind w:firstLine="709"/>
        <w:jc w:val="both"/>
        <w:rPr>
          <w:rFonts w:ascii="Arial Narrow" w:hAnsi="Arial Narrow"/>
          <w:lang w:val="bg-BG" w:eastAsia="bg-BG"/>
        </w:rPr>
      </w:pPr>
      <w:r w:rsidRPr="00E50210">
        <w:rPr>
          <w:rFonts w:ascii="Arial Narrow" w:hAnsi="Arial Narrow"/>
          <w:lang w:val="bg-BG" w:eastAsia="bg-BG"/>
        </w:rPr>
        <w:t xml:space="preserve">През 2024 г. са инспектирани общо 134 ха, от </w:t>
      </w:r>
      <w:r>
        <w:rPr>
          <w:rFonts w:ascii="Arial Narrow" w:hAnsi="Arial Narrow"/>
          <w:lang w:val="bg-BG" w:eastAsia="bg-BG"/>
        </w:rPr>
        <w:t>които:</w:t>
      </w:r>
      <w:r w:rsidRPr="00E50210">
        <w:rPr>
          <w:rFonts w:ascii="Arial Narrow" w:hAnsi="Arial Narrow"/>
          <w:lang w:val="bg-BG" w:eastAsia="bg-BG"/>
        </w:rPr>
        <w:t xml:space="preserve"> 71,8 ха лозови маточници, 36,3 ха маточни лозя и 17,6 ха лозови вкоренилища. </w:t>
      </w:r>
    </w:p>
    <w:p w14:paraId="49D5283A" w14:textId="77777777" w:rsidR="00F031DF" w:rsidRPr="000D443E" w:rsidRDefault="00F031DF" w:rsidP="00F031DF">
      <w:pPr>
        <w:spacing w:after="120"/>
        <w:ind w:firstLine="709"/>
        <w:jc w:val="both"/>
        <w:rPr>
          <w:rFonts w:ascii="Arial Narrow" w:hAnsi="Arial Narrow"/>
          <w:lang w:val="bg-BG" w:eastAsia="bg-BG"/>
        </w:rPr>
      </w:pPr>
      <w:r w:rsidRPr="000D443E">
        <w:rPr>
          <w:rFonts w:ascii="Arial Narrow" w:hAnsi="Arial Narrow"/>
          <w:lang w:val="bg-BG" w:eastAsia="bg-BG"/>
        </w:rPr>
        <w:t xml:space="preserve">Окачествени са общо 4 065 000 броя лозов посадъчен материал, от които 397 000 облагородени лози, 3 254 000 резници за подложки и 414 000 резници за калеми. </w:t>
      </w:r>
    </w:p>
    <w:p w14:paraId="1175268B" w14:textId="77777777" w:rsidR="00F031DF" w:rsidRPr="00D86649" w:rsidRDefault="00F031DF" w:rsidP="00F031DF">
      <w:pPr>
        <w:spacing w:after="120"/>
        <w:ind w:firstLine="709"/>
        <w:jc w:val="both"/>
        <w:rPr>
          <w:rFonts w:ascii="Arial Narrow" w:hAnsi="Arial Narrow"/>
          <w:lang w:val="bg-BG" w:eastAsia="bg-BG"/>
        </w:rPr>
      </w:pPr>
      <w:r w:rsidRPr="00D86649">
        <w:rPr>
          <w:rFonts w:ascii="Arial Narrow" w:hAnsi="Arial Narrow"/>
          <w:lang w:val="bg-BG" w:eastAsia="bg-BG"/>
        </w:rPr>
        <w:t>Извършена е полска инспекция на 0,5 ха маточно насаждение за производство на калеми, 1,06 ха  маточно насаждение за производство на подложки, 0,27 ха вегетативен маточник от овощни подложки, категория „сертифицирани“ и 1,8 ха насаждение от семенилище, категория „сертифицирани“. Инспектирани са и 1,49 ха насаждения от облагородени овощни дръвчета, категория „сертифицирани“.</w:t>
      </w:r>
    </w:p>
    <w:p w14:paraId="5654646F" w14:textId="77777777" w:rsidR="00F031DF" w:rsidRPr="008554D2" w:rsidRDefault="00F031DF" w:rsidP="00F031DF">
      <w:pPr>
        <w:spacing w:after="120"/>
        <w:ind w:firstLine="709"/>
        <w:jc w:val="both"/>
        <w:rPr>
          <w:rFonts w:ascii="Arial Narrow" w:hAnsi="Arial Narrow"/>
          <w:bCs/>
          <w:lang w:val="bg-BG" w:eastAsia="bg-BG"/>
        </w:rPr>
      </w:pPr>
      <w:r w:rsidRPr="008554D2">
        <w:rPr>
          <w:rFonts w:ascii="Arial Narrow" w:hAnsi="Arial Narrow"/>
          <w:bCs/>
          <w:lang w:val="bg-BG" w:eastAsia="bg-BG"/>
        </w:rPr>
        <w:t xml:space="preserve">Окачествени са 3 900 кг </w:t>
      </w:r>
      <w:r w:rsidRPr="006D33E4">
        <w:rPr>
          <w:rFonts w:ascii="Arial Narrow" w:hAnsi="Arial Narrow"/>
          <w:bCs/>
          <w:lang w:val="bg-BG" w:eastAsia="bg-BG"/>
        </w:rPr>
        <w:t>семена орехи</w:t>
      </w:r>
      <w:r w:rsidRPr="008554D2">
        <w:rPr>
          <w:rFonts w:ascii="Arial Narrow" w:hAnsi="Arial Narrow"/>
          <w:bCs/>
          <w:lang w:val="bg-BG" w:eastAsia="bg-BG"/>
        </w:rPr>
        <w:t>. Издадени са и 2 документа за семена от овощни видове за определяне на жизнеспособност.</w:t>
      </w:r>
    </w:p>
    <w:p w14:paraId="7E9DCA2A" w14:textId="77777777" w:rsidR="00F031DF" w:rsidRPr="005D1DB0" w:rsidRDefault="00F031DF" w:rsidP="00F031DF">
      <w:pPr>
        <w:spacing w:after="120"/>
        <w:ind w:firstLine="709"/>
        <w:jc w:val="both"/>
        <w:rPr>
          <w:rFonts w:ascii="Arial Narrow" w:hAnsi="Arial Narrow"/>
          <w:bCs/>
          <w:lang w:val="bg-BG" w:eastAsia="bg-BG"/>
        </w:rPr>
      </w:pPr>
      <w:r w:rsidRPr="00B01D6C">
        <w:rPr>
          <w:rFonts w:ascii="Arial Narrow" w:hAnsi="Arial Narrow"/>
          <w:bCs/>
          <w:lang w:val="bg-BG" w:eastAsia="bg-BG"/>
        </w:rPr>
        <w:t>Окачествени са 550 облагородени овощни дръвчета, 371 910 подложки от овощни видове и 237 594 овощен посадъчен м</w:t>
      </w:r>
      <w:r>
        <w:rPr>
          <w:rFonts w:ascii="Arial Narrow" w:hAnsi="Arial Narrow"/>
          <w:bCs/>
          <w:lang w:val="bg-BG" w:eastAsia="bg-BG"/>
        </w:rPr>
        <w:t xml:space="preserve">атериал, внос от трети страни. </w:t>
      </w:r>
    </w:p>
    <w:p w14:paraId="0661B748" w14:textId="77777777" w:rsidR="00F031DF" w:rsidRPr="005D1DB0" w:rsidRDefault="00F031DF" w:rsidP="00F031DF">
      <w:pPr>
        <w:spacing w:after="120"/>
        <w:ind w:firstLine="709"/>
        <w:jc w:val="both"/>
        <w:rPr>
          <w:rFonts w:ascii="Arial Narrow" w:hAnsi="Arial Narrow"/>
          <w:bCs/>
          <w:lang w:val="bg-BG" w:eastAsia="bg-BG"/>
        </w:rPr>
      </w:pPr>
      <w:r w:rsidRPr="005D1DB0">
        <w:rPr>
          <w:rFonts w:ascii="Arial Narrow" w:hAnsi="Arial Narrow"/>
          <w:bCs/>
          <w:lang w:val="bg-BG" w:eastAsia="bg-BG"/>
        </w:rPr>
        <w:t xml:space="preserve">Извършени са полски инспекции на 8 ха маточни насаждения от маслодайна роза и на 0,2 ха вкоренилище, в т. ч. 2,7 ха категория „предбазови“ и 5,2 ха категория „сертифицирани“. Сертифицирани са 71 220 </w:t>
      </w:r>
      <w:r>
        <w:rPr>
          <w:rFonts w:ascii="Arial Narrow" w:hAnsi="Arial Narrow"/>
          <w:bCs/>
          <w:lang w:val="bg-BG" w:eastAsia="bg-BG"/>
        </w:rPr>
        <w:t xml:space="preserve">броя </w:t>
      </w:r>
      <w:r w:rsidRPr="005D1DB0">
        <w:rPr>
          <w:rFonts w:ascii="Arial Narrow" w:hAnsi="Arial Narrow"/>
          <w:bCs/>
          <w:lang w:val="bg-BG" w:eastAsia="bg-BG"/>
        </w:rPr>
        <w:t xml:space="preserve">посадъчен материал от маслодайна роза. </w:t>
      </w:r>
    </w:p>
    <w:p w14:paraId="6DC0E8BF" w14:textId="77777777" w:rsidR="00F031DF" w:rsidRPr="005D1DB0" w:rsidRDefault="00F031DF" w:rsidP="00F031DF">
      <w:pPr>
        <w:spacing w:after="120"/>
        <w:ind w:firstLine="709"/>
        <w:jc w:val="both"/>
        <w:rPr>
          <w:rFonts w:ascii="Arial Narrow" w:hAnsi="Arial Narrow"/>
          <w:bCs/>
          <w:lang w:val="bg-BG" w:eastAsia="bg-BG"/>
        </w:rPr>
      </w:pPr>
      <w:r w:rsidRPr="005D1DB0">
        <w:rPr>
          <w:rFonts w:ascii="Arial Narrow" w:hAnsi="Arial Narrow"/>
          <w:bCs/>
          <w:lang w:val="bg-BG" w:eastAsia="bg-BG"/>
        </w:rPr>
        <w:lastRenderedPageBreak/>
        <w:t>Извършени са и полски инспекции на 0,2 ха маточни насаждения от лавандула, категория „предбазови“ и вкоренилище - 0,02 дка. Окачествения</w:t>
      </w:r>
      <w:r>
        <w:rPr>
          <w:rFonts w:ascii="Arial Narrow" w:hAnsi="Arial Narrow"/>
          <w:bCs/>
          <w:lang w:val="bg-BG" w:eastAsia="bg-BG"/>
        </w:rPr>
        <w:t>т</w:t>
      </w:r>
      <w:r w:rsidRPr="005D1DB0">
        <w:rPr>
          <w:rFonts w:ascii="Arial Narrow" w:hAnsi="Arial Narrow"/>
          <w:bCs/>
          <w:lang w:val="bg-BG" w:eastAsia="bg-BG"/>
        </w:rPr>
        <w:t xml:space="preserve"> </w:t>
      </w:r>
      <w:r>
        <w:rPr>
          <w:rFonts w:ascii="Arial Narrow" w:hAnsi="Arial Narrow"/>
          <w:bCs/>
          <w:lang w:val="bg-BG" w:eastAsia="bg-BG"/>
        </w:rPr>
        <w:t xml:space="preserve">брой </w:t>
      </w:r>
      <w:r w:rsidRPr="005D1DB0">
        <w:rPr>
          <w:rFonts w:ascii="Arial Narrow" w:hAnsi="Arial Narrow"/>
          <w:bCs/>
          <w:lang w:val="bg-BG" w:eastAsia="bg-BG"/>
        </w:rPr>
        <w:t>посадъчен материал от категория „предбазови“ лавандула е 37 300.</w:t>
      </w:r>
    </w:p>
    <w:p w14:paraId="1CADCBF1" w14:textId="77777777" w:rsidR="00F031DF" w:rsidRPr="005D5198" w:rsidRDefault="00F031DF" w:rsidP="00F031DF">
      <w:pPr>
        <w:spacing w:after="120"/>
        <w:ind w:firstLine="708"/>
        <w:jc w:val="both"/>
        <w:rPr>
          <w:rFonts w:ascii="Arial Narrow" w:hAnsi="Arial Narrow"/>
          <w:b/>
          <w:lang w:val="bg-BG"/>
        </w:rPr>
      </w:pPr>
      <w:r w:rsidRPr="005D5198">
        <w:rPr>
          <w:rFonts w:ascii="Arial Narrow" w:hAnsi="Arial Narrow"/>
          <w:lang w:val="bg-BG"/>
        </w:rPr>
        <w:tab/>
      </w:r>
      <w:r w:rsidRPr="005D5198">
        <w:rPr>
          <w:rFonts w:ascii="Arial Narrow" w:hAnsi="Arial Narrow"/>
          <w:b/>
          <w:lang w:val="bg-BG"/>
        </w:rPr>
        <w:t>Контролни дейности по ЗГМО и ЗППМ, включително внос на семена и посадъчен материал от и за трети страни</w:t>
      </w:r>
    </w:p>
    <w:p w14:paraId="5275AD66" w14:textId="77777777" w:rsidR="00F031DF" w:rsidRPr="00695347" w:rsidRDefault="00F031DF" w:rsidP="00F031DF">
      <w:pPr>
        <w:spacing w:after="120"/>
        <w:ind w:firstLine="709"/>
        <w:jc w:val="both"/>
        <w:rPr>
          <w:rFonts w:ascii="Arial Narrow" w:hAnsi="Arial Narrow"/>
          <w:lang w:val="bg-BG" w:eastAsia="bg-BG"/>
        </w:rPr>
      </w:pPr>
      <w:r w:rsidRPr="00695347">
        <w:rPr>
          <w:rFonts w:ascii="Arial Narrow" w:hAnsi="Arial Narrow"/>
          <w:lang w:val="bg-BG" w:eastAsia="bg-BG"/>
        </w:rPr>
        <w:t xml:space="preserve">През 2024 г. са извършени над 714 проверки по документи и на място. При проверките по ЗГМО не е открито наличие на ГМО в конвенционалните партиди семена. </w:t>
      </w:r>
    </w:p>
    <w:p w14:paraId="0789FB86" w14:textId="77777777" w:rsidR="00F031DF" w:rsidRPr="00A0699F" w:rsidRDefault="00F031DF" w:rsidP="00F031DF">
      <w:pPr>
        <w:spacing w:after="120"/>
        <w:ind w:firstLine="709"/>
        <w:jc w:val="both"/>
        <w:rPr>
          <w:rFonts w:ascii="Arial Narrow" w:hAnsi="Arial Narrow"/>
          <w:lang w:val="bg-BG" w:eastAsia="bg-BG"/>
        </w:rPr>
      </w:pPr>
      <w:r w:rsidRPr="00A0699F">
        <w:rPr>
          <w:rFonts w:ascii="Arial Narrow" w:hAnsi="Arial Narrow"/>
          <w:lang w:val="bg-BG" w:eastAsia="bg-BG"/>
        </w:rPr>
        <w:t xml:space="preserve">Осъществен е ефективен контрол при заготовката и търговията със семена и посадъчен материал. Резултатите от анализите </w:t>
      </w:r>
      <w:r>
        <w:rPr>
          <w:rFonts w:ascii="Arial Narrow" w:hAnsi="Arial Narrow"/>
          <w:lang w:val="bg-BG" w:eastAsia="bg-BG"/>
        </w:rPr>
        <w:t xml:space="preserve">на взети 28 проби </w:t>
      </w:r>
      <w:r w:rsidRPr="00A0699F">
        <w:rPr>
          <w:rFonts w:ascii="Arial Narrow" w:hAnsi="Arial Narrow"/>
          <w:lang w:val="bg-BG" w:eastAsia="bg-BG"/>
        </w:rPr>
        <w:t xml:space="preserve">показват, че семената отговарят на минималните изисквания за кълняемост. </w:t>
      </w:r>
      <w:r>
        <w:rPr>
          <w:rFonts w:ascii="Arial Narrow" w:hAnsi="Arial Narrow"/>
          <w:lang w:val="bg-BG" w:eastAsia="bg-BG"/>
        </w:rPr>
        <w:t>В анализираните</w:t>
      </w:r>
      <w:r w:rsidRPr="00A0699F">
        <w:rPr>
          <w:rFonts w:ascii="Arial Narrow" w:hAnsi="Arial Narrow"/>
          <w:lang w:val="bg-BG" w:eastAsia="bg-BG"/>
        </w:rPr>
        <w:t xml:space="preserve"> 10 проби от партиди семена на хибридна царевица в акредитирана лаборатория за мониторинг на ГМО не е открито наличие на ГМО.</w:t>
      </w:r>
    </w:p>
    <w:p w14:paraId="5382F282" w14:textId="77777777" w:rsidR="00F031DF" w:rsidRPr="00D041DF" w:rsidRDefault="00F031DF" w:rsidP="00F031DF">
      <w:pPr>
        <w:spacing w:after="120"/>
        <w:ind w:firstLine="709"/>
        <w:jc w:val="both"/>
        <w:rPr>
          <w:rFonts w:ascii="Arial Narrow" w:hAnsi="Arial Narrow"/>
          <w:lang w:val="bg-BG" w:eastAsia="bg-BG"/>
        </w:rPr>
      </w:pPr>
      <w:r>
        <w:rPr>
          <w:rFonts w:ascii="Arial Narrow" w:hAnsi="Arial Narrow"/>
          <w:lang w:val="bg-BG" w:eastAsia="bg-BG"/>
        </w:rPr>
        <w:t>С</w:t>
      </w:r>
      <w:r w:rsidRPr="001831E7">
        <w:rPr>
          <w:rFonts w:ascii="Arial Narrow" w:hAnsi="Arial Narrow"/>
          <w:lang w:val="bg-BG" w:eastAsia="bg-BG"/>
        </w:rPr>
        <w:t xml:space="preserve">ъставени </w:t>
      </w:r>
      <w:r>
        <w:rPr>
          <w:rFonts w:ascii="Arial Narrow" w:hAnsi="Arial Narrow"/>
          <w:lang w:val="bg-BG" w:eastAsia="bg-BG"/>
        </w:rPr>
        <w:t xml:space="preserve">са </w:t>
      </w:r>
      <w:r w:rsidRPr="001831E7">
        <w:rPr>
          <w:rFonts w:ascii="Arial Narrow" w:hAnsi="Arial Narrow"/>
          <w:lang w:val="bg-BG" w:eastAsia="bg-BG"/>
        </w:rPr>
        <w:t>15 акта за установяване на административни нарушения</w:t>
      </w:r>
      <w:r>
        <w:rPr>
          <w:rFonts w:ascii="Arial Narrow" w:hAnsi="Arial Narrow"/>
          <w:lang w:val="bg-BG" w:eastAsia="bg-BG"/>
        </w:rPr>
        <w:t xml:space="preserve"> </w:t>
      </w:r>
      <w:r>
        <w:rPr>
          <w:rFonts w:ascii="Arial Narrow" w:hAnsi="Arial Narrow"/>
          <w:lang w:val="ru-RU" w:eastAsia="bg-BG"/>
        </w:rPr>
        <w:t>по</w:t>
      </w:r>
      <w:r w:rsidRPr="001831E7">
        <w:rPr>
          <w:rFonts w:ascii="Arial Narrow" w:hAnsi="Arial Narrow"/>
          <w:lang w:val="ru-RU" w:eastAsia="bg-BG"/>
        </w:rPr>
        <w:t xml:space="preserve"> Закона за посевния и посадъчния материал</w:t>
      </w:r>
      <w:r w:rsidRPr="001831E7">
        <w:rPr>
          <w:rFonts w:ascii="Arial Narrow" w:hAnsi="Arial Narrow"/>
          <w:lang w:val="bg-BG" w:eastAsia="bg-BG"/>
        </w:rPr>
        <w:t xml:space="preserve">. </w:t>
      </w:r>
      <w:r w:rsidRPr="00D041DF">
        <w:rPr>
          <w:rFonts w:ascii="Arial Narrow" w:hAnsi="Arial Narrow"/>
          <w:lang w:val="bg-BG" w:eastAsia="bg-BG"/>
        </w:rPr>
        <w:t>За резултатите от проверките са издадени контролни листове и констативни протоколи с предписания, в случаи на установени несъответствия.</w:t>
      </w:r>
    </w:p>
    <w:p w14:paraId="619E5338" w14:textId="77777777" w:rsidR="00F031DF" w:rsidRPr="00D041DF" w:rsidRDefault="00F031DF" w:rsidP="00F031DF">
      <w:pPr>
        <w:spacing w:after="120"/>
        <w:ind w:firstLine="709"/>
        <w:jc w:val="both"/>
        <w:rPr>
          <w:rFonts w:ascii="Arial Narrow" w:hAnsi="Arial Narrow"/>
          <w:lang w:val="bg-BG" w:eastAsia="bg-BG"/>
        </w:rPr>
      </w:pPr>
      <w:r>
        <w:rPr>
          <w:rFonts w:ascii="Arial Narrow" w:hAnsi="Arial Narrow"/>
          <w:lang w:val="bg-BG" w:eastAsia="bg-BG"/>
        </w:rPr>
        <w:t>В</w:t>
      </w:r>
      <w:r w:rsidRPr="00D041DF">
        <w:rPr>
          <w:rFonts w:ascii="Arial Narrow" w:hAnsi="Arial Narrow"/>
          <w:lang w:val="bg-BG" w:eastAsia="bg-BG"/>
        </w:rPr>
        <w:t xml:space="preserve">зети </w:t>
      </w:r>
      <w:r>
        <w:rPr>
          <w:rFonts w:ascii="Arial Narrow" w:hAnsi="Arial Narrow"/>
          <w:lang w:val="bg-BG" w:eastAsia="bg-BG"/>
        </w:rPr>
        <w:t xml:space="preserve">са </w:t>
      </w:r>
      <w:r w:rsidRPr="00D041DF">
        <w:rPr>
          <w:rFonts w:ascii="Arial Narrow" w:hAnsi="Arial Narrow"/>
          <w:lang w:val="bg-BG" w:eastAsia="bg-BG"/>
        </w:rPr>
        <w:t>59 проби от растения коноп за количествено определяне съдържанието на тетрахидроканабинол в сортове коноп по заявления на производителите и при провеждане на сортоизпитване.</w:t>
      </w:r>
    </w:p>
    <w:p w14:paraId="11EB7E10" w14:textId="77777777" w:rsidR="00F031DF" w:rsidRPr="00D041DF" w:rsidRDefault="00F031DF" w:rsidP="00F031DF">
      <w:pPr>
        <w:spacing w:after="120"/>
        <w:ind w:firstLine="709"/>
        <w:jc w:val="both"/>
        <w:rPr>
          <w:rFonts w:ascii="Arial Narrow" w:hAnsi="Arial Narrow"/>
          <w:lang w:val="bg-BG" w:eastAsia="bg-BG"/>
        </w:rPr>
      </w:pPr>
      <w:r w:rsidRPr="00D041DF">
        <w:rPr>
          <w:rFonts w:ascii="Arial Narrow" w:hAnsi="Arial Narrow"/>
          <w:lang w:val="bg-BG" w:eastAsia="bg-BG"/>
        </w:rPr>
        <w:t>Взети са проби и са сертифицирани 10 партиди неприготвен хмел.</w:t>
      </w:r>
    </w:p>
    <w:p w14:paraId="124FE2D0" w14:textId="77777777" w:rsidR="00F031DF" w:rsidRPr="00011BDC" w:rsidRDefault="00F031DF" w:rsidP="00F031DF">
      <w:pPr>
        <w:spacing w:after="120"/>
        <w:ind w:firstLine="708"/>
        <w:jc w:val="both"/>
        <w:rPr>
          <w:rFonts w:ascii="Arial Narrow" w:hAnsi="Arial Narrow"/>
          <w:b/>
          <w:lang w:val="bg-BG"/>
        </w:rPr>
      </w:pPr>
      <w:r w:rsidRPr="00011BDC">
        <w:rPr>
          <w:rFonts w:ascii="Arial Narrow" w:hAnsi="Arial Narrow"/>
          <w:b/>
          <w:lang w:val="bg-BG"/>
        </w:rPr>
        <w:t>Очаквани данни за 2025 г.</w:t>
      </w:r>
    </w:p>
    <w:p w14:paraId="1DBD057B" w14:textId="77777777" w:rsidR="00F031DF" w:rsidRPr="00ED7632" w:rsidRDefault="00F031DF" w:rsidP="00F031DF">
      <w:pPr>
        <w:spacing w:after="120"/>
        <w:ind w:firstLine="708"/>
        <w:jc w:val="both"/>
        <w:rPr>
          <w:rFonts w:ascii="Arial Narrow" w:hAnsi="Arial Narrow"/>
          <w:lang w:val="bg-BG"/>
        </w:rPr>
      </w:pPr>
      <w:r w:rsidRPr="00ED7632">
        <w:rPr>
          <w:rFonts w:ascii="Arial Narrow" w:hAnsi="Arial Narrow"/>
          <w:lang w:val="bg-BG"/>
        </w:rPr>
        <w:t xml:space="preserve">През първата половина на 2025 г. са подготвени проекти </w:t>
      </w:r>
      <w:r>
        <w:rPr>
          <w:rFonts w:ascii="Arial Narrow" w:hAnsi="Arial Narrow"/>
          <w:lang w:val="bg-BG"/>
        </w:rPr>
        <w:t xml:space="preserve">за изменение и допълнение </w:t>
      </w:r>
      <w:r w:rsidRPr="00ED7632">
        <w:rPr>
          <w:rFonts w:ascii="Arial Narrow" w:hAnsi="Arial Narrow"/>
          <w:lang w:val="bg-BG"/>
        </w:rPr>
        <w:t>на нормативни актове</w:t>
      </w:r>
      <w:r>
        <w:rPr>
          <w:rFonts w:ascii="Arial Narrow" w:hAnsi="Arial Narrow"/>
          <w:lang w:val="bg-BG"/>
        </w:rPr>
        <w:t xml:space="preserve">, свързани с производството и търговията с посадъчен материал; предлагането на пазара на семена; </w:t>
      </w:r>
      <w:r w:rsidRPr="00EA0C3F">
        <w:rPr>
          <w:rFonts w:ascii="Arial Narrow" w:eastAsia="SimSun" w:hAnsi="Arial Narrow"/>
          <w:bCs/>
          <w:lang w:val="bg-BG" w:eastAsia="zh-CN"/>
        </w:rPr>
        <w:t>условията и реда за сортоизпитване, признаване, вписване и отписване на сортовете растения от Официалната сортова листа на Р България</w:t>
      </w:r>
      <w:r>
        <w:rPr>
          <w:rFonts w:ascii="Arial Narrow" w:hAnsi="Arial Narrow"/>
          <w:lang w:val="bg-BG"/>
        </w:rPr>
        <w:t>.</w:t>
      </w:r>
    </w:p>
    <w:p w14:paraId="7787F0D5" w14:textId="77777777" w:rsidR="00F031DF" w:rsidRPr="00F81CFF" w:rsidRDefault="00F031DF" w:rsidP="00F031DF">
      <w:pPr>
        <w:spacing w:after="120"/>
        <w:ind w:firstLine="709"/>
        <w:jc w:val="both"/>
        <w:rPr>
          <w:rFonts w:ascii="Arial Narrow" w:hAnsi="Arial Narrow"/>
          <w:lang w:val="bg-BG" w:eastAsia="bg-BG"/>
        </w:rPr>
      </w:pPr>
      <w:r w:rsidRPr="00F81CFF">
        <w:rPr>
          <w:rFonts w:ascii="Arial Narrow" w:hAnsi="Arial Narrow"/>
          <w:lang w:val="bg-BG" w:eastAsia="bg-BG"/>
        </w:rPr>
        <w:t xml:space="preserve">През 2025 г. ИАСАС продължава да предоставя услуги, свързани с прилагането на държавна помощ за участие на земеделски стопани в схема за качество за производство на семена и посадъчен материал. Предвиденият максимален бюджет на помощта за </w:t>
      </w:r>
      <w:r>
        <w:rPr>
          <w:rFonts w:ascii="Arial Narrow" w:hAnsi="Arial Narrow"/>
          <w:lang w:val="bg-BG" w:eastAsia="bg-BG"/>
        </w:rPr>
        <w:t>годината</w:t>
      </w:r>
      <w:r w:rsidRPr="00F81CFF">
        <w:rPr>
          <w:rFonts w:ascii="Arial Narrow" w:hAnsi="Arial Narrow"/>
          <w:lang w:val="bg-BG" w:eastAsia="bg-BG"/>
        </w:rPr>
        <w:t xml:space="preserve"> е в размер на 1,2 млн. лева.</w:t>
      </w:r>
    </w:p>
    <w:p w14:paraId="352F2194" w14:textId="77777777" w:rsidR="00F031DF" w:rsidRPr="000E43F2" w:rsidRDefault="00F031DF" w:rsidP="00F031DF">
      <w:pPr>
        <w:spacing w:after="120"/>
        <w:ind w:firstLine="709"/>
        <w:jc w:val="both"/>
        <w:rPr>
          <w:rFonts w:ascii="Arial Narrow" w:hAnsi="Arial Narrow"/>
          <w:lang w:val="bg-BG" w:eastAsia="bg-BG"/>
        </w:rPr>
      </w:pPr>
      <w:r w:rsidRPr="000E43F2">
        <w:rPr>
          <w:rFonts w:ascii="Arial Narrow" w:hAnsi="Arial Narrow"/>
          <w:lang w:val="bg-BG" w:eastAsia="bg-BG"/>
        </w:rPr>
        <w:t xml:space="preserve">През 2025 г. за полска инспекция са заявени общо 35 365 ха. </w:t>
      </w:r>
    </w:p>
    <w:p w14:paraId="6C27EA87" w14:textId="77777777" w:rsidR="00F031DF" w:rsidRPr="000E43F2" w:rsidRDefault="00F031DF" w:rsidP="00F031DF">
      <w:pPr>
        <w:spacing w:after="120"/>
        <w:ind w:firstLine="709"/>
        <w:jc w:val="both"/>
        <w:rPr>
          <w:rFonts w:ascii="Arial Narrow" w:hAnsi="Arial Narrow"/>
          <w:lang w:val="bg-BG" w:eastAsia="bg-BG"/>
        </w:rPr>
      </w:pPr>
      <w:r w:rsidRPr="000E43F2">
        <w:rPr>
          <w:rFonts w:ascii="Arial Narrow" w:hAnsi="Arial Narrow"/>
          <w:lang w:val="bg-BG" w:eastAsia="bg-BG"/>
        </w:rPr>
        <w:t xml:space="preserve">От заявените семепроизводствени посеви, най-голям дял заема групата на зърнените видове - 34 097 ха (96,4%), следвана от фуражните - 615 ха (1,7%), картофите - 365 ха (1%) и маслодайните и влакнодайните - 180 ха  (0,5%). Заявени са и семепроизводствени посеви от зеленчукови култури  - 19,6 ха и тютюн </w:t>
      </w:r>
      <w:r>
        <w:rPr>
          <w:rFonts w:ascii="Arial Narrow" w:hAnsi="Arial Narrow"/>
          <w:lang w:val="bg-BG" w:eastAsia="bg-BG"/>
        </w:rPr>
        <w:t>-</w:t>
      </w:r>
      <w:r w:rsidRPr="000E43F2">
        <w:rPr>
          <w:rFonts w:ascii="Arial Narrow" w:hAnsi="Arial Narrow"/>
          <w:lang w:val="bg-BG" w:eastAsia="bg-BG"/>
        </w:rPr>
        <w:t xml:space="preserve"> 0,8 ха.</w:t>
      </w:r>
    </w:p>
    <w:p w14:paraId="525D2CFC" w14:textId="77777777" w:rsidR="00F031DF" w:rsidRPr="00BF1804" w:rsidRDefault="00F031DF" w:rsidP="00F031DF">
      <w:pPr>
        <w:spacing w:after="120"/>
        <w:ind w:firstLine="709"/>
        <w:jc w:val="both"/>
        <w:rPr>
          <w:rFonts w:ascii="Arial Narrow" w:hAnsi="Arial Narrow"/>
          <w:lang w:val="bg-BG" w:eastAsia="bg-BG"/>
        </w:rPr>
      </w:pPr>
      <w:r w:rsidRPr="00BF1804">
        <w:rPr>
          <w:rFonts w:ascii="Arial Narrow" w:hAnsi="Arial Narrow"/>
          <w:lang w:val="bg-BG" w:eastAsia="bg-BG"/>
        </w:rPr>
        <w:t>За сертификация/одобрение са заявени 6 ха лозови насаждения, 2,6 ха овощни насаждения и 7,2 ха от медицински и ароматни растения.</w:t>
      </w:r>
    </w:p>
    <w:p w14:paraId="5B93A7C5" w14:textId="77777777" w:rsidR="00F031DF" w:rsidRPr="005C0219" w:rsidRDefault="00F031DF" w:rsidP="00F031DF">
      <w:pPr>
        <w:spacing w:after="120"/>
        <w:ind w:firstLine="709"/>
        <w:jc w:val="both"/>
        <w:rPr>
          <w:rFonts w:ascii="Arial Narrow" w:hAnsi="Arial Narrow"/>
          <w:lang w:val="bg-BG" w:eastAsia="bg-BG"/>
        </w:rPr>
      </w:pPr>
      <w:r w:rsidRPr="00784C44">
        <w:rPr>
          <w:rFonts w:ascii="Arial Narrow" w:hAnsi="Arial Narrow"/>
          <w:lang w:val="bg-BG" w:eastAsia="bg-BG"/>
        </w:rPr>
        <w:t xml:space="preserve">Агенцията продължава да осъществява контрол при заготовката и търговията с посевен и посадъчен материал. Неотговарящите на минималните изисквания за кълняемост семена се спират от търговия. </w:t>
      </w:r>
    </w:p>
    <w:p w14:paraId="4A9823CE" w14:textId="77777777" w:rsidR="00FA1306" w:rsidRPr="00F73920" w:rsidRDefault="00C5322A" w:rsidP="00513FF4">
      <w:pPr>
        <w:pStyle w:val="ListParagraph"/>
        <w:numPr>
          <w:ilvl w:val="0"/>
          <w:numId w:val="16"/>
        </w:numPr>
        <w:spacing w:after="120"/>
        <w:ind w:left="357" w:firstLine="3"/>
        <w:contextualSpacing w:val="0"/>
        <w:outlineLvl w:val="0"/>
        <w:rPr>
          <w:rFonts w:ascii="Arial Narrow" w:hAnsi="Arial Narrow"/>
          <w:b/>
          <w:lang w:val="bg-BG"/>
        </w:rPr>
      </w:pPr>
      <w:bookmarkStart w:id="159" w:name="_Toc210747624"/>
      <w:r w:rsidRPr="00F73920">
        <w:rPr>
          <w:rFonts w:ascii="Arial Narrow" w:hAnsi="Arial Narrow"/>
          <w:b/>
          <w:lang w:val="bg-BG"/>
        </w:rPr>
        <w:t xml:space="preserve">Безопасност </w:t>
      </w:r>
      <w:r w:rsidR="00D35B6C" w:rsidRPr="00F73920">
        <w:rPr>
          <w:rFonts w:ascii="Arial Narrow" w:hAnsi="Arial Narrow"/>
          <w:b/>
          <w:lang w:val="bg-BG"/>
        </w:rPr>
        <w:t>по</w:t>
      </w:r>
      <w:r w:rsidRPr="00F73920">
        <w:rPr>
          <w:rFonts w:ascii="Arial Narrow" w:hAnsi="Arial Narrow"/>
          <w:b/>
          <w:lang w:val="bg-BG"/>
        </w:rPr>
        <w:t xml:space="preserve"> храните</w:t>
      </w:r>
      <w:r w:rsidR="00D35B6C" w:rsidRPr="00F73920">
        <w:rPr>
          <w:rFonts w:ascii="Arial Narrow" w:hAnsi="Arial Narrow"/>
          <w:b/>
          <w:lang w:val="bg-BG"/>
        </w:rPr>
        <w:t>лната верига</w:t>
      </w:r>
      <w:bookmarkEnd w:id="159"/>
    </w:p>
    <w:p w14:paraId="49A27D9D" w14:textId="77777777" w:rsidR="00F73920" w:rsidRPr="00F73920" w:rsidRDefault="00F73920" w:rsidP="00F73920">
      <w:pPr>
        <w:spacing w:after="120"/>
        <w:ind w:firstLine="709"/>
        <w:jc w:val="both"/>
        <w:rPr>
          <w:rFonts w:ascii="Arial Narrow" w:hAnsi="Arial Narrow"/>
          <w:lang w:val="bg-BG" w:eastAsia="bg-BG"/>
        </w:rPr>
      </w:pPr>
      <w:r w:rsidRPr="00F73920">
        <w:rPr>
          <w:rFonts w:ascii="Arial Narrow" w:hAnsi="Arial Narrow"/>
          <w:lang w:val="bg-BG" w:eastAsia="bg-BG"/>
        </w:rPr>
        <w:t>Политиката по безопасност на храните в ЕС има за цел да осигури висока степен на защита на човешкото здраве и интересите на потребителите по отношение на храните, включително и традиционните продукти, както и на ефективното функциониране на вътрешния пазар.</w:t>
      </w:r>
    </w:p>
    <w:p w14:paraId="79B9B976" w14:textId="77777777" w:rsidR="00F73920" w:rsidRPr="00F73920" w:rsidRDefault="00F73920" w:rsidP="00F73920">
      <w:pPr>
        <w:spacing w:after="120"/>
        <w:ind w:firstLine="709"/>
        <w:jc w:val="both"/>
        <w:rPr>
          <w:rFonts w:ascii="Arial Narrow" w:hAnsi="Arial Narrow"/>
          <w:lang w:val="bg-BG" w:eastAsia="bg-BG"/>
        </w:rPr>
      </w:pPr>
      <w:r w:rsidRPr="00F73920">
        <w:rPr>
          <w:rFonts w:ascii="Arial Narrow" w:hAnsi="Arial Narrow"/>
          <w:lang w:val="bg-BG" w:eastAsia="bg-BG"/>
        </w:rPr>
        <w:t xml:space="preserve">Министерство на земеделието и храните ръководи, координира и контролира прилагането на държавната политика в областта на безопасността на храните и здравеопазването на животните чрез своята специализирана администрация. </w:t>
      </w:r>
    </w:p>
    <w:p w14:paraId="650CE45E" w14:textId="77777777" w:rsidR="00F73920" w:rsidRPr="00F73920" w:rsidRDefault="00F73920" w:rsidP="00F73920">
      <w:pPr>
        <w:spacing w:after="120"/>
        <w:ind w:firstLine="709"/>
        <w:jc w:val="both"/>
        <w:rPr>
          <w:rFonts w:ascii="Arial Narrow" w:hAnsi="Arial Narrow"/>
          <w:lang w:val="bg-BG" w:eastAsia="bg-BG"/>
        </w:rPr>
      </w:pPr>
      <w:r w:rsidRPr="00F73920">
        <w:rPr>
          <w:rFonts w:ascii="Arial Narrow" w:hAnsi="Arial Narrow"/>
          <w:lang w:val="bg-BG" w:eastAsia="bg-BG"/>
        </w:rPr>
        <w:t xml:space="preserve">Дирекция „Политики по агрохранителната верига” подпомага министъра на земеделието и храните при разработването, координирането и прилагането на държавната политика в областта на качеството и </w:t>
      </w:r>
      <w:r w:rsidRPr="00F73920">
        <w:rPr>
          <w:rFonts w:ascii="Arial Narrow" w:hAnsi="Arial Narrow"/>
          <w:lang w:val="bg-BG" w:eastAsia="bg-BG"/>
        </w:rPr>
        <w:lastRenderedPageBreak/>
        <w:t>безопасността на храните и фуражите, здравеопазването на животните, здравето на растенията и растителния репродуктивен материал.</w:t>
      </w:r>
    </w:p>
    <w:p w14:paraId="3AA1D7C5" w14:textId="77777777" w:rsidR="00F73920" w:rsidRPr="00F73920" w:rsidRDefault="00F73920" w:rsidP="00F73920">
      <w:pPr>
        <w:spacing w:after="120"/>
        <w:ind w:firstLine="709"/>
        <w:jc w:val="both"/>
        <w:rPr>
          <w:rFonts w:ascii="Arial Narrow" w:hAnsi="Arial Narrow"/>
          <w:lang w:val="bg-BG" w:eastAsia="bg-BG"/>
        </w:rPr>
      </w:pPr>
      <w:r w:rsidRPr="00F73920">
        <w:rPr>
          <w:rFonts w:ascii="Arial Narrow" w:hAnsi="Arial Narrow"/>
          <w:lang w:val="bg-BG" w:eastAsia="bg-BG"/>
        </w:rPr>
        <w:t>Българската агенция по безопасност на храните (БАБХ) осъществява официалния контрол по цялата хранителна верига, спазвайки подхода „от фермата до трапезата”, следвайки най-добрите европейски практики в прилагането на високи стандарти при контрола в областта на безопасността и качеството на храните, хранителните добавки и напитките, ветеринарномедицинската дейност, здравеопазването и хуманното отношение към животните, растителната защита и торовете, фитосанитарния контрол, контрол на фуражите, граничния контрол и др. С извършването на единен контрол по цялата хранителна верига се гарантира високо ниво на доверие в потребителите относно качеството и безопасността на храните.</w:t>
      </w:r>
    </w:p>
    <w:p w14:paraId="6DDF7070" w14:textId="77777777" w:rsidR="00C41BD0" w:rsidRPr="00F73920" w:rsidRDefault="00C41BD0" w:rsidP="00AF4953">
      <w:pPr>
        <w:pStyle w:val="ListParagraph"/>
        <w:numPr>
          <w:ilvl w:val="1"/>
          <w:numId w:val="16"/>
        </w:numPr>
        <w:tabs>
          <w:tab w:val="left" w:pos="900"/>
          <w:tab w:val="left" w:pos="1080"/>
        </w:tabs>
        <w:spacing w:after="120"/>
        <w:ind w:left="810" w:hanging="450"/>
        <w:outlineLvl w:val="0"/>
        <w:rPr>
          <w:rFonts w:ascii="Arial Narrow" w:hAnsi="Arial Narrow"/>
          <w:b/>
          <w:lang w:val="bg-BG"/>
        </w:rPr>
      </w:pPr>
      <w:bookmarkStart w:id="160" w:name="_Toc495659389"/>
      <w:bookmarkStart w:id="161" w:name="_Toc210747625"/>
      <w:r w:rsidRPr="00F73920">
        <w:rPr>
          <w:rFonts w:ascii="Arial Narrow" w:hAnsi="Arial Narrow"/>
          <w:b/>
          <w:lang w:val="bg-BG"/>
        </w:rPr>
        <w:t>Здравеопазване и хуманно отношение към животните</w:t>
      </w:r>
      <w:bookmarkEnd w:id="160"/>
      <w:r w:rsidRPr="00F73920">
        <w:rPr>
          <w:rFonts w:ascii="Arial Narrow" w:hAnsi="Arial Narrow"/>
          <w:b/>
          <w:lang w:val="bg-BG"/>
        </w:rPr>
        <w:t>.</w:t>
      </w:r>
      <w:bookmarkEnd w:id="161"/>
      <w:r w:rsidRPr="00F73920">
        <w:rPr>
          <w:rFonts w:ascii="Arial Narrow" w:hAnsi="Arial Narrow"/>
          <w:b/>
          <w:lang w:val="bg-BG"/>
        </w:rPr>
        <w:t xml:space="preserve"> </w:t>
      </w:r>
    </w:p>
    <w:p w14:paraId="2FE96AA8" w14:textId="77777777" w:rsidR="00F73920" w:rsidRPr="00F73920" w:rsidRDefault="00C41BD0" w:rsidP="00F73920">
      <w:pPr>
        <w:spacing w:after="120"/>
        <w:ind w:firstLine="720"/>
        <w:jc w:val="both"/>
        <w:rPr>
          <w:rFonts w:ascii="Arial Narrow" w:hAnsi="Arial Narrow"/>
          <w:b/>
          <w:lang w:val="bg-BG"/>
        </w:rPr>
      </w:pPr>
      <w:r w:rsidRPr="00F73920">
        <w:rPr>
          <w:rFonts w:ascii="Arial Narrow" w:hAnsi="Arial Narrow"/>
          <w:b/>
          <w:lang w:val="bg-BG"/>
        </w:rPr>
        <w:t>Здравеопазване на животните</w:t>
      </w:r>
    </w:p>
    <w:p w14:paraId="28AD6D26" w14:textId="77777777" w:rsidR="00F73920" w:rsidRPr="00F73920" w:rsidRDefault="00F73920" w:rsidP="00F73920">
      <w:pPr>
        <w:spacing w:after="120"/>
        <w:ind w:firstLine="709"/>
        <w:jc w:val="both"/>
        <w:rPr>
          <w:rFonts w:ascii="Arial Narrow" w:hAnsi="Arial Narrow"/>
          <w:lang w:val="bg-BG" w:eastAsia="bg-BG"/>
        </w:rPr>
      </w:pPr>
      <w:r w:rsidRPr="00F73920">
        <w:rPr>
          <w:rFonts w:ascii="Arial Narrow" w:hAnsi="Arial Narrow"/>
          <w:lang w:val="bg-BG" w:eastAsia="bg-BG"/>
        </w:rPr>
        <w:t xml:space="preserve">Приоритетни задачи на БАБХ в тази област са: </w:t>
      </w:r>
    </w:p>
    <w:p w14:paraId="20411489" w14:textId="77777777" w:rsidR="00F73920" w:rsidRPr="00F73920" w:rsidRDefault="00F73920" w:rsidP="00F73920">
      <w:pPr>
        <w:numPr>
          <w:ilvl w:val="0"/>
          <w:numId w:val="11"/>
        </w:numPr>
        <w:overflowPunct w:val="0"/>
        <w:autoSpaceDE w:val="0"/>
        <w:autoSpaceDN w:val="0"/>
        <w:adjustRightInd w:val="0"/>
        <w:spacing w:after="120" w:line="276" w:lineRule="auto"/>
        <w:ind w:left="714" w:hanging="357"/>
        <w:jc w:val="both"/>
        <w:rPr>
          <w:rFonts w:ascii="Arial Narrow" w:eastAsia="Calibri" w:hAnsi="Arial Narrow"/>
          <w:lang w:val="bg-BG"/>
        </w:rPr>
      </w:pPr>
      <w:r w:rsidRPr="00F73920">
        <w:rPr>
          <w:rFonts w:ascii="Arial Narrow" w:eastAsia="Calibri" w:hAnsi="Arial Narrow"/>
          <w:lang w:val="bg-BG"/>
        </w:rPr>
        <w:t>опазване здравето на животните в страната;</w:t>
      </w:r>
    </w:p>
    <w:p w14:paraId="7BBD9B6A" w14:textId="77777777" w:rsidR="00F73920" w:rsidRPr="00F73920" w:rsidRDefault="00F73920" w:rsidP="00F73920">
      <w:pPr>
        <w:numPr>
          <w:ilvl w:val="0"/>
          <w:numId w:val="11"/>
        </w:numPr>
        <w:overflowPunct w:val="0"/>
        <w:autoSpaceDE w:val="0"/>
        <w:autoSpaceDN w:val="0"/>
        <w:adjustRightInd w:val="0"/>
        <w:spacing w:after="120" w:line="276" w:lineRule="auto"/>
        <w:ind w:left="714" w:hanging="357"/>
        <w:jc w:val="both"/>
        <w:rPr>
          <w:rFonts w:ascii="Arial Narrow" w:eastAsia="Calibri" w:hAnsi="Arial Narrow"/>
          <w:lang w:val="bg-BG"/>
        </w:rPr>
      </w:pPr>
      <w:r w:rsidRPr="00F73920">
        <w:rPr>
          <w:rFonts w:ascii="Arial Narrow" w:eastAsia="Calibri" w:hAnsi="Arial Narrow"/>
          <w:lang w:val="bg-BG"/>
        </w:rPr>
        <w:t>опазване здравето на селскостопанските животни от възникване на опасни вирусни инфекции, свързани с големи икономически загуби;</w:t>
      </w:r>
    </w:p>
    <w:p w14:paraId="340034EF" w14:textId="77777777" w:rsidR="00F73920" w:rsidRPr="00F73920" w:rsidRDefault="00F73920" w:rsidP="00F73920">
      <w:pPr>
        <w:numPr>
          <w:ilvl w:val="0"/>
          <w:numId w:val="11"/>
        </w:numPr>
        <w:overflowPunct w:val="0"/>
        <w:autoSpaceDE w:val="0"/>
        <w:autoSpaceDN w:val="0"/>
        <w:adjustRightInd w:val="0"/>
        <w:spacing w:after="120" w:line="276" w:lineRule="auto"/>
        <w:ind w:left="714" w:hanging="357"/>
        <w:jc w:val="both"/>
        <w:rPr>
          <w:rFonts w:ascii="Arial Narrow" w:eastAsia="Calibri" w:hAnsi="Arial Narrow"/>
          <w:lang w:val="bg-BG"/>
        </w:rPr>
      </w:pPr>
      <w:r w:rsidRPr="00F73920">
        <w:rPr>
          <w:rFonts w:ascii="Arial Narrow" w:eastAsia="Calibri" w:hAnsi="Arial Narrow"/>
          <w:lang w:val="bg-BG"/>
        </w:rPr>
        <w:t>осигуряване на добив на отговарящо на изискванията сурово краве мляко, съгласно европейското законодателство;</w:t>
      </w:r>
    </w:p>
    <w:p w14:paraId="06FB7F62" w14:textId="77777777" w:rsidR="00F73920" w:rsidRPr="00F73920" w:rsidRDefault="00F73920" w:rsidP="00F73920">
      <w:pPr>
        <w:numPr>
          <w:ilvl w:val="0"/>
          <w:numId w:val="11"/>
        </w:numPr>
        <w:overflowPunct w:val="0"/>
        <w:autoSpaceDE w:val="0"/>
        <w:autoSpaceDN w:val="0"/>
        <w:adjustRightInd w:val="0"/>
        <w:spacing w:after="120" w:line="276" w:lineRule="auto"/>
        <w:ind w:left="714" w:hanging="357"/>
        <w:jc w:val="both"/>
        <w:rPr>
          <w:rFonts w:ascii="Arial Narrow" w:eastAsia="Calibri" w:hAnsi="Arial Narrow"/>
          <w:lang w:val="bg-BG"/>
        </w:rPr>
      </w:pPr>
      <w:r w:rsidRPr="00F73920">
        <w:rPr>
          <w:rFonts w:ascii="Arial Narrow" w:eastAsia="Calibri" w:hAnsi="Arial Narrow"/>
          <w:lang w:val="bg-BG"/>
        </w:rPr>
        <w:t>безпроблемно движение на животни, продукти и суровини добити от тях между държавите членки и износ за трети страни;</w:t>
      </w:r>
    </w:p>
    <w:p w14:paraId="79527BCF" w14:textId="77777777" w:rsidR="00F73920" w:rsidRPr="00F73920" w:rsidRDefault="00F73920" w:rsidP="00F73920">
      <w:pPr>
        <w:numPr>
          <w:ilvl w:val="0"/>
          <w:numId w:val="11"/>
        </w:numPr>
        <w:overflowPunct w:val="0"/>
        <w:autoSpaceDE w:val="0"/>
        <w:autoSpaceDN w:val="0"/>
        <w:adjustRightInd w:val="0"/>
        <w:spacing w:after="120" w:line="276" w:lineRule="auto"/>
        <w:ind w:left="714" w:hanging="357"/>
        <w:jc w:val="both"/>
        <w:rPr>
          <w:rFonts w:ascii="Arial Narrow" w:eastAsia="Calibri" w:hAnsi="Arial Narrow"/>
          <w:lang w:val="bg-BG"/>
        </w:rPr>
      </w:pPr>
      <w:r w:rsidRPr="00F73920">
        <w:rPr>
          <w:rFonts w:ascii="Arial Narrow" w:eastAsia="Calibri" w:hAnsi="Arial Narrow"/>
          <w:lang w:val="bg-BG"/>
        </w:rPr>
        <w:t>предпазването на населението от възникване на зоонози (болести, предавани от животните на човека).</w:t>
      </w:r>
    </w:p>
    <w:p w14:paraId="6C64B0A7" w14:textId="77777777" w:rsidR="00F73920" w:rsidRPr="00F73920" w:rsidRDefault="00F73920" w:rsidP="00F73920">
      <w:pPr>
        <w:spacing w:after="120"/>
        <w:ind w:firstLine="709"/>
        <w:jc w:val="both"/>
        <w:rPr>
          <w:rFonts w:ascii="Arial Narrow" w:hAnsi="Arial Narrow"/>
          <w:lang w:val="bg-BG" w:eastAsia="bg-BG"/>
        </w:rPr>
      </w:pPr>
      <w:r w:rsidRPr="00F73920">
        <w:rPr>
          <w:rFonts w:ascii="Arial Narrow" w:hAnsi="Arial Narrow"/>
          <w:lang w:val="bg-BG" w:eastAsia="bg-BG"/>
        </w:rPr>
        <w:t xml:space="preserve">За постигане на тези приоритети през 2024 г. продължава да се прилага схема за подпомагане на земеделските стопани при изпълнение на мерките, посочени в Националната програма за профилактика, надзор, контрол и ликвидиране на болестите по животните и зоонозите в Р България за периода 2022 – 2024 г. През 2024 г. са изпълнени задължителните мероприятия, заложени по изпълнение на Програмата. </w:t>
      </w:r>
    </w:p>
    <w:p w14:paraId="6DD9EBA1" w14:textId="77777777" w:rsidR="00F73920" w:rsidRPr="00F73920" w:rsidRDefault="00F73920" w:rsidP="00F73920">
      <w:pPr>
        <w:spacing w:after="120"/>
        <w:ind w:firstLine="709"/>
        <w:jc w:val="both"/>
        <w:rPr>
          <w:rFonts w:ascii="Arial Narrow" w:hAnsi="Arial Narrow"/>
          <w:lang w:val="bg-BG" w:eastAsia="bg-BG"/>
        </w:rPr>
      </w:pPr>
      <w:r w:rsidRPr="00F73920">
        <w:rPr>
          <w:rFonts w:ascii="Arial Narrow" w:hAnsi="Arial Narrow"/>
          <w:lang w:val="bg-BG" w:eastAsia="bg-BG"/>
        </w:rPr>
        <w:t xml:space="preserve">Дейността на БАБХ е насочена към намаляване на риска от появата и разпространението на остри и екзотични заразни болести по животните, отчитайки географското разположение на страната. За тази цел се изпълняват следните национални програми за надзор на болестите, които са съфинансирани от Европейския съюз: </w:t>
      </w:r>
    </w:p>
    <w:p w14:paraId="5C316E28" w14:textId="77777777" w:rsidR="00F73920" w:rsidRPr="00F73920" w:rsidRDefault="00F73920" w:rsidP="00F73920">
      <w:pPr>
        <w:numPr>
          <w:ilvl w:val="0"/>
          <w:numId w:val="11"/>
        </w:numPr>
        <w:overflowPunct w:val="0"/>
        <w:autoSpaceDE w:val="0"/>
        <w:autoSpaceDN w:val="0"/>
        <w:adjustRightInd w:val="0"/>
        <w:spacing w:after="120" w:line="276" w:lineRule="auto"/>
        <w:ind w:left="714" w:hanging="357"/>
        <w:jc w:val="both"/>
        <w:rPr>
          <w:rFonts w:ascii="Arial Narrow" w:eastAsia="Calibri" w:hAnsi="Arial Narrow"/>
          <w:lang w:val="bg-BG"/>
        </w:rPr>
      </w:pPr>
      <w:r w:rsidRPr="00F73920">
        <w:rPr>
          <w:rFonts w:ascii="Arial Narrow" w:eastAsia="Calibri" w:hAnsi="Arial Narrow"/>
          <w:lang w:val="bg-BG"/>
        </w:rPr>
        <w:t>Програма за надзор на инфлуенца при домашните и дивите птици;</w:t>
      </w:r>
    </w:p>
    <w:p w14:paraId="6F5BD94F" w14:textId="77777777" w:rsidR="00F73920" w:rsidRPr="00F73920" w:rsidRDefault="00F73920" w:rsidP="00F73920">
      <w:pPr>
        <w:numPr>
          <w:ilvl w:val="0"/>
          <w:numId w:val="11"/>
        </w:numPr>
        <w:overflowPunct w:val="0"/>
        <w:autoSpaceDE w:val="0"/>
        <w:autoSpaceDN w:val="0"/>
        <w:adjustRightInd w:val="0"/>
        <w:spacing w:after="120" w:line="276" w:lineRule="auto"/>
        <w:ind w:left="714" w:hanging="357"/>
        <w:jc w:val="both"/>
        <w:rPr>
          <w:rFonts w:ascii="Arial Narrow" w:eastAsia="Calibri" w:hAnsi="Arial Narrow"/>
          <w:lang w:val="bg-BG"/>
        </w:rPr>
      </w:pPr>
      <w:r w:rsidRPr="00F73920">
        <w:rPr>
          <w:rFonts w:ascii="Arial Narrow" w:eastAsia="Calibri" w:hAnsi="Arial Narrow"/>
          <w:lang w:val="bg-BG"/>
        </w:rPr>
        <w:t>Програма за контрол и ерадикация на болестта бяс;</w:t>
      </w:r>
    </w:p>
    <w:p w14:paraId="31AC914E" w14:textId="77777777" w:rsidR="00F73920" w:rsidRPr="00F73920" w:rsidRDefault="00F73920" w:rsidP="00F73920">
      <w:pPr>
        <w:numPr>
          <w:ilvl w:val="0"/>
          <w:numId w:val="11"/>
        </w:numPr>
        <w:overflowPunct w:val="0"/>
        <w:autoSpaceDE w:val="0"/>
        <w:autoSpaceDN w:val="0"/>
        <w:adjustRightInd w:val="0"/>
        <w:spacing w:after="120" w:line="276" w:lineRule="auto"/>
        <w:ind w:left="714" w:hanging="357"/>
        <w:jc w:val="both"/>
        <w:rPr>
          <w:rFonts w:ascii="Arial Narrow" w:eastAsia="Calibri" w:hAnsi="Arial Narrow"/>
          <w:lang w:val="bg-BG"/>
        </w:rPr>
      </w:pPr>
      <w:r w:rsidRPr="00F73920">
        <w:rPr>
          <w:rFonts w:ascii="Arial Narrow" w:eastAsia="Calibri" w:hAnsi="Arial Narrow"/>
          <w:lang w:val="bg-BG"/>
        </w:rPr>
        <w:t>Програма за надзор на болестта син език при преживните животни;</w:t>
      </w:r>
    </w:p>
    <w:p w14:paraId="444F1C80" w14:textId="77777777" w:rsidR="00F73920" w:rsidRPr="00F73920" w:rsidRDefault="00F73920" w:rsidP="00F73920">
      <w:pPr>
        <w:numPr>
          <w:ilvl w:val="0"/>
          <w:numId w:val="11"/>
        </w:numPr>
        <w:overflowPunct w:val="0"/>
        <w:autoSpaceDE w:val="0"/>
        <w:autoSpaceDN w:val="0"/>
        <w:adjustRightInd w:val="0"/>
        <w:spacing w:after="120" w:line="276" w:lineRule="auto"/>
        <w:ind w:left="714" w:hanging="357"/>
        <w:jc w:val="both"/>
        <w:rPr>
          <w:rFonts w:ascii="Arial Narrow" w:eastAsia="Calibri" w:hAnsi="Arial Narrow"/>
          <w:lang w:val="bg-BG"/>
        </w:rPr>
      </w:pPr>
      <w:r w:rsidRPr="00F73920">
        <w:rPr>
          <w:rFonts w:ascii="Arial Narrow" w:eastAsia="Calibri" w:hAnsi="Arial Narrow"/>
          <w:lang w:val="bg-BG"/>
        </w:rPr>
        <w:t>Програма за надзор и ерадикация на класическа чума по свинете;</w:t>
      </w:r>
    </w:p>
    <w:p w14:paraId="2A053910" w14:textId="77777777" w:rsidR="00F73920" w:rsidRPr="00F73920" w:rsidRDefault="00F73920" w:rsidP="00F73920">
      <w:pPr>
        <w:numPr>
          <w:ilvl w:val="0"/>
          <w:numId w:val="11"/>
        </w:numPr>
        <w:overflowPunct w:val="0"/>
        <w:autoSpaceDE w:val="0"/>
        <w:autoSpaceDN w:val="0"/>
        <w:adjustRightInd w:val="0"/>
        <w:spacing w:after="120" w:line="276" w:lineRule="auto"/>
        <w:ind w:left="714" w:hanging="357"/>
        <w:jc w:val="both"/>
        <w:rPr>
          <w:rFonts w:ascii="Arial Narrow" w:eastAsia="Calibri" w:hAnsi="Arial Narrow"/>
          <w:lang w:val="bg-BG"/>
        </w:rPr>
      </w:pPr>
      <w:r w:rsidRPr="00F73920">
        <w:rPr>
          <w:rFonts w:ascii="Arial Narrow" w:eastAsia="Calibri" w:hAnsi="Arial Narrow"/>
          <w:lang w:val="bg-BG"/>
        </w:rPr>
        <w:t>Програма за контрол на салмонелоза при кокошки</w:t>
      </w:r>
      <w:r w:rsidRPr="00F73920">
        <w:rPr>
          <w:rFonts w:ascii="Arial Narrow" w:eastAsia="Calibri" w:hAnsi="Arial Narrow"/>
        </w:rPr>
        <w:t xml:space="preserve"> </w:t>
      </w:r>
      <w:r w:rsidRPr="00F73920">
        <w:rPr>
          <w:rFonts w:ascii="Arial Narrow" w:eastAsia="Calibri" w:hAnsi="Arial Narrow"/>
          <w:lang w:val="bg-BG"/>
        </w:rPr>
        <w:t>носачки, бройлери, развъдни стада и пуйки;</w:t>
      </w:r>
    </w:p>
    <w:p w14:paraId="256AD722" w14:textId="77777777" w:rsidR="00F73920" w:rsidRPr="00F73920" w:rsidRDefault="00F73920" w:rsidP="00F73920">
      <w:pPr>
        <w:numPr>
          <w:ilvl w:val="0"/>
          <w:numId w:val="11"/>
        </w:numPr>
        <w:overflowPunct w:val="0"/>
        <w:autoSpaceDE w:val="0"/>
        <w:autoSpaceDN w:val="0"/>
        <w:adjustRightInd w:val="0"/>
        <w:spacing w:after="120" w:line="276" w:lineRule="auto"/>
        <w:ind w:left="714" w:hanging="357"/>
        <w:jc w:val="both"/>
        <w:rPr>
          <w:rFonts w:ascii="Arial Narrow" w:eastAsia="Calibri" w:hAnsi="Arial Narrow"/>
          <w:lang w:val="bg-BG"/>
        </w:rPr>
      </w:pPr>
      <w:r w:rsidRPr="00F73920">
        <w:rPr>
          <w:rFonts w:ascii="Arial Narrow" w:eastAsia="Calibri" w:hAnsi="Arial Narrow"/>
          <w:lang w:val="bg-BG"/>
        </w:rPr>
        <w:t>Програма за надзор на Трансмисивните спонгиформни енцефалопатии (ТСЕ);</w:t>
      </w:r>
    </w:p>
    <w:p w14:paraId="0ECBEF4C" w14:textId="77777777" w:rsidR="00F73920" w:rsidRPr="00F73920" w:rsidRDefault="00F73920" w:rsidP="00F73920">
      <w:pPr>
        <w:numPr>
          <w:ilvl w:val="0"/>
          <w:numId w:val="11"/>
        </w:numPr>
        <w:overflowPunct w:val="0"/>
        <w:autoSpaceDE w:val="0"/>
        <w:autoSpaceDN w:val="0"/>
        <w:adjustRightInd w:val="0"/>
        <w:spacing w:after="120" w:line="276" w:lineRule="auto"/>
        <w:ind w:left="714" w:hanging="357"/>
        <w:jc w:val="both"/>
        <w:rPr>
          <w:rFonts w:ascii="Arial Narrow" w:eastAsia="Calibri" w:hAnsi="Arial Narrow"/>
          <w:lang w:val="bg-BG"/>
        </w:rPr>
      </w:pPr>
      <w:r w:rsidRPr="00F73920">
        <w:rPr>
          <w:rFonts w:ascii="Arial Narrow" w:eastAsia="Calibri" w:hAnsi="Arial Narrow"/>
          <w:lang w:val="bg-BG"/>
        </w:rPr>
        <w:t>Програма за предпазни мерки срещу някой транс-гранични заболявания по животните, в която влизат заразен нодуларен дерматит по едрите преживни животни, шап по чифтокопитните животни, чума по дребните преживни животни и шарка по овцете и козите.</w:t>
      </w:r>
    </w:p>
    <w:p w14:paraId="40A7F613" w14:textId="77777777" w:rsidR="00F73920" w:rsidRPr="00F73920" w:rsidRDefault="00F73920" w:rsidP="00F73920">
      <w:pPr>
        <w:spacing w:after="120"/>
        <w:ind w:firstLine="709"/>
        <w:jc w:val="both"/>
        <w:rPr>
          <w:rFonts w:ascii="Arial Narrow" w:eastAsia="Calibri" w:hAnsi="Arial Narrow"/>
          <w:lang w:val="bg-BG" w:eastAsia="bg-BG"/>
        </w:rPr>
      </w:pPr>
      <w:r w:rsidRPr="00F73920">
        <w:rPr>
          <w:rFonts w:ascii="Arial Narrow" w:eastAsia="Calibri" w:hAnsi="Arial Narrow"/>
          <w:lang w:val="bg-BG" w:eastAsia="bg-BG"/>
        </w:rPr>
        <w:t>На територията на страната през 2024 г. са констатирани следните по-важни бол</w:t>
      </w:r>
      <w:r w:rsidRPr="00F73920">
        <w:rPr>
          <w:rFonts w:ascii="Arial Narrow" w:eastAsia="Calibri" w:hAnsi="Arial Narrow"/>
          <w:lang w:eastAsia="bg-BG"/>
        </w:rPr>
        <w:t>eсти</w:t>
      </w:r>
      <w:r w:rsidRPr="00F73920">
        <w:rPr>
          <w:rFonts w:ascii="Arial Narrow" w:eastAsia="Calibri" w:hAnsi="Arial Narrow"/>
          <w:lang w:val="bg-BG" w:eastAsia="bg-BG"/>
        </w:rPr>
        <w:t xml:space="preserve">, включени в листа с приоритетни заболявания, описани в Регламент 2016/429 за здравеопазване на животните на Европейската комисия: високопатогенна инфлуенца по птиците (14 огнища, в т. ч.: </w:t>
      </w:r>
      <w:r w:rsidRPr="00F73920">
        <w:rPr>
          <w:rFonts w:ascii="Arial Narrow" w:eastAsia="Calibri" w:hAnsi="Arial Narrow"/>
        </w:rPr>
        <w:t>7 в обл</w:t>
      </w:r>
      <w:r w:rsidRPr="00F73920">
        <w:rPr>
          <w:rFonts w:ascii="Arial Narrow" w:eastAsia="Calibri" w:hAnsi="Arial Narrow"/>
          <w:lang w:val="bg-BG"/>
        </w:rPr>
        <w:t>аст</w:t>
      </w:r>
      <w:r w:rsidRPr="00F73920">
        <w:rPr>
          <w:rFonts w:ascii="Arial Narrow" w:eastAsia="Calibri" w:hAnsi="Arial Narrow"/>
        </w:rPr>
        <w:t xml:space="preserve"> Пловдив, 1 </w:t>
      </w:r>
      <w:r w:rsidRPr="00F73920">
        <w:rPr>
          <w:rFonts w:ascii="Arial Narrow" w:eastAsia="Calibri" w:hAnsi="Arial Narrow"/>
        </w:rPr>
        <w:lastRenderedPageBreak/>
        <w:t>в обл</w:t>
      </w:r>
      <w:r w:rsidRPr="00F73920">
        <w:rPr>
          <w:rFonts w:ascii="Arial Narrow" w:eastAsia="Calibri" w:hAnsi="Arial Narrow"/>
          <w:lang w:val="bg-BG"/>
        </w:rPr>
        <w:t xml:space="preserve">аст </w:t>
      </w:r>
      <w:r w:rsidRPr="00F73920">
        <w:rPr>
          <w:rFonts w:ascii="Arial Narrow" w:eastAsia="Calibri" w:hAnsi="Arial Narrow"/>
        </w:rPr>
        <w:t xml:space="preserve">Пазарджик, 1 </w:t>
      </w:r>
      <w:r w:rsidRPr="00F73920">
        <w:rPr>
          <w:rFonts w:ascii="Arial Narrow" w:eastAsia="Calibri" w:hAnsi="Arial Narrow"/>
          <w:lang w:val="bg-BG"/>
        </w:rPr>
        <w:t>в</w:t>
      </w:r>
      <w:r w:rsidRPr="00F73920">
        <w:rPr>
          <w:rFonts w:ascii="Arial Narrow" w:eastAsia="Calibri" w:hAnsi="Arial Narrow"/>
        </w:rPr>
        <w:t xml:space="preserve"> обл</w:t>
      </w:r>
      <w:r w:rsidRPr="00F73920">
        <w:rPr>
          <w:rFonts w:ascii="Arial Narrow" w:eastAsia="Calibri" w:hAnsi="Arial Narrow"/>
          <w:lang w:val="bg-BG"/>
        </w:rPr>
        <w:t xml:space="preserve">аст </w:t>
      </w:r>
      <w:r w:rsidRPr="00F73920">
        <w:rPr>
          <w:rFonts w:ascii="Arial Narrow" w:eastAsia="Calibri" w:hAnsi="Arial Narrow"/>
        </w:rPr>
        <w:t>Велико Търново, 4 в обл</w:t>
      </w:r>
      <w:r w:rsidRPr="00F73920">
        <w:rPr>
          <w:rFonts w:ascii="Arial Narrow" w:eastAsia="Calibri" w:hAnsi="Arial Narrow"/>
          <w:lang w:val="bg-BG"/>
        </w:rPr>
        <w:t xml:space="preserve">аст </w:t>
      </w:r>
      <w:r w:rsidRPr="00F73920">
        <w:rPr>
          <w:rFonts w:ascii="Arial Narrow" w:eastAsia="Calibri" w:hAnsi="Arial Narrow"/>
        </w:rPr>
        <w:t>Хасково и 1 в обл</w:t>
      </w:r>
      <w:r w:rsidRPr="00F73920">
        <w:rPr>
          <w:rFonts w:ascii="Arial Narrow" w:eastAsia="Calibri" w:hAnsi="Arial Narrow"/>
          <w:lang w:val="bg-BG"/>
        </w:rPr>
        <w:t>аст</w:t>
      </w:r>
      <w:r w:rsidRPr="00F73920">
        <w:rPr>
          <w:rFonts w:ascii="Arial Narrow" w:eastAsia="Calibri" w:hAnsi="Arial Narrow"/>
        </w:rPr>
        <w:t xml:space="preserve"> Добрич</w:t>
      </w:r>
      <w:r w:rsidRPr="00F73920">
        <w:rPr>
          <w:rFonts w:ascii="Arial Narrow" w:eastAsia="Calibri" w:hAnsi="Arial Narrow"/>
          <w:lang w:val="bg-BG" w:eastAsia="bg-BG"/>
        </w:rPr>
        <w:t>). Съгласно изискванията на Регламенти 2020/687 и 2016/429 на ЕС и Плана за спешни мерки при борба с инфлуенца по птиците, БАБХ е предприела незабавно мерки за унищожаването на всички заразени и контактни птици в огнищата.</w:t>
      </w:r>
    </w:p>
    <w:p w14:paraId="06980AFA" w14:textId="77777777" w:rsidR="00F73920" w:rsidRPr="00F73920" w:rsidRDefault="00F73920" w:rsidP="00F73920">
      <w:pPr>
        <w:spacing w:after="120"/>
        <w:ind w:firstLine="709"/>
        <w:jc w:val="both"/>
        <w:rPr>
          <w:rFonts w:ascii="Arial Narrow" w:eastAsia="Calibri" w:hAnsi="Arial Narrow"/>
          <w:lang w:val="bg-BG" w:eastAsia="bg-BG"/>
        </w:rPr>
      </w:pPr>
      <w:r w:rsidRPr="00F73920">
        <w:rPr>
          <w:rFonts w:ascii="Arial Narrow" w:eastAsia="Calibri" w:hAnsi="Arial Narrow"/>
          <w:lang w:val="bg-BG" w:eastAsia="bg-BG"/>
        </w:rPr>
        <w:t>През 2024 г. са регистрирани две огнища на инфекциозната анемия по конете в областите Видин и Благоевград.</w:t>
      </w:r>
    </w:p>
    <w:p w14:paraId="11E9C4A8" w14:textId="77777777" w:rsidR="00F73920" w:rsidRPr="00F73920" w:rsidRDefault="00F73920" w:rsidP="00F73920">
      <w:pPr>
        <w:spacing w:after="120"/>
        <w:ind w:firstLine="709"/>
        <w:jc w:val="both"/>
        <w:rPr>
          <w:rFonts w:ascii="Arial Narrow" w:eastAsia="Calibri" w:hAnsi="Arial Narrow"/>
          <w:lang w:val="bg-BG" w:eastAsia="bg-BG"/>
        </w:rPr>
      </w:pPr>
      <w:r w:rsidRPr="00F73920">
        <w:rPr>
          <w:rFonts w:ascii="Arial Narrow" w:eastAsia="Calibri" w:hAnsi="Arial Narrow"/>
          <w:lang w:val="bg-BG" w:eastAsia="bg-BG"/>
        </w:rPr>
        <w:t xml:space="preserve">Констатирани са 3 броя проби с положителен резултат за наличие на имунен отговор срещу болестта западно нилска треска (2 проби в област Бургас и 1 - в област София град). </w:t>
      </w:r>
    </w:p>
    <w:p w14:paraId="502A1E79" w14:textId="77777777" w:rsidR="00F73920" w:rsidRPr="00F73920" w:rsidRDefault="00F73920" w:rsidP="00F73920">
      <w:pPr>
        <w:spacing w:after="120"/>
        <w:ind w:firstLine="709"/>
        <w:jc w:val="both"/>
        <w:rPr>
          <w:rFonts w:ascii="Arial Narrow" w:eastAsia="Calibri" w:hAnsi="Arial Narrow"/>
          <w:lang w:val="bg-BG" w:eastAsia="bg-BG"/>
        </w:rPr>
      </w:pPr>
      <w:r w:rsidRPr="00F73920">
        <w:rPr>
          <w:rFonts w:ascii="Arial Narrow" w:eastAsia="Calibri" w:hAnsi="Arial Narrow"/>
          <w:lang w:val="bg-BG" w:eastAsia="bg-BG"/>
        </w:rPr>
        <w:t>Установен е един случай на болестта Усуту при морски дъждосвирец в област Бургас.</w:t>
      </w:r>
    </w:p>
    <w:p w14:paraId="7ADFDFB2" w14:textId="77777777" w:rsidR="00F73920" w:rsidRPr="00F73920" w:rsidRDefault="00F73920" w:rsidP="00F73920">
      <w:pPr>
        <w:spacing w:after="120"/>
        <w:ind w:firstLine="709"/>
        <w:jc w:val="both"/>
        <w:rPr>
          <w:rFonts w:ascii="Arial Narrow" w:eastAsia="Calibri" w:hAnsi="Arial Narrow"/>
          <w:lang w:val="bg-BG" w:eastAsia="bg-BG"/>
        </w:rPr>
      </w:pPr>
      <w:r w:rsidRPr="00F73920">
        <w:rPr>
          <w:rFonts w:ascii="Arial Narrow" w:eastAsia="Calibri" w:hAnsi="Arial Narrow"/>
          <w:lang w:val="bg-BG" w:eastAsia="bg-BG"/>
        </w:rPr>
        <w:t>През годината са констатирани 12 огнища на шарка по дребните преживни животни в областите Ямбол, Стара Загора, Хасково, Сливен и Кърджали.</w:t>
      </w:r>
    </w:p>
    <w:p w14:paraId="7995A466" w14:textId="77777777" w:rsidR="00F73920" w:rsidRPr="00F73920" w:rsidRDefault="00F73920" w:rsidP="00F73920">
      <w:pPr>
        <w:spacing w:after="120"/>
        <w:ind w:firstLine="709"/>
        <w:jc w:val="both"/>
        <w:rPr>
          <w:rFonts w:ascii="Arial Narrow" w:eastAsia="Calibri" w:hAnsi="Arial Narrow"/>
          <w:lang w:val="bg-BG" w:eastAsia="bg-BG"/>
        </w:rPr>
      </w:pPr>
      <w:r w:rsidRPr="00F73920">
        <w:rPr>
          <w:rFonts w:ascii="Arial Narrow" w:eastAsia="Calibri" w:hAnsi="Arial Narrow"/>
          <w:lang w:val="bg-BG" w:eastAsia="bg-BG"/>
        </w:rPr>
        <w:t>През месец ноември 2024 г. е установено огнище на болестта чума по дребните преживни животни в гр. Велинград, област Пазарджик.</w:t>
      </w:r>
    </w:p>
    <w:p w14:paraId="7CD0DD41" w14:textId="77777777" w:rsidR="00F73920" w:rsidRPr="00F73920" w:rsidRDefault="00F73920" w:rsidP="00F73920">
      <w:pPr>
        <w:spacing w:after="120"/>
        <w:ind w:firstLine="709"/>
        <w:jc w:val="both"/>
        <w:rPr>
          <w:rFonts w:ascii="Arial Narrow" w:eastAsia="Calibri" w:hAnsi="Arial Narrow"/>
          <w:lang w:val="bg-BG" w:eastAsia="bg-BG"/>
        </w:rPr>
      </w:pPr>
      <w:r w:rsidRPr="00F73920">
        <w:rPr>
          <w:rFonts w:ascii="Arial Narrow" w:eastAsia="Calibri" w:hAnsi="Arial Narrow"/>
          <w:lang w:val="bg-BG" w:eastAsia="bg-BG"/>
        </w:rPr>
        <w:t>Обявени са 52 огнища на болестта бруцелоза по едрите преживни животни в областите Благоевград, Ямбол, Смолян, Кърджали и едно огнище на бруцелоза при дребни преживни животни в област Благоевград.</w:t>
      </w:r>
    </w:p>
    <w:p w14:paraId="73C4FEB8" w14:textId="77777777" w:rsidR="00F73920" w:rsidRPr="00F73920" w:rsidRDefault="00F73920" w:rsidP="00F73920">
      <w:pPr>
        <w:spacing w:after="120"/>
        <w:ind w:firstLine="709"/>
        <w:jc w:val="both"/>
        <w:rPr>
          <w:rFonts w:ascii="Arial Narrow" w:eastAsia="Calibri" w:hAnsi="Arial Narrow"/>
          <w:lang w:val="bg-BG" w:eastAsia="bg-BG"/>
        </w:rPr>
      </w:pPr>
      <w:r w:rsidRPr="00F73920">
        <w:rPr>
          <w:rFonts w:ascii="Arial Narrow" w:eastAsia="Calibri" w:hAnsi="Arial Narrow"/>
          <w:lang w:val="bg-BG" w:eastAsia="bg-BG"/>
        </w:rPr>
        <w:t xml:space="preserve">Обявени са 15 огнища на Ку-треска в областите Хасково, Габрово, Кюстендил, Стара Загора и Смолян. </w:t>
      </w:r>
    </w:p>
    <w:p w14:paraId="676CDFA3" w14:textId="77777777" w:rsidR="00F73920" w:rsidRPr="00F73920" w:rsidRDefault="00F73920" w:rsidP="00F73920">
      <w:pPr>
        <w:spacing w:after="120"/>
        <w:ind w:firstLine="709"/>
        <w:jc w:val="both"/>
        <w:rPr>
          <w:rFonts w:ascii="Arial Narrow" w:eastAsia="Calibri" w:hAnsi="Arial Narrow"/>
          <w:lang w:val="bg-BG" w:eastAsia="bg-BG"/>
        </w:rPr>
      </w:pPr>
      <w:r w:rsidRPr="00F73920">
        <w:rPr>
          <w:rFonts w:ascii="Arial Narrow" w:eastAsia="Calibri" w:hAnsi="Arial Narrow"/>
          <w:lang w:val="bg-BG" w:eastAsia="bg-BG"/>
        </w:rPr>
        <w:t>През 2024 г. огнищата на туберкулоза са два броя - в град Тополовград, област Хасково и в село Златовръх, област Пловдив.</w:t>
      </w:r>
    </w:p>
    <w:p w14:paraId="56CC67B9" w14:textId="77777777" w:rsidR="00F73920" w:rsidRPr="00F73920" w:rsidRDefault="00F73920" w:rsidP="00F73920">
      <w:pPr>
        <w:spacing w:after="120"/>
        <w:ind w:firstLine="709"/>
        <w:jc w:val="both"/>
        <w:rPr>
          <w:rFonts w:ascii="Arial Narrow" w:eastAsia="Calibri" w:hAnsi="Arial Narrow"/>
          <w:lang w:val="bg-BG" w:eastAsia="bg-BG"/>
        </w:rPr>
      </w:pPr>
      <w:r w:rsidRPr="00F73920">
        <w:rPr>
          <w:rFonts w:ascii="Arial Narrow" w:eastAsia="Calibri" w:hAnsi="Arial Narrow"/>
          <w:lang w:val="bg-BG" w:eastAsia="bg-BG"/>
        </w:rPr>
        <w:t xml:space="preserve">Констатиран е един случай на антракс при две овце в област Разград. </w:t>
      </w:r>
    </w:p>
    <w:p w14:paraId="7AB4198B" w14:textId="77777777" w:rsidR="00F73920" w:rsidRPr="00F73920" w:rsidRDefault="00F73920" w:rsidP="00F73920">
      <w:pPr>
        <w:spacing w:after="120"/>
        <w:ind w:firstLine="709"/>
        <w:jc w:val="both"/>
        <w:rPr>
          <w:rFonts w:ascii="Arial Narrow" w:eastAsia="Calibri" w:hAnsi="Arial Narrow"/>
          <w:lang w:val="bg-BG" w:eastAsia="bg-BG"/>
        </w:rPr>
      </w:pPr>
      <w:r w:rsidRPr="00F73920">
        <w:rPr>
          <w:rFonts w:ascii="Arial Narrow" w:eastAsia="Calibri" w:hAnsi="Arial Narrow"/>
          <w:lang w:val="bg-BG" w:eastAsia="bg-BG"/>
        </w:rPr>
        <w:t>През годината не са констатирани положителни случай на скрейпи и спонгиформна енцефалопатия при преживни животни.</w:t>
      </w:r>
    </w:p>
    <w:p w14:paraId="6A44D491" w14:textId="77777777" w:rsidR="00F73920" w:rsidRPr="00F73920" w:rsidRDefault="00F73920" w:rsidP="00F73920">
      <w:pPr>
        <w:spacing w:after="120"/>
        <w:ind w:firstLine="709"/>
        <w:jc w:val="both"/>
        <w:rPr>
          <w:rFonts w:ascii="Arial Narrow" w:hAnsi="Arial Narrow"/>
          <w:lang w:val="bg-BG" w:eastAsia="bg-BG"/>
        </w:rPr>
      </w:pPr>
      <w:r w:rsidRPr="00F73920">
        <w:rPr>
          <w:rFonts w:ascii="Arial Narrow" w:eastAsia="Calibri" w:hAnsi="Arial Narrow"/>
          <w:lang w:val="bg-BG" w:eastAsia="bg-BG"/>
        </w:rPr>
        <w:t xml:space="preserve">По отношение на Африканска чума по свинете е констатирано 1 огнище при домашни свине със засегнати 11 броя животни и при диви прасета – 1 311 броя открити позитивни животни. </w:t>
      </w:r>
      <w:r w:rsidRPr="00F73920">
        <w:rPr>
          <w:rFonts w:ascii="Arial Narrow" w:hAnsi="Arial Narrow"/>
          <w:lang w:val="bg-BG" w:eastAsia="bg-BG"/>
        </w:rPr>
        <w:t xml:space="preserve">През годината са взети 12 639 броя отрицателни проби от диви свине. </w:t>
      </w:r>
    </w:p>
    <w:p w14:paraId="6D9BAE3E" w14:textId="77777777" w:rsidR="00F73920" w:rsidRPr="00F73920" w:rsidRDefault="00F73920" w:rsidP="00F73920">
      <w:pPr>
        <w:spacing w:after="120"/>
        <w:ind w:firstLine="709"/>
        <w:jc w:val="both"/>
        <w:rPr>
          <w:rFonts w:ascii="Arial Narrow" w:hAnsi="Arial Narrow"/>
          <w:lang w:val="bg-BG" w:eastAsia="bg-BG"/>
        </w:rPr>
      </w:pPr>
      <w:r w:rsidRPr="00F73920">
        <w:rPr>
          <w:rFonts w:ascii="Arial Narrow" w:hAnsi="Arial Narrow"/>
          <w:lang w:val="bg-BG" w:eastAsia="bg-BG"/>
        </w:rPr>
        <w:t>Във връзка с усложнената епизоотична обстановка по отношение на заболяването Африканска чума по свинете в Европа и констатираните огнища през 2024 г. в България, са предприети следните мерки, съобразно Регламент 2016/429 на EC и Стратегия на ЕС за контрол на АЧС - SANTE/7113/2015 – Rev 10:</w:t>
      </w:r>
    </w:p>
    <w:p w14:paraId="08786C20" w14:textId="77777777" w:rsidR="00F73920" w:rsidRPr="00F73920" w:rsidRDefault="00F73920" w:rsidP="00F73920">
      <w:pPr>
        <w:numPr>
          <w:ilvl w:val="0"/>
          <w:numId w:val="11"/>
        </w:numPr>
        <w:overflowPunct w:val="0"/>
        <w:autoSpaceDE w:val="0"/>
        <w:autoSpaceDN w:val="0"/>
        <w:adjustRightInd w:val="0"/>
        <w:spacing w:after="120" w:line="276" w:lineRule="auto"/>
        <w:ind w:left="714" w:hanging="357"/>
        <w:jc w:val="both"/>
        <w:rPr>
          <w:rFonts w:ascii="Arial Narrow" w:eastAsia="Calibri" w:hAnsi="Arial Narrow"/>
          <w:lang w:val="bg-BG"/>
        </w:rPr>
      </w:pPr>
      <w:r w:rsidRPr="00F73920">
        <w:rPr>
          <w:rFonts w:ascii="Arial Narrow" w:eastAsia="Calibri" w:hAnsi="Arial Narrow"/>
          <w:lang w:val="bg-BG"/>
        </w:rPr>
        <w:t>Програма за надзор;</w:t>
      </w:r>
    </w:p>
    <w:p w14:paraId="0ED8B4CF" w14:textId="77777777" w:rsidR="00F73920" w:rsidRPr="00F73920" w:rsidRDefault="00F73920" w:rsidP="00F73920">
      <w:pPr>
        <w:numPr>
          <w:ilvl w:val="0"/>
          <w:numId w:val="11"/>
        </w:numPr>
        <w:overflowPunct w:val="0"/>
        <w:autoSpaceDE w:val="0"/>
        <w:autoSpaceDN w:val="0"/>
        <w:adjustRightInd w:val="0"/>
        <w:spacing w:after="120" w:line="276" w:lineRule="auto"/>
        <w:ind w:left="714" w:hanging="357"/>
        <w:jc w:val="both"/>
        <w:rPr>
          <w:rFonts w:ascii="Arial Narrow" w:eastAsia="Calibri" w:hAnsi="Arial Narrow"/>
          <w:lang w:val="bg-BG"/>
        </w:rPr>
      </w:pPr>
      <w:r w:rsidRPr="00F73920">
        <w:rPr>
          <w:rFonts w:ascii="Arial Narrow" w:eastAsia="Calibri" w:hAnsi="Arial Narrow"/>
          <w:lang w:val="bg-BG"/>
        </w:rPr>
        <w:t>Контрол на движението на хора, животни, продукти, включително и личен багаж от страни, в които има АЧС;</w:t>
      </w:r>
    </w:p>
    <w:p w14:paraId="2A9D30FB" w14:textId="77777777" w:rsidR="00F73920" w:rsidRPr="00F73920" w:rsidRDefault="00F73920" w:rsidP="00F73920">
      <w:pPr>
        <w:numPr>
          <w:ilvl w:val="0"/>
          <w:numId w:val="11"/>
        </w:numPr>
        <w:overflowPunct w:val="0"/>
        <w:autoSpaceDE w:val="0"/>
        <w:autoSpaceDN w:val="0"/>
        <w:adjustRightInd w:val="0"/>
        <w:spacing w:after="120" w:line="276" w:lineRule="auto"/>
        <w:ind w:left="714" w:hanging="357"/>
        <w:jc w:val="both"/>
        <w:rPr>
          <w:rFonts w:ascii="Arial Narrow" w:eastAsia="Calibri" w:hAnsi="Arial Narrow"/>
          <w:lang w:val="bg-BG"/>
        </w:rPr>
      </w:pPr>
      <w:r w:rsidRPr="00F73920">
        <w:rPr>
          <w:rFonts w:ascii="Arial Narrow" w:eastAsia="Calibri" w:hAnsi="Arial Narrow"/>
          <w:lang w:val="bg-BG"/>
        </w:rPr>
        <w:t>Конфискуване на месни продукти, тестване и унищожаване;</w:t>
      </w:r>
    </w:p>
    <w:p w14:paraId="6B6CE778" w14:textId="77777777" w:rsidR="00F73920" w:rsidRPr="00F73920" w:rsidRDefault="00F73920" w:rsidP="00F73920">
      <w:pPr>
        <w:numPr>
          <w:ilvl w:val="0"/>
          <w:numId w:val="11"/>
        </w:numPr>
        <w:overflowPunct w:val="0"/>
        <w:autoSpaceDE w:val="0"/>
        <w:autoSpaceDN w:val="0"/>
        <w:adjustRightInd w:val="0"/>
        <w:spacing w:after="120" w:line="276" w:lineRule="auto"/>
        <w:ind w:left="714" w:hanging="357"/>
        <w:jc w:val="both"/>
        <w:rPr>
          <w:rFonts w:ascii="Arial Narrow" w:eastAsia="Calibri" w:hAnsi="Arial Narrow"/>
          <w:lang w:val="bg-BG"/>
        </w:rPr>
      </w:pPr>
      <w:r w:rsidRPr="00F73920">
        <w:rPr>
          <w:rFonts w:ascii="Arial Narrow" w:eastAsia="Calibri" w:hAnsi="Arial Narrow"/>
          <w:lang w:val="bg-BG"/>
        </w:rPr>
        <w:t>Дезинфекция на транспортни средства, идващи от страни, в които има АЧС;</w:t>
      </w:r>
    </w:p>
    <w:p w14:paraId="4BF8E213" w14:textId="77777777" w:rsidR="00F73920" w:rsidRPr="00F73920" w:rsidRDefault="00F73920" w:rsidP="00F73920">
      <w:pPr>
        <w:numPr>
          <w:ilvl w:val="0"/>
          <w:numId w:val="11"/>
        </w:numPr>
        <w:overflowPunct w:val="0"/>
        <w:autoSpaceDE w:val="0"/>
        <w:autoSpaceDN w:val="0"/>
        <w:adjustRightInd w:val="0"/>
        <w:spacing w:after="120" w:line="276" w:lineRule="auto"/>
        <w:ind w:left="714" w:hanging="357"/>
        <w:jc w:val="both"/>
        <w:rPr>
          <w:rFonts w:ascii="Arial Narrow" w:eastAsia="Calibri" w:hAnsi="Arial Narrow"/>
          <w:lang w:val="bg-BG"/>
        </w:rPr>
      </w:pPr>
      <w:r w:rsidRPr="00F73920">
        <w:rPr>
          <w:rFonts w:ascii="Arial Narrow" w:eastAsia="Calibri" w:hAnsi="Arial Narrow"/>
          <w:lang w:val="bg-BG"/>
        </w:rPr>
        <w:t>Унищожаване на отпадъци от транспортни средства от страни, в които има АЧС;</w:t>
      </w:r>
    </w:p>
    <w:p w14:paraId="2605D9EE" w14:textId="77777777" w:rsidR="00F73920" w:rsidRPr="00F73920" w:rsidRDefault="00F73920" w:rsidP="00F73920">
      <w:pPr>
        <w:numPr>
          <w:ilvl w:val="0"/>
          <w:numId w:val="11"/>
        </w:numPr>
        <w:overflowPunct w:val="0"/>
        <w:autoSpaceDE w:val="0"/>
        <w:autoSpaceDN w:val="0"/>
        <w:adjustRightInd w:val="0"/>
        <w:spacing w:after="120" w:line="276" w:lineRule="auto"/>
        <w:ind w:left="714" w:hanging="357"/>
        <w:jc w:val="both"/>
        <w:rPr>
          <w:rFonts w:ascii="Arial Narrow" w:eastAsia="Calibri" w:hAnsi="Arial Narrow"/>
          <w:lang w:val="bg-BG"/>
        </w:rPr>
      </w:pPr>
      <w:r w:rsidRPr="00F73920">
        <w:rPr>
          <w:rFonts w:ascii="Arial Narrow" w:eastAsia="Calibri" w:hAnsi="Arial Narrow"/>
          <w:lang w:val="bg-BG"/>
        </w:rPr>
        <w:t>Проверки за биосигурност в свиневъдни обекти;</w:t>
      </w:r>
    </w:p>
    <w:p w14:paraId="49864FEF" w14:textId="77777777" w:rsidR="00F73920" w:rsidRPr="00F73920" w:rsidRDefault="00F73920" w:rsidP="00F73920">
      <w:pPr>
        <w:numPr>
          <w:ilvl w:val="0"/>
          <w:numId w:val="11"/>
        </w:numPr>
        <w:overflowPunct w:val="0"/>
        <w:autoSpaceDE w:val="0"/>
        <w:autoSpaceDN w:val="0"/>
        <w:adjustRightInd w:val="0"/>
        <w:spacing w:after="120" w:line="276" w:lineRule="auto"/>
        <w:ind w:left="714" w:hanging="357"/>
        <w:jc w:val="both"/>
        <w:rPr>
          <w:rFonts w:ascii="Arial Narrow" w:eastAsia="Calibri" w:hAnsi="Arial Narrow"/>
          <w:lang w:val="bg-BG"/>
        </w:rPr>
      </w:pPr>
      <w:r w:rsidRPr="00F73920">
        <w:rPr>
          <w:rFonts w:ascii="Arial Narrow" w:eastAsia="Calibri" w:hAnsi="Arial Narrow"/>
          <w:lang w:val="bg-BG"/>
        </w:rPr>
        <w:t>Разработване на индивидуални контингенс планове за свиневъдни стопанства;</w:t>
      </w:r>
    </w:p>
    <w:p w14:paraId="40B560CF" w14:textId="77777777" w:rsidR="00F73920" w:rsidRPr="00F73920" w:rsidRDefault="00F73920" w:rsidP="00F73920">
      <w:pPr>
        <w:numPr>
          <w:ilvl w:val="0"/>
          <w:numId w:val="11"/>
        </w:numPr>
        <w:overflowPunct w:val="0"/>
        <w:autoSpaceDE w:val="0"/>
        <w:autoSpaceDN w:val="0"/>
        <w:adjustRightInd w:val="0"/>
        <w:spacing w:after="120" w:line="276" w:lineRule="auto"/>
        <w:ind w:left="714" w:hanging="357"/>
        <w:jc w:val="both"/>
        <w:rPr>
          <w:rFonts w:ascii="Arial Narrow" w:eastAsia="Calibri" w:hAnsi="Arial Narrow"/>
          <w:lang w:val="bg-BG"/>
        </w:rPr>
      </w:pPr>
      <w:r w:rsidRPr="00F73920">
        <w:rPr>
          <w:rFonts w:ascii="Arial Narrow" w:eastAsia="Calibri" w:hAnsi="Arial Narrow"/>
          <w:lang w:val="bg-BG"/>
        </w:rPr>
        <w:t>Регулярни срещи със сектора, ИАГ, ловни организации;</w:t>
      </w:r>
    </w:p>
    <w:p w14:paraId="094FCF00" w14:textId="77777777" w:rsidR="00F73920" w:rsidRPr="00F73920" w:rsidRDefault="00F73920" w:rsidP="00F73920">
      <w:pPr>
        <w:numPr>
          <w:ilvl w:val="0"/>
          <w:numId w:val="11"/>
        </w:numPr>
        <w:overflowPunct w:val="0"/>
        <w:autoSpaceDE w:val="0"/>
        <w:autoSpaceDN w:val="0"/>
        <w:adjustRightInd w:val="0"/>
        <w:spacing w:after="120" w:line="276" w:lineRule="auto"/>
        <w:ind w:left="714" w:hanging="357"/>
        <w:jc w:val="both"/>
        <w:rPr>
          <w:rFonts w:ascii="Arial Narrow" w:eastAsia="Calibri" w:hAnsi="Arial Narrow"/>
          <w:lang w:val="bg-BG"/>
        </w:rPr>
      </w:pPr>
      <w:r w:rsidRPr="00F73920">
        <w:rPr>
          <w:rFonts w:ascii="Arial Narrow" w:eastAsia="Calibri" w:hAnsi="Arial Narrow"/>
          <w:lang w:val="bg-BG"/>
        </w:rPr>
        <w:t>Обучения по биосигурност за сектора и за ловци;</w:t>
      </w:r>
    </w:p>
    <w:p w14:paraId="55C4F8C2" w14:textId="77777777" w:rsidR="00F73920" w:rsidRPr="00F73920" w:rsidRDefault="00F73920" w:rsidP="00F73920">
      <w:pPr>
        <w:numPr>
          <w:ilvl w:val="0"/>
          <w:numId w:val="11"/>
        </w:numPr>
        <w:overflowPunct w:val="0"/>
        <w:autoSpaceDE w:val="0"/>
        <w:autoSpaceDN w:val="0"/>
        <w:adjustRightInd w:val="0"/>
        <w:spacing w:after="120" w:line="276" w:lineRule="auto"/>
        <w:ind w:left="714" w:hanging="357"/>
        <w:jc w:val="both"/>
        <w:rPr>
          <w:rFonts w:ascii="Arial Narrow" w:eastAsia="Calibri" w:hAnsi="Arial Narrow"/>
          <w:lang w:val="bg-BG"/>
        </w:rPr>
      </w:pPr>
      <w:r w:rsidRPr="00F73920">
        <w:rPr>
          <w:rFonts w:ascii="Arial Narrow" w:eastAsia="Calibri" w:hAnsi="Arial Narrow"/>
          <w:lang w:val="bg-BG"/>
        </w:rPr>
        <w:t xml:space="preserve">Намаляване на стопанства тип „заден двор“ около индустриални ферми; </w:t>
      </w:r>
    </w:p>
    <w:p w14:paraId="00880871" w14:textId="77777777" w:rsidR="00F73920" w:rsidRPr="00F73920" w:rsidRDefault="00F73920" w:rsidP="00F73920">
      <w:pPr>
        <w:numPr>
          <w:ilvl w:val="0"/>
          <w:numId w:val="11"/>
        </w:numPr>
        <w:overflowPunct w:val="0"/>
        <w:autoSpaceDE w:val="0"/>
        <w:autoSpaceDN w:val="0"/>
        <w:adjustRightInd w:val="0"/>
        <w:spacing w:after="120" w:line="276" w:lineRule="auto"/>
        <w:ind w:left="714" w:hanging="357"/>
        <w:jc w:val="both"/>
        <w:rPr>
          <w:rFonts w:ascii="Arial Narrow" w:eastAsia="Calibri" w:hAnsi="Arial Narrow"/>
          <w:lang w:val="bg-BG"/>
        </w:rPr>
      </w:pPr>
      <w:r w:rsidRPr="00F73920">
        <w:rPr>
          <w:rFonts w:ascii="Arial Narrow" w:eastAsia="Calibri" w:hAnsi="Arial Narrow"/>
          <w:lang w:val="bg-BG"/>
        </w:rPr>
        <w:t>Забрана за изхранване с прясна трева и специални мерки по отношение на фуражите;</w:t>
      </w:r>
    </w:p>
    <w:p w14:paraId="7DB881FB" w14:textId="77777777" w:rsidR="00F73920" w:rsidRPr="00F73920" w:rsidRDefault="00F73920" w:rsidP="00F73920">
      <w:pPr>
        <w:numPr>
          <w:ilvl w:val="0"/>
          <w:numId w:val="11"/>
        </w:numPr>
        <w:overflowPunct w:val="0"/>
        <w:autoSpaceDE w:val="0"/>
        <w:autoSpaceDN w:val="0"/>
        <w:adjustRightInd w:val="0"/>
        <w:spacing w:after="120" w:line="276" w:lineRule="auto"/>
        <w:ind w:left="714" w:hanging="357"/>
        <w:jc w:val="both"/>
        <w:rPr>
          <w:rFonts w:ascii="Arial Narrow" w:eastAsia="Calibri" w:hAnsi="Arial Narrow"/>
          <w:lang w:val="bg-BG"/>
        </w:rPr>
      </w:pPr>
      <w:r w:rsidRPr="00F73920">
        <w:rPr>
          <w:rFonts w:ascii="Arial Narrow" w:eastAsia="Calibri" w:hAnsi="Arial Narrow"/>
          <w:lang w:val="bg-BG"/>
        </w:rPr>
        <w:lastRenderedPageBreak/>
        <w:t>Разработване на мобилно приложение за проби за трихинела и АЧС;</w:t>
      </w:r>
    </w:p>
    <w:p w14:paraId="2A5F7D76" w14:textId="77777777" w:rsidR="00F73920" w:rsidRPr="00F73920" w:rsidRDefault="00F73920" w:rsidP="00F73920">
      <w:pPr>
        <w:numPr>
          <w:ilvl w:val="0"/>
          <w:numId w:val="11"/>
        </w:numPr>
        <w:overflowPunct w:val="0"/>
        <w:autoSpaceDE w:val="0"/>
        <w:autoSpaceDN w:val="0"/>
        <w:adjustRightInd w:val="0"/>
        <w:spacing w:after="120" w:line="276" w:lineRule="auto"/>
        <w:ind w:left="714" w:hanging="357"/>
        <w:jc w:val="both"/>
        <w:rPr>
          <w:rFonts w:ascii="Arial Narrow" w:eastAsia="Calibri" w:hAnsi="Arial Narrow"/>
          <w:lang w:val="bg-BG"/>
        </w:rPr>
      </w:pPr>
      <w:r w:rsidRPr="00F73920">
        <w:rPr>
          <w:rFonts w:ascii="Arial Narrow" w:eastAsia="Calibri" w:hAnsi="Arial Narrow"/>
          <w:lang w:val="bg-BG"/>
        </w:rPr>
        <w:t>Забрана за движение на диви свине от други държави членки на ЕС и за внос от трети страни;</w:t>
      </w:r>
    </w:p>
    <w:p w14:paraId="2C5CDFE0" w14:textId="77777777" w:rsidR="00F73920" w:rsidRPr="00F73920" w:rsidRDefault="00F73920" w:rsidP="00F73920">
      <w:pPr>
        <w:numPr>
          <w:ilvl w:val="0"/>
          <w:numId w:val="11"/>
        </w:numPr>
        <w:overflowPunct w:val="0"/>
        <w:autoSpaceDE w:val="0"/>
        <w:autoSpaceDN w:val="0"/>
        <w:adjustRightInd w:val="0"/>
        <w:spacing w:after="120" w:line="276" w:lineRule="auto"/>
        <w:ind w:left="714" w:hanging="357"/>
        <w:jc w:val="both"/>
        <w:rPr>
          <w:rFonts w:ascii="Arial Narrow" w:eastAsia="Calibri" w:hAnsi="Arial Narrow"/>
          <w:lang w:val="bg-BG"/>
        </w:rPr>
      </w:pPr>
      <w:r w:rsidRPr="00F73920">
        <w:rPr>
          <w:rFonts w:ascii="Arial Narrow" w:eastAsia="Calibri" w:hAnsi="Arial Narrow"/>
          <w:lang w:val="bg-BG"/>
        </w:rPr>
        <w:t>Обучения на ловци за АЧС, вземане на проби, биосигурност, включително и разработване на материали;</w:t>
      </w:r>
    </w:p>
    <w:p w14:paraId="02055D36" w14:textId="77777777" w:rsidR="00F73920" w:rsidRPr="00F73920" w:rsidRDefault="00F73920" w:rsidP="00F73920">
      <w:pPr>
        <w:numPr>
          <w:ilvl w:val="0"/>
          <w:numId w:val="11"/>
        </w:numPr>
        <w:overflowPunct w:val="0"/>
        <w:autoSpaceDE w:val="0"/>
        <w:autoSpaceDN w:val="0"/>
        <w:adjustRightInd w:val="0"/>
        <w:spacing w:after="120" w:line="276" w:lineRule="auto"/>
        <w:ind w:left="714" w:hanging="357"/>
        <w:jc w:val="both"/>
        <w:rPr>
          <w:rFonts w:ascii="Arial Narrow" w:eastAsia="Calibri" w:hAnsi="Arial Narrow"/>
          <w:lang w:val="bg-BG"/>
        </w:rPr>
      </w:pPr>
      <w:r w:rsidRPr="00F73920">
        <w:rPr>
          <w:rFonts w:ascii="Arial Narrow" w:eastAsia="Calibri" w:hAnsi="Arial Narrow"/>
          <w:lang w:val="bg-BG"/>
        </w:rPr>
        <w:t>Конструиране на специални ями за трупове и странични животински продукти за всяко ловно стопанство;</w:t>
      </w:r>
    </w:p>
    <w:p w14:paraId="22D58303" w14:textId="77777777" w:rsidR="00F73920" w:rsidRPr="00F73920" w:rsidRDefault="00F73920" w:rsidP="00F73920">
      <w:pPr>
        <w:numPr>
          <w:ilvl w:val="0"/>
          <w:numId w:val="11"/>
        </w:numPr>
        <w:overflowPunct w:val="0"/>
        <w:autoSpaceDE w:val="0"/>
        <w:autoSpaceDN w:val="0"/>
        <w:adjustRightInd w:val="0"/>
        <w:spacing w:after="120" w:line="276" w:lineRule="auto"/>
        <w:ind w:left="714" w:hanging="357"/>
        <w:jc w:val="both"/>
        <w:rPr>
          <w:rFonts w:ascii="Arial Narrow" w:eastAsia="Calibri" w:hAnsi="Arial Narrow"/>
          <w:lang w:val="bg-BG"/>
        </w:rPr>
      </w:pPr>
      <w:r w:rsidRPr="00F73920">
        <w:rPr>
          <w:rFonts w:ascii="Arial Narrow" w:eastAsia="Calibri" w:hAnsi="Arial Narrow"/>
          <w:lang w:val="bg-BG"/>
        </w:rPr>
        <w:t>Ограда по границата с Румъния;</w:t>
      </w:r>
    </w:p>
    <w:p w14:paraId="740FCBE0" w14:textId="77777777" w:rsidR="00F73920" w:rsidRPr="00F73920" w:rsidRDefault="00F73920" w:rsidP="00F73920">
      <w:pPr>
        <w:numPr>
          <w:ilvl w:val="0"/>
          <w:numId w:val="11"/>
        </w:numPr>
        <w:overflowPunct w:val="0"/>
        <w:autoSpaceDE w:val="0"/>
        <w:autoSpaceDN w:val="0"/>
        <w:adjustRightInd w:val="0"/>
        <w:spacing w:after="120" w:line="276" w:lineRule="auto"/>
        <w:ind w:left="714" w:hanging="357"/>
        <w:jc w:val="both"/>
        <w:rPr>
          <w:rFonts w:ascii="Arial Narrow" w:eastAsia="Calibri" w:hAnsi="Arial Narrow"/>
          <w:lang w:val="bg-BG"/>
        </w:rPr>
      </w:pPr>
      <w:r w:rsidRPr="00F73920">
        <w:rPr>
          <w:rFonts w:ascii="Arial Narrow" w:eastAsia="Calibri" w:hAnsi="Arial Narrow"/>
          <w:lang w:val="bg-BG"/>
        </w:rPr>
        <w:t>Задължение да се докладва всяко открито мъртво или показващо нетипично поведение диво прасе до ОДБХ;</w:t>
      </w:r>
    </w:p>
    <w:p w14:paraId="1D0D53A7" w14:textId="77777777" w:rsidR="00F73920" w:rsidRPr="00F73920" w:rsidRDefault="00F73920" w:rsidP="00F73920">
      <w:pPr>
        <w:numPr>
          <w:ilvl w:val="0"/>
          <w:numId w:val="11"/>
        </w:numPr>
        <w:overflowPunct w:val="0"/>
        <w:autoSpaceDE w:val="0"/>
        <w:autoSpaceDN w:val="0"/>
        <w:adjustRightInd w:val="0"/>
        <w:spacing w:after="120" w:line="276" w:lineRule="auto"/>
        <w:ind w:left="714" w:hanging="357"/>
        <w:jc w:val="both"/>
        <w:rPr>
          <w:rFonts w:ascii="Arial Narrow" w:eastAsia="Calibri" w:hAnsi="Arial Narrow"/>
          <w:lang w:val="bg-BG"/>
        </w:rPr>
      </w:pPr>
      <w:r w:rsidRPr="00F73920">
        <w:rPr>
          <w:rFonts w:ascii="Arial Narrow" w:eastAsia="Calibri" w:hAnsi="Arial Narrow"/>
          <w:lang w:val="bg-BG"/>
        </w:rPr>
        <w:t>Специален режим, ограничения на лова в рестриктираните територии;</w:t>
      </w:r>
    </w:p>
    <w:p w14:paraId="234EEA23" w14:textId="77777777" w:rsidR="00F73920" w:rsidRPr="00F73920" w:rsidRDefault="00F73920" w:rsidP="00F73920">
      <w:pPr>
        <w:numPr>
          <w:ilvl w:val="0"/>
          <w:numId w:val="11"/>
        </w:numPr>
        <w:overflowPunct w:val="0"/>
        <w:autoSpaceDE w:val="0"/>
        <w:autoSpaceDN w:val="0"/>
        <w:adjustRightInd w:val="0"/>
        <w:spacing w:after="120" w:line="276" w:lineRule="auto"/>
        <w:ind w:left="714" w:hanging="357"/>
        <w:jc w:val="both"/>
        <w:rPr>
          <w:rFonts w:ascii="Arial Narrow" w:eastAsia="Calibri" w:hAnsi="Arial Narrow"/>
          <w:lang w:val="bg-BG"/>
        </w:rPr>
      </w:pPr>
      <w:r w:rsidRPr="00F73920">
        <w:rPr>
          <w:rFonts w:ascii="Arial Narrow" w:eastAsia="Calibri" w:hAnsi="Arial Narrow"/>
          <w:lang w:val="bg-BG"/>
        </w:rPr>
        <w:t>Информационни кампании;</w:t>
      </w:r>
    </w:p>
    <w:p w14:paraId="25790A99" w14:textId="77777777" w:rsidR="00F73920" w:rsidRPr="00F73920" w:rsidRDefault="00F73920" w:rsidP="00F73920">
      <w:pPr>
        <w:numPr>
          <w:ilvl w:val="0"/>
          <w:numId w:val="11"/>
        </w:numPr>
        <w:overflowPunct w:val="0"/>
        <w:autoSpaceDE w:val="0"/>
        <w:autoSpaceDN w:val="0"/>
        <w:adjustRightInd w:val="0"/>
        <w:spacing w:after="120" w:line="276" w:lineRule="auto"/>
        <w:ind w:left="714" w:hanging="357"/>
        <w:jc w:val="both"/>
        <w:rPr>
          <w:rFonts w:ascii="Arial Narrow" w:eastAsia="Calibri" w:hAnsi="Arial Narrow"/>
          <w:lang w:val="bg-BG"/>
        </w:rPr>
      </w:pPr>
      <w:r w:rsidRPr="00F73920">
        <w:rPr>
          <w:rFonts w:ascii="Arial Narrow" w:eastAsia="Calibri" w:hAnsi="Arial Narrow"/>
          <w:lang w:val="bg-BG"/>
        </w:rPr>
        <w:t xml:space="preserve">Координация между институциите с цел намаляване рисковете за разпространение при транспорт и туризъм; </w:t>
      </w:r>
    </w:p>
    <w:p w14:paraId="2F9846CE" w14:textId="77777777" w:rsidR="00F73920" w:rsidRPr="00F73920" w:rsidRDefault="00F73920" w:rsidP="00F73920">
      <w:pPr>
        <w:numPr>
          <w:ilvl w:val="0"/>
          <w:numId w:val="11"/>
        </w:numPr>
        <w:overflowPunct w:val="0"/>
        <w:autoSpaceDE w:val="0"/>
        <w:autoSpaceDN w:val="0"/>
        <w:adjustRightInd w:val="0"/>
        <w:spacing w:after="120" w:line="276" w:lineRule="auto"/>
        <w:ind w:left="714" w:hanging="357"/>
        <w:jc w:val="both"/>
        <w:rPr>
          <w:rFonts w:ascii="Arial Narrow" w:eastAsia="Calibri" w:hAnsi="Arial Narrow"/>
          <w:lang w:val="bg-BG"/>
        </w:rPr>
      </w:pPr>
      <w:r w:rsidRPr="00F73920">
        <w:rPr>
          <w:rFonts w:ascii="Arial Narrow" w:eastAsia="Calibri" w:hAnsi="Arial Narrow"/>
          <w:lang w:val="bg-BG"/>
        </w:rPr>
        <w:t>Допълнителни национални изисквания като уведомление преди движение и получено разрешение от приемащото ОДБХ (валидно за обекти и от част I, и от част II Регламент за изпълнение на Комисията (ЕС) 2021/605); Биосигурност, контингенс планове, вкл. и при транспортиране (валидно за обекти и от част I, и от част II); лабораторно изследване за установяване на патогена на АЧС и при движение от обекти от част I до области в Южна България (кланичен преглед в рамките на 24 часа преди движение – от регистриран ветеринарен лекар).</w:t>
      </w:r>
    </w:p>
    <w:p w14:paraId="7FE121A7" w14:textId="77777777" w:rsidR="00F73920" w:rsidRPr="00F73920" w:rsidRDefault="00F73920" w:rsidP="00F73920">
      <w:pPr>
        <w:spacing w:after="120"/>
        <w:ind w:firstLine="709"/>
        <w:jc w:val="both"/>
        <w:rPr>
          <w:rFonts w:ascii="Arial Narrow" w:hAnsi="Arial Narrow"/>
          <w:lang w:val="bg-BG" w:eastAsia="bg-BG"/>
        </w:rPr>
      </w:pPr>
      <w:r w:rsidRPr="00F73920">
        <w:rPr>
          <w:rFonts w:ascii="Arial Narrow" w:hAnsi="Arial Narrow"/>
          <w:lang w:val="bg-BG" w:eastAsia="bg-BG"/>
        </w:rPr>
        <w:t>Предвид констатираните огнища от син език през 2014 г. и заразен нодуларен дерматит през 2016 г., с цел предпазване на животните, възприемчиви към тези болести и опазване на животновъдството в страната, през 2024 г. продължи извършването на ваксинация срещу син език, серотип 4 и срещу заразен нодуларен дерматит.</w:t>
      </w:r>
    </w:p>
    <w:p w14:paraId="7AD4F52E" w14:textId="77777777" w:rsidR="00F73920" w:rsidRPr="00F73920" w:rsidRDefault="00F73920" w:rsidP="00F73920">
      <w:pPr>
        <w:spacing w:after="120"/>
        <w:ind w:firstLine="709"/>
        <w:jc w:val="both"/>
        <w:rPr>
          <w:rFonts w:ascii="Arial Narrow" w:hAnsi="Arial Narrow"/>
          <w:lang w:val="bg-BG" w:eastAsia="bg-BG"/>
        </w:rPr>
      </w:pPr>
      <w:r w:rsidRPr="00F73920">
        <w:rPr>
          <w:rFonts w:ascii="Arial Narrow" w:hAnsi="Arial Narrow"/>
          <w:lang w:val="bg-BG" w:eastAsia="bg-BG"/>
        </w:rPr>
        <w:t xml:space="preserve">След пет поредни години, през 2024 г. е преустановено изпълнението на програмата за контрол на корона вирус при норки. </w:t>
      </w:r>
    </w:p>
    <w:p w14:paraId="56CEED1B" w14:textId="77777777" w:rsidR="00F73920" w:rsidRPr="00F73920" w:rsidRDefault="00F73920" w:rsidP="00F73920">
      <w:pPr>
        <w:spacing w:after="120"/>
        <w:ind w:firstLine="709"/>
        <w:jc w:val="both"/>
        <w:rPr>
          <w:rFonts w:ascii="Arial Narrow" w:hAnsi="Arial Narrow"/>
          <w:lang w:val="bg-BG" w:eastAsia="bg-BG"/>
        </w:rPr>
      </w:pPr>
      <w:r w:rsidRPr="00F73920">
        <w:rPr>
          <w:rFonts w:ascii="Arial Narrow" w:hAnsi="Arial Narrow"/>
          <w:lang w:val="bg-BG" w:eastAsia="bg-BG"/>
        </w:rPr>
        <w:t>През 2024 г. се изпълнява двукратна орална ваксинация срещу болестта бяс по лисиците чрез орални примамки.</w:t>
      </w:r>
    </w:p>
    <w:p w14:paraId="5B6B0757" w14:textId="77777777" w:rsidR="00F73920" w:rsidRPr="00F852C3" w:rsidRDefault="00F73920" w:rsidP="00F852C3">
      <w:pPr>
        <w:spacing w:after="120"/>
        <w:ind w:firstLine="709"/>
        <w:jc w:val="both"/>
        <w:rPr>
          <w:rFonts w:ascii="Arial Narrow" w:hAnsi="Arial Narrow"/>
          <w:b/>
          <w:lang w:val="bg-BG" w:eastAsia="bg-BG"/>
        </w:rPr>
      </w:pPr>
      <w:r w:rsidRPr="00F73920">
        <w:rPr>
          <w:rFonts w:ascii="Arial Narrow" w:hAnsi="Arial Narrow"/>
          <w:b/>
          <w:color w:val="FF0000"/>
          <w:lang w:val="bg-BG" w:eastAsia="bg-BG"/>
        </w:rPr>
        <w:tab/>
      </w:r>
      <w:r w:rsidRPr="00F852C3">
        <w:rPr>
          <w:rFonts w:ascii="Arial Narrow" w:hAnsi="Arial Narrow"/>
          <w:b/>
          <w:lang w:val="bg-BG" w:eastAsia="bg-BG"/>
        </w:rPr>
        <w:t>Хуманно отношение към животните</w:t>
      </w:r>
    </w:p>
    <w:p w14:paraId="340568FA" w14:textId="77777777" w:rsidR="00F73920" w:rsidRPr="00F73920" w:rsidRDefault="00F73920" w:rsidP="00F73920">
      <w:pPr>
        <w:spacing w:after="120"/>
        <w:ind w:firstLine="709"/>
        <w:jc w:val="both"/>
        <w:rPr>
          <w:rFonts w:ascii="Arial Narrow" w:hAnsi="Arial Narrow"/>
          <w:lang w:val="bg-BG" w:eastAsia="bg-BG"/>
        </w:rPr>
      </w:pPr>
      <w:r w:rsidRPr="00F73920">
        <w:rPr>
          <w:rFonts w:ascii="Arial Narrow" w:hAnsi="Arial Narrow"/>
          <w:lang w:val="bg-BG" w:eastAsia="bg-BG"/>
        </w:rPr>
        <w:t>Контролът по спазване на изискванията за хуманно отношение към животните се извършва с официални проверки от областните дирекции по безопасност на храните (ОДБХ) на всички етапи на отглеждане на животните, включително и по време на тяхното транспортиране. Проверките за официалния контрол са: планови, периодични, по сигнал, разследващи, последващи и на основание анализ на риска, който се базира на откритите несъответствия при отглеждането на различните видове животни, както и по време на тяхното транспортиране.</w:t>
      </w:r>
    </w:p>
    <w:p w14:paraId="4E990687" w14:textId="77777777" w:rsidR="00F73920" w:rsidRPr="00F73920" w:rsidRDefault="00F73920" w:rsidP="00F73920">
      <w:pPr>
        <w:spacing w:after="120"/>
        <w:ind w:firstLine="709"/>
        <w:jc w:val="both"/>
        <w:rPr>
          <w:rFonts w:ascii="Arial Narrow" w:hAnsi="Arial Narrow"/>
          <w:i/>
          <w:lang w:val="bg-BG" w:eastAsia="bg-BG"/>
        </w:rPr>
      </w:pPr>
      <w:r w:rsidRPr="00F73920">
        <w:rPr>
          <w:rFonts w:ascii="Arial Narrow" w:hAnsi="Arial Narrow"/>
          <w:i/>
          <w:lang w:val="bg-BG" w:eastAsia="bg-BG"/>
        </w:rPr>
        <w:t>Хуманно отношение към животните - животновъдни обекти</w:t>
      </w:r>
    </w:p>
    <w:p w14:paraId="5F9C3C5D" w14:textId="77777777" w:rsidR="00F73920" w:rsidRPr="00F73920" w:rsidRDefault="00F73920" w:rsidP="00F73920">
      <w:pPr>
        <w:spacing w:after="120"/>
        <w:ind w:firstLine="709"/>
        <w:jc w:val="both"/>
        <w:rPr>
          <w:rFonts w:ascii="Arial Narrow" w:hAnsi="Arial Narrow"/>
          <w:lang w:val="bg-BG" w:eastAsia="bg-BG"/>
        </w:rPr>
      </w:pPr>
      <w:r w:rsidRPr="00F73920">
        <w:rPr>
          <w:rFonts w:ascii="Arial Narrow" w:hAnsi="Arial Narrow"/>
          <w:lang w:val="bg-BG" w:eastAsia="bg-BG"/>
        </w:rPr>
        <w:t xml:space="preserve">Всички животновъдни обекти, регистрирани по реда на чл. 137 от Закона за ветеринарномедицинската дейност (както промишлени така и за лични стопанства, вивариуми, събирателни центрове, контролни пунктове, приюти и т.н.), попадат в обхвата на проверките, извършвани с посещение на място в животновъдният обект. </w:t>
      </w:r>
    </w:p>
    <w:p w14:paraId="07C49507" w14:textId="77777777" w:rsidR="00F73920" w:rsidRPr="00F73920" w:rsidRDefault="008242D1" w:rsidP="00F73920">
      <w:pPr>
        <w:keepNext/>
        <w:spacing w:after="120"/>
        <w:jc w:val="both"/>
        <w:rPr>
          <w:rFonts w:ascii="Arial Narrow" w:hAnsi="Arial Narrow"/>
          <w:b/>
          <w:bCs/>
          <w:lang w:val="bg-BG" w:eastAsia="bg-BG"/>
        </w:rPr>
      </w:pPr>
      <w:r>
        <w:rPr>
          <w:rFonts w:ascii="Arial Narrow" w:hAnsi="Arial Narrow"/>
          <w:b/>
          <w:bCs/>
          <w:lang w:val="bg-BG" w:eastAsia="bg-BG"/>
        </w:rPr>
        <w:lastRenderedPageBreak/>
        <w:t>Таблица V.8</w:t>
      </w:r>
      <w:r w:rsidR="00F73920" w:rsidRPr="00F73920">
        <w:rPr>
          <w:rFonts w:ascii="Arial Narrow" w:hAnsi="Arial Narrow"/>
          <w:b/>
          <w:bCs/>
          <w:lang w:val="bg-BG" w:eastAsia="bg-BG"/>
        </w:rPr>
        <w:t xml:space="preserve">. Процент на съответствие за спазване изискванията за хуманно отношение към животните, по сектори през периода 2023 – 2024 г. </w:t>
      </w:r>
    </w:p>
    <w:tbl>
      <w:tblPr>
        <w:tblW w:w="10263" w:type="dxa"/>
        <w:tblLook w:val="04A0" w:firstRow="1" w:lastRow="0" w:firstColumn="1" w:lastColumn="0" w:noHBand="0" w:noVBand="1"/>
      </w:tblPr>
      <w:tblGrid>
        <w:gridCol w:w="1351"/>
        <w:gridCol w:w="636"/>
        <w:gridCol w:w="635"/>
        <w:gridCol w:w="635"/>
        <w:gridCol w:w="640"/>
        <w:gridCol w:w="635"/>
        <w:gridCol w:w="640"/>
        <w:gridCol w:w="635"/>
        <w:gridCol w:w="640"/>
        <w:gridCol w:w="635"/>
        <w:gridCol w:w="640"/>
        <w:gridCol w:w="635"/>
        <w:gridCol w:w="635"/>
        <w:gridCol w:w="635"/>
        <w:gridCol w:w="636"/>
      </w:tblGrid>
      <w:tr w:rsidR="00F73920" w:rsidRPr="00F73920" w14:paraId="473A69E3" w14:textId="77777777" w:rsidTr="0012514D">
        <w:trPr>
          <w:trHeight w:val="769"/>
        </w:trPr>
        <w:tc>
          <w:tcPr>
            <w:tcW w:w="135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B95EDD6" w14:textId="77777777" w:rsidR="00F73920" w:rsidRPr="00F73920" w:rsidRDefault="00F73920" w:rsidP="00F73920">
            <w:pPr>
              <w:jc w:val="center"/>
              <w:rPr>
                <w:rFonts w:ascii="Arial Narrow" w:hAnsi="Arial Narrow" w:cs="Calibri"/>
                <w:b/>
                <w:bCs/>
                <w:sz w:val="18"/>
                <w:szCs w:val="18"/>
                <w:lang w:val="bg-BG"/>
              </w:rPr>
            </w:pPr>
            <w:r w:rsidRPr="00F73920">
              <w:rPr>
                <w:rFonts w:ascii="Arial Narrow" w:hAnsi="Arial Narrow" w:cs="Calibri"/>
                <w:b/>
                <w:bCs/>
                <w:sz w:val="18"/>
                <w:szCs w:val="18"/>
                <w:lang w:val="bg-BG"/>
              </w:rPr>
              <w:t>Категория</w:t>
            </w:r>
          </w:p>
        </w:tc>
        <w:tc>
          <w:tcPr>
            <w:tcW w:w="1221" w:type="dxa"/>
            <w:gridSpan w:val="2"/>
            <w:tcBorders>
              <w:top w:val="single" w:sz="4" w:space="0" w:color="auto"/>
              <w:left w:val="nil"/>
              <w:bottom w:val="single" w:sz="4" w:space="0" w:color="auto"/>
              <w:right w:val="single" w:sz="4" w:space="0" w:color="auto"/>
            </w:tcBorders>
            <w:shd w:val="clear" w:color="auto" w:fill="auto"/>
            <w:vAlign w:val="center"/>
            <w:hideMark/>
          </w:tcPr>
          <w:p w14:paraId="61D1D85F" w14:textId="77777777" w:rsidR="00F73920" w:rsidRPr="00F73920" w:rsidRDefault="00F73920" w:rsidP="00F73920">
            <w:pPr>
              <w:jc w:val="center"/>
              <w:rPr>
                <w:rFonts w:ascii="Arial Narrow" w:hAnsi="Arial Narrow" w:cs="Calibri"/>
                <w:b/>
                <w:bCs/>
                <w:sz w:val="18"/>
                <w:szCs w:val="18"/>
                <w:lang w:val="bg-BG"/>
              </w:rPr>
            </w:pPr>
            <w:r w:rsidRPr="00F73920">
              <w:rPr>
                <w:rFonts w:ascii="Arial Narrow" w:hAnsi="Arial Narrow" w:cs="Calibri"/>
                <w:b/>
                <w:bCs/>
                <w:sz w:val="18"/>
                <w:szCs w:val="18"/>
                <w:lang w:val="bg-BG"/>
              </w:rPr>
              <w:t>Кокошки носачки</w:t>
            </w:r>
          </w:p>
        </w:tc>
        <w:tc>
          <w:tcPr>
            <w:tcW w:w="1377" w:type="dxa"/>
            <w:gridSpan w:val="2"/>
            <w:tcBorders>
              <w:top w:val="single" w:sz="4" w:space="0" w:color="auto"/>
              <w:left w:val="nil"/>
              <w:bottom w:val="single" w:sz="4" w:space="0" w:color="auto"/>
              <w:right w:val="single" w:sz="4" w:space="0" w:color="auto"/>
            </w:tcBorders>
            <w:shd w:val="clear" w:color="auto" w:fill="auto"/>
            <w:vAlign w:val="center"/>
            <w:hideMark/>
          </w:tcPr>
          <w:p w14:paraId="4A66A61A" w14:textId="77777777" w:rsidR="00F73920" w:rsidRPr="00F73920" w:rsidRDefault="00F73920" w:rsidP="00F73920">
            <w:pPr>
              <w:jc w:val="center"/>
              <w:rPr>
                <w:rFonts w:ascii="Arial Narrow" w:hAnsi="Arial Narrow" w:cs="Calibri"/>
                <w:b/>
                <w:bCs/>
                <w:sz w:val="18"/>
                <w:szCs w:val="18"/>
                <w:lang w:val="bg-BG"/>
              </w:rPr>
            </w:pPr>
            <w:r w:rsidRPr="00F73920">
              <w:rPr>
                <w:rFonts w:ascii="Arial Narrow" w:hAnsi="Arial Narrow" w:cs="Calibri"/>
                <w:b/>
                <w:bCs/>
                <w:sz w:val="18"/>
                <w:szCs w:val="18"/>
                <w:lang w:val="bg-BG"/>
              </w:rPr>
              <w:t>Прасета</w:t>
            </w:r>
          </w:p>
        </w:tc>
        <w:tc>
          <w:tcPr>
            <w:tcW w:w="1377" w:type="dxa"/>
            <w:gridSpan w:val="2"/>
            <w:tcBorders>
              <w:top w:val="single" w:sz="4" w:space="0" w:color="auto"/>
              <w:left w:val="nil"/>
              <w:bottom w:val="single" w:sz="4" w:space="0" w:color="auto"/>
              <w:right w:val="single" w:sz="4" w:space="0" w:color="auto"/>
            </w:tcBorders>
            <w:shd w:val="clear" w:color="auto" w:fill="auto"/>
            <w:vAlign w:val="center"/>
            <w:hideMark/>
          </w:tcPr>
          <w:p w14:paraId="5EFF1B5F" w14:textId="77777777" w:rsidR="00F73920" w:rsidRPr="00F73920" w:rsidRDefault="00F73920" w:rsidP="00F73920">
            <w:pPr>
              <w:jc w:val="center"/>
              <w:rPr>
                <w:rFonts w:ascii="Arial Narrow" w:hAnsi="Arial Narrow" w:cs="Calibri"/>
                <w:b/>
                <w:bCs/>
                <w:sz w:val="18"/>
                <w:szCs w:val="18"/>
                <w:lang w:val="bg-BG"/>
              </w:rPr>
            </w:pPr>
            <w:r w:rsidRPr="00F73920">
              <w:rPr>
                <w:rFonts w:ascii="Arial Narrow" w:hAnsi="Arial Narrow" w:cs="Calibri"/>
                <w:b/>
                <w:bCs/>
                <w:sz w:val="18"/>
                <w:szCs w:val="18"/>
                <w:lang w:val="bg-BG"/>
              </w:rPr>
              <w:t>Телета</w:t>
            </w:r>
          </w:p>
        </w:tc>
        <w:tc>
          <w:tcPr>
            <w:tcW w:w="1377" w:type="dxa"/>
            <w:gridSpan w:val="2"/>
            <w:tcBorders>
              <w:top w:val="single" w:sz="4" w:space="0" w:color="auto"/>
              <w:left w:val="nil"/>
              <w:bottom w:val="single" w:sz="4" w:space="0" w:color="auto"/>
              <w:right w:val="single" w:sz="4" w:space="0" w:color="auto"/>
            </w:tcBorders>
            <w:shd w:val="clear" w:color="auto" w:fill="auto"/>
            <w:vAlign w:val="center"/>
            <w:hideMark/>
          </w:tcPr>
          <w:p w14:paraId="7BC9E2E0" w14:textId="77777777" w:rsidR="00F73920" w:rsidRPr="00F73920" w:rsidRDefault="00F73920" w:rsidP="00F73920">
            <w:pPr>
              <w:jc w:val="center"/>
              <w:rPr>
                <w:rFonts w:ascii="Arial Narrow" w:hAnsi="Arial Narrow" w:cs="Calibri"/>
                <w:b/>
                <w:bCs/>
                <w:sz w:val="18"/>
                <w:szCs w:val="18"/>
                <w:lang w:val="bg-BG"/>
              </w:rPr>
            </w:pPr>
            <w:r w:rsidRPr="00F73920">
              <w:rPr>
                <w:rFonts w:ascii="Arial Narrow" w:hAnsi="Arial Narrow" w:cs="Calibri"/>
                <w:b/>
                <w:bCs/>
                <w:sz w:val="18"/>
                <w:szCs w:val="18"/>
                <w:lang w:val="bg-BG"/>
              </w:rPr>
              <w:t>ЕПЖ</w:t>
            </w:r>
          </w:p>
        </w:tc>
        <w:tc>
          <w:tcPr>
            <w:tcW w:w="1377" w:type="dxa"/>
            <w:gridSpan w:val="2"/>
            <w:tcBorders>
              <w:top w:val="single" w:sz="4" w:space="0" w:color="auto"/>
              <w:left w:val="nil"/>
              <w:bottom w:val="single" w:sz="4" w:space="0" w:color="auto"/>
              <w:right w:val="single" w:sz="4" w:space="0" w:color="auto"/>
            </w:tcBorders>
            <w:shd w:val="clear" w:color="auto" w:fill="auto"/>
            <w:vAlign w:val="center"/>
            <w:hideMark/>
          </w:tcPr>
          <w:p w14:paraId="0B11A3A3" w14:textId="77777777" w:rsidR="00F73920" w:rsidRPr="00F73920" w:rsidRDefault="00F73920" w:rsidP="00F73920">
            <w:pPr>
              <w:jc w:val="center"/>
              <w:rPr>
                <w:rFonts w:ascii="Arial Narrow" w:hAnsi="Arial Narrow" w:cs="Calibri"/>
                <w:b/>
                <w:bCs/>
                <w:sz w:val="18"/>
                <w:szCs w:val="18"/>
                <w:lang w:val="bg-BG"/>
              </w:rPr>
            </w:pPr>
            <w:r w:rsidRPr="00F73920">
              <w:rPr>
                <w:rFonts w:ascii="Arial Narrow" w:hAnsi="Arial Narrow" w:cs="Calibri"/>
                <w:b/>
                <w:bCs/>
                <w:sz w:val="18"/>
                <w:szCs w:val="18"/>
                <w:lang w:val="bg-BG"/>
              </w:rPr>
              <w:t>Овце</w:t>
            </w:r>
          </w:p>
        </w:tc>
        <w:tc>
          <w:tcPr>
            <w:tcW w:w="1261" w:type="dxa"/>
            <w:gridSpan w:val="2"/>
            <w:tcBorders>
              <w:top w:val="single" w:sz="4" w:space="0" w:color="auto"/>
              <w:left w:val="nil"/>
              <w:bottom w:val="single" w:sz="4" w:space="0" w:color="auto"/>
              <w:right w:val="single" w:sz="4" w:space="0" w:color="auto"/>
            </w:tcBorders>
            <w:shd w:val="clear" w:color="auto" w:fill="auto"/>
            <w:vAlign w:val="center"/>
            <w:hideMark/>
          </w:tcPr>
          <w:p w14:paraId="3EBF6C39" w14:textId="77777777" w:rsidR="00F73920" w:rsidRPr="00F73920" w:rsidRDefault="00F73920" w:rsidP="00F73920">
            <w:pPr>
              <w:jc w:val="center"/>
              <w:rPr>
                <w:rFonts w:ascii="Arial Narrow" w:hAnsi="Arial Narrow" w:cs="Calibri"/>
                <w:b/>
                <w:bCs/>
                <w:sz w:val="18"/>
                <w:szCs w:val="18"/>
                <w:lang w:val="bg-BG"/>
              </w:rPr>
            </w:pPr>
            <w:r w:rsidRPr="00F73920">
              <w:rPr>
                <w:rFonts w:ascii="Arial Narrow" w:hAnsi="Arial Narrow" w:cs="Calibri"/>
                <w:b/>
                <w:bCs/>
                <w:sz w:val="18"/>
                <w:szCs w:val="18"/>
                <w:lang w:val="bg-BG"/>
              </w:rPr>
              <w:t>Кози</w:t>
            </w:r>
          </w:p>
        </w:tc>
        <w:tc>
          <w:tcPr>
            <w:tcW w:w="1271" w:type="dxa"/>
            <w:gridSpan w:val="2"/>
            <w:tcBorders>
              <w:top w:val="single" w:sz="4" w:space="0" w:color="auto"/>
              <w:left w:val="nil"/>
              <w:bottom w:val="single" w:sz="4" w:space="0" w:color="auto"/>
              <w:right w:val="single" w:sz="4" w:space="0" w:color="auto"/>
            </w:tcBorders>
            <w:shd w:val="clear" w:color="auto" w:fill="auto"/>
            <w:vAlign w:val="center"/>
            <w:hideMark/>
          </w:tcPr>
          <w:p w14:paraId="50A78F89" w14:textId="77777777" w:rsidR="00F73920" w:rsidRPr="00F73920" w:rsidRDefault="00F73920" w:rsidP="00F73920">
            <w:pPr>
              <w:jc w:val="center"/>
              <w:rPr>
                <w:rFonts w:ascii="Arial Narrow" w:hAnsi="Arial Narrow" w:cs="Calibri"/>
                <w:b/>
                <w:bCs/>
                <w:sz w:val="18"/>
                <w:szCs w:val="18"/>
                <w:lang w:val="bg-BG"/>
              </w:rPr>
            </w:pPr>
            <w:r w:rsidRPr="00F73920">
              <w:rPr>
                <w:rFonts w:ascii="Arial Narrow" w:hAnsi="Arial Narrow" w:cs="Calibri"/>
                <w:b/>
                <w:bCs/>
                <w:sz w:val="18"/>
                <w:szCs w:val="18"/>
                <w:lang w:val="bg-BG"/>
              </w:rPr>
              <w:t>Патици</w:t>
            </w:r>
          </w:p>
        </w:tc>
      </w:tr>
      <w:tr w:rsidR="00F73920" w:rsidRPr="00F73920" w14:paraId="6495D68E" w14:textId="77777777" w:rsidTr="0012514D">
        <w:trPr>
          <w:trHeight w:val="458"/>
        </w:trPr>
        <w:tc>
          <w:tcPr>
            <w:tcW w:w="1350" w:type="dxa"/>
            <w:vMerge/>
            <w:tcBorders>
              <w:top w:val="single" w:sz="4" w:space="0" w:color="auto"/>
              <w:left w:val="single" w:sz="4" w:space="0" w:color="auto"/>
              <w:bottom w:val="single" w:sz="4" w:space="0" w:color="000000"/>
              <w:right w:val="single" w:sz="4" w:space="0" w:color="auto"/>
            </w:tcBorders>
            <w:vAlign w:val="center"/>
            <w:hideMark/>
          </w:tcPr>
          <w:p w14:paraId="26FD119E" w14:textId="77777777" w:rsidR="00F73920" w:rsidRPr="00F73920" w:rsidRDefault="00F73920" w:rsidP="00F73920">
            <w:pPr>
              <w:rPr>
                <w:rFonts w:ascii="Arial Narrow" w:hAnsi="Arial Narrow" w:cs="Calibri"/>
                <w:b/>
                <w:bCs/>
                <w:sz w:val="18"/>
                <w:szCs w:val="18"/>
                <w:lang w:val="bg-BG"/>
              </w:rPr>
            </w:pPr>
          </w:p>
        </w:tc>
        <w:tc>
          <w:tcPr>
            <w:tcW w:w="635" w:type="dxa"/>
            <w:tcBorders>
              <w:top w:val="nil"/>
              <w:left w:val="nil"/>
              <w:bottom w:val="single" w:sz="4" w:space="0" w:color="auto"/>
              <w:right w:val="single" w:sz="4" w:space="0" w:color="auto"/>
            </w:tcBorders>
            <w:shd w:val="clear" w:color="auto" w:fill="auto"/>
            <w:vAlign w:val="center"/>
            <w:hideMark/>
          </w:tcPr>
          <w:p w14:paraId="5599A04E" w14:textId="77777777" w:rsidR="00F73920" w:rsidRPr="00F73920" w:rsidRDefault="00F73920" w:rsidP="00F73920">
            <w:pPr>
              <w:jc w:val="center"/>
              <w:rPr>
                <w:rFonts w:ascii="Arial Narrow" w:hAnsi="Arial Narrow" w:cs="Calibri"/>
                <w:b/>
                <w:bCs/>
                <w:sz w:val="18"/>
                <w:szCs w:val="18"/>
                <w:lang w:val="bg-BG"/>
              </w:rPr>
            </w:pPr>
            <w:r w:rsidRPr="00F73920">
              <w:rPr>
                <w:rFonts w:ascii="Arial Narrow" w:hAnsi="Arial Narrow" w:cs="Calibri"/>
                <w:b/>
                <w:bCs/>
                <w:sz w:val="18"/>
                <w:szCs w:val="18"/>
                <w:lang w:val="bg-BG"/>
              </w:rPr>
              <w:t>2023</w:t>
            </w:r>
          </w:p>
        </w:tc>
        <w:tc>
          <w:tcPr>
            <w:tcW w:w="586" w:type="dxa"/>
            <w:tcBorders>
              <w:top w:val="nil"/>
              <w:left w:val="nil"/>
              <w:bottom w:val="single" w:sz="4" w:space="0" w:color="auto"/>
              <w:right w:val="single" w:sz="4" w:space="0" w:color="auto"/>
            </w:tcBorders>
            <w:shd w:val="clear" w:color="auto" w:fill="auto"/>
            <w:vAlign w:val="center"/>
            <w:hideMark/>
          </w:tcPr>
          <w:p w14:paraId="01A7BC3D" w14:textId="77777777" w:rsidR="00F73920" w:rsidRPr="00F73920" w:rsidRDefault="00F73920" w:rsidP="00F73920">
            <w:pPr>
              <w:jc w:val="center"/>
              <w:rPr>
                <w:rFonts w:ascii="Arial Narrow" w:hAnsi="Arial Narrow" w:cs="Calibri"/>
                <w:b/>
                <w:bCs/>
                <w:sz w:val="18"/>
                <w:szCs w:val="18"/>
                <w:lang w:val="bg-BG"/>
              </w:rPr>
            </w:pPr>
            <w:r w:rsidRPr="00F73920">
              <w:rPr>
                <w:rFonts w:ascii="Arial Narrow" w:hAnsi="Arial Narrow" w:cs="Calibri"/>
                <w:b/>
                <w:bCs/>
                <w:sz w:val="18"/>
                <w:szCs w:val="18"/>
                <w:lang w:val="bg-BG"/>
              </w:rPr>
              <w:t>2024</w:t>
            </w:r>
          </w:p>
        </w:tc>
        <w:tc>
          <w:tcPr>
            <w:tcW w:w="635" w:type="dxa"/>
            <w:tcBorders>
              <w:top w:val="nil"/>
              <w:left w:val="nil"/>
              <w:bottom w:val="single" w:sz="4" w:space="0" w:color="auto"/>
              <w:right w:val="single" w:sz="4" w:space="0" w:color="auto"/>
            </w:tcBorders>
            <w:shd w:val="clear" w:color="auto" w:fill="auto"/>
            <w:vAlign w:val="center"/>
            <w:hideMark/>
          </w:tcPr>
          <w:p w14:paraId="1AED12DB" w14:textId="77777777" w:rsidR="00F73920" w:rsidRPr="00F73920" w:rsidRDefault="00F73920" w:rsidP="00F73920">
            <w:pPr>
              <w:jc w:val="center"/>
              <w:rPr>
                <w:rFonts w:ascii="Arial Narrow" w:hAnsi="Arial Narrow" w:cs="Calibri"/>
                <w:b/>
                <w:bCs/>
                <w:sz w:val="18"/>
                <w:szCs w:val="18"/>
                <w:lang w:val="bg-BG"/>
              </w:rPr>
            </w:pPr>
            <w:r w:rsidRPr="00F73920">
              <w:rPr>
                <w:rFonts w:ascii="Arial Narrow" w:hAnsi="Arial Narrow" w:cs="Calibri"/>
                <w:b/>
                <w:bCs/>
                <w:sz w:val="18"/>
                <w:szCs w:val="18"/>
                <w:lang w:val="bg-BG"/>
              </w:rPr>
              <w:t>2023</w:t>
            </w:r>
          </w:p>
        </w:tc>
        <w:tc>
          <w:tcPr>
            <w:tcW w:w="742" w:type="dxa"/>
            <w:tcBorders>
              <w:top w:val="nil"/>
              <w:left w:val="nil"/>
              <w:bottom w:val="single" w:sz="4" w:space="0" w:color="auto"/>
              <w:right w:val="single" w:sz="4" w:space="0" w:color="auto"/>
            </w:tcBorders>
            <w:shd w:val="clear" w:color="auto" w:fill="auto"/>
            <w:vAlign w:val="center"/>
            <w:hideMark/>
          </w:tcPr>
          <w:p w14:paraId="13F912DC" w14:textId="77777777" w:rsidR="00F73920" w:rsidRPr="00F73920" w:rsidRDefault="00F73920" w:rsidP="00F73920">
            <w:pPr>
              <w:jc w:val="center"/>
              <w:rPr>
                <w:rFonts w:ascii="Arial Narrow" w:hAnsi="Arial Narrow" w:cs="Calibri"/>
                <w:b/>
                <w:bCs/>
                <w:sz w:val="18"/>
                <w:szCs w:val="18"/>
                <w:lang w:val="bg-BG"/>
              </w:rPr>
            </w:pPr>
            <w:r w:rsidRPr="00F73920">
              <w:rPr>
                <w:rFonts w:ascii="Arial Narrow" w:hAnsi="Arial Narrow" w:cs="Calibri"/>
                <w:b/>
                <w:bCs/>
                <w:sz w:val="18"/>
                <w:szCs w:val="18"/>
                <w:lang w:val="bg-BG"/>
              </w:rPr>
              <w:t>2024</w:t>
            </w:r>
          </w:p>
        </w:tc>
        <w:tc>
          <w:tcPr>
            <w:tcW w:w="635" w:type="dxa"/>
            <w:tcBorders>
              <w:top w:val="nil"/>
              <w:left w:val="nil"/>
              <w:bottom w:val="single" w:sz="4" w:space="0" w:color="auto"/>
              <w:right w:val="single" w:sz="4" w:space="0" w:color="auto"/>
            </w:tcBorders>
            <w:shd w:val="clear" w:color="auto" w:fill="auto"/>
            <w:vAlign w:val="center"/>
            <w:hideMark/>
          </w:tcPr>
          <w:p w14:paraId="555542D9" w14:textId="77777777" w:rsidR="00F73920" w:rsidRPr="00F73920" w:rsidRDefault="00F73920" w:rsidP="00F73920">
            <w:pPr>
              <w:jc w:val="center"/>
              <w:rPr>
                <w:rFonts w:ascii="Arial Narrow" w:hAnsi="Arial Narrow" w:cs="Calibri"/>
                <w:b/>
                <w:bCs/>
                <w:sz w:val="18"/>
                <w:szCs w:val="18"/>
                <w:lang w:val="bg-BG"/>
              </w:rPr>
            </w:pPr>
            <w:r w:rsidRPr="00F73920">
              <w:rPr>
                <w:rFonts w:ascii="Arial Narrow" w:hAnsi="Arial Narrow" w:cs="Calibri"/>
                <w:b/>
                <w:bCs/>
                <w:sz w:val="18"/>
                <w:szCs w:val="18"/>
                <w:lang w:val="bg-BG"/>
              </w:rPr>
              <w:t>2023</w:t>
            </w:r>
          </w:p>
        </w:tc>
        <w:tc>
          <w:tcPr>
            <w:tcW w:w="742" w:type="dxa"/>
            <w:tcBorders>
              <w:top w:val="nil"/>
              <w:left w:val="nil"/>
              <w:bottom w:val="single" w:sz="4" w:space="0" w:color="auto"/>
              <w:right w:val="single" w:sz="4" w:space="0" w:color="auto"/>
            </w:tcBorders>
            <w:shd w:val="clear" w:color="auto" w:fill="auto"/>
            <w:vAlign w:val="center"/>
            <w:hideMark/>
          </w:tcPr>
          <w:p w14:paraId="42F25483" w14:textId="77777777" w:rsidR="00F73920" w:rsidRPr="00F73920" w:rsidRDefault="00F73920" w:rsidP="00F73920">
            <w:pPr>
              <w:jc w:val="center"/>
              <w:rPr>
                <w:rFonts w:ascii="Arial Narrow" w:hAnsi="Arial Narrow" w:cs="Calibri"/>
                <w:b/>
                <w:bCs/>
                <w:sz w:val="18"/>
                <w:szCs w:val="18"/>
                <w:lang w:val="bg-BG"/>
              </w:rPr>
            </w:pPr>
            <w:r w:rsidRPr="00F73920">
              <w:rPr>
                <w:rFonts w:ascii="Arial Narrow" w:hAnsi="Arial Narrow" w:cs="Calibri"/>
                <w:b/>
                <w:bCs/>
                <w:sz w:val="18"/>
                <w:szCs w:val="18"/>
                <w:lang w:val="bg-BG"/>
              </w:rPr>
              <w:t>2024</w:t>
            </w:r>
          </w:p>
        </w:tc>
        <w:tc>
          <w:tcPr>
            <w:tcW w:w="635" w:type="dxa"/>
            <w:tcBorders>
              <w:top w:val="nil"/>
              <w:left w:val="nil"/>
              <w:bottom w:val="single" w:sz="4" w:space="0" w:color="auto"/>
              <w:right w:val="single" w:sz="4" w:space="0" w:color="auto"/>
            </w:tcBorders>
            <w:shd w:val="clear" w:color="auto" w:fill="auto"/>
            <w:vAlign w:val="center"/>
            <w:hideMark/>
          </w:tcPr>
          <w:p w14:paraId="65A1074B" w14:textId="77777777" w:rsidR="00F73920" w:rsidRPr="00F73920" w:rsidRDefault="00F73920" w:rsidP="00F73920">
            <w:pPr>
              <w:jc w:val="center"/>
              <w:rPr>
                <w:rFonts w:ascii="Arial Narrow" w:hAnsi="Arial Narrow" w:cs="Calibri"/>
                <w:b/>
                <w:bCs/>
                <w:sz w:val="18"/>
                <w:szCs w:val="18"/>
                <w:lang w:val="bg-BG"/>
              </w:rPr>
            </w:pPr>
            <w:r w:rsidRPr="00F73920">
              <w:rPr>
                <w:rFonts w:ascii="Arial Narrow" w:hAnsi="Arial Narrow" w:cs="Calibri"/>
                <w:b/>
                <w:bCs/>
                <w:sz w:val="18"/>
                <w:szCs w:val="18"/>
                <w:lang w:val="bg-BG"/>
              </w:rPr>
              <w:t>2023</w:t>
            </w:r>
          </w:p>
        </w:tc>
        <w:tc>
          <w:tcPr>
            <w:tcW w:w="742" w:type="dxa"/>
            <w:tcBorders>
              <w:top w:val="nil"/>
              <w:left w:val="nil"/>
              <w:bottom w:val="single" w:sz="4" w:space="0" w:color="auto"/>
              <w:right w:val="single" w:sz="4" w:space="0" w:color="auto"/>
            </w:tcBorders>
            <w:shd w:val="clear" w:color="auto" w:fill="auto"/>
            <w:vAlign w:val="center"/>
            <w:hideMark/>
          </w:tcPr>
          <w:p w14:paraId="6DA1C30D" w14:textId="77777777" w:rsidR="00F73920" w:rsidRPr="00F73920" w:rsidRDefault="00F73920" w:rsidP="00F73920">
            <w:pPr>
              <w:jc w:val="center"/>
              <w:rPr>
                <w:rFonts w:ascii="Arial Narrow" w:hAnsi="Arial Narrow" w:cs="Calibri"/>
                <w:b/>
                <w:bCs/>
                <w:sz w:val="18"/>
                <w:szCs w:val="18"/>
                <w:lang w:val="bg-BG"/>
              </w:rPr>
            </w:pPr>
            <w:r w:rsidRPr="00F73920">
              <w:rPr>
                <w:rFonts w:ascii="Arial Narrow" w:hAnsi="Arial Narrow" w:cs="Calibri"/>
                <w:b/>
                <w:bCs/>
                <w:sz w:val="18"/>
                <w:szCs w:val="18"/>
                <w:lang w:val="bg-BG"/>
              </w:rPr>
              <w:t>2024</w:t>
            </w:r>
          </w:p>
        </w:tc>
        <w:tc>
          <w:tcPr>
            <w:tcW w:w="635" w:type="dxa"/>
            <w:tcBorders>
              <w:top w:val="nil"/>
              <w:left w:val="nil"/>
              <w:bottom w:val="single" w:sz="4" w:space="0" w:color="auto"/>
              <w:right w:val="single" w:sz="4" w:space="0" w:color="auto"/>
            </w:tcBorders>
            <w:shd w:val="clear" w:color="auto" w:fill="auto"/>
            <w:vAlign w:val="center"/>
            <w:hideMark/>
          </w:tcPr>
          <w:p w14:paraId="71C4BEC2" w14:textId="77777777" w:rsidR="00F73920" w:rsidRPr="00F73920" w:rsidRDefault="00F73920" w:rsidP="00F73920">
            <w:pPr>
              <w:jc w:val="center"/>
              <w:rPr>
                <w:rFonts w:ascii="Arial Narrow" w:hAnsi="Arial Narrow" w:cs="Calibri"/>
                <w:b/>
                <w:bCs/>
                <w:sz w:val="18"/>
                <w:szCs w:val="18"/>
                <w:lang w:val="bg-BG"/>
              </w:rPr>
            </w:pPr>
            <w:r w:rsidRPr="00F73920">
              <w:rPr>
                <w:rFonts w:ascii="Arial Narrow" w:hAnsi="Arial Narrow" w:cs="Calibri"/>
                <w:b/>
                <w:bCs/>
                <w:sz w:val="18"/>
                <w:szCs w:val="18"/>
                <w:lang w:val="bg-BG"/>
              </w:rPr>
              <w:t>2023</w:t>
            </w:r>
          </w:p>
        </w:tc>
        <w:tc>
          <w:tcPr>
            <w:tcW w:w="742" w:type="dxa"/>
            <w:tcBorders>
              <w:top w:val="nil"/>
              <w:left w:val="nil"/>
              <w:bottom w:val="single" w:sz="4" w:space="0" w:color="auto"/>
              <w:right w:val="single" w:sz="4" w:space="0" w:color="auto"/>
            </w:tcBorders>
            <w:shd w:val="clear" w:color="auto" w:fill="auto"/>
            <w:vAlign w:val="center"/>
            <w:hideMark/>
          </w:tcPr>
          <w:p w14:paraId="23D70E31" w14:textId="77777777" w:rsidR="00F73920" w:rsidRPr="00F73920" w:rsidRDefault="00F73920" w:rsidP="00F73920">
            <w:pPr>
              <w:jc w:val="center"/>
              <w:rPr>
                <w:rFonts w:ascii="Arial Narrow" w:hAnsi="Arial Narrow" w:cs="Calibri"/>
                <w:b/>
                <w:bCs/>
                <w:sz w:val="18"/>
                <w:szCs w:val="18"/>
                <w:lang w:val="bg-BG"/>
              </w:rPr>
            </w:pPr>
            <w:r w:rsidRPr="00F73920">
              <w:rPr>
                <w:rFonts w:ascii="Arial Narrow" w:hAnsi="Arial Narrow" w:cs="Calibri"/>
                <w:b/>
                <w:bCs/>
                <w:sz w:val="18"/>
                <w:szCs w:val="18"/>
                <w:lang w:val="bg-BG"/>
              </w:rPr>
              <w:t>2024</w:t>
            </w:r>
          </w:p>
        </w:tc>
        <w:tc>
          <w:tcPr>
            <w:tcW w:w="635" w:type="dxa"/>
            <w:tcBorders>
              <w:top w:val="nil"/>
              <w:left w:val="nil"/>
              <w:bottom w:val="single" w:sz="4" w:space="0" w:color="auto"/>
              <w:right w:val="single" w:sz="4" w:space="0" w:color="auto"/>
            </w:tcBorders>
            <w:shd w:val="clear" w:color="auto" w:fill="auto"/>
            <w:vAlign w:val="center"/>
            <w:hideMark/>
          </w:tcPr>
          <w:p w14:paraId="0C482F11" w14:textId="77777777" w:rsidR="00F73920" w:rsidRPr="00F73920" w:rsidRDefault="00F73920" w:rsidP="00F73920">
            <w:pPr>
              <w:jc w:val="center"/>
              <w:rPr>
                <w:rFonts w:ascii="Arial Narrow" w:hAnsi="Arial Narrow" w:cs="Calibri"/>
                <w:b/>
                <w:bCs/>
                <w:sz w:val="18"/>
                <w:szCs w:val="18"/>
                <w:lang w:val="bg-BG"/>
              </w:rPr>
            </w:pPr>
            <w:r w:rsidRPr="00F73920">
              <w:rPr>
                <w:rFonts w:ascii="Arial Narrow" w:hAnsi="Arial Narrow" w:cs="Calibri"/>
                <w:b/>
                <w:bCs/>
                <w:sz w:val="18"/>
                <w:szCs w:val="18"/>
                <w:lang w:val="bg-BG"/>
              </w:rPr>
              <w:t>2023</w:t>
            </w:r>
          </w:p>
        </w:tc>
        <w:tc>
          <w:tcPr>
            <w:tcW w:w="626" w:type="dxa"/>
            <w:tcBorders>
              <w:top w:val="nil"/>
              <w:left w:val="nil"/>
              <w:bottom w:val="single" w:sz="4" w:space="0" w:color="auto"/>
              <w:right w:val="single" w:sz="4" w:space="0" w:color="auto"/>
            </w:tcBorders>
            <w:shd w:val="clear" w:color="auto" w:fill="auto"/>
            <w:vAlign w:val="center"/>
            <w:hideMark/>
          </w:tcPr>
          <w:p w14:paraId="48425AAB" w14:textId="77777777" w:rsidR="00F73920" w:rsidRPr="00F73920" w:rsidRDefault="00F73920" w:rsidP="00F73920">
            <w:pPr>
              <w:jc w:val="center"/>
              <w:rPr>
                <w:rFonts w:ascii="Arial Narrow" w:hAnsi="Arial Narrow" w:cs="Calibri"/>
                <w:b/>
                <w:bCs/>
                <w:sz w:val="18"/>
                <w:szCs w:val="18"/>
                <w:lang w:val="bg-BG"/>
              </w:rPr>
            </w:pPr>
            <w:r w:rsidRPr="00F73920">
              <w:rPr>
                <w:rFonts w:ascii="Arial Narrow" w:hAnsi="Arial Narrow" w:cs="Calibri"/>
                <w:b/>
                <w:bCs/>
                <w:sz w:val="18"/>
                <w:szCs w:val="18"/>
                <w:lang w:val="bg-BG"/>
              </w:rPr>
              <w:t>2024</w:t>
            </w:r>
          </w:p>
        </w:tc>
        <w:tc>
          <w:tcPr>
            <w:tcW w:w="635" w:type="dxa"/>
            <w:tcBorders>
              <w:top w:val="nil"/>
              <w:left w:val="nil"/>
              <w:bottom w:val="single" w:sz="4" w:space="0" w:color="auto"/>
              <w:right w:val="single" w:sz="4" w:space="0" w:color="auto"/>
            </w:tcBorders>
            <w:shd w:val="clear" w:color="auto" w:fill="auto"/>
            <w:vAlign w:val="center"/>
            <w:hideMark/>
          </w:tcPr>
          <w:p w14:paraId="349D3481" w14:textId="77777777" w:rsidR="00F73920" w:rsidRPr="00F73920" w:rsidRDefault="00F73920" w:rsidP="00F73920">
            <w:pPr>
              <w:jc w:val="right"/>
              <w:rPr>
                <w:rFonts w:ascii="Arial Narrow" w:hAnsi="Arial Narrow" w:cs="Calibri"/>
                <w:b/>
                <w:bCs/>
                <w:sz w:val="18"/>
                <w:szCs w:val="18"/>
                <w:lang w:val="bg-BG"/>
              </w:rPr>
            </w:pPr>
            <w:r w:rsidRPr="00F73920">
              <w:rPr>
                <w:rFonts w:ascii="Arial Narrow" w:hAnsi="Arial Narrow" w:cs="Calibri"/>
                <w:b/>
                <w:bCs/>
                <w:sz w:val="18"/>
                <w:szCs w:val="18"/>
                <w:lang w:val="bg-BG"/>
              </w:rPr>
              <w:t>2023</w:t>
            </w:r>
          </w:p>
        </w:tc>
        <w:tc>
          <w:tcPr>
            <w:tcW w:w="636" w:type="dxa"/>
            <w:tcBorders>
              <w:top w:val="nil"/>
              <w:left w:val="nil"/>
              <w:bottom w:val="single" w:sz="4" w:space="0" w:color="auto"/>
              <w:right w:val="single" w:sz="4" w:space="0" w:color="auto"/>
            </w:tcBorders>
            <w:shd w:val="clear" w:color="auto" w:fill="auto"/>
            <w:noWrap/>
            <w:vAlign w:val="center"/>
            <w:hideMark/>
          </w:tcPr>
          <w:p w14:paraId="0DF3FF4D" w14:textId="77777777" w:rsidR="00F73920" w:rsidRPr="00F73920" w:rsidRDefault="00F73920" w:rsidP="00F73920">
            <w:pPr>
              <w:jc w:val="right"/>
              <w:rPr>
                <w:rFonts w:ascii="Arial Narrow" w:hAnsi="Arial Narrow" w:cs="Calibri"/>
                <w:b/>
                <w:bCs/>
                <w:sz w:val="18"/>
                <w:szCs w:val="18"/>
                <w:lang w:val="bg-BG"/>
              </w:rPr>
            </w:pPr>
            <w:r w:rsidRPr="00F73920">
              <w:rPr>
                <w:rFonts w:ascii="Arial Narrow" w:hAnsi="Arial Narrow" w:cs="Calibri"/>
                <w:b/>
                <w:bCs/>
                <w:sz w:val="18"/>
                <w:szCs w:val="18"/>
                <w:lang w:val="bg-BG"/>
              </w:rPr>
              <w:t>2024</w:t>
            </w:r>
          </w:p>
        </w:tc>
      </w:tr>
      <w:tr w:rsidR="00F73920" w:rsidRPr="00F73920" w14:paraId="1EB5ABCA" w14:textId="77777777" w:rsidTr="0012514D">
        <w:trPr>
          <w:trHeight w:val="769"/>
        </w:trPr>
        <w:tc>
          <w:tcPr>
            <w:tcW w:w="1350" w:type="dxa"/>
            <w:tcBorders>
              <w:top w:val="nil"/>
              <w:left w:val="single" w:sz="4" w:space="0" w:color="auto"/>
              <w:bottom w:val="single" w:sz="4" w:space="0" w:color="auto"/>
              <w:right w:val="single" w:sz="4" w:space="0" w:color="auto"/>
            </w:tcBorders>
            <w:shd w:val="clear" w:color="auto" w:fill="auto"/>
            <w:vAlign w:val="center"/>
            <w:hideMark/>
          </w:tcPr>
          <w:p w14:paraId="6354FE85" w14:textId="77777777" w:rsidR="00F73920" w:rsidRPr="00F73920" w:rsidRDefault="00F73920" w:rsidP="00F73920">
            <w:pPr>
              <w:rPr>
                <w:rFonts w:ascii="Arial Narrow" w:hAnsi="Arial Narrow" w:cs="Calibri"/>
                <w:sz w:val="18"/>
                <w:szCs w:val="18"/>
                <w:lang w:val="bg-BG"/>
              </w:rPr>
            </w:pPr>
            <w:r w:rsidRPr="00F73920">
              <w:rPr>
                <w:rFonts w:ascii="Arial Narrow" w:hAnsi="Arial Narrow" w:cs="Calibri"/>
                <w:sz w:val="18"/>
                <w:szCs w:val="18"/>
                <w:lang w:val="bg-BG"/>
              </w:rPr>
              <w:t>Инспектирани производствени обекти - брой</w:t>
            </w:r>
          </w:p>
        </w:tc>
        <w:tc>
          <w:tcPr>
            <w:tcW w:w="635" w:type="dxa"/>
            <w:tcBorders>
              <w:top w:val="nil"/>
              <w:left w:val="nil"/>
              <w:bottom w:val="single" w:sz="4" w:space="0" w:color="auto"/>
              <w:right w:val="single" w:sz="4" w:space="0" w:color="auto"/>
            </w:tcBorders>
            <w:shd w:val="clear" w:color="auto" w:fill="auto"/>
            <w:vAlign w:val="center"/>
            <w:hideMark/>
          </w:tcPr>
          <w:p w14:paraId="4EB51499" w14:textId="77777777" w:rsidR="00F73920" w:rsidRPr="00F73920" w:rsidRDefault="00F73920" w:rsidP="00F73920">
            <w:pPr>
              <w:spacing w:after="200" w:line="276" w:lineRule="auto"/>
              <w:jc w:val="center"/>
              <w:rPr>
                <w:rFonts w:ascii="Arial Narrow" w:eastAsia="Calibri" w:hAnsi="Arial Narrow" w:cs="Calibri"/>
                <w:sz w:val="18"/>
                <w:szCs w:val="18"/>
                <w:lang w:val="bg-BG"/>
              </w:rPr>
            </w:pPr>
            <w:r w:rsidRPr="00F73920">
              <w:rPr>
                <w:rFonts w:ascii="Arial Narrow" w:eastAsia="Calibri" w:hAnsi="Arial Narrow" w:cs="Calibri"/>
                <w:sz w:val="18"/>
                <w:szCs w:val="18"/>
                <w:lang w:val="bg-BG"/>
              </w:rPr>
              <w:t>231</w:t>
            </w:r>
          </w:p>
        </w:tc>
        <w:tc>
          <w:tcPr>
            <w:tcW w:w="586" w:type="dxa"/>
            <w:tcBorders>
              <w:top w:val="single" w:sz="4" w:space="0" w:color="auto"/>
              <w:left w:val="single" w:sz="4" w:space="0" w:color="auto"/>
              <w:bottom w:val="single" w:sz="4" w:space="0" w:color="auto"/>
              <w:right w:val="single" w:sz="4" w:space="0" w:color="auto"/>
            </w:tcBorders>
            <w:vAlign w:val="center"/>
          </w:tcPr>
          <w:p w14:paraId="13E41B16" w14:textId="77777777" w:rsidR="00F73920" w:rsidRPr="00F73920" w:rsidRDefault="00F73920" w:rsidP="00F73920">
            <w:pPr>
              <w:spacing w:after="200" w:line="276" w:lineRule="auto"/>
              <w:jc w:val="center"/>
              <w:rPr>
                <w:rFonts w:ascii="Arial Narrow" w:eastAsia="Calibri" w:hAnsi="Arial Narrow" w:cs="Calibri"/>
                <w:sz w:val="18"/>
                <w:szCs w:val="18"/>
                <w:lang w:val="bg-BG"/>
              </w:rPr>
            </w:pPr>
            <w:r w:rsidRPr="00F73920">
              <w:rPr>
                <w:rFonts w:ascii="Arial Narrow" w:eastAsia="Calibri" w:hAnsi="Arial Narrow" w:cs="Calibri"/>
                <w:sz w:val="18"/>
                <w:szCs w:val="18"/>
                <w:lang w:val="bg-BG"/>
              </w:rPr>
              <w:t>293</w:t>
            </w:r>
          </w:p>
        </w:tc>
        <w:tc>
          <w:tcPr>
            <w:tcW w:w="635" w:type="dxa"/>
            <w:tcBorders>
              <w:top w:val="nil"/>
              <w:left w:val="nil"/>
              <w:bottom w:val="single" w:sz="4" w:space="0" w:color="auto"/>
              <w:right w:val="single" w:sz="4" w:space="0" w:color="auto"/>
            </w:tcBorders>
            <w:shd w:val="clear" w:color="auto" w:fill="auto"/>
            <w:vAlign w:val="center"/>
            <w:hideMark/>
          </w:tcPr>
          <w:p w14:paraId="30EFC4E1" w14:textId="77777777" w:rsidR="00F73920" w:rsidRPr="00F73920" w:rsidRDefault="00F73920" w:rsidP="00F73920">
            <w:pPr>
              <w:spacing w:after="200" w:line="276" w:lineRule="auto"/>
              <w:jc w:val="center"/>
              <w:rPr>
                <w:rFonts w:ascii="Arial Narrow" w:eastAsia="Calibri" w:hAnsi="Arial Narrow" w:cs="Calibri"/>
                <w:sz w:val="18"/>
                <w:szCs w:val="18"/>
                <w:lang w:val="bg-BG"/>
              </w:rPr>
            </w:pPr>
            <w:r w:rsidRPr="00F73920">
              <w:rPr>
                <w:rFonts w:ascii="Arial Narrow" w:eastAsia="Calibri" w:hAnsi="Arial Narrow" w:cs="Calibri"/>
                <w:sz w:val="18"/>
                <w:szCs w:val="18"/>
                <w:lang w:val="bg-BG"/>
              </w:rPr>
              <w:t>333</w:t>
            </w:r>
          </w:p>
        </w:tc>
        <w:tc>
          <w:tcPr>
            <w:tcW w:w="742" w:type="dxa"/>
            <w:tcBorders>
              <w:top w:val="single" w:sz="4" w:space="0" w:color="auto"/>
              <w:left w:val="single" w:sz="4" w:space="0" w:color="auto"/>
              <w:bottom w:val="single" w:sz="4" w:space="0" w:color="auto"/>
              <w:right w:val="single" w:sz="4" w:space="0" w:color="auto"/>
            </w:tcBorders>
            <w:vAlign w:val="center"/>
          </w:tcPr>
          <w:p w14:paraId="7960B3D1" w14:textId="77777777" w:rsidR="00F73920" w:rsidRPr="00F73920" w:rsidRDefault="00F73920" w:rsidP="00F73920">
            <w:pPr>
              <w:spacing w:after="200" w:line="276" w:lineRule="auto"/>
              <w:jc w:val="center"/>
              <w:rPr>
                <w:rFonts w:ascii="Arial Narrow" w:eastAsia="Calibri" w:hAnsi="Arial Narrow" w:cs="Calibri"/>
                <w:sz w:val="18"/>
                <w:szCs w:val="18"/>
                <w:lang w:val="bg-BG"/>
              </w:rPr>
            </w:pPr>
            <w:r w:rsidRPr="00F73920">
              <w:rPr>
                <w:rFonts w:ascii="Arial Narrow" w:eastAsia="Calibri" w:hAnsi="Arial Narrow" w:cs="Calibri"/>
                <w:sz w:val="18"/>
                <w:szCs w:val="18"/>
                <w:lang w:val="bg-BG"/>
              </w:rPr>
              <w:t>335</w:t>
            </w:r>
          </w:p>
        </w:tc>
        <w:tc>
          <w:tcPr>
            <w:tcW w:w="635" w:type="dxa"/>
            <w:tcBorders>
              <w:top w:val="nil"/>
              <w:left w:val="nil"/>
              <w:bottom w:val="single" w:sz="4" w:space="0" w:color="auto"/>
              <w:right w:val="single" w:sz="4" w:space="0" w:color="auto"/>
            </w:tcBorders>
            <w:shd w:val="clear" w:color="auto" w:fill="auto"/>
            <w:vAlign w:val="center"/>
            <w:hideMark/>
          </w:tcPr>
          <w:p w14:paraId="0DDF4F17" w14:textId="77777777" w:rsidR="00F73920" w:rsidRPr="00F73920" w:rsidRDefault="00F73920" w:rsidP="00F73920">
            <w:pPr>
              <w:spacing w:after="200" w:line="276" w:lineRule="auto"/>
              <w:jc w:val="center"/>
              <w:rPr>
                <w:rFonts w:ascii="Arial Narrow" w:eastAsia="Calibri" w:hAnsi="Arial Narrow" w:cs="Calibri"/>
                <w:sz w:val="18"/>
                <w:szCs w:val="18"/>
                <w:lang w:val="bg-BG"/>
              </w:rPr>
            </w:pPr>
            <w:r w:rsidRPr="00F73920">
              <w:rPr>
                <w:rFonts w:ascii="Arial Narrow" w:eastAsia="Calibri" w:hAnsi="Arial Narrow" w:cs="Calibri"/>
                <w:sz w:val="18"/>
                <w:szCs w:val="18"/>
                <w:lang w:val="bg-BG"/>
              </w:rPr>
              <w:t>339</w:t>
            </w:r>
          </w:p>
        </w:tc>
        <w:tc>
          <w:tcPr>
            <w:tcW w:w="742" w:type="dxa"/>
            <w:tcBorders>
              <w:top w:val="single" w:sz="4" w:space="0" w:color="auto"/>
              <w:left w:val="single" w:sz="4" w:space="0" w:color="auto"/>
              <w:bottom w:val="single" w:sz="4" w:space="0" w:color="auto"/>
              <w:right w:val="single" w:sz="4" w:space="0" w:color="auto"/>
            </w:tcBorders>
            <w:vAlign w:val="center"/>
          </w:tcPr>
          <w:p w14:paraId="4AE9EA10" w14:textId="77777777" w:rsidR="00F73920" w:rsidRPr="00F73920" w:rsidRDefault="00F73920" w:rsidP="00F73920">
            <w:pPr>
              <w:spacing w:after="200" w:line="276" w:lineRule="auto"/>
              <w:jc w:val="center"/>
              <w:rPr>
                <w:rFonts w:ascii="Arial Narrow" w:eastAsia="Calibri" w:hAnsi="Arial Narrow" w:cs="Calibri"/>
                <w:sz w:val="18"/>
                <w:szCs w:val="18"/>
                <w:lang w:val="bg-BG"/>
              </w:rPr>
            </w:pPr>
            <w:r w:rsidRPr="00F73920">
              <w:rPr>
                <w:rFonts w:ascii="Arial Narrow" w:eastAsia="Calibri" w:hAnsi="Arial Narrow" w:cs="Calibri"/>
                <w:sz w:val="18"/>
                <w:szCs w:val="18"/>
                <w:lang w:val="bg-BG"/>
              </w:rPr>
              <w:t>457</w:t>
            </w:r>
          </w:p>
        </w:tc>
        <w:tc>
          <w:tcPr>
            <w:tcW w:w="635" w:type="dxa"/>
            <w:tcBorders>
              <w:top w:val="nil"/>
              <w:left w:val="nil"/>
              <w:bottom w:val="single" w:sz="4" w:space="0" w:color="auto"/>
              <w:right w:val="single" w:sz="4" w:space="0" w:color="auto"/>
            </w:tcBorders>
            <w:shd w:val="clear" w:color="auto" w:fill="auto"/>
            <w:vAlign w:val="center"/>
            <w:hideMark/>
          </w:tcPr>
          <w:p w14:paraId="0AC5574F" w14:textId="77777777" w:rsidR="00F73920" w:rsidRPr="00F73920" w:rsidRDefault="00F73920" w:rsidP="00F73920">
            <w:pPr>
              <w:spacing w:after="200" w:line="276" w:lineRule="auto"/>
              <w:jc w:val="center"/>
              <w:rPr>
                <w:rFonts w:ascii="Arial Narrow" w:eastAsia="Calibri" w:hAnsi="Arial Narrow" w:cs="Calibri"/>
                <w:sz w:val="18"/>
                <w:szCs w:val="18"/>
                <w:lang w:val="bg-BG"/>
              </w:rPr>
            </w:pPr>
            <w:r w:rsidRPr="00F73920">
              <w:rPr>
                <w:rFonts w:ascii="Arial Narrow" w:eastAsia="Calibri" w:hAnsi="Arial Narrow" w:cs="Calibri"/>
                <w:sz w:val="18"/>
                <w:szCs w:val="18"/>
                <w:lang w:val="bg-BG"/>
              </w:rPr>
              <w:t>2 311</w:t>
            </w:r>
          </w:p>
        </w:tc>
        <w:tc>
          <w:tcPr>
            <w:tcW w:w="742" w:type="dxa"/>
            <w:tcBorders>
              <w:top w:val="single" w:sz="4" w:space="0" w:color="auto"/>
              <w:left w:val="single" w:sz="4" w:space="0" w:color="auto"/>
              <w:bottom w:val="single" w:sz="4" w:space="0" w:color="auto"/>
              <w:right w:val="single" w:sz="4" w:space="0" w:color="auto"/>
            </w:tcBorders>
            <w:vAlign w:val="center"/>
          </w:tcPr>
          <w:p w14:paraId="4FB32FF7" w14:textId="77777777" w:rsidR="00F73920" w:rsidRPr="00F73920" w:rsidRDefault="00F73920" w:rsidP="00F73920">
            <w:pPr>
              <w:spacing w:after="200" w:line="276" w:lineRule="auto"/>
              <w:jc w:val="center"/>
              <w:rPr>
                <w:rFonts w:ascii="Arial Narrow" w:eastAsia="Calibri" w:hAnsi="Arial Narrow" w:cs="Calibri"/>
                <w:sz w:val="18"/>
                <w:szCs w:val="18"/>
                <w:lang w:val="bg-BG"/>
              </w:rPr>
            </w:pPr>
            <w:r w:rsidRPr="00F73920">
              <w:rPr>
                <w:rFonts w:ascii="Arial Narrow" w:eastAsia="Calibri" w:hAnsi="Arial Narrow" w:cs="Calibri"/>
                <w:sz w:val="18"/>
                <w:szCs w:val="18"/>
                <w:lang w:val="bg-BG"/>
              </w:rPr>
              <w:t>1 807</w:t>
            </w:r>
          </w:p>
        </w:tc>
        <w:tc>
          <w:tcPr>
            <w:tcW w:w="635" w:type="dxa"/>
            <w:tcBorders>
              <w:top w:val="nil"/>
              <w:left w:val="nil"/>
              <w:bottom w:val="single" w:sz="4" w:space="0" w:color="auto"/>
              <w:right w:val="single" w:sz="4" w:space="0" w:color="auto"/>
            </w:tcBorders>
            <w:shd w:val="clear" w:color="auto" w:fill="auto"/>
            <w:vAlign w:val="center"/>
            <w:hideMark/>
          </w:tcPr>
          <w:p w14:paraId="2843EE66" w14:textId="77777777" w:rsidR="00F73920" w:rsidRPr="00F73920" w:rsidRDefault="00F73920" w:rsidP="00F73920">
            <w:pPr>
              <w:spacing w:after="200" w:line="276" w:lineRule="auto"/>
              <w:jc w:val="center"/>
              <w:rPr>
                <w:rFonts w:ascii="Arial Narrow" w:eastAsia="Calibri" w:hAnsi="Arial Narrow" w:cs="Calibri"/>
                <w:sz w:val="18"/>
                <w:szCs w:val="18"/>
                <w:lang w:val="bg-BG"/>
              </w:rPr>
            </w:pPr>
            <w:r w:rsidRPr="00F73920">
              <w:rPr>
                <w:rFonts w:ascii="Arial Narrow" w:eastAsia="Calibri" w:hAnsi="Arial Narrow" w:cs="Calibri"/>
                <w:sz w:val="18"/>
                <w:szCs w:val="18"/>
                <w:lang w:val="bg-BG"/>
              </w:rPr>
              <w:t>1 629</w:t>
            </w:r>
          </w:p>
        </w:tc>
        <w:tc>
          <w:tcPr>
            <w:tcW w:w="742" w:type="dxa"/>
            <w:tcBorders>
              <w:top w:val="single" w:sz="4" w:space="0" w:color="auto"/>
              <w:left w:val="single" w:sz="4" w:space="0" w:color="auto"/>
              <w:bottom w:val="single" w:sz="4" w:space="0" w:color="auto"/>
              <w:right w:val="single" w:sz="4" w:space="0" w:color="auto"/>
            </w:tcBorders>
            <w:vAlign w:val="center"/>
          </w:tcPr>
          <w:p w14:paraId="511D8676" w14:textId="77777777" w:rsidR="00F73920" w:rsidRPr="00F73920" w:rsidRDefault="00F73920" w:rsidP="00F73920">
            <w:pPr>
              <w:spacing w:after="200" w:line="276" w:lineRule="auto"/>
              <w:jc w:val="center"/>
              <w:rPr>
                <w:rFonts w:ascii="Arial Narrow" w:eastAsia="Calibri" w:hAnsi="Arial Narrow" w:cs="Calibri"/>
                <w:sz w:val="18"/>
                <w:szCs w:val="18"/>
                <w:lang w:val="bg-BG"/>
              </w:rPr>
            </w:pPr>
            <w:r w:rsidRPr="00F73920">
              <w:rPr>
                <w:rFonts w:ascii="Arial Narrow" w:eastAsia="Calibri" w:hAnsi="Arial Narrow" w:cs="Calibri"/>
                <w:sz w:val="18"/>
                <w:szCs w:val="18"/>
                <w:lang w:val="bg-BG"/>
              </w:rPr>
              <w:t>1 316</w:t>
            </w:r>
          </w:p>
        </w:tc>
        <w:tc>
          <w:tcPr>
            <w:tcW w:w="635" w:type="dxa"/>
            <w:tcBorders>
              <w:top w:val="nil"/>
              <w:left w:val="nil"/>
              <w:bottom w:val="single" w:sz="4" w:space="0" w:color="auto"/>
              <w:right w:val="single" w:sz="4" w:space="0" w:color="auto"/>
            </w:tcBorders>
            <w:shd w:val="clear" w:color="auto" w:fill="auto"/>
            <w:vAlign w:val="center"/>
            <w:hideMark/>
          </w:tcPr>
          <w:p w14:paraId="74BC3AAD" w14:textId="77777777" w:rsidR="00F73920" w:rsidRPr="00F73920" w:rsidRDefault="00F73920" w:rsidP="00F73920">
            <w:pPr>
              <w:spacing w:after="200" w:line="276" w:lineRule="auto"/>
              <w:jc w:val="center"/>
              <w:rPr>
                <w:rFonts w:ascii="Arial Narrow" w:eastAsia="Calibri" w:hAnsi="Arial Narrow" w:cs="Calibri"/>
                <w:sz w:val="18"/>
                <w:szCs w:val="18"/>
                <w:lang w:val="bg-BG"/>
              </w:rPr>
            </w:pPr>
            <w:r w:rsidRPr="00F73920">
              <w:rPr>
                <w:rFonts w:ascii="Arial Narrow" w:eastAsia="Calibri" w:hAnsi="Arial Narrow" w:cs="Calibri"/>
                <w:sz w:val="18"/>
                <w:szCs w:val="18"/>
                <w:lang w:val="bg-BG"/>
              </w:rPr>
              <w:t>322</w:t>
            </w:r>
          </w:p>
        </w:tc>
        <w:tc>
          <w:tcPr>
            <w:tcW w:w="626" w:type="dxa"/>
            <w:tcBorders>
              <w:top w:val="single" w:sz="4" w:space="0" w:color="auto"/>
              <w:left w:val="single" w:sz="4" w:space="0" w:color="auto"/>
              <w:bottom w:val="single" w:sz="4" w:space="0" w:color="auto"/>
              <w:right w:val="single" w:sz="4" w:space="0" w:color="auto"/>
            </w:tcBorders>
            <w:vAlign w:val="center"/>
          </w:tcPr>
          <w:p w14:paraId="7423E892" w14:textId="77777777" w:rsidR="00F73920" w:rsidRPr="00F73920" w:rsidRDefault="00F73920" w:rsidP="00F73920">
            <w:pPr>
              <w:spacing w:after="200" w:line="276" w:lineRule="auto"/>
              <w:jc w:val="center"/>
              <w:rPr>
                <w:rFonts w:ascii="Arial Narrow" w:eastAsia="Calibri" w:hAnsi="Arial Narrow" w:cs="Calibri"/>
                <w:sz w:val="18"/>
                <w:szCs w:val="18"/>
                <w:lang w:val="bg-BG"/>
              </w:rPr>
            </w:pPr>
            <w:r w:rsidRPr="00F73920">
              <w:rPr>
                <w:rFonts w:ascii="Arial Narrow" w:eastAsia="Calibri" w:hAnsi="Arial Narrow" w:cs="Calibri"/>
                <w:sz w:val="18"/>
                <w:szCs w:val="18"/>
                <w:lang w:val="bg-BG"/>
              </w:rPr>
              <w:t>250</w:t>
            </w:r>
          </w:p>
        </w:tc>
        <w:tc>
          <w:tcPr>
            <w:tcW w:w="635" w:type="dxa"/>
            <w:tcBorders>
              <w:top w:val="nil"/>
              <w:left w:val="nil"/>
              <w:bottom w:val="single" w:sz="4" w:space="0" w:color="auto"/>
              <w:right w:val="single" w:sz="4" w:space="0" w:color="auto"/>
            </w:tcBorders>
            <w:shd w:val="clear" w:color="auto" w:fill="auto"/>
            <w:vAlign w:val="center"/>
            <w:hideMark/>
          </w:tcPr>
          <w:p w14:paraId="209E0E45" w14:textId="77777777" w:rsidR="00F73920" w:rsidRPr="00F73920" w:rsidRDefault="00F73920" w:rsidP="00F73920">
            <w:pPr>
              <w:spacing w:after="200" w:line="276" w:lineRule="auto"/>
              <w:jc w:val="center"/>
              <w:rPr>
                <w:rFonts w:ascii="Arial Narrow" w:eastAsia="Calibri" w:hAnsi="Arial Narrow" w:cs="Calibri"/>
                <w:sz w:val="18"/>
                <w:szCs w:val="18"/>
                <w:lang w:val="bg-BG"/>
              </w:rPr>
            </w:pPr>
            <w:r w:rsidRPr="00F73920">
              <w:rPr>
                <w:rFonts w:ascii="Arial Narrow" w:eastAsia="Calibri" w:hAnsi="Arial Narrow" w:cs="Calibri"/>
                <w:sz w:val="18"/>
                <w:szCs w:val="18"/>
                <w:lang w:val="bg-BG"/>
              </w:rPr>
              <w:t>172</w:t>
            </w:r>
          </w:p>
        </w:tc>
        <w:tc>
          <w:tcPr>
            <w:tcW w:w="636" w:type="dxa"/>
            <w:tcBorders>
              <w:top w:val="single" w:sz="4" w:space="0" w:color="auto"/>
              <w:left w:val="single" w:sz="4" w:space="0" w:color="auto"/>
              <w:bottom w:val="single" w:sz="4" w:space="0" w:color="auto"/>
              <w:right w:val="single" w:sz="4" w:space="0" w:color="auto"/>
            </w:tcBorders>
            <w:vAlign w:val="center"/>
          </w:tcPr>
          <w:p w14:paraId="6A962FD3" w14:textId="77777777" w:rsidR="00F73920" w:rsidRPr="00F73920" w:rsidRDefault="00F73920" w:rsidP="00F73920">
            <w:pPr>
              <w:spacing w:after="200" w:line="276" w:lineRule="auto"/>
              <w:jc w:val="center"/>
              <w:rPr>
                <w:rFonts w:ascii="Arial Narrow" w:eastAsia="Calibri" w:hAnsi="Arial Narrow" w:cs="Calibri"/>
                <w:sz w:val="18"/>
                <w:szCs w:val="18"/>
                <w:lang w:val="bg-BG"/>
              </w:rPr>
            </w:pPr>
            <w:r w:rsidRPr="00F73920">
              <w:rPr>
                <w:rFonts w:ascii="Arial Narrow" w:eastAsia="Calibri" w:hAnsi="Arial Narrow" w:cs="Calibri"/>
                <w:sz w:val="18"/>
                <w:szCs w:val="18"/>
                <w:lang w:val="bg-BG"/>
              </w:rPr>
              <w:t>152</w:t>
            </w:r>
          </w:p>
        </w:tc>
      </w:tr>
      <w:tr w:rsidR="00F73920" w:rsidRPr="00F73920" w14:paraId="4C821B16" w14:textId="77777777" w:rsidTr="0012514D">
        <w:trPr>
          <w:trHeight w:val="1046"/>
        </w:trPr>
        <w:tc>
          <w:tcPr>
            <w:tcW w:w="1350" w:type="dxa"/>
            <w:tcBorders>
              <w:top w:val="nil"/>
              <w:left w:val="single" w:sz="4" w:space="0" w:color="auto"/>
              <w:bottom w:val="single" w:sz="4" w:space="0" w:color="auto"/>
              <w:right w:val="single" w:sz="4" w:space="0" w:color="auto"/>
            </w:tcBorders>
            <w:shd w:val="clear" w:color="auto" w:fill="auto"/>
            <w:vAlign w:val="center"/>
            <w:hideMark/>
          </w:tcPr>
          <w:p w14:paraId="3A8C1AB5" w14:textId="77777777" w:rsidR="00F73920" w:rsidRPr="00F73920" w:rsidRDefault="00F73920" w:rsidP="00F73920">
            <w:pPr>
              <w:rPr>
                <w:rFonts w:ascii="Arial Narrow" w:hAnsi="Arial Narrow" w:cs="Calibri"/>
                <w:sz w:val="18"/>
                <w:szCs w:val="18"/>
                <w:lang w:val="bg-BG"/>
              </w:rPr>
            </w:pPr>
            <w:r w:rsidRPr="00F73920">
              <w:rPr>
                <w:rFonts w:ascii="Arial Narrow" w:hAnsi="Arial Narrow" w:cs="Calibri"/>
                <w:sz w:val="18"/>
                <w:szCs w:val="18"/>
                <w:lang w:val="bg-BG"/>
              </w:rPr>
              <w:t>Производствени обекти без несъответствие - брой</w:t>
            </w:r>
          </w:p>
        </w:tc>
        <w:tc>
          <w:tcPr>
            <w:tcW w:w="635" w:type="dxa"/>
            <w:tcBorders>
              <w:top w:val="nil"/>
              <w:left w:val="nil"/>
              <w:bottom w:val="single" w:sz="4" w:space="0" w:color="auto"/>
              <w:right w:val="single" w:sz="4" w:space="0" w:color="auto"/>
            </w:tcBorders>
            <w:shd w:val="clear" w:color="auto" w:fill="auto"/>
            <w:vAlign w:val="center"/>
            <w:hideMark/>
          </w:tcPr>
          <w:p w14:paraId="2BE95FAE" w14:textId="77777777" w:rsidR="00F73920" w:rsidRPr="00F73920" w:rsidRDefault="00F73920" w:rsidP="00F73920">
            <w:pPr>
              <w:spacing w:after="200" w:line="276" w:lineRule="auto"/>
              <w:jc w:val="center"/>
              <w:rPr>
                <w:rFonts w:ascii="Arial Narrow" w:eastAsia="Calibri" w:hAnsi="Arial Narrow" w:cs="Calibri"/>
                <w:sz w:val="18"/>
                <w:szCs w:val="18"/>
                <w:lang w:val="bg-BG"/>
              </w:rPr>
            </w:pPr>
            <w:r w:rsidRPr="00F73920">
              <w:rPr>
                <w:rFonts w:ascii="Arial Narrow" w:eastAsia="Calibri" w:hAnsi="Arial Narrow" w:cs="Calibri"/>
                <w:sz w:val="18"/>
                <w:szCs w:val="18"/>
                <w:lang w:val="bg-BG"/>
              </w:rPr>
              <w:t>226</w:t>
            </w:r>
          </w:p>
        </w:tc>
        <w:tc>
          <w:tcPr>
            <w:tcW w:w="586" w:type="dxa"/>
            <w:tcBorders>
              <w:top w:val="single" w:sz="4" w:space="0" w:color="auto"/>
              <w:left w:val="single" w:sz="4" w:space="0" w:color="auto"/>
              <w:bottom w:val="single" w:sz="4" w:space="0" w:color="auto"/>
              <w:right w:val="single" w:sz="4" w:space="0" w:color="auto"/>
            </w:tcBorders>
            <w:vAlign w:val="center"/>
          </w:tcPr>
          <w:p w14:paraId="33086C74" w14:textId="77777777" w:rsidR="00F73920" w:rsidRPr="00F73920" w:rsidRDefault="00F73920" w:rsidP="00F73920">
            <w:pPr>
              <w:spacing w:after="200" w:line="276" w:lineRule="auto"/>
              <w:jc w:val="center"/>
              <w:rPr>
                <w:rFonts w:ascii="Arial Narrow" w:eastAsia="Calibri" w:hAnsi="Arial Narrow" w:cs="Calibri"/>
                <w:sz w:val="18"/>
                <w:szCs w:val="18"/>
                <w:lang w:val="bg-BG"/>
              </w:rPr>
            </w:pPr>
            <w:r w:rsidRPr="00F73920">
              <w:rPr>
                <w:rFonts w:ascii="Arial Narrow" w:eastAsia="Calibri" w:hAnsi="Arial Narrow" w:cs="Calibri"/>
                <w:sz w:val="18"/>
                <w:szCs w:val="18"/>
                <w:lang w:val="bg-BG"/>
              </w:rPr>
              <w:t>284</w:t>
            </w:r>
          </w:p>
        </w:tc>
        <w:tc>
          <w:tcPr>
            <w:tcW w:w="635" w:type="dxa"/>
            <w:tcBorders>
              <w:top w:val="nil"/>
              <w:left w:val="nil"/>
              <w:bottom w:val="single" w:sz="4" w:space="0" w:color="auto"/>
              <w:right w:val="single" w:sz="4" w:space="0" w:color="auto"/>
            </w:tcBorders>
            <w:shd w:val="clear" w:color="auto" w:fill="auto"/>
            <w:vAlign w:val="center"/>
            <w:hideMark/>
          </w:tcPr>
          <w:p w14:paraId="65357A9A" w14:textId="77777777" w:rsidR="00F73920" w:rsidRPr="00F73920" w:rsidRDefault="00F73920" w:rsidP="00F73920">
            <w:pPr>
              <w:spacing w:after="200" w:line="276" w:lineRule="auto"/>
              <w:jc w:val="center"/>
              <w:rPr>
                <w:rFonts w:ascii="Arial Narrow" w:eastAsia="Calibri" w:hAnsi="Arial Narrow" w:cs="Calibri"/>
                <w:sz w:val="18"/>
                <w:szCs w:val="18"/>
                <w:lang w:val="bg-BG"/>
              </w:rPr>
            </w:pPr>
            <w:r w:rsidRPr="00F73920">
              <w:rPr>
                <w:rFonts w:ascii="Arial Narrow" w:eastAsia="Calibri" w:hAnsi="Arial Narrow" w:cs="Calibri"/>
                <w:sz w:val="18"/>
                <w:szCs w:val="18"/>
                <w:lang w:val="bg-BG"/>
              </w:rPr>
              <w:t>319</w:t>
            </w:r>
          </w:p>
        </w:tc>
        <w:tc>
          <w:tcPr>
            <w:tcW w:w="742" w:type="dxa"/>
            <w:tcBorders>
              <w:top w:val="single" w:sz="4" w:space="0" w:color="auto"/>
              <w:left w:val="single" w:sz="4" w:space="0" w:color="auto"/>
              <w:bottom w:val="single" w:sz="4" w:space="0" w:color="auto"/>
              <w:right w:val="single" w:sz="4" w:space="0" w:color="auto"/>
            </w:tcBorders>
            <w:vAlign w:val="center"/>
          </w:tcPr>
          <w:p w14:paraId="4FAD4554" w14:textId="77777777" w:rsidR="00F73920" w:rsidRPr="00F73920" w:rsidRDefault="00F73920" w:rsidP="00F73920">
            <w:pPr>
              <w:spacing w:after="200" w:line="276" w:lineRule="auto"/>
              <w:jc w:val="center"/>
              <w:rPr>
                <w:rFonts w:ascii="Arial Narrow" w:eastAsia="Calibri" w:hAnsi="Arial Narrow" w:cs="Calibri"/>
                <w:sz w:val="18"/>
                <w:szCs w:val="18"/>
                <w:lang w:val="bg-BG"/>
              </w:rPr>
            </w:pPr>
            <w:r w:rsidRPr="00F73920">
              <w:rPr>
                <w:rFonts w:ascii="Arial Narrow" w:eastAsia="Calibri" w:hAnsi="Arial Narrow" w:cs="Calibri"/>
                <w:sz w:val="18"/>
                <w:szCs w:val="18"/>
                <w:lang w:val="bg-BG"/>
              </w:rPr>
              <w:t>328</w:t>
            </w:r>
          </w:p>
        </w:tc>
        <w:tc>
          <w:tcPr>
            <w:tcW w:w="635" w:type="dxa"/>
            <w:tcBorders>
              <w:top w:val="nil"/>
              <w:left w:val="nil"/>
              <w:bottom w:val="single" w:sz="4" w:space="0" w:color="auto"/>
              <w:right w:val="single" w:sz="4" w:space="0" w:color="auto"/>
            </w:tcBorders>
            <w:shd w:val="clear" w:color="auto" w:fill="auto"/>
            <w:vAlign w:val="center"/>
            <w:hideMark/>
          </w:tcPr>
          <w:p w14:paraId="45498A1F" w14:textId="77777777" w:rsidR="00F73920" w:rsidRPr="00F73920" w:rsidRDefault="00F73920" w:rsidP="00F73920">
            <w:pPr>
              <w:spacing w:after="200" w:line="276" w:lineRule="auto"/>
              <w:jc w:val="center"/>
              <w:rPr>
                <w:rFonts w:ascii="Arial Narrow" w:eastAsia="Calibri" w:hAnsi="Arial Narrow" w:cs="Calibri"/>
                <w:sz w:val="18"/>
                <w:szCs w:val="18"/>
                <w:lang w:val="bg-BG"/>
              </w:rPr>
            </w:pPr>
            <w:r w:rsidRPr="00F73920">
              <w:rPr>
                <w:rFonts w:ascii="Arial Narrow" w:eastAsia="Calibri" w:hAnsi="Arial Narrow" w:cs="Calibri"/>
                <w:sz w:val="18"/>
                <w:szCs w:val="18"/>
                <w:lang w:val="bg-BG"/>
              </w:rPr>
              <w:t>307</w:t>
            </w:r>
          </w:p>
        </w:tc>
        <w:tc>
          <w:tcPr>
            <w:tcW w:w="742" w:type="dxa"/>
            <w:tcBorders>
              <w:top w:val="single" w:sz="4" w:space="0" w:color="auto"/>
              <w:left w:val="single" w:sz="4" w:space="0" w:color="auto"/>
              <w:bottom w:val="single" w:sz="4" w:space="0" w:color="auto"/>
              <w:right w:val="single" w:sz="4" w:space="0" w:color="auto"/>
            </w:tcBorders>
            <w:vAlign w:val="center"/>
          </w:tcPr>
          <w:p w14:paraId="3144A29A" w14:textId="77777777" w:rsidR="00F73920" w:rsidRPr="00F73920" w:rsidRDefault="00F73920" w:rsidP="00F73920">
            <w:pPr>
              <w:spacing w:after="200" w:line="276" w:lineRule="auto"/>
              <w:jc w:val="center"/>
              <w:rPr>
                <w:rFonts w:ascii="Arial Narrow" w:eastAsia="Calibri" w:hAnsi="Arial Narrow" w:cs="Calibri"/>
                <w:sz w:val="18"/>
                <w:szCs w:val="18"/>
                <w:lang w:val="bg-BG"/>
              </w:rPr>
            </w:pPr>
            <w:r w:rsidRPr="00F73920">
              <w:rPr>
                <w:rFonts w:ascii="Arial Narrow" w:eastAsia="Calibri" w:hAnsi="Arial Narrow" w:cs="Calibri"/>
                <w:sz w:val="18"/>
                <w:szCs w:val="18"/>
                <w:lang w:val="bg-BG"/>
              </w:rPr>
              <w:t>412</w:t>
            </w:r>
          </w:p>
        </w:tc>
        <w:tc>
          <w:tcPr>
            <w:tcW w:w="635" w:type="dxa"/>
            <w:tcBorders>
              <w:top w:val="nil"/>
              <w:left w:val="nil"/>
              <w:bottom w:val="single" w:sz="4" w:space="0" w:color="auto"/>
              <w:right w:val="single" w:sz="4" w:space="0" w:color="auto"/>
            </w:tcBorders>
            <w:shd w:val="clear" w:color="auto" w:fill="auto"/>
            <w:vAlign w:val="center"/>
            <w:hideMark/>
          </w:tcPr>
          <w:p w14:paraId="311EB188" w14:textId="77777777" w:rsidR="00F73920" w:rsidRPr="00F73920" w:rsidRDefault="00F73920" w:rsidP="00F73920">
            <w:pPr>
              <w:spacing w:after="200" w:line="276" w:lineRule="auto"/>
              <w:jc w:val="center"/>
              <w:rPr>
                <w:rFonts w:ascii="Arial Narrow" w:eastAsia="Calibri" w:hAnsi="Arial Narrow" w:cs="Calibri"/>
                <w:sz w:val="18"/>
                <w:szCs w:val="18"/>
                <w:lang w:val="bg-BG"/>
              </w:rPr>
            </w:pPr>
            <w:r w:rsidRPr="00F73920">
              <w:rPr>
                <w:rFonts w:ascii="Arial Narrow" w:eastAsia="Calibri" w:hAnsi="Arial Narrow" w:cs="Calibri"/>
                <w:sz w:val="18"/>
                <w:szCs w:val="18"/>
                <w:lang w:val="bg-BG"/>
              </w:rPr>
              <w:t>2 060</w:t>
            </w:r>
          </w:p>
        </w:tc>
        <w:tc>
          <w:tcPr>
            <w:tcW w:w="742" w:type="dxa"/>
            <w:tcBorders>
              <w:top w:val="single" w:sz="4" w:space="0" w:color="auto"/>
              <w:left w:val="single" w:sz="4" w:space="0" w:color="auto"/>
              <w:bottom w:val="single" w:sz="4" w:space="0" w:color="auto"/>
              <w:right w:val="single" w:sz="4" w:space="0" w:color="auto"/>
            </w:tcBorders>
            <w:vAlign w:val="center"/>
          </w:tcPr>
          <w:p w14:paraId="018D821B" w14:textId="77777777" w:rsidR="00F73920" w:rsidRPr="00F73920" w:rsidRDefault="00F73920" w:rsidP="00F73920">
            <w:pPr>
              <w:spacing w:after="200" w:line="276" w:lineRule="auto"/>
              <w:jc w:val="center"/>
              <w:rPr>
                <w:rFonts w:ascii="Arial Narrow" w:eastAsia="Calibri" w:hAnsi="Arial Narrow" w:cs="Calibri"/>
                <w:sz w:val="18"/>
                <w:szCs w:val="18"/>
                <w:lang w:val="bg-BG"/>
              </w:rPr>
            </w:pPr>
            <w:r w:rsidRPr="00F73920">
              <w:rPr>
                <w:rFonts w:ascii="Arial Narrow" w:eastAsia="Calibri" w:hAnsi="Arial Narrow" w:cs="Calibri"/>
                <w:sz w:val="18"/>
                <w:szCs w:val="18"/>
                <w:lang w:val="bg-BG"/>
              </w:rPr>
              <w:t>1 564</w:t>
            </w:r>
          </w:p>
        </w:tc>
        <w:tc>
          <w:tcPr>
            <w:tcW w:w="635" w:type="dxa"/>
            <w:tcBorders>
              <w:top w:val="nil"/>
              <w:left w:val="nil"/>
              <w:bottom w:val="single" w:sz="4" w:space="0" w:color="auto"/>
              <w:right w:val="single" w:sz="4" w:space="0" w:color="auto"/>
            </w:tcBorders>
            <w:shd w:val="clear" w:color="auto" w:fill="auto"/>
            <w:vAlign w:val="center"/>
            <w:hideMark/>
          </w:tcPr>
          <w:p w14:paraId="2CC4F52A" w14:textId="77777777" w:rsidR="00F73920" w:rsidRPr="00F73920" w:rsidRDefault="00F73920" w:rsidP="00F73920">
            <w:pPr>
              <w:spacing w:after="200" w:line="276" w:lineRule="auto"/>
              <w:jc w:val="center"/>
              <w:rPr>
                <w:rFonts w:ascii="Arial Narrow" w:eastAsia="Calibri" w:hAnsi="Arial Narrow" w:cs="Calibri"/>
                <w:sz w:val="18"/>
                <w:szCs w:val="18"/>
                <w:lang w:val="bg-BG"/>
              </w:rPr>
            </w:pPr>
            <w:r w:rsidRPr="00F73920">
              <w:rPr>
                <w:rFonts w:ascii="Arial Narrow" w:eastAsia="Calibri" w:hAnsi="Arial Narrow" w:cs="Calibri"/>
                <w:sz w:val="18"/>
                <w:szCs w:val="18"/>
                <w:lang w:val="bg-BG"/>
              </w:rPr>
              <w:t>1 475</w:t>
            </w:r>
          </w:p>
        </w:tc>
        <w:tc>
          <w:tcPr>
            <w:tcW w:w="742" w:type="dxa"/>
            <w:tcBorders>
              <w:top w:val="single" w:sz="4" w:space="0" w:color="auto"/>
              <w:left w:val="single" w:sz="4" w:space="0" w:color="auto"/>
              <w:bottom w:val="single" w:sz="4" w:space="0" w:color="auto"/>
              <w:right w:val="single" w:sz="4" w:space="0" w:color="auto"/>
            </w:tcBorders>
            <w:vAlign w:val="center"/>
          </w:tcPr>
          <w:p w14:paraId="1AFE1E4F" w14:textId="77777777" w:rsidR="00F73920" w:rsidRPr="00F73920" w:rsidRDefault="00F73920" w:rsidP="00F73920">
            <w:pPr>
              <w:spacing w:after="200" w:line="276" w:lineRule="auto"/>
              <w:jc w:val="center"/>
              <w:rPr>
                <w:rFonts w:ascii="Arial Narrow" w:eastAsia="Calibri" w:hAnsi="Arial Narrow" w:cs="Calibri"/>
                <w:sz w:val="18"/>
                <w:szCs w:val="18"/>
                <w:lang w:val="bg-BG"/>
              </w:rPr>
            </w:pPr>
            <w:r w:rsidRPr="00F73920">
              <w:rPr>
                <w:rFonts w:ascii="Arial Narrow" w:eastAsia="Calibri" w:hAnsi="Arial Narrow" w:cs="Calibri"/>
                <w:sz w:val="18"/>
                <w:szCs w:val="18"/>
                <w:lang w:val="bg-BG"/>
              </w:rPr>
              <w:t>12 02</w:t>
            </w:r>
          </w:p>
        </w:tc>
        <w:tc>
          <w:tcPr>
            <w:tcW w:w="635" w:type="dxa"/>
            <w:tcBorders>
              <w:top w:val="nil"/>
              <w:left w:val="nil"/>
              <w:bottom w:val="single" w:sz="4" w:space="0" w:color="auto"/>
              <w:right w:val="single" w:sz="4" w:space="0" w:color="auto"/>
            </w:tcBorders>
            <w:shd w:val="clear" w:color="auto" w:fill="auto"/>
            <w:vAlign w:val="center"/>
            <w:hideMark/>
          </w:tcPr>
          <w:p w14:paraId="21DD77B5" w14:textId="77777777" w:rsidR="00F73920" w:rsidRPr="00F73920" w:rsidRDefault="00F73920" w:rsidP="00F73920">
            <w:pPr>
              <w:spacing w:after="200" w:line="276" w:lineRule="auto"/>
              <w:jc w:val="center"/>
              <w:rPr>
                <w:rFonts w:ascii="Arial Narrow" w:eastAsia="Calibri" w:hAnsi="Arial Narrow" w:cs="Calibri"/>
                <w:sz w:val="18"/>
                <w:szCs w:val="18"/>
                <w:lang w:val="bg-BG"/>
              </w:rPr>
            </w:pPr>
            <w:r w:rsidRPr="00F73920">
              <w:rPr>
                <w:rFonts w:ascii="Arial Narrow" w:eastAsia="Calibri" w:hAnsi="Arial Narrow" w:cs="Calibri"/>
                <w:sz w:val="18"/>
                <w:szCs w:val="18"/>
                <w:lang w:val="bg-BG"/>
              </w:rPr>
              <w:t>286</w:t>
            </w:r>
          </w:p>
        </w:tc>
        <w:tc>
          <w:tcPr>
            <w:tcW w:w="626" w:type="dxa"/>
            <w:tcBorders>
              <w:top w:val="single" w:sz="4" w:space="0" w:color="auto"/>
              <w:left w:val="single" w:sz="4" w:space="0" w:color="auto"/>
              <w:bottom w:val="single" w:sz="4" w:space="0" w:color="auto"/>
              <w:right w:val="single" w:sz="4" w:space="0" w:color="auto"/>
            </w:tcBorders>
            <w:vAlign w:val="center"/>
          </w:tcPr>
          <w:p w14:paraId="48462306" w14:textId="77777777" w:rsidR="00F73920" w:rsidRPr="00F73920" w:rsidRDefault="00F73920" w:rsidP="00F73920">
            <w:pPr>
              <w:spacing w:after="200" w:line="276" w:lineRule="auto"/>
              <w:jc w:val="center"/>
              <w:rPr>
                <w:rFonts w:ascii="Arial Narrow" w:eastAsia="Calibri" w:hAnsi="Arial Narrow" w:cs="Calibri"/>
                <w:sz w:val="18"/>
                <w:szCs w:val="18"/>
                <w:lang w:val="bg-BG"/>
              </w:rPr>
            </w:pPr>
            <w:r w:rsidRPr="00F73920">
              <w:rPr>
                <w:rFonts w:ascii="Arial Narrow" w:eastAsia="Calibri" w:hAnsi="Arial Narrow" w:cs="Calibri"/>
                <w:sz w:val="18"/>
                <w:szCs w:val="18"/>
                <w:lang w:val="bg-BG"/>
              </w:rPr>
              <w:t>224</w:t>
            </w:r>
          </w:p>
        </w:tc>
        <w:tc>
          <w:tcPr>
            <w:tcW w:w="635" w:type="dxa"/>
            <w:tcBorders>
              <w:top w:val="nil"/>
              <w:left w:val="nil"/>
              <w:bottom w:val="single" w:sz="4" w:space="0" w:color="auto"/>
              <w:right w:val="single" w:sz="4" w:space="0" w:color="auto"/>
            </w:tcBorders>
            <w:shd w:val="clear" w:color="auto" w:fill="auto"/>
            <w:vAlign w:val="center"/>
            <w:hideMark/>
          </w:tcPr>
          <w:p w14:paraId="45BA6B38" w14:textId="77777777" w:rsidR="00F73920" w:rsidRPr="00F73920" w:rsidRDefault="00F73920" w:rsidP="00F73920">
            <w:pPr>
              <w:spacing w:after="200" w:line="276" w:lineRule="auto"/>
              <w:jc w:val="center"/>
              <w:rPr>
                <w:rFonts w:ascii="Arial Narrow" w:eastAsia="Calibri" w:hAnsi="Arial Narrow" w:cs="Calibri"/>
                <w:sz w:val="18"/>
                <w:szCs w:val="18"/>
                <w:lang w:val="bg-BG"/>
              </w:rPr>
            </w:pPr>
            <w:r w:rsidRPr="00F73920">
              <w:rPr>
                <w:rFonts w:ascii="Arial Narrow" w:eastAsia="Calibri" w:hAnsi="Arial Narrow" w:cs="Calibri"/>
                <w:sz w:val="18"/>
                <w:szCs w:val="18"/>
                <w:lang w:val="bg-BG"/>
              </w:rPr>
              <w:t>165</w:t>
            </w:r>
          </w:p>
        </w:tc>
        <w:tc>
          <w:tcPr>
            <w:tcW w:w="636" w:type="dxa"/>
            <w:tcBorders>
              <w:top w:val="single" w:sz="4" w:space="0" w:color="auto"/>
              <w:left w:val="single" w:sz="4" w:space="0" w:color="auto"/>
              <w:bottom w:val="single" w:sz="4" w:space="0" w:color="auto"/>
              <w:right w:val="single" w:sz="4" w:space="0" w:color="auto"/>
            </w:tcBorders>
            <w:vAlign w:val="center"/>
          </w:tcPr>
          <w:p w14:paraId="1BB010D2" w14:textId="77777777" w:rsidR="00F73920" w:rsidRPr="00F73920" w:rsidRDefault="00F73920" w:rsidP="00F73920">
            <w:pPr>
              <w:spacing w:after="200" w:line="276" w:lineRule="auto"/>
              <w:jc w:val="center"/>
              <w:rPr>
                <w:rFonts w:ascii="Arial Narrow" w:eastAsia="Calibri" w:hAnsi="Arial Narrow" w:cs="Calibri"/>
                <w:sz w:val="18"/>
                <w:szCs w:val="18"/>
                <w:lang w:val="bg-BG"/>
              </w:rPr>
            </w:pPr>
            <w:r w:rsidRPr="00F73920">
              <w:rPr>
                <w:rFonts w:ascii="Arial Narrow" w:eastAsia="Calibri" w:hAnsi="Arial Narrow" w:cs="Calibri"/>
                <w:sz w:val="18"/>
                <w:szCs w:val="18"/>
                <w:lang w:val="bg-BG"/>
              </w:rPr>
              <w:t>152</w:t>
            </w:r>
          </w:p>
        </w:tc>
      </w:tr>
      <w:tr w:rsidR="00F73920" w:rsidRPr="00F73920" w14:paraId="64AB2CB7" w14:textId="77777777" w:rsidTr="0012514D">
        <w:trPr>
          <w:trHeight w:val="559"/>
        </w:trPr>
        <w:tc>
          <w:tcPr>
            <w:tcW w:w="1350" w:type="dxa"/>
            <w:tcBorders>
              <w:top w:val="nil"/>
              <w:left w:val="single" w:sz="4" w:space="0" w:color="auto"/>
              <w:bottom w:val="single" w:sz="4" w:space="0" w:color="auto"/>
              <w:right w:val="single" w:sz="4" w:space="0" w:color="auto"/>
            </w:tcBorders>
            <w:shd w:val="clear" w:color="auto" w:fill="auto"/>
            <w:vAlign w:val="center"/>
            <w:hideMark/>
          </w:tcPr>
          <w:p w14:paraId="3655E9D1" w14:textId="77777777" w:rsidR="00F73920" w:rsidRPr="00F73920" w:rsidRDefault="00F73920" w:rsidP="00F73920">
            <w:pPr>
              <w:rPr>
                <w:rFonts w:ascii="Arial Narrow" w:hAnsi="Arial Narrow" w:cs="Calibri"/>
                <w:sz w:val="18"/>
                <w:szCs w:val="18"/>
                <w:lang w:val="bg-BG"/>
              </w:rPr>
            </w:pPr>
            <w:r w:rsidRPr="00F73920">
              <w:rPr>
                <w:rFonts w:ascii="Arial Narrow" w:hAnsi="Arial Narrow" w:cs="Calibri"/>
                <w:sz w:val="18"/>
                <w:szCs w:val="18"/>
                <w:lang w:val="bg-BG"/>
              </w:rPr>
              <w:t>% на съответствие</w:t>
            </w:r>
          </w:p>
        </w:tc>
        <w:tc>
          <w:tcPr>
            <w:tcW w:w="635" w:type="dxa"/>
            <w:tcBorders>
              <w:top w:val="nil"/>
              <w:left w:val="nil"/>
              <w:bottom w:val="single" w:sz="4" w:space="0" w:color="auto"/>
              <w:right w:val="single" w:sz="4" w:space="0" w:color="auto"/>
            </w:tcBorders>
            <w:shd w:val="clear" w:color="auto" w:fill="auto"/>
            <w:vAlign w:val="center"/>
            <w:hideMark/>
          </w:tcPr>
          <w:p w14:paraId="18F7D410" w14:textId="77777777" w:rsidR="00F73920" w:rsidRPr="00F73920" w:rsidRDefault="00F73920" w:rsidP="00F73920">
            <w:pPr>
              <w:spacing w:after="200" w:line="276" w:lineRule="auto"/>
              <w:jc w:val="center"/>
              <w:rPr>
                <w:rFonts w:ascii="Arial Narrow" w:eastAsia="Calibri" w:hAnsi="Arial Narrow" w:cs="Calibri"/>
                <w:sz w:val="18"/>
                <w:szCs w:val="18"/>
                <w:lang w:val="bg-BG"/>
              </w:rPr>
            </w:pPr>
            <w:r w:rsidRPr="00F73920">
              <w:rPr>
                <w:rFonts w:ascii="Arial Narrow" w:eastAsia="Calibri" w:hAnsi="Arial Narrow" w:cs="Calibri"/>
                <w:sz w:val="18"/>
                <w:szCs w:val="18"/>
                <w:lang w:val="bg-BG"/>
              </w:rPr>
              <w:t>97,8%</w:t>
            </w:r>
          </w:p>
        </w:tc>
        <w:tc>
          <w:tcPr>
            <w:tcW w:w="586" w:type="dxa"/>
            <w:tcBorders>
              <w:top w:val="single" w:sz="4" w:space="0" w:color="auto"/>
              <w:left w:val="single" w:sz="4" w:space="0" w:color="auto"/>
              <w:bottom w:val="single" w:sz="4" w:space="0" w:color="auto"/>
              <w:right w:val="single" w:sz="4" w:space="0" w:color="auto"/>
            </w:tcBorders>
            <w:vAlign w:val="center"/>
          </w:tcPr>
          <w:p w14:paraId="768F3B2E" w14:textId="77777777" w:rsidR="00F73920" w:rsidRPr="00F73920" w:rsidRDefault="00F73920" w:rsidP="00F73920">
            <w:pPr>
              <w:spacing w:after="200" w:line="276" w:lineRule="auto"/>
              <w:jc w:val="center"/>
              <w:rPr>
                <w:rFonts w:ascii="Arial Narrow" w:eastAsia="Calibri" w:hAnsi="Arial Narrow" w:cs="Calibri"/>
                <w:sz w:val="18"/>
                <w:szCs w:val="18"/>
                <w:lang w:val="bg-BG"/>
              </w:rPr>
            </w:pPr>
            <w:r w:rsidRPr="00F73920">
              <w:rPr>
                <w:rFonts w:ascii="Arial Narrow" w:eastAsia="Calibri" w:hAnsi="Arial Narrow" w:cs="Calibri"/>
                <w:sz w:val="18"/>
                <w:szCs w:val="18"/>
                <w:lang w:val="bg-BG"/>
              </w:rPr>
              <w:t>96,9%</w:t>
            </w:r>
          </w:p>
        </w:tc>
        <w:tc>
          <w:tcPr>
            <w:tcW w:w="635" w:type="dxa"/>
            <w:tcBorders>
              <w:top w:val="nil"/>
              <w:left w:val="nil"/>
              <w:bottom w:val="single" w:sz="4" w:space="0" w:color="auto"/>
              <w:right w:val="single" w:sz="4" w:space="0" w:color="auto"/>
            </w:tcBorders>
            <w:shd w:val="clear" w:color="auto" w:fill="auto"/>
            <w:vAlign w:val="center"/>
            <w:hideMark/>
          </w:tcPr>
          <w:p w14:paraId="6FDE5DF3" w14:textId="77777777" w:rsidR="00F73920" w:rsidRPr="00F73920" w:rsidRDefault="00F73920" w:rsidP="00F73920">
            <w:pPr>
              <w:spacing w:after="200" w:line="276" w:lineRule="auto"/>
              <w:jc w:val="center"/>
              <w:rPr>
                <w:rFonts w:ascii="Arial Narrow" w:eastAsia="Calibri" w:hAnsi="Arial Narrow" w:cs="Calibri"/>
                <w:sz w:val="18"/>
                <w:szCs w:val="18"/>
                <w:lang w:val="bg-BG"/>
              </w:rPr>
            </w:pPr>
            <w:r w:rsidRPr="00F73920">
              <w:rPr>
                <w:rFonts w:ascii="Arial Narrow" w:eastAsia="Calibri" w:hAnsi="Arial Narrow" w:cs="Calibri"/>
                <w:sz w:val="18"/>
                <w:szCs w:val="18"/>
                <w:lang w:val="bg-BG"/>
              </w:rPr>
              <w:t>95,8%</w:t>
            </w:r>
          </w:p>
        </w:tc>
        <w:tc>
          <w:tcPr>
            <w:tcW w:w="742" w:type="dxa"/>
            <w:tcBorders>
              <w:top w:val="single" w:sz="4" w:space="0" w:color="auto"/>
              <w:left w:val="single" w:sz="4" w:space="0" w:color="auto"/>
              <w:bottom w:val="single" w:sz="4" w:space="0" w:color="auto"/>
              <w:right w:val="single" w:sz="4" w:space="0" w:color="auto"/>
            </w:tcBorders>
            <w:vAlign w:val="center"/>
          </w:tcPr>
          <w:p w14:paraId="40C7386D" w14:textId="77777777" w:rsidR="00F73920" w:rsidRPr="00F73920" w:rsidRDefault="00F73920" w:rsidP="00F73920">
            <w:pPr>
              <w:spacing w:after="200" w:line="276" w:lineRule="auto"/>
              <w:jc w:val="center"/>
              <w:rPr>
                <w:rFonts w:ascii="Arial Narrow" w:eastAsia="Calibri" w:hAnsi="Arial Narrow" w:cs="Calibri"/>
                <w:sz w:val="18"/>
                <w:szCs w:val="18"/>
                <w:lang w:val="bg-BG"/>
              </w:rPr>
            </w:pPr>
            <w:r w:rsidRPr="00F73920">
              <w:rPr>
                <w:rFonts w:ascii="Arial Narrow" w:eastAsia="Calibri" w:hAnsi="Arial Narrow" w:cs="Calibri"/>
                <w:sz w:val="18"/>
                <w:szCs w:val="18"/>
                <w:lang w:val="bg-BG"/>
              </w:rPr>
              <w:t>97,9%</w:t>
            </w:r>
          </w:p>
        </w:tc>
        <w:tc>
          <w:tcPr>
            <w:tcW w:w="635" w:type="dxa"/>
            <w:tcBorders>
              <w:top w:val="nil"/>
              <w:left w:val="nil"/>
              <w:bottom w:val="single" w:sz="4" w:space="0" w:color="auto"/>
              <w:right w:val="single" w:sz="4" w:space="0" w:color="auto"/>
            </w:tcBorders>
            <w:shd w:val="clear" w:color="auto" w:fill="auto"/>
            <w:vAlign w:val="center"/>
            <w:hideMark/>
          </w:tcPr>
          <w:p w14:paraId="35CC7EE5" w14:textId="77777777" w:rsidR="00F73920" w:rsidRPr="00F73920" w:rsidRDefault="00F73920" w:rsidP="00F73920">
            <w:pPr>
              <w:spacing w:after="200" w:line="276" w:lineRule="auto"/>
              <w:jc w:val="center"/>
              <w:rPr>
                <w:rFonts w:ascii="Arial Narrow" w:eastAsia="Calibri" w:hAnsi="Arial Narrow" w:cs="Calibri"/>
                <w:sz w:val="18"/>
                <w:szCs w:val="18"/>
                <w:lang w:val="bg-BG"/>
              </w:rPr>
            </w:pPr>
            <w:r w:rsidRPr="00F73920">
              <w:rPr>
                <w:rFonts w:ascii="Arial Narrow" w:eastAsia="Calibri" w:hAnsi="Arial Narrow" w:cs="Calibri"/>
                <w:sz w:val="18"/>
                <w:szCs w:val="18"/>
                <w:lang w:val="bg-BG"/>
              </w:rPr>
              <w:t>90,6%</w:t>
            </w:r>
          </w:p>
        </w:tc>
        <w:tc>
          <w:tcPr>
            <w:tcW w:w="742" w:type="dxa"/>
            <w:tcBorders>
              <w:top w:val="single" w:sz="4" w:space="0" w:color="auto"/>
              <w:left w:val="single" w:sz="4" w:space="0" w:color="auto"/>
              <w:bottom w:val="single" w:sz="4" w:space="0" w:color="auto"/>
              <w:right w:val="single" w:sz="4" w:space="0" w:color="auto"/>
            </w:tcBorders>
            <w:vAlign w:val="center"/>
          </w:tcPr>
          <w:p w14:paraId="012CF41B" w14:textId="77777777" w:rsidR="00F73920" w:rsidRPr="00F73920" w:rsidRDefault="00F73920" w:rsidP="00F73920">
            <w:pPr>
              <w:spacing w:after="200" w:line="276" w:lineRule="auto"/>
              <w:jc w:val="center"/>
              <w:rPr>
                <w:rFonts w:ascii="Arial Narrow" w:eastAsia="Calibri" w:hAnsi="Arial Narrow" w:cs="Calibri"/>
                <w:sz w:val="18"/>
                <w:szCs w:val="18"/>
                <w:lang w:val="bg-BG"/>
              </w:rPr>
            </w:pPr>
            <w:r w:rsidRPr="00F73920">
              <w:rPr>
                <w:rFonts w:ascii="Arial Narrow" w:eastAsia="Calibri" w:hAnsi="Arial Narrow" w:cs="Calibri"/>
                <w:sz w:val="18"/>
                <w:szCs w:val="18"/>
                <w:lang w:val="bg-BG"/>
              </w:rPr>
              <w:t>90,2%</w:t>
            </w:r>
          </w:p>
        </w:tc>
        <w:tc>
          <w:tcPr>
            <w:tcW w:w="635" w:type="dxa"/>
            <w:tcBorders>
              <w:top w:val="nil"/>
              <w:left w:val="nil"/>
              <w:bottom w:val="single" w:sz="4" w:space="0" w:color="auto"/>
              <w:right w:val="single" w:sz="4" w:space="0" w:color="auto"/>
            </w:tcBorders>
            <w:shd w:val="clear" w:color="auto" w:fill="auto"/>
            <w:vAlign w:val="center"/>
            <w:hideMark/>
          </w:tcPr>
          <w:p w14:paraId="349D6C47" w14:textId="77777777" w:rsidR="00F73920" w:rsidRPr="00F73920" w:rsidRDefault="00F73920" w:rsidP="00F73920">
            <w:pPr>
              <w:spacing w:after="200" w:line="276" w:lineRule="auto"/>
              <w:jc w:val="center"/>
              <w:rPr>
                <w:rFonts w:ascii="Arial Narrow" w:eastAsia="Calibri" w:hAnsi="Arial Narrow" w:cs="Calibri"/>
                <w:sz w:val="18"/>
                <w:szCs w:val="18"/>
                <w:lang w:val="bg-BG"/>
              </w:rPr>
            </w:pPr>
            <w:r w:rsidRPr="00F73920">
              <w:rPr>
                <w:rFonts w:ascii="Arial Narrow" w:eastAsia="Calibri" w:hAnsi="Arial Narrow" w:cs="Calibri"/>
                <w:sz w:val="18"/>
                <w:szCs w:val="18"/>
                <w:lang w:val="bg-BG"/>
              </w:rPr>
              <w:t>89,1%</w:t>
            </w:r>
          </w:p>
        </w:tc>
        <w:tc>
          <w:tcPr>
            <w:tcW w:w="742" w:type="dxa"/>
            <w:tcBorders>
              <w:top w:val="single" w:sz="4" w:space="0" w:color="auto"/>
              <w:left w:val="single" w:sz="4" w:space="0" w:color="auto"/>
              <w:bottom w:val="single" w:sz="4" w:space="0" w:color="auto"/>
              <w:right w:val="single" w:sz="4" w:space="0" w:color="auto"/>
            </w:tcBorders>
            <w:vAlign w:val="center"/>
          </w:tcPr>
          <w:p w14:paraId="164FA9AD" w14:textId="77777777" w:rsidR="00F73920" w:rsidRPr="00F73920" w:rsidRDefault="00F73920" w:rsidP="00F73920">
            <w:pPr>
              <w:spacing w:after="200" w:line="276" w:lineRule="auto"/>
              <w:jc w:val="center"/>
              <w:rPr>
                <w:rFonts w:ascii="Arial Narrow" w:eastAsia="Calibri" w:hAnsi="Arial Narrow" w:cs="Calibri"/>
                <w:sz w:val="18"/>
                <w:szCs w:val="18"/>
                <w:lang w:val="bg-BG"/>
              </w:rPr>
            </w:pPr>
            <w:r w:rsidRPr="00F73920">
              <w:rPr>
                <w:rFonts w:ascii="Arial Narrow" w:eastAsia="Calibri" w:hAnsi="Arial Narrow" w:cs="Calibri"/>
                <w:sz w:val="18"/>
                <w:szCs w:val="18"/>
                <w:lang w:val="bg-BG"/>
              </w:rPr>
              <w:t>86,6%</w:t>
            </w:r>
          </w:p>
        </w:tc>
        <w:tc>
          <w:tcPr>
            <w:tcW w:w="635" w:type="dxa"/>
            <w:tcBorders>
              <w:top w:val="nil"/>
              <w:left w:val="nil"/>
              <w:bottom w:val="single" w:sz="4" w:space="0" w:color="auto"/>
              <w:right w:val="single" w:sz="4" w:space="0" w:color="auto"/>
            </w:tcBorders>
            <w:shd w:val="clear" w:color="auto" w:fill="auto"/>
            <w:vAlign w:val="center"/>
            <w:hideMark/>
          </w:tcPr>
          <w:p w14:paraId="092D1493" w14:textId="77777777" w:rsidR="00F73920" w:rsidRPr="00F73920" w:rsidRDefault="00F73920" w:rsidP="00F73920">
            <w:pPr>
              <w:spacing w:after="200" w:line="276" w:lineRule="auto"/>
              <w:jc w:val="center"/>
              <w:rPr>
                <w:rFonts w:ascii="Arial Narrow" w:eastAsia="Calibri" w:hAnsi="Arial Narrow" w:cs="Calibri"/>
                <w:sz w:val="18"/>
                <w:szCs w:val="18"/>
                <w:lang w:val="bg-BG"/>
              </w:rPr>
            </w:pPr>
            <w:r w:rsidRPr="00F73920">
              <w:rPr>
                <w:rFonts w:ascii="Arial Narrow" w:eastAsia="Calibri" w:hAnsi="Arial Narrow" w:cs="Calibri"/>
                <w:sz w:val="18"/>
                <w:szCs w:val="18"/>
                <w:lang w:val="bg-BG"/>
              </w:rPr>
              <w:t>90,5%</w:t>
            </w:r>
          </w:p>
        </w:tc>
        <w:tc>
          <w:tcPr>
            <w:tcW w:w="742" w:type="dxa"/>
            <w:tcBorders>
              <w:top w:val="single" w:sz="4" w:space="0" w:color="auto"/>
              <w:left w:val="single" w:sz="4" w:space="0" w:color="auto"/>
              <w:bottom w:val="single" w:sz="4" w:space="0" w:color="auto"/>
              <w:right w:val="single" w:sz="4" w:space="0" w:color="auto"/>
            </w:tcBorders>
            <w:vAlign w:val="center"/>
          </w:tcPr>
          <w:p w14:paraId="217B0882" w14:textId="77777777" w:rsidR="00F73920" w:rsidRPr="00F73920" w:rsidRDefault="00F73920" w:rsidP="00F73920">
            <w:pPr>
              <w:spacing w:after="200" w:line="276" w:lineRule="auto"/>
              <w:jc w:val="center"/>
              <w:rPr>
                <w:rFonts w:ascii="Arial Narrow" w:eastAsia="Calibri" w:hAnsi="Arial Narrow" w:cs="Calibri"/>
                <w:sz w:val="18"/>
                <w:szCs w:val="18"/>
                <w:lang w:val="bg-BG"/>
              </w:rPr>
            </w:pPr>
            <w:r w:rsidRPr="00F73920">
              <w:rPr>
                <w:rFonts w:ascii="Arial Narrow" w:eastAsia="Calibri" w:hAnsi="Arial Narrow" w:cs="Calibri"/>
                <w:sz w:val="18"/>
                <w:szCs w:val="18"/>
                <w:lang w:val="bg-BG"/>
              </w:rPr>
              <w:t>91,3%</w:t>
            </w:r>
          </w:p>
        </w:tc>
        <w:tc>
          <w:tcPr>
            <w:tcW w:w="635" w:type="dxa"/>
            <w:tcBorders>
              <w:top w:val="nil"/>
              <w:left w:val="nil"/>
              <w:bottom w:val="single" w:sz="4" w:space="0" w:color="auto"/>
              <w:right w:val="single" w:sz="4" w:space="0" w:color="auto"/>
            </w:tcBorders>
            <w:shd w:val="clear" w:color="auto" w:fill="auto"/>
            <w:vAlign w:val="center"/>
            <w:hideMark/>
          </w:tcPr>
          <w:p w14:paraId="08022ECC" w14:textId="77777777" w:rsidR="00F73920" w:rsidRPr="00F73920" w:rsidRDefault="00F73920" w:rsidP="00F73920">
            <w:pPr>
              <w:spacing w:after="200" w:line="276" w:lineRule="auto"/>
              <w:jc w:val="center"/>
              <w:rPr>
                <w:rFonts w:ascii="Arial Narrow" w:eastAsia="Calibri" w:hAnsi="Arial Narrow" w:cs="Calibri"/>
                <w:sz w:val="18"/>
                <w:szCs w:val="18"/>
                <w:lang w:val="bg-BG"/>
              </w:rPr>
            </w:pPr>
            <w:r w:rsidRPr="00F73920">
              <w:rPr>
                <w:rFonts w:ascii="Arial Narrow" w:eastAsia="Calibri" w:hAnsi="Arial Narrow" w:cs="Calibri"/>
                <w:sz w:val="18"/>
                <w:szCs w:val="18"/>
                <w:lang w:val="bg-BG"/>
              </w:rPr>
              <w:t>88,8%</w:t>
            </w:r>
          </w:p>
        </w:tc>
        <w:tc>
          <w:tcPr>
            <w:tcW w:w="626" w:type="dxa"/>
            <w:tcBorders>
              <w:top w:val="single" w:sz="4" w:space="0" w:color="auto"/>
              <w:left w:val="single" w:sz="4" w:space="0" w:color="auto"/>
              <w:bottom w:val="single" w:sz="4" w:space="0" w:color="auto"/>
              <w:right w:val="single" w:sz="4" w:space="0" w:color="auto"/>
            </w:tcBorders>
            <w:vAlign w:val="center"/>
          </w:tcPr>
          <w:p w14:paraId="56C9EF7C" w14:textId="77777777" w:rsidR="00F73920" w:rsidRPr="00F73920" w:rsidRDefault="00F73920" w:rsidP="00F73920">
            <w:pPr>
              <w:spacing w:after="200" w:line="276" w:lineRule="auto"/>
              <w:jc w:val="center"/>
              <w:rPr>
                <w:rFonts w:ascii="Arial Narrow" w:eastAsia="Calibri" w:hAnsi="Arial Narrow" w:cs="Calibri"/>
                <w:sz w:val="18"/>
                <w:szCs w:val="18"/>
                <w:lang w:val="bg-BG"/>
              </w:rPr>
            </w:pPr>
            <w:r w:rsidRPr="00F73920">
              <w:rPr>
                <w:rFonts w:ascii="Arial Narrow" w:eastAsia="Calibri" w:hAnsi="Arial Narrow" w:cs="Calibri"/>
                <w:sz w:val="18"/>
                <w:szCs w:val="18"/>
                <w:lang w:val="bg-BG"/>
              </w:rPr>
              <w:t>89,6%</w:t>
            </w:r>
          </w:p>
        </w:tc>
        <w:tc>
          <w:tcPr>
            <w:tcW w:w="635" w:type="dxa"/>
            <w:tcBorders>
              <w:top w:val="nil"/>
              <w:left w:val="nil"/>
              <w:bottom w:val="single" w:sz="4" w:space="0" w:color="auto"/>
              <w:right w:val="single" w:sz="4" w:space="0" w:color="auto"/>
            </w:tcBorders>
            <w:shd w:val="clear" w:color="auto" w:fill="auto"/>
            <w:vAlign w:val="center"/>
            <w:hideMark/>
          </w:tcPr>
          <w:p w14:paraId="1BF5400D" w14:textId="77777777" w:rsidR="00F73920" w:rsidRPr="00F73920" w:rsidRDefault="00F73920" w:rsidP="00F73920">
            <w:pPr>
              <w:spacing w:after="200" w:line="276" w:lineRule="auto"/>
              <w:jc w:val="center"/>
              <w:rPr>
                <w:rFonts w:ascii="Arial Narrow" w:eastAsia="Calibri" w:hAnsi="Arial Narrow" w:cs="Calibri"/>
                <w:sz w:val="18"/>
                <w:szCs w:val="18"/>
                <w:lang w:val="bg-BG"/>
              </w:rPr>
            </w:pPr>
            <w:r w:rsidRPr="00F73920">
              <w:rPr>
                <w:rFonts w:ascii="Arial Narrow" w:eastAsia="Calibri" w:hAnsi="Arial Narrow" w:cs="Calibri"/>
                <w:sz w:val="18"/>
                <w:szCs w:val="18"/>
                <w:lang w:val="bg-BG"/>
              </w:rPr>
              <w:t>95,9%</w:t>
            </w:r>
          </w:p>
        </w:tc>
        <w:tc>
          <w:tcPr>
            <w:tcW w:w="636" w:type="dxa"/>
            <w:tcBorders>
              <w:top w:val="single" w:sz="4" w:space="0" w:color="auto"/>
              <w:left w:val="single" w:sz="4" w:space="0" w:color="auto"/>
              <w:bottom w:val="single" w:sz="4" w:space="0" w:color="auto"/>
              <w:right w:val="single" w:sz="4" w:space="0" w:color="auto"/>
            </w:tcBorders>
            <w:vAlign w:val="center"/>
          </w:tcPr>
          <w:p w14:paraId="2AA70658" w14:textId="77777777" w:rsidR="00F73920" w:rsidRPr="00F73920" w:rsidRDefault="00F73920" w:rsidP="00F73920">
            <w:pPr>
              <w:spacing w:after="200" w:line="276" w:lineRule="auto"/>
              <w:jc w:val="center"/>
              <w:rPr>
                <w:rFonts w:ascii="Arial Narrow" w:eastAsia="Calibri" w:hAnsi="Arial Narrow" w:cs="Calibri"/>
                <w:sz w:val="18"/>
                <w:szCs w:val="18"/>
                <w:lang w:val="bg-BG"/>
              </w:rPr>
            </w:pPr>
            <w:r w:rsidRPr="00F73920">
              <w:rPr>
                <w:rFonts w:ascii="Arial Narrow" w:eastAsia="Calibri" w:hAnsi="Arial Narrow" w:cs="Calibri"/>
                <w:sz w:val="18"/>
                <w:szCs w:val="18"/>
                <w:lang w:val="bg-BG"/>
              </w:rPr>
              <w:t>100%</w:t>
            </w:r>
          </w:p>
        </w:tc>
      </w:tr>
    </w:tbl>
    <w:p w14:paraId="15DF6504" w14:textId="77777777" w:rsidR="00F73920" w:rsidRPr="00F73920" w:rsidRDefault="00F73920" w:rsidP="00F73920">
      <w:pPr>
        <w:spacing w:after="240"/>
        <w:rPr>
          <w:rFonts w:ascii="Arial Narrow" w:hAnsi="Arial Narrow"/>
          <w:bCs/>
          <w:i/>
          <w:sz w:val="18"/>
          <w:szCs w:val="18"/>
          <w:lang w:val="bg-BG" w:eastAsia="bg-BG"/>
        </w:rPr>
      </w:pPr>
      <w:r w:rsidRPr="00F73920">
        <w:rPr>
          <w:rFonts w:ascii="Arial Narrow" w:hAnsi="Arial Narrow"/>
          <w:bCs/>
          <w:i/>
          <w:sz w:val="18"/>
          <w:szCs w:val="18"/>
          <w:lang w:val="bg-BG" w:eastAsia="bg-BG"/>
        </w:rPr>
        <w:t xml:space="preserve">Източник: </w:t>
      </w:r>
      <w:r w:rsidRPr="00F73920">
        <w:rPr>
          <w:rFonts w:ascii="Arial Narrow" w:hAnsi="Arial Narrow"/>
          <w:bCs/>
          <w:sz w:val="18"/>
          <w:szCs w:val="18"/>
          <w:lang w:val="bg-BG" w:eastAsia="bg-BG"/>
        </w:rPr>
        <w:t>БАБХ</w:t>
      </w:r>
    </w:p>
    <w:p w14:paraId="3632F995" w14:textId="77777777" w:rsidR="00F73920" w:rsidRPr="00F73920" w:rsidRDefault="00F73920" w:rsidP="00F73920">
      <w:pPr>
        <w:spacing w:after="120"/>
        <w:ind w:firstLine="709"/>
        <w:jc w:val="both"/>
        <w:rPr>
          <w:rFonts w:ascii="Arial Narrow" w:hAnsi="Arial Narrow"/>
          <w:lang w:val="bg-BG" w:eastAsia="bg-BG"/>
        </w:rPr>
      </w:pPr>
      <w:r w:rsidRPr="00F73920">
        <w:rPr>
          <w:rFonts w:ascii="Arial Narrow" w:hAnsi="Arial Narrow"/>
          <w:lang w:val="bg-BG" w:eastAsia="bg-BG"/>
        </w:rPr>
        <w:t xml:space="preserve">На база на констатираните несъответствия за неспазване изискванията за хуманно отношение към животните, отглеждани в производствените обекти за 2024 г., се установява, че процентът на съответствие в някои сектори - прасета, овце и кози се е увеличил значително спрямо 2023 г. В производствените обекти, в които се отглеждат патици не са открити несъответствия, свързани с изискванията за хуманно отношение, за което допринася засиленият контрол от страна на ОДБХ. Предприети са корективни мерки за отстраняване на несъответствията и за подобряване на ситуацията. </w:t>
      </w:r>
    </w:p>
    <w:p w14:paraId="5C9DACA2" w14:textId="77777777" w:rsidR="00F73920" w:rsidRPr="00F73920" w:rsidRDefault="00F73920" w:rsidP="00F73920">
      <w:pPr>
        <w:spacing w:after="120"/>
        <w:ind w:firstLine="709"/>
        <w:jc w:val="both"/>
        <w:rPr>
          <w:rFonts w:ascii="Arial Narrow" w:hAnsi="Arial Narrow"/>
          <w:lang w:val="bg-BG" w:eastAsia="bg-BG"/>
        </w:rPr>
      </w:pPr>
      <w:r w:rsidRPr="00F73920">
        <w:rPr>
          <w:rFonts w:ascii="Arial Narrow" w:hAnsi="Arial Narrow"/>
          <w:lang w:val="bg-BG" w:eastAsia="bg-BG"/>
        </w:rPr>
        <w:t xml:space="preserve">През годината продължава тенденцията на подобряване на условията на отглеждане на животните по отношение на осигуряване на храна и вода, подходящи за вида животни, свобода на движение, инспекции, наранявания, автоматично и механично оборудване и компетентността на персонала. Данните сочат, че квалификацията на персонала, полагащ грижи за животните, все още не е на оптимално ниво. В тази връзка БАБХ е предприела мерки за допълнително обучение.  </w:t>
      </w:r>
    </w:p>
    <w:p w14:paraId="27F4A516" w14:textId="77777777" w:rsidR="00F73920" w:rsidRPr="00F73920" w:rsidRDefault="00F73920" w:rsidP="00F73920">
      <w:pPr>
        <w:spacing w:after="120"/>
        <w:ind w:firstLine="709"/>
        <w:jc w:val="both"/>
        <w:rPr>
          <w:rFonts w:ascii="Arial Narrow" w:hAnsi="Arial Narrow"/>
          <w:i/>
          <w:lang w:val="bg-BG" w:eastAsia="bg-BG"/>
        </w:rPr>
      </w:pPr>
      <w:r w:rsidRPr="00F73920">
        <w:rPr>
          <w:rFonts w:ascii="Arial Narrow" w:hAnsi="Arial Narrow"/>
          <w:i/>
          <w:lang w:val="bg-BG" w:eastAsia="bg-BG"/>
        </w:rPr>
        <w:t>Хуманно отношение към животните по време на транспорт</w:t>
      </w:r>
    </w:p>
    <w:p w14:paraId="6F6DF57C" w14:textId="77777777" w:rsidR="00F73920" w:rsidRPr="00F73920" w:rsidRDefault="00F73920" w:rsidP="00F73920">
      <w:pPr>
        <w:spacing w:after="120"/>
        <w:ind w:firstLine="709"/>
        <w:jc w:val="both"/>
        <w:rPr>
          <w:rFonts w:ascii="Arial Narrow" w:hAnsi="Arial Narrow"/>
          <w:lang w:val="bg-BG" w:eastAsia="bg-BG"/>
        </w:rPr>
      </w:pPr>
      <w:r w:rsidRPr="00F73920">
        <w:rPr>
          <w:rFonts w:ascii="Arial Narrow" w:hAnsi="Arial Narrow"/>
          <w:lang w:val="bg-BG" w:eastAsia="bg-BG"/>
        </w:rPr>
        <w:t>В съответствие с изискванията на Регламент (ЕО) № 1/2005 на Съвета от 22.12.2004 г. относно защитата на животните по време на транспорт, през 2024 г. продължава издаването на разрешителни за превоз на живи животни. В рамките на годината са издадени 126 разрешителни (лицензи) за кратки пътувания и 65 за продължителни пътувания. Спрямо 2023 г. се наблюдава намаление на броя на издадените разрешителни за кратки пътувания и увеличение на този за продължителни пътувания (преобладават разрешителните за превоз на едри преживни животни).</w:t>
      </w:r>
    </w:p>
    <w:p w14:paraId="686F9499" w14:textId="77777777" w:rsidR="00F73920" w:rsidRPr="00F73920" w:rsidRDefault="00F73920" w:rsidP="00F73920">
      <w:pPr>
        <w:spacing w:after="120"/>
        <w:ind w:firstLine="709"/>
        <w:jc w:val="both"/>
        <w:rPr>
          <w:rFonts w:ascii="Arial Narrow" w:hAnsi="Arial Narrow"/>
          <w:lang w:val="bg-BG" w:eastAsia="bg-BG"/>
        </w:rPr>
      </w:pPr>
      <w:r w:rsidRPr="00F73920">
        <w:rPr>
          <w:rFonts w:ascii="Arial Narrow" w:hAnsi="Arial Narrow"/>
          <w:lang w:val="bg-BG" w:eastAsia="bg-BG"/>
        </w:rPr>
        <w:t xml:space="preserve">В БАБХ се поддържа актуален регистър на издадените разрешителни за превоз на живи животни съгласно чл. 166 от ЗВД, като в интегрираната информационна система ВетИС се въвежда актуална информация за одобрените превозни средства. </w:t>
      </w:r>
    </w:p>
    <w:p w14:paraId="1BA4A9D8" w14:textId="77777777" w:rsidR="00F73920" w:rsidRPr="00F73920" w:rsidRDefault="00F73920" w:rsidP="00F73920">
      <w:pPr>
        <w:spacing w:after="120"/>
        <w:ind w:firstLine="709"/>
        <w:jc w:val="both"/>
        <w:rPr>
          <w:rFonts w:ascii="Arial Narrow" w:hAnsi="Arial Narrow"/>
          <w:lang w:val="bg-BG" w:eastAsia="bg-BG"/>
        </w:rPr>
      </w:pPr>
      <w:r w:rsidRPr="00F73920">
        <w:rPr>
          <w:rFonts w:ascii="Arial Narrow" w:hAnsi="Arial Narrow"/>
          <w:lang w:val="bg-BG" w:eastAsia="bg-BG"/>
        </w:rPr>
        <w:t xml:space="preserve">През 2024 г. има 16 нотификации за нарушение на изискванията на Регламент (ЕО) № 1/2005/ЕО, като една част от тях са изпратени към контактните точки на други държави членки. Основните типове констатирани нарушения са: превишено време на пътуване, липса на гаранции по чл. 21, 1 д) на Регламент (ЕО) № 1/2005/ЕО, оскъдна и/или недостатъчна постеля, неодобрен обект на крайна дестинация. </w:t>
      </w:r>
    </w:p>
    <w:p w14:paraId="17148B67" w14:textId="77777777" w:rsidR="00F73920" w:rsidRPr="00F73920" w:rsidRDefault="00F73920" w:rsidP="00F73920">
      <w:pPr>
        <w:spacing w:after="120"/>
        <w:ind w:firstLine="709"/>
        <w:jc w:val="both"/>
        <w:rPr>
          <w:rFonts w:ascii="Arial Narrow" w:hAnsi="Arial Narrow"/>
          <w:lang w:val="bg-BG" w:eastAsia="bg-BG"/>
        </w:rPr>
      </w:pPr>
      <w:r w:rsidRPr="00F73920">
        <w:rPr>
          <w:rFonts w:ascii="Arial Narrow" w:hAnsi="Arial Narrow"/>
          <w:lang w:val="bg-BG" w:eastAsia="bg-BG"/>
        </w:rPr>
        <w:t>През годината се наблюдава намаление на констатираните несъответствия при изпълнение изискванията на регламента при транспортирането на селскостопански животни. Въз основа на получените данни от извършените проверки на ГКП Капитан Андреево се отчита повишение на процента на съответствие с изискванията на Регламент (ЕО) № 1/2005 при транспорт на живи животни за страни от Близкия изток. От друга страна, констатираните нарушения и получени нотификации при транспортиране на домашни любимци (кучета и котки) се увеличават значително през последните години.</w:t>
      </w:r>
    </w:p>
    <w:p w14:paraId="0A34B049" w14:textId="77777777" w:rsidR="00F73920" w:rsidRPr="00F73920" w:rsidRDefault="00F73920" w:rsidP="00F73920">
      <w:pPr>
        <w:spacing w:after="120"/>
        <w:ind w:firstLine="709"/>
        <w:jc w:val="both"/>
        <w:rPr>
          <w:rFonts w:ascii="Arial Narrow" w:hAnsi="Arial Narrow"/>
          <w:lang w:val="bg-BG" w:eastAsia="bg-BG"/>
        </w:rPr>
      </w:pPr>
      <w:r w:rsidRPr="00F73920">
        <w:rPr>
          <w:rFonts w:ascii="Arial Narrow" w:hAnsi="Arial Narrow"/>
          <w:lang w:val="bg-BG" w:eastAsia="bg-BG"/>
        </w:rPr>
        <w:t xml:space="preserve">В рамките на 2024 г. са извършени общо 18 832 броя проверки. Процентът на констатираните несъответствия е 0,3%, като се отчита повишение в сравнение с предходните години. </w:t>
      </w:r>
    </w:p>
    <w:p w14:paraId="225B8709" w14:textId="77777777" w:rsidR="00F73920" w:rsidRPr="00F73920" w:rsidRDefault="00F73920" w:rsidP="00F73920">
      <w:pPr>
        <w:spacing w:after="120"/>
        <w:ind w:firstLine="709"/>
        <w:jc w:val="both"/>
        <w:rPr>
          <w:rFonts w:ascii="Arial Narrow" w:hAnsi="Arial Narrow"/>
          <w:lang w:val="bg-BG" w:eastAsia="bg-BG"/>
        </w:rPr>
      </w:pPr>
      <w:r w:rsidRPr="00F73920">
        <w:rPr>
          <w:rFonts w:ascii="Arial Narrow" w:hAnsi="Arial Narrow"/>
          <w:lang w:val="bg-BG" w:eastAsia="bg-BG"/>
        </w:rPr>
        <w:lastRenderedPageBreak/>
        <w:t xml:space="preserve">Общият брой случаи на неспазване на изискванията за хуманно отношение към животните по време на транспорт за 2024 г. е 50, а наложените в тази връзка санкции са 62.  </w:t>
      </w:r>
    </w:p>
    <w:p w14:paraId="2C5825AF" w14:textId="77777777" w:rsidR="00F73920" w:rsidRPr="00F73920" w:rsidRDefault="00F73920" w:rsidP="00F73920">
      <w:pPr>
        <w:spacing w:after="120"/>
        <w:ind w:firstLine="709"/>
        <w:jc w:val="both"/>
        <w:rPr>
          <w:rFonts w:ascii="Arial Narrow" w:hAnsi="Arial Narrow"/>
          <w:lang w:val="bg-BG" w:eastAsia="bg-BG"/>
        </w:rPr>
      </w:pPr>
      <w:r w:rsidRPr="00F73920">
        <w:rPr>
          <w:rFonts w:ascii="Arial Narrow" w:hAnsi="Arial Narrow"/>
          <w:lang w:val="bg-BG" w:eastAsia="bg-BG"/>
        </w:rPr>
        <w:t>През 2024 г. продължава извършването на проверки на пътя по време на транспорт, съвместно с органите на Министерство на вътрешните работи, с цел цялостно засилване на контрола и прекратяване на практиката за транспортирането на живи животни в нелицензирани транспортни средства. Констатираните несъответствия при лицензираните превозвачи стават все по-малко и по-незначителни.</w:t>
      </w:r>
    </w:p>
    <w:p w14:paraId="4CAA7401" w14:textId="77777777" w:rsidR="00F73920" w:rsidRPr="00F73920" w:rsidRDefault="00F73920" w:rsidP="00F73920">
      <w:pPr>
        <w:spacing w:after="120"/>
        <w:ind w:firstLine="709"/>
        <w:jc w:val="both"/>
        <w:rPr>
          <w:rFonts w:ascii="Arial Narrow" w:hAnsi="Arial Narrow"/>
          <w:lang w:val="bg-BG" w:eastAsia="bg-BG"/>
        </w:rPr>
      </w:pPr>
      <w:r w:rsidRPr="00F73920">
        <w:rPr>
          <w:rFonts w:ascii="Arial Narrow" w:hAnsi="Arial Narrow"/>
          <w:lang w:val="bg-BG" w:eastAsia="bg-BG"/>
        </w:rPr>
        <w:t xml:space="preserve">Отчита се положителна тенденция на подобряване ефективността на осъществявания контрол, за което допринасят и проведените обучения от ЦУ на БАБХ и по програмата BTSF на експертите, които одобряват транспортни средства. </w:t>
      </w:r>
    </w:p>
    <w:p w14:paraId="42312481" w14:textId="77777777" w:rsidR="00F73920" w:rsidRPr="00F73920" w:rsidRDefault="00F73920" w:rsidP="00F73920">
      <w:pPr>
        <w:spacing w:after="120"/>
        <w:ind w:firstLine="709"/>
        <w:jc w:val="both"/>
        <w:rPr>
          <w:rFonts w:ascii="Arial Narrow" w:hAnsi="Arial Narrow"/>
          <w:i/>
          <w:lang w:val="bg-BG" w:eastAsia="bg-BG"/>
        </w:rPr>
      </w:pPr>
      <w:r w:rsidRPr="00F73920">
        <w:rPr>
          <w:rFonts w:ascii="Arial Narrow" w:hAnsi="Arial Narrow"/>
          <w:i/>
          <w:lang w:val="bg-BG" w:eastAsia="bg-BG"/>
        </w:rPr>
        <w:t>Хуманно отношение към животни, използвани в опити и безстопанствени животни</w:t>
      </w:r>
    </w:p>
    <w:p w14:paraId="7252300B" w14:textId="77777777" w:rsidR="00F73920" w:rsidRPr="00F73920" w:rsidRDefault="00F73920" w:rsidP="00F73920">
      <w:pPr>
        <w:spacing w:after="120"/>
        <w:ind w:firstLine="709"/>
        <w:jc w:val="both"/>
        <w:rPr>
          <w:rFonts w:ascii="Arial Narrow" w:hAnsi="Arial Narrow"/>
          <w:lang w:val="bg-BG" w:eastAsia="bg-BG"/>
        </w:rPr>
      </w:pPr>
      <w:r w:rsidRPr="00F73920">
        <w:rPr>
          <w:rFonts w:ascii="Arial Narrow" w:hAnsi="Arial Narrow"/>
          <w:lang w:val="bg-BG" w:eastAsia="bg-BG"/>
        </w:rPr>
        <w:t>През 2024 г. от БАБХ са издадени общо 45 разрешителни за използване на животни в опити на основание чл. 155, ал. 7 от ЗВД, при 37 броя през предходната година. Увеличението на издадените разрешителни е поради стартиране на проекти на Университетите и научните учреждения, които са основни заявители на услугата. От друга страна, Комисията по етика към животните ще продължи да работи в посока намаляване на броя на лабораторните животни, използвани за обучение на студенти, в съответствие с европейските изисквания за защита и хуманно отношение към лабораторните животни. В тази връзка нарастват и препоръките към Университетите за филмирането на доста от упражненията на студентите, обучаващи се в медицински специалности в съответствие с изискванията на Директива 2010/63/ЕС на Европейския Парламент и на Съвета от 22 септември 2010 година относно защитата на животните, използвани за научни цели и препоръките на ЕК.</w:t>
      </w:r>
    </w:p>
    <w:p w14:paraId="560A0543" w14:textId="77777777" w:rsidR="00F73920" w:rsidRPr="00F73920" w:rsidRDefault="00F73920" w:rsidP="00F73920">
      <w:pPr>
        <w:spacing w:after="120"/>
        <w:ind w:firstLine="709"/>
        <w:jc w:val="both"/>
        <w:rPr>
          <w:rFonts w:ascii="Arial Narrow" w:hAnsi="Arial Narrow"/>
          <w:lang w:val="bg-BG" w:eastAsia="bg-BG"/>
        </w:rPr>
      </w:pPr>
      <w:r w:rsidRPr="00F73920">
        <w:rPr>
          <w:rFonts w:ascii="Arial Narrow" w:hAnsi="Arial Narrow"/>
          <w:lang w:val="bg-BG" w:eastAsia="bg-BG"/>
        </w:rPr>
        <w:t>БАБХ е изготвила годишен доклад за 2024 г. за изпълнение на общинските програми за овладяване популацията на безстопанствените кучета. Одобрен е отчет за изпълнение на Националната програма за овладяване на популацията на безстопанствените кучета на територията на Република България за 2024 г.</w:t>
      </w:r>
    </w:p>
    <w:p w14:paraId="5978D180" w14:textId="77777777" w:rsidR="00F73920" w:rsidRPr="00F73920" w:rsidRDefault="00F73920" w:rsidP="00F73920">
      <w:pPr>
        <w:spacing w:after="120"/>
        <w:ind w:firstLine="709"/>
        <w:jc w:val="both"/>
        <w:rPr>
          <w:rFonts w:ascii="Arial Narrow" w:hAnsi="Arial Narrow"/>
          <w:lang w:val="bg-BG" w:eastAsia="bg-BG"/>
        </w:rPr>
      </w:pPr>
      <w:r w:rsidRPr="00F73920">
        <w:rPr>
          <w:rFonts w:ascii="Arial Narrow" w:hAnsi="Arial Narrow"/>
          <w:lang w:val="bg-BG" w:eastAsia="bg-BG"/>
        </w:rPr>
        <w:t>През 2024 г., съгласно разпоредбите на Наредба № 4 от 1.02.2021 г. от БАБХ е изготвен обобщен доклад за извършено преброяване на безстопанствените кучета на територията на Република България за 2024 г.</w:t>
      </w:r>
    </w:p>
    <w:p w14:paraId="0B0A0680" w14:textId="77777777" w:rsidR="00F73920" w:rsidRPr="00F73920" w:rsidRDefault="00F73920" w:rsidP="00F73920">
      <w:pPr>
        <w:spacing w:after="120"/>
        <w:ind w:firstLine="709"/>
        <w:jc w:val="both"/>
        <w:rPr>
          <w:rFonts w:ascii="Arial Narrow" w:hAnsi="Arial Narrow"/>
          <w:lang w:val="bg-BG" w:eastAsia="bg-BG"/>
        </w:rPr>
      </w:pPr>
      <w:r w:rsidRPr="00F73920">
        <w:rPr>
          <w:rFonts w:ascii="Arial Narrow" w:hAnsi="Arial Narrow"/>
          <w:lang w:val="bg-BG" w:eastAsia="bg-BG"/>
        </w:rPr>
        <w:tab/>
        <w:t xml:space="preserve">През годината е взето участие в Шестата регионална среща на балканските страни за управление на популацията на кучета към WOAH – Световна организация по здравеопазване на животните. </w:t>
      </w:r>
    </w:p>
    <w:p w14:paraId="1AA81EAA" w14:textId="77777777" w:rsidR="00F73920" w:rsidRPr="0012514D" w:rsidRDefault="00F73920" w:rsidP="0012514D">
      <w:pPr>
        <w:spacing w:after="120"/>
        <w:ind w:firstLine="709"/>
        <w:jc w:val="both"/>
        <w:rPr>
          <w:rFonts w:ascii="Arial Narrow" w:hAnsi="Arial Narrow"/>
          <w:lang w:val="bg-BG" w:eastAsia="bg-BG"/>
        </w:rPr>
      </w:pPr>
      <w:r w:rsidRPr="00F73920">
        <w:rPr>
          <w:rFonts w:ascii="Arial Narrow" w:hAnsi="Arial Narrow"/>
          <w:lang w:val="bg-BG" w:eastAsia="bg-BG"/>
        </w:rPr>
        <w:t xml:space="preserve">На интернет сайта на БАБХ се поддържа </w:t>
      </w:r>
      <w:r w:rsidRPr="00F73920">
        <w:rPr>
          <w:rFonts w:ascii="Arial Narrow" w:eastAsia="Calibri" w:hAnsi="Arial Narrow"/>
          <w:lang w:val="bg-BG"/>
        </w:rPr>
        <w:t>актуален публичен регистър на приютите.</w:t>
      </w:r>
      <w:r w:rsidRPr="00F73920">
        <w:rPr>
          <w:rFonts w:ascii="Arial Narrow" w:hAnsi="Arial Narrow"/>
          <w:lang w:val="bg-BG" w:eastAsia="bg-BG"/>
        </w:rPr>
        <w:t xml:space="preserve"> </w:t>
      </w:r>
    </w:p>
    <w:p w14:paraId="3EAD2225" w14:textId="77777777" w:rsidR="0012514D" w:rsidRPr="0012514D" w:rsidRDefault="00522340" w:rsidP="0012514D">
      <w:pPr>
        <w:numPr>
          <w:ilvl w:val="1"/>
          <w:numId w:val="16"/>
        </w:numPr>
        <w:tabs>
          <w:tab w:val="left" w:pos="900"/>
          <w:tab w:val="left" w:pos="1080"/>
        </w:tabs>
        <w:spacing w:after="120" w:line="276" w:lineRule="auto"/>
        <w:ind w:left="805" w:hanging="448"/>
        <w:outlineLvl w:val="0"/>
        <w:rPr>
          <w:rFonts w:ascii="Arial Narrow" w:hAnsi="Arial Narrow"/>
          <w:b/>
          <w:lang w:val="bg-BG"/>
        </w:rPr>
      </w:pPr>
      <w:bookmarkStart w:id="162" w:name="_Toc87952114"/>
      <w:bookmarkStart w:id="163" w:name="_Toc210747626"/>
      <w:r w:rsidRPr="0012514D">
        <w:rPr>
          <w:rFonts w:ascii="Arial Narrow" w:hAnsi="Arial Narrow"/>
          <w:b/>
          <w:lang w:val="bg-BG"/>
        </w:rPr>
        <w:t>Идентификация на животните и ветеринарномедицинска дейност</w:t>
      </w:r>
      <w:bookmarkEnd w:id="162"/>
      <w:bookmarkEnd w:id="163"/>
    </w:p>
    <w:p w14:paraId="1303BCBC" w14:textId="77777777" w:rsidR="0012514D" w:rsidRPr="0012514D" w:rsidRDefault="0012514D" w:rsidP="0012514D">
      <w:pPr>
        <w:spacing w:after="120"/>
        <w:ind w:firstLine="709"/>
        <w:jc w:val="both"/>
        <w:rPr>
          <w:rFonts w:ascii="Arial Narrow" w:hAnsi="Arial Narrow"/>
          <w:lang w:val="bg-BG" w:eastAsia="bg-BG"/>
        </w:rPr>
      </w:pPr>
      <w:r w:rsidRPr="0012514D">
        <w:rPr>
          <w:rFonts w:ascii="Arial Narrow" w:hAnsi="Arial Narrow"/>
          <w:lang w:val="bg-BG" w:eastAsia="bg-BG"/>
        </w:rPr>
        <w:t>Дейностите, изпълнявани от БАБХ в тази сфера, са следните:</w:t>
      </w:r>
    </w:p>
    <w:p w14:paraId="116C433A" w14:textId="77777777" w:rsidR="0012514D" w:rsidRPr="0012514D" w:rsidRDefault="0012514D" w:rsidP="0012514D">
      <w:pPr>
        <w:numPr>
          <w:ilvl w:val="0"/>
          <w:numId w:val="11"/>
        </w:numPr>
        <w:overflowPunct w:val="0"/>
        <w:autoSpaceDE w:val="0"/>
        <w:autoSpaceDN w:val="0"/>
        <w:adjustRightInd w:val="0"/>
        <w:spacing w:after="120" w:line="276" w:lineRule="auto"/>
        <w:ind w:left="714" w:hanging="357"/>
        <w:jc w:val="both"/>
        <w:rPr>
          <w:rFonts w:ascii="Arial Narrow" w:eastAsia="Calibri" w:hAnsi="Arial Narrow"/>
          <w:lang w:val="bg-BG"/>
        </w:rPr>
      </w:pPr>
      <w:r w:rsidRPr="0012514D">
        <w:rPr>
          <w:rFonts w:ascii="Arial Narrow" w:eastAsia="Calibri" w:hAnsi="Arial Narrow"/>
          <w:lang w:val="bg-BG"/>
        </w:rPr>
        <w:t>Идентификация и регистрация на селскостопанските животни (едри и дребни преживни, свине, еднокопитни животни), пчелни семейства, домашни любимци;</w:t>
      </w:r>
    </w:p>
    <w:p w14:paraId="015BD420" w14:textId="77777777" w:rsidR="0012514D" w:rsidRPr="0012514D" w:rsidRDefault="0012514D" w:rsidP="0012514D">
      <w:pPr>
        <w:numPr>
          <w:ilvl w:val="0"/>
          <w:numId w:val="11"/>
        </w:numPr>
        <w:overflowPunct w:val="0"/>
        <w:autoSpaceDE w:val="0"/>
        <w:autoSpaceDN w:val="0"/>
        <w:adjustRightInd w:val="0"/>
        <w:spacing w:after="120" w:line="276" w:lineRule="auto"/>
        <w:ind w:left="714" w:hanging="357"/>
        <w:jc w:val="both"/>
        <w:rPr>
          <w:rFonts w:ascii="Arial Narrow" w:eastAsia="Calibri" w:hAnsi="Arial Narrow"/>
          <w:lang w:val="bg-BG"/>
        </w:rPr>
      </w:pPr>
      <w:r w:rsidRPr="0012514D">
        <w:rPr>
          <w:rFonts w:ascii="Arial Narrow" w:eastAsia="Calibri" w:hAnsi="Arial Narrow"/>
          <w:lang w:val="bg-BG"/>
        </w:rPr>
        <w:t>Регистрация на животновъдните обекти, съгласно действащото европейско и национално законодателство;</w:t>
      </w:r>
    </w:p>
    <w:p w14:paraId="3AE5911D" w14:textId="77777777" w:rsidR="0012514D" w:rsidRPr="0012514D" w:rsidRDefault="0012514D" w:rsidP="0012514D">
      <w:pPr>
        <w:numPr>
          <w:ilvl w:val="0"/>
          <w:numId w:val="11"/>
        </w:numPr>
        <w:overflowPunct w:val="0"/>
        <w:autoSpaceDE w:val="0"/>
        <w:autoSpaceDN w:val="0"/>
        <w:adjustRightInd w:val="0"/>
        <w:spacing w:after="120" w:line="276" w:lineRule="auto"/>
        <w:jc w:val="both"/>
        <w:rPr>
          <w:rFonts w:ascii="Arial Narrow" w:eastAsia="Calibri" w:hAnsi="Arial Narrow"/>
          <w:lang w:val="bg-BG"/>
        </w:rPr>
      </w:pPr>
      <w:r w:rsidRPr="0012514D">
        <w:rPr>
          <w:rFonts w:ascii="Arial Narrow" w:eastAsia="Calibri" w:hAnsi="Arial Narrow"/>
          <w:lang w:val="bg-BG"/>
        </w:rPr>
        <w:t>Своевременно въвеждане на данни в регистрите на Интегрирана информационна система на БАБХ – ВетИС (ИИС на БАБХ – ВетИС) във връзка с изпълнението на Националната програма за профилактика, надзор, контрол и ликвидиране на болестите по животните, включително и зоонозите в България;</w:t>
      </w:r>
      <w:r w:rsidRPr="0012514D">
        <w:rPr>
          <w:rFonts w:ascii="Calibri" w:eastAsia="Calibri" w:hAnsi="Calibri"/>
          <w:sz w:val="22"/>
          <w:szCs w:val="22"/>
        </w:rPr>
        <w:t xml:space="preserve"> </w:t>
      </w:r>
    </w:p>
    <w:p w14:paraId="13FCD5F0" w14:textId="77777777" w:rsidR="0012514D" w:rsidRPr="0012514D" w:rsidRDefault="0012514D" w:rsidP="0012514D">
      <w:pPr>
        <w:numPr>
          <w:ilvl w:val="0"/>
          <w:numId w:val="11"/>
        </w:numPr>
        <w:overflowPunct w:val="0"/>
        <w:autoSpaceDE w:val="0"/>
        <w:autoSpaceDN w:val="0"/>
        <w:adjustRightInd w:val="0"/>
        <w:spacing w:after="120" w:line="276" w:lineRule="auto"/>
        <w:jc w:val="both"/>
        <w:rPr>
          <w:rFonts w:ascii="Arial Narrow" w:eastAsia="Calibri" w:hAnsi="Arial Narrow"/>
          <w:lang w:val="bg-BG"/>
        </w:rPr>
      </w:pPr>
      <w:r w:rsidRPr="0012514D">
        <w:rPr>
          <w:rFonts w:ascii="Arial Narrow" w:eastAsia="Calibri" w:hAnsi="Arial Narrow"/>
          <w:lang w:val="bg-BG"/>
        </w:rPr>
        <w:t>Своевременно въвеждане на данни в Интегрираната информационна система „Регистри“ на БАБХ;</w:t>
      </w:r>
    </w:p>
    <w:p w14:paraId="65A8134E" w14:textId="77777777" w:rsidR="0012514D" w:rsidRPr="0012514D" w:rsidRDefault="0012514D" w:rsidP="0012514D">
      <w:pPr>
        <w:numPr>
          <w:ilvl w:val="0"/>
          <w:numId w:val="11"/>
        </w:numPr>
        <w:overflowPunct w:val="0"/>
        <w:autoSpaceDE w:val="0"/>
        <w:autoSpaceDN w:val="0"/>
        <w:adjustRightInd w:val="0"/>
        <w:spacing w:after="120" w:line="276" w:lineRule="auto"/>
        <w:jc w:val="both"/>
        <w:rPr>
          <w:rFonts w:ascii="Arial Narrow" w:eastAsia="Calibri" w:hAnsi="Arial Narrow"/>
          <w:lang w:val="bg-BG"/>
        </w:rPr>
      </w:pPr>
      <w:r w:rsidRPr="0012514D">
        <w:rPr>
          <w:rFonts w:ascii="Arial Narrow" w:eastAsia="Calibri" w:hAnsi="Arial Narrow"/>
          <w:lang w:val="bg-BG"/>
        </w:rPr>
        <w:t>Въвеждане в експлоатация на модул, чрез който стопаните уведомят регистрирания ветеринарен лекар (РВЛ), обслужващ животните в обекта за събития с тях – модул „Уведомления“;</w:t>
      </w:r>
    </w:p>
    <w:p w14:paraId="7BF97D3C" w14:textId="77777777" w:rsidR="0012514D" w:rsidRPr="0012514D" w:rsidRDefault="0012514D" w:rsidP="0012514D">
      <w:pPr>
        <w:numPr>
          <w:ilvl w:val="0"/>
          <w:numId w:val="11"/>
        </w:numPr>
        <w:overflowPunct w:val="0"/>
        <w:autoSpaceDE w:val="0"/>
        <w:autoSpaceDN w:val="0"/>
        <w:adjustRightInd w:val="0"/>
        <w:spacing w:after="120" w:line="276" w:lineRule="auto"/>
        <w:ind w:left="714" w:hanging="357"/>
        <w:jc w:val="both"/>
        <w:rPr>
          <w:rFonts w:ascii="Arial Narrow" w:eastAsia="Calibri" w:hAnsi="Arial Narrow"/>
          <w:lang w:val="bg-BG"/>
        </w:rPr>
      </w:pPr>
      <w:r w:rsidRPr="0012514D">
        <w:rPr>
          <w:rFonts w:ascii="Arial Narrow" w:eastAsia="Calibri" w:hAnsi="Arial Narrow"/>
          <w:lang w:val="bg-BG"/>
        </w:rPr>
        <w:lastRenderedPageBreak/>
        <w:t>Предоставяне на актуална информация, поддържана в регистрите на ИИС и въвеждане на информацията в допълнително разработения модул към Интегрираната система за администрация и контрол (ИСАК), поддържана от ДФ „Земеделие.</w:t>
      </w:r>
    </w:p>
    <w:p w14:paraId="2D466833" w14:textId="77777777" w:rsidR="0012514D" w:rsidRPr="0012514D" w:rsidRDefault="0012514D" w:rsidP="0012514D">
      <w:pPr>
        <w:spacing w:after="120"/>
        <w:ind w:firstLine="709"/>
        <w:jc w:val="both"/>
        <w:rPr>
          <w:rFonts w:ascii="Arial Narrow" w:hAnsi="Arial Narrow"/>
          <w:lang w:val="bg-BG" w:eastAsia="bg-BG"/>
        </w:rPr>
      </w:pPr>
      <w:r w:rsidRPr="0012514D">
        <w:rPr>
          <w:rFonts w:ascii="Arial Narrow" w:hAnsi="Arial Narrow"/>
          <w:lang w:val="bg-BG" w:eastAsia="bg-BG"/>
        </w:rPr>
        <w:t>В тази връзка, през 2024 г. продължи работата по развитие на съществуващите и добавяне на нови функционалности в ИИС на БАБХ – ВетИС за целите на официалния контрол, както и във връзка с подобряване на работата на потребителите на системата.</w:t>
      </w:r>
    </w:p>
    <w:p w14:paraId="01183AAF" w14:textId="77777777" w:rsidR="0012514D" w:rsidRPr="0012514D" w:rsidRDefault="0012514D" w:rsidP="0012514D">
      <w:pPr>
        <w:spacing w:after="120"/>
        <w:ind w:firstLine="709"/>
        <w:jc w:val="both"/>
        <w:rPr>
          <w:rFonts w:ascii="Arial Narrow" w:hAnsi="Arial Narrow"/>
          <w:lang w:val="bg-BG" w:eastAsia="bg-BG"/>
        </w:rPr>
      </w:pPr>
      <w:r w:rsidRPr="0012514D">
        <w:rPr>
          <w:rFonts w:ascii="Arial Narrow" w:hAnsi="Arial Narrow"/>
          <w:lang w:val="bg-BG" w:eastAsia="bg-BG"/>
        </w:rPr>
        <w:t>През годината са проведени срещи във връзка с изменение и допълнение на Закона за ветеринарномедицинската дейност, касаещи уведомяване по електронен път (от стопанина към РВЛ) за събития с животни. Изискванията влизат в сила от 01.07.2025 г.</w:t>
      </w:r>
    </w:p>
    <w:p w14:paraId="198FE9FF" w14:textId="77777777" w:rsidR="0012514D" w:rsidRPr="0012514D" w:rsidRDefault="0012514D" w:rsidP="0012514D">
      <w:pPr>
        <w:spacing w:after="120"/>
        <w:ind w:firstLine="709"/>
        <w:jc w:val="both"/>
        <w:rPr>
          <w:rFonts w:ascii="Arial Narrow" w:eastAsia="Calibri" w:hAnsi="Arial Narrow"/>
          <w:lang w:val="bg-BG"/>
        </w:rPr>
      </w:pPr>
      <w:r w:rsidRPr="0012514D">
        <w:rPr>
          <w:rFonts w:ascii="Arial Narrow" w:eastAsia="Calibri" w:hAnsi="Arial Narrow"/>
          <w:lang w:val="bg-BG" w:eastAsia="bg-BG"/>
        </w:rPr>
        <w:t xml:space="preserve">През 2024 г. от ОДБХ са извършени общо 21 888 проверки относно регистрация на животновъдните обекти, идентификация на животните, </w:t>
      </w:r>
      <w:r w:rsidRPr="0012514D">
        <w:rPr>
          <w:rFonts w:ascii="Arial Narrow" w:eastAsia="Calibri" w:hAnsi="Arial Narrow"/>
          <w:sz w:val="22"/>
          <w:szCs w:val="22"/>
          <w:lang w:val="bg-BG" w:eastAsia="bg-BG"/>
        </w:rPr>
        <w:t>дейността на регистрираните ветеринарни лекари (РВЛ) по изпълнение на националната профилактична програма и на ветеринарните лечебни заведения</w:t>
      </w:r>
      <w:r w:rsidRPr="0012514D">
        <w:rPr>
          <w:rFonts w:ascii="Arial Narrow" w:eastAsia="Calibri" w:hAnsi="Arial Narrow"/>
          <w:lang w:val="bg-BG" w:eastAsia="bg-BG"/>
        </w:rPr>
        <w:t xml:space="preserve">, в това число и такива по подадени жалби и сигнали. </w:t>
      </w:r>
      <w:r w:rsidRPr="0012514D">
        <w:rPr>
          <w:rFonts w:ascii="Arial Narrow" w:eastAsia="Calibri" w:hAnsi="Arial Narrow"/>
          <w:lang w:val="bg-BG"/>
        </w:rPr>
        <w:t xml:space="preserve">При контрола са издадени общо 1 647 предписания и са връчени 1 697 </w:t>
      </w:r>
      <w:r w:rsidRPr="0012514D">
        <w:rPr>
          <w:rFonts w:ascii="Arial Narrow" w:eastAsia="Calibri" w:hAnsi="Arial Narrow"/>
          <w:lang w:val="bg-BG" w:eastAsia="bg-BG"/>
        </w:rPr>
        <w:t>акта за установяване на административни нарушения (АУАН)</w:t>
      </w:r>
      <w:r w:rsidRPr="0012514D">
        <w:rPr>
          <w:rFonts w:ascii="Arial Narrow" w:eastAsia="Calibri" w:hAnsi="Arial Narrow"/>
          <w:lang w:val="bg-BG"/>
        </w:rPr>
        <w:t xml:space="preserve">. Издадени са и общо 1 035 наказателни постановления, като 987 от тях са влезли в сила. </w:t>
      </w:r>
    </w:p>
    <w:p w14:paraId="4110ABBD" w14:textId="77777777" w:rsidR="0012514D" w:rsidRPr="0012514D" w:rsidRDefault="0012514D" w:rsidP="0012514D">
      <w:pPr>
        <w:spacing w:after="120"/>
        <w:ind w:firstLine="714"/>
        <w:jc w:val="both"/>
        <w:rPr>
          <w:rFonts w:ascii="Arial Narrow" w:hAnsi="Arial Narrow"/>
          <w:lang w:val="bg-BG" w:eastAsia="bg-BG"/>
        </w:rPr>
      </w:pPr>
      <w:r w:rsidRPr="0012514D">
        <w:rPr>
          <w:rFonts w:ascii="Arial Narrow" w:hAnsi="Arial Narrow"/>
          <w:lang w:val="bg-BG" w:eastAsia="bg-BG"/>
        </w:rPr>
        <w:t>По отношение на регистрацията на животновъдните обекти, служителите от БАБХ са извършили общо 6 492 проверки, като най-голям е броят им на територията на ОДБХ Благоевград – 748, а най-малък в ОДБХ Видин – 60. В резултат на проверките са издадени 536 предписания и са връчени 93 акта за установяване на административно нарушение. Впоследствие са издадени общо 58 наказателни постановления, от които 54 са влезели в сила.</w:t>
      </w:r>
    </w:p>
    <w:p w14:paraId="3799374F" w14:textId="77777777" w:rsidR="0012514D" w:rsidRPr="0012514D" w:rsidRDefault="0012514D" w:rsidP="0012514D">
      <w:pPr>
        <w:spacing w:after="120"/>
        <w:ind w:firstLine="714"/>
        <w:jc w:val="both"/>
        <w:rPr>
          <w:rFonts w:ascii="Arial Narrow" w:hAnsi="Arial Narrow"/>
          <w:lang w:val="bg-BG" w:eastAsia="bg-BG"/>
        </w:rPr>
      </w:pPr>
      <w:r w:rsidRPr="0012514D">
        <w:rPr>
          <w:rFonts w:ascii="Arial Narrow" w:hAnsi="Arial Narrow"/>
          <w:lang w:val="bg-BG" w:eastAsia="bg-BG"/>
        </w:rPr>
        <w:t xml:space="preserve">През 2024 г. продължава тенденцията на постепенно намаление на проверките в тази област, което се обяснява основно с факта, че след 2020 г. е променено законодателството с цел значително облекчаване на стопаните за регистрация на животновъдни обекти от типа „лични стопанства“, регистриране в предходни периоди на животновъдни обекти, които до тогава не са имали валидно удостоверение, отразено в системата ВетИС, както и насочване на официалния контрол в сферата по идентификация на животните за 2024 г. По-малко са и предписанията и АУАН, сравнено с предходната година. </w:t>
      </w:r>
    </w:p>
    <w:p w14:paraId="0BEB91FE" w14:textId="77777777" w:rsidR="0012514D" w:rsidRPr="0012514D" w:rsidRDefault="0012514D" w:rsidP="00415172">
      <w:pPr>
        <w:keepNext/>
        <w:widowControl w:val="0"/>
        <w:spacing w:after="120"/>
        <w:jc w:val="center"/>
        <w:rPr>
          <w:rFonts w:ascii="Arial Narrow" w:eastAsia="Calibri" w:hAnsi="Arial Narrow"/>
          <w:b/>
          <w:i/>
          <w:sz w:val="22"/>
          <w:szCs w:val="22"/>
          <w:lang w:val="bg-BG"/>
        </w:rPr>
      </w:pPr>
      <w:r w:rsidRPr="0012514D">
        <w:rPr>
          <w:rFonts w:ascii="Arial Narrow" w:eastAsia="Calibri" w:hAnsi="Arial Narrow"/>
          <w:b/>
          <w:i/>
          <w:sz w:val="22"/>
          <w:szCs w:val="22"/>
          <w:lang w:val="bg-BG"/>
        </w:rPr>
        <w:t xml:space="preserve">Графика </w:t>
      </w:r>
      <w:r w:rsidRPr="0012514D">
        <w:rPr>
          <w:rFonts w:ascii="Arial Narrow" w:eastAsia="Calibri" w:hAnsi="Arial Narrow"/>
          <w:b/>
          <w:bCs/>
          <w:i/>
          <w:sz w:val="22"/>
          <w:szCs w:val="22"/>
        </w:rPr>
        <w:t>V</w:t>
      </w:r>
      <w:r w:rsidRPr="0012514D">
        <w:rPr>
          <w:rFonts w:ascii="Arial Narrow" w:eastAsia="Calibri" w:hAnsi="Arial Narrow"/>
          <w:b/>
          <w:bCs/>
          <w:i/>
          <w:sz w:val="22"/>
          <w:szCs w:val="22"/>
          <w:lang w:val="bg-BG"/>
        </w:rPr>
        <w:t>.1. Контрол на р</w:t>
      </w:r>
      <w:r w:rsidRPr="0012514D">
        <w:rPr>
          <w:rFonts w:ascii="Arial Narrow" w:eastAsia="Calibri" w:hAnsi="Arial Narrow"/>
          <w:b/>
          <w:i/>
          <w:sz w:val="22"/>
          <w:szCs w:val="22"/>
          <w:lang w:val="bg-BG"/>
        </w:rPr>
        <w:t>егистрация на животновъдни обекти през периода 2022 – 2024 г.</w:t>
      </w:r>
    </w:p>
    <w:p w14:paraId="674C6AE7" w14:textId="77777777" w:rsidR="0012514D" w:rsidRPr="0012514D" w:rsidRDefault="0012514D" w:rsidP="0012514D">
      <w:pPr>
        <w:keepNext/>
        <w:keepLines/>
        <w:spacing w:after="120" w:line="276" w:lineRule="auto"/>
        <w:ind w:left="-851" w:right="-569"/>
        <w:jc w:val="center"/>
        <w:rPr>
          <w:rFonts w:ascii="Arial Narrow" w:eastAsia="Calibri" w:hAnsi="Arial Narrow"/>
          <w:sz w:val="22"/>
          <w:szCs w:val="22"/>
          <w:lang w:val="bg-BG"/>
        </w:rPr>
      </w:pPr>
      <w:r w:rsidRPr="0012514D">
        <w:rPr>
          <w:rFonts w:ascii="Calibri" w:eastAsia="Calibri" w:hAnsi="Calibri"/>
          <w:noProof/>
          <w:sz w:val="22"/>
          <w:szCs w:val="22"/>
        </w:rPr>
        <w:drawing>
          <wp:inline distT="0" distB="0" distL="0" distR="0" wp14:anchorId="1DD2A4E4" wp14:editId="350C730E">
            <wp:extent cx="5004000" cy="2844000"/>
            <wp:effectExtent l="0" t="0" r="635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79AE1182" w14:textId="77777777" w:rsidR="0012514D" w:rsidRPr="0012514D" w:rsidRDefault="0012514D" w:rsidP="0012514D">
      <w:pPr>
        <w:spacing w:after="120"/>
        <w:ind w:firstLine="708"/>
        <w:rPr>
          <w:rFonts w:ascii="Arial Narrow" w:eastAsia="Calibri" w:hAnsi="Arial Narrow"/>
          <w:i/>
          <w:sz w:val="18"/>
          <w:szCs w:val="22"/>
          <w:lang w:val="bg-BG"/>
        </w:rPr>
      </w:pPr>
      <w:r w:rsidRPr="0012514D">
        <w:rPr>
          <w:rFonts w:ascii="Arial Narrow" w:eastAsia="Calibri" w:hAnsi="Arial Narrow"/>
          <w:i/>
          <w:sz w:val="18"/>
          <w:szCs w:val="22"/>
          <w:lang w:val="bg-BG"/>
        </w:rPr>
        <w:t xml:space="preserve">Източник:  </w:t>
      </w:r>
      <w:r w:rsidRPr="0012514D">
        <w:rPr>
          <w:rFonts w:ascii="Arial Narrow" w:eastAsia="Calibri" w:hAnsi="Arial Narrow"/>
          <w:sz w:val="18"/>
          <w:szCs w:val="22"/>
          <w:lang w:val="bg-BG"/>
        </w:rPr>
        <w:t>БАБХ</w:t>
      </w:r>
    </w:p>
    <w:p w14:paraId="25E29027" w14:textId="77777777" w:rsidR="0012514D" w:rsidRPr="0012514D" w:rsidRDefault="0012514D" w:rsidP="0012514D">
      <w:pPr>
        <w:spacing w:after="120"/>
        <w:ind w:firstLine="709"/>
        <w:jc w:val="both"/>
        <w:rPr>
          <w:rFonts w:ascii="Arial Narrow" w:hAnsi="Arial Narrow"/>
          <w:lang w:val="bg-BG" w:eastAsia="bg-BG"/>
        </w:rPr>
      </w:pPr>
      <w:r w:rsidRPr="0012514D">
        <w:rPr>
          <w:rFonts w:ascii="Arial Narrow" w:hAnsi="Arial Narrow"/>
          <w:lang w:val="bg-BG" w:eastAsia="bg-BG"/>
        </w:rPr>
        <w:t xml:space="preserve">При упражняване на контрола върху идентификацията на животните през 2024 г. са извършени общо 10 586 проверки, като най-голям е техният брой на територията на ОДБХ Ямбол – 1 625, а най-малък при ОДБХ Кюстендил – 67. При контрола от страна на ОДБХ в тази сфера, през годината са издадени общо 829 предписания и са връчени 1 514 АУАН. Издадени са и 917 броя наказателни постановления, като 879 </w:t>
      </w:r>
      <w:r w:rsidRPr="0012514D">
        <w:rPr>
          <w:rFonts w:ascii="Arial Narrow" w:hAnsi="Arial Narrow"/>
          <w:lang w:val="bg-BG" w:eastAsia="bg-BG"/>
        </w:rPr>
        <w:lastRenderedPageBreak/>
        <w:t>от тях са влезли в сила. Броят на проверките и на издадените АУАН се повишава в сравнение с предходната година, а броят на предписанията намалява.</w:t>
      </w:r>
    </w:p>
    <w:p w14:paraId="7FC0FF9B" w14:textId="77777777" w:rsidR="0012514D" w:rsidRPr="0012514D" w:rsidRDefault="0012514D" w:rsidP="0012514D">
      <w:pPr>
        <w:keepNext/>
        <w:spacing w:after="120"/>
        <w:jc w:val="center"/>
        <w:rPr>
          <w:rFonts w:ascii="Arial Narrow" w:hAnsi="Arial Narrow"/>
          <w:b/>
          <w:bCs/>
          <w:i/>
          <w:lang w:val="bg-BG"/>
        </w:rPr>
      </w:pPr>
      <w:r w:rsidRPr="0012514D">
        <w:rPr>
          <w:rFonts w:ascii="Arial Narrow" w:hAnsi="Arial Narrow"/>
          <w:b/>
          <w:i/>
          <w:lang w:val="bg-BG"/>
        </w:rPr>
        <w:t>Графика</w:t>
      </w:r>
      <w:r w:rsidRPr="0012514D">
        <w:rPr>
          <w:rFonts w:ascii="Arial Narrow" w:hAnsi="Arial Narrow"/>
          <w:b/>
          <w:bCs/>
          <w:i/>
          <w:lang w:val="bg-BG"/>
        </w:rPr>
        <w:t xml:space="preserve"> </w:t>
      </w:r>
      <w:r w:rsidRPr="0012514D">
        <w:rPr>
          <w:rFonts w:ascii="Arial Narrow" w:hAnsi="Arial Narrow"/>
          <w:b/>
          <w:bCs/>
          <w:i/>
        </w:rPr>
        <w:t>V</w:t>
      </w:r>
      <w:r w:rsidRPr="0012514D">
        <w:rPr>
          <w:rFonts w:ascii="Arial Narrow" w:hAnsi="Arial Narrow"/>
          <w:b/>
          <w:bCs/>
          <w:i/>
          <w:lang w:val="bg-BG"/>
        </w:rPr>
        <w:t>.2.</w:t>
      </w:r>
      <w:r w:rsidRPr="0012514D">
        <w:rPr>
          <w:rFonts w:ascii="Arial Narrow" w:hAnsi="Arial Narrow"/>
          <w:b/>
          <w:i/>
          <w:lang w:val="bg-BG"/>
        </w:rPr>
        <w:t xml:space="preserve"> </w:t>
      </w:r>
      <w:r w:rsidRPr="0012514D">
        <w:rPr>
          <w:rFonts w:ascii="Arial Narrow" w:hAnsi="Arial Narrow"/>
          <w:b/>
          <w:bCs/>
          <w:i/>
          <w:lang w:val="bg-BG"/>
        </w:rPr>
        <w:t xml:space="preserve">Контрол при идентификация на животните </w:t>
      </w:r>
      <w:r w:rsidRPr="0012514D">
        <w:rPr>
          <w:rFonts w:ascii="Arial Narrow" w:hAnsi="Arial Narrow"/>
          <w:b/>
          <w:i/>
          <w:lang w:val="bg-BG"/>
        </w:rPr>
        <w:t>през периода 2022 – 2024 г.</w:t>
      </w:r>
    </w:p>
    <w:p w14:paraId="2A1ADC8A" w14:textId="77777777" w:rsidR="0012514D" w:rsidRPr="0012514D" w:rsidRDefault="0012514D" w:rsidP="0012514D">
      <w:pPr>
        <w:widowControl w:val="0"/>
        <w:spacing w:after="120"/>
        <w:ind w:left="-709" w:right="-567"/>
        <w:jc w:val="center"/>
        <w:rPr>
          <w:rFonts w:ascii="Arial Narrow" w:hAnsi="Arial Narrow"/>
          <w:lang w:val="bg-BG"/>
        </w:rPr>
      </w:pPr>
      <w:r w:rsidRPr="0012514D">
        <w:rPr>
          <w:rFonts w:ascii="Calibri" w:eastAsia="Calibri" w:hAnsi="Calibri"/>
          <w:noProof/>
          <w:sz w:val="22"/>
          <w:szCs w:val="22"/>
        </w:rPr>
        <w:drawing>
          <wp:inline distT="0" distB="0" distL="0" distR="0" wp14:anchorId="39A6AAB7" wp14:editId="49F00506">
            <wp:extent cx="5004000" cy="2844000"/>
            <wp:effectExtent l="0" t="0" r="6350" b="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638B5E17" w14:textId="77777777" w:rsidR="0012514D" w:rsidRPr="0012514D" w:rsidRDefault="0012514D" w:rsidP="0012514D">
      <w:pPr>
        <w:spacing w:after="120"/>
        <w:ind w:firstLine="708"/>
        <w:rPr>
          <w:rFonts w:ascii="Arial Narrow" w:hAnsi="Arial Narrow"/>
          <w:sz w:val="18"/>
        </w:rPr>
      </w:pPr>
      <w:r w:rsidRPr="0012514D">
        <w:rPr>
          <w:rFonts w:ascii="Arial Narrow" w:hAnsi="Arial Narrow"/>
          <w:i/>
          <w:sz w:val="18"/>
          <w:lang w:val="bg-BG"/>
        </w:rPr>
        <w:t xml:space="preserve">Източник: </w:t>
      </w:r>
      <w:r w:rsidRPr="0012514D">
        <w:rPr>
          <w:rFonts w:ascii="Arial Narrow" w:hAnsi="Arial Narrow"/>
          <w:sz w:val="18"/>
        </w:rPr>
        <w:t>БАБХ</w:t>
      </w:r>
    </w:p>
    <w:p w14:paraId="74A58EE4" w14:textId="77777777" w:rsidR="0012514D" w:rsidRDefault="0012514D" w:rsidP="0012514D">
      <w:pPr>
        <w:spacing w:after="120"/>
        <w:ind w:firstLine="709"/>
        <w:jc w:val="both"/>
        <w:rPr>
          <w:rFonts w:ascii="Arial Narrow" w:eastAsia="Calibri" w:hAnsi="Arial Narrow"/>
          <w:lang w:val="bg-BG"/>
        </w:rPr>
      </w:pPr>
      <w:r w:rsidRPr="0012514D">
        <w:rPr>
          <w:rFonts w:ascii="Arial Narrow" w:eastAsia="Calibri" w:hAnsi="Arial Narrow"/>
          <w:lang w:val="bg-BG"/>
        </w:rPr>
        <w:t>При контрола в сферата на дейността на РВЛ през 2024 г. са извършени 2 943 проверки с най-голям интензитет при ОДБХ Разград – 203 броя. Издадени са общо 87 предписания и са връчени 37 АУАН. Освен това са издадени 23 наказателни постановления, от които 22 броя са влезли в сила. В сравнение с предходната година се наблюдава намаление както на извършените проверки, така и на издадените предписания и АУАН.</w:t>
      </w:r>
    </w:p>
    <w:p w14:paraId="0E67A84F" w14:textId="77777777" w:rsidR="00C90314" w:rsidRDefault="00C90314" w:rsidP="0012514D">
      <w:pPr>
        <w:spacing w:after="120"/>
        <w:ind w:firstLine="709"/>
        <w:jc w:val="both"/>
        <w:rPr>
          <w:rFonts w:ascii="Arial Narrow" w:eastAsia="Calibri" w:hAnsi="Arial Narrow"/>
          <w:lang w:val="bg-BG"/>
        </w:rPr>
      </w:pPr>
    </w:p>
    <w:p w14:paraId="39B08C55" w14:textId="77777777" w:rsidR="00C90314" w:rsidRPr="0012514D" w:rsidRDefault="00C90314" w:rsidP="0012514D">
      <w:pPr>
        <w:spacing w:after="120"/>
        <w:ind w:firstLine="709"/>
        <w:jc w:val="both"/>
        <w:rPr>
          <w:rFonts w:ascii="Arial Narrow" w:eastAsia="Calibri" w:hAnsi="Arial Narrow"/>
          <w:lang w:val="bg-BG"/>
        </w:rPr>
      </w:pPr>
    </w:p>
    <w:p w14:paraId="4504641B" w14:textId="77777777" w:rsidR="0012514D" w:rsidRPr="0012514D" w:rsidRDefault="0012514D" w:rsidP="0012514D">
      <w:pPr>
        <w:spacing w:after="120"/>
        <w:jc w:val="center"/>
        <w:rPr>
          <w:rFonts w:ascii="Arial Narrow" w:eastAsia="Calibri" w:hAnsi="Arial Narrow"/>
          <w:b/>
          <w:bCs/>
          <w:i/>
          <w:sz w:val="22"/>
          <w:szCs w:val="22"/>
          <w:lang w:val="bg-BG"/>
        </w:rPr>
      </w:pPr>
      <w:r w:rsidRPr="0012514D">
        <w:rPr>
          <w:rFonts w:ascii="Arial Narrow" w:eastAsia="Calibri" w:hAnsi="Arial Narrow"/>
          <w:b/>
          <w:i/>
          <w:sz w:val="22"/>
          <w:szCs w:val="22"/>
          <w:lang w:val="bg-BG"/>
        </w:rPr>
        <w:t>Графика</w:t>
      </w:r>
      <w:r w:rsidRPr="0012514D">
        <w:rPr>
          <w:rFonts w:ascii="Arial Narrow" w:eastAsia="Calibri" w:hAnsi="Arial Narrow"/>
          <w:b/>
          <w:bCs/>
          <w:i/>
          <w:sz w:val="22"/>
          <w:szCs w:val="22"/>
          <w:lang w:val="bg-BG"/>
        </w:rPr>
        <w:t xml:space="preserve"> </w:t>
      </w:r>
      <w:r w:rsidRPr="0012514D">
        <w:rPr>
          <w:rFonts w:ascii="Arial Narrow" w:eastAsia="Calibri" w:hAnsi="Arial Narrow"/>
          <w:b/>
          <w:bCs/>
          <w:i/>
          <w:sz w:val="22"/>
          <w:szCs w:val="22"/>
        </w:rPr>
        <w:t>V</w:t>
      </w:r>
      <w:r w:rsidRPr="0012514D">
        <w:rPr>
          <w:rFonts w:ascii="Arial Narrow" w:eastAsia="Calibri" w:hAnsi="Arial Narrow"/>
          <w:b/>
          <w:bCs/>
          <w:i/>
          <w:sz w:val="22"/>
          <w:szCs w:val="22"/>
          <w:lang w:val="bg-BG"/>
        </w:rPr>
        <w:t>.3.</w:t>
      </w:r>
      <w:r w:rsidRPr="0012514D">
        <w:rPr>
          <w:rFonts w:ascii="Arial Narrow" w:eastAsia="Calibri" w:hAnsi="Arial Narrow"/>
          <w:b/>
          <w:i/>
          <w:sz w:val="22"/>
          <w:szCs w:val="22"/>
          <w:lang w:val="bg-BG"/>
        </w:rPr>
        <w:t xml:space="preserve"> </w:t>
      </w:r>
      <w:r w:rsidRPr="0012514D">
        <w:rPr>
          <w:rFonts w:ascii="Arial Narrow" w:eastAsia="Calibri" w:hAnsi="Arial Narrow"/>
          <w:b/>
          <w:bCs/>
          <w:i/>
          <w:sz w:val="22"/>
          <w:szCs w:val="22"/>
          <w:lang w:val="bg-BG"/>
        </w:rPr>
        <w:t>Контрол на дейността на регистрираните ветеринарни лекари, в това число и при изпълнение на Националната профилактична програма</w:t>
      </w:r>
      <w:r w:rsidRPr="0012514D">
        <w:rPr>
          <w:rFonts w:ascii="Arial Narrow" w:eastAsia="Calibri" w:hAnsi="Arial Narrow"/>
          <w:b/>
          <w:i/>
          <w:sz w:val="22"/>
          <w:szCs w:val="22"/>
          <w:lang w:val="bg-BG"/>
        </w:rPr>
        <w:t xml:space="preserve"> през периода 2022 - 2024 г.</w:t>
      </w:r>
    </w:p>
    <w:p w14:paraId="548147BC" w14:textId="77777777" w:rsidR="0012514D" w:rsidRPr="0012514D" w:rsidRDefault="0012514D" w:rsidP="0012514D">
      <w:pPr>
        <w:widowControl w:val="0"/>
        <w:spacing w:after="120" w:line="276" w:lineRule="auto"/>
        <w:ind w:left="-709" w:right="-567"/>
        <w:jc w:val="center"/>
        <w:rPr>
          <w:rFonts w:ascii="Arial Narrow" w:eastAsia="Calibri" w:hAnsi="Arial Narrow"/>
          <w:b/>
          <w:bCs/>
          <w:color w:val="FF0000"/>
          <w:sz w:val="22"/>
          <w:szCs w:val="22"/>
          <w:lang w:val="bg-BG"/>
        </w:rPr>
      </w:pPr>
      <w:r w:rsidRPr="0012514D">
        <w:rPr>
          <w:rFonts w:ascii="Calibri" w:eastAsia="Calibri" w:hAnsi="Calibri"/>
          <w:noProof/>
          <w:sz w:val="22"/>
          <w:szCs w:val="22"/>
        </w:rPr>
        <w:drawing>
          <wp:inline distT="0" distB="0" distL="0" distR="0" wp14:anchorId="17FD8927" wp14:editId="74836C11">
            <wp:extent cx="5003800" cy="2762250"/>
            <wp:effectExtent l="0" t="0" r="6350"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7EA9CEA9" w14:textId="77777777" w:rsidR="0012514D" w:rsidRPr="0012514D" w:rsidRDefault="0012514D" w:rsidP="0012514D">
      <w:pPr>
        <w:spacing w:after="120"/>
        <w:ind w:left="720"/>
        <w:rPr>
          <w:rFonts w:ascii="Arial Narrow" w:eastAsia="Calibri" w:hAnsi="Arial Narrow"/>
          <w:sz w:val="18"/>
          <w:szCs w:val="22"/>
          <w:lang w:val="bg-BG"/>
        </w:rPr>
      </w:pPr>
      <w:r w:rsidRPr="0012514D">
        <w:rPr>
          <w:rFonts w:ascii="Arial Narrow" w:eastAsia="Calibri" w:hAnsi="Arial Narrow"/>
          <w:i/>
          <w:sz w:val="18"/>
          <w:szCs w:val="22"/>
          <w:lang w:val="bg-BG"/>
        </w:rPr>
        <w:t>Източник</w:t>
      </w:r>
      <w:r w:rsidRPr="0012514D">
        <w:rPr>
          <w:rFonts w:ascii="Arial Narrow" w:eastAsia="Calibri" w:hAnsi="Arial Narrow"/>
          <w:sz w:val="18"/>
          <w:szCs w:val="22"/>
          <w:lang w:val="bg-BG"/>
        </w:rPr>
        <w:t>: БАБХ</w:t>
      </w:r>
    </w:p>
    <w:p w14:paraId="536A21A7" w14:textId="77777777" w:rsidR="0012514D" w:rsidRPr="0012514D" w:rsidRDefault="0012514D" w:rsidP="0012514D">
      <w:pPr>
        <w:spacing w:after="120"/>
        <w:ind w:firstLine="709"/>
        <w:jc w:val="both"/>
        <w:rPr>
          <w:rFonts w:ascii="Arial Narrow" w:eastAsia="Calibri" w:hAnsi="Arial Narrow"/>
          <w:lang w:val="bg-BG"/>
        </w:rPr>
      </w:pPr>
      <w:r w:rsidRPr="0012514D">
        <w:rPr>
          <w:rFonts w:ascii="Arial Narrow" w:eastAsia="Calibri" w:hAnsi="Arial Narrow"/>
          <w:lang w:val="bg-BG"/>
        </w:rPr>
        <w:t xml:space="preserve">През 2024 г. служители на ОДБХ са извършили общо 1 597 проверки на ветеринарните лечебни заведения. При контрола от тяхна страна са издадени 195 предписания и са връчени 52 АУАН. Издадени </w:t>
      </w:r>
      <w:r w:rsidRPr="0012514D">
        <w:rPr>
          <w:rFonts w:ascii="Arial Narrow" w:eastAsia="Calibri" w:hAnsi="Arial Narrow"/>
          <w:lang w:val="bg-BG"/>
        </w:rPr>
        <w:lastRenderedPageBreak/>
        <w:t xml:space="preserve">са 37 наказателни постановления, като 32 от тях са влезли в сила. Макар извършените проверки да са по-малко спрямо 2023 г., при издадените предписания и връчените АУАН е налице увеличение. </w:t>
      </w:r>
    </w:p>
    <w:p w14:paraId="2999F20A" w14:textId="77777777" w:rsidR="0012514D" w:rsidRPr="0012514D" w:rsidRDefault="0012514D" w:rsidP="0012514D">
      <w:pPr>
        <w:spacing w:after="120"/>
        <w:ind w:left="-709" w:right="-569" w:firstLine="709"/>
        <w:jc w:val="center"/>
        <w:rPr>
          <w:rFonts w:ascii="Arial Narrow" w:eastAsia="Calibri" w:hAnsi="Arial Narrow"/>
          <w:b/>
          <w:bCs/>
          <w:i/>
          <w:sz w:val="22"/>
          <w:szCs w:val="22"/>
          <w:lang w:val="bg-BG"/>
        </w:rPr>
      </w:pPr>
      <w:r w:rsidRPr="0012514D">
        <w:rPr>
          <w:rFonts w:ascii="Arial Narrow" w:eastAsia="Calibri" w:hAnsi="Arial Narrow"/>
          <w:b/>
          <w:i/>
          <w:sz w:val="22"/>
          <w:szCs w:val="22"/>
          <w:lang w:val="bg-BG"/>
        </w:rPr>
        <w:t>Графика</w:t>
      </w:r>
      <w:r w:rsidRPr="0012514D">
        <w:rPr>
          <w:rFonts w:ascii="Arial Narrow" w:eastAsia="Calibri" w:hAnsi="Arial Narrow"/>
          <w:b/>
          <w:bCs/>
          <w:i/>
          <w:sz w:val="22"/>
          <w:szCs w:val="22"/>
          <w:lang w:val="bg-BG"/>
        </w:rPr>
        <w:t xml:space="preserve"> </w:t>
      </w:r>
      <w:r w:rsidRPr="0012514D">
        <w:rPr>
          <w:rFonts w:ascii="Arial Narrow" w:eastAsia="Calibri" w:hAnsi="Arial Narrow"/>
          <w:b/>
          <w:bCs/>
          <w:i/>
          <w:sz w:val="22"/>
          <w:szCs w:val="22"/>
        </w:rPr>
        <w:t>V</w:t>
      </w:r>
      <w:r w:rsidRPr="0012514D">
        <w:rPr>
          <w:rFonts w:ascii="Arial Narrow" w:eastAsia="Calibri" w:hAnsi="Arial Narrow"/>
          <w:b/>
          <w:bCs/>
          <w:i/>
          <w:sz w:val="22"/>
          <w:szCs w:val="22"/>
          <w:lang w:val="bg-BG"/>
        </w:rPr>
        <w:t>.4. Контрол на ветеринарните лечебни заведения през 2022 и 2024 г.</w:t>
      </w:r>
    </w:p>
    <w:p w14:paraId="11E73277" w14:textId="77777777" w:rsidR="0012514D" w:rsidRPr="0012514D" w:rsidRDefault="0012514D" w:rsidP="0012514D">
      <w:pPr>
        <w:spacing w:after="120" w:line="276" w:lineRule="auto"/>
        <w:ind w:left="-709" w:right="-569"/>
        <w:jc w:val="center"/>
        <w:rPr>
          <w:rFonts w:ascii="Arial Narrow" w:eastAsia="Calibri" w:hAnsi="Arial Narrow"/>
          <w:b/>
          <w:bCs/>
          <w:color w:val="FF0000"/>
          <w:sz w:val="22"/>
          <w:szCs w:val="22"/>
          <w:lang w:val="bg-BG"/>
        </w:rPr>
      </w:pPr>
      <w:r w:rsidRPr="0012514D">
        <w:rPr>
          <w:rFonts w:ascii="Calibri" w:eastAsia="Calibri" w:hAnsi="Calibri"/>
          <w:noProof/>
          <w:sz w:val="22"/>
          <w:szCs w:val="22"/>
        </w:rPr>
        <w:drawing>
          <wp:inline distT="0" distB="0" distL="0" distR="0" wp14:anchorId="70D5AC47" wp14:editId="503F1368">
            <wp:extent cx="5003800" cy="2724150"/>
            <wp:effectExtent l="0" t="0" r="6350" b="0"/>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6D87C7FC" w14:textId="77777777" w:rsidR="0012514D" w:rsidRPr="0012514D" w:rsidRDefault="0012514D" w:rsidP="0012514D">
      <w:pPr>
        <w:spacing w:after="120"/>
        <w:ind w:firstLine="709"/>
        <w:rPr>
          <w:rFonts w:ascii="Arial Narrow" w:eastAsia="Calibri" w:hAnsi="Arial Narrow"/>
          <w:i/>
          <w:sz w:val="18"/>
          <w:szCs w:val="22"/>
          <w:lang w:val="bg-BG"/>
        </w:rPr>
      </w:pPr>
      <w:r w:rsidRPr="0012514D">
        <w:rPr>
          <w:rFonts w:ascii="Arial Narrow" w:eastAsia="Calibri" w:hAnsi="Arial Narrow"/>
          <w:i/>
          <w:sz w:val="18"/>
          <w:szCs w:val="22"/>
          <w:lang w:val="bg-BG"/>
        </w:rPr>
        <w:t xml:space="preserve">       Източник: </w:t>
      </w:r>
      <w:r w:rsidRPr="0012514D">
        <w:rPr>
          <w:rFonts w:ascii="Arial Narrow" w:eastAsia="Calibri" w:hAnsi="Arial Narrow"/>
          <w:sz w:val="18"/>
          <w:szCs w:val="22"/>
          <w:lang w:val="bg-BG"/>
        </w:rPr>
        <w:t>БАБХ</w:t>
      </w:r>
    </w:p>
    <w:p w14:paraId="0D0FF6B3" w14:textId="77777777" w:rsidR="0012514D" w:rsidRPr="0012514D" w:rsidRDefault="0012514D" w:rsidP="0012514D">
      <w:pPr>
        <w:spacing w:after="120"/>
        <w:ind w:firstLine="714"/>
        <w:jc w:val="both"/>
        <w:rPr>
          <w:rFonts w:ascii="Arial Narrow" w:hAnsi="Arial Narrow"/>
          <w:lang w:val="bg-BG" w:eastAsia="bg-BG"/>
        </w:rPr>
      </w:pPr>
      <w:r w:rsidRPr="0012514D">
        <w:rPr>
          <w:rFonts w:ascii="Arial Narrow" w:hAnsi="Arial Narrow"/>
          <w:lang w:val="bg-BG" w:eastAsia="bg-BG"/>
        </w:rPr>
        <w:t>През 2025 г. контролът, свързан с идентификацията и регистрацията на животните и ветеринарномедицинската дейност, продължава да следва основните заложени оперативни цели:</w:t>
      </w:r>
    </w:p>
    <w:p w14:paraId="3877F716" w14:textId="77777777" w:rsidR="0012514D" w:rsidRPr="0012514D" w:rsidRDefault="0012514D" w:rsidP="0012514D">
      <w:pPr>
        <w:numPr>
          <w:ilvl w:val="0"/>
          <w:numId w:val="11"/>
        </w:numPr>
        <w:overflowPunct w:val="0"/>
        <w:autoSpaceDE w:val="0"/>
        <w:autoSpaceDN w:val="0"/>
        <w:adjustRightInd w:val="0"/>
        <w:spacing w:after="120" w:line="276" w:lineRule="auto"/>
        <w:ind w:left="714" w:hanging="357"/>
        <w:jc w:val="both"/>
        <w:rPr>
          <w:rFonts w:ascii="Arial Narrow" w:eastAsia="Calibri" w:hAnsi="Arial Narrow"/>
          <w:lang w:val="bg-BG"/>
        </w:rPr>
      </w:pPr>
      <w:r w:rsidRPr="0012514D">
        <w:rPr>
          <w:rFonts w:ascii="Arial Narrow" w:eastAsia="Calibri" w:hAnsi="Arial Narrow"/>
          <w:lang w:val="bg-BG"/>
        </w:rPr>
        <w:t>Осигуряване на навременната идентификация и регистрация на животните, както и регистрация на животновъдните обекти съобразно ЗВД, които допринасят в голяма степен за осигуряване на защита на здравето на хората и животните, както и за защита от измами;</w:t>
      </w:r>
    </w:p>
    <w:p w14:paraId="6D4EDA76" w14:textId="77777777" w:rsidR="0012514D" w:rsidRPr="0012514D" w:rsidRDefault="0012514D" w:rsidP="0012514D">
      <w:pPr>
        <w:numPr>
          <w:ilvl w:val="0"/>
          <w:numId w:val="11"/>
        </w:numPr>
        <w:spacing w:after="200" w:line="276" w:lineRule="auto"/>
        <w:contextualSpacing/>
        <w:jc w:val="both"/>
        <w:rPr>
          <w:rFonts w:ascii="Arial Narrow" w:eastAsia="Calibri" w:hAnsi="Arial Narrow"/>
          <w:lang w:val="bg-BG"/>
        </w:rPr>
      </w:pPr>
      <w:r w:rsidRPr="0012514D">
        <w:rPr>
          <w:rFonts w:ascii="Arial Narrow" w:eastAsia="Calibri" w:hAnsi="Arial Narrow"/>
          <w:lang w:val="bg-BG"/>
        </w:rPr>
        <w:t>Осигуряване на своевременно въвеждане на коректни данни в Интегрираната информационна система „Регистри“ на БАБХ;</w:t>
      </w:r>
    </w:p>
    <w:p w14:paraId="051FC80C" w14:textId="77777777" w:rsidR="0012514D" w:rsidRPr="0012514D" w:rsidRDefault="0012514D" w:rsidP="0012514D">
      <w:pPr>
        <w:numPr>
          <w:ilvl w:val="0"/>
          <w:numId w:val="11"/>
        </w:numPr>
        <w:overflowPunct w:val="0"/>
        <w:autoSpaceDE w:val="0"/>
        <w:autoSpaceDN w:val="0"/>
        <w:adjustRightInd w:val="0"/>
        <w:spacing w:after="120" w:line="276" w:lineRule="auto"/>
        <w:ind w:left="714" w:hanging="357"/>
        <w:jc w:val="both"/>
        <w:rPr>
          <w:rFonts w:ascii="Arial Narrow" w:eastAsia="Calibri" w:hAnsi="Arial Narrow"/>
          <w:lang w:val="bg-BG"/>
        </w:rPr>
      </w:pPr>
      <w:r w:rsidRPr="0012514D">
        <w:rPr>
          <w:rFonts w:ascii="Arial Narrow" w:eastAsia="Calibri" w:hAnsi="Arial Narrow"/>
          <w:lang w:val="bg-BG"/>
        </w:rPr>
        <w:t>Осигуряване на навременно въвеждане на коректни данни в регистрите на ИИС на БАБХ – ВетИС относно идентификацията и регистрацията на животните, както и на данните, свързани с изпълнението на Националната програма за профилактика, надзор, контрол и ликвидиране на болестите по животните, включително зоонозите в България (НППНКЛБЖЗ);</w:t>
      </w:r>
    </w:p>
    <w:p w14:paraId="2F4A2C7B" w14:textId="77777777" w:rsidR="0012514D" w:rsidRPr="0012514D" w:rsidRDefault="0012514D" w:rsidP="0012514D">
      <w:pPr>
        <w:numPr>
          <w:ilvl w:val="0"/>
          <w:numId w:val="11"/>
        </w:numPr>
        <w:overflowPunct w:val="0"/>
        <w:autoSpaceDE w:val="0"/>
        <w:autoSpaceDN w:val="0"/>
        <w:adjustRightInd w:val="0"/>
        <w:spacing w:after="120" w:line="276" w:lineRule="auto"/>
        <w:ind w:left="714" w:hanging="357"/>
        <w:jc w:val="both"/>
        <w:rPr>
          <w:rFonts w:ascii="Arial Narrow" w:eastAsia="Calibri" w:hAnsi="Arial Narrow"/>
          <w:lang w:val="bg-BG"/>
        </w:rPr>
      </w:pPr>
      <w:r w:rsidRPr="0012514D">
        <w:rPr>
          <w:rFonts w:ascii="Arial Narrow" w:eastAsia="Calibri" w:hAnsi="Arial Narrow"/>
          <w:lang w:val="bg-BG"/>
        </w:rPr>
        <w:t>Отчитане на извършените дейности от РВЛ по НППНКЛБЖЗ;</w:t>
      </w:r>
    </w:p>
    <w:p w14:paraId="4B994665" w14:textId="77777777" w:rsidR="0012514D" w:rsidRPr="0012514D" w:rsidRDefault="0012514D" w:rsidP="0012514D">
      <w:pPr>
        <w:numPr>
          <w:ilvl w:val="0"/>
          <w:numId w:val="11"/>
        </w:numPr>
        <w:overflowPunct w:val="0"/>
        <w:autoSpaceDE w:val="0"/>
        <w:autoSpaceDN w:val="0"/>
        <w:adjustRightInd w:val="0"/>
        <w:spacing w:after="120" w:line="276" w:lineRule="auto"/>
        <w:ind w:left="714" w:hanging="357"/>
        <w:jc w:val="both"/>
        <w:rPr>
          <w:rFonts w:ascii="Arial Narrow" w:eastAsia="Calibri" w:hAnsi="Arial Narrow"/>
          <w:lang w:val="bg-BG"/>
        </w:rPr>
      </w:pPr>
      <w:r w:rsidRPr="0012514D">
        <w:rPr>
          <w:rFonts w:ascii="Arial Narrow" w:eastAsia="Calibri" w:hAnsi="Arial Narrow"/>
          <w:lang w:val="bg-BG"/>
        </w:rPr>
        <w:t>Дейности по обслужване на животновъди;</w:t>
      </w:r>
    </w:p>
    <w:p w14:paraId="522E771E" w14:textId="77777777" w:rsidR="0012514D" w:rsidRPr="0012514D" w:rsidRDefault="0012514D" w:rsidP="0012514D">
      <w:pPr>
        <w:numPr>
          <w:ilvl w:val="0"/>
          <w:numId w:val="11"/>
        </w:numPr>
        <w:overflowPunct w:val="0"/>
        <w:autoSpaceDE w:val="0"/>
        <w:autoSpaceDN w:val="0"/>
        <w:adjustRightInd w:val="0"/>
        <w:spacing w:after="120" w:line="276" w:lineRule="auto"/>
        <w:ind w:left="714" w:hanging="357"/>
        <w:jc w:val="both"/>
        <w:rPr>
          <w:rFonts w:ascii="Arial Narrow" w:eastAsia="Calibri" w:hAnsi="Arial Narrow"/>
          <w:lang w:val="bg-BG"/>
        </w:rPr>
      </w:pPr>
      <w:r w:rsidRPr="0012514D">
        <w:rPr>
          <w:rFonts w:ascii="Arial Narrow" w:eastAsia="Calibri" w:hAnsi="Arial Narrow"/>
          <w:lang w:val="bg-BG"/>
        </w:rPr>
        <w:t>Развитие на Интегрираната информационна система на БАБХ – ВетИС.</w:t>
      </w:r>
    </w:p>
    <w:p w14:paraId="5B9C9F5A" w14:textId="77777777" w:rsidR="0012514D" w:rsidRPr="0012514D" w:rsidRDefault="0012514D" w:rsidP="0012514D">
      <w:pPr>
        <w:spacing w:after="120"/>
        <w:ind w:firstLine="709"/>
        <w:jc w:val="both"/>
        <w:rPr>
          <w:rFonts w:ascii="Arial Narrow" w:hAnsi="Arial Narrow"/>
          <w:lang w:val="bg-BG" w:eastAsia="bg-BG"/>
        </w:rPr>
      </w:pPr>
      <w:r w:rsidRPr="0012514D">
        <w:rPr>
          <w:rFonts w:ascii="Arial Narrow" w:hAnsi="Arial Narrow"/>
          <w:lang w:val="bg-BG" w:eastAsia="bg-BG"/>
        </w:rPr>
        <w:t>Изпълнението на тези цели ще се постигне чрез извършване на проверки за съответствие с изискванията на законодателството в областта; работа и обработка по документация, свързана с програмите за подпомагане на земеделските производители; проверки във връзка с изготвяне на справки на земеделски производители; изготвяне на проекти за изменение на нормативни актове и подобряване на отделни контроли в ИИС на БАБХ – ВетИС.</w:t>
      </w:r>
    </w:p>
    <w:p w14:paraId="229A174A" w14:textId="77777777" w:rsidR="0012514D" w:rsidRPr="000453A0" w:rsidRDefault="00F17F24" w:rsidP="000453A0">
      <w:pPr>
        <w:numPr>
          <w:ilvl w:val="1"/>
          <w:numId w:val="16"/>
        </w:numPr>
        <w:tabs>
          <w:tab w:val="left" w:pos="900"/>
          <w:tab w:val="left" w:pos="1080"/>
        </w:tabs>
        <w:spacing w:after="120" w:line="276" w:lineRule="auto"/>
        <w:ind w:left="805" w:hanging="448"/>
        <w:outlineLvl w:val="0"/>
        <w:rPr>
          <w:rFonts w:ascii="Arial Narrow" w:hAnsi="Arial Narrow"/>
          <w:b/>
          <w:bCs/>
          <w:lang w:val="bg-BG"/>
        </w:rPr>
      </w:pPr>
      <w:bookmarkStart w:id="164" w:name="_Toc210747627"/>
      <w:bookmarkStart w:id="165" w:name="_Toc87952115"/>
      <w:r w:rsidRPr="000453A0">
        <w:rPr>
          <w:rFonts w:ascii="Arial Narrow" w:hAnsi="Arial Narrow"/>
          <w:b/>
          <w:lang w:val="bg-BG"/>
        </w:rPr>
        <w:t>Контрол на храните</w:t>
      </w:r>
      <w:bookmarkEnd w:id="164"/>
      <w:r w:rsidRPr="000453A0">
        <w:rPr>
          <w:rFonts w:ascii="Arial Narrow" w:hAnsi="Arial Narrow"/>
          <w:b/>
          <w:lang w:val="bg-BG"/>
        </w:rPr>
        <w:t xml:space="preserve"> </w:t>
      </w:r>
      <w:bookmarkStart w:id="166" w:name="_Toc87952116"/>
      <w:bookmarkEnd w:id="165"/>
    </w:p>
    <w:p w14:paraId="0C7C3253" w14:textId="77777777" w:rsidR="00690C5C" w:rsidRPr="00690C5C" w:rsidRDefault="00690C5C" w:rsidP="00690C5C">
      <w:pPr>
        <w:spacing w:after="120"/>
        <w:ind w:firstLine="709"/>
        <w:jc w:val="both"/>
        <w:rPr>
          <w:rFonts w:ascii="Arial Narrow" w:hAnsi="Arial Narrow"/>
          <w:lang w:val="bg-BG" w:eastAsia="bg-BG"/>
        </w:rPr>
      </w:pPr>
      <w:r w:rsidRPr="00690C5C">
        <w:rPr>
          <w:rFonts w:ascii="Arial Narrow" w:hAnsi="Arial Narrow"/>
          <w:lang w:val="bg-BG" w:eastAsia="bg-BG"/>
        </w:rPr>
        <w:t xml:space="preserve">БАБХ методически ръководи и координира дейността на ОДБХ по осъществяване контрола на безопасността и качеството на суровините, храните, включително тези със защитени географски наименования, биопродукти, както и материалите и предметите, предназначени за контакт с храни, добавки в храните, ензими и ароматизанти; хуманното отношение към животните по време на клане. </w:t>
      </w:r>
    </w:p>
    <w:p w14:paraId="13A355B9" w14:textId="77777777" w:rsidR="00690C5C" w:rsidRPr="00690C5C" w:rsidRDefault="00690C5C" w:rsidP="00690C5C">
      <w:pPr>
        <w:spacing w:after="120"/>
        <w:ind w:firstLine="709"/>
        <w:jc w:val="both"/>
        <w:rPr>
          <w:rFonts w:ascii="Arial Narrow" w:hAnsi="Arial Narrow"/>
          <w:lang w:val="bg-BG" w:eastAsia="bg-BG"/>
        </w:rPr>
      </w:pPr>
      <w:r w:rsidRPr="00690C5C">
        <w:rPr>
          <w:rFonts w:ascii="Arial Narrow" w:hAnsi="Arial Narrow"/>
          <w:lang w:val="bg-BG" w:eastAsia="bg-BG"/>
        </w:rPr>
        <w:t xml:space="preserve">Чрез поддържането на уеб-базирана система за национални регистри и списъци на обектите под контрол на БАБХ се улеснява достъпът на потребителите, бизнес операторите и институциите до актуална </w:t>
      </w:r>
      <w:r w:rsidRPr="00690C5C">
        <w:rPr>
          <w:rFonts w:ascii="Arial Narrow" w:hAnsi="Arial Narrow"/>
          <w:lang w:val="bg-BG" w:eastAsia="bg-BG"/>
        </w:rPr>
        <w:lastRenderedPageBreak/>
        <w:t xml:space="preserve">информация за регистрираните обекти на територията на страната. Общият брой на регистрираните обекти и транспортни средства в обхвата на контрол на ОДБХ за 2024 г. е 217 904 броя. </w:t>
      </w:r>
    </w:p>
    <w:p w14:paraId="7C1C5D31" w14:textId="77777777" w:rsidR="00690C5C" w:rsidRPr="00690C5C" w:rsidRDefault="00690C5C" w:rsidP="00690C5C">
      <w:pPr>
        <w:spacing w:after="120"/>
        <w:ind w:firstLine="709"/>
        <w:jc w:val="both"/>
        <w:rPr>
          <w:rFonts w:ascii="Arial Narrow" w:hAnsi="Arial Narrow"/>
          <w:lang w:val="bg-BG" w:eastAsia="bg-BG"/>
        </w:rPr>
      </w:pPr>
      <w:r w:rsidRPr="00690C5C">
        <w:rPr>
          <w:rFonts w:ascii="Arial Narrow" w:hAnsi="Arial Narrow"/>
          <w:lang w:val="bg-BG" w:eastAsia="bg-BG"/>
        </w:rPr>
        <w:t>През 2024 г. започна внедряването на Интегрираната информационна система „РЕГИСТРИ“ на БАБХ (ИИСР</w:t>
      </w:r>
      <w:r w:rsidRPr="00690C5C">
        <w:rPr>
          <w:rFonts w:ascii="Arial Narrow" w:hAnsi="Arial Narrow"/>
          <w:b/>
          <w:lang w:val="bg-BG" w:eastAsia="bg-BG"/>
        </w:rPr>
        <w:t>)</w:t>
      </w:r>
      <w:r w:rsidRPr="00690C5C">
        <w:rPr>
          <w:rFonts w:ascii="Arial Narrow" w:hAnsi="Arial Narrow"/>
          <w:lang w:val="bg-BG" w:eastAsia="bg-BG"/>
        </w:rPr>
        <w:t xml:space="preserve">, обслужваща регистрацията на обектите за производство, преработка и/или дистрибуция на храни. Официалният контрол на храните в България се извършва адекватно, в пълно съответствие с изискванията на европейското и националното законодателство. Въз основа на анализ на риска се осъществява ефективен официален контрол върху безопасността на храните в обекти за производство, преработка и дистрибуция на храни. Извършват се допълнителни тематични проверки (зимен и летен туристически сезон, официални и религиозни празници и др.) и проверки по сигнали. </w:t>
      </w:r>
    </w:p>
    <w:p w14:paraId="67300979" w14:textId="77777777" w:rsidR="00690C5C" w:rsidRPr="00690C5C" w:rsidRDefault="008242D1" w:rsidP="00690C5C">
      <w:pPr>
        <w:spacing w:after="120"/>
        <w:rPr>
          <w:rFonts w:ascii="Arial Narrow" w:hAnsi="Arial Narrow"/>
          <w:b/>
          <w:bCs/>
          <w:lang w:val="bg-BG" w:eastAsia="bg-BG"/>
        </w:rPr>
      </w:pPr>
      <w:r>
        <w:rPr>
          <w:rFonts w:ascii="Arial Narrow" w:hAnsi="Arial Narrow"/>
          <w:b/>
          <w:bCs/>
          <w:lang w:val="bg-BG" w:eastAsia="bg-BG"/>
        </w:rPr>
        <w:t>Таблица V.9</w:t>
      </w:r>
      <w:r w:rsidR="00690C5C" w:rsidRPr="00690C5C">
        <w:rPr>
          <w:rFonts w:ascii="Arial Narrow" w:hAnsi="Arial Narrow"/>
          <w:b/>
          <w:bCs/>
          <w:lang w:val="bg-BG" w:eastAsia="bg-BG"/>
        </w:rPr>
        <w:t>. Осъществен официален контрол върху безопасността на храните през периода 2022 -2024 г.</w:t>
      </w:r>
    </w:p>
    <w:tbl>
      <w:tblPr>
        <w:tblW w:w="498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39"/>
        <w:gridCol w:w="1844"/>
        <w:gridCol w:w="1844"/>
        <w:gridCol w:w="1842"/>
      </w:tblGrid>
      <w:tr w:rsidR="00690C5C" w:rsidRPr="00690C5C" w14:paraId="260805AE" w14:textId="77777777" w:rsidTr="00352E63">
        <w:trPr>
          <w:trHeight w:val="316"/>
          <w:tblHeader/>
        </w:trPr>
        <w:tc>
          <w:tcPr>
            <w:tcW w:w="2169" w:type="pct"/>
            <w:shd w:val="clear" w:color="auto" w:fill="auto"/>
            <w:vAlign w:val="center"/>
            <w:hideMark/>
          </w:tcPr>
          <w:p w14:paraId="38E85DB8" w14:textId="77777777" w:rsidR="00690C5C" w:rsidRPr="00690C5C" w:rsidRDefault="00690C5C" w:rsidP="00690C5C">
            <w:pPr>
              <w:jc w:val="center"/>
              <w:rPr>
                <w:rFonts w:ascii="Arial Narrow" w:hAnsi="Arial Narrow" w:cs="Calibri"/>
                <w:b/>
                <w:bCs/>
                <w:sz w:val="20"/>
                <w:szCs w:val="20"/>
              </w:rPr>
            </w:pPr>
          </w:p>
        </w:tc>
        <w:tc>
          <w:tcPr>
            <w:tcW w:w="944" w:type="pct"/>
            <w:shd w:val="clear" w:color="auto" w:fill="auto"/>
            <w:vAlign w:val="center"/>
            <w:hideMark/>
          </w:tcPr>
          <w:p w14:paraId="456031DD" w14:textId="77777777" w:rsidR="00690C5C" w:rsidRPr="00690C5C" w:rsidRDefault="00690C5C" w:rsidP="00690C5C">
            <w:pPr>
              <w:jc w:val="center"/>
              <w:rPr>
                <w:rFonts w:ascii="Arial Narrow" w:hAnsi="Arial Narrow" w:cs="Calibri"/>
                <w:b/>
                <w:bCs/>
                <w:sz w:val="20"/>
                <w:szCs w:val="20"/>
              </w:rPr>
            </w:pPr>
            <w:r w:rsidRPr="00690C5C">
              <w:rPr>
                <w:rFonts w:ascii="Arial Narrow" w:hAnsi="Arial Narrow" w:cs="Calibri"/>
                <w:b/>
                <w:bCs/>
                <w:sz w:val="20"/>
                <w:szCs w:val="20"/>
                <w:lang w:val="bg-BG"/>
              </w:rPr>
              <w:t>2022 г.</w:t>
            </w:r>
          </w:p>
        </w:tc>
        <w:tc>
          <w:tcPr>
            <w:tcW w:w="944" w:type="pct"/>
            <w:shd w:val="clear" w:color="auto" w:fill="auto"/>
            <w:vAlign w:val="center"/>
            <w:hideMark/>
          </w:tcPr>
          <w:p w14:paraId="1665B2D8" w14:textId="77777777" w:rsidR="00690C5C" w:rsidRPr="00690C5C" w:rsidRDefault="00690C5C" w:rsidP="00690C5C">
            <w:pPr>
              <w:jc w:val="center"/>
              <w:rPr>
                <w:rFonts w:ascii="Arial Narrow" w:hAnsi="Arial Narrow" w:cs="Calibri"/>
                <w:b/>
                <w:bCs/>
                <w:sz w:val="20"/>
                <w:szCs w:val="20"/>
              </w:rPr>
            </w:pPr>
            <w:r w:rsidRPr="00690C5C">
              <w:rPr>
                <w:rFonts w:ascii="Arial Narrow" w:hAnsi="Arial Narrow" w:cs="Calibri"/>
                <w:b/>
                <w:bCs/>
                <w:sz w:val="20"/>
                <w:szCs w:val="20"/>
                <w:lang w:val="bg-BG"/>
              </w:rPr>
              <w:t>2023 г.</w:t>
            </w:r>
          </w:p>
        </w:tc>
        <w:tc>
          <w:tcPr>
            <w:tcW w:w="943" w:type="pct"/>
            <w:vAlign w:val="center"/>
          </w:tcPr>
          <w:p w14:paraId="568ACDDA" w14:textId="77777777" w:rsidR="00690C5C" w:rsidRPr="00690C5C" w:rsidRDefault="00690C5C" w:rsidP="00690C5C">
            <w:pPr>
              <w:jc w:val="center"/>
              <w:rPr>
                <w:rFonts w:ascii="Arial Narrow" w:hAnsi="Arial Narrow" w:cs="Calibri"/>
                <w:b/>
                <w:bCs/>
                <w:sz w:val="20"/>
                <w:szCs w:val="20"/>
                <w:lang w:val="bg-BG"/>
              </w:rPr>
            </w:pPr>
            <w:r w:rsidRPr="00690C5C">
              <w:rPr>
                <w:rFonts w:ascii="Arial Narrow" w:hAnsi="Arial Narrow" w:cs="Calibri"/>
                <w:b/>
                <w:bCs/>
                <w:sz w:val="20"/>
                <w:szCs w:val="20"/>
                <w:lang w:val="bg-BG"/>
              </w:rPr>
              <w:t>2024 г.</w:t>
            </w:r>
          </w:p>
        </w:tc>
      </w:tr>
      <w:tr w:rsidR="00690C5C" w:rsidRPr="00690C5C" w14:paraId="3D2D67DE" w14:textId="77777777" w:rsidTr="00352E63">
        <w:trPr>
          <w:trHeight w:val="300"/>
        </w:trPr>
        <w:tc>
          <w:tcPr>
            <w:tcW w:w="2169" w:type="pct"/>
            <w:shd w:val="clear" w:color="auto" w:fill="auto"/>
            <w:vAlign w:val="center"/>
            <w:hideMark/>
          </w:tcPr>
          <w:p w14:paraId="1CCEA3C1" w14:textId="77777777" w:rsidR="00690C5C" w:rsidRPr="00690C5C" w:rsidRDefault="00690C5C" w:rsidP="00690C5C">
            <w:pPr>
              <w:rPr>
                <w:rFonts w:ascii="Arial Narrow" w:hAnsi="Arial Narrow" w:cs="Calibri"/>
                <w:sz w:val="20"/>
                <w:szCs w:val="20"/>
              </w:rPr>
            </w:pPr>
            <w:r w:rsidRPr="00690C5C">
              <w:rPr>
                <w:rFonts w:ascii="Arial Narrow" w:hAnsi="Arial Narrow" w:cs="Calibri"/>
                <w:sz w:val="20"/>
                <w:szCs w:val="20"/>
                <w:lang w:val="bg-BG"/>
              </w:rPr>
              <w:t>1. В обекти за производство и търговия на едро с храни – планирани проверки (брой)</w:t>
            </w:r>
          </w:p>
        </w:tc>
        <w:tc>
          <w:tcPr>
            <w:tcW w:w="944" w:type="pct"/>
            <w:shd w:val="clear" w:color="auto" w:fill="auto"/>
            <w:vAlign w:val="center"/>
            <w:hideMark/>
          </w:tcPr>
          <w:p w14:paraId="3E6CD7CA" w14:textId="77777777" w:rsidR="00690C5C" w:rsidRPr="00690C5C" w:rsidRDefault="00690C5C" w:rsidP="00690C5C">
            <w:pPr>
              <w:jc w:val="center"/>
              <w:rPr>
                <w:rFonts w:ascii="Arial Narrow" w:hAnsi="Arial Narrow" w:cs="Calibri"/>
                <w:sz w:val="20"/>
                <w:szCs w:val="20"/>
              </w:rPr>
            </w:pPr>
            <w:r w:rsidRPr="00690C5C">
              <w:rPr>
                <w:rFonts w:ascii="Arial Narrow" w:hAnsi="Arial Narrow" w:cs="Calibri"/>
                <w:sz w:val="20"/>
                <w:szCs w:val="20"/>
                <w:lang w:val="bg-BG"/>
              </w:rPr>
              <w:t>21 855</w:t>
            </w:r>
          </w:p>
        </w:tc>
        <w:tc>
          <w:tcPr>
            <w:tcW w:w="944" w:type="pct"/>
            <w:shd w:val="clear" w:color="auto" w:fill="auto"/>
            <w:vAlign w:val="center"/>
            <w:hideMark/>
          </w:tcPr>
          <w:p w14:paraId="709F2E75" w14:textId="77777777" w:rsidR="00690C5C" w:rsidRPr="00690C5C" w:rsidRDefault="00690C5C" w:rsidP="00690C5C">
            <w:pPr>
              <w:jc w:val="center"/>
              <w:rPr>
                <w:rFonts w:ascii="Arial Narrow" w:hAnsi="Arial Narrow" w:cs="Calibri"/>
                <w:sz w:val="20"/>
                <w:szCs w:val="20"/>
              </w:rPr>
            </w:pPr>
            <w:r w:rsidRPr="00690C5C">
              <w:rPr>
                <w:rFonts w:ascii="Arial Narrow" w:hAnsi="Arial Narrow" w:cs="Calibri"/>
                <w:sz w:val="20"/>
                <w:szCs w:val="20"/>
                <w:lang w:val="bg-BG"/>
              </w:rPr>
              <w:t>20 629</w:t>
            </w:r>
          </w:p>
        </w:tc>
        <w:tc>
          <w:tcPr>
            <w:tcW w:w="943" w:type="pct"/>
            <w:vAlign w:val="center"/>
          </w:tcPr>
          <w:p w14:paraId="25C622AF" w14:textId="77777777" w:rsidR="00690C5C" w:rsidRPr="00690C5C" w:rsidRDefault="00690C5C" w:rsidP="00690C5C">
            <w:pPr>
              <w:jc w:val="center"/>
              <w:rPr>
                <w:rFonts w:ascii="Arial Narrow" w:hAnsi="Arial Narrow" w:cs="Calibri"/>
                <w:sz w:val="20"/>
                <w:szCs w:val="20"/>
                <w:lang w:val="bg-BG"/>
              </w:rPr>
            </w:pPr>
            <w:r w:rsidRPr="00690C5C">
              <w:rPr>
                <w:rFonts w:ascii="Arial Narrow" w:hAnsi="Arial Narrow" w:cs="Calibri"/>
                <w:sz w:val="20"/>
                <w:szCs w:val="20"/>
                <w:lang w:val="bg-BG"/>
              </w:rPr>
              <w:t>33 628</w:t>
            </w:r>
          </w:p>
        </w:tc>
      </w:tr>
      <w:tr w:rsidR="00690C5C" w:rsidRPr="00690C5C" w14:paraId="3740C110" w14:textId="77777777" w:rsidTr="00352E63">
        <w:trPr>
          <w:trHeight w:val="512"/>
        </w:trPr>
        <w:tc>
          <w:tcPr>
            <w:tcW w:w="2169" w:type="pct"/>
            <w:shd w:val="clear" w:color="auto" w:fill="auto"/>
            <w:vAlign w:val="center"/>
            <w:hideMark/>
          </w:tcPr>
          <w:p w14:paraId="11F696C1" w14:textId="77777777" w:rsidR="00690C5C" w:rsidRPr="00690C5C" w:rsidRDefault="00690C5C" w:rsidP="00690C5C">
            <w:pPr>
              <w:rPr>
                <w:rFonts w:ascii="Arial Narrow" w:hAnsi="Arial Narrow" w:cs="Calibri"/>
                <w:sz w:val="20"/>
                <w:szCs w:val="20"/>
              </w:rPr>
            </w:pPr>
            <w:r w:rsidRPr="00690C5C">
              <w:rPr>
                <w:rFonts w:ascii="Arial Narrow" w:hAnsi="Arial Narrow" w:cs="Calibri"/>
                <w:sz w:val="20"/>
                <w:szCs w:val="20"/>
                <w:lang w:val="bg-BG"/>
              </w:rPr>
              <w:t>2. В Обекти за търговия на дребно и заведения за обществено хранене (брой)</w:t>
            </w:r>
          </w:p>
        </w:tc>
        <w:tc>
          <w:tcPr>
            <w:tcW w:w="944" w:type="pct"/>
            <w:shd w:val="clear" w:color="auto" w:fill="auto"/>
            <w:vAlign w:val="center"/>
            <w:hideMark/>
          </w:tcPr>
          <w:p w14:paraId="3C021B31" w14:textId="77777777" w:rsidR="00690C5C" w:rsidRPr="00690C5C" w:rsidRDefault="00690C5C" w:rsidP="00690C5C">
            <w:pPr>
              <w:jc w:val="center"/>
              <w:rPr>
                <w:rFonts w:ascii="Arial Narrow" w:hAnsi="Arial Narrow" w:cs="Calibri"/>
                <w:sz w:val="20"/>
                <w:szCs w:val="20"/>
              </w:rPr>
            </w:pPr>
            <w:r w:rsidRPr="00690C5C">
              <w:rPr>
                <w:rFonts w:ascii="Arial Narrow" w:hAnsi="Arial Narrow" w:cs="Calibri"/>
                <w:sz w:val="20"/>
                <w:szCs w:val="20"/>
              </w:rPr>
              <w:t>118 736</w:t>
            </w:r>
          </w:p>
        </w:tc>
        <w:tc>
          <w:tcPr>
            <w:tcW w:w="944" w:type="pct"/>
            <w:shd w:val="clear" w:color="auto" w:fill="auto"/>
            <w:vAlign w:val="center"/>
            <w:hideMark/>
          </w:tcPr>
          <w:p w14:paraId="37D9FFAB" w14:textId="77777777" w:rsidR="00690C5C" w:rsidRPr="00690C5C" w:rsidRDefault="00690C5C" w:rsidP="00690C5C">
            <w:pPr>
              <w:jc w:val="center"/>
              <w:rPr>
                <w:rFonts w:ascii="Arial Narrow" w:hAnsi="Arial Narrow" w:cs="Calibri"/>
                <w:sz w:val="20"/>
                <w:szCs w:val="20"/>
              </w:rPr>
            </w:pPr>
            <w:r w:rsidRPr="00690C5C">
              <w:rPr>
                <w:rFonts w:ascii="Arial Narrow" w:hAnsi="Arial Narrow" w:cs="Calibri"/>
                <w:sz w:val="20"/>
                <w:szCs w:val="20"/>
                <w:lang w:val="bg-BG"/>
              </w:rPr>
              <w:t>96 576</w:t>
            </w:r>
          </w:p>
        </w:tc>
        <w:tc>
          <w:tcPr>
            <w:tcW w:w="943" w:type="pct"/>
            <w:vAlign w:val="center"/>
          </w:tcPr>
          <w:p w14:paraId="413206EE" w14:textId="77777777" w:rsidR="00690C5C" w:rsidRPr="00690C5C" w:rsidRDefault="00690C5C" w:rsidP="00690C5C">
            <w:pPr>
              <w:jc w:val="center"/>
              <w:rPr>
                <w:rFonts w:ascii="Arial Narrow" w:hAnsi="Arial Narrow" w:cs="Calibri"/>
                <w:sz w:val="20"/>
                <w:szCs w:val="20"/>
                <w:lang w:val="bg-BG"/>
              </w:rPr>
            </w:pPr>
            <w:r w:rsidRPr="00690C5C">
              <w:rPr>
                <w:rFonts w:ascii="Arial Narrow" w:hAnsi="Arial Narrow" w:cs="Calibri"/>
                <w:sz w:val="20"/>
                <w:szCs w:val="20"/>
                <w:lang w:val="bg-BG"/>
              </w:rPr>
              <w:t>104 376</w:t>
            </w:r>
          </w:p>
        </w:tc>
      </w:tr>
      <w:tr w:rsidR="00690C5C" w:rsidRPr="00690C5C" w14:paraId="7B390EDB" w14:textId="77777777" w:rsidTr="00352E63">
        <w:trPr>
          <w:trHeight w:val="300"/>
        </w:trPr>
        <w:tc>
          <w:tcPr>
            <w:tcW w:w="2169" w:type="pct"/>
            <w:shd w:val="clear" w:color="auto" w:fill="auto"/>
            <w:vAlign w:val="center"/>
            <w:hideMark/>
          </w:tcPr>
          <w:p w14:paraId="4A3B4C2B" w14:textId="77777777" w:rsidR="00690C5C" w:rsidRPr="00690C5C" w:rsidRDefault="00690C5C" w:rsidP="00690C5C">
            <w:pPr>
              <w:rPr>
                <w:rFonts w:ascii="Arial Narrow" w:hAnsi="Arial Narrow" w:cs="Calibri"/>
                <w:sz w:val="20"/>
                <w:szCs w:val="20"/>
              </w:rPr>
            </w:pPr>
            <w:r w:rsidRPr="00690C5C">
              <w:rPr>
                <w:rFonts w:ascii="Arial Narrow" w:hAnsi="Arial Narrow" w:cs="Calibri"/>
                <w:sz w:val="20"/>
                <w:szCs w:val="20"/>
                <w:lang w:val="bg-BG"/>
              </w:rPr>
              <w:t>3. Извънпланови проверки (брой)</w:t>
            </w:r>
          </w:p>
        </w:tc>
        <w:tc>
          <w:tcPr>
            <w:tcW w:w="944" w:type="pct"/>
            <w:shd w:val="clear" w:color="auto" w:fill="auto"/>
            <w:vAlign w:val="center"/>
            <w:hideMark/>
          </w:tcPr>
          <w:p w14:paraId="5FE5E0CA" w14:textId="77777777" w:rsidR="00690C5C" w:rsidRPr="00690C5C" w:rsidRDefault="00690C5C" w:rsidP="00690C5C">
            <w:pPr>
              <w:jc w:val="center"/>
              <w:rPr>
                <w:rFonts w:ascii="Arial Narrow" w:hAnsi="Arial Narrow" w:cs="Calibri"/>
                <w:sz w:val="20"/>
                <w:szCs w:val="20"/>
              </w:rPr>
            </w:pPr>
            <w:r w:rsidRPr="00690C5C">
              <w:rPr>
                <w:rFonts w:ascii="Arial Narrow" w:hAnsi="Arial Narrow" w:cs="Calibri"/>
                <w:sz w:val="20"/>
                <w:szCs w:val="20"/>
                <w:lang w:val="bg-BG"/>
              </w:rPr>
              <w:t>8 165</w:t>
            </w:r>
          </w:p>
        </w:tc>
        <w:tc>
          <w:tcPr>
            <w:tcW w:w="944" w:type="pct"/>
            <w:shd w:val="clear" w:color="auto" w:fill="auto"/>
            <w:vAlign w:val="center"/>
            <w:hideMark/>
          </w:tcPr>
          <w:p w14:paraId="10ED970D" w14:textId="77777777" w:rsidR="00690C5C" w:rsidRPr="00690C5C" w:rsidRDefault="00690C5C" w:rsidP="00690C5C">
            <w:pPr>
              <w:jc w:val="center"/>
              <w:rPr>
                <w:rFonts w:ascii="Arial Narrow" w:hAnsi="Arial Narrow" w:cs="Calibri"/>
                <w:sz w:val="20"/>
                <w:szCs w:val="20"/>
              </w:rPr>
            </w:pPr>
            <w:r w:rsidRPr="00690C5C">
              <w:rPr>
                <w:rFonts w:ascii="Arial Narrow" w:hAnsi="Arial Narrow" w:cs="Calibri"/>
                <w:sz w:val="20"/>
                <w:szCs w:val="20"/>
                <w:lang w:val="bg-BG"/>
              </w:rPr>
              <w:t>23 872</w:t>
            </w:r>
          </w:p>
        </w:tc>
        <w:tc>
          <w:tcPr>
            <w:tcW w:w="943" w:type="pct"/>
            <w:vAlign w:val="center"/>
          </w:tcPr>
          <w:p w14:paraId="05C89642" w14:textId="77777777" w:rsidR="00690C5C" w:rsidRPr="00690C5C" w:rsidRDefault="00690C5C" w:rsidP="00690C5C">
            <w:pPr>
              <w:jc w:val="center"/>
              <w:rPr>
                <w:rFonts w:ascii="Arial Narrow" w:hAnsi="Arial Narrow" w:cs="Calibri"/>
                <w:sz w:val="20"/>
                <w:szCs w:val="20"/>
                <w:lang w:val="bg-BG"/>
              </w:rPr>
            </w:pPr>
            <w:r w:rsidRPr="00690C5C">
              <w:rPr>
                <w:rFonts w:ascii="Arial Narrow" w:hAnsi="Arial Narrow" w:cs="Calibri"/>
                <w:sz w:val="20"/>
                <w:szCs w:val="20"/>
                <w:lang w:val="bg-BG"/>
              </w:rPr>
              <w:t>25 884</w:t>
            </w:r>
          </w:p>
        </w:tc>
      </w:tr>
      <w:tr w:rsidR="00690C5C" w:rsidRPr="00690C5C" w14:paraId="093FA20A" w14:textId="77777777" w:rsidTr="00352E63">
        <w:trPr>
          <w:trHeight w:val="300"/>
        </w:trPr>
        <w:tc>
          <w:tcPr>
            <w:tcW w:w="2169" w:type="pct"/>
            <w:shd w:val="clear" w:color="auto" w:fill="auto"/>
            <w:vAlign w:val="center"/>
          </w:tcPr>
          <w:p w14:paraId="56FBE031" w14:textId="77777777" w:rsidR="00690C5C" w:rsidRPr="00690C5C" w:rsidRDefault="00690C5C" w:rsidP="00690C5C">
            <w:pPr>
              <w:rPr>
                <w:rFonts w:ascii="Arial Narrow" w:hAnsi="Arial Narrow" w:cs="Calibri"/>
                <w:sz w:val="20"/>
                <w:szCs w:val="20"/>
                <w:lang w:val="bg-BG"/>
              </w:rPr>
            </w:pPr>
            <w:r w:rsidRPr="00690C5C">
              <w:rPr>
                <w:rFonts w:ascii="Arial Narrow" w:hAnsi="Arial Narrow" w:cs="Calibri"/>
                <w:sz w:val="20"/>
                <w:szCs w:val="20"/>
                <w:lang w:val="bg-BG"/>
              </w:rPr>
              <w:t xml:space="preserve">4. Общ брой извършени проверки </w:t>
            </w:r>
          </w:p>
        </w:tc>
        <w:tc>
          <w:tcPr>
            <w:tcW w:w="944" w:type="pct"/>
            <w:shd w:val="clear" w:color="auto" w:fill="auto"/>
            <w:vAlign w:val="center"/>
          </w:tcPr>
          <w:p w14:paraId="17D4A2BA" w14:textId="77777777" w:rsidR="00690C5C" w:rsidRPr="00690C5C" w:rsidRDefault="00690C5C" w:rsidP="00690C5C">
            <w:pPr>
              <w:jc w:val="center"/>
              <w:rPr>
                <w:rFonts w:ascii="Arial Narrow" w:hAnsi="Arial Narrow" w:cs="Calibri"/>
                <w:sz w:val="20"/>
                <w:szCs w:val="20"/>
              </w:rPr>
            </w:pPr>
            <w:r w:rsidRPr="00690C5C">
              <w:rPr>
                <w:rFonts w:ascii="Arial Narrow" w:hAnsi="Arial Narrow" w:cs="Calibri"/>
                <w:sz w:val="20"/>
                <w:szCs w:val="20"/>
              </w:rPr>
              <w:t>148 756</w:t>
            </w:r>
          </w:p>
        </w:tc>
        <w:tc>
          <w:tcPr>
            <w:tcW w:w="944" w:type="pct"/>
            <w:shd w:val="clear" w:color="auto" w:fill="auto"/>
            <w:vAlign w:val="center"/>
          </w:tcPr>
          <w:p w14:paraId="537374C3" w14:textId="77777777" w:rsidR="00690C5C" w:rsidRPr="00690C5C" w:rsidRDefault="00690C5C" w:rsidP="00690C5C">
            <w:pPr>
              <w:jc w:val="center"/>
              <w:rPr>
                <w:rFonts w:ascii="Arial Narrow" w:hAnsi="Arial Narrow" w:cs="Calibri"/>
                <w:sz w:val="20"/>
                <w:szCs w:val="20"/>
              </w:rPr>
            </w:pPr>
            <w:r w:rsidRPr="00690C5C">
              <w:rPr>
                <w:rFonts w:ascii="Arial Narrow" w:hAnsi="Arial Narrow" w:cs="Calibri"/>
                <w:sz w:val="20"/>
                <w:szCs w:val="20"/>
              </w:rPr>
              <w:t>141 077</w:t>
            </w:r>
          </w:p>
        </w:tc>
        <w:tc>
          <w:tcPr>
            <w:tcW w:w="943" w:type="pct"/>
            <w:vAlign w:val="center"/>
          </w:tcPr>
          <w:p w14:paraId="0F5349B7" w14:textId="77777777" w:rsidR="00690C5C" w:rsidRPr="00690C5C" w:rsidRDefault="00690C5C" w:rsidP="00690C5C">
            <w:pPr>
              <w:jc w:val="center"/>
              <w:rPr>
                <w:rFonts w:ascii="Arial Narrow" w:hAnsi="Arial Narrow" w:cs="Calibri"/>
                <w:sz w:val="20"/>
                <w:szCs w:val="20"/>
                <w:lang w:val="bg-BG"/>
              </w:rPr>
            </w:pPr>
            <w:r w:rsidRPr="00690C5C">
              <w:rPr>
                <w:rFonts w:ascii="Arial Narrow" w:hAnsi="Arial Narrow" w:cs="Calibri"/>
                <w:sz w:val="20"/>
                <w:szCs w:val="20"/>
                <w:lang w:val="bg-BG"/>
              </w:rPr>
              <w:t>163 888</w:t>
            </w:r>
          </w:p>
        </w:tc>
      </w:tr>
      <w:tr w:rsidR="00690C5C" w:rsidRPr="00690C5C" w14:paraId="765D6678" w14:textId="77777777" w:rsidTr="00352E63">
        <w:trPr>
          <w:trHeight w:val="300"/>
        </w:trPr>
        <w:tc>
          <w:tcPr>
            <w:tcW w:w="2169" w:type="pct"/>
            <w:shd w:val="clear" w:color="auto" w:fill="auto"/>
            <w:vAlign w:val="center"/>
            <w:hideMark/>
          </w:tcPr>
          <w:p w14:paraId="693801B8" w14:textId="77777777" w:rsidR="00690C5C" w:rsidRPr="00690C5C" w:rsidRDefault="00690C5C" w:rsidP="00690C5C">
            <w:pPr>
              <w:rPr>
                <w:rFonts w:ascii="Arial Narrow" w:hAnsi="Arial Narrow" w:cs="Calibri"/>
                <w:sz w:val="20"/>
                <w:szCs w:val="20"/>
              </w:rPr>
            </w:pPr>
            <w:r w:rsidRPr="00690C5C">
              <w:rPr>
                <w:rFonts w:ascii="Arial Narrow" w:hAnsi="Arial Narrow" w:cs="Calibri"/>
                <w:sz w:val="20"/>
                <w:szCs w:val="20"/>
                <w:lang w:val="bg-BG"/>
              </w:rPr>
              <w:t>5. Предприети мерки от официалния контрол</w:t>
            </w:r>
          </w:p>
        </w:tc>
        <w:tc>
          <w:tcPr>
            <w:tcW w:w="944" w:type="pct"/>
            <w:shd w:val="clear" w:color="auto" w:fill="auto"/>
            <w:vAlign w:val="center"/>
            <w:hideMark/>
          </w:tcPr>
          <w:p w14:paraId="24A6D081" w14:textId="77777777" w:rsidR="00690C5C" w:rsidRPr="00690C5C" w:rsidRDefault="00690C5C" w:rsidP="00690C5C">
            <w:pPr>
              <w:rPr>
                <w:rFonts w:ascii="Calibri" w:hAnsi="Calibri" w:cs="Calibri"/>
                <w:sz w:val="20"/>
                <w:szCs w:val="20"/>
              </w:rPr>
            </w:pPr>
          </w:p>
        </w:tc>
        <w:tc>
          <w:tcPr>
            <w:tcW w:w="944" w:type="pct"/>
            <w:shd w:val="clear" w:color="auto" w:fill="auto"/>
            <w:vAlign w:val="center"/>
            <w:hideMark/>
          </w:tcPr>
          <w:p w14:paraId="2E99A47B" w14:textId="77777777" w:rsidR="00690C5C" w:rsidRPr="00690C5C" w:rsidRDefault="00690C5C" w:rsidP="00690C5C">
            <w:pPr>
              <w:rPr>
                <w:rFonts w:ascii="Calibri" w:hAnsi="Calibri" w:cs="Calibri"/>
                <w:sz w:val="20"/>
                <w:szCs w:val="20"/>
              </w:rPr>
            </w:pPr>
          </w:p>
        </w:tc>
        <w:tc>
          <w:tcPr>
            <w:tcW w:w="943" w:type="pct"/>
            <w:vAlign w:val="center"/>
          </w:tcPr>
          <w:p w14:paraId="5747BE53" w14:textId="77777777" w:rsidR="00690C5C" w:rsidRPr="00690C5C" w:rsidRDefault="00690C5C" w:rsidP="00690C5C">
            <w:pPr>
              <w:jc w:val="center"/>
              <w:rPr>
                <w:rFonts w:ascii="Arial Narrow" w:hAnsi="Arial Narrow" w:cs="Calibri"/>
                <w:sz w:val="20"/>
                <w:szCs w:val="20"/>
                <w:lang w:val="bg-BG"/>
              </w:rPr>
            </w:pPr>
          </w:p>
        </w:tc>
      </w:tr>
      <w:tr w:rsidR="00690C5C" w:rsidRPr="00690C5C" w14:paraId="21D6FD62" w14:textId="77777777" w:rsidTr="00352E63">
        <w:trPr>
          <w:trHeight w:val="300"/>
        </w:trPr>
        <w:tc>
          <w:tcPr>
            <w:tcW w:w="2169" w:type="pct"/>
            <w:shd w:val="clear" w:color="auto" w:fill="auto"/>
            <w:vAlign w:val="center"/>
            <w:hideMark/>
          </w:tcPr>
          <w:p w14:paraId="7830EE25" w14:textId="77777777" w:rsidR="00690C5C" w:rsidRPr="00690C5C" w:rsidRDefault="00690C5C" w:rsidP="00690C5C">
            <w:pPr>
              <w:rPr>
                <w:rFonts w:ascii="Arial Narrow" w:hAnsi="Arial Narrow" w:cs="Calibri"/>
                <w:sz w:val="20"/>
                <w:szCs w:val="20"/>
              </w:rPr>
            </w:pPr>
            <w:r w:rsidRPr="00690C5C">
              <w:rPr>
                <w:rFonts w:ascii="Arial Narrow" w:hAnsi="Arial Narrow" w:cs="Calibri"/>
                <w:sz w:val="20"/>
                <w:szCs w:val="20"/>
                <w:lang w:val="bg-BG"/>
              </w:rPr>
              <w:t>5.1. Издадени АУАН (брой)</w:t>
            </w:r>
          </w:p>
        </w:tc>
        <w:tc>
          <w:tcPr>
            <w:tcW w:w="944" w:type="pct"/>
            <w:shd w:val="clear" w:color="auto" w:fill="auto"/>
            <w:vAlign w:val="center"/>
            <w:hideMark/>
          </w:tcPr>
          <w:p w14:paraId="082CF8A8" w14:textId="77777777" w:rsidR="00690C5C" w:rsidRPr="00690C5C" w:rsidRDefault="00690C5C" w:rsidP="00690C5C">
            <w:pPr>
              <w:jc w:val="center"/>
              <w:rPr>
                <w:rFonts w:ascii="Arial Narrow" w:hAnsi="Arial Narrow" w:cs="Calibri"/>
                <w:sz w:val="20"/>
                <w:szCs w:val="20"/>
              </w:rPr>
            </w:pPr>
            <w:r w:rsidRPr="00690C5C">
              <w:rPr>
                <w:rFonts w:ascii="Arial Narrow" w:hAnsi="Arial Narrow" w:cs="Calibri"/>
                <w:sz w:val="20"/>
                <w:szCs w:val="20"/>
              </w:rPr>
              <w:t>797</w:t>
            </w:r>
          </w:p>
        </w:tc>
        <w:tc>
          <w:tcPr>
            <w:tcW w:w="944" w:type="pct"/>
            <w:shd w:val="clear" w:color="auto" w:fill="auto"/>
            <w:vAlign w:val="center"/>
            <w:hideMark/>
          </w:tcPr>
          <w:p w14:paraId="404BF835" w14:textId="77777777" w:rsidR="00690C5C" w:rsidRPr="00690C5C" w:rsidRDefault="00690C5C" w:rsidP="00690C5C">
            <w:pPr>
              <w:jc w:val="center"/>
              <w:rPr>
                <w:rFonts w:ascii="Arial Narrow" w:hAnsi="Arial Narrow" w:cs="Calibri"/>
                <w:sz w:val="20"/>
                <w:szCs w:val="20"/>
              </w:rPr>
            </w:pPr>
            <w:r w:rsidRPr="00690C5C">
              <w:rPr>
                <w:rFonts w:ascii="Arial Narrow" w:hAnsi="Arial Narrow" w:cs="Calibri"/>
                <w:sz w:val="20"/>
                <w:szCs w:val="20"/>
                <w:lang w:val="bg-BG"/>
              </w:rPr>
              <w:t>1 396</w:t>
            </w:r>
          </w:p>
        </w:tc>
        <w:tc>
          <w:tcPr>
            <w:tcW w:w="943" w:type="pct"/>
            <w:vAlign w:val="center"/>
          </w:tcPr>
          <w:p w14:paraId="3D7DE56B" w14:textId="77777777" w:rsidR="00690C5C" w:rsidRPr="00690C5C" w:rsidRDefault="00690C5C" w:rsidP="00690C5C">
            <w:pPr>
              <w:jc w:val="center"/>
              <w:rPr>
                <w:rFonts w:ascii="Arial Narrow" w:hAnsi="Arial Narrow" w:cs="Calibri"/>
                <w:sz w:val="20"/>
                <w:szCs w:val="20"/>
                <w:lang w:val="bg-BG"/>
              </w:rPr>
            </w:pPr>
            <w:r w:rsidRPr="00690C5C">
              <w:rPr>
                <w:rFonts w:ascii="Arial Narrow" w:hAnsi="Arial Narrow" w:cs="Calibri"/>
                <w:sz w:val="20"/>
                <w:szCs w:val="20"/>
                <w:lang w:val="bg-BG"/>
              </w:rPr>
              <w:t>1 942</w:t>
            </w:r>
          </w:p>
        </w:tc>
      </w:tr>
      <w:tr w:rsidR="00690C5C" w:rsidRPr="00690C5C" w14:paraId="789CFA73" w14:textId="77777777" w:rsidTr="00352E63">
        <w:trPr>
          <w:trHeight w:val="300"/>
        </w:trPr>
        <w:tc>
          <w:tcPr>
            <w:tcW w:w="2169" w:type="pct"/>
            <w:shd w:val="clear" w:color="auto" w:fill="auto"/>
            <w:vAlign w:val="center"/>
            <w:hideMark/>
          </w:tcPr>
          <w:p w14:paraId="4FC36554" w14:textId="77777777" w:rsidR="00690C5C" w:rsidRPr="00690C5C" w:rsidRDefault="00690C5C" w:rsidP="00690C5C">
            <w:pPr>
              <w:rPr>
                <w:rFonts w:ascii="Arial Narrow" w:hAnsi="Arial Narrow" w:cs="Calibri"/>
                <w:sz w:val="20"/>
                <w:szCs w:val="20"/>
              </w:rPr>
            </w:pPr>
            <w:r w:rsidRPr="00690C5C">
              <w:rPr>
                <w:rFonts w:ascii="Arial Narrow" w:hAnsi="Arial Narrow" w:cs="Calibri"/>
                <w:sz w:val="20"/>
                <w:szCs w:val="20"/>
                <w:lang w:val="bg-BG"/>
              </w:rPr>
              <w:t>2.2. Издадени предписания (брой)</w:t>
            </w:r>
          </w:p>
        </w:tc>
        <w:tc>
          <w:tcPr>
            <w:tcW w:w="944" w:type="pct"/>
            <w:shd w:val="clear" w:color="auto" w:fill="auto"/>
            <w:vAlign w:val="center"/>
            <w:hideMark/>
          </w:tcPr>
          <w:p w14:paraId="1613215C" w14:textId="77777777" w:rsidR="00690C5C" w:rsidRPr="00690C5C" w:rsidRDefault="00690C5C" w:rsidP="00690C5C">
            <w:pPr>
              <w:jc w:val="center"/>
              <w:rPr>
                <w:rFonts w:ascii="Arial Narrow" w:hAnsi="Arial Narrow" w:cs="Calibri"/>
                <w:sz w:val="20"/>
                <w:szCs w:val="20"/>
              </w:rPr>
            </w:pPr>
            <w:r w:rsidRPr="00690C5C">
              <w:rPr>
                <w:rFonts w:ascii="Arial Narrow" w:hAnsi="Arial Narrow" w:cs="Calibri"/>
                <w:sz w:val="20"/>
                <w:szCs w:val="20"/>
              </w:rPr>
              <w:t>5 610</w:t>
            </w:r>
          </w:p>
        </w:tc>
        <w:tc>
          <w:tcPr>
            <w:tcW w:w="944" w:type="pct"/>
            <w:shd w:val="clear" w:color="auto" w:fill="auto"/>
            <w:vAlign w:val="center"/>
            <w:hideMark/>
          </w:tcPr>
          <w:p w14:paraId="76F371BA" w14:textId="77777777" w:rsidR="00690C5C" w:rsidRPr="00690C5C" w:rsidRDefault="00690C5C" w:rsidP="00690C5C">
            <w:pPr>
              <w:jc w:val="center"/>
              <w:rPr>
                <w:rFonts w:ascii="Arial Narrow" w:hAnsi="Arial Narrow" w:cs="Calibri"/>
                <w:sz w:val="20"/>
                <w:szCs w:val="20"/>
              </w:rPr>
            </w:pPr>
            <w:r w:rsidRPr="00690C5C">
              <w:rPr>
                <w:rFonts w:ascii="Arial Narrow" w:hAnsi="Arial Narrow" w:cs="Calibri"/>
                <w:sz w:val="20"/>
                <w:szCs w:val="20"/>
                <w:lang w:val="bg-BG"/>
              </w:rPr>
              <w:t>6 888</w:t>
            </w:r>
          </w:p>
        </w:tc>
        <w:tc>
          <w:tcPr>
            <w:tcW w:w="943" w:type="pct"/>
            <w:vAlign w:val="center"/>
          </w:tcPr>
          <w:p w14:paraId="745EEC52" w14:textId="77777777" w:rsidR="00690C5C" w:rsidRPr="00690C5C" w:rsidRDefault="00690C5C" w:rsidP="00690C5C">
            <w:pPr>
              <w:jc w:val="center"/>
              <w:rPr>
                <w:rFonts w:ascii="Arial Narrow" w:hAnsi="Arial Narrow" w:cs="Calibri"/>
                <w:sz w:val="20"/>
                <w:szCs w:val="20"/>
                <w:lang w:val="bg-BG"/>
              </w:rPr>
            </w:pPr>
            <w:r w:rsidRPr="00690C5C">
              <w:rPr>
                <w:rFonts w:ascii="Arial Narrow" w:hAnsi="Arial Narrow" w:cs="Calibri"/>
                <w:sz w:val="20"/>
                <w:szCs w:val="20"/>
                <w:lang w:val="bg-BG"/>
              </w:rPr>
              <w:t>8 112</w:t>
            </w:r>
          </w:p>
        </w:tc>
      </w:tr>
      <w:tr w:rsidR="00690C5C" w:rsidRPr="00690C5C" w14:paraId="3B6A0961" w14:textId="77777777" w:rsidTr="00352E63">
        <w:trPr>
          <w:trHeight w:val="1282"/>
        </w:trPr>
        <w:tc>
          <w:tcPr>
            <w:tcW w:w="2169" w:type="pct"/>
            <w:shd w:val="clear" w:color="auto" w:fill="auto"/>
            <w:vAlign w:val="center"/>
            <w:hideMark/>
          </w:tcPr>
          <w:p w14:paraId="394106F0" w14:textId="77777777" w:rsidR="00690C5C" w:rsidRPr="00690C5C" w:rsidRDefault="00690C5C" w:rsidP="00690C5C">
            <w:pPr>
              <w:rPr>
                <w:rFonts w:ascii="Arial Narrow" w:hAnsi="Arial Narrow" w:cs="Calibri"/>
                <w:sz w:val="20"/>
                <w:szCs w:val="20"/>
              </w:rPr>
            </w:pPr>
            <w:r w:rsidRPr="00690C5C">
              <w:rPr>
                <w:rFonts w:ascii="Arial Narrow" w:hAnsi="Arial Narrow" w:cs="Calibri"/>
                <w:sz w:val="20"/>
                <w:szCs w:val="20"/>
                <w:lang w:val="bg-BG"/>
              </w:rPr>
              <w:t>2.3. Възбранени и бракувани храни</w:t>
            </w:r>
          </w:p>
        </w:tc>
        <w:tc>
          <w:tcPr>
            <w:tcW w:w="944" w:type="pct"/>
            <w:shd w:val="clear" w:color="auto" w:fill="auto"/>
            <w:vAlign w:val="center"/>
            <w:hideMark/>
          </w:tcPr>
          <w:p w14:paraId="0EB3F417" w14:textId="77777777" w:rsidR="00690C5C" w:rsidRPr="00690C5C" w:rsidRDefault="00690C5C" w:rsidP="00690C5C">
            <w:pPr>
              <w:jc w:val="center"/>
              <w:rPr>
                <w:rFonts w:ascii="Arial Narrow" w:hAnsi="Arial Narrow" w:cs="Calibri"/>
                <w:sz w:val="20"/>
                <w:szCs w:val="20"/>
                <w:lang w:val="bg-BG"/>
              </w:rPr>
            </w:pPr>
            <w:r w:rsidRPr="00690C5C">
              <w:rPr>
                <w:rFonts w:ascii="Arial Narrow" w:hAnsi="Arial Narrow" w:cs="Calibri"/>
                <w:sz w:val="20"/>
                <w:szCs w:val="20"/>
              </w:rPr>
              <w:t>654 000</w:t>
            </w:r>
            <w:r w:rsidRPr="00690C5C">
              <w:rPr>
                <w:rFonts w:ascii="Arial Narrow" w:hAnsi="Arial Narrow" w:cs="Calibri"/>
                <w:sz w:val="20"/>
                <w:szCs w:val="20"/>
                <w:lang w:val="bg-BG"/>
              </w:rPr>
              <w:t xml:space="preserve"> кг храни</w:t>
            </w:r>
          </w:p>
        </w:tc>
        <w:tc>
          <w:tcPr>
            <w:tcW w:w="944" w:type="pct"/>
            <w:shd w:val="clear" w:color="auto" w:fill="auto"/>
            <w:vAlign w:val="center"/>
            <w:hideMark/>
          </w:tcPr>
          <w:p w14:paraId="28A7D419" w14:textId="77777777" w:rsidR="00690C5C" w:rsidRPr="00690C5C" w:rsidRDefault="00690C5C" w:rsidP="00690C5C">
            <w:pPr>
              <w:jc w:val="center"/>
              <w:rPr>
                <w:rFonts w:ascii="Arial Narrow" w:hAnsi="Arial Narrow" w:cs="Calibri"/>
                <w:sz w:val="20"/>
                <w:szCs w:val="20"/>
              </w:rPr>
            </w:pPr>
            <w:r w:rsidRPr="00690C5C">
              <w:rPr>
                <w:rFonts w:ascii="Arial Narrow" w:hAnsi="Arial Narrow" w:cs="Calibri"/>
                <w:sz w:val="20"/>
                <w:szCs w:val="20"/>
                <w:lang w:val="bg-BG"/>
              </w:rPr>
              <w:t xml:space="preserve">271 000 кг храни и </w:t>
            </w:r>
            <w:r w:rsidRPr="00690C5C">
              <w:rPr>
                <w:rFonts w:ascii="Arial Narrow" w:hAnsi="Arial Narrow" w:cs="Calibri"/>
                <w:sz w:val="20"/>
                <w:szCs w:val="20"/>
                <w:lang w:val="bg-BG"/>
              </w:rPr>
              <w:br/>
              <w:t>9 695 525 бр. яйца във връзка с болестта Инфлуенца по птиците</w:t>
            </w:r>
          </w:p>
        </w:tc>
        <w:tc>
          <w:tcPr>
            <w:tcW w:w="943" w:type="pct"/>
            <w:vAlign w:val="center"/>
          </w:tcPr>
          <w:p w14:paraId="49809055" w14:textId="77777777" w:rsidR="00690C5C" w:rsidRPr="00690C5C" w:rsidRDefault="00690C5C" w:rsidP="00690C5C">
            <w:pPr>
              <w:jc w:val="center"/>
              <w:rPr>
                <w:rFonts w:ascii="Arial Narrow" w:hAnsi="Arial Narrow" w:cs="Calibri"/>
                <w:sz w:val="20"/>
                <w:szCs w:val="20"/>
                <w:lang w:val="bg-BG"/>
              </w:rPr>
            </w:pPr>
            <w:r w:rsidRPr="00690C5C">
              <w:rPr>
                <w:rFonts w:ascii="Arial Narrow" w:hAnsi="Arial Narrow" w:cs="Calibri"/>
                <w:sz w:val="20"/>
                <w:szCs w:val="20"/>
                <w:lang w:val="bg-BG"/>
              </w:rPr>
              <w:t>381 000 кг храни;</w:t>
            </w:r>
          </w:p>
          <w:p w14:paraId="642DF122" w14:textId="77777777" w:rsidR="00690C5C" w:rsidRPr="00690C5C" w:rsidRDefault="00690C5C" w:rsidP="00690C5C">
            <w:pPr>
              <w:jc w:val="center"/>
              <w:rPr>
                <w:rFonts w:ascii="Arial Narrow" w:hAnsi="Arial Narrow" w:cs="Calibri"/>
                <w:sz w:val="20"/>
                <w:szCs w:val="20"/>
                <w:lang w:val="bg-BG"/>
              </w:rPr>
            </w:pPr>
            <w:r w:rsidRPr="00690C5C">
              <w:rPr>
                <w:rFonts w:ascii="Arial Narrow" w:hAnsi="Arial Narrow" w:cs="Calibri"/>
                <w:sz w:val="20"/>
                <w:szCs w:val="20"/>
                <w:lang w:val="bg-BG"/>
              </w:rPr>
              <w:t>32 000 л напитки;</w:t>
            </w:r>
          </w:p>
          <w:p w14:paraId="5188808A" w14:textId="77777777" w:rsidR="00690C5C" w:rsidRPr="00690C5C" w:rsidRDefault="00690C5C" w:rsidP="00690C5C">
            <w:pPr>
              <w:jc w:val="center"/>
              <w:rPr>
                <w:rFonts w:ascii="Arial Narrow" w:hAnsi="Arial Narrow" w:cs="Calibri"/>
                <w:sz w:val="20"/>
                <w:szCs w:val="20"/>
                <w:lang w:val="bg-BG"/>
              </w:rPr>
            </w:pPr>
            <w:r w:rsidRPr="00690C5C">
              <w:rPr>
                <w:rFonts w:ascii="Arial Narrow" w:hAnsi="Arial Narrow" w:cs="Calibri"/>
                <w:sz w:val="20"/>
                <w:szCs w:val="20"/>
                <w:lang w:val="bg-BG"/>
              </w:rPr>
              <w:t>202 053 бр. яйца.</w:t>
            </w:r>
          </w:p>
          <w:p w14:paraId="7CB80A24" w14:textId="77777777" w:rsidR="00690C5C" w:rsidRPr="00690C5C" w:rsidRDefault="00690C5C" w:rsidP="00690C5C">
            <w:pPr>
              <w:jc w:val="center"/>
              <w:rPr>
                <w:rFonts w:ascii="Arial Narrow" w:hAnsi="Arial Narrow" w:cs="Calibri"/>
                <w:sz w:val="20"/>
                <w:szCs w:val="20"/>
                <w:lang w:val="bg-BG"/>
              </w:rPr>
            </w:pPr>
            <w:r w:rsidRPr="00690C5C">
              <w:rPr>
                <w:rFonts w:ascii="Arial Narrow" w:hAnsi="Arial Narrow" w:cs="Calibri"/>
                <w:sz w:val="20"/>
                <w:szCs w:val="20"/>
                <w:lang w:val="bg-BG"/>
              </w:rPr>
              <w:t>Във връзка с болестта Инфлуенца по птиците 105 000 кг птиче месо и 2 421 283 бр. яйца</w:t>
            </w:r>
          </w:p>
        </w:tc>
      </w:tr>
      <w:tr w:rsidR="00690C5C" w:rsidRPr="00690C5C" w14:paraId="452A8F57" w14:textId="77777777" w:rsidTr="00352E63">
        <w:trPr>
          <w:trHeight w:val="512"/>
        </w:trPr>
        <w:tc>
          <w:tcPr>
            <w:tcW w:w="2169" w:type="pct"/>
            <w:shd w:val="clear" w:color="auto" w:fill="auto"/>
            <w:vAlign w:val="center"/>
            <w:hideMark/>
          </w:tcPr>
          <w:p w14:paraId="6DF6A348" w14:textId="77777777" w:rsidR="00690C5C" w:rsidRPr="00690C5C" w:rsidRDefault="00690C5C" w:rsidP="00690C5C">
            <w:pPr>
              <w:rPr>
                <w:rFonts w:ascii="Arial Narrow" w:hAnsi="Arial Narrow" w:cs="Calibri"/>
                <w:sz w:val="20"/>
                <w:szCs w:val="20"/>
              </w:rPr>
            </w:pPr>
            <w:r w:rsidRPr="00690C5C">
              <w:rPr>
                <w:rFonts w:ascii="Arial Narrow" w:hAnsi="Arial Narrow" w:cs="Calibri"/>
                <w:sz w:val="20"/>
                <w:szCs w:val="20"/>
                <w:lang w:val="bg-BG"/>
              </w:rPr>
              <w:t>2.4. Затворени обекти/обекти с временно преустановена дейност (брой)</w:t>
            </w:r>
          </w:p>
        </w:tc>
        <w:tc>
          <w:tcPr>
            <w:tcW w:w="944" w:type="pct"/>
            <w:shd w:val="clear" w:color="auto" w:fill="auto"/>
            <w:vAlign w:val="center"/>
            <w:hideMark/>
          </w:tcPr>
          <w:p w14:paraId="29E2E137" w14:textId="77777777" w:rsidR="00690C5C" w:rsidRPr="00690C5C" w:rsidRDefault="00690C5C" w:rsidP="00690C5C">
            <w:pPr>
              <w:jc w:val="center"/>
              <w:rPr>
                <w:rFonts w:ascii="Arial Narrow" w:hAnsi="Arial Narrow" w:cs="Calibri"/>
                <w:sz w:val="20"/>
                <w:szCs w:val="20"/>
              </w:rPr>
            </w:pPr>
            <w:r w:rsidRPr="00690C5C">
              <w:rPr>
                <w:rFonts w:ascii="Arial Narrow" w:hAnsi="Arial Narrow" w:cs="Calibri"/>
                <w:sz w:val="20"/>
                <w:szCs w:val="20"/>
              </w:rPr>
              <w:t>48</w:t>
            </w:r>
          </w:p>
        </w:tc>
        <w:tc>
          <w:tcPr>
            <w:tcW w:w="944" w:type="pct"/>
            <w:shd w:val="clear" w:color="auto" w:fill="auto"/>
            <w:vAlign w:val="center"/>
            <w:hideMark/>
          </w:tcPr>
          <w:p w14:paraId="7FE6CFB9" w14:textId="77777777" w:rsidR="00690C5C" w:rsidRPr="00690C5C" w:rsidRDefault="00690C5C" w:rsidP="00690C5C">
            <w:pPr>
              <w:jc w:val="center"/>
              <w:rPr>
                <w:rFonts w:ascii="Arial Narrow" w:hAnsi="Arial Narrow" w:cs="Calibri"/>
                <w:sz w:val="20"/>
                <w:szCs w:val="20"/>
              </w:rPr>
            </w:pPr>
            <w:r w:rsidRPr="00690C5C">
              <w:rPr>
                <w:rFonts w:ascii="Arial Narrow" w:hAnsi="Arial Narrow" w:cs="Calibri"/>
                <w:sz w:val="20"/>
                <w:szCs w:val="20"/>
                <w:lang w:val="bg-BG"/>
              </w:rPr>
              <w:t>118</w:t>
            </w:r>
          </w:p>
        </w:tc>
        <w:tc>
          <w:tcPr>
            <w:tcW w:w="943" w:type="pct"/>
            <w:vAlign w:val="center"/>
          </w:tcPr>
          <w:p w14:paraId="54BBD6C1" w14:textId="77777777" w:rsidR="00690C5C" w:rsidRPr="00690C5C" w:rsidRDefault="00690C5C" w:rsidP="00690C5C">
            <w:pPr>
              <w:jc w:val="center"/>
              <w:rPr>
                <w:rFonts w:ascii="Arial Narrow" w:hAnsi="Arial Narrow" w:cs="Calibri"/>
                <w:sz w:val="20"/>
                <w:szCs w:val="20"/>
                <w:lang w:val="bg-BG"/>
              </w:rPr>
            </w:pPr>
            <w:r w:rsidRPr="00690C5C">
              <w:rPr>
                <w:rFonts w:ascii="Arial Narrow" w:hAnsi="Arial Narrow" w:cs="Calibri"/>
                <w:sz w:val="20"/>
                <w:szCs w:val="20"/>
                <w:lang w:val="bg-BG"/>
              </w:rPr>
              <w:t>204</w:t>
            </w:r>
          </w:p>
        </w:tc>
      </w:tr>
    </w:tbl>
    <w:p w14:paraId="0CC9E5A9" w14:textId="77777777" w:rsidR="00690C5C" w:rsidRPr="00690C5C" w:rsidRDefault="00690C5C" w:rsidP="00690C5C">
      <w:pPr>
        <w:widowControl w:val="0"/>
        <w:jc w:val="both"/>
        <w:rPr>
          <w:rFonts w:ascii="Arial Narrow" w:hAnsi="Arial Narrow"/>
          <w:bCs/>
          <w:i/>
          <w:sz w:val="18"/>
          <w:szCs w:val="18"/>
          <w:lang w:val="bg-BG" w:eastAsia="bg-BG"/>
        </w:rPr>
      </w:pPr>
      <w:r w:rsidRPr="00690C5C">
        <w:rPr>
          <w:rFonts w:ascii="Arial Narrow" w:hAnsi="Arial Narrow"/>
          <w:bCs/>
          <w:i/>
          <w:sz w:val="18"/>
          <w:szCs w:val="18"/>
          <w:lang w:val="bg-BG" w:eastAsia="bg-BG"/>
        </w:rPr>
        <w:t xml:space="preserve">Източник: </w:t>
      </w:r>
      <w:r w:rsidRPr="00690C5C">
        <w:rPr>
          <w:rFonts w:ascii="Arial Narrow" w:hAnsi="Arial Narrow"/>
          <w:bCs/>
          <w:sz w:val="18"/>
          <w:szCs w:val="18"/>
          <w:lang w:val="bg-BG" w:eastAsia="bg-BG"/>
        </w:rPr>
        <w:t>БАБХ</w:t>
      </w:r>
    </w:p>
    <w:p w14:paraId="387C2AD5" w14:textId="77777777" w:rsidR="00690C5C" w:rsidRPr="00690C5C" w:rsidRDefault="00690C5C" w:rsidP="00690C5C">
      <w:pPr>
        <w:widowControl w:val="0"/>
        <w:spacing w:line="360" w:lineRule="auto"/>
        <w:jc w:val="both"/>
        <w:rPr>
          <w:rFonts w:ascii="Arial Narrow" w:hAnsi="Arial Narrow"/>
          <w:bCs/>
          <w:i/>
          <w:sz w:val="18"/>
          <w:szCs w:val="18"/>
          <w:lang w:val="bg-BG" w:eastAsia="bg-BG"/>
        </w:rPr>
      </w:pPr>
      <w:r w:rsidRPr="00690C5C">
        <w:rPr>
          <w:rFonts w:ascii="Arial Narrow" w:hAnsi="Arial Narrow"/>
          <w:bCs/>
          <w:i/>
          <w:sz w:val="18"/>
          <w:szCs w:val="18"/>
          <w:lang w:val="bg-BG" w:eastAsia="bg-BG"/>
        </w:rPr>
        <w:t>Забележка: В цитираният брой проверки не е включен ежедневния контрол в кланиците.</w:t>
      </w:r>
    </w:p>
    <w:p w14:paraId="0E840E31" w14:textId="77777777" w:rsidR="00690C5C" w:rsidRPr="00690C5C" w:rsidRDefault="00690C5C" w:rsidP="00690C5C">
      <w:pPr>
        <w:widowControl w:val="0"/>
        <w:spacing w:after="120"/>
        <w:ind w:firstLine="709"/>
        <w:jc w:val="both"/>
        <w:rPr>
          <w:rFonts w:ascii="Arial Narrow" w:hAnsi="Arial Narrow"/>
          <w:lang w:val="bg-BG" w:eastAsia="bg-BG"/>
        </w:rPr>
      </w:pPr>
      <w:r w:rsidRPr="00690C5C">
        <w:rPr>
          <w:rFonts w:ascii="Arial Narrow" w:hAnsi="Arial Narrow"/>
          <w:lang w:val="bg-BG" w:eastAsia="bg-BG"/>
        </w:rPr>
        <w:t>При осъществения официален контрол върху безопасността на храните през 2024 г. са извършени общо 163 888 проверки. Констатираните несъответствия могат да бъдат групирани в следните най-често срещани направления:</w:t>
      </w:r>
    </w:p>
    <w:p w14:paraId="7B2114FC" w14:textId="77777777" w:rsidR="00690C5C" w:rsidRPr="00690C5C" w:rsidRDefault="00690C5C" w:rsidP="00690C5C">
      <w:pPr>
        <w:numPr>
          <w:ilvl w:val="0"/>
          <w:numId w:val="11"/>
        </w:numPr>
        <w:overflowPunct w:val="0"/>
        <w:autoSpaceDE w:val="0"/>
        <w:autoSpaceDN w:val="0"/>
        <w:adjustRightInd w:val="0"/>
        <w:spacing w:after="120" w:line="276" w:lineRule="auto"/>
        <w:ind w:left="714" w:hanging="357"/>
        <w:jc w:val="both"/>
        <w:rPr>
          <w:rFonts w:ascii="Arial Narrow" w:eastAsia="Calibri" w:hAnsi="Arial Narrow"/>
          <w:lang w:val="bg-BG"/>
        </w:rPr>
      </w:pPr>
      <w:r w:rsidRPr="00690C5C">
        <w:rPr>
          <w:rFonts w:ascii="Arial Narrow" w:eastAsia="Calibri" w:hAnsi="Arial Narrow"/>
          <w:lang w:val="bg-BG"/>
        </w:rPr>
        <w:t>Структурни несъответствия, касаещи сграден фонд и оборудване в обектите;</w:t>
      </w:r>
    </w:p>
    <w:p w14:paraId="3F2F07AD" w14:textId="77777777" w:rsidR="00690C5C" w:rsidRPr="00690C5C" w:rsidRDefault="00690C5C" w:rsidP="00690C5C">
      <w:pPr>
        <w:numPr>
          <w:ilvl w:val="0"/>
          <w:numId w:val="11"/>
        </w:numPr>
        <w:overflowPunct w:val="0"/>
        <w:autoSpaceDE w:val="0"/>
        <w:autoSpaceDN w:val="0"/>
        <w:adjustRightInd w:val="0"/>
        <w:spacing w:after="120" w:line="276" w:lineRule="auto"/>
        <w:ind w:left="714" w:hanging="357"/>
        <w:jc w:val="both"/>
        <w:rPr>
          <w:rFonts w:ascii="Arial Narrow" w:eastAsia="Calibri" w:hAnsi="Arial Narrow"/>
          <w:lang w:val="bg-BG"/>
        </w:rPr>
      </w:pPr>
      <w:r w:rsidRPr="00690C5C">
        <w:rPr>
          <w:rFonts w:ascii="Arial Narrow" w:eastAsia="Calibri" w:hAnsi="Arial Narrow"/>
          <w:lang w:val="bg-BG"/>
        </w:rPr>
        <w:t>Оперативни несъответствия по отношение осъществяване на дейностите, свързани с обезпечаване безопасността на продукта;</w:t>
      </w:r>
    </w:p>
    <w:p w14:paraId="0A4642B4" w14:textId="77777777" w:rsidR="00690C5C" w:rsidRPr="00690C5C" w:rsidRDefault="00690C5C" w:rsidP="00690C5C">
      <w:pPr>
        <w:numPr>
          <w:ilvl w:val="0"/>
          <w:numId w:val="11"/>
        </w:numPr>
        <w:overflowPunct w:val="0"/>
        <w:autoSpaceDE w:val="0"/>
        <w:autoSpaceDN w:val="0"/>
        <w:adjustRightInd w:val="0"/>
        <w:spacing w:after="120" w:line="276" w:lineRule="auto"/>
        <w:ind w:left="714" w:hanging="357"/>
        <w:jc w:val="both"/>
        <w:rPr>
          <w:rFonts w:ascii="Arial Narrow" w:eastAsia="Calibri" w:hAnsi="Arial Narrow"/>
          <w:lang w:val="bg-BG"/>
        </w:rPr>
      </w:pPr>
      <w:r w:rsidRPr="00690C5C">
        <w:rPr>
          <w:rFonts w:ascii="Arial Narrow" w:eastAsia="Calibri" w:hAnsi="Arial Narrow"/>
          <w:lang w:val="bg-BG"/>
        </w:rPr>
        <w:t>Несъответствия, свързани със системите за самоконтрол на бизнес - операторите;</w:t>
      </w:r>
    </w:p>
    <w:p w14:paraId="4479B879" w14:textId="77777777" w:rsidR="00690C5C" w:rsidRPr="00690C5C" w:rsidRDefault="00690C5C" w:rsidP="00690C5C">
      <w:pPr>
        <w:numPr>
          <w:ilvl w:val="0"/>
          <w:numId w:val="11"/>
        </w:numPr>
        <w:overflowPunct w:val="0"/>
        <w:autoSpaceDE w:val="0"/>
        <w:autoSpaceDN w:val="0"/>
        <w:adjustRightInd w:val="0"/>
        <w:spacing w:after="120" w:line="276" w:lineRule="auto"/>
        <w:ind w:left="714" w:hanging="357"/>
        <w:jc w:val="both"/>
        <w:rPr>
          <w:rFonts w:ascii="Arial Narrow" w:eastAsia="Calibri" w:hAnsi="Arial Narrow"/>
          <w:lang w:val="bg-BG"/>
        </w:rPr>
      </w:pPr>
      <w:r w:rsidRPr="00690C5C">
        <w:rPr>
          <w:rFonts w:ascii="Arial Narrow" w:eastAsia="Calibri" w:hAnsi="Arial Narrow"/>
          <w:lang w:val="bg-BG"/>
        </w:rPr>
        <w:t>Несъответствия при етикетиране и представяне на информация за потребителя;</w:t>
      </w:r>
    </w:p>
    <w:p w14:paraId="0CA6E5EF" w14:textId="77777777" w:rsidR="00690C5C" w:rsidRPr="00690C5C" w:rsidRDefault="00690C5C" w:rsidP="00690C5C">
      <w:pPr>
        <w:numPr>
          <w:ilvl w:val="0"/>
          <w:numId w:val="11"/>
        </w:numPr>
        <w:overflowPunct w:val="0"/>
        <w:autoSpaceDE w:val="0"/>
        <w:autoSpaceDN w:val="0"/>
        <w:adjustRightInd w:val="0"/>
        <w:spacing w:after="120" w:line="276" w:lineRule="auto"/>
        <w:ind w:left="714" w:hanging="357"/>
        <w:jc w:val="both"/>
        <w:rPr>
          <w:rFonts w:ascii="Arial Narrow" w:eastAsia="Calibri" w:hAnsi="Arial Narrow"/>
          <w:lang w:val="bg-BG"/>
        </w:rPr>
      </w:pPr>
      <w:r w:rsidRPr="00690C5C">
        <w:rPr>
          <w:rFonts w:ascii="Arial Narrow" w:eastAsia="Calibri" w:hAnsi="Arial Narrow"/>
          <w:lang w:val="bg-BG"/>
        </w:rPr>
        <w:t>Пропуски в проследимостта на храните;</w:t>
      </w:r>
    </w:p>
    <w:p w14:paraId="79CFAB7B" w14:textId="77777777" w:rsidR="00690C5C" w:rsidRPr="00690C5C" w:rsidRDefault="00690C5C" w:rsidP="00690C5C">
      <w:pPr>
        <w:numPr>
          <w:ilvl w:val="0"/>
          <w:numId w:val="11"/>
        </w:numPr>
        <w:overflowPunct w:val="0"/>
        <w:autoSpaceDE w:val="0"/>
        <w:autoSpaceDN w:val="0"/>
        <w:adjustRightInd w:val="0"/>
        <w:spacing w:after="120" w:line="276" w:lineRule="auto"/>
        <w:ind w:left="714" w:hanging="357"/>
        <w:jc w:val="both"/>
        <w:rPr>
          <w:rFonts w:ascii="Arial Narrow" w:eastAsia="Calibri" w:hAnsi="Arial Narrow"/>
          <w:lang w:val="bg-BG"/>
        </w:rPr>
      </w:pPr>
      <w:r w:rsidRPr="00690C5C">
        <w:rPr>
          <w:rFonts w:ascii="Arial Narrow" w:eastAsia="Calibri" w:hAnsi="Arial Narrow"/>
          <w:lang w:val="bg-BG"/>
        </w:rPr>
        <w:t>Храни, които не отговарят на законови изисквания за безопасност.</w:t>
      </w:r>
    </w:p>
    <w:p w14:paraId="2EF28D96" w14:textId="77777777" w:rsidR="00690C5C" w:rsidRPr="00690C5C" w:rsidRDefault="00690C5C" w:rsidP="00690C5C">
      <w:pPr>
        <w:autoSpaceDE w:val="0"/>
        <w:autoSpaceDN w:val="0"/>
        <w:adjustRightInd w:val="0"/>
        <w:spacing w:after="120"/>
        <w:ind w:firstLine="709"/>
        <w:jc w:val="both"/>
        <w:rPr>
          <w:rFonts w:ascii="Arial Narrow" w:hAnsi="Arial Narrow"/>
          <w:lang w:val="bg-BG" w:eastAsia="bg-BG"/>
        </w:rPr>
      </w:pPr>
      <w:r w:rsidRPr="00690C5C">
        <w:rPr>
          <w:rFonts w:ascii="Arial Narrow" w:hAnsi="Arial Narrow"/>
          <w:lang w:val="bg-BG" w:eastAsia="bg-BG"/>
        </w:rPr>
        <w:t>Анализът за средните стойности на ефективността на извършения официален контрол през 2024 г. сочи, че: средно всяка 20-та проверка приключва с издаване на предписание (запазване на нивото от предходната година); а средно всяка 84-та проверка приключва със съставяне на акт за установяване на административно нарушение (при всяка 101-ва за 2023 г.). Наблюдава се увеличение на издадените предписания и съставените АУАН.</w:t>
      </w:r>
    </w:p>
    <w:p w14:paraId="2A2E8FBB" w14:textId="77777777" w:rsidR="00690C5C" w:rsidRPr="00690C5C" w:rsidRDefault="00690C5C" w:rsidP="00690C5C">
      <w:pPr>
        <w:autoSpaceDE w:val="0"/>
        <w:autoSpaceDN w:val="0"/>
        <w:adjustRightInd w:val="0"/>
        <w:spacing w:after="120"/>
        <w:ind w:firstLine="709"/>
        <w:jc w:val="both"/>
        <w:rPr>
          <w:rFonts w:ascii="Arial Narrow" w:eastAsia="Calibri" w:hAnsi="Arial Narrow"/>
        </w:rPr>
      </w:pPr>
      <w:r w:rsidRPr="00690C5C">
        <w:rPr>
          <w:rFonts w:ascii="Arial Narrow" w:hAnsi="Arial Narrow"/>
          <w:lang w:val="bg-BG" w:eastAsia="bg-BG"/>
        </w:rPr>
        <w:lastRenderedPageBreak/>
        <w:t>Резултатите от официалните инспекции показват, че подходът, основан на оценката на риска за планирането и изпълнението на официалните проверки, е подходящ и ефективен по отношение откриването на несъответствията и гарантиране на безопасността на храните. Като цяло изискванията на законодателството в областта на храните се спазват. За констатираните несъответствия бизнес операторите са предприели адекватни коригиращи мерки, с цел производство и търговия на безопасни храни.</w:t>
      </w:r>
      <w:r w:rsidRPr="00690C5C">
        <w:rPr>
          <w:rFonts w:ascii="Arial Narrow" w:eastAsia="Calibri" w:hAnsi="Arial Narrow"/>
        </w:rPr>
        <w:t xml:space="preserve"> </w:t>
      </w:r>
    </w:p>
    <w:p w14:paraId="574CC369" w14:textId="77777777" w:rsidR="00690C5C" w:rsidRPr="00690C5C" w:rsidRDefault="00690C5C" w:rsidP="00690C5C">
      <w:pPr>
        <w:autoSpaceDE w:val="0"/>
        <w:autoSpaceDN w:val="0"/>
        <w:adjustRightInd w:val="0"/>
        <w:spacing w:after="120"/>
        <w:ind w:firstLine="709"/>
        <w:jc w:val="both"/>
        <w:rPr>
          <w:rFonts w:ascii="Arial Narrow" w:hAnsi="Arial Narrow"/>
          <w:lang w:val="bg-BG" w:eastAsia="bg-BG"/>
        </w:rPr>
      </w:pPr>
      <w:r w:rsidRPr="00690C5C">
        <w:rPr>
          <w:rFonts w:ascii="Arial Narrow" w:hAnsi="Arial Narrow"/>
          <w:lang w:val="bg-BG" w:eastAsia="bg-BG"/>
        </w:rPr>
        <w:t>През 2024 г. в ЦУ на БАБХ са постъпили 21 уведомления за съмнение за хранително отравяне на територията на цялата страна. При проведените съвместни проверки и епидемиологично проучване с представители на РЗИ, извършената проследимост на храните и вземане на проби за анализ от храни и от персонал е доказано, че източник на заболяването е консумираната храна конкретно в два от случаите.</w:t>
      </w:r>
    </w:p>
    <w:p w14:paraId="36F1821D" w14:textId="77777777" w:rsidR="00690C5C" w:rsidRPr="00690C5C" w:rsidRDefault="00690C5C" w:rsidP="00690C5C">
      <w:pPr>
        <w:autoSpaceDE w:val="0"/>
        <w:autoSpaceDN w:val="0"/>
        <w:adjustRightInd w:val="0"/>
        <w:spacing w:after="120"/>
        <w:ind w:firstLine="709"/>
        <w:jc w:val="both"/>
        <w:rPr>
          <w:rFonts w:ascii="Arial Narrow" w:hAnsi="Arial Narrow"/>
          <w:lang w:val="bg-BG" w:eastAsia="bg-BG"/>
        </w:rPr>
      </w:pPr>
      <w:r w:rsidRPr="00690C5C">
        <w:rPr>
          <w:rFonts w:ascii="Arial Narrow" w:hAnsi="Arial Narrow"/>
          <w:lang w:val="bg-BG" w:eastAsia="bg-BG"/>
        </w:rPr>
        <w:t>Въпреки трудностите, свързани с повишаване на ангажираността на инспекторите, основният приоритет при провеждане на официалния контрол върху храни на ОДБХ по постигане на високо ниво на защита здравето на потребителите, е изпълнен.</w:t>
      </w:r>
    </w:p>
    <w:p w14:paraId="6A196CBF" w14:textId="77777777" w:rsidR="00690C5C" w:rsidRPr="00690C5C" w:rsidRDefault="00690C5C" w:rsidP="00690C5C">
      <w:pPr>
        <w:autoSpaceDE w:val="0"/>
        <w:autoSpaceDN w:val="0"/>
        <w:adjustRightInd w:val="0"/>
        <w:spacing w:after="120"/>
        <w:ind w:firstLine="709"/>
        <w:jc w:val="both"/>
        <w:rPr>
          <w:rFonts w:ascii="Arial Narrow" w:hAnsi="Arial Narrow"/>
          <w:i/>
          <w:lang w:val="bg-BG" w:eastAsia="bg-BG"/>
        </w:rPr>
      </w:pPr>
      <w:r w:rsidRPr="00690C5C">
        <w:rPr>
          <w:rFonts w:ascii="Arial Narrow" w:hAnsi="Arial Narrow"/>
          <w:i/>
          <w:lang w:val="bg-BG" w:eastAsia="bg-BG"/>
        </w:rPr>
        <w:t>Храни със защитени наименования за произход</w:t>
      </w:r>
    </w:p>
    <w:p w14:paraId="6C6DCFE6" w14:textId="77777777" w:rsidR="00690C5C" w:rsidRPr="00690C5C" w:rsidRDefault="00690C5C" w:rsidP="00690C5C">
      <w:pPr>
        <w:autoSpaceDE w:val="0"/>
        <w:autoSpaceDN w:val="0"/>
        <w:adjustRightInd w:val="0"/>
        <w:spacing w:after="120"/>
        <w:ind w:firstLine="709"/>
        <w:jc w:val="both"/>
        <w:rPr>
          <w:rFonts w:ascii="Arial Narrow" w:hAnsi="Arial Narrow"/>
          <w:lang w:val="bg-BG" w:eastAsia="bg-BG"/>
        </w:rPr>
      </w:pPr>
      <w:r w:rsidRPr="00690C5C">
        <w:rPr>
          <w:rFonts w:ascii="Arial Narrow" w:hAnsi="Arial Narrow"/>
          <w:lang w:val="bg-BG" w:eastAsia="bg-BG"/>
        </w:rPr>
        <w:t>С вписването през 2023 г. в Европейския регистър на защитените наименования за произход и защитените географски указания на „Българско кисело мляко/Bulgarsko kiselo mlyako“ (ЗНП) и „Българско бяло саламурено сирене/Bulgarsko byalo salamureno sirene“ (ЗНП), значително се увеличи делът на млекопреработвателните предприятия, желаещи да произвеждат продукти със защитено наименование. Голяма част от млекопреработвателните предприятия в страната преминаха през процедура по регистрация за ЗНП „Българско кисело мляко и ЗНП „Българско бяло саламурено сирене'', която продължава и през 2025 г. Това спомага за увеличаване на предлагането на пазара на млечни продукти, при които се използват само български суровини.</w:t>
      </w:r>
    </w:p>
    <w:p w14:paraId="4BCD95B4" w14:textId="77777777" w:rsidR="00690C5C" w:rsidRPr="00690C5C" w:rsidRDefault="00690C5C" w:rsidP="00690C5C">
      <w:pPr>
        <w:autoSpaceDE w:val="0"/>
        <w:autoSpaceDN w:val="0"/>
        <w:adjustRightInd w:val="0"/>
        <w:spacing w:after="120"/>
        <w:ind w:firstLine="709"/>
        <w:jc w:val="both"/>
        <w:rPr>
          <w:rFonts w:ascii="Arial Narrow" w:hAnsi="Arial Narrow"/>
          <w:i/>
          <w:lang w:val="bg-BG" w:eastAsia="bg-BG"/>
        </w:rPr>
      </w:pPr>
      <w:r w:rsidRPr="00690C5C">
        <w:rPr>
          <w:rFonts w:ascii="Arial Narrow" w:hAnsi="Arial Narrow"/>
          <w:i/>
          <w:lang w:val="bg-BG" w:eastAsia="bg-BG"/>
        </w:rPr>
        <w:t>Мониторинг на млечните продукти, предлагани на пазара</w:t>
      </w:r>
    </w:p>
    <w:p w14:paraId="28F4EAA4" w14:textId="77777777" w:rsidR="00690C5C" w:rsidRPr="00690C5C" w:rsidRDefault="00690C5C" w:rsidP="00690C5C">
      <w:pPr>
        <w:autoSpaceDE w:val="0"/>
        <w:autoSpaceDN w:val="0"/>
        <w:adjustRightInd w:val="0"/>
        <w:spacing w:after="120"/>
        <w:ind w:firstLine="709"/>
        <w:jc w:val="both"/>
        <w:rPr>
          <w:rFonts w:ascii="Arial Narrow" w:hAnsi="Arial Narrow"/>
          <w:lang w:val="bg-BG" w:eastAsia="bg-BG"/>
        </w:rPr>
      </w:pPr>
      <w:r w:rsidRPr="00690C5C">
        <w:rPr>
          <w:rFonts w:ascii="Arial Narrow" w:hAnsi="Arial Narrow"/>
          <w:lang w:val="bg-BG" w:eastAsia="bg-BG"/>
        </w:rPr>
        <w:t>За да гарантира правото на потребителите да получават пълна и вярна информация за храните, които закупуват и консумират, и в съответствие с Регламент (ЕС) № 1308/2013 за установяване на обща организация на пазарите на селскостопански продукти и Наредба за специфичните изисквания към млечните продукти, БАБХ извършва контрол на предлаганите на пазара млечни продукти за нерегламентирано влагане на немлечни мазнини и за съответствие по физикохимични показатели, съгласно технологична документация на производителя. Мониторингът се осъществява чрез вземане на проби млечни продукти от търговската мрежа с участието на браншовите организации на млекопреработвателите, сдружение „За достъпна и качествена храна“, Комисия за защита на потребителите и Активни потребители. Пробите се изпитват за съответствие с физикохимичните показатели и за наличие на немлечни мазнини. Определянето на търговския обект се извършва на ротационен принцип от участващите организации, като всеки член на комисията посочва по два вида млечни продукти от различни производители.</w:t>
      </w:r>
    </w:p>
    <w:p w14:paraId="56DA5DA8" w14:textId="77777777" w:rsidR="00690C5C" w:rsidRPr="00690C5C" w:rsidRDefault="00690C5C" w:rsidP="00690C5C">
      <w:pPr>
        <w:autoSpaceDE w:val="0"/>
        <w:autoSpaceDN w:val="0"/>
        <w:adjustRightInd w:val="0"/>
        <w:spacing w:after="120"/>
        <w:ind w:firstLine="709"/>
        <w:jc w:val="both"/>
        <w:rPr>
          <w:rFonts w:ascii="Arial Narrow" w:hAnsi="Arial Narrow"/>
          <w:lang w:val="bg-BG" w:eastAsia="bg-BG"/>
        </w:rPr>
      </w:pPr>
      <w:r w:rsidRPr="00690C5C">
        <w:rPr>
          <w:rFonts w:ascii="Arial Narrow" w:hAnsi="Arial Narrow"/>
          <w:lang w:val="bg-BG" w:eastAsia="bg-BG"/>
        </w:rPr>
        <w:t xml:space="preserve">При установени несъответствия се уведомяват ОДБХ, на територията на които се намират предприятията, произвели млечните продукти с установени несъответстващи резултати при лабораторно изпитване, за предприемане на мерки по компетентност. </w:t>
      </w:r>
    </w:p>
    <w:p w14:paraId="1247EC32" w14:textId="77777777" w:rsidR="00690C5C" w:rsidRPr="00690C5C" w:rsidRDefault="00690C5C" w:rsidP="00690C5C">
      <w:pPr>
        <w:autoSpaceDE w:val="0"/>
        <w:autoSpaceDN w:val="0"/>
        <w:adjustRightInd w:val="0"/>
        <w:spacing w:after="120"/>
        <w:ind w:firstLine="709"/>
        <w:jc w:val="both"/>
        <w:rPr>
          <w:rFonts w:ascii="Arial Narrow" w:hAnsi="Arial Narrow"/>
          <w:lang w:val="bg-BG" w:eastAsia="bg-BG"/>
        </w:rPr>
      </w:pPr>
      <w:r w:rsidRPr="00690C5C">
        <w:rPr>
          <w:rFonts w:ascii="Arial Narrow" w:hAnsi="Arial Narrow"/>
          <w:lang w:val="bg-BG" w:eastAsia="bg-BG"/>
        </w:rPr>
        <w:t>БАБХ работи с приоритет по подадени сигнали и жалби от граждани и бизнес оператори, по които се извършват проверки, изпращат се отговори до жалбоподателите с информация за осъществения официален контрол и предприетите мерки по всеки конкретен случай.</w:t>
      </w:r>
    </w:p>
    <w:p w14:paraId="6C3CFECC" w14:textId="77777777" w:rsidR="00690C5C" w:rsidRPr="00690C5C" w:rsidRDefault="00690C5C" w:rsidP="00690C5C">
      <w:pPr>
        <w:spacing w:after="120"/>
        <w:ind w:firstLine="709"/>
        <w:jc w:val="both"/>
        <w:rPr>
          <w:rFonts w:ascii="Arial Narrow" w:hAnsi="Arial Narrow"/>
          <w:b/>
          <w:lang w:val="bg-BG" w:eastAsia="bg-BG"/>
        </w:rPr>
      </w:pPr>
      <w:r w:rsidRPr="00690C5C">
        <w:rPr>
          <w:rFonts w:ascii="Arial Narrow" w:hAnsi="Arial Narrow"/>
          <w:b/>
          <w:lang w:val="bg-BG" w:eastAsia="bg-BG"/>
        </w:rPr>
        <w:t>Лабораторен контрол</w:t>
      </w:r>
    </w:p>
    <w:p w14:paraId="7B07C0A2" w14:textId="77777777" w:rsidR="00690C5C" w:rsidRPr="00690C5C" w:rsidRDefault="00690C5C" w:rsidP="00690C5C">
      <w:pPr>
        <w:spacing w:after="120"/>
        <w:ind w:firstLine="709"/>
        <w:jc w:val="both"/>
        <w:rPr>
          <w:rFonts w:ascii="Arial Narrow" w:eastAsia="Calibri" w:hAnsi="Arial Narrow"/>
          <w:lang w:val="bg-BG"/>
        </w:rPr>
      </w:pPr>
      <w:r w:rsidRPr="00690C5C">
        <w:rPr>
          <w:rFonts w:ascii="Arial Narrow" w:eastAsia="Calibri" w:hAnsi="Arial Narrow"/>
          <w:lang w:val="bg-BG"/>
        </w:rPr>
        <w:t>БАБХ координира разработването и прилагането на следните програми за официален лабораторен контрол:</w:t>
      </w:r>
    </w:p>
    <w:p w14:paraId="7375EFAC" w14:textId="77777777" w:rsidR="00690C5C" w:rsidRPr="00690C5C" w:rsidRDefault="00690C5C" w:rsidP="00690C5C">
      <w:pPr>
        <w:numPr>
          <w:ilvl w:val="0"/>
          <w:numId w:val="35"/>
        </w:numPr>
        <w:spacing w:after="120" w:line="276" w:lineRule="auto"/>
        <w:ind w:left="714" w:hanging="357"/>
        <w:jc w:val="both"/>
        <w:rPr>
          <w:rFonts w:ascii="Arial Narrow" w:hAnsi="Arial Narrow"/>
          <w:b/>
          <w:lang w:val="bg-BG" w:eastAsia="bg-BG"/>
        </w:rPr>
      </w:pPr>
      <w:r w:rsidRPr="00690C5C">
        <w:rPr>
          <w:rFonts w:ascii="Arial Narrow" w:hAnsi="Arial Narrow"/>
          <w:b/>
          <w:lang w:val="bg-BG" w:eastAsia="bg-BG"/>
        </w:rPr>
        <w:t xml:space="preserve">Национална програма за контрол на качествените характеристики на храни (НПККХХ) </w:t>
      </w:r>
      <w:r w:rsidR="007729AB">
        <w:rPr>
          <w:rFonts w:ascii="Arial Narrow" w:hAnsi="Arial Narrow"/>
          <w:b/>
          <w:lang w:eastAsia="bg-BG"/>
        </w:rPr>
        <w:t xml:space="preserve">     </w:t>
      </w:r>
      <w:r w:rsidRPr="00690C5C">
        <w:rPr>
          <w:rFonts w:ascii="Arial Narrow" w:hAnsi="Arial Narrow"/>
          <w:b/>
          <w:lang w:val="bg-BG" w:eastAsia="bg-BG"/>
        </w:rPr>
        <w:t xml:space="preserve">2024 г. </w:t>
      </w:r>
    </w:p>
    <w:p w14:paraId="0E789E30" w14:textId="77777777" w:rsidR="00690C5C" w:rsidRPr="00690C5C" w:rsidRDefault="00690C5C" w:rsidP="00690C5C">
      <w:pPr>
        <w:widowControl w:val="0"/>
        <w:spacing w:after="120"/>
        <w:ind w:firstLine="709"/>
        <w:jc w:val="both"/>
        <w:rPr>
          <w:rFonts w:ascii="Arial Narrow" w:hAnsi="Arial Narrow"/>
          <w:lang w:val="bg-BG" w:eastAsia="bg-BG"/>
        </w:rPr>
      </w:pPr>
      <w:r w:rsidRPr="00690C5C">
        <w:rPr>
          <w:rFonts w:ascii="Arial Narrow" w:hAnsi="Arial Narrow"/>
          <w:lang w:val="bg-BG" w:eastAsia="bg-BG"/>
        </w:rPr>
        <w:t xml:space="preserve">Програмата има за цел провеждане на ефективен и системен официален контрол, с оглед мониторинг на качествените характеристики на храни, за които има заложени изисквания в нормативни </w:t>
      </w:r>
      <w:r w:rsidRPr="00690C5C">
        <w:rPr>
          <w:rFonts w:ascii="Arial Narrow" w:hAnsi="Arial Narrow"/>
          <w:lang w:val="bg-BG" w:eastAsia="bg-BG"/>
        </w:rPr>
        <w:lastRenderedPageBreak/>
        <w:t xml:space="preserve">актове, стандарти и технологична документация (ТД), като всички изискуеми анализи следва да бъдат изпълнявани. Нейното прилагане е важно с оглед предпазване на потребителя от заблуждаваща или подвеждаща информация при етикетирането. Предвидено е, частта от анализите, за които БАБХ не разполага със собствени акредитирани лаборатории и методи за изследване, да се извършват във външни за БАБХ лаборатории. </w:t>
      </w:r>
    </w:p>
    <w:p w14:paraId="44593EED" w14:textId="77777777" w:rsidR="00690C5C" w:rsidRPr="00690C5C" w:rsidRDefault="00690C5C" w:rsidP="00690C5C">
      <w:pPr>
        <w:widowControl w:val="0"/>
        <w:spacing w:after="120"/>
        <w:ind w:firstLine="709"/>
        <w:jc w:val="both"/>
        <w:rPr>
          <w:rFonts w:ascii="Arial Narrow" w:hAnsi="Arial Narrow"/>
          <w:lang w:val="bg-BG" w:eastAsia="bg-BG"/>
        </w:rPr>
      </w:pPr>
      <w:r w:rsidRPr="00690C5C">
        <w:rPr>
          <w:rFonts w:ascii="Arial Narrow" w:hAnsi="Arial Narrow"/>
          <w:lang w:val="bg-BG" w:eastAsia="bg-BG"/>
        </w:rPr>
        <w:t xml:space="preserve">През 2024 г. по програмата са планувани общо 1 062 броя проби, при 1 151 броя през 2023 г. Изпълнени са 1 072 проби (101% изпълнение) и са установени 122 несъответствия. </w:t>
      </w:r>
    </w:p>
    <w:p w14:paraId="2ECFD960" w14:textId="77777777" w:rsidR="00690C5C" w:rsidRPr="00690C5C" w:rsidRDefault="00F214AB" w:rsidP="00E021C3">
      <w:pPr>
        <w:spacing w:after="120"/>
        <w:jc w:val="both"/>
        <w:rPr>
          <w:rFonts w:ascii="Arial Narrow" w:hAnsi="Arial Narrow"/>
          <w:b/>
          <w:bCs/>
          <w:lang w:val="bg-BG" w:eastAsia="bg-BG"/>
        </w:rPr>
      </w:pPr>
      <w:r>
        <w:rPr>
          <w:rFonts w:ascii="Arial Narrow" w:hAnsi="Arial Narrow"/>
          <w:b/>
          <w:bCs/>
          <w:lang w:val="bg-BG" w:eastAsia="bg-BG"/>
        </w:rPr>
        <w:t>Таблица V.10</w:t>
      </w:r>
      <w:r w:rsidR="00690C5C" w:rsidRPr="00690C5C">
        <w:rPr>
          <w:rFonts w:ascii="Arial Narrow" w:hAnsi="Arial Narrow"/>
          <w:b/>
          <w:bCs/>
          <w:lang w:val="bg-BG" w:eastAsia="bg-BG"/>
        </w:rPr>
        <w:t xml:space="preserve">. Брой планувани, изпълнени и несъответстващи проби при изпълнение на </w:t>
      </w:r>
      <w:r w:rsidR="00690C5C" w:rsidRPr="00690C5C">
        <w:rPr>
          <w:rFonts w:ascii="Arial Narrow" w:hAnsi="Arial Narrow"/>
          <w:b/>
          <w:lang w:val="bg-BG" w:eastAsia="bg-BG"/>
        </w:rPr>
        <w:t>НПККХХ 2024 г</w:t>
      </w:r>
      <w:r w:rsidR="00690C5C" w:rsidRPr="00690C5C">
        <w:rPr>
          <w:rFonts w:ascii="Arial Narrow" w:hAnsi="Arial Narrow"/>
          <w:b/>
          <w:bCs/>
          <w:lang w:val="bg-BG" w:eastAsia="bg-BG"/>
        </w:rPr>
        <w:t>.</w:t>
      </w:r>
    </w:p>
    <w:tbl>
      <w:tblPr>
        <w:tblW w:w="4909" w:type="pct"/>
        <w:tblInd w:w="108" w:type="dxa"/>
        <w:tblLook w:val="04A0" w:firstRow="1" w:lastRow="0" w:firstColumn="1" w:lastColumn="0" w:noHBand="0" w:noVBand="1"/>
      </w:tblPr>
      <w:tblGrid>
        <w:gridCol w:w="354"/>
        <w:gridCol w:w="3757"/>
        <w:gridCol w:w="1148"/>
        <w:gridCol w:w="1086"/>
        <w:gridCol w:w="1079"/>
        <w:gridCol w:w="1111"/>
        <w:gridCol w:w="1087"/>
      </w:tblGrid>
      <w:tr w:rsidR="00E021C3" w:rsidRPr="00E021C3" w14:paraId="089B34A6" w14:textId="77777777" w:rsidTr="00E021C3">
        <w:trPr>
          <w:trHeight w:val="683"/>
          <w:tblHeader/>
        </w:trPr>
        <w:tc>
          <w:tcPr>
            <w:tcW w:w="357" w:type="dxa"/>
            <w:vMerge w:val="restart"/>
            <w:tcBorders>
              <w:top w:val="single" w:sz="4" w:space="0" w:color="auto"/>
              <w:left w:val="single" w:sz="4" w:space="0" w:color="auto"/>
              <w:bottom w:val="single" w:sz="4" w:space="0" w:color="auto"/>
              <w:right w:val="single" w:sz="4" w:space="0" w:color="auto"/>
            </w:tcBorders>
            <w:shd w:val="clear" w:color="000000" w:fill="FFFFFF"/>
            <w:vAlign w:val="center"/>
          </w:tcPr>
          <w:p w14:paraId="76D2F217" w14:textId="77777777" w:rsidR="00690C5C" w:rsidRPr="00690C5C" w:rsidRDefault="00690C5C" w:rsidP="00690C5C">
            <w:pPr>
              <w:rPr>
                <w:rFonts w:ascii="Arial Narrow" w:hAnsi="Arial Narrow" w:cs="Calibri"/>
                <w:sz w:val="20"/>
                <w:szCs w:val="20"/>
              </w:rPr>
            </w:pPr>
          </w:p>
        </w:tc>
        <w:tc>
          <w:tcPr>
            <w:tcW w:w="3888" w:type="dxa"/>
            <w:vMerge w:val="restart"/>
            <w:tcBorders>
              <w:top w:val="single" w:sz="4" w:space="0" w:color="auto"/>
              <w:left w:val="single" w:sz="4" w:space="0" w:color="auto"/>
              <w:bottom w:val="single" w:sz="4" w:space="0" w:color="auto"/>
              <w:right w:val="single" w:sz="4" w:space="0" w:color="auto"/>
            </w:tcBorders>
            <w:shd w:val="clear" w:color="000000" w:fill="FFFFFF"/>
            <w:vAlign w:val="center"/>
          </w:tcPr>
          <w:p w14:paraId="159E61BB" w14:textId="77777777" w:rsidR="00690C5C" w:rsidRPr="00690C5C" w:rsidRDefault="00690C5C" w:rsidP="00690C5C">
            <w:pPr>
              <w:rPr>
                <w:rFonts w:ascii="Arial Narrow" w:hAnsi="Arial Narrow" w:cs="Calibri"/>
                <w:sz w:val="20"/>
                <w:szCs w:val="20"/>
              </w:rPr>
            </w:pPr>
          </w:p>
        </w:tc>
        <w:tc>
          <w:tcPr>
            <w:tcW w:w="1150" w:type="dxa"/>
            <w:tcBorders>
              <w:top w:val="single" w:sz="4" w:space="0" w:color="auto"/>
              <w:left w:val="nil"/>
              <w:bottom w:val="single" w:sz="4" w:space="0" w:color="auto"/>
              <w:right w:val="single" w:sz="4" w:space="0" w:color="auto"/>
            </w:tcBorders>
            <w:shd w:val="clear" w:color="000000" w:fill="FFFFFF"/>
            <w:vAlign w:val="center"/>
            <w:hideMark/>
          </w:tcPr>
          <w:p w14:paraId="781802B2" w14:textId="77777777" w:rsidR="00690C5C" w:rsidRPr="00690C5C" w:rsidRDefault="00690C5C" w:rsidP="00690C5C">
            <w:pPr>
              <w:jc w:val="center"/>
              <w:rPr>
                <w:rFonts w:ascii="Arial Narrow" w:hAnsi="Arial Narrow" w:cs="Calibri"/>
                <w:b/>
                <w:bCs/>
                <w:sz w:val="20"/>
                <w:szCs w:val="20"/>
              </w:rPr>
            </w:pPr>
            <w:r w:rsidRPr="00690C5C">
              <w:rPr>
                <w:rFonts w:ascii="Arial Narrow" w:hAnsi="Arial Narrow" w:cs="Calibri"/>
                <w:b/>
                <w:bCs/>
                <w:sz w:val="20"/>
                <w:szCs w:val="20"/>
                <w:lang w:val="bg-BG"/>
              </w:rPr>
              <w:t>Планувани проби</w:t>
            </w:r>
          </w:p>
        </w:tc>
        <w:tc>
          <w:tcPr>
            <w:tcW w:w="2222" w:type="dxa"/>
            <w:gridSpan w:val="2"/>
            <w:tcBorders>
              <w:top w:val="single" w:sz="4" w:space="0" w:color="auto"/>
              <w:left w:val="nil"/>
              <w:bottom w:val="single" w:sz="4" w:space="0" w:color="auto"/>
              <w:right w:val="single" w:sz="4" w:space="0" w:color="auto"/>
            </w:tcBorders>
            <w:shd w:val="clear" w:color="000000" w:fill="FFFFFF"/>
            <w:vAlign w:val="center"/>
            <w:hideMark/>
          </w:tcPr>
          <w:p w14:paraId="4C2C569B" w14:textId="77777777" w:rsidR="00690C5C" w:rsidRPr="00690C5C" w:rsidRDefault="00690C5C" w:rsidP="00690C5C">
            <w:pPr>
              <w:jc w:val="center"/>
              <w:rPr>
                <w:rFonts w:ascii="Arial Narrow" w:hAnsi="Arial Narrow" w:cs="Calibri"/>
                <w:b/>
                <w:bCs/>
                <w:sz w:val="20"/>
                <w:szCs w:val="20"/>
              </w:rPr>
            </w:pPr>
            <w:r w:rsidRPr="00690C5C">
              <w:rPr>
                <w:rFonts w:ascii="Arial Narrow" w:hAnsi="Arial Narrow" w:cs="Calibri"/>
                <w:b/>
                <w:bCs/>
                <w:sz w:val="20"/>
                <w:szCs w:val="20"/>
                <w:lang w:val="bg-BG"/>
              </w:rPr>
              <w:t>Изпълнени проби</w:t>
            </w:r>
          </w:p>
        </w:tc>
        <w:tc>
          <w:tcPr>
            <w:tcW w:w="2226" w:type="dxa"/>
            <w:gridSpan w:val="2"/>
            <w:tcBorders>
              <w:top w:val="single" w:sz="4" w:space="0" w:color="auto"/>
              <w:left w:val="nil"/>
              <w:bottom w:val="single" w:sz="4" w:space="0" w:color="auto"/>
              <w:right w:val="single" w:sz="4" w:space="0" w:color="auto"/>
            </w:tcBorders>
            <w:shd w:val="clear" w:color="000000" w:fill="FFFFFF"/>
            <w:vAlign w:val="center"/>
            <w:hideMark/>
          </w:tcPr>
          <w:p w14:paraId="5C036088" w14:textId="77777777" w:rsidR="00690C5C" w:rsidRPr="00690C5C" w:rsidRDefault="00690C5C" w:rsidP="00690C5C">
            <w:pPr>
              <w:jc w:val="center"/>
              <w:rPr>
                <w:rFonts w:ascii="Arial Narrow" w:hAnsi="Arial Narrow" w:cs="Calibri"/>
                <w:b/>
                <w:bCs/>
                <w:sz w:val="20"/>
                <w:szCs w:val="20"/>
              </w:rPr>
            </w:pPr>
            <w:r w:rsidRPr="00690C5C">
              <w:rPr>
                <w:rFonts w:ascii="Arial Narrow" w:hAnsi="Arial Narrow" w:cs="Calibri"/>
                <w:b/>
                <w:bCs/>
                <w:sz w:val="20"/>
                <w:szCs w:val="20"/>
                <w:lang w:val="bg-BG"/>
              </w:rPr>
              <w:t>Несъответстващи проби</w:t>
            </w:r>
          </w:p>
        </w:tc>
      </w:tr>
      <w:tr w:rsidR="00690C5C" w:rsidRPr="00E021C3" w14:paraId="1A17FCEB" w14:textId="77777777" w:rsidTr="00E021C3">
        <w:trPr>
          <w:trHeight w:val="315"/>
          <w:tblHeader/>
        </w:trPr>
        <w:tc>
          <w:tcPr>
            <w:tcW w:w="357" w:type="dxa"/>
            <w:vMerge/>
            <w:tcBorders>
              <w:top w:val="single" w:sz="4" w:space="0" w:color="auto"/>
              <w:left w:val="single" w:sz="4" w:space="0" w:color="auto"/>
              <w:bottom w:val="single" w:sz="4" w:space="0" w:color="auto"/>
              <w:right w:val="single" w:sz="4" w:space="0" w:color="auto"/>
            </w:tcBorders>
            <w:vAlign w:val="center"/>
            <w:hideMark/>
          </w:tcPr>
          <w:p w14:paraId="453F85B8" w14:textId="77777777" w:rsidR="00690C5C" w:rsidRPr="00690C5C" w:rsidRDefault="00690C5C" w:rsidP="00690C5C">
            <w:pPr>
              <w:rPr>
                <w:rFonts w:ascii="Arial Narrow" w:hAnsi="Arial Narrow" w:cs="Calibri"/>
                <w:sz w:val="20"/>
                <w:szCs w:val="20"/>
              </w:rPr>
            </w:pPr>
          </w:p>
        </w:tc>
        <w:tc>
          <w:tcPr>
            <w:tcW w:w="3888" w:type="dxa"/>
            <w:vMerge/>
            <w:tcBorders>
              <w:top w:val="single" w:sz="4" w:space="0" w:color="auto"/>
              <w:left w:val="single" w:sz="4" w:space="0" w:color="auto"/>
              <w:bottom w:val="single" w:sz="4" w:space="0" w:color="auto"/>
              <w:right w:val="single" w:sz="4" w:space="0" w:color="auto"/>
            </w:tcBorders>
            <w:vAlign w:val="center"/>
            <w:hideMark/>
          </w:tcPr>
          <w:p w14:paraId="30F9AD46" w14:textId="77777777" w:rsidR="00690C5C" w:rsidRPr="00690C5C" w:rsidRDefault="00690C5C" w:rsidP="00690C5C">
            <w:pPr>
              <w:rPr>
                <w:rFonts w:ascii="Arial Narrow" w:hAnsi="Arial Narrow" w:cs="Calibri"/>
                <w:sz w:val="20"/>
                <w:szCs w:val="20"/>
              </w:rPr>
            </w:pPr>
          </w:p>
        </w:tc>
        <w:tc>
          <w:tcPr>
            <w:tcW w:w="1150" w:type="dxa"/>
            <w:tcBorders>
              <w:top w:val="nil"/>
              <w:left w:val="nil"/>
              <w:bottom w:val="single" w:sz="4" w:space="0" w:color="auto"/>
              <w:right w:val="single" w:sz="4" w:space="0" w:color="auto"/>
            </w:tcBorders>
            <w:shd w:val="clear" w:color="000000" w:fill="FFFFFF"/>
            <w:vAlign w:val="center"/>
            <w:hideMark/>
          </w:tcPr>
          <w:p w14:paraId="75793091" w14:textId="77777777" w:rsidR="00690C5C" w:rsidRPr="00690C5C" w:rsidRDefault="00690C5C" w:rsidP="00690C5C">
            <w:pPr>
              <w:jc w:val="center"/>
              <w:rPr>
                <w:rFonts w:ascii="Arial Narrow" w:hAnsi="Arial Narrow" w:cs="Calibri"/>
                <w:b/>
                <w:bCs/>
                <w:sz w:val="20"/>
                <w:szCs w:val="20"/>
              </w:rPr>
            </w:pPr>
            <w:r w:rsidRPr="00690C5C">
              <w:rPr>
                <w:rFonts w:ascii="Arial Narrow" w:hAnsi="Arial Narrow" w:cs="Calibri"/>
                <w:b/>
                <w:bCs/>
                <w:sz w:val="20"/>
                <w:szCs w:val="20"/>
                <w:lang w:val="bg-BG"/>
              </w:rPr>
              <w:t>брой</w:t>
            </w:r>
          </w:p>
        </w:tc>
        <w:tc>
          <w:tcPr>
            <w:tcW w:w="1111" w:type="dxa"/>
            <w:tcBorders>
              <w:top w:val="nil"/>
              <w:left w:val="nil"/>
              <w:bottom w:val="single" w:sz="4" w:space="0" w:color="auto"/>
              <w:right w:val="single" w:sz="4" w:space="0" w:color="auto"/>
            </w:tcBorders>
            <w:shd w:val="clear" w:color="000000" w:fill="FFFFFF"/>
            <w:vAlign w:val="center"/>
            <w:hideMark/>
          </w:tcPr>
          <w:p w14:paraId="45491839" w14:textId="77777777" w:rsidR="00690C5C" w:rsidRPr="00690C5C" w:rsidRDefault="00690C5C" w:rsidP="00690C5C">
            <w:pPr>
              <w:jc w:val="center"/>
              <w:rPr>
                <w:rFonts w:ascii="Arial Narrow" w:hAnsi="Arial Narrow" w:cs="Calibri"/>
                <w:b/>
                <w:bCs/>
                <w:sz w:val="20"/>
                <w:szCs w:val="20"/>
              </w:rPr>
            </w:pPr>
            <w:r w:rsidRPr="00690C5C">
              <w:rPr>
                <w:rFonts w:ascii="Arial Narrow" w:hAnsi="Arial Narrow" w:cs="Calibri"/>
                <w:b/>
                <w:bCs/>
                <w:sz w:val="20"/>
                <w:szCs w:val="20"/>
                <w:lang w:val="bg-BG"/>
              </w:rPr>
              <w:t>брой</w:t>
            </w:r>
          </w:p>
        </w:tc>
        <w:tc>
          <w:tcPr>
            <w:tcW w:w="1110" w:type="dxa"/>
            <w:tcBorders>
              <w:top w:val="nil"/>
              <w:left w:val="nil"/>
              <w:bottom w:val="single" w:sz="4" w:space="0" w:color="auto"/>
              <w:right w:val="single" w:sz="4" w:space="0" w:color="auto"/>
            </w:tcBorders>
            <w:shd w:val="clear" w:color="000000" w:fill="FFFFFF"/>
            <w:vAlign w:val="center"/>
            <w:hideMark/>
          </w:tcPr>
          <w:p w14:paraId="20330BC4" w14:textId="77777777" w:rsidR="00690C5C" w:rsidRPr="00690C5C" w:rsidRDefault="00690C5C" w:rsidP="00690C5C">
            <w:pPr>
              <w:jc w:val="center"/>
              <w:rPr>
                <w:rFonts w:ascii="Arial Narrow" w:hAnsi="Arial Narrow" w:cs="Calibri"/>
                <w:b/>
                <w:bCs/>
                <w:sz w:val="20"/>
                <w:szCs w:val="20"/>
              </w:rPr>
            </w:pPr>
            <w:r w:rsidRPr="00690C5C">
              <w:rPr>
                <w:rFonts w:ascii="Arial Narrow" w:hAnsi="Arial Narrow" w:cs="Calibri"/>
                <w:b/>
                <w:bCs/>
                <w:sz w:val="20"/>
                <w:szCs w:val="20"/>
                <w:lang w:val="bg-BG"/>
              </w:rPr>
              <w:t>%</w:t>
            </w:r>
          </w:p>
        </w:tc>
        <w:tc>
          <w:tcPr>
            <w:tcW w:w="1114" w:type="dxa"/>
            <w:tcBorders>
              <w:top w:val="nil"/>
              <w:left w:val="nil"/>
              <w:bottom w:val="single" w:sz="4" w:space="0" w:color="auto"/>
              <w:right w:val="single" w:sz="4" w:space="0" w:color="auto"/>
            </w:tcBorders>
            <w:shd w:val="clear" w:color="000000" w:fill="FFFFFF"/>
            <w:vAlign w:val="center"/>
            <w:hideMark/>
          </w:tcPr>
          <w:p w14:paraId="61571580" w14:textId="77777777" w:rsidR="00690C5C" w:rsidRPr="00690C5C" w:rsidRDefault="00690C5C" w:rsidP="00690C5C">
            <w:pPr>
              <w:jc w:val="center"/>
              <w:rPr>
                <w:rFonts w:ascii="Arial Narrow" w:hAnsi="Arial Narrow" w:cs="Calibri"/>
                <w:b/>
                <w:bCs/>
                <w:sz w:val="20"/>
                <w:szCs w:val="20"/>
              </w:rPr>
            </w:pPr>
            <w:r w:rsidRPr="00690C5C">
              <w:rPr>
                <w:rFonts w:ascii="Arial Narrow" w:hAnsi="Arial Narrow" w:cs="Calibri"/>
                <w:b/>
                <w:bCs/>
                <w:sz w:val="20"/>
                <w:szCs w:val="20"/>
                <w:lang w:val="bg-BG"/>
              </w:rPr>
              <w:t>брой</w:t>
            </w:r>
          </w:p>
        </w:tc>
        <w:tc>
          <w:tcPr>
            <w:tcW w:w="1111" w:type="dxa"/>
            <w:tcBorders>
              <w:top w:val="nil"/>
              <w:left w:val="nil"/>
              <w:bottom w:val="single" w:sz="4" w:space="0" w:color="auto"/>
              <w:right w:val="single" w:sz="4" w:space="0" w:color="auto"/>
            </w:tcBorders>
            <w:shd w:val="clear" w:color="000000" w:fill="FFFFFF"/>
            <w:vAlign w:val="center"/>
            <w:hideMark/>
          </w:tcPr>
          <w:p w14:paraId="64E0AB49" w14:textId="77777777" w:rsidR="00690C5C" w:rsidRPr="00690C5C" w:rsidRDefault="00690C5C" w:rsidP="00690C5C">
            <w:pPr>
              <w:jc w:val="center"/>
              <w:rPr>
                <w:rFonts w:ascii="Arial Narrow" w:hAnsi="Arial Narrow" w:cs="Calibri"/>
                <w:b/>
                <w:bCs/>
                <w:sz w:val="20"/>
                <w:szCs w:val="20"/>
              </w:rPr>
            </w:pPr>
            <w:r w:rsidRPr="00690C5C">
              <w:rPr>
                <w:rFonts w:ascii="Arial Narrow" w:hAnsi="Arial Narrow" w:cs="Calibri"/>
                <w:b/>
                <w:bCs/>
                <w:sz w:val="20"/>
                <w:szCs w:val="20"/>
                <w:lang w:val="bg-BG"/>
              </w:rPr>
              <w:t>%</w:t>
            </w:r>
          </w:p>
        </w:tc>
      </w:tr>
      <w:tr w:rsidR="00E021C3" w:rsidRPr="00E021C3" w14:paraId="1FAC7085" w14:textId="77777777" w:rsidTr="00E021C3">
        <w:trPr>
          <w:trHeight w:val="538"/>
        </w:trPr>
        <w:tc>
          <w:tcPr>
            <w:tcW w:w="357" w:type="dxa"/>
            <w:tcBorders>
              <w:top w:val="nil"/>
              <w:left w:val="single" w:sz="4" w:space="0" w:color="auto"/>
              <w:bottom w:val="single" w:sz="4" w:space="0" w:color="auto"/>
              <w:right w:val="single" w:sz="4" w:space="0" w:color="auto"/>
            </w:tcBorders>
            <w:shd w:val="clear" w:color="auto" w:fill="auto"/>
            <w:vAlign w:val="center"/>
            <w:hideMark/>
          </w:tcPr>
          <w:p w14:paraId="254E7E57" w14:textId="77777777" w:rsidR="00690C5C" w:rsidRPr="00690C5C" w:rsidRDefault="00690C5C" w:rsidP="00690C5C">
            <w:pPr>
              <w:jc w:val="center"/>
              <w:rPr>
                <w:rFonts w:ascii="Arial Narrow" w:hAnsi="Arial Narrow" w:cs="Calibri"/>
                <w:sz w:val="20"/>
                <w:szCs w:val="20"/>
              </w:rPr>
            </w:pPr>
            <w:r w:rsidRPr="00690C5C">
              <w:rPr>
                <w:rFonts w:ascii="Arial Narrow" w:hAnsi="Arial Narrow" w:cs="Calibri"/>
                <w:sz w:val="20"/>
                <w:szCs w:val="20"/>
                <w:lang w:val="bg-BG"/>
              </w:rPr>
              <w:t>1</w:t>
            </w:r>
          </w:p>
        </w:tc>
        <w:tc>
          <w:tcPr>
            <w:tcW w:w="3888" w:type="dxa"/>
            <w:tcBorders>
              <w:top w:val="nil"/>
              <w:left w:val="nil"/>
              <w:bottom w:val="single" w:sz="4" w:space="0" w:color="auto"/>
              <w:right w:val="single" w:sz="4" w:space="0" w:color="auto"/>
            </w:tcBorders>
            <w:shd w:val="clear" w:color="auto" w:fill="auto"/>
            <w:vAlign w:val="center"/>
            <w:hideMark/>
          </w:tcPr>
          <w:p w14:paraId="4F51A792" w14:textId="77777777" w:rsidR="00690C5C" w:rsidRPr="00690C5C" w:rsidRDefault="00690C5C" w:rsidP="00690C5C">
            <w:pPr>
              <w:rPr>
                <w:rFonts w:ascii="Arial Narrow" w:hAnsi="Arial Narrow" w:cs="Calibri"/>
                <w:sz w:val="20"/>
                <w:szCs w:val="20"/>
              </w:rPr>
            </w:pPr>
            <w:r w:rsidRPr="00690C5C">
              <w:rPr>
                <w:rFonts w:ascii="Arial Narrow" w:hAnsi="Arial Narrow" w:cs="Calibri"/>
                <w:sz w:val="20"/>
                <w:szCs w:val="20"/>
                <w:lang w:val="bg-BG"/>
              </w:rPr>
              <w:t>Храни, произведени по национални, утвърдени и браншови стандарти</w:t>
            </w:r>
          </w:p>
        </w:tc>
        <w:tc>
          <w:tcPr>
            <w:tcW w:w="1150" w:type="dxa"/>
            <w:tcBorders>
              <w:top w:val="nil"/>
              <w:left w:val="nil"/>
              <w:bottom w:val="single" w:sz="4" w:space="0" w:color="auto"/>
              <w:right w:val="single" w:sz="4" w:space="0" w:color="auto"/>
            </w:tcBorders>
            <w:shd w:val="clear" w:color="auto" w:fill="auto"/>
            <w:vAlign w:val="center"/>
            <w:hideMark/>
          </w:tcPr>
          <w:p w14:paraId="0A966F53" w14:textId="77777777" w:rsidR="00690C5C" w:rsidRPr="00690C5C" w:rsidRDefault="00690C5C" w:rsidP="00690C5C">
            <w:pPr>
              <w:jc w:val="right"/>
              <w:rPr>
                <w:rFonts w:ascii="Arial Narrow" w:hAnsi="Arial Narrow" w:cs="Calibri"/>
                <w:sz w:val="20"/>
                <w:szCs w:val="20"/>
              </w:rPr>
            </w:pPr>
            <w:r w:rsidRPr="00690C5C">
              <w:rPr>
                <w:rFonts w:ascii="Arial Narrow" w:hAnsi="Arial Narrow" w:cs="Calibri"/>
                <w:sz w:val="20"/>
                <w:szCs w:val="20"/>
                <w:lang w:val="bg-BG"/>
              </w:rPr>
              <w:t>278</w:t>
            </w:r>
          </w:p>
        </w:tc>
        <w:tc>
          <w:tcPr>
            <w:tcW w:w="1111" w:type="dxa"/>
            <w:tcBorders>
              <w:top w:val="nil"/>
              <w:left w:val="nil"/>
              <w:bottom w:val="single" w:sz="4" w:space="0" w:color="auto"/>
              <w:right w:val="single" w:sz="4" w:space="0" w:color="auto"/>
            </w:tcBorders>
            <w:shd w:val="clear" w:color="auto" w:fill="auto"/>
            <w:vAlign w:val="center"/>
            <w:hideMark/>
          </w:tcPr>
          <w:p w14:paraId="48396A1D" w14:textId="77777777" w:rsidR="00690C5C" w:rsidRPr="00690C5C" w:rsidRDefault="00690C5C" w:rsidP="00690C5C">
            <w:pPr>
              <w:jc w:val="right"/>
              <w:rPr>
                <w:rFonts w:ascii="Arial Narrow" w:hAnsi="Arial Narrow" w:cs="Calibri"/>
                <w:sz w:val="20"/>
                <w:szCs w:val="20"/>
              </w:rPr>
            </w:pPr>
            <w:r w:rsidRPr="00690C5C">
              <w:rPr>
                <w:rFonts w:ascii="Arial Narrow" w:hAnsi="Arial Narrow" w:cs="Calibri"/>
                <w:sz w:val="20"/>
                <w:szCs w:val="20"/>
                <w:lang w:val="bg-BG"/>
              </w:rPr>
              <w:t>278</w:t>
            </w:r>
          </w:p>
        </w:tc>
        <w:tc>
          <w:tcPr>
            <w:tcW w:w="1110" w:type="dxa"/>
            <w:tcBorders>
              <w:top w:val="nil"/>
              <w:left w:val="nil"/>
              <w:bottom w:val="single" w:sz="4" w:space="0" w:color="auto"/>
              <w:right w:val="single" w:sz="4" w:space="0" w:color="auto"/>
            </w:tcBorders>
            <w:shd w:val="clear" w:color="auto" w:fill="auto"/>
            <w:vAlign w:val="center"/>
            <w:hideMark/>
          </w:tcPr>
          <w:p w14:paraId="5DA8C5C2" w14:textId="77777777" w:rsidR="00690C5C" w:rsidRPr="00690C5C" w:rsidRDefault="00690C5C" w:rsidP="00690C5C">
            <w:pPr>
              <w:jc w:val="right"/>
              <w:rPr>
                <w:rFonts w:ascii="Arial Narrow" w:hAnsi="Arial Narrow" w:cs="Calibri"/>
                <w:sz w:val="20"/>
                <w:szCs w:val="20"/>
              </w:rPr>
            </w:pPr>
            <w:r w:rsidRPr="00690C5C">
              <w:rPr>
                <w:rFonts w:ascii="Arial Narrow" w:hAnsi="Arial Narrow" w:cs="Calibri"/>
                <w:sz w:val="20"/>
                <w:szCs w:val="20"/>
              </w:rPr>
              <w:t>101</w:t>
            </w:r>
          </w:p>
        </w:tc>
        <w:tc>
          <w:tcPr>
            <w:tcW w:w="1114" w:type="dxa"/>
            <w:tcBorders>
              <w:top w:val="nil"/>
              <w:left w:val="nil"/>
              <w:bottom w:val="single" w:sz="4" w:space="0" w:color="auto"/>
              <w:right w:val="single" w:sz="4" w:space="0" w:color="auto"/>
            </w:tcBorders>
            <w:shd w:val="clear" w:color="auto" w:fill="auto"/>
            <w:vAlign w:val="center"/>
            <w:hideMark/>
          </w:tcPr>
          <w:p w14:paraId="2EB77A8B" w14:textId="77777777" w:rsidR="00690C5C" w:rsidRPr="00690C5C" w:rsidRDefault="00690C5C" w:rsidP="00690C5C">
            <w:pPr>
              <w:jc w:val="right"/>
              <w:rPr>
                <w:rFonts w:ascii="Arial Narrow" w:hAnsi="Arial Narrow" w:cs="Calibri"/>
                <w:sz w:val="20"/>
                <w:szCs w:val="20"/>
              </w:rPr>
            </w:pPr>
            <w:r w:rsidRPr="00690C5C">
              <w:rPr>
                <w:rFonts w:ascii="Arial Narrow" w:hAnsi="Arial Narrow" w:cs="Calibri"/>
                <w:sz w:val="20"/>
                <w:szCs w:val="20"/>
                <w:lang w:val="bg-BG"/>
              </w:rPr>
              <w:t>50</w:t>
            </w:r>
          </w:p>
        </w:tc>
        <w:tc>
          <w:tcPr>
            <w:tcW w:w="1111" w:type="dxa"/>
            <w:tcBorders>
              <w:top w:val="nil"/>
              <w:left w:val="nil"/>
              <w:bottom w:val="single" w:sz="4" w:space="0" w:color="auto"/>
              <w:right w:val="single" w:sz="4" w:space="0" w:color="auto"/>
            </w:tcBorders>
            <w:shd w:val="clear" w:color="auto" w:fill="auto"/>
            <w:vAlign w:val="center"/>
            <w:hideMark/>
          </w:tcPr>
          <w:p w14:paraId="4FE502E2" w14:textId="77777777" w:rsidR="00690C5C" w:rsidRPr="00690C5C" w:rsidRDefault="00690C5C" w:rsidP="00690C5C">
            <w:pPr>
              <w:jc w:val="right"/>
              <w:rPr>
                <w:rFonts w:ascii="Arial Narrow" w:hAnsi="Arial Narrow" w:cs="Calibri"/>
                <w:sz w:val="20"/>
                <w:szCs w:val="20"/>
                <w:lang w:val="bg-BG"/>
              </w:rPr>
            </w:pPr>
            <w:r w:rsidRPr="00690C5C">
              <w:rPr>
                <w:rFonts w:ascii="Arial Narrow" w:hAnsi="Arial Narrow" w:cs="Calibri"/>
                <w:sz w:val="20"/>
                <w:szCs w:val="20"/>
                <w:lang w:val="bg-BG"/>
              </w:rPr>
              <w:t>18</w:t>
            </w:r>
          </w:p>
        </w:tc>
      </w:tr>
      <w:tr w:rsidR="00E021C3" w:rsidRPr="00E021C3" w14:paraId="5685B6E8" w14:textId="77777777" w:rsidTr="00E021C3">
        <w:trPr>
          <w:trHeight w:val="315"/>
        </w:trPr>
        <w:tc>
          <w:tcPr>
            <w:tcW w:w="357" w:type="dxa"/>
            <w:tcBorders>
              <w:top w:val="nil"/>
              <w:left w:val="single" w:sz="4" w:space="0" w:color="auto"/>
              <w:bottom w:val="single" w:sz="4" w:space="0" w:color="auto"/>
              <w:right w:val="single" w:sz="4" w:space="0" w:color="auto"/>
            </w:tcBorders>
            <w:shd w:val="clear" w:color="auto" w:fill="auto"/>
            <w:vAlign w:val="center"/>
            <w:hideMark/>
          </w:tcPr>
          <w:p w14:paraId="35655EAE" w14:textId="77777777" w:rsidR="00690C5C" w:rsidRPr="00690C5C" w:rsidRDefault="00690C5C" w:rsidP="00690C5C">
            <w:pPr>
              <w:jc w:val="center"/>
              <w:rPr>
                <w:rFonts w:ascii="Arial Narrow" w:hAnsi="Arial Narrow" w:cs="Calibri"/>
                <w:sz w:val="20"/>
                <w:szCs w:val="20"/>
              </w:rPr>
            </w:pPr>
            <w:r w:rsidRPr="00690C5C">
              <w:rPr>
                <w:rFonts w:ascii="Arial Narrow" w:hAnsi="Arial Narrow" w:cs="Calibri"/>
                <w:sz w:val="20"/>
                <w:szCs w:val="20"/>
                <w:lang w:val="bg-BG"/>
              </w:rPr>
              <w:t>2</w:t>
            </w:r>
          </w:p>
        </w:tc>
        <w:tc>
          <w:tcPr>
            <w:tcW w:w="3888" w:type="dxa"/>
            <w:tcBorders>
              <w:top w:val="nil"/>
              <w:left w:val="nil"/>
              <w:bottom w:val="single" w:sz="4" w:space="0" w:color="auto"/>
              <w:right w:val="single" w:sz="4" w:space="0" w:color="auto"/>
            </w:tcBorders>
            <w:shd w:val="clear" w:color="auto" w:fill="auto"/>
            <w:vAlign w:val="center"/>
            <w:hideMark/>
          </w:tcPr>
          <w:p w14:paraId="0CEE142D" w14:textId="77777777" w:rsidR="00690C5C" w:rsidRPr="00690C5C" w:rsidRDefault="00690C5C" w:rsidP="00690C5C">
            <w:pPr>
              <w:rPr>
                <w:rFonts w:ascii="Arial Narrow" w:hAnsi="Arial Narrow" w:cs="Calibri"/>
                <w:sz w:val="20"/>
                <w:szCs w:val="20"/>
              </w:rPr>
            </w:pPr>
            <w:r w:rsidRPr="00690C5C">
              <w:rPr>
                <w:rFonts w:ascii="Arial Narrow" w:hAnsi="Arial Narrow" w:cs="Calibri"/>
                <w:sz w:val="20"/>
                <w:szCs w:val="20"/>
                <w:lang w:val="bg-BG"/>
              </w:rPr>
              <w:t>Трапезна сол</w:t>
            </w:r>
          </w:p>
        </w:tc>
        <w:tc>
          <w:tcPr>
            <w:tcW w:w="1150" w:type="dxa"/>
            <w:tcBorders>
              <w:top w:val="nil"/>
              <w:left w:val="nil"/>
              <w:bottom w:val="single" w:sz="4" w:space="0" w:color="auto"/>
              <w:right w:val="single" w:sz="4" w:space="0" w:color="auto"/>
            </w:tcBorders>
            <w:shd w:val="clear" w:color="auto" w:fill="auto"/>
            <w:vAlign w:val="center"/>
            <w:hideMark/>
          </w:tcPr>
          <w:p w14:paraId="2488C975" w14:textId="77777777" w:rsidR="00690C5C" w:rsidRPr="00690C5C" w:rsidRDefault="00690C5C" w:rsidP="00690C5C">
            <w:pPr>
              <w:jc w:val="right"/>
              <w:rPr>
                <w:rFonts w:ascii="Arial Narrow" w:hAnsi="Arial Narrow" w:cs="Calibri"/>
                <w:sz w:val="20"/>
                <w:szCs w:val="20"/>
              </w:rPr>
            </w:pPr>
            <w:r w:rsidRPr="00690C5C">
              <w:rPr>
                <w:rFonts w:ascii="Arial Narrow" w:hAnsi="Arial Narrow" w:cs="Calibri"/>
                <w:sz w:val="20"/>
                <w:szCs w:val="20"/>
                <w:lang w:val="bg-BG"/>
              </w:rPr>
              <w:t>0</w:t>
            </w:r>
          </w:p>
        </w:tc>
        <w:tc>
          <w:tcPr>
            <w:tcW w:w="1111" w:type="dxa"/>
            <w:tcBorders>
              <w:top w:val="nil"/>
              <w:left w:val="nil"/>
              <w:bottom w:val="single" w:sz="4" w:space="0" w:color="auto"/>
              <w:right w:val="single" w:sz="4" w:space="0" w:color="auto"/>
            </w:tcBorders>
            <w:shd w:val="clear" w:color="auto" w:fill="auto"/>
            <w:vAlign w:val="center"/>
            <w:hideMark/>
          </w:tcPr>
          <w:p w14:paraId="2EA54F71" w14:textId="77777777" w:rsidR="00690C5C" w:rsidRPr="00690C5C" w:rsidRDefault="00690C5C" w:rsidP="00690C5C">
            <w:pPr>
              <w:jc w:val="right"/>
              <w:rPr>
                <w:rFonts w:ascii="Arial Narrow" w:hAnsi="Arial Narrow" w:cs="Calibri"/>
                <w:sz w:val="20"/>
                <w:szCs w:val="20"/>
              </w:rPr>
            </w:pPr>
            <w:r w:rsidRPr="00690C5C">
              <w:rPr>
                <w:rFonts w:ascii="Arial Narrow" w:hAnsi="Arial Narrow" w:cs="Calibri"/>
                <w:sz w:val="20"/>
                <w:szCs w:val="20"/>
                <w:lang w:val="bg-BG"/>
              </w:rPr>
              <w:t>-</w:t>
            </w:r>
          </w:p>
        </w:tc>
        <w:tc>
          <w:tcPr>
            <w:tcW w:w="1110" w:type="dxa"/>
            <w:tcBorders>
              <w:top w:val="nil"/>
              <w:left w:val="nil"/>
              <w:bottom w:val="single" w:sz="4" w:space="0" w:color="auto"/>
              <w:right w:val="single" w:sz="4" w:space="0" w:color="auto"/>
            </w:tcBorders>
            <w:shd w:val="clear" w:color="auto" w:fill="auto"/>
            <w:vAlign w:val="center"/>
            <w:hideMark/>
          </w:tcPr>
          <w:p w14:paraId="16E575E6" w14:textId="77777777" w:rsidR="00690C5C" w:rsidRPr="00690C5C" w:rsidRDefault="00690C5C" w:rsidP="00690C5C">
            <w:pPr>
              <w:jc w:val="right"/>
              <w:rPr>
                <w:rFonts w:ascii="Arial Narrow" w:hAnsi="Arial Narrow" w:cs="Calibri"/>
                <w:sz w:val="20"/>
                <w:szCs w:val="20"/>
                <w:lang w:val="bg-BG"/>
              </w:rPr>
            </w:pPr>
            <w:r w:rsidRPr="00690C5C">
              <w:rPr>
                <w:rFonts w:ascii="Arial Narrow" w:hAnsi="Arial Narrow" w:cs="Calibri"/>
                <w:sz w:val="20"/>
                <w:szCs w:val="20"/>
              </w:rPr>
              <w:t>-</w:t>
            </w:r>
          </w:p>
        </w:tc>
        <w:tc>
          <w:tcPr>
            <w:tcW w:w="1114" w:type="dxa"/>
            <w:tcBorders>
              <w:top w:val="nil"/>
              <w:left w:val="nil"/>
              <w:bottom w:val="single" w:sz="4" w:space="0" w:color="auto"/>
              <w:right w:val="single" w:sz="4" w:space="0" w:color="auto"/>
            </w:tcBorders>
            <w:shd w:val="clear" w:color="auto" w:fill="auto"/>
            <w:vAlign w:val="center"/>
            <w:hideMark/>
          </w:tcPr>
          <w:p w14:paraId="7BE8B5D8" w14:textId="77777777" w:rsidR="00690C5C" w:rsidRPr="00690C5C" w:rsidRDefault="00690C5C" w:rsidP="00690C5C">
            <w:pPr>
              <w:jc w:val="right"/>
              <w:rPr>
                <w:rFonts w:ascii="Arial Narrow" w:hAnsi="Arial Narrow" w:cs="Calibri"/>
                <w:sz w:val="20"/>
                <w:szCs w:val="20"/>
              </w:rPr>
            </w:pPr>
            <w:r w:rsidRPr="00690C5C">
              <w:rPr>
                <w:rFonts w:ascii="Arial Narrow" w:hAnsi="Arial Narrow" w:cs="Calibri"/>
                <w:sz w:val="20"/>
                <w:szCs w:val="20"/>
                <w:lang w:val="bg-BG"/>
              </w:rPr>
              <w:t>-</w:t>
            </w:r>
          </w:p>
        </w:tc>
        <w:tc>
          <w:tcPr>
            <w:tcW w:w="1111" w:type="dxa"/>
            <w:tcBorders>
              <w:top w:val="nil"/>
              <w:left w:val="nil"/>
              <w:bottom w:val="single" w:sz="4" w:space="0" w:color="auto"/>
              <w:right w:val="single" w:sz="4" w:space="0" w:color="auto"/>
            </w:tcBorders>
            <w:shd w:val="clear" w:color="auto" w:fill="auto"/>
            <w:vAlign w:val="center"/>
            <w:hideMark/>
          </w:tcPr>
          <w:p w14:paraId="29950FA3" w14:textId="77777777" w:rsidR="00690C5C" w:rsidRPr="00690C5C" w:rsidRDefault="00690C5C" w:rsidP="00690C5C">
            <w:pPr>
              <w:jc w:val="right"/>
              <w:rPr>
                <w:rFonts w:ascii="Arial Narrow" w:hAnsi="Arial Narrow" w:cs="Calibri"/>
                <w:sz w:val="20"/>
                <w:szCs w:val="20"/>
              </w:rPr>
            </w:pPr>
            <w:r w:rsidRPr="00690C5C">
              <w:rPr>
                <w:rFonts w:ascii="Arial Narrow" w:hAnsi="Arial Narrow" w:cs="Calibri"/>
                <w:sz w:val="20"/>
                <w:szCs w:val="20"/>
                <w:lang w:val="bg-BG"/>
              </w:rPr>
              <w:t>-</w:t>
            </w:r>
          </w:p>
        </w:tc>
      </w:tr>
      <w:tr w:rsidR="00E021C3" w:rsidRPr="00E021C3" w14:paraId="1F4EE2AA" w14:textId="77777777" w:rsidTr="00E021C3">
        <w:trPr>
          <w:trHeight w:val="315"/>
        </w:trPr>
        <w:tc>
          <w:tcPr>
            <w:tcW w:w="357" w:type="dxa"/>
            <w:tcBorders>
              <w:top w:val="nil"/>
              <w:left w:val="single" w:sz="4" w:space="0" w:color="auto"/>
              <w:bottom w:val="single" w:sz="4" w:space="0" w:color="auto"/>
              <w:right w:val="single" w:sz="4" w:space="0" w:color="auto"/>
            </w:tcBorders>
            <w:shd w:val="clear" w:color="auto" w:fill="auto"/>
            <w:vAlign w:val="center"/>
            <w:hideMark/>
          </w:tcPr>
          <w:p w14:paraId="62C6C230" w14:textId="77777777" w:rsidR="00690C5C" w:rsidRPr="00690C5C" w:rsidRDefault="00690C5C" w:rsidP="00690C5C">
            <w:pPr>
              <w:jc w:val="center"/>
              <w:rPr>
                <w:rFonts w:ascii="Arial Narrow" w:hAnsi="Arial Narrow" w:cs="Calibri"/>
                <w:sz w:val="20"/>
                <w:szCs w:val="20"/>
              </w:rPr>
            </w:pPr>
            <w:r w:rsidRPr="00690C5C">
              <w:rPr>
                <w:rFonts w:ascii="Arial Narrow" w:hAnsi="Arial Narrow" w:cs="Calibri"/>
                <w:sz w:val="20"/>
                <w:szCs w:val="20"/>
                <w:lang w:val="bg-BG"/>
              </w:rPr>
              <w:t>3</w:t>
            </w:r>
          </w:p>
        </w:tc>
        <w:tc>
          <w:tcPr>
            <w:tcW w:w="3888" w:type="dxa"/>
            <w:tcBorders>
              <w:top w:val="nil"/>
              <w:left w:val="nil"/>
              <w:bottom w:val="single" w:sz="4" w:space="0" w:color="auto"/>
              <w:right w:val="single" w:sz="4" w:space="0" w:color="auto"/>
            </w:tcBorders>
            <w:shd w:val="clear" w:color="auto" w:fill="auto"/>
            <w:vAlign w:val="center"/>
            <w:hideMark/>
          </w:tcPr>
          <w:p w14:paraId="7E149874" w14:textId="77777777" w:rsidR="00690C5C" w:rsidRPr="00690C5C" w:rsidRDefault="00690C5C" w:rsidP="00690C5C">
            <w:pPr>
              <w:rPr>
                <w:rFonts w:ascii="Arial Narrow" w:hAnsi="Arial Narrow" w:cs="Calibri"/>
                <w:sz w:val="20"/>
                <w:szCs w:val="20"/>
              </w:rPr>
            </w:pPr>
            <w:r w:rsidRPr="00690C5C">
              <w:rPr>
                <w:rFonts w:ascii="Arial Narrow" w:hAnsi="Arial Narrow" w:cs="Calibri"/>
                <w:sz w:val="20"/>
                <w:szCs w:val="20"/>
                <w:lang w:val="bg-BG"/>
              </w:rPr>
              <w:t>Пчелен мед</w:t>
            </w:r>
          </w:p>
        </w:tc>
        <w:tc>
          <w:tcPr>
            <w:tcW w:w="1150" w:type="dxa"/>
            <w:tcBorders>
              <w:top w:val="nil"/>
              <w:left w:val="nil"/>
              <w:bottom w:val="single" w:sz="4" w:space="0" w:color="auto"/>
              <w:right w:val="single" w:sz="4" w:space="0" w:color="auto"/>
            </w:tcBorders>
            <w:shd w:val="clear" w:color="auto" w:fill="auto"/>
            <w:vAlign w:val="center"/>
            <w:hideMark/>
          </w:tcPr>
          <w:p w14:paraId="7729A55B" w14:textId="77777777" w:rsidR="00690C5C" w:rsidRPr="00690C5C" w:rsidRDefault="00690C5C" w:rsidP="00690C5C">
            <w:pPr>
              <w:jc w:val="right"/>
              <w:rPr>
                <w:rFonts w:ascii="Arial Narrow" w:hAnsi="Arial Narrow" w:cs="Calibri"/>
                <w:sz w:val="20"/>
                <w:szCs w:val="20"/>
              </w:rPr>
            </w:pPr>
            <w:r w:rsidRPr="00690C5C">
              <w:rPr>
                <w:rFonts w:ascii="Arial Narrow" w:hAnsi="Arial Narrow" w:cs="Calibri"/>
                <w:sz w:val="20"/>
                <w:szCs w:val="20"/>
                <w:lang w:val="bg-BG"/>
              </w:rPr>
              <w:t>142</w:t>
            </w:r>
          </w:p>
        </w:tc>
        <w:tc>
          <w:tcPr>
            <w:tcW w:w="1111" w:type="dxa"/>
            <w:tcBorders>
              <w:top w:val="nil"/>
              <w:left w:val="nil"/>
              <w:bottom w:val="single" w:sz="4" w:space="0" w:color="auto"/>
              <w:right w:val="single" w:sz="4" w:space="0" w:color="auto"/>
            </w:tcBorders>
            <w:shd w:val="clear" w:color="auto" w:fill="auto"/>
            <w:vAlign w:val="center"/>
            <w:hideMark/>
          </w:tcPr>
          <w:p w14:paraId="13B980C8" w14:textId="77777777" w:rsidR="00690C5C" w:rsidRPr="00690C5C" w:rsidRDefault="00690C5C" w:rsidP="00690C5C">
            <w:pPr>
              <w:jc w:val="right"/>
              <w:rPr>
                <w:rFonts w:ascii="Arial Narrow" w:hAnsi="Arial Narrow" w:cs="Calibri"/>
                <w:sz w:val="20"/>
                <w:szCs w:val="20"/>
              </w:rPr>
            </w:pPr>
            <w:r w:rsidRPr="00690C5C">
              <w:rPr>
                <w:rFonts w:ascii="Arial Narrow" w:hAnsi="Arial Narrow" w:cs="Calibri"/>
                <w:sz w:val="20"/>
                <w:szCs w:val="20"/>
                <w:lang w:val="bg-BG"/>
              </w:rPr>
              <w:t>146</w:t>
            </w:r>
          </w:p>
        </w:tc>
        <w:tc>
          <w:tcPr>
            <w:tcW w:w="1110" w:type="dxa"/>
            <w:tcBorders>
              <w:top w:val="nil"/>
              <w:left w:val="nil"/>
              <w:bottom w:val="single" w:sz="4" w:space="0" w:color="auto"/>
              <w:right w:val="single" w:sz="4" w:space="0" w:color="auto"/>
            </w:tcBorders>
            <w:shd w:val="clear" w:color="auto" w:fill="auto"/>
            <w:vAlign w:val="center"/>
            <w:hideMark/>
          </w:tcPr>
          <w:p w14:paraId="4E8E41B6" w14:textId="77777777" w:rsidR="00690C5C" w:rsidRPr="00690C5C" w:rsidRDefault="00690C5C" w:rsidP="00690C5C">
            <w:pPr>
              <w:jc w:val="right"/>
              <w:rPr>
                <w:rFonts w:ascii="Arial Narrow" w:hAnsi="Arial Narrow" w:cs="Calibri"/>
                <w:sz w:val="20"/>
                <w:szCs w:val="20"/>
                <w:lang w:val="bg-BG"/>
              </w:rPr>
            </w:pPr>
            <w:r w:rsidRPr="00690C5C">
              <w:rPr>
                <w:rFonts w:ascii="Arial Narrow" w:hAnsi="Arial Narrow" w:cs="Calibri"/>
                <w:sz w:val="20"/>
                <w:szCs w:val="20"/>
                <w:lang w:val="bg-BG"/>
              </w:rPr>
              <w:t>103</w:t>
            </w:r>
          </w:p>
        </w:tc>
        <w:tc>
          <w:tcPr>
            <w:tcW w:w="1114" w:type="dxa"/>
            <w:tcBorders>
              <w:top w:val="nil"/>
              <w:left w:val="nil"/>
              <w:bottom w:val="single" w:sz="4" w:space="0" w:color="auto"/>
              <w:right w:val="single" w:sz="4" w:space="0" w:color="auto"/>
            </w:tcBorders>
            <w:shd w:val="clear" w:color="auto" w:fill="auto"/>
            <w:vAlign w:val="center"/>
            <w:hideMark/>
          </w:tcPr>
          <w:p w14:paraId="427BC0C7" w14:textId="77777777" w:rsidR="00690C5C" w:rsidRPr="00690C5C" w:rsidRDefault="00690C5C" w:rsidP="00690C5C">
            <w:pPr>
              <w:jc w:val="right"/>
              <w:rPr>
                <w:rFonts w:ascii="Arial Narrow" w:hAnsi="Arial Narrow" w:cs="Calibri"/>
                <w:sz w:val="20"/>
                <w:szCs w:val="20"/>
              </w:rPr>
            </w:pPr>
            <w:r w:rsidRPr="00690C5C">
              <w:rPr>
                <w:rFonts w:ascii="Arial Narrow" w:hAnsi="Arial Narrow" w:cs="Calibri"/>
                <w:sz w:val="20"/>
                <w:szCs w:val="20"/>
                <w:lang w:val="bg-BG"/>
              </w:rPr>
              <w:t>13</w:t>
            </w:r>
          </w:p>
        </w:tc>
        <w:tc>
          <w:tcPr>
            <w:tcW w:w="1111" w:type="dxa"/>
            <w:tcBorders>
              <w:top w:val="nil"/>
              <w:left w:val="nil"/>
              <w:bottom w:val="single" w:sz="4" w:space="0" w:color="auto"/>
              <w:right w:val="single" w:sz="4" w:space="0" w:color="auto"/>
            </w:tcBorders>
            <w:shd w:val="clear" w:color="auto" w:fill="auto"/>
            <w:vAlign w:val="center"/>
            <w:hideMark/>
          </w:tcPr>
          <w:p w14:paraId="209F6E15" w14:textId="77777777" w:rsidR="00690C5C" w:rsidRPr="00690C5C" w:rsidRDefault="00690C5C" w:rsidP="00690C5C">
            <w:pPr>
              <w:jc w:val="right"/>
              <w:rPr>
                <w:rFonts w:ascii="Arial Narrow" w:hAnsi="Arial Narrow" w:cs="Calibri"/>
                <w:sz w:val="20"/>
                <w:szCs w:val="20"/>
              </w:rPr>
            </w:pPr>
            <w:r w:rsidRPr="00690C5C">
              <w:rPr>
                <w:rFonts w:ascii="Arial Narrow" w:hAnsi="Arial Narrow" w:cs="Calibri"/>
                <w:sz w:val="20"/>
                <w:szCs w:val="20"/>
              </w:rPr>
              <w:t>9</w:t>
            </w:r>
          </w:p>
        </w:tc>
      </w:tr>
      <w:tr w:rsidR="00E021C3" w:rsidRPr="00E021C3" w14:paraId="397315A4" w14:textId="77777777" w:rsidTr="00E021C3">
        <w:trPr>
          <w:trHeight w:val="315"/>
        </w:trPr>
        <w:tc>
          <w:tcPr>
            <w:tcW w:w="357" w:type="dxa"/>
            <w:tcBorders>
              <w:top w:val="nil"/>
              <w:left w:val="single" w:sz="4" w:space="0" w:color="auto"/>
              <w:bottom w:val="single" w:sz="4" w:space="0" w:color="auto"/>
              <w:right w:val="single" w:sz="4" w:space="0" w:color="auto"/>
            </w:tcBorders>
            <w:shd w:val="clear" w:color="auto" w:fill="auto"/>
            <w:vAlign w:val="center"/>
            <w:hideMark/>
          </w:tcPr>
          <w:p w14:paraId="305A4EBA" w14:textId="77777777" w:rsidR="00690C5C" w:rsidRPr="00690C5C" w:rsidRDefault="00690C5C" w:rsidP="00690C5C">
            <w:pPr>
              <w:jc w:val="center"/>
              <w:rPr>
                <w:rFonts w:ascii="Arial Narrow" w:hAnsi="Arial Narrow" w:cs="Calibri"/>
                <w:sz w:val="20"/>
                <w:szCs w:val="20"/>
              </w:rPr>
            </w:pPr>
            <w:r w:rsidRPr="00690C5C">
              <w:rPr>
                <w:rFonts w:ascii="Arial Narrow" w:hAnsi="Arial Narrow" w:cs="Calibri"/>
                <w:sz w:val="20"/>
                <w:szCs w:val="20"/>
                <w:lang w:val="bg-BG"/>
              </w:rPr>
              <w:t>4</w:t>
            </w:r>
          </w:p>
        </w:tc>
        <w:tc>
          <w:tcPr>
            <w:tcW w:w="3888" w:type="dxa"/>
            <w:tcBorders>
              <w:top w:val="nil"/>
              <w:left w:val="nil"/>
              <w:bottom w:val="single" w:sz="4" w:space="0" w:color="auto"/>
              <w:right w:val="single" w:sz="4" w:space="0" w:color="auto"/>
            </w:tcBorders>
            <w:shd w:val="clear" w:color="auto" w:fill="auto"/>
            <w:vAlign w:val="center"/>
            <w:hideMark/>
          </w:tcPr>
          <w:p w14:paraId="138B0D8A" w14:textId="77777777" w:rsidR="00690C5C" w:rsidRPr="00690C5C" w:rsidRDefault="00690C5C" w:rsidP="00690C5C">
            <w:pPr>
              <w:rPr>
                <w:rFonts w:ascii="Arial Narrow" w:hAnsi="Arial Narrow" w:cs="Calibri"/>
                <w:sz w:val="20"/>
                <w:szCs w:val="20"/>
              </w:rPr>
            </w:pPr>
            <w:r w:rsidRPr="00690C5C">
              <w:rPr>
                <w:rFonts w:ascii="Arial Narrow" w:hAnsi="Arial Narrow" w:cs="Calibri"/>
                <w:sz w:val="20"/>
                <w:szCs w:val="20"/>
                <w:lang w:val="bg-BG"/>
              </w:rPr>
              <w:t>Храни за енергийна стойност</w:t>
            </w:r>
          </w:p>
        </w:tc>
        <w:tc>
          <w:tcPr>
            <w:tcW w:w="1150" w:type="dxa"/>
            <w:tcBorders>
              <w:top w:val="nil"/>
              <w:left w:val="nil"/>
              <w:bottom w:val="single" w:sz="4" w:space="0" w:color="auto"/>
              <w:right w:val="single" w:sz="4" w:space="0" w:color="auto"/>
            </w:tcBorders>
            <w:shd w:val="clear" w:color="auto" w:fill="auto"/>
            <w:vAlign w:val="center"/>
            <w:hideMark/>
          </w:tcPr>
          <w:p w14:paraId="5893240C" w14:textId="77777777" w:rsidR="00690C5C" w:rsidRPr="00690C5C" w:rsidRDefault="00690C5C" w:rsidP="00690C5C">
            <w:pPr>
              <w:jc w:val="right"/>
              <w:rPr>
                <w:rFonts w:ascii="Arial Narrow" w:hAnsi="Arial Narrow" w:cs="Calibri"/>
                <w:sz w:val="20"/>
                <w:szCs w:val="20"/>
              </w:rPr>
            </w:pPr>
            <w:r w:rsidRPr="00690C5C">
              <w:rPr>
                <w:rFonts w:ascii="Arial Narrow" w:hAnsi="Arial Narrow" w:cs="Calibri"/>
                <w:sz w:val="20"/>
                <w:szCs w:val="20"/>
                <w:lang w:val="bg-BG"/>
              </w:rPr>
              <w:t>112</w:t>
            </w:r>
          </w:p>
        </w:tc>
        <w:tc>
          <w:tcPr>
            <w:tcW w:w="1111" w:type="dxa"/>
            <w:tcBorders>
              <w:top w:val="nil"/>
              <w:left w:val="nil"/>
              <w:bottom w:val="single" w:sz="4" w:space="0" w:color="auto"/>
              <w:right w:val="single" w:sz="4" w:space="0" w:color="auto"/>
            </w:tcBorders>
            <w:shd w:val="clear" w:color="auto" w:fill="auto"/>
            <w:vAlign w:val="center"/>
            <w:hideMark/>
          </w:tcPr>
          <w:p w14:paraId="1FDAD40D" w14:textId="77777777" w:rsidR="00690C5C" w:rsidRPr="00690C5C" w:rsidRDefault="00690C5C" w:rsidP="00690C5C">
            <w:pPr>
              <w:jc w:val="right"/>
              <w:rPr>
                <w:rFonts w:ascii="Arial Narrow" w:hAnsi="Arial Narrow" w:cs="Calibri"/>
                <w:sz w:val="20"/>
                <w:szCs w:val="20"/>
              </w:rPr>
            </w:pPr>
            <w:r w:rsidRPr="00690C5C">
              <w:rPr>
                <w:rFonts w:ascii="Arial Narrow" w:hAnsi="Arial Narrow" w:cs="Calibri"/>
                <w:sz w:val="20"/>
                <w:szCs w:val="20"/>
                <w:lang w:val="bg-BG"/>
              </w:rPr>
              <w:t>112</w:t>
            </w:r>
          </w:p>
        </w:tc>
        <w:tc>
          <w:tcPr>
            <w:tcW w:w="1110" w:type="dxa"/>
            <w:tcBorders>
              <w:top w:val="nil"/>
              <w:left w:val="nil"/>
              <w:bottom w:val="single" w:sz="4" w:space="0" w:color="auto"/>
              <w:right w:val="single" w:sz="4" w:space="0" w:color="auto"/>
            </w:tcBorders>
            <w:shd w:val="clear" w:color="auto" w:fill="auto"/>
            <w:vAlign w:val="center"/>
            <w:hideMark/>
          </w:tcPr>
          <w:p w14:paraId="2905BB95" w14:textId="77777777" w:rsidR="00690C5C" w:rsidRPr="00690C5C" w:rsidRDefault="00690C5C" w:rsidP="00690C5C">
            <w:pPr>
              <w:jc w:val="right"/>
              <w:rPr>
                <w:rFonts w:ascii="Arial Narrow" w:hAnsi="Arial Narrow" w:cs="Calibri"/>
                <w:sz w:val="20"/>
                <w:szCs w:val="20"/>
                <w:lang w:val="bg-BG"/>
              </w:rPr>
            </w:pPr>
            <w:r w:rsidRPr="00690C5C">
              <w:rPr>
                <w:rFonts w:ascii="Arial Narrow" w:hAnsi="Arial Narrow" w:cs="Calibri"/>
                <w:sz w:val="20"/>
                <w:szCs w:val="20"/>
                <w:lang w:val="bg-BG"/>
              </w:rPr>
              <w:t>100</w:t>
            </w:r>
          </w:p>
        </w:tc>
        <w:tc>
          <w:tcPr>
            <w:tcW w:w="1114" w:type="dxa"/>
            <w:tcBorders>
              <w:top w:val="nil"/>
              <w:left w:val="nil"/>
              <w:bottom w:val="single" w:sz="4" w:space="0" w:color="auto"/>
              <w:right w:val="single" w:sz="4" w:space="0" w:color="auto"/>
            </w:tcBorders>
            <w:shd w:val="clear" w:color="auto" w:fill="auto"/>
            <w:vAlign w:val="center"/>
            <w:hideMark/>
          </w:tcPr>
          <w:p w14:paraId="5BFA1A32" w14:textId="77777777" w:rsidR="00690C5C" w:rsidRPr="00690C5C" w:rsidRDefault="00690C5C" w:rsidP="00690C5C">
            <w:pPr>
              <w:jc w:val="right"/>
              <w:rPr>
                <w:rFonts w:ascii="Arial Narrow" w:hAnsi="Arial Narrow" w:cs="Calibri"/>
                <w:sz w:val="20"/>
                <w:szCs w:val="20"/>
              </w:rPr>
            </w:pPr>
            <w:r w:rsidRPr="00690C5C">
              <w:rPr>
                <w:rFonts w:ascii="Arial Narrow" w:hAnsi="Arial Narrow" w:cs="Calibri"/>
                <w:sz w:val="20"/>
                <w:szCs w:val="20"/>
                <w:lang w:val="bg-BG"/>
              </w:rPr>
              <w:t>1</w:t>
            </w:r>
          </w:p>
        </w:tc>
        <w:tc>
          <w:tcPr>
            <w:tcW w:w="1111" w:type="dxa"/>
            <w:tcBorders>
              <w:top w:val="nil"/>
              <w:left w:val="nil"/>
              <w:bottom w:val="single" w:sz="4" w:space="0" w:color="auto"/>
              <w:right w:val="single" w:sz="4" w:space="0" w:color="auto"/>
            </w:tcBorders>
            <w:shd w:val="clear" w:color="auto" w:fill="auto"/>
            <w:vAlign w:val="center"/>
            <w:hideMark/>
          </w:tcPr>
          <w:p w14:paraId="24CBCC8D" w14:textId="77777777" w:rsidR="00690C5C" w:rsidRPr="00690C5C" w:rsidRDefault="00690C5C" w:rsidP="00690C5C">
            <w:pPr>
              <w:jc w:val="right"/>
              <w:rPr>
                <w:rFonts w:ascii="Arial Narrow" w:hAnsi="Arial Narrow" w:cs="Calibri"/>
                <w:sz w:val="20"/>
                <w:szCs w:val="20"/>
              </w:rPr>
            </w:pPr>
            <w:r w:rsidRPr="00690C5C">
              <w:rPr>
                <w:rFonts w:ascii="Arial Narrow" w:hAnsi="Arial Narrow" w:cs="Calibri"/>
                <w:sz w:val="20"/>
                <w:szCs w:val="20"/>
              </w:rPr>
              <w:t>1</w:t>
            </w:r>
          </w:p>
        </w:tc>
      </w:tr>
      <w:tr w:rsidR="00E021C3" w:rsidRPr="00E021C3" w14:paraId="50927712" w14:textId="77777777" w:rsidTr="00E021C3">
        <w:trPr>
          <w:trHeight w:val="315"/>
        </w:trPr>
        <w:tc>
          <w:tcPr>
            <w:tcW w:w="357" w:type="dxa"/>
            <w:tcBorders>
              <w:top w:val="nil"/>
              <w:left w:val="single" w:sz="4" w:space="0" w:color="auto"/>
              <w:bottom w:val="single" w:sz="4" w:space="0" w:color="auto"/>
              <w:right w:val="single" w:sz="4" w:space="0" w:color="auto"/>
            </w:tcBorders>
            <w:shd w:val="clear" w:color="auto" w:fill="auto"/>
            <w:vAlign w:val="center"/>
            <w:hideMark/>
          </w:tcPr>
          <w:p w14:paraId="0F11F4F2" w14:textId="77777777" w:rsidR="00690C5C" w:rsidRPr="00690C5C" w:rsidRDefault="00690C5C" w:rsidP="00690C5C">
            <w:pPr>
              <w:jc w:val="center"/>
              <w:rPr>
                <w:rFonts w:ascii="Arial Narrow" w:hAnsi="Arial Narrow" w:cs="Calibri"/>
                <w:sz w:val="20"/>
                <w:szCs w:val="20"/>
              </w:rPr>
            </w:pPr>
            <w:r w:rsidRPr="00690C5C">
              <w:rPr>
                <w:rFonts w:ascii="Arial Narrow" w:hAnsi="Arial Narrow" w:cs="Calibri"/>
                <w:sz w:val="20"/>
                <w:szCs w:val="20"/>
                <w:lang w:val="bg-BG"/>
              </w:rPr>
              <w:t>5</w:t>
            </w:r>
          </w:p>
        </w:tc>
        <w:tc>
          <w:tcPr>
            <w:tcW w:w="3888" w:type="dxa"/>
            <w:tcBorders>
              <w:top w:val="nil"/>
              <w:left w:val="nil"/>
              <w:bottom w:val="single" w:sz="4" w:space="0" w:color="auto"/>
              <w:right w:val="single" w:sz="4" w:space="0" w:color="auto"/>
            </w:tcBorders>
            <w:shd w:val="clear" w:color="auto" w:fill="auto"/>
            <w:vAlign w:val="center"/>
            <w:hideMark/>
          </w:tcPr>
          <w:p w14:paraId="3EEE9C84" w14:textId="77777777" w:rsidR="00690C5C" w:rsidRPr="00690C5C" w:rsidRDefault="00690C5C" w:rsidP="00690C5C">
            <w:pPr>
              <w:rPr>
                <w:rFonts w:ascii="Arial Narrow" w:hAnsi="Arial Narrow" w:cs="Calibri"/>
                <w:sz w:val="20"/>
                <w:szCs w:val="20"/>
              </w:rPr>
            </w:pPr>
            <w:r w:rsidRPr="00690C5C">
              <w:rPr>
                <w:rFonts w:ascii="Arial Narrow" w:hAnsi="Arial Narrow" w:cs="Calibri"/>
                <w:sz w:val="20"/>
                <w:szCs w:val="20"/>
                <w:lang w:val="bg-BG"/>
              </w:rPr>
              <w:t>Храни с хранителни претенции</w:t>
            </w:r>
          </w:p>
        </w:tc>
        <w:tc>
          <w:tcPr>
            <w:tcW w:w="1150" w:type="dxa"/>
            <w:tcBorders>
              <w:top w:val="nil"/>
              <w:left w:val="nil"/>
              <w:bottom w:val="single" w:sz="4" w:space="0" w:color="auto"/>
              <w:right w:val="single" w:sz="4" w:space="0" w:color="auto"/>
            </w:tcBorders>
            <w:shd w:val="clear" w:color="auto" w:fill="auto"/>
            <w:vAlign w:val="center"/>
            <w:hideMark/>
          </w:tcPr>
          <w:p w14:paraId="62F73B0F" w14:textId="77777777" w:rsidR="00690C5C" w:rsidRPr="00690C5C" w:rsidRDefault="00690C5C" w:rsidP="00690C5C">
            <w:pPr>
              <w:jc w:val="right"/>
              <w:rPr>
                <w:rFonts w:ascii="Arial Narrow" w:hAnsi="Arial Narrow" w:cs="Calibri"/>
                <w:sz w:val="20"/>
                <w:szCs w:val="20"/>
              </w:rPr>
            </w:pPr>
            <w:r w:rsidRPr="00690C5C">
              <w:rPr>
                <w:rFonts w:ascii="Arial Narrow" w:hAnsi="Arial Narrow" w:cs="Calibri"/>
                <w:sz w:val="20"/>
                <w:szCs w:val="20"/>
                <w:lang w:val="bg-BG"/>
              </w:rPr>
              <w:t>56</w:t>
            </w:r>
          </w:p>
        </w:tc>
        <w:tc>
          <w:tcPr>
            <w:tcW w:w="1111" w:type="dxa"/>
            <w:tcBorders>
              <w:top w:val="nil"/>
              <w:left w:val="nil"/>
              <w:bottom w:val="single" w:sz="4" w:space="0" w:color="auto"/>
              <w:right w:val="single" w:sz="4" w:space="0" w:color="auto"/>
            </w:tcBorders>
            <w:shd w:val="clear" w:color="auto" w:fill="auto"/>
            <w:vAlign w:val="center"/>
            <w:hideMark/>
          </w:tcPr>
          <w:p w14:paraId="41A196C0" w14:textId="77777777" w:rsidR="00690C5C" w:rsidRPr="00690C5C" w:rsidRDefault="00690C5C" w:rsidP="00690C5C">
            <w:pPr>
              <w:jc w:val="right"/>
              <w:rPr>
                <w:rFonts w:ascii="Arial Narrow" w:hAnsi="Arial Narrow" w:cs="Calibri"/>
                <w:sz w:val="20"/>
                <w:szCs w:val="20"/>
              </w:rPr>
            </w:pPr>
            <w:r w:rsidRPr="00690C5C">
              <w:rPr>
                <w:rFonts w:ascii="Arial Narrow" w:hAnsi="Arial Narrow" w:cs="Calibri"/>
                <w:sz w:val="20"/>
                <w:szCs w:val="20"/>
                <w:lang w:val="bg-BG"/>
              </w:rPr>
              <w:t>57</w:t>
            </w:r>
          </w:p>
        </w:tc>
        <w:tc>
          <w:tcPr>
            <w:tcW w:w="1110" w:type="dxa"/>
            <w:tcBorders>
              <w:top w:val="nil"/>
              <w:left w:val="nil"/>
              <w:bottom w:val="single" w:sz="4" w:space="0" w:color="auto"/>
              <w:right w:val="single" w:sz="4" w:space="0" w:color="auto"/>
            </w:tcBorders>
            <w:shd w:val="clear" w:color="auto" w:fill="auto"/>
            <w:vAlign w:val="center"/>
            <w:hideMark/>
          </w:tcPr>
          <w:p w14:paraId="6F211798" w14:textId="77777777" w:rsidR="00690C5C" w:rsidRPr="00690C5C" w:rsidRDefault="00690C5C" w:rsidP="00690C5C">
            <w:pPr>
              <w:jc w:val="right"/>
              <w:rPr>
                <w:rFonts w:ascii="Arial Narrow" w:hAnsi="Arial Narrow" w:cs="Calibri"/>
                <w:sz w:val="20"/>
                <w:szCs w:val="20"/>
                <w:lang w:val="bg-BG"/>
              </w:rPr>
            </w:pPr>
            <w:r w:rsidRPr="00690C5C">
              <w:rPr>
                <w:rFonts w:ascii="Arial Narrow" w:hAnsi="Arial Narrow" w:cs="Calibri"/>
                <w:sz w:val="20"/>
                <w:szCs w:val="20"/>
                <w:lang w:val="bg-BG"/>
              </w:rPr>
              <w:t>102</w:t>
            </w:r>
          </w:p>
        </w:tc>
        <w:tc>
          <w:tcPr>
            <w:tcW w:w="1114" w:type="dxa"/>
            <w:tcBorders>
              <w:top w:val="nil"/>
              <w:left w:val="nil"/>
              <w:bottom w:val="single" w:sz="4" w:space="0" w:color="auto"/>
              <w:right w:val="single" w:sz="4" w:space="0" w:color="auto"/>
            </w:tcBorders>
            <w:shd w:val="clear" w:color="auto" w:fill="auto"/>
            <w:vAlign w:val="center"/>
            <w:hideMark/>
          </w:tcPr>
          <w:p w14:paraId="639305DF" w14:textId="77777777" w:rsidR="00690C5C" w:rsidRPr="00690C5C" w:rsidRDefault="00690C5C" w:rsidP="00690C5C">
            <w:pPr>
              <w:jc w:val="right"/>
              <w:rPr>
                <w:rFonts w:ascii="Arial Narrow" w:hAnsi="Arial Narrow" w:cs="Calibri"/>
                <w:sz w:val="20"/>
                <w:szCs w:val="20"/>
              </w:rPr>
            </w:pPr>
            <w:r w:rsidRPr="00690C5C">
              <w:rPr>
                <w:rFonts w:ascii="Arial Narrow" w:hAnsi="Arial Narrow" w:cs="Calibri"/>
                <w:sz w:val="20"/>
                <w:szCs w:val="20"/>
                <w:lang w:val="bg-BG"/>
              </w:rPr>
              <w:t>3</w:t>
            </w:r>
          </w:p>
        </w:tc>
        <w:tc>
          <w:tcPr>
            <w:tcW w:w="1111" w:type="dxa"/>
            <w:tcBorders>
              <w:top w:val="nil"/>
              <w:left w:val="nil"/>
              <w:bottom w:val="single" w:sz="4" w:space="0" w:color="auto"/>
              <w:right w:val="single" w:sz="4" w:space="0" w:color="auto"/>
            </w:tcBorders>
            <w:shd w:val="clear" w:color="auto" w:fill="auto"/>
            <w:vAlign w:val="center"/>
            <w:hideMark/>
          </w:tcPr>
          <w:p w14:paraId="1A552C55" w14:textId="77777777" w:rsidR="00690C5C" w:rsidRPr="00690C5C" w:rsidRDefault="00690C5C" w:rsidP="00690C5C">
            <w:pPr>
              <w:jc w:val="right"/>
              <w:rPr>
                <w:rFonts w:ascii="Arial Narrow" w:hAnsi="Arial Narrow" w:cs="Calibri"/>
                <w:sz w:val="20"/>
                <w:szCs w:val="20"/>
              </w:rPr>
            </w:pPr>
            <w:r w:rsidRPr="00690C5C">
              <w:rPr>
                <w:rFonts w:ascii="Arial Narrow" w:hAnsi="Arial Narrow" w:cs="Calibri"/>
                <w:sz w:val="20"/>
                <w:szCs w:val="20"/>
              </w:rPr>
              <w:t>5</w:t>
            </w:r>
          </w:p>
        </w:tc>
      </w:tr>
      <w:tr w:rsidR="00690C5C" w:rsidRPr="00E021C3" w14:paraId="78B5E61D" w14:textId="77777777" w:rsidTr="00E021C3">
        <w:trPr>
          <w:trHeight w:val="315"/>
        </w:trPr>
        <w:tc>
          <w:tcPr>
            <w:tcW w:w="357" w:type="dxa"/>
            <w:vMerge w:val="restart"/>
            <w:tcBorders>
              <w:top w:val="nil"/>
              <w:left w:val="single" w:sz="4" w:space="0" w:color="auto"/>
              <w:bottom w:val="single" w:sz="4" w:space="0" w:color="auto"/>
              <w:right w:val="single" w:sz="4" w:space="0" w:color="auto"/>
            </w:tcBorders>
            <w:shd w:val="clear" w:color="auto" w:fill="auto"/>
            <w:vAlign w:val="center"/>
            <w:hideMark/>
          </w:tcPr>
          <w:p w14:paraId="1DEEBE3D" w14:textId="77777777" w:rsidR="00690C5C" w:rsidRPr="00690C5C" w:rsidRDefault="00690C5C" w:rsidP="00690C5C">
            <w:pPr>
              <w:jc w:val="center"/>
              <w:rPr>
                <w:rFonts w:ascii="Arial Narrow" w:hAnsi="Arial Narrow" w:cs="Calibri"/>
                <w:sz w:val="20"/>
                <w:szCs w:val="20"/>
              </w:rPr>
            </w:pPr>
            <w:r w:rsidRPr="00690C5C">
              <w:rPr>
                <w:rFonts w:ascii="Arial Narrow" w:hAnsi="Arial Narrow" w:cs="Calibri"/>
                <w:sz w:val="20"/>
                <w:szCs w:val="20"/>
                <w:lang w:val="bg-BG"/>
              </w:rPr>
              <w:t>6</w:t>
            </w:r>
          </w:p>
        </w:tc>
        <w:tc>
          <w:tcPr>
            <w:tcW w:w="3888" w:type="dxa"/>
            <w:tcBorders>
              <w:top w:val="nil"/>
              <w:left w:val="nil"/>
              <w:bottom w:val="single" w:sz="4" w:space="0" w:color="auto"/>
              <w:right w:val="single" w:sz="4" w:space="0" w:color="auto"/>
            </w:tcBorders>
            <w:shd w:val="clear" w:color="auto" w:fill="auto"/>
            <w:vAlign w:val="center"/>
            <w:hideMark/>
          </w:tcPr>
          <w:p w14:paraId="6B04F5B0" w14:textId="77777777" w:rsidR="00690C5C" w:rsidRPr="00690C5C" w:rsidRDefault="00690C5C" w:rsidP="00690C5C">
            <w:pPr>
              <w:rPr>
                <w:rFonts w:ascii="Arial Narrow" w:hAnsi="Arial Narrow" w:cs="Calibri"/>
                <w:sz w:val="20"/>
                <w:szCs w:val="20"/>
              </w:rPr>
            </w:pPr>
            <w:r w:rsidRPr="00690C5C">
              <w:rPr>
                <w:rFonts w:ascii="Arial Narrow" w:hAnsi="Arial Narrow" w:cs="Calibri"/>
                <w:sz w:val="20"/>
                <w:szCs w:val="20"/>
                <w:lang w:val="bg-BG"/>
              </w:rPr>
              <w:t>Млечни продукти за немлечни мазнини</w:t>
            </w:r>
          </w:p>
        </w:tc>
        <w:tc>
          <w:tcPr>
            <w:tcW w:w="1150" w:type="dxa"/>
            <w:vMerge w:val="restart"/>
            <w:tcBorders>
              <w:top w:val="nil"/>
              <w:left w:val="single" w:sz="4" w:space="0" w:color="auto"/>
              <w:bottom w:val="single" w:sz="4" w:space="0" w:color="auto"/>
              <w:right w:val="single" w:sz="4" w:space="0" w:color="auto"/>
            </w:tcBorders>
            <w:shd w:val="clear" w:color="auto" w:fill="auto"/>
            <w:vAlign w:val="center"/>
            <w:hideMark/>
          </w:tcPr>
          <w:p w14:paraId="38523E60" w14:textId="77777777" w:rsidR="00690C5C" w:rsidRPr="00690C5C" w:rsidRDefault="00690C5C" w:rsidP="00690C5C">
            <w:pPr>
              <w:jc w:val="right"/>
              <w:rPr>
                <w:rFonts w:ascii="Arial Narrow" w:hAnsi="Arial Narrow" w:cs="Calibri"/>
                <w:sz w:val="20"/>
                <w:szCs w:val="20"/>
              </w:rPr>
            </w:pPr>
            <w:r w:rsidRPr="00690C5C">
              <w:rPr>
                <w:rFonts w:ascii="Arial Narrow" w:hAnsi="Arial Narrow" w:cs="Calibri"/>
                <w:sz w:val="20"/>
                <w:szCs w:val="20"/>
                <w:lang w:val="bg-BG"/>
              </w:rPr>
              <w:t>128</w:t>
            </w:r>
          </w:p>
        </w:tc>
        <w:tc>
          <w:tcPr>
            <w:tcW w:w="1111" w:type="dxa"/>
            <w:vMerge w:val="restart"/>
            <w:tcBorders>
              <w:top w:val="nil"/>
              <w:left w:val="single" w:sz="4" w:space="0" w:color="auto"/>
              <w:bottom w:val="single" w:sz="4" w:space="0" w:color="auto"/>
              <w:right w:val="single" w:sz="4" w:space="0" w:color="auto"/>
            </w:tcBorders>
            <w:shd w:val="clear" w:color="auto" w:fill="auto"/>
            <w:vAlign w:val="center"/>
            <w:hideMark/>
          </w:tcPr>
          <w:p w14:paraId="462FAFD5" w14:textId="77777777" w:rsidR="00690C5C" w:rsidRPr="00690C5C" w:rsidRDefault="00690C5C" w:rsidP="00690C5C">
            <w:pPr>
              <w:jc w:val="right"/>
              <w:rPr>
                <w:rFonts w:ascii="Arial Narrow" w:hAnsi="Arial Narrow" w:cs="Calibri"/>
                <w:sz w:val="20"/>
                <w:szCs w:val="20"/>
              </w:rPr>
            </w:pPr>
            <w:r w:rsidRPr="00690C5C">
              <w:rPr>
                <w:rFonts w:ascii="Arial Narrow" w:hAnsi="Arial Narrow" w:cs="Calibri"/>
                <w:sz w:val="20"/>
                <w:szCs w:val="20"/>
                <w:lang w:val="bg-BG"/>
              </w:rPr>
              <w:t>136</w:t>
            </w:r>
          </w:p>
        </w:tc>
        <w:tc>
          <w:tcPr>
            <w:tcW w:w="1110" w:type="dxa"/>
            <w:vMerge w:val="restart"/>
            <w:tcBorders>
              <w:top w:val="nil"/>
              <w:left w:val="single" w:sz="4" w:space="0" w:color="auto"/>
              <w:bottom w:val="single" w:sz="4" w:space="0" w:color="auto"/>
              <w:right w:val="single" w:sz="4" w:space="0" w:color="auto"/>
            </w:tcBorders>
            <w:shd w:val="clear" w:color="auto" w:fill="auto"/>
            <w:vAlign w:val="center"/>
            <w:hideMark/>
          </w:tcPr>
          <w:p w14:paraId="2E7958BE" w14:textId="77777777" w:rsidR="00690C5C" w:rsidRPr="00690C5C" w:rsidRDefault="00690C5C" w:rsidP="00690C5C">
            <w:pPr>
              <w:jc w:val="right"/>
              <w:rPr>
                <w:rFonts w:ascii="Arial Narrow" w:hAnsi="Arial Narrow" w:cs="Calibri"/>
                <w:sz w:val="20"/>
                <w:szCs w:val="20"/>
                <w:lang w:val="bg-BG"/>
              </w:rPr>
            </w:pPr>
            <w:r w:rsidRPr="00690C5C">
              <w:rPr>
                <w:rFonts w:ascii="Arial Narrow" w:hAnsi="Arial Narrow" w:cs="Calibri"/>
                <w:sz w:val="20"/>
                <w:szCs w:val="20"/>
                <w:lang w:val="bg-BG"/>
              </w:rPr>
              <w:t>106</w:t>
            </w:r>
          </w:p>
        </w:tc>
        <w:tc>
          <w:tcPr>
            <w:tcW w:w="1114" w:type="dxa"/>
            <w:tcBorders>
              <w:top w:val="nil"/>
              <w:left w:val="nil"/>
              <w:bottom w:val="single" w:sz="4" w:space="0" w:color="auto"/>
              <w:right w:val="single" w:sz="4" w:space="0" w:color="auto"/>
            </w:tcBorders>
            <w:shd w:val="clear" w:color="auto" w:fill="auto"/>
            <w:vAlign w:val="center"/>
            <w:hideMark/>
          </w:tcPr>
          <w:p w14:paraId="004E4D1D" w14:textId="77777777" w:rsidR="00690C5C" w:rsidRPr="00690C5C" w:rsidRDefault="00690C5C" w:rsidP="00690C5C">
            <w:pPr>
              <w:jc w:val="right"/>
              <w:rPr>
                <w:rFonts w:ascii="Arial Narrow" w:hAnsi="Arial Narrow" w:cs="Calibri"/>
                <w:sz w:val="20"/>
                <w:szCs w:val="20"/>
              </w:rPr>
            </w:pPr>
            <w:r w:rsidRPr="00690C5C">
              <w:rPr>
                <w:rFonts w:ascii="Arial Narrow" w:hAnsi="Arial Narrow" w:cs="Calibri"/>
                <w:sz w:val="20"/>
                <w:szCs w:val="20"/>
                <w:lang w:val="bg-BG"/>
              </w:rPr>
              <w:t>1</w:t>
            </w:r>
          </w:p>
        </w:tc>
        <w:tc>
          <w:tcPr>
            <w:tcW w:w="1111" w:type="dxa"/>
            <w:tcBorders>
              <w:top w:val="nil"/>
              <w:left w:val="nil"/>
              <w:bottom w:val="single" w:sz="4" w:space="0" w:color="auto"/>
              <w:right w:val="single" w:sz="4" w:space="0" w:color="auto"/>
            </w:tcBorders>
            <w:shd w:val="clear" w:color="auto" w:fill="auto"/>
            <w:vAlign w:val="center"/>
            <w:hideMark/>
          </w:tcPr>
          <w:p w14:paraId="56F10E13" w14:textId="77777777" w:rsidR="00690C5C" w:rsidRPr="00690C5C" w:rsidRDefault="00690C5C" w:rsidP="00690C5C">
            <w:pPr>
              <w:jc w:val="right"/>
              <w:rPr>
                <w:rFonts w:ascii="Arial Narrow" w:hAnsi="Arial Narrow" w:cs="Calibri"/>
                <w:sz w:val="20"/>
                <w:szCs w:val="20"/>
              </w:rPr>
            </w:pPr>
            <w:r w:rsidRPr="00690C5C">
              <w:rPr>
                <w:rFonts w:ascii="Arial Narrow" w:hAnsi="Arial Narrow" w:cs="Calibri"/>
                <w:sz w:val="20"/>
                <w:szCs w:val="20"/>
                <w:lang w:val="bg-BG"/>
              </w:rPr>
              <w:t>1</w:t>
            </w:r>
          </w:p>
        </w:tc>
      </w:tr>
      <w:tr w:rsidR="00690C5C" w:rsidRPr="00E021C3" w14:paraId="5E5DA91D" w14:textId="77777777" w:rsidTr="00E021C3">
        <w:trPr>
          <w:trHeight w:val="315"/>
        </w:trPr>
        <w:tc>
          <w:tcPr>
            <w:tcW w:w="357" w:type="dxa"/>
            <w:vMerge/>
            <w:tcBorders>
              <w:top w:val="nil"/>
              <w:left w:val="single" w:sz="4" w:space="0" w:color="auto"/>
              <w:bottom w:val="single" w:sz="4" w:space="0" w:color="auto"/>
              <w:right w:val="single" w:sz="4" w:space="0" w:color="auto"/>
            </w:tcBorders>
            <w:vAlign w:val="center"/>
            <w:hideMark/>
          </w:tcPr>
          <w:p w14:paraId="7549CE62" w14:textId="77777777" w:rsidR="00690C5C" w:rsidRPr="00690C5C" w:rsidRDefault="00690C5C" w:rsidP="00690C5C">
            <w:pPr>
              <w:rPr>
                <w:rFonts w:ascii="Arial Narrow" w:hAnsi="Arial Narrow" w:cs="Calibri"/>
                <w:sz w:val="20"/>
                <w:szCs w:val="20"/>
              </w:rPr>
            </w:pPr>
          </w:p>
        </w:tc>
        <w:tc>
          <w:tcPr>
            <w:tcW w:w="3888" w:type="dxa"/>
            <w:tcBorders>
              <w:top w:val="nil"/>
              <w:left w:val="nil"/>
              <w:bottom w:val="single" w:sz="4" w:space="0" w:color="auto"/>
              <w:right w:val="single" w:sz="4" w:space="0" w:color="auto"/>
            </w:tcBorders>
            <w:shd w:val="clear" w:color="auto" w:fill="auto"/>
            <w:vAlign w:val="center"/>
            <w:hideMark/>
          </w:tcPr>
          <w:p w14:paraId="2B7F7C84" w14:textId="77777777" w:rsidR="00690C5C" w:rsidRPr="00690C5C" w:rsidRDefault="00690C5C" w:rsidP="00690C5C">
            <w:pPr>
              <w:rPr>
                <w:rFonts w:ascii="Arial Narrow" w:hAnsi="Arial Narrow" w:cs="Calibri"/>
                <w:sz w:val="20"/>
                <w:szCs w:val="20"/>
              </w:rPr>
            </w:pPr>
            <w:r w:rsidRPr="00690C5C">
              <w:rPr>
                <w:rFonts w:ascii="Arial Narrow" w:hAnsi="Arial Narrow" w:cs="Calibri"/>
                <w:sz w:val="20"/>
                <w:szCs w:val="20"/>
                <w:lang w:val="bg-BG"/>
              </w:rPr>
              <w:t>и физикохимични показатели по ТД</w:t>
            </w:r>
            <w:r w:rsidRPr="00690C5C">
              <w:rPr>
                <w:rFonts w:ascii="Arial Narrow" w:hAnsi="Arial Narrow" w:cs="Calibri"/>
                <w:sz w:val="20"/>
                <w:szCs w:val="20"/>
              </w:rPr>
              <w:t>*</w:t>
            </w:r>
          </w:p>
        </w:tc>
        <w:tc>
          <w:tcPr>
            <w:tcW w:w="1150" w:type="dxa"/>
            <w:vMerge/>
            <w:tcBorders>
              <w:top w:val="nil"/>
              <w:left w:val="single" w:sz="4" w:space="0" w:color="auto"/>
              <w:bottom w:val="single" w:sz="4" w:space="0" w:color="auto"/>
              <w:right w:val="single" w:sz="4" w:space="0" w:color="auto"/>
            </w:tcBorders>
            <w:vAlign w:val="center"/>
            <w:hideMark/>
          </w:tcPr>
          <w:p w14:paraId="54D8919E" w14:textId="77777777" w:rsidR="00690C5C" w:rsidRPr="00690C5C" w:rsidRDefault="00690C5C" w:rsidP="00690C5C">
            <w:pPr>
              <w:rPr>
                <w:rFonts w:ascii="Arial Narrow" w:hAnsi="Arial Narrow" w:cs="Calibri"/>
                <w:sz w:val="20"/>
                <w:szCs w:val="20"/>
              </w:rPr>
            </w:pPr>
          </w:p>
        </w:tc>
        <w:tc>
          <w:tcPr>
            <w:tcW w:w="1111" w:type="dxa"/>
            <w:vMerge/>
            <w:tcBorders>
              <w:top w:val="nil"/>
              <w:left w:val="single" w:sz="4" w:space="0" w:color="auto"/>
              <w:bottom w:val="single" w:sz="4" w:space="0" w:color="auto"/>
              <w:right w:val="single" w:sz="4" w:space="0" w:color="auto"/>
            </w:tcBorders>
            <w:vAlign w:val="center"/>
            <w:hideMark/>
          </w:tcPr>
          <w:p w14:paraId="1357470C" w14:textId="77777777" w:rsidR="00690C5C" w:rsidRPr="00690C5C" w:rsidRDefault="00690C5C" w:rsidP="00690C5C">
            <w:pPr>
              <w:rPr>
                <w:rFonts w:ascii="Arial Narrow" w:hAnsi="Arial Narrow" w:cs="Calibri"/>
                <w:sz w:val="20"/>
                <w:szCs w:val="20"/>
              </w:rPr>
            </w:pPr>
          </w:p>
        </w:tc>
        <w:tc>
          <w:tcPr>
            <w:tcW w:w="1110" w:type="dxa"/>
            <w:vMerge/>
            <w:tcBorders>
              <w:top w:val="nil"/>
              <w:left w:val="single" w:sz="4" w:space="0" w:color="auto"/>
              <w:bottom w:val="single" w:sz="4" w:space="0" w:color="auto"/>
              <w:right w:val="single" w:sz="4" w:space="0" w:color="auto"/>
            </w:tcBorders>
            <w:vAlign w:val="center"/>
            <w:hideMark/>
          </w:tcPr>
          <w:p w14:paraId="164D5960" w14:textId="77777777" w:rsidR="00690C5C" w:rsidRPr="00690C5C" w:rsidRDefault="00690C5C" w:rsidP="00690C5C">
            <w:pPr>
              <w:rPr>
                <w:rFonts w:ascii="Arial Narrow" w:hAnsi="Arial Narrow" w:cs="Calibri"/>
                <w:sz w:val="20"/>
                <w:szCs w:val="20"/>
              </w:rPr>
            </w:pPr>
          </w:p>
        </w:tc>
        <w:tc>
          <w:tcPr>
            <w:tcW w:w="1114" w:type="dxa"/>
            <w:tcBorders>
              <w:top w:val="nil"/>
              <w:left w:val="nil"/>
              <w:bottom w:val="single" w:sz="4" w:space="0" w:color="auto"/>
              <w:right w:val="single" w:sz="4" w:space="0" w:color="auto"/>
            </w:tcBorders>
            <w:shd w:val="clear" w:color="auto" w:fill="auto"/>
            <w:vAlign w:val="center"/>
            <w:hideMark/>
          </w:tcPr>
          <w:p w14:paraId="306A6C53" w14:textId="77777777" w:rsidR="00690C5C" w:rsidRPr="00690C5C" w:rsidRDefault="00690C5C" w:rsidP="00690C5C">
            <w:pPr>
              <w:jc w:val="right"/>
              <w:rPr>
                <w:rFonts w:ascii="Arial Narrow" w:hAnsi="Arial Narrow" w:cs="Calibri"/>
                <w:sz w:val="20"/>
                <w:szCs w:val="20"/>
              </w:rPr>
            </w:pPr>
            <w:r w:rsidRPr="00690C5C">
              <w:rPr>
                <w:rFonts w:ascii="Arial Narrow" w:hAnsi="Arial Narrow" w:cs="Calibri"/>
                <w:sz w:val="20"/>
                <w:szCs w:val="20"/>
                <w:lang w:val="bg-BG"/>
              </w:rPr>
              <w:t>18</w:t>
            </w:r>
          </w:p>
        </w:tc>
        <w:tc>
          <w:tcPr>
            <w:tcW w:w="1111" w:type="dxa"/>
            <w:tcBorders>
              <w:top w:val="nil"/>
              <w:left w:val="nil"/>
              <w:bottom w:val="single" w:sz="4" w:space="0" w:color="auto"/>
              <w:right w:val="single" w:sz="4" w:space="0" w:color="auto"/>
            </w:tcBorders>
            <w:shd w:val="clear" w:color="auto" w:fill="auto"/>
            <w:vAlign w:val="center"/>
            <w:hideMark/>
          </w:tcPr>
          <w:p w14:paraId="7DCA8BAF" w14:textId="77777777" w:rsidR="00690C5C" w:rsidRPr="00690C5C" w:rsidRDefault="00690C5C" w:rsidP="00690C5C">
            <w:pPr>
              <w:jc w:val="right"/>
              <w:rPr>
                <w:rFonts w:ascii="Arial Narrow" w:hAnsi="Arial Narrow" w:cs="Calibri"/>
                <w:sz w:val="20"/>
                <w:szCs w:val="20"/>
              </w:rPr>
            </w:pPr>
            <w:r w:rsidRPr="00690C5C">
              <w:rPr>
                <w:rFonts w:ascii="Arial Narrow" w:hAnsi="Arial Narrow" w:cs="Calibri"/>
                <w:sz w:val="20"/>
                <w:szCs w:val="20"/>
                <w:lang w:val="bg-BG"/>
              </w:rPr>
              <w:t>13</w:t>
            </w:r>
          </w:p>
        </w:tc>
      </w:tr>
      <w:tr w:rsidR="00E021C3" w:rsidRPr="00E021C3" w14:paraId="635A9FAD" w14:textId="77777777" w:rsidTr="00E021C3">
        <w:trPr>
          <w:trHeight w:val="315"/>
        </w:trPr>
        <w:tc>
          <w:tcPr>
            <w:tcW w:w="357" w:type="dxa"/>
            <w:tcBorders>
              <w:top w:val="nil"/>
              <w:left w:val="single" w:sz="4" w:space="0" w:color="auto"/>
              <w:bottom w:val="single" w:sz="4" w:space="0" w:color="auto"/>
              <w:right w:val="single" w:sz="4" w:space="0" w:color="auto"/>
            </w:tcBorders>
            <w:shd w:val="clear" w:color="auto" w:fill="auto"/>
            <w:vAlign w:val="center"/>
            <w:hideMark/>
          </w:tcPr>
          <w:p w14:paraId="4A2DB725" w14:textId="77777777" w:rsidR="00690C5C" w:rsidRPr="00690C5C" w:rsidRDefault="00690C5C" w:rsidP="00690C5C">
            <w:pPr>
              <w:jc w:val="center"/>
              <w:rPr>
                <w:rFonts w:ascii="Arial Narrow" w:hAnsi="Arial Narrow" w:cs="Calibri"/>
                <w:sz w:val="20"/>
                <w:szCs w:val="20"/>
              </w:rPr>
            </w:pPr>
            <w:r w:rsidRPr="00690C5C">
              <w:rPr>
                <w:rFonts w:ascii="Arial Narrow" w:hAnsi="Arial Narrow" w:cs="Calibri"/>
                <w:sz w:val="20"/>
                <w:szCs w:val="20"/>
                <w:lang w:val="bg-BG"/>
              </w:rPr>
              <w:t>7</w:t>
            </w:r>
          </w:p>
        </w:tc>
        <w:tc>
          <w:tcPr>
            <w:tcW w:w="3888" w:type="dxa"/>
            <w:tcBorders>
              <w:top w:val="nil"/>
              <w:left w:val="nil"/>
              <w:bottom w:val="single" w:sz="4" w:space="0" w:color="auto"/>
              <w:right w:val="single" w:sz="4" w:space="0" w:color="auto"/>
            </w:tcBorders>
            <w:shd w:val="clear" w:color="auto" w:fill="auto"/>
            <w:vAlign w:val="center"/>
            <w:hideMark/>
          </w:tcPr>
          <w:p w14:paraId="56D7D8B6" w14:textId="77777777" w:rsidR="00690C5C" w:rsidRPr="00690C5C" w:rsidRDefault="00690C5C" w:rsidP="00690C5C">
            <w:pPr>
              <w:rPr>
                <w:rFonts w:ascii="Arial Narrow" w:hAnsi="Arial Narrow" w:cs="Calibri"/>
                <w:sz w:val="20"/>
                <w:szCs w:val="20"/>
              </w:rPr>
            </w:pPr>
            <w:r w:rsidRPr="00690C5C">
              <w:rPr>
                <w:rFonts w:ascii="Arial Narrow" w:hAnsi="Arial Narrow" w:cs="Calibri"/>
                <w:sz w:val="20"/>
                <w:szCs w:val="20"/>
                <w:lang w:val="bg-BG"/>
              </w:rPr>
              <w:t>Млечни продукти за ФХ показатели по ТД</w:t>
            </w:r>
          </w:p>
        </w:tc>
        <w:tc>
          <w:tcPr>
            <w:tcW w:w="1150" w:type="dxa"/>
            <w:tcBorders>
              <w:top w:val="nil"/>
              <w:left w:val="nil"/>
              <w:bottom w:val="single" w:sz="4" w:space="0" w:color="auto"/>
              <w:right w:val="single" w:sz="4" w:space="0" w:color="auto"/>
            </w:tcBorders>
            <w:shd w:val="clear" w:color="auto" w:fill="auto"/>
            <w:vAlign w:val="center"/>
            <w:hideMark/>
          </w:tcPr>
          <w:p w14:paraId="31A1A8E4" w14:textId="77777777" w:rsidR="00690C5C" w:rsidRPr="00690C5C" w:rsidRDefault="00690C5C" w:rsidP="00690C5C">
            <w:pPr>
              <w:jc w:val="right"/>
              <w:rPr>
                <w:rFonts w:ascii="Arial Narrow" w:hAnsi="Arial Narrow" w:cs="Calibri"/>
                <w:sz w:val="20"/>
                <w:szCs w:val="20"/>
              </w:rPr>
            </w:pPr>
            <w:r w:rsidRPr="00690C5C">
              <w:rPr>
                <w:rFonts w:ascii="Arial Narrow" w:hAnsi="Arial Narrow" w:cs="Calibri"/>
                <w:sz w:val="20"/>
                <w:szCs w:val="20"/>
                <w:lang w:val="bg-BG"/>
              </w:rPr>
              <w:t>226</w:t>
            </w:r>
          </w:p>
        </w:tc>
        <w:tc>
          <w:tcPr>
            <w:tcW w:w="1111" w:type="dxa"/>
            <w:tcBorders>
              <w:top w:val="nil"/>
              <w:left w:val="nil"/>
              <w:bottom w:val="single" w:sz="4" w:space="0" w:color="auto"/>
              <w:right w:val="single" w:sz="4" w:space="0" w:color="auto"/>
            </w:tcBorders>
            <w:shd w:val="clear" w:color="auto" w:fill="auto"/>
            <w:vAlign w:val="center"/>
            <w:hideMark/>
          </w:tcPr>
          <w:p w14:paraId="21D90673" w14:textId="77777777" w:rsidR="00690C5C" w:rsidRPr="00690C5C" w:rsidRDefault="00690C5C" w:rsidP="00690C5C">
            <w:pPr>
              <w:jc w:val="right"/>
              <w:rPr>
                <w:rFonts w:ascii="Arial Narrow" w:hAnsi="Arial Narrow" w:cs="Calibri"/>
                <w:sz w:val="20"/>
                <w:szCs w:val="20"/>
              </w:rPr>
            </w:pPr>
            <w:r w:rsidRPr="00690C5C">
              <w:rPr>
                <w:rFonts w:ascii="Arial Narrow" w:hAnsi="Arial Narrow" w:cs="Calibri"/>
                <w:sz w:val="20"/>
                <w:szCs w:val="20"/>
                <w:lang w:val="bg-BG"/>
              </w:rPr>
              <w:t>226</w:t>
            </w:r>
          </w:p>
        </w:tc>
        <w:tc>
          <w:tcPr>
            <w:tcW w:w="1110" w:type="dxa"/>
            <w:tcBorders>
              <w:top w:val="nil"/>
              <w:left w:val="nil"/>
              <w:bottom w:val="single" w:sz="4" w:space="0" w:color="auto"/>
              <w:right w:val="single" w:sz="4" w:space="0" w:color="auto"/>
            </w:tcBorders>
            <w:shd w:val="clear" w:color="auto" w:fill="auto"/>
            <w:vAlign w:val="center"/>
            <w:hideMark/>
          </w:tcPr>
          <w:p w14:paraId="1DD93888" w14:textId="77777777" w:rsidR="00690C5C" w:rsidRPr="00690C5C" w:rsidRDefault="00690C5C" w:rsidP="00690C5C">
            <w:pPr>
              <w:jc w:val="right"/>
              <w:rPr>
                <w:rFonts w:ascii="Arial Narrow" w:hAnsi="Arial Narrow" w:cs="Calibri"/>
                <w:sz w:val="20"/>
                <w:szCs w:val="20"/>
              </w:rPr>
            </w:pPr>
            <w:r w:rsidRPr="00690C5C">
              <w:rPr>
                <w:rFonts w:ascii="Arial Narrow" w:hAnsi="Arial Narrow" w:cs="Calibri"/>
                <w:sz w:val="20"/>
                <w:szCs w:val="20"/>
              </w:rPr>
              <w:t>100</w:t>
            </w:r>
          </w:p>
        </w:tc>
        <w:tc>
          <w:tcPr>
            <w:tcW w:w="1114" w:type="dxa"/>
            <w:tcBorders>
              <w:top w:val="nil"/>
              <w:left w:val="nil"/>
              <w:bottom w:val="single" w:sz="4" w:space="0" w:color="auto"/>
              <w:right w:val="single" w:sz="4" w:space="0" w:color="auto"/>
            </w:tcBorders>
            <w:shd w:val="clear" w:color="auto" w:fill="auto"/>
            <w:vAlign w:val="center"/>
            <w:hideMark/>
          </w:tcPr>
          <w:p w14:paraId="315A6936" w14:textId="77777777" w:rsidR="00690C5C" w:rsidRPr="00690C5C" w:rsidRDefault="00690C5C" w:rsidP="00690C5C">
            <w:pPr>
              <w:jc w:val="right"/>
              <w:rPr>
                <w:rFonts w:ascii="Arial Narrow" w:hAnsi="Arial Narrow" w:cs="Calibri"/>
                <w:sz w:val="20"/>
                <w:szCs w:val="20"/>
              </w:rPr>
            </w:pPr>
            <w:r w:rsidRPr="00690C5C">
              <w:rPr>
                <w:rFonts w:ascii="Arial Narrow" w:hAnsi="Arial Narrow" w:cs="Calibri"/>
                <w:sz w:val="20"/>
                <w:szCs w:val="20"/>
                <w:lang w:val="bg-BG"/>
              </w:rPr>
              <w:t>32</w:t>
            </w:r>
          </w:p>
        </w:tc>
        <w:tc>
          <w:tcPr>
            <w:tcW w:w="1111" w:type="dxa"/>
            <w:tcBorders>
              <w:top w:val="nil"/>
              <w:left w:val="nil"/>
              <w:bottom w:val="single" w:sz="4" w:space="0" w:color="auto"/>
              <w:right w:val="single" w:sz="4" w:space="0" w:color="auto"/>
            </w:tcBorders>
            <w:shd w:val="clear" w:color="auto" w:fill="auto"/>
            <w:vAlign w:val="center"/>
            <w:hideMark/>
          </w:tcPr>
          <w:p w14:paraId="7483121C" w14:textId="77777777" w:rsidR="00690C5C" w:rsidRPr="00690C5C" w:rsidRDefault="00690C5C" w:rsidP="00690C5C">
            <w:pPr>
              <w:jc w:val="right"/>
              <w:rPr>
                <w:rFonts w:ascii="Arial Narrow" w:hAnsi="Arial Narrow" w:cs="Calibri"/>
                <w:sz w:val="20"/>
                <w:szCs w:val="20"/>
                <w:lang w:val="bg-BG"/>
              </w:rPr>
            </w:pPr>
            <w:r w:rsidRPr="00690C5C">
              <w:rPr>
                <w:rFonts w:ascii="Arial Narrow" w:hAnsi="Arial Narrow" w:cs="Calibri"/>
                <w:sz w:val="20"/>
                <w:szCs w:val="20"/>
                <w:lang w:val="bg-BG"/>
              </w:rPr>
              <w:t>14</w:t>
            </w:r>
          </w:p>
        </w:tc>
      </w:tr>
      <w:tr w:rsidR="00E021C3" w:rsidRPr="00E021C3" w14:paraId="2370703C" w14:textId="77777777" w:rsidTr="00E021C3">
        <w:trPr>
          <w:trHeight w:val="538"/>
        </w:trPr>
        <w:tc>
          <w:tcPr>
            <w:tcW w:w="357" w:type="dxa"/>
            <w:tcBorders>
              <w:top w:val="nil"/>
              <w:left w:val="single" w:sz="4" w:space="0" w:color="auto"/>
              <w:bottom w:val="single" w:sz="4" w:space="0" w:color="auto"/>
              <w:right w:val="single" w:sz="4" w:space="0" w:color="auto"/>
            </w:tcBorders>
            <w:shd w:val="clear" w:color="auto" w:fill="auto"/>
            <w:vAlign w:val="center"/>
            <w:hideMark/>
          </w:tcPr>
          <w:p w14:paraId="26AC9215" w14:textId="77777777" w:rsidR="00690C5C" w:rsidRPr="00690C5C" w:rsidRDefault="00690C5C" w:rsidP="00690C5C">
            <w:pPr>
              <w:jc w:val="center"/>
              <w:rPr>
                <w:rFonts w:ascii="Arial Narrow" w:hAnsi="Arial Narrow" w:cs="Calibri"/>
                <w:sz w:val="20"/>
                <w:szCs w:val="20"/>
              </w:rPr>
            </w:pPr>
            <w:r w:rsidRPr="00690C5C">
              <w:rPr>
                <w:rFonts w:ascii="Arial Narrow" w:hAnsi="Arial Narrow" w:cs="Calibri"/>
                <w:sz w:val="20"/>
                <w:szCs w:val="20"/>
                <w:lang w:val="bg-BG"/>
              </w:rPr>
              <w:t>8</w:t>
            </w:r>
          </w:p>
        </w:tc>
        <w:tc>
          <w:tcPr>
            <w:tcW w:w="3888" w:type="dxa"/>
            <w:tcBorders>
              <w:top w:val="nil"/>
              <w:left w:val="nil"/>
              <w:bottom w:val="single" w:sz="4" w:space="0" w:color="auto"/>
              <w:right w:val="single" w:sz="4" w:space="0" w:color="auto"/>
            </w:tcBorders>
            <w:shd w:val="clear" w:color="auto" w:fill="auto"/>
            <w:vAlign w:val="center"/>
            <w:hideMark/>
          </w:tcPr>
          <w:p w14:paraId="456CE820" w14:textId="77777777" w:rsidR="00690C5C" w:rsidRPr="00690C5C" w:rsidRDefault="00690C5C" w:rsidP="00690C5C">
            <w:pPr>
              <w:rPr>
                <w:rFonts w:ascii="Arial Narrow" w:hAnsi="Arial Narrow" w:cs="Calibri"/>
                <w:sz w:val="20"/>
                <w:szCs w:val="20"/>
              </w:rPr>
            </w:pPr>
            <w:r w:rsidRPr="00690C5C">
              <w:rPr>
                <w:rFonts w:ascii="Arial Narrow" w:hAnsi="Arial Narrow" w:cs="Calibri"/>
                <w:sz w:val="20"/>
                <w:szCs w:val="20"/>
                <w:lang w:val="bg-BG"/>
              </w:rPr>
              <w:t>Замразени птичи трупове и разфасовки от птиче месо за общо съдържание на вода</w:t>
            </w:r>
          </w:p>
        </w:tc>
        <w:tc>
          <w:tcPr>
            <w:tcW w:w="1150" w:type="dxa"/>
            <w:tcBorders>
              <w:top w:val="nil"/>
              <w:left w:val="nil"/>
              <w:bottom w:val="single" w:sz="4" w:space="0" w:color="auto"/>
              <w:right w:val="single" w:sz="4" w:space="0" w:color="auto"/>
            </w:tcBorders>
            <w:shd w:val="clear" w:color="auto" w:fill="auto"/>
            <w:vAlign w:val="center"/>
            <w:hideMark/>
          </w:tcPr>
          <w:p w14:paraId="7E11EBD0" w14:textId="77777777" w:rsidR="00690C5C" w:rsidRPr="00690C5C" w:rsidRDefault="00690C5C" w:rsidP="00690C5C">
            <w:pPr>
              <w:jc w:val="right"/>
              <w:rPr>
                <w:rFonts w:ascii="Arial Narrow" w:hAnsi="Arial Narrow" w:cs="Calibri"/>
                <w:sz w:val="20"/>
                <w:szCs w:val="20"/>
              </w:rPr>
            </w:pPr>
            <w:r w:rsidRPr="00690C5C">
              <w:rPr>
                <w:rFonts w:ascii="Arial Narrow" w:hAnsi="Arial Narrow" w:cs="Calibri"/>
                <w:sz w:val="20"/>
                <w:szCs w:val="20"/>
                <w:lang w:val="bg-BG"/>
              </w:rPr>
              <w:t>115</w:t>
            </w:r>
          </w:p>
        </w:tc>
        <w:tc>
          <w:tcPr>
            <w:tcW w:w="1111" w:type="dxa"/>
            <w:tcBorders>
              <w:top w:val="nil"/>
              <w:left w:val="nil"/>
              <w:bottom w:val="single" w:sz="4" w:space="0" w:color="auto"/>
              <w:right w:val="single" w:sz="4" w:space="0" w:color="auto"/>
            </w:tcBorders>
            <w:shd w:val="clear" w:color="auto" w:fill="auto"/>
            <w:vAlign w:val="center"/>
            <w:hideMark/>
          </w:tcPr>
          <w:p w14:paraId="109082C0" w14:textId="77777777" w:rsidR="00690C5C" w:rsidRPr="00690C5C" w:rsidRDefault="00690C5C" w:rsidP="00690C5C">
            <w:pPr>
              <w:jc w:val="right"/>
              <w:rPr>
                <w:rFonts w:ascii="Arial Narrow" w:hAnsi="Arial Narrow" w:cs="Calibri"/>
                <w:sz w:val="20"/>
                <w:szCs w:val="20"/>
              </w:rPr>
            </w:pPr>
            <w:r w:rsidRPr="00690C5C">
              <w:rPr>
                <w:rFonts w:ascii="Arial Narrow" w:hAnsi="Arial Narrow" w:cs="Calibri"/>
                <w:sz w:val="20"/>
                <w:szCs w:val="20"/>
                <w:lang w:val="bg-BG"/>
              </w:rPr>
              <w:t>112</w:t>
            </w:r>
          </w:p>
        </w:tc>
        <w:tc>
          <w:tcPr>
            <w:tcW w:w="1110" w:type="dxa"/>
            <w:tcBorders>
              <w:top w:val="nil"/>
              <w:left w:val="nil"/>
              <w:bottom w:val="single" w:sz="4" w:space="0" w:color="auto"/>
              <w:right w:val="single" w:sz="4" w:space="0" w:color="auto"/>
            </w:tcBorders>
            <w:shd w:val="clear" w:color="auto" w:fill="auto"/>
            <w:vAlign w:val="center"/>
            <w:hideMark/>
          </w:tcPr>
          <w:p w14:paraId="12F4C0B7" w14:textId="77777777" w:rsidR="00690C5C" w:rsidRPr="00690C5C" w:rsidRDefault="00690C5C" w:rsidP="00690C5C">
            <w:pPr>
              <w:jc w:val="right"/>
              <w:rPr>
                <w:rFonts w:ascii="Arial Narrow" w:hAnsi="Arial Narrow" w:cs="Calibri"/>
                <w:sz w:val="20"/>
                <w:szCs w:val="20"/>
                <w:lang w:val="bg-BG"/>
              </w:rPr>
            </w:pPr>
            <w:r w:rsidRPr="00690C5C">
              <w:rPr>
                <w:rFonts w:ascii="Arial Narrow" w:hAnsi="Arial Narrow" w:cs="Calibri"/>
                <w:sz w:val="20"/>
                <w:szCs w:val="20"/>
              </w:rPr>
              <w:t>9</w:t>
            </w:r>
            <w:r w:rsidRPr="00690C5C">
              <w:rPr>
                <w:rFonts w:ascii="Arial Narrow" w:hAnsi="Arial Narrow" w:cs="Calibri"/>
                <w:sz w:val="20"/>
                <w:szCs w:val="20"/>
                <w:lang w:val="bg-BG"/>
              </w:rPr>
              <w:t>7</w:t>
            </w:r>
          </w:p>
        </w:tc>
        <w:tc>
          <w:tcPr>
            <w:tcW w:w="1114" w:type="dxa"/>
            <w:tcBorders>
              <w:top w:val="nil"/>
              <w:left w:val="nil"/>
              <w:bottom w:val="single" w:sz="4" w:space="0" w:color="auto"/>
              <w:right w:val="single" w:sz="4" w:space="0" w:color="auto"/>
            </w:tcBorders>
            <w:shd w:val="clear" w:color="auto" w:fill="auto"/>
            <w:vAlign w:val="center"/>
            <w:hideMark/>
          </w:tcPr>
          <w:p w14:paraId="5291F276" w14:textId="77777777" w:rsidR="00690C5C" w:rsidRPr="00690C5C" w:rsidRDefault="00690C5C" w:rsidP="00690C5C">
            <w:pPr>
              <w:jc w:val="right"/>
              <w:rPr>
                <w:rFonts w:ascii="Arial Narrow" w:hAnsi="Arial Narrow" w:cs="Calibri"/>
                <w:sz w:val="20"/>
                <w:szCs w:val="20"/>
              </w:rPr>
            </w:pPr>
            <w:r w:rsidRPr="00690C5C">
              <w:rPr>
                <w:rFonts w:ascii="Arial Narrow" w:hAnsi="Arial Narrow" w:cs="Calibri"/>
                <w:sz w:val="20"/>
                <w:szCs w:val="20"/>
                <w:lang w:val="bg-BG"/>
              </w:rPr>
              <w:t>3</w:t>
            </w:r>
          </w:p>
        </w:tc>
        <w:tc>
          <w:tcPr>
            <w:tcW w:w="1111" w:type="dxa"/>
            <w:tcBorders>
              <w:top w:val="nil"/>
              <w:left w:val="nil"/>
              <w:bottom w:val="single" w:sz="4" w:space="0" w:color="auto"/>
              <w:right w:val="single" w:sz="4" w:space="0" w:color="auto"/>
            </w:tcBorders>
            <w:shd w:val="clear" w:color="auto" w:fill="auto"/>
            <w:vAlign w:val="center"/>
            <w:hideMark/>
          </w:tcPr>
          <w:p w14:paraId="440F8BBB" w14:textId="77777777" w:rsidR="00690C5C" w:rsidRPr="00690C5C" w:rsidRDefault="00690C5C" w:rsidP="00690C5C">
            <w:pPr>
              <w:jc w:val="right"/>
              <w:rPr>
                <w:rFonts w:ascii="Arial Narrow" w:hAnsi="Arial Narrow" w:cs="Calibri"/>
                <w:sz w:val="20"/>
                <w:szCs w:val="20"/>
              </w:rPr>
            </w:pPr>
            <w:r w:rsidRPr="00690C5C">
              <w:rPr>
                <w:rFonts w:ascii="Arial Narrow" w:hAnsi="Arial Narrow" w:cs="Calibri"/>
                <w:sz w:val="20"/>
                <w:szCs w:val="20"/>
                <w:lang w:val="bg-BG"/>
              </w:rPr>
              <w:t>3</w:t>
            </w:r>
            <w:r w:rsidRPr="00690C5C">
              <w:rPr>
                <w:rFonts w:ascii="Arial Narrow" w:hAnsi="Arial Narrow" w:cs="Calibri"/>
                <w:sz w:val="20"/>
                <w:szCs w:val="20"/>
              </w:rPr>
              <w:t>4</w:t>
            </w:r>
          </w:p>
        </w:tc>
      </w:tr>
      <w:tr w:rsidR="00E021C3" w:rsidRPr="00E021C3" w14:paraId="211095EB" w14:textId="77777777" w:rsidTr="00E021C3">
        <w:trPr>
          <w:trHeight w:val="315"/>
        </w:trPr>
        <w:tc>
          <w:tcPr>
            <w:tcW w:w="357" w:type="dxa"/>
            <w:tcBorders>
              <w:top w:val="nil"/>
              <w:left w:val="single" w:sz="4" w:space="0" w:color="auto"/>
              <w:bottom w:val="single" w:sz="4" w:space="0" w:color="auto"/>
              <w:right w:val="single" w:sz="4" w:space="0" w:color="auto"/>
            </w:tcBorders>
            <w:shd w:val="clear" w:color="auto" w:fill="auto"/>
            <w:vAlign w:val="center"/>
            <w:hideMark/>
          </w:tcPr>
          <w:p w14:paraId="2B8E6578" w14:textId="77777777" w:rsidR="00690C5C" w:rsidRPr="00690C5C" w:rsidRDefault="00690C5C" w:rsidP="00690C5C">
            <w:pPr>
              <w:jc w:val="center"/>
              <w:rPr>
                <w:rFonts w:ascii="Arial Narrow" w:hAnsi="Arial Narrow" w:cs="Calibri"/>
                <w:sz w:val="20"/>
                <w:szCs w:val="20"/>
              </w:rPr>
            </w:pPr>
            <w:r w:rsidRPr="00690C5C">
              <w:rPr>
                <w:rFonts w:ascii="Arial Narrow" w:hAnsi="Arial Narrow" w:cs="Calibri"/>
                <w:sz w:val="20"/>
                <w:szCs w:val="20"/>
                <w:lang w:val="bg-BG"/>
              </w:rPr>
              <w:t>9</w:t>
            </w:r>
          </w:p>
        </w:tc>
        <w:tc>
          <w:tcPr>
            <w:tcW w:w="3888" w:type="dxa"/>
            <w:tcBorders>
              <w:top w:val="nil"/>
              <w:left w:val="nil"/>
              <w:bottom w:val="single" w:sz="4" w:space="0" w:color="auto"/>
              <w:right w:val="single" w:sz="4" w:space="0" w:color="auto"/>
            </w:tcBorders>
            <w:shd w:val="clear" w:color="auto" w:fill="auto"/>
            <w:vAlign w:val="center"/>
            <w:hideMark/>
          </w:tcPr>
          <w:p w14:paraId="10D784DD" w14:textId="77777777" w:rsidR="00690C5C" w:rsidRPr="00690C5C" w:rsidRDefault="00690C5C" w:rsidP="00690C5C">
            <w:pPr>
              <w:rPr>
                <w:rFonts w:ascii="Arial Narrow" w:hAnsi="Arial Narrow" w:cs="Calibri"/>
                <w:sz w:val="20"/>
                <w:szCs w:val="20"/>
              </w:rPr>
            </w:pPr>
            <w:r w:rsidRPr="00690C5C">
              <w:rPr>
                <w:rFonts w:ascii="Arial Narrow" w:hAnsi="Arial Narrow" w:cs="Calibri"/>
                <w:sz w:val="20"/>
                <w:szCs w:val="20"/>
                <w:lang w:val="bg-BG"/>
              </w:rPr>
              <w:t>Маслинови масла</w:t>
            </w:r>
          </w:p>
        </w:tc>
        <w:tc>
          <w:tcPr>
            <w:tcW w:w="1150" w:type="dxa"/>
            <w:tcBorders>
              <w:top w:val="nil"/>
              <w:left w:val="nil"/>
              <w:bottom w:val="single" w:sz="4" w:space="0" w:color="auto"/>
              <w:right w:val="single" w:sz="4" w:space="0" w:color="auto"/>
            </w:tcBorders>
            <w:shd w:val="clear" w:color="auto" w:fill="auto"/>
            <w:vAlign w:val="center"/>
            <w:hideMark/>
          </w:tcPr>
          <w:p w14:paraId="3710C4B6" w14:textId="77777777" w:rsidR="00690C5C" w:rsidRPr="00690C5C" w:rsidRDefault="00690C5C" w:rsidP="00690C5C">
            <w:pPr>
              <w:jc w:val="right"/>
              <w:rPr>
                <w:rFonts w:ascii="Arial Narrow" w:hAnsi="Arial Narrow" w:cs="Calibri"/>
                <w:sz w:val="20"/>
                <w:szCs w:val="20"/>
              </w:rPr>
            </w:pPr>
            <w:r w:rsidRPr="00690C5C">
              <w:rPr>
                <w:rFonts w:ascii="Arial Narrow" w:hAnsi="Arial Narrow" w:cs="Calibri"/>
                <w:sz w:val="20"/>
                <w:szCs w:val="20"/>
                <w:lang w:val="bg-BG"/>
              </w:rPr>
              <w:t>5</w:t>
            </w:r>
          </w:p>
        </w:tc>
        <w:tc>
          <w:tcPr>
            <w:tcW w:w="1111" w:type="dxa"/>
            <w:tcBorders>
              <w:top w:val="nil"/>
              <w:left w:val="nil"/>
              <w:bottom w:val="single" w:sz="4" w:space="0" w:color="auto"/>
              <w:right w:val="single" w:sz="4" w:space="0" w:color="auto"/>
            </w:tcBorders>
            <w:shd w:val="clear" w:color="auto" w:fill="auto"/>
            <w:vAlign w:val="center"/>
            <w:hideMark/>
          </w:tcPr>
          <w:p w14:paraId="19575D53" w14:textId="77777777" w:rsidR="00690C5C" w:rsidRPr="00690C5C" w:rsidRDefault="00690C5C" w:rsidP="00690C5C">
            <w:pPr>
              <w:jc w:val="right"/>
              <w:rPr>
                <w:rFonts w:ascii="Arial Narrow" w:hAnsi="Arial Narrow" w:cs="Calibri"/>
                <w:sz w:val="20"/>
                <w:szCs w:val="20"/>
              </w:rPr>
            </w:pPr>
            <w:r w:rsidRPr="00690C5C">
              <w:rPr>
                <w:rFonts w:ascii="Arial Narrow" w:hAnsi="Arial Narrow" w:cs="Calibri"/>
                <w:sz w:val="20"/>
                <w:szCs w:val="20"/>
                <w:lang w:val="bg-BG"/>
              </w:rPr>
              <w:t>5</w:t>
            </w:r>
          </w:p>
        </w:tc>
        <w:tc>
          <w:tcPr>
            <w:tcW w:w="1110" w:type="dxa"/>
            <w:tcBorders>
              <w:top w:val="nil"/>
              <w:left w:val="nil"/>
              <w:bottom w:val="single" w:sz="4" w:space="0" w:color="auto"/>
              <w:right w:val="single" w:sz="4" w:space="0" w:color="auto"/>
            </w:tcBorders>
            <w:shd w:val="clear" w:color="auto" w:fill="auto"/>
            <w:vAlign w:val="center"/>
            <w:hideMark/>
          </w:tcPr>
          <w:p w14:paraId="47A3FF83" w14:textId="77777777" w:rsidR="00690C5C" w:rsidRPr="00690C5C" w:rsidRDefault="00690C5C" w:rsidP="00690C5C">
            <w:pPr>
              <w:jc w:val="right"/>
              <w:rPr>
                <w:rFonts w:ascii="Arial Narrow" w:hAnsi="Arial Narrow" w:cs="Calibri"/>
                <w:sz w:val="20"/>
                <w:szCs w:val="20"/>
              </w:rPr>
            </w:pPr>
            <w:r w:rsidRPr="00690C5C">
              <w:rPr>
                <w:rFonts w:ascii="Arial Narrow" w:hAnsi="Arial Narrow" w:cs="Calibri"/>
                <w:sz w:val="20"/>
                <w:szCs w:val="20"/>
              </w:rPr>
              <w:t>100</w:t>
            </w:r>
          </w:p>
        </w:tc>
        <w:tc>
          <w:tcPr>
            <w:tcW w:w="1114" w:type="dxa"/>
            <w:tcBorders>
              <w:top w:val="nil"/>
              <w:left w:val="nil"/>
              <w:bottom w:val="single" w:sz="4" w:space="0" w:color="auto"/>
              <w:right w:val="single" w:sz="4" w:space="0" w:color="auto"/>
            </w:tcBorders>
            <w:shd w:val="clear" w:color="auto" w:fill="auto"/>
            <w:vAlign w:val="center"/>
            <w:hideMark/>
          </w:tcPr>
          <w:p w14:paraId="798E0D91" w14:textId="77777777" w:rsidR="00690C5C" w:rsidRPr="00690C5C" w:rsidRDefault="00690C5C" w:rsidP="00690C5C">
            <w:pPr>
              <w:jc w:val="right"/>
              <w:rPr>
                <w:rFonts w:ascii="Arial Narrow" w:hAnsi="Arial Narrow" w:cs="Calibri"/>
                <w:sz w:val="20"/>
                <w:szCs w:val="20"/>
              </w:rPr>
            </w:pPr>
            <w:r w:rsidRPr="00690C5C">
              <w:rPr>
                <w:rFonts w:ascii="Arial Narrow" w:hAnsi="Arial Narrow" w:cs="Calibri"/>
                <w:sz w:val="20"/>
                <w:szCs w:val="20"/>
              </w:rPr>
              <w:t>1</w:t>
            </w:r>
          </w:p>
        </w:tc>
        <w:tc>
          <w:tcPr>
            <w:tcW w:w="1111" w:type="dxa"/>
            <w:tcBorders>
              <w:top w:val="nil"/>
              <w:left w:val="nil"/>
              <w:bottom w:val="single" w:sz="4" w:space="0" w:color="auto"/>
              <w:right w:val="single" w:sz="4" w:space="0" w:color="auto"/>
            </w:tcBorders>
            <w:shd w:val="clear" w:color="auto" w:fill="auto"/>
            <w:vAlign w:val="center"/>
            <w:hideMark/>
          </w:tcPr>
          <w:p w14:paraId="59AB70BB" w14:textId="77777777" w:rsidR="00690C5C" w:rsidRPr="00690C5C" w:rsidRDefault="00690C5C" w:rsidP="00690C5C">
            <w:pPr>
              <w:jc w:val="right"/>
              <w:rPr>
                <w:rFonts w:ascii="Arial Narrow" w:hAnsi="Arial Narrow" w:cs="Calibri"/>
                <w:sz w:val="20"/>
                <w:szCs w:val="20"/>
              </w:rPr>
            </w:pPr>
            <w:r w:rsidRPr="00690C5C">
              <w:rPr>
                <w:rFonts w:ascii="Arial Narrow" w:hAnsi="Arial Narrow" w:cs="Calibri"/>
                <w:sz w:val="20"/>
                <w:szCs w:val="20"/>
                <w:lang w:val="bg-BG"/>
              </w:rPr>
              <w:t>20</w:t>
            </w:r>
          </w:p>
        </w:tc>
      </w:tr>
      <w:tr w:rsidR="00E021C3" w:rsidRPr="00E021C3" w14:paraId="039D8A1D" w14:textId="77777777" w:rsidTr="00E021C3">
        <w:trPr>
          <w:trHeight w:val="315"/>
        </w:trPr>
        <w:tc>
          <w:tcPr>
            <w:tcW w:w="357" w:type="dxa"/>
            <w:tcBorders>
              <w:top w:val="nil"/>
              <w:left w:val="single" w:sz="4" w:space="0" w:color="auto"/>
              <w:bottom w:val="single" w:sz="4" w:space="0" w:color="auto"/>
              <w:right w:val="single" w:sz="4" w:space="0" w:color="auto"/>
            </w:tcBorders>
            <w:shd w:val="clear" w:color="auto" w:fill="auto"/>
            <w:vAlign w:val="center"/>
            <w:hideMark/>
          </w:tcPr>
          <w:p w14:paraId="14542600" w14:textId="77777777" w:rsidR="00690C5C" w:rsidRPr="00690C5C" w:rsidRDefault="00690C5C" w:rsidP="00690C5C">
            <w:pPr>
              <w:jc w:val="center"/>
              <w:rPr>
                <w:rFonts w:ascii="Arial Narrow" w:hAnsi="Arial Narrow" w:cs="Calibri"/>
                <w:sz w:val="20"/>
                <w:szCs w:val="20"/>
              </w:rPr>
            </w:pPr>
          </w:p>
        </w:tc>
        <w:tc>
          <w:tcPr>
            <w:tcW w:w="3888" w:type="dxa"/>
            <w:tcBorders>
              <w:top w:val="nil"/>
              <w:left w:val="nil"/>
              <w:bottom w:val="single" w:sz="4" w:space="0" w:color="auto"/>
              <w:right w:val="single" w:sz="4" w:space="0" w:color="auto"/>
            </w:tcBorders>
            <w:shd w:val="clear" w:color="auto" w:fill="auto"/>
            <w:vAlign w:val="center"/>
            <w:hideMark/>
          </w:tcPr>
          <w:p w14:paraId="7B42885E" w14:textId="77777777" w:rsidR="00690C5C" w:rsidRPr="00690C5C" w:rsidRDefault="00690C5C" w:rsidP="00690C5C">
            <w:pPr>
              <w:jc w:val="center"/>
              <w:rPr>
                <w:rFonts w:ascii="Arial Narrow" w:hAnsi="Arial Narrow" w:cs="Calibri"/>
                <w:b/>
                <w:bCs/>
                <w:sz w:val="20"/>
                <w:szCs w:val="20"/>
              </w:rPr>
            </w:pPr>
            <w:r w:rsidRPr="00690C5C">
              <w:rPr>
                <w:rFonts w:ascii="Arial Narrow" w:hAnsi="Arial Narrow" w:cs="Calibri"/>
                <w:b/>
                <w:bCs/>
                <w:sz w:val="20"/>
                <w:szCs w:val="20"/>
                <w:lang w:val="bg-BG"/>
              </w:rPr>
              <w:t>Общо</w:t>
            </w:r>
          </w:p>
        </w:tc>
        <w:tc>
          <w:tcPr>
            <w:tcW w:w="1150" w:type="dxa"/>
            <w:tcBorders>
              <w:top w:val="nil"/>
              <w:left w:val="nil"/>
              <w:bottom w:val="single" w:sz="4" w:space="0" w:color="auto"/>
              <w:right w:val="single" w:sz="4" w:space="0" w:color="auto"/>
            </w:tcBorders>
            <w:shd w:val="clear" w:color="auto" w:fill="auto"/>
            <w:vAlign w:val="center"/>
            <w:hideMark/>
          </w:tcPr>
          <w:p w14:paraId="42766B18" w14:textId="77777777" w:rsidR="00690C5C" w:rsidRPr="00690C5C" w:rsidRDefault="00690C5C" w:rsidP="00690C5C">
            <w:pPr>
              <w:jc w:val="right"/>
              <w:rPr>
                <w:rFonts w:ascii="Arial Narrow" w:hAnsi="Arial Narrow" w:cs="Calibri"/>
                <w:b/>
                <w:bCs/>
                <w:sz w:val="20"/>
                <w:szCs w:val="20"/>
              </w:rPr>
            </w:pPr>
            <w:r w:rsidRPr="00690C5C">
              <w:rPr>
                <w:rFonts w:ascii="Arial Narrow" w:hAnsi="Arial Narrow" w:cs="Calibri"/>
                <w:b/>
                <w:bCs/>
                <w:sz w:val="20"/>
                <w:szCs w:val="20"/>
                <w:lang w:val="bg-BG"/>
              </w:rPr>
              <w:t>1 062</w:t>
            </w:r>
          </w:p>
        </w:tc>
        <w:tc>
          <w:tcPr>
            <w:tcW w:w="1111" w:type="dxa"/>
            <w:tcBorders>
              <w:top w:val="nil"/>
              <w:left w:val="nil"/>
              <w:bottom w:val="single" w:sz="4" w:space="0" w:color="auto"/>
              <w:right w:val="single" w:sz="4" w:space="0" w:color="auto"/>
            </w:tcBorders>
            <w:shd w:val="clear" w:color="auto" w:fill="auto"/>
            <w:vAlign w:val="center"/>
            <w:hideMark/>
          </w:tcPr>
          <w:p w14:paraId="53F755C1" w14:textId="77777777" w:rsidR="00690C5C" w:rsidRPr="00690C5C" w:rsidRDefault="00690C5C" w:rsidP="00690C5C">
            <w:pPr>
              <w:jc w:val="right"/>
              <w:rPr>
                <w:rFonts w:ascii="Arial Narrow" w:hAnsi="Arial Narrow" w:cs="Calibri"/>
                <w:b/>
                <w:bCs/>
                <w:sz w:val="20"/>
                <w:szCs w:val="20"/>
                <w:lang w:val="bg-BG"/>
              </w:rPr>
            </w:pPr>
            <w:r w:rsidRPr="00690C5C">
              <w:rPr>
                <w:rFonts w:ascii="Arial Narrow" w:hAnsi="Arial Narrow" w:cs="Calibri"/>
                <w:b/>
                <w:bCs/>
                <w:sz w:val="20"/>
                <w:szCs w:val="20"/>
              </w:rPr>
              <w:t>1 0</w:t>
            </w:r>
            <w:r w:rsidRPr="00690C5C">
              <w:rPr>
                <w:rFonts w:ascii="Arial Narrow" w:hAnsi="Arial Narrow" w:cs="Calibri"/>
                <w:b/>
                <w:bCs/>
                <w:sz w:val="20"/>
                <w:szCs w:val="20"/>
                <w:lang w:val="bg-BG"/>
              </w:rPr>
              <w:t>72</w:t>
            </w:r>
          </w:p>
        </w:tc>
        <w:tc>
          <w:tcPr>
            <w:tcW w:w="1110" w:type="dxa"/>
            <w:tcBorders>
              <w:top w:val="nil"/>
              <w:left w:val="nil"/>
              <w:bottom w:val="single" w:sz="4" w:space="0" w:color="auto"/>
              <w:right w:val="single" w:sz="4" w:space="0" w:color="auto"/>
            </w:tcBorders>
            <w:shd w:val="clear" w:color="auto" w:fill="auto"/>
            <w:vAlign w:val="center"/>
            <w:hideMark/>
          </w:tcPr>
          <w:p w14:paraId="52A1A561" w14:textId="77777777" w:rsidR="00690C5C" w:rsidRPr="00690C5C" w:rsidRDefault="00690C5C" w:rsidP="00690C5C">
            <w:pPr>
              <w:jc w:val="right"/>
              <w:rPr>
                <w:rFonts w:ascii="Arial Narrow" w:hAnsi="Arial Narrow" w:cs="Calibri"/>
                <w:b/>
                <w:bCs/>
                <w:sz w:val="20"/>
                <w:szCs w:val="20"/>
                <w:lang w:val="bg-BG"/>
              </w:rPr>
            </w:pPr>
            <w:r w:rsidRPr="00690C5C">
              <w:rPr>
                <w:rFonts w:ascii="Arial Narrow" w:hAnsi="Arial Narrow" w:cs="Calibri"/>
                <w:b/>
                <w:bCs/>
                <w:sz w:val="20"/>
                <w:szCs w:val="20"/>
                <w:lang w:val="bg-BG"/>
              </w:rPr>
              <w:t>101</w:t>
            </w:r>
          </w:p>
        </w:tc>
        <w:tc>
          <w:tcPr>
            <w:tcW w:w="1114" w:type="dxa"/>
            <w:tcBorders>
              <w:top w:val="nil"/>
              <w:left w:val="nil"/>
              <w:bottom w:val="single" w:sz="4" w:space="0" w:color="auto"/>
              <w:right w:val="single" w:sz="4" w:space="0" w:color="auto"/>
            </w:tcBorders>
            <w:shd w:val="clear" w:color="auto" w:fill="auto"/>
            <w:vAlign w:val="center"/>
            <w:hideMark/>
          </w:tcPr>
          <w:p w14:paraId="1E525308" w14:textId="77777777" w:rsidR="00690C5C" w:rsidRPr="00690C5C" w:rsidRDefault="00690C5C" w:rsidP="00690C5C">
            <w:pPr>
              <w:jc w:val="right"/>
              <w:rPr>
                <w:rFonts w:ascii="Arial Narrow" w:hAnsi="Arial Narrow" w:cs="Calibri"/>
                <w:b/>
                <w:bCs/>
                <w:sz w:val="20"/>
                <w:szCs w:val="20"/>
              </w:rPr>
            </w:pPr>
            <w:r w:rsidRPr="00690C5C">
              <w:rPr>
                <w:rFonts w:ascii="Arial Narrow" w:hAnsi="Arial Narrow" w:cs="Calibri"/>
                <w:b/>
                <w:bCs/>
                <w:sz w:val="20"/>
                <w:szCs w:val="20"/>
                <w:lang w:val="bg-BG"/>
              </w:rPr>
              <w:t>122</w:t>
            </w:r>
          </w:p>
        </w:tc>
        <w:tc>
          <w:tcPr>
            <w:tcW w:w="1111" w:type="dxa"/>
            <w:tcBorders>
              <w:top w:val="nil"/>
              <w:left w:val="nil"/>
              <w:bottom w:val="single" w:sz="4" w:space="0" w:color="auto"/>
              <w:right w:val="single" w:sz="4" w:space="0" w:color="auto"/>
            </w:tcBorders>
            <w:shd w:val="clear" w:color="auto" w:fill="auto"/>
            <w:vAlign w:val="center"/>
            <w:hideMark/>
          </w:tcPr>
          <w:p w14:paraId="574816BF" w14:textId="77777777" w:rsidR="00690C5C" w:rsidRPr="00690C5C" w:rsidRDefault="00690C5C" w:rsidP="00690C5C">
            <w:pPr>
              <w:jc w:val="right"/>
              <w:rPr>
                <w:rFonts w:ascii="Arial Narrow" w:hAnsi="Arial Narrow" w:cs="Calibri"/>
                <w:b/>
                <w:bCs/>
                <w:sz w:val="20"/>
                <w:szCs w:val="20"/>
              </w:rPr>
            </w:pPr>
            <w:r w:rsidRPr="00690C5C">
              <w:rPr>
                <w:rFonts w:ascii="Arial Narrow" w:hAnsi="Arial Narrow" w:cs="Calibri"/>
                <w:b/>
                <w:bCs/>
                <w:sz w:val="20"/>
                <w:szCs w:val="20"/>
                <w:lang w:val="bg-BG"/>
              </w:rPr>
              <w:t>11</w:t>
            </w:r>
          </w:p>
        </w:tc>
      </w:tr>
    </w:tbl>
    <w:p w14:paraId="4DC81D27" w14:textId="77777777" w:rsidR="00690C5C" w:rsidRPr="00690C5C" w:rsidRDefault="00690C5C" w:rsidP="00690C5C">
      <w:pPr>
        <w:widowControl w:val="0"/>
        <w:spacing w:after="120"/>
        <w:jc w:val="both"/>
        <w:rPr>
          <w:rFonts w:ascii="Arial Narrow" w:hAnsi="Arial Narrow"/>
          <w:bCs/>
          <w:i/>
          <w:sz w:val="18"/>
          <w:szCs w:val="18"/>
          <w:lang w:val="bg-BG" w:eastAsia="bg-BG"/>
        </w:rPr>
      </w:pPr>
      <w:r w:rsidRPr="00690C5C">
        <w:rPr>
          <w:rFonts w:ascii="Arial Narrow" w:hAnsi="Arial Narrow"/>
          <w:bCs/>
          <w:i/>
          <w:sz w:val="18"/>
          <w:szCs w:val="18"/>
          <w:lang w:val="bg-BG" w:eastAsia="bg-BG"/>
        </w:rPr>
        <w:t xml:space="preserve">Източник: </w:t>
      </w:r>
      <w:r w:rsidRPr="00690C5C">
        <w:rPr>
          <w:rFonts w:ascii="Arial Narrow" w:hAnsi="Arial Narrow"/>
          <w:bCs/>
          <w:sz w:val="18"/>
          <w:szCs w:val="18"/>
          <w:lang w:val="bg-BG" w:eastAsia="bg-BG"/>
        </w:rPr>
        <w:t>БАБХ</w:t>
      </w:r>
      <w:r w:rsidRPr="00690C5C">
        <w:rPr>
          <w:rFonts w:ascii="Calibri" w:eastAsia="Calibri" w:hAnsi="Calibri"/>
          <w:sz w:val="20"/>
          <w:szCs w:val="20"/>
        </w:rPr>
        <w:t xml:space="preserve"> </w:t>
      </w:r>
      <w:r w:rsidRPr="00690C5C">
        <w:rPr>
          <w:rFonts w:ascii="Calibri" w:eastAsia="Calibri" w:hAnsi="Calibri"/>
          <w:sz w:val="20"/>
          <w:szCs w:val="20"/>
          <w:lang w:val="bg-BG"/>
        </w:rPr>
        <w:t>*</w:t>
      </w:r>
      <w:r w:rsidRPr="00690C5C">
        <w:rPr>
          <w:rFonts w:ascii="Arial Narrow" w:eastAsia="Calibri" w:hAnsi="Arial Narrow"/>
          <w:sz w:val="18"/>
          <w:szCs w:val="20"/>
          <w:lang w:val="bg-BG"/>
        </w:rPr>
        <w:t>една проба има наличие на немлечни мазнини, а 18 проби са несъответстващи по физикохимични показатели</w:t>
      </w:r>
    </w:p>
    <w:p w14:paraId="111337DD" w14:textId="77777777" w:rsidR="00690C5C" w:rsidRPr="00690C5C" w:rsidRDefault="00690C5C" w:rsidP="00690C5C">
      <w:pPr>
        <w:widowControl w:val="0"/>
        <w:spacing w:after="120"/>
        <w:ind w:firstLine="709"/>
        <w:jc w:val="both"/>
        <w:rPr>
          <w:rFonts w:ascii="Arial Narrow" w:hAnsi="Arial Narrow"/>
          <w:lang w:val="bg-BG" w:eastAsia="bg-BG"/>
        </w:rPr>
      </w:pPr>
      <w:r w:rsidRPr="00690C5C">
        <w:rPr>
          <w:rFonts w:ascii="Arial Narrow" w:hAnsi="Arial Narrow"/>
          <w:lang w:val="bg-BG" w:eastAsia="bg-BG"/>
        </w:rPr>
        <w:t xml:space="preserve">За всяко несъответствие е изпратена информация за предприемане на действия по компетентност. Неизпълнението на част от планираните проби се дължи на временно преустановяване дейността на част от обектите. </w:t>
      </w:r>
    </w:p>
    <w:p w14:paraId="2952D2D5" w14:textId="77777777" w:rsidR="00690C5C" w:rsidRPr="00690C5C" w:rsidRDefault="00690C5C" w:rsidP="00690C5C">
      <w:pPr>
        <w:widowControl w:val="0"/>
        <w:numPr>
          <w:ilvl w:val="0"/>
          <w:numId w:val="35"/>
        </w:numPr>
        <w:spacing w:after="120" w:line="276" w:lineRule="auto"/>
        <w:ind w:left="714" w:hanging="357"/>
        <w:jc w:val="both"/>
        <w:rPr>
          <w:rFonts w:ascii="Arial Narrow" w:hAnsi="Arial Narrow"/>
          <w:b/>
          <w:lang w:val="bg-BG" w:eastAsia="bg-BG"/>
        </w:rPr>
      </w:pPr>
      <w:r w:rsidRPr="00690C5C">
        <w:rPr>
          <w:rFonts w:ascii="Arial Narrow" w:hAnsi="Arial Narrow"/>
          <w:b/>
          <w:lang w:val="bg-BG" w:eastAsia="bg-BG"/>
        </w:rPr>
        <w:t xml:space="preserve">Национална програма за контрол на остатъци от пестициди в и върху храни (НПКОП) </w:t>
      </w:r>
      <w:r w:rsidR="00E021C3">
        <w:rPr>
          <w:rFonts w:ascii="Arial Narrow" w:hAnsi="Arial Narrow"/>
          <w:b/>
          <w:lang w:eastAsia="bg-BG"/>
        </w:rPr>
        <w:t xml:space="preserve">   </w:t>
      </w:r>
      <w:r w:rsidRPr="00690C5C">
        <w:rPr>
          <w:rFonts w:ascii="Arial Narrow" w:hAnsi="Arial Narrow"/>
          <w:b/>
          <w:lang w:val="bg-BG" w:eastAsia="bg-BG"/>
        </w:rPr>
        <w:t>2024 г.</w:t>
      </w:r>
    </w:p>
    <w:p w14:paraId="696EFC09" w14:textId="77777777" w:rsidR="00690C5C" w:rsidRPr="00690C5C" w:rsidRDefault="00690C5C" w:rsidP="00690C5C">
      <w:pPr>
        <w:spacing w:after="120"/>
        <w:ind w:firstLine="709"/>
        <w:jc w:val="both"/>
        <w:rPr>
          <w:rFonts w:ascii="Arial Narrow" w:hAnsi="Arial Narrow"/>
          <w:lang w:val="bg-BG" w:eastAsia="bg-BG"/>
        </w:rPr>
      </w:pPr>
      <w:r w:rsidRPr="00690C5C">
        <w:rPr>
          <w:rFonts w:ascii="Arial Narrow" w:hAnsi="Arial Narrow"/>
          <w:lang w:val="bg-BG" w:eastAsia="bg-BG"/>
        </w:rPr>
        <w:t xml:space="preserve">В изпълнение на НПКОП, през 2024 г. е планувано изследването на общо 425 броя проби храни, в т. ч. 12 броя проби от биологично производство. От тях, 195 проби са съгласно Регламент (ЕС) № 2023/731, а останалите 230 броя са в допълнение на Регламента. Изпълнени са общо 362 проби (333 от растителен произход и 29 от животински произход). Това представлява 85% изпълнение на програмата, при 66% през 2023 г. </w:t>
      </w:r>
    </w:p>
    <w:p w14:paraId="61C7CA1F" w14:textId="77777777" w:rsidR="00690C5C" w:rsidRPr="00690C5C" w:rsidRDefault="00690C5C" w:rsidP="00690C5C">
      <w:pPr>
        <w:spacing w:after="120"/>
        <w:ind w:firstLine="709"/>
        <w:jc w:val="both"/>
        <w:rPr>
          <w:rFonts w:ascii="Arial Narrow" w:hAnsi="Arial Narrow"/>
          <w:lang w:val="bg-BG" w:eastAsia="bg-BG"/>
        </w:rPr>
      </w:pPr>
      <w:r w:rsidRPr="00690C5C">
        <w:rPr>
          <w:rFonts w:ascii="Arial Narrow" w:hAnsi="Arial Narrow"/>
          <w:lang w:val="bg-BG" w:eastAsia="bg-BG"/>
        </w:rPr>
        <w:t>Причини за частично неизпълнение на плана – не са намерени налични матрици в търговската мрежа, липса на засети площи със съответните плодове и зеленчуци и липса на финансови средства за изпращане на пробите, за които лабораториите към БАБХ (ЦЛХИК и ЦЛВСЕЕ) нямат капацитет, във външни лаборатории (55 броя). При изпълнението на програмата са установени 19 несъответстващи резултати. Наблюдава се увеличение на установените несъответствия (5,2% от общия брой на изследваните проби за 2024 г., сравнено с 3,9% за 2023 г.).</w:t>
      </w:r>
    </w:p>
    <w:p w14:paraId="48A1F3D5" w14:textId="77777777" w:rsidR="00690C5C" w:rsidRPr="00690C5C" w:rsidRDefault="00690C5C" w:rsidP="00690C5C">
      <w:pPr>
        <w:widowControl w:val="0"/>
        <w:numPr>
          <w:ilvl w:val="0"/>
          <w:numId w:val="35"/>
        </w:numPr>
        <w:spacing w:after="120" w:line="276" w:lineRule="auto"/>
        <w:ind w:left="714" w:hanging="357"/>
        <w:jc w:val="both"/>
        <w:rPr>
          <w:rFonts w:ascii="Arial Narrow" w:hAnsi="Arial Narrow"/>
          <w:b/>
          <w:lang w:val="bg-BG" w:eastAsia="bg-BG"/>
        </w:rPr>
      </w:pPr>
      <w:r w:rsidRPr="00690C5C">
        <w:rPr>
          <w:rFonts w:ascii="Arial Narrow" w:hAnsi="Arial Narrow"/>
          <w:b/>
          <w:lang w:val="bg-BG" w:eastAsia="bg-BG"/>
        </w:rPr>
        <w:t xml:space="preserve">Национална програма за контрол на храни и материали и предмети за контакт с храни за добавки, химични и микробиологични замърсители и контрол на храни, обработени с йонизиращи лъчения 2024 г. </w:t>
      </w:r>
    </w:p>
    <w:p w14:paraId="081413CA" w14:textId="77777777" w:rsidR="00690C5C" w:rsidRPr="00690C5C" w:rsidRDefault="00690C5C" w:rsidP="00690C5C">
      <w:pPr>
        <w:widowControl w:val="0"/>
        <w:autoSpaceDE w:val="0"/>
        <w:autoSpaceDN w:val="0"/>
        <w:adjustRightInd w:val="0"/>
        <w:spacing w:after="120"/>
        <w:ind w:firstLine="714"/>
        <w:jc w:val="both"/>
        <w:rPr>
          <w:rFonts w:ascii="Arial Narrow" w:eastAsia="Calibri" w:hAnsi="Arial Narrow"/>
          <w:lang w:val="bg-BG"/>
        </w:rPr>
      </w:pPr>
      <w:r w:rsidRPr="00690C5C">
        <w:rPr>
          <w:rFonts w:ascii="Arial Narrow" w:eastAsia="Calibri" w:hAnsi="Arial Narrow"/>
          <w:lang w:val="bg-BG"/>
        </w:rPr>
        <w:t xml:space="preserve">В Програмата се въвеждат изискванията на редица регламенти, специфични за отделните </w:t>
      </w:r>
      <w:r w:rsidRPr="00690C5C">
        <w:rPr>
          <w:rFonts w:ascii="Arial Narrow" w:eastAsia="Calibri" w:hAnsi="Arial Narrow"/>
          <w:lang w:val="bg-BG"/>
        </w:rPr>
        <w:lastRenderedPageBreak/>
        <w:t xml:space="preserve">замърсители. За 2024 г. по нея е планирано провеждането на лабораторни изпитвания, както следва: 704 проби за съдържание на химични замърсители; 96 проби за съдържание на добавки в храни; 24 проби материали и предмети предназначени за контакт с храни; 3 проби храни обработени с йонизиращи лъчения; 670 проби за съдържание на микробиологични замърсители в храни от растителен произход; 56 проби за нитрити; 4 552 проби за микробиологични замърсители в храни от животински произход, готови за консумация храни, лед от производители на лед и вода за питейно-битови нужди. </w:t>
      </w:r>
    </w:p>
    <w:p w14:paraId="0547E4F5" w14:textId="77777777" w:rsidR="00690C5C" w:rsidRPr="00690C5C" w:rsidRDefault="00690C5C" w:rsidP="00690C5C">
      <w:pPr>
        <w:widowControl w:val="0"/>
        <w:autoSpaceDE w:val="0"/>
        <w:autoSpaceDN w:val="0"/>
        <w:adjustRightInd w:val="0"/>
        <w:spacing w:after="120"/>
        <w:ind w:firstLine="714"/>
        <w:jc w:val="both"/>
        <w:rPr>
          <w:rFonts w:ascii="Arial Narrow" w:eastAsia="Calibri" w:hAnsi="Arial Narrow"/>
          <w:lang w:val="bg-BG"/>
        </w:rPr>
      </w:pPr>
      <w:r w:rsidRPr="00690C5C">
        <w:rPr>
          <w:rFonts w:ascii="Arial Narrow" w:eastAsia="Calibri" w:hAnsi="Arial Narrow"/>
          <w:lang w:val="bg-BG"/>
        </w:rPr>
        <w:t>Изпълнението на тази програма през 2024 г. е както следва:</w:t>
      </w:r>
    </w:p>
    <w:p w14:paraId="322743CD" w14:textId="77777777" w:rsidR="00690C5C" w:rsidRPr="00690C5C" w:rsidRDefault="00690C5C" w:rsidP="00690C5C">
      <w:pPr>
        <w:numPr>
          <w:ilvl w:val="0"/>
          <w:numId w:val="11"/>
        </w:numPr>
        <w:overflowPunct w:val="0"/>
        <w:autoSpaceDE w:val="0"/>
        <w:autoSpaceDN w:val="0"/>
        <w:adjustRightInd w:val="0"/>
        <w:spacing w:after="120" w:line="276" w:lineRule="auto"/>
        <w:ind w:left="714" w:hanging="357"/>
        <w:jc w:val="both"/>
        <w:rPr>
          <w:rFonts w:ascii="Arial Narrow" w:eastAsia="Calibri" w:hAnsi="Arial Narrow"/>
          <w:lang w:val="bg-BG"/>
        </w:rPr>
      </w:pPr>
      <w:r w:rsidRPr="00690C5C">
        <w:rPr>
          <w:rFonts w:ascii="Arial Narrow" w:eastAsia="Calibri" w:hAnsi="Arial Narrow"/>
          <w:lang w:val="bg-BG"/>
        </w:rPr>
        <w:t>За микробиологични замърсители са изследвани следния брой проби: от производствени предприятия – 19 831 проби, от търговска мрежа – 3 048 проби, от обекти по Наредба № 26 от 2010 г. – 369 проби, извънпланови проби – 451 броя. От изследванията за микробиологични замърсители са получени 488 несъответстващи резултата (салмонела, ешерихия коли, листерия, ентеробактерии). Изследвани за хистамин са 56 проби, при което е установено 1 несъответствие. Изследвани за трихинела са 1 727 154 проби от свине и 146 проби от коне. Установени са несъответствия за трихинела предимно в диви свине;</w:t>
      </w:r>
    </w:p>
    <w:p w14:paraId="2760DD2D" w14:textId="77777777" w:rsidR="00690C5C" w:rsidRPr="00690C5C" w:rsidRDefault="00690C5C" w:rsidP="00690C5C">
      <w:pPr>
        <w:numPr>
          <w:ilvl w:val="0"/>
          <w:numId w:val="11"/>
        </w:numPr>
        <w:overflowPunct w:val="0"/>
        <w:autoSpaceDE w:val="0"/>
        <w:autoSpaceDN w:val="0"/>
        <w:adjustRightInd w:val="0"/>
        <w:spacing w:after="120" w:line="276" w:lineRule="auto"/>
        <w:ind w:left="714" w:hanging="357"/>
        <w:jc w:val="both"/>
        <w:rPr>
          <w:rFonts w:ascii="Arial Narrow" w:eastAsia="Calibri" w:hAnsi="Arial Narrow"/>
          <w:lang w:val="bg-BG"/>
        </w:rPr>
      </w:pPr>
      <w:r w:rsidRPr="00690C5C">
        <w:rPr>
          <w:rFonts w:ascii="Arial Narrow" w:eastAsia="Calibri" w:hAnsi="Arial Narrow"/>
          <w:lang w:val="bg-BG"/>
        </w:rPr>
        <w:t xml:space="preserve">За химични замърсители в храни от растителен произход са изследвани общо 287 броя проби, от които 38 проби за нитрати с установено 1 несъответствие, за микотоксини – 118 проби с 4 несъответствия, тежки метали – 130 проби с установени 2 несъответствия; </w:t>
      </w:r>
    </w:p>
    <w:p w14:paraId="4A11C8AF" w14:textId="77777777" w:rsidR="00690C5C" w:rsidRPr="00690C5C" w:rsidRDefault="00690C5C" w:rsidP="00690C5C">
      <w:pPr>
        <w:numPr>
          <w:ilvl w:val="0"/>
          <w:numId w:val="11"/>
        </w:numPr>
        <w:overflowPunct w:val="0"/>
        <w:autoSpaceDE w:val="0"/>
        <w:autoSpaceDN w:val="0"/>
        <w:adjustRightInd w:val="0"/>
        <w:spacing w:after="120" w:line="276" w:lineRule="auto"/>
        <w:ind w:left="714" w:hanging="357"/>
        <w:jc w:val="both"/>
        <w:rPr>
          <w:rFonts w:ascii="Arial Narrow" w:eastAsia="Calibri" w:hAnsi="Arial Narrow"/>
          <w:lang w:val="bg-BG"/>
        </w:rPr>
      </w:pPr>
      <w:r w:rsidRPr="00690C5C">
        <w:rPr>
          <w:rFonts w:ascii="Arial Narrow" w:eastAsia="Calibri" w:hAnsi="Arial Narrow"/>
          <w:lang w:val="bg-BG"/>
        </w:rPr>
        <w:t>За химични замърсители в храни от животински произход са изследвани общо 155 проби - за съдържание на халогенирани устойчиви органични замърсители (полихлорирани бифенили – PCBs, метали – (олово, кадмий, живак), микотоксини (афлатоксин М1) и радионуклиди. Установени са 2 несъответствия (живак в черен дроб от агне, афлатоксин М1 в сурово козе мляко).</w:t>
      </w:r>
    </w:p>
    <w:p w14:paraId="274CCA67" w14:textId="77777777" w:rsidR="00690C5C" w:rsidRPr="00690C5C" w:rsidRDefault="00690C5C" w:rsidP="00690C5C">
      <w:pPr>
        <w:overflowPunct w:val="0"/>
        <w:autoSpaceDE w:val="0"/>
        <w:autoSpaceDN w:val="0"/>
        <w:adjustRightInd w:val="0"/>
        <w:spacing w:after="120"/>
        <w:ind w:firstLine="709"/>
        <w:jc w:val="both"/>
        <w:rPr>
          <w:rFonts w:ascii="Arial Narrow" w:eastAsia="Calibri" w:hAnsi="Arial Narrow"/>
          <w:lang w:val="bg-BG"/>
        </w:rPr>
      </w:pPr>
      <w:r w:rsidRPr="00690C5C">
        <w:rPr>
          <w:rFonts w:ascii="Arial Narrow" w:eastAsia="Calibri" w:hAnsi="Arial Narrow"/>
          <w:lang w:val="bg-BG"/>
        </w:rPr>
        <w:t>През 2024 г. е намален броят на плануваните изследвания за химични и микробиологични замърсители спрямо 2023 г. Процентът на изпълнение на плана за изследвания за химични замърсители достига 63%, при 56% през 2023 г. Увеличава се броят на изпълнените изследвания за трихинела. Спрямо 2023 г. е установено нарастване на дела на установени несъответствия от общия брой на взетите проби (от 1,15% за 2023 г. на 2,06% за 2024 г.).</w:t>
      </w:r>
    </w:p>
    <w:p w14:paraId="47FD8950" w14:textId="77777777" w:rsidR="00690C5C" w:rsidRPr="00690C5C" w:rsidRDefault="00690C5C" w:rsidP="00690C5C">
      <w:pPr>
        <w:widowControl w:val="0"/>
        <w:autoSpaceDE w:val="0"/>
        <w:autoSpaceDN w:val="0"/>
        <w:adjustRightInd w:val="0"/>
        <w:spacing w:after="120"/>
        <w:ind w:firstLine="714"/>
        <w:jc w:val="both"/>
        <w:rPr>
          <w:rFonts w:ascii="Arial Narrow" w:eastAsia="Calibri" w:hAnsi="Arial Narrow"/>
          <w:lang w:val="bg-BG"/>
        </w:rPr>
      </w:pPr>
      <w:r w:rsidRPr="00690C5C">
        <w:rPr>
          <w:rFonts w:ascii="Arial Narrow" w:eastAsia="Calibri" w:hAnsi="Arial Narrow"/>
          <w:lang w:val="bg-BG"/>
        </w:rPr>
        <w:t xml:space="preserve">Изпълнението на Програмата през годината е затруднено от забавяне при нейното утвърждаване и неизпълнение на част от пробите, поради липса на финансови средства за заплащане на външни лаборатории. </w:t>
      </w:r>
    </w:p>
    <w:p w14:paraId="6489AF3B" w14:textId="77777777" w:rsidR="00690C5C" w:rsidRPr="00690C5C" w:rsidRDefault="00690C5C" w:rsidP="00690C5C">
      <w:pPr>
        <w:widowControl w:val="0"/>
        <w:numPr>
          <w:ilvl w:val="0"/>
          <w:numId w:val="35"/>
        </w:numPr>
        <w:spacing w:after="120" w:line="276" w:lineRule="auto"/>
        <w:ind w:left="714" w:hanging="357"/>
        <w:jc w:val="both"/>
        <w:rPr>
          <w:rFonts w:ascii="Arial Narrow" w:hAnsi="Arial Narrow"/>
          <w:b/>
          <w:lang w:val="bg-BG" w:eastAsia="bg-BG"/>
        </w:rPr>
      </w:pPr>
      <w:r w:rsidRPr="00690C5C">
        <w:rPr>
          <w:rFonts w:ascii="Arial Narrow" w:hAnsi="Arial Narrow"/>
          <w:b/>
          <w:lang w:val="bg-BG" w:eastAsia="bg-BG"/>
        </w:rPr>
        <w:t>Програма за мониторинг и докладване на антимикробиалната резистентност на зоонозни и коменсални бактерии в Република България (АМР) 2024 г.</w:t>
      </w:r>
    </w:p>
    <w:p w14:paraId="11145D3A" w14:textId="77777777" w:rsidR="00690C5C" w:rsidRPr="00690C5C" w:rsidRDefault="00690C5C" w:rsidP="00690C5C">
      <w:pPr>
        <w:widowControl w:val="0"/>
        <w:spacing w:after="120"/>
        <w:ind w:firstLine="709"/>
        <w:jc w:val="both"/>
        <w:rPr>
          <w:rFonts w:ascii="Arial Narrow" w:eastAsia="Calibri" w:hAnsi="Arial Narrow"/>
          <w:lang w:val="bg-BG"/>
        </w:rPr>
      </w:pPr>
      <w:r w:rsidRPr="00690C5C">
        <w:rPr>
          <w:rFonts w:ascii="Arial Narrow" w:eastAsia="Calibri" w:hAnsi="Arial Narrow"/>
          <w:lang w:val="bg-BG"/>
        </w:rPr>
        <w:t>Мониторингът на антимикробиалната резистентност се извършва чрез вземане на проби от различните популации животни, отглеждани за производство на храни, както и от прясно месо, получено от тях. През 2023 г. по Програмата е планирано вземането на проби от заклани птици от предприятията за добив на птиче месо (456 броя проби) и проби от птиче месо с произход България, други държави членки на ЕС и трети страни от търговски обекти (150 проби от месо от бройлери и 150 проби от месо от пуйки). Вземането на проби от цекумно съдържание е на случаен принцип само от заклани местно отглеждани домашни птици, като планирането е пропорционално на годишния капацитет на съответната кланица.</w:t>
      </w:r>
    </w:p>
    <w:p w14:paraId="55493809" w14:textId="77777777" w:rsidR="00690C5C" w:rsidRPr="00690C5C" w:rsidRDefault="00690C5C" w:rsidP="00690C5C">
      <w:pPr>
        <w:widowControl w:val="0"/>
        <w:spacing w:after="120"/>
        <w:ind w:firstLine="709"/>
        <w:jc w:val="both"/>
        <w:rPr>
          <w:rFonts w:ascii="Arial Narrow" w:eastAsia="Calibri" w:hAnsi="Arial Narrow"/>
          <w:lang w:val="bg-BG"/>
        </w:rPr>
      </w:pPr>
      <w:r w:rsidRPr="00690C5C">
        <w:rPr>
          <w:rFonts w:ascii="Arial Narrow" w:eastAsia="Calibri" w:hAnsi="Arial Narrow"/>
          <w:lang w:val="bg-BG"/>
        </w:rPr>
        <w:t>Изпълнението на Програмата за 2024 г. Програмата е на 98%. За годината са планирани 456 проби от цекумно съдържание на заклани домашни птици и са изпълнени 442 броя (не са изпълнени 14 проби, поради липса на производство). По отношение на пробите от охладено месо от домашни птици от търговската мрежа от бройлери и пуйки са планирани и изпълнени по 150 проби от съответния вид птици.</w:t>
      </w:r>
    </w:p>
    <w:p w14:paraId="74F7936C" w14:textId="77777777" w:rsidR="00690C5C" w:rsidRPr="00690C5C" w:rsidRDefault="00690C5C" w:rsidP="00690C5C">
      <w:pPr>
        <w:widowControl w:val="0"/>
        <w:numPr>
          <w:ilvl w:val="0"/>
          <w:numId w:val="35"/>
        </w:numPr>
        <w:spacing w:after="120" w:line="276" w:lineRule="auto"/>
        <w:ind w:left="714" w:hanging="357"/>
        <w:jc w:val="both"/>
        <w:rPr>
          <w:rFonts w:ascii="Arial Narrow" w:hAnsi="Arial Narrow"/>
          <w:b/>
          <w:lang w:val="bg-BG" w:eastAsia="bg-BG"/>
        </w:rPr>
      </w:pPr>
      <w:r w:rsidRPr="00690C5C">
        <w:rPr>
          <w:rFonts w:ascii="Arial Narrow" w:hAnsi="Arial Narrow"/>
          <w:b/>
          <w:lang w:val="bg-BG" w:eastAsia="bg-BG"/>
        </w:rPr>
        <w:t>Национална програма за контрол на генетично модифицирани храни (НПКГМХ) 2024 г.</w:t>
      </w:r>
    </w:p>
    <w:p w14:paraId="58DF947D" w14:textId="77777777" w:rsidR="00690C5C" w:rsidRPr="00690C5C" w:rsidRDefault="00690C5C" w:rsidP="00690C5C">
      <w:pPr>
        <w:widowControl w:val="0"/>
        <w:spacing w:after="120"/>
        <w:ind w:firstLine="709"/>
        <w:jc w:val="both"/>
        <w:rPr>
          <w:rFonts w:ascii="Arial Narrow" w:hAnsi="Arial Narrow"/>
          <w:lang w:val="bg-BG" w:eastAsia="bg-BG"/>
        </w:rPr>
      </w:pPr>
      <w:r w:rsidRPr="00690C5C">
        <w:rPr>
          <w:rFonts w:ascii="Arial Narrow" w:hAnsi="Arial Narrow"/>
          <w:lang w:val="bg-BG" w:eastAsia="bg-BG"/>
        </w:rPr>
        <w:t>При контрола на генетично модифицирани храни през 2024 г. е планирано вземането</w:t>
      </w:r>
      <w:r w:rsidRPr="00690C5C">
        <w:rPr>
          <w:rFonts w:ascii="Calibri" w:eastAsia="Calibri" w:hAnsi="Calibri"/>
          <w:sz w:val="22"/>
          <w:szCs w:val="22"/>
        </w:rPr>
        <w:t xml:space="preserve"> </w:t>
      </w:r>
      <w:r w:rsidRPr="00690C5C">
        <w:rPr>
          <w:rFonts w:ascii="Arial Narrow" w:hAnsi="Arial Narrow"/>
          <w:lang w:val="bg-BG" w:eastAsia="bg-BG"/>
        </w:rPr>
        <w:t xml:space="preserve">на 89 броя проби за лабораторно изпитване от суровини – соеви, рапични и/или царевични, които се използват в производствата на храни; от храни готови за консумация - месни продукти, соеви храни, вафли, царевични </w:t>
      </w:r>
      <w:r w:rsidRPr="00690C5C">
        <w:rPr>
          <w:rFonts w:ascii="Arial Narrow" w:hAnsi="Arial Narrow"/>
          <w:lang w:val="bg-BG" w:eastAsia="bg-BG"/>
        </w:rPr>
        <w:lastRenderedPageBreak/>
        <w:t xml:space="preserve">чипсове/снаксове, пуканки, царевичен хляб, шоколад и шоколадови изделия; храни за кърмачета и малки деца на соева и/или царевична основа, адаптирано мляко, предназначено за кърмачета и от ориз и оризови продукти. Това включва 7 проби от храни от биологично производство. </w:t>
      </w:r>
    </w:p>
    <w:p w14:paraId="14505BCD" w14:textId="77777777" w:rsidR="00690C5C" w:rsidRPr="00690C5C" w:rsidRDefault="00690C5C" w:rsidP="00690C5C">
      <w:pPr>
        <w:widowControl w:val="0"/>
        <w:spacing w:after="120"/>
        <w:ind w:firstLine="709"/>
        <w:jc w:val="both"/>
        <w:rPr>
          <w:rFonts w:ascii="Arial Narrow" w:hAnsi="Arial Narrow"/>
          <w:lang w:val="bg-BG" w:eastAsia="bg-BG"/>
        </w:rPr>
      </w:pPr>
      <w:r w:rsidRPr="00690C5C">
        <w:rPr>
          <w:rFonts w:ascii="Arial Narrow" w:hAnsi="Arial Narrow"/>
          <w:lang w:val="bg-BG" w:eastAsia="bg-BG"/>
        </w:rPr>
        <w:t>През годината са изследвани общо 85 проби.</w:t>
      </w:r>
      <w:r w:rsidRPr="00690C5C">
        <w:rPr>
          <w:rFonts w:ascii="Calibri" w:eastAsia="Calibri" w:hAnsi="Calibri"/>
          <w:sz w:val="22"/>
          <w:szCs w:val="22"/>
        </w:rPr>
        <w:t xml:space="preserve"> </w:t>
      </w:r>
      <w:r w:rsidRPr="00690C5C">
        <w:rPr>
          <w:rFonts w:ascii="Arial Narrow" w:hAnsi="Arial Narrow"/>
          <w:lang w:val="bg-BG" w:eastAsia="bg-BG"/>
        </w:rPr>
        <w:t xml:space="preserve">При извършените анализи е установено наличие на ГМО над допустимата граница от 0,9% в продукт - печена соя. От компетентните органи са предприети необходимите действия. От заложения план не са изпълнени 4 проби, поради липсата на съответните продукти на пазара. </w:t>
      </w:r>
    </w:p>
    <w:p w14:paraId="69DE7986" w14:textId="77777777" w:rsidR="00690C5C" w:rsidRPr="00690C5C" w:rsidRDefault="00690C5C" w:rsidP="00690C5C">
      <w:pPr>
        <w:widowControl w:val="0"/>
        <w:spacing w:after="120"/>
        <w:ind w:firstLine="709"/>
        <w:jc w:val="both"/>
        <w:rPr>
          <w:rFonts w:ascii="Arial Narrow" w:hAnsi="Arial Narrow"/>
          <w:lang w:val="bg-BG" w:eastAsia="bg-BG"/>
        </w:rPr>
      </w:pPr>
      <w:r w:rsidRPr="00690C5C">
        <w:rPr>
          <w:rFonts w:ascii="Arial Narrow" w:hAnsi="Arial Narrow"/>
          <w:lang w:val="bg-BG" w:eastAsia="bg-BG"/>
        </w:rPr>
        <w:t>Относно предприемане на спешни мерки във връзка с неразрешен генетично модифициран ориз в оризови продукти с произход от Китай и съгласно изискванията на законодателството на ЕС, въведените през 2024 г. общо 5 пратки ориз са подложени на 100% документален контрол, проверка за идентичност и физически контрол с включен лабораторен анализ за наличие на неразрешен ГМО. При лабораторното изпитване на пробите няма констатирани несъответствия.</w:t>
      </w:r>
    </w:p>
    <w:p w14:paraId="16E8F069" w14:textId="77777777" w:rsidR="00690C5C" w:rsidRPr="00690C5C" w:rsidRDefault="00690C5C" w:rsidP="00690C5C">
      <w:pPr>
        <w:widowControl w:val="0"/>
        <w:numPr>
          <w:ilvl w:val="0"/>
          <w:numId w:val="35"/>
        </w:numPr>
        <w:spacing w:after="120" w:line="276" w:lineRule="auto"/>
        <w:ind w:left="714" w:hanging="357"/>
        <w:jc w:val="both"/>
        <w:rPr>
          <w:rFonts w:ascii="Arial Narrow" w:hAnsi="Arial Narrow"/>
          <w:b/>
          <w:lang w:val="bg-BG" w:eastAsia="bg-BG"/>
        </w:rPr>
      </w:pPr>
      <w:r w:rsidRPr="00690C5C">
        <w:rPr>
          <w:rFonts w:ascii="Arial Narrow" w:hAnsi="Arial Narrow"/>
          <w:b/>
          <w:lang w:val="bg-BG" w:eastAsia="bg-BG"/>
        </w:rPr>
        <w:t xml:space="preserve">Национална мониторингова програма за извършване на официален контрол на употребата на фармакологично активни субстанции, разрешени като ветеринарни лекарствени продукти или като фуражни добавки, и на забранени или неразрешени фармакологично активни субстанции и остатъци от тях в живи животни и продукти от животински произход (НМПКО) 2024 г. </w:t>
      </w:r>
    </w:p>
    <w:p w14:paraId="015BA0C0" w14:textId="77777777" w:rsidR="00690C5C" w:rsidRPr="00690C5C" w:rsidRDefault="00690C5C" w:rsidP="00690C5C">
      <w:pPr>
        <w:widowControl w:val="0"/>
        <w:spacing w:after="120"/>
        <w:ind w:firstLine="709"/>
        <w:jc w:val="both"/>
        <w:rPr>
          <w:rFonts w:ascii="Arial Narrow" w:hAnsi="Arial Narrow"/>
          <w:lang w:val="bg-BG" w:eastAsia="bg-BG"/>
        </w:rPr>
      </w:pPr>
      <w:r w:rsidRPr="00690C5C">
        <w:rPr>
          <w:rFonts w:ascii="Arial Narrow" w:hAnsi="Arial Narrow"/>
          <w:lang w:val="bg-BG" w:eastAsia="bg-BG"/>
        </w:rPr>
        <w:t xml:space="preserve">НМПКО е одобрена от Европейската комисия. Съгласно изискванията на законодателството, към Програмата са разработени и се изпълняват три плана: </w:t>
      </w:r>
    </w:p>
    <w:p w14:paraId="3332867F" w14:textId="77777777" w:rsidR="00690C5C" w:rsidRPr="00690C5C" w:rsidRDefault="00690C5C" w:rsidP="009C6577">
      <w:pPr>
        <w:numPr>
          <w:ilvl w:val="0"/>
          <w:numId w:val="42"/>
        </w:numPr>
        <w:spacing w:after="120" w:line="276" w:lineRule="auto"/>
        <w:ind w:left="714" w:hanging="357"/>
        <w:jc w:val="both"/>
        <w:rPr>
          <w:rFonts w:ascii="Arial Narrow" w:hAnsi="Arial Narrow"/>
          <w:lang w:val="bg-BG" w:eastAsia="bg-BG"/>
        </w:rPr>
      </w:pPr>
      <w:r w:rsidRPr="00690C5C">
        <w:rPr>
          <w:rFonts w:ascii="Arial Narrow" w:hAnsi="Arial Narrow"/>
          <w:lang w:val="bg-BG" w:eastAsia="bg-BG"/>
        </w:rPr>
        <w:t>Основан на риска национален план за контрол на производството, изпълняван с цел проверка на съответствието на животните за производство на храни и на продуктите от животински произход, с изискванията на законодателството</w:t>
      </w:r>
      <w:r w:rsidRPr="00690C5C">
        <w:rPr>
          <w:rFonts w:ascii="Arial Narrow" w:hAnsi="Arial Narrow"/>
          <w:lang w:val="ru-RU" w:eastAsia="bg-BG"/>
        </w:rPr>
        <w:t xml:space="preserve"> - </w:t>
      </w:r>
      <w:r w:rsidRPr="00690C5C">
        <w:rPr>
          <w:rFonts w:ascii="Arial Narrow" w:hAnsi="Arial Narrow"/>
          <w:lang w:val="bg-BG" w:eastAsia="bg-BG"/>
        </w:rPr>
        <w:t xml:space="preserve">планирано е вземането и изследването на 1 585 броя проби, от които са изпълнени 1 362 проби; </w:t>
      </w:r>
    </w:p>
    <w:p w14:paraId="345E7813" w14:textId="77777777" w:rsidR="00690C5C" w:rsidRPr="00690C5C" w:rsidRDefault="00690C5C" w:rsidP="009C6577">
      <w:pPr>
        <w:numPr>
          <w:ilvl w:val="0"/>
          <w:numId w:val="42"/>
        </w:numPr>
        <w:spacing w:after="120" w:line="276" w:lineRule="auto"/>
        <w:ind w:left="714" w:hanging="357"/>
        <w:jc w:val="both"/>
        <w:rPr>
          <w:rFonts w:ascii="Arial Narrow" w:hAnsi="Arial Narrow"/>
          <w:lang w:val="bg-BG" w:eastAsia="bg-BG"/>
        </w:rPr>
      </w:pPr>
      <w:r w:rsidRPr="00690C5C">
        <w:rPr>
          <w:rFonts w:ascii="Arial Narrow" w:hAnsi="Arial Narrow"/>
          <w:lang w:val="bg-BG" w:eastAsia="bg-BG"/>
        </w:rPr>
        <w:t>Национален план за рандомизирано наблюдение на производството, чрез изпълнението на който, се осигурява наблюдение за широк набор от фармакологично активни субстанции, разрешени като ветеринарни лекарствени продукти или като фуражни добавки, както и на забранени или неразрешени фармакологично активни субстанции и остатъци от тях вещества, въз основа на случайно вземане на проби - планирано е вземането и изследването на 120 проби, от които са изпълнени 107 проби;</w:t>
      </w:r>
    </w:p>
    <w:p w14:paraId="27315040" w14:textId="77777777" w:rsidR="00690C5C" w:rsidRPr="00690C5C" w:rsidRDefault="00690C5C" w:rsidP="009C6577">
      <w:pPr>
        <w:numPr>
          <w:ilvl w:val="0"/>
          <w:numId w:val="42"/>
        </w:numPr>
        <w:spacing w:after="120" w:line="276" w:lineRule="auto"/>
        <w:jc w:val="both"/>
        <w:rPr>
          <w:rFonts w:ascii="Arial Narrow" w:hAnsi="Arial Narrow"/>
          <w:lang w:val="bg-BG" w:eastAsia="bg-BG"/>
        </w:rPr>
      </w:pPr>
      <w:r w:rsidRPr="00690C5C">
        <w:rPr>
          <w:rFonts w:ascii="Arial Narrow" w:hAnsi="Arial Narrow"/>
          <w:lang w:val="ru-RU" w:eastAsia="bg-BG"/>
        </w:rPr>
        <w:t>О</w:t>
      </w:r>
      <w:r w:rsidRPr="00690C5C">
        <w:rPr>
          <w:rFonts w:ascii="Arial Narrow" w:hAnsi="Arial Narrow"/>
          <w:lang w:val="bg-BG" w:eastAsia="bg-BG"/>
        </w:rPr>
        <w:t>снован на риска национален план за контрол на животни за производство на храни и на продукти от животински произход, които се въвеждат в Съюза и са предназначени за пускане на пазара на Съюза през техните гранични контролни пунктове (ГКП). Контролът, осъществяван в рамките на този план е част от официалния контрол на ГКП - планирано е вземането и изследването на 195 проби, от които са изпълнени 144 проби.</w:t>
      </w:r>
    </w:p>
    <w:p w14:paraId="29E07331" w14:textId="77777777" w:rsidR="00690C5C" w:rsidRPr="00690C5C" w:rsidRDefault="00690C5C" w:rsidP="00690C5C">
      <w:pPr>
        <w:spacing w:after="120"/>
        <w:ind w:firstLine="709"/>
        <w:jc w:val="both"/>
        <w:rPr>
          <w:rFonts w:ascii="Arial Narrow" w:hAnsi="Arial Narrow"/>
          <w:lang w:val="bg-BG" w:eastAsia="bg-BG"/>
        </w:rPr>
      </w:pPr>
      <w:r w:rsidRPr="00690C5C">
        <w:rPr>
          <w:rFonts w:ascii="Arial Narrow" w:hAnsi="Arial Narrow"/>
          <w:lang w:val="bg-BG" w:eastAsia="bg-BG"/>
        </w:rPr>
        <w:t xml:space="preserve">През 2024 г. се наблюдава 85% изпълнение на заложените за трите плана проби. В сравнение с 2023 г. е налице намаление както на планираните, така и на взетите проби. Отчита се леко понижение на процента на неизпълнените анализи до 15%, при 16% през 2023 г. Установени са 2 несъответстващи резултата, при едно несъответствие  през предходната година. </w:t>
      </w:r>
    </w:p>
    <w:p w14:paraId="22AFE905" w14:textId="77777777" w:rsidR="00690C5C" w:rsidRPr="00690C5C" w:rsidRDefault="00690C5C" w:rsidP="00690C5C">
      <w:pPr>
        <w:spacing w:after="120"/>
        <w:ind w:firstLine="709"/>
        <w:jc w:val="both"/>
        <w:rPr>
          <w:rFonts w:ascii="Arial Narrow" w:hAnsi="Arial Narrow"/>
          <w:lang w:val="bg-BG" w:eastAsia="bg-BG"/>
        </w:rPr>
      </w:pPr>
      <w:r w:rsidRPr="00690C5C">
        <w:rPr>
          <w:rFonts w:ascii="Arial Narrow" w:hAnsi="Arial Narrow"/>
          <w:lang w:val="bg-BG" w:eastAsia="bg-BG"/>
        </w:rPr>
        <w:t>За външни лаборатории общо за трите плана са определени 83 броя проби, от които са изпълнени 8 проби. Изпълнението съставлява 9,6% от изпълнените проби за външни лаборатории по Националната програма за 2024 г. Установени са две несъответствия (хлорамфеникол в кръвен серум от прасе и стрептомицин в пчелен мед).</w:t>
      </w:r>
    </w:p>
    <w:p w14:paraId="518B2837" w14:textId="77777777" w:rsidR="00690C5C" w:rsidRPr="00690C5C" w:rsidRDefault="00690C5C" w:rsidP="00690C5C">
      <w:pPr>
        <w:spacing w:after="120"/>
        <w:ind w:firstLine="709"/>
        <w:jc w:val="both"/>
        <w:rPr>
          <w:rFonts w:ascii="Arial Narrow" w:hAnsi="Arial Narrow"/>
          <w:lang w:val="bg-BG" w:eastAsia="bg-BG"/>
        </w:rPr>
      </w:pPr>
      <w:r w:rsidRPr="00690C5C">
        <w:rPr>
          <w:rFonts w:ascii="Arial Narrow" w:hAnsi="Arial Narrow"/>
          <w:lang w:val="bg-BG" w:eastAsia="bg-BG"/>
        </w:rPr>
        <w:t xml:space="preserve">Неизпълнението на плана за 2024 г. се дължи на липсата на производство на суровини от съответния вид животни, поради временно преустановяване дейността на производствени обекти, както и технически проблем в лабораторията (ЦЛВСЕЕ). </w:t>
      </w:r>
    </w:p>
    <w:p w14:paraId="62929B6F" w14:textId="77777777" w:rsidR="00690C5C" w:rsidRPr="00690C5C" w:rsidRDefault="00690C5C" w:rsidP="00690C5C">
      <w:pPr>
        <w:widowControl w:val="0"/>
        <w:numPr>
          <w:ilvl w:val="0"/>
          <w:numId w:val="35"/>
        </w:numPr>
        <w:spacing w:after="120" w:line="276" w:lineRule="auto"/>
        <w:jc w:val="both"/>
        <w:rPr>
          <w:rFonts w:ascii="Arial Narrow" w:hAnsi="Arial Narrow"/>
          <w:b/>
          <w:lang w:val="bg-BG" w:eastAsia="bg-BG"/>
        </w:rPr>
      </w:pPr>
      <w:r w:rsidRPr="00690C5C">
        <w:rPr>
          <w:rFonts w:ascii="Arial Narrow" w:hAnsi="Arial Narrow"/>
          <w:b/>
          <w:lang w:val="bg-BG" w:eastAsia="bg-BG"/>
        </w:rPr>
        <w:t xml:space="preserve">Национална програма за профилактика, надзор, контрол и ликвидиране на болестите по </w:t>
      </w:r>
      <w:r w:rsidRPr="00690C5C">
        <w:rPr>
          <w:rFonts w:ascii="Arial Narrow" w:hAnsi="Arial Narrow"/>
          <w:b/>
          <w:lang w:val="bg-BG" w:eastAsia="bg-BG"/>
        </w:rPr>
        <w:lastRenderedPageBreak/>
        <w:t>животните, включително зоонозите в Република България 2024</w:t>
      </w:r>
    </w:p>
    <w:p w14:paraId="2D61E491" w14:textId="77777777" w:rsidR="00690C5C" w:rsidRPr="00690C5C" w:rsidRDefault="00690C5C" w:rsidP="00690C5C">
      <w:pPr>
        <w:spacing w:after="120"/>
        <w:ind w:firstLine="709"/>
        <w:jc w:val="both"/>
        <w:rPr>
          <w:rFonts w:ascii="Arial Narrow" w:hAnsi="Arial Narrow"/>
          <w:lang w:val="bg-BG" w:eastAsia="bg-BG"/>
        </w:rPr>
      </w:pPr>
      <w:r w:rsidRPr="00690C5C">
        <w:rPr>
          <w:rFonts w:ascii="Arial Narrow" w:hAnsi="Arial Narrow"/>
          <w:lang w:val="bg-BG" w:eastAsia="bg-BG"/>
        </w:rPr>
        <w:t>Основно задължение на БАБХ по отношение на тази Програма е да координира лабораторно-диагностичните изследвания, анализи и експертизи, свързани със здравеопазването на животните.</w:t>
      </w:r>
    </w:p>
    <w:p w14:paraId="1F8A5017" w14:textId="77777777" w:rsidR="00690C5C" w:rsidRPr="00690C5C" w:rsidRDefault="00690C5C" w:rsidP="00690C5C">
      <w:pPr>
        <w:spacing w:after="120"/>
        <w:ind w:firstLine="708"/>
        <w:jc w:val="both"/>
        <w:rPr>
          <w:rFonts w:ascii="Arial Narrow" w:hAnsi="Arial Narrow"/>
          <w:lang w:val="bg-BG" w:eastAsia="bg-BG"/>
        </w:rPr>
      </w:pPr>
      <w:r w:rsidRPr="00690C5C">
        <w:rPr>
          <w:rFonts w:ascii="Arial Narrow" w:hAnsi="Arial Narrow"/>
          <w:lang w:val="bg-BG" w:eastAsia="bg-BG"/>
        </w:rPr>
        <w:t>В изпълнение на Програмата, през 2024 г. са извършени следните диагностични изследвания:</w:t>
      </w:r>
    </w:p>
    <w:p w14:paraId="182F4BCA" w14:textId="77777777" w:rsidR="00690C5C" w:rsidRPr="00690C5C" w:rsidRDefault="00F214AB" w:rsidP="00690C5C">
      <w:pPr>
        <w:spacing w:after="120"/>
        <w:rPr>
          <w:rFonts w:ascii="Arial Narrow" w:hAnsi="Arial Narrow"/>
          <w:b/>
          <w:bCs/>
          <w:lang w:val="bg-BG" w:eastAsia="bg-BG"/>
        </w:rPr>
      </w:pPr>
      <w:r>
        <w:rPr>
          <w:rFonts w:ascii="Arial Narrow" w:hAnsi="Arial Narrow"/>
          <w:b/>
          <w:bCs/>
          <w:lang w:val="bg-BG" w:eastAsia="bg-BG"/>
        </w:rPr>
        <w:t>Таблица V.11</w:t>
      </w:r>
      <w:r w:rsidR="00690C5C" w:rsidRPr="00690C5C">
        <w:rPr>
          <w:rFonts w:ascii="Arial Narrow" w:hAnsi="Arial Narrow"/>
          <w:b/>
          <w:bCs/>
          <w:lang w:val="bg-BG" w:eastAsia="bg-BG"/>
        </w:rPr>
        <w:t>. Извършени диагностични изследвания по Програмата през 2024 г.</w:t>
      </w:r>
    </w:p>
    <w:tbl>
      <w:tblPr>
        <w:tblW w:w="488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88"/>
        <w:gridCol w:w="1733"/>
        <w:gridCol w:w="4054"/>
      </w:tblGrid>
      <w:tr w:rsidR="00690C5C" w:rsidRPr="00690C5C" w14:paraId="10BE73B6" w14:textId="77777777" w:rsidTr="00C64DC2">
        <w:trPr>
          <w:trHeight w:val="569"/>
          <w:tblHeader/>
          <w:jc w:val="center"/>
        </w:trPr>
        <w:tc>
          <w:tcPr>
            <w:tcW w:w="1978" w:type="pct"/>
            <w:tcBorders>
              <w:top w:val="single" w:sz="4" w:space="0" w:color="auto"/>
              <w:left w:val="single" w:sz="4" w:space="0" w:color="auto"/>
              <w:bottom w:val="single" w:sz="4" w:space="0" w:color="auto"/>
              <w:right w:val="single" w:sz="4" w:space="0" w:color="auto"/>
            </w:tcBorders>
            <w:vAlign w:val="center"/>
            <w:hideMark/>
          </w:tcPr>
          <w:p w14:paraId="697B3828" w14:textId="77777777" w:rsidR="00690C5C" w:rsidRPr="00690C5C" w:rsidRDefault="00690C5C" w:rsidP="00690C5C">
            <w:pPr>
              <w:jc w:val="center"/>
              <w:rPr>
                <w:rFonts w:ascii="Arial Narrow" w:eastAsia="Calibri" w:hAnsi="Arial Narrow"/>
                <w:b/>
                <w:sz w:val="20"/>
                <w:szCs w:val="20"/>
                <w:lang w:val="bg-BG" w:eastAsia="bg-BG"/>
              </w:rPr>
            </w:pPr>
            <w:r w:rsidRPr="00690C5C">
              <w:rPr>
                <w:rFonts w:ascii="Arial Narrow" w:eastAsia="Calibri" w:hAnsi="Arial Narrow"/>
                <w:b/>
                <w:sz w:val="20"/>
                <w:szCs w:val="20"/>
                <w:lang w:val="bg-BG" w:eastAsia="bg-BG"/>
              </w:rPr>
              <w:t>Заболяване</w:t>
            </w:r>
          </w:p>
        </w:tc>
        <w:tc>
          <w:tcPr>
            <w:tcW w:w="905" w:type="pct"/>
            <w:tcBorders>
              <w:top w:val="single" w:sz="4" w:space="0" w:color="auto"/>
              <w:left w:val="single" w:sz="4" w:space="0" w:color="auto"/>
              <w:bottom w:val="single" w:sz="4" w:space="0" w:color="auto"/>
              <w:right w:val="single" w:sz="4" w:space="0" w:color="auto"/>
            </w:tcBorders>
            <w:vAlign w:val="center"/>
            <w:hideMark/>
          </w:tcPr>
          <w:p w14:paraId="37264414" w14:textId="77777777" w:rsidR="00690C5C" w:rsidRPr="00690C5C" w:rsidRDefault="00690C5C" w:rsidP="00690C5C">
            <w:pPr>
              <w:jc w:val="center"/>
              <w:rPr>
                <w:rFonts w:ascii="Arial Narrow" w:eastAsia="Calibri" w:hAnsi="Arial Narrow"/>
                <w:b/>
                <w:sz w:val="20"/>
                <w:szCs w:val="20"/>
                <w:lang w:val="bg-BG" w:eastAsia="bg-BG"/>
              </w:rPr>
            </w:pPr>
            <w:r w:rsidRPr="00690C5C">
              <w:rPr>
                <w:rFonts w:ascii="Arial Narrow" w:eastAsia="Calibri" w:hAnsi="Arial Narrow"/>
                <w:b/>
                <w:sz w:val="20"/>
                <w:szCs w:val="20"/>
                <w:lang w:val="bg-BG" w:eastAsia="bg-BG"/>
              </w:rPr>
              <w:t>Брой лаборатории</w:t>
            </w:r>
          </w:p>
        </w:tc>
        <w:tc>
          <w:tcPr>
            <w:tcW w:w="2117" w:type="pct"/>
            <w:tcBorders>
              <w:top w:val="single" w:sz="4" w:space="0" w:color="auto"/>
              <w:left w:val="single" w:sz="4" w:space="0" w:color="auto"/>
              <w:bottom w:val="single" w:sz="4" w:space="0" w:color="auto"/>
              <w:right w:val="single" w:sz="4" w:space="0" w:color="auto"/>
            </w:tcBorders>
            <w:vAlign w:val="center"/>
            <w:hideMark/>
          </w:tcPr>
          <w:p w14:paraId="520E7C2C" w14:textId="77777777" w:rsidR="00690C5C" w:rsidRPr="00690C5C" w:rsidRDefault="00690C5C" w:rsidP="00690C5C">
            <w:pPr>
              <w:jc w:val="center"/>
              <w:rPr>
                <w:rFonts w:ascii="Arial Narrow" w:eastAsia="Calibri" w:hAnsi="Arial Narrow"/>
                <w:b/>
                <w:sz w:val="20"/>
                <w:szCs w:val="20"/>
                <w:lang w:val="bg-BG" w:eastAsia="bg-BG"/>
              </w:rPr>
            </w:pPr>
            <w:r w:rsidRPr="00690C5C">
              <w:rPr>
                <w:rFonts w:ascii="Arial Narrow" w:eastAsia="Calibri" w:hAnsi="Arial Narrow"/>
                <w:b/>
                <w:sz w:val="20"/>
                <w:szCs w:val="20"/>
                <w:lang w:val="bg-BG" w:eastAsia="bg-BG"/>
              </w:rPr>
              <w:t>Брой изследвания</w:t>
            </w:r>
          </w:p>
        </w:tc>
      </w:tr>
      <w:tr w:rsidR="00690C5C" w:rsidRPr="00690C5C" w14:paraId="5D8D19F6" w14:textId="77777777" w:rsidTr="00C64DC2">
        <w:trPr>
          <w:trHeight w:val="294"/>
          <w:jc w:val="center"/>
        </w:trPr>
        <w:tc>
          <w:tcPr>
            <w:tcW w:w="1978" w:type="pct"/>
            <w:tcBorders>
              <w:top w:val="single" w:sz="4" w:space="0" w:color="auto"/>
              <w:left w:val="single" w:sz="4" w:space="0" w:color="auto"/>
              <w:bottom w:val="single" w:sz="4" w:space="0" w:color="auto"/>
              <w:right w:val="single" w:sz="4" w:space="0" w:color="auto"/>
            </w:tcBorders>
            <w:vAlign w:val="center"/>
            <w:hideMark/>
          </w:tcPr>
          <w:p w14:paraId="7569CAC8" w14:textId="77777777" w:rsidR="00690C5C" w:rsidRPr="00690C5C" w:rsidRDefault="00690C5C" w:rsidP="00690C5C">
            <w:pPr>
              <w:contextualSpacing/>
              <w:rPr>
                <w:rFonts w:ascii="Arial Narrow" w:eastAsia="Calibri" w:hAnsi="Arial Narrow"/>
                <w:sz w:val="20"/>
                <w:szCs w:val="20"/>
                <w:lang w:val="bg-BG" w:eastAsia="bg-BG"/>
              </w:rPr>
            </w:pPr>
            <w:r w:rsidRPr="00690C5C">
              <w:rPr>
                <w:rFonts w:ascii="Arial Narrow" w:eastAsia="Calibri" w:hAnsi="Arial Narrow"/>
                <w:sz w:val="20"/>
                <w:szCs w:val="20"/>
                <w:lang w:val="bg-BG" w:eastAsia="bg-BG"/>
              </w:rPr>
              <w:t>Бруцелоза едри преживни животни</w:t>
            </w:r>
          </w:p>
        </w:tc>
        <w:tc>
          <w:tcPr>
            <w:tcW w:w="905" w:type="pct"/>
            <w:tcBorders>
              <w:top w:val="single" w:sz="4" w:space="0" w:color="auto"/>
              <w:left w:val="single" w:sz="4" w:space="0" w:color="auto"/>
              <w:bottom w:val="single" w:sz="4" w:space="0" w:color="auto"/>
              <w:right w:val="single" w:sz="4" w:space="0" w:color="auto"/>
            </w:tcBorders>
            <w:vAlign w:val="center"/>
            <w:hideMark/>
          </w:tcPr>
          <w:p w14:paraId="7695474D" w14:textId="77777777" w:rsidR="00690C5C" w:rsidRPr="00690C5C" w:rsidRDefault="00690C5C" w:rsidP="00690C5C">
            <w:pPr>
              <w:spacing w:line="276" w:lineRule="auto"/>
              <w:jc w:val="center"/>
              <w:rPr>
                <w:rFonts w:ascii="Arial Narrow" w:eastAsia="Calibri" w:hAnsi="Arial Narrow"/>
                <w:sz w:val="20"/>
                <w:szCs w:val="20"/>
              </w:rPr>
            </w:pPr>
            <w:r w:rsidRPr="00690C5C">
              <w:rPr>
                <w:rFonts w:ascii="Arial Narrow" w:eastAsia="Calibri" w:hAnsi="Arial Narrow"/>
                <w:sz w:val="20"/>
                <w:szCs w:val="20"/>
              </w:rPr>
              <w:t>9</w:t>
            </w:r>
          </w:p>
        </w:tc>
        <w:tc>
          <w:tcPr>
            <w:tcW w:w="2117" w:type="pct"/>
            <w:tcBorders>
              <w:top w:val="single" w:sz="4" w:space="0" w:color="auto"/>
              <w:left w:val="single" w:sz="4" w:space="0" w:color="auto"/>
              <w:bottom w:val="single" w:sz="4" w:space="0" w:color="auto"/>
              <w:right w:val="single" w:sz="4" w:space="0" w:color="auto"/>
            </w:tcBorders>
            <w:vAlign w:val="center"/>
          </w:tcPr>
          <w:p w14:paraId="57DD3D7F" w14:textId="77777777" w:rsidR="00690C5C" w:rsidRPr="00690C5C" w:rsidRDefault="00690C5C" w:rsidP="00690C5C">
            <w:pPr>
              <w:spacing w:line="276" w:lineRule="auto"/>
              <w:jc w:val="center"/>
              <w:rPr>
                <w:rFonts w:ascii="Arial Narrow" w:eastAsia="Calibri" w:hAnsi="Arial Narrow"/>
                <w:sz w:val="20"/>
                <w:szCs w:val="20"/>
              </w:rPr>
            </w:pPr>
            <w:r w:rsidRPr="00690C5C">
              <w:rPr>
                <w:rFonts w:ascii="Arial Narrow" w:eastAsia="Calibri" w:hAnsi="Arial Narrow"/>
                <w:sz w:val="20"/>
                <w:szCs w:val="20"/>
              </w:rPr>
              <w:t xml:space="preserve">197 127 </w:t>
            </w:r>
          </w:p>
        </w:tc>
      </w:tr>
      <w:tr w:rsidR="00690C5C" w:rsidRPr="00690C5C" w14:paraId="39CD1C99" w14:textId="77777777" w:rsidTr="00C64DC2">
        <w:trPr>
          <w:trHeight w:val="294"/>
          <w:jc w:val="center"/>
        </w:trPr>
        <w:tc>
          <w:tcPr>
            <w:tcW w:w="1978" w:type="pct"/>
            <w:tcBorders>
              <w:top w:val="single" w:sz="4" w:space="0" w:color="auto"/>
              <w:left w:val="single" w:sz="4" w:space="0" w:color="auto"/>
              <w:bottom w:val="single" w:sz="4" w:space="0" w:color="auto"/>
              <w:right w:val="single" w:sz="4" w:space="0" w:color="auto"/>
            </w:tcBorders>
            <w:vAlign w:val="center"/>
            <w:hideMark/>
          </w:tcPr>
          <w:p w14:paraId="0929D0A1" w14:textId="77777777" w:rsidR="00690C5C" w:rsidRPr="00690C5C" w:rsidRDefault="00690C5C" w:rsidP="00690C5C">
            <w:pPr>
              <w:contextualSpacing/>
              <w:rPr>
                <w:rFonts w:ascii="Arial Narrow" w:eastAsia="Calibri" w:hAnsi="Arial Narrow"/>
                <w:sz w:val="20"/>
                <w:szCs w:val="20"/>
                <w:lang w:val="bg-BG" w:eastAsia="bg-BG"/>
              </w:rPr>
            </w:pPr>
            <w:r w:rsidRPr="00690C5C">
              <w:rPr>
                <w:rFonts w:ascii="Arial Narrow" w:eastAsia="Calibri" w:hAnsi="Arial Narrow"/>
                <w:sz w:val="20"/>
                <w:szCs w:val="20"/>
                <w:lang w:val="bg-BG" w:eastAsia="bg-BG"/>
              </w:rPr>
              <w:t>Бруцелоза дребни преживни животни</w:t>
            </w:r>
          </w:p>
        </w:tc>
        <w:tc>
          <w:tcPr>
            <w:tcW w:w="905" w:type="pct"/>
            <w:tcBorders>
              <w:top w:val="single" w:sz="4" w:space="0" w:color="auto"/>
              <w:left w:val="single" w:sz="4" w:space="0" w:color="auto"/>
              <w:bottom w:val="single" w:sz="4" w:space="0" w:color="auto"/>
              <w:right w:val="single" w:sz="4" w:space="0" w:color="auto"/>
            </w:tcBorders>
            <w:vAlign w:val="center"/>
            <w:hideMark/>
          </w:tcPr>
          <w:p w14:paraId="2435774C" w14:textId="77777777" w:rsidR="00690C5C" w:rsidRPr="00690C5C" w:rsidRDefault="00690C5C" w:rsidP="00690C5C">
            <w:pPr>
              <w:spacing w:line="276" w:lineRule="auto"/>
              <w:jc w:val="center"/>
              <w:rPr>
                <w:rFonts w:ascii="Arial Narrow" w:eastAsia="Calibri" w:hAnsi="Arial Narrow"/>
                <w:sz w:val="20"/>
                <w:szCs w:val="20"/>
              </w:rPr>
            </w:pPr>
            <w:r w:rsidRPr="00690C5C">
              <w:rPr>
                <w:rFonts w:ascii="Arial Narrow" w:eastAsia="Calibri" w:hAnsi="Arial Narrow"/>
                <w:sz w:val="20"/>
                <w:szCs w:val="20"/>
              </w:rPr>
              <w:t>9</w:t>
            </w:r>
          </w:p>
        </w:tc>
        <w:tc>
          <w:tcPr>
            <w:tcW w:w="2117" w:type="pct"/>
            <w:tcBorders>
              <w:top w:val="single" w:sz="4" w:space="0" w:color="auto"/>
              <w:left w:val="single" w:sz="4" w:space="0" w:color="auto"/>
              <w:bottom w:val="single" w:sz="4" w:space="0" w:color="auto"/>
              <w:right w:val="single" w:sz="4" w:space="0" w:color="auto"/>
            </w:tcBorders>
            <w:vAlign w:val="center"/>
          </w:tcPr>
          <w:p w14:paraId="322E6B0A" w14:textId="77777777" w:rsidR="00690C5C" w:rsidRPr="00690C5C" w:rsidRDefault="00690C5C" w:rsidP="00690C5C">
            <w:pPr>
              <w:spacing w:line="276" w:lineRule="auto"/>
              <w:jc w:val="center"/>
              <w:rPr>
                <w:rFonts w:ascii="Arial Narrow" w:eastAsia="Calibri" w:hAnsi="Arial Narrow"/>
                <w:sz w:val="20"/>
                <w:szCs w:val="20"/>
              </w:rPr>
            </w:pPr>
            <w:r w:rsidRPr="00690C5C">
              <w:rPr>
                <w:rFonts w:ascii="Arial Narrow" w:eastAsia="Calibri" w:hAnsi="Arial Narrow"/>
                <w:sz w:val="20"/>
                <w:szCs w:val="20"/>
              </w:rPr>
              <w:t>1 061 673</w:t>
            </w:r>
            <w:r w:rsidRPr="00690C5C">
              <w:rPr>
                <w:rFonts w:ascii="Arial" w:eastAsia="Calibri" w:hAnsi="Arial" w:cs="Arial"/>
                <w:sz w:val="20"/>
                <w:szCs w:val="20"/>
              </w:rPr>
              <w:t>‬</w:t>
            </w:r>
            <w:r w:rsidRPr="00690C5C">
              <w:rPr>
                <w:rFonts w:ascii="Arial Narrow" w:eastAsia="Calibri" w:hAnsi="Arial Narrow"/>
                <w:sz w:val="20"/>
                <w:szCs w:val="20"/>
              </w:rPr>
              <w:t xml:space="preserve"> </w:t>
            </w:r>
          </w:p>
        </w:tc>
      </w:tr>
      <w:tr w:rsidR="00690C5C" w:rsidRPr="00690C5C" w14:paraId="647F2337" w14:textId="77777777" w:rsidTr="00C64DC2">
        <w:trPr>
          <w:trHeight w:val="294"/>
          <w:jc w:val="center"/>
        </w:trPr>
        <w:tc>
          <w:tcPr>
            <w:tcW w:w="1978" w:type="pct"/>
            <w:tcBorders>
              <w:top w:val="single" w:sz="4" w:space="0" w:color="auto"/>
              <w:left w:val="single" w:sz="4" w:space="0" w:color="auto"/>
              <w:bottom w:val="single" w:sz="4" w:space="0" w:color="auto"/>
              <w:right w:val="single" w:sz="4" w:space="0" w:color="auto"/>
            </w:tcBorders>
            <w:vAlign w:val="center"/>
          </w:tcPr>
          <w:p w14:paraId="0CCEFBBE" w14:textId="77777777" w:rsidR="00690C5C" w:rsidRPr="00690C5C" w:rsidRDefault="00690C5C" w:rsidP="00690C5C">
            <w:pPr>
              <w:rPr>
                <w:rFonts w:ascii="Arial Narrow" w:eastAsia="Calibri" w:hAnsi="Arial Narrow"/>
                <w:sz w:val="20"/>
                <w:szCs w:val="20"/>
                <w:lang w:val="bg-BG" w:eastAsia="bg-BG"/>
              </w:rPr>
            </w:pPr>
            <w:r w:rsidRPr="00690C5C">
              <w:rPr>
                <w:rFonts w:ascii="Arial Narrow" w:eastAsia="Calibri" w:hAnsi="Arial Narrow"/>
                <w:sz w:val="20"/>
                <w:szCs w:val="20"/>
                <w:lang w:val="bg-BG" w:eastAsia="bg-BG"/>
              </w:rPr>
              <w:t>Бруцелоза свине</w:t>
            </w:r>
          </w:p>
        </w:tc>
        <w:tc>
          <w:tcPr>
            <w:tcW w:w="905" w:type="pct"/>
            <w:tcBorders>
              <w:top w:val="single" w:sz="4" w:space="0" w:color="auto"/>
              <w:left w:val="single" w:sz="4" w:space="0" w:color="auto"/>
              <w:bottom w:val="single" w:sz="4" w:space="0" w:color="auto"/>
              <w:right w:val="single" w:sz="4" w:space="0" w:color="auto"/>
            </w:tcBorders>
            <w:vAlign w:val="center"/>
          </w:tcPr>
          <w:p w14:paraId="7B9C598C" w14:textId="77777777" w:rsidR="00690C5C" w:rsidRPr="00690C5C" w:rsidRDefault="00690C5C" w:rsidP="00690C5C">
            <w:pPr>
              <w:spacing w:line="276" w:lineRule="auto"/>
              <w:jc w:val="center"/>
              <w:rPr>
                <w:rFonts w:ascii="Arial Narrow" w:eastAsia="Calibri" w:hAnsi="Arial Narrow"/>
                <w:sz w:val="20"/>
                <w:szCs w:val="20"/>
              </w:rPr>
            </w:pPr>
            <w:r w:rsidRPr="00690C5C">
              <w:rPr>
                <w:rFonts w:ascii="Arial Narrow" w:eastAsia="Calibri" w:hAnsi="Arial Narrow"/>
                <w:sz w:val="20"/>
                <w:szCs w:val="20"/>
              </w:rPr>
              <w:t>9</w:t>
            </w:r>
          </w:p>
        </w:tc>
        <w:tc>
          <w:tcPr>
            <w:tcW w:w="2117" w:type="pct"/>
            <w:tcBorders>
              <w:top w:val="single" w:sz="4" w:space="0" w:color="auto"/>
              <w:left w:val="single" w:sz="4" w:space="0" w:color="auto"/>
              <w:bottom w:val="single" w:sz="4" w:space="0" w:color="auto"/>
              <w:right w:val="single" w:sz="4" w:space="0" w:color="auto"/>
            </w:tcBorders>
            <w:vAlign w:val="center"/>
          </w:tcPr>
          <w:p w14:paraId="38245289" w14:textId="77777777" w:rsidR="00690C5C" w:rsidRPr="00690C5C" w:rsidRDefault="00690C5C" w:rsidP="00690C5C">
            <w:pPr>
              <w:spacing w:line="276" w:lineRule="auto"/>
              <w:jc w:val="center"/>
              <w:rPr>
                <w:rFonts w:ascii="Arial Narrow" w:eastAsia="Calibri" w:hAnsi="Arial Narrow"/>
                <w:sz w:val="20"/>
                <w:szCs w:val="20"/>
              </w:rPr>
            </w:pPr>
            <w:r w:rsidRPr="00690C5C">
              <w:rPr>
                <w:rFonts w:ascii="Arial Narrow" w:eastAsia="Calibri" w:hAnsi="Arial Narrow"/>
                <w:sz w:val="20"/>
                <w:szCs w:val="20"/>
              </w:rPr>
              <w:t>9 558.</w:t>
            </w:r>
          </w:p>
        </w:tc>
      </w:tr>
      <w:tr w:rsidR="00690C5C" w:rsidRPr="00690C5C" w14:paraId="51D753AD" w14:textId="77777777" w:rsidTr="00C64DC2">
        <w:trPr>
          <w:trHeight w:val="294"/>
          <w:jc w:val="center"/>
        </w:trPr>
        <w:tc>
          <w:tcPr>
            <w:tcW w:w="1978" w:type="pct"/>
            <w:tcBorders>
              <w:top w:val="single" w:sz="4" w:space="0" w:color="auto"/>
              <w:left w:val="single" w:sz="4" w:space="0" w:color="auto"/>
              <w:bottom w:val="single" w:sz="4" w:space="0" w:color="auto"/>
              <w:right w:val="single" w:sz="4" w:space="0" w:color="auto"/>
            </w:tcBorders>
            <w:vAlign w:val="center"/>
            <w:hideMark/>
          </w:tcPr>
          <w:p w14:paraId="7C76DFD3" w14:textId="77777777" w:rsidR="00690C5C" w:rsidRPr="00690C5C" w:rsidRDefault="00690C5C" w:rsidP="00690C5C">
            <w:pPr>
              <w:rPr>
                <w:rFonts w:ascii="Arial Narrow" w:eastAsia="Calibri" w:hAnsi="Arial Narrow"/>
                <w:sz w:val="20"/>
                <w:szCs w:val="20"/>
                <w:lang w:val="bg-BG" w:eastAsia="bg-BG"/>
              </w:rPr>
            </w:pPr>
            <w:r w:rsidRPr="00690C5C">
              <w:rPr>
                <w:rFonts w:ascii="Arial Narrow" w:eastAsia="Calibri" w:hAnsi="Arial Narrow"/>
                <w:sz w:val="20"/>
                <w:szCs w:val="20"/>
                <w:lang w:val="bg-BG" w:eastAsia="bg-BG"/>
              </w:rPr>
              <w:t>Бруцелоидоза кочове</w:t>
            </w:r>
          </w:p>
        </w:tc>
        <w:tc>
          <w:tcPr>
            <w:tcW w:w="905" w:type="pct"/>
            <w:tcBorders>
              <w:top w:val="single" w:sz="4" w:space="0" w:color="auto"/>
              <w:left w:val="single" w:sz="4" w:space="0" w:color="auto"/>
              <w:bottom w:val="single" w:sz="4" w:space="0" w:color="auto"/>
              <w:right w:val="single" w:sz="4" w:space="0" w:color="auto"/>
            </w:tcBorders>
            <w:vAlign w:val="center"/>
            <w:hideMark/>
          </w:tcPr>
          <w:p w14:paraId="7775A29A" w14:textId="77777777" w:rsidR="00690C5C" w:rsidRPr="00690C5C" w:rsidRDefault="00690C5C" w:rsidP="00690C5C">
            <w:pPr>
              <w:spacing w:line="276" w:lineRule="auto"/>
              <w:jc w:val="center"/>
              <w:rPr>
                <w:rFonts w:ascii="Arial Narrow" w:eastAsia="Calibri" w:hAnsi="Arial Narrow"/>
                <w:sz w:val="20"/>
                <w:szCs w:val="20"/>
              </w:rPr>
            </w:pPr>
            <w:r w:rsidRPr="00690C5C">
              <w:rPr>
                <w:rFonts w:ascii="Arial Narrow" w:eastAsia="Calibri" w:hAnsi="Arial Narrow"/>
                <w:sz w:val="20"/>
                <w:szCs w:val="20"/>
              </w:rPr>
              <w:t>9</w:t>
            </w:r>
          </w:p>
        </w:tc>
        <w:tc>
          <w:tcPr>
            <w:tcW w:w="2117" w:type="pct"/>
            <w:tcBorders>
              <w:top w:val="single" w:sz="4" w:space="0" w:color="auto"/>
              <w:left w:val="single" w:sz="4" w:space="0" w:color="auto"/>
              <w:bottom w:val="single" w:sz="4" w:space="0" w:color="auto"/>
              <w:right w:val="single" w:sz="4" w:space="0" w:color="auto"/>
            </w:tcBorders>
            <w:vAlign w:val="center"/>
          </w:tcPr>
          <w:p w14:paraId="76EBDF02" w14:textId="77777777" w:rsidR="00690C5C" w:rsidRPr="00690C5C" w:rsidRDefault="00690C5C" w:rsidP="00690C5C">
            <w:pPr>
              <w:spacing w:line="276" w:lineRule="auto"/>
              <w:jc w:val="center"/>
              <w:rPr>
                <w:rFonts w:ascii="Arial Narrow" w:eastAsia="Calibri" w:hAnsi="Arial Narrow"/>
                <w:sz w:val="20"/>
                <w:szCs w:val="20"/>
              </w:rPr>
            </w:pPr>
            <w:r w:rsidRPr="00690C5C">
              <w:rPr>
                <w:rFonts w:ascii="Arial Narrow" w:eastAsia="Calibri" w:hAnsi="Arial Narrow"/>
                <w:sz w:val="20"/>
                <w:szCs w:val="20"/>
              </w:rPr>
              <w:t xml:space="preserve">23 892 </w:t>
            </w:r>
          </w:p>
        </w:tc>
      </w:tr>
      <w:tr w:rsidR="00690C5C" w:rsidRPr="00690C5C" w14:paraId="25BBB2A8" w14:textId="77777777" w:rsidTr="00C64DC2">
        <w:trPr>
          <w:trHeight w:val="276"/>
          <w:jc w:val="center"/>
        </w:trPr>
        <w:tc>
          <w:tcPr>
            <w:tcW w:w="1978" w:type="pct"/>
            <w:tcBorders>
              <w:top w:val="single" w:sz="4" w:space="0" w:color="auto"/>
              <w:left w:val="single" w:sz="4" w:space="0" w:color="auto"/>
              <w:bottom w:val="single" w:sz="4" w:space="0" w:color="auto"/>
              <w:right w:val="single" w:sz="4" w:space="0" w:color="auto"/>
            </w:tcBorders>
            <w:vAlign w:val="center"/>
            <w:hideMark/>
          </w:tcPr>
          <w:p w14:paraId="4CB1E8BE" w14:textId="77777777" w:rsidR="00690C5C" w:rsidRPr="00690C5C" w:rsidRDefault="00690C5C" w:rsidP="00690C5C">
            <w:pPr>
              <w:rPr>
                <w:rFonts w:ascii="Arial Narrow" w:eastAsia="Calibri" w:hAnsi="Arial Narrow"/>
                <w:sz w:val="20"/>
                <w:szCs w:val="20"/>
                <w:lang w:val="bg-BG" w:eastAsia="bg-BG"/>
              </w:rPr>
            </w:pPr>
            <w:r w:rsidRPr="00690C5C">
              <w:rPr>
                <w:rFonts w:ascii="Arial Narrow" w:eastAsia="Calibri" w:hAnsi="Arial Narrow"/>
                <w:sz w:val="20"/>
                <w:szCs w:val="20"/>
                <w:lang w:val="bg-BG" w:eastAsia="bg-BG"/>
              </w:rPr>
              <w:t>Лептоспироза - едри преживни животни и свине</w:t>
            </w:r>
          </w:p>
        </w:tc>
        <w:tc>
          <w:tcPr>
            <w:tcW w:w="905" w:type="pct"/>
            <w:tcBorders>
              <w:top w:val="single" w:sz="4" w:space="0" w:color="auto"/>
              <w:left w:val="single" w:sz="4" w:space="0" w:color="auto"/>
              <w:bottom w:val="single" w:sz="4" w:space="0" w:color="auto"/>
              <w:right w:val="single" w:sz="4" w:space="0" w:color="auto"/>
            </w:tcBorders>
            <w:vAlign w:val="center"/>
            <w:hideMark/>
          </w:tcPr>
          <w:p w14:paraId="603A9325" w14:textId="77777777" w:rsidR="00690C5C" w:rsidRPr="00690C5C" w:rsidRDefault="00690C5C" w:rsidP="00690C5C">
            <w:pPr>
              <w:spacing w:line="276" w:lineRule="auto"/>
              <w:jc w:val="center"/>
              <w:rPr>
                <w:rFonts w:ascii="Arial Narrow" w:eastAsia="Calibri" w:hAnsi="Arial Narrow"/>
                <w:sz w:val="20"/>
                <w:szCs w:val="20"/>
              </w:rPr>
            </w:pPr>
            <w:r w:rsidRPr="00690C5C">
              <w:rPr>
                <w:rFonts w:ascii="Arial Narrow" w:eastAsia="Calibri" w:hAnsi="Arial Narrow"/>
                <w:sz w:val="20"/>
                <w:szCs w:val="20"/>
              </w:rPr>
              <w:t>7</w:t>
            </w:r>
          </w:p>
        </w:tc>
        <w:tc>
          <w:tcPr>
            <w:tcW w:w="2117" w:type="pct"/>
            <w:tcBorders>
              <w:top w:val="single" w:sz="4" w:space="0" w:color="auto"/>
              <w:left w:val="single" w:sz="4" w:space="0" w:color="auto"/>
              <w:bottom w:val="single" w:sz="4" w:space="0" w:color="auto"/>
              <w:right w:val="single" w:sz="4" w:space="0" w:color="auto"/>
            </w:tcBorders>
            <w:vAlign w:val="center"/>
          </w:tcPr>
          <w:p w14:paraId="422BCF47" w14:textId="77777777" w:rsidR="00690C5C" w:rsidRPr="00690C5C" w:rsidRDefault="00690C5C" w:rsidP="00690C5C">
            <w:pPr>
              <w:spacing w:line="276" w:lineRule="auto"/>
              <w:jc w:val="center"/>
              <w:rPr>
                <w:rFonts w:ascii="Arial Narrow" w:eastAsia="Calibri" w:hAnsi="Arial Narrow"/>
                <w:sz w:val="20"/>
                <w:szCs w:val="20"/>
              </w:rPr>
            </w:pPr>
            <w:r w:rsidRPr="00690C5C">
              <w:rPr>
                <w:rFonts w:ascii="Arial Narrow" w:eastAsia="Calibri" w:hAnsi="Arial Narrow"/>
                <w:sz w:val="20"/>
                <w:szCs w:val="20"/>
              </w:rPr>
              <w:t xml:space="preserve">27 345 </w:t>
            </w:r>
          </w:p>
        </w:tc>
      </w:tr>
      <w:tr w:rsidR="00690C5C" w:rsidRPr="00690C5C" w14:paraId="3AD767EB" w14:textId="77777777" w:rsidTr="00C64DC2">
        <w:trPr>
          <w:trHeight w:val="294"/>
          <w:jc w:val="center"/>
        </w:trPr>
        <w:tc>
          <w:tcPr>
            <w:tcW w:w="1978" w:type="pct"/>
            <w:tcBorders>
              <w:top w:val="single" w:sz="4" w:space="0" w:color="auto"/>
              <w:left w:val="single" w:sz="4" w:space="0" w:color="auto"/>
              <w:bottom w:val="single" w:sz="4" w:space="0" w:color="auto"/>
              <w:right w:val="single" w:sz="4" w:space="0" w:color="auto"/>
            </w:tcBorders>
            <w:vAlign w:val="center"/>
          </w:tcPr>
          <w:p w14:paraId="2CC1A508" w14:textId="77777777" w:rsidR="00690C5C" w:rsidRPr="00690C5C" w:rsidRDefault="00690C5C" w:rsidP="00690C5C">
            <w:pPr>
              <w:rPr>
                <w:rFonts w:ascii="Arial Narrow" w:eastAsia="Calibri" w:hAnsi="Arial Narrow"/>
                <w:sz w:val="20"/>
                <w:szCs w:val="20"/>
                <w:lang w:val="bg-BG" w:eastAsia="bg-BG"/>
              </w:rPr>
            </w:pPr>
            <w:r w:rsidRPr="00690C5C">
              <w:rPr>
                <w:rFonts w:ascii="Arial Narrow" w:eastAsia="Calibri" w:hAnsi="Arial Narrow"/>
                <w:sz w:val="20"/>
                <w:szCs w:val="20"/>
                <w:lang w:val="bg-BG" w:eastAsia="bg-BG"/>
              </w:rPr>
              <w:t>ТСЕ едри преживни животни</w:t>
            </w:r>
          </w:p>
        </w:tc>
        <w:tc>
          <w:tcPr>
            <w:tcW w:w="905" w:type="pct"/>
            <w:tcBorders>
              <w:top w:val="single" w:sz="4" w:space="0" w:color="auto"/>
              <w:left w:val="single" w:sz="4" w:space="0" w:color="auto"/>
              <w:bottom w:val="single" w:sz="4" w:space="0" w:color="auto"/>
              <w:right w:val="single" w:sz="4" w:space="0" w:color="auto"/>
            </w:tcBorders>
            <w:vAlign w:val="center"/>
          </w:tcPr>
          <w:p w14:paraId="1BE5011F" w14:textId="77777777" w:rsidR="00690C5C" w:rsidRPr="00690C5C" w:rsidRDefault="00690C5C" w:rsidP="00690C5C">
            <w:pPr>
              <w:spacing w:line="276" w:lineRule="auto"/>
              <w:jc w:val="center"/>
              <w:rPr>
                <w:rFonts w:ascii="Arial Narrow" w:eastAsia="Calibri" w:hAnsi="Arial Narrow"/>
                <w:b/>
                <w:sz w:val="20"/>
                <w:szCs w:val="20"/>
              </w:rPr>
            </w:pPr>
            <w:r w:rsidRPr="00690C5C">
              <w:rPr>
                <w:rFonts w:ascii="Arial Narrow" w:eastAsia="Calibri" w:hAnsi="Arial Narrow"/>
                <w:sz w:val="20"/>
                <w:szCs w:val="20"/>
              </w:rPr>
              <w:t>3</w:t>
            </w:r>
          </w:p>
        </w:tc>
        <w:tc>
          <w:tcPr>
            <w:tcW w:w="2117" w:type="pct"/>
            <w:tcBorders>
              <w:top w:val="single" w:sz="4" w:space="0" w:color="auto"/>
              <w:left w:val="single" w:sz="4" w:space="0" w:color="auto"/>
              <w:bottom w:val="single" w:sz="4" w:space="0" w:color="auto"/>
              <w:right w:val="single" w:sz="4" w:space="0" w:color="auto"/>
            </w:tcBorders>
            <w:vAlign w:val="center"/>
          </w:tcPr>
          <w:p w14:paraId="3B68B43D" w14:textId="77777777" w:rsidR="00690C5C" w:rsidRPr="00690C5C" w:rsidRDefault="00690C5C" w:rsidP="00690C5C">
            <w:pPr>
              <w:spacing w:line="276" w:lineRule="auto"/>
              <w:jc w:val="center"/>
              <w:rPr>
                <w:rFonts w:ascii="Arial Narrow" w:eastAsia="Calibri" w:hAnsi="Arial Narrow"/>
                <w:b/>
                <w:sz w:val="20"/>
                <w:szCs w:val="20"/>
              </w:rPr>
            </w:pPr>
            <w:r w:rsidRPr="00690C5C">
              <w:rPr>
                <w:rFonts w:ascii="Arial Narrow" w:eastAsia="Calibri" w:hAnsi="Arial Narrow"/>
                <w:sz w:val="20"/>
                <w:szCs w:val="20"/>
              </w:rPr>
              <w:t xml:space="preserve">25 627 </w:t>
            </w:r>
          </w:p>
        </w:tc>
      </w:tr>
      <w:tr w:rsidR="00690C5C" w:rsidRPr="00690C5C" w14:paraId="1E3BC6DA" w14:textId="77777777" w:rsidTr="00C64DC2">
        <w:trPr>
          <w:trHeight w:val="294"/>
          <w:jc w:val="center"/>
        </w:trPr>
        <w:tc>
          <w:tcPr>
            <w:tcW w:w="1978" w:type="pct"/>
            <w:tcBorders>
              <w:top w:val="single" w:sz="4" w:space="0" w:color="auto"/>
              <w:left w:val="single" w:sz="4" w:space="0" w:color="auto"/>
              <w:bottom w:val="single" w:sz="4" w:space="0" w:color="auto"/>
              <w:right w:val="single" w:sz="4" w:space="0" w:color="auto"/>
            </w:tcBorders>
            <w:vAlign w:val="center"/>
          </w:tcPr>
          <w:p w14:paraId="74BA8174" w14:textId="77777777" w:rsidR="00690C5C" w:rsidRPr="00690C5C" w:rsidRDefault="00690C5C" w:rsidP="00690C5C">
            <w:pPr>
              <w:rPr>
                <w:rFonts w:ascii="Arial Narrow" w:eastAsia="Calibri" w:hAnsi="Arial Narrow"/>
                <w:sz w:val="20"/>
                <w:szCs w:val="20"/>
                <w:lang w:val="bg-BG" w:eastAsia="bg-BG"/>
              </w:rPr>
            </w:pPr>
            <w:r w:rsidRPr="00690C5C">
              <w:rPr>
                <w:rFonts w:ascii="Arial Narrow" w:eastAsia="Calibri" w:hAnsi="Arial Narrow"/>
                <w:sz w:val="20"/>
                <w:szCs w:val="20"/>
                <w:lang w:val="bg-BG" w:eastAsia="bg-BG"/>
              </w:rPr>
              <w:t>Скрейпи дребни преживни животни</w:t>
            </w:r>
          </w:p>
        </w:tc>
        <w:tc>
          <w:tcPr>
            <w:tcW w:w="905" w:type="pct"/>
            <w:tcBorders>
              <w:top w:val="single" w:sz="4" w:space="0" w:color="auto"/>
              <w:left w:val="single" w:sz="4" w:space="0" w:color="auto"/>
              <w:bottom w:val="single" w:sz="4" w:space="0" w:color="auto"/>
              <w:right w:val="single" w:sz="4" w:space="0" w:color="auto"/>
            </w:tcBorders>
            <w:vAlign w:val="center"/>
          </w:tcPr>
          <w:p w14:paraId="32052C3D" w14:textId="77777777" w:rsidR="00690C5C" w:rsidRPr="00690C5C" w:rsidRDefault="00690C5C" w:rsidP="00690C5C">
            <w:pPr>
              <w:spacing w:line="276" w:lineRule="auto"/>
              <w:jc w:val="center"/>
              <w:rPr>
                <w:rFonts w:ascii="Arial Narrow" w:eastAsia="Calibri" w:hAnsi="Arial Narrow"/>
                <w:sz w:val="20"/>
                <w:szCs w:val="20"/>
              </w:rPr>
            </w:pPr>
            <w:r w:rsidRPr="00690C5C">
              <w:rPr>
                <w:rFonts w:ascii="Arial Narrow" w:eastAsia="Calibri" w:hAnsi="Arial Narrow"/>
                <w:sz w:val="20"/>
                <w:szCs w:val="20"/>
              </w:rPr>
              <w:t>3</w:t>
            </w:r>
          </w:p>
        </w:tc>
        <w:tc>
          <w:tcPr>
            <w:tcW w:w="2117" w:type="pct"/>
            <w:tcBorders>
              <w:top w:val="single" w:sz="4" w:space="0" w:color="auto"/>
              <w:left w:val="single" w:sz="4" w:space="0" w:color="auto"/>
              <w:bottom w:val="single" w:sz="4" w:space="0" w:color="auto"/>
              <w:right w:val="single" w:sz="4" w:space="0" w:color="auto"/>
            </w:tcBorders>
            <w:vAlign w:val="center"/>
          </w:tcPr>
          <w:p w14:paraId="0B7EE59F" w14:textId="77777777" w:rsidR="00690C5C" w:rsidRPr="00690C5C" w:rsidRDefault="00690C5C" w:rsidP="00690C5C">
            <w:pPr>
              <w:spacing w:line="276" w:lineRule="auto"/>
              <w:jc w:val="center"/>
              <w:rPr>
                <w:rFonts w:ascii="Arial Narrow" w:eastAsia="Calibri" w:hAnsi="Arial Narrow"/>
                <w:sz w:val="20"/>
                <w:szCs w:val="20"/>
              </w:rPr>
            </w:pPr>
            <w:r w:rsidRPr="00690C5C">
              <w:rPr>
                <w:rFonts w:ascii="Arial Narrow" w:eastAsia="Calibri" w:hAnsi="Arial Narrow"/>
                <w:sz w:val="20"/>
                <w:szCs w:val="20"/>
              </w:rPr>
              <w:t xml:space="preserve">5 543 </w:t>
            </w:r>
          </w:p>
        </w:tc>
      </w:tr>
      <w:tr w:rsidR="00690C5C" w:rsidRPr="00690C5C" w14:paraId="40DA5074" w14:textId="77777777" w:rsidTr="00C64DC2">
        <w:trPr>
          <w:trHeight w:val="294"/>
          <w:jc w:val="center"/>
        </w:trPr>
        <w:tc>
          <w:tcPr>
            <w:tcW w:w="1978" w:type="pct"/>
            <w:tcBorders>
              <w:top w:val="single" w:sz="4" w:space="0" w:color="auto"/>
              <w:left w:val="single" w:sz="4" w:space="0" w:color="auto"/>
              <w:bottom w:val="single" w:sz="4" w:space="0" w:color="auto"/>
              <w:right w:val="single" w:sz="4" w:space="0" w:color="auto"/>
            </w:tcBorders>
            <w:vAlign w:val="center"/>
          </w:tcPr>
          <w:p w14:paraId="7648549C" w14:textId="77777777" w:rsidR="00690C5C" w:rsidRPr="00690C5C" w:rsidRDefault="00690C5C" w:rsidP="00690C5C">
            <w:pPr>
              <w:rPr>
                <w:rFonts w:ascii="Arial Narrow" w:eastAsia="Calibri" w:hAnsi="Arial Narrow"/>
                <w:sz w:val="20"/>
                <w:szCs w:val="20"/>
                <w:lang w:val="bg-BG" w:eastAsia="bg-BG"/>
              </w:rPr>
            </w:pPr>
            <w:r w:rsidRPr="00690C5C">
              <w:rPr>
                <w:rFonts w:ascii="Arial Narrow" w:eastAsia="Calibri" w:hAnsi="Arial Narrow"/>
                <w:sz w:val="20"/>
                <w:szCs w:val="20"/>
                <w:lang w:val="bg-BG" w:eastAsia="bg-BG"/>
              </w:rPr>
              <w:t>Ку - треска</w:t>
            </w:r>
          </w:p>
        </w:tc>
        <w:tc>
          <w:tcPr>
            <w:tcW w:w="905" w:type="pct"/>
            <w:tcBorders>
              <w:top w:val="single" w:sz="4" w:space="0" w:color="auto"/>
              <w:left w:val="single" w:sz="4" w:space="0" w:color="auto"/>
              <w:bottom w:val="single" w:sz="4" w:space="0" w:color="auto"/>
              <w:right w:val="single" w:sz="4" w:space="0" w:color="auto"/>
            </w:tcBorders>
            <w:vAlign w:val="center"/>
          </w:tcPr>
          <w:p w14:paraId="4FE2E672" w14:textId="77777777" w:rsidR="00690C5C" w:rsidRPr="00690C5C" w:rsidRDefault="00690C5C" w:rsidP="00690C5C">
            <w:pPr>
              <w:spacing w:line="276" w:lineRule="auto"/>
              <w:jc w:val="center"/>
              <w:rPr>
                <w:rFonts w:ascii="Arial Narrow" w:eastAsia="Calibri" w:hAnsi="Arial Narrow"/>
                <w:sz w:val="20"/>
                <w:szCs w:val="20"/>
              </w:rPr>
            </w:pPr>
            <w:r w:rsidRPr="00690C5C">
              <w:rPr>
                <w:rFonts w:ascii="Arial Narrow" w:eastAsia="Calibri" w:hAnsi="Arial Narrow"/>
                <w:sz w:val="20"/>
                <w:szCs w:val="20"/>
              </w:rPr>
              <w:t>1</w:t>
            </w:r>
          </w:p>
        </w:tc>
        <w:tc>
          <w:tcPr>
            <w:tcW w:w="2117" w:type="pct"/>
            <w:tcBorders>
              <w:top w:val="single" w:sz="4" w:space="0" w:color="auto"/>
              <w:left w:val="single" w:sz="4" w:space="0" w:color="auto"/>
              <w:bottom w:val="single" w:sz="4" w:space="0" w:color="auto"/>
              <w:right w:val="single" w:sz="4" w:space="0" w:color="auto"/>
            </w:tcBorders>
            <w:vAlign w:val="center"/>
          </w:tcPr>
          <w:p w14:paraId="4EAF9455" w14:textId="77777777" w:rsidR="00690C5C" w:rsidRPr="00690C5C" w:rsidRDefault="00690C5C" w:rsidP="00690C5C">
            <w:pPr>
              <w:spacing w:line="276" w:lineRule="auto"/>
              <w:jc w:val="center"/>
              <w:rPr>
                <w:rFonts w:ascii="Arial Narrow" w:eastAsia="Calibri" w:hAnsi="Arial Narrow"/>
                <w:sz w:val="20"/>
                <w:szCs w:val="20"/>
              </w:rPr>
            </w:pPr>
            <w:r w:rsidRPr="00690C5C">
              <w:rPr>
                <w:rFonts w:ascii="Arial Narrow" w:eastAsia="Calibri" w:hAnsi="Arial Narrow"/>
                <w:sz w:val="20"/>
                <w:szCs w:val="20"/>
              </w:rPr>
              <w:t xml:space="preserve">596 </w:t>
            </w:r>
            <w:r w:rsidRPr="00690C5C">
              <w:rPr>
                <w:rFonts w:ascii="Arial Narrow" w:eastAsia="Calibri" w:hAnsi="Arial Narrow"/>
                <w:sz w:val="20"/>
                <w:szCs w:val="20"/>
                <w:lang w:val="bg-BG"/>
              </w:rPr>
              <w:t>-</w:t>
            </w:r>
            <w:r w:rsidRPr="00690C5C">
              <w:rPr>
                <w:rFonts w:ascii="Arial Narrow" w:eastAsia="Calibri" w:hAnsi="Arial Narrow"/>
                <w:sz w:val="20"/>
                <w:szCs w:val="20"/>
              </w:rPr>
              <w:t xml:space="preserve"> млечни</w:t>
            </w:r>
          </w:p>
        </w:tc>
      </w:tr>
      <w:tr w:rsidR="00690C5C" w:rsidRPr="00690C5C" w14:paraId="5405255D" w14:textId="77777777" w:rsidTr="00C64DC2">
        <w:trPr>
          <w:trHeight w:val="294"/>
          <w:jc w:val="center"/>
        </w:trPr>
        <w:tc>
          <w:tcPr>
            <w:tcW w:w="1978" w:type="pct"/>
            <w:tcBorders>
              <w:top w:val="single" w:sz="4" w:space="0" w:color="auto"/>
              <w:left w:val="single" w:sz="4" w:space="0" w:color="auto"/>
              <w:bottom w:val="single" w:sz="4" w:space="0" w:color="auto"/>
              <w:right w:val="single" w:sz="4" w:space="0" w:color="auto"/>
            </w:tcBorders>
            <w:vAlign w:val="center"/>
          </w:tcPr>
          <w:p w14:paraId="124D483D" w14:textId="77777777" w:rsidR="00690C5C" w:rsidRPr="00690C5C" w:rsidRDefault="00690C5C" w:rsidP="00690C5C">
            <w:pPr>
              <w:rPr>
                <w:rFonts w:ascii="Arial Narrow" w:eastAsia="Calibri" w:hAnsi="Arial Narrow"/>
                <w:sz w:val="20"/>
                <w:szCs w:val="20"/>
                <w:lang w:val="bg-BG" w:eastAsia="bg-BG"/>
              </w:rPr>
            </w:pPr>
            <w:r w:rsidRPr="00690C5C">
              <w:rPr>
                <w:rFonts w:ascii="Arial Narrow" w:eastAsia="Calibri" w:hAnsi="Arial Narrow"/>
                <w:sz w:val="20"/>
                <w:szCs w:val="20"/>
                <w:lang w:val="bg-BG" w:eastAsia="bg-BG"/>
              </w:rPr>
              <w:t>Ку - треска</w:t>
            </w:r>
          </w:p>
        </w:tc>
        <w:tc>
          <w:tcPr>
            <w:tcW w:w="905" w:type="pct"/>
            <w:tcBorders>
              <w:top w:val="single" w:sz="4" w:space="0" w:color="auto"/>
              <w:left w:val="single" w:sz="4" w:space="0" w:color="auto"/>
              <w:bottom w:val="single" w:sz="4" w:space="0" w:color="auto"/>
              <w:right w:val="single" w:sz="4" w:space="0" w:color="auto"/>
            </w:tcBorders>
            <w:vAlign w:val="center"/>
          </w:tcPr>
          <w:p w14:paraId="39D8F453" w14:textId="77777777" w:rsidR="00690C5C" w:rsidRPr="00690C5C" w:rsidRDefault="00690C5C" w:rsidP="00690C5C">
            <w:pPr>
              <w:spacing w:line="276" w:lineRule="auto"/>
              <w:jc w:val="center"/>
              <w:rPr>
                <w:rFonts w:ascii="Arial Narrow" w:eastAsia="Calibri" w:hAnsi="Arial Narrow"/>
                <w:sz w:val="20"/>
                <w:szCs w:val="20"/>
              </w:rPr>
            </w:pPr>
            <w:r w:rsidRPr="00690C5C">
              <w:rPr>
                <w:rFonts w:ascii="Arial Narrow" w:eastAsia="Calibri" w:hAnsi="Arial Narrow"/>
                <w:sz w:val="20"/>
                <w:szCs w:val="20"/>
              </w:rPr>
              <w:t>1</w:t>
            </w:r>
          </w:p>
        </w:tc>
        <w:tc>
          <w:tcPr>
            <w:tcW w:w="2117" w:type="pct"/>
            <w:tcBorders>
              <w:top w:val="single" w:sz="4" w:space="0" w:color="auto"/>
              <w:left w:val="single" w:sz="4" w:space="0" w:color="auto"/>
              <w:bottom w:val="single" w:sz="4" w:space="0" w:color="auto"/>
              <w:right w:val="single" w:sz="4" w:space="0" w:color="auto"/>
            </w:tcBorders>
            <w:vAlign w:val="center"/>
          </w:tcPr>
          <w:p w14:paraId="5321D56A" w14:textId="77777777" w:rsidR="00690C5C" w:rsidRPr="00690C5C" w:rsidRDefault="00690C5C" w:rsidP="00690C5C">
            <w:pPr>
              <w:spacing w:line="276" w:lineRule="auto"/>
              <w:jc w:val="center"/>
              <w:rPr>
                <w:rFonts w:ascii="Arial Narrow" w:eastAsia="Calibri" w:hAnsi="Arial Narrow"/>
                <w:sz w:val="20"/>
                <w:szCs w:val="20"/>
              </w:rPr>
            </w:pPr>
            <w:r w:rsidRPr="00690C5C">
              <w:rPr>
                <w:rFonts w:ascii="Arial Narrow" w:eastAsia="Calibri" w:hAnsi="Arial Narrow"/>
                <w:sz w:val="20"/>
                <w:szCs w:val="20"/>
              </w:rPr>
              <w:t xml:space="preserve">173 </w:t>
            </w:r>
            <w:r w:rsidRPr="00690C5C">
              <w:rPr>
                <w:rFonts w:ascii="Arial Narrow" w:eastAsia="Calibri" w:hAnsi="Arial Narrow"/>
                <w:sz w:val="20"/>
                <w:szCs w:val="20"/>
                <w:lang w:val="bg-BG"/>
              </w:rPr>
              <w:t>-</w:t>
            </w:r>
            <w:r w:rsidRPr="00690C5C">
              <w:rPr>
                <w:rFonts w:ascii="Arial Narrow" w:eastAsia="Calibri" w:hAnsi="Arial Narrow"/>
                <w:sz w:val="20"/>
                <w:szCs w:val="20"/>
              </w:rPr>
              <w:t xml:space="preserve"> кръвни</w:t>
            </w:r>
          </w:p>
        </w:tc>
      </w:tr>
      <w:tr w:rsidR="00690C5C" w:rsidRPr="00690C5C" w14:paraId="3C2A17D7" w14:textId="77777777" w:rsidTr="00C64DC2">
        <w:trPr>
          <w:trHeight w:val="294"/>
          <w:jc w:val="center"/>
        </w:trPr>
        <w:tc>
          <w:tcPr>
            <w:tcW w:w="1978" w:type="pct"/>
            <w:tcBorders>
              <w:top w:val="single" w:sz="4" w:space="0" w:color="auto"/>
              <w:left w:val="single" w:sz="4" w:space="0" w:color="auto"/>
              <w:bottom w:val="single" w:sz="4" w:space="0" w:color="auto"/>
              <w:right w:val="single" w:sz="4" w:space="0" w:color="auto"/>
            </w:tcBorders>
            <w:vAlign w:val="center"/>
          </w:tcPr>
          <w:p w14:paraId="6477432A" w14:textId="77777777" w:rsidR="00690C5C" w:rsidRPr="00690C5C" w:rsidRDefault="00690C5C" w:rsidP="00690C5C">
            <w:pPr>
              <w:contextualSpacing/>
              <w:rPr>
                <w:rFonts w:ascii="Arial Narrow" w:eastAsia="Calibri" w:hAnsi="Arial Narrow"/>
                <w:sz w:val="20"/>
                <w:szCs w:val="20"/>
                <w:lang w:val="bg-BG" w:eastAsia="bg-BG"/>
              </w:rPr>
            </w:pPr>
            <w:r w:rsidRPr="00690C5C">
              <w:rPr>
                <w:rFonts w:ascii="Arial Narrow" w:eastAsia="Calibri" w:hAnsi="Arial Narrow"/>
                <w:sz w:val="20"/>
                <w:szCs w:val="20"/>
                <w:lang w:val="bg-BG" w:eastAsia="bg-BG"/>
              </w:rPr>
              <w:t>Инфекциозен ринотрахеит</w:t>
            </w:r>
          </w:p>
        </w:tc>
        <w:tc>
          <w:tcPr>
            <w:tcW w:w="905" w:type="pct"/>
            <w:tcBorders>
              <w:top w:val="single" w:sz="4" w:space="0" w:color="auto"/>
              <w:left w:val="single" w:sz="4" w:space="0" w:color="auto"/>
              <w:bottom w:val="single" w:sz="4" w:space="0" w:color="auto"/>
              <w:right w:val="single" w:sz="4" w:space="0" w:color="auto"/>
            </w:tcBorders>
            <w:vAlign w:val="center"/>
          </w:tcPr>
          <w:p w14:paraId="4E588F0E" w14:textId="77777777" w:rsidR="00690C5C" w:rsidRPr="00690C5C" w:rsidRDefault="00690C5C" w:rsidP="00690C5C">
            <w:pPr>
              <w:spacing w:line="276" w:lineRule="auto"/>
              <w:jc w:val="center"/>
              <w:rPr>
                <w:rFonts w:ascii="Arial Narrow" w:eastAsia="Calibri" w:hAnsi="Arial Narrow"/>
                <w:sz w:val="20"/>
                <w:szCs w:val="20"/>
              </w:rPr>
            </w:pPr>
            <w:r w:rsidRPr="00690C5C">
              <w:rPr>
                <w:rFonts w:ascii="Arial Narrow" w:eastAsia="Calibri" w:hAnsi="Arial Narrow"/>
                <w:sz w:val="20"/>
                <w:szCs w:val="20"/>
              </w:rPr>
              <w:t>1</w:t>
            </w:r>
          </w:p>
        </w:tc>
        <w:tc>
          <w:tcPr>
            <w:tcW w:w="2117" w:type="pct"/>
            <w:tcBorders>
              <w:top w:val="single" w:sz="4" w:space="0" w:color="auto"/>
              <w:left w:val="single" w:sz="4" w:space="0" w:color="auto"/>
              <w:bottom w:val="single" w:sz="4" w:space="0" w:color="auto"/>
              <w:right w:val="single" w:sz="4" w:space="0" w:color="auto"/>
            </w:tcBorders>
            <w:vAlign w:val="center"/>
          </w:tcPr>
          <w:p w14:paraId="3674DC09" w14:textId="77777777" w:rsidR="00690C5C" w:rsidRPr="00690C5C" w:rsidRDefault="00690C5C" w:rsidP="00690C5C">
            <w:pPr>
              <w:spacing w:line="276" w:lineRule="auto"/>
              <w:jc w:val="center"/>
              <w:rPr>
                <w:rFonts w:ascii="Arial Narrow" w:eastAsia="Calibri" w:hAnsi="Arial Narrow"/>
                <w:sz w:val="20"/>
                <w:szCs w:val="20"/>
              </w:rPr>
            </w:pPr>
            <w:r w:rsidRPr="00690C5C">
              <w:rPr>
                <w:rFonts w:ascii="Arial Narrow" w:eastAsia="Calibri" w:hAnsi="Arial Narrow"/>
                <w:sz w:val="20"/>
                <w:szCs w:val="20"/>
              </w:rPr>
              <w:t xml:space="preserve">86 </w:t>
            </w:r>
          </w:p>
        </w:tc>
      </w:tr>
      <w:tr w:rsidR="00690C5C" w:rsidRPr="00690C5C" w14:paraId="3FCA5DC4" w14:textId="77777777" w:rsidTr="00C64DC2">
        <w:trPr>
          <w:trHeight w:val="294"/>
          <w:jc w:val="center"/>
        </w:trPr>
        <w:tc>
          <w:tcPr>
            <w:tcW w:w="1978" w:type="pct"/>
            <w:tcBorders>
              <w:top w:val="single" w:sz="4" w:space="0" w:color="auto"/>
              <w:left w:val="single" w:sz="4" w:space="0" w:color="auto"/>
              <w:bottom w:val="single" w:sz="4" w:space="0" w:color="auto"/>
              <w:right w:val="single" w:sz="4" w:space="0" w:color="auto"/>
            </w:tcBorders>
            <w:vAlign w:val="center"/>
          </w:tcPr>
          <w:p w14:paraId="35E17364" w14:textId="77777777" w:rsidR="00690C5C" w:rsidRPr="00690C5C" w:rsidRDefault="00690C5C" w:rsidP="00690C5C">
            <w:pPr>
              <w:contextualSpacing/>
              <w:rPr>
                <w:rFonts w:ascii="Arial Narrow" w:eastAsia="Calibri" w:hAnsi="Arial Narrow"/>
                <w:sz w:val="20"/>
                <w:szCs w:val="20"/>
                <w:lang w:val="bg-BG" w:eastAsia="bg-BG"/>
              </w:rPr>
            </w:pPr>
            <w:r w:rsidRPr="00690C5C">
              <w:rPr>
                <w:rFonts w:ascii="Arial Narrow" w:eastAsia="Calibri" w:hAnsi="Arial Narrow"/>
                <w:sz w:val="20"/>
                <w:szCs w:val="20"/>
                <w:lang w:val="bg-BG" w:eastAsia="bg-BG"/>
              </w:rPr>
              <w:t>Мукозна болест-вирусна диария</w:t>
            </w:r>
          </w:p>
        </w:tc>
        <w:tc>
          <w:tcPr>
            <w:tcW w:w="905" w:type="pct"/>
            <w:tcBorders>
              <w:top w:val="single" w:sz="4" w:space="0" w:color="auto"/>
              <w:left w:val="single" w:sz="4" w:space="0" w:color="auto"/>
              <w:bottom w:val="single" w:sz="4" w:space="0" w:color="auto"/>
              <w:right w:val="single" w:sz="4" w:space="0" w:color="auto"/>
            </w:tcBorders>
            <w:vAlign w:val="center"/>
          </w:tcPr>
          <w:p w14:paraId="25148677" w14:textId="77777777" w:rsidR="00690C5C" w:rsidRPr="00690C5C" w:rsidRDefault="00690C5C" w:rsidP="00690C5C">
            <w:pPr>
              <w:spacing w:line="276" w:lineRule="auto"/>
              <w:jc w:val="center"/>
              <w:rPr>
                <w:rFonts w:ascii="Arial Narrow" w:eastAsia="Calibri" w:hAnsi="Arial Narrow"/>
                <w:sz w:val="20"/>
                <w:szCs w:val="20"/>
              </w:rPr>
            </w:pPr>
            <w:r w:rsidRPr="00690C5C">
              <w:rPr>
                <w:rFonts w:ascii="Arial Narrow" w:eastAsia="Calibri" w:hAnsi="Arial Narrow"/>
                <w:sz w:val="20"/>
                <w:szCs w:val="20"/>
              </w:rPr>
              <w:t>1</w:t>
            </w:r>
          </w:p>
        </w:tc>
        <w:tc>
          <w:tcPr>
            <w:tcW w:w="2117" w:type="pct"/>
            <w:tcBorders>
              <w:top w:val="single" w:sz="4" w:space="0" w:color="auto"/>
              <w:left w:val="single" w:sz="4" w:space="0" w:color="auto"/>
              <w:bottom w:val="single" w:sz="4" w:space="0" w:color="auto"/>
              <w:right w:val="single" w:sz="4" w:space="0" w:color="auto"/>
            </w:tcBorders>
            <w:vAlign w:val="center"/>
          </w:tcPr>
          <w:p w14:paraId="1F77537B" w14:textId="77777777" w:rsidR="00690C5C" w:rsidRPr="00690C5C" w:rsidRDefault="00690C5C" w:rsidP="00690C5C">
            <w:pPr>
              <w:spacing w:line="276" w:lineRule="auto"/>
              <w:jc w:val="center"/>
              <w:rPr>
                <w:rFonts w:ascii="Arial Narrow" w:eastAsia="Calibri" w:hAnsi="Arial Narrow"/>
                <w:sz w:val="20"/>
                <w:szCs w:val="20"/>
              </w:rPr>
            </w:pPr>
            <w:r w:rsidRPr="00690C5C">
              <w:rPr>
                <w:rFonts w:ascii="Arial Narrow" w:eastAsia="Calibri" w:hAnsi="Arial Narrow"/>
                <w:sz w:val="20"/>
                <w:szCs w:val="20"/>
              </w:rPr>
              <w:t xml:space="preserve">71 </w:t>
            </w:r>
          </w:p>
        </w:tc>
      </w:tr>
      <w:tr w:rsidR="00690C5C" w:rsidRPr="00690C5C" w14:paraId="4850E2A5" w14:textId="77777777" w:rsidTr="00C64DC2">
        <w:trPr>
          <w:trHeight w:val="294"/>
          <w:jc w:val="center"/>
        </w:trPr>
        <w:tc>
          <w:tcPr>
            <w:tcW w:w="1978" w:type="pct"/>
            <w:tcBorders>
              <w:top w:val="single" w:sz="4" w:space="0" w:color="auto"/>
              <w:left w:val="single" w:sz="4" w:space="0" w:color="auto"/>
              <w:bottom w:val="single" w:sz="4" w:space="0" w:color="auto"/>
              <w:right w:val="single" w:sz="4" w:space="0" w:color="auto"/>
            </w:tcBorders>
            <w:vAlign w:val="center"/>
          </w:tcPr>
          <w:p w14:paraId="517BF800" w14:textId="77777777" w:rsidR="00690C5C" w:rsidRPr="00690C5C" w:rsidRDefault="00690C5C" w:rsidP="00690C5C">
            <w:pPr>
              <w:contextualSpacing/>
              <w:rPr>
                <w:rFonts w:ascii="Arial Narrow" w:eastAsia="Calibri" w:hAnsi="Arial Narrow"/>
                <w:sz w:val="20"/>
                <w:szCs w:val="20"/>
                <w:lang w:val="bg-BG" w:eastAsia="bg-BG"/>
              </w:rPr>
            </w:pPr>
            <w:r w:rsidRPr="00690C5C">
              <w:rPr>
                <w:rFonts w:ascii="Arial Narrow" w:eastAsia="Calibri" w:hAnsi="Arial Narrow"/>
                <w:sz w:val="20"/>
                <w:szCs w:val="20"/>
                <w:lang w:val="bg-BG" w:eastAsia="bg-BG"/>
              </w:rPr>
              <w:t>Туберкулоза</w:t>
            </w:r>
          </w:p>
        </w:tc>
        <w:tc>
          <w:tcPr>
            <w:tcW w:w="905" w:type="pct"/>
            <w:tcBorders>
              <w:top w:val="single" w:sz="4" w:space="0" w:color="auto"/>
              <w:left w:val="single" w:sz="4" w:space="0" w:color="auto"/>
              <w:bottom w:val="single" w:sz="4" w:space="0" w:color="auto"/>
              <w:right w:val="single" w:sz="4" w:space="0" w:color="auto"/>
            </w:tcBorders>
            <w:vAlign w:val="center"/>
          </w:tcPr>
          <w:p w14:paraId="1BE60300" w14:textId="77777777" w:rsidR="00690C5C" w:rsidRPr="00690C5C" w:rsidRDefault="00690C5C" w:rsidP="00690C5C">
            <w:pPr>
              <w:spacing w:line="276" w:lineRule="auto"/>
              <w:jc w:val="center"/>
              <w:rPr>
                <w:rFonts w:ascii="Arial Narrow" w:eastAsia="Calibri" w:hAnsi="Arial Narrow"/>
                <w:sz w:val="20"/>
                <w:szCs w:val="20"/>
              </w:rPr>
            </w:pPr>
            <w:r w:rsidRPr="00690C5C">
              <w:rPr>
                <w:rFonts w:ascii="Arial Narrow" w:eastAsia="Calibri" w:hAnsi="Arial Narrow"/>
                <w:sz w:val="20"/>
                <w:szCs w:val="20"/>
              </w:rPr>
              <w:t>1</w:t>
            </w:r>
          </w:p>
        </w:tc>
        <w:tc>
          <w:tcPr>
            <w:tcW w:w="2117" w:type="pct"/>
            <w:tcBorders>
              <w:top w:val="single" w:sz="4" w:space="0" w:color="auto"/>
              <w:left w:val="single" w:sz="4" w:space="0" w:color="auto"/>
              <w:bottom w:val="single" w:sz="4" w:space="0" w:color="auto"/>
              <w:right w:val="single" w:sz="4" w:space="0" w:color="auto"/>
            </w:tcBorders>
            <w:vAlign w:val="center"/>
          </w:tcPr>
          <w:p w14:paraId="620DD929" w14:textId="77777777" w:rsidR="00690C5C" w:rsidRPr="00690C5C" w:rsidRDefault="00690C5C" w:rsidP="00690C5C">
            <w:pPr>
              <w:spacing w:line="276" w:lineRule="auto"/>
              <w:jc w:val="center"/>
              <w:rPr>
                <w:rFonts w:ascii="Arial Narrow" w:eastAsia="Calibri" w:hAnsi="Arial Narrow"/>
                <w:sz w:val="20"/>
                <w:szCs w:val="20"/>
              </w:rPr>
            </w:pPr>
            <w:r w:rsidRPr="00690C5C">
              <w:rPr>
                <w:rFonts w:ascii="Arial Narrow" w:eastAsia="Calibri" w:hAnsi="Arial Narrow"/>
                <w:sz w:val="20"/>
                <w:szCs w:val="20"/>
              </w:rPr>
              <w:t>28.</w:t>
            </w:r>
          </w:p>
        </w:tc>
      </w:tr>
      <w:tr w:rsidR="00690C5C" w:rsidRPr="00690C5C" w14:paraId="4C09399D" w14:textId="77777777" w:rsidTr="00C64DC2">
        <w:trPr>
          <w:trHeight w:val="294"/>
          <w:jc w:val="center"/>
        </w:trPr>
        <w:tc>
          <w:tcPr>
            <w:tcW w:w="1978" w:type="pct"/>
            <w:tcBorders>
              <w:top w:val="single" w:sz="4" w:space="0" w:color="auto"/>
              <w:left w:val="single" w:sz="4" w:space="0" w:color="auto"/>
              <w:bottom w:val="single" w:sz="4" w:space="0" w:color="auto"/>
              <w:right w:val="single" w:sz="4" w:space="0" w:color="auto"/>
            </w:tcBorders>
            <w:vAlign w:val="center"/>
          </w:tcPr>
          <w:p w14:paraId="6213AB3B" w14:textId="77777777" w:rsidR="00690C5C" w:rsidRPr="00690C5C" w:rsidRDefault="00690C5C" w:rsidP="00690C5C">
            <w:pPr>
              <w:contextualSpacing/>
              <w:rPr>
                <w:rFonts w:ascii="Arial Narrow" w:eastAsia="Calibri" w:hAnsi="Arial Narrow"/>
                <w:sz w:val="20"/>
                <w:szCs w:val="20"/>
                <w:lang w:val="bg-BG" w:eastAsia="bg-BG"/>
              </w:rPr>
            </w:pPr>
            <w:r w:rsidRPr="00690C5C">
              <w:rPr>
                <w:rFonts w:ascii="Arial Narrow" w:eastAsia="Calibri" w:hAnsi="Arial Narrow"/>
                <w:sz w:val="20"/>
                <w:szCs w:val="20"/>
                <w:lang w:val="bg-BG" w:eastAsia="bg-BG"/>
              </w:rPr>
              <w:t>Салмонела – първично пр.</w:t>
            </w:r>
          </w:p>
        </w:tc>
        <w:tc>
          <w:tcPr>
            <w:tcW w:w="905" w:type="pct"/>
            <w:tcBorders>
              <w:top w:val="single" w:sz="4" w:space="0" w:color="auto"/>
              <w:left w:val="single" w:sz="4" w:space="0" w:color="auto"/>
              <w:bottom w:val="single" w:sz="4" w:space="0" w:color="auto"/>
              <w:right w:val="single" w:sz="4" w:space="0" w:color="auto"/>
            </w:tcBorders>
            <w:vAlign w:val="center"/>
          </w:tcPr>
          <w:p w14:paraId="279CE7BA" w14:textId="77777777" w:rsidR="00690C5C" w:rsidRPr="00690C5C" w:rsidRDefault="00690C5C" w:rsidP="00690C5C">
            <w:pPr>
              <w:spacing w:line="276" w:lineRule="auto"/>
              <w:jc w:val="center"/>
              <w:rPr>
                <w:rFonts w:ascii="Arial Narrow" w:eastAsia="Calibri" w:hAnsi="Arial Narrow"/>
                <w:sz w:val="20"/>
                <w:szCs w:val="20"/>
              </w:rPr>
            </w:pPr>
            <w:r w:rsidRPr="00690C5C">
              <w:rPr>
                <w:rFonts w:ascii="Arial Narrow" w:eastAsia="Calibri" w:hAnsi="Arial Narrow"/>
                <w:sz w:val="20"/>
                <w:szCs w:val="20"/>
              </w:rPr>
              <w:t>1</w:t>
            </w:r>
          </w:p>
        </w:tc>
        <w:tc>
          <w:tcPr>
            <w:tcW w:w="2117" w:type="pct"/>
            <w:tcBorders>
              <w:top w:val="single" w:sz="4" w:space="0" w:color="auto"/>
              <w:left w:val="single" w:sz="4" w:space="0" w:color="auto"/>
              <w:bottom w:val="single" w:sz="4" w:space="0" w:color="auto"/>
              <w:right w:val="single" w:sz="4" w:space="0" w:color="auto"/>
            </w:tcBorders>
            <w:vAlign w:val="center"/>
          </w:tcPr>
          <w:p w14:paraId="4972969F" w14:textId="77777777" w:rsidR="00690C5C" w:rsidRPr="00690C5C" w:rsidRDefault="00690C5C" w:rsidP="00690C5C">
            <w:pPr>
              <w:spacing w:line="276" w:lineRule="auto"/>
              <w:jc w:val="center"/>
              <w:rPr>
                <w:rFonts w:ascii="Arial Narrow" w:eastAsia="Calibri" w:hAnsi="Arial Narrow"/>
                <w:sz w:val="20"/>
                <w:szCs w:val="20"/>
              </w:rPr>
            </w:pPr>
            <w:r w:rsidRPr="00690C5C">
              <w:rPr>
                <w:rFonts w:ascii="Arial Narrow" w:eastAsia="Calibri" w:hAnsi="Arial Narrow"/>
                <w:sz w:val="20"/>
                <w:szCs w:val="20"/>
              </w:rPr>
              <w:t xml:space="preserve">136 </w:t>
            </w:r>
          </w:p>
        </w:tc>
      </w:tr>
      <w:tr w:rsidR="00690C5C" w:rsidRPr="00690C5C" w14:paraId="6C192F6D" w14:textId="77777777" w:rsidTr="00C64DC2">
        <w:trPr>
          <w:trHeight w:val="294"/>
          <w:jc w:val="center"/>
        </w:trPr>
        <w:tc>
          <w:tcPr>
            <w:tcW w:w="1978" w:type="pct"/>
            <w:tcBorders>
              <w:top w:val="single" w:sz="4" w:space="0" w:color="auto"/>
              <w:left w:val="single" w:sz="4" w:space="0" w:color="auto"/>
              <w:bottom w:val="single" w:sz="4" w:space="0" w:color="auto"/>
              <w:right w:val="single" w:sz="4" w:space="0" w:color="auto"/>
            </w:tcBorders>
            <w:vAlign w:val="center"/>
          </w:tcPr>
          <w:p w14:paraId="18F40C70" w14:textId="77777777" w:rsidR="00690C5C" w:rsidRPr="00690C5C" w:rsidRDefault="00690C5C" w:rsidP="00690C5C">
            <w:pPr>
              <w:contextualSpacing/>
              <w:rPr>
                <w:rFonts w:ascii="Arial Narrow" w:eastAsia="Calibri" w:hAnsi="Arial Narrow"/>
                <w:sz w:val="20"/>
                <w:szCs w:val="20"/>
                <w:lang w:val="bg-BG" w:eastAsia="bg-BG"/>
              </w:rPr>
            </w:pPr>
            <w:r w:rsidRPr="00690C5C">
              <w:rPr>
                <w:rFonts w:ascii="Arial Narrow" w:eastAsia="Calibri" w:hAnsi="Arial Narrow"/>
                <w:sz w:val="20"/>
                <w:szCs w:val="20"/>
                <w:lang w:val="bg-BG" w:eastAsia="bg-BG"/>
              </w:rPr>
              <w:t>Бруцелоза - НРЛ</w:t>
            </w:r>
          </w:p>
        </w:tc>
        <w:tc>
          <w:tcPr>
            <w:tcW w:w="905" w:type="pct"/>
            <w:tcBorders>
              <w:top w:val="single" w:sz="4" w:space="0" w:color="auto"/>
              <w:left w:val="single" w:sz="4" w:space="0" w:color="auto"/>
              <w:bottom w:val="single" w:sz="4" w:space="0" w:color="auto"/>
              <w:right w:val="single" w:sz="4" w:space="0" w:color="auto"/>
            </w:tcBorders>
            <w:vAlign w:val="center"/>
          </w:tcPr>
          <w:p w14:paraId="658DD457" w14:textId="77777777" w:rsidR="00690C5C" w:rsidRPr="00690C5C" w:rsidRDefault="00690C5C" w:rsidP="00690C5C">
            <w:pPr>
              <w:spacing w:line="276" w:lineRule="auto"/>
              <w:jc w:val="center"/>
              <w:rPr>
                <w:rFonts w:ascii="Arial Narrow" w:eastAsia="Calibri" w:hAnsi="Arial Narrow"/>
                <w:sz w:val="20"/>
                <w:szCs w:val="20"/>
              </w:rPr>
            </w:pPr>
            <w:r w:rsidRPr="00690C5C">
              <w:rPr>
                <w:rFonts w:ascii="Arial Narrow" w:eastAsia="Calibri" w:hAnsi="Arial Narrow"/>
                <w:sz w:val="20"/>
                <w:szCs w:val="20"/>
              </w:rPr>
              <w:t>1</w:t>
            </w:r>
          </w:p>
        </w:tc>
        <w:tc>
          <w:tcPr>
            <w:tcW w:w="2117" w:type="pct"/>
            <w:tcBorders>
              <w:top w:val="single" w:sz="4" w:space="0" w:color="auto"/>
              <w:left w:val="single" w:sz="4" w:space="0" w:color="auto"/>
              <w:bottom w:val="single" w:sz="4" w:space="0" w:color="auto"/>
              <w:right w:val="single" w:sz="4" w:space="0" w:color="auto"/>
            </w:tcBorders>
            <w:vAlign w:val="center"/>
          </w:tcPr>
          <w:p w14:paraId="0D17FB87" w14:textId="77777777" w:rsidR="00690C5C" w:rsidRPr="00690C5C" w:rsidRDefault="00690C5C" w:rsidP="00690C5C">
            <w:pPr>
              <w:spacing w:line="276" w:lineRule="auto"/>
              <w:jc w:val="center"/>
              <w:rPr>
                <w:rFonts w:ascii="Arial Narrow" w:eastAsia="Calibri" w:hAnsi="Arial Narrow"/>
                <w:sz w:val="20"/>
                <w:szCs w:val="20"/>
              </w:rPr>
            </w:pPr>
            <w:r w:rsidRPr="00690C5C">
              <w:rPr>
                <w:rFonts w:ascii="Arial Narrow" w:eastAsia="Calibri" w:hAnsi="Arial Narrow"/>
                <w:sz w:val="20"/>
                <w:szCs w:val="20"/>
              </w:rPr>
              <w:t xml:space="preserve">69 476 </w:t>
            </w:r>
          </w:p>
        </w:tc>
      </w:tr>
      <w:tr w:rsidR="00690C5C" w:rsidRPr="00690C5C" w14:paraId="0545665D" w14:textId="77777777" w:rsidTr="00C64DC2">
        <w:trPr>
          <w:trHeight w:val="294"/>
          <w:jc w:val="center"/>
        </w:trPr>
        <w:tc>
          <w:tcPr>
            <w:tcW w:w="1978" w:type="pct"/>
            <w:tcBorders>
              <w:top w:val="single" w:sz="4" w:space="0" w:color="auto"/>
              <w:left w:val="single" w:sz="4" w:space="0" w:color="auto"/>
              <w:bottom w:val="single" w:sz="4" w:space="0" w:color="auto"/>
              <w:right w:val="single" w:sz="4" w:space="0" w:color="auto"/>
            </w:tcBorders>
            <w:vAlign w:val="center"/>
          </w:tcPr>
          <w:p w14:paraId="1D3D4A15" w14:textId="77777777" w:rsidR="00690C5C" w:rsidRPr="00690C5C" w:rsidRDefault="00690C5C" w:rsidP="00690C5C">
            <w:pPr>
              <w:contextualSpacing/>
              <w:rPr>
                <w:rFonts w:ascii="Arial Narrow" w:eastAsia="Calibri" w:hAnsi="Arial Narrow"/>
                <w:sz w:val="20"/>
                <w:szCs w:val="20"/>
                <w:lang w:val="bg-BG" w:eastAsia="bg-BG"/>
              </w:rPr>
            </w:pPr>
            <w:r w:rsidRPr="00690C5C">
              <w:rPr>
                <w:rFonts w:ascii="Arial Narrow" w:eastAsia="Calibri" w:hAnsi="Arial Narrow"/>
                <w:sz w:val="20"/>
                <w:szCs w:val="20"/>
                <w:lang w:val="bg-BG" w:eastAsia="bg-BG"/>
              </w:rPr>
              <w:t>Бяс</w:t>
            </w:r>
          </w:p>
        </w:tc>
        <w:tc>
          <w:tcPr>
            <w:tcW w:w="905" w:type="pct"/>
            <w:tcBorders>
              <w:top w:val="single" w:sz="4" w:space="0" w:color="auto"/>
              <w:left w:val="single" w:sz="4" w:space="0" w:color="auto"/>
              <w:bottom w:val="single" w:sz="4" w:space="0" w:color="auto"/>
              <w:right w:val="single" w:sz="4" w:space="0" w:color="auto"/>
            </w:tcBorders>
            <w:vAlign w:val="center"/>
          </w:tcPr>
          <w:p w14:paraId="534FC73E" w14:textId="77777777" w:rsidR="00690C5C" w:rsidRPr="00690C5C" w:rsidRDefault="00690C5C" w:rsidP="00690C5C">
            <w:pPr>
              <w:spacing w:line="276" w:lineRule="auto"/>
              <w:jc w:val="center"/>
              <w:rPr>
                <w:rFonts w:ascii="Arial Narrow" w:eastAsia="Calibri" w:hAnsi="Arial Narrow"/>
                <w:sz w:val="20"/>
                <w:szCs w:val="20"/>
              </w:rPr>
            </w:pPr>
            <w:r w:rsidRPr="00690C5C">
              <w:rPr>
                <w:rFonts w:ascii="Arial Narrow" w:eastAsia="Calibri" w:hAnsi="Arial Narrow"/>
                <w:sz w:val="20"/>
                <w:szCs w:val="20"/>
              </w:rPr>
              <w:t>1</w:t>
            </w:r>
          </w:p>
        </w:tc>
        <w:tc>
          <w:tcPr>
            <w:tcW w:w="2117" w:type="pct"/>
            <w:tcBorders>
              <w:top w:val="single" w:sz="4" w:space="0" w:color="auto"/>
              <w:left w:val="single" w:sz="4" w:space="0" w:color="auto"/>
              <w:bottom w:val="single" w:sz="4" w:space="0" w:color="auto"/>
              <w:right w:val="single" w:sz="4" w:space="0" w:color="auto"/>
            </w:tcBorders>
            <w:vAlign w:val="center"/>
          </w:tcPr>
          <w:p w14:paraId="369B7788" w14:textId="77777777" w:rsidR="00690C5C" w:rsidRPr="00690C5C" w:rsidRDefault="00690C5C" w:rsidP="00690C5C">
            <w:pPr>
              <w:spacing w:line="276" w:lineRule="auto"/>
              <w:jc w:val="center"/>
              <w:rPr>
                <w:rFonts w:ascii="Arial Narrow" w:eastAsia="Calibri" w:hAnsi="Arial Narrow"/>
                <w:sz w:val="20"/>
                <w:szCs w:val="20"/>
              </w:rPr>
            </w:pPr>
            <w:r w:rsidRPr="00690C5C">
              <w:rPr>
                <w:rFonts w:ascii="Arial Narrow" w:eastAsia="Calibri" w:hAnsi="Arial Narrow"/>
                <w:sz w:val="20"/>
                <w:szCs w:val="20"/>
              </w:rPr>
              <w:t xml:space="preserve">2 018 </w:t>
            </w:r>
          </w:p>
        </w:tc>
      </w:tr>
      <w:tr w:rsidR="00690C5C" w:rsidRPr="00690C5C" w14:paraId="32CAD6E8" w14:textId="77777777" w:rsidTr="00C64DC2">
        <w:trPr>
          <w:trHeight w:val="294"/>
          <w:jc w:val="center"/>
        </w:trPr>
        <w:tc>
          <w:tcPr>
            <w:tcW w:w="1978" w:type="pct"/>
            <w:tcBorders>
              <w:top w:val="single" w:sz="4" w:space="0" w:color="auto"/>
              <w:left w:val="single" w:sz="4" w:space="0" w:color="auto"/>
              <w:bottom w:val="single" w:sz="4" w:space="0" w:color="auto"/>
              <w:right w:val="single" w:sz="4" w:space="0" w:color="auto"/>
            </w:tcBorders>
            <w:vAlign w:val="center"/>
          </w:tcPr>
          <w:p w14:paraId="5274BBFA" w14:textId="77777777" w:rsidR="00690C5C" w:rsidRPr="00690C5C" w:rsidRDefault="00690C5C" w:rsidP="00690C5C">
            <w:pPr>
              <w:contextualSpacing/>
              <w:rPr>
                <w:rFonts w:ascii="Arial Narrow" w:eastAsia="Calibri" w:hAnsi="Arial Narrow"/>
                <w:sz w:val="20"/>
                <w:szCs w:val="20"/>
                <w:lang w:val="bg-BG" w:eastAsia="bg-BG"/>
              </w:rPr>
            </w:pPr>
            <w:r w:rsidRPr="00690C5C">
              <w:rPr>
                <w:rFonts w:ascii="Arial Narrow" w:eastAsia="Calibri" w:hAnsi="Arial Narrow"/>
                <w:sz w:val="20"/>
                <w:szCs w:val="20"/>
                <w:lang w:val="bg-BG" w:eastAsia="bg-BG"/>
              </w:rPr>
              <w:t>Антракс</w:t>
            </w:r>
          </w:p>
        </w:tc>
        <w:tc>
          <w:tcPr>
            <w:tcW w:w="905" w:type="pct"/>
            <w:tcBorders>
              <w:top w:val="single" w:sz="4" w:space="0" w:color="auto"/>
              <w:left w:val="single" w:sz="4" w:space="0" w:color="auto"/>
              <w:bottom w:val="single" w:sz="4" w:space="0" w:color="auto"/>
              <w:right w:val="single" w:sz="4" w:space="0" w:color="auto"/>
            </w:tcBorders>
            <w:vAlign w:val="center"/>
          </w:tcPr>
          <w:p w14:paraId="635C3684" w14:textId="77777777" w:rsidR="00690C5C" w:rsidRPr="00690C5C" w:rsidRDefault="00690C5C" w:rsidP="00690C5C">
            <w:pPr>
              <w:spacing w:line="276" w:lineRule="auto"/>
              <w:jc w:val="center"/>
              <w:rPr>
                <w:rFonts w:ascii="Arial Narrow" w:eastAsia="Calibri" w:hAnsi="Arial Narrow"/>
                <w:sz w:val="20"/>
                <w:szCs w:val="20"/>
              </w:rPr>
            </w:pPr>
            <w:r w:rsidRPr="00690C5C">
              <w:rPr>
                <w:rFonts w:ascii="Arial Narrow" w:eastAsia="Calibri" w:hAnsi="Arial Narrow"/>
                <w:sz w:val="20"/>
                <w:szCs w:val="20"/>
              </w:rPr>
              <w:t>1</w:t>
            </w:r>
          </w:p>
        </w:tc>
        <w:tc>
          <w:tcPr>
            <w:tcW w:w="2117" w:type="pct"/>
            <w:tcBorders>
              <w:top w:val="single" w:sz="4" w:space="0" w:color="auto"/>
              <w:left w:val="single" w:sz="4" w:space="0" w:color="auto"/>
              <w:bottom w:val="single" w:sz="4" w:space="0" w:color="auto"/>
              <w:right w:val="single" w:sz="4" w:space="0" w:color="auto"/>
            </w:tcBorders>
            <w:vAlign w:val="center"/>
          </w:tcPr>
          <w:p w14:paraId="63A457D8" w14:textId="77777777" w:rsidR="00690C5C" w:rsidRPr="00690C5C" w:rsidRDefault="00690C5C" w:rsidP="00690C5C">
            <w:pPr>
              <w:spacing w:line="276" w:lineRule="auto"/>
              <w:jc w:val="center"/>
              <w:rPr>
                <w:rFonts w:ascii="Arial Narrow" w:eastAsia="Calibri" w:hAnsi="Arial Narrow"/>
                <w:sz w:val="20"/>
                <w:szCs w:val="20"/>
              </w:rPr>
            </w:pPr>
            <w:r w:rsidRPr="00690C5C">
              <w:rPr>
                <w:rFonts w:ascii="Arial Narrow" w:eastAsia="Calibri" w:hAnsi="Arial Narrow"/>
                <w:sz w:val="20"/>
                <w:szCs w:val="20"/>
              </w:rPr>
              <w:t xml:space="preserve">16 </w:t>
            </w:r>
          </w:p>
        </w:tc>
      </w:tr>
      <w:tr w:rsidR="00690C5C" w:rsidRPr="00690C5C" w14:paraId="6A77FCE7" w14:textId="77777777" w:rsidTr="00C64DC2">
        <w:trPr>
          <w:trHeight w:val="294"/>
          <w:jc w:val="center"/>
        </w:trPr>
        <w:tc>
          <w:tcPr>
            <w:tcW w:w="1978" w:type="pct"/>
            <w:tcBorders>
              <w:top w:val="single" w:sz="4" w:space="0" w:color="auto"/>
              <w:left w:val="single" w:sz="4" w:space="0" w:color="auto"/>
              <w:bottom w:val="single" w:sz="4" w:space="0" w:color="auto"/>
              <w:right w:val="single" w:sz="4" w:space="0" w:color="auto"/>
            </w:tcBorders>
            <w:vAlign w:val="center"/>
          </w:tcPr>
          <w:p w14:paraId="2AA3492A" w14:textId="77777777" w:rsidR="00690C5C" w:rsidRPr="00690C5C" w:rsidRDefault="00690C5C" w:rsidP="00690C5C">
            <w:pPr>
              <w:contextualSpacing/>
              <w:rPr>
                <w:rFonts w:ascii="Arial Narrow" w:eastAsia="Calibri" w:hAnsi="Arial Narrow"/>
                <w:sz w:val="20"/>
                <w:szCs w:val="20"/>
                <w:lang w:val="bg-BG" w:eastAsia="bg-BG"/>
              </w:rPr>
            </w:pPr>
            <w:r w:rsidRPr="00690C5C">
              <w:rPr>
                <w:rFonts w:ascii="Arial Narrow" w:eastAsia="Calibri" w:hAnsi="Arial Narrow"/>
                <w:sz w:val="20"/>
                <w:szCs w:val="20"/>
                <w:lang w:val="bg-BG" w:eastAsia="bg-BG"/>
              </w:rPr>
              <w:t>Болести по пчелите</w:t>
            </w:r>
          </w:p>
        </w:tc>
        <w:tc>
          <w:tcPr>
            <w:tcW w:w="905" w:type="pct"/>
            <w:tcBorders>
              <w:top w:val="single" w:sz="4" w:space="0" w:color="auto"/>
              <w:left w:val="single" w:sz="4" w:space="0" w:color="auto"/>
              <w:bottom w:val="single" w:sz="4" w:space="0" w:color="auto"/>
              <w:right w:val="single" w:sz="4" w:space="0" w:color="auto"/>
            </w:tcBorders>
            <w:vAlign w:val="center"/>
          </w:tcPr>
          <w:p w14:paraId="553AA3A7" w14:textId="77777777" w:rsidR="00690C5C" w:rsidRPr="00690C5C" w:rsidRDefault="00690C5C" w:rsidP="00690C5C">
            <w:pPr>
              <w:spacing w:line="276" w:lineRule="auto"/>
              <w:jc w:val="center"/>
              <w:rPr>
                <w:rFonts w:ascii="Arial Narrow" w:eastAsia="Calibri" w:hAnsi="Arial Narrow"/>
                <w:sz w:val="20"/>
                <w:szCs w:val="20"/>
              </w:rPr>
            </w:pPr>
            <w:r w:rsidRPr="00690C5C">
              <w:rPr>
                <w:rFonts w:ascii="Arial Narrow" w:eastAsia="Calibri" w:hAnsi="Arial Narrow"/>
                <w:sz w:val="20"/>
                <w:szCs w:val="20"/>
              </w:rPr>
              <w:t>1</w:t>
            </w:r>
          </w:p>
        </w:tc>
        <w:tc>
          <w:tcPr>
            <w:tcW w:w="2117" w:type="pct"/>
            <w:tcBorders>
              <w:top w:val="single" w:sz="4" w:space="0" w:color="auto"/>
              <w:left w:val="single" w:sz="4" w:space="0" w:color="auto"/>
              <w:bottom w:val="single" w:sz="4" w:space="0" w:color="auto"/>
              <w:right w:val="single" w:sz="4" w:space="0" w:color="auto"/>
            </w:tcBorders>
            <w:vAlign w:val="center"/>
          </w:tcPr>
          <w:p w14:paraId="45A51DE0" w14:textId="77777777" w:rsidR="00690C5C" w:rsidRPr="00690C5C" w:rsidRDefault="00690C5C" w:rsidP="00690C5C">
            <w:pPr>
              <w:spacing w:line="276" w:lineRule="auto"/>
              <w:jc w:val="center"/>
              <w:rPr>
                <w:rFonts w:ascii="Arial Narrow" w:eastAsia="Calibri" w:hAnsi="Arial Narrow"/>
                <w:sz w:val="20"/>
                <w:szCs w:val="20"/>
              </w:rPr>
            </w:pPr>
            <w:r w:rsidRPr="00690C5C">
              <w:rPr>
                <w:rFonts w:ascii="Arial Narrow" w:eastAsia="Calibri" w:hAnsi="Arial Narrow"/>
                <w:sz w:val="20"/>
                <w:szCs w:val="20"/>
              </w:rPr>
              <w:t xml:space="preserve">355 </w:t>
            </w:r>
          </w:p>
        </w:tc>
      </w:tr>
      <w:tr w:rsidR="00690C5C" w:rsidRPr="00690C5C" w14:paraId="1AC66768" w14:textId="77777777" w:rsidTr="00C64DC2">
        <w:trPr>
          <w:trHeight w:val="294"/>
          <w:jc w:val="center"/>
        </w:trPr>
        <w:tc>
          <w:tcPr>
            <w:tcW w:w="1978" w:type="pct"/>
            <w:tcBorders>
              <w:top w:val="single" w:sz="4" w:space="0" w:color="auto"/>
              <w:left w:val="single" w:sz="4" w:space="0" w:color="auto"/>
              <w:bottom w:val="single" w:sz="4" w:space="0" w:color="auto"/>
              <w:right w:val="single" w:sz="4" w:space="0" w:color="auto"/>
            </w:tcBorders>
            <w:vAlign w:val="center"/>
          </w:tcPr>
          <w:p w14:paraId="182E24A7" w14:textId="77777777" w:rsidR="00690C5C" w:rsidRPr="00690C5C" w:rsidRDefault="00690C5C" w:rsidP="00690C5C">
            <w:pPr>
              <w:contextualSpacing/>
              <w:rPr>
                <w:rFonts w:ascii="Arial Narrow" w:eastAsia="Calibri" w:hAnsi="Arial Narrow"/>
                <w:sz w:val="20"/>
                <w:szCs w:val="20"/>
                <w:lang w:val="bg-BG" w:eastAsia="bg-BG"/>
              </w:rPr>
            </w:pPr>
            <w:r w:rsidRPr="00690C5C">
              <w:rPr>
                <w:rFonts w:ascii="Arial Narrow" w:eastAsia="Calibri" w:hAnsi="Arial Narrow"/>
                <w:sz w:val="20"/>
                <w:szCs w:val="20"/>
                <w:lang w:val="bg-BG" w:eastAsia="bg-BG"/>
              </w:rPr>
              <w:t>Болести по рибите/молюски</w:t>
            </w:r>
          </w:p>
        </w:tc>
        <w:tc>
          <w:tcPr>
            <w:tcW w:w="905" w:type="pct"/>
            <w:tcBorders>
              <w:top w:val="single" w:sz="4" w:space="0" w:color="auto"/>
              <w:left w:val="single" w:sz="4" w:space="0" w:color="auto"/>
              <w:bottom w:val="single" w:sz="4" w:space="0" w:color="auto"/>
              <w:right w:val="single" w:sz="4" w:space="0" w:color="auto"/>
            </w:tcBorders>
            <w:vAlign w:val="center"/>
          </w:tcPr>
          <w:p w14:paraId="3D40E260" w14:textId="77777777" w:rsidR="00690C5C" w:rsidRPr="00690C5C" w:rsidRDefault="00690C5C" w:rsidP="00690C5C">
            <w:pPr>
              <w:spacing w:line="276" w:lineRule="auto"/>
              <w:jc w:val="center"/>
              <w:rPr>
                <w:rFonts w:ascii="Arial Narrow" w:eastAsia="Calibri" w:hAnsi="Arial Narrow"/>
                <w:sz w:val="20"/>
                <w:szCs w:val="20"/>
              </w:rPr>
            </w:pPr>
            <w:r w:rsidRPr="00690C5C">
              <w:rPr>
                <w:rFonts w:ascii="Arial Narrow" w:eastAsia="Calibri" w:hAnsi="Arial Narrow"/>
                <w:sz w:val="20"/>
                <w:szCs w:val="20"/>
              </w:rPr>
              <w:t>1</w:t>
            </w:r>
          </w:p>
        </w:tc>
        <w:tc>
          <w:tcPr>
            <w:tcW w:w="2117" w:type="pct"/>
            <w:tcBorders>
              <w:top w:val="single" w:sz="4" w:space="0" w:color="auto"/>
              <w:left w:val="single" w:sz="4" w:space="0" w:color="auto"/>
              <w:bottom w:val="single" w:sz="4" w:space="0" w:color="auto"/>
              <w:right w:val="single" w:sz="4" w:space="0" w:color="auto"/>
            </w:tcBorders>
            <w:vAlign w:val="center"/>
          </w:tcPr>
          <w:p w14:paraId="7D395031" w14:textId="77777777" w:rsidR="00690C5C" w:rsidRPr="00690C5C" w:rsidRDefault="00690C5C" w:rsidP="00690C5C">
            <w:pPr>
              <w:spacing w:line="276" w:lineRule="auto"/>
              <w:jc w:val="center"/>
              <w:rPr>
                <w:rFonts w:ascii="Arial Narrow" w:eastAsia="Calibri" w:hAnsi="Arial Narrow"/>
                <w:sz w:val="20"/>
                <w:szCs w:val="20"/>
              </w:rPr>
            </w:pPr>
            <w:r w:rsidRPr="00690C5C">
              <w:rPr>
                <w:rFonts w:ascii="Arial Narrow" w:eastAsia="Calibri" w:hAnsi="Arial Narrow"/>
                <w:sz w:val="20"/>
                <w:szCs w:val="20"/>
              </w:rPr>
              <w:t xml:space="preserve">430 </w:t>
            </w:r>
          </w:p>
        </w:tc>
      </w:tr>
      <w:tr w:rsidR="00690C5C" w:rsidRPr="00690C5C" w14:paraId="370D33C5" w14:textId="77777777" w:rsidTr="00C64DC2">
        <w:trPr>
          <w:trHeight w:val="294"/>
          <w:jc w:val="center"/>
        </w:trPr>
        <w:tc>
          <w:tcPr>
            <w:tcW w:w="1978" w:type="pct"/>
            <w:tcBorders>
              <w:top w:val="single" w:sz="4" w:space="0" w:color="auto"/>
              <w:left w:val="single" w:sz="4" w:space="0" w:color="auto"/>
              <w:bottom w:val="single" w:sz="4" w:space="0" w:color="auto"/>
              <w:right w:val="single" w:sz="4" w:space="0" w:color="auto"/>
            </w:tcBorders>
            <w:vAlign w:val="center"/>
          </w:tcPr>
          <w:p w14:paraId="4879C125" w14:textId="77777777" w:rsidR="00690C5C" w:rsidRPr="00690C5C" w:rsidRDefault="00690C5C" w:rsidP="00690C5C">
            <w:pPr>
              <w:rPr>
                <w:rFonts w:ascii="Arial Narrow" w:eastAsia="Calibri" w:hAnsi="Arial Narrow"/>
                <w:sz w:val="20"/>
                <w:szCs w:val="20"/>
                <w:lang w:val="bg-BG" w:eastAsia="bg-BG"/>
              </w:rPr>
            </w:pPr>
            <w:r w:rsidRPr="00690C5C">
              <w:rPr>
                <w:rFonts w:ascii="Arial Narrow" w:eastAsia="Calibri" w:hAnsi="Arial Narrow"/>
                <w:sz w:val="20"/>
                <w:szCs w:val="20"/>
                <w:lang w:val="bg-BG" w:eastAsia="bg-BG"/>
              </w:rPr>
              <w:t xml:space="preserve">Африканска чума свине </w:t>
            </w:r>
          </w:p>
        </w:tc>
        <w:tc>
          <w:tcPr>
            <w:tcW w:w="905" w:type="pct"/>
            <w:tcBorders>
              <w:top w:val="single" w:sz="4" w:space="0" w:color="auto"/>
              <w:left w:val="single" w:sz="4" w:space="0" w:color="auto"/>
              <w:bottom w:val="single" w:sz="4" w:space="0" w:color="auto"/>
              <w:right w:val="single" w:sz="4" w:space="0" w:color="auto"/>
            </w:tcBorders>
            <w:vAlign w:val="center"/>
          </w:tcPr>
          <w:p w14:paraId="01F38369" w14:textId="77777777" w:rsidR="00690C5C" w:rsidRPr="00690C5C" w:rsidRDefault="00690C5C" w:rsidP="00690C5C">
            <w:pPr>
              <w:spacing w:line="276" w:lineRule="auto"/>
              <w:jc w:val="center"/>
              <w:rPr>
                <w:rFonts w:ascii="Arial Narrow" w:eastAsia="Calibri" w:hAnsi="Arial Narrow"/>
                <w:sz w:val="20"/>
                <w:szCs w:val="20"/>
              </w:rPr>
            </w:pPr>
            <w:r w:rsidRPr="00690C5C">
              <w:rPr>
                <w:rFonts w:ascii="Arial Narrow" w:eastAsia="Calibri" w:hAnsi="Arial Narrow"/>
                <w:sz w:val="20"/>
                <w:szCs w:val="20"/>
              </w:rPr>
              <w:t>3</w:t>
            </w:r>
          </w:p>
        </w:tc>
        <w:tc>
          <w:tcPr>
            <w:tcW w:w="2117" w:type="pct"/>
            <w:tcBorders>
              <w:top w:val="single" w:sz="4" w:space="0" w:color="auto"/>
              <w:left w:val="single" w:sz="4" w:space="0" w:color="auto"/>
              <w:bottom w:val="single" w:sz="4" w:space="0" w:color="auto"/>
              <w:right w:val="single" w:sz="4" w:space="0" w:color="auto"/>
            </w:tcBorders>
            <w:vAlign w:val="center"/>
          </w:tcPr>
          <w:p w14:paraId="7604F3E3" w14:textId="77777777" w:rsidR="00690C5C" w:rsidRPr="00690C5C" w:rsidRDefault="00690C5C" w:rsidP="00690C5C">
            <w:pPr>
              <w:spacing w:line="276" w:lineRule="auto"/>
              <w:jc w:val="center"/>
              <w:rPr>
                <w:rFonts w:ascii="Arial Narrow" w:eastAsia="Calibri" w:hAnsi="Arial Narrow"/>
                <w:sz w:val="20"/>
                <w:szCs w:val="20"/>
              </w:rPr>
            </w:pPr>
            <w:r w:rsidRPr="00690C5C">
              <w:rPr>
                <w:rFonts w:ascii="Arial Narrow" w:eastAsia="Calibri" w:hAnsi="Arial Narrow"/>
                <w:sz w:val="20"/>
                <w:szCs w:val="20"/>
              </w:rPr>
              <w:t xml:space="preserve">8 158 </w:t>
            </w:r>
          </w:p>
        </w:tc>
      </w:tr>
      <w:tr w:rsidR="00690C5C" w:rsidRPr="00690C5C" w14:paraId="73E5020B" w14:textId="77777777" w:rsidTr="00C64DC2">
        <w:trPr>
          <w:trHeight w:val="294"/>
          <w:jc w:val="center"/>
        </w:trPr>
        <w:tc>
          <w:tcPr>
            <w:tcW w:w="1978" w:type="pct"/>
            <w:tcBorders>
              <w:top w:val="single" w:sz="4" w:space="0" w:color="auto"/>
              <w:left w:val="single" w:sz="4" w:space="0" w:color="auto"/>
              <w:bottom w:val="single" w:sz="4" w:space="0" w:color="auto"/>
              <w:right w:val="single" w:sz="4" w:space="0" w:color="auto"/>
            </w:tcBorders>
            <w:vAlign w:val="center"/>
          </w:tcPr>
          <w:p w14:paraId="1087D121" w14:textId="77777777" w:rsidR="00690C5C" w:rsidRPr="00690C5C" w:rsidRDefault="00690C5C" w:rsidP="00690C5C">
            <w:pPr>
              <w:rPr>
                <w:rFonts w:ascii="Arial Narrow" w:eastAsia="Calibri" w:hAnsi="Arial Narrow"/>
                <w:sz w:val="20"/>
                <w:szCs w:val="20"/>
                <w:lang w:val="bg-BG" w:eastAsia="bg-BG"/>
              </w:rPr>
            </w:pPr>
            <w:r w:rsidRPr="00690C5C">
              <w:rPr>
                <w:rFonts w:ascii="Arial Narrow" w:eastAsia="Calibri" w:hAnsi="Arial Narrow"/>
                <w:sz w:val="20"/>
                <w:szCs w:val="20"/>
                <w:lang w:val="bg-BG" w:eastAsia="bg-BG"/>
              </w:rPr>
              <w:t xml:space="preserve">Класическа чума свине </w:t>
            </w:r>
          </w:p>
        </w:tc>
        <w:tc>
          <w:tcPr>
            <w:tcW w:w="905" w:type="pct"/>
            <w:tcBorders>
              <w:top w:val="single" w:sz="4" w:space="0" w:color="auto"/>
              <w:left w:val="single" w:sz="4" w:space="0" w:color="auto"/>
              <w:bottom w:val="single" w:sz="4" w:space="0" w:color="auto"/>
              <w:right w:val="single" w:sz="4" w:space="0" w:color="auto"/>
            </w:tcBorders>
            <w:vAlign w:val="center"/>
          </w:tcPr>
          <w:p w14:paraId="456E9A2E" w14:textId="77777777" w:rsidR="00690C5C" w:rsidRPr="00690C5C" w:rsidRDefault="00690C5C" w:rsidP="00690C5C">
            <w:pPr>
              <w:spacing w:line="276" w:lineRule="auto"/>
              <w:jc w:val="center"/>
              <w:rPr>
                <w:rFonts w:ascii="Arial Narrow" w:eastAsia="Calibri" w:hAnsi="Arial Narrow"/>
                <w:sz w:val="20"/>
                <w:szCs w:val="20"/>
              </w:rPr>
            </w:pPr>
            <w:r w:rsidRPr="00690C5C">
              <w:rPr>
                <w:rFonts w:ascii="Arial Narrow" w:eastAsia="Calibri" w:hAnsi="Arial Narrow"/>
                <w:sz w:val="20"/>
                <w:szCs w:val="20"/>
              </w:rPr>
              <w:t>3</w:t>
            </w:r>
          </w:p>
        </w:tc>
        <w:tc>
          <w:tcPr>
            <w:tcW w:w="2117" w:type="pct"/>
            <w:tcBorders>
              <w:top w:val="single" w:sz="4" w:space="0" w:color="auto"/>
              <w:left w:val="single" w:sz="4" w:space="0" w:color="auto"/>
              <w:bottom w:val="single" w:sz="4" w:space="0" w:color="auto"/>
              <w:right w:val="single" w:sz="4" w:space="0" w:color="auto"/>
            </w:tcBorders>
            <w:vAlign w:val="center"/>
          </w:tcPr>
          <w:p w14:paraId="3F1DC395" w14:textId="77777777" w:rsidR="00690C5C" w:rsidRPr="00690C5C" w:rsidRDefault="00690C5C" w:rsidP="00690C5C">
            <w:pPr>
              <w:spacing w:line="276" w:lineRule="auto"/>
              <w:jc w:val="center"/>
              <w:rPr>
                <w:rFonts w:ascii="Arial Narrow" w:eastAsia="Calibri" w:hAnsi="Arial Narrow"/>
                <w:sz w:val="20"/>
                <w:szCs w:val="20"/>
              </w:rPr>
            </w:pPr>
            <w:r w:rsidRPr="00690C5C">
              <w:rPr>
                <w:rFonts w:ascii="Arial Narrow" w:eastAsia="Calibri" w:hAnsi="Arial Narrow"/>
                <w:sz w:val="20"/>
                <w:szCs w:val="20"/>
              </w:rPr>
              <w:t xml:space="preserve">6 515 </w:t>
            </w:r>
          </w:p>
        </w:tc>
      </w:tr>
      <w:tr w:rsidR="00690C5C" w:rsidRPr="00690C5C" w14:paraId="2A12BFAB" w14:textId="77777777" w:rsidTr="00C64DC2">
        <w:trPr>
          <w:trHeight w:val="294"/>
          <w:jc w:val="center"/>
        </w:trPr>
        <w:tc>
          <w:tcPr>
            <w:tcW w:w="1978" w:type="pct"/>
            <w:tcBorders>
              <w:top w:val="single" w:sz="4" w:space="0" w:color="auto"/>
              <w:left w:val="single" w:sz="4" w:space="0" w:color="auto"/>
              <w:bottom w:val="single" w:sz="4" w:space="0" w:color="auto"/>
              <w:right w:val="single" w:sz="4" w:space="0" w:color="auto"/>
            </w:tcBorders>
            <w:vAlign w:val="center"/>
          </w:tcPr>
          <w:p w14:paraId="338C54CF" w14:textId="77777777" w:rsidR="00690C5C" w:rsidRPr="00690C5C" w:rsidRDefault="00690C5C" w:rsidP="00690C5C">
            <w:pPr>
              <w:contextualSpacing/>
              <w:rPr>
                <w:rFonts w:ascii="Arial Narrow" w:eastAsia="Calibri" w:hAnsi="Arial Narrow"/>
                <w:sz w:val="20"/>
                <w:szCs w:val="20"/>
                <w:lang w:val="bg-BG" w:eastAsia="bg-BG"/>
              </w:rPr>
            </w:pPr>
            <w:r w:rsidRPr="00690C5C">
              <w:rPr>
                <w:rFonts w:ascii="Arial Narrow" w:eastAsia="Calibri" w:hAnsi="Arial Narrow"/>
                <w:sz w:val="20"/>
                <w:szCs w:val="20"/>
                <w:lang w:val="bg-BG" w:eastAsia="bg-BG"/>
              </w:rPr>
              <w:t>Чума по дребни преживни животни</w:t>
            </w:r>
          </w:p>
        </w:tc>
        <w:tc>
          <w:tcPr>
            <w:tcW w:w="905" w:type="pct"/>
            <w:tcBorders>
              <w:top w:val="single" w:sz="4" w:space="0" w:color="auto"/>
              <w:left w:val="single" w:sz="4" w:space="0" w:color="auto"/>
              <w:bottom w:val="single" w:sz="4" w:space="0" w:color="auto"/>
              <w:right w:val="single" w:sz="4" w:space="0" w:color="auto"/>
            </w:tcBorders>
            <w:vAlign w:val="center"/>
          </w:tcPr>
          <w:p w14:paraId="299E69EF" w14:textId="77777777" w:rsidR="00690C5C" w:rsidRPr="00690C5C" w:rsidRDefault="00690C5C" w:rsidP="00690C5C">
            <w:pPr>
              <w:spacing w:line="276" w:lineRule="auto"/>
              <w:jc w:val="center"/>
              <w:rPr>
                <w:rFonts w:ascii="Arial Narrow" w:eastAsia="Calibri" w:hAnsi="Arial Narrow"/>
                <w:sz w:val="20"/>
                <w:szCs w:val="20"/>
              </w:rPr>
            </w:pPr>
            <w:r w:rsidRPr="00690C5C">
              <w:rPr>
                <w:rFonts w:ascii="Arial Narrow" w:eastAsia="Calibri" w:hAnsi="Arial Narrow"/>
                <w:sz w:val="20"/>
                <w:szCs w:val="20"/>
              </w:rPr>
              <w:t>1</w:t>
            </w:r>
          </w:p>
        </w:tc>
        <w:tc>
          <w:tcPr>
            <w:tcW w:w="2117" w:type="pct"/>
            <w:tcBorders>
              <w:top w:val="single" w:sz="4" w:space="0" w:color="auto"/>
              <w:left w:val="single" w:sz="4" w:space="0" w:color="auto"/>
              <w:bottom w:val="single" w:sz="4" w:space="0" w:color="auto"/>
              <w:right w:val="single" w:sz="4" w:space="0" w:color="auto"/>
            </w:tcBorders>
            <w:vAlign w:val="center"/>
          </w:tcPr>
          <w:p w14:paraId="3D52BC68" w14:textId="77777777" w:rsidR="00690C5C" w:rsidRPr="00690C5C" w:rsidRDefault="00690C5C" w:rsidP="00690C5C">
            <w:pPr>
              <w:spacing w:line="276" w:lineRule="auto"/>
              <w:jc w:val="center"/>
              <w:rPr>
                <w:rFonts w:ascii="Arial Narrow" w:eastAsia="Calibri" w:hAnsi="Arial Narrow"/>
                <w:sz w:val="20"/>
                <w:szCs w:val="20"/>
              </w:rPr>
            </w:pPr>
            <w:r w:rsidRPr="00690C5C">
              <w:rPr>
                <w:rFonts w:ascii="Arial Narrow" w:eastAsia="Calibri" w:hAnsi="Arial Narrow"/>
                <w:sz w:val="20"/>
                <w:szCs w:val="20"/>
              </w:rPr>
              <w:t xml:space="preserve">8 754 </w:t>
            </w:r>
          </w:p>
        </w:tc>
      </w:tr>
      <w:tr w:rsidR="00690C5C" w:rsidRPr="00690C5C" w14:paraId="1469E26F" w14:textId="77777777" w:rsidTr="00C64DC2">
        <w:trPr>
          <w:trHeight w:val="294"/>
          <w:jc w:val="center"/>
        </w:trPr>
        <w:tc>
          <w:tcPr>
            <w:tcW w:w="1978" w:type="pct"/>
            <w:tcBorders>
              <w:top w:val="single" w:sz="4" w:space="0" w:color="auto"/>
              <w:left w:val="single" w:sz="4" w:space="0" w:color="auto"/>
              <w:bottom w:val="single" w:sz="4" w:space="0" w:color="auto"/>
              <w:right w:val="single" w:sz="4" w:space="0" w:color="auto"/>
            </w:tcBorders>
            <w:vAlign w:val="center"/>
          </w:tcPr>
          <w:p w14:paraId="2C4FCD74" w14:textId="77777777" w:rsidR="00690C5C" w:rsidRPr="00690C5C" w:rsidRDefault="00690C5C" w:rsidP="00690C5C">
            <w:pPr>
              <w:contextualSpacing/>
              <w:rPr>
                <w:rFonts w:ascii="Arial Narrow" w:eastAsia="Calibri" w:hAnsi="Arial Narrow"/>
                <w:sz w:val="20"/>
                <w:szCs w:val="20"/>
                <w:lang w:val="bg-BG" w:eastAsia="bg-BG"/>
              </w:rPr>
            </w:pPr>
            <w:r w:rsidRPr="00690C5C">
              <w:rPr>
                <w:rFonts w:ascii="Arial Narrow" w:eastAsia="Calibri" w:hAnsi="Arial Narrow"/>
                <w:sz w:val="20"/>
                <w:szCs w:val="20"/>
                <w:lang w:val="bg-BG" w:eastAsia="bg-BG"/>
              </w:rPr>
              <w:t>Шап по преживни животни</w:t>
            </w:r>
          </w:p>
        </w:tc>
        <w:tc>
          <w:tcPr>
            <w:tcW w:w="905" w:type="pct"/>
            <w:tcBorders>
              <w:top w:val="single" w:sz="4" w:space="0" w:color="auto"/>
              <w:left w:val="single" w:sz="4" w:space="0" w:color="auto"/>
              <w:bottom w:val="single" w:sz="4" w:space="0" w:color="auto"/>
              <w:right w:val="single" w:sz="4" w:space="0" w:color="auto"/>
            </w:tcBorders>
            <w:vAlign w:val="center"/>
          </w:tcPr>
          <w:p w14:paraId="0C8995D0" w14:textId="77777777" w:rsidR="00690C5C" w:rsidRPr="00690C5C" w:rsidRDefault="00690C5C" w:rsidP="00690C5C">
            <w:pPr>
              <w:spacing w:line="276" w:lineRule="auto"/>
              <w:jc w:val="center"/>
              <w:rPr>
                <w:rFonts w:ascii="Arial Narrow" w:eastAsia="Calibri" w:hAnsi="Arial Narrow"/>
                <w:sz w:val="20"/>
                <w:szCs w:val="20"/>
              </w:rPr>
            </w:pPr>
            <w:r w:rsidRPr="00690C5C">
              <w:rPr>
                <w:rFonts w:ascii="Arial Narrow" w:eastAsia="Calibri" w:hAnsi="Arial Narrow"/>
                <w:sz w:val="20"/>
                <w:szCs w:val="20"/>
              </w:rPr>
              <w:t>1</w:t>
            </w:r>
          </w:p>
        </w:tc>
        <w:tc>
          <w:tcPr>
            <w:tcW w:w="2117" w:type="pct"/>
            <w:tcBorders>
              <w:top w:val="single" w:sz="4" w:space="0" w:color="auto"/>
              <w:left w:val="single" w:sz="4" w:space="0" w:color="auto"/>
              <w:bottom w:val="single" w:sz="4" w:space="0" w:color="auto"/>
              <w:right w:val="single" w:sz="4" w:space="0" w:color="auto"/>
            </w:tcBorders>
            <w:vAlign w:val="center"/>
          </w:tcPr>
          <w:p w14:paraId="154508A8" w14:textId="77777777" w:rsidR="00690C5C" w:rsidRPr="00690C5C" w:rsidRDefault="00690C5C" w:rsidP="00690C5C">
            <w:pPr>
              <w:spacing w:line="276" w:lineRule="auto"/>
              <w:jc w:val="center"/>
              <w:rPr>
                <w:rFonts w:ascii="Arial Narrow" w:eastAsia="Calibri" w:hAnsi="Arial Narrow"/>
                <w:sz w:val="20"/>
                <w:szCs w:val="20"/>
              </w:rPr>
            </w:pPr>
            <w:r w:rsidRPr="00690C5C">
              <w:rPr>
                <w:rFonts w:ascii="Arial Narrow" w:eastAsia="Calibri" w:hAnsi="Arial Narrow"/>
                <w:sz w:val="20"/>
                <w:szCs w:val="20"/>
              </w:rPr>
              <w:t xml:space="preserve">4 731 </w:t>
            </w:r>
          </w:p>
        </w:tc>
      </w:tr>
      <w:tr w:rsidR="00690C5C" w:rsidRPr="00690C5C" w14:paraId="51006481" w14:textId="77777777" w:rsidTr="00C64DC2">
        <w:trPr>
          <w:trHeight w:val="294"/>
          <w:jc w:val="center"/>
        </w:trPr>
        <w:tc>
          <w:tcPr>
            <w:tcW w:w="1978" w:type="pct"/>
            <w:tcBorders>
              <w:top w:val="single" w:sz="4" w:space="0" w:color="auto"/>
              <w:left w:val="single" w:sz="4" w:space="0" w:color="auto"/>
              <w:bottom w:val="single" w:sz="4" w:space="0" w:color="auto"/>
              <w:right w:val="single" w:sz="4" w:space="0" w:color="auto"/>
            </w:tcBorders>
            <w:vAlign w:val="center"/>
          </w:tcPr>
          <w:p w14:paraId="3D208827" w14:textId="77777777" w:rsidR="00690C5C" w:rsidRPr="00690C5C" w:rsidRDefault="00690C5C" w:rsidP="00690C5C">
            <w:pPr>
              <w:spacing w:line="276" w:lineRule="auto"/>
              <w:jc w:val="both"/>
              <w:rPr>
                <w:rFonts w:ascii="Arial Narrow" w:eastAsia="Calibri" w:hAnsi="Arial Narrow"/>
                <w:sz w:val="20"/>
                <w:szCs w:val="20"/>
              </w:rPr>
            </w:pPr>
            <w:r w:rsidRPr="00690C5C">
              <w:rPr>
                <w:rFonts w:ascii="Arial Narrow" w:eastAsia="Calibri" w:hAnsi="Arial Narrow"/>
                <w:sz w:val="20"/>
                <w:szCs w:val="20"/>
              </w:rPr>
              <w:t>Син език</w:t>
            </w:r>
          </w:p>
        </w:tc>
        <w:tc>
          <w:tcPr>
            <w:tcW w:w="905" w:type="pct"/>
            <w:tcBorders>
              <w:top w:val="single" w:sz="4" w:space="0" w:color="auto"/>
              <w:left w:val="single" w:sz="4" w:space="0" w:color="auto"/>
              <w:bottom w:val="single" w:sz="4" w:space="0" w:color="auto"/>
              <w:right w:val="single" w:sz="4" w:space="0" w:color="auto"/>
            </w:tcBorders>
            <w:vAlign w:val="center"/>
          </w:tcPr>
          <w:p w14:paraId="2414131E" w14:textId="77777777" w:rsidR="00690C5C" w:rsidRPr="00690C5C" w:rsidRDefault="00690C5C" w:rsidP="00690C5C">
            <w:pPr>
              <w:spacing w:line="276" w:lineRule="auto"/>
              <w:jc w:val="center"/>
              <w:rPr>
                <w:rFonts w:ascii="Arial Narrow" w:eastAsia="Calibri" w:hAnsi="Arial Narrow"/>
                <w:sz w:val="20"/>
                <w:szCs w:val="20"/>
              </w:rPr>
            </w:pPr>
            <w:r w:rsidRPr="00690C5C">
              <w:rPr>
                <w:rFonts w:ascii="Arial Narrow" w:eastAsia="Calibri" w:hAnsi="Arial Narrow"/>
                <w:sz w:val="20"/>
                <w:szCs w:val="20"/>
              </w:rPr>
              <w:t>1</w:t>
            </w:r>
          </w:p>
        </w:tc>
        <w:tc>
          <w:tcPr>
            <w:tcW w:w="2117" w:type="pct"/>
            <w:tcBorders>
              <w:top w:val="single" w:sz="4" w:space="0" w:color="auto"/>
              <w:left w:val="single" w:sz="4" w:space="0" w:color="auto"/>
              <w:bottom w:val="single" w:sz="4" w:space="0" w:color="auto"/>
              <w:right w:val="single" w:sz="4" w:space="0" w:color="auto"/>
            </w:tcBorders>
            <w:vAlign w:val="center"/>
          </w:tcPr>
          <w:p w14:paraId="312E1C4C" w14:textId="77777777" w:rsidR="00690C5C" w:rsidRPr="00690C5C" w:rsidRDefault="00690C5C" w:rsidP="00690C5C">
            <w:pPr>
              <w:spacing w:line="276" w:lineRule="auto"/>
              <w:jc w:val="center"/>
              <w:rPr>
                <w:rFonts w:ascii="Arial Narrow" w:eastAsia="Calibri" w:hAnsi="Arial Narrow"/>
                <w:sz w:val="20"/>
                <w:szCs w:val="20"/>
              </w:rPr>
            </w:pPr>
            <w:r w:rsidRPr="00690C5C">
              <w:rPr>
                <w:rFonts w:ascii="Arial Narrow" w:eastAsia="Calibri" w:hAnsi="Arial Narrow"/>
                <w:sz w:val="20"/>
                <w:szCs w:val="20"/>
              </w:rPr>
              <w:t xml:space="preserve">6 143 </w:t>
            </w:r>
          </w:p>
        </w:tc>
      </w:tr>
      <w:tr w:rsidR="00690C5C" w:rsidRPr="00690C5C" w14:paraId="6680243B" w14:textId="77777777" w:rsidTr="00C64DC2">
        <w:trPr>
          <w:trHeight w:val="294"/>
          <w:jc w:val="center"/>
        </w:trPr>
        <w:tc>
          <w:tcPr>
            <w:tcW w:w="1978" w:type="pct"/>
            <w:tcBorders>
              <w:top w:val="single" w:sz="4" w:space="0" w:color="auto"/>
              <w:left w:val="single" w:sz="4" w:space="0" w:color="auto"/>
              <w:bottom w:val="single" w:sz="4" w:space="0" w:color="auto"/>
              <w:right w:val="single" w:sz="4" w:space="0" w:color="auto"/>
            </w:tcBorders>
            <w:vAlign w:val="center"/>
          </w:tcPr>
          <w:p w14:paraId="171C7AFD" w14:textId="77777777" w:rsidR="00690C5C" w:rsidRPr="00690C5C" w:rsidRDefault="00690C5C" w:rsidP="00690C5C">
            <w:pPr>
              <w:spacing w:line="276" w:lineRule="auto"/>
              <w:jc w:val="both"/>
              <w:rPr>
                <w:rFonts w:ascii="Arial Narrow" w:eastAsia="Calibri" w:hAnsi="Arial Narrow"/>
                <w:sz w:val="20"/>
                <w:szCs w:val="20"/>
              </w:rPr>
            </w:pPr>
            <w:r w:rsidRPr="00690C5C">
              <w:rPr>
                <w:rFonts w:ascii="Arial Narrow" w:eastAsia="Calibri" w:hAnsi="Arial Narrow"/>
                <w:sz w:val="20"/>
                <w:szCs w:val="20"/>
                <w:lang w:val="bg-BG"/>
              </w:rPr>
              <w:t>З</w:t>
            </w:r>
            <w:r w:rsidRPr="00690C5C">
              <w:rPr>
                <w:rFonts w:ascii="Arial Narrow" w:eastAsia="Calibri" w:hAnsi="Arial Narrow"/>
                <w:sz w:val="20"/>
                <w:szCs w:val="20"/>
              </w:rPr>
              <w:t xml:space="preserve">аразен нодуларен дерматит </w:t>
            </w:r>
          </w:p>
        </w:tc>
        <w:tc>
          <w:tcPr>
            <w:tcW w:w="905" w:type="pct"/>
            <w:tcBorders>
              <w:top w:val="single" w:sz="4" w:space="0" w:color="auto"/>
              <w:left w:val="single" w:sz="4" w:space="0" w:color="auto"/>
              <w:bottom w:val="single" w:sz="4" w:space="0" w:color="auto"/>
              <w:right w:val="single" w:sz="4" w:space="0" w:color="auto"/>
            </w:tcBorders>
            <w:vAlign w:val="center"/>
          </w:tcPr>
          <w:p w14:paraId="3AA6F262" w14:textId="77777777" w:rsidR="00690C5C" w:rsidRPr="00690C5C" w:rsidRDefault="00690C5C" w:rsidP="00690C5C">
            <w:pPr>
              <w:spacing w:line="276" w:lineRule="auto"/>
              <w:jc w:val="center"/>
              <w:rPr>
                <w:rFonts w:ascii="Arial Narrow" w:eastAsia="Calibri" w:hAnsi="Arial Narrow"/>
                <w:sz w:val="20"/>
                <w:szCs w:val="20"/>
              </w:rPr>
            </w:pPr>
            <w:r w:rsidRPr="00690C5C">
              <w:rPr>
                <w:rFonts w:ascii="Arial Narrow" w:eastAsia="Calibri" w:hAnsi="Arial Narrow"/>
                <w:sz w:val="20"/>
                <w:szCs w:val="20"/>
              </w:rPr>
              <w:t>1</w:t>
            </w:r>
          </w:p>
        </w:tc>
        <w:tc>
          <w:tcPr>
            <w:tcW w:w="2117" w:type="pct"/>
            <w:tcBorders>
              <w:top w:val="single" w:sz="4" w:space="0" w:color="auto"/>
              <w:left w:val="single" w:sz="4" w:space="0" w:color="auto"/>
              <w:bottom w:val="single" w:sz="4" w:space="0" w:color="auto"/>
              <w:right w:val="single" w:sz="4" w:space="0" w:color="auto"/>
            </w:tcBorders>
            <w:vAlign w:val="center"/>
          </w:tcPr>
          <w:p w14:paraId="31AD7577" w14:textId="77777777" w:rsidR="00690C5C" w:rsidRPr="00690C5C" w:rsidRDefault="00690C5C" w:rsidP="00690C5C">
            <w:pPr>
              <w:spacing w:line="276" w:lineRule="auto"/>
              <w:jc w:val="center"/>
              <w:rPr>
                <w:rFonts w:ascii="Arial Narrow" w:eastAsia="Calibri" w:hAnsi="Arial Narrow"/>
                <w:sz w:val="20"/>
                <w:szCs w:val="20"/>
              </w:rPr>
            </w:pPr>
            <w:r w:rsidRPr="00690C5C">
              <w:rPr>
                <w:rFonts w:ascii="Arial Narrow" w:eastAsia="Calibri" w:hAnsi="Arial Narrow"/>
                <w:sz w:val="20"/>
                <w:szCs w:val="20"/>
              </w:rPr>
              <w:t xml:space="preserve">5 834 </w:t>
            </w:r>
          </w:p>
        </w:tc>
      </w:tr>
      <w:tr w:rsidR="00690C5C" w:rsidRPr="00690C5C" w14:paraId="064DDF18" w14:textId="77777777" w:rsidTr="00C64DC2">
        <w:trPr>
          <w:trHeight w:val="294"/>
          <w:jc w:val="center"/>
        </w:trPr>
        <w:tc>
          <w:tcPr>
            <w:tcW w:w="1978" w:type="pct"/>
            <w:tcBorders>
              <w:top w:val="single" w:sz="4" w:space="0" w:color="auto"/>
              <w:left w:val="single" w:sz="4" w:space="0" w:color="auto"/>
              <w:bottom w:val="single" w:sz="4" w:space="0" w:color="auto"/>
              <w:right w:val="single" w:sz="4" w:space="0" w:color="auto"/>
            </w:tcBorders>
            <w:vAlign w:val="center"/>
          </w:tcPr>
          <w:p w14:paraId="5CFAC8A5" w14:textId="77777777" w:rsidR="00690C5C" w:rsidRPr="00690C5C" w:rsidRDefault="00690C5C" w:rsidP="00690C5C">
            <w:pPr>
              <w:spacing w:line="276" w:lineRule="auto"/>
              <w:jc w:val="both"/>
              <w:rPr>
                <w:rFonts w:ascii="Arial Narrow" w:eastAsia="Calibri" w:hAnsi="Arial Narrow"/>
                <w:sz w:val="20"/>
                <w:szCs w:val="20"/>
              </w:rPr>
            </w:pPr>
            <w:r w:rsidRPr="00690C5C">
              <w:rPr>
                <w:rFonts w:ascii="Arial Narrow" w:eastAsia="Calibri" w:hAnsi="Arial Narrow"/>
                <w:sz w:val="20"/>
                <w:szCs w:val="20"/>
              </w:rPr>
              <w:t>Инф</w:t>
            </w:r>
            <w:r w:rsidRPr="00690C5C">
              <w:rPr>
                <w:rFonts w:ascii="Arial Narrow" w:eastAsia="Calibri" w:hAnsi="Arial Narrow"/>
                <w:sz w:val="20"/>
                <w:szCs w:val="20"/>
                <w:lang w:val="bg-BG"/>
              </w:rPr>
              <w:t xml:space="preserve">екциозна </w:t>
            </w:r>
            <w:r w:rsidRPr="00690C5C">
              <w:rPr>
                <w:rFonts w:ascii="Arial Narrow" w:eastAsia="Calibri" w:hAnsi="Arial Narrow"/>
                <w:sz w:val="20"/>
                <w:szCs w:val="20"/>
              </w:rPr>
              <w:t>анемия по конете</w:t>
            </w:r>
          </w:p>
        </w:tc>
        <w:tc>
          <w:tcPr>
            <w:tcW w:w="905" w:type="pct"/>
            <w:tcBorders>
              <w:top w:val="single" w:sz="4" w:space="0" w:color="auto"/>
              <w:left w:val="single" w:sz="4" w:space="0" w:color="auto"/>
              <w:bottom w:val="single" w:sz="4" w:space="0" w:color="auto"/>
              <w:right w:val="single" w:sz="4" w:space="0" w:color="auto"/>
            </w:tcBorders>
            <w:vAlign w:val="center"/>
          </w:tcPr>
          <w:p w14:paraId="1BF03A49" w14:textId="77777777" w:rsidR="00690C5C" w:rsidRPr="00690C5C" w:rsidRDefault="00690C5C" w:rsidP="00690C5C">
            <w:pPr>
              <w:spacing w:line="276" w:lineRule="auto"/>
              <w:jc w:val="center"/>
              <w:rPr>
                <w:rFonts w:ascii="Arial Narrow" w:eastAsia="Calibri" w:hAnsi="Arial Narrow"/>
                <w:sz w:val="20"/>
                <w:szCs w:val="20"/>
              </w:rPr>
            </w:pPr>
            <w:r w:rsidRPr="00690C5C">
              <w:rPr>
                <w:rFonts w:ascii="Arial Narrow" w:eastAsia="Calibri" w:hAnsi="Arial Narrow"/>
                <w:sz w:val="20"/>
                <w:szCs w:val="20"/>
              </w:rPr>
              <w:t>1</w:t>
            </w:r>
          </w:p>
        </w:tc>
        <w:tc>
          <w:tcPr>
            <w:tcW w:w="2117" w:type="pct"/>
            <w:tcBorders>
              <w:top w:val="single" w:sz="4" w:space="0" w:color="auto"/>
              <w:left w:val="single" w:sz="4" w:space="0" w:color="auto"/>
              <w:bottom w:val="single" w:sz="4" w:space="0" w:color="auto"/>
              <w:right w:val="single" w:sz="4" w:space="0" w:color="auto"/>
            </w:tcBorders>
            <w:vAlign w:val="center"/>
          </w:tcPr>
          <w:p w14:paraId="69F8BBEA" w14:textId="77777777" w:rsidR="00690C5C" w:rsidRPr="00690C5C" w:rsidRDefault="00690C5C" w:rsidP="00690C5C">
            <w:pPr>
              <w:spacing w:line="276" w:lineRule="auto"/>
              <w:jc w:val="center"/>
              <w:rPr>
                <w:rFonts w:ascii="Arial Narrow" w:eastAsia="Calibri" w:hAnsi="Arial Narrow"/>
                <w:sz w:val="20"/>
                <w:szCs w:val="20"/>
              </w:rPr>
            </w:pPr>
            <w:r w:rsidRPr="00690C5C">
              <w:rPr>
                <w:rFonts w:ascii="Arial Narrow" w:eastAsia="Calibri" w:hAnsi="Arial Narrow"/>
                <w:sz w:val="20"/>
                <w:szCs w:val="20"/>
              </w:rPr>
              <w:t xml:space="preserve">885 </w:t>
            </w:r>
          </w:p>
        </w:tc>
      </w:tr>
      <w:tr w:rsidR="00690C5C" w:rsidRPr="00690C5C" w14:paraId="68273B8E" w14:textId="77777777" w:rsidTr="00C64DC2">
        <w:trPr>
          <w:trHeight w:val="294"/>
          <w:jc w:val="center"/>
        </w:trPr>
        <w:tc>
          <w:tcPr>
            <w:tcW w:w="1978" w:type="pct"/>
            <w:tcBorders>
              <w:top w:val="single" w:sz="4" w:space="0" w:color="auto"/>
              <w:left w:val="single" w:sz="4" w:space="0" w:color="auto"/>
              <w:bottom w:val="single" w:sz="4" w:space="0" w:color="auto"/>
              <w:right w:val="single" w:sz="4" w:space="0" w:color="auto"/>
            </w:tcBorders>
            <w:vAlign w:val="center"/>
          </w:tcPr>
          <w:p w14:paraId="74746273" w14:textId="77777777" w:rsidR="00690C5C" w:rsidRPr="00690C5C" w:rsidRDefault="00690C5C" w:rsidP="00690C5C">
            <w:pPr>
              <w:spacing w:line="276" w:lineRule="auto"/>
              <w:jc w:val="both"/>
              <w:rPr>
                <w:rFonts w:ascii="Arial Narrow" w:eastAsia="Calibri" w:hAnsi="Arial Narrow"/>
                <w:sz w:val="20"/>
                <w:szCs w:val="20"/>
              </w:rPr>
            </w:pPr>
            <w:r w:rsidRPr="00690C5C">
              <w:rPr>
                <w:rFonts w:ascii="Arial Narrow" w:eastAsia="Calibri" w:hAnsi="Arial Narrow"/>
                <w:sz w:val="20"/>
                <w:szCs w:val="20"/>
              </w:rPr>
              <w:t>Шарка по дребни преживни животни</w:t>
            </w:r>
          </w:p>
        </w:tc>
        <w:tc>
          <w:tcPr>
            <w:tcW w:w="905" w:type="pct"/>
            <w:tcBorders>
              <w:top w:val="single" w:sz="4" w:space="0" w:color="auto"/>
              <w:left w:val="single" w:sz="4" w:space="0" w:color="auto"/>
              <w:bottom w:val="single" w:sz="4" w:space="0" w:color="auto"/>
              <w:right w:val="single" w:sz="4" w:space="0" w:color="auto"/>
            </w:tcBorders>
            <w:vAlign w:val="center"/>
          </w:tcPr>
          <w:p w14:paraId="2FF1C19A" w14:textId="77777777" w:rsidR="00690C5C" w:rsidRPr="00690C5C" w:rsidRDefault="00690C5C" w:rsidP="00690C5C">
            <w:pPr>
              <w:spacing w:line="276" w:lineRule="auto"/>
              <w:jc w:val="center"/>
              <w:rPr>
                <w:rFonts w:ascii="Arial Narrow" w:eastAsia="Calibri" w:hAnsi="Arial Narrow"/>
                <w:sz w:val="20"/>
                <w:szCs w:val="20"/>
              </w:rPr>
            </w:pPr>
            <w:r w:rsidRPr="00690C5C">
              <w:rPr>
                <w:rFonts w:ascii="Arial Narrow" w:eastAsia="Calibri" w:hAnsi="Arial Narrow"/>
                <w:sz w:val="20"/>
                <w:szCs w:val="20"/>
              </w:rPr>
              <w:t>1</w:t>
            </w:r>
          </w:p>
        </w:tc>
        <w:tc>
          <w:tcPr>
            <w:tcW w:w="2117" w:type="pct"/>
            <w:tcBorders>
              <w:top w:val="single" w:sz="4" w:space="0" w:color="auto"/>
              <w:left w:val="single" w:sz="4" w:space="0" w:color="auto"/>
              <w:bottom w:val="single" w:sz="4" w:space="0" w:color="auto"/>
              <w:right w:val="single" w:sz="4" w:space="0" w:color="auto"/>
            </w:tcBorders>
            <w:vAlign w:val="center"/>
          </w:tcPr>
          <w:p w14:paraId="689CF31B" w14:textId="77777777" w:rsidR="00690C5C" w:rsidRPr="00690C5C" w:rsidRDefault="00690C5C" w:rsidP="00690C5C">
            <w:pPr>
              <w:spacing w:line="276" w:lineRule="auto"/>
              <w:jc w:val="center"/>
              <w:rPr>
                <w:rFonts w:ascii="Arial Narrow" w:eastAsia="Calibri" w:hAnsi="Arial Narrow"/>
                <w:sz w:val="20"/>
                <w:szCs w:val="20"/>
              </w:rPr>
            </w:pPr>
            <w:r w:rsidRPr="00690C5C">
              <w:rPr>
                <w:rFonts w:ascii="Arial Narrow" w:eastAsia="Calibri" w:hAnsi="Arial Narrow"/>
                <w:sz w:val="20"/>
                <w:szCs w:val="20"/>
              </w:rPr>
              <w:t>9 887</w:t>
            </w:r>
          </w:p>
        </w:tc>
      </w:tr>
      <w:tr w:rsidR="00690C5C" w:rsidRPr="00690C5C" w14:paraId="0A0DF6A8" w14:textId="77777777" w:rsidTr="00C64DC2">
        <w:trPr>
          <w:trHeight w:val="294"/>
          <w:jc w:val="center"/>
        </w:trPr>
        <w:tc>
          <w:tcPr>
            <w:tcW w:w="1978" w:type="pct"/>
            <w:tcBorders>
              <w:top w:val="single" w:sz="4" w:space="0" w:color="auto"/>
              <w:left w:val="single" w:sz="4" w:space="0" w:color="auto"/>
              <w:bottom w:val="single" w:sz="4" w:space="0" w:color="auto"/>
              <w:right w:val="single" w:sz="4" w:space="0" w:color="auto"/>
            </w:tcBorders>
            <w:vAlign w:val="center"/>
          </w:tcPr>
          <w:p w14:paraId="4424B43E" w14:textId="77777777" w:rsidR="00690C5C" w:rsidRPr="00690C5C" w:rsidRDefault="00690C5C" w:rsidP="00690C5C">
            <w:pPr>
              <w:spacing w:line="276" w:lineRule="auto"/>
              <w:jc w:val="both"/>
              <w:rPr>
                <w:rFonts w:ascii="Arial Narrow" w:eastAsia="Calibri" w:hAnsi="Arial Narrow"/>
                <w:sz w:val="20"/>
                <w:szCs w:val="20"/>
              </w:rPr>
            </w:pPr>
            <w:r w:rsidRPr="00690C5C">
              <w:rPr>
                <w:rFonts w:ascii="Arial Narrow" w:eastAsia="Calibri" w:hAnsi="Arial Narrow"/>
                <w:sz w:val="20"/>
                <w:szCs w:val="20"/>
              </w:rPr>
              <w:t>Треска от Западен Нил</w:t>
            </w:r>
          </w:p>
        </w:tc>
        <w:tc>
          <w:tcPr>
            <w:tcW w:w="905" w:type="pct"/>
            <w:tcBorders>
              <w:top w:val="single" w:sz="4" w:space="0" w:color="auto"/>
              <w:left w:val="single" w:sz="4" w:space="0" w:color="auto"/>
              <w:bottom w:val="single" w:sz="4" w:space="0" w:color="auto"/>
              <w:right w:val="single" w:sz="4" w:space="0" w:color="auto"/>
            </w:tcBorders>
            <w:vAlign w:val="center"/>
          </w:tcPr>
          <w:p w14:paraId="4F237973" w14:textId="77777777" w:rsidR="00690C5C" w:rsidRPr="00690C5C" w:rsidRDefault="00690C5C" w:rsidP="00690C5C">
            <w:pPr>
              <w:spacing w:line="276" w:lineRule="auto"/>
              <w:jc w:val="center"/>
              <w:rPr>
                <w:rFonts w:ascii="Arial Narrow" w:eastAsia="Calibri" w:hAnsi="Arial Narrow"/>
                <w:sz w:val="20"/>
                <w:szCs w:val="20"/>
              </w:rPr>
            </w:pPr>
            <w:r w:rsidRPr="00690C5C">
              <w:rPr>
                <w:rFonts w:ascii="Arial Narrow" w:eastAsia="Calibri" w:hAnsi="Arial Narrow"/>
                <w:sz w:val="20"/>
                <w:szCs w:val="20"/>
              </w:rPr>
              <w:t>1</w:t>
            </w:r>
          </w:p>
        </w:tc>
        <w:tc>
          <w:tcPr>
            <w:tcW w:w="2117" w:type="pct"/>
            <w:tcBorders>
              <w:top w:val="single" w:sz="4" w:space="0" w:color="auto"/>
              <w:left w:val="single" w:sz="4" w:space="0" w:color="auto"/>
              <w:bottom w:val="single" w:sz="4" w:space="0" w:color="auto"/>
              <w:right w:val="single" w:sz="4" w:space="0" w:color="auto"/>
            </w:tcBorders>
            <w:vAlign w:val="center"/>
          </w:tcPr>
          <w:p w14:paraId="1EF72332" w14:textId="77777777" w:rsidR="00690C5C" w:rsidRPr="00690C5C" w:rsidRDefault="00690C5C" w:rsidP="00690C5C">
            <w:pPr>
              <w:spacing w:line="276" w:lineRule="auto"/>
              <w:jc w:val="center"/>
              <w:rPr>
                <w:rFonts w:ascii="Arial Narrow" w:eastAsia="Calibri" w:hAnsi="Arial Narrow"/>
                <w:sz w:val="20"/>
                <w:szCs w:val="20"/>
              </w:rPr>
            </w:pPr>
            <w:r w:rsidRPr="00690C5C">
              <w:rPr>
                <w:rFonts w:ascii="Arial Narrow" w:eastAsia="Calibri" w:hAnsi="Arial Narrow"/>
                <w:sz w:val="20"/>
                <w:szCs w:val="20"/>
              </w:rPr>
              <w:t xml:space="preserve">1 243 </w:t>
            </w:r>
          </w:p>
        </w:tc>
      </w:tr>
    </w:tbl>
    <w:p w14:paraId="54BC3511" w14:textId="77777777" w:rsidR="009F4D2E" w:rsidRDefault="00690C5C" w:rsidP="009F4D2E">
      <w:pPr>
        <w:widowControl w:val="0"/>
        <w:spacing w:line="360" w:lineRule="auto"/>
        <w:jc w:val="both"/>
        <w:rPr>
          <w:rFonts w:ascii="Arial Narrow" w:hAnsi="Arial Narrow"/>
          <w:bCs/>
          <w:i/>
          <w:sz w:val="18"/>
          <w:szCs w:val="18"/>
          <w:lang w:val="bg-BG" w:eastAsia="bg-BG"/>
        </w:rPr>
      </w:pPr>
      <w:r w:rsidRPr="00690C5C">
        <w:rPr>
          <w:rFonts w:ascii="Arial Narrow" w:hAnsi="Arial Narrow"/>
          <w:bCs/>
          <w:i/>
          <w:sz w:val="18"/>
          <w:szCs w:val="18"/>
          <w:lang w:val="bg-BG" w:eastAsia="bg-BG"/>
        </w:rPr>
        <w:t xml:space="preserve">Източник: </w:t>
      </w:r>
      <w:r w:rsidRPr="00690C5C">
        <w:rPr>
          <w:rFonts w:ascii="Arial Narrow" w:hAnsi="Arial Narrow"/>
          <w:bCs/>
          <w:sz w:val="18"/>
          <w:szCs w:val="18"/>
          <w:lang w:val="bg-BG" w:eastAsia="bg-BG"/>
        </w:rPr>
        <w:t>БАБХ</w:t>
      </w:r>
    </w:p>
    <w:p w14:paraId="534CA331" w14:textId="77777777" w:rsidR="00690C5C" w:rsidRPr="00690C5C" w:rsidRDefault="00690C5C" w:rsidP="00690C5C">
      <w:pPr>
        <w:widowControl w:val="0"/>
        <w:spacing w:after="120"/>
        <w:ind w:firstLine="709"/>
        <w:jc w:val="both"/>
        <w:rPr>
          <w:rFonts w:ascii="Arial Narrow" w:hAnsi="Arial Narrow"/>
          <w:b/>
          <w:lang w:val="bg-BG" w:eastAsia="bg-BG"/>
        </w:rPr>
      </w:pPr>
      <w:r w:rsidRPr="00690C5C">
        <w:rPr>
          <w:rFonts w:ascii="Arial Narrow" w:hAnsi="Arial Narrow"/>
          <w:b/>
          <w:lang w:val="bg-BG" w:eastAsia="bg-BG"/>
        </w:rPr>
        <w:t>Одит на официалния контрол през 2024 г.</w:t>
      </w:r>
    </w:p>
    <w:p w14:paraId="3E1D7CB9" w14:textId="77777777" w:rsidR="00690C5C" w:rsidRPr="00690C5C" w:rsidRDefault="00690C5C" w:rsidP="00690C5C">
      <w:pPr>
        <w:spacing w:after="120"/>
        <w:ind w:firstLine="708"/>
        <w:jc w:val="both"/>
        <w:rPr>
          <w:rFonts w:ascii="Arial Narrow" w:hAnsi="Arial Narrow"/>
          <w:lang w:val="bg-BG" w:eastAsia="bg-BG"/>
        </w:rPr>
      </w:pPr>
      <w:r w:rsidRPr="00690C5C">
        <w:rPr>
          <w:rFonts w:ascii="Arial Narrow" w:hAnsi="Arial Narrow"/>
          <w:lang w:val="bg-BG" w:eastAsia="bg-BG"/>
        </w:rPr>
        <w:t xml:space="preserve">През 2024 г. </w:t>
      </w:r>
      <w:r w:rsidRPr="00690C5C">
        <w:rPr>
          <w:rFonts w:ascii="Arial Narrow" w:hAnsi="Arial Narrow"/>
          <w:lang w:val="bg-BG"/>
        </w:rPr>
        <w:t xml:space="preserve">в България </w:t>
      </w:r>
      <w:r w:rsidRPr="00690C5C">
        <w:rPr>
          <w:rFonts w:ascii="Arial Narrow" w:hAnsi="Arial Narrow"/>
          <w:lang w:val="bg-BG" w:eastAsia="bg-BG"/>
        </w:rPr>
        <w:t>са проведени следните одити от Генерална дирекция „Здравеопазване и безопасност на храните” на ЕК (DG SANTE) и трети държави в областта на официалния контрол на храните и животните:</w:t>
      </w:r>
    </w:p>
    <w:p w14:paraId="0C468A98" w14:textId="77777777" w:rsidR="00690C5C" w:rsidRPr="00690C5C" w:rsidRDefault="00690C5C" w:rsidP="00690C5C">
      <w:pPr>
        <w:widowControl w:val="0"/>
        <w:numPr>
          <w:ilvl w:val="0"/>
          <w:numId w:val="36"/>
        </w:numPr>
        <w:overflowPunct w:val="0"/>
        <w:autoSpaceDE w:val="0"/>
        <w:autoSpaceDN w:val="0"/>
        <w:adjustRightInd w:val="0"/>
        <w:spacing w:after="120" w:line="276" w:lineRule="auto"/>
        <w:ind w:left="714" w:hanging="357"/>
        <w:jc w:val="both"/>
        <w:rPr>
          <w:rFonts w:ascii="Arial Narrow" w:hAnsi="Arial Narrow"/>
          <w:lang w:val="bg-BG"/>
        </w:rPr>
      </w:pPr>
      <w:r w:rsidRPr="00690C5C">
        <w:rPr>
          <w:rFonts w:ascii="Arial Narrow" w:hAnsi="Arial Narrow"/>
          <w:lang w:val="bg-BG"/>
        </w:rPr>
        <w:t>Мисия в България по темата за двучерупчестите мекотели по изпълнявания SPS договор на ЕС;</w:t>
      </w:r>
    </w:p>
    <w:p w14:paraId="093FA457" w14:textId="77777777" w:rsidR="00690C5C" w:rsidRPr="00690C5C" w:rsidRDefault="00690C5C" w:rsidP="00690C5C">
      <w:pPr>
        <w:widowControl w:val="0"/>
        <w:numPr>
          <w:ilvl w:val="0"/>
          <w:numId w:val="36"/>
        </w:numPr>
        <w:overflowPunct w:val="0"/>
        <w:autoSpaceDE w:val="0"/>
        <w:autoSpaceDN w:val="0"/>
        <w:adjustRightInd w:val="0"/>
        <w:spacing w:after="120" w:line="276" w:lineRule="auto"/>
        <w:ind w:left="714" w:hanging="357"/>
        <w:jc w:val="both"/>
        <w:rPr>
          <w:rFonts w:ascii="Arial Narrow" w:hAnsi="Arial Narrow"/>
          <w:lang w:val="bg-BG"/>
        </w:rPr>
      </w:pPr>
      <w:r w:rsidRPr="00690C5C">
        <w:rPr>
          <w:rFonts w:ascii="Arial Narrow" w:hAnsi="Arial Narrow"/>
          <w:lang w:val="bg-BG"/>
        </w:rPr>
        <w:t>Одит „Храни от неживотински произход – Продукти за растителна защита - Разрешаване, продажба и употреба“, № 2024-7973;</w:t>
      </w:r>
    </w:p>
    <w:p w14:paraId="69905D24" w14:textId="77777777" w:rsidR="00690C5C" w:rsidRPr="00690C5C" w:rsidRDefault="00690C5C" w:rsidP="00690C5C">
      <w:pPr>
        <w:widowControl w:val="0"/>
        <w:numPr>
          <w:ilvl w:val="0"/>
          <w:numId w:val="36"/>
        </w:numPr>
        <w:overflowPunct w:val="0"/>
        <w:autoSpaceDE w:val="0"/>
        <w:autoSpaceDN w:val="0"/>
        <w:adjustRightInd w:val="0"/>
        <w:spacing w:after="120" w:line="276" w:lineRule="auto"/>
        <w:ind w:left="714" w:hanging="357"/>
        <w:jc w:val="both"/>
        <w:rPr>
          <w:rFonts w:ascii="Arial Narrow" w:hAnsi="Arial Narrow"/>
          <w:lang w:val="bg-BG"/>
        </w:rPr>
      </w:pPr>
      <w:r w:rsidRPr="00690C5C">
        <w:rPr>
          <w:rFonts w:ascii="Arial Narrow" w:hAnsi="Arial Narrow"/>
          <w:lang w:val="bg-BG"/>
        </w:rPr>
        <w:t xml:space="preserve">Одит на БАБХ от Европейската агенция по лекарствата, от името на Европейската комисия на дейностите свързани с контрола на производството, вноса и Добрата производствена практика при производството на ветеринарни лекарствени продукти и активни вещества; </w:t>
      </w:r>
    </w:p>
    <w:p w14:paraId="62522F7A" w14:textId="77777777" w:rsidR="00690C5C" w:rsidRPr="00690C5C" w:rsidRDefault="00690C5C" w:rsidP="00690C5C">
      <w:pPr>
        <w:widowControl w:val="0"/>
        <w:numPr>
          <w:ilvl w:val="0"/>
          <w:numId w:val="36"/>
        </w:numPr>
        <w:overflowPunct w:val="0"/>
        <w:autoSpaceDE w:val="0"/>
        <w:autoSpaceDN w:val="0"/>
        <w:adjustRightInd w:val="0"/>
        <w:spacing w:after="120" w:line="276" w:lineRule="auto"/>
        <w:ind w:left="714" w:hanging="357"/>
        <w:jc w:val="both"/>
        <w:rPr>
          <w:rFonts w:ascii="Arial Narrow" w:hAnsi="Arial Narrow"/>
          <w:lang w:val="bg-BG"/>
        </w:rPr>
      </w:pPr>
      <w:r w:rsidRPr="00690C5C">
        <w:rPr>
          <w:rFonts w:ascii="Arial Narrow" w:hAnsi="Arial Narrow"/>
          <w:lang w:val="bg-BG"/>
        </w:rPr>
        <w:lastRenderedPageBreak/>
        <w:t xml:space="preserve">Одит „Храни от животински произход – Клане на бозайници и/или птици“ № 2024-8030; </w:t>
      </w:r>
    </w:p>
    <w:p w14:paraId="05F44FC3" w14:textId="77777777" w:rsidR="00690C5C" w:rsidRPr="00690C5C" w:rsidRDefault="00690C5C" w:rsidP="00690C5C">
      <w:pPr>
        <w:widowControl w:val="0"/>
        <w:numPr>
          <w:ilvl w:val="0"/>
          <w:numId w:val="36"/>
        </w:numPr>
        <w:overflowPunct w:val="0"/>
        <w:autoSpaceDE w:val="0"/>
        <w:autoSpaceDN w:val="0"/>
        <w:adjustRightInd w:val="0"/>
        <w:spacing w:after="120" w:line="276" w:lineRule="auto"/>
        <w:ind w:left="714" w:hanging="357"/>
        <w:jc w:val="both"/>
        <w:rPr>
          <w:rFonts w:ascii="Arial Narrow" w:hAnsi="Arial Narrow"/>
          <w:lang w:val="bg-BG"/>
        </w:rPr>
      </w:pPr>
      <w:r w:rsidRPr="00690C5C">
        <w:rPr>
          <w:rFonts w:ascii="Arial Narrow" w:hAnsi="Arial Narrow"/>
          <w:lang w:val="bg-BG"/>
        </w:rPr>
        <w:t>Мисия на EUVET за инфлуенца по птиците в България;</w:t>
      </w:r>
    </w:p>
    <w:p w14:paraId="08A4A9A9" w14:textId="77777777" w:rsidR="00690C5C" w:rsidRPr="00690C5C" w:rsidRDefault="00690C5C" w:rsidP="00690C5C">
      <w:pPr>
        <w:widowControl w:val="0"/>
        <w:numPr>
          <w:ilvl w:val="0"/>
          <w:numId w:val="36"/>
        </w:numPr>
        <w:overflowPunct w:val="0"/>
        <w:autoSpaceDE w:val="0"/>
        <w:autoSpaceDN w:val="0"/>
        <w:adjustRightInd w:val="0"/>
        <w:spacing w:after="120" w:line="276" w:lineRule="auto"/>
        <w:ind w:left="714" w:hanging="357"/>
        <w:jc w:val="both"/>
        <w:rPr>
          <w:rFonts w:ascii="Arial Narrow" w:hAnsi="Arial Narrow"/>
          <w:lang w:val="bg-BG"/>
        </w:rPr>
      </w:pPr>
      <w:r w:rsidRPr="00690C5C">
        <w:rPr>
          <w:rFonts w:ascii="Arial Narrow" w:hAnsi="Arial Narrow"/>
          <w:lang w:val="bg-BG"/>
        </w:rPr>
        <w:t>Одит „Програми за наблюдение на здравето на растенията“ № 2024-7964;</w:t>
      </w:r>
    </w:p>
    <w:p w14:paraId="300D6640" w14:textId="77777777" w:rsidR="00690C5C" w:rsidRPr="00690C5C" w:rsidRDefault="00690C5C" w:rsidP="00690C5C">
      <w:pPr>
        <w:widowControl w:val="0"/>
        <w:numPr>
          <w:ilvl w:val="0"/>
          <w:numId w:val="36"/>
        </w:numPr>
        <w:overflowPunct w:val="0"/>
        <w:autoSpaceDE w:val="0"/>
        <w:autoSpaceDN w:val="0"/>
        <w:adjustRightInd w:val="0"/>
        <w:spacing w:after="120" w:line="276" w:lineRule="auto"/>
        <w:ind w:left="714" w:hanging="357"/>
        <w:jc w:val="both"/>
        <w:rPr>
          <w:rFonts w:ascii="Arial Narrow" w:hAnsi="Arial Narrow"/>
          <w:lang w:val="bg-BG"/>
        </w:rPr>
      </w:pPr>
      <w:r w:rsidRPr="00690C5C">
        <w:rPr>
          <w:rFonts w:ascii="Arial Narrow" w:hAnsi="Arial Narrow"/>
          <w:lang w:val="bg-BG"/>
        </w:rPr>
        <w:t xml:space="preserve">Одит и установяване на факти –инфлуенца по птиците – ONE HEALTH; </w:t>
      </w:r>
    </w:p>
    <w:p w14:paraId="0D188563" w14:textId="77777777" w:rsidR="00690C5C" w:rsidRPr="00690C5C" w:rsidRDefault="00690C5C" w:rsidP="00690C5C">
      <w:pPr>
        <w:widowControl w:val="0"/>
        <w:numPr>
          <w:ilvl w:val="0"/>
          <w:numId w:val="36"/>
        </w:numPr>
        <w:overflowPunct w:val="0"/>
        <w:autoSpaceDE w:val="0"/>
        <w:autoSpaceDN w:val="0"/>
        <w:adjustRightInd w:val="0"/>
        <w:spacing w:after="120" w:line="276" w:lineRule="auto"/>
        <w:ind w:left="714" w:hanging="357"/>
        <w:jc w:val="both"/>
        <w:rPr>
          <w:rFonts w:ascii="Arial Narrow" w:hAnsi="Arial Narrow"/>
          <w:lang w:val="bg-BG"/>
        </w:rPr>
      </w:pPr>
      <w:r w:rsidRPr="00690C5C">
        <w:rPr>
          <w:rFonts w:ascii="Arial Narrow" w:hAnsi="Arial Narrow"/>
          <w:lang w:val="bg-BG"/>
        </w:rPr>
        <w:t xml:space="preserve">Мисия на EUVET във връзка с PPR. </w:t>
      </w:r>
    </w:p>
    <w:p w14:paraId="00C1DC2B" w14:textId="77777777" w:rsidR="00690C5C" w:rsidRPr="00690C5C" w:rsidRDefault="00690C5C" w:rsidP="00690C5C">
      <w:pPr>
        <w:spacing w:after="120"/>
        <w:ind w:firstLine="708"/>
        <w:jc w:val="both"/>
        <w:rPr>
          <w:rFonts w:ascii="Arial Narrow" w:hAnsi="Arial Narrow"/>
          <w:lang w:val="bg-BG" w:eastAsia="bg-BG"/>
        </w:rPr>
      </w:pPr>
      <w:r w:rsidRPr="00690C5C">
        <w:rPr>
          <w:rFonts w:ascii="Arial Narrow" w:eastAsia="Calibri" w:hAnsi="Arial Narrow"/>
          <w:lang w:val="bg-BG"/>
        </w:rPr>
        <w:t xml:space="preserve">През 2025 г. са проведени или предстоят следните одити от </w:t>
      </w:r>
      <w:r w:rsidRPr="00690C5C">
        <w:rPr>
          <w:rFonts w:ascii="Arial Narrow" w:hAnsi="Arial Narrow"/>
          <w:lang w:val="bg-BG" w:eastAsia="bg-BG"/>
        </w:rPr>
        <w:t>Генерална дирекция „Здравеопазване и безопасност на храните” на ЕК (DG SANTE) и трети държави в областта на официалния контрол на храните и животните:</w:t>
      </w:r>
    </w:p>
    <w:p w14:paraId="28280FC0" w14:textId="77777777" w:rsidR="00690C5C" w:rsidRPr="00690C5C" w:rsidRDefault="00690C5C" w:rsidP="00690C5C">
      <w:pPr>
        <w:widowControl w:val="0"/>
        <w:numPr>
          <w:ilvl w:val="0"/>
          <w:numId w:val="36"/>
        </w:numPr>
        <w:overflowPunct w:val="0"/>
        <w:autoSpaceDE w:val="0"/>
        <w:autoSpaceDN w:val="0"/>
        <w:adjustRightInd w:val="0"/>
        <w:spacing w:after="120" w:line="276" w:lineRule="auto"/>
        <w:ind w:left="714" w:hanging="357"/>
        <w:jc w:val="both"/>
        <w:rPr>
          <w:rFonts w:ascii="Arial Narrow" w:hAnsi="Arial Narrow"/>
          <w:lang w:val="bg-BG"/>
        </w:rPr>
      </w:pPr>
      <w:r w:rsidRPr="00690C5C">
        <w:rPr>
          <w:rFonts w:ascii="Arial Narrow" w:hAnsi="Arial Narrow"/>
          <w:lang w:val="bg-BG"/>
        </w:rPr>
        <w:t>Документален контрол на хистамина в рибните продукти във всички държави членки - № 2025-0229 – Попълнен и изпратен Въпросник електронно;</w:t>
      </w:r>
    </w:p>
    <w:p w14:paraId="23F10016" w14:textId="77777777" w:rsidR="00690C5C" w:rsidRPr="00690C5C" w:rsidRDefault="00690C5C" w:rsidP="00690C5C">
      <w:pPr>
        <w:widowControl w:val="0"/>
        <w:numPr>
          <w:ilvl w:val="0"/>
          <w:numId w:val="36"/>
        </w:numPr>
        <w:overflowPunct w:val="0"/>
        <w:autoSpaceDE w:val="0"/>
        <w:autoSpaceDN w:val="0"/>
        <w:adjustRightInd w:val="0"/>
        <w:spacing w:after="120" w:line="276" w:lineRule="auto"/>
        <w:ind w:left="714" w:hanging="357"/>
        <w:jc w:val="both"/>
        <w:rPr>
          <w:rFonts w:ascii="Arial Narrow" w:hAnsi="Arial Narrow"/>
          <w:lang w:val="bg-BG"/>
        </w:rPr>
      </w:pPr>
      <w:r w:rsidRPr="00690C5C">
        <w:rPr>
          <w:rFonts w:ascii="Arial Narrow" w:hAnsi="Arial Narrow"/>
          <w:lang w:val="bg-BG"/>
        </w:rPr>
        <w:t>Одит „Храни от животински произход - Химическа безопасност – Остатъци“ № 2025-0041;</w:t>
      </w:r>
    </w:p>
    <w:p w14:paraId="6F9D07F8" w14:textId="77777777" w:rsidR="00690C5C" w:rsidRPr="00690C5C" w:rsidRDefault="00690C5C" w:rsidP="00690C5C">
      <w:pPr>
        <w:widowControl w:val="0"/>
        <w:numPr>
          <w:ilvl w:val="0"/>
          <w:numId w:val="36"/>
        </w:numPr>
        <w:overflowPunct w:val="0"/>
        <w:autoSpaceDE w:val="0"/>
        <w:autoSpaceDN w:val="0"/>
        <w:adjustRightInd w:val="0"/>
        <w:spacing w:after="120" w:line="276" w:lineRule="auto"/>
        <w:ind w:left="714" w:hanging="357"/>
        <w:jc w:val="both"/>
        <w:rPr>
          <w:rFonts w:ascii="Arial Narrow" w:hAnsi="Arial Narrow"/>
          <w:lang w:val="bg-BG"/>
        </w:rPr>
      </w:pPr>
      <w:r w:rsidRPr="00690C5C">
        <w:rPr>
          <w:rFonts w:ascii="Arial Narrow" w:hAnsi="Arial Narrow"/>
          <w:lang w:val="bg-BG"/>
        </w:rPr>
        <w:t xml:space="preserve">Одит „Въвеждане в ЕС на животни и стоки - Официален контрол върху вноса“ № 2025-0062; </w:t>
      </w:r>
    </w:p>
    <w:p w14:paraId="7647B196" w14:textId="77777777" w:rsidR="00690C5C" w:rsidRPr="00690C5C" w:rsidRDefault="00690C5C" w:rsidP="00690C5C">
      <w:pPr>
        <w:widowControl w:val="0"/>
        <w:numPr>
          <w:ilvl w:val="0"/>
          <w:numId w:val="36"/>
        </w:numPr>
        <w:overflowPunct w:val="0"/>
        <w:autoSpaceDE w:val="0"/>
        <w:autoSpaceDN w:val="0"/>
        <w:adjustRightInd w:val="0"/>
        <w:spacing w:after="120" w:line="276" w:lineRule="auto"/>
        <w:ind w:left="714" w:hanging="357"/>
        <w:jc w:val="both"/>
        <w:rPr>
          <w:rFonts w:ascii="Arial Narrow" w:hAnsi="Arial Narrow"/>
          <w:lang w:val="bg-BG"/>
        </w:rPr>
      </w:pPr>
      <w:r w:rsidRPr="00690C5C">
        <w:rPr>
          <w:rFonts w:ascii="Arial Narrow" w:hAnsi="Arial Narrow"/>
          <w:lang w:val="bg-BG"/>
        </w:rPr>
        <w:t xml:space="preserve">Одит „Едно Здраве“ – АМР мониторинг (зоонозни и коменсални бактерии)“ № 2025-0049; </w:t>
      </w:r>
    </w:p>
    <w:p w14:paraId="3774ACB9" w14:textId="77777777" w:rsidR="0012514D" w:rsidRPr="00690C5C" w:rsidRDefault="00690C5C" w:rsidP="00690C5C">
      <w:pPr>
        <w:widowControl w:val="0"/>
        <w:numPr>
          <w:ilvl w:val="0"/>
          <w:numId w:val="36"/>
        </w:numPr>
        <w:overflowPunct w:val="0"/>
        <w:autoSpaceDE w:val="0"/>
        <w:autoSpaceDN w:val="0"/>
        <w:adjustRightInd w:val="0"/>
        <w:spacing w:after="120" w:line="276" w:lineRule="auto"/>
        <w:ind w:left="714" w:hanging="357"/>
        <w:jc w:val="both"/>
        <w:rPr>
          <w:rFonts w:ascii="Arial Narrow" w:hAnsi="Arial Narrow"/>
          <w:lang w:val="bg-BG"/>
        </w:rPr>
      </w:pPr>
      <w:r w:rsidRPr="00690C5C">
        <w:rPr>
          <w:rFonts w:ascii="Arial Narrow" w:hAnsi="Arial Narrow"/>
          <w:lang w:val="bg-BG"/>
        </w:rPr>
        <w:t xml:space="preserve">Одит „Едно Здраве“ – Антимикробни ветеринарномедицински продукти“ № 2025-0052. </w:t>
      </w:r>
    </w:p>
    <w:p w14:paraId="1212F7F9" w14:textId="77777777" w:rsidR="009F4D2E" w:rsidRPr="009F4D2E" w:rsidRDefault="009F4D2E" w:rsidP="00594285">
      <w:pPr>
        <w:numPr>
          <w:ilvl w:val="2"/>
          <w:numId w:val="16"/>
        </w:numPr>
        <w:tabs>
          <w:tab w:val="left" w:pos="990"/>
        </w:tabs>
        <w:spacing w:after="120"/>
        <w:ind w:left="993" w:hanging="633"/>
        <w:jc w:val="both"/>
        <w:outlineLvl w:val="0"/>
        <w:rPr>
          <w:rFonts w:ascii="Arial Narrow" w:hAnsi="Arial Narrow"/>
          <w:b/>
          <w:bCs/>
        </w:rPr>
      </w:pPr>
      <w:bookmarkStart w:id="167" w:name="_Toc87952117"/>
      <w:bookmarkStart w:id="168" w:name="_Toc210747628"/>
      <w:bookmarkEnd w:id="166"/>
      <w:r w:rsidRPr="009F4D2E">
        <w:rPr>
          <w:rFonts w:ascii="Arial Narrow" w:hAnsi="Arial Narrow"/>
          <w:b/>
          <w:bCs/>
        </w:rPr>
        <w:t>Мрежа за предупреждение и сътрудниче</w:t>
      </w:r>
      <w:r w:rsidR="00594285">
        <w:rPr>
          <w:rFonts w:ascii="Arial Narrow" w:hAnsi="Arial Narrow"/>
          <w:b/>
          <w:bCs/>
        </w:rPr>
        <w:t>ство (ACN) (ACN=RASFF+</w:t>
      </w:r>
      <w:r w:rsidR="00344F3F">
        <w:rPr>
          <w:rFonts w:ascii="Arial Narrow" w:hAnsi="Arial Narrow"/>
          <w:b/>
          <w:bCs/>
        </w:rPr>
        <w:t xml:space="preserve">AAC+ </w:t>
      </w:r>
      <w:r w:rsidRPr="009F4D2E">
        <w:rPr>
          <w:rFonts w:ascii="Arial Narrow" w:hAnsi="Arial Narrow"/>
          <w:b/>
          <w:bCs/>
        </w:rPr>
        <w:t>FFN+PHN+AHW+PAN))</w:t>
      </w:r>
      <w:bookmarkEnd w:id="167"/>
      <w:bookmarkEnd w:id="168"/>
    </w:p>
    <w:p w14:paraId="7CBFB8DC" w14:textId="77777777" w:rsidR="009F4D2E" w:rsidRPr="009F4D2E" w:rsidRDefault="009F4D2E" w:rsidP="009F4D2E">
      <w:pPr>
        <w:spacing w:after="120"/>
        <w:ind w:firstLine="709"/>
        <w:jc w:val="both"/>
        <w:rPr>
          <w:rFonts w:ascii="Arial Narrow" w:hAnsi="Arial Narrow"/>
          <w:lang w:val="bg-BG"/>
        </w:rPr>
      </w:pPr>
      <w:r w:rsidRPr="009F4D2E">
        <w:rPr>
          <w:rFonts w:ascii="Arial Narrow" w:hAnsi="Arial Narrow"/>
          <w:lang w:val="bg-BG"/>
        </w:rPr>
        <w:t>Във връзка с множеството предизвикателства в областта на безопасността на храните и фуражите и решаващата роля, която бдителността и сътрудничеството играят за справянето с тях, през 2024 г. обхватът на Мрежата за предупреждение и сътрудничество (ACN) е разширен, така че да обхване и рисковете свързани с животни и хуманното отношение към тях. В съответствие с по-широката стратегия на Комисията за опазване на общественото здраве и подобряване на безопасността на храните е представен и пилотен проект под името TraceMap, който има за цел внедряване на изкуствен интелект, вграден в Системата за управление на информацията за официалния контрол.</w:t>
      </w:r>
    </w:p>
    <w:p w14:paraId="6223D2F8" w14:textId="77777777" w:rsidR="009F4D2E" w:rsidRPr="009F4D2E" w:rsidRDefault="009F4D2E" w:rsidP="009F4D2E">
      <w:pPr>
        <w:spacing w:after="120"/>
        <w:ind w:firstLine="709"/>
        <w:jc w:val="both"/>
        <w:rPr>
          <w:rFonts w:ascii="Arial Narrow" w:hAnsi="Arial Narrow"/>
          <w:lang w:val="bg-BG"/>
        </w:rPr>
      </w:pPr>
      <w:r w:rsidRPr="009F4D2E">
        <w:rPr>
          <w:rFonts w:ascii="Arial Narrow" w:hAnsi="Arial Narrow"/>
          <w:lang w:val="bg-BG"/>
        </w:rPr>
        <w:t xml:space="preserve">Мрежата за предупреждение и сътрудничество представлява инструмент за обмен на информация във връзка с установени опасности и несъответствия по цялата агрохранителна верига между държавите-членки на Европейския съюз посредством онлайн платформа - iRASFF, която обхваща:  </w:t>
      </w:r>
    </w:p>
    <w:p w14:paraId="13616876" w14:textId="77777777" w:rsidR="009F4D2E" w:rsidRPr="009F4D2E" w:rsidRDefault="009F4D2E" w:rsidP="009F4D2E">
      <w:pPr>
        <w:spacing w:after="120"/>
        <w:ind w:firstLine="709"/>
        <w:jc w:val="both"/>
        <w:rPr>
          <w:rFonts w:ascii="Arial Narrow" w:hAnsi="Arial Narrow"/>
          <w:b/>
          <w:bCs/>
          <w:lang w:val="bg-BG"/>
        </w:rPr>
      </w:pPr>
      <w:r w:rsidRPr="009F4D2E">
        <w:rPr>
          <w:rFonts w:ascii="Arial Narrow" w:hAnsi="Arial Narrow"/>
          <w:b/>
          <w:lang w:val="bg-BG"/>
        </w:rPr>
        <w:tab/>
        <w:t>Система за бързо предупреждение за храни и фуражи (RASFF)</w:t>
      </w:r>
    </w:p>
    <w:p w14:paraId="1AF12DB8" w14:textId="77777777" w:rsidR="009F4D2E" w:rsidRPr="009F4D2E" w:rsidRDefault="009F4D2E" w:rsidP="009F4D2E">
      <w:pPr>
        <w:spacing w:after="120"/>
        <w:ind w:firstLine="709"/>
        <w:jc w:val="both"/>
        <w:rPr>
          <w:rFonts w:ascii="Arial Narrow" w:hAnsi="Arial Narrow"/>
          <w:lang w:val="bg-BG"/>
        </w:rPr>
      </w:pPr>
      <w:r w:rsidRPr="009F4D2E">
        <w:rPr>
          <w:rFonts w:ascii="Arial Narrow" w:hAnsi="Arial Narrow"/>
          <w:lang w:val="bg-BG"/>
        </w:rPr>
        <w:t xml:space="preserve">Системата за бързо предупреждение за храни и фуражи (RASFF) е създадена на основа на разпоредбите на член 50 от Регламент (ЕО) 178/2002 и обхваща всеки пряк или косвен риск за човешкото здраве, произтичащ от храни, материали предназначени за контакт с храни и фуражи. На по-късен етап с член 29 от Регламент (ЕО) № 183/2005 обхватът на Мрежата се разширява и включва сериозни рискове за здравето на животните и за околната среда, произтичащи от фуражите. </w:t>
      </w:r>
    </w:p>
    <w:p w14:paraId="31739DD2" w14:textId="77777777" w:rsidR="009F4D2E" w:rsidRPr="009F4D2E" w:rsidRDefault="009F4D2E" w:rsidP="009F4D2E">
      <w:pPr>
        <w:spacing w:after="120"/>
        <w:ind w:firstLine="709"/>
        <w:jc w:val="both"/>
        <w:rPr>
          <w:rFonts w:ascii="Arial Narrow" w:hAnsi="Arial Narrow"/>
          <w:lang w:val="bg-BG"/>
        </w:rPr>
      </w:pPr>
      <w:r w:rsidRPr="009F4D2E">
        <w:rPr>
          <w:rFonts w:ascii="Arial Narrow" w:hAnsi="Arial Narrow"/>
          <w:lang w:val="bg-BG"/>
        </w:rPr>
        <w:t xml:space="preserve">Обменът на информация между компетентните държавни контролни органи, относно предприетите мерки в отговор на сериозни рискове, настъпили при храни или фуражи; измами с храни; материали и предмети, предназначени за контакт с храни, рискове, свързани със здравето на растенията, животните и хуманното отношение към тях. се извършва по ясен и структуриран начин чрез използване на уеб базираното приложение iRASFF. Този обмен на информация </w:t>
      </w:r>
      <w:r w:rsidRPr="009F4D2E">
        <w:rPr>
          <w:rFonts w:ascii="Arial Narrow" w:eastAsia="Calibri" w:hAnsi="Arial Narrow"/>
          <w:lang w:val="bg-BG"/>
        </w:rPr>
        <w:t xml:space="preserve">дава възможност за бързи реакции, навременни действия и координиран подход на държавите членки спрямо заплахите за общественото здраве. </w:t>
      </w:r>
      <w:r w:rsidRPr="009F4D2E">
        <w:rPr>
          <w:rFonts w:ascii="Arial Narrow" w:hAnsi="Arial Narrow"/>
          <w:lang w:val="bg-BG"/>
        </w:rPr>
        <w:t>Ефективността му се осигурява от опростена структура, състояща се от идентифицирани звена за контакт на Европейската комисия, Европейския орган за безопасност на храните (EFSA) и държавите членки, обменящи данни по ясен и структуриран начин.</w:t>
      </w:r>
    </w:p>
    <w:p w14:paraId="3B7A610C" w14:textId="77777777" w:rsidR="009F4D2E" w:rsidRPr="009F4D2E" w:rsidRDefault="009F4D2E" w:rsidP="009F4D2E">
      <w:pPr>
        <w:spacing w:after="120"/>
        <w:ind w:firstLine="709"/>
        <w:jc w:val="both"/>
        <w:rPr>
          <w:rFonts w:ascii="Arial Narrow" w:hAnsi="Arial Narrow"/>
          <w:lang w:val="bg-BG"/>
        </w:rPr>
      </w:pPr>
      <w:r w:rsidRPr="009F4D2E">
        <w:rPr>
          <w:rFonts w:ascii="Arial Narrow" w:hAnsi="Arial Narrow"/>
          <w:lang w:val="bg-BG"/>
        </w:rPr>
        <w:t xml:space="preserve">Основен акцент в надграждането на iRASFF през 2024 г. е финализиране на процеса по разширяване, включващ внедряване на модулите за здравето на животните, както и внедряване на </w:t>
      </w:r>
      <w:r w:rsidRPr="009F4D2E">
        <w:rPr>
          <w:rFonts w:ascii="Arial Narrow" w:eastAsia="Calibri" w:hAnsi="Arial Narrow"/>
          <w:bCs/>
          <w:bdr w:val="nil"/>
          <w:lang w:val="bg-BG" w:eastAsia="en-GB"/>
        </w:rPr>
        <w:t xml:space="preserve">нов софтуер, който да допринесе за подобряване на функционалността и ефективността на платформата IRIS </w:t>
      </w:r>
      <w:r w:rsidRPr="009F4D2E">
        <w:rPr>
          <w:rFonts w:ascii="Arial Narrow" w:eastAsia="Calibri" w:hAnsi="Arial Narrow"/>
          <w:bCs/>
          <w:bdr w:val="nil"/>
          <w:lang w:val="bg-BG" w:eastAsia="en-GB"/>
        </w:rPr>
        <w:lastRenderedPageBreak/>
        <w:t xml:space="preserve">– корпоративна платформа за управление на кризи, която ще обхване и iRASFF. </w:t>
      </w:r>
      <w:r w:rsidRPr="009F4D2E">
        <w:rPr>
          <w:rFonts w:ascii="Arial Narrow" w:hAnsi="Arial Narrow"/>
          <w:lang w:val="bg-BG"/>
        </w:rPr>
        <w:t xml:space="preserve">Друго нововъведение е все по-активното използване на изкуствения интелект в помощ при анализа на постъпващата информация. </w:t>
      </w:r>
    </w:p>
    <w:p w14:paraId="60E9E871" w14:textId="77777777" w:rsidR="009F4D2E" w:rsidRPr="009F4D2E" w:rsidRDefault="009F4D2E" w:rsidP="009F4D2E">
      <w:pPr>
        <w:spacing w:after="120"/>
        <w:ind w:firstLine="709"/>
        <w:jc w:val="both"/>
        <w:rPr>
          <w:rFonts w:ascii="Arial Narrow" w:eastAsia="Calibri" w:hAnsi="Arial Narrow"/>
          <w:lang w:val="bg-BG" w:eastAsia="bg-BG"/>
        </w:rPr>
      </w:pPr>
      <w:r w:rsidRPr="009F4D2E">
        <w:rPr>
          <w:rFonts w:ascii="Arial Narrow" w:hAnsi="Arial Narrow"/>
          <w:lang w:val="bg-BG" w:eastAsia="bg-BG"/>
        </w:rPr>
        <w:t xml:space="preserve">За ефективна работа на системата RASFF в България се поддържа добра комуникация между </w:t>
      </w:r>
      <w:r w:rsidRPr="009F4D2E">
        <w:rPr>
          <w:rFonts w:ascii="Arial Narrow" w:eastAsia="Calibri" w:hAnsi="Arial Narrow"/>
          <w:lang w:val="bg-BG" w:eastAsia="bg-BG"/>
        </w:rPr>
        <w:t>Националното звено за контакт, ситуирано в специализираната администрация на Министерство на земеделието и храните, звеното за контакт в Министерството на здравеопазването и звеното за контакт в Българската агенция по безопасност на храните.</w:t>
      </w:r>
    </w:p>
    <w:p w14:paraId="08872426" w14:textId="77777777" w:rsidR="009F4D2E" w:rsidRPr="009F4D2E" w:rsidRDefault="009F4D2E" w:rsidP="009F4D2E">
      <w:pPr>
        <w:overflowPunct w:val="0"/>
        <w:autoSpaceDE w:val="0"/>
        <w:autoSpaceDN w:val="0"/>
        <w:adjustRightInd w:val="0"/>
        <w:spacing w:after="120"/>
        <w:ind w:firstLine="709"/>
        <w:jc w:val="both"/>
        <w:textAlignment w:val="baseline"/>
        <w:rPr>
          <w:rFonts w:ascii="Arial Narrow" w:hAnsi="Arial Narrow"/>
          <w:lang w:val="bg-BG"/>
        </w:rPr>
      </w:pPr>
      <w:r w:rsidRPr="009F4D2E">
        <w:rPr>
          <w:rFonts w:ascii="Arial Narrow" w:hAnsi="Arial Narrow"/>
          <w:lang w:val="bg-BG"/>
        </w:rPr>
        <w:t xml:space="preserve">За 2024 г. общият брой входящи уведомления в платформата </w:t>
      </w:r>
      <w:r w:rsidRPr="009F4D2E">
        <w:rPr>
          <w:rFonts w:ascii="Arial Narrow" w:hAnsi="Arial Narrow"/>
        </w:rPr>
        <w:t>i</w:t>
      </w:r>
      <w:r w:rsidRPr="009F4D2E">
        <w:rPr>
          <w:rFonts w:ascii="Arial Narrow" w:hAnsi="Arial Narrow"/>
          <w:lang w:val="bg-BG"/>
        </w:rPr>
        <w:t>RASFF, разпространени от звеното за контакт на Европейската комисия към звената за контакт на държавите членки, е 9 640, което е със</w:t>
      </w:r>
      <w:r w:rsidRPr="009F4D2E">
        <w:t xml:space="preserve"> </w:t>
      </w:r>
      <w:r w:rsidRPr="009F4D2E">
        <w:rPr>
          <w:rFonts w:ascii="Arial Narrow" w:hAnsi="Arial Narrow"/>
        </w:rPr>
        <w:t xml:space="preserve">713 </w:t>
      </w:r>
      <w:r w:rsidRPr="009F4D2E">
        <w:rPr>
          <w:rFonts w:ascii="Arial Narrow" w:hAnsi="Arial Narrow"/>
          <w:lang w:val="bg-BG"/>
        </w:rPr>
        <w:t xml:space="preserve">броя или 8,2% повече в сравнение с 2023 г. </w:t>
      </w:r>
    </w:p>
    <w:p w14:paraId="43828B43" w14:textId="77777777" w:rsidR="009F4D2E" w:rsidRPr="009F4D2E" w:rsidRDefault="009F4D2E" w:rsidP="009F4D2E">
      <w:pPr>
        <w:overflowPunct w:val="0"/>
        <w:autoSpaceDE w:val="0"/>
        <w:autoSpaceDN w:val="0"/>
        <w:adjustRightInd w:val="0"/>
        <w:spacing w:after="120"/>
        <w:ind w:firstLine="709"/>
        <w:jc w:val="both"/>
        <w:textAlignment w:val="baseline"/>
        <w:rPr>
          <w:rFonts w:ascii="Arial Narrow" w:hAnsi="Arial Narrow"/>
          <w:lang w:val="bg-BG"/>
        </w:rPr>
      </w:pPr>
      <w:r w:rsidRPr="009F4D2E">
        <w:rPr>
          <w:rFonts w:ascii="Arial Narrow" w:hAnsi="Arial Narrow"/>
          <w:lang w:val="bg-BG"/>
        </w:rPr>
        <w:t>Тенденцията на нарастване на броя на уведомленията, които се регистрират в Мрежата за предупреждение и сътрудничество през предходните години се запазва и през 2024 г., за сметка на леко намаление на уведомленията, които се регистрират в Мрежата за борба с измамите по агрохранителната верига, дължащо се на дейността на новите два модула за животни.</w:t>
      </w:r>
    </w:p>
    <w:p w14:paraId="022571CB" w14:textId="77777777" w:rsidR="009F4D2E" w:rsidRPr="009F4D2E" w:rsidRDefault="009F4D2E" w:rsidP="009F4D2E">
      <w:pPr>
        <w:overflowPunct w:val="0"/>
        <w:autoSpaceDE w:val="0"/>
        <w:autoSpaceDN w:val="0"/>
        <w:adjustRightInd w:val="0"/>
        <w:spacing w:after="120"/>
        <w:ind w:firstLine="709"/>
        <w:jc w:val="both"/>
        <w:textAlignment w:val="baseline"/>
        <w:rPr>
          <w:rFonts w:ascii="Arial Narrow" w:hAnsi="Arial Narrow"/>
          <w:lang w:val="bg-BG"/>
        </w:rPr>
      </w:pPr>
      <w:r w:rsidRPr="009F4D2E">
        <w:rPr>
          <w:rFonts w:ascii="Arial Narrow" w:hAnsi="Arial Narrow"/>
          <w:lang w:val="bg-BG"/>
        </w:rPr>
        <w:t xml:space="preserve">През 2024 г. секторът на плодовете и зеленчуците представлява 16% от общия брой на уведомленията (1 479) в ACN, което ги прави най-често докладваната категория от всички продукти. Повечето от случаите (около 66%) включват възможни рискове за здравето, включително опасности като остатъци от пестициди, микотоксини, патогенни микроорганизми, метали, замърсители на околната среда и други замърсители. Остатъците от пестициди продължават да са най-често съобщаваният проблем, като портокалите, лозовите листа, мангото и чушките се появяват последователно в множество известия. Хлорпирифос, ацетамиприд и диметоат се очертават като най-разпространените остатъци от пестициди, засягащи различни пресни продукти. Случаи на замърсяване с лозови листа се съобщават често с повече от 10 остатъка от различни пестициди (32 известия). Следват известия за микотоксини, като най-често съобщаваните са афлатоксини в смокини и охратоксин А в стафиди. </w:t>
      </w:r>
    </w:p>
    <w:p w14:paraId="718B3429" w14:textId="77777777" w:rsidR="009F4D2E" w:rsidRPr="009F4D2E" w:rsidRDefault="009F4D2E" w:rsidP="009F4D2E">
      <w:pPr>
        <w:overflowPunct w:val="0"/>
        <w:autoSpaceDE w:val="0"/>
        <w:autoSpaceDN w:val="0"/>
        <w:adjustRightInd w:val="0"/>
        <w:spacing w:after="120"/>
        <w:ind w:firstLine="709"/>
        <w:jc w:val="both"/>
        <w:textAlignment w:val="baseline"/>
        <w:rPr>
          <w:rFonts w:ascii="Arial Narrow" w:hAnsi="Arial Narrow"/>
          <w:lang w:val="bg-BG"/>
        </w:rPr>
      </w:pPr>
      <w:r w:rsidRPr="009F4D2E">
        <w:rPr>
          <w:rFonts w:ascii="Arial Narrow" w:hAnsi="Arial Narrow"/>
          <w:lang w:val="bg-BG"/>
        </w:rPr>
        <w:t>По показател „нотифицираща страна“ и през 2024 г. на първо място с най-голям обем създадени уведомления се нарежда Германия, следвана от Холандия и Италия. България е на девето място сред държавите членки с най-голям обем обработени случаи. По отношение на вида на уведомленията, през 2024 г. най-голям брой са класифицирани като „пратки отхвърлени на граница“ (1 665), следвани от случаите за информация (1 288) и за внимание (1 279).</w:t>
      </w:r>
    </w:p>
    <w:p w14:paraId="045D0AAD" w14:textId="77777777" w:rsidR="009F4D2E" w:rsidRPr="009F4D2E" w:rsidRDefault="009F4D2E" w:rsidP="009F4D2E">
      <w:pPr>
        <w:overflowPunct w:val="0"/>
        <w:autoSpaceDE w:val="0"/>
        <w:autoSpaceDN w:val="0"/>
        <w:adjustRightInd w:val="0"/>
        <w:spacing w:after="120"/>
        <w:ind w:firstLine="709"/>
        <w:jc w:val="both"/>
        <w:textAlignment w:val="baseline"/>
        <w:rPr>
          <w:rFonts w:ascii="Arial Narrow" w:hAnsi="Arial Narrow"/>
          <w:lang w:val="bg-BG"/>
        </w:rPr>
      </w:pPr>
      <w:r w:rsidRPr="009F4D2E">
        <w:rPr>
          <w:rFonts w:ascii="Arial Narrow" w:hAnsi="Arial Narrow"/>
          <w:lang w:val="bg-BG"/>
        </w:rPr>
        <w:t xml:space="preserve">Общата статистика сочи 5 250 броя уведомления в рамките на Мрежата RASFF, като 5% от случаите обхващат нередности при сектора на фуражите и 3% са установените несъответствия при пластмасови кухненски прибори и съдове. </w:t>
      </w:r>
    </w:p>
    <w:p w14:paraId="006F4A1F" w14:textId="77777777" w:rsidR="009F4D2E" w:rsidRPr="009F4D2E" w:rsidRDefault="009F4D2E" w:rsidP="009F4D2E">
      <w:pPr>
        <w:overflowPunct w:val="0"/>
        <w:autoSpaceDE w:val="0"/>
        <w:autoSpaceDN w:val="0"/>
        <w:adjustRightInd w:val="0"/>
        <w:spacing w:after="120"/>
        <w:ind w:firstLine="709"/>
        <w:jc w:val="both"/>
        <w:textAlignment w:val="baseline"/>
        <w:rPr>
          <w:rFonts w:ascii="Arial Narrow" w:hAnsi="Arial Narrow"/>
          <w:lang w:val="bg-BG"/>
        </w:rPr>
      </w:pPr>
      <w:r w:rsidRPr="009F4D2E">
        <w:rPr>
          <w:rFonts w:ascii="Arial Narrow" w:hAnsi="Arial Narrow"/>
          <w:lang w:val="bg-BG"/>
        </w:rPr>
        <w:t xml:space="preserve">По отношение на уведомленията, разпространени в Мрежата за борба с измамите по агрохранителната верига FFN през 2024 г. се наблюдава спад с 1/3 на регистрираните случаи, заради внедрените два нови модула за животни. Генерираните случаи са общо 546 броя, с 27% по-малко спрямо предходната година. В допълнение са идентифицирани 1 335 уведомления в AAC и 1 959 уведомления в обхвата на RASFF, като евентуално резултат от умишлено поведение. Повече от половината случаи са свързани с нерегламентирана търговия с домашни любимци или т. нар. „сив сектор“. След тях се нареждат уведомленията за установени нередности, свързани с документални неточности, липса или фалшифицирана/непълна документация, неправилно етикетиране и др. Държавите с най-голям брой случаи, при които са били засегнати държави членки, са Германия, Нидерландия, Румъния и Словакия. България има 100% отговорени и предоставени данни на постъпили 115 броя запитвания. </w:t>
      </w:r>
    </w:p>
    <w:p w14:paraId="487B2E60" w14:textId="77777777" w:rsidR="009F4D2E" w:rsidRPr="009F4D2E" w:rsidRDefault="009F4D2E" w:rsidP="009F4D2E">
      <w:pPr>
        <w:overflowPunct w:val="0"/>
        <w:autoSpaceDE w:val="0"/>
        <w:autoSpaceDN w:val="0"/>
        <w:adjustRightInd w:val="0"/>
        <w:spacing w:after="120"/>
        <w:ind w:firstLine="709"/>
        <w:jc w:val="both"/>
        <w:textAlignment w:val="baseline"/>
        <w:rPr>
          <w:rFonts w:ascii="Arial Narrow" w:hAnsi="Arial Narrow"/>
          <w:lang w:val="bg-BG"/>
        </w:rPr>
      </w:pPr>
      <w:r w:rsidRPr="009F4D2E">
        <w:rPr>
          <w:rFonts w:ascii="Arial Narrow" w:hAnsi="Arial Narrow"/>
          <w:lang w:val="bg-BG"/>
        </w:rPr>
        <w:t xml:space="preserve">В зависимост от класификацията, уведомленията се разпределят, както следва: </w:t>
      </w:r>
    </w:p>
    <w:p w14:paraId="38AEEBAC" w14:textId="77777777" w:rsidR="009F4D2E" w:rsidRPr="009F4D2E" w:rsidRDefault="009F4D2E" w:rsidP="009F4D2E">
      <w:pPr>
        <w:numPr>
          <w:ilvl w:val="0"/>
          <w:numId w:val="11"/>
        </w:numPr>
        <w:overflowPunct w:val="0"/>
        <w:autoSpaceDE w:val="0"/>
        <w:autoSpaceDN w:val="0"/>
        <w:adjustRightInd w:val="0"/>
        <w:spacing w:after="120" w:line="276" w:lineRule="auto"/>
        <w:jc w:val="both"/>
        <w:rPr>
          <w:rFonts w:ascii="Arial Narrow" w:eastAsia="Calibri" w:hAnsi="Arial Narrow"/>
          <w:lang w:val="bg-BG"/>
        </w:rPr>
      </w:pPr>
      <w:r w:rsidRPr="009F4D2E">
        <w:rPr>
          <w:rFonts w:ascii="Arial Narrow" w:eastAsia="Calibri" w:hAnsi="Arial Narrow"/>
          <w:lang w:val="bg-BG"/>
        </w:rPr>
        <w:t>„Уведомления за пр</w:t>
      </w:r>
      <w:r w:rsidR="008036F9">
        <w:rPr>
          <w:rFonts w:ascii="Arial Narrow" w:eastAsia="Calibri" w:hAnsi="Arial Narrow"/>
          <w:lang w:val="bg-BG"/>
        </w:rPr>
        <w:t>атки, отхвърлени на границата“ -</w:t>
      </w:r>
      <w:r w:rsidRPr="009F4D2E">
        <w:rPr>
          <w:rFonts w:ascii="Arial Narrow" w:eastAsia="Calibri" w:hAnsi="Arial Narrow"/>
          <w:lang w:val="bg-BG"/>
        </w:rPr>
        <w:t xml:space="preserve"> 1 665 броя; </w:t>
      </w:r>
    </w:p>
    <w:p w14:paraId="2993FFC6" w14:textId="77777777" w:rsidR="009F4D2E" w:rsidRPr="009F4D2E" w:rsidRDefault="009F4D2E" w:rsidP="009F4D2E">
      <w:pPr>
        <w:numPr>
          <w:ilvl w:val="0"/>
          <w:numId w:val="11"/>
        </w:numPr>
        <w:overflowPunct w:val="0"/>
        <w:autoSpaceDE w:val="0"/>
        <w:autoSpaceDN w:val="0"/>
        <w:adjustRightInd w:val="0"/>
        <w:spacing w:after="120" w:line="276" w:lineRule="auto"/>
        <w:jc w:val="both"/>
        <w:rPr>
          <w:rFonts w:ascii="Arial Narrow" w:eastAsia="Calibri" w:hAnsi="Arial Narrow"/>
          <w:lang w:val="bg-BG"/>
        </w:rPr>
      </w:pPr>
      <w:r w:rsidRPr="009F4D2E">
        <w:rPr>
          <w:rFonts w:ascii="Arial Narrow" w:eastAsia="Calibri" w:hAnsi="Arial Narrow"/>
          <w:lang w:val="bg-BG"/>
        </w:rPr>
        <w:t>„</w:t>
      </w:r>
      <w:r w:rsidR="008036F9">
        <w:rPr>
          <w:rFonts w:ascii="Arial Narrow" w:eastAsia="Calibri" w:hAnsi="Arial Narrow"/>
          <w:lang w:val="bg-BG"/>
        </w:rPr>
        <w:t>Уведомления за предупреждение“ -</w:t>
      </w:r>
      <w:r w:rsidRPr="009F4D2E">
        <w:rPr>
          <w:rFonts w:ascii="Arial Narrow" w:eastAsia="Calibri" w:hAnsi="Arial Narrow"/>
          <w:lang w:val="bg-BG"/>
        </w:rPr>
        <w:t xml:space="preserve"> 1 288 броя; </w:t>
      </w:r>
    </w:p>
    <w:p w14:paraId="2DC8240D" w14:textId="77777777" w:rsidR="009F4D2E" w:rsidRPr="009F4D2E" w:rsidRDefault="009F4D2E" w:rsidP="009F4D2E">
      <w:pPr>
        <w:numPr>
          <w:ilvl w:val="0"/>
          <w:numId w:val="11"/>
        </w:numPr>
        <w:overflowPunct w:val="0"/>
        <w:autoSpaceDE w:val="0"/>
        <w:autoSpaceDN w:val="0"/>
        <w:adjustRightInd w:val="0"/>
        <w:spacing w:after="120" w:line="276" w:lineRule="auto"/>
        <w:jc w:val="both"/>
        <w:rPr>
          <w:rFonts w:ascii="Arial Narrow" w:eastAsia="Calibri" w:hAnsi="Arial Narrow"/>
          <w:lang w:val="bg-BG"/>
        </w:rPr>
      </w:pPr>
      <w:r w:rsidRPr="009F4D2E">
        <w:rPr>
          <w:rFonts w:ascii="Arial Narrow" w:eastAsia="Calibri" w:hAnsi="Arial Narrow"/>
          <w:lang w:val="bg-BG"/>
        </w:rPr>
        <w:t>„Уведомлен</w:t>
      </w:r>
      <w:r w:rsidR="008036F9">
        <w:rPr>
          <w:rFonts w:ascii="Arial Narrow" w:eastAsia="Calibri" w:hAnsi="Arial Narrow"/>
          <w:lang w:val="bg-BG"/>
        </w:rPr>
        <w:t>ия за насочване на вниманието“ -</w:t>
      </w:r>
      <w:r w:rsidRPr="009F4D2E">
        <w:rPr>
          <w:rFonts w:ascii="Arial Narrow" w:eastAsia="Calibri" w:hAnsi="Arial Narrow"/>
          <w:lang w:val="bg-BG"/>
        </w:rPr>
        <w:t xml:space="preserve"> 1 279 броя; </w:t>
      </w:r>
    </w:p>
    <w:p w14:paraId="721BC762" w14:textId="77777777" w:rsidR="009F4D2E" w:rsidRPr="009F4D2E" w:rsidRDefault="008036F9" w:rsidP="009F4D2E">
      <w:pPr>
        <w:numPr>
          <w:ilvl w:val="0"/>
          <w:numId w:val="11"/>
        </w:numPr>
        <w:overflowPunct w:val="0"/>
        <w:autoSpaceDE w:val="0"/>
        <w:autoSpaceDN w:val="0"/>
        <w:adjustRightInd w:val="0"/>
        <w:spacing w:after="120" w:line="276" w:lineRule="auto"/>
        <w:jc w:val="both"/>
        <w:rPr>
          <w:rFonts w:ascii="Arial Narrow" w:eastAsia="Calibri" w:hAnsi="Arial Narrow"/>
          <w:lang w:val="bg-BG"/>
        </w:rPr>
      </w:pPr>
      <w:r>
        <w:rPr>
          <w:rFonts w:ascii="Arial Narrow" w:eastAsia="Calibri" w:hAnsi="Arial Narrow"/>
          <w:lang w:val="bg-BG"/>
        </w:rPr>
        <w:t>„Уведомления за проследяване“ -</w:t>
      </w:r>
      <w:r w:rsidR="009F4D2E" w:rsidRPr="009F4D2E">
        <w:rPr>
          <w:rFonts w:ascii="Arial Narrow" w:eastAsia="Calibri" w:hAnsi="Arial Narrow"/>
          <w:lang w:val="bg-BG"/>
        </w:rPr>
        <w:t xml:space="preserve"> 1 077 броя; </w:t>
      </w:r>
    </w:p>
    <w:p w14:paraId="2EBCF170" w14:textId="77777777" w:rsidR="009F4D2E" w:rsidRPr="009F4D2E" w:rsidRDefault="008036F9" w:rsidP="009F4D2E">
      <w:pPr>
        <w:numPr>
          <w:ilvl w:val="0"/>
          <w:numId w:val="11"/>
        </w:numPr>
        <w:overflowPunct w:val="0"/>
        <w:autoSpaceDE w:val="0"/>
        <w:autoSpaceDN w:val="0"/>
        <w:adjustRightInd w:val="0"/>
        <w:spacing w:after="120" w:line="276" w:lineRule="auto"/>
        <w:jc w:val="both"/>
        <w:rPr>
          <w:rFonts w:ascii="Arial Narrow" w:eastAsia="Calibri" w:hAnsi="Arial Narrow"/>
          <w:lang w:val="bg-BG"/>
        </w:rPr>
      </w:pPr>
      <w:r>
        <w:rPr>
          <w:rFonts w:ascii="Arial Narrow" w:eastAsia="Calibri" w:hAnsi="Arial Narrow"/>
          <w:lang w:val="bg-BG"/>
        </w:rPr>
        <w:t>„Уведомления за новини“ -</w:t>
      </w:r>
      <w:r w:rsidR="009F4D2E" w:rsidRPr="009F4D2E">
        <w:rPr>
          <w:rFonts w:ascii="Arial Narrow" w:eastAsia="Calibri" w:hAnsi="Arial Narrow"/>
          <w:lang w:val="bg-BG"/>
        </w:rPr>
        <w:t xml:space="preserve"> 11 броя. </w:t>
      </w:r>
    </w:p>
    <w:p w14:paraId="218732D3" w14:textId="77777777" w:rsidR="009F4D2E" w:rsidRPr="009F4D2E" w:rsidRDefault="009F4D2E" w:rsidP="009F4D2E">
      <w:pPr>
        <w:spacing w:after="120"/>
        <w:ind w:firstLine="709"/>
        <w:jc w:val="both"/>
        <w:rPr>
          <w:rFonts w:ascii="Arial Narrow" w:hAnsi="Arial Narrow"/>
          <w:lang w:val="bg-BG" w:eastAsia="bg-BG"/>
        </w:rPr>
      </w:pPr>
      <w:r w:rsidRPr="009F4D2E">
        <w:rPr>
          <w:rFonts w:ascii="Arial Narrow" w:hAnsi="Arial Narrow"/>
          <w:lang w:val="bg-BG" w:eastAsia="bg-BG"/>
        </w:rPr>
        <w:lastRenderedPageBreak/>
        <w:t xml:space="preserve">Общият брой уведомления в системата iRASFF, по които България е предприела действия като нотифицирана и нотифицираща държава за 2024 г., е 467. Разпределението на уведомленията е както следва: </w:t>
      </w:r>
    </w:p>
    <w:p w14:paraId="5AB59A06" w14:textId="77777777" w:rsidR="009F4D2E" w:rsidRPr="009F4D2E" w:rsidRDefault="009F4D2E" w:rsidP="009F4D2E">
      <w:pPr>
        <w:numPr>
          <w:ilvl w:val="0"/>
          <w:numId w:val="35"/>
        </w:numPr>
        <w:overflowPunct w:val="0"/>
        <w:autoSpaceDE w:val="0"/>
        <w:autoSpaceDN w:val="0"/>
        <w:adjustRightInd w:val="0"/>
        <w:spacing w:after="120" w:line="276" w:lineRule="auto"/>
        <w:jc w:val="both"/>
        <w:textAlignment w:val="baseline"/>
        <w:rPr>
          <w:rFonts w:ascii="Arial Narrow" w:hAnsi="Arial Narrow"/>
          <w:lang w:val="bg-BG"/>
        </w:rPr>
      </w:pPr>
      <w:r w:rsidRPr="009F4D2E">
        <w:rPr>
          <w:rFonts w:ascii="Arial Narrow" w:hAnsi="Arial Narrow"/>
          <w:lang w:val="bg-BG"/>
        </w:rPr>
        <w:t xml:space="preserve">Входящи: </w:t>
      </w:r>
    </w:p>
    <w:p w14:paraId="03E2BC10" w14:textId="77777777" w:rsidR="009F4D2E" w:rsidRPr="009F4D2E" w:rsidRDefault="009F4D2E" w:rsidP="009F4D2E">
      <w:pPr>
        <w:numPr>
          <w:ilvl w:val="0"/>
          <w:numId w:val="11"/>
        </w:numPr>
        <w:overflowPunct w:val="0"/>
        <w:autoSpaceDE w:val="0"/>
        <w:autoSpaceDN w:val="0"/>
        <w:adjustRightInd w:val="0"/>
        <w:spacing w:after="120" w:line="276" w:lineRule="auto"/>
        <w:jc w:val="both"/>
        <w:rPr>
          <w:rFonts w:ascii="Arial Narrow" w:eastAsia="Calibri" w:hAnsi="Arial Narrow"/>
          <w:lang w:val="bg-BG"/>
        </w:rPr>
      </w:pPr>
      <w:r w:rsidRPr="009F4D2E">
        <w:rPr>
          <w:rFonts w:ascii="Arial Narrow" w:eastAsia="Calibri" w:hAnsi="Arial Narrow"/>
          <w:lang w:val="bg-BG"/>
        </w:rPr>
        <w:t xml:space="preserve">сектор „Храни“ - 156 уведомления (61 за несъответствие; 5 за информация за насочване на вниманието; 48 за информация, по отношение на която е необходимо проследяване; 41 за предупреждение, 1 за отхвърляне на граница); </w:t>
      </w:r>
    </w:p>
    <w:p w14:paraId="2C556A29" w14:textId="77777777" w:rsidR="009F4D2E" w:rsidRPr="009F4D2E" w:rsidRDefault="009F4D2E" w:rsidP="009F4D2E">
      <w:pPr>
        <w:numPr>
          <w:ilvl w:val="0"/>
          <w:numId w:val="11"/>
        </w:numPr>
        <w:overflowPunct w:val="0"/>
        <w:autoSpaceDE w:val="0"/>
        <w:autoSpaceDN w:val="0"/>
        <w:adjustRightInd w:val="0"/>
        <w:spacing w:after="120" w:line="276" w:lineRule="auto"/>
        <w:jc w:val="both"/>
        <w:rPr>
          <w:rFonts w:ascii="Arial Narrow" w:eastAsia="Calibri" w:hAnsi="Arial Narrow"/>
          <w:lang w:val="bg-BG"/>
        </w:rPr>
      </w:pPr>
      <w:r w:rsidRPr="009F4D2E">
        <w:rPr>
          <w:rFonts w:ascii="Arial Narrow" w:eastAsia="Calibri" w:hAnsi="Arial Narrow"/>
          <w:lang w:val="bg-BG"/>
        </w:rPr>
        <w:t xml:space="preserve">сектор „Фуражи” - 9 уведомления; </w:t>
      </w:r>
    </w:p>
    <w:p w14:paraId="63D67126" w14:textId="77777777" w:rsidR="009F4D2E" w:rsidRPr="009F4D2E" w:rsidRDefault="009F4D2E" w:rsidP="009F4D2E">
      <w:pPr>
        <w:numPr>
          <w:ilvl w:val="0"/>
          <w:numId w:val="11"/>
        </w:numPr>
        <w:overflowPunct w:val="0"/>
        <w:autoSpaceDE w:val="0"/>
        <w:autoSpaceDN w:val="0"/>
        <w:adjustRightInd w:val="0"/>
        <w:spacing w:after="120" w:line="276" w:lineRule="auto"/>
        <w:jc w:val="both"/>
        <w:rPr>
          <w:rFonts w:ascii="Arial Narrow" w:eastAsia="Calibri" w:hAnsi="Arial Narrow"/>
          <w:lang w:val="bg-BG"/>
        </w:rPr>
      </w:pPr>
      <w:r w:rsidRPr="009F4D2E">
        <w:rPr>
          <w:rFonts w:ascii="Arial Narrow" w:eastAsia="Calibri" w:hAnsi="Arial Narrow"/>
          <w:lang w:val="bg-BG"/>
        </w:rPr>
        <w:t xml:space="preserve">сектор „Здравеопазване на животните“ – 57 уведомления в PAN, насочени към България, от които 32 броя за предприемане на последващи мерки и 5 уведомления, постъпили по AWN, от които 1 брой за последващ контрол. </w:t>
      </w:r>
    </w:p>
    <w:p w14:paraId="34BF98DF" w14:textId="77777777" w:rsidR="009F4D2E" w:rsidRPr="009F4D2E" w:rsidRDefault="009F4D2E" w:rsidP="009F4D2E">
      <w:pPr>
        <w:numPr>
          <w:ilvl w:val="0"/>
          <w:numId w:val="35"/>
        </w:numPr>
        <w:overflowPunct w:val="0"/>
        <w:autoSpaceDE w:val="0"/>
        <w:autoSpaceDN w:val="0"/>
        <w:adjustRightInd w:val="0"/>
        <w:spacing w:after="120" w:line="276" w:lineRule="auto"/>
        <w:jc w:val="both"/>
        <w:textAlignment w:val="baseline"/>
        <w:rPr>
          <w:rFonts w:ascii="Arial Narrow" w:hAnsi="Arial Narrow"/>
          <w:lang w:val="bg-BG"/>
        </w:rPr>
      </w:pPr>
      <w:r w:rsidRPr="009F4D2E">
        <w:rPr>
          <w:rFonts w:ascii="Arial Narrow" w:hAnsi="Arial Narrow"/>
          <w:lang w:val="bg-BG"/>
        </w:rPr>
        <w:t>Изходящи:</w:t>
      </w:r>
    </w:p>
    <w:p w14:paraId="3558633A" w14:textId="77777777" w:rsidR="009F4D2E" w:rsidRPr="009F4D2E" w:rsidRDefault="009F4D2E" w:rsidP="009F4D2E">
      <w:pPr>
        <w:numPr>
          <w:ilvl w:val="0"/>
          <w:numId w:val="11"/>
        </w:numPr>
        <w:overflowPunct w:val="0"/>
        <w:autoSpaceDE w:val="0"/>
        <w:autoSpaceDN w:val="0"/>
        <w:adjustRightInd w:val="0"/>
        <w:spacing w:after="120" w:line="276" w:lineRule="auto"/>
        <w:jc w:val="both"/>
        <w:rPr>
          <w:rFonts w:ascii="Arial Narrow" w:eastAsia="Calibri" w:hAnsi="Arial Narrow"/>
          <w:lang w:val="bg-BG"/>
        </w:rPr>
      </w:pPr>
      <w:r w:rsidRPr="009F4D2E">
        <w:rPr>
          <w:rFonts w:ascii="Arial Narrow" w:eastAsia="Calibri" w:hAnsi="Arial Narrow"/>
          <w:lang w:val="bg-BG"/>
        </w:rPr>
        <w:t xml:space="preserve">сектор „Храни“ – 11 уведомления (7 за несъответствие; 4 за информация за насочване на вниманието) и едно запитване); </w:t>
      </w:r>
    </w:p>
    <w:p w14:paraId="1AE37519" w14:textId="77777777" w:rsidR="009F4D2E" w:rsidRPr="009F4D2E" w:rsidRDefault="009F4D2E" w:rsidP="009F4D2E">
      <w:pPr>
        <w:numPr>
          <w:ilvl w:val="0"/>
          <w:numId w:val="11"/>
        </w:numPr>
        <w:overflowPunct w:val="0"/>
        <w:autoSpaceDE w:val="0"/>
        <w:autoSpaceDN w:val="0"/>
        <w:adjustRightInd w:val="0"/>
        <w:spacing w:after="120" w:line="276" w:lineRule="auto"/>
        <w:jc w:val="both"/>
        <w:rPr>
          <w:rFonts w:ascii="Arial Narrow" w:eastAsia="Calibri" w:hAnsi="Arial Narrow"/>
          <w:lang w:val="bg-BG"/>
        </w:rPr>
      </w:pPr>
      <w:r w:rsidRPr="009F4D2E">
        <w:rPr>
          <w:rFonts w:ascii="Arial Narrow" w:eastAsia="Calibri" w:hAnsi="Arial Narrow"/>
          <w:lang w:val="bg-BG"/>
        </w:rPr>
        <w:t xml:space="preserve">сектор „Фуражи” – 3 уведомления; </w:t>
      </w:r>
    </w:p>
    <w:p w14:paraId="23100F6F" w14:textId="77777777" w:rsidR="009F4D2E" w:rsidRPr="009F4D2E" w:rsidRDefault="009F4D2E" w:rsidP="009F4D2E">
      <w:pPr>
        <w:numPr>
          <w:ilvl w:val="0"/>
          <w:numId w:val="11"/>
        </w:numPr>
        <w:overflowPunct w:val="0"/>
        <w:autoSpaceDE w:val="0"/>
        <w:autoSpaceDN w:val="0"/>
        <w:adjustRightInd w:val="0"/>
        <w:spacing w:after="120" w:line="276" w:lineRule="auto"/>
        <w:jc w:val="both"/>
        <w:rPr>
          <w:rFonts w:ascii="Arial Narrow" w:eastAsia="Calibri" w:hAnsi="Arial Narrow"/>
          <w:lang w:val="bg-BG"/>
        </w:rPr>
      </w:pPr>
      <w:r w:rsidRPr="009F4D2E">
        <w:rPr>
          <w:rFonts w:ascii="Arial Narrow" w:eastAsia="Calibri" w:hAnsi="Arial Narrow"/>
          <w:lang w:val="bg-BG"/>
        </w:rPr>
        <w:t>сектор „Граничен контрол“ – 226 уведомления (127 - за пратки, отхвърлени на границата и 99 - за несъответствия (т. нар. „non-compliance“).</w:t>
      </w:r>
    </w:p>
    <w:p w14:paraId="3A2CD683" w14:textId="77777777" w:rsidR="009F4D2E" w:rsidRPr="009F4D2E" w:rsidRDefault="009F4D2E" w:rsidP="009F4D2E">
      <w:pPr>
        <w:spacing w:after="120"/>
        <w:ind w:firstLine="709"/>
        <w:jc w:val="both"/>
        <w:rPr>
          <w:rFonts w:ascii="Arial Narrow" w:hAnsi="Arial Narrow"/>
          <w:lang w:val="bg-BG"/>
        </w:rPr>
      </w:pPr>
      <w:bookmarkStart w:id="169" w:name="_Toc526866146"/>
      <w:r w:rsidRPr="009F4D2E">
        <w:rPr>
          <w:rFonts w:ascii="Arial Narrow" w:hAnsi="Arial Narrow"/>
          <w:lang w:val="bg-BG"/>
        </w:rPr>
        <w:t>Наблюдава се значителен спад на броя на уведомленията в сектор „Граничен контрол“, за разлика от общата тенденция на нарастване в тази категория. Налице е слабо увеличение на броя на случаите, при които България е получател или създател на уведомленията, което изисква време и ресурси за предприемане на мерки, провеждане на разследване и отчитане на резултатите от Единното звено за контакт и звената за контакт в компетентните ведомства.</w:t>
      </w:r>
    </w:p>
    <w:p w14:paraId="652E3A7A" w14:textId="77777777" w:rsidR="009F4D2E" w:rsidRPr="009F4D2E" w:rsidRDefault="009F4D2E" w:rsidP="009F4D2E">
      <w:pPr>
        <w:spacing w:after="120"/>
        <w:ind w:firstLine="709"/>
        <w:jc w:val="both"/>
        <w:rPr>
          <w:rFonts w:ascii="Arial Narrow" w:hAnsi="Arial Narrow"/>
          <w:lang w:val="bg-BG" w:eastAsia="bg-BG"/>
        </w:rPr>
      </w:pPr>
      <w:r w:rsidRPr="009F4D2E">
        <w:rPr>
          <w:rFonts w:ascii="Arial Narrow" w:hAnsi="Arial Narrow"/>
          <w:b/>
          <w:bCs/>
          <w:lang w:val="bg-BG"/>
        </w:rPr>
        <w:t>Система за административна помощ и сътрудничество (ААС)</w:t>
      </w:r>
    </w:p>
    <w:p w14:paraId="398640D3" w14:textId="77777777" w:rsidR="009F4D2E" w:rsidRPr="009F4D2E" w:rsidRDefault="009F4D2E" w:rsidP="009F4D2E">
      <w:pPr>
        <w:overflowPunct w:val="0"/>
        <w:autoSpaceDE w:val="0"/>
        <w:autoSpaceDN w:val="0"/>
        <w:adjustRightInd w:val="0"/>
        <w:spacing w:after="120"/>
        <w:ind w:firstLine="709"/>
        <w:jc w:val="both"/>
        <w:textAlignment w:val="baseline"/>
        <w:rPr>
          <w:rFonts w:ascii="Arial Narrow" w:hAnsi="Arial Narrow"/>
          <w:lang w:val="bg-BG" w:eastAsia="bg-BG"/>
        </w:rPr>
      </w:pPr>
      <w:r w:rsidRPr="009F4D2E">
        <w:rPr>
          <w:rFonts w:ascii="Arial Narrow" w:hAnsi="Arial Narrow"/>
          <w:lang w:val="bg-BG" w:eastAsia="bg-BG"/>
        </w:rPr>
        <w:t xml:space="preserve">Системата за административна помощ и сътрудничество на Европейската комисия e създадена с цел осигуряване на проверка на съответствието със законодателството в областта на фуражите и храните и правилата за опазване здравето на животните и хуманното отношение към тях. </w:t>
      </w:r>
    </w:p>
    <w:p w14:paraId="6E71A4B5" w14:textId="77777777" w:rsidR="009F4D2E" w:rsidRPr="009F4D2E" w:rsidRDefault="009F4D2E" w:rsidP="009F4D2E">
      <w:pPr>
        <w:overflowPunct w:val="0"/>
        <w:autoSpaceDE w:val="0"/>
        <w:autoSpaceDN w:val="0"/>
        <w:adjustRightInd w:val="0"/>
        <w:spacing w:after="120"/>
        <w:ind w:firstLine="709"/>
        <w:jc w:val="both"/>
        <w:textAlignment w:val="baseline"/>
        <w:rPr>
          <w:rFonts w:ascii="Arial Narrow" w:hAnsi="Arial Narrow"/>
          <w:lang w:val="bg-BG" w:eastAsia="bg-BG"/>
        </w:rPr>
      </w:pPr>
      <w:r w:rsidRPr="009F4D2E">
        <w:rPr>
          <w:rFonts w:ascii="Arial Narrow" w:hAnsi="Arial Narrow"/>
          <w:lang w:val="bg-BG" w:eastAsia="bg-BG"/>
        </w:rPr>
        <w:t xml:space="preserve">Системата AAC служи за обмен на информация между компетентните органи на държавите членки и Комисията при извършване на официален контрол и/или за предприемане на ефективни последващи действия, в съответствие с дял IV на Регламент (ЕС) № 2017/625. Административната помощ може да включва предоставяне на информация и документи, извършване на разследвания и съвместни проверки на място и е важен инструмент за максимална ефективност на наличните ресурси в държавите членки. </w:t>
      </w:r>
    </w:p>
    <w:p w14:paraId="18C8AD97" w14:textId="77777777" w:rsidR="009F4D2E" w:rsidRPr="009F4D2E" w:rsidRDefault="009F4D2E" w:rsidP="009F4D2E">
      <w:pPr>
        <w:spacing w:after="120"/>
        <w:ind w:firstLine="709"/>
        <w:jc w:val="both"/>
        <w:rPr>
          <w:rFonts w:ascii="Arial Narrow" w:hAnsi="Arial Narrow"/>
          <w:lang w:val="bg-BG" w:eastAsia="bg-BG"/>
        </w:rPr>
      </w:pPr>
      <w:r w:rsidRPr="009F4D2E">
        <w:rPr>
          <w:rFonts w:ascii="Arial Narrow" w:hAnsi="Arial Narrow"/>
          <w:lang w:val="bg-BG" w:eastAsia="bg-BG"/>
        </w:rPr>
        <w:t xml:space="preserve">През 2024 г. общият брой на уведомленията в система AAC за ЕС е 3 212 , при регистрирани 3 166 броя през 2023 г. Най-общо докладваните случаи са свързани с подозрения за злоупотреби, липса на задължителни документи, неправилно съхранение, замърсяване на околната среда, проучвания за установяване на измамни практики и др. Както при ACN и тук най-голям обем от случаите засягат сектора на плодовете и зеленчуците, следван от този на диетичните храни и добавките, храните от животински произход и др.  </w:t>
      </w:r>
    </w:p>
    <w:p w14:paraId="65B83AD1" w14:textId="77777777" w:rsidR="009F4D2E" w:rsidRPr="009F4D2E" w:rsidRDefault="009F4D2E" w:rsidP="009F4D2E">
      <w:pPr>
        <w:spacing w:after="120"/>
        <w:ind w:firstLine="709"/>
        <w:jc w:val="both"/>
        <w:rPr>
          <w:rFonts w:ascii="Arial Narrow" w:hAnsi="Arial Narrow"/>
          <w:lang w:val="bg-BG" w:eastAsia="bg-BG"/>
        </w:rPr>
      </w:pPr>
      <w:r w:rsidRPr="009F4D2E">
        <w:rPr>
          <w:rFonts w:ascii="Arial Narrow" w:hAnsi="Arial Narrow"/>
          <w:lang w:val="bg-BG" w:eastAsia="bg-BG"/>
        </w:rPr>
        <w:t xml:space="preserve">Според показателя „регистрирано закъснение за изготвяне на отговор“ в изпълнение на процедурите и механизмите за работа с RASFF България не присъства в нито един напомнителен списък с отворени разговори (red bell list).  </w:t>
      </w:r>
    </w:p>
    <w:p w14:paraId="67B55045" w14:textId="77777777" w:rsidR="009F4D2E" w:rsidRPr="009F4D2E" w:rsidRDefault="009F4D2E" w:rsidP="009F4D2E">
      <w:pPr>
        <w:spacing w:after="120"/>
        <w:ind w:firstLine="709"/>
        <w:jc w:val="both"/>
        <w:rPr>
          <w:rFonts w:ascii="Arial Narrow" w:hAnsi="Arial Narrow"/>
          <w:b/>
          <w:bCs/>
          <w:lang w:val="bg-BG"/>
        </w:rPr>
      </w:pPr>
      <w:r w:rsidRPr="009F4D2E">
        <w:rPr>
          <w:rFonts w:ascii="Arial Narrow" w:hAnsi="Arial Narrow"/>
          <w:b/>
          <w:lang w:val="bg-BG" w:eastAsia="bg-BG"/>
        </w:rPr>
        <w:tab/>
      </w:r>
      <w:r w:rsidRPr="009F4D2E">
        <w:rPr>
          <w:rFonts w:ascii="Arial Narrow" w:hAnsi="Arial Narrow"/>
          <w:b/>
          <w:bCs/>
          <w:lang w:val="bg-BG"/>
        </w:rPr>
        <w:t>Мрежа за борба с измамите по агрохранителната верига (FFN)</w:t>
      </w:r>
    </w:p>
    <w:p w14:paraId="31D559EF" w14:textId="77777777" w:rsidR="009F4D2E" w:rsidRPr="009F4D2E" w:rsidRDefault="009F4D2E" w:rsidP="009F4D2E">
      <w:pPr>
        <w:spacing w:after="120"/>
        <w:ind w:firstLine="709"/>
        <w:jc w:val="both"/>
        <w:rPr>
          <w:rFonts w:ascii="Arial Narrow" w:hAnsi="Arial Narrow"/>
          <w:lang w:val="bg-BG" w:eastAsia="bg-BG"/>
        </w:rPr>
      </w:pPr>
      <w:r w:rsidRPr="009F4D2E">
        <w:rPr>
          <w:rFonts w:ascii="Arial Narrow" w:hAnsi="Arial Narrow"/>
          <w:lang w:val="bg-BG" w:eastAsia="bg-BG"/>
        </w:rPr>
        <w:t xml:space="preserve">Мрежата FFN предоставя на държавите членки възможност за обмен на информация и сътрудничество на доброволен принцип по въпроси, свързани с нарушения на европейското </w:t>
      </w:r>
      <w:r w:rsidRPr="009F4D2E">
        <w:rPr>
          <w:rFonts w:ascii="Arial Narrow" w:hAnsi="Arial Narrow"/>
          <w:lang w:val="bg-BG" w:eastAsia="bg-BG"/>
        </w:rPr>
        <w:lastRenderedPageBreak/>
        <w:t xml:space="preserve">законодателство в областта на агрохранителната верига, в съответствие с правилата, установени в Регламент (ЕС) № 2017/625, с цел противодействие на измамите по агрохранителната верига. </w:t>
      </w:r>
    </w:p>
    <w:p w14:paraId="60E7EAC2" w14:textId="77777777" w:rsidR="009F4D2E" w:rsidRPr="009F4D2E" w:rsidRDefault="009F4D2E" w:rsidP="009F4D2E">
      <w:pPr>
        <w:spacing w:after="120"/>
        <w:ind w:firstLine="709"/>
        <w:jc w:val="both"/>
        <w:rPr>
          <w:rFonts w:ascii="Arial Narrow" w:hAnsi="Arial Narrow"/>
          <w:lang w:val="bg-BG" w:eastAsia="bg-BG"/>
        </w:rPr>
      </w:pPr>
      <w:r w:rsidRPr="009F4D2E">
        <w:rPr>
          <w:rFonts w:ascii="Arial Narrow" w:hAnsi="Arial Narrow"/>
          <w:lang w:val="bg-BG" w:eastAsia="bg-BG"/>
        </w:rPr>
        <w:t xml:space="preserve">Нарастването на случаите на измами с храни на ниво ЕС изисква адекватни и навременни мерки за оптимизиране на системата за контрол и своевременно укрепване на способността й да оценява на ранен етап потенциалната уязвимост от измами в различни части от веригата на доставка на храни и способността на националните органи да откриват и предотвратяват потенциални измами. </w:t>
      </w:r>
    </w:p>
    <w:p w14:paraId="3C25F283" w14:textId="77777777" w:rsidR="009F4D2E" w:rsidRPr="009F4D2E" w:rsidRDefault="009F4D2E" w:rsidP="009F4D2E">
      <w:pPr>
        <w:spacing w:after="120"/>
        <w:ind w:firstLine="709"/>
        <w:jc w:val="both"/>
        <w:rPr>
          <w:rFonts w:ascii="Arial Narrow" w:hAnsi="Arial Narrow"/>
          <w:lang w:val="bg-BG" w:eastAsia="bg-BG"/>
        </w:rPr>
      </w:pPr>
      <w:r w:rsidRPr="009F4D2E">
        <w:rPr>
          <w:rFonts w:ascii="Arial Narrow" w:hAnsi="Arial Narrow"/>
          <w:lang w:val="bg-BG" w:eastAsia="bg-BG"/>
        </w:rPr>
        <w:t>От 2024 г. на ниво ЕС е въведена нова терминология и категоризация на съмненията за измами в хранително-вкусовата промишленост. Те се основават на Европейския комитет по нормализация (CEN) и Комитета по Кодекс за системи за инспекция и сертифициране на вноса и износа на храни (CCFICS). Индикаторите за измами в хранително-вкусовата промишленост се категоризират в три основни вида: манипулиране на продукти, манипулиране на записи и други несъответствия, които са допълнително описани в подкатегории.</w:t>
      </w:r>
    </w:p>
    <w:p w14:paraId="16D563DC" w14:textId="77777777" w:rsidR="009F4D2E" w:rsidRPr="009F4D2E" w:rsidRDefault="009F4D2E" w:rsidP="009F4D2E">
      <w:pPr>
        <w:spacing w:after="120"/>
        <w:ind w:firstLine="709"/>
        <w:jc w:val="both"/>
        <w:rPr>
          <w:rFonts w:ascii="Arial Narrow" w:hAnsi="Arial Narrow"/>
          <w:lang w:val="bg-BG" w:eastAsia="bg-BG"/>
        </w:rPr>
      </w:pPr>
      <w:r w:rsidRPr="009F4D2E">
        <w:rPr>
          <w:rFonts w:ascii="Arial Narrow" w:hAnsi="Arial Narrow"/>
          <w:lang w:val="bg-BG" w:eastAsia="bg-BG"/>
        </w:rPr>
        <w:t>Броят на уведомленията, свързани със съмнения за злоупотреби с мед в ACN, остава значим (52) в сектор, който остава силно контролиран (4 813 контрола са извършени в държавите членки през 2022 г. върху 10 392 оператора от ЕС). Проблемът с манипулирането на меда чрез разреждане с външни захари остава основната причина за уведомленията, свързани с измами, както е показано в координираните действия на ЕС, проведени през 2021-2022 г. Прекомерното съдържание на хидроксиметилфурфурал (HMF), индикатор за качеството на меда (възраст, неправилни условия на съхранение или прегряване), също е сериозен проблем. Има малко уведомления за несъответстващо етикетиране, особено по отношение на състава и здравните твърдения, свързани с меда от манука. Съобщават се и случаи на естествени токсини като пиролизидинови алкалоиди и граянотоксини, както и наличието на лечебни вещества (например силденафил и тадалафил), свързани с потенциален риск за здравето.</w:t>
      </w:r>
    </w:p>
    <w:p w14:paraId="1364A15A" w14:textId="77777777" w:rsidR="009F4D2E" w:rsidRPr="009F4D2E" w:rsidRDefault="009F4D2E" w:rsidP="009F4D2E">
      <w:pPr>
        <w:spacing w:after="120"/>
        <w:ind w:firstLine="709"/>
        <w:jc w:val="both"/>
        <w:rPr>
          <w:rFonts w:ascii="Arial Narrow" w:hAnsi="Arial Narrow"/>
          <w:lang w:val="bg-BG" w:eastAsia="bg-BG"/>
        </w:rPr>
      </w:pPr>
      <w:r w:rsidRPr="009F4D2E">
        <w:rPr>
          <w:rFonts w:ascii="Arial Narrow" w:hAnsi="Arial Narrow"/>
          <w:lang w:val="bg-BG" w:eastAsia="bg-BG"/>
        </w:rPr>
        <w:t>През 2024 г. е поставено началото на нов координиран план за разследване на злоупотреби под името GoldFish. Този план за контрол има за цел да проследи и да оцени несъответствията при търговията с риба и рибни продукти в Съюза и с това да ги минимизира. Българският компетентен орган е предоставил съгласие за участие в координираните действия на солидарен принцип, с което се присъединява към другите държави членки в борбата с нерегламентираното предлагане, етикетиране и представяне на храни, които не отговарят на изискванията на законодателството на Съюза. Планът е фокусиран върху необработени продукти, замразени, филетирани и друг вид етикетирани риба и рибни продукти. Подборът на видовете риба е извършен въз основа на направени проучвания от EUROSTAT, както и на база събрани данни от платформата IRASFF и се свежда до: пангасиус (Pangasisianodon hypophthalmus); атлантическа треска (Gadus morhua) и бяла тигрова скарида (Litopenaeus vannamei).</w:t>
      </w:r>
    </w:p>
    <w:p w14:paraId="168EB68A" w14:textId="77777777" w:rsidR="009F4D2E" w:rsidRPr="009F4D2E" w:rsidRDefault="009F4D2E" w:rsidP="009F4D2E">
      <w:pPr>
        <w:spacing w:after="120"/>
        <w:ind w:firstLine="709"/>
        <w:jc w:val="both"/>
        <w:rPr>
          <w:rFonts w:ascii="Arial Narrow" w:hAnsi="Arial Narrow"/>
          <w:lang w:val="bg-BG" w:eastAsia="bg-BG"/>
        </w:rPr>
      </w:pPr>
      <w:r w:rsidRPr="009F4D2E">
        <w:rPr>
          <w:rFonts w:ascii="Arial Narrow" w:hAnsi="Arial Narrow"/>
          <w:lang w:val="bg-BG" w:eastAsia="bg-BG"/>
        </w:rPr>
        <w:t xml:space="preserve">Предвижда се и извършването на лабораторни анализи по следните показатели: неправилно декларирано нетно тегло на продуктите; недекларирано или неправилно обявено водно съдържание; недекларирана или неправилно обявена употреба на вложените добавки. Фактическата работа по плана се очаква да стартира през четвъртото тримесечие на 2025 г. </w:t>
      </w:r>
    </w:p>
    <w:p w14:paraId="7BFD927D" w14:textId="77777777" w:rsidR="009F4D2E" w:rsidRPr="009F4D2E" w:rsidRDefault="009F4D2E" w:rsidP="009F4D2E">
      <w:pPr>
        <w:spacing w:after="120"/>
        <w:ind w:firstLine="709"/>
        <w:jc w:val="both"/>
        <w:rPr>
          <w:rFonts w:ascii="Arial Narrow" w:hAnsi="Arial Narrow"/>
          <w:lang w:val="bg-BG" w:eastAsia="bg-BG"/>
        </w:rPr>
      </w:pPr>
      <w:r w:rsidRPr="009F4D2E">
        <w:rPr>
          <w:rFonts w:ascii="Arial Narrow" w:hAnsi="Arial Narrow"/>
          <w:lang w:val="bg-BG" w:eastAsia="bg-BG"/>
        </w:rPr>
        <w:t xml:space="preserve">Случаите, свързани с нелегалната търговия с кучета и котки заемат голяма част от дейността по Мрежата през последните 3 години. От 2024 г. същите вече се регистрират в специализираните модули – Мрежата за домашни любимци и Мрежата за хуманно отношение към животните. През 2024 г. се забелязва леко намаление на боря на регистрираните случаи спрямо предходната година, като между октомври 2024 г. и април 2025 г. са били създадени 259 броя нотификации. Сред десетте най-популярни трети държави на произход на животните на челните места са Сърбия, Украйна и Турция, като нотифициращи държави – тези, при които са установени най-много злоупотреби при търговията с домашни любимци, са Словения, Германия, Нидерландия, Италия и други. Регистрираните нередности са свързани най-вече с документални несъответствия, липсващи документи в TRACES, липсващи ваксинации, микрочипове и др. </w:t>
      </w:r>
    </w:p>
    <w:p w14:paraId="49E9B4C1" w14:textId="77777777" w:rsidR="009F4D2E" w:rsidRPr="009F4D2E" w:rsidRDefault="009F4D2E" w:rsidP="009F4D2E">
      <w:pPr>
        <w:spacing w:after="120"/>
        <w:ind w:firstLine="709"/>
        <w:jc w:val="both"/>
        <w:rPr>
          <w:rFonts w:ascii="Arial Narrow" w:hAnsi="Arial Narrow"/>
          <w:lang w:val="bg-BG" w:eastAsia="bg-BG"/>
        </w:rPr>
      </w:pPr>
      <w:r w:rsidRPr="009F4D2E">
        <w:rPr>
          <w:rFonts w:ascii="Arial Narrow" w:hAnsi="Arial Narrow"/>
          <w:lang w:val="bg-BG" w:eastAsia="bg-BG"/>
        </w:rPr>
        <w:t xml:space="preserve">През 2024 г. по Мрежата за борба с измамите по агрохранителната верига към Република България са отправени общо 115 уведомления, от които 53 за внимание и 62 за отговор. </w:t>
      </w:r>
    </w:p>
    <w:p w14:paraId="25C826F5" w14:textId="77777777" w:rsidR="009F4D2E" w:rsidRPr="009F4D2E" w:rsidRDefault="009F4D2E" w:rsidP="009F4D2E">
      <w:pPr>
        <w:spacing w:after="120"/>
        <w:ind w:firstLine="709"/>
        <w:jc w:val="both"/>
        <w:rPr>
          <w:rFonts w:ascii="Arial Narrow" w:hAnsi="Arial Narrow"/>
          <w:lang w:val="bg-BG" w:eastAsia="bg-BG"/>
        </w:rPr>
      </w:pPr>
      <w:r w:rsidRPr="009F4D2E">
        <w:rPr>
          <w:rFonts w:ascii="Arial Narrow" w:hAnsi="Arial Narrow"/>
          <w:lang w:val="bg-BG" w:eastAsia="bg-BG"/>
        </w:rPr>
        <w:t>В Мрежата FFN няма уведомления, по които от страна на България да не са предприети действия и да не е предоставен отговор.</w:t>
      </w:r>
    </w:p>
    <w:p w14:paraId="0A8B4C7D" w14:textId="77777777" w:rsidR="009F4D2E" w:rsidRPr="009F4D2E" w:rsidRDefault="009F4D2E" w:rsidP="009F4D2E">
      <w:pPr>
        <w:spacing w:after="120"/>
        <w:ind w:firstLine="709"/>
        <w:jc w:val="both"/>
        <w:rPr>
          <w:rFonts w:ascii="Arial Narrow" w:hAnsi="Arial Narrow"/>
          <w:b/>
          <w:lang w:val="bg-BG" w:eastAsia="bg-BG"/>
        </w:rPr>
      </w:pPr>
      <w:r w:rsidRPr="009F4D2E">
        <w:rPr>
          <w:rFonts w:ascii="Arial Narrow" w:hAnsi="Arial Narrow"/>
          <w:b/>
          <w:lang w:val="bg-BG" w:eastAsia="bg-BG"/>
        </w:rPr>
        <w:lastRenderedPageBreak/>
        <w:t xml:space="preserve">Мрежа/модул за здраве на растенията (PHN) </w:t>
      </w:r>
    </w:p>
    <w:p w14:paraId="1D0215D4" w14:textId="77777777" w:rsidR="009F4D2E" w:rsidRPr="009F4D2E" w:rsidRDefault="009F4D2E" w:rsidP="009F4D2E">
      <w:pPr>
        <w:spacing w:after="120"/>
        <w:ind w:firstLine="709"/>
        <w:jc w:val="both"/>
        <w:rPr>
          <w:rFonts w:ascii="Arial Narrow" w:hAnsi="Arial Narrow"/>
          <w:lang w:val="bg-BG" w:eastAsia="bg-BG"/>
        </w:rPr>
      </w:pPr>
      <w:r w:rsidRPr="009F4D2E">
        <w:rPr>
          <w:rFonts w:ascii="Arial Narrow" w:hAnsi="Arial Narrow"/>
          <w:lang w:val="bg-BG" w:eastAsia="bg-BG"/>
        </w:rPr>
        <w:t>Посредством Мрежата PHN се докладват рисковете, свързани със здравето на растенията и продукти за растителна защита, попадащи в обхвата на Регламент (ЕС) № 2016/2031 на Европейския парламент и на Съвета от 26 октомври 2016 г. за защитните мерки срещу вредителите по растенията за случаите, които са установени на територията на Общността /вътрешни прихващания/. Общият брой на уведомленията, които са регистрирани в PHN за 2024 г. e 397.</w:t>
      </w:r>
    </w:p>
    <w:p w14:paraId="740C2541" w14:textId="77777777" w:rsidR="009F4D2E" w:rsidRPr="009F4D2E" w:rsidRDefault="009F4D2E" w:rsidP="009F4D2E">
      <w:pPr>
        <w:spacing w:after="120"/>
        <w:ind w:firstLine="709"/>
        <w:jc w:val="both"/>
        <w:rPr>
          <w:rFonts w:ascii="Arial Narrow" w:hAnsi="Arial Narrow"/>
          <w:b/>
          <w:lang w:val="bg-BG" w:eastAsia="bg-BG"/>
        </w:rPr>
      </w:pPr>
      <w:r w:rsidRPr="009F4D2E">
        <w:rPr>
          <w:rFonts w:ascii="Arial Narrow" w:hAnsi="Arial Narrow"/>
          <w:b/>
          <w:lang w:val="bg-BG" w:eastAsia="bg-BG"/>
        </w:rPr>
        <w:t>Мрежа за домашни любимци (PAN)</w:t>
      </w:r>
    </w:p>
    <w:p w14:paraId="10FE1425" w14:textId="77777777" w:rsidR="009F4D2E" w:rsidRPr="009F4D2E" w:rsidRDefault="009F4D2E" w:rsidP="009F4D2E">
      <w:pPr>
        <w:spacing w:after="120"/>
        <w:ind w:firstLine="709"/>
        <w:jc w:val="both"/>
        <w:rPr>
          <w:rFonts w:ascii="Arial Narrow" w:hAnsi="Arial Narrow"/>
          <w:lang w:val="bg-BG" w:eastAsia="bg-BG"/>
        </w:rPr>
      </w:pPr>
      <w:r w:rsidRPr="009F4D2E">
        <w:rPr>
          <w:rFonts w:ascii="Arial Narrow" w:hAnsi="Arial Narrow"/>
          <w:lang w:val="bg-BG" w:eastAsia="bg-BG"/>
        </w:rPr>
        <w:t>През октомври 2024 г. Комисията стартира Мрежата за домашни любимци (PAN), специализирана мрежа за административна помощ и сътрудничество, насочена към справяне с несъответствията, свързани с домашни любимци, включително предполагаеми измами и незаконна търговия. PAN подобрява сътрудничеството, комуникацията и координацията между органите на държавите членки на ЕС, като засилва усилията за справяне с тези проблеми.</w:t>
      </w:r>
    </w:p>
    <w:p w14:paraId="7E5787B6" w14:textId="77777777" w:rsidR="009F4D2E" w:rsidRPr="009F4D2E" w:rsidRDefault="009F4D2E" w:rsidP="009F4D2E">
      <w:pPr>
        <w:spacing w:after="120"/>
        <w:ind w:firstLine="709"/>
        <w:jc w:val="both"/>
        <w:rPr>
          <w:rFonts w:ascii="Arial Narrow" w:hAnsi="Arial Narrow"/>
          <w:b/>
          <w:lang w:val="bg-BG" w:eastAsia="bg-BG"/>
        </w:rPr>
      </w:pPr>
      <w:r w:rsidRPr="009F4D2E">
        <w:rPr>
          <w:rFonts w:ascii="Arial Narrow" w:hAnsi="Arial Narrow"/>
          <w:b/>
          <w:lang w:val="bg-BG" w:eastAsia="bg-BG"/>
        </w:rPr>
        <w:t>Мрежа за хуманно отношение (AWN)</w:t>
      </w:r>
    </w:p>
    <w:p w14:paraId="7EFE3AC3" w14:textId="77777777" w:rsidR="009F4D2E" w:rsidRPr="00344F3F" w:rsidRDefault="009F4D2E" w:rsidP="00344F3F">
      <w:pPr>
        <w:spacing w:after="120"/>
        <w:ind w:firstLine="709"/>
        <w:jc w:val="both"/>
        <w:rPr>
          <w:rFonts w:ascii="Arial Narrow" w:hAnsi="Arial Narrow"/>
          <w:lang w:val="bg-BG" w:eastAsia="bg-BG"/>
        </w:rPr>
      </w:pPr>
      <w:r w:rsidRPr="009F4D2E">
        <w:rPr>
          <w:rFonts w:ascii="Arial Narrow" w:hAnsi="Arial Narrow"/>
          <w:lang w:val="bg-BG" w:eastAsia="bg-BG"/>
        </w:rPr>
        <w:t>Мрежата за хуманно отношение към животните (AWN) е създадена за да подобри сътрудничеството и споделянето на информация между държавите членки по случаи на хуманно отношение към животните. Мрежата се фокусира върху осигуряването на хуманно отношение през целия жизнен цикъл на животните, от отглеждането и транспортирането до клането. Тя е проектирана с мисъл за продуктивни животни, поради което е решено да се съхраняват уведомленията за хуманно отношение към котките и кучетата в собствена, специализирана мрежа. AWN позволява на държавите членки да поискат подкрепа и да обменят знания за най-добри практики, с цел хармонизиране на стандартите за хуманно отношение към животните в целия ЕС. Тя функционира съгласно съществуващите разпоредби, обхващащи защитата на животните по време на транспортиране и клане, както и директиви, определящи минимални стандарти за селскостопанските животни.</w:t>
      </w:r>
      <w:bookmarkEnd w:id="169"/>
    </w:p>
    <w:p w14:paraId="7A214F89" w14:textId="77777777" w:rsidR="006E0415" w:rsidRPr="0046431A" w:rsidRDefault="0046431A" w:rsidP="0046431A">
      <w:pPr>
        <w:numPr>
          <w:ilvl w:val="2"/>
          <w:numId w:val="16"/>
        </w:numPr>
        <w:tabs>
          <w:tab w:val="left" w:pos="990"/>
        </w:tabs>
        <w:spacing w:after="120"/>
        <w:ind w:left="993" w:hanging="633"/>
        <w:jc w:val="both"/>
        <w:outlineLvl w:val="0"/>
        <w:rPr>
          <w:rFonts w:ascii="Arial Narrow" w:hAnsi="Arial Narrow"/>
          <w:b/>
          <w:bCs/>
          <w:lang w:val="bg-BG"/>
        </w:rPr>
      </w:pPr>
      <w:bookmarkStart w:id="170" w:name="_Toc210747629"/>
      <w:bookmarkStart w:id="171" w:name="_Toc87952120"/>
      <w:bookmarkStart w:id="172" w:name="_Toc526866148"/>
      <w:bookmarkStart w:id="173" w:name="_Toc526866147"/>
      <w:r w:rsidRPr="0046431A">
        <w:rPr>
          <w:rFonts w:ascii="Arial Narrow" w:hAnsi="Arial Narrow"/>
          <w:b/>
          <w:bCs/>
          <w:lang w:val="bg-BG" w:eastAsia="bg-BG"/>
        </w:rPr>
        <w:t xml:space="preserve">Контрол на ветеринарните лекарствени продукти, </w:t>
      </w:r>
      <w:r w:rsidRPr="0046431A">
        <w:rPr>
          <w:rFonts w:ascii="Arial Narrow" w:hAnsi="Arial Narrow"/>
          <w:b/>
          <w:bCs/>
          <w:lang w:val="bg-BG"/>
        </w:rPr>
        <w:t>фуражи</w:t>
      </w:r>
      <w:r w:rsidRPr="0046431A">
        <w:rPr>
          <w:rFonts w:ascii="Calibri" w:eastAsia="Calibri" w:hAnsi="Calibri"/>
          <w:sz w:val="22"/>
          <w:szCs w:val="22"/>
        </w:rPr>
        <w:t xml:space="preserve"> </w:t>
      </w:r>
      <w:r w:rsidRPr="0046431A">
        <w:rPr>
          <w:rFonts w:ascii="Arial Narrow" w:hAnsi="Arial Narrow"/>
          <w:b/>
          <w:bCs/>
          <w:lang w:val="bg-BG"/>
        </w:rPr>
        <w:t>и странични животински продукти, граничен контрол</w:t>
      </w:r>
      <w:bookmarkEnd w:id="170"/>
    </w:p>
    <w:p w14:paraId="6AF52EFB" w14:textId="77777777" w:rsidR="0046431A" w:rsidRPr="0046431A" w:rsidRDefault="0046431A" w:rsidP="0046431A">
      <w:pPr>
        <w:numPr>
          <w:ilvl w:val="3"/>
          <w:numId w:val="16"/>
        </w:numPr>
        <w:tabs>
          <w:tab w:val="left" w:pos="990"/>
        </w:tabs>
        <w:spacing w:after="120"/>
        <w:ind w:left="1077"/>
        <w:jc w:val="both"/>
        <w:outlineLvl w:val="0"/>
        <w:rPr>
          <w:rFonts w:ascii="Arial Narrow" w:hAnsi="Arial Narrow"/>
          <w:b/>
          <w:bCs/>
          <w:lang w:val="bg-BG" w:eastAsia="bg-BG"/>
        </w:rPr>
      </w:pPr>
      <w:bookmarkStart w:id="174" w:name="_Toc526866150"/>
      <w:bookmarkStart w:id="175" w:name="_Toc210747630"/>
      <w:bookmarkStart w:id="176" w:name="_Toc87952122"/>
      <w:bookmarkEnd w:id="171"/>
      <w:bookmarkEnd w:id="172"/>
      <w:bookmarkEnd w:id="173"/>
      <w:r w:rsidRPr="0046431A">
        <w:rPr>
          <w:rFonts w:ascii="Arial Narrow" w:hAnsi="Arial Narrow"/>
          <w:b/>
          <w:bCs/>
          <w:lang w:val="bg-BG" w:eastAsia="bg-BG"/>
        </w:rPr>
        <w:t>Контрол на ветеринарни лекарствени продукти</w:t>
      </w:r>
      <w:bookmarkEnd w:id="174"/>
      <w:bookmarkEnd w:id="175"/>
      <w:r w:rsidRPr="0046431A">
        <w:rPr>
          <w:rFonts w:ascii="Arial Narrow" w:hAnsi="Arial Narrow"/>
          <w:b/>
          <w:bCs/>
          <w:lang w:val="bg-BG" w:eastAsia="bg-BG"/>
        </w:rPr>
        <w:t xml:space="preserve"> </w:t>
      </w:r>
      <w:bookmarkEnd w:id="176"/>
    </w:p>
    <w:p w14:paraId="5B1848E5" w14:textId="77777777" w:rsidR="0046431A" w:rsidRPr="0046431A" w:rsidRDefault="0046431A" w:rsidP="0046431A">
      <w:pPr>
        <w:spacing w:after="120"/>
        <w:ind w:firstLine="709"/>
        <w:jc w:val="both"/>
        <w:rPr>
          <w:rFonts w:ascii="Arial Narrow" w:hAnsi="Arial Narrow"/>
          <w:lang w:val="bg-BG" w:eastAsia="bg-BG"/>
        </w:rPr>
      </w:pPr>
      <w:r w:rsidRPr="0046431A">
        <w:rPr>
          <w:rFonts w:ascii="Arial Narrow" w:hAnsi="Arial Narrow"/>
          <w:lang w:val="bg-BG" w:eastAsia="bg-BG"/>
        </w:rPr>
        <w:t>Качеството, ефикасността и безопасността на ВЛП се проследяват чрез съобщения за неблагоприятни реакции при употребата на ВЛП, получени по системата за фармакологична бдителност и при отклонения в качествата на ВЛП, както и чрез постоянен надзор на пазара. Получените сигнали за неблагоприятни реакции, възникнали на територията на България се публикуват в базата данни по ф</w:t>
      </w:r>
      <w:r>
        <w:rPr>
          <w:rFonts w:ascii="Arial Narrow" w:hAnsi="Arial Narrow"/>
          <w:lang w:val="bg-BG" w:eastAsia="bg-BG"/>
        </w:rPr>
        <w:t>армакологична бдителност на ЕС -</w:t>
      </w:r>
      <w:r w:rsidRPr="0046431A">
        <w:rPr>
          <w:rFonts w:ascii="Arial Narrow" w:hAnsi="Arial Narrow"/>
          <w:lang w:val="bg-BG" w:eastAsia="bg-BG"/>
        </w:rPr>
        <w:t xml:space="preserve"> Eudravigilance. Поддържането на система за фармакологична бдителност от притежателите на разрешения за търговия с ВЛП се контролира посредством периодични инспекции от БАБХ.</w:t>
      </w:r>
    </w:p>
    <w:p w14:paraId="4DB160D1" w14:textId="77777777" w:rsidR="0046431A" w:rsidRPr="0046431A" w:rsidRDefault="0046431A" w:rsidP="0046431A">
      <w:pPr>
        <w:spacing w:after="120"/>
        <w:ind w:firstLine="709"/>
        <w:jc w:val="both"/>
        <w:rPr>
          <w:rFonts w:ascii="Arial Narrow" w:hAnsi="Arial Narrow"/>
          <w:lang w:val="bg-BG" w:eastAsia="bg-BG"/>
        </w:rPr>
      </w:pPr>
      <w:r w:rsidRPr="0046431A">
        <w:rPr>
          <w:rFonts w:ascii="Arial Narrow" w:hAnsi="Arial Narrow"/>
          <w:lang w:val="bg-BG" w:eastAsia="bg-BG"/>
        </w:rPr>
        <w:t>Регистърът на разрешените за употреба ВЛП се актуализира периодично, с цел подпомагане на контрола на пазара на ВЛП, както и предоставяне на предвидената в закона информация на ветеринарномедицински специалисти и външни потребители. Периодично се актуализират и публичните регистри на издадените разрешения за търговия на едро с ВЛП, търговия на дребно с ВЛП, производство на ВЛП и на издадените лицензии за дейности с наркотични вещества за ветеринарномедицински цели,</w:t>
      </w:r>
      <w:r w:rsidRPr="0046431A">
        <w:rPr>
          <w:rFonts w:ascii="Calibri" w:eastAsia="Calibri" w:hAnsi="Calibri"/>
          <w:sz w:val="22"/>
          <w:szCs w:val="22"/>
        </w:rPr>
        <w:t xml:space="preserve"> </w:t>
      </w:r>
      <w:r w:rsidRPr="0046431A">
        <w:rPr>
          <w:rFonts w:ascii="Arial Narrow" w:hAnsi="Arial Narrow"/>
          <w:lang w:val="bg-BG" w:eastAsia="bg-BG"/>
        </w:rPr>
        <w:t>с оглед предоставяне на предвидената в закона информация за обществено ползване.</w:t>
      </w:r>
    </w:p>
    <w:p w14:paraId="28DC13C9" w14:textId="77777777" w:rsidR="0046431A" w:rsidRPr="0046431A" w:rsidRDefault="0046431A" w:rsidP="0046431A">
      <w:pPr>
        <w:widowControl w:val="0"/>
        <w:spacing w:after="120"/>
        <w:ind w:firstLine="709"/>
        <w:jc w:val="both"/>
        <w:rPr>
          <w:rFonts w:ascii="Arial Narrow" w:hAnsi="Arial Narrow"/>
          <w:lang w:val="bg-BG" w:eastAsia="bg-BG"/>
        </w:rPr>
      </w:pPr>
      <w:r w:rsidRPr="0046431A">
        <w:rPr>
          <w:rFonts w:ascii="Arial Narrow" w:hAnsi="Arial Narrow"/>
          <w:lang w:val="bg-BG" w:eastAsia="bg-BG"/>
        </w:rPr>
        <w:t xml:space="preserve">Във връзка с надзора върху антимикробната резистентност, БАБХ ежегодно събира и обобщава данни от притежателите на разрешения за употреба на ВЛП за продадени количества ВЛП с антимикробно действие. Информацията за видовете и количествата антимикробни продукти, употребени при определени видове животни се получава от страна на регистрираните ветеринарни лекари, на базата на документацията, водена във ветеринарномедицинските заведения и издадените рецепти за такива продукти. </w:t>
      </w:r>
    </w:p>
    <w:p w14:paraId="1DEFC20A" w14:textId="77777777" w:rsidR="0046431A" w:rsidRPr="0046431A" w:rsidRDefault="0046431A" w:rsidP="0046431A">
      <w:pPr>
        <w:widowControl w:val="0"/>
        <w:spacing w:after="120"/>
        <w:ind w:firstLine="709"/>
        <w:jc w:val="both"/>
        <w:rPr>
          <w:rFonts w:ascii="Arial Narrow" w:hAnsi="Arial Narrow"/>
          <w:lang w:val="bg-BG" w:eastAsia="bg-BG"/>
        </w:rPr>
      </w:pPr>
      <w:r w:rsidRPr="0046431A">
        <w:rPr>
          <w:rFonts w:ascii="Arial Narrow" w:hAnsi="Arial Narrow"/>
          <w:lang w:val="bg-BG" w:eastAsia="bg-BG"/>
        </w:rPr>
        <w:t>През 2024 г. в БАБХ функционира електронна платформа, чрез която регистрираните ветеринарни лекари и търговците на едро с ВЛП могат да въвеждат данните за употребените/предписани и продадени антимикробни лекарствени продукти.</w:t>
      </w:r>
    </w:p>
    <w:p w14:paraId="11F3C012" w14:textId="77777777" w:rsidR="0046431A" w:rsidRPr="0046431A" w:rsidRDefault="0046431A" w:rsidP="0046431A">
      <w:pPr>
        <w:widowControl w:val="0"/>
        <w:spacing w:after="120"/>
        <w:ind w:firstLine="709"/>
        <w:jc w:val="both"/>
        <w:rPr>
          <w:rFonts w:ascii="Arial Narrow" w:hAnsi="Arial Narrow"/>
          <w:lang w:val="bg-BG" w:eastAsia="bg-BG"/>
        </w:rPr>
      </w:pPr>
      <w:r w:rsidRPr="0046431A">
        <w:rPr>
          <w:rFonts w:ascii="Arial Narrow" w:hAnsi="Arial Narrow"/>
          <w:lang w:val="bg-BG" w:eastAsia="bg-BG"/>
        </w:rPr>
        <w:lastRenderedPageBreak/>
        <w:t>Обобщените данни се предоставят на Европейската агенция по лекарствата</w:t>
      </w:r>
      <w:r w:rsidRPr="0046431A">
        <w:rPr>
          <w:rFonts w:ascii="Calibri" w:eastAsia="Calibri" w:hAnsi="Calibri"/>
          <w:sz w:val="22"/>
          <w:szCs w:val="22"/>
        </w:rPr>
        <w:t xml:space="preserve"> </w:t>
      </w:r>
      <w:r w:rsidRPr="0046431A">
        <w:rPr>
          <w:rFonts w:ascii="Calibri" w:eastAsia="Calibri" w:hAnsi="Calibri"/>
          <w:sz w:val="22"/>
          <w:szCs w:val="22"/>
          <w:lang w:val="bg-BG"/>
        </w:rPr>
        <w:t>(</w:t>
      </w:r>
      <w:r w:rsidRPr="0046431A">
        <w:rPr>
          <w:rFonts w:ascii="Arial Narrow" w:hAnsi="Arial Narrow"/>
          <w:lang w:val="bg-BG" w:eastAsia="bg-BG"/>
        </w:rPr>
        <w:t xml:space="preserve">EMA) за анализиране и изготвяне на годишен доклад, съгласно изискванията на чл. 57, ал. 2 от Регламент (ЕС) 2019/6, както и на Световната организация за здраве на животните (WOAH), съгласно утвърдените формати. </w:t>
      </w:r>
    </w:p>
    <w:p w14:paraId="4F1C1C20" w14:textId="77777777" w:rsidR="0046431A" w:rsidRPr="0046431A" w:rsidRDefault="0046431A" w:rsidP="0046431A">
      <w:pPr>
        <w:widowControl w:val="0"/>
        <w:spacing w:after="120"/>
        <w:ind w:firstLine="720"/>
        <w:jc w:val="both"/>
        <w:rPr>
          <w:rFonts w:ascii="Arial Narrow" w:hAnsi="Arial Narrow"/>
          <w:lang w:val="bg-BG" w:eastAsia="bg-BG"/>
        </w:rPr>
      </w:pPr>
      <w:r w:rsidRPr="0046431A">
        <w:rPr>
          <w:rFonts w:ascii="Arial Narrow" w:hAnsi="Arial Narrow"/>
          <w:lang w:val="bg-BG" w:eastAsia="bg-BG"/>
        </w:rPr>
        <w:t xml:space="preserve">През 2024 г. БАБХ участва в изпълнение на Програмата на ЕС за пробовземане и тестване на проби от ВЛП по централизирана процедура и организира вземането на проба от имунологичен ВЛП и изпращането </w:t>
      </w:r>
      <w:r w:rsidRPr="0046431A">
        <w:rPr>
          <w:rFonts w:ascii="Bahnschrift SemiLight SemiConde" w:hAnsi="Bahnschrift SemiLight SemiConde" w:cs="Calibri"/>
          <w:lang w:val="bg-BG" w:eastAsia="bg-BG"/>
        </w:rPr>
        <w:t>ѝ</w:t>
      </w:r>
      <w:r w:rsidRPr="0046431A">
        <w:rPr>
          <w:rFonts w:ascii="Arial Narrow" w:hAnsi="Arial Narrow"/>
          <w:lang w:val="bg-BG" w:eastAsia="bg-BG"/>
        </w:rPr>
        <w:t xml:space="preserve"> до Европейската дирекция по качеството на лекарствата (EDQM), Франция.</w:t>
      </w:r>
    </w:p>
    <w:p w14:paraId="046FCA33" w14:textId="77777777" w:rsidR="0046431A" w:rsidRPr="0046431A" w:rsidRDefault="0046431A" w:rsidP="0046431A">
      <w:pPr>
        <w:widowControl w:val="0"/>
        <w:spacing w:after="120"/>
        <w:ind w:firstLine="709"/>
        <w:jc w:val="both"/>
        <w:rPr>
          <w:rFonts w:ascii="Arial Narrow" w:hAnsi="Arial Narrow"/>
          <w:lang w:val="bg-BG" w:eastAsia="bg-BG"/>
        </w:rPr>
      </w:pPr>
      <w:r w:rsidRPr="0046431A">
        <w:rPr>
          <w:rFonts w:ascii="Arial Narrow" w:hAnsi="Arial Narrow"/>
          <w:lang w:val="bg-BG" w:eastAsia="bg-BG"/>
        </w:rPr>
        <w:t xml:space="preserve">Официалният контрол на ВЛП се осъществява от служители на БАБХ на централно и регионално ниво. </w:t>
      </w:r>
    </w:p>
    <w:p w14:paraId="4FACC072" w14:textId="77777777" w:rsidR="0046431A" w:rsidRPr="0046431A" w:rsidRDefault="0046431A" w:rsidP="0046431A">
      <w:pPr>
        <w:widowControl w:val="0"/>
        <w:spacing w:after="120"/>
        <w:ind w:firstLine="709"/>
        <w:jc w:val="both"/>
        <w:rPr>
          <w:rFonts w:ascii="Arial Narrow" w:hAnsi="Arial Narrow"/>
          <w:lang w:val="bg-BG" w:eastAsia="bg-BG"/>
        </w:rPr>
      </w:pPr>
      <w:r w:rsidRPr="0046431A">
        <w:rPr>
          <w:rFonts w:ascii="Arial Narrow" w:hAnsi="Arial Narrow"/>
          <w:lang w:val="bg-BG" w:eastAsia="bg-BG"/>
        </w:rPr>
        <w:t>БАБХ контролира употребата, производството, търговията, съхранението и рекламата на ВЛП. Контролът върху търговията с ВЛП, както и употребата на ВЛП в животновъдните обекти и ветеринарномедицинските заведения  се извършва съгласно Инспекционна програма на БАБХ за държавен контрол на ветеринарни лекарствени продукти, която определя честотата и реда за извършване на проверките на базата на оценка на риска. При необходимост инспекторите от ОДБХ проверяват и пчеларски магазини, обекти за търговия с фуражи и селскостопански аптеки, като рискови търговски обекти за нерегламентирана търговия/предлагане на ВЛП.</w:t>
      </w:r>
    </w:p>
    <w:p w14:paraId="315FBEEA" w14:textId="77777777" w:rsidR="0046431A" w:rsidRPr="0046431A" w:rsidRDefault="0046431A" w:rsidP="0046431A">
      <w:pPr>
        <w:widowControl w:val="0"/>
        <w:spacing w:after="120"/>
        <w:ind w:firstLine="709"/>
        <w:jc w:val="both"/>
        <w:rPr>
          <w:rFonts w:ascii="Arial Narrow" w:hAnsi="Arial Narrow"/>
          <w:lang w:val="bg-BG" w:eastAsia="bg-BG"/>
        </w:rPr>
      </w:pPr>
      <w:r w:rsidRPr="0046431A">
        <w:rPr>
          <w:rFonts w:ascii="Arial Narrow" w:hAnsi="Arial Narrow"/>
          <w:lang w:val="bg-BG" w:eastAsia="bg-BG"/>
        </w:rPr>
        <w:t>Със заповед на изпълнителния директор на БАБХ от м. февруари 2024 г. е утвърдена и се изпълнява Програма за контрол на качеството на предлаганите в търговската мрежа ветеринарни лекарствени продукти,</w:t>
      </w:r>
      <w:r w:rsidRPr="0046431A">
        <w:rPr>
          <w:rFonts w:ascii="Arial Narrow" w:eastAsia="Calibri" w:hAnsi="Arial Narrow"/>
          <w:lang w:val="bg-BG"/>
        </w:rPr>
        <w:t xml:space="preserve"> на базата на която се изготвя и изпълнява план за вземане на проби и анализи на ВЛП от търговската мрежа</w:t>
      </w:r>
      <w:r w:rsidRPr="0046431A">
        <w:rPr>
          <w:rFonts w:ascii="Arial Narrow" w:hAnsi="Arial Narrow"/>
          <w:lang w:val="bg-BG" w:eastAsia="bg-BG"/>
        </w:rPr>
        <w:t xml:space="preserve">. </w:t>
      </w:r>
    </w:p>
    <w:p w14:paraId="412BE742" w14:textId="77777777" w:rsidR="0046431A" w:rsidRPr="0046431A" w:rsidRDefault="0046431A" w:rsidP="0046431A">
      <w:pPr>
        <w:widowControl w:val="0"/>
        <w:spacing w:after="120"/>
        <w:ind w:firstLine="709"/>
        <w:jc w:val="both"/>
        <w:rPr>
          <w:rFonts w:ascii="Arial Narrow" w:hAnsi="Arial Narrow"/>
          <w:lang w:val="bg-BG" w:eastAsia="bg-BG"/>
        </w:rPr>
      </w:pPr>
      <w:r w:rsidRPr="0046431A">
        <w:rPr>
          <w:rFonts w:ascii="Arial Narrow" w:hAnsi="Arial Narrow"/>
          <w:lang w:val="bg-BG" w:eastAsia="bg-BG"/>
        </w:rPr>
        <w:t>Програмата се отнася за ВЛП, разрешени за търговия по национална процедура, по процедура за взаимно признаване</w:t>
      </w:r>
      <w:r w:rsidR="003B66B2">
        <w:rPr>
          <w:rFonts w:ascii="Arial Narrow" w:hAnsi="Arial Narrow"/>
          <w:lang w:val="bg-BG" w:eastAsia="bg-BG"/>
        </w:rPr>
        <w:t>,</w:t>
      </w:r>
      <w:r w:rsidR="005317C4">
        <w:rPr>
          <w:rFonts w:ascii="Arial Narrow" w:hAnsi="Arial Narrow"/>
          <w:lang w:val="bg-BG" w:eastAsia="bg-BG"/>
        </w:rPr>
        <w:t xml:space="preserve"> </w:t>
      </w:r>
      <w:r w:rsidRPr="0046431A">
        <w:rPr>
          <w:rFonts w:ascii="Arial Narrow" w:hAnsi="Arial Narrow"/>
          <w:lang w:val="bg-BG" w:eastAsia="bg-BG"/>
        </w:rPr>
        <w:t>децентрализирана процедура</w:t>
      </w:r>
      <w:r w:rsidR="003B66B2">
        <w:rPr>
          <w:rFonts w:ascii="Arial Narrow" w:hAnsi="Arial Narrow"/>
          <w:lang w:val="bg-BG" w:eastAsia="bg-BG"/>
        </w:rPr>
        <w:t xml:space="preserve"> и процедура за преразглеждане</w:t>
      </w:r>
      <w:r w:rsidRPr="0046431A">
        <w:rPr>
          <w:rFonts w:ascii="Arial Narrow" w:hAnsi="Arial Narrow"/>
          <w:lang w:val="bg-BG" w:eastAsia="bg-BG"/>
        </w:rPr>
        <w:t xml:space="preserve">. Надзорът върху качеството на ВЛП по централизирана процедура (взимане на проби и лабораторни анализи) се осъществява по програма на Европейската агенция по лекарствата. </w:t>
      </w:r>
    </w:p>
    <w:p w14:paraId="4C53970F" w14:textId="77777777" w:rsidR="0046431A" w:rsidRPr="0046431A" w:rsidRDefault="0046431A" w:rsidP="0046431A">
      <w:pPr>
        <w:spacing w:after="120"/>
        <w:ind w:firstLine="709"/>
        <w:jc w:val="both"/>
        <w:rPr>
          <w:rFonts w:ascii="Arial Narrow" w:hAnsi="Arial Narrow"/>
          <w:lang w:val="bg-BG" w:eastAsia="bg-BG"/>
        </w:rPr>
      </w:pPr>
      <w:r w:rsidRPr="0046431A">
        <w:rPr>
          <w:rFonts w:ascii="Arial Narrow" w:hAnsi="Arial Narrow"/>
          <w:lang w:val="bg-BG" w:eastAsia="bg-BG"/>
        </w:rPr>
        <w:t>По отношение на контролната дейност върху търговията и употребата на ВЛП през 2024 г. е извършено следното: издадено е едно разрешение за търговия на едро с ВЛП; Издадени изменения към разреш</w:t>
      </w:r>
      <w:r w:rsidR="0040779A">
        <w:rPr>
          <w:rFonts w:ascii="Arial Narrow" w:hAnsi="Arial Narrow"/>
          <w:lang w:val="bg-BG" w:eastAsia="bg-BG"/>
        </w:rPr>
        <w:t>ения за търговия на едро с ВЛП -</w:t>
      </w:r>
      <w:r w:rsidRPr="0046431A">
        <w:rPr>
          <w:rFonts w:ascii="Arial Narrow" w:hAnsi="Arial Narrow"/>
          <w:lang w:val="bg-BG" w:eastAsia="bg-BG"/>
        </w:rPr>
        <w:t xml:space="preserve"> 3 броя; Прекратени лицензи/разреш</w:t>
      </w:r>
      <w:r w:rsidR="0040779A">
        <w:rPr>
          <w:rFonts w:ascii="Arial Narrow" w:hAnsi="Arial Narrow"/>
          <w:lang w:val="bg-BG" w:eastAsia="bg-BG"/>
        </w:rPr>
        <w:t>ения за търговия на едро с ВЛП -</w:t>
      </w:r>
      <w:r w:rsidRPr="0046431A">
        <w:rPr>
          <w:rFonts w:ascii="Arial Narrow" w:hAnsi="Arial Narrow"/>
          <w:lang w:val="bg-BG" w:eastAsia="bg-BG"/>
        </w:rPr>
        <w:t xml:space="preserve"> 9 броя; Издадени разрешен</w:t>
      </w:r>
      <w:r w:rsidR="0040779A">
        <w:rPr>
          <w:rFonts w:ascii="Arial Narrow" w:hAnsi="Arial Narrow"/>
          <w:lang w:val="bg-BG" w:eastAsia="bg-BG"/>
        </w:rPr>
        <w:t>ия за търговия на дребно с ВЛП -</w:t>
      </w:r>
      <w:r w:rsidRPr="0046431A">
        <w:rPr>
          <w:rFonts w:ascii="Arial Narrow" w:hAnsi="Arial Narrow"/>
          <w:lang w:val="bg-BG" w:eastAsia="bg-BG"/>
        </w:rPr>
        <w:t xml:space="preserve"> 8 броя; Вписване в списъка на търговците на дребно с ВЛП в България, на които е предоставено разрешение за</w:t>
      </w:r>
      <w:r w:rsidR="0040779A">
        <w:rPr>
          <w:rFonts w:ascii="Arial Narrow" w:hAnsi="Arial Narrow"/>
          <w:lang w:val="bg-BG" w:eastAsia="bg-BG"/>
        </w:rPr>
        <w:t xml:space="preserve"> продажба на ВЛП от разстояние -</w:t>
      </w:r>
      <w:r w:rsidRPr="0046431A">
        <w:rPr>
          <w:rFonts w:ascii="Arial Narrow" w:hAnsi="Arial Narrow"/>
          <w:lang w:val="bg-BG" w:eastAsia="bg-BG"/>
        </w:rPr>
        <w:t xml:space="preserve"> 11 броя; Издадени изменения към разрешения за търговия на дребно с ВЛП/служебно издадени лицензи в разрешен</w:t>
      </w:r>
      <w:r w:rsidR="0040779A">
        <w:rPr>
          <w:rFonts w:ascii="Arial Narrow" w:hAnsi="Arial Narrow"/>
          <w:lang w:val="bg-BG" w:eastAsia="bg-BG"/>
        </w:rPr>
        <w:t>ия за търговия на дребно с ВЛП -</w:t>
      </w:r>
      <w:r w:rsidRPr="0046431A">
        <w:rPr>
          <w:rFonts w:ascii="Arial Narrow" w:hAnsi="Arial Narrow"/>
          <w:lang w:val="bg-BG" w:eastAsia="bg-BG"/>
        </w:rPr>
        <w:t xml:space="preserve"> 14 броя; Прекратени лицензи за търговия на дребно с ВМП/разрешения за търговия на дребно с ВЛП/отменени разрешения за търговия на дребно </w:t>
      </w:r>
      <w:r w:rsidR="0040779A">
        <w:rPr>
          <w:rFonts w:ascii="Arial Narrow" w:hAnsi="Arial Narrow"/>
          <w:lang w:val="bg-BG" w:eastAsia="bg-BG"/>
        </w:rPr>
        <w:t>с ВЛП -</w:t>
      </w:r>
      <w:r w:rsidRPr="0046431A">
        <w:rPr>
          <w:rFonts w:ascii="Arial Narrow" w:hAnsi="Arial Narrow"/>
          <w:lang w:val="bg-BG" w:eastAsia="bg-BG"/>
        </w:rPr>
        <w:t xml:space="preserve"> 12 броя; Одобрени промени/издадени допълнения/подновяване на лицензии за търговия на едро с наркотични вещества</w:t>
      </w:r>
      <w:r w:rsidR="0040779A">
        <w:rPr>
          <w:rFonts w:ascii="Arial Narrow" w:hAnsi="Arial Narrow"/>
          <w:lang w:val="bg-BG" w:eastAsia="bg-BG"/>
        </w:rPr>
        <w:t xml:space="preserve"> за ветеринарномедицински цели -</w:t>
      </w:r>
      <w:r w:rsidRPr="0046431A">
        <w:rPr>
          <w:rFonts w:ascii="Arial Narrow" w:hAnsi="Arial Narrow"/>
          <w:lang w:val="bg-BG" w:eastAsia="bg-BG"/>
        </w:rPr>
        <w:t xml:space="preserve"> 3 броя; Регистрирани производители, вносители и разпространители на активни вещества, използвани като изходни материали за ве</w:t>
      </w:r>
      <w:r w:rsidR="0040779A">
        <w:rPr>
          <w:rFonts w:ascii="Arial Narrow" w:hAnsi="Arial Narrow"/>
          <w:lang w:val="bg-BG" w:eastAsia="bg-BG"/>
        </w:rPr>
        <w:t>теринарни лекарствени продукти -</w:t>
      </w:r>
      <w:r w:rsidRPr="0046431A">
        <w:rPr>
          <w:rFonts w:ascii="Arial Narrow" w:hAnsi="Arial Narrow"/>
          <w:lang w:val="bg-BG" w:eastAsia="bg-BG"/>
        </w:rPr>
        <w:t xml:space="preserve"> 1 брой.</w:t>
      </w:r>
    </w:p>
    <w:p w14:paraId="3DD6EA40" w14:textId="77777777" w:rsidR="0046431A" w:rsidRPr="0046431A" w:rsidRDefault="0046431A" w:rsidP="0046431A">
      <w:pPr>
        <w:spacing w:after="120"/>
        <w:ind w:firstLine="709"/>
        <w:jc w:val="both"/>
        <w:rPr>
          <w:rFonts w:ascii="Arial Narrow" w:hAnsi="Arial Narrow"/>
          <w:lang w:val="bg-BG" w:eastAsia="bg-BG"/>
        </w:rPr>
      </w:pPr>
      <w:r w:rsidRPr="0046431A">
        <w:rPr>
          <w:rFonts w:ascii="Arial Narrow" w:hAnsi="Arial Narrow"/>
          <w:lang w:val="bg-BG" w:eastAsia="bg-BG"/>
        </w:rPr>
        <w:t>През 2024 г. извършените проверки от ОДБХ във връзка с официалния контрол върху търговията, съхранението и употребата на ВЛП са общо 3 259 броя</w:t>
      </w:r>
      <w:r w:rsidRPr="0046431A">
        <w:rPr>
          <w:rFonts w:ascii="Arial Narrow" w:hAnsi="Arial Narrow"/>
          <w:lang w:eastAsia="bg-BG"/>
        </w:rPr>
        <w:t xml:space="preserve"> (с 540 </w:t>
      </w:r>
      <w:r w:rsidRPr="0046431A">
        <w:rPr>
          <w:rFonts w:ascii="Arial Narrow" w:hAnsi="Arial Narrow"/>
          <w:lang w:val="bg-BG" w:eastAsia="bg-BG"/>
        </w:rPr>
        <w:t xml:space="preserve">броя по-малко спрямо предходната година), от които: 120 на обекти за търговия на едро; 260 на обекти за търговия на дребно (аптеки); 1 267 на ветеринарномедицински заведения; 1 474 на животновъдни обекти и 238 на зоомагазини, пчеларски магазини и др. В резултат са издадени 253 предписания и са съставени 68 акта за установяване на административно нарушение. </w:t>
      </w:r>
    </w:p>
    <w:p w14:paraId="78E55DE2" w14:textId="77777777" w:rsidR="0046431A" w:rsidRPr="0046431A" w:rsidRDefault="0046431A" w:rsidP="0046431A">
      <w:pPr>
        <w:spacing w:after="120"/>
        <w:ind w:firstLine="709"/>
        <w:jc w:val="both"/>
        <w:rPr>
          <w:rFonts w:ascii="Arial Narrow" w:hAnsi="Arial Narrow"/>
          <w:lang w:eastAsia="bg-BG"/>
        </w:rPr>
      </w:pPr>
      <w:r w:rsidRPr="0046431A">
        <w:rPr>
          <w:rFonts w:ascii="Arial Narrow" w:hAnsi="Arial Narrow"/>
          <w:lang w:val="bg-BG" w:eastAsia="bg-BG"/>
        </w:rPr>
        <w:t>В изпълнение на утвърдения План за инспекции по Добра производствена практика за 2024 г. са извършени общо 11 инспекции. На един от обектите за производство на ВЛП в трета страна е извършена дистанционна оценка на документацията и условията за производство, контрол и съхранение на ВЛП. За всички извършени инспекции по ДПП са изготвени протоколи по образец и след положително заключение за съответствие на производствения обект с изискванията на ДПП са издадени 11 сертификата за ДПП, като същите са въведени своевременно в базата данни на ЕС EudraGMDP. Поради прекратяване на дейността е прекратено едно разрешение за производство на ВЛП</w:t>
      </w:r>
      <w:r w:rsidR="0040779A">
        <w:rPr>
          <w:rFonts w:ascii="Arial Narrow" w:hAnsi="Arial Narrow"/>
          <w:lang w:eastAsia="bg-BG"/>
        </w:rPr>
        <w:t>.</w:t>
      </w:r>
    </w:p>
    <w:p w14:paraId="124F8FA1" w14:textId="77777777" w:rsidR="0046431A" w:rsidRPr="0046431A" w:rsidRDefault="0046431A" w:rsidP="0046431A">
      <w:pPr>
        <w:spacing w:after="120"/>
        <w:ind w:firstLine="709"/>
        <w:jc w:val="both"/>
        <w:rPr>
          <w:rFonts w:ascii="Arial Narrow" w:hAnsi="Arial Narrow"/>
          <w:lang w:val="bg-BG" w:eastAsia="bg-BG"/>
        </w:rPr>
      </w:pPr>
      <w:r w:rsidRPr="0046431A">
        <w:rPr>
          <w:rFonts w:ascii="Arial Narrow" w:hAnsi="Arial Narrow"/>
          <w:lang w:val="bg-BG" w:eastAsia="bg-BG"/>
        </w:rPr>
        <w:lastRenderedPageBreak/>
        <w:tab/>
        <w:t xml:space="preserve">Констатираните несъответствия с изискванията за ДПП при извършени инспекции на производители/вносители на ВЛП са класифицирани като „други” несъответствия (не представляват пряк риск за качеството на произвежданите ВЛП и не биха довели до производство/внасяне и пускане на пазара на ВЛП, криещи  риск за здравето на хората и животните). Няма констатирани „значителни“ и „критични“ несъответствия. Производителите/вносителите на ВЛП са представили приемливи план-графици за отстраняване на констатираните при инспекциите несъответствия. Изпълнението им се проверява при последващите инспекции в обектите за производство/внасяне на ВЛП.  </w:t>
      </w:r>
    </w:p>
    <w:p w14:paraId="1145D5F4" w14:textId="77777777" w:rsidR="0046431A" w:rsidRPr="0046431A" w:rsidRDefault="0046431A" w:rsidP="0046431A">
      <w:pPr>
        <w:spacing w:after="120"/>
        <w:ind w:firstLine="709"/>
        <w:jc w:val="both"/>
        <w:rPr>
          <w:rFonts w:ascii="Arial Narrow" w:hAnsi="Arial Narrow"/>
          <w:lang w:val="bg-BG" w:eastAsia="bg-BG"/>
        </w:rPr>
      </w:pPr>
      <w:r w:rsidRPr="0046431A">
        <w:rPr>
          <w:rFonts w:ascii="Arial Narrow" w:hAnsi="Arial Narrow"/>
          <w:lang w:val="bg-BG" w:eastAsia="bg-BG"/>
        </w:rPr>
        <w:t xml:space="preserve">Във връзка с изпълнение на Програмата за контрол на качеството на предлаганите в търговската мрежа ВЛП за 2024 г. са планирани и взети 16 броя проби за изпитване на качествени показатели и данните върху етикета на опаковките и в листовката на продукта. </w:t>
      </w:r>
    </w:p>
    <w:p w14:paraId="3F2DA98A" w14:textId="77777777" w:rsidR="0046431A" w:rsidRPr="0046431A" w:rsidRDefault="0046431A" w:rsidP="0046431A">
      <w:pPr>
        <w:spacing w:after="120"/>
        <w:ind w:firstLine="709"/>
        <w:jc w:val="both"/>
        <w:rPr>
          <w:rFonts w:ascii="Arial Narrow" w:hAnsi="Arial Narrow"/>
          <w:lang w:val="bg-BG" w:eastAsia="bg-BG"/>
        </w:rPr>
      </w:pPr>
      <w:r w:rsidRPr="0046431A">
        <w:rPr>
          <w:rFonts w:ascii="Arial Narrow" w:hAnsi="Arial Narrow"/>
          <w:lang w:val="bg-BG" w:eastAsia="bg-BG"/>
        </w:rPr>
        <w:t>Проверките в обектите, подлежащи на контрол от ОДБХ включват освен минимално заложените, съгласно Инспекционната програма на БАБХ за 2024 г. и допълнително извършени проверки във връзка с подадени сигнали и жалби, на база оценката на риска за всеки отделен обект и извършени проверки по заповеди на изпълнителния/заместник изпълнителния директор на БАБХ. Като цяло, през 2024 г. ОДБХ са надхвърлили изпълнението на броя на планираните за годината проверки по видове обекти, но все още при някои се наблюдава неизпълнение на годишните планове.</w:t>
      </w:r>
    </w:p>
    <w:p w14:paraId="55CDD9F0" w14:textId="77777777" w:rsidR="0046431A" w:rsidRDefault="0046431A" w:rsidP="0046431A">
      <w:pPr>
        <w:spacing w:after="120"/>
        <w:ind w:firstLine="709"/>
        <w:jc w:val="both"/>
        <w:rPr>
          <w:rFonts w:ascii="Arial Narrow" w:hAnsi="Arial Narrow"/>
          <w:lang w:val="bg-BG" w:eastAsia="bg-BG"/>
        </w:rPr>
      </w:pPr>
      <w:r w:rsidRPr="0046431A">
        <w:rPr>
          <w:rFonts w:ascii="Arial Narrow" w:hAnsi="Arial Narrow"/>
          <w:lang w:val="bg-BG" w:eastAsia="bg-BG"/>
        </w:rPr>
        <w:t>Проверките, при които са констатирани несъответствия и за които са дадени предписания, са около 8% от общия брой, което е с 2% повече в сравнение с 2023 г. Актове за установяване на административно нарушение са съставени при около 2% от проверките (при 1,3%</w:t>
      </w:r>
      <w:r w:rsidR="00415172">
        <w:rPr>
          <w:rFonts w:ascii="Arial Narrow" w:hAnsi="Arial Narrow"/>
          <w:lang w:eastAsia="bg-BG"/>
        </w:rPr>
        <w:t xml:space="preserve"> </w:t>
      </w:r>
      <w:r w:rsidRPr="0046431A">
        <w:rPr>
          <w:rFonts w:ascii="Arial Narrow" w:hAnsi="Arial Narrow"/>
          <w:lang w:val="bg-BG" w:eastAsia="bg-BG"/>
        </w:rPr>
        <w:t>от проверките за 2023 г.).</w:t>
      </w:r>
    </w:p>
    <w:p w14:paraId="552EBEFA" w14:textId="77777777" w:rsidR="00DF6ADA" w:rsidRPr="0046431A" w:rsidRDefault="00DF6ADA" w:rsidP="0046431A">
      <w:pPr>
        <w:spacing w:after="120"/>
        <w:ind w:firstLine="709"/>
        <w:jc w:val="both"/>
        <w:rPr>
          <w:rFonts w:ascii="Arial Narrow" w:hAnsi="Arial Narrow"/>
          <w:lang w:val="bg-BG" w:eastAsia="bg-BG"/>
        </w:rPr>
      </w:pPr>
    </w:p>
    <w:p w14:paraId="7D616125" w14:textId="77777777" w:rsidR="006E0415" w:rsidRPr="0046431A" w:rsidRDefault="0046431A" w:rsidP="006E0415">
      <w:pPr>
        <w:numPr>
          <w:ilvl w:val="3"/>
          <w:numId w:val="16"/>
        </w:numPr>
        <w:tabs>
          <w:tab w:val="left" w:pos="990"/>
        </w:tabs>
        <w:spacing w:before="120" w:after="120"/>
        <w:ind w:left="1080"/>
        <w:contextualSpacing/>
        <w:jc w:val="both"/>
        <w:outlineLvl w:val="0"/>
        <w:rPr>
          <w:rFonts w:ascii="Arial Narrow" w:hAnsi="Arial Narrow"/>
          <w:b/>
          <w:bCs/>
          <w:lang w:val="bg-BG" w:eastAsia="bg-BG"/>
        </w:rPr>
      </w:pPr>
      <w:bookmarkStart w:id="177" w:name="_Toc210747631"/>
      <w:r w:rsidRPr="0046431A">
        <w:rPr>
          <w:rFonts w:ascii="Arial Narrow" w:hAnsi="Arial Narrow"/>
          <w:b/>
          <w:bCs/>
          <w:lang w:val="bg-BG" w:eastAsia="bg-BG"/>
        </w:rPr>
        <w:t>Граничен контрол</w:t>
      </w:r>
      <w:bookmarkEnd w:id="177"/>
    </w:p>
    <w:p w14:paraId="1BD8D0F7" w14:textId="77777777" w:rsidR="0046431A" w:rsidRPr="0046431A" w:rsidRDefault="0046431A" w:rsidP="0046431A">
      <w:pPr>
        <w:suppressAutoHyphens/>
        <w:autoSpaceDN w:val="0"/>
        <w:spacing w:before="240" w:after="120"/>
        <w:ind w:firstLine="709"/>
        <w:jc w:val="both"/>
        <w:textAlignment w:val="baseline"/>
        <w:rPr>
          <w:rFonts w:ascii="Arial Narrow" w:hAnsi="Arial Narrow"/>
          <w:lang w:val="bg-BG"/>
        </w:rPr>
      </w:pPr>
      <w:r w:rsidRPr="0046431A">
        <w:rPr>
          <w:rFonts w:ascii="Arial Narrow" w:hAnsi="Arial Narrow"/>
          <w:lang w:val="bg-BG"/>
        </w:rPr>
        <w:t>Официалният контрол се осъществява на гранични контролни пунктове (ГКП), разположени на територията на България, които са одобрени в съответствие с изискванията на чл. 59 от Регламент (ЕС) 2017/625, както и Регламент (ЕС) 2019/1014, както следва: ГКП Капитан Андреево; ГКП Пристанище Варна; ГКП Пристанище Бургас; ГКП Гюешево; ГКП Златарево; ГКП Калотина, ГКП Летище София; ГКП Брегово.</w:t>
      </w:r>
    </w:p>
    <w:p w14:paraId="67D54568" w14:textId="77777777" w:rsidR="0046431A" w:rsidRPr="0046431A" w:rsidRDefault="0046431A" w:rsidP="0046431A">
      <w:pPr>
        <w:suppressAutoHyphens/>
        <w:autoSpaceDN w:val="0"/>
        <w:spacing w:after="120"/>
        <w:ind w:firstLine="708"/>
        <w:jc w:val="both"/>
        <w:textAlignment w:val="baseline"/>
        <w:rPr>
          <w:rFonts w:ascii="Arial Narrow" w:hAnsi="Arial Narrow"/>
          <w:lang w:val="bg-BG"/>
        </w:rPr>
      </w:pPr>
      <w:r w:rsidRPr="0046431A">
        <w:rPr>
          <w:rFonts w:ascii="Arial Narrow" w:hAnsi="Arial Narrow"/>
          <w:lang w:val="bg-BG"/>
        </w:rPr>
        <w:t>БАБХ, чрез отделите ГКП, осъществява официален контрол при въвеждане на територията на Съюза на животни и стоки, попадащи в обхвата на чл. 47, параграф 1 от Регламент (ЕС) 2017/625. Това включва извършване на официален контрол при въвеждане на пратки животни и стоки от трети държави, съдържащи: живи животни; продукти от животински произход, зародишни продукти, странични животински продукти, сено и слама и храни, съдържащи както продукти от растителен произход, така и преработени продукти от животински произход (съставни продукти); растения, растителни продукти и други обекти; храни и фуражи от неживотински произход, спрямо които се прилагат мерки по засилен официален контрол на ГКП и такива, по отношение на които се прилагат спешни мерки; материали и предмети в контакт с храни.</w:t>
      </w:r>
    </w:p>
    <w:p w14:paraId="7BD49107" w14:textId="77777777" w:rsidR="0046431A" w:rsidRPr="0046431A" w:rsidRDefault="0046431A" w:rsidP="0046431A">
      <w:pPr>
        <w:suppressAutoHyphens/>
        <w:autoSpaceDN w:val="0"/>
        <w:spacing w:after="120"/>
        <w:ind w:firstLine="708"/>
        <w:jc w:val="both"/>
        <w:textAlignment w:val="baseline"/>
        <w:rPr>
          <w:rFonts w:ascii="Arial Narrow" w:hAnsi="Arial Narrow"/>
          <w:lang w:val="bg-BG"/>
        </w:rPr>
      </w:pPr>
      <w:r w:rsidRPr="0046431A">
        <w:rPr>
          <w:rFonts w:ascii="Arial Narrow" w:hAnsi="Arial Narrow"/>
          <w:lang w:val="bg-BG"/>
        </w:rPr>
        <w:t>Освен на осемте одобрени гранични контролни пункта, БАБХ извършва официален контрол и на следните места за въвеждане в Съюза: Малко Търново, Лесово, Логодаж, Стрезимировци, Летище Варна, Летище Бургас на: стоки, които са част от личния багаж на пътниците и са предназначени за лична употреба или консумация в изпълнение на изискванията на Регламент (ЕС) 2019/2122; проверки за съответствието с ветеринарно-санитарните изисквания по отношение на движението с нетърговска цел на домашни любимци съгласно Регламент 2013/576.</w:t>
      </w:r>
    </w:p>
    <w:p w14:paraId="24CCA91D" w14:textId="77777777" w:rsidR="0046431A" w:rsidRPr="0046431A" w:rsidRDefault="0046431A" w:rsidP="0046431A">
      <w:pPr>
        <w:suppressAutoHyphens/>
        <w:autoSpaceDN w:val="0"/>
        <w:spacing w:after="120"/>
        <w:ind w:firstLine="709"/>
        <w:jc w:val="both"/>
        <w:textAlignment w:val="baseline"/>
        <w:rPr>
          <w:rFonts w:ascii="Arial Narrow" w:hAnsi="Arial Narrow"/>
          <w:lang w:val="bg-BG"/>
        </w:rPr>
      </w:pPr>
      <w:r w:rsidRPr="0046431A">
        <w:rPr>
          <w:rFonts w:ascii="Arial Narrow" w:hAnsi="Arial Narrow"/>
          <w:lang w:val="bg-BG"/>
        </w:rPr>
        <w:t>Официалният контрол на граничните контролни пунктове при въвеждане на пратки животни и стоки от трети страни на територията на Съюза се осъществява от официални ветеринарни лекари, официални фитосанитарни инспектори и официални инспектори и включва извършването на документални, идентификационни и физически проверки, включително вземане на проби за лабораторен анализ при спазване изискванията на пряко приложимото европейско право и национално законодателство.</w:t>
      </w:r>
    </w:p>
    <w:p w14:paraId="5A8082D8" w14:textId="77777777" w:rsidR="0046431A" w:rsidRPr="0046431A" w:rsidRDefault="0046431A" w:rsidP="0046431A">
      <w:pPr>
        <w:suppressAutoHyphens/>
        <w:autoSpaceDN w:val="0"/>
        <w:spacing w:after="120"/>
        <w:ind w:firstLine="708"/>
        <w:jc w:val="both"/>
        <w:textAlignment w:val="baseline"/>
        <w:rPr>
          <w:rFonts w:ascii="Arial Narrow" w:hAnsi="Arial Narrow"/>
          <w:lang w:val="bg-BG"/>
        </w:rPr>
      </w:pPr>
      <w:r w:rsidRPr="0046431A">
        <w:rPr>
          <w:rFonts w:ascii="Arial Narrow" w:hAnsi="Arial Narrow"/>
          <w:lang w:val="bg-BG"/>
        </w:rPr>
        <w:t>През 2024 г. на ГКП, чрез официалните инспектори на БАБХ е осъществен официален контрол на пратки животни и стоки, попадащи в обхвата на чл. 47, параграф 1 от Регламент (ЕС) 2017/625, както следва: живи животни - 743 пратки; продукти от животински произход – 12 299 пратки; храни и фуражи от неживотински произход – 98 847 пратки; растения, растителни продукти и други – 74 247 пратки.</w:t>
      </w:r>
    </w:p>
    <w:p w14:paraId="0F2872FC" w14:textId="77777777" w:rsidR="0046431A" w:rsidRPr="0046431A" w:rsidRDefault="0046431A" w:rsidP="0046431A">
      <w:pPr>
        <w:suppressAutoHyphens/>
        <w:autoSpaceDN w:val="0"/>
        <w:spacing w:after="120"/>
        <w:ind w:firstLine="708"/>
        <w:jc w:val="both"/>
        <w:textAlignment w:val="baseline"/>
        <w:rPr>
          <w:rFonts w:ascii="Arial Narrow" w:hAnsi="Arial Narrow"/>
          <w:lang w:val="bg-BG"/>
        </w:rPr>
      </w:pPr>
      <w:r w:rsidRPr="0046431A">
        <w:rPr>
          <w:rFonts w:ascii="Arial Narrow" w:hAnsi="Arial Narrow"/>
          <w:lang w:val="bg-BG"/>
        </w:rPr>
        <w:lastRenderedPageBreak/>
        <w:t xml:space="preserve">В рамките на годината са създадени общо 226 уведомления, от които 127 - за пратки, отхвърлени на граница и 96 уведомления за несъответствия (non-compliance) за несъответстващи пратки, които са нотифицирани в Система RASFF. </w:t>
      </w:r>
    </w:p>
    <w:p w14:paraId="1DCFF136" w14:textId="77777777" w:rsidR="006E0415" w:rsidRPr="0040779A" w:rsidRDefault="006E0415" w:rsidP="00FD0B81">
      <w:pPr>
        <w:widowControl w:val="0"/>
        <w:numPr>
          <w:ilvl w:val="3"/>
          <w:numId w:val="16"/>
        </w:numPr>
        <w:tabs>
          <w:tab w:val="left" w:pos="990"/>
        </w:tabs>
        <w:spacing w:after="120"/>
        <w:ind w:left="1080"/>
        <w:contextualSpacing/>
        <w:outlineLvl w:val="0"/>
        <w:rPr>
          <w:rFonts w:ascii="Arial Narrow" w:hAnsi="Arial Narrow"/>
          <w:b/>
          <w:bCs/>
          <w:lang w:val="bg-BG"/>
        </w:rPr>
      </w:pPr>
      <w:bookmarkStart w:id="178" w:name="_Toc210747632"/>
      <w:bookmarkStart w:id="179" w:name="_Toc526866152"/>
      <w:bookmarkStart w:id="180" w:name="_Toc87952124"/>
      <w:r w:rsidRPr="0040779A">
        <w:rPr>
          <w:rFonts w:ascii="Arial Narrow" w:hAnsi="Arial Narrow"/>
          <w:b/>
          <w:bCs/>
          <w:lang w:val="bg-BG"/>
        </w:rPr>
        <w:t>Контрол на фуражите и страничните животински продукти</w:t>
      </w:r>
      <w:bookmarkEnd w:id="178"/>
    </w:p>
    <w:bookmarkEnd w:id="179"/>
    <w:bookmarkEnd w:id="180"/>
    <w:p w14:paraId="4D6558EB" w14:textId="77777777" w:rsidR="0046431A" w:rsidRPr="0040779A" w:rsidRDefault="0040779A" w:rsidP="0040779A">
      <w:pPr>
        <w:widowControl w:val="0"/>
        <w:spacing w:before="240" w:after="120"/>
        <w:ind w:firstLine="709"/>
        <w:jc w:val="both"/>
        <w:rPr>
          <w:rFonts w:ascii="Arial Narrow" w:hAnsi="Arial Narrow"/>
          <w:b/>
          <w:bCs/>
          <w:lang w:val="bg-BG"/>
        </w:rPr>
      </w:pPr>
      <w:r w:rsidRPr="0040779A">
        <w:rPr>
          <w:rFonts w:ascii="Arial Narrow" w:hAnsi="Arial Narrow"/>
          <w:b/>
          <w:bCs/>
          <w:lang w:val="bg-BG"/>
        </w:rPr>
        <w:t xml:space="preserve">Контрол на фуражите </w:t>
      </w:r>
    </w:p>
    <w:p w14:paraId="441100F8" w14:textId="77777777" w:rsidR="0046431A" w:rsidRPr="0046431A" w:rsidRDefault="0046431A" w:rsidP="0046431A">
      <w:pPr>
        <w:spacing w:after="120"/>
        <w:ind w:firstLine="709"/>
        <w:jc w:val="both"/>
        <w:rPr>
          <w:rFonts w:ascii="Arial Narrow" w:hAnsi="Arial Narrow"/>
          <w:lang w:val="bg-BG" w:eastAsia="bg-BG"/>
        </w:rPr>
      </w:pPr>
      <w:r w:rsidRPr="0046431A">
        <w:rPr>
          <w:rFonts w:ascii="Arial Narrow" w:hAnsi="Arial Narrow"/>
          <w:lang w:val="bg-BG" w:eastAsia="bg-BG"/>
        </w:rPr>
        <w:t xml:space="preserve">През 2024 г. е изпълняван Многогодишният национален план за контрол на Република България за храни, фуражи, здравеопазване на животните, хуманно отношение към тях и защита на растенията (януари 2024 г. - декември 2026 г.) (МНКП) за постигане на стратегическата цел „Ефективно функциониране на системата за контрол върху фуражите”. </w:t>
      </w:r>
    </w:p>
    <w:p w14:paraId="5B5EFC83" w14:textId="77777777" w:rsidR="0046431A" w:rsidRPr="0046431A" w:rsidRDefault="0046431A" w:rsidP="0046431A">
      <w:pPr>
        <w:spacing w:after="120"/>
        <w:ind w:firstLine="709"/>
        <w:jc w:val="both"/>
        <w:rPr>
          <w:rFonts w:ascii="Arial Narrow" w:hAnsi="Arial Narrow"/>
          <w:lang w:val="bg-BG" w:eastAsia="bg-BG"/>
        </w:rPr>
      </w:pPr>
      <w:r w:rsidRPr="0046431A">
        <w:rPr>
          <w:rFonts w:ascii="Arial Narrow" w:hAnsi="Arial Narrow"/>
          <w:lang w:val="bg-BG" w:eastAsia="bg-BG"/>
        </w:rPr>
        <w:t>С цел постигане висока степен на защита на здравето на хората и животните, опазване на околната среда и защита на потребителите от заблуди, през годината е извършван регулярен, основан на оценка на риска контрол на всеки един от етапите на производство на различните видове фуражи, преработка, съхранение, транспортиране, разпространение, включително изхранване на фуражите.</w:t>
      </w:r>
    </w:p>
    <w:p w14:paraId="660A264C" w14:textId="77777777" w:rsidR="0046431A" w:rsidRPr="0046431A" w:rsidRDefault="0046431A" w:rsidP="0046431A">
      <w:pPr>
        <w:spacing w:after="120"/>
        <w:ind w:firstLine="709"/>
        <w:jc w:val="both"/>
        <w:rPr>
          <w:rFonts w:ascii="Arial Narrow" w:hAnsi="Arial Narrow"/>
          <w:lang w:val="bg-BG" w:eastAsia="bg-BG"/>
        </w:rPr>
      </w:pPr>
      <w:r w:rsidRPr="0046431A">
        <w:rPr>
          <w:rFonts w:ascii="Arial Narrow" w:hAnsi="Arial Narrow"/>
          <w:lang w:val="bg-BG" w:eastAsia="bg-BG"/>
        </w:rPr>
        <w:t>Контролът на фуражите през 2024 г. следва следните приоритети:</w:t>
      </w:r>
    </w:p>
    <w:p w14:paraId="2E6C235A" w14:textId="77777777" w:rsidR="0046431A" w:rsidRPr="0046431A" w:rsidRDefault="0046431A" w:rsidP="009C6577">
      <w:pPr>
        <w:numPr>
          <w:ilvl w:val="0"/>
          <w:numId w:val="37"/>
        </w:numPr>
        <w:overflowPunct w:val="0"/>
        <w:autoSpaceDE w:val="0"/>
        <w:autoSpaceDN w:val="0"/>
        <w:adjustRightInd w:val="0"/>
        <w:spacing w:after="120" w:line="276" w:lineRule="auto"/>
        <w:jc w:val="both"/>
        <w:rPr>
          <w:rFonts w:ascii="Arial Narrow" w:eastAsia="Calibri" w:hAnsi="Arial Narrow"/>
          <w:lang w:val="bg-BG"/>
        </w:rPr>
      </w:pPr>
      <w:r w:rsidRPr="0046431A">
        <w:rPr>
          <w:rFonts w:ascii="Arial Narrow" w:eastAsia="Calibri" w:hAnsi="Arial Narrow"/>
          <w:lang w:val="bg-BG"/>
        </w:rPr>
        <w:t>Постигане висока степен на защита на здравето на хората, здравето на животните и околната среда посредством провеждане на ефективен контрол на всички етапи от производство, преработка, съхранение, внос, транспортиране, разпространение, включително хранене на животните чрез прилагането и изпълнението на европейското право и национално законодателство по фуражите;</w:t>
      </w:r>
    </w:p>
    <w:p w14:paraId="05950333" w14:textId="77777777" w:rsidR="0046431A" w:rsidRPr="0046431A" w:rsidRDefault="0046431A" w:rsidP="009C6577">
      <w:pPr>
        <w:numPr>
          <w:ilvl w:val="0"/>
          <w:numId w:val="37"/>
        </w:numPr>
        <w:overflowPunct w:val="0"/>
        <w:autoSpaceDE w:val="0"/>
        <w:autoSpaceDN w:val="0"/>
        <w:adjustRightInd w:val="0"/>
        <w:spacing w:after="120" w:line="276" w:lineRule="auto"/>
        <w:ind w:left="714" w:hanging="357"/>
        <w:jc w:val="both"/>
        <w:rPr>
          <w:rFonts w:ascii="Arial Narrow" w:eastAsia="Calibri" w:hAnsi="Arial Narrow"/>
          <w:lang w:val="bg-BG"/>
        </w:rPr>
      </w:pPr>
      <w:r w:rsidRPr="0046431A">
        <w:rPr>
          <w:rFonts w:ascii="Arial Narrow" w:eastAsia="Calibri" w:hAnsi="Arial Narrow"/>
          <w:lang w:val="bg-BG"/>
        </w:rPr>
        <w:t>Предпазване на потребителите от измами, заблуди и незаконни практики с фуражи;</w:t>
      </w:r>
    </w:p>
    <w:p w14:paraId="40A8644A" w14:textId="77777777" w:rsidR="0046431A" w:rsidRPr="0046431A" w:rsidRDefault="0046431A" w:rsidP="009C6577">
      <w:pPr>
        <w:numPr>
          <w:ilvl w:val="0"/>
          <w:numId w:val="37"/>
        </w:numPr>
        <w:overflowPunct w:val="0"/>
        <w:autoSpaceDE w:val="0"/>
        <w:autoSpaceDN w:val="0"/>
        <w:adjustRightInd w:val="0"/>
        <w:spacing w:after="120" w:line="276" w:lineRule="auto"/>
        <w:jc w:val="both"/>
        <w:rPr>
          <w:rFonts w:ascii="Arial Narrow" w:eastAsia="Calibri" w:hAnsi="Arial Narrow"/>
          <w:lang w:val="bg-BG"/>
        </w:rPr>
      </w:pPr>
      <w:r w:rsidRPr="0046431A">
        <w:rPr>
          <w:rFonts w:ascii="Arial Narrow" w:eastAsia="Calibri" w:hAnsi="Arial Narrow"/>
          <w:lang w:val="bg-BG"/>
        </w:rPr>
        <w:t>Извършване на редовен и ориентиран към риска контрол на процесите при операторите от фуражния сектор – на всеки етап от производство, преработка, съхранение и разпространение на фуражи, включително хранене на животни;</w:t>
      </w:r>
    </w:p>
    <w:p w14:paraId="171C3D88" w14:textId="77777777" w:rsidR="0046431A" w:rsidRPr="0046431A" w:rsidRDefault="0046431A" w:rsidP="009C6577">
      <w:pPr>
        <w:numPr>
          <w:ilvl w:val="0"/>
          <w:numId w:val="37"/>
        </w:numPr>
        <w:overflowPunct w:val="0"/>
        <w:autoSpaceDE w:val="0"/>
        <w:autoSpaceDN w:val="0"/>
        <w:adjustRightInd w:val="0"/>
        <w:spacing w:after="120" w:line="276" w:lineRule="auto"/>
        <w:ind w:left="714" w:hanging="357"/>
        <w:jc w:val="both"/>
        <w:rPr>
          <w:rFonts w:ascii="Arial Narrow" w:eastAsia="Calibri" w:hAnsi="Arial Narrow"/>
          <w:lang w:val="bg-BG"/>
        </w:rPr>
      </w:pPr>
      <w:r w:rsidRPr="0046431A">
        <w:rPr>
          <w:rFonts w:ascii="Arial Narrow" w:eastAsia="Calibri" w:hAnsi="Arial Narrow"/>
          <w:lang w:val="bg-BG"/>
        </w:rPr>
        <w:t>Извършване на контрол на фуражи, относно съдържание на нежелани и забранени субстанции, както и контрол за съответствието им с предоставената на клиентите информация;</w:t>
      </w:r>
    </w:p>
    <w:p w14:paraId="31714B4C" w14:textId="77777777" w:rsidR="0046431A" w:rsidRPr="0046431A" w:rsidRDefault="0046431A" w:rsidP="009C6577">
      <w:pPr>
        <w:numPr>
          <w:ilvl w:val="0"/>
          <w:numId w:val="37"/>
        </w:numPr>
        <w:overflowPunct w:val="0"/>
        <w:autoSpaceDE w:val="0"/>
        <w:autoSpaceDN w:val="0"/>
        <w:adjustRightInd w:val="0"/>
        <w:spacing w:after="120" w:line="276" w:lineRule="auto"/>
        <w:ind w:left="714" w:hanging="357"/>
        <w:jc w:val="both"/>
        <w:rPr>
          <w:rFonts w:ascii="Arial Narrow" w:eastAsia="Calibri" w:hAnsi="Arial Narrow"/>
          <w:lang w:val="bg-BG"/>
        </w:rPr>
      </w:pPr>
      <w:r w:rsidRPr="0046431A">
        <w:rPr>
          <w:rFonts w:ascii="Arial Narrow" w:eastAsia="Calibri" w:hAnsi="Arial Narrow"/>
          <w:lang w:val="bg-BG"/>
        </w:rPr>
        <w:t>Ефективен контрол върху генетично модифицирани фуражи, контрол на пускането на пазара, проследяването и етикетирането на фуражи, които съдържат или са произведени от ГМО. Целта на осъществяване на този контрол е да се гарантира информиран избор на потребителите;</w:t>
      </w:r>
    </w:p>
    <w:p w14:paraId="6262619F" w14:textId="77777777" w:rsidR="0046431A" w:rsidRPr="0046431A" w:rsidRDefault="0046431A" w:rsidP="009C6577">
      <w:pPr>
        <w:numPr>
          <w:ilvl w:val="0"/>
          <w:numId w:val="37"/>
        </w:numPr>
        <w:overflowPunct w:val="0"/>
        <w:autoSpaceDE w:val="0"/>
        <w:autoSpaceDN w:val="0"/>
        <w:adjustRightInd w:val="0"/>
        <w:spacing w:after="120" w:line="276" w:lineRule="auto"/>
        <w:ind w:left="714" w:hanging="357"/>
        <w:jc w:val="both"/>
        <w:rPr>
          <w:rFonts w:ascii="Arial Narrow" w:eastAsia="Calibri" w:hAnsi="Arial Narrow"/>
          <w:lang w:val="bg-BG"/>
        </w:rPr>
      </w:pPr>
      <w:r w:rsidRPr="0046431A">
        <w:rPr>
          <w:rFonts w:ascii="Arial Narrow" w:eastAsia="Calibri" w:hAnsi="Arial Narrow"/>
          <w:lang w:val="bg-BG"/>
        </w:rPr>
        <w:t>Контрол на производството, пускането на пазара, транспортирането и употребата на медикаментозни фуражи, с цел да се ограничи до възможния минимум рискът от предлагане на пазара на суровини и/или храни от животински произход за консумация от хора, които съдържат над максимално допустимите концентрации фармакологично активни лекарствени субстанции, фиксирани в приложимото законодателство;</w:t>
      </w:r>
    </w:p>
    <w:p w14:paraId="734807BF" w14:textId="77777777" w:rsidR="0046431A" w:rsidRPr="0046431A" w:rsidRDefault="0046431A" w:rsidP="009C6577">
      <w:pPr>
        <w:numPr>
          <w:ilvl w:val="0"/>
          <w:numId w:val="37"/>
        </w:numPr>
        <w:overflowPunct w:val="0"/>
        <w:autoSpaceDE w:val="0"/>
        <w:autoSpaceDN w:val="0"/>
        <w:adjustRightInd w:val="0"/>
        <w:spacing w:after="120" w:line="276" w:lineRule="auto"/>
        <w:ind w:left="714" w:hanging="357"/>
        <w:jc w:val="both"/>
        <w:rPr>
          <w:rFonts w:ascii="Arial Narrow" w:eastAsia="Calibri" w:hAnsi="Arial Narrow"/>
          <w:lang w:val="bg-BG"/>
        </w:rPr>
      </w:pPr>
      <w:r w:rsidRPr="0046431A">
        <w:rPr>
          <w:rFonts w:ascii="Arial Narrow" w:eastAsia="Calibri" w:hAnsi="Arial Narrow"/>
          <w:lang w:val="bg-BG"/>
        </w:rPr>
        <w:t>Контрол за спазване на фуражната забрана свързана с трансмисивни спонгиформни енцефалопатии, за да не се допусне риск за здравето на хора и животни;</w:t>
      </w:r>
    </w:p>
    <w:p w14:paraId="2D5E1550" w14:textId="77777777" w:rsidR="0046431A" w:rsidRPr="0046431A" w:rsidRDefault="0046431A" w:rsidP="009C6577">
      <w:pPr>
        <w:numPr>
          <w:ilvl w:val="0"/>
          <w:numId w:val="37"/>
        </w:numPr>
        <w:overflowPunct w:val="0"/>
        <w:autoSpaceDE w:val="0"/>
        <w:autoSpaceDN w:val="0"/>
        <w:adjustRightInd w:val="0"/>
        <w:spacing w:after="120" w:line="276" w:lineRule="auto"/>
        <w:ind w:left="714" w:hanging="357"/>
        <w:jc w:val="both"/>
        <w:rPr>
          <w:rFonts w:ascii="Arial Narrow" w:eastAsia="Calibri" w:hAnsi="Arial Narrow"/>
          <w:lang w:val="bg-BG"/>
        </w:rPr>
      </w:pPr>
      <w:r w:rsidRPr="0046431A">
        <w:rPr>
          <w:rFonts w:ascii="Arial Narrow" w:eastAsia="Calibri" w:hAnsi="Arial Narrow"/>
          <w:lang w:val="bg-BG"/>
        </w:rPr>
        <w:t>Контрол на вътревидовата фуражна забрана във връзка с храненето на сухоземни животни от даден вид с преработен животински протеини, получени от животни от същия вид.</w:t>
      </w:r>
    </w:p>
    <w:p w14:paraId="0D645956" w14:textId="77777777" w:rsidR="0046431A" w:rsidRPr="0046431A" w:rsidRDefault="0046431A" w:rsidP="0046431A">
      <w:pPr>
        <w:widowControl w:val="0"/>
        <w:spacing w:after="120"/>
        <w:ind w:left="-540" w:firstLine="1249"/>
        <w:jc w:val="both"/>
        <w:rPr>
          <w:rFonts w:ascii="Arial Narrow" w:hAnsi="Arial Narrow"/>
          <w:b/>
          <w:bCs/>
          <w:i/>
          <w:lang w:val="bg-BG" w:eastAsia="bg-BG"/>
        </w:rPr>
      </w:pPr>
      <w:r w:rsidRPr="0046431A">
        <w:rPr>
          <w:rFonts w:ascii="Arial Narrow" w:hAnsi="Arial Narrow"/>
          <w:b/>
          <w:bCs/>
          <w:i/>
          <w:lang w:val="bg-BG" w:eastAsia="bg-BG"/>
        </w:rPr>
        <w:t>Регистрация и одобрение на обектите във фуражния сектор</w:t>
      </w:r>
    </w:p>
    <w:p w14:paraId="5DC3DF5A" w14:textId="77777777" w:rsidR="0046431A" w:rsidRPr="0046431A" w:rsidRDefault="0046431A" w:rsidP="0046431A">
      <w:pPr>
        <w:spacing w:after="120"/>
        <w:ind w:firstLine="709"/>
        <w:jc w:val="both"/>
        <w:rPr>
          <w:rFonts w:ascii="Arial Narrow" w:hAnsi="Arial Narrow"/>
          <w:lang w:val="bg-BG" w:eastAsia="bg-BG"/>
        </w:rPr>
      </w:pPr>
      <w:r w:rsidRPr="0046431A">
        <w:rPr>
          <w:rFonts w:ascii="Arial Narrow" w:hAnsi="Arial Narrow"/>
          <w:lang w:val="bg-BG" w:eastAsia="bg-BG"/>
        </w:rPr>
        <w:t>В съответствие с изискванията на Закона за фуражите и във връзка с Регламент (ЕО) № 183/2005 за хигиена на фуражите, извършваните дейности в сектор „Фуражи” се осъществяват в обекти и от оператори, които са одобрени или регистрирани от Българската агенция по безопасност на храните.</w:t>
      </w:r>
    </w:p>
    <w:p w14:paraId="3E5C78DB" w14:textId="77777777" w:rsidR="0046431A" w:rsidRPr="0046431A" w:rsidRDefault="0046431A" w:rsidP="0046431A">
      <w:pPr>
        <w:spacing w:after="120"/>
        <w:ind w:firstLine="709"/>
        <w:jc w:val="both"/>
        <w:rPr>
          <w:rFonts w:ascii="Arial Narrow" w:hAnsi="Arial Narrow"/>
          <w:lang w:val="bg-BG" w:eastAsia="bg-BG"/>
        </w:rPr>
      </w:pPr>
      <w:r w:rsidRPr="0046431A">
        <w:rPr>
          <w:rFonts w:ascii="Arial Narrow" w:hAnsi="Arial Narrow"/>
          <w:lang w:val="bg-BG" w:eastAsia="bg-BG"/>
        </w:rPr>
        <w:t>Към 31 декември 2024 г. общият брой на регистрираните и одобрени обекти/оператори на територията на страната е 20 771, които са разпределени по дейности, както следва:</w:t>
      </w:r>
    </w:p>
    <w:p w14:paraId="7C953861" w14:textId="77777777" w:rsidR="0046431A" w:rsidRPr="0046431A" w:rsidRDefault="00F214AB" w:rsidP="0046431A">
      <w:pPr>
        <w:spacing w:after="120"/>
        <w:jc w:val="both"/>
        <w:rPr>
          <w:rFonts w:ascii="Arial Narrow" w:hAnsi="Arial Narrow"/>
          <w:b/>
          <w:bCs/>
          <w:lang w:val="bg-BG" w:eastAsia="bg-BG"/>
        </w:rPr>
      </w:pPr>
      <w:r>
        <w:rPr>
          <w:rFonts w:ascii="Arial Narrow" w:hAnsi="Arial Narrow"/>
          <w:b/>
          <w:bCs/>
          <w:lang w:val="bg-BG" w:eastAsia="bg-BG"/>
        </w:rPr>
        <w:lastRenderedPageBreak/>
        <w:t>Таблица V.12</w:t>
      </w:r>
      <w:r w:rsidR="0046431A" w:rsidRPr="0046431A">
        <w:rPr>
          <w:rFonts w:ascii="Arial Narrow" w:hAnsi="Arial Narrow"/>
          <w:b/>
          <w:bCs/>
          <w:lang w:val="bg-BG" w:eastAsia="bg-BG"/>
        </w:rPr>
        <w:t>. Брой регистрирани и одобрени обекти/оператори във фуражния сектор в съответствие с изискванията на чл. 9 и чл. 10 от Регламент (ЕО) № 183/2005 към 31.12.2024 г.</w:t>
      </w:r>
    </w:p>
    <w:tbl>
      <w:tblPr>
        <w:tblW w:w="502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951"/>
        <w:gridCol w:w="1906"/>
      </w:tblGrid>
      <w:tr w:rsidR="0046431A" w:rsidRPr="0046431A" w14:paraId="52020EA8" w14:textId="77777777" w:rsidTr="00FC709E">
        <w:trPr>
          <w:trHeight w:hRule="exact" w:val="466"/>
          <w:tblHeader/>
        </w:trPr>
        <w:tc>
          <w:tcPr>
            <w:tcW w:w="4033" w:type="pct"/>
            <w:vAlign w:val="center"/>
          </w:tcPr>
          <w:p w14:paraId="03A0E4BE" w14:textId="77777777" w:rsidR="0046431A" w:rsidRPr="0046431A" w:rsidRDefault="0046431A" w:rsidP="0046431A">
            <w:pPr>
              <w:widowControl w:val="0"/>
              <w:jc w:val="center"/>
              <w:rPr>
                <w:rFonts w:ascii="Arial Narrow" w:eastAsia="Calibri" w:hAnsi="Arial Narrow"/>
                <w:b/>
                <w:bCs/>
                <w:sz w:val="20"/>
                <w:szCs w:val="20"/>
                <w:lang w:val="bg-BG"/>
              </w:rPr>
            </w:pPr>
            <w:r w:rsidRPr="0046431A">
              <w:rPr>
                <w:rFonts w:ascii="Arial Narrow" w:eastAsia="Calibri" w:hAnsi="Arial Narrow"/>
                <w:b/>
                <w:bCs/>
                <w:sz w:val="20"/>
                <w:szCs w:val="20"/>
                <w:lang w:val="bg-BG"/>
              </w:rPr>
              <w:t>Заявена дейност</w:t>
            </w:r>
          </w:p>
        </w:tc>
        <w:tc>
          <w:tcPr>
            <w:tcW w:w="967" w:type="pct"/>
            <w:vAlign w:val="center"/>
          </w:tcPr>
          <w:p w14:paraId="4E73F81B" w14:textId="77777777" w:rsidR="0046431A" w:rsidRPr="0046431A" w:rsidRDefault="0046431A" w:rsidP="0046431A">
            <w:pPr>
              <w:widowControl w:val="0"/>
              <w:jc w:val="center"/>
              <w:rPr>
                <w:rFonts w:ascii="Arial Narrow" w:eastAsia="Calibri" w:hAnsi="Arial Narrow"/>
                <w:b/>
                <w:bCs/>
                <w:sz w:val="20"/>
                <w:szCs w:val="20"/>
                <w:lang w:val="bg-BG"/>
              </w:rPr>
            </w:pPr>
            <w:r w:rsidRPr="0046431A">
              <w:rPr>
                <w:rFonts w:ascii="Arial Narrow" w:eastAsia="Calibri" w:hAnsi="Arial Narrow"/>
                <w:b/>
                <w:bCs/>
                <w:sz w:val="20"/>
                <w:szCs w:val="20"/>
                <w:lang w:val="bg-BG"/>
              </w:rPr>
              <w:t>Брой обекти</w:t>
            </w:r>
          </w:p>
        </w:tc>
      </w:tr>
      <w:tr w:rsidR="0046431A" w:rsidRPr="0046431A" w14:paraId="42DDFDDF" w14:textId="77777777" w:rsidTr="00FC709E">
        <w:trPr>
          <w:cantSplit/>
          <w:trHeight w:val="593"/>
        </w:trPr>
        <w:tc>
          <w:tcPr>
            <w:tcW w:w="4033" w:type="pct"/>
            <w:vAlign w:val="center"/>
          </w:tcPr>
          <w:p w14:paraId="33F91D9F" w14:textId="77777777" w:rsidR="0046431A" w:rsidRPr="0046431A" w:rsidRDefault="0046431A" w:rsidP="0046431A">
            <w:pPr>
              <w:widowControl w:val="0"/>
              <w:rPr>
                <w:rFonts w:ascii="Arial Narrow" w:eastAsia="Calibri" w:hAnsi="Arial Narrow"/>
                <w:b/>
                <w:bCs/>
                <w:sz w:val="20"/>
                <w:szCs w:val="20"/>
                <w:lang w:val="bg-BG"/>
              </w:rPr>
            </w:pPr>
            <w:r w:rsidRPr="0046431A">
              <w:rPr>
                <w:rFonts w:ascii="Arial Narrow" w:eastAsia="Calibri" w:hAnsi="Arial Narrow"/>
                <w:b/>
                <w:bCs/>
                <w:sz w:val="20"/>
                <w:szCs w:val="20"/>
                <w:lang w:val="bg-BG"/>
              </w:rPr>
              <w:t>І. Регистрирани обекти по чл. 9 на Регламент (ЕО) № 183/2005, упражняващи дейности съгласно чл. 5, параграф 2 на Регламента</w:t>
            </w:r>
          </w:p>
        </w:tc>
        <w:tc>
          <w:tcPr>
            <w:tcW w:w="967" w:type="pct"/>
            <w:shd w:val="clear" w:color="auto" w:fill="auto"/>
            <w:vAlign w:val="center"/>
          </w:tcPr>
          <w:p w14:paraId="76F22763" w14:textId="77777777" w:rsidR="0046431A" w:rsidRPr="0046431A" w:rsidRDefault="0046431A" w:rsidP="0046431A">
            <w:pPr>
              <w:widowControl w:val="0"/>
              <w:ind w:left="607"/>
              <w:jc w:val="right"/>
              <w:rPr>
                <w:rFonts w:ascii="Arial Narrow" w:eastAsia="Calibri" w:hAnsi="Arial Narrow"/>
                <w:b/>
                <w:sz w:val="20"/>
                <w:szCs w:val="20"/>
                <w:lang w:val="bg-BG"/>
              </w:rPr>
            </w:pPr>
            <w:r w:rsidRPr="0046431A">
              <w:rPr>
                <w:rFonts w:ascii="Arial Narrow" w:eastAsia="Calibri" w:hAnsi="Arial Narrow"/>
                <w:b/>
                <w:sz w:val="20"/>
                <w:szCs w:val="20"/>
                <w:lang w:val="bg-BG"/>
              </w:rPr>
              <w:t>12 268</w:t>
            </w:r>
          </w:p>
        </w:tc>
      </w:tr>
      <w:tr w:rsidR="0046431A" w:rsidRPr="0046431A" w14:paraId="6D067A68" w14:textId="77777777" w:rsidTr="00FC709E">
        <w:trPr>
          <w:trHeight w:val="402"/>
        </w:trPr>
        <w:tc>
          <w:tcPr>
            <w:tcW w:w="4033" w:type="pct"/>
            <w:vAlign w:val="center"/>
          </w:tcPr>
          <w:p w14:paraId="5961260F" w14:textId="77777777" w:rsidR="0046431A" w:rsidRPr="0046431A" w:rsidRDefault="0046431A" w:rsidP="0046431A">
            <w:pPr>
              <w:widowControl w:val="0"/>
              <w:rPr>
                <w:rFonts w:ascii="Arial Narrow" w:eastAsia="Calibri" w:hAnsi="Arial Narrow"/>
                <w:sz w:val="20"/>
                <w:szCs w:val="20"/>
                <w:lang w:val="bg-BG"/>
              </w:rPr>
            </w:pPr>
            <w:r w:rsidRPr="0046431A">
              <w:rPr>
                <w:rFonts w:ascii="Arial Narrow" w:eastAsia="Calibri" w:hAnsi="Arial Narrow"/>
                <w:sz w:val="20"/>
                <w:szCs w:val="20"/>
                <w:lang w:val="bg-BG"/>
              </w:rPr>
              <w:t>1. Производители на добавки</w:t>
            </w:r>
          </w:p>
        </w:tc>
        <w:tc>
          <w:tcPr>
            <w:tcW w:w="967" w:type="pct"/>
            <w:vAlign w:val="center"/>
          </w:tcPr>
          <w:p w14:paraId="7EFDE350" w14:textId="77777777" w:rsidR="0046431A" w:rsidRPr="0046431A" w:rsidRDefault="0046431A" w:rsidP="0046431A">
            <w:pPr>
              <w:widowControl w:val="0"/>
              <w:ind w:left="607"/>
              <w:jc w:val="right"/>
              <w:rPr>
                <w:rFonts w:ascii="Arial Narrow" w:eastAsia="Calibri" w:hAnsi="Arial Narrow"/>
                <w:sz w:val="20"/>
                <w:szCs w:val="20"/>
                <w:lang w:val="bg-BG"/>
              </w:rPr>
            </w:pPr>
            <w:r w:rsidRPr="0046431A">
              <w:rPr>
                <w:rFonts w:ascii="Arial Narrow" w:eastAsia="Calibri" w:hAnsi="Arial Narrow"/>
                <w:sz w:val="20"/>
                <w:szCs w:val="20"/>
                <w:lang w:val="bg-BG"/>
              </w:rPr>
              <w:t>5</w:t>
            </w:r>
          </w:p>
        </w:tc>
      </w:tr>
      <w:tr w:rsidR="0046431A" w:rsidRPr="0046431A" w14:paraId="02E99B52" w14:textId="77777777" w:rsidTr="00FC709E">
        <w:trPr>
          <w:trHeight w:val="402"/>
        </w:trPr>
        <w:tc>
          <w:tcPr>
            <w:tcW w:w="4033" w:type="pct"/>
            <w:vAlign w:val="center"/>
          </w:tcPr>
          <w:p w14:paraId="2C92DBD9" w14:textId="77777777" w:rsidR="0046431A" w:rsidRPr="0046431A" w:rsidRDefault="0046431A" w:rsidP="0046431A">
            <w:pPr>
              <w:widowControl w:val="0"/>
              <w:rPr>
                <w:rFonts w:ascii="Arial Narrow" w:eastAsia="Calibri" w:hAnsi="Arial Narrow"/>
                <w:sz w:val="20"/>
                <w:szCs w:val="20"/>
                <w:lang w:val="bg-BG"/>
              </w:rPr>
            </w:pPr>
            <w:r w:rsidRPr="0046431A">
              <w:rPr>
                <w:rFonts w:ascii="Arial Narrow" w:eastAsia="Calibri" w:hAnsi="Arial Narrow"/>
                <w:sz w:val="20"/>
                <w:szCs w:val="20"/>
                <w:lang w:val="bg-BG"/>
              </w:rPr>
              <w:t>2. Производители на премикси от добавки</w:t>
            </w:r>
          </w:p>
        </w:tc>
        <w:tc>
          <w:tcPr>
            <w:tcW w:w="967" w:type="pct"/>
            <w:vAlign w:val="center"/>
          </w:tcPr>
          <w:p w14:paraId="1908D53F" w14:textId="77777777" w:rsidR="0046431A" w:rsidRPr="0046431A" w:rsidRDefault="0046431A" w:rsidP="0046431A">
            <w:pPr>
              <w:widowControl w:val="0"/>
              <w:ind w:left="607"/>
              <w:jc w:val="right"/>
              <w:rPr>
                <w:rFonts w:ascii="Arial Narrow" w:eastAsia="Calibri" w:hAnsi="Arial Narrow"/>
                <w:sz w:val="20"/>
                <w:szCs w:val="20"/>
                <w:lang w:val="bg-BG"/>
              </w:rPr>
            </w:pPr>
            <w:r w:rsidRPr="0046431A">
              <w:rPr>
                <w:rFonts w:ascii="Arial Narrow" w:eastAsia="Calibri" w:hAnsi="Arial Narrow"/>
                <w:sz w:val="20"/>
                <w:szCs w:val="20"/>
                <w:lang w:val="bg-BG"/>
              </w:rPr>
              <w:t>2</w:t>
            </w:r>
          </w:p>
        </w:tc>
      </w:tr>
      <w:tr w:rsidR="0046431A" w:rsidRPr="0046431A" w14:paraId="62EC60D4" w14:textId="77777777" w:rsidTr="00FC709E">
        <w:trPr>
          <w:trHeight w:val="402"/>
        </w:trPr>
        <w:tc>
          <w:tcPr>
            <w:tcW w:w="4033" w:type="pct"/>
            <w:vAlign w:val="center"/>
          </w:tcPr>
          <w:p w14:paraId="56F84C90" w14:textId="77777777" w:rsidR="0046431A" w:rsidRPr="0046431A" w:rsidRDefault="0046431A" w:rsidP="0046431A">
            <w:pPr>
              <w:widowControl w:val="0"/>
              <w:rPr>
                <w:rFonts w:ascii="Arial Narrow" w:eastAsia="Calibri" w:hAnsi="Arial Narrow"/>
                <w:sz w:val="20"/>
                <w:szCs w:val="20"/>
                <w:lang w:val="bg-BG"/>
              </w:rPr>
            </w:pPr>
            <w:r w:rsidRPr="0046431A">
              <w:rPr>
                <w:rFonts w:ascii="Arial Narrow" w:eastAsia="Calibri" w:hAnsi="Arial Narrow"/>
                <w:sz w:val="20"/>
                <w:szCs w:val="20"/>
                <w:lang w:val="bg-BG"/>
              </w:rPr>
              <w:t xml:space="preserve">3. Производители на комбинирани фуражи </w:t>
            </w:r>
          </w:p>
        </w:tc>
        <w:tc>
          <w:tcPr>
            <w:tcW w:w="967" w:type="pct"/>
            <w:vAlign w:val="center"/>
          </w:tcPr>
          <w:p w14:paraId="0E9E1DDD" w14:textId="77777777" w:rsidR="0046431A" w:rsidRPr="0046431A" w:rsidRDefault="0046431A" w:rsidP="0046431A">
            <w:pPr>
              <w:widowControl w:val="0"/>
              <w:ind w:left="607"/>
              <w:jc w:val="right"/>
              <w:rPr>
                <w:rFonts w:ascii="Arial Narrow" w:eastAsia="Calibri" w:hAnsi="Arial Narrow"/>
                <w:sz w:val="20"/>
                <w:szCs w:val="20"/>
                <w:lang w:val="bg-BG"/>
              </w:rPr>
            </w:pPr>
            <w:r w:rsidRPr="0046431A">
              <w:rPr>
                <w:rFonts w:ascii="Arial Narrow" w:eastAsia="Calibri" w:hAnsi="Arial Narrow"/>
                <w:sz w:val="20"/>
                <w:szCs w:val="20"/>
                <w:lang w:val="bg-BG"/>
              </w:rPr>
              <w:t>289</w:t>
            </w:r>
          </w:p>
        </w:tc>
      </w:tr>
      <w:tr w:rsidR="0046431A" w:rsidRPr="0046431A" w14:paraId="6991B9D5" w14:textId="77777777" w:rsidTr="00FC709E">
        <w:trPr>
          <w:trHeight w:val="591"/>
        </w:trPr>
        <w:tc>
          <w:tcPr>
            <w:tcW w:w="4033" w:type="pct"/>
            <w:vAlign w:val="center"/>
          </w:tcPr>
          <w:p w14:paraId="214B920A" w14:textId="77777777" w:rsidR="0046431A" w:rsidRPr="0046431A" w:rsidRDefault="0046431A" w:rsidP="0046431A">
            <w:pPr>
              <w:widowControl w:val="0"/>
              <w:rPr>
                <w:rFonts w:ascii="Arial Narrow" w:eastAsia="Calibri" w:hAnsi="Arial Narrow"/>
                <w:sz w:val="20"/>
                <w:szCs w:val="20"/>
                <w:lang w:val="bg-BG"/>
              </w:rPr>
            </w:pPr>
            <w:r w:rsidRPr="0046431A">
              <w:rPr>
                <w:rFonts w:ascii="Arial Narrow" w:eastAsia="Calibri" w:hAnsi="Arial Narrow"/>
                <w:sz w:val="20"/>
                <w:szCs w:val="20"/>
                <w:lang w:val="bg-BG"/>
              </w:rPr>
              <w:t>4. Оператори, извършващи дейности разфасоване, пакетиране, препакетиране и търговия с комбинирани фуражи и фуражни суровини</w:t>
            </w:r>
          </w:p>
        </w:tc>
        <w:tc>
          <w:tcPr>
            <w:tcW w:w="967" w:type="pct"/>
            <w:tcBorders>
              <w:top w:val="single" w:sz="4" w:space="0" w:color="000000"/>
              <w:left w:val="single" w:sz="4" w:space="0" w:color="000000"/>
              <w:bottom w:val="single" w:sz="4" w:space="0" w:color="000000"/>
              <w:right w:val="single" w:sz="4" w:space="0" w:color="000000"/>
            </w:tcBorders>
            <w:vAlign w:val="center"/>
          </w:tcPr>
          <w:p w14:paraId="6B2E481F" w14:textId="77777777" w:rsidR="0046431A" w:rsidRPr="0046431A" w:rsidRDefault="0046431A" w:rsidP="0046431A">
            <w:pPr>
              <w:widowControl w:val="0"/>
              <w:ind w:left="607"/>
              <w:jc w:val="right"/>
              <w:rPr>
                <w:rFonts w:ascii="Arial Narrow" w:eastAsia="Calibri" w:hAnsi="Arial Narrow"/>
                <w:sz w:val="20"/>
                <w:szCs w:val="20"/>
                <w:lang w:val="bg-BG"/>
              </w:rPr>
            </w:pPr>
            <w:r w:rsidRPr="0046431A">
              <w:rPr>
                <w:rFonts w:ascii="Arial Narrow" w:eastAsia="Calibri" w:hAnsi="Arial Narrow"/>
                <w:sz w:val="20"/>
                <w:szCs w:val="20"/>
                <w:lang w:val="bg-BG"/>
              </w:rPr>
              <w:t>57</w:t>
            </w:r>
          </w:p>
        </w:tc>
      </w:tr>
      <w:tr w:rsidR="0046431A" w:rsidRPr="0046431A" w14:paraId="49CC8BB1" w14:textId="77777777" w:rsidTr="00FC709E">
        <w:trPr>
          <w:trHeight w:val="402"/>
        </w:trPr>
        <w:tc>
          <w:tcPr>
            <w:tcW w:w="4033" w:type="pct"/>
            <w:vAlign w:val="center"/>
          </w:tcPr>
          <w:p w14:paraId="169301DD" w14:textId="77777777" w:rsidR="0046431A" w:rsidRPr="0046431A" w:rsidRDefault="0046431A" w:rsidP="0046431A">
            <w:pPr>
              <w:widowControl w:val="0"/>
              <w:rPr>
                <w:rFonts w:ascii="Arial Narrow" w:eastAsia="Calibri" w:hAnsi="Arial Narrow"/>
                <w:sz w:val="20"/>
                <w:szCs w:val="20"/>
                <w:lang w:val="bg-BG"/>
              </w:rPr>
            </w:pPr>
            <w:r w:rsidRPr="0046431A">
              <w:rPr>
                <w:rFonts w:ascii="Arial Narrow" w:eastAsia="Calibri" w:hAnsi="Arial Narrow"/>
                <w:sz w:val="20"/>
                <w:szCs w:val="20"/>
                <w:lang w:val="bg-BG"/>
              </w:rPr>
              <w:t>5. Опаковане, етикетиране, съхранение и търговия на фуражи</w:t>
            </w:r>
          </w:p>
        </w:tc>
        <w:tc>
          <w:tcPr>
            <w:tcW w:w="967" w:type="pct"/>
            <w:tcBorders>
              <w:top w:val="single" w:sz="4" w:space="0" w:color="000000"/>
              <w:left w:val="single" w:sz="4" w:space="0" w:color="000000"/>
              <w:bottom w:val="single" w:sz="4" w:space="0" w:color="000000"/>
              <w:right w:val="single" w:sz="4" w:space="0" w:color="000000"/>
            </w:tcBorders>
            <w:vAlign w:val="center"/>
          </w:tcPr>
          <w:p w14:paraId="20BB3AD4" w14:textId="77777777" w:rsidR="0046431A" w:rsidRPr="0046431A" w:rsidRDefault="0046431A" w:rsidP="0046431A">
            <w:pPr>
              <w:widowControl w:val="0"/>
              <w:ind w:left="607"/>
              <w:jc w:val="right"/>
              <w:rPr>
                <w:rFonts w:ascii="Arial Narrow" w:eastAsia="Calibri" w:hAnsi="Arial Narrow"/>
                <w:sz w:val="20"/>
                <w:szCs w:val="20"/>
                <w:lang w:val="bg-BG"/>
              </w:rPr>
            </w:pPr>
            <w:r w:rsidRPr="0046431A">
              <w:rPr>
                <w:rFonts w:ascii="Arial Narrow" w:eastAsia="Calibri" w:hAnsi="Arial Narrow"/>
                <w:sz w:val="20"/>
                <w:szCs w:val="20"/>
                <w:lang w:val="bg-BG"/>
              </w:rPr>
              <w:t>17</w:t>
            </w:r>
          </w:p>
        </w:tc>
      </w:tr>
      <w:tr w:rsidR="0046431A" w:rsidRPr="0046431A" w14:paraId="55FD634E" w14:textId="77777777" w:rsidTr="00FC709E">
        <w:trPr>
          <w:trHeight w:val="402"/>
        </w:trPr>
        <w:tc>
          <w:tcPr>
            <w:tcW w:w="4033" w:type="pct"/>
            <w:vAlign w:val="center"/>
          </w:tcPr>
          <w:p w14:paraId="4717D360" w14:textId="77777777" w:rsidR="0046431A" w:rsidRPr="0046431A" w:rsidRDefault="0046431A" w:rsidP="0046431A">
            <w:pPr>
              <w:widowControl w:val="0"/>
              <w:rPr>
                <w:rFonts w:ascii="Arial Narrow" w:eastAsia="Calibri" w:hAnsi="Arial Narrow"/>
                <w:sz w:val="20"/>
                <w:szCs w:val="20"/>
                <w:lang w:val="bg-BG"/>
              </w:rPr>
            </w:pPr>
            <w:r w:rsidRPr="0046431A">
              <w:rPr>
                <w:rFonts w:ascii="Arial Narrow" w:eastAsia="Calibri" w:hAnsi="Arial Narrow"/>
                <w:sz w:val="20"/>
                <w:szCs w:val="20"/>
                <w:lang w:val="bg-BG"/>
              </w:rPr>
              <w:t>6. Смилане, опаковане, етикетиране, съхранение и търговия на фуражи</w:t>
            </w:r>
          </w:p>
        </w:tc>
        <w:tc>
          <w:tcPr>
            <w:tcW w:w="967" w:type="pct"/>
            <w:tcBorders>
              <w:top w:val="single" w:sz="4" w:space="0" w:color="000000"/>
              <w:left w:val="single" w:sz="4" w:space="0" w:color="000000"/>
              <w:bottom w:val="single" w:sz="4" w:space="0" w:color="000000"/>
              <w:right w:val="single" w:sz="4" w:space="0" w:color="000000"/>
            </w:tcBorders>
            <w:vAlign w:val="center"/>
          </w:tcPr>
          <w:p w14:paraId="7814EE0D" w14:textId="77777777" w:rsidR="0046431A" w:rsidRPr="0046431A" w:rsidRDefault="0046431A" w:rsidP="0046431A">
            <w:pPr>
              <w:widowControl w:val="0"/>
              <w:ind w:left="607"/>
              <w:jc w:val="right"/>
              <w:rPr>
                <w:rFonts w:ascii="Arial Narrow" w:eastAsia="Calibri" w:hAnsi="Arial Narrow"/>
                <w:sz w:val="20"/>
                <w:szCs w:val="20"/>
                <w:lang w:val="bg-BG"/>
              </w:rPr>
            </w:pPr>
            <w:r w:rsidRPr="0046431A">
              <w:rPr>
                <w:rFonts w:ascii="Arial Narrow" w:eastAsia="Calibri" w:hAnsi="Arial Narrow"/>
                <w:sz w:val="20"/>
                <w:szCs w:val="20"/>
                <w:lang w:val="bg-BG"/>
              </w:rPr>
              <w:t>5</w:t>
            </w:r>
          </w:p>
        </w:tc>
      </w:tr>
      <w:tr w:rsidR="0046431A" w:rsidRPr="0046431A" w14:paraId="1E14F12C" w14:textId="77777777" w:rsidTr="00FC709E">
        <w:trPr>
          <w:trHeight w:val="402"/>
        </w:trPr>
        <w:tc>
          <w:tcPr>
            <w:tcW w:w="4033" w:type="pct"/>
            <w:vAlign w:val="center"/>
          </w:tcPr>
          <w:p w14:paraId="74D78777" w14:textId="77777777" w:rsidR="0046431A" w:rsidRPr="0046431A" w:rsidRDefault="0046431A" w:rsidP="0046431A">
            <w:pPr>
              <w:widowControl w:val="0"/>
              <w:rPr>
                <w:rFonts w:ascii="Arial Narrow" w:eastAsia="Calibri" w:hAnsi="Arial Narrow"/>
                <w:sz w:val="20"/>
                <w:szCs w:val="20"/>
                <w:lang w:val="bg-BG"/>
              </w:rPr>
            </w:pPr>
            <w:r w:rsidRPr="0046431A">
              <w:rPr>
                <w:rFonts w:ascii="Arial Narrow" w:eastAsia="Calibri" w:hAnsi="Arial Narrow"/>
                <w:sz w:val="20"/>
                <w:szCs w:val="20"/>
                <w:lang w:val="bg-BG"/>
              </w:rPr>
              <w:t>7. Производители на фуражни суровини</w:t>
            </w:r>
          </w:p>
        </w:tc>
        <w:tc>
          <w:tcPr>
            <w:tcW w:w="967" w:type="pct"/>
            <w:tcBorders>
              <w:top w:val="single" w:sz="4" w:space="0" w:color="000000"/>
              <w:left w:val="single" w:sz="4" w:space="0" w:color="000000"/>
              <w:bottom w:val="single" w:sz="4" w:space="0" w:color="000000"/>
              <w:right w:val="single" w:sz="4" w:space="0" w:color="000000"/>
            </w:tcBorders>
            <w:vAlign w:val="center"/>
          </w:tcPr>
          <w:p w14:paraId="0B74E229" w14:textId="77777777" w:rsidR="0046431A" w:rsidRPr="0046431A" w:rsidRDefault="0046431A" w:rsidP="0046431A">
            <w:pPr>
              <w:widowControl w:val="0"/>
              <w:ind w:left="607"/>
              <w:jc w:val="right"/>
              <w:rPr>
                <w:rFonts w:ascii="Arial Narrow" w:eastAsia="Calibri" w:hAnsi="Arial Narrow"/>
                <w:sz w:val="20"/>
                <w:szCs w:val="20"/>
                <w:lang w:val="bg-BG"/>
              </w:rPr>
            </w:pPr>
            <w:r w:rsidRPr="0046431A">
              <w:rPr>
                <w:rFonts w:ascii="Arial Narrow" w:eastAsia="Calibri" w:hAnsi="Arial Narrow"/>
                <w:sz w:val="20"/>
                <w:szCs w:val="20"/>
                <w:lang w:val="bg-BG"/>
              </w:rPr>
              <w:t>364</w:t>
            </w:r>
          </w:p>
        </w:tc>
      </w:tr>
      <w:tr w:rsidR="0046431A" w:rsidRPr="0046431A" w14:paraId="4D782C36" w14:textId="77777777" w:rsidTr="00FC709E">
        <w:trPr>
          <w:trHeight w:val="402"/>
        </w:trPr>
        <w:tc>
          <w:tcPr>
            <w:tcW w:w="4033" w:type="pct"/>
            <w:vAlign w:val="center"/>
          </w:tcPr>
          <w:p w14:paraId="2474FA41" w14:textId="77777777" w:rsidR="0046431A" w:rsidRPr="0046431A" w:rsidRDefault="0046431A" w:rsidP="0046431A">
            <w:pPr>
              <w:widowControl w:val="0"/>
              <w:rPr>
                <w:rFonts w:ascii="Arial Narrow" w:eastAsia="Calibri" w:hAnsi="Arial Narrow"/>
                <w:sz w:val="20"/>
                <w:szCs w:val="20"/>
                <w:lang w:val="bg-BG"/>
              </w:rPr>
            </w:pPr>
            <w:r w:rsidRPr="0046431A">
              <w:rPr>
                <w:rFonts w:ascii="Arial Narrow" w:eastAsia="Calibri" w:hAnsi="Arial Narrow"/>
                <w:sz w:val="20"/>
                <w:szCs w:val="20"/>
                <w:lang w:val="bg-BG"/>
              </w:rPr>
              <w:t>8. Търговци на фуражи</w:t>
            </w:r>
          </w:p>
        </w:tc>
        <w:tc>
          <w:tcPr>
            <w:tcW w:w="967" w:type="pct"/>
            <w:tcBorders>
              <w:top w:val="single" w:sz="4" w:space="0" w:color="000000"/>
              <w:left w:val="single" w:sz="4" w:space="0" w:color="000000"/>
              <w:bottom w:val="single" w:sz="4" w:space="0" w:color="000000"/>
              <w:right w:val="single" w:sz="4" w:space="0" w:color="000000"/>
            </w:tcBorders>
            <w:vAlign w:val="center"/>
          </w:tcPr>
          <w:p w14:paraId="36B15E37" w14:textId="77777777" w:rsidR="0046431A" w:rsidRPr="0046431A" w:rsidRDefault="0046431A" w:rsidP="0046431A">
            <w:pPr>
              <w:widowControl w:val="0"/>
              <w:ind w:left="607"/>
              <w:jc w:val="right"/>
              <w:rPr>
                <w:rFonts w:ascii="Arial Narrow" w:eastAsia="Calibri" w:hAnsi="Arial Narrow"/>
                <w:sz w:val="20"/>
                <w:szCs w:val="20"/>
                <w:lang w:val="bg-BG"/>
              </w:rPr>
            </w:pPr>
            <w:r w:rsidRPr="0046431A">
              <w:rPr>
                <w:rFonts w:ascii="Arial Narrow" w:eastAsia="Calibri" w:hAnsi="Arial Narrow"/>
                <w:sz w:val="20"/>
                <w:szCs w:val="20"/>
                <w:lang w:val="bg-BG"/>
              </w:rPr>
              <w:t>10 270*</w:t>
            </w:r>
          </w:p>
        </w:tc>
      </w:tr>
      <w:tr w:rsidR="0046431A" w:rsidRPr="0046431A" w14:paraId="0EDAE10E" w14:textId="77777777" w:rsidTr="00FC709E">
        <w:trPr>
          <w:trHeight w:val="402"/>
        </w:trPr>
        <w:tc>
          <w:tcPr>
            <w:tcW w:w="4033" w:type="pct"/>
            <w:vAlign w:val="center"/>
          </w:tcPr>
          <w:p w14:paraId="1644F15B" w14:textId="77777777" w:rsidR="0046431A" w:rsidRPr="0046431A" w:rsidRDefault="0046431A" w:rsidP="0046431A">
            <w:pPr>
              <w:widowControl w:val="0"/>
              <w:rPr>
                <w:rFonts w:ascii="Arial Narrow" w:eastAsia="Calibri" w:hAnsi="Arial Narrow"/>
                <w:sz w:val="20"/>
                <w:szCs w:val="20"/>
                <w:lang w:val="bg-BG"/>
              </w:rPr>
            </w:pPr>
            <w:r w:rsidRPr="0046431A">
              <w:rPr>
                <w:rFonts w:ascii="Arial Narrow" w:eastAsia="Calibri" w:hAnsi="Arial Narrow"/>
                <w:sz w:val="20"/>
                <w:szCs w:val="20"/>
                <w:lang w:val="bg-BG"/>
              </w:rPr>
              <w:t>9. Оператори, транспортиращи фуражи</w:t>
            </w:r>
          </w:p>
        </w:tc>
        <w:tc>
          <w:tcPr>
            <w:tcW w:w="967" w:type="pct"/>
            <w:tcBorders>
              <w:top w:val="single" w:sz="4" w:space="0" w:color="000000"/>
              <w:left w:val="single" w:sz="4" w:space="0" w:color="000000"/>
              <w:bottom w:val="single" w:sz="4" w:space="0" w:color="000000"/>
              <w:right w:val="single" w:sz="4" w:space="0" w:color="000000"/>
            </w:tcBorders>
            <w:vAlign w:val="center"/>
          </w:tcPr>
          <w:p w14:paraId="6DEBEC73" w14:textId="77777777" w:rsidR="0046431A" w:rsidRPr="0046431A" w:rsidRDefault="0046431A" w:rsidP="0046431A">
            <w:pPr>
              <w:widowControl w:val="0"/>
              <w:ind w:left="607"/>
              <w:jc w:val="right"/>
              <w:rPr>
                <w:rFonts w:ascii="Arial Narrow" w:eastAsia="Calibri" w:hAnsi="Arial Narrow"/>
                <w:sz w:val="20"/>
                <w:szCs w:val="20"/>
                <w:lang w:val="bg-BG"/>
              </w:rPr>
            </w:pPr>
            <w:r w:rsidRPr="0046431A">
              <w:rPr>
                <w:rFonts w:ascii="Arial Narrow" w:eastAsia="Calibri" w:hAnsi="Arial Narrow"/>
                <w:sz w:val="20"/>
                <w:szCs w:val="20"/>
                <w:lang w:val="bg-BG"/>
              </w:rPr>
              <w:t>1 135</w:t>
            </w:r>
          </w:p>
        </w:tc>
      </w:tr>
      <w:tr w:rsidR="0046431A" w:rsidRPr="0046431A" w14:paraId="571FB758" w14:textId="77777777" w:rsidTr="00FC709E">
        <w:trPr>
          <w:trHeight w:val="402"/>
        </w:trPr>
        <w:tc>
          <w:tcPr>
            <w:tcW w:w="4033" w:type="pct"/>
            <w:vAlign w:val="center"/>
          </w:tcPr>
          <w:p w14:paraId="7DF89180" w14:textId="77777777" w:rsidR="0046431A" w:rsidRPr="0046431A" w:rsidRDefault="0046431A" w:rsidP="0046431A">
            <w:pPr>
              <w:widowControl w:val="0"/>
              <w:rPr>
                <w:rFonts w:ascii="Arial Narrow" w:eastAsia="Calibri" w:hAnsi="Arial Narrow"/>
                <w:sz w:val="20"/>
                <w:szCs w:val="20"/>
                <w:lang w:val="bg-BG"/>
              </w:rPr>
            </w:pPr>
            <w:r w:rsidRPr="0046431A">
              <w:rPr>
                <w:rFonts w:ascii="Arial Narrow" w:eastAsia="Calibri" w:hAnsi="Arial Narrow"/>
                <w:sz w:val="20"/>
                <w:szCs w:val="20"/>
                <w:lang w:val="bg-BG"/>
              </w:rPr>
              <w:t>10. Оператори, отдаващи складове под наем</w:t>
            </w:r>
          </w:p>
        </w:tc>
        <w:tc>
          <w:tcPr>
            <w:tcW w:w="967" w:type="pct"/>
            <w:tcBorders>
              <w:top w:val="single" w:sz="4" w:space="0" w:color="000000"/>
              <w:left w:val="single" w:sz="4" w:space="0" w:color="000000"/>
              <w:bottom w:val="single" w:sz="4" w:space="0" w:color="000000"/>
              <w:right w:val="single" w:sz="4" w:space="0" w:color="000000"/>
            </w:tcBorders>
            <w:vAlign w:val="center"/>
          </w:tcPr>
          <w:p w14:paraId="43F2DD47" w14:textId="77777777" w:rsidR="0046431A" w:rsidRPr="0046431A" w:rsidRDefault="0046431A" w:rsidP="0046431A">
            <w:pPr>
              <w:widowControl w:val="0"/>
              <w:ind w:left="607"/>
              <w:jc w:val="right"/>
              <w:rPr>
                <w:rFonts w:ascii="Arial Narrow" w:eastAsia="Calibri" w:hAnsi="Arial Narrow"/>
                <w:sz w:val="20"/>
                <w:szCs w:val="20"/>
                <w:lang w:val="bg-BG"/>
              </w:rPr>
            </w:pPr>
            <w:r w:rsidRPr="0046431A">
              <w:rPr>
                <w:rFonts w:ascii="Arial Narrow" w:eastAsia="Calibri" w:hAnsi="Arial Narrow"/>
                <w:sz w:val="20"/>
                <w:szCs w:val="20"/>
                <w:lang w:val="bg-BG"/>
              </w:rPr>
              <w:t>124</w:t>
            </w:r>
          </w:p>
        </w:tc>
      </w:tr>
      <w:tr w:rsidR="0046431A" w:rsidRPr="0046431A" w14:paraId="0BB0C37A" w14:textId="77777777" w:rsidTr="00FC709E">
        <w:trPr>
          <w:trHeight w:val="805"/>
        </w:trPr>
        <w:tc>
          <w:tcPr>
            <w:tcW w:w="4033" w:type="pct"/>
            <w:vAlign w:val="center"/>
          </w:tcPr>
          <w:p w14:paraId="76C9A0E7" w14:textId="77777777" w:rsidR="0046431A" w:rsidRPr="0046431A" w:rsidRDefault="0046431A" w:rsidP="0046431A">
            <w:pPr>
              <w:widowControl w:val="0"/>
              <w:rPr>
                <w:rFonts w:ascii="Arial Narrow" w:eastAsia="Calibri" w:hAnsi="Arial Narrow"/>
                <w:b/>
                <w:bCs/>
                <w:sz w:val="20"/>
                <w:szCs w:val="20"/>
                <w:lang w:val="bg-BG"/>
              </w:rPr>
            </w:pPr>
            <w:r w:rsidRPr="0046431A">
              <w:rPr>
                <w:rFonts w:ascii="Arial Narrow" w:eastAsia="Calibri" w:hAnsi="Arial Narrow"/>
                <w:b/>
                <w:bCs/>
                <w:sz w:val="20"/>
                <w:szCs w:val="20"/>
                <w:lang w:val="bg-BG"/>
              </w:rPr>
              <w:t>ІІ. Регистрирани оператори на ниво първично производство на земеделски култури, предназначени за фуражи, упражняващи дейности по чл. 5, параграф 1 на Регламент (ЕО) 183/2005</w:t>
            </w:r>
          </w:p>
        </w:tc>
        <w:tc>
          <w:tcPr>
            <w:tcW w:w="967" w:type="pct"/>
            <w:vAlign w:val="center"/>
          </w:tcPr>
          <w:p w14:paraId="302EBA60" w14:textId="77777777" w:rsidR="0046431A" w:rsidRPr="0046431A" w:rsidRDefault="0046431A" w:rsidP="0046431A">
            <w:pPr>
              <w:widowControl w:val="0"/>
              <w:ind w:left="607"/>
              <w:jc w:val="right"/>
              <w:rPr>
                <w:rFonts w:ascii="Arial Narrow" w:eastAsia="Calibri" w:hAnsi="Arial Narrow"/>
                <w:b/>
                <w:sz w:val="20"/>
                <w:szCs w:val="20"/>
                <w:lang w:val="bg-BG"/>
              </w:rPr>
            </w:pPr>
            <w:r w:rsidRPr="0046431A">
              <w:rPr>
                <w:rFonts w:ascii="Arial Narrow" w:eastAsia="Calibri" w:hAnsi="Arial Narrow"/>
                <w:b/>
                <w:sz w:val="20"/>
                <w:szCs w:val="20"/>
                <w:lang w:val="bg-BG"/>
              </w:rPr>
              <w:t>8 355</w:t>
            </w:r>
          </w:p>
        </w:tc>
      </w:tr>
      <w:tr w:rsidR="0046431A" w:rsidRPr="0046431A" w14:paraId="383E3EC3" w14:textId="77777777" w:rsidTr="00FC709E">
        <w:trPr>
          <w:trHeight w:val="517"/>
        </w:trPr>
        <w:tc>
          <w:tcPr>
            <w:tcW w:w="4033" w:type="pct"/>
            <w:vAlign w:val="center"/>
          </w:tcPr>
          <w:p w14:paraId="1747E78E" w14:textId="77777777" w:rsidR="0046431A" w:rsidRPr="0046431A" w:rsidRDefault="0046431A" w:rsidP="0046431A">
            <w:pPr>
              <w:widowControl w:val="0"/>
              <w:rPr>
                <w:rFonts w:ascii="Arial Narrow" w:eastAsia="Calibri" w:hAnsi="Arial Narrow"/>
                <w:sz w:val="20"/>
                <w:szCs w:val="20"/>
                <w:lang w:val="bg-BG"/>
              </w:rPr>
            </w:pPr>
            <w:r w:rsidRPr="0046431A">
              <w:rPr>
                <w:rFonts w:ascii="Arial Narrow" w:eastAsia="Calibri" w:hAnsi="Arial Narrow"/>
                <w:sz w:val="20"/>
                <w:szCs w:val="20"/>
                <w:lang w:val="bg-BG"/>
              </w:rPr>
              <w:t>1. Регистрирани обекти на земеделски стопани, произвеждащи първични фуражи по местонахождение на имота</w:t>
            </w:r>
          </w:p>
        </w:tc>
        <w:tc>
          <w:tcPr>
            <w:tcW w:w="967" w:type="pct"/>
            <w:tcBorders>
              <w:top w:val="single" w:sz="4" w:space="0" w:color="000000"/>
              <w:left w:val="single" w:sz="4" w:space="0" w:color="000000"/>
              <w:bottom w:val="single" w:sz="4" w:space="0" w:color="000000"/>
              <w:right w:val="single" w:sz="4" w:space="0" w:color="000000"/>
            </w:tcBorders>
            <w:vAlign w:val="center"/>
          </w:tcPr>
          <w:p w14:paraId="3C8AE9F5" w14:textId="77777777" w:rsidR="0046431A" w:rsidRPr="0046431A" w:rsidRDefault="0046431A" w:rsidP="0046431A">
            <w:pPr>
              <w:widowControl w:val="0"/>
              <w:ind w:left="607"/>
              <w:jc w:val="right"/>
              <w:rPr>
                <w:rFonts w:ascii="Arial Narrow" w:eastAsia="Calibri" w:hAnsi="Arial Narrow"/>
                <w:sz w:val="20"/>
                <w:szCs w:val="20"/>
                <w:lang w:val="bg-BG"/>
              </w:rPr>
            </w:pPr>
            <w:r w:rsidRPr="0046431A">
              <w:rPr>
                <w:rFonts w:ascii="Arial Narrow" w:eastAsia="Calibri" w:hAnsi="Arial Narrow"/>
                <w:sz w:val="20"/>
                <w:szCs w:val="20"/>
                <w:lang w:val="bg-BG"/>
              </w:rPr>
              <w:t>6 315</w:t>
            </w:r>
          </w:p>
        </w:tc>
      </w:tr>
      <w:tr w:rsidR="0046431A" w:rsidRPr="0046431A" w14:paraId="12F650F3" w14:textId="77777777" w:rsidTr="00FC709E">
        <w:trPr>
          <w:trHeight w:val="517"/>
        </w:trPr>
        <w:tc>
          <w:tcPr>
            <w:tcW w:w="4033" w:type="pct"/>
            <w:vAlign w:val="center"/>
          </w:tcPr>
          <w:p w14:paraId="46FA81C0" w14:textId="77777777" w:rsidR="0046431A" w:rsidRPr="0046431A" w:rsidRDefault="0046431A" w:rsidP="0046431A">
            <w:pPr>
              <w:widowControl w:val="0"/>
              <w:rPr>
                <w:rFonts w:ascii="Arial Narrow" w:eastAsia="Calibri" w:hAnsi="Arial Narrow"/>
                <w:sz w:val="20"/>
                <w:szCs w:val="20"/>
                <w:lang w:val="bg-BG"/>
              </w:rPr>
            </w:pPr>
            <w:r w:rsidRPr="0046431A">
              <w:rPr>
                <w:rFonts w:ascii="Arial Narrow" w:eastAsia="Calibri" w:hAnsi="Arial Narrow"/>
                <w:sz w:val="20"/>
                <w:szCs w:val="20"/>
                <w:lang w:val="bg-BG"/>
              </w:rPr>
              <w:t>2. Регистрирани обекти на земеделски стопани, произвеждащи силажи, като използват силажни добавки, като фуражите са предназначени само за нуждите на собствената им ферма</w:t>
            </w:r>
          </w:p>
        </w:tc>
        <w:tc>
          <w:tcPr>
            <w:tcW w:w="967" w:type="pct"/>
            <w:tcBorders>
              <w:top w:val="single" w:sz="4" w:space="0" w:color="000000"/>
              <w:left w:val="single" w:sz="4" w:space="0" w:color="000000"/>
              <w:bottom w:val="single" w:sz="4" w:space="0" w:color="000000"/>
              <w:right w:val="single" w:sz="4" w:space="0" w:color="000000"/>
            </w:tcBorders>
            <w:vAlign w:val="center"/>
          </w:tcPr>
          <w:p w14:paraId="13508476" w14:textId="77777777" w:rsidR="0046431A" w:rsidRPr="0046431A" w:rsidRDefault="0046431A" w:rsidP="0046431A">
            <w:pPr>
              <w:widowControl w:val="0"/>
              <w:ind w:left="607"/>
              <w:jc w:val="right"/>
              <w:rPr>
                <w:rFonts w:ascii="Arial Narrow" w:eastAsia="Calibri" w:hAnsi="Arial Narrow"/>
                <w:sz w:val="20"/>
                <w:szCs w:val="20"/>
                <w:lang w:val="bg-BG"/>
              </w:rPr>
            </w:pPr>
            <w:r w:rsidRPr="0046431A">
              <w:rPr>
                <w:rFonts w:ascii="Arial Narrow" w:eastAsia="Calibri" w:hAnsi="Arial Narrow"/>
                <w:sz w:val="20"/>
                <w:szCs w:val="20"/>
                <w:lang w:val="bg-BG"/>
              </w:rPr>
              <w:t>370</w:t>
            </w:r>
          </w:p>
        </w:tc>
      </w:tr>
      <w:tr w:rsidR="0046431A" w:rsidRPr="0046431A" w14:paraId="05831CB9" w14:textId="77777777" w:rsidTr="00FC709E">
        <w:trPr>
          <w:trHeight w:val="517"/>
        </w:trPr>
        <w:tc>
          <w:tcPr>
            <w:tcW w:w="4033" w:type="pct"/>
            <w:vAlign w:val="center"/>
          </w:tcPr>
          <w:p w14:paraId="0E8C48F5" w14:textId="77777777" w:rsidR="0046431A" w:rsidRPr="0046431A" w:rsidRDefault="0046431A" w:rsidP="0046431A">
            <w:pPr>
              <w:widowControl w:val="0"/>
              <w:rPr>
                <w:rFonts w:ascii="Arial Narrow" w:eastAsia="Calibri" w:hAnsi="Arial Narrow"/>
                <w:sz w:val="20"/>
                <w:szCs w:val="20"/>
                <w:lang w:val="bg-BG"/>
              </w:rPr>
            </w:pPr>
            <w:r w:rsidRPr="0046431A">
              <w:rPr>
                <w:rFonts w:ascii="Arial Narrow" w:eastAsia="Calibri" w:hAnsi="Arial Narrow"/>
                <w:sz w:val="20"/>
                <w:szCs w:val="20"/>
                <w:lang w:val="bg-BG"/>
              </w:rPr>
              <w:t>3. Регистрирани обекти на земеделски стопани, смесващи фуражи изключително за собствената си ферма, без да използват добавки и премикси, като използват допълващи фуражи</w:t>
            </w:r>
          </w:p>
        </w:tc>
        <w:tc>
          <w:tcPr>
            <w:tcW w:w="967" w:type="pct"/>
            <w:tcBorders>
              <w:top w:val="single" w:sz="4" w:space="0" w:color="000000"/>
              <w:left w:val="single" w:sz="4" w:space="0" w:color="000000"/>
              <w:bottom w:val="single" w:sz="4" w:space="0" w:color="000000"/>
              <w:right w:val="single" w:sz="4" w:space="0" w:color="000000"/>
            </w:tcBorders>
            <w:vAlign w:val="center"/>
          </w:tcPr>
          <w:p w14:paraId="36D787D7" w14:textId="77777777" w:rsidR="0046431A" w:rsidRPr="0046431A" w:rsidRDefault="0046431A" w:rsidP="0046431A">
            <w:pPr>
              <w:widowControl w:val="0"/>
              <w:ind w:left="607"/>
              <w:jc w:val="right"/>
              <w:rPr>
                <w:rFonts w:ascii="Arial Narrow" w:eastAsia="Calibri" w:hAnsi="Arial Narrow"/>
                <w:sz w:val="20"/>
                <w:szCs w:val="20"/>
                <w:lang w:val="bg-BG"/>
              </w:rPr>
            </w:pPr>
            <w:r w:rsidRPr="0046431A">
              <w:rPr>
                <w:rFonts w:ascii="Arial Narrow" w:eastAsia="Calibri" w:hAnsi="Arial Narrow"/>
                <w:sz w:val="20"/>
                <w:szCs w:val="20"/>
                <w:lang w:val="bg-BG"/>
              </w:rPr>
              <w:t>1 567</w:t>
            </w:r>
          </w:p>
        </w:tc>
      </w:tr>
      <w:tr w:rsidR="0046431A" w:rsidRPr="0046431A" w14:paraId="09EAEBB9" w14:textId="77777777" w:rsidTr="00FC709E">
        <w:trPr>
          <w:trHeight w:val="608"/>
        </w:trPr>
        <w:tc>
          <w:tcPr>
            <w:tcW w:w="4033" w:type="pct"/>
            <w:vAlign w:val="center"/>
          </w:tcPr>
          <w:p w14:paraId="11F1A1FA" w14:textId="77777777" w:rsidR="0046431A" w:rsidRPr="0046431A" w:rsidRDefault="0046431A" w:rsidP="0046431A">
            <w:pPr>
              <w:widowControl w:val="0"/>
              <w:rPr>
                <w:rFonts w:ascii="Arial Narrow" w:eastAsia="Calibri" w:hAnsi="Arial Narrow"/>
                <w:sz w:val="20"/>
                <w:szCs w:val="20"/>
                <w:lang w:val="bg-BG"/>
              </w:rPr>
            </w:pPr>
            <w:r w:rsidRPr="0046431A">
              <w:rPr>
                <w:rFonts w:ascii="Arial Narrow" w:eastAsia="Calibri" w:hAnsi="Arial Narrow"/>
                <w:sz w:val="20"/>
                <w:szCs w:val="20"/>
                <w:lang w:val="bg-BG"/>
              </w:rPr>
              <w:t>4. Регистрирани обекти на земеделски стопани, смесващи фуражи и произвеждащи силажи, предназначени само за нуждите на собствената им ферма</w:t>
            </w:r>
          </w:p>
        </w:tc>
        <w:tc>
          <w:tcPr>
            <w:tcW w:w="967" w:type="pct"/>
            <w:tcBorders>
              <w:top w:val="single" w:sz="4" w:space="0" w:color="000000"/>
              <w:left w:val="single" w:sz="4" w:space="0" w:color="000000"/>
              <w:bottom w:val="single" w:sz="4" w:space="0" w:color="000000"/>
              <w:right w:val="single" w:sz="4" w:space="0" w:color="000000"/>
            </w:tcBorders>
            <w:noWrap/>
            <w:vAlign w:val="center"/>
          </w:tcPr>
          <w:p w14:paraId="7DDFB335" w14:textId="77777777" w:rsidR="0046431A" w:rsidRPr="0046431A" w:rsidRDefault="0046431A" w:rsidP="0046431A">
            <w:pPr>
              <w:widowControl w:val="0"/>
              <w:ind w:left="607"/>
              <w:jc w:val="right"/>
              <w:rPr>
                <w:rFonts w:ascii="Arial Narrow" w:eastAsia="Calibri" w:hAnsi="Arial Narrow"/>
                <w:sz w:val="20"/>
                <w:szCs w:val="20"/>
                <w:lang w:val="bg-BG"/>
              </w:rPr>
            </w:pPr>
            <w:r w:rsidRPr="0046431A">
              <w:rPr>
                <w:rFonts w:ascii="Arial Narrow" w:eastAsia="Calibri" w:hAnsi="Arial Narrow"/>
                <w:sz w:val="20"/>
                <w:szCs w:val="20"/>
                <w:lang w:val="bg-BG"/>
              </w:rPr>
              <w:t>103</w:t>
            </w:r>
          </w:p>
        </w:tc>
      </w:tr>
      <w:tr w:rsidR="0046431A" w:rsidRPr="0046431A" w14:paraId="1BE7A54F" w14:textId="77777777" w:rsidTr="00FC709E">
        <w:trPr>
          <w:trHeight w:val="574"/>
        </w:trPr>
        <w:tc>
          <w:tcPr>
            <w:tcW w:w="4033" w:type="pct"/>
            <w:vAlign w:val="center"/>
          </w:tcPr>
          <w:p w14:paraId="1461C83D" w14:textId="77777777" w:rsidR="0046431A" w:rsidRPr="0046431A" w:rsidRDefault="0046431A" w:rsidP="0046431A">
            <w:pPr>
              <w:widowControl w:val="0"/>
              <w:rPr>
                <w:rFonts w:ascii="Arial Narrow" w:eastAsia="Calibri" w:hAnsi="Arial Narrow"/>
                <w:b/>
                <w:bCs/>
                <w:sz w:val="20"/>
                <w:szCs w:val="20"/>
                <w:lang w:val="bg-BG"/>
              </w:rPr>
            </w:pPr>
            <w:r w:rsidRPr="0046431A">
              <w:rPr>
                <w:rFonts w:ascii="Arial Narrow" w:eastAsia="Calibri" w:hAnsi="Arial Narrow"/>
                <w:b/>
                <w:bCs/>
                <w:sz w:val="20"/>
                <w:szCs w:val="20"/>
                <w:lang w:val="bg-BG"/>
              </w:rPr>
              <w:t>ІІІ. Одобрени обекти по чл. 10, упражняващи дейности по чл. 5, параграф 2 на Регламент (ЕО) №183/2005</w:t>
            </w:r>
          </w:p>
        </w:tc>
        <w:tc>
          <w:tcPr>
            <w:tcW w:w="967" w:type="pct"/>
            <w:noWrap/>
            <w:vAlign w:val="center"/>
          </w:tcPr>
          <w:p w14:paraId="064B9033" w14:textId="77777777" w:rsidR="0046431A" w:rsidRPr="0046431A" w:rsidRDefault="0046431A" w:rsidP="0046431A">
            <w:pPr>
              <w:widowControl w:val="0"/>
              <w:ind w:left="607"/>
              <w:jc w:val="right"/>
              <w:rPr>
                <w:rFonts w:ascii="Arial Narrow" w:eastAsia="Calibri" w:hAnsi="Arial Narrow"/>
                <w:sz w:val="20"/>
                <w:szCs w:val="20"/>
                <w:lang w:val="bg-BG"/>
              </w:rPr>
            </w:pPr>
            <w:r w:rsidRPr="0046431A">
              <w:rPr>
                <w:rFonts w:ascii="Arial Narrow" w:eastAsia="Calibri" w:hAnsi="Arial Narrow"/>
                <w:b/>
                <w:sz w:val="20"/>
                <w:szCs w:val="20"/>
                <w:lang w:val="bg-BG"/>
              </w:rPr>
              <w:t>139**</w:t>
            </w:r>
          </w:p>
        </w:tc>
      </w:tr>
      <w:tr w:rsidR="0046431A" w:rsidRPr="0046431A" w14:paraId="6B0C0451" w14:textId="77777777" w:rsidTr="00FC709E">
        <w:trPr>
          <w:trHeight w:val="402"/>
        </w:trPr>
        <w:tc>
          <w:tcPr>
            <w:tcW w:w="4033" w:type="pct"/>
            <w:vAlign w:val="center"/>
          </w:tcPr>
          <w:p w14:paraId="20BD84B1" w14:textId="77777777" w:rsidR="0046431A" w:rsidRPr="0046431A" w:rsidRDefault="0046431A" w:rsidP="0046431A">
            <w:pPr>
              <w:widowControl w:val="0"/>
              <w:rPr>
                <w:rFonts w:ascii="Arial Narrow" w:eastAsia="Calibri" w:hAnsi="Arial Narrow"/>
                <w:sz w:val="20"/>
                <w:szCs w:val="20"/>
                <w:lang w:val="bg-BG"/>
              </w:rPr>
            </w:pPr>
            <w:r w:rsidRPr="0046431A">
              <w:rPr>
                <w:rFonts w:ascii="Arial Narrow" w:eastAsia="Calibri" w:hAnsi="Arial Narrow"/>
                <w:sz w:val="20"/>
                <w:szCs w:val="20"/>
                <w:lang w:val="bg-BG"/>
              </w:rPr>
              <w:t>1. Производители на фуражни добавки</w:t>
            </w:r>
          </w:p>
        </w:tc>
        <w:tc>
          <w:tcPr>
            <w:tcW w:w="967" w:type="pct"/>
            <w:noWrap/>
            <w:vAlign w:val="center"/>
          </w:tcPr>
          <w:p w14:paraId="21984E99" w14:textId="77777777" w:rsidR="0046431A" w:rsidRPr="0046431A" w:rsidRDefault="0046431A" w:rsidP="0046431A">
            <w:pPr>
              <w:widowControl w:val="0"/>
              <w:ind w:left="607"/>
              <w:jc w:val="right"/>
              <w:rPr>
                <w:rFonts w:ascii="Arial Narrow" w:eastAsia="Calibri" w:hAnsi="Arial Narrow"/>
                <w:sz w:val="20"/>
                <w:szCs w:val="20"/>
                <w:lang w:val="bg-BG"/>
              </w:rPr>
            </w:pPr>
            <w:r w:rsidRPr="0046431A">
              <w:rPr>
                <w:rFonts w:ascii="Arial Narrow" w:eastAsia="Calibri" w:hAnsi="Arial Narrow"/>
                <w:sz w:val="20"/>
                <w:szCs w:val="20"/>
                <w:lang w:val="bg-BG"/>
              </w:rPr>
              <w:t>7</w:t>
            </w:r>
          </w:p>
        </w:tc>
      </w:tr>
      <w:tr w:rsidR="0046431A" w:rsidRPr="0046431A" w14:paraId="63901AA7" w14:textId="77777777" w:rsidTr="00FC709E">
        <w:trPr>
          <w:trHeight w:val="402"/>
        </w:trPr>
        <w:tc>
          <w:tcPr>
            <w:tcW w:w="4033" w:type="pct"/>
            <w:vAlign w:val="center"/>
          </w:tcPr>
          <w:p w14:paraId="470E953B" w14:textId="77777777" w:rsidR="0046431A" w:rsidRPr="0046431A" w:rsidRDefault="0046431A" w:rsidP="0046431A">
            <w:pPr>
              <w:widowControl w:val="0"/>
              <w:rPr>
                <w:rFonts w:ascii="Arial Narrow" w:eastAsia="Calibri" w:hAnsi="Arial Narrow"/>
                <w:sz w:val="20"/>
                <w:szCs w:val="20"/>
                <w:lang w:val="bg-BG"/>
              </w:rPr>
            </w:pPr>
            <w:r w:rsidRPr="0046431A">
              <w:rPr>
                <w:rFonts w:ascii="Arial Narrow" w:eastAsia="Calibri" w:hAnsi="Arial Narrow"/>
                <w:sz w:val="20"/>
                <w:szCs w:val="20"/>
                <w:lang w:val="bg-BG"/>
              </w:rPr>
              <w:t xml:space="preserve">2. Производители на премикси, изготвени на основата на фуражни добавки </w:t>
            </w:r>
          </w:p>
        </w:tc>
        <w:tc>
          <w:tcPr>
            <w:tcW w:w="967" w:type="pct"/>
            <w:noWrap/>
            <w:vAlign w:val="center"/>
          </w:tcPr>
          <w:p w14:paraId="157FD160" w14:textId="77777777" w:rsidR="0046431A" w:rsidRPr="0046431A" w:rsidRDefault="0046431A" w:rsidP="0046431A">
            <w:pPr>
              <w:widowControl w:val="0"/>
              <w:ind w:left="607"/>
              <w:jc w:val="right"/>
              <w:rPr>
                <w:rFonts w:ascii="Arial Narrow" w:eastAsia="Calibri" w:hAnsi="Arial Narrow"/>
                <w:sz w:val="20"/>
                <w:szCs w:val="20"/>
                <w:lang w:val="bg-BG"/>
              </w:rPr>
            </w:pPr>
            <w:r w:rsidRPr="0046431A">
              <w:rPr>
                <w:rFonts w:ascii="Arial Narrow" w:eastAsia="Calibri" w:hAnsi="Arial Narrow"/>
                <w:sz w:val="20"/>
                <w:szCs w:val="20"/>
                <w:lang w:val="bg-BG"/>
              </w:rPr>
              <w:t>5</w:t>
            </w:r>
          </w:p>
        </w:tc>
      </w:tr>
      <w:tr w:rsidR="0046431A" w:rsidRPr="0046431A" w14:paraId="477F0B6B" w14:textId="77777777" w:rsidTr="00FC709E">
        <w:trPr>
          <w:trHeight w:val="402"/>
        </w:trPr>
        <w:tc>
          <w:tcPr>
            <w:tcW w:w="4033" w:type="pct"/>
            <w:vAlign w:val="center"/>
          </w:tcPr>
          <w:p w14:paraId="2A5B5D26" w14:textId="77777777" w:rsidR="0046431A" w:rsidRPr="0046431A" w:rsidRDefault="0046431A" w:rsidP="0046431A">
            <w:pPr>
              <w:widowControl w:val="0"/>
              <w:rPr>
                <w:rFonts w:ascii="Arial Narrow" w:eastAsia="Calibri" w:hAnsi="Arial Narrow"/>
                <w:sz w:val="20"/>
                <w:szCs w:val="20"/>
                <w:lang w:val="bg-BG"/>
              </w:rPr>
            </w:pPr>
            <w:r w:rsidRPr="0046431A">
              <w:rPr>
                <w:rFonts w:ascii="Arial Narrow" w:eastAsia="Calibri" w:hAnsi="Arial Narrow"/>
                <w:sz w:val="20"/>
                <w:szCs w:val="20"/>
                <w:lang w:val="bg-BG"/>
              </w:rPr>
              <w:t>3. Производители на комбинирани фуражи</w:t>
            </w:r>
          </w:p>
        </w:tc>
        <w:tc>
          <w:tcPr>
            <w:tcW w:w="967" w:type="pct"/>
            <w:noWrap/>
            <w:vAlign w:val="center"/>
          </w:tcPr>
          <w:p w14:paraId="0E11448A" w14:textId="77777777" w:rsidR="0046431A" w:rsidRPr="0046431A" w:rsidRDefault="0046431A" w:rsidP="0046431A">
            <w:pPr>
              <w:widowControl w:val="0"/>
              <w:ind w:left="607"/>
              <w:jc w:val="right"/>
              <w:rPr>
                <w:rFonts w:ascii="Arial Narrow" w:eastAsia="Calibri" w:hAnsi="Arial Narrow"/>
                <w:sz w:val="20"/>
                <w:szCs w:val="20"/>
                <w:lang w:val="bg-BG"/>
              </w:rPr>
            </w:pPr>
            <w:r w:rsidRPr="0046431A">
              <w:rPr>
                <w:rFonts w:ascii="Arial Narrow" w:eastAsia="Calibri" w:hAnsi="Arial Narrow"/>
                <w:sz w:val="20"/>
                <w:szCs w:val="20"/>
                <w:lang w:val="bg-BG"/>
              </w:rPr>
              <w:t>45</w:t>
            </w:r>
          </w:p>
        </w:tc>
      </w:tr>
      <w:tr w:rsidR="0046431A" w:rsidRPr="0046431A" w14:paraId="6393EC25" w14:textId="77777777" w:rsidTr="00FC709E">
        <w:trPr>
          <w:trHeight w:val="402"/>
        </w:trPr>
        <w:tc>
          <w:tcPr>
            <w:tcW w:w="4033" w:type="pct"/>
            <w:vAlign w:val="center"/>
          </w:tcPr>
          <w:p w14:paraId="6FE5E4EE" w14:textId="77777777" w:rsidR="0046431A" w:rsidRPr="0046431A" w:rsidRDefault="0046431A" w:rsidP="0046431A">
            <w:pPr>
              <w:widowControl w:val="0"/>
              <w:rPr>
                <w:rFonts w:ascii="Arial Narrow" w:eastAsia="Calibri" w:hAnsi="Arial Narrow"/>
                <w:sz w:val="20"/>
                <w:szCs w:val="20"/>
                <w:lang w:val="bg-BG"/>
              </w:rPr>
            </w:pPr>
            <w:r w:rsidRPr="0046431A">
              <w:rPr>
                <w:rFonts w:ascii="Arial Narrow" w:eastAsia="Calibri" w:hAnsi="Arial Narrow"/>
                <w:sz w:val="20"/>
                <w:szCs w:val="20"/>
                <w:lang w:val="bg-BG"/>
              </w:rPr>
              <w:t>4. Търговци на фуражни добавки и премикси</w:t>
            </w:r>
          </w:p>
        </w:tc>
        <w:tc>
          <w:tcPr>
            <w:tcW w:w="967" w:type="pct"/>
            <w:noWrap/>
            <w:vAlign w:val="center"/>
          </w:tcPr>
          <w:p w14:paraId="618C6F3A" w14:textId="77777777" w:rsidR="0046431A" w:rsidRPr="0046431A" w:rsidRDefault="0046431A" w:rsidP="0046431A">
            <w:pPr>
              <w:widowControl w:val="0"/>
              <w:ind w:left="607"/>
              <w:jc w:val="right"/>
              <w:rPr>
                <w:rFonts w:ascii="Arial Narrow" w:eastAsia="Calibri" w:hAnsi="Arial Narrow"/>
                <w:sz w:val="20"/>
                <w:szCs w:val="20"/>
                <w:lang w:val="bg-BG"/>
              </w:rPr>
            </w:pPr>
            <w:r w:rsidRPr="0046431A">
              <w:rPr>
                <w:rFonts w:ascii="Arial Narrow" w:eastAsia="Calibri" w:hAnsi="Arial Narrow"/>
                <w:sz w:val="20"/>
                <w:szCs w:val="20"/>
                <w:lang w:val="bg-BG"/>
              </w:rPr>
              <w:t>76</w:t>
            </w:r>
          </w:p>
        </w:tc>
      </w:tr>
      <w:tr w:rsidR="0046431A" w:rsidRPr="0046431A" w14:paraId="131D1FAE" w14:textId="77777777" w:rsidTr="00FC709E">
        <w:trPr>
          <w:trHeight w:val="402"/>
        </w:trPr>
        <w:tc>
          <w:tcPr>
            <w:tcW w:w="4033" w:type="pct"/>
            <w:vAlign w:val="center"/>
          </w:tcPr>
          <w:p w14:paraId="3CD72CBF" w14:textId="77777777" w:rsidR="0046431A" w:rsidRPr="0046431A" w:rsidRDefault="0046431A" w:rsidP="0046431A">
            <w:pPr>
              <w:widowControl w:val="0"/>
              <w:rPr>
                <w:rFonts w:ascii="Arial Narrow" w:eastAsia="Calibri" w:hAnsi="Arial Narrow"/>
                <w:sz w:val="20"/>
                <w:szCs w:val="20"/>
                <w:lang w:val="bg-BG"/>
              </w:rPr>
            </w:pPr>
            <w:r w:rsidRPr="0046431A">
              <w:rPr>
                <w:rFonts w:ascii="Arial Narrow" w:eastAsia="Calibri" w:hAnsi="Arial Narrow"/>
                <w:sz w:val="20"/>
                <w:szCs w:val="20"/>
                <w:lang w:val="bg-BG"/>
              </w:rPr>
              <w:t>5. Оператори, извършващи дейност детоксикация на фуражи</w:t>
            </w:r>
          </w:p>
        </w:tc>
        <w:tc>
          <w:tcPr>
            <w:tcW w:w="967" w:type="pct"/>
            <w:noWrap/>
            <w:vAlign w:val="center"/>
          </w:tcPr>
          <w:p w14:paraId="25DC650B" w14:textId="77777777" w:rsidR="0046431A" w:rsidRPr="0046431A" w:rsidRDefault="0046431A" w:rsidP="0046431A">
            <w:pPr>
              <w:widowControl w:val="0"/>
              <w:ind w:left="607"/>
              <w:jc w:val="right"/>
              <w:rPr>
                <w:rFonts w:ascii="Arial Narrow" w:eastAsia="Calibri" w:hAnsi="Arial Narrow"/>
                <w:sz w:val="20"/>
                <w:szCs w:val="20"/>
                <w:lang w:val="bg-BG"/>
              </w:rPr>
            </w:pPr>
            <w:r w:rsidRPr="0046431A">
              <w:rPr>
                <w:rFonts w:ascii="Arial Narrow" w:eastAsia="Calibri" w:hAnsi="Arial Narrow"/>
                <w:sz w:val="20"/>
                <w:szCs w:val="20"/>
                <w:lang w:val="bg-BG"/>
              </w:rPr>
              <w:t>1</w:t>
            </w:r>
          </w:p>
        </w:tc>
      </w:tr>
      <w:tr w:rsidR="0046431A" w:rsidRPr="0046431A" w14:paraId="5904A158" w14:textId="77777777" w:rsidTr="00FC709E">
        <w:trPr>
          <w:trHeight w:val="1178"/>
        </w:trPr>
        <w:tc>
          <w:tcPr>
            <w:tcW w:w="4033" w:type="pct"/>
            <w:vAlign w:val="center"/>
          </w:tcPr>
          <w:p w14:paraId="5F551107" w14:textId="77777777" w:rsidR="0046431A" w:rsidRPr="0046431A" w:rsidRDefault="0046431A" w:rsidP="0046431A">
            <w:pPr>
              <w:widowControl w:val="0"/>
              <w:rPr>
                <w:rFonts w:ascii="Arial Narrow" w:eastAsia="Calibri" w:hAnsi="Arial Narrow"/>
                <w:bCs/>
                <w:sz w:val="20"/>
                <w:szCs w:val="20"/>
                <w:lang w:val="bg-BG"/>
              </w:rPr>
            </w:pPr>
            <w:r w:rsidRPr="0046431A">
              <w:rPr>
                <w:rFonts w:ascii="Arial Narrow" w:eastAsia="Calibri" w:hAnsi="Arial Narrow"/>
                <w:bCs/>
                <w:sz w:val="20"/>
                <w:szCs w:val="20"/>
                <w:lang w:val="bg-BG"/>
              </w:rPr>
              <w:t>8.</w:t>
            </w:r>
            <w:r w:rsidRPr="0046431A">
              <w:rPr>
                <w:rFonts w:ascii="Arial Narrow" w:eastAsia="Calibri" w:hAnsi="Arial Narrow" w:cs="Arial Narrow"/>
                <w:sz w:val="20"/>
                <w:szCs w:val="20"/>
                <w:lang w:val="bg-BG"/>
              </w:rPr>
              <w:t xml:space="preserve"> Оператори, извършващи дейност обработка на сурово растително масло с изключение на обекти, които са регистрирани по Закона за храните, и/или производство на мастни киселини чрез преработката на растителни масла и животински мазнини, производство на биодизел и смесване на мазнини</w:t>
            </w:r>
            <w:r w:rsidRPr="0046431A">
              <w:rPr>
                <w:rFonts w:ascii="Calibri" w:eastAsia="Calibri" w:hAnsi="Calibri"/>
                <w:sz w:val="22"/>
                <w:szCs w:val="22"/>
                <w:lang w:val="bg-BG"/>
              </w:rPr>
              <w:t xml:space="preserve"> </w:t>
            </w:r>
            <w:r w:rsidRPr="0046431A">
              <w:rPr>
                <w:rFonts w:ascii="Arial Narrow" w:eastAsia="Calibri" w:hAnsi="Arial Narrow" w:cs="Arial Narrow"/>
                <w:sz w:val="20"/>
                <w:szCs w:val="20"/>
                <w:lang w:val="bg-BG"/>
              </w:rPr>
              <w:t>и/или извършващи дейност смесване на мазнини и/или производство на продукти, получавани при производството на биодизел</w:t>
            </w:r>
          </w:p>
        </w:tc>
        <w:tc>
          <w:tcPr>
            <w:tcW w:w="967" w:type="pct"/>
            <w:noWrap/>
            <w:vAlign w:val="center"/>
          </w:tcPr>
          <w:p w14:paraId="5D7B29EF" w14:textId="77777777" w:rsidR="0046431A" w:rsidRPr="0046431A" w:rsidRDefault="0046431A" w:rsidP="0046431A">
            <w:pPr>
              <w:jc w:val="right"/>
              <w:rPr>
                <w:rFonts w:ascii="Arial Narrow" w:hAnsi="Arial Narrow"/>
                <w:sz w:val="20"/>
                <w:szCs w:val="20"/>
                <w:lang w:val="bg-BG"/>
              </w:rPr>
            </w:pPr>
            <w:r w:rsidRPr="0046431A">
              <w:rPr>
                <w:rFonts w:ascii="Arial Narrow" w:hAnsi="Arial Narrow"/>
                <w:sz w:val="20"/>
                <w:szCs w:val="20"/>
                <w:lang w:val="bg-BG"/>
              </w:rPr>
              <w:t>5</w:t>
            </w:r>
          </w:p>
        </w:tc>
      </w:tr>
      <w:tr w:rsidR="0046431A" w:rsidRPr="0046431A" w14:paraId="0EF8C9C7" w14:textId="77777777" w:rsidTr="00FC709E">
        <w:trPr>
          <w:trHeight w:val="402"/>
        </w:trPr>
        <w:tc>
          <w:tcPr>
            <w:tcW w:w="4033" w:type="pct"/>
            <w:vAlign w:val="center"/>
          </w:tcPr>
          <w:p w14:paraId="21AE9FE9" w14:textId="77777777" w:rsidR="0046431A" w:rsidRPr="0046431A" w:rsidRDefault="0046431A" w:rsidP="0046431A">
            <w:pPr>
              <w:widowControl w:val="0"/>
              <w:rPr>
                <w:rFonts w:ascii="Arial Narrow" w:eastAsia="Calibri" w:hAnsi="Arial Narrow"/>
                <w:b/>
                <w:bCs/>
                <w:sz w:val="20"/>
                <w:szCs w:val="20"/>
                <w:lang w:val="bg-BG"/>
              </w:rPr>
            </w:pPr>
            <w:r w:rsidRPr="0046431A">
              <w:rPr>
                <w:rFonts w:ascii="Arial Narrow" w:eastAsia="Calibri" w:hAnsi="Arial Narrow"/>
                <w:b/>
                <w:bCs/>
                <w:sz w:val="20"/>
                <w:szCs w:val="20"/>
                <w:lang w:val="bg-BG"/>
              </w:rPr>
              <w:t>ІV. Одобрени обекти по чл. 55 от Закона за фуражите</w:t>
            </w:r>
          </w:p>
        </w:tc>
        <w:tc>
          <w:tcPr>
            <w:tcW w:w="967" w:type="pct"/>
            <w:noWrap/>
            <w:vAlign w:val="center"/>
          </w:tcPr>
          <w:p w14:paraId="4339798C" w14:textId="77777777" w:rsidR="0046431A" w:rsidRPr="0046431A" w:rsidRDefault="0046431A" w:rsidP="0046431A">
            <w:pPr>
              <w:jc w:val="right"/>
              <w:rPr>
                <w:rFonts w:ascii="Arial Narrow" w:hAnsi="Arial Narrow"/>
                <w:sz w:val="20"/>
                <w:szCs w:val="20"/>
              </w:rPr>
            </w:pPr>
            <w:r w:rsidRPr="0046431A">
              <w:rPr>
                <w:rFonts w:ascii="Arial Narrow" w:eastAsia="Calibri" w:hAnsi="Arial Narrow"/>
                <w:sz w:val="20"/>
                <w:szCs w:val="20"/>
                <w:lang w:val="bg-BG"/>
              </w:rPr>
              <w:t>9</w:t>
            </w:r>
          </w:p>
        </w:tc>
      </w:tr>
      <w:tr w:rsidR="0046431A" w:rsidRPr="0046431A" w14:paraId="24725473" w14:textId="77777777" w:rsidTr="00FC709E">
        <w:trPr>
          <w:trHeight w:val="402"/>
        </w:trPr>
        <w:tc>
          <w:tcPr>
            <w:tcW w:w="4033" w:type="pct"/>
            <w:vAlign w:val="center"/>
          </w:tcPr>
          <w:p w14:paraId="79618991" w14:textId="77777777" w:rsidR="0046431A" w:rsidRPr="0046431A" w:rsidRDefault="0046431A" w:rsidP="0046431A">
            <w:pPr>
              <w:widowControl w:val="0"/>
              <w:rPr>
                <w:rFonts w:ascii="Arial Narrow" w:eastAsia="Calibri" w:hAnsi="Arial Narrow"/>
                <w:sz w:val="20"/>
                <w:szCs w:val="20"/>
                <w:lang w:val="bg-BG"/>
              </w:rPr>
            </w:pPr>
            <w:r w:rsidRPr="0046431A">
              <w:rPr>
                <w:rFonts w:ascii="Arial Narrow" w:eastAsia="Calibri" w:hAnsi="Arial Narrow"/>
                <w:sz w:val="20"/>
                <w:szCs w:val="20"/>
                <w:lang w:val="bg-BG"/>
              </w:rPr>
              <w:t>1. Производители на медикаментозни фуражи</w:t>
            </w:r>
          </w:p>
        </w:tc>
        <w:tc>
          <w:tcPr>
            <w:tcW w:w="967" w:type="pct"/>
            <w:noWrap/>
            <w:vAlign w:val="center"/>
          </w:tcPr>
          <w:p w14:paraId="2DE77B4F" w14:textId="77777777" w:rsidR="0046431A" w:rsidRPr="0046431A" w:rsidRDefault="0046431A" w:rsidP="0046431A">
            <w:pPr>
              <w:jc w:val="right"/>
              <w:rPr>
                <w:rFonts w:ascii="Arial Narrow" w:hAnsi="Arial Narrow"/>
                <w:sz w:val="20"/>
                <w:szCs w:val="20"/>
              </w:rPr>
            </w:pPr>
            <w:r w:rsidRPr="0046431A">
              <w:rPr>
                <w:rFonts w:ascii="Arial Narrow" w:eastAsia="Calibri" w:hAnsi="Arial Narrow"/>
                <w:sz w:val="20"/>
                <w:szCs w:val="20"/>
                <w:lang w:val="bg-BG"/>
              </w:rPr>
              <w:t>9</w:t>
            </w:r>
          </w:p>
        </w:tc>
      </w:tr>
      <w:tr w:rsidR="0046431A" w:rsidRPr="0046431A" w14:paraId="35AC8B49" w14:textId="77777777" w:rsidTr="00FC709E">
        <w:trPr>
          <w:trHeight w:val="553"/>
        </w:trPr>
        <w:tc>
          <w:tcPr>
            <w:tcW w:w="4033" w:type="pct"/>
            <w:vAlign w:val="center"/>
          </w:tcPr>
          <w:p w14:paraId="511E95F2" w14:textId="77777777" w:rsidR="0046431A" w:rsidRPr="0046431A" w:rsidRDefault="0046431A" w:rsidP="0046431A">
            <w:pPr>
              <w:widowControl w:val="0"/>
              <w:rPr>
                <w:rFonts w:ascii="Arial Narrow" w:eastAsia="Calibri" w:hAnsi="Arial Narrow"/>
                <w:sz w:val="20"/>
                <w:szCs w:val="20"/>
                <w:lang w:val="bg-BG"/>
              </w:rPr>
            </w:pPr>
            <w:r w:rsidRPr="0046431A">
              <w:rPr>
                <w:rFonts w:ascii="Arial Narrow" w:eastAsia="Calibri" w:hAnsi="Arial Narrow"/>
                <w:b/>
                <w:sz w:val="20"/>
                <w:szCs w:val="20"/>
                <w:lang w:val="bg-BG"/>
              </w:rPr>
              <w:t>Общ брой  регистрирани и одобрени обекти/оператори, в които се упражняват дейности по чл. 9 и чл. 10 на Регламент (ЕО) 183/2005</w:t>
            </w:r>
          </w:p>
        </w:tc>
        <w:tc>
          <w:tcPr>
            <w:tcW w:w="967" w:type="pct"/>
            <w:noWrap/>
            <w:vAlign w:val="center"/>
          </w:tcPr>
          <w:p w14:paraId="1D6B3A69" w14:textId="77777777" w:rsidR="0046431A" w:rsidRPr="0046431A" w:rsidRDefault="0046431A" w:rsidP="0046431A">
            <w:pPr>
              <w:jc w:val="right"/>
              <w:rPr>
                <w:rFonts w:ascii="Arial Narrow" w:eastAsia="Calibri" w:hAnsi="Arial Narrow"/>
                <w:b/>
                <w:sz w:val="20"/>
                <w:szCs w:val="20"/>
                <w:lang w:val="bg-BG"/>
              </w:rPr>
            </w:pPr>
            <w:r w:rsidRPr="0046431A">
              <w:rPr>
                <w:rFonts w:ascii="Arial Narrow" w:eastAsia="Calibri" w:hAnsi="Arial Narrow"/>
                <w:b/>
                <w:sz w:val="20"/>
                <w:szCs w:val="20"/>
                <w:lang w:val="bg-BG"/>
              </w:rPr>
              <w:t>20 771</w:t>
            </w:r>
          </w:p>
        </w:tc>
      </w:tr>
    </w:tbl>
    <w:p w14:paraId="376851C0" w14:textId="77777777" w:rsidR="0046431A" w:rsidRPr="0046431A" w:rsidRDefault="0046431A" w:rsidP="0046431A">
      <w:pPr>
        <w:widowControl w:val="0"/>
        <w:overflowPunct w:val="0"/>
        <w:autoSpaceDE w:val="0"/>
        <w:autoSpaceDN w:val="0"/>
        <w:adjustRightInd w:val="0"/>
        <w:rPr>
          <w:rFonts w:ascii="Arial Narrow" w:eastAsia="Calibri" w:hAnsi="Arial Narrow"/>
          <w:bCs/>
          <w:iCs/>
          <w:sz w:val="18"/>
          <w:szCs w:val="18"/>
          <w:lang w:val="bg-BG"/>
        </w:rPr>
      </w:pPr>
      <w:r w:rsidRPr="0046431A">
        <w:rPr>
          <w:rFonts w:ascii="Arial Narrow" w:eastAsia="Calibri" w:hAnsi="Arial Narrow"/>
          <w:bCs/>
          <w:i/>
          <w:iCs/>
          <w:sz w:val="18"/>
          <w:szCs w:val="18"/>
          <w:lang w:val="bg-BG"/>
        </w:rPr>
        <w:t xml:space="preserve">Източник: </w:t>
      </w:r>
      <w:r w:rsidRPr="0046431A">
        <w:rPr>
          <w:rFonts w:ascii="Arial Narrow" w:eastAsia="Calibri" w:hAnsi="Arial Narrow"/>
          <w:bCs/>
          <w:iCs/>
          <w:sz w:val="18"/>
          <w:szCs w:val="18"/>
          <w:lang w:val="bg-BG"/>
        </w:rPr>
        <w:t xml:space="preserve">БАБХ и МЗХ; </w:t>
      </w:r>
    </w:p>
    <w:p w14:paraId="3815119C" w14:textId="77777777" w:rsidR="0046431A" w:rsidRPr="0046431A" w:rsidRDefault="0046431A" w:rsidP="0046431A">
      <w:pPr>
        <w:widowControl w:val="0"/>
        <w:overflowPunct w:val="0"/>
        <w:autoSpaceDE w:val="0"/>
        <w:autoSpaceDN w:val="0"/>
        <w:adjustRightInd w:val="0"/>
        <w:rPr>
          <w:rFonts w:ascii="Arial Narrow" w:eastAsia="Calibri" w:hAnsi="Arial Narrow"/>
          <w:bCs/>
          <w:iCs/>
          <w:sz w:val="18"/>
          <w:szCs w:val="18"/>
          <w:lang w:val="bg-BG"/>
        </w:rPr>
      </w:pPr>
      <w:r w:rsidRPr="0046431A">
        <w:rPr>
          <w:rFonts w:ascii="Arial Narrow" w:eastAsia="Calibri" w:hAnsi="Arial Narrow"/>
          <w:bCs/>
          <w:iCs/>
          <w:sz w:val="18"/>
          <w:szCs w:val="18"/>
          <w:lang w:val="bg-BG"/>
        </w:rPr>
        <w:t xml:space="preserve">* Съгласно ЗИД на Закона за фуражите обн. в ДВ бр. 21 от 12.03.2024 г. в обхвата на Закона за фуражите попадат и търговците на храни за </w:t>
      </w:r>
      <w:r w:rsidRPr="0046431A">
        <w:rPr>
          <w:rFonts w:ascii="Arial Narrow" w:eastAsia="Calibri" w:hAnsi="Arial Narrow"/>
          <w:bCs/>
          <w:iCs/>
          <w:sz w:val="18"/>
          <w:szCs w:val="18"/>
          <w:lang w:val="bg-BG"/>
        </w:rPr>
        <w:lastRenderedPageBreak/>
        <w:t>домашни любимци на дребно</w:t>
      </w:r>
    </w:p>
    <w:p w14:paraId="1B5165DD" w14:textId="77777777" w:rsidR="0046431A" w:rsidRPr="0046431A" w:rsidRDefault="0046431A" w:rsidP="0046431A">
      <w:pPr>
        <w:widowControl w:val="0"/>
        <w:overflowPunct w:val="0"/>
        <w:autoSpaceDE w:val="0"/>
        <w:autoSpaceDN w:val="0"/>
        <w:adjustRightInd w:val="0"/>
        <w:spacing w:after="120"/>
        <w:rPr>
          <w:rFonts w:ascii="Arial Narrow" w:eastAsia="Calibri" w:hAnsi="Arial Narrow"/>
          <w:sz w:val="18"/>
          <w:szCs w:val="18"/>
          <w:lang w:val="bg-BG"/>
        </w:rPr>
      </w:pPr>
      <w:r w:rsidRPr="0046431A">
        <w:rPr>
          <w:rFonts w:ascii="Arial Narrow" w:eastAsia="Calibri" w:hAnsi="Arial Narrow"/>
          <w:bCs/>
          <w:iCs/>
          <w:sz w:val="18"/>
          <w:szCs w:val="18"/>
          <w:lang w:val="bg-BG"/>
        </w:rPr>
        <w:t>** В т. ч. 9 броя одобрени обекти за производство и/или търговия с медикаментозни фуражи и/или междинни продукти по чл. 55 в, ал. 1 от Закона за фуражите.</w:t>
      </w:r>
    </w:p>
    <w:p w14:paraId="1CBDA11C" w14:textId="77777777" w:rsidR="0046431A" w:rsidRPr="0046431A" w:rsidRDefault="0046431A" w:rsidP="0046431A">
      <w:pPr>
        <w:spacing w:after="120"/>
        <w:ind w:firstLine="600"/>
        <w:jc w:val="both"/>
        <w:rPr>
          <w:rFonts w:ascii="Arial Narrow" w:hAnsi="Arial Narrow"/>
          <w:lang w:val="bg-BG" w:eastAsia="bg-BG"/>
        </w:rPr>
      </w:pPr>
      <w:r w:rsidRPr="0046431A">
        <w:rPr>
          <w:rFonts w:ascii="Arial Narrow" w:hAnsi="Arial Narrow"/>
          <w:lang w:val="bg-BG" w:eastAsia="bg-BG"/>
        </w:rPr>
        <w:t>БАБХ поддържа и актуализира 7 национални регистъра на регистрираните и на одобрените обекти/оператори във фуражния сектор за дейностите, определени в чл. 9 и чл. 10 от Регламент (ЕО) № 183/2005. Същите са публични и са достъпни за потребителите на интернет сайта на БАБХ, както и на</w:t>
      </w:r>
      <w:r w:rsidRPr="0046431A">
        <w:rPr>
          <w:bCs/>
          <w:lang w:val="bg-BG" w:eastAsia="bg-BG"/>
        </w:rPr>
        <w:t xml:space="preserve"> </w:t>
      </w:r>
      <w:r w:rsidRPr="0046431A">
        <w:rPr>
          <w:rFonts w:ascii="Arial Narrow" w:hAnsi="Arial Narrow"/>
          <w:lang w:val="bg-BG" w:eastAsia="bg-BG"/>
        </w:rPr>
        <w:t>сайта на Главна дирекция „Здравеопазване и безопасност на храните” към Европейската комисия.</w:t>
      </w:r>
    </w:p>
    <w:p w14:paraId="31DA7023" w14:textId="77777777" w:rsidR="0046431A" w:rsidRPr="0046431A" w:rsidRDefault="0046431A" w:rsidP="0046431A">
      <w:pPr>
        <w:spacing w:after="120"/>
        <w:ind w:firstLine="709"/>
        <w:jc w:val="both"/>
        <w:rPr>
          <w:rFonts w:ascii="Arial Narrow" w:eastAsia="Calibri" w:hAnsi="Arial Narrow"/>
          <w:lang w:val="bg-BG"/>
        </w:rPr>
      </w:pPr>
      <w:r w:rsidRPr="0046431A">
        <w:rPr>
          <w:rFonts w:ascii="Arial Narrow" w:hAnsi="Arial Narrow"/>
          <w:lang w:val="bg-BG" w:eastAsia="bg-BG"/>
        </w:rPr>
        <w:t>Съгласно подписани двустранни споразумения между Китайската народна република (КНР) и Република България, през 2024 г. БАБХ поддържа и 6 списъка на одобрените за износ за КНР представители или производители на определени фуражни продукти (царевица, люцерна, комбинирани фуражи на растителна основа, фуражни добавки, слънчогледов шрот и сух зърнен</w:t>
      </w:r>
      <w:r w:rsidRPr="0046431A">
        <w:rPr>
          <w:rFonts w:ascii="Arial Narrow" w:eastAsia="Calibri" w:hAnsi="Arial Narrow"/>
          <w:lang w:val="bg-BG"/>
        </w:rPr>
        <w:t xml:space="preserve"> спиртоварен остатък с извлеци).</w:t>
      </w:r>
    </w:p>
    <w:p w14:paraId="240CB4B3" w14:textId="77777777" w:rsidR="0046431A" w:rsidRDefault="0046431A" w:rsidP="0046431A">
      <w:pPr>
        <w:spacing w:after="120"/>
        <w:ind w:firstLine="709"/>
        <w:jc w:val="both"/>
        <w:rPr>
          <w:rFonts w:ascii="Arial Narrow" w:hAnsi="Arial Narrow"/>
          <w:lang w:val="bg-BG" w:eastAsia="bg-BG"/>
        </w:rPr>
      </w:pPr>
      <w:r w:rsidRPr="0046431A">
        <w:rPr>
          <w:rFonts w:ascii="Arial Narrow" w:hAnsi="Arial Narrow"/>
          <w:lang w:val="bg-BG" w:eastAsia="bg-BG"/>
        </w:rPr>
        <w:t xml:space="preserve">Операторите в сектор „Фуражи” се регистрират и/или одобряват за всички обекти под техен контрол, за всяка извършвана от тях дейност. Регистрацията и одобрението на обектите в сектор „Фуражи” е динамичен процес. </w:t>
      </w:r>
    </w:p>
    <w:p w14:paraId="167D0388" w14:textId="77777777" w:rsidR="006D1710" w:rsidRPr="0046431A" w:rsidRDefault="006D1710" w:rsidP="0046431A">
      <w:pPr>
        <w:spacing w:after="120"/>
        <w:ind w:firstLine="709"/>
        <w:jc w:val="both"/>
        <w:rPr>
          <w:rFonts w:ascii="Arial Narrow" w:hAnsi="Arial Narrow"/>
          <w:lang w:val="bg-BG" w:eastAsia="bg-BG"/>
        </w:rPr>
      </w:pPr>
    </w:p>
    <w:p w14:paraId="54FD3D57" w14:textId="77777777" w:rsidR="0046431A" w:rsidRPr="0046431A" w:rsidRDefault="00F214AB" w:rsidP="0046431A">
      <w:pPr>
        <w:spacing w:after="120"/>
        <w:jc w:val="both"/>
        <w:rPr>
          <w:rFonts w:ascii="Arial Narrow" w:hAnsi="Arial Narrow"/>
          <w:b/>
          <w:bCs/>
          <w:lang w:val="bg-BG" w:eastAsia="bg-BG"/>
        </w:rPr>
      </w:pPr>
      <w:r>
        <w:rPr>
          <w:rFonts w:ascii="Arial Narrow" w:hAnsi="Arial Narrow"/>
          <w:b/>
          <w:bCs/>
          <w:lang w:val="bg-BG" w:eastAsia="bg-BG"/>
        </w:rPr>
        <w:t>Таблица V.13</w:t>
      </w:r>
      <w:r w:rsidR="0046431A" w:rsidRPr="0046431A">
        <w:rPr>
          <w:rFonts w:ascii="Arial Narrow" w:hAnsi="Arial Narrow"/>
          <w:b/>
          <w:bCs/>
          <w:lang w:val="bg-BG" w:eastAsia="bg-BG"/>
        </w:rPr>
        <w:t xml:space="preserve">. Брой регистрирани и одобрени обекти във фуражния сектор през 2023 - 2024 г. </w:t>
      </w:r>
    </w:p>
    <w:tbl>
      <w:tblPr>
        <w:tblW w:w="4878" w:type="pct"/>
        <w:tblInd w:w="108" w:type="dxa"/>
        <w:tblBorders>
          <w:top w:val="single" w:sz="4" w:space="0" w:color="000000"/>
          <w:left w:val="single" w:sz="4" w:space="0" w:color="000000"/>
          <w:bottom w:val="single" w:sz="4" w:space="0" w:color="auto"/>
          <w:right w:val="single" w:sz="4" w:space="0" w:color="000000"/>
          <w:insideH w:val="single" w:sz="4" w:space="0" w:color="000000"/>
          <w:insideV w:val="single" w:sz="4" w:space="0" w:color="000000"/>
        </w:tblBorders>
        <w:tblLook w:val="01E0" w:firstRow="1" w:lastRow="1" w:firstColumn="1" w:lastColumn="1" w:noHBand="0" w:noVBand="0"/>
      </w:tblPr>
      <w:tblGrid>
        <w:gridCol w:w="618"/>
        <w:gridCol w:w="4214"/>
        <w:gridCol w:w="1656"/>
        <w:gridCol w:w="1658"/>
        <w:gridCol w:w="1415"/>
      </w:tblGrid>
      <w:tr w:rsidR="0046431A" w:rsidRPr="0046431A" w14:paraId="04C73F33" w14:textId="77777777" w:rsidTr="006D1710">
        <w:trPr>
          <w:trHeight w:val="805"/>
          <w:tblHeader/>
        </w:trPr>
        <w:tc>
          <w:tcPr>
            <w:tcW w:w="323" w:type="pct"/>
            <w:vAlign w:val="center"/>
            <w:hideMark/>
          </w:tcPr>
          <w:p w14:paraId="122710A5" w14:textId="77777777" w:rsidR="0046431A" w:rsidRPr="0046431A" w:rsidRDefault="0046431A" w:rsidP="0046431A">
            <w:pPr>
              <w:widowControl w:val="0"/>
              <w:jc w:val="center"/>
              <w:rPr>
                <w:rFonts w:ascii="Arial Narrow" w:hAnsi="Arial Narrow"/>
                <w:b/>
                <w:sz w:val="20"/>
                <w:szCs w:val="20"/>
                <w:lang w:val="bg-BG"/>
              </w:rPr>
            </w:pPr>
            <w:r w:rsidRPr="0046431A">
              <w:rPr>
                <w:rFonts w:ascii="Arial Narrow" w:hAnsi="Arial Narrow"/>
                <w:b/>
                <w:sz w:val="20"/>
                <w:szCs w:val="20"/>
                <w:lang w:val="bg-BG"/>
              </w:rPr>
              <w:t>№ по ред</w:t>
            </w:r>
          </w:p>
        </w:tc>
        <w:tc>
          <w:tcPr>
            <w:tcW w:w="2204" w:type="pct"/>
            <w:vAlign w:val="center"/>
            <w:hideMark/>
          </w:tcPr>
          <w:p w14:paraId="7FB63BD7" w14:textId="77777777" w:rsidR="0046431A" w:rsidRPr="0046431A" w:rsidRDefault="0046431A" w:rsidP="0046431A">
            <w:pPr>
              <w:widowControl w:val="0"/>
              <w:ind w:left="605"/>
              <w:jc w:val="center"/>
              <w:rPr>
                <w:rFonts w:ascii="Arial Narrow" w:hAnsi="Arial Narrow"/>
                <w:b/>
                <w:sz w:val="20"/>
                <w:szCs w:val="20"/>
                <w:lang w:val="bg-BG"/>
              </w:rPr>
            </w:pPr>
            <w:r w:rsidRPr="0046431A">
              <w:rPr>
                <w:rFonts w:ascii="Arial Narrow" w:hAnsi="Arial Narrow"/>
                <w:b/>
                <w:sz w:val="20"/>
                <w:szCs w:val="20"/>
                <w:lang w:val="bg-BG"/>
              </w:rPr>
              <w:t>Вид на оператора</w:t>
            </w:r>
          </w:p>
        </w:tc>
        <w:tc>
          <w:tcPr>
            <w:tcW w:w="866" w:type="pct"/>
            <w:vAlign w:val="center"/>
            <w:hideMark/>
          </w:tcPr>
          <w:p w14:paraId="0D22A643" w14:textId="77777777" w:rsidR="0046431A" w:rsidRPr="0046431A" w:rsidRDefault="0046431A" w:rsidP="0046431A">
            <w:pPr>
              <w:widowControl w:val="0"/>
              <w:jc w:val="center"/>
              <w:rPr>
                <w:rFonts w:ascii="Arial Narrow" w:hAnsi="Arial Narrow"/>
                <w:b/>
                <w:sz w:val="20"/>
                <w:szCs w:val="20"/>
                <w:lang w:val="bg-BG"/>
              </w:rPr>
            </w:pPr>
            <w:r w:rsidRPr="0046431A">
              <w:rPr>
                <w:rFonts w:ascii="Arial Narrow" w:hAnsi="Arial Narrow"/>
                <w:b/>
                <w:sz w:val="20"/>
                <w:szCs w:val="20"/>
                <w:lang w:val="bg-BG"/>
              </w:rPr>
              <w:t>Брой обекти към 31.12.2023 г.</w:t>
            </w:r>
          </w:p>
        </w:tc>
        <w:tc>
          <w:tcPr>
            <w:tcW w:w="867" w:type="pct"/>
            <w:vAlign w:val="center"/>
          </w:tcPr>
          <w:p w14:paraId="05511543" w14:textId="77777777" w:rsidR="0046431A" w:rsidRPr="0046431A" w:rsidRDefault="0046431A" w:rsidP="0046431A">
            <w:pPr>
              <w:widowControl w:val="0"/>
              <w:jc w:val="center"/>
              <w:rPr>
                <w:rFonts w:ascii="Arial Narrow" w:hAnsi="Arial Narrow"/>
                <w:b/>
                <w:sz w:val="20"/>
                <w:szCs w:val="20"/>
                <w:lang w:val="bg-BG"/>
              </w:rPr>
            </w:pPr>
            <w:r w:rsidRPr="0046431A">
              <w:rPr>
                <w:rFonts w:ascii="Arial Narrow" w:hAnsi="Arial Narrow"/>
                <w:b/>
                <w:sz w:val="20"/>
                <w:szCs w:val="20"/>
                <w:lang w:val="bg-BG"/>
              </w:rPr>
              <w:t>Брой обекти към 31.12.2024 г.</w:t>
            </w:r>
          </w:p>
        </w:tc>
        <w:tc>
          <w:tcPr>
            <w:tcW w:w="741" w:type="pct"/>
            <w:vAlign w:val="center"/>
          </w:tcPr>
          <w:p w14:paraId="12A9524E" w14:textId="77777777" w:rsidR="0046431A" w:rsidRPr="0046431A" w:rsidRDefault="0046431A" w:rsidP="0046431A">
            <w:pPr>
              <w:widowControl w:val="0"/>
              <w:jc w:val="center"/>
              <w:rPr>
                <w:rFonts w:ascii="Arial Narrow" w:hAnsi="Arial Narrow"/>
                <w:b/>
                <w:sz w:val="20"/>
                <w:szCs w:val="20"/>
                <w:lang w:val="bg-BG"/>
              </w:rPr>
            </w:pPr>
            <w:r w:rsidRPr="0046431A">
              <w:rPr>
                <w:rFonts w:ascii="Arial Narrow" w:hAnsi="Arial Narrow"/>
                <w:b/>
                <w:sz w:val="20"/>
                <w:szCs w:val="20"/>
                <w:lang w:val="bg-BG"/>
              </w:rPr>
              <w:t>Изменение в %</w:t>
            </w:r>
          </w:p>
        </w:tc>
      </w:tr>
      <w:tr w:rsidR="0046431A" w:rsidRPr="0046431A" w14:paraId="13A9F599" w14:textId="77777777" w:rsidTr="006D1710">
        <w:trPr>
          <w:trHeight w:val="567"/>
        </w:trPr>
        <w:tc>
          <w:tcPr>
            <w:tcW w:w="323" w:type="pct"/>
            <w:vAlign w:val="center"/>
          </w:tcPr>
          <w:p w14:paraId="6AD0383A" w14:textId="77777777" w:rsidR="0046431A" w:rsidRPr="0046431A" w:rsidRDefault="0046431A" w:rsidP="0046431A">
            <w:pPr>
              <w:widowControl w:val="0"/>
              <w:rPr>
                <w:rFonts w:ascii="Arial Narrow" w:hAnsi="Arial Narrow"/>
                <w:b/>
                <w:sz w:val="20"/>
                <w:szCs w:val="20"/>
                <w:lang w:val="bg-BG"/>
              </w:rPr>
            </w:pPr>
            <w:r w:rsidRPr="0046431A">
              <w:rPr>
                <w:rFonts w:ascii="Arial Narrow" w:hAnsi="Arial Narrow"/>
                <w:b/>
                <w:sz w:val="20"/>
                <w:szCs w:val="20"/>
                <w:lang w:val="bg-BG"/>
              </w:rPr>
              <w:t>1.</w:t>
            </w:r>
          </w:p>
        </w:tc>
        <w:tc>
          <w:tcPr>
            <w:tcW w:w="2204" w:type="pct"/>
            <w:vAlign w:val="center"/>
          </w:tcPr>
          <w:p w14:paraId="510A0BD2" w14:textId="77777777" w:rsidR="0046431A" w:rsidRPr="0046431A" w:rsidRDefault="0046431A" w:rsidP="0046431A">
            <w:pPr>
              <w:widowControl w:val="0"/>
              <w:rPr>
                <w:rFonts w:ascii="Arial Narrow" w:hAnsi="Arial Narrow"/>
                <w:b/>
                <w:sz w:val="20"/>
                <w:szCs w:val="20"/>
                <w:lang w:val="bg-BG"/>
              </w:rPr>
            </w:pPr>
            <w:r w:rsidRPr="0046431A">
              <w:rPr>
                <w:rFonts w:ascii="Arial Narrow" w:hAnsi="Arial Narrow"/>
                <w:b/>
                <w:sz w:val="20"/>
                <w:szCs w:val="20"/>
                <w:lang w:val="bg-BG"/>
              </w:rPr>
              <w:t xml:space="preserve">Регистрирани оператори съгласно чл. 15, ал. 1 от Закона за фуражите </w:t>
            </w:r>
          </w:p>
        </w:tc>
        <w:tc>
          <w:tcPr>
            <w:tcW w:w="866" w:type="pct"/>
            <w:vAlign w:val="center"/>
          </w:tcPr>
          <w:p w14:paraId="09744FC8" w14:textId="77777777" w:rsidR="0046431A" w:rsidRPr="0046431A" w:rsidRDefault="0046431A" w:rsidP="0046431A">
            <w:pPr>
              <w:widowControl w:val="0"/>
              <w:ind w:left="607"/>
              <w:jc w:val="right"/>
              <w:rPr>
                <w:rFonts w:ascii="Arial Narrow" w:eastAsia="Calibri" w:hAnsi="Arial Narrow"/>
                <w:b/>
                <w:sz w:val="20"/>
                <w:szCs w:val="20"/>
                <w:lang w:val="bg-BG"/>
              </w:rPr>
            </w:pPr>
            <w:r w:rsidRPr="0046431A">
              <w:rPr>
                <w:rFonts w:ascii="Arial Narrow" w:eastAsia="Calibri" w:hAnsi="Arial Narrow"/>
                <w:b/>
                <w:sz w:val="20"/>
                <w:szCs w:val="20"/>
                <w:lang w:val="bg-BG"/>
              </w:rPr>
              <w:t>4 357</w:t>
            </w:r>
          </w:p>
        </w:tc>
        <w:tc>
          <w:tcPr>
            <w:tcW w:w="867" w:type="pct"/>
            <w:shd w:val="clear" w:color="auto" w:fill="auto"/>
            <w:vAlign w:val="center"/>
          </w:tcPr>
          <w:p w14:paraId="4E2572FD" w14:textId="77777777" w:rsidR="0046431A" w:rsidRPr="0046431A" w:rsidRDefault="0046431A" w:rsidP="0046431A">
            <w:pPr>
              <w:widowControl w:val="0"/>
              <w:ind w:left="607"/>
              <w:jc w:val="right"/>
              <w:rPr>
                <w:rFonts w:ascii="Arial Narrow" w:eastAsia="Calibri" w:hAnsi="Arial Narrow"/>
                <w:b/>
                <w:sz w:val="20"/>
                <w:szCs w:val="20"/>
                <w:lang w:val="bg-BG"/>
              </w:rPr>
            </w:pPr>
            <w:r w:rsidRPr="0046431A">
              <w:rPr>
                <w:rFonts w:ascii="Arial Narrow" w:eastAsia="Calibri" w:hAnsi="Arial Narrow"/>
                <w:b/>
                <w:sz w:val="20"/>
                <w:szCs w:val="20"/>
                <w:lang w:val="bg-BG"/>
              </w:rPr>
              <w:t>12 268</w:t>
            </w:r>
          </w:p>
        </w:tc>
        <w:tc>
          <w:tcPr>
            <w:tcW w:w="741" w:type="pct"/>
            <w:shd w:val="clear" w:color="auto" w:fill="auto"/>
            <w:vAlign w:val="center"/>
          </w:tcPr>
          <w:p w14:paraId="0DB92AC1" w14:textId="77777777" w:rsidR="0046431A" w:rsidRPr="0046431A" w:rsidRDefault="0046431A" w:rsidP="0046431A">
            <w:pPr>
              <w:widowControl w:val="0"/>
              <w:ind w:left="607"/>
              <w:jc w:val="right"/>
              <w:rPr>
                <w:rFonts w:ascii="Arial Narrow" w:eastAsia="Calibri" w:hAnsi="Arial Narrow"/>
                <w:b/>
                <w:sz w:val="20"/>
                <w:szCs w:val="20"/>
              </w:rPr>
            </w:pPr>
            <w:r w:rsidRPr="0046431A">
              <w:rPr>
                <w:rFonts w:ascii="Arial Narrow" w:eastAsia="Calibri" w:hAnsi="Arial Narrow"/>
                <w:b/>
                <w:sz w:val="20"/>
                <w:szCs w:val="20"/>
                <w:lang w:val="bg-BG"/>
              </w:rPr>
              <w:t>181,6</w:t>
            </w:r>
            <w:r w:rsidRPr="0046431A">
              <w:rPr>
                <w:rFonts w:ascii="Arial Narrow" w:eastAsia="Calibri" w:hAnsi="Arial Narrow"/>
                <w:b/>
                <w:sz w:val="20"/>
                <w:szCs w:val="20"/>
              </w:rPr>
              <w:t>%</w:t>
            </w:r>
          </w:p>
        </w:tc>
      </w:tr>
      <w:tr w:rsidR="0046431A" w:rsidRPr="0046431A" w14:paraId="7312931F" w14:textId="77777777" w:rsidTr="006D1710">
        <w:trPr>
          <w:trHeight w:val="340"/>
        </w:trPr>
        <w:tc>
          <w:tcPr>
            <w:tcW w:w="323" w:type="pct"/>
            <w:vAlign w:val="center"/>
          </w:tcPr>
          <w:p w14:paraId="7A3FACFE" w14:textId="77777777" w:rsidR="0046431A" w:rsidRPr="0046431A" w:rsidRDefault="0046431A" w:rsidP="0046431A">
            <w:pPr>
              <w:widowControl w:val="0"/>
              <w:rPr>
                <w:rFonts w:ascii="Arial Narrow" w:hAnsi="Arial Narrow"/>
                <w:sz w:val="20"/>
                <w:szCs w:val="20"/>
                <w:lang w:val="bg-BG"/>
              </w:rPr>
            </w:pPr>
            <w:r w:rsidRPr="0046431A">
              <w:rPr>
                <w:rFonts w:ascii="Arial Narrow" w:hAnsi="Arial Narrow"/>
                <w:sz w:val="20"/>
                <w:szCs w:val="20"/>
                <w:lang w:val="bg-BG"/>
              </w:rPr>
              <w:t>1.1.</w:t>
            </w:r>
          </w:p>
        </w:tc>
        <w:tc>
          <w:tcPr>
            <w:tcW w:w="2204" w:type="pct"/>
            <w:vAlign w:val="center"/>
            <w:hideMark/>
          </w:tcPr>
          <w:p w14:paraId="77DC983D" w14:textId="77777777" w:rsidR="0046431A" w:rsidRPr="0046431A" w:rsidRDefault="0046431A" w:rsidP="0046431A">
            <w:pPr>
              <w:widowControl w:val="0"/>
              <w:rPr>
                <w:rFonts w:ascii="Arial Narrow" w:hAnsi="Arial Narrow"/>
                <w:sz w:val="20"/>
                <w:szCs w:val="20"/>
                <w:lang w:val="bg-BG"/>
              </w:rPr>
            </w:pPr>
            <w:r w:rsidRPr="0046431A">
              <w:rPr>
                <w:rFonts w:ascii="Arial Narrow" w:hAnsi="Arial Narrow"/>
                <w:sz w:val="20"/>
                <w:szCs w:val="20"/>
                <w:lang w:val="bg-BG"/>
              </w:rPr>
              <w:t>Производители на комбинирани фуражи</w:t>
            </w:r>
          </w:p>
        </w:tc>
        <w:tc>
          <w:tcPr>
            <w:tcW w:w="866" w:type="pct"/>
            <w:vAlign w:val="center"/>
          </w:tcPr>
          <w:p w14:paraId="64C941B0" w14:textId="77777777" w:rsidR="0046431A" w:rsidRPr="0046431A" w:rsidRDefault="0046431A" w:rsidP="0046431A">
            <w:pPr>
              <w:widowControl w:val="0"/>
              <w:ind w:left="607"/>
              <w:jc w:val="right"/>
              <w:rPr>
                <w:rFonts w:ascii="Arial Narrow" w:eastAsia="Calibri" w:hAnsi="Arial Narrow"/>
                <w:sz w:val="20"/>
                <w:szCs w:val="20"/>
                <w:lang w:val="bg-BG"/>
              </w:rPr>
            </w:pPr>
            <w:r w:rsidRPr="0046431A">
              <w:rPr>
                <w:rFonts w:ascii="Arial Narrow" w:eastAsia="Calibri" w:hAnsi="Arial Narrow"/>
                <w:sz w:val="20"/>
                <w:szCs w:val="20"/>
                <w:lang w:val="bg-BG"/>
              </w:rPr>
              <w:t>276</w:t>
            </w:r>
          </w:p>
        </w:tc>
        <w:tc>
          <w:tcPr>
            <w:tcW w:w="867" w:type="pct"/>
            <w:vAlign w:val="center"/>
          </w:tcPr>
          <w:p w14:paraId="17E9DB93" w14:textId="77777777" w:rsidR="0046431A" w:rsidRPr="0046431A" w:rsidRDefault="0046431A" w:rsidP="0046431A">
            <w:pPr>
              <w:widowControl w:val="0"/>
              <w:ind w:left="607"/>
              <w:jc w:val="right"/>
              <w:rPr>
                <w:rFonts w:ascii="Arial Narrow" w:eastAsia="Calibri" w:hAnsi="Arial Narrow"/>
                <w:sz w:val="20"/>
                <w:szCs w:val="20"/>
                <w:lang w:val="bg-BG"/>
              </w:rPr>
            </w:pPr>
            <w:r w:rsidRPr="0046431A">
              <w:rPr>
                <w:rFonts w:ascii="Arial Narrow" w:eastAsia="Calibri" w:hAnsi="Arial Narrow"/>
                <w:sz w:val="20"/>
                <w:szCs w:val="20"/>
                <w:lang w:val="bg-BG"/>
              </w:rPr>
              <w:t>289</w:t>
            </w:r>
          </w:p>
        </w:tc>
        <w:tc>
          <w:tcPr>
            <w:tcW w:w="741" w:type="pct"/>
            <w:shd w:val="clear" w:color="auto" w:fill="auto"/>
            <w:vAlign w:val="center"/>
          </w:tcPr>
          <w:p w14:paraId="019959B1" w14:textId="77777777" w:rsidR="0046431A" w:rsidRPr="0046431A" w:rsidRDefault="0046431A" w:rsidP="0046431A">
            <w:pPr>
              <w:widowControl w:val="0"/>
              <w:ind w:left="607"/>
              <w:jc w:val="right"/>
              <w:rPr>
                <w:rFonts w:ascii="Arial Narrow" w:eastAsia="Calibri" w:hAnsi="Arial Narrow"/>
                <w:sz w:val="20"/>
                <w:szCs w:val="20"/>
              </w:rPr>
            </w:pPr>
            <w:r w:rsidRPr="0046431A">
              <w:rPr>
                <w:rFonts w:ascii="Arial Narrow" w:eastAsia="Calibri" w:hAnsi="Arial Narrow"/>
                <w:sz w:val="20"/>
                <w:szCs w:val="20"/>
                <w:lang w:val="bg-BG"/>
              </w:rPr>
              <w:t>4,7</w:t>
            </w:r>
            <w:r w:rsidRPr="0046431A">
              <w:rPr>
                <w:rFonts w:ascii="Arial Narrow" w:eastAsia="Calibri" w:hAnsi="Arial Narrow"/>
                <w:sz w:val="20"/>
                <w:szCs w:val="20"/>
              </w:rPr>
              <w:t>%</w:t>
            </w:r>
          </w:p>
        </w:tc>
      </w:tr>
      <w:tr w:rsidR="0046431A" w:rsidRPr="0046431A" w14:paraId="1D7CC177" w14:textId="77777777" w:rsidTr="006D1710">
        <w:trPr>
          <w:trHeight w:val="833"/>
        </w:trPr>
        <w:tc>
          <w:tcPr>
            <w:tcW w:w="323" w:type="pct"/>
            <w:vAlign w:val="center"/>
          </w:tcPr>
          <w:p w14:paraId="2AA2F277" w14:textId="77777777" w:rsidR="0046431A" w:rsidRPr="0046431A" w:rsidRDefault="0046431A" w:rsidP="0046431A">
            <w:pPr>
              <w:widowControl w:val="0"/>
              <w:rPr>
                <w:rFonts w:ascii="Arial Narrow" w:hAnsi="Arial Narrow"/>
                <w:sz w:val="20"/>
                <w:szCs w:val="20"/>
                <w:lang w:val="bg-BG"/>
              </w:rPr>
            </w:pPr>
            <w:r w:rsidRPr="0046431A">
              <w:rPr>
                <w:rFonts w:ascii="Arial Narrow" w:hAnsi="Arial Narrow"/>
                <w:sz w:val="20"/>
                <w:szCs w:val="20"/>
                <w:lang w:val="bg-BG"/>
              </w:rPr>
              <w:t>1.2.</w:t>
            </w:r>
          </w:p>
        </w:tc>
        <w:tc>
          <w:tcPr>
            <w:tcW w:w="2204" w:type="pct"/>
            <w:vAlign w:val="center"/>
            <w:hideMark/>
          </w:tcPr>
          <w:p w14:paraId="483C9B51" w14:textId="77777777" w:rsidR="0046431A" w:rsidRPr="0046431A" w:rsidRDefault="0046431A" w:rsidP="0046431A">
            <w:pPr>
              <w:widowControl w:val="0"/>
              <w:rPr>
                <w:rFonts w:ascii="Arial Narrow" w:hAnsi="Arial Narrow"/>
                <w:sz w:val="20"/>
                <w:szCs w:val="20"/>
                <w:lang w:val="bg-BG"/>
              </w:rPr>
            </w:pPr>
            <w:r w:rsidRPr="0046431A">
              <w:rPr>
                <w:rFonts w:ascii="Arial Narrow" w:hAnsi="Arial Narrow"/>
                <w:sz w:val="20"/>
                <w:szCs w:val="20"/>
                <w:lang w:val="bg-BG"/>
              </w:rPr>
              <w:t>Оператори, извършващи дейности разфасоване, пакетиране, препакетиране, етикетиране и търговия с комбинирани фуражи и фуражни суровини</w:t>
            </w:r>
          </w:p>
        </w:tc>
        <w:tc>
          <w:tcPr>
            <w:tcW w:w="866" w:type="pct"/>
            <w:vAlign w:val="center"/>
          </w:tcPr>
          <w:p w14:paraId="581F5554" w14:textId="77777777" w:rsidR="0046431A" w:rsidRPr="0046431A" w:rsidRDefault="0046431A" w:rsidP="0046431A">
            <w:pPr>
              <w:widowControl w:val="0"/>
              <w:ind w:left="607"/>
              <w:jc w:val="right"/>
              <w:rPr>
                <w:rFonts w:ascii="Arial Narrow" w:eastAsia="Calibri" w:hAnsi="Arial Narrow"/>
                <w:sz w:val="20"/>
                <w:szCs w:val="20"/>
                <w:lang w:val="bg-BG"/>
              </w:rPr>
            </w:pPr>
            <w:r w:rsidRPr="0046431A">
              <w:rPr>
                <w:rFonts w:ascii="Arial Narrow" w:eastAsia="Calibri" w:hAnsi="Arial Narrow"/>
                <w:sz w:val="20"/>
                <w:szCs w:val="20"/>
                <w:lang w:val="bg-BG"/>
              </w:rPr>
              <w:t>54</w:t>
            </w:r>
          </w:p>
        </w:tc>
        <w:tc>
          <w:tcPr>
            <w:tcW w:w="867" w:type="pct"/>
            <w:vAlign w:val="center"/>
          </w:tcPr>
          <w:p w14:paraId="45196EBA" w14:textId="77777777" w:rsidR="0046431A" w:rsidRPr="0046431A" w:rsidRDefault="0046431A" w:rsidP="0046431A">
            <w:pPr>
              <w:widowControl w:val="0"/>
              <w:ind w:left="607"/>
              <w:jc w:val="right"/>
              <w:rPr>
                <w:rFonts w:ascii="Arial Narrow" w:eastAsia="Calibri" w:hAnsi="Arial Narrow"/>
                <w:sz w:val="20"/>
                <w:szCs w:val="20"/>
                <w:lang w:val="bg-BG"/>
              </w:rPr>
            </w:pPr>
            <w:r w:rsidRPr="0046431A">
              <w:rPr>
                <w:rFonts w:ascii="Arial Narrow" w:eastAsia="Calibri" w:hAnsi="Arial Narrow"/>
                <w:sz w:val="20"/>
                <w:szCs w:val="20"/>
                <w:lang w:val="bg-BG"/>
              </w:rPr>
              <w:t>57</w:t>
            </w:r>
          </w:p>
        </w:tc>
        <w:tc>
          <w:tcPr>
            <w:tcW w:w="741" w:type="pct"/>
            <w:shd w:val="clear" w:color="auto" w:fill="auto"/>
            <w:vAlign w:val="center"/>
          </w:tcPr>
          <w:p w14:paraId="7BB9AF08" w14:textId="77777777" w:rsidR="0046431A" w:rsidRPr="0046431A" w:rsidRDefault="0046431A" w:rsidP="0046431A">
            <w:pPr>
              <w:widowControl w:val="0"/>
              <w:ind w:left="607"/>
              <w:jc w:val="right"/>
              <w:rPr>
                <w:rFonts w:ascii="Arial Narrow" w:eastAsia="Calibri" w:hAnsi="Arial Narrow"/>
                <w:sz w:val="20"/>
                <w:szCs w:val="20"/>
              </w:rPr>
            </w:pPr>
            <w:r w:rsidRPr="0046431A">
              <w:rPr>
                <w:rFonts w:ascii="Arial Narrow" w:eastAsia="Calibri" w:hAnsi="Arial Narrow"/>
                <w:sz w:val="20"/>
                <w:szCs w:val="20"/>
                <w:lang w:val="bg-BG"/>
              </w:rPr>
              <w:t>5,6</w:t>
            </w:r>
            <w:r w:rsidRPr="0046431A">
              <w:rPr>
                <w:rFonts w:ascii="Arial Narrow" w:eastAsia="Calibri" w:hAnsi="Arial Narrow"/>
                <w:sz w:val="20"/>
                <w:szCs w:val="20"/>
              </w:rPr>
              <w:t>%</w:t>
            </w:r>
          </w:p>
        </w:tc>
      </w:tr>
      <w:tr w:rsidR="0046431A" w:rsidRPr="0046431A" w14:paraId="23E4DA50" w14:textId="77777777" w:rsidTr="006D1710">
        <w:trPr>
          <w:trHeight w:val="567"/>
        </w:trPr>
        <w:tc>
          <w:tcPr>
            <w:tcW w:w="323" w:type="pct"/>
            <w:vAlign w:val="center"/>
          </w:tcPr>
          <w:p w14:paraId="5616B9F0" w14:textId="77777777" w:rsidR="0046431A" w:rsidRPr="0046431A" w:rsidRDefault="0046431A" w:rsidP="0046431A">
            <w:pPr>
              <w:widowControl w:val="0"/>
              <w:rPr>
                <w:rFonts w:ascii="Arial Narrow" w:hAnsi="Arial Narrow"/>
                <w:sz w:val="20"/>
                <w:szCs w:val="20"/>
                <w:lang w:val="bg-BG"/>
              </w:rPr>
            </w:pPr>
            <w:r w:rsidRPr="0046431A">
              <w:rPr>
                <w:rFonts w:ascii="Arial Narrow" w:hAnsi="Arial Narrow"/>
                <w:sz w:val="20"/>
                <w:szCs w:val="20"/>
                <w:lang w:val="bg-BG"/>
              </w:rPr>
              <w:t>1.3.</w:t>
            </w:r>
          </w:p>
        </w:tc>
        <w:tc>
          <w:tcPr>
            <w:tcW w:w="2204" w:type="pct"/>
            <w:vAlign w:val="center"/>
            <w:hideMark/>
          </w:tcPr>
          <w:p w14:paraId="40E7FF82" w14:textId="77777777" w:rsidR="0046431A" w:rsidRPr="0046431A" w:rsidRDefault="0046431A" w:rsidP="0046431A">
            <w:pPr>
              <w:widowControl w:val="0"/>
              <w:rPr>
                <w:rFonts w:ascii="Arial Narrow" w:hAnsi="Arial Narrow"/>
                <w:sz w:val="20"/>
                <w:szCs w:val="20"/>
                <w:lang w:val="bg-BG"/>
              </w:rPr>
            </w:pPr>
            <w:r w:rsidRPr="0046431A">
              <w:rPr>
                <w:rFonts w:ascii="Arial Narrow" w:hAnsi="Arial Narrow"/>
                <w:sz w:val="20"/>
                <w:szCs w:val="20"/>
                <w:lang w:val="bg-BG"/>
              </w:rPr>
              <w:t>Опаковане, етикетиране, съхранение и търговия на фуражи</w:t>
            </w:r>
          </w:p>
        </w:tc>
        <w:tc>
          <w:tcPr>
            <w:tcW w:w="866" w:type="pct"/>
            <w:vAlign w:val="center"/>
          </w:tcPr>
          <w:p w14:paraId="1F41F778" w14:textId="77777777" w:rsidR="0046431A" w:rsidRPr="0046431A" w:rsidRDefault="0046431A" w:rsidP="0046431A">
            <w:pPr>
              <w:widowControl w:val="0"/>
              <w:ind w:left="607"/>
              <w:jc w:val="right"/>
              <w:rPr>
                <w:rFonts w:ascii="Arial Narrow" w:eastAsia="Calibri" w:hAnsi="Arial Narrow"/>
                <w:sz w:val="20"/>
                <w:szCs w:val="20"/>
                <w:lang w:val="bg-BG"/>
              </w:rPr>
            </w:pPr>
            <w:r w:rsidRPr="0046431A">
              <w:rPr>
                <w:rFonts w:ascii="Arial Narrow" w:eastAsia="Calibri" w:hAnsi="Arial Narrow"/>
                <w:sz w:val="20"/>
                <w:szCs w:val="20"/>
                <w:lang w:val="bg-BG"/>
              </w:rPr>
              <w:t>17</w:t>
            </w:r>
          </w:p>
        </w:tc>
        <w:tc>
          <w:tcPr>
            <w:tcW w:w="867" w:type="pct"/>
            <w:vAlign w:val="center"/>
          </w:tcPr>
          <w:p w14:paraId="40BF76E2" w14:textId="77777777" w:rsidR="0046431A" w:rsidRPr="0046431A" w:rsidRDefault="0046431A" w:rsidP="0046431A">
            <w:pPr>
              <w:widowControl w:val="0"/>
              <w:ind w:left="607"/>
              <w:jc w:val="right"/>
              <w:rPr>
                <w:rFonts w:ascii="Arial Narrow" w:eastAsia="Calibri" w:hAnsi="Arial Narrow"/>
                <w:sz w:val="20"/>
                <w:szCs w:val="20"/>
                <w:lang w:val="bg-BG"/>
              </w:rPr>
            </w:pPr>
            <w:r w:rsidRPr="0046431A">
              <w:rPr>
                <w:rFonts w:ascii="Arial Narrow" w:eastAsia="Calibri" w:hAnsi="Arial Narrow"/>
                <w:sz w:val="20"/>
                <w:szCs w:val="20"/>
                <w:lang w:val="bg-BG"/>
              </w:rPr>
              <w:t>17</w:t>
            </w:r>
          </w:p>
        </w:tc>
        <w:tc>
          <w:tcPr>
            <w:tcW w:w="741" w:type="pct"/>
            <w:shd w:val="clear" w:color="auto" w:fill="auto"/>
            <w:vAlign w:val="center"/>
          </w:tcPr>
          <w:p w14:paraId="0C40901A" w14:textId="77777777" w:rsidR="0046431A" w:rsidRPr="0046431A" w:rsidRDefault="0046431A" w:rsidP="0046431A">
            <w:pPr>
              <w:widowControl w:val="0"/>
              <w:ind w:left="607"/>
              <w:jc w:val="right"/>
              <w:rPr>
                <w:rFonts w:ascii="Arial Narrow" w:eastAsia="Calibri" w:hAnsi="Arial Narrow"/>
                <w:sz w:val="20"/>
                <w:szCs w:val="20"/>
              </w:rPr>
            </w:pPr>
            <w:r w:rsidRPr="0046431A">
              <w:rPr>
                <w:rFonts w:ascii="Arial Narrow" w:eastAsia="Calibri" w:hAnsi="Arial Narrow"/>
                <w:sz w:val="20"/>
                <w:szCs w:val="20"/>
                <w:lang w:val="bg-BG"/>
              </w:rPr>
              <w:t>0,0</w:t>
            </w:r>
            <w:r w:rsidRPr="0046431A">
              <w:rPr>
                <w:rFonts w:ascii="Arial Narrow" w:eastAsia="Calibri" w:hAnsi="Arial Narrow"/>
                <w:sz w:val="20"/>
                <w:szCs w:val="20"/>
              </w:rPr>
              <w:t>%</w:t>
            </w:r>
          </w:p>
        </w:tc>
      </w:tr>
      <w:tr w:rsidR="0046431A" w:rsidRPr="0046431A" w14:paraId="7C3B292C" w14:textId="77777777" w:rsidTr="006D1710">
        <w:trPr>
          <w:trHeight w:val="398"/>
        </w:trPr>
        <w:tc>
          <w:tcPr>
            <w:tcW w:w="323" w:type="pct"/>
            <w:vAlign w:val="center"/>
          </w:tcPr>
          <w:p w14:paraId="1D97F0A1" w14:textId="77777777" w:rsidR="0046431A" w:rsidRPr="0046431A" w:rsidRDefault="0046431A" w:rsidP="0046431A">
            <w:pPr>
              <w:widowControl w:val="0"/>
              <w:rPr>
                <w:rFonts w:ascii="Arial Narrow" w:hAnsi="Arial Narrow"/>
                <w:sz w:val="20"/>
                <w:szCs w:val="20"/>
                <w:lang w:val="bg-BG"/>
              </w:rPr>
            </w:pPr>
            <w:r w:rsidRPr="0046431A">
              <w:rPr>
                <w:rFonts w:ascii="Arial Narrow" w:hAnsi="Arial Narrow"/>
                <w:sz w:val="20"/>
                <w:szCs w:val="20"/>
                <w:lang w:val="bg-BG"/>
              </w:rPr>
              <w:t>1.4.</w:t>
            </w:r>
          </w:p>
        </w:tc>
        <w:tc>
          <w:tcPr>
            <w:tcW w:w="2204" w:type="pct"/>
            <w:vAlign w:val="center"/>
            <w:hideMark/>
          </w:tcPr>
          <w:p w14:paraId="68F7017D" w14:textId="77777777" w:rsidR="0046431A" w:rsidRPr="0046431A" w:rsidRDefault="0046431A" w:rsidP="0046431A">
            <w:pPr>
              <w:widowControl w:val="0"/>
              <w:rPr>
                <w:rFonts w:ascii="Arial Narrow" w:hAnsi="Arial Narrow"/>
                <w:sz w:val="20"/>
                <w:szCs w:val="20"/>
                <w:lang w:val="bg-BG"/>
              </w:rPr>
            </w:pPr>
            <w:r w:rsidRPr="0046431A">
              <w:rPr>
                <w:rFonts w:ascii="Arial Narrow" w:hAnsi="Arial Narrow"/>
                <w:sz w:val="20"/>
                <w:szCs w:val="20"/>
                <w:lang w:val="bg-BG"/>
              </w:rPr>
              <w:t>Смилане, опаковане, етикетиране, съхранение и търговия на фуражи</w:t>
            </w:r>
          </w:p>
        </w:tc>
        <w:tc>
          <w:tcPr>
            <w:tcW w:w="866" w:type="pct"/>
            <w:vAlign w:val="center"/>
          </w:tcPr>
          <w:p w14:paraId="670110AB" w14:textId="77777777" w:rsidR="0046431A" w:rsidRPr="0046431A" w:rsidRDefault="0046431A" w:rsidP="0046431A">
            <w:pPr>
              <w:widowControl w:val="0"/>
              <w:ind w:left="607"/>
              <w:jc w:val="right"/>
              <w:rPr>
                <w:rFonts w:ascii="Arial Narrow" w:eastAsia="Calibri" w:hAnsi="Arial Narrow"/>
                <w:sz w:val="20"/>
                <w:szCs w:val="20"/>
                <w:lang w:val="bg-BG"/>
              </w:rPr>
            </w:pPr>
            <w:r w:rsidRPr="0046431A">
              <w:rPr>
                <w:rFonts w:ascii="Arial Narrow" w:eastAsia="Calibri" w:hAnsi="Arial Narrow"/>
                <w:sz w:val="20"/>
                <w:szCs w:val="20"/>
                <w:lang w:val="bg-BG"/>
              </w:rPr>
              <w:t>5</w:t>
            </w:r>
          </w:p>
        </w:tc>
        <w:tc>
          <w:tcPr>
            <w:tcW w:w="867" w:type="pct"/>
            <w:vAlign w:val="center"/>
          </w:tcPr>
          <w:p w14:paraId="2EE95E6B" w14:textId="77777777" w:rsidR="0046431A" w:rsidRPr="0046431A" w:rsidRDefault="0046431A" w:rsidP="0046431A">
            <w:pPr>
              <w:widowControl w:val="0"/>
              <w:ind w:left="607"/>
              <w:jc w:val="right"/>
              <w:rPr>
                <w:rFonts w:ascii="Arial Narrow" w:eastAsia="Calibri" w:hAnsi="Arial Narrow"/>
                <w:sz w:val="20"/>
                <w:szCs w:val="20"/>
                <w:lang w:val="bg-BG"/>
              </w:rPr>
            </w:pPr>
            <w:r w:rsidRPr="0046431A">
              <w:rPr>
                <w:rFonts w:ascii="Arial Narrow" w:eastAsia="Calibri" w:hAnsi="Arial Narrow"/>
                <w:sz w:val="20"/>
                <w:szCs w:val="20"/>
                <w:lang w:val="bg-BG"/>
              </w:rPr>
              <w:t>5</w:t>
            </w:r>
          </w:p>
        </w:tc>
        <w:tc>
          <w:tcPr>
            <w:tcW w:w="741" w:type="pct"/>
            <w:shd w:val="clear" w:color="auto" w:fill="auto"/>
            <w:vAlign w:val="center"/>
          </w:tcPr>
          <w:p w14:paraId="49D7F0BC" w14:textId="77777777" w:rsidR="0046431A" w:rsidRPr="0046431A" w:rsidRDefault="0046431A" w:rsidP="0046431A">
            <w:pPr>
              <w:widowControl w:val="0"/>
              <w:ind w:left="607"/>
              <w:jc w:val="right"/>
              <w:rPr>
                <w:rFonts w:ascii="Arial Narrow" w:eastAsia="Calibri" w:hAnsi="Arial Narrow"/>
                <w:sz w:val="20"/>
                <w:szCs w:val="20"/>
              </w:rPr>
            </w:pPr>
            <w:r w:rsidRPr="0046431A">
              <w:rPr>
                <w:rFonts w:ascii="Arial Narrow" w:eastAsia="Calibri" w:hAnsi="Arial Narrow"/>
                <w:sz w:val="20"/>
                <w:szCs w:val="20"/>
                <w:lang w:val="bg-BG"/>
              </w:rPr>
              <w:t>0,0</w:t>
            </w:r>
            <w:r w:rsidRPr="0046431A">
              <w:rPr>
                <w:rFonts w:ascii="Arial Narrow" w:eastAsia="Calibri" w:hAnsi="Arial Narrow"/>
                <w:sz w:val="20"/>
                <w:szCs w:val="20"/>
              </w:rPr>
              <w:t>%</w:t>
            </w:r>
          </w:p>
        </w:tc>
      </w:tr>
      <w:tr w:rsidR="0046431A" w:rsidRPr="0046431A" w14:paraId="4761BE76" w14:textId="77777777" w:rsidTr="006D1710">
        <w:trPr>
          <w:trHeight w:val="340"/>
        </w:trPr>
        <w:tc>
          <w:tcPr>
            <w:tcW w:w="323" w:type="pct"/>
            <w:vAlign w:val="center"/>
          </w:tcPr>
          <w:p w14:paraId="04A764C4" w14:textId="77777777" w:rsidR="0046431A" w:rsidRPr="0046431A" w:rsidRDefault="0046431A" w:rsidP="0046431A">
            <w:pPr>
              <w:widowControl w:val="0"/>
              <w:rPr>
                <w:rFonts w:ascii="Arial Narrow" w:hAnsi="Arial Narrow"/>
                <w:sz w:val="20"/>
                <w:szCs w:val="20"/>
                <w:lang w:val="bg-BG"/>
              </w:rPr>
            </w:pPr>
            <w:r w:rsidRPr="0046431A">
              <w:rPr>
                <w:rFonts w:ascii="Arial Narrow" w:hAnsi="Arial Narrow"/>
                <w:sz w:val="20"/>
                <w:szCs w:val="20"/>
                <w:lang w:val="bg-BG"/>
              </w:rPr>
              <w:t>1.5.</w:t>
            </w:r>
          </w:p>
        </w:tc>
        <w:tc>
          <w:tcPr>
            <w:tcW w:w="2204" w:type="pct"/>
            <w:vAlign w:val="center"/>
            <w:hideMark/>
          </w:tcPr>
          <w:p w14:paraId="24D15659" w14:textId="77777777" w:rsidR="0046431A" w:rsidRPr="0046431A" w:rsidRDefault="0046431A" w:rsidP="0046431A">
            <w:pPr>
              <w:widowControl w:val="0"/>
              <w:rPr>
                <w:rFonts w:ascii="Arial Narrow" w:hAnsi="Arial Narrow"/>
                <w:sz w:val="20"/>
                <w:szCs w:val="20"/>
                <w:lang w:val="bg-BG"/>
              </w:rPr>
            </w:pPr>
            <w:r w:rsidRPr="0046431A">
              <w:rPr>
                <w:rFonts w:ascii="Arial Narrow" w:hAnsi="Arial Narrow"/>
                <w:sz w:val="20"/>
                <w:szCs w:val="20"/>
                <w:lang w:val="bg-BG"/>
              </w:rPr>
              <w:t>Производители на добавки</w:t>
            </w:r>
          </w:p>
        </w:tc>
        <w:tc>
          <w:tcPr>
            <w:tcW w:w="866" w:type="pct"/>
            <w:vAlign w:val="center"/>
          </w:tcPr>
          <w:p w14:paraId="0DEA4F14" w14:textId="77777777" w:rsidR="0046431A" w:rsidRPr="0046431A" w:rsidRDefault="0046431A" w:rsidP="0046431A">
            <w:pPr>
              <w:widowControl w:val="0"/>
              <w:ind w:left="607"/>
              <w:jc w:val="right"/>
              <w:rPr>
                <w:rFonts w:ascii="Arial Narrow" w:eastAsia="Calibri" w:hAnsi="Arial Narrow"/>
                <w:sz w:val="20"/>
                <w:szCs w:val="20"/>
                <w:lang w:val="bg-BG"/>
              </w:rPr>
            </w:pPr>
            <w:r w:rsidRPr="0046431A">
              <w:rPr>
                <w:rFonts w:ascii="Arial Narrow" w:eastAsia="Calibri" w:hAnsi="Arial Narrow"/>
                <w:sz w:val="20"/>
                <w:szCs w:val="20"/>
                <w:lang w:val="bg-BG"/>
              </w:rPr>
              <w:t>5</w:t>
            </w:r>
          </w:p>
        </w:tc>
        <w:tc>
          <w:tcPr>
            <w:tcW w:w="867" w:type="pct"/>
            <w:vAlign w:val="center"/>
          </w:tcPr>
          <w:p w14:paraId="70E87553" w14:textId="77777777" w:rsidR="0046431A" w:rsidRPr="0046431A" w:rsidRDefault="0046431A" w:rsidP="0046431A">
            <w:pPr>
              <w:widowControl w:val="0"/>
              <w:ind w:left="607"/>
              <w:jc w:val="right"/>
              <w:rPr>
                <w:rFonts w:ascii="Arial Narrow" w:eastAsia="Calibri" w:hAnsi="Arial Narrow"/>
                <w:sz w:val="20"/>
                <w:szCs w:val="20"/>
                <w:lang w:val="bg-BG"/>
              </w:rPr>
            </w:pPr>
            <w:r w:rsidRPr="0046431A">
              <w:rPr>
                <w:rFonts w:ascii="Arial Narrow" w:eastAsia="Calibri" w:hAnsi="Arial Narrow"/>
                <w:sz w:val="20"/>
                <w:szCs w:val="20"/>
                <w:lang w:val="bg-BG"/>
              </w:rPr>
              <w:t>5</w:t>
            </w:r>
          </w:p>
        </w:tc>
        <w:tc>
          <w:tcPr>
            <w:tcW w:w="741" w:type="pct"/>
            <w:shd w:val="clear" w:color="auto" w:fill="auto"/>
            <w:vAlign w:val="center"/>
          </w:tcPr>
          <w:p w14:paraId="20E9E0CC" w14:textId="77777777" w:rsidR="0046431A" w:rsidRPr="0046431A" w:rsidRDefault="0046431A" w:rsidP="0046431A">
            <w:pPr>
              <w:widowControl w:val="0"/>
              <w:ind w:left="607"/>
              <w:jc w:val="right"/>
              <w:rPr>
                <w:rFonts w:ascii="Arial Narrow" w:eastAsia="Calibri" w:hAnsi="Arial Narrow"/>
                <w:sz w:val="20"/>
                <w:szCs w:val="20"/>
              </w:rPr>
            </w:pPr>
            <w:r w:rsidRPr="0046431A">
              <w:rPr>
                <w:rFonts w:ascii="Arial Narrow" w:eastAsia="Calibri" w:hAnsi="Arial Narrow"/>
                <w:sz w:val="20"/>
                <w:szCs w:val="20"/>
                <w:lang w:val="bg-BG"/>
              </w:rPr>
              <w:t>0,0</w:t>
            </w:r>
            <w:r w:rsidRPr="0046431A">
              <w:rPr>
                <w:rFonts w:ascii="Arial Narrow" w:eastAsia="Calibri" w:hAnsi="Arial Narrow"/>
                <w:sz w:val="20"/>
                <w:szCs w:val="20"/>
              </w:rPr>
              <w:t>%</w:t>
            </w:r>
          </w:p>
        </w:tc>
      </w:tr>
      <w:tr w:rsidR="0046431A" w:rsidRPr="0046431A" w14:paraId="28BD472D" w14:textId="77777777" w:rsidTr="006D1710">
        <w:trPr>
          <w:trHeight w:val="340"/>
        </w:trPr>
        <w:tc>
          <w:tcPr>
            <w:tcW w:w="323" w:type="pct"/>
            <w:vAlign w:val="center"/>
          </w:tcPr>
          <w:p w14:paraId="0BD4923B" w14:textId="77777777" w:rsidR="0046431A" w:rsidRPr="0046431A" w:rsidRDefault="0046431A" w:rsidP="0046431A">
            <w:pPr>
              <w:widowControl w:val="0"/>
              <w:rPr>
                <w:rFonts w:ascii="Arial Narrow" w:hAnsi="Arial Narrow"/>
                <w:sz w:val="20"/>
                <w:szCs w:val="20"/>
                <w:lang w:val="bg-BG"/>
              </w:rPr>
            </w:pPr>
            <w:r w:rsidRPr="0046431A">
              <w:rPr>
                <w:rFonts w:ascii="Arial Narrow" w:hAnsi="Arial Narrow"/>
                <w:sz w:val="20"/>
                <w:szCs w:val="20"/>
                <w:lang w:val="bg-BG"/>
              </w:rPr>
              <w:t>1.6.</w:t>
            </w:r>
          </w:p>
        </w:tc>
        <w:tc>
          <w:tcPr>
            <w:tcW w:w="2204" w:type="pct"/>
            <w:vAlign w:val="center"/>
            <w:hideMark/>
          </w:tcPr>
          <w:p w14:paraId="74FAA158" w14:textId="77777777" w:rsidR="0046431A" w:rsidRPr="0046431A" w:rsidRDefault="0046431A" w:rsidP="0046431A">
            <w:pPr>
              <w:widowControl w:val="0"/>
              <w:rPr>
                <w:rFonts w:ascii="Arial Narrow" w:hAnsi="Arial Narrow"/>
                <w:sz w:val="20"/>
                <w:szCs w:val="20"/>
                <w:lang w:val="bg-BG"/>
              </w:rPr>
            </w:pPr>
            <w:r w:rsidRPr="0046431A">
              <w:rPr>
                <w:rFonts w:ascii="Arial Narrow" w:hAnsi="Arial Narrow"/>
                <w:sz w:val="20"/>
                <w:szCs w:val="20"/>
                <w:lang w:val="bg-BG"/>
              </w:rPr>
              <w:t>Производители на премикси от добавки</w:t>
            </w:r>
          </w:p>
        </w:tc>
        <w:tc>
          <w:tcPr>
            <w:tcW w:w="866" w:type="pct"/>
            <w:vAlign w:val="center"/>
          </w:tcPr>
          <w:p w14:paraId="4E0CAAD9" w14:textId="77777777" w:rsidR="0046431A" w:rsidRPr="0046431A" w:rsidRDefault="0046431A" w:rsidP="0046431A">
            <w:pPr>
              <w:widowControl w:val="0"/>
              <w:ind w:left="607"/>
              <w:jc w:val="right"/>
              <w:rPr>
                <w:rFonts w:ascii="Arial Narrow" w:eastAsia="Calibri" w:hAnsi="Arial Narrow"/>
                <w:sz w:val="20"/>
                <w:szCs w:val="20"/>
                <w:lang w:val="bg-BG"/>
              </w:rPr>
            </w:pPr>
            <w:r w:rsidRPr="0046431A">
              <w:rPr>
                <w:rFonts w:ascii="Arial Narrow" w:eastAsia="Calibri" w:hAnsi="Arial Narrow"/>
                <w:sz w:val="20"/>
                <w:szCs w:val="20"/>
                <w:lang w:val="bg-BG"/>
              </w:rPr>
              <w:t>2</w:t>
            </w:r>
          </w:p>
        </w:tc>
        <w:tc>
          <w:tcPr>
            <w:tcW w:w="867" w:type="pct"/>
            <w:vAlign w:val="center"/>
          </w:tcPr>
          <w:p w14:paraId="570326AA" w14:textId="77777777" w:rsidR="0046431A" w:rsidRPr="0046431A" w:rsidRDefault="0046431A" w:rsidP="0046431A">
            <w:pPr>
              <w:widowControl w:val="0"/>
              <w:ind w:left="607"/>
              <w:jc w:val="right"/>
              <w:rPr>
                <w:rFonts w:ascii="Arial Narrow" w:eastAsia="Calibri" w:hAnsi="Arial Narrow"/>
                <w:sz w:val="20"/>
                <w:szCs w:val="20"/>
                <w:lang w:val="bg-BG"/>
              </w:rPr>
            </w:pPr>
            <w:r w:rsidRPr="0046431A">
              <w:rPr>
                <w:rFonts w:ascii="Arial Narrow" w:eastAsia="Calibri" w:hAnsi="Arial Narrow"/>
                <w:sz w:val="20"/>
                <w:szCs w:val="20"/>
                <w:lang w:val="bg-BG"/>
              </w:rPr>
              <w:t>2</w:t>
            </w:r>
          </w:p>
        </w:tc>
        <w:tc>
          <w:tcPr>
            <w:tcW w:w="741" w:type="pct"/>
            <w:shd w:val="clear" w:color="auto" w:fill="auto"/>
            <w:vAlign w:val="center"/>
          </w:tcPr>
          <w:p w14:paraId="2EEF2DD0" w14:textId="77777777" w:rsidR="0046431A" w:rsidRPr="0046431A" w:rsidRDefault="0046431A" w:rsidP="0046431A">
            <w:pPr>
              <w:widowControl w:val="0"/>
              <w:ind w:left="607"/>
              <w:jc w:val="right"/>
              <w:rPr>
                <w:rFonts w:ascii="Arial Narrow" w:eastAsia="Calibri" w:hAnsi="Arial Narrow"/>
                <w:sz w:val="20"/>
                <w:szCs w:val="20"/>
              </w:rPr>
            </w:pPr>
            <w:r w:rsidRPr="0046431A">
              <w:rPr>
                <w:rFonts w:ascii="Arial Narrow" w:eastAsia="Calibri" w:hAnsi="Arial Narrow"/>
                <w:sz w:val="20"/>
                <w:szCs w:val="20"/>
                <w:lang w:val="bg-BG"/>
              </w:rPr>
              <w:t>0,0</w:t>
            </w:r>
            <w:r w:rsidRPr="0046431A">
              <w:rPr>
                <w:rFonts w:ascii="Arial Narrow" w:eastAsia="Calibri" w:hAnsi="Arial Narrow"/>
                <w:sz w:val="20"/>
                <w:szCs w:val="20"/>
              </w:rPr>
              <w:t>%</w:t>
            </w:r>
          </w:p>
        </w:tc>
      </w:tr>
      <w:tr w:rsidR="0046431A" w:rsidRPr="0046431A" w14:paraId="3E6CCA3E" w14:textId="77777777" w:rsidTr="006D1710">
        <w:trPr>
          <w:trHeight w:val="340"/>
        </w:trPr>
        <w:tc>
          <w:tcPr>
            <w:tcW w:w="323" w:type="pct"/>
            <w:vAlign w:val="center"/>
          </w:tcPr>
          <w:p w14:paraId="00604F2F" w14:textId="77777777" w:rsidR="0046431A" w:rsidRPr="0046431A" w:rsidRDefault="0046431A" w:rsidP="0046431A">
            <w:pPr>
              <w:widowControl w:val="0"/>
              <w:rPr>
                <w:rFonts w:ascii="Arial Narrow" w:hAnsi="Arial Narrow"/>
                <w:sz w:val="20"/>
                <w:szCs w:val="20"/>
                <w:lang w:val="bg-BG"/>
              </w:rPr>
            </w:pPr>
            <w:r w:rsidRPr="0046431A">
              <w:rPr>
                <w:rFonts w:ascii="Arial Narrow" w:hAnsi="Arial Narrow"/>
                <w:sz w:val="20"/>
                <w:szCs w:val="20"/>
                <w:lang w:val="bg-BG"/>
              </w:rPr>
              <w:t>1.7.</w:t>
            </w:r>
          </w:p>
        </w:tc>
        <w:tc>
          <w:tcPr>
            <w:tcW w:w="2204" w:type="pct"/>
            <w:vAlign w:val="center"/>
            <w:hideMark/>
          </w:tcPr>
          <w:p w14:paraId="09CA7CA5" w14:textId="77777777" w:rsidR="0046431A" w:rsidRPr="0046431A" w:rsidRDefault="0046431A" w:rsidP="0046431A">
            <w:pPr>
              <w:widowControl w:val="0"/>
              <w:rPr>
                <w:rFonts w:ascii="Arial Narrow" w:hAnsi="Arial Narrow"/>
                <w:sz w:val="20"/>
                <w:szCs w:val="20"/>
                <w:lang w:val="bg-BG"/>
              </w:rPr>
            </w:pPr>
            <w:r w:rsidRPr="0046431A">
              <w:rPr>
                <w:rFonts w:ascii="Arial Narrow" w:hAnsi="Arial Narrow"/>
                <w:sz w:val="20"/>
                <w:szCs w:val="20"/>
                <w:lang w:val="bg-BG"/>
              </w:rPr>
              <w:t>Производители на фуражни суровини</w:t>
            </w:r>
          </w:p>
        </w:tc>
        <w:tc>
          <w:tcPr>
            <w:tcW w:w="866" w:type="pct"/>
            <w:vAlign w:val="center"/>
          </w:tcPr>
          <w:p w14:paraId="381C6CC2" w14:textId="77777777" w:rsidR="0046431A" w:rsidRPr="0046431A" w:rsidRDefault="0046431A" w:rsidP="0046431A">
            <w:pPr>
              <w:widowControl w:val="0"/>
              <w:ind w:left="607"/>
              <w:jc w:val="right"/>
              <w:rPr>
                <w:rFonts w:ascii="Arial Narrow" w:eastAsia="Calibri" w:hAnsi="Arial Narrow"/>
                <w:sz w:val="20"/>
                <w:szCs w:val="20"/>
                <w:lang w:val="bg-BG"/>
              </w:rPr>
            </w:pPr>
            <w:r w:rsidRPr="0046431A">
              <w:rPr>
                <w:rFonts w:ascii="Arial Narrow" w:eastAsia="Calibri" w:hAnsi="Arial Narrow"/>
                <w:sz w:val="20"/>
                <w:szCs w:val="20"/>
                <w:lang w:val="bg-BG"/>
              </w:rPr>
              <w:t>345</w:t>
            </w:r>
          </w:p>
        </w:tc>
        <w:tc>
          <w:tcPr>
            <w:tcW w:w="867" w:type="pct"/>
            <w:vAlign w:val="center"/>
          </w:tcPr>
          <w:p w14:paraId="358513C7" w14:textId="77777777" w:rsidR="0046431A" w:rsidRPr="0046431A" w:rsidRDefault="0046431A" w:rsidP="0046431A">
            <w:pPr>
              <w:widowControl w:val="0"/>
              <w:ind w:left="607"/>
              <w:jc w:val="right"/>
              <w:rPr>
                <w:rFonts w:ascii="Arial Narrow" w:eastAsia="Calibri" w:hAnsi="Arial Narrow"/>
                <w:sz w:val="20"/>
                <w:szCs w:val="20"/>
                <w:lang w:val="bg-BG"/>
              </w:rPr>
            </w:pPr>
            <w:r w:rsidRPr="0046431A">
              <w:rPr>
                <w:rFonts w:ascii="Arial Narrow" w:eastAsia="Calibri" w:hAnsi="Arial Narrow"/>
                <w:sz w:val="20"/>
                <w:szCs w:val="20"/>
                <w:lang w:val="bg-BG"/>
              </w:rPr>
              <w:t>364</w:t>
            </w:r>
          </w:p>
        </w:tc>
        <w:tc>
          <w:tcPr>
            <w:tcW w:w="741" w:type="pct"/>
            <w:shd w:val="clear" w:color="auto" w:fill="auto"/>
            <w:vAlign w:val="center"/>
          </w:tcPr>
          <w:p w14:paraId="4D548485" w14:textId="77777777" w:rsidR="0046431A" w:rsidRPr="0046431A" w:rsidRDefault="0046431A" w:rsidP="0046431A">
            <w:pPr>
              <w:widowControl w:val="0"/>
              <w:ind w:left="607"/>
              <w:jc w:val="right"/>
              <w:rPr>
                <w:rFonts w:ascii="Arial Narrow" w:eastAsia="Calibri" w:hAnsi="Arial Narrow"/>
                <w:sz w:val="20"/>
                <w:szCs w:val="20"/>
              </w:rPr>
            </w:pPr>
            <w:r w:rsidRPr="0046431A">
              <w:rPr>
                <w:rFonts w:ascii="Arial Narrow" w:eastAsia="Calibri" w:hAnsi="Arial Narrow"/>
                <w:sz w:val="20"/>
                <w:szCs w:val="20"/>
                <w:lang w:val="bg-BG"/>
              </w:rPr>
              <w:t>5,5</w:t>
            </w:r>
            <w:r w:rsidRPr="0046431A">
              <w:rPr>
                <w:rFonts w:ascii="Arial Narrow" w:eastAsia="Calibri" w:hAnsi="Arial Narrow"/>
                <w:sz w:val="20"/>
                <w:szCs w:val="20"/>
              </w:rPr>
              <w:t>%</w:t>
            </w:r>
          </w:p>
        </w:tc>
      </w:tr>
      <w:tr w:rsidR="0046431A" w:rsidRPr="0046431A" w14:paraId="24A35565" w14:textId="77777777" w:rsidTr="006D1710">
        <w:trPr>
          <w:trHeight w:val="340"/>
        </w:trPr>
        <w:tc>
          <w:tcPr>
            <w:tcW w:w="323" w:type="pct"/>
            <w:vAlign w:val="center"/>
          </w:tcPr>
          <w:p w14:paraId="6E9783E3" w14:textId="77777777" w:rsidR="0046431A" w:rsidRPr="0046431A" w:rsidRDefault="0046431A" w:rsidP="0046431A">
            <w:pPr>
              <w:widowControl w:val="0"/>
              <w:rPr>
                <w:rFonts w:ascii="Arial Narrow" w:hAnsi="Arial Narrow"/>
                <w:sz w:val="20"/>
                <w:szCs w:val="20"/>
                <w:lang w:val="bg-BG"/>
              </w:rPr>
            </w:pPr>
            <w:r w:rsidRPr="0046431A">
              <w:rPr>
                <w:rFonts w:ascii="Arial Narrow" w:hAnsi="Arial Narrow"/>
                <w:sz w:val="20"/>
                <w:szCs w:val="20"/>
                <w:lang w:val="bg-BG"/>
              </w:rPr>
              <w:t>1.8.</w:t>
            </w:r>
          </w:p>
        </w:tc>
        <w:tc>
          <w:tcPr>
            <w:tcW w:w="2204" w:type="pct"/>
            <w:vAlign w:val="center"/>
            <w:hideMark/>
          </w:tcPr>
          <w:p w14:paraId="45AB93BA" w14:textId="77777777" w:rsidR="0046431A" w:rsidRPr="0046431A" w:rsidRDefault="0046431A" w:rsidP="0046431A">
            <w:pPr>
              <w:widowControl w:val="0"/>
              <w:rPr>
                <w:rFonts w:ascii="Arial Narrow" w:hAnsi="Arial Narrow"/>
                <w:sz w:val="20"/>
                <w:szCs w:val="20"/>
                <w:lang w:val="bg-BG"/>
              </w:rPr>
            </w:pPr>
            <w:r w:rsidRPr="0046431A">
              <w:rPr>
                <w:rFonts w:ascii="Arial Narrow" w:hAnsi="Arial Narrow"/>
                <w:sz w:val="20"/>
                <w:szCs w:val="20"/>
                <w:lang w:val="bg-BG"/>
              </w:rPr>
              <w:t>Търговци на фуражи</w:t>
            </w:r>
          </w:p>
        </w:tc>
        <w:tc>
          <w:tcPr>
            <w:tcW w:w="866" w:type="pct"/>
            <w:vAlign w:val="center"/>
          </w:tcPr>
          <w:p w14:paraId="624F0E93" w14:textId="77777777" w:rsidR="0046431A" w:rsidRPr="0046431A" w:rsidRDefault="0046431A" w:rsidP="0046431A">
            <w:pPr>
              <w:widowControl w:val="0"/>
              <w:ind w:left="607"/>
              <w:jc w:val="right"/>
              <w:rPr>
                <w:rFonts w:ascii="Arial Narrow" w:eastAsia="Calibri" w:hAnsi="Arial Narrow"/>
                <w:sz w:val="20"/>
                <w:szCs w:val="20"/>
                <w:lang w:val="bg-BG"/>
              </w:rPr>
            </w:pPr>
            <w:r w:rsidRPr="0046431A">
              <w:rPr>
                <w:rFonts w:ascii="Arial Narrow" w:eastAsia="Calibri" w:hAnsi="Arial Narrow"/>
                <w:sz w:val="20"/>
                <w:szCs w:val="20"/>
                <w:lang w:val="bg-BG"/>
              </w:rPr>
              <w:t>2 530</w:t>
            </w:r>
          </w:p>
        </w:tc>
        <w:tc>
          <w:tcPr>
            <w:tcW w:w="867" w:type="pct"/>
            <w:vAlign w:val="center"/>
          </w:tcPr>
          <w:p w14:paraId="0DEF0C99" w14:textId="77777777" w:rsidR="0046431A" w:rsidRPr="0046431A" w:rsidRDefault="0046431A" w:rsidP="0046431A">
            <w:pPr>
              <w:widowControl w:val="0"/>
              <w:ind w:left="607"/>
              <w:jc w:val="right"/>
              <w:rPr>
                <w:rFonts w:ascii="Arial Narrow" w:eastAsia="Calibri" w:hAnsi="Arial Narrow"/>
                <w:sz w:val="20"/>
                <w:szCs w:val="20"/>
                <w:lang w:val="bg-BG"/>
              </w:rPr>
            </w:pPr>
            <w:r w:rsidRPr="0046431A">
              <w:rPr>
                <w:rFonts w:ascii="Arial Narrow" w:eastAsia="Calibri" w:hAnsi="Arial Narrow"/>
                <w:sz w:val="20"/>
                <w:szCs w:val="20"/>
                <w:lang w:val="bg-BG"/>
              </w:rPr>
              <w:t>10 270</w:t>
            </w:r>
          </w:p>
        </w:tc>
        <w:tc>
          <w:tcPr>
            <w:tcW w:w="741" w:type="pct"/>
            <w:shd w:val="clear" w:color="auto" w:fill="auto"/>
            <w:vAlign w:val="center"/>
          </w:tcPr>
          <w:p w14:paraId="26C31257" w14:textId="77777777" w:rsidR="0046431A" w:rsidRPr="0046431A" w:rsidRDefault="0046431A" w:rsidP="0046431A">
            <w:pPr>
              <w:widowControl w:val="0"/>
              <w:ind w:left="607"/>
              <w:jc w:val="right"/>
              <w:rPr>
                <w:rFonts w:ascii="Arial Narrow" w:eastAsia="Calibri" w:hAnsi="Arial Narrow"/>
                <w:sz w:val="20"/>
                <w:szCs w:val="20"/>
              </w:rPr>
            </w:pPr>
            <w:r w:rsidRPr="0046431A">
              <w:rPr>
                <w:rFonts w:ascii="Arial Narrow" w:eastAsia="Calibri" w:hAnsi="Arial Narrow"/>
                <w:sz w:val="20"/>
                <w:szCs w:val="20"/>
                <w:lang w:val="bg-BG"/>
              </w:rPr>
              <w:t>305,9</w:t>
            </w:r>
            <w:r w:rsidRPr="0046431A">
              <w:rPr>
                <w:rFonts w:ascii="Arial Narrow" w:eastAsia="Calibri" w:hAnsi="Arial Narrow"/>
                <w:sz w:val="20"/>
                <w:szCs w:val="20"/>
              </w:rPr>
              <w:t>%</w:t>
            </w:r>
          </w:p>
        </w:tc>
      </w:tr>
      <w:tr w:rsidR="0046431A" w:rsidRPr="0046431A" w14:paraId="67EA66CC" w14:textId="77777777" w:rsidTr="006D1710">
        <w:trPr>
          <w:trHeight w:val="340"/>
        </w:trPr>
        <w:tc>
          <w:tcPr>
            <w:tcW w:w="323" w:type="pct"/>
            <w:vAlign w:val="center"/>
          </w:tcPr>
          <w:p w14:paraId="290FC99A" w14:textId="77777777" w:rsidR="0046431A" w:rsidRPr="0046431A" w:rsidRDefault="0046431A" w:rsidP="0046431A">
            <w:pPr>
              <w:widowControl w:val="0"/>
              <w:rPr>
                <w:rFonts w:ascii="Arial Narrow" w:hAnsi="Arial Narrow"/>
                <w:sz w:val="20"/>
                <w:szCs w:val="20"/>
                <w:lang w:val="bg-BG"/>
              </w:rPr>
            </w:pPr>
            <w:r w:rsidRPr="0046431A">
              <w:rPr>
                <w:rFonts w:ascii="Arial Narrow" w:hAnsi="Arial Narrow"/>
                <w:sz w:val="20"/>
                <w:szCs w:val="20"/>
                <w:lang w:val="bg-BG"/>
              </w:rPr>
              <w:t>1.9.</w:t>
            </w:r>
          </w:p>
        </w:tc>
        <w:tc>
          <w:tcPr>
            <w:tcW w:w="2204" w:type="pct"/>
            <w:vAlign w:val="center"/>
            <w:hideMark/>
          </w:tcPr>
          <w:p w14:paraId="5DB5DE7A" w14:textId="77777777" w:rsidR="0046431A" w:rsidRPr="0046431A" w:rsidRDefault="0046431A" w:rsidP="0046431A">
            <w:pPr>
              <w:widowControl w:val="0"/>
              <w:rPr>
                <w:rFonts w:ascii="Arial Narrow" w:hAnsi="Arial Narrow"/>
                <w:sz w:val="20"/>
                <w:szCs w:val="20"/>
                <w:lang w:val="bg-BG"/>
              </w:rPr>
            </w:pPr>
            <w:r w:rsidRPr="0046431A">
              <w:rPr>
                <w:rFonts w:ascii="Arial Narrow" w:hAnsi="Arial Narrow"/>
                <w:sz w:val="20"/>
                <w:szCs w:val="20"/>
                <w:lang w:val="bg-BG"/>
              </w:rPr>
              <w:t>Оператори, транспортиращи фуражи</w:t>
            </w:r>
          </w:p>
        </w:tc>
        <w:tc>
          <w:tcPr>
            <w:tcW w:w="866" w:type="pct"/>
            <w:vAlign w:val="center"/>
          </w:tcPr>
          <w:p w14:paraId="2524DDBE" w14:textId="77777777" w:rsidR="0046431A" w:rsidRPr="0046431A" w:rsidRDefault="0046431A" w:rsidP="0046431A">
            <w:pPr>
              <w:widowControl w:val="0"/>
              <w:ind w:left="607"/>
              <w:jc w:val="right"/>
              <w:rPr>
                <w:rFonts w:ascii="Arial Narrow" w:eastAsia="Calibri" w:hAnsi="Arial Narrow"/>
                <w:sz w:val="20"/>
                <w:szCs w:val="20"/>
                <w:lang w:val="bg-BG"/>
              </w:rPr>
            </w:pPr>
            <w:r w:rsidRPr="0046431A">
              <w:rPr>
                <w:rFonts w:ascii="Arial Narrow" w:eastAsia="Calibri" w:hAnsi="Arial Narrow"/>
                <w:sz w:val="20"/>
                <w:szCs w:val="20"/>
                <w:lang w:val="bg-BG"/>
              </w:rPr>
              <w:t>1 017</w:t>
            </w:r>
          </w:p>
        </w:tc>
        <w:tc>
          <w:tcPr>
            <w:tcW w:w="867" w:type="pct"/>
            <w:vAlign w:val="center"/>
          </w:tcPr>
          <w:p w14:paraId="125B7953" w14:textId="77777777" w:rsidR="0046431A" w:rsidRPr="0046431A" w:rsidRDefault="0046431A" w:rsidP="0046431A">
            <w:pPr>
              <w:widowControl w:val="0"/>
              <w:ind w:left="607"/>
              <w:jc w:val="right"/>
              <w:rPr>
                <w:rFonts w:ascii="Arial Narrow" w:eastAsia="Calibri" w:hAnsi="Arial Narrow"/>
                <w:sz w:val="20"/>
                <w:szCs w:val="20"/>
                <w:lang w:val="bg-BG"/>
              </w:rPr>
            </w:pPr>
            <w:r w:rsidRPr="0046431A">
              <w:rPr>
                <w:rFonts w:ascii="Arial Narrow" w:eastAsia="Calibri" w:hAnsi="Arial Narrow"/>
                <w:sz w:val="20"/>
                <w:szCs w:val="20"/>
                <w:lang w:val="bg-BG"/>
              </w:rPr>
              <w:t>1 135</w:t>
            </w:r>
          </w:p>
        </w:tc>
        <w:tc>
          <w:tcPr>
            <w:tcW w:w="741" w:type="pct"/>
            <w:shd w:val="clear" w:color="auto" w:fill="auto"/>
            <w:vAlign w:val="center"/>
          </w:tcPr>
          <w:p w14:paraId="5A4A1A93" w14:textId="77777777" w:rsidR="0046431A" w:rsidRPr="0046431A" w:rsidRDefault="0046431A" w:rsidP="0046431A">
            <w:pPr>
              <w:widowControl w:val="0"/>
              <w:ind w:left="607"/>
              <w:jc w:val="right"/>
              <w:rPr>
                <w:rFonts w:ascii="Arial Narrow" w:eastAsia="Calibri" w:hAnsi="Arial Narrow"/>
                <w:sz w:val="20"/>
                <w:szCs w:val="20"/>
              </w:rPr>
            </w:pPr>
            <w:r w:rsidRPr="0046431A">
              <w:rPr>
                <w:rFonts w:ascii="Arial Narrow" w:eastAsia="Calibri" w:hAnsi="Arial Narrow"/>
                <w:sz w:val="20"/>
                <w:szCs w:val="20"/>
                <w:lang w:val="bg-BG"/>
              </w:rPr>
              <w:t>11,6</w:t>
            </w:r>
            <w:r w:rsidRPr="0046431A">
              <w:rPr>
                <w:rFonts w:ascii="Arial Narrow" w:eastAsia="Calibri" w:hAnsi="Arial Narrow"/>
                <w:sz w:val="20"/>
                <w:szCs w:val="20"/>
              </w:rPr>
              <w:t>%</w:t>
            </w:r>
          </w:p>
        </w:tc>
      </w:tr>
      <w:tr w:rsidR="0046431A" w:rsidRPr="0046431A" w14:paraId="58B5719D" w14:textId="77777777" w:rsidTr="006D1710">
        <w:trPr>
          <w:trHeight w:val="340"/>
        </w:trPr>
        <w:tc>
          <w:tcPr>
            <w:tcW w:w="323" w:type="pct"/>
            <w:vAlign w:val="center"/>
          </w:tcPr>
          <w:p w14:paraId="26768171" w14:textId="77777777" w:rsidR="0046431A" w:rsidRPr="0046431A" w:rsidRDefault="0046431A" w:rsidP="0046431A">
            <w:pPr>
              <w:widowControl w:val="0"/>
              <w:rPr>
                <w:rFonts w:ascii="Arial Narrow" w:hAnsi="Arial Narrow"/>
                <w:sz w:val="20"/>
                <w:szCs w:val="20"/>
                <w:lang w:val="bg-BG"/>
              </w:rPr>
            </w:pPr>
            <w:r w:rsidRPr="0046431A">
              <w:rPr>
                <w:rFonts w:ascii="Arial Narrow" w:hAnsi="Arial Narrow"/>
                <w:sz w:val="20"/>
                <w:szCs w:val="20"/>
                <w:lang w:val="bg-BG"/>
              </w:rPr>
              <w:t>1.10.</w:t>
            </w:r>
          </w:p>
        </w:tc>
        <w:tc>
          <w:tcPr>
            <w:tcW w:w="2204" w:type="pct"/>
            <w:vAlign w:val="center"/>
            <w:hideMark/>
          </w:tcPr>
          <w:p w14:paraId="2B50A405" w14:textId="77777777" w:rsidR="0046431A" w:rsidRPr="0046431A" w:rsidRDefault="0046431A" w:rsidP="0046431A">
            <w:pPr>
              <w:widowControl w:val="0"/>
              <w:rPr>
                <w:rFonts w:ascii="Arial Narrow" w:hAnsi="Arial Narrow"/>
                <w:sz w:val="20"/>
                <w:szCs w:val="20"/>
                <w:lang w:val="bg-BG"/>
              </w:rPr>
            </w:pPr>
            <w:r w:rsidRPr="0046431A">
              <w:rPr>
                <w:rFonts w:ascii="Arial Narrow" w:hAnsi="Arial Narrow"/>
                <w:sz w:val="20"/>
                <w:szCs w:val="20"/>
                <w:lang w:val="bg-BG"/>
              </w:rPr>
              <w:t>Оператори, отдаващи складове под наем</w:t>
            </w:r>
          </w:p>
        </w:tc>
        <w:tc>
          <w:tcPr>
            <w:tcW w:w="866" w:type="pct"/>
            <w:vAlign w:val="center"/>
          </w:tcPr>
          <w:p w14:paraId="4FB110BC" w14:textId="77777777" w:rsidR="0046431A" w:rsidRPr="0046431A" w:rsidRDefault="0046431A" w:rsidP="0046431A">
            <w:pPr>
              <w:widowControl w:val="0"/>
              <w:ind w:left="607"/>
              <w:jc w:val="right"/>
              <w:rPr>
                <w:rFonts w:ascii="Arial Narrow" w:eastAsia="Calibri" w:hAnsi="Arial Narrow"/>
                <w:sz w:val="20"/>
                <w:szCs w:val="20"/>
                <w:lang w:val="bg-BG"/>
              </w:rPr>
            </w:pPr>
            <w:r w:rsidRPr="0046431A">
              <w:rPr>
                <w:rFonts w:ascii="Arial Narrow" w:eastAsia="Calibri" w:hAnsi="Arial Narrow"/>
                <w:sz w:val="20"/>
                <w:szCs w:val="20"/>
                <w:lang w:val="bg-BG"/>
              </w:rPr>
              <w:t>106</w:t>
            </w:r>
          </w:p>
        </w:tc>
        <w:tc>
          <w:tcPr>
            <w:tcW w:w="867" w:type="pct"/>
            <w:vAlign w:val="center"/>
          </w:tcPr>
          <w:p w14:paraId="56DBC99F" w14:textId="77777777" w:rsidR="0046431A" w:rsidRPr="0046431A" w:rsidRDefault="0046431A" w:rsidP="0046431A">
            <w:pPr>
              <w:widowControl w:val="0"/>
              <w:ind w:left="607"/>
              <w:jc w:val="right"/>
              <w:rPr>
                <w:rFonts w:ascii="Arial Narrow" w:eastAsia="Calibri" w:hAnsi="Arial Narrow"/>
                <w:sz w:val="20"/>
                <w:szCs w:val="20"/>
                <w:lang w:val="bg-BG"/>
              </w:rPr>
            </w:pPr>
            <w:r w:rsidRPr="0046431A">
              <w:rPr>
                <w:rFonts w:ascii="Arial Narrow" w:eastAsia="Calibri" w:hAnsi="Arial Narrow"/>
                <w:sz w:val="20"/>
                <w:szCs w:val="20"/>
                <w:lang w:val="bg-BG"/>
              </w:rPr>
              <w:t>124</w:t>
            </w:r>
          </w:p>
        </w:tc>
        <w:tc>
          <w:tcPr>
            <w:tcW w:w="741" w:type="pct"/>
            <w:shd w:val="clear" w:color="auto" w:fill="auto"/>
            <w:vAlign w:val="center"/>
          </w:tcPr>
          <w:p w14:paraId="48D2C3FC" w14:textId="77777777" w:rsidR="0046431A" w:rsidRPr="0046431A" w:rsidRDefault="0046431A" w:rsidP="0046431A">
            <w:pPr>
              <w:widowControl w:val="0"/>
              <w:ind w:left="607"/>
              <w:jc w:val="right"/>
              <w:rPr>
                <w:rFonts w:ascii="Arial Narrow" w:eastAsia="Calibri" w:hAnsi="Arial Narrow"/>
                <w:sz w:val="20"/>
                <w:szCs w:val="20"/>
              </w:rPr>
            </w:pPr>
            <w:r w:rsidRPr="0046431A">
              <w:rPr>
                <w:rFonts w:ascii="Arial Narrow" w:eastAsia="Calibri" w:hAnsi="Arial Narrow"/>
                <w:sz w:val="20"/>
                <w:szCs w:val="20"/>
                <w:lang w:val="bg-BG"/>
              </w:rPr>
              <w:t>17,0</w:t>
            </w:r>
            <w:r w:rsidRPr="0046431A">
              <w:rPr>
                <w:rFonts w:ascii="Arial Narrow" w:eastAsia="Calibri" w:hAnsi="Arial Narrow"/>
                <w:sz w:val="20"/>
                <w:szCs w:val="20"/>
              </w:rPr>
              <w:t>%</w:t>
            </w:r>
          </w:p>
        </w:tc>
      </w:tr>
      <w:tr w:rsidR="0046431A" w:rsidRPr="0046431A" w14:paraId="5590CFF0" w14:textId="77777777" w:rsidTr="006D1710">
        <w:trPr>
          <w:trHeight w:val="567"/>
        </w:trPr>
        <w:tc>
          <w:tcPr>
            <w:tcW w:w="323" w:type="pct"/>
            <w:vAlign w:val="center"/>
          </w:tcPr>
          <w:p w14:paraId="43D4706C" w14:textId="77777777" w:rsidR="0046431A" w:rsidRPr="0046431A" w:rsidRDefault="0046431A" w:rsidP="0046431A">
            <w:pPr>
              <w:widowControl w:val="0"/>
              <w:rPr>
                <w:rFonts w:ascii="Arial Narrow" w:hAnsi="Arial Narrow"/>
                <w:b/>
                <w:sz w:val="20"/>
                <w:szCs w:val="20"/>
                <w:lang w:val="bg-BG"/>
              </w:rPr>
            </w:pPr>
            <w:r w:rsidRPr="0046431A">
              <w:rPr>
                <w:rFonts w:ascii="Arial Narrow" w:hAnsi="Arial Narrow"/>
                <w:b/>
                <w:sz w:val="20"/>
                <w:szCs w:val="20"/>
                <w:lang w:val="bg-BG"/>
              </w:rPr>
              <w:t>2.</w:t>
            </w:r>
          </w:p>
        </w:tc>
        <w:tc>
          <w:tcPr>
            <w:tcW w:w="2204" w:type="pct"/>
            <w:vAlign w:val="center"/>
          </w:tcPr>
          <w:p w14:paraId="47E9B7A6" w14:textId="77777777" w:rsidR="0046431A" w:rsidRPr="0046431A" w:rsidRDefault="0046431A" w:rsidP="0046431A">
            <w:pPr>
              <w:widowControl w:val="0"/>
              <w:rPr>
                <w:rFonts w:ascii="Arial Narrow" w:hAnsi="Arial Narrow"/>
                <w:b/>
                <w:sz w:val="20"/>
                <w:szCs w:val="20"/>
                <w:lang w:val="bg-BG"/>
              </w:rPr>
            </w:pPr>
            <w:r w:rsidRPr="0046431A">
              <w:rPr>
                <w:rFonts w:ascii="Arial Narrow" w:hAnsi="Arial Narrow"/>
                <w:b/>
                <w:sz w:val="20"/>
                <w:szCs w:val="20"/>
                <w:lang w:val="bg-BG"/>
              </w:rPr>
              <w:t>Одобрени оператори съгласно чл. 15, ал. 3 и ал. 4 от Закона за фуражите</w:t>
            </w:r>
          </w:p>
        </w:tc>
        <w:tc>
          <w:tcPr>
            <w:tcW w:w="866" w:type="pct"/>
            <w:vAlign w:val="center"/>
          </w:tcPr>
          <w:p w14:paraId="6C374207" w14:textId="77777777" w:rsidR="0046431A" w:rsidRPr="0046431A" w:rsidRDefault="0046431A" w:rsidP="0046431A">
            <w:pPr>
              <w:widowControl w:val="0"/>
              <w:ind w:left="607"/>
              <w:jc w:val="right"/>
              <w:rPr>
                <w:rFonts w:ascii="Arial Narrow" w:eastAsia="Calibri" w:hAnsi="Arial Narrow"/>
                <w:b/>
                <w:sz w:val="20"/>
                <w:szCs w:val="20"/>
                <w:lang w:val="bg-BG"/>
              </w:rPr>
            </w:pPr>
            <w:r w:rsidRPr="0046431A">
              <w:rPr>
                <w:rFonts w:ascii="Arial Narrow" w:eastAsia="Calibri" w:hAnsi="Arial Narrow"/>
                <w:b/>
                <w:sz w:val="20"/>
                <w:szCs w:val="20"/>
                <w:lang w:val="bg-BG"/>
              </w:rPr>
              <w:t>143*</w:t>
            </w:r>
          </w:p>
        </w:tc>
        <w:tc>
          <w:tcPr>
            <w:tcW w:w="867" w:type="pct"/>
            <w:shd w:val="clear" w:color="auto" w:fill="auto"/>
            <w:vAlign w:val="center"/>
          </w:tcPr>
          <w:p w14:paraId="1EED07DF" w14:textId="77777777" w:rsidR="0046431A" w:rsidRPr="0046431A" w:rsidRDefault="0046431A" w:rsidP="0046431A">
            <w:pPr>
              <w:widowControl w:val="0"/>
              <w:ind w:left="607"/>
              <w:jc w:val="right"/>
              <w:rPr>
                <w:rFonts w:ascii="Arial Narrow" w:eastAsia="Calibri" w:hAnsi="Arial Narrow"/>
                <w:b/>
                <w:sz w:val="20"/>
                <w:szCs w:val="20"/>
                <w:lang w:val="bg-BG"/>
              </w:rPr>
            </w:pPr>
            <w:r w:rsidRPr="0046431A">
              <w:rPr>
                <w:rFonts w:ascii="Arial Narrow" w:eastAsia="Calibri" w:hAnsi="Arial Narrow"/>
                <w:b/>
                <w:sz w:val="20"/>
                <w:szCs w:val="20"/>
                <w:lang w:val="bg-BG"/>
              </w:rPr>
              <w:t>139</w:t>
            </w:r>
          </w:p>
        </w:tc>
        <w:tc>
          <w:tcPr>
            <w:tcW w:w="741" w:type="pct"/>
            <w:shd w:val="clear" w:color="auto" w:fill="auto"/>
            <w:vAlign w:val="center"/>
          </w:tcPr>
          <w:p w14:paraId="0653BD46" w14:textId="77777777" w:rsidR="0046431A" w:rsidRPr="0046431A" w:rsidRDefault="0046431A" w:rsidP="0046431A">
            <w:pPr>
              <w:widowControl w:val="0"/>
              <w:ind w:left="607"/>
              <w:jc w:val="right"/>
              <w:rPr>
                <w:rFonts w:ascii="Arial Narrow" w:eastAsia="Calibri" w:hAnsi="Arial Narrow"/>
                <w:b/>
                <w:sz w:val="20"/>
                <w:szCs w:val="20"/>
              </w:rPr>
            </w:pPr>
            <w:r w:rsidRPr="0046431A">
              <w:rPr>
                <w:rFonts w:ascii="Arial Narrow" w:eastAsia="Calibri" w:hAnsi="Arial Narrow"/>
                <w:b/>
                <w:sz w:val="20"/>
                <w:szCs w:val="20"/>
                <w:lang w:val="bg-BG"/>
              </w:rPr>
              <w:t>-2,8</w:t>
            </w:r>
            <w:r w:rsidRPr="0046431A">
              <w:rPr>
                <w:rFonts w:ascii="Arial Narrow" w:eastAsia="Calibri" w:hAnsi="Arial Narrow"/>
                <w:b/>
                <w:sz w:val="20"/>
                <w:szCs w:val="20"/>
              </w:rPr>
              <w:t>%</w:t>
            </w:r>
          </w:p>
        </w:tc>
      </w:tr>
      <w:tr w:rsidR="0046431A" w:rsidRPr="0046431A" w14:paraId="5BCABB19" w14:textId="77777777" w:rsidTr="006D1710">
        <w:trPr>
          <w:trHeight w:val="340"/>
        </w:trPr>
        <w:tc>
          <w:tcPr>
            <w:tcW w:w="323" w:type="pct"/>
            <w:vAlign w:val="center"/>
          </w:tcPr>
          <w:p w14:paraId="2F861C28" w14:textId="77777777" w:rsidR="0046431A" w:rsidRPr="0046431A" w:rsidRDefault="0046431A" w:rsidP="0046431A">
            <w:pPr>
              <w:widowControl w:val="0"/>
              <w:rPr>
                <w:rFonts w:ascii="Arial Narrow" w:hAnsi="Arial Narrow"/>
                <w:sz w:val="20"/>
                <w:szCs w:val="20"/>
                <w:lang w:val="bg-BG"/>
              </w:rPr>
            </w:pPr>
            <w:r w:rsidRPr="0046431A">
              <w:rPr>
                <w:rFonts w:ascii="Arial Narrow" w:hAnsi="Arial Narrow"/>
                <w:sz w:val="20"/>
                <w:szCs w:val="20"/>
                <w:lang w:val="bg-BG"/>
              </w:rPr>
              <w:t>2.1.</w:t>
            </w:r>
          </w:p>
        </w:tc>
        <w:tc>
          <w:tcPr>
            <w:tcW w:w="2204" w:type="pct"/>
            <w:vAlign w:val="center"/>
          </w:tcPr>
          <w:p w14:paraId="46F2E892" w14:textId="77777777" w:rsidR="0046431A" w:rsidRPr="0046431A" w:rsidRDefault="0046431A" w:rsidP="0046431A">
            <w:pPr>
              <w:widowControl w:val="0"/>
              <w:rPr>
                <w:rFonts w:ascii="Arial Narrow" w:hAnsi="Arial Narrow"/>
                <w:sz w:val="20"/>
                <w:szCs w:val="20"/>
                <w:lang w:val="bg-BG"/>
              </w:rPr>
            </w:pPr>
            <w:r w:rsidRPr="0046431A">
              <w:rPr>
                <w:rFonts w:ascii="Arial Narrow" w:hAnsi="Arial Narrow"/>
                <w:sz w:val="20"/>
                <w:szCs w:val="20"/>
                <w:lang w:val="bg-BG"/>
              </w:rPr>
              <w:t>Производители на комбинирани фуражи</w:t>
            </w:r>
          </w:p>
        </w:tc>
        <w:tc>
          <w:tcPr>
            <w:tcW w:w="866" w:type="pct"/>
            <w:vAlign w:val="center"/>
          </w:tcPr>
          <w:p w14:paraId="6FD11229" w14:textId="77777777" w:rsidR="0046431A" w:rsidRPr="0046431A" w:rsidRDefault="0046431A" w:rsidP="0046431A">
            <w:pPr>
              <w:widowControl w:val="0"/>
              <w:ind w:left="607"/>
              <w:jc w:val="right"/>
              <w:rPr>
                <w:rFonts w:ascii="Arial Narrow" w:eastAsia="Calibri" w:hAnsi="Arial Narrow"/>
                <w:sz w:val="20"/>
                <w:szCs w:val="20"/>
                <w:lang w:val="bg-BG"/>
              </w:rPr>
            </w:pPr>
            <w:r w:rsidRPr="0046431A">
              <w:rPr>
                <w:rFonts w:ascii="Arial Narrow" w:eastAsia="Calibri" w:hAnsi="Arial Narrow"/>
                <w:sz w:val="20"/>
                <w:szCs w:val="20"/>
                <w:lang w:val="bg-BG"/>
              </w:rPr>
              <w:t>46</w:t>
            </w:r>
          </w:p>
        </w:tc>
        <w:tc>
          <w:tcPr>
            <w:tcW w:w="867" w:type="pct"/>
            <w:shd w:val="clear" w:color="auto" w:fill="auto"/>
            <w:vAlign w:val="center"/>
          </w:tcPr>
          <w:p w14:paraId="42B2A907" w14:textId="77777777" w:rsidR="0046431A" w:rsidRPr="0046431A" w:rsidRDefault="0046431A" w:rsidP="0046431A">
            <w:pPr>
              <w:widowControl w:val="0"/>
              <w:ind w:left="607"/>
              <w:jc w:val="right"/>
              <w:rPr>
                <w:rFonts w:ascii="Arial Narrow" w:eastAsia="Calibri" w:hAnsi="Arial Narrow"/>
                <w:sz w:val="20"/>
                <w:szCs w:val="20"/>
                <w:lang w:val="bg-BG"/>
              </w:rPr>
            </w:pPr>
            <w:r w:rsidRPr="0046431A">
              <w:rPr>
                <w:rFonts w:ascii="Arial Narrow" w:eastAsia="Calibri" w:hAnsi="Arial Narrow"/>
                <w:sz w:val="20"/>
                <w:szCs w:val="20"/>
                <w:lang w:val="bg-BG"/>
              </w:rPr>
              <w:t>45</w:t>
            </w:r>
          </w:p>
        </w:tc>
        <w:tc>
          <w:tcPr>
            <w:tcW w:w="741" w:type="pct"/>
            <w:shd w:val="clear" w:color="auto" w:fill="auto"/>
            <w:vAlign w:val="center"/>
          </w:tcPr>
          <w:p w14:paraId="5B0B4E61" w14:textId="77777777" w:rsidR="0046431A" w:rsidRPr="0046431A" w:rsidRDefault="0046431A" w:rsidP="0046431A">
            <w:pPr>
              <w:widowControl w:val="0"/>
              <w:ind w:left="607"/>
              <w:jc w:val="right"/>
              <w:rPr>
                <w:rFonts w:ascii="Arial Narrow" w:eastAsia="Calibri" w:hAnsi="Arial Narrow"/>
                <w:sz w:val="20"/>
                <w:szCs w:val="20"/>
              </w:rPr>
            </w:pPr>
            <w:r w:rsidRPr="0046431A">
              <w:rPr>
                <w:rFonts w:ascii="Arial Narrow" w:eastAsia="Calibri" w:hAnsi="Arial Narrow"/>
                <w:sz w:val="20"/>
                <w:szCs w:val="20"/>
                <w:lang w:val="bg-BG"/>
              </w:rPr>
              <w:t>-2,2</w:t>
            </w:r>
            <w:r w:rsidRPr="0046431A">
              <w:rPr>
                <w:rFonts w:ascii="Arial Narrow" w:eastAsia="Calibri" w:hAnsi="Arial Narrow"/>
                <w:sz w:val="20"/>
                <w:szCs w:val="20"/>
              </w:rPr>
              <w:t>%</w:t>
            </w:r>
          </w:p>
        </w:tc>
      </w:tr>
      <w:tr w:rsidR="0046431A" w:rsidRPr="0046431A" w14:paraId="6B939F5E" w14:textId="77777777" w:rsidTr="006D1710">
        <w:trPr>
          <w:trHeight w:val="340"/>
        </w:trPr>
        <w:tc>
          <w:tcPr>
            <w:tcW w:w="323" w:type="pct"/>
            <w:vAlign w:val="center"/>
          </w:tcPr>
          <w:p w14:paraId="0B78A273" w14:textId="77777777" w:rsidR="0046431A" w:rsidRPr="0046431A" w:rsidRDefault="0046431A" w:rsidP="0046431A">
            <w:pPr>
              <w:widowControl w:val="0"/>
              <w:rPr>
                <w:rFonts w:ascii="Arial Narrow" w:hAnsi="Arial Narrow"/>
                <w:sz w:val="20"/>
                <w:szCs w:val="20"/>
                <w:lang w:val="bg-BG"/>
              </w:rPr>
            </w:pPr>
            <w:r w:rsidRPr="0046431A">
              <w:rPr>
                <w:rFonts w:ascii="Arial Narrow" w:hAnsi="Arial Narrow"/>
                <w:sz w:val="20"/>
                <w:szCs w:val="20"/>
                <w:lang w:val="bg-BG"/>
              </w:rPr>
              <w:t>2.2.</w:t>
            </w:r>
          </w:p>
        </w:tc>
        <w:tc>
          <w:tcPr>
            <w:tcW w:w="2204" w:type="pct"/>
            <w:vAlign w:val="center"/>
          </w:tcPr>
          <w:p w14:paraId="2DFCCCA0" w14:textId="77777777" w:rsidR="0046431A" w:rsidRPr="0046431A" w:rsidRDefault="0046431A" w:rsidP="0046431A">
            <w:pPr>
              <w:widowControl w:val="0"/>
              <w:rPr>
                <w:rFonts w:ascii="Arial Narrow" w:hAnsi="Arial Narrow"/>
                <w:sz w:val="20"/>
                <w:szCs w:val="20"/>
                <w:lang w:val="bg-BG"/>
              </w:rPr>
            </w:pPr>
            <w:r w:rsidRPr="0046431A">
              <w:rPr>
                <w:rFonts w:ascii="Arial Narrow" w:hAnsi="Arial Narrow"/>
                <w:sz w:val="20"/>
                <w:szCs w:val="20"/>
                <w:lang w:val="bg-BG"/>
              </w:rPr>
              <w:t>Производители на фуражни добавки</w:t>
            </w:r>
          </w:p>
        </w:tc>
        <w:tc>
          <w:tcPr>
            <w:tcW w:w="866" w:type="pct"/>
            <w:vAlign w:val="center"/>
          </w:tcPr>
          <w:p w14:paraId="5642EE77" w14:textId="77777777" w:rsidR="0046431A" w:rsidRPr="0046431A" w:rsidRDefault="0046431A" w:rsidP="0046431A">
            <w:pPr>
              <w:widowControl w:val="0"/>
              <w:ind w:left="607"/>
              <w:jc w:val="right"/>
              <w:rPr>
                <w:rFonts w:ascii="Arial Narrow" w:eastAsia="Calibri" w:hAnsi="Arial Narrow"/>
                <w:sz w:val="20"/>
                <w:szCs w:val="20"/>
                <w:lang w:val="bg-BG"/>
              </w:rPr>
            </w:pPr>
            <w:r w:rsidRPr="0046431A">
              <w:rPr>
                <w:rFonts w:ascii="Arial Narrow" w:eastAsia="Calibri" w:hAnsi="Arial Narrow"/>
                <w:sz w:val="20"/>
                <w:szCs w:val="20"/>
                <w:lang w:val="bg-BG"/>
              </w:rPr>
              <w:t>7</w:t>
            </w:r>
          </w:p>
        </w:tc>
        <w:tc>
          <w:tcPr>
            <w:tcW w:w="867" w:type="pct"/>
            <w:shd w:val="clear" w:color="auto" w:fill="auto"/>
            <w:vAlign w:val="center"/>
          </w:tcPr>
          <w:p w14:paraId="60C32AFD" w14:textId="77777777" w:rsidR="0046431A" w:rsidRPr="0046431A" w:rsidRDefault="0046431A" w:rsidP="0046431A">
            <w:pPr>
              <w:widowControl w:val="0"/>
              <w:ind w:left="607"/>
              <w:jc w:val="right"/>
              <w:rPr>
                <w:rFonts w:ascii="Arial Narrow" w:eastAsia="Calibri" w:hAnsi="Arial Narrow"/>
                <w:sz w:val="20"/>
                <w:szCs w:val="20"/>
                <w:lang w:val="bg-BG"/>
              </w:rPr>
            </w:pPr>
            <w:r w:rsidRPr="0046431A">
              <w:rPr>
                <w:rFonts w:ascii="Arial Narrow" w:eastAsia="Calibri" w:hAnsi="Arial Narrow"/>
                <w:sz w:val="20"/>
                <w:szCs w:val="20"/>
                <w:lang w:val="bg-BG"/>
              </w:rPr>
              <w:t>7</w:t>
            </w:r>
          </w:p>
        </w:tc>
        <w:tc>
          <w:tcPr>
            <w:tcW w:w="741" w:type="pct"/>
            <w:shd w:val="clear" w:color="auto" w:fill="auto"/>
            <w:vAlign w:val="center"/>
          </w:tcPr>
          <w:p w14:paraId="3A550AFF" w14:textId="77777777" w:rsidR="0046431A" w:rsidRPr="0046431A" w:rsidRDefault="0046431A" w:rsidP="0046431A">
            <w:pPr>
              <w:widowControl w:val="0"/>
              <w:ind w:left="607"/>
              <w:jc w:val="right"/>
              <w:rPr>
                <w:rFonts w:ascii="Arial Narrow" w:eastAsia="Calibri" w:hAnsi="Arial Narrow"/>
                <w:sz w:val="20"/>
                <w:szCs w:val="20"/>
              </w:rPr>
            </w:pPr>
            <w:r w:rsidRPr="0046431A">
              <w:rPr>
                <w:rFonts w:ascii="Arial Narrow" w:eastAsia="Calibri" w:hAnsi="Arial Narrow"/>
                <w:sz w:val="20"/>
                <w:szCs w:val="20"/>
                <w:lang w:val="bg-BG"/>
              </w:rPr>
              <w:t>0,0</w:t>
            </w:r>
            <w:r w:rsidRPr="0046431A">
              <w:rPr>
                <w:rFonts w:ascii="Arial Narrow" w:eastAsia="Calibri" w:hAnsi="Arial Narrow"/>
                <w:sz w:val="20"/>
                <w:szCs w:val="20"/>
              </w:rPr>
              <w:t>%</w:t>
            </w:r>
          </w:p>
        </w:tc>
      </w:tr>
      <w:tr w:rsidR="0046431A" w:rsidRPr="0046431A" w14:paraId="0C9A0625" w14:textId="77777777" w:rsidTr="006D1710">
        <w:trPr>
          <w:trHeight w:val="340"/>
        </w:trPr>
        <w:tc>
          <w:tcPr>
            <w:tcW w:w="323" w:type="pct"/>
            <w:vAlign w:val="center"/>
          </w:tcPr>
          <w:p w14:paraId="1955C4F9" w14:textId="77777777" w:rsidR="0046431A" w:rsidRPr="0046431A" w:rsidRDefault="0046431A" w:rsidP="0046431A">
            <w:pPr>
              <w:widowControl w:val="0"/>
              <w:rPr>
                <w:rFonts w:ascii="Arial Narrow" w:hAnsi="Arial Narrow"/>
                <w:sz w:val="20"/>
                <w:szCs w:val="20"/>
                <w:lang w:val="bg-BG"/>
              </w:rPr>
            </w:pPr>
            <w:r w:rsidRPr="0046431A">
              <w:rPr>
                <w:rFonts w:ascii="Arial Narrow" w:hAnsi="Arial Narrow"/>
                <w:sz w:val="20"/>
                <w:szCs w:val="20"/>
                <w:lang w:val="bg-BG"/>
              </w:rPr>
              <w:t>2.3.</w:t>
            </w:r>
          </w:p>
        </w:tc>
        <w:tc>
          <w:tcPr>
            <w:tcW w:w="2204" w:type="pct"/>
            <w:vAlign w:val="center"/>
          </w:tcPr>
          <w:p w14:paraId="0A72469F" w14:textId="77777777" w:rsidR="0046431A" w:rsidRPr="0046431A" w:rsidRDefault="0046431A" w:rsidP="0046431A">
            <w:pPr>
              <w:widowControl w:val="0"/>
              <w:rPr>
                <w:rFonts w:ascii="Arial Narrow" w:hAnsi="Arial Narrow"/>
                <w:sz w:val="20"/>
                <w:szCs w:val="20"/>
                <w:lang w:val="bg-BG"/>
              </w:rPr>
            </w:pPr>
            <w:r w:rsidRPr="0046431A">
              <w:rPr>
                <w:rFonts w:ascii="Arial Narrow" w:hAnsi="Arial Narrow"/>
                <w:sz w:val="20"/>
                <w:szCs w:val="20"/>
                <w:lang w:val="bg-BG"/>
              </w:rPr>
              <w:t>Производители на премикси от добавки</w:t>
            </w:r>
          </w:p>
        </w:tc>
        <w:tc>
          <w:tcPr>
            <w:tcW w:w="866" w:type="pct"/>
            <w:vAlign w:val="center"/>
          </w:tcPr>
          <w:p w14:paraId="5D0C0426" w14:textId="77777777" w:rsidR="0046431A" w:rsidRPr="0046431A" w:rsidRDefault="0046431A" w:rsidP="0046431A">
            <w:pPr>
              <w:widowControl w:val="0"/>
              <w:ind w:left="607"/>
              <w:jc w:val="right"/>
              <w:rPr>
                <w:rFonts w:ascii="Arial Narrow" w:eastAsia="Calibri" w:hAnsi="Arial Narrow"/>
                <w:sz w:val="20"/>
                <w:szCs w:val="20"/>
                <w:lang w:val="bg-BG"/>
              </w:rPr>
            </w:pPr>
            <w:r w:rsidRPr="0046431A">
              <w:rPr>
                <w:rFonts w:ascii="Arial Narrow" w:eastAsia="Calibri" w:hAnsi="Arial Narrow"/>
                <w:sz w:val="20"/>
                <w:szCs w:val="20"/>
                <w:lang w:val="bg-BG"/>
              </w:rPr>
              <w:t>5</w:t>
            </w:r>
          </w:p>
        </w:tc>
        <w:tc>
          <w:tcPr>
            <w:tcW w:w="867" w:type="pct"/>
            <w:shd w:val="clear" w:color="auto" w:fill="auto"/>
            <w:vAlign w:val="center"/>
          </w:tcPr>
          <w:p w14:paraId="3107FD19" w14:textId="77777777" w:rsidR="0046431A" w:rsidRPr="0046431A" w:rsidRDefault="0046431A" w:rsidP="0046431A">
            <w:pPr>
              <w:widowControl w:val="0"/>
              <w:ind w:left="607"/>
              <w:jc w:val="right"/>
              <w:rPr>
                <w:rFonts w:ascii="Arial Narrow" w:eastAsia="Calibri" w:hAnsi="Arial Narrow"/>
                <w:sz w:val="20"/>
                <w:szCs w:val="20"/>
                <w:lang w:val="bg-BG"/>
              </w:rPr>
            </w:pPr>
            <w:r w:rsidRPr="0046431A">
              <w:rPr>
                <w:rFonts w:ascii="Arial Narrow" w:eastAsia="Calibri" w:hAnsi="Arial Narrow"/>
                <w:sz w:val="20"/>
                <w:szCs w:val="20"/>
                <w:lang w:val="bg-BG"/>
              </w:rPr>
              <w:t>5</w:t>
            </w:r>
          </w:p>
        </w:tc>
        <w:tc>
          <w:tcPr>
            <w:tcW w:w="741" w:type="pct"/>
            <w:shd w:val="clear" w:color="auto" w:fill="auto"/>
            <w:vAlign w:val="center"/>
          </w:tcPr>
          <w:p w14:paraId="1A857303" w14:textId="77777777" w:rsidR="0046431A" w:rsidRPr="0046431A" w:rsidRDefault="0046431A" w:rsidP="0046431A">
            <w:pPr>
              <w:widowControl w:val="0"/>
              <w:ind w:left="607"/>
              <w:jc w:val="right"/>
              <w:rPr>
                <w:rFonts w:ascii="Arial Narrow" w:eastAsia="Calibri" w:hAnsi="Arial Narrow"/>
                <w:sz w:val="20"/>
                <w:szCs w:val="20"/>
              </w:rPr>
            </w:pPr>
            <w:r w:rsidRPr="0046431A">
              <w:rPr>
                <w:rFonts w:ascii="Arial Narrow" w:eastAsia="Calibri" w:hAnsi="Arial Narrow"/>
                <w:sz w:val="20"/>
                <w:szCs w:val="20"/>
                <w:lang w:val="bg-BG"/>
              </w:rPr>
              <w:t>0,0</w:t>
            </w:r>
            <w:r w:rsidRPr="0046431A">
              <w:rPr>
                <w:rFonts w:ascii="Arial Narrow" w:eastAsia="Calibri" w:hAnsi="Arial Narrow"/>
                <w:sz w:val="20"/>
                <w:szCs w:val="20"/>
              </w:rPr>
              <w:t>%</w:t>
            </w:r>
          </w:p>
        </w:tc>
      </w:tr>
      <w:tr w:rsidR="0046431A" w:rsidRPr="0046431A" w14:paraId="22CC3E12" w14:textId="77777777" w:rsidTr="006D1710">
        <w:trPr>
          <w:trHeight w:val="340"/>
        </w:trPr>
        <w:tc>
          <w:tcPr>
            <w:tcW w:w="323" w:type="pct"/>
            <w:vAlign w:val="center"/>
          </w:tcPr>
          <w:p w14:paraId="0BEA7AEF" w14:textId="77777777" w:rsidR="0046431A" w:rsidRPr="0046431A" w:rsidRDefault="0046431A" w:rsidP="0046431A">
            <w:pPr>
              <w:widowControl w:val="0"/>
              <w:rPr>
                <w:rFonts w:ascii="Arial Narrow" w:hAnsi="Arial Narrow"/>
                <w:sz w:val="20"/>
                <w:szCs w:val="20"/>
                <w:lang w:val="bg-BG"/>
              </w:rPr>
            </w:pPr>
            <w:r w:rsidRPr="0046431A">
              <w:rPr>
                <w:rFonts w:ascii="Arial Narrow" w:hAnsi="Arial Narrow"/>
                <w:sz w:val="20"/>
                <w:szCs w:val="20"/>
                <w:lang w:val="bg-BG"/>
              </w:rPr>
              <w:t>2.4.</w:t>
            </w:r>
          </w:p>
        </w:tc>
        <w:tc>
          <w:tcPr>
            <w:tcW w:w="2204" w:type="pct"/>
            <w:vAlign w:val="center"/>
          </w:tcPr>
          <w:p w14:paraId="3D7ACCDC" w14:textId="77777777" w:rsidR="0046431A" w:rsidRPr="0046431A" w:rsidRDefault="0046431A" w:rsidP="0046431A">
            <w:pPr>
              <w:widowControl w:val="0"/>
              <w:rPr>
                <w:rFonts w:ascii="Arial Narrow" w:hAnsi="Arial Narrow"/>
                <w:sz w:val="20"/>
                <w:szCs w:val="20"/>
                <w:lang w:val="bg-BG"/>
              </w:rPr>
            </w:pPr>
            <w:r w:rsidRPr="0046431A">
              <w:rPr>
                <w:rFonts w:ascii="Arial Narrow" w:hAnsi="Arial Narrow"/>
                <w:sz w:val="20"/>
                <w:szCs w:val="20"/>
                <w:lang w:val="bg-BG"/>
              </w:rPr>
              <w:t>Търговци на фуражни добавки и премикси</w:t>
            </w:r>
          </w:p>
        </w:tc>
        <w:tc>
          <w:tcPr>
            <w:tcW w:w="866" w:type="pct"/>
            <w:vAlign w:val="center"/>
          </w:tcPr>
          <w:p w14:paraId="2B11E9F1" w14:textId="77777777" w:rsidR="0046431A" w:rsidRPr="0046431A" w:rsidRDefault="0046431A" w:rsidP="0046431A">
            <w:pPr>
              <w:widowControl w:val="0"/>
              <w:ind w:left="607"/>
              <w:jc w:val="right"/>
              <w:rPr>
                <w:rFonts w:ascii="Arial Narrow" w:eastAsia="Calibri" w:hAnsi="Arial Narrow"/>
                <w:sz w:val="20"/>
                <w:szCs w:val="20"/>
                <w:lang w:val="bg-BG"/>
              </w:rPr>
            </w:pPr>
            <w:r w:rsidRPr="0046431A">
              <w:rPr>
                <w:rFonts w:ascii="Arial Narrow" w:eastAsia="Calibri" w:hAnsi="Arial Narrow"/>
                <w:sz w:val="20"/>
                <w:szCs w:val="20"/>
                <w:lang w:val="bg-BG"/>
              </w:rPr>
              <w:t>78</w:t>
            </w:r>
          </w:p>
        </w:tc>
        <w:tc>
          <w:tcPr>
            <w:tcW w:w="867" w:type="pct"/>
            <w:shd w:val="clear" w:color="auto" w:fill="auto"/>
            <w:vAlign w:val="center"/>
          </w:tcPr>
          <w:p w14:paraId="69488A1B" w14:textId="77777777" w:rsidR="0046431A" w:rsidRPr="0046431A" w:rsidRDefault="0046431A" w:rsidP="0046431A">
            <w:pPr>
              <w:widowControl w:val="0"/>
              <w:ind w:left="607"/>
              <w:jc w:val="right"/>
              <w:rPr>
                <w:rFonts w:ascii="Arial Narrow" w:eastAsia="Calibri" w:hAnsi="Arial Narrow"/>
                <w:sz w:val="20"/>
                <w:szCs w:val="20"/>
                <w:lang w:val="bg-BG"/>
              </w:rPr>
            </w:pPr>
            <w:r w:rsidRPr="0046431A">
              <w:rPr>
                <w:rFonts w:ascii="Arial Narrow" w:eastAsia="Calibri" w:hAnsi="Arial Narrow"/>
                <w:sz w:val="20"/>
                <w:szCs w:val="20"/>
                <w:lang w:val="bg-BG"/>
              </w:rPr>
              <w:t>76</w:t>
            </w:r>
          </w:p>
        </w:tc>
        <w:tc>
          <w:tcPr>
            <w:tcW w:w="741" w:type="pct"/>
            <w:shd w:val="clear" w:color="auto" w:fill="auto"/>
            <w:vAlign w:val="center"/>
          </w:tcPr>
          <w:p w14:paraId="1EE7198F" w14:textId="77777777" w:rsidR="0046431A" w:rsidRPr="0046431A" w:rsidRDefault="0046431A" w:rsidP="0046431A">
            <w:pPr>
              <w:widowControl w:val="0"/>
              <w:ind w:left="607"/>
              <w:jc w:val="right"/>
              <w:rPr>
                <w:rFonts w:ascii="Arial Narrow" w:eastAsia="Calibri" w:hAnsi="Arial Narrow"/>
                <w:sz w:val="20"/>
                <w:szCs w:val="20"/>
              </w:rPr>
            </w:pPr>
            <w:r w:rsidRPr="0046431A">
              <w:rPr>
                <w:rFonts w:ascii="Arial Narrow" w:eastAsia="Calibri" w:hAnsi="Arial Narrow"/>
                <w:sz w:val="20"/>
                <w:szCs w:val="20"/>
                <w:lang w:val="bg-BG"/>
              </w:rPr>
              <w:t>-2,6</w:t>
            </w:r>
            <w:r w:rsidRPr="0046431A">
              <w:rPr>
                <w:rFonts w:ascii="Arial Narrow" w:eastAsia="Calibri" w:hAnsi="Arial Narrow"/>
                <w:sz w:val="20"/>
                <w:szCs w:val="20"/>
              </w:rPr>
              <w:t>%</w:t>
            </w:r>
          </w:p>
        </w:tc>
      </w:tr>
      <w:tr w:rsidR="0046431A" w:rsidRPr="0046431A" w14:paraId="543C8B2B" w14:textId="77777777" w:rsidTr="006D1710">
        <w:trPr>
          <w:trHeight w:val="2265"/>
        </w:trPr>
        <w:tc>
          <w:tcPr>
            <w:tcW w:w="323" w:type="pct"/>
            <w:vAlign w:val="center"/>
          </w:tcPr>
          <w:p w14:paraId="1075F815" w14:textId="77777777" w:rsidR="0046431A" w:rsidRPr="0046431A" w:rsidRDefault="0046431A" w:rsidP="0046431A">
            <w:pPr>
              <w:widowControl w:val="0"/>
              <w:rPr>
                <w:rFonts w:ascii="Arial Narrow" w:hAnsi="Arial Narrow"/>
                <w:sz w:val="20"/>
                <w:szCs w:val="20"/>
                <w:lang w:val="bg-BG"/>
              </w:rPr>
            </w:pPr>
            <w:r w:rsidRPr="0046431A">
              <w:rPr>
                <w:rFonts w:ascii="Arial Narrow" w:hAnsi="Arial Narrow"/>
                <w:sz w:val="20"/>
                <w:szCs w:val="20"/>
                <w:lang w:val="bg-BG"/>
              </w:rPr>
              <w:lastRenderedPageBreak/>
              <w:t>2.5.</w:t>
            </w:r>
          </w:p>
        </w:tc>
        <w:tc>
          <w:tcPr>
            <w:tcW w:w="2204" w:type="pct"/>
            <w:vAlign w:val="center"/>
          </w:tcPr>
          <w:p w14:paraId="18BAF24E" w14:textId="77777777" w:rsidR="0046431A" w:rsidRPr="0046431A" w:rsidRDefault="0046431A" w:rsidP="0046431A">
            <w:pPr>
              <w:widowControl w:val="0"/>
              <w:rPr>
                <w:rFonts w:ascii="Arial Narrow" w:eastAsia="Calibri" w:hAnsi="Arial Narrow"/>
                <w:bCs/>
                <w:sz w:val="20"/>
                <w:szCs w:val="20"/>
                <w:lang w:val="bg-BG"/>
              </w:rPr>
            </w:pPr>
            <w:r w:rsidRPr="0046431A">
              <w:rPr>
                <w:rFonts w:ascii="Arial Narrow" w:eastAsia="Calibri" w:hAnsi="Arial Narrow"/>
                <w:bCs/>
                <w:sz w:val="20"/>
                <w:szCs w:val="20"/>
                <w:lang w:val="bg-BG"/>
              </w:rPr>
              <w:t xml:space="preserve">Оператори, извършващи: </w:t>
            </w:r>
          </w:p>
          <w:p w14:paraId="56EE6869" w14:textId="77777777" w:rsidR="0046431A" w:rsidRPr="0046431A" w:rsidRDefault="0046431A" w:rsidP="0046431A">
            <w:pPr>
              <w:widowControl w:val="0"/>
              <w:rPr>
                <w:rFonts w:ascii="Arial Narrow" w:eastAsia="Calibri" w:hAnsi="Arial Narrow"/>
                <w:bCs/>
                <w:sz w:val="20"/>
                <w:szCs w:val="20"/>
                <w:lang w:val="bg-BG"/>
              </w:rPr>
            </w:pPr>
            <w:r w:rsidRPr="0046431A">
              <w:rPr>
                <w:rFonts w:ascii="Arial Narrow" w:eastAsia="Calibri" w:hAnsi="Arial Narrow"/>
                <w:bCs/>
                <w:sz w:val="20"/>
                <w:szCs w:val="20"/>
                <w:lang w:val="bg-BG"/>
              </w:rPr>
              <w:t>- обработка на сурово растително масло с изключение на обекти, които са регистрирани по Закона за храните и/или</w:t>
            </w:r>
          </w:p>
          <w:p w14:paraId="13286854" w14:textId="77777777" w:rsidR="0046431A" w:rsidRPr="0046431A" w:rsidRDefault="0046431A" w:rsidP="0046431A">
            <w:pPr>
              <w:widowControl w:val="0"/>
              <w:rPr>
                <w:rFonts w:ascii="Arial Narrow" w:eastAsia="Calibri" w:hAnsi="Arial Narrow"/>
                <w:bCs/>
                <w:sz w:val="20"/>
                <w:szCs w:val="20"/>
                <w:lang w:val="bg-BG"/>
              </w:rPr>
            </w:pPr>
            <w:r w:rsidRPr="0046431A">
              <w:rPr>
                <w:rFonts w:ascii="Arial Narrow" w:eastAsia="Calibri" w:hAnsi="Arial Narrow"/>
                <w:bCs/>
                <w:sz w:val="20"/>
                <w:szCs w:val="20"/>
                <w:lang w:val="bg-BG"/>
              </w:rPr>
              <w:t>- производство на мастни киселини чрез преработката на растителни масла и животински мазнини, производство на биодизел и смесване на мазнини и/или</w:t>
            </w:r>
          </w:p>
          <w:p w14:paraId="10370C60" w14:textId="77777777" w:rsidR="0046431A" w:rsidRPr="0046431A" w:rsidRDefault="0046431A" w:rsidP="0046431A">
            <w:pPr>
              <w:widowControl w:val="0"/>
              <w:rPr>
                <w:rFonts w:ascii="Arial Narrow" w:eastAsia="Calibri" w:hAnsi="Arial Narrow"/>
                <w:bCs/>
                <w:sz w:val="20"/>
                <w:szCs w:val="20"/>
                <w:lang w:val="bg-BG"/>
              </w:rPr>
            </w:pPr>
            <w:r w:rsidRPr="0046431A">
              <w:rPr>
                <w:rFonts w:ascii="Arial Narrow" w:eastAsia="Calibri" w:hAnsi="Arial Narrow"/>
                <w:bCs/>
                <w:sz w:val="20"/>
                <w:szCs w:val="20"/>
                <w:lang w:val="bg-BG"/>
              </w:rPr>
              <w:t>- дейност смесване на мазнини и/или</w:t>
            </w:r>
          </w:p>
          <w:p w14:paraId="2AE278A5" w14:textId="77777777" w:rsidR="0046431A" w:rsidRPr="0046431A" w:rsidRDefault="0046431A" w:rsidP="0046431A">
            <w:pPr>
              <w:widowControl w:val="0"/>
              <w:rPr>
                <w:rFonts w:ascii="Arial Narrow" w:hAnsi="Arial Narrow"/>
                <w:sz w:val="20"/>
                <w:szCs w:val="20"/>
                <w:lang w:val="bg-BG"/>
              </w:rPr>
            </w:pPr>
            <w:r w:rsidRPr="0046431A">
              <w:rPr>
                <w:rFonts w:ascii="Arial Narrow" w:eastAsia="Calibri" w:hAnsi="Arial Narrow"/>
                <w:bCs/>
                <w:sz w:val="20"/>
                <w:szCs w:val="20"/>
                <w:lang w:val="bg-BG"/>
              </w:rPr>
              <w:t>- произвеждащи биодизел</w:t>
            </w:r>
          </w:p>
        </w:tc>
        <w:tc>
          <w:tcPr>
            <w:tcW w:w="866" w:type="pct"/>
            <w:vAlign w:val="center"/>
          </w:tcPr>
          <w:p w14:paraId="4D3B2D81" w14:textId="77777777" w:rsidR="0046431A" w:rsidRPr="0046431A" w:rsidRDefault="0046431A" w:rsidP="0046431A">
            <w:pPr>
              <w:widowControl w:val="0"/>
              <w:ind w:left="607"/>
              <w:jc w:val="right"/>
              <w:rPr>
                <w:rFonts w:ascii="Arial Narrow" w:eastAsia="Calibri" w:hAnsi="Arial Narrow"/>
                <w:sz w:val="20"/>
                <w:szCs w:val="20"/>
                <w:lang w:val="bg-BG"/>
              </w:rPr>
            </w:pPr>
            <w:r w:rsidRPr="0046431A">
              <w:rPr>
                <w:rFonts w:ascii="Arial Narrow" w:eastAsia="Calibri" w:hAnsi="Arial Narrow"/>
                <w:sz w:val="20"/>
                <w:szCs w:val="20"/>
                <w:lang w:val="bg-BG"/>
              </w:rPr>
              <w:t>6</w:t>
            </w:r>
          </w:p>
        </w:tc>
        <w:tc>
          <w:tcPr>
            <w:tcW w:w="867" w:type="pct"/>
            <w:shd w:val="clear" w:color="auto" w:fill="auto"/>
            <w:vAlign w:val="center"/>
          </w:tcPr>
          <w:p w14:paraId="724D865A" w14:textId="77777777" w:rsidR="0046431A" w:rsidRPr="0046431A" w:rsidRDefault="0046431A" w:rsidP="0046431A">
            <w:pPr>
              <w:widowControl w:val="0"/>
              <w:ind w:left="607"/>
              <w:jc w:val="right"/>
              <w:rPr>
                <w:rFonts w:ascii="Arial Narrow" w:eastAsia="Calibri" w:hAnsi="Arial Narrow"/>
                <w:sz w:val="20"/>
                <w:szCs w:val="20"/>
                <w:lang w:val="bg-BG"/>
              </w:rPr>
            </w:pPr>
            <w:r w:rsidRPr="0046431A">
              <w:rPr>
                <w:rFonts w:ascii="Arial Narrow" w:eastAsia="Calibri" w:hAnsi="Arial Narrow"/>
                <w:sz w:val="20"/>
                <w:szCs w:val="20"/>
                <w:lang w:val="bg-BG"/>
              </w:rPr>
              <w:t>5</w:t>
            </w:r>
          </w:p>
        </w:tc>
        <w:tc>
          <w:tcPr>
            <w:tcW w:w="741" w:type="pct"/>
            <w:shd w:val="clear" w:color="auto" w:fill="auto"/>
            <w:vAlign w:val="center"/>
          </w:tcPr>
          <w:p w14:paraId="23281864" w14:textId="77777777" w:rsidR="0046431A" w:rsidRPr="0046431A" w:rsidRDefault="0046431A" w:rsidP="0046431A">
            <w:pPr>
              <w:widowControl w:val="0"/>
              <w:ind w:left="607"/>
              <w:jc w:val="right"/>
              <w:rPr>
                <w:rFonts w:ascii="Arial Narrow" w:eastAsia="Calibri" w:hAnsi="Arial Narrow"/>
                <w:sz w:val="20"/>
                <w:szCs w:val="20"/>
              </w:rPr>
            </w:pPr>
            <w:r w:rsidRPr="0046431A">
              <w:rPr>
                <w:rFonts w:ascii="Arial Narrow" w:eastAsia="Calibri" w:hAnsi="Arial Narrow"/>
                <w:sz w:val="20"/>
                <w:szCs w:val="20"/>
                <w:lang w:val="bg-BG"/>
              </w:rPr>
              <w:t>-16,7</w:t>
            </w:r>
            <w:r w:rsidRPr="0046431A">
              <w:rPr>
                <w:rFonts w:ascii="Arial Narrow" w:eastAsia="Calibri" w:hAnsi="Arial Narrow"/>
                <w:sz w:val="20"/>
                <w:szCs w:val="20"/>
              </w:rPr>
              <w:t>%</w:t>
            </w:r>
          </w:p>
        </w:tc>
      </w:tr>
      <w:tr w:rsidR="0046431A" w:rsidRPr="0046431A" w14:paraId="7E5BB422" w14:textId="77777777" w:rsidTr="006D1710">
        <w:trPr>
          <w:trHeight w:val="401"/>
        </w:trPr>
        <w:tc>
          <w:tcPr>
            <w:tcW w:w="323" w:type="pct"/>
            <w:vAlign w:val="center"/>
          </w:tcPr>
          <w:p w14:paraId="31B3DE78" w14:textId="77777777" w:rsidR="0046431A" w:rsidRPr="0046431A" w:rsidRDefault="0046431A" w:rsidP="0046431A">
            <w:pPr>
              <w:widowControl w:val="0"/>
              <w:rPr>
                <w:rFonts w:ascii="Arial Narrow" w:hAnsi="Arial Narrow"/>
                <w:sz w:val="20"/>
                <w:szCs w:val="20"/>
                <w:lang w:val="bg-BG"/>
              </w:rPr>
            </w:pPr>
            <w:r w:rsidRPr="0046431A">
              <w:rPr>
                <w:rFonts w:ascii="Arial Narrow" w:hAnsi="Arial Narrow"/>
                <w:sz w:val="20"/>
                <w:szCs w:val="20"/>
                <w:lang w:val="bg-BG"/>
              </w:rPr>
              <w:t>2.6.</w:t>
            </w:r>
          </w:p>
        </w:tc>
        <w:tc>
          <w:tcPr>
            <w:tcW w:w="2204" w:type="pct"/>
            <w:vAlign w:val="center"/>
          </w:tcPr>
          <w:p w14:paraId="5C6A6002" w14:textId="77777777" w:rsidR="0046431A" w:rsidRPr="0046431A" w:rsidRDefault="0046431A" w:rsidP="0046431A">
            <w:pPr>
              <w:widowControl w:val="0"/>
              <w:rPr>
                <w:rFonts w:ascii="Arial Narrow" w:hAnsi="Arial Narrow"/>
                <w:sz w:val="20"/>
                <w:szCs w:val="20"/>
                <w:lang w:val="bg-BG"/>
              </w:rPr>
            </w:pPr>
            <w:r w:rsidRPr="0046431A">
              <w:rPr>
                <w:rFonts w:ascii="Arial Narrow" w:hAnsi="Arial Narrow"/>
                <w:sz w:val="20"/>
                <w:szCs w:val="20"/>
                <w:lang w:val="bg-BG"/>
              </w:rPr>
              <w:t>Оператори, извършващи дейност детоксикация на фуражи</w:t>
            </w:r>
          </w:p>
        </w:tc>
        <w:tc>
          <w:tcPr>
            <w:tcW w:w="866" w:type="pct"/>
            <w:vAlign w:val="center"/>
          </w:tcPr>
          <w:p w14:paraId="77F21254" w14:textId="77777777" w:rsidR="0046431A" w:rsidRPr="0046431A" w:rsidRDefault="0046431A" w:rsidP="0046431A">
            <w:pPr>
              <w:widowControl w:val="0"/>
              <w:ind w:left="607"/>
              <w:jc w:val="right"/>
              <w:rPr>
                <w:rFonts w:ascii="Arial Narrow" w:eastAsia="Calibri" w:hAnsi="Arial Narrow"/>
                <w:sz w:val="20"/>
                <w:szCs w:val="20"/>
                <w:lang w:val="bg-BG"/>
              </w:rPr>
            </w:pPr>
            <w:r w:rsidRPr="0046431A">
              <w:rPr>
                <w:rFonts w:ascii="Arial Narrow" w:eastAsia="Calibri" w:hAnsi="Arial Narrow"/>
                <w:sz w:val="20"/>
                <w:szCs w:val="20"/>
                <w:lang w:val="bg-BG"/>
              </w:rPr>
              <w:t>1</w:t>
            </w:r>
          </w:p>
        </w:tc>
        <w:tc>
          <w:tcPr>
            <w:tcW w:w="867" w:type="pct"/>
            <w:shd w:val="clear" w:color="auto" w:fill="auto"/>
            <w:vAlign w:val="center"/>
          </w:tcPr>
          <w:p w14:paraId="1CB6060C" w14:textId="77777777" w:rsidR="0046431A" w:rsidRPr="0046431A" w:rsidRDefault="0046431A" w:rsidP="0046431A">
            <w:pPr>
              <w:widowControl w:val="0"/>
              <w:ind w:left="607"/>
              <w:jc w:val="right"/>
              <w:rPr>
                <w:rFonts w:ascii="Arial Narrow" w:eastAsia="Calibri" w:hAnsi="Arial Narrow"/>
                <w:sz w:val="20"/>
                <w:szCs w:val="20"/>
                <w:lang w:val="bg-BG"/>
              </w:rPr>
            </w:pPr>
            <w:r w:rsidRPr="0046431A">
              <w:rPr>
                <w:rFonts w:ascii="Arial Narrow" w:eastAsia="Calibri" w:hAnsi="Arial Narrow"/>
                <w:sz w:val="20"/>
                <w:szCs w:val="20"/>
                <w:lang w:val="bg-BG"/>
              </w:rPr>
              <w:t>1</w:t>
            </w:r>
          </w:p>
        </w:tc>
        <w:tc>
          <w:tcPr>
            <w:tcW w:w="741" w:type="pct"/>
            <w:shd w:val="clear" w:color="auto" w:fill="auto"/>
            <w:vAlign w:val="center"/>
          </w:tcPr>
          <w:p w14:paraId="0E12B2A2" w14:textId="77777777" w:rsidR="0046431A" w:rsidRPr="0046431A" w:rsidRDefault="0046431A" w:rsidP="0046431A">
            <w:pPr>
              <w:widowControl w:val="0"/>
              <w:ind w:left="607"/>
              <w:jc w:val="right"/>
              <w:rPr>
                <w:rFonts w:ascii="Arial Narrow" w:eastAsia="Calibri" w:hAnsi="Arial Narrow"/>
                <w:sz w:val="20"/>
                <w:szCs w:val="20"/>
              </w:rPr>
            </w:pPr>
            <w:r w:rsidRPr="0046431A">
              <w:rPr>
                <w:rFonts w:ascii="Arial Narrow" w:eastAsia="Calibri" w:hAnsi="Arial Narrow"/>
                <w:sz w:val="20"/>
                <w:szCs w:val="20"/>
                <w:lang w:val="bg-BG"/>
              </w:rPr>
              <w:t>0,0</w:t>
            </w:r>
            <w:r w:rsidRPr="0046431A">
              <w:rPr>
                <w:rFonts w:ascii="Arial Narrow" w:eastAsia="Calibri" w:hAnsi="Arial Narrow"/>
                <w:sz w:val="20"/>
                <w:szCs w:val="20"/>
              </w:rPr>
              <w:t>%</w:t>
            </w:r>
          </w:p>
        </w:tc>
      </w:tr>
      <w:tr w:rsidR="0046431A" w:rsidRPr="0046431A" w14:paraId="40AC6C47" w14:textId="77777777" w:rsidTr="006D1710">
        <w:trPr>
          <w:trHeight w:val="662"/>
        </w:trPr>
        <w:tc>
          <w:tcPr>
            <w:tcW w:w="323" w:type="pct"/>
            <w:vAlign w:val="center"/>
          </w:tcPr>
          <w:p w14:paraId="1F1A80E7" w14:textId="77777777" w:rsidR="0046431A" w:rsidRPr="0046431A" w:rsidRDefault="0046431A" w:rsidP="0046431A">
            <w:pPr>
              <w:widowControl w:val="0"/>
              <w:rPr>
                <w:rFonts w:ascii="Arial Narrow" w:hAnsi="Arial Narrow"/>
                <w:b/>
                <w:sz w:val="20"/>
                <w:szCs w:val="20"/>
                <w:lang w:val="bg-BG"/>
              </w:rPr>
            </w:pPr>
            <w:r w:rsidRPr="0046431A">
              <w:rPr>
                <w:rFonts w:ascii="Arial Narrow" w:hAnsi="Arial Narrow"/>
                <w:b/>
                <w:sz w:val="20"/>
                <w:szCs w:val="20"/>
                <w:lang w:val="bg-BG"/>
              </w:rPr>
              <w:t>3.</w:t>
            </w:r>
          </w:p>
        </w:tc>
        <w:tc>
          <w:tcPr>
            <w:tcW w:w="2204" w:type="pct"/>
            <w:vAlign w:val="center"/>
          </w:tcPr>
          <w:p w14:paraId="56CFDDD5" w14:textId="77777777" w:rsidR="0046431A" w:rsidRPr="0046431A" w:rsidRDefault="0046431A" w:rsidP="0046431A">
            <w:pPr>
              <w:widowControl w:val="0"/>
              <w:rPr>
                <w:rFonts w:ascii="Arial Narrow" w:hAnsi="Arial Narrow"/>
                <w:b/>
                <w:sz w:val="20"/>
                <w:szCs w:val="20"/>
                <w:lang w:val="bg-BG"/>
              </w:rPr>
            </w:pPr>
            <w:r w:rsidRPr="0046431A">
              <w:rPr>
                <w:rFonts w:ascii="Arial Narrow" w:hAnsi="Arial Narrow"/>
                <w:b/>
                <w:sz w:val="20"/>
                <w:szCs w:val="20"/>
                <w:lang w:val="bg-BG"/>
              </w:rPr>
              <w:t>Одобрени производители на медикаментозни фуражи съгласно чл. 55в, ал. 1 от Закона за фуражите</w:t>
            </w:r>
          </w:p>
        </w:tc>
        <w:tc>
          <w:tcPr>
            <w:tcW w:w="866" w:type="pct"/>
            <w:vAlign w:val="center"/>
          </w:tcPr>
          <w:p w14:paraId="7F7E0BE4" w14:textId="77777777" w:rsidR="0046431A" w:rsidRPr="0046431A" w:rsidRDefault="0046431A" w:rsidP="0046431A">
            <w:pPr>
              <w:widowControl w:val="0"/>
              <w:ind w:left="607"/>
              <w:jc w:val="right"/>
              <w:rPr>
                <w:rFonts w:ascii="Arial Narrow" w:eastAsia="Calibri" w:hAnsi="Arial Narrow"/>
                <w:sz w:val="20"/>
                <w:szCs w:val="20"/>
                <w:lang w:val="bg-BG"/>
              </w:rPr>
            </w:pPr>
            <w:r w:rsidRPr="0046431A">
              <w:rPr>
                <w:rFonts w:ascii="Arial Narrow" w:eastAsia="Calibri" w:hAnsi="Arial Narrow"/>
                <w:sz w:val="20"/>
                <w:szCs w:val="20"/>
                <w:lang w:val="bg-BG"/>
              </w:rPr>
              <w:t>10</w:t>
            </w:r>
          </w:p>
        </w:tc>
        <w:tc>
          <w:tcPr>
            <w:tcW w:w="867" w:type="pct"/>
            <w:vAlign w:val="center"/>
          </w:tcPr>
          <w:p w14:paraId="219B3007" w14:textId="77777777" w:rsidR="0046431A" w:rsidRPr="0046431A" w:rsidRDefault="0046431A" w:rsidP="0046431A">
            <w:pPr>
              <w:widowControl w:val="0"/>
              <w:ind w:left="607"/>
              <w:jc w:val="right"/>
              <w:rPr>
                <w:rFonts w:ascii="Arial Narrow" w:eastAsia="Calibri" w:hAnsi="Arial Narrow"/>
                <w:sz w:val="20"/>
                <w:szCs w:val="20"/>
                <w:lang w:val="bg-BG"/>
              </w:rPr>
            </w:pPr>
            <w:r w:rsidRPr="0046431A">
              <w:rPr>
                <w:rFonts w:ascii="Arial Narrow" w:eastAsia="Calibri" w:hAnsi="Arial Narrow"/>
                <w:sz w:val="20"/>
                <w:szCs w:val="20"/>
                <w:lang w:val="bg-BG"/>
              </w:rPr>
              <w:t>9</w:t>
            </w:r>
          </w:p>
        </w:tc>
        <w:tc>
          <w:tcPr>
            <w:tcW w:w="741" w:type="pct"/>
            <w:shd w:val="clear" w:color="auto" w:fill="auto"/>
            <w:vAlign w:val="center"/>
          </w:tcPr>
          <w:p w14:paraId="598E3C4E" w14:textId="77777777" w:rsidR="0046431A" w:rsidRPr="0046431A" w:rsidRDefault="0046431A" w:rsidP="0046431A">
            <w:pPr>
              <w:widowControl w:val="0"/>
              <w:ind w:left="607"/>
              <w:jc w:val="right"/>
              <w:rPr>
                <w:rFonts w:ascii="Arial Narrow" w:eastAsia="Calibri" w:hAnsi="Arial Narrow"/>
                <w:sz w:val="20"/>
                <w:szCs w:val="20"/>
              </w:rPr>
            </w:pPr>
            <w:r w:rsidRPr="0046431A">
              <w:rPr>
                <w:rFonts w:ascii="Arial Narrow" w:eastAsia="Calibri" w:hAnsi="Arial Narrow"/>
                <w:sz w:val="20"/>
                <w:szCs w:val="20"/>
                <w:lang w:val="bg-BG"/>
              </w:rPr>
              <w:t>-10,0</w:t>
            </w:r>
            <w:r w:rsidRPr="0046431A">
              <w:rPr>
                <w:rFonts w:ascii="Arial Narrow" w:eastAsia="Calibri" w:hAnsi="Arial Narrow"/>
                <w:sz w:val="20"/>
                <w:szCs w:val="20"/>
              </w:rPr>
              <w:t>%</w:t>
            </w:r>
          </w:p>
        </w:tc>
      </w:tr>
      <w:tr w:rsidR="0046431A" w:rsidRPr="0046431A" w14:paraId="78F67047" w14:textId="77777777" w:rsidTr="006D1710">
        <w:trPr>
          <w:trHeight w:val="639"/>
        </w:trPr>
        <w:tc>
          <w:tcPr>
            <w:tcW w:w="323" w:type="pct"/>
            <w:vAlign w:val="center"/>
          </w:tcPr>
          <w:p w14:paraId="31C2C7DF" w14:textId="77777777" w:rsidR="0046431A" w:rsidRPr="0046431A" w:rsidRDefault="0046431A" w:rsidP="0046431A">
            <w:pPr>
              <w:widowControl w:val="0"/>
              <w:rPr>
                <w:rFonts w:ascii="Arial Narrow" w:hAnsi="Arial Narrow"/>
                <w:b/>
                <w:sz w:val="20"/>
                <w:szCs w:val="20"/>
                <w:lang w:val="bg-BG"/>
              </w:rPr>
            </w:pPr>
            <w:r w:rsidRPr="0046431A">
              <w:rPr>
                <w:rFonts w:ascii="Arial Narrow" w:hAnsi="Arial Narrow"/>
                <w:b/>
                <w:sz w:val="20"/>
                <w:szCs w:val="20"/>
                <w:lang w:val="bg-BG"/>
              </w:rPr>
              <w:t>4.</w:t>
            </w:r>
          </w:p>
        </w:tc>
        <w:tc>
          <w:tcPr>
            <w:tcW w:w="2204" w:type="pct"/>
            <w:vAlign w:val="center"/>
          </w:tcPr>
          <w:p w14:paraId="187A74F4" w14:textId="77777777" w:rsidR="0046431A" w:rsidRPr="0046431A" w:rsidRDefault="0046431A" w:rsidP="0046431A">
            <w:pPr>
              <w:widowControl w:val="0"/>
              <w:tabs>
                <w:tab w:val="left" w:pos="1206"/>
              </w:tabs>
              <w:rPr>
                <w:rFonts w:ascii="Arial Narrow" w:hAnsi="Arial Narrow"/>
                <w:b/>
                <w:sz w:val="20"/>
                <w:szCs w:val="20"/>
                <w:lang w:val="bg-BG"/>
              </w:rPr>
            </w:pPr>
            <w:r w:rsidRPr="0046431A">
              <w:rPr>
                <w:rFonts w:ascii="Arial Narrow" w:hAnsi="Arial Narrow"/>
                <w:b/>
                <w:sz w:val="20"/>
                <w:szCs w:val="20"/>
                <w:lang w:val="bg-BG"/>
              </w:rPr>
              <w:t>Регистрирани земеделски стопани, упражняващи дейности по чл. 5, параграф 1 на Регламент (ЕО) № 183/2005</w:t>
            </w:r>
          </w:p>
        </w:tc>
        <w:tc>
          <w:tcPr>
            <w:tcW w:w="866" w:type="pct"/>
            <w:vAlign w:val="center"/>
          </w:tcPr>
          <w:p w14:paraId="2CE57E4C" w14:textId="77777777" w:rsidR="0046431A" w:rsidRPr="0046431A" w:rsidRDefault="0046431A" w:rsidP="0046431A">
            <w:pPr>
              <w:widowControl w:val="0"/>
              <w:ind w:left="607"/>
              <w:jc w:val="right"/>
              <w:rPr>
                <w:rFonts w:ascii="Arial Narrow" w:eastAsia="Calibri" w:hAnsi="Arial Narrow"/>
                <w:sz w:val="20"/>
                <w:szCs w:val="20"/>
                <w:lang w:val="bg-BG"/>
              </w:rPr>
            </w:pPr>
            <w:r w:rsidRPr="0046431A">
              <w:rPr>
                <w:rFonts w:ascii="Arial Narrow" w:eastAsia="Calibri" w:hAnsi="Arial Narrow"/>
                <w:sz w:val="20"/>
                <w:szCs w:val="20"/>
                <w:lang w:val="bg-BG"/>
              </w:rPr>
              <w:t>6 979</w:t>
            </w:r>
          </w:p>
        </w:tc>
        <w:tc>
          <w:tcPr>
            <w:tcW w:w="867" w:type="pct"/>
            <w:shd w:val="clear" w:color="auto" w:fill="auto"/>
            <w:vAlign w:val="center"/>
          </w:tcPr>
          <w:p w14:paraId="7B2AF249" w14:textId="77777777" w:rsidR="0046431A" w:rsidRPr="0046431A" w:rsidRDefault="0046431A" w:rsidP="0046431A">
            <w:pPr>
              <w:widowControl w:val="0"/>
              <w:ind w:left="607"/>
              <w:jc w:val="right"/>
              <w:rPr>
                <w:rFonts w:ascii="Arial Narrow" w:eastAsia="Calibri" w:hAnsi="Arial Narrow"/>
                <w:sz w:val="20"/>
                <w:szCs w:val="20"/>
                <w:lang w:val="bg-BG"/>
              </w:rPr>
            </w:pPr>
            <w:r w:rsidRPr="0046431A">
              <w:rPr>
                <w:rFonts w:ascii="Arial Narrow" w:eastAsia="Calibri" w:hAnsi="Arial Narrow"/>
                <w:sz w:val="20"/>
                <w:szCs w:val="20"/>
                <w:lang w:val="bg-BG"/>
              </w:rPr>
              <w:t>8 355</w:t>
            </w:r>
          </w:p>
        </w:tc>
        <w:tc>
          <w:tcPr>
            <w:tcW w:w="741" w:type="pct"/>
            <w:shd w:val="clear" w:color="auto" w:fill="auto"/>
            <w:vAlign w:val="center"/>
          </w:tcPr>
          <w:p w14:paraId="399DE211" w14:textId="77777777" w:rsidR="0046431A" w:rsidRPr="0046431A" w:rsidRDefault="0046431A" w:rsidP="0046431A">
            <w:pPr>
              <w:widowControl w:val="0"/>
              <w:ind w:left="607"/>
              <w:jc w:val="right"/>
              <w:rPr>
                <w:rFonts w:ascii="Arial Narrow" w:eastAsia="Calibri" w:hAnsi="Arial Narrow"/>
                <w:sz w:val="20"/>
                <w:szCs w:val="20"/>
              </w:rPr>
            </w:pPr>
            <w:r w:rsidRPr="0046431A">
              <w:rPr>
                <w:rFonts w:ascii="Arial Narrow" w:eastAsia="Calibri" w:hAnsi="Arial Narrow"/>
                <w:sz w:val="20"/>
                <w:szCs w:val="20"/>
                <w:lang w:val="bg-BG"/>
              </w:rPr>
              <w:t>19,7</w:t>
            </w:r>
            <w:r w:rsidRPr="0046431A">
              <w:rPr>
                <w:rFonts w:ascii="Arial Narrow" w:eastAsia="Calibri" w:hAnsi="Arial Narrow"/>
                <w:sz w:val="20"/>
                <w:szCs w:val="20"/>
              </w:rPr>
              <w:t>%</w:t>
            </w:r>
          </w:p>
        </w:tc>
      </w:tr>
      <w:tr w:rsidR="0046431A" w:rsidRPr="0046431A" w14:paraId="5B83FBFB" w14:textId="77777777" w:rsidTr="006D1710">
        <w:trPr>
          <w:trHeight w:val="567"/>
        </w:trPr>
        <w:tc>
          <w:tcPr>
            <w:tcW w:w="323" w:type="pct"/>
            <w:vAlign w:val="center"/>
          </w:tcPr>
          <w:p w14:paraId="213E4649" w14:textId="77777777" w:rsidR="0046431A" w:rsidRPr="0046431A" w:rsidRDefault="0046431A" w:rsidP="0046431A">
            <w:pPr>
              <w:widowControl w:val="0"/>
              <w:rPr>
                <w:rFonts w:ascii="Arial Narrow" w:hAnsi="Arial Narrow"/>
                <w:sz w:val="20"/>
                <w:szCs w:val="20"/>
                <w:lang w:val="bg-BG"/>
              </w:rPr>
            </w:pPr>
            <w:r w:rsidRPr="0046431A">
              <w:rPr>
                <w:rFonts w:ascii="Arial Narrow" w:hAnsi="Arial Narrow"/>
                <w:sz w:val="20"/>
                <w:szCs w:val="20"/>
                <w:lang w:val="bg-BG"/>
              </w:rPr>
              <w:t>4.1.</w:t>
            </w:r>
          </w:p>
        </w:tc>
        <w:tc>
          <w:tcPr>
            <w:tcW w:w="2204" w:type="pct"/>
            <w:vAlign w:val="center"/>
          </w:tcPr>
          <w:p w14:paraId="6D1B26F9" w14:textId="77777777" w:rsidR="0046431A" w:rsidRPr="0046431A" w:rsidRDefault="0046431A" w:rsidP="0046431A">
            <w:pPr>
              <w:widowControl w:val="0"/>
              <w:rPr>
                <w:rFonts w:ascii="Arial Narrow" w:hAnsi="Arial Narrow"/>
                <w:sz w:val="20"/>
                <w:szCs w:val="20"/>
                <w:lang w:val="bg-BG"/>
              </w:rPr>
            </w:pPr>
            <w:r w:rsidRPr="0046431A">
              <w:rPr>
                <w:rFonts w:ascii="Arial Narrow" w:hAnsi="Arial Narrow"/>
                <w:sz w:val="20"/>
                <w:szCs w:val="20"/>
                <w:lang w:val="bg-BG"/>
              </w:rPr>
              <w:t>Регистрирани земеделски стопани, произвеждащи първични фуражи</w:t>
            </w:r>
          </w:p>
        </w:tc>
        <w:tc>
          <w:tcPr>
            <w:tcW w:w="866" w:type="pct"/>
            <w:vAlign w:val="center"/>
          </w:tcPr>
          <w:p w14:paraId="45B31119" w14:textId="77777777" w:rsidR="0046431A" w:rsidRPr="0046431A" w:rsidRDefault="0046431A" w:rsidP="0046431A">
            <w:pPr>
              <w:widowControl w:val="0"/>
              <w:ind w:left="607"/>
              <w:jc w:val="right"/>
              <w:rPr>
                <w:rFonts w:ascii="Arial Narrow" w:eastAsia="Calibri" w:hAnsi="Arial Narrow"/>
                <w:sz w:val="20"/>
                <w:szCs w:val="20"/>
                <w:lang w:val="bg-BG"/>
              </w:rPr>
            </w:pPr>
            <w:r w:rsidRPr="0046431A">
              <w:rPr>
                <w:rFonts w:ascii="Arial Narrow" w:eastAsia="Calibri" w:hAnsi="Arial Narrow"/>
                <w:sz w:val="20"/>
                <w:szCs w:val="20"/>
                <w:lang w:val="bg-BG"/>
              </w:rPr>
              <w:t>5 049</w:t>
            </w:r>
          </w:p>
        </w:tc>
        <w:tc>
          <w:tcPr>
            <w:tcW w:w="867" w:type="pct"/>
            <w:vAlign w:val="center"/>
          </w:tcPr>
          <w:p w14:paraId="01A3C2A1" w14:textId="77777777" w:rsidR="0046431A" w:rsidRPr="0046431A" w:rsidRDefault="0046431A" w:rsidP="0046431A">
            <w:pPr>
              <w:widowControl w:val="0"/>
              <w:ind w:left="607"/>
              <w:jc w:val="right"/>
              <w:rPr>
                <w:rFonts w:ascii="Arial Narrow" w:eastAsia="Calibri" w:hAnsi="Arial Narrow"/>
                <w:sz w:val="20"/>
                <w:szCs w:val="20"/>
                <w:lang w:val="bg-BG"/>
              </w:rPr>
            </w:pPr>
            <w:r w:rsidRPr="0046431A">
              <w:rPr>
                <w:rFonts w:ascii="Arial Narrow" w:eastAsia="Calibri" w:hAnsi="Arial Narrow"/>
                <w:sz w:val="20"/>
                <w:szCs w:val="20"/>
                <w:lang w:val="bg-BG"/>
              </w:rPr>
              <w:t>6 315</w:t>
            </w:r>
          </w:p>
        </w:tc>
        <w:tc>
          <w:tcPr>
            <w:tcW w:w="741" w:type="pct"/>
            <w:shd w:val="clear" w:color="auto" w:fill="auto"/>
            <w:vAlign w:val="center"/>
          </w:tcPr>
          <w:p w14:paraId="026E461A" w14:textId="77777777" w:rsidR="0046431A" w:rsidRPr="0046431A" w:rsidRDefault="0046431A" w:rsidP="0046431A">
            <w:pPr>
              <w:widowControl w:val="0"/>
              <w:ind w:left="607"/>
              <w:jc w:val="right"/>
              <w:rPr>
                <w:rFonts w:ascii="Arial Narrow" w:eastAsia="Calibri" w:hAnsi="Arial Narrow"/>
                <w:sz w:val="20"/>
                <w:szCs w:val="20"/>
              </w:rPr>
            </w:pPr>
            <w:r w:rsidRPr="0046431A">
              <w:rPr>
                <w:rFonts w:ascii="Arial Narrow" w:eastAsia="Calibri" w:hAnsi="Arial Narrow"/>
                <w:sz w:val="20"/>
                <w:szCs w:val="20"/>
                <w:lang w:val="bg-BG"/>
              </w:rPr>
              <w:t>25,1</w:t>
            </w:r>
            <w:r w:rsidRPr="0046431A">
              <w:rPr>
                <w:rFonts w:ascii="Arial Narrow" w:eastAsia="Calibri" w:hAnsi="Arial Narrow"/>
                <w:sz w:val="20"/>
                <w:szCs w:val="20"/>
              </w:rPr>
              <w:t>%</w:t>
            </w:r>
          </w:p>
        </w:tc>
      </w:tr>
      <w:tr w:rsidR="0046431A" w:rsidRPr="0046431A" w14:paraId="51DD2248" w14:textId="77777777" w:rsidTr="006D1710">
        <w:trPr>
          <w:trHeight w:val="901"/>
        </w:trPr>
        <w:tc>
          <w:tcPr>
            <w:tcW w:w="323" w:type="pct"/>
            <w:vAlign w:val="center"/>
          </w:tcPr>
          <w:p w14:paraId="7166BBC9" w14:textId="77777777" w:rsidR="0046431A" w:rsidRPr="0046431A" w:rsidRDefault="0046431A" w:rsidP="0046431A">
            <w:pPr>
              <w:widowControl w:val="0"/>
              <w:rPr>
                <w:rFonts w:ascii="Arial Narrow" w:hAnsi="Arial Narrow"/>
                <w:sz w:val="20"/>
                <w:szCs w:val="20"/>
                <w:lang w:val="bg-BG"/>
              </w:rPr>
            </w:pPr>
            <w:r w:rsidRPr="0046431A">
              <w:rPr>
                <w:rFonts w:ascii="Arial Narrow" w:hAnsi="Arial Narrow"/>
                <w:sz w:val="20"/>
                <w:szCs w:val="20"/>
                <w:lang w:val="bg-BG"/>
              </w:rPr>
              <w:t>4.2.</w:t>
            </w:r>
          </w:p>
        </w:tc>
        <w:tc>
          <w:tcPr>
            <w:tcW w:w="2204" w:type="pct"/>
            <w:vAlign w:val="center"/>
          </w:tcPr>
          <w:p w14:paraId="0D3EF952" w14:textId="77777777" w:rsidR="0046431A" w:rsidRPr="0046431A" w:rsidRDefault="0046431A" w:rsidP="0046431A">
            <w:pPr>
              <w:widowControl w:val="0"/>
              <w:rPr>
                <w:rFonts w:ascii="Arial Narrow" w:hAnsi="Arial Narrow"/>
                <w:sz w:val="20"/>
                <w:szCs w:val="20"/>
                <w:lang w:val="bg-BG"/>
              </w:rPr>
            </w:pPr>
            <w:r w:rsidRPr="0046431A">
              <w:rPr>
                <w:rFonts w:ascii="Arial Narrow" w:hAnsi="Arial Narrow"/>
                <w:sz w:val="20"/>
                <w:szCs w:val="20"/>
                <w:lang w:val="bg-BG"/>
              </w:rPr>
              <w:t>Регистрирани земеделски стопани, произвеждащи силажи, които използват силажни добавки, като фуражите са предназначени само за нуждите на собствената им ферма</w:t>
            </w:r>
          </w:p>
        </w:tc>
        <w:tc>
          <w:tcPr>
            <w:tcW w:w="866" w:type="pct"/>
            <w:vAlign w:val="center"/>
          </w:tcPr>
          <w:p w14:paraId="43EF7676" w14:textId="77777777" w:rsidR="0046431A" w:rsidRPr="0046431A" w:rsidRDefault="0046431A" w:rsidP="0046431A">
            <w:pPr>
              <w:widowControl w:val="0"/>
              <w:ind w:left="607"/>
              <w:jc w:val="right"/>
              <w:rPr>
                <w:rFonts w:ascii="Arial Narrow" w:eastAsia="Calibri" w:hAnsi="Arial Narrow"/>
                <w:sz w:val="20"/>
                <w:szCs w:val="20"/>
                <w:lang w:val="bg-BG"/>
              </w:rPr>
            </w:pPr>
            <w:r w:rsidRPr="0046431A">
              <w:rPr>
                <w:rFonts w:ascii="Arial Narrow" w:eastAsia="Calibri" w:hAnsi="Arial Narrow"/>
                <w:sz w:val="20"/>
                <w:szCs w:val="20"/>
                <w:lang w:val="bg-BG"/>
              </w:rPr>
              <w:t>341</w:t>
            </w:r>
          </w:p>
        </w:tc>
        <w:tc>
          <w:tcPr>
            <w:tcW w:w="867" w:type="pct"/>
            <w:vAlign w:val="center"/>
          </w:tcPr>
          <w:p w14:paraId="54A06522" w14:textId="77777777" w:rsidR="0046431A" w:rsidRPr="0046431A" w:rsidRDefault="0046431A" w:rsidP="0046431A">
            <w:pPr>
              <w:widowControl w:val="0"/>
              <w:ind w:left="607"/>
              <w:jc w:val="right"/>
              <w:rPr>
                <w:rFonts w:ascii="Arial Narrow" w:eastAsia="Calibri" w:hAnsi="Arial Narrow"/>
                <w:sz w:val="20"/>
                <w:szCs w:val="20"/>
                <w:lang w:val="bg-BG"/>
              </w:rPr>
            </w:pPr>
            <w:r w:rsidRPr="0046431A">
              <w:rPr>
                <w:rFonts w:ascii="Arial Narrow" w:eastAsia="Calibri" w:hAnsi="Arial Narrow"/>
                <w:sz w:val="20"/>
                <w:szCs w:val="20"/>
                <w:lang w:val="bg-BG"/>
              </w:rPr>
              <w:t>370</w:t>
            </w:r>
          </w:p>
        </w:tc>
        <w:tc>
          <w:tcPr>
            <w:tcW w:w="741" w:type="pct"/>
            <w:shd w:val="clear" w:color="auto" w:fill="auto"/>
            <w:vAlign w:val="center"/>
          </w:tcPr>
          <w:p w14:paraId="2854A225" w14:textId="77777777" w:rsidR="0046431A" w:rsidRPr="0046431A" w:rsidRDefault="0046431A" w:rsidP="0046431A">
            <w:pPr>
              <w:widowControl w:val="0"/>
              <w:ind w:left="607"/>
              <w:jc w:val="right"/>
              <w:rPr>
                <w:rFonts w:ascii="Arial Narrow" w:eastAsia="Calibri" w:hAnsi="Arial Narrow"/>
                <w:sz w:val="20"/>
                <w:szCs w:val="20"/>
              </w:rPr>
            </w:pPr>
            <w:r w:rsidRPr="0046431A">
              <w:rPr>
                <w:rFonts w:ascii="Arial Narrow" w:eastAsia="Calibri" w:hAnsi="Arial Narrow"/>
                <w:sz w:val="20"/>
                <w:szCs w:val="20"/>
                <w:lang w:val="bg-BG"/>
              </w:rPr>
              <w:t>8,5</w:t>
            </w:r>
            <w:r w:rsidRPr="0046431A">
              <w:rPr>
                <w:rFonts w:ascii="Arial Narrow" w:eastAsia="Calibri" w:hAnsi="Arial Narrow"/>
                <w:sz w:val="20"/>
                <w:szCs w:val="20"/>
              </w:rPr>
              <w:t>%</w:t>
            </w:r>
          </w:p>
        </w:tc>
      </w:tr>
      <w:tr w:rsidR="0046431A" w:rsidRPr="0046431A" w14:paraId="1DE23A81" w14:textId="77777777" w:rsidTr="006D1710">
        <w:trPr>
          <w:trHeight w:val="1021"/>
        </w:trPr>
        <w:tc>
          <w:tcPr>
            <w:tcW w:w="323" w:type="pct"/>
            <w:vAlign w:val="center"/>
          </w:tcPr>
          <w:p w14:paraId="2B7910E1" w14:textId="77777777" w:rsidR="0046431A" w:rsidRPr="0046431A" w:rsidRDefault="0046431A" w:rsidP="0046431A">
            <w:pPr>
              <w:widowControl w:val="0"/>
              <w:rPr>
                <w:rFonts w:ascii="Arial Narrow" w:hAnsi="Arial Narrow"/>
                <w:sz w:val="20"/>
                <w:szCs w:val="20"/>
                <w:lang w:val="bg-BG"/>
              </w:rPr>
            </w:pPr>
            <w:r w:rsidRPr="0046431A">
              <w:rPr>
                <w:rFonts w:ascii="Arial Narrow" w:hAnsi="Arial Narrow"/>
                <w:sz w:val="20"/>
                <w:szCs w:val="20"/>
                <w:lang w:val="bg-BG"/>
              </w:rPr>
              <w:t>4.3.</w:t>
            </w:r>
          </w:p>
        </w:tc>
        <w:tc>
          <w:tcPr>
            <w:tcW w:w="2204" w:type="pct"/>
            <w:vAlign w:val="center"/>
          </w:tcPr>
          <w:p w14:paraId="5E8950B8" w14:textId="77777777" w:rsidR="0046431A" w:rsidRPr="0046431A" w:rsidRDefault="0046431A" w:rsidP="0046431A">
            <w:pPr>
              <w:widowControl w:val="0"/>
              <w:rPr>
                <w:rFonts w:ascii="Arial Narrow" w:hAnsi="Arial Narrow"/>
                <w:sz w:val="20"/>
                <w:szCs w:val="20"/>
                <w:lang w:val="bg-BG"/>
              </w:rPr>
            </w:pPr>
            <w:r w:rsidRPr="0046431A">
              <w:rPr>
                <w:rFonts w:ascii="Arial Narrow" w:hAnsi="Arial Narrow"/>
                <w:sz w:val="20"/>
                <w:szCs w:val="20"/>
                <w:lang w:val="bg-BG"/>
              </w:rPr>
              <w:t>Регистрирани земеделски стопани, смесващи фуражи изключително за собствената си ферма, без да използват добавки и премикси, като използват допълващи фуражи</w:t>
            </w:r>
          </w:p>
        </w:tc>
        <w:tc>
          <w:tcPr>
            <w:tcW w:w="866" w:type="pct"/>
            <w:vAlign w:val="center"/>
          </w:tcPr>
          <w:p w14:paraId="54EA7989" w14:textId="77777777" w:rsidR="0046431A" w:rsidRPr="0046431A" w:rsidRDefault="0046431A" w:rsidP="0046431A">
            <w:pPr>
              <w:widowControl w:val="0"/>
              <w:ind w:left="607"/>
              <w:jc w:val="right"/>
              <w:rPr>
                <w:rFonts w:ascii="Arial Narrow" w:eastAsia="Calibri" w:hAnsi="Arial Narrow"/>
                <w:sz w:val="20"/>
                <w:szCs w:val="20"/>
                <w:lang w:val="bg-BG"/>
              </w:rPr>
            </w:pPr>
            <w:r w:rsidRPr="0046431A">
              <w:rPr>
                <w:rFonts w:ascii="Arial Narrow" w:eastAsia="Calibri" w:hAnsi="Arial Narrow"/>
                <w:sz w:val="20"/>
                <w:szCs w:val="20"/>
                <w:lang w:val="bg-BG"/>
              </w:rPr>
              <w:t>1 429</w:t>
            </w:r>
          </w:p>
        </w:tc>
        <w:tc>
          <w:tcPr>
            <w:tcW w:w="867" w:type="pct"/>
            <w:vAlign w:val="center"/>
          </w:tcPr>
          <w:p w14:paraId="42455CAE" w14:textId="77777777" w:rsidR="0046431A" w:rsidRPr="0046431A" w:rsidRDefault="0046431A" w:rsidP="0046431A">
            <w:pPr>
              <w:widowControl w:val="0"/>
              <w:ind w:left="607"/>
              <w:jc w:val="right"/>
              <w:rPr>
                <w:rFonts w:ascii="Arial Narrow" w:eastAsia="Calibri" w:hAnsi="Arial Narrow"/>
                <w:sz w:val="20"/>
                <w:szCs w:val="20"/>
                <w:lang w:val="bg-BG"/>
              </w:rPr>
            </w:pPr>
            <w:r w:rsidRPr="0046431A">
              <w:rPr>
                <w:rFonts w:ascii="Arial Narrow" w:eastAsia="Calibri" w:hAnsi="Arial Narrow"/>
                <w:sz w:val="20"/>
                <w:szCs w:val="20"/>
                <w:lang w:val="bg-BG"/>
              </w:rPr>
              <w:t>1 567</w:t>
            </w:r>
          </w:p>
        </w:tc>
        <w:tc>
          <w:tcPr>
            <w:tcW w:w="741" w:type="pct"/>
            <w:shd w:val="clear" w:color="auto" w:fill="auto"/>
            <w:vAlign w:val="center"/>
          </w:tcPr>
          <w:p w14:paraId="7A0145DD" w14:textId="77777777" w:rsidR="0046431A" w:rsidRPr="0046431A" w:rsidRDefault="0046431A" w:rsidP="0046431A">
            <w:pPr>
              <w:widowControl w:val="0"/>
              <w:ind w:left="607"/>
              <w:jc w:val="right"/>
              <w:rPr>
                <w:rFonts w:ascii="Arial Narrow" w:eastAsia="Calibri" w:hAnsi="Arial Narrow"/>
                <w:sz w:val="20"/>
                <w:szCs w:val="20"/>
              </w:rPr>
            </w:pPr>
            <w:r w:rsidRPr="0046431A">
              <w:rPr>
                <w:rFonts w:ascii="Arial Narrow" w:eastAsia="Calibri" w:hAnsi="Arial Narrow"/>
                <w:sz w:val="20"/>
                <w:szCs w:val="20"/>
                <w:lang w:val="bg-BG"/>
              </w:rPr>
              <w:t>9,7</w:t>
            </w:r>
            <w:r w:rsidRPr="0046431A">
              <w:rPr>
                <w:rFonts w:ascii="Arial Narrow" w:eastAsia="Calibri" w:hAnsi="Arial Narrow"/>
                <w:sz w:val="20"/>
                <w:szCs w:val="20"/>
              </w:rPr>
              <w:t>%</w:t>
            </w:r>
          </w:p>
        </w:tc>
      </w:tr>
      <w:tr w:rsidR="0046431A" w:rsidRPr="0046431A" w14:paraId="516D81DC" w14:textId="77777777" w:rsidTr="006D1710">
        <w:trPr>
          <w:trHeight w:val="689"/>
        </w:trPr>
        <w:tc>
          <w:tcPr>
            <w:tcW w:w="323" w:type="pct"/>
            <w:vAlign w:val="center"/>
          </w:tcPr>
          <w:p w14:paraId="0AEB2D39" w14:textId="77777777" w:rsidR="0046431A" w:rsidRPr="0046431A" w:rsidRDefault="0046431A" w:rsidP="0046431A">
            <w:pPr>
              <w:widowControl w:val="0"/>
              <w:rPr>
                <w:rFonts w:ascii="Arial Narrow" w:hAnsi="Arial Narrow"/>
                <w:sz w:val="20"/>
                <w:szCs w:val="20"/>
                <w:lang w:val="bg-BG"/>
              </w:rPr>
            </w:pPr>
            <w:r w:rsidRPr="0046431A">
              <w:rPr>
                <w:rFonts w:ascii="Arial Narrow" w:hAnsi="Arial Narrow"/>
                <w:sz w:val="20"/>
                <w:szCs w:val="20"/>
                <w:lang w:val="bg-BG"/>
              </w:rPr>
              <w:t>4.4.</w:t>
            </w:r>
          </w:p>
        </w:tc>
        <w:tc>
          <w:tcPr>
            <w:tcW w:w="2204" w:type="pct"/>
            <w:vAlign w:val="center"/>
          </w:tcPr>
          <w:p w14:paraId="7B32ACAF" w14:textId="77777777" w:rsidR="0046431A" w:rsidRPr="0046431A" w:rsidRDefault="0046431A" w:rsidP="0046431A">
            <w:pPr>
              <w:widowControl w:val="0"/>
              <w:rPr>
                <w:rFonts w:ascii="Arial Narrow" w:hAnsi="Arial Narrow"/>
                <w:sz w:val="20"/>
                <w:szCs w:val="20"/>
                <w:lang w:val="bg-BG"/>
              </w:rPr>
            </w:pPr>
            <w:r w:rsidRPr="0046431A">
              <w:rPr>
                <w:rFonts w:ascii="Arial Narrow" w:hAnsi="Arial Narrow"/>
                <w:sz w:val="20"/>
                <w:szCs w:val="20"/>
                <w:lang w:val="bg-BG"/>
              </w:rPr>
              <w:t>Регистрирани земеделски стопани, смесващи фуражи и произвеждащи силажи, само за нуждите на собствената им ферма</w:t>
            </w:r>
          </w:p>
        </w:tc>
        <w:tc>
          <w:tcPr>
            <w:tcW w:w="866" w:type="pct"/>
            <w:vAlign w:val="center"/>
          </w:tcPr>
          <w:p w14:paraId="6217B2A1" w14:textId="77777777" w:rsidR="0046431A" w:rsidRPr="0046431A" w:rsidRDefault="0046431A" w:rsidP="0046431A">
            <w:pPr>
              <w:widowControl w:val="0"/>
              <w:ind w:left="607"/>
              <w:jc w:val="right"/>
              <w:rPr>
                <w:rFonts w:ascii="Arial Narrow" w:eastAsia="Calibri" w:hAnsi="Arial Narrow"/>
                <w:sz w:val="20"/>
                <w:szCs w:val="20"/>
                <w:lang w:val="bg-BG"/>
              </w:rPr>
            </w:pPr>
            <w:r w:rsidRPr="0046431A">
              <w:rPr>
                <w:rFonts w:ascii="Arial Narrow" w:eastAsia="Calibri" w:hAnsi="Arial Narrow"/>
                <w:sz w:val="20"/>
                <w:szCs w:val="20"/>
                <w:lang w:val="bg-BG"/>
              </w:rPr>
              <w:t>160</w:t>
            </w:r>
          </w:p>
        </w:tc>
        <w:tc>
          <w:tcPr>
            <w:tcW w:w="867" w:type="pct"/>
            <w:vAlign w:val="center"/>
          </w:tcPr>
          <w:p w14:paraId="422CAA79" w14:textId="77777777" w:rsidR="0046431A" w:rsidRPr="0046431A" w:rsidRDefault="0046431A" w:rsidP="0046431A">
            <w:pPr>
              <w:widowControl w:val="0"/>
              <w:ind w:left="607"/>
              <w:jc w:val="right"/>
              <w:rPr>
                <w:rFonts w:ascii="Arial Narrow" w:eastAsia="Calibri" w:hAnsi="Arial Narrow"/>
                <w:sz w:val="20"/>
                <w:szCs w:val="20"/>
                <w:lang w:val="bg-BG"/>
              </w:rPr>
            </w:pPr>
            <w:r w:rsidRPr="0046431A">
              <w:rPr>
                <w:rFonts w:ascii="Arial Narrow" w:eastAsia="Calibri" w:hAnsi="Arial Narrow"/>
                <w:sz w:val="20"/>
                <w:szCs w:val="20"/>
                <w:lang w:val="bg-BG"/>
              </w:rPr>
              <w:t>103</w:t>
            </w:r>
          </w:p>
        </w:tc>
        <w:tc>
          <w:tcPr>
            <w:tcW w:w="741" w:type="pct"/>
            <w:shd w:val="clear" w:color="auto" w:fill="auto"/>
            <w:vAlign w:val="center"/>
          </w:tcPr>
          <w:p w14:paraId="4694B195" w14:textId="77777777" w:rsidR="0046431A" w:rsidRPr="0046431A" w:rsidRDefault="0046431A" w:rsidP="0046431A">
            <w:pPr>
              <w:widowControl w:val="0"/>
              <w:ind w:left="607"/>
              <w:jc w:val="right"/>
              <w:rPr>
                <w:rFonts w:ascii="Arial Narrow" w:eastAsia="Calibri" w:hAnsi="Arial Narrow"/>
                <w:sz w:val="20"/>
                <w:szCs w:val="20"/>
              </w:rPr>
            </w:pPr>
            <w:r w:rsidRPr="0046431A">
              <w:rPr>
                <w:rFonts w:ascii="Arial Narrow" w:eastAsia="Calibri" w:hAnsi="Arial Narrow"/>
                <w:sz w:val="20"/>
                <w:szCs w:val="20"/>
                <w:lang w:val="bg-BG"/>
              </w:rPr>
              <w:t>-35,6</w:t>
            </w:r>
            <w:r w:rsidRPr="0046431A">
              <w:rPr>
                <w:rFonts w:ascii="Arial Narrow" w:eastAsia="Calibri" w:hAnsi="Arial Narrow"/>
                <w:sz w:val="20"/>
                <w:szCs w:val="20"/>
              </w:rPr>
              <w:t>%</w:t>
            </w:r>
          </w:p>
        </w:tc>
      </w:tr>
      <w:tr w:rsidR="0046431A" w:rsidRPr="0046431A" w14:paraId="5506E8E0" w14:textId="77777777" w:rsidTr="006D1710">
        <w:trPr>
          <w:trHeight w:val="288"/>
        </w:trPr>
        <w:tc>
          <w:tcPr>
            <w:tcW w:w="323" w:type="pct"/>
            <w:vAlign w:val="center"/>
          </w:tcPr>
          <w:p w14:paraId="711BC1DD" w14:textId="77777777" w:rsidR="0046431A" w:rsidRPr="0046431A" w:rsidRDefault="0046431A" w:rsidP="0046431A">
            <w:pPr>
              <w:widowControl w:val="0"/>
              <w:ind w:left="605"/>
              <w:rPr>
                <w:rFonts w:ascii="Arial Narrow" w:hAnsi="Arial Narrow"/>
                <w:b/>
                <w:sz w:val="20"/>
                <w:szCs w:val="20"/>
                <w:lang w:val="bg-BG"/>
              </w:rPr>
            </w:pPr>
          </w:p>
        </w:tc>
        <w:tc>
          <w:tcPr>
            <w:tcW w:w="2204" w:type="pct"/>
            <w:vAlign w:val="center"/>
          </w:tcPr>
          <w:p w14:paraId="50E93F88" w14:textId="77777777" w:rsidR="0046431A" w:rsidRPr="0046431A" w:rsidRDefault="0046431A" w:rsidP="0046431A">
            <w:pPr>
              <w:widowControl w:val="0"/>
              <w:rPr>
                <w:rFonts w:ascii="Arial Narrow" w:hAnsi="Arial Narrow"/>
                <w:b/>
                <w:sz w:val="20"/>
                <w:szCs w:val="20"/>
                <w:lang w:val="bg-BG"/>
              </w:rPr>
            </w:pPr>
            <w:r w:rsidRPr="0046431A">
              <w:rPr>
                <w:rFonts w:ascii="Arial Narrow" w:hAnsi="Arial Narrow"/>
                <w:b/>
                <w:sz w:val="20"/>
                <w:szCs w:val="20"/>
                <w:lang w:val="bg-BG"/>
              </w:rPr>
              <w:t>Общо</w:t>
            </w:r>
          </w:p>
        </w:tc>
        <w:tc>
          <w:tcPr>
            <w:tcW w:w="866" w:type="pct"/>
            <w:vAlign w:val="center"/>
          </w:tcPr>
          <w:p w14:paraId="1F37352D" w14:textId="77777777" w:rsidR="0046431A" w:rsidRPr="0046431A" w:rsidRDefault="0046431A" w:rsidP="0046431A">
            <w:pPr>
              <w:widowControl w:val="0"/>
              <w:ind w:left="607"/>
              <w:jc w:val="right"/>
              <w:rPr>
                <w:rFonts w:ascii="Arial Narrow" w:eastAsia="Calibri" w:hAnsi="Arial Narrow"/>
                <w:b/>
                <w:sz w:val="20"/>
                <w:szCs w:val="20"/>
                <w:lang w:val="bg-BG"/>
              </w:rPr>
            </w:pPr>
            <w:r w:rsidRPr="0046431A">
              <w:rPr>
                <w:rFonts w:ascii="Arial Narrow" w:eastAsia="Calibri" w:hAnsi="Arial Narrow"/>
                <w:b/>
                <w:sz w:val="20"/>
                <w:szCs w:val="20"/>
                <w:lang w:val="bg-BG"/>
              </w:rPr>
              <w:t>11 489</w:t>
            </w:r>
          </w:p>
        </w:tc>
        <w:tc>
          <w:tcPr>
            <w:tcW w:w="867" w:type="pct"/>
            <w:vAlign w:val="center"/>
          </w:tcPr>
          <w:p w14:paraId="23FFC0FD" w14:textId="77777777" w:rsidR="0046431A" w:rsidRPr="0046431A" w:rsidRDefault="0046431A" w:rsidP="0046431A">
            <w:pPr>
              <w:widowControl w:val="0"/>
              <w:ind w:left="607"/>
              <w:jc w:val="right"/>
              <w:rPr>
                <w:rFonts w:ascii="Arial Narrow" w:eastAsia="Calibri" w:hAnsi="Arial Narrow"/>
                <w:b/>
                <w:sz w:val="20"/>
                <w:szCs w:val="20"/>
                <w:lang w:val="bg-BG"/>
              </w:rPr>
            </w:pPr>
            <w:r w:rsidRPr="0046431A">
              <w:rPr>
                <w:rFonts w:ascii="Arial Narrow" w:eastAsia="Calibri" w:hAnsi="Arial Narrow"/>
                <w:b/>
                <w:sz w:val="20"/>
                <w:szCs w:val="20"/>
                <w:lang w:val="bg-BG"/>
              </w:rPr>
              <w:t>20 771</w:t>
            </w:r>
          </w:p>
        </w:tc>
        <w:tc>
          <w:tcPr>
            <w:tcW w:w="741" w:type="pct"/>
            <w:shd w:val="clear" w:color="auto" w:fill="auto"/>
            <w:vAlign w:val="center"/>
          </w:tcPr>
          <w:p w14:paraId="259B61E2" w14:textId="77777777" w:rsidR="0046431A" w:rsidRPr="0046431A" w:rsidRDefault="0046431A" w:rsidP="0046431A">
            <w:pPr>
              <w:widowControl w:val="0"/>
              <w:ind w:left="607"/>
              <w:jc w:val="right"/>
              <w:rPr>
                <w:rFonts w:ascii="Arial Narrow" w:eastAsia="Calibri" w:hAnsi="Arial Narrow"/>
                <w:b/>
                <w:sz w:val="20"/>
                <w:szCs w:val="20"/>
              </w:rPr>
            </w:pPr>
            <w:r w:rsidRPr="0046431A">
              <w:rPr>
                <w:rFonts w:ascii="Arial Narrow" w:eastAsia="Calibri" w:hAnsi="Arial Narrow"/>
                <w:b/>
                <w:sz w:val="20"/>
                <w:szCs w:val="20"/>
                <w:lang w:val="bg-BG"/>
              </w:rPr>
              <w:t>80,8</w:t>
            </w:r>
            <w:r w:rsidRPr="0046431A">
              <w:rPr>
                <w:rFonts w:ascii="Arial Narrow" w:eastAsia="Calibri" w:hAnsi="Arial Narrow"/>
                <w:b/>
                <w:sz w:val="20"/>
                <w:szCs w:val="20"/>
              </w:rPr>
              <w:t>%</w:t>
            </w:r>
          </w:p>
        </w:tc>
      </w:tr>
    </w:tbl>
    <w:p w14:paraId="0520C80C" w14:textId="77777777" w:rsidR="0046431A" w:rsidRPr="0046431A" w:rsidRDefault="0046431A" w:rsidP="0046431A">
      <w:pPr>
        <w:widowControl w:val="0"/>
        <w:overflowPunct w:val="0"/>
        <w:autoSpaceDE w:val="0"/>
        <w:autoSpaceDN w:val="0"/>
        <w:adjustRightInd w:val="0"/>
        <w:spacing w:after="240"/>
        <w:jc w:val="both"/>
        <w:rPr>
          <w:rFonts w:ascii="Arial Narrow" w:eastAsia="Calibri" w:hAnsi="Arial Narrow"/>
          <w:sz w:val="18"/>
          <w:szCs w:val="18"/>
          <w:lang w:val="bg-BG"/>
        </w:rPr>
      </w:pPr>
      <w:r w:rsidRPr="0046431A">
        <w:rPr>
          <w:rFonts w:ascii="Arial Narrow" w:eastAsia="Calibri" w:hAnsi="Arial Narrow"/>
          <w:bCs/>
          <w:i/>
          <w:iCs/>
          <w:sz w:val="18"/>
          <w:szCs w:val="18"/>
          <w:lang w:val="bg-BG"/>
        </w:rPr>
        <w:t xml:space="preserve">Източник: </w:t>
      </w:r>
      <w:r w:rsidRPr="0046431A">
        <w:rPr>
          <w:rFonts w:ascii="Arial Narrow" w:eastAsia="Calibri" w:hAnsi="Arial Narrow"/>
          <w:bCs/>
          <w:iCs/>
          <w:sz w:val="18"/>
          <w:szCs w:val="18"/>
          <w:lang w:val="bg-BG"/>
        </w:rPr>
        <w:t>БАБХ</w:t>
      </w:r>
      <w:r w:rsidRPr="0046431A">
        <w:rPr>
          <w:rFonts w:ascii="Arial Narrow" w:hAnsi="Arial Narrow"/>
          <w:lang w:val="bg-BG" w:eastAsia="bg-BG"/>
        </w:rPr>
        <w:t xml:space="preserve"> </w:t>
      </w:r>
      <w:r w:rsidRPr="0046431A">
        <w:rPr>
          <w:rFonts w:ascii="Arial Narrow" w:eastAsia="Calibri" w:hAnsi="Arial Narrow"/>
          <w:bCs/>
          <w:iCs/>
          <w:sz w:val="18"/>
          <w:szCs w:val="18"/>
          <w:lang w:val="bg-BG"/>
        </w:rPr>
        <w:t>и МЗХ</w:t>
      </w:r>
    </w:p>
    <w:p w14:paraId="55A732B3" w14:textId="77777777" w:rsidR="0046431A" w:rsidRPr="0046431A" w:rsidRDefault="0046431A" w:rsidP="0046431A">
      <w:pPr>
        <w:shd w:val="clear" w:color="auto" w:fill="FFFFFF"/>
        <w:overflowPunct w:val="0"/>
        <w:autoSpaceDE w:val="0"/>
        <w:autoSpaceDN w:val="0"/>
        <w:adjustRightInd w:val="0"/>
        <w:spacing w:after="120"/>
        <w:ind w:firstLine="709"/>
        <w:jc w:val="both"/>
        <w:rPr>
          <w:rFonts w:ascii="Arial Narrow" w:hAnsi="Arial Narrow"/>
          <w:lang w:val="bg-BG" w:eastAsia="bg-BG"/>
        </w:rPr>
      </w:pPr>
      <w:r w:rsidRPr="0046431A">
        <w:rPr>
          <w:rFonts w:ascii="Arial Narrow" w:eastAsia="Calibri" w:hAnsi="Arial Narrow"/>
          <w:lang w:val="bg-BG" w:eastAsia="bg-BG"/>
        </w:rPr>
        <w:t>Към 31 декември 202</w:t>
      </w:r>
      <w:r w:rsidRPr="0046431A">
        <w:rPr>
          <w:rFonts w:ascii="Arial Narrow" w:eastAsia="Calibri" w:hAnsi="Arial Narrow"/>
          <w:lang w:eastAsia="bg-BG"/>
        </w:rPr>
        <w:t>4</w:t>
      </w:r>
      <w:r w:rsidRPr="0046431A">
        <w:rPr>
          <w:rFonts w:ascii="Arial Narrow" w:eastAsia="Calibri" w:hAnsi="Arial Narrow"/>
          <w:lang w:val="bg-BG" w:eastAsia="bg-BG"/>
        </w:rPr>
        <w:t xml:space="preserve"> г. са регистрирани нови 1</w:t>
      </w:r>
      <w:r w:rsidRPr="0046431A">
        <w:rPr>
          <w:rFonts w:ascii="Arial Narrow" w:eastAsia="Calibri" w:hAnsi="Arial Narrow"/>
          <w:lang w:eastAsia="bg-BG"/>
        </w:rPr>
        <w:t xml:space="preserve"> </w:t>
      </w:r>
      <w:r w:rsidRPr="0046431A">
        <w:rPr>
          <w:rFonts w:ascii="Arial Narrow" w:eastAsia="Calibri" w:hAnsi="Arial Narrow"/>
          <w:lang w:val="bg-BG" w:eastAsia="bg-BG"/>
        </w:rPr>
        <w:t xml:space="preserve">131 обекта, в които се извършва дейност в съответствие със законодателството по фуражите. Това представлява увеличение с 667 броя или близо два пъти и половина спрямо година по-рано. Заличените регистрации, по искане на оператора на основание чл. 16, ал. 10, т. 1 и т. 2 или чл. 17г, ал. 2, т. 1 и т. 2 от Закона за фуражите са 391 броя, със 146 броя повече на годишна база. </w:t>
      </w:r>
      <w:r w:rsidRPr="0046431A">
        <w:rPr>
          <w:rFonts w:ascii="Arial Narrow" w:hAnsi="Arial Narrow"/>
          <w:lang w:val="bg-BG" w:eastAsia="bg-BG"/>
        </w:rPr>
        <w:t xml:space="preserve">Най-честата причина за заличаването на регистрацията на това основание е временно преустановяване на дейността на оператора за срок по-дълъг от една година.  </w:t>
      </w:r>
    </w:p>
    <w:p w14:paraId="0A50DBAA" w14:textId="77777777" w:rsidR="0046431A" w:rsidRPr="0046431A" w:rsidRDefault="0046431A" w:rsidP="0046431A">
      <w:pPr>
        <w:shd w:val="clear" w:color="auto" w:fill="FFFFFF"/>
        <w:spacing w:after="120"/>
        <w:ind w:firstLine="600"/>
        <w:jc w:val="both"/>
        <w:rPr>
          <w:rFonts w:ascii="Arial Narrow" w:hAnsi="Arial Narrow"/>
          <w:lang w:val="bg-BG" w:eastAsia="bg-BG"/>
        </w:rPr>
      </w:pPr>
      <w:r w:rsidRPr="0046431A">
        <w:rPr>
          <w:rFonts w:ascii="Arial Narrow" w:hAnsi="Arial Narrow"/>
          <w:lang w:val="bg-BG" w:eastAsia="bg-BG"/>
        </w:rPr>
        <w:t>Към края на 2024 г. са одобрени нови 2 обекта, в които се извършва дейност в съответствие със законодателството по фуражите, при 1 брой в края на 2023 г. Заличени са 4 одобрения на обекти, по искане на оператора съгласно чл. 19, ал. 18, т. 1 от Закона за фуражите - колкото и през предходната година.</w:t>
      </w:r>
    </w:p>
    <w:p w14:paraId="5B07CC0B" w14:textId="77777777" w:rsidR="0046431A" w:rsidRPr="0046431A" w:rsidRDefault="0046431A" w:rsidP="0046431A">
      <w:pPr>
        <w:shd w:val="clear" w:color="auto" w:fill="FFFFFF"/>
        <w:spacing w:after="120"/>
        <w:ind w:firstLine="600"/>
        <w:jc w:val="both"/>
        <w:rPr>
          <w:rFonts w:ascii="Arial Narrow" w:hAnsi="Arial Narrow"/>
          <w:lang w:val="bg-BG" w:eastAsia="bg-BG"/>
        </w:rPr>
      </w:pPr>
      <w:r w:rsidRPr="0046431A">
        <w:rPr>
          <w:rFonts w:ascii="Arial Narrow" w:hAnsi="Arial Narrow"/>
          <w:lang w:val="bg-BG" w:eastAsia="bg-BG"/>
        </w:rPr>
        <w:t xml:space="preserve">Към 31 декември 2024 г. обектите, в които се извършва дейност „производство на медикаментозни фуражи“, попадащи в обхвата на чл. 10 от Регламент (ЕО) № 183/2005 </w:t>
      </w:r>
      <w:r w:rsidRPr="0046431A">
        <w:rPr>
          <w:rFonts w:ascii="Arial Narrow" w:eastAsia="Calibri" w:hAnsi="Arial Narrow"/>
          <w:lang w:val="bg-BG" w:eastAsia="bg-BG"/>
        </w:rPr>
        <w:t>са общо 10 броя, с 1 по-малко спрямо година по-рано.</w:t>
      </w:r>
    </w:p>
    <w:p w14:paraId="552BA02E" w14:textId="77777777" w:rsidR="0046431A" w:rsidRPr="0046431A" w:rsidRDefault="0046431A" w:rsidP="0046431A">
      <w:pPr>
        <w:widowControl w:val="0"/>
        <w:spacing w:after="120"/>
        <w:ind w:left="-539" w:firstLine="1247"/>
        <w:jc w:val="both"/>
        <w:rPr>
          <w:rFonts w:ascii="Arial Narrow" w:hAnsi="Arial Narrow"/>
          <w:b/>
          <w:bCs/>
          <w:i/>
          <w:lang w:val="bg-BG" w:eastAsia="bg-BG"/>
        </w:rPr>
      </w:pPr>
      <w:r w:rsidRPr="0046431A">
        <w:rPr>
          <w:rFonts w:ascii="Arial Narrow" w:hAnsi="Arial Narrow"/>
          <w:b/>
          <w:bCs/>
          <w:i/>
          <w:lang w:val="bg-BG" w:eastAsia="bg-BG"/>
        </w:rPr>
        <w:t>Производство на комбинирани фуражи</w:t>
      </w:r>
    </w:p>
    <w:p w14:paraId="05ACEAEB" w14:textId="77777777" w:rsidR="0046431A" w:rsidRPr="0046431A" w:rsidRDefault="0046431A" w:rsidP="0046431A">
      <w:pPr>
        <w:spacing w:after="120"/>
        <w:ind w:firstLine="709"/>
        <w:jc w:val="both"/>
        <w:rPr>
          <w:rFonts w:ascii="Arial Narrow" w:hAnsi="Arial Narrow"/>
          <w:lang w:val="bg-BG" w:eastAsia="bg-BG"/>
        </w:rPr>
      </w:pPr>
      <w:r w:rsidRPr="0046431A">
        <w:rPr>
          <w:rFonts w:ascii="Arial Narrow" w:hAnsi="Arial Narrow"/>
          <w:lang w:val="bg-BG" w:eastAsia="bg-BG"/>
        </w:rPr>
        <w:t>През 2024 г. в страната са произведени общо 1 365 265,890 тона комбинирани фуражи - с 2,1% повече спрямо предходната година. Количеството е разпределено както следва: за пазара – 975 374,045 тона (71,4% от общото производство) и за нуждите на собствените животновъдни ферми - 389 891,845 тона (2</w:t>
      </w:r>
      <w:r w:rsidRPr="0046431A">
        <w:rPr>
          <w:rFonts w:ascii="Arial Narrow" w:hAnsi="Arial Narrow"/>
          <w:lang w:eastAsia="bg-BG"/>
        </w:rPr>
        <w:t>8</w:t>
      </w:r>
      <w:r w:rsidRPr="0046431A">
        <w:rPr>
          <w:rFonts w:ascii="Arial Narrow" w:hAnsi="Arial Narrow"/>
          <w:lang w:val="bg-BG" w:eastAsia="bg-BG"/>
        </w:rPr>
        <w:t>,</w:t>
      </w:r>
      <w:r w:rsidRPr="0046431A">
        <w:rPr>
          <w:rFonts w:ascii="Arial Narrow" w:hAnsi="Arial Narrow"/>
          <w:lang w:eastAsia="bg-BG"/>
        </w:rPr>
        <w:t>6</w:t>
      </w:r>
      <w:r w:rsidRPr="0046431A">
        <w:rPr>
          <w:rFonts w:ascii="Arial Narrow" w:hAnsi="Arial Narrow"/>
          <w:lang w:val="bg-BG" w:eastAsia="bg-BG"/>
        </w:rPr>
        <w:t>%), при съответно 72,6% и 27,4% през 2023 г. Произведеният комбиниран фураж за пазара е реализиран както на територията на Европейския съюз, така и чрез износ за трети страни.</w:t>
      </w:r>
    </w:p>
    <w:p w14:paraId="55BCE38E" w14:textId="77777777" w:rsidR="0046431A" w:rsidRPr="0046431A" w:rsidRDefault="0046431A" w:rsidP="00F214AB">
      <w:pPr>
        <w:spacing w:after="120"/>
        <w:jc w:val="both"/>
        <w:rPr>
          <w:rFonts w:ascii="Arial Narrow" w:hAnsi="Arial Narrow"/>
          <w:b/>
          <w:bCs/>
          <w:lang w:val="bg-BG" w:eastAsia="bg-BG"/>
        </w:rPr>
      </w:pPr>
      <w:r w:rsidRPr="0046431A">
        <w:rPr>
          <w:rFonts w:ascii="Arial Narrow" w:hAnsi="Arial Narrow"/>
          <w:b/>
          <w:bCs/>
          <w:lang w:val="bg-BG" w:eastAsia="bg-BG"/>
        </w:rPr>
        <w:t>Таблица V.1</w:t>
      </w:r>
      <w:r w:rsidR="00F214AB">
        <w:rPr>
          <w:rFonts w:ascii="Arial Narrow" w:hAnsi="Arial Narrow"/>
          <w:b/>
          <w:bCs/>
          <w:lang w:val="bg-BG" w:eastAsia="bg-BG"/>
        </w:rPr>
        <w:t>4</w:t>
      </w:r>
      <w:r w:rsidRPr="0046431A">
        <w:rPr>
          <w:rFonts w:ascii="Arial Narrow" w:hAnsi="Arial Narrow"/>
          <w:b/>
          <w:bCs/>
          <w:lang w:val="bg-BG" w:eastAsia="bg-BG"/>
        </w:rPr>
        <w:t>. Производство на комбинирани фуражи през 2024 г. по видове животни, тона</w:t>
      </w:r>
    </w:p>
    <w:tbl>
      <w:tblPr>
        <w:tblW w:w="4937" w:type="pct"/>
        <w:tblInd w:w="108" w:type="dxa"/>
        <w:tblLook w:val="04A0" w:firstRow="1" w:lastRow="0" w:firstColumn="1" w:lastColumn="0" w:noHBand="0" w:noVBand="1"/>
      </w:tblPr>
      <w:tblGrid>
        <w:gridCol w:w="2940"/>
        <w:gridCol w:w="2245"/>
        <w:gridCol w:w="2245"/>
        <w:gridCol w:w="2247"/>
      </w:tblGrid>
      <w:tr w:rsidR="0046431A" w:rsidRPr="0046431A" w14:paraId="7E282D7F" w14:textId="77777777" w:rsidTr="006D1710">
        <w:trPr>
          <w:trHeight w:val="423"/>
          <w:tblHeader/>
        </w:trPr>
        <w:tc>
          <w:tcPr>
            <w:tcW w:w="15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A72A28A" w14:textId="77777777" w:rsidR="0046431A" w:rsidRPr="0046431A" w:rsidRDefault="0046431A" w:rsidP="0046431A">
            <w:pPr>
              <w:jc w:val="center"/>
              <w:rPr>
                <w:rFonts w:ascii="Arial Narrow" w:hAnsi="Arial Narrow" w:cs="Arial"/>
                <w:b/>
                <w:bCs/>
                <w:sz w:val="20"/>
                <w:szCs w:val="20"/>
                <w:lang w:val="bg-BG"/>
              </w:rPr>
            </w:pPr>
            <w:r w:rsidRPr="0046431A">
              <w:rPr>
                <w:rFonts w:ascii="Arial Narrow" w:hAnsi="Arial Narrow" w:cs="Arial"/>
                <w:b/>
                <w:bCs/>
                <w:sz w:val="20"/>
                <w:szCs w:val="20"/>
                <w:lang w:val="bg-BG"/>
              </w:rPr>
              <w:lastRenderedPageBreak/>
              <w:t>Вид животни</w:t>
            </w:r>
          </w:p>
        </w:tc>
        <w:tc>
          <w:tcPr>
            <w:tcW w:w="1160" w:type="pct"/>
            <w:tcBorders>
              <w:top w:val="single" w:sz="4" w:space="0" w:color="auto"/>
              <w:left w:val="nil"/>
              <w:bottom w:val="single" w:sz="4" w:space="0" w:color="auto"/>
              <w:right w:val="single" w:sz="4" w:space="0" w:color="auto"/>
            </w:tcBorders>
            <w:shd w:val="clear" w:color="auto" w:fill="auto"/>
            <w:vAlign w:val="center"/>
            <w:hideMark/>
          </w:tcPr>
          <w:p w14:paraId="2AD26DD0" w14:textId="77777777" w:rsidR="0046431A" w:rsidRPr="0046431A" w:rsidRDefault="0046431A" w:rsidP="0046431A">
            <w:pPr>
              <w:jc w:val="center"/>
              <w:rPr>
                <w:rFonts w:ascii="Arial Narrow" w:hAnsi="Arial Narrow" w:cs="Arial"/>
                <w:b/>
                <w:bCs/>
                <w:sz w:val="20"/>
                <w:szCs w:val="20"/>
                <w:lang w:val="bg-BG"/>
              </w:rPr>
            </w:pPr>
            <w:r w:rsidRPr="0046431A">
              <w:rPr>
                <w:rFonts w:ascii="Arial Narrow" w:hAnsi="Arial Narrow" w:cs="Arial"/>
                <w:b/>
                <w:bCs/>
                <w:sz w:val="20"/>
                <w:szCs w:val="20"/>
                <w:lang w:val="bg-BG"/>
              </w:rPr>
              <w:t>За пазара</w:t>
            </w:r>
          </w:p>
        </w:tc>
        <w:tc>
          <w:tcPr>
            <w:tcW w:w="1160" w:type="pct"/>
            <w:tcBorders>
              <w:top w:val="single" w:sz="4" w:space="0" w:color="auto"/>
              <w:left w:val="nil"/>
              <w:bottom w:val="single" w:sz="4" w:space="0" w:color="auto"/>
              <w:right w:val="single" w:sz="4" w:space="0" w:color="auto"/>
            </w:tcBorders>
            <w:shd w:val="clear" w:color="auto" w:fill="auto"/>
            <w:vAlign w:val="center"/>
            <w:hideMark/>
          </w:tcPr>
          <w:p w14:paraId="65CB8AB2" w14:textId="77777777" w:rsidR="0046431A" w:rsidRPr="0046431A" w:rsidRDefault="0046431A" w:rsidP="0046431A">
            <w:pPr>
              <w:jc w:val="center"/>
              <w:rPr>
                <w:rFonts w:ascii="Arial Narrow" w:hAnsi="Arial Narrow" w:cs="Arial"/>
                <w:b/>
                <w:bCs/>
                <w:sz w:val="20"/>
                <w:szCs w:val="20"/>
              </w:rPr>
            </w:pPr>
            <w:r w:rsidRPr="0046431A">
              <w:rPr>
                <w:rFonts w:ascii="Arial Narrow" w:hAnsi="Arial Narrow" w:cs="Arial"/>
                <w:b/>
                <w:bCs/>
                <w:sz w:val="20"/>
                <w:szCs w:val="20"/>
                <w:lang w:val="bg-BG"/>
              </w:rPr>
              <w:t xml:space="preserve">За собствени ферми </w:t>
            </w:r>
          </w:p>
        </w:tc>
        <w:tc>
          <w:tcPr>
            <w:tcW w:w="1161" w:type="pct"/>
            <w:tcBorders>
              <w:top w:val="single" w:sz="4" w:space="0" w:color="auto"/>
              <w:left w:val="nil"/>
              <w:bottom w:val="single" w:sz="4" w:space="0" w:color="auto"/>
              <w:right w:val="single" w:sz="4" w:space="0" w:color="auto"/>
            </w:tcBorders>
            <w:shd w:val="clear" w:color="auto" w:fill="auto"/>
            <w:vAlign w:val="center"/>
            <w:hideMark/>
          </w:tcPr>
          <w:p w14:paraId="4C94A91A" w14:textId="77777777" w:rsidR="0046431A" w:rsidRPr="0046431A" w:rsidRDefault="0046431A" w:rsidP="0046431A">
            <w:pPr>
              <w:jc w:val="center"/>
              <w:rPr>
                <w:rFonts w:ascii="Arial Narrow" w:hAnsi="Arial Narrow" w:cs="Arial"/>
                <w:b/>
                <w:bCs/>
                <w:sz w:val="20"/>
                <w:szCs w:val="20"/>
              </w:rPr>
            </w:pPr>
            <w:r w:rsidRPr="0046431A">
              <w:rPr>
                <w:rFonts w:ascii="Arial Narrow" w:hAnsi="Arial Narrow" w:cs="Arial"/>
                <w:b/>
                <w:bCs/>
                <w:sz w:val="20"/>
                <w:szCs w:val="20"/>
                <w:lang w:val="bg-BG"/>
              </w:rPr>
              <w:t>Общо</w:t>
            </w:r>
          </w:p>
        </w:tc>
      </w:tr>
      <w:tr w:rsidR="0046431A" w:rsidRPr="0046431A" w14:paraId="2237A9C9" w14:textId="77777777" w:rsidTr="006D1710">
        <w:trPr>
          <w:trHeight w:val="370"/>
        </w:trPr>
        <w:tc>
          <w:tcPr>
            <w:tcW w:w="1519" w:type="pct"/>
            <w:tcBorders>
              <w:top w:val="nil"/>
              <w:left w:val="single" w:sz="4" w:space="0" w:color="auto"/>
              <w:bottom w:val="single" w:sz="4" w:space="0" w:color="auto"/>
              <w:right w:val="single" w:sz="4" w:space="0" w:color="auto"/>
            </w:tcBorders>
            <w:shd w:val="clear" w:color="auto" w:fill="auto"/>
            <w:vAlign w:val="center"/>
            <w:hideMark/>
          </w:tcPr>
          <w:p w14:paraId="66666648" w14:textId="77777777" w:rsidR="0046431A" w:rsidRPr="0046431A" w:rsidRDefault="0046431A" w:rsidP="0046431A">
            <w:pPr>
              <w:rPr>
                <w:rFonts w:ascii="Arial Narrow" w:hAnsi="Arial Narrow" w:cs="Arial"/>
                <w:sz w:val="20"/>
                <w:szCs w:val="20"/>
              </w:rPr>
            </w:pPr>
            <w:r w:rsidRPr="0046431A">
              <w:rPr>
                <w:rFonts w:ascii="Arial Narrow" w:hAnsi="Arial Narrow" w:cs="Arial"/>
                <w:sz w:val="20"/>
                <w:szCs w:val="20"/>
                <w:lang w:val="bg-BG"/>
              </w:rPr>
              <w:t>Преживни</w:t>
            </w:r>
          </w:p>
        </w:tc>
        <w:tc>
          <w:tcPr>
            <w:tcW w:w="11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16ECFD2" w14:textId="77777777" w:rsidR="0046431A" w:rsidRPr="0046431A" w:rsidRDefault="0046431A" w:rsidP="0046431A">
            <w:pPr>
              <w:jc w:val="right"/>
              <w:rPr>
                <w:rFonts w:ascii="Arial Narrow" w:hAnsi="Arial Narrow" w:cs="Arial"/>
                <w:sz w:val="20"/>
                <w:szCs w:val="20"/>
                <w:lang w:val="bg-BG"/>
              </w:rPr>
            </w:pPr>
            <w:r w:rsidRPr="0046431A">
              <w:rPr>
                <w:rFonts w:ascii="Arial Narrow" w:hAnsi="Arial Narrow" w:cs="Arial"/>
                <w:sz w:val="20"/>
                <w:szCs w:val="20"/>
                <w:lang w:val="bg-BG"/>
              </w:rPr>
              <w:t>118 794,909</w:t>
            </w:r>
          </w:p>
        </w:tc>
        <w:tc>
          <w:tcPr>
            <w:tcW w:w="11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32761D7" w14:textId="77777777" w:rsidR="0046431A" w:rsidRPr="0046431A" w:rsidRDefault="0046431A" w:rsidP="0046431A">
            <w:pPr>
              <w:jc w:val="right"/>
              <w:rPr>
                <w:rFonts w:ascii="Arial Narrow" w:hAnsi="Arial Narrow" w:cs="Arial"/>
                <w:sz w:val="20"/>
                <w:szCs w:val="20"/>
                <w:lang w:val="bg-BG"/>
              </w:rPr>
            </w:pPr>
            <w:r w:rsidRPr="0046431A">
              <w:rPr>
                <w:rFonts w:ascii="Arial Narrow" w:hAnsi="Arial Narrow" w:cs="Arial"/>
                <w:sz w:val="20"/>
                <w:szCs w:val="20"/>
                <w:lang w:val="bg-BG"/>
              </w:rPr>
              <w:t>71 848,904</w:t>
            </w:r>
          </w:p>
        </w:tc>
        <w:tc>
          <w:tcPr>
            <w:tcW w:w="11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8E13192" w14:textId="77777777" w:rsidR="0046431A" w:rsidRPr="0046431A" w:rsidRDefault="0046431A" w:rsidP="0046431A">
            <w:pPr>
              <w:jc w:val="right"/>
              <w:rPr>
                <w:rFonts w:ascii="Arial Narrow" w:hAnsi="Arial Narrow" w:cs="Arial"/>
                <w:sz w:val="20"/>
                <w:szCs w:val="20"/>
                <w:lang w:val="bg-BG"/>
              </w:rPr>
            </w:pPr>
            <w:r w:rsidRPr="0046431A">
              <w:rPr>
                <w:rFonts w:ascii="Arial Narrow" w:hAnsi="Arial Narrow" w:cs="Arial"/>
                <w:sz w:val="20"/>
                <w:szCs w:val="20"/>
                <w:lang w:val="bg-BG"/>
              </w:rPr>
              <w:t>190 643,813</w:t>
            </w:r>
          </w:p>
        </w:tc>
      </w:tr>
      <w:tr w:rsidR="0046431A" w:rsidRPr="0046431A" w14:paraId="43ECD3C9" w14:textId="77777777" w:rsidTr="006D1710">
        <w:trPr>
          <w:trHeight w:val="370"/>
        </w:trPr>
        <w:tc>
          <w:tcPr>
            <w:tcW w:w="1519" w:type="pct"/>
            <w:tcBorders>
              <w:top w:val="nil"/>
              <w:left w:val="single" w:sz="4" w:space="0" w:color="auto"/>
              <w:bottom w:val="single" w:sz="4" w:space="0" w:color="auto"/>
              <w:right w:val="single" w:sz="4" w:space="0" w:color="auto"/>
            </w:tcBorders>
            <w:shd w:val="clear" w:color="auto" w:fill="auto"/>
            <w:vAlign w:val="center"/>
            <w:hideMark/>
          </w:tcPr>
          <w:p w14:paraId="4C7949DA" w14:textId="77777777" w:rsidR="0046431A" w:rsidRPr="0046431A" w:rsidRDefault="0046431A" w:rsidP="0046431A">
            <w:pPr>
              <w:rPr>
                <w:rFonts w:ascii="Arial Narrow" w:hAnsi="Arial Narrow" w:cs="Arial"/>
                <w:sz w:val="20"/>
                <w:szCs w:val="20"/>
              </w:rPr>
            </w:pPr>
            <w:r w:rsidRPr="0046431A">
              <w:rPr>
                <w:rFonts w:ascii="Arial Narrow" w:hAnsi="Arial Narrow" w:cs="Arial"/>
                <w:sz w:val="20"/>
                <w:szCs w:val="20"/>
                <w:lang w:val="bg-BG"/>
              </w:rPr>
              <w:t>Свине</w:t>
            </w:r>
          </w:p>
        </w:tc>
        <w:tc>
          <w:tcPr>
            <w:tcW w:w="11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413151F" w14:textId="77777777" w:rsidR="0046431A" w:rsidRPr="0046431A" w:rsidRDefault="0046431A" w:rsidP="0046431A">
            <w:pPr>
              <w:jc w:val="right"/>
              <w:rPr>
                <w:rFonts w:ascii="Arial Narrow" w:hAnsi="Arial Narrow" w:cs="Arial"/>
                <w:sz w:val="20"/>
                <w:szCs w:val="20"/>
                <w:lang w:val="bg-BG"/>
              </w:rPr>
            </w:pPr>
            <w:r w:rsidRPr="0046431A">
              <w:rPr>
                <w:rFonts w:ascii="Arial Narrow" w:hAnsi="Arial Narrow" w:cs="Arial"/>
                <w:sz w:val="20"/>
                <w:szCs w:val="20"/>
                <w:lang w:val="bg-BG"/>
              </w:rPr>
              <w:t>279 628,922</w:t>
            </w:r>
          </w:p>
        </w:tc>
        <w:tc>
          <w:tcPr>
            <w:tcW w:w="11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B1E39CD" w14:textId="77777777" w:rsidR="0046431A" w:rsidRPr="0046431A" w:rsidRDefault="0046431A" w:rsidP="0046431A">
            <w:pPr>
              <w:jc w:val="right"/>
              <w:rPr>
                <w:rFonts w:ascii="Arial Narrow" w:hAnsi="Arial Narrow" w:cs="Arial"/>
                <w:sz w:val="20"/>
                <w:szCs w:val="20"/>
                <w:lang w:val="bg-BG"/>
              </w:rPr>
            </w:pPr>
            <w:r w:rsidRPr="0046431A">
              <w:rPr>
                <w:rFonts w:ascii="Arial Narrow" w:hAnsi="Arial Narrow" w:cs="Arial"/>
                <w:sz w:val="20"/>
                <w:szCs w:val="20"/>
                <w:lang w:val="bg-BG"/>
              </w:rPr>
              <w:t>197 356,492</w:t>
            </w:r>
          </w:p>
        </w:tc>
        <w:tc>
          <w:tcPr>
            <w:tcW w:w="11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19C4AC2" w14:textId="77777777" w:rsidR="0046431A" w:rsidRPr="0046431A" w:rsidRDefault="0046431A" w:rsidP="0046431A">
            <w:pPr>
              <w:jc w:val="right"/>
              <w:rPr>
                <w:rFonts w:ascii="Arial Narrow" w:hAnsi="Arial Narrow" w:cs="Arial"/>
                <w:sz w:val="20"/>
                <w:szCs w:val="20"/>
                <w:lang w:val="bg-BG"/>
              </w:rPr>
            </w:pPr>
            <w:r w:rsidRPr="0046431A">
              <w:rPr>
                <w:rFonts w:ascii="Arial Narrow" w:hAnsi="Arial Narrow" w:cs="Arial"/>
                <w:sz w:val="20"/>
                <w:szCs w:val="20"/>
                <w:lang w:val="bg-BG"/>
              </w:rPr>
              <w:t>476 985,414</w:t>
            </w:r>
          </w:p>
        </w:tc>
      </w:tr>
      <w:tr w:rsidR="0046431A" w:rsidRPr="0046431A" w14:paraId="74E139E3" w14:textId="77777777" w:rsidTr="006D1710">
        <w:trPr>
          <w:trHeight w:val="370"/>
        </w:trPr>
        <w:tc>
          <w:tcPr>
            <w:tcW w:w="1519" w:type="pct"/>
            <w:tcBorders>
              <w:top w:val="nil"/>
              <w:left w:val="single" w:sz="4" w:space="0" w:color="auto"/>
              <w:bottom w:val="single" w:sz="4" w:space="0" w:color="auto"/>
              <w:right w:val="single" w:sz="4" w:space="0" w:color="auto"/>
            </w:tcBorders>
            <w:shd w:val="clear" w:color="auto" w:fill="auto"/>
            <w:vAlign w:val="center"/>
            <w:hideMark/>
          </w:tcPr>
          <w:p w14:paraId="6F85A1A7" w14:textId="77777777" w:rsidR="0046431A" w:rsidRPr="0046431A" w:rsidRDefault="0046431A" w:rsidP="0046431A">
            <w:pPr>
              <w:rPr>
                <w:rFonts w:ascii="Arial Narrow" w:hAnsi="Arial Narrow" w:cs="Arial"/>
                <w:sz w:val="20"/>
                <w:szCs w:val="20"/>
              </w:rPr>
            </w:pPr>
            <w:r w:rsidRPr="0046431A">
              <w:rPr>
                <w:rFonts w:ascii="Arial Narrow" w:hAnsi="Arial Narrow" w:cs="Arial"/>
                <w:sz w:val="20"/>
                <w:szCs w:val="20"/>
                <w:lang w:val="bg-BG"/>
              </w:rPr>
              <w:t>Птици</w:t>
            </w:r>
          </w:p>
        </w:tc>
        <w:tc>
          <w:tcPr>
            <w:tcW w:w="11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497897D" w14:textId="77777777" w:rsidR="0046431A" w:rsidRPr="0046431A" w:rsidRDefault="0046431A" w:rsidP="0046431A">
            <w:pPr>
              <w:jc w:val="right"/>
              <w:rPr>
                <w:rFonts w:ascii="Arial Narrow" w:hAnsi="Arial Narrow" w:cs="Arial"/>
                <w:sz w:val="20"/>
                <w:szCs w:val="20"/>
                <w:lang w:val="bg-BG"/>
              </w:rPr>
            </w:pPr>
            <w:r w:rsidRPr="0046431A">
              <w:rPr>
                <w:rFonts w:ascii="Arial Narrow" w:hAnsi="Arial Narrow" w:cs="Arial"/>
                <w:sz w:val="20"/>
                <w:szCs w:val="20"/>
                <w:lang w:val="bg-BG"/>
              </w:rPr>
              <w:t>503 640,435</w:t>
            </w:r>
          </w:p>
        </w:tc>
        <w:tc>
          <w:tcPr>
            <w:tcW w:w="11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4826A22" w14:textId="77777777" w:rsidR="0046431A" w:rsidRPr="0046431A" w:rsidRDefault="0046431A" w:rsidP="0046431A">
            <w:pPr>
              <w:jc w:val="right"/>
              <w:rPr>
                <w:rFonts w:ascii="Arial Narrow" w:hAnsi="Arial Narrow" w:cs="Arial"/>
                <w:sz w:val="20"/>
                <w:szCs w:val="20"/>
                <w:lang w:val="bg-BG"/>
              </w:rPr>
            </w:pPr>
            <w:r w:rsidRPr="0046431A">
              <w:rPr>
                <w:rFonts w:ascii="Arial Narrow" w:hAnsi="Arial Narrow" w:cs="Arial"/>
                <w:sz w:val="20"/>
                <w:szCs w:val="20"/>
                <w:lang w:val="bg-BG"/>
              </w:rPr>
              <w:t>117 125,599</w:t>
            </w:r>
          </w:p>
        </w:tc>
        <w:tc>
          <w:tcPr>
            <w:tcW w:w="11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A2E7F94" w14:textId="77777777" w:rsidR="0046431A" w:rsidRPr="0046431A" w:rsidRDefault="0046431A" w:rsidP="0046431A">
            <w:pPr>
              <w:jc w:val="right"/>
              <w:rPr>
                <w:rFonts w:ascii="Arial Narrow" w:hAnsi="Arial Narrow" w:cs="Arial"/>
                <w:sz w:val="20"/>
                <w:szCs w:val="20"/>
                <w:lang w:val="bg-BG"/>
              </w:rPr>
            </w:pPr>
            <w:r w:rsidRPr="0046431A">
              <w:rPr>
                <w:rFonts w:ascii="Arial Narrow" w:hAnsi="Arial Narrow" w:cs="Arial"/>
                <w:sz w:val="20"/>
                <w:szCs w:val="20"/>
                <w:lang w:val="bg-BG"/>
              </w:rPr>
              <w:t>620 766,034</w:t>
            </w:r>
          </w:p>
        </w:tc>
      </w:tr>
      <w:tr w:rsidR="0046431A" w:rsidRPr="0046431A" w14:paraId="63D095B5" w14:textId="77777777" w:rsidTr="006D1710">
        <w:trPr>
          <w:trHeight w:val="370"/>
        </w:trPr>
        <w:tc>
          <w:tcPr>
            <w:tcW w:w="1519" w:type="pct"/>
            <w:tcBorders>
              <w:top w:val="nil"/>
              <w:left w:val="single" w:sz="4" w:space="0" w:color="auto"/>
              <w:bottom w:val="single" w:sz="4" w:space="0" w:color="auto"/>
              <w:right w:val="single" w:sz="4" w:space="0" w:color="auto"/>
            </w:tcBorders>
            <w:shd w:val="clear" w:color="auto" w:fill="auto"/>
            <w:vAlign w:val="center"/>
            <w:hideMark/>
          </w:tcPr>
          <w:p w14:paraId="7F76B398" w14:textId="77777777" w:rsidR="0046431A" w:rsidRPr="0046431A" w:rsidRDefault="0046431A" w:rsidP="0046431A">
            <w:pPr>
              <w:rPr>
                <w:rFonts w:ascii="Arial Narrow" w:hAnsi="Arial Narrow" w:cs="Arial"/>
                <w:sz w:val="20"/>
                <w:szCs w:val="20"/>
              </w:rPr>
            </w:pPr>
            <w:r w:rsidRPr="0046431A">
              <w:rPr>
                <w:rFonts w:ascii="Arial Narrow" w:hAnsi="Arial Narrow" w:cs="Arial"/>
                <w:sz w:val="20"/>
                <w:szCs w:val="20"/>
                <w:lang w:val="bg-BG"/>
              </w:rPr>
              <w:t>Други животни</w:t>
            </w:r>
          </w:p>
        </w:tc>
        <w:tc>
          <w:tcPr>
            <w:tcW w:w="11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7D4D16C" w14:textId="77777777" w:rsidR="0046431A" w:rsidRPr="0046431A" w:rsidRDefault="0046431A" w:rsidP="0046431A">
            <w:pPr>
              <w:jc w:val="right"/>
              <w:rPr>
                <w:rFonts w:ascii="Arial Narrow" w:hAnsi="Arial Narrow" w:cs="Arial"/>
                <w:sz w:val="20"/>
                <w:szCs w:val="20"/>
                <w:lang w:val="bg-BG"/>
              </w:rPr>
            </w:pPr>
            <w:r w:rsidRPr="0046431A">
              <w:rPr>
                <w:rFonts w:ascii="Arial Narrow" w:hAnsi="Arial Narrow" w:cs="Arial"/>
                <w:sz w:val="20"/>
                <w:szCs w:val="20"/>
                <w:lang w:val="bg-BG"/>
              </w:rPr>
              <w:t>73 309,779</w:t>
            </w:r>
          </w:p>
        </w:tc>
        <w:tc>
          <w:tcPr>
            <w:tcW w:w="11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A72D1D0" w14:textId="77777777" w:rsidR="0046431A" w:rsidRPr="0046431A" w:rsidRDefault="0046431A" w:rsidP="0046431A">
            <w:pPr>
              <w:jc w:val="right"/>
              <w:rPr>
                <w:rFonts w:ascii="Arial Narrow" w:hAnsi="Arial Narrow" w:cs="Arial"/>
                <w:sz w:val="20"/>
                <w:szCs w:val="20"/>
                <w:lang w:val="bg-BG"/>
              </w:rPr>
            </w:pPr>
            <w:r w:rsidRPr="0046431A">
              <w:rPr>
                <w:rFonts w:ascii="Arial Narrow" w:hAnsi="Arial Narrow" w:cs="Arial"/>
                <w:sz w:val="20"/>
                <w:szCs w:val="20"/>
                <w:lang w:val="bg-BG"/>
              </w:rPr>
              <w:t>3 560,850</w:t>
            </w:r>
          </w:p>
        </w:tc>
        <w:tc>
          <w:tcPr>
            <w:tcW w:w="11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1E7C72A" w14:textId="77777777" w:rsidR="0046431A" w:rsidRPr="0046431A" w:rsidRDefault="0046431A" w:rsidP="0046431A">
            <w:pPr>
              <w:jc w:val="right"/>
              <w:rPr>
                <w:rFonts w:ascii="Arial Narrow" w:hAnsi="Arial Narrow" w:cs="Arial"/>
                <w:sz w:val="20"/>
                <w:szCs w:val="20"/>
                <w:lang w:val="bg-BG"/>
              </w:rPr>
            </w:pPr>
            <w:r w:rsidRPr="0046431A">
              <w:rPr>
                <w:rFonts w:ascii="Arial Narrow" w:hAnsi="Arial Narrow" w:cs="Arial"/>
                <w:sz w:val="20"/>
                <w:szCs w:val="20"/>
                <w:lang w:val="bg-BG"/>
              </w:rPr>
              <w:t>76 870,629</w:t>
            </w:r>
          </w:p>
        </w:tc>
      </w:tr>
      <w:tr w:rsidR="0046431A" w:rsidRPr="0046431A" w14:paraId="60CF026C" w14:textId="77777777" w:rsidTr="006D1710">
        <w:trPr>
          <w:trHeight w:val="370"/>
        </w:trPr>
        <w:tc>
          <w:tcPr>
            <w:tcW w:w="1519" w:type="pct"/>
            <w:tcBorders>
              <w:top w:val="nil"/>
              <w:left w:val="single" w:sz="4" w:space="0" w:color="auto"/>
              <w:bottom w:val="single" w:sz="4" w:space="0" w:color="auto"/>
              <w:right w:val="single" w:sz="4" w:space="0" w:color="auto"/>
            </w:tcBorders>
            <w:shd w:val="clear" w:color="auto" w:fill="auto"/>
            <w:vAlign w:val="center"/>
            <w:hideMark/>
          </w:tcPr>
          <w:p w14:paraId="540C3FE8" w14:textId="77777777" w:rsidR="0046431A" w:rsidRPr="0046431A" w:rsidRDefault="0046431A" w:rsidP="0046431A">
            <w:pPr>
              <w:rPr>
                <w:rFonts w:ascii="Arial Narrow" w:hAnsi="Arial Narrow" w:cs="Arial"/>
                <w:b/>
                <w:bCs/>
                <w:sz w:val="20"/>
                <w:szCs w:val="20"/>
              </w:rPr>
            </w:pPr>
            <w:r w:rsidRPr="0046431A">
              <w:rPr>
                <w:rFonts w:ascii="Arial Narrow" w:hAnsi="Arial Narrow" w:cs="Arial"/>
                <w:b/>
                <w:bCs/>
                <w:sz w:val="20"/>
                <w:szCs w:val="20"/>
                <w:lang w:val="bg-BG"/>
              </w:rPr>
              <w:t>Общо</w:t>
            </w:r>
          </w:p>
        </w:tc>
        <w:tc>
          <w:tcPr>
            <w:tcW w:w="11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4FC8A7C" w14:textId="77777777" w:rsidR="0046431A" w:rsidRPr="0046431A" w:rsidRDefault="0046431A" w:rsidP="0046431A">
            <w:pPr>
              <w:jc w:val="right"/>
              <w:rPr>
                <w:rFonts w:ascii="Arial Narrow" w:hAnsi="Arial Narrow" w:cs="Arial"/>
                <w:sz w:val="20"/>
                <w:szCs w:val="20"/>
                <w:lang w:val="bg-BG"/>
              </w:rPr>
            </w:pPr>
            <w:r w:rsidRPr="0046431A">
              <w:rPr>
                <w:rFonts w:ascii="Arial Narrow" w:hAnsi="Arial Narrow" w:cs="Arial"/>
                <w:sz w:val="20"/>
                <w:szCs w:val="20"/>
                <w:lang w:val="bg-BG"/>
              </w:rPr>
              <w:t>975 374,045</w:t>
            </w:r>
          </w:p>
        </w:tc>
        <w:tc>
          <w:tcPr>
            <w:tcW w:w="11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759A3C5" w14:textId="77777777" w:rsidR="0046431A" w:rsidRPr="0046431A" w:rsidRDefault="0046431A" w:rsidP="0046431A">
            <w:pPr>
              <w:jc w:val="right"/>
              <w:rPr>
                <w:rFonts w:ascii="Arial Narrow" w:hAnsi="Arial Narrow" w:cs="Arial"/>
                <w:sz w:val="20"/>
                <w:szCs w:val="20"/>
                <w:lang w:val="bg-BG"/>
              </w:rPr>
            </w:pPr>
            <w:r w:rsidRPr="0046431A">
              <w:rPr>
                <w:rFonts w:ascii="Arial Narrow" w:hAnsi="Arial Narrow" w:cs="Arial"/>
                <w:sz w:val="20"/>
                <w:szCs w:val="20"/>
                <w:lang w:val="bg-BG"/>
              </w:rPr>
              <w:t>389 891,845</w:t>
            </w:r>
          </w:p>
        </w:tc>
        <w:tc>
          <w:tcPr>
            <w:tcW w:w="11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4EC859F" w14:textId="77777777" w:rsidR="0046431A" w:rsidRPr="0046431A" w:rsidRDefault="0046431A" w:rsidP="0046431A">
            <w:pPr>
              <w:jc w:val="right"/>
              <w:rPr>
                <w:rFonts w:ascii="Arial Narrow" w:hAnsi="Arial Narrow" w:cs="Arial"/>
                <w:sz w:val="20"/>
                <w:szCs w:val="20"/>
                <w:lang w:val="bg-BG"/>
              </w:rPr>
            </w:pPr>
            <w:r w:rsidRPr="0046431A">
              <w:rPr>
                <w:rFonts w:ascii="Arial Narrow" w:hAnsi="Arial Narrow" w:cs="Arial"/>
                <w:sz w:val="20"/>
                <w:szCs w:val="20"/>
                <w:lang w:val="bg-BG"/>
              </w:rPr>
              <w:t>1 365 265,890</w:t>
            </w:r>
          </w:p>
        </w:tc>
      </w:tr>
    </w:tbl>
    <w:p w14:paraId="009CC507" w14:textId="77777777" w:rsidR="0046431A" w:rsidRPr="0046431A" w:rsidRDefault="0046431A" w:rsidP="0046431A">
      <w:pPr>
        <w:widowControl w:val="0"/>
        <w:overflowPunct w:val="0"/>
        <w:autoSpaceDE w:val="0"/>
        <w:autoSpaceDN w:val="0"/>
        <w:adjustRightInd w:val="0"/>
        <w:spacing w:after="120"/>
        <w:jc w:val="both"/>
        <w:rPr>
          <w:rFonts w:ascii="Arial Narrow" w:eastAsia="Calibri" w:hAnsi="Arial Narrow"/>
          <w:sz w:val="18"/>
          <w:szCs w:val="18"/>
          <w:lang w:val="bg-BG"/>
        </w:rPr>
      </w:pPr>
      <w:r w:rsidRPr="0046431A">
        <w:rPr>
          <w:rFonts w:ascii="Arial Narrow" w:eastAsia="Calibri" w:hAnsi="Arial Narrow"/>
          <w:bCs/>
          <w:i/>
          <w:iCs/>
          <w:sz w:val="18"/>
          <w:szCs w:val="18"/>
          <w:lang w:val="bg-BG"/>
        </w:rPr>
        <w:t xml:space="preserve">Източник: </w:t>
      </w:r>
      <w:r w:rsidRPr="0046431A">
        <w:rPr>
          <w:rFonts w:ascii="Arial Narrow" w:eastAsia="Calibri" w:hAnsi="Arial Narrow"/>
          <w:bCs/>
          <w:iCs/>
          <w:sz w:val="18"/>
          <w:szCs w:val="18"/>
          <w:lang w:val="bg-BG"/>
        </w:rPr>
        <w:t>БАБХ</w:t>
      </w:r>
    </w:p>
    <w:p w14:paraId="193F3E37" w14:textId="77777777" w:rsidR="0046431A" w:rsidRPr="0046431A" w:rsidRDefault="0046431A" w:rsidP="0046431A">
      <w:pPr>
        <w:widowControl w:val="0"/>
        <w:spacing w:after="120"/>
        <w:ind w:left="-540" w:firstLine="1249"/>
        <w:jc w:val="both"/>
        <w:rPr>
          <w:rFonts w:ascii="Arial Narrow" w:hAnsi="Arial Narrow"/>
          <w:b/>
          <w:bCs/>
          <w:i/>
          <w:lang w:val="bg-BG" w:eastAsia="bg-BG"/>
        </w:rPr>
      </w:pPr>
      <w:r w:rsidRPr="0046431A">
        <w:rPr>
          <w:rFonts w:ascii="Arial Narrow" w:hAnsi="Arial Narrow"/>
          <w:b/>
          <w:bCs/>
          <w:i/>
          <w:lang w:val="bg-BG" w:eastAsia="bg-BG"/>
        </w:rPr>
        <w:t>Производство на медикаментозни фуражи</w:t>
      </w:r>
    </w:p>
    <w:p w14:paraId="2A427EF4" w14:textId="77777777" w:rsidR="0046431A" w:rsidRPr="0046431A" w:rsidRDefault="0046431A" w:rsidP="0046431A">
      <w:pPr>
        <w:spacing w:after="120"/>
        <w:ind w:firstLine="709"/>
        <w:jc w:val="both"/>
        <w:rPr>
          <w:rFonts w:ascii="Arial Narrow" w:hAnsi="Arial Narrow"/>
          <w:lang w:val="bg-BG" w:eastAsia="bg-BG"/>
        </w:rPr>
      </w:pPr>
      <w:r w:rsidRPr="0046431A">
        <w:rPr>
          <w:rFonts w:ascii="Arial Narrow" w:hAnsi="Arial Narrow"/>
          <w:lang w:val="bg-BG" w:eastAsia="bg-BG"/>
        </w:rPr>
        <w:t>Подобно на предходни години, през 2024 г. в страната са произвеждани медикаментозни фуражи само за свине. Произведеното количество е в размер на 26 179,56 тона, с 1 418,11 тона или с 5,7над нивото от 2023 г. От общото производство на медикаментозни фуражи през годината, 76,6% са за нуждите на собствените животновъдни стопанства, а 23,3% - за реализация на пазара (при съответно 75,7% и 24,3% през 2023 г.).</w:t>
      </w:r>
    </w:p>
    <w:p w14:paraId="540D13BE" w14:textId="77777777" w:rsidR="0046431A" w:rsidRPr="0046431A" w:rsidRDefault="00F214AB" w:rsidP="0046431A">
      <w:pPr>
        <w:spacing w:after="120"/>
        <w:jc w:val="both"/>
        <w:rPr>
          <w:rFonts w:ascii="Arial Narrow" w:hAnsi="Arial Narrow"/>
          <w:b/>
          <w:bCs/>
          <w:lang w:val="bg-BG" w:eastAsia="bg-BG"/>
        </w:rPr>
      </w:pPr>
      <w:r>
        <w:rPr>
          <w:rFonts w:ascii="Arial Narrow" w:hAnsi="Arial Narrow"/>
          <w:b/>
          <w:bCs/>
          <w:lang w:val="bg-BG" w:eastAsia="bg-BG"/>
        </w:rPr>
        <w:t>Таблица V.15</w:t>
      </w:r>
      <w:r w:rsidR="0046431A" w:rsidRPr="0046431A">
        <w:rPr>
          <w:rFonts w:ascii="Arial Narrow" w:hAnsi="Arial Narrow"/>
          <w:b/>
          <w:bCs/>
          <w:lang w:val="bg-BG" w:eastAsia="bg-BG"/>
        </w:rPr>
        <w:t>. Производство на медикаментозни фуражи през 2024 г. по области, тона</w:t>
      </w:r>
    </w:p>
    <w:tbl>
      <w:tblPr>
        <w:tblW w:w="4976"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firstRow="0" w:lastRow="0" w:firstColumn="0" w:lastColumn="0" w:noHBand="0" w:noVBand="0"/>
      </w:tblPr>
      <w:tblGrid>
        <w:gridCol w:w="3037"/>
        <w:gridCol w:w="2240"/>
        <w:gridCol w:w="2240"/>
        <w:gridCol w:w="2230"/>
      </w:tblGrid>
      <w:tr w:rsidR="0046431A" w:rsidRPr="0046431A" w14:paraId="583DF83A" w14:textId="77777777" w:rsidTr="006D1710">
        <w:trPr>
          <w:trHeight w:val="444"/>
          <w:tblHeader/>
        </w:trPr>
        <w:tc>
          <w:tcPr>
            <w:tcW w:w="1558" w:type="pct"/>
            <w:vAlign w:val="center"/>
          </w:tcPr>
          <w:p w14:paraId="14BB51F4" w14:textId="77777777" w:rsidR="0046431A" w:rsidRPr="0046431A" w:rsidRDefault="0046431A" w:rsidP="0046431A">
            <w:pPr>
              <w:widowControl w:val="0"/>
              <w:autoSpaceDE w:val="0"/>
              <w:autoSpaceDN w:val="0"/>
              <w:adjustRightInd w:val="0"/>
              <w:jc w:val="center"/>
              <w:rPr>
                <w:rFonts w:ascii="Arial Narrow" w:eastAsia="Calibri" w:hAnsi="Arial Narrow" w:cs="Arial"/>
                <w:b/>
                <w:bCs/>
                <w:sz w:val="20"/>
                <w:szCs w:val="20"/>
                <w:lang w:val="bg-BG"/>
              </w:rPr>
            </w:pPr>
            <w:r w:rsidRPr="0046431A">
              <w:rPr>
                <w:rFonts w:ascii="Arial Narrow" w:eastAsia="Calibri" w:hAnsi="Arial Narrow" w:cs="Arial"/>
                <w:b/>
                <w:bCs/>
                <w:sz w:val="20"/>
                <w:szCs w:val="20"/>
                <w:lang w:val="bg-BG"/>
              </w:rPr>
              <w:t>Област</w:t>
            </w:r>
          </w:p>
        </w:tc>
        <w:tc>
          <w:tcPr>
            <w:tcW w:w="1149" w:type="pct"/>
            <w:vAlign w:val="center"/>
          </w:tcPr>
          <w:p w14:paraId="7143CB6A" w14:textId="77777777" w:rsidR="0046431A" w:rsidRPr="0046431A" w:rsidRDefault="0046431A" w:rsidP="0046431A">
            <w:pPr>
              <w:widowControl w:val="0"/>
              <w:autoSpaceDE w:val="0"/>
              <w:autoSpaceDN w:val="0"/>
              <w:adjustRightInd w:val="0"/>
              <w:jc w:val="center"/>
              <w:rPr>
                <w:rFonts w:ascii="Arial Narrow" w:eastAsia="Calibri" w:hAnsi="Arial Narrow" w:cs="Arial"/>
                <w:b/>
                <w:bCs/>
                <w:sz w:val="20"/>
                <w:szCs w:val="20"/>
                <w:lang w:val="bg-BG"/>
              </w:rPr>
            </w:pPr>
            <w:r w:rsidRPr="0046431A">
              <w:rPr>
                <w:rFonts w:ascii="Arial Narrow" w:eastAsia="Calibri" w:hAnsi="Arial Narrow" w:cs="Arial"/>
                <w:b/>
                <w:bCs/>
                <w:sz w:val="20"/>
                <w:szCs w:val="20"/>
                <w:lang w:val="bg-BG"/>
              </w:rPr>
              <w:t>За пазара</w:t>
            </w:r>
          </w:p>
        </w:tc>
        <w:tc>
          <w:tcPr>
            <w:tcW w:w="1149" w:type="pct"/>
            <w:vAlign w:val="center"/>
          </w:tcPr>
          <w:p w14:paraId="50DF902D" w14:textId="77777777" w:rsidR="0046431A" w:rsidRPr="0046431A" w:rsidRDefault="0046431A" w:rsidP="0046431A">
            <w:pPr>
              <w:widowControl w:val="0"/>
              <w:autoSpaceDE w:val="0"/>
              <w:autoSpaceDN w:val="0"/>
              <w:adjustRightInd w:val="0"/>
              <w:jc w:val="center"/>
              <w:rPr>
                <w:rFonts w:ascii="Arial Narrow" w:eastAsia="Calibri" w:hAnsi="Arial Narrow" w:cs="Arial"/>
                <w:b/>
                <w:bCs/>
                <w:sz w:val="20"/>
                <w:szCs w:val="20"/>
                <w:lang w:val="bg-BG"/>
              </w:rPr>
            </w:pPr>
            <w:r w:rsidRPr="0046431A">
              <w:rPr>
                <w:rFonts w:ascii="Arial Narrow" w:eastAsia="Calibri" w:hAnsi="Arial Narrow" w:cs="Arial"/>
                <w:b/>
                <w:bCs/>
                <w:sz w:val="20"/>
                <w:szCs w:val="20"/>
                <w:lang w:val="bg-BG"/>
              </w:rPr>
              <w:t>За собствени ферми</w:t>
            </w:r>
          </w:p>
        </w:tc>
        <w:tc>
          <w:tcPr>
            <w:tcW w:w="1144" w:type="pct"/>
            <w:vAlign w:val="center"/>
          </w:tcPr>
          <w:p w14:paraId="2BAAF321" w14:textId="77777777" w:rsidR="0046431A" w:rsidRPr="0046431A" w:rsidRDefault="0046431A" w:rsidP="0046431A">
            <w:pPr>
              <w:widowControl w:val="0"/>
              <w:autoSpaceDE w:val="0"/>
              <w:autoSpaceDN w:val="0"/>
              <w:adjustRightInd w:val="0"/>
              <w:jc w:val="center"/>
              <w:rPr>
                <w:rFonts w:ascii="Arial Narrow" w:eastAsia="Calibri" w:hAnsi="Arial Narrow" w:cs="Arial"/>
                <w:b/>
                <w:bCs/>
                <w:sz w:val="20"/>
                <w:szCs w:val="20"/>
                <w:lang w:val="bg-BG"/>
              </w:rPr>
            </w:pPr>
            <w:r w:rsidRPr="0046431A">
              <w:rPr>
                <w:rFonts w:ascii="Arial Narrow" w:eastAsia="Calibri" w:hAnsi="Arial Narrow" w:cs="Arial"/>
                <w:b/>
                <w:bCs/>
                <w:sz w:val="20"/>
                <w:szCs w:val="20"/>
                <w:lang w:val="bg-BG"/>
              </w:rPr>
              <w:t>Общо</w:t>
            </w:r>
          </w:p>
        </w:tc>
      </w:tr>
      <w:tr w:rsidR="0046431A" w:rsidRPr="0046431A" w14:paraId="5EF04B7B" w14:textId="77777777" w:rsidTr="006D1710">
        <w:trPr>
          <w:trHeight w:val="296"/>
        </w:trPr>
        <w:tc>
          <w:tcPr>
            <w:tcW w:w="1558" w:type="pct"/>
            <w:vAlign w:val="center"/>
          </w:tcPr>
          <w:p w14:paraId="5C68AE99" w14:textId="77777777" w:rsidR="0046431A" w:rsidRPr="0046431A" w:rsidRDefault="0046431A" w:rsidP="0046431A">
            <w:pPr>
              <w:widowControl w:val="0"/>
              <w:autoSpaceDE w:val="0"/>
              <w:autoSpaceDN w:val="0"/>
              <w:adjustRightInd w:val="0"/>
              <w:rPr>
                <w:rFonts w:ascii="Arial Narrow" w:eastAsia="Calibri" w:hAnsi="Arial Narrow" w:cs="Arial Narrow"/>
                <w:sz w:val="20"/>
                <w:szCs w:val="20"/>
                <w:lang w:val="bg-BG"/>
              </w:rPr>
            </w:pPr>
            <w:r w:rsidRPr="0046431A">
              <w:rPr>
                <w:rFonts w:ascii="Arial Narrow" w:eastAsia="Calibri" w:hAnsi="Arial Narrow" w:cs="Arial"/>
                <w:sz w:val="20"/>
                <w:szCs w:val="20"/>
                <w:lang w:val="bg-BG"/>
              </w:rPr>
              <w:t>Варна</w:t>
            </w:r>
          </w:p>
        </w:tc>
        <w:tc>
          <w:tcPr>
            <w:tcW w:w="1149" w:type="pct"/>
            <w:tcBorders>
              <w:top w:val="single" w:sz="4" w:space="0" w:color="auto"/>
              <w:left w:val="single" w:sz="4" w:space="0" w:color="auto"/>
              <w:bottom w:val="single" w:sz="4" w:space="0" w:color="auto"/>
              <w:right w:val="single" w:sz="4" w:space="0" w:color="auto"/>
            </w:tcBorders>
            <w:shd w:val="clear" w:color="auto" w:fill="auto"/>
            <w:vAlign w:val="center"/>
          </w:tcPr>
          <w:p w14:paraId="36FF0224" w14:textId="77777777" w:rsidR="0046431A" w:rsidRPr="0046431A" w:rsidRDefault="0046431A" w:rsidP="0046431A">
            <w:pPr>
              <w:jc w:val="right"/>
              <w:rPr>
                <w:rFonts w:ascii="Arial Narrow" w:hAnsi="Arial Narrow" w:cs="Arial"/>
                <w:sz w:val="20"/>
                <w:szCs w:val="20"/>
                <w:lang w:val="bg-BG"/>
              </w:rPr>
            </w:pPr>
            <w:r w:rsidRPr="0046431A">
              <w:rPr>
                <w:rFonts w:ascii="Arial Narrow" w:hAnsi="Arial Narrow" w:cs="Arial"/>
                <w:sz w:val="20"/>
                <w:szCs w:val="20"/>
                <w:lang w:val="bg-BG"/>
              </w:rPr>
              <w:t>8,00</w:t>
            </w:r>
          </w:p>
        </w:tc>
        <w:tc>
          <w:tcPr>
            <w:tcW w:w="1149" w:type="pct"/>
            <w:tcBorders>
              <w:top w:val="single" w:sz="4" w:space="0" w:color="auto"/>
              <w:left w:val="single" w:sz="4" w:space="0" w:color="auto"/>
              <w:bottom w:val="single" w:sz="4" w:space="0" w:color="auto"/>
              <w:right w:val="single" w:sz="4" w:space="0" w:color="auto"/>
            </w:tcBorders>
            <w:shd w:val="clear" w:color="auto" w:fill="auto"/>
            <w:vAlign w:val="center"/>
          </w:tcPr>
          <w:p w14:paraId="700201C2" w14:textId="77777777" w:rsidR="0046431A" w:rsidRPr="0046431A" w:rsidRDefault="0046431A" w:rsidP="0046431A">
            <w:pPr>
              <w:jc w:val="right"/>
              <w:rPr>
                <w:rFonts w:ascii="Arial Narrow" w:hAnsi="Arial Narrow" w:cs="Arial"/>
                <w:sz w:val="20"/>
                <w:szCs w:val="20"/>
                <w:lang w:val="bg-BG"/>
              </w:rPr>
            </w:pPr>
            <w:r w:rsidRPr="0046431A">
              <w:rPr>
                <w:rFonts w:ascii="Arial Narrow" w:hAnsi="Arial Narrow" w:cs="Arial"/>
                <w:sz w:val="20"/>
                <w:szCs w:val="20"/>
                <w:lang w:val="bg-BG"/>
              </w:rPr>
              <w:t>7614,00</w:t>
            </w:r>
          </w:p>
        </w:tc>
        <w:tc>
          <w:tcPr>
            <w:tcW w:w="1144" w:type="pct"/>
            <w:tcBorders>
              <w:top w:val="single" w:sz="4" w:space="0" w:color="auto"/>
              <w:left w:val="single" w:sz="4" w:space="0" w:color="auto"/>
              <w:bottom w:val="single" w:sz="4" w:space="0" w:color="auto"/>
              <w:right w:val="single" w:sz="4" w:space="0" w:color="auto"/>
            </w:tcBorders>
            <w:shd w:val="clear" w:color="auto" w:fill="auto"/>
            <w:vAlign w:val="center"/>
          </w:tcPr>
          <w:p w14:paraId="180A51C9" w14:textId="77777777" w:rsidR="0046431A" w:rsidRPr="0046431A" w:rsidRDefault="0046431A" w:rsidP="0046431A">
            <w:pPr>
              <w:jc w:val="right"/>
              <w:rPr>
                <w:rFonts w:ascii="Arial Narrow" w:hAnsi="Arial Narrow" w:cs="Arial"/>
                <w:sz w:val="20"/>
                <w:szCs w:val="20"/>
                <w:lang w:val="bg-BG"/>
              </w:rPr>
            </w:pPr>
            <w:r w:rsidRPr="0046431A">
              <w:rPr>
                <w:rFonts w:ascii="Arial Narrow" w:hAnsi="Arial Narrow" w:cs="Arial"/>
                <w:sz w:val="20"/>
                <w:szCs w:val="20"/>
                <w:lang w:val="bg-BG"/>
              </w:rPr>
              <w:t>7 622,00</w:t>
            </w:r>
          </w:p>
        </w:tc>
      </w:tr>
      <w:tr w:rsidR="0046431A" w:rsidRPr="0046431A" w14:paraId="57A3D29C" w14:textId="77777777" w:rsidTr="006D1710">
        <w:trPr>
          <w:trHeight w:val="296"/>
        </w:trPr>
        <w:tc>
          <w:tcPr>
            <w:tcW w:w="1558" w:type="pct"/>
            <w:vAlign w:val="center"/>
          </w:tcPr>
          <w:p w14:paraId="438CA81E" w14:textId="77777777" w:rsidR="0046431A" w:rsidRPr="0046431A" w:rsidRDefault="0046431A" w:rsidP="0046431A">
            <w:pPr>
              <w:widowControl w:val="0"/>
              <w:autoSpaceDE w:val="0"/>
              <w:autoSpaceDN w:val="0"/>
              <w:adjustRightInd w:val="0"/>
              <w:rPr>
                <w:rFonts w:ascii="Arial Narrow" w:eastAsia="Calibri" w:hAnsi="Arial Narrow" w:cs="Arial Narrow"/>
                <w:sz w:val="20"/>
                <w:szCs w:val="20"/>
                <w:lang w:val="bg-BG"/>
              </w:rPr>
            </w:pPr>
            <w:r w:rsidRPr="0046431A">
              <w:rPr>
                <w:rFonts w:ascii="Arial Narrow" w:eastAsia="Calibri" w:hAnsi="Arial Narrow" w:cs="Arial"/>
                <w:sz w:val="20"/>
                <w:szCs w:val="20"/>
                <w:lang w:val="bg-BG"/>
              </w:rPr>
              <w:t>Велико Търново</w:t>
            </w:r>
          </w:p>
        </w:tc>
        <w:tc>
          <w:tcPr>
            <w:tcW w:w="1149" w:type="pct"/>
            <w:tcBorders>
              <w:top w:val="single" w:sz="4" w:space="0" w:color="auto"/>
              <w:left w:val="single" w:sz="4" w:space="0" w:color="auto"/>
              <w:bottom w:val="single" w:sz="4" w:space="0" w:color="auto"/>
              <w:right w:val="single" w:sz="4" w:space="0" w:color="auto"/>
            </w:tcBorders>
            <w:shd w:val="clear" w:color="auto" w:fill="auto"/>
            <w:vAlign w:val="center"/>
          </w:tcPr>
          <w:p w14:paraId="061A5919" w14:textId="77777777" w:rsidR="0046431A" w:rsidRPr="0046431A" w:rsidDel="00B06AFD" w:rsidRDefault="0046431A" w:rsidP="0046431A">
            <w:pPr>
              <w:jc w:val="right"/>
              <w:rPr>
                <w:rFonts w:ascii="Arial Narrow" w:hAnsi="Arial Narrow" w:cs="Arial"/>
                <w:sz w:val="20"/>
                <w:szCs w:val="20"/>
                <w:lang w:val="bg-BG"/>
              </w:rPr>
            </w:pPr>
            <w:r w:rsidRPr="0046431A">
              <w:rPr>
                <w:rFonts w:ascii="Arial Narrow" w:hAnsi="Arial Narrow" w:cs="Arial"/>
                <w:sz w:val="20"/>
                <w:szCs w:val="20"/>
                <w:lang w:val="bg-BG"/>
              </w:rPr>
              <w:t xml:space="preserve"> -</w:t>
            </w:r>
          </w:p>
        </w:tc>
        <w:tc>
          <w:tcPr>
            <w:tcW w:w="1149" w:type="pct"/>
            <w:tcBorders>
              <w:top w:val="single" w:sz="4" w:space="0" w:color="auto"/>
              <w:left w:val="single" w:sz="4" w:space="0" w:color="auto"/>
              <w:bottom w:val="single" w:sz="4" w:space="0" w:color="auto"/>
              <w:right w:val="single" w:sz="4" w:space="0" w:color="auto"/>
            </w:tcBorders>
            <w:shd w:val="clear" w:color="auto" w:fill="auto"/>
            <w:vAlign w:val="center"/>
          </w:tcPr>
          <w:p w14:paraId="3BD8D186" w14:textId="77777777" w:rsidR="0046431A" w:rsidRPr="0046431A" w:rsidDel="00B06AFD" w:rsidRDefault="0046431A" w:rsidP="0046431A">
            <w:pPr>
              <w:jc w:val="right"/>
              <w:rPr>
                <w:rFonts w:ascii="Arial Narrow" w:hAnsi="Arial Narrow" w:cs="Arial"/>
                <w:sz w:val="20"/>
                <w:szCs w:val="20"/>
                <w:lang w:val="bg-BG"/>
              </w:rPr>
            </w:pPr>
            <w:r w:rsidRPr="0046431A">
              <w:rPr>
                <w:rFonts w:ascii="Arial Narrow" w:hAnsi="Arial Narrow" w:cs="Arial"/>
                <w:sz w:val="20"/>
                <w:szCs w:val="20"/>
                <w:lang w:val="bg-BG"/>
              </w:rPr>
              <w:t>1329,70</w:t>
            </w:r>
          </w:p>
        </w:tc>
        <w:tc>
          <w:tcPr>
            <w:tcW w:w="1144" w:type="pct"/>
            <w:tcBorders>
              <w:top w:val="single" w:sz="4" w:space="0" w:color="auto"/>
              <w:left w:val="single" w:sz="4" w:space="0" w:color="auto"/>
              <w:bottom w:val="single" w:sz="4" w:space="0" w:color="auto"/>
              <w:right w:val="single" w:sz="4" w:space="0" w:color="auto"/>
            </w:tcBorders>
            <w:shd w:val="clear" w:color="auto" w:fill="auto"/>
            <w:vAlign w:val="center"/>
          </w:tcPr>
          <w:p w14:paraId="07EAD96D" w14:textId="77777777" w:rsidR="0046431A" w:rsidRPr="0046431A" w:rsidDel="00B06AFD" w:rsidRDefault="0046431A" w:rsidP="0046431A">
            <w:pPr>
              <w:jc w:val="right"/>
              <w:rPr>
                <w:rFonts w:ascii="Arial Narrow" w:hAnsi="Arial Narrow" w:cs="Arial"/>
                <w:sz w:val="20"/>
                <w:szCs w:val="20"/>
                <w:lang w:val="bg-BG"/>
              </w:rPr>
            </w:pPr>
            <w:r w:rsidRPr="0046431A">
              <w:rPr>
                <w:rFonts w:ascii="Arial Narrow" w:hAnsi="Arial Narrow" w:cs="Arial"/>
                <w:sz w:val="20"/>
                <w:szCs w:val="20"/>
                <w:lang w:val="bg-BG"/>
              </w:rPr>
              <w:t>1 329,70</w:t>
            </w:r>
          </w:p>
        </w:tc>
      </w:tr>
      <w:tr w:rsidR="0046431A" w:rsidRPr="0046431A" w14:paraId="55F283E8" w14:textId="77777777" w:rsidTr="006D1710">
        <w:trPr>
          <w:trHeight w:val="296"/>
        </w:trPr>
        <w:tc>
          <w:tcPr>
            <w:tcW w:w="1558" w:type="pct"/>
            <w:vAlign w:val="center"/>
          </w:tcPr>
          <w:p w14:paraId="42D3845C" w14:textId="77777777" w:rsidR="0046431A" w:rsidRPr="0046431A" w:rsidRDefault="0046431A" w:rsidP="0046431A">
            <w:pPr>
              <w:widowControl w:val="0"/>
              <w:autoSpaceDE w:val="0"/>
              <w:autoSpaceDN w:val="0"/>
              <w:adjustRightInd w:val="0"/>
              <w:rPr>
                <w:rFonts w:ascii="Arial Narrow" w:eastAsia="Calibri" w:hAnsi="Arial Narrow" w:cs="Arial Narrow"/>
                <w:sz w:val="20"/>
                <w:szCs w:val="20"/>
                <w:lang w:val="bg-BG"/>
              </w:rPr>
            </w:pPr>
            <w:r w:rsidRPr="0046431A">
              <w:rPr>
                <w:rFonts w:ascii="Arial Narrow" w:eastAsia="Calibri" w:hAnsi="Arial Narrow" w:cs="Arial"/>
                <w:sz w:val="20"/>
                <w:szCs w:val="20"/>
                <w:lang w:val="bg-BG"/>
              </w:rPr>
              <w:t>Разград</w:t>
            </w:r>
          </w:p>
        </w:tc>
        <w:tc>
          <w:tcPr>
            <w:tcW w:w="1149" w:type="pct"/>
            <w:tcBorders>
              <w:top w:val="single" w:sz="4" w:space="0" w:color="auto"/>
              <w:left w:val="single" w:sz="4" w:space="0" w:color="auto"/>
              <w:bottom w:val="single" w:sz="4" w:space="0" w:color="auto"/>
              <w:right w:val="single" w:sz="4" w:space="0" w:color="auto"/>
            </w:tcBorders>
            <w:shd w:val="clear" w:color="auto" w:fill="auto"/>
            <w:vAlign w:val="center"/>
          </w:tcPr>
          <w:p w14:paraId="4789A785" w14:textId="77777777" w:rsidR="0046431A" w:rsidRPr="0046431A" w:rsidRDefault="0046431A" w:rsidP="0046431A">
            <w:pPr>
              <w:jc w:val="right"/>
              <w:rPr>
                <w:rFonts w:ascii="Arial Narrow" w:hAnsi="Arial Narrow" w:cs="Arial"/>
                <w:sz w:val="20"/>
                <w:szCs w:val="20"/>
                <w:lang w:val="bg-BG"/>
              </w:rPr>
            </w:pPr>
            <w:r w:rsidRPr="0046431A">
              <w:rPr>
                <w:rFonts w:ascii="Arial Narrow" w:hAnsi="Arial Narrow" w:cs="Arial"/>
                <w:sz w:val="20"/>
                <w:szCs w:val="20"/>
                <w:lang w:val="bg-BG"/>
              </w:rPr>
              <w:t xml:space="preserve"> -</w:t>
            </w:r>
          </w:p>
        </w:tc>
        <w:tc>
          <w:tcPr>
            <w:tcW w:w="1149" w:type="pct"/>
            <w:tcBorders>
              <w:top w:val="single" w:sz="4" w:space="0" w:color="auto"/>
              <w:left w:val="single" w:sz="4" w:space="0" w:color="auto"/>
              <w:bottom w:val="single" w:sz="4" w:space="0" w:color="auto"/>
              <w:right w:val="single" w:sz="4" w:space="0" w:color="auto"/>
            </w:tcBorders>
            <w:shd w:val="clear" w:color="auto" w:fill="auto"/>
            <w:vAlign w:val="center"/>
          </w:tcPr>
          <w:p w14:paraId="06EC7AF4" w14:textId="77777777" w:rsidR="0046431A" w:rsidRPr="0046431A" w:rsidRDefault="0046431A" w:rsidP="0046431A">
            <w:pPr>
              <w:jc w:val="right"/>
              <w:rPr>
                <w:rFonts w:ascii="Arial Narrow" w:hAnsi="Arial Narrow" w:cs="Arial"/>
                <w:sz w:val="20"/>
                <w:szCs w:val="20"/>
                <w:lang w:val="bg-BG"/>
              </w:rPr>
            </w:pPr>
            <w:r w:rsidRPr="0046431A">
              <w:rPr>
                <w:rFonts w:ascii="Arial Narrow" w:hAnsi="Arial Narrow" w:cs="Arial"/>
                <w:sz w:val="20"/>
                <w:szCs w:val="20"/>
                <w:lang w:val="bg-BG"/>
              </w:rPr>
              <w:t>615,00</w:t>
            </w:r>
          </w:p>
        </w:tc>
        <w:tc>
          <w:tcPr>
            <w:tcW w:w="1144" w:type="pct"/>
            <w:tcBorders>
              <w:top w:val="single" w:sz="4" w:space="0" w:color="auto"/>
              <w:left w:val="single" w:sz="4" w:space="0" w:color="auto"/>
              <w:bottom w:val="single" w:sz="4" w:space="0" w:color="auto"/>
              <w:right w:val="single" w:sz="4" w:space="0" w:color="auto"/>
            </w:tcBorders>
            <w:shd w:val="clear" w:color="auto" w:fill="auto"/>
            <w:vAlign w:val="center"/>
          </w:tcPr>
          <w:p w14:paraId="393589C1" w14:textId="77777777" w:rsidR="0046431A" w:rsidRPr="0046431A" w:rsidRDefault="0046431A" w:rsidP="0046431A">
            <w:pPr>
              <w:jc w:val="right"/>
              <w:rPr>
                <w:rFonts w:ascii="Arial Narrow" w:hAnsi="Arial Narrow" w:cs="Arial"/>
                <w:sz w:val="20"/>
                <w:szCs w:val="20"/>
                <w:lang w:val="bg-BG"/>
              </w:rPr>
            </w:pPr>
            <w:r w:rsidRPr="0046431A">
              <w:rPr>
                <w:rFonts w:ascii="Arial Narrow" w:hAnsi="Arial Narrow" w:cs="Arial"/>
                <w:sz w:val="20"/>
                <w:szCs w:val="20"/>
                <w:lang w:val="bg-BG"/>
              </w:rPr>
              <w:t>615,00</w:t>
            </w:r>
          </w:p>
        </w:tc>
      </w:tr>
      <w:tr w:rsidR="0046431A" w:rsidRPr="0046431A" w14:paraId="5D3D37B0" w14:textId="77777777" w:rsidTr="006D1710">
        <w:trPr>
          <w:trHeight w:val="296"/>
        </w:trPr>
        <w:tc>
          <w:tcPr>
            <w:tcW w:w="1558" w:type="pct"/>
            <w:vAlign w:val="center"/>
          </w:tcPr>
          <w:p w14:paraId="53BB5078" w14:textId="77777777" w:rsidR="0046431A" w:rsidRPr="0046431A" w:rsidRDefault="0046431A" w:rsidP="0046431A">
            <w:pPr>
              <w:widowControl w:val="0"/>
              <w:autoSpaceDE w:val="0"/>
              <w:autoSpaceDN w:val="0"/>
              <w:adjustRightInd w:val="0"/>
              <w:rPr>
                <w:rFonts w:ascii="Arial Narrow" w:eastAsia="Calibri" w:hAnsi="Arial Narrow" w:cs="Arial Narrow"/>
                <w:sz w:val="20"/>
                <w:szCs w:val="20"/>
                <w:lang w:val="bg-BG"/>
              </w:rPr>
            </w:pPr>
            <w:r w:rsidRPr="0046431A">
              <w:rPr>
                <w:rFonts w:ascii="Arial Narrow" w:eastAsia="Calibri" w:hAnsi="Arial Narrow" w:cs="Arial"/>
                <w:sz w:val="20"/>
                <w:szCs w:val="20"/>
                <w:lang w:val="bg-BG"/>
              </w:rPr>
              <w:t>Русе</w:t>
            </w:r>
          </w:p>
        </w:tc>
        <w:tc>
          <w:tcPr>
            <w:tcW w:w="1149" w:type="pct"/>
            <w:tcBorders>
              <w:top w:val="single" w:sz="4" w:space="0" w:color="auto"/>
              <w:left w:val="single" w:sz="4" w:space="0" w:color="auto"/>
              <w:bottom w:val="single" w:sz="4" w:space="0" w:color="auto"/>
              <w:right w:val="single" w:sz="4" w:space="0" w:color="auto"/>
            </w:tcBorders>
            <w:shd w:val="clear" w:color="auto" w:fill="auto"/>
            <w:vAlign w:val="center"/>
          </w:tcPr>
          <w:p w14:paraId="540AE8BB" w14:textId="77777777" w:rsidR="0046431A" w:rsidRPr="0046431A" w:rsidRDefault="0046431A" w:rsidP="0046431A">
            <w:pPr>
              <w:jc w:val="right"/>
              <w:rPr>
                <w:rFonts w:ascii="Arial Narrow" w:hAnsi="Arial Narrow" w:cs="Arial"/>
                <w:sz w:val="20"/>
                <w:szCs w:val="20"/>
                <w:lang w:val="bg-BG"/>
              </w:rPr>
            </w:pPr>
            <w:r w:rsidRPr="0046431A">
              <w:rPr>
                <w:rFonts w:ascii="Arial Narrow" w:hAnsi="Arial Narrow" w:cs="Arial"/>
                <w:sz w:val="20"/>
                <w:szCs w:val="20"/>
                <w:lang w:val="bg-BG"/>
              </w:rPr>
              <w:t>384,00</w:t>
            </w:r>
          </w:p>
        </w:tc>
        <w:tc>
          <w:tcPr>
            <w:tcW w:w="1149" w:type="pct"/>
            <w:tcBorders>
              <w:top w:val="single" w:sz="4" w:space="0" w:color="auto"/>
              <w:left w:val="single" w:sz="4" w:space="0" w:color="auto"/>
              <w:bottom w:val="single" w:sz="4" w:space="0" w:color="auto"/>
              <w:right w:val="single" w:sz="4" w:space="0" w:color="auto"/>
            </w:tcBorders>
            <w:shd w:val="clear" w:color="auto" w:fill="auto"/>
            <w:vAlign w:val="center"/>
          </w:tcPr>
          <w:p w14:paraId="418F1F4E" w14:textId="77777777" w:rsidR="0046431A" w:rsidRPr="0046431A" w:rsidRDefault="0046431A" w:rsidP="0046431A">
            <w:pPr>
              <w:jc w:val="right"/>
              <w:rPr>
                <w:rFonts w:ascii="Arial Narrow" w:hAnsi="Arial Narrow" w:cs="Arial"/>
                <w:sz w:val="20"/>
                <w:szCs w:val="20"/>
                <w:lang w:val="bg-BG"/>
              </w:rPr>
            </w:pPr>
            <w:r w:rsidRPr="0046431A">
              <w:rPr>
                <w:rFonts w:ascii="Arial Narrow" w:hAnsi="Arial Narrow" w:cs="Arial"/>
                <w:sz w:val="20"/>
                <w:szCs w:val="20"/>
                <w:lang w:val="bg-BG"/>
              </w:rPr>
              <w:t>8 112,86</w:t>
            </w:r>
          </w:p>
        </w:tc>
        <w:tc>
          <w:tcPr>
            <w:tcW w:w="1144" w:type="pct"/>
            <w:tcBorders>
              <w:top w:val="single" w:sz="4" w:space="0" w:color="auto"/>
              <w:left w:val="single" w:sz="4" w:space="0" w:color="auto"/>
              <w:bottom w:val="single" w:sz="4" w:space="0" w:color="auto"/>
              <w:right w:val="single" w:sz="4" w:space="0" w:color="auto"/>
            </w:tcBorders>
            <w:shd w:val="clear" w:color="auto" w:fill="auto"/>
            <w:vAlign w:val="center"/>
          </w:tcPr>
          <w:p w14:paraId="2AB0D738" w14:textId="77777777" w:rsidR="0046431A" w:rsidRPr="0046431A" w:rsidRDefault="0046431A" w:rsidP="0046431A">
            <w:pPr>
              <w:jc w:val="right"/>
              <w:rPr>
                <w:rFonts w:ascii="Arial Narrow" w:hAnsi="Arial Narrow" w:cs="Arial"/>
                <w:sz w:val="20"/>
                <w:szCs w:val="20"/>
                <w:lang w:val="bg-BG"/>
              </w:rPr>
            </w:pPr>
            <w:r w:rsidRPr="0046431A">
              <w:rPr>
                <w:rFonts w:ascii="Arial Narrow" w:hAnsi="Arial Narrow" w:cs="Arial"/>
                <w:sz w:val="20"/>
                <w:szCs w:val="20"/>
                <w:lang w:val="bg-BG"/>
              </w:rPr>
              <w:t>8 496,86</w:t>
            </w:r>
          </w:p>
        </w:tc>
      </w:tr>
      <w:tr w:rsidR="0046431A" w:rsidRPr="0046431A" w14:paraId="5F093656" w14:textId="77777777" w:rsidTr="006D1710">
        <w:trPr>
          <w:trHeight w:val="296"/>
        </w:trPr>
        <w:tc>
          <w:tcPr>
            <w:tcW w:w="1558" w:type="pct"/>
            <w:vAlign w:val="center"/>
          </w:tcPr>
          <w:p w14:paraId="108E4B8F" w14:textId="77777777" w:rsidR="0046431A" w:rsidRPr="0046431A" w:rsidRDefault="0046431A" w:rsidP="0046431A">
            <w:pPr>
              <w:widowControl w:val="0"/>
              <w:autoSpaceDE w:val="0"/>
              <w:autoSpaceDN w:val="0"/>
              <w:adjustRightInd w:val="0"/>
              <w:rPr>
                <w:rFonts w:ascii="Arial Narrow" w:eastAsia="Calibri" w:hAnsi="Arial Narrow" w:cs="Arial Narrow"/>
                <w:sz w:val="20"/>
                <w:szCs w:val="20"/>
                <w:lang w:val="bg-BG"/>
              </w:rPr>
            </w:pPr>
            <w:r w:rsidRPr="0046431A">
              <w:rPr>
                <w:rFonts w:ascii="Arial Narrow" w:eastAsia="Calibri" w:hAnsi="Arial Narrow" w:cs="Arial"/>
                <w:sz w:val="20"/>
                <w:szCs w:val="20"/>
                <w:lang w:val="bg-BG"/>
              </w:rPr>
              <w:t>Шумен</w:t>
            </w:r>
          </w:p>
        </w:tc>
        <w:tc>
          <w:tcPr>
            <w:tcW w:w="1149" w:type="pct"/>
            <w:tcBorders>
              <w:top w:val="single" w:sz="4" w:space="0" w:color="auto"/>
              <w:left w:val="single" w:sz="4" w:space="0" w:color="auto"/>
              <w:bottom w:val="single" w:sz="4" w:space="0" w:color="auto"/>
              <w:right w:val="single" w:sz="4" w:space="0" w:color="auto"/>
            </w:tcBorders>
            <w:shd w:val="clear" w:color="auto" w:fill="auto"/>
            <w:vAlign w:val="center"/>
          </w:tcPr>
          <w:p w14:paraId="3DF560A6" w14:textId="77777777" w:rsidR="0046431A" w:rsidRPr="0046431A" w:rsidRDefault="0046431A" w:rsidP="0046431A">
            <w:pPr>
              <w:jc w:val="right"/>
              <w:rPr>
                <w:rFonts w:ascii="Arial Narrow" w:hAnsi="Arial Narrow" w:cs="Arial"/>
                <w:sz w:val="20"/>
                <w:szCs w:val="20"/>
                <w:lang w:val="bg-BG"/>
              </w:rPr>
            </w:pPr>
            <w:r w:rsidRPr="0046431A">
              <w:rPr>
                <w:rFonts w:ascii="Arial Narrow" w:hAnsi="Arial Narrow" w:cs="Arial"/>
                <w:sz w:val="20"/>
                <w:szCs w:val="20"/>
                <w:lang w:val="bg-BG"/>
              </w:rPr>
              <w:t>5 739,00</w:t>
            </w:r>
          </w:p>
        </w:tc>
        <w:tc>
          <w:tcPr>
            <w:tcW w:w="1149" w:type="pct"/>
            <w:tcBorders>
              <w:top w:val="single" w:sz="4" w:space="0" w:color="auto"/>
              <w:left w:val="single" w:sz="4" w:space="0" w:color="auto"/>
              <w:bottom w:val="single" w:sz="4" w:space="0" w:color="auto"/>
              <w:right w:val="single" w:sz="4" w:space="0" w:color="auto"/>
            </w:tcBorders>
            <w:shd w:val="clear" w:color="auto" w:fill="auto"/>
            <w:vAlign w:val="center"/>
          </w:tcPr>
          <w:p w14:paraId="0989A6E3" w14:textId="77777777" w:rsidR="0046431A" w:rsidRPr="0046431A" w:rsidRDefault="0046431A" w:rsidP="0046431A">
            <w:pPr>
              <w:jc w:val="right"/>
              <w:rPr>
                <w:rFonts w:ascii="Arial Narrow" w:hAnsi="Arial Narrow" w:cs="Arial"/>
                <w:sz w:val="20"/>
                <w:szCs w:val="20"/>
                <w:lang w:val="bg-BG"/>
              </w:rPr>
            </w:pPr>
            <w:r w:rsidRPr="0046431A">
              <w:rPr>
                <w:rFonts w:ascii="Arial Narrow" w:hAnsi="Arial Narrow" w:cs="Arial"/>
                <w:sz w:val="20"/>
                <w:szCs w:val="20"/>
                <w:lang w:val="bg-BG"/>
              </w:rPr>
              <w:t>2 377,00</w:t>
            </w:r>
          </w:p>
        </w:tc>
        <w:tc>
          <w:tcPr>
            <w:tcW w:w="1144" w:type="pct"/>
            <w:tcBorders>
              <w:top w:val="single" w:sz="4" w:space="0" w:color="auto"/>
              <w:left w:val="single" w:sz="4" w:space="0" w:color="auto"/>
              <w:bottom w:val="single" w:sz="4" w:space="0" w:color="auto"/>
              <w:right w:val="single" w:sz="4" w:space="0" w:color="auto"/>
            </w:tcBorders>
            <w:shd w:val="clear" w:color="auto" w:fill="auto"/>
            <w:vAlign w:val="center"/>
          </w:tcPr>
          <w:p w14:paraId="00D3F922" w14:textId="77777777" w:rsidR="0046431A" w:rsidRPr="0046431A" w:rsidRDefault="0046431A" w:rsidP="0046431A">
            <w:pPr>
              <w:jc w:val="right"/>
              <w:rPr>
                <w:rFonts w:ascii="Arial Narrow" w:hAnsi="Arial Narrow" w:cs="Arial"/>
                <w:sz w:val="20"/>
                <w:szCs w:val="20"/>
                <w:lang w:val="bg-BG"/>
              </w:rPr>
            </w:pPr>
            <w:r w:rsidRPr="0046431A">
              <w:rPr>
                <w:rFonts w:ascii="Arial Narrow" w:hAnsi="Arial Narrow" w:cs="Arial"/>
                <w:sz w:val="20"/>
                <w:szCs w:val="20"/>
                <w:lang w:val="bg-BG"/>
              </w:rPr>
              <w:t>8 116,00</w:t>
            </w:r>
          </w:p>
        </w:tc>
      </w:tr>
      <w:tr w:rsidR="0046431A" w:rsidRPr="0046431A" w14:paraId="45DFB51E" w14:textId="77777777" w:rsidTr="006D1710">
        <w:trPr>
          <w:trHeight w:val="296"/>
        </w:trPr>
        <w:tc>
          <w:tcPr>
            <w:tcW w:w="1558" w:type="pct"/>
            <w:vAlign w:val="center"/>
          </w:tcPr>
          <w:p w14:paraId="7F7668CA" w14:textId="77777777" w:rsidR="0046431A" w:rsidRPr="0046431A" w:rsidRDefault="0046431A" w:rsidP="0046431A">
            <w:pPr>
              <w:widowControl w:val="0"/>
              <w:autoSpaceDE w:val="0"/>
              <w:autoSpaceDN w:val="0"/>
              <w:adjustRightInd w:val="0"/>
              <w:rPr>
                <w:rFonts w:ascii="Arial Narrow" w:eastAsia="Calibri" w:hAnsi="Arial Narrow" w:cs="Arial Narrow"/>
                <w:sz w:val="20"/>
                <w:szCs w:val="20"/>
                <w:lang w:val="bg-BG"/>
              </w:rPr>
            </w:pPr>
            <w:r w:rsidRPr="0046431A">
              <w:rPr>
                <w:rFonts w:ascii="Arial Narrow" w:eastAsia="Calibri" w:hAnsi="Arial Narrow" w:cs="Arial"/>
                <w:sz w:val="20"/>
                <w:szCs w:val="20"/>
                <w:lang w:val="bg-BG"/>
              </w:rPr>
              <w:t>Ямбол</w:t>
            </w:r>
          </w:p>
        </w:tc>
        <w:tc>
          <w:tcPr>
            <w:tcW w:w="1149" w:type="pct"/>
            <w:tcBorders>
              <w:top w:val="single" w:sz="4" w:space="0" w:color="auto"/>
              <w:left w:val="single" w:sz="4" w:space="0" w:color="auto"/>
              <w:bottom w:val="single" w:sz="4" w:space="0" w:color="auto"/>
              <w:right w:val="single" w:sz="4" w:space="0" w:color="auto"/>
            </w:tcBorders>
            <w:shd w:val="clear" w:color="auto" w:fill="auto"/>
            <w:vAlign w:val="center"/>
          </w:tcPr>
          <w:p w14:paraId="7C9F1A18" w14:textId="77777777" w:rsidR="0046431A" w:rsidRPr="0046431A" w:rsidRDefault="0046431A" w:rsidP="0046431A">
            <w:pPr>
              <w:jc w:val="right"/>
              <w:rPr>
                <w:rFonts w:ascii="Arial Narrow" w:hAnsi="Arial Narrow" w:cs="Arial"/>
                <w:sz w:val="20"/>
                <w:szCs w:val="20"/>
                <w:lang w:val="bg-BG"/>
              </w:rPr>
            </w:pPr>
            <w:r w:rsidRPr="0046431A">
              <w:rPr>
                <w:rFonts w:ascii="Arial Narrow" w:hAnsi="Arial Narrow" w:cs="Arial"/>
                <w:sz w:val="20"/>
                <w:szCs w:val="20"/>
                <w:lang w:val="bg-BG"/>
              </w:rPr>
              <w:t>-</w:t>
            </w:r>
          </w:p>
        </w:tc>
        <w:tc>
          <w:tcPr>
            <w:tcW w:w="1149" w:type="pct"/>
            <w:tcBorders>
              <w:top w:val="single" w:sz="4" w:space="0" w:color="auto"/>
              <w:left w:val="single" w:sz="4" w:space="0" w:color="auto"/>
              <w:bottom w:val="single" w:sz="4" w:space="0" w:color="auto"/>
              <w:right w:val="single" w:sz="4" w:space="0" w:color="auto"/>
            </w:tcBorders>
            <w:shd w:val="clear" w:color="auto" w:fill="auto"/>
            <w:vAlign w:val="center"/>
          </w:tcPr>
          <w:p w14:paraId="7EB90FB7" w14:textId="77777777" w:rsidR="0046431A" w:rsidRPr="0046431A" w:rsidRDefault="0046431A" w:rsidP="0046431A">
            <w:pPr>
              <w:jc w:val="right"/>
              <w:rPr>
                <w:rFonts w:ascii="Arial Narrow" w:hAnsi="Arial Narrow" w:cs="Arial"/>
                <w:sz w:val="20"/>
                <w:szCs w:val="20"/>
                <w:lang w:val="bg-BG"/>
              </w:rPr>
            </w:pPr>
            <w:r w:rsidRPr="0046431A">
              <w:rPr>
                <w:rFonts w:ascii="Arial Narrow" w:hAnsi="Arial Narrow" w:cs="Arial"/>
                <w:sz w:val="20"/>
                <w:szCs w:val="20"/>
                <w:lang w:val="bg-BG"/>
              </w:rPr>
              <w:t>-</w:t>
            </w:r>
          </w:p>
        </w:tc>
        <w:tc>
          <w:tcPr>
            <w:tcW w:w="1144" w:type="pct"/>
            <w:tcBorders>
              <w:top w:val="single" w:sz="4" w:space="0" w:color="auto"/>
              <w:left w:val="single" w:sz="4" w:space="0" w:color="auto"/>
              <w:bottom w:val="single" w:sz="4" w:space="0" w:color="auto"/>
              <w:right w:val="single" w:sz="4" w:space="0" w:color="auto"/>
            </w:tcBorders>
            <w:shd w:val="clear" w:color="auto" w:fill="auto"/>
            <w:vAlign w:val="center"/>
          </w:tcPr>
          <w:p w14:paraId="1C9CC935" w14:textId="77777777" w:rsidR="0046431A" w:rsidRPr="0046431A" w:rsidRDefault="0046431A" w:rsidP="0046431A">
            <w:pPr>
              <w:jc w:val="right"/>
              <w:rPr>
                <w:rFonts w:ascii="Arial Narrow" w:hAnsi="Arial Narrow" w:cs="Arial"/>
                <w:sz w:val="20"/>
                <w:szCs w:val="20"/>
                <w:lang w:val="bg-BG"/>
              </w:rPr>
            </w:pPr>
            <w:r w:rsidRPr="0046431A">
              <w:rPr>
                <w:rFonts w:ascii="Arial Narrow" w:hAnsi="Arial Narrow" w:cs="Arial"/>
                <w:sz w:val="20"/>
                <w:szCs w:val="20"/>
                <w:lang w:val="bg-BG"/>
              </w:rPr>
              <w:t>-</w:t>
            </w:r>
          </w:p>
        </w:tc>
      </w:tr>
      <w:tr w:rsidR="0046431A" w:rsidRPr="0046431A" w14:paraId="22E324E8" w14:textId="77777777" w:rsidTr="006D1710">
        <w:trPr>
          <w:trHeight w:val="296"/>
        </w:trPr>
        <w:tc>
          <w:tcPr>
            <w:tcW w:w="1558" w:type="pct"/>
            <w:vAlign w:val="center"/>
          </w:tcPr>
          <w:p w14:paraId="323428F3" w14:textId="77777777" w:rsidR="0046431A" w:rsidRPr="0046431A" w:rsidRDefault="0046431A" w:rsidP="0046431A">
            <w:pPr>
              <w:rPr>
                <w:rFonts w:ascii="Arial Narrow" w:hAnsi="Arial Narrow" w:cs="Arial"/>
                <w:b/>
                <w:bCs/>
                <w:sz w:val="20"/>
                <w:szCs w:val="20"/>
                <w:lang w:val="bg-BG"/>
              </w:rPr>
            </w:pPr>
            <w:r w:rsidRPr="0046431A">
              <w:rPr>
                <w:rFonts w:ascii="Arial Narrow" w:hAnsi="Arial Narrow" w:cs="Arial"/>
                <w:b/>
                <w:bCs/>
                <w:sz w:val="20"/>
                <w:szCs w:val="20"/>
                <w:lang w:val="bg-BG"/>
              </w:rPr>
              <w:t>Общо</w:t>
            </w:r>
          </w:p>
        </w:tc>
        <w:tc>
          <w:tcPr>
            <w:tcW w:w="1149" w:type="pct"/>
            <w:tcBorders>
              <w:top w:val="single" w:sz="4" w:space="0" w:color="auto"/>
              <w:left w:val="single" w:sz="4" w:space="0" w:color="auto"/>
              <w:bottom w:val="single" w:sz="4" w:space="0" w:color="auto"/>
              <w:right w:val="single" w:sz="4" w:space="0" w:color="auto"/>
            </w:tcBorders>
            <w:shd w:val="clear" w:color="auto" w:fill="auto"/>
            <w:vAlign w:val="center"/>
          </w:tcPr>
          <w:p w14:paraId="1613BF15" w14:textId="77777777" w:rsidR="0046431A" w:rsidRPr="0046431A" w:rsidRDefault="0046431A" w:rsidP="0046431A">
            <w:pPr>
              <w:jc w:val="right"/>
              <w:rPr>
                <w:rFonts w:ascii="Arial Narrow" w:hAnsi="Arial Narrow" w:cs="Arial"/>
                <w:sz w:val="20"/>
                <w:szCs w:val="20"/>
                <w:lang w:val="bg-BG"/>
              </w:rPr>
            </w:pPr>
            <w:r w:rsidRPr="0046431A">
              <w:rPr>
                <w:rFonts w:ascii="Arial Narrow" w:hAnsi="Arial Narrow" w:cs="Arial"/>
                <w:sz w:val="20"/>
                <w:szCs w:val="20"/>
                <w:lang w:val="bg-BG"/>
              </w:rPr>
              <w:t>6 131,00</w:t>
            </w:r>
          </w:p>
        </w:tc>
        <w:tc>
          <w:tcPr>
            <w:tcW w:w="1149" w:type="pct"/>
            <w:tcBorders>
              <w:top w:val="single" w:sz="4" w:space="0" w:color="auto"/>
              <w:left w:val="single" w:sz="4" w:space="0" w:color="auto"/>
              <w:bottom w:val="single" w:sz="4" w:space="0" w:color="auto"/>
              <w:right w:val="single" w:sz="4" w:space="0" w:color="auto"/>
            </w:tcBorders>
            <w:shd w:val="clear" w:color="auto" w:fill="auto"/>
            <w:vAlign w:val="center"/>
          </w:tcPr>
          <w:p w14:paraId="0E964314" w14:textId="77777777" w:rsidR="0046431A" w:rsidRPr="0046431A" w:rsidRDefault="0046431A" w:rsidP="0046431A">
            <w:pPr>
              <w:jc w:val="right"/>
              <w:rPr>
                <w:rFonts w:ascii="Arial Narrow" w:hAnsi="Arial Narrow" w:cs="Arial"/>
                <w:sz w:val="20"/>
                <w:szCs w:val="20"/>
                <w:lang w:val="bg-BG"/>
              </w:rPr>
            </w:pPr>
            <w:r w:rsidRPr="0046431A">
              <w:rPr>
                <w:rFonts w:ascii="Arial Narrow" w:hAnsi="Arial Narrow" w:cs="Arial"/>
                <w:sz w:val="20"/>
                <w:szCs w:val="20"/>
                <w:lang w:val="bg-BG"/>
              </w:rPr>
              <w:t>20 048,56</w:t>
            </w:r>
          </w:p>
        </w:tc>
        <w:tc>
          <w:tcPr>
            <w:tcW w:w="1144" w:type="pct"/>
            <w:tcBorders>
              <w:top w:val="single" w:sz="4" w:space="0" w:color="auto"/>
              <w:left w:val="single" w:sz="4" w:space="0" w:color="auto"/>
              <w:bottom w:val="single" w:sz="4" w:space="0" w:color="auto"/>
              <w:right w:val="single" w:sz="4" w:space="0" w:color="auto"/>
            </w:tcBorders>
            <w:shd w:val="clear" w:color="auto" w:fill="auto"/>
            <w:vAlign w:val="center"/>
          </w:tcPr>
          <w:p w14:paraId="3597FD74" w14:textId="77777777" w:rsidR="0046431A" w:rsidRPr="0046431A" w:rsidRDefault="0046431A" w:rsidP="0046431A">
            <w:pPr>
              <w:jc w:val="right"/>
              <w:rPr>
                <w:rFonts w:ascii="Arial Narrow" w:hAnsi="Arial Narrow" w:cs="Arial"/>
                <w:sz w:val="20"/>
                <w:szCs w:val="20"/>
                <w:lang w:val="bg-BG"/>
              </w:rPr>
            </w:pPr>
            <w:r w:rsidRPr="0046431A">
              <w:rPr>
                <w:rFonts w:ascii="Arial Narrow" w:hAnsi="Arial Narrow" w:cs="Arial"/>
                <w:sz w:val="20"/>
                <w:szCs w:val="20"/>
                <w:lang w:val="bg-BG"/>
              </w:rPr>
              <w:t>26 179,56</w:t>
            </w:r>
          </w:p>
        </w:tc>
      </w:tr>
    </w:tbl>
    <w:p w14:paraId="7F0BA2FB" w14:textId="77777777" w:rsidR="00357107" w:rsidRPr="006D1710" w:rsidRDefault="0046431A" w:rsidP="006D1710">
      <w:pPr>
        <w:widowControl w:val="0"/>
        <w:overflowPunct w:val="0"/>
        <w:autoSpaceDE w:val="0"/>
        <w:autoSpaceDN w:val="0"/>
        <w:adjustRightInd w:val="0"/>
        <w:spacing w:after="120"/>
        <w:jc w:val="both"/>
        <w:rPr>
          <w:rFonts w:ascii="Arial Narrow" w:eastAsia="Calibri" w:hAnsi="Arial Narrow"/>
          <w:sz w:val="18"/>
          <w:szCs w:val="18"/>
          <w:lang w:val="bg-BG"/>
        </w:rPr>
      </w:pPr>
      <w:r w:rsidRPr="0046431A">
        <w:rPr>
          <w:rFonts w:ascii="Arial Narrow" w:eastAsia="Calibri" w:hAnsi="Arial Narrow"/>
          <w:bCs/>
          <w:i/>
          <w:iCs/>
          <w:sz w:val="18"/>
          <w:szCs w:val="18"/>
          <w:lang w:val="bg-BG"/>
        </w:rPr>
        <w:t>Източник</w:t>
      </w:r>
      <w:r w:rsidRPr="0046431A">
        <w:rPr>
          <w:rFonts w:ascii="Arial Narrow" w:eastAsia="Calibri" w:hAnsi="Arial Narrow"/>
          <w:b/>
          <w:bCs/>
          <w:i/>
          <w:iCs/>
          <w:sz w:val="18"/>
          <w:szCs w:val="18"/>
          <w:lang w:val="bg-BG"/>
        </w:rPr>
        <w:t>:</w:t>
      </w:r>
      <w:r w:rsidRPr="0046431A">
        <w:rPr>
          <w:rFonts w:ascii="Arial Narrow" w:eastAsia="Calibri" w:hAnsi="Arial Narrow"/>
          <w:bCs/>
          <w:i/>
          <w:iCs/>
          <w:sz w:val="18"/>
          <w:szCs w:val="18"/>
          <w:lang w:val="bg-BG"/>
        </w:rPr>
        <w:t xml:space="preserve"> </w:t>
      </w:r>
      <w:r w:rsidRPr="0046431A">
        <w:rPr>
          <w:rFonts w:ascii="Arial Narrow" w:eastAsia="Calibri" w:hAnsi="Arial Narrow"/>
          <w:bCs/>
          <w:iCs/>
          <w:sz w:val="18"/>
          <w:szCs w:val="18"/>
          <w:lang w:val="bg-BG"/>
        </w:rPr>
        <w:t>БАБХ</w:t>
      </w:r>
    </w:p>
    <w:p w14:paraId="7C787B0E" w14:textId="77777777" w:rsidR="0046431A" w:rsidRPr="0046431A" w:rsidRDefault="0046431A" w:rsidP="0046431A">
      <w:pPr>
        <w:widowControl w:val="0"/>
        <w:spacing w:after="120"/>
        <w:ind w:left="-539" w:firstLine="1247"/>
        <w:jc w:val="both"/>
        <w:rPr>
          <w:rFonts w:ascii="Arial Narrow" w:hAnsi="Arial Narrow"/>
          <w:b/>
          <w:bCs/>
          <w:i/>
          <w:lang w:val="bg-BG" w:eastAsia="bg-BG"/>
        </w:rPr>
      </w:pPr>
      <w:r w:rsidRPr="0046431A">
        <w:rPr>
          <w:rFonts w:ascii="Arial Narrow" w:hAnsi="Arial Narrow"/>
          <w:b/>
          <w:bCs/>
          <w:i/>
          <w:lang w:val="bg-BG" w:eastAsia="bg-BG"/>
        </w:rPr>
        <w:t xml:space="preserve">Официален контрол на фуражите </w:t>
      </w:r>
    </w:p>
    <w:p w14:paraId="3515BC4D" w14:textId="77777777" w:rsidR="0046431A" w:rsidRPr="0046431A" w:rsidRDefault="0046431A" w:rsidP="0046431A">
      <w:pPr>
        <w:spacing w:after="120"/>
        <w:ind w:firstLine="709"/>
        <w:jc w:val="both"/>
        <w:rPr>
          <w:rFonts w:ascii="Arial Narrow" w:hAnsi="Arial Narrow"/>
          <w:lang w:val="bg-BG" w:eastAsia="bg-BG"/>
        </w:rPr>
      </w:pPr>
      <w:r w:rsidRPr="0046431A">
        <w:rPr>
          <w:rFonts w:ascii="Arial Narrow" w:hAnsi="Arial Narrow"/>
          <w:lang w:val="bg-BG" w:eastAsia="bg-BG"/>
        </w:rPr>
        <w:t xml:space="preserve">Контролът на фуражите обхваща както обекти от фуражния сектор, така и животновъдни обекти, в т.ч. и обекти, които произвеждат фуражи или само изхранват животни, които се отглеждат за производство на храни и продукцията им е предназначена за консумация от хора. </w:t>
      </w:r>
    </w:p>
    <w:p w14:paraId="1DE5A553" w14:textId="77777777" w:rsidR="0046431A" w:rsidRPr="0046431A" w:rsidRDefault="0046431A" w:rsidP="0046431A">
      <w:pPr>
        <w:spacing w:after="120"/>
        <w:ind w:firstLine="709"/>
        <w:jc w:val="both"/>
        <w:rPr>
          <w:rFonts w:ascii="Arial Narrow" w:hAnsi="Arial Narrow"/>
          <w:lang w:val="bg-BG" w:eastAsia="bg-BG"/>
        </w:rPr>
      </w:pPr>
      <w:r w:rsidRPr="0046431A">
        <w:rPr>
          <w:rFonts w:ascii="Arial Narrow" w:hAnsi="Arial Narrow"/>
          <w:lang w:val="bg-BG" w:eastAsia="bg-BG"/>
        </w:rPr>
        <w:t>През 2024 г. контролът на фуражите следва определените основни специфични оперативни цели, които са свързани със стратегическите цели, определени в МНКП на Република България за 2024 - 2026 г., а именно: да се гарантира, че фуражите отговарят на изискванията за безопасност и на изискванията на Регламент (ЕО) № 767/2009, по отношение на информацията предоставяна върху етикета или документа придружаващ партидата, в т.ч. и предоставяната информация, при извършване на търговия, чрез средствата за комуникация от разстояние.</w:t>
      </w:r>
    </w:p>
    <w:p w14:paraId="0E042258" w14:textId="77777777" w:rsidR="0046431A" w:rsidRPr="0046431A" w:rsidRDefault="0046431A" w:rsidP="0046431A">
      <w:pPr>
        <w:spacing w:after="120"/>
        <w:ind w:firstLine="709"/>
        <w:jc w:val="both"/>
        <w:rPr>
          <w:rFonts w:ascii="Arial Narrow" w:hAnsi="Arial Narrow"/>
          <w:lang w:val="bg-BG" w:eastAsia="bg-BG"/>
        </w:rPr>
      </w:pPr>
      <w:r w:rsidRPr="0046431A">
        <w:rPr>
          <w:rFonts w:ascii="Arial Narrow" w:hAnsi="Arial Narrow"/>
          <w:lang w:val="bg-BG" w:eastAsia="bg-BG"/>
        </w:rPr>
        <w:t>В съответствие с чл. 17 от Регламент (ЕО) № 178/2002 и съображение (6) от Регламент (ЕО) № 183/2005, операторите от фуражния сектор са отговорни за безопасността на произведените от тях фуражи, за опазване на здравето на животните и за предотвратяване на рисковете за околната среда.</w:t>
      </w:r>
    </w:p>
    <w:p w14:paraId="4FA63E7E" w14:textId="77777777" w:rsidR="0046431A" w:rsidRPr="0046431A" w:rsidRDefault="0046431A" w:rsidP="0046431A">
      <w:pPr>
        <w:spacing w:after="120"/>
        <w:ind w:firstLine="709"/>
        <w:jc w:val="both"/>
        <w:rPr>
          <w:rFonts w:ascii="Arial Narrow" w:hAnsi="Arial Narrow"/>
          <w:lang w:val="bg-BG" w:eastAsia="bg-BG"/>
        </w:rPr>
      </w:pPr>
      <w:r w:rsidRPr="0046431A">
        <w:rPr>
          <w:rFonts w:ascii="Arial Narrow" w:hAnsi="Arial Narrow"/>
          <w:lang w:val="bg-BG" w:eastAsia="bg-BG"/>
        </w:rPr>
        <w:t>Официалният контрол на фуражите е планов и текущ. Плановият контрол се основава на критерии за оценка на риска, еднакви за цялата държава. През 2024 г. е изпълняван „Рамков план за контрол на фуражите за 2024 г.”, обхващащ три контролни системи: „Фуражи и хранене на животните“, „Трансмисивни спонгиформни енцефалопатии и странични животински продукти“ и „Ветеринарн</w:t>
      </w:r>
      <w:r w:rsidR="003B66B2">
        <w:rPr>
          <w:rFonts w:ascii="Arial Narrow" w:hAnsi="Arial Narrow"/>
          <w:lang w:val="bg-BG" w:eastAsia="bg-BG"/>
        </w:rPr>
        <w:t>и лекарствени</w:t>
      </w:r>
      <w:r w:rsidRPr="0046431A">
        <w:rPr>
          <w:rFonts w:ascii="Arial Narrow" w:hAnsi="Arial Narrow"/>
          <w:lang w:val="bg-BG" w:eastAsia="bg-BG"/>
        </w:rPr>
        <w:t xml:space="preserve"> продукти и остатъци от ветеринарн</w:t>
      </w:r>
      <w:r w:rsidR="003B66B2">
        <w:rPr>
          <w:rFonts w:ascii="Arial Narrow" w:hAnsi="Arial Narrow"/>
          <w:lang w:val="bg-BG" w:eastAsia="bg-BG"/>
        </w:rPr>
        <w:t xml:space="preserve">и лекарствени </w:t>
      </w:r>
      <w:r w:rsidRPr="0046431A">
        <w:rPr>
          <w:rFonts w:ascii="Arial Narrow" w:hAnsi="Arial Narrow"/>
          <w:lang w:val="bg-BG" w:eastAsia="bg-BG"/>
        </w:rPr>
        <w:t xml:space="preserve"> продукти”. Извършените през 2024 г. проверки и взетите проби от фуражи за анализ са равномерно разпределени в периода и обхващат всички групи оператори. Текущият контрол включва последващи проверки, проверки при съмнение и проучване (сигнали, жалби, уведомления по системата RASFF/</w:t>
      </w:r>
      <w:r w:rsidRPr="0046431A">
        <w:rPr>
          <w:rFonts w:ascii="Arial Narrow" w:hAnsi="Arial Narrow"/>
          <w:lang w:eastAsia="bg-BG"/>
        </w:rPr>
        <w:t>AAC</w:t>
      </w:r>
      <w:r w:rsidRPr="0046431A">
        <w:rPr>
          <w:rFonts w:ascii="Arial Narrow" w:hAnsi="Arial Narrow"/>
          <w:lang w:val="bg-BG" w:eastAsia="bg-BG"/>
        </w:rPr>
        <w:t xml:space="preserve"> и др.), проверки във връзка с подадени заявления за износ на фуражи за трети държави, проверки по </w:t>
      </w:r>
      <w:r w:rsidR="009D4E1C" w:rsidRPr="009D4E1C">
        <w:rPr>
          <w:rFonts w:ascii="Arial Narrow" w:hAnsi="Arial Narrow"/>
          <w:lang w:val="bg-BG" w:eastAsia="bg-BG"/>
        </w:rPr>
        <w:t xml:space="preserve"> </w:t>
      </w:r>
      <w:r w:rsidR="009D4E1C" w:rsidRPr="0046431A">
        <w:rPr>
          <w:rFonts w:ascii="Arial Narrow" w:hAnsi="Arial Narrow"/>
          <w:lang w:val="bg-BG" w:eastAsia="bg-BG"/>
        </w:rPr>
        <w:t>TRACES</w:t>
      </w:r>
      <w:r w:rsidR="009D4E1C">
        <w:rPr>
          <w:rFonts w:ascii="Arial Narrow" w:hAnsi="Arial Narrow"/>
          <w:lang w:eastAsia="bg-BG"/>
        </w:rPr>
        <w:t xml:space="preserve"> </w:t>
      </w:r>
      <w:r w:rsidR="003B66B2">
        <w:rPr>
          <w:rFonts w:ascii="Arial Narrow" w:hAnsi="Arial Narrow"/>
          <w:lang w:eastAsia="bg-BG"/>
        </w:rPr>
        <w:t>NT</w:t>
      </w:r>
      <w:r w:rsidRPr="0046431A">
        <w:rPr>
          <w:rFonts w:ascii="Arial Narrow" w:hAnsi="Arial Narrow"/>
          <w:lang w:val="bg-BG" w:eastAsia="bg-BG"/>
        </w:rPr>
        <w:t xml:space="preserve"> и други. </w:t>
      </w:r>
    </w:p>
    <w:p w14:paraId="37B84E47" w14:textId="77777777" w:rsidR="0046431A" w:rsidRPr="0046431A" w:rsidRDefault="0046431A" w:rsidP="0046431A">
      <w:pPr>
        <w:widowControl w:val="0"/>
        <w:spacing w:after="120"/>
        <w:ind w:firstLine="709"/>
        <w:jc w:val="both"/>
        <w:rPr>
          <w:rFonts w:ascii="Arial Narrow" w:hAnsi="Arial Narrow"/>
          <w:b/>
          <w:bCs/>
          <w:i/>
          <w:lang w:val="bg-BG" w:eastAsia="bg-BG"/>
        </w:rPr>
      </w:pPr>
      <w:r w:rsidRPr="0046431A">
        <w:rPr>
          <w:rFonts w:ascii="Arial Narrow" w:hAnsi="Arial Narrow"/>
          <w:b/>
          <w:bCs/>
          <w:i/>
          <w:lang w:val="bg-BG" w:eastAsia="bg-BG"/>
        </w:rPr>
        <w:lastRenderedPageBreak/>
        <w:t xml:space="preserve">Резултати от контролна дейност по контролна система „Фуражи и хранене на животните” </w:t>
      </w:r>
    </w:p>
    <w:p w14:paraId="349FBFDA" w14:textId="77777777" w:rsidR="0046431A" w:rsidRPr="0046431A" w:rsidRDefault="0046431A" w:rsidP="0046431A">
      <w:pPr>
        <w:widowControl w:val="0"/>
        <w:spacing w:after="120"/>
        <w:ind w:firstLine="709"/>
        <w:jc w:val="both"/>
        <w:rPr>
          <w:rFonts w:ascii="Arial Narrow" w:hAnsi="Arial Narrow"/>
          <w:lang w:val="bg-BG" w:eastAsia="bg-BG"/>
        </w:rPr>
      </w:pPr>
      <w:r w:rsidRPr="0046431A">
        <w:rPr>
          <w:rFonts w:ascii="Arial Narrow" w:hAnsi="Arial Narrow"/>
          <w:lang w:val="bg-BG" w:eastAsia="bg-BG"/>
        </w:rPr>
        <w:t>Цялостният напредък при постигането на стратегическите и специфичните цели по контролна система „Фуражи и хранене на животните” през 2024 г. се оценява като положителен.</w:t>
      </w:r>
      <w:r w:rsidRPr="0046431A">
        <w:rPr>
          <w:rFonts w:ascii="Calibri" w:eastAsia="Calibri" w:hAnsi="Calibri"/>
          <w:sz w:val="22"/>
          <w:szCs w:val="22"/>
        </w:rPr>
        <w:t xml:space="preserve"> </w:t>
      </w:r>
      <w:r w:rsidRPr="0046431A">
        <w:rPr>
          <w:rFonts w:ascii="Arial Narrow" w:hAnsi="Arial Narrow"/>
          <w:lang w:val="bg-BG" w:eastAsia="bg-BG"/>
        </w:rPr>
        <w:t xml:space="preserve">Заложените в Рамковия план за контрол 2024 г. брой проверки са изпълнени на 80,2%. Извършените планови проверки през годината са 3 122 броя (при 3 420 през 2023 г.). Частичното неизпълнение на Рамковия план за контрол на фуражите за 2024 г. се дължи на заличаването/временното преустановяване на регистрация/одобрение на обекти/оператори в сектора, които са били планирани за контрол в периода, както и на недостатъчната обезпеченост с човешки ресурс в някои ОДБХ. Съгласно ЗИД на Закона за фуражите обн. в ДВ бр. 21 от 12.03.2024 г. в обхвата на Закона за фуражите попадат и търговците на храни за домашни любимци на дребно, които към влизането в сила на закона са 7 495 обекта. </w:t>
      </w:r>
    </w:p>
    <w:p w14:paraId="6F8FE1AA" w14:textId="77777777" w:rsidR="0046431A" w:rsidRPr="0046431A" w:rsidRDefault="0046431A" w:rsidP="0046431A">
      <w:pPr>
        <w:widowControl w:val="0"/>
        <w:spacing w:after="120"/>
        <w:ind w:firstLine="709"/>
        <w:jc w:val="both"/>
        <w:rPr>
          <w:rFonts w:ascii="Arial Narrow" w:hAnsi="Arial Narrow"/>
          <w:lang w:val="bg-BG" w:eastAsia="bg-BG"/>
        </w:rPr>
      </w:pPr>
      <w:r w:rsidRPr="0046431A">
        <w:rPr>
          <w:rFonts w:ascii="Arial Narrow" w:hAnsi="Arial Narrow"/>
          <w:lang w:val="bg-BG" w:eastAsia="bg-BG"/>
        </w:rPr>
        <w:t>През 2024 г. са извършени общо 3 683 проверки и одити на всички етапи от производството, преработката, разпространението и изхранването на фуражите. При проверките са констатирани несъответствия с изискванията на приложимото в сектора законодателство, във връзка с което са</w:t>
      </w:r>
      <w:r w:rsidRPr="0046431A" w:rsidDel="008C6907">
        <w:rPr>
          <w:rFonts w:ascii="Arial Narrow" w:hAnsi="Arial Narrow"/>
          <w:lang w:val="bg-BG" w:eastAsia="bg-BG"/>
        </w:rPr>
        <w:t xml:space="preserve"> </w:t>
      </w:r>
      <w:r w:rsidRPr="0046431A">
        <w:rPr>
          <w:rFonts w:ascii="Arial Narrow" w:hAnsi="Arial Narrow"/>
          <w:lang w:val="bg-BG" w:eastAsia="bg-BG"/>
        </w:rPr>
        <w:t>дадени 665 предписания с конкретн</w:t>
      </w:r>
      <w:r w:rsidR="004072F4">
        <w:rPr>
          <w:rFonts w:ascii="Arial Narrow" w:hAnsi="Arial Narrow"/>
          <w:lang w:val="bg-BG" w:eastAsia="bg-BG"/>
        </w:rPr>
        <w:t>и срокове за отстраняването им -</w:t>
      </w:r>
      <w:r w:rsidRPr="0046431A">
        <w:rPr>
          <w:rFonts w:ascii="Arial Narrow" w:hAnsi="Arial Narrow"/>
          <w:lang w:val="bg-BG" w:eastAsia="bg-BG"/>
        </w:rPr>
        <w:t xml:space="preserve"> с 348 броя или с 34,4% по-малко спрямо предходната година. </w:t>
      </w:r>
    </w:p>
    <w:p w14:paraId="7DD11DEE" w14:textId="77777777" w:rsidR="0046431A" w:rsidRPr="0046431A" w:rsidRDefault="0046431A" w:rsidP="0046431A">
      <w:pPr>
        <w:autoSpaceDE w:val="0"/>
        <w:autoSpaceDN w:val="0"/>
        <w:adjustRightInd w:val="0"/>
        <w:spacing w:after="120"/>
        <w:ind w:firstLine="708"/>
        <w:jc w:val="both"/>
        <w:rPr>
          <w:rFonts w:ascii="Arial Narrow" w:hAnsi="Arial Narrow"/>
          <w:lang w:val="bg-BG" w:eastAsia="bg-BG"/>
        </w:rPr>
      </w:pPr>
      <w:r w:rsidRPr="0046431A">
        <w:rPr>
          <w:rFonts w:ascii="Arial Narrow" w:hAnsi="Arial Narrow"/>
          <w:lang w:val="bg-BG" w:eastAsia="bg-BG"/>
        </w:rPr>
        <w:t>По отношение на проверените фуражи не се наблюдават сериозни несъответствия, които да доведат до опасност за здравето на животните или общественото здраве. Типът на установените несъответствия не представлява потенциален риск за животните.</w:t>
      </w:r>
      <w:r w:rsidRPr="0046431A">
        <w:rPr>
          <w:snapToGrid w:val="0"/>
          <w:lang w:val="bg-BG" w:eastAsia="bg-BG"/>
        </w:rPr>
        <w:t xml:space="preserve"> </w:t>
      </w:r>
    </w:p>
    <w:p w14:paraId="5A76384F" w14:textId="77777777" w:rsidR="0046431A" w:rsidRPr="0046431A" w:rsidRDefault="0046431A" w:rsidP="0046431A">
      <w:pPr>
        <w:spacing w:after="120"/>
        <w:ind w:firstLine="709"/>
        <w:jc w:val="both"/>
        <w:rPr>
          <w:rFonts w:ascii="Arial Narrow" w:hAnsi="Arial Narrow"/>
          <w:lang w:val="bg-BG" w:eastAsia="bg-BG"/>
        </w:rPr>
      </w:pPr>
      <w:r w:rsidRPr="0046431A">
        <w:rPr>
          <w:rFonts w:ascii="Arial Narrow" w:hAnsi="Arial Narrow"/>
          <w:lang w:val="bg-BG" w:eastAsia="bg-BG"/>
        </w:rPr>
        <w:t>Най-честите причини за констатираните несъответствия са: неосъзната отговорност на операторите в съответствие с Регламент (ЕО) № 178/2002; недостатъчни познания за изискванията на законодателството; недостатъчни финансови ресурси от страна на операторите от фуражния сектор.</w:t>
      </w:r>
    </w:p>
    <w:p w14:paraId="045B0A7E" w14:textId="77777777" w:rsidR="0046431A" w:rsidRPr="0046431A" w:rsidRDefault="0046431A" w:rsidP="0046431A">
      <w:pPr>
        <w:autoSpaceDE w:val="0"/>
        <w:autoSpaceDN w:val="0"/>
        <w:adjustRightInd w:val="0"/>
        <w:spacing w:after="120"/>
        <w:ind w:firstLine="708"/>
        <w:jc w:val="both"/>
        <w:rPr>
          <w:rFonts w:ascii="Arial Narrow" w:hAnsi="Arial Narrow"/>
          <w:lang w:val="bg-BG" w:eastAsia="bg-BG"/>
        </w:rPr>
      </w:pPr>
      <w:r w:rsidRPr="0046431A">
        <w:rPr>
          <w:rFonts w:ascii="Arial Narrow" w:hAnsi="Arial Narrow"/>
          <w:lang w:val="bg-BG" w:eastAsia="bg-BG"/>
        </w:rPr>
        <w:t xml:space="preserve">Според вида на обекта, в който са констатирани несъответствията, най-много са предписанията, дадени при проверки в животновъдни обекти - 301 броя, което е с 38,6% по-малко спрямо 2023 г. Установените несъответствия имат отношение основно към спазване на изискванията за хигиена, самоконтрола на операторите и проследяемостта на фуражите. </w:t>
      </w:r>
    </w:p>
    <w:p w14:paraId="33AE2471" w14:textId="77777777" w:rsidR="0046431A" w:rsidRPr="0046431A" w:rsidRDefault="0046431A" w:rsidP="0046431A">
      <w:pPr>
        <w:spacing w:after="120"/>
        <w:ind w:firstLine="709"/>
        <w:jc w:val="both"/>
        <w:rPr>
          <w:rFonts w:ascii="Arial Narrow" w:hAnsi="Arial Narrow"/>
          <w:lang w:val="bg-BG" w:eastAsia="bg-BG"/>
        </w:rPr>
      </w:pPr>
      <w:r w:rsidRPr="0046431A">
        <w:rPr>
          <w:rFonts w:ascii="Arial Narrow" w:hAnsi="Arial Narrow"/>
          <w:lang w:val="bg-BG" w:eastAsia="bg-BG"/>
        </w:rPr>
        <w:t>През 2024 г. при проверките на обектите във фуражния сектор са взети проби за анализ по показатели, декларирани от производителя за съответствие, както и за спазване на допустимите стойности за безопасност, определени в законодателството.</w:t>
      </w:r>
    </w:p>
    <w:p w14:paraId="3AB8E462" w14:textId="77777777" w:rsidR="0046431A" w:rsidRPr="0046431A" w:rsidRDefault="0046431A" w:rsidP="0046431A">
      <w:pPr>
        <w:autoSpaceDE w:val="0"/>
        <w:autoSpaceDN w:val="0"/>
        <w:adjustRightInd w:val="0"/>
        <w:spacing w:after="120"/>
        <w:ind w:firstLine="708"/>
        <w:jc w:val="both"/>
        <w:rPr>
          <w:rFonts w:ascii="Arial Narrow" w:hAnsi="Arial Narrow"/>
          <w:lang w:val="bg-BG" w:eastAsia="bg-BG"/>
        </w:rPr>
      </w:pPr>
      <w:r w:rsidRPr="0046431A">
        <w:rPr>
          <w:rFonts w:ascii="Arial Narrow" w:hAnsi="Arial Narrow"/>
          <w:lang w:val="bg-BG" w:eastAsia="bg-BG"/>
        </w:rPr>
        <w:t>Общият брой на анализи от взети проби за официален контрол през 2024 г. е 4 108 (вкл. 254 анализи за съдържание на влага), от които:</w:t>
      </w:r>
    </w:p>
    <w:p w14:paraId="621E5B91" w14:textId="77777777" w:rsidR="0046431A" w:rsidRPr="0046431A" w:rsidRDefault="0046431A" w:rsidP="009C6577">
      <w:pPr>
        <w:numPr>
          <w:ilvl w:val="0"/>
          <w:numId w:val="37"/>
        </w:numPr>
        <w:overflowPunct w:val="0"/>
        <w:autoSpaceDE w:val="0"/>
        <w:autoSpaceDN w:val="0"/>
        <w:adjustRightInd w:val="0"/>
        <w:spacing w:after="120" w:line="276" w:lineRule="auto"/>
        <w:ind w:left="714" w:hanging="357"/>
        <w:jc w:val="both"/>
        <w:rPr>
          <w:rFonts w:ascii="Arial Narrow" w:eastAsia="Calibri" w:hAnsi="Arial Narrow"/>
          <w:lang w:val="bg-BG"/>
        </w:rPr>
      </w:pPr>
      <w:r w:rsidRPr="0046431A">
        <w:rPr>
          <w:rFonts w:ascii="Arial Narrow" w:eastAsia="Calibri" w:hAnsi="Arial Narrow"/>
          <w:lang w:val="bg-BG"/>
        </w:rPr>
        <w:t>368 броя за хранителен състав (не са получени несъответстващи резултати от извършените анализи установени 2 несъответстващи анализа за 2023 г.);</w:t>
      </w:r>
    </w:p>
    <w:p w14:paraId="41ABACF5" w14:textId="77777777" w:rsidR="0046431A" w:rsidRPr="0046431A" w:rsidRDefault="0046431A" w:rsidP="009C6577">
      <w:pPr>
        <w:numPr>
          <w:ilvl w:val="0"/>
          <w:numId w:val="37"/>
        </w:numPr>
        <w:overflowPunct w:val="0"/>
        <w:autoSpaceDE w:val="0"/>
        <w:autoSpaceDN w:val="0"/>
        <w:adjustRightInd w:val="0"/>
        <w:spacing w:after="120" w:line="276" w:lineRule="auto"/>
        <w:ind w:left="714" w:hanging="357"/>
        <w:jc w:val="both"/>
        <w:rPr>
          <w:rFonts w:ascii="Arial Narrow" w:eastAsia="Calibri" w:hAnsi="Arial Narrow"/>
          <w:lang w:val="bg-BG"/>
        </w:rPr>
      </w:pPr>
      <w:r w:rsidRPr="0046431A">
        <w:rPr>
          <w:rFonts w:ascii="Arial Narrow" w:eastAsia="Calibri" w:hAnsi="Arial Narrow"/>
          <w:lang w:val="bg-BG"/>
        </w:rPr>
        <w:t xml:space="preserve">226 броя за фуражни добавки, с фиксирано максимално съдържание, в това число разрешени кокцидиостатици (несъответствия са установени при 9 анализа, с 3 броя по-малко спрямо </w:t>
      </w:r>
      <w:r w:rsidR="004072F4">
        <w:rPr>
          <w:rFonts w:ascii="Arial Narrow" w:eastAsia="Calibri" w:hAnsi="Arial Narrow"/>
          <w:lang w:val="bg-BG"/>
        </w:rPr>
        <w:t xml:space="preserve">      </w:t>
      </w:r>
      <w:r w:rsidRPr="0046431A">
        <w:rPr>
          <w:rFonts w:ascii="Arial Narrow" w:eastAsia="Calibri" w:hAnsi="Arial Narrow"/>
          <w:lang w:val="bg-BG"/>
        </w:rPr>
        <w:t>2023 г.);</w:t>
      </w:r>
    </w:p>
    <w:p w14:paraId="72170054" w14:textId="77777777" w:rsidR="0046431A" w:rsidRPr="0046431A" w:rsidRDefault="0046431A" w:rsidP="009C6577">
      <w:pPr>
        <w:numPr>
          <w:ilvl w:val="0"/>
          <w:numId w:val="37"/>
        </w:numPr>
        <w:overflowPunct w:val="0"/>
        <w:autoSpaceDE w:val="0"/>
        <w:autoSpaceDN w:val="0"/>
        <w:adjustRightInd w:val="0"/>
        <w:spacing w:after="120" w:line="276" w:lineRule="auto"/>
        <w:jc w:val="both"/>
        <w:rPr>
          <w:rFonts w:ascii="Arial Narrow" w:eastAsia="Calibri" w:hAnsi="Arial Narrow"/>
          <w:lang w:val="bg-BG"/>
        </w:rPr>
      </w:pPr>
      <w:r w:rsidRPr="0046431A">
        <w:rPr>
          <w:rFonts w:ascii="Arial Narrow" w:eastAsia="Calibri" w:hAnsi="Arial Narrow"/>
          <w:lang w:val="bg-BG"/>
        </w:rPr>
        <w:t>1 180 броя за нежелани вещества, вкл. за съдържание на тежки метали, микотоксини, остатъци от активни вещества на пестициди, диоксини, амброзия (получени са 6 несъответстващи резултата, при 3 такива през 2023 г.);</w:t>
      </w:r>
    </w:p>
    <w:p w14:paraId="777481BC" w14:textId="77777777" w:rsidR="0046431A" w:rsidRPr="0046431A" w:rsidRDefault="0046431A" w:rsidP="009C6577">
      <w:pPr>
        <w:numPr>
          <w:ilvl w:val="0"/>
          <w:numId w:val="37"/>
        </w:numPr>
        <w:overflowPunct w:val="0"/>
        <w:autoSpaceDE w:val="0"/>
        <w:autoSpaceDN w:val="0"/>
        <w:adjustRightInd w:val="0"/>
        <w:spacing w:after="120" w:line="276" w:lineRule="auto"/>
        <w:ind w:left="714" w:hanging="357"/>
        <w:jc w:val="both"/>
        <w:rPr>
          <w:rFonts w:ascii="Arial Narrow" w:eastAsia="Calibri" w:hAnsi="Arial Narrow"/>
          <w:lang w:val="bg-BG"/>
        </w:rPr>
      </w:pPr>
      <w:r w:rsidRPr="0046431A">
        <w:rPr>
          <w:rFonts w:ascii="Arial Narrow" w:eastAsia="Calibri" w:hAnsi="Arial Narrow"/>
          <w:lang w:val="bg-BG"/>
        </w:rPr>
        <w:t xml:space="preserve">28 броя за забранени за влагане медикаментозни субстанции, като фуражни добавки и за неизбежен пренос на кокцидиостатици в нецелеви фуражи </w:t>
      </w:r>
      <w:r w:rsidRPr="0046431A">
        <w:rPr>
          <w:rFonts w:ascii="Calibri" w:hAnsi="Calibri"/>
          <w:sz w:val="22"/>
          <w:szCs w:val="22"/>
        </w:rPr>
        <w:t>(</w:t>
      </w:r>
      <w:r w:rsidRPr="0046431A">
        <w:rPr>
          <w:rFonts w:ascii="Arial Narrow" w:eastAsia="Calibri" w:hAnsi="Arial Narrow"/>
          <w:lang w:val="bg-BG"/>
        </w:rPr>
        <w:t>получени са 2 несъответстващи резултата от извършените анализи, което е запазване на нивото на показателя за 2023 г.);</w:t>
      </w:r>
    </w:p>
    <w:p w14:paraId="4BA206CD" w14:textId="77777777" w:rsidR="0046431A" w:rsidRPr="0046431A" w:rsidRDefault="0046431A" w:rsidP="009C6577">
      <w:pPr>
        <w:numPr>
          <w:ilvl w:val="0"/>
          <w:numId w:val="37"/>
        </w:numPr>
        <w:overflowPunct w:val="0"/>
        <w:autoSpaceDE w:val="0"/>
        <w:autoSpaceDN w:val="0"/>
        <w:adjustRightInd w:val="0"/>
        <w:spacing w:after="120" w:line="276" w:lineRule="auto"/>
        <w:ind w:left="714" w:hanging="357"/>
        <w:jc w:val="both"/>
        <w:rPr>
          <w:rFonts w:ascii="Arial Narrow" w:eastAsia="Calibri" w:hAnsi="Arial Narrow"/>
          <w:lang w:val="bg-BG"/>
        </w:rPr>
      </w:pPr>
      <w:r w:rsidRPr="0046431A">
        <w:rPr>
          <w:rFonts w:ascii="Arial Narrow" w:eastAsia="Calibri" w:hAnsi="Arial Narrow"/>
          <w:lang w:val="bg-BG"/>
        </w:rPr>
        <w:t xml:space="preserve">139 броя за микробиологично замърсяване – наличие на салмонела (не са установени несъответстващи анализа от анализираните проби, при  2  броя през 2023 г.); </w:t>
      </w:r>
    </w:p>
    <w:p w14:paraId="21EBC9E8" w14:textId="77777777" w:rsidR="0046431A" w:rsidRPr="0046431A" w:rsidRDefault="0046431A" w:rsidP="009C6577">
      <w:pPr>
        <w:numPr>
          <w:ilvl w:val="0"/>
          <w:numId w:val="37"/>
        </w:numPr>
        <w:overflowPunct w:val="0"/>
        <w:autoSpaceDE w:val="0"/>
        <w:autoSpaceDN w:val="0"/>
        <w:adjustRightInd w:val="0"/>
        <w:spacing w:after="120" w:line="276" w:lineRule="auto"/>
        <w:ind w:left="714" w:hanging="357"/>
        <w:jc w:val="both"/>
        <w:rPr>
          <w:rFonts w:ascii="Arial Narrow" w:eastAsia="Calibri" w:hAnsi="Arial Narrow"/>
          <w:lang w:val="bg-BG"/>
        </w:rPr>
      </w:pPr>
      <w:r w:rsidRPr="0046431A">
        <w:rPr>
          <w:rFonts w:ascii="Arial Narrow" w:eastAsia="Calibri" w:hAnsi="Arial Narrow"/>
          <w:lang w:val="bg-BG"/>
        </w:rPr>
        <w:t xml:space="preserve">18 броя проби от фуражи за наличие на ГМО (не са установени наличия на неразрешени за влагане генетично модифицирани фуражи).  </w:t>
      </w:r>
    </w:p>
    <w:p w14:paraId="6DAD7E2E" w14:textId="77777777" w:rsidR="0046431A" w:rsidRPr="0046431A" w:rsidRDefault="0046431A" w:rsidP="0046431A">
      <w:pPr>
        <w:spacing w:after="120"/>
        <w:ind w:firstLine="709"/>
        <w:jc w:val="both"/>
        <w:rPr>
          <w:rFonts w:ascii="Arial Narrow" w:hAnsi="Arial Narrow"/>
          <w:lang w:val="bg-BG" w:eastAsia="bg-BG"/>
        </w:rPr>
      </w:pPr>
      <w:r w:rsidRPr="0046431A">
        <w:rPr>
          <w:rFonts w:ascii="Arial Narrow" w:hAnsi="Arial Narrow"/>
          <w:lang w:val="bg-BG" w:eastAsia="bg-BG"/>
        </w:rPr>
        <w:lastRenderedPageBreak/>
        <w:t>През 2024 г. при износ/внос/по искане на оператора/извънпланови вземания на проби от фуражи са извършени общо 1 902 броя анализа по следните показатели: хранителен състав, 6-фитаза, тежки метали, пестициди, микотоксини, диоксини, салмонела, ГМО, радиоактивност (цезий 134 и цезий 137), цианиди, етилен дибромид, фосфиди, при които не са установени несъответствия с приложимите изисквания.</w:t>
      </w:r>
    </w:p>
    <w:p w14:paraId="33CE8DB1" w14:textId="77777777" w:rsidR="0046431A" w:rsidRPr="0046431A" w:rsidRDefault="0046431A" w:rsidP="0046431A">
      <w:pPr>
        <w:spacing w:after="120"/>
        <w:ind w:firstLine="709"/>
        <w:jc w:val="both"/>
        <w:rPr>
          <w:rFonts w:ascii="Arial Narrow" w:hAnsi="Arial Narrow"/>
          <w:color w:val="FF0000"/>
          <w:lang w:val="bg-BG" w:eastAsia="bg-BG"/>
        </w:rPr>
      </w:pPr>
      <w:r w:rsidRPr="0046431A">
        <w:rPr>
          <w:rFonts w:ascii="Arial Narrow" w:hAnsi="Arial Narrow"/>
          <w:lang w:val="bg-BG" w:eastAsia="bg-BG"/>
        </w:rPr>
        <w:t xml:space="preserve">Случаите, при които при извършения лабораторен контрол е установено несъответствие на фуражите с изискванията на приложимото законодателство през 2024 г. са 18 броя, с 3 броя по-малко спрямо предходната година. </w:t>
      </w:r>
    </w:p>
    <w:p w14:paraId="161E9732" w14:textId="77777777" w:rsidR="0046431A" w:rsidRPr="0046431A" w:rsidRDefault="0046431A" w:rsidP="0046431A">
      <w:pPr>
        <w:widowControl w:val="0"/>
        <w:spacing w:after="120"/>
        <w:ind w:firstLine="720"/>
        <w:jc w:val="both"/>
        <w:rPr>
          <w:rFonts w:ascii="Arial Narrow" w:hAnsi="Arial Narrow"/>
          <w:b/>
          <w:bCs/>
          <w:i/>
          <w:lang w:val="bg-BG" w:eastAsia="bg-BG"/>
        </w:rPr>
      </w:pPr>
      <w:r w:rsidRPr="0046431A">
        <w:rPr>
          <w:rFonts w:ascii="Arial Narrow" w:hAnsi="Arial Narrow"/>
          <w:b/>
          <w:bCs/>
          <w:i/>
          <w:lang w:val="bg-BG" w:eastAsia="bg-BG"/>
        </w:rPr>
        <w:t>Контрол на фуражи по контролна система „Трансмисивни спонгиформни енцефалопатии и странични животински продукти“</w:t>
      </w:r>
    </w:p>
    <w:p w14:paraId="2E9B0F1D" w14:textId="77777777" w:rsidR="0046431A" w:rsidRPr="0046431A" w:rsidRDefault="0046431A" w:rsidP="0046431A">
      <w:pPr>
        <w:widowControl w:val="0"/>
        <w:spacing w:after="120"/>
        <w:ind w:firstLine="709"/>
        <w:jc w:val="both"/>
        <w:rPr>
          <w:rFonts w:ascii="Arial Narrow" w:hAnsi="Arial Narrow"/>
          <w:lang w:val="bg-BG" w:eastAsia="bg-BG"/>
        </w:rPr>
      </w:pPr>
      <w:r w:rsidRPr="0046431A">
        <w:rPr>
          <w:rFonts w:ascii="Arial Narrow" w:hAnsi="Arial Narrow"/>
          <w:lang w:val="bg-BG" w:eastAsia="bg-BG"/>
        </w:rPr>
        <w:t>Контролира се спазването от страна на операторите от фуражния сектор на фуражните забрани, определени в чл. 7 и Приложение IV към Регламент (ЕО) № 999/2001 и в чл. 11 от Регламент (ЕО) № 1069/2009.</w:t>
      </w:r>
    </w:p>
    <w:p w14:paraId="0D9F9CFC" w14:textId="77777777" w:rsidR="0046431A" w:rsidRPr="0046431A" w:rsidRDefault="0046431A" w:rsidP="0046431A">
      <w:pPr>
        <w:widowControl w:val="0"/>
        <w:spacing w:after="120"/>
        <w:ind w:firstLine="709"/>
        <w:jc w:val="both"/>
        <w:rPr>
          <w:rFonts w:ascii="Arial Narrow" w:hAnsi="Arial Narrow"/>
          <w:lang w:val="bg-BG" w:eastAsia="bg-BG"/>
        </w:rPr>
      </w:pPr>
      <w:r w:rsidRPr="0046431A">
        <w:rPr>
          <w:rFonts w:ascii="Arial Narrow" w:hAnsi="Arial Narrow"/>
          <w:lang w:val="bg-BG" w:eastAsia="bg-BG"/>
        </w:rPr>
        <w:t>При извършените документални и физически проверки през 202</w:t>
      </w:r>
      <w:r w:rsidRPr="0046431A">
        <w:rPr>
          <w:rFonts w:ascii="Arial Narrow" w:hAnsi="Arial Narrow"/>
          <w:lang w:eastAsia="bg-BG"/>
        </w:rPr>
        <w:t>4</w:t>
      </w:r>
      <w:r w:rsidRPr="0046431A">
        <w:rPr>
          <w:rFonts w:ascii="Arial Narrow" w:hAnsi="Arial Narrow"/>
          <w:lang w:val="bg-BG" w:eastAsia="bg-BG"/>
        </w:rPr>
        <w:t xml:space="preserve"> г. не са констатирани нарушения на изискванията на чл. 11 от Регламент (ЕО) № 1069/2009 относно вътревидовата фуражна забрана.</w:t>
      </w:r>
    </w:p>
    <w:p w14:paraId="3F563408" w14:textId="77777777" w:rsidR="0046431A" w:rsidRPr="0046431A" w:rsidRDefault="0046431A" w:rsidP="0046431A">
      <w:pPr>
        <w:spacing w:after="120"/>
        <w:ind w:firstLine="709"/>
        <w:jc w:val="both"/>
        <w:rPr>
          <w:rFonts w:ascii="Arial Narrow" w:hAnsi="Arial Narrow"/>
          <w:lang w:val="bg-BG" w:eastAsia="bg-BG"/>
        </w:rPr>
      </w:pPr>
      <w:r w:rsidRPr="0046431A">
        <w:rPr>
          <w:rFonts w:ascii="Arial Narrow" w:hAnsi="Arial Narrow"/>
          <w:lang w:val="bg-BG" w:eastAsia="bg-BG"/>
        </w:rPr>
        <w:t xml:space="preserve">При извършени 2 броя лабораторни изпитвания през годината са установени несъответствия с изискванията на чл. 7 и Приложение IV на Регламент (ЕО) № 999/2001, за което са предприети всички необходими административно наказателни мерки и действия. </w:t>
      </w:r>
    </w:p>
    <w:p w14:paraId="6916F17E" w14:textId="77777777" w:rsidR="0046431A" w:rsidRPr="0046431A" w:rsidRDefault="0046431A" w:rsidP="0046431A">
      <w:pPr>
        <w:widowControl w:val="0"/>
        <w:spacing w:after="120"/>
        <w:ind w:firstLine="709"/>
        <w:jc w:val="both"/>
        <w:rPr>
          <w:rFonts w:ascii="Arial Narrow" w:hAnsi="Arial Narrow"/>
          <w:lang w:val="bg-BG" w:eastAsia="bg-BG"/>
        </w:rPr>
      </w:pPr>
      <w:r w:rsidRPr="0046431A">
        <w:rPr>
          <w:rFonts w:ascii="Arial Narrow" w:hAnsi="Arial Narrow"/>
          <w:lang w:val="bg-BG" w:eastAsia="bg-BG"/>
        </w:rPr>
        <w:t xml:space="preserve">Взетите през 2024 г. проби от фуражи за наличие на съставки от животински произход са 252 броя, включително 239 проби в изпълнение на рамковия план за контрол на фуражите, 3 проби по преценка на инспектора и 10 проби от фуражи, предназначени за износ. </w:t>
      </w:r>
    </w:p>
    <w:p w14:paraId="303B5FC4" w14:textId="77777777" w:rsidR="0046431A" w:rsidRPr="0046431A" w:rsidRDefault="0046431A" w:rsidP="0046431A">
      <w:pPr>
        <w:widowControl w:val="0"/>
        <w:spacing w:after="120"/>
        <w:ind w:firstLine="709"/>
        <w:jc w:val="both"/>
        <w:rPr>
          <w:rFonts w:ascii="Arial Narrow" w:hAnsi="Arial Narrow"/>
          <w:lang w:val="bg-BG" w:eastAsia="bg-BG"/>
        </w:rPr>
      </w:pPr>
      <w:r w:rsidRPr="0046431A">
        <w:rPr>
          <w:rFonts w:ascii="Arial Narrow" w:hAnsi="Arial Narrow"/>
          <w:lang w:val="bg-BG" w:eastAsia="bg-BG"/>
        </w:rPr>
        <w:t>Протеините от животински произход са рискови по отношение на замърсяване с микроорганизми (</w:t>
      </w:r>
      <w:r w:rsidRPr="0046431A">
        <w:rPr>
          <w:rFonts w:ascii="Arial Narrow" w:hAnsi="Arial Narrow"/>
          <w:i/>
          <w:lang w:val="bg-BG" w:eastAsia="bg-BG"/>
        </w:rPr>
        <w:t>Salmonella spp.</w:t>
      </w:r>
      <w:r w:rsidRPr="0046431A">
        <w:rPr>
          <w:rFonts w:ascii="Arial Narrow" w:hAnsi="Arial Narrow"/>
          <w:lang w:val="bg-BG" w:eastAsia="bg-BG"/>
        </w:rPr>
        <w:t xml:space="preserve"> и други бактерии от сем. </w:t>
      </w:r>
      <w:r w:rsidRPr="0046431A">
        <w:rPr>
          <w:rFonts w:ascii="Arial Narrow" w:hAnsi="Arial Narrow"/>
          <w:i/>
          <w:lang w:val="bg-BG" w:eastAsia="bg-BG"/>
        </w:rPr>
        <w:t>Enterobacteriaceae</w:t>
      </w:r>
      <w:r w:rsidRPr="0046431A">
        <w:rPr>
          <w:rFonts w:ascii="Arial Narrow" w:hAnsi="Arial Narrow"/>
          <w:lang w:val="bg-BG" w:eastAsia="bg-BG"/>
        </w:rPr>
        <w:t xml:space="preserve">), поради което се вземат проби от фуражи за наличие на микробиологично замърсяване. През 2024 г. са анализирани 153 проби от фуражи за наличие на </w:t>
      </w:r>
      <w:r w:rsidRPr="0046431A">
        <w:rPr>
          <w:rFonts w:ascii="Arial Narrow" w:hAnsi="Arial Narrow"/>
          <w:i/>
          <w:lang w:val="bg-BG" w:eastAsia="bg-BG"/>
        </w:rPr>
        <w:t>Salmonella spp</w:t>
      </w:r>
      <w:r w:rsidRPr="0046431A">
        <w:rPr>
          <w:rFonts w:ascii="Arial Narrow" w:hAnsi="Arial Narrow"/>
          <w:lang w:val="bg-BG" w:eastAsia="bg-BG"/>
        </w:rPr>
        <w:t xml:space="preserve">., в т.ч. 28 проби в изпълнение на Рамков план за контрол на фуражите по контролна система ТСЕ и СЖП, 124 проби от фуражи, предназначени за износ и 1 проба, взета по преценка на инспектора. </w:t>
      </w:r>
    </w:p>
    <w:p w14:paraId="70D5B8BE" w14:textId="77777777" w:rsidR="0046431A" w:rsidRPr="0046431A" w:rsidRDefault="0046431A" w:rsidP="0046431A">
      <w:pPr>
        <w:widowControl w:val="0"/>
        <w:spacing w:after="120"/>
        <w:ind w:firstLine="709"/>
        <w:jc w:val="both"/>
        <w:rPr>
          <w:rFonts w:ascii="Arial Narrow" w:hAnsi="Arial Narrow"/>
          <w:lang w:val="bg-BG" w:eastAsia="bg-BG"/>
        </w:rPr>
      </w:pPr>
      <w:r w:rsidRPr="0046431A">
        <w:rPr>
          <w:rFonts w:ascii="Arial Narrow" w:hAnsi="Arial Narrow"/>
          <w:lang w:val="bg-BG" w:eastAsia="bg-BG"/>
        </w:rPr>
        <w:t xml:space="preserve">През 2024 г. са анализирани 154 проби от фуражи за наличие на ентеробактерии, в т.ч. 27 проби в изпълнение на Рамков план за контрол на фуражите по контролна система ТСЕ и СЖП, 125 проби от фуражи, предназначени за износ и 1 проба, взета от комбиниран фураж – смес от зърна за птици (не съдържа ПЖП), при извършено проучване във връзка с установено съдържание на </w:t>
      </w:r>
      <w:r w:rsidRPr="0046431A">
        <w:rPr>
          <w:rFonts w:ascii="Arial Narrow" w:hAnsi="Arial Narrow"/>
          <w:i/>
          <w:lang w:val="bg-BG" w:eastAsia="bg-BG"/>
        </w:rPr>
        <w:t>Enterobacteriaceae.</w:t>
      </w:r>
      <w:r w:rsidRPr="0046431A">
        <w:rPr>
          <w:rFonts w:ascii="Arial Narrow" w:hAnsi="Arial Narrow"/>
          <w:lang w:val="bg-BG" w:eastAsia="bg-BG"/>
        </w:rPr>
        <w:t xml:space="preserve"> При осъществения лабораторен контрол през годината не са установени положителни резултати за наличие на салмонела и ентеробактерии във фуражи, съдържащи животински протеини.</w:t>
      </w:r>
    </w:p>
    <w:p w14:paraId="521D495C" w14:textId="77777777" w:rsidR="0046431A" w:rsidRPr="0046431A" w:rsidRDefault="0046431A" w:rsidP="0046431A">
      <w:pPr>
        <w:widowControl w:val="0"/>
        <w:spacing w:after="120"/>
        <w:ind w:firstLine="720"/>
        <w:jc w:val="both"/>
        <w:rPr>
          <w:rFonts w:ascii="Arial Narrow" w:hAnsi="Arial Narrow"/>
          <w:b/>
          <w:bCs/>
          <w:i/>
          <w:lang w:val="bg-BG" w:eastAsia="bg-BG"/>
        </w:rPr>
      </w:pPr>
      <w:r w:rsidRPr="0046431A">
        <w:rPr>
          <w:rFonts w:ascii="Arial Narrow" w:hAnsi="Arial Narrow"/>
          <w:b/>
          <w:bCs/>
          <w:i/>
          <w:lang w:val="bg-BG" w:eastAsia="bg-BG"/>
        </w:rPr>
        <w:t>Контрол на фуражи по контролна система „Ветеринарномедицински продукти и остатъци от ветеринарномедицински продукти”</w:t>
      </w:r>
    </w:p>
    <w:p w14:paraId="48941D79" w14:textId="77777777" w:rsidR="0046431A" w:rsidRPr="0046431A" w:rsidRDefault="0046431A" w:rsidP="0046431A">
      <w:pPr>
        <w:widowControl w:val="0"/>
        <w:spacing w:after="120"/>
        <w:ind w:firstLine="709"/>
        <w:jc w:val="both"/>
        <w:rPr>
          <w:rFonts w:ascii="Arial Narrow" w:hAnsi="Arial Narrow"/>
          <w:lang w:val="bg-BG" w:eastAsia="bg-BG"/>
        </w:rPr>
      </w:pPr>
      <w:r w:rsidRPr="0046431A">
        <w:rPr>
          <w:rFonts w:ascii="Arial Narrow" w:hAnsi="Arial Narrow"/>
          <w:lang w:val="bg-BG" w:eastAsia="bg-BG"/>
        </w:rPr>
        <w:t xml:space="preserve">Към 31.12.2024 г. са одобрени 9 обекта за производство на медикаментозни фуражи и/или междинни продукти по чл. 55 в, ал. 1 от Закона за фуражите. </w:t>
      </w:r>
    </w:p>
    <w:p w14:paraId="753B76A2" w14:textId="77777777" w:rsidR="0046431A" w:rsidRPr="0046431A" w:rsidRDefault="0046431A" w:rsidP="0046431A">
      <w:pPr>
        <w:widowControl w:val="0"/>
        <w:spacing w:after="120"/>
        <w:ind w:firstLine="709"/>
        <w:jc w:val="both"/>
        <w:rPr>
          <w:rFonts w:ascii="Arial Narrow" w:hAnsi="Arial Narrow"/>
          <w:color w:val="FF0000"/>
          <w:lang w:val="bg-BG" w:eastAsia="bg-BG" w:bidi="bg-BG"/>
        </w:rPr>
      </w:pPr>
      <w:r w:rsidRPr="0046431A">
        <w:rPr>
          <w:rFonts w:ascii="Arial Narrow" w:hAnsi="Arial Narrow"/>
          <w:lang w:val="bg-BG" w:eastAsia="bg-BG" w:bidi="bg-BG"/>
        </w:rPr>
        <w:t xml:space="preserve">През 2024 г. са извършени общо 18 проверки на одобрени оператори, извършващи дейност „Производство на медикаментозни фуражи” (с 6 броя по-малко спрямо 2023 г.), от които 10 планови, 2 последващи и 3 разследващи. При извършените проверки са дадени 6 предписания на 4 броя оператори, които представляват 44,4% от проверените 9 обекта (при дадени 5 предписания на 3 броя оператори през 2023 г.). </w:t>
      </w:r>
    </w:p>
    <w:p w14:paraId="0543103A" w14:textId="77777777" w:rsidR="0046431A" w:rsidRPr="0046431A" w:rsidRDefault="0046431A" w:rsidP="0046431A">
      <w:pPr>
        <w:widowControl w:val="0"/>
        <w:spacing w:after="120"/>
        <w:ind w:firstLine="720"/>
        <w:jc w:val="both"/>
        <w:rPr>
          <w:rFonts w:ascii="Arial Narrow" w:hAnsi="Arial Narrow"/>
          <w:b/>
          <w:bCs/>
          <w:i/>
          <w:lang w:val="bg-BG" w:eastAsia="bg-BG"/>
        </w:rPr>
      </w:pPr>
      <w:r w:rsidRPr="0046431A">
        <w:rPr>
          <w:rFonts w:ascii="Arial Narrow" w:hAnsi="Arial Narrow"/>
          <w:b/>
          <w:bCs/>
          <w:i/>
          <w:lang w:val="bg-BG" w:eastAsia="bg-BG"/>
        </w:rPr>
        <w:t>Одити на оператори от фуражния сектор</w:t>
      </w:r>
    </w:p>
    <w:p w14:paraId="78D23FC8" w14:textId="77777777" w:rsidR="0046431A" w:rsidRPr="0046431A" w:rsidRDefault="0046431A" w:rsidP="0046431A">
      <w:pPr>
        <w:spacing w:after="120"/>
        <w:ind w:firstLine="709"/>
        <w:jc w:val="both"/>
        <w:rPr>
          <w:rFonts w:ascii="Arial Narrow" w:hAnsi="Arial Narrow"/>
          <w:lang w:val="bg-BG" w:eastAsia="bg-BG"/>
        </w:rPr>
      </w:pPr>
      <w:r w:rsidRPr="0046431A">
        <w:rPr>
          <w:rFonts w:ascii="Arial Narrow" w:hAnsi="Arial Narrow"/>
          <w:lang w:val="bg-BG" w:eastAsia="bg-BG"/>
        </w:rPr>
        <w:t xml:space="preserve">Съгласно изискванията на чл. 6 и чл. 7 от Регламент (ЕО) № 183/2005 и във връзка с чл. 26, ал. 2 от Закона за фуражите, операторите във фуражния сектор, които извършват дейности, различни от тези на ниво първично производство на фуражи, са задължени да имат разработени и въведени процедури, основани на принципите на НАССР (Процедура за анализ на опасностите и контрол на критичните точки). </w:t>
      </w:r>
    </w:p>
    <w:p w14:paraId="34E5DD22" w14:textId="77777777" w:rsidR="0046431A" w:rsidRPr="0046431A" w:rsidRDefault="0046431A" w:rsidP="0046431A">
      <w:pPr>
        <w:spacing w:after="120"/>
        <w:ind w:firstLine="709"/>
        <w:jc w:val="both"/>
        <w:rPr>
          <w:rFonts w:ascii="Arial Narrow" w:hAnsi="Arial Narrow"/>
          <w:lang w:val="bg-BG" w:eastAsia="bg-BG"/>
        </w:rPr>
      </w:pPr>
      <w:r w:rsidRPr="0046431A">
        <w:rPr>
          <w:rFonts w:ascii="Arial Narrow" w:hAnsi="Arial Narrow"/>
          <w:lang w:val="bg-BG" w:eastAsia="bg-BG"/>
        </w:rPr>
        <w:lastRenderedPageBreak/>
        <w:t xml:space="preserve">През 2024 г. са извършени 213 одита на оператори от фуражния сектор и 14 последващи проверки за изпълнение на препоръки от одити (при 263 одита и 30 последващи проверки през 2023 г.). </w:t>
      </w:r>
    </w:p>
    <w:p w14:paraId="71613664" w14:textId="77777777" w:rsidR="0046431A" w:rsidRPr="0046431A" w:rsidRDefault="0046431A" w:rsidP="0046431A">
      <w:pPr>
        <w:spacing w:after="120"/>
        <w:ind w:firstLine="709"/>
        <w:jc w:val="both"/>
        <w:rPr>
          <w:rFonts w:ascii="Arial Narrow" w:hAnsi="Arial Narrow"/>
          <w:lang w:val="bg-BG" w:eastAsia="bg-BG"/>
        </w:rPr>
      </w:pPr>
      <w:r w:rsidRPr="0046431A">
        <w:rPr>
          <w:rFonts w:ascii="Arial Narrow" w:hAnsi="Arial Narrow"/>
          <w:lang w:val="bg-BG" w:eastAsia="bg-BG"/>
        </w:rPr>
        <w:t>Може да се направи заключение, че операторите са разработили, въвели и прилагат съответните процедури, с което са изпълнени изискванията на чл. 6 и чл. 7 на Регламент (ЕО) № 183/2005. При някои оператори е установено, че процедурите, основани на принципите на НАССР, не са актуални към момента на извършвания одит. За всички установени несъответствия са дадени препоръки, по които операторите са предприели корективни действия. Същите са проверени за изпълнението им и са закрити.</w:t>
      </w:r>
    </w:p>
    <w:p w14:paraId="3970A0C0" w14:textId="77777777" w:rsidR="0046431A" w:rsidRPr="0046431A" w:rsidRDefault="0046431A" w:rsidP="0046431A">
      <w:pPr>
        <w:spacing w:after="120"/>
        <w:ind w:firstLine="709"/>
        <w:jc w:val="both"/>
        <w:rPr>
          <w:rFonts w:ascii="Arial Narrow" w:hAnsi="Arial Narrow"/>
          <w:lang w:val="bg-BG" w:eastAsia="bg-BG"/>
        </w:rPr>
      </w:pPr>
      <w:r w:rsidRPr="0046431A">
        <w:rPr>
          <w:rFonts w:ascii="Arial Narrow" w:hAnsi="Arial Narrow"/>
          <w:lang w:val="bg-BG" w:eastAsia="bg-BG"/>
        </w:rPr>
        <w:t xml:space="preserve">През 2024 г. са съставени 24 акта за установено административно нарушение – с 6 броя по-малко в сравнение с 2023 г. Най-често срещаните нарушения от страна на операторите в сектор „Фуражи“ са неспазване на нормите на чл. 6, ал. 1, чл. 7, ал. 1, чл. 15, ал. 1 и чл. 24 от Закона за фуражите. Анализът показва, че налаганите наказания имат ефект по отношение спазването на изискванията на законодателството за фуражите от страна на операторите в сектора. </w:t>
      </w:r>
    </w:p>
    <w:p w14:paraId="30D3BA7F" w14:textId="77777777" w:rsidR="0046431A" w:rsidRPr="0046431A" w:rsidRDefault="0046431A" w:rsidP="0046431A">
      <w:pPr>
        <w:keepNext/>
        <w:spacing w:after="120"/>
        <w:ind w:firstLine="709"/>
        <w:jc w:val="both"/>
        <w:rPr>
          <w:rFonts w:ascii="Arial Narrow" w:hAnsi="Arial Narrow"/>
          <w:b/>
          <w:lang w:val="bg-BG" w:eastAsia="bg-BG"/>
        </w:rPr>
      </w:pPr>
      <w:r w:rsidRPr="0046431A">
        <w:rPr>
          <w:rFonts w:ascii="Arial Narrow" w:hAnsi="Arial Narrow"/>
          <w:b/>
          <w:lang w:val="bg-BG" w:eastAsia="bg-BG"/>
        </w:rPr>
        <w:t>Контрол на страничните животински продукти</w:t>
      </w:r>
    </w:p>
    <w:p w14:paraId="45A65E52" w14:textId="77777777" w:rsidR="0046431A" w:rsidRPr="0046431A" w:rsidRDefault="0046431A" w:rsidP="0046431A">
      <w:pPr>
        <w:spacing w:after="120"/>
        <w:ind w:firstLine="709"/>
        <w:jc w:val="both"/>
        <w:rPr>
          <w:rFonts w:ascii="Arial Narrow" w:hAnsi="Arial Narrow"/>
          <w:lang w:val="bg-BG" w:eastAsia="bg-BG"/>
        </w:rPr>
      </w:pPr>
      <w:r w:rsidRPr="0046431A">
        <w:rPr>
          <w:rFonts w:ascii="Arial Narrow" w:hAnsi="Arial Narrow"/>
          <w:lang w:val="bg-BG" w:eastAsia="bg-BG"/>
        </w:rPr>
        <w:t xml:space="preserve">Правилното боравене със страничните животински продукти (СЖП) и производните им продукти съгласно изискванията на европейското и националното законодателство гарантира опазване на здравето на хората и животните и опазването на околната среда. В резултат на дейностите в животновъдството се отделят странични животински продукти, които впоследствие се насочват за унищожаване или се преработват/обработват за целите на използването им за хранителни цели (производство на фуражи), като органични торове за растениевъдството или технически цели. </w:t>
      </w:r>
    </w:p>
    <w:p w14:paraId="1A7D54DF" w14:textId="77777777" w:rsidR="0046431A" w:rsidRPr="0046431A" w:rsidRDefault="0046431A" w:rsidP="0046431A">
      <w:pPr>
        <w:spacing w:after="120"/>
        <w:ind w:firstLine="709"/>
        <w:jc w:val="both"/>
        <w:rPr>
          <w:rFonts w:ascii="Arial Narrow" w:hAnsi="Arial Narrow"/>
          <w:lang w:val="bg-BG" w:eastAsia="bg-BG"/>
        </w:rPr>
      </w:pPr>
      <w:r w:rsidRPr="0046431A">
        <w:rPr>
          <w:rFonts w:ascii="Arial Narrow" w:hAnsi="Arial Narrow"/>
          <w:lang w:val="bg-BG" w:eastAsia="bg-BG"/>
        </w:rPr>
        <w:t xml:space="preserve">БАБХ методически ръководи, координира и контролира извършването от областните дирекции по безопасност на храните (ОДБХ) на контрола в областта на страничните животински продукти. </w:t>
      </w:r>
    </w:p>
    <w:p w14:paraId="552DA3C3" w14:textId="77777777" w:rsidR="0046431A" w:rsidRPr="0046431A" w:rsidRDefault="0046431A" w:rsidP="0046431A">
      <w:pPr>
        <w:spacing w:after="120"/>
        <w:ind w:firstLine="709"/>
        <w:jc w:val="both"/>
        <w:rPr>
          <w:rFonts w:ascii="Arial Narrow" w:hAnsi="Arial Narrow"/>
          <w:lang w:val="bg-BG" w:eastAsia="bg-BG"/>
        </w:rPr>
      </w:pPr>
      <w:r w:rsidRPr="0046431A">
        <w:rPr>
          <w:rFonts w:ascii="Arial Narrow" w:hAnsi="Arial Narrow"/>
          <w:lang w:val="bg-BG" w:eastAsia="bg-BG"/>
        </w:rPr>
        <w:t xml:space="preserve">През 2024 г. са изпълнявани стратегическите цели, заложени в Многогодишния национален план </w:t>
      </w:r>
      <w:r w:rsidR="00FB4CE2">
        <w:rPr>
          <w:rFonts w:ascii="Arial Narrow" w:hAnsi="Arial Narrow"/>
          <w:lang w:val="bg-BG" w:eastAsia="bg-BG"/>
        </w:rPr>
        <w:t xml:space="preserve">за конрол </w:t>
      </w:r>
      <w:r w:rsidRPr="0046431A">
        <w:rPr>
          <w:rFonts w:ascii="Arial Narrow" w:hAnsi="Arial Narrow"/>
          <w:lang w:val="bg-BG" w:eastAsia="bg-BG"/>
        </w:rPr>
        <w:t>на Република България (2024 г. - 2026 г.) (</w:t>
      </w:r>
      <w:r w:rsidR="00FB4CE2">
        <w:rPr>
          <w:rFonts w:ascii="Arial Narrow" w:hAnsi="Arial Narrow"/>
          <w:lang w:val="bg-BG" w:eastAsia="bg-BG"/>
        </w:rPr>
        <w:t>МНПК</w:t>
      </w:r>
      <w:r w:rsidRPr="0046431A">
        <w:rPr>
          <w:rFonts w:ascii="Arial Narrow" w:hAnsi="Arial Narrow"/>
          <w:lang w:val="bg-BG" w:eastAsia="bg-BG"/>
        </w:rPr>
        <w:t xml:space="preserve">). През годината е извършван регулярен, основан на оценка на риска контрол на всеки един от етапите на производство, преработка, съхранение, транспортиране, употреба, пускане на пазара и разпространение. </w:t>
      </w:r>
    </w:p>
    <w:p w14:paraId="52F044E2" w14:textId="77777777" w:rsidR="0046431A" w:rsidRPr="0046431A" w:rsidRDefault="0046431A" w:rsidP="0046431A">
      <w:pPr>
        <w:spacing w:after="120"/>
        <w:ind w:firstLine="709"/>
        <w:jc w:val="both"/>
        <w:rPr>
          <w:rFonts w:ascii="Arial Narrow" w:hAnsi="Arial Narrow"/>
          <w:lang w:val="bg-BG" w:eastAsia="bg-BG"/>
        </w:rPr>
      </w:pPr>
      <w:r w:rsidRPr="0046431A">
        <w:rPr>
          <w:rFonts w:ascii="Arial Narrow" w:hAnsi="Arial Narrow"/>
          <w:lang w:val="bg-BG" w:eastAsia="bg-BG"/>
        </w:rPr>
        <w:t>Контролът на СЖП и производните продукти през 2024 г. следва следните приоритети:</w:t>
      </w:r>
    </w:p>
    <w:p w14:paraId="668F7228" w14:textId="77777777" w:rsidR="0046431A" w:rsidRPr="0046431A" w:rsidRDefault="0046431A" w:rsidP="009C6577">
      <w:pPr>
        <w:numPr>
          <w:ilvl w:val="0"/>
          <w:numId w:val="37"/>
        </w:numPr>
        <w:overflowPunct w:val="0"/>
        <w:autoSpaceDE w:val="0"/>
        <w:autoSpaceDN w:val="0"/>
        <w:adjustRightInd w:val="0"/>
        <w:spacing w:after="120" w:line="276" w:lineRule="auto"/>
        <w:ind w:left="714" w:hanging="357"/>
        <w:jc w:val="both"/>
        <w:rPr>
          <w:rFonts w:ascii="Arial Narrow" w:eastAsia="Calibri" w:hAnsi="Arial Narrow"/>
          <w:lang w:val="bg-BG"/>
        </w:rPr>
      </w:pPr>
      <w:r w:rsidRPr="0046431A">
        <w:rPr>
          <w:rFonts w:ascii="Arial Narrow" w:eastAsia="Calibri" w:hAnsi="Arial Narrow"/>
          <w:lang w:val="bg-BG"/>
        </w:rPr>
        <w:t>Постигане висока степен на защита на здравето на хората, здравето на животните и околната среда посредством провеждане на ефективен контрол на всички етапи от производство, преработка, съхранение, внос, транспортиране, разпространение чрез прилагането и изпълнението на европейското право и националното законодателство относно СЖП и производни продукти;</w:t>
      </w:r>
    </w:p>
    <w:p w14:paraId="281B637E" w14:textId="77777777" w:rsidR="0046431A" w:rsidRPr="0046431A" w:rsidRDefault="0046431A" w:rsidP="009C6577">
      <w:pPr>
        <w:numPr>
          <w:ilvl w:val="0"/>
          <w:numId w:val="37"/>
        </w:numPr>
        <w:overflowPunct w:val="0"/>
        <w:autoSpaceDE w:val="0"/>
        <w:autoSpaceDN w:val="0"/>
        <w:adjustRightInd w:val="0"/>
        <w:spacing w:after="120" w:line="276" w:lineRule="auto"/>
        <w:ind w:left="714" w:hanging="357"/>
        <w:jc w:val="both"/>
        <w:rPr>
          <w:rFonts w:ascii="Arial Narrow" w:eastAsia="Calibri" w:hAnsi="Arial Narrow"/>
          <w:lang w:val="bg-BG"/>
        </w:rPr>
      </w:pPr>
      <w:r w:rsidRPr="0046431A">
        <w:rPr>
          <w:rFonts w:ascii="Arial Narrow" w:eastAsia="Calibri" w:hAnsi="Arial Narrow"/>
          <w:lang w:val="bg-BG"/>
        </w:rPr>
        <w:t>Осигуряване на ефективно изпълнение на европейското и националното законодателство по агрохранителната верига и в частност на Регламент (ЕО) № 2017/625 и приложимото специално законодателство;</w:t>
      </w:r>
    </w:p>
    <w:p w14:paraId="3DC48F06" w14:textId="77777777" w:rsidR="0046431A" w:rsidRPr="0046431A" w:rsidRDefault="0046431A" w:rsidP="009C6577">
      <w:pPr>
        <w:numPr>
          <w:ilvl w:val="0"/>
          <w:numId w:val="37"/>
        </w:numPr>
        <w:overflowPunct w:val="0"/>
        <w:autoSpaceDE w:val="0"/>
        <w:autoSpaceDN w:val="0"/>
        <w:adjustRightInd w:val="0"/>
        <w:spacing w:after="120" w:line="276" w:lineRule="auto"/>
        <w:ind w:left="714" w:hanging="357"/>
        <w:jc w:val="both"/>
        <w:rPr>
          <w:rFonts w:ascii="Arial Narrow" w:eastAsia="Calibri" w:hAnsi="Arial Narrow"/>
          <w:lang w:val="bg-BG"/>
        </w:rPr>
      </w:pPr>
      <w:r w:rsidRPr="0046431A">
        <w:rPr>
          <w:rFonts w:ascii="Arial Narrow" w:eastAsia="Calibri" w:hAnsi="Arial Narrow"/>
          <w:lang w:val="bg-BG"/>
        </w:rPr>
        <w:t>Осигуряване на ефективна система на официален контрол и наблюдение върху изпълнението на правилата за безопасност.</w:t>
      </w:r>
    </w:p>
    <w:p w14:paraId="38AFA023" w14:textId="77777777" w:rsidR="0046431A" w:rsidRPr="0046431A" w:rsidRDefault="0046431A" w:rsidP="0046431A">
      <w:pPr>
        <w:spacing w:after="120"/>
        <w:ind w:firstLine="709"/>
        <w:jc w:val="both"/>
        <w:rPr>
          <w:rFonts w:ascii="Arial Narrow" w:hAnsi="Arial Narrow"/>
          <w:lang w:val="bg-BG" w:eastAsia="bg-BG"/>
        </w:rPr>
      </w:pPr>
      <w:r w:rsidRPr="0046431A">
        <w:rPr>
          <w:rFonts w:ascii="Arial Narrow" w:hAnsi="Arial Narrow"/>
          <w:lang w:val="bg-BG" w:eastAsia="bg-BG"/>
        </w:rPr>
        <w:t>Съгласно изискванията на Закона за ветеринарномедицинската дейност и във връзка с Регламент (ЕО) № 1069/2009 за страничните животински продукти, дейностите със СЖП и производни продукти се извършват от оператори и в обекти и предприятия, които са регистрирани от БАБХ.</w:t>
      </w:r>
    </w:p>
    <w:p w14:paraId="449F3914" w14:textId="77777777" w:rsidR="0046431A" w:rsidRPr="0046431A" w:rsidRDefault="0046431A" w:rsidP="0046431A">
      <w:pPr>
        <w:spacing w:after="120"/>
        <w:ind w:firstLine="709"/>
        <w:jc w:val="both"/>
        <w:rPr>
          <w:rFonts w:ascii="Arial Narrow" w:hAnsi="Arial Narrow"/>
          <w:lang w:val="bg-BG" w:eastAsia="bg-BG"/>
        </w:rPr>
      </w:pPr>
      <w:r w:rsidRPr="0046431A">
        <w:rPr>
          <w:rFonts w:ascii="Arial Narrow" w:hAnsi="Arial Narrow"/>
          <w:lang w:val="bg-BG" w:eastAsia="bg-BG"/>
        </w:rPr>
        <w:t>Към 31 декември 2024 г. общият брой на регистрираните обекти/оператори на територията на страната е 709 (с 26,6% повече спрямо 2023 г.), които са разпределени по дейности, както следва:</w:t>
      </w:r>
    </w:p>
    <w:p w14:paraId="2B5D905B" w14:textId="77777777" w:rsidR="0046431A" w:rsidRPr="0046431A" w:rsidRDefault="0046431A" w:rsidP="0046431A">
      <w:pPr>
        <w:tabs>
          <w:tab w:val="left" w:pos="851"/>
        </w:tabs>
        <w:overflowPunct w:val="0"/>
        <w:autoSpaceDE w:val="0"/>
        <w:autoSpaceDN w:val="0"/>
        <w:adjustRightInd w:val="0"/>
        <w:spacing w:after="120"/>
        <w:rPr>
          <w:rFonts w:ascii="Arial Narrow" w:hAnsi="Arial Narrow"/>
          <w:b/>
          <w:lang w:val="bg-BG" w:eastAsia="bg-BG"/>
        </w:rPr>
      </w:pPr>
      <w:r w:rsidRPr="0046431A">
        <w:rPr>
          <w:rFonts w:ascii="Arial Narrow" w:hAnsi="Arial Narrow"/>
          <w:b/>
          <w:bCs/>
          <w:lang w:val="bg-BG" w:eastAsia="bg-BG"/>
        </w:rPr>
        <w:t>Таблица V.1</w:t>
      </w:r>
      <w:r w:rsidR="00F214AB">
        <w:rPr>
          <w:rFonts w:ascii="Arial Narrow" w:hAnsi="Arial Narrow"/>
          <w:b/>
          <w:bCs/>
          <w:lang w:eastAsia="bg-BG"/>
        </w:rPr>
        <w:t>6</w:t>
      </w:r>
      <w:r w:rsidRPr="0046431A">
        <w:rPr>
          <w:rFonts w:ascii="Arial Narrow" w:hAnsi="Arial Narrow"/>
          <w:b/>
          <w:bCs/>
          <w:lang w:val="bg-BG" w:eastAsia="bg-BG"/>
        </w:rPr>
        <w:t xml:space="preserve">. </w:t>
      </w:r>
      <w:r w:rsidRPr="0046431A">
        <w:rPr>
          <w:rFonts w:ascii="Arial Narrow" w:hAnsi="Arial Narrow"/>
          <w:b/>
          <w:lang w:val="bg-BG" w:eastAsia="bg-BG"/>
        </w:rPr>
        <w:t>Брой активни оператори, обекти и предприятия, боравещи със СЖП и производни продукти към 31.12.2024 г.</w:t>
      </w:r>
    </w:p>
    <w:tbl>
      <w:tblPr>
        <w:tblW w:w="4986" w:type="pct"/>
        <w:tblInd w:w="70" w:type="dxa"/>
        <w:tblLayout w:type="fixed"/>
        <w:tblCellMar>
          <w:left w:w="70" w:type="dxa"/>
          <w:right w:w="70" w:type="dxa"/>
        </w:tblCellMar>
        <w:tblLook w:val="04A0" w:firstRow="1" w:lastRow="0" w:firstColumn="1" w:lastColumn="0" w:noHBand="0" w:noVBand="1"/>
      </w:tblPr>
      <w:tblGrid>
        <w:gridCol w:w="732"/>
        <w:gridCol w:w="6540"/>
        <w:gridCol w:w="842"/>
        <w:gridCol w:w="844"/>
        <w:gridCol w:w="815"/>
      </w:tblGrid>
      <w:tr w:rsidR="0046431A" w:rsidRPr="0046431A" w14:paraId="384F8814" w14:textId="77777777" w:rsidTr="00C96DE5">
        <w:trPr>
          <w:trHeight w:val="620"/>
          <w:tblHeader/>
        </w:trPr>
        <w:tc>
          <w:tcPr>
            <w:tcW w:w="374"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F77AF9A" w14:textId="77777777" w:rsidR="0046431A" w:rsidRPr="0046431A" w:rsidRDefault="0046431A" w:rsidP="0046431A">
            <w:pPr>
              <w:jc w:val="center"/>
              <w:rPr>
                <w:rFonts w:ascii="Arial Narrow" w:hAnsi="Arial Narrow" w:cs="Calibri"/>
                <w:b/>
                <w:bCs/>
                <w:sz w:val="20"/>
                <w:szCs w:val="20"/>
                <w:lang w:val="bg-BG" w:eastAsia="bg-BG"/>
              </w:rPr>
            </w:pPr>
            <w:r w:rsidRPr="0046431A">
              <w:rPr>
                <w:rFonts w:ascii="Arial Narrow" w:hAnsi="Arial Narrow" w:cs="Calibri"/>
                <w:b/>
                <w:bCs/>
                <w:sz w:val="20"/>
                <w:szCs w:val="20"/>
                <w:lang w:val="bg-BG" w:eastAsia="bg-BG"/>
              </w:rPr>
              <w:lastRenderedPageBreak/>
              <w:t>Секция</w:t>
            </w:r>
          </w:p>
        </w:tc>
        <w:tc>
          <w:tcPr>
            <w:tcW w:w="3346" w:type="pct"/>
            <w:tcBorders>
              <w:top w:val="single" w:sz="4" w:space="0" w:color="auto"/>
              <w:left w:val="nil"/>
              <w:bottom w:val="single" w:sz="4" w:space="0" w:color="auto"/>
              <w:right w:val="single" w:sz="4" w:space="0" w:color="auto"/>
            </w:tcBorders>
            <w:shd w:val="clear" w:color="000000" w:fill="FFFFFF"/>
            <w:vAlign w:val="center"/>
            <w:hideMark/>
          </w:tcPr>
          <w:p w14:paraId="6D9877CA" w14:textId="77777777" w:rsidR="0046431A" w:rsidRPr="0046431A" w:rsidRDefault="0046431A" w:rsidP="0046431A">
            <w:pPr>
              <w:jc w:val="center"/>
              <w:rPr>
                <w:rFonts w:ascii="Arial Narrow" w:hAnsi="Arial Narrow" w:cs="Calibri"/>
                <w:b/>
                <w:bCs/>
                <w:sz w:val="20"/>
                <w:szCs w:val="20"/>
                <w:lang w:val="bg-BG" w:eastAsia="bg-BG"/>
              </w:rPr>
            </w:pPr>
            <w:r w:rsidRPr="0046431A">
              <w:rPr>
                <w:rFonts w:ascii="Arial Narrow" w:hAnsi="Arial Narrow" w:cs="Calibri"/>
                <w:b/>
                <w:bCs/>
                <w:sz w:val="20"/>
                <w:szCs w:val="20"/>
                <w:lang w:val="bg-BG" w:eastAsia="bg-BG"/>
              </w:rPr>
              <w:t xml:space="preserve">Активни оператори, обекти и предприятия, боравещи със СЖП и производни продукти </w:t>
            </w:r>
          </w:p>
        </w:tc>
        <w:tc>
          <w:tcPr>
            <w:tcW w:w="431" w:type="pct"/>
            <w:tcBorders>
              <w:top w:val="single" w:sz="4" w:space="0" w:color="auto"/>
              <w:left w:val="nil"/>
              <w:bottom w:val="single" w:sz="4" w:space="0" w:color="auto"/>
              <w:right w:val="single" w:sz="4" w:space="0" w:color="auto"/>
            </w:tcBorders>
            <w:shd w:val="clear" w:color="000000" w:fill="FFFFFF"/>
            <w:vAlign w:val="center"/>
            <w:hideMark/>
          </w:tcPr>
          <w:p w14:paraId="0D388037" w14:textId="77777777" w:rsidR="0046431A" w:rsidRPr="0046431A" w:rsidRDefault="0046431A" w:rsidP="0046431A">
            <w:pPr>
              <w:jc w:val="center"/>
              <w:rPr>
                <w:rFonts w:ascii="Arial Narrow" w:hAnsi="Arial Narrow" w:cs="Calibri"/>
                <w:b/>
                <w:bCs/>
                <w:sz w:val="20"/>
                <w:szCs w:val="20"/>
                <w:lang w:val="bg-BG" w:eastAsia="bg-BG"/>
              </w:rPr>
            </w:pPr>
            <w:r w:rsidRPr="0046431A">
              <w:rPr>
                <w:rFonts w:ascii="Arial Narrow" w:hAnsi="Arial Narrow" w:cs="Calibri"/>
                <w:b/>
                <w:bCs/>
                <w:sz w:val="20"/>
                <w:szCs w:val="20"/>
                <w:lang w:val="bg-BG" w:eastAsia="bg-BG"/>
              </w:rPr>
              <w:t>2023 г.</w:t>
            </w:r>
          </w:p>
        </w:tc>
        <w:tc>
          <w:tcPr>
            <w:tcW w:w="432" w:type="pct"/>
            <w:tcBorders>
              <w:top w:val="single" w:sz="4" w:space="0" w:color="auto"/>
              <w:left w:val="nil"/>
              <w:bottom w:val="single" w:sz="4" w:space="0" w:color="auto"/>
              <w:right w:val="single" w:sz="4" w:space="0" w:color="auto"/>
            </w:tcBorders>
            <w:shd w:val="clear" w:color="000000" w:fill="FFFFFF"/>
            <w:vAlign w:val="center"/>
            <w:hideMark/>
          </w:tcPr>
          <w:p w14:paraId="4B9B6CF6" w14:textId="77777777" w:rsidR="0046431A" w:rsidRPr="0046431A" w:rsidRDefault="0046431A" w:rsidP="0046431A">
            <w:pPr>
              <w:jc w:val="center"/>
              <w:rPr>
                <w:rFonts w:ascii="Arial Narrow" w:hAnsi="Arial Narrow" w:cs="Calibri"/>
                <w:b/>
                <w:bCs/>
                <w:sz w:val="20"/>
                <w:szCs w:val="20"/>
                <w:lang w:val="bg-BG" w:eastAsia="bg-BG"/>
              </w:rPr>
            </w:pPr>
            <w:r w:rsidRPr="0046431A">
              <w:rPr>
                <w:rFonts w:ascii="Arial Narrow" w:hAnsi="Arial Narrow" w:cs="Calibri"/>
                <w:b/>
                <w:bCs/>
                <w:sz w:val="20"/>
                <w:szCs w:val="20"/>
                <w:lang w:val="bg-BG" w:eastAsia="bg-BG"/>
              </w:rPr>
              <w:t>2024 г.</w:t>
            </w:r>
          </w:p>
        </w:tc>
        <w:tc>
          <w:tcPr>
            <w:tcW w:w="417" w:type="pct"/>
            <w:tcBorders>
              <w:top w:val="single" w:sz="4" w:space="0" w:color="auto"/>
              <w:left w:val="nil"/>
              <w:bottom w:val="single" w:sz="4" w:space="0" w:color="auto"/>
              <w:right w:val="single" w:sz="4" w:space="0" w:color="auto"/>
            </w:tcBorders>
            <w:shd w:val="clear" w:color="000000" w:fill="FFFFFF"/>
            <w:vAlign w:val="center"/>
            <w:hideMark/>
          </w:tcPr>
          <w:p w14:paraId="24AFEEF0" w14:textId="77777777" w:rsidR="0046431A" w:rsidRPr="0046431A" w:rsidRDefault="0046431A" w:rsidP="0046431A">
            <w:pPr>
              <w:jc w:val="center"/>
              <w:rPr>
                <w:rFonts w:ascii="Arial Narrow" w:hAnsi="Arial Narrow" w:cs="Calibri"/>
                <w:b/>
                <w:bCs/>
                <w:sz w:val="20"/>
                <w:szCs w:val="20"/>
                <w:lang w:val="bg-BG" w:eastAsia="bg-BG"/>
              </w:rPr>
            </w:pPr>
            <w:r w:rsidRPr="0046431A">
              <w:rPr>
                <w:rFonts w:ascii="Arial Narrow" w:hAnsi="Arial Narrow" w:cs="Calibri"/>
                <w:b/>
                <w:bCs/>
                <w:sz w:val="20"/>
                <w:szCs w:val="20"/>
                <w:lang w:val="bg-BG" w:eastAsia="bg-BG"/>
              </w:rPr>
              <w:t xml:space="preserve">Изм. </w:t>
            </w:r>
          </w:p>
          <w:p w14:paraId="0C6E314D" w14:textId="77777777" w:rsidR="0046431A" w:rsidRPr="0046431A" w:rsidRDefault="0046431A" w:rsidP="0046431A">
            <w:pPr>
              <w:jc w:val="center"/>
              <w:rPr>
                <w:rFonts w:ascii="Arial Narrow" w:hAnsi="Arial Narrow" w:cs="Calibri"/>
                <w:b/>
                <w:bCs/>
                <w:sz w:val="20"/>
                <w:szCs w:val="20"/>
                <w:lang w:val="bg-BG" w:eastAsia="bg-BG"/>
              </w:rPr>
            </w:pPr>
            <w:r w:rsidRPr="0046431A">
              <w:rPr>
                <w:rFonts w:ascii="Arial Narrow" w:hAnsi="Arial Narrow" w:cs="Calibri"/>
                <w:b/>
                <w:bCs/>
                <w:sz w:val="20"/>
                <w:szCs w:val="20"/>
                <w:lang w:val="bg-BG" w:eastAsia="bg-BG"/>
              </w:rPr>
              <w:t>2024/</w:t>
            </w:r>
          </w:p>
          <w:p w14:paraId="7A660EB7" w14:textId="77777777" w:rsidR="0046431A" w:rsidRPr="0046431A" w:rsidRDefault="0046431A" w:rsidP="0046431A">
            <w:pPr>
              <w:jc w:val="center"/>
              <w:rPr>
                <w:rFonts w:ascii="Arial Narrow" w:hAnsi="Arial Narrow" w:cs="Calibri"/>
                <w:b/>
                <w:bCs/>
                <w:sz w:val="20"/>
                <w:szCs w:val="20"/>
                <w:lang w:val="bg-BG" w:eastAsia="bg-BG"/>
              </w:rPr>
            </w:pPr>
            <w:r w:rsidRPr="0046431A">
              <w:rPr>
                <w:rFonts w:ascii="Arial Narrow" w:hAnsi="Arial Narrow" w:cs="Calibri"/>
                <w:b/>
                <w:bCs/>
                <w:sz w:val="20"/>
                <w:szCs w:val="20"/>
                <w:lang w:val="bg-BG" w:eastAsia="bg-BG"/>
              </w:rPr>
              <w:t xml:space="preserve">2023 </w:t>
            </w:r>
          </w:p>
        </w:tc>
      </w:tr>
      <w:tr w:rsidR="0046431A" w:rsidRPr="0046431A" w14:paraId="04EC495E" w14:textId="77777777" w:rsidTr="00C96DE5">
        <w:trPr>
          <w:trHeight w:val="556"/>
        </w:trPr>
        <w:tc>
          <w:tcPr>
            <w:tcW w:w="374" w:type="pct"/>
            <w:tcBorders>
              <w:top w:val="nil"/>
              <w:left w:val="single" w:sz="4" w:space="0" w:color="auto"/>
              <w:bottom w:val="single" w:sz="4" w:space="0" w:color="auto"/>
              <w:right w:val="single" w:sz="4" w:space="0" w:color="auto"/>
            </w:tcBorders>
            <w:shd w:val="clear" w:color="000000" w:fill="FFFFFF"/>
            <w:vAlign w:val="center"/>
            <w:hideMark/>
          </w:tcPr>
          <w:p w14:paraId="5E243C02" w14:textId="77777777" w:rsidR="0046431A" w:rsidRPr="0046431A" w:rsidRDefault="0046431A" w:rsidP="0046431A">
            <w:pPr>
              <w:jc w:val="center"/>
              <w:rPr>
                <w:rFonts w:ascii="Arial Narrow" w:hAnsi="Arial Narrow" w:cs="Calibri"/>
                <w:b/>
                <w:bCs/>
                <w:sz w:val="20"/>
                <w:szCs w:val="20"/>
                <w:lang w:val="bg-BG" w:eastAsia="bg-BG"/>
              </w:rPr>
            </w:pPr>
            <w:r w:rsidRPr="0046431A">
              <w:rPr>
                <w:rFonts w:ascii="Arial Narrow" w:hAnsi="Arial Narrow" w:cs="Calibri"/>
                <w:b/>
                <w:bCs/>
                <w:sz w:val="20"/>
                <w:szCs w:val="20"/>
                <w:lang w:val="bg-BG" w:eastAsia="bg-BG"/>
              </w:rPr>
              <w:t>I</w:t>
            </w:r>
          </w:p>
        </w:tc>
        <w:tc>
          <w:tcPr>
            <w:tcW w:w="3346" w:type="pct"/>
            <w:tcBorders>
              <w:top w:val="nil"/>
              <w:left w:val="nil"/>
              <w:bottom w:val="single" w:sz="4" w:space="0" w:color="auto"/>
              <w:right w:val="single" w:sz="4" w:space="0" w:color="auto"/>
            </w:tcBorders>
            <w:shd w:val="clear" w:color="000000" w:fill="FFFFFF"/>
            <w:vAlign w:val="center"/>
            <w:hideMark/>
          </w:tcPr>
          <w:p w14:paraId="2F1F0347" w14:textId="77777777" w:rsidR="0046431A" w:rsidRPr="0046431A" w:rsidRDefault="0046431A" w:rsidP="0046431A">
            <w:pPr>
              <w:rPr>
                <w:rFonts w:ascii="Arial Narrow" w:hAnsi="Arial Narrow" w:cs="Calibri"/>
                <w:sz w:val="20"/>
                <w:szCs w:val="20"/>
                <w:lang w:val="bg-BG" w:eastAsia="bg-BG"/>
              </w:rPr>
            </w:pPr>
            <w:r w:rsidRPr="0046431A">
              <w:rPr>
                <w:rFonts w:ascii="Arial Narrow" w:hAnsi="Arial Narrow" w:cs="Calibri"/>
                <w:sz w:val="20"/>
                <w:szCs w:val="20"/>
                <w:lang w:val="bg-BG" w:eastAsia="bg-BG"/>
              </w:rPr>
              <w:t>Обекти или предприятия, боравещи със СЖП с цел междинни дейности след тяхното събиране и предприятия, съхраняващи СЖП</w:t>
            </w:r>
          </w:p>
        </w:tc>
        <w:tc>
          <w:tcPr>
            <w:tcW w:w="431" w:type="pct"/>
            <w:tcBorders>
              <w:top w:val="nil"/>
              <w:left w:val="nil"/>
              <w:bottom w:val="single" w:sz="4" w:space="0" w:color="auto"/>
              <w:right w:val="single" w:sz="4" w:space="0" w:color="auto"/>
            </w:tcBorders>
            <w:shd w:val="clear" w:color="000000" w:fill="FFFFFF"/>
            <w:noWrap/>
            <w:vAlign w:val="center"/>
            <w:hideMark/>
          </w:tcPr>
          <w:p w14:paraId="53CD7982" w14:textId="77777777" w:rsidR="0046431A" w:rsidRPr="0046431A" w:rsidRDefault="0046431A" w:rsidP="0046431A">
            <w:pPr>
              <w:jc w:val="right"/>
              <w:rPr>
                <w:rFonts w:ascii="Arial Narrow" w:hAnsi="Arial Narrow" w:cs="Calibri"/>
                <w:sz w:val="20"/>
                <w:szCs w:val="20"/>
                <w:lang w:val="bg-BG" w:eastAsia="bg-BG"/>
              </w:rPr>
            </w:pPr>
            <w:r w:rsidRPr="0046431A">
              <w:rPr>
                <w:rFonts w:ascii="Arial Narrow" w:hAnsi="Arial Narrow" w:cs="Calibri"/>
                <w:sz w:val="20"/>
                <w:szCs w:val="20"/>
                <w:lang w:val="bg-BG" w:eastAsia="bg-BG"/>
              </w:rPr>
              <w:t>227</w:t>
            </w:r>
          </w:p>
        </w:tc>
        <w:tc>
          <w:tcPr>
            <w:tcW w:w="432" w:type="pct"/>
            <w:tcBorders>
              <w:top w:val="single" w:sz="4" w:space="0" w:color="auto"/>
              <w:bottom w:val="single" w:sz="4" w:space="0" w:color="auto"/>
              <w:right w:val="single" w:sz="4" w:space="0" w:color="auto"/>
            </w:tcBorders>
            <w:shd w:val="clear" w:color="auto" w:fill="auto"/>
            <w:noWrap/>
            <w:vAlign w:val="center"/>
          </w:tcPr>
          <w:p w14:paraId="0CBB4B58" w14:textId="77777777" w:rsidR="0046431A" w:rsidRPr="0046431A" w:rsidRDefault="0046431A" w:rsidP="0046431A">
            <w:pPr>
              <w:jc w:val="right"/>
              <w:rPr>
                <w:rFonts w:ascii="Arial Narrow" w:hAnsi="Arial Narrow" w:cs="Calibri"/>
                <w:sz w:val="20"/>
                <w:szCs w:val="20"/>
                <w:lang w:val="bg-BG" w:eastAsia="bg-BG"/>
              </w:rPr>
            </w:pPr>
            <w:r w:rsidRPr="0046431A">
              <w:rPr>
                <w:rFonts w:ascii="Arial Narrow" w:hAnsi="Arial Narrow" w:cs="Calibri"/>
                <w:sz w:val="20"/>
                <w:szCs w:val="20"/>
                <w:lang w:val="bg-BG" w:eastAsia="bg-BG"/>
              </w:rPr>
              <w:t>269</w:t>
            </w:r>
          </w:p>
        </w:tc>
        <w:tc>
          <w:tcPr>
            <w:tcW w:w="41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8461DA7" w14:textId="77777777" w:rsidR="0046431A" w:rsidRPr="0046431A" w:rsidRDefault="0046431A" w:rsidP="0046431A">
            <w:pPr>
              <w:jc w:val="right"/>
              <w:rPr>
                <w:rFonts w:ascii="Arial Narrow" w:hAnsi="Arial Narrow" w:cs="Calibri"/>
                <w:sz w:val="20"/>
                <w:szCs w:val="20"/>
                <w:lang w:val="bg-BG" w:eastAsia="bg-BG"/>
              </w:rPr>
            </w:pPr>
            <w:r w:rsidRPr="0046431A">
              <w:rPr>
                <w:rFonts w:ascii="Arial Narrow" w:hAnsi="Arial Narrow" w:cs="Calibri"/>
                <w:sz w:val="20"/>
                <w:szCs w:val="20"/>
                <w:lang w:val="bg-BG" w:eastAsia="bg-BG"/>
              </w:rPr>
              <w:t>18,5%</w:t>
            </w:r>
          </w:p>
        </w:tc>
      </w:tr>
      <w:tr w:rsidR="0046431A" w:rsidRPr="0046431A" w14:paraId="6366F3AD" w14:textId="77777777" w:rsidTr="00C96DE5">
        <w:trPr>
          <w:trHeight w:val="327"/>
        </w:trPr>
        <w:tc>
          <w:tcPr>
            <w:tcW w:w="374" w:type="pct"/>
            <w:tcBorders>
              <w:top w:val="nil"/>
              <w:left w:val="single" w:sz="4" w:space="0" w:color="auto"/>
              <w:bottom w:val="single" w:sz="4" w:space="0" w:color="auto"/>
              <w:right w:val="single" w:sz="4" w:space="0" w:color="auto"/>
            </w:tcBorders>
            <w:shd w:val="clear" w:color="000000" w:fill="FFFFFF"/>
            <w:vAlign w:val="center"/>
            <w:hideMark/>
          </w:tcPr>
          <w:p w14:paraId="77C74960" w14:textId="77777777" w:rsidR="0046431A" w:rsidRPr="0046431A" w:rsidRDefault="0046431A" w:rsidP="0046431A">
            <w:pPr>
              <w:jc w:val="center"/>
              <w:rPr>
                <w:rFonts w:ascii="Arial Narrow" w:hAnsi="Arial Narrow" w:cs="Calibri"/>
                <w:b/>
                <w:bCs/>
                <w:sz w:val="20"/>
                <w:szCs w:val="20"/>
                <w:lang w:val="bg-BG" w:eastAsia="bg-BG"/>
              </w:rPr>
            </w:pPr>
            <w:r w:rsidRPr="0046431A">
              <w:rPr>
                <w:rFonts w:ascii="Arial Narrow" w:hAnsi="Arial Narrow" w:cs="Calibri"/>
                <w:b/>
                <w:bCs/>
                <w:sz w:val="20"/>
                <w:szCs w:val="20"/>
                <w:lang w:val="bg-BG" w:eastAsia="bg-BG"/>
              </w:rPr>
              <w:t>II</w:t>
            </w:r>
          </w:p>
        </w:tc>
        <w:tc>
          <w:tcPr>
            <w:tcW w:w="3346" w:type="pct"/>
            <w:tcBorders>
              <w:top w:val="nil"/>
              <w:left w:val="nil"/>
              <w:bottom w:val="single" w:sz="4" w:space="0" w:color="auto"/>
              <w:right w:val="single" w:sz="4" w:space="0" w:color="auto"/>
            </w:tcBorders>
            <w:shd w:val="clear" w:color="000000" w:fill="FFFFFF"/>
            <w:vAlign w:val="center"/>
            <w:hideMark/>
          </w:tcPr>
          <w:p w14:paraId="3356EADA" w14:textId="77777777" w:rsidR="0046431A" w:rsidRPr="0046431A" w:rsidRDefault="0046431A" w:rsidP="0046431A">
            <w:pPr>
              <w:rPr>
                <w:rFonts w:ascii="Arial Narrow" w:hAnsi="Arial Narrow" w:cs="Calibri"/>
                <w:sz w:val="20"/>
                <w:szCs w:val="20"/>
                <w:lang w:val="bg-BG" w:eastAsia="bg-BG"/>
              </w:rPr>
            </w:pPr>
            <w:r w:rsidRPr="0046431A">
              <w:rPr>
                <w:rFonts w:ascii="Arial Narrow" w:hAnsi="Arial Narrow" w:cs="Calibri"/>
                <w:sz w:val="20"/>
                <w:szCs w:val="20"/>
                <w:lang w:val="bg-BG" w:eastAsia="bg-BG"/>
              </w:rPr>
              <w:t>Обекти или предприятия за съхранение на производни продукти, получени от СЖП</w:t>
            </w:r>
          </w:p>
        </w:tc>
        <w:tc>
          <w:tcPr>
            <w:tcW w:w="431" w:type="pct"/>
            <w:tcBorders>
              <w:top w:val="nil"/>
              <w:left w:val="nil"/>
              <w:bottom w:val="single" w:sz="4" w:space="0" w:color="auto"/>
              <w:right w:val="single" w:sz="4" w:space="0" w:color="auto"/>
            </w:tcBorders>
            <w:shd w:val="clear" w:color="000000" w:fill="FFFFFF"/>
            <w:noWrap/>
            <w:vAlign w:val="center"/>
            <w:hideMark/>
          </w:tcPr>
          <w:p w14:paraId="287C7427" w14:textId="77777777" w:rsidR="0046431A" w:rsidRPr="0046431A" w:rsidRDefault="0046431A" w:rsidP="0046431A">
            <w:pPr>
              <w:jc w:val="right"/>
              <w:rPr>
                <w:rFonts w:ascii="Arial Narrow" w:hAnsi="Arial Narrow" w:cs="Calibri"/>
                <w:sz w:val="20"/>
                <w:szCs w:val="20"/>
                <w:lang w:val="bg-BG" w:eastAsia="bg-BG"/>
              </w:rPr>
            </w:pPr>
            <w:r w:rsidRPr="0046431A">
              <w:rPr>
                <w:rFonts w:ascii="Arial Narrow" w:hAnsi="Arial Narrow" w:cs="Calibri"/>
                <w:sz w:val="20"/>
                <w:szCs w:val="20"/>
                <w:lang w:val="bg-BG" w:eastAsia="bg-BG"/>
              </w:rPr>
              <w:t>81</w:t>
            </w:r>
          </w:p>
        </w:tc>
        <w:tc>
          <w:tcPr>
            <w:tcW w:w="432" w:type="pct"/>
            <w:tcBorders>
              <w:top w:val="single" w:sz="4" w:space="0" w:color="auto"/>
              <w:bottom w:val="single" w:sz="4" w:space="0" w:color="auto"/>
              <w:right w:val="single" w:sz="4" w:space="0" w:color="auto"/>
            </w:tcBorders>
            <w:shd w:val="clear" w:color="auto" w:fill="auto"/>
            <w:noWrap/>
            <w:vAlign w:val="center"/>
          </w:tcPr>
          <w:p w14:paraId="4980D688" w14:textId="77777777" w:rsidR="0046431A" w:rsidRPr="0046431A" w:rsidRDefault="0046431A" w:rsidP="0046431A">
            <w:pPr>
              <w:jc w:val="right"/>
              <w:rPr>
                <w:rFonts w:ascii="Arial Narrow" w:hAnsi="Arial Narrow" w:cs="Calibri"/>
                <w:sz w:val="20"/>
                <w:szCs w:val="20"/>
                <w:lang w:val="bg-BG" w:eastAsia="bg-BG"/>
              </w:rPr>
            </w:pPr>
            <w:r w:rsidRPr="0046431A">
              <w:rPr>
                <w:rFonts w:ascii="Arial Narrow" w:hAnsi="Arial Narrow" w:cs="Calibri"/>
                <w:sz w:val="20"/>
                <w:szCs w:val="20"/>
                <w:lang w:val="bg-BG" w:eastAsia="bg-BG"/>
              </w:rPr>
              <w:t>100</w:t>
            </w:r>
          </w:p>
        </w:tc>
        <w:tc>
          <w:tcPr>
            <w:tcW w:w="41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EB2FB7E" w14:textId="77777777" w:rsidR="0046431A" w:rsidRPr="0046431A" w:rsidRDefault="0046431A" w:rsidP="0046431A">
            <w:pPr>
              <w:jc w:val="right"/>
              <w:rPr>
                <w:rFonts w:ascii="Arial Narrow" w:hAnsi="Arial Narrow" w:cs="Calibri"/>
                <w:sz w:val="20"/>
                <w:szCs w:val="20"/>
                <w:lang w:val="bg-BG" w:eastAsia="bg-BG"/>
              </w:rPr>
            </w:pPr>
            <w:r w:rsidRPr="0046431A">
              <w:rPr>
                <w:rFonts w:ascii="Arial Narrow" w:hAnsi="Arial Narrow" w:cs="Calibri"/>
                <w:sz w:val="20"/>
                <w:szCs w:val="20"/>
                <w:lang w:val="bg-BG" w:eastAsia="bg-BG"/>
              </w:rPr>
              <w:t>23,5%</w:t>
            </w:r>
          </w:p>
        </w:tc>
      </w:tr>
      <w:tr w:rsidR="0046431A" w:rsidRPr="0046431A" w14:paraId="327DB46A" w14:textId="77777777" w:rsidTr="00C96DE5">
        <w:trPr>
          <w:trHeight w:val="327"/>
        </w:trPr>
        <w:tc>
          <w:tcPr>
            <w:tcW w:w="374" w:type="pct"/>
            <w:tcBorders>
              <w:top w:val="nil"/>
              <w:left w:val="single" w:sz="4" w:space="0" w:color="auto"/>
              <w:bottom w:val="single" w:sz="4" w:space="0" w:color="auto"/>
              <w:right w:val="single" w:sz="4" w:space="0" w:color="auto"/>
            </w:tcBorders>
            <w:shd w:val="clear" w:color="000000" w:fill="FFFFFF"/>
            <w:vAlign w:val="center"/>
            <w:hideMark/>
          </w:tcPr>
          <w:p w14:paraId="7F9F2B0E" w14:textId="77777777" w:rsidR="0046431A" w:rsidRPr="0046431A" w:rsidRDefault="0046431A" w:rsidP="0046431A">
            <w:pPr>
              <w:jc w:val="center"/>
              <w:rPr>
                <w:rFonts w:ascii="Arial Narrow" w:hAnsi="Arial Narrow" w:cs="Calibri"/>
                <w:b/>
                <w:bCs/>
                <w:sz w:val="20"/>
                <w:szCs w:val="20"/>
                <w:lang w:val="bg-BG" w:eastAsia="bg-BG"/>
              </w:rPr>
            </w:pPr>
            <w:r w:rsidRPr="0046431A">
              <w:rPr>
                <w:rFonts w:ascii="Arial Narrow" w:hAnsi="Arial Narrow" w:cs="Calibri"/>
                <w:b/>
                <w:bCs/>
                <w:sz w:val="20"/>
                <w:szCs w:val="20"/>
                <w:lang w:val="bg-BG" w:eastAsia="bg-BG"/>
              </w:rPr>
              <w:t>III</w:t>
            </w:r>
          </w:p>
        </w:tc>
        <w:tc>
          <w:tcPr>
            <w:tcW w:w="3346" w:type="pct"/>
            <w:tcBorders>
              <w:top w:val="nil"/>
              <w:left w:val="nil"/>
              <w:bottom w:val="single" w:sz="4" w:space="0" w:color="auto"/>
              <w:right w:val="single" w:sz="4" w:space="0" w:color="auto"/>
            </w:tcBorders>
            <w:shd w:val="clear" w:color="000000" w:fill="FFFFFF"/>
            <w:vAlign w:val="center"/>
            <w:hideMark/>
          </w:tcPr>
          <w:p w14:paraId="1843B7EB" w14:textId="77777777" w:rsidR="0046431A" w:rsidRPr="0046431A" w:rsidRDefault="0046431A" w:rsidP="0046431A">
            <w:pPr>
              <w:rPr>
                <w:rFonts w:ascii="Arial Narrow" w:hAnsi="Arial Narrow" w:cs="Calibri"/>
                <w:sz w:val="20"/>
                <w:szCs w:val="20"/>
                <w:lang w:val="bg-BG" w:eastAsia="bg-BG"/>
              </w:rPr>
            </w:pPr>
            <w:r w:rsidRPr="0046431A">
              <w:rPr>
                <w:rFonts w:ascii="Arial Narrow" w:hAnsi="Arial Narrow" w:cs="Calibri"/>
                <w:sz w:val="20"/>
                <w:szCs w:val="20"/>
                <w:lang w:val="bg-BG" w:eastAsia="bg-BG"/>
              </w:rPr>
              <w:t>Инсинератори, обекти за съвместно изгаряне и горивни инсталации</w:t>
            </w:r>
          </w:p>
        </w:tc>
        <w:tc>
          <w:tcPr>
            <w:tcW w:w="431" w:type="pct"/>
            <w:tcBorders>
              <w:top w:val="nil"/>
              <w:left w:val="nil"/>
              <w:bottom w:val="single" w:sz="4" w:space="0" w:color="auto"/>
              <w:right w:val="single" w:sz="4" w:space="0" w:color="auto"/>
            </w:tcBorders>
            <w:shd w:val="clear" w:color="000000" w:fill="FFFFFF"/>
            <w:noWrap/>
            <w:vAlign w:val="center"/>
            <w:hideMark/>
          </w:tcPr>
          <w:p w14:paraId="78F36159" w14:textId="77777777" w:rsidR="0046431A" w:rsidRPr="0046431A" w:rsidRDefault="0046431A" w:rsidP="0046431A">
            <w:pPr>
              <w:jc w:val="right"/>
              <w:rPr>
                <w:rFonts w:ascii="Arial Narrow" w:hAnsi="Arial Narrow" w:cs="Calibri"/>
                <w:sz w:val="20"/>
                <w:szCs w:val="20"/>
                <w:lang w:val="bg-BG" w:eastAsia="bg-BG"/>
              </w:rPr>
            </w:pPr>
            <w:r w:rsidRPr="0046431A">
              <w:rPr>
                <w:rFonts w:ascii="Arial Narrow" w:hAnsi="Arial Narrow" w:cs="Calibri"/>
                <w:sz w:val="20"/>
                <w:szCs w:val="20"/>
                <w:lang w:val="bg-BG" w:eastAsia="bg-BG"/>
              </w:rPr>
              <w:t>23</w:t>
            </w:r>
          </w:p>
        </w:tc>
        <w:tc>
          <w:tcPr>
            <w:tcW w:w="432" w:type="pct"/>
            <w:tcBorders>
              <w:top w:val="single" w:sz="4" w:space="0" w:color="auto"/>
              <w:bottom w:val="single" w:sz="4" w:space="0" w:color="auto"/>
              <w:right w:val="single" w:sz="4" w:space="0" w:color="auto"/>
            </w:tcBorders>
            <w:shd w:val="clear" w:color="auto" w:fill="auto"/>
            <w:noWrap/>
            <w:vAlign w:val="center"/>
          </w:tcPr>
          <w:p w14:paraId="2BEA8F44" w14:textId="77777777" w:rsidR="0046431A" w:rsidRPr="0046431A" w:rsidRDefault="0046431A" w:rsidP="0046431A">
            <w:pPr>
              <w:jc w:val="right"/>
              <w:rPr>
                <w:rFonts w:ascii="Arial Narrow" w:hAnsi="Arial Narrow" w:cs="Calibri"/>
                <w:sz w:val="20"/>
                <w:szCs w:val="20"/>
                <w:lang w:val="bg-BG" w:eastAsia="bg-BG"/>
              </w:rPr>
            </w:pPr>
            <w:r w:rsidRPr="0046431A">
              <w:rPr>
                <w:rFonts w:ascii="Arial Narrow" w:hAnsi="Arial Narrow" w:cs="Calibri"/>
                <w:sz w:val="20"/>
                <w:szCs w:val="20"/>
                <w:lang w:val="bg-BG" w:eastAsia="bg-BG"/>
              </w:rPr>
              <w:t>29</w:t>
            </w:r>
          </w:p>
        </w:tc>
        <w:tc>
          <w:tcPr>
            <w:tcW w:w="41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086E7F6" w14:textId="77777777" w:rsidR="0046431A" w:rsidRPr="0046431A" w:rsidRDefault="0046431A" w:rsidP="0046431A">
            <w:pPr>
              <w:jc w:val="right"/>
              <w:rPr>
                <w:rFonts w:ascii="Arial Narrow" w:hAnsi="Arial Narrow" w:cs="Calibri"/>
                <w:sz w:val="20"/>
                <w:szCs w:val="20"/>
                <w:lang w:val="bg-BG" w:eastAsia="bg-BG"/>
              </w:rPr>
            </w:pPr>
            <w:r w:rsidRPr="0046431A">
              <w:rPr>
                <w:rFonts w:ascii="Arial Narrow" w:hAnsi="Arial Narrow" w:cs="Calibri"/>
                <w:sz w:val="20"/>
                <w:szCs w:val="20"/>
                <w:lang w:val="bg-BG" w:eastAsia="bg-BG"/>
              </w:rPr>
              <w:t>26,1%</w:t>
            </w:r>
          </w:p>
        </w:tc>
      </w:tr>
      <w:tr w:rsidR="0046431A" w:rsidRPr="0046431A" w14:paraId="7264BED8" w14:textId="77777777" w:rsidTr="00C96DE5">
        <w:trPr>
          <w:trHeight w:val="327"/>
        </w:trPr>
        <w:tc>
          <w:tcPr>
            <w:tcW w:w="374" w:type="pct"/>
            <w:tcBorders>
              <w:top w:val="nil"/>
              <w:left w:val="single" w:sz="4" w:space="0" w:color="auto"/>
              <w:bottom w:val="single" w:sz="4" w:space="0" w:color="auto"/>
              <w:right w:val="single" w:sz="4" w:space="0" w:color="auto"/>
            </w:tcBorders>
            <w:shd w:val="clear" w:color="000000" w:fill="FFFFFF"/>
            <w:vAlign w:val="center"/>
            <w:hideMark/>
          </w:tcPr>
          <w:p w14:paraId="1B7F1D81" w14:textId="77777777" w:rsidR="0046431A" w:rsidRPr="0046431A" w:rsidRDefault="0046431A" w:rsidP="0046431A">
            <w:pPr>
              <w:jc w:val="center"/>
              <w:rPr>
                <w:rFonts w:ascii="Arial Narrow" w:hAnsi="Arial Narrow" w:cs="Calibri"/>
                <w:b/>
                <w:bCs/>
                <w:sz w:val="20"/>
                <w:szCs w:val="20"/>
                <w:lang w:val="bg-BG" w:eastAsia="bg-BG"/>
              </w:rPr>
            </w:pPr>
            <w:r w:rsidRPr="0046431A">
              <w:rPr>
                <w:rFonts w:ascii="Arial Narrow" w:hAnsi="Arial Narrow" w:cs="Calibri"/>
                <w:b/>
                <w:bCs/>
                <w:sz w:val="20"/>
                <w:szCs w:val="20"/>
                <w:lang w:val="bg-BG" w:eastAsia="bg-BG"/>
              </w:rPr>
              <w:t>IV</w:t>
            </w:r>
          </w:p>
        </w:tc>
        <w:tc>
          <w:tcPr>
            <w:tcW w:w="3346" w:type="pct"/>
            <w:tcBorders>
              <w:top w:val="nil"/>
              <w:left w:val="nil"/>
              <w:bottom w:val="single" w:sz="4" w:space="0" w:color="auto"/>
              <w:right w:val="single" w:sz="4" w:space="0" w:color="auto"/>
            </w:tcBorders>
            <w:shd w:val="clear" w:color="000000" w:fill="FFFFFF"/>
            <w:vAlign w:val="center"/>
            <w:hideMark/>
          </w:tcPr>
          <w:p w14:paraId="769B8CEA" w14:textId="77777777" w:rsidR="0046431A" w:rsidRPr="0046431A" w:rsidRDefault="0046431A" w:rsidP="0046431A">
            <w:pPr>
              <w:rPr>
                <w:rFonts w:ascii="Arial Narrow" w:hAnsi="Arial Narrow" w:cs="Calibri"/>
                <w:sz w:val="20"/>
                <w:szCs w:val="20"/>
                <w:lang w:val="bg-BG" w:eastAsia="bg-BG"/>
              </w:rPr>
            </w:pPr>
            <w:r w:rsidRPr="0046431A">
              <w:rPr>
                <w:rFonts w:ascii="Arial Narrow" w:hAnsi="Arial Narrow" w:cs="Calibri"/>
                <w:sz w:val="20"/>
                <w:szCs w:val="20"/>
                <w:lang w:val="bg-BG" w:eastAsia="bg-BG"/>
              </w:rPr>
              <w:t>Преработвателни предприятия</w:t>
            </w:r>
          </w:p>
        </w:tc>
        <w:tc>
          <w:tcPr>
            <w:tcW w:w="431" w:type="pct"/>
            <w:tcBorders>
              <w:top w:val="nil"/>
              <w:left w:val="nil"/>
              <w:bottom w:val="single" w:sz="4" w:space="0" w:color="auto"/>
              <w:right w:val="single" w:sz="4" w:space="0" w:color="auto"/>
            </w:tcBorders>
            <w:shd w:val="clear" w:color="000000" w:fill="FFFFFF"/>
            <w:noWrap/>
            <w:vAlign w:val="center"/>
            <w:hideMark/>
          </w:tcPr>
          <w:p w14:paraId="4879EFE8" w14:textId="77777777" w:rsidR="0046431A" w:rsidRPr="0046431A" w:rsidRDefault="0046431A" w:rsidP="0046431A">
            <w:pPr>
              <w:jc w:val="right"/>
              <w:rPr>
                <w:rFonts w:ascii="Arial Narrow" w:hAnsi="Arial Narrow" w:cs="Calibri"/>
                <w:sz w:val="20"/>
                <w:szCs w:val="20"/>
                <w:lang w:val="bg-BG" w:eastAsia="bg-BG"/>
              </w:rPr>
            </w:pPr>
            <w:r w:rsidRPr="0046431A">
              <w:rPr>
                <w:rFonts w:ascii="Arial Narrow" w:hAnsi="Arial Narrow" w:cs="Calibri"/>
                <w:sz w:val="20"/>
                <w:szCs w:val="20"/>
                <w:lang w:val="bg-BG" w:eastAsia="bg-BG"/>
              </w:rPr>
              <w:t>13</w:t>
            </w:r>
          </w:p>
        </w:tc>
        <w:tc>
          <w:tcPr>
            <w:tcW w:w="432" w:type="pct"/>
            <w:tcBorders>
              <w:top w:val="single" w:sz="4" w:space="0" w:color="auto"/>
              <w:bottom w:val="single" w:sz="4" w:space="0" w:color="auto"/>
              <w:right w:val="single" w:sz="4" w:space="0" w:color="auto"/>
            </w:tcBorders>
            <w:shd w:val="clear" w:color="auto" w:fill="auto"/>
            <w:noWrap/>
            <w:vAlign w:val="center"/>
          </w:tcPr>
          <w:p w14:paraId="08F57DB6" w14:textId="77777777" w:rsidR="0046431A" w:rsidRPr="0046431A" w:rsidRDefault="0046431A" w:rsidP="0046431A">
            <w:pPr>
              <w:jc w:val="right"/>
              <w:rPr>
                <w:rFonts w:ascii="Arial Narrow" w:hAnsi="Arial Narrow" w:cs="Calibri"/>
                <w:sz w:val="20"/>
                <w:szCs w:val="20"/>
                <w:lang w:val="bg-BG" w:eastAsia="bg-BG"/>
              </w:rPr>
            </w:pPr>
            <w:r w:rsidRPr="0046431A">
              <w:rPr>
                <w:rFonts w:ascii="Arial Narrow" w:hAnsi="Arial Narrow" w:cs="Calibri"/>
                <w:sz w:val="20"/>
                <w:szCs w:val="20"/>
                <w:lang w:val="bg-BG" w:eastAsia="bg-BG"/>
              </w:rPr>
              <w:t>16</w:t>
            </w:r>
          </w:p>
        </w:tc>
        <w:tc>
          <w:tcPr>
            <w:tcW w:w="41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CE46E35" w14:textId="77777777" w:rsidR="0046431A" w:rsidRPr="0046431A" w:rsidRDefault="0046431A" w:rsidP="0046431A">
            <w:pPr>
              <w:jc w:val="right"/>
              <w:rPr>
                <w:rFonts w:ascii="Arial Narrow" w:hAnsi="Arial Narrow" w:cs="Calibri"/>
                <w:sz w:val="20"/>
                <w:szCs w:val="20"/>
                <w:lang w:val="bg-BG" w:eastAsia="bg-BG"/>
              </w:rPr>
            </w:pPr>
            <w:r w:rsidRPr="0046431A">
              <w:rPr>
                <w:rFonts w:ascii="Arial Narrow" w:hAnsi="Arial Narrow" w:cs="Calibri"/>
                <w:sz w:val="20"/>
                <w:szCs w:val="20"/>
                <w:lang w:val="bg-BG" w:eastAsia="bg-BG"/>
              </w:rPr>
              <w:t>23,1%</w:t>
            </w:r>
          </w:p>
        </w:tc>
      </w:tr>
      <w:tr w:rsidR="0046431A" w:rsidRPr="0046431A" w14:paraId="3996DEF5" w14:textId="77777777" w:rsidTr="00C96DE5">
        <w:trPr>
          <w:trHeight w:val="327"/>
        </w:trPr>
        <w:tc>
          <w:tcPr>
            <w:tcW w:w="374" w:type="pct"/>
            <w:tcBorders>
              <w:top w:val="nil"/>
              <w:left w:val="single" w:sz="4" w:space="0" w:color="auto"/>
              <w:bottom w:val="single" w:sz="4" w:space="0" w:color="auto"/>
              <w:right w:val="single" w:sz="4" w:space="0" w:color="auto"/>
            </w:tcBorders>
            <w:shd w:val="clear" w:color="000000" w:fill="FFFFFF"/>
            <w:vAlign w:val="center"/>
            <w:hideMark/>
          </w:tcPr>
          <w:p w14:paraId="1DFA4B46" w14:textId="77777777" w:rsidR="0046431A" w:rsidRPr="0046431A" w:rsidRDefault="0046431A" w:rsidP="0046431A">
            <w:pPr>
              <w:jc w:val="center"/>
              <w:rPr>
                <w:rFonts w:ascii="Arial Narrow" w:hAnsi="Arial Narrow" w:cs="Calibri"/>
                <w:b/>
                <w:bCs/>
                <w:sz w:val="20"/>
                <w:szCs w:val="20"/>
                <w:lang w:val="bg-BG" w:eastAsia="bg-BG"/>
              </w:rPr>
            </w:pPr>
            <w:r w:rsidRPr="0046431A">
              <w:rPr>
                <w:rFonts w:ascii="Arial Narrow" w:hAnsi="Arial Narrow" w:cs="Calibri"/>
                <w:b/>
                <w:bCs/>
                <w:sz w:val="20"/>
                <w:szCs w:val="20"/>
                <w:lang w:val="bg-BG" w:eastAsia="bg-BG"/>
              </w:rPr>
              <w:t>V</w:t>
            </w:r>
          </w:p>
        </w:tc>
        <w:tc>
          <w:tcPr>
            <w:tcW w:w="3346" w:type="pct"/>
            <w:tcBorders>
              <w:top w:val="nil"/>
              <w:left w:val="nil"/>
              <w:bottom w:val="single" w:sz="4" w:space="0" w:color="auto"/>
              <w:right w:val="single" w:sz="4" w:space="0" w:color="auto"/>
            </w:tcBorders>
            <w:shd w:val="clear" w:color="000000" w:fill="FFFFFF"/>
            <w:vAlign w:val="center"/>
            <w:hideMark/>
          </w:tcPr>
          <w:p w14:paraId="26267800" w14:textId="77777777" w:rsidR="0046431A" w:rsidRPr="0046431A" w:rsidRDefault="0046431A" w:rsidP="0046431A">
            <w:pPr>
              <w:rPr>
                <w:rFonts w:ascii="Arial Narrow" w:hAnsi="Arial Narrow" w:cs="Calibri"/>
                <w:sz w:val="20"/>
                <w:szCs w:val="20"/>
                <w:lang w:val="bg-BG" w:eastAsia="bg-BG"/>
              </w:rPr>
            </w:pPr>
            <w:r w:rsidRPr="0046431A">
              <w:rPr>
                <w:rFonts w:ascii="Arial Narrow" w:hAnsi="Arial Narrow" w:cs="Calibri"/>
                <w:sz w:val="20"/>
                <w:szCs w:val="20"/>
                <w:lang w:val="bg-BG" w:eastAsia="bg-BG"/>
              </w:rPr>
              <w:t>Олео-химични предприятия</w:t>
            </w:r>
          </w:p>
        </w:tc>
        <w:tc>
          <w:tcPr>
            <w:tcW w:w="431" w:type="pct"/>
            <w:tcBorders>
              <w:top w:val="nil"/>
              <w:left w:val="nil"/>
              <w:bottom w:val="single" w:sz="4" w:space="0" w:color="auto"/>
              <w:right w:val="single" w:sz="4" w:space="0" w:color="auto"/>
            </w:tcBorders>
            <w:shd w:val="clear" w:color="000000" w:fill="FFFFFF"/>
            <w:noWrap/>
            <w:vAlign w:val="center"/>
            <w:hideMark/>
          </w:tcPr>
          <w:p w14:paraId="2CD65AFD" w14:textId="77777777" w:rsidR="0046431A" w:rsidRPr="0046431A" w:rsidRDefault="0046431A" w:rsidP="0046431A">
            <w:pPr>
              <w:jc w:val="right"/>
              <w:rPr>
                <w:rFonts w:ascii="Arial Narrow" w:hAnsi="Arial Narrow" w:cs="Calibri"/>
                <w:sz w:val="20"/>
                <w:szCs w:val="20"/>
                <w:lang w:val="bg-BG" w:eastAsia="bg-BG"/>
              </w:rPr>
            </w:pPr>
            <w:r w:rsidRPr="0046431A">
              <w:rPr>
                <w:rFonts w:ascii="Arial Narrow" w:hAnsi="Arial Narrow" w:cs="Calibri"/>
                <w:sz w:val="20"/>
                <w:szCs w:val="20"/>
                <w:lang w:val="bg-BG" w:eastAsia="bg-BG"/>
              </w:rPr>
              <w:t>3</w:t>
            </w:r>
          </w:p>
        </w:tc>
        <w:tc>
          <w:tcPr>
            <w:tcW w:w="432" w:type="pct"/>
            <w:tcBorders>
              <w:top w:val="single" w:sz="4" w:space="0" w:color="auto"/>
              <w:bottom w:val="single" w:sz="4" w:space="0" w:color="auto"/>
              <w:right w:val="single" w:sz="4" w:space="0" w:color="auto"/>
            </w:tcBorders>
            <w:shd w:val="clear" w:color="auto" w:fill="auto"/>
            <w:noWrap/>
            <w:vAlign w:val="center"/>
          </w:tcPr>
          <w:p w14:paraId="366D5E39" w14:textId="77777777" w:rsidR="0046431A" w:rsidRPr="0046431A" w:rsidRDefault="0046431A" w:rsidP="0046431A">
            <w:pPr>
              <w:jc w:val="right"/>
              <w:rPr>
                <w:rFonts w:ascii="Arial Narrow" w:hAnsi="Arial Narrow" w:cs="Calibri"/>
                <w:sz w:val="20"/>
                <w:szCs w:val="20"/>
                <w:lang w:val="bg-BG" w:eastAsia="bg-BG"/>
              </w:rPr>
            </w:pPr>
            <w:r w:rsidRPr="0046431A">
              <w:rPr>
                <w:rFonts w:ascii="Arial Narrow" w:hAnsi="Arial Narrow" w:cs="Calibri"/>
                <w:sz w:val="20"/>
                <w:szCs w:val="20"/>
                <w:lang w:val="bg-BG" w:eastAsia="bg-BG"/>
              </w:rPr>
              <w:t>4</w:t>
            </w:r>
          </w:p>
        </w:tc>
        <w:tc>
          <w:tcPr>
            <w:tcW w:w="41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CC48108" w14:textId="77777777" w:rsidR="0046431A" w:rsidRPr="0046431A" w:rsidRDefault="0046431A" w:rsidP="0046431A">
            <w:pPr>
              <w:jc w:val="right"/>
              <w:rPr>
                <w:rFonts w:ascii="Arial Narrow" w:hAnsi="Arial Narrow" w:cs="Calibri"/>
                <w:sz w:val="20"/>
                <w:szCs w:val="20"/>
                <w:lang w:val="bg-BG" w:eastAsia="bg-BG"/>
              </w:rPr>
            </w:pPr>
            <w:r w:rsidRPr="0046431A">
              <w:rPr>
                <w:rFonts w:ascii="Arial Narrow" w:hAnsi="Arial Narrow" w:cs="Calibri"/>
                <w:sz w:val="20"/>
                <w:szCs w:val="20"/>
                <w:lang w:val="bg-BG" w:eastAsia="bg-BG"/>
              </w:rPr>
              <w:t>33,3%</w:t>
            </w:r>
          </w:p>
        </w:tc>
      </w:tr>
      <w:tr w:rsidR="0046431A" w:rsidRPr="0046431A" w14:paraId="555645DC" w14:textId="77777777" w:rsidTr="00C96DE5">
        <w:trPr>
          <w:trHeight w:val="327"/>
        </w:trPr>
        <w:tc>
          <w:tcPr>
            <w:tcW w:w="374" w:type="pct"/>
            <w:tcBorders>
              <w:top w:val="nil"/>
              <w:left w:val="single" w:sz="4" w:space="0" w:color="auto"/>
              <w:bottom w:val="single" w:sz="4" w:space="0" w:color="auto"/>
              <w:right w:val="single" w:sz="4" w:space="0" w:color="auto"/>
            </w:tcBorders>
            <w:shd w:val="clear" w:color="000000" w:fill="FFFFFF"/>
            <w:vAlign w:val="center"/>
            <w:hideMark/>
          </w:tcPr>
          <w:p w14:paraId="6BF428AE" w14:textId="77777777" w:rsidR="0046431A" w:rsidRPr="0046431A" w:rsidRDefault="0046431A" w:rsidP="0046431A">
            <w:pPr>
              <w:jc w:val="center"/>
              <w:rPr>
                <w:rFonts w:ascii="Arial Narrow" w:hAnsi="Arial Narrow" w:cs="Calibri"/>
                <w:b/>
                <w:bCs/>
                <w:sz w:val="20"/>
                <w:szCs w:val="20"/>
                <w:lang w:val="bg-BG" w:eastAsia="bg-BG"/>
              </w:rPr>
            </w:pPr>
            <w:r w:rsidRPr="0046431A">
              <w:rPr>
                <w:rFonts w:ascii="Arial Narrow" w:hAnsi="Arial Narrow" w:cs="Calibri"/>
                <w:b/>
                <w:bCs/>
                <w:sz w:val="20"/>
                <w:szCs w:val="20"/>
                <w:lang w:val="bg-BG" w:eastAsia="bg-BG"/>
              </w:rPr>
              <w:t>VI</w:t>
            </w:r>
          </w:p>
        </w:tc>
        <w:tc>
          <w:tcPr>
            <w:tcW w:w="3346" w:type="pct"/>
            <w:tcBorders>
              <w:top w:val="nil"/>
              <w:left w:val="nil"/>
              <w:bottom w:val="single" w:sz="4" w:space="0" w:color="auto"/>
              <w:right w:val="single" w:sz="4" w:space="0" w:color="auto"/>
            </w:tcBorders>
            <w:shd w:val="clear" w:color="000000" w:fill="FFFFFF"/>
            <w:vAlign w:val="center"/>
            <w:hideMark/>
          </w:tcPr>
          <w:p w14:paraId="10C98696" w14:textId="77777777" w:rsidR="0046431A" w:rsidRPr="0046431A" w:rsidRDefault="0046431A" w:rsidP="0046431A">
            <w:pPr>
              <w:rPr>
                <w:rFonts w:ascii="Arial Narrow" w:hAnsi="Arial Narrow" w:cs="Calibri"/>
                <w:sz w:val="20"/>
                <w:szCs w:val="20"/>
                <w:lang w:val="bg-BG" w:eastAsia="bg-BG"/>
              </w:rPr>
            </w:pPr>
            <w:r w:rsidRPr="0046431A">
              <w:rPr>
                <w:rFonts w:ascii="Arial Narrow" w:hAnsi="Arial Narrow" w:cs="Calibri"/>
                <w:sz w:val="20"/>
                <w:szCs w:val="20"/>
                <w:lang w:val="bg-BG" w:eastAsia="bg-BG"/>
              </w:rPr>
              <w:t>Предприятия за преобразуване на СЖП в биогаз</w:t>
            </w:r>
          </w:p>
        </w:tc>
        <w:tc>
          <w:tcPr>
            <w:tcW w:w="431" w:type="pct"/>
            <w:tcBorders>
              <w:top w:val="nil"/>
              <w:left w:val="nil"/>
              <w:bottom w:val="single" w:sz="4" w:space="0" w:color="auto"/>
              <w:right w:val="single" w:sz="4" w:space="0" w:color="auto"/>
            </w:tcBorders>
            <w:shd w:val="clear" w:color="000000" w:fill="FFFFFF"/>
            <w:noWrap/>
            <w:vAlign w:val="center"/>
            <w:hideMark/>
          </w:tcPr>
          <w:p w14:paraId="1E3CE736" w14:textId="77777777" w:rsidR="0046431A" w:rsidRPr="0046431A" w:rsidRDefault="0046431A" w:rsidP="0046431A">
            <w:pPr>
              <w:jc w:val="right"/>
              <w:rPr>
                <w:rFonts w:ascii="Arial Narrow" w:hAnsi="Arial Narrow" w:cs="Calibri"/>
                <w:sz w:val="20"/>
                <w:szCs w:val="20"/>
                <w:lang w:val="bg-BG" w:eastAsia="bg-BG"/>
              </w:rPr>
            </w:pPr>
            <w:r w:rsidRPr="0046431A">
              <w:rPr>
                <w:rFonts w:ascii="Arial Narrow" w:hAnsi="Arial Narrow" w:cs="Calibri"/>
                <w:sz w:val="20"/>
                <w:szCs w:val="20"/>
                <w:lang w:val="bg-BG" w:eastAsia="bg-BG"/>
              </w:rPr>
              <w:t>22</w:t>
            </w:r>
          </w:p>
        </w:tc>
        <w:tc>
          <w:tcPr>
            <w:tcW w:w="432" w:type="pct"/>
            <w:tcBorders>
              <w:top w:val="single" w:sz="4" w:space="0" w:color="auto"/>
              <w:bottom w:val="single" w:sz="4" w:space="0" w:color="auto"/>
              <w:right w:val="single" w:sz="4" w:space="0" w:color="auto"/>
            </w:tcBorders>
            <w:shd w:val="clear" w:color="auto" w:fill="auto"/>
            <w:noWrap/>
            <w:vAlign w:val="center"/>
          </w:tcPr>
          <w:p w14:paraId="217EB75E" w14:textId="77777777" w:rsidR="0046431A" w:rsidRPr="0046431A" w:rsidRDefault="0046431A" w:rsidP="0046431A">
            <w:pPr>
              <w:jc w:val="right"/>
              <w:rPr>
                <w:rFonts w:ascii="Arial Narrow" w:hAnsi="Arial Narrow" w:cs="Calibri"/>
                <w:sz w:val="20"/>
                <w:szCs w:val="20"/>
                <w:lang w:val="bg-BG" w:eastAsia="bg-BG"/>
              </w:rPr>
            </w:pPr>
            <w:r w:rsidRPr="0046431A">
              <w:rPr>
                <w:rFonts w:ascii="Arial Narrow" w:hAnsi="Arial Narrow" w:cs="Calibri"/>
                <w:sz w:val="20"/>
                <w:szCs w:val="20"/>
                <w:lang w:val="bg-BG" w:eastAsia="bg-BG"/>
              </w:rPr>
              <w:t>21</w:t>
            </w:r>
          </w:p>
        </w:tc>
        <w:tc>
          <w:tcPr>
            <w:tcW w:w="41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54D6632" w14:textId="77777777" w:rsidR="0046431A" w:rsidRPr="0046431A" w:rsidRDefault="0046431A" w:rsidP="0046431A">
            <w:pPr>
              <w:jc w:val="right"/>
              <w:rPr>
                <w:rFonts w:ascii="Arial Narrow" w:hAnsi="Arial Narrow" w:cs="Calibri"/>
                <w:sz w:val="20"/>
                <w:szCs w:val="20"/>
                <w:lang w:val="bg-BG" w:eastAsia="bg-BG"/>
              </w:rPr>
            </w:pPr>
            <w:r w:rsidRPr="0046431A">
              <w:rPr>
                <w:rFonts w:ascii="Arial Narrow" w:hAnsi="Arial Narrow" w:cs="Calibri"/>
                <w:sz w:val="20"/>
                <w:szCs w:val="20"/>
                <w:lang w:val="bg-BG" w:eastAsia="bg-BG"/>
              </w:rPr>
              <w:t>-4,6%</w:t>
            </w:r>
          </w:p>
        </w:tc>
      </w:tr>
      <w:tr w:rsidR="0046431A" w:rsidRPr="0046431A" w14:paraId="2B2935F9" w14:textId="77777777" w:rsidTr="00C96DE5">
        <w:trPr>
          <w:trHeight w:val="327"/>
        </w:trPr>
        <w:tc>
          <w:tcPr>
            <w:tcW w:w="374" w:type="pct"/>
            <w:tcBorders>
              <w:top w:val="nil"/>
              <w:left w:val="single" w:sz="4" w:space="0" w:color="auto"/>
              <w:bottom w:val="single" w:sz="4" w:space="0" w:color="auto"/>
              <w:right w:val="single" w:sz="4" w:space="0" w:color="auto"/>
            </w:tcBorders>
            <w:shd w:val="clear" w:color="000000" w:fill="FFFFFF"/>
            <w:vAlign w:val="center"/>
            <w:hideMark/>
          </w:tcPr>
          <w:p w14:paraId="69C2DD84" w14:textId="77777777" w:rsidR="0046431A" w:rsidRPr="0046431A" w:rsidRDefault="0046431A" w:rsidP="0046431A">
            <w:pPr>
              <w:jc w:val="center"/>
              <w:rPr>
                <w:rFonts w:ascii="Arial Narrow" w:hAnsi="Arial Narrow" w:cs="Calibri"/>
                <w:b/>
                <w:bCs/>
                <w:sz w:val="20"/>
                <w:szCs w:val="20"/>
                <w:lang w:val="bg-BG" w:eastAsia="bg-BG"/>
              </w:rPr>
            </w:pPr>
            <w:r w:rsidRPr="0046431A">
              <w:rPr>
                <w:rFonts w:ascii="Arial Narrow" w:hAnsi="Arial Narrow" w:cs="Calibri"/>
                <w:b/>
                <w:bCs/>
                <w:sz w:val="20"/>
                <w:szCs w:val="20"/>
                <w:lang w:val="bg-BG" w:eastAsia="bg-BG"/>
              </w:rPr>
              <w:t>VII</w:t>
            </w:r>
          </w:p>
        </w:tc>
        <w:tc>
          <w:tcPr>
            <w:tcW w:w="3346" w:type="pct"/>
            <w:tcBorders>
              <w:top w:val="nil"/>
              <w:left w:val="nil"/>
              <w:bottom w:val="single" w:sz="4" w:space="0" w:color="auto"/>
              <w:right w:val="single" w:sz="4" w:space="0" w:color="auto"/>
            </w:tcBorders>
            <w:shd w:val="clear" w:color="000000" w:fill="FFFFFF"/>
            <w:vAlign w:val="center"/>
            <w:hideMark/>
          </w:tcPr>
          <w:p w14:paraId="73B8ED90" w14:textId="77777777" w:rsidR="0046431A" w:rsidRPr="0046431A" w:rsidRDefault="0046431A" w:rsidP="0046431A">
            <w:pPr>
              <w:rPr>
                <w:rFonts w:ascii="Arial Narrow" w:hAnsi="Arial Narrow" w:cs="Calibri"/>
                <w:sz w:val="20"/>
                <w:szCs w:val="20"/>
                <w:lang w:val="bg-BG" w:eastAsia="bg-BG"/>
              </w:rPr>
            </w:pPr>
            <w:r w:rsidRPr="0046431A">
              <w:rPr>
                <w:rFonts w:ascii="Arial Narrow" w:hAnsi="Arial Narrow" w:cs="Calibri"/>
                <w:sz w:val="20"/>
                <w:szCs w:val="20"/>
                <w:lang w:val="bg-BG" w:eastAsia="bg-BG"/>
              </w:rPr>
              <w:t>Предприятия за преобразуване на СЖП в компост</w:t>
            </w:r>
          </w:p>
        </w:tc>
        <w:tc>
          <w:tcPr>
            <w:tcW w:w="431" w:type="pct"/>
            <w:tcBorders>
              <w:top w:val="nil"/>
              <w:left w:val="nil"/>
              <w:bottom w:val="single" w:sz="4" w:space="0" w:color="auto"/>
              <w:right w:val="single" w:sz="4" w:space="0" w:color="auto"/>
            </w:tcBorders>
            <w:shd w:val="clear" w:color="000000" w:fill="FFFFFF"/>
            <w:noWrap/>
            <w:vAlign w:val="center"/>
            <w:hideMark/>
          </w:tcPr>
          <w:p w14:paraId="187E9AA3" w14:textId="77777777" w:rsidR="0046431A" w:rsidRPr="0046431A" w:rsidRDefault="0046431A" w:rsidP="0046431A">
            <w:pPr>
              <w:jc w:val="right"/>
              <w:rPr>
                <w:rFonts w:ascii="Arial Narrow" w:hAnsi="Arial Narrow" w:cs="Calibri"/>
                <w:sz w:val="20"/>
                <w:szCs w:val="20"/>
                <w:lang w:val="bg-BG" w:eastAsia="bg-BG"/>
              </w:rPr>
            </w:pPr>
            <w:r w:rsidRPr="0046431A">
              <w:rPr>
                <w:rFonts w:ascii="Arial Narrow" w:hAnsi="Arial Narrow" w:cs="Calibri"/>
                <w:sz w:val="20"/>
                <w:szCs w:val="20"/>
                <w:lang w:val="bg-BG" w:eastAsia="bg-BG"/>
              </w:rPr>
              <w:t>4</w:t>
            </w:r>
          </w:p>
        </w:tc>
        <w:tc>
          <w:tcPr>
            <w:tcW w:w="432" w:type="pct"/>
            <w:tcBorders>
              <w:top w:val="single" w:sz="4" w:space="0" w:color="auto"/>
              <w:bottom w:val="single" w:sz="4" w:space="0" w:color="auto"/>
              <w:right w:val="single" w:sz="4" w:space="0" w:color="auto"/>
            </w:tcBorders>
            <w:shd w:val="clear" w:color="auto" w:fill="auto"/>
            <w:noWrap/>
            <w:vAlign w:val="center"/>
          </w:tcPr>
          <w:p w14:paraId="4BFF134A" w14:textId="77777777" w:rsidR="0046431A" w:rsidRPr="0046431A" w:rsidRDefault="0046431A" w:rsidP="0046431A">
            <w:pPr>
              <w:jc w:val="right"/>
              <w:rPr>
                <w:rFonts w:ascii="Arial Narrow" w:hAnsi="Arial Narrow" w:cs="Calibri"/>
                <w:sz w:val="20"/>
                <w:szCs w:val="20"/>
                <w:lang w:val="bg-BG" w:eastAsia="bg-BG"/>
              </w:rPr>
            </w:pPr>
            <w:r w:rsidRPr="0046431A">
              <w:rPr>
                <w:rFonts w:ascii="Arial Narrow" w:hAnsi="Arial Narrow" w:cs="Calibri"/>
                <w:sz w:val="20"/>
                <w:szCs w:val="20"/>
                <w:lang w:val="bg-BG" w:eastAsia="bg-BG"/>
              </w:rPr>
              <w:t>8</w:t>
            </w:r>
          </w:p>
        </w:tc>
        <w:tc>
          <w:tcPr>
            <w:tcW w:w="41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393E0F1" w14:textId="77777777" w:rsidR="0046431A" w:rsidRPr="0046431A" w:rsidRDefault="0046431A" w:rsidP="0046431A">
            <w:pPr>
              <w:jc w:val="right"/>
              <w:rPr>
                <w:rFonts w:ascii="Arial Narrow" w:hAnsi="Arial Narrow" w:cs="Calibri"/>
                <w:sz w:val="20"/>
                <w:szCs w:val="20"/>
                <w:lang w:val="bg-BG" w:eastAsia="bg-BG"/>
              </w:rPr>
            </w:pPr>
            <w:r w:rsidRPr="0046431A">
              <w:rPr>
                <w:rFonts w:ascii="Arial Narrow" w:hAnsi="Arial Narrow" w:cs="Calibri"/>
                <w:sz w:val="20"/>
                <w:szCs w:val="20"/>
                <w:lang w:val="bg-BG" w:eastAsia="bg-BG"/>
              </w:rPr>
              <w:t>100,0%</w:t>
            </w:r>
          </w:p>
        </w:tc>
      </w:tr>
      <w:tr w:rsidR="0046431A" w:rsidRPr="0046431A" w14:paraId="22ADEC12" w14:textId="77777777" w:rsidTr="00C96DE5">
        <w:trPr>
          <w:trHeight w:val="327"/>
        </w:trPr>
        <w:tc>
          <w:tcPr>
            <w:tcW w:w="374" w:type="pct"/>
            <w:tcBorders>
              <w:top w:val="nil"/>
              <w:left w:val="single" w:sz="4" w:space="0" w:color="auto"/>
              <w:bottom w:val="single" w:sz="4" w:space="0" w:color="auto"/>
              <w:right w:val="single" w:sz="4" w:space="0" w:color="auto"/>
            </w:tcBorders>
            <w:shd w:val="clear" w:color="000000" w:fill="FFFFFF"/>
            <w:vAlign w:val="center"/>
            <w:hideMark/>
          </w:tcPr>
          <w:p w14:paraId="670862AD" w14:textId="77777777" w:rsidR="0046431A" w:rsidRPr="0046431A" w:rsidRDefault="0046431A" w:rsidP="0046431A">
            <w:pPr>
              <w:jc w:val="center"/>
              <w:rPr>
                <w:rFonts w:ascii="Arial Narrow" w:hAnsi="Arial Narrow" w:cs="Calibri"/>
                <w:b/>
                <w:bCs/>
                <w:sz w:val="20"/>
                <w:szCs w:val="20"/>
                <w:lang w:val="bg-BG" w:eastAsia="bg-BG"/>
              </w:rPr>
            </w:pPr>
            <w:r w:rsidRPr="0046431A">
              <w:rPr>
                <w:rFonts w:ascii="Arial Narrow" w:hAnsi="Arial Narrow" w:cs="Calibri"/>
                <w:b/>
                <w:bCs/>
                <w:sz w:val="20"/>
                <w:szCs w:val="20"/>
                <w:lang w:val="bg-BG" w:eastAsia="bg-BG"/>
              </w:rPr>
              <w:t>VIII</w:t>
            </w:r>
          </w:p>
        </w:tc>
        <w:tc>
          <w:tcPr>
            <w:tcW w:w="3346" w:type="pct"/>
            <w:tcBorders>
              <w:top w:val="nil"/>
              <w:left w:val="nil"/>
              <w:bottom w:val="single" w:sz="4" w:space="0" w:color="auto"/>
              <w:right w:val="single" w:sz="4" w:space="0" w:color="auto"/>
            </w:tcBorders>
            <w:shd w:val="clear" w:color="000000" w:fill="FFFFFF"/>
            <w:vAlign w:val="center"/>
            <w:hideMark/>
          </w:tcPr>
          <w:p w14:paraId="47BE8327" w14:textId="77777777" w:rsidR="0046431A" w:rsidRPr="0046431A" w:rsidRDefault="0046431A" w:rsidP="0046431A">
            <w:pPr>
              <w:rPr>
                <w:rFonts w:ascii="Arial Narrow" w:hAnsi="Arial Narrow" w:cs="Calibri"/>
                <w:sz w:val="20"/>
                <w:szCs w:val="20"/>
                <w:lang w:val="bg-BG" w:eastAsia="bg-BG"/>
              </w:rPr>
            </w:pPr>
            <w:r w:rsidRPr="0046431A">
              <w:rPr>
                <w:rFonts w:ascii="Arial Narrow" w:hAnsi="Arial Narrow" w:cs="Calibri"/>
                <w:sz w:val="20"/>
                <w:szCs w:val="20"/>
                <w:lang w:val="bg-BG" w:eastAsia="bg-BG"/>
              </w:rPr>
              <w:t>Предприятия за производство на храна за домашни любимци</w:t>
            </w:r>
          </w:p>
        </w:tc>
        <w:tc>
          <w:tcPr>
            <w:tcW w:w="431" w:type="pct"/>
            <w:tcBorders>
              <w:top w:val="nil"/>
              <w:left w:val="nil"/>
              <w:bottom w:val="single" w:sz="4" w:space="0" w:color="auto"/>
              <w:right w:val="single" w:sz="4" w:space="0" w:color="auto"/>
            </w:tcBorders>
            <w:shd w:val="clear" w:color="000000" w:fill="FFFFFF"/>
            <w:noWrap/>
            <w:vAlign w:val="center"/>
            <w:hideMark/>
          </w:tcPr>
          <w:p w14:paraId="72BA561E" w14:textId="77777777" w:rsidR="0046431A" w:rsidRPr="0046431A" w:rsidRDefault="0046431A" w:rsidP="0046431A">
            <w:pPr>
              <w:jc w:val="right"/>
              <w:rPr>
                <w:rFonts w:ascii="Arial Narrow" w:hAnsi="Arial Narrow" w:cs="Calibri"/>
                <w:sz w:val="20"/>
                <w:szCs w:val="20"/>
                <w:lang w:val="bg-BG" w:eastAsia="bg-BG"/>
              </w:rPr>
            </w:pPr>
            <w:r w:rsidRPr="0046431A">
              <w:rPr>
                <w:rFonts w:ascii="Arial Narrow" w:hAnsi="Arial Narrow" w:cs="Calibri"/>
                <w:sz w:val="20"/>
                <w:szCs w:val="20"/>
                <w:lang w:val="bg-BG" w:eastAsia="bg-BG"/>
              </w:rPr>
              <w:t>49</w:t>
            </w:r>
          </w:p>
        </w:tc>
        <w:tc>
          <w:tcPr>
            <w:tcW w:w="432" w:type="pct"/>
            <w:tcBorders>
              <w:top w:val="single" w:sz="4" w:space="0" w:color="auto"/>
              <w:bottom w:val="single" w:sz="4" w:space="0" w:color="auto"/>
              <w:right w:val="single" w:sz="4" w:space="0" w:color="auto"/>
            </w:tcBorders>
            <w:shd w:val="clear" w:color="auto" w:fill="auto"/>
            <w:noWrap/>
            <w:vAlign w:val="center"/>
          </w:tcPr>
          <w:p w14:paraId="7186ACC4" w14:textId="77777777" w:rsidR="0046431A" w:rsidRPr="0046431A" w:rsidRDefault="0046431A" w:rsidP="0046431A">
            <w:pPr>
              <w:jc w:val="right"/>
              <w:rPr>
                <w:rFonts w:ascii="Arial Narrow" w:hAnsi="Arial Narrow" w:cs="Calibri"/>
                <w:sz w:val="20"/>
                <w:szCs w:val="20"/>
                <w:lang w:val="bg-BG" w:eastAsia="bg-BG"/>
              </w:rPr>
            </w:pPr>
            <w:r w:rsidRPr="0046431A">
              <w:rPr>
                <w:rFonts w:ascii="Arial Narrow" w:hAnsi="Arial Narrow" w:cs="Calibri"/>
                <w:sz w:val="20"/>
                <w:szCs w:val="20"/>
                <w:lang w:val="bg-BG" w:eastAsia="bg-BG"/>
              </w:rPr>
              <w:t>69</w:t>
            </w:r>
          </w:p>
        </w:tc>
        <w:tc>
          <w:tcPr>
            <w:tcW w:w="41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69EBC62" w14:textId="77777777" w:rsidR="0046431A" w:rsidRPr="0046431A" w:rsidRDefault="0046431A" w:rsidP="0046431A">
            <w:pPr>
              <w:jc w:val="right"/>
              <w:rPr>
                <w:rFonts w:ascii="Arial Narrow" w:hAnsi="Arial Narrow" w:cs="Calibri"/>
                <w:sz w:val="20"/>
                <w:szCs w:val="20"/>
                <w:lang w:val="bg-BG" w:eastAsia="bg-BG"/>
              </w:rPr>
            </w:pPr>
            <w:r w:rsidRPr="0046431A">
              <w:rPr>
                <w:rFonts w:ascii="Arial Narrow" w:hAnsi="Arial Narrow" w:cs="Calibri"/>
                <w:sz w:val="20"/>
                <w:szCs w:val="20"/>
                <w:lang w:val="bg-BG" w:eastAsia="bg-BG"/>
              </w:rPr>
              <w:t>40,8%</w:t>
            </w:r>
          </w:p>
        </w:tc>
      </w:tr>
      <w:tr w:rsidR="0046431A" w:rsidRPr="0046431A" w14:paraId="4AF81294" w14:textId="77777777" w:rsidTr="00C96DE5">
        <w:trPr>
          <w:trHeight w:val="556"/>
        </w:trPr>
        <w:tc>
          <w:tcPr>
            <w:tcW w:w="374" w:type="pct"/>
            <w:tcBorders>
              <w:top w:val="nil"/>
              <w:left w:val="single" w:sz="4" w:space="0" w:color="auto"/>
              <w:bottom w:val="single" w:sz="4" w:space="0" w:color="auto"/>
              <w:right w:val="single" w:sz="4" w:space="0" w:color="auto"/>
            </w:tcBorders>
            <w:shd w:val="clear" w:color="000000" w:fill="FFFFFF"/>
            <w:vAlign w:val="center"/>
            <w:hideMark/>
          </w:tcPr>
          <w:p w14:paraId="05463AAC" w14:textId="77777777" w:rsidR="0046431A" w:rsidRPr="0046431A" w:rsidRDefault="0046431A" w:rsidP="0046431A">
            <w:pPr>
              <w:jc w:val="center"/>
              <w:rPr>
                <w:rFonts w:ascii="Arial Narrow" w:hAnsi="Arial Narrow" w:cs="Calibri"/>
                <w:b/>
                <w:bCs/>
                <w:sz w:val="20"/>
                <w:szCs w:val="20"/>
                <w:lang w:val="bg-BG" w:eastAsia="bg-BG"/>
              </w:rPr>
            </w:pPr>
            <w:r w:rsidRPr="0046431A">
              <w:rPr>
                <w:rFonts w:ascii="Arial Narrow" w:hAnsi="Arial Narrow" w:cs="Calibri"/>
                <w:b/>
                <w:bCs/>
                <w:sz w:val="20"/>
                <w:szCs w:val="20"/>
                <w:lang w:val="bg-BG" w:eastAsia="bg-BG"/>
              </w:rPr>
              <w:t>IX</w:t>
            </w:r>
          </w:p>
        </w:tc>
        <w:tc>
          <w:tcPr>
            <w:tcW w:w="3346" w:type="pct"/>
            <w:tcBorders>
              <w:top w:val="nil"/>
              <w:left w:val="nil"/>
              <w:bottom w:val="single" w:sz="4" w:space="0" w:color="auto"/>
              <w:right w:val="single" w:sz="4" w:space="0" w:color="auto"/>
            </w:tcBorders>
            <w:shd w:val="clear" w:color="000000" w:fill="FFFFFF"/>
            <w:vAlign w:val="center"/>
            <w:hideMark/>
          </w:tcPr>
          <w:p w14:paraId="72457A93" w14:textId="77777777" w:rsidR="0046431A" w:rsidRPr="0046431A" w:rsidRDefault="0046431A" w:rsidP="0046431A">
            <w:pPr>
              <w:rPr>
                <w:rFonts w:ascii="Arial Narrow" w:hAnsi="Arial Narrow" w:cs="Calibri"/>
                <w:sz w:val="20"/>
                <w:szCs w:val="20"/>
                <w:lang w:val="bg-BG" w:eastAsia="bg-BG"/>
              </w:rPr>
            </w:pPr>
            <w:r w:rsidRPr="0046431A">
              <w:rPr>
                <w:rFonts w:ascii="Arial Narrow" w:hAnsi="Arial Narrow" w:cs="Calibri"/>
                <w:sz w:val="20"/>
                <w:szCs w:val="20"/>
                <w:lang w:val="bg-BG" w:eastAsia="bg-BG"/>
              </w:rPr>
              <w:t>Обекти и предприятия, боравещи със СЖП или производни продукти за цели извън хранителната верига</w:t>
            </w:r>
          </w:p>
        </w:tc>
        <w:tc>
          <w:tcPr>
            <w:tcW w:w="431" w:type="pct"/>
            <w:tcBorders>
              <w:top w:val="nil"/>
              <w:left w:val="nil"/>
              <w:bottom w:val="single" w:sz="4" w:space="0" w:color="auto"/>
              <w:right w:val="single" w:sz="4" w:space="0" w:color="auto"/>
            </w:tcBorders>
            <w:shd w:val="clear" w:color="000000" w:fill="FFFFFF"/>
            <w:noWrap/>
            <w:vAlign w:val="center"/>
            <w:hideMark/>
          </w:tcPr>
          <w:p w14:paraId="6E7C4C0A" w14:textId="77777777" w:rsidR="0046431A" w:rsidRPr="0046431A" w:rsidRDefault="0046431A" w:rsidP="0046431A">
            <w:pPr>
              <w:jc w:val="right"/>
              <w:rPr>
                <w:rFonts w:ascii="Arial Narrow" w:hAnsi="Arial Narrow" w:cs="Calibri"/>
                <w:sz w:val="20"/>
                <w:szCs w:val="20"/>
                <w:lang w:val="bg-BG" w:eastAsia="bg-BG"/>
              </w:rPr>
            </w:pPr>
            <w:r w:rsidRPr="0046431A">
              <w:rPr>
                <w:rFonts w:ascii="Arial Narrow" w:hAnsi="Arial Narrow" w:cs="Calibri"/>
                <w:sz w:val="20"/>
                <w:szCs w:val="20"/>
                <w:lang w:val="bg-BG" w:eastAsia="bg-BG"/>
              </w:rPr>
              <w:t>61</w:t>
            </w:r>
          </w:p>
        </w:tc>
        <w:tc>
          <w:tcPr>
            <w:tcW w:w="432" w:type="pct"/>
            <w:tcBorders>
              <w:top w:val="single" w:sz="4" w:space="0" w:color="auto"/>
              <w:bottom w:val="single" w:sz="4" w:space="0" w:color="auto"/>
              <w:right w:val="single" w:sz="4" w:space="0" w:color="auto"/>
            </w:tcBorders>
            <w:shd w:val="clear" w:color="auto" w:fill="auto"/>
            <w:noWrap/>
            <w:vAlign w:val="center"/>
          </w:tcPr>
          <w:p w14:paraId="317E188A" w14:textId="77777777" w:rsidR="0046431A" w:rsidRPr="0046431A" w:rsidRDefault="0046431A" w:rsidP="0046431A">
            <w:pPr>
              <w:jc w:val="right"/>
              <w:rPr>
                <w:rFonts w:ascii="Arial Narrow" w:hAnsi="Arial Narrow" w:cs="Calibri"/>
                <w:sz w:val="20"/>
                <w:szCs w:val="20"/>
                <w:lang w:val="bg-BG" w:eastAsia="bg-BG"/>
              </w:rPr>
            </w:pPr>
            <w:r w:rsidRPr="0046431A">
              <w:rPr>
                <w:rFonts w:ascii="Arial Narrow" w:hAnsi="Arial Narrow" w:cs="Calibri"/>
                <w:sz w:val="20"/>
                <w:szCs w:val="20"/>
                <w:lang w:val="bg-BG" w:eastAsia="bg-BG"/>
              </w:rPr>
              <w:t>83</w:t>
            </w:r>
          </w:p>
        </w:tc>
        <w:tc>
          <w:tcPr>
            <w:tcW w:w="41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D80382E" w14:textId="77777777" w:rsidR="0046431A" w:rsidRPr="0046431A" w:rsidRDefault="0046431A" w:rsidP="0046431A">
            <w:pPr>
              <w:jc w:val="right"/>
              <w:rPr>
                <w:rFonts w:ascii="Arial Narrow" w:hAnsi="Arial Narrow" w:cs="Calibri"/>
                <w:sz w:val="20"/>
                <w:szCs w:val="20"/>
                <w:lang w:val="bg-BG" w:eastAsia="bg-BG"/>
              </w:rPr>
            </w:pPr>
            <w:r w:rsidRPr="0046431A">
              <w:rPr>
                <w:rFonts w:ascii="Arial Narrow" w:hAnsi="Arial Narrow" w:cs="Calibri"/>
                <w:sz w:val="20"/>
                <w:szCs w:val="20"/>
                <w:lang w:val="bg-BG" w:eastAsia="bg-BG"/>
              </w:rPr>
              <w:t>36,1%</w:t>
            </w:r>
          </w:p>
        </w:tc>
      </w:tr>
      <w:tr w:rsidR="0046431A" w:rsidRPr="0046431A" w14:paraId="285503D5" w14:textId="77777777" w:rsidTr="00C96DE5">
        <w:trPr>
          <w:trHeight w:val="327"/>
        </w:trPr>
        <w:tc>
          <w:tcPr>
            <w:tcW w:w="374" w:type="pct"/>
            <w:tcBorders>
              <w:top w:val="nil"/>
              <w:left w:val="single" w:sz="4" w:space="0" w:color="auto"/>
              <w:bottom w:val="single" w:sz="4" w:space="0" w:color="auto"/>
              <w:right w:val="single" w:sz="4" w:space="0" w:color="auto"/>
            </w:tcBorders>
            <w:shd w:val="clear" w:color="000000" w:fill="FFFFFF"/>
            <w:vAlign w:val="center"/>
            <w:hideMark/>
          </w:tcPr>
          <w:p w14:paraId="29ED97C0" w14:textId="77777777" w:rsidR="0046431A" w:rsidRPr="0046431A" w:rsidRDefault="0046431A" w:rsidP="0046431A">
            <w:pPr>
              <w:jc w:val="center"/>
              <w:rPr>
                <w:rFonts w:ascii="Arial Narrow" w:hAnsi="Arial Narrow" w:cs="Calibri"/>
                <w:b/>
                <w:bCs/>
                <w:sz w:val="20"/>
                <w:szCs w:val="20"/>
                <w:lang w:val="bg-BG" w:eastAsia="bg-BG"/>
              </w:rPr>
            </w:pPr>
            <w:r w:rsidRPr="0046431A">
              <w:rPr>
                <w:rFonts w:ascii="Arial Narrow" w:hAnsi="Arial Narrow" w:cs="Calibri"/>
                <w:b/>
                <w:bCs/>
                <w:sz w:val="20"/>
                <w:szCs w:val="20"/>
                <w:lang w:val="bg-BG" w:eastAsia="bg-BG"/>
              </w:rPr>
              <w:t>X</w:t>
            </w:r>
          </w:p>
        </w:tc>
        <w:tc>
          <w:tcPr>
            <w:tcW w:w="3346" w:type="pct"/>
            <w:tcBorders>
              <w:top w:val="nil"/>
              <w:left w:val="nil"/>
              <w:bottom w:val="single" w:sz="4" w:space="0" w:color="auto"/>
              <w:right w:val="single" w:sz="4" w:space="0" w:color="auto"/>
            </w:tcBorders>
            <w:shd w:val="clear" w:color="000000" w:fill="FFFFFF"/>
            <w:vAlign w:val="center"/>
            <w:hideMark/>
          </w:tcPr>
          <w:p w14:paraId="1AE36E61" w14:textId="77777777" w:rsidR="0046431A" w:rsidRPr="0046431A" w:rsidRDefault="0046431A" w:rsidP="0046431A">
            <w:pPr>
              <w:rPr>
                <w:rFonts w:ascii="Arial Narrow" w:hAnsi="Arial Narrow" w:cs="Calibri"/>
                <w:sz w:val="20"/>
                <w:szCs w:val="20"/>
                <w:lang w:val="bg-BG" w:eastAsia="bg-BG"/>
              </w:rPr>
            </w:pPr>
            <w:r w:rsidRPr="0046431A">
              <w:rPr>
                <w:rFonts w:ascii="Arial Narrow" w:hAnsi="Arial Narrow" w:cs="Calibri"/>
                <w:sz w:val="20"/>
                <w:szCs w:val="20"/>
                <w:lang w:val="bg-BG" w:eastAsia="bg-BG"/>
              </w:rPr>
              <w:t>Регистрирани оператори на СЖП и производни продукти за специфични цели</w:t>
            </w:r>
          </w:p>
        </w:tc>
        <w:tc>
          <w:tcPr>
            <w:tcW w:w="431" w:type="pct"/>
            <w:tcBorders>
              <w:top w:val="nil"/>
              <w:left w:val="nil"/>
              <w:bottom w:val="single" w:sz="4" w:space="0" w:color="auto"/>
              <w:right w:val="single" w:sz="4" w:space="0" w:color="auto"/>
            </w:tcBorders>
            <w:shd w:val="clear" w:color="000000" w:fill="FFFFFF"/>
            <w:noWrap/>
            <w:vAlign w:val="center"/>
            <w:hideMark/>
          </w:tcPr>
          <w:p w14:paraId="220E399C" w14:textId="77777777" w:rsidR="0046431A" w:rsidRPr="0046431A" w:rsidRDefault="0046431A" w:rsidP="0046431A">
            <w:pPr>
              <w:jc w:val="right"/>
              <w:rPr>
                <w:rFonts w:ascii="Arial Narrow" w:hAnsi="Arial Narrow" w:cs="Calibri"/>
                <w:sz w:val="20"/>
                <w:szCs w:val="20"/>
                <w:lang w:val="bg-BG" w:eastAsia="bg-BG"/>
              </w:rPr>
            </w:pPr>
            <w:r w:rsidRPr="0046431A">
              <w:rPr>
                <w:rFonts w:ascii="Arial Narrow" w:hAnsi="Arial Narrow" w:cs="Calibri"/>
                <w:sz w:val="20"/>
                <w:szCs w:val="20"/>
                <w:lang w:val="bg-BG" w:eastAsia="bg-BG"/>
              </w:rPr>
              <w:t>14</w:t>
            </w:r>
          </w:p>
        </w:tc>
        <w:tc>
          <w:tcPr>
            <w:tcW w:w="432" w:type="pct"/>
            <w:tcBorders>
              <w:top w:val="single" w:sz="4" w:space="0" w:color="auto"/>
              <w:bottom w:val="single" w:sz="4" w:space="0" w:color="auto"/>
              <w:right w:val="single" w:sz="4" w:space="0" w:color="auto"/>
            </w:tcBorders>
            <w:shd w:val="clear" w:color="auto" w:fill="auto"/>
            <w:noWrap/>
            <w:vAlign w:val="center"/>
          </w:tcPr>
          <w:p w14:paraId="16C4DC42" w14:textId="77777777" w:rsidR="0046431A" w:rsidRPr="0046431A" w:rsidRDefault="0046431A" w:rsidP="0046431A">
            <w:pPr>
              <w:jc w:val="right"/>
              <w:rPr>
                <w:rFonts w:ascii="Arial Narrow" w:hAnsi="Arial Narrow" w:cs="Calibri"/>
                <w:sz w:val="20"/>
                <w:szCs w:val="20"/>
                <w:lang w:val="bg-BG" w:eastAsia="bg-BG"/>
              </w:rPr>
            </w:pPr>
            <w:r w:rsidRPr="0046431A">
              <w:rPr>
                <w:rFonts w:ascii="Arial Narrow" w:hAnsi="Arial Narrow" w:cs="Calibri"/>
                <w:sz w:val="20"/>
                <w:szCs w:val="20"/>
                <w:lang w:val="bg-BG" w:eastAsia="bg-BG"/>
              </w:rPr>
              <w:t>28</w:t>
            </w:r>
          </w:p>
        </w:tc>
        <w:tc>
          <w:tcPr>
            <w:tcW w:w="41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9428780" w14:textId="77777777" w:rsidR="0046431A" w:rsidRPr="0046431A" w:rsidRDefault="0046431A" w:rsidP="0046431A">
            <w:pPr>
              <w:jc w:val="right"/>
              <w:rPr>
                <w:rFonts w:ascii="Arial Narrow" w:hAnsi="Arial Narrow" w:cs="Calibri"/>
                <w:sz w:val="20"/>
                <w:szCs w:val="20"/>
                <w:lang w:val="bg-BG" w:eastAsia="bg-BG"/>
              </w:rPr>
            </w:pPr>
            <w:r w:rsidRPr="0046431A">
              <w:rPr>
                <w:rFonts w:ascii="Arial Narrow" w:hAnsi="Arial Narrow" w:cs="Calibri"/>
                <w:sz w:val="20"/>
                <w:szCs w:val="20"/>
                <w:lang w:val="bg-BG" w:eastAsia="bg-BG"/>
              </w:rPr>
              <w:t>100,0%</w:t>
            </w:r>
          </w:p>
        </w:tc>
      </w:tr>
      <w:tr w:rsidR="0046431A" w:rsidRPr="0046431A" w14:paraId="16443BC6" w14:textId="77777777" w:rsidTr="00C96DE5">
        <w:trPr>
          <w:trHeight w:val="327"/>
        </w:trPr>
        <w:tc>
          <w:tcPr>
            <w:tcW w:w="374" w:type="pct"/>
            <w:tcBorders>
              <w:top w:val="nil"/>
              <w:left w:val="single" w:sz="4" w:space="0" w:color="auto"/>
              <w:bottom w:val="single" w:sz="4" w:space="0" w:color="auto"/>
              <w:right w:val="single" w:sz="4" w:space="0" w:color="auto"/>
            </w:tcBorders>
            <w:shd w:val="clear" w:color="000000" w:fill="FFFFFF"/>
            <w:vAlign w:val="center"/>
            <w:hideMark/>
          </w:tcPr>
          <w:p w14:paraId="6080BD0C" w14:textId="77777777" w:rsidR="0046431A" w:rsidRPr="0046431A" w:rsidRDefault="0046431A" w:rsidP="0046431A">
            <w:pPr>
              <w:jc w:val="center"/>
              <w:rPr>
                <w:rFonts w:ascii="Arial Narrow" w:hAnsi="Arial Narrow" w:cs="Calibri"/>
                <w:b/>
                <w:bCs/>
                <w:sz w:val="20"/>
                <w:szCs w:val="20"/>
                <w:lang w:val="bg-BG" w:eastAsia="bg-BG"/>
              </w:rPr>
            </w:pPr>
            <w:r w:rsidRPr="0046431A">
              <w:rPr>
                <w:rFonts w:ascii="Arial Narrow" w:hAnsi="Arial Narrow" w:cs="Calibri"/>
                <w:b/>
                <w:bCs/>
                <w:sz w:val="20"/>
                <w:szCs w:val="20"/>
                <w:lang w:val="bg-BG" w:eastAsia="bg-BG"/>
              </w:rPr>
              <w:t>XI</w:t>
            </w:r>
          </w:p>
        </w:tc>
        <w:tc>
          <w:tcPr>
            <w:tcW w:w="3346" w:type="pct"/>
            <w:tcBorders>
              <w:top w:val="nil"/>
              <w:left w:val="nil"/>
              <w:bottom w:val="single" w:sz="4" w:space="0" w:color="auto"/>
              <w:right w:val="single" w:sz="4" w:space="0" w:color="auto"/>
            </w:tcBorders>
            <w:shd w:val="clear" w:color="000000" w:fill="FFFFFF"/>
            <w:vAlign w:val="center"/>
            <w:hideMark/>
          </w:tcPr>
          <w:p w14:paraId="45E157D1" w14:textId="77777777" w:rsidR="0046431A" w:rsidRPr="0046431A" w:rsidRDefault="0046431A" w:rsidP="0046431A">
            <w:pPr>
              <w:rPr>
                <w:rFonts w:ascii="Arial Narrow" w:hAnsi="Arial Narrow" w:cs="Calibri"/>
                <w:sz w:val="20"/>
                <w:szCs w:val="20"/>
                <w:lang w:val="bg-BG" w:eastAsia="bg-BG"/>
              </w:rPr>
            </w:pPr>
            <w:r w:rsidRPr="0046431A">
              <w:rPr>
                <w:rFonts w:ascii="Arial Narrow" w:hAnsi="Arial Narrow" w:cs="Calibri"/>
                <w:sz w:val="20"/>
                <w:szCs w:val="20"/>
                <w:lang w:val="bg-BG" w:eastAsia="bg-BG"/>
              </w:rPr>
              <w:t>Събирателни центрове</w:t>
            </w:r>
          </w:p>
        </w:tc>
        <w:tc>
          <w:tcPr>
            <w:tcW w:w="431" w:type="pct"/>
            <w:tcBorders>
              <w:top w:val="nil"/>
              <w:left w:val="nil"/>
              <w:bottom w:val="single" w:sz="4" w:space="0" w:color="auto"/>
              <w:right w:val="single" w:sz="4" w:space="0" w:color="auto"/>
            </w:tcBorders>
            <w:shd w:val="clear" w:color="000000" w:fill="FFFFFF"/>
            <w:noWrap/>
            <w:vAlign w:val="center"/>
            <w:hideMark/>
          </w:tcPr>
          <w:p w14:paraId="70F2BA53" w14:textId="77777777" w:rsidR="0046431A" w:rsidRPr="0046431A" w:rsidRDefault="0046431A" w:rsidP="0046431A">
            <w:pPr>
              <w:jc w:val="right"/>
              <w:rPr>
                <w:rFonts w:ascii="Arial Narrow" w:hAnsi="Arial Narrow" w:cs="Calibri"/>
                <w:sz w:val="20"/>
                <w:szCs w:val="20"/>
                <w:lang w:val="bg-BG" w:eastAsia="bg-BG"/>
              </w:rPr>
            </w:pPr>
            <w:r w:rsidRPr="0046431A">
              <w:rPr>
                <w:rFonts w:ascii="Arial Narrow" w:hAnsi="Arial Narrow" w:cs="Calibri"/>
                <w:sz w:val="20"/>
                <w:szCs w:val="20"/>
                <w:lang w:val="bg-BG" w:eastAsia="bg-BG"/>
              </w:rPr>
              <w:t>0</w:t>
            </w:r>
          </w:p>
        </w:tc>
        <w:tc>
          <w:tcPr>
            <w:tcW w:w="432" w:type="pct"/>
            <w:tcBorders>
              <w:top w:val="single" w:sz="4" w:space="0" w:color="auto"/>
              <w:bottom w:val="single" w:sz="4" w:space="0" w:color="auto"/>
              <w:right w:val="single" w:sz="4" w:space="0" w:color="auto"/>
            </w:tcBorders>
            <w:shd w:val="clear" w:color="auto" w:fill="auto"/>
            <w:noWrap/>
            <w:vAlign w:val="center"/>
          </w:tcPr>
          <w:p w14:paraId="2AE2F458" w14:textId="77777777" w:rsidR="0046431A" w:rsidRPr="0046431A" w:rsidRDefault="0046431A" w:rsidP="0046431A">
            <w:pPr>
              <w:jc w:val="right"/>
              <w:rPr>
                <w:rFonts w:ascii="Arial Narrow" w:hAnsi="Arial Narrow" w:cs="Calibri"/>
                <w:sz w:val="20"/>
                <w:szCs w:val="20"/>
                <w:lang w:val="bg-BG" w:eastAsia="bg-BG"/>
              </w:rPr>
            </w:pPr>
            <w:r w:rsidRPr="0046431A">
              <w:rPr>
                <w:rFonts w:ascii="Arial Narrow" w:hAnsi="Arial Narrow" w:cs="Calibri"/>
                <w:sz w:val="20"/>
                <w:szCs w:val="20"/>
                <w:lang w:val="bg-BG" w:eastAsia="bg-BG"/>
              </w:rPr>
              <w:t>0</w:t>
            </w:r>
          </w:p>
        </w:tc>
        <w:tc>
          <w:tcPr>
            <w:tcW w:w="41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FC4A6EA" w14:textId="77777777" w:rsidR="0046431A" w:rsidRPr="0046431A" w:rsidRDefault="0046431A" w:rsidP="0046431A">
            <w:pPr>
              <w:jc w:val="right"/>
              <w:rPr>
                <w:rFonts w:ascii="Arial Narrow" w:hAnsi="Arial Narrow" w:cs="Calibri"/>
                <w:sz w:val="20"/>
                <w:szCs w:val="20"/>
                <w:lang w:val="bg-BG" w:eastAsia="bg-BG"/>
              </w:rPr>
            </w:pPr>
            <w:r w:rsidRPr="0046431A">
              <w:rPr>
                <w:rFonts w:ascii="Arial Narrow" w:hAnsi="Arial Narrow" w:cs="Calibri"/>
                <w:sz w:val="20"/>
                <w:szCs w:val="20"/>
                <w:lang w:val="bg-BG" w:eastAsia="bg-BG"/>
              </w:rPr>
              <w:t xml:space="preserve"> -</w:t>
            </w:r>
          </w:p>
        </w:tc>
      </w:tr>
      <w:tr w:rsidR="0046431A" w:rsidRPr="0046431A" w14:paraId="7B932B75" w14:textId="77777777" w:rsidTr="00C96DE5">
        <w:trPr>
          <w:trHeight w:val="327"/>
        </w:trPr>
        <w:tc>
          <w:tcPr>
            <w:tcW w:w="374" w:type="pct"/>
            <w:tcBorders>
              <w:top w:val="nil"/>
              <w:left w:val="single" w:sz="4" w:space="0" w:color="auto"/>
              <w:bottom w:val="single" w:sz="4" w:space="0" w:color="auto"/>
              <w:right w:val="single" w:sz="4" w:space="0" w:color="auto"/>
            </w:tcBorders>
            <w:shd w:val="clear" w:color="000000" w:fill="FFFFFF"/>
            <w:vAlign w:val="center"/>
            <w:hideMark/>
          </w:tcPr>
          <w:p w14:paraId="52B5C976" w14:textId="77777777" w:rsidR="0046431A" w:rsidRPr="0046431A" w:rsidRDefault="0046431A" w:rsidP="0046431A">
            <w:pPr>
              <w:jc w:val="center"/>
              <w:rPr>
                <w:rFonts w:ascii="Arial Narrow" w:hAnsi="Arial Narrow" w:cs="Calibri"/>
                <w:b/>
                <w:bCs/>
                <w:sz w:val="20"/>
                <w:szCs w:val="20"/>
                <w:lang w:val="bg-BG" w:eastAsia="bg-BG"/>
              </w:rPr>
            </w:pPr>
            <w:r w:rsidRPr="0046431A">
              <w:rPr>
                <w:rFonts w:ascii="Arial Narrow" w:hAnsi="Arial Narrow" w:cs="Calibri"/>
                <w:b/>
                <w:bCs/>
                <w:sz w:val="20"/>
                <w:szCs w:val="20"/>
                <w:lang w:val="bg-BG" w:eastAsia="bg-BG"/>
              </w:rPr>
              <w:t>XII</w:t>
            </w:r>
          </w:p>
        </w:tc>
        <w:tc>
          <w:tcPr>
            <w:tcW w:w="3346" w:type="pct"/>
            <w:tcBorders>
              <w:top w:val="nil"/>
              <w:left w:val="nil"/>
              <w:bottom w:val="single" w:sz="4" w:space="0" w:color="auto"/>
              <w:right w:val="single" w:sz="4" w:space="0" w:color="auto"/>
            </w:tcBorders>
            <w:shd w:val="clear" w:color="000000" w:fill="FFFFFF"/>
            <w:vAlign w:val="center"/>
            <w:hideMark/>
          </w:tcPr>
          <w:p w14:paraId="22FE85FE" w14:textId="77777777" w:rsidR="0046431A" w:rsidRPr="0046431A" w:rsidRDefault="0046431A" w:rsidP="0046431A">
            <w:pPr>
              <w:rPr>
                <w:rFonts w:ascii="Arial Narrow" w:hAnsi="Arial Narrow" w:cs="Calibri"/>
                <w:sz w:val="20"/>
                <w:szCs w:val="20"/>
                <w:lang w:val="bg-BG" w:eastAsia="bg-BG"/>
              </w:rPr>
            </w:pPr>
            <w:r w:rsidRPr="0046431A">
              <w:rPr>
                <w:rFonts w:ascii="Arial Narrow" w:hAnsi="Arial Narrow" w:cs="Calibri"/>
                <w:sz w:val="20"/>
                <w:szCs w:val="20"/>
                <w:lang w:val="bg-BG" w:eastAsia="bg-BG"/>
              </w:rPr>
              <w:t>Предприятия и обекти, произвеждащи органични торове или подобрители за почвата</w:t>
            </w:r>
          </w:p>
        </w:tc>
        <w:tc>
          <w:tcPr>
            <w:tcW w:w="431" w:type="pct"/>
            <w:tcBorders>
              <w:top w:val="nil"/>
              <w:left w:val="nil"/>
              <w:bottom w:val="single" w:sz="4" w:space="0" w:color="auto"/>
              <w:right w:val="single" w:sz="4" w:space="0" w:color="auto"/>
            </w:tcBorders>
            <w:shd w:val="clear" w:color="000000" w:fill="FFFFFF"/>
            <w:noWrap/>
            <w:vAlign w:val="center"/>
            <w:hideMark/>
          </w:tcPr>
          <w:p w14:paraId="196717C0" w14:textId="77777777" w:rsidR="0046431A" w:rsidRPr="0046431A" w:rsidRDefault="0046431A" w:rsidP="0046431A">
            <w:pPr>
              <w:jc w:val="right"/>
              <w:rPr>
                <w:rFonts w:ascii="Arial Narrow" w:hAnsi="Arial Narrow" w:cs="Calibri"/>
                <w:sz w:val="20"/>
                <w:szCs w:val="20"/>
                <w:lang w:val="bg-BG" w:eastAsia="bg-BG"/>
              </w:rPr>
            </w:pPr>
            <w:r w:rsidRPr="0046431A">
              <w:rPr>
                <w:rFonts w:ascii="Arial Narrow" w:hAnsi="Arial Narrow" w:cs="Calibri"/>
                <w:sz w:val="20"/>
                <w:szCs w:val="20"/>
                <w:lang w:val="bg-BG" w:eastAsia="bg-BG"/>
              </w:rPr>
              <w:t>14</w:t>
            </w:r>
          </w:p>
        </w:tc>
        <w:tc>
          <w:tcPr>
            <w:tcW w:w="432" w:type="pct"/>
            <w:tcBorders>
              <w:top w:val="single" w:sz="4" w:space="0" w:color="auto"/>
              <w:bottom w:val="single" w:sz="4" w:space="0" w:color="auto"/>
              <w:right w:val="single" w:sz="4" w:space="0" w:color="auto"/>
            </w:tcBorders>
            <w:shd w:val="clear" w:color="auto" w:fill="auto"/>
            <w:noWrap/>
            <w:vAlign w:val="center"/>
          </w:tcPr>
          <w:p w14:paraId="2306D640" w14:textId="77777777" w:rsidR="0046431A" w:rsidRPr="0046431A" w:rsidRDefault="0046431A" w:rsidP="0046431A">
            <w:pPr>
              <w:jc w:val="right"/>
              <w:rPr>
                <w:rFonts w:ascii="Arial Narrow" w:hAnsi="Arial Narrow" w:cs="Calibri"/>
                <w:sz w:val="20"/>
                <w:szCs w:val="20"/>
                <w:lang w:val="bg-BG" w:eastAsia="bg-BG"/>
              </w:rPr>
            </w:pPr>
            <w:r w:rsidRPr="0046431A">
              <w:rPr>
                <w:rFonts w:ascii="Arial Narrow" w:hAnsi="Arial Narrow" w:cs="Calibri"/>
                <w:sz w:val="20"/>
                <w:szCs w:val="20"/>
                <w:lang w:val="bg-BG" w:eastAsia="bg-BG"/>
              </w:rPr>
              <w:t>18</w:t>
            </w:r>
          </w:p>
        </w:tc>
        <w:tc>
          <w:tcPr>
            <w:tcW w:w="41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8562340" w14:textId="77777777" w:rsidR="0046431A" w:rsidRPr="0046431A" w:rsidRDefault="0046431A" w:rsidP="0046431A">
            <w:pPr>
              <w:jc w:val="right"/>
              <w:rPr>
                <w:rFonts w:ascii="Arial Narrow" w:hAnsi="Arial Narrow" w:cs="Calibri"/>
                <w:sz w:val="20"/>
                <w:szCs w:val="20"/>
                <w:lang w:val="bg-BG" w:eastAsia="bg-BG"/>
              </w:rPr>
            </w:pPr>
            <w:r w:rsidRPr="0046431A">
              <w:rPr>
                <w:rFonts w:ascii="Arial Narrow" w:hAnsi="Arial Narrow" w:cs="Calibri"/>
                <w:sz w:val="20"/>
                <w:szCs w:val="20"/>
                <w:lang w:val="bg-BG" w:eastAsia="bg-BG"/>
              </w:rPr>
              <w:t>28,6%</w:t>
            </w:r>
          </w:p>
        </w:tc>
      </w:tr>
      <w:tr w:rsidR="0046431A" w:rsidRPr="0046431A" w14:paraId="1EFE40D0" w14:textId="77777777" w:rsidTr="00C96DE5">
        <w:trPr>
          <w:trHeight w:val="327"/>
        </w:trPr>
        <w:tc>
          <w:tcPr>
            <w:tcW w:w="374" w:type="pct"/>
            <w:tcBorders>
              <w:top w:val="nil"/>
              <w:left w:val="single" w:sz="4" w:space="0" w:color="auto"/>
              <w:bottom w:val="single" w:sz="4" w:space="0" w:color="auto"/>
              <w:right w:val="single" w:sz="4" w:space="0" w:color="auto"/>
            </w:tcBorders>
            <w:shd w:val="clear" w:color="000000" w:fill="FFFFFF"/>
            <w:vAlign w:val="center"/>
            <w:hideMark/>
          </w:tcPr>
          <w:p w14:paraId="57F72635" w14:textId="77777777" w:rsidR="0046431A" w:rsidRPr="0046431A" w:rsidRDefault="0046431A" w:rsidP="0046431A">
            <w:pPr>
              <w:jc w:val="center"/>
              <w:rPr>
                <w:rFonts w:ascii="Arial Narrow" w:hAnsi="Arial Narrow" w:cs="Calibri"/>
                <w:b/>
                <w:bCs/>
                <w:sz w:val="20"/>
                <w:szCs w:val="20"/>
                <w:lang w:val="bg-BG" w:eastAsia="bg-BG"/>
              </w:rPr>
            </w:pPr>
            <w:r w:rsidRPr="0046431A">
              <w:rPr>
                <w:rFonts w:ascii="Arial Narrow" w:hAnsi="Arial Narrow" w:cs="Calibri"/>
                <w:b/>
                <w:bCs/>
                <w:sz w:val="20"/>
                <w:szCs w:val="20"/>
                <w:lang w:val="bg-BG" w:eastAsia="bg-BG"/>
              </w:rPr>
              <w:t>XIII</w:t>
            </w:r>
          </w:p>
        </w:tc>
        <w:tc>
          <w:tcPr>
            <w:tcW w:w="3346" w:type="pct"/>
            <w:tcBorders>
              <w:top w:val="nil"/>
              <w:left w:val="nil"/>
              <w:bottom w:val="single" w:sz="4" w:space="0" w:color="auto"/>
              <w:right w:val="single" w:sz="4" w:space="0" w:color="auto"/>
            </w:tcBorders>
            <w:shd w:val="clear" w:color="000000" w:fill="FFFFFF"/>
            <w:vAlign w:val="center"/>
            <w:hideMark/>
          </w:tcPr>
          <w:p w14:paraId="3F819F16" w14:textId="77777777" w:rsidR="0046431A" w:rsidRPr="0046431A" w:rsidRDefault="0046431A" w:rsidP="0046431A">
            <w:pPr>
              <w:rPr>
                <w:rFonts w:ascii="Arial Narrow" w:hAnsi="Arial Narrow" w:cs="Calibri"/>
                <w:sz w:val="20"/>
                <w:szCs w:val="20"/>
                <w:lang w:val="bg-BG" w:eastAsia="bg-BG"/>
              </w:rPr>
            </w:pPr>
            <w:r w:rsidRPr="0046431A">
              <w:rPr>
                <w:rFonts w:ascii="Arial Narrow" w:hAnsi="Arial Narrow" w:cs="Calibri"/>
                <w:sz w:val="20"/>
                <w:szCs w:val="20"/>
                <w:lang w:val="bg-BG" w:eastAsia="bg-BG"/>
              </w:rPr>
              <w:t>Други регистрирани оператори</w:t>
            </w:r>
          </w:p>
        </w:tc>
        <w:tc>
          <w:tcPr>
            <w:tcW w:w="431" w:type="pct"/>
            <w:tcBorders>
              <w:top w:val="nil"/>
              <w:left w:val="nil"/>
              <w:bottom w:val="single" w:sz="4" w:space="0" w:color="auto"/>
              <w:right w:val="single" w:sz="4" w:space="0" w:color="auto"/>
            </w:tcBorders>
            <w:shd w:val="clear" w:color="000000" w:fill="FFFFFF"/>
            <w:noWrap/>
            <w:vAlign w:val="center"/>
            <w:hideMark/>
          </w:tcPr>
          <w:p w14:paraId="6AC0F50B" w14:textId="77777777" w:rsidR="0046431A" w:rsidRPr="0046431A" w:rsidRDefault="0046431A" w:rsidP="0046431A">
            <w:pPr>
              <w:jc w:val="right"/>
              <w:rPr>
                <w:rFonts w:ascii="Arial Narrow" w:hAnsi="Arial Narrow" w:cs="Calibri"/>
                <w:sz w:val="20"/>
                <w:szCs w:val="20"/>
                <w:lang w:val="bg-BG" w:eastAsia="bg-BG"/>
              </w:rPr>
            </w:pPr>
            <w:r w:rsidRPr="0046431A">
              <w:rPr>
                <w:rFonts w:ascii="Arial Narrow" w:hAnsi="Arial Narrow" w:cs="Calibri"/>
                <w:sz w:val="20"/>
                <w:szCs w:val="20"/>
                <w:lang w:val="bg-BG" w:eastAsia="bg-BG"/>
              </w:rPr>
              <w:t>49</w:t>
            </w:r>
          </w:p>
        </w:tc>
        <w:tc>
          <w:tcPr>
            <w:tcW w:w="432" w:type="pct"/>
            <w:tcBorders>
              <w:top w:val="single" w:sz="4" w:space="0" w:color="auto"/>
              <w:bottom w:val="single" w:sz="4" w:space="0" w:color="auto"/>
              <w:right w:val="single" w:sz="4" w:space="0" w:color="auto"/>
            </w:tcBorders>
            <w:shd w:val="clear" w:color="auto" w:fill="auto"/>
            <w:noWrap/>
            <w:vAlign w:val="center"/>
          </w:tcPr>
          <w:p w14:paraId="07858FF9" w14:textId="77777777" w:rsidR="0046431A" w:rsidRPr="0046431A" w:rsidRDefault="0046431A" w:rsidP="0046431A">
            <w:pPr>
              <w:jc w:val="right"/>
              <w:rPr>
                <w:rFonts w:ascii="Arial Narrow" w:hAnsi="Arial Narrow" w:cs="Calibri"/>
                <w:sz w:val="20"/>
                <w:szCs w:val="20"/>
                <w:lang w:val="bg-BG" w:eastAsia="bg-BG"/>
              </w:rPr>
            </w:pPr>
            <w:r w:rsidRPr="0046431A">
              <w:rPr>
                <w:rFonts w:ascii="Arial Narrow" w:hAnsi="Arial Narrow" w:cs="Calibri"/>
                <w:sz w:val="20"/>
                <w:szCs w:val="20"/>
                <w:lang w:val="bg-BG" w:eastAsia="bg-BG"/>
              </w:rPr>
              <w:t>64</w:t>
            </w:r>
          </w:p>
        </w:tc>
        <w:tc>
          <w:tcPr>
            <w:tcW w:w="41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9F1094B" w14:textId="77777777" w:rsidR="0046431A" w:rsidRPr="0046431A" w:rsidRDefault="0046431A" w:rsidP="0046431A">
            <w:pPr>
              <w:jc w:val="right"/>
              <w:rPr>
                <w:rFonts w:ascii="Arial Narrow" w:hAnsi="Arial Narrow" w:cs="Calibri"/>
                <w:sz w:val="20"/>
                <w:szCs w:val="20"/>
                <w:lang w:val="bg-BG" w:eastAsia="bg-BG"/>
              </w:rPr>
            </w:pPr>
            <w:r w:rsidRPr="0046431A">
              <w:rPr>
                <w:rFonts w:ascii="Arial Narrow" w:hAnsi="Arial Narrow" w:cs="Calibri"/>
                <w:sz w:val="20"/>
                <w:szCs w:val="20"/>
                <w:lang w:val="bg-BG" w:eastAsia="bg-BG"/>
              </w:rPr>
              <w:t>30,6%</w:t>
            </w:r>
          </w:p>
        </w:tc>
      </w:tr>
      <w:tr w:rsidR="0046431A" w:rsidRPr="0046431A" w14:paraId="3B68AE52" w14:textId="77777777" w:rsidTr="00C96DE5">
        <w:trPr>
          <w:trHeight w:val="327"/>
        </w:trPr>
        <w:tc>
          <w:tcPr>
            <w:tcW w:w="374" w:type="pct"/>
            <w:tcBorders>
              <w:top w:val="nil"/>
              <w:left w:val="single" w:sz="4" w:space="0" w:color="auto"/>
              <w:bottom w:val="single" w:sz="4" w:space="0" w:color="auto"/>
              <w:right w:val="single" w:sz="4" w:space="0" w:color="auto"/>
            </w:tcBorders>
            <w:shd w:val="clear" w:color="000000" w:fill="FFFFFF"/>
            <w:vAlign w:val="center"/>
            <w:hideMark/>
          </w:tcPr>
          <w:p w14:paraId="1B0938BE" w14:textId="77777777" w:rsidR="0046431A" w:rsidRPr="0046431A" w:rsidRDefault="0046431A" w:rsidP="0046431A">
            <w:pPr>
              <w:jc w:val="center"/>
              <w:rPr>
                <w:rFonts w:ascii="Arial Narrow" w:hAnsi="Arial Narrow" w:cs="Calibri"/>
                <w:b/>
                <w:bCs/>
                <w:sz w:val="20"/>
                <w:szCs w:val="20"/>
                <w:lang w:val="bg-BG" w:eastAsia="bg-BG"/>
              </w:rPr>
            </w:pPr>
            <w:r w:rsidRPr="0046431A">
              <w:rPr>
                <w:rFonts w:ascii="Arial Narrow" w:hAnsi="Arial Narrow" w:cs="Calibri"/>
                <w:b/>
                <w:bCs/>
                <w:sz w:val="20"/>
                <w:szCs w:val="20"/>
                <w:lang w:val="bg-BG" w:eastAsia="bg-BG"/>
              </w:rPr>
              <w:t> </w:t>
            </w:r>
          </w:p>
        </w:tc>
        <w:tc>
          <w:tcPr>
            <w:tcW w:w="3346" w:type="pct"/>
            <w:tcBorders>
              <w:top w:val="nil"/>
              <w:left w:val="nil"/>
              <w:bottom w:val="single" w:sz="4" w:space="0" w:color="auto"/>
              <w:right w:val="single" w:sz="4" w:space="0" w:color="auto"/>
            </w:tcBorders>
            <w:shd w:val="clear" w:color="000000" w:fill="FFFFFF"/>
            <w:vAlign w:val="center"/>
            <w:hideMark/>
          </w:tcPr>
          <w:p w14:paraId="4BD287F2" w14:textId="77777777" w:rsidR="0046431A" w:rsidRPr="0046431A" w:rsidRDefault="0046431A" w:rsidP="0046431A">
            <w:pPr>
              <w:rPr>
                <w:rFonts w:ascii="Arial Narrow" w:hAnsi="Arial Narrow" w:cs="Calibri"/>
                <w:b/>
                <w:bCs/>
                <w:sz w:val="20"/>
                <w:szCs w:val="20"/>
                <w:lang w:val="bg-BG" w:eastAsia="bg-BG"/>
              </w:rPr>
            </w:pPr>
            <w:r w:rsidRPr="0046431A">
              <w:rPr>
                <w:rFonts w:ascii="Arial Narrow" w:hAnsi="Arial Narrow" w:cs="Calibri"/>
                <w:b/>
                <w:bCs/>
                <w:sz w:val="20"/>
                <w:szCs w:val="20"/>
                <w:lang w:val="bg-BG" w:eastAsia="bg-BG"/>
              </w:rPr>
              <w:t>Общо:</w:t>
            </w:r>
          </w:p>
        </w:tc>
        <w:tc>
          <w:tcPr>
            <w:tcW w:w="431" w:type="pct"/>
            <w:tcBorders>
              <w:top w:val="nil"/>
              <w:left w:val="nil"/>
              <w:bottom w:val="single" w:sz="4" w:space="0" w:color="auto"/>
              <w:right w:val="single" w:sz="4" w:space="0" w:color="auto"/>
            </w:tcBorders>
            <w:shd w:val="clear" w:color="000000" w:fill="FFFFFF"/>
            <w:noWrap/>
            <w:vAlign w:val="center"/>
            <w:hideMark/>
          </w:tcPr>
          <w:p w14:paraId="66B62E39" w14:textId="77777777" w:rsidR="0046431A" w:rsidRPr="0046431A" w:rsidRDefault="0046431A" w:rsidP="0046431A">
            <w:pPr>
              <w:jc w:val="right"/>
              <w:rPr>
                <w:rFonts w:ascii="Arial Narrow" w:hAnsi="Arial Narrow" w:cs="Calibri"/>
                <w:b/>
                <w:bCs/>
                <w:sz w:val="20"/>
                <w:szCs w:val="20"/>
                <w:lang w:val="bg-BG" w:eastAsia="bg-BG"/>
              </w:rPr>
            </w:pPr>
            <w:r w:rsidRPr="0046431A">
              <w:rPr>
                <w:rFonts w:ascii="Arial Narrow" w:hAnsi="Arial Narrow" w:cs="Calibri"/>
                <w:b/>
                <w:bCs/>
                <w:sz w:val="20"/>
                <w:szCs w:val="20"/>
                <w:lang w:val="bg-BG" w:eastAsia="bg-BG"/>
              </w:rPr>
              <w:t>560</w:t>
            </w:r>
          </w:p>
        </w:tc>
        <w:tc>
          <w:tcPr>
            <w:tcW w:w="432" w:type="pct"/>
            <w:tcBorders>
              <w:top w:val="single" w:sz="4" w:space="0" w:color="auto"/>
              <w:bottom w:val="single" w:sz="4" w:space="0" w:color="auto"/>
              <w:right w:val="single" w:sz="4" w:space="0" w:color="auto"/>
            </w:tcBorders>
            <w:shd w:val="clear" w:color="auto" w:fill="auto"/>
            <w:noWrap/>
            <w:vAlign w:val="center"/>
          </w:tcPr>
          <w:p w14:paraId="76181C57" w14:textId="77777777" w:rsidR="0046431A" w:rsidRPr="0046431A" w:rsidRDefault="0046431A" w:rsidP="0046431A">
            <w:pPr>
              <w:jc w:val="right"/>
              <w:rPr>
                <w:rFonts w:ascii="Arial Narrow" w:hAnsi="Arial Narrow" w:cs="Calibri"/>
                <w:b/>
                <w:sz w:val="20"/>
                <w:szCs w:val="20"/>
                <w:lang w:val="bg-BG" w:eastAsia="bg-BG"/>
              </w:rPr>
            </w:pPr>
            <w:r w:rsidRPr="0046431A">
              <w:rPr>
                <w:rFonts w:ascii="Arial Narrow" w:hAnsi="Arial Narrow" w:cs="Calibri"/>
                <w:b/>
                <w:sz w:val="20"/>
                <w:szCs w:val="20"/>
                <w:lang w:val="bg-BG" w:eastAsia="bg-BG"/>
              </w:rPr>
              <w:t>709</w:t>
            </w:r>
          </w:p>
        </w:tc>
        <w:tc>
          <w:tcPr>
            <w:tcW w:w="41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6043B6E" w14:textId="77777777" w:rsidR="0046431A" w:rsidRPr="0046431A" w:rsidRDefault="0046431A" w:rsidP="0046431A">
            <w:pPr>
              <w:jc w:val="right"/>
              <w:rPr>
                <w:rFonts w:ascii="Arial Narrow" w:hAnsi="Arial Narrow" w:cs="Calibri"/>
                <w:b/>
                <w:sz w:val="20"/>
                <w:szCs w:val="20"/>
                <w:lang w:val="bg-BG" w:eastAsia="bg-BG"/>
              </w:rPr>
            </w:pPr>
            <w:r w:rsidRPr="0046431A">
              <w:rPr>
                <w:rFonts w:ascii="Arial Narrow" w:hAnsi="Arial Narrow" w:cs="Calibri"/>
                <w:b/>
                <w:sz w:val="20"/>
                <w:szCs w:val="20"/>
                <w:lang w:val="bg-BG" w:eastAsia="bg-BG"/>
              </w:rPr>
              <w:t>26,6%</w:t>
            </w:r>
          </w:p>
        </w:tc>
      </w:tr>
    </w:tbl>
    <w:p w14:paraId="39F464F1" w14:textId="77777777" w:rsidR="00357107" w:rsidRPr="00FA778C" w:rsidRDefault="0046431A" w:rsidP="00FA778C">
      <w:pPr>
        <w:widowControl w:val="0"/>
        <w:overflowPunct w:val="0"/>
        <w:autoSpaceDE w:val="0"/>
        <w:autoSpaceDN w:val="0"/>
        <w:adjustRightInd w:val="0"/>
        <w:spacing w:after="120"/>
        <w:jc w:val="both"/>
        <w:rPr>
          <w:rFonts w:ascii="Arial Narrow" w:eastAsia="Calibri" w:hAnsi="Arial Narrow"/>
          <w:bCs/>
          <w:iCs/>
          <w:sz w:val="18"/>
          <w:szCs w:val="18"/>
          <w:lang w:val="bg-BG"/>
        </w:rPr>
      </w:pPr>
      <w:r w:rsidRPr="0046431A">
        <w:rPr>
          <w:rFonts w:ascii="Arial Narrow" w:eastAsia="Calibri" w:hAnsi="Arial Narrow"/>
          <w:bCs/>
          <w:i/>
          <w:iCs/>
          <w:sz w:val="18"/>
          <w:szCs w:val="18"/>
          <w:lang w:val="bg-BG"/>
        </w:rPr>
        <w:t xml:space="preserve">Източник: </w:t>
      </w:r>
      <w:r w:rsidR="00FA778C">
        <w:rPr>
          <w:rFonts w:ascii="Arial Narrow" w:eastAsia="Calibri" w:hAnsi="Arial Narrow"/>
          <w:bCs/>
          <w:iCs/>
          <w:sz w:val="18"/>
          <w:szCs w:val="18"/>
          <w:lang w:val="bg-BG"/>
        </w:rPr>
        <w:t>БАБХ</w:t>
      </w:r>
    </w:p>
    <w:p w14:paraId="6FD153A1" w14:textId="77777777" w:rsidR="0046431A" w:rsidRPr="0046431A" w:rsidRDefault="0046431A" w:rsidP="0046431A">
      <w:pPr>
        <w:spacing w:after="120"/>
        <w:ind w:firstLine="709"/>
        <w:jc w:val="both"/>
        <w:rPr>
          <w:rFonts w:ascii="Arial Narrow" w:hAnsi="Arial Narrow"/>
          <w:b/>
          <w:i/>
          <w:lang w:val="bg-BG" w:eastAsia="bg-BG"/>
        </w:rPr>
      </w:pPr>
      <w:r w:rsidRPr="0046431A">
        <w:rPr>
          <w:rFonts w:ascii="Arial Narrow" w:hAnsi="Arial Narrow"/>
          <w:b/>
          <w:i/>
          <w:lang w:val="bg-BG" w:eastAsia="bg-BG"/>
        </w:rPr>
        <w:t>Официален контрол на оператори, обекти и предприятия, боравещи със СЖП и производни продукти</w:t>
      </w:r>
    </w:p>
    <w:p w14:paraId="4C823EC6" w14:textId="77777777" w:rsidR="0046431A" w:rsidRPr="0046431A" w:rsidRDefault="0046431A" w:rsidP="0046431A">
      <w:pPr>
        <w:spacing w:after="120"/>
        <w:ind w:firstLine="706"/>
        <w:jc w:val="both"/>
        <w:rPr>
          <w:rFonts w:ascii="Arial Narrow" w:hAnsi="Arial Narrow"/>
          <w:lang w:val="bg-BG" w:eastAsia="bg-BG"/>
        </w:rPr>
      </w:pPr>
      <w:r w:rsidRPr="0046431A">
        <w:rPr>
          <w:rFonts w:ascii="Arial Narrow" w:hAnsi="Arial Narrow"/>
          <w:lang w:val="bg-BG" w:eastAsia="bg-BG"/>
        </w:rPr>
        <w:t>При провеждането на официалния контрол през 2024 г. ОДБХ са извършили общо 889 проверки на оператори, обекти и предприятия, боравещи със СЖП и производни продукти, в т.ч.: 231 проверки при планов контрол; 639 проверки при извънпланов контрол и 19 одита.</w:t>
      </w:r>
    </w:p>
    <w:p w14:paraId="3BAF125D" w14:textId="77777777" w:rsidR="0046431A" w:rsidRPr="0046431A" w:rsidRDefault="0046431A" w:rsidP="0046431A">
      <w:pPr>
        <w:spacing w:after="120"/>
        <w:ind w:firstLine="709"/>
        <w:jc w:val="both"/>
        <w:rPr>
          <w:rFonts w:ascii="Arial Narrow" w:hAnsi="Arial Narrow"/>
          <w:lang w:val="bg-BG" w:eastAsia="bg-BG"/>
        </w:rPr>
      </w:pPr>
      <w:r w:rsidRPr="0046431A">
        <w:rPr>
          <w:rFonts w:ascii="Arial Narrow" w:hAnsi="Arial Narrow"/>
          <w:lang w:val="bg-BG" w:eastAsia="bg-BG"/>
        </w:rPr>
        <w:t>В сравнение с 2023 г., броят на извършените проверки намалява с 606 броя или с 40,5%, което се дължи основно на по-малкия брой извънпланови проверки във връзка със сигнали, жалби, регистрация/одобрение, търговия, транспорт на СЖП и износ.  Извършените одити се понижават с 21 броя или с над 50%,</w:t>
      </w:r>
      <w:r w:rsidRPr="0046431A">
        <w:rPr>
          <w:rFonts w:ascii="Calibri" w:eastAsia="Calibri" w:hAnsi="Calibri"/>
          <w:sz w:val="22"/>
          <w:szCs w:val="22"/>
        </w:rPr>
        <w:t xml:space="preserve"> </w:t>
      </w:r>
      <w:r w:rsidRPr="0046431A">
        <w:rPr>
          <w:rFonts w:ascii="Arial Narrow" w:hAnsi="Arial Narrow"/>
          <w:lang w:val="bg-BG" w:eastAsia="bg-BG"/>
        </w:rPr>
        <w:t>тъй като одитите се планират и извършват с минимална честота веднъж на 3 години.</w:t>
      </w:r>
    </w:p>
    <w:p w14:paraId="46604ADC" w14:textId="77777777" w:rsidR="0046431A" w:rsidRPr="0046431A" w:rsidRDefault="0046431A" w:rsidP="0046431A">
      <w:pPr>
        <w:spacing w:after="120"/>
        <w:ind w:firstLine="709"/>
        <w:jc w:val="both"/>
        <w:rPr>
          <w:rFonts w:ascii="Arial Narrow" w:hAnsi="Arial Narrow"/>
          <w:lang w:val="bg-BG" w:eastAsia="bg-BG"/>
        </w:rPr>
      </w:pPr>
      <w:r w:rsidRPr="0046431A">
        <w:rPr>
          <w:rFonts w:ascii="Arial Narrow" w:hAnsi="Arial Narrow"/>
          <w:lang w:val="bg-BG" w:eastAsia="bg-BG"/>
        </w:rPr>
        <w:t xml:space="preserve">Честотата на официалния планов контрол на база индивидуална оценка на риска варира от един до четири пъти годишно. През 2024 г. на регистрираните общо 530 броя оператори, обекти и предприятия, боравещи със СЖП и производни продукти по чл. 24 от Регламент (ЕО) № 1069/2009 са извършени общо 617 проверки, а на регистрираните 179 броя обекти, предприятия и оператори по чл. 23 от Регламент (ЕО) № 1069/2009 – общо 272 проверки. </w:t>
      </w:r>
    </w:p>
    <w:p w14:paraId="7724A1ED" w14:textId="77777777" w:rsidR="0046431A" w:rsidRPr="0046431A" w:rsidRDefault="0046431A" w:rsidP="0046431A">
      <w:pPr>
        <w:spacing w:after="120"/>
        <w:ind w:firstLine="709"/>
        <w:jc w:val="both"/>
        <w:rPr>
          <w:rFonts w:ascii="Arial Narrow" w:hAnsi="Arial Narrow"/>
          <w:lang w:val="bg-BG" w:eastAsia="bg-BG"/>
        </w:rPr>
      </w:pPr>
      <w:r w:rsidRPr="0046431A">
        <w:rPr>
          <w:rFonts w:ascii="Arial Narrow" w:hAnsi="Arial Narrow"/>
          <w:lang w:val="bg-BG" w:eastAsia="bg-BG"/>
        </w:rPr>
        <w:t xml:space="preserve">През 2024 г. са извършени 1 671 проверки по хоризонтални правила относно етикетиране и проследимост на СЖП и производни продукти, с 2,6% повече спрямо преходната година. Установени са общо 24 несъответствия по отношение на проследимост и безопасност на СЖП и производните продукти, за които са дадени 11 предписания и са издадени 3 акта за установено административно нарушение. По отношение на етикетирането не са установени несъответствия със законодателството. </w:t>
      </w:r>
    </w:p>
    <w:p w14:paraId="5364F04A" w14:textId="77777777" w:rsidR="0046431A" w:rsidRPr="0046431A" w:rsidRDefault="0046431A" w:rsidP="0046431A">
      <w:pPr>
        <w:spacing w:after="120"/>
        <w:ind w:firstLine="709"/>
        <w:jc w:val="both"/>
        <w:rPr>
          <w:rFonts w:ascii="Arial Narrow" w:hAnsi="Arial Narrow"/>
          <w:lang w:val="bg-BG" w:eastAsia="bg-BG"/>
        </w:rPr>
      </w:pPr>
      <w:r w:rsidRPr="0046431A">
        <w:rPr>
          <w:rFonts w:ascii="Arial Narrow" w:hAnsi="Arial Narrow"/>
          <w:lang w:val="bg-BG" w:eastAsia="bg-BG"/>
        </w:rPr>
        <w:t>В резултат на извършения официален контрол през 2024 г. на оператори, обекти и предприятия, боравещи със СЖП и производни продукти, са установени общо 14 несъответствия при 8 оператори, за което са дадени 11 предписания с конкретни срокове за отстраняването им и са издадени 3 АУАН. Несъответствията са във връзка с проследимост, обща хигиена, записи и процедури и съхранение.</w:t>
      </w:r>
    </w:p>
    <w:p w14:paraId="62633600" w14:textId="77777777" w:rsidR="0046431A" w:rsidRPr="0046431A" w:rsidRDefault="0046431A" w:rsidP="0046431A">
      <w:pPr>
        <w:spacing w:after="120"/>
        <w:ind w:firstLine="709"/>
        <w:jc w:val="both"/>
        <w:rPr>
          <w:rFonts w:ascii="Arial Narrow" w:hAnsi="Arial Narrow"/>
          <w:lang w:val="bg-BG" w:eastAsia="bg-BG"/>
        </w:rPr>
      </w:pPr>
      <w:r w:rsidRPr="0046431A">
        <w:rPr>
          <w:rFonts w:ascii="Arial Narrow" w:hAnsi="Arial Narrow"/>
          <w:lang w:val="bg-BG" w:eastAsia="bg-BG"/>
        </w:rPr>
        <w:t xml:space="preserve">В сравнение с предходната година се отчита намаление на установените несъответствия със 7 броя, както и на броя на операторите, при които са установени несъответствията и на дадените предписания, но се увеличават издадените АУАН. Установените несъответствия се вземат предвид при индивидуалната оценка на риска при планирането на официалния контрол през следващата година.  </w:t>
      </w:r>
    </w:p>
    <w:p w14:paraId="131B8627" w14:textId="77777777" w:rsidR="0046431A" w:rsidRPr="0046431A" w:rsidRDefault="0046431A" w:rsidP="0046431A">
      <w:pPr>
        <w:spacing w:after="120"/>
        <w:ind w:firstLine="709"/>
        <w:jc w:val="both"/>
        <w:rPr>
          <w:rFonts w:ascii="Arial Narrow" w:hAnsi="Arial Narrow"/>
          <w:b/>
          <w:i/>
          <w:lang w:val="bg-BG" w:eastAsia="bg-BG"/>
        </w:rPr>
      </w:pPr>
      <w:r w:rsidRPr="0046431A">
        <w:rPr>
          <w:rFonts w:ascii="Arial Narrow" w:hAnsi="Arial Narrow"/>
          <w:b/>
          <w:i/>
          <w:lang w:val="bg-BG" w:eastAsia="bg-BG"/>
        </w:rPr>
        <w:lastRenderedPageBreak/>
        <w:t>Официален контрол на СЖП в животновъдни обекти</w:t>
      </w:r>
    </w:p>
    <w:p w14:paraId="21F64C14" w14:textId="77777777" w:rsidR="0046431A" w:rsidRPr="0046431A" w:rsidRDefault="0046431A" w:rsidP="0046431A">
      <w:pPr>
        <w:spacing w:after="120"/>
        <w:ind w:firstLine="709"/>
        <w:jc w:val="both"/>
        <w:rPr>
          <w:rFonts w:ascii="Arial Narrow" w:hAnsi="Arial Narrow"/>
          <w:lang w:val="bg-BG" w:eastAsia="bg-BG"/>
        </w:rPr>
      </w:pPr>
      <w:r w:rsidRPr="0046431A">
        <w:rPr>
          <w:rFonts w:ascii="Arial Narrow" w:hAnsi="Arial Narrow"/>
          <w:lang w:val="bg-BG" w:eastAsia="bg-BG"/>
        </w:rPr>
        <w:t>През 2024 г. извършеният официален контрол в областта се оценява като задоволителен с общо 6 747 проверки за СЖП в животновъдни обекти, от които 3 195 броя - планови и 3 552 броя - извънпланови. Общият брой проверки нараства с 2,6% спрямо 2023 г. (когато са извършени 6 576 проверки).</w:t>
      </w:r>
    </w:p>
    <w:p w14:paraId="00D160CE" w14:textId="77777777" w:rsidR="0046431A" w:rsidRPr="0046431A" w:rsidRDefault="0046431A" w:rsidP="0046431A">
      <w:pPr>
        <w:spacing w:after="120"/>
        <w:ind w:firstLine="709"/>
        <w:jc w:val="both"/>
        <w:rPr>
          <w:rFonts w:ascii="Arial Narrow" w:hAnsi="Arial Narrow"/>
          <w:lang w:val="bg-BG" w:eastAsia="bg-BG"/>
        </w:rPr>
      </w:pPr>
      <w:r w:rsidRPr="0046431A">
        <w:rPr>
          <w:rFonts w:ascii="Arial Narrow" w:hAnsi="Arial Narrow"/>
          <w:lang w:val="bg-BG" w:eastAsia="bg-BG"/>
        </w:rPr>
        <w:t>В резултат от проверките са установени общо 283 несъответствия, за които са дадени 140 предписания, 34 АУАН, 4 акта за възбрана и 9 разпореждания. Броят на установените несъответствия намалява с 22% спрямо предходната година, а на обектите, в които са установени - с 28%. Дадените предписания, издадените АУАН и актовете за възбрана също са по-малко на годишна база (съответно с 116, 14 и 6 броя), за разлика от разпорежданията, които се увеличават с 9 броя.</w:t>
      </w:r>
    </w:p>
    <w:p w14:paraId="7B7B6186" w14:textId="77777777" w:rsidR="0046431A" w:rsidRPr="00357107" w:rsidRDefault="0046431A" w:rsidP="00357107">
      <w:pPr>
        <w:spacing w:after="120"/>
        <w:ind w:firstLine="709"/>
        <w:jc w:val="both"/>
        <w:rPr>
          <w:rFonts w:ascii="Arial Narrow" w:hAnsi="Arial Narrow"/>
          <w:lang w:val="bg-BG" w:eastAsia="bg-BG"/>
        </w:rPr>
      </w:pPr>
      <w:r w:rsidRPr="0046431A">
        <w:rPr>
          <w:rFonts w:ascii="Arial Narrow" w:hAnsi="Arial Narrow"/>
          <w:lang w:val="bg-BG" w:eastAsia="bg-BG"/>
        </w:rPr>
        <w:t xml:space="preserve">Най-често установяваните причини за допускане на несъответствия с изискванията на законодателството по отношение на СЖП и производните продукти на всеки етап от производствената верига са несъзнавана отговорност от страна на операторите, недостатъчните им познания за изискванията на европейското и национално секторно законодателство и недостатъчно финансови ресурси от страна на операторите.  </w:t>
      </w:r>
    </w:p>
    <w:p w14:paraId="475955B4" w14:textId="77777777" w:rsidR="00C64DC2" w:rsidRPr="00C64DC2" w:rsidRDefault="00F17F24" w:rsidP="00C64DC2">
      <w:pPr>
        <w:numPr>
          <w:ilvl w:val="1"/>
          <w:numId w:val="16"/>
        </w:numPr>
        <w:spacing w:after="120" w:line="276" w:lineRule="auto"/>
        <w:ind w:left="810" w:hanging="450"/>
        <w:outlineLvl w:val="0"/>
        <w:rPr>
          <w:rFonts w:ascii="Arial Narrow" w:hAnsi="Arial Narrow"/>
          <w:b/>
          <w:lang w:val="bg-BG"/>
        </w:rPr>
      </w:pPr>
      <w:bookmarkStart w:id="181" w:name="_Toc526866154"/>
      <w:bookmarkStart w:id="182" w:name="_Toc87952125"/>
      <w:bookmarkStart w:id="183" w:name="_Toc210747633"/>
      <w:r w:rsidRPr="00C64DC2">
        <w:rPr>
          <w:rFonts w:ascii="Arial Narrow" w:hAnsi="Arial Narrow"/>
          <w:b/>
          <w:lang w:val="bg-BG"/>
        </w:rPr>
        <w:t>Анализ на рисковете по хранителната верига</w:t>
      </w:r>
      <w:bookmarkEnd w:id="181"/>
      <w:bookmarkEnd w:id="182"/>
      <w:bookmarkEnd w:id="183"/>
    </w:p>
    <w:p w14:paraId="4939C1B7" w14:textId="77777777" w:rsidR="00C64DC2" w:rsidRPr="00C64DC2" w:rsidRDefault="00C64DC2" w:rsidP="00C64DC2">
      <w:pPr>
        <w:spacing w:after="120"/>
        <w:ind w:firstLine="709"/>
        <w:jc w:val="both"/>
        <w:rPr>
          <w:rFonts w:ascii="Arial Narrow" w:hAnsi="Arial Narrow"/>
          <w:lang w:val="bg-BG" w:eastAsia="bg-BG"/>
        </w:rPr>
      </w:pPr>
      <w:r w:rsidRPr="00C64DC2">
        <w:rPr>
          <w:rFonts w:ascii="Arial Narrow" w:hAnsi="Arial Narrow"/>
          <w:lang w:val="bg-BG" w:eastAsia="bg-BG"/>
        </w:rPr>
        <w:t>През 2024 г. Центърът за оценка на риска по хранителната верига (ЦОРХВ) продължава да  изпълнява една от основните си цели - изготвяне на научни становища и публикуване на научни обзори/анализи и информации в областта на здравеопазване, репродукция и хуманно отношение към животните, биологични и химични опасности по хранителната верига, зоонози, генетично модифицирани организми, материали за контакт с храни, здраве на растенията, пестицидни остатъци в храни, добавки в храни, хранителни добавки, нови храни, диетични продукти, хранене и алергени. Изготвените научни становища най-често са по искане на МЗХ, БАБХ, браншови организации в земеделието и други организации. Освен оценки на риска от разпространението и навлизането на особено опасни заболявания по животните и растенията, голяма част от становищата включват планирани оценки на риска за здравето на консуматорите и бързи такива при конкретни казуси на установени остатъци от химични замърсители в храни, в това число и пестициди, при което се дават препоръки за предприемане на мерки за управление на риска, свързан с безопасността на храните.</w:t>
      </w:r>
    </w:p>
    <w:p w14:paraId="47C975D4" w14:textId="77777777" w:rsidR="00C64DC2" w:rsidRPr="00C64DC2" w:rsidRDefault="00C64DC2" w:rsidP="00C64DC2">
      <w:pPr>
        <w:spacing w:after="120"/>
        <w:ind w:firstLine="709"/>
        <w:jc w:val="both"/>
        <w:rPr>
          <w:rFonts w:ascii="Arial Narrow" w:hAnsi="Arial Narrow"/>
          <w:lang w:val="bg-BG" w:eastAsia="bg-BG"/>
        </w:rPr>
      </w:pPr>
      <w:r w:rsidRPr="00C64DC2">
        <w:rPr>
          <w:rFonts w:ascii="Arial Narrow" w:hAnsi="Arial Narrow"/>
          <w:lang w:val="bg-BG" w:eastAsia="bg-BG"/>
        </w:rPr>
        <w:t>ЦОРХВ следи и анализира регулярно нотификациите в Системата за бързо предупреждение за храни и фуражи (Rapid Alert System for Food and Feed – RASFF) по отношение на най-често нотифицираните биологични опасности в храни, химични замърсители в храни, в това число и пестициди и тежки метали, микотоксини, генетично модифицирани храни, като дава препоръки към контролните органи за минимизиране на риска за потребителите в България. Всички публикации са достъпни на уебсайта на ЦОРХВ.</w:t>
      </w:r>
    </w:p>
    <w:p w14:paraId="16BA1285" w14:textId="77777777" w:rsidR="00C64DC2" w:rsidRPr="00C64DC2" w:rsidRDefault="00C64DC2" w:rsidP="00C64DC2">
      <w:pPr>
        <w:spacing w:after="120"/>
        <w:ind w:firstLine="709"/>
        <w:jc w:val="both"/>
        <w:rPr>
          <w:rFonts w:ascii="Arial Narrow" w:hAnsi="Arial Narrow"/>
          <w:lang w:val="bg-BG" w:eastAsia="bg-BG"/>
        </w:rPr>
      </w:pPr>
      <w:r w:rsidRPr="00C64DC2">
        <w:rPr>
          <w:rFonts w:ascii="Arial Narrow" w:hAnsi="Arial Narrow"/>
          <w:lang w:val="bg-BG" w:eastAsia="bg-BG"/>
        </w:rPr>
        <w:t>Акценти в дейността на ЦОРХВ през годината остават:</w:t>
      </w:r>
    </w:p>
    <w:p w14:paraId="7B653D3F" w14:textId="77777777" w:rsidR="00C64DC2" w:rsidRPr="00C64DC2" w:rsidRDefault="00C64DC2" w:rsidP="009C6577">
      <w:pPr>
        <w:numPr>
          <w:ilvl w:val="0"/>
          <w:numId w:val="89"/>
        </w:numPr>
        <w:overflowPunct w:val="0"/>
        <w:autoSpaceDE w:val="0"/>
        <w:autoSpaceDN w:val="0"/>
        <w:adjustRightInd w:val="0"/>
        <w:spacing w:after="120" w:line="276" w:lineRule="auto"/>
        <w:jc w:val="both"/>
        <w:rPr>
          <w:rFonts w:ascii="Arial Narrow" w:eastAsia="Calibri" w:hAnsi="Arial Narrow"/>
          <w:lang w:val="bg-BG"/>
        </w:rPr>
      </w:pPr>
      <w:r w:rsidRPr="00C64DC2">
        <w:rPr>
          <w:rFonts w:ascii="Arial Narrow" w:eastAsia="Calibri" w:hAnsi="Arial Narrow"/>
          <w:lang w:val="bg-BG"/>
        </w:rPr>
        <w:t xml:space="preserve">Непрекъснат мониторинг и оценка на хода на заболяването високо патогенна Инфлуенца А по птиците, което за поредна година се разпространява в България и води до големи загуби за птицевъдната индустрия. Регулярно се правят оценки на риска преди всяко повторно населване на птицефермите след възникнало огнище на високопатогенна инфлуенца А по птиците. Основен приоритет е оценка на различни стратегии за ваксинация на птиците в България, като се вземат предвид наличните данни за територията на страната и препоръки относно необходимостта от изготвяне на стратегия на база оценка на риска – видове налични ваксини, антигенна близост на ваксините с българските щамове на вируса, определяне на високорисковите зони в страната и уязвими популации в сектора на птиците, определяне на видовете и категориите на птиците, които подлежат на ваксинация, варианти на ваксинационни стратегии, подходящи схеми за надзор, като основно съображение е запазването на търговските пазари за износ на продукция от ваксинирани животни и положителни резултати от провежданата ваксинация на патици във Франция и клинични проучвания при кокошки в Нидерландия; Предвид еволюцията на инфлуенчните вируси по света и </w:t>
      </w:r>
      <w:r w:rsidRPr="00C64DC2">
        <w:rPr>
          <w:rFonts w:ascii="Arial Narrow" w:eastAsia="Calibri" w:hAnsi="Arial Narrow"/>
          <w:lang w:val="bg-BG"/>
        </w:rPr>
        <w:lastRenderedPageBreak/>
        <w:t>засягане на други животински видове е оценен рискът от разпространение на вируса на инфлуенца А при крави в България и рискът от въвеждане на заболяването инфлуенца D в България.</w:t>
      </w:r>
    </w:p>
    <w:p w14:paraId="75EB9E48" w14:textId="77777777" w:rsidR="00C64DC2" w:rsidRPr="00C64DC2" w:rsidRDefault="00C64DC2" w:rsidP="009C6577">
      <w:pPr>
        <w:numPr>
          <w:ilvl w:val="0"/>
          <w:numId w:val="89"/>
        </w:numPr>
        <w:overflowPunct w:val="0"/>
        <w:autoSpaceDE w:val="0"/>
        <w:autoSpaceDN w:val="0"/>
        <w:adjustRightInd w:val="0"/>
        <w:spacing w:after="120" w:line="276" w:lineRule="auto"/>
        <w:jc w:val="both"/>
        <w:rPr>
          <w:rFonts w:ascii="Arial Narrow" w:eastAsia="Calibri" w:hAnsi="Arial Narrow"/>
          <w:lang w:val="bg-BG"/>
        </w:rPr>
      </w:pPr>
      <w:r w:rsidRPr="00C64DC2">
        <w:rPr>
          <w:rFonts w:ascii="Arial Narrow" w:eastAsia="Calibri" w:hAnsi="Arial Narrow"/>
          <w:lang w:val="bg-BG"/>
        </w:rPr>
        <w:t>Проследяване на развитието на епидемичната обстановка в света и България по отношение на редица други заразни заболявания по животните и зоонози, като:</w:t>
      </w:r>
    </w:p>
    <w:p w14:paraId="6B242EDC" w14:textId="77777777" w:rsidR="00C64DC2" w:rsidRPr="00C64DC2" w:rsidRDefault="00C64DC2" w:rsidP="009C6577">
      <w:pPr>
        <w:numPr>
          <w:ilvl w:val="1"/>
          <w:numId w:val="37"/>
        </w:numPr>
        <w:overflowPunct w:val="0"/>
        <w:autoSpaceDE w:val="0"/>
        <w:autoSpaceDN w:val="0"/>
        <w:adjustRightInd w:val="0"/>
        <w:spacing w:after="120" w:line="276" w:lineRule="auto"/>
        <w:jc w:val="both"/>
        <w:rPr>
          <w:rFonts w:ascii="Arial Narrow" w:eastAsia="Calibri" w:hAnsi="Arial Narrow"/>
          <w:lang w:val="bg-BG"/>
        </w:rPr>
      </w:pPr>
      <w:r w:rsidRPr="00C64DC2">
        <w:rPr>
          <w:rFonts w:ascii="Arial Narrow" w:eastAsia="Calibri" w:hAnsi="Arial Narrow"/>
          <w:lang w:val="bg-BG"/>
        </w:rPr>
        <w:t>Африканската чума по свинете (АЧС), по отношение на която епидемичната обстановка в България се стабилизира още през 2023 г. и остана такава през цялата 2024 г. без огнища при домашни свине. ЦОРХВ разгледа и предостави на браншовите организации в сектор „Свиневъдство“ най-новата научна информация за оцеляване на вируса на АЧС във фуражи, постелки и механични вектори и тяхната потенциална роля в предаването на вируса с цел превенция на навлизане на заболяването във фермите и Стратегии за биосигурност и контрол на наличието на вируси по свинете във фуражни съставки и пълноценни фуражи; изготви Междинна бърза оценка на риска от разпространение на Африканска чума по свинете в България за първото полугодие на 2024 г. и участва в изготвянето и утвърждаването на План за контрол и предотвратяване на разпространението на заболяването Африканска чума по свинете в Република България за периода 2024 – 2026 г.;</w:t>
      </w:r>
    </w:p>
    <w:p w14:paraId="66268DC1" w14:textId="77777777" w:rsidR="00C64DC2" w:rsidRPr="00C64DC2" w:rsidRDefault="00C64DC2" w:rsidP="009C6577">
      <w:pPr>
        <w:numPr>
          <w:ilvl w:val="1"/>
          <w:numId w:val="37"/>
        </w:numPr>
        <w:overflowPunct w:val="0"/>
        <w:autoSpaceDE w:val="0"/>
        <w:autoSpaceDN w:val="0"/>
        <w:adjustRightInd w:val="0"/>
        <w:spacing w:after="120" w:line="276" w:lineRule="auto"/>
        <w:jc w:val="both"/>
        <w:rPr>
          <w:rFonts w:ascii="Arial Narrow" w:eastAsia="Calibri" w:hAnsi="Arial Narrow"/>
          <w:lang w:val="bg-BG"/>
        </w:rPr>
      </w:pPr>
      <w:r w:rsidRPr="00C64DC2">
        <w:rPr>
          <w:rFonts w:ascii="Arial Narrow" w:eastAsia="Calibri" w:hAnsi="Arial Narrow"/>
          <w:lang w:val="bg-BG"/>
        </w:rPr>
        <w:t>Инфекциозна анемия при конете в България;</w:t>
      </w:r>
    </w:p>
    <w:p w14:paraId="70190B3D" w14:textId="77777777" w:rsidR="00C64DC2" w:rsidRPr="00C64DC2" w:rsidRDefault="00C64DC2" w:rsidP="009C6577">
      <w:pPr>
        <w:numPr>
          <w:ilvl w:val="1"/>
          <w:numId w:val="37"/>
        </w:numPr>
        <w:overflowPunct w:val="0"/>
        <w:autoSpaceDE w:val="0"/>
        <w:autoSpaceDN w:val="0"/>
        <w:adjustRightInd w:val="0"/>
        <w:spacing w:after="120" w:line="276" w:lineRule="auto"/>
        <w:jc w:val="both"/>
        <w:rPr>
          <w:rFonts w:ascii="Arial Narrow" w:eastAsia="Calibri" w:hAnsi="Arial Narrow"/>
          <w:lang w:val="bg-BG"/>
        </w:rPr>
      </w:pPr>
      <w:r w:rsidRPr="00C64DC2">
        <w:rPr>
          <w:rFonts w:ascii="Arial Narrow" w:eastAsia="Calibri" w:hAnsi="Arial Narrow"/>
          <w:lang w:val="bg-BG"/>
        </w:rPr>
        <w:t>Оценка на риска от разпространение на Епизотична хеморагична болест в България като нововъзникваща опасност за държавите в Европа, която следва да се проследява с нарастващо внимание;</w:t>
      </w:r>
    </w:p>
    <w:p w14:paraId="0BD1131B" w14:textId="77777777" w:rsidR="00C64DC2" w:rsidRPr="00C64DC2" w:rsidRDefault="00C64DC2" w:rsidP="009C6577">
      <w:pPr>
        <w:numPr>
          <w:ilvl w:val="1"/>
          <w:numId w:val="37"/>
        </w:numPr>
        <w:overflowPunct w:val="0"/>
        <w:autoSpaceDE w:val="0"/>
        <w:autoSpaceDN w:val="0"/>
        <w:adjustRightInd w:val="0"/>
        <w:spacing w:after="120" w:line="276" w:lineRule="auto"/>
        <w:jc w:val="both"/>
        <w:rPr>
          <w:rFonts w:ascii="Arial Narrow" w:eastAsia="Calibri" w:hAnsi="Arial Narrow"/>
          <w:lang w:val="bg-BG"/>
        </w:rPr>
      </w:pPr>
      <w:r w:rsidRPr="00C64DC2">
        <w:rPr>
          <w:rFonts w:ascii="Arial Narrow" w:eastAsia="Calibri" w:hAnsi="Arial Narrow"/>
          <w:lang w:val="bg-BG"/>
        </w:rPr>
        <w:t>Разпространението на Азиатския тигров комар (Aedes albopictus) и ролята му в разпространението на векторно предавани вирусни заболявания, които поради климатичните промени обхващат все по-северни ареали;</w:t>
      </w:r>
    </w:p>
    <w:p w14:paraId="6ED6B4AB" w14:textId="77777777" w:rsidR="00C64DC2" w:rsidRPr="00C64DC2" w:rsidRDefault="00C64DC2" w:rsidP="009C6577">
      <w:pPr>
        <w:numPr>
          <w:ilvl w:val="1"/>
          <w:numId w:val="37"/>
        </w:numPr>
        <w:overflowPunct w:val="0"/>
        <w:autoSpaceDE w:val="0"/>
        <w:autoSpaceDN w:val="0"/>
        <w:adjustRightInd w:val="0"/>
        <w:spacing w:after="120" w:line="276" w:lineRule="auto"/>
        <w:jc w:val="both"/>
        <w:rPr>
          <w:rFonts w:ascii="Arial Narrow" w:eastAsia="Calibri" w:hAnsi="Arial Narrow"/>
          <w:lang w:val="bg-BG"/>
        </w:rPr>
      </w:pPr>
      <w:r w:rsidRPr="00C64DC2">
        <w:rPr>
          <w:rFonts w:ascii="Arial Narrow" w:eastAsia="Calibri" w:hAnsi="Arial Narrow"/>
          <w:lang w:val="bg-BG"/>
        </w:rPr>
        <w:t>Риск от разпространение на SARS COV-2 от хора на животни и обратното му въвеждане в човешката популация;</w:t>
      </w:r>
    </w:p>
    <w:p w14:paraId="3DDDF75C" w14:textId="77777777" w:rsidR="00C64DC2" w:rsidRPr="00C64DC2" w:rsidRDefault="00C64DC2" w:rsidP="009C6577">
      <w:pPr>
        <w:numPr>
          <w:ilvl w:val="1"/>
          <w:numId w:val="37"/>
        </w:numPr>
        <w:overflowPunct w:val="0"/>
        <w:autoSpaceDE w:val="0"/>
        <w:autoSpaceDN w:val="0"/>
        <w:adjustRightInd w:val="0"/>
        <w:spacing w:after="120" w:line="276" w:lineRule="auto"/>
        <w:jc w:val="both"/>
        <w:rPr>
          <w:rFonts w:ascii="Arial Narrow" w:eastAsia="Calibri" w:hAnsi="Arial Narrow"/>
          <w:lang w:val="bg-BG"/>
        </w:rPr>
      </w:pPr>
      <w:r w:rsidRPr="00C64DC2">
        <w:rPr>
          <w:rFonts w:ascii="Arial Narrow" w:eastAsia="Calibri" w:hAnsi="Arial Narrow"/>
          <w:lang w:val="bg-BG"/>
        </w:rPr>
        <w:t>Разпространението на вируса на Денга (костна треска).</w:t>
      </w:r>
    </w:p>
    <w:p w14:paraId="07676C5A" w14:textId="77777777" w:rsidR="00C64DC2" w:rsidRPr="00C64DC2" w:rsidRDefault="00C64DC2" w:rsidP="00C64DC2">
      <w:pPr>
        <w:spacing w:after="120"/>
        <w:ind w:firstLine="720"/>
        <w:jc w:val="both"/>
        <w:rPr>
          <w:rFonts w:ascii="Arial Narrow" w:hAnsi="Arial Narrow"/>
          <w:lang w:val="bg-BG" w:eastAsia="bg-BG"/>
        </w:rPr>
      </w:pPr>
      <w:r w:rsidRPr="00C64DC2">
        <w:rPr>
          <w:rFonts w:ascii="Arial Narrow" w:hAnsi="Arial Narrow"/>
          <w:lang w:val="bg-BG" w:eastAsia="bg-BG"/>
        </w:rPr>
        <w:t xml:space="preserve">Процес от съществена важност, който ще окаже влияние върху развитието на животновъдството през следващите години е преразглеждане на текущото законодателство на ЕС за хуманно отношение към животните от страна на ЕК, в рамките на стратегията „От фермата до вилицата“, както и новите научни становища на Европейския орган за безопасност на храните (ЕОБХ) за благосъстоянието на отглежданите селскостопански животни, които ще осигурят научна основа в подкрепа на законодателно предложение на ЕК. </w:t>
      </w:r>
    </w:p>
    <w:p w14:paraId="25B469B3" w14:textId="77777777" w:rsidR="00C64DC2" w:rsidRPr="00C64DC2" w:rsidRDefault="00C64DC2" w:rsidP="00C64DC2">
      <w:pPr>
        <w:spacing w:after="120"/>
        <w:ind w:firstLine="720"/>
        <w:jc w:val="both"/>
        <w:rPr>
          <w:rFonts w:ascii="Arial Narrow" w:hAnsi="Arial Narrow"/>
          <w:lang w:val="bg-BG" w:eastAsia="bg-BG"/>
        </w:rPr>
      </w:pPr>
      <w:r w:rsidRPr="00C64DC2">
        <w:rPr>
          <w:rFonts w:ascii="Arial Narrow" w:hAnsi="Arial Narrow"/>
          <w:lang w:val="bg-BG" w:eastAsia="bg-BG"/>
        </w:rPr>
        <w:t>Научните становища на ЕОБХ, публикувани през 2022 г. и 2023 г. за хуманното отношение към животните касаят отглеждане на свине; кокошки носачки във ферми, бройлери и родителски стада за бройлери; телета; млекодайни говеда, патици, гъски и пъдпъдъци; животни по време на транспортиране  и са публикувани на интернет сайта на ЦОРХВ. Във връзка с този преглед на законодателството ЦОРХВ информира заинтересованите български фермерски организации и е провел анкетно проучване за нагласите и готовността на българското животновъдство да приложи предстоящите промени. Анализът на данните от проведеното анкетно проучване е публикуван на интернет сайта на ЦОРХВ. Проучването е с цел да се установи как българските фермери оценяват въздействието на забраната за клетки върху българското животновъдство и би бил изключително полезен в процеса на преговори по новото законодателство на ЕС, като ще даде яснота и възможност България да постави своите обосновани изисквания и да защити икономическите си интереси.</w:t>
      </w:r>
    </w:p>
    <w:p w14:paraId="1547C9ED" w14:textId="77777777" w:rsidR="00C64DC2" w:rsidRPr="00C64DC2" w:rsidRDefault="00C64DC2" w:rsidP="00C64DC2">
      <w:pPr>
        <w:spacing w:after="120"/>
        <w:ind w:firstLine="720"/>
        <w:jc w:val="both"/>
        <w:rPr>
          <w:rFonts w:ascii="Arial Narrow" w:hAnsi="Arial Narrow"/>
          <w:lang w:val="bg-BG" w:eastAsia="bg-BG"/>
        </w:rPr>
      </w:pPr>
      <w:r w:rsidRPr="00C64DC2">
        <w:rPr>
          <w:rFonts w:ascii="Arial Narrow" w:hAnsi="Arial Narrow"/>
          <w:lang w:val="bg-BG" w:eastAsia="bg-BG"/>
        </w:rPr>
        <w:t xml:space="preserve">Друго съществено нововъведение, по което ЕК работи от 2023 г. и което има потенциал да промени изцяло земеделието, е направлението за прилагане на новите геномни техники в растениевъдството. На </w:t>
      </w:r>
      <w:r w:rsidRPr="00C64DC2">
        <w:rPr>
          <w:rFonts w:ascii="Arial Narrow" w:hAnsi="Arial Narrow"/>
          <w:lang w:val="bg-BG" w:eastAsia="bg-BG"/>
        </w:rPr>
        <w:lastRenderedPageBreak/>
        <w:t xml:space="preserve">5 юли 2023 г. Европейската комисия прие законодателно предложение за Регламент относно растенията, получени чрез някои нови геномни техники (НГТ/NGT), и произведените от тях храни и фуражи, и изменящ Регламент (ЕС) 2017/625, с който растенията, получени с НГТ от категория 1 се изваждат от законодателството за ГМО и се либерализира пускането им на пазара за храна, сеитба и фураж. </w:t>
      </w:r>
    </w:p>
    <w:p w14:paraId="7E1A5106" w14:textId="77777777" w:rsidR="00C64DC2" w:rsidRPr="00C64DC2" w:rsidRDefault="00C64DC2" w:rsidP="00C64DC2">
      <w:pPr>
        <w:spacing w:after="120"/>
        <w:ind w:firstLine="851"/>
        <w:jc w:val="both"/>
        <w:rPr>
          <w:rFonts w:ascii="Arial Narrow" w:eastAsia="Calibri" w:hAnsi="Arial Narrow"/>
          <w:lang w:val="bg-BG"/>
        </w:rPr>
      </w:pPr>
      <w:r w:rsidRPr="00C64DC2">
        <w:rPr>
          <w:rFonts w:ascii="Arial Narrow" w:eastAsia="Calibri" w:hAnsi="Arial Narrow"/>
          <w:lang w:val="bg-BG"/>
        </w:rPr>
        <w:t xml:space="preserve">Проектът на Регламент събуди засилен интерес сред професионалната общност в България, земеделските организации и академичните среди в страната с крайно противоположни мнения, поради което ЦОРХВ изготви пространен научен обзор „Новите геномни техники – безопасни ли са те и дали 100% можем да твърдим, че са високо ефективни и полезни за агрохранителната верига“ като разгледа идентифицираните опасности от крайната дерегулация на тези нововъведения за здравето на хората, животните и околната среда, и устойчивостта и независимостта на фермерите, и направи предложения за разумен подход при пускането им на пазара със задължителна предварителна оценка на риска, проследимост и етикетиране. Поради все по-широкото навлизане на техниките на генното инженерство в животновъдството и земеделието, са разгледани подробно въпросите за генетично модифицирани животни и работата на ЕОБХ, защо новите геномни техники няма да решат проблемите, свързани с интензивното животновъдство, генната редакция на свине, ксенотрансплантация на органи и риск от пренос на ксенозоонози – поради големият подем на въвеждането на тези техники в производството на храни и наскоро одобрен патент за генно редактирани свине и потенциалното им пускане на пазара на САЩ за месо. </w:t>
      </w:r>
    </w:p>
    <w:p w14:paraId="52A361C4" w14:textId="77777777" w:rsidR="00C64DC2" w:rsidRPr="00C64DC2" w:rsidRDefault="00C64DC2" w:rsidP="00C64DC2">
      <w:pPr>
        <w:spacing w:after="120"/>
        <w:ind w:firstLine="709"/>
        <w:jc w:val="both"/>
        <w:rPr>
          <w:rFonts w:ascii="Arial Narrow" w:eastAsia="Calibri" w:hAnsi="Arial Narrow"/>
          <w:lang w:val="bg-BG"/>
        </w:rPr>
      </w:pPr>
      <w:r w:rsidRPr="00C64DC2">
        <w:rPr>
          <w:rFonts w:ascii="Arial Narrow" w:eastAsia="Calibri" w:hAnsi="Arial Narrow"/>
          <w:lang w:val="bg-BG"/>
        </w:rPr>
        <w:t>В изпълнение на мерките, заложени в Националния план за борба срещу антимикробната резистентност (АМР), вменени на ЦОРХВ, са проследени тенденциите за развитие на антимикробната резистентност при аквакултурите и риска от развитие на АМР при намалена хомогенност и стабилност на антимикробни средства в медикаментозни фуражи и питейна вода в свиневъдството.</w:t>
      </w:r>
    </w:p>
    <w:p w14:paraId="60EA8F84" w14:textId="77777777" w:rsidR="00C64DC2" w:rsidRPr="00C64DC2" w:rsidRDefault="00C64DC2" w:rsidP="00C64DC2">
      <w:pPr>
        <w:spacing w:after="120"/>
        <w:ind w:firstLine="709"/>
        <w:jc w:val="both"/>
        <w:rPr>
          <w:rFonts w:ascii="Arial Narrow" w:eastAsia="Calibri" w:hAnsi="Arial Narrow"/>
          <w:lang w:val="bg-BG"/>
        </w:rPr>
      </w:pPr>
      <w:r w:rsidRPr="00C64DC2">
        <w:rPr>
          <w:rFonts w:ascii="Arial Narrow" w:eastAsia="Calibri" w:hAnsi="Arial Narrow"/>
          <w:lang w:val="bg-BG"/>
        </w:rPr>
        <w:t>По отношение на безопасната употреба на хранителни добавки и ароматизанти ЦОРХВ, съвместно с МЗХ, Национален център по обществено здраве и анализи и БАБХ, изготви становище с препоръки за групите храни, които следва да бъдат включени в мониторинговата програма на БАБХ за оцветители и ароматизанти в храни. Включването им в мониторинговата програма е необходимо, тъй като за момента в България не се изследват добавки в храните и ароматизанти и не е възможно да се направи анализ на експозицията на децата и общата популация. Въвеждането на мониторинга е по препоръка от одит на официалния контрол DG(SANTE) 2019-6660.</w:t>
      </w:r>
    </w:p>
    <w:p w14:paraId="2190A9B3" w14:textId="77777777" w:rsidR="00C64DC2" w:rsidRPr="00C64DC2" w:rsidRDefault="00C64DC2" w:rsidP="00C64DC2">
      <w:pPr>
        <w:overflowPunct w:val="0"/>
        <w:autoSpaceDE w:val="0"/>
        <w:autoSpaceDN w:val="0"/>
        <w:adjustRightInd w:val="0"/>
        <w:spacing w:after="120"/>
        <w:ind w:firstLine="709"/>
        <w:jc w:val="both"/>
        <w:rPr>
          <w:rFonts w:ascii="Arial Narrow" w:eastAsia="Calibri" w:hAnsi="Arial Narrow"/>
          <w:lang w:val="bg-BG"/>
        </w:rPr>
      </w:pPr>
      <w:r w:rsidRPr="00C64DC2">
        <w:rPr>
          <w:rFonts w:ascii="Arial Narrow" w:eastAsia="Calibri" w:hAnsi="Arial Narrow"/>
          <w:lang w:val="bg-BG"/>
        </w:rPr>
        <w:t>Разгледани са и следните важни за безопасността на потребителите въпроси:</w:t>
      </w:r>
    </w:p>
    <w:p w14:paraId="45CAFD56" w14:textId="77777777" w:rsidR="00C64DC2" w:rsidRPr="00C64DC2" w:rsidRDefault="00C64DC2" w:rsidP="009C6577">
      <w:pPr>
        <w:numPr>
          <w:ilvl w:val="0"/>
          <w:numId w:val="37"/>
        </w:numPr>
        <w:overflowPunct w:val="0"/>
        <w:autoSpaceDE w:val="0"/>
        <w:autoSpaceDN w:val="0"/>
        <w:adjustRightInd w:val="0"/>
        <w:spacing w:after="120" w:line="276" w:lineRule="auto"/>
        <w:ind w:left="714" w:hanging="357"/>
        <w:jc w:val="both"/>
        <w:rPr>
          <w:rFonts w:ascii="Arial Narrow" w:eastAsia="Calibri" w:hAnsi="Arial Narrow"/>
          <w:lang w:val="bg-BG"/>
        </w:rPr>
      </w:pPr>
      <w:r w:rsidRPr="00C64DC2">
        <w:rPr>
          <w:rFonts w:ascii="Arial Narrow" w:eastAsia="Calibri" w:hAnsi="Arial Narrow"/>
          <w:lang w:val="bg-BG"/>
        </w:rPr>
        <w:t>Четиринадесет становища, касаещи оценка на риска за консуматора поради установени в храни активни вещества и пестициди (разрешени и неразрешени) в количества над максимално допустимите нива;</w:t>
      </w:r>
    </w:p>
    <w:p w14:paraId="1765A6C2" w14:textId="77777777" w:rsidR="00C64DC2" w:rsidRPr="00C64DC2" w:rsidRDefault="00C64DC2" w:rsidP="009C6577">
      <w:pPr>
        <w:numPr>
          <w:ilvl w:val="0"/>
          <w:numId w:val="37"/>
        </w:numPr>
        <w:overflowPunct w:val="0"/>
        <w:autoSpaceDE w:val="0"/>
        <w:autoSpaceDN w:val="0"/>
        <w:adjustRightInd w:val="0"/>
        <w:spacing w:after="120" w:line="276" w:lineRule="auto"/>
        <w:ind w:left="714" w:hanging="357"/>
        <w:jc w:val="both"/>
        <w:rPr>
          <w:rFonts w:ascii="Arial Narrow" w:eastAsia="Calibri" w:hAnsi="Arial Narrow"/>
          <w:lang w:val="bg-BG"/>
        </w:rPr>
      </w:pPr>
      <w:r w:rsidRPr="00C64DC2">
        <w:rPr>
          <w:rFonts w:ascii="Arial Narrow" w:eastAsia="Calibri" w:hAnsi="Arial Narrow"/>
          <w:lang w:val="bg-BG"/>
        </w:rPr>
        <w:t>Оценка на риска за българското население от хранителната експозиция на оцветители Понсо 4R и Сънсет жълто;</w:t>
      </w:r>
    </w:p>
    <w:p w14:paraId="31BB2423" w14:textId="77777777" w:rsidR="00C64DC2" w:rsidRPr="00C64DC2" w:rsidRDefault="00C64DC2" w:rsidP="009C6577">
      <w:pPr>
        <w:numPr>
          <w:ilvl w:val="0"/>
          <w:numId w:val="37"/>
        </w:numPr>
        <w:overflowPunct w:val="0"/>
        <w:autoSpaceDE w:val="0"/>
        <w:autoSpaceDN w:val="0"/>
        <w:adjustRightInd w:val="0"/>
        <w:spacing w:after="120" w:line="276" w:lineRule="auto"/>
        <w:ind w:left="714" w:hanging="357"/>
        <w:jc w:val="both"/>
        <w:rPr>
          <w:rFonts w:ascii="Arial Narrow" w:eastAsia="Calibri" w:hAnsi="Arial Narrow"/>
          <w:lang w:val="bg-BG"/>
        </w:rPr>
      </w:pPr>
      <w:r w:rsidRPr="00C64DC2">
        <w:rPr>
          <w:rFonts w:ascii="Arial Narrow" w:eastAsia="Calibri" w:hAnsi="Arial Narrow"/>
          <w:lang w:val="bg-BG"/>
        </w:rPr>
        <w:t>Оценка на риска за българското население от хранителната експозиция на метилживак;</w:t>
      </w:r>
    </w:p>
    <w:p w14:paraId="73662D60" w14:textId="77777777" w:rsidR="00C64DC2" w:rsidRPr="00C64DC2" w:rsidRDefault="00C64DC2" w:rsidP="009C6577">
      <w:pPr>
        <w:numPr>
          <w:ilvl w:val="0"/>
          <w:numId w:val="37"/>
        </w:numPr>
        <w:overflowPunct w:val="0"/>
        <w:autoSpaceDE w:val="0"/>
        <w:autoSpaceDN w:val="0"/>
        <w:adjustRightInd w:val="0"/>
        <w:spacing w:after="120" w:line="276" w:lineRule="auto"/>
        <w:ind w:left="714" w:hanging="357"/>
        <w:jc w:val="both"/>
        <w:rPr>
          <w:rFonts w:ascii="Arial Narrow" w:eastAsia="Calibri" w:hAnsi="Arial Narrow"/>
          <w:lang w:val="bg-BG"/>
        </w:rPr>
      </w:pPr>
      <w:r w:rsidRPr="00C64DC2">
        <w:rPr>
          <w:rFonts w:ascii="Arial Narrow" w:eastAsia="Calibri" w:hAnsi="Arial Narrow"/>
          <w:lang w:val="bg-BG"/>
        </w:rPr>
        <w:t>Актуализирана оценка на риска от неорганичен арсен в храни;</w:t>
      </w:r>
    </w:p>
    <w:p w14:paraId="31E7B3D6" w14:textId="77777777" w:rsidR="00C64DC2" w:rsidRPr="00C64DC2" w:rsidRDefault="00C64DC2" w:rsidP="009C6577">
      <w:pPr>
        <w:numPr>
          <w:ilvl w:val="0"/>
          <w:numId w:val="37"/>
        </w:numPr>
        <w:overflowPunct w:val="0"/>
        <w:autoSpaceDE w:val="0"/>
        <w:autoSpaceDN w:val="0"/>
        <w:adjustRightInd w:val="0"/>
        <w:spacing w:after="120" w:line="276" w:lineRule="auto"/>
        <w:ind w:left="714" w:hanging="357"/>
        <w:jc w:val="both"/>
        <w:rPr>
          <w:rFonts w:ascii="Arial Narrow" w:eastAsia="Calibri" w:hAnsi="Arial Narrow"/>
          <w:lang w:val="bg-BG"/>
        </w:rPr>
      </w:pPr>
      <w:r w:rsidRPr="00C64DC2">
        <w:rPr>
          <w:rFonts w:ascii="Arial Narrow" w:eastAsia="Calibri" w:hAnsi="Arial Narrow"/>
          <w:lang w:val="bg-BG"/>
        </w:rPr>
        <w:t>Оценка на риска по хранителната верига относно опасностите за човешкото здраве при дългосрочна консумация на имитиращи продукти, съдържащи в състава си мляко;</w:t>
      </w:r>
    </w:p>
    <w:p w14:paraId="20EAEB3E" w14:textId="77777777" w:rsidR="00C64DC2" w:rsidRPr="00C64DC2" w:rsidRDefault="00C64DC2" w:rsidP="009C6577">
      <w:pPr>
        <w:numPr>
          <w:ilvl w:val="0"/>
          <w:numId w:val="37"/>
        </w:numPr>
        <w:overflowPunct w:val="0"/>
        <w:autoSpaceDE w:val="0"/>
        <w:autoSpaceDN w:val="0"/>
        <w:adjustRightInd w:val="0"/>
        <w:spacing w:after="120" w:line="276" w:lineRule="auto"/>
        <w:ind w:left="714" w:hanging="357"/>
        <w:jc w:val="both"/>
        <w:rPr>
          <w:rFonts w:ascii="Arial Narrow" w:eastAsia="Calibri" w:hAnsi="Arial Narrow"/>
          <w:lang w:val="bg-BG"/>
        </w:rPr>
      </w:pPr>
      <w:r w:rsidRPr="00C64DC2">
        <w:rPr>
          <w:rFonts w:ascii="Arial Narrow" w:eastAsia="Calibri" w:hAnsi="Arial Narrow"/>
          <w:lang w:val="bg-BG"/>
        </w:rPr>
        <w:t>Определяне на безопасното количество за консумация на непреработени цели, раздробени, смлени, разцепени, нарязани кайсиеви ядки, пуснати на пазара за крайния потребител;</w:t>
      </w:r>
    </w:p>
    <w:p w14:paraId="6F4F5C79" w14:textId="77777777" w:rsidR="00C64DC2" w:rsidRPr="00C64DC2" w:rsidRDefault="00C64DC2" w:rsidP="009C6577">
      <w:pPr>
        <w:numPr>
          <w:ilvl w:val="0"/>
          <w:numId w:val="37"/>
        </w:numPr>
        <w:overflowPunct w:val="0"/>
        <w:autoSpaceDE w:val="0"/>
        <w:autoSpaceDN w:val="0"/>
        <w:adjustRightInd w:val="0"/>
        <w:spacing w:after="120" w:line="276" w:lineRule="auto"/>
        <w:ind w:left="714" w:hanging="357"/>
        <w:jc w:val="both"/>
        <w:rPr>
          <w:rFonts w:ascii="Arial Narrow" w:eastAsia="Calibri" w:hAnsi="Arial Narrow"/>
          <w:lang w:val="bg-BG"/>
        </w:rPr>
      </w:pPr>
      <w:r w:rsidRPr="00C64DC2">
        <w:rPr>
          <w:rFonts w:ascii="Arial Narrow" w:eastAsia="Calibri" w:hAnsi="Arial Narrow"/>
          <w:lang w:val="bg-BG"/>
        </w:rPr>
        <w:t>Пер- и полифлуороалкилираните вещества (PFAS) в храните – „вечните химикали”;</w:t>
      </w:r>
    </w:p>
    <w:p w14:paraId="529B7B94" w14:textId="77777777" w:rsidR="00C64DC2" w:rsidRPr="00C64DC2" w:rsidRDefault="00C64DC2" w:rsidP="009C6577">
      <w:pPr>
        <w:numPr>
          <w:ilvl w:val="0"/>
          <w:numId w:val="37"/>
        </w:numPr>
        <w:overflowPunct w:val="0"/>
        <w:autoSpaceDE w:val="0"/>
        <w:autoSpaceDN w:val="0"/>
        <w:adjustRightInd w:val="0"/>
        <w:spacing w:after="120" w:line="276" w:lineRule="auto"/>
        <w:ind w:left="714" w:hanging="357"/>
        <w:jc w:val="both"/>
        <w:rPr>
          <w:rFonts w:ascii="Arial Narrow" w:eastAsia="Calibri" w:hAnsi="Arial Narrow"/>
          <w:lang w:val="bg-BG"/>
        </w:rPr>
      </w:pPr>
      <w:r w:rsidRPr="00C64DC2">
        <w:rPr>
          <w:rFonts w:ascii="Arial Narrow" w:eastAsia="Calibri" w:hAnsi="Arial Narrow"/>
          <w:lang w:val="bg-BG"/>
        </w:rPr>
        <w:t>Устойчива консумация на храни: рамка за бъдещи проучвания – Възможности за трансформация на хранително вкусовия сектор в България.</w:t>
      </w:r>
    </w:p>
    <w:p w14:paraId="31E0ACB7" w14:textId="77777777" w:rsidR="00C64DC2" w:rsidRPr="00C64DC2" w:rsidRDefault="00C64DC2" w:rsidP="00C64DC2">
      <w:pPr>
        <w:spacing w:after="120"/>
        <w:ind w:firstLine="709"/>
        <w:jc w:val="both"/>
        <w:rPr>
          <w:rFonts w:ascii="Arial Narrow" w:hAnsi="Arial Narrow"/>
          <w:color w:val="000000"/>
          <w:lang w:val="bg-BG" w:eastAsia="bg-BG"/>
        </w:rPr>
      </w:pPr>
      <w:r w:rsidRPr="00C64DC2">
        <w:rPr>
          <w:rFonts w:ascii="Arial Narrow" w:eastAsia="Calibri" w:hAnsi="Arial Narrow"/>
          <w:lang w:val="bg-BG"/>
        </w:rPr>
        <w:t>Приоритетните де</w:t>
      </w:r>
      <w:r w:rsidRPr="00C64DC2">
        <w:rPr>
          <w:rFonts w:ascii="Arial Narrow" w:hAnsi="Arial Narrow"/>
          <w:color w:val="000000"/>
          <w:lang w:val="bg-BG" w:eastAsia="bg-BG"/>
        </w:rPr>
        <w:t xml:space="preserve">йности на ЦОРХВ през 2024 г. включват изготвянето на анализ на фитосанитарния риск от навлизане и разпространение на вредителя по растенията – неприятеля </w:t>
      </w:r>
      <w:r w:rsidRPr="00C64DC2">
        <w:rPr>
          <w:rFonts w:ascii="Arial Narrow" w:hAnsi="Arial Narrow"/>
          <w:color w:val="000000"/>
          <w:lang w:val="bg-BG" w:eastAsia="bg-BG"/>
        </w:rPr>
        <w:lastRenderedPageBreak/>
        <w:t>Гватемалски картофен молец (Tecia solanivora) по картофите за България, както и предоставянето на научна информация и препоръки за справянето с нашествието от Марокански скакалец (Dociostaurus maroccanus) в област Кърджали и предприемане на мерки срещу вредителя по растенията Черна златка (Capnodis tenebrionis L.), който нанася щети в България.</w:t>
      </w:r>
    </w:p>
    <w:p w14:paraId="134EBB0E" w14:textId="77777777" w:rsidR="00C64DC2" w:rsidRPr="00C64DC2" w:rsidRDefault="00C64DC2" w:rsidP="00C64DC2">
      <w:pPr>
        <w:spacing w:after="120"/>
        <w:ind w:firstLine="709"/>
        <w:jc w:val="both"/>
        <w:rPr>
          <w:rFonts w:ascii="Arial Narrow" w:hAnsi="Arial Narrow"/>
          <w:color w:val="000000"/>
          <w:lang w:val="bg-BG" w:eastAsia="bg-BG"/>
        </w:rPr>
      </w:pPr>
      <w:r w:rsidRPr="00C64DC2">
        <w:rPr>
          <w:rFonts w:ascii="Arial Narrow" w:hAnsi="Arial Narrow"/>
          <w:color w:val="000000"/>
          <w:lang w:val="bg-BG" w:eastAsia="bg-BG"/>
        </w:rPr>
        <w:t>ЦОРХВ продължи основната си работа по предоставяне на най-новата научна информация за категоризации (3 броя) на неприятели по културите за територията на Европейския съюз, неприятели и/или инвазивни, чужди видове, включени в списъка за предупреждения на Европейската и средиземноморска организация за растителна защита и/или в списъка на приоритетни вредители за Европейския съюз (7 броя), 7 броя оценки на риска при внос на различни цели растения или невкоренени резници на територията на България да бъдат внесени и вредители, които да се разпространят на територията на стната и 2 актуализации на данните за растенията гостоприемници на Xylella spp.</w:t>
      </w:r>
    </w:p>
    <w:p w14:paraId="4E6AC201" w14:textId="77777777" w:rsidR="00C64DC2" w:rsidRPr="00C64DC2" w:rsidRDefault="00C64DC2" w:rsidP="00C64DC2">
      <w:pPr>
        <w:spacing w:after="120"/>
        <w:ind w:firstLine="709"/>
        <w:jc w:val="both"/>
        <w:rPr>
          <w:rFonts w:ascii="Arial Narrow" w:hAnsi="Arial Narrow"/>
          <w:color w:val="000000"/>
          <w:lang w:val="bg-BG" w:eastAsia="bg-BG"/>
        </w:rPr>
      </w:pPr>
      <w:r w:rsidRPr="00C64DC2">
        <w:rPr>
          <w:rFonts w:ascii="Arial Narrow" w:hAnsi="Arial Narrow"/>
          <w:color w:val="000000"/>
          <w:lang w:val="bg-BG" w:eastAsia="bg-BG"/>
        </w:rPr>
        <w:t>Актуализиран е „Списък на биологичните агенти, които могат да се прилагат в Република България“.</w:t>
      </w:r>
    </w:p>
    <w:p w14:paraId="70A189DC" w14:textId="77777777" w:rsidR="00C64DC2" w:rsidRPr="00C64DC2" w:rsidRDefault="00C64DC2" w:rsidP="00C64DC2">
      <w:pPr>
        <w:spacing w:after="120"/>
        <w:ind w:firstLine="709"/>
        <w:jc w:val="both"/>
        <w:rPr>
          <w:rFonts w:ascii="Arial Narrow" w:hAnsi="Arial Narrow"/>
          <w:color w:val="000000"/>
          <w:lang w:val="bg-BG" w:eastAsia="bg-BG"/>
        </w:rPr>
      </w:pPr>
      <w:r w:rsidRPr="00C64DC2">
        <w:rPr>
          <w:rFonts w:ascii="Arial Narrow" w:hAnsi="Arial Narrow"/>
          <w:color w:val="000000"/>
          <w:lang w:val="bg-BG" w:eastAsia="bg-BG"/>
        </w:rPr>
        <w:t>През годината са изготвени три становища по искания за разрешаване на използване за ограничена и контролирана употреба (ОКУ) на продукти за растителна защита (ПРЗ);</w:t>
      </w:r>
    </w:p>
    <w:p w14:paraId="0032B38A" w14:textId="77777777" w:rsidR="00C64DC2" w:rsidRPr="00C64DC2" w:rsidRDefault="00C64DC2" w:rsidP="00C64DC2">
      <w:pPr>
        <w:spacing w:after="120"/>
        <w:ind w:firstLine="709"/>
        <w:jc w:val="both"/>
        <w:rPr>
          <w:rFonts w:ascii="Arial Narrow" w:hAnsi="Arial Narrow"/>
          <w:color w:val="000000"/>
          <w:lang w:val="bg-BG" w:eastAsia="bg-BG"/>
        </w:rPr>
      </w:pPr>
      <w:r w:rsidRPr="00C64DC2">
        <w:rPr>
          <w:rFonts w:ascii="Arial Narrow" w:hAnsi="Arial Narrow"/>
          <w:color w:val="000000"/>
          <w:lang w:val="bg-BG" w:eastAsia="bg-BG"/>
        </w:rPr>
        <w:t xml:space="preserve">Извършено е и определяне на критерии за ефикасност на продукти за наторяване без маркировка „СЕ“. </w:t>
      </w:r>
    </w:p>
    <w:p w14:paraId="341E56ED" w14:textId="77777777" w:rsidR="00C64DC2" w:rsidRPr="00C64DC2" w:rsidRDefault="00C64DC2" w:rsidP="00C64DC2">
      <w:pPr>
        <w:spacing w:after="120"/>
        <w:ind w:firstLine="709"/>
        <w:jc w:val="both"/>
        <w:rPr>
          <w:rFonts w:ascii="Arial Narrow" w:hAnsi="Arial Narrow"/>
          <w:color w:val="000000"/>
          <w:lang w:val="bg-BG" w:eastAsia="bg-BG"/>
        </w:rPr>
      </w:pPr>
      <w:r w:rsidRPr="00C64DC2">
        <w:rPr>
          <w:rFonts w:ascii="Arial Narrow" w:hAnsi="Arial Narrow"/>
          <w:color w:val="000000"/>
          <w:lang w:val="bg-BG" w:eastAsia="bg-BG"/>
        </w:rPr>
        <w:t>Поради отчетения голям разход и загуба на храни в ЕС, работата на ЦОРХВ в направлението е съсредоточена в разглеждането на необходимостта от преосмисляне на правилата за използване на хранителните остатъци като храна за животни, разглеждане на въпросите и възможностите за намиране на алтернативни източници на протеини за замяна на соя във фуражи за свине и ефекта върху качеството на месото. В сферата на безопасността на фуражите са разгледани въпросите за рисковете за здравето на животните, свързани с наличието на полихлорирани нафталени (PCN) във фуражите и предоставянето на информация за изграждане на интегрирана система за управление на микотоксините по веригата за доставка на фуражи.</w:t>
      </w:r>
    </w:p>
    <w:p w14:paraId="0AF998DF" w14:textId="77777777" w:rsidR="00C64DC2" w:rsidRPr="00C64DC2" w:rsidRDefault="00C64DC2" w:rsidP="00C64DC2">
      <w:pPr>
        <w:spacing w:after="120"/>
        <w:ind w:firstLine="709"/>
        <w:jc w:val="both"/>
        <w:rPr>
          <w:rFonts w:ascii="Arial Narrow" w:hAnsi="Arial Narrow"/>
          <w:color w:val="000000"/>
          <w:lang w:val="bg-BG" w:eastAsia="bg-BG"/>
        </w:rPr>
      </w:pPr>
      <w:r w:rsidRPr="00C64DC2">
        <w:rPr>
          <w:rFonts w:ascii="Arial Narrow" w:hAnsi="Arial Narrow"/>
          <w:color w:val="000000"/>
          <w:lang w:val="bg-BG" w:eastAsia="bg-BG"/>
        </w:rPr>
        <w:t>През 2024 г. в ЦОРХВ са изготвени общо: 51 становища и научни оценки на риска; 97 научни информации; 5 научни обзора и анализа; 9 научни анализа на данни от системата RASFF; 3 годишни доклада с данни за България за 2023 г. до ЕОБХ за зоонозите, остатъците от химически замърсители и пестициди в храните.</w:t>
      </w:r>
    </w:p>
    <w:p w14:paraId="246A4B8D" w14:textId="77777777" w:rsidR="00C64DC2" w:rsidRPr="00C64DC2" w:rsidRDefault="00C64DC2" w:rsidP="00C64DC2">
      <w:pPr>
        <w:keepNext/>
        <w:widowControl w:val="0"/>
        <w:spacing w:after="120"/>
        <w:jc w:val="center"/>
        <w:rPr>
          <w:rFonts w:ascii="Arial Narrow" w:eastAsia="Calibri" w:hAnsi="Arial Narrow"/>
          <w:b/>
          <w:i/>
          <w:lang w:val="bg-BG"/>
        </w:rPr>
      </w:pPr>
      <w:r w:rsidRPr="00C64DC2">
        <w:rPr>
          <w:rFonts w:ascii="Arial Narrow" w:eastAsia="Calibri" w:hAnsi="Arial Narrow"/>
          <w:b/>
          <w:i/>
          <w:lang w:val="bg-BG"/>
        </w:rPr>
        <w:t xml:space="preserve">Фигура </w:t>
      </w:r>
      <w:r w:rsidRPr="00C64DC2">
        <w:rPr>
          <w:rFonts w:ascii="Arial Narrow" w:eastAsia="Calibri" w:hAnsi="Arial Narrow"/>
          <w:b/>
          <w:i/>
        </w:rPr>
        <w:t>V</w:t>
      </w:r>
      <w:r w:rsidR="00F214AB">
        <w:rPr>
          <w:rFonts w:ascii="Arial Narrow" w:eastAsia="Calibri" w:hAnsi="Arial Narrow"/>
          <w:b/>
          <w:i/>
          <w:lang w:val="bg-BG"/>
        </w:rPr>
        <w:t>.5</w:t>
      </w:r>
      <w:r w:rsidRPr="00C64DC2">
        <w:rPr>
          <w:rFonts w:ascii="Arial Narrow" w:eastAsia="Calibri" w:hAnsi="Arial Narrow"/>
          <w:b/>
          <w:i/>
          <w:lang w:val="bg-BG"/>
        </w:rPr>
        <w:t>. Брой изготвени научни становища от ЦОРХВ за периода 2012 – 2024 г.</w:t>
      </w:r>
    </w:p>
    <w:p w14:paraId="1CE11DF7" w14:textId="77777777" w:rsidR="00C64DC2" w:rsidRPr="00C64DC2" w:rsidRDefault="00C64DC2" w:rsidP="00C64DC2">
      <w:pPr>
        <w:widowControl w:val="0"/>
        <w:spacing w:after="120"/>
        <w:jc w:val="center"/>
        <w:rPr>
          <w:rFonts w:ascii="Arial Narrow" w:eastAsia="Calibri" w:hAnsi="Arial Narrow"/>
          <w:b/>
          <w:i/>
          <w:color w:val="FF0000"/>
          <w:lang w:val="bg-BG"/>
        </w:rPr>
      </w:pPr>
      <w:r w:rsidRPr="00C64DC2">
        <w:rPr>
          <w:rFonts w:ascii="Calibri" w:eastAsia="Calibri" w:hAnsi="Calibri"/>
          <w:noProof/>
          <w:sz w:val="22"/>
          <w:szCs w:val="22"/>
        </w:rPr>
        <w:drawing>
          <wp:inline distT="0" distB="0" distL="0" distR="0" wp14:anchorId="1ED8611D" wp14:editId="6E125153">
            <wp:extent cx="5040000" cy="3060000"/>
            <wp:effectExtent l="0" t="0" r="8255" b="762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034759FC" w14:textId="77777777" w:rsidR="00C64DC2" w:rsidRPr="00C64DC2" w:rsidRDefault="00C64DC2" w:rsidP="00C64DC2">
      <w:pPr>
        <w:widowControl w:val="0"/>
        <w:spacing w:after="240"/>
        <w:jc w:val="both"/>
        <w:rPr>
          <w:rFonts w:ascii="Arial Narrow" w:eastAsia="Calibri" w:hAnsi="Arial Narrow"/>
          <w:sz w:val="16"/>
          <w:szCs w:val="16"/>
          <w:lang w:val="bg-BG"/>
        </w:rPr>
      </w:pPr>
      <w:r w:rsidRPr="00C64DC2">
        <w:rPr>
          <w:rFonts w:ascii="Arial Narrow" w:eastAsia="Calibri" w:hAnsi="Arial Narrow"/>
          <w:i/>
          <w:color w:val="FF0000"/>
          <w:lang w:val="bg-BG"/>
        </w:rPr>
        <w:tab/>
      </w:r>
      <w:r w:rsidRPr="00C64DC2">
        <w:rPr>
          <w:rFonts w:ascii="Arial Narrow" w:eastAsia="Calibri" w:hAnsi="Arial Narrow"/>
          <w:i/>
          <w:color w:val="FF0000"/>
          <w:lang w:val="bg-BG"/>
        </w:rPr>
        <w:tab/>
      </w:r>
      <w:r w:rsidRPr="00C64DC2">
        <w:rPr>
          <w:rFonts w:ascii="Arial Narrow" w:eastAsia="Calibri" w:hAnsi="Arial Narrow"/>
          <w:i/>
          <w:sz w:val="16"/>
          <w:szCs w:val="16"/>
          <w:lang w:val="bg-BG"/>
        </w:rPr>
        <w:t xml:space="preserve">Източник: </w:t>
      </w:r>
      <w:r w:rsidRPr="00C64DC2">
        <w:rPr>
          <w:rFonts w:ascii="Arial Narrow" w:eastAsia="Calibri" w:hAnsi="Arial Narrow"/>
          <w:sz w:val="16"/>
          <w:szCs w:val="16"/>
          <w:lang w:val="bg-BG"/>
        </w:rPr>
        <w:t>ЦОРХВ</w:t>
      </w:r>
    </w:p>
    <w:p w14:paraId="6353D670" w14:textId="77777777" w:rsidR="00C64DC2" w:rsidRPr="00C64DC2" w:rsidRDefault="00C64DC2" w:rsidP="00C64DC2">
      <w:pPr>
        <w:spacing w:after="120"/>
        <w:ind w:firstLine="709"/>
        <w:jc w:val="both"/>
        <w:rPr>
          <w:rFonts w:ascii="Arial Narrow" w:eastAsia="Calibri" w:hAnsi="Arial Narrow"/>
          <w:lang w:val="bg-BG"/>
        </w:rPr>
      </w:pPr>
      <w:r w:rsidRPr="00C64DC2">
        <w:rPr>
          <w:rFonts w:ascii="Arial Narrow" w:hAnsi="Arial Narrow"/>
          <w:lang w:val="bg-BG" w:eastAsia="bg-BG"/>
        </w:rPr>
        <w:lastRenderedPageBreak/>
        <w:t>След наблюдавания тренд на нарастване на броя на направените научни оценки и анализи от ЦОРХВ в периода 2012 – 2022 г., през 2023 и 2024 г. се отчита намаление.</w:t>
      </w:r>
      <w:r w:rsidRPr="00C64DC2">
        <w:rPr>
          <w:rFonts w:ascii="Calibri" w:eastAsia="Calibri" w:hAnsi="Calibri"/>
          <w:sz w:val="22"/>
          <w:szCs w:val="22"/>
        </w:rPr>
        <w:t xml:space="preserve"> </w:t>
      </w:r>
      <w:r w:rsidRPr="00C64DC2">
        <w:rPr>
          <w:rFonts w:ascii="Arial Narrow" w:hAnsi="Arial Narrow"/>
          <w:lang w:val="bg-BG" w:eastAsia="bg-BG"/>
        </w:rPr>
        <w:t xml:space="preserve">В рамките на 2024 г. са изготвени 65 научни становища (в т. ч. 51 научни оценки на риска и 5 научни обзора и анализи), при 77 броя през 2023 г. и 113 броя през 2022 г. </w:t>
      </w:r>
      <w:r w:rsidRPr="00C64DC2">
        <w:rPr>
          <w:rFonts w:ascii="Arial Narrow" w:eastAsia="Calibri" w:hAnsi="Arial Narrow"/>
          <w:lang w:val="bg-BG"/>
        </w:rPr>
        <w:t>Въпреки това броят на направените оценки и научни обзори през 202</w:t>
      </w:r>
      <w:r w:rsidRPr="00C64DC2">
        <w:rPr>
          <w:rFonts w:ascii="Arial Narrow" w:eastAsia="Calibri" w:hAnsi="Arial Narrow"/>
        </w:rPr>
        <w:t>4</w:t>
      </w:r>
      <w:r w:rsidRPr="00C64DC2">
        <w:rPr>
          <w:rFonts w:ascii="Arial Narrow" w:eastAsia="Calibri" w:hAnsi="Arial Narrow"/>
          <w:lang w:val="bg-BG"/>
        </w:rPr>
        <w:t xml:space="preserve"> г. остава висок, като същевременно качеството на становищата продължава да се подобрява. </w:t>
      </w:r>
    </w:p>
    <w:p w14:paraId="225661E1" w14:textId="77777777" w:rsidR="00C64DC2" w:rsidRPr="00C64DC2" w:rsidRDefault="00C64DC2" w:rsidP="00C64DC2">
      <w:pPr>
        <w:spacing w:after="120"/>
        <w:ind w:firstLine="720"/>
        <w:jc w:val="both"/>
        <w:rPr>
          <w:rFonts w:ascii="Arial Narrow" w:eastAsia="Calibri" w:hAnsi="Arial Narrow"/>
          <w:sz w:val="22"/>
          <w:szCs w:val="22"/>
          <w:lang w:val="bg-BG" w:eastAsia="bg-BG"/>
        </w:rPr>
      </w:pPr>
      <w:r w:rsidRPr="00C64DC2">
        <w:rPr>
          <w:rFonts w:ascii="Arial Narrow" w:eastAsia="Calibri" w:hAnsi="Arial Narrow"/>
          <w:sz w:val="22"/>
          <w:szCs w:val="22"/>
          <w:lang w:val="bg-BG" w:eastAsia="bg-BG"/>
        </w:rPr>
        <w:t xml:space="preserve">През 2024 г. ЦОРХВ продължи да изпълнява и другата си основна цел по отношение на оценка на активни вещества, които влизат в състава на продукти за растителна защита и оценка на продукти за растителна защита (ПРЗ). ЦОРХВ е единственият компетентен орган в България за извършване на такъв тип оценка. Извършването на оценка се възлага от Европейската комисия и се координира с Европейския орган по безопасност на храните (EFSA). На България са възложени за оценяване 2 активни вещества, по които работят експертите от ЦОРХВ. </w:t>
      </w:r>
    </w:p>
    <w:p w14:paraId="66F5C163" w14:textId="77777777" w:rsidR="00C64DC2" w:rsidRPr="00C64DC2" w:rsidRDefault="00C64DC2" w:rsidP="00C64DC2">
      <w:pPr>
        <w:spacing w:after="120"/>
        <w:ind w:firstLine="709"/>
        <w:jc w:val="both"/>
        <w:rPr>
          <w:rFonts w:ascii="Arial Narrow" w:eastAsia="Calibri" w:hAnsi="Arial Narrow"/>
          <w:lang w:val="bg-BG"/>
        </w:rPr>
      </w:pPr>
      <w:r w:rsidRPr="00C64DC2">
        <w:rPr>
          <w:rFonts w:ascii="Arial Narrow" w:hAnsi="Arial Narrow"/>
          <w:lang w:val="bg-BG" w:eastAsia="bg-BG"/>
        </w:rPr>
        <w:t xml:space="preserve">По отношение на задълженията по чл. 12 Регламент (ЕО) № 396/2005 относно оценка на максимално допустими граници на остатъчни вещества (МДГОВ), през 2024 г. ЦОРХВ е </w:t>
      </w:r>
      <w:r w:rsidRPr="00C64DC2">
        <w:rPr>
          <w:rFonts w:ascii="Arial Narrow" w:eastAsia="Calibri" w:hAnsi="Arial Narrow"/>
          <w:lang w:val="bg-BG"/>
        </w:rPr>
        <w:t>предоставил информация на ЕОБХ относно одобрени добри земеделски практики в България при преглед на съществуващи МДГОВ от пестициди по чл. 12 от Регламент (ЕО) 396/2005 за едно активно вещество, съдържащо се в пет разрешени продукти за растителна защита в България.</w:t>
      </w:r>
    </w:p>
    <w:p w14:paraId="7D08EC32" w14:textId="77777777" w:rsidR="00C64DC2" w:rsidRPr="00C64DC2" w:rsidRDefault="00C64DC2" w:rsidP="00C64DC2">
      <w:pPr>
        <w:spacing w:after="120"/>
        <w:ind w:firstLine="709"/>
        <w:jc w:val="both"/>
        <w:rPr>
          <w:rFonts w:ascii="Arial Narrow" w:eastAsia="Calibri" w:hAnsi="Arial Narrow"/>
          <w:lang w:val="bg-BG"/>
        </w:rPr>
      </w:pPr>
      <w:r w:rsidRPr="00C64DC2">
        <w:rPr>
          <w:rFonts w:ascii="Arial Narrow" w:eastAsia="Calibri" w:hAnsi="Arial Narrow"/>
          <w:lang w:val="bg-BG"/>
        </w:rPr>
        <w:tab/>
        <w:t>Извършен е преглед на 13 броя публикувани Регламенти за изменение на МДГОВ за съответствие на разрешени в България употреби за ПРЗ, като за някои от употребите е потвърдена необходимостта от предприемане на национални мерки за ограничаване на риска.</w:t>
      </w:r>
    </w:p>
    <w:p w14:paraId="5A5A3652" w14:textId="77777777" w:rsidR="00C64DC2" w:rsidRPr="00C64DC2" w:rsidRDefault="00C64DC2" w:rsidP="00C64DC2">
      <w:pPr>
        <w:spacing w:after="120"/>
        <w:ind w:firstLine="720"/>
        <w:jc w:val="both"/>
        <w:rPr>
          <w:rFonts w:ascii="Arial Narrow" w:eastAsia="Calibri" w:hAnsi="Arial Narrow"/>
          <w:lang w:val="bg-BG" w:eastAsia="bg-BG"/>
        </w:rPr>
      </w:pPr>
      <w:r w:rsidRPr="00C64DC2">
        <w:rPr>
          <w:rFonts w:ascii="Arial Narrow" w:eastAsia="Calibri" w:hAnsi="Arial Narrow"/>
          <w:lang w:val="bg-BG" w:eastAsia="bg-BG"/>
        </w:rPr>
        <w:t>Центърът за оценка на риска по хранителната верига е единственият компетентен орган в България и за извършване на оценка за разрешаване на продукти за растителна защита. Оценки се извършват по отношение на безопасност за човека и околната среда, безопасност за консуматора и ефикасност, физико-химични характеристики на продукта. Дейността по оценка на продукти за растителна защита в ЦОРХВ е част от процеса по разрешаване на ПРЗ съвместно с БАБХ. Оценката на продукти за растителна защита е в помощ на земеделските производители в борбата с болести и неприятели и с цел гарантиране качеството на произведената продукция, както и опазването нa човешкото здраве и околна среда.</w:t>
      </w:r>
    </w:p>
    <w:p w14:paraId="51E2C0E1" w14:textId="77777777" w:rsidR="00C64DC2" w:rsidRPr="00C64DC2" w:rsidRDefault="00C64DC2" w:rsidP="00C64DC2">
      <w:pPr>
        <w:spacing w:after="120"/>
        <w:ind w:firstLine="720"/>
        <w:jc w:val="both"/>
        <w:rPr>
          <w:rFonts w:ascii="Arial Narrow" w:eastAsia="Calibri" w:hAnsi="Arial Narrow"/>
          <w:lang w:val="bg-BG" w:eastAsia="bg-BG"/>
        </w:rPr>
      </w:pPr>
      <w:r w:rsidRPr="00C64DC2">
        <w:rPr>
          <w:rFonts w:ascii="Arial Narrow" w:eastAsia="Calibri" w:hAnsi="Arial Narrow"/>
          <w:lang w:val="bg-BG" w:eastAsia="bg-BG"/>
        </w:rPr>
        <w:t>Общият брой, получени преписки през 2024 г. е 364 (с 4</w:t>
      </w:r>
      <w:r>
        <w:rPr>
          <w:rFonts w:ascii="Arial Narrow" w:eastAsia="Calibri" w:hAnsi="Arial Narrow"/>
          <w:lang w:val="bg-BG" w:eastAsia="bg-BG"/>
        </w:rPr>
        <w:t>0 броя по-малко спрямо 2023 г.)</w:t>
      </w:r>
      <w:r w:rsidRPr="00C64DC2">
        <w:rPr>
          <w:rFonts w:ascii="Arial Narrow" w:eastAsia="Calibri" w:hAnsi="Arial Narrow"/>
          <w:lang w:val="bg-BG" w:eastAsia="bg-BG"/>
        </w:rPr>
        <w:t xml:space="preserve">, което включва нови преписки и предоставяне на допълнителна информация по вече налични в ЦОРХВ досиета за оценка на ПРЗ. Оценени са и са предадени към БАБХ доклади за оценка за 147 продукта за растителна защита, при 178 броя през предходната година. </w:t>
      </w:r>
    </w:p>
    <w:p w14:paraId="030E5075" w14:textId="77777777" w:rsidR="00C64DC2" w:rsidRPr="00C64DC2" w:rsidRDefault="00C64DC2" w:rsidP="00C64DC2">
      <w:pPr>
        <w:widowControl w:val="0"/>
        <w:spacing w:after="120"/>
        <w:jc w:val="center"/>
        <w:rPr>
          <w:rFonts w:ascii="Arial Narrow" w:hAnsi="Arial Narrow"/>
          <w:b/>
          <w:i/>
          <w:lang w:val="bg-BG" w:eastAsia="bg-BG"/>
        </w:rPr>
      </w:pPr>
      <w:r w:rsidRPr="00C64DC2">
        <w:rPr>
          <w:rFonts w:ascii="Arial Narrow" w:eastAsia="Calibri" w:hAnsi="Arial Narrow"/>
          <w:b/>
          <w:i/>
          <w:lang w:val="bg-BG"/>
        </w:rPr>
        <w:t xml:space="preserve">Фигура </w:t>
      </w:r>
      <w:r w:rsidRPr="00C64DC2">
        <w:rPr>
          <w:rFonts w:ascii="Arial Narrow" w:eastAsia="Calibri" w:hAnsi="Arial Narrow"/>
          <w:b/>
          <w:i/>
        </w:rPr>
        <w:t>V</w:t>
      </w:r>
      <w:r w:rsidRPr="00C64DC2">
        <w:rPr>
          <w:rFonts w:ascii="Arial Narrow" w:eastAsia="Calibri" w:hAnsi="Arial Narrow"/>
          <w:b/>
          <w:i/>
          <w:lang w:val="bg-BG"/>
        </w:rPr>
        <w:t>.</w:t>
      </w:r>
      <w:r w:rsidR="00F214AB">
        <w:rPr>
          <w:rFonts w:ascii="Arial Narrow" w:eastAsia="Calibri" w:hAnsi="Arial Narrow"/>
          <w:b/>
          <w:i/>
          <w:lang w:val="bg-BG"/>
        </w:rPr>
        <w:t>6</w:t>
      </w:r>
      <w:r w:rsidRPr="00C64DC2">
        <w:rPr>
          <w:rFonts w:ascii="Arial Narrow" w:eastAsia="Calibri" w:hAnsi="Arial Narrow"/>
          <w:b/>
          <w:i/>
          <w:lang w:val="bg-BG"/>
        </w:rPr>
        <w:t xml:space="preserve">. </w:t>
      </w:r>
      <w:r w:rsidRPr="00C64DC2">
        <w:rPr>
          <w:rFonts w:ascii="Arial Narrow" w:hAnsi="Arial Narrow"/>
          <w:b/>
          <w:i/>
          <w:lang w:val="bg-BG" w:eastAsia="bg-BG"/>
        </w:rPr>
        <w:t>Постъпили преписки и предадени оценки на ПРЗ през периода 2017 – 2024 г.</w:t>
      </w:r>
    </w:p>
    <w:p w14:paraId="57314E60" w14:textId="77777777" w:rsidR="00C64DC2" w:rsidRPr="00C64DC2" w:rsidRDefault="00C64DC2" w:rsidP="00C64DC2">
      <w:pPr>
        <w:widowControl w:val="0"/>
        <w:spacing w:after="120"/>
        <w:jc w:val="center"/>
        <w:rPr>
          <w:rFonts w:ascii="Arial Narrow" w:hAnsi="Arial Narrow"/>
          <w:b/>
          <w:i/>
          <w:lang w:val="bg-BG" w:eastAsia="bg-BG"/>
        </w:rPr>
      </w:pPr>
      <w:r w:rsidRPr="00C64DC2">
        <w:rPr>
          <w:rFonts w:ascii="Calibri" w:eastAsia="Calibri" w:hAnsi="Calibri"/>
          <w:noProof/>
          <w:sz w:val="22"/>
          <w:szCs w:val="22"/>
        </w:rPr>
        <w:drawing>
          <wp:inline distT="0" distB="0" distL="0" distR="0" wp14:anchorId="4FC6DB68" wp14:editId="1ADC012C">
            <wp:extent cx="5040000" cy="3060000"/>
            <wp:effectExtent l="0" t="0" r="8255" b="762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1998A9B9" w14:textId="77777777" w:rsidR="00C64DC2" w:rsidRPr="00C64DC2" w:rsidRDefault="00C64DC2" w:rsidP="00C64DC2">
      <w:pPr>
        <w:spacing w:after="120"/>
        <w:ind w:firstLine="709"/>
        <w:jc w:val="both"/>
        <w:rPr>
          <w:rFonts w:ascii="Arial Narrow" w:hAnsi="Arial Narrow"/>
          <w:sz w:val="16"/>
          <w:szCs w:val="16"/>
          <w:lang w:val="bg-BG" w:eastAsia="bg-BG"/>
        </w:rPr>
      </w:pPr>
      <w:r w:rsidRPr="00C64DC2">
        <w:rPr>
          <w:rFonts w:ascii="Arial Narrow" w:hAnsi="Arial Narrow"/>
          <w:i/>
          <w:sz w:val="16"/>
          <w:szCs w:val="16"/>
          <w:lang w:val="bg-BG" w:eastAsia="bg-BG"/>
        </w:rPr>
        <w:t>Източник:</w:t>
      </w:r>
      <w:r w:rsidRPr="00C64DC2">
        <w:rPr>
          <w:rFonts w:ascii="Arial Narrow" w:hAnsi="Arial Narrow"/>
          <w:sz w:val="16"/>
          <w:szCs w:val="16"/>
          <w:lang w:val="bg-BG" w:eastAsia="bg-BG"/>
        </w:rPr>
        <w:t xml:space="preserve"> ЦОРХВ</w:t>
      </w:r>
    </w:p>
    <w:p w14:paraId="10B3D775" w14:textId="77777777" w:rsidR="00C64DC2" w:rsidRPr="00C64DC2" w:rsidRDefault="00C64DC2" w:rsidP="00C64DC2">
      <w:pPr>
        <w:spacing w:after="120"/>
        <w:ind w:firstLine="709"/>
        <w:jc w:val="both"/>
        <w:rPr>
          <w:rFonts w:ascii="Arial Narrow" w:hAnsi="Arial Narrow"/>
          <w:lang w:val="bg-BG" w:eastAsia="bg-BG"/>
        </w:rPr>
      </w:pPr>
      <w:r w:rsidRPr="00C64DC2">
        <w:rPr>
          <w:rFonts w:ascii="Arial Narrow" w:hAnsi="Arial Narrow"/>
          <w:lang w:val="bg-BG" w:eastAsia="bg-BG"/>
        </w:rPr>
        <w:lastRenderedPageBreak/>
        <w:t>През 2025 г. продължава дейността на ЦОРХВ по актуализиране на оценките на риска в следните направления:</w:t>
      </w:r>
    </w:p>
    <w:p w14:paraId="5E5D4E49" w14:textId="77777777" w:rsidR="00C64DC2" w:rsidRPr="00C64DC2" w:rsidRDefault="00C64DC2" w:rsidP="009C6577">
      <w:pPr>
        <w:numPr>
          <w:ilvl w:val="0"/>
          <w:numId w:val="37"/>
        </w:numPr>
        <w:overflowPunct w:val="0"/>
        <w:autoSpaceDE w:val="0"/>
        <w:autoSpaceDN w:val="0"/>
        <w:adjustRightInd w:val="0"/>
        <w:spacing w:after="120" w:line="276" w:lineRule="auto"/>
        <w:ind w:left="714" w:hanging="357"/>
        <w:jc w:val="both"/>
        <w:rPr>
          <w:rFonts w:ascii="Arial Narrow" w:eastAsia="Calibri" w:hAnsi="Arial Narrow"/>
          <w:lang w:val="bg-BG"/>
        </w:rPr>
      </w:pPr>
      <w:r w:rsidRPr="00C64DC2">
        <w:rPr>
          <w:rFonts w:ascii="Arial Narrow" w:eastAsia="Calibri" w:hAnsi="Arial Narrow"/>
          <w:lang w:val="bg-BG"/>
        </w:rPr>
        <w:t>Инфлуенца А по птиците и развитието на възможностите за изграждане на стратегия за ваксинация на птиците в България при условие на запазване на търговските пазари и изчакване на резултатите от провежданите изпитвания на ваксини при кокошки в Нидерландия и при патици във Франция;</w:t>
      </w:r>
    </w:p>
    <w:p w14:paraId="3C913BDC" w14:textId="77777777" w:rsidR="00C64DC2" w:rsidRPr="00C64DC2" w:rsidRDefault="00C64DC2" w:rsidP="009C6577">
      <w:pPr>
        <w:numPr>
          <w:ilvl w:val="0"/>
          <w:numId w:val="37"/>
        </w:numPr>
        <w:overflowPunct w:val="0"/>
        <w:autoSpaceDE w:val="0"/>
        <w:autoSpaceDN w:val="0"/>
        <w:adjustRightInd w:val="0"/>
        <w:spacing w:after="120" w:line="276" w:lineRule="auto"/>
        <w:ind w:left="714" w:hanging="357"/>
        <w:jc w:val="both"/>
        <w:rPr>
          <w:rFonts w:ascii="Arial Narrow" w:eastAsia="Calibri" w:hAnsi="Arial Narrow"/>
          <w:lang w:val="bg-BG"/>
        </w:rPr>
      </w:pPr>
      <w:r w:rsidRPr="00C64DC2">
        <w:rPr>
          <w:rFonts w:ascii="Arial Narrow" w:eastAsia="Calibri" w:hAnsi="Arial Narrow"/>
          <w:lang w:val="bg-BG"/>
        </w:rPr>
        <w:t>Африканска чума по свинете в България, Европа и света;</w:t>
      </w:r>
    </w:p>
    <w:p w14:paraId="2AB22BA2" w14:textId="77777777" w:rsidR="00C64DC2" w:rsidRPr="00C64DC2" w:rsidRDefault="00C64DC2" w:rsidP="009C6577">
      <w:pPr>
        <w:numPr>
          <w:ilvl w:val="0"/>
          <w:numId w:val="37"/>
        </w:numPr>
        <w:overflowPunct w:val="0"/>
        <w:autoSpaceDE w:val="0"/>
        <w:autoSpaceDN w:val="0"/>
        <w:adjustRightInd w:val="0"/>
        <w:spacing w:after="120" w:line="276" w:lineRule="auto"/>
        <w:ind w:left="714" w:hanging="357"/>
        <w:jc w:val="both"/>
        <w:rPr>
          <w:rFonts w:ascii="Arial Narrow" w:eastAsia="Calibri" w:hAnsi="Arial Narrow"/>
          <w:lang w:val="bg-BG"/>
        </w:rPr>
      </w:pPr>
      <w:r w:rsidRPr="00C64DC2">
        <w:rPr>
          <w:rFonts w:ascii="Arial Narrow" w:eastAsia="Calibri" w:hAnsi="Arial Narrow"/>
          <w:lang w:val="bg-BG"/>
        </w:rPr>
        <w:t>Актуални заболявания по животните или с повишен риск от навлизане на територията на Р България – векторни болести, причинени от Тога вируси и Буня вируси – анализ на данните за Европа, възможни резервоари в дивата природа;</w:t>
      </w:r>
    </w:p>
    <w:p w14:paraId="1040AEFC" w14:textId="77777777" w:rsidR="00C64DC2" w:rsidRPr="00C64DC2" w:rsidRDefault="00C64DC2" w:rsidP="009C6577">
      <w:pPr>
        <w:numPr>
          <w:ilvl w:val="0"/>
          <w:numId w:val="37"/>
        </w:numPr>
        <w:overflowPunct w:val="0"/>
        <w:autoSpaceDE w:val="0"/>
        <w:autoSpaceDN w:val="0"/>
        <w:adjustRightInd w:val="0"/>
        <w:spacing w:after="120" w:line="276" w:lineRule="auto"/>
        <w:ind w:left="714" w:hanging="357"/>
        <w:jc w:val="both"/>
        <w:rPr>
          <w:rFonts w:ascii="Arial Narrow" w:eastAsia="Calibri" w:hAnsi="Arial Narrow"/>
          <w:lang w:val="bg-BG"/>
        </w:rPr>
      </w:pPr>
      <w:r w:rsidRPr="00C64DC2">
        <w:rPr>
          <w:rFonts w:ascii="Arial Narrow" w:eastAsia="Calibri" w:hAnsi="Arial Narrow"/>
          <w:lang w:val="bg-BG"/>
        </w:rPr>
        <w:t xml:space="preserve">Разпространението на паразитни болести по животните и хора; </w:t>
      </w:r>
    </w:p>
    <w:p w14:paraId="1C85B7D1" w14:textId="77777777" w:rsidR="00C64DC2" w:rsidRPr="00C64DC2" w:rsidRDefault="00C64DC2" w:rsidP="009C6577">
      <w:pPr>
        <w:numPr>
          <w:ilvl w:val="0"/>
          <w:numId w:val="37"/>
        </w:numPr>
        <w:overflowPunct w:val="0"/>
        <w:autoSpaceDE w:val="0"/>
        <w:autoSpaceDN w:val="0"/>
        <w:adjustRightInd w:val="0"/>
        <w:spacing w:after="120" w:line="276" w:lineRule="auto"/>
        <w:ind w:left="714" w:hanging="357"/>
        <w:jc w:val="both"/>
        <w:rPr>
          <w:rFonts w:ascii="Arial Narrow" w:eastAsia="Calibri" w:hAnsi="Arial Narrow"/>
          <w:lang w:val="bg-BG"/>
        </w:rPr>
      </w:pPr>
      <w:r w:rsidRPr="00C64DC2">
        <w:rPr>
          <w:rFonts w:ascii="Arial Narrow" w:eastAsia="Calibri" w:hAnsi="Arial Narrow"/>
          <w:lang w:val="bg-BG"/>
        </w:rPr>
        <w:t>Други икономически значими, екзотични, нововъзникващи, трансгранични и векторно-предавани заболявания по животните и зоонози;</w:t>
      </w:r>
    </w:p>
    <w:p w14:paraId="50E97E3A" w14:textId="77777777" w:rsidR="00C64DC2" w:rsidRPr="00C64DC2" w:rsidRDefault="00C64DC2" w:rsidP="009C6577">
      <w:pPr>
        <w:numPr>
          <w:ilvl w:val="0"/>
          <w:numId w:val="37"/>
        </w:numPr>
        <w:overflowPunct w:val="0"/>
        <w:autoSpaceDE w:val="0"/>
        <w:autoSpaceDN w:val="0"/>
        <w:adjustRightInd w:val="0"/>
        <w:spacing w:after="120" w:line="276" w:lineRule="auto"/>
        <w:ind w:left="714" w:hanging="357"/>
        <w:jc w:val="both"/>
        <w:rPr>
          <w:rFonts w:ascii="Arial Narrow" w:eastAsia="Calibri" w:hAnsi="Arial Narrow"/>
          <w:lang w:val="bg-BG"/>
        </w:rPr>
      </w:pPr>
      <w:r w:rsidRPr="00C64DC2">
        <w:rPr>
          <w:rFonts w:ascii="Arial Narrow" w:eastAsia="Calibri" w:hAnsi="Arial Narrow"/>
          <w:lang w:val="bg-BG"/>
        </w:rPr>
        <w:t>Развитието на европейското законодателство по хуманно отношение към животните и очакваното предложение на ЕК за нов регламент, както и отражението му върху българското животновъдство;</w:t>
      </w:r>
    </w:p>
    <w:p w14:paraId="289C64D8" w14:textId="77777777" w:rsidR="00C64DC2" w:rsidRPr="00C64DC2" w:rsidRDefault="00C64DC2" w:rsidP="009C6577">
      <w:pPr>
        <w:numPr>
          <w:ilvl w:val="0"/>
          <w:numId w:val="37"/>
        </w:numPr>
        <w:overflowPunct w:val="0"/>
        <w:autoSpaceDE w:val="0"/>
        <w:autoSpaceDN w:val="0"/>
        <w:adjustRightInd w:val="0"/>
        <w:spacing w:after="120" w:line="276" w:lineRule="auto"/>
        <w:ind w:left="714" w:hanging="357"/>
        <w:jc w:val="both"/>
        <w:rPr>
          <w:rFonts w:ascii="Arial Narrow" w:eastAsia="Calibri" w:hAnsi="Arial Narrow"/>
          <w:lang w:val="bg-BG"/>
        </w:rPr>
      </w:pPr>
      <w:r w:rsidRPr="00C64DC2">
        <w:rPr>
          <w:rFonts w:ascii="Arial Narrow" w:eastAsia="Calibri" w:hAnsi="Arial Narrow"/>
          <w:lang w:val="bg-BG"/>
        </w:rPr>
        <w:t>Развитието на европейското законодателство по отношение на новите геномни техники в растениевъдството, храните и фуражите;</w:t>
      </w:r>
    </w:p>
    <w:p w14:paraId="12D569EB" w14:textId="77777777" w:rsidR="00C64DC2" w:rsidRPr="00C64DC2" w:rsidRDefault="00C64DC2" w:rsidP="009C6577">
      <w:pPr>
        <w:numPr>
          <w:ilvl w:val="0"/>
          <w:numId w:val="37"/>
        </w:numPr>
        <w:overflowPunct w:val="0"/>
        <w:autoSpaceDE w:val="0"/>
        <w:autoSpaceDN w:val="0"/>
        <w:adjustRightInd w:val="0"/>
        <w:spacing w:after="120" w:line="276" w:lineRule="auto"/>
        <w:ind w:left="714" w:hanging="357"/>
        <w:jc w:val="both"/>
        <w:rPr>
          <w:rFonts w:ascii="Arial Narrow" w:eastAsia="Calibri" w:hAnsi="Arial Narrow"/>
          <w:lang w:val="bg-BG"/>
        </w:rPr>
      </w:pPr>
      <w:r w:rsidRPr="00C64DC2">
        <w:rPr>
          <w:rFonts w:ascii="Arial Narrow" w:eastAsia="Calibri" w:hAnsi="Arial Narrow"/>
          <w:lang w:val="bg-BG"/>
        </w:rPr>
        <w:t xml:space="preserve">Остатъци от ПРЗ, ВМП и замърсители от околната среда в храни – въглеводороди на минерални масла и рискове за човешкото здраве и оценка на хранителната експозиция на афлатоксини на населението в България; </w:t>
      </w:r>
    </w:p>
    <w:p w14:paraId="204D1FBC" w14:textId="77777777" w:rsidR="00C64DC2" w:rsidRPr="00C64DC2" w:rsidRDefault="00C64DC2" w:rsidP="009C6577">
      <w:pPr>
        <w:numPr>
          <w:ilvl w:val="0"/>
          <w:numId w:val="37"/>
        </w:numPr>
        <w:overflowPunct w:val="0"/>
        <w:autoSpaceDE w:val="0"/>
        <w:autoSpaceDN w:val="0"/>
        <w:adjustRightInd w:val="0"/>
        <w:spacing w:after="120" w:line="276" w:lineRule="auto"/>
        <w:ind w:left="714" w:hanging="357"/>
        <w:jc w:val="both"/>
        <w:rPr>
          <w:rFonts w:ascii="Arial Narrow" w:eastAsia="Calibri" w:hAnsi="Arial Narrow"/>
          <w:lang w:val="bg-BG"/>
        </w:rPr>
      </w:pPr>
      <w:r w:rsidRPr="00C64DC2">
        <w:rPr>
          <w:rFonts w:ascii="Arial Narrow" w:eastAsia="Calibri" w:hAnsi="Arial Narrow"/>
          <w:lang w:val="bg-BG"/>
        </w:rPr>
        <w:t>Алергени, диетични храни, нови храни и храни със здравни претенции, хранителни добавки, нови храни, оценка безопасността на традиционни храни – употреба и безопасност на магнезиевите хранителни добавки; Протеините в хранителните системи - източници, функционални свойства и възможности за здравословен хранителен режим; История и приложение на канабидиол (съставка на Cannabis sativa);</w:t>
      </w:r>
    </w:p>
    <w:p w14:paraId="49C72E16" w14:textId="77777777" w:rsidR="00C64DC2" w:rsidRPr="00C64DC2" w:rsidRDefault="00C64DC2" w:rsidP="009C6577">
      <w:pPr>
        <w:numPr>
          <w:ilvl w:val="0"/>
          <w:numId w:val="37"/>
        </w:numPr>
        <w:overflowPunct w:val="0"/>
        <w:autoSpaceDE w:val="0"/>
        <w:autoSpaceDN w:val="0"/>
        <w:adjustRightInd w:val="0"/>
        <w:spacing w:after="120" w:line="276" w:lineRule="auto"/>
        <w:ind w:left="714" w:hanging="357"/>
        <w:jc w:val="both"/>
        <w:rPr>
          <w:rFonts w:ascii="Arial Narrow" w:eastAsia="Calibri" w:hAnsi="Arial Narrow"/>
          <w:lang w:val="bg-BG"/>
        </w:rPr>
      </w:pPr>
      <w:r w:rsidRPr="00C64DC2">
        <w:rPr>
          <w:rFonts w:ascii="Arial Narrow" w:eastAsia="Calibri" w:hAnsi="Arial Narrow"/>
          <w:lang w:val="bg-BG"/>
        </w:rPr>
        <w:t>Биологични опасности при консумацията на храни от растителен произход;</w:t>
      </w:r>
    </w:p>
    <w:p w14:paraId="793FE412" w14:textId="77777777" w:rsidR="00C64DC2" w:rsidRPr="00C64DC2" w:rsidRDefault="00C64DC2" w:rsidP="009C6577">
      <w:pPr>
        <w:numPr>
          <w:ilvl w:val="0"/>
          <w:numId w:val="37"/>
        </w:numPr>
        <w:overflowPunct w:val="0"/>
        <w:autoSpaceDE w:val="0"/>
        <w:autoSpaceDN w:val="0"/>
        <w:adjustRightInd w:val="0"/>
        <w:spacing w:after="120" w:line="276" w:lineRule="auto"/>
        <w:ind w:left="714" w:hanging="357"/>
        <w:jc w:val="both"/>
        <w:rPr>
          <w:rFonts w:ascii="Arial Narrow" w:eastAsia="Calibri" w:hAnsi="Arial Narrow"/>
          <w:lang w:val="bg-BG"/>
        </w:rPr>
      </w:pPr>
      <w:r w:rsidRPr="00C64DC2">
        <w:rPr>
          <w:rFonts w:ascii="Arial Narrow" w:eastAsia="Calibri" w:hAnsi="Arial Narrow"/>
          <w:lang w:val="bg-BG"/>
        </w:rPr>
        <w:t>Използване на агрофотоволтаици в селското стопанство;</w:t>
      </w:r>
    </w:p>
    <w:p w14:paraId="231D7DD4" w14:textId="77777777" w:rsidR="00C64DC2" w:rsidRPr="00C64DC2" w:rsidRDefault="00C64DC2" w:rsidP="009C6577">
      <w:pPr>
        <w:numPr>
          <w:ilvl w:val="0"/>
          <w:numId w:val="37"/>
        </w:numPr>
        <w:overflowPunct w:val="0"/>
        <w:autoSpaceDE w:val="0"/>
        <w:autoSpaceDN w:val="0"/>
        <w:adjustRightInd w:val="0"/>
        <w:spacing w:after="120" w:line="276" w:lineRule="auto"/>
        <w:ind w:left="714" w:hanging="357"/>
        <w:jc w:val="both"/>
        <w:rPr>
          <w:rFonts w:ascii="Arial Narrow" w:eastAsia="Calibri" w:hAnsi="Arial Narrow"/>
          <w:lang w:val="bg-BG"/>
        </w:rPr>
      </w:pPr>
      <w:r w:rsidRPr="00C64DC2">
        <w:rPr>
          <w:rFonts w:ascii="Arial Narrow" w:eastAsia="Calibri" w:hAnsi="Arial Narrow"/>
          <w:lang w:val="bg-BG"/>
        </w:rPr>
        <w:t>Здраве на растенията, фитосанитарния риск от вредители по растенията за България – неприятеля Anoplophora glabripennis по горски и декоративни видове в България;</w:t>
      </w:r>
      <w:r w:rsidRPr="00C64DC2" w:rsidDel="00231FFC">
        <w:rPr>
          <w:rFonts w:ascii="Arial Narrow" w:eastAsia="Calibri" w:hAnsi="Arial Narrow"/>
          <w:lang w:val="bg-BG"/>
        </w:rPr>
        <w:t xml:space="preserve"> </w:t>
      </w:r>
      <w:r w:rsidRPr="00C64DC2">
        <w:rPr>
          <w:rFonts w:ascii="Arial Narrow" w:eastAsia="Calibri" w:hAnsi="Arial Narrow"/>
          <w:lang w:val="bg-BG"/>
        </w:rPr>
        <w:t>неприятеля Bactrocera dorsalis по овощните видове в България;</w:t>
      </w:r>
    </w:p>
    <w:p w14:paraId="3D70E816" w14:textId="77777777" w:rsidR="00C64DC2" w:rsidRPr="00C64DC2" w:rsidRDefault="00C64DC2" w:rsidP="009C6577">
      <w:pPr>
        <w:numPr>
          <w:ilvl w:val="0"/>
          <w:numId w:val="37"/>
        </w:numPr>
        <w:overflowPunct w:val="0"/>
        <w:autoSpaceDE w:val="0"/>
        <w:autoSpaceDN w:val="0"/>
        <w:adjustRightInd w:val="0"/>
        <w:spacing w:after="120" w:line="276" w:lineRule="auto"/>
        <w:ind w:left="714" w:hanging="357"/>
        <w:jc w:val="both"/>
        <w:rPr>
          <w:rFonts w:ascii="Arial Narrow" w:eastAsia="Calibri" w:hAnsi="Arial Narrow"/>
          <w:lang w:val="bg-BG"/>
        </w:rPr>
      </w:pPr>
      <w:r w:rsidRPr="00C64DC2">
        <w:rPr>
          <w:rFonts w:ascii="Arial Narrow" w:eastAsia="Calibri" w:hAnsi="Arial Narrow"/>
          <w:lang w:val="bg-BG"/>
        </w:rPr>
        <w:t>Фуражни добавки, продукти и субстанции във фуражи – рискове от алтернативни източници (насекоми) на фуражни суровини за здравето на животни и хора; риск от наличие на остатъци от пестициди във фуражи;</w:t>
      </w:r>
    </w:p>
    <w:p w14:paraId="2F846511" w14:textId="77777777" w:rsidR="00C64DC2" w:rsidRPr="00C64DC2" w:rsidRDefault="00C64DC2" w:rsidP="009C6577">
      <w:pPr>
        <w:numPr>
          <w:ilvl w:val="0"/>
          <w:numId w:val="37"/>
        </w:numPr>
        <w:overflowPunct w:val="0"/>
        <w:autoSpaceDE w:val="0"/>
        <w:autoSpaceDN w:val="0"/>
        <w:adjustRightInd w:val="0"/>
        <w:spacing w:after="120" w:line="276" w:lineRule="auto"/>
        <w:ind w:left="714" w:hanging="357"/>
        <w:jc w:val="both"/>
        <w:rPr>
          <w:rFonts w:ascii="Arial Narrow" w:eastAsia="Calibri" w:hAnsi="Arial Narrow"/>
          <w:lang w:val="bg-BG"/>
        </w:rPr>
      </w:pPr>
      <w:r w:rsidRPr="00C64DC2">
        <w:rPr>
          <w:rFonts w:ascii="Arial Narrow" w:eastAsia="Calibri" w:hAnsi="Arial Narrow"/>
          <w:lang w:val="bg-BG"/>
        </w:rPr>
        <w:t>Изпълнение на целите, заложени в Националната програма за борба срещу антимикробната резистентност, вменени на ЦОРХВ – проследяване на тенденциите за развитие на алтернативи на антибиотиците във ветеринарната и хуманна медицина, употреба на фуражни добавки с цел заместване на антибиотична терапия при селскостопански животни и птици, и проследяване на антиакарицидна резистентност;</w:t>
      </w:r>
    </w:p>
    <w:p w14:paraId="05260530" w14:textId="77777777" w:rsidR="00C64DC2" w:rsidRPr="00C64DC2" w:rsidRDefault="00C64DC2" w:rsidP="009C6577">
      <w:pPr>
        <w:numPr>
          <w:ilvl w:val="0"/>
          <w:numId w:val="37"/>
        </w:numPr>
        <w:overflowPunct w:val="0"/>
        <w:autoSpaceDE w:val="0"/>
        <w:autoSpaceDN w:val="0"/>
        <w:adjustRightInd w:val="0"/>
        <w:spacing w:after="120" w:line="276" w:lineRule="auto"/>
        <w:ind w:left="714" w:hanging="357"/>
        <w:jc w:val="both"/>
        <w:rPr>
          <w:rFonts w:ascii="Arial Narrow" w:eastAsia="Calibri" w:hAnsi="Arial Narrow"/>
          <w:lang w:val="bg-BG"/>
        </w:rPr>
      </w:pPr>
      <w:r w:rsidRPr="00C64DC2">
        <w:rPr>
          <w:rFonts w:ascii="Arial Narrow" w:eastAsia="Calibri" w:hAnsi="Arial Narrow"/>
          <w:lang w:val="bg-BG"/>
        </w:rPr>
        <w:t>По собствена преценка, самосезиране и изготвяне на научни становища, анализи и информации по актуални проблемни и нововъзникващи рискове.</w:t>
      </w:r>
    </w:p>
    <w:p w14:paraId="1EA1A4E8" w14:textId="77777777" w:rsidR="00C64DC2" w:rsidRPr="00C64DC2" w:rsidRDefault="00C64DC2" w:rsidP="00C64DC2">
      <w:pPr>
        <w:overflowPunct w:val="0"/>
        <w:autoSpaceDE w:val="0"/>
        <w:autoSpaceDN w:val="0"/>
        <w:adjustRightInd w:val="0"/>
        <w:spacing w:after="120"/>
        <w:ind w:firstLine="714"/>
        <w:jc w:val="both"/>
        <w:rPr>
          <w:rFonts w:ascii="Arial Narrow" w:hAnsi="Arial Narrow"/>
          <w:lang w:val="bg-BG" w:eastAsia="bg-BG"/>
        </w:rPr>
      </w:pPr>
      <w:r w:rsidRPr="00C64DC2">
        <w:rPr>
          <w:rFonts w:ascii="Arial Narrow" w:hAnsi="Arial Narrow"/>
          <w:lang w:val="bg-BG" w:eastAsia="bg-BG"/>
        </w:rPr>
        <w:t xml:space="preserve">Експертите от Центъра продължават изпълнението на дейностите по одобряване, подновяване и преразглеждане на одобрението на активни вещества, антидоти и синергисти и извършване на оценки с </w:t>
      </w:r>
      <w:r w:rsidRPr="00C64DC2">
        <w:rPr>
          <w:rFonts w:ascii="Arial Narrow" w:hAnsi="Arial Narrow"/>
          <w:lang w:val="bg-BG" w:eastAsia="bg-BG"/>
        </w:rPr>
        <w:lastRenderedPageBreak/>
        <w:t>доклади за оценка на ПРЗ съгласно ЗЦОРХВ и в съответствие с изискванията на Регламент (ЕС) №1107/2009 за:</w:t>
      </w:r>
    </w:p>
    <w:p w14:paraId="3A40210A" w14:textId="77777777" w:rsidR="00C64DC2" w:rsidRPr="00C64DC2" w:rsidRDefault="00C64DC2" w:rsidP="009C6577">
      <w:pPr>
        <w:numPr>
          <w:ilvl w:val="0"/>
          <w:numId w:val="37"/>
        </w:numPr>
        <w:overflowPunct w:val="0"/>
        <w:autoSpaceDE w:val="0"/>
        <w:autoSpaceDN w:val="0"/>
        <w:adjustRightInd w:val="0"/>
        <w:spacing w:after="120" w:line="276" w:lineRule="auto"/>
        <w:ind w:left="714" w:hanging="357"/>
        <w:jc w:val="both"/>
        <w:rPr>
          <w:rFonts w:ascii="Arial Narrow" w:eastAsia="Calibri" w:hAnsi="Arial Narrow"/>
          <w:lang w:val="bg-BG"/>
        </w:rPr>
      </w:pPr>
      <w:r w:rsidRPr="00C64DC2">
        <w:rPr>
          <w:rFonts w:ascii="Arial Narrow" w:eastAsia="Calibri" w:hAnsi="Arial Narrow"/>
          <w:lang w:val="bg-BG"/>
        </w:rPr>
        <w:t>продукти за растителна защита при разрешаването им за пускане на пазара и употреба, подновяване, изменение и отнемане на разрешение за пускане на пазара и употреба, за разширяване на обхвата на разрешение за пускане на пазара и употреба на продукт за растителна защита за минимална употреба и при взаимно признаване на разрешенията на продуктите;</w:t>
      </w:r>
    </w:p>
    <w:p w14:paraId="49403E6B" w14:textId="77777777" w:rsidR="00C64DC2" w:rsidRPr="00C64DC2" w:rsidRDefault="00C64DC2" w:rsidP="009C6577">
      <w:pPr>
        <w:numPr>
          <w:ilvl w:val="0"/>
          <w:numId w:val="37"/>
        </w:numPr>
        <w:overflowPunct w:val="0"/>
        <w:autoSpaceDE w:val="0"/>
        <w:autoSpaceDN w:val="0"/>
        <w:adjustRightInd w:val="0"/>
        <w:spacing w:after="120" w:line="276" w:lineRule="auto"/>
        <w:ind w:left="714" w:hanging="357"/>
        <w:jc w:val="both"/>
        <w:rPr>
          <w:rFonts w:ascii="Arial Narrow" w:eastAsia="Calibri" w:hAnsi="Arial Narrow"/>
          <w:lang w:val="bg-BG"/>
        </w:rPr>
      </w:pPr>
      <w:r w:rsidRPr="00C64DC2">
        <w:rPr>
          <w:rFonts w:ascii="Arial Narrow" w:eastAsia="Calibri" w:hAnsi="Arial Narrow"/>
          <w:lang w:val="bg-BG"/>
        </w:rPr>
        <w:t>идентичност на продукти за растителна защита при разрешаването им за паралелна търговия;</w:t>
      </w:r>
    </w:p>
    <w:p w14:paraId="40A77B25" w14:textId="77777777" w:rsidR="00672541" w:rsidRPr="00FA778C" w:rsidRDefault="00C64DC2" w:rsidP="00672541">
      <w:pPr>
        <w:numPr>
          <w:ilvl w:val="0"/>
          <w:numId w:val="37"/>
        </w:numPr>
        <w:overflowPunct w:val="0"/>
        <w:autoSpaceDE w:val="0"/>
        <w:autoSpaceDN w:val="0"/>
        <w:adjustRightInd w:val="0"/>
        <w:spacing w:after="120"/>
        <w:ind w:left="714" w:hanging="357"/>
        <w:jc w:val="both"/>
        <w:rPr>
          <w:rFonts w:ascii="Arial Narrow" w:hAnsi="Arial Narrow"/>
          <w:lang w:val="bg-BG" w:eastAsia="bg-BG" w:bidi="bg-BG"/>
        </w:rPr>
      </w:pPr>
      <w:r w:rsidRPr="001C7853">
        <w:rPr>
          <w:rFonts w:ascii="Arial Narrow" w:eastAsia="Calibri" w:hAnsi="Arial Narrow"/>
          <w:lang w:val="bg-BG"/>
        </w:rPr>
        <w:t>продукти за растителна защита, които съдържат вещества - кандидати за замяна.</w:t>
      </w:r>
    </w:p>
    <w:p w14:paraId="742BFFF9" w14:textId="77777777" w:rsidR="0072450C" w:rsidRPr="003F3624" w:rsidRDefault="0072450C" w:rsidP="00171D56">
      <w:pPr>
        <w:widowControl w:val="0"/>
        <w:numPr>
          <w:ilvl w:val="1"/>
          <w:numId w:val="16"/>
        </w:numPr>
        <w:spacing w:after="120"/>
        <w:ind w:left="805" w:hanging="448"/>
        <w:contextualSpacing/>
        <w:jc w:val="both"/>
        <w:outlineLvl w:val="0"/>
        <w:rPr>
          <w:rFonts w:ascii="Arial Narrow" w:hAnsi="Arial Narrow"/>
          <w:b/>
          <w:lang w:val="bg-BG"/>
        </w:rPr>
      </w:pPr>
      <w:bookmarkStart w:id="184" w:name="_Toc210747634"/>
      <w:bookmarkStart w:id="185" w:name="_Toc526866155"/>
      <w:bookmarkStart w:id="186" w:name="_Toc87952126"/>
      <w:r w:rsidRPr="003F3624">
        <w:rPr>
          <w:rFonts w:ascii="Arial Narrow" w:hAnsi="Arial Narrow"/>
          <w:b/>
          <w:lang w:val="bg-BG" w:eastAsia="bg-BG"/>
        </w:rPr>
        <w:t xml:space="preserve">Нормативни </w:t>
      </w:r>
      <w:r w:rsidRPr="003F3624">
        <w:rPr>
          <w:rFonts w:ascii="Arial Narrow" w:hAnsi="Arial Narrow"/>
          <w:b/>
          <w:lang w:val="bg-BG"/>
        </w:rPr>
        <w:t>промени и стратегически документи в областта на безопасността по хранителната верига</w:t>
      </w:r>
      <w:bookmarkEnd w:id="184"/>
    </w:p>
    <w:bookmarkEnd w:id="185"/>
    <w:bookmarkEnd w:id="186"/>
    <w:p w14:paraId="5707E2E0" w14:textId="77777777" w:rsidR="003F3624" w:rsidRPr="003F3624" w:rsidRDefault="003F3624" w:rsidP="003F3624">
      <w:pPr>
        <w:spacing w:before="240" w:after="120"/>
        <w:ind w:firstLine="709"/>
        <w:jc w:val="both"/>
        <w:rPr>
          <w:rFonts w:ascii="Arial Narrow" w:hAnsi="Arial Narrow"/>
          <w:lang w:val="bg-BG" w:eastAsia="bg-BG"/>
        </w:rPr>
      </w:pPr>
      <w:r w:rsidRPr="003F3624">
        <w:rPr>
          <w:rFonts w:ascii="Arial Narrow" w:hAnsi="Arial Narrow"/>
          <w:lang w:val="bg-BG" w:eastAsia="bg-BG"/>
        </w:rPr>
        <w:t xml:space="preserve">През 2024 г. продължава </w:t>
      </w:r>
      <w:r w:rsidRPr="003F3624">
        <w:rPr>
          <w:rFonts w:ascii="Arial Narrow" w:eastAsia="Calibri" w:hAnsi="Arial Narrow"/>
          <w:lang w:val="bg-BG" w:eastAsia="bg-BG"/>
        </w:rPr>
        <w:t>актуализирането на нормативната база</w:t>
      </w:r>
      <w:r w:rsidRPr="003F3624">
        <w:rPr>
          <w:rFonts w:ascii="Arial Narrow" w:hAnsi="Arial Narrow"/>
          <w:lang w:val="bg-BG" w:eastAsia="bg-BG"/>
        </w:rPr>
        <w:t xml:space="preserve"> в областта на безопасността на храните, здравеопазване на животните и здравето на растенията. В рамките на годината е работено по проекти на следните нормативни актове и стратегически документи,</w:t>
      </w:r>
      <w:r w:rsidRPr="003F3624">
        <w:rPr>
          <w:rFonts w:eastAsia="Calibri"/>
          <w:sz w:val="22"/>
          <w:lang w:eastAsia="bg-BG"/>
        </w:rPr>
        <w:t xml:space="preserve"> </w:t>
      </w:r>
      <w:r w:rsidRPr="003F3624">
        <w:rPr>
          <w:rFonts w:ascii="Arial Narrow" w:hAnsi="Arial Narrow"/>
          <w:lang w:val="bg-BG" w:eastAsia="bg-BG"/>
        </w:rPr>
        <w:t>част от които вече са финализирани или се очаква да бъдат финализирани през 2025 г., както и са проведени следните дейности:</w:t>
      </w:r>
    </w:p>
    <w:p w14:paraId="6497891C" w14:textId="77777777" w:rsidR="003F3624" w:rsidRPr="003F3624" w:rsidRDefault="003F3624" w:rsidP="009C6577">
      <w:pPr>
        <w:numPr>
          <w:ilvl w:val="0"/>
          <w:numId w:val="37"/>
        </w:numPr>
        <w:overflowPunct w:val="0"/>
        <w:autoSpaceDE w:val="0"/>
        <w:autoSpaceDN w:val="0"/>
        <w:adjustRightInd w:val="0"/>
        <w:spacing w:after="120" w:line="276" w:lineRule="auto"/>
        <w:jc w:val="both"/>
        <w:rPr>
          <w:rFonts w:ascii="Arial Narrow" w:eastAsia="Calibri" w:hAnsi="Arial Narrow"/>
          <w:lang w:val="bg-BG"/>
        </w:rPr>
      </w:pPr>
      <w:r w:rsidRPr="003F3624">
        <w:rPr>
          <w:rFonts w:ascii="Arial Narrow" w:eastAsia="Calibri" w:hAnsi="Arial Narrow"/>
          <w:lang w:val="bg-BG"/>
        </w:rPr>
        <w:t xml:space="preserve">Проект на Закон за изменение и допълнение на Закона за храните; </w:t>
      </w:r>
    </w:p>
    <w:p w14:paraId="2473D9EE" w14:textId="77777777" w:rsidR="003F3624" w:rsidRPr="003F3624" w:rsidRDefault="003F3624" w:rsidP="009C6577">
      <w:pPr>
        <w:numPr>
          <w:ilvl w:val="0"/>
          <w:numId w:val="37"/>
        </w:numPr>
        <w:overflowPunct w:val="0"/>
        <w:autoSpaceDE w:val="0"/>
        <w:autoSpaceDN w:val="0"/>
        <w:adjustRightInd w:val="0"/>
        <w:spacing w:after="120" w:line="276" w:lineRule="auto"/>
        <w:jc w:val="both"/>
        <w:rPr>
          <w:rFonts w:ascii="Arial Narrow" w:eastAsia="Calibri" w:hAnsi="Arial Narrow"/>
          <w:lang w:val="bg-BG"/>
        </w:rPr>
      </w:pPr>
      <w:r w:rsidRPr="003F3624">
        <w:rPr>
          <w:rFonts w:ascii="Arial Narrow" w:eastAsia="Calibri" w:hAnsi="Arial Narrow"/>
          <w:lang w:val="bg-BG"/>
        </w:rPr>
        <w:t>ПМС за изменение и допълнение на Наредбата за изискванията към използването на екстракционни разтворители при производството на храни и хранителни съставки;</w:t>
      </w:r>
    </w:p>
    <w:p w14:paraId="0B7C4260" w14:textId="77777777" w:rsidR="003F3624" w:rsidRPr="003F3624" w:rsidRDefault="003F3624" w:rsidP="009C6577">
      <w:pPr>
        <w:numPr>
          <w:ilvl w:val="0"/>
          <w:numId w:val="37"/>
        </w:numPr>
        <w:overflowPunct w:val="0"/>
        <w:autoSpaceDE w:val="0"/>
        <w:autoSpaceDN w:val="0"/>
        <w:adjustRightInd w:val="0"/>
        <w:spacing w:after="120" w:line="276" w:lineRule="auto"/>
        <w:jc w:val="both"/>
        <w:rPr>
          <w:rFonts w:ascii="Arial Narrow" w:eastAsia="Calibri" w:hAnsi="Arial Narrow"/>
          <w:lang w:val="bg-BG"/>
        </w:rPr>
      </w:pPr>
      <w:r w:rsidRPr="003F3624">
        <w:rPr>
          <w:rFonts w:ascii="Arial Narrow" w:eastAsia="Calibri" w:hAnsi="Arial Narrow"/>
          <w:lang w:val="bg-BG"/>
        </w:rPr>
        <w:t>Наредба № 2 от 27.03.2024 г. за условията и реда за вземане на проби и лабораторно изпитване на храни;</w:t>
      </w:r>
    </w:p>
    <w:p w14:paraId="390B1838" w14:textId="77777777" w:rsidR="003F3624" w:rsidRPr="003F3624" w:rsidRDefault="003F3624" w:rsidP="009C6577">
      <w:pPr>
        <w:numPr>
          <w:ilvl w:val="0"/>
          <w:numId w:val="37"/>
        </w:numPr>
        <w:overflowPunct w:val="0"/>
        <w:autoSpaceDE w:val="0"/>
        <w:autoSpaceDN w:val="0"/>
        <w:adjustRightInd w:val="0"/>
        <w:spacing w:after="120" w:line="276" w:lineRule="auto"/>
        <w:jc w:val="both"/>
        <w:rPr>
          <w:rFonts w:ascii="Arial Narrow" w:eastAsia="Calibri" w:hAnsi="Arial Narrow"/>
          <w:lang w:val="bg-BG"/>
        </w:rPr>
      </w:pPr>
      <w:r w:rsidRPr="003F3624">
        <w:rPr>
          <w:rFonts w:ascii="Arial Narrow" w:eastAsia="Calibri" w:hAnsi="Arial Narrow"/>
          <w:lang w:val="bg-BG"/>
        </w:rPr>
        <w:t>Изменение и допълнение на Наредба № 2 от 20 януари 2021 г. за специфичните изисквания към безопасността и качеството на храните, предлагани в детските заведения, училищните столове и обектите за търговия на дребно на територията на училищата и на детските заведения, както и към храни, предлагани при организирани мероприятия за деца и ученици;</w:t>
      </w:r>
    </w:p>
    <w:p w14:paraId="79ACF0C9" w14:textId="77777777" w:rsidR="003F3624" w:rsidRPr="003F3624" w:rsidRDefault="003F3624" w:rsidP="009C6577">
      <w:pPr>
        <w:numPr>
          <w:ilvl w:val="0"/>
          <w:numId w:val="37"/>
        </w:numPr>
        <w:overflowPunct w:val="0"/>
        <w:autoSpaceDE w:val="0"/>
        <w:autoSpaceDN w:val="0"/>
        <w:adjustRightInd w:val="0"/>
        <w:spacing w:after="120" w:line="276" w:lineRule="auto"/>
        <w:jc w:val="both"/>
        <w:rPr>
          <w:rFonts w:ascii="Arial Narrow" w:eastAsia="Calibri" w:hAnsi="Arial Narrow"/>
          <w:lang w:val="bg-BG"/>
        </w:rPr>
      </w:pPr>
      <w:r w:rsidRPr="003F3624">
        <w:rPr>
          <w:rFonts w:ascii="Arial Narrow" w:eastAsia="Calibri" w:hAnsi="Arial Narrow"/>
          <w:lang w:val="bg-BG"/>
        </w:rPr>
        <w:t xml:space="preserve">Утвърден План за действие за прилагането на Регламент за изпълнение (ЕС) 2019/627 на Комисията по отношение на живи двучерупчести мекотели, живи бодлокожи, живи мантийни и живи морски коремоноги, които се хранят чрез филтриране на водата;  </w:t>
      </w:r>
    </w:p>
    <w:p w14:paraId="7A9E440E" w14:textId="77777777" w:rsidR="003F3624" w:rsidRPr="003F3624" w:rsidRDefault="003F3624" w:rsidP="009C6577">
      <w:pPr>
        <w:numPr>
          <w:ilvl w:val="0"/>
          <w:numId w:val="37"/>
        </w:numPr>
        <w:overflowPunct w:val="0"/>
        <w:autoSpaceDE w:val="0"/>
        <w:autoSpaceDN w:val="0"/>
        <w:adjustRightInd w:val="0"/>
        <w:spacing w:after="120" w:line="276" w:lineRule="auto"/>
        <w:jc w:val="both"/>
        <w:rPr>
          <w:rFonts w:ascii="Arial Narrow" w:eastAsia="Calibri" w:hAnsi="Arial Narrow"/>
          <w:lang w:val="bg-BG"/>
        </w:rPr>
      </w:pPr>
      <w:r w:rsidRPr="003F3624">
        <w:rPr>
          <w:rFonts w:ascii="Arial Narrow" w:eastAsia="Calibri" w:hAnsi="Arial Narrow"/>
          <w:lang w:val="bg-BG"/>
        </w:rPr>
        <w:t>Определени зони за развъждане на черупкови организми в крайбрежните морски води, съответно зоните за отглеждане на аквакултури (определени с Плана за управление на речните басейни (ПУРБ) в Черноморски район за басейново управление на водите (2016 -2021 г.), респективно Морския пространствен план на Република България 2021–2035 г.), като и райони за производство и за повторно полагане на живи двучерупчести мекотели, живи бодлокожи, живи мантийни и живи морски коремоноги, които се хранят чрез филтриране на водата, по смисъла на чл. 52, параграф 1 от Регламент за изпълнение (ЕС) 2019/627 на Комисията, тяхното местоположение и граници.</w:t>
      </w:r>
    </w:p>
    <w:p w14:paraId="24A5C2CD" w14:textId="77777777" w:rsidR="003F3624" w:rsidRPr="003F3624" w:rsidRDefault="003F3624" w:rsidP="009C6577">
      <w:pPr>
        <w:numPr>
          <w:ilvl w:val="0"/>
          <w:numId w:val="37"/>
        </w:numPr>
        <w:overflowPunct w:val="0"/>
        <w:autoSpaceDE w:val="0"/>
        <w:autoSpaceDN w:val="0"/>
        <w:adjustRightInd w:val="0"/>
        <w:spacing w:after="120" w:line="276" w:lineRule="auto"/>
        <w:contextualSpacing/>
        <w:jc w:val="both"/>
        <w:rPr>
          <w:rFonts w:ascii="Arial Narrow" w:hAnsi="Arial Narrow"/>
          <w:bCs/>
          <w:iCs/>
          <w:lang w:val="bg-BG"/>
        </w:rPr>
      </w:pPr>
      <w:r w:rsidRPr="003F3624">
        <w:rPr>
          <w:rFonts w:ascii="Arial Narrow" w:hAnsi="Arial Narrow"/>
          <w:bCs/>
          <w:iCs/>
          <w:lang w:val="bg-BG"/>
        </w:rPr>
        <w:t xml:space="preserve">Наредба за условията и реда за извършване на научна оценка на риска по хранителната верига; </w:t>
      </w:r>
    </w:p>
    <w:p w14:paraId="062EF3BD" w14:textId="77777777" w:rsidR="003F3624" w:rsidRPr="003F3624" w:rsidRDefault="003F3624" w:rsidP="009C6577">
      <w:pPr>
        <w:numPr>
          <w:ilvl w:val="0"/>
          <w:numId w:val="37"/>
        </w:numPr>
        <w:overflowPunct w:val="0"/>
        <w:autoSpaceDE w:val="0"/>
        <w:autoSpaceDN w:val="0"/>
        <w:adjustRightInd w:val="0"/>
        <w:spacing w:after="120" w:line="276" w:lineRule="auto"/>
        <w:jc w:val="both"/>
        <w:rPr>
          <w:rFonts w:ascii="Arial Narrow" w:eastAsia="Calibri" w:hAnsi="Arial Narrow"/>
          <w:lang w:val="bg-BG"/>
        </w:rPr>
      </w:pPr>
      <w:r w:rsidRPr="003F3624">
        <w:rPr>
          <w:rFonts w:ascii="Arial Narrow" w:eastAsia="Calibri" w:hAnsi="Arial Narrow"/>
          <w:lang w:val="bg-BG"/>
        </w:rPr>
        <w:t xml:space="preserve">Проект на нов Закон за ветеринарномедицинската дейност, разработван  поради необходимост от актуализиране на действащото национално законодателство в областта на ветеринарномедицинската дейност и от приемане на национални мерки за прилагане законодателството на Европейския съюз по агрохранителната верига в обхвата на ЗВД; </w:t>
      </w:r>
    </w:p>
    <w:p w14:paraId="52495527" w14:textId="77777777" w:rsidR="003F3624" w:rsidRPr="003F3624" w:rsidRDefault="003F3624" w:rsidP="009C6577">
      <w:pPr>
        <w:numPr>
          <w:ilvl w:val="0"/>
          <w:numId w:val="37"/>
        </w:numPr>
        <w:overflowPunct w:val="0"/>
        <w:autoSpaceDE w:val="0"/>
        <w:autoSpaceDN w:val="0"/>
        <w:adjustRightInd w:val="0"/>
        <w:spacing w:after="120" w:line="276" w:lineRule="auto"/>
        <w:jc w:val="both"/>
        <w:rPr>
          <w:rFonts w:ascii="Arial Narrow" w:eastAsia="Calibri" w:hAnsi="Arial Narrow"/>
          <w:lang w:val="bg-BG"/>
        </w:rPr>
      </w:pPr>
      <w:r w:rsidRPr="003F3624">
        <w:rPr>
          <w:rFonts w:ascii="Arial Narrow" w:eastAsia="Calibri" w:hAnsi="Arial Narrow"/>
          <w:lang w:val="bg-BG"/>
        </w:rPr>
        <w:t>Проект на нов Закон за съсловната организация на ветеринарните лекари в България; Целта е съответствие с изискванията на новият ЗВД;</w:t>
      </w:r>
    </w:p>
    <w:p w14:paraId="62549B8C" w14:textId="77777777" w:rsidR="003F3624" w:rsidRPr="003F3624" w:rsidRDefault="003F3624" w:rsidP="009C6577">
      <w:pPr>
        <w:numPr>
          <w:ilvl w:val="0"/>
          <w:numId w:val="37"/>
        </w:numPr>
        <w:overflowPunct w:val="0"/>
        <w:autoSpaceDE w:val="0"/>
        <w:autoSpaceDN w:val="0"/>
        <w:adjustRightInd w:val="0"/>
        <w:spacing w:after="120" w:line="276" w:lineRule="auto"/>
        <w:jc w:val="both"/>
        <w:rPr>
          <w:rFonts w:ascii="Arial Narrow" w:eastAsia="Calibri" w:hAnsi="Arial Narrow"/>
          <w:lang w:val="bg-BG"/>
        </w:rPr>
      </w:pPr>
      <w:r w:rsidRPr="003F3624">
        <w:rPr>
          <w:rFonts w:ascii="Arial Narrow" w:eastAsia="Calibri" w:hAnsi="Arial Narrow"/>
          <w:lang w:val="bg-BG"/>
        </w:rPr>
        <w:lastRenderedPageBreak/>
        <w:t>Изменение и допълнение на Наредба № 8 от 2020 г. за условията и реда за извършване на дезинфекция, дезинсекция, дератизация и девастация при ограничаване и ликвидиране на болестите по животните;</w:t>
      </w:r>
    </w:p>
    <w:p w14:paraId="62E036A7" w14:textId="77777777" w:rsidR="003F3624" w:rsidRPr="003F3624" w:rsidRDefault="003F3624" w:rsidP="009C6577">
      <w:pPr>
        <w:numPr>
          <w:ilvl w:val="0"/>
          <w:numId w:val="37"/>
        </w:numPr>
        <w:overflowPunct w:val="0"/>
        <w:autoSpaceDE w:val="0"/>
        <w:autoSpaceDN w:val="0"/>
        <w:adjustRightInd w:val="0"/>
        <w:spacing w:after="120" w:line="276" w:lineRule="auto"/>
        <w:jc w:val="both"/>
        <w:rPr>
          <w:rFonts w:ascii="Arial Narrow" w:eastAsia="Calibri" w:hAnsi="Arial Narrow"/>
          <w:lang w:val="bg-BG"/>
        </w:rPr>
      </w:pPr>
      <w:r w:rsidRPr="003F3624">
        <w:rPr>
          <w:rFonts w:ascii="Arial Narrow" w:eastAsia="Calibri" w:hAnsi="Arial Narrow"/>
          <w:lang w:val="bg-BG"/>
        </w:rPr>
        <w:t>Изменение и допълнение на Наредба № 6 от 20 март 2007 г. за условията и реда за пасищно отглеждане на свине от Източнобалканската порода и нейните кръстоски;</w:t>
      </w:r>
    </w:p>
    <w:p w14:paraId="4E9D9AFB" w14:textId="77777777" w:rsidR="003F3624" w:rsidRPr="003F3624" w:rsidRDefault="003F3624" w:rsidP="009C6577">
      <w:pPr>
        <w:numPr>
          <w:ilvl w:val="0"/>
          <w:numId w:val="37"/>
        </w:numPr>
        <w:overflowPunct w:val="0"/>
        <w:autoSpaceDE w:val="0"/>
        <w:autoSpaceDN w:val="0"/>
        <w:adjustRightInd w:val="0"/>
        <w:spacing w:after="120" w:line="276" w:lineRule="auto"/>
        <w:jc w:val="both"/>
        <w:rPr>
          <w:rFonts w:ascii="Arial Narrow" w:eastAsia="Calibri" w:hAnsi="Arial Narrow"/>
          <w:lang w:val="bg-BG"/>
        </w:rPr>
      </w:pPr>
      <w:r w:rsidRPr="003F3624">
        <w:rPr>
          <w:rFonts w:ascii="Arial Narrow" w:eastAsia="Calibri" w:hAnsi="Arial Narrow"/>
          <w:lang w:val="bg-BG"/>
        </w:rPr>
        <w:t>Проект на Наредба за изменение и допълнение на Наредба № 10 от 2015 г. за условията за регистрация и реда за идентификация на пчелните семейства;</w:t>
      </w:r>
    </w:p>
    <w:p w14:paraId="0F4F61C2" w14:textId="77777777" w:rsidR="003F3624" w:rsidRPr="003F3624" w:rsidRDefault="003F3624" w:rsidP="009C6577">
      <w:pPr>
        <w:numPr>
          <w:ilvl w:val="0"/>
          <w:numId w:val="37"/>
        </w:numPr>
        <w:overflowPunct w:val="0"/>
        <w:autoSpaceDE w:val="0"/>
        <w:autoSpaceDN w:val="0"/>
        <w:adjustRightInd w:val="0"/>
        <w:spacing w:after="120" w:line="276" w:lineRule="auto"/>
        <w:jc w:val="both"/>
        <w:rPr>
          <w:rFonts w:ascii="Arial Narrow" w:eastAsia="Calibri" w:hAnsi="Arial Narrow"/>
          <w:lang w:val="bg-BG"/>
        </w:rPr>
      </w:pPr>
      <w:r w:rsidRPr="003F3624">
        <w:rPr>
          <w:rFonts w:ascii="Arial Narrow" w:eastAsia="Calibri" w:hAnsi="Arial Narrow"/>
          <w:lang w:val="bg-BG"/>
        </w:rPr>
        <w:t>Изготвен анализ относно необходимостта от разработване на Стратегия за ваксинация срещу Високопатогенната инфлуенца по птиците;</w:t>
      </w:r>
    </w:p>
    <w:p w14:paraId="73660965" w14:textId="77777777" w:rsidR="003F3624" w:rsidRPr="003F3624" w:rsidRDefault="003F3624" w:rsidP="009C6577">
      <w:pPr>
        <w:numPr>
          <w:ilvl w:val="0"/>
          <w:numId w:val="37"/>
        </w:numPr>
        <w:overflowPunct w:val="0"/>
        <w:autoSpaceDE w:val="0"/>
        <w:autoSpaceDN w:val="0"/>
        <w:adjustRightInd w:val="0"/>
        <w:spacing w:after="120" w:line="276" w:lineRule="auto"/>
        <w:jc w:val="both"/>
        <w:rPr>
          <w:rFonts w:ascii="Arial Narrow" w:eastAsia="Calibri" w:hAnsi="Arial Narrow"/>
          <w:lang w:val="bg-BG"/>
        </w:rPr>
      </w:pPr>
      <w:r w:rsidRPr="003F3624">
        <w:rPr>
          <w:rFonts w:ascii="Arial Narrow" w:eastAsia="Calibri" w:hAnsi="Arial Narrow"/>
          <w:lang w:val="bg-BG"/>
        </w:rPr>
        <w:t xml:space="preserve">Работа по проект на Национална програма за действие срещу антимикробната резистентност 2024 - 2027 г. (водеща структура е Министерство на здравеопазването); </w:t>
      </w:r>
    </w:p>
    <w:p w14:paraId="2C835131" w14:textId="77777777" w:rsidR="003F3624" w:rsidRPr="003F3624" w:rsidRDefault="003F3624" w:rsidP="009C6577">
      <w:pPr>
        <w:numPr>
          <w:ilvl w:val="0"/>
          <w:numId w:val="37"/>
        </w:numPr>
        <w:overflowPunct w:val="0"/>
        <w:autoSpaceDE w:val="0"/>
        <w:autoSpaceDN w:val="0"/>
        <w:adjustRightInd w:val="0"/>
        <w:spacing w:after="120" w:line="276" w:lineRule="auto"/>
        <w:jc w:val="both"/>
        <w:rPr>
          <w:rFonts w:ascii="Arial Narrow" w:eastAsia="Calibri" w:hAnsi="Arial Narrow"/>
          <w:lang w:val="bg-BG"/>
        </w:rPr>
      </w:pPr>
      <w:r w:rsidRPr="003F3624">
        <w:rPr>
          <w:rFonts w:ascii="Arial Narrow" w:eastAsia="Calibri" w:hAnsi="Arial Narrow"/>
          <w:lang w:val="bg-BG"/>
        </w:rPr>
        <w:t>Наредба № 5 от 2.12.2024 г. за изискванията към ветеринарномедицинските аптеки и условията и изискванията за търговия с ветеринарни лекарствени продукти от разстояние.</w:t>
      </w:r>
    </w:p>
    <w:p w14:paraId="44CE950D" w14:textId="77777777" w:rsidR="003F3624" w:rsidRPr="003F3624" w:rsidRDefault="003F3624" w:rsidP="009C6577">
      <w:pPr>
        <w:numPr>
          <w:ilvl w:val="0"/>
          <w:numId w:val="37"/>
        </w:numPr>
        <w:overflowPunct w:val="0"/>
        <w:autoSpaceDE w:val="0"/>
        <w:autoSpaceDN w:val="0"/>
        <w:adjustRightInd w:val="0"/>
        <w:spacing w:after="120" w:line="276" w:lineRule="auto"/>
        <w:jc w:val="both"/>
        <w:rPr>
          <w:rFonts w:ascii="Arial Narrow" w:eastAsia="Calibri" w:hAnsi="Arial Narrow"/>
          <w:lang w:val="bg-BG"/>
        </w:rPr>
      </w:pPr>
      <w:r w:rsidRPr="003F3624">
        <w:rPr>
          <w:rFonts w:ascii="Arial Narrow" w:eastAsia="Calibri" w:hAnsi="Arial Narrow"/>
          <w:lang w:val="bg-BG"/>
        </w:rPr>
        <w:t>Изменение на Наредба № 69 от 16.05.2006 г. за изискванията за Добрата производствена практика при производство на ветеринарномедицински продукти и активни субстанции;</w:t>
      </w:r>
    </w:p>
    <w:p w14:paraId="4438DBCE" w14:textId="77777777" w:rsidR="003F3624" w:rsidRPr="003F3624" w:rsidRDefault="003F3624" w:rsidP="009C6577">
      <w:pPr>
        <w:numPr>
          <w:ilvl w:val="0"/>
          <w:numId w:val="37"/>
        </w:numPr>
        <w:overflowPunct w:val="0"/>
        <w:autoSpaceDE w:val="0"/>
        <w:autoSpaceDN w:val="0"/>
        <w:adjustRightInd w:val="0"/>
        <w:spacing w:after="120" w:line="276" w:lineRule="auto"/>
        <w:jc w:val="both"/>
        <w:rPr>
          <w:rFonts w:ascii="Arial Narrow" w:eastAsia="Calibri" w:hAnsi="Arial Narrow"/>
          <w:lang w:val="bg-BG"/>
        </w:rPr>
      </w:pPr>
      <w:r w:rsidRPr="003F3624">
        <w:rPr>
          <w:rFonts w:ascii="Arial Narrow" w:eastAsia="Calibri" w:hAnsi="Arial Narrow"/>
          <w:lang w:val="bg-BG"/>
        </w:rPr>
        <w:t>Изготвени проект на протокол за подготовка и изисквания за готовност на животновъден обект за отглеждане на птици от кокошев вид за участие в пилотен проект с превантивна ваксинация;</w:t>
      </w:r>
    </w:p>
    <w:p w14:paraId="54553DA2" w14:textId="77777777" w:rsidR="003F3624" w:rsidRPr="003F3624" w:rsidRDefault="003F3624" w:rsidP="009C6577">
      <w:pPr>
        <w:numPr>
          <w:ilvl w:val="0"/>
          <w:numId w:val="37"/>
        </w:numPr>
        <w:overflowPunct w:val="0"/>
        <w:autoSpaceDE w:val="0"/>
        <w:autoSpaceDN w:val="0"/>
        <w:adjustRightInd w:val="0"/>
        <w:spacing w:after="120" w:line="276" w:lineRule="auto"/>
        <w:jc w:val="both"/>
        <w:rPr>
          <w:rFonts w:ascii="Arial Narrow" w:eastAsia="Calibri" w:hAnsi="Arial Narrow"/>
          <w:lang w:val="bg-BG"/>
        </w:rPr>
      </w:pPr>
      <w:r w:rsidRPr="003F3624">
        <w:rPr>
          <w:rFonts w:ascii="Arial Narrow" w:eastAsia="Calibri" w:hAnsi="Arial Narrow"/>
          <w:lang w:val="bg-BG"/>
        </w:rPr>
        <w:t>Изготвени ежеседмични доклади за епизоотичната обстановка по отношение на някои опасни болести по животните в България, съседни страни и членки на ЕС;</w:t>
      </w:r>
    </w:p>
    <w:p w14:paraId="652A5AD9" w14:textId="77777777" w:rsidR="003F3624" w:rsidRPr="003F3624" w:rsidRDefault="003F3624" w:rsidP="009C6577">
      <w:pPr>
        <w:numPr>
          <w:ilvl w:val="0"/>
          <w:numId w:val="37"/>
        </w:numPr>
        <w:overflowPunct w:val="0"/>
        <w:autoSpaceDE w:val="0"/>
        <w:autoSpaceDN w:val="0"/>
        <w:adjustRightInd w:val="0"/>
        <w:spacing w:after="120" w:line="276" w:lineRule="auto"/>
        <w:jc w:val="both"/>
        <w:rPr>
          <w:rFonts w:ascii="Arial Narrow" w:eastAsia="Calibri" w:hAnsi="Arial Narrow"/>
          <w:lang w:val="bg-BG"/>
        </w:rPr>
      </w:pPr>
      <w:r w:rsidRPr="003F3624">
        <w:rPr>
          <w:rFonts w:ascii="Arial Narrow" w:eastAsia="Calibri" w:hAnsi="Arial Narrow"/>
          <w:lang w:val="bg-BG"/>
        </w:rPr>
        <w:t>РМС за одобряване на План за контрол и предотвратяване разпространението на заболяването Африканска чума по свинете в Република България за периода 2024 – 2026 г.;</w:t>
      </w:r>
    </w:p>
    <w:p w14:paraId="24EC1F5C" w14:textId="77777777" w:rsidR="003F3624" w:rsidRPr="003F3624" w:rsidRDefault="003F3624" w:rsidP="009C6577">
      <w:pPr>
        <w:numPr>
          <w:ilvl w:val="0"/>
          <w:numId w:val="37"/>
        </w:numPr>
        <w:overflowPunct w:val="0"/>
        <w:autoSpaceDE w:val="0"/>
        <w:autoSpaceDN w:val="0"/>
        <w:adjustRightInd w:val="0"/>
        <w:spacing w:after="120" w:line="276" w:lineRule="auto"/>
        <w:jc w:val="both"/>
        <w:rPr>
          <w:rFonts w:ascii="Arial Narrow" w:eastAsia="Calibri" w:hAnsi="Arial Narrow"/>
          <w:lang w:val="bg-BG"/>
        </w:rPr>
      </w:pPr>
      <w:r w:rsidRPr="003F3624">
        <w:rPr>
          <w:rFonts w:ascii="Arial Narrow" w:eastAsia="Calibri" w:hAnsi="Arial Narrow"/>
          <w:lang w:val="bg-BG"/>
        </w:rPr>
        <w:t>РМС за приемане на План за контрол и предотвратяване разпространението на заболяването Високопатогенна инфлуенца по птиците в Република България за периода 2024 - 2026 г.;</w:t>
      </w:r>
    </w:p>
    <w:p w14:paraId="117BCED0" w14:textId="77777777" w:rsidR="003F3624" w:rsidRPr="003F3624" w:rsidRDefault="003F3624" w:rsidP="009C6577">
      <w:pPr>
        <w:numPr>
          <w:ilvl w:val="0"/>
          <w:numId w:val="37"/>
        </w:numPr>
        <w:overflowPunct w:val="0"/>
        <w:autoSpaceDE w:val="0"/>
        <w:autoSpaceDN w:val="0"/>
        <w:adjustRightInd w:val="0"/>
        <w:spacing w:after="120" w:line="276" w:lineRule="auto"/>
        <w:jc w:val="both"/>
        <w:rPr>
          <w:rFonts w:ascii="Arial Narrow" w:eastAsia="Calibri" w:hAnsi="Arial Narrow"/>
          <w:lang w:val="bg-BG"/>
        </w:rPr>
      </w:pPr>
      <w:r w:rsidRPr="003F3624">
        <w:rPr>
          <w:rFonts w:ascii="Arial Narrow" w:eastAsia="Calibri" w:hAnsi="Arial Narrow"/>
          <w:lang w:val="bg-BG"/>
        </w:rPr>
        <w:t>Инструкция за взимане на проби за Високопатогенна инфлуенца по птиците от диви птици и бозайници;</w:t>
      </w:r>
    </w:p>
    <w:p w14:paraId="55B9B27D" w14:textId="77777777" w:rsidR="003F3624" w:rsidRPr="003F3624" w:rsidRDefault="003F3624" w:rsidP="009C6577">
      <w:pPr>
        <w:numPr>
          <w:ilvl w:val="0"/>
          <w:numId w:val="37"/>
        </w:numPr>
        <w:overflowPunct w:val="0"/>
        <w:autoSpaceDE w:val="0"/>
        <w:autoSpaceDN w:val="0"/>
        <w:adjustRightInd w:val="0"/>
        <w:spacing w:after="120" w:line="276" w:lineRule="auto"/>
        <w:jc w:val="both"/>
        <w:rPr>
          <w:rFonts w:ascii="Arial Narrow" w:eastAsia="Calibri" w:hAnsi="Arial Narrow"/>
          <w:lang w:val="bg-BG"/>
        </w:rPr>
      </w:pPr>
      <w:r w:rsidRPr="003F3624">
        <w:rPr>
          <w:rFonts w:ascii="Arial Narrow" w:eastAsia="Calibri" w:hAnsi="Arial Narrow"/>
          <w:lang w:val="bg-BG"/>
        </w:rPr>
        <w:t>Организиране на кръгла маса за обсъждане изготвянето на Национална стратегия за опазване на породата Източнобалканска свиня на територията на Република България.</w:t>
      </w:r>
    </w:p>
    <w:p w14:paraId="500156B3" w14:textId="77777777" w:rsidR="003F3624" w:rsidRPr="003F3624" w:rsidRDefault="003F3624" w:rsidP="009C6577">
      <w:pPr>
        <w:numPr>
          <w:ilvl w:val="0"/>
          <w:numId w:val="37"/>
        </w:numPr>
        <w:overflowPunct w:val="0"/>
        <w:autoSpaceDE w:val="0"/>
        <w:autoSpaceDN w:val="0"/>
        <w:adjustRightInd w:val="0"/>
        <w:spacing w:after="120" w:line="276" w:lineRule="auto"/>
        <w:jc w:val="both"/>
        <w:rPr>
          <w:rFonts w:ascii="Arial Narrow" w:eastAsia="Calibri" w:hAnsi="Arial Narrow"/>
          <w:lang w:val="bg-BG"/>
        </w:rPr>
      </w:pPr>
      <w:r w:rsidRPr="003F3624">
        <w:rPr>
          <w:rFonts w:ascii="Arial Narrow" w:eastAsia="Calibri" w:hAnsi="Arial Narrow"/>
          <w:lang w:val="bg-BG"/>
        </w:rPr>
        <w:t xml:space="preserve">Проект на Наредба за изменение на Наредба № 12 от 2023 г. за условията и реда за употреба на продукти за растителна защита; </w:t>
      </w:r>
    </w:p>
    <w:p w14:paraId="5E680371" w14:textId="77777777" w:rsidR="003F3624" w:rsidRPr="003F3624" w:rsidRDefault="003F3624" w:rsidP="009C6577">
      <w:pPr>
        <w:numPr>
          <w:ilvl w:val="0"/>
          <w:numId w:val="37"/>
        </w:numPr>
        <w:overflowPunct w:val="0"/>
        <w:autoSpaceDE w:val="0"/>
        <w:autoSpaceDN w:val="0"/>
        <w:adjustRightInd w:val="0"/>
        <w:spacing w:after="120" w:line="276" w:lineRule="auto"/>
        <w:jc w:val="both"/>
        <w:rPr>
          <w:rFonts w:ascii="Arial Narrow" w:eastAsia="Calibri" w:hAnsi="Arial Narrow"/>
          <w:lang w:val="bg-BG"/>
        </w:rPr>
      </w:pPr>
      <w:r w:rsidRPr="003F3624">
        <w:rPr>
          <w:rFonts w:ascii="Arial Narrow" w:eastAsia="Calibri" w:hAnsi="Arial Narrow"/>
          <w:lang w:val="bg-BG"/>
        </w:rPr>
        <w:t>Проект на Наредба за изменение на Наредба № 21 от 2016 г. за условията и реда за регистрацията, етикетирането и контрола на торове, подобрители на почвата, биологично активни вещества и хранителни субстрати;</w:t>
      </w:r>
    </w:p>
    <w:p w14:paraId="5758EDE6" w14:textId="77777777" w:rsidR="003F3624" w:rsidRPr="003F3624" w:rsidRDefault="003F3624" w:rsidP="009C6577">
      <w:pPr>
        <w:numPr>
          <w:ilvl w:val="0"/>
          <w:numId w:val="37"/>
        </w:numPr>
        <w:overflowPunct w:val="0"/>
        <w:autoSpaceDE w:val="0"/>
        <w:autoSpaceDN w:val="0"/>
        <w:adjustRightInd w:val="0"/>
        <w:spacing w:after="120" w:line="276" w:lineRule="auto"/>
        <w:jc w:val="both"/>
        <w:rPr>
          <w:rFonts w:ascii="Arial Narrow" w:eastAsia="Calibri" w:hAnsi="Arial Narrow"/>
          <w:lang w:val="bg-BG"/>
        </w:rPr>
      </w:pPr>
      <w:r w:rsidRPr="003F3624">
        <w:rPr>
          <w:rFonts w:ascii="Arial Narrow" w:eastAsia="Calibri" w:hAnsi="Arial Narrow"/>
          <w:lang w:val="bg-BG"/>
        </w:rPr>
        <w:t xml:space="preserve">ЗИД на Закона за защита на растенията, по отношение на допълнителните разпоредби. </w:t>
      </w:r>
    </w:p>
    <w:p w14:paraId="09AB8752" w14:textId="77777777" w:rsidR="003F3624" w:rsidRPr="003F3624" w:rsidRDefault="003F3624" w:rsidP="009C6577">
      <w:pPr>
        <w:numPr>
          <w:ilvl w:val="0"/>
          <w:numId w:val="37"/>
        </w:numPr>
        <w:overflowPunct w:val="0"/>
        <w:autoSpaceDE w:val="0"/>
        <w:autoSpaceDN w:val="0"/>
        <w:adjustRightInd w:val="0"/>
        <w:spacing w:after="120" w:line="276" w:lineRule="auto"/>
        <w:jc w:val="both"/>
        <w:rPr>
          <w:rFonts w:ascii="Arial Narrow" w:eastAsia="Calibri" w:hAnsi="Arial Narrow"/>
          <w:lang w:val="bg-BG"/>
        </w:rPr>
      </w:pPr>
      <w:r w:rsidRPr="003F3624">
        <w:rPr>
          <w:rFonts w:ascii="Arial Narrow" w:eastAsia="Calibri" w:hAnsi="Arial Narrow"/>
          <w:lang w:val="bg-BG"/>
        </w:rPr>
        <w:t>Актуализиране на Националния план за действие за устойчивата употреба на пестициди на Република България</w:t>
      </w:r>
    </w:p>
    <w:p w14:paraId="14730472" w14:textId="77777777" w:rsidR="003F3624" w:rsidRPr="003F3624" w:rsidRDefault="003F3624" w:rsidP="009C6577">
      <w:pPr>
        <w:numPr>
          <w:ilvl w:val="0"/>
          <w:numId w:val="37"/>
        </w:numPr>
        <w:overflowPunct w:val="0"/>
        <w:autoSpaceDE w:val="0"/>
        <w:autoSpaceDN w:val="0"/>
        <w:adjustRightInd w:val="0"/>
        <w:spacing w:after="120" w:line="276" w:lineRule="auto"/>
        <w:jc w:val="both"/>
        <w:rPr>
          <w:rFonts w:ascii="Arial Narrow" w:eastAsia="Calibri" w:hAnsi="Arial Narrow"/>
          <w:lang w:val="bg-BG"/>
        </w:rPr>
      </w:pPr>
      <w:r w:rsidRPr="003F3624">
        <w:rPr>
          <w:rFonts w:ascii="Arial Narrow" w:eastAsia="Calibri" w:hAnsi="Arial Narrow"/>
          <w:lang w:val="bg-BG"/>
        </w:rPr>
        <w:t>Проведени са три заседания на Националния съвет по храните с участието на браншовите организации в областта на храните.</w:t>
      </w:r>
    </w:p>
    <w:p w14:paraId="1B7E50F9" w14:textId="77777777" w:rsidR="003F3624" w:rsidRPr="003F3624" w:rsidRDefault="003F3624" w:rsidP="009C6577">
      <w:pPr>
        <w:numPr>
          <w:ilvl w:val="0"/>
          <w:numId w:val="37"/>
        </w:numPr>
        <w:overflowPunct w:val="0"/>
        <w:autoSpaceDE w:val="0"/>
        <w:autoSpaceDN w:val="0"/>
        <w:adjustRightInd w:val="0"/>
        <w:spacing w:after="120" w:line="276" w:lineRule="auto"/>
        <w:jc w:val="both"/>
        <w:rPr>
          <w:rFonts w:ascii="Arial Narrow" w:eastAsia="Calibri" w:hAnsi="Arial Narrow"/>
          <w:lang w:val="bg-BG"/>
        </w:rPr>
      </w:pPr>
      <w:r w:rsidRPr="003F3624">
        <w:rPr>
          <w:rFonts w:ascii="Arial Narrow" w:eastAsia="Calibri" w:hAnsi="Arial Narrow"/>
          <w:lang w:val="bg-BG"/>
        </w:rPr>
        <w:t xml:space="preserve">Инициирана е процедура в рамките на Техническия комитет на Българския институт за стандартизация за изменение на БДС 12:2010 „Българско кисело мляко“ и национален стандарт </w:t>
      </w:r>
      <w:r w:rsidRPr="003F3624">
        <w:rPr>
          <w:rFonts w:ascii="Arial Narrow" w:eastAsia="Calibri" w:hAnsi="Arial Narrow"/>
          <w:lang w:val="bg-BG"/>
        </w:rPr>
        <w:lastRenderedPageBreak/>
        <w:t>БДС 15:2010 „Българско бяло саламурено сирене“. Публикувани са измененията на двата стандарта;</w:t>
      </w:r>
    </w:p>
    <w:p w14:paraId="57F525D7" w14:textId="77777777" w:rsidR="003F3624" w:rsidRPr="003F3624" w:rsidRDefault="003F3624" w:rsidP="009C6577">
      <w:pPr>
        <w:numPr>
          <w:ilvl w:val="0"/>
          <w:numId w:val="37"/>
        </w:numPr>
        <w:overflowPunct w:val="0"/>
        <w:autoSpaceDE w:val="0"/>
        <w:autoSpaceDN w:val="0"/>
        <w:adjustRightInd w:val="0"/>
        <w:spacing w:after="120" w:line="276" w:lineRule="auto"/>
        <w:jc w:val="both"/>
        <w:rPr>
          <w:rFonts w:ascii="Arial Narrow" w:eastAsia="Calibri" w:hAnsi="Arial Narrow"/>
          <w:lang w:val="bg-BG"/>
        </w:rPr>
      </w:pPr>
      <w:r w:rsidRPr="003F3624">
        <w:rPr>
          <w:rFonts w:ascii="Arial Narrow" w:eastAsia="Calibri" w:hAnsi="Arial Narrow"/>
          <w:lang w:val="bg-BG"/>
        </w:rPr>
        <w:t>Изготвен е и приет Годишен доклад за състоянието на сектор „Храни“ в България за периода 2021-2022 г.</w:t>
      </w:r>
    </w:p>
    <w:p w14:paraId="72B98A96" w14:textId="77777777" w:rsidR="003F3624" w:rsidRPr="003F3624" w:rsidRDefault="003F3624" w:rsidP="009C6577">
      <w:pPr>
        <w:numPr>
          <w:ilvl w:val="0"/>
          <w:numId w:val="37"/>
        </w:numPr>
        <w:overflowPunct w:val="0"/>
        <w:autoSpaceDE w:val="0"/>
        <w:autoSpaceDN w:val="0"/>
        <w:adjustRightInd w:val="0"/>
        <w:spacing w:after="120" w:line="276" w:lineRule="auto"/>
        <w:jc w:val="both"/>
        <w:rPr>
          <w:rFonts w:ascii="Arial Narrow" w:eastAsia="Calibri" w:hAnsi="Arial Narrow"/>
          <w:lang w:val="bg-BG"/>
        </w:rPr>
      </w:pPr>
      <w:r w:rsidRPr="003F3624">
        <w:rPr>
          <w:rFonts w:ascii="Arial Narrow" w:eastAsia="Calibri" w:hAnsi="Arial Narrow"/>
          <w:lang w:val="bg-BG"/>
        </w:rPr>
        <w:t>Проучване на възможностите и обсъждане на предложения за установяване на ред за употребата на продукти за растителна защита, чрез безпилотни летателни системи;</w:t>
      </w:r>
    </w:p>
    <w:p w14:paraId="53068265" w14:textId="77777777" w:rsidR="003F3624" w:rsidRPr="003F3624" w:rsidRDefault="003F3624" w:rsidP="009C6577">
      <w:pPr>
        <w:numPr>
          <w:ilvl w:val="0"/>
          <w:numId w:val="37"/>
        </w:numPr>
        <w:overflowPunct w:val="0"/>
        <w:autoSpaceDE w:val="0"/>
        <w:autoSpaceDN w:val="0"/>
        <w:adjustRightInd w:val="0"/>
        <w:spacing w:after="120" w:line="276" w:lineRule="auto"/>
        <w:jc w:val="both"/>
        <w:rPr>
          <w:rFonts w:ascii="Arial Narrow" w:eastAsia="Calibri" w:hAnsi="Arial Narrow"/>
          <w:lang w:val="bg-BG"/>
        </w:rPr>
      </w:pPr>
      <w:r w:rsidRPr="003F3624">
        <w:rPr>
          <w:rFonts w:ascii="Arial Narrow" w:eastAsia="Calibri" w:hAnsi="Arial Narrow"/>
          <w:lang w:val="bg-BG"/>
        </w:rPr>
        <w:t xml:space="preserve">Финализиран е проект „Дигитализация на процесите от фермата до трапезата“, в който е включен модул за здравето на растенията. </w:t>
      </w:r>
    </w:p>
    <w:p w14:paraId="3BC537BB" w14:textId="77777777" w:rsidR="003F3624" w:rsidRPr="003F3624" w:rsidRDefault="003F3624" w:rsidP="003F3624">
      <w:pPr>
        <w:keepNext/>
        <w:widowControl w:val="0"/>
        <w:overflowPunct w:val="0"/>
        <w:autoSpaceDE w:val="0"/>
        <w:autoSpaceDN w:val="0"/>
        <w:adjustRightInd w:val="0"/>
        <w:spacing w:after="120"/>
        <w:ind w:firstLine="709"/>
        <w:jc w:val="both"/>
        <w:textAlignment w:val="baseline"/>
        <w:rPr>
          <w:rFonts w:ascii="Arial Narrow" w:eastAsia="Calibri" w:hAnsi="Arial Narrow" w:cs="All Times New Roman"/>
          <w:b/>
          <w:lang w:val="bg-BG"/>
        </w:rPr>
      </w:pPr>
      <w:r w:rsidRPr="003F3624">
        <w:rPr>
          <w:rFonts w:ascii="Arial Narrow" w:eastAsia="Calibri" w:hAnsi="Arial Narrow"/>
          <w:b/>
          <w:bCs/>
          <w:lang w:val="bg-BG"/>
        </w:rPr>
        <w:t xml:space="preserve">Приоритетни </w:t>
      </w:r>
      <w:r w:rsidRPr="003F3624">
        <w:rPr>
          <w:rFonts w:ascii="Arial Narrow" w:eastAsia="Calibri" w:hAnsi="Arial Narrow" w:cs="All Times New Roman"/>
          <w:b/>
          <w:lang w:val="bg-BG"/>
        </w:rPr>
        <w:t>дейности през 2025</w:t>
      </w:r>
      <w:r w:rsidR="00672541">
        <w:rPr>
          <w:rFonts w:ascii="Arial Narrow" w:eastAsia="Calibri" w:hAnsi="Arial Narrow" w:cs="All Times New Roman"/>
          <w:b/>
          <w:lang w:val="bg-BG"/>
        </w:rPr>
        <w:t xml:space="preserve"> </w:t>
      </w:r>
      <w:r w:rsidRPr="003F3624">
        <w:rPr>
          <w:rFonts w:ascii="Arial Narrow" w:eastAsia="Calibri" w:hAnsi="Arial Narrow" w:cs="All Times New Roman"/>
          <w:b/>
          <w:lang w:val="bg-BG"/>
        </w:rPr>
        <w:t>г.</w:t>
      </w:r>
    </w:p>
    <w:p w14:paraId="17F7CF03" w14:textId="77777777" w:rsidR="003F3624" w:rsidRPr="003F3624" w:rsidRDefault="003F3624" w:rsidP="003F3624">
      <w:pPr>
        <w:spacing w:after="120"/>
        <w:ind w:firstLine="709"/>
        <w:jc w:val="both"/>
        <w:rPr>
          <w:rFonts w:ascii="Arial Narrow" w:hAnsi="Arial Narrow"/>
          <w:lang w:val="bg-BG" w:eastAsia="bg-BG"/>
        </w:rPr>
      </w:pPr>
      <w:r w:rsidRPr="003F3624">
        <w:rPr>
          <w:rFonts w:ascii="Arial Narrow" w:hAnsi="Arial Narrow"/>
          <w:lang w:val="bg-BG" w:eastAsia="bg-BG"/>
        </w:rPr>
        <w:t>През 2025 г. продължава процесът по изготвяне на проекти на нормативни актове в областта на безопасността на храните, здравеопазването на животните и здравето на растенията.</w:t>
      </w:r>
    </w:p>
    <w:p w14:paraId="18CD63E9" w14:textId="77777777" w:rsidR="003F3624" w:rsidRPr="003F3624" w:rsidRDefault="003F3624" w:rsidP="003F3624">
      <w:pPr>
        <w:spacing w:after="120"/>
        <w:ind w:firstLine="709"/>
        <w:jc w:val="both"/>
        <w:rPr>
          <w:rFonts w:ascii="Arial Narrow" w:hAnsi="Arial Narrow"/>
          <w:lang w:val="bg-BG" w:eastAsia="bg-BG"/>
        </w:rPr>
      </w:pPr>
      <w:r w:rsidRPr="003F3624">
        <w:rPr>
          <w:rFonts w:ascii="Arial Narrow" w:hAnsi="Arial Narrow"/>
          <w:lang w:val="bg-BG" w:eastAsia="bg-BG"/>
        </w:rPr>
        <w:t>Изготвено е ПМС за приемане на Наредба за изискванията към плодовите конфитюри, желета, мармалади, желе-мармалади и подсладено пюре от кестени, обнародвано в брой 35 на „Държавен вестник“ от 2025 г.</w:t>
      </w:r>
    </w:p>
    <w:p w14:paraId="1A7E8F81" w14:textId="77777777" w:rsidR="003F3624" w:rsidRPr="003F3624" w:rsidRDefault="003F3624" w:rsidP="003F3624">
      <w:pPr>
        <w:spacing w:after="120"/>
        <w:ind w:firstLine="709"/>
        <w:jc w:val="both"/>
        <w:rPr>
          <w:rFonts w:ascii="Arial Narrow" w:hAnsi="Arial Narrow"/>
          <w:lang w:val="bg-BG" w:eastAsia="bg-BG"/>
        </w:rPr>
      </w:pPr>
      <w:r w:rsidRPr="003F3624">
        <w:rPr>
          <w:rFonts w:ascii="Arial Narrow" w:hAnsi="Arial Narrow"/>
          <w:lang w:val="bg-BG" w:eastAsia="bg-BG"/>
        </w:rPr>
        <w:t xml:space="preserve">Изготвен е проект на Закон за изменение и допълнение на Закона за храните, като в допълнителните разпоредби са предвидени и изменения в Закона за защита на растенията. </w:t>
      </w:r>
    </w:p>
    <w:p w14:paraId="045401A3" w14:textId="77777777" w:rsidR="003F3624" w:rsidRPr="003F3624" w:rsidRDefault="003F3624" w:rsidP="003F3624">
      <w:pPr>
        <w:spacing w:after="120"/>
        <w:ind w:firstLine="709"/>
        <w:jc w:val="both"/>
        <w:rPr>
          <w:rFonts w:ascii="Arial Narrow" w:hAnsi="Arial Narrow"/>
          <w:lang w:val="bg-BG" w:eastAsia="bg-BG"/>
        </w:rPr>
      </w:pPr>
      <w:r w:rsidRPr="003F3624">
        <w:rPr>
          <w:rFonts w:ascii="Arial Narrow" w:hAnsi="Arial Narrow"/>
          <w:lang w:val="bg-BG" w:eastAsia="bg-BG"/>
        </w:rPr>
        <w:t xml:space="preserve">Изготвен е проект на Наредба за изискванията за директни доставки от производителя на малки количества първични продукти и храни от животински произход.  </w:t>
      </w:r>
    </w:p>
    <w:p w14:paraId="25CF7F6A" w14:textId="77777777" w:rsidR="003F3624" w:rsidRPr="003F3624" w:rsidRDefault="003F3624" w:rsidP="003F3624">
      <w:pPr>
        <w:spacing w:after="120"/>
        <w:ind w:firstLine="709"/>
        <w:jc w:val="both"/>
        <w:rPr>
          <w:rFonts w:ascii="Arial Narrow" w:hAnsi="Arial Narrow"/>
          <w:lang w:val="bg-BG" w:eastAsia="bg-BG"/>
        </w:rPr>
      </w:pPr>
      <w:r w:rsidRPr="003F3624">
        <w:rPr>
          <w:rFonts w:ascii="Arial Narrow" w:hAnsi="Arial Narrow"/>
          <w:lang w:val="bg-BG" w:eastAsia="bg-BG"/>
        </w:rPr>
        <w:t>През годината предстои изготвяне на последваща оценка на въздействието на Закона за управление на агрохранителната верига.</w:t>
      </w:r>
    </w:p>
    <w:p w14:paraId="2457DE00" w14:textId="77777777" w:rsidR="003F3624" w:rsidRPr="003F3624" w:rsidRDefault="003F3624" w:rsidP="003F3624">
      <w:pPr>
        <w:spacing w:after="120"/>
        <w:ind w:firstLine="709"/>
        <w:jc w:val="both"/>
        <w:rPr>
          <w:rFonts w:ascii="Arial Narrow" w:hAnsi="Arial Narrow"/>
          <w:lang w:val="bg-BG" w:eastAsia="bg-BG"/>
        </w:rPr>
      </w:pPr>
      <w:r w:rsidRPr="003F3624">
        <w:rPr>
          <w:rFonts w:ascii="Arial Narrow" w:hAnsi="Arial Narrow"/>
          <w:lang w:val="bg-BG" w:eastAsia="bg-BG"/>
        </w:rPr>
        <w:t>Приоритетна е и подготовката на доклад за състоянието на сектор „Храни“ за периода 2023-2024 г.</w:t>
      </w:r>
    </w:p>
    <w:p w14:paraId="59EC6D55" w14:textId="77777777" w:rsidR="003F3624" w:rsidRPr="003F3624" w:rsidRDefault="003F3624" w:rsidP="003F3624">
      <w:pPr>
        <w:spacing w:after="120"/>
        <w:ind w:firstLine="709"/>
        <w:jc w:val="both"/>
        <w:rPr>
          <w:rFonts w:ascii="Arial Narrow" w:hAnsi="Arial Narrow"/>
          <w:lang w:val="bg-BG" w:eastAsia="bg-BG"/>
        </w:rPr>
      </w:pPr>
      <w:r w:rsidRPr="003F3624">
        <w:rPr>
          <w:rFonts w:ascii="Arial Narrow" w:hAnsi="Arial Narrow"/>
          <w:lang w:val="bg-BG" w:eastAsia="bg-BG"/>
        </w:rPr>
        <w:t>Изготвено е предложение на МЗХ за изменение на БДС 12:2024 Кисело мляко по БДС и е стартирано обществено допитване.</w:t>
      </w:r>
    </w:p>
    <w:p w14:paraId="5E2B2CB8" w14:textId="77777777" w:rsidR="003F3624" w:rsidRPr="003F3624" w:rsidRDefault="003F3624" w:rsidP="003F3624">
      <w:pPr>
        <w:spacing w:after="120"/>
        <w:ind w:firstLine="709"/>
        <w:jc w:val="both"/>
        <w:rPr>
          <w:rFonts w:ascii="Arial Narrow" w:hAnsi="Arial Narrow"/>
          <w:lang w:val="bg-BG" w:eastAsia="bg-BG"/>
        </w:rPr>
      </w:pPr>
      <w:r w:rsidRPr="003F3624">
        <w:rPr>
          <w:rFonts w:ascii="Arial Narrow" w:hAnsi="Arial Narrow"/>
          <w:lang w:val="bg-BG" w:eastAsia="bg-BG"/>
        </w:rPr>
        <w:t>Приоритетни са дейностите, свързани с изготвянето на проект на нов Закон за ветеринарномедицинската дейност, изцяло съобразен с рамката и разпоредбите на Регламент (ЕС) 2016/429 на Европейския парламент и на Съвета от 9 март 2016 г. за заразните болести по животните и за изменение и отмяна на определени актове в областта на здравеопазването на животните и делегираните актове към него (прилага се от 21 април 2021 г.) и Регламент (ЕС) 2019/6 на Европейския парламент и на Съвета от 11 декември 2018 година относно ветеринарните лекарствени продукти и за отмяна на Директива 2001/82/ЕО.</w:t>
      </w:r>
    </w:p>
    <w:p w14:paraId="395F7CB0" w14:textId="77777777" w:rsidR="003F3624" w:rsidRPr="003F3624" w:rsidRDefault="003F3624" w:rsidP="003F3624">
      <w:pPr>
        <w:spacing w:after="120"/>
        <w:ind w:firstLine="709"/>
        <w:jc w:val="both"/>
        <w:rPr>
          <w:rFonts w:ascii="Arial Narrow" w:hAnsi="Arial Narrow"/>
          <w:lang w:val="bg-BG" w:eastAsia="bg-BG"/>
        </w:rPr>
      </w:pPr>
      <w:r w:rsidRPr="003F3624">
        <w:rPr>
          <w:rFonts w:ascii="Arial Narrow" w:hAnsi="Arial Narrow"/>
          <w:lang w:val="bg-BG" w:eastAsia="bg-BG"/>
        </w:rPr>
        <w:t xml:space="preserve">Разработва се нов Закон за съсловната организация на ветеринарните лекари в България, поради необходимост от прилагане в цялост на разпоредбите на Регламент (EС) 2017/625 на Европейския парламент и на Съвета от 15 март 2017 г. относно официалния контрол и другите официални дейности, извършвани с цел да се гарантира прилагането на законодателството в областта на храните и фуражите, правилата относно здравеопазването на животните и хуманното отношение към тях, здравето на растенията и продуктите за растителна защита и уеднаквяване на изискванията за контрол и условията и реда за осъществяване на ветеринарномедицинска практика с проекта на нов Закон за ветеринарномедицинската дейност. </w:t>
      </w:r>
    </w:p>
    <w:p w14:paraId="1F3F50B8" w14:textId="77777777" w:rsidR="003F3624" w:rsidRPr="003F3624" w:rsidRDefault="003F3624" w:rsidP="003F3624">
      <w:pPr>
        <w:spacing w:after="120"/>
        <w:ind w:firstLine="709"/>
        <w:jc w:val="both"/>
        <w:rPr>
          <w:rFonts w:ascii="Arial Narrow" w:hAnsi="Arial Narrow"/>
          <w:lang w:val="bg-BG" w:eastAsia="bg-BG"/>
        </w:rPr>
      </w:pPr>
      <w:r w:rsidRPr="003F3624">
        <w:rPr>
          <w:rFonts w:ascii="Arial Narrow" w:hAnsi="Arial Narrow"/>
          <w:lang w:val="bg-BG" w:eastAsia="bg-BG"/>
        </w:rPr>
        <w:t xml:space="preserve">Необходимо е да бъде приет от Министерски съвет проект на Национална програма за действие срещу антимикробната резистентност 2025 - 2028 г., изготвен по подхода „Едно здраве“ (водещо ведомство Министерство на здравеопазването) и да се работи по реализирането на заложените мерки с оглед постигане целите на Зелената сделка за намаляване употребата на антимикробни средства и изпълнение на изискванията на новото законодателство относно ветеринарните лекарствени продукти, свързани с осигуряване събирането на информация за употребените количества антимикробни средства </w:t>
      </w:r>
      <w:r w:rsidRPr="003F3624">
        <w:rPr>
          <w:rFonts w:ascii="Arial Narrow" w:hAnsi="Arial Narrow"/>
          <w:lang w:val="bg-BG" w:eastAsia="bg-BG"/>
        </w:rPr>
        <w:lastRenderedPageBreak/>
        <w:t>и повишаване осведомеността на земеделските стопани относно добрите практики за намаляване употребата на антимикробни средства.</w:t>
      </w:r>
    </w:p>
    <w:p w14:paraId="5B086215" w14:textId="77777777" w:rsidR="003F3624" w:rsidRPr="003F3624" w:rsidRDefault="003F3624" w:rsidP="003F3624">
      <w:pPr>
        <w:spacing w:after="120"/>
        <w:ind w:firstLine="709"/>
        <w:jc w:val="both"/>
        <w:rPr>
          <w:rFonts w:ascii="Arial Narrow" w:hAnsi="Arial Narrow"/>
          <w:lang w:val="bg-BG" w:eastAsia="bg-BG"/>
        </w:rPr>
      </w:pPr>
      <w:r w:rsidRPr="003F3624">
        <w:rPr>
          <w:rFonts w:ascii="Arial Narrow" w:hAnsi="Arial Narrow"/>
          <w:lang w:val="bg-BG" w:eastAsia="bg-BG"/>
        </w:rPr>
        <w:t>Работи се по изготвяне на Наредба за изменение и допълнение към Наредба № 21 от 2016 г. за условията и реда за регистрацията, етикетирането и контрола на торове, подобрители на почвата, биологично активни вещества и хранителни субстрати.</w:t>
      </w:r>
    </w:p>
    <w:p w14:paraId="6BA7A528" w14:textId="77777777" w:rsidR="00A1050C" w:rsidRPr="00E737B1" w:rsidRDefault="00A1050C" w:rsidP="00513FF4">
      <w:pPr>
        <w:pStyle w:val="ListParagraph"/>
        <w:keepNext/>
        <w:numPr>
          <w:ilvl w:val="0"/>
          <w:numId w:val="16"/>
        </w:numPr>
        <w:spacing w:after="120"/>
        <w:ind w:left="357" w:firstLine="3"/>
        <w:contextualSpacing w:val="0"/>
        <w:outlineLvl w:val="0"/>
        <w:rPr>
          <w:rFonts w:ascii="Arial Narrow" w:hAnsi="Arial Narrow"/>
          <w:b/>
          <w:lang w:val="bg-BG"/>
        </w:rPr>
      </w:pPr>
      <w:bookmarkStart w:id="187" w:name="_Toc119315147"/>
      <w:bookmarkStart w:id="188" w:name="_Toc210747635"/>
      <w:bookmarkEnd w:id="187"/>
      <w:r w:rsidRPr="00E737B1">
        <w:rPr>
          <w:rFonts w:ascii="Arial Narrow" w:hAnsi="Arial Narrow"/>
          <w:b/>
          <w:lang w:val="bg-BG"/>
        </w:rPr>
        <w:t>Селекция и репродукция в животновъдството</w:t>
      </w:r>
      <w:bookmarkEnd w:id="188"/>
    </w:p>
    <w:p w14:paraId="1977CE18" w14:textId="77777777" w:rsidR="009F226D" w:rsidRPr="00E737B1" w:rsidRDefault="00A1050C" w:rsidP="009F226D">
      <w:pPr>
        <w:pStyle w:val="ListParagraph"/>
        <w:numPr>
          <w:ilvl w:val="1"/>
          <w:numId w:val="16"/>
        </w:numPr>
        <w:spacing w:after="120"/>
        <w:ind w:left="788" w:hanging="431"/>
        <w:contextualSpacing w:val="0"/>
        <w:outlineLvl w:val="0"/>
        <w:rPr>
          <w:rFonts w:ascii="Arial Narrow" w:hAnsi="Arial Narrow"/>
          <w:b/>
          <w:lang w:val="bg-BG"/>
        </w:rPr>
      </w:pPr>
      <w:bookmarkStart w:id="189" w:name="_Toc210747636"/>
      <w:r w:rsidRPr="00E737B1">
        <w:rPr>
          <w:rFonts w:ascii="Arial Narrow" w:hAnsi="Arial Narrow"/>
          <w:b/>
          <w:lang w:val="bg-BG"/>
        </w:rPr>
        <w:t>Управление на националните генетични ресурси в животновъдството</w:t>
      </w:r>
      <w:bookmarkEnd w:id="189"/>
    </w:p>
    <w:p w14:paraId="242A2B30" w14:textId="77777777" w:rsidR="00E737B1" w:rsidRPr="00F45AC6" w:rsidRDefault="00E737B1" w:rsidP="00E737B1">
      <w:pPr>
        <w:autoSpaceDE w:val="0"/>
        <w:autoSpaceDN w:val="0"/>
        <w:adjustRightInd w:val="0"/>
        <w:ind w:firstLine="709"/>
        <w:jc w:val="both"/>
        <w:rPr>
          <w:rFonts w:ascii="Arial Narrow" w:eastAsia="Calibri" w:hAnsi="Arial Narrow"/>
        </w:rPr>
      </w:pPr>
      <w:r w:rsidRPr="00F45AC6">
        <w:rPr>
          <w:rFonts w:ascii="Arial Narrow" w:eastAsia="Calibri" w:hAnsi="Arial Narrow"/>
          <w:lang w:val="bg-BG"/>
        </w:rPr>
        <w:t>Изпълнителната агенция по селекция и репродукция в животновъдството (ИАСРЖ) подпомага министъра на земеделието и храните при провеждане на държавната политика в областта на развъдната дейност и управление и съхранение на генетичните ресурси. Агенцията осъществява мониторинг на състоянието на националните генетични ресурси, както и координация на дейностите, свързани с управлението им.</w:t>
      </w:r>
    </w:p>
    <w:p w14:paraId="00C79A52" w14:textId="77777777" w:rsidR="00E737B1" w:rsidRPr="00F45AC6" w:rsidRDefault="00E737B1" w:rsidP="00E737B1">
      <w:pPr>
        <w:autoSpaceDE w:val="0"/>
        <w:autoSpaceDN w:val="0"/>
        <w:adjustRightInd w:val="0"/>
        <w:ind w:firstLine="709"/>
        <w:jc w:val="both"/>
        <w:rPr>
          <w:rFonts w:ascii="Arial Narrow" w:eastAsia="Calibri" w:hAnsi="Arial Narrow"/>
        </w:rPr>
      </w:pPr>
      <w:r w:rsidRPr="00F45AC6">
        <w:rPr>
          <w:rFonts w:ascii="Arial Narrow" w:eastAsia="Calibri" w:hAnsi="Arial Narrow"/>
          <w:lang w:val="bg-BG"/>
        </w:rPr>
        <w:t>ИАСРЖ участва в управление на националните генетични ресурси в животновъдството чрез ръководство, организиране и участие в дейността на Националния съвет по управление и съхранение на генетичните ресурси. В рамките на 202</w:t>
      </w:r>
      <w:r w:rsidRPr="00F45AC6">
        <w:rPr>
          <w:rFonts w:ascii="Arial Narrow" w:eastAsia="Calibri" w:hAnsi="Arial Narrow"/>
        </w:rPr>
        <w:t>4</w:t>
      </w:r>
      <w:r w:rsidRPr="00F45AC6">
        <w:rPr>
          <w:rFonts w:ascii="Arial Narrow" w:eastAsia="Calibri" w:hAnsi="Arial Narrow"/>
          <w:lang w:val="bg-BG"/>
        </w:rPr>
        <w:t xml:space="preserve"> г. са проведени </w:t>
      </w:r>
      <w:r w:rsidRPr="00F45AC6">
        <w:rPr>
          <w:rFonts w:ascii="Arial Narrow" w:eastAsia="Calibri" w:hAnsi="Arial Narrow"/>
        </w:rPr>
        <w:t>14</w:t>
      </w:r>
      <w:r w:rsidRPr="00F45AC6">
        <w:rPr>
          <w:rFonts w:ascii="Arial Narrow" w:eastAsia="Calibri" w:hAnsi="Arial Narrow"/>
          <w:lang w:val="bg-BG"/>
        </w:rPr>
        <w:t xml:space="preserve"> заседания на Съвета по секции за отделните направления в животновъдството, където са обсъждани проблемите на съответния бранш и са направени предложения за подобряване на развъдната дейност.</w:t>
      </w:r>
    </w:p>
    <w:p w14:paraId="0477F304" w14:textId="77777777" w:rsidR="00E737B1" w:rsidRPr="009D7CC1" w:rsidRDefault="00E737B1" w:rsidP="00E737B1">
      <w:pPr>
        <w:autoSpaceDE w:val="0"/>
        <w:autoSpaceDN w:val="0"/>
        <w:adjustRightInd w:val="0"/>
        <w:ind w:firstLine="709"/>
        <w:jc w:val="both"/>
        <w:rPr>
          <w:rFonts w:ascii="Arial Narrow" w:eastAsia="Calibri" w:hAnsi="Arial Narrow"/>
          <w:lang w:val="en-AU"/>
        </w:rPr>
      </w:pPr>
      <w:r w:rsidRPr="009D7CC1">
        <w:rPr>
          <w:rFonts w:ascii="Arial Narrow" w:eastAsia="Calibri" w:hAnsi="Arial Narrow"/>
          <w:lang w:val="bg-BG"/>
        </w:rPr>
        <w:t xml:space="preserve">ИАСРЖ координира създаването на нови породи и хибриди животни чрез администриране на дейността на Държавната комисия по породи животни (ДКПР) и извършва необходимите експертизи по същество на всички нива. </w:t>
      </w:r>
    </w:p>
    <w:p w14:paraId="08B28EEA" w14:textId="77777777" w:rsidR="00E737B1" w:rsidRPr="00D51528" w:rsidRDefault="00E737B1" w:rsidP="00E737B1">
      <w:pPr>
        <w:autoSpaceDE w:val="0"/>
        <w:autoSpaceDN w:val="0"/>
        <w:adjustRightInd w:val="0"/>
        <w:ind w:firstLine="709"/>
        <w:jc w:val="both"/>
        <w:rPr>
          <w:rFonts w:ascii="Arial Narrow" w:eastAsia="Calibri" w:hAnsi="Arial Narrow"/>
          <w:lang w:val="bg-BG"/>
        </w:rPr>
      </w:pPr>
      <w:r w:rsidRPr="00D51528">
        <w:rPr>
          <w:rFonts w:ascii="Arial Narrow" w:eastAsia="Calibri" w:hAnsi="Arial Narrow"/>
          <w:lang w:val="bg-BG"/>
        </w:rPr>
        <w:t xml:space="preserve">Агенцията ежегодно извършва мониторинг на породите във връзка с поддържане и периодично актуализиране на Регистър на развъдните стада от Националния генофонд по чл.18, ал. 6 от Закона за животновъдството. </w:t>
      </w:r>
    </w:p>
    <w:p w14:paraId="4521574B" w14:textId="77777777" w:rsidR="00E737B1" w:rsidRPr="00D51528" w:rsidRDefault="00E737B1" w:rsidP="00E737B1">
      <w:pPr>
        <w:autoSpaceDE w:val="0"/>
        <w:autoSpaceDN w:val="0"/>
        <w:adjustRightInd w:val="0"/>
        <w:ind w:firstLine="709"/>
        <w:jc w:val="both"/>
        <w:rPr>
          <w:rFonts w:ascii="Arial Narrow" w:eastAsia="Calibri" w:hAnsi="Arial Narrow"/>
          <w:lang w:val="bg-BG"/>
        </w:rPr>
      </w:pPr>
      <w:r w:rsidRPr="00D51528">
        <w:rPr>
          <w:rFonts w:ascii="Arial Narrow" w:eastAsia="Calibri" w:hAnsi="Arial Narrow"/>
          <w:lang w:val="bg-BG"/>
        </w:rPr>
        <w:t xml:space="preserve">През </w:t>
      </w:r>
      <w:r>
        <w:rPr>
          <w:rFonts w:ascii="Arial Narrow" w:eastAsia="Calibri" w:hAnsi="Arial Narrow"/>
          <w:lang w:val="bg-BG"/>
        </w:rPr>
        <w:t>202</w:t>
      </w:r>
      <w:r>
        <w:rPr>
          <w:rFonts w:ascii="Arial Narrow" w:eastAsia="Calibri" w:hAnsi="Arial Narrow"/>
        </w:rPr>
        <w:t>4</w:t>
      </w:r>
      <w:r w:rsidRPr="00D51528">
        <w:rPr>
          <w:rFonts w:ascii="Arial Narrow" w:eastAsia="Calibri" w:hAnsi="Arial Narrow"/>
          <w:lang w:val="bg-BG"/>
        </w:rPr>
        <w:t xml:space="preserve"> г. е определен развъден и рисков статус и тренд на изменение на: 32 951 говеда (от три автохтонни и три комерсиални породи); 14 115 биволи (от една комерсиална порода); 138 022 овце (от двадесет автохтонни и три комерсиални породи); 9 974 кози (от три автохтонни породи); 731 свине (от една автохтонна и една комерсиална породи); 10 744 коне (от една автохтонна и четири комерсиални породи).</w:t>
      </w:r>
    </w:p>
    <w:p w14:paraId="2B1EC03B" w14:textId="77777777" w:rsidR="00E737B1" w:rsidRPr="004C688C" w:rsidRDefault="00E737B1" w:rsidP="00E737B1">
      <w:pPr>
        <w:autoSpaceDE w:val="0"/>
        <w:autoSpaceDN w:val="0"/>
        <w:adjustRightInd w:val="0"/>
        <w:ind w:firstLine="709"/>
        <w:jc w:val="both"/>
        <w:rPr>
          <w:rFonts w:ascii="Arial Narrow" w:eastAsia="Calibri" w:hAnsi="Arial Narrow"/>
          <w:lang w:val="bg-BG"/>
        </w:rPr>
      </w:pPr>
      <w:r w:rsidRPr="004C688C">
        <w:rPr>
          <w:rFonts w:ascii="Arial Narrow" w:eastAsia="Calibri" w:hAnsi="Arial Narrow"/>
          <w:lang w:val="bg-BG"/>
        </w:rPr>
        <w:t xml:space="preserve">През годината развъдните организации в страната и ИАСРЖ контролират 28 автохтонни и 12 комерсиални породи, които са обект на подпомагане по Програмата за развитие на селските райони, мярка 10 „Агроекология и климат в направление „Опазване на застрашени от изчезване местни породи“. </w:t>
      </w:r>
    </w:p>
    <w:p w14:paraId="55C15746" w14:textId="77777777" w:rsidR="00E737B1" w:rsidRPr="00BA1E1C" w:rsidRDefault="00E737B1" w:rsidP="00E737B1">
      <w:pPr>
        <w:autoSpaceDE w:val="0"/>
        <w:autoSpaceDN w:val="0"/>
        <w:adjustRightInd w:val="0"/>
        <w:ind w:firstLine="709"/>
        <w:jc w:val="both"/>
        <w:rPr>
          <w:rFonts w:ascii="Arial Narrow" w:eastAsia="Calibri" w:hAnsi="Arial Narrow"/>
          <w:lang w:val="bg-BG"/>
        </w:rPr>
      </w:pPr>
      <w:r w:rsidRPr="00BA1E1C">
        <w:rPr>
          <w:rFonts w:ascii="Arial Narrow" w:eastAsia="Calibri" w:hAnsi="Arial Narrow"/>
          <w:lang w:val="bg-BG"/>
        </w:rPr>
        <w:t xml:space="preserve">Поради заболяването Африканска чума по свинете, </w:t>
      </w:r>
      <w:r>
        <w:rPr>
          <w:rFonts w:ascii="Arial Narrow" w:eastAsia="Calibri" w:hAnsi="Arial Narrow"/>
          <w:lang w:val="bg-BG"/>
        </w:rPr>
        <w:t xml:space="preserve">в периода </w:t>
      </w:r>
      <w:r w:rsidRPr="00BA1E1C">
        <w:rPr>
          <w:rFonts w:ascii="Arial Narrow" w:eastAsia="Calibri" w:hAnsi="Arial Narrow"/>
          <w:lang w:val="bg-BG"/>
        </w:rPr>
        <w:t xml:space="preserve">2019 г. </w:t>
      </w:r>
      <w:r>
        <w:rPr>
          <w:rFonts w:ascii="Arial Narrow" w:eastAsia="Calibri" w:hAnsi="Arial Narrow"/>
          <w:lang w:val="bg-BG"/>
        </w:rPr>
        <w:t>– 2022 г.</w:t>
      </w:r>
      <w:r w:rsidRPr="00BA1E1C">
        <w:rPr>
          <w:rFonts w:ascii="Arial Narrow" w:eastAsia="Calibri" w:hAnsi="Arial Narrow"/>
          <w:lang w:val="bg-BG"/>
        </w:rPr>
        <w:t xml:space="preserve"> са унищожени 1 056 свине от автохтонната порода Източнобалканска свиня, вследствие на което статусът и вече е променен на изчезваща порода. Като изчезваща порода могат да бъдат определени и породите „Плевенски кон“ и „Българско червено говедо“. От автохтонните породи тревожно е състоянието на Местната старозагорска овца, Бялата маришка, Местната карнобатска овца и Сакарската овца, а от комерсиалните породи на Карнобатската и Тракийската тънкорунна, на Източнобългарския кон, Дунавския кон и на Дунавската бяла свиня. През </w:t>
      </w:r>
      <w:r>
        <w:rPr>
          <w:rFonts w:ascii="Arial Narrow" w:eastAsia="Calibri" w:hAnsi="Arial Narrow"/>
          <w:lang w:val="bg-BG"/>
        </w:rPr>
        <w:t>2024 г.</w:t>
      </w:r>
      <w:r w:rsidRPr="00BA1E1C">
        <w:rPr>
          <w:rFonts w:ascii="Arial Narrow" w:eastAsia="Calibri" w:hAnsi="Arial Narrow"/>
          <w:lang w:val="bg-BG"/>
        </w:rPr>
        <w:t xml:space="preserve"> продължават да се прилагат мерки за възстановяване на две национални породи - Българското кафяво говедо и Българското червено говедо. За Българското кафяво говедо е разработена развъдна програма, като развъдната дейност с породата се поема от три развъдни организации. За развитието на Българското червено говедо е разработен развъден план, който се изпълнява и през 2024 г.</w:t>
      </w:r>
    </w:p>
    <w:p w14:paraId="753DE8FA" w14:textId="77777777" w:rsidR="00E737B1" w:rsidRPr="00BA1E1C" w:rsidRDefault="00E737B1" w:rsidP="00E737B1">
      <w:pPr>
        <w:ind w:firstLine="709"/>
        <w:jc w:val="both"/>
        <w:rPr>
          <w:rFonts w:ascii="Arial Narrow" w:eastAsia="Calibri" w:hAnsi="Arial Narrow"/>
          <w:lang w:val="bg-BG"/>
        </w:rPr>
      </w:pPr>
      <w:r>
        <w:rPr>
          <w:rFonts w:ascii="Arial Narrow" w:eastAsia="Calibri" w:hAnsi="Arial Narrow"/>
          <w:lang w:val="bg-BG"/>
        </w:rPr>
        <w:t xml:space="preserve">ИАСРЖ </w:t>
      </w:r>
      <w:r w:rsidRPr="00BA1E1C">
        <w:rPr>
          <w:rFonts w:ascii="Arial Narrow" w:eastAsia="Calibri" w:hAnsi="Arial Narrow"/>
          <w:lang w:val="bg-BG"/>
        </w:rPr>
        <w:t>поддържа информационна база данни за състоянието на генетичните ресурси по образец на базата EFABIS на Европейската регионална фокусна точка. Националната система е свързана с EFABIS, а последната - с информационната система DAD-IS на Световната организация по прехраната (FAO). Тази интеграция дава възможност за трансфер на данни от националната към европейската и световната информационни системи. В рамките на 2024 г. е актуализирана информацията в базата данни за 612 223 броя животни и птици.</w:t>
      </w:r>
    </w:p>
    <w:p w14:paraId="631FA2C6" w14:textId="77777777" w:rsidR="00E737B1" w:rsidRPr="00CD3AD8" w:rsidRDefault="00E737B1" w:rsidP="00E737B1">
      <w:pPr>
        <w:autoSpaceDE w:val="0"/>
        <w:autoSpaceDN w:val="0"/>
        <w:adjustRightInd w:val="0"/>
        <w:ind w:firstLine="709"/>
        <w:jc w:val="both"/>
        <w:rPr>
          <w:rFonts w:ascii="Arial Narrow" w:eastAsia="Calibri" w:hAnsi="Arial Narrow"/>
          <w:lang w:val="bg-BG"/>
        </w:rPr>
      </w:pPr>
      <w:r>
        <w:rPr>
          <w:rFonts w:ascii="Arial Narrow" w:eastAsia="Calibri" w:hAnsi="Arial Narrow"/>
          <w:lang w:val="bg-BG"/>
        </w:rPr>
        <w:t>Агенцията</w:t>
      </w:r>
      <w:r w:rsidRPr="00CD3AD8">
        <w:rPr>
          <w:rFonts w:ascii="Arial Narrow" w:eastAsia="Calibri" w:hAnsi="Arial Narrow"/>
          <w:lang w:val="bg-BG"/>
        </w:rPr>
        <w:t xml:space="preserve"> управлява и поддържа Национална генетична банка с две хранилища (София и Сливен), в които се съхранява криоконсервирана семенна течност от различни видове и породи животни. </w:t>
      </w:r>
    </w:p>
    <w:p w14:paraId="4FB46BC2" w14:textId="77777777" w:rsidR="00E737B1" w:rsidRPr="00CD3AD8" w:rsidRDefault="00E737B1" w:rsidP="00E737B1">
      <w:pPr>
        <w:autoSpaceDE w:val="0"/>
        <w:autoSpaceDN w:val="0"/>
        <w:adjustRightInd w:val="0"/>
        <w:ind w:firstLine="709"/>
        <w:jc w:val="both"/>
        <w:rPr>
          <w:rFonts w:ascii="Arial Narrow" w:eastAsia="Calibri" w:hAnsi="Arial Narrow"/>
        </w:rPr>
      </w:pPr>
      <w:r w:rsidRPr="00CD3AD8">
        <w:rPr>
          <w:rFonts w:ascii="Arial Narrow" w:eastAsia="Calibri" w:hAnsi="Arial Narrow"/>
          <w:lang w:val="bg-BG"/>
        </w:rPr>
        <w:t xml:space="preserve"> Към края на 2024 г. в Национална генетична банка се съхраняват общо </w:t>
      </w:r>
      <w:r w:rsidRPr="00684767">
        <w:rPr>
          <w:rFonts w:ascii="Arial Narrow" w:hAnsi="Arial Narrow"/>
          <w:bCs/>
        </w:rPr>
        <w:t>1 583 029</w:t>
      </w:r>
      <w:r w:rsidRPr="00CD3AD8">
        <w:rPr>
          <w:rFonts w:ascii="Arial Narrow" w:eastAsia="Calibri" w:hAnsi="Arial Narrow"/>
          <w:lang w:val="bg-BG"/>
        </w:rPr>
        <w:t xml:space="preserve"> дози дълбоко замразена семенна течност от 347 разплодника, както следва: от 289 говежди разплодника, 27 биволски разплодника, 19 коча, 9 пръча и 3 жребци от 22 породи говеда, 4 породи биволи, 10 породи овце, 6 породи </w:t>
      </w:r>
      <w:r w:rsidRPr="00CD3AD8">
        <w:rPr>
          <w:rFonts w:ascii="Arial Narrow" w:eastAsia="Calibri" w:hAnsi="Arial Narrow"/>
          <w:lang w:val="bg-BG"/>
        </w:rPr>
        <w:lastRenderedPageBreak/>
        <w:t>кози и 3 породи коне, с което се увеличава разнообразието от предлагания за реализация генетичен материал.</w:t>
      </w:r>
    </w:p>
    <w:p w14:paraId="5796C58C" w14:textId="77777777" w:rsidR="00E737B1" w:rsidRPr="0048376B" w:rsidRDefault="00E737B1" w:rsidP="00E737B1">
      <w:pPr>
        <w:autoSpaceDE w:val="0"/>
        <w:autoSpaceDN w:val="0"/>
        <w:adjustRightInd w:val="0"/>
        <w:ind w:firstLine="709"/>
        <w:jc w:val="both"/>
        <w:rPr>
          <w:rFonts w:ascii="Arial Narrow" w:eastAsia="Calibri" w:hAnsi="Arial Narrow"/>
          <w:lang w:val="bg-BG"/>
        </w:rPr>
      </w:pPr>
      <w:r w:rsidRPr="0048376B">
        <w:rPr>
          <w:rFonts w:ascii="Arial Narrow" w:eastAsia="Calibri" w:hAnsi="Arial Narrow"/>
          <w:lang w:val="bg-BG"/>
        </w:rPr>
        <w:t xml:space="preserve">Като отделна част от Националната генетична банка Агенцията поддържа и Национален генетичен резерв, който гарантира националния суверенитет на страната по отношение на генетичните ресурси, опазването, възстановяването и устойчивото управление на биологичното разнообразие, както и ограничаване на загубата му. </w:t>
      </w:r>
    </w:p>
    <w:p w14:paraId="4E255E0E" w14:textId="77777777" w:rsidR="00E737B1" w:rsidRPr="0048376B" w:rsidRDefault="00E737B1" w:rsidP="00E737B1">
      <w:pPr>
        <w:autoSpaceDE w:val="0"/>
        <w:autoSpaceDN w:val="0"/>
        <w:adjustRightInd w:val="0"/>
        <w:ind w:firstLine="709"/>
        <w:jc w:val="both"/>
        <w:rPr>
          <w:rFonts w:ascii="Arial Narrow" w:eastAsia="Calibri" w:hAnsi="Arial Narrow"/>
          <w:lang w:val="bg-BG"/>
        </w:rPr>
      </w:pPr>
      <w:r w:rsidRPr="0048376B">
        <w:rPr>
          <w:rFonts w:ascii="Arial Narrow" w:eastAsia="Calibri" w:hAnsi="Arial Narrow"/>
          <w:lang w:val="bg-BG"/>
        </w:rPr>
        <w:t>Към 31.12.2024 г. в Националния генетичен резерв са съхранени общо 416 945 дози дълбоко замразена семенна течност от: 470 говежди и 33 биволски разплодника, 60 коча, 17 пръча и 56 жребеца. Дози</w:t>
      </w:r>
      <w:r>
        <w:rPr>
          <w:rFonts w:ascii="Arial Narrow" w:eastAsia="Calibri" w:hAnsi="Arial Narrow"/>
          <w:lang w:val="bg-BG"/>
        </w:rPr>
        <w:t>те</w:t>
      </w:r>
      <w:r w:rsidRPr="0048376B">
        <w:rPr>
          <w:rFonts w:ascii="Arial Narrow" w:eastAsia="Calibri" w:hAnsi="Arial Narrow"/>
          <w:lang w:val="bg-BG"/>
        </w:rPr>
        <w:t xml:space="preserve"> са от 27 породи говеда, 4 породи биволи, 22 породи овце, 8 породи кози и 11 породи коне.</w:t>
      </w:r>
    </w:p>
    <w:p w14:paraId="0A9622E5" w14:textId="77777777" w:rsidR="00E737B1" w:rsidRPr="00CC1F31" w:rsidRDefault="00E737B1" w:rsidP="00E737B1">
      <w:pPr>
        <w:autoSpaceDE w:val="0"/>
        <w:autoSpaceDN w:val="0"/>
        <w:adjustRightInd w:val="0"/>
        <w:ind w:firstLine="709"/>
        <w:jc w:val="both"/>
        <w:rPr>
          <w:rFonts w:ascii="Arial Narrow" w:eastAsia="Calibri" w:hAnsi="Arial Narrow"/>
          <w:lang w:val="bg-BG"/>
        </w:rPr>
      </w:pPr>
      <w:r w:rsidRPr="00CC1F31">
        <w:rPr>
          <w:rFonts w:ascii="Arial Narrow" w:eastAsia="Calibri" w:hAnsi="Arial Narrow"/>
          <w:lang w:val="bg-BG"/>
        </w:rPr>
        <w:t>За гарантиране на по-висока биосигурност замразеният семенен материал от Националния генетичен резерв се съхранява в две криохранилища - София и Сливен.</w:t>
      </w:r>
    </w:p>
    <w:p w14:paraId="3CC55C92" w14:textId="77777777" w:rsidR="00E737B1" w:rsidRPr="00690236" w:rsidRDefault="00E737B1" w:rsidP="00E737B1">
      <w:pPr>
        <w:autoSpaceDE w:val="0"/>
        <w:autoSpaceDN w:val="0"/>
        <w:adjustRightInd w:val="0"/>
        <w:ind w:firstLine="709"/>
        <w:jc w:val="both"/>
        <w:rPr>
          <w:rFonts w:ascii="Arial Narrow" w:eastAsia="Calibri" w:hAnsi="Arial Narrow"/>
          <w:lang w:val="bg-BG"/>
        </w:rPr>
      </w:pPr>
      <w:r w:rsidRPr="00690236">
        <w:rPr>
          <w:rFonts w:ascii="Arial Narrow" w:eastAsia="Calibri" w:hAnsi="Arial Narrow"/>
          <w:lang w:val="bg-BG"/>
        </w:rPr>
        <w:t xml:space="preserve">ИАСРЖ управлява и поддържа двете Държавни станции за изкуствено осеменяване (ДСИО) в София и Сливен, осигуряващи развъдната дейност и съхранението на генетичните ресурси в страната. В станциите се получава и съхранява дълготрайно разплоден материал от ценни високо продуктивни породи и от застрашени от изчезване и изчезващи местни автохтонни породи животни. </w:t>
      </w:r>
    </w:p>
    <w:p w14:paraId="7A7D1B69" w14:textId="77777777" w:rsidR="00E737B1" w:rsidRPr="00856109" w:rsidRDefault="00E737B1" w:rsidP="00E737B1">
      <w:pPr>
        <w:autoSpaceDE w:val="0"/>
        <w:autoSpaceDN w:val="0"/>
        <w:adjustRightInd w:val="0"/>
        <w:ind w:firstLine="709"/>
        <w:jc w:val="both"/>
        <w:rPr>
          <w:rFonts w:ascii="Arial Narrow" w:eastAsia="Calibri" w:hAnsi="Arial Narrow"/>
          <w:lang w:val="bg-BG"/>
        </w:rPr>
      </w:pPr>
      <w:r w:rsidRPr="00856109">
        <w:rPr>
          <w:rFonts w:ascii="Arial Narrow" w:eastAsia="Calibri" w:hAnsi="Arial Narrow"/>
          <w:lang w:val="bg-BG"/>
        </w:rPr>
        <w:t>Към края на 2024 г. в ДСИО Сливен</w:t>
      </w:r>
      <w:r w:rsidRPr="00856109" w:rsidDel="00EE3F31">
        <w:rPr>
          <w:rFonts w:ascii="Arial Narrow" w:eastAsia="Calibri" w:hAnsi="Arial Narrow"/>
          <w:lang w:val="bg-BG"/>
        </w:rPr>
        <w:t xml:space="preserve"> </w:t>
      </w:r>
      <w:r w:rsidRPr="00856109">
        <w:rPr>
          <w:rFonts w:ascii="Arial Narrow" w:eastAsia="Calibri" w:hAnsi="Arial Narrow"/>
          <w:lang w:val="bg-BG"/>
        </w:rPr>
        <w:t xml:space="preserve">се отглеждат 9 разплодника от породите: Българско червено говедо, Българско родопско, Кафяво, Холщайн  черношарен, Абердин ангус червен, Джерсей и Българска мурра. </w:t>
      </w:r>
    </w:p>
    <w:p w14:paraId="2C918B33" w14:textId="77777777" w:rsidR="00E737B1" w:rsidRPr="00570271" w:rsidRDefault="00E737B1" w:rsidP="00E737B1">
      <w:pPr>
        <w:autoSpaceDE w:val="0"/>
        <w:autoSpaceDN w:val="0"/>
        <w:adjustRightInd w:val="0"/>
        <w:ind w:firstLine="709"/>
        <w:jc w:val="both"/>
        <w:rPr>
          <w:rFonts w:ascii="Arial Narrow" w:eastAsia="Calibri" w:hAnsi="Arial Narrow"/>
          <w:lang w:val="bg-BG"/>
        </w:rPr>
      </w:pPr>
      <w:r w:rsidRPr="00570271">
        <w:rPr>
          <w:rFonts w:ascii="Arial Narrow" w:eastAsia="Calibri" w:hAnsi="Arial Narrow"/>
          <w:lang w:val="bg-BG"/>
        </w:rPr>
        <w:t>През годината от наличните говежди и биволски разплодници в ДСИО Сливен са произведени 19 025 дози дълбоко замразена семенна течност.</w:t>
      </w:r>
    </w:p>
    <w:p w14:paraId="6695E756" w14:textId="77777777" w:rsidR="00E737B1" w:rsidRPr="009F5CFC" w:rsidRDefault="00E737B1" w:rsidP="00E737B1">
      <w:pPr>
        <w:autoSpaceDE w:val="0"/>
        <w:autoSpaceDN w:val="0"/>
        <w:adjustRightInd w:val="0"/>
        <w:ind w:firstLine="709"/>
        <w:jc w:val="both"/>
        <w:rPr>
          <w:rFonts w:ascii="Arial Narrow" w:eastAsia="Calibri" w:hAnsi="Arial Narrow"/>
          <w:lang w:val="bg-BG"/>
        </w:rPr>
      </w:pPr>
      <w:r w:rsidRPr="009F5CFC">
        <w:rPr>
          <w:rFonts w:ascii="Arial Narrow" w:eastAsia="Calibri" w:hAnsi="Arial Narrow"/>
          <w:lang w:val="bg-BG"/>
        </w:rPr>
        <w:t>В ДСИО София се поддържа коневъдно депо, в което се отглеждат собствени коне на ИАСРЖ и предоставен</w:t>
      </w:r>
      <w:r>
        <w:rPr>
          <w:rFonts w:ascii="Arial Narrow" w:eastAsia="Calibri" w:hAnsi="Arial Narrow"/>
          <w:lang w:val="bg-BG"/>
        </w:rPr>
        <w:t>и по договори. В рамките на 2024</w:t>
      </w:r>
      <w:r w:rsidRPr="009F5CFC">
        <w:rPr>
          <w:rFonts w:ascii="Arial Narrow" w:eastAsia="Calibri" w:hAnsi="Arial Narrow"/>
          <w:lang w:val="bg-BG"/>
        </w:rPr>
        <w:t xml:space="preserve"> г. от отглежданите жребци в станцията са получени 89 еякулата и са произведени 5 988 дози дълбоко замразена семенна течност.</w:t>
      </w:r>
    </w:p>
    <w:p w14:paraId="1FD8B6D8" w14:textId="77777777" w:rsidR="00E737B1" w:rsidRPr="00466F2C" w:rsidRDefault="00E737B1" w:rsidP="00E737B1">
      <w:pPr>
        <w:autoSpaceDE w:val="0"/>
        <w:autoSpaceDN w:val="0"/>
        <w:adjustRightInd w:val="0"/>
        <w:ind w:firstLine="709"/>
        <w:jc w:val="both"/>
        <w:rPr>
          <w:rFonts w:ascii="Arial Narrow" w:eastAsia="Calibri" w:hAnsi="Arial Narrow"/>
          <w:lang w:val="bg-BG"/>
        </w:rPr>
      </w:pPr>
      <w:r w:rsidRPr="00466F2C">
        <w:rPr>
          <w:rFonts w:ascii="Arial Narrow" w:eastAsia="Calibri" w:hAnsi="Arial Narrow"/>
          <w:lang w:val="bg-BG"/>
        </w:rPr>
        <w:t xml:space="preserve">В изпълнение на десет годишна консервационна Програма за „ex situ” управление на генетичните ресурси в Република България 2015 - 2024, от средата на 2018 г. в ДСИО  София  се отглеждат кочове и пръчове. Постъпилите кочове и пръчове в ДСИО са по договори за съвместна дейност със съответните развъдни организации. Към 31.12.2024 г. в ДСИО София се отглеждат </w:t>
      </w:r>
      <w:r>
        <w:rPr>
          <w:rFonts w:ascii="Arial Narrow" w:eastAsia="Calibri" w:hAnsi="Arial Narrow"/>
          <w:lang w:val="bg-BG"/>
        </w:rPr>
        <w:t>по 1 коч и</w:t>
      </w:r>
      <w:r w:rsidRPr="00466F2C">
        <w:rPr>
          <w:rFonts w:ascii="Arial Narrow" w:eastAsia="Calibri" w:hAnsi="Arial Narrow"/>
          <w:lang w:val="bg-BG"/>
        </w:rPr>
        <w:t xml:space="preserve"> пръч, 3 овце, 4 кози, 4 пръчлета, 4 кочлета, 5 шилета и 5 ярета. </w:t>
      </w:r>
    </w:p>
    <w:p w14:paraId="57EB45D3" w14:textId="77777777" w:rsidR="00E737B1" w:rsidRPr="00685199" w:rsidRDefault="00E737B1" w:rsidP="00E737B1">
      <w:pPr>
        <w:autoSpaceDE w:val="0"/>
        <w:autoSpaceDN w:val="0"/>
        <w:adjustRightInd w:val="0"/>
        <w:ind w:firstLine="709"/>
        <w:jc w:val="both"/>
        <w:rPr>
          <w:rFonts w:ascii="Arial Narrow" w:eastAsia="Calibri" w:hAnsi="Arial Narrow"/>
          <w:lang w:val="bg-BG"/>
        </w:rPr>
      </w:pPr>
      <w:r w:rsidRPr="00685199">
        <w:rPr>
          <w:rFonts w:ascii="Arial Narrow" w:eastAsia="Calibri" w:hAnsi="Arial Narrow"/>
          <w:lang w:val="bg-BG"/>
        </w:rPr>
        <w:t>Агенцията е предприела превантивни мерки за опазване и съхранение на породата Източнобалканска свиня във връзка със заболяването Африканска чума по свинете. С цел превенция на риска от загуба на ценен генетичен ресурс е създадена система за реагиране в случаи на природни бедствия, епидемии, промишлени аварии или други непредвидими причини, с тежки последствия за животинските популации. Извършено е клинично обследване на свиневъдно стопанство, което е под селекционен контрол от страна на Асоциация за развъждане и съхранение на Източнобалканската свиня. В резултат от това, в Станция за изкуствено осеменяване (в гр. Сливен)  са налични 5 развъдни групи от по 4 свине майки и по един нерез.</w:t>
      </w:r>
    </w:p>
    <w:p w14:paraId="77E282D2" w14:textId="77777777" w:rsidR="00E737B1" w:rsidRPr="00685199" w:rsidRDefault="00E737B1" w:rsidP="00E737B1">
      <w:pPr>
        <w:autoSpaceDE w:val="0"/>
        <w:autoSpaceDN w:val="0"/>
        <w:adjustRightInd w:val="0"/>
        <w:ind w:firstLine="709"/>
        <w:jc w:val="both"/>
        <w:rPr>
          <w:rFonts w:ascii="Arial Narrow" w:eastAsia="Calibri" w:hAnsi="Arial Narrow"/>
          <w:lang w:val="bg-BG"/>
        </w:rPr>
      </w:pPr>
      <w:r w:rsidRPr="00685199">
        <w:rPr>
          <w:rFonts w:ascii="Arial Narrow" w:eastAsia="Calibri" w:hAnsi="Arial Narrow"/>
          <w:lang w:val="bg-BG"/>
        </w:rPr>
        <w:t>ИАСРЖ подпомага дейността на развъдните организации при реализиране на развъдните им програми, гарантиране на правилна оценка на селекционните признаци и оценка на развъдната стойност чрез: предоставяне на възможност за изследване на качествените показатели на контролираните признаци в нейните лаборатории; отглеждане на мъжки животни и производство и съхранение на семенен материал; доказване на произхода на разплодни животни в нейната лаборатория.</w:t>
      </w:r>
    </w:p>
    <w:p w14:paraId="47C1A3F5" w14:textId="77777777" w:rsidR="00E737B1" w:rsidRPr="00685199" w:rsidRDefault="00E737B1" w:rsidP="00E737B1">
      <w:pPr>
        <w:autoSpaceDE w:val="0"/>
        <w:autoSpaceDN w:val="0"/>
        <w:adjustRightInd w:val="0"/>
        <w:ind w:firstLine="709"/>
        <w:jc w:val="both"/>
        <w:rPr>
          <w:rFonts w:ascii="Arial Narrow" w:eastAsia="Calibri" w:hAnsi="Arial Narrow"/>
          <w:lang w:val="bg-BG"/>
        </w:rPr>
      </w:pPr>
      <w:r w:rsidRPr="00685199">
        <w:rPr>
          <w:rFonts w:ascii="Arial Narrow" w:eastAsia="Calibri" w:hAnsi="Arial Narrow"/>
          <w:lang w:val="bg-BG"/>
        </w:rPr>
        <w:t>За целта, Агенцията управлява и поддържа лаборатория за контрол на млечната продуктивност и лаборатория за контрол на вълнодайната продуктивност.</w:t>
      </w:r>
    </w:p>
    <w:p w14:paraId="6ABBB69B" w14:textId="77777777" w:rsidR="00E737B1" w:rsidRPr="00685199" w:rsidRDefault="00E737B1" w:rsidP="00E737B1">
      <w:pPr>
        <w:autoSpaceDE w:val="0"/>
        <w:autoSpaceDN w:val="0"/>
        <w:adjustRightInd w:val="0"/>
        <w:ind w:firstLine="709"/>
        <w:jc w:val="both"/>
        <w:rPr>
          <w:rFonts w:ascii="Arial Narrow" w:eastAsia="Calibri" w:hAnsi="Arial Narrow"/>
          <w:lang w:val="bg-BG"/>
        </w:rPr>
      </w:pPr>
      <w:r w:rsidRPr="00685199">
        <w:rPr>
          <w:rFonts w:ascii="Arial Narrow" w:eastAsia="Calibri" w:hAnsi="Arial Narrow"/>
          <w:lang w:val="bg-BG"/>
        </w:rPr>
        <w:t xml:space="preserve">През 2024 г. в държавната лаборатория за определяне на физико-химичния състав на млякото в гр. Сливен са анализирани общо 14 339 проби от краве мляко. От тях, 13 719 проби са предоставени от АБРГД – Смолян, </w:t>
      </w:r>
      <w:r>
        <w:rPr>
          <w:rFonts w:ascii="Arial Narrow" w:eastAsia="Calibri" w:hAnsi="Arial Narrow"/>
          <w:lang w:val="bg-BG"/>
        </w:rPr>
        <w:t xml:space="preserve">236 </w:t>
      </w:r>
      <w:r w:rsidRPr="00685199">
        <w:rPr>
          <w:rFonts w:ascii="Arial Narrow" w:eastAsia="Calibri" w:hAnsi="Arial Narrow"/>
          <w:lang w:val="bg-BG"/>
        </w:rPr>
        <w:t>проби от животни, контролирани от ИАСРЖ и 384 проби от овче мляко с цел научна дейност</w:t>
      </w:r>
      <w:r>
        <w:rPr>
          <w:rFonts w:ascii="Arial Narrow" w:eastAsia="Calibri" w:hAnsi="Arial Narrow"/>
          <w:lang w:val="bg-BG"/>
        </w:rPr>
        <w:t>.</w:t>
      </w:r>
    </w:p>
    <w:p w14:paraId="3E5958E3" w14:textId="77777777" w:rsidR="00E737B1" w:rsidRPr="00685199" w:rsidRDefault="00E737B1" w:rsidP="00E737B1">
      <w:pPr>
        <w:autoSpaceDE w:val="0"/>
        <w:autoSpaceDN w:val="0"/>
        <w:adjustRightInd w:val="0"/>
        <w:ind w:firstLine="709"/>
        <w:jc w:val="both"/>
        <w:rPr>
          <w:rFonts w:ascii="Arial Narrow" w:eastAsia="Calibri" w:hAnsi="Arial Narrow"/>
          <w:lang w:val="bg-BG"/>
        </w:rPr>
      </w:pPr>
      <w:r w:rsidRPr="00685199">
        <w:rPr>
          <w:rFonts w:ascii="Arial Narrow" w:eastAsia="Calibri" w:hAnsi="Arial Narrow"/>
          <w:lang w:val="bg-BG"/>
        </w:rPr>
        <w:t>Лабораторията за изпитване на кочове по собствена продуктивност (гр. Шумен), обслужваща селекцията в тънкорунното овцевъдство, дава възможност да се определи величината на някои селекционни признаци и качеството на вълната по отношение на физико-механичните свойства, рандемана и количеството чисто влакно. В рамките на 2024 г. в нея са изследвани 669 проби от вълна.</w:t>
      </w:r>
    </w:p>
    <w:p w14:paraId="04B3CA9E" w14:textId="77777777" w:rsidR="00E737B1" w:rsidRPr="00F933C7" w:rsidRDefault="00E737B1" w:rsidP="00E737B1">
      <w:pPr>
        <w:autoSpaceDE w:val="0"/>
        <w:autoSpaceDN w:val="0"/>
        <w:adjustRightInd w:val="0"/>
        <w:ind w:firstLine="709"/>
        <w:jc w:val="both"/>
        <w:rPr>
          <w:rFonts w:ascii="Arial Narrow" w:eastAsia="Calibri" w:hAnsi="Arial Narrow"/>
          <w:lang w:val="bg-BG"/>
        </w:rPr>
      </w:pPr>
      <w:r w:rsidRPr="00B53493">
        <w:rPr>
          <w:rFonts w:ascii="Arial Narrow" w:eastAsia="Calibri" w:hAnsi="Arial Narrow"/>
          <w:lang w:val="bg-BG"/>
        </w:rPr>
        <w:t xml:space="preserve">ИАСРЖ предоставя на развъдните организации различни варианти за съвместна дейност, сътрудничество и партньорство по отглеждане на мъжки разплодни животни, производство и </w:t>
      </w:r>
      <w:r w:rsidRPr="00B53493">
        <w:rPr>
          <w:rFonts w:ascii="Arial Narrow" w:eastAsia="Calibri" w:hAnsi="Arial Narrow"/>
          <w:lang w:val="bg-BG"/>
        </w:rPr>
        <w:lastRenderedPageBreak/>
        <w:t xml:space="preserve">криоконсервация на сперма от тях. През годината с договори за съвместна репродуктивна дейност в базите на ИАСРЖ са отглеждани 6 говежди и 3 биволски разплодници, 3 мъжки телета, 1 малаче, 2 биволици, </w:t>
      </w:r>
      <w:r>
        <w:rPr>
          <w:rFonts w:ascii="Arial Narrow" w:eastAsia="Calibri" w:hAnsi="Arial Narrow"/>
          <w:lang w:val="bg-BG"/>
        </w:rPr>
        <w:t>по 1 коч и</w:t>
      </w:r>
      <w:r w:rsidRPr="00B53493">
        <w:rPr>
          <w:rFonts w:ascii="Arial Narrow" w:eastAsia="Calibri" w:hAnsi="Arial Narrow"/>
          <w:lang w:val="bg-BG"/>
        </w:rPr>
        <w:t xml:space="preserve"> пръч, 3 овце, </w:t>
      </w:r>
      <w:r>
        <w:rPr>
          <w:rFonts w:ascii="Arial Narrow" w:eastAsia="Calibri" w:hAnsi="Arial Narrow"/>
          <w:lang w:val="bg-BG"/>
        </w:rPr>
        <w:t xml:space="preserve">по </w:t>
      </w:r>
      <w:r w:rsidRPr="00B53493">
        <w:rPr>
          <w:rFonts w:ascii="Arial Narrow" w:eastAsia="Calibri" w:hAnsi="Arial Narrow"/>
          <w:lang w:val="bg-BG"/>
        </w:rPr>
        <w:t xml:space="preserve">4 кози, </w:t>
      </w:r>
      <w:r>
        <w:rPr>
          <w:rFonts w:ascii="Arial Narrow" w:eastAsia="Calibri" w:hAnsi="Arial Narrow"/>
          <w:lang w:val="bg-BG"/>
        </w:rPr>
        <w:t>пръчлета</w:t>
      </w:r>
      <w:r w:rsidRPr="00B53493">
        <w:rPr>
          <w:rFonts w:ascii="Arial Narrow" w:eastAsia="Calibri" w:hAnsi="Arial Narrow"/>
          <w:lang w:val="bg-BG"/>
        </w:rPr>
        <w:t xml:space="preserve"> </w:t>
      </w:r>
      <w:r>
        <w:rPr>
          <w:rFonts w:ascii="Arial Narrow" w:eastAsia="Calibri" w:hAnsi="Arial Narrow"/>
          <w:lang w:val="bg-BG"/>
        </w:rPr>
        <w:t>и</w:t>
      </w:r>
      <w:r w:rsidRPr="00B53493">
        <w:rPr>
          <w:rFonts w:ascii="Arial Narrow" w:eastAsia="Calibri" w:hAnsi="Arial Narrow"/>
          <w:lang w:val="bg-BG"/>
        </w:rPr>
        <w:t xml:space="preserve"> кочлета, </w:t>
      </w:r>
      <w:r>
        <w:rPr>
          <w:rFonts w:ascii="Arial Narrow" w:eastAsia="Calibri" w:hAnsi="Arial Narrow"/>
          <w:lang w:val="bg-BG"/>
        </w:rPr>
        <w:t>по 5 шилета и</w:t>
      </w:r>
      <w:r w:rsidRPr="00B53493">
        <w:rPr>
          <w:rFonts w:ascii="Arial Narrow" w:eastAsia="Calibri" w:hAnsi="Arial Narrow"/>
          <w:lang w:val="bg-BG"/>
        </w:rPr>
        <w:t xml:space="preserve"> ярета</w:t>
      </w:r>
      <w:r>
        <w:rPr>
          <w:rFonts w:ascii="Arial Narrow" w:eastAsia="Calibri" w:hAnsi="Arial Narrow"/>
          <w:lang w:val="bg-BG"/>
        </w:rPr>
        <w:t>,</w:t>
      </w:r>
      <w:r w:rsidRPr="00B53493">
        <w:rPr>
          <w:rFonts w:ascii="Arial Narrow" w:eastAsia="Calibri" w:hAnsi="Arial Narrow"/>
          <w:lang w:val="bg-BG"/>
        </w:rPr>
        <w:t xml:space="preserve"> 32 жребци, кобили и </w:t>
      </w:r>
      <w:r w:rsidRPr="00F933C7">
        <w:rPr>
          <w:rFonts w:ascii="Arial Narrow" w:eastAsia="Calibri" w:hAnsi="Arial Narrow"/>
          <w:lang w:val="bg-BG"/>
        </w:rPr>
        <w:t xml:space="preserve">подрастващи кончета. </w:t>
      </w:r>
    </w:p>
    <w:p w14:paraId="0070D430" w14:textId="77777777" w:rsidR="00E737B1" w:rsidRPr="00F933C7" w:rsidRDefault="00E737B1" w:rsidP="00E737B1">
      <w:pPr>
        <w:autoSpaceDE w:val="0"/>
        <w:autoSpaceDN w:val="0"/>
        <w:adjustRightInd w:val="0"/>
        <w:ind w:firstLine="709"/>
        <w:jc w:val="both"/>
        <w:rPr>
          <w:rFonts w:ascii="Arial Narrow" w:eastAsia="Calibri" w:hAnsi="Arial Narrow"/>
          <w:lang w:val="bg-BG"/>
        </w:rPr>
      </w:pPr>
      <w:r w:rsidRPr="00F933C7">
        <w:rPr>
          <w:rFonts w:ascii="Arial Narrow" w:eastAsia="Calibri" w:hAnsi="Arial Narrow"/>
          <w:lang w:val="bg-BG"/>
        </w:rPr>
        <w:t>През 2024 г. продължава дейността на Национална генетична лаборатория, която служи за достоверно, научно обосновано определяне на породна принадлежност на животните на съвременно ниво, признато от международната общност и позволява извършване н</w:t>
      </w:r>
      <w:r>
        <w:rPr>
          <w:rFonts w:ascii="Arial Narrow" w:eastAsia="Calibri" w:hAnsi="Arial Narrow"/>
          <w:lang w:val="bg-BG"/>
        </w:rPr>
        <w:t>а референтни ДНК -</w:t>
      </w:r>
      <w:r w:rsidRPr="00F933C7">
        <w:rPr>
          <w:rFonts w:ascii="Arial Narrow" w:eastAsia="Calibri" w:hAnsi="Arial Narrow"/>
          <w:lang w:val="bg-BG"/>
        </w:rPr>
        <w:t xml:space="preserve"> анализи. С това се дава възможност за осъществяване на контрол както върху дейността на Развъдните организации, така и по отношение на прилагането на схемите за обвързано с производството подпомагане в областта на животновъдството. Извършените ДНК анализи разкриват и нови закономерности, необходими при разработване на развъдни стратегии и програми за съхранение на националните генетичните ресурси в животновъдството. През годината в Националната генетична лаборатория е изолирано ДНК от 2 793 проби от говеда и 1 987 проби от овце. </w:t>
      </w:r>
      <w:r w:rsidRPr="001D7A1C">
        <w:rPr>
          <w:rFonts w:ascii="Arial Narrow" w:eastAsia="Calibri" w:hAnsi="Arial Narrow"/>
          <w:lang w:val="bg-BG"/>
        </w:rPr>
        <w:t>Издадени са 1</w:t>
      </w:r>
      <w:r>
        <w:rPr>
          <w:rFonts w:ascii="Arial Narrow" w:eastAsia="Calibri" w:hAnsi="Arial Narrow"/>
          <w:lang w:val="bg-BG"/>
        </w:rPr>
        <w:t xml:space="preserve"> </w:t>
      </w:r>
      <w:r w:rsidRPr="001D7A1C">
        <w:rPr>
          <w:rFonts w:ascii="Arial Narrow" w:eastAsia="Calibri" w:hAnsi="Arial Narrow"/>
          <w:lang w:val="bg-BG"/>
        </w:rPr>
        <w:t>837 сертификата на говеда и 2</w:t>
      </w:r>
      <w:r>
        <w:rPr>
          <w:rFonts w:ascii="Arial Narrow" w:eastAsia="Calibri" w:hAnsi="Arial Narrow"/>
          <w:lang w:val="bg-BG"/>
        </w:rPr>
        <w:t xml:space="preserve"> </w:t>
      </w:r>
      <w:r w:rsidRPr="001D7A1C">
        <w:rPr>
          <w:rFonts w:ascii="Arial Narrow" w:eastAsia="Calibri" w:hAnsi="Arial Narrow"/>
          <w:lang w:val="bg-BG"/>
        </w:rPr>
        <w:t>899 сертификата на овце.</w:t>
      </w:r>
    </w:p>
    <w:p w14:paraId="0388DF2D" w14:textId="77777777" w:rsidR="00E737B1" w:rsidRPr="007850B7" w:rsidRDefault="00E737B1" w:rsidP="00E737B1">
      <w:pPr>
        <w:autoSpaceDE w:val="0"/>
        <w:autoSpaceDN w:val="0"/>
        <w:adjustRightInd w:val="0"/>
        <w:ind w:firstLine="709"/>
        <w:jc w:val="both"/>
        <w:rPr>
          <w:rFonts w:ascii="Arial Narrow" w:eastAsia="Calibri" w:hAnsi="Arial Narrow"/>
          <w:lang w:val="bg-BG"/>
        </w:rPr>
      </w:pPr>
      <w:r w:rsidRPr="007850B7">
        <w:rPr>
          <w:rFonts w:ascii="Arial Narrow" w:eastAsia="Calibri" w:hAnsi="Arial Narrow"/>
          <w:lang w:val="bg-BG"/>
        </w:rPr>
        <w:t>Реализацията на семенен материал на разплодници от националния генофонд се осъществява от 7 лицензирани центъра за съхранение на сперма. В пет центъра е създадена организация за функциониране на 11 подвижни линии, покриващи районите със закрити през годините Центрове за съхранение на сперма.</w:t>
      </w:r>
    </w:p>
    <w:p w14:paraId="34E67B7F" w14:textId="77777777" w:rsidR="00E737B1" w:rsidRPr="007850B7" w:rsidRDefault="00E737B1" w:rsidP="00E737B1">
      <w:pPr>
        <w:autoSpaceDE w:val="0"/>
        <w:autoSpaceDN w:val="0"/>
        <w:adjustRightInd w:val="0"/>
        <w:ind w:firstLine="709"/>
        <w:jc w:val="both"/>
        <w:rPr>
          <w:rFonts w:ascii="Arial Narrow" w:eastAsia="Calibri" w:hAnsi="Arial Narrow"/>
          <w:lang w:val="bg-BG"/>
        </w:rPr>
      </w:pPr>
      <w:r w:rsidRPr="007850B7">
        <w:rPr>
          <w:rFonts w:ascii="Arial Narrow" w:eastAsia="Calibri" w:hAnsi="Arial Narrow"/>
          <w:lang w:val="bg-BG"/>
        </w:rPr>
        <w:t xml:space="preserve">В рамките на 2024 г. са реализирани общо 14 973 дози сперма (66,1% от млечни породи, 31,9% от месодайни породи и едва 2% от биволи). От продадените 9 825 дози сперма от млечни породи говеда, най-голям дял заемат тези от </w:t>
      </w:r>
      <w:r>
        <w:rPr>
          <w:rFonts w:ascii="Arial Narrow" w:eastAsia="Calibri" w:hAnsi="Arial Narrow"/>
          <w:lang w:val="bg-BG"/>
        </w:rPr>
        <w:t>Симентал -</w:t>
      </w:r>
      <w:r w:rsidRPr="007850B7">
        <w:rPr>
          <w:rFonts w:ascii="Arial Narrow" w:eastAsia="Calibri" w:hAnsi="Arial Narrow"/>
          <w:lang w:val="bg-BG"/>
        </w:rPr>
        <w:t xml:space="preserve"> 28,2%</w:t>
      </w:r>
      <w:r>
        <w:rPr>
          <w:rFonts w:ascii="Arial Narrow" w:eastAsia="Calibri" w:hAnsi="Arial Narrow"/>
          <w:lang w:val="bg-BG"/>
        </w:rPr>
        <w:t>, следвано от Холщайн -</w:t>
      </w:r>
      <w:r w:rsidRPr="007850B7">
        <w:rPr>
          <w:rFonts w:ascii="Arial Narrow" w:eastAsia="Calibri" w:hAnsi="Arial Narrow"/>
          <w:lang w:val="bg-BG"/>
        </w:rPr>
        <w:t xml:space="preserve"> 22,6% и </w:t>
      </w:r>
      <w:r w:rsidRPr="00C2466C">
        <w:rPr>
          <w:rFonts w:ascii="Arial Narrow" w:eastAsia="Calibri" w:hAnsi="Arial Narrow"/>
          <w:lang w:val="bg-BG"/>
        </w:rPr>
        <w:t xml:space="preserve">Българско родопско говедо </w:t>
      </w:r>
      <w:r>
        <w:rPr>
          <w:rFonts w:ascii="Arial Narrow" w:eastAsia="Calibri" w:hAnsi="Arial Narrow"/>
          <w:lang w:val="bg-BG"/>
        </w:rPr>
        <w:t>-</w:t>
      </w:r>
      <w:r w:rsidRPr="007850B7">
        <w:rPr>
          <w:rFonts w:ascii="Arial Narrow" w:eastAsia="Calibri" w:hAnsi="Arial Narrow"/>
          <w:lang w:val="bg-BG"/>
        </w:rPr>
        <w:t xml:space="preserve"> 12,2%. От месодайните породи най-много дози са реализирани от породата Абердин ангус - 68,3% и Лимузин - 27,8%. </w:t>
      </w:r>
    </w:p>
    <w:p w14:paraId="091C7451" w14:textId="77777777" w:rsidR="00E737B1" w:rsidRPr="002C4D01" w:rsidRDefault="00E737B1" w:rsidP="00E737B1">
      <w:pPr>
        <w:autoSpaceDE w:val="0"/>
        <w:autoSpaceDN w:val="0"/>
        <w:adjustRightInd w:val="0"/>
        <w:ind w:firstLine="709"/>
        <w:jc w:val="both"/>
        <w:rPr>
          <w:rFonts w:ascii="Arial Narrow" w:eastAsia="Calibri" w:hAnsi="Arial Narrow"/>
          <w:lang w:val="bg-BG"/>
        </w:rPr>
      </w:pPr>
      <w:r w:rsidRPr="002C4D01">
        <w:rPr>
          <w:rFonts w:ascii="Arial Narrow" w:eastAsia="Calibri" w:hAnsi="Arial Narrow"/>
          <w:lang w:val="bg-BG"/>
        </w:rPr>
        <w:t>През последните години силно нараства интересът за запазване на генетичното разнообразие на животните, използвани за селскостопански цели. С одобрението на Глобалния план на ФАО за действие за опазване на генетичните ресурси в животновъдството, ИАСРЖ е предприела конкретни стъпки за ефективно управление и дългосрочно опазване на генетичното разнообразие в животновъдството. С тази цел е разработена десетгодишна Консервационна програма за ex situ управление на генетичните ресурси в България. В нея е предвидено в Държавните станции за изкуствено осеменяване да постъпват разплодници от комерсиални и автохтонни породи говеда, биволи, овце, кози и коне, от които се консервира генетичен материал. С изпълнение на криоконсервационната програма, Националният генетичен резерв и Националната генетична банка ще се обогатят с потенциално полезни гени от 11 породи говеда, 1 порода биволи, 26 породи овце, 4 породи кози и 13 породи коне.</w:t>
      </w:r>
    </w:p>
    <w:p w14:paraId="23A6EBF5" w14:textId="77777777" w:rsidR="00E737B1" w:rsidRPr="004B688C" w:rsidRDefault="00E737B1" w:rsidP="00E737B1">
      <w:pPr>
        <w:autoSpaceDE w:val="0"/>
        <w:autoSpaceDN w:val="0"/>
        <w:adjustRightInd w:val="0"/>
        <w:ind w:firstLine="709"/>
        <w:jc w:val="both"/>
        <w:rPr>
          <w:rFonts w:ascii="Arial Narrow" w:eastAsia="Calibri" w:hAnsi="Arial Narrow"/>
          <w:lang w:val="bg-BG"/>
        </w:rPr>
      </w:pPr>
      <w:r w:rsidRPr="004B688C">
        <w:rPr>
          <w:rFonts w:ascii="Arial Narrow" w:eastAsia="Calibri" w:hAnsi="Arial Narrow"/>
          <w:lang w:val="bg-BG"/>
        </w:rPr>
        <w:tab/>
      </w:r>
      <w:r w:rsidRPr="002C4D01">
        <w:rPr>
          <w:rFonts w:ascii="Arial Narrow" w:eastAsia="Calibri" w:hAnsi="Arial Narrow"/>
          <w:lang w:val="bg-BG"/>
        </w:rPr>
        <w:t xml:space="preserve">В изпълнение на програмата, през последните години ИАСРЖ е предприела дейности за възстановяване на породата Българско червено говедо. Към края на 2024 г. </w:t>
      </w:r>
      <w:r w:rsidRPr="004B688C">
        <w:rPr>
          <w:rFonts w:ascii="Arial Narrow" w:eastAsia="Calibri" w:hAnsi="Arial Narrow"/>
          <w:lang w:val="bg-BG"/>
        </w:rPr>
        <w:t xml:space="preserve">се отглеждат 12 животни от породата Българско червено говедо. Основната цел на развъдната работа е запазване и увеличаване на наличния генофонд и затвърждаване на биологичните качества, осигуряващи типичност, продуктивност и преживяемост на породата. Поради стесненото генетично разнообразие и невъзможност за по-нататъшно развъждане на породата в чисто състояние се пристъпи към облагородително кръстосване с бици от породите Англер и Датско червено говедо, тъй като те са участвали в породообразувателния процес. </w:t>
      </w:r>
    </w:p>
    <w:p w14:paraId="55B6CB64" w14:textId="77777777" w:rsidR="00E737B1" w:rsidRPr="00AB564F" w:rsidRDefault="00E737B1" w:rsidP="00E737B1">
      <w:pPr>
        <w:autoSpaceDE w:val="0"/>
        <w:autoSpaceDN w:val="0"/>
        <w:adjustRightInd w:val="0"/>
        <w:ind w:firstLine="709"/>
        <w:jc w:val="both"/>
        <w:rPr>
          <w:rFonts w:ascii="Arial Narrow" w:eastAsia="Calibri" w:hAnsi="Arial Narrow"/>
          <w:lang w:val="bg-BG"/>
        </w:rPr>
      </w:pPr>
      <w:r w:rsidRPr="00AB564F">
        <w:rPr>
          <w:rFonts w:ascii="Arial Narrow" w:eastAsia="Calibri" w:hAnsi="Arial Narrow"/>
          <w:lang w:val="bg-BG"/>
        </w:rPr>
        <w:t>В изпълнение на програмите за спасяване от изчезване и възстановяване на породите Дунавски, Плевенски к</w:t>
      </w:r>
      <w:r>
        <w:rPr>
          <w:rFonts w:ascii="Arial Narrow" w:eastAsia="Calibri" w:hAnsi="Arial Narrow"/>
          <w:lang w:val="bg-BG"/>
        </w:rPr>
        <w:t>он и Български тежковозен кон,</w:t>
      </w:r>
      <w:r w:rsidRPr="00AB564F">
        <w:rPr>
          <w:rFonts w:ascii="Arial Narrow" w:eastAsia="Calibri" w:hAnsi="Arial Narrow"/>
          <w:lang w:val="bg-BG"/>
        </w:rPr>
        <w:t xml:space="preserve"> през 2024 г. </w:t>
      </w:r>
      <w:r>
        <w:rPr>
          <w:rFonts w:ascii="Arial Narrow" w:eastAsia="Calibri" w:hAnsi="Arial Narrow"/>
          <w:lang w:val="bg-BG"/>
        </w:rPr>
        <w:t xml:space="preserve">продължават да </w:t>
      </w:r>
      <w:r w:rsidRPr="00AB564F">
        <w:rPr>
          <w:rFonts w:ascii="Arial Narrow" w:eastAsia="Calibri" w:hAnsi="Arial Narrow"/>
          <w:lang w:val="bg-BG"/>
        </w:rPr>
        <w:t xml:space="preserve">действат сключените договори на ИАСРЖ с Асоциация за възстановяване и развитие на </w:t>
      </w:r>
      <w:r w:rsidRPr="00DE0577">
        <w:rPr>
          <w:rFonts w:ascii="Arial Narrow" w:eastAsia="Calibri" w:hAnsi="Arial Narrow"/>
          <w:lang w:val="bg-BG"/>
        </w:rPr>
        <w:t xml:space="preserve">породите Плевенски кон и Гидран и Асоциация на коневъдите в България. Целта е получаване и стокиране на сперма от жребци от трите породи, извършване на ембриотрансфер, както и естествено покриване на кобили от породата Дунавски и Плевенски кон. </w:t>
      </w:r>
      <w:r>
        <w:rPr>
          <w:rFonts w:ascii="Arial Narrow" w:eastAsia="Calibri" w:hAnsi="Arial Narrow"/>
          <w:lang w:val="bg-BG"/>
        </w:rPr>
        <w:t>През</w:t>
      </w:r>
      <w:r w:rsidRPr="00AB564F">
        <w:rPr>
          <w:rFonts w:ascii="Arial Narrow" w:eastAsia="Calibri" w:hAnsi="Arial Narrow"/>
          <w:lang w:val="bg-BG"/>
        </w:rPr>
        <w:t xml:space="preserve"> годината в Националната генетична банка и Националния генетичен резерв са стокирани 11</w:t>
      </w:r>
      <w:r>
        <w:rPr>
          <w:rFonts w:ascii="Arial Narrow" w:eastAsia="Calibri" w:hAnsi="Arial Narrow"/>
          <w:lang w:val="bg-BG"/>
        </w:rPr>
        <w:t> </w:t>
      </w:r>
      <w:r w:rsidRPr="00AB564F">
        <w:rPr>
          <w:rFonts w:ascii="Arial Narrow" w:eastAsia="Calibri" w:hAnsi="Arial Narrow"/>
          <w:lang w:val="bg-BG"/>
        </w:rPr>
        <w:t>801</w:t>
      </w:r>
      <w:r>
        <w:rPr>
          <w:rFonts w:ascii="Arial Narrow" w:eastAsia="Calibri" w:hAnsi="Arial Narrow"/>
          <w:lang w:val="bg-BG"/>
        </w:rPr>
        <w:t xml:space="preserve"> </w:t>
      </w:r>
      <w:r w:rsidRPr="00AB564F">
        <w:rPr>
          <w:rFonts w:ascii="Arial Narrow" w:eastAsia="Calibri" w:hAnsi="Arial Narrow"/>
          <w:lang w:val="bg-BG"/>
        </w:rPr>
        <w:t xml:space="preserve">дози семенна течност от вида коне. </w:t>
      </w:r>
    </w:p>
    <w:p w14:paraId="60A5920E" w14:textId="77777777" w:rsidR="00E737B1" w:rsidRPr="00515E52" w:rsidRDefault="00E737B1" w:rsidP="00E737B1">
      <w:pPr>
        <w:autoSpaceDE w:val="0"/>
        <w:autoSpaceDN w:val="0"/>
        <w:adjustRightInd w:val="0"/>
        <w:ind w:firstLine="709"/>
        <w:jc w:val="both"/>
        <w:rPr>
          <w:rFonts w:ascii="Arial Narrow" w:eastAsia="Calibri" w:hAnsi="Arial Narrow"/>
          <w:lang w:val="bg-BG"/>
        </w:rPr>
      </w:pPr>
      <w:r w:rsidRPr="00515E52">
        <w:rPr>
          <w:rFonts w:ascii="Arial Narrow" w:eastAsia="Calibri" w:hAnsi="Arial Narrow"/>
          <w:lang w:val="bg-BG"/>
        </w:rPr>
        <w:t xml:space="preserve">За популяризиране на националните генетични ресурси и развъдната дейност, ИАСРЖ  организира и провежда изложения, финансирани от ДФ „Земеделие” по схемите на държавни помощи. В рамките на 2024 г. е проведено само едно мероприятия в гр. Сливен: Ден на Българския производител. </w:t>
      </w:r>
    </w:p>
    <w:p w14:paraId="4AE1199F" w14:textId="77777777" w:rsidR="00E737B1" w:rsidRPr="003D08BF" w:rsidRDefault="00E737B1" w:rsidP="0079152A">
      <w:pPr>
        <w:autoSpaceDE w:val="0"/>
        <w:autoSpaceDN w:val="0"/>
        <w:adjustRightInd w:val="0"/>
        <w:spacing w:after="120"/>
        <w:ind w:firstLine="709"/>
        <w:jc w:val="both"/>
        <w:rPr>
          <w:rFonts w:ascii="Arial Narrow" w:eastAsia="Calibri" w:hAnsi="Arial Narrow"/>
          <w:lang w:val="bg-BG"/>
        </w:rPr>
      </w:pPr>
      <w:r w:rsidRPr="003D08BF">
        <w:rPr>
          <w:rFonts w:ascii="Arial Narrow" w:eastAsia="Calibri" w:hAnsi="Arial Narrow"/>
          <w:lang w:val="bg-BG"/>
        </w:rPr>
        <w:t>През 2024 г. ИАСРЖ продължава да представлява България в международни органи и организации, свързани с управлението и съхраняването на европейските и световни генетични ресурси в животновъдството и да участва в работни групи, срещи и различни проекти.</w:t>
      </w:r>
    </w:p>
    <w:p w14:paraId="38A0D03D" w14:textId="77777777" w:rsidR="009F226D" w:rsidRPr="0079152A" w:rsidRDefault="009F226D" w:rsidP="00171D56">
      <w:pPr>
        <w:pStyle w:val="ListParagraph"/>
        <w:widowControl w:val="0"/>
        <w:numPr>
          <w:ilvl w:val="1"/>
          <w:numId w:val="16"/>
        </w:numPr>
        <w:spacing w:after="120"/>
        <w:ind w:left="788" w:hanging="431"/>
        <w:contextualSpacing w:val="0"/>
        <w:outlineLvl w:val="0"/>
        <w:rPr>
          <w:rFonts w:ascii="Arial Narrow" w:eastAsia="Calibri" w:hAnsi="Arial Narrow"/>
          <w:b/>
          <w:lang w:val="bg-BG"/>
        </w:rPr>
      </w:pPr>
      <w:bookmarkStart w:id="190" w:name="_Toc56176134"/>
      <w:bookmarkStart w:id="191" w:name="_Toc210747637"/>
      <w:r w:rsidRPr="0079152A">
        <w:rPr>
          <w:rFonts w:ascii="Arial Narrow" w:eastAsia="Calibri" w:hAnsi="Arial Narrow"/>
          <w:b/>
          <w:lang w:val="bg-BG"/>
        </w:rPr>
        <w:t>Контрол и координация на развъдната дейност</w:t>
      </w:r>
      <w:bookmarkEnd w:id="190"/>
      <w:bookmarkEnd w:id="191"/>
      <w:r w:rsidRPr="0079152A">
        <w:rPr>
          <w:rFonts w:ascii="Arial Narrow" w:eastAsia="Calibri" w:hAnsi="Arial Narrow"/>
          <w:b/>
          <w:lang w:val="bg-BG"/>
        </w:rPr>
        <w:t xml:space="preserve"> </w:t>
      </w:r>
    </w:p>
    <w:p w14:paraId="0C618815" w14:textId="77777777" w:rsidR="0079152A" w:rsidRPr="00792A28" w:rsidRDefault="0079152A" w:rsidP="0079152A">
      <w:pPr>
        <w:autoSpaceDE w:val="0"/>
        <w:autoSpaceDN w:val="0"/>
        <w:adjustRightInd w:val="0"/>
        <w:ind w:firstLine="709"/>
        <w:jc w:val="both"/>
        <w:rPr>
          <w:rFonts w:ascii="Arial Narrow" w:eastAsia="Calibri" w:hAnsi="Arial Narrow"/>
          <w:lang w:val="bg-BG"/>
        </w:rPr>
      </w:pPr>
      <w:r w:rsidRPr="00792A28">
        <w:rPr>
          <w:rFonts w:ascii="Arial Narrow" w:eastAsia="Calibri" w:hAnsi="Arial Narrow"/>
          <w:lang w:val="bg-BG"/>
        </w:rPr>
        <w:lastRenderedPageBreak/>
        <w:t>В рамките на 2024 г. ИАСРЖ е осъществила контрол чрез провеждане на проверка на дейността на развъдните организации, получили подпомагане по схемата на държавна помощ „Помощ за водене на родословна книга и за определяне на продуктивността и генетичните качества на животните”, за животните, кандидатствали за 2023 г. В съответствие с изискванията на схемата, извършените проверки обхващат развъдната дейност с животни, както следва: 1 669 ферми с 124 010 говеда, 250 ферми с 13 275 биволи, 1 994 ферми с 368 603 овце, 346 ферми 34 015  кози, 35 ферми с 44 683 свине, 7 ферми с 936 973 птици, 314 собственика с  8 679 броя коне, 17 996 пчелни семейства, 11 собственика с 352 кучета и 2 ферми с 572 зайци.</w:t>
      </w:r>
    </w:p>
    <w:p w14:paraId="14AE51E4" w14:textId="77777777" w:rsidR="0079152A" w:rsidRPr="00792A28" w:rsidRDefault="0079152A" w:rsidP="0079152A">
      <w:pPr>
        <w:autoSpaceDE w:val="0"/>
        <w:autoSpaceDN w:val="0"/>
        <w:adjustRightInd w:val="0"/>
        <w:ind w:firstLine="709"/>
        <w:jc w:val="both"/>
        <w:rPr>
          <w:rFonts w:ascii="Arial Narrow" w:eastAsia="Calibri" w:hAnsi="Arial Narrow"/>
          <w:lang w:val="bg-BG"/>
        </w:rPr>
      </w:pPr>
      <w:r w:rsidRPr="00792A28">
        <w:rPr>
          <w:rFonts w:ascii="Arial Narrow" w:eastAsia="Calibri" w:hAnsi="Arial Narrow"/>
          <w:lang w:val="bg-BG"/>
        </w:rPr>
        <w:t>ИАСРЖ е осъществила контрол върху дейностите по организирането и провеждането на изложения от Развъдните организа</w:t>
      </w:r>
      <w:r>
        <w:rPr>
          <w:rFonts w:ascii="Arial Narrow" w:eastAsia="Calibri" w:hAnsi="Arial Narrow"/>
          <w:lang w:val="bg-BG"/>
        </w:rPr>
        <w:t>ции по Схеми на държавна помощ -</w:t>
      </w:r>
      <w:r w:rsidRPr="00792A28">
        <w:rPr>
          <w:rFonts w:ascii="Arial Narrow" w:eastAsia="Calibri" w:hAnsi="Arial Narrow"/>
          <w:lang w:val="bg-BG"/>
        </w:rPr>
        <w:t xml:space="preserve"> „Помощ за участие в изложения“ през 2024 г. на ДФ “Земеделие“.</w:t>
      </w:r>
    </w:p>
    <w:p w14:paraId="7E885D82" w14:textId="77777777" w:rsidR="0079152A" w:rsidRPr="005B6382" w:rsidRDefault="0079152A" w:rsidP="0079152A">
      <w:pPr>
        <w:autoSpaceDE w:val="0"/>
        <w:autoSpaceDN w:val="0"/>
        <w:adjustRightInd w:val="0"/>
        <w:ind w:firstLine="709"/>
        <w:jc w:val="both"/>
        <w:rPr>
          <w:rFonts w:ascii="Arial Narrow" w:eastAsia="Calibri" w:hAnsi="Arial Narrow"/>
          <w:lang w:val="bg-BG"/>
        </w:rPr>
      </w:pPr>
      <w:r w:rsidRPr="005B6382">
        <w:rPr>
          <w:rFonts w:ascii="Arial Narrow" w:eastAsia="Calibri" w:hAnsi="Arial Narrow"/>
          <w:lang w:val="bg-BG"/>
        </w:rPr>
        <w:t>През годината Агенцията е извършила проверки на седемнадесет киноложки изложби, пет изложения на коне с представени животни от „Асоциация на коневъдите в България“, Асоциация „Български спортен кон“ и Асоциация „Източнобългарски кон“,</w:t>
      </w:r>
      <w:r w:rsidRPr="00DA224E">
        <w:rPr>
          <w:rFonts w:ascii="Arial Narrow" w:eastAsia="Calibri" w:hAnsi="Arial Narrow"/>
          <w:lang w:val="bg-BG"/>
        </w:rPr>
        <w:t xml:space="preserve"> </w:t>
      </w:r>
      <w:r w:rsidRPr="005B6382">
        <w:rPr>
          <w:rFonts w:ascii="Arial Narrow" w:eastAsia="Calibri" w:hAnsi="Arial Narrow"/>
          <w:lang w:val="bg-BG"/>
        </w:rPr>
        <w:t xml:space="preserve">както и на пет животновъдни изложения, организирани от </w:t>
      </w:r>
      <w:r w:rsidRPr="0002137E">
        <w:rPr>
          <w:rFonts w:ascii="Arial Narrow" w:eastAsia="Calibri" w:hAnsi="Arial Narrow"/>
          <w:lang w:val="bg-BG"/>
        </w:rPr>
        <w:t>„Каракачанско куче</w:t>
      </w:r>
      <w:r w:rsidRPr="00B22EFA">
        <w:rPr>
          <w:rFonts w:ascii="Arial Narrow" w:eastAsia="Calibri" w:hAnsi="Arial Narrow"/>
          <w:lang w:val="bg-BG"/>
        </w:rPr>
        <w:t xml:space="preserve">“, „Развъдна организация </w:t>
      </w:r>
      <w:r w:rsidRPr="005B6382">
        <w:rPr>
          <w:rFonts w:ascii="Arial Narrow" w:eastAsia="Calibri" w:hAnsi="Arial Narrow"/>
          <w:lang w:val="bg-BG"/>
        </w:rPr>
        <w:t>за млечни овце</w:t>
      </w:r>
      <w:r w:rsidRPr="00DA224E">
        <w:rPr>
          <w:rFonts w:ascii="Arial Narrow" w:eastAsia="Calibri" w:hAnsi="Arial Narrow"/>
          <w:lang w:val="bg-BG"/>
        </w:rPr>
        <w:t>“,  „</w:t>
      </w:r>
      <w:r w:rsidRPr="005B6382">
        <w:rPr>
          <w:rFonts w:ascii="Arial Narrow" w:eastAsia="Calibri" w:hAnsi="Arial Narrow"/>
          <w:lang w:val="bg-BG"/>
        </w:rPr>
        <w:t>Асоциация за развъждане на млечни породи кози“</w:t>
      </w:r>
      <w:r w:rsidRPr="00DA224E">
        <w:rPr>
          <w:rFonts w:ascii="Arial Narrow" w:eastAsia="Calibri" w:hAnsi="Arial Narrow"/>
          <w:lang w:val="bg-BG"/>
        </w:rPr>
        <w:t xml:space="preserve"> и „</w:t>
      </w:r>
      <w:r w:rsidRPr="005B6382">
        <w:rPr>
          <w:rFonts w:ascii="Arial Narrow" w:eastAsia="Calibri" w:hAnsi="Arial Narrow"/>
          <w:lang w:val="bg-BG"/>
        </w:rPr>
        <w:t xml:space="preserve">Асоциация за развъждане на породата Ил дьо Франс в България“. </w:t>
      </w:r>
    </w:p>
    <w:p w14:paraId="50784195" w14:textId="77777777" w:rsidR="0079152A" w:rsidRDefault="0079152A" w:rsidP="0079152A">
      <w:pPr>
        <w:autoSpaceDE w:val="0"/>
        <w:autoSpaceDN w:val="0"/>
        <w:adjustRightInd w:val="0"/>
        <w:ind w:firstLine="709"/>
        <w:jc w:val="both"/>
        <w:rPr>
          <w:rFonts w:ascii="Arial Narrow" w:eastAsia="Calibri" w:hAnsi="Arial Narrow"/>
          <w:lang w:val="bg-BG"/>
        </w:rPr>
      </w:pPr>
      <w:r w:rsidRPr="00DA224E">
        <w:rPr>
          <w:rFonts w:ascii="Arial Narrow" w:eastAsia="Calibri" w:hAnsi="Arial Narrow"/>
          <w:lang w:val="bg-BG"/>
        </w:rPr>
        <w:t>Агенцията осъществява контрол на държавните племенни ферми, като през годината са проведени по два прегледа (пролетен и есенен) на коневъдните стада в ДП „Кабиюк“ и ИЖН Костинброд</w:t>
      </w:r>
      <w:r>
        <w:rPr>
          <w:rFonts w:ascii="Arial Narrow" w:eastAsia="Calibri" w:hAnsi="Arial Narrow"/>
          <w:lang w:val="bg-BG"/>
        </w:rPr>
        <w:t>.</w:t>
      </w:r>
      <w:r w:rsidRPr="00DA224E">
        <w:rPr>
          <w:rFonts w:ascii="Arial Narrow" w:eastAsia="Calibri" w:hAnsi="Arial Narrow"/>
          <w:lang w:val="bg-BG"/>
        </w:rPr>
        <w:t xml:space="preserve"> </w:t>
      </w:r>
    </w:p>
    <w:p w14:paraId="3078C6A0" w14:textId="77777777" w:rsidR="0079152A" w:rsidRPr="006E0103" w:rsidRDefault="0079152A" w:rsidP="0079152A">
      <w:pPr>
        <w:autoSpaceDE w:val="0"/>
        <w:autoSpaceDN w:val="0"/>
        <w:adjustRightInd w:val="0"/>
        <w:ind w:firstLine="709"/>
        <w:jc w:val="both"/>
        <w:rPr>
          <w:rFonts w:ascii="Arial Narrow" w:eastAsia="Calibri" w:hAnsi="Arial Narrow"/>
          <w:lang w:val="bg-BG"/>
        </w:rPr>
      </w:pPr>
      <w:r w:rsidRPr="006E0103">
        <w:rPr>
          <w:rFonts w:ascii="Arial Narrow" w:eastAsia="Calibri" w:hAnsi="Arial Narrow"/>
          <w:lang w:val="bg-BG"/>
        </w:rPr>
        <w:t xml:space="preserve">  Осъществени </w:t>
      </w:r>
      <w:r>
        <w:rPr>
          <w:rFonts w:ascii="Arial Narrow" w:eastAsia="Calibri" w:hAnsi="Arial Narrow"/>
          <w:lang w:val="bg-BG"/>
        </w:rPr>
        <w:t>са</w:t>
      </w:r>
      <w:r w:rsidRPr="006E0103">
        <w:rPr>
          <w:rFonts w:ascii="Arial Narrow" w:eastAsia="Calibri" w:hAnsi="Arial Narrow"/>
          <w:lang w:val="bg-BG"/>
        </w:rPr>
        <w:t xml:space="preserve"> проверки на организираните депа на мъжките разплодници за 2024 г.</w:t>
      </w:r>
      <w:r>
        <w:rPr>
          <w:rFonts w:ascii="Arial Narrow" w:eastAsia="Calibri" w:hAnsi="Arial Narrow"/>
          <w:lang w:val="bg-BG"/>
        </w:rPr>
        <w:t>, като са п</w:t>
      </w:r>
      <w:r w:rsidRPr="006E0103">
        <w:rPr>
          <w:rFonts w:ascii="Arial Narrow" w:eastAsia="Calibri" w:hAnsi="Arial Narrow"/>
          <w:lang w:val="bg-BG"/>
        </w:rPr>
        <w:t xml:space="preserve">роверени 15 депа на </w:t>
      </w:r>
      <w:r>
        <w:rPr>
          <w:rFonts w:ascii="Arial Narrow" w:eastAsia="Calibri" w:hAnsi="Arial Narrow"/>
          <w:lang w:val="bg-BG"/>
        </w:rPr>
        <w:t xml:space="preserve">развъдни организации в областта на овцевъдството. Извършени са и проверки на направените предписания от плановите и други проверки на </w:t>
      </w:r>
      <w:r w:rsidRPr="006E0103">
        <w:rPr>
          <w:rFonts w:ascii="Arial Narrow" w:eastAsia="Calibri" w:hAnsi="Arial Narrow"/>
          <w:lang w:val="bg-BG"/>
        </w:rPr>
        <w:t xml:space="preserve"> „Асоциация за развъждане на тънкорунни овце в България“, „Развъдна организация за млечни овце“, „Асоциация за развъждане на Черношарената порода в България“, както и проверка в резултат от самосезиране на „Национала асоциация за развъждане на млечни овце в България“. </w:t>
      </w:r>
    </w:p>
    <w:p w14:paraId="2468A545" w14:textId="77777777" w:rsidR="0079152A" w:rsidRPr="00F445CE" w:rsidRDefault="0079152A" w:rsidP="0079152A">
      <w:pPr>
        <w:autoSpaceDE w:val="0"/>
        <w:autoSpaceDN w:val="0"/>
        <w:adjustRightInd w:val="0"/>
        <w:ind w:firstLine="709"/>
        <w:jc w:val="both"/>
        <w:rPr>
          <w:rFonts w:ascii="Arial Narrow" w:eastAsia="Calibri" w:hAnsi="Arial Narrow"/>
          <w:color w:val="FF0000"/>
          <w:lang w:val="bg-BG"/>
        </w:rPr>
      </w:pPr>
      <w:r w:rsidRPr="00F445CE">
        <w:rPr>
          <w:rFonts w:ascii="Arial Narrow" w:eastAsia="Calibri" w:hAnsi="Arial Narrow"/>
          <w:lang w:val="bg-BG"/>
        </w:rPr>
        <w:t xml:space="preserve">През </w:t>
      </w:r>
      <w:r>
        <w:rPr>
          <w:rFonts w:ascii="Arial Narrow" w:eastAsia="Calibri" w:hAnsi="Arial Narrow"/>
          <w:lang w:val="bg-BG"/>
        </w:rPr>
        <w:t>2024</w:t>
      </w:r>
      <w:r w:rsidRPr="00F445CE">
        <w:rPr>
          <w:rFonts w:ascii="Arial Narrow" w:eastAsia="Calibri" w:hAnsi="Arial Narrow"/>
          <w:lang w:val="bg-BG"/>
        </w:rPr>
        <w:t xml:space="preserve"> г. ИАСРЖ е </w:t>
      </w:r>
      <w:r>
        <w:rPr>
          <w:rFonts w:ascii="Arial Narrow" w:eastAsia="Calibri" w:hAnsi="Arial Narrow"/>
          <w:lang w:val="bg-BG"/>
        </w:rPr>
        <w:t>осъществила</w:t>
      </w:r>
      <w:r w:rsidRPr="00F445CE">
        <w:rPr>
          <w:rFonts w:ascii="Arial Narrow" w:eastAsia="Calibri" w:hAnsi="Arial Narrow"/>
          <w:lang w:val="bg-BG"/>
        </w:rPr>
        <w:t xml:space="preserve"> планови проверки на 23 развъдни организации (11 в говедовъдство, 7 в овцевъдство, 2 в биволовъдство и по 1 в </w:t>
      </w:r>
      <w:r>
        <w:rPr>
          <w:rFonts w:ascii="Arial Narrow" w:eastAsia="Calibri" w:hAnsi="Arial Narrow"/>
          <w:lang w:val="bg-BG"/>
        </w:rPr>
        <w:t>зайцевъдство,</w:t>
      </w:r>
      <w:r w:rsidRPr="00F445CE">
        <w:rPr>
          <w:rFonts w:ascii="Arial Narrow" w:eastAsia="Calibri" w:hAnsi="Arial Narrow"/>
          <w:lang w:val="bg-BG"/>
        </w:rPr>
        <w:t xml:space="preserve"> коневъдство</w:t>
      </w:r>
      <w:r>
        <w:rPr>
          <w:rFonts w:ascii="Arial Narrow" w:eastAsia="Calibri" w:hAnsi="Arial Narrow"/>
          <w:lang w:val="bg-BG"/>
        </w:rPr>
        <w:t xml:space="preserve"> и  кинология).</w:t>
      </w:r>
      <w:r w:rsidRPr="00F445CE">
        <w:rPr>
          <w:rFonts w:ascii="Arial Narrow" w:eastAsia="Calibri" w:hAnsi="Arial Narrow"/>
          <w:color w:val="FF0000"/>
          <w:lang w:val="bg-BG"/>
        </w:rPr>
        <w:t xml:space="preserve"> </w:t>
      </w:r>
    </w:p>
    <w:p w14:paraId="5D9903EF" w14:textId="77777777" w:rsidR="0079152A" w:rsidRPr="002F7A58" w:rsidRDefault="0079152A" w:rsidP="0079152A">
      <w:pPr>
        <w:autoSpaceDE w:val="0"/>
        <w:autoSpaceDN w:val="0"/>
        <w:adjustRightInd w:val="0"/>
        <w:ind w:firstLine="709"/>
        <w:jc w:val="both"/>
        <w:rPr>
          <w:rFonts w:ascii="Arial Narrow" w:eastAsia="Calibri" w:hAnsi="Arial Narrow"/>
          <w:lang w:val="bg-BG"/>
        </w:rPr>
      </w:pPr>
      <w:r w:rsidRPr="002F7A58">
        <w:rPr>
          <w:rFonts w:ascii="Arial Narrow" w:eastAsia="Calibri" w:hAnsi="Arial Narrow"/>
          <w:lang w:val="bg-BG"/>
        </w:rPr>
        <w:t xml:space="preserve">Извършени са </w:t>
      </w:r>
      <w:r>
        <w:rPr>
          <w:rFonts w:ascii="Arial Narrow" w:eastAsia="Calibri" w:hAnsi="Arial Narrow"/>
          <w:lang w:val="bg-BG"/>
        </w:rPr>
        <w:t xml:space="preserve">5 </w:t>
      </w:r>
      <w:r w:rsidRPr="002F7A58">
        <w:rPr>
          <w:rFonts w:ascii="Arial Narrow" w:eastAsia="Calibri" w:hAnsi="Arial Narrow"/>
          <w:lang w:val="bg-BG"/>
        </w:rPr>
        <w:t>извън планови проверки по постъпили писмени жалби и сигнали за нарушения, подадени от държавни органи, физически и юридически лица</w:t>
      </w:r>
      <w:r>
        <w:rPr>
          <w:rFonts w:ascii="Arial Narrow" w:eastAsia="Calibri" w:hAnsi="Arial Narrow"/>
          <w:lang w:val="bg-BG"/>
        </w:rPr>
        <w:t>.</w:t>
      </w:r>
    </w:p>
    <w:p w14:paraId="5238C6AF" w14:textId="77777777" w:rsidR="0079152A" w:rsidRPr="00260560" w:rsidRDefault="0079152A" w:rsidP="0079152A">
      <w:pPr>
        <w:autoSpaceDE w:val="0"/>
        <w:autoSpaceDN w:val="0"/>
        <w:adjustRightInd w:val="0"/>
        <w:ind w:firstLine="709"/>
        <w:jc w:val="both"/>
        <w:rPr>
          <w:rFonts w:ascii="Arial Narrow" w:eastAsia="Calibri" w:hAnsi="Arial Narrow"/>
          <w:lang w:val="bg-BG"/>
        </w:rPr>
      </w:pPr>
      <w:r w:rsidRPr="00260560">
        <w:rPr>
          <w:rFonts w:ascii="Arial Narrow" w:eastAsia="Calibri" w:hAnsi="Arial Narrow"/>
          <w:lang w:val="bg-BG"/>
        </w:rPr>
        <w:t>Осъществени са също така проверки на „Асоциация за опазване и развъждане на местна дългокосместа коза“, „Асоциация за автохтонни породи кози в България“, „Развъдна асоциация на аборигенни породи овце от  Западна България“</w:t>
      </w:r>
      <w:r>
        <w:rPr>
          <w:rFonts w:ascii="Arial Narrow" w:eastAsia="Calibri" w:hAnsi="Arial Narrow"/>
          <w:lang w:val="bg-BG"/>
        </w:rPr>
        <w:t xml:space="preserve"> и</w:t>
      </w:r>
      <w:r w:rsidRPr="00260560">
        <w:rPr>
          <w:rFonts w:ascii="Arial Narrow" w:eastAsia="Calibri" w:hAnsi="Arial Narrow"/>
          <w:lang w:val="bg-BG"/>
        </w:rPr>
        <w:t xml:space="preserve"> „Асоциация Български спортен кон“</w:t>
      </w:r>
      <w:r>
        <w:rPr>
          <w:rFonts w:ascii="Arial Narrow" w:eastAsia="Calibri" w:hAnsi="Arial Narrow"/>
          <w:lang w:val="bg-BG"/>
        </w:rPr>
        <w:t>.</w:t>
      </w:r>
    </w:p>
    <w:p w14:paraId="672AFFC3" w14:textId="77777777" w:rsidR="0079152A" w:rsidRPr="001A72A5" w:rsidRDefault="0079152A" w:rsidP="0079152A">
      <w:pPr>
        <w:autoSpaceDE w:val="0"/>
        <w:autoSpaceDN w:val="0"/>
        <w:adjustRightInd w:val="0"/>
        <w:ind w:firstLine="709"/>
        <w:jc w:val="both"/>
        <w:rPr>
          <w:rFonts w:ascii="Arial Narrow" w:eastAsia="Calibri" w:hAnsi="Arial Narrow"/>
          <w:lang w:val="bg-BG"/>
        </w:rPr>
      </w:pPr>
      <w:r w:rsidRPr="001A72A5">
        <w:rPr>
          <w:rFonts w:ascii="Arial Narrow" w:eastAsia="Calibri" w:hAnsi="Arial Narrow"/>
          <w:lang w:val="bg-BG"/>
        </w:rPr>
        <w:t xml:space="preserve">Поради липса на одобрени развъдни организации в страната за определени породи, през 2024 г. ИАСРЖ продължава да извършва селекционна дейност по видове и породи, както следва: говедовъдство </w:t>
      </w:r>
      <w:r>
        <w:rPr>
          <w:rFonts w:ascii="Arial Narrow" w:eastAsia="Calibri" w:hAnsi="Arial Narrow"/>
          <w:lang w:val="bg-BG"/>
        </w:rPr>
        <w:t>-</w:t>
      </w:r>
      <w:r w:rsidRPr="001A72A5">
        <w:rPr>
          <w:rFonts w:ascii="Arial Narrow" w:eastAsia="Calibri" w:hAnsi="Arial Narrow"/>
          <w:lang w:val="bg-BG"/>
        </w:rPr>
        <w:t xml:space="preserve"> с 10 говеда, овцевъдство - с 12 766 овце и козевъдството - с 474 кози. С тази дейност се дава възможност на фермерите, отглеждащи посочените породи, за които няма създадени развъдни организации, да кандидатстват по схемите за обвързано подпомагане за животни под селекционен контрол.</w:t>
      </w:r>
    </w:p>
    <w:p w14:paraId="77A2D406" w14:textId="77777777" w:rsidR="0079152A" w:rsidRPr="00646CD2" w:rsidRDefault="0079152A" w:rsidP="0079152A">
      <w:pPr>
        <w:autoSpaceDE w:val="0"/>
        <w:autoSpaceDN w:val="0"/>
        <w:adjustRightInd w:val="0"/>
        <w:ind w:firstLine="709"/>
        <w:jc w:val="both"/>
        <w:rPr>
          <w:rFonts w:ascii="Arial Narrow" w:eastAsia="Calibri" w:hAnsi="Arial Narrow"/>
          <w:lang w:val="bg-BG"/>
        </w:rPr>
      </w:pPr>
      <w:r w:rsidRPr="00AA2D62">
        <w:rPr>
          <w:rFonts w:ascii="Arial Narrow" w:eastAsia="Calibri" w:hAnsi="Arial Narrow"/>
          <w:lang w:val="bg-BG"/>
        </w:rPr>
        <w:t xml:space="preserve">Във връзка с прилагането на схемите за обвързано с производството подпомагане в сектор „Животновъдство” за животни под селекционен контрол са извършени проверки за определяне на животните под селекционен контрол, както и отразяване на одобрените животни в системата Ветис на БАБХ. В рамките на 2024 г. от ИАСРЖ в системата Ветис са отразени: 112 156 </w:t>
      </w:r>
      <w:r>
        <w:rPr>
          <w:rFonts w:ascii="Arial Narrow" w:eastAsia="Calibri" w:hAnsi="Arial Narrow"/>
          <w:lang w:val="bg-BG"/>
        </w:rPr>
        <w:t>говеда от 17</w:t>
      </w:r>
      <w:r w:rsidRPr="00AA2D62">
        <w:rPr>
          <w:rFonts w:ascii="Arial Narrow" w:eastAsia="Calibri" w:hAnsi="Arial Narrow"/>
          <w:lang w:val="bg-BG"/>
        </w:rPr>
        <w:t xml:space="preserve"> породи; 17 030 биволи от една порода; 362 581 овце от 34 породи и 38 251 кози от 10 породи.</w:t>
      </w:r>
    </w:p>
    <w:p w14:paraId="3CACD182" w14:textId="77777777" w:rsidR="0079152A" w:rsidRPr="00231725" w:rsidRDefault="0079152A" w:rsidP="0079152A">
      <w:pPr>
        <w:autoSpaceDE w:val="0"/>
        <w:autoSpaceDN w:val="0"/>
        <w:adjustRightInd w:val="0"/>
        <w:ind w:firstLine="706"/>
        <w:jc w:val="both"/>
        <w:rPr>
          <w:rFonts w:ascii="Arial Narrow" w:eastAsia="Calibri" w:hAnsi="Arial Narrow"/>
          <w:lang w:val="bg-BG"/>
        </w:rPr>
      </w:pPr>
      <w:r w:rsidRPr="00231725">
        <w:rPr>
          <w:rFonts w:ascii="Arial Narrow" w:eastAsia="Calibri" w:hAnsi="Arial Narrow"/>
          <w:lang w:val="bg-BG"/>
        </w:rPr>
        <w:t xml:space="preserve">Качеството на разплодния материал, произвеждан, постъпващ и разпространяван на територията на страната, се контролира от ИАСРЖ чрез поддържане на национален регистър на мъжките разплодни животни и Регистър на развъдните стада от националния генофонд. </w:t>
      </w:r>
    </w:p>
    <w:p w14:paraId="4CEE2E49" w14:textId="77777777" w:rsidR="0079152A" w:rsidRPr="00CD117A" w:rsidRDefault="0079152A" w:rsidP="0079152A">
      <w:pPr>
        <w:autoSpaceDE w:val="0"/>
        <w:autoSpaceDN w:val="0"/>
        <w:adjustRightInd w:val="0"/>
        <w:ind w:firstLine="709"/>
        <w:jc w:val="both"/>
        <w:rPr>
          <w:rFonts w:ascii="Arial Narrow" w:eastAsia="Calibri" w:hAnsi="Arial Narrow"/>
          <w:lang w:val="bg-BG"/>
        </w:rPr>
      </w:pPr>
      <w:r w:rsidRPr="00CD117A">
        <w:rPr>
          <w:rFonts w:ascii="Arial Narrow" w:eastAsia="Calibri" w:hAnsi="Arial Narrow"/>
          <w:lang w:val="bg-BG"/>
        </w:rPr>
        <w:t>Към 31.12.202</w:t>
      </w:r>
      <w:r>
        <w:rPr>
          <w:rFonts w:ascii="Arial Narrow" w:eastAsia="Calibri" w:hAnsi="Arial Narrow"/>
          <w:lang w:val="bg-BG"/>
        </w:rPr>
        <w:t>4</w:t>
      </w:r>
      <w:r w:rsidRPr="00CD117A">
        <w:rPr>
          <w:rFonts w:ascii="Arial Narrow" w:eastAsia="Calibri" w:hAnsi="Arial Narrow"/>
          <w:lang w:val="bg-BG"/>
        </w:rPr>
        <w:t xml:space="preserve"> г. в Регистъра на мъжките разплодни животни са включени: 2 456 говежди бика, 396 биволски бика, 9 772 коча, 1 355  пръча, 427 жребци, 309 нерези, 93 кучета и 66 зайци. </w:t>
      </w:r>
    </w:p>
    <w:p w14:paraId="687279FD" w14:textId="77777777" w:rsidR="0079152A" w:rsidRDefault="0079152A" w:rsidP="0079152A">
      <w:pPr>
        <w:autoSpaceDE w:val="0"/>
        <w:autoSpaceDN w:val="0"/>
        <w:adjustRightInd w:val="0"/>
        <w:ind w:firstLine="709"/>
        <w:jc w:val="both"/>
        <w:rPr>
          <w:rFonts w:ascii="Arial Narrow" w:eastAsia="Calibri" w:hAnsi="Arial Narrow"/>
          <w:lang w:val="bg-BG"/>
        </w:rPr>
      </w:pPr>
      <w:r w:rsidRPr="00CD117A">
        <w:rPr>
          <w:rFonts w:ascii="Arial Narrow" w:eastAsia="Calibri" w:hAnsi="Arial Narrow"/>
          <w:lang w:val="bg-BG"/>
        </w:rPr>
        <w:t>В</w:t>
      </w:r>
      <w:r w:rsidRPr="0084181B">
        <w:rPr>
          <w:rFonts w:ascii="Arial Narrow" w:eastAsia="Calibri" w:hAnsi="Arial Narrow"/>
          <w:lang w:val="bg-BG"/>
        </w:rPr>
        <w:t xml:space="preserve"> Регистъра на развъдните стада е вписана информация, както следва: говедовъдство </w:t>
      </w:r>
      <w:r>
        <w:rPr>
          <w:rFonts w:ascii="Arial Narrow" w:eastAsia="Calibri" w:hAnsi="Arial Narrow"/>
          <w:lang w:val="bg-BG"/>
        </w:rPr>
        <w:t>-</w:t>
      </w:r>
      <w:r w:rsidRPr="0084181B">
        <w:rPr>
          <w:rFonts w:ascii="Arial Narrow" w:eastAsia="Calibri" w:hAnsi="Arial Narrow"/>
          <w:lang w:val="bg-BG"/>
        </w:rPr>
        <w:t xml:space="preserve"> 1 805 стада с 149 732 животни, биволовъдство - 274 стада с 16 746 животни, овцевъдство - 1 994 стада с 368 603 животни, козевъдство - 346 стада с 34 415 животни, свиневъдство - 39 стада с 49 492 животни, коневъдство - 761 собственици с 13 136 животни и 44 собственици на кучета от породи със стопанско значение с 312 кучета.</w:t>
      </w:r>
    </w:p>
    <w:p w14:paraId="0ABEC617" w14:textId="77777777" w:rsidR="0079152A" w:rsidRPr="0084181B" w:rsidRDefault="0079152A" w:rsidP="0079152A">
      <w:pPr>
        <w:autoSpaceDE w:val="0"/>
        <w:autoSpaceDN w:val="0"/>
        <w:adjustRightInd w:val="0"/>
        <w:spacing w:after="120"/>
        <w:ind w:firstLine="709"/>
        <w:jc w:val="both"/>
        <w:rPr>
          <w:rFonts w:ascii="Arial Narrow" w:eastAsia="Calibri" w:hAnsi="Arial Narrow"/>
          <w:lang w:val="bg-BG"/>
        </w:rPr>
      </w:pPr>
      <w:r w:rsidRPr="0084181B">
        <w:rPr>
          <w:rFonts w:ascii="Arial Narrow" w:eastAsia="Calibri" w:hAnsi="Arial Narrow"/>
          <w:lang w:val="bg-BG"/>
        </w:rPr>
        <w:t xml:space="preserve">През 2024 г. в регистъра на вносителите на биологични продукти е регистриран 1 вносител, с подадени 7 уведомления за междуобщностна търговия и 1 за внос на замразен семенен материал от трети </w:t>
      </w:r>
      <w:r w:rsidRPr="0084181B">
        <w:rPr>
          <w:rFonts w:ascii="Arial Narrow" w:eastAsia="Calibri" w:hAnsi="Arial Narrow"/>
          <w:lang w:val="bg-BG"/>
        </w:rPr>
        <w:lastRenderedPageBreak/>
        <w:t xml:space="preserve">страни. Внесени са дози дълбоко замразена сперма от 99 говежди разплодника от 11 породи говеда: </w:t>
      </w:r>
      <w:r>
        <w:rPr>
          <w:rFonts w:ascii="Arial Narrow" w:eastAsia="Calibri" w:hAnsi="Arial Narrow"/>
          <w:lang w:val="bg-BG"/>
        </w:rPr>
        <w:t>Холщайн, Кафяво говедо</w:t>
      </w:r>
      <w:r w:rsidRPr="0084181B">
        <w:rPr>
          <w:rFonts w:ascii="Arial Narrow" w:eastAsia="Calibri" w:hAnsi="Arial Narrow"/>
          <w:lang w:val="bg-BG"/>
        </w:rPr>
        <w:t>, Симентал, Джерсей, Вагу, Лимузин, Абердин Ангус, Abondance, INRA 95, Херефорд и Нормандско.</w:t>
      </w:r>
    </w:p>
    <w:p w14:paraId="53C21867" w14:textId="77777777" w:rsidR="00D73867" w:rsidRPr="008009F8" w:rsidRDefault="003E1405" w:rsidP="00513FF4">
      <w:pPr>
        <w:pStyle w:val="ListParagraph"/>
        <w:keepNext/>
        <w:numPr>
          <w:ilvl w:val="0"/>
          <w:numId w:val="16"/>
        </w:numPr>
        <w:spacing w:after="120"/>
        <w:ind w:left="357" w:firstLine="0"/>
        <w:contextualSpacing w:val="0"/>
        <w:outlineLvl w:val="0"/>
        <w:rPr>
          <w:rFonts w:ascii="Arial Narrow" w:eastAsiaTheme="minorHAnsi" w:hAnsi="Arial Narrow" w:cstheme="minorBidi"/>
          <w:b/>
          <w:lang w:val="bg-BG"/>
        </w:rPr>
      </w:pPr>
      <w:bookmarkStart w:id="192" w:name="_Toc210747638"/>
      <w:r w:rsidRPr="008009F8">
        <w:rPr>
          <w:rFonts w:ascii="Arial Narrow" w:eastAsiaTheme="minorHAnsi" w:hAnsi="Arial Narrow" w:cstheme="minorBidi"/>
          <w:b/>
          <w:lang w:val="bg-BG"/>
        </w:rPr>
        <w:t>Селскостопанска наука, обучение и съветническа дейност</w:t>
      </w:r>
      <w:bookmarkEnd w:id="192"/>
    </w:p>
    <w:p w14:paraId="582EFC29" w14:textId="77777777" w:rsidR="00D73867" w:rsidRPr="008009F8" w:rsidRDefault="00D73867" w:rsidP="00513FF4">
      <w:pPr>
        <w:pStyle w:val="ListParagraph"/>
        <w:numPr>
          <w:ilvl w:val="1"/>
          <w:numId w:val="16"/>
        </w:numPr>
        <w:spacing w:after="120"/>
        <w:ind w:left="788" w:hanging="431"/>
        <w:jc w:val="both"/>
        <w:outlineLvl w:val="0"/>
        <w:rPr>
          <w:rFonts w:ascii="Arial Narrow" w:hAnsi="Arial Narrow"/>
          <w:b/>
          <w:lang w:val="bg-BG"/>
        </w:rPr>
      </w:pPr>
      <w:bookmarkStart w:id="193" w:name="_Toc210747639"/>
      <w:r w:rsidRPr="008009F8">
        <w:rPr>
          <w:rFonts w:ascii="Arial Narrow" w:hAnsi="Arial Narrow"/>
          <w:b/>
          <w:lang w:val="bg-BG"/>
        </w:rPr>
        <w:t>Научноизследователска дейност и научно обслужване в селското стопанство, осъществявани от Селскостопанска академия</w:t>
      </w:r>
      <w:bookmarkEnd w:id="193"/>
    </w:p>
    <w:p w14:paraId="1D8C9B72" w14:textId="77777777" w:rsidR="00D73867" w:rsidRPr="008009F8" w:rsidRDefault="00D73867" w:rsidP="00513FF4">
      <w:pPr>
        <w:pStyle w:val="ListParagraph"/>
        <w:keepNext/>
        <w:keepLines/>
        <w:numPr>
          <w:ilvl w:val="2"/>
          <w:numId w:val="16"/>
        </w:numPr>
        <w:spacing w:after="120"/>
        <w:ind w:left="986" w:hanging="629"/>
        <w:contextualSpacing w:val="0"/>
        <w:outlineLvl w:val="0"/>
        <w:rPr>
          <w:rFonts w:ascii="Arial Narrow" w:hAnsi="Arial Narrow"/>
          <w:b/>
          <w:lang w:val="bg-BG"/>
        </w:rPr>
      </w:pPr>
      <w:bookmarkStart w:id="194" w:name="_Toc210747640"/>
      <w:r w:rsidRPr="008009F8">
        <w:rPr>
          <w:rFonts w:ascii="Arial Narrow" w:hAnsi="Arial Narrow"/>
          <w:b/>
          <w:lang w:val="bg-BG"/>
        </w:rPr>
        <w:t xml:space="preserve">Основни приоритети на научните изследвания в </w:t>
      </w:r>
      <w:r w:rsidR="00A94713" w:rsidRPr="008009F8">
        <w:rPr>
          <w:rFonts w:ascii="Arial Narrow" w:eastAsia="Calibri" w:hAnsi="Arial Narrow"/>
          <w:b/>
          <w:lang w:val="bg-BG"/>
        </w:rPr>
        <w:t>Селскостопанска академия</w:t>
      </w:r>
      <w:bookmarkEnd w:id="194"/>
      <w:r w:rsidR="00A94713" w:rsidRPr="008009F8">
        <w:rPr>
          <w:rFonts w:ascii="Arial Narrow" w:eastAsia="Calibri" w:hAnsi="Arial Narrow"/>
          <w:b/>
          <w:lang w:val="bg-BG"/>
        </w:rPr>
        <w:t xml:space="preserve"> </w:t>
      </w:r>
    </w:p>
    <w:p w14:paraId="36342321" w14:textId="77777777" w:rsidR="00F147AA" w:rsidRDefault="008009F8" w:rsidP="008009F8">
      <w:pPr>
        <w:spacing w:after="120"/>
        <w:ind w:firstLine="708"/>
        <w:jc w:val="both"/>
        <w:rPr>
          <w:rFonts w:ascii="Arial Narrow" w:hAnsi="Arial Narrow"/>
          <w:lang w:val="bg-BG"/>
        </w:rPr>
      </w:pPr>
      <w:r w:rsidRPr="004173C8">
        <w:rPr>
          <w:rFonts w:ascii="Arial Narrow" w:hAnsi="Arial Narrow"/>
          <w:lang w:val="bg-BG"/>
        </w:rPr>
        <w:t xml:space="preserve">Селскостопанска академия (ССА) осъществява своята дейност в рамките на </w:t>
      </w:r>
      <w:r w:rsidR="00F147AA" w:rsidRPr="004173C8">
        <w:rPr>
          <w:rFonts w:ascii="Arial Narrow" w:hAnsi="Arial Narrow"/>
          <w:lang w:val="bg-BG"/>
        </w:rPr>
        <w:t>Националната стратегия за развитие на научните изследвания (2017-2030 г.)</w:t>
      </w:r>
      <w:r w:rsidR="00F147AA">
        <w:rPr>
          <w:rFonts w:ascii="Arial Narrow" w:hAnsi="Arial Narrow"/>
          <w:lang w:val="bg-BG"/>
        </w:rPr>
        <w:t xml:space="preserve"> и в съответствие с </w:t>
      </w:r>
      <w:r w:rsidRPr="004173C8">
        <w:rPr>
          <w:rFonts w:ascii="Arial Narrow" w:hAnsi="Arial Narrow"/>
          <w:lang w:val="bg-BG"/>
        </w:rPr>
        <w:t>държавната аграрна политика</w:t>
      </w:r>
      <w:r w:rsidR="00F147AA">
        <w:rPr>
          <w:rFonts w:ascii="Arial Narrow" w:hAnsi="Arial Narrow"/>
          <w:lang w:val="bg-BG"/>
        </w:rPr>
        <w:t xml:space="preserve"> и</w:t>
      </w:r>
      <w:r w:rsidRPr="004173C8">
        <w:rPr>
          <w:rFonts w:ascii="Arial Narrow" w:hAnsi="Arial Narrow"/>
          <w:lang w:val="bg-BG"/>
        </w:rPr>
        <w:t xml:space="preserve"> Общата селскостопанска политика на Европейския съюз (2023-2027)</w:t>
      </w:r>
      <w:r w:rsidR="00F147AA">
        <w:rPr>
          <w:rFonts w:ascii="Arial Narrow" w:hAnsi="Arial Narrow"/>
          <w:lang w:val="bg-BG"/>
        </w:rPr>
        <w:t>.</w:t>
      </w:r>
    </w:p>
    <w:p w14:paraId="0934841B" w14:textId="77777777" w:rsidR="00F147AA" w:rsidRPr="004E30CA" w:rsidRDefault="00F147AA" w:rsidP="004E30CA">
      <w:pPr>
        <w:spacing w:after="120"/>
        <w:ind w:firstLine="708"/>
        <w:jc w:val="both"/>
        <w:rPr>
          <w:rFonts w:ascii="Arial Narrow" w:hAnsi="Arial Narrow"/>
          <w:lang w:val="bg-BG"/>
        </w:rPr>
      </w:pPr>
      <w:r w:rsidRPr="004E30CA">
        <w:rPr>
          <w:rFonts w:ascii="Arial Narrow" w:hAnsi="Arial Narrow"/>
          <w:lang w:val="bg-BG"/>
        </w:rPr>
        <w:t xml:space="preserve">Основната стратегическа цел на Селскостопанска академия е осъществяване на научно-приложни изследвания и анализи, и създаване на знания и иновации, допринасящи за повишаване на добавената стойност в аграрния сектор, намаляване на отпечатъка на продоволствената система върху климата и околната среда и поддържане и подобряване на екосистемните услуги. </w:t>
      </w:r>
    </w:p>
    <w:p w14:paraId="3EBCAE7D" w14:textId="77777777" w:rsidR="008009F8" w:rsidRPr="004173C8" w:rsidRDefault="008009F8" w:rsidP="008009F8">
      <w:pPr>
        <w:spacing w:after="120"/>
        <w:ind w:firstLine="708"/>
        <w:jc w:val="both"/>
        <w:rPr>
          <w:rFonts w:ascii="Arial Narrow" w:hAnsi="Arial Narrow"/>
          <w:lang w:val="bg-BG"/>
        </w:rPr>
      </w:pPr>
      <w:r w:rsidRPr="004173C8">
        <w:rPr>
          <w:rFonts w:ascii="Arial Narrow" w:hAnsi="Arial Narrow"/>
          <w:lang w:val="bg-BG"/>
        </w:rPr>
        <w:t xml:space="preserve">Основните дейности на Академията през 2024 г., съгласно заложените приоритети в Националната стратегия за развитие на научните изследвания в Република България (2017-2030), обхващат научните области, свързани с развитие на иновациите, икономиката и обществото, а именно: </w:t>
      </w:r>
    </w:p>
    <w:p w14:paraId="677ED177" w14:textId="77777777" w:rsidR="008009F8" w:rsidRPr="004173C8" w:rsidRDefault="008009F8" w:rsidP="009C6577">
      <w:pPr>
        <w:pStyle w:val="ListParagraph"/>
        <w:numPr>
          <w:ilvl w:val="0"/>
          <w:numId w:val="57"/>
        </w:numPr>
        <w:spacing w:after="120"/>
        <w:ind w:left="714" w:hanging="357"/>
        <w:contextualSpacing w:val="0"/>
        <w:jc w:val="both"/>
        <w:rPr>
          <w:rFonts w:ascii="Arial Narrow" w:hAnsi="Arial Narrow"/>
          <w:lang w:val="bg-BG"/>
        </w:rPr>
      </w:pPr>
      <w:r w:rsidRPr="004173C8">
        <w:rPr>
          <w:rFonts w:ascii="Arial Narrow" w:hAnsi="Arial Narrow"/>
          <w:lang w:val="bg-BG"/>
        </w:rPr>
        <w:t>Здраве и качество на живот. Превенция, терапия, зелени, сини и екотехнологии, биотехнологии, екохрани;</w:t>
      </w:r>
    </w:p>
    <w:p w14:paraId="0736BD31" w14:textId="77777777" w:rsidR="008009F8" w:rsidRPr="004173C8" w:rsidRDefault="008009F8" w:rsidP="009C6577">
      <w:pPr>
        <w:pStyle w:val="ListParagraph"/>
        <w:numPr>
          <w:ilvl w:val="0"/>
          <w:numId w:val="57"/>
        </w:numPr>
        <w:spacing w:after="120"/>
        <w:ind w:left="714" w:hanging="357"/>
        <w:contextualSpacing w:val="0"/>
        <w:jc w:val="both"/>
        <w:rPr>
          <w:rFonts w:ascii="Arial Narrow" w:hAnsi="Arial Narrow"/>
          <w:lang w:val="bg-BG"/>
        </w:rPr>
      </w:pPr>
      <w:r w:rsidRPr="004173C8">
        <w:rPr>
          <w:rFonts w:ascii="Arial Narrow" w:hAnsi="Arial Narrow"/>
          <w:lang w:val="bg-BG"/>
        </w:rPr>
        <w:t xml:space="preserve">Опазване на околната среда. Екологичен мониторинг. Оползотворяване на суровини и биоресурси. Пречистващи и безотпадни технологии; </w:t>
      </w:r>
    </w:p>
    <w:p w14:paraId="5A04B70C" w14:textId="77777777" w:rsidR="008009F8" w:rsidRPr="004173C8" w:rsidRDefault="008009F8" w:rsidP="009C6577">
      <w:pPr>
        <w:pStyle w:val="ListParagraph"/>
        <w:numPr>
          <w:ilvl w:val="0"/>
          <w:numId w:val="57"/>
        </w:numPr>
        <w:spacing w:after="120"/>
        <w:ind w:left="714" w:hanging="357"/>
        <w:contextualSpacing w:val="0"/>
        <w:jc w:val="both"/>
        <w:rPr>
          <w:rFonts w:ascii="Arial Narrow" w:hAnsi="Arial Narrow"/>
          <w:lang w:val="bg-BG"/>
        </w:rPr>
      </w:pPr>
      <w:r w:rsidRPr="004173C8">
        <w:rPr>
          <w:rFonts w:ascii="Arial Narrow" w:hAnsi="Arial Narrow"/>
          <w:lang w:val="bg-BG"/>
        </w:rPr>
        <w:t xml:space="preserve">Социално-икономическо развитие и управление. </w:t>
      </w:r>
    </w:p>
    <w:p w14:paraId="01EF34AF" w14:textId="77777777" w:rsidR="008009F8" w:rsidRPr="004173C8" w:rsidRDefault="008009F8" w:rsidP="008009F8">
      <w:pPr>
        <w:spacing w:after="120"/>
        <w:ind w:firstLine="708"/>
        <w:jc w:val="both"/>
        <w:rPr>
          <w:rFonts w:ascii="Arial Narrow" w:hAnsi="Arial Narrow"/>
          <w:lang w:val="bg-BG"/>
        </w:rPr>
      </w:pPr>
      <w:r w:rsidRPr="004173C8">
        <w:rPr>
          <w:rFonts w:ascii="Arial Narrow" w:hAnsi="Arial Narrow"/>
          <w:lang w:val="bg-BG"/>
        </w:rPr>
        <w:t>Научно-приложните изследвания на ССА включват две тематични области от Иновационната стратегия за интелигентна специализация 2021-2027, както следва:</w:t>
      </w:r>
    </w:p>
    <w:p w14:paraId="50C4D193" w14:textId="77777777" w:rsidR="008009F8" w:rsidRPr="004173C8" w:rsidRDefault="008009F8" w:rsidP="009C6577">
      <w:pPr>
        <w:pStyle w:val="ListParagraph"/>
        <w:numPr>
          <w:ilvl w:val="0"/>
          <w:numId w:val="57"/>
        </w:numPr>
        <w:spacing w:after="120"/>
        <w:ind w:left="714" w:hanging="357"/>
        <w:contextualSpacing w:val="0"/>
        <w:jc w:val="both"/>
        <w:rPr>
          <w:rFonts w:ascii="Arial Narrow" w:hAnsi="Arial Narrow"/>
          <w:lang w:val="bg-BG"/>
        </w:rPr>
      </w:pPr>
      <w:r w:rsidRPr="004173C8">
        <w:rPr>
          <w:rFonts w:ascii="Arial Narrow" w:hAnsi="Arial Narrow"/>
          <w:lang w:val="bg-BG"/>
        </w:rPr>
        <w:t xml:space="preserve">Индустрия за здравословен живот и биотехнологии - тук се причисляват научни изследвания свързани с: методи за чисто производство, съхранение, преработка и достигане до крайния потребител на специфични български съставки, средства и продукти; производство на специализирани храни и напитки; персонална медицина, диагностика и индивидуална терапия, лечебни и лекарствени форми и средства; биотехнологии с пряко приложение за здравословен начин на живот; въвеждане на иновативни методи в селското стопанство и рибовъдството, без използване на химически препарати за борба с вредители и торене; зелена икономика; индустриални биотехнологии; </w:t>
      </w:r>
    </w:p>
    <w:p w14:paraId="29A8D07E" w14:textId="77777777" w:rsidR="008009F8" w:rsidRPr="004173C8" w:rsidRDefault="008009F8" w:rsidP="009C6577">
      <w:pPr>
        <w:pStyle w:val="ListParagraph"/>
        <w:numPr>
          <w:ilvl w:val="0"/>
          <w:numId w:val="57"/>
        </w:numPr>
        <w:spacing w:after="120"/>
        <w:ind w:left="714" w:hanging="357"/>
        <w:contextualSpacing w:val="0"/>
        <w:jc w:val="both"/>
        <w:rPr>
          <w:rFonts w:ascii="Arial Narrow" w:hAnsi="Arial Narrow"/>
          <w:lang w:val="bg-BG"/>
        </w:rPr>
      </w:pPr>
      <w:r w:rsidRPr="004173C8">
        <w:rPr>
          <w:rFonts w:ascii="Arial Narrow" w:hAnsi="Arial Narrow"/>
          <w:lang w:val="bg-BG"/>
        </w:rPr>
        <w:t xml:space="preserve">Чисти технологии, кръгова и нисковъглеродна икономика - в рамките на тази тематична област ССА се фокусира върху изследвания за безотпадни технологии и методи за включване на отпадъчни продукти и материали от производства в други производства и услуги; </w:t>
      </w:r>
    </w:p>
    <w:p w14:paraId="4C534551" w14:textId="77777777" w:rsidR="008009F8" w:rsidRPr="004173C8" w:rsidRDefault="008009F8" w:rsidP="008009F8">
      <w:pPr>
        <w:spacing w:after="120"/>
        <w:ind w:firstLine="708"/>
        <w:jc w:val="both"/>
        <w:rPr>
          <w:rFonts w:ascii="Arial Narrow" w:hAnsi="Arial Narrow"/>
          <w:lang w:val="bg-BG"/>
        </w:rPr>
      </w:pPr>
      <w:r w:rsidRPr="004173C8">
        <w:rPr>
          <w:rFonts w:ascii="Arial Narrow" w:hAnsi="Arial Narrow"/>
          <w:lang w:val="bg-BG"/>
        </w:rPr>
        <w:t>Учените в ССА продължават да работят по приоритетите, залегнали в Зелената сделка, като стратегиите „От фермата до трапезата“ и „Биоразнообразие“, Планът за нулево замърсяване на въздух, води и почви, кръгова икономика, възстановяване на екосистемите, както и Дигитализацията на земеделието в съответствие с Европейската дигитална декада (2020-2030).</w:t>
      </w:r>
    </w:p>
    <w:p w14:paraId="31972292" w14:textId="77777777" w:rsidR="008009F8" w:rsidRPr="005E3C6D" w:rsidRDefault="008009F8" w:rsidP="008009F8">
      <w:pPr>
        <w:spacing w:after="120"/>
        <w:ind w:firstLine="708"/>
        <w:jc w:val="both"/>
        <w:rPr>
          <w:rFonts w:ascii="Arial Narrow" w:hAnsi="Arial Narrow"/>
          <w:lang w:val="bg-BG"/>
        </w:rPr>
      </w:pPr>
      <w:r w:rsidRPr="004173C8">
        <w:rPr>
          <w:rFonts w:ascii="Arial Narrow" w:hAnsi="Arial Narrow"/>
          <w:lang w:val="bg-BG"/>
        </w:rPr>
        <w:t xml:space="preserve">Ключов аспект от дейността на ССА е </w:t>
      </w:r>
      <w:r w:rsidRPr="005E3C6D">
        <w:rPr>
          <w:rFonts w:ascii="Arial Narrow" w:hAnsi="Arial Narrow"/>
          <w:lang w:val="bg-BG"/>
        </w:rPr>
        <w:t xml:space="preserve">участието </w:t>
      </w:r>
      <w:r w:rsidR="00923948" w:rsidRPr="00923948">
        <w:rPr>
          <w:rFonts w:ascii="Bahnschrift Light SemiCondensed" w:hAnsi="Bahnschrift Light SemiCondensed" w:cs="Calibri"/>
          <w:lang w:val="bg-BG"/>
        </w:rPr>
        <w:t>ѝ</w:t>
      </w:r>
      <w:r w:rsidR="00923948" w:rsidRPr="005E3C6D">
        <w:rPr>
          <w:rFonts w:ascii="Arial Narrow" w:hAnsi="Arial Narrow"/>
          <w:lang w:val="bg-BG"/>
        </w:rPr>
        <w:t xml:space="preserve"> </w:t>
      </w:r>
      <w:r w:rsidRPr="005E3C6D">
        <w:rPr>
          <w:rFonts w:ascii="Arial Narrow" w:hAnsi="Arial Narrow"/>
          <w:lang w:val="bg-BG"/>
        </w:rPr>
        <w:t xml:space="preserve">в </w:t>
      </w:r>
      <w:r w:rsidRPr="00B76167">
        <w:rPr>
          <w:rFonts w:ascii="Arial Narrow" w:hAnsi="Arial Narrow"/>
          <w:lang w:val="bg-BG"/>
        </w:rPr>
        <w:t>пет проекта</w:t>
      </w:r>
      <w:r w:rsidRPr="005E3C6D">
        <w:rPr>
          <w:rFonts w:ascii="Arial Narrow" w:hAnsi="Arial Narrow"/>
          <w:lang w:val="bg-BG"/>
        </w:rPr>
        <w:t xml:space="preserve"> за изграждане и развитие на модерни научноизследователски инфраструктури, </w:t>
      </w:r>
      <w:r w:rsidRPr="00BB42B5">
        <w:rPr>
          <w:rFonts w:ascii="Arial Narrow" w:hAnsi="Arial Narrow"/>
          <w:lang w:val="bg-BG"/>
        </w:rPr>
        <w:t xml:space="preserve">финансирани от </w:t>
      </w:r>
      <w:r w:rsidR="00923948">
        <w:rPr>
          <w:rFonts w:ascii="Arial Narrow" w:hAnsi="Arial Narrow"/>
          <w:lang w:val="bg-BG"/>
        </w:rPr>
        <w:t xml:space="preserve">МОН по </w:t>
      </w:r>
      <w:r w:rsidRPr="00BB42B5">
        <w:rPr>
          <w:rFonts w:ascii="Arial Narrow" w:hAnsi="Arial Narrow"/>
          <w:lang w:val="bg-BG"/>
        </w:rPr>
        <w:t xml:space="preserve">Националната пътна карта за научна инфраструктура </w:t>
      </w:r>
      <w:r w:rsidR="00923948">
        <w:rPr>
          <w:rFonts w:ascii="Arial Narrow" w:hAnsi="Arial Narrow"/>
          <w:lang w:val="bg-BG"/>
        </w:rPr>
        <w:t xml:space="preserve">(НПКНИ) </w:t>
      </w:r>
      <w:r w:rsidRPr="00BB42B5">
        <w:rPr>
          <w:rFonts w:ascii="Arial Narrow" w:hAnsi="Arial Narrow"/>
          <w:lang w:val="bg-BG"/>
        </w:rPr>
        <w:t>20</w:t>
      </w:r>
      <w:r w:rsidR="00923948">
        <w:rPr>
          <w:rFonts w:ascii="Arial Narrow" w:hAnsi="Arial Narrow"/>
          <w:lang w:val="bg-BG"/>
        </w:rPr>
        <w:t>20</w:t>
      </w:r>
      <w:r w:rsidRPr="00BB42B5">
        <w:rPr>
          <w:rFonts w:ascii="Arial Narrow" w:hAnsi="Arial Narrow"/>
          <w:lang w:val="bg-BG"/>
        </w:rPr>
        <w:t>-202</w:t>
      </w:r>
      <w:r w:rsidR="00923948">
        <w:rPr>
          <w:rFonts w:ascii="Arial Narrow" w:hAnsi="Arial Narrow"/>
          <w:lang w:val="bg-BG"/>
        </w:rPr>
        <w:t>7</w:t>
      </w:r>
      <w:r w:rsidRPr="00BB42B5">
        <w:rPr>
          <w:rFonts w:ascii="Arial Narrow" w:hAnsi="Arial Narrow"/>
          <w:lang w:val="bg-BG"/>
        </w:rPr>
        <w:t>, Инфраструктура за устойчиво развитие в областта на морските изследвани</w:t>
      </w:r>
      <w:r w:rsidRPr="00761E6E">
        <w:rPr>
          <w:rFonts w:ascii="Arial Narrow" w:hAnsi="Arial Narrow"/>
          <w:lang w:val="bg-BG"/>
        </w:rPr>
        <w:t>я и участие в европейската инфраструктура ЕВРО-АРГО (МАСРИ)“, „Научноизследователска инфраструктура в областта на храни, хранене и здраве“, обвързана с участие на България в паневропейска инфраструктура FNH-RI (FNH-RI BUL), „Център по растителна системна б</w:t>
      </w:r>
      <w:r w:rsidRPr="005E3C6D">
        <w:rPr>
          <w:rFonts w:ascii="Arial Narrow" w:hAnsi="Arial Narrow"/>
          <w:lang w:val="bg-BG"/>
        </w:rPr>
        <w:t>иология и биотехнология (ЦРСББ)” и Център по компетентност „Устойчиво оползотворяване на биоресурси и отпадъци от лечебни и ароматични растения за иновативни биоактивни продукти“.</w:t>
      </w:r>
    </w:p>
    <w:p w14:paraId="0E161555" w14:textId="77777777" w:rsidR="008009F8" w:rsidRPr="004173C8" w:rsidRDefault="008009F8" w:rsidP="008009F8">
      <w:pPr>
        <w:spacing w:after="120"/>
        <w:ind w:firstLine="708"/>
        <w:jc w:val="both"/>
        <w:rPr>
          <w:rFonts w:ascii="Arial Narrow" w:hAnsi="Arial Narrow"/>
          <w:lang w:val="bg-BG"/>
        </w:rPr>
      </w:pPr>
      <w:r w:rsidRPr="005E3C6D">
        <w:rPr>
          <w:rFonts w:ascii="Arial Narrow" w:hAnsi="Arial Narrow"/>
          <w:lang w:val="bg-BG"/>
        </w:rPr>
        <w:lastRenderedPageBreak/>
        <w:t>ССА участва и като водеща организация в Националната инфраструктура за изследване и иновации в земеделието и храните – (</w:t>
      </w:r>
      <w:r w:rsidRPr="00B76167">
        <w:rPr>
          <w:rFonts w:ascii="Arial Narrow" w:hAnsi="Arial Narrow"/>
          <w:bCs/>
          <w:lang w:val="bg-BG"/>
        </w:rPr>
        <w:t>RINA</w:t>
      </w:r>
      <w:r w:rsidRPr="005E3C6D">
        <w:rPr>
          <w:rFonts w:ascii="Arial Narrow" w:hAnsi="Arial Narrow"/>
          <w:lang w:val="bg-BG"/>
        </w:rPr>
        <w:t xml:space="preserve">, </w:t>
      </w:r>
      <w:r w:rsidRPr="00B76167">
        <w:rPr>
          <w:rFonts w:ascii="Arial Narrow" w:hAnsi="Arial Narrow"/>
          <w:bCs/>
          <w:lang w:val="bg-BG"/>
        </w:rPr>
        <w:t>R</w:t>
      </w:r>
      <w:r w:rsidRPr="005E3C6D">
        <w:rPr>
          <w:rFonts w:ascii="Arial Narrow" w:hAnsi="Arial Narrow"/>
          <w:lang w:val="bg-BG"/>
        </w:rPr>
        <w:t xml:space="preserve">esearch, </w:t>
      </w:r>
      <w:r w:rsidRPr="00B76167">
        <w:rPr>
          <w:rFonts w:ascii="Arial Narrow" w:hAnsi="Arial Narrow"/>
          <w:bCs/>
          <w:lang w:val="bg-BG"/>
        </w:rPr>
        <w:t>In</w:t>
      </w:r>
      <w:r w:rsidRPr="005E3C6D">
        <w:rPr>
          <w:rFonts w:ascii="Arial Narrow" w:hAnsi="Arial Narrow"/>
          <w:lang w:val="bg-BG"/>
        </w:rPr>
        <w:t xml:space="preserve">novation, </w:t>
      </w:r>
      <w:r w:rsidRPr="00B76167">
        <w:rPr>
          <w:rFonts w:ascii="Arial Narrow" w:hAnsi="Arial Narrow"/>
          <w:bCs/>
          <w:lang w:val="bg-BG"/>
        </w:rPr>
        <w:t>A</w:t>
      </w:r>
      <w:r w:rsidRPr="005E3C6D">
        <w:rPr>
          <w:rFonts w:ascii="Arial Narrow" w:hAnsi="Arial Narrow"/>
          <w:lang w:val="bg-BG"/>
        </w:rPr>
        <w:t>griculture), която е част от Европейската изследователска инфраструктура за анализ и експериментиране върху екосистемите (AnaEE</w:t>
      </w:r>
      <w:r w:rsidRPr="004173C8">
        <w:rPr>
          <w:rFonts w:ascii="Arial Narrow" w:hAnsi="Arial Narrow"/>
          <w:lang w:val="bg-BG"/>
        </w:rPr>
        <w:t xml:space="preserve">). Участието на екипи от учени от структурните звена на ССА в AnaEE осигурява достъп на българските изследователи до модерна научна инфраструктура за провеждане на изследвания в областта на агроекологията и агро-екосистемните услуги. </w:t>
      </w:r>
    </w:p>
    <w:p w14:paraId="003D0CA3" w14:textId="77777777" w:rsidR="00923948" w:rsidRPr="00CD44F3" w:rsidRDefault="00923948" w:rsidP="008009F8">
      <w:pPr>
        <w:spacing w:after="120"/>
        <w:ind w:firstLine="708"/>
        <w:jc w:val="both"/>
        <w:rPr>
          <w:rFonts w:ascii="Arial Narrow" w:hAnsi="Arial Narrow"/>
          <w:iCs/>
          <w:lang w:val="bg-BG"/>
        </w:rPr>
      </w:pPr>
      <w:r w:rsidRPr="00CD44F3">
        <w:rPr>
          <w:rFonts w:ascii="Arial Narrow" w:hAnsi="Arial Narrow"/>
          <w:iCs/>
        </w:rPr>
        <w:t>В края на 2023</w:t>
      </w:r>
      <w:r w:rsidRPr="00CD44F3">
        <w:rPr>
          <w:rFonts w:ascii="Arial Narrow" w:hAnsi="Arial Narrow"/>
        </w:rPr>
        <w:t xml:space="preserve"> </w:t>
      </w:r>
      <w:r w:rsidRPr="00CD44F3">
        <w:rPr>
          <w:rFonts w:ascii="Arial Narrow" w:hAnsi="Arial Narrow"/>
          <w:iCs/>
        </w:rPr>
        <w:t>г. „Националната научна инфраструктура за изследване и иновации в земеделието и храните“ заедно с други две научни инфраструктури, част от НПКНИ, в т.ч. „Научноизследователска инфраструктура в областта на храни, хранене и здраве“, прераснаха в Център по компетентност „Агрохранителни системи и биоикономика</w:t>
      </w:r>
      <w:r>
        <w:rPr>
          <w:rFonts w:ascii="Arial Narrow" w:hAnsi="Arial Narrow"/>
          <w:iCs/>
          <w:lang w:val="bg-BG"/>
        </w:rPr>
        <w:t>“.</w:t>
      </w:r>
    </w:p>
    <w:p w14:paraId="411A89E1" w14:textId="77777777" w:rsidR="008009F8" w:rsidRPr="004173C8" w:rsidRDefault="008009F8" w:rsidP="008009F8">
      <w:pPr>
        <w:spacing w:after="120"/>
        <w:ind w:firstLine="708"/>
        <w:jc w:val="both"/>
        <w:rPr>
          <w:rFonts w:ascii="Arial Narrow" w:hAnsi="Arial Narrow"/>
          <w:lang w:val="bg-BG"/>
        </w:rPr>
      </w:pPr>
      <w:r w:rsidRPr="004173C8">
        <w:rPr>
          <w:rFonts w:ascii="Arial Narrow" w:hAnsi="Arial Narrow"/>
          <w:lang w:val="bg-BG"/>
        </w:rPr>
        <w:t xml:space="preserve">Академията насърчава кариерното развитие на младите учени, повишаване нивото на научноизследователската дейност, международната интеграция и разпознаваемост на учените и техните постижения в международното изследователско пространство. ССА е бенефициент по НП „Млади учени и постдокторанти“ и НП „Стимулиране на публикационната активност в авторитетни международни научни списания и отворения достъп до научна информация“ към МОН.  </w:t>
      </w:r>
    </w:p>
    <w:p w14:paraId="32284D37" w14:textId="77777777" w:rsidR="008009F8" w:rsidRPr="004173C8" w:rsidRDefault="008009F8" w:rsidP="008009F8">
      <w:pPr>
        <w:spacing w:after="120"/>
        <w:ind w:firstLine="708"/>
        <w:jc w:val="both"/>
        <w:rPr>
          <w:rFonts w:ascii="Arial Narrow" w:hAnsi="Arial Narrow"/>
          <w:lang w:val="bg-BG"/>
        </w:rPr>
      </w:pPr>
      <w:r w:rsidRPr="004173C8">
        <w:rPr>
          <w:rFonts w:ascii="Arial Narrow" w:hAnsi="Arial Narrow"/>
          <w:lang w:val="bg-BG"/>
        </w:rPr>
        <w:t>През 2024 г. в структурните звена към Академията са разработени и се изпълняват общо 217 научноизследователски проекти. От тях, 109 проекта са финансирани от бюджетната субсидия на ССА; 47 - от Фонд „Научни изследвания“ (ФНИ); 5 – от МЗХ и 56 - от национални и международни организации и ведомства (Световната здравна организация, „Хоризонт Европа“, COST, ФАО, IAEA, NEXT Black Sea Basin Programme, „Еразъм+“ и др.). ССА координира проекти и по линията на двустранното сътрудничество със сродни международни организации на принципа на споделеното самофинансиране и изпълнява договорни задачи, финансирани от МЗХ, МОСВ, МИИ, МЗ и др</w:t>
      </w:r>
      <w:r>
        <w:rPr>
          <w:rFonts w:ascii="Arial Narrow" w:hAnsi="Arial Narrow"/>
          <w:lang w:val="bg-BG"/>
        </w:rPr>
        <w:t>уги</w:t>
      </w:r>
      <w:r w:rsidRPr="004173C8">
        <w:rPr>
          <w:rFonts w:ascii="Arial Narrow" w:hAnsi="Arial Narrow"/>
          <w:lang w:val="bg-BG"/>
        </w:rPr>
        <w:t xml:space="preserve"> ведомства.</w:t>
      </w:r>
    </w:p>
    <w:p w14:paraId="4F26FBFD" w14:textId="77777777" w:rsidR="008009F8" w:rsidRPr="004173C8" w:rsidRDefault="008009F8" w:rsidP="008009F8">
      <w:pPr>
        <w:spacing w:after="120"/>
        <w:ind w:firstLine="708"/>
        <w:jc w:val="both"/>
        <w:rPr>
          <w:rFonts w:ascii="Arial Narrow" w:hAnsi="Arial Narrow"/>
          <w:lang w:val="bg-BG"/>
        </w:rPr>
      </w:pPr>
      <w:r w:rsidRPr="004173C8">
        <w:rPr>
          <w:rFonts w:ascii="Arial Narrow" w:hAnsi="Arial Narrow"/>
          <w:lang w:val="bg-BG"/>
        </w:rPr>
        <w:t>В рамките на тези проекти и програми водещи са научните изследвания в следните направления и тематични области:</w:t>
      </w:r>
    </w:p>
    <w:p w14:paraId="259DFDEA" w14:textId="77777777" w:rsidR="008009F8" w:rsidRPr="004173C8" w:rsidRDefault="008009F8" w:rsidP="009C6577">
      <w:pPr>
        <w:pStyle w:val="ListParagraph"/>
        <w:numPr>
          <w:ilvl w:val="0"/>
          <w:numId w:val="57"/>
        </w:numPr>
        <w:spacing w:after="120"/>
        <w:ind w:left="714" w:hanging="357"/>
        <w:contextualSpacing w:val="0"/>
        <w:jc w:val="both"/>
        <w:rPr>
          <w:rFonts w:ascii="Arial Narrow" w:hAnsi="Arial Narrow"/>
          <w:lang w:val="bg-BG"/>
        </w:rPr>
      </w:pPr>
      <w:r w:rsidRPr="004173C8">
        <w:rPr>
          <w:rFonts w:ascii="Arial Narrow" w:hAnsi="Arial Narrow"/>
          <w:lang w:val="bg-BG"/>
        </w:rPr>
        <w:t>Запазване и увеличаване на биоразнообразието от растителни генетични ресурси - провеждат се експедиции за издирване, характеризиране и съхранение на диви видове и стари сортове като ценен генетичен ресурс и застрашено национално богатство. Създават се и се поддържат колекции от генетични ресурси от основни земеделски култури, медицински и други растителни видове в България;</w:t>
      </w:r>
    </w:p>
    <w:p w14:paraId="3922CE27" w14:textId="77777777" w:rsidR="008009F8" w:rsidRPr="004173C8" w:rsidRDefault="008009F8" w:rsidP="009C6577">
      <w:pPr>
        <w:pStyle w:val="ListParagraph"/>
        <w:numPr>
          <w:ilvl w:val="0"/>
          <w:numId w:val="57"/>
        </w:numPr>
        <w:spacing w:after="120"/>
        <w:ind w:left="714" w:hanging="357"/>
        <w:contextualSpacing w:val="0"/>
        <w:jc w:val="both"/>
        <w:rPr>
          <w:rFonts w:ascii="Arial Narrow" w:hAnsi="Arial Narrow"/>
          <w:lang w:val="bg-BG"/>
        </w:rPr>
      </w:pPr>
      <w:r w:rsidRPr="004173C8">
        <w:rPr>
          <w:rFonts w:ascii="Arial Narrow" w:hAnsi="Arial Narrow"/>
          <w:lang w:val="bg-BG"/>
        </w:rPr>
        <w:t xml:space="preserve">Генетични и селекционни изследвания за създаване на нови сортове и хибриди с повишена продуктивност и качество, адаптирани към пазара и климатичните промени - създават се сортове с добра адаптивност и пластичност към промените в агроклиматичните условия, с добра продуктивност и качество, устойчиви на болести и неприятели, позволяващи развитие на устойчиво и конкурентноспособно земеделие. Изграждат се демонстрационни полета за презентиране на сортове, подходящи за отглеждане в условия на биотичен и абиотичен стрес и се изготвят препоръки за районирането им в страната; </w:t>
      </w:r>
    </w:p>
    <w:p w14:paraId="074B8756" w14:textId="77777777" w:rsidR="008009F8" w:rsidRPr="004173C8" w:rsidRDefault="008009F8" w:rsidP="009C6577">
      <w:pPr>
        <w:pStyle w:val="ListParagraph"/>
        <w:numPr>
          <w:ilvl w:val="0"/>
          <w:numId w:val="57"/>
        </w:numPr>
        <w:spacing w:after="120"/>
        <w:ind w:left="714" w:hanging="357"/>
        <w:contextualSpacing w:val="0"/>
        <w:jc w:val="both"/>
        <w:rPr>
          <w:rFonts w:ascii="Arial Narrow" w:hAnsi="Arial Narrow"/>
          <w:lang w:val="bg-BG"/>
        </w:rPr>
      </w:pPr>
      <w:r w:rsidRPr="004173C8">
        <w:rPr>
          <w:rFonts w:ascii="Arial Narrow" w:hAnsi="Arial Narrow"/>
          <w:lang w:val="bg-BG"/>
        </w:rPr>
        <w:t xml:space="preserve">Устойчиво и ефективно управление на ресурсите (почви, води, биомаса) в условията на климатични промени, смекчаване на въздействието и практики за адаптация - изследва се влиянието на начините на земеползването върху качеството на подземните води в силно натоварени агроекосистеми, както и формите на замърсяване на водите и почвите, причинени от промишлеността и енергетиката; проучва се влиянието на редуцираното напояване върху добива и качеството на културите; създават се концепции и технологични решения за запазване, възстановяване и устойчиво управление на почвените ресурси и биоразнообразието, за оценка, мониторинг и смекчаване на въздействието на климатичните промени;   </w:t>
      </w:r>
    </w:p>
    <w:p w14:paraId="7793A78F" w14:textId="77777777" w:rsidR="008009F8" w:rsidRPr="004173C8" w:rsidRDefault="008009F8" w:rsidP="009C6577">
      <w:pPr>
        <w:pStyle w:val="ListParagraph"/>
        <w:numPr>
          <w:ilvl w:val="0"/>
          <w:numId w:val="57"/>
        </w:numPr>
        <w:spacing w:after="120"/>
        <w:ind w:left="714" w:hanging="357"/>
        <w:contextualSpacing w:val="0"/>
        <w:jc w:val="both"/>
        <w:rPr>
          <w:rFonts w:ascii="Arial Narrow" w:hAnsi="Arial Narrow"/>
          <w:lang w:val="bg-BG"/>
        </w:rPr>
      </w:pPr>
      <w:r w:rsidRPr="004173C8">
        <w:rPr>
          <w:rFonts w:ascii="Arial Narrow" w:hAnsi="Arial Narrow"/>
          <w:lang w:val="bg-BG"/>
        </w:rPr>
        <w:t xml:space="preserve">Системи на земеделие за конвенционално и биологично производство. Нови решения в интегрираните системи за борба с неприятелите в земеделските агроценози - разработват се технологии и иновации за конвенционално и биологично земеделие, вкл. иновативни практики за растителна защита;  </w:t>
      </w:r>
    </w:p>
    <w:p w14:paraId="7690176D" w14:textId="77777777" w:rsidR="008009F8" w:rsidRPr="004173C8" w:rsidRDefault="008009F8" w:rsidP="009C6577">
      <w:pPr>
        <w:pStyle w:val="ListParagraph"/>
        <w:numPr>
          <w:ilvl w:val="0"/>
          <w:numId w:val="57"/>
        </w:numPr>
        <w:spacing w:after="120"/>
        <w:ind w:left="714" w:hanging="357"/>
        <w:contextualSpacing w:val="0"/>
        <w:jc w:val="both"/>
        <w:rPr>
          <w:rFonts w:ascii="Arial Narrow" w:hAnsi="Arial Narrow"/>
          <w:lang w:val="bg-BG"/>
        </w:rPr>
      </w:pPr>
      <w:r w:rsidRPr="004173C8">
        <w:rPr>
          <w:rFonts w:ascii="Arial Narrow" w:hAnsi="Arial Narrow"/>
          <w:lang w:val="bg-BG"/>
        </w:rPr>
        <w:lastRenderedPageBreak/>
        <w:t xml:space="preserve">Генетични и селекционни изследвания в животновъдството. Подобряване храненето, хуманно отношение към животните и ограничаване на вредните екологични ефекти - разработват се проекти за: проучване, поддържане и увеличаване на разнообразието от важни селскостопански и други видове животни; стратегии за управление на националните генетични ресурси в животновъдството и подобряване на отглеждането, хуманното отношение и продуктивност при различни видове преживни и непреживни животни; оценка на качеството на фуражите и създаване на иновации в храненето на животните; селекционни и развъдни програми за дългосрочно съхранение и запазване на биоразнообразието от аборигенни породи, в т.ч. запазване на чистотата на племенните породи и оценка на адаптивния им потенциал; </w:t>
      </w:r>
    </w:p>
    <w:p w14:paraId="10DFA1D1" w14:textId="77777777" w:rsidR="008009F8" w:rsidRPr="004173C8" w:rsidRDefault="008009F8" w:rsidP="009C6577">
      <w:pPr>
        <w:pStyle w:val="ListParagraph"/>
        <w:numPr>
          <w:ilvl w:val="0"/>
          <w:numId w:val="57"/>
        </w:numPr>
        <w:spacing w:after="120"/>
        <w:ind w:left="714" w:hanging="357"/>
        <w:contextualSpacing w:val="0"/>
        <w:jc w:val="both"/>
        <w:rPr>
          <w:rFonts w:ascii="Arial Narrow" w:hAnsi="Arial Narrow"/>
          <w:lang w:val="bg-BG"/>
        </w:rPr>
      </w:pPr>
      <w:r w:rsidRPr="004173C8">
        <w:rPr>
          <w:rFonts w:ascii="Arial Narrow" w:hAnsi="Arial Narrow"/>
          <w:lang w:val="bg-BG"/>
        </w:rPr>
        <w:t xml:space="preserve">Устойчиво развитие на рибарството и аквакултурите - извършва се мониторинг на състоянието на рибните и нерибни ресурси в речните басейни и българската акватория от Черно море и внедряване на технологични иновации за подпомагане прилагането на политиките и програмите на ЕС. Провеждат се комплексни мониторингови изследвания на водоеми в страната с оглед на пригодността им за рибностопанско използване и опазване на околната среда. Разработват се системи и методи за репродукция и отглеждане на традиционни и нови видове хидробионти, оценка на техния здравен статус и благоденствие, както и системи за оценка качество на месото им;  </w:t>
      </w:r>
    </w:p>
    <w:p w14:paraId="6E4F9415" w14:textId="77777777" w:rsidR="008009F8" w:rsidRPr="004173C8" w:rsidRDefault="008009F8" w:rsidP="009C6577">
      <w:pPr>
        <w:pStyle w:val="ListParagraph"/>
        <w:numPr>
          <w:ilvl w:val="0"/>
          <w:numId w:val="57"/>
        </w:numPr>
        <w:spacing w:after="120"/>
        <w:ind w:left="714" w:hanging="357"/>
        <w:contextualSpacing w:val="0"/>
        <w:jc w:val="both"/>
        <w:rPr>
          <w:rFonts w:ascii="Arial Narrow" w:hAnsi="Arial Narrow"/>
          <w:lang w:val="bg-BG"/>
        </w:rPr>
      </w:pPr>
      <w:r w:rsidRPr="004173C8">
        <w:rPr>
          <w:rFonts w:ascii="Arial Narrow" w:hAnsi="Arial Narrow"/>
          <w:lang w:val="bg-BG"/>
        </w:rPr>
        <w:t xml:space="preserve">Разработване на безопасни, качествени и здравословни храни, напитки и други хранителни ресурси, актуализиране на съществуващи рецептури, карти, технологии и инструкции за производство, обработка и преработка на растителна и животинска продукция, вкл. биомаса в унисон с новите знания за климатичните промени, нарастващият натиск върху екосистемите и техния отговор. В направление „Здраве и качество на живот“ се разработват нови методи за анализ на тютюн, тютюневи изделия и продукти, съдържащи никотин;  </w:t>
      </w:r>
    </w:p>
    <w:p w14:paraId="7DF0DC91" w14:textId="77777777" w:rsidR="008009F8" w:rsidRPr="004173C8" w:rsidRDefault="008009F8" w:rsidP="009C6577">
      <w:pPr>
        <w:pStyle w:val="ListParagraph"/>
        <w:numPr>
          <w:ilvl w:val="0"/>
          <w:numId w:val="57"/>
        </w:numPr>
        <w:spacing w:after="120"/>
        <w:ind w:left="714" w:hanging="357"/>
        <w:contextualSpacing w:val="0"/>
        <w:jc w:val="both"/>
        <w:rPr>
          <w:rFonts w:ascii="Arial Narrow" w:hAnsi="Arial Narrow"/>
          <w:lang w:val="bg-BG"/>
        </w:rPr>
      </w:pPr>
      <w:r w:rsidRPr="004173C8">
        <w:rPr>
          <w:rFonts w:ascii="Arial Narrow" w:hAnsi="Arial Narrow"/>
          <w:lang w:val="bg-BG"/>
        </w:rPr>
        <w:t xml:space="preserve">Подобряване условията на живот в селските райони - разработват се стратегии за жизнени селски райони. Осъществява се мониторинг и оценка на изпълнението на различни програми и схеми на МЗХ, обхващащи селските райони. </w:t>
      </w:r>
    </w:p>
    <w:p w14:paraId="1C4A9918" w14:textId="77777777" w:rsidR="008009F8" w:rsidRPr="004173C8" w:rsidRDefault="008009F8" w:rsidP="008009F8">
      <w:pPr>
        <w:spacing w:after="120"/>
        <w:ind w:firstLine="708"/>
        <w:jc w:val="both"/>
        <w:rPr>
          <w:rFonts w:ascii="Arial Narrow" w:hAnsi="Arial Narrow"/>
          <w:lang w:val="bg-BG"/>
        </w:rPr>
      </w:pPr>
      <w:r w:rsidRPr="004173C8">
        <w:rPr>
          <w:rFonts w:ascii="Arial Narrow" w:hAnsi="Arial Narrow"/>
          <w:lang w:val="bg-BG"/>
        </w:rPr>
        <w:t>ССА и нейните структурни звена продължават да поддържат генофонд, който включва 113 600 растителни образци и 18 867 животни от различни породи, 8 вида аквакултури и 430 щама микроорганизми. Ген-банката към Института по растителни генетични ресурси на ССА поддържа базова колекция от 43 143 образци от 33 семейства, 150 рода и 600 растителни вида, която ежегодно се допълва с нови таксономични образци. Научният център по бубарство, гр. Враца поддържа най-големия в Европейския съюз генофонд от копринени пеперуди, включващ над 70 обособени местни и интродуцирани породи копринена пеперуда и над 50 хибриди.</w:t>
      </w:r>
    </w:p>
    <w:p w14:paraId="74DFEF47" w14:textId="77777777" w:rsidR="00922226" w:rsidRPr="008009F8" w:rsidRDefault="003E1405" w:rsidP="00513FF4">
      <w:pPr>
        <w:pStyle w:val="ListParagraph"/>
        <w:keepNext/>
        <w:keepLines/>
        <w:numPr>
          <w:ilvl w:val="2"/>
          <w:numId w:val="16"/>
        </w:numPr>
        <w:spacing w:after="120"/>
        <w:ind w:left="986" w:hanging="629"/>
        <w:contextualSpacing w:val="0"/>
        <w:outlineLvl w:val="0"/>
        <w:rPr>
          <w:rFonts w:ascii="Arial Narrow" w:eastAsiaTheme="minorHAnsi" w:hAnsi="Arial Narrow" w:cstheme="minorBidi"/>
          <w:b/>
          <w:lang w:val="bg-BG"/>
        </w:rPr>
      </w:pPr>
      <w:bookmarkStart w:id="195" w:name="_Toc210747641"/>
      <w:r w:rsidRPr="008009F8">
        <w:rPr>
          <w:rFonts w:ascii="Arial Narrow" w:eastAsiaTheme="minorHAnsi" w:hAnsi="Arial Narrow" w:cstheme="minorBidi"/>
          <w:b/>
          <w:lang w:val="bg-BG"/>
        </w:rPr>
        <w:t>Създадени и внедрени в производството научни продукти</w:t>
      </w:r>
      <w:bookmarkEnd w:id="195"/>
    </w:p>
    <w:p w14:paraId="4DEB7486" w14:textId="77777777" w:rsidR="008009F8" w:rsidRPr="004173C8" w:rsidRDefault="008009F8" w:rsidP="008009F8">
      <w:pPr>
        <w:spacing w:after="120"/>
        <w:ind w:firstLine="708"/>
        <w:jc w:val="both"/>
        <w:rPr>
          <w:rFonts w:ascii="Arial Narrow" w:hAnsi="Arial Narrow"/>
          <w:lang w:val="bg-BG"/>
        </w:rPr>
      </w:pPr>
      <w:r w:rsidRPr="004173C8">
        <w:rPr>
          <w:rFonts w:ascii="Arial Narrow" w:hAnsi="Arial Narrow"/>
          <w:lang w:val="bg-BG"/>
        </w:rPr>
        <w:t>Създаването и усъвършенстването на сортовете е една от най-важните задачи на ССА. Към края на 2024 г. общият брой на поддържаните от структурните звена на ССА сертификати за сортове растения и породи животни е 295, което представлява над 85% от всички издадени и поддържани в Патентно ведомство сертификати в България. От тях, поддържаните сертификати за сортове културни растения са 286, разпределени по култури, както следва: зърнени култури – 159 (зърнено-житни – 146; зърнено-бобови – 13), технически култури – 61 (индустриални – 11, маслодайни – 20, влакнодайни – 21 и медицински - 9), пресни зеленчуци – 23, фуражни култури  – 11</w:t>
      </w:r>
      <w:r>
        <w:rPr>
          <w:rFonts w:ascii="Arial Narrow" w:hAnsi="Arial Narrow"/>
          <w:lang w:val="bg-BG"/>
        </w:rPr>
        <w:t>,</w:t>
      </w:r>
      <w:r w:rsidRPr="004173C8">
        <w:rPr>
          <w:rFonts w:ascii="Arial Narrow" w:hAnsi="Arial Narrow"/>
          <w:lang w:val="bg-BG"/>
        </w:rPr>
        <w:t xml:space="preserve"> трайни насаждения </w:t>
      </w:r>
      <w:r>
        <w:rPr>
          <w:rFonts w:ascii="Arial Narrow" w:hAnsi="Arial Narrow"/>
          <w:lang w:val="bg-BG"/>
        </w:rPr>
        <w:t xml:space="preserve">- </w:t>
      </w:r>
      <w:r w:rsidRPr="004173C8">
        <w:rPr>
          <w:rFonts w:ascii="Arial Narrow" w:hAnsi="Arial Narrow"/>
          <w:lang w:val="bg-BG"/>
        </w:rPr>
        <w:t xml:space="preserve">27 (лозя - 24, овощни - 3), цветя и декоративни култури – 5. Поддържаните сертификати за породи животни са 9. </w:t>
      </w:r>
    </w:p>
    <w:p w14:paraId="5CE20ABA" w14:textId="77777777" w:rsidR="008009F8" w:rsidRPr="004173C8" w:rsidRDefault="008009F8" w:rsidP="008009F8">
      <w:pPr>
        <w:spacing w:after="120"/>
        <w:ind w:firstLine="708"/>
        <w:jc w:val="both"/>
        <w:rPr>
          <w:rFonts w:ascii="Arial Narrow" w:hAnsi="Arial Narrow"/>
          <w:lang w:val="bg-BG"/>
        </w:rPr>
      </w:pPr>
      <w:r w:rsidRPr="004173C8">
        <w:rPr>
          <w:rFonts w:ascii="Arial Narrow" w:hAnsi="Arial Narrow"/>
          <w:lang w:val="bg-BG"/>
        </w:rPr>
        <w:t>Научните продукти, получили правна закрила съгласно нормативната база през 2024 г., са 20 сертификата за нови сортове растения с готовност за активно сътрудничество и сключване на лицензионни договори. Те са създадени в 7 института на ССА и включват 10 зърнено-житни, един маслодаен, два овощни и седем зеленчукови сорта.</w:t>
      </w:r>
    </w:p>
    <w:p w14:paraId="66C25770" w14:textId="77777777" w:rsidR="008009F8" w:rsidRPr="004173C8" w:rsidRDefault="008009F8" w:rsidP="008009F8">
      <w:pPr>
        <w:spacing w:after="120"/>
        <w:ind w:firstLine="708"/>
        <w:jc w:val="both"/>
        <w:rPr>
          <w:rFonts w:ascii="Arial Narrow" w:hAnsi="Arial Narrow"/>
          <w:lang w:val="bg-BG"/>
        </w:rPr>
      </w:pPr>
      <w:r w:rsidRPr="004173C8">
        <w:rPr>
          <w:rFonts w:ascii="Arial Narrow" w:hAnsi="Arial Narrow"/>
          <w:lang w:val="bg-BG"/>
        </w:rPr>
        <w:t>Запазва се тенденцията за създаване на сортове с добра адаптивност и пластичност към промените в климатичните условия в страната, добра продуктивност и качество, позволяващи развитие на устойчиво и конкурентноспособно земеделие в България</w:t>
      </w:r>
      <w:r w:rsidRPr="004173C8">
        <w:rPr>
          <w:rFonts w:ascii="Arial Narrow" w:hAnsi="Arial Narrow"/>
          <w:i/>
          <w:lang w:val="bg-BG"/>
        </w:rPr>
        <w:t xml:space="preserve">. </w:t>
      </w:r>
      <w:r w:rsidRPr="004173C8">
        <w:rPr>
          <w:rFonts w:ascii="Arial Narrow" w:hAnsi="Arial Narrow"/>
          <w:lang w:val="bg-BG"/>
        </w:rPr>
        <w:t xml:space="preserve">През 2024 г. в официалния бюлетин на Патентното ведомство на Република България са публикувани 5 заявки за издаване на сертификати за </w:t>
      </w:r>
      <w:r w:rsidRPr="004173C8">
        <w:rPr>
          <w:rFonts w:ascii="Arial Narrow" w:hAnsi="Arial Narrow"/>
          <w:lang w:val="bg-BG"/>
        </w:rPr>
        <w:lastRenderedPageBreak/>
        <w:t xml:space="preserve">нови сортове растения от колективите на три института на Академията и 4 патента за напитки на </w:t>
      </w:r>
      <w:r>
        <w:rPr>
          <w:rFonts w:ascii="Arial Narrow" w:hAnsi="Arial Narrow"/>
          <w:lang w:val="bg-BG"/>
        </w:rPr>
        <w:t xml:space="preserve">Института по криобиология и хранителни технологии </w:t>
      </w:r>
      <w:r w:rsidRPr="004173C8">
        <w:rPr>
          <w:rFonts w:ascii="Arial Narrow" w:hAnsi="Arial Narrow"/>
          <w:lang w:val="bg-BG"/>
        </w:rPr>
        <w:t>- София.</w:t>
      </w:r>
    </w:p>
    <w:p w14:paraId="48A143AC" w14:textId="77777777" w:rsidR="008009F8" w:rsidRPr="004173C8" w:rsidRDefault="008009F8" w:rsidP="008009F8">
      <w:pPr>
        <w:spacing w:after="120"/>
        <w:ind w:firstLine="708"/>
        <w:jc w:val="both"/>
        <w:rPr>
          <w:rFonts w:ascii="Arial Narrow" w:hAnsi="Arial Narrow"/>
          <w:lang w:val="bg-BG"/>
        </w:rPr>
      </w:pPr>
      <w:r>
        <w:rPr>
          <w:rFonts w:ascii="Arial Narrow" w:hAnsi="Arial Narrow"/>
          <w:lang w:val="bg-BG"/>
        </w:rPr>
        <w:t>През</w:t>
      </w:r>
      <w:r w:rsidRPr="004173C8">
        <w:rPr>
          <w:rFonts w:ascii="Arial Narrow" w:hAnsi="Arial Narrow"/>
          <w:lang w:val="bg-BG"/>
        </w:rPr>
        <w:t xml:space="preserve"> годината са предложени 318 сорта на ССА за вписване в Официална сортова листа на страната, издавана от Изпълнителната агенция по семепроизводство, апробация и </w:t>
      </w:r>
      <w:r w:rsidRPr="006657B2">
        <w:rPr>
          <w:rFonts w:ascii="Arial Narrow" w:hAnsi="Arial Narrow"/>
          <w:lang w:val="bg-BG"/>
        </w:rPr>
        <w:t>семеконтрол (ИАСАС),</w:t>
      </w:r>
      <w:r>
        <w:rPr>
          <w:rFonts w:ascii="Arial Narrow" w:hAnsi="Arial Narrow"/>
          <w:lang w:val="bg-BG"/>
        </w:rPr>
        <w:t xml:space="preserve"> в т. ч.:</w:t>
      </w:r>
      <w:r w:rsidRPr="004173C8">
        <w:rPr>
          <w:rFonts w:ascii="Arial Narrow" w:hAnsi="Arial Narrow"/>
          <w:lang w:val="bg-BG"/>
        </w:rPr>
        <w:t xml:space="preserve"> </w:t>
      </w:r>
      <w:r>
        <w:rPr>
          <w:rFonts w:ascii="Arial Narrow" w:hAnsi="Arial Narrow"/>
          <w:lang w:val="bg-BG"/>
        </w:rPr>
        <w:t>в</w:t>
      </w:r>
      <w:r w:rsidRPr="004173C8">
        <w:rPr>
          <w:rFonts w:ascii="Arial Narrow" w:hAnsi="Arial Narrow"/>
          <w:lang w:val="bg-BG"/>
        </w:rPr>
        <w:t xml:space="preserve"> списък А </w:t>
      </w:r>
      <w:r>
        <w:rPr>
          <w:rFonts w:ascii="Arial Narrow" w:hAnsi="Arial Narrow"/>
          <w:lang w:val="bg-BG"/>
        </w:rPr>
        <w:t>-</w:t>
      </w:r>
      <w:r w:rsidRPr="004173C8">
        <w:rPr>
          <w:rFonts w:ascii="Arial Narrow" w:hAnsi="Arial Narrow"/>
          <w:lang w:val="bg-BG"/>
        </w:rPr>
        <w:t xml:space="preserve"> 231 сорта зърнено-житни технически и фуражни култури</w:t>
      </w:r>
      <w:r>
        <w:rPr>
          <w:rFonts w:ascii="Arial Narrow" w:hAnsi="Arial Narrow"/>
          <w:lang w:val="bg-BG"/>
        </w:rPr>
        <w:t xml:space="preserve"> и</w:t>
      </w:r>
      <w:r w:rsidRPr="004173C8">
        <w:rPr>
          <w:rFonts w:ascii="Arial Narrow" w:hAnsi="Arial Narrow"/>
          <w:lang w:val="bg-BG"/>
        </w:rPr>
        <w:t xml:space="preserve"> в списък Б - 87 сорта зеленчуци, лоза, медицински и ароматни</w:t>
      </w:r>
      <w:r>
        <w:rPr>
          <w:rFonts w:ascii="Arial Narrow" w:hAnsi="Arial Narrow"/>
          <w:lang w:val="bg-BG"/>
        </w:rPr>
        <w:t xml:space="preserve"> култури</w:t>
      </w:r>
      <w:r w:rsidRPr="004173C8">
        <w:rPr>
          <w:rFonts w:ascii="Arial Narrow" w:hAnsi="Arial Narrow"/>
          <w:lang w:val="bg-BG"/>
        </w:rPr>
        <w:t xml:space="preserve">. </w:t>
      </w:r>
      <w:r>
        <w:rPr>
          <w:rFonts w:ascii="Arial Narrow" w:hAnsi="Arial Narrow"/>
          <w:lang w:val="bg-BG"/>
        </w:rPr>
        <w:t>С</w:t>
      </w:r>
      <w:r w:rsidRPr="004173C8">
        <w:rPr>
          <w:rFonts w:ascii="Arial Narrow" w:hAnsi="Arial Narrow"/>
          <w:lang w:val="bg-BG"/>
        </w:rPr>
        <w:t xml:space="preserve">ключени </w:t>
      </w:r>
      <w:r>
        <w:rPr>
          <w:rFonts w:ascii="Arial Narrow" w:hAnsi="Arial Narrow"/>
          <w:lang w:val="bg-BG"/>
        </w:rPr>
        <w:t xml:space="preserve">са </w:t>
      </w:r>
      <w:r w:rsidRPr="004173C8">
        <w:rPr>
          <w:rFonts w:ascii="Arial Narrow" w:hAnsi="Arial Narrow"/>
          <w:lang w:val="bg-BG"/>
        </w:rPr>
        <w:t xml:space="preserve">над 26 лицензионни договора с фирми от страната и чужбина.  </w:t>
      </w:r>
    </w:p>
    <w:p w14:paraId="6DADEB1C" w14:textId="77777777" w:rsidR="009253ED" w:rsidRPr="008009F8" w:rsidRDefault="003E1405" w:rsidP="00513FF4">
      <w:pPr>
        <w:pStyle w:val="ListParagraph"/>
        <w:keepNext/>
        <w:keepLines/>
        <w:numPr>
          <w:ilvl w:val="2"/>
          <w:numId w:val="16"/>
        </w:numPr>
        <w:spacing w:after="120"/>
        <w:ind w:left="986" w:hanging="629"/>
        <w:contextualSpacing w:val="0"/>
        <w:outlineLvl w:val="0"/>
        <w:rPr>
          <w:rFonts w:ascii="Arial Narrow" w:eastAsiaTheme="minorHAnsi" w:hAnsi="Arial Narrow" w:cstheme="minorBidi"/>
          <w:b/>
          <w:lang w:val="bg-BG"/>
        </w:rPr>
      </w:pPr>
      <w:bookmarkStart w:id="196" w:name="_Toc210747642"/>
      <w:r w:rsidRPr="008009F8">
        <w:rPr>
          <w:rFonts w:ascii="Arial Narrow" w:eastAsiaTheme="minorHAnsi" w:hAnsi="Arial Narrow" w:cstheme="minorBidi"/>
          <w:b/>
          <w:lang w:val="bg-BG"/>
        </w:rPr>
        <w:t>Трансфер на знания и научни продукти</w:t>
      </w:r>
      <w:bookmarkEnd w:id="196"/>
    </w:p>
    <w:p w14:paraId="442171E8" w14:textId="77777777" w:rsidR="008009F8" w:rsidRPr="004173C8" w:rsidRDefault="008009F8" w:rsidP="008009F8">
      <w:pPr>
        <w:spacing w:after="120"/>
        <w:ind w:firstLine="708"/>
        <w:jc w:val="both"/>
        <w:rPr>
          <w:rFonts w:ascii="Arial Narrow" w:hAnsi="Arial Narrow"/>
          <w:bCs/>
          <w:lang w:val="bg-BG"/>
        </w:rPr>
      </w:pPr>
      <w:r w:rsidRPr="004173C8">
        <w:rPr>
          <w:rFonts w:ascii="Arial Narrow" w:hAnsi="Arial Narrow"/>
          <w:bCs/>
          <w:lang w:val="bg-BG"/>
        </w:rPr>
        <w:t xml:space="preserve">През 2024 г. ССА продължава дейностите по популяризиране на научните си постижения и рекламиране на създадените научни продукти, провежда проучвания за нуждите на земеделците и фермерите и извършва маркетингова дейност с цел анализиране и подобряване на научната и внедрителската си дейност. </w:t>
      </w:r>
    </w:p>
    <w:p w14:paraId="521B97F0" w14:textId="77777777" w:rsidR="008009F8" w:rsidRPr="004173C8" w:rsidRDefault="008009F8" w:rsidP="008009F8">
      <w:pPr>
        <w:spacing w:after="120"/>
        <w:ind w:firstLine="708"/>
        <w:jc w:val="both"/>
        <w:rPr>
          <w:rFonts w:ascii="Arial Narrow" w:hAnsi="Arial Narrow"/>
          <w:lang w:val="bg-BG"/>
        </w:rPr>
      </w:pPr>
      <w:r w:rsidRPr="004173C8">
        <w:rPr>
          <w:rFonts w:ascii="Arial Narrow" w:hAnsi="Arial Narrow"/>
          <w:lang w:val="bg-BG"/>
        </w:rPr>
        <w:t xml:space="preserve">С цел изграждане на устойчива връзка със земеделските производители, в научните и експериментални звена на Академията са създадени демонстрационни полета и ферми, които са включени в програмите на различни тематични дни. Чрез тях на фермерите и заинтересованите лица се представят нови сортове културни растения и породи селскостопански животни от нашата и световната селекция. Демонстрират се най-успешните селекционни, растително-защитни, агрохимически и технологични решения и практики, подходящи за климатичните условия на различните агропроизводствени райони в страната като най-голям интерес предизвикват сортовете, устойчиви към абиотичен (високи и ниски температури, засушаване) и биотичен стрес (болести и неприятели). Изградената мрежа от демонстрационни полета </w:t>
      </w:r>
      <w:r>
        <w:rPr>
          <w:rFonts w:ascii="Arial Narrow" w:hAnsi="Arial Narrow"/>
          <w:lang w:val="bg-BG"/>
        </w:rPr>
        <w:t>е</w:t>
      </w:r>
      <w:r w:rsidRPr="004173C8">
        <w:rPr>
          <w:rFonts w:ascii="Arial Narrow" w:hAnsi="Arial Narrow"/>
          <w:lang w:val="bg-BG"/>
        </w:rPr>
        <w:t xml:space="preserve"> един сравнително нов и успешен начин за Такива </w:t>
      </w:r>
      <w:r>
        <w:rPr>
          <w:rFonts w:ascii="Arial Narrow" w:hAnsi="Arial Narrow"/>
          <w:lang w:val="bg-BG"/>
        </w:rPr>
        <w:t xml:space="preserve">демонстрационни </w:t>
      </w:r>
      <w:r w:rsidRPr="004173C8">
        <w:rPr>
          <w:rFonts w:ascii="Arial Narrow" w:hAnsi="Arial Narrow"/>
          <w:lang w:val="bg-BG"/>
        </w:rPr>
        <w:t>полета са създадени в Пазарджик, Ямбол, Садово, Кнежа, Плевен и Русе.</w:t>
      </w:r>
    </w:p>
    <w:p w14:paraId="07A0B70B" w14:textId="77777777" w:rsidR="008009F8" w:rsidRPr="004173C8" w:rsidRDefault="008009F8" w:rsidP="008009F8">
      <w:pPr>
        <w:spacing w:after="120"/>
        <w:ind w:firstLine="708"/>
        <w:jc w:val="both"/>
        <w:rPr>
          <w:rFonts w:ascii="Arial Narrow" w:hAnsi="Arial Narrow"/>
          <w:bCs/>
          <w:lang w:val="bg-BG"/>
        </w:rPr>
      </w:pPr>
      <w:r w:rsidRPr="004173C8">
        <w:rPr>
          <w:rFonts w:ascii="Arial Narrow" w:hAnsi="Arial Narrow"/>
          <w:bCs/>
          <w:lang w:val="bg-BG"/>
        </w:rPr>
        <w:t>През 2024 г. учените от ССА са провели 1</w:t>
      </w:r>
      <w:r>
        <w:rPr>
          <w:rFonts w:ascii="Arial Narrow" w:hAnsi="Arial Narrow"/>
          <w:bCs/>
          <w:lang w:val="bg-BG"/>
        </w:rPr>
        <w:t xml:space="preserve"> </w:t>
      </w:r>
      <w:r w:rsidRPr="004173C8">
        <w:rPr>
          <w:rFonts w:ascii="Arial Narrow" w:hAnsi="Arial Narrow"/>
          <w:bCs/>
          <w:lang w:val="bg-BG"/>
        </w:rPr>
        <w:t>264 мероприятия, които включват организиране на  открити дни, научно–практически конференции, семинари, симпозиуми, кръгли маси, юбилейни чествания и краткосрочни курсове; изготвени са 346 становища за фермери, кооперации и ведомства; разработени и представени са 142 проекти и технологии; поддържат се 7 постоянни и временни магазини и 29 демонстративно – показни полета и ферми; участие в 69 изложби и панаири у нас и в чужбина и др.</w:t>
      </w:r>
    </w:p>
    <w:p w14:paraId="3B9AE734" w14:textId="77777777" w:rsidR="008009F8" w:rsidRPr="004173C8" w:rsidRDefault="008009F8" w:rsidP="008009F8">
      <w:pPr>
        <w:spacing w:after="120"/>
        <w:ind w:firstLine="708"/>
        <w:jc w:val="both"/>
        <w:rPr>
          <w:rFonts w:ascii="Arial Narrow" w:hAnsi="Arial Narrow"/>
          <w:bCs/>
          <w:lang w:val="bg-BG"/>
        </w:rPr>
      </w:pPr>
      <w:r w:rsidRPr="004173C8">
        <w:rPr>
          <w:rFonts w:ascii="Arial Narrow" w:hAnsi="Arial Narrow"/>
          <w:bCs/>
          <w:lang w:val="bg-BG"/>
        </w:rPr>
        <w:t xml:space="preserve">През 2024 г. са проведени 10 демонстрационни дни по подмярка 1.2 „Демонстрационни дейности и действия по осведомяване” от мярка 1 „Трансфер на знания и действия за осведомяване” от ПРСР по проекти, финансирани </w:t>
      </w:r>
      <w:r>
        <w:rPr>
          <w:rFonts w:ascii="Arial Narrow" w:hAnsi="Arial Narrow"/>
          <w:bCs/>
          <w:lang w:val="bg-BG"/>
        </w:rPr>
        <w:t xml:space="preserve">от </w:t>
      </w:r>
      <w:r w:rsidRPr="004173C8">
        <w:rPr>
          <w:rFonts w:ascii="Arial Narrow" w:hAnsi="Arial Narrow"/>
          <w:bCs/>
          <w:lang w:val="bg-BG"/>
        </w:rPr>
        <w:t xml:space="preserve">МЗХ, както и по проект AGRODIGIRISE на ИЗК „Марица“ – Пловдив и AgoHub.bg. Учените от различни структурни звена на ССА предоставят консултантски услуги и обучения (професионално обучение и придобиване на умения), предлагат добри земеделски практики, иновативни решения и технологии в областта на растениевъдството и животновъдството, в това число и демонстрация на сортове и култури, подходящи за отглеждане в рискови климатични условия. </w:t>
      </w:r>
    </w:p>
    <w:p w14:paraId="40A4974C" w14:textId="77777777" w:rsidR="008009F8" w:rsidRPr="004173C8" w:rsidRDefault="008009F8" w:rsidP="008009F8">
      <w:pPr>
        <w:spacing w:after="120"/>
        <w:ind w:firstLine="708"/>
        <w:jc w:val="both"/>
        <w:rPr>
          <w:rFonts w:ascii="Arial Narrow" w:hAnsi="Arial Narrow"/>
          <w:bCs/>
          <w:lang w:val="bg-BG"/>
        </w:rPr>
      </w:pPr>
      <w:r w:rsidRPr="004173C8">
        <w:rPr>
          <w:rFonts w:ascii="Arial Narrow" w:hAnsi="Arial Narrow"/>
          <w:bCs/>
          <w:lang w:val="bg-BG"/>
        </w:rPr>
        <w:t>Проведени са 3 информационно-обучителни семинар</w:t>
      </w:r>
      <w:r>
        <w:rPr>
          <w:rFonts w:ascii="Arial Narrow" w:hAnsi="Arial Narrow"/>
          <w:bCs/>
          <w:lang w:val="bg-BG"/>
        </w:rPr>
        <w:t>а</w:t>
      </w:r>
      <w:r w:rsidRPr="004173C8">
        <w:rPr>
          <w:rFonts w:ascii="Arial Narrow" w:hAnsi="Arial Narrow"/>
          <w:bCs/>
          <w:lang w:val="bg-BG"/>
        </w:rPr>
        <w:t xml:space="preserve"> с фермери и заинтересовани лица, свързани с отглеждането на важни овощни видове и борба с вароатрозата при пчелите.</w:t>
      </w:r>
    </w:p>
    <w:p w14:paraId="054D1D8C" w14:textId="77777777" w:rsidR="008009F8" w:rsidRPr="004173C8" w:rsidRDefault="008009F8" w:rsidP="008009F8">
      <w:pPr>
        <w:spacing w:after="120"/>
        <w:ind w:firstLine="708"/>
        <w:jc w:val="both"/>
        <w:rPr>
          <w:rFonts w:ascii="Arial Narrow" w:hAnsi="Arial Narrow"/>
          <w:lang w:val="bg-BG"/>
        </w:rPr>
      </w:pPr>
      <w:r w:rsidRPr="004173C8">
        <w:rPr>
          <w:rFonts w:ascii="Arial Narrow" w:hAnsi="Arial Narrow"/>
          <w:lang w:val="bg-BG"/>
        </w:rPr>
        <w:t xml:space="preserve">През месец октомври 2024 г. </w:t>
      </w:r>
      <w:r>
        <w:rPr>
          <w:rFonts w:ascii="Arial Narrow" w:hAnsi="Arial Narrow"/>
          <w:lang w:val="bg-BG"/>
        </w:rPr>
        <w:t xml:space="preserve">в гр. София е проведен </w:t>
      </w:r>
      <w:r w:rsidRPr="004173C8">
        <w:rPr>
          <w:rFonts w:ascii="Arial Narrow" w:hAnsi="Arial Narrow"/>
          <w:lang w:val="bg-BG"/>
        </w:rPr>
        <w:t xml:space="preserve">IV Международен конгрес по зелени биотехнологии (INTERNATIONAL GREEN BIOTECHNOLOGY CONGRESS) </w:t>
      </w:r>
      <w:r>
        <w:rPr>
          <w:rFonts w:ascii="Arial Narrow" w:hAnsi="Arial Narrow"/>
          <w:lang w:val="bg-BG"/>
        </w:rPr>
        <w:t xml:space="preserve">с домакин </w:t>
      </w:r>
      <w:r w:rsidRPr="004173C8">
        <w:rPr>
          <w:rFonts w:ascii="Arial Narrow" w:hAnsi="Arial Narrow"/>
          <w:lang w:val="bg-BG"/>
        </w:rPr>
        <w:t xml:space="preserve">Селскостопанска академия на тема: „Биотехнология за устойчивост на земеделието в ерата на изменението на климата". Събитието </w:t>
      </w:r>
      <w:r>
        <w:rPr>
          <w:rFonts w:ascii="Arial Narrow" w:hAnsi="Arial Narrow"/>
          <w:lang w:val="bg-BG"/>
        </w:rPr>
        <w:t>е</w:t>
      </w:r>
      <w:r w:rsidRPr="004173C8">
        <w:rPr>
          <w:rFonts w:ascii="Arial Narrow" w:hAnsi="Arial Narrow"/>
          <w:lang w:val="bg-BG"/>
        </w:rPr>
        <w:t xml:space="preserve"> проведе</w:t>
      </w:r>
      <w:r>
        <w:rPr>
          <w:rFonts w:ascii="Arial Narrow" w:hAnsi="Arial Narrow"/>
          <w:lang w:val="bg-BG"/>
        </w:rPr>
        <w:t>но</w:t>
      </w:r>
      <w:r w:rsidRPr="004173C8">
        <w:rPr>
          <w:rFonts w:ascii="Arial Narrow" w:hAnsi="Arial Narrow"/>
          <w:lang w:val="bg-BG"/>
        </w:rPr>
        <w:t xml:space="preserve"> под патронажа на МЗХ и МОН с подкрепата на Фонд „Научни изследвания". Над 100 български и чуждестранни учени </w:t>
      </w:r>
      <w:r>
        <w:rPr>
          <w:rFonts w:ascii="Arial Narrow" w:hAnsi="Arial Narrow"/>
          <w:lang w:val="bg-BG"/>
        </w:rPr>
        <w:t xml:space="preserve">са </w:t>
      </w:r>
      <w:r w:rsidRPr="004173C8">
        <w:rPr>
          <w:rFonts w:ascii="Arial Narrow" w:hAnsi="Arial Narrow"/>
          <w:lang w:val="bg-BG"/>
        </w:rPr>
        <w:t>взе</w:t>
      </w:r>
      <w:r>
        <w:rPr>
          <w:rFonts w:ascii="Arial Narrow" w:hAnsi="Arial Narrow"/>
          <w:lang w:val="bg-BG"/>
        </w:rPr>
        <w:t>ли</w:t>
      </w:r>
      <w:r w:rsidRPr="004173C8">
        <w:rPr>
          <w:rFonts w:ascii="Arial Narrow" w:hAnsi="Arial Narrow"/>
          <w:lang w:val="bg-BG"/>
        </w:rPr>
        <w:t xml:space="preserve"> участие в конференцията</w:t>
      </w:r>
      <w:r>
        <w:rPr>
          <w:rFonts w:ascii="Arial Narrow" w:hAnsi="Arial Narrow"/>
          <w:lang w:val="bg-BG"/>
        </w:rPr>
        <w:t xml:space="preserve"> със</w:t>
      </w:r>
      <w:r w:rsidRPr="004173C8">
        <w:rPr>
          <w:rFonts w:ascii="Arial Narrow" w:hAnsi="Arial Narrow"/>
          <w:lang w:val="bg-BG"/>
        </w:rPr>
        <w:t xml:space="preserve"> следните тематични области:</w:t>
      </w:r>
    </w:p>
    <w:p w14:paraId="7A733CA7" w14:textId="77777777" w:rsidR="008009F8" w:rsidRPr="004173C8" w:rsidRDefault="008009F8" w:rsidP="009C6577">
      <w:pPr>
        <w:pStyle w:val="ListParagraph"/>
        <w:numPr>
          <w:ilvl w:val="0"/>
          <w:numId w:val="57"/>
        </w:numPr>
        <w:spacing w:after="120"/>
        <w:ind w:left="714" w:hanging="357"/>
        <w:contextualSpacing w:val="0"/>
        <w:jc w:val="both"/>
        <w:rPr>
          <w:rFonts w:ascii="Arial Narrow" w:hAnsi="Arial Narrow"/>
          <w:lang w:val="bg-BG"/>
        </w:rPr>
      </w:pPr>
      <w:r w:rsidRPr="004173C8">
        <w:rPr>
          <w:rFonts w:ascii="Arial Narrow" w:hAnsi="Arial Narrow"/>
          <w:lang w:val="bg-BG"/>
        </w:rPr>
        <w:t>Растителна геномика и метаболомика;</w:t>
      </w:r>
    </w:p>
    <w:p w14:paraId="31EAC6BC" w14:textId="77777777" w:rsidR="008009F8" w:rsidRPr="004173C8" w:rsidRDefault="008009F8" w:rsidP="009C6577">
      <w:pPr>
        <w:pStyle w:val="ListParagraph"/>
        <w:numPr>
          <w:ilvl w:val="0"/>
          <w:numId w:val="57"/>
        </w:numPr>
        <w:spacing w:after="120"/>
        <w:ind w:left="714" w:hanging="357"/>
        <w:contextualSpacing w:val="0"/>
        <w:jc w:val="both"/>
        <w:rPr>
          <w:rFonts w:ascii="Arial Narrow" w:hAnsi="Arial Narrow"/>
          <w:lang w:val="bg-BG"/>
        </w:rPr>
      </w:pPr>
      <w:r w:rsidRPr="004173C8">
        <w:rPr>
          <w:rFonts w:ascii="Arial Narrow" w:hAnsi="Arial Narrow"/>
          <w:lang w:val="bg-BG"/>
        </w:rPr>
        <w:t xml:space="preserve">Прецизна селекция на растения - селекция с помощта на маркери, техники за редактиране на генома, растителна феномика; </w:t>
      </w:r>
    </w:p>
    <w:p w14:paraId="16D6DBB6" w14:textId="77777777" w:rsidR="008009F8" w:rsidRPr="004173C8" w:rsidRDefault="008009F8" w:rsidP="009C6577">
      <w:pPr>
        <w:pStyle w:val="ListParagraph"/>
        <w:numPr>
          <w:ilvl w:val="0"/>
          <w:numId w:val="57"/>
        </w:numPr>
        <w:spacing w:after="120"/>
        <w:ind w:left="714" w:hanging="357"/>
        <w:contextualSpacing w:val="0"/>
        <w:jc w:val="both"/>
        <w:rPr>
          <w:rFonts w:ascii="Arial Narrow" w:hAnsi="Arial Narrow"/>
          <w:lang w:val="bg-BG"/>
        </w:rPr>
      </w:pPr>
      <w:r w:rsidRPr="004173C8">
        <w:rPr>
          <w:rFonts w:ascii="Arial Narrow" w:hAnsi="Arial Narrow"/>
          <w:lang w:val="bg-BG"/>
        </w:rPr>
        <w:t>Култивиране на растителни клетки и тъкани;</w:t>
      </w:r>
    </w:p>
    <w:p w14:paraId="4BB79E8C" w14:textId="77777777" w:rsidR="008009F8" w:rsidRPr="004173C8" w:rsidRDefault="008009F8" w:rsidP="009C6577">
      <w:pPr>
        <w:pStyle w:val="ListParagraph"/>
        <w:numPr>
          <w:ilvl w:val="0"/>
          <w:numId w:val="57"/>
        </w:numPr>
        <w:spacing w:after="120"/>
        <w:ind w:left="714" w:hanging="357"/>
        <w:contextualSpacing w:val="0"/>
        <w:jc w:val="both"/>
        <w:rPr>
          <w:rFonts w:ascii="Arial Narrow" w:hAnsi="Arial Narrow"/>
          <w:lang w:val="bg-BG"/>
        </w:rPr>
      </w:pPr>
      <w:r w:rsidRPr="004173C8">
        <w:rPr>
          <w:rFonts w:ascii="Arial Narrow" w:hAnsi="Arial Narrow"/>
          <w:lang w:val="bg-BG"/>
        </w:rPr>
        <w:t>Полезен почвен микробиом, фиторемедиация, биотехнологични инструменти за управление на плодородието на почвата, развитието и здравето на растенията.</w:t>
      </w:r>
    </w:p>
    <w:p w14:paraId="5E4A3AFF" w14:textId="77777777" w:rsidR="008009F8" w:rsidRPr="004173C8" w:rsidRDefault="008009F8" w:rsidP="008009F8">
      <w:pPr>
        <w:spacing w:after="120"/>
        <w:ind w:firstLine="708"/>
        <w:jc w:val="both"/>
        <w:rPr>
          <w:rFonts w:ascii="Arial Narrow" w:hAnsi="Arial Narrow"/>
          <w:bCs/>
          <w:lang w:val="bg-BG"/>
        </w:rPr>
      </w:pPr>
      <w:r w:rsidRPr="004173C8">
        <w:rPr>
          <w:rFonts w:ascii="Arial Narrow" w:hAnsi="Arial Narrow"/>
          <w:bCs/>
          <w:lang w:val="bg-BG"/>
        </w:rPr>
        <w:lastRenderedPageBreak/>
        <w:t xml:space="preserve">В помощ на земеделските стопани и животновъди ССА поддържа Център за професионално обучение (ЦПО), чиято основна цел е осигуряване на квалифицирани кадри за аграрния сектор и качествена професионална подготовка. През </w:t>
      </w:r>
      <w:r>
        <w:rPr>
          <w:rFonts w:ascii="Arial Narrow" w:hAnsi="Arial Narrow"/>
          <w:bCs/>
          <w:lang w:val="bg-BG"/>
        </w:rPr>
        <w:t>2024 г.</w:t>
      </w:r>
      <w:r w:rsidRPr="004173C8">
        <w:rPr>
          <w:rFonts w:ascii="Arial Narrow" w:hAnsi="Arial Narrow"/>
          <w:bCs/>
          <w:lang w:val="bg-BG"/>
        </w:rPr>
        <w:t xml:space="preserve"> в ЦПО и Института по земеделие в Стара Загора са обучени 763 човека в рамките на различни специалности от професиите „Фермер“ и „Земеделец“, „Агроекология“ и „Хигиена и безопасност на фуражите при хранене на животните“, „Качество и безопасност на фуражите и добри практики при хранене на животните“.</w:t>
      </w:r>
    </w:p>
    <w:p w14:paraId="60C6362E" w14:textId="77777777" w:rsidR="008009F8" w:rsidRPr="004173C8" w:rsidRDefault="008009F8" w:rsidP="008009F8">
      <w:pPr>
        <w:spacing w:after="120"/>
        <w:ind w:firstLine="708"/>
        <w:jc w:val="both"/>
        <w:rPr>
          <w:rFonts w:ascii="Arial Narrow" w:hAnsi="Arial Narrow"/>
          <w:bCs/>
          <w:lang w:val="bg-BG"/>
        </w:rPr>
      </w:pPr>
      <w:r w:rsidRPr="004173C8">
        <w:rPr>
          <w:rFonts w:ascii="Arial Narrow" w:hAnsi="Arial Narrow"/>
          <w:bCs/>
          <w:lang w:val="bg-BG"/>
        </w:rPr>
        <w:t>Съществена част от обществената и обучителна дейност на Националния земеделски музей и на структурните звена на ССА е насочена към работата с деца и ученици. Целта е да се разшири информираност</w:t>
      </w:r>
      <w:r>
        <w:rPr>
          <w:rFonts w:ascii="Arial Narrow" w:hAnsi="Arial Narrow"/>
          <w:bCs/>
          <w:lang w:val="bg-BG"/>
        </w:rPr>
        <w:t>та на подрастващите</w:t>
      </w:r>
      <w:r w:rsidRPr="004173C8">
        <w:rPr>
          <w:rFonts w:ascii="Arial Narrow" w:hAnsi="Arial Narrow"/>
          <w:bCs/>
          <w:lang w:val="bg-BG"/>
        </w:rPr>
        <w:t xml:space="preserve"> и да се събуди интересът им към земеделската наука. През годината над 400 деца от детски градини, ученици от началните и средни училища са участвали в занятия и демонстрации на различни теми: отглеждането и използването на плодовете от череши, за бубарството като поминък и бъдещото развитие на този традиционен отрасъл, на техники за отглеждане на лозови насаждения и др.</w:t>
      </w:r>
    </w:p>
    <w:p w14:paraId="2F1971FB" w14:textId="77777777" w:rsidR="009253ED" w:rsidRPr="008009F8" w:rsidRDefault="003E1405" w:rsidP="00513FF4">
      <w:pPr>
        <w:pStyle w:val="ListParagraph"/>
        <w:numPr>
          <w:ilvl w:val="2"/>
          <w:numId w:val="16"/>
        </w:numPr>
        <w:spacing w:after="120"/>
        <w:ind w:left="990" w:hanging="630"/>
        <w:outlineLvl w:val="0"/>
        <w:rPr>
          <w:rFonts w:ascii="Arial Narrow" w:eastAsiaTheme="minorHAnsi" w:hAnsi="Arial Narrow" w:cstheme="minorBidi"/>
          <w:b/>
          <w:lang w:val="bg-BG"/>
        </w:rPr>
      </w:pPr>
      <w:bookmarkStart w:id="197" w:name="_Toc210747643"/>
      <w:r w:rsidRPr="008009F8">
        <w:rPr>
          <w:rFonts w:ascii="Arial Narrow" w:eastAsiaTheme="minorHAnsi" w:hAnsi="Arial Narrow" w:cstheme="minorBidi"/>
          <w:b/>
          <w:lang w:val="bg-BG"/>
        </w:rPr>
        <w:t>Квалификационна структура на учените и обучение на докторанти</w:t>
      </w:r>
      <w:bookmarkEnd w:id="197"/>
      <w:r w:rsidRPr="008009F8">
        <w:rPr>
          <w:rFonts w:ascii="Arial Narrow" w:eastAsiaTheme="minorHAnsi" w:hAnsi="Arial Narrow" w:cstheme="minorBidi"/>
          <w:b/>
          <w:lang w:val="bg-BG"/>
        </w:rPr>
        <w:t xml:space="preserve"> </w:t>
      </w:r>
    </w:p>
    <w:p w14:paraId="7E3679E7" w14:textId="77777777" w:rsidR="008009F8" w:rsidRPr="004173C8" w:rsidRDefault="008009F8" w:rsidP="008009F8">
      <w:pPr>
        <w:spacing w:after="120"/>
        <w:ind w:firstLine="708"/>
        <w:jc w:val="both"/>
        <w:rPr>
          <w:rFonts w:ascii="Arial Narrow" w:hAnsi="Arial Narrow"/>
          <w:lang w:val="bg-BG"/>
        </w:rPr>
      </w:pPr>
      <w:r w:rsidRPr="004173C8">
        <w:rPr>
          <w:rFonts w:ascii="Arial Narrow" w:hAnsi="Arial Narrow"/>
          <w:lang w:val="bg-BG"/>
        </w:rPr>
        <w:t xml:space="preserve">През 2024 г. в ССА са работили 497 учени. Наблюдава се подобряване на възрастовата структура на учените спрямо 2023 г. и увеличаване броя на учените до 35 годишна възраст. </w:t>
      </w:r>
    </w:p>
    <w:p w14:paraId="0AEF9D50" w14:textId="77777777" w:rsidR="008009F8" w:rsidRPr="004173C8" w:rsidRDefault="008009F8" w:rsidP="008009F8">
      <w:pPr>
        <w:spacing w:after="120"/>
        <w:ind w:firstLine="708"/>
        <w:jc w:val="both"/>
        <w:rPr>
          <w:rFonts w:ascii="Arial Narrow" w:hAnsi="Arial Narrow"/>
          <w:lang w:val="bg-BG"/>
        </w:rPr>
      </w:pPr>
      <w:r w:rsidRPr="004173C8">
        <w:rPr>
          <w:rFonts w:ascii="Arial Narrow" w:hAnsi="Arial Narrow"/>
          <w:lang w:val="bg-BG"/>
        </w:rPr>
        <w:t xml:space="preserve">През годината в структурните звена на ССА </w:t>
      </w:r>
      <w:r>
        <w:rPr>
          <w:rFonts w:ascii="Arial Narrow" w:hAnsi="Arial Narrow"/>
          <w:lang w:val="bg-BG"/>
        </w:rPr>
        <w:t xml:space="preserve">са </w:t>
      </w:r>
      <w:r w:rsidRPr="004173C8">
        <w:rPr>
          <w:rFonts w:ascii="Arial Narrow" w:hAnsi="Arial Narrow"/>
          <w:lang w:val="bg-BG"/>
        </w:rPr>
        <w:t>се обучава</w:t>
      </w:r>
      <w:r>
        <w:rPr>
          <w:rFonts w:ascii="Arial Narrow" w:hAnsi="Arial Narrow"/>
          <w:lang w:val="bg-BG"/>
        </w:rPr>
        <w:t>ли</w:t>
      </w:r>
      <w:r w:rsidRPr="004173C8">
        <w:rPr>
          <w:rFonts w:ascii="Arial Narrow" w:hAnsi="Arial Narrow"/>
          <w:lang w:val="bg-BG"/>
        </w:rPr>
        <w:t xml:space="preserve"> 55 докторанти. Обучението на докторантите се осъществява в 21 научни института на Академията по 28 докторски програми (общо 53 акредитации), от 8 професионални направления в 4 научни области, одобрени от Националната агенция по обучение и акредитация. Успешно са защитили дисертационните си трудове 12 докторанти.</w:t>
      </w:r>
    </w:p>
    <w:p w14:paraId="2572CC6C" w14:textId="77777777" w:rsidR="008009F8" w:rsidRPr="004173C8" w:rsidRDefault="008009F8" w:rsidP="008009F8">
      <w:pPr>
        <w:spacing w:after="120"/>
        <w:ind w:firstLine="708"/>
        <w:jc w:val="both"/>
        <w:rPr>
          <w:rFonts w:ascii="Arial Narrow" w:hAnsi="Arial Narrow"/>
          <w:lang w:val="bg-BG"/>
        </w:rPr>
      </w:pPr>
      <w:r w:rsidRPr="004173C8">
        <w:rPr>
          <w:rFonts w:ascii="Arial Narrow" w:hAnsi="Arial Narrow"/>
          <w:lang w:val="bg-BG"/>
        </w:rPr>
        <w:t>През 2024 г. ССА получи одобрение на проект по програма „Образование 2021-2027 г.“ на МОН за създаване на докторантско училище в ЦА на ССА и обучение на 24 проектни докторанти по 9 акредитирани програми в 12 структурни звена на ССА.</w:t>
      </w:r>
    </w:p>
    <w:p w14:paraId="40191437" w14:textId="77777777" w:rsidR="009253ED" w:rsidRPr="00B10684" w:rsidRDefault="008009F8" w:rsidP="00513FF4">
      <w:pPr>
        <w:pStyle w:val="ListParagraph"/>
        <w:numPr>
          <w:ilvl w:val="2"/>
          <w:numId w:val="16"/>
        </w:numPr>
        <w:spacing w:after="120"/>
        <w:ind w:left="990" w:hanging="630"/>
        <w:outlineLvl w:val="0"/>
        <w:rPr>
          <w:rFonts w:ascii="Arial Narrow" w:eastAsiaTheme="minorHAnsi" w:hAnsi="Arial Narrow" w:cstheme="minorBidi"/>
          <w:b/>
          <w:color w:val="FF0000"/>
          <w:lang w:val="bg-BG"/>
        </w:rPr>
      </w:pPr>
      <w:bookmarkStart w:id="198" w:name="_Toc210747644"/>
      <w:r w:rsidRPr="004173C8">
        <w:rPr>
          <w:rFonts w:ascii="Arial Narrow" w:hAnsi="Arial Narrow"/>
          <w:b/>
          <w:lang w:val="bg-BG"/>
        </w:rPr>
        <w:t>Наукометрични резултати  и специализирана научна периодика</w:t>
      </w:r>
      <w:bookmarkEnd w:id="198"/>
    </w:p>
    <w:p w14:paraId="1D2958AD" w14:textId="77777777" w:rsidR="008009F8" w:rsidRPr="004173C8" w:rsidRDefault="008009F8" w:rsidP="008009F8">
      <w:pPr>
        <w:spacing w:after="120"/>
        <w:ind w:firstLine="708"/>
        <w:jc w:val="both"/>
        <w:rPr>
          <w:rFonts w:ascii="Arial Narrow" w:hAnsi="Arial Narrow"/>
          <w:bCs/>
          <w:lang w:val="bg-BG"/>
        </w:rPr>
      </w:pPr>
      <w:r w:rsidRPr="004173C8">
        <w:rPr>
          <w:rFonts w:ascii="Arial Narrow" w:hAnsi="Arial Narrow"/>
          <w:lang w:val="bg-BG"/>
        </w:rPr>
        <w:t>През 2024 г. са публикувани общо 686 научни труда</w:t>
      </w:r>
      <w:r w:rsidRPr="004173C8">
        <w:rPr>
          <w:rFonts w:ascii="Arial Narrow" w:hAnsi="Arial Narrow"/>
          <w:bCs/>
          <w:lang w:val="bg-BG"/>
        </w:rPr>
        <w:t>, от които 321 статии в списания с импакт фактор и импакт ранг. Посочените публикации са реферирани и индексирани в различни платформи на световните бази данни за научна информация Web of Science и/или Scopus. Броят на независимите цитирания е 3</w:t>
      </w:r>
      <w:r>
        <w:rPr>
          <w:rFonts w:ascii="Arial Narrow" w:hAnsi="Arial Narrow"/>
          <w:bCs/>
          <w:lang w:val="bg-BG"/>
        </w:rPr>
        <w:t xml:space="preserve"> </w:t>
      </w:r>
      <w:r w:rsidRPr="004173C8">
        <w:rPr>
          <w:rFonts w:ascii="Arial Narrow" w:hAnsi="Arial Narrow"/>
          <w:bCs/>
          <w:lang w:val="bg-BG"/>
        </w:rPr>
        <w:t xml:space="preserve">281, а на цитираните публикации в реферирани и индексирани списания </w:t>
      </w:r>
      <w:r w:rsidR="00FA778C">
        <w:rPr>
          <w:rFonts w:ascii="Arial Narrow" w:hAnsi="Arial Narrow"/>
          <w:bCs/>
          <w:lang w:val="bg-BG"/>
        </w:rPr>
        <w:t>-</w:t>
      </w:r>
      <w:r w:rsidRPr="004173C8">
        <w:rPr>
          <w:rFonts w:ascii="Arial Narrow" w:hAnsi="Arial Narrow"/>
          <w:bCs/>
          <w:lang w:val="bg-BG"/>
        </w:rPr>
        <w:t xml:space="preserve"> 3</w:t>
      </w:r>
      <w:r>
        <w:rPr>
          <w:rFonts w:ascii="Arial Narrow" w:hAnsi="Arial Narrow"/>
          <w:bCs/>
          <w:lang w:val="bg-BG"/>
        </w:rPr>
        <w:t xml:space="preserve"> </w:t>
      </w:r>
      <w:r w:rsidRPr="004173C8">
        <w:rPr>
          <w:rFonts w:ascii="Arial Narrow" w:hAnsi="Arial Narrow"/>
          <w:bCs/>
          <w:lang w:val="bg-BG"/>
        </w:rPr>
        <w:t xml:space="preserve">141. </w:t>
      </w:r>
    </w:p>
    <w:p w14:paraId="563B9E64" w14:textId="77777777" w:rsidR="008009F8" w:rsidRPr="004173C8" w:rsidRDefault="008009F8" w:rsidP="008009F8">
      <w:pPr>
        <w:spacing w:after="120"/>
        <w:ind w:firstLine="708"/>
        <w:jc w:val="both"/>
        <w:rPr>
          <w:rFonts w:ascii="Arial Narrow" w:hAnsi="Arial Narrow"/>
          <w:bCs/>
          <w:lang w:val="bg-BG"/>
        </w:rPr>
      </w:pPr>
      <w:r w:rsidRPr="004173C8">
        <w:rPr>
          <w:rFonts w:ascii="Arial Narrow" w:hAnsi="Arial Narrow"/>
          <w:bCs/>
          <w:lang w:val="bg-BG"/>
        </w:rPr>
        <w:t>Издаваните от ССА научни списания са: „Животновъдни науки“, „Икономика и управление на селското стопанство“, „Почвознание, агрохимия и екология“, „Растениевъдни науки“ и „Bulgarian Journal of Agricultural Science“. През 2024 г. архивът на петте списания до 2005 г. е дигитализиран и качен на софтуерната платформа за управ</w:t>
      </w:r>
      <w:r w:rsidR="00FA778C">
        <w:rPr>
          <w:rFonts w:ascii="Arial Narrow" w:hAnsi="Arial Narrow"/>
          <w:bCs/>
          <w:lang w:val="bg-BG"/>
        </w:rPr>
        <w:t>ление на публикационния процес -</w:t>
      </w:r>
      <w:r w:rsidRPr="004173C8">
        <w:rPr>
          <w:rFonts w:ascii="Arial Narrow" w:hAnsi="Arial Narrow"/>
          <w:bCs/>
          <w:lang w:val="bg-BG"/>
        </w:rPr>
        <w:t xml:space="preserve"> OJS (Open Journal System). През годината са публикувани общо 299 статии. </w:t>
      </w:r>
    </w:p>
    <w:p w14:paraId="48384F59" w14:textId="77777777" w:rsidR="008009F8" w:rsidRPr="004173C8" w:rsidRDefault="008009F8" w:rsidP="008009F8">
      <w:pPr>
        <w:spacing w:after="120"/>
        <w:ind w:firstLine="708"/>
        <w:jc w:val="both"/>
        <w:rPr>
          <w:rFonts w:ascii="Arial Narrow" w:hAnsi="Arial Narrow"/>
          <w:b/>
          <w:lang w:val="bg-BG"/>
        </w:rPr>
      </w:pPr>
      <w:r w:rsidRPr="004173C8">
        <w:rPr>
          <w:rFonts w:ascii="Arial Narrow" w:hAnsi="Arial Narrow"/>
          <w:b/>
          <w:lang w:val="bg-BG"/>
        </w:rPr>
        <w:t>Очаквани данни за 2025 г.</w:t>
      </w:r>
    </w:p>
    <w:p w14:paraId="3348EE30" w14:textId="77777777" w:rsidR="008009F8" w:rsidRPr="004173C8" w:rsidRDefault="008009F8" w:rsidP="008009F8">
      <w:pPr>
        <w:spacing w:after="120"/>
        <w:ind w:firstLine="708"/>
        <w:jc w:val="both"/>
        <w:rPr>
          <w:rFonts w:ascii="Arial Narrow" w:hAnsi="Arial Narrow"/>
          <w:lang w:val="bg-BG"/>
        </w:rPr>
      </w:pPr>
      <w:r w:rsidRPr="004173C8">
        <w:rPr>
          <w:rFonts w:ascii="Arial Narrow" w:hAnsi="Arial Narrow"/>
          <w:lang w:val="bg-BG"/>
        </w:rPr>
        <w:t>През 2025 г. продължава научноизследователската дейност по проектите, финансирани от бюджетната субсидия, националните научни програми, международните проекти, какт</w:t>
      </w:r>
      <w:r w:rsidR="00FA778C">
        <w:rPr>
          <w:rFonts w:ascii="Arial Narrow" w:hAnsi="Arial Narrow"/>
          <w:lang w:val="bg-BG"/>
        </w:rPr>
        <w:t>о и на тези финансирани от ФНИ -</w:t>
      </w:r>
      <w:r w:rsidRPr="004173C8">
        <w:rPr>
          <w:rFonts w:ascii="Arial Narrow" w:hAnsi="Arial Narrow"/>
          <w:lang w:val="bg-BG"/>
        </w:rPr>
        <w:t xml:space="preserve"> общо 224 проекта.  </w:t>
      </w:r>
    </w:p>
    <w:p w14:paraId="0FE66DA6" w14:textId="77777777" w:rsidR="008009F8" w:rsidRPr="004173C8" w:rsidRDefault="008009F8" w:rsidP="008009F8">
      <w:pPr>
        <w:spacing w:after="120"/>
        <w:ind w:firstLine="708"/>
        <w:jc w:val="both"/>
        <w:rPr>
          <w:rFonts w:ascii="Arial Narrow" w:hAnsi="Arial Narrow"/>
          <w:lang w:val="bg-BG"/>
        </w:rPr>
      </w:pPr>
      <w:r w:rsidRPr="004173C8">
        <w:rPr>
          <w:rFonts w:ascii="Arial Narrow" w:hAnsi="Arial Narrow"/>
          <w:lang w:val="bg-BG"/>
        </w:rPr>
        <w:t>В допълнение на досегашните дейности, свързани с разработването и прилагането на научно-изследователски проекти, трансфер на знания и иновации, създаване и внедряване в производството на научни продукти, повишаване на знанията и квалификацията на учените, през 2025 г. в структурните звена на ССА се очаква:</w:t>
      </w:r>
    </w:p>
    <w:p w14:paraId="1609345A" w14:textId="77777777" w:rsidR="008009F8" w:rsidRPr="00B76167" w:rsidRDefault="008009F8" w:rsidP="009C6577">
      <w:pPr>
        <w:pStyle w:val="ListParagraph"/>
        <w:numPr>
          <w:ilvl w:val="0"/>
          <w:numId w:val="57"/>
        </w:numPr>
        <w:spacing w:after="120"/>
        <w:ind w:left="714" w:hanging="357"/>
        <w:contextualSpacing w:val="0"/>
        <w:jc w:val="both"/>
        <w:rPr>
          <w:rFonts w:ascii="Arial Narrow" w:hAnsi="Arial Narrow"/>
          <w:lang w:val="bg-BG"/>
        </w:rPr>
      </w:pPr>
      <w:r w:rsidRPr="004173C8">
        <w:rPr>
          <w:rFonts w:ascii="Arial Narrow" w:hAnsi="Arial Narrow"/>
          <w:lang w:val="bg-BG"/>
        </w:rPr>
        <w:t xml:space="preserve">да бъде изградено и да функционира </w:t>
      </w:r>
      <w:r w:rsidRPr="00B76167">
        <w:rPr>
          <w:rFonts w:ascii="Arial Narrow" w:hAnsi="Arial Narrow"/>
          <w:lang w:val="bg-BG"/>
        </w:rPr>
        <w:t>докторантско училище</w:t>
      </w:r>
      <w:r w:rsidRPr="004173C8">
        <w:rPr>
          <w:rFonts w:ascii="Arial Narrow" w:hAnsi="Arial Narrow"/>
          <w:lang w:val="bg-BG"/>
        </w:rPr>
        <w:t xml:space="preserve"> по проект „Подкрепа за развитие на проектна докторантура в Селскостопанска академия“, </w:t>
      </w:r>
      <w:r>
        <w:rPr>
          <w:rFonts w:ascii="Arial Narrow" w:hAnsi="Arial Narrow"/>
          <w:lang w:val="bg-BG"/>
        </w:rPr>
        <w:t>съгласно</w:t>
      </w:r>
      <w:r w:rsidRPr="004173C8">
        <w:rPr>
          <w:rFonts w:ascii="Arial Narrow" w:hAnsi="Arial Narrow"/>
          <w:lang w:val="bg-BG"/>
        </w:rPr>
        <w:t xml:space="preserve"> договор за предоставяне на безвъзмездна финансова помощ по Програма „Образование“ 2021-2027 г. Чрез него ще се надгради капацитета и ще се повиши качеството на обучение на докторантите в Селскостопанска академия чрез стимулиране обмена на знания и иновации между науката и бизнеса</w:t>
      </w:r>
      <w:r>
        <w:rPr>
          <w:rFonts w:ascii="Arial Narrow" w:hAnsi="Arial Narrow"/>
          <w:lang w:val="bg-BG"/>
        </w:rPr>
        <w:t>.</w:t>
      </w:r>
      <w:r w:rsidRPr="004173C8">
        <w:rPr>
          <w:rFonts w:ascii="Arial Narrow" w:hAnsi="Arial Narrow"/>
          <w:lang w:val="bg-BG"/>
        </w:rPr>
        <w:t xml:space="preserve"> </w:t>
      </w:r>
      <w:r w:rsidRPr="00B76167">
        <w:rPr>
          <w:rFonts w:ascii="Arial Narrow" w:hAnsi="Arial Narrow"/>
          <w:lang w:val="bg-BG"/>
        </w:rPr>
        <w:t>В рамките на 2025 г. се очаква да бъдат зачислени 20 проектни докторанти в редовна форма на обучение по 9 акредитирани докторски програми и научни спец</w:t>
      </w:r>
      <w:r w:rsidR="000914FD">
        <w:rPr>
          <w:rFonts w:ascii="Arial Narrow" w:hAnsi="Arial Narrow"/>
          <w:lang w:val="bg-BG"/>
        </w:rPr>
        <w:t>иалности на 12 института на ССА;</w:t>
      </w:r>
    </w:p>
    <w:p w14:paraId="7A2A1943" w14:textId="77777777" w:rsidR="008009F8" w:rsidRPr="004173C8" w:rsidRDefault="008009F8" w:rsidP="009C6577">
      <w:pPr>
        <w:pStyle w:val="ListParagraph"/>
        <w:numPr>
          <w:ilvl w:val="0"/>
          <w:numId w:val="57"/>
        </w:numPr>
        <w:spacing w:after="120"/>
        <w:ind w:left="714" w:hanging="357"/>
        <w:contextualSpacing w:val="0"/>
        <w:jc w:val="both"/>
        <w:rPr>
          <w:rFonts w:ascii="Arial Narrow" w:hAnsi="Arial Narrow"/>
          <w:lang w:val="bg-BG"/>
        </w:rPr>
      </w:pPr>
      <w:r w:rsidRPr="004173C8">
        <w:rPr>
          <w:rFonts w:ascii="Arial Narrow" w:hAnsi="Arial Narrow"/>
          <w:lang w:val="bg-BG"/>
        </w:rPr>
        <w:lastRenderedPageBreak/>
        <w:t xml:space="preserve">да стартира изграждането на </w:t>
      </w:r>
      <w:r w:rsidRPr="00B76167">
        <w:rPr>
          <w:rFonts w:ascii="Arial Narrow" w:hAnsi="Arial Narrow"/>
          <w:lang w:val="bg-BG"/>
        </w:rPr>
        <w:t>център за компетентност „Агрохранителни системи и биоикономика</w:t>
      </w:r>
      <w:r w:rsidRPr="004173C8">
        <w:rPr>
          <w:rFonts w:ascii="Arial Narrow" w:hAnsi="Arial Narrow"/>
          <w:lang w:val="bg-BG"/>
        </w:rPr>
        <w:t xml:space="preserve">“, който да спомогне за интегрирането на принципите на биоикономиката в модернизацията на българския агрохранителен сектор. </w:t>
      </w:r>
    </w:p>
    <w:p w14:paraId="3C1824DD" w14:textId="77777777" w:rsidR="008661D0" w:rsidRPr="008009F8" w:rsidRDefault="009253ED" w:rsidP="008661D0">
      <w:pPr>
        <w:pStyle w:val="ListParagraph"/>
        <w:numPr>
          <w:ilvl w:val="1"/>
          <w:numId w:val="16"/>
        </w:numPr>
        <w:spacing w:after="120"/>
        <w:ind w:left="788" w:hanging="431"/>
        <w:jc w:val="both"/>
        <w:outlineLvl w:val="0"/>
        <w:rPr>
          <w:rFonts w:ascii="Arial Narrow" w:eastAsiaTheme="minorHAnsi" w:hAnsi="Arial Narrow" w:cstheme="minorBidi"/>
          <w:b/>
          <w:lang w:val="bg-BG"/>
        </w:rPr>
      </w:pPr>
      <w:bookmarkStart w:id="199" w:name="_Toc210747645"/>
      <w:r w:rsidRPr="008009F8">
        <w:rPr>
          <w:rFonts w:ascii="Arial Narrow" w:eastAsiaTheme="minorHAnsi" w:hAnsi="Arial Narrow" w:cstheme="minorBidi"/>
          <w:b/>
          <w:lang w:val="bg-BG"/>
        </w:rPr>
        <w:t>Съветническа дейност</w:t>
      </w:r>
      <w:bookmarkEnd w:id="199"/>
    </w:p>
    <w:p w14:paraId="054B0024" w14:textId="77777777" w:rsidR="008009F8" w:rsidRPr="004173C8" w:rsidRDefault="008009F8" w:rsidP="008009F8">
      <w:pPr>
        <w:spacing w:before="120" w:after="120"/>
        <w:ind w:firstLine="709"/>
        <w:jc w:val="both"/>
        <w:rPr>
          <w:rFonts w:ascii="Arial Narrow" w:hAnsi="Arial Narrow"/>
          <w:lang w:val="bg-BG"/>
        </w:rPr>
      </w:pPr>
      <w:r w:rsidRPr="004173C8">
        <w:rPr>
          <w:rFonts w:ascii="Arial Narrow" w:hAnsi="Arial Narrow"/>
          <w:lang w:val="bg-BG"/>
        </w:rPr>
        <w:t>Националната служба за съвети в земеделието (НССЗ) е публична съветническа организация в структурата на МЗХ, чиято дейност е свързана с провеждане на държавната политика в областта на Системата за знания и иновации в селското стопанство (СЗИСС/AKIS). Службата предоставя съветнически услуги, актуална информация и техническа помощ на земеделските стопани за осъществяване на ефективно и конкурентно земеделие в страната.</w:t>
      </w:r>
      <w:r w:rsidRPr="00B76167">
        <w:rPr>
          <w:rFonts w:ascii="Arial Narrow" w:hAnsi="Arial Narrow"/>
          <w:lang w:val="bg-BG"/>
        </w:rPr>
        <w:t xml:space="preserve"> </w:t>
      </w:r>
    </w:p>
    <w:p w14:paraId="29510DFE" w14:textId="77777777" w:rsidR="008009F8" w:rsidRPr="004173C8" w:rsidRDefault="008009F8" w:rsidP="008009F8">
      <w:pPr>
        <w:spacing w:before="120" w:after="120"/>
        <w:ind w:firstLine="709"/>
        <w:jc w:val="both"/>
        <w:rPr>
          <w:rFonts w:ascii="Arial Narrow" w:hAnsi="Arial Narrow"/>
          <w:lang w:val="bg-BG"/>
        </w:rPr>
      </w:pPr>
      <w:r w:rsidRPr="004173C8">
        <w:rPr>
          <w:rFonts w:ascii="Arial Narrow" w:hAnsi="Arial Narrow"/>
          <w:lang w:val="bg-BG"/>
        </w:rPr>
        <w:t>НССЗ извършва дейността си на територията на цялата страна чрез изградените 27 териториални областни офиси (ТОО) във всеки областен град и 28 мобилни общински офиса (МОО), с териториално покритие на 96 общини в страната. Земеделските стопани могат да получат безплатно консултации в областта на растениевъдството, животновъдството, аграрната икономика, Програмата за развитие на селските райони 2014 – 2022 г. (ПРСР) и Стратегически</w:t>
      </w:r>
      <w:r>
        <w:rPr>
          <w:rFonts w:ascii="Arial Narrow" w:hAnsi="Arial Narrow"/>
          <w:lang w:val="bg-BG"/>
        </w:rPr>
        <w:t>я</w:t>
      </w:r>
      <w:r w:rsidRPr="004173C8">
        <w:rPr>
          <w:rFonts w:ascii="Arial Narrow" w:hAnsi="Arial Narrow"/>
          <w:lang w:val="bg-BG"/>
        </w:rPr>
        <w:t xml:space="preserve"> план за развитие на земеделието и селските райони на Република България (СПРЗСР) за периода 2023-2027 г.</w:t>
      </w:r>
    </w:p>
    <w:p w14:paraId="2592837F" w14:textId="77777777" w:rsidR="008009F8" w:rsidRPr="004173C8" w:rsidRDefault="008009F8" w:rsidP="008009F8">
      <w:pPr>
        <w:spacing w:before="120" w:after="120"/>
        <w:ind w:firstLine="709"/>
        <w:jc w:val="both"/>
        <w:rPr>
          <w:rFonts w:ascii="Arial Narrow" w:hAnsi="Arial Narrow"/>
          <w:lang w:val="bg-BG"/>
        </w:rPr>
      </w:pPr>
      <w:r>
        <w:rPr>
          <w:rFonts w:ascii="Arial Narrow" w:hAnsi="Arial Narrow"/>
          <w:lang w:val="bg-BG"/>
        </w:rPr>
        <w:t>Службата</w:t>
      </w:r>
      <w:r w:rsidRPr="004173C8">
        <w:rPr>
          <w:rFonts w:ascii="Arial Narrow" w:hAnsi="Arial Narrow"/>
          <w:lang w:val="bg-BG"/>
        </w:rPr>
        <w:t xml:space="preserve"> подпомага трансфера и приложението на научните и практическите достижения в областта на земеделието, като по този начин оказва съдействие за усъвършенстване на връзката „научни изследвания – съвети в земеделието – земеделски бизнес". През 2024 г. се запазва тенденцията събитията да се провеждат както в присъствена форма, така и в дистанционна форма, включително и </w:t>
      </w:r>
      <w:r>
        <w:rPr>
          <w:rFonts w:ascii="Arial Narrow" w:hAnsi="Arial Narrow"/>
          <w:lang w:val="bg-BG"/>
        </w:rPr>
        <w:t xml:space="preserve">чрез </w:t>
      </w:r>
      <w:r w:rsidRPr="004173C8">
        <w:rPr>
          <w:rFonts w:ascii="Arial Narrow" w:hAnsi="Arial Narrow"/>
          <w:lang w:val="bg-BG"/>
        </w:rPr>
        <w:t>провеждане на голям брой демонстрационни събития с практическа насоченост.</w:t>
      </w:r>
      <w:r>
        <w:rPr>
          <w:rFonts w:ascii="Arial Narrow" w:hAnsi="Arial Narrow"/>
          <w:lang w:val="bg-BG"/>
        </w:rPr>
        <w:t xml:space="preserve"> </w:t>
      </w:r>
      <w:r w:rsidRPr="004173C8">
        <w:rPr>
          <w:rFonts w:ascii="Arial Narrow" w:hAnsi="Arial Narrow"/>
          <w:lang w:val="bg-BG"/>
        </w:rPr>
        <w:t xml:space="preserve">Провеждат се и изнесени приемни (консултантски дни) в различни населени места на страната, отдалечени от областните центрове, с цел улесняване достъпа на земеделските стопани до консултантските услуги. </w:t>
      </w:r>
    </w:p>
    <w:p w14:paraId="00CB57C9" w14:textId="77777777" w:rsidR="008009F8" w:rsidRPr="004173C8" w:rsidRDefault="008009F8" w:rsidP="008009F8">
      <w:pPr>
        <w:spacing w:before="120" w:after="120"/>
        <w:ind w:firstLine="709"/>
        <w:jc w:val="both"/>
        <w:rPr>
          <w:rFonts w:ascii="Arial Narrow" w:hAnsi="Arial Narrow"/>
          <w:lang w:val="bg-BG"/>
        </w:rPr>
      </w:pPr>
      <w:r w:rsidRPr="004173C8">
        <w:rPr>
          <w:rFonts w:ascii="Arial Narrow" w:hAnsi="Arial Narrow"/>
          <w:lang w:val="bg-BG"/>
        </w:rPr>
        <w:t>През 2024 г. общо 15 774 лица са получили 102 858 консултации от експертите на НССЗ. В сравнение с 2023 г. се наблюдава увеличение на броя на консултираните лица с 3</w:t>
      </w:r>
      <w:r>
        <w:rPr>
          <w:rFonts w:ascii="Arial Narrow" w:hAnsi="Arial Narrow"/>
          <w:lang w:val="bg-BG"/>
        </w:rPr>
        <w:t>,</w:t>
      </w:r>
      <w:r w:rsidRPr="004173C8">
        <w:rPr>
          <w:rFonts w:ascii="Arial Narrow" w:hAnsi="Arial Narrow"/>
          <w:lang w:val="bg-BG"/>
        </w:rPr>
        <w:t>5% и на консултациите с 9</w:t>
      </w:r>
      <w:r>
        <w:rPr>
          <w:rFonts w:ascii="Arial Narrow" w:hAnsi="Arial Narrow"/>
          <w:lang w:val="bg-BG"/>
        </w:rPr>
        <w:t>,</w:t>
      </w:r>
      <w:r w:rsidRPr="004173C8">
        <w:rPr>
          <w:rFonts w:ascii="Arial Narrow" w:hAnsi="Arial Narrow"/>
          <w:lang w:val="bg-BG"/>
        </w:rPr>
        <w:t>3%.</w:t>
      </w:r>
    </w:p>
    <w:p w14:paraId="13F379C9" w14:textId="77777777" w:rsidR="0026783D" w:rsidRPr="008009F8" w:rsidRDefault="00692435" w:rsidP="0026783D">
      <w:pPr>
        <w:keepNext/>
        <w:jc w:val="center"/>
        <w:rPr>
          <w:rFonts w:ascii="Arial Narrow" w:hAnsi="Arial Narrow"/>
          <w:b/>
          <w:i/>
          <w:lang w:eastAsia="bg-BG"/>
        </w:rPr>
      </w:pPr>
      <w:r w:rsidRPr="008009F8">
        <w:rPr>
          <w:rFonts w:ascii="Arial Narrow" w:hAnsi="Arial Narrow"/>
          <w:b/>
          <w:i/>
          <w:lang w:eastAsia="bg-BG"/>
        </w:rPr>
        <w:t xml:space="preserve">Фигура </w:t>
      </w:r>
      <w:r w:rsidR="00371F7E" w:rsidRPr="008009F8">
        <w:rPr>
          <w:rFonts w:ascii="Arial Narrow" w:eastAsiaTheme="minorHAnsi" w:hAnsi="Arial Narrow" w:cstheme="minorBidi"/>
          <w:b/>
          <w:i/>
        </w:rPr>
        <w:t>V</w:t>
      </w:r>
      <w:r w:rsidR="00371F7E" w:rsidRPr="008009F8">
        <w:rPr>
          <w:rFonts w:ascii="Arial Narrow" w:eastAsiaTheme="minorHAnsi" w:hAnsi="Arial Narrow" w:cstheme="minorBidi"/>
          <w:b/>
          <w:i/>
          <w:lang w:val="bg-BG"/>
        </w:rPr>
        <w:t>.</w:t>
      </w:r>
      <w:r w:rsidR="0026783D" w:rsidRPr="008009F8">
        <w:rPr>
          <w:rFonts w:ascii="Arial Narrow" w:eastAsiaTheme="minorHAnsi" w:hAnsi="Arial Narrow" w:cstheme="minorBidi"/>
          <w:b/>
          <w:i/>
        </w:rPr>
        <w:t>7</w:t>
      </w:r>
      <w:r w:rsidR="00371F7E" w:rsidRPr="008009F8">
        <w:rPr>
          <w:rFonts w:ascii="Arial Narrow" w:eastAsiaTheme="minorHAnsi" w:hAnsi="Arial Narrow" w:cstheme="minorBidi"/>
          <w:b/>
          <w:i/>
          <w:lang w:val="bg-BG"/>
        </w:rPr>
        <w:t>.</w:t>
      </w:r>
      <w:r w:rsidRPr="008009F8">
        <w:rPr>
          <w:rFonts w:ascii="Arial Narrow" w:hAnsi="Arial Narrow"/>
          <w:b/>
          <w:i/>
          <w:lang w:eastAsia="bg-BG"/>
        </w:rPr>
        <w:t xml:space="preserve"> Общ брой предоставени консултации и консултирани лица</w:t>
      </w:r>
    </w:p>
    <w:p w14:paraId="7E93DD99" w14:textId="77777777" w:rsidR="00692435" w:rsidRPr="008009F8" w:rsidRDefault="0026783D" w:rsidP="00624B19">
      <w:pPr>
        <w:keepNext/>
        <w:spacing w:after="120"/>
        <w:jc w:val="center"/>
        <w:rPr>
          <w:rFonts w:ascii="Arial Narrow" w:hAnsi="Arial Narrow"/>
          <w:b/>
          <w:i/>
          <w:lang w:eastAsia="bg-BG"/>
        </w:rPr>
      </w:pPr>
      <w:r w:rsidRPr="008009F8">
        <w:rPr>
          <w:rFonts w:ascii="Arial Narrow" w:hAnsi="Arial Narrow"/>
          <w:b/>
          <w:i/>
          <w:lang w:eastAsia="bg-BG"/>
        </w:rPr>
        <w:t xml:space="preserve"> за периода</w:t>
      </w:r>
      <w:r w:rsidR="00624B19" w:rsidRPr="008009F8">
        <w:rPr>
          <w:rFonts w:ascii="Arial Narrow" w:hAnsi="Arial Narrow"/>
          <w:b/>
          <w:i/>
          <w:lang w:val="bg-BG" w:eastAsia="bg-BG"/>
        </w:rPr>
        <w:t xml:space="preserve"> </w:t>
      </w:r>
      <w:r w:rsidR="00692435" w:rsidRPr="008009F8">
        <w:rPr>
          <w:rFonts w:ascii="Arial Narrow" w:hAnsi="Arial Narrow"/>
          <w:b/>
          <w:i/>
          <w:lang w:eastAsia="bg-BG"/>
        </w:rPr>
        <w:t>202</w:t>
      </w:r>
      <w:r w:rsidR="008009F8" w:rsidRPr="008009F8">
        <w:rPr>
          <w:rFonts w:ascii="Arial Narrow" w:hAnsi="Arial Narrow"/>
          <w:b/>
          <w:i/>
          <w:lang w:val="bg-BG" w:eastAsia="bg-BG"/>
        </w:rPr>
        <w:t>2</w:t>
      </w:r>
      <w:r w:rsidR="00692435" w:rsidRPr="008009F8">
        <w:rPr>
          <w:rFonts w:ascii="Arial Narrow" w:hAnsi="Arial Narrow"/>
          <w:b/>
          <w:i/>
          <w:lang w:eastAsia="bg-BG"/>
        </w:rPr>
        <w:t>-202</w:t>
      </w:r>
      <w:r w:rsidR="008009F8" w:rsidRPr="008009F8">
        <w:rPr>
          <w:rFonts w:ascii="Arial Narrow" w:hAnsi="Arial Narrow"/>
          <w:b/>
          <w:i/>
          <w:lang w:val="bg-BG" w:eastAsia="bg-BG"/>
        </w:rPr>
        <w:t>4</w:t>
      </w:r>
      <w:r w:rsidR="00692435" w:rsidRPr="008009F8">
        <w:rPr>
          <w:rFonts w:ascii="Arial Narrow" w:hAnsi="Arial Narrow"/>
          <w:b/>
          <w:i/>
          <w:lang w:eastAsia="bg-BG"/>
        </w:rPr>
        <w:t xml:space="preserve"> г.</w:t>
      </w:r>
    </w:p>
    <w:p w14:paraId="09A92A2A" w14:textId="77777777" w:rsidR="00692435" w:rsidRPr="00B10684" w:rsidRDefault="008009F8" w:rsidP="00692435">
      <w:pPr>
        <w:keepNext/>
        <w:spacing w:after="120"/>
        <w:jc w:val="center"/>
        <w:rPr>
          <w:rFonts w:ascii="Arial Narrow" w:hAnsi="Arial Narrow"/>
          <w:b/>
          <w:i/>
          <w:color w:val="FF0000"/>
          <w:lang w:eastAsia="bg-BG"/>
        </w:rPr>
      </w:pPr>
      <w:r w:rsidRPr="004173C8">
        <w:rPr>
          <w:noProof/>
        </w:rPr>
        <w:drawing>
          <wp:inline distT="0" distB="0" distL="0" distR="0" wp14:anchorId="0525A70A" wp14:editId="1085EB00">
            <wp:extent cx="5040000" cy="2880000"/>
            <wp:effectExtent l="0" t="0" r="8255" b="0"/>
            <wp:docPr id="40" name="Chart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39C33499" w14:textId="77777777" w:rsidR="00692435" w:rsidRPr="008009F8" w:rsidRDefault="00692435" w:rsidP="00692435">
      <w:pPr>
        <w:keepNext/>
        <w:spacing w:after="120"/>
        <w:ind w:firstLine="709"/>
        <w:rPr>
          <w:rFonts w:ascii="Arial Narrow" w:eastAsia="Calibri" w:hAnsi="Arial Narrow"/>
          <w:i/>
          <w:iCs/>
          <w:sz w:val="18"/>
          <w:szCs w:val="18"/>
        </w:rPr>
      </w:pPr>
      <w:r w:rsidRPr="008009F8">
        <w:rPr>
          <w:rFonts w:ascii="Arial Narrow" w:eastAsia="Calibri" w:hAnsi="Arial Narrow"/>
          <w:i/>
          <w:iCs/>
          <w:sz w:val="18"/>
          <w:szCs w:val="18"/>
        </w:rPr>
        <w:t>Източник</w:t>
      </w:r>
      <w:r w:rsidRPr="008009F8">
        <w:rPr>
          <w:rFonts w:ascii="Arial Narrow" w:eastAsia="Calibri" w:hAnsi="Arial Narrow"/>
          <w:iCs/>
          <w:sz w:val="18"/>
          <w:szCs w:val="18"/>
        </w:rPr>
        <w:t>: НССЗ</w:t>
      </w:r>
    </w:p>
    <w:p w14:paraId="10C592EC" w14:textId="77777777" w:rsidR="008009F8" w:rsidRPr="004173C8" w:rsidRDefault="008009F8" w:rsidP="008009F8">
      <w:pPr>
        <w:spacing w:before="120" w:after="120"/>
        <w:ind w:firstLine="709"/>
        <w:jc w:val="both"/>
        <w:rPr>
          <w:rFonts w:ascii="Arial Narrow" w:hAnsi="Arial Narrow"/>
          <w:lang w:val="bg-BG"/>
        </w:rPr>
      </w:pPr>
      <w:r w:rsidRPr="004173C8">
        <w:rPr>
          <w:rFonts w:ascii="Arial Narrow" w:hAnsi="Arial Narrow"/>
          <w:lang w:val="bg-BG"/>
        </w:rPr>
        <w:t xml:space="preserve">През годината експертите от Службата са направили 4 986 посещения на място в земеделските стопанства, което е с 25% повече спрямо 2023 г. При посещение на място в стопанствата им фермерите получават конкретни съвети и оценка на условията, в които се отглеждат селскостопанските култури и животни. </w:t>
      </w:r>
    </w:p>
    <w:p w14:paraId="06A22A33" w14:textId="77777777" w:rsidR="008009F8" w:rsidRPr="004173C8" w:rsidRDefault="008009F8" w:rsidP="008009F8">
      <w:pPr>
        <w:spacing w:before="120" w:after="120"/>
        <w:ind w:firstLine="709"/>
        <w:jc w:val="both"/>
        <w:rPr>
          <w:rFonts w:ascii="Arial Narrow" w:hAnsi="Arial Narrow"/>
          <w:lang w:val="bg-BG"/>
        </w:rPr>
      </w:pPr>
      <w:r w:rsidRPr="004173C8">
        <w:rPr>
          <w:rFonts w:ascii="Arial Narrow" w:hAnsi="Arial Narrow"/>
          <w:lang w:val="bg-BG"/>
        </w:rPr>
        <w:lastRenderedPageBreak/>
        <w:t>Водещо място през 2024 г. заемат консултациите по СПРЗСР 2023-2027 г. – 47 856 броя (47% от всички предоставени консултации)</w:t>
      </w:r>
      <w:r>
        <w:rPr>
          <w:rFonts w:ascii="Arial Narrow" w:hAnsi="Arial Narrow"/>
          <w:lang w:val="bg-BG"/>
        </w:rPr>
        <w:t>, които нарастват със 17,4% спрямо предходната година</w:t>
      </w:r>
      <w:r w:rsidRPr="004173C8">
        <w:rPr>
          <w:rFonts w:ascii="Arial Narrow" w:hAnsi="Arial Narrow"/>
          <w:lang w:val="bg-BG"/>
        </w:rPr>
        <w:t>. Най-голям интерес сред ползвалите услугите на НССЗ са предизвикали интервенциите за подпомагане на много малки земеделск</w:t>
      </w:r>
      <w:r w:rsidRPr="004173C8">
        <w:rPr>
          <w:rFonts w:ascii="Arial Narrow" w:hAnsi="Arial Narrow"/>
          <w:lang w:val="bg-BG" w:eastAsia="bg-BG"/>
        </w:rPr>
        <w:t xml:space="preserve">и стопанства и за установяване на млади и нови земеделски стопани в селското стопанство, за които </w:t>
      </w:r>
      <w:r>
        <w:rPr>
          <w:rFonts w:ascii="Arial Narrow" w:hAnsi="Arial Narrow"/>
          <w:lang w:val="bg-BG" w:eastAsia="bg-BG"/>
        </w:rPr>
        <w:t>е</w:t>
      </w:r>
      <w:r w:rsidRPr="004173C8">
        <w:rPr>
          <w:rFonts w:ascii="Arial Narrow" w:hAnsi="Arial Narrow"/>
          <w:lang w:val="bg-BG" w:eastAsia="bg-BG"/>
        </w:rPr>
        <w:t xml:space="preserve"> обявен прием през втората половина на ноември. Засилен интерес се отбелязва към интервенция II.Ж.3 „Подкрепа на организации на производители или групи от производители, за която </w:t>
      </w:r>
      <w:r>
        <w:rPr>
          <w:rFonts w:ascii="Arial Narrow" w:hAnsi="Arial Narrow"/>
          <w:lang w:val="bg-BG" w:eastAsia="bg-BG"/>
        </w:rPr>
        <w:t>е</w:t>
      </w:r>
      <w:r w:rsidRPr="004173C8">
        <w:rPr>
          <w:rFonts w:ascii="Arial Narrow" w:hAnsi="Arial Narrow"/>
          <w:lang w:val="bg-BG" w:eastAsia="bg-BG"/>
        </w:rPr>
        <w:t xml:space="preserve"> стартиран прием през м. декември. На следващо място по интерес е интервенция II.А.1 „Биологично растениевъдство“, </w:t>
      </w:r>
      <w:r>
        <w:rPr>
          <w:rFonts w:ascii="Arial Narrow" w:hAnsi="Arial Narrow"/>
          <w:lang w:val="bg-BG" w:eastAsia="bg-BG"/>
        </w:rPr>
        <w:t>за което</w:t>
      </w:r>
      <w:r w:rsidRPr="004173C8">
        <w:rPr>
          <w:rFonts w:ascii="Arial Narrow" w:hAnsi="Arial Narrow"/>
          <w:lang w:val="bg-BG" w:eastAsia="bg-BG"/>
        </w:rPr>
        <w:t xml:space="preserve"> вероятно </w:t>
      </w:r>
      <w:r>
        <w:rPr>
          <w:rFonts w:ascii="Arial Narrow" w:hAnsi="Arial Narrow"/>
          <w:lang w:val="bg-BG" w:eastAsia="bg-BG"/>
        </w:rPr>
        <w:t>допринася</w:t>
      </w:r>
      <w:r w:rsidRPr="004173C8">
        <w:rPr>
          <w:rFonts w:ascii="Arial Narrow" w:hAnsi="Arial Narrow"/>
          <w:lang w:val="bg-BG" w:eastAsia="bg-BG"/>
        </w:rPr>
        <w:t xml:space="preserve"> организирана</w:t>
      </w:r>
      <w:r>
        <w:rPr>
          <w:rFonts w:ascii="Arial Narrow" w:hAnsi="Arial Narrow"/>
          <w:lang w:val="bg-BG" w:eastAsia="bg-BG"/>
        </w:rPr>
        <w:t>та през 2024 г.</w:t>
      </w:r>
      <w:r w:rsidRPr="004173C8">
        <w:rPr>
          <w:rFonts w:ascii="Arial Narrow" w:hAnsi="Arial Narrow"/>
          <w:lang w:val="bg-BG" w:eastAsia="bg-BG"/>
        </w:rPr>
        <w:t xml:space="preserve"> национална кампания с участието на НССЗ за биологичното земеделие. От еко-схемите най-много консултации са предоставени по интервенция I.В.4 „Еко схема за намаляване използването на пестициди“.</w:t>
      </w:r>
    </w:p>
    <w:p w14:paraId="16399E6D" w14:textId="77777777" w:rsidR="00692435" w:rsidRPr="00B10684" w:rsidRDefault="0026783D" w:rsidP="00692435">
      <w:pPr>
        <w:keepNext/>
        <w:spacing w:after="120"/>
        <w:jc w:val="center"/>
        <w:rPr>
          <w:rFonts w:ascii="Arial Narrow" w:eastAsia="Calibri" w:hAnsi="Arial Narrow"/>
          <w:b/>
          <w:i/>
          <w:color w:val="FF0000"/>
          <w:lang w:val="bg-BG"/>
        </w:rPr>
      </w:pPr>
      <w:r w:rsidRPr="008009F8">
        <w:rPr>
          <w:rFonts w:ascii="Arial Narrow" w:hAnsi="Arial Narrow"/>
          <w:b/>
          <w:i/>
          <w:lang w:val="bg-BG" w:eastAsia="bg-BG"/>
        </w:rPr>
        <w:t>Фигура</w:t>
      </w:r>
      <w:r w:rsidR="00371F7E" w:rsidRPr="008009F8">
        <w:rPr>
          <w:rFonts w:ascii="Arial Narrow" w:eastAsiaTheme="minorHAnsi" w:hAnsi="Arial Narrow" w:cstheme="minorBidi"/>
          <w:b/>
          <w:i/>
        </w:rPr>
        <w:t xml:space="preserve"> V</w:t>
      </w:r>
      <w:r w:rsidR="00371F7E" w:rsidRPr="008009F8">
        <w:rPr>
          <w:rFonts w:ascii="Arial Narrow" w:eastAsiaTheme="minorHAnsi" w:hAnsi="Arial Narrow" w:cstheme="minorBidi"/>
          <w:b/>
          <w:i/>
          <w:lang w:val="bg-BG"/>
        </w:rPr>
        <w:t>.</w:t>
      </w:r>
      <w:r w:rsidRPr="008009F8">
        <w:rPr>
          <w:rFonts w:ascii="Arial Narrow" w:eastAsiaTheme="minorHAnsi" w:hAnsi="Arial Narrow" w:cstheme="minorBidi"/>
          <w:b/>
          <w:i/>
        </w:rPr>
        <w:t>8</w:t>
      </w:r>
      <w:r w:rsidR="00371F7E" w:rsidRPr="008009F8">
        <w:rPr>
          <w:rFonts w:ascii="Arial Narrow" w:eastAsiaTheme="minorHAnsi" w:hAnsi="Arial Narrow" w:cstheme="minorBidi"/>
          <w:b/>
          <w:i/>
        </w:rPr>
        <w:t>.</w:t>
      </w:r>
      <w:r w:rsidR="00371F7E" w:rsidRPr="008009F8">
        <w:rPr>
          <w:rFonts w:ascii="Arial Narrow" w:eastAsiaTheme="minorHAnsi" w:hAnsi="Arial Narrow" w:cstheme="minorBidi"/>
          <w:b/>
          <w:i/>
          <w:lang w:val="bg-BG"/>
        </w:rPr>
        <w:t xml:space="preserve"> </w:t>
      </w:r>
      <w:r w:rsidR="00692435" w:rsidRPr="008009F8">
        <w:rPr>
          <w:rFonts w:ascii="Arial Narrow" w:hAnsi="Arial Narrow"/>
          <w:b/>
          <w:i/>
          <w:lang w:val="bg-BG" w:eastAsia="bg-BG"/>
        </w:rPr>
        <w:t xml:space="preserve"> </w:t>
      </w:r>
      <w:r w:rsidR="00692435" w:rsidRPr="008009F8">
        <w:rPr>
          <w:rFonts w:ascii="Arial Narrow" w:eastAsia="Calibri" w:hAnsi="Arial Narrow"/>
          <w:b/>
          <w:i/>
          <w:lang w:val="bg-BG"/>
        </w:rPr>
        <w:t>Предоставени консултации по вид за 202</w:t>
      </w:r>
      <w:r w:rsidR="008009F8" w:rsidRPr="008009F8">
        <w:rPr>
          <w:rFonts w:ascii="Arial Narrow" w:eastAsia="Calibri" w:hAnsi="Arial Narrow"/>
          <w:b/>
          <w:i/>
          <w:lang w:val="bg-BG"/>
        </w:rPr>
        <w:t>4</w:t>
      </w:r>
      <w:r w:rsidR="00692435" w:rsidRPr="008009F8">
        <w:rPr>
          <w:rFonts w:ascii="Arial Narrow" w:eastAsia="Calibri" w:hAnsi="Arial Narrow"/>
          <w:b/>
          <w:i/>
          <w:lang w:val="bg-BG"/>
        </w:rPr>
        <w:t xml:space="preserve"> г.</w:t>
      </w:r>
    </w:p>
    <w:p w14:paraId="3B7F8268" w14:textId="77777777" w:rsidR="00692435" w:rsidRPr="00B10684" w:rsidRDefault="00692435" w:rsidP="00692435">
      <w:pPr>
        <w:spacing w:after="160"/>
        <w:jc w:val="center"/>
        <w:rPr>
          <w:rFonts w:eastAsia="Calibri"/>
          <w:b/>
          <w:color w:val="FF0000"/>
          <w:lang w:val="bg-BG"/>
        </w:rPr>
      </w:pPr>
      <w:r w:rsidRPr="00B10684">
        <w:rPr>
          <w:noProof/>
          <w:color w:val="FF0000"/>
          <w:sz w:val="20"/>
          <w:szCs w:val="20"/>
        </w:rPr>
        <w:t xml:space="preserve"> </w:t>
      </w:r>
      <w:r w:rsidR="008009F8" w:rsidRPr="004173C8">
        <w:rPr>
          <w:noProof/>
        </w:rPr>
        <w:drawing>
          <wp:inline distT="0" distB="0" distL="0" distR="0" wp14:anchorId="7C951399" wp14:editId="7E1DC20C">
            <wp:extent cx="5039995" cy="2971800"/>
            <wp:effectExtent l="38100" t="0" r="8255" b="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25BA9C36" w14:textId="77777777" w:rsidR="00692435" w:rsidRDefault="00692435" w:rsidP="00CF5C66">
      <w:pPr>
        <w:keepNext/>
        <w:spacing w:after="240"/>
        <w:ind w:firstLine="709"/>
        <w:rPr>
          <w:rFonts w:ascii="Arial Narrow" w:eastAsia="Calibri" w:hAnsi="Arial Narrow"/>
          <w:iCs/>
          <w:sz w:val="18"/>
          <w:szCs w:val="18"/>
          <w:lang w:val="bg-BG"/>
        </w:rPr>
      </w:pPr>
      <w:r w:rsidRPr="008009F8">
        <w:rPr>
          <w:rFonts w:ascii="Arial Narrow" w:eastAsia="Calibri" w:hAnsi="Arial Narrow"/>
          <w:i/>
          <w:iCs/>
          <w:sz w:val="18"/>
          <w:szCs w:val="18"/>
          <w:lang w:val="bg-BG"/>
        </w:rPr>
        <w:t xml:space="preserve">Източник: </w:t>
      </w:r>
      <w:r w:rsidRPr="008009F8">
        <w:rPr>
          <w:rFonts w:ascii="Arial Narrow" w:eastAsia="Calibri" w:hAnsi="Arial Narrow"/>
          <w:iCs/>
          <w:sz w:val="18"/>
          <w:szCs w:val="18"/>
          <w:lang w:val="bg-BG"/>
        </w:rPr>
        <w:t>НССЗ</w:t>
      </w:r>
    </w:p>
    <w:p w14:paraId="03078196" w14:textId="77777777" w:rsidR="008009F8" w:rsidRDefault="008009F8" w:rsidP="008009F8">
      <w:pPr>
        <w:spacing w:before="120" w:after="120"/>
        <w:ind w:firstLine="709"/>
        <w:jc w:val="both"/>
        <w:rPr>
          <w:rFonts w:ascii="Arial Narrow" w:hAnsi="Arial Narrow"/>
          <w:color w:val="000000" w:themeColor="text1"/>
          <w:lang w:val="bg-BG" w:eastAsia="bg-BG"/>
        </w:rPr>
      </w:pPr>
      <w:r w:rsidRPr="00826AC7">
        <w:rPr>
          <w:rFonts w:ascii="Arial Narrow" w:hAnsi="Arial Narrow"/>
          <w:lang w:val="bg-BG"/>
        </w:rPr>
        <w:t>На второ място се нареждат специализираните консултации с 24 819 броя (24% от общия брой) в следните направления:</w:t>
      </w:r>
      <w:r w:rsidRPr="00826AC7">
        <w:rPr>
          <w:rFonts w:ascii="Arial Narrow" w:hAnsi="Arial Narrow"/>
          <w:lang w:val="bg-BG" w:eastAsia="bg-BG"/>
        </w:rPr>
        <w:t xml:space="preserve"> аграрна икономика</w:t>
      </w:r>
      <w:r>
        <w:rPr>
          <w:rFonts w:ascii="Arial Narrow" w:hAnsi="Arial Narrow"/>
          <w:lang w:val="bg-BG" w:eastAsia="bg-BG"/>
        </w:rPr>
        <w:t xml:space="preserve"> – 5 417</w:t>
      </w:r>
      <w:r w:rsidRPr="00826AC7">
        <w:rPr>
          <w:rFonts w:ascii="Arial Narrow" w:hAnsi="Arial Narrow"/>
          <w:lang w:val="bg-BG" w:eastAsia="bg-BG"/>
        </w:rPr>
        <w:t>, растениевъдство (в т. ч. биологично растениевъдство)</w:t>
      </w:r>
      <w:r>
        <w:rPr>
          <w:rFonts w:ascii="Arial Narrow" w:hAnsi="Arial Narrow"/>
          <w:lang w:val="bg-BG" w:eastAsia="bg-BG"/>
        </w:rPr>
        <w:t xml:space="preserve"> – 5 170</w:t>
      </w:r>
      <w:r w:rsidRPr="00826AC7">
        <w:rPr>
          <w:rFonts w:ascii="Arial Narrow" w:hAnsi="Arial Narrow"/>
          <w:lang w:val="bg-BG" w:eastAsia="bg-BG"/>
        </w:rPr>
        <w:t>, животновъдство (в т.ч. биологично животновъдство)</w:t>
      </w:r>
      <w:r>
        <w:rPr>
          <w:rFonts w:ascii="Arial Narrow" w:hAnsi="Arial Narrow"/>
          <w:lang w:val="bg-BG" w:eastAsia="bg-BG"/>
        </w:rPr>
        <w:t xml:space="preserve"> – 3 159</w:t>
      </w:r>
      <w:r w:rsidRPr="00826AC7">
        <w:rPr>
          <w:rFonts w:ascii="Arial Narrow" w:hAnsi="Arial Narrow"/>
          <w:lang w:val="bg-BG" w:eastAsia="bg-BG"/>
        </w:rPr>
        <w:t>,</w:t>
      </w:r>
      <w:r w:rsidRPr="00826AC7">
        <w:rPr>
          <w:rFonts w:ascii="Arial Narrow" w:hAnsi="Arial Narrow"/>
          <w:color w:val="000000" w:themeColor="text1"/>
          <w:lang w:val="bg-BG" w:eastAsia="bg-BG"/>
        </w:rPr>
        <w:t xml:space="preserve"> </w:t>
      </w:r>
      <w:r w:rsidRPr="00B76167">
        <w:rPr>
          <w:rFonts w:ascii="Arial Narrow" w:hAnsi="Arial Narrow"/>
          <w:bCs/>
          <w:iCs/>
          <w:lang w:val="bg-BG" w:eastAsia="x-none"/>
        </w:rPr>
        <w:t>стандарти за добро земеделско и екологично състояние (ДЗЕС)</w:t>
      </w:r>
      <w:r>
        <w:rPr>
          <w:rFonts w:ascii="Arial Narrow" w:hAnsi="Arial Narrow"/>
          <w:bCs/>
          <w:iCs/>
          <w:lang w:val="bg-BG" w:eastAsia="x-none"/>
        </w:rPr>
        <w:t xml:space="preserve"> – 3 450</w:t>
      </w:r>
      <w:r w:rsidRPr="00826AC7">
        <w:rPr>
          <w:rFonts w:ascii="Arial Narrow" w:hAnsi="Arial Narrow"/>
          <w:bCs/>
          <w:iCs/>
          <w:lang w:val="bg-BG" w:eastAsia="x-none"/>
        </w:rPr>
        <w:t>,</w:t>
      </w:r>
      <w:r w:rsidRPr="00B76167">
        <w:rPr>
          <w:rFonts w:ascii="Arial Narrow" w:hAnsi="Arial Narrow"/>
          <w:bCs/>
          <w:iCs/>
          <w:lang w:val="bg-BG" w:eastAsia="x-none"/>
        </w:rPr>
        <w:t xml:space="preserve"> </w:t>
      </w:r>
      <w:r w:rsidRPr="00826AC7">
        <w:rPr>
          <w:rFonts w:ascii="Arial Narrow" w:hAnsi="Arial Narrow"/>
          <w:color w:val="000000" w:themeColor="text1"/>
          <w:lang w:val="bg-BG" w:eastAsia="bg-BG"/>
        </w:rPr>
        <w:t>изисквания и принципи на социалната условност</w:t>
      </w:r>
      <w:r>
        <w:rPr>
          <w:rFonts w:ascii="Arial Narrow" w:hAnsi="Arial Narrow"/>
          <w:color w:val="000000" w:themeColor="text1"/>
          <w:lang w:val="bg-BG" w:eastAsia="bg-BG"/>
        </w:rPr>
        <w:t xml:space="preserve"> – 3 329</w:t>
      </w:r>
      <w:r w:rsidRPr="00826AC7">
        <w:rPr>
          <w:rFonts w:ascii="Arial Narrow" w:hAnsi="Arial Narrow"/>
          <w:color w:val="000000" w:themeColor="text1"/>
          <w:lang w:val="bg-BG" w:eastAsia="bg-BG"/>
        </w:rPr>
        <w:t xml:space="preserve">, </w:t>
      </w:r>
      <w:r w:rsidRPr="00B76167">
        <w:rPr>
          <w:rFonts w:ascii="Arial Narrow" w:hAnsi="Arial Narrow"/>
          <w:bCs/>
          <w:iCs/>
          <w:lang w:val="bg-BG" w:eastAsia="x-none"/>
        </w:rPr>
        <w:t>законоустановени изисквания за управление (ЗИУ)</w:t>
      </w:r>
      <w:r>
        <w:rPr>
          <w:rFonts w:ascii="Arial Narrow" w:hAnsi="Arial Narrow"/>
          <w:bCs/>
          <w:iCs/>
          <w:lang w:val="bg-BG" w:eastAsia="x-none"/>
        </w:rPr>
        <w:t xml:space="preserve"> – 2 786</w:t>
      </w:r>
      <w:r w:rsidRPr="00826AC7">
        <w:rPr>
          <w:rFonts w:ascii="Arial Narrow" w:hAnsi="Arial Narrow"/>
          <w:bCs/>
          <w:iCs/>
          <w:lang w:val="bg-BG" w:eastAsia="x-none"/>
        </w:rPr>
        <w:t>, правила за добра земеделска практика и други</w:t>
      </w:r>
      <w:r>
        <w:rPr>
          <w:rFonts w:ascii="Arial Narrow" w:hAnsi="Arial Narrow"/>
          <w:bCs/>
          <w:iCs/>
          <w:lang w:val="bg-BG" w:eastAsia="x-none"/>
        </w:rPr>
        <w:t xml:space="preserve"> – 1 508</w:t>
      </w:r>
      <w:r w:rsidRPr="00826AC7">
        <w:rPr>
          <w:rFonts w:ascii="Arial Narrow" w:hAnsi="Arial Narrow"/>
          <w:color w:val="000000" w:themeColor="text1"/>
          <w:lang w:val="bg-BG" w:eastAsia="bg-BG"/>
        </w:rPr>
        <w:t xml:space="preserve">. Социалната условност се явява едно от изискванията за получаване на пълния размер на подпомагането от интервенции под формата на директни плащания или годишни плащания по интервенции в областта на селските райони относно агроекологията, климата и биологичното земеделие. Големият брой консултации в тази област може да се обясни с влизането в режим на санкции от 2025 г. при неспазване на изискванията на социалното и трудовото законодателство. </w:t>
      </w:r>
    </w:p>
    <w:p w14:paraId="52031349" w14:textId="77777777" w:rsidR="00BF097E" w:rsidRDefault="00BF097E" w:rsidP="00BF097E">
      <w:pPr>
        <w:spacing w:before="120" w:after="120"/>
        <w:ind w:firstLine="709"/>
        <w:jc w:val="both"/>
        <w:rPr>
          <w:rFonts w:ascii="Arial Narrow" w:hAnsi="Arial Narrow"/>
          <w:lang w:val="bg-BG" w:eastAsia="x-none"/>
        </w:rPr>
      </w:pPr>
      <w:r w:rsidRPr="004173C8">
        <w:rPr>
          <w:rFonts w:ascii="Arial Narrow" w:hAnsi="Arial Narrow"/>
          <w:lang w:val="bg-BG"/>
        </w:rPr>
        <w:t xml:space="preserve">Предоставените консултации от група „Други консултации” са общо 20 845. Около 29% от тях са </w:t>
      </w:r>
      <w:r w:rsidRPr="004173C8">
        <w:rPr>
          <w:rFonts w:ascii="Arial Narrow" w:hAnsi="Arial Narrow"/>
          <w:lang w:val="bg-BG" w:eastAsia="x-none"/>
        </w:rPr>
        <w:t xml:space="preserve">за оказване на съдействие при работа с електронни инструменти, в т.ч. СЕУ и ИСУН. На </w:t>
      </w:r>
      <w:r>
        <w:rPr>
          <w:rFonts w:ascii="Arial Narrow" w:hAnsi="Arial Narrow"/>
          <w:lang w:val="bg-BG" w:eastAsia="x-none"/>
        </w:rPr>
        <w:t xml:space="preserve">следващо </w:t>
      </w:r>
      <w:r w:rsidRPr="004173C8">
        <w:rPr>
          <w:rFonts w:ascii="Arial Narrow" w:hAnsi="Arial Narrow"/>
          <w:lang w:val="bg-BG" w:eastAsia="x-none"/>
        </w:rPr>
        <w:t xml:space="preserve">място </w:t>
      </w:r>
      <w:r>
        <w:rPr>
          <w:rFonts w:ascii="Arial Narrow" w:hAnsi="Arial Narrow"/>
          <w:lang w:val="bg-BG" w:eastAsia="x-none"/>
        </w:rPr>
        <w:t xml:space="preserve">в тази група </w:t>
      </w:r>
      <w:r w:rsidRPr="004173C8">
        <w:rPr>
          <w:rFonts w:ascii="Arial Narrow" w:hAnsi="Arial Narrow"/>
          <w:lang w:val="bg-BG" w:eastAsia="x-none"/>
        </w:rPr>
        <w:t xml:space="preserve">са предоставените консултации относно изискванията за регистрация и пререгистрация на земеделските стопани по Наредба №3 от 29 януари 1999 г. за създаване и поддържане на регистър на земеделските стопани. Най-често тези консултации са във връзка с първоначалната регистрация, т.е. от лица, които искат да превърнат селскостопанското производство в основна дейност. </w:t>
      </w:r>
    </w:p>
    <w:p w14:paraId="5B07AF69" w14:textId="77777777" w:rsidR="00BF097E" w:rsidRPr="004173C8" w:rsidRDefault="00BF097E" w:rsidP="00BF097E">
      <w:pPr>
        <w:spacing w:before="120" w:after="120"/>
        <w:ind w:firstLine="709"/>
        <w:jc w:val="both"/>
        <w:rPr>
          <w:rFonts w:ascii="Arial Narrow" w:hAnsi="Arial Narrow"/>
          <w:lang w:val="bg-BG" w:eastAsia="x-none"/>
        </w:rPr>
      </w:pPr>
      <w:r w:rsidRPr="004173C8">
        <w:rPr>
          <w:rFonts w:ascii="Arial Narrow" w:hAnsi="Arial Narrow"/>
          <w:lang w:val="bg-BG" w:eastAsia="x-none"/>
        </w:rPr>
        <w:t xml:space="preserve">Консултациите във връзка с ПРСР 2014-2020 г. са 8 212, </w:t>
      </w:r>
      <w:r>
        <w:rPr>
          <w:rFonts w:ascii="Arial Narrow" w:hAnsi="Arial Narrow"/>
          <w:lang w:val="bg-BG" w:eastAsia="x-none"/>
        </w:rPr>
        <w:t>с 23% по-малко</w:t>
      </w:r>
      <w:r w:rsidRPr="004173C8">
        <w:rPr>
          <w:rFonts w:ascii="Arial Narrow" w:hAnsi="Arial Narrow"/>
          <w:lang w:val="bg-BG" w:eastAsia="x-none"/>
        </w:rPr>
        <w:t xml:space="preserve"> в сравнение с 2023 г. Този вид консултации са свързани главно с възможностите за подпомагане по подмярка 6.3 „Стартова помощ за развитието на малки стопанства”, получаване на консултантски пакети по подмярка 2.1.2 „Консултантски услуги за малки земеделски стопанства“ по мярка 2 „Консултантски услуги, услуги по управление на </w:t>
      </w:r>
      <w:r w:rsidRPr="004173C8">
        <w:rPr>
          <w:rFonts w:ascii="Arial Narrow" w:hAnsi="Arial Narrow"/>
          <w:lang w:val="bg-BG" w:eastAsia="x-none"/>
        </w:rPr>
        <w:lastRenderedPageBreak/>
        <w:t>стопанството</w:t>
      </w:r>
      <w:r w:rsidRPr="004173C8">
        <w:rPr>
          <w:rFonts w:ascii="Arial Narrow" w:hAnsi="Arial Narrow"/>
          <w:iCs/>
          <w:lang w:val="bg-BG" w:eastAsia="x-none"/>
        </w:rPr>
        <w:t xml:space="preserve"> и услуги по заместване в стопанството</w:t>
      </w:r>
      <w:r w:rsidRPr="004173C8">
        <w:rPr>
          <w:rFonts w:ascii="Arial Narrow" w:hAnsi="Arial Narrow"/>
          <w:lang w:val="bg-BG" w:eastAsia="x-none"/>
        </w:rPr>
        <w:t xml:space="preserve">“ и </w:t>
      </w:r>
      <w:r w:rsidRPr="004173C8">
        <w:rPr>
          <w:rFonts w:ascii="Arial Narrow" w:hAnsi="Arial Narrow"/>
          <w:lang w:val="bg-BG" w:eastAsia="bg-BG"/>
        </w:rPr>
        <w:t xml:space="preserve">консултации за изпълнение на одобрени проекти по подмярка 6.1. </w:t>
      </w:r>
    </w:p>
    <w:p w14:paraId="50E14275" w14:textId="77777777" w:rsidR="00BF097E" w:rsidRDefault="00BF097E" w:rsidP="00BF097E">
      <w:pPr>
        <w:spacing w:after="120"/>
        <w:ind w:firstLine="709"/>
        <w:jc w:val="both"/>
        <w:rPr>
          <w:rFonts w:ascii="Arial Narrow" w:hAnsi="Arial Narrow"/>
          <w:lang w:val="bg-BG" w:eastAsia="x-none"/>
        </w:rPr>
      </w:pPr>
      <w:r>
        <w:rPr>
          <w:rFonts w:ascii="Arial Narrow" w:hAnsi="Arial Narrow"/>
          <w:lang w:val="bg-BG" w:eastAsia="x-none"/>
        </w:rPr>
        <w:t>През 2024 г. е</w:t>
      </w:r>
      <w:r w:rsidRPr="004173C8">
        <w:rPr>
          <w:rFonts w:ascii="Arial Narrow" w:hAnsi="Arial Narrow"/>
          <w:lang w:val="bg-BG" w:eastAsia="x-none"/>
        </w:rPr>
        <w:t xml:space="preserve">кспертите на НССЗ </w:t>
      </w:r>
      <w:r>
        <w:rPr>
          <w:rFonts w:ascii="Arial Narrow" w:hAnsi="Arial Narrow"/>
          <w:lang w:val="bg-BG" w:eastAsia="x-none"/>
        </w:rPr>
        <w:t xml:space="preserve">са </w:t>
      </w:r>
      <w:r w:rsidRPr="004173C8">
        <w:rPr>
          <w:rFonts w:ascii="Arial Narrow" w:hAnsi="Arial Narrow"/>
          <w:lang w:val="bg-BG" w:eastAsia="x-none"/>
        </w:rPr>
        <w:t>оказ</w:t>
      </w:r>
      <w:r>
        <w:rPr>
          <w:rFonts w:ascii="Arial Narrow" w:hAnsi="Arial Narrow"/>
          <w:lang w:val="bg-BG" w:eastAsia="x-none"/>
        </w:rPr>
        <w:t>али</w:t>
      </w:r>
      <w:r w:rsidRPr="004173C8">
        <w:rPr>
          <w:rFonts w:ascii="Arial Narrow" w:hAnsi="Arial Narrow"/>
          <w:lang w:val="bg-BG" w:eastAsia="x-none"/>
        </w:rPr>
        <w:t xml:space="preserve"> съдействие </w:t>
      </w:r>
      <w:r>
        <w:rPr>
          <w:rFonts w:ascii="Arial Narrow" w:hAnsi="Arial Narrow"/>
          <w:lang w:val="bg-BG" w:eastAsia="x-none"/>
        </w:rPr>
        <w:t>на 1 826</w:t>
      </w:r>
      <w:r w:rsidRPr="004173C8">
        <w:rPr>
          <w:rFonts w:ascii="Arial Narrow" w:hAnsi="Arial Narrow"/>
          <w:lang w:val="bg-BG" w:eastAsia="x-none"/>
        </w:rPr>
        <w:t xml:space="preserve"> малки земеделски стопанства и млади фермери </w:t>
      </w:r>
      <w:r>
        <w:rPr>
          <w:rFonts w:ascii="Arial Narrow" w:hAnsi="Arial Narrow"/>
          <w:lang w:val="bg-BG" w:eastAsia="x-none"/>
        </w:rPr>
        <w:t>във връзка с</w:t>
      </w:r>
      <w:r w:rsidRPr="004173C8">
        <w:rPr>
          <w:rFonts w:ascii="Arial Narrow" w:hAnsi="Arial Narrow"/>
          <w:lang w:val="bg-BG" w:eastAsia="x-none"/>
        </w:rPr>
        <w:t xml:space="preserve"> електронно</w:t>
      </w:r>
      <w:r>
        <w:rPr>
          <w:rFonts w:ascii="Arial Narrow" w:hAnsi="Arial Narrow"/>
          <w:lang w:val="bg-BG" w:eastAsia="x-none"/>
        </w:rPr>
        <w:t xml:space="preserve"> подаване</w:t>
      </w:r>
      <w:r w:rsidRPr="004173C8">
        <w:rPr>
          <w:rFonts w:ascii="Arial Narrow" w:hAnsi="Arial Narrow"/>
          <w:lang w:val="bg-BG" w:eastAsia="x-none"/>
        </w:rPr>
        <w:t xml:space="preserve"> в ИСУН 2020 </w:t>
      </w:r>
      <w:r>
        <w:rPr>
          <w:rFonts w:ascii="Arial Narrow" w:hAnsi="Arial Narrow"/>
          <w:lang w:val="bg-BG" w:eastAsia="x-none"/>
        </w:rPr>
        <w:t xml:space="preserve">на </w:t>
      </w:r>
      <w:r w:rsidRPr="004173C8">
        <w:rPr>
          <w:rFonts w:ascii="Arial Narrow" w:hAnsi="Arial Narrow"/>
          <w:lang w:val="bg-BG" w:eastAsia="x-none"/>
        </w:rPr>
        <w:t xml:space="preserve">уведомления за промяна на проектните предложения и заявки за плащане по подмярка 4.1.2, подмярка 6.3 и подмярка 6.1 от ПРСР 2014 – 2020 г. </w:t>
      </w:r>
    </w:p>
    <w:p w14:paraId="6CBF713F" w14:textId="77777777" w:rsidR="00BF097E" w:rsidRPr="004173C8" w:rsidRDefault="00BF097E" w:rsidP="00BF097E">
      <w:pPr>
        <w:spacing w:after="120"/>
        <w:ind w:firstLine="709"/>
        <w:jc w:val="both"/>
        <w:rPr>
          <w:rFonts w:ascii="Arial Narrow" w:hAnsi="Arial Narrow"/>
          <w:lang w:val="bg-BG" w:eastAsia="x-none"/>
        </w:rPr>
      </w:pPr>
      <w:r w:rsidRPr="004173C8">
        <w:rPr>
          <w:rFonts w:ascii="Arial Narrow" w:hAnsi="Arial Narrow"/>
          <w:lang w:val="bg-BG" w:eastAsia="x-none"/>
        </w:rPr>
        <w:t xml:space="preserve">Консултациите от група „Пазарни мерки и други схеми за подпомагане“ са 1 126. Най-голям интерес в тази група е проявен към консултациите, касаещи Националния план за възстановяване и устойчивост (НПВУ) и други национални схеми за подпомагане, в т.ч. държавни помощи. </w:t>
      </w:r>
    </w:p>
    <w:p w14:paraId="07686990" w14:textId="77777777" w:rsidR="00BF097E" w:rsidRPr="004173C8" w:rsidRDefault="00BF097E" w:rsidP="00BF097E">
      <w:pPr>
        <w:spacing w:after="120"/>
        <w:ind w:firstLine="709"/>
        <w:jc w:val="both"/>
        <w:rPr>
          <w:rFonts w:ascii="Arial Narrow" w:hAnsi="Arial Narrow"/>
          <w:color w:val="FF0000"/>
          <w:lang w:val="bg-BG"/>
        </w:rPr>
      </w:pPr>
      <w:r w:rsidRPr="004173C8">
        <w:rPr>
          <w:rFonts w:ascii="Arial Narrow" w:hAnsi="Arial Narrow"/>
          <w:lang w:val="bg-BG"/>
        </w:rPr>
        <w:t xml:space="preserve">През 2024 г. експертите на НССЗ са предоставили и консултации, свързани с адаптирането на земеделието и земеделските стопани към изменението на климата (13 516 броя), а също и с Плановете за управление на речните басейни, които се изготвят съгласно Рамковата директива по водите и Закона за водите. По мерки с пряк или с косвен ефект върху намалението на емисии на парникови газове са консултирани 6 262 лица, с 5% повече спрямо 2023 г. </w:t>
      </w:r>
    </w:p>
    <w:p w14:paraId="4BA66D8A" w14:textId="77777777" w:rsidR="00692435" w:rsidRPr="008009F8" w:rsidRDefault="00692435" w:rsidP="00415172">
      <w:pPr>
        <w:keepNext/>
        <w:spacing w:after="120"/>
        <w:jc w:val="center"/>
        <w:rPr>
          <w:rFonts w:ascii="Arial Narrow" w:hAnsi="Arial Narrow"/>
          <w:b/>
          <w:i/>
          <w:lang w:eastAsia="bg-BG"/>
        </w:rPr>
      </w:pPr>
      <w:r w:rsidRPr="008009F8">
        <w:rPr>
          <w:rFonts w:ascii="Arial Narrow" w:hAnsi="Arial Narrow"/>
          <w:b/>
          <w:i/>
          <w:lang w:val="bg-BG" w:eastAsia="bg-BG"/>
        </w:rPr>
        <w:t xml:space="preserve">Фигура </w:t>
      </w:r>
      <w:r w:rsidR="00371F7E" w:rsidRPr="008009F8">
        <w:rPr>
          <w:rFonts w:ascii="Arial Narrow" w:eastAsiaTheme="minorHAnsi" w:hAnsi="Arial Narrow" w:cstheme="minorBidi"/>
          <w:b/>
          <w:i/>
        </w:rPr>
        <w:t>V</w:t>
      </w:r>
      <w:r w:rsidR="00371F7E" w:rsidRPr="008009F8">
        <w:rPr>
          <w:rFonts w:ascii="Arial Narrow" w:eastAsiaTheme="minorHAnsi" w:hAnsi="Arial Narrow" w:cstheme="minorBidi"/>
          <w:b/>
          <w:i/>
          <w:lang w:val="bg-BG"/>
        </w:rPr>
        <w:t>.</w:t>
      </w:r>
      <w:r w:rsidR="0026783D" w:rsidRPr="008009F8">
        <w:rPr>
          <w:rFonts w:ascii="Arial Narrow" w:eastAsiaTheme="minorHAnsi" w:hAnsi="Arial Narrow" w:cstheme="minorBidi"/>
          <w:b/>
          <w:i/>
        </w:rPr>
        <w:t>9</w:t>
      </w:r>
      <w:r w:rsidR="00371F7E" w:rsidRPr="008009F8">
        <w:rPr>
          <w:rFonts w:ascii="Arial Narrow" w:eastAsiaTheme="minorHAnsi" w:hAnsi="Arial Narrow" w:cstheme="minorBidi"/>
          <w:b/>
          <w:i/>
        </w:rPr>
        <w:t xml:space="preserve">. </w:t>
      </w:r>
      <w:r w:rsidRPr="008009F8">
        <w:rPr>
          <w:rFonts w:ascii="Arial Narrow" w:hAnsi="Arial Narrow"/>
          <w:b/>
          <w:i/>
          <w:lang w:val="bg-BG" w:eastAsia="bg-BG"/>
        </w:rPr>
        <w:t>Разпределение на предоставените специализирани консултации през 202</w:t>
      </w:r>
      <w:r w:rsidR="008009F8" w:rsidRPr="008009F8">
        <w:rPr>
          <w:rFonts w:ascii="Arial Narrow" w:hAnsi="Arial Narrow"/>
          <w:b/>
          <w:i/>
          <w:lang w:val="bg-BG" w:eastAsia="bg-BG"/>
        </w:rPr>
        <w:t>4</w:t>
      </w:r>
      <w:r w:rsidRPr="008009F8">
        <w:rPr>
          <w:rFonts w:ascii="Arial Narrow" w:hAnsi="Arial Narrow"/>
          <w:b/>
          <w:i/>
          <w:lang w:val="bg-BG" w:eastAsia="bg-BG"/>
        </w:rPr>
        <w:t xml:space="preserve"> г.</w:t>
      </w:r>
      <w:r w:rsidRPr="008009F8">
        <w:rPr>
          <w:noProof/>
          <w:sz w:val="20"/>
          <w:szCs w:val="20"/>
          <w:lang w:val="bg-BG"/>
        </w:rPr>
        <w:t xml:space="preserve"> </w:t>
      </w:r>
    </w:p>
    <w:p w14:paraId="4AC511C3" w14:textId="77777777" w:rsidR="00692435" w:rsidRPr="00B10684" w:rsidRDefault="008009F8" w:rsidP="00692435">
      <w:pPr>
        <w:keepNext/>
        <w:spacing w:after="120"/>
        <w:ind w:firstLine="709"/>
        <w:rPr>
          <w:rFonts w:ascii="Arial Narrow" w:eastAsia="Calibri" w:hAnsi="Arial Narrow"/>
          <w:b/>
          <w:i/>
          <w:iCs/>
          <w:color w:val="FF0000"/>
          <w:sz w:val="20"/>
          <w:szCs w:val="20"/>
          <w:lang w:val="bg-BG"/>
        </w:rPr>
      </w:pPr>
      <w:r>
        <w:rPr>
          <w:noProof/>
        </w:rPr>
        <w:drawing>
          <wp:inline distT="0" distB="0" distL="0" distR="0" wp14:anchorId="56AA5519" wp14:editId="5F8F7AF8">
            <wp:extent cx="5040000" cy="2880000"/>
            <wp:effectExtent l="0" t="0" r="8255" b="0"/>
            <wp:docPr id="41" name="Chart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05473C63" w14:textId="77777777" w:rsidR="00692435" w:rsidRPr="008009F8" w:rsidRDefault="00692435" w:rsidP="00692435">
      <w:pPr>
        <w:keepNext/>
        <w:spacing w:after="120"/>
        <w:ind w:firstLine="709"/>
        <w:rPr>
          <w:rFonts w:ascii="Arial Narrow" w:eastAsia="Calibri" w:hAnsi="Arial Narrow"/>
          <w:i/>
          <w:iCs/>
          <w:sz w:val="18"/>
          <w:szCs w:val="18"/>
          <w:lang w:val="bg-BG"/>
        </w:rPr>
      </w:pPr>
      <w:r w:rsidRPr="008009F8">
        <w:rPr>
          <w:rFonts w:ascii="Arial Narrow" w:eastAsia="Calibri" w:hAnsi="Arial Narrow"/>
          <w:i/>
          <w:iCs/>
          <w:sz w:val="18"/>
          <w:szCs w:val="18"/>
          <w:lang w:val="bg-BG"/>
        </w:rPr>
        <w:t>Източник:</w:t>
      </w:r>
      <w:r w:rsidRPr="008009F8">
        <w:rPr>
          <w:rFonts w:ascii="Arial Narrow" w:eastAsia="Calibri" w:hAnsi="Arial Narrow"/>
          <w:b/>
          <w:i/>
          <w:iCs/>
          <w:sz w:val="18"/>
          <w:szCs w:val="18"/>
          <w:lang w:val="bg-BG"/>
        </w:rPr>
        <w:t xml:space="preserve"> </w:t>
      </w:r>
      <w:r w:rsidRPr="008009F8">
        <w:rPr>
          <w:rFonts w:ascii="Arial Narrow" w:eastAsia="Calibri" w:hAnsi="Arial Narrow"/>
          <w:iCs/>
          <w:sz w:val="18"/>
          <w:szCs w:val="18"/>
          <w:lang w:val="bg-BG"/>
        </w:rPr>
        <w:t>НССЗ</w:t>
      </w:r>
    </w:p>
    <w:p w14:paraId="18E44D93" w14:textId="77777777" w:rsidR="009253ED" w:rsidRPr="0084630F" w:rsidRDefault="009253ED" w:rsidP="00C074E8">
      <w:pPr>
        <w:pStyle w:val="ListParagraph"/>
        <w:keepNext/>
        <w:numPr>
          <w:ilvl w:val="2"/>
          <w:numId w:val="16"/>
        </w:numPr>
        <w:spacing w:after="120"/>
        <w:ind w:left="986" w:hanging="629"/>
        <w:outlineLvl w:val="0"/>
        <w:rPr>
          <w:rFonts w:ascii="Arial Narrow" w:hAnsi="Arial Narrow"/>
          <w:b/>
          <w:lang w:val="bg-BG"/>
        </w:rPr>
      </w:pPr>
      <w:bookmarkStart w:id="200" w:name="_Toc210747646"/>
      <w:r w:rsidRPr="0084630F">
        <w:rPr>
          <w:rFonts w:ascii="Arial Narrow" w:hAnsi="Arial Narrow"/>
          <w:b/>
          <w:lang w:val="bg-BG"/>
        </w:rPr>
        <w:t>Професионални обучения</w:t>
      </w:r>
      <w:bookmarkEnd w:id="200"/>
    </w:p>
    <w:p w14:paraId="0980CF4E" w14:textId="77777777" w:rsidR="0084630F" w:rsidRPr="004173C8" w:rsidRDefault="0084630F" w:rsidP="0084630F">
      <w:pPr>
        <w:spacing w:after="120"/>
        <w:ind w:firstLine="709"/>
        <w:jc w:val="both"/>
        <w:rPr>
          <w:rFonts w:ascii="Arial Narrow" w:hAnsi="Arial Narrow"/>
          <w:lang w:val="bg-BG"/>
        </w:rPr>
      </w:pPr>
      <w:r w:rsidRPr="004173C8">
        <w:rPr>
          <w:rFonts w:ascii="Arial Narrow" w:hAnsi="Arial Narrow"/>
          <w:lang w:val="bg-BG"/>
        </w:rPr>
        <w:t xml:space="preserve">Центърът за професионално обучение (ЦПО) към НССЗ е лицензиран от Национална агенция за професионално образование и обучение (НАПОО). В него се провеждат специализирани курсове, семинари и обучения както за експертите на НССЗ, така и за земеделските стопани. Основната цел е чрез висококачествено обучение с практическа насоченост в областта на земеделието да бъдат подпомогнати професионалната кариера и индивидуалното развитие на земеделските стопани.  Учебните програми са разработени основно от експерти на НССЗ и са съобразени с изискванията за продължаващо професионално обучение. </w:t>
      </w:r>
      <w:r>
        <w:rPr>
          <w:rFonts w:ascii="Arial Narrow" w:hAnsi="Arial Narrow"/>
          <w:lang w:val="bg-BG"/>
        </w:rPr>
        <w:t>У</w:t>
      </w:r>
      <w:r w:rsidRPr="004173C8">
        <w:rPr>
          <w:rFonts w:ascii="Arial Narrow" w:hAnsi="Arial Narrow"/>
          <w:lang w:val="bg-BG"/>
        </w:rPr>
        <w:t>спешното завършване на някои от обученията е задължително условие за изпълнение на ангажиментите на земеделските стопани одобрени бенефициенти по ПРСР 2014-2020 г. и/или кандидати по интервенциите по СПРЗСР 2023-2027 г.</w:t>
      </w:r>
      <w:r>
        <w:rPr>
          <w:rFonts w:ascii="Arial Narrow" w:hAnsi="Arial Narrow"/>
          <w:lang w:val="bg-BG"/>
        </w:rPr>
        <w:t xml:space="preserve"> </w:t>
      </w:r>
      <w:r w:rsidRPr="004173C8">
        <w:rPr>
          <w:rFonts w:ascii="Arial Narrow" w:hAnsi="Arial Narrow"/>
          <w:lang w:val="bg-BG"/>
        </w:rPr>
        <w:t xml:space="preserve">Всички обучения са безплатни за регистрираните по Наредба № 3 от 29 януари 1999 г. земеделски стопани. </w:t>
      </w:r>
    </w:p>
    <w:p w14:paraId="2D9DA114" w14:textId="77777777" w:rsidR="0084630F" w:rsidRPr="004173C8" w:rsidRDefault="0084630F" w:rsidP="0084630F">
      <w:pPr>
        <w:spacing w:after="120"/>
        <w:ind w:firstLine="709"/>
        <w:jc w:val="both"/>
        <w:rPr>
          <w:rFonts w:ascii="Arial Narrow" w:hAnsi="Arial Narrow"/>
          <w:lang w:val="bg-BG"/>
        </w:rPr>
      </w:pPr>
      <w:r w:rsidRPr="004173C8">
        <w:rPr>
          <w:rFonts w:ascii="Arial Narrow" w:hAnsi="Arial Narrow"/>
          <w:lang w:val="bg-BG"/>
        </w:rPr>
        <w:t xml:space="preserve">През 2024 г. </w:t>
      </w:r>
      <w:r>
        <w:rPr>
          <w:rFonts w:ascii="Arial Narrow" w:hAnsi="Arial Narrow"/>
          <w:lang w:val="bg-BG"/>
        </w:rPr>
        <w:t xml:space="preserve">в </w:t>
      </w:r>
      <w:r w:rsidRPr="004173C8">
        <w:rPr>
          <w:rFonts w:ascii="Arial Narrow" w:hAnsi="Arial Narrow"/>
          <w:lang w:val="bg-BG"/>
        </w:rPr>
        <w:t xml:space="preserve">ЦПО са обучени общо 16 земеделски стопани в рамките на присъствен квалификационен курс по част от професия „Фермер“ на тема: „Опазване на околната среда, биологичното разнообразие, смекчаване и адаптиране към климатичните промени в сектор земеделие“. </w:t>
      </w:r>
    </w:p>
    <w:p w14:paraId="13394985" w14:textId="77777777" w:rsidR="009253ED" w:rsidRPr="002276D8" w:rsidRDefault="009253ED" w:rsidP="00513FF4">
      <w:pPr>
        <w:pStyle w:val="ListParagraph"/>
        <w:numPr>
          <w:ilvl w:val="2"/>
          <w:numId w:val="16"/>
        </w:numPr>
        <w:spacing w:after="120"/>
        <w:ind w:left="990" w:hanging="630"/>
        <w:outlineLvl w:val="0"/>
        <w:rPr>
          <w:rFonts w:ascii="Arial Narrow" w:hAnsi="Arial Narrow"/>
          <w:b/>
          <w:lang w:val="bg-BG"/>
        </w:rPr>
      </w:pPr>
      <w:bookmarkStart w:id="201" w:name="_Toc210747647"/>
      <w:r w:rsidRPr="002276D8">
        <w:rPr>
          <w:rFonts w:ascii="Arial Narrow" w:hAnsi="Arial Narrow"/>
          <w:b/>
          <w:lang w:val="bg-BG"/>
        </w:rPr>
        <w:t>Подобряване н</w:t>
      </w:r>
      <w:r w:rsidR="00586E95" w:rsidRPr="002276D8">
        <w:rPr>
          <w:rFonts w:ascii="Arial Narrow" w:hAnsi="Arial Narrow"/>
          <w:b/>
          <w:lang w:val="bg-BG"/>
        </w:rPr>
        <w:t>а връзката „научни изследвания -</w:t>
      </w:r>
      <w:r w:rsidRPr="002276D8">
        <w:rPr>
          <w:rFonts w:ascii="Arial Narrow" w:hAnsi="Arial Narrow"/>
          <w:b/>
          <w:lang w:val="bg-BG"/>
        </w:rPr>
        <w:t xml:space="preserve"> съвети в земеделието - земеделски бизнес”</w:t>
      </w:r>
      <w:bookmarkEnd w:id="201"/>
    </w:p>
    <w:p w14:paraId="17C63136" w14:textId="77777777" w:rsidR="002276D8" w:rsidRPr="004173C8" w:rsidRDefault="002276D8" w:rsidP="002276D8">
      <w:pPr>
        <w:spacing w:after="120"/>
        <w:ind w:firstLine="709"/>
        <w:jc w:val="both"/>
        <w:rPr>
          <w:rFonts w:ascii="Arial Narrow" w:hAnsi="Arial Narrow"/>
          <w:lang w:val="bg-BG"/>
        </w:rPr>
      </w:pPr>
      <w:r w:rsidRPr="004173C8">
        <w:rPr>
          <w:rFonts w:ascii="Arial Narrow" w:hAnsi="Arial Narrow"/>
          <w:lang w:val="bg-BG"/>
        </w:rPr>
        <w:lastRenderedPageBreak/>
        <w:t xml:space="preserve">НССЗ осъществява тясно сътрудничество с различни организации за подпомагане на трансфера на научни знания и достижения, в т.ч. с научните институти на Селскостопанска академия, Аграрен университет – Пловдив, Тракийски университет - Стара Загора, Икономически университет - Варна, Русенски университет „А. Кънчев“, Лесотехнически университет - София, Университета за национално и световно стопанство (УНСС) – София, Шуменски университет „Е. К. Преславски“, Институти към Българска академия на науките, Областните дирекции по безопасност на храните към Българска агенция по безопасност на храните, дирекции „Инспекции по труда“ към Главна инспекция по труда, териториалните дирекции на Национална агенция за приходите и др. </w:t>
      </w:r>
    </w:p>
    <w:p w14:paraId="295A9971" w14:textId="77777777" w:rsidR="002276D8" w:rsidRPr="004173C8" w:rsidRDefault="002276D8" w:rsidP="002276D8">
      <w:pPr>
        <w:spacing w:after="120"/>
        <w:ind w:firstLine="709"/>
        <w:jc w:val="both"/>
        <w:rPr>
          <w:rFonts w:ascii="Arial Narrow" w:hAnsi="Arial Narrow"/>
          <w:lang w:val="bg-BG"/>
        </w:rPr>
      </w:pPr>
      <w:r w:rsidRPr="004173C8">
        <w:rPr>
          <w:rFonts w:ascii="Arial Narrow" w:hAnsi="Arial Narrow"/>
          <w:lang w:val="bg-BG"/>
        </w:rPr>
        <w:t>През 2024 г. са проведени 106 съвместни информационно-обучителни събития</w:t>
      </w:r>
      <w:r>
        <w:rPr>
          <w:rFonts w:ascii="Arial Narrow" w:hAnsi="Arial Narrow"/>
          <w:lang w:val="bg-BG"/>
        </w:rPr>
        <w:t xml:space="preserve"> (в т. ч. 95 в присъствена форма)</w:t>
      </w:r>
      <w:r w:rsidRPr="004173C8">
        <w:rPr>
          <w:rFonts w:ascii="Arial Narrow" w:hAnsi="Arial Narrow"/>
          <w:lang w:val="bg-BG"/>
        </w:rPr>
        <w:t xml:space="preserve">, </w:t>
      </w:r>
      <w:r>
        <w:rPr>
          <w:rFonts w:ascii="Arial Narrow" w:hAnsi="Arial Narrow"/>
          <w:lang w:val="bg-BG"/>
        </w:rPr>
        <w:t>в които</w:t>
      </w:r>
      <w:r w:rsidRPr="004173C8">
        <w:rPr>
          <w:rFonts w:ascii="Arial Narrow" w:hAnsi="Arial Narrow"/>
          <w:lang w:val="bg-BG"/>
        </w:rPr>
        <w:t xml:space="preserve"> са участвали над 2 960 лица. Тези съвместни дейности и мероприятия представляват специализирано обучение, изцяло ориентирано към нуждите на земеделските стопани, като темите на семинарите в голямата си част са предложени от самите стопани. Представени са както специализирани теми, така и изискванията при изпълнение на одобрени проекти по ПРСР 2014-2020 г., дейността на НССЗ по подмярка 2.1.2 "Консултантски услуги за малки земеделски стопанства" от мярка 2 от ПРСР и интервенциите по СПРЗСР 2023-2027.</w:t>
      </w:r>
    </w:p>
    <w:p w14:paraId="13BD6011" w14:textId="77777777" w:rsidR="009253ED" w:rsidRPr="002276D8" w:rsidRDefault="009253ED" w:rsidP="00513FF4">
      <w:pPr>
        <w:pStyle w:val="ListParagraph"/>
        <w:numPr>
          <w:ilvl w:val="2"/>
          <w:numId w:val="16"/>
        </w:numPr>
        <w:spacing w:after="120"/>
        <w:ind w:left="990" w:hanging="630"/>
        <w:outlineLvl w:val="0"/>
        <w:rPr>
          <w:rFonts w:ascii="Arial Narrow" w:hAnsi="Arial Narrow"/>
          <w:b/>
          <w:bCs/>
          <w:lang w:val="bg-BG" w:eastAsia="bg-BG"/>
        </w:rPr>
      </w:pPr>
      <w:bookmarkStart w:id="202" w:name="_Toc210747648"/>
      <w:r w:rsidRPr="002276D8">
        <w:rPr>
          <w:rFonts w:ascii="Arial Narrow" w:hAnsi="Arial Narrow"/>
          <w:b/>
          <w:bCs/>
          <w:lang w:val="bg-BG" w:eastAsia="bg-BG"/>
        </w:rPr>
        <w:t>Информационно осигуряване</w:t>
      </w:r>
      <w:bookmarkEnd w:id="202"/>
      <w:r w:rsidRPr="002276D8">
        <w:rPr>
          <w:rFonts w:ascii="Arial Narrow" w:hAnsi="Arial Narrow"/>
          <w:b/>
          <w:bCs/>
          <w:lang w:val="bg-BG" w:eastAsia="bg-BG"/>
        </w:rPr>
        <w:t xml:space="preserve"> </w:t>
      </w:r>
    </w:p>
    <w:p w14:paraId="631B21BF" w14:textId="77777777" w:rsidR="002276D8" w:rsidRPr="004173C8" w:rsidRDefault="002276D8" w:rsidP="002276D8">
      <w:pPr>
        <w:spacing w:after="120"/>
        <w:ind w:firstLine="709"/>
        <w:jc w:val="both"/>
        <w:rPr>
          <w:rFonts w:ascii="Arial Narrow" w:hAnsi="Arial Narrow"/>
          <w:lang w:val="bg-BG"/>
        </w:rPr>
      </w:pPr>
      <w:r w:rsidRPr="004173C8">
        <w:rPr>
          <w:rFonts w:ascii="Arial Narrow" w:hAnsi="Arial Narrow"/>
          <w:lang w:val="bg-BG"/>
        </w:rPr>
        <w:t>През 2024 г. експертите на НССЗ са организирали 320 информационни мероприятия (без да се включват изнесените приемни), в т. ч.: 271 семинари и информационни срещи, 47 демонстрации и 2 мероприятия във формат информационен щанд/работна среща. Общият брой на участниците в информационните събития е 12</w:t>
      </w:r>
      <w:r>
        <w:rPr>
          <w:rFonts w:ascii="Arial Narrow" w:hAnsi="Arial Narrow"/>
          <w:lang w:val="bg-BG"/>
        </w:rPr>
        <w:t> </w:t>
      </w:r>
      <w:r w:rsidRPr="004173C8">
        <w:rPr>
          <w:rFonts w:ascii="Arial Narrow" w:hAnsi="Arial Narrow"/>
          <w:lang w:val="bg-BG"/>
        </w:rPr>
        <w:t>315</w:t>
      </w:r>
      <w:r>
        <w:rPr>
          <w:rFonts w:ascii="Arial Narrow" w:hAnsi="Arial Narrow"/>
          <w:lang w:val="bg-BG"/>
        </w:rPr>
        <w:t>, с</w:t>
      </w:r>
      <w:r w:rsidRPr="004173C8">
        <w:rPr>
          <w:rFonts w:ascii="Arial Narrow" w:hAnsi="Arial Narrow"/>
          <w:lang w:val="bg-BG"/>
        </w:rPr>
        <w:t xml:space="preserve"> 4% повече спрямо 2023 г.</w:t>
      </w:r>
    </w:p>
    <w:p w14:paraId="22EA97B9" w14:textId="77777777" w:rsidR="002276D8" w:rsidRPr="004173C8" w:rsidRDefault="002276D8" w:rsidP="002276D8">
      <w:pPr>
        <w:spacing w:after="120"/>
        <w:ind w:firstLine="709"/>
        <w:jc w:val="both"/>
        <w:rPr>
          <w:rFonts w:ascii="Arial Narrow" w:hAnsi="Arial Narrow"/>
          <w:lang w:val="bg-BG" w:eastAsia="bg-BG"/>
        </w:rPr>
      </w:pPr>
      <w:r w:rsidRPr="004173C8">
        <w:rPr>
          <w:rFonts w:ascii="Arial Narrow" w:hAnsi="Arial Narrow"/>
          <w:lang w:val="bg-BG"/>
        </w:rPr>
        <w:t>През годината са проведени общо 3 428 изнесени приемни, чрез които е улеснен достъпът до съветнически услуги на 6 187 земеделските стопани със стопанства в отдалечени от областните центрове. По</w:t>
      </w:r>
      <w:r w:rsidRPr="004173C8">
        <w:rPr>
          <w:rFonts w:ascii="Arial Narrow" w:hAnsi="Arial Narrow"/>
          <w:lang w:val="bg-BG" w:eastAsia="bg-BG"/>
        </w:rPr>
        <w:t xml:space="preserve"> време на изнесените приемни, земеделските стопани</w:t>
      </w:r>
      <w:r w:rsidRPr="004173C8" w:rsidDel="005F724F">
        <w:rPr>
          <w:rFonts w:ascii="Arial Narrow" w:hAnsi="Arial Narrow"/>
          <w:lang w:val="bg-BG" w:eastAsia="bg-BG"/>
        </w:rPr>
        <w:t xml:space="preserve"> </w:t>
      </w:r>
      <w:r w:rsidRPr="004173C8">
        <w:rPr>
          <w:rFonts w:ascii="Arial Narrow" w:hAnsi="Arial Narrow"/>
          <w:lang w:val="bg-BG" w:eastAsia="bg-BG"/>
        </w:rPr>
        <w:t xml:space="preserve">получават актуална информация и съвети в областта на земеделието, схемите за директни плащания, възможности за подпомагане на малките стопанства и младите земеделски стопани по СПРЗСР 2023-2027 г. </w:t>
      </w:r>
    </w:p>
    <w:p w14:paraId="1CCB46F0" w14:textId="77777777" w:rsidR="002276D8" w:rsidRPr="004173C8" w:rsidRDefault="002276D8" w:rsidP="002276D8">
      <w:pPr>
        <w:spacing w:after="120"/>
        <w:ind w:firstLine="709"/>
        <w:jc w:val="both"/>
        <w:rPr>
          <w:rFonts w:ascii="Arial Narrow" w:hAnsi="Arial Narrow"/>
          <w:lang w:val="bg-BG"/>
        </w:rPr>
      </w:pPr>
      <w:r w:rsidRPr="004173C8">
        <w:rPr>
          <w:rFonts w:ascii="Arial Narrow" w:hAnsi="Arial Narrow"/>
          <w:lang w:val="bg-BG"/>
        </w:rPr>
        <w:t xml:space="preserve">Изготвени и разпространени са 219 информационни материали (информационни листовки, брошури, календар на земеделския стопанин) по актуални теми в помощ на земеделските стопани. </w:t>
      </w:r>
    </w:p>
    <w:p w14:paraId="3D6D178A" w14:textId="77777777" w:rsidR="002276D8" w:rsidRPr="004173C8" w:rsidRDefault="002276D8" w:rsidP="002276D8">
      <w:pPr>
        <w:spacing w:after="120"/>
        <w:ind w:firstLine="709"/>
        <w:jc w:val="both"/>
        <w:rPr>
          <w:rFonts w:ascii="Arial Narrow" w:hAnsi="Arial Narrow"/>
          <w:lang w:val="bg-BG"/>
        </w:rPr>
      </w:pPr>
      <w:r w:rsidRPr="004173C8">
        <w:rPr>
          <w:rFonts w:ascii="Arial Narrow" w:hAnsi="Arial Narrow"/>
          <w:lang w:val="bg-BG"/>
        </w:rPr>
        <w:t xml:space="preserve">Службата предоставя полезна актуална информация и чрез интернет </w:t>
      </w:r>
      <w:r>
        <w:rPr>
          <w:rFonts w:ascii="Arial Narrow" w:hAnsi="Arial Narrow"/>
          <w:lang w:val="bg-BG"/>
        </w:rPr>
        <w:t>сайта</w:t>
      </w:r>
      <w:r w:rsidRPr="004173C8">
        <w:rPr>
          <w:rFonts w:ascii="Arial Narrow" w:hAnsi="Arial Narrow"/>
          <w:lang w:val="bg-BG"/>
        </w:rPr>
        <w:t xml:space="preserve"> си и социалните медии.</w:t>
      </w:r>
    </w:p>
    <w:p w14:paraId="1D2CE55F" w14:textId="77777777" w:rsidR="002276D8" w:rsidRPr="004173C8" w:rsidRDefault="002276D8" w:rsidP="002276D8">
      <w:pPr>
        <w:spacing w:after="120"/>
        <w:ind w:firstLine="709"/>
        <w:jc w:val="both"/>
        <w:rPr>
          <w:rFonts w:ascii="Arial Narrow" w:hAnsi="Arial Narrow"/>
          <w:lang w:val="bg-BG"/>
        </w:rPr>
      </w:pPr>
      <w:r w:rsidRPr="004173C8">
        <w:rPr>
          <w:rFonts w:ascii="Arial Narrow" w:hAnsi="Arial Narrow"/>
          <w:lang w:val="bg-BG"/>
        </w:rPr>
        <w:t>НССЗ разпространява актуална информация относно важни срокове, регулации и други въпроси и чрез т.</w:t>
      </w:r>
      <w:r>
        <w:rPr>
          <w:rFonts w:ascii="Arial Narrow" w:hAnsi="Arial Narrow"/>
          <w:lang w:val="bg-BG"/>
        </w:rPr>
        <w:t xml:space="preserve"> </w:t>
      </w:r>
      <w:r w:rsidRPr="004173C8">
        <w:rPr>
          <w:rFonts w:ascii="Arial Narrow" w:hAnsi="Arial Narrow"/>
          <w:lang w:val="bg-BG"/>
        </w:rPr>
        <w:t>нар. „Фермерски кръгове“</w:t>
      </w:r>
      <w:r>
        <w:rPr>
          <w:rFonts w:ascii="Arial Narrow" w:hAnsi="Arial Narrow"/>
          <w:lang w:val="bg-BG"/>
        </w:rPr>
        <w:t>,</w:t>
      </w:r>
      <w:r w:rsidRPr="004173C8">
        <w:rPr>
          <w:rFonts w:ascii="Arial Narrow" w:hAnsi="Arial Narrow"/>
          <w:lang w:val="bg-BG"/>
        </w:rPr>
        <w:t xml:space="preserve"> функционира</w:t>
      </w:r>
      <w:r>
        <w:rPr>
          <w:rFonts w:ascii="Arial Narrow" w:hAnsi="Arial Narrow"/>
          <w:lang w:val="bg-BG"/>
        </w:rPr>
        <w:t>щи</w:t>
      </w:r>
      <w:r w:rsidRPr="004173C8">
        <w:rPr>
          <w:rFonts w:ascii="Arial Narrow" w:hAnsi="Arial Narrow"/>
          <w:lang w:val="bg-BG"/>
        </w:rPr>
        <w:t xml:space="preserve"> към териториалните областни офиси (ТОО) на Службата. Целта е своевременно споделяне и комуникация със земеделската общност, чрез по-активните земеделски стопани, които са постоянни клиенти на НССЗ.</w:t>
      </w:r>
    </w:p>
    <w:p w14:paraId="5E6837FD" w14:textId="77777777" w:rsidR="009253ED" w:rsidRPr="002276D8" w:rsidRDefault="009253ED" w:rsidP="00513FF4">
      <w:pPr>
        <w:pStyle w:val="ListParagraph"/>
        <w:numPr>
          <w:ilvl w:val="2"/>
          <w:numId w:val="16"/>
        </w:numPr>
        <w:spacing w:after="120"/>
        <w:ind w:left="990" w:hanging="630"/>
        <w:outlineLvl w:val="0"/>
        <w:rPr>
          <w:rFonts w:ascii="Arial Narrow" w:hAnsi="Arial Narrow"/>
          <w:b/>
          <w:bCs/>
          <w:lang w:val="bg-BG" w:eastAsia="bg-BG"/>
        </w:rPr>
      </w:pPr>
      <w:bookmarkStart w:id="203" w:name="_Toc210747649"/>
      <w:r w:rsidRPr="002276D8">
        <w:rPr>
          <w:rFonts w:ascii="Arial Narrow" w:hAnsi="Arial Narrow"/>
          <w:b/>
          <w:bCs/>
          <w:lang w:val="bg-BG" w:eastAsia="bg-BG"/>
        </w:rPr>
        <w:t>Агрохимични анализи</w:t>
      </w:r>
      <w:bookmarkEnd w:id="203"/>
    </w:p>
    <w:p w14:paraId="5F38D3E1" w14:textId="77777777" w:rsidR="002276D8" w:rsidRPr="004173C8" w:rsidRDefault="002276D8" w:rsidP="002276D8">
      <w:pPr>
        <w:spacing w:after="120"/>
        <w:ind w:firstLine="709"/>
        <w:jc w:val="both"/>
        <w:rPr>
          <w:rFonts w:ascii="Arial Narrow" w:hAnsi="Arial Narrow"/>
          <w:lang w:val="bg-BG"/>
        </w:rPr>
      </w:pPr>
      <w:r w:rsidRPr="004173C8">
        <w:rPr>
          <w:rFonts w:ascii="Arial Narrow" w:hAnsi="Arial Narrow"/>
          <w:lang w:val="bg-BG"/>
        </w:rPr>
        <w:t>Направленията на лабораторната дейност на Аналитичната лаборатория на НССЗ са свързани с изискванията за подобряване на дейността и повишаване конкурентоспособността на стопанствата. В лабораторията се извършват агрохимични анализи на почвени проби за киселинност, усвоими фосфор и калий, минерален азот (амонячен и нитратен), общ азот в почви, определяне на активен калций, определяне на хумус и определяне на норма за варуване на кисели почви.</w:t>
      </w:r>
    </w:p>
    <w:p w14:paraId="222538F4" w14:textId="77777777" w:rsidR="002276D8" w:rsidRPr="004173C8" w:rsidRDefault="002276D8" w:rsidP="002276D8">
      <w:pPr>
        <w:spacing w:after="120"/>
        <w:ind w:firstLine="709"/>
        <w:jc w:val="both"/>
        <w:rPr>
          <w:rFonts w:ascii="Arial Narrow" w:hAnsi="Arial Narrow"/>
          <w:lang w:val="bg-BG"/>
        </w:rPr>
      </w:pPr>
      <w:r w:rsidRPr="004173C8">
        <w:rPr>
          <w:rFonts w:ascii="Arial Narrow" w:hAnsi="Arial Narrow"/>
          <w:lang w:val="bg-BG"/>
        </w:rPr>
        <w:t>През 2024 г. в лабораторията са постъпили проби от 933 лица, изработени са общо 1 501 броя почвени проби за 7 252  определения (анализи). От тях</w:t>
      </w:r>
      <w:r>
        <w:rPr>
          <w:rFonts w:ascii="Arial Narrow" w:hAnsi="Arial Narrow"/>
          <w:lang w:val="bg-BG"/>
        </w:rPr>
        <w:t>,</w:t>
      </w:r>
      <w:r w:rsidRPr="004173C8">
        <w:rPr>
          <w:rFonts w:ascii="Arial Narrow" w:hAnsi="Arial Narrow"/>
          <w:lang w:val="bg-BG"/>
        </w:rPr>
        <w:t xml:space="preserve"> 1 449 почвени проби са във връзка с предоставянето на консултантски пакети по подмярка 2.1.2 „Консултантски услуги за малки земеделски стопанства“ по мярка 2 „Консултантски услуги, услуги по управление на стопанството и услуги по заместване в стопанството“ от ПРСР 2014-2020 г., взети от служители на ТОО при посещение на място в стопанствата.</w:t>
      </w:r>
    </w:p>
    <w:p w14:paraId="0906B6CB" w14:textId="77777777" w:rsidR="002276D8" w:rsidRPr="004173C8" w:rsidRDefault="002276D8" w:rsidP="002276D8">
      <w:pPr>
        <w:spacing w:after="120"/>
        <w:ind w:firstLine="709"/>
        <w:jc w:val="both"/>
        <w:rPr>
          <w:rFonts w:ascii="Arial Narrow" w:hAnsi="Arial Narrow"/>
          <w:lang w:val="bg-BG"/>
        </w:rPr>
      </w:pPr>
      <w:r w:rsidRPr="004173C8">
        <w:rPr>
          <w:rFonts w:ascii="Arial Narrow" w:hAnsi="Arial Narrow"/>
          <w:lang w:val="bg-BG"/>
        </w:rPr>
        <w:t xml:space="preserve">Постъпилите почвени проби са свързани предимно с отглеждане на есенни култури, следвани от зеленчуци и пролетни култури, както и почвени проби за създаване на трайни насаждения и за изследване на хранителната стойност на неизползвани земи за бъдещо ползване. </w:t>
      </w:r>
    </w:p>
    <w:p w14:paraId="619F4E87" w14:textId="77777777" w:rsidR="002276D8" w:rsidRPr="004173C8" w:rsidRDefault="002276D8" w:rsidP="002276D8">
      <w:pPr>
        <w:spacing w:after="120"/>
        <w:ind w:firstLine="709"/>
        <w:jc w:val="both"/>
        <w:rPr>
          <w:rFonts w:ascii="Arial Narrow" w:hAnsi="Arial Narrow"/>
          <w:lang w:val="bg-BG"/>
        </w:rPr>
      </w:pPr>
      <w:r w:rsidRPr="004173C8">
        <w:rPr>
          <w:rFonts w:ascii="Arial Narrow" w:hAnsi="Arial Narrow"/>
          <w:lang w:val="bg-BG"/>
        </w:rPr>
        <w:lastRenderedPageBreak/>
        <w:t>Въз основа на извършените анализи са изготвени 1 103 препоръки за торене.</w:t>
      </w:r>
    </w:p>
    <w:p w14:paraId="37948781" w14:textId="77777777" w:rsidR="009253ED" w:rsidRPr="002276D8" w:rsidRDefault="002276D8" w:rsidP="006030D4">
      <w:pPr>
        <w:pStyle w:val="ListParagraph"/>
        <w:numPr>
          <w:ilvl w:val="2"/>
          <w:numId w:val="16"/>
        </w:numPr>
        <w:spacing w:after="120"/>
        <w:ind w:left="990" w:hanging="630"/>
        <w:outlineLvl w:val="0"/>
        <w:rPr>
          <w:rFonts w:ascii="Arial Narrow" w:hAnsi="Arial Narrow"/>
          <w:b/>
          <w:bCs/>
          <w:lang w:val="bg-BG"/>
        </w:rPr>
      </w:pPr>
      <w:bookmarkStart w:id="204" w:name="_Toc210747650"/>
      <w:r w:rsidRPr="004173C8">
        <w:rPr>
          <w:rFonts w:ascii="Arial Narrow" w:hAnsi="Arial Narrow"/>
          <w:b/>
          <w:bCs/>
          <w:lang w:val="bg-BG"/>
        </w:rPr>
        <w:t>Дейности по подмярка 2.1.2 „Консултантски услуги за малки земеделски стопанства”</w:t>
      </w:r>
      <w:bookmarkEnd w:id="204"/>
    </w:p>
    <w:p w14:paraId="581F405F" w14:textId="77777777" w:rsidR="002276D8" w:rsidRPr="004173C8" w:rsidRDefault="002276D8" w:rsidP="002276D8">
      <w:pPr>
        <w:spacing w:after="120"/>
        <w:ind w:firstLine="709"/>
        <w:jc w:val="both"/>
        <w:rPr>
          <w:rFonts w:ascii="Arial Narrow" w:hAnsi="Arial Narrow"/>
          <w:lang w:val="bg-BG"/>
        </w:rPr>
      </w:pPr>
      <w:r w:rsidRPr="004173C8">
        <w:rPr>
          <w:rFonts w:ascii="Arial Narrow" w:hAnsi="Arial Narrow"/>
          <w:lang w:val="bg-BG"/>
        </w:rPr>
        <w:t xml:space="preserve">НССЗ е единствената съветническа организация, одобрена от ЕК да предоставя съветнически услуги на малките земеделски стопанства по стартиралата през 2016 г. подмярка 2.1.2 „Консултантски услуги за малки земеделски стопанства” по мярка 2 „Консултантски услуги, услуги по управление на стопанството и услуги по заместване в стопанството“ от ПРСР 2014-2020 г. </w:t>
      </w:r>
    </w:p>
    <w:p w14:paraId="41F5548D" w14:textId="77777777" w:rsidR="002276D8" w:rsidRPr="004173C8" w:rsidRDefault="002276D8" w:rsidP="002276D8">
      <w:pPr>
        <w:spacing w:after="120"/>
        <w:ind w:firstLine="709"/>
        <w:jc w:val="both"/>
        <w:rPr>
          <w:rFonts w:ascii="Arial Narrow" w:hAnsi="Arial Narrow"/>
          <w:lang w:val="bg-BG"/>
        </w:rPr>
      </w:pPr>
      <w:r w:rsidRPr="004173C8">
        <w:rPr>
          <w:rFonts w:ascii="Arial Narrow" w:hAnsi="Arial Narrow"/>
          <w:lang w:val="bg-BG"/>
        </w:rPr>
        <w:t xml:space="preserve">По подмярка 2.1.2 НССЗ предоставя напълно безплатно шест основни консултантски пакета (КП), допринасящи както за икономическо развитие и укрепване на малките земеделски стопанства чрез модернизация и технологичното обновление, така и за подобряване на опазването на околната среда и борба с климатичните промени. </w:t>
      </w:r>
    </w:p>
    <w:p w14:paraId="7BB98F78" w14:textId="77777777" w:rsidR="002276D8" w:rsidRDefault="002276D8" w:rsidP="002276D8">
      <w:pPr>
        <w:spacing w:after="120"/>
        <w:ind w:firstLine="709"/>
        <w:jc w:val="both"/>
        <w:rPr>
          <w:rFonts w:ascii="Arial Narrow" w:hAnsi="Arial Narrow"/>
          <w:lang w:val="bg-BG"/>
        </w:rPr>
      </w:pPr>
      <w:r w:rsidRPr="004173C8">
        <w:rPr>
          <w:rFonts w:ascii="Arial Narrow" w:hAnsi="Arial Narrow"/>
          <w:lang w:val="bg-BG"/>
        </w:rPr>
        <w:t>Предоставянето на КП по подмярка 2.1.2 включва посещения на място, оценка и анализ на състоянието на стопанствата на земеделските стопани, както и, където е приложимо, вземане на почвени проби за агрохимичен анализ и изготвяне на препоръки за торене</w:t>
      </w:r>
      <w:r>
        <w:rPr>
          <w:rFonts w:ascii="Arial Narrow" w:hAnsi="Arial Narrow"/>
          <w:lang w:val="bg-BG"/>
        </w:rPr>
        <w:t>.</w:t>
      </w:r>
    </w:p>
    <w:p w14:paraId="18C1DE2A" w14:textId="77777777" w:rsidR="002276D8" w:rsidRPr="004173C8" w:rsidRDefault="002276D8" w:rsidP="002276D8">
      <w:pPr>
        <w:spacing w:after="120"/>
        <w:ind w:firstLine="709"/>
        <w:jc w:val="both"/>
        <w:rPr>
          <w:rFonts w:ascii="Arial Narrow" w:hAnsi="Arial Narrow"/>
          <w:lang w:val="bg-BG"/>
        </w:rPr>
      </w:pPr>
      <w:r w:rsidRPr="004173C8">
        <w:rPr>
          <w:rFonts w:ascii="Arial Narrow" w:hAnsi="Arial Narrow"/>
          <w:lang w:val="bg-BG"/>
        </w:rPr>
        <w:t xml:space="preserve">Общият брой на подадените заявления за получаване на консултантски пакети по подмярката през 2024 г. е 1 723, въз основа на които са предоставени 7 624  КП и са изготвени 1 688 писмени доклада,  включващи различни видове консултации и подробен анализ, оценка и препоръки за развитието на земеделските стопанства. </w:t>
      </w:r>
    </w:p>
    <w:p w14:paraId="6074B691" w14:textId="77777777" w:rsidR="009253ED" w:rsidRPr="002276D8" w:rsidRDefault="00692435" w:rsidP="00513FF4">
      <w:pPr>
        <w:pStyle w:val="ListParagraph"/>
        <w:numPr>
          <w:ilvl w:val="2"/>
          <w:numId w:val="16"/>
        </w:numPr>
        <w:spacing w:after="120"/>
        <w:ind w:left="990" w:hanging="630"/>
        <w:outlineLvl w:val="0"/>
        <w:rPr>
          <w:rFonts w:ascii="Arial Narrow" w:hAnsi="Arial Narrow"/>
          <w:b/>
          <w:lang w:val="bg-BG" w:eastAsia="bg-BG"/>
        </w:rPr>
      </w:pPr>
      <w:bookmarkStart w:id="205" w:name="_Toc210747651"/>
      <w:r w:rsidRPr="002276D8">
        <w:rPr>
          <w:rFonts w:ascii="Arial Narrow" w:eastAsia="Calibri" w:hAnsi="Arial Narrow"/>
          <w:b/>
        </w:rPr>
        <w:t>Дейности по подмярка 2.2 „Създаване на консултантски услуги“</w:t>
      </w:r>
      <w:bookmarkEnd w:id="205"/>
      <w:r w:rsidR="009253ED" w:rsidRPr="002276D8">
        <w:rPr>
          <w:rFonts w:ascii="Arial Narrow" w:hAnsi="Arial Narrow"/>
          <w:b/>
          <w:lang w:val="bg-BG" w:eastAsia="bg-BG"/>
        </w:rPr>
        <w:t xml:space="preserve"> </w:t>
      </w:r>
    </w:p>
    <w:p w14:paraId="788CB330" w14:textId="77777777" w:rsidR="002276D8" w:rsidRPr="004173C8" w:rsidRDefault="002276D8" w:rsidP="002276D8">
      <w:pPr>
        <w:spacing w:after="120"/>
        <w:ind w:firstLine="709"/>
        <w:jc w:val="both"/>
        <w:rPr>
          <w:rFonts w:ascii="Arial Narrow" w:hAnsi="Arial Narrow"/>
          <w:lang w:val="bg-BG"/>
        </w:rPr>
      </w:pPr>
      <w:bookmarkStart w:id="206" w:name="_Hlk100127522"/>
      <w:r w:rsidRPr="004173C8">
        <w:rPr>
          <w:rFonts w:ascii="Arial Narrow" w:hAnsi="Arial Narrow"/>
          <w:lang w:val="bg-BG"/>
        </w:rPr>
        <w:t>През 2024 г. продължава изпълнението на дейностите по сключения договор от 2021 г. между НССЗ, МЗХ и ДФЗ-РА за предоставяне на безвъзмездна финансова помощ по процедура чрез подбор на проектни предложения „Разширяване на териториалния обхват на НССЗ чрез създаване на мобилни общински центрове (офиси) за консултантски услуги“ по подмярка 2.2 „Създаване на консултантски услуги“ по мярка 2 „Консултантски услуги, услуги по управление на стопанството и услуги по заместване в стопанството“ от ПРСР 2014-2020 г.</w:t>
      </w:r>
    </w:p>
    <w:p w14:paraId="48C32276" w14:textId="77777777" w:rsidR="002276D8" w:rsidRPr="004173C8" w:rsidRDefault="002276D8" w:rsidP="002276D8">
      <w:pPr>
        <w:spacing w:after="120"/>
        <w:ind w:firstLine="709"/>
        <w:jc w:val="both"/>
        <w:rPr>
          <w:rFonts w:ascii="Arial Narrow" w:hAnsi="Arial Narrow"/>
          <w:lang w:val="bg-BG"/>
        </w:rPr>
      </w:pPr>
      <w:r w:rsidRPr="004173C8">
        <w:rPr>
          <w:rFonts w:ascii="Arial Narrow" w:hAnsi="Arial Narrow"/>
          <w:lang w:val="bg-BG"/>
        </w:rPr>
        <w:t>В структура</w:t>
      </w:r>
      <w:r>
        <w:rPr>
          <w:rFonts w:ascii="Arial Narrow" w:hAnsi="Arial Narrow"/>
          <w:lang w:val="bg-BG"/>
        </w:rPr>
        <w:t>та</w:t>
      </w:r>
      <w:r w:rsidRPr="004173C8">
        <w:rPr>
          <w:rFonts w:ascii="Arial Narrow" w:hAnsi="Arial Narrow"/>
          <w:lang w:val="bg-BG"/>
        </w:rPr>
        <w:t xml:space="preserve"> на дирекция „Мобилни общински офиси“ към </w:t>
      </w:r>
      <w:r>
        <w:rPr>
          <w:rFonts w:ascii="Arial Narrow" w:hAnsi="Arial Narrow"/>
          <w:lang w:val="bg-BG"/>
        </w:rPr>
        <w:t xml:space="preserve">края на </w:t>
      </w:r>
      <w:r w:rsidRPr="004173C8">
        <w:rPr>
          <w:rFonts w:ascii="Arial Narrow" w:hAnsi="Arial Narrow"/>
          <w:lang w:val="bg-BG"/>
        </w:rPr>
        <w:t xml:space="preserve">2024 г. са назначени 58 експерти/съветници, от които: 51 експерти в 28-те мобилни общински офиси (МОО), 6 координатора на регионално ниво и 1 координатор на централно ниво. </w:t>
      </w:r>
    </w:p>
    <w:p w14:paraId="010DE39C" w14:textId="77777777" w:rsidR="002276D8" w:rsidRPr="004173C8" w:rsidRDefault="002276D8" w:rsidP="002276D8">
      <w:pPr>
        <w:spacing w:after="120"/>
        <w:ind w:firstLine="709"/>
        <w:jc w:val="both"/>
        <w:rPr>
          <w:rFonts w:ascii="Arial Narrow" w:hAnsi="Arial Narrow"/>
          <w:lang w:val="bg-BG"/>
        </w:rPr>
      </w:pPr>
      <w:r w:rsidRPr="004173C8">
        <w:rPr>
          <w:rFonts w:ascii="Arial Narrow" w:hAnsi="Arial Narrow"/>
          <w:lang w:val="bg-BG"/>
        </w:rPr>
        <w:t>Задачите на експертите/съветниците от МОО са свързани основно с предоставяне на консултации</w:t>
      </w:r>
      <w:r>
        <w:rPr>
          <w:rFonts w:ascii="Arial Narrow" w:hAnsi="Arial Narrow"/>
          <w:lang w:val="bg-BG"/>
        </w:rPr>
        <w:t>,</w:t>
      </w:r>
      <w:r w:rsidRPr="004173C8">
        <w:rPr>
          <w:rFonts w:ascii="Arial Narrow" w:hAnsi="Arial Narrow"/>
          <w:lang w:val="bg-BG"/>
        </w:rPr>
        <w:t xml:space="preserve"> в т.ч. индивидуални консултации на земеделски стопани и други заинтересовани лица. Предоставените консултации са на теми по мерките от ПРСР 2014-2020 г., интервенциите от СПРЗСР 2023-2027</w:t>
      </w:r>
      <w:r>
        <w:rPr>
          <w:rFonts w:ascii="Arial Narrow" w:hAnsi="Arial Narrow"/>
          <w:lang w:val="bg-BG"/>
        </w:rPr>
        <w:t xml:space="preserve"> </w:t>
      </w:r>
      <w:r w:rsidRPr="004173C8">
        <w:rPr>
          <w:rFonts w:ascii="Arial Narrow" w:hAnsi="Arial Narrow"/>
          <w:lang w:val="bg-BG"/>
        </w:rPr>
        <w:t xml:space="preserve">г.; специализирани консултации по растениевъдство, животновъдство и управление на земеделското стопанство; консултации, свързани с изискванията за биологично производство и възможностите за подпомагане на биологичните производители; аграрна икономика, схеми и мерки за директни плащания, регистрационни и лицензионни режими, законова и подзаконова нормативна уредба в земеделието </w:t>
      </w:r>
      <w:r>
        <w:rPr>
          <w:rFonts w:ascii="Arial Narrow" w:hAnsi="Arial Narrow"/>
          <w:lang w:val="bg-BG"/>
        </w:rPr>
        <w:t xml:space="preserve">и </w:t>
      </w:r>
      <w:r w:rsidRPr="004173C8">
        <w:rPr>
          <w:rFonts w:ascii="Arial Narrow" w:hAnsi="Arial Narrow"/>
          <w:lang w:val="bg-BG"/>
        </w:rPr>
        <w:t xml:space="preserve">други консултации, свързани с дейността на земеделските стопанства. </w:t>
      </w:r>
    </w:p>
    <w:p w14:paraId="0CE189E1" w14:textId="77777777" w:rsidR="002276D8" w:rsidRPr="004173C8" w:rsidRDefault="002276D8" w:rsidP="002276D8">
      <w:pPr>
        <w:spacing w:after="120"/>
        <w:ind w:firstLine="709"/>
        <w:jc w:val="both"/>
        <w:rPr>
          <w:rFonts w:ascii="Arial Narrow" w:hAnsi="Arial Narrow"/>
          <w:lang w:val="bg-BG"/>
        </w:rPr>
      </w:pPr>
      <w:r w:rsidRPr="004173C8">
        <w:rPr>
          <w:rFonts w:ascii="Arial Narrow" w:hAnsi="Arial Narrow"/>
          <w:lang w:val="bg-BG"/>
        </w:rPr>
        <w:t>Експертите от МОО провеждат и изнесени приемни в различни населени места</w:t>
      </w:r>
      <w:r>
        <w:rPr>
          <w:rFonts w:ascii="Arial Narrow" w:hAnsi="Arial Narrow"/>
          <w:lang w:val="bg-BG"/>
        </w:rPr>
        <w:t>, с</w:t>
      </w:r>
      <w:r w:rsidRPr="004173C8">
        <w:rPr>
          <w:rFonts w:ascii="Arial Narrow" w:hAnsi="Arial Narrow"/>
          <w:lang w:val="bg-BG"/>
        </w:rPr>
        <w:t xml:space="preserve"> цел улесн</w:t>
      </w:r>
      <w:r>
        <w:rPr>
          <w:rFonts w:ascii="Arial Narrow" w:hAnsi="Arial Narrow"/>
          <w:lang w:val="bg-BG"/>
        </w:rPr>
        <w:t>яване</w:t>
      </w:r>
      <w:r w:rsidRPr="004173C8">
        <w:rPr>
          <w:rFonts w:ascii="Arial Narrow" w:hAnsi="Arial Narrow"/>
          <w:lang w:val="bg-BG"/>
        </w:rPr>
        <w:t xml:space="preserve"> достъпа на земеделските стопани до актуална и достоверна информация. </w:t>
      </w:r>
      <w:r>
        <w:rPr>
          <w:rFonts w:ascii="Arial Narrow" w:hAnsi="Arial Narrow"/>
          <w:lang w:val="bg-BG"/>
        </w:rPr>
        <w:t>И</w:t>
      </w:r>
      <w:r w:rsidRPr="004173C8">
        <w:rPr>
          <w:rFonts w:ascii="Arial Narrow" w:hAnsi="Arial Narrow"/>
          <w:lang w:val="bg-BG"/>
        </w:rPr>
        <w:t>звършва</w:t>
      </w:r>
      <w:r>
        <w:rPr>
          <w:rFonts w:ascii="Arial Narrow" w:hAnsi="Arial Narrow"/>
          <w:lang w:val="bg-BG"/>
        </w:rPr>
        <w:t>т се</w:t>
      </w:r>
      <w:r w:rsidRPr="004173C8">
        <w:rPr>
          <w:rFonts w:ascii="Arial Narrow" w:hAnsi="Arial Narrow"/>
          <w:lang w:val="bg-BG"/>
        </w:rPr>
        <w:t xml:space="preserve"> посещения на място в земеделските стопанства, по време на които съветниците предоставят информация и съвети за развитие на конкретното стопанство</w:t>
      </w:r>
      <w:r>
        <w:rPr>
          <w:rFonts w:ascii="Arial Narrow" w:hAnsi="Arial Narrow"/>
          <w:lang w:val="bg-BG"/>
        </w:rPr>
        <w:t xml:space="preserve"> и</w:t>
      </w:r>
      <w:r w:rsidRPr="004173C8">
        <w:rPr>
          <w:rFonts w:ascii="Arial Narrow" w:hAnsi="Arial Narrow"/>
          <w:lang w:val="bg-BG"/>
        </w:rPr>
        <w:t xml:space="preserve"> разяснява</w:t>
      </w:r>
      <w:r>
        <w:rPr>
          <w:rFonts w:ascii="Arial Narrow" w:hAnsi="Arial Narrow"/>
          <w:lang w:val="bg-BG"/>
        </w:rPr>
        <w:t>т</w:t>
      </w:r>
      <w:r w:rsidRPr="004173C8">
        <w:rPr>
          <w:rFonts w:ascii="Arial Narrow" w:hAnsi="Arial Narrow"/>
          <w:lang w:val="bg-BG"/>
        </w:rPr>
        <w:t xml:space="preserve"> условията за кандидатстване по Тематичната подпрограма за малките стопанства и други мерки, финансирани чрез ЕЗФРСР.</w:t>
      </w:r>
    </w:p>
    <w:p w14:paraId="437324AD" w14:textId="77777777" w:rsidR="002276D8" w:rsidRPr="004173C8" w:rsidRDefault="002276D8" w:rsidP="002276D8">
      <w:pPr>
        <w:spacing w:after="120"/>
        <w:ind w:firstLine="709"/>
        <w:jc w:val="both"/>
        <w:rPr>
          <w:rFonts w:ascii="Arial Narrow" w:hAnsi="Arial Narrow"/>
          <w:lang w:val="bg-BG"/>
        </w:rPr>
      </w:pPr>
      <w:r>
        <w:rPr>
          <w:rFonts w:ascii="Arial Narrow" w:hAnsi="Arial Narrow"/>
          <w:lang w:val="bg-BG"/>
        </w:rPr>
        <w:t>Освен това дирекция МОО организира</w:t>
      </w:r>
      <w:r w:rsidRPr="004173C8">
        <w:rPr>
          <w:rFonts w:ascii="Arial Narrow" w:hAnsi="Arial Narrow"/>
          <w:lang w:val="bg-BG"/>
        </w:rPr>
        <w:t xml:space="preserve"> информационни събития</w:t>
      </w:r>
      <w:r>
        <w:rPr>
          <w:rFonts w:ascii="Arial Narrow" w:hAnsi="Arial Narrow"/>
          <w:lang w:val="bg-BG"/>
        </w:rPr>
        <w:t>,</w:t>
      </w:r>
      <w:r w:rsidRPr="004173C8">
        <w:rPr>
          <w:rFonts w:ascii="Arial Narrow" w:hAnsi="Arial Narrow"/>
          <w:lang w:val="bg-BG"/>
        </w:rPr>
        <w:t xml:space="preserve"> осигур</w:t>
      </w:r>
      <w:r>
        <w:rPr>
          <w:rFonts w:ascii="Arial Narrow" w:hAnsi="Arial Narrow"/>
          <w:lang w:val="bg-BG"/>
        </w:rPr>
        <w:t>яващи</w:t>
      </w:r>
      <w:r w:rsidRPr="004173C8">
        <w:rPr>
          <w:rFonts w:ascii="Arial Narrow" w:hAnsi="Arial Narrow"/>
          <w:lang w:val="bg-BG"/>
        </w:rPr>
        <w:t xml:space="preserve"> възможност на по-голям брой земеделски стопани и други заинтересовани лица да получат информация за възможностите за финансиране по различни европейски и национални програми. През 2024 г. по подмярка 2.2 „Създаване на консултантски услуги“ от ПРСР 2014-2020 г. са отпечатани 9 вида информационни и специализирани материали с общ тираж 22 400 броя. </w:t>
      </w:r>
    </w:p>
    <w:p w14:paraId="3352DF12" w14:textId="77777777" w:rsidR="002276D8" w:rsidRPr="004173C8" w:rsidRDefault="002276D8" w:rsidP="000914FD">
      <w:pPr>
        <w:pStyle w:val="ListParagraph"/>
        <w:numPr>
          <w:ilvl w:val="2"/>
          <w:numId w:val="16"/>
        </w:numPr>
        <w:spacing w:after="120"/>
        <w:ind w:left="990" w:hanging="630"/>
        <w:jc w:val="both"/>
        <w:outlineLvl w:val="0"/>
        <w:rPr>
          <w:rFonts w:ascii="Arial Narrow" w:hAnsi="Arial Narrow"/>
          <w:b/>
          <w:lang w:val="bg-BG"/>
        </w:rPr>
      </w:pPr>
      <w:bookmarkStart w:id="207" w:name="_Toc195270397"/>
      <w:bookmarkStart w:id="208" w:name="_Toc210747652"/>
      <w:bookmarkEnd w:id="206"/>
      <w:r w:rsidRPr="004173C8">
        <w:rPr>
          <w:rFonts w:ascii="Arial Narrow" w:hAnsi="Arial Narrow"/>
          <w:b/>
          <w:lang w:val="bg-BG"/>
        </w:rPr>
        <w:t>Дейности на НССЗ по интервенция I.И.1. "Консултантски услуги и повишаване на консултантския капацитет" от СПРЗСР 2023-2027</w:t>
      </w:r>
      <w:bookmarkEnd w:id="207"/>
      <w:bookmarkEnd w:id="208"/>
    </w:p>
    <w:p w14:paraId="0D448C02" w14:textId="77777777" w:rsidR="002276D8" w:rsidRPr="004173C8" w:rsidRDefault="002276D8" w:rsidP="002276D8">
      <w:pPr>
        <w:spacing w:after="120"/>
        <w:ind w:firstLine="709"/>
        <w:jc w:val="both"/>
        <w:rPr>
          <w:rFonts w:ascii="Arial Narrow" w:hAnsi="Arial Narrow"/>
          <w:lang w:val="bg-BG"/>
        </w:rPr>
      </w:pPr>
      <w:r>
        <w:rPr>
          <w:rFonts w:ascii="Arial Narrow" w:hAnsi="Arial Narrow"/>
          <w:lang w:val="bg-BG"/>
        </w:rPr>
        <w:lastRenderedPageBreak/>
        <w:t>През м. август 2024 г. е</w:t>
      </w:r>
      <w:r w:rsidRPr="004173C8">
        <w:rPr>
          <w:rFonts w:ascii="Arial Narrow" w:hAnsi="Arial Narrow"/>
          <w:lang w:val="bg-BG"/>
        </w:rPr>
        <w:t xml:space="preserve"> сключен договор</w:t>
      </w:r>
      <w:bookmarkStart w:id="209" w:name="_Hlk194657599"/>
      <w:r w:rsidRPr="004173C8">
        <w:rPr>
          <w:rFonts w:ascii="Arial Narrow" w:hAnsi="Arial Narrow"/>
          <w:lang w:val="bg-BG"/>
        </w:rPr>
        <w:t xml:space="preserve"> между НССЗ и МЗХ за предоставяне на съветнически пакети (СП) на земеделски стопани</w:t>
      </w:r>
      <w:bookmarkEnd w:id="209"/>
      <w:r w:rsidRPr="004173C8">
        <w:rPr>
          <w:rFonts w:ascii="Arial Narrow" w:hAnsi="Arial Narrow"/>
          <w:lang w:val="bg-BG"/>
        </w:rPr>
        <w:t>, кандидатстващи и/или одобрени бенефициенти по интервенции II.Д.1 „Стартова помощ за установяване на млади земеделски стопани в селското стопанство“, II.Д.2 „Подпомагане на много малки земеделски стопанства“ и II.Д.3 „Стартова помощ за установяване на нови земеделски стопани в селското стопанство“ от СПРЗСР 2023–2027.</w:t>
      </w:r>
    </w:p>
    <w:p w14:paraId="19BBF3BC" w14:textId="77777777" w:rsidR="002276D8" w:rsidRPr="004173C8" w:rsidRDefault="002276D8" w:rsidP="002276D8">
      <w:pPr>
        <w:spacing w:after="120"/>
        <w:ind w:firstLine="709"/>
        <w:jc w:val="both"/>
        <w:rPr>
          <w:rFonts w:ascii="Arial Narrow" w:hAnsi="Arial Narrow"/>
          <w:lang w:val="bg-BG"/>
        </w:rPr>
      </w:pPr>
      <w:r w:rsidRPr="004173C8">
        <w:rPr>
          <w:rFonts w:ascii="Arial Narrow" w:hAnsi="Arial Narrow"/>
          <w:lang w:val="bg-BG"/>
        </w:rPr>
        <w:t xml:space="preserve">В резултат на </w:t>
      </w:r>
      <w:r>
        <w:rPr>
          <w:rFonts w:ascii="Arial Narrow" w:hAnsi="Arial Narrow"/>
          <w:lang w:val="bg-BG"/>
        </w:rPr>
        <w:t>това</w:t>
      </w:r>
      <w:r w:rsidRPr="004173C8">
        <w:rPr>
          <w:rFonts w:ascii="Arial Narrow" w:hAnsi="Arial Narrow"/>
          <w:lang w:val="bg-BG"/>
        </w:rPr>
        <w:t xml:space="preserve"> в края на 2024 г. НССЗ стартира предоставянето на следните СП по интервенция II.И.1. от СПРЗСР 2023 - 2027 г.:</w:t>
      </w:r>
    </w:p>
    <w:p w14:paraId="5A821FF4" w14:textId="77777777" w:rsidR="002276D8" w:rsidRPr="004173C8" w:rsidRDefault="002276D8" w:rsidP="009C6577">
      <w:pPr>
        <w:pStyle w:val="ListParagraph"/>
        <w:numPr>
          <w:ilvl w:val="0"/>
          <w:numId w:val="57"/>
        </w:numPr>
        <w:spacing w:after="120"/>
        <w:ind w:left="714" w:hanging="357"/>
        <w:contextualSpacing w:val="0"/>
        <w:jc w:val="both"/>
        <w:rPr>
          <w:rFonts w:ascii="Arial Narrow" w:hAnsi="Arial Narrow"/>
          <w:lang w:val="bg-BG"/>
        </w:rPr>
      </w:pPr>
      <w:r w:rsidRPr="004173C8">
        <w:rPr>
          <w:rFonts w:ascii="Arial Narrow" w:hAnsi="Arial Narrow"/>
          <w:lang w:val="bg-BG"/>
        </w:rPr>
        <w:t>СП №1: Предоставяне на съвети, насочени към млади или нови земеделски стопани за подпомагане за кандидатстване за интервенциите, по които те са допустими (СП1);</w:t>
      </w:r>
    </w:p>
    <w:p w14:paraId="4D10B75F" w14:textId="77777777" w:rsidR="002276D8" w:rsidRPr="004173C8" w:rsidRDefault="002276D8" w:rsidP="009C6577">
      <w:pPr>
        <w:pStyle w:val="ListParagraph"/>
        <w:numPr>
          <w:ilvl w:val="0"/>
          <w:numId w:val="57"/>
        </w:numPr>
        <w:spacing w:after="120"/>
        <w:ind w:left="714" w:hanging="357"/>
        <w:contextualSpacing w:val="0"/>
        <w:jc w:val="both"/>
        <w:rPr>
          <w:rFonts w:ascii="Arial Narrow" w:hAnsi="Arial Narrow"/>
          <w:lang w:val="bg-BG"/>
        </w:rPr>
      </w:pPr>
      <w:r w:rsidRPr="004173C8">
        <w:rPr>
          <w:rFonts w:ascii="Arial Narrow" w:hAnsi="Arial Narrow"/>
          <w:lang w:val="bg-BG"/>
        </w:rPr>
        <w:t>СП №2: Предоставяне на съвети, насочени към малки и много малки земеделски стопани за подпомагане за кандидатстване за интервенциите, по които те са допустими (СП2)</w:t>
      </w:r>
      <w:r>
        <w:rPr>
          <w:rFonts w:ascii="Arial Narrow" w:hAnsi="Arial Narrow"/>
          <w:lang w:val="bg-BG"/>
        </w:rPr>
        <w:t>.</w:t>
      </w:r>
    </w:p>
    <w:p w14:paraId="1557884A" w14:textId="77777777" w:rsidR="002276D8" w:rsidRPr="004173C8" w:rsidRDefault="002276D8" w:rsidP="002276D8">
      <w:pPr>
        <w:spacing w:after="120"/>
        <w:ind w:firstLine="709"/>
        <w:jc w:val="both"/>
        <w:rPr>
          <w:rFonts w:ascii="Arial Narrow" w:hAnsi="Arial Narrow"/>
          <w:lang w:val="bg-BG"/>
        </w:rPr>
      </w:pPr>
      <w:r w:rsidRPr="004173C8">
        <w:rPr>
          <w:rFonts w:ascii="Arial Narrow" w:hAnsi="Arial Narrow"/>
          <w:lang w:val="bg-BG"/>
        </w:rPr>
        <w:t>Съветническите услуги включват изготвяне и попълване на бизнес плана за кандидатстване, изчисляване на точките по критериите за подбор, изготвяне и попълване на заявлението за подпомагане, окомплектоване на изискуемите документите към заявлението за подпомагане и съдействие за качване съвместно със земеделския стопанин в СЕУ на ДФЗ.</w:t>
      </w:r>
    </w:p>
    <w:p w14:paraId="5A142B04" w14:textId="77777777" w:rsidR="002276D8" w:rsidRPr="004173C8" w:rsidRDefault="002276D8" w:rsidP="002276D8">
      <w:pPr>
        <w:spacing w:after="120"/>
        <w:ind w:firstLine="709"/>
        <w:jc w:val="both"/>
        <w:rPr>
          <w:rFonts w:ascii="Arial Narrow" w:hAnsi="Arial Narrow"/>
          <w:lang w:val="bg-BG"/>
        </w:rPr>
      </w:pPr>
      <w:r w:rsidRPr="004173C8">
        <w:rPr>
          <w:rFonts w:ascii="Arial Narrow" w:hAnsi="Arial Narrow"/>
          <w:lang w:val="bg-BG"/>
        </w:rPr>
        <w:t>От стартиране на периодите на прием за предоставяне на СП 1 и СП 2 до 31.12.2024</w:t>
      </w:r>
      <w:r>
        <w:rPr>
          <w:rFonts w:ascii="Arial Narrow" w:hAnsi="Arial Narrow"/>
          <w:lang w:val="bg-BG"/>
        </w:rPr>
        <w:t xml:space="preserve"> </w:t>
      </w:r>
      <w:r w:rsidRPr="004173C8">
        <w:rPr>
          <w:rFonts w:ascii="Arial Narrow" w:hAnsi="Arial Narrow"/>
          <w:lang w:val="bg-BG"/>
        </w:rPr>
        <w:t xml:space="preserve">г. в офисите на НССЗ са подадени 673 заявления </w:t>
      </w:r>
      <w:r>
        <w:rPr>
          <w:rFonts w:ascii="Arial Narrow" w:hAnsi="Arial Narrow"/>
          <w:lang w:val="bg-BG"/>
        </w:rPr>
        <w:t xml:space="preserve">от земеделски стопани </w:t>
      </w:r>
      <w:r w:rsidRPr="004173C8">
        <w:rPr>
          <w:rFonts w:ascii="Arial Narrow" w:hAnsi="Arial Narrow"/>
          <w:lang w:val="bg-BG"/>
        </w:rPr>
        <w:t>за получаване на тези СП.</w:t>
      </w:r>
    </w:p>
    <w:p w14:paraId="52C311C4" w14:textId="77777777" w:rsidR="009253ED" w:rsidRPr="002276D8" w:rsidRDefault="009253ED" w:rsidP="00513FF4">
      <w:pPr>
        <w:pStyle w:val="ListParagraph"/>
        <w:numPr>
          <w:ilvl w:val="2"/>
          <w:numId w:val="16"/>
        </w:numPr>
        <w:spacing w:after="120"/>
        <w:ind w:left="990" w:hanging="630"/>
        <w:outlineLvl w:val="0"/>
        <w:rPr>
          <w:rFonts w:ascii="Arial Narrow" w:hAnsi="Arial Narrow"/>
          <w:lang w:val="bg-BG" w:eastAsia="bg-BG"/>
        </w:rPr>
      </w:pPr>
      <w:bookmarkStart w:id="210" w:name="_Toc210747653"/>
      <w:r w:rsidRPr="002276D8">
        <w:rPr>
          <w:rFonts w:ascii="Arial Narrow" w:hAnsi="Arial Narrow"/>
          <w:b/>
          <w:lang w:val="bg-BG" w:eastAsia="bg-BG"/>
        </w:rPr>
        <w:t>Обща се</w:t>
      </w:r>
      <w:r w:rsidR="002276D8" w:rsidRPr="002276D8">
        <w:rPr>
          <w:rFonts w:ascii="Arial Narrow" w:hAnsi="Arial Narrow"/>
          <w:b/>
          <w:lang w:val="bg-BG" w:eastAsia="bg-BG"/>
        </w:rPr>
        <w:t>лскостопанска политика 2023</w:t>
      </w:r>
      <w:r w:rsidRPr="002276D8">
        <w:rPr>
          <w:rFonts w:ascii="Arial Narrow" w:hAnsi="Arial Narrow"/>
          <w:b/>
          <w:lang w:val="bg-BG" w:eastAsia="bg-BG"/>
        </w:rPr>
        <w:t>-2027 г.</w:t>
      </w:r>
      <w:bookmarkEnd w:id="210"/>
    </w:p>
    <w:p w14:paraId="208D79D3" w14:textId="77777777" w:rsidR="002276D8" w:rsidRPr="004173C8" w:rsidRDefault="002276D8" w:rsidP="002276D8">
      <w:pPr>
        <w:spacing w:after="120"/>
        <w:ind w:firstLine="709"/>
        <w:jc w:val="both"/>
        <w:rPr>
          <w:rFonts w:ascii="Arial Narrow" w:hAnsi="Arial Narrow"/>
          <w:lang w:val="bg-BG"/>
        </w:rPr>
      </w:pPr>
      <w:r w:rsidRPr="004173C8">
        <w:rPr>
          <w:rFonts w:ascii="Arial Narrow" w:hAnsi="Arial Narrow"/>
          <w:lang w:val="bg-BG"/>
        </w:rPr>
        <w:t>През 2023 г. стартира изпълнението на Стратегическия план за развитие на земеделието и селските райони на България за периода 2023-2027 (ПРЗСР 2023-2027 г.) В него са отразени десетте основни цели, които ЕС поставя по отношение на новата Обща селскостопанска политика (ОСП) в социалната, екологичната и икономическата сфера, в т.ч. целта за по-широкото използване на съвременните технологии, знания и иновации. Дейностите по стимулиране обмена на знания и иновации са подкрепяни в държавите членки чрез Системите за знания и иновации в селското стопанство (СЗИСС/AKIS), с цел взаимодействие между хората и организациите, насърчаване на взаимното обучение, генериране, споделяне и използване на знания и информация, свързани със селското стопанство.</w:t>
      </w:r>
    </w:p>
    <w:p w14:paraId="6E876386" w14:textId="77777777" w:rsidR="002276D8" w:rsidRPr="004173C8" w:rsidRDefault="002276D8" w:rsidP="002276D8">
      <w:pPr>
        <w:spacing w:after="120"/>
        <w:ind w:firstLine="709"/>
        <w:jc w:val="both"/>
        <w:rPr>
          <w:rFonts w:ascii="Arial Narrow" w:hAnsi="Arial Narrow"/>
          <w:lang w:val="bg-BG"/>
        </w:rPr>
      </w:pPr>
      <w:r w:rsidRPr="004173C8">
        <w:rPr>
          <w:rFonts w:ascii="Arial Narrow" w:hAnsi="Arial Narrow"/>
          <w:lang w:val="bg-BG"/>
        </w:rPr>
        <w:t>Системите следва да включат голямо разнообразие от участници - земеделски производители, съветници, изследователи, образователни и обучителни институции, доставчици на суровини, търговци на дребно, представители на медии, министерства, обединени в национални или регионални системи AKIS за генериране и/или обмен на знания. Връзката между тези лица се осъществява и с помощта на съветническите организации в част от държавите-членки на ЕС, в т.ч. и в България чрез НССЗ. В подкрепа развитието на СЗИСС/AKIS НССЗ извършва целенасочена информационна, консултантска и съветническа дейност, която да помага на земеделските стопани, особено на малките, да разширят и модернизират своите стопанства, както и да оказва съдействие на земеделските стопани за усвояването на средства по европейски и национални програми и схеми за подпомагане. Консултантските услуги, споделянето на знания и умения, са от ключово значение, за да могат участниците в хранителната система да станат устойчиви.</w:t>
      </w:r>
    </w:p>
    <w:p w14:paraId="5B01FDA5" w14:textId="77777777" w:rsidR="002276D8" w:rsidRPr="004173C8" w:rsidRDefault="002276D8" w:rsidP="002276D8">
      <w:pPr>
        <w:spacing w:after="120"/>
        <w:ind w:firstLine="709"/>
        <w:jc w:val="both"/>
        <w:rPr>
          <w:rFonts w:ascii="Arial Narrow" w:hAnsi="Arial Narrow"/>
          <w:lang w:val="bg-BG"/>
        </w:rPr>
      </w:pPr>
      <w:r w:rsidRPr="004173C8">
        <w:rPr>
          <w:rFonts w:ascii="Arial Narrow" w:hAnsi="Arial Narrow"/>
          <w:lang w:val="bg-BG"/>
        </w:rPr>
        <w:t xml:space="preserve">През 2024 г. НССЗ съсредоточи допълнително усилия в подкрепа за развитието на СЗИСС/AKIS. </w:t>
      </w:r>
      <w:r>
        <w:rPr>
          <w:rFonts w:ascii="Arial Narrow" w:hAnsi="Arial Narrow"/>
          <w:lang w:val="bg-BG"/>
        </w:rPr>
        <w:t>Това включва</w:t>
      </w:r>
      <w:r w:rsidRPr="004173C8">
        <w:rPr>
          <w:rFonts w:ascii="Arial Narrow" w:hAnsi="Arial Narrow"/>
          <w:lang w:val="bg-BG"/>
        </w:rPr>
        <w:t xml:space="preserve"> дейности по преобразуване и разширяване на съществуващите на областно ниво „неформални консултативни съвети“</w:t>
      </w:r>
      <w:r w:rsidRPr="004173C8">
        <w:rPr>
          <w:lang w:val="bg-BG"/>
        </w:rPr>
        <w:t xml:space="preserve"> </w:t>
      </w:r>
      <w:r w:rsidRPr="004173C8">
        <w:rPr>
          <w:rFonts w:ascii="Arial Narrow" w:hAnsi="Arial Narrow"/>
          <w:lang w:val="bg-BG"/>
        </w:rPr>
        <w:t xml:space="preserve">(НКС) към териториалните офиси на Службата в областни консултативни AKIS центрове, както и дейността на мобилните общински офиси на Службата като „сензори на AKIS“ за идентифициране на нуждите на земеделските стопани. През 2024 г. </w:t>
      </w:r>
      <w:r>
        <w:rPr>
          <w:rFonts w:ascii="Arial Narrow" w:hAnsi="Arial Narrow"/>
          <w:lang w:val="bg-BG"/>
        </w:rPr>
        <w:t>са</w:t>
      </w:r>
      <w:r w:rsidRPr="004173C8">
        <w:rPr>
          <w:rFonts w:ascii="Arial Narrow" w:hAnsi="Arial Narrow"/>
          <w:lang w:val="bg-BG"/>
        </w:rPr>
        <w:t xml:space="preserve"> направени промени в работата на НКС като са взети предвид присъщите функции на НССЗ и започналото прилагане на СПРЗСР 2023-2027 г. и в частност подготовката за функциониране на СЗИСС/AKIS на областно ниво. </w:t>
      </w:r>
    </w:p>
    <w:p w14:paraId="766C876B" w14:textId="77777777" w:rsidR="002276D8" w:rsidRPr="004173C8" w:rsidRDefault="002276D8" w:rsidP="002276D8">
      <w:pPr>
        <w:spacing w:after="120"/>
        <w:ind w:firstLine="709"/>
        <w:jc w:val="both"/>
        <w:rPr>
          <w:rFonts w:ascii="Arial Narrow" w:hAnsi="Arial Narrow"/>
          <w:lang w:val="bg-BG"/>
        </w:rPr>
      </w:pPr>
      <w:r w:rsidRPr="004173C8">
        <w:rPr>
          <w:rFonts w:ascii="Arial Narrow" w:hAnsi="Arial Narrow"/>
          <w:lang w:val="bg-BG"/>
        </w:rPr>
        <w:t xml:space="preserve">За да развива и укрепва СЗИСС/AKIS на национално ниво, НССЗ участва в редица международни проекти по научно-изследователски и иновационни програми на ЕС. </w:t>
      </w:r>
    </w:p>
    <w:p w14:paraId="3C9403F7" w14:textId="77777777" w:rsidR="009253ED" w:rsidRPr="002276D8" w:rsidRDefault="009253ED" w:rsidP="00513FF4">
      <w:pPr>
        <w:pStyle w:val="ListParagraph"/>
        <w:numPr>
          <w:ilvl w:val="2"/>
          <w:numId w:val="16"/>
        </w:numPr>
        <w:spacing w:after="120"/>
        <w:ind w:left="990" w:hanging="630"/>
        <w:outlineLvl w:val="0"/>
        <w:rPr>
          <w:rFonts w:ascii="Arial Narrow" w:hAnsi="Arial Narrow"/>
          <w:b/>
          <w:lang w:val="bg-BG" w:eastAsia="bg-BG"/>
        </w:rPr>
      </w:pPr>
      <w:bookmarkStart w:id="211" w:name="_Toc210747654"/>
      <w:r w:rsidRPr="002276D8">
        <w:rPr>
          <w:rFonts w:ascii="Arial Narrow" w:hAnsi="Arial Narrow"/>
          <w:b/>
          <w:lang w:val="bg-BG" w:eastAsia="bg-BG"/>
        </w:rPr>
        <w:t>Международна дейност</w:t>
      </w:r>
      <w:bookmarkEnd w:id="211"/>
    </w:p>
    <w:p w14:paraId="1568EA62" w14:textId="77777777" w:rsidR="002276D8" w:rsidRPr="004173C8" w:rsidRDefault="002276D8" w:rsidP="002276D8">
      <w:pPr>
        <w:spacing w:after="120"/>
        <w:ind w:firstLine="709"/>
        <w:jc w:val="both"/>
        <w:rPr>
          <w:rFonts w:ascii="Arial Narrow" w:hAnsi="Arial Narrow"/>
          <w:lang w:val="bg-BG"/>
        </w:rPr>
      </w:pPr>
      <w:r w:rsidRPr="004173C8">
        <w:rPr>
          <w:rFonts w:ascii="Arial Narrow" w:hAnsi="Arial Narrow"/>
          <w:lang w:val="bg-BG"/>
        </w:rPr>
        <w:lastRenderedPageBreak/>
        <w:t xml:space="preserve">НССЗ е член на Европейската асоциация на организациите, предоставящи съветнически услуги в областта на земеделието и селските райони (Европейски форум на съветническите служби в областта на селските райони (EUFRAS) и Мрежата на съветническите организации от Югоизточна Европа (SEASN)). </w:t>
      </w:r>
    </w:p>
    <w:p w14:paraId="74F4684C" w14:textId="77777777" w:rsidR="002276D8" w:rsidRPr="004173C8" w:rsidRDefault="002276D8" w:rsidP="002276D8">
      <w:pPr>
        <w:keepNext/>
        <w:spacing w:after="120"/>
        <w:ind w:firstLine="709"/>
        <w:jc w:val="both"/>
        <w:rPr>
          <w:rFonts w:ascii="Arial Narrow" w:hAnsi="Arial Narrow"/>
          <w:lang w:val="bg-BG"/>
        </w:rPr>
      </w:pPr>
      <w:r w:rsidRPr="004173C8">
        <w:rPr>
          <w:rFonts w:ascii="Arial Narrow" w:hAnsi="Arial Narrow"/>
          <w:lang w:val="bg-BG"/>
        </w:rPr>
        <w:t xml:space="preserve">През 2024 г. Службата е взела участие в следните проекти и програми: </w:t>
      </w:r>
    </w:p>
    <w:p w14:paraId="5F521C60" w14:textId="77777777" w:rsidR="002276D8" w:rsidRPr="002422A0" w:rsidRDefault="002276D8" w:rsidP="009C6577">
      <w:pPr>
        <w:pStyle w:val="ListParagraph"/>
        <w:numPr>
          <w:ilvl w:val="0"/>
          <w:numId w:val="57"/>
        </w:numPr>
        <w:spacing w:after="120"/>
        <w:ind w:left="714" w:hanging="357"/>
        <w:contextualSpacing w:val="0"/>
        <w:jc w:val="both"/>
        <w:rPr>
          <w:rFonts w:ascii="Arial Narrow" w:hAnsi="Arial Narrow"/>
        </w:rPr>
      </w:pPr>
      <w:r w:rsidRPr="00B76167">
        <w:rPr>
          <w:rFonts w:ascii="Arial Narrow" w:hAnsi="Arial Narrow"/>
          <w:lang w:val="bg-BG"/>
        </w:rPr>
        <w:t xml:space="preserve">проект „Насърчаване на трансграничния обмен на знания и съвместното създаване в областта на устойчивото управление на почвите и земеделските стопанства“ (Soil-X-Change) по програма Хоризонт Европа. Основните дейности по проекта са насочени към проучване на резултатите от работата на оперативни групи, финансирани от ЕПИ-АГРИ, и знанията, събрани от партньорите по проекта, а в последствие иновативните практики ще бъдат разпространявани и споделяни. </w:t>
      </w:r>
    </w:p>
    <w:p w14:paraId="6C1776F3" w14:textId="77777777" w:rsidR="002276D8" w:rsidRPr="002422A0" w:rsidRDefault="002276D8" w:rsidP="009C6577">
      <w:pPr>
        <w:pStyle w:val="ListParagraph"/>
        <w:numPr>
          <w:ilvl w:val="0"/>
          <w:numId w:val="57"/>
        </w:numPr>
        <w:spacing w:after="120"/>
        <w:ind w:left="714" w:hanging="357"/>
        <w:contextualSpacing w:val="0"/>
        <w:jc w:val="both"/>
        <w:rPr>
          <w:rFonts w:ascii="Arial Narrow" w:hAnsi="Arial Narrow"/>
        </w:rPr>
      </w:pPr>
      <w:r w:rsidRPr="00B76167">
        <w:rPr>
          <w:rFonts w:ascii="Arial Narrow" w:hAnsi="Arial Narrow"/>
          <w:lang w:val="bg-BG"/>
        </w:rPr>
        <w:t xml:space="preserve">проект „Съветнически мрежи на ЕС за намаляване на употребата и рисковете от пестицидите“ (AdvisoryNetPEST) по програма Хоризонт Европа. Основната цел на проекта е да създаде и надгради мрежа от консултантски услуги в целия ЕС, като увеличи обмена на знания между съветници и сред целия СЗИСС/AKIS, както и приемането на иновативни решения от стопаните за намаляване на употребата и рисковете от пестициди. </w:t>
      </w:r>
    </w:p>
    <w:p w14:paraId="5B3B2D94" w14:textId="77777777" w:rsidR="002276D8" w:rsidRPr="002422A0" w:rsidRDefault="002276D8" w:rsidP="009C6577">
      <w:pPr>
        <w:pStyle w:val="ListParagraph"/>
        <w:numPr>
          <w:ilvl w:val="0"/>
          <w:numId w:val="57"/>
        </w:numPr>
        <w:spacing w:after="120"/>
        <w:ind w:left="714" w:hanging="357"/>
        <w:contextualSpacing w:val="0"/>
        <w:jc w:val="both"/>
        <w:rPr>
          <w:rFonts w:ascii="Arial Narrow" w:hAnsi="Arial Narrow"/>
        </w:rPr>
      </w:pPr>
      <w:r w:rsidRPr="00B76167">
        <w:rPr>
          <w:rFonts w:ascii="Arial Narrow" w:hAnsi="Arial Narrow"/>
          <w:lang w:val="bg-BG"/>
        </w:rPr>
        <w:t xml:space="preserve">проект „Свързване на съветниците за подкрепа на интерактивните иновации в земеделието и горите“ (i2Connect), стартирал през ноември 2019 г. по програма Хоризонт 2020. Основната цел на проекта е включването на земеделски стопани и ползватели на гори в интерактивни иновативни процеси. Интернет сайта на проекта съдържа полезна информация за СЗИСС/AKIS системите и за интерактивни иновативни практики; </w:t>
      </w:r>
    </w:p>
    <w:p w14:paraId="085076CA" w14:textId="77777777" w:rsidR="002276D8" w:rsidRPr="002422A0" w:rsidRDefault="002276D8" w:rsidP="009C6577">
      <w:pPr>
        <w:pStyle w:val="ListParagraph"/>
        <w:numPr>
          <w:ilvl w:val="0"/>
          <w:numId w:val="57"/>
        </w:numPr>
        <w:spacing w:after="120"/>
        <w:ind w:left="714" w:hanging="357"/>
        <w:contextualSpacing w:val="0"/>
        <w:jc w:val="both"/>
        <w:rPr>
          <w:rFonts w:ascii="Arial Narrow" w:hAnsi="Arial Narrow"/>
        </w:rPr>
      </w:pPr>
      <w:r w:rsidRPr="00B76167">
        <w:rPr>
          <w:rFonts w:ascii="Arial Narrow" w:hAnsi="Arial Narrow"/>
          <w:lang w:val="bg-BG"/>
        </w:rPr>
        <w:t xml:space="preserve">проект „Европейска мрежа от пилотни земеделски стопани, прилагащи и демонстриращи интелигенти решения от полза за климата за въглеродно неутрална Европа“ (Climate Farm Demo) по програма Хоризонт Европа. Проектът подкрепя прилагането на земеделски практики за интелигентно (прецизно) земеделие от полза за климата на територията на целия ЕС, с цел намаляване на парниковите газове до 35%. По този начин се подпомага изпълнението на Плана на ЕС за постигане на целите за климата до 2030 г.; </w:t>
      </w:r>
    </w:p>
    <w:p w14:paraId="11E9C5B4" w14:textId="77777777" w:rsidR="002276D8" w:rsidRPr="002422A0" w:rsidRDefault="002276D8" w:rsidP="009C6577">
      <w:pPr>
        <w:pStyle w:val="ListParagraph"/>
        <w:numPr>
          <w:ilvl w:val="0"/>
          <w:numId w:val="57"/>
        </w:numPr>
        <w:spacing w:after="120"/>
        <w:ind w:left="714" w:hanging="357"/>
        <w:contextualSpacing w:val="0"/>
        <w:jc w:val="both"/>
        <w:rPr>
          <w:rFonts w:ascii="Arial Narrow" w:hAnsi="Arial Narrow"/>
        </w:rPr>
      </w:pPr>
      <w:r w:rsidRPr="00B76167">
        <w:rPr>
          <w:rFonts w:ascii="Arial Narrow" w:hAnsi="Arial Narrow"/>
          <w:lang w:val="bg-BG"/>
        </w:rPr>
        <w:t xml:space="preserve">проект „Модернизиране на земеделието чрез по-ефективни и ефикасни Системи за знания и иновации в селското стопанство (СЗИСС/AKIS)” (ModernAKIS) по програма Хоризонт Европа. Основните дейности по проекта са насочени към подобряване капацитета на участниците в СЗИСС/AKIS за по-ефикасно функциониране на системата и осъществяване на прехода към устойчиво управление и използване на природните ресурси в селското стопанство и горите; </w:t>
      </w:r>
    </w:p>
    <w:p w14:paraId="50524535" w14:textId="77777777" w:rsidR="002276D8" w:rsidRPr="002422A0" w:rsidRDefault="002276D8" w:rsidP="009C6577">
      <w:pPr>
        <w:pStyle w:val="ListParagraph"/>
        <w:numPr>
          <w:ilvl w:val="0"/>
          <w:numId w:val="57"/>
        </w:numPr>
        <w:spacing w:after="120"/>
        <w:ind w:left="714" w:hanging="357"/>
        <w:contextualSpacing w:val="0"/>
        <w:jc w:val="both"/>
        <w:rPr>
          <w:rFonts w:ascii="Arial Narrow" w:hAnsi="Arial Narrow"/>
        </w:rPr>
      </w:pPr>
      <w:r w:rsidRPr="00B76167">
        <w:rPr>
          <w:rFonts w:ascii="Arial Narrow" w:hAnsi="Arial Narrow"/>
          <w:lang w:val="bg-BG"/>
        </w:rPr>
        <w:t xml:space="preserve">проект „Свързване в мрежа и мобилизиране на селскостопанската съветническа общност в ЕС за подкрепа на прехода към интелигентно земеделие от полза за климата“ (ClimateSmartAdvisors) по програма Хоризонт Европа. Изпълнението му стартира през април 2023 г. Основната цел на проекта е засилване и укрепване на селскостопанската съветническа общност в ЕС, в резултат на което да се прилагат земеделски практики за интелигентно (прецизно) земеделие от полза за климата; </w:t>
      </w:r>
    </w:p>
    <w:p w14:paraId="7F35F2A5" w14:textId="77777777" w:rsidR="002276D8" w:rsidRPr="002422A0" w:rsidRDefault="002276D8" w:rsidP="009C6577">
      <w:pPr>
        <w:pStyle w:val="ListParagraph"/>
        <w:numPr>
          <w:ilvl w:val="0"/>
          <w:numId w:val="57"/>
        </w:numPr>
        <w:spacing w:after="120"/>
        <w:ind w:left="714" w:hanging="357"/>
        <w:contextualSpacing w:val="0"/>
        <w:jc w:val="both"/>
        <w:rPr>
          <w:rFonts w:ascii="Arial Narrow" w:hAnsi="Arial Narrow"/>
        </w:rPr>
      </w:pPr>
      <w:r w:rsidRPr="00B76167">
        <w:rPr>
          <w:rFonts w:ascii="Arial Narrow" w:hAnsi="Arial Narrow"/>
          <w:lang w:val="bg-BG"/>
        </w:rPr>
        <w:t xml:space="preserve">проект „Разработване на приложение за крайни потребители за наблюдение и анализ на селскостопански култури въз основа на сателитни наблюдения и интелигентни наблюдения“ (AGROMOAPP) по Седма тръжна процедура на плана за подкрепа на европейски държави, сътрудничещи на Европейската космическа агенция. По проекта се разработва интернет приложение (Agromo) за наблюдение и анализ на три пилотни земеделски култури (пшеница, слънчоглед и царевица), с модул за съветнически услуги. </w:t>
      </w:r>
    </w:p>
    <w:p w14:paraId="53AA8F76" w14:textId="77777777" w:rsidR="00A80C13" w:rsidRPr="00F044BD" w:rsidRDefault="00293731" w:rsidP="00334E9D">
      <w:pPr>
        <w:pStyle w:val="ListParagraph"/>
        <w:keepNext/>
        <w:widowControl w:val="0"/>
        <w:numPr>
          <w:ilvl w:val="0"/>
          <w:numId w:val="16"/>
        </w:numPr>
        <w:spacing w:after="120"/>
        <w:ind w:left="357" w:firstLine="0"/>
        <w:outlineLvl w:val="0"/>
        <w:rPr>
          <w:rFonts w:ascii="Arial Narrow" w:eastAsiaTheme="minorHAnsi" w:hAnsi="Arial Narrow" w:cstheme="minorBidi"/>
          <w:b/>
          <w:lang w:val="bg-BG"/>
        </w:rPr>
      </w:pPr>
      <w:bookmarkStart w:id="212" w:name="_Toc119315178"/>
      <w:bookmarkStart w:id="213" w:name="_Toc210747655"/>
      <w:bookmarkEnd w:id="212"/>
      <w:r w:rsidRPr="00F044BD">
        <w:rPr>
          <w:rFonts w:ascii="Arial Narrow" w:eastAsiaTheme="minorHAnsi" w:hAnsi="Arial Narrow" w:cstheme="minorBidi"/>
          <w:b/>
          <w:lang w:val="bg-BG"/>
        </w:rPr>
        <w:t>Борба с градушките</w:t>
      </w:r>
      <w:bookmarkEnd w:id="213"/>
      <w:r w:rsidRPr="00F044BD">
        <w:rPr>
          <w:rFonts w:ascii="Arial Narrow" w:eastAsiaTheme="minorHAnsi" w:hAnsi="Arial Narrow" w:cstheme="minorBidi"/>
          <w:b/>
          <w:lang w:val="bg-BG"/>
        </w:rPr>
        <w:tab/>
      </w:r>
    </w:p>
    <w:p w14:paraId="514E94E2" w14:textId="77777777" w:rsidR="00F044BD" w:rsidRPr="00BA488D" w:rsidRDefault="00F044BD" w:rsidP="00F044BD">
      <w:pPr>
        <w:pStyle w:val="Bodytext22"/>
        <w:shd w:val="clear" w:color="auto" w:fill="auto"/>
        <w:spacing w:before="0" w:after="120" w:line="240" w:lineRule="auto"/>
        <w:ind w:firstLine="760"/>
        <w:rPr>
          <w:rFonts w:ascii="Arial Narrow" w:hAnsi="Arial Narrow"/>
          <w:sz w:val="24"/>
          <w:szCs w:val="24"/>
          <w:lang w:val="bg-BG" w:eastAsia="bg-BG" w:bidi="bg-BG"/>
        </w:rPr>
      </w:pPr>
      <w:r w:rsidRPr="00BA488D">
        <w:rPr>
          <w:rFonts w:ascii="Arial Narrow" w:hAnsi="Arial Narrow"/>
          <w:sz w:val="24"/>
          <w:szCs w:val="24"/>
          <w:lang w:val="bg-BG" w:eastAsia="bg-BG" w:bidi="bg-BG"/>
        </w:rPr>
        <w:t>Географското положение и орографията на страната предопределят България като една от страните в Европа с високи честота и мощност на градовите процеси.</w:t>
      </w:r>
    </w:p>
    <w:p w14:paraId="4EB274F9" w14:textId="77777777" w:rsidR="00F044BD" w:rsidRPr="00BA488D" w:rsidRDefault="00F044BD" w:rsidP="00F044BD">
      <w:pPr>
        <w:pStyle w:val="Bodytext22"/>
        <w:shd w:val="clear" w:color="auto" w:fill="auto"/>
        <w:spacing w:before="0" w:after="120" w:line="240" w:lineRule="auto"/>
        <w:ind w:firstLine="760"/>
        <w:rPr>
          <w:rFonts w:ascii="Arial Narrow" w:hAnsi="Arial Narrow"/>
          <w:lang w:val="ru-RU"/>
        </w:rPr>
      </w:pPr>
      <w:r w:rsidRPr="00BA488D">
        <w:rPr>
          <w:rFonts w:ascii="Arial Narrow" w:hAnsi="Arial Narrow"/>
          <w:sz w:val="24"/>
          <w:szCs w:val="24"/>
          <w:lang w:val="bg-BG" w:eastAsia="bg-BG" w:bidi="bg-BG"/>
        </w:rPr>
        <w:t xml:space="preserve">През последните години се наблюдава увеличаване на честотата и силата на опасните явления като градушки, наводнения, торнада и мълнии. Прогнозите, направени въз основа на числени модели при различни сценарии за климатичните изменения, потвърждават това увеличение и в бъдеще. Един от географските райони, в които се прогнозира значително нарастване на екстремните случаи, е Югоизточна </w:t>
      </w:r>
      <w:r w:rsidRPr="00BA488D">
        <w:rPr>
          <w:rFonts w:ascii="Arial Narrow" w:hAnsi="Arial Narrow"/>
          <w:sz w:val="24"/>
          <w:szCs w:val="24"/>
          <w:lang w:val="bg-BG" w:eastAsia="bg-BG" w:bidi="bg-BG"/>
        </w:rPr>
        <w:lastRenderedPageBreak/>
        <w:t>Европа.</w:t>
      </w:r>
    </w:p>
    <w:p w14:paraId="2F3E4A40" w14:textId="77777777" w:rsidR="00F044BD" w:rsidRPr="00BA488D" w:rsidRDefault="00F044BD" w:rsidP="00F044BD">
      <w:pPr>
        <w:pStyle w:val="Bodytext22"/>
        <w:shd w:val="clear" w:color="auto" w:fill="auto"/>
        <w:spacing w:before="0" w:after="120" w:line="240" w:lineRule="auto"/>
        <w:ind w:firstLine="760"/>
        <w:rPr>
          <w:rFonts w:ascii="Arial Narrow" w:hAnsi="Arial Narrow"/>
          <w:sz w:val="24"/>
          <w:szCs w:val="24"/>
          <w:lang w:val="bg-BG" w:eastAsia="bg-BG" w:bidi="bg-BG"/>
        </w:rPr>
      </w:pPr>
      <w:r w:rsidRPr="00BA488D">
        <w:rPr>
          <w:rFonts w:ascii="Arial Narrow" w:hAnsi="Arial Narrow"/>
          <w:sz w:val="24"/>
          <w:szCs w:val="24"/>
          <w:lang w:val="bg-BG" w:eastAsia="bg-BG" w:bidi="bg-BG"/>
        </w:rPr>
        <w:t>България е една от страните в Европа, където тенденцията за увеличаване на честотата и силата на градовите процеси се запазва, независимо от наблюдаваните колебания през годините в степента на градова активност.</w:t>
      </w:r>
    </w:p>
    <w:p w14:paraId="03B35245" w14:textId="77777777" w:rsidR="00F044BD" w:rsidRPr="00BA488D" w:rsidRDefault="0014399B" w:rsidP="00F044BD">
      <w:pPr>
        <w:spacing w:after="120"/>
        <w:ind w:firstLine="720"/>
        <w:jc w:val="both"/>
        <w:rPr>
          <w:rFonts w:ascii="Arial Narrow" w:hAnsi="Arial Narrow"/>
        </w:rPr>
      </w:pPr>
      <w:r>
        <w:rPr>
          <w:rFonts w:ascii="Arial Narrow" w:eastAsia="Calibri" w:hAnsi="Arial Narrow"/>
        </w:rPr>
        <w:t xml:space="preserve">Изпълнителна агенция </w:t>
      </w:r>
      <w:r>
        <w:rPr>
          <w:rFonts w:ascii="Arial Narrow" w:eastAsia="Calibri" w:hAnsi="Arial Narrow"/>
          <w:lang w:val="bg-BG"/>
        </w:rPr>
        <w:t>„</w:t>
      </w:r>
      <w:r w:rsidR="00F044BD" w:rsidRPr="00BA488D">
        <w:rPr>
          <w:rFonts w:ascii="Arial Narrow" w:eastAsia="Calibri" w:hAnsi="Arial Narrow"/>
        </w:rPr>
        <w:t xml:space="preserve">Борба с градушките” (ИАБГ) защитава територия с площ почти 22 милиона дка с ракетен способ </w:t>
      </w:r>
      <w:r w:rsidR="00F044BD" w:rsidRPr="00BA488D">
        <w:rPr>
          <w:rFonts w:ascii="Arial Narrow" w:hAnsi="Arial Narrow"/>
        </w:rPr>
        <w:t>в областите Видин, Монтана, Враца, Плевен, Пазарджик, Пловдив, Стара Загора</w:t>
      </w:r>
      <w:r w:rsidR="00F044BD" w:rsidRPr="00BA488D">
        <w:rPr>
          <w:rFonts w:ascii="Arial Narrow" w:hAnsi="Arial Narrow"/>
          <w:lang w:val="ru-RU"/>
        </w:rPr>
        <w:t xml:space="preserve">, </w:t>
      </w:r>
      <w:r w:rsidR="00F044BD" w:rsidRPr="00BA488D">
        <w:rPr>
          <w:rFonts w:ascii="Arial Narrow" w:hAnsi="Arial Narrow"/>
        </w:rPr>
        <w:t xml:space="preserve">Хасково и Сливен. </w:t>
      </w:r>
    </w:p>
    <w:p w14:paraId="1167CC74" w14:textId="77777777" w:rsidR="00F044BD" w:rsidRPr="00BA488D" w:rsidRDefault="00F044BD" w:rsidP="00F044BD">
      <w:pPr>
        <w:spacing w:after="120"/>
        <w:ind w:firstLine="720"/>
        <w:jc w:val="both"/>
        <w:rPr>
          <w:rFonts w:ascii="Arial Narrow" w:eastAsia="Calibri" w:hAnsi="Arial Narrow"/>
        </w:rPr>
      </w:pPr>
      <w:r w:rsidRPr="00BA488D">
        <w:rPr>
          <w:rFonts w:ascii="Arial Narrow" w:hAnsi="Arial Narrow"/>
        </w:rPr>
        <w:t>През 2024 г. продължава осъществяване на дейности по противоградова защита със самолетен способ за противоградови въздействия (засев) на потенциално градоопасни облаци в Северна централна и Североизточна България на територия от около 30 милиона дка.</w:t>
      </w:r>
      <w:r w:rsidRPr="00BA488D">
        <w:rPr>
          <w:rFonts w:ascii="Arial Narrow" w:eastAsia="Calibri" w:hAnsi="Arial Narrow"/>
        </w:rPr>
        <w:t xml:space="preserve"> Цялата защитавана територия през </w:t>
      </w:r>
      <w:r>
        <w:rPr>
          <w:rFonts w:ascii="Arial Narrow" w:eastAsia="Calibri" w:hAnsi="Arial Narrow"/>
        </w:rPr>
        <w:t>годината</w:t>
      </w:r>
      <w:r w:rsidRPr="00BA488D">
        <w:rPr>
          <w:rFonts w:ascii="Arial Narrow" w:eastAsia="Calibri" w:hAnsi="Arial Narrow"/>
        </w:rPr>
        <w:t xml:space="preserve"> е приблизително 52 милиона дка.</w:t>
      </w:r>
    </w:p>
    <w:p w14:paraId="561B3822" w14:textId="77777777" w:rsidR="00F044BD" w:rsidRPr="00BA488D" w:rsidRDefault="00F044BD" w:rsidP="00F044BD">
      <w:pPr>
        <w:widowControl w:val="0"/>
        <w:spacing w:after="120"/>
        <w:ind w:firstLine="720"/>
        <w:jc w:val="both"/>
        <w:rPr>
          <w:rFonts w:ascii="Arial Narrow" w:hAnsi="Arial Narrow"/>
        </w:rPr>
      </w:pPr>
      <w:r w:rsidRPr="00BA488D">
        <w:rPr>
          <w:rFonts w:ascii="Arial Narrow" w:hAnsi="Arial Narrow"/>
          <w:lang w:eastAsia="bg-BG" w:bidi="bg-BG"/>
        </w:rPr>
        <w:t xml:space="preserve">През 2024 г. чрез </w:t>
      </w:r>
      <w:r w:rsidRPr="00BA488D">
        <w:rPr>
          <w:rFonts w:ascii="Arial Narrow" w:hAnsi="Arial Narrow"/>
        </w:rPr>
        <w:t xml:space="preserve">изградената мрежа от шест двудиапазонни метеорологични доплерови радара (с дължина на вълната 10 и 3 см) и един еднодиапазонен (10 см дължина на вълната) през активния сезон в реално време е осигурено радарно наблюдение на атмосферните процеси над България, необходимо за детайлен анализ на структурата на градоопасните облаци. Радарната информация служи за свръхкраткосрочна прогноза за силни щормове, мълнии, порои, градушки и други неблагоприятни атмосферни явления над територията на страната. </w:t>
      </w:r>
    </w:p>
    <w:p w14:paraId="6D4560D1" w14:textId="77777777" w:rsidR="00F044BD" w:rsidRDefault="00F044BD" w:rsidP="00F044BD">
      <w:pPr>
        <w:spacing w:after="120"/>
        <w:ind w:firstLine="720"/>
        <w:jc w:val="both"/>
        <w:rPr>
          <w:rFonts w:ascii="Arial Narrow" w:hAnsi="Arial Narrow"/>
        </w:rPr>
      </w:pPr>
      <w:r w:rsidRPr="00BA488D">
        <w:rPr>
          <w:rFonts w:ascii="Arial Narrow" w:hAnsi="Arial Narrow"/>
        </w:rPr>
        <w:t>Денонощно, метеорологична радарна информация се предава на определени структури към Министерството на вътрешните работи, Военновъздушните сили, Държавното предприятие „Ръководство въздушно движение“, Националния институт по метеорология и хидрология, Държавно предприятие „Управление и стопанисване на язовири“ и Столичната община. Уеб сайта на Агенцията предоставя постоянно метеорологична информация на база радарна отражаемост. Чрез наличната радарна мрежа може да се осъществява мониторинг както на летните, така и на есенните, зимните и пролетните атмосферни процеси и свързаните с тях валежи.</w:t>
      </w:r>
    </w:p>
    <w:p w14:paraId="19A0246B" w14:textId="77777777" w:rsidR="00F044BD" w:rsidRPr="00F044BD" w:rsidRDefault="00F044BD" w:rsidP="00F044BD">
      <w:pPr>
        <w:widowControl w:val="0"/>
        <w:spacing w:after="120"/>
        <w:ind w:firstLine="760"/>
        <w:jc w:val="both"/>
        <w:rPr>
          <w:rFonts w:ascii="Arial Narrow" w:hAnsi="Arial Narrow"/>
          <w:lang w:val="bg-BG" w:eastAsia="bg-BG" w:bidi="bg-BG"/>
        </w:rPr>
      </w:pPr>
      <w:r w:rsidRPr="00F044BD">
        <w:rPr>
          <w:rFonts w:ascii="Arial Narrow" w:hAnsi="Arial Narrow"/>
          <w:lang w:val="bg-BG" w:eastAsia="bg-BG" w:bidi="bg-BG"/>
        </w:rPr>
        <w:t>Съвместни екипи на ИАБГ и Областните дирекции „Земеделие“ провеждат обследвания за поражения от градушки в защитаваните територии след всяко въздействие. Агенцията получава информация за засетите площи, състоянието и фазата на развитие на културите, реколтирани площи, среден добив и др.</w:t>
      </w:r>
    </w:p>
    <w:p w14:paraId="2FA1E554" w14:textId="77777777" w:rsidR="00F044BD" w:rsidRPr="00F044BD" w:rsidRDefault="00F044BD" w:rsidP="00F044BD">
      <w:pPr>
        <w:widowControl w:val="0"/>
        <w:spacing w:after="120"/>
        <w:ind w:firstLine="740"/>
        <w:jc w:val="both"/>
        <w:rPr>
          <w:rFonts w:ascii="Arial Narrow" w:hAnsi="Arial Narrow"/>
          <w:lang w:val="bg-BG" w:eastAsia="bg-BG" w:bidi="bg-BG"/>
        </w:rPr>
      </w:pPr>
      <w:r w:rsidRPr="00F044BD">
        <w:rPr>
          <w:rFonts w:ascii="Arial Narrow" w:hAnsi="Arial Narrow"/>
          <w:lang w:val="bg-BG" w:eastAsia="bg-BG" w:bidi="bg-BG"/>
        </w:rPr>
        <w:t>Въз основа на синоптични прогнози на ИАБГ и фазата на развитие на селскостопанските култури в защитаваните територии през 2024 г. активният сезон за противоградова защита с ракетен способ е открит на 10 април и е закрит на 1 октомври.</w:t>
      </w:r>
    </w:p>
    <w:p w14:paraId="70E793CA" w14:textId="77777777" w:rsidR="00F044BD" w:rsidRPr="00F044BD" w:rsidRDefault="00F044BD" w:rsidP="00F044BD">
      <w:pPr>
        <w:spacing w:after="120"/>
        <w:ind w:firstLine="720"/>
        <w:contextualSpacing/>
        <w:jc w:val="both"/>
        <w:rPr>
          <w:rFonts w:ascii="Arial Narrow" w:eastAsia="Calibri" w:hAnsi="Arial Narrow"/>
          <w:lang w:val="bg-BG"/>
        </w:rPr>
      </w:pPr>
      <w:r w:rsidRPr="00F044BD">
        <w:rPr>
          <w:rFonts w:ascii="Arial Narrow" w:eastAsia="Calibri" w:hAnsi="Arial Narrow"/>
          <w:lang w:val="bg-BG"/>
        </w:rPr>
        <w:t>Активният сезон за противоградова защита със самолетен способ стартира на 1 май и приключва на 1 октомври 2024 г.</w:t>
      </w:r>
    </w:p>
    <w:p w14:paraId="7F1DA923" w14:textId="77777777" w:rsidR="00672541" w:rsidRPr="00F044BD" w:rsidRDefault="00F044BD" w:rsidP="00E228FA">
      <w:pPr>
        <w:widowControl w:val="0"/>
        <w:spacing w:after="120"/>
        <w:ind w:firstLine="740"/>
        <w:jc w:val="both"/>
        <w:rPr>
          <w:rFonts w:ascii="Arial Narrow" w:hAnsi="Arial Narrow"/>
          <w:lang w:val="bg-BG" w:eastAsia="bg-BG" w:bidi="bg-BG"/>
        </w:rPr>
      </w:pPr>
      <w:r w:rsidRPr="00F044BD">
        <w:rPr>
          <w:rFonts w:ascii="Arial Narrow" w:hAnsi="Arial Narrow"/>
          <w:lang w:val="bg-BG" w:eastAsia="bg-BG" w:bidi="bg-BG"/>
        </w:rPr>
        <w:t>Съгласно методиката за определяне на степента на градова активност (СГА) активният сезон за борба с градушките през 2024 г. с ракетен способ се определя с „висока степен на градова активност” за Южна и Северна България.</w:t>
      </w:r>
    </w:p>
    <w:p w14:paraId="2FEE8E30" w14:textId="77777777" w:rsidR="00A80C13" w:rsidRPr="00F044BD" w:rsidRDefault="00A80C13" w:rsidP="00CF5C66">
      <w:pPr>
        <w:pStyle w:val="ListParagraph"/>
        <w:widowControl w:val="0"/>
        <w:numPr>
          <w:ilvl w:val="1"/>
          <w:numId w:val="16"/>
        </w:numPr>
        <w:spacing w:after="120"/>
        <w:ind w:left="788" w:hanging="431"/>
        <w:jc w:val="both"/>
        <w:outlineLvl w:val="0"/>
        <w:rPr>
          <w:rFonts w:ascii="Arial Narrow" w:hAnsi="Arial Narrow"/>
          <w:b/>
          <w:lang w:val="bg-BG" w:eastAsia="bg-BG"/>
        </w:rPr>
      </w:pPr>
      <w:bookmarkStart w:id="214" w:name="_Toc210747656"/>
      <w:r w:rsidRPr="00F044BD">
        <w:rPr>
          <w:rFonts w:ascii="Arial Narrow" w:eastAsiaTheme="minorHAnsi" w:hAnsi="Arial Narrow" w:cstheme="minorBidi"/>
          <w:b/>
          <w:lang w:val="bg-BG"/>
        </w:rPr>
        <w:t>Активни</w:t>
      </w:r>
      <w:r w:rsidRPr="00F044BD">
        <w:rPr>
          <w:rFonts w:ascii="Arial Narrow" w:hAnsi="Arial Narrow"/>
          <w:b/>
          <w:lang w:val="bg-BG" w:eastAsia="bg-BG"/>
        </w:rPr>
        <w:t xml:space="preserve"> въздействия с ракетен способ</w:t>
      </w:r>
      <w:bookmarkEnd w:id="214"/>
    </w:p>
    <w:p w14:paraId="6DD1A59F" w14:textId="77777777" w:rsidR="00F044BD" w:rsidRPr="00BA488D" w:rsidRDefault="00F044BD" w:rsidP="00F044BD">
      <w:pPr>
        <w:spacing w:after="120"/>
        <w:ind w:firstLine="720"/>
        <w:jc w:val="both"/>
        <w:rPr>
          <w:rFonts w:ascii="Arial Narrow" w:hAnsi="Arial Narrow"/>
        </w:rPr>
      </w:pPr>
      <w:r w:rsidRPr="00BA488D">
        <w:rPr>
          <w:rFonts w:ascii="Arial Narrow" w:hAnsi="Arial Narrow"/>
        </w:rPr>
        <w:t>През 2024 г. с ракетен способ са проведени 255 въздействия по градозащита в 63 дни. Общият брой на обработените градоопасни облаци е 920, като сумарното време за обработка е над 216 часа. Засевът е осъществен чрез използването на 14 349 ракети.</w:t>
      </w:r>
    </w:p>
    <w:p w14:paraId="1ECBAAF7" w14:textId="77777777" w:rsidR="00F044BD" w:rsidRPr="00BA488D" w:rsidRDefault="00F044BD" w:rsidP="00F044BD">
      <w:pPr>
        <w:spacing w:after="120"/>
        <w:ind w:firstLine="851"/>
        <w:jc w:val="both"/>
        <w:rPr>
          <w:rFonts w:ascii="Arial Narrow" w:hAnsi="Arial Narrow"/>
        </w:rPr>
      </w:pPr>
      <w:r w:rsidRPr="00BA488D">
        <w:rPr>
          <w:rFonts w:ascii="Arial Narrow" w:hAnsi="Arial Narrow"/>
        </w:rPr>
        <w:t>В Северна България са проведени 80 въздействия в 35 дни, като са обработени 333 градоопасни клетки със сумарно време на обработка 79 часа и 18 минути. В Южна България са проведени 175 въздействия в 53 дни и са обработени 587 градоопасни клетки със сумарно време на обработка 136 часа и 59 минути.</w:t>
      </w:r>
    </w:p>
    <w:p w14:paraId="066A9648" w14:textId="77777777" w:rsidR="00F044BD" w:rsidRPr="00BA488D" w:rsidRDefault="00F044BD" w:rsidP="00F044BD">
      <w:pPr>
        <w:pStyle w:val="Default"/>
        <w:spacing w:after="120"/>
        <w:ind w:firstLine="709"/>
        <w:jc w:val="both"/>
        <w:rPr>
          <w:rFonts w:ascii="Arial Narrow" w:hAnsi="Arial Narrow"/>
          <w:color w:val="auto"/>
        </w:rPr>
      </w:pPr>
      <w:r w:rsidRPr="00BA488D">
        <w:rPr>
          <w:rFonts w:ascii="Arial Narrow" w:hAnsi="Arial Narrow"/>
          <w:color w:val="auto"/>
        </w:rPr>
        <w:t xml:space="preserve">През месец април се запазва тенденцията, наблюдавана през последните години, за развитие на нетипична за пролетта мощна конвективна облачност и в частност градоопасна. На седем дати – 12, 13, 17, 21, 24, 25 и 27, въздействията са осъществени от Регионалните дирекции „Борба с градушките“ и в Южна и в Северна България. Проведени са 18 въздействия, като са обработени 79 градоопасни облаци с </w:t>
      </w:r>
      <w:r w:rsidRPr="00BA488D">
        <w:rPr>
          <w:rFonts w:ascii="Arial Narrow" w:hAnsi="Arial Narrow"/>
          <w:color w:val="auto"/>
        </w:rPr>
        <w:lastRenderedPageBreak/>
        <w:t xml:space="preserve">обща продължителност на обработка над 19 часа. От седемте дни с въздействия, с масов характер на валежите от град и дъжд се отличава 25-ти април, когато се развива суперклетъчен процес в Южна България. </w:t>
      </w:r>
    </w:p>
    <w:p w14:paraId="421405BF" w14:textId="77777777" w:rsidR="00A94713" w:rsidRPr="00F044BD" w:rsidRDefault="00A94713" w:rsidP="00A94713">
      <w:pPr>
        <w:keepNext/>
        <w:spacing w:after="120"/>
        <w:jc w:val="center"/>
        <w:rPr>
          <w:rFonts w:ascii="Arial Narrow" w:hAnsi="Arial Narrow"/>
          <w:b/>
          <w:i/>
          <w:lang w:eastAsia="bg-BG"/>
        </w:rPr>
      </w:pPr>
      <w:r w:rsidRPr="00F044BD">
        <w:rPr>
          <w:rFonts w:ascii="Arial Narrow" w:hAnsi="Arial Narrow"/>
          <w:b/>
          <w:i/>
          <w:lang w:eastAsia="bg-BG"/>
        </w:rPr>
        <w:t xml:space="preserve">Фигура </w:t>
      </w:r>
      <w:r w:rsidR="00371F7E" w:rsidRPr="00F044BD">
        <w:rPr>
          <w:rFonts w:ascii="Arial Narrow" w:hAnsi="Arial Narrow" w:cstheme="minorBidi"/>
          <w:b/>
          <w:bCs/>
          <w:lang w:val="bg-BG" w:eastAsia="bg-BG"/>
        </w:rPr>
        <w:t>V.</w:t>
      </w:r>
      <w:r w:rsidR="0026783D" w:rsidRPr="00F044BD">
        <w:rPr>
          <w:rFonts w:ascii="Arial Narrow" w:hAnsi="Arial Narrow" w:cstheme="minorBidi"/>
          <w:b/>
          <w:bCs/>
          <w:lang w:eastAsia="bg-BG"/>
        </w:rPr>
        <w:t>10</w:t>
      </w:r>
      <w:r w:rsidRPr="00F044BD">
        <w:rPr>
          <w:rFonts w:ascii="Arial Narrow" w:hAnsi="Arial Narrow"/>
          <w:b/>
          <w:i/>
          <w:lang w:eastAsia="bg-BG"/>
        </w:rPr>
        <w:t xml:space="preserve">. Проведени въздействия в системата на противоградова защита с </w:t>
      </w:r>
      <w:r w:rsidR="00F044BD" w:rsidRPr="00F044BD">
        <w:rPr>
          <w:rFonts w:ascii="Arial Narrow" w:hAnsi="Arial Narrow"/>
          <w:b/>
          <w:i/>
          <w:lang w:eastAsia="bg-BG"/>
        </w:rPr>
        <w:t>ракетен способ през периода 2015-2024</w:t>
      </w:r>
      <w:r w:rsidRPr="00F044BD">
        <w:rPr>
          <w:rFonts w:ascii="Arial Narrow" w:hAnsi="Arial Narrow"/>
          <w:b/>
          <w:i/>
          <w:lang w:eastAsia="bg-BG"/>
        </w:rPr>
        <w:t xml:space="preserve"> г.</w:t>
      </w:r>
    </w:p>
    <w:p w14:paraId="152D5611" w14:textId="77777777" w:rsidR="00A94713" w:rsidRPr="00B10684" w:rsidRDefault="00F044BD" w:rsidP="00A94713">
      <w:pPr>
        <w:spacing w:after="120"/>
        <w:jc w:val="center"/>
        <w:rPr>
          <w:rFonts w:ascii="Arial Narrow" w:hAnsi="Arial Narrow"/>
          <w:color w:val="FF0000"/>
        </w:rPr>
      </w:pPr>
      <w:r>
        <w:rPr>
          <w:noProof/>
        </w:rPr>
        <w:drawing>
          <wp:inline distT="0" distB="0" distL="0" distR="0" wp14:anchorId="1E6D6299" wp14:editId="656C4DA3">
            <wp:extent cx="5040000" cy="2880000"/>
            <wp:effectExtent l="0" t="0" r="8255" b="0"/>
            <wp:docPr id="42" name="Chart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074B9050" w14:textId="77777777" w:rsidR="00A94713" w:rsidRPr="00F044BD" w:rsidRDefault="00A94713" w:rsidP="00F044BD">
      <w:pPr>
        <w:spacing w:after="240"/>
        <w:ind w:firstLine="993"/>
        <w:jc w:val="both"/>
        <w:rPr>
          <w:rFonts w:ascii="Arial Narrow" w:hAnsi="Arial Narrow"/>
          <w:i/>
          <w:sz w:val="18"/>
          <w:szCs w:val="18"/>
          <w:lang w:eastAsia="bg-BG"/>
        </w:rPr>
      </w:pPr>
      <w:r w:rsidRPr="00F044BD">
        <w:rPr>
          <w:rFonts w:ascii="Arial Narrow" w:hAnsi="Arial Narrow"/>
          <w:i/>
          <w:sz w:val="18"/>
          <w:szCs w:val="18"/>
          <w:lang w:eastAsia="bg-BG"/>
        </w:rPr>
        <w:t xml:space="preserve">Източник: </w:t>
      </w:r>
      <w:r w:rsidRPr="00F044BD">
        <w:rPr>
          <w:rFonts w:ascii="Arial Narrow" w:hAnsi="Arial Narrow"/>
          <w:sz w:val="18"/>
          <w:szCs w:val="18"/>
          <w:lang w:eastAsia="bg-BG"/>
        </w:rPr>
        <w:t>ИАБГ</w:t>
      </w:r>
    </w:p>
    <w:p w14:paraId="78EC0122" w14:textId="77777777" w:rsidR="00DA211F" w:rsidRPr="00DA211F" w:rsidRDefault="00DA211F" w:rsidP="00DA211F">
      <w:pPr>
        <w:spacing w:after="120"/>
        <w:ind w:firstLine="720"/>
        <w:jc w:val="both"/>
        <w:rPr>
          <w:rFonts w:ascii="Arial Narrow" w:hAnsi="Arial Narrow"/>
          <w:lang w:val="bg-BG"/>
        </w:rPr>
      </w:pPr>
      <w:r w:rsidRPr="00DA211F">
        <w:rPr>
          <w:rFonts w:ascii="Arial Narrow" w:hAnsi="Arial Narrow"/>
          <w:lang w:val="bg-BG"/>
        </w:rPr>
        <w:t>Месец май се характеризира с развитие на купесто-дъждовна облачност и градови процеси се развиват в рамките на общо 14 дни. По-голяма честота на процесите се наблюдава в последното десетдневие от месеца, като се проведени 70 въздействия. Сумарно са обработени 249 клетки и са изстреляни общо 3 154 противоградови ракети. В Северна България са обработени 137 градоопасни облачни клетки, с продължителност на обработка 1 949 минути, а в Южна България - 112 броя с продължителност на обработка 1 520 минути. Масови градоопасни процеси над цялата страна се развиват на 8, 9, 12, 22, 29 и 30 май. На тези дати са обработени общо 176 градоопасни клетки.</w:t>
      </w:r>
    </w:p>
    <w:p w14:paraId="10F47EC6" w14:textId="77777777" w:rsidR="00DA211F" w:rsidRPr="00DA211F" w:rsidRDefault="00DA211F" w:rsidP="00DA211F">
      <w:pPr>
        <w:spacing w:after="120"/>
        <w:ind w:firstLine="720"/>
        <w:jc w:val="both"/>
        <w:rPr>
          <w:rFonts w:ascii="Arial Narrow" w:hAnsi="Arial Narrow"/>
          <w:lang w:val="bg-BG"/>
        </w:rPr>
      </w:pPr>
      <w:r w:rsidRPr="00DA211F">
        <w:rPr>
          <w:rFonts w:ascii="Arial Narrow" w:hAnsi="Arial Narrow"/>
          <w:lang w:val="bg-BG"/>
        </w:rPr>
        <w:t>Месец юни е най-силният месец по отношение на развитие на градови процеси. Високата честота на образуване на градоопасна купесто-дъждовна облачност се характеризира с по-голяма продължителност и изключително интензивно развитие. Образуват се суперклетки. Синоптичната обстановка над страната е динамична. Редуват се периоди с високо атмосферно налягане с такива с преминаване на циклони, локални циклонални вихри и свързаните с тях фронтални системи. Общо за месеца са проведени 77 въздействия в 17 дни, като броят им е по-голям спрямо предходната година (за 2023 г. - 55 въздействия в 15 дни). Обработени са 277 градоопасни клетки в продължение на 4 703 минути. С най-голяма голяма интензивност и масовост се отличават градовите процеси, развили се на 5 срещу 6 юни, 12 и 13 юни. На 5 срещу 6 юни са обработени с ракети 47 градоопасни клетки с 1 082 ракети. На 12 и 13 юни се развиват суперклетки. Валежи от град има в редица области като Велико Търново, Ловеч, Шумен и Стара Загора. В отделни общини е обявено бедствено положение.</w:t>
      </w:r>
    </w:p>
    <w:p w14:paraId="0EB02A81" w14:textId="77777777" w:rsidR="00DA211F" w:rsidRPr="00DA211F" w:rsidRDefault="00DA211F" w:rsidP="00DA211F">
      <w:pPr>
        <w:spacing w:after="120"/>
        <w:ind w:firstLine="720"/>
        <w:jc w:val="both"/>
        <w:rPr>
          <w:rFonts w:ascii="Arial Narrow" w:hAnsi="Arial Narrow"/>
          <w:lang w:val="bg-BG"/>
        </w:rPr>
      </w:pPr>
      <w:r w:rsidRPr="00DA211F">
        <w:rPr>
          <w:rFonts w:ascii="Arial Narrow" w:hAnsi="Arial Narrow"/>
          <w:lang w:val="bg-BG"/>
        </w:rPr>
        <w:t>През месец юли процесите са свързани предимно с преминаване на фронтални системи през страната и циклонално барично поле. Дните, в които са проведени активни въздействия са 13. Засетите градоопасни клетки са 245 със сумарно време на обработка за целия месец 3 019 минути. Баричното поле през първата половина на месеца е слабоградиентно, наблюдава се развитие на облачност, но тя не е съпроводена с валежи. На много места максималните температури достигат над 40°C. През втората половина от месеца, в периода 16 – 25 юли, под влияние на преминаващи барични долини, се развива мощна купесто-дъждовна облачност и се провеждат активни въздействия по градозащита всеки ден. Само за този период са проведени 48 активни въздействия, като са обработени 174 клетки. Общо за месеца са проведени 62 активни въздействия, обработени са 245 градоопасни клетки с 3 258 ракети.</w:t>
      </w:r>
    </w:p>
    <w:p w14:paraId="175B4FA9" w14:textId="77777777" w:rsidR="00DA211F" w:rsidRPr="00DA211F" w:rsidRDefault="00DA211F" w:rsidP="00DA211F">
      <w:pPr>
        <w:spacing w:after="120"/>
        <w:ind w:firstLine="720"/>
        <w:jc w:val="both"/>
        <w:rPr>
          <w:rFonts w:ascii="Arial Narrow" w:hAnsi="Arial Narrow"/>
          <w:lang w:val="bg-BG"/>
        </w:rPr>
      </w:pPr>
      <w:r w:rsidRPr="00DA211F">
        <w:rPr>
          <w:rFonts w:ascii="Arial Narrow" w:hAnsi="Arial Narrow"/>
          <w:lang w:val="bg-BG"/>
        </w:rPr>
        <w:lastRenderedPageBreak/>
        <w:t>Месец август, за разлика от предходните години, се отличава с ниска честота на конвективните процеси. В 9 дни са проведени общо 20 въздействия по градозащита. Обработката е осъществена върху 53 градоопасни клетки в продължение на 444 минути. По-голямата част от операциите по активни въздействия, 18 на брой, са осъществени от РДБГ в Южна България. При обработените клетки не се наблюдава добре изразено вертикално развитие, като височината на областта с отражаемост 15 dBZ e между 7.8 и 14.1 км. Регистриран е валеж от дребнозърнест град на дните 3, 15, 16 и 20 август, като няма констатирани поражения върху земеделската продукция.</w:t>
      </w:r>
    </w:p>
    <w:p w14:paraId="250BD419" w14:textId="77777777" w:rsidR="00DA211F" w:rsidRPr="00DA211F" w:rsidRDefault="00DA211F" w:rsidP="00DA211F">
      <w:pPr>
        <w:spacing w:after="120"/>
        <w:ind w:firstLine="720"/>
        <w:jc w:val="both"/>
        <w:rPr>
          <w:rFonts w:ascii="Arial Narrow" w:hAnsi="Arial Narrow"/>
          <w:lang w:val="bg-BG"/>
        </w:rPr>
      </w:pPr>
      <w:r w:rsidRPr="00DA211F">
        <w:rPr>
          <w:rFonts w:ascii="Arial Narrow" w:hAnsi="Arial Narrow"/>
          <w:lang w:val="bg-BG"/>
        </w:rPr>
        <w:t>През месец септември циркулационните условия носят характера на постепенен преход от лято към есен. Проведени са 8 въздействия само в три дни – 5, 6 и 11 септември. Обработени са 17 градоопасни клетки, в продължение на 163 минути. Изразходвани са 153 ракети.</w:t>
      </w:r>
    </w:p>
    <w:p w14:paraId="51D4846B" w14:textId="77777777" w:rsidR="00DA211F" w:rsidRPr="00DA211F" w:rsidRDefault="00DA211F" w:rsidP="00DA211F">
      <w:pPr>
        <w:widowControl w:val="0"/>
        <w:spacing w:after="120"/>
        <w:ind w:firstLine="760"/>
        <w:jc w:val="both"/>
        <w:rPr>
          <w:rFonts w:ascii="Arial Narrow" w:hAnsi="Arial Narrow"/>
          <w:lang w:val="bg-BG" w:eastAsia="bg-BG" w:bidi="bg-BG"/>
        </w:rPr>
      </w:pPr>
      <w:r w:rsidRPr="00DA211F">
        <w:rPr>
          <w:rFonts w:ascii="Arial Narrow" w:hAnsi="Arial Narrow"/>
          <w:lang w:val="bg-BG" w:eastAsia="bg-BG" w:bidi="bg-BG"/>
        </w:rPr>
        <w:t>През целия сезон на активни въздействия, от обработените 920 градоопасни клетки, град с поражения върху селскостопански култури има само от 13 обработени клетки. От всичките 63 дни, в които са проведени въздействия, поражения върху селскостопанските култури в защитаваната от ИАБГ територия са регистрирани само на 8 дати - 25 април</w:t>
      </w:r>
      <w:r w:rsidRPr="00DA211F">
        <w:rPr>
          <w:rFonts w:ascii="Arial Narrow" w:hAnsi="Arial Narrow"/>
          <w:lang w:eastAsia="bg-BG" w:bidi="bg-BG"/>
        </w:rPr>
        <w:t>;</w:t>
      </w:r>
      <w:r w:rsidRPr="00DA211F">
        <w:rPr>
          <w:rFonts w:ascii="Arial Narrow" w:hAnsi="Arial Narrow"/>
          <w:lang w:val="bg-BG" w:eastAsia="bg-BG" w:bidi="bg-BG"/>
        </w:rPr>
        <w:t xml:space="preserve"> 8 и 22 май; 1, 2, 5, 12 и 13 юни. Поражения от градушки от обработваните градови клетки на селскостопанската продукция има върху 10 367,25 </w:t>
      </w:r>
      <w:r w:rsidR="009B089D">
        <w:rPr>
          <w:rFonts w:ascii="Arial Narrow" w:hAnsi="Arial Narrow"/>
          <w:lang w:val="bg-BG" w:eastAsia="bg-BG" w:bidi="bg-BG"/>
        </w:rPr>
        <w:t>ха</w:t>
      </w:r>
      <w:r w:rsidRPr="00DA211F">
        <w:rPr>
          <w:rFonts w:ascii="Arial Narrow" w:hAnsi="Arial Narrow"/>
          <w:lang w:val="bg-BG" w:eastAsia="bg-BG" w:bidi="bg-BG"/>
        </w:rPr>
        <w:t xml:space="preserve"> със среден процент на поражение 58,83%. Приведена към 100% поражения, площта е 6 098,67 </w:t>
      </w:r>
      <w:r w:rsidR="009B089D">
        <w:rPr>
          <w:rFonts w:ascii="Arial Narrow" w:hAnsi="Arial Narrow"/>
          <w:lang w:val="bg-BG" w:eastAsia="bg-BG" w:bidi="bg-BG"/>
        </w:rPr>
        <w:t>ха</w:t>
      </w:r>
      <w:r w:rsidRPr="00DA211F">
        <w:rPr>
          <w:rFonts w:ascii="Arial Narrow" w:hAnsi="Arial Narrow"/>
          <w:lang w:val="bg-BG" w:eastAsia="bg-BG" w:bidi="bg-BG"/>
        </w:rPr>
        <w:t>.</w:t>
      </w:r>
    </w:p>
    <w:p w14:paraId="60E8E5B2" w14:textId="77777777" w:rsidR="00DA211F" w:rsidRPr="00DA211F" w:rsidRDefault="00DA211F" w:rsidP="00DA211F">
      <w:pPr>
        <w:spacing w:after="120"/>
        <w:ind w:firstLine="720"/>
        <w:jc w:val="both"/>
        <w:rPr>
          <w:rFonts w:ascii="Arial Narrow" w:hAnsi="Arial Narrow"/>
          <w:lang w:val="bg-BG" w:eastAsia="bg-BG" w:bidi="bg-BG"/>
        </w:rPr>
      </w:pPr>
      <w:r w:rsidRPr="00DA211F">
        <w:rPr>
          <w:rFonts w:ascii="Arial Narrow" w:hAnsi="Arial Narrow"/>
          <w:bCs/>
          <w:lang w:val="bg-BG"/>
        </w:rPr>
        <w:t>Съгласно възприетата Методика за определяне икономическата ефективност на противоградовата защита,</w:t>
      </w:r>
      <w:r w:rsidRPr="00DA211F">
        <w:rPr>
          <w:rFonts w:ascii="Arial Narrow" w:hAnsi="Arial Narrow"/>
          <w:b/>
          <w:bCs/>
          <w:lang w:val="bg-BG"/>
        </w:rPr>
        <w:t xml:space="preserve"> </w:t>
      </w:r>
      <w:r w:rsidRPr="00DA211F">
        <w:rPr>
          <w:rFonts w:ascii="Arial Narrow" w:hAnsi="Arial Narrow"/>
          <w:lang w:val="bg-BG"/>
        </w:rPr>
        <w:t xml:space="preserve">през 2024 г. </w:t>
      </w:r>
      <w:r w:rsidRPr="00DA211F">
        <w:rPr>
          <w:rFonts w:ascii="Arial Narrow" w:hAnsi="Arial Narrow"/>
          <w:bCs/>
          <w:lang w:val="bg-BG"/>
        </w:rPr>
        <w:t>стойността на</w:t>
      </w:r>
      <w:r w:rsidRPr="00DA211F">
        <w:rPr>
          <w:rFonts w:ascii="Arial Narrow" w:hAnsi="Arial Narrow"/>
          <w:b/>
          <w:bCs/>
          <w:lang w:val="bg-BG"/>
        </w:rPr>
        <w:t xml:space="preserve"> </w:t>
      </w:r>
      <w:r w:rsidRPr="00DA211F">
        <w:rPr>
          <w:rFonts w:ascii="Arial Narrow" w:hAnsi="Arial Narrow"/>
          <w:lang w:val="bg-BG"/>
        </w:rPr>
        <w:t xml:space="preserve">спасената продукция в резултат на проведени от ИАБГ активни въздействия чрез ракетен способ се оценява на </w:t>
      </w:r>
      <w:r w:rsidRPr="00DA211F">
        <w:rPr>
          <w:rFonts w:ascii="Arial Narrow" w:hAnsi="Arial Narrow"/>
          <w:bCs/>
          <w:lang w:val="bg-BG"/>
        </w:rPr>
        <w:t>128,3 млн.</w:t>
      </w:r>
      <w:r w:rsidRPr="00DA211F">
        <w:rPr>
          <w:rFonts w:ascii="Arial Narrow" w:hAnsi="Arial Narrow"/>
          <w:lang w:val="bg-BG"/>
        </w:rPr>
        <w:t xml:space="preserve"> лева</w:t>
      </w:r>
      <w:r w:rsidRPr="00DA211F">
        <w:rPr>
          <w:rFonts w:ascii="Arial Narrow" w:hAnsi="Arial Narrow"/>
          <w:lang w:val="bg-BG" w:eastAsia="bg-BG" w:bidi="bg-BG"/>
        </w:rPr>
        <w:t>.</w:t>
      </w:r>
    </w:p>
    <w:p w14:paraId="61C0BBEC" w14:textId="77777777" w:rsidR="0026783D" w:rsidRPr="00DA211F" w:rsidRDefault="00A94713" w:rsidP="0026783D">
      <w:pPr>
        <w:keepNext/>
        <w:jc w:val="center"/>
        <w:rPr>
          <w:rFonts w:ascii="Arial Narrow" w:hAnsi="Arial Narrow"/>
          <w:b/>
          <w:i/>
          <w:lang w:eastAsia="bg-BG"/>
        </w:rPr>
      </w:pPr>
      <w:r w:rsidRPr="00DA211F">
        <w:rPr>
          <w:rFonts w:ascii="Arial Narrow" w:hAnsi="Arial Narrow"/>
          <w:b/>
          <w:i/>
          <w:lang w:eastAsia="bg-BG"/>
        </w:rPr>
        <w:t xml:space="preserve">Фигура </w:t>
      </w:r>
      <w:r w:rsidR="00812BB5" w:rsidRPr="00DA211F">
        <w:rPr>
          <w:rFonts w:ascii="Arial Narrow" w:hAnsi="Arial Narrow" w:cstheme="minorBidi"/>
          <w:b/>
          <w:bCs/>
          <w:lang w:val="bg-BG" w:eastAsia="bg-BG"/>
        </w:rPr>
        <w:t>V.1</w:t>
      </w:r>
      <w:r w:rsidR="0026783D" w:rsidRPr="00DA211F">
        <w:rPr>
          <w:rFonts w:ascii="Arial Narrow" w:hAnsi="Arial Narrow" w:cstheme="minorBidi"/>
          <w:b/>
          <w:bCs/>
          <w:lang w:eastAsia="bg-BG"/>
        </w:rPr>
        <w:t>1</w:t>
      </w:r>
      <w:r w:rsidR="00812BB5" w:rsidRPr="00DA211F">
        <w:rPr>
          <w:rFonts w:ascii="Arial Narrow" w:hAnsi="Arial Narrow" w:cstheme="minorBidi"/>
          <w:b/>
          <w:bCs/>
          <w:lang w:eastAsia="bg-BG"/>
        </w:rPr>
        <w:t xml:space="preserve">. </w:t>
      </w:r>
      <w:r w:rsidRPr="00DA211F">
        <w:rPr>
          <w:rFonts w:ascii="Arial Narrow" w:hAnsi="Arial Narrow"/>
          <w:b/>
          <w:i/>
          <w:lang w:eastAsia="bg-BG"/>
        </w:rPr>
        <w:t xml:space="preserve">Стойност на спасена от градушки продукция с ракетен способ </w:t>
      </w:r>
    </w:p>
    <w:p w14:paraId="39F639E8" w14:textId="77777777" w:rsidR="00A94713" w:rsidRPr="00DA211F" w:rsidRDefault="00DA211F" w:rsidP="00A94713">
      <w:pPr>
        <w:keepNext/>
        <w:spacing w:after="120"/>
        <w:jc w:val="center"/>
        <w:rPr>
          <w:rFonts w:ascii="Arial Narrow" w:hAnsi="Arial Narrow"/>
          <w:b/>
          <w:i/>
          <w:lang w:eastAsia="bg-BG"/>
        </w:rPr>
      </w:pPr>
      <w:r w:rsidRPr="00DA211F">
        <w:rPr>
          <w:rFonts w:ascii="Arial Narrow" w:hAnsi="Arial Narrow"/>
          <w:b/>
          <w:i/>
          <w:lang w:eastAsia="bg-BG"/>
        </w:rPr>
        <w:t>през периода 2015-2024</w:t>
      </w:r>
      <w:r w:rsidR="00A94713" w:rsidRPr="00DA211F">
        <w:rPr>
          <w:rFonts w:ascii="Arial Narrow" w:hAnsi="Arial Narrow"/>
          <w:b/>
          <w:i/>
          <w:lang w:eastAsia="bg-BG"/>
        </w:rPr>
        <w:t xml:space="preserve"> г., млн. лева</w:t>
      </w:r>
    </w:p>
    <w:p w14:paraId="361845B6" w14:textId="77777777" w:rsidR="00A94713" w:rsidRPr="00B10684" w:rsidRDefault="00DA211F" w:rsidP="00A94713">
      <w:pPr>
        <w:keepNext/>
        <w:spacing w:after="120"/>
        <w:jc w:val="center"/>
        <w:rPr>
          <w:rFonts w:ascii="Arial Narrow" w:hAnsi="Arial Narrow"/>
          <w:b/>
          <w:i/>
          <w:color w:val="FF0000"/>
          <w:lang w:eastAsia="bg-BG"/>
        </w:rPr>
      </w:pPr>
      <w:r>
        <w:rPr>
          <w:noProof/>
        </w:rPr>
        <w:drawing>
          <wp:inline distT="0" distB="0" distL="0" distR="0" wp14:anchorId="06EB600D" wp14:editId="0ED0938A">
            <wp:extent cx="5040000" cy="2880000"/>
            <wp:effectExtent l="0" t="0" r="8255" b="0"/>
            <wp:docPr id="47" name="Chart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5C371515" w14:textId="77777777" w:rsidR="00071256" w:rsidRDefault="00A94713" w:rsidP="00071256">
      <w:pPr>
        <w:spacing w:after="240"/>
        <w:ind w:firstLine="709"/>
        <w:jc w:val="both"/>
        <w:rPr>
          <w:rFonts w:ascii="Arial Narrow" w:hAnsi="Arial Narrow"/>
          <w:sz w:val="18"/>
          <w:szCs w:val="18"/>
          <w:lang w:eastAsia="bg-BG"/>
        </w:rPr>
      </w:pPr>
      <w:r w:rsidRPr="00DA211F">
        <w:rPr>
          <w:rFonts w:ascii="Arial Narrow" w:hAnsi="Arial Narrow"/>
          <w:i/>
          <w:sz w:val="18"/>
          <w:szCs w:val="18"/>
          <w:lang w:eastAsia="bg-BG"/>
        </w:rPr>
        <w:t xml:space="preserve">Източник: </w:t>
      </w:r>
      <w:r w:rsidR="00071256">
        <w:rPr>
          <w:rFonts w:ascii="Arial Narrow" w:hAnsi="Arial Narrow"/>
          <w:sz w:val="18"/>
          <w:szCs w:val="18"/>
          <w:lang w:eastAsia="bg-BG"/>
        </w:rPr>
        <w:t>ИАБГ</w:t>
      </w:r>
    </w:p>
    <w:p w14:paraId="4830A8C9" w14:textId="77777777" w:rsidR="00DA211F" w:rsidRPr="00071256" w:rsidRDefault="00DA211F" w:rsidP="00071256">
      <w:pPr>
        <w:spacing w:after="240"/>
        <w:ind w:firstLine="709"/>
        <w:jc w:val="both"/>
        <w:rPr>
          <w:rFonts w:ascii="Arial Narrow" w:hAnsi="Arial Narrow"/>
          <w:sz w:val="18"/>
          <w:szCs w:val="18"/>
          <w:lang w:eastAsia="bg-BG"/>
        </w:rPr>
      </w:pPr>
      <w:r w:rsidRPr="00071256">
        <w:rPr>
          <w:rFonts w:ascii="Arial Narrow" w:eastAsia="Calibri" w:hAnsi="Arial Narrow"/>
          <w:lang w:val="bg-BG"/>
        </w:rPr>
        <w:t>Основните причини за пораженията в защитаваната с ракетен способ територия през 2024 г. са:</w:t>
      </w:r>
    </w:p>
    <w:p w14:paraId="0DC7FEEA" w14:textId="77777777" w:rsidR="00DA211F" w:rsidRPr="00DA211F" w:rsidRDefault="00DA211F" w:rsidP="009C6577">
      <w:pPr>
        <w:numPr>
          <w:ilvl w:val="0"/>
          <w:numId w:val="38"/>
        </w:numPr>
        <w:spacing w:after="120"/>
        <w:jc w:val="both"/>
        <w:rPr>
          <w:rFonts w:ascii="Arial Narrow" w:hAnsi="Arial Narrow"/>
          <w:szCs w:val="20"/>
          <w:lang w:val="bg-BG" w:eastAsia="bg-BG"/>
        </w:rPr>
      </w:pPr>
      <w:r w:rsidRPr="00DA211F">
        <w:rPr>
          <w:rFonts w:ascii="Arial Narrow" w:hAnsi="Arial Narrow"/>
          <w:szCs w:val="20"/>
          <w:lang w:val="bg-BG" w:eastAsia="bg-BG"/>
        </w:rPr>
        <w:t>Намалена концентрация на изкуствените конкурентноспособни ледообразуващи ядра и нарушаване темпа на засев поради ограничаване стрелбата над населени места (забранени сектори за стрелба);</w:t>
      </w:r>
    </w:p>
    <w:p w14:paraId="4C8B0CF5" w14:textId="77777777" w:rsidR="00DA211F" w:rsidRPr="00DA211F" w:rsidRDefault="00DA211F" w:rsidP="009C6577">
      <w:pPr>
        <w:numPr>
          <w:ilvl w:val="0"/>
          <w:numId w:val="38"/>
        </w:numPr>
        <w:spacing w:after="120"/>
        <w:jc w:val="both"/>
        <w:rPr>
          <w:rFonts w:ascii="Arial Narrow" w:hAnsi="Arial Narrow"/>
          <w:szCs w:val="20"/>
          <w:lang w:val="bg-BG" w:eastAsia="bg-BG"/>
        </w:rPr>
      </w:pPr>
      <w:r w:rsidRPr="00DA211F">
        <w:rPr>
          <w:rFonts w:ascii="Arial Narrow" w:hAnsi="Arial Narrow"/>
          <w:szCs w:val="20"/>
          <w:lang w:val="bg-BG" w:eastAsia="bg-BG"/>
        </w:rPr>
        <w:t>Недостатъчен засев и прекъсване на обработката поради възникнали на ракетните площадки или командния пункт технически проблеми по време на работа (аварии, привършване на ракети, проблеми със софтуерите и др.);</w:t>
      </w:r>
    </w:p>
    <w:p w14:paraId="0D7CE474" w14:textId="77777777" w:rsidR="00DA211F" w:rsidRPr="00DA211F" w:rsidRDefault="00DA211F" w:rsidP="009C6577">
      <w:pPr>
        <w:numPr>
          <w:ilvl w:val="0"/>
          <w:numId w:val="38"/>
        </w:numPr>
        <w:spacing w:after="120"/>
        <w:jc w:val="both"/>
        <w:rPr>
          <w:rFonts w:ascii="Arial Narrow" w:hAnsi="Arial Narrow"/>
          <w:szCs w:val="20"/>
          <w:lang w:val="bg-BG" w:eastAsia="bg-BG"/>
        </w:rPr>
      </w:pPr>
      <w:r w:rsidRPr="00DA211F">
        <w:rPr>
          <w:rFonts w:ascii="Arial Narrow" w:hAnsi="Arial Narrow"/>
          <w:lang w:val="bg-BG"/>
        </w:rPr>
        <w:t>Недостатъчно количество реагент поради разположение на областта за засев извън обсега на ракетните площадки.</w:t>
      </w:r>
    </w:p>
    <w:p w14:paraId="0B54FAA1" w14:textId="77777777" w:rsidR="00A80C13" w:rsidRPr="00DA211F" w:rsidRDefault="00A80C13" w:rsidP="00BF097E">
      <w:pPr>
        <w:pStyle w:val="ListParagraph"/>
        <w:keepNext/>
        <w:numPr>
          <w:ilvl w:val="1"/>
          <w:numId w:val="16"/>
        </w:numPr>
        <w:spacing w:after="120"/>
        <w:ind w:left="788" w:hanging="431"/>
        <w:jc w:val="both"/>
        <w:outlineLvl w:val="0"/>
        <w:rPr>
          <w:rFonts w:ascii="Arial Narrow" w:hAnsi="Arial Narrow"/>
          <w:b/>
          <w:bCs/>
          <w:lang w:val="bg-BG" w:eastAsia="bg-BG"/>
        </w:rPr>
      </w:pPr>
      <w:bookmarkStart w:id="215" w:name="_Toc210747657"/>
      <w:r w:rsidRPr="00DA211F">
        <w:rPr>
          <w:rFonts w:ascii="Arial Narrow" w:hAnsi="Arial Narrow"/>
          <w:b/>
          <w:bCs/>
          <w:lang w:val="bg-BG" w:eastAsia="bg-BG"/>
        </w:rPr>
        <w:lastRenderedPageBreak/>
        <w:t>Активни въздействия със самолетен способ</w:t>
      </w:r>
      <w:bookmarkEnd w:id="215"/>
    </w:p>
    <w:p w14:paraId="561FA6B6" w14:textId="77777777" w:rsidR="00DA211F" w:rsidRPr="00DA211F" w:rsidRDefault="00DA211F" w:rsidP="00DA211F">
      <w:pPr>
        <w:spacing w:after="120"/>
        <w:ind w:firstLine="709"/>
        <w:jc w:val="both"/>
        <w:rPr>
          <w:rFonts w:ascii="Calibri" w:eastAsia="Calibri" w:hAnsi="Calibri"/>
          <w:sz w:val="22"/>
          <w:szCs w:val="22"/>
          <w:lang w:val="es-AR"/>
        </w:rPr>
      </w:pPr>
      <w:r w:rsidRPr="00DA211F">
        <w:rPr>
          <w:rFonts w:ascii="Arial Narrow" w:eastAsia="Calibri" w:hAnsi="Arial Narrow"/>
          <w:lang w:val="bg-BG"/>
        </w:rPr>
        <w:t>Радарният оперативен център на изпълнителя по договора за градозащита със самолетен способ се намира в гр. София. Звеното за техническо и</w:t>
      </w:r>
      <w:r w:rsidRPr="00DA211F">
        <w:rPr>
          <w:rFonts w:ascii="Arial Narrow" w:eastAsia="Calibri" w:hAnsi="Arial Narrow"/>
          <w:lang w:val="es-AR"/>
        </w:rPr>
        <w:t xml:space="preserve"> </w:t>
      </w:r>
      <w:r w:rsidRPr="00DA211F">
        <w:rPr>
          <w:rFonts w:ascii="Arial Narrow" w:eastAsia="Calibri" w:hAnsi="Arial Narrow"/>
          <w:lang w:val="bg-BG"/>
        </w:rPr>
        <w:t xml:space="preserve">линейно обслужване на самолетите </w:t>
      </w:r>
      <w:r w:rsidRPr="00DA211F">
        <w:rPr>
          <w:rFonts w:ascii="Arial Narrow" w:eastAsia="Calibri" w:hAnsi="Arial Narrow"/>
        </w:rPr>
        <w:t>(</w:t>
      </w:r>
      <w:r w:rsidRPr="00DA211F">
        <w:rPr>
          <w:rFonts w:ascii="Arial Narrow" w:eastAsia="Calibri" w:hAnsi="Arial Narrow"/>
          <w:lang w:val="bg-BG"/>
        </w:rPr>
        <w:t>състоящо се от инженери и техници</w:t>
      </w:r>
      <w:r w:rsidRPr="00DA211F">
        <w:rPr>
          <w:rFonts w:ascii="Arial Narrow" w:eastAsia="Calibri" w:hAnsi="Arial Narrow"/>
        </w:rPr>
        <w:t>)</w:t>
      </w:r>
      <w:r w:rsidRPr="00DA211F">
        <w:rPr>
          <w:rFonts w:ascii="Arial Narrow" w:eastAsia="Calibri" w:hAnsi="Arial Narrow"/>
          <w:lang w:val="bg-BG"/>
        </w:rPr>
        <w:t xml:space="preserve"> и Звеното от</w:t>
      </w:r>
      <w:r w:rsidRPr="00DA211F">
        <w:rPr>
          <w:rFonts w:ascii="Arial Narrow" w:eastAsia="Calibri" w:hAnsi="Arial Narrow"/>
          <w:lang w:val="es-AR"/>
        </w:rPr>
        <w:t xml:space="preserve"> </w:t>
      </w:r>
      <w:r w:rsidRPr="00DA211F">
        <w:rPr>
          <w:rFonts w:ascii="Arial Narrow" w:eastAsia="Calibri" w:hAnsi="Arial Narrow"/>
          <w:lang w:val="bg-BG"/>
        </w:rPr>
        <w:t>пилоти на самолетите са разположени на летището в с. Щръклево, област Русе.</w:t>
      </w:r>
      <w:r w:rsidRPr="00DA211F">
        <w:rPr>
          <w:rFonts w:ascii="Calibri" w:eastAsia="Calibri" w:hAnsi="Calibri"/>
          <w:sz w:val="22"/>
          <w:szCs w:val="22"/>
          <w:lang w:val="es-AR"/>
        </w:rPr>
        <w:t xml:space="preserve"> </w:t>
      </w:r>
    </w:p>
    <w:p w14:paraId="174B851D" w14:textId="77777777" w:rsidR="00DA211F" w:rsidRPr="00DA211F" w:rsidRDefault="00DA211F" w:rsidP="00DA211F">
      <w:pPr>
        <w:spacing w:after="120"/>
        <w:ind w:firstLine="709"/>
        <w:jc w:val="both"/>
        <w:rPr>
          <w:rFonts w:ascii="Arial Narrow" w:eastAsia="Calibri" w:hAnsi="Arial Narrow"/>
          <w:lang w:val="bg-BG"/>
        </w:rPr>
      </w:pPr>
      <w:r w:rsidRPr="00DA211F">
        <w:rPr>
          <w:rFonts w:ascii="Arial Narrow" w:eastAsia="Calibri" w:hAnsi="Arial Narrow"/>
          <w:lang w:val="bg-BG"/>
        </w:rPr>
        <w:t>От Оперативния център се ръководят операциите по засев на градоопасни облаци, като се прилага методология за засяване от самолети, използвайки анализ на развитието и структурата на бурите чрез софтуер за идентификация, проследяване, анализ и свръхкраткосрочна прогноза на гръмотевични бури ТИТАН. Изобразява се траекторията и се изписват височината и скоростта на полета на всеки самолет въз основа на телеметричните данни от телеметричното оборудване на самолетите. В помощ на процеса по определяне на най-подходящото място и време за засяване на градоносни облаци се използва  автоматизирана система за управление - софтуер ASU-MRL. Използва се и радио-комуникационно оборудване, поставени на самолетите и на земята, работещо на една радиочестота за гласова комуникация между радарния оперативен център и самолетите.</w:t>
      </w:r>
    </w:p>
    <w:p w14:paraId="473E59B7" w14:textId="77777777" w:rsidR="00DA211F" w:rsidRPr="00DA211F" w:rsidRDefault="00DA211F" w:rsidP="00DA211F">
      <w:pPr>
        <w:spacing w:after="120"/>
        <w:ind w:firstLine="709"/>
        <w:jc w:val="both"/>
        <w:rPr>
          <w:rFonts w:ascii="Arial Narrow" w:eastAsia="Calibri" w:hAnsi="Arial Narrow"/>
          <w:lang w:val="bg-BG"/>
        </w:rPr>
      </w:pPr>
      <w:r w:rsidRPr="00DA211F">
        <w:rPr>
          <w:rFonts w:ascii="Arial Narrow" w:eastAsia="Calibri" w:hAnsi="Arial Narrow"/>
          <w:lang w:val="bg-BG"/>
        </w:rPr>
        <w:t>За изпълнението на проекта се използват 3 самолета, оборудвани със система за запалване на неотделяеми палки с реагент сребърен йодид (AgI), разположена на лявото и дясното полукрило, зад двигателите. Два от самолетите са оборудвани със системи за</w:t>
      </w:r>
      <w:r w:rsidRPr="00DA211F">
        <w:rPr>
          <w:rFonts w:ascii="Arial Narrow" w:eastAsia="Calibri" w:hAnsi="Arial Narrow"/>
          <w:lang w:val="es-AR"/>
        </w:rPr>
        <w:t xml:space="preserve"> </w:t>
      </w:r>
      <w:r w:rsidRPr="00DA211F">
        <w:rPr>
          <w:rFonts w:ascii="Arial Narrow" w:eastAsia="Calibri" w:hAnsi="Arial Narrow"/>
          <w:lang w:val="bg-BG"/>
        </w:rPr>
        <w:t xml:space="preserve">изстрелване на пиропатрони с реагент AgI. </w:t>
      </w:r>
    </w:p>
    <w:p w14:paraId="3E049374" w14:textId="77777777" w:rsidR="0026783D" w:rsidRPr="00DA211F" w:rsidRDefault="00A94713" w:rsidP="0026783D">
      <w:pPr>
        <w:keepNext/>
        <w:jc w:val="center"/>
        <w:rPr>
          <w:rFonts w:ascii="Arial Narrow" w:hAnsi="Arial Narrow"/>
          <w:b/>
          <w:i/>
          <w:lang w:eastAsia="bg-BG"/>
        </w:rPr>
      </w:pPr>
      <w:r w:rsidRPr="00DA211F">
        <w:rPr>
          <w:rFonts w:ascii="Arial Narrow" w:hAnsi="Arial Narrow"/>
          <w:b/>
          <w:i/>
          <w:lang w:eastAsia="bg-BG"/>
        </w:rPr>
        <w:t xml:space="preserve">Фигура </w:t>
      </w:r>
      <w:r w:rsidR="0026783D" w:rsidRPr="00DA211F">
        <w:rPr>
          <w:rFonts w:ascii="Arial Narrow" w:hAnsi="Arial Narrow"/>
          <w:b/>
          <w:i/>
          <w:lang w:eastAsia="bg-BG"/>
        </w:rPr>
        <w:t>V.12</w:t>
      </w:r>
      <w:r w:rsidR="00371F7E" w:rsidRPr="00DA211F">
        <w:rPr>
          <w:rFonts w:ascii="Arial Narrow" w:hAnsi="Arial Narrow"/>
          <w:b/>
          <w:i/>
          <w:lang w:eastAsia="bg-BG"/>
        </w:rPr>
        <w:t xml:space="preserve">. </w:t>
      </w:r>
      <w:r w:rsidRPr="00DA211F">
        <w:rPr>
          <w:rFonts w:ascii="Arial Narrow" w:hAnsi="Arial Narrow"/>
          <w:b/>
          <w:i/>
          <w:lang w:eastAsia="bg-BG"/>
        </w:rPr>
        <w:t xml:space="preserve">Процентно разпределение на броя на засетите градоопасни клетки </w:t>
      </w:r>
    </w:p>
    <w:p w14:paraId="5099980A" w14:textId="77777777" w:rsidR="00A94713" w:rsidRPr="00DA211F" w:rsidRDefault="00A94713" w:rsidP="0026783D">
      <w:pPr>
        <w:keepNext/>
        <w:jc w:val="center"/>
        <w:rPr>
          <w:rFonts w:ascii="Arial Narrow" w:hAnsi="Arial Narrow"/>
          <w:b/>
          <w:i/>
          <w:lang w:eastAsia="bg-BG"/>
        </w:rPr>
      </w:pPr>
      <w:r w:rsidRPr="00DA211F">
        <w:rPr>
          <w:rFonts w:ascii="Arial Narrow" w:hAnsi="Arial Narrow"/>
          <w:b/>
          <w:i/>
          <w:lang w:eastAsia="bg-BG"/>
        </w:rPr>
        <w:t>по месеци на</w:t>
      </w:r>
      <w:r w:rsidR="00DA211F" w:rsidRPr="00DA211F">
        <w:rPr>
          <w:rFonts w:ascii="Arial Narrow" w:hAnsi="Arial Narrow"/>
          <w:b/>
          <w:i/>
          <w:lang w:eastAsia="bg-BG"/>
        </w:rPr>
        <w:t xml:space="preserve"> 2024</w:t>
      </w:r>
      <w:r w:rsidRPr="00DA211F">
        <w:rPr>
          <w:rFonts w:ascii="Arial Narrow" w:hAnsi="Arial Narrow"/>
          <w:b/>
          <w:i/>
          <w:lang w:eastAsia="bg-BG"/>
        </w:rPr>
        <w:t xml:space="preserve"> г.</w:t>
      </w:r>
    </w:p>
    <w:p w14:paraId="2F6A9BBD" w14:textId="77777777" w:rsidR="00901890" w:rsidRPr="00B10684" w:rsidRDefault="00DA211F" w:rsidP="00901890">
      <w:pPr>
        <w:keepNext/>
        <w:spacing w:after="120"/>
        <w:jc w:val="center"/>
        <w:rPr>
          <w:rFonts w:ascii="Arial Narrow" w:hAnsi="Arial Narrow"/>
          <w:b/>
          <w:i/>
          <w:color w:val="FF0000"/>
          <w:lang w:eastAsia="bg-BG"/>
        </w:rPr>
      </w:pPr>
      <w:r>
        <w:rPr>
          <w:noProof/>
        </w:rPr>
        <w:drawing>
          <wp:inline distT="0" distB="0" distL="0" distR="0" wp14:anchorId="72B8CD2D" wp14:editId="36A43275">
            <wp:extent cx="5039995" cy="3000375"/>
            <wp:effectExtent l="0" t="0" r="8255" b="0"/>
            <wp:docPr id="48" name="Chart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27E56EEA" w14:textId="77777777" w:rsidR="00A94713" w:rsidRPr="00DA211F" w:rsidRDefault="00A94713" w:rsidP="00A94713">
      <w:pPr>
        <w:spacing w:after="240"/>
        <w:ind w:firstLine="709"/>
        <w:jc w:val="both"/>
        <w:rPr>
          <w:rFonts w:ascii="Arial Narrow" w:hAnsi="Arial Narrow"/>
          <w:i/>
          <w:sz w:val="18"/>
          <w:szCs w:val="18"/>
          <w:lang w:eastAsia="bg-BG"/>
        </w:rPr>
      </w:pPr>
      <w:r w:rsidRPr="00DA211F">
        <w:rPr>
          <w:rFonts w:ascii="Arial Narrow" w:hAnsi="Arial Narrow"/>
          <w:i/>
          <w:sz w:val="18"/>
          <w:szCs w:val="18"/>
          <w:lang w:eastAsia="bg-BG"/>
        </w:rPr>
        <w:t xml:space="preserve">Източник: </w:t>
      </w:r>
      <w:r w:rsidRPr="00DA211F">
        <w:rPr>
          <w:rFonts w:ascii="Arial Narrow" w:hAnsi="Arial Narrow"/>
          <w:sz w:val="18"/>
          <w:szCs w:val="18"/>
          <w:lang w:eastAsia="bg-BG"/>
        </w:rPr>
        <w:t>ИАБГ</w:t>
      </w:r>
    </w:p>
    <w:p w14:paraId="27DCC4E6" w14:textId="77777777" w:rsidR="00672541" w:rsidRPr="00DA211F" w:rsidRDefault="00672541" w:rsidP="00672541">
      <w:pPr>
        <w:spacing w:after="120"/>
        <w:ind w:firstLine="720"/>
        <w:jc w:val="both"/>
        <w:rPr>
          <w:rFonts w:ascii="Arial Narrow" w:eastAsia="Calibri" w:hAnsi="Arial Narrow"/>
          <w:lang w:val="bg-BG"/>
        </w:rPr>
      </w:pPr>
      <w:r w:rsidRPr="00DA211F">
        <w:rPr>
          <w:rFonts w:ascii="Arial Narrow" w:eastAsia="Calibri" w:hAnsi="Arial Narrow"/>
          <w:lang w:val="bg-BG"/>
        </w:rPr>
        <w:t>За целите на изпълнението на договора за противоградова защита със самолетен способ през 202</w:t>
      </w:r>
      <w:r w:rsidRPr="00DA211F">
        <w:rPr>
          <w:rFonts w:ascii="Arial Narrow" w:eastAsia="Calibri" w:hAnsi="Arial Narrow"/>
          <w:lang w:val="es-AR"/>
        </w:rPr>
        <w:t>4</w:t>
      </w:r>
      <w:r w:rsidRPr="00DA211F">
        <w:rPr>
          <w:rFonts w:ascii="Arial Narrow" w:eastAsia="Calibri" w:hAnsi="Arial Narrow"/>
          <w:lang w:val="bg-BG"/>
        </w:rPr>
        <w:t xml:space="preserve"> г. са разрешени полети на самолетите както в неконтролираното въздушно пространство до 3 000 м, така и в контролираното въздушно пространство на Република България.</w:t>
      </w:r>
    </w:p>
    <w:p w14:paraId="5B7A86BE" w14:textId="77777777" w:rsidR="00672541" w:rsidRPr="00DA211F" w:rsidRDefault="00672541" w:rsidP="00672541">
      <w:pPr>
        <w:spacing w:after="120"/>
        <w:ind w:firstLine="709"/>
        <w:jc w:val="both"/>
        <w:rPr>
          <w:rFonts w:ascii="Arial Narrow" w:eastAsia="Calibri" w:hAnsi="Arial Narrow"/>
          <w:lang w:val="bg-BG"/>
        </w:rPr>
      </w:pPr>
      <w:r w:rsidRPr="00DA211F">
        <w:rPr>
          <w:rFonts w:ascii="Arial Narrow" w:eastAsia="Calibri" w:hAnsi="Arial Narrow"/>
          <w:lang w:val="bg-BG"/>
        </w:rPr>
        <w:t xml:space="preserve">От </w:t>
      </w:r>
      <w:r w:rsidRPr="00DA211F">
        <w:rPr>
          <w:rFonts w:ascii="Arial Narrow" w:eastAsia="Calibri" w:hAnsi="Arial Narrow"/>
          <w:lang w:val="es-AR"/>
        </w:rPr>
        <w:t>152</w:t>
      </w:r>
      <w:r w:rsidRPr="00DA211F">
        <w:rPr>
          <w:rFonts w:ascii="Arial Narrow" w:eastAsia="Calibri" w:hAnsi="Arial Narrow"/>
          <w:lang w:val="bg-BG"/>
        </w:rPr>
        <w:t xml:space="preserve"> дни на активния сезон за противоградова защита със самолетен способ (1 май − 30 септември 2024</w:t>
      </w:r>
      <w:r w:rsidRPr="00DA211F">
        <w:rPr>
          <w:rFonts w:ascii="Arial Narrow" w:eastAsia="Calibri" w:hAnsi="Arial Narrow"/>
          <w:lang w:val="es-AR"/>
        </w:rPr>
        <w:t xml:space="preserve"> </w:t>
      </w:r>
      <w:r w:rsidRPr="00DA211F">
        <w:rPr>
          <w:rFonts w:ascii="Arial Narrow" w:eastAsia="Calibri" w:hAnsi="Arial Narrow"/>
          <w:lang w:val="bg-BG"/>
        </w:rPr>
        <w:t>г.</w:t>
      </w:r>
      <w:r w:rsidR="009B089D">
        <w:rPr>
          <w:rFonts w:ascii="Arial Narrow" w:eastAsia="Calibri" w:hAnsi="Arial Narrow"/>
          <w:lang w:val="bg-BG"/>
        </w:rPr>
        <w:t>)</w:t>
      </w:r>
      <w:r w:rsidRPr="00DA211F">
        <w:rPr>
          <w:rFonts w:ascii="Arial Narrow" w:eastAsia="Calibri" w:hAnsi="Arial Narrow"/>
          <w:lang w:val="bg-BG"/>
        </w:rPr>
        <w:t xml:space="preserve">, в 33 дни са проведени </w:t>
      </w:r>
      <w:r w:rsidR="009B089D">
        <w:rPr>
          <w:rFonts w:ascii="Arial Narrow" w:eastAsia="Calibri" w:hAnsi="Arial Narrow"/>
          <w:lang w:val="bg-BG"/>
        </w:rPr>
        <w:t xml:space="preserve">полети със засеви, като са обработени </w:t>
      </w:r>
      <w:r w:rsidRPr="00DA211F">
        <w:rPr>
          <w:rFonts w:ascii="Arial Narrow" w:eastAsia="Calibri" w:hAnsi="Arial Narrow"/>
          <w:lang w:val="bg-BG"/>
        </w:rPr>
        <w:t xml:space="preserve">общо 145 </w:t>
      </w:r>
      <w:r w:rsidR="009B089D">
        <w:rPr>
          <w:rFonts w:ascii="Arial Narrow" w:eastAsia="Calibri" w:hAnsi="Arial Narrow"/>
          <w:lang w:val="bg-BG"/>
        </w:rPr>
        <w:t>градоопасни клетки</w:t>
      </w:r>
      <w:r w:rsidRPr="00DA211F">
        <w:rPr>
          <w:rFonts w:ascii="Arial Narrow" w:eastAsia="Calibri" w:hAnsi="Arial Narrow"/>
          <w:lang w:val="bg-BG"/>
        </w:rPr>
        <w:t xml:space="preserve">, а в 20 дни са извършвани само патрулни полети. </w:t>
      </w:r>
    </w:p>
    <w:p w14:paraId="0690030A" w14:textId="77777777" w:rsidR="00DA211F" w:rsidRPr="002373B7" w:rsidRDefault="00DA211F" w:rsidP="00DA211F">
      <w:pPr>
        <w:spacing w:after="120"/>
        <w:ind w:firstLine="708"/>
        <w:jc w:val="both"/>
        <w:rPr>
          <w:rFonts w:ascii="Arial Narrow" w:eastAsia="Calibri" w:hAnsi="Arial Narrow"/>
          <w:lang w:val="bg-BG"/>
        </w:rPr>
      </w:pPr>
      <w:r w:rsidRPr="00DA211F">
        <w:rPr>
          <w:rFonts w:ascii="Arial Narrow" w:eastAsia="Calibri" w:hAnsi="Arial Narrow"/>
          <w:lang w:val="bg-BG"/>
        </w:rPr>
        <w:t xml:space="preserve">През периода на противоградова защита са изразходвани общо 1 366 палки и 5 481 пиропатрона. Разходът зависи от продължителността на живот на облачната клетка в градоопасен стадий и мощността </w:t>
      </w:r>
      <w:r w:rsidRPr="00DA211F">
        <w:rPr>
          <w:rFonts w:ascii="Arial" w:eastAsia="Calibri" w:hAnsi="Arial" w:cs="Arial"/>
          <w:sz w:val="22"/>
          <w:szCs w:val="22"/>
          <w:lang w:val="es-AR"/>
        </w:rPr>
        <w:t>ѝ</w:t>
      </w:r>
      <w:r w:rsidRPr="00DA211F">
        <w:rPr>
          <w:rFonts w:ascii="Arial Narrow" w:eastAsia="Calibri" w:hAnsi="Arial Narrow"/>
          <w:lang w:val="bg-BG"/>
        </w:rPr>
        <w:t xml:space="preserve">, </w:t>
      </w:r>
      <w:r w:rsidRPr="00DA211F">
        <w:rPr>
          <w:rFonts w:ascii="Arial Narrow" w:eastAsia="Calibri" w:hAnsi="Arial Narrow" w:cs="Arial Narrow"/>
          <w:lang w:val="bg-BG"/>
        </w:rPr>
        <w:t>определена</w:t>
      </w:r>
      <w:r w:rsidRPr="00DA211F">
        <w:rPr>
          <w:rFonts w:ascii="Arial Narrow" w:eastAsia="Calibri" w:hAnsi="Arial Narrow"/>
          <w:lang w:val="bg-BG"/>
        </w:rPr>
        <w:t xml:space="preserve"> </w:t>
      </w:r>
      <w:r w:rsidRPr="00DA211F">
        <w:rPr>
          <w:rFonts w:ascii="Arial Narrow" w:eastAsia="Calibri" w:hAnsi="Arial Narrow" w:cs="Arial Narrow"/>
          <w:lang w:val="bg-BG"/>
        </w:rPr>
        <w:t>чрез</w:t>
      </w:r>
      <w:r w:rsidRPr="00DA211F">
        <w:rPr>
          <w:rFonts w:ascii="Arial Narrow" w:eastAsia="Calibri" w:hAnsi="Arial Narrow"/>
          <w:lang w:val="bg-BG"/>
        </w:rPr>
        <w:t xml:space="preserve"> </w:t>
      </w:r>
      <w:r w:rsidRPr="00DA211F">
        <w:rPr>
          <w:rFonts w:ascii="Arial Narrow" w:eastAsia="Calibri" w:hAnsi="Arial Narrow" w:cs="Arial Narrow"/>
          <w:lang w:val="bg-BG"/>
        </w:rPr>
        <w:t>радарните</w:t>
      </w:r>
      <w:r w:rsidRPr="00DA211F">
        <w:rPr>
          <w:rFonts w:ascii="Arial Narrow" w:eastAsia="Calibri" w:hAnsi="Arial Narrow"/>
          <w:lang w:val="bg-BG"/>
        </w:rPr>
        <w:t xml:space="preserve"> </w:t>
      </w:r>
      <w:r w:rsidRPr="00DA211F">
        <w:rPr>
          <w:rFonts w:ascii="Arial" w:eastAsia="Calibri" w:hAnsi="Arial" w:cs="Arial"/>
          <w:sz w:val="22"/>
          <w:szCs w:val="22"/>
          <w:lang w:val="es-AR"/>
        </w:rPr>
        <w:t>ѝ</w:t>
      </w:r>
      <w:r w:rsidRPr="00DA211F">
        <w:rPr>
          <w:rFonts w:ascii="Arial Narrow" w:eastAsia="Calibri" w:hAnsi="Arial Narrow"/>
          <w:lang w:val="bg-BG"/>
        </w:rPr>
        <w:t xml:space="preserve"> характеристики</w:t>
      </w:r>
      <w:r w:rsidRPr="00DA211F">
        <w:rPr>
          <w:rFonts w:ascii="Arial Narrow" w:eastAsia="Calibri" w:hAnsi="Arial Narrow"/>
          <w:color w:val="00B050"/>
          <w:lang w:val="bg-BG"/>
        </w:rPr>
        <w:t>.</w:t>
      </w:r>
    </w:p>
    <w:p w14:paraId="5DD14C34" w14:textId="77777777" w:rsidR="00DA211F" w:rsidRPr="00DA211F" w:rsidRDefault="00DA211F" w:rsidP="00DA211F">
      <w:pPr>
        <w:spacing w:after="120"/>
        <w:ind w:firstLine="720"/>
        <w:jc w:val="both"/>
        <w:rPr>
          <w:rFonts w:ascii="Arial Narrow" w:eastAsia="Calibri" w:hAnsi="Arial Narrow"/>
          <w:iCs/>
          <w:lang w:val="bg-BG"/>
        </w:rPr>
      </w:pPr>
      <w:r w:rsidRPr="00DA211F">
        <w:rPr>
          <w:rFonts w:ascii="Arial Narrow" w:eastAsia="Calibri" w:hAnsi="Arial Narrow"/>
          <w:iCs/>
          <w:lang w:val="bg-BG"/>
        </w:rPr>
        <w:t>Поражения върху селскостопанската продукция в защитаваната със самолети територия има на 9 дати</w:t>
      </w:r>
      <w:r w:rsidRPr="00DA211F">
        <w:rPr>
          <w:rFonts w:ascii="Arial Narrow" w:eastAsia="Calibri" w:hAnsi="Arial Narrow"/>
          <w:iCs/>
        </w:rPr>
        <w:t xml:space="preserve">: </w:t>
      </w:r>
      <w:r w:rsidRPr="00DA211F">
        <w:rPr>
          <w:rFonts w:ascii="Arial Narrow" w:eastAsia="Calibri" w:hAnsi="Arial Narrow"/>
          <w:iCs/>
          <w:lang w:val="bg-BG"/>
        </w:rPr>
        <w:t>8, 12 и 22 май</w:t>
      </w:r>
      <w:r w:rsidRPr="00DA211F">
        <w:rPr>
          <w:rFonts w:ascii="Arial Narrow" w:eastAsia="Calibri" w:hAnsi="Arial Narrow"/>
          <w:iCs/>
        </w:rPr>
        <w:t>;</w:t>
      </w:r>
      <w:r w:rsidRPr="00DA211F">
        <w:rPr>
          <w:rFonts w:ascii="Arial Narrow" w:eastAsia="Calibri" w:hAnsi="Arial Narrow"/>
          <w:iCs/>
          <w:lang w:val="bg-BG"/>
        </w:rPr>
        <w:t xml:space="preserve"> 3, 4, 11, 12 и 13 юни; 21 юли.</w:t>
      </w:r>
      <w:r w:rsidRPr="00DA211F">
        <w:rPr>
          <w:iCs/>
          <w:lang w:val="bg-BG"/>
        </w:rPr>
        <w:t xml:space="preserve"> </w:t>
      </w:r>
      <w:r w:rsidRPr="00DA211F">
        <w:rPr>
          <w:rFonts w:ascii="Arial Narrow" w:hAnsi="Arial Narrow"/>
          <w:iCs/>
          <w:lang w:val="bg-BG"/>
        </w:rPr>
        <w:t xml:space="preserve">Въз основа на изготвени протоколи в общинските служби </w:t>
      </w:r>
      <w:r w:rsidRPr="00DA211F">
        <w:rPr>
          <w:rFonts w:ascii="Arial Narrow" w:hAnsi="Arial Narrow"/>
          <w:iCs/>
          <w:lang w:val="bg-BG"/>
        </w:rPr>
        <w:lastRenderedPageBreak/>
        <w:t xml:space="preserve">„Земеделие“ нанесени щети от градушка в периода на градозащита са констатирани върху 11 040,94 ха със среден процент на поражение </w:t>
      </w:r>
      <w:r w:rsidRPr="00DA211F">
        <w:rPr>
          <w:rFonts w:ascii="Arial Narrow" w:eastAsia="Calibri" w:hAnsi="Arial Narrow"/>
          <w:lang w:val="bg-BG"/>
        </w:rPr>
        <w:t xml:space="preserve">50,60%. </w:t>
      </w:r>
      <w:r w:rsidRPr="00DA211F">
        <w:rPr>
          <w:rFonts w:ascii="Arial Narrow" w:hAnsi="Arial Narrow"/>
          <w:iCs/>
          <w:lang w:val="bg-BG"/>
        </w:rPr>
        <w:t xml:space="preserve">Приведени към 100% напълно унищожени площи са </w:t>
      </w:r>
      <w:r w:rsidRPr="00DA211F">
        <w:rPr>
          <w:rFonts w:ascii="Arial Narrow" w:hAnsi="Arial Narrow"/>
          <w:iCs/>
          <w:lang w:val="es-AR"/>
        </w:rPr>
        <w:t xml:space="preserve">5 587 </w:t>
      </w:r>
      <w:r w:rsidRPr="00DA211F">
        <w:rPr>
          <w:rFonts w:ascii="Arial Narrow" w:hAnsi="Arial Narrow"/>
          <w:iCs/>
          <w:lang w:val="bg-BG"/>
        </w:rPr>
        <w:t>ха.</w:t>
      </w:r>
    </w:p>
    <w:p w14:paraId="41656239" w14:textId="77777777" w:rsidR="00DA211F" w:rsidRPr="00DA211F" w:rsidRDefault="00DA211F" w:rsidP="00DA211F">
      <w:pPr>
        <w:widowControl w:val="0"/>
        <w:spacing w:after="120"/>
        <w:ind w:firstLine="720"/>
        <w:jc w:val="both"/>
        <w:rPr>
          <w:rFonts w:ascii="Arial Narrow" w:eastAsia="Calibri" w:hAnsi="Arial Narrow"/>
          <w:lang w:val="bg-BG"/>
        </w:rPr>
      </w:pPr>
      <w:r w:rsidRPr="00DA211F">
        <w:rPr>
          <w:rFonts w:ascii="Arial Narrow" w:eastAsia="Calibri" w:hAnsi="Arial Narrow"/>
          <w:lang w:val="bg-BG"/>
        </w:rPr>
        <w:t>Основните причини за пораженията са:</w:t>
      </w:r>
    </w:p>
    <w:p w14:paraId="6975FDCB" w14:textId="77777777" w:rsidR="00DA211F" w:rsidRPr="00DA211F" w:rsidRDefault="00DA211F" w:rsidP="009C6577">
      <w:pPr>
        <w:numPr>
          <w:ilvl w:val="0"/>
          <w:numId w:val="38"/>
        </w:numPr>
        <w:spacing w:after="120"/>
        <w:jc w:val="both"/>
        <w:rPr>
          <w:rFonts w:ascii="Arial Narrow" w:hAnsi="Arial Narrow"/>
          <w:szCs w:val="20"/>
          <w:lang w:val="bg-BG" w:eastAsia="bg-BG"/>
        </w:rPr>
      </w:pPr>
      <w:r w:rsidRPr="00DA211F">
        <w:rPr>
          <w:rFonts w:ascii="Arial Narrow" w:hAnsi="Arial Narrow"/>
          <w:szCs w:val="20"/>
          <w:lang w:val="bg-BG" w:eastAsia="bg-BG"/>
        </w:rPr>
        <w:t>Ограничаване на полетите в контролираното въздушно пространство, което нарушава обработката с пиропатрони;</w:t>
      </w:r>
    </w:p>
    <w:p w14:paraId="6E9653D2" w14:textId="77777777" w:rsidR="00DA211F" w:rsidRPr="00DA211F" w:rsidRDefault="00DA211F" w:rsidP="009C6577">
      <w:pPr>
        <w:numPr>
          <w:ilvl w:val="0"/>
          <w:numId w:val="38"/>
        </w:numPr>
        <w:spacing w:after="120"/>
        <w:jc w:val="both"/>
        <w:rPr>
          <w:rFonts w:ascii="Arial Narrow" w:hAnsi="Arial Narrow"/>
          <w:szCs w:val="20"/>
          <w:lang w:val="bg-BG" w:eastAsia="bg-BG"/>
        </w:rPr>
      </w:pPr>
      <w:r w:rsidRPr="00DA211F">
        <w:rPr>
          <w:rFonts w:ascii="Arial Narrow" w:hAnsi="Arial Narrow"/>
          <w:szCs w:val="20"/>
          <w:lang w:val="bg-BG" w:eastAsia="bg-BG"/>
        </w:rPr>
        <w:t>При развитие на мощни градови процеси повсеместно, на много места, отдалечени на голямо разстояние едно от друго или при необходимост от непрекъснат засев на 1 клетка с повече от 1 самолет, е невъзможно извършването на правилната обработка на всяка градоопасна клетка поради ограничения брой летателни средства;</w:t>
      </w:r>
    </w:p>
    <w:p w14:paraId="181AA1E4" w14:textId="77777777" w:rsidR="00DA211F" w:rsidRPr="00DA211F" w:rsidRDefault="00DA211F" w:rsidP="009C6577">
      <w:pPr>
        <w:numPr>
          <w:ilvl w:val="0"/>
          <w:numId w:val="38"/>
        </w:numPr>
        <w:spacing w:after="120"/>
        <w:jc w:val="both"/>
        <w:rPr>
          <w:rFonts w:ascii="Arial Narrow" w:hAnsi="Arial Narrow"/>
          <w:szCs w:val="20"/>
          <w:lang w:val="bg-BG" w:eastAsia="bg-BG"/>
        </w:rPr>
      </w:pPr>
      <w:r w:rsidRPr="00DA211F">
        <w:rPr>
          <w:rFonts w:ascii="Arial Narrow" w:hAnsi="Arial Narrow"/>
          <w:szCs w:val="20"/>
          <w:lang w:val="bg-BG" w:eastAsia="bg-BG"/>
        </w:rPr>
        <w:t>При зараждане и бързо развитие на градоопасни клетки, поради необходимо време за долитане на самолета, спазвайки указанията на РВД и правилата за безопасност, вероятността за късна начална обработка нараства.</w:t>
      </w:r>
    </w:p>
    <w:p w14:paraId="50C17262" w14:textId="77777777" w:rsidR="00DA211F" w:rsidRPr="00DA211F" w:rsidRDefault="00DA211F" w:rsidP="009C6577">
      <w:pPr>
        <w:numPr>
          <w:ilvl w:val="0"/>
          <w:numId w:val="38"/>
        </w:numPr>
        <w:spacing w:after="120"/>
        <w:jc w:val="both"/>
        <w:rPr>
          <w:rFonts w:ascii="Arial Narrow" w:hAnsi="Arial Narrow"/>
          <w:szCs w:val="20"/>
          <w:lang w:val="bg-BG" w:eastAsia="bg-BG"/>
        </w:rPr>
      </w:pPr>
      <w:r w:rsidRPr="00DA211F">
        <w:rPr>
          <w:rFonts w:ascii="Arial Narrow" w:hAnsi="Arial Narrow"/>
          <w:szCs w:val="20"/>
          <w:lang w:val="bg-BG" w:eastAsia="bg-BG"/>
        </w:rPr>
        <w:t>Самолетите са сертифицирани да носят определен брой средства за засев, които при развитие на тежки градови процеси биват изразходвани за много кратко време. Това от своя страна налага самолетите да кацат за презареждане, през което време градовите клетки възстановяват естественото си развитие. Това води със себе си до прекъсване на засева и невъзможност за обработка на новозародилите се клетки.</w:t>
      </w:r>
    </w:p>
    <w:p w14:paraId="284DE92D" w14:textId="77777777" w:rsidR="00DA211F" w:rsidRPr="00DA211F" w:rsidRDefault="00DA211F" w:rsidP="009C6577">
      <w:pPr>
        <w:numPr>
          <w:ilvl w:val="0"/>
          <w:numId w:val="38"/>
        </w:numPr>
        <w:spacing w:after="120"/>
        <w:jc w:val="both"/>
        <w:rPr>
          <w:rFonts w:ascii="Arial Narrow" w:hAnsi="Arial Narrow"/>
          <w:szCs w:val="20"/>
          <w:lang w:val="bg-BG" w:eastAsia="bg-BG"/>
        </w:rPr>
      </w:pPr>
      <w:r w:rsidRPr="00DA211F">
        <w:rPr>
          <w:rFonts w:ascii="Arial Narrow" w:hAnsi="Arial Narrow"/>
          <w:szCs w:val="20"/>
          <w:lang w:val="bg-BG" w:eastAsia="bg-BG"/>
        </w:rPr>
        <w:t xml:space="preserve">Невъзможност за засев на клетки, навлизащи в защитаваната територия от полигоните на ИАБГ в Северозападна България и от Южна централна България (буферната зона при Стара планина), поради инструкции за отдалечаване от ракетните площадки на 15 мили. </w:t>
      </w:r>
    </w:p>
    <w:p w14:paraId="4FF73971" w14:textId="77777777" w:rsidR="00DA211F" w:rsidRPr="00DA211F" w:rsidRDefault="00DA211F" w:rsidP="00DA211F">
      <w:pPr>
        <w:spacing w:after="120"/>
        <w:ind w:firstLine="720"/>
        <w:jc w:val="both"/>
        <w:rPr>
          <w:rFonts w:ascii="Arial Narrow" w:hAnsi="Arial Narrow"/>
          <w:color w:val="000000"/>
          <w:lang w:eastAsia="bg-BG" w:bidi="bg-BG"/>
        </w:rPr>
      </w:pPr>
      <w:r w:rsidRPr="00DA211F">
        <w:rPr>
          <w:rFonts w:ascii="Arial Narrow" w:hAnsi="Arial Narrow"/>
          <w:bCs/>
          <w:lang w:val="bg-BG"/>
        </w:rPr>
        <w:t xml:space="preserve">През 2024 г. стойността на </w:t>
      </w:r>
      <w:r w:rsidRPr="00DA211F">
        <w:rPr>
          <w:rFonts w:ascii="Arial Narrow" w:hAnsi="Arial Narrow"/>
          <w:lang w:val="bg-BG"/>
        </w:rPr>
        <w:t xml:space="preserve">спасената продукция в резултат на проведени активни въздействия </w:t>
      </w:r>
      <w:r w:rsidRPr="00DA211F">
        <w:rPr>
          <w:rFonts w:ascii="Arial Narrow" w:hAnsi="Arial Narrow"/>
          <w:color w:val="000000"/>
          <w:lang w:val="bg-BG" w:eastAsia="bg-BG" w:bidi="bg-BG"/>
        </w:rPr>
        <w:t xml:space="preserve">чрез самолет способ се оценява на </w:t>
      </w:r>
      <w:r w:rsidRPr="00DA211F">
        <w:rPr>
          <w:rFonts w:ascii="Arial Narrow" w:hAnsi="Arial Narrow"/>
          <w:lang w:val="bg-BG"/>
        </w:rPr>
        <w:t>29,4 млн. лева.</w:t>
      </w:r>
    </w:p>
    <w:p w14:paraId="5A637293" w14:textId="77777777" w:rsidR="00CC29D4" w:rsidRPr="006F5D96" w:rsidRDefault="00AC459D" w:rsidP="00513FF4">
      <w:pPr>
        <w:pStyle w:val="ListParagraph"/>
        <w:numPr>
          <w:ilvl w:val="0"/>
          <w:numId w:val="16"/>
        </w:numPr>
        <w:spacing w:after="120"/>
        <w:ind w:firstLine="0"/>
        <w:contextualSpacing w:val="0"/>
        <w:outlineLvl w:val="0"/>
        <w:rPr>
          <w:rFonts w:ascii="Arial Narrow" w:eastAsiaTheme="minorHAnsi" w:hAnsi="Arial Narrow" w:cstheme="minorBidi"/>
          <w:b/>
          <w:lang w:val="bg-BG"/>
        </w:rPr>
      </w:pPr>
      <w:bookmarkStart w:id="216" w:name="_Toc210747658"/>
      <w:r w:rsidRPr="006F5D96">
        <w:rPr>
          <w:rFonts w:ascii="Arial Narrow" w:eastAsiaTheme="minorHAnsi" w:hAnsi="Arial Narrow" w:cstheme="minorBidi"/>
          <w:b/>
          <w:lang w:val="bg-BG"/>
        </w:rPr>
        <w:t>Намаляване на регулаторната и административна тежест за бизнеса</w:t>
      </w:r>
      <w:bookmarkEnd w:id="216"/>
    </w:p>
    <w:p w14:paraId="342F5907" w14:textId="77777777" w:rsidR="006F5D96" w:rsidRPr="006F5D96" w:rsidRDefault="002723DD" w:rsidP="006F5D96">
      <w:pPr>
        <w:pStyle w:val="ListParagraph"/>
        <w:keepNext/>
        <w:keepLines/>
        <w:numPr>
          <w:ilvl w:val="1"/>
          <w:numId w:val="16"/>
        </w:numPr>
        <w:spacing w:after="120"/>
        <w:ind w:left="981" w:hanging="624"/>
        <w:contextualSpacing w:val="0"/>
        <w:jc w:val="both"/>
        <w:outlineLvl w:val="0"/>
        <w:rPr>
          <w:rFonts w:ascii="Arial Narrow" w:eastAsia="Calibri" w:hAnsi="Arial Narrow"/>
          <w:b/>
          <w:lang w:val="bg-BG"/>
        </w:rPr>
      </w:pPr>
      <w:bookmarkStart w:id="217" w:name="_Toc210747659"/>
      <w:r w:rsidRPr="006F5D96">
        <w:rPr>
          <w:rFonts w:ascii="Arial Narrow" w:eastAsia="Calibri" w:hAnsi="Arial Narrow"/>
          <w:b/>
          <w:lang w:val="bg-BG"/>
        </w:rPr>
        <w:t>Прилагани регулаторни режими в системата на МЗ</w:t>
      </w:r>
      <w:r w:rsidR="003010A3" w:rsidRPr="006F5D96">
        <w:rPr>
          <w:rFonts w:ascii="Arial Narrow" w:eastAsia="Calibri" w:hAnsi="Arial Narrow"/>
          <w:b/>
          <w:lang w:val="bg-BG"/>
        </w:rPr>
        <w:t>Х</w:t>
      </w:r>
      <w:bookmarkEnd w:id="217"/>
    </w:p>
    <w:p w14:paraId="17774367" w14:textId="77777777" w:rsidR="006F5D96" w:rsidRPr="006121BE" w:rsidRDefault="006F5D96" w:rsidP="006F5D96">
      <w:pPr>
        <w:spacing w:after="120"/>
        <w:ind w:firstLine="720"/>
        <w:jc w:val="both"/>
        <w:rPr>
          <w:rFonts w:ascii="Arial Narrow" w:hAnsi="Arial Narrow"/>
        </w:rPr>
      </w:pPr>
      <w:r w:rsidRPr="006121BE">
        <w:rPr>
          <w:rFonts w:ascii="Arial Narrow" w:hAnsi="Arial Narrow"/>
        </w:rPr>
        <w:t>В началото на 202</w:t>
      </w:r>
      <w:r>
        <w:rPr>
          <w:rFonts w:ascii="Arial Narrow" w:hAnsi="Arial Narrow"/>
        </w:rPr>
        <w:t>5</w:t>
      </w:r>
      <w:r w:rsidRPr="006121BE">
        <w:rPr>
          <w:rFonts w:ascii="Arial Narrow" w:hAnsi="Arial Narrow"/>
        </w:rPr>
        <w:t xml:space="preserve"> г. Министерството на земеделието и храните направи годишен преглед на регулаторните режими, прилагани в системата през 20</w:t>
      </w:r>
      <w:r w:rsidRPr="006121BE">
        <w:rPr>
          <w:rFonts w:ascii="Arial Narrow" w:hAnsi="Arial Narrow"/>
          <w:lang w:val="ru-RU"/>
        </w:rPr>
        <w:t>2</w:t>
      </w:r>
      <w:r>
        <w:rPr>
          <w:rFonts w:ascii="Arial Narrow" w:hAnsi="Arial Narrow"/>
        </w:rPr>
        <w:t>4</w:t>
      </w:r>
      <w:r w:rsidRPr="006121BE">
        <w:rPr>
          <w:rFonts w:ascii="Arial Narrow" w:hAnsi="Arial Narrow"/>
        </w:rPr>
        <w:t xml:space="preserve"> г. Целта на прегледа е идентифициране на възможностите за намаляване на регулаторната и административна тежест за бизнеса и гражданите, създаване на по-добри условия за развитие на бизнеса чрез подобряване достъпа и повишаване качеството на публичните услуги, както и постигане на по-висока ефективност на публичните разходи. </w:t>
      </w:r>
    </w:p>
    <w:p w14:paraId="5561826F" w14:textId="77777777" w:rsidR="006F5D96" w:rsidRPr="006121BE" w:rsidRDefault="006F5D96" w:rsidP="006F5D96">
      <w:pPr>
        <w:spacing w:after="120"/>
        <w:ind w:firstLine="720"/>
        <w:jc w:val="both"/>
        <w:rPr>
          <w:rFonts w:ascii="Arial Narrow" w:hAnsi="Arial Narrow"/>
        </w:rPr>
      </w:pPr>
      <w:r w:rsidRPr="006121BE">
        <w:rPr>
          <w:rFonts w:ascii="Arial Narrow" w:hAnsi="Arial Narrow"/>
        </w:rPr>
        <w:t>Основният механизъм за постигането на тази цел е премахване на ненужните регулаторни режими и оптимизиране на процедурите за прилагането им, внедряване на електронно предоставяне на административни услуги и увеличаване обема на публично достъпната информация за бизнес-операторите и за гражданите.</w:t>
      </w:r>
    </w:p>
    <w:p w14:paraId="18D5C91F" w14:textId="77777777" w:rsidR="006F5D96" w:rsidRPr="006121BE" w:rsidRDefault="006F5D96" w:rsidP="006F5D96">
      <w:pPr>
        <w:spacing w:after="120"/>
        <w:ind w:firstLine="720"/>
        <w:jc w:val="both"/>
        <w:rPr>
          <w:rFonts w:ascii="Arial Narrow" w:hAnsi="Arial Narrow"/>
        </w:rPr>
      </w:pPr>
      <w:r w:rsidRPr="006121BE">
        <w:rPr>
          <w:rFonts w:ascii="Arial Narrow" w:hAnsi="Arial Narrow"/>
        </w:rPr>
        <w:t>Очакваните резултати от намаляването на регулаторната тежест за бизнеса са: повишаване конкурентоспособността на българското земеделие; осигуряване на възможност за бизнеса да планира въздействието от регулирането; стимулиране развитието на икономическата активност; гарантиране на равни условия за осъществяване на стопанска дейност и създаване на условия за лоялна конкуренция.</w:t>
      </w:r>
    </w:p>
    <w:p w14:paraId="5C917A35" w14:textId="77777777" w:rsidR="006F5D96" w:rsidRPr="006121BE" w:rsidRDefault="006F5D96" w:rsidP="006F5D96">
      <w:pPr>
        <w:spacing w:after="120"/>
        <w:ind w:firstLine="720"/>
        <w:jc w:val="both"/>
        <w:rPr>
          <w:rFonts w:ascii="Arial Narrow" w:hAnsi="Arial Narrow"/>
        </w:rPr>
      </w:pPr>
      <w:r w:rsidRPr="006121BE">
        <w:rPr>
          <w:rFonts w:ascii="Arial Narrow" w:hAnsi="Arial Narrow"/>
        </w:rPr>
        <w:t xml:space="preserve">След извършения преглед на регулаторните режими в системата на МЗХ към </w:t>
      </w:r>
      <w:r>
        <w:rPr>
          <w:rFonts w:ascii="Arial Narrow" w:hAnsi="Arial Narrow"/>
        </w:rPr>
        <w:t>31</w:t>
      </w:r>
      <w:r w:rsidRPr="006121BE">
        <w:rPr>
          <w:rFonts w:ascii="Arial Narrow" w:hAnsi="Arial Narrow"/>
        </w:rPr>
        <w:t xml:space="preserve"> </w:t>
      </w:r>
      <w:r>
        <w:rPr>
          <w:rFonts w:ascii="Arial Narrow" w:hAnsi="Arial Narrow"/>
        </w:rPr>
        <w:t>декември</w:t>
      </w:r>
      <w:r w:rsidRPr="006121BE">
        <w:rPr>
          <w:rFonts w:ascii="Arial Narrow" w:hAnsi="Arial Narrow"/>
        </w:rPr>
        <w:t xml:space="preserve"> 202</w:t>
      </w:r>
      <w:r w:rsidRPr="006121BE">
        <w:rPr>
          <w:rFonts w:ascii="Arial Narrow" w:hAnsi="Arial Narrow"/>
          <w:lang w:val="ru-RU"/>
        </w:rPr>
        <w:t>4</w:t>
      </w:r>
      <w:r w:rsidRPr="006121BE">
        <w:rPr>
          <w:rFonts w:ascii="Arial Narrow" w:hAnsi="Arial Narrow"/>
        </w:rPr>
        <w:t xml:space="preserve"> г. са идентифицирани 1</w:t>
      </w:r>
      <w:r>
        <w:rPr>
          <w:rFonts w:ascii="Arial Narrow" w:hAnsi="Arial Narrow"/>
        </w:rPr>
        <w:t>73</w:t>
      </w:r>
      <w:r w:rsidRPr="006121BE">
        <w:rPr>
          <w:rFonts w:ascii="Arial Narrow" w:hAnsi="Arial Narrow"/>
        </w:rPr>
        <w:t xml:space="preserve"> броя регулаторни режима, свързани с регулиране на стопанската дейност в областта на селското стопанство, рибарството и горите, </w:t>
      </w:r>
      <w:r>
        <w:rPr>
          <w:rFonts w:ascii="Arial Narrow" w:hAnsi="Arial Narrow"/>
        </w:rPr>
        <w:t>в т. ч.</w:t>
      </w:r>
      <w:r w:rsidRPr="006121BE">
        <w:rPr>
          <w:rFonts w:ascii="Arial Narrow" w:hAnsi="Arial Narrow"/>
        </w:rPr>
        <w:t>:</w:t>
      </w:r>
    </w:p>
    <w:p w14:paraId="540A3C30" w14:textId="77777777" w:rsidR="006F5D96" w:rsidRPr="0049247E" w:rsidRDefault="006F5D96" w:rsidP="009C6577">
      <w:pPr>
        <w:pStyle w:val="ListParagraph"/>
        <w:numPr>
          <w:ilvl w:val="0"/>
          <w:numId w:val="39"/>
        </w:numPr>
        <w:tabs>
          <w:tab w:val="left" w:pos="709"/>
        </w:tabs>
        <w:spacing w:after="120"/>
        <w:ind w:left="714" w:hanging="357"/>
        <w:contextualSpacing w:val="0"/>
        <w:jc w:val="both"/>
        <w:rPr>
          <w:rFonts w:ascii="Arial Narrow" w:hAnsi="Arial Narrow"/>
        </w:rPr>
      </w:pPr>
      <w:r>
        <w:rPr>
          <w:rFonts w:ascii="Arial Narrow" w:hAnsi="Arial Narrow"/>
        </w:rPr>
        <w:t>л</w:t>
      </w:r>
      <w:r w:rsidRPr="0049247E">
        <w:rPr>
          <w:rFonts w:ascii="Arial Narrow" w:hAnsi="Arial Narrow"/>
        </w:rPr>
        <w:t xml:space="preserve">ицензионни - </w:t>
      </w:r>
      <w:r>
        <w:rPr>
          <w:rFonts w:ascii="Arial Narrow" w:hAnsi="Arial Narrow"/>
        </w:rPr>
        <w:t>5</w:t>
      </w:r>
      <w:r w:rsidRPr="0049247E">
        <w:rPr>
          <w:rFonts w:ascii="Arial Narrow" w:hAnsi="Arial Narrow"/>
        </w:rPr>
        <w:t xml:space="preserve"> </w:t>
      </w:r>
      <w:r>
        <w:rPr>
          <w:rFonts w:ascii="Arial Narrow" w:hAnsi="Arial Narrow"/>
        </w:rPr>
        <w:t>броя</w:t>
      </w:r>
      <w:r w:rsidRPr="0049247E">
        <w:rPr>
          <w:rFonts w:ascii="Arial Narrow" w:hAnsi="Arial Narrow"/>
        </w:rPr>
        <w:t>;</w:t>
      </w:r>
    </w:p>
    <w:p w14:paraId="27B3DDB9" w14:textId="77777777" w:rsidR="006F5D96" w:rsidRPr="006121BE" w:rsidRDefault="006F5D96" w:rsidP="009C6577">
      <w:pPr>
        <w:pStyle w:val="ListParagraph"/>
        <w:numPr>
          <w:ilvl w:val="0"/>
          <w:numId w:val="39"/>
        </w:numPr>
        <w:tabs>
          <w:tab w:val="left" w:pos="709"/>
        </w:tabs>
        <w:spacing w:after="120"/>
        <w:ind w:left="714" w:hanging="357"/>
        <w:contextualSpacing w:val="0"/>
        <w:jc w:val="both"/>
        <w:rPr>
          <w:rFonts w:ascii="Arial Narrow" w:hAnsi="Arial Narrow"/>
        </w:rPr>
      </w:pPr>
      <w:r>
        <w:rPr>
          <w:rFonts w:ascii="Arial Narrow" w:hAnsi="Arial Narrow"/>
        </w:rPr>
        <w:t>р</w:t>
      </w:r>
      <w:r w:rsidRPr="006121BE">
        <w:rPr>
          <w:rFonts w:ascii="Arial Narrow" w:hAnsi="Arial Narrow"/>
        </w:rPr>
        <w:t xml:space="preserve">егистрационни - </w:t>
      </w:r>
      <w:r>
        <w:rPr>
          <w:rFonts w:ascii="Arial Narrow" w:hAnsi="Arial Narrow"/>
        </w:rPr>
        <w:t>71</w:t>
      </w:r>
      <w:r w:rsidRPr="006121BE">
        <w:rPr>
          <w:rFonts w:ascii="Arial Narrow" w:hAnsi="Arial Narrow"/>
        </w:rPr>
        <w:t xml:space="preserve"> </w:t>
      </w:r>
      <w:r>
        <w:rPr>
          <w:rFonts w:ascii="Arial Narrow" w:hAnsi="Arial Narrow"/>
        </w:rPr>
        <w:t>броя</w:t>
      </w:r>
      <w:r w:rsidRPr="006121BE">
        <w:rPr>
          <w:rFonts w:ascii="Arial Narrow" w:hAnsi="Arial Narrow"/>
        </w:rPr>
        <w:t>;</w:t>
      </w:r>
    </w:p>
    <w:p w14:paraId="3A4DC558" w14:textId="77777777" w:rsidR="006F5D96" w:rsidRPr="006121BE" w:rsidRDefault="006F5D96" w:rsidP="009C6577">
      <w:pPr>
        <w:pStyle w:val="ListParagraph"/>
        <w:numPr>
          <w:ilvl w:val="0"/>
          <w:numId w:val="39"/>
        </w:numPr>
        <w:tabs>
          <w:tab w:val="left" w:pos="709"/>
        </w:tabs>
        <w:spacing w:after="120"/>
        <w:ind w:left="714" w:hanging="357"/>
        <w:contextualSpacing w:val="0"/>
        <w:jc w:val="both"/>
        <w:rPr>
          <w:rFonts w:ascii="Arial Narrow" w:hAnsi="Arial Narrow"/>
        </w:rPr>
      </w:pPr>
      <w:r>
        <w:rPr>
          <w:rFonts w:ascii="Arial Narrow" w:hAnsi="Arial Narrow"/>
        </w:rPr>
        <w:t>р</w:t>
      </w:r>
      <w:r w:rsidRPr="006121BE">
        <w:rPr>
          <w:rFonts w:ascii="Arial Narrow" w:hAnsi="Arial Narrow"/>
        </w:rPr>
        <w:t>азрешителни - 8</w:t>
      </w:r>
      <w:r>
        <w:rPr>
          <w:rFonts w:ascii="Arial Narrow" w:hAnsi="Arial Narrow"/>
        </w:rPr>
        <w:t>7</w:t>
      </w:r>
      <w:r w:rsidRPr="006121BE">
        <w:rPr>
          <w:rFonts w:ascii="Arial Narrow" w:hAnsi="Arial Narrow"/>
        </w:rPr>
        <w:t xml:space="preserve"> </w:t>
      </w:r>
      <w:r>
        <w:rPr>
          <w:rFonts w:ascii="Arial Narrow" w:hAnsi="Arial Narrow"/>
        </w:rPr>
        <w:t>броя</w:t>
      </w:r>
      <w:r w:rsidRPr="006121BE">
        <w:rPr>
          <w:rFonts w:ascii="Arial Narrow" w:hAnsi="Arial Narrow"/>
        </w:rPr>
        <w:t>;</w:t>
      </w:r>
    </w:p>
    <w:p w14:paraId="54989137" w14:textId="77777777" w:rsidR="006F5D96" w:rsidRPr="006121BE" w:rsidRDefault="006F5D96" w:rsidP="009C6577">
      <w:pPr>
        <w:pStyle w:val="ListParagraph"/>
        <w:numPr>
          <w:ilvl w:val="0"/>
          <w:numId w:val="39"/>
        </w:numPr>
        <w:tabs>
          <w:tab w:val="left" w:pos="709"/>
        </w:tabs>
        <w:spacing w:after="120"/>
        <w:ind w:left="714" w:hanging="357"/>
        <w:contextualSpacing w:val="0"/>
        <w:jc w:val="both"/>
        <w:rPr>
          <w:rFonts w:ascii="Arial Narrow" w:hAnsi="Arial Narrow"/>
        </w:rPr>
      </w:pPr>
      <w:r>
        <w:rPr>
          <w:rFonts w:ascii="Arial Narrow" w:hAnsi="Arial Narrow"/>
        </w:rPr>
        <w:t>у</w:t>
      </w:r>
      <w:r w:rsidRPr="006121BE">
        <w:rPr>
          <w:rFonts w:ascii="Arial Narrow" w:hAnsi="Arial Narrow"/>
        </w:rPr>
        <w:t xml:space="preserve">достоверителни - 3 </w:t>
      </w:r>
      <w:r>
        <w:rPr>
          <w:rFonts w:ascii="Arial Narrow" w:hAnsi="Arial Narrow"/>
        </w:rPr>
        <w:t>броя</w:t>
      </w:r>
      <w:r w:rsidRPr="006121BE">
        <w:rPr>
          <w:rFonts w:ascii="Arial Narrow" w:hAnsi="Arial Narrow"/>
        </w:rPr>
        <w:t>;</w:t>
      </w:r>
    </w:p>
    <w:p w14:paraId="7C07D96C" w14:textId="77777777" w:rsidR="006F5D96" w:rsidRPr="006121BE" w:rsidRDefault="006F5D96" w:rsidP="009C6577">
      <w:pPr>
        <w:pStyle w:val="ListParagraph"/>
        <w:numPr>
          <w:ilvl w:val="0"/>
          <w:numId w:val="39"/>
        </w:numPr>
        <w:tabs>
          <w:tab w:val="left" w:pos="709"/>
        </w:tabs>
        <w:spacing w:after="120"/>
        <w:ind w:left="714" w:hanging="357"/>
        <w:contextualSpacing w:val="0"/>
        <w:jc w:val="both"/>
        <w:rPr>
          <w:rFonts w:ascii="Arial Narrow" w:hAnsi="Arial Narrow"/>
        </w:rPr>
      </w:pPr>
      <w:r>
        <w:rPr>
          <w:rFonts w:ascii="Arial Narrow" w:hAnsi="Arial Narrow"/>
        </w:rPr>
        <w:t>у</w:t>
      </w:r>
      <w:r w:rsidRPr="006121BE">
        <w:rPr>
          <w:rFonts w:ascii="Arial Narrow" w:hAnsi="Arial Narrow"/>
        </w:rPr>
        <w:t xml:space="preserve">ведомителни - 3 </w:t>
      </w:r>
      <w:r>
        <w:rPr>
          <w:rFonts w:ascii="Arial Narrow" w:hAnsi="Arial Narrow"/>
        </w:rPr>
        <w:t>броя</w:t>
      </w:r>
      <w:r w:rsidRPr="006121BE">
        <w:rPr>
          <w:rFonts w:ascii="Arial Narrow" w:hAnsi="Arial Narrow"/>
        </w:rPr>
        <w:t>;</w:t>
      </w:r>
    </w:p>
    <w:p w14:paraId="542CFA65" w14:textId="77777777" w:rsidR="006F5D96" w:rsidRPr="006121BE" w:rsidRDefault="006F5D96" w:rsidP="009C6577">
      <w:pPr>
        <w:pStyle w:val="ListParagraph"/>
        <w:numPr>
          <w:ilvl w:val="0"/>
          <w:numId w:val="39"/>
        </w:numPr>
        <w:tabs>
          <w:tab w:val="left" w:pos="709"/>
        </w:tabs>
        <w:spacing w:after="120"/>
        <w:ind w:left="714" w:hanging="357"/>
        <w:contextualSpacing w:val="0"/>
        <w:jc w:val="both"/>
        <w:rPr>
          <w:rFonts w:ascii="Arial Narrow" w:hAnsi="Arial Narrow"/>
        </w:rPr>
      </w:pPr>
      <w:r>
        <w:rPr>
          <w:rFonts w:ascii="Arial Narrow" w:hAnsi="Arial Narrow"/>
        </w:rPr>
        <w:lastRenderedPageBreak/>
        <w:t>с</w:t>
      </w:r>
      <w:r w:rsidRPr="006121BE">
        <w:rPr>
          <w:rFonts w:ascii="Arial Narrow" w:hAnsi="Arial Narrow"/>
        </w:rPr>
        <w:t xml:space="preserve">ъгласувателни - 4 </w:t>
      </w:r>
      <w:r>
        <w:rPr>
          <w:rFonts w:ascii="Arial Narrow" w:hAnsi="Arial Narrow"/>
        </w:rPr>
        <w:t>броя.</w:t>
      </w:r>
    </w:p>
    <w:p w14:paraId="5C8EDFC3" w14:textId="77777777" w:rsidR="006F5D96" w:rsidRPr="00B77590" w:rsidRDefault="006F5D96" w:rsidP="00B77590">
      <w:pPr>
        <w:spacing w:after="120"/>
        <w:ind w:firstLine="720"/>
        <w:jc w:val="both"/>
        <w:rPr>
          <w:rFonts w:ascii="Arial Narrow" w:hAnsi="Arial Narrow"/>
        </w:rPr>
      </w:pPr>
      <w:r w:rsidRPr="006121BE">
        <w:rPr>
          <w:rFonts w:ascii="Arial Narrow" w:hAnsi="Arial Narrow"/>
        </w:rPr>
        <w:t>От общия брой регулаторни режими, 4</w:t>
      </w:r>
      <w:r>
        <w:rPr>
          <w:rFonts w:ascii="Arial Narrow" w:hAnsi="Arial Narrow"/>
        </w:rPr>
        <w:t>3</w:t>
      </w:r>
      <w:r w:rsidR="00B77590">
        <w:rPr>
          <w:rFonts w:ascii="Arial Narrow" w:hAnsi="Arial Narrow"/>
        </w:rPr>
        <w:t xml:space="preserve"> се администрират от МЗХ -</w:t>
      </w:r>
      <w:r w:rsidRPr="006121BE">
        <w:rPr>
          <w:rFonts w:ascii="Arial Narrow" w:hAnsi="Arial Narrow"/>
        </w:rPr>
        <w:t xml:space="preserve"> Централно управление, а останалите 1</w:t>
      </w:r>
      <w:r>
        <w:rPr>
          <w:rFonts w:ascii="Arial Narrow" w:hAnsi="Arial Narrow"/>
        </w:rPr>
        <w:t>30</w:t>
      </w:r>
      <w:r w:rsidR="00B77590">
        <w:rPr>
          <w:rFonts w:ascii="Arial Narrow" w:hAnsi="Arial Narrow"/>
        </w:rPr>
        <w:t xml:space="preserve"> -</w:t>
      </w:r>
      <w:r w:rsidRPr="006121BE">
        <w:rPr>
          <w:rFonts w:ascii="Arial Narrow" w:hAnsi="Arial Narrow"/>
        </w:rPr>
        <w:t xml:space="preserve"> от различни структури от системата на министерството.</w:t>
      </w:r>
    </w:p>
    <w:p w14:paraId="702B2B55" w14:textId="77777777" w:rsidR="00B77590" w:rsidRPr="00B77590" w:rsidRDefault="0049354C" w:rsidP="00810C2B">
      <w:pPr>
        <w:pStyle w:val="ListParagraph"/>
        <w:keepNext/>
        <w:keepLines/>
        <w:numPr>
          <w:ilvl w:val="1"/>
          <w:numId w:val="16"/>
        </w:numPr>
        <w:spacing w:after="120"/>
        <w:ind w:left="981" w:hanging="624"/>
        <w:contextualSpacing w:val="0"/>
        <w:jc w:val="both"/>
        <w:outlineLvl w:val="0"/>
        <w:rPr>
          <w:rFonts w:ascii="Arial Narrow" w:eastAsia="Calibri" w:hAnsi="Arial Narrow"/>
          <w:b/>
          <w:lang w:val="bg-BG"/>
        </w:rPr>
      </w:pPr>
      <w:bookmarkStart w:id="218" w:name="_Toc210747660"/>
      <w:r w:rsidRPr="00B77590">
        <w:rPr>
          <w:rFonts w:ascii="Arial Narrow" w:eastAsia="Calibri" w:hAnsi="Arial Narrow"/>
          <w:b/>
          <w:lang w:val="bg-BG"/>
        </w:rPr>
        <w:t>Предприети през 202</w:t>
      </w:r>
      <w:r w:rsidR="00B77590" w:rsidRPr="00B77590">
        <w:rPr>
          <w:rFonts w:ascii="Arial Narrow" w:eastAsia="Calibri" w:hAnsi="Arial Narrow"/>
          <w:b/>
          <w:lang w:val="bg-BG"/>
        </w:rPr>
        <w:t>4</w:t>
      </w:r>
      <w:r w:rsidRPr="00B77590">
        <w:rPr>
          <w:rFonts w:ascii="Arial Narrow" w:eastAsia="Calibri" w:hAnsi="Arial Narrow"/>
          <w:b/>
          <w:lang w:val="bg-BG"/>
        </w:rPr>
        <w:t xml:space="preserve"> г. мерки за намаляване на регулаторната и административната тежест за бизнеса</w:t>
      </w:r>
      <w:bookmarkEnd w:id="218"/>
    </w:p>
    <w:p w14:paraId="432A4082" w14:textId="77777777" w:rsidR="00B77590" w:rsidRPr="009437A4" w:rsidRDefault="00B77590" w:rsidP="00B77590">
      <w:pPr>
        <w:spacing w:after="120"/>
        <w:ind w:firstLine="709"/>
        <w:jc w:val="both"/>
        <w:rPr>
          <w:rFonts w:ascii="Arial Narrow" w:hAnsi="Arial Narrow"/>
        </w:rPr>
      </w:pPr>
      <w:r w:rsidRPr="009437A4">
        <w:rPr>
          <w:rFonts w:ascii="Arial Narrow" w:hAnsi="Arial Narrow"/>
        </w:rPr>
        <w:t>През 202</w:t>
      </w:r>
      <w:r w:rsidRPr="009437A4">
        <w:rPr>
          <w:rFonts w:ascii="Arial Narrow" w:hAnsi="Arial Narrow"/>
          <w:lang w:val="ru-RU"/>
        </w:rPr>
        <w:t>4</w:t>
      </w:r>
      <w:r w:rsidRPr="009437A4">
        <w:rPr>
          <w:rFonts w:ascii="Arial Narrow" w:hAnsi="Arial Narrow"/>
        </w:rPr>
        <w:t xml:space="preserve"> г. в системата на МЗХ са предприети редица действия, насочени към облекчаване на действащи регулаторни режими, с цел създаване на оптимална бизнес среда. Приети са изменения и допълнения на нормативни актове, регулиращи стопанските отношения в секторите земеделие, рибарство и горско стопанство, с които е </w:t>
      </w:r>
      <w:r>
        <w:rPr>
          <w:rFonts w:ascii="Arial Narrow" w:hAnsi="Arial Narrow"/>
        </w:rPr>
        <w:t>отменен</w:t>
      </w:r>
      <w:r w:rsidRPr="009437A4">
        <w:rPr>
          <w:rFonts w:ascii="Arial Narrow" w:hAnsi="Arial Narrow"/>
        </w:rPr>
        <w:t xml:space="preserve"> 1 и са облекчени 6 регулаторни режима</w:t>
      </w:r>
      <w:r>
        <w:rPr>
          <w:rFonts w:ascii="Arial Narrow" w:hAnsi="Arial Narrow"/>
        </w:rPr>
        <w:t>,</w:t>
      </w:r>
      <w:r w:rsidRPr="009437A4">
        <w:rPr>
          <w:rFonts w:ascii="Arial Narrow" w:hAnsi="Arial Narrow"/>
        </w:rPr>
        <w:t xml:space="preserve"> </w:t>
      </w:r>
      <w:r>
        <w:rPr>
          <w:rFonts w:ascii="Arial Narrow" w:hAnsi="Arial Narrow"/>
        </w:rPr>
        <w:t>а именно</w:t>
      </w:r>
      <w:r w:rsidRPr="009437A4">
        <w:rPr>
          <w:rFonts w:ascii="Arial Narrow" w:hAnsi="Arial Narrow"/>
        </w:rPr>
        <w:t>:</w:t>
      </w:r>
    </w:p>
    <w:p w14:paraId="46F992F8" w14:textId="77777777" w:rsidR="00B77590" w:rsidRPr="003754E4" w:rsidRDefault="00B77590" w:rsidP="009C6577">
      <w:pPr>
        <w:pStyle w:val="ListParagraph"/>
        <w:numPr>
          <w:ilvl w:val="0"/>
          <w:numId w:val="39"/>
        </w:numPr>
        <w:spacing w:after="120"/>
        <w:contextualSpacing w:val="0"/>
        <w:jc w:val="both"/>
        <w:rPr>
          <w:rFonts w:ascii="Arial Narrow" w:hAnsi="Arial Narrow"/>
          <w:color w:val="000000"/>
          <w:lang w:eastAsia="bg-BG"/>
        </w:rPr>
      </w:pPr>
      <w:r w:rsidRPr="003754E4">
        <w:rPr>
          <w:rFonts w:ascii="Arial Narrow" w:hAnsi="Arial Narrow"/>
          <w:color w:val="000000"/>
          <w:lang w:eastAsia="bg-BG"/>
        </w:rPr>
        <w:t>С изменение на Регламент (ЕС) № 1308/2013 на Европейския парламент и на Съвета отпада лицензионният режим „Издаване на удостоверения за възстановяване при износ за определени селскостопански продукти, изнасяни под формата на стоки, които не са включени в приложение I към Договора“;</w:t>
      </w:r>
      <w:r w:rsidRPr="003754E4">
        <w:rPr>
          <w:rFonts w:ascii="Arial Narrow" w:hAnsi="Arial Narrow"/>
        </w:rPr>
        <w:t xml:space="preserve"> </w:t>
      </w:r>
      <w:r w:rsidRPr="003754E4">
        <w:rPr>
          <w:rFonts w:ascii="Arial Narrow" w:hAnsi="Arial Narrow"/>
          <w:color w:val="000000"/>
          <w:lang w:eastAsia="bg-BG"/>
        </w:rPr>
        <w:t xml:space="preserve">Изготвен е проект на ЗИД на Закона за прилагане на Общата организация на пазарите на земеделски продукти на Европейския съюз, с който промените ще бъдат транспонирани в националното законодателство. </w:t>
      </w:r>
    </w:p>
    <w:p w14:paraId="6F880277" w14:textId="77777777" w:rsidR="00B77590" w:rsidRPr="006121BE" w:rsidRDefault="00B77590" w:rsidP="009C6577">
      <w:pPr>
        <w:pStyle w:val="ListParagraph"/>
        <w:numPr>
          <w:ilvl w:val="0"/>
          <w:numId w:val="39"/>
        </w:numPr>
        <w:tabs>
          <w:tab w:val="left" w:pos="709"/>
        </w:tabs>
        <w:spacing w:after="120"/>
        <w:ind w:left="714" w:hanging="357"/>
        <w:contextualSpacing w:val="0"/>
        <w:jc w:val="both"/>
        <w:rPr>
          <w:rFonts w:ascii="Arial Narrow" w:hAnsi="Arial Narrow"/>
          <w:b/>
          <w:color w:val="000000"/>
          <w:lang w:eastAsia="bg-BG"/>
        </w:rPr>
      </w:pPr>
      <w:r w:rsidRPr="007C741A">
        <w:rPr>
          <w:rFonts w:ascii="Arial Narrow" w:hAnsi="Arial Narrow"/>
        </w:rPr>
        <w:t>С изменение в Закона за опазване на</w:t>
      </w:r>
      <w:r w:rsidRPr="009B1293">
        <w:rPr>
          <w:rFonts w:ascii="Arial Narrow" w:hAnsi="Arial Narrow"/>
        </w:rPr>
        <w:t xml:space="preserve"> земеделските земи се облекчават разрешителните режими „Издаване на решение за площадки и трасета на обекти за проектиране“ и „Издаване на решение за промяна на предназначението на земеделските земи за неземеделски нужди“, като се намалява обхватът на обектите, за които се изисква издаване на решение. </w:t>
      </w:r>
      <w:r>
        <w:rPr>
          <w:rFonts w:ascii="Arial Narrow" w:hAnsi="Arial Narrow"/>
          <w:color w:val="000000"/>
          <w:lang w:eastAsia="bg-BG"/>
        </w:rPr>
        <w:t>Промените</w:t>
      </w:r>
      <w:r w:rsidRPr="006121BE">
        <w:rPr>
          <w:rFonts w:ascii="Arial Narrow" w:hAnsi="Arial Narrow"/>
          <w:color w:val="000000"/>
          <w:lang w:eastAsia="bg-BG"/>
        </w:rPr>
        <w:t xml:space="preserve"> няма да се прилагат до произнасянето на Конституционния съд</w:t>
      </w:r>
      <w:r>
        <w:rPr>
          <w:rFonts w:ascii="Arial Narrow" w:hAnsi="Arial Narrow"/>
          <w:color w:val="000000"/>
          <w:lang w:eastAsia="bg-BG"/>
        </w:rPr>
        <w:t xml:space="preserve"> по </w:t>
      </w:r>
      <w:r w:rsidRPr="006121BE">
        <w:rPr>
          <w:rFonts w:ascii="Arial Narrow" w:hAnsi="Arial Narrow"/>
          <w:color w:val="000000"/>
          <w:lang w:eastAsia="bg-BG"/>
        </w:rPr>
        <w:t>образувано</w:t>
      </w:r>
      <w:r>
        <w:rPr>
          <w:rFonts w:ascii="Arial Narrow" w:hAnsi="Arial Narrow"/>
          <w:color w:val="000000"/>
          <w:lang w:eastAsia="bg-BG"/>
        </w:rPr>
        <w:t>то</w:t>
      </w:r>
      <w:r w:rsidRPr="006121BE">
        <w:rPr>
          <w:rFonts w:ascii="Arial Narrow" w:hAnsi="Arial Narrow"/>
          <w:color w:val="000000"/>
          <w:lang w:eastAsia="bg-BG"/>
        </w:rPr>
        <w:t xml:space="preserve"> </w:t>
      </w:r>
      <w:r>
        <w:rPr>
          <w:rFonts w:ascii="Arial Narrow" w:hAnsi="Arial Narrow"/>
          <w:color w:val="000000"/>
          <w:lang w:eastAsia="bg-BG"/>
        </w:rPr>
        <w:t xml:space="preserve">по искане на президента на Република България </w:t>
      </w:r>
      <w:r w:rsidRPr="006121BE">
        <w:rPr>
          <w:rFonts w:ascii="Arial Narrow" w:hAnsi="Arial Narrow"/>
          <w:color w:val="000000"/>
          <w:lang w:eastAsia="bg-BG"/>
        </w:rPr>
        <w:t xml:space="preserve">Конституционно дело № 18/2023 г. за установяване на противоконституционност на разпоредбите, с които се изменя Законът за опазване на земеделските земи.  </w:t>
      </w:r>
    </w:p>
    <w:p w14:paraId="4FD38F48" w14:textId="77777777" w:rsidR="00B77590" w:rsidRPr="00B77590" w:rsidRDefault="00B77590" w:rsidP="009C6577">
      <w:pPr>
        <w:pStyle w:val="ListParagraph"/>
        <w:numPr>
          <w:ilvl w:val="0"/>
          <w:numId w:val="39"/>
        </w:numPr>
        <w:tabs>
          <w:tab w:val="left" w:pos="709"/>
        </w:tabs>
        <w:spacing w:after="120"/>
        <w:ind w:left="714" w:hanging="357"/>
        <w:contextualSpacing w:val="0"/>
        <w:jc w:val="both"/>
        <w:rPr>
          <w:rFonts w:ascii="Arial Narrow" w:eastAsiaTheme="minorHAnsi" w:hAnsi="Arial Narrow"/>
        </w:rPr>
      </w:pPr>
      <w:r w:rsidRPr="003754E4">
        <w:rPr>
          <w:rFonts w:ascii="Arial Narrow" w:eastAsiaTheme="minorHAnsi" w:hAnsi="Arial Narrow"/>
        </w:rPr>
        <w:t xml:space="preserve">С приемането на ЗИД на Закона за ветеринарномедицинската дейност (обн. в ДВ, бр. 23 от 19.03.2024 г.) се облекчават 4 регулаторни режима, които преминават от лицензионни </w:t>
      </w:r>
      <w:r w:rsidRPr="009B1293">
        <w:rPr>
          <w:rFonts w:ascii="Arial Narrow" w:hAnsi="Arial Narrow"/>
        </w:rPr>
        <w:t xml:space="preserve">в </w:t>
      </w:r>
      <w:r w:rsidRPr="003754E4">
        <w:rPr>
          <w:rFonts w:ascii="Arial Narrow" w:eastAsiaTheme="minorHAnsi" w:hAnsi="Arial Narrow"/>
        </w:rPr>
        <w:t>регистрационни</w:t>
      </w:r>
      <w:r w:rsidRPr="009B1293">
        <w:rPr>
          <w:rFonts w:ascii="Arial Narrow" w:hAnsi="Arial Narrow"/>
        </w:rPr>
        <w:t xml:space="preserve"> или</w:t>
      </w:r>
      <w:r w:rsidRPr="003754E4">
        <w:rPr>
          <w:rFonts w:ascii="Arial Narrow" w:eastAsiaTheme="minorHAnsi" w:hAnsi="Arial Narrow"/>
        </w:rPr>
        <w:t xml:space="preserve"> разрешителни. </w:t>
      </w:r>
      <w:r w:rsidRPr="009B1293">
        <w:rPr>
          <w:rFonts w:ascii="Arial Narrow" w:hAnsi="Arial Narrow"/>
          <w:color w:val="000000"/>
          <w:lang w:eastAsia="bg-BG"/>
        </w:rPr>
        <w:t>Лицензионният режим „Издаване на лиценз за производство на ветеринарно-медицински продукти (ВМП) и/или активни субстанции“ се разделя на „Издаване на разрешение за производство на ветеринарно - лекарствен продукт (ВЛП)“ и „Регистрация на производители, вносители и разпространители на активни вещества, използвани като изходни материали във ВЛП“. Лицензионният режим „Издаване на лиценз за търговия на едро с ВМП“ става „Издаване на разрешение за търговия на едро с ВЛП“.</w:t>
      </w:r>
      <w:r w:rsidRPr="009B1293">
        <w:rPr>
          <w:rFonts w:ascii="Arial Narrow" w:hAnsi="Arial Narrow"/>
        </w:rPr>
        <w:t xml:space="preserve"> </w:t>
      </w:r>
      <w:r w:rsidRPr="003754E4">
        <w:rPr>
          <w:rFonts w:ascii="Arial Narrow" w:hAnsi="Arial Narrow"/>
          <w:color w:val="000000"/>
          <w:lang w:eastAsia="bg-BG"/>
        </w:rPr>
        <w:t>Лицензионният режим „Издаване на лиценз за търговия на дребно с ВМП“ става „Издаване на разрешение за търговия на дребно с ВЛП“</w:t>
      </w:r>
      <w:r w:rsidRPr="009B1293">
        <w:rPr>
          <w:rFonts w:ascii="Arial Narrow" w:hAnsi="Arial Narrow"/>
          <w:color w:val="000000"/>
          <w:lang w:eastAsia="bg-BG"/>
        </w:rPr>
        <w:t xml:space="preserve">. Лицензионният режим „Издаване на лиценз за употреба на ВМП“ се разделя на „Издаване на разрешение за търговия с ВЛП“ и „Издаване на сертификат за регистрация на хомеопатичен ветеринарен - лекарствен продукт“. </w:t>
      </w:r>
      <w:r>
        <w:rPr>
          <w:rFonts w:ascii="Arial Narrow" w:hAnsi="Arial Narrow"/>
          <w:color w:val="000000"/>
          <w:lang w:eastAsia="bg-BG"/>
        </w:rPr>
        <w:t xml:space="preserve">Разделянето на действащи до момента </w:t>
      </w:r>
      <w:r w:rsidRPr="003754E4">
        <w:rPr>
          <w:rFonts w:ascii="Arial Narrow" w:hAnsi="Arial Narrow"/>
          <w:color w:val="000000"/>
          <w:lang w:eastAsia="bg-BG"/>
        </w:rPr>
        <w:t>лицензионни режими не води до увеличаване на административната тежест, тъй като не се създават нови регулаторни режими. При някои от посочените регулаторни режими отпадат част от изискуемите документи.</w:t>
      </w:r>
    </w:p>
    <w:p w14:paraId="022CA755" w14:textId="77777777" w:rsidR="00CC65C0" w:rsidRPr="00CC65C0" w:rsidRDefault="00F61948" w:rsidP="00CC65C0">
      <w:pPr>
        <w:pStyle w:val="ListParagraph"/>
        <w:numPr>
          <w:ilvl w:val="0"/>
          <w:numId w:val="16"/>
        </w:numPr>
        <w:spacing w:after="120"/>
        <w:ind w:firstLine="0"/>
        <w:contextualSpacing w:val="0"/>
        <w:outlineLvl w:val="0"/>
        <w:rPr>
          <w:rFonts w:ascii="Arial Narrow" w:eastAsiaTheme="minorHAnsi" w:hAnsi="Arial Narrow"/>
          <w:b/>
          <w:lang w:val="bg-BG"/>
        </w:rPr>
      </w:pPr>
      <w:bookmarkStart w:id="219" w:name="_Toc210747661"/>
      <w:r w:rsidRPr="00CC65C0">
        <w:rPr>
          <w:rFonts w:ascii="Arial Narrow" w:eastAsiaTheme="minorHAnsi" w:hAnsi="Arial Narrow"/>
          <w:b/>
          <w:lang w:val="bg-BG"/>
        </w:rPr>
        <w:t>Управление на рисковете и кризите в земеделието</w:t>
      </w:r>
      <w:bookmarkEnd w:id="219"/>
    </w:p>
    <w:p w14:paraId="061C2A1F" w14:textId="77777777" w:rsidR="00CC65C0" w:rsidRPr="00CC65C0" w:rsidRDefault="00CC65C0" w:rsidP="00CC65C0">
      <w:pPr>
        <w:spacing w:after="120"/>
        <w:ind w:firstLine="720"/>
        <w:jc w:val="both"/>
        <w:rPr>
          <w:rFonts w:ascii="Arial Narrow" w:eastAsia="Calibri" w:hAnsi="Arial Narrow"/>
          <w:lang w:val="bg-BG"/>
        </w:rPr>
      </w:pPr>
      <w:r w:rsidRPr="00CC65C0">
        <w:rPr>
          <w:rFonts w:ascii="Arial Narrow" w:eastAsia="Calibri" w:hAnsi="Arial Narrow"/>
          <w:lang w:val="bg-BG"/>
        </w:rPr>
        <w:t>В изпълнение на заложените в Програма за управление на рисковете и кризите в отрасъл „Земеделие“ мерки за ограничаване на негативното влияние на идентифицираните рискове върху секторите в земеделието, горите и рибарството през 2024 г. са предприети действия по следните основни направления:</w:t>
      </w:r>
    </w:p>
    <w:p w14:paraId="01888A42" w14:textId="77777777" w:rsidR="00CC65C0" w:rsidRPr="00CC65C0" w:rsidRDefault="00CC65C0" w:rsidP="009C6577">
      <w:pPr>
        <w:numPr>
          <w:ilvl w:val="0"/>
          <w:numId w:val="59"/>
        </w:numPr>
        <w:spacing w:after="120" w:line="259" w:lineRule="auto"/>
        <w:jc w:val="both"/>
        <w:rPr>
          <w:rFonts w:ascii="Arial Narrow" w:eastAsia="Calibri" w:hAnsi="Arial Narrow"/>
          <w:lang w:val="bg-BG"/>
        </w:rPr>
      </w:pPr>
      <w:r w:rsidRPr="00CC65C0">
        <w:rPr>
          <w:rFonts w:ascii="Arial Narrow" w:eastAsia="Calibri" w:hAnsi="Arial Narrow"/>
          <w:lang w:val="bg-BG"/>
        </w:rPr>
        <w:t xml:space="preserve">Ограничаване влиянието на последиците от нестабилността на земеделски продукти на националния пазар, пазара на Европейския съюз и международните пазари; </w:t>
      </w:r>
    </w:p>
    <w:p w14:paraId="6E2CC9C6" w14:textId="77777777" w:rsidR="00CC65C0" w:rsidRPr="00CC65C0" w:rsidRDefault="00CC65C0" w:rsidP="009C6577">
      <w:pPr>
        <w:numPr>
          <w:ilvl w:val="0"/>
          <w:numId w:val="59"/>
        </w:numPr>
        <w:spacing w:after="120" w:line="259" w:lineRule="auto"/>
        <w:jc w:val="both"/>
        <w:rPr>
          <w:rFonts w:ascii="Arial Narrow" w:eastAsia="Calibri" w:hAnsi="Arial Narrow"/>
          <w:lang w:val="bg-BG"/>
        </w:rPr>
      </w:pPr>
      <w:r w:rsidRPr="00CC65C0">
        <w:rPr>
          <w:rFonts w:ascii="Arial Narrow" w:eastAsia="Calibri" w:hAnsi="Arial Narrow"/>
          <w:lang w:val="bg-BG"/>
        </w:rPr>
        <w:t>Стабилизиране и повишаване на доходите на земеделските стопани и създаване на условия за развитие на ефективно земеделско производство;</w:t>
      </w:r>
    </w:p>
    <w:p w14:paraId="4745B0A3" w14:textId="77777777" w:rsidR="00CC65C0" w:rsidRPr="00CC65C0" w:rsidRDefault="00CC65C0" w:rsidP="009C6577">
      <w:pPr>
        <w:numPr>
          <w:ilvl w:val="0"/>
          <w:numId w:val="59"/>
        </w:numPr>
        <w:spacing w:after="120" w:line="259" w:lineRule="auto"/>
        <w:jc w:val="both"/>
        <w:rPr>
          <w:rFonts w:ascii="Arial Narrow" w:eastAsia="Calibri" w:hAnsi="Arial Narrow"/>
          <w:lang w:val="bg-BG"/>
        </w:rPr>
      </w:pPr>
      <w:r w:rsidRPr="00CC65C0">
        <w:rPr>
          <w:rFonts w:ascii="Arial Narrow" w:eastAsia="Calibri" w:hAnsi="Arial Narrow"/>
          <w:lang w:val="bg-BG"/>
        </w:rPr>
        <w:t xml:space="preserve">Ограничаване на потенциалните опасности и управление на факторите за възникване на огнища със заразни заболявания при животни и растения; </w:t>
      </w:r>
    </w:p>
    <w:p w14:paraId="57963781" w14:textId="77777777" w:rsidR="00CC65C0" w:rsidRPr="00CC65C0" w:rsidRDefault="00CC65C0" w:rsidP="009C6577">
      <w:pPr>
        <w:numPr>
          <w:ilvl w:val="0"/>
          <w:numId w:val="59"/>
        </w:numPr>
        <w:spacing w:after="120" w:line="259" w:lineRule="auto"/>
        <w:jc w:val="both"/>
        <w:rPr>
          <w:rFonts w:ascii="Arial Narrow" w:eastAsia="Calibri" w:hAnsi="Arial Narrow"/>
          <w:lang w:val="bg-BG"/>
        </w:rPr>
      </w:pPr>
      <w:r w:rsidRPr="00CC65C0">
        <w:rPr>
          <w:rFonts w:ascii="Arial Narrow" w:eastAsia="Calibri" w:hAnsi="Arial Narrow"/>
          <w:lang w:val="bg-BG"/>
        </w:rPr>
        <w:t>Ограничаване на потенциалните рискове за възникване на наводнения и горски пожари;</w:t>
      </w:r>
    </w:p>
    <w:p w14:paraId="38DC24FC" w14:textId="77777777" w:rsidR="00CC65C0" w:rsidRPr="00CC65C0" w:rsidRDefault="00CC65C0" w:rsidP="009C6577">
      <w:pPr>
        <w:numPr>
          <w:ilvl w:val="0"/>
          <w:numId w:val="59"/>
        </w:numPr>
        <w:spacing w:after="120" w:line="259" w:lineRule="auto"/>
        <w:jc w:val="both"/>
        <w:rPr>
          <w:rFonts w:ascii="Arial Narrow" w:eastAsia="Calibri" w:hAnsi="Arial Narrow"/>
          <w:lang w:val="bg-BG"/>
        </w:rPr>
      </w:pPr>
      <w:r w:rsidRPr="00CC65C0">
        <w:rPr>
          <w:rFonts w:ascii="Arial Narrow" w:eastAsia="Calibri" w:hAnsi="Arial Narrow"/>
          <w:lang w:val="bg-BG"/>
        </w:rPr>
        <w:lastRenderedPageBreak/>
        <w:t xml:space="preserve">Преодоляване на вредното влияние и материалните щети от възникналите санитарни кризи в животновъдството и растениевъдството; </w:t>
      </w:r>
    </w:p>
    <w:p w14:paraId="70839835" w14:textId="77777777" w:rsidR="00CC65C0" w:rsidRPr="00CC65C0" w:rsidRDefault="00CC65C0" w:rsidP="009C6577">
      <w:pPr>
        <w:numPr>
          <w:ilvl w:val="0"/>
          <w:numId w:val="59"/>
        </w:numPr>
        <w:spacing w:after="120" w:line="259" w:lineRule="auto"/>
        <w:jc w:val="both"/>
        <w:rPr>
          <w:rFonts w:ascii="Arial Narrow" w:eastAsia="Calibri" w:hAnsi="Arial Narrow"/>
          <w:lang w:val="bg-BG"/>
        </w:rPr>
      </w:pPr>
      <w:r w:rsidRPr="00CC65C0">
        <w:rPr>
          <w:rFonts w:ascii="Arial Narrow" w:eastAsia="Calibri" w:hAnsi="Arial Narrow"/>
          <w:lang w:val="bg-BG"/>
        </w:rPr>
        <w:t>Ограничаване на последиците и преодоляване на вредното въздействие и загуби за земеделските стопани от възникналите природо-климатични бедствия, полски и горски пожари;</w:t>
      </w:r>
    </w:p>
    <w:p w14:paraId="03732018" w14:textId="77777777" w:rsidR="00CC65C0" w:rsidRPr="00CC65C0" w:rsidRDefault="00CC65C0" w:rsidP="009C6577">
      <w:pPr>
        <w:numPr>
          <w:ilvl w:val="0"/>
          <w:numId w:val="59"/>
        </w:numPr>
        <w:spacing w:after="120" w:line="259" w:lineRule="auto"/>
        <w:jc w:val="both"/>
        <w:rPr>
          <w:rFonts w:ascii="Arial Narrow" w:eastAsia="Calibri" w:hAnsi="Arial Narrow"/>
          <w:lang w:val="bg-BG"/>
        </w:rPr>
      </w:pPr>
      <w:r w:rsidRPr="00CC65C0">
        <w:rPr>
          <w:rFonts w:ascii="Arial Narrow" w:eastAsia="Calibri" w:hAnsi="Arial Narrow"/>
          <w:lang w:val="bg-BG"/>
        </w:rPr>
        <w:t xml:space="preserve">Запазване и възстановяване на биологичното разнообразие на речните и морски басейни и горите.  </w:t>
      </w:r>
    </w:p>
    <w:p w14:paraId="72A2EF7D" w14:textId="77777777" w:rsidR="00CC65C0" w:rsidRPr="00532BCB" w:rsidRDefault="00ED5A86" w:rsidP="00532BCB">
      <w:pPr>
        <w:pStyle w:val="ListParagraph"/>
        <w:keepNext/>
        <w:keepLines/>
        <w:numPr>
          <w:ilvl w:val="1"/>
          <w:numId w:val="16"/>
        </w:numPr>
        <w:spacing w:after="120"/>
        <w:ind w:left="981" w:hanging="624"/>
        <w:contextualSpacing w:val="0"/>
        <w:jc w:val="both"/>
        <w:outlineLvl w:val="0"/>
        <w:rPr>
          <w:rFonts w:ascii="Arial Narrow" w:hAnsi="Arial Narrow"/>
          <w:b/>
          <w:lang w:val="bg-BG"/>
        </w:rPr>
      </w:pPr>
      <w:bookmarkStart w:id="220" w:name="_Toc210747662"/>
      <w:r w:rsidRPr="00532BCB">
        <w:rPr>
          <w:rFonts w:ascii="Arial Narrow" w:hAnsi="Arial Narrow"/>
          <w:b/>
          <w:lang w:val="bg-BG"/>
        </w:rPr>
        <w:t>Санитарни рискове</w:t>
      </w:r>
      <w:bookmarkEnd w:id="220"/>
    </w:p>
    <w:p w14:paraId="6FCA8625" w14:textId="77777777" w:rsidR="00CC65C0" w:rsidRPr="00CC65C0" w:rsidRDefault="00CC65C0" w:rsidP="00CC65C0">
      <w:pPr>
        <w:spacing w:after="120"/>
        <w:ind w:firstLine="720"/>
        <w:jc w:val="both"/>
        <w:rPr>
          <w:rFonts w:ascii="Arial Narrow" w:eastAsia="Calibri" w:hAnsi="Arial Narrow"/>
          <w:lang w:val="bg-BG"/>
        </w:rPr>
      </w:pPr>
      <w:r w:rsidRPr="00CC65C0">
        <w:rPr>
          <w:rFonts w:ascii="Arial Narrow" w:eastAsia="Calibri" w:hAnsi="Arial Narrow"/>
          <w:lang w:val="bg-BG"/>
        </w:rPr>
        <w:t xml:space="preserve">Управлението на санитарните рискове е насочено към създаване на стабилна основа за развитие на земеделското производство, опазване на здравето на животните и хората, както и опазване на околната среда и биоразнообразието. </w:t>
      </w:r>
    </w:p>
    <w:p w14:paraId="47891D78" w14:textId="77777777" w:rsidR="00CC65C0" w:rsidRPr="00CC65C0" w:rsidRDefault="00CC65C0" w:rsidP="00CC65C0">
      <w:pPr>
        <w:spacing w:after="120"/>
        <w:ind w:firstLine="720"/>
        <w:jc w:val="both"/>
        <w:rPr>
          <w:rFonts w:ascii="Arial Narrow" w:eastAsia="Calibri" w:hAnsi="Arial Narrow"/>
          <w:lang w:val="bg-BG"/>
        </w:rPr>
      </w:pPr>
      <w:r w:rsidRPr="00CC65C0">
        <w:rPr>
          <w:rFonts w:ascii="Arial Narrow" w:eastAsia="Calibri" w:hAnsi="Arial Narrow"/>
          <w:lang w:val="bg-BG"/>
        </w:rPr>
        <w:t xml:space="preserve">За да се гарантира здравето на животните и растенията като първично производство и че храните, предлагани на пазара, отговарят на изискванията за безопасност и спазване на мерките, свързани с предпазване на потребителите от нерегламентирано предлагане на негодни за консумация храни, БАБХ осъществява постоянен планов контрол, при който се използва и лабораторен анализ. </w:t>
      </w:r>
    </w:p>
    <w:p w14:paraId="723C7150" w14:textId="77777777" w:rsidR="00CC65C0" w:rsidRPr="00CC65C0" w:rsidRDefault="00CC65C0" w:rsidP="00CC65C0">
      <w:pPr>
        <w:spacing w:after="120"/>
        <w:ind w:firstLine="720"/>
        <w:jc w:val="both"/>
        <w:rPr>
          <w:rFonts w:ascii="Arial Narrow" w:eastAsia="Calibri" w:hAnsi="Arial Narrow"/>
          <w:lang w:val="bg-BG"/>
        </w:rPr>
      </w:pPr>
      <w:r w:rsidRPr="00CC65C0">
        <w:rPr>
          <w:rFonts w:ascii="Arial Narrow" w:eastAsia="Calibri" w:hAnsi="Arial Narrow"/>
          <w:lang w:val="bg-BG"/>
        </w:rPr>
        <w:t>При изпълнение на Националните програми за наблюдение на вредители по растенията, Националните програми за официален лабораторен мониторинг на храни, материали и предмети за контакт с храни и ДПП на програмите за надзор и ликвидиране на болести по животните, през 2024 г. чрез БАБХ са изплатени 122 744 лева за акредитация и преакредитация на лабораториите на БАБХ.</w:t>
      </w:r>
    </w:p>
    <w:p w14:paraId="13D3F969" w14:textId="77777777" w:rsidR="00CC65C0" w:rsidRPr="00CC65C0" w:rsidRDefault="00CC65C0" w:rsidP="00CC65C0">
      <w:pPr>
        <w:spacing w:after="120"/>
        <w:ind w:firstLine="720"/>
        <w:jc w:val="both"/>
        <w:rPr>
          <w:rFonts w:ascii="Arial Narrow" w:eastAsia="Calibri" w:hAnsi="Arial Narrow"/>
          <w:b/>
          <w:lang w:val="bg-BG"/>
        </w:rPr>
      </w:pPr>
      <w:r w:rsidRPr="00CC65C0">
        <w:rPr>
          <w:rFonts w:ascii="Arial Narrow" w:eastAsia="Calibri" w:hAnsi="Arial Narrow"/>
          <w:b/>
          <w:lang w:val="bg-BG"/>
        </w:rPr>
        <w:t>Специфични рискове в сектор „Животновъдство“</w:t>
      </w:r>
    </w:p>
    <w:p w14:paraId="4613E1A0" w14:textId="77777777" w:rsidR="00CC65C0" w:rsidRPr="00CC65C0" w:rsidRDefault="00CC65C0" w:rsidP="00CC65C0">
      <w:pPr>
        <w:spacing w:after="120"/>
        <w:ind w:firstLine="720"/>
        <w:jc w:val="both"/>
        <w:rPr>
          <w:rFonts w:ascii="Arial Narrow" w:eastAsia="Calibri" w:hAnsi="Arial Narrow"/>
          <w:lang w:val="bg-BG"/>
        </w:rPr>
      </w:pPr>
      <w:r w:rsidRPr="00CC65C0">
        <w:rPr>
          <w:rFonts w:ascii="Arial Narrow" w:eastAsia="Calibri" w:hAnsi="Arial Narrow"/>
          <w:lang w:val="bg-BG"/>
        </w:rPr>
        <w:t xml:space="preserve">В структурата на извършените мероприятия в изпълнение на Националната програма за профилактика, надзор, контрол и ликвидиране на болести по животните и зоонозите в Република България за периода 2022 – 2024 г., най-голям е делът на извършените ваксинации – 39%, следвани от клинични изследвания на животните – 35% и кръвни проби – 26%.  </w:t>
      </w:r>
    </w:p>
    <w:p w14:paraId="03C37E9C" w14:textId="77777777" w:rsidR="00CC65C0" w:rsidRPr="00CC65C0" w:rsidRDefault="00CC65C0" w:rsidP="00CC65C0">
      <w:pPr>
        <w:spacing w:after="120"/>
        <w:ind w:firstLine="720"/>
        <w:jc w:val="both"/>
        <w:rPr>
          <w:rFonts w:ascii="Arial Narrow" w:eastAsia="Calibri" w:hAnsi="Arial Narrow"/>
          <w:lang w:val="bg-BG"/>
        </w:rPr>
      </w:pPr>
      <w:r w:rsidRPr="00CC65C0">
        <w:rPr>
          <w:rFonts w:ascii="Arial Narrow" w:eastAsia="Calibri" w:hAnsi="Arial Narrow"/>
          <w:lang w:val="bg-BG"/>
        </w:rPr>
        <w:t>Изплатените финансови средства по държавната помощ „Помощ за компенсиране разходите при отстраняване и унищожаване на мъртви животни“ за 2024 г. възлизат на 26 млн. лева, при 13,6 млн. лева за предходната година.</w:t>
      </w:r>
    </w:p>
    <w:p w14:paraId="7DDCE515" w14:textId="77777777" w:rsidR="00CC65C0" w:rsidRPr="00CC65C0" w:rsidRDefault="00CC65C0" w:rsidP="00CC65C0">
      <w:pPr>
        <w:keepNext/>
        <w:spacing w:after="120"/>
        <w:jc w:val="both"/>
        <w:rPr>
          <w:rFonts w:ascii="Arial Narrow" w:eastAsia="Calibri" w:hAnsi="Arial Narrow"/>
          <w:b/>
          <w:color w:val="000000"/>
          <w:lang w:val="bg-BG"/>
        </w:rPr>
      </w:pPr>
      <w:r w:rsidRPr="00CC65C0">
        <w:rPr>
          <w:rFonts w:ascii="Arial Narrow" w:eastAsia="Calibri" w:hAnsi="Arial Narrow"/>
          <w:lang w:val="bg-BG"/>
        </w:rPr>
        <w:tab/>
      </w:r>
      <w:r w:rsidRPr="00CC65C0">
        <w:rPr>
          <w:rFonts w:ascii="Arial Narrow" w:eastAsia="Calibri" w:hAnsi="Arial Narrow"/>
          <w:b/>
          <w:lang w:val="bg-BG"/>
        </w:rPr>
        <w:t xml:space="preserve">Специфични рискове в </w:t>
      </w:r>
      <w:r w:rsidRPr="00CC65C0">
        <w:rPr>
          <w:rFonts w:ascii="Arial Narrow" w:eastAsia="Calibri" w:hAnsi="Arial Narrow"/>
          <w:b/>
          <w:color w:val="000000"/>
          <w:lang w:val="bg-BG"/>
        </w:rPr>
        <w:t xml:space="preserve">сектор „Растениевъдство“ </w:t>
      </w:r>
    </w:p>
    <w:p w14:paraId="1E4D6299" w14:textId="77777777" w:rsidR="00CC65C0" w:rsidRPr="00CC65C0" w:rsidRDefault="00CC65C0" w:rsidP="00CC65C0">
      <w:pPr>
        <w:tabs>
          <w:tab w:val="left" w:pos="0"/>
        </w:tabs>
        <w:spacing w:after="120"/>
        <w:ind w:firstLine="709"/>
        <w:jc w:val="both"/>
        <w:rPr>
          <w:rFonts w:ascii="Arial Narrow" w:eastAsia="Calibri" w:hAnsi="Arial Narrow"/>
          <w:lang w:val="bg-BG"/>
        </w:rPr>
      </w:pPr>
      <w:r w:rsidRPr="00CC65C0">
        <w:rPr>
          <w:rFonts w:ascii="Arial Narrow" w:eastAsia="Calibri" w:hAnsi="Arial Narrow"/>
          <w:lang w:val="bg-BG"/>
        </w:rPr>
        <w:t>С цел ограничаване разпространението на карантинни вредители и икономически важни вредители по растенията и растителните продукти, през 2024 г. ДФЗ е администрирал 5 схеми за държавни помощи за сектор „Растениевъдство“, както следва:</w:t>
      </w:r>
    </w:p>
    <w:p w14:paraId="19CC46C0" w14:textId="77777777" w:rsidR="00CC65C0" w:rsidRPr="00CC65C0" w:rsidRDefault="00CC65C0" w:rsidP="009C6577">
      <w:pPr>
        <w:numPr>
          <w:ilvl w:val="0"/>
          <w:numId w:val="40"/>
        </w:numPr>
        <w:spacing w:after="120" w:line="259" w:lineRule="auto"/>
        <w:jc w:val="both"/>
        <w:rPr>
          <w:rFonts w:ascii="Arial Narrow" w:eastAsia="Calibri" w:hAnsi="Arial Narrow"/>
          <w:lang w:val="bg-BG"/>
        </w:rPr>
      </w:pPr>
      <w:r w:rsidRPr="00CC65C0">
        <w:rPr>
          <w:rFonts w:ascii="Arial Narrow" w:eastAsia="Calibri" w:hAnsi="Arial Narrow"/>
          <w:lang w:val="bg-BG"/>
        </w:rPr>
        <w:t xml:space="preserve">Помощ за компенсиране на разходите на земеделските стопани, свързани с изпълнението на мерките по Националната програма за контрол на вредителите по трайните насаждения през зимния период; </w:t>
      </w:r>
    </w:p>
    <w:p w14:paraId="4CC2EBF2" w14:textId="77777777" w:rsidR="00CC65C0" w:rsidRPr="00CC65C0" w:rsidRDefault="00CC65C0" w:rsidP="009C6577">
      <w:pPr>
        <w:numPr>
          <w:ilvl w:val="0"/>
          <w:numId w:val="40"/>
        </w:numPr>
        <w:spacing w:after="120" w:line="259" w:lineRule="auto"/>
        <w:jc w:val="both"/>
        <w:rPr>
          <w:rFonts w:ascii="Arial Narrow" w:eastAsia="Calibri" w:hAnsi="Arial Narrow"/>
          <w:lang w:val="bg-BG"/>
        </w:rPr>
      </w:pPr>
      <w:r w:rsidRPr="00CC65C0">
        <w:rPr>
          <w:rFonts w:ascii="Arial Narrow" w:eastAsia="Calibri" w:hAnsi="Arial Narrow"/>
          <w:lang w:val="bg-BG"/>
        </w:rPr>
        <w:t xml:space="preserve">Помощ за компенсиране на разходите на земеделските стопани, свързани с изпълнението на мерките за контрол на почвени неприятели по картофите от сем. Телени червеи (Elateridae); </w:t>
      </w:r>
    </w:p>
    <w:p w14:paraId="6CE28598" w14:textId="77777777" w:rsidR="00CC65C0" w:rsidRPr="00CC65C0" w:rsidRDefault="00CC65C0" w:rsidP="009C6577">
      <w:pPr>
        <w:numPr>
          <w:ilvl w:val="0"/>
          <w:numId w:val="40"/>
        </w:numPr>
        <w:spacing w:after="120" w:line="259" w:lineRule="auto"/>
        <w:jc w:val="both"/>
        <w:rPr>
          <w:rFonts w:ascii="Arial Narrow" w:eastAsia="Calibri" w:hAnsi="Arial Narrow"/>
          <w:color w:val="000000"/>
          <w:lang w:val="bg-BG"/>
        </w:rPr>
      </w:pPr>
      <w:r w:rsidRPr="00CC65C0">
        <w:rPr>
          <w:rFonts w:ascii="Arial Narrow" w:eastAsia="Calibri" w:hAnsi="Arial Narrow"/>
          <w:lang w:val="bg-BG"/>
        </w:rPr>
        <w:t>Помощ за компенсиране разходите на земеделските стопани, свързани с изпълнение на мерките за контрол на Доматен миниращ молец - Tuta absoluta Meyrick (Lepidoptera);</w:t>
      </w:r>
    </w:p>
    <w:p w14:paraId="492BFA86" w14:textId="77777777" w:rsidR="00CC65C0" w:rsidRPr="00CC65C0" w:rsidRDefault="00CC65C0" w:rsidP="009C6577">
      <w:pPr>
        <w:numPr>
          <w:ilvl w:val="0"/>
          <w:numId w:val="40"/>
        </w:numPr>
        <w:spacing w:after="120" w:line="259" w:lineRule="auto"/>
        <w:jc w:val="both"/>
        <w:rPr>
          <w:rFonts w:ascii="Arial Narrow" w:eastAsia="Calibri" w:hAnsi="Arial Narrow"/>
          <w:lang w:val="bg-BG"/>
        </w:rPr>
      </w:pPr>
      <w:r w:rsidRPr="00CC65C0">
        <w:rPr>
          <w:rFonts w:ascii="Arial Narrow" w:eastAsia="Calibri" w:hAnsi="Arial Narrow"/>
          <w:lang w:val="bg-BG"/>
        </w:rPr>
        <w:t>Помощ за сертифициране на стопанства в сектор „Плодове и зеленчуци“ по стандарта GLOBAL G.A.P.;</w:t>
      </w:r>
    </w:p>
    <w:p w14:paraId="3736CC82" w14:textId="77777777" w:rsidR="00CC65C0" w:rsidRPr="00CC65C0" w:rsidRDefault="00CC65C0" w:rsidP="009C6577">
      <w:pPr>
        <w:numPr>
          <w:ilvl w:val="0"/>
          <w:numId w:val="40"/>
        </w:numPr>
        <w:spacing w:after="120" w:line="259" w:lineRule="auto"/>
        <w:jc w:val="both"/>
        <w:rPr>
          <w:rFonts w:ascii="Arial Narrow" w:eastAsia="Calibri" w:hAnsi="Arial Narrow"/>
          <w:lang w:val="bg-BG"/>
        </w:rPr>
      </w:pPr>
      <w:r w:rsidRPr="00CC65C0">
        <w:rPr>
          <w:rFonts w:ascii="Arial Narrow" w:eastAsia="Calibri" w:hAnsi="Arial Narrow"/>
          <w:lang w:val="bg-BG"/>
        </w:rPr>
        <w:t xml:space="preserve">Помощ за компенсиране на разходите на земеделските стопани, свързани с изпълнението на мерки по Националната програма от мерки за предотвратяване на разпространението и контрол на вредителите по лозата (род </w:t>
      </w:r>
      <w:r w:rsidRPr="00CC65C0">
        <w:rPr>
          <w:rFonts w:ascii="Arial Narrow" w:eastAsia="Calibri" w:hAnsi="Arial Narrow"/>
        </w:rPr>
        <w:t>Vitis</w:t>
      </w:r>
      <w:r w:rsidRPr="00CC65C0">
        <w:rPr>
          <w:rFonts w:ascii="Arial Narrow" w:eastAsia="Calibri" w:hAnsi="Arial Narrow"/>
          <w:lang w:val="bg-BG"/>
        </w:rPr>
        <w:t xml:space="preserve">). </w:t>
      </w:r>
    </w:p>
    <w:p w14:paraId="4C506B4C" w14:textId="77777777" w:rsidR="00CC65C0" w:rsidRPr="00CC65C0" w:rsidRDefault="00CC65C0" w:rsidP="00CC65C0">
      <w:pPr>
        <w:tabs>
          <w:tab w:val="left" w:pos="0"/>
        </w:tabs>
        <w:spacing w:after="120"/>
        <w:ind w:firstLine="709"/>
        <w:jc w:val="both"/>
        <w:rPr>
          <w:rFonts w:ascii="Arial Narrow" w:eastAsia="Calibri" w:hAnsi="Arial Narrow"/>
          <w:lang w:val="bg-BG"/>
        </w:rPr>
      </w:pPr>
      <w:r w:rsidRPr="00CC65C0">
        <w:rPr>
          <w:rFonts w:ascii="Arial Narrow" w:eastAsia="Calibri" w:hAnsi="Arial Narrow"/>
          <w:lang w:val="bg-BG"/>
        </w:rPr>
        <w:t>Общият размер на изплатените средства за държавни помощи по посочените по-горе схеми за 2024 г. е 11 501 533 лева, което е с 18,2% повече спрямо предходната година. Близо 76% от средствата са предоставени по държавната помощ за контрол на вредителите по трайните насаждения.</w:t>
      </w:r>
    </w:p>
    <w:p w14:paraId="443114CE" w14:textId="77777777" w:rsidR="00CC65C0" w:rsidRPr="00CC65C0" w:rsidRDefault="00CC65C0" w:rsidP="00CC65C0">
      <w:pPr>
        <w:spacing w:after="120"/>
        <w:ind w:firstLine="709"/>
        <w:jc w:val="both"/>
        <w:rPr>
          <w:rFonts w:ascii="Arial Narrow" w:eastAsia="Calibri" w:hAnsi="Arial Narrow"/>
          <w:b/>
          <w:color w:val="000000"/>
          <w:lang w:val="bg-BG"/>
        </w:rPr>
      </w:pPr>
      <w:r w:rsidRPr="00CC65C0">
        <w:rPr>
          <w:rFonts w:ascii="Arial Narrow" w:eastAsia="Calibri" w:hAnsi="Arial Narrow"/>
          <w:b/>
          <w:lang w:val="bg-BG"/>
        </w:rPr>
        <w:lastRenderedPageBreak/>
        <w:t xml:space="preserve">Специфични рискове в </w:t>
      </w:r>
      <w:r w:rsidRPr="00CC65C0">
        <w:rPr>
          <w:rFonts w:ascii="Arial Narrow" w:eastAsia="Calibri" w:hAnsi="Arial Narrow"/>
          <w:b/>
          <w:color w:val="000000"/>
          <w:lang w:val="bg-BG"/>
        </w:rPr>
        <w:t xml:space="preserve">сектор „Гори“ </w:t>
      </w:r>
    </w:p>
    <w:p w14:paraId="29F806A4" w14:textId="77777777" w:rsidR="00CC65C0" w:rsidRPr="00CC65C0" w:rsidRDefault="00CC65C0" w:rsidP="00CC65C0">
      <w:pPr>
        <w:spacing w:after="120"/>
        <w:ind w:firstLine="720"/>
        <w:jc w:val="both"/>
        <w:rPr>
          <w:rFonts w:ascii="Arial Narrow" w:eastAsia="Calibri" w:hAnsi="Arial Narrow"/>
          <w:lang w:val="bg-BG"/>
        </w:rPr>
      </w:pPr>
      <w:r w:rsidRPr="00CC65C0">
        <w:rPr>
          <w:rFonts w:ascii="Arial Narrow" w:eastAsia="Calibri" w:hAnsi="Arial Narrow"/>
          <w:lang w:val="bg-BG"/>
        </w:rPr>
        <w:t>Отчетът за изразходваните финансови средства от Държавните предприятия през 2024 г. показва увеличение на средствата за лесозащитни дейности с 91% спрямо предходната година, до 484 550 лева. Проведените санитарни и принудителни сечи през 2024 г. са с 22% повече на годишна база.</w:t>
      </w:r>
    </w:p>
    <w:p w14:paraId="2B239952" w14:textId="77777777" w:rsidR="00CC65C0" w:rsidRPr="00CC65C0" w:rsidRDefault="00ED5A86" w:rsidP="00CC65C0">
      <w:pPr>
        <w:pStyle w:val="ListParagraph"/>
        <w:keepNext/>
        <w:keepLines/>
        <w:numPr>
          <w:ilvl w:val="1"/>
          <w:numId w:val="16"/>
        </w:numPr>
        <w:spacing w:after="120"/>
        <w:ind w:left="981" w:hanging="624"/>
        <w:contextualSpacing w:val="0"/>
        <w:jc w:val="both"/>
        <w:outlineLvl w:val="0"/>
        <w:rPr>
          <w:rFonts w:ascii="Arial Narrow" w:hAnsi="Arial Narrow"/>
          <w:b/>
        </w:rPr>
      </w:pPr>
      <w:bookmarkStart w:id="221" w:name="_Toc210747663"/>
      <w:r w:rsidRPr="00CC65C0">
        <w:rPr>
          <w:rFonts w:ascii="Arial Narrow" w:hAnsi="Arial Narrow"/>
          <w:b/>
          <w:lang w:val="bg-BG"/>
        </w:rPr>
        <w:t>Природо-климатични рискове</w:t>
      </w:r>
      <w:bookmarkEnd w:id="221"/>
    </w:p>
    <w:p w14:paraId="0FBDAD2B" w14:textId="77777777" w:rsidR="00CC65C0" w:rsidRPr="00CC65C0" w:rsidRDefault="00CC65C0" w:rsidP="00CC65C0">
      <w:pPr>
        <w:spacing w:after="120"/>
        <w:ind w:firstLine="720"/>
        <w:jc w:val="both"/>
        <w:rPr>
          <w:rFonts w:ascii="Arial Narrow" w:eastAsia="Calibri" w:hAnsi="Arial Narrow"/>
          <w:noProof/>
        </w:rPr>
      </w:pPr>
      <w:r w:rsidRPr="00CC65C0">
        <w:rPr>
          <w:rFonts w:ascii="Arial Narrow" w:eastAsia="Calibri" w:hAnsi="Arial Narrow"/>
          <w:lang w:val="bg-BG"/>
        </w:rPr>
        <w:t xml:space="preserve">През 2024 г. за превенция на вредното въздействие на природо-климатичните фактори са изразходени общо 80 467 510 лева, с около 17 млн. лева или 27% над нивото от предходната година. </w:t>
      </w:r>
      <w:r w:rsidRPr="00CC65C0">
        <w:rPr>
          <w:rFonts w:ascii="Arial Narrow" w:eastAsia="Calibri" w:hAnsi="Arial Narrow"/>
          <w:noProof/>
        </w:rPr>
        <w:t xml:space="preserve">Най-голям е размерът на финансовите средства за противоградова защита – </w:t>
      </w:r>
      <w:r w:rsidRPr="00CC65C0">
        <w:rPr>
          <w:rFonts w:ascii="Arial Narrow" w:eastAsia="Calibri" w:hAnsi="Arial Narrow"/>
          <w:noProof/>
          <w:lang w:val="bg-BG"/>
        </w:rPr>
        <w:t>45 763</w:t>
      </w:r>
      <w:r w:rsidRPr="00CC65C0">
        <w:rPr>
          <w:rFonts w:ascii="Arial Narrow" w:eastAsia="Calibri" w:hAnsi="Arial Narrow"/>
          <w:noProof/>
        </w:rPr>
        <w:t> </w:t>
      </w:r>
      <w:r w:rsidRPr="00CC65C0">
        <w:rPr>
          <w:rFonts w:ascii="Arial Narrow" w:eastAsia="Calibri" w:hAnsi="Arial Narrow"/>
          <w:noProof/>
          <w:lang w:val="bg-BG"/>
        </w:rPr>
        <w:t>588 лева</w:t>
      </w:r>
      <w:r w:rsidRPr="00CC65C0">
        <w:rPr>
          <w:rFonts w:ascii="Arial Narrow" w:eastAsia="Calibri" w:hAnsi="Arial Narrow"/>
          <w:noProof/>
        </w:rPr>
        <w:t xml:space="preserve"> </w:t>
      </w:r>
      <w:r w:rsidRPr="00CC65C0">
        <w:rPr>
          <w:rFonts w:ascii="Arial Narrow" w:eastAsia="Calibri" w:hAnsi="Arial Narrow"/>
          <w:noProof/>
          <w:lang w:val="bg-BG"/>
        </w:rPr>
        <w:t>(близо</w:t>
      </w:r>
      <w:r w:rsidRPr="00CC65C0">
        <w:rPr>
          <w:rFonts w:ascii="Arial Narrow" w:eastAsia="Calibri" w:hAnsi="Arial Narrow"/>
          <w:noProof/>
        </w:rPr>
        <w:t xml:space="preserve"> 5</w:t>
      </w:r>
      <w:r w:rsidRPr="00CC65C0">
        <w:rPr>
          <w:rFonts w:ascii="Arial Narrow" w:eastAsia="Calibri" w:hAnsi="Arial Narrow"/>
          <w:noProof/>
          <w:lang w:val="bg-BG"/>
        </w:rPr>
        <w:t>7</w:t>
      </w:r>
      <w:r w:rsidRPr="00CC65C0">
        <w:rPr>
          <w:rFonts w:ascii="Arial Narrow" w:eastAsia="Calibri" w:hAnsi="Arial Narrow"/>
          <w:noProof/>
        </w:rPr>
        <w:t>% от общ</w:t>
      </w:r>
      <w:r w:rsidRPr="00CC65C0">
        <w:rPr>
          <w:rFonts w:ascii="Arial Narrow" w:eastAsia="Calibri" w:hAnsi="Arial Narrow"/>
          <w:noProof/>
          <w:lang w:val="bg-BG"/>
        </w:rPr>
        <w:t>ия</w:t>
      </w:r>
      <w:r w:rsidRPr="00CC65C0">
        <w:rPr>
          <w:rFonts w:ascii="Arial Narrow" w:eastAsia="Calibri" w:hAnsi="Arial Narrow"/>
          <w:noProof/>
        </w:rPr>
        <w:t xml:space="preserve"> финансов ресурс</w:t>
      </w:r>
      <w:r w:rsidRPr="00CC65C0">
        <w:rPr>
          <w:rFonts w:ascii="Arial Narrow" w:eastAsia="Calibri" w:hAnsi="Arial Narrow"/>
          <w:noProof/>
          <w:lang w:val="bg-BG"/>
        </w:rPr>
        <w:t xml:space="preserve"> за годината), които бележат ръст от 39,5% на годишна база</w:t>
      </w:r>
      <w:r w:rsidRPr="00CC65C0">
        <w:rPr>
          <w:rFonts w:ascii="Arial Narrow" w:eastAsia="Calibri" w:hAnsi="Arial Narrow"/>
          <w:noProof/>
        </w:rPr>
        <w:t>.</w:t>
      </w:r>
    </w:p>
    <w:p w14:paraId="7AA8FDF2" w14:textId="77777777" w:rsidR="00CC65C0" w:rsidRPr="00CC65C0" w:rsidRDefault="00CC65C0" w:rsidP="00275501">
      <w:pPr>
        <w:spacing w:after="120"/>
        <w:rPr>
          <w:rFonts w:ascii="Arial Narrow" w:eastAsia="Calibri" w:hAnsi="Arial Narrow"/>
          <w:b/>
          <w:lang w:val="bg-BG"/>
        </w:rPr>
      </w:pPr>
      <w:r w:rsidRPr="00CC65C0">
        <w:rPr>
          <w:rFonts w:ascii="Arial Narrow" w:eastAsia="Calibri" w:hAnsi="Arial Narrow"/>
          <w:b/>
          <w:lang w:val="bg-BG"/>
        </w:rPr>
        <w:t>Табл</w:t>
      </w:r>
      <w:r>
        <w:rPr>
          <w:rFonts w:ascii="Arial Narrow" w:eastAsia="Calibri" w:hAnsi="Arial Narrow"/>
          <w:b/>
          <w:lang w:val="bg-BG"/>
        </w:rPr>
        <w:t>ица</w:t>
      </w:r>
      <w:r w:rsidRPr="00CC65C0">
        <w:rPr>
          <w:rFonts w:ascii="Arial Narrow" w:eastAsia="Calibri" w:hAnsi="Arial Narrow"/>
          <w:b/>
          <w:lang w:val="bg-BG"/>
        </w:rPr>
        <w:t xml:space="preserve"> </w:t>
      </w:r>
      <w:r w:rsidR="009336F4" w:rsidRPr="0089257E">
        <w:rPr>
          <w:rFonts w:ascii="Arial Narrow" w:hAnsi="Arial Narrow"/>
          <w:b/>
          <w:lang w:eastAsia="bg-BG"/>
        </w:rPr>
        <w:t>V</w:t>
      </w:r>
      <w:r w:rsidR="009336F4">
        <w:rPr>
          <w:rFonts w:ascii="Arial Narrow" w:hAnsi="Arial Narrow"/>
          <w:b/>
          <w:lang w:val="bg-BG" w:eastAsia="bg-BG"/>
        </w:rPr>
        <w:t>.17</w:t>
      </w:r>
      <w:r w:rsidRPr="00CC65C0">
        <w:rPr>
          <w:rFonts w:ascii="Arial Narrow" w:eastAsia="Calibri" w:hAnsi="Arial Narrow"/>
          <w:b/>
          <w:lang w:val="bg-BG"/>
        </w:rPr>
        <w:t>. Изразходени финансови средства за превенция на вредното въздействие на природо-климатичните фактори през периода 2022 - 2024 г.</w:t>
      </w:r>
    </w:p>
    <w:tbl>
      <w:tblPr>
        <w:tblW w:w="4878" w:type="pct"/>
        <w:tblInd w:w="108" w:type="dxa"/>
        <w:tblLayout w:type="fixed"/>
        <w:tblLook w:val="04A0" w:firstRow="1" w:lastRow="0" w:firstColumn="1" w:lastColumn="0" w:noHBand="0" w:noVBand="1"/>
      </w:tblPr>
      <w:tblGrid>
        <w:gridCol w:w="2838"/>
        <w:gridCol w:w="3365"/>
        <w:gridCol w:w="1136"/>
        <w:gridCol w:w="1111"/>
        <w:gridCol w:w="1111"/>
      </w:tblGrid>
      <w:tr w:rsidR="00CC65C0" w:rsidRPr="00CC65C0" w14:paraId="6D9BA860" w14:textId="77777777" w:rsidTr="0014399B">
        <w:trPr>
          <w:trHeight w:val="499"/>
          <w:tblHeader/>
        </w:trPr>
        <w:tc>
          <w:tcPr>
            <w:tcW w:w="29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231703" w14:textId="77777777" w:rsidR="00CC65C0" w:rsidRPr="00CC65C0" w:rsidRDefault="00CC65C0" w:rsidP="00CC65C0">
            <w:pPr>
              <w:jc w:val="center"/>
              <w:rPr>
                <w:rFonts w:ascii="Arial Narrow" w:hAnsi="Arial Narrow" w:cs="Calibri"/>
                <w:b/>
                <w:bCs/>
                <w:color w:val="000000"/>
                <w:sz w:val="20"/>
                <w:szCs w:val="20"/>
                <w:lang w:val="bg-BG"/>
              </w:rPr>
            </w:pPr>
            <w:r w:rsidRPr="00CC65C0">
              <w:rPr>
                <w:rFonts w:ascii="Arial Narrow" w:hAnsi="Arial Narrow" w:cs="Calibri"/>
                <w:b/>
                <w:bCs/>
                <w:color w:val="000000"/>
                <w:sz w:val="20"/>
                <w:szCs w:val="20"/>
                <w:lang w:val="bg-BG"/>
              </w:rPr>
              <w:t>Риск</w:t>
            </w:r>
          </w:p>
        </w:tc>
        <w:tc>
          <w:tcPr>
            <w:tcW w:w="3447" w:type="dxa"/>
            <w:tcBorders>
              <w:top w:val="single" w:sz="4" w:space="0" w:color="auto"/>
              <w:left w:val="nil"/>
              <w:bottom w:val="single" w:sz="4" w:space="0" w:color="auto"/>
              <w:right w:val="single" w:sz="4" w:space="0" w:color="auto"/>
            </w:tcBorders>
            <w:shd w:val="clear" w:color="auto" w:fill="auto"/>
            <w:noWrap/>
            <w:vAlign w:val="center"/>
            <w:hideMark/>
          </w:tcPr>
          <w:p w14:paraId="1D36AFB9" w14:textId="77777777" w:rsidR="00CC65C0" w:rsidRPr="00CC65C0" w:rsidRDefault="00CC65C0" w:rsidP="00CC65C0">
            <w:pPr>
              <w:jc w:val="center"/>
              <w:rPr>
                <w:rFonts w:ascii="Arial Narrow" w:hAnsi="Arial Narrow" w:cs="Calibri"/>
                <w:b/>
                <w:bCs/>
                <w:color w:val="000000"/>
                <w:sz w:val="20"/>
                <w:szCs w:val="20"/>
                <w:lang w:val="bg-BG"/>
              </w:rPr>
            </w:pPr>
            <w:r w:rsidRPr="00CC65C0">
              <w:rPr>
                <w:rFonts w:ascii="Arial Narrow" w:hAnsi="Arial Narrow" w:cs="Calibri"/>
                <w:b/>
                <w:bCs/>
                <w:color w:val="000000"/>
                <w:sz w:val="20"/>
                <w:szCs w:val="20"/>
                <w:lang w:val="bg-BG"/>
              </w:rPr>
              <w:t>Мерки за управление на риска</w:t>
            </w:r>
          </w:p>
        </w:tc>
        <w:tc>
          <w:tcPr>
            <w:tcW w:w="1160" w:type="dxa"/>
            <w:tcBorders>
              <w:top w:val="single" w:sz="4" w:space="0" w:color="auto"/>
              <w:left w:val="nil"/>
              <w:bottom w:val="single" w:sz="4" w:space="0" w:color="auto"/>
              <w:right w:val="single" w:sz="4" w:space="0" w:color="auto"/>
            </w:tcBorders>
            <w:shd w:val="clear" w:color="auto" w:fill="auto"/>
            <w:noWrap/>
            <w:vAlign w:val="center"/>
            <w:hideMark/>
          </w:tcPr>
          <w:p w14:paraId="560019AF" w14:textId="77777777" w:rsidR="00CC65C0" w:rsidRPr="00CC65C0" w:rsidRDefault="00CC65C0" w:rsidP="00CC65C0">
            <w:pPr>
              <w:jc w:val="center"/>
              <w:rPr>
                <w:rFonts w:ascii="Arial Narrow" w:hAnsi="Arial Narrow" w:cs="Calibri"/>
                <w:b/>
                <w:bCs/>
                <w:color w:val="000000"/>
                <w:sz w:val="20"/>
                <w:szCs w:val="20"/>
              </w:rPr>
            </w:pPr>
            <w:r w:rsidRPr="00CC65C0">
              <w:rPr>
                <w:rFonts w:ascii="Arial Narrow" w:hAnsi="Arial Narrow" w:cs="Calibri"/>
                <w:b/>
                <w:bCs/>
                <w:color w:val="000000"/>
                <w:sz w:val="20"/>
                <w:szCs w:val="20"/>
              </w:rPr>
              <w:t>2022</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5CE6215E" w14:textId="77777777" w:rsidR="00CC65C0" w:rsidRPr="00CC65C0" w:rsidRDefault="00CC65C0" w:rsidP="00CC65C0">
            <w:pPr>
              <w:jc w:val="center"/>
              <w:rPr>
                <w:rFonts w:ascii="Arial Narrow" w:hAnsi="Arial Narrow" w:cs="Calibri"/>
                <w:b/>
                <w:bCs/>
                <w:color w:val="000000"/>
                <w:sz w:val="20"/>
                <w:szCs w:val="20"/>
              </w:rPr>
            </w:pPr>
            <w:r w:rsidRPr="00CC65C0">
              <w:rPr>
                <w:rFonts w:ascii="Arial Narrow" w:hAnsi="Arial Narrow" w:cs="Calibri"/>
                <w:b/>
                <w:bCs/>
                <w:color w:val="000000"/>
                <w:sz w:val="20"/>
                <w:szCs w:val="20"/>
              </w:rPr>
              <w:t>2023</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039B0857" w14:textId="77777777" w:rsidR="00CC65C0" w:rsidRPr="00CC65C0" w:rsidRDefault="00CC65C0" w:rsidP="00CC65C0">
            <w:pPr>
              <w:jc w:val="center"/>
              <w:rPr>
                <w:rFonts w:ascii="Arial Narrow" w:hAnsi="Arial Narrow" w:cs="Calibri"/>
                <w:b/>
                <w:bCs/>
                <w:color w:val="000000"/>
                <w:sz w:val="20"/>
                <w:szCs w:val="20"/>
              </w:rPr>
            </w:pPr>
            <w:r w:rsidRPr="00CC65C0">
              <w:rPr>
                <w:rFonts w:ascii="Arial Narrow" w:hAnsi="Arial Narrow" w:cs="Calibri"/>
                <w:b/>
                <w:bCs/>
                <w:color w:val="000000"/>
                <w:sz w:val="20"/>
                <w:szCs w:val="20"/>
              </w:rPr>
              <w:t>2024</w:t>
            </w:r>
          </w:p>
        </w:tc>
      </w:tr>
      <w:tr w:rsidR="00CC65C0" w:rsidRPr="00CC65C0" w14:paraId="0AE2ECD6" w14:textId="77777777" w:rsidTr="0014399B">
        <w:trPr>
          <w:trHeight w:val="1665"/>
        </w:trPr>
        <w:tc>
          <w:tcPr>
            <w:tcW w:w="2906" w:type="dxa"/>
            <w:tcBorders>
              <w:top w:val="nil"/>
              <w:left w:val="single" w:sz="4" w:space="0" w:color="auto"/>
              <w:bottom w:val="single" w:sz="4" w:space="0" w:color="auto"/>
              <w:right w:val="single" w:sz="4" w:space="0" w:color="auto"/>
            </w:tcBorders>
            <w:shd w:val="clear" w:color="auto" w:fill="auto"/>
            <w:vAlign w:val="center"/>
            <w:hideMark/>
          </w:tcPr>
          <w:p w14:paraId="0797629D" w14:textId="77777777" w:rsidR="00CC65C0" w:rsidRPr="00CC65C0" w:rsidRDefault="00CC65C0" w:rsidP="00CC65C0">
            <w:pPr>
              <w:rPr>
                <w:rFonts w:ascii="Arial Narrow" w:hAnsi="Arial Narrow" w:cs="Calibri"/>
                <w:color w:val="000000"/>
                <w:sz w:val="20"/>
                <w:szCs w:val="20"/>
                <w:lang w:val="bg-BG"/>
              </w:rPr>
            </w:pPr>
            <w:r w:rsidRPr="00CC65C0">
              <w:rPr>
                <w:rFonts w:ascii="Arial Narrow" w:hAnsi="Arial Narrow" w:cs="Calibri"/>
                <w:b/>
                <w:color w:val="000000"/>
                <w:sz w:val="20"/>
                <w:szCs w:val="20"/>
                <w:lang w:val="bg-BG"/>
              </w:rPr>
              <w:t>Градушки</w:t>
            </w:r>
            <w:r w:rsidRPr="00CC65C0">
              <w:rPr>
                <w:rFonts w:ascii="Arial Narrow" w:hAnsi="Arial Narrow" w:cs="Calibri"/>
                <w:color w:val="000000"/>
                <w:sz w:val="20"/>
                <w:szCs w:val="20"/>
                <w:lang w:val="bg-BG"/>
              </w:rPr>
              <w:t xml:space="preserve"> - Намаляване или унищожаване на земеделската продукция, поражения върху инфраструктура и населени места</w:t>
            </w:r>
          </w:p>
        </w:tc>
        <w:tc>
          <w:tcPr>
            <w:tcW w:w="3447" w:type="dxa"/>
            <w:tcBorders>
              <w:top w:val="nil"/>
              <w:left w:val="nil"/>
              <w:bottom w:val="single" w:sz="4" w:space="0" w:color="auto"/>
              <w:right w:val="single" w:sz="4" w:space="0" w:color="auto"/>
            </w:tcBorders>
            <w:shd w:val="clear" w:color="auto" w:fill="auto"/>
            <w:vAlign w:val="center"/>
            <w:hideMark/>
          </w:tcPr>
          <w:p w14:paraId="55AEDEB3" w14:textId="77777777" w:rsidR="00CC65C0" w:rsidRPr="00CC65C0" w:rsidRDefault="00CC65C0" w:rsidP="00CC65C0">
            <w:pPr>
              <w:rPr>
                <w:rFonts w:ascii="Arial Narrow" w:hAnsi="Arial Narrow" w:cs="Calibri"/>
                <w:color w:val="000000"/>
                <w:sz w:val="20"/>
                <w:szCs w:val="20"/>
                <w:lang w:val="bg-BG"/>
              </w:rPr>
            </w:pPr>
            <w:r w:rsidRPr="00CC65C0">
              <w:rPr>
                <w:rFonts w:ascii="Arial Narrow" w:hAnsi="Arial Narrow" w:cs="Calibri"/>
                <w:color w:val="000000"/>
                <w:sz w:val="20"/>
                <w:szCs w:val="20"/>
                <w:lang w:val="bg-BG"/>
              </w:rPr>
              <w:t>Осъществяване на противоградова защита</w:t>
            </w:r>
          </w:p>
        </w:tc>
        <w:tc>
          <w:tcPr>
            <w:tcW w:w="1160" w:type="dxa"/>
            <w:tcBorders>
              <w:top w:val="nil"/>
              <w:left w:val="nil"/>
              <w:bottom w:val="single" w:sz="4" w:space="0" w:color="auto"/>
              <w:right w:val="single" w:sz="4" w:space="0" w:color="auto"/>
            </w:tcBorders>
            <w:shd w:val="clear" w:color="auto" w:fill="auto"/>
            <w:noWrap/>
            <w:vAlign w:val="center"/>
            <w:hideMark/>
          </w:tcPr>
          <w:p w14:paraId="30A265AD" w14:textId="77777777" w:rsidR="00CC65C0" w:rsidRPr="00CC65C0" w:rsidRDefault="00CC65C0" w:rsidP="00CC65C0">
            <w:pPr>
              <w:jc w:val="right"/>
              <w:rPr>
                <w:rFonts w:ascii="Arial Narrow" w:hAnsi="Arial Narrow" w:cs="Calibri"/>
                <w:color w:val="000000"/>
                <w:sz w:val="20"/>
                <w:szCs w:val="20"/>
              </w:rPr>
            </w:pPr>
            <w:r w:rsidRPr="00CC65C0">
              <w:rPr>
                <w:rFonts w:ascii="Arial Narrow" w:hAnsi="Arial Narrow" w:cs="Calibri"/>
                <w:color w:val="000000"/>
                <w:sz w:val="20"/>
                <w:szCs w:val="20"/>
              </w:rPr>
              <w:t>37 274 815</w:t>
            </w:r>
          </w:p>
        </w:tc>
        <w:tc>
          <w:tcPr>
            <w:tcW w:w="1134" w:type="dxa"/>
            <w:tcBorders>
              <w:top w:val="nil"/>
              <w:left w:val="nil"/>
              <w:bottom w:val="single" w:sz="4" w:space="0" w:color="auto"/>
              <w:right w:val="single" w:sz="4" w:space="0" w:color="auto"/>
            </w:tcBorders>
            <w:shd w:val="clear" w:color="auto" w:fill="auto"/>
            <w:noWrap/>
            <w:vAlign w:val="center"/>
            <w:hideMark/>
          </w:tcPr>
          <w:p w14:paraId="61235FDC" w14:textId="77777777" w:rsidR="00CC65C0" w:rsidRPr="00CC65C0" w:rsidRDefault="00CC65C0" w:rsidP="00CC65C0">
            <w:pPr>
              <w:jc w:val="right"/>
              <w:rPr>
                <w:rFonts w:ascii="Arial Narrow" w:hAnsi="Arial Narrow" w:cs="Calibri"/>
                <w:color w:val="000000"/>
                <w:sz w:val="20"/>
                <w:szCs w:val="20"/>
              </w:rPr>
            </w:pPr>
            <w:r w:rsidRPr="00CC65C0">
              <w:rPr>
                <w:rFonts w:ascii="Arial Narrow" w:hAnsi="Arial Narrow" w:cs="Calibri"/>
                <w:color w:val="000000"/>
                <w:sz w:val="20"/>
                <w:szCs w:val="20"/>
              </w:rPr>
              <w:t>32 811 118</w:t>
            </w:r>
          </w:p>
        </w:tc>
        <w:tc>
          <w:tcPr>
            <w:tcW w:w="1134" w:type="dxa"/>
            <w:tcBorders>
              <w:top w:val="nil"/>
              <w:left w:val="nil"/>
              <w:bottom w:val="single" w:sz="4" w:space="0" w:color="auto"/>
              <w:right w:val="single" w:sz="4" w:space="0" w:color="auto"/>
            </w:tcBorders>
            <w:shd w:val="clear" w:color="auto" w:fill="auto"/>
            <w:noWrap/>
            <w:vAlign w:val="center"/>
            <w:hideMark/>
          </w:tcPr>
          <w:p w14:paraId="252155BD" w14:textId="77777777" w:rsidR="00CC65C0" w:rsidRPr="00CC65C0" w:rsidRDefault="00CC65C0" w:rsidP="00CC65C0">
            <w:pPr>
              <w:jc w:val="right"/>
              <w:rPr>
                <w:rFonts w:ascii="Arial Narrow" w:hAnsi="Arial Narrow" w:cs="Calibri"/>
                <w:color w:val="000000"/>
                <w:sz w:val="20"/>
                <w:szCs w:val="20"/>
              </w:rPr>
            </w:pPr>
            <w:r w:rsidRPr="00CC65C0">
              <w:rPr>
                <w:rFonts w:ascii="Arial Narrow" w:hAnsi="Arial Narrow" w:cs="Calibri"/>
                <w:color w:val="000000"/>
                <w:sz w:val="20"/>
                <w:szCs w:val="20"/>
              </w:rPr>
              <w:t>45 763 588</w:t>
            </w:r>
          </w:p>
        </w:tc>
      </w:tr>
      <w:tr w:rsidR="00CC65C0" w:rsidRPr="00CC65C0" w14:paraId="1B22F647" w14:textId="77777777" w:rsidTr="0014399B">
        <w:trPr>
          <w:trHeight w:val="1905"/>
        </w:trPr>
        <w:tc>
          <w:tcPr>
            <w:tcW w:w="2906" w:type="dxa"/>
            <w:tcBorders>
              <w:top w:val="nil"/>
              <w:left w:val="single" w:sz="4" w:space="0" w:color="auto"/>
              <w:bottom w:val="single" w:sz="4" w:space="0" w:color="auto"/>
              <w:right w:val="single" w:sz="4" w:space="0" w:color="auto"/>
            </w:tcBorders>
            <w:shd w:val="clear" w:color="auto" w:fill="auto"/>
            <w:vAlign w:val="center"/>
            <w:hideMark/>
          </w:tcPr>
          <w:p w14:paraId="3EA4718F" w14:textId="77777777" w:rsidR="00CC65C0" w:rsidRPr="00CC65C0" w:rsidRDefault="00CC65C0" w:rsidP="00CC65C0">
            <w:pPr>
              <w:rPr>
                <w:rFonts w:ascii="Arial Narrow" w:hAnsi="Arial Narrow" w:cs="Calibri"/>
                <w:color w:val="000000"/>
                <w:sz w:val="20"/>
                <w:szCs w:val="20"/>
                <w:lang w:val="bg-BG"/>
              </w:rPr>
            </w:pPr>
            <w:r w:rsidRPr="00CC65C0">
              <w:rPr>
                <w:rFonts w:ascii="Arial Narrow" w:hAnsi="Arial Narrow" w:cs="Calibri"/>
                <w:b/>
                <w:color w:val="000000"/>
                <w:sz w:val="20"/>
                <w:szCs w:val="20"/>
                <w:lang w:val="bg-BG"/>
              </w:rPr>
              <w:t>Наводнения</w:t>
            </w:r>
            <w:r w:rsidRPr="00CC65C0">
              <w:rPr>
                <w:rFonts w:ascii="Arial Narrow" w:hAnsi="Arial Narrow" w:cs="Calibri"/>
                <w:color w:val="000000"/>
                <w:sz w:val="20"/>
                <w:szCs w:val="20"/>
                <w:lang w:val="bg-BG"/>
              </w:rPr>
              <w:t xml:space="preserve"> - Намаляване или унищожаване на земеделската продукция, инфраструктура и населени места</w:t>
            </w:r>
          </w:p>
        </w:tc>
        <w:tc>
          <w:tcPr>
            <w:tcW w:w="3447" w:type="dxa"/>
            <w:tcBorders>
              <w:top w:val="nil"/>
              <w:left w:val="nil"/>
              <w:bottom w:val="single" w:sz="4" w:space="0" w:color="auto"/>
              <w:right w:val="single" w:sz="4" w:space="0" w:color="auto"/>
            </w:tcBorders>
            <w:shd w:val="clear" w:color="auto" w:fill="auto"/>
            <w:vAlign w:val="center"/>
            <w:hideMark/>
          </w:tcPr>
          <w:p w14:paraId="45A54E0B" w14:textId="77777777" w:rsidR="00CC65C0" w:rsidRPr="00CC65C0" w:rsidRDefault="00CC65C0" w:rsidP="00CC65C0">
            <w:pPr>
              <w:rPr>
                <w:rFonts w:ascii="Arial Narrow" w:hAnsi="Arial Narrow" w:cs="Calibri"/>
                <w:color w:val="000000"/>
                <w:sz w:val="20"/>
                <w:szCs w:val="20"/>
                <w:lang w:val="bg-BG"/>
              </w:rPr>
            </w:pPr>
            <w:r w:rsidRPr="00CC65C0">
              <w:rPr>
                <w:rFonts w:ascii="Arial Narrow" w:hAnsi="Arial Narrow" w:cs="Calibri"/>
                <w:color w:val="000000"/>
                <w:sz w:val="20"/>
                <w:szCs w:val="20"/>
                <w:lang w:val="bg-BG"/>
              </w:rPr>
              <w:t>Превенция слещу наводнения - почистване, поддържане и ремонтно-възстановителни работи по обекти за предпазване от вредното въздействие на водите - диги, корекции на реки, отводнителни канали и отводнителни помпени станции</w:t>
            </w:r>
          </w:p>
        </w:tc>
        <w:tc>
          <w:tcPr>
            <w:tcW w:w="1160" w:type="dxa"/>
            <w:tcBorders>
              <w:top w:val="nil"/>
              <w:left w:val="nil"/>
              <w:bottom w:val="single" w:sz="4" w:space="0" w:color="auto"/>
              <w:right w:val="single" w:sz="4" w:space="0" w:color="auto"/>
            </w:tcBorders>
            <w:shd w:val="clear" w:color="auto" w:fill="auto"/>
            <w:noWrap/>
            <w:vAlign w:val="center"/>
            <w:hideMark/>
          </w:tcPr>
          <w:p w14:paraId="71AFE6B1" w14:textId="77777777" w:rsidR="00CC65C0" w:rsidRPr="00CC65C0" w:rsidRDefault="00CC65C0" w:rsidP="00CC65C0">
            <w:pPr>
              <w:jc w:val="right"/>
              <w:rPr>
                <w:rFonts w:ascii="Arial Narrow" w:hAnsi="Arial Narrow" w:cs="Calibri"/>
                <w:color w:val="000000"/>
                <w:sz w:val="20"/>
                <w:szCs w:val="20"/>
              </w:rPr>
            </w:pPr>
            <w:r w:rsidRPr="00CC65C0">
              <w:rPr>
                <w:rFonts w:ascii="Arial Narrow" w:hAnsi="Arial Narrow" w:cs="Calibri"/>
                <w:color w:val="000000"/>
                <w:sz w:val="20"/>
                <w:szCs w:val="20"/>
              </w:rPr>
              <w:t>26 462 501</w:t>
            </w:r>
          </w:p>
        </w:tc>
        <w:tc>
          <w:tcPr>
            <w:tcW w:w="1134" w:type="dxa"/>
            <w:tcBorders>
              <w:top w:val="nil"/>
              <w:left w:val="nil"/>
              <w:bottom w:val="single" w:sz="4" w:space="0" w:color="auto"/>
              <w:right w:val="single" w:sz="4" w:space="0" w:color="auto"/>
            </w:tcBorders>
            <w:shd w:val="clear" w:color="auto" w:fill="auto"/>
            <w:noWrap/>
            <w:vAlign w:val="center"/>
            <w:hideMark/>
          </w:tcPr>
          <w:p w14:paraId="04320752" w14:textId="77777777" w:rsidR="00CC65C0" w:rsidRPr="00CC65C0" w:rsidRDefault="00CC65C0" w:rsidP="00CC65C0">
            <w:pPr>
              <w:jc w:val="right"/>
              <w:rPr>
                <w:rFonts w:ascii="Arial Narrow" w:hAnsi="Arial Narrow" w:cs="Calibri"/>
                <w:color w:val="000000"/>
                <w:sz w:val="20"/>
                <w:szCs w:val="20"/>
              </w:rPr>
            </w:pPr>
            <w:r w:rsidRPr="00CC65C0">
              <w:rPr>
                <w:rFonts w:ascii="Arial Narrow" w:hAnsi="Arial Narrow" w:cs="Calibri"/>
                <w:color w:val="000000"/>
                <w:sz w:val="20"/>
                <w:szCs w:val="20"/>
              </w:rPr>
              <w:t>29 300 000</w:t>
            </w:r>
          </w:p>
        </w:tc>
        <w:tc>
          <w:tcPr>
            <w:tcW w:w="1134" w:type="dxa"/>
            <w:tcBorders>
              <w:top w:val="nil"/>
              <w:left w:val="nil"/>
              <w:bottom w:val="single" w:sz="4" w:space="0" w:color="auto"/>
              <w:right w:val="single" w:sz="4" w:space="0" w:color="auto"/>
            </w:tcBorders>
            <w:shd w:val="clear" w:color="auto" w:fill="auto"/>
            <w:noWrap/>
            <w:vAlign w:val="center"/>
            <w:hideMark/>
          </w:tcPr>
          <w:p w14:paraId="0E4F8160" w14:textId="77777777" w:rsidR="00CC65C0" w:rsidRPr="00CC65C0" w:rsidRDefault="00CC65C0" w:rsidP="00CC65C0">
            <w:pPr>
              <w:jc w:val="right"/>
              <w:rPr>
                <w:rFonts w:ascii="Arial Narrow" w:hAnsi="Arial Narrow" w:cs="Calibri"/>
                <w:color w:val="000000"/>
                <w:sz w:val="20"/>
                <w:szCs w:val="20"/>
              </w:rPr>
            </w:pPr>
            <w:r w:rsidRPr="00CC65C0">
              <w:rPr>
                <w:rFonts w:ascii="Arial Narrow" w:hAnsi="Arial Narrow" w:cs="Calibri"/>
                <w:color w:val="000000"/>
                <w:sz w:val="20"/>
                <w:szCs w:val="20"/>
              </w:rPr>
              <w:t>33 375 243</w:t>
            </w:r>
          </w:p>
        </w:tc>
      </w:tr>
      <w:tr w:rsidR="00CC65C0" w:rsidRPr="00CC65C0" w14:paraId="1DE6F1CD" w14:textId="77777777" w:rsidTr="0014399B">
        <w:trPr>
          <w:trHeight w:val="1140"/>
        </w:trPr>
        <w:tc>
          <w:tcPr>
            <w:tcW w:w="2906" w:type="dxa"/>
            <w:tcBorders>
              <w:top w:val="nil"/>
              <w:left w:val="single" w:sz="4" w:space="0" w:color="auto"/>
              <w:bottom w:val="single" w:sz="4" w:space="0" w:color="auto"/>
              <w:right w:val="single" w:sz="4" w:space="0" w:color="auto"/>
            </w:tcBorders>
            <w:shd w:val="clear" w:color="auto" w:fill="auto"/>
            <w:vAlign w:val="center"/>
            <w:hideMark/>
          </w:tcPr>
          <w:p w14:paraId="274EB053" w14:textId="77777777" w:rsidR="00CC65C0" w:rsidRPr="00CC65C0" w:rsidRDefault="00CC65C0" w:rsidP="00CC65C0">
            <w:pPr>
              <w:rPr>
                <w:rFonts w:ascii="Arial Narrow" w:hAnsi="Arial Narrow" w:cs="Calibri"/>
                <w:b/>
                <w:color w:val="000000"/>
                <w:sz w:val="20"/>
                <w:szCs w:val="20"/>
                <w:lang w:val="bg-BG"/>
              </w:rPr>
            </w:pPr>
            <w:r w:rsidRPr="00CC65C0">
              <w:rPr>
                <w:rFonts w:ascii="Arial Narrow" w:hAnsi="Arial Narrow" w:cs="Calibri"/>
                <w:b/>
                <w:color w:val="000000"/>
                <w:sz w:val="20"/>
                <w:szCs w:val="20"/>
                <w:lang w:val="bg-BG"/>
              </w:rPr>
              <w:t>Пожари в горските територии</w:t>
            </w:r>
          </w:p>
        </w:tc>
        <w:tc>
          <w:tcPr>
            <w:tcW w:w="3447" w:type="dxa"/>
            <w:tcBorders>
              <w:top w:val="nil"/>
              <w:left w:val="nil"/>
              <w:bottom w:val="single" w:sz="4" w:space="0" w:color="auto"/>
              <w:right w:val="single" w:sz="4" w:space="0" w:color="auto"/>
            </w:tcBorders>
            <w:shd w:val="clear" w:color="auto" w:fill="auto"/>
            <w:vAlign w:val="center"/>
            <w:hideMark/>
          </w:tcPr>
          <w:p w14:paraId="10CF3247" w14:textId="77777777" w:rsidR="00CC65C0" w:rsidRPr="00CC65C0" w:rsidRDefault="00CC65C0" w:rsidP="00CC65C0">
            <w:pPr>
              <w:rPr>
                <w:rFonts w:ascii="Arial Narrow" w:hAnsi="Arial Narrow" w:cs="Calibri"/>
                <w:color w:val="000000"/>
                <w:sz w:val="20"/>
                <w:szCs w:val="20"/>
                <w:lang w:val="bg-BG"/>
              </w:rPr>
            </w:pPr>
            <w:r w:rsidRPr="00CC65C0">
              <w:rPr>
                <w:rFonts w:ascii="Arial Narrow" w:hAnsi="Arial Narrow" w:cs="Calibri"/>
                <w:color w:val="000000"/>
                <w:sz w:val="20"/>
                <w:szCs w:val="20"/>
                <w:lang w:val="bg-BG"/>
              </w:rPr>
              <w:t>Превенция срещу пожари в горските територии - минерализовани ивици, лесокултурни и бариерни прегради, пожаронаблюдателни кули и др.</w:t>
            </w:r>
          </w:p>
        </w:tc>
        <w:tc>
          <w:tcPr>
            <w:tcW w:w="1160" w:type="dxa"/>
            <w:tcBorders>
              <w:top w:val="nil"/>
              <w:left w:val="nil"/>
              <w:bottom w:val="single" w:sz="4" w:space="0" w:color="auto"/>
              <w:right w:val="single" w:sz="4" w:space="0" w:color="auto"/>
            </w:tcBorders>
            <w:shd w:val="clear" w:color="auto" w:fill="auto"/>
            <w:noWrap/>
            <w:vAlign w:val="center"/>
            <w:hideMark/>
          </w:tcPr>
          <w:p w14:paraId="77C88443" w14:textId="77777777" w:rsidR="00CC65C0" w:rsidRPr="00CC65C0" w:rsidRDefault="00CC65C0" w:rsidP="00CC65C0">
            <w:pPr>
              <w:jc w:val="right"/>
              <w:rPr>
                <w:rFonts w:ascii="Arial Narrow" w:hAnsi="Arial Narrow" w:cs="Calibri"/>
                <w:color w:val="000000"/>
                <w:sz w:val="20"/>
                <w:szCs w:val="20"/>
              </w:rPr>
            </w:pPr>
            <w:r w:rsidRPr="00CC65C0">
              <w:rPr>
                <w:rFonts w:ascii="Arial Narrow" w:hAnsi="Arial Narrow" w:cs="Calibri"/>
                <w:color w:val="000000"/>
                <w:sz w:val="20"/>
                <w:szCs w:val="20"/>
              </w:rPr>
              <w:t>1 712 790</w:t>
            </w:r>
          </w:p>
        </w:tc>
        <w:tc>
          <w:tcPr>
            <w:tcW w:w="1134" w:type="dxa"/>
            <w:tcBorders>
              <w:top w:val="nil"/>
              <w:left w:val="nil"/>
              <w:bottom w:val="single" w:sz="4" w:space="0" w:color="auto"/>
              <w:right w:val="single" w:sz="4" w:space="0" w:color="auto"/>
            </w:tcBorders>
            <w:shd w:val="clear" w:color="auto" w:fill="auto"/>
            <w:noWrap/>
            <w:vAlign w:val="center"/>
            <w:hideMark/>
          </w:tcPr>
          <w:p w14:paraId="62870090" w14:textId="77777777" w:rsidR="00CC65C0" w:rsidRPr="00CC65C0" w:rsidRDefault="00CC65C0" w:rsidP="00CC65C0">
            <w:pPr>
              <w:jc w:val="right"/>
              <w:rPr>
                <w:rFonts w:ascii="Arial Narrow" w:hAnsi="Arial Narrow" w:cs="Calibri"/>
                <w:color w:val="000000"/>
                <w:sz w:val="20"/>
                <w:szCs w:val="20"/>
              </w:rPr>
            </w:pPr>
            <w:r w:rsidRPr="00CC65C0">
              <w:rPr>
                <w:rFonts w:ascii="Arial Narrow" w:hAnsi="Arial Narrow" w:cs="Calibri"/>
                <w:color w:val="000000"/>
                <w:sz w:val="20"/>
                <w:szCs w:val="20"/>
              </w:rPr>
              <w:t>1 397 402</w:t>
            </w:r>
          </w:p>
        </w:tc>
        <w:tc>
          <w:tcPr>
            <w:tcW w:w="1134" w:type="dxa"/>
            <w:tcBorders>
              <w:top w:val="nil"/>
              <w:left w:val="nil"/>
              <w:bottom w:val="single" w:sz="4" w:space="0" w:color="auto"/>
              <w:right w:val="single" w:sz="4" w:space="0" w:color="auto"/>
            </w:tcBorders>
            <w:shd w:val="clear" w:color="auto" w:fill="auto"/>
            <w:noWrap/>
            <w:vAlign w:val="center"/>
            <w:hideMark/>
          </w:tcPr>
          <w:p w14:paraId="702D88D3" w14:textId="77777777" w:rsidR="00CC65C0" w:rsidRPr="00CC65C0" w:rsidRDefault="00CC65C0" w:rsidP="00CC65C0">
            <w:pPr>
              <w:jc w:val="right"/>
              <w:rPr>
                <w:rFonts w:ascii="Arial Narrow" w:hAnsi="Arial Narrow" w:cs="Calibri"/>
                <w:color w:val="000000"/>
                <w:sz w:val="20"/>
                <w:szCs w:val="20"/>
              </w:rPr>
            </w:pPr>
            <w:r w:rsidRPr="00CC65C0">
              <w:rPr>
                <w:rFonts w:ascii="Arial Narrow" w:hAnsi="Arial Narrow" w:cs="Calibri"/>
                <w:color w:val="000000"/>
                <w:sz w:val="20"/>
                <w:szCs w:val="20"/>
              </w:rPr>
              <w:t>1 328 679</w:t>
            </w:r>
          </w:p>
        </w:tc>
      </w:tr>
      <w:tr w:rsidR="00CC65C0" w:rsidRPr="00CC65C0" w14:paraId="57C13E0B" w14:textId="77777777" w:rsidTr="0014399B">
        <w:trPr>
          <w:trHeight w:val="402"/>
        </w:trPr>
        <w:tc>
          <w:tcPr>
            <w:tcW w:w="2906" w:type="dxa"/>
            <w:tcBorders>
              <w:top w:val="nil"/>
              <w:left w:val="single" w:sz="4" w:space="0" w:color="auto"/>
              <w:bottom w:val="single" w:sz="4" w:space="0" w:color="auto"/>
              <w:right w:val="single" w:sz="4" w:space="0" w:color="auto"/>
            </w:tcBorders>
            <w:shd w:val="clear" w:color="auto" w:fill="auto"/>
            <w:noWrap/>
            <w:vAlign w:val="bottom"/>
            <w:hideMark/>
          </w:tcPr>
          <w:p w14:paraId="3FD715B9" w14:textId="77777777" w:rsidR="00CC65C0" w:rsidRPr="00CC65C0" w:rsidRDefault="00CC65C0" w:rsidP="00CC65C0">
            <w:pPr>
              <w:rPr>
                <w:rFonts w:ascii="Calibri" w:hAnsi="Calibri" w:cs="Calibri"/>
                <w:color w:val="000000"/>
                <w:sz w:val="22"/>
                <w:szCs w:val="22"/>
                <w:lang w:val="bg-BG"/>
              </w:rPr>
            </w:pPr>
          </w:p>
        </w:tc>
        <w:tc>
          <w:tcPr>
            <w:tcW w:w="3447" w:type="dxa"/>
            <w:tcBorders>
              <w:top w:val="nil"/>
              <w:left w:val="nil"/>
              <w:bottom w:val="single" w:sz="4" w:space="0" w:color="auto"/>
              <w:right w:val="single" w:sz="4" w:space="0" w:color="auto"/>
            </w:tcBorders>
            <w:shd w:val="clear" w:color="auto" w:fill="auto"/>
            <w:vAlign w:val="center"/>
            <w:hideMark/>
          </w:tcPr>
          <w:p w14:paraId="3969224A" w14:textId="77777777" w:rsidR="00CC65C0" w:rsidRPr="00CC65C0" w:rsidRDefault="00CC65C0" w:rsidP="00CC65C0">
            <w:pPr>
              <w:rPr>
                <w:rFonts w:ascii="Arial Narrow" w:hAnsi="Arial Narrow" w:cs="Calibri"/>
                <w:b/>
                <w:bCs/>
                <w:color w:val="000000"/>
                <w:sz w:val="20"/>
                <w:szCs w:val="20"/>
                <w:lang w:val="bg-BG"/>
              </w:rPr>
            </w:pPr>
            <w:r w:rsidRPr="00CC65C0">
              <w:rPr>
                <w:rFonts w:ascii="Arial Narrow" w:hAnsi="Arial Narrow" w:cs="Calibri"/>
                <w:b/>
                <w:bCs/>
                <w:color w:val="000000"/>
                <w:sz w:val="20"/>
                <w:szCs w:val="20"/>
                <w:lang w:val="bg-BG"/>
              </w:rPr>
              <w:t>Общо</w:t>
            </w:r>
          </w:p>
        </w:tc>
        <w:tc>
          <w:tcPr>
            <w:tcW w:w="1160" w:type="dxa"/>
            <w:tcBorders>
              <w:top w:val="nil"/>
              <w:left w:val="nil"/>
              <w:bottom w:val="single" w:sz="4" w:space="0" w:color="auto"/>
              <w:right w:val="single" w:sz="4" w:space="0" w:color="auto"/>
            </w:tcBorders>
            <w:shd w:val="clear" w:color="auto" w:fill="auto"/>
            <w:noWrap/>
            <w:vAlign w:val="center"/>
            <w:hideMark/>
          </w:tcPr>
          <w:p w14:paraId="115540AF" w14:textId="77777777" w:rsidR="00CC65C0" w:rsidRPr="00CC65C0" w:rsidRDefault="00CC65C0" w:rsidP="00CC65C0">
            <w:pPr>
              <w:jc w:val="right"/>
              <w:rPr>
                <w:rFonts w:ascii="Arial Narrow" w:hAnsi="Arial Narrow" w:cs="Calibri"/>
                <w:b/>
                <w:bCs/>
                <w:color w:val="000000"/>
                <w:sz w:val="20"/>
                <w:szCs w:val="20"/>
              </w:rPr>
            </w:pPr>
            <w:r w:rsidRPr="00CC65C0">
              <w:rPr>
                <w:rFonts w:ascii="Arial Narrow" w:hAnsi="Arial Narrow" w:cs="Calibri"/>
                <w:b/>
                <w:bCs/>
                <w:color w:val="000000"/>
                <w:sz w:val="20"/>
                <w:szCs w:val="20"/>
              </w:rPr>
              <w:t>65 450 106</w:t>
            </w:r>
          </w:p>
        </w:tc>
        <w:tc>
          <w:tcPr>
            <w:tcW w:w="1134" w:type="dxa"/>
            <w:tcBorders>
              <w:top w:val="nil"/>
              <w:left w:val="nil"/>
              <w:bottom w:val="single" w:sz="4" w:space="0" w:color="auto"/>
              <w:right w:val="single" w:sz="4" w:space="0" w:color="auto"/>
            </w:tcBorders>
            <w:shd w:val="clear" w:color="auto" w:fill="auto"/>
            <w:noWrap/>
            <w:vAlign w:val="center"/>
            <w:hideMark/>
          </w:tcPr>
          <w:p w14:paraId="0E9F3E36" w14:textId="77777777" w:rsidR="00CC65C0" w:rsidRPr="00CC65C0" w:rsidRDefault="00CC65C0" w:rsidP="00CC65C0">
            <w:pPr>
              <w:jc w:val="right"/>
              <w:rPr>
                <w:rFonts w:ascii="Arial Narrow" w:hAnsi="Arial Narrow" w:cs="Calibri"/>
                <w:b/>
                <w:bCs/>
                <w:color w:val="000000"/>
                <w:sz w:val="20"/>
                <w:szCs w:val="20"/>
              </w:rPr>
            </w:pPr>
            <w:r w:rsidRPr="00CC65C0">
              <w:rPr>
                <w:rFonts w:ascii="Arial Narrow" w:hAnsi="Arial Narrow" w:cs="Calibri"/>
                <w:b/>
                <w:bCs/>
                <w:color w:val="000000"/>
                <w:sz w:val="20"/>
                <w:szCs w:val="20"/>
              </w:rPr>
              <w:t>63 508 520</w:t>
            </w:r>
          </w:p>
        </w:tc>
        <w:tc>
          <w:tcPr>
            <w:tcW w:w="1134" w:type="dxa"/>
            <w:tcBorders>
              <w:top w:val="nil"/>
              <w:left w:val="nil"/>
              <w:bottom w:val="single" w:sz="4" w:space="0" w:color="auto"/>
              <w:right w:val="single" w:sz="4" w:space="0" w:color="auto"/>
            </w:tcBorders>
            <w:shd w:val="clear" w:color="auto" w:fill="auto"/>
            <w:noWrap/>
            <w:vAlign w:val="center"/>
            <w:hideMark/>
          </w:tcPr>
          <w:p w14:paraId="0E225FC8" w14:textId="77777777" w:rsidR="00CC65C0" w:rsidRPr="00CC65C0" w:rsidRDefault="00CC65C0" w:rsidP="00CC65C0">
            <w:pPr>
              <w:jc w:val="right"/>
              <w:rPr>
                <w:rFonts w:ascii="Arial Narrow" w:hAnsi="Arial Narrow" w:cs="Calibri"/>
                <w:b/>
                <w:bCs/>
                <w:color w:val="000000"/>
                <w:sz w:val="20"/>
                <w:szCs w:val="20"/>
              </w:rPr>
            </w:pPr>
            <w:r w:rsidRPr="00CC65C0">
              <w:rPr>
                <w:rFonts w:ascii="Arial Narrow" w:hAnsi="Arial Narrow" w:cs="Calibri"/>
                <w:b/>
                <w:bCs/>
                <w:color w:val="000000"/>
                <w:sz w:val="20"/>
                <w:szCs w:val="20"/>
              </w:rPr>
              <w:t>80 467 510</w:t>
            </w:r>
          </w:p>
        </w:tc>
      </w:tr>
    </w:tbl>
    <w:p w14:paraId="2B76034A" w14:textId="77777777" w:rsidR="00CC65C0" w:rsidRPr="00CC65C0" w:rsidRDefault="00CC65C0" w:rsidP="00CC65C0">
      <w:pPr>
        <w:spacing w:after="120"/>
        <w:jc w:val="both"/>
        <w:rPr>
          <w:rFonts w:ascii="Arial Narrow" w:eastAsia="Calibri" w:hAnsi="Arial Narrow"/>
          <w:sz w:val="18"/>
          <w:szCs w:val="18"/>
          <w:lang w:val="bg-BG"/>
        </w:rPr>
      </w:pPr>
      <w:r w:rsidRPr="00CC65C0">
        <w:rPr>
          <w:rFonts w:ascii="Arial Narrow" w:eastAsia="Calibri" w:hAnsi="Arial Narrow"/>
          <w:i/>
          <w:sz w:val="18"/>
          <w:szCs w:val="18"/>
          <w:lang w:val="bg-BG"/>
        </w:rPr>
        <w:t>Източник:</w:t>
      </w:r>
      <w:r w:rsidRPr="00CC65C0">
        <w:rPr>
          <w:rFonts w:ascii="Arial Narrow" w:eastAsia="Calibri" w:hAnsi="Arial Narrow"/>
          <w:sz w:val="18"/>
          <w:szCs w:val="18"/>
          <w:lang w:val="bg-BG"/>
        </w:rPr>
        <w:t xml:space="preserve"> МЗХ</w:t>
      </w:r>
    </w:p>
    <w:p w14:paraId="6968F8CF" w14:textId="77777777" w:rsidR="00CC65C0" w:rsidRPr="00CC65C0" w:rsidRDefault="00CC65C0" w:rsidP="00CC65C0">
      <w:pPr>
        <w:spacing w:after="120"/>
        <w:ind w:firstLine="709"/>
        <w:jc w:val="both"/>
        <w:rPr>
          <w:rFonts w:ascii="Arial Narrow" w:eastAsia="Calibri" w:hAnsi="Arial Narrow"/>
          <w:b/>
          <w:lang w:val="bg-BG"/>
        </w:rPr>
      </w:pPr>
      <w:r w:rsidRPr="00CC65C0">
        <w:rPr>
          <w:rFonts w:ascii="Arial Narrow" w:eastAsia="Calibri" w:hAnsi="Arial Narrow"/>
          <w:b/>
          <w:lang w:val="bg-BG"/>
        </w:rPr>
        <w:t xml:space="preserve">Контролна и надзорна дейност в сектор „Рибарство“  </w:t>
      </w:r>
    </w:p>
    <w:p w14:paraId="7B1E0F9D" w14:textId="77777777" w:rsidR="00CC65C0" w:rsidRPr="00CC65C0" w:rsidRDefault="00CC65C0" w:rsidP="00CC65C0">
      <w:pPr>
        <w:spacing w:after="120"/>
        <w:ind w:firstLine="720"/>
        <w:jc w:val="both"/>
        <w:rPr>
          <w:rFonts w:ascii="Arial Narrow" w:eastAsia="Calibri" w:hAnsi="Arial Narrow"/>
          <w:lang w:val="bg-BG"/>
        </w:rPr>
      </w:pPr>
      <w:r w:rsidRPr="00CC65C0">
        <w:rPr>
          <w:rFonts w:ascii="Arial Narrow" w:eastAsia="Calibri" w:hAnsi="Arial Narrow"/>
          <w:lang w:val="bg-BG"/>
        </w:rPr>
        <w:t xml:space="preserve">В рамките на 2024 г. Изпълнителната агенция по рибарство и аквакултури е извършила общо 20 192 проверки за подобряване на контролната и надзорната дейност по отношение на експлоатацията на природни ресурси - риба и аквакултури (при 5 727 броя през предходната година). Това включва 3 проверки за опазване на популациите от бяла пясъчна мида и устойчивата им експлоатация (проверки през периода на забрана) и 1 235 съвместни проверки с Гранична полиция, Морска администрация, РИОСВ, БАБХ, ИАГ, сдружения и други организации. </w:t>
      </w:r>
    </w:p>
    <w:p w14:paraId="4B49E1E3" w14:textId="77777777" w:rsidR="00CC65C0" w:rsidRPr="00CC65C0" w:rsidRDefault="00CC65C0" w:rsidP="00CC65C0">
      <w:pPr>
        <w:spacing w:after="120"/>
        <w:ind w:firstLine="720"/>
        <w:jc w:val="both"/>
        <w:rPr>
          <w:rFonts w:ascii="Arial Narrow" w:eastAsia="Calibri" w:hAnsi="Arial Narrow"/>
          <w:lang w:val="bg-BG"/>
        </w:rPr>
      </w:pPr>
      <w:r w:rsidRPr="00CC65C0">
        <w:rPr>
          <w:rFonts w:ascii="Arial Narrow" w:eastAsia="Calibri" w:hAnsi="Arial Narrow"/>
          <w:lang w:val="bg-BG"/>
        </w:rPr>
        <w:t xml:space="preserve">По видове дейности, най-много са проверките, извършени при разтоварване на риболовен кораб в пристанище (3 309 броя) и на обекти за продажба на риба и други водни организми (1 597 броя). </w:t>
      </w:r>
    </w:p>
    <w:p w14:paraId="6C6B9203" w14:textId="77777777" w:rsidR="00CC65C0" w:rsidRPr="00CC65C0" w:rsidRDefault="00CC65C0" w:rsidP="00CC65C0">
      <w:pPr>
        <w:spacing w:after="120"/>
        <w:ind w:firstLine="720"/>
        <w:jc w:val="both"/>
        <w:rPr>
          <w:rFonts w:ascii="Arial Narrow" w:eastAsia="Calibri" w:hAnsi="Arial Narrow"/>
          <w:lang w:val="bg-BG"/>
        </w:rPr>
      </w:pPr>
      <w:r w:rsidRPr="00CC65C0">
        <w:rPr>
          <w:rFonts w:ascii="Arial Narrow" w:eastAsia="Calibri" w:hAnsi="Arial Narrow"/>
          <w:lang w:val="bg-BG"/>
        </w:rPr>
        <w:t>В резултат на проверките, през годината са установени общо 1 208 нарушения (при 3 170 за 2023 г.)</w:t>
      </w:r>
    </w:p>
    <w:p w14:paraId="75CD610B" w14:textId="77777777" w:rsidR="0082579A" w:rsidRPr="00532BCB" w:rsidRDefault="00ED5A86" w:rsidP="00532BCB">
      <w:pPr>
        <w:pStyle w:val="ListParagraph"/>
        <w:keepNext/>
        <w:keepLines/>
        <w:numPr>
          <w:ilvl w:val="1"/>
          <w:numId w:val="16"/>
        </w:numPr>
        <w:spacing w:after="120"/>
        <w:ind w:left="981" w:hanging="624"/>
        <w:contextualSpacing w:val="0"/>
        <w:jc w:val="both"/>
        <w:outlineLvl w:val="0"/>
        <w:rPr>
          <w:rFonts w:ascii="Arial Narrow" w:hAnsi="Arial Narrow"/>
          <w:b/>
        </w:rPr>
      </w:pPr>
      <w:bookmarkStart w:id="222" w:name="_Toc210747664"/>
      <w:r w:rsidRPr="00532BCB">
        <w:rPr>
          <w:rFonts w:ascii="Arial Narrow" w:hAnsi="Arial Narrow"/>
          <w:b/>
          <w:lang w:val="bg-BG"/>
        </w:rPr>
        <w:t>Икономически рискове</w:t>
      </w:r>
      <w:bookmarkEnd w:id="222"/>
    </w:p>
    <w:p w14:paraId="6310C8D2" w14:textId="77777777" w:rsidR="0082579A" w:rsidRPr="0082579A" w:rsidRDefault="0082579A" w:rsidP="0082579A">
      <w:pPr>
        <w:spacing w:after="120"/>
        <w:ind w:firstLine="720"/>
        <w:jc w:val="both"/>
        <w:rPr>
          <w:rFonts w:ascii="Arial Narrow" w:eastAsia="Calibri" w:hAnsi="Arial Narrow"/>
          <w:lang w:val="bg-BG"/>
        </w:rPr>
      </w:pPr>
      <w:r w:rsidRPr="0082579A">
        <w:rPr>
          <w:rFonts w:ascii="Arial Narrow" w:eastAsia="Calibri" w:hAnsi="Arial Narrow"/>
          <w:lang w:val="bg-BG"/>
        </w:rPr>
        <w:t xml:space="preserve">Основните инструменти, използвани за управление на икономическите рискове в аграрния отрасъл, са </w:t>
      </w:r>
      <w:r w:rsidRPr="0082579A">
        <w:rPr>
          <w:rFonts w:ascii="Arial Narrow" w:eastAsia="Calibri" w:hAnsi="Arial Narrow"/>
          <w:sz w:val="22"/>
          <w:szCs w:val="22"/>
          <w:lang w:val="bg-BG"/>
        </w:rPr>
        <w:t>интервенциите от СПРЗСР 2023-2027 г. за директни плащания и лозаро-винарския сектор, финансирани с европейски и национални средства, както и някои схеми на държавни помощи.</w:t>
      </w:r>
      <w:r w:rsidRPr="0082579A">
        <w:rPr>
          <w:rFonts w:ascii="Arial Narrow" w:eastAsia="Calibri" w:hAnsi="Arial Narrow"/>
          <w:lang w:val="bg-BG"/>
        </w:rPr>
        <w:t xml:space="preserve"> </w:t>
      </w:r>
    </w:p>
    <w:p w14:paraId="15F51ACD" w14:textId="77777777" w:rsidR="0082579A" w:rsidRPr="0082579A" w:rsidRDefault="0082579A" w:rsidP="0082579A">
      <w:pPr>
        <w:spacing w:after="120"/>
        <w:ind w:firstLine="720"/>
        <w:jc w:val="both"/>
        <w:rPr>
          <w:rFonts w:ascii="Arial Narrow" w:eastAsia="Calibri" w:hAnsi="Arial Narrow"/>
          <w:lang w:val="bg-BG"/>
        </w:rPr>
      </w:pPr>
      <w:r w:rsidRPr="0082579A">
        <w:rPr>
          <w:rFonts w:ascii="Arial Narrow" w:eastAsia="Calibri" w:hAnsi="Arial Narrow"/>
          <w:lang w:val="bg-BG"/>
        </w:rPr>
        <w:lastRenderedPageBreak/>
        <w:t xml:space="preserve">Директните плащания са насочени към подкрепа на доходите на земеделските стопани и стимулиране развитието на селскостопанското производство. </w:t>
      </w:r>
    </w:p>
    <w:p w14:paraId="7711DD45" w14:textId="77777777" w:rsidR="0082579A" w:rsidRPr="0082579A" w:rsidRDefault="0082579A" w:rsidP="0082579A">
      <w:pPr>
        <w:spacing w:after="120"/>
        <w:jc w:val="both"/>
        <w:rPr>
          <w:rFonts w:ascii="Arial Narrow" w:eastAsia="Calibri" w:hAnsi="Arial Narrow"/>
        </w:rPr>
      </w:pPr>
      <w:r w:rsidRPr="0082579A">
        <w:rPr>
          <w:rFonts w:ascii="Arial Narrow" w:eastAsia="Calibri" w:hAnsi="Arial Narrow"/>
          <w:lang w:val="bg-BG"/>
        </w:rPr>
        <w:tab/>
        <w:t>В рамките на 2024 г. са изплатени общо 12 537 031 лева за превенция на икономическите рискове под формата на държавни помощи de minimis в секторите „Животновъдство“, в т.ч. пчели, и „Растениевъдство“, като са подпомогнати 2 061 броя земеделски производители (при съответно 46 399 437 лева и 30 184 подпомогнати земеделски производители през предходната година).</w:t>
      </w:r>
    </w:p>
    <w:p w14:paraId="0362A61E" w14:textId="77777777" w:rsidR="0082579A" w:rsidRPr="0082579A" w:rsidRDefault="0082579A" w:rsidP="0082579A">
      <w:pPr>
        <w:spacing w:after="120"/>
        <w:jc w:val="both"/>
        <w:rPr>
          <w:rFonts w:ascii="Arial Narrow" w:eastAsia="Calibri" w:hAnsi="Arial Narrow"/>
          <w:lang w:val="bg-BG"/>
        </w:rPr>
      </w:pPr>
      <w:r w:rsidRPr="0082579A">
        <w:rPr>
          <w:rFonts w:ascii="Arial Narrow" w:eastAsia="Calibri" w:hAnsi="Arial Narrow"/>
          <w:lang w:val="bg-BG"/>
        </w:rPr>
        <w:tab/>
        <w:t>По държавна помощ за участие в изложения и панаири на секторите „Животновъдство“, „Растениевъдство“ и „Хранително-вкусова промишленост“ през годината са изплатени 4 084 600 лева, с 6,5% повече на годишна база.</w:t>
      </w:r>
    </w:p>
    <w:p w14:paraId="7A8B7EB9" w14:textId="77777777" w:rsidR="0082579A" w:rsidRPr="0082579A" w:rsidRDefault="0082579A" w:rsidP="0082579A">
      <w:pPr>
        <w:spacing w:after="120"/>
        <w:ind w:firstLine="720"/>
        <w:jc w:val="both"/>
        <w:rPr>
          <w:rFonts w:ascii="Arial Narrow" w:eastAsia="Calibri" w:hAnsi="Arial Narrow"/>
          <w:lang w:val="bg-BG"/>
        </w:rPr>
      </w:pPr>
      <w:r w:rsidRPr="0082579A">
        <w:rPr>
          <w:rFonts w:ascii="Arial Narrow" w:eastAsia="Calibri" w:hAnsi="Arial Narrow"/>
          <w:lang w:val="bg-BG"/>
        </w:rPr>
        <w:t>През 2024 г. от определения за годината бюджет за изпълнение на интервенциите в лозаро-винарския сектор по СПРЗСР 2023 – 2027 г. в размер на 50,3 млн. лева са изплатени около 22,5 млн. лева или 44,7% (с около 21,6% по-малко в сравнение с 2023 г., когато средствата са изплащани по мерките от Националната програма за подпомагане на лозаро-винарския сектор 2019-2023 г.).</w:t>
      </w:r>
    </w:p>
    <w:p w14:paraId="54897764" w14:textId="77777777" w:rsidR="0082579A" w:rsidRPr="0082579A" w:rsidRDefault="0082579A" w:rsidP="0082579A">
      <w:pPr>
        <w:spacing w:after="120"/>
        <w:jc w:val="both"/>
        <w:rPr>
          <w:rFonts w:ascii="Arial Narrow" w:eastAsia="Calibri" w:hAnsi="Arial Narrow"/>
          <w:b/>
          <w:lang w:val="bg-BG"/>
        </w:rPr>
      </w:pPr>
      <w:r w:rsidRPr="0082579A">
        <w:rPr>
          <w:rFonts w:ascii="Arial Narrow" w:eastAsia="Calibri" w:hAnsi="Arial Narrow"/>
          <w:b/>
          <w:lang w:val="bg-BG"/>
        </w:rPr>
        <w:t>Табл</w:t>
      </w:r>
      <w:r>
        <w:rPr>
          <w:rFonts w:ascii="Arial Narrow" w:eastAsia="Calibri" w:hAnsi="Arial Narrow"/>
          <w:b/>
          <w:lang w:val="bg-BG"/>
        </w:rPr>
        <w:t>ица</w:t>
      </w:r>
      <w:r w:rsidRPr="0082579A">
        <w:rPr>
          <w:rFonts w:ascii="Arial Narrow" w:eastAsia="Calibri" w:hAnsi="Arial Narrow"/>
          <w:b/>
          <w:lang w:val="bg-BG"/>
        </w:rPr>
        <w:t xml:space="preserve"> </w:t>
      </w:r>
      <w:r w:rsidR="009336F4" w:rsidRPr="0089257E">
        <w:rPr>
          <w:rFonts w:ascii="Arial Narrow" w:hAnsi="Arial Narrow"/>
          <w:b/>
          <w:lang w:eastAsia="bg-BG"/>
        </w:rPr>
        <w:t>V</w:t>
      </w:r>
      <w:r w:rsidR="009336F4" w:rsidRPr="0089257E">
        <w:rPr>
          <w:rFonts w:ascii="Arial Narrow" w:hAnsi="Arial Narrow"/>
          <w:b/>
          <w:lang w:val="bg-BG" w:eastAsia="bg-BG"/>
        </w:rPr>
        <w:t>.</w:t>
      </w:r>
      <w:r w:rsidR="009336F4">
        <w:rPr>
          <w:rFonts w:ascii="Arial Narrow" w:hAnsi="Arial Narrow"/>
          <w:b/>
          <w:lang w:val="bg-BG" w:eastAsia="bg-BG"/>
        </w:rPr>
        <w:t>1</w:t>
      </w:r>
      <w:r w:rsidR="009336F4" w:rsidRPr="0089257E">
        <w:rPr>
          <w:rFonts w:ascii="Arial Narrow" w:hAnsi="Arial Narrow"/>
          <w:b/>
          <w:lang w:val="bg-BG" w:eastAsia="bg-BG"/>
        </w:rPr>
        <w:t>8.</w:t>
      </w:r>
      <w:r w:rsidR="009336F4">
        <w:rPr>
          <w:rFonts w:ascii="Arial Narrow" w:hAnsi="Arial Narrow"/>
          <w:b/>
          <w:lang w:val="bg-BG" w:eastAsia="bg-BG"/>
        </w:rPr>
        <w:t xml:space="preserve"> </w:t>
      </w:r>
      <w:r w:rsidRPr="0082579A">
        <w:rPr>
          <w:rFonts w:ascii="Arial Narrow" w:eastAsia="Calibri" w:hAnsi="Arial Narrow"/>
          <w:b/>
          <w:lang w:val="bg-BG"/>
        </w:rPr>
        <w:t>Изплатен финансов ресурс през 2024 г. за подпомагане на земеделските стопани и оператори от сектор „Рибарство“ с цел преодоляване на негативните последици от руската инвазия в Украйна</w:t>
      </w:r>
    </w:p>
    <w:tbl>
      <w:tblPr>
        <w:tblW w:w="4946" w:type="pct"/>
        <w:jc w:val="center"/>
        <w:tblLook w:val="04A0" w:firstRow="1" w:lastRow="0" w:firstColumn="1" w:lastColumn="0" w:noHBand="0" w:noVBand="1"/>
      </w:tblPr>
      <w:tblGrid>
        <w:gridCol w:w="3067"/>
        <w:gridCol w:w="2338"/>
        <w:gridCol w:w="1430"/>
        <w:gridCol w:w="1430"/>
        <w:gridCol w:w="1429"/>
      </w:tblGrid>
      <w:tr w:rsidR="0082579A" w:rsidRPr="0082579A" w14:paraId="2B3E8DF1" w14:textId="77777777" w:rsidTr="001C7646">
        <w:trPr>
          <w:trHeight w:val="402"/>
          <w:tblHeader/>
          <w:jc w:val="center"/>
        </w:trPr>
        <w:tc>
          <w:tcPr>
            <w:tcW w:w="321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8B61EA8" w14:textId="77777777" w:rsidR="0082579A" w:rsidRPr="0082579A" w:rsidRDefault="0082579A" w:rsidP="0082579A">
            <w:pPr>
              <w:jc w:val="center"/>
              <w:rPr>
                <w:rFonts w:ascii="Arial Narrow" w:hAnsi="Arial Narrow" w:cs="Calibri"/>
                <w:b/>
                <w:bCs/>
                <w:color w:val="000000"/>
                <w:sz w:val="20"/>
                <w:szCs w:val="20"/>
                <w:lang w:val="bg-BG"/>
              </w:rPr>
            </w:pPr>
            <w:r w:rsidRPr="0082579A">
              <w:rPr>
                <w:rFonts w:ascii="Arial Narrow" w:hAnsi="Arial Narrow" w:cs="Calibri"/>
                <w:b/>
                <w:bCs/>
                <w:color w:val="000000"/>
                <w:sz w:val="20"/>
                <w:szCs w:val="20"/>
                <w:lang w:val="bg-BG"/>
              </w:rPr>
              <w:t>Мярка</w:t>
            </w:r>
          </w:p>
        </w:tc>
        <w:tc>
          <w:tcPr>
            <w:tcW w:w="241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DC2D904" w14:textId="77777777" w:rsidR="0082579A" w:rsidRPr="0082579A" w:rsidRDefault="0082579A" w:rsidP="0082579A">
            <w:pPr>
              <w:jc w:val="center"/>
              <w:rPr>
                <w:rFonts w:ascii="Arial Narrow" w:hAnsi="Arial Narrow" w:cs="Calibri"/>
                <w:b/>
                <w:bCs/>
                <w:color w:val="000000"/>
                <w:sz w:val="20"/>
                <w:szCs w:val="20"/>
                <w:lang w:val="bg-BG"/>
              </w:rPr>
            </w:pPr>
            <w:r w:rsidRPr="0082579A">
              <w:rPr>
                <w:rFonts w:ascii="Arial Narrow" w:hAnsi="Arial Narrow" w:cs="Calibri"/>
                <w:b/>
                <w:bCs/>
                <w:color w:val="000000"/>
                <w:sz w:val="20"/>
                <w:szCs w:val="20"/>
                <w:lang w:val="bg-BG"/>
              </w:rPr>
              <w:t>Нормативно основание</w:t>
            </w:r>
          </w:p>
        </w:tc>
        <w:tc>
          <w:tcPr>
            <w:tcW w:w="4289" w:type="dxa"/>
            <w:gridSpan w:val="3"/>
            <w:tcBorders>
              <w:top w:val="single" w:sz="4" w:space="0" w:color="auto"/>
              <w:left w:val="nil"/>
              <w:bottom w:val="single" w:sz="4" w:space="0" w:color="auto"/>
              <w:right w:val="single" w:sz="4" w:space="0" w:color="auto"/>
            </w:tcBorders>
            <w:shd w:val="clear" w:color="auto" w:fill="auto"/>
            <w:vAlign w:val="center"/>
            <w:hideMark/>
          </w:tcPr>
          <w:p w14:paraId="770C3AF4" w14:textId="77777777" w:rsidR="0082579A" w:rsidRPr="0082579A" w:rsidRDefault="0082579A" w:rsidP="0082579A">
            <w:pPr>
              <w:jc w:val="center"/>
              <w:rPr>
                <w:rFonts w:ascii="Arial Narrow" w:hAnsi="Arial Narrow" w:cs="Calibri"/>
                <w:b/>
                <w:bCs/>
                <w:color w:val="000000"/>
                <w:sz w:val="20"/>
                <w:szCs w:val="20"/>
                <w:lang w:val="bg-BG"/>
              </w:rPr>
            </w:pPr>
            <w:r w:rsidRPr="0082579A">
              <w:rPr>
                <w:rFonts w:ascii="Arial Narrow" w:hAnsi="Arial Narrow" w:cs="Calibri"/>
                <w:b/>
                <w:bCs/>
                <w:color w:val="000000"/>
                <w:sz w:val="20"/>
                <w:szCs w:val="20"/>
                <w:lang w:val="bg-BG"/>
              </w:rPr>
              <w:t>Финансов ресурс (лева)</w:t>
            </w:r>
          </w:p>
        </w:tc>
      </w:tr>
      <w:tr w:rsidR="0082579A" w:rsidRPr="0082579A" w14:paraId="054C6C15" w14:textId="77777777" w:rsidTr="001C7646">
        <w:trPr>
          <w:trHeight w:val="402"/>
          <w:tblHeader/>
          <w:jc w:val="center"/>
        </w:trPr>
        <w:tc>
          <w:tcPr>
            <w:tcW w:w="3212" w:type="dxa"/>
            <w:vMerge/>
            <w:tcBorders>
              <w:top w:val="single" w:sz="4" w:space="0" w:color="auto"/>
              <w:left w:val="single" w:sz="4" w:space="0" w:color="auto"/>
              <w:bottom w:val="single" w:sz="4" w:space="0" w:color="auto"/>
              <w:right w:val="single" w:sz="4" w:space="0" w:color="auto"/>
            </w:tcBorders>
            <w:vAlign w:val="center"/>
            <w:hideMark/>
          </w:tcPr>
          <w:p w14:paraId="19D80E3A" w14:textId="77777777" w:rsidR="0082579A" w:rsidRPr="0082579A" w:rsidRDefault="0082579A" w:rsidP="0082579A">
            <w:pPr>
              <w:rPr>
                <w:rFonts w:ascii="Arial Narrow" w:hAnsi="Arial Narrow" w:cs="Calibri"/>
                <w:b/>
                <w:bCs/>
                <w:color w:val="000000"/>
                <w:sz w:val="20"/>
                <w:szCs w:val="20"/>
                <w:lang w:val="bg-BG"/>
              </w:rPr>
            </w:pPr>
          </w:p>
        </w:tc>
        <w:tc>
          <w:tcPr>
            <w:tcW w:w="2416" w:type="dxa"/>
            <w:vMerge/>
            <w:tcBorders>
              <w:top w:val="single" w:sz="4" w:space="0" w:color="auto"/>
              <w:left w:val="single" w:sz="4" w:space="0" w:color="auto"/>
              <w:bottom w:val="single" w:sz="4" w:space="0" w:color="auto"/>
              <w:right w:val="single" w:sz="4" w:space="0" w:color="auto"/>
            </w:tcBorders>
            <w:vAlign w:val="center"/>
            <w:hideMark/>
          </w:tcPr>
          <w:p w14:paraId="10A678FA" w14:textId="77777777" w:rsidR="0082579A" w:rsidRPr="0082579A" w:rsidRDefault="0082579A" w:rsidP="0082579A">
            <w:pPr>
              <w:rPr>
                <w:rFonts w:ascii="Arial Narrow" w:hAnsi="Arial Narrow" w:cs="Calibri"/>
                <w:b/>
                <w:bCs/>
                <w:color w:val="000000"/>
                <w:sz w:val="20"/>
                <w:szCs w:val="20"/>
                <w:lang w:val="bg-BG"/>
              </w:rPr>
            </w:pPr>
          </w:p>
        </w:tc>
        <w:tc>
          <w:tcPr>
            <w:tcW w:w="1430" w:type="dxa"/>
            <w:vMerge w:val="restart"/>
            <w:tcBorders>
              <w:top w:val="nil"/>
              <w:left w:val="single" w:sz="4" w:space="0" w:color="auto"/>
              <w:bottom w:val="single" w:sz="4" w:space="0" w:color="auto"/>
              <w:right w:val="single" w:sz="4" w:space="0" w:color="auto"/>
            </w:tcBorders>
            <w:shd w:val="clear" w:color="auto" w:fill="auto"/>
            <w:vAlign w:val="center"/>
            <w:hideMark/>
          </w:tcPr>
          <w:p w14:paraId="5D7BC13F" w14:textId="77777777" w:rsidR="0082579A" w:rsidRPr="0082579A" w:rsidRDefault="0082579A" w:rsidP="0082579A">
            <w:pPr>
              <w:jc w:val="center"/>
              <w:rPr>
                <w:rFonts w:ascii="Arial Narrow" w:hAnsi="Arial Narrow" w:cs="Calibri"/>
                <w:b/>
                <w:bCs/>
                <w:color w:val="000000"/>
                <w:sz w:val="20"/>
                <w:szCs w:val="20"/>
                <w:lang w:val="bg-BG"/>
              </w:rPr>
            </w:pPr>
            <w:r w:rsidRPr="0082579A">
              <w:rPr>
                <w:rFonts w:ascii="Arial Narrow" w:hAnsi="Arial Narrow" w:cs="Calibri"/>
                <w:b/>
                <w:bCs/>
                <w:color w:val="000000"/>
                <w:sz w:val="20"/>
                <w:szCs w:val="20"/>
                <w:lang w:val="bg-BG"/>
              </w:rPr>
              <w:t>Общо</w:t>
            </w:r>
          </w:p>
        </w:tc>
        <w:tc>
          <w:tcPr>
            <w:tcW w:w="2859" w:type="dxa"/>
            <w:gridSpan w:val="2"/>
            <w:tcBorders>
              <w:top w:val="single" w:sz="4" w:space="0" w:color="auto"/>
              <w:left w:val="nil"/>
              <w:bottom w:val="single" w:sz="4" w:space="0" w:color="auto"/>
              <w:right w:val="single" w:sz="4" w:space="0" w:color="auto"/>
            </w:tcBorders>
            <w:shd w:val="clear" w:color="auto" w:fill="auto"/>
            <w:vAlign w:val="center"/>
            <w:hideMark/>
          </w:tcPr>
          <w:p w14:paraId="6FB17117" w14:textId="77777777" w:rsidR="0082579A" w:rsidRPr="0082579A" w:rsidRDefault="0082579A" w:rsidP="0082579A">
            <w:pPr>
              <w:jc w:val="center"/>
              <w:rPr>
                <w:rFonts w:ascii="Arial Narrow" w:hAnsi="Arial Narrow" w:cs="Calibri"/>
                <w:b/>
                <w:bCs/>
                <w:color w:val="000000"/>
                <w:sz w:val="20"/>
                <w:szCs w:val="20"/>
                <w:lang w:val="bg-BG"/>
              </w:rPr>
            </w:pPr>
            <w:r w:rsidRPr="0082579A">
              <w:rPr>
                <w:rFonts w:ascii="Arial Narrow" w:hAnsi="Arial Narrow" w:cs="Calibri"/>
                <w:b/>
                <w:bCs/>
                <w:color w:val="000000"/>
                <w:sz w:val="20"/>
                <w:szCs w:val="20"/>
                <w:lang w:val="bg-BG"/>
              </w:rPr>
              <w:t>В т. ч.:</w:t>
            </w:r>
          </w:p>
        </w:tc>
      </w:tr>
      <w:tr w:rsidR="0082579A" w:rsidRPr="0082579A" w14:paraId="46D431D9" w14:textId="77777777" w:rsidTr="001C7646">
        <w:trPr>
          <w:trHeight w:val="702"/>
          <w:tblHeader/>
          <w:jc w:val="center"/>
        </w:trPr>
        <w:tc>
          <w:tcPr>
            <w:tcW w:w="3212" w:type="dxa"/>
            <w:vMerge/>
            <w:tcBorders>
              <w:top w:val="single" w:sz="4" w:space="0" w:color="auto"/>
              <w:left w:val="single" w:sz="4" w:space="0" w:color="auto"/>
              <w:bottom w:val="single" w:sz="4" w:space="0" w:color="auto"/>
              <w:right w:val="single" w:sz="4" w:space="0" w:color="auto"/>
            </w:tcBorders>
            <w:vAlign w:val="center"/>
            <w:hideMark/>
          </w:tcPr>
          <w:p w14:paraId="5FDB0452" w14:textId="77777777" w:rsidR="0082579A" w:rsidRPr="0082579A" w:rsidRDefault="0082579A" w:rsidP="0082579A">
            <w:pPr>
              <w:rPr>
                <w:rFonts w:ascii="Arial Narrow" w:hAnsi="Arial Narrow" w:cs="Calibri"/>
                <w:b/>
                <w:bCs/>
                <w:color w:val="000000"/>
                <w:sz w:val="20"/>
                <w:szCs w:val="20"/>
                <w:lang w:val="bg-BG"/>
              </w:rPr>
            </w:pPr>
          </w:p>
        </w:tc>
        <w:tc>
          <w:tcPr>
            <w:tcW w:w="2416" w:type="dxa"/>
            <w:vMerge/>
            <w:tcBorders>
              <w:top w:val="single" w:sz="4" w:space="0" w:color="auto"/>
              <w:left w:val="single" w:sz="4" w:space="0" w:color="auto"/>
              <w:bottom w:val="single" w:sz="4" w:space="0" w:color="auto"/>
              <w:right w:val="single" w:sz="4" w:space="0" w:color="auto"/>
            </w:tcBorders>
            <w:vAlign w:val="center"/>
            <w:hideMark/>
          </w:tcPr>
          <w:p w14:paraId="70419B72" w14:textId="77777777" w:rsidR="0082579A" w:rsidRPr="0082579A" w:rsidRDefault="0082579A" w:rsidP="0082579A">
            <w:pPr>
              <w:rPr>
                <w:rFonts w:ascii="Arial Narrow" w:hAnsi="Arial Narrow" w:cs="Calibri"/>
                <w:b/>
                <w:bCs/>
                <w:color w:val="000000"/>
                <w:sz w:val="20"/>
                <w:szCs w:val="20"/>
                <w:lang w:val="bg-BG"/>
              </w:rPr>
            </w:pPr>
          </w:p>
        </w:tc>
        <w:tc>
          <w:tcPr>
            <w:tcW w:w="1430" w:type="dxa"/>
            <w:vMerge/>
            <w:tcBorders>
              <w:top w:val="nil"/>
              <w:left w:val="single" w:sz="4" w:space="0" w:color="auto"/>
              <w:bottom w:val="single" w:sz="4" w:space="0" w:color="auto"/>
              <w:right w:val="single" w:sz="4" w:space="0" w:color="auto"/>
            </w:tcBorders>
            <w:vAlign w:val="center"/>
            <w:hideMark/>
          </w:tcPr>
          <w:p w14:paraId="1FF56691" w14:textId="77777777" w:rsidR="0082579A" w:rsidRPr="0082579A" w:rsidRDefault="0082579A" w:rsidP="0082579A">
            <w:pPr>
              <w:rPr>
                <w:rFonts w:ascii="Arial Narrow" w:hAnsi="Arial Narrow" w:cs="Calibri"/>
                <w:b/>
                <w:bCs/>
                <w:color w:val="000000"/>
                <w:sz w:val="20"/>
                <w:szCs w:val="20"/>
                <w:lang w:val="bg-BG"/>
              </w:rPr>
            </w:pPr>
          </w:p>
        </w:tc>
        <w:tc>
          <w:tcPr>
            <w:tcW w:w="1430" w:type="dxa"/>
            <w:tcBorders>
              <w:top w:val="nil"/>
              <w:left w:val="nil"/>
              <w:bottom w:val="single" w:sz="4" w:space="0" w:color="auto"/>
              <w:right w:val="single" w:sz="4" w:space="0" w:color="auto"/>
            </w:tcBorders>
            <w:shd w:val="clear" w:color="auto" w:fill="auto"/>
            <w:vAlign w:val="center"/>
            <w:hideMark/>
          </w:tcPr>
          <w:p w14:paraId="246C8FC9" w14:textId="77777777" w:rsidR="0082579A" w:rsidRPr="0082579A" w:rsidRDefault="0082579A" w:rsidP="0082579A">
            <w:pPr>
              <w:jc w:val="center"/>
              <w:rPr>
                <w:rFonts w:ascii="Arial Narrow" w:hAnsi="Arial Narrow" w:cs="Calibri"/>
                <w:b/>
                <w:bCs/>
                <w:color w:val="000000"/>
                <w:sz w:val="20"/>
                <w:szCs w:val="20"/>
                <w:lang w:val="bg-BG"/>
              </w:rPr>
            </w:pPr>
            <w:r w:rsidRPr="0082579A">
              <w:rPr>
                <w:rFonts w:ascii="Arial Narrow" w:hAnsi="Arial Narrow" w:cs="Calibri"/>
                <w:b/>
                <w:bCs/>
                <w:color w:val="000000"/>
                <w:sz w:val="20"/>
                <w:szCs w:val="20"/>
                <w:lang w:val="bg-BG"/>
              </w:rPr>
              <w:t>Фондове на ЕС</w:t>
            </w:r>
          </w:p>
        </w:tc>
        <w:tc>
          <w:tcPr>
            <w:tcW w:w="1429" w:type="dxa"/>
            <w:tcBorders>
              <w:top w:val="nil"/>
              <w:left w:val="nil"/>
              <w:bottom w:val="single" w:sz="4" w:space="0" w:color="auto"/>
              <w:right w:val="single" w:sz="4" w:space="0" w:color="auto"/>
            </w:tcBorders>
            <w:shd w:val="clear" w:color="auto" w:fill="auto"/>
            <w:vAlign w:val="center"/>
            <w:hideMark/>
          </w:tcPr>
          <w:p w14:paraId="73D4D3F4" w14:textId="77777777" w:rsidR="0082579A" w:rsidRPr="0082579A" w:rsidRDefault="0082579A" w:rsidP="0082579A">
            <w:pPr>
              <w:jc w:val="center"/>
              <w:rPr>
                <w:rFonts w:ascii="Arial Narrow" w:hAnsi="Arial Narrow" w:cs="Calibri"/>
                <w:b/>
                <w:bCs/>
                <w:color w:val="000000"/>
                <w:sz w:val="20"/>
                <w:szCs w:val="20"/>
                <w:lang w:val="bg-BG"/>
              </w:rPr>
            </w:pPr>
            <w:r w:rsidRPr="0082579A">
              <w:rPr>
                <w:rFonts w:ascii="Arial Narrow" w:hAnsi="Arial Narrow" w:cs="Calibri"/>
                <w:b/>
                <w:bCs/>
                <w:color w:val="000000"/>
                <w:sz w:val="20"/>
                <w:szCs w:val="20"/>
                <w:lang w:val="bg-BG"/>
              </w:rPr>
              <w:t>Държавен бюджет</w:t>
            </w:r>
          </w:p>
        </w:tc>
      </w:tr>
      <w:tr w:rsidR="0082579A" w:rsidRPr="0082579A" w14:paraId="790E32F6" w14:textId="77777777" w:rsidTr="0082579A">
        <w:trPr>
          <w:trHeight w:val="1999"/>
          <w:jc w:val="center"/>
        </w:trPr>
        <w:tc>
          <w:tcPr>
            <w:tcW w:w="3212" w:type="dxa"/>
            <w:tcBorders>
              <w:top w:val="nil"/>
              <w:left w:val="single" w:sz="4" w:space="0" w:color="auto"/>
              <w:bottom w:val="single" w:sz="4" w:space="0" w:color="auto"/>
              <w:right w:val="single" w:sz="4" w:space="0" w:color="auto"/>
            </w:tcBorders>
            <w:shd w:val="clear" w:color="auto" w:fill="auto"/>
            <w:vAlign w:val="center"/>
            <w:hideMark/>
          </w:tcPr>
          <w:p w14:paraId="55893590" w14:textId="77777777" w:rsidR="0082579A" w:rsidRPr="0082579A" w:rsidRDefault="0082579A" w:rsidP="0082579A">
            <w:pPr>
              <w:rPr>
                <w:rFonts w:ascii="Arial Narrow" w:hAnsi="Arial Narrow" w:cs="Calibri"/>
                <w:color w:val="000000"/>
                <w:sz w:val="20"/>
                <w:szCs w:val="20"/>
                <w:lang w:val="bg-BG"/>
              </w:rPr>
            </w:pPr>
            <w:r w:rsidRPr="0082579A">
              <w:rPr>
                <w:rFonts w:ascii="Arial Narrow" w:hAnsi="Arial Narrow" w:cs="Calibri"/>
                <w:color w:val="000000"/>
                <w:sz w:val="20"/>
                <w:szCs w:val="20"/>
                <w:lang w:val="bg-BG"/>
              </w:rPr>
              <w:t>Помощ в подкрепа на ликвидността на земеделски стопани за преодоляване на негативното икономическо въздействие на руската агресия срещу Украйна и Помощ в подкрепа на разходи за вода за напояване при отглеждане на земеделски култури - общо, в т. ч.:</w:t>
            </w:r>
          </w:p>
        </w:tc>
        <w:tc>
          <w:tcPr>
            <w:tcW w:w="2416" w:type="dxa"/>
            <w:tcBorders>
              <w:top w:val="nil"/>
              <w:left w:val="nil"/>
              <w:bottom w:val="single" w:sz="4" w:space="0" w:color="auto"/>
              <w:right w:val="single" w:sz="4" w:space="0" w:color="auto"/>
            </w:tcBorders>
            <w:shd w:val="clear" w:color="auto" w:fill="auto"/>
            <w:vAlign w:val="center"/>
            <w:hideMark/>
          </w:tcPr>
          <w:p w14:paraId="0BD8A617" w14:textId="77777777" w:rsidR="0082579A" w:rsidRPr="0082579A" w:rsidRDefault="0082579A" w:rsidP="0082579A">
            <w:pPr>
              <w:rPr>
                <w:rFonts w:ascii="Arial Narrow" w:hAnsi="Arial Narrow" w:cs="Calibri"/>
                <w:color w:val="000000"/>
                <w:sz w:val="20"/>
                <w:szCs w:val="20"/>
                <w:lang w:val="bg-BG"/>
              </w:rPr>
            </w:pPr>
            <w:r w:rsidRPr="0082579A">
              <w:rPr>
                <w:rFonts w:ascii="Arial Narrow" w:hAnsi="Arial Narrow" w:cs="Calibri"/>
                <w:color w:val="000000"/>
                <w:sz w:val="20"/>
                <w:szCs w:val="20"/>
                <w:lang w:val="bg-BG"/>
              </w:rPr>
              <w:t>Временна рамка за мерки за държавна помощ при кризи и преход в подкрепа на икономиката след агресията на Русия срещу Украйна</w:t>
            </w:r>
          </w:p>
        </w:tc>
        <w:tc>
          <w:tcPr>
            <w:tcW w:w="1430" w:type="dxa"/>
            <w:tcBorders>
              <w:top w:val="nil"/>
              <w:left w:val="nil"/>
              <w:bottom w:val="single" w:sz="4" w:space="0" w:color="auto"/>
              <w:right w:val="single" w:sz="4" w:space="0" w:color="auto"/>
            </w:tcBorders>
            <w:shd w:val="clear" w:color="auto" w:fill="auto"/>
            <w:noWrap/>
            <w:vAlign w:val="center"/>
            <w:hideMark/>
          </w:tcPr>
          <w:p w14:paraId="11686C7E" w14:textId="77777777" w:rsidR="0082579A" w:rsidRPr="0082579A" w:rsidRDefault="0082579A" w:rsidP="0082579A">
            <w:pPr>
              <w:jc w:val="right"/>
              <w:rPr>
                <w:rFonts w:ascii="Arial Narrow" w:hAnsi="Arial Narrow" w:cs="Calibri"/>
                <w:color w:val="000000"/>
                <w:sz w:val="20"/>
                <w:szCs w:val="20"/>
                <w:lang w:val="bg-BG"/>
              </w:rPr>
            </w:pPr>
            <w:r w:rsidRPr="0082579A">
              <w:rPr>
                <w:rFonts w:ascii="Arial Narrow" w:hAnsi="Arial Narrow" w:cs="Calibri"/>
                <w:color w:val="000000"/>
                <w:sz w:val="20"/>
                <w:szCs w:val="20"/>
                <w:lang w:val="bg-BG"/>
              </w:rPr>
              <w:t>663 826 734</w:t>
            </w:r>
          </w:p>
        </w:tc>
        <w:tc>
          <w:tcPr>
            <w:tcW w:w="1430" w:type="dxa"/>
            <w:tcBorders>
              <w:top w:val="nil"/>
              <w:left w:val="nil"/>
              <w:bottom w:val="single" w:sz="4" w:space="0" w:color="auto"/>
              <w:right w:val="single" w:sz="4" w:space="0" w:color="auto"/>
            </w:tcBorders>
            <w:shd w:val="clear" w:color="auto" w:fill="auto"/>
            <w:noWrap/>
            <w:vAlign w:val="center"/>
            <w:hideMark/>
          </w:tcPr>
          <w:p w14:paraId="6E16D0B9" w14:textId="77777777" w:rsidR="0082579A" w:rsidRPr="0082579A" w:rsidRDefault="0082579A" w:rsidP="0082579A">
            <w:pPr>
              <w:jc w:val="right"/>
              <w:rPr>
                <w:rFonts w:ascii="Arial Narrow" w:hAnsi="Arial Narrow" w:cs="Calibri"/>
                <w:color w:val="000000"/>
                <w:sz w:val="20"/>
                <w:szCs w:val="20"/>
                <w:lang w:val="bg-BG"/>
              </w:rPr>
            </w:pPr>
            <w:r w:rsidRPr="0082579A">
              <w:rPr>
                <w:rFonts w:ascii="Arial Narrow" w:hAnsi="Arial Narrow" w:cs="Calibri"/>
                <w:color w:val="000000"/>
                <w:sz w:val="20"/>
                <w:szCs w:val="20"/>
                <w:lang w:val="bg-BG"/>
              </w:rPr>
              <w:t> </w:t>
            </w:r>
          </w:p>
        </w:tc>
        <w:tc>
          <w:tcPr>
            <w:tcW w:w="1429" w:type="dxa"/>
            <w:tcBorders>
              <w:top w:val="nil"/>
              <w:left w:val="nil"/>
              <w:bottom w:val="single" w:sz="4" w:space="0" w:color="auto"/>
              <w:right w:val="single" w:sz="4" w:space="0" w:color="auto"/>
            </w:tcBorders>
            <w:shd w:val="clear" w:color="auto" w:fill="auto"/>
            <w:noWrap/>
            <w:vAlign w:val="center"/>
            <w:hideMark/>
          </w:tcPr>
          <w:p w14:paraId="7C5236D3" w14:textId="77777777" w:rsidR="0082579A" w:rsidRPr="0082579A" w:rsidRDefault="0082579A" w:rsidP="0082579A">
            <w:pPr>
              <w:jc w:val="right"/>
              <w:rPr>
                <w:rFonts w:ascii="Arial Narrow" w:hAnsi="Arial Narrow" w:cs="Calibri"/>
                <w:color w:val="000000"/>
                <w:sz w:val="20"/>
                <w:szCs w:val="20"/>
                <w:lang w:val="bg-BG"/>
              </w:rPr>
            </w:pPr>
            <w:r w:rsidRPr="0082579A">
              <w:rPr>
                <w:rFonts w:ascii="Arial Narrow" w:hAnsi="Arial Narrow" w:cs="Calibri"/>
                <w:color w:val="000000"/>
                <w:sz w:val="20"/>
                <w:szCs w:val="20"/>
                <w:lang w:val="bg-BG"/>
              </w:rPr>
              <w:t>663 826 734</w:t>
            </w:r>
          </w:p>
        </w:tc>
      </w:tr>
      <w:tr w:rsidR="0082579A" w:rsidRPr="0082579A" w14:paraId="09C6CF65" w14:textId="77777777" w:rsidTr="0082579A">
        <w:trPr>
          <w:trHeight w:val="402"/>
          <w:jc w:val="center"/>
        </w:trPr>
        <w:tc>
          <w:tcPr>
            <w:tcW w:w="3212" w:type="dxa"/>
            <w:tcBorders>
              <w:top w:val="nil"/>
              <w:left w:val="single" w:sz="4" w:space="0" w:color="auto"/>
              <w:bottom w:val="single" w:sz="4" w:space="0" w:color="auto"/>
              <w:right w:val="single" w:sz="4" w:space="0" w:color="auto"/>
            </w:tcBorders>
            <w:shd w:val="clear" w:color="auto" w:fill="auto"/>
            <w:vAlign w:val="center"/>
            <w:hideMark/>
          </w:tcPr>
          <w:p w14:paraId="30C60061" w14:textId="77777777" w:rsidR="0082579A" w:rsidRPr="0082579A" w:rsidRDefault="0082579A" w:rsidP="0082579A">
            <w:pPr>
              <w:ind w:firstLineChars="100" w:firstLine="200"/>
              <w:rPr>
                <w:rFonts w:ascii="Arial Narrow" w:hAnsi="Arial Narrow" w:cs="Calibri"/>
                <w:color w:val="000000"/>
                <w:sz w:val="20"/>
                <w:szCs w:val="20"/>
                <w:lang w:val="bg-BG"/>
              </w:rPr>
            </w:pPr>
            <w:r w:rsidRPr="0082579A">
              <w:rPr>
                <w:rFonts w:ascii="Arial Narrow" w:hAnsi="Arial Narrow" w:cs="Calibri"/>
                <w:color w:val="000000"/>
                <w:sz w:val="20"/>
                <w:szCs w:val="20"/>
                <w:lang w:val="bg-BG"/>
              </w:rPr>
              <w:t>Сектор "Животновъдство"</w:t>
            </w:r>
          </w:p>
        </w:tc>
        <w:tc>
          <w:tcPr>
            <w:tcW w:w="2416" w:type="dxa"/>
            <w:tcBorders>
              <w:top w:val="nil"/>
              <w:left w:val="nil"/>
              <w:bottom w:val="single" w:sz="4" w:space="0" w:color="auto"/>
              <w:right w:val="single" w:sz="4" w:space="0" w:color="auto"/>
            </w:tcBorders>
            <w:shd w:val="clear" w:color="auto" w:fill="auto"/>
            <w:vAlign w:val="center"/>
            <w:hideMark/>
          </w:tcPr>
          <w:p w14:paraId="37094A34" w14:textId="77777777" w:rsidR="0082579A" w:rsidRPr="0082579A" w:rsidRDefault="0082579A" w:rsidP="0082579A">
            <w:pPr>
              <w:rPr>
                <w:rFonts w:ascii="Arial Narrow" w:hAnsi="Arial Narrow" w:cs="Calibri"/>
                <w:color w:val="000000"/>
                <w:sz w:val="20"/>
                <w:szCs w:val="20"/>
                <w:lang w:val="bg-BG"/>
              </w:rPr>
            </w:pPr>
            <w:r w:rsidRPr="0082579A">
              <w:rPr>
                <w:rFonts w:ascii="Arial Narrow" w:hAnsi="Arial Narrow" w:cs="Calibri"/>
                <w:color w:val="000000"/>
                <w:sz w:val="20"/>
                <w:szCs w:val="20"/>
                <w:lang w:val="bg-BG"/>
              </w:rPr>
              <w:t> </w:t>
            </w:r>
          </w:p>
        </w:tc>
        <w:tc>
          <w:tcPr>
            <w:tcW w:w="1430" w:type="dxa"/>
            <w:tcBorders>
              <w:top w:val="nil"/>
              <w:left w:val="nil"/>
              <w:bottom w:val="single" w:sz="4" w:space="0" w:color="auto"/>
              <w:right w:val="single" w:sz="4" w:space="0" w:color="auto"/>
            </w:tcBorders>
            <w:shd w:val="clear" w:color="auto" w:fill="auto"/>
            <w:noWrap/>
            <w:vAlign w:val="center"/>
            <w:hideMark/>
          </w:tcPr>
          <w:p w14:paraId="7A7072DF" w14:textId="77777777" w:rsidR="0082579A" w:rsidRPr="0082579A" w:rsidRDefault="0082579A" w:rsidP="0082579A">
            <w:pPr>
              <w:jc w:val="right"/>
              <w:rPr>
                <w:rFonts w:ascii="Arial Narrow" w:hAnsi="Arial Narrow" w:cs="Calibri"/>
                <w:color w:val="000000"/>
                <w:sz w:val="20"/>
                <w:szCs w:val="20"/>
                <w:lang w:val="bg-BG"/>
              </w:rPr>
            </w:pPr>
            <w:r w:rsidRPr="0082579A">
              <w:rPr>
                <w:rFonts w:ascii="Arial Narrow" w:hAnsi="Arial Narrow" w:cs="Calibri"/>
                <w:color w:val="000000"/>
                <w:sz w:val="20"/>
                <w:szCs w:val="20"/>
                <w:lang w:val="bg-BG"/>
              </w:rPr>
              <w:t>163 657 806</w:t>
            </w:r>
          </w:p>
        </w:tc>
        <w:tc>
          <w:tcPr>
            <w:tcW w:w="1430" w:type="dxa"/>
            <w:tcBorders>
              <w:top w:val="nil"/>
              <w:left w:val="nil"/>
              <w:bottom w:val="single" w:sz="4" w:space="0" w:color="auto"/>
              <w:right w:val="single" w:sz="4" w:space="0" w:color="auto"/>
            </w:tcBorders>
            <w:shd w:val="clear" w:color="auto" w:fill="auto"/>
            <w:noWrap/>
            <w:vAlign w:val="center"/>
            <w:hideMark/>
          </w:tcPr>
          <w:p w14:paraId="46F3C7E0" w14:textId="77777777" w:rsidR="0082579A" w:rsidRPr="0082579A" w:rsidRDefault="0082579A" w:rsidP="0082579A">
            <w:pPr>
              <w:jc w:val="right"/>
              <w:rPr>
                <w:rFonts w:ascii="Arial Narrow" w:hAnsi="Arial Narrow" w:cs="Calibri"/>
                <w:color w:val="000000"/>
                <w:sz w:val="20"/>
                <w:szCs w:val="20"/>
                <w:lang w:val="bg-BG"/>
              </w:rPr>
            </w:pPr>
            <w:r w:rsidRPr="0082579A">
              <w:rPr>
                <w:rFonts w:ascii="Arial Narrow" w:hAnsi="Arial Narrow" w:cs="Calibri"/>
                <w:color w:val="000000"/>
                <w:sz w:val="20"/>
                <w:szCs w:val="20"/>
                <w:lang w:val="bg-BG"/>
              </w:rPr>
              <w:t> </w:t>
            </w:r>
          </w:p>
        </w:tc>
        <w:tc>
          <w:tcPr>
            <w:tcW w:w="1429" w:type="dxa"/>
            <w:tcBorders>
              <w:top w:val="nil"/>
              <w:left w:val="nil"/>
              <w:bottom w:val="single" w:sz="4" w:space="0" w:color="auto"/>
              <w:right w:val="single" w:sz="4" w:space="0" w:color="auto"/>
            </w:tcBorders>
            <w:shd w:val="clear" w:color="auto" w:fill="auto"/>
            <w:noWrap/>
            <w:vAlign w:val="center"/>
            <w:hideMark/>
          </w:tcPr>
          <w:p w14:paraId="1147C7C0" w14:textId="77777777" w:rsidR="0082579A" w:rsidRPr="0082579A" w:rsidRDefault="0082579A" w:rsidP="0082579A">
            <w:pPr>
              <w:jc w:val="right"/>
              <w:rPr>
                <w:rFonts w:ascii="Arial Narrow" w:hAnsi="Arial Narrow" w:cs="Calibri"/>
                <w:color w:val="000000"/>
                <w:sz w:val="20"/>
                <w:szCs w:val="20"/>
                <w:lang w:val="bg-BG"/>
              </w:rPr>
            </w:pPr>
            <w:r w:rsidRPr="0082579A">
              <w:rPr>
                <w:rFonts w:ascii="Arial Narrow" w:hAnsi="Arial Narrow" w:cs="Calibri"/>
                <w:color w:val="000000"/>
                <w:sz w:val="20"/>
                <w:szCs w:val="20"/>
                <w:lang w:val="bg-BG"/>
              </w:rPr>
              <w:t>163 657 806</w:t>
            </w:r>
          </w:p>
        </w:tc>
      </w:tr>
      <w:tr w:rsidR="0082579A" w:rsidRPr="0082579A" w14:paraId="5B2792D0" w14:textId="77777777" w:rsidTr="0082579A">
        <w:trPr>
          <w:trHeight w:val="402"/>
          <w:jc w:val="center"/>
        </w:trPr>
        <w:tc>
          <w:tcPr>
            <w:tcW w:w="3212" w:type="dxa"/>
            <w:tcBorders>
              <w:top w:val="nil"/>
              <w:left w:val="single" w:sz="4" w:space="0" w:color="auto"/>
              <w:bottom w:val="single" w:sz="4" w:space="0" w:color="auto"/>
              <w:right w:val="single" w:sz="4" w:space="0" w:color="auto"/>
            </w:tcBorders>
            <w:shd w:val="clear" w:color="auto" w:fill="auto"/>
            <w:vAlign w:val="center"/>
            <w:hideMark/>
          </w:tcPr>
          <w:p w14:paraId="2B0F0379" w14:textId="77777777" w:rsidR="0082579A" w:rsidRPr="0082579A" w:rsidRDefault="0082579A" w:rsidP="0082579A">
            <w:pPr>
              <w:ind w:firstLineChars="100" w:firstLine="200"/>
              <w:rPr>
                <w:rFonts w:ascii="Arial Narrow" w:hAnsi="Arial Narrow" w:cs="Calibri"/>
                <w:color w:val="000000"/>
                <w:sz w:val="20"/>
                <w:szCs w:val="20"/>
                <w:lang w:val="bg-BG"/>
              </w:rPr>
            </w:pPr>
            <w:r w:rsidRPr="0082579A">
              <w:rPr>
                <w:rFonts w:ascii="Arial Narrow" w:hAnsi="Arial Narrow" w:cs="Calibri"/>
                <w:color w:val="000000"/>
                <w:sz w:val="20"/>
                <w:szCs w:val="20"/>
                <w:lang w:val="bg-BG"/>
              </w:rPr>
              <w:t>Сектор "Растениевъдство"</w:t>
            </w:r>
          </w:p>
        </w:tc>
        <w:tc>
          <w:tcPr>
            <w:tcW w:w="2416" w:type="dxa"/>
            <w:tcBorders>
              <w:top w:val="nil"/>
              <w:left w:val="nil"/>
              <w:bottom w:val="single" w:sz="4" w:space="0" w:color="auto"/>
              <w:right w:val="single" w:sz="4" w:space="0" w:color="auto"/>
            </w:tcBorders>
            <w:shd w:val="clear" w:color="auto" w:fill="auto"/>
            <w:vAlign w:val="center"/>
            <w:hideMark/>
          </w:tcPr>
          <w:p w14:paraId="7A05121E" w14:textId="77777777" w:rsidR="0082579A" w:rsidRPr="0082579A" w:rsidRDefault="0082579A" w:rsidP="0082579A">
            <w:pPr>
              <w:rPr>
                <w:rFonts w:ascii="Arial Narrow" w:hAnsi="Arial Narrow" w:cs="Calibri"/>
                <w:color w:val="000000"/>
                <w:sz w:val="20"/>
                <w:szCs w:val="20"/>
                <w:lang w:val="bg-BG"/>
              </w:rPr>
            </w:pPr>
            <w:r w:rsidRPr="0082579A">
              <w:rPr>
                <w:rFonts w:ascii="Arial Narrow" w:hAnsi="Arial Narrow" w:cs="Calibri"/>
                <w:color w:val="000000"/>
                <w:sz w:val="20"/>
                <w:szCs w:val="20"/>
                <w:lang w:val="bg-BG"/>
              </w:rPr>
              <w:t> </w:t>
            </w:r>
          </w:p>
        </w:tc>
        <w:tc>
          <w:tcPr>
            <w:tcW w:w="1430" w:type="dxa"/>
            <w:tcBorders>
              <w:top w:val="nil"/>
              <w:left w:val="nil"/>
              <w:bottom w:val="single" w:sz="4" w:space="0" w:color="auto"/>
              <w:right w:val="single" w:sz="4" w:space="0" w:color="auto"/>
            </w:tcBorders>
            <w:shd w:val="clear" w:color="auto" w:fill="auto"/>
            <w:noWrap/>
            <w:vAlign w:val="center"/>
            <w:hideMark/>
          </w:tcPr>
          <w:p w14:paraId="2F950EF2" w14:textId="77777777" w:rsidR="0082579A" w:rsidRPr="0082579A" w:rsidRDefault="0082579A" w:rsidP="0082579A">
            <w:pPr>
              <w:jc w:val="right"/>
              <w:rPr>
                <w:rFonts w:ascii="Arial Narrow" w:hAnsi="Arial Narrow" w:cs="Calibri"/>
                <w:color w:val="000000"/>
                <w:sz w:val="20"/>
                <w:szCs w:val="20"/>
                <w:lang w:val="bg-BG"/>
              </w:rPr>
            </w:pPr>
            <w:r w:rsidRPr="0082579A">
              <w:rPr>
                <w:rFonts w:ascii="Arial Narrow" w:hAnsi="Arial Narrow" w:cs="Calibri"/>
                <w:color w:val="000000"/>
                <w:sz w:val="20"/>
                <w:szCs w:val="20"/>
                <w:lang w:val="bg-BG"/>
              </w:rPr>
              <w:t>162 353 760</w:t>
            </w:r>
          </w:p>
        </w:tc>
        <w:tc>
          <w:tcPr>
            <w:tcW w:w="1430" w:type="dxa"/>
            <w:tcBorders>
              <w:top w:val="nil"/>
              <w:left w:val="nil"/>
              <w:bottom w:val="single" w:sz="4" w:space="0" w:color="auto"/>
              <w:right w:val="single" w:sz="4" w:space="0" w:color="auto"/>
            </w:tcBorders>
            <w:shd w:val="clear" w:color="auto" w:fill="auto"/>
            <w:noWrap/>
            <w:vAlign w:val="center"/>
            <w:hideMark/>
          </w:tcPr>
          <w:p w14:paraId="046B321C" w14:textId="77777777" w:rsidR="0082579A" w:rsidRPr="0082579A" w:rsidRDefault="0082579A" w:rsidP="0082579A">
            <w:pPr>
              <w:jc w:val="right"/>
              <w:rPr>
                <w:rFonts w:ascii="Arial Narrow" w:hAnsi="Arial Narrow" w:cs="Calibri"/>
                <w:color w:val="000000"/>
                <w:sz w:val="20"/>
                <w:szCs w:val="20"/>
                <w:lang w:val="bg-BG"/>
              </w:rPr>
            </w:pPr>
            <w:r w:rsidRPr="0082579A">
              <w:rPr>
                <w:rFonts w:ascii="Arial Narrow" w:hAnsi="Arial Narrow" w:cs="Calibri"/>
                <w:color w:val="000000"/>
                <w:sz w:val="20"/>
                <w:szCs w:val="20"/>
                <w:lang w:val="bg-BG"/>
              </w:rPr>
              <w:t> </w:t>
            </w:r>
          </w:p>
        </w:tc>
        <w:tc>
          <w:tcPr>
            <w:tcW w:w="1429" w:type="dxa"/>
            <w:tcBorders>
              <w:top w:val="nil"/>
              <w:left w:val="nil"/>
              <w:bottom w:val="single" w:sz="4" w:space="0" w:color="auto"/>
              <w:right w:val="single" w:sz="4" w:space="0" w:color="auto"/>
            </w:tcBorders>
            <w:shd w:val="clear" w:color="auto" w:fill="auto"/>
            <w:noWrap/>
            <w:vAlign w:val="center"/>
            <w:hideMark/>
          </w:tcPr>
          <w:p w14:paraId="1F6E07A2" w14:textId="77777777" w:rsidR="0082579A" w:rsidRPr="0082579A" w:rsidRDefault="0082579A" w:rsidP="0082579A">
            <w:pPr>
              <w:jc w:val="right"/>
              <w:rPr>
                <w:rFonts w:ascii="Arial Narrow" w:hAnsi="Arial Narrow" w:cs="Calibri"/>
                <w:color w:val="000000"/>
                <w:sz w:val="20"/>
                <w:szCs w:val="20"/>
                <w:lang w:val="bg-BG"/>
              </w:rPr>
            </w:pPr>
            <w:r w:rsidRPr="0082579A">
              <w:rPr>
                <w:rFonts w:ascii="Arial Narrow" w:hAnsi="Arial Narrow" w:cs="Calibri"/>
                <w:color w:val="000000"/>
                <w:sz w:val="20"/>
                <w:szCs w:val="20"/>
                <w:lang w:val="bg-BG"/>
              </w:rPr>
              <w:t>162 353 760</w:t>
            </w:r>
          </w:p>
        </w:tc>
      </w:tr>
      <w:tr w:rsidR="0082579A" w:rsidRPr="0082579A" w14:paraId="6E3E6940" w14:textId="77777777" w:rsidTr="0082579A">
        <w:trPr>
          <w:trHeight w:val="402"/>
          <w:jc w:val="center"/>
        </w:trPr>
        <w:tc>
          <w:tcPr>
            <w:tcW w:w="3212" w:type="dxa"/>
            <w:tcBorders>
              <w:top w:val="nil"/>
              <w:left w:val="single" w:sz="4" w:space="0" w:color="auto"/>
              <w:bottom w:val="single" w:sz="4" w:space="0" w:color="auto"/>
              <w:right w:val="single" w:sz="4" w:space="0" w:color="auto"/>
            </w:tcBorders>
            <w:shd w:val="clear" w:color="auto" w:fill="auto"/>
            <w:vAlign w:val="center"/>
            <w:hideMark/>
          </w:tcPr>
          <w:p w14:paraId="183821E9" w14:textId="77777777" w:rsidR="0082579A" w:rsidRPr="0082579A" w:rsidRDefault="0082579A" w:rsidP="0082579A">
            <w:pPr>
              <w:ind w:firstLineChars="100" w:firstLine="200"/>
              <w:rPr>
                <w:rFonts w:ascii="Arial Narrow" w:hAnsi="Arial Narrow" w:cs="Calibri"/>
                <w:color w:val="000000"/>
                <w:sz w:val="20"/>
                <w:szCs w:val="20"/>
                <w:lang w:val="bg-BG"/>
              </w:rPr>
            </w:pPr>
            <w:r w:rsidRPr="0082579A">
              <w:rPr>
                <w:rFonts w:ascii="Arial Narrow" w:hAnsi="Arial Narrow" w:cs="Calibri"/>
                <w:color w:val="000000"/>
                <w:sz w:val="20"/>
                <w:szCs w:val="20"/>
                <w:lang w:val="bg-BG"/>
              </w:rPr>
              <w:t>Сектор "Зърнопроизводство"</w:t>
            </w:r>
          </w:p>
        </w:tc>
        <w:tc>
          <w:tcPr>
            <w:tcW w:w="2416" w:type="dxa"/>
            <w:tcBorders>
              <w:top w:val="nil"/>
              <w:left w:val="nil"/>
              <w:bottom w:val="single" w:sz="4" w:space="0" w:color="auto"/>
              <w:right w:val="single" w:sz="4" w:space="0" w:color="auto"/>
            </w:tcBorders>
            <w:shd w:val="clear" w:color="auto" w:fill="auto"/>
            <w:vAlign w:val="center"/>
            <w:hideMark/>
          </w:tcPr>
          <w:p w14:paraId="3C79B426" w14:textId="77777777" w:rsidR="0082579A" w:rsidRPr="0082579A" w:rsidRDefault="0082579A" w:rsidP="0082579A">
            <w:pPr>
              <w:rPr>
                <w:rFonts w:ascii="Arial Narrow" w:hAnsi="Arial Narrow" w:cs="Calibri"/>
                <w:color w:val="000000"/>
                <w:sz w:val="20"/>
                <w:szCs w:val="20"/>
                <w:lang w:val="bg-BG"/>
              </w:rPr>
            </w:pPr>
            <w:r w:rsidRPr="0082579A">
              <w:rPr>
                <w:rFonts w:ascii="Arial Narrow" w:hAnsi="Arial Narrow" w:cs="Calibri"/>
                <w:color w:val="000000"/>
                <w:sz w:val="20"/>
                <w:szCs w:val="20"/>
                <w:lang w:val="bg-BG"/>
              </w:rPr>
              <w:t> </w:t>
            </w:r>
          </w:p>
        </w:tc>
        <w:tc>
          <w:tcPr>
            <w:tcW w:w="1430" w:type="dxa"/>
            <w:tcBorders>
              <w:top w:val="nil"/>
              <w:left w:val="nil"/>
              <w:bottom w:val="single" w:sz="4" w:space="0" w:color="auto"/>
              <w:right w:val="single" w:sz="4" w:space="0" w:color="auto"/>
            </w:tcBorders>
            <w:shd w:val="clear" w:color="auto" w:fill="auto"/>
            <w:noWrap/>
            <w:vAlign w:val="center"/>
            <w:hideMark/>
          </w:tcPr>
          <w:p w14:paraId="2400DABE" w14:textId="77777777" w:rsidR="0082579A" w:rsidRPr="0082579A" w:rsidRDefault="0082579A" w:rsidP="0082579A">
            <w:pPr>
              <w:jc w:val="right"/>
              <w:rPr>
                <w:rFonts w:ascii="Arial Narrow" w:hAnsi="Arial Narrow" w:cs="Calibri"/>
                <w:color w:val="000000"/>
                <w:sz w:val="20"/>
                <w:szCs w:val="20"/>
                <w:lang w:val="bg-BG"/>
              </w:rPr>
            </w:pPr>
            <w:r w:rsidRPr="0082579A">
              <w:rPr>
                <w:rFonts w:ascii="Arial Narrow" w:hAnsi="Arial Narrow" w:cs="Calibri"/>
                <w:color w:val="000000"/>
                <w:sz w:val="20"/>
                <w:szCs w:val="20"/>
                <w:lang w:val="bg-BG"/>
              </w:rPr>
              <w:t>327 070 000</w:t>
            </w:r>
          </w:p>
        </w:tc>
        <w:tc>
          <w:tcPr>
            <w:tcW w:w="1430" w:type="dxa"/>
            <w:tcBorders>
              <w:top w:val="nil"/>
              <w:left w:val="nil"/>
              <w:bottom w:val="single" w:sz="4" w:space="0" w:color="auto"/>
              <w:right w:val="single" w:sz="4" w:space="0" w:color="auto"/>
            </w:tcBorders>
            <w:shd w:val="clear" w:color="auto" w:fill="auto"/>
            <w:noWrap/>
            <w:vAlign w:val="center"/>
            <w:hideMark/>
          </w:tcPr>
          <w:p w14:paraId="4FD462B2" w14:textId="77777777" w:rsidR="0082579A" w:rsidRPr="0082579A" w:rsidRDefault="0082579A" w:rsidP="0082579A">
            <w:pPr>
              <w:jc w:val="right"/>
              <w:rPr>
                <w:rFonts w:ascii="Arial Narrow" w:hAnsi="Arial Narrow" w:cs="Calibri"/>
                <w:color w:val="000000"/>
                <w:sz w:val="20"/>
                <w:szCs w:val="20"/>
                <w:lang w:val="bg-BG"/>
              </w:rPr>
            </w:pPr>
            <w:r w:rsidRPr="0082579A">
              <w:rPr>
                <w:rFonts w:ascii="Arial Narrow" w:hAnsi="Arial Narrow" w:cs="Calibri"/>
                <w:color w:val="000000"/>
                <w:sz w:val="20"/>
                <w:szCs w:val="20"/>
                <w:lang w:val="bg-BG"/>
              </w:rPr>
              <w:t> </w:t>
            </w:r>
          </w:p>
        </w:tc>
        <w:tc>
          <w:tcPr>
            <w:tcW w:w="1429" w:type="dxa"/>
            <w:tcBorders>
              <w:top w:val="nil"/>
              <w:left w:val="nil"/>
              <w:bottom w:val="single" w:sz="4" w:space="0" w:color="auto"/>
              <w:right w:val="single" w:sz="4" w:space="0" w:color="auto"/>
            </w:tcBorders>
            <w:shd w:val="clear" w:color="auto" w:fill="auto"/>
            <w:noWrap/>
            <w:vAlign w:val="center"/>
            <w:hideMark/>
          </w:tcPr>
          <w:p w14:paraId="21DB1EEF" w14:textId="77777777" w:rsidR="0082579A" w:rsidRPr="0082579A" w:rsidRDefault="0082579A" w:rsidP="0082579A">
            <w:pPr>
              <w:jc w:val="right"/>
              <w:rPr>
                <w:rFonts w:ascii="Arial Narrow" w:hAnsi="Arial Narrow" w:cs="Calibri"/>
                <w:color w:val="000000"/>
                <w:sz w:val="20"/>
                <w:szCs w:val="20"/>
                <w:lang w:val="bg-BG"/>
              </w:rPr>
            </w:pPr>
            <w:r w:rsidRPr="0082579A">
              <w:rPr>
                <w:rFonts w:ascii="Arial Narrow" w:hAnsi="Arial Narrow" w:cs="Calibri"/>
                <w:color w:val="000000"/>
                <w:sz w:val="20"/>
                <w:szCs w:val="20"/>
                <w:lang w:val="bg-BG"/>
              </w:rPr>
              <w:t>327 070 000</w:t>
            </w:r>
          </w:p>
        </w:tc>
      </w:tr>
      <w:tr w:rsidR="0082579A" w:rsidRPr="0082579A" w14:paraId="0474C7CF" w14:textId="77777777" w:rsidTr="0082579A">
        <w:trPr>
          <w:trHeight w:val="402"/>
          <w:jc w:val="center"/>
        </w:trPr>
        <w:tc>
          <w:tcPr>
            <w:tcW w:w="3212" w:type="dxa"/>
            <w:tcBorders>
              <w:top w:val="nil"/>
              <w:left w:val="single" w:sz="4" w:space="0" w:color="auto"/>
              <w:bottom w:val="single" w:sz="4" w:space="0" w:color="auto"/>
              <w:right w:val="single" w:sz="4" w:space="0" w:color="auto"/>
            </w:tcBorders>
            <w:shd w:val="clear" w:color="auto" w:fill="auto"/>
            <w:vAlign w:val="center"/>
            <w:hideMark/>
          </w:tcPr>
          <w:p w14:paraId="6B589F74" w14:textId="77777777" w:rsidR="0082579A" w:rsidRPr="0082579A" w:rsidRDefault="0082579A" w:rsidP="0082579A">
            <w:pPr>
              <w:ind w:firstLineChars="100" w:firstLine="200"/>
              <w:rPr>
                <w:rFonts w:ascii="Arial Narrow" w:hAnsi="Arial Narrow" w:cs="Calibri"/>
                <w:color w:val="000000"/>
                <w:sz w:val="20"/>
                <w:szCs w:val="20"/>
                <w:lang w:val="bg-BG"/>
              </w:rPr>
            </w:pPr>
            <w:r w:rsidRPr="0082579A">
              <w:rPr>
                <w:rFonts w:ascii="Arial Narrow" w:hAnsi="Arial Narrow" w:cs="Calibri"/>
                <w:color w:val="000000"/>
                <w:sz w:val="20"/>
                <w:szCs w:val="20"/>
                <w:lang w:val="bg-BG"/>
              </w:rPr>
              <w:t>Разходи за вода за напояване</w:t>
            </w:r>
          </w:p>
        </w:tc>
        <w:tc>
          <w:tcPr>
            <w:tcW w:w="2416" w:type="dxa"/>
            <w:tcBorders>
              <w:top w:val="nil"/>
              <w:left w:val="nil"/>
              <w:bottom w:val="single" w:sz="4" w:space="0" w:color="auto"/>
              <w:right w:val="single" w:sz="4" w:space="0" w:color="auto"/>
            </w:tcBorders>
            <w:shd w:val="clear" w:color="auto" w:fill="auto"/>
            <w:vAlign w:val="center"/>
            <w:hideMark/>
          </w:tcPr>
          <w:p w14:paraId="41EA11DD" w14:textId="77777777" w:rsidR="0082579A" w:rsidRPr="0082579A" w:rsidRDefault="0082579A" w:rsidP="0082579A">
            <w:pPr>
              <w:rPr>
                <w:rFonts w:ascii="Arial Narrow" w:hAnsi="Arial Narrow" w:cs="Calibri"/>
                <w:color w:val="000000"/>
                <w:sz w:val="20"/>
                <w:szCs w:val="20"/>
                <w:lang w:val="bg-BG"/>
              </w:rPr>
            </w:pPr>
            <w:r w:rsidRPr="0082579A">
              <w:rPr>
                <w:rFonts w:ascii="Arial Narrow" w:hAnsi="Arial Narrow" w:cs="Calibri"/>
                <w:color w:val="000000"/>
                <w:sz w:val="20"/>
                <w:szCs w:val="20"/>
                <w:lang w:val="bg-BG"/>
              </w:rPr>
              <w:t> </w:t>
            </w:r>
          </w:p>
        </w:tc>
        <w:tc>
          <w:tcPr>
            <w:tcW w:w="1430" w:type="dxa"/>
            <w:tcBorders>
              <w:top w:val="nil"/>
              <w:left w:val="nil"/>
              <w:bottom w:val="single" w:sz="4" w:space="0" w:color="auto"/>
              <w:right w:val="single" w:sz="4" w:space="0" w:color="auto"/>
            </w:tcBorders>
            <w:shd w:val="clear" w:color="auto" w:fill="auto"/>
            <w:noWrap/>
            <w:vAlign w:val="center"/>
            <w:hideMark/>
          </w:tcPr>
          <w:p w14:paraId="4BBC1457" w14:textId="77777777" w:rsidR="0082579A" w:rsidRPr="0082579A" w:rsidRDefault="0082579A" w:rsidP="0082579A">
            <w:pPr>
              <w:jc w:val="right"/>
              <w:rPr>
                <w:rFonts w:ascii="Arial Narrow" w:hAnsi="Arial Narrow" w:cs="Calibri"/>
                <w:color w:val="000000"/>
                <w:sz w:val="20"/>
                <w:szCs w:val="20"/>
                <w:lang w:val="bg-BG"/>
              </w:rPr>
            </w:pPr>
            <w:r w:rsidRPr="0082579A">
              <w:rPr>
                <w:rFonts w:ascii="Arial Narrow" w:hAnsi="Arial Narrow" w:cs="Calibri"/>
                <w:color w:val="000000"/>
                <w:sz w:val="20"/>
                <w:szCs w:val="20"/>
                <w:lang w:val="bg-BG"/>
              </w:rPr>
              <w:t>10 745 168</w:t>
            </w:r>
          </w:p>
        </w:tc>
        <w:tc>
          <w:tcPr>
            <w:tcW w:w="1430" w:type="dxa"/>
            <w:tcBorders>
              <w:top w:val="nil"/>
              <w:left w:val="nil"/>
              <w:bottom w:val="single" w:sz="4" w:space="0" w:color="auto"/>
              <w:right w:val="single" w:sz="4" w:space="0" w:color="auto"/>
            </w:tcBorders>
            <w:shd w:val="clear" w:color="auto" w:fill="auto"/>
            <w:noWrap/>
            <w:vAlign w:val="center"/>
            <w:hideMark/>
          </w:tcPr>
          <w:p w14:paraId="09652B45" w14:textId="77777777" w:rsidR="0082579A" w:rsidRPr="0082579A" w:rsidRDefault="0082579A" w:rsidP="0082579A">
            <w:pPr>
              <w:jc w:val="right"/>
              <w:rPr>
                <w:rFonts w:ascii="Arial Narrow" w:hAnsi="Arial Narrow" w:cs="Calibri"/>
                <w:color w:val="000000"/>
                <w:sz w:val="20"/>
                <w:szCs w:val="20"/>
                <w:lang w:val="bg-BG"/>
              </w:rPr>
            </w:pPr>
            <w:r w:rsidRPr="0082579A">
              <w:rPr>
                <w:rFonts w:ascii="Arial Narrow" w:hAnsi="Arial Narrow" w:cs="Calibri"/>
                <w:color w:val="000000"/>
                <w:sz w:val="20"/>
                <w:szCs w:val="20"/>
                <w:lang w:val="bg-BG"/>
              </w:rPr>
              <w:t> </w:t>
            </w:r>
          </w:p>
        </w:tc>
        <w:tc>
          <w:tcPr>
            <w:tcW w:w="1429" w:type="dxa"/>
            <w:tcBorders>
              <w:top w:val="nil"/>
              <w:left w:val="nil"/>
              <w:bottom w:val="single" w:sz="4" w:space="0" w:color="auto"/>
              <w:right w:val="single" w:sz="4" w:space="0" w:color="auto"/>
            </w:tcBorders>
            <w:shd w:val="clear" w:color="auto" w:fill="auto"/>
            <w:noWrap/>
            <w:vAlign w:val="center"/>
            <w:hideMark/>
          </w:tcPr>
          <w:p w14:paraId="0939AB7E" w14:textId="77777777" w:rsidR="0082579A" w:rsidRPr="0082579A" w:rsidRDefault="0082579A" w:rsidP="0082579A">
            <w:pPr>
              <w:jc w:val="right"/>
              <w:rPr>
                <w:rFonts w:ascii="Arial Narrow" w:hAnsi="Arial Narrow" w:cs="Calibri"/>
                <w:color w:val="000000"/>
                <w:sz w:val="20"/>
                <w:szCs w:val="20"/>
                <w:lang w:val="bg-BG"/>
              </w:rPr>
            </w:pPr>
            <w:r w:rsidRPr="0082579A">
              <w:rPr>
                <w:rFonts w:ascii="Arial Narrow" w:hAnsi="Arial Narrow" w:cs="Calibri"/>
                <w:color w:val="000000"/>
                <w:sz w:val="20"/>
                <w:szCs w:val="20"/>
                <w:lang w:val="bg-BG"/>
              </w:rPr>
              <w:t>10 745 168</w:t>
            </w:r>
          </w:p>
        </w:tc>
      </w:tr>
      <w:tr w:rsidR="0082579A" w:rsidRPr="0082579A" w14:paraId="0F148AD0" w14:textId="77777777" w:rsidTr="0082579A">
        <w:trPr>
          <w:trHeight w:val="900"/>
          <w:jc w:val="center"/>
        </w:trPr>
        <w:tc>
          <w:tcPr>
            <w:tcW w:w="32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220B2C" w14:textId="77777777" w:rsidR="0082579A" w:rsidRPr="0082579A" w:rsidRDefault="0082579A" w:rsidP="0082579A">
            <w:pPr>
              <w:rPr>
                <w:rFonts w:ascii="Arial Narrow" w:hAnsi="Arial Narrow" w:cs="Calibri"/>
                <w:color w:val="000000"/>
                <w:sz w:val="20"/>
                <w:szCs w:val="20"/>
                <w:lang w:val="bg-BG"/>
              </w:rPr>
            </w:pPr>
            <w:r w:rsidRPr="0082579A">
              <w:rPr>
                <w:rFonts w:ascii="Arial Narrow" w:hAnsi="Arial Narrow" w:cs="Calibri"/>
                <w:color w:val="000000"/>
                <w:sz w:val="20"/>
                <w:szCs w:val="20"/>
                <w:lang w:val="bg-BG"/>
              </w:rPr>
              <w:t>Подпомагане на сектор "Рибарство" с цел смекчаване на последиците от войната в Украйна</w:t>
            </w:r>
          </w:p>
        </w:tc>
        <w:tc>
          <w:tcPr>
            <w:tcW w:w="2416" w:type="dxa"/>
            <w:tcBorders>
              <w:top w:val="single" w:sz="4" w:space="0" w:color="auto"/>
              <w:left w:val="nil"/>
              <w:bottom w:val="single" w:sz="4" w:space="0" w:color="auto"/>
              <w:right w:val="single" w:sz="4" w:space="0" w:color="auto"/>
            </w:tcBorders>
            <w:shd w:val="clear" w:color="auto" w:fill="auto"/>
            <w:vAlign w:val="center"/>
            <w:hideMark/>
          </w:tcPr>
          <w:p w14:paraId="28134897" w14:textId="77777777" w:rsidR="0082579A" w:rsidRPr="0082579A" w:rsidRDefault="0082579A" w:rsidP="0082579A">
            <w:pPr>
              <w:rPr>
                <w:rFonts w:ascii="Arial Narrow" w:hAnsi="Arial Narrow" w:cs="Calibri"/>
                <w:color w:val="000000"/>
                <w:sz w:val="20"/>
                <w:szCs w:val="20"/>
                <w:lang w:val="bg-BG"/>
              </w:rPr>
            </w:pPr>
            <w:r w:rsidRPr="0082579A">
              <w:rPr>
                <w:rFonts w:ascii="Arial Narrow" w:hAnsi="Arial Narrow" w:cs="Calibri"/>
                <w:color w:val="000000"/>
                <w:sz w:val="20"/>
                <w:szCs w:val="20"/>
                <w:lang w:val="bg-BG"/>
              </w:rPr>
              <w:t>Преразпределение на средствата между мерките по ПМДР</w:t>
            </w:r>
          </w:p>
        </w:tc>
        <w:tc>
          <w:tcPr>
            <w:tcW w:w="1430" w:type="dxa"/>
            <w:tcBorders>
              <w:top w:val="single" w:sz="4" w:space="0" w:color="auto"/>
              <w:left w:val="nil"/>
              <w:bottom w:val="single" w:sz="4" w:space="0" w:color="auto"/>
              <w:right w:val="single" w:sz="4" w:space="0" w:color="auto"/>
            </w:tcBorders>
            <w:shd w:val="clear" w:color="auto" w:fill="auto"/>
            <w:noWrap/>
            <w:vAlign w:val="center"/>
            <w:hideMark/>
          </w:tcPr>
          <w:p w14:paraId="06D485C7" w14:textId="77777777" w:rsidR="0082579A" w:rsidRPr="0082579A" w:rsidRDefault="0082579A" w:rsidP="0082579A">
            <w:pPr>
              <w:jc w:val="right"/>
              <w:rPr>
                <w:rFonts w:ascii="Arial Narrow" w:hAnsi="Arial Narrow" w:cs="Calibri"/>
                <w:color w:val="000000"/>
                <w:sz w:val="20"/>
                <w:szCs w:val="20"/>
                <w:lang w:val="bg-BG"/>
              </w:rPr>
            </w:pPr>
            <w:r w:rsidRPr="0082579A">
              <w:rPr>
                <w:rFonts w:ascii="Arial Narrow" w:hAnsi="Arial Narrow" w:cs="Calibri"/>
                <w:color w:val="000000"/>
                <w:sz w:val="20"/>
                <w:szCs w:val="20"/>
                <w:lang w:val="bg-BG"/>
              </w:rPr>
              <w:t>11 107 984</w:t>
            </w:r>
          </w:p>
        </w:tc>
        <w:tc>
          <w:tcPr>
            <w:tcW w:w="1430" w:type="dxa"/>
            <w:tcBorders>
              <w:top w:val="single" w:sz="4" w:space="0" w:color="auto"/>
              <w:left w:val="nil"/>
              <w:bottom w:val="single" w:sz="4" w:space="0" w:color="auto"/>
              <w:right w:val="single" w:sz="4" w:space="0" w:color="auto"/>
            </w:tcBorders>
            <w:shd w:val="clear" w:color="auto" w:fill="auto"/>
            <w:noWrap/>
            <w:vAlign w:val="center"/>
            <w:hideMark/>
          </w:tcPr>
          <w:p w14:paraId="221CCA42" w14:textId="77777777" w:rsidR="0082579A" w:rsidRPr="0082579A" w:rsidRDefault="0082579A" w:rsidP="0082579A">
            <w:pPr>
              <w:jc w:val="right"/>
              <w:rPr>
                <w:rFonts w:ascii="Arial Narrow" w:hAnsi="Arial Narrow" w:cs="Calibri"/>
                <w:color w:val="000000"/>
                <w:sz w:val="20"/>
                <w:szCs w:val="20"/>
                <w:lang w:val="bg-BG"/>
              </w:rPr>
            </w:pPr>
            <w:r w:rsidRPr="0082579A">
              <w:rPr>
                <w:rFonts w:ascii="Arial Narrow" w:hAnsi="Arial Narrow" w:cs="Calibri"/>
                <w:color w:val="000000"/>
                <w:sz w:val="20"/>
                <w:szCs w:val="20"/>
                <w:lang w:val="bg-BG"/>
              </w:rPr>
              <w:t>8 325 250</w:t>
            </w:r>
          </w:p>
        </w:tc>
        <w:tc>
          <w:tcPr>
            <w:tcW w:w="1429" w:type="dxa"/>
            <w:tcBorders>
              <w:top w:val="single" w:sz="4" w:space="0" w:color="auto"/>
              <w:left w:val="nil"/>
              <w:bottom w:val="single" w:sz="4" w:space="0" w:color="auto"/>
              <w:right w:val="single" w:sz="4" w:space="0" w:color="auto"/>
            </w:tcBorders>
            <w:shd w:val="clear" w:color="auto" w:fill="auto"/>
            <w:noWrap/>
            <w:vAlign w:val="center"/>
            <w:hideMark/>
          </w:tcPr>
          <w:p w14:paraId="45880AD6" w14:textId="77777777" w:rsidR="0082579A" w:rsidRPr="0082579A" w:rsidRDefault="0082579A" w:rsidP="0082579A">
            <w:pPr>
              <w:jc w:val="right"/>
              <w:rPr>
                <w:rFonts w:ascii="Arial Narrow" w:hAnsi="Arial Narrow" w:cs="Calibri"/>
                <w:color w:val="000000"/>
                <w:sz w:val="20"/>
                <w:szCs w:val="20"/>
                <w:lang w:val="bg-BG"/>
              </w:rPr>
            </w:pPr>
            <w:r w:rsidRPr="0082579A">
              <w:rPr>
                <w:rFonts w:ascii="Arial Narrow" w:hAnsi="Arial Narrow" w:cs="Calibri"/>
                <w:color w:val="000000"/>
                <w:sz w:val="20"/>
                <w:szCs w:val="20"/>
                <w:lang w:val="bg-BG"/>
              </w:rPr>
              <w:t>2 782 735</w:t>
            </w:r>
          </w:p>
        </w:tc>
      </w:tr>
      <w:tr w:rsidR="0082579A" w:rsidRPr="0082579A" w14:paraId="468D8FF9" w14:textId="77777777" w:rsidTr="0082579A">
        <w:trPr>
          <w:trHeight w:val="397"/>
          <w:jc w:val="center"/>
        </w:trPr>
        <w:tc>
          <w:tcPr>
            <w:tcW w:w="3212" w:type="dxa"/>
            <w:tcBorders>
              <w:top w:val="single" w:sz="4" w:space="0" w:color="auto"/>
              <w:left w:val="single" w:sz="4" w:space="0" w:color="auto"/>
              <w:bottom w:val="single" w:sz="4" w:space="0" w:color="auto"/>
              <w:right w:val="single" w:sz="4" w:space="0" w:color="auto"/>
            </w:tcBorders>
            <w:shd w:val="clear" w:color="auto" w:fill="auto"/>
            <w:vAlign w:val="center"/>
          </w:tcPr>
          <w:p w14:paraId="221E0397" w14:textId="77777777" w:rsidR="0082579A" w:rsidRPr="0082579A" w:rsidRDefault="0082579A" w:rsidP="0082579A">
            <w:pPr>
              <w:rPr>
                <w:rFonts w:ascii="Arial Narrow" w:hAnsi="Arial Narrow" w:cs="Calibri"/>
                <w:color w:val="000000"/>
                <w:sz w:val="20"/>
                <w:szCs w:val="20"/>
                <w:lang w:val="bg-BG"/>
              </w:rPr>
            </w:pPr>
            <w:r w:rsidRPr="0082579A">
              <w:rPr>
                <w:rFonts w:ascii="Arial Narrow" w:eastAsia="Calibri" w:hAnsi="Arial Narrow" w:cs="Calibri"/>
                <w:b/>
                <w:bCs/>
                <w:color w:val="000000"/>
                <w:sz w:val="20"/>
                <w:szCs w:val="20"/>
              </w:rPr>
              <w:t>ОБЩО</w:t>
            </w:r>
          </w:p>
        </w:tc>
        <w:tc>
          <w:tcPr>
            <w:tcW w:w="2416" w:type="dxa"/>
            <w:tcBorders>
              <w:top w:val="single" w:sz="4" w:space="0" w:color="auto"/>
              <w:left w:val="nil"/>
              <w:bottom w:val="single" w:sz="4" w:space="0" w:color="auto"/>
              <w:right w:val="single" w:sz="4" w:space="0" w:color="auto"/>
            </w:tcBorders>
            <w:shd w:val="clear" w:color="auto" w:fill="auto"/>
            <w:vAlign w:val="center"/>
          </w:tcPr>
          <w:p w14:paraId="747C69E8" w14:textId="77777777" w:rsidR="0082579A" w:rsidRPr="0082579A" w:rsidRDefault="0082579A" w:rsidP="0082579A">
            <w:pPr>
              <w:rPr>
                <w:rFonts w:ascii="Arial Narrow" w:hAnsi="Arial Narrow" w:cs="Calibri"/>
                <w:color w:val="000000"/>
                <w:sz w:val="20"/>
                <w:szCs w:val="20"/>
                <w:lang w:val="bg-BG"/>
              </w:rPr>
            </w:pPr>
            <w:r w:rsidRPr="0082579A">
              <w:rPr>
                <w:rFonts w:ascii="Arial Narrow" w:eastAsia="Calibri" w:hAnsi="Arial Narrow" w:cs="Calibri"/>
                <w:b/>
                <w:bCs/>
                <w:color w:val="000000"/>
                <w:sz w:val="20"/>
                <w:szCs w:val="20"/>
              </w:rPr>
              <w:t> </w:t>
            </w:r>
          </w:p>
        </w:tc>
        <w:tc>
          <w:tcPr>
            <w:tcW w:w="1430" w:type="dxa"/>
            <w:tcBorders>
              <w:top w:val="single" w:sz="4" w:space="0" w:color="auto"/>
              <w:left w:val="nil"/>
              <w:bottom w:val="single" w:sz="4" w:space="0" w:color="auto"/>
              <w:right w:val="single" w:sz="4" w:space="0" w:color="auto"/>
            </w:tcBorders>
            <w:shd w:val="clear" w:color="auto" w:fill="auto"/>
            <w:noWrap/>
            <w:vAlign w:val="center"/>
          </w:tcPr>
          <w:p w14:paraId="63F7D002" w14:textId="77777777" w:rsidR="0082579A" w:rsidRPr="0082579A" w:rsidRDefault="0082579A" w:rsidP="0082579A">
            <w:pPr>
              <w:jc w:val="right"/>
              <w:rPr>
                <w:rFonts w:ascii="Arial Narrow" w:hAnsi="Arial Narrow" w:cs="Calibri"/>
                <w:color w:val="000000"/>
                <w:sz w:val="20"/>
                <w:szCs w:val="20"/>
                <w:lang w:val="bg-BG"/>
              </w:rPr>
            </w:pPr>
            <w:r w:rsidRPr="0082579A">
              <w:rPr>
                <w:rFonts w:ascii="Arial Narrow" w:eastAsia="Calibri" w:hAnsi="Arial Narrow" w:cs="Calibri"/>
                <w:b/>
                <w:bCs/>
                <w:color w:val="000000"/>
                <w:sz w:val="20"/>
                <w:szCs w:val="20"/>
              </w:rPr>
              <w:t>674 934 718</w:t>
            </w:r>
          </w:p>
        </w:tc>
        <w:tc>
          <w:tcPr>
            <w:tcW w:w="1430" w:type="dxa"/>
            <w:tcBorders>
              <w:top w:val="single" w:sz="4" w:space="0" w:color="auto"/>
              <w:left w:val="nil"/>
              <w:bottom w:val="single" w:sz="4" w:space="0" w:color="auto"/>
              <w:right w:val="single" w:sz="4" w:space="0" w:color="auto"/>
            </w:tcBorders>
            <w:shd w:val="clear" w:color="auto" w:fill="auto"/>
            <w:noWrap/>
            <w:vAlign w:val="center"/>
          </w:tcPr>
          <w:p w14:paraId="34F3B7C4" w14:textId="77777777" w:rsidR="0082579A" w:rsidRPr="0082579A" w:rsidRDefault="0082579A" w:rsidP="0082579A">
            <w:pPr>
              <w:jc w:val="right"/>
              <w:rPr>
                <w:rFonts w:ascii="Arial Narrow" w:hAnsi="Arial Narrow" w:cs="Calibri"/>
                <w:color w:val="000000"/>
                <w:sz w:val="20"/>
                <w:szCs w:val="20"/>
                <w:lang w:val="bg-BG"/>
              </w:rPr>
            </w:pPr>
            <w:r w:rsidRPr="0082579A">
              <w:rPr>
                <w:rFonts w:ascii="Arial Narrow" w:eastAsia="Calibri" w:hAnsi="Arial Narrow" w:cs="Calibri"/>
                <w:b/>
                <w:bCs/>
                <w:color w:val="000000"/>
                <w:sz w:val="20"/>
                <w:szCs w:val="20"/>
              </w:rPr>
              <w:t>8 325 250</w:t>
            </w:r>
          </w:p>
        </w:tc>
        <w:tc>
          <w:tcPr>
            <w:tcW w:w="1429" w:type="dxa"/>
            <w:tcBorders>
              <w:top w:val="single" w:sz="4" w:space="0" w:color="auto"/>
              <w:left w:val="nil"/>
              <w:bottom w:val="single" w:sz="4" w:space="0" w:color="auto"/>
              <w:right w:val="single" w:sz="4" w:space="0" w:color="auto"/>
            </w:tcBorders>
            <w:shd w:val="clear" w:color="auto" w:fill="auto"/>
            <w:noWrap/>
            <w:vAlign w:val="center"/>
          </w:tcPr>
          <w:p w14:paraId="04DDA848" w14:textId="77777777" w:rsidR="0082579A" w:rsidRPr="0082579A" w:rsidRDefault="0082579A" w:rsidP="0082579A">
            <w:pPr>
              <w:jc w:val="right"/>
              <w:rPr>
                <w:rFonts w:ascii="Arial Narrow" w:hAnsi="Arial Narrow" w:cs="Calibri"/>
                <w:color w:val="000000"/>
                <w:sz w:val="20"/>
                <w:szCs w:val="20"/>
                <w:lang w:val="bg-BG"/>
              </w:rPr>
            </w:pPr>
            <w:r w:rsidRPr="0082579A">
              <w:rPr>
                <w:rFonts w:ascii="Arial Narrow" w:eastAsia="Calibri" w:hAnsi="Arial Narrow" w:cs="Calibri"/>
                <w:b/>
                <w:bCs/>
                <w:color w:val="000000"/>
                <w:sz w:val="20"/>
                <w:szCs w:val="20"/>
              </w:rPr>
              <w:t>666 609 468</w:t>
            </w:r>
          </w:p>
        </w:tc>
      </w:tr>
    </w:tbl>
    <w:p w14:paraId="3FD917AD" w14:textId="77777777" w:rsidR="0082579A" w:rsidRDefault="0082579A" w:rsidP="0082579A">
      <w:pPr>
        <w:spacing w:after="240"/>
        <w:jc w:val="both"/>
        <w:rPr>
          <w:rFonts w:ascii="Arial Narrow" w:eastAsia="Calibri" w:hAnsi="Arial Narrow"/>
          <w:sz w:val="18"/>
          <w:szCs w:val="18"/>
          <w:lang w:val="bg-BG"/>
        </w:rPr>
      </w:pPr>
      <w:r w:rsidRPr="0082579A">
        <w:rPr>
          <w:rFonts w:ascii="Arial Narrow" w:eastAsia="Calibri" w:hAnsi="Arial Narrow"/>
          <w:i/>
          <w:sz w:val="18"/>
          <w:szCs w:val="18"/>
          <w:lang w:val="bg-BG"/>
        </w:rPr>
        <w:t>Източник:</w:t>
      </w:r>
      <w:r w:rsidRPr="0082579A">
        <w:rPr>
          <w:rFonts w:ascii="Arial Narrow" w:eastAsia="Calibri" w:hAnsi="Arial Narrow"/>
          <w:sz w:val="18"/>
          <w:szCs w:val="18"/>
          <w:lang w:val="bg-BG"/>
        </w:rPr>
        <w:t xml:space="preserve"> МЗХ</w:t>
      </w:r>
    </w:p>
    <w:p w14:paraId="066E27FC" w14:textId="77777777" w:rsidR="001C7646" w:rsidRPr="0082579A" w:rsidRDefault="001C7646" w:rsidP="001C7646">
      <w:pPr>
        <w:spacing w:after="120"/>
        <w:ind w:firstLine="720"/>
        <w:jc w:val="both"/>
        <w:rPr>
          <w:rFonts w:ascii="Arial Narrow" w:eastAsia="Calibri" w:hAnsi="Arial Narrow"/>
          <w:lang w:val="bg-BG"/>
        </w:rPr>
      </w:pPr>
      <w:r w:rsidRPr="0082579A">
        <w:rPr>
          <w:rFonts w:ascii="Arial Narrow" w:eastAsia="Calibri" w:hAnsi="Arial Narrow"/>
          <w:lang w:val="bg-BG"/>
        </w:rPr>
        <w:t>С цел ограничаване на негативните последици от увеличаване на производствените разходи в отрасъл „Селско стопанство“, ежегодно от държавния бюджет на Република България се утвърждава определена сума за отстъпка от стойността на акциза върху газьола, използван в първичното селскостопанско производство. През периода 2021 – 2024 г. този бюджет е в размер на 100 млн. лева годишно.</w:t>
      </w:r>
    </w:p>
    <w:p w14:paraId="4B00A3BF" w14:textId="77777777" w:rsidR="001C7646" w:rsidRPr="0082579A" w:rsidRDefault="001C7646" w:rsidP="001C7646">
      <w:pPr>
        <w:spacing w:after="120"/>
        <w:ind w:firstLine="720"/>
        <w:jc w:val="both"/>
        <w:rPr>
          <w:rFonts w:ascii="Arial Narrow" w:eastAsia="Calibri" w:hAnsi="Arial Narrow"/>
          <w:lang w:val="bg-BG"/>
        </w:rPr>
      </w:pPr>
      <w:r w:rsidRPr="0082579A">
        <w:rPr>
          <w:rFonts w:ascii="Arial Narrow" w:eastAsia="Calibri" w:hAnsi="Arial Narrow"/>
          <w:lang w:val="bg-BG"/>
        </w:rPr>
        <w:t>Мярката се прилага чрез схемата на държавна помощ „Помощ под формата на отстъпка от стойността на акциза върху газьола, използван в първичното селскостопанско производство“. През 2024 г. по схемата са изплатени близо 99,2 млн. лева на 14 640 земеделски стопани.</w:t>
      </w:r>
    </w:p>
    <w:p w14:paraId="7296AEE0" w14:textId="77777777" w:rsidR="001C7646" w:rsidRPr="001C7646" w:rsidRDefault="001C7646" w:rsidP="001C7646">
      <w:pPr>
        <w:spacing w:after="120"/>
        <w:jc w:val="both"/>
        <w:rPr>
          <w:rFonts w:ascii="Arial Narrow" w:eastAsia="Calibri" w:hAnsi="Arial Narrow"/>
          <w:lang w:val="bg-BG"/>
        </w:rPr>
      </w:pPr>
      <w:r w:rsidRPr="0082579A">
        <w:rPr>
          <w:rFonts w:ascii="Arial Narrow" w:eastAsia="Calibri" w:hAnsi="Arial Narrow"/>
          <w:b/>
          <w:lang w:val="bg-BG"/>
        </w:rPr>
        <w:lastRenderedPageBreak/>
        <w:tab/>
      </w:r>
      <w:r w:rsidRPr="0082579A">
        <w:rPr>
          <w:rFonts w:ascii="Arial Narrow" w:eastAsia="Calibri" w:hAnsi="Arial Narrow"/>
          <w:lang w:val="bg-BG"/>
        </w:rPr>
        <w:t>За преодоляване на негативните последици от руската инвазия в Украйна, през 2024 г. земеделските стопани и операторите в сектор „Рибарство“ са подпо</w:t>
      </w:r>
      <w:r>
        <w:rPr>
          <w:rFonts w:ascii="Arial Narrow" w:eastAsia="Calibri" w:hAnsi="Arial Narrow"/>
          <w:lang w:val="bg-BG"/>
        </w:rPr>
        <w:t>могнати с общо 674,9 млн. лева.</w:t>
      </w:r>
    </w:p>
    <w:p w14:paraId="19BFB513" w14:textId="77777777" w:rsidR="00532BCB" w:rsidRPr="00532BCB" w:rsidRDefault="00532BCB" w:rsidP="00532BCB">
      <w:pPr>
        <w:pStyle w:val="ListParagraph"/>
        <w:keepNext/>
        <w:keepLines/>
        <w:numPr>
          <w:ilvl w:val="1"/>
          <w:numId w:val="16"/>
        </w:numPr>
        <w:spacing w:after="120"/>
        <w:ind w:left="981" w:hanging="624"/>
        <w:contextualSpacing w:val="0"/>
        <w:jc w:val="both"/>
        <w:outlineLvl w:val="0"/>
        <w:rPr>
          <w:rFonts w:ascii="Arial Narrow" w:hAnsi="Arial Narrow"/>
          <w:b/>
          <w:lang w:val="bg-BG"/>
        </w:rPr>
      </w:pPr>
      <w:bookmarkStart w:id="223" w:name="_Toc210747665"/>
      <w:r w:rsidRPr="00E70F58">
        <w:rPr>
          <w:rFonts w:ascii="Arial Narrow" w:hAnsi="Arial Narrow"/>
          <w:b/>
          <w:lang w:val="bg-BG"/>
        </w:rPr>
        <w:t>Мерки за управление на кризите в земеделието</w:t>
      </w:r>
      <w:bookmarkEnd w:id="223"/>
    </w:p>
    <w:p w14:paraId="6A924A61" w14:textId="77777777" w:rsidR="00532BCB" w:rsidRPr="00851E3C" w:rsidRDefault="00532BCB" w:rsidP="00532BCB">
      <w:pPr>
        <w:spacing w:after="120"/>
        <w:ind w:firstLine="709"/>
        <w:jc w:val="both"/>
        <w:rPr>
          <w:rFonts w:ascii="Arial Narrow" w:hAnsi="Arial Narrow"/>
          <w:b/>
          <w:u w:val="single"/>
          <w:lang w:val="bg-BG"/>
        </w:rPr>
      </w:pPr>
      <w:r w:rsidRPr="00851E3C">
        <w:rPr>
          <w:rFonts w:ascii="Arial Narrow" w:hAnsi="Arial Narrow"/>
          <w:lang w:val="bg-BG"/>
        </w:rPr>
        <w:t>През 2024 г. в страната са обявени следните локални санитарни кризи и кризисни ситуации, причинени от природни бедствия в секторите „Животновъдство“ и „Растениевъдство“:</w:t>
      </w:r>
    </w:p>
    <w:p w14:paraId="093C5916" w14:textId="77777777" w:rsidR="00532BCB" w:rsidRPr="00D72BD9" w:rsidRDefault="00532BCB" w:rsidP="009C6577">
      <w:pPr>
        <w:pStyle w:val="ListParagraph"/>
        <w:numPr>
          <w:ilvl w:val="0"/>
          <w:numId w:val="59"/>
        </w:numPr>
        <w:spacing w:after="120"/>
        <w:contextualSpacing w:val="0"/>
        <w:jc w:val="both"/>
        <w:rPr>
          <w:rFonts w:ascii="Arial Narrow" w:hAnsi="Arial Narrow"/>
          <w:lang w:val="bg-BG"/>
        </w:rPr>
      </w:pPr>
      <w:r w:rsidRPr="00D72BD9">
        <w:rPr>
          <w:rFonts w:ascii="Arial Narrow" w:hAnsi="Arial Narrow"/>
          <w:lang w:val="bg-BG"/>
        </w:rPr>
        <w:t xml:space="preserve">За </w:t>
      </w:r>
      <w:r w:rsidRPr="00E70F58">
        <w:rPr>
          <w:rFonts w:ascii="Arial Narrow" w:hAnsi="Arial Narrow"/>
          <w:lang w:val="bg-BG"/>
        </w:rPr>
        <w:t>сектор „Животновъдство“</w:t>
      </w:r>
      <w:r w:rsidRPr="00D72BD9">
        <w:rPr>
          <w:rFonts w:ascii="Arial Narrow" w:hAnsi="Arial Narrow"/>
          <w:lang w:val="bg-BG"/>
        </w:rPr>
        <w:t xml:space="preserve"> са обявени локални санитарни кризи в няколко области на страната, свързани с болестите </w:t>
      </w:r>
      <w:r w:rsidRPr="00E70F58">
        <w:rPr>
          <w:rFonts w:ascii="Arial Narrow" w:hAnsi="Arial Narrow"/>
          <w:lang w:val="bg-BG"/>
        </w:rPr>
        <w:t xml:space="preserve">инфлуенца по птиците, африканска чума по свинете, шарка по </w:t>
      </w:r>
      <w:r>
        <w:rPr>
          <w:rFonts w:ascii="Arial Narrow" w:hAnsi="Arial Narrow"/>
          <w:lang w:val="bg-BG"/>
        </w:rPr>
        <w:t>дребни преживни животни</w:t>
      </w:r>
      <w:r w:rsidRPr="00E70F58">
        <w:rPr>
          <w:rFonts w:ascii="Arial Narrow" w:hAnsi="Arial Narrow"/>
          <w:lang w:val="bg-BG"/>
        </w:rPr>
        <w:t xml:space="preserve">, антракс, чума по </w:t>
      </w:r>
      <w:r>
        <w:rPr>
          <w:rFonts w:ascii="Arial Narrow" w:hAnsi="Arial Narrow"/>
          <w:lang w:val="bg-BG"/>
        </w:rPr>
        <w:t>дребни преживни животни</w:t>
      </w:r>
      <w:r w:rsidRPr="00E70F58">
        <w:rPr>
          <w:rFonts w:ascii="Arial Narrow" w:hAnsi="Arial Narrow"/>
          <w:lang w:val="bg-BG"/>
        </w:rPr>
        <w:t>, инфекциозна анемия по конете, западнонилска треска, ку-треска, както и меди-висна.</w:t>
      </w:r>
      <w:r w:rsidRPr="00D72BD9">
        <w:rPr>
          <w:rFonts w:ascii="Arial Narrow" w:hAnsi="Arial Narrow"/>
          <w:lang w:val="bg-BG"/>
        </w:rPr>
        <w:t xml:space="preserve"> Към кризите в сектор „Животновъдство“ са описани и настъпилите кризисни ситуации, причинени от природни бедствия – </w:t>
      </w:r>
      <w:r w:rsidRPr="00E70F58">
        <w:rPr>
          <w:rFonts w:ascii="Arial Narrow" w:hAnsi="Arial Narrow"/>
          <w:lang w:val="bg-BG"/>
        </w:rPr>
        <w:t>неблагоприятни метеорологични събития;</w:t>
      </w:r>
    </w:p>
    <w:p w14:paraId="6B325F68" w14:textId="77777777" w:rsidR="00532BCB" w:rsidRPr="00D72BD9" w:rsidRDefault="00532BCB" w:rsidP="009C6577">
      <w:pPr>
        <w:pStyle w:val="ListParagraph"/>
        <w:numPr>
          <w:ilvl w:val="0"/>
          <w:numId w:val="59"/>
        </w:numPr>
        <w:spacing w:after="120"/>
        <w:contextualSpacing w:val="0"/>
        <w:jc w:val="both"/>
        <w:rPr>
          <w:rFonts w:ascii="Arial Narrow" w:hAnsi="Arial Narrow"/>
          <w:color w:val="000000" w:themeColor="text1"/>
          <w:lang w:val="bg-BG"/>
        </w:rPr>
      </w:pPr>
      <w:r w:rsidRPr="00D72BD9">
        <w:rPr>
          <w:rFonts w:ascii="Arial Narrow" w:hAnsi="Arial Narrow"/>
          <w:lang w:val="bg-BG"/>
        </w:rPr>
        <w:t>З</w:t>
      </w:r>
      <w:r w:rsidRPr="00D72BD9">
        <w:rPr>
          <w:rFonts w:ascii="Arial Narrow" w:hAnsi="Arial Narrow"/>
          <w:color w:val="000000" w:themeColor="text1"/>
          <w:lang w:val="bg-BG"/>
        </w:rPr>
        <w:t xml:space="preserve">а </w:t>
      </w:r>
      <w:r w:rsidRPr="00E70F58">
        <w:rPr>
          <w:rFonts w:ascii="Arial Narrow" w:hAnsi="Arial Narrow"/>
          <w:color w:val="000000" w:themeColor="text1"/>
          <w:lang w:val="bg-BG"/>
        </w:rPr>
        <w:t>сектор „Растениевъдство“</w:t>
      </w:r>
      <w:r w:rsidRPr="00D72BD9">
        <w:rPr>
          <w:rFonts w:ascii="Arial Narrow" w:hAnsi="Arial Narrow"/>
          <w:color w:val="000000" w:themeColor="text1"/>
          <w:lang w:val="bg-BG"/>
        </w:rPr>
        <w:t xml:space="preserve"> са обявени кризисни ситуации на територията на цялата страна, причинени от </w:t>
      </w:r>
      <w:r w:rsidRPr="00E70F58">
        <w:rPr>
          <w:rFonts w:ascii="Arial Narrow" w:hAnsi="Arial Narrow"/>
          <w:color w:val="000000" w:themeColor="text1"/>
          <w:lang w:val="bg-BG"/>
        </w:rPr>
        <w:t>неблагоприятни климатични условия и природни бедствия</w:t>
      </w:r>
      <w:r w:rsidRPr="00D72BD9">
        <w:rPr>
          <w:rFonts w:ascii="Arial Narrow" w:hAnsi="Arial Narrow"/>
          <w:color w:val="000000" w:themeColor="text1"/>
          <w:lang w:val="bg-BG"/>
        </w:rPr>
        <w:t xml:space="preserve"> </w:t>
      </w:r>
      <w:r w:rsidRPr="00D72BD9">
        <w:rPr>
          <w:rFonts w:ascii="Arial Narrow" w:hAnsi="Arial Narrow"/>
          <w:lang w:val="bg-BG"/>
        </w:rPr>
        <w:t>–</w:t>
      </w:r>
      <w:r w:rsidRPr="00D72BD9">
        <w:rPr>
          <w:rFonts w:ascii="Arial Narrow" w:hAnsi="Arial Narrow"/>
          <w:color w:val="000000" w:themeColor="text1"/>
          <w:lang w:val="bg-BG"/>
        </w:rPr>
        <w:t xml:space="preserve"> измръзване, осланяване, буря, пороен, проливен, непрекъснат дъжд с ураганен вятър, наводнение, преовлажняване на земеделски площи, градушка и суша - засушаване.</w:t>
      </w:r>
    </w:p>
    <w:p w14:paraId="0682FE63" w14:textId="77777777" w:rsidR="00532BCB" w:rsidRPr="00851E3C" w:rsidRDefault="00532BCB" w:rsidP="00532BCB">
      <w:pPr>
        <w:spacing w:after="120"/>
        <w:ind w:firstLine="709"/>
        <w:jc w:val="both"/>
        <w:rPr>
          <w:rFonts w:ascii="Arial Narrow" w:hAnsi="Arial Narrow"/>
          <w:lang w:val="bg-BG"/>
        </w:rPr>
      </w:pPr>
      <w:r w:rsidRPr="00851E3C">
        <w:rPr>
          <w:rFonts w:ascii="Arial Narrow" w:hAnsi="Arial Narrow"/>
          <w:lang w:val="bg-BG"/>
        </w:rPr>
        <w:t xml:space="preserve">С цел преодоляване на възникналите кризисни ситуации (санитарни кризи и природоклиматични бедствия) и покриване на причинените щети на земеделските стопани, </w:t>
      </w:r>
      <w:r>
        <w:rPr>
          <w:rFonts w:ascii="Arial Narrow" w:hAnsi="Arial Narrow"/>
          <w:lang w:val="bg-BG"/>
        </w:rPr>
        <w:t xml:space="preserve">в рамките на 2024 г. </w:t>
      </w:r>
      <w:r w:rsidRPr="00851E3C">
        <w:rPr>
          <w:rFonts w:ascii="Arial Narrow" w:hAnsi="Arial Narrow"/>
          <w:lang w:val="bg-BG"/>
        </w:rPr>
        <w:t xml:space="preserve">са изплатени финансови средства в размер на общо 18 456 781 </w:t>
      </w:r>
      <w:r>
        <w:rPr>
          <w:rFonts w:ascii="Arial Narrow" w:hAnsi="Arial Narrow"/>
          <w:lang w:val="bg-BG"/>
        </w:rPr>
        <w:t>лева.</w:t>
      </w:r>
    </w:p>
    <w:p w14:paraId="6A65DB21" w14:textId="77777777" w:rsidR="00532BCB" w:rsidRPr="00851E3C" w:rsidRDefault="00532BCB" w:rsidP="00532BCB">
      <w:pPr>
        <w:spacing w:after="120"/>
        <w:jc w:val="both"/>
        <w:rPr>
          <w:rFonts w:ascii="Arial Narrow" w:hAnsi="Arial Narrow"/>
          <w:b/>
          <w:bCs/>
          <w:color w:val="000000"/>
          <w:lang w:val="bg-BG"/>
        </w:rPr>
      </w:pPr>
      <w:r w:rsidRPr="00E70F58">
        <w:rPr>
          <w:rFonts w:ascii="Arial Narrow" w:hAnsi="Arial Narrow"/>
          <w:b/>
          <w:lang w:val="bg-BG"/>
        </w:rPr>
        <w:t>Табл</w:t>
      </w:r>
      <w:r>
        <w:rPr>
          <w:rFonts w:ascii="Arial Narrow" w:hAnsi="Arial Narrow"/>
          <w:b/>
          <w:lang w:val="bg-BG"/>
        </w:rPr>
        <w:t>ица</w:t>
      </w:r>
      <w:r w:rsidRPr="00E70F58">
        <w:rPr>
          <w:rFonts w:ascii="Arial Narrow" w:hAnsi="Arial Narrow"/>
          <w:b/>
          <w:lang w:val="bg-BG"/>
        </w:rPr>
        <w:t xml:space="preserve"> </w:t>
      </w:r>
      <w:r w:rsidR="009336F4" w:rsidRPr="0089257E">
        <w:rPr>
          <w:rFonts w:ascii="Arial Narrow" w:hAnsi="Arial Narrow"/>
          <w:b/>
          <w:lang w:eastAsia="bg-BG"/>
        </w:rPr>
        <w:t>V</w:t>
      </w:r>
      <w:r w:rsidR="009336F4" w:rsidRPr="0089257E">
        <w:rPr>
          <w:rFonts w:ascii="Arial Narrow" w:hAnsi="Arial Narrow"/>
          <w:b/>
          <w:lang w:val="bg-BG" w:eastAsia="bg-BG"/>
        </w:rPr>
        <w:t>.</w:t>
      </w:r>
      <w:r w:rsidR="009336F4">
        <w:rPr>
          <w:rFonts w:ascii="Arial Narrow" w:hAnsi="Arial Narrow"/>
          <w:b/>
          <w:lang w:val="bg-BG" w:eastAsia="bg-BG"/>
        </w:rPr>
        <w:t>19</w:t>
      </w:r>
      <w:r w:rsidRPr="00E70F58">
        <w:rPr>
          <w:rFonts w:ascii="Arial Narrow" w:hAnsi="Arial Narrow"/>
          <w:b/>
          <w:lang w:val="bg-BG"/>
        </w:rPr>
        <w:t>.</w:t>
      </w:r>
      <w:r w:rsidR="009336F4">
        <w:rPr>
          <w:rFonts w:ascii="Arial Narrow" w:hAnsi="Arial Narrow"/>
          <w:b/>
          <w:lang w:val="bg-BG"/>
        </w:rPr>
        <w:t xml:space="preserve"> </w:t>
      </w:r>
      <w:r w:rsidRPr="00851E3C">
        <w:rPr>
          <w:rFonts w:ascii="Arial Narrow" w:hAnsi="Arial Narrow"/>
          <w:b/>
          <w:bCs/>
          <w:color w:val="000000"/>
          <w:lang w:val="bg-BG"/>
        </w:rPr>
        <w:t>Изплатен финансов ресурс</w:t>
      </w:r>
      <w:r>
        <w:rPr>
          <w:rFonts w:ascii="Arial Narrow" w:hAnsi="Arial Narrow"/>
          <w:b/>
          <w:bCs/>
          <w:color w:val="000000"/>
          <w:lang w:val="bg-BG"/>
        </w:rPr>
        <w:t xml:space="preserve"> през 2024 г.,</w:t>
      </w:r>
      <w:r w:rsidRPr="00851E3C">
        <w:rPr>
          <w:rFonts w:ascii="Arial Narrow" w:hAnsi="Arial Narrow"/>
          <w:b/>
          <w:bCs/>
          <w:color w:val="000000"/>
          <w:lang w:val="bg-BG"/>
        </w:rPr>
        <w:t xml:space="preserve"> свързан с възникнали кризи в секторите „Растениевъдство“ и „Животновъдство“</w:t>
      </w:r>
    </w:p>
    <w:tbl>
      <w:tblPr>
        <w:tblW w:w="494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28"/>
        <w:gridCol w:w="2658"/>
        <w:gridCol w:w="2704"/>
      </w:tblGrid>
      <w:tr w:rsidR="00532BCB" w:rsidRPr="00851E3C" w14:paraId="3CDE7070" w14:textId="77777777" w:rsidTr="00532BCB">
        <w:trPr>
          <w:trHeight w:val="397"/>
          <w:tblHeader/>
        </w:trPr>
        <w:tc>
          <w:tcPr>
            <w:tcW w:w="4426" w:type="dxa"/>
            <w:vMerge w:val="restart"/>
            <w:vAlign w:val="center"/>
          </w:tcPr>
          <w:p w14:paraId="60945F8C" w14:textId="77777777" w:rsidR="00532BCB" w:rsidRPr="00E70F58" w:rsidRDefault="00532BCB" w:rsidP="005B64EF">
            <w:pPr>
              <w:jc w:val="center"/>
              <w:rPr>
                <w:rFonts w:ascii="Arial Narrow" w:hAnsi="Arial Narrow"/>
                <w:b/>
                <w:sz w:val="20"/>
                <w:szCs w:val="20"/>
                <w:lang w:val="bg-BG"/>
              </w:rPr>
            </w:pPr>
            <w:r w:rsidRPr="00E70F58">
              <w:rPr>
                <w:rFonts w:ascii="Arial Narrow" w:hAnsi="Arial Narrow"/>
                <w:b/>
                <w:sz w:val="20"/>
                <w:szCs w:val="20"/>
                <w:lang w:val="bg-BG"/>
              </w:rPr>
              <w:t>Наименование на кризисното събитие</w:t>
            </w:r>
          </w:p>
        </w:tc>
        <w:tc>
          <w:tcPr>
            <w:tcW w:w="5488" w:type="dxa"/>
            <w:gridSpan w:val="2"/>
            <w:vAlign w:val="center"/>
          </w:tcPr>
          <w:p w14:paraId="3722608A" w14:textId="77777777" w:rsidR="00532BCB" w:rsidRPr="00E70F58" w:rsidRDefault="00532BCB" w:rsidP="005B64EF">
            <w:pPr>
              <w:jc w:val="center"/>
              <w:rPr>
                <w:rFonts w:ascii="Arial Narrow" w:hAnsi="Arial Narrow"/>
                <w:b/>
                <w:sz w:val="20"/>
                <w:szCs w:val="20"/>
                <w:lang w:val="bg-BG"/>
              </w:rPr>
            </w:pPr>
            <w:r w:rsidRPr="00E70F58">
              <w:rPr>
                <w:rFonts w:ascii="Arial Narrow" w:hAnsi="Arial Narrow"/>
                <w:b/>
                <w:sz w:val="20"/>
                <w:szCs w:val="20"/>
                <w:lang w:val="bg-BG"/>
              </w:rPr>
              <w:t>Финансиране (лева)</w:t>
            </w:r>
          </w:p>
        </w:tc>
      </w:tr>
      <w:tr w:rsidR="00532BCB" w:rsidRPr="00851E3C" w14:paraId="0E5B70C2" w14:textId="77777777" w:rsidTr="00532BCB">
        <w:trPr>
          <w:trHeight w:val="397"/>
          <w:tblHeader/>
        </w:trPr>
        <w:tc>
          <w:tcPr>
            <w:tcW w:w="4426" w:type="dxa"/>
            <w:vMerge/>
            <w:vAlign w:val="center"/>
          </w:tcPr>
          <w:p w14:paraId="3C8C5E84" w14:textId="77777777" w:rsidR="00532BCB" w:rsidRPr="00E70F58" w:rsidRDefault="00532BCB" w:rsidP="005B64EF">
            <w:pPr>
              <w:rPr>
                <w:rFonts w:ascii="Arial Narrow" w:hAnsi="Arial Narrow"/>
                <w:sz w:val="20"/>
                <w:szCs w:val="20"/>
                <w:lang w:val="bg-BG"/>
              </w:rPr>
            </w:pPr>
          </w:p>
        </w:tc>
        <w:tc>
          <w:tcPr>
            <w:tcW w:w="2722" w:type="dxa"/>
            <w:vAlign w:val="center"/>
          </w:tcPr>
          <w:p w14:paraId="7012C205" w14:textId="77777777" w:rsidR="00532BCB" w:rsidRPr="00E70F58" w:rsidRDefault="00532BCB" w:rsidP="005B64EF">
            <w:pPr>
              <w:jc w:val="center"/>
              <w:rPr>
                <w:rFonts w:ascii="Arial Narrow" w:hAnsi="Arial Narrow"/>
                <w:b/>
                <w:sz w:val="20"/>
                <w:szCs w:val="20"/>
                <w:lang w:val="bg-BG"/>
              </w:rPr>
            </w:pPr>
            <w:r w:rsidRPr="00E70F58">
              <w:rPr>
                <w:rFonts w:ascii="Arial Narrow" w:hAnsi="Arial Narrow"/>
                <w:b/>
                <w:sz w:val="20"/>
                <w:szCs w:val="20"/>
                <w:lang w:val="bg-BG"/>
              </w:rPr>
              <w:t>Фондове на ЕС</w:t>
            </w:r>
          </w:p>
        </w:tc>
        <w:tc>
          <w:tcPr>
            <w:tcW w:w="2766" w:type="dxa"/>
            <w:vAlign w:val="center"/>
          </w:tcPr>
          <w:p w14:paraId="1AAA3261" w14:textId="77777777" w:rsidR="00532BCB" w:rsidRPr="00E70F58" w:rsidRDefault="00532BCB" w:rsidP="005B64EF">
            <w:pPr>
              <w:jc w:val="center"/>
              <w:rPr>
                <w:rFonts w:ascii="Arial Narrow" w:hAnsi="Arial Narrow"/>
                <w:b/>
                <w:sz w:val="20"/>
                <w:szCs w:val="20"/>
                <w:lang w:val="bg-BG"/>
              </w:rPr>
            </w:pPr>
            <w:r w:rsidRPr="00E70F58">
              <w:rPr>
                <w:rFonts w:ascii="Arial Narrow" w:hAnsi="Arial Narrow"/>
                <w:b/>
                <w:sz w:val="20"/>
                <w:szCs w:val="20"/>
                <w:lang w:val="bg-BG"/>
              </w:rPr>
              <w:t>Държавен бюджет</w:t>
            </w:r>
          </w:p>
        </w:tc>
      </w:tr>
      <w:tr w:rsidR="00532BCB" w:rsidRPr="00851E3C" w14:paraId="04D1BAE9" w14:textId="77777777" w:rsidTr="00806DAB">
        <w:trPr>
          <w:trHeight w:val="397"/>
        </w:trPr>
        <w:tc>
          <w:tcPr>
            <w:tcW w:w="9914" w:type="dxa"/>
            <w:gridSpan w:val="3"/>
            <w:shd w:val="clear" w:color="auto" w:fill="C7C7C7" w:themeFill="accent1" w:themeFillShade="E6"/>
            <w:vAlign w:val="center"/>
          </w:tcPr>
          <w:p w14:paraId="65017AD2" w14:textId="77777777" w:rsidR="00532BCB" w:rsidRPr="00532BCB" w:rsidRDefault="00532BCB" w:rsidP="005B64EF">
            <w:pPr>
              <w:jc w:val="center"/>
              <w:rPr>
                <w:rFonts w:ascii="Arial Narrow" w:eastAsiaTheme="minorHAnsi" w:hAnsi="Arial Narrow" w:cstheme="minorBidi"/>
                <w:b/>
                <w:sz w:val="20"/>
                <w:szCs w:val="20"/>
                <w:lang w:val="bg-BG"/>
              </w:rPr>
            </w:pPr>
            <w:r w:rsidRPr="00532BCB">
              <w:rPr>
                <w:rFonts w:ascii="Arial Narrow" w:eastAsiaTheme="minorHAnsi" w:hAnsi="Arial Narrow" w:cstheme="minorBidi"/>
                <w:b/>
                <w:sz w:val="20"/>
                <w:szCs w:val="20"/>
                <w:lang w:val="bg-BG"/>
              </w:rPr>
              <w:t>Санитарни кризи</w:t>
            </w:r>
          </w:p>
        </w:tc>
      </w:tr>
      <w:tr w:rsidR="00532BCB" w:rsidRPr="00851E3C" w14:paraId="742734C2" w14:textId="77777777" w:rsidTr="00532BCB">
        <w:trPr>
          <w:trHeight w:val="340"/>
        </w:trPr>
        <w:tc>
          <w:tcPr>
            <w:tcW w:w="4426" w:type="dxa"/>
            <w:vAlign w:val="center"/>
          </w:tcPr>
          <w:p w14:paraId="7CFC3057" w14:textId="77777777" w:rsidR="00532BCB" w:rsidRPr="00E70F58" w:rsidRDefault="00532BCB" w:rsidP="005B64EF">
            <w:pPr>
              <w:rPr>
                <w:rFonts w:ascii="Arial Narrow" w:hAnsi="Arial Narrow"/>
                <w:sz w:val="20"/>
                <w:szCs w:val="20"/>
                <w:lang w:val="bg-BG"/>
              </w:rPr>
            </w:pPr>
            <w:r w:rsidRPr="00E70F58">
              <w:rPr>
                <w:rFonts w:ascii="Arial Narrow" w:hAnsi="Arial Narrow"/>
                <w:sz w:val="20"/>
                <w:szCs w:val="20"/>
                <w:lang w:val="bg-BG"/>
              </w:rPr>
              <w:t>Високопатогенна инфлуенца по птиците</w:t>
            </w:r>
          </w:p>
        </w:tc>
        <w:tc>
          <w:tcPr>
            <w:tcW w:w="2722" w:type="dxa"/>
            <w:vAlign w:val="center"/>
          </w:tcPr>
          <w:p w14:paraId="71D7868B" w14:textId="77777777" w:rsidR="00532BCB" w:rsidRPr="00E70F58" w:rsidRDefault="00532BCB" w:rsidP="005B64EF">
            <w:pPr>
              <w:jc w:val="right"/>
              <w:rPr>
                <w:rFonts w:ascii="Arial Narrow" w:hAnsi="Arial Narrow"/>
                <w:sz w:val="20"/>
                <w:szCs w:val="20"/>
                <w:lang w:val="bg-BG"/>
              </w:rPr>
            </w:pPr>
            <w:r w:rsidRPr="00E70F58">
              <w:rPr>
                <w:rFonts w:ascii="Arial Narrow" w:hAnsi="Arial Narrow"/>
                <w:sz w:val="20"/>
                <w:szCs w:val="20"/>
                <w:lang w:val="bg-BG"/>
              </w:rPr>
              <w:t>7 600 747</w:t>
            </w:r>
          </w:p>
        </w:tc>
        <w:tc>
          <w:tcPr>
            <w:tcW w:w="2766" w:type="dxa"/>
            <w:vAlign w:val="center"/>
          </w:tcPr>
          <w:p w14:paraId="745175F5" w14:textId="77777777" w:rsidR="00532BCB" w:rsidRPr="00E70F58" w:rsidRDefault="00532BCB" w:rsidP="005B64EF">
            <w:pPr>
              <w:jc w:val="right"/>
              <w:rPr>
                <w:rFonts w:ascii="Arial Narrow" w:hAnsi="Arial Narrow"/>
                <w:sz w:val="20"/>
                <w:szCs w:val="20"/>
                <w:lang w:val="bg-BG"/>
              </w:rPr>
            </w:pPr>
            <w:r w:rsidRPr="00E70F58">
              <w:rPr>
                <w:rFonts w:ascii="Arial Narrow" w:hAnsi="Arial Narrow"/>
                <w:sz w:val="20"/>
                <w:szCs w:val="20"/>
                <w:lang w:val="bg-BG"/>
              </w:rPr>
              <w:t>138 167</w:t>
            </w:r>
          </w:p>
        </w:tc>
      </w:tr>
      <w:tr w:rsidR="00532BCB" w:rsidRPr="00851E3C" w14:paraId="15C28C17" w14:textId="77777777" w:rsidTr="00532BCB">
        <w:trPr>
          <w:trHeight w:val="340"/>
        </w:trPr>
        <w:tc>
          <w:tcPr>
            <w:tcW w:w="4426" w:type="dxa"/>
            <w:vAlign w:val="center"/>
          </w:tcPr>
          <w:p w14:paraId="1F1FE0F4" w14:textId="77777777" w:rsidR="00532BCB" w:rsidRPr="00E70F58" w:rsidRDefault="00532BCB" w:rsidP="005B64EF">
            <w:pPr>
              <w:rPr>
                <w:rFonts w:ascii="Arial Narrow" w:hAnsi="Arial Narrow"/>
                <w:sz w:val="20"/>
                <w:szCs w:val="20"/>
                <w:lang w:val="bg-BG"/>
              </w:rPr>
            </w:pPr>
            <w:r w:rsidRPr="00E70F58">
              <w:rPr>
                <w:rFonts w:ascii="Arial Narrow" w:hAnsi="Arial Narrow"/>
                <w:sz w:val="20"/>
                <w:szCs w:val="20"/>
                <w:lang w:val="bg-BG"/>
              </w:rPr>
              <w:t>Африканска чума по свинете</w:t>
            </w:r>
          </w:p>
        </w:tc>
        <w:tc>
          <w:tcPr>
            <w:tcW w:w="2722" w:type="dxa"/>
            <w:vAlign w:val="center"/>
          </w:tcPr>
          <w:p w14:paraId="2505A877" w14:textId="77777777" w:rsidR="00532BCB" w:rsidRPr="00E70F58" w:rsidRDefault="00532BCB" w:rsidP="005B64EF">
            <w:pPr>
              <w:jc w:val="right"/>
              <w:rPr>
                <w:rFonts w:ascii="Arial Narrow" w:hAnsi="Arial Narrow"/>
                <w:sz w:val="20"/>
                <w:szCs w:val="20"/>
                <w:lang w:val="bg-BG"/>
              </w:rPr>
            </w:pPr>
            <w:r w:rsidRPr="00E70F58">
              <w:rPr>
                <w:rFonts w:ascii="Arial Narrow" w:hAnsi="Arial Narrow"/>
                <w:sz w:val="20"/>
                <w:szCs w:val="20"/>
                <w:lang w:val="bg-BG"/>
              </w:rPr>
              <w:t>0</w:t>
            </w:r>
          </w:p>
        </w:tc>
        <w:tc>
          <w:tcPr>
            <w:tcW w:w="2766" w:type="dxa"/>
            <w:vAlign w:val="center"/>
          </w:tcPr>
          <w:p w14:paraId="651C9D11" w14:textId="77777777" w:rsidR="00532BCB" w:rsidRPr="00E70F58" w:rsidRDefault="00532BCB" w:rsidP="005B64EF">
            <w:pPr>
              <w:jc w:val="right"/>
              <w:rPr>
                <w:rFonts w:ascii="Arial Narrow" w:hAnsi="Arial Narrow"/>
                <w:sz w:val="20"/>
                <w:szCs w:val="20"/>
                <w:lang w:val="bg-BG"/>
              </w:rPr>
            </w:pPr>
            <w:r w:rsidRPr="00E70F58">
              <w:rPr>
                <w:rFonts w:ascii="Arial Narrow" w:hAnsi="Arial Narrow"/>
                <w:sz w:val="20"/>
                <w:szCs w:val="20"/>
                <w:lang w:val="bg-BG"/>
              </w:rPr>
              <w:t>79 950</w:t>
            </w:r>
          </w:p>
        </w:tc>
      </w:tr>
      <w:tr w:rsidR="00532BCB" w:rsidRPr="00851E3C" w14:paraId="6D01F822" w14:textId="77777777" w:rsidTr="00532BCB">
        <w:trPr>
          <w:trHeight w:val="340"/>
        </w:trPr>
        <w:tc>
          <w:tcPr>
            <w:tcW w:w="4426" w:type="dxa"/>
            <w:vAlign w:val="center"/>
          </w:tcPr>
          <w:p w14:paraId="63850BF2" w14:textId="77777777" w:rsidR="00532BCB" w:rsidRPr="00E70F58" w:rsidRDefault="00532BCB" w:rsidP="005B64EF">
            <w:pPr>
              <w:rPr>
                <w:rFonts w:ascii="Arial Narrow" w:hAnsi="Arial Narrow"/>
                <w:sz w:val="20"/>
                <w:szCs w:val="20"/>
                <w:lang w:val="bg-BG"/>
              </w:rPr>
            </w:pPr>
            <w:r w:rsidRPr="00E70F58">
              <w:rPr>
                <w:rFonts w:ascii="Arial Narrow" w:hAnsi="Arial Narrow"/>
                <w:sz w:val="20"/>
                <w:szCs w:val="20"/>
                <w:lang w:val="bg-BG"/>
              </w:rPr>
              <w:t>Шарка по ДПЖ</w:t>
            </w:r>
          </w:p>
        </w:tc>
        <w:tc>
          <w:tcPr>
            <w:tcW w:w="2722" w:type="dxa"/>
            <w:vAlign w:val="center"/>
          </w:tcPr>
          <w:p w14:paraId="02282899" w14:textId="77777777" w:rsidR="00532BCB" w:rsidRPr="00E70F58" w:rsidRDefault="00532BCB" w:rsidP="005B64EF">
            <w:pPr>
              <w:jc w:val="right"/>
              <w:rPr>
                <w:rFonts w:ascii="Arial Narrow" w:hAnsi="Arial Narrow"/>
                <w:sz w:val="20"/>
                <w:szCs w:val="20"/>
                <w:lang w:val="bg-BG"/>
              </w:rPr>
            </w:pPr>
            <w:r w:rsidRPr="00E70F58">
              <w:rPr>
                <w:rFonts w:ascii="Arial Narrow" w:hAnsi="Arial Narrow"/>
                <w:sz w:val="20"/>
                <w:szCs w:val="20"/>
                <w:lang w:val="bg-BG"/>
              </w:rPr>
              <w:t>0</w:t>
            </w:r>
          </w:p>
        </w:tc>
        <w:tc>
          <w:tcPr>
            <w:tcW w:w="2766" w:type="dxa"/>
            <w:vAlign w:val="center"/>
          </w:tcPr>
          <w:p w14:paraId="59AA155A" w14:textId="77777777" w:rsidR="00532BCB" w:rsidRPr="00E70F58" w:rsidRDefault="00532BCB" w:rsidP="005B64EF">
            <w:pPr>
              <w:jc w:val="right"/>
              <w:rPr>
                <w:rFonts w:ascii="Arial Narrow" w:hAnsi="Arial Narrow"/>
                <w:sz w:val="20"/>
                <w:szCs w:val="20"/>
                <w:lang w:val="bg-BG"/>
              </w:rPr>
            </w:pPr>
            <w:r w:rsidRPr="00E70F58">
              <w:rPr>
                <w:rFonts w:ascii="Arial Narrow" w:hAnsi="Arial Narrow"/>
                <w:sz w:val="20"/>
                <w:szCs w:val="20"/>
                <w:lang w:val="bg-BG"/>
              </w:rPr>
              <w:t>445 822</w:t>
            </w:r>
          </w:p>
        </w:tc>
      </w:tr>
      <w:tr w:rsidR="00532BCB" w:rsidRPr="00851E3C" w14:paraId="0EFBB783" w14:textId="77777777" w:rsidTr="00532BCB">
        <w:trPr>
          <w:trHeight w:val="340"/>
        </w:trPr>
        <w:tc>
          <w:tcPr>
            <w:tcW w:w="4426" w:type="dxa"/>
            <w:vAlign w:val="center"/>
          </w:tcPr>
          <w:p w14:paraId="7F992A68" w14:textId="77777777" w:rsidR="00532BCB" w:rsidRPr="00E70F58" w:rsidRDefault="00532BCB" w:rsidP="005B64EF">
            <w:pPr>
              <w:rPr>
                <w:rFonts w:ascii="Arial Narrow" w:hAnsi="Arial Narrow"/>
                <w:sz w:val="20"/>
                <w:szCs w:val="20"/>
                <w:lang w:val="bg-BG"/>
              </w:rPr>
            </w:pPr>
            <w:r w:rsidRPr="00E70F58">
              <w:rPr>
                <w:rFonts w:ascii="Arial Narrow" w:hAnsi="Arial Narrow"/>
                <w:sz w:val="20"/>
                <w:szCs w:val="20"/>
                <w:lang w:val="bg-BG"/>
              </w:rPr>
              <w:t>Антракс</w:t>
            </w:r>
          </w:p>
        </w:tc>
        <w:tc>
          <w:tcPr>
            <w:tcW w:w="2722" w:type="dxa"/>
            <w:vAlign w:val="center"/>
          </w:tcPr>
          <w:p w14:paraId="31FCD3F0" w14:textId="77777777" w:rsidR="00532BCB" w:rsidRPr="00E70F58" w:rsidRDefault="00532BCB" w:rsidP="005B64EF">
            <w:pPr>
              <w:jc w:val="right"/>
              <w:rPr>
                <w:rFonts w:ascii="Arial Narrow" w:hAnsi="Arial Narrow"/>
                <w:sz w:val="20"/>
                <w:szCs w:val="20"/>
                <w:lang w:val="bg-BG"/>
              </w:rPr>
            </w:pPr>
            <w:r w:rsidRPr="00E70F58">
              <w:rPr>
                <w:rFonts w:ascii="Arial Narrow" w:hAnsi="Arial Narrow"/>
                <w:sz w:val="20"/>
                <w:szCs w:val="20"/>
                <w:lang w:val="bg-BG"/>
              </w:rPr>
              <w:t>0</w:t>
            </w:r>
          </w:p>
        </w:tc>
        <w:tc>
          <w:tcPr>
            <w:tcW w:w="2766" w:type="dxa"/>
            <w:vAlign w:val="center"/>
          </w:tcPr>
          <w:p w14:paraId="4B5B7747" w14:textId="77777777" w:rsidR="00532BCB" w:rsidRPr="00E70F58" w:rsidRDefault="00532BCB" w:rsidP="005B64EF">
            <w:pPr>
              <w:jc w:val="right"/>
              <w:rPr>
                <w:rFonts w:ascii="Arial Narrow" w:hAnsi="Arial Narrow"/>
                <w:sz w:val="20"/>
                <w:szCs w:val="20"/>
                <w:lang w:val="bg-BG"/>
              </w:rPr>
            </w:pPr>
            <w:r w:rsidRPr="00E70F58">
              <w:rPr>
                <w:rFonts w:ascii="Arial Narrow" w:hAnsi="Arial Narrow"/>
                <w:sz w:val="20"/>
                <w:szCs w:val="20"/>
                <w:lang w:val="bg-BG"/>
              </w:rPr>
              <w:t>0</w:t>
            </w:r>
          </w:p>
        </w:tc>
      </w:tr>
      <w:tr w:rsidR="00532BCB" w:rsidRPr="00851E3C" w14:paraId="54F29A6B" w14:textId="77777777" w:rsidTr="00532BCB">
        <w:trPr>
          <w:trHeight w:val="340"/>
        </w:trPr>
        <w:tc>
          <w:tcPr>
            <w:tcW w:w="4426" w:type="dxa"/>
            <w:vAlign w:val="center"/>
          </w:tcPr>
          <w:p w14:paraId="69BBD276" w14:textId="77777777" w:rsidR="00532BCB" w:rsidRPr="00E70F58" w:rsidRDefault="00532BCB" w:rsidP="005B64EF">
            <w:pPr>
              <w:rPr>
                <w:rFonts w:ascii="Arial Narrow" w:hAnsi="Arial Narrow"/>
                <w:sz w:val="20"/>
                <w:szCs w:val="20"/>
                <w:lang w:val="bg-BG"/>
              </w:rPr>
            </w:pPr>
            <w:r w:rsidRPr="00E70F58">
              <w:rPr>
                <w:rFonts w:ascii="Arial Narrow" w:hAnsi="Arial Narrow"/>
                <w:sz w:val="20"/>
                <w:szCs w:val="20"/>
                <w:lang w:val="bg-BG"/>
              </w:rPr>
              <w:t>Чума по ДПЖ</w:t>
            </w:r>
          </w:p>
        </w:tc>
        <w:tc>
          <w:tcPr>
            <w:tcW w:w="2722" w:type="dxa"/>
            <w:vAlign w:val="center"/>
          </w:tcPr>
          <w:p w14:paraId="6585E9B5" w14:textId="77777777" w:rsidR="00532BCB" w:rsidRPr="00E70F58" w:rsidRDefault="00532BCB" w:rsidP="005B64EF">
            <w:pPr>
              <w:jc w:val="right"/>
              <w:rPr>
                <w:rFonts w:ascii="Arial Narrow" w:hAnsi="Arial Narrow"/>
                <w:sz w:val="20"/>
                <w:szCs w:val="20"/>
                <w:lang w:val="bg-BG"/>
              </w:rPr>
            </w:pPr>
            <w:r w:rsidRPr="00E70F58">
              <w:rPr>
                <w:rFonts w:ascii="Arial Narrow" w:hAnsi="Arial Narrow"/>
                <w:sz w:val="20"/>
                <w:szCs w:val="20"/>
                <w:lang w:val="bg-BG"/>
              </w:rPr>
              <w:t>0</w:t>
            </w:r>
          </w:p>
        </w:tc>
        <w:tc>
          <w:tcPr>
            <w:tcW w:w="2766" w:type="dxa"/>
            <w:vAlign w:val="center"/>
          </w:tcPr>
          <w:p w14:paraId="5D63B3B9" w14:textId="77777777" w:rsidR="00532BCB" w:rsidRPr="00E70F58" w:rsidRDefault="00532BCB" w:rsidP="005B64EF">
            <w:pPr>
              <w:jc w:val="right"/>
              <w:rPr>
                <w:rFonts w:ascii="Arial Narrow" w:hAnsi="Arial Narrow"/>
                <w:sz w:val="20"/>
                <w:szCs w:val="20"/>
                <w:lang w:val="bg-BG"/>
              </w:rPr>
            </w:pPr>
            <w:r w:rsidRPr="00E70F58">
              <w:rPr>
                <w:rFonts w:ascii="Arial Narrow" w:hAnsi="Arial Narrow"/>
                <w:sz w:val="20"/>
                <w:szCs w:val="20"/>
                <w:lang w:val="bg-BG"/>
              </w:rPr>
              <w:t>11 119</w:t>
            </w:r>
          </w:p>
        </w:tc>
      </w:tr>
      <w:tr w:rsidR="00532BCB" w:rsidRPr="00851E3C" w14:paraId="1F08DB29" w14:textId="77777777" w:rsidTr="00532BCB">
        <w:trPr>
          <w:trHeight w:val="340"/>
        </w:trPr>
        <w:tc>
          <w:tcPr>
            <w:tcW w:w="4426" w:type="dxa"/>
            <w:vAlign w:val="center"/>
          </w:tcPr>
          <w:p w14:paraId="7A1AEF62" w14:textId="77777777" w:rsidR="00532BCB" w:rsidRPr="00E70F58" w:rsidRDefault="00532BCB" w:rsidP="005B64EF">
            <w:pPr>
              <w:rPr>
                <w:rFonts w:ascii="Arial Narrow" w:hAnsi="Arial Narrow"/>
                <w:sz w:val="20"/>
                <w:szCs w:val="20"/>
                <w:lang w:val="bg-BG"/>
              </w:rPr>
            </w:pPr>
            <w:r w:rsidRPr="00E70F58">
              <w:rPr>
                <w:rFonts w:ascii="Arial Narrow" w:hAnsi="Arial Narrow"/>
                <w:sz w:val="20"/>
                <w:szCs w:val="20"/>
                <w:lang w:val="bg-BG"/>
              </w:rPr>
              <w:t>Инфекциозна анемия по конете</w:t>
            </w:r>
          </w:p>
        </w:tc>
        <w:tc>
          <w:tcPr>
            <w:tcW w:w="2722" w:type="dxa"/>
            <w:vAlign w:val="center"/>
          </w:tcPr>
          <w:p w14:paraId="765E6DBF" w14:textId="77777777" w:rsidR="00532BCB" w:rsidRPr="00E70F58" w:rsidRDefault="00532BCB" w:rsidP="005B64EF">
            <w:pPr>
              <w:jc w:val="right"/>
              <w:rPr>
                <w:rFonts w:ascii="Arial Narrow" w:hAnsi="Arial Narrow"/>
                <w:sz w:val="20"/>
                <w:szCs w:val="20"/>
                <w:lang w:val="bg-BG"/>
              </w:rPr>
            </w:pPr>
            <w:r w:rsidRPr="00E70F58">
              <w:rPr>
                <w:rFonts w:ascii="Arial Narrow" w:hAnsi="Arial Narrow"/>
                <w:sz w:val="20"/>
                <w:szCs w:val="20"/>
                <w:lang w:val="bg-BG"/>
              </w:rPr>
              <w:t>0</w:t>
            </w:r>
          </w:p>
        </w:tc>
        <w:tc>
          <w:tcPr>
            <w:tcW w:w="2766" w:type="dxa"/>
            <w:vAlign w:val="center"/>
          </w:tcPr>
          <w:p w14:paraId="1FA52F00" w14:textId="77777777" w:rsidR="00532BCB" w:rsidRPr="00E70F58" w:rsidRDefault="00532BCB" w:rsidP="005B64EF">
            <w:pPr>
              <w:jc w:val="right"/>
              <w:rPr>
                <w:rFonts w:ascii="Arial Narrow" w:hAnsi="Arial Narrow"/>
                <w:sz w:val="20"/>
                <w:szCs w:val="20"/>
                <w:lang w:val="bg-BG"/>
              </w:rPr>
            </w:pPr>
            <w:r w:rsidRPr="00E70F58">
              <w:rPr>
                <w:rFonts w:ascii="Arial Narrow" w:hAnsi="Arial Narrow"/>
                <w:sz w:val="20"/>
                <w:szCs w:val="20"/>
                <w:lang w:val="bg-BG"/>
              </w:rPr>
              <w:t>0</w:t>
            </w:r>
          </w:p>
        </w:tc>
      </w:tr>
      <w:tr w:rsidR="00532BCB" w:rsidRPr="00851E3C" w14:paraId="2001A025" w14:textId="77777777" w:rsidTr="00532BCB">
        <w:trPr>
          <w:trHeight w:val="340"/>
        </w:trPr>
        <w:tc>
          <w:tcPr>
            <w:tcW w:w="4426" w:type="dxa"/>
            <w:vAlign w:val="center"/>
          </w:tcPr>
          <w:p w14:paraId="31CC644D" w14:textId="77777777" w:rsidR="00532BCB" w:rsidRPr="00E70F58" w:rsidRDefault="00532BCB" w:rsidP="005B64EF">
            <w:pPr>
              <w:rPr>
                <w:rFonts w:ascii="Arial Narrow" w:hAnsi="Arial Narrow"/>
                <w:sz w:val="20"/>
                <w:szCs w:val="20"/>
                <w:lang w:val="bg-BG"/>
              </w:rPr>
            </w:pPr>
            <w:r w:rsidRPr="00E70F58">
              <w:rPr>
                <w:rFonts w:ascii="Arial Narrow" w:hAnsi="Arial Narrow"/>
                <w:sz w:val="20"/>
                <w:szCs w:val="20"/>
                <w:lang w:val="bg-BG"/>
              </w:rPr>
              <w:t>Западнонилска треска</w:t>
            </w:r>
          </w:p>
        </w:tc>
        <w:tc>
          <w:tcPr>
            <w:tcW w:w="2722" w:type="dxa"/>
            <w:vAlign w:val="center"/>
          </w:tcPr>
          <w:p w14:paraId="09309E7D" w14:textId="77777777" w:rsidR="00532BCB" w:rsidRPr="00E70F58" w:rsidRDefault="00532BCB" w:rsidP="005B64EF">
            <w:pPr>
              <w:jc w:val="right"/>
              <w:rPr>
                <w:rFonts w:ascii="Arial Narrow" w:hAnsi="Arial Narrow"/>
                <w:sz w:val="20"/>
                <w:szCs w:val="20"/>
                <w:lang w:val="bg-BG"/>
              </w:rPr>
            </w:pPr>
            <w:r w:rsidRPr="00E70F58">
              <w:rPr>
                <w:rFonts w:ascii="Arial Narrow" w:hAnsi="Arial Narrow"/>
                <w:sz w:val="20"/>
                <w:szCs w:val="20"/>
                <w:lang w:val="bg-BG"/>
              </w:rPr>
              <w:t>0</w:t>
            </w:r>
          </w:p>
        </w:tc>
        <w:tc>
          <w:tcPr>
            <w:tcW w:w="2766" w:type="dxa"/>
            <w:vAlign w:val="center"/>
          </w:tcPr>
          <w:p w14:paraId="293CE3F3" w14:textId="77777777" w:rsidR="00532BCB" w:rsidRPr="00E70F58" w:rsidRDefault="00532BCB" w:rsidP="005B64EF">
            <w:pPr>
              <w:jc w:val="right"/>
              <w:rPr>
                <w:rFonts w:ascii="Arial Narrow" w:hAnsi="Arial Narrow"/>
                <w:sz w:val="20"/>
                <w:szCs w:val="20"/>
                <w:lang w:val="bg-BG"/>
              </w:rPr>
            </w:pPr>
            <w:r w:rsidRPr="00E70F58">
              <w:rPr>
                <w:rFonts w:ascii="Arial Narrow" w:hAnsi="Arial Narrow"/>
                <w:sz w:val="20"/>
                <w:szCs w:val="20"/>
                <w:lang w:val="bg-BG"/>
              </w:rPr>
              <w:t>0</w:t>
            </w:r>
          </w:p>
        </w:tc>
      </w:tr>
      <w:tr w:rsidR="00532BCB" w:rsidRPr="00851E3C" w14:paraId="649B2738" w14:textId="77777777" w:rsidTr="00532BCB">
        <w:trPr>
          <w:trHeight w:val="340"/>
        </w:trPr>
        <w:tc>
          <w:tcPr>
            <w:tcW w:w="4426" w:type="dxa"/>
            <w:vAlign w:val="center"/>
          </w:tcPr>
          <w:p w14:paraId="79696E20" w14:textId="77777777" w:rsidR="00532BCB" w:rsidRPr="00E70F58" w:rsidRDefault="00532BCB" w:rsidP="005B64EF">
            <w:pPr>
              <w:rPr>
                <w:rFonts w:ascii="Arial Narrow" w:hAnsi="Arial Narrow"/>
                <w:sz w:val="20"/>
                <w:szCs w:val="20"/>
                <w:lang w:val="bg-BG"/>
              </w:rPr>
            </w:pPr>
            <w:r w:rsidRPr="00E70F58">
              <w:rPr>
                <w:rFonts w:ascii="Arial Narrow" w:hAnsi="Arial Narrow"/>
                <w:sz w:val="20"/>
                <w:szCs w:val="20"/>
                <w:lang w:val="bg-BG"/>
              </w:rPr>
              <w:t>Ку-треска</w:t>
            </w:r>
          </w:p>
        </w:tc>
        <w:tc>
          <w:tcPr>
            <w:tcW w:w="2722" w:type="dxa"/>
            <w:vAlign w:val="center"/>
          </w:tcPr>
          <w:p w14:paraId="5CB2B4CA" w14:textId="77777777" w:rsidR="00532BCB" w:rsidRPr="00E70F58" w:rsidRDefault="00532BCB" w:rsidP="005B64EF">
            <w:pPr>
              <w:jc w:val="right"/>
              <w:rPr>
                <w:rFonts w:ascii="Arial Narrow" w:hAnsi="Arial Narrow"/>
                <w:sz w:val="20"/>
                <w:szCs w:val="20"/>
                <w:lang w:val="bg-BG"/>
              </w:rPr>
            </w:pPr>
            <w:r w:rsidRPr="00E70F58">
              <w:rPr>
                <w:rFonts w:ascii="Arial Narrow" w:hAnsi="Arial Narrow"/>
                <w:sz w:val="20"/>
                <w:szCs w:val="20"/>
                <w:lang w:val="bg-BG"/>
              </w:rPr>
              <w:t>0</w:t>
            </w:r>
          </w:p>
        </w:tc>
        <w:tc>
          <w:tcPr>
            <w:tcW w:w="2766" w:type="dxa"/>
            <w:vAlign w:val="center"/>
          </w:tcPr>
          <w:p w14:paraId="4ECE8A44" w14:textId="77777777" w:rsidR="00532BCB" w:rsidRPr="00E70F58" w:rsidRDefault="00532BCB" w:rsidP="005B64EF">
            <w:pPr>
              <w:jc w:val="right"/>
              <w:rPr>
                <w:rFonts w:ascii="Arial Narrow" w:hAnsi="Arial Narrow"/>
                <w:sz w:val="20"/>
                <w:szCs w:val="20"/>
                <w:lang w:val="bg-BG"/>
              </w:rPr>
            </w:pPr>
            <w:r w:rsidRPr="00E70F58">
              <w:rPr>
                <w:rFonts w:ascii="Arial Narrow" w:hAnsi="Arial Narrow"/>
                <w:sz w:val="20"/>
                <w:szCs w:val="20"/>
                <w:lang w:val="bg-BG"/>
              </w:rPr>
              <w:t>0</w:t>
            </w:r>
          </w:p>
        </w:tc>
      </w:tr>
      <w:tr w:rsidR="00532BCB" w:rsidRPr="00851E3C" w14:paraId="3A33DDFB" w14:textId="77777777" w:rsidTr="00532BCB">
        <w:trPr>
          <w:trHeight w:val="340"/>
        </w:trPr>
        <w:tc>
          <w:tcPr>
            <w:tcW w:w="4426" w:type="dxa"/>
            <w:vAlign w:val="center"/>
          </w:tcPr>
          <w:p w14:paraId="2F3C8B5A" w14:textId="77777777" w:rsidR="00532BCB" w:rsidRPr="00E70F58" w:rsidRDefault="00532BCB" w:rsidP="005B64EF">
            <w:pPr>
              <w:rPr>
                <w:rFonts w:ascii="Arial Narrow" w:hAnsi="Arial Narrow"/>
                <w:sz w:val="20"/>
                <w:szCs w:val="20"/>
                <w:lang w:val="bg-BG"/>
              </w:rPr>
            </w:pPr>
            <w:r w:rsidRPr="00E70F58">
              <w:rPr>
                <w:rFonts w:ascii="Arial Narrow" w:hAnsi="Arial Narrow"/>
                <w:sz w:val="20"/>
                <w:szCs w:val="20"/>
                <w:lang w:val="bg-BG"/>
              </w:rPr>
              <w:t>Меди-висна</w:t>
            </w:r>
          </w:p>
        </w:tc>
        <w:tc>
          <w:tcPr>
            <w:tcW w:w="2722" w:type="dxa"/>
            <w:vAlign w:val="center"/>
          </w:tcPr>
          <w:p w14:paraId="40BAC6C6" w14:textId="77777777" w:rsidR="00532BCB" w:rsidRPr="00E70F58" w:rsidRDefault="00532BCB" w:rsidP="005B64EF">
            <w:pPr>
              <w:jc w:val="right"/>
              <w:rPr>
                <w:rFonts w:ascii="Arial Narrow" w:hAnsi="Arial Narrow"/>
                <w:sz w:val="20"/>
                <w:szCs w:val="20"/>
                <w:lang w:val="bg-BG"/>
              </w:rPr>
            </w:pPr>
            <w:r w:rsidRPr="00E70F58">
              <w:rPr>
                <w:rFonts w:ascii="Arial Narrow" w:hAnsi="Arial Narrow"/>
                <w:sz w:val="20"/>
                <w:szCs w:val="20"/>
                <w:lang w:val="bg-BG"/>
              </w:rPr>
              <w:t>0</w:t>
            </w:r>
          </w:p>
        </w:tc>
        <w:tc>
          <w:tcPr>
            <w:tcW w:w="2766" w:type="dxa"/>
            <w:vAlign w:val="center"/>
          </w:tcPr>
          <w:p w14:paraId="586873EB" w14:textId="77777777" w:rsidR="00532BCB" w:rsidRPr="00E70F58" w:rsidRDefault="00532BCB" w:rsidP="005B64EF">
            <w:pPr>
              <w:jc w:val="right"/>
              <w:rPr>
                <w:rFonts w:ascii="Arial Narrow" w:hAnsi="Arial Narrow"/>
                <w:sz w:val="20"/>
                <w:szCs w:val="20"/>
                <w:lang w:val="bg-BG"/>
              </w:rPr>
            </w:pPr>
            <w:r w:rsidRPr="00E70F58">
              <w:rPr>
                <w:rFonts w:ascii="Arial Narrow" w:hAnsi="Arial Narrow"/>
                <w:sz w:val="20"/>
                <w:szCs w:val="20"/>
                <w:lang w:val="bg-BG"/>
              </w:rPr>
              <w:t>0</w:t>
            </w:r>
          </w:p>
        </w:tc>
      </w:tr>
      <w:tr w:rsidR="00532BCB" w:rsidRPr="00851E3C" w14:paraId="58A106DA" w14:textId="77777777" w:rsidTr="00532BCB">
        <w:trPr>
          <w:trHeight w:val="397"/>
        </w:trPr>
        <w:tc>
          <w:tcPr>
            <w:tcW w:w="9914" w:type="dxa"/>
            <w:gridSpan w:val="3"/>
            <w:shd w:val="clear" w:color="auto" w:fill="CCCCCC" w:themeFill="text2" w:themeFillTint="33"/>
            <w:vAlign w:val="center"/>
          </w:tcPr>
          <w:p w14:paraId="72D7B754" w14:textId="77777777" w:rsidR="00532BCB" w:rsidRPr="00E70F58" w:rsidRDefault="00532BCB" w:rsidP="005B64EF">
            <w:pPr>
              <w:jc w:val="center"/>
              <w:rPr>
                <w:rFonts w:ascii="Arial Narrow" w:hAnsi="Arial Narrow"/>
                <w:b/>
                <w:sz w:val="20"/>
                <w:szCs w:val="20"/>
                <w:lang w:val="bg-BG"/>
              </w:rPr>
            </w:pPr>
            <w:r w:rsidRPr="00E70F58">
              <w:rPr>
                <w:rFonts w:ascii="Arial Narrow" w:hAnsi="Arial Narrow"/>
                <w:b/>
                <w:sz w:val="20"/>
                <w:szCs w:val="20"/>
                <w:lang w:val="bg-BG"/>
              </w:rPr>
              <w:t>Природоклиматични кризи</w:t>
            </w:r>
          </w:p>
        </w:tc>
      </w:tr>
      <w:tr w:rsidR="00532BCB" w:rsidRPr="00851E3C" w14:paraId="627371D1" w14:textId="77777777" w:rsidTr="00532BCB">
        <w:trPr>
          <w:trHeight w:val="397"/>
        </w:trPr>
        <w:tc>
          <w:tcPr>
            <w:tcW w:w="4426" w:type="dxa"/>
            <w:vAlign w:val="center"/>
          </w:tcPr>
          <w:p w14:paraId="3490C46B" w14:textId="77777777" w:rsidR="00532BCB" w:rsidRPr="00E70F58" w:rsidRDefault="00532BCB" w:rsidP="005B64EF">
            <w:pPr>
              <w:rPr>
                <w:rFonts w:ascii="Arial Narrow" w:hAnsi="Arial Narrow"/>
                <w:b/>
                <w:sz w:val="20"/>
                <w:szCs w:val="20"/>
                <w:lang w:val="bg-BG"/>
              </w:rPr>
            </w:pPr>
            <w:r w:rsidRPr="00E70F58">
              <w:rPr>
                <w:rFonts w:ascii="Arial Narrow" w:hAnsi="Arial Narrow"/>
                <w:b/>
                <w:sz w:val="20"/>
                <w:szCs w:val="20"/>
                <w:lang w:val="bg-BG"/>
              </w:rPr>
              <w:t>Животновъдство</w:t>
            </w:r>
          </w:p>
        </w:tc>
        <w:tc>
          <w:tcPr>
            <w:tcW w:w="2722" w:type="dxa"/>
            <w:vAlign w:val="center"/>
          </w:tcPr>
          <w:p w14:paraId="30CC13F0" w14:textId="77777777" w:rsidR="00532BCB" w:rsidRPr="00E70F58" w:rsidRDefault="00532BCB" w:rsidP="005B64EF">
            <w:pPr>
              <w:jc w:val="right"/>
              <w:rPr>
                <w:rFonts w:ascii="Arial Narrow" w:hAnsi="Arial Narrow"/>
                <w:sz w:val="20"/>
                <w:szCs w:val="20"/>
                <w:lang w:val="bg-BG"/>
              </w:rPr>
            </w:pPr>
          </w:p>
        </w:tc>
        <w:tc>
          <w:tcPr>
            <w:tcW w:w="2766" w:type="dxa"/>
            <w:vAlign w:val="center"/>
          </w:tcPr>
          <w:p w14:paraId="2025BA94" w14:textId="77777777" w:rsidR="00532BCB" w:rsidRPr="00E70F58" w:rsidRDefault="00532BCB" w:rsidP="005B64EF">
            <w:pPr>
              <w:jc w:val="right"/>
              <w:rPr>
                <w:rFonts w:ascii="Arial Narrow" w:hAnsi="Arial Narrow"/>
                <w:sz w:val="20"/>
                <w:szCs w:val="20"/>
                <w:lang w:val="bg-BG"/>
              </w:rPr>
            </w:pPr>
          </w:p>
        </w:tc>
      </w:tr>
      <w:tr w:rsidR="00532BCB" w:rsidRPr="00851E3C" w14:paraId="4CC3714E" w14:textId="77777777" w:rsidTr="00532BCB">
        <w:trPr>
          <w:trHeight w:val="1134"/>
        </w:trPr>
        <w:tc>
          <w:tcPr>
            <w:tcW w:w="4426" w:type="dxa"/>
            <w:vAlign w:val="center"/>
          </w:tcPr>
          <w:p w14:paraId="01E245A8" w14:textId="77777777" w:rsidR="00532BCB" w:rsidRPr="00E70F58" w:rsidRDefault="00532BCB" w:rsidP="005B64EF">
            <w:pPr>
              <w:rPr>
                <w:rFonts w:ascii="Arial Narrow" w:hAnsi="Arial Narrow"/>
                <w:sz w:val="20"/>
                <w:szCs w:val="20"/>
                <w:lang w:val="bg-BG"/>
              </w:rPr>
            </w:pPr>
            <w:r w:rsidRPr="00E70F58">
              <w:rPr>
                <w:rFonts w:ascii="Arial Narrow" w:hAnsi="Arial Narrow"/>
                <w:sz w:val="20"/>
                <w:szCs w:val="20"/>
                <w:lang w:val="bg-BG"/>
              </w:rPr>
              <w:t>Държавна помощ за компенсиране на щетите от неблагоприятните климатични условия през 2023</w:t>
            </w:r>
            <w:r>
              <w:rPr>
                <w:rFonts w:ascii="Arial Narrow" w:hAnsi="Arial Narrow"/>
                <w:sz w:val="20"/>
                <w:szCs w:val="20"/>
                <w:lang w:val="bg-BG"/>
              </w:rPr>
              <w:t xml:space="preserve"> г.</w:t>
            </w:r>
            <w:r w:rsidRPr="00E70F58">
              <w:rPr>
                <w:rFonts w:ascii="Arial Narrow" w:hAnsi="Arial Narrow"/>
                <w:sz w:val="20"/>
                <w:szCs w:val="20"/>
                <w:lang w:val="bg-BG"/>
              </w:rPr>
              <w:t>, понесени от земеделските стопани, отглеждащи селскостопански животни и пчелни семейства</w:t>
            </w:r>
          </w:p>
        </w:tc>
        <w:tc>
          <w:tcPr>
            <w:tcW w:w="2722" w:type="dxa"/>
            <w:vAlign w:val="center"/>
          </w:tcPr>
          <w:p w14:paraId="6096F2A1" w14:textId="77777777" w:rsidR="00532BCB" w:rsidRPr="00E70F58" w:rsidRDefault="00532BCB" w:rsidP="005B64EF">
            <w:pPr>
              <w:jc w:val="right"/>
              <w:rPr>
                <w:rFonts w:ascii="Arial Narrow" w:hAnsi="Arial Narrow"/>
                <w:sz w:val="20"/>
                <w:szCs w:val="20"/>
                <w:lang w:val="bg-BG"/>
              </w:rPr>
            </w:pPr>
          </w:p>
        </w:tc>
        <w:tc>
          <w:tcPr>
            <w:tcW w:w="2766" w:type="dxa"/>
            <w:vAlign w:val="center"/>
          </w:tcPr>
          <w:p w14:paraId="19E6F7F7" w14:textId="77777777" w:rsidR="00532BCB" w:rsidRPr="00E70F58" w:rsidRDefault="00532BCB" w:rsidP="005B64EF">
            <w:pPr>
              <w:jc w:val="right"/>
              <w:rPr>
                <w:rFonts w:ascii="Arial Narrow" w:hAnsi="Arial Narrow"/>
                <w:sz w:val="20"/>
                <w:szCs w:val="20"/>
                <w:lang w:val="bg-BG"/>
              </w:rPr>
            </w:pPr>
            <w:r w:rsidRPr="00E70F58">
              <w:rPr>
                <w:rFonts w:ascii="Arial Narrow" w:hAnsi="Arial Narrow"/>
                <w:sz w:val="20"/>
                <w:szCs w:val="20"/>
                <w:lang w:val="bg-BG"/>
              </w:rPr>
              <w:t>239 010</w:t>
            </w:r>
          </w:p>
        </w:tc>
      </w:tr>
      <w:tr w:rsidR="00532BCB" w:rsidRPr="00851E3C" w14:paraId="786DD213" w14:textId="77777777" w:rsidTr="00532BCB">
        <w:trPr>
          <w:trHeight w:val="567"/>
        </w:trPr>
        <w:tc>
          <w:tcPr>
            <w:tcW w:w="4426" w:type="dxa"/>
            <w:vAlign w:val="center"/>
          </w:tcPr>
          <w:p w14:paraId="00DEAE7B" w14:textId="77777777" w:rsidR="00532BCB" w:rsidRPr="00E70F58" w:rsidRDefault="00532BCB" w:rsidP="005B64EF">
            <w:pPr>
              <w:rPr>
                <w:rFonts w:ascii="Arial Narrow" w:hAnsi="Arial Narrow"/>
                <w:sz w:val="20"/>
                <w:szCs w:val="20"/>
                <w:lang w:val="bg-BG"/>
              </w:rPr>
            </w:pPr>
            <w:r w:rsidRPr="00E70F58">
              <w:rPr>
                <w:rFonts w:ascii="Arial Narrow" w:hAnsi="Arial Narrow"/>
                <w:sz w:val="20"/>
                <w:szCs w:val="20"/>
                <w:lang w:val="bg-BG"/>
              </w:rPr>
              <w:t>Помощ de minimis за компенсиране на щети от пожари настъпили през 2024</w:t>
            </w:r>
            <w:r>
              <w:rPr>
                <w:rFonts w:ascii="Arial Narrow" w:hAnsi="Arial Narrow"/>
                <w:sz w:val="20"/>
                <w:szCs w:val="20"/>
                <w:lang w:val="bg-BG"/>
              </w:rPr>
              <w:t xml:space="preserve"> г.</w:t>
            </w:r>
          </w:p>
        </w:tc>
        <w:tc>
          <w:tcPr>
            <w:tcW w:w="2722" w:type="dxa"/>
            <w:vAlign w:val="center"/>
          </w:tcPr>
          <w:p w14:paraId="79D862CC" w14:textId="77777777" w:rsidR="00532BCB" w:rsidRPr="00E70F58" w:rsidRDefault="00532BCB" w:rsidP="005B64EF">
            <w:pPr>
              <w:jc w:val="right"/>
              <w:rPr>
                <w:rFonts w:ascii="Arial Narrow" w:hAnsi="Arial Narrow"/>
                <w:sz w:val="20"/>
                <w:szCs w:val="20"/>
                <w:lang w:val="bg-BG"/>
              </w:rPr>
            </w:pPr>
          </w:p>
        </w:tc>
        <w:tc>
          <w:tcPr>
            <w:tcW w:w="2766" w:type="dxa"/>
            <w:vAlign w:val="center"/>
          </w:tcPr>
          <w:p w14:paraId="7D531C33" w14:textId="77777777" w:rsidR="00532BCB" w:rsidRPr="00E70F58" w:rsidRDefault="00532BCB" w:rsidP="005B64EF">
            <w:pPr>
              <w:jc w:val="right"/>
              <w:rPr>
                <w:rFonts w:ascii="Arial Narrow" w:hAnsi="Arial Narrow"/>
                <w:sz w:val="20"/>
                <w:szCs w:val="20"/>
                <w:lang w:val="bg-BG"/>
              </w:rPr>
            </w:pPr>
            <w:r w:rsidRPr="00E70F58">
              <w:rPr>
                <w:rFonts w:ascii="Arial Narrow" w:hAnsi="Arial Narrow"/>
                <w:sz w:val="20"/>
                <w:szCs w:val="20"/>
                <w:lang w:val="bg-BG"/>
              </w:rPr>
              <w:t>1 368 534</w:t>
            </w:r>
          </w:p>
        </w:tc>
      </w:tr>
      <w:tr w:rsidR="00532BCB" w:rsidRPr="00851E3C" w14:paraId="06B8D31B" w14:textId="77777777" w:rsidTr="00532BCB">
        <w:trPr>
          <w:trHeight w:val="567"/>
        </w:trPr>
        <w:tc>
          <w:tcPr>
            <w:tcW w:w="4426" w:type="dxa"/>
            <w:vAlign w:val="center"/>
          </w:tcPr>
          <w:p w14:paraId="2821255B" w14:textId="77777777" w:rsidR="00532BCB" w:rsidRPr="00E70F58" w:rsidRDefault="00532BCB" w:rsidP="005B64EF">
            <w:pPr>
              <w:rPr>
                <w:rFonts w:ascii="Arial Narrow" w:hAnsi="Arial Narrow"/>
                <w:sz w:val="20"/>
                <w:szCs w:val="20"/>
                <w:lang w:val="bg-BG"/>
              </w:rPr>
            </w:pPr>
            <w:r w:rsidRPr="00E70F58">
              <w:rPr>
                <w:rFonts w:ascii="Arial Narrow" w:hAnsi="Arial Narrow"/>
                <w:sz w:val="20"/>
                <w:szCs w:val="20"/>
                <w:lang w:val="bg-BG"/>
              </w:rPr>
              <w:t>Индивидуална помощ de minimis  за компенсиране на щети от пожари настъпили през 2024</w:t>
            </w:r>
            <w:r>
              <w:rPr>
                <w:rFonts w:ascii="Arial Narrow" w:hAnsi="Arial Narrow"/>
                <w:sz w:val="20"/>
                <w:szCs w:val="20"/>
                <w:lang w:val="bg-BG"/>
              </w:rPr>
              <w:t xml:space="preserve"> г.</w:t>
            </w:r>
          </w:p>
        </w:tc>
        <w:tc>
          <w:tcPr>
            <w:tcW w:w="2722" w:type="dxa"/>
            <w:vAlign w:val="center"/>
          </w:tcPr>
          <w:p w14:paraId="1AA2D0AE" w14:textId="77777777" w:rsidR="00532BCB" w:rsidRPr="00E70F58" w:rsidRDefault="00532BCB" w:rsidP="005B64EF">
            <w:pPr>
              <w:jc w:val="right"/>
              <w:rPr>
                <w:rFonts w:ascii="Arial Narrow" w:hAnsi="Arial Narrow"/>
                <w:sz w:val="20"/>
                <w:szCs w:val="20"/>
                <w:lang w:val="bg-BG"/>
              </w:rPr>
            </w:pPr>
          </w:p>
        </w:tc>
        <w:tc>
          <w:tcPr>
            <w:tcW w:w="2766" w:type="dxa"/>
            <w:vAlign w:val="center"/>
          </w:tcPr>
          <w:p w14:paraId="732C54A9" w14:textId="77777777" w:rsidR="00532BCB" w:rsidRPr="00E70F58" w:rsidRDefault="00532BCB" w:rsidP="005B64EF">
            <w:pPr>
              <w:jc w:val="right"/>
              <w:rPr>
                <w:rFonts w:ascii="Arial Narrow" w:hAnsi="Arial Narrow"/>
                <w:sz w:val="20"/>
                <w:szCs w:val="20"/>
                <w:lang w:val="bg-BG"/>
              </w:rPr>
            </w:pPr>
            <w:r w:rsidRPr="00E70F58">
              <w:rPr>
                <w:rFonts w:ascii="Arial Narrow" w:hAnsi="Arial Narrow"/>
                <w:sz w:val="20"/>
                <w:szCs w:val="20"/>
                <w:lang w:val="bg-BG"/>
              </w:rPr>
              <w:t>267 391</w:t>
            </w:r>
          </w:p>
        </w:tc>
      </w:tr>
      <w:tr w:rsidR="00532BCB" w:rsidRPr="00851E3C" w14:paraId="093A776B" w14:textId="77777777" w:rsidTr="00532BCB">
        <w:trPr>
          <w:trHeight w:val="397"/>
        </w:trPr>
        <w:tc>
          <w:tcPr>
            <w:tcW w:w="4426" w:type="dxa"/>
            <w:vAlign w:val="center"/>
          </w:tcPr>
          <w:p w14:paraId="7B876216" w14:textId="77777777" w:rsidR="00532BCB" w:rsidRPr="00E70F58" w:rsidRDefault="00532BCB" w:rsidP="005B64EF">
            <w:pPr>
              <w:rPr>
                <w:rFonts w:ascii="Arial Narrow" w:hAnsi="Arial Narrow"/>
                <w:b/>
                <w:sz w:val="20"/>
                <w:szCs w:val="20"/>
                <w:lang w:val="bg-BG"/>
              </w:rPr>
            </w:pPr>
            <w:r w:rsidRPr="00E70F58">
              <w:rPr>
                <w:rFonts w:ascii="Arial Narrow" w:hAnsi="Arial Narrow"/>
                <w:b/>
                <w:sz w:val="20"/>
                <w:szCs w:val="20"/>
                <w:lang w:val="bg-BG"/>
              </w:rPr>
              <w:t>Растениевъдство</w:t>
            </w:r>
          </w:p>
        </w:tc>
        <w:tc>
          <w:tcPr>
            <w:tcW w:w="2722" w:type="dxa"/>
            <w:vAlign w:val="center"/>
          </w:tcPr>
          <w:p w14:paraId="13CAD770" w14:textId="77777777" w:rsidR="00532BCB" w:rsidRPr="00E70F58" w:rsidRDefault="00532BCB" w:rsidP="005B64EF">
            <w:pPr>
              <w:jc w:val="right"/>
              <w:rPr>
                <w:rFonts w:ascii="Arial Narrow" w:hAnsi="Arial Narrow"/>
                <w:sz w:val="20"/>
                <w:szCs w:val="20"/>
                <w:lang w:val="bg-BG"/>
              </w:rPr>
            </w:pPr>
          </w:p>
        </w:tc>
        <w:tc>
          <w:tcPr>
            <w:tcW w:w="2766" w:type="dxa"/>
            <w:vAlign w:val="center"/>
          </w:tcPr>
          <w:p w14:paraId="67B79776" w14:textId="77777777" w:rsidR="00532BCB" w:rsidRPr="00E70F58" w:rsidRDefault="00532BCB" w:rsidP="005B64EF">
            <w:pPr>
              <w:jc w:val="right"/>
              <w:rPr>
                <w:rFonts w:ascii="Arial Narrow" w:hAnsi="Arial Narrow"/>
                <w:sz w:val="20"/>
                <w:szCs w:val="20"/>
                <w:lang w:val="bg-BG"/>
              </w:rPr>
            </w:pPr>
          </w:p>
        </w:tc>
      </w:tr>
      <w:tr w:rsidR="00532BCB" w:rsidRPr="00851E3C" w14:paraId="3F7ACA83" w14:textId="77777777" w:rsidTr="00532BCB">
        <w:trPr>
          <w:trHeight w:val="1134"/>
        </w:trPr>
        <w:tc>
          <w:tcPr>
            <w:tcW w:w="4426" w:type="dxa"/>
            <w:vAlign w:val="center"/>
          </w:tcPr>
          <w:p w14:paraId="2303E66A" w14:textId="77777777" w:rsidR="00532BCB" w:rsidRPr="00E70F58" w:rsidRDefault="00532BCB" w:rsidP="005B64EF">
            <w:pPr>
              <w:rPr>
                <w:rFonts w:ascii="Arial Narrow" w:hAnsi="Arial Narrow"/>
                <w:sz w:val="20"/>
                <w:szCs w:val="20"/>
                <w:lang w:val="bg-BG"/>
              </w:rPr>
            </w:pPr>
            <w:r w:rsidRPr="00E70F58">
              <w:rPr>
                <w:rFonts w:ascii="Arial Narrow" w:hAnsi="Arial Narrow"/>
                <w:sz w:val="20"/>
                <w:szCs w:val="20"/>
                <w:lang w:val="bg-BG"/>
              </w:rPr>
              <w:lastRenderedPageBreak/>
              <w:t xml:space="preserve">Държавна помощ за компенсиране на щетите по земеделските култури през 2023 г., причинени от неблагоприятни климатични условия, които могат да бъдат приравнени на природни бедствия </w:t>
            </w:r>
          </w:p>
        </w:tc>
        <w:tc>
          <w:tcPr>
            <w:tcW w:w="2722" w:type="dxa"/>
            <w:vAlign w:val="center"/>
          </w:tcPr>
          <w:p w14:paraId="67AB403B" w14:textId="77777777" w:rsidR="00532BCB" w:rsidRPr="00E70F58" w:rsidRDefault="00532BCB" w:rsidP="005B64EF">
            <w:pPr>
              <w:jc w:val="right"/>
              <w:rPr>
                <w:rFonts w:ascii="Arial Narrow" w:hAnsi="Arial Narrow"/>
                <w:sz w:val="20"/>
                <w:szCs w:val="20"/>
                <w:lang w:val="bg-BG"/>
              </w:rPr>
            </w:pPr>
          </w:p>
        </w:tc>
        <w:tc>
          <w:tcPr>
            <w:tcW w:w="2766" w:type="dxa"/>
            <w:vAlign w:val="center"/>
          </w:tcPr>
          <w:p w14:paraId="2FCBFB77" w14:textId="77777777" w:rsidR="00532BCB" w:rsidRPr="00E70F58" w:rsidRDefault="00532BCB" w:rsidP="005B64EF">
            <w:pPr>
              <w:jc w:val="right"/>
              <w:rPr>
                <w:rFonts w:ascii="Arial Narrow" w:hAnsi="Arial Narrow"/>
                <w:sz w:val="20"/>
                <w:szCs w:val="20"/>
                <w:lang w:val="bg-BG"/>
              </w:rPr>
            </w:pPr>
            <w:r w:rsidRPr="00E70F58">
              <w:rPr>
                <w:rFonts w:ascii="Arial Narrow" w:hAnsi="Arial Narrow"/>
                <w:sz w:val="20"/>
                <w:szCs w:val="20"/>
                <w:lang w:val="bg-BG"/>
              </w:rPr>
              <w:t>2 276 957</w:t>
            </w:r>
          </w:p>
        </w:tc>
      </w:tr>
      <w:tr w:rsidR="00532BCB" w:rsidRPr="00851E3C" w14:paraId="1C41462A" w14:textId="77777777" w:rsidTr="00532BCB">
        <w:trPr>
          <w:trHeight w:val="1134"/>
        </w:trPr>
        <w:tc>
          <w:tcPr>
            <w:tcW w:w="4426" w:type="dxa"/>
            <w:vAlign w:val="center"/>
          </w:tcPr>
          <w:p w14:paraId="64B7EBF7" w14:textId="77777777" w:rsidR="00532BCB" w:rsidRPr="00E70F58" w:rsidRDefault="00532BCB" w:rsidP="005B64EF">
            <w:pPr>
              <w:rPr>
                <w:rFonts w:ascii="Arial Narrow" w:hAnsi="Arial Narrow"/>
                <w:sz w:val="20"/>
                <w:szCs w:val="20"/>
                <w:lang w:val="bg-BG"/>
              </w:rPr>
            </w:pPr>
            <w:r w:rsidRPr="00E70F58">
              <w:rPr>
                <w:rFonts w:ascii="Arial Narrow" w:hAnsi="Arial Narrow"/>
                <w:sz w:val="20"/>
                <w:szCs w:val="20"/>
                <w:lang w:val="bg-BG"/>
              </w:rPr>
              <w:t>Държавна помощ за компенсиране на щетите по земеделските култури през 2023 г., причинени от неблагоприятни климатични условия, които могат да бъдат приравнени на природни бедствия</w:t>
            </w:r>
          </w:p>
        </w:tc>
        <w:tc>
          <w:tcPr>
            <w:tcW w:w="2722" w:type="dxa"/>
            <w:vAlign w:val="center"/>
          </w:tcPr>
          <w:p w14:paraId="7EE43D8A" w14:textId="77777777" w:rsidR="00532BCB" w:rsidRPr="00E70F58" w:rsidRDefault="00532BCB" w:rsidP="005B64EF">
            <w:pPr>
              <w:jc w:val="right"/>
              <w:rPr>
                <w:rFonts w:ascii="Arial Narrow" w:hAnsi="Arial Narrow"/>
                <w:sz w:val="20"/>
                <w:szCs w:val="20"/>
                <w:lang w:val="bg-BG"/>
              </w:rPr>
            </w:pPr>
          </w:p>
        </w:tc>
        <w:tc>
          <w:tcPr>
            <w:tcW w:w="2766" w:type="dxa"/>
            <w:vAlign w:val="center"/>
          </w:tcPr>
          <w:p w14:paraId="1519DD08" w14:textId="77777777" w:rsidR="00532BCB" w:rsidRPr="00E70F58" w:rsidRDefault="00532BCB" w:rsidP="005B64EF">
            <w:pPr>
              <w:jc w:val="right"/>
              <w:rPr>
                <w:rFonts w:ascii="Arial Narrow" w:hAnsi="Arial Narrow"/>
                <w:sz w:val="20"/>
                <w:szCs w:val="20"/>
                <w:lang w:val="bg-BG"/>
              </w:rPr>
            </w:pPr>
            <w:r w:rsidRPr="00E70F58">
              <w:rPr>
                <w:rFonts w:ascii="Arial Narrow" w:hAnsi="Arial Narrow"/>
                <w:sz w:val="20"/>
                <w:szCs w:val="20"/>
                <w:lang w:val="bg-BG"/>
              </w:rPr>
              <w:t>352 569</w:t>
            </w:r>
          </w:p>
        </w:tc>
      </w:tr>
      <w:tr w:rsidR="00532BCB" w:rsidRPr="00851E3C" w14:paraId="17DC2BE2" w14:textId="77777777" w:rsidTr="00532BCB">
        <w:trPr>
          <w:trHeight w:val="1134"/>
        </w:trPr>
        <w:tc>
          <w:tcPr>
            <w:tcW w:w="4426" w:type="dxa"/>
            <w:vAlign w:val="center"/>
          </w:tcPr>
          <w:p w14:paraId="0F2D6CF6" w14:textId="77777777" w:rsidR="00532BCB" w:rsidRPr="00E70F58" w:rsidRDefault="00532BCB" w:rsidP="005B64EF">
            <w:pPr>
              <w:rPr>
                <w:rFonts w:ascii="Arial Narrow" w:hAnsi="Arial Narrow"/>
                <w:sz w:val="20"/>
                <w:szCs w:val="20"/>
                <w:lang w:val="bg-BG"/>
              </w:rPr>
            </w:pPr>
            <w:r w:rsidRPr="00E70F58">
              <w:rPr>
                <w:rFonts w:ascii="Arial Narrow" w:hAnsi="Arial Narrow"/>
                <w:sz w:val="20"/>
                <w:szCs w:val="20"/>
                <w:lang w:val="bg-BG"/>
              </w:rPr>
              <w:t>Държавна помощ за компенсиране на щетите по земеделските култури през 2022 г., причинени от неблагоприятни климатични условия, които могат да бъдат приравнени на природни бедствия</w:t>
            </w:r>
          </w:p>
        </w:tc>
        <w:tc>
          <w:tcPr>
            <w:tcW w:w="2722" w:type="dxa"/>
            <w:vAlign w:val="center"/>
          </w:tcPr>
          <w:p w14:paraId="5CB9D994" w14:textId="77777777" w:rsidR="00532BCB" w:rsidRPr="00E70F58" w:rsidRDefault="00532BCB" w:rsidP="005B64EF">
            <w:pPr>
              <w:jc w:val="right"/>
              <w:rPr>
                <w:rFonts w:ascii="Arial Narrow" w:hAnsi="Arial Narrow"/>
                <w:sz w:val="20"/>
                <w:szCs w:val="20"/>
                <w:lang w:val="bg-BG"/>
              </w:rPr>
            </w:pPr>
          </w:p>
        </w:tc>
        <w:tc>
          <w:tcPr>
            <w:tcW w:w="2766" w:type="dxa"/>
            <w:vAlign w:val="center"/>
          </w:tcPr>
          <w:p w14:paraId="60DCF627" w14:textId="77777777" w:rsidR="00532BCB" w:rsidRPr="00E70F58" w:rsidRDefault="00532BCB" w:rsidP="005B64EF">
            <w:pPr>
              <w:jc w:val="right"/>
              <w:rPr>
                <w:rFonts w:ascii="Arial Narrow" w:hAnsi="Arial Narrow"/>
                <w:sz w:val="20"/>
                <w:szCs w:val="20"/>
                <w:lang w:val="bg-BG"/>
              </w:rPr>
            </w:pPr>
            <w:r w:rsidRPr="00E70F58">
              <w:rPr>
                <w:rFonts w:ascii="Arial Narrow" w:hAnsi="Arial Narrow"/>
                <w:sz w:val="20"/>
                <w:szCs w:val="20"/>
                <w:lang w:val="bg-BG"/>
              </w:rPr>
              <w:t>182 500</w:t>
            </w:r>
          </w:p>
        </w:tc>
      </w:tr>
      <w:tr w:rsidR="00532BCB" w:rsidRPr="00851E3C" w14:paraId="786A0377" w14:textId="77777777" w:rsidTr="00532BCB">
        <w:trPr>
          <w:trHeight w:val="1134"/>
        </w:trPr>
        <w:tc>
          <w:tcPr>
            <w:tcW w:w="4426" w:type="dxa"/>
            <w:vAlign w:val="center"/>
          </w:tcPr>
          <w:p w14:paraId="748C3E49" w14:textId="77777777" w:rsidR="00532BCB" w:rsidRPr="00E70F58" w:rsidRDefault="00532BCB" w:rsidP="005B64EF">
            <w:pPr>
              <w:rPr>
                <w:rFonts w:ascii="Arial Narrow" w:hAnsi="Arial Narrow"/>
                <w:sz w:val="20"/>
                <w:szCs w:val="20"/>
                <w:lang w:val="bg-BG"/>
              </w:rPr>
            </w:pPr>
            <w:r w:rsidRPr="00E70F58">
              <w:rPr>
                <w:rFonts w:ascii="Arial Narrow" w:hAnsi="Arial Narrow"/>
                <w:sz w:val="20"/>
                <w:szCs w:val="20"/>
                <w:lang w:val="bg-BG"/>
              </w:rPr>
              <w:t>Държавна помощ за компенсиране на щетите по земеделските култури през 2024 г., причинени от неблагоприятни климатични условия, които могат да бъдат приравнени на природни бедствия</w:t>
            </w:r>
          </w:p>
        </w:tc>
        <w:tc>
          <w:tcPr>
            <w:tcW w:w="2722" w:type="dxa"/>
            <w:vAlign w:val="center"/>
          </w:tcPr>
          <w:p w14:paraId="433E77C5" w14:textId="77777777" w:rsidR="00532BCB" w:rsidRPr="00E70F58" w:rsidRDefault="00532BCB" w:rsidP="005B64EF">
            <w:pPr>
              <w:jc w:val="right"/>
              <w:rPr>
                <w:rFonts w:ascii="Arial Narrow" w:hAnsi="Arial Narrow"/>
                <w:sz w:val="20"/>
                <w:szCs w:val="20"/>
                <w:lang w:val="bg-BG"/>
              </w:rPr>
            </w:pPr>
          </w:p>
        </w:tc>
        <w:tc>
          <w:tcPr>
            <w:tcW w:w="2766" w:type="dxa"/>
            <w:vAlign w:val="center"/>
          </w:tcPr>
          <w:p w14:paraId="4E85A725" w14:textId="77777777" w:rsidR="00532BCB" w:rsidRPr="00E70F58" w:rsidRDefault="00532BCB" w:rsidP="005B64EF">
            <w:pPr>
              <w:jc w:val="right"/>
              <w:rPr>
                <w:rFonts w:ascii="Arial Narrow" w:hAnsi="Arial Narrow"/>
                <w:sz w:val="20"/>
                <w:szCs w:val="20"/>
                <w:lang w:val="bg-BG"/>
              </w:rPr>
            </w:pPr>
            <w:r w:rsidRPr="00E70F58">
              <w:rPr>
                <w:rFonts w:ascii="Arial Narrow" w:hAnsi="Arial Narrow"/>
                <w:sz w:val="20"/>
                <w:szCs w:val="20"/>
                <w:lang w:val="bg-BG"/>
              </w:rPr>
              <w:t>5 494 017</w:t>
            </w:r>
          </w:p>
        </w:tc>
      </w:tr>
      <w:tr w:rsidR="00532BCB" w:rsidRPr="00851E3C" w14:paraId="094F1F46" w14:textId="77777777" w:rsidTr="00532BCB">
        <w:trPr>
          <w:trHeight w:val="340"/>
        </w:trPr>
        <w:tc>
          <w:tcPr>
            <w:tcW w:w="4426" w:type="dxa"/>
            <w:shd w:val="clear" w:color="auto" w:fill="CCCCCC" w:themeFill="text2" w:themeFillTint="33"/>
            <w:vAlign w:val="center"/>
          </w:tcPr>
          <w:p w14:paraId="1613E1F2" w14:textId="77777777" w:rsidR="00532BCB" w:rsidRPr="00E70F58" w:rsidRDefault="00532BCB" w:rsidP="005B64EF">
            <w:pPr>
              <w:rPr>
                <w:rFonts w:ascii="Arial Narrow" w:hAnsi="Arial Narrow"/>
                <w:b/>
                <w:sz w:val="20"/>
                <w:szCs w:val="20"/>
                <w:lang w:val="bg-BG"/>
              </w:rPr>
            </w:pPr>
            <w:r w:rsidRPr="00E70F58">
              <w:rPr>
                <w:rFonts w:ascii="Arial Narrow" w:hAnsi="Arial Narrow"/>
                <w:b/>
                <w:sz w:val="20"/>
                <w:szCs w:val="20"/>
                <w:lang w:val="bg-BG"/>
              </w:rPr>
              <w:t xml:space="preserve">Общо: 18 456 781 </w:t>
            </w:r>
            <w:r>
              <w:rPr>
                <w:rFonts w:ascii="Arial Narrow" w:hAnsi="Arial Narrow"/>
                <w:b/>
                <w:sz w:val="20"/>
                <w:szCs w:val="20"/>
                <w:lang w:val="bg-BG"/>
              </w:rPr>
              <w:t>лева</w:t>
            </w:r>
            <w:r w:rsidRPr="00E70F58">
              <w:rPr>
                <w:rFonts w:ascii="Arial Narrow" w:hAnsi="Arial Narrow"/>
                <w:b/>
                <w:sz w:val="20"/>
                <w:szCs w:val="20"/>
                <w:lang w:val="bg-BG"/>
              </w:rPr>
              <w:t xml:space="preserve">          </w:t>
            </w:r>
          </w:p>
        </w:tc>
        <w:tc>
          <w:tcPr>
            <w:tcW w:w="2722" w:type="dxa"/>
            <w:shd w:val="clear" w:color="auto" w:fill="CCCCCC" w:themeFill="text2" w:themeFillTint="33"/>
            <w:vAlign w:val="center"/>
          </w:tcPr>
          <w:p w14:paraId="13CFC22E" w14:textId="77777777" w:rsidR="00532BCB" w:rsidRPr="00E70F58" w:rsidRDefault="00532BCB" w:rsidP="005B64EF">
            <w:pPr>
              <w:jc w:val="right"/>
              <w:rPr>
                <w:rFonts w:ascii="Arial Narrow" w:hAnsi="Arial Narrow"/>
                <w:b/>
                <w:sz w:val="20"/>
                <w:szCs w:val="20"/>
                <w:lang w:val="bg-BG"/>
              </w:rPr>
            </w:pPr>
            <w:r w:rsidRPr="00E70F58">
              <w:rPr>
                <w:rFonts w:ascii="Arial Narrow" w:hAnsi="Arial Narrow"/>
                <w:b/>
                <w:sz w:val="20"/>
                <w:szCs w:val="20"/>
                <w:lang w:val="bg-BG"/>
              </w:rPr>
              <w:t>7 600 747</w:t>
            </w:r>
          </w:p>
        </w:tc>
        <w:tc>
          <w:tcPr>
            <w:tcW w:w="2766" w:type="dxa"/>
            <w:shd w:val="clear" w:color="auto" w:fill="CCCCCC" w:themeFill="text2" w:themeFillTint="33"/>
            <w:vAlign w:val="center"/>
          </w:tcPr>
          <w:p w14:paraId="24591A35" w14:textId="77777777" w:rsidR="00532BCB" w:rsidRPr="00E70F58" w:rsidRDefault="00532BCB" w:rsidP="005B64EF">
            <w:pPr>
              <w:jc w:val="right"/>
              <w:rPr>
                <w:rFonts w:ascii="Arial Narrow" w:hAnsi="Arial Narrow"/>
                <w:b/>
                <w:sz w:val="20"/>
                <w:szCs w:val="20"/>
                <w:lang w:val="bg-BG"/>
              </w:rPr>
            </w:pPr>
            <w:r w:rsidRPr="00E70F58">
              <w:rPr>
                <w:rFonts w:ascii="Arial Narrow" w:hAnsi="Arial Narrow"/>
                <w:b/>
                <w:sz w:val="20"/>
                <w:szCs w:val="20"/>
                <w:lang w:val="bg-BG"/>
              </w:rPr>
              <w:t>10 856 034</w:t>
            </w:r>
          </w:p>
        </w:tc>
      </w:tr>
    </w:tbl>
    <w:p w14:paraId="3B6F86DD" w14:textId="77777777" w:rsidR="00532BCB" w:rsidRPr="00532BCB" w:rsidRDefault="00532BCB" w:rsidP="00532BCB">
      <w:pPr>
        <w:spacing w:after="240"/>
        <w:jc w:val="both"/>
        <w:rPr>
          <w:rFonts w:ascii="Arial Narrow" w:eastAsia="Calibri" w:hAnsi="Arial Narrow"/>
          <w:sz w:val="18"/>
          <w:szCs w:val="18"/>
          <w:lang w:val="bg-BG"/>
        </w:rPr>
      </w:pPr>
      <w:r w:rsidRPr="0082579A">
        <w:rPr>
          <w:rFonts w:ascii="Arial Narrow" w:eastAsia="Calibri" w:hAnsi="Arial Narrow"/>
          <w:i/>
          <w:sz w:val="18"/>
          <w:szCs w:val="18"/>
          <w:lang w:val="bg-BG"/>
        </w:rPr>
        <w:t>Източник:</w:t>
      </w:r>
      <w:r w:rsidRPr="0082579A">
        <w:rPr>
          <w:rFonts w:ascii="Arial Narrow" w:eastAsia="Calibri" w:hAnsi="Arial Narrow"/>
          <w:sz w:val="18"/>
          <w:szCs w:val="18"/>
          <w:lang w:val="bg-BG"/>
        </w:rPr>
        <w:t xml:space="preserve"> МЗХ</w:t>
      </w:r>
    </w:p>
    <w:p w14:paraId="40959C3C" w14:textId="77777777" w:rsidR="00ED5011" w:rsidRPr="00B3663B" w:rsidRDefault="000B636B" w:rsidP="00ED5011">
      <w:pPr>
        <w:pStyle w:val="Heading1"/>
        <w:keepLines w:val="0"/>
        <w:widowControl w:val="0"/>
        <w:numPr>
          <w:ilvl w:val="0"/>
          <w:numId w:val="14"/>
        </w:numPr>
        <w:tabs>
          <w:tab w:val="num" w:pos="360"/>
        </w:tabs>
        <w:overflowPunct w:val="0"/>
        <w:autoSpaceDE w:val="0"/>
        <w:autoSpaceDN w:val="0"/>
        <w:adjustRightInd w:val="0"/>
        <w:spacing w:before="240" w:after="120"/>
        <w:ind w:left="170" w:firstLine="11"/>
        <w:textAlignment w:val="baseline"/>
        <w:rPr>
          <w:rFonts w:ascii="Arial Narrow" w:hAnsi="Arial Narrow"/>
          <w:color w:val="auto"/>
          <w:sz w:val="24"/>
          <w:szCs w:val="24"/>
          <w:lang w:val="bg-BG"/>
        </w:rPr>
      </w:pPr>
      <w:bookmarkStart w:id="224" w:name="_Toc210747666"/>
      <w:r w:rsidRPr="00B3663B">
        <w:rPr>
          <w:rFonts w:ascii="Arial Narrow" w:hAnsi="Arial Narrow"/>
          <w:color w:val="auto"/>
          <w:sz w:val="24"/>
          <w:szCs w:val="24"/>
          <w:lang w:val="bg-BG"/>
        </w:rPr>
        <w:t>ГОРСКО СТОПАНСТВО</w:t>
      </w:r>
      <w:bookmarkEnd w:id="224"/>
    </w:p>
    <w:p w14:paraId="46977C5E" w14:textId="77777777" w:rsidR="00B3663B" w:rsidRPr="00B3663B" w:rsidRDefault="00ED5011" w:rsidP="00B3663B">
      <w:pPr>
        <w:pStyle w:val="ListParagraph"/>
        <w:widowControl w:val="0"/>
        <w:numPr>
          <w:ilvl w:val="0"/>
          <w:numId w:val="20"/>
        </w:numPr>
        <w:spacing w:after="120"/>
        <w:outlineLvl w:val="0"/>
        <w:rPr>
          <w:rFonts w:ascii="Arial Narrow" w:hAnsi="Arial Narrow"/>
          <w:b/>
          <w:lang w:val="bg-BG" w:eastAsia="bg-BG"/>
        </w:rPr>
      </w:pPr>
      <w:bookmarkStart w:id="225" w:name="_Toc119489979"/>
      <w:bookmarkStart w:id="226" w:name="_Toc210747667"/>
      <w:r w:rsidRPr="00B3663B">
        <w:rPr>
          <w:rFonts w:ascii="Arial Narrow" w:hAnsi="Arial Narrow"/>
          <w:b/>
          <w:lang w:val="bg-BG" w:eastAsia="bg-BG"/>
        </w:rPr>
        <w:t>Характеристика на горските територии</w:t>
      </w:r>
      <w:bookmarkEnd w:id="225"/>
      <w:bookmarkEnd w:id="226"/>
    </w:p>
    <w:p w14:paraId="3C8B026F" w14:textId="77777777" w:rsidR="00B3663B" w:rsidRPr="00B3663B" w:rsidRDefault="00B3663B" w:rsidP="00B3663B">
      <w:pPr>
        <w:spacing w:after="120"/>
        <w:ind w:firstLine="709"/>
        <w:jc w:val="both"/>
        <w:rPr>
          <w:rFonts w:ascii="Arial Narrow" w:hAnsi="Arial Narrow"/>
          <w:lang w:val="bg-BG" w:eastAsia="bg-BG"/>
        </w:rPr>
      </w:pPr>
      <w:r w:rsidRPr="00B3663B">
        <w:rPr>
          <w:rFonts w:ascii="Arial Narrow" w:hAnsi="Arial Narrow"/>
          <w:lang w:val="bg-BG" w:eastAsia="bg-BG"/>
        </w:rPr>
        <w:t xml:space="preserve">Към 31.12.2024 г. общата площ на горите и горските територии в България възлиза на 4 283 668 ха, от които 3 939 110 ха са залесена площ (вкл. и клек). </w:t>
      </w:r>
    </w:p>
    <w:p w14:paraId="3BE91F76" w14:textId="77777777" w:rsidR="00B3663B" w:rsidRPr="00B3663B" w:rsidRDefault="00B3663B" w:rsidP="00B3663B">
      <w:pPr>
        <w:spacing w:after="120"/>
        <w:ind w:firstLine="709"/>
        <w:jc w:val="both"/>
        <w:rPr>
          <w:rFonts w:ascii="Arial Narrow" w:hAnsi="Arial Narrow"/>
          <w:color w:val="FF0000"/>
          <w:lang w:val="bg-BG" w:eastAsia="bg-BG"/>
        </w:rPr>
      </w:pPr>
      <w:r w:rsidRPr="00B3663B">
        <w:rPr>
          <w:rFonts w:ascii="Arial Narrow" w:hAnsi="Arial Narrow"/>
          <w:lang w:val="bg-BG" w:eastAsia="bg-BG"/>
        </w:rPr>
        <w:t xml:space="preserve">Площта на горските територии е 3 952 622 ха, от които 2 891 211 ха (73,2%) горски територии - държавна собственост, управлявани от държавните предприятия по чл. 163 от Закона за горите, 172 484 ха (4,4%) държавни гори, стопанисвани от МОСВ (в т. ч. резервати и поддържани резервати - 33 508 ха; Национален парк „Рила” - 53 480 ха; Национален парк „Пирин” - 40 332 ха и Национален парк „Централен Балкан” - 45 164 ха), 11 271 ха (0,3%) държавни горски територии, предоставени за управление на Учебно-опитни горски стопанства, 441 018 ха (11,2%) горски територии - собственост на общини, 377 580 ха (9,6%) горски територии - собственост на физически лица и 59 058 ха (1,5%) горски територии - собственост на юридически лица (в т. ч. 16 117 ха горски територии - собственост на религиозни общности). </w:t>
      </w:r>
    </w:p>
    <w:p w14:paraId="7968C21D" w14:textId="77777777" w:rsidR="00B3663B" w:rsidRPr="00B3663B" w:rsidRDefault="00B3663B" w:rsidP="00B3663B">
      <w:pPr>
        <w:spacing w:after="120"/>
        <w:ind w:firstLine="709"/>
        <w:jc w:val="both"/>
        <w:rPr>
          <w:rFonts w:ascii="Arial Narrow" w:hAnsi="Arial Narrow"/>
          <w:lang w:val="bg-BG" w:eastAsia="bg-BG"/>
        </w:rPr>
      </w:pPr>
      <w:r w:rsidRPr="00B3663B">
        <w:rPr>
          <w:rFonts w:ascii="Arial Narrow" w:hAnsi="Arial Narrow"/>
          <w:lang w:val="bg-BG" w:eastAsia="bg-BG"/>
        </w:rPr>
        <w:t>Площта на земеделски територии, притежаващи характеристиката на гора по смисъла на чл. 2 от Закона за горите (гори върху земеделски територии) е 331 046 ха, от които: 26 958 ха (8,1%) гори върху земеделски територии - държавна собственост, 189 213 ха (57,2%) гори върху земеделски територии - общинска собственост, 82 008 ха (24,8%) гори върху земеделски територии - собственост на физически лица, 11 751 ха (3,6%) гори върху земеделски територии - собственост на юридически лица (в т. ч. 2 188 ха гори върху земеделски територии - собственост на религиозни общности) и 20 652 ха (6,2%) гори, временно стопанисвани от общината. Останалите 464 ха са земеделски територии с неизяснена собственост.</w:t>
      </w:r>
    </w:p>
    <w:p w14:paraId="42EBC0FB" w14:textId="77777777" w:rsidR="00B3663B" w:rsidRPr="00B3663B" w:rsidRDefault="00B3663B" w:rsidP="00B3663B">
      <w:pPr>
        <w:spacing w:after="120"/>
        <w:ind w:firstLine="709"/>
        <w:jc w:val="both"/>
        <w:rPr>
          <w:rFonts w:ascii="Arial Narrow" w:hAnsi="Arial Narrow"/>
          <w:color w:val="FF0000"/>
          <w:lang w:val="bg-BG" w:eastAsia="bg-BG"/>
        </w:rPr>
      </w:pPr>
      <w:r w:rsidRPr="00B3663B">
        <w:rPr>
          <w:rFonts w:ascii="Arial Narrow" w:hAnsi="Arial Narrow"/>
          <w:lang w:val="bg-BG" w:eastAsia="bg-BG"/>
        </w:rPr>
        <w:t xml:space="preserve">Общата горска площ е с 3 531 ха повече в сравнение с 2023 г. Залесената площ се е увеличила с 2 970 ха, като това се дължи основно на новоинвентаризирани територии, притежаващи характеристика на гора по смисъла на ЗГ. </w:t>
      </w:r>
    </w:p>
    <w:p w14:paraId="69572D21" w14:textId="77777777" w:rsidR="00B3663B" w:rsidRPr="00B3663B" w:rsidRDefault="00B3663B" w:rsidP="00B3663B">
      <w:pPr>
        <w:spacing w:after="120"/>
        <w:ind w:firstLine="709"/>
        <w:jc w:val="both"/>
        <w:rPr>
          <w:rFonts w:ascii="Arial Narrow" w:hAnsi="Arial Narrow"/>
          <w:lang w:val="bg-BG" w:eastAsia="bg-BG"/>
        </w:rPr>
      </w:pPr>
      <w:r w:rsidRPr="00B3663B">
        <w:rPr>
          <w:rFonts w:ascii="Arial Narrow" w:hAnsi="Arial Narrow"/>
          <w:lang w:val="bg-BG" w:eastAsia="bg-BG"/>
        </w:rPr>
        <w:t xml:space="preserve">Площта на горските територии е с </w:t>
      </w:r>
      <w:r w:rsidR="00EB79A2">
        <w:rPr>
          <w:rFonts w:ascii="Arial Narrow" w:hAnsi="Arial Narrow"/>
          <w:lang w:val="bg-BG" w:eastAsia="bg-BG"/>
        </w:rPr>
        <w:t>9</w:t>
      </w:r>
      <w:r w:rsidRPr="00B3663B">
        <w:rPr>
          <w:rFonts w:ascii="Arial Narrow" w:hAnsi="Arial Narrow"/>
          <w:lang w:val="bg-BG" w:eastAsia="bg-BG"/>
        </w:rPr>
        <w:t>73 ха по-малко в сравнение с 2023 г.</w:t>
      </w:r>
    </w:p>
    <w:p w14:paraId="506B43EC" w14:textId="77777777" w:rsidR="00B3663B" w:rsidRPr="00B3663B" w:rsidRDefault="00B3663B" w:rsidP="00B3663B">
      <w:pPr>
        <w:spacing w:after="120"/>
        <w:ind w:firstLine="709"/>
        <w:jc w:val="both"/>
        <w:rPr>
          <w:rFonts w:ascii="Arial Narrow" w:hAnsi="Arial Narrow"/>
          <w:lang w:val="bg-BG" w:eastAsia="bg-BG"/>
        </w:rPr>
      </w:pPr>
      <w:r w:rsidRPr="00B3663B">
        <w:rPr>
          <w:rFonts w:ascii="Arial Narrow" w:hAnsi="Arial Narrow"/>
          <w:lang w:val="bg-BG" w:eastAsia="bg-BG"/>
        </w:rPr>
        <w:t xml:space="preserve">Площта на горите върху земеделски територии нараства с 4 504 ха. </w:t>
      </w:r>
    </w:p>
    <w:p w14:paraId="3E199505" w14:textId="77777777" w:rsidR="00B3663B" w:rsidRPr="00B3663B" w:rsidRDefault="00B3663B" w:rsidP="00B3663B">
      <w:pPr>
        <w:spacing w:after="120"/>
        <w:ind w:firstLine="709"/>
        <w:jc w:val="both"/>
        <w:rPr>
          <w:rFonts w:ascii="Arial Narrow" w:hAnsi="Arial Narrow"/>
          <w:lang w:val="bg-BG" w:eastAsia="bg-BG"/>
        </w:rPr>
      </w:pPr>
      <w:r w:rsidRPr="00B3663B">
        <w:rPr>
          <w:rFonts w:ascii="Arial Narrow" w:hAnsi="Arial Narrow"/>
          <w:lang w:val="bg-BG" w:eastAsia="bg-BG"/>
        </w:rPr>
        <w:t xml:space="preserve">Отчита се увеличение на площта на държавните горски територии с 1 313 ха, което се дължи основно на новоинвентаризирани територии, на закупуване от страна на държавните предприятия на гори </w:t>
      </w:r>
      <w:r w:rsidRPr="00B3663B">
        <w:rPr>
          <w:rFonts w:ascii="Arial Narrow" w:hAnsi="Arial Narrow"/>
          <w:lang w:val="bg-BG" w:eastAsia="bg-BG"/>
        </w:rPr>
        <w:lastRenderedPageBreak/>
        <w:t>- собственост на физически лица, както и на административни производства за промяна на предназначението от земеделска в горска територия. Площта на Учебно-опитните стопанства е с 2 ха повече спрямо предходната година.</w:t>
      </w:r>
    </w:p>
    <w:p w14:paraId="7676A3F3" w14:textId="77777777" w:rsidR="00B3663B" w:rsidRPr="00B3663B" w:rsidRDefault="00B3663B" w:rsidP="00B3663B">
      <w:pPr>
        <w:spacing w:after="120"/>
        <w:ind w:firstLine="709"/>
        <w:jc w:val="both"/>
        <w:rPr>
          <w:rFonts w:ascii="Arial Narrow" w:hAnsi="Arial Narrow"/>
          <w:lang w:val="bg-BG" w:eastAsia="bg-BG"/>
        </w:rPr>
      </w:pPr>
      <w:r w:rsidRPr="00B3663B">
        <w:rPr>
          <w:rFonts w:ascii="Arial Narrow" w:hAnsi="Arial Narrow"/>
          <w:lang w:val="bg-BG" w:eastAsia="bg-BG"/>
        </w:rPr>
        <w:t xml:space="preserve">Площта на общинските горски територии намалява с </w:t>
      </w:r>
      <w:r w:rsidRPr="00B3663B">
        <w:rPr>
          <w:rFonts w:ascii="Arial Narrow" w:hAnsi="Arial Narrow"/>
          <w:lang w:eastAsia="bg-BG"/>
        </w:rPr>
        <w:t>253</w:t>
      </w:r>
      <w:r w:rsidRPr="00B3663B">
        <w:rPr>
          <w:rFonts w:ascii="Arial Narrow" w:hAnsi="Arial Narrow"/>
          <w:lang w:val="bg-BG" w:eastAsia="bg-BG"/>
        </w:rPr>
        <w:t xml:space="preserve"> ха, поради приключили административни производства за промяна на предназначението по реда на ЗГ. Освен това, при извършването на нови инвентаризации част от горите, отразени при предишни инвентаризации като горски територии, се прецизират и отнасят към земеделските територии, поради неприключили административни производства и липса на основание за включването им към горските територии.</w:t>
      </w:r>
    </w:p>
    <w:p w14:paraId="407C97E4" w14:textId="77777777" w:rsidR="00B3663B" w:rsidRPr="00B3663B" w:rsidRDefault="00B3663B" w:rsidP="00B3663B">
      <w:pPr>
        <w:spacing w:after="120"/>
        <w:ind w:firstLine="709"/>
        <w:jc w:val="both"/>
        <w:rPr>
          <w:rFonts w:ascii="Arial Narrow" w:hAnsi="Arial Narrow"/>
          <w:lang w:val="bg-BG" w:eastAsia="bg-BG"/>
        </w:rPr>
      </w:pPr>
      <w:r w:rsidRPr="00B3663B">
        <w:rPr>
          <w:rFonts w:ascii="Arial Narrow" w:hAnsi="Arial Narrow"/>
          <w:lang w:val="bg-BG" w:eastAsia="bg-BG"/>
        </w:rPr>
        <w:t>Площта на държавните гори, стопанисвани от МОСВ е с 122 ха повече спрямо 2023 г., като увеличението се дължи на коригирани площи на резерват „Еленова гора“ и на поддържан резерват „Чамджа“.</w:t>
      </w:r>
    </w:p>
    <w:p w14:paraId="06DBCDFD" w14:textId="77777777" w:rsidR="00B3663B" w:rsidRPr="00B3663B" w:rsidRDefault="00B3663B" w:rsidP="00B3663B">
      <w:pPr>
        <w:spacing w:after="120"/>
        <w:ind w:firstLine="709"/>
        <w:jc w:val="both"/>
        <w:rPr>
          <w:rFonts w:ascii="Arial Narrow" w:hAnsi="Arial Narrow"/>
          <w:lang w:val="bg-BG" w:eastAsia="bg-BG"/>
        </w:rPr>
      </w:pPr>
      <w:r w:rsidRPr="00B3663B">
        <w:rPr>
          <w:rFonts w:ascii="Arial Narrow" w:hAnsi="Arial Narrow"/>
          <w:iCs/>
          <w:lang w:val="bg-BG" w:eastAsia="bg-BG"/>
        </w:rPr>
        <w:t>Недървопроизводителната площ</w:t>
      </w:r>
      <w:r w:rsidRPr="00B3663B">
        <w:rPr>
          <w:rFonts w:ascii="Arial Narrow" w:hAnsi="Arial Narrow"/>
          <w:lang w:val="bg-BG" w:eastAsia="bg-BG"/>
        </w:rPr>
        <w:t xml:space="preserve"> се увеличава с 1 698 ха, до 307 579 ха. Незалесената горска площ се свива с 1 137 ха - от 38 116 ха на 36 979 ха, вследствие на извършени нови залесявания</w:t>
      </w:r>
      <w:r w:rsidRPr="00B3663B">
        <w:t xml:space="preserve"> </w:t>
      </w:r>
      <w:r w:rsidRPr="00B3663B">
        <w:rPr>
          <w:rFonts w:ascii="Arial Narrow" w:hAnsi="Arial Narrow"/>
          <w:lang w:val="bg-BG" w:eastAsia="bg-BG"/>
        </w:rPr>
        <w:t>и самозалесявания.</w:t>
      </w:r>
    </w:p>
    <w:p w14:paraId="397A1351" w14:textId="77777777" w:rsidR="00B3663B" w:rsidRPr="00B3663B" w:rsidRDefault="00B3663B" w:rsidP="00B3663B">
      <w:pPr>
        <w:spacing w:after="120"/>
        <w:ind w:firstLine="709"/>
        <w:jc w:val="both"/>
        <w:rPr>
          <w:rFonts w:ascii="Arial Narrow" w:hAnsi="Arial Narrow"/>
          <w:lang w:val="bg-BG" w:eastAsia="bg-BG"/>
        </w:rPr>
      </w:pPr>
      <w:r w:rsidRPr="00B3663B">
        <w:rPr>
          <w:rFonts w:ascii="Arial Narrow" w:hAnsi="Arial Narrow"/>
          <w:lang w:val="bg-BG" w:eastAsia="bg-BG"/>
        </w:rPr>
        <w:t>Въпреки появилите се самозалесени площи, залесената площ на иглолистните гори е със 7 006 ха по-малко спрямо предходната година. Това се дължи на водените сечи във връзка с биотични нападения от корояд и масово съхнене на боровите култури извън ареала, които се възобновяват с местни широколистни видове, на продължаващото увеличение на смесените иглолистно-широколистни насаждения, получени след създаването и последващо стопанисване на иглолистни култури, както и на провеждането през последните години на политика за трансформация на иглолистните насаждения и култури, създадени извън естествения им ареал на разпространение. Тази тенденция ще продължава и за в бъдеще.</w:t>
      </w:r>
    </w:p>
    <w:p w14:paraId="1B43CAF1" w14:textId="77777777" w:rsidR="00B3663B" w:rsidRPr="00B3663B" w:rsidRDefault="00B3663B" w:rsidP="00B3663B">
      <w:pPr>
        <w:spacing w:after="120"/>
        <w:ind w:firstLine="709"/>
        <w:jc w:val="both"/>
        <w:rPr>
          <w:rFonts w:ascii="Arial Narrow" w:hAnsi="Arial Narrow"/>
          <w:lang w:val="bg-BG" w:eastAsia="bg-BG"/>
        </w:rPr>
      </w:pPr>
      <w:r w:rsidRPr="00B3663B">
        <w:rPr>
          <w:rFonts w:ascii="Arial Narrow" w:hAnsi="Arial Narrow"/>
          <w:lang w:val="bg-BG" w:eastAsia="bg-BG"/>
        </w:rPr>
        <w:t>Широколистните високостъблени гори са с 4 119 ха повече спрямо година по-рано, поради превръщане на издънкови насаждения във високостъблени, залесяване на пожарища, ветровали, самозалесяване на незалесени горски територии, преоценка на иглолистни култури и насаждения с ниска производителност и трансформиране на част от иглолистните гори в широколистни.</w:t>
      </w:r>
    </w:p>
    <w:p w14:paraId="12CD4217" w14:textId="77777777" w:rsidR="00B3663B" w:rsidRPr="00B3663B" w:rsidRDefault="00B3663B" w:rsidP="00B3663B">
      <w:pPr>
        <w:spacing w:after="120"/>
        <w:ind w:firstLine="709"/>
        <w:jc w:val="both"/>
        <w:rPr>
          <w:rFonts w:ascii="Arial Narrow" w:hAnsi="Arial Narrow"/>
          <w:lang w:val="bg-BG" w:eastAsia="bg-BG"/>
        </w:rPr>
      </w:pPr>
      <w:r w:rsidRPr="00B3663B">
        <w:rPr>
          <w:rFonts w:ascii="Arial Narrow" w:hAnsi="Arial Narrow"/>
          <w:lang w:val="bg-BG" w:eastAsia="bg-BG"/>
        </w:rPr>
        <w:t>Издънковите гори за превръщане се увеличават с 9 237 ха след новоинвентаризирани насаждения и преоценени иглолистни култури, смесени с широколистни издънкови видове</w:t>
      </w:r>
      <w:r w:rsidRPr="00B3663B">
        <w:t xml:space="preserve"> </w:t>
      </w:r>
      <w:r w:rsidRPr="00B3663B">
        <w:rPr>
          <w:rFonts w:ascii="Arial Narrow" w:hAnsi="Arial Narrow"/>
          <w:lang w:val="bg-BG" w:eastAsia="bg-BG"/>
        </w:rPr>
        <w:t>и нискостъблени насаждения.</w:t>
      </w:r>
    </w:p>
    <w:p w14:paraId="676D2B38" w14:textId="77777777" w:rsidR="00B3663B" w:rsidRPr="00B3663B" w:rsidRDefault="00B3663B" w:rsidP="00B3663B">
      <w:pPr>
        <w:spacing w:after="120"/>
        <w:ind w:firstLine="709"/>
        <w:jc w:val="both"/>
        <w:rPr>
          <w:rFonts w:ascii="Arial Narrow" w:hAnsi="Arial Narrow"/>
          <w:lang w:val="bg-BG" w:eastAsia="bg-BG"/>
        </w:rPr>
      </w:pPr>
      <w:r w:rsidRPr="00B3663B">
        <w:rPr>
          <w:rFonts w:ascii="Arial Narrow" w:hAnsi="Arial Narrow"/>
          <w:lang w:val="bg-BG" w:eastAsia="bg-BG"/>
        </w:rPr>
        <w:t>Нискостъблените гори намаляват с 3 376 ха, вследствие на преоценка на част от акациевите и келявгабърови насаждения, в които преобладават други издънкови и/или високостъблени дървесни видове.</w:t>
      </w:r>
    </w:p>
    <w:p w14:paraId="621FEC64" w14:textId="77777777" w:rsidR="00B3663B" w:rsidRPr="00B3663B" w:rsidRDefault="00B3663B" w:rsidP="00B3663B">
      <w:pPr>
        <w:widowControl w:val="0"/>
        <w:spacing w:after="120"/>
        <w:ind w:firstLine="709"/>
        <w:jc w:val="both"/>
        <w:rPr>
          <w:rFonts w:ascii="Arial Narrow" w:hAnsi="Arial Narrow"/>
          <w:lang w:val="bg-BG" w:eastAsia="bg-BG"/>
        </w:rPr>
      </w:pPr>
      <w:r w:rsidRPr="00B3663B">
        <w:rPr>
          <w:rFonts w:ascii="Arial Narrow" w:hAnsi="Arial Narrow"/>
          <w:lang w:val="bg-BG" w:eastAsia="bg-BG"/>
        </w:rPr>
        <w:t>Общото ползване от възобновителни и отгледни сечи за горските територии, осъществено през 2024 г., е в размер на 5 626 921 куб. м стояща маса, което се равнява на 70,3% от предвидените по горскостопански план (лесоустройствен проект) 8 000 527 куб. м стояща маса.</w:t>
      </w:r>
    </w:p>
    <w:p w14:paraId="7DBCAB7D" w14:textId="77777777" w:rsidR="00B3663B" w:rsidRPr="00B3663B" w:rsidRDefault="00B3663B" w:rsidP="00B3663B">
      <w:pPr>
        <w:widowControl w:val="0"/>
        <w:spacing w:after="120"/>
        <w:ind w:firstLine="709"/>
        <w:jc w:val="both"/>
        <w:rPr>
          <w:rFonts w:ascii="Arial Narrow" w:hAnsi="Arial Narrow"/>
          <w:lang w:val="bg-BG" w:eastAsia="bg-BG"/>
        </w:rPr>
      </w:pPr>
      <w:r w:rsidRPr="00B3663B">
        <w:rPr>
          <w:rFonts w:ascii="Arial Narrow" w:hAnsi="Arial Narrow"/>
          <w:lang w:val="bg-BG" w:eastAsia="bg-BG"/>
        </w:rPr>
        <w:t xml:space="preserve">От тях, 3 019 823 куб. м са от възобновителни сечи. Изпълнението на възобновителните сечи спрямо предвидените такива по горскостопански план (4 711 385  куб. м) е 64,1%. </w:t>
      </w:r>
    </w:p>
    <w:p w14:paraId="4A0BE195" w14:textId="77777777" w:rsidR="00B3663B" w:rsidRPr="00B3663B" w:rsidRDefault="00B3663B" w:rsidP="00B3663B">
      <w:pPr>
        <w:widowControl w:val="0"/>
        <w:spacing w:after="120"/>
        <w:ind w:firstLine="709"/>
        <w:jc w:val="both"/>
        <w:rPr>
          <w:rFonts w:ascii="Arial Narrow" w:hAnsi="Arial Narrow"/>
          <w:lang w:val="bg-BG" w:eastAsia="bg-BG"/>
        </w:rPr>
      </w:pPr>
      <w:r w:rsidRPr="00B3663B">
        <w:rPr>
          <w:rFonts w:ascii="Arial Narrow" w:hAnsi="Arial Narrow"/>
          <w:lang w:val="bg-BG" w:eastAsia="bg-BG"/>
        </w:rPr>
        <w:t xml:space="preserve">От отгледни сечи са добити 2 607 098 куб. м, което представлява 79,3% изпълнение спрямо предвиденото по горскостопански план (3 289 142 куб. м).  </w:t>
      </w:r>
    </w:p>
    <w:p w14:paraId="44D9DEAE" w14:textId="77777777" w:rsidR="00B3663B" w:rsidRPr="00B3663B" w:rsidRDefault="00B3663B" w:rsidP="00B3663B">
      <w:pPr>
        <w:widowControl w:val="0"/>
        <w:spacing w:after="120"/>
        <w:ind w:firstLine="709"/>
        <w:jc w:val="both"/>
        <w:rPr>
          <w:rFonts w:ascii="Arial Narrow" w:hAnsi="Arial Narrow"/>
          <w:lang w:val="bg-BG" w:eastAsia="bg-BG"/>
        </w:rPr>
      </w:pPr>
      <w:r w:rsidRPr="00B3663B">
        <w:rPr>
          <w:rFonts w:ascii="Arial Narrow" w:hAnsi="Arial Narrow"/>
          <w:lang w:val="bg-BG" w:eastAsia="bg-BG"/>
        </w:rPr>
        <w:t>Годишното ползване в горските територии - държавна собственост е в размер на 4 454 698 куб. м стояща маса или 71% от предвидените по горскостопански план (лесоустройствен проект) 6 273 015 куб. м стояща маса.</w:t>
      </w:r>
    </w:p>
    <w:p w14:paraId="754092F9" w14:textId="77777777" w:rsidR="00B3663B" w:rsidRPr="00B3663B" w:rsidRDefault="00B3663B" w:rsidP="00B3663B">
      <w:pPr>
        <w:widowControl w:val="0"/>
        <w:spacing w:after="120"/>
        <w:ind w:firstLine="709"/>
        <w:jc w:val="both"/>
        <w:rPr>
          <w:rFonts w:ascii="Arial Narrow" w:hAnsi="Arial Narrow"/>
          <w:lang w:val="bg-BG" w:eastAsia="bg-BG"/>
        </w:rPr>
      </w:pPr>
      <w:r w:rsidRPr="00B3663B">
        <w:rPr>
          <w:rFonts w:ascii="Arial Narrow" w:hAnsi="Arial Narrow"/>
          <w:lang w:val="bg-BG" w:eastAsia="bg-BG"/>
        </w:rPr>
        <w:t>Осъщественото годишно ползване от горите, предоставени на учебни опитни горски стопанства, е в размер на 36 682 куб. м стояща маса (94,9% от предвиденото); от общинските горски територии - в размер на 447 983 куб. м стояща маса (43,8% от предвиденото); а това от гори - собственост на физически и юридически лица - в размер на 684 082 куб. м стояща маса (103% от предвиденото).</w:t>
      </w:r>
    </w:p>
    <w:p w14:paraId="49534B86" w14:textId="77777777" w:rsidR="00B3663B" w:rsidRPr="00B3663B" w:rsidRDefault="00B3663B" w:rsidP="00B3663B">
      <w:pPr>
        <w:widowControl w:val="0"/>
        <w:spacing w:after="120"/>
        <w:ind w:firstLine="709"/>
        <w:jc w:val="both"/>
        <w:rPr>
          <w:rFonts w:ascii="Arial Narrow" w:hAnsi="Arial Narrow"/>
          <w:lang w:val="bg-BG" w:eastAsia="bg-BG"/>
        </w:rPr>
      </w:pPr>
      <w:r w:rsidRPr="00B3663B">
        <w:rPr>
          <w:rFonts w:ascii="Arial Narrow" w:hAnsi="Arial Narrow"/>
          <w:lang w:val="bg-BG" w:eastAsia="bg-BG"/>
        </w:rPr>
        <w:t>Годишното ползване от горите върху земеделски територии е в размер на 31 317  куб. м стояща маса.</w:t>
      </w:r>
    </w:p>
    <w:p w14:paraId="1B853145" w14:textId="77777777" w:rsidR="00B3663B" w:rsidRPr="00EC066F" w:rsidRDefault="00ED5011" w:rsidP="00B3663B">
      <w:pPr>
        <w:pStyle w:val="ListParagraph"/>
        <w:keepNext/>
        <w:widowControl w:val="0"/>
        <w:numPr>
          <w:ilvl w:val="0"/>
          <w:numId w:val="20"/>
        </w:numPr>
        <w:spacing w:after="120"/>
        <w:ind w:left="714" w:hanging="357"/>
        <w:outlineLvl w:val="0"/>
        <w:rPr>
          <w:rFonts w:ascii="Arial Narrow" w:hAnsi="Arial Narrow" w:cstheme="minorBidi"/>
          <w:b/>
          <w:lang w:val="bg-BG" w:eastAsia="bg-BG"/>
        </w:rPr>
      </w:pPr>
      <w:bookmarkStart w:id="227" w:name="_Toc119489980"/>
      <w:bookmarkStart w:id="228" w:name="_Toc210747668"/>
      <w:r w:rsidRPr="00EC066F">
        <w:rPr>
          <w:rFonts w:ascii="Arial Narrow" w:hAnsi="Arial Narrow" w:cstheme="minorBidi"/>
          <w:b/>
          <w:lang w:val="bg-BG" w:eastAsia="bg-BG"/>
        </w:rPr>
        <w:lastRenderedPageBreak/>
        <w:t>Промени в горските територии</w:t>
      </w:r>
      <w:bookmarkEnd w:id="227"/>
      <w:bookmarkEnd w:id="228"/>
    </w:p>
    <w:p w14:paraId="5FBFD285" w14:textId="77777777" w:rsidR="00B3663B" w:rsidRPr="00B3663B" w:rsidRDefault="00B3663B" w:rsidP="00B3663B">
      <w:pPr>
        <w:widowControl w:val="0"/>
        <w:spacing w:after="120"/>
        <w:ind w:firstLine="709"/>
        <w:jc w:val="both"/>
        <w:rPr>
          <w:rFonts w:ascii="Arial Narrow" w:hAnsi="Arial Narrow"/>
          <w:lang w:val="bg-BG" w:eastAsia="bg-BG"/>
        </w:rPr>
      </w:pPr>
      <w:r w:rsidRPr="00B3663B">
        <w:rPr>
          <w:rFonts w:ascii="Arial Narrow" w:hAnsi="Arial Narrow"/>
          <w:lang w:val="bg-BG" w:eastAsia="bg-BG"/>
        </w:rPr>
        <w:t>През 2024 г. в горските територии на страната са настъпили следните промени:</w:t>
      </w:r>
    </w:p>
    <w:p w14:paraId="5CFC29D5" w14:textId="77777777" w:rsidR="00B3663B" w:rsidRPr="00B3663B" w:rsidRDefault="00B3663B" w:rsidP="00B3663B">
      <w:pPr>
        <w:numPr>
          <w:ilvl w:val="0"/>
          <w:numId w:val="17"/>
        </w:numPr>
        <w:spacing w:after="120"/>
        <w:ind w:left="714" w:hanging="357"/>
        <w:jc w:val="both"/>
        <w:rPr>
          <w:rFonts w:ascii="Arial Narrow" w:hAnsi="Arial Narrow" w:cs="Arial Narrow"/>
          <w:bCs/>
          <w:lang w:val="bg-BG" w:eastAsia="bg-BG"/>
        </w:rPr>
      </w:pPr>
      <w:r w:rsidRPr="00B3663B">
        <w:rPr>
          <w:rFonts w:ascii="Arial Narrow" w:hAnsi="Arial Narrow" w:cs="Arial Narrow"/>
          <w:bCs/>
          <w:lang w:val="bg-BG" w:eastAsia="bg-BG"/>
        </w:rPr>
        <w:t>Издадени са 3 административни акта за промяна на предназначението на поземлени имоти в горски територии по реда на чл. 14 от Закона за горите (отм.), с обща площ 15,63 ха, с цена за промяната 3 962 505,00 лева. Определени са средства за компенсационно залесяване в размер на 195 633,15 лева. Издадени са два административни акта за прекратяване на административното производство за промяна на предназначението. Един административен акт за промяна на предназначението е с погасени права на основание на ч. 19, ал. 7 от ЗГ (отм.), тъй като дължимата цена за промяна на предназначението не е внесена в тримесечния срок от връчването на административния акт;</w:t>
      </w:r>
    </w:p>
    <w:p w14:paraId="50DDB156" w14:textId="77777777" w:rsidR="00B3663B" w:rsidRPr="00B3663B" w:rsidRDefault="00B3663B" w:rsidP="00B3663B">
      <w:pPr>
        <w:numPr>
          <w:ilvl w:val="0"/>
          <w:numId w:val="17"/>
        </w:numPr>
        <w:spacing w:after="120"/>
        <w:ind w:left="714" w:hanging="357"/>
        <w:jc w:val="both"/>
        <w:rPr>
          <w:rFonts w:ascii="Arial Narrow" w:hAnsi="Arial Narrow" w:cs="Arial Narrow"/>
          <w:bCs/>
          <w:lang w:val="bg-BG" w:eastAsia="bg-BG"/>
        </w:rPr>
      </w:pPr>
      <w:r w:rsidRPr="00B3663B">
        <w:rPr>
          <w:rFonts w:ascii="Arial Narrow" w:hAnsi="Arial Narrow" w:cs="Arial Narrow"/>
          <w:bCs/>
          <w:lang w:val="bg-BG" w:eastAsia="bg-BG"/>
        </w:rPr>
        <w:t>Издадени са 33 административни акта за предварително съгласуване за промяна на предназначението на поземлени имоти в горски територии, с обща площ 138,6 ха, по реда на чл. 75, ал. 3 от ЗГ. Издаден е 1 административен акт, с който се прекратява административно производство по промяна на предназначението;</w:t>
      </w:r>
    </w:p>
    <w:p w14:paraId="63E90BBA" w14:textId="77777777" w:rsidR="00B3663B" w:rsidRPr="00B3663B" w:rsidRDefault="00B3663B" w:rsidP="00B3663B">
      <w:pPr>
        <w:numPr>
          <w:ilvl w:val="0"/>
          <w:numId w:val="17"/>
        </w:numPr>
        <w:spacing w:after="120"/>
        <w:ind w:left="714" w:hanging="357"/>
        <w:jc w:val="both"/>
        <w:rPr>
          <w:rFonts w:ascii="Arial Narrow" w:hAnsi="Arial Narrow" w:cs="Arial Narrow"/>
          <w:bCs/>
          <w:lang w:val="bg-BG" w:eastAsia="bg-BG"/>
        </w:rPr>
      </w:pPr>
      <w:r w:rsidRPr="00B3663B">
        <w:rPr>
          <w:rFonts w:ascii="Arial Narrow" w:hAnsi="Arial Narrow" w:cs="Arial Narrow"/>
          <w:bCs/>
          <w:lang w:val="bg-BG" w:eastAsia="bg-BG"/>
        </w:rPr>
        <w:t>Издадени са 38 административни акта за промяна на предназначението на поземлени имоти в горски територии по реда на чл. 77 от ЗГ, с обща площ 28,45 ха, с цена за промяната 1 134 734,38 лева. Определени са средства за компенсационно залесяване в размер на 65 093,83 лева. По едно от издадените решения правата на дружеството, в чиято полза е променено предназначението са погасени по силата на закона, поради изтичане на законоустановения срок за заплащане на дължимите средства и липса на данни за изплатени дължими суми. В тази връзка, влезлите в сила административни актове за промяна на предназначението са с обща площ 27,95 ха, с цена за промяна на предназначението в размер на 1 064 155,38 лева и определени средства за компенсационно залесяване в размер на 65 093,83 лева;</w:t>
      </w:r>
    </w:p>
    <w:p w14:paraId="7E73D674" w14:textId="77777777" w:rsidR="00B3663B" w:rsidRPr="00B3663B" w:rsidRDefault="00B3663B" w:rsidP="00B3663B">
      <w:pPr>
        <w:numPr>
          <w:ilvl w:val="0"/>
          <w:numId w:val="17"/>
        </w:numPr>
        <w:spacing w:after="120"/>
        <w:ind w:left="714" w:hanging="357"/>
        <w:jc w:val="both"/>
        <w:rPr>
          <w:rFonts w:ascii="Arial Narrow" w:hAnsi="Arial Narrow" w:cs="Arial Narrow"/>
          <w:bCs/>
          <w:lang w:val="bg-BG" w:eastAsia="bg-BG"/>
        </w:rPr>
      </w:pPr>
      <w:r w:rsidRPr="00B3663B">
        <w:rPr>
          <w:rFonts w:ascii="Arial Narrow" w:hAnsi="Arial Narrow" w:cs="Arial Narrow"/>
          <w:bCs/>
          <w:lang w:val="bg-BG" w:eastAsia="bg-BG"/>
        </w:rPr>
        <w:t>Безвъзмездно е променено предназначението, по реда на чл. 73, ал. 5 от ЗГ, на 15,86 ха горски територии за изграждането на 1 национален обект и 12 общински обекта от първостепенно значение, като са издадени 13 административни акта, с които се констатират вече възникнали права и задължения. За 2 от цитираните обекти са определени средства за компенсационно залесяване в размер на 39 010,83 лева;</w:t>
      </w:r>
    </w:p>
    <w:p w14:paraId="3CF711F5" w14:textId="77777777" w:rsidR="00B3663B" w:rsidRPr="00B3663B" w:rsidRDefault="00B3663B" w:rsidP="00B3663B">
      <w:pPr>
        <w:numPr>
          <w:ilvl w:val="0"/>
          <w:numId w:val="17"/>
        </w:numPr>
        <w:spacing w:after="120"/>
        <w:ind w:left="714" w:hanging="357"/>
        <w:jc w:val="both"/>
        <w:rPr>
          <w:rFonts w:ascii="Arial Narrow" w:hAnsi="Arial Narrow" w:cs="Arial Narrow"/>
          <w:bCs/>
          <w:lang w:val="bg-BG" w:eastAsia="bg-BG"/>
        </w:rPr>
      </w:pPr>
      <w:r w:rsidRPr="00B3663B">
        <w:rPr>
          <w:rFonts w:ascii="Arial Narrow" w:hAnsi="Arial Narrow" w:cs="Arial Narrow"/>
          <w:bCs/>
          <w:lang w:val="bg-BG" w:eastAsia="bg-BG"/>
        </w:rPr>
        <w:t xml:space="preserve">Издадени са 4 административни акта за придобиване право на собственост върху 0,12 ха горски територии - частна държавна собственост, представляващи застроена и нормативно определена прилежаща площ на сгради, постройки, мрежи и съоръжения, по реда на § 123, ал. 3 на ПЗР към ЗИД на Закона за горите (отм.), с обща цена за продажба на поземлените имоти 11 693,00 лева и режийни разноски в размер на 233,86 лева. Постановени са 2 административни акта за отказ за закупуване на нормативно определената прилежаща площ; </w:t>
      </w:r>
    </w:p>
    <w:p w14:paraId="6D78BA8B" w14:textId="77777777" w:rsidR="00B3663B" w:rsidRPr="00B3663B" w:rsidRDefault="00B3663B" w:rsidP="00B3663B">
      <w:pPr>
        <w:numPr>
          <w:ilvl w:val="0"/>
          <w:numId w:val="17"/>
        </w:numPr>
        <w:spacing w:after="120"/>
        <w:ind w:left="714" w:hanging="357"/>
        <w:jc w:val="both"/>
        <w:rPr>
          <w:rFonts w:ascii="Arial Narrow" w:hAnsi="Arial Narrow" w:cs="Arial Narrow"/>
          <w:bCs/>
          <w:lang w:val="bg-BG" w:eastAsia="bg-BG"/>
        </w:rPr>
      </w:pPr>
      <w:r w:rsidRPr="00B3663B">
        <w:rPr>
          <w:rFonts w:ascii="Arial Narrow" w:hAnsi="Arial Narrow" w:cs="Arial Narrow"/>
          <w:bCs/>
          <w:lang w:val="bg-BG" w:eastAsia="bg-BG"/>
        </w:rPr>
        <w:t>Издадени са 149 административни акта за промяна на предназначението на поземлени имоти от земеделска в горска територия по реда на чл. 81 от ЗГ, с обща площ 6 444,37 ха. Промяната на предназначението е извършена безвъзмездно;</w:t>
      </w:r>
    </w:p>
    <w:p w14:paraId="4B995ED5" w14:textId="77777777" w:rsidR="00B3663B" w:rsidRPr="00B3663B" w:rsidRDefault="00B3663B" w:rsidP="00B3663B">
      <w:pPr>
        <w:numPr>
          <w:ilvl w:val="0"/>
          <w:numId w:val="17"/>
        </w:numPr>
        <w:spacing w:after="120"/>
        <w:ind w:left="714" w:hanging="357"/>
        <w:jc w:val="both"/>
        <w:rPr>
          <w:rFonts w:ascii="Arial Narrow" w:hAnsi="Arial Narrow" w:cs="Arial Narrow"/>
          <w:bCs/>
          <w:lang w:val="bg-BG" w:eastAsia="bg-BG"/>
        </w:rPr>
      </w:pPr>
      <w:r w:rsidRPr="00B3663B">
        <w:rPr>
          <w:rFonts w:ascii="Arial Narrow" w:hAnsi="Arial Narrow" w:cs="Arial Narrow"/>
          <w:bCs/>
          <w:lang w:val="bg-BG" w:eastAsia="bg-BG"/>
        </w:rPr>
        <w:t>Издадени са 4 административни акта за отразяване като горска територия на поземлени имоти с обща площ 3,43 ха, чието предназначение е променено по реда на ЗГ, но правата за закупуването им са погасени по силата на закона.</w:t>
      </w:r>
    </w:p>
    <w:p w14:paraId="55D7E06D" w14:textId="77777777" w:rsidR="00EC066F" w:rsidRPr="00EC066F" w:rsidRDefault="00ED5011" w:rsidP="00EC066F">
      <w:pPr>
        <w:pStyle w:val="ListParagraph"/>
        <w:widowControl w:val="0"/>
        <w:numPr>
          <w:ilvl w:val="0"/>
          <w:numId w:val="20"/>
        </w:numPr>
        <w:spacing w:after="120"/>
        <w:outlineLvl w:val="0"/>
        <w:rPr>
          <w:rFonts w:ascii="Arial Narrow" w:hAnsi="Arial Narrow" w:cstheme="minorBidi"/>
          <w:b/>
          <w:lang w:val="bg-BG" w:eastAsia="bg-BG"/>
        </w:rPr>
      </w:pPr>
      <w:bookmarkStart w:id="229" w:name="_Toc119489981"/>
      <w:bookmarkStart w:id="230" w:name="_Toc210747669"/>
      <w:r w:rsidRPr="00EC066F">
        <w:rPr>
          <w:rFonts w:ascii="Arial Narrow" w:hAnsi="Arial Narrow" w:cstheme="minorBidi"/>
          <w:b/>
          <w:lang w:val="bg-BG" w:eastAsia="bg-BG"/>
        </w:rPr>
        <w:t>Стопанисване на горските територии</w:t>
      </w:r>
      <w:bookmarkEnd w:id="229"/>
      <w:bookmarkEnd w:id="230"/>
    </w:p>
    <w:p w14:paraId="55C9A7A3" w14:textId="77777777" w:rsidR="00EC066F" w:rsidRPr="00EC066F" w:rsidRDefault="00EC066F" w:rsidP="00EC066F">
      <w:pPr>
        <w:widowControl w:val="0"/>
        <w:spacing w:after="120"/>
        <w:ind w:firstLine="709"/>
        <w:jc w:val="both"/>
        <w:rPr>
          <w:rFonts w:ascii="Arial Narrow" w:hAnsi="Arial Narrow"/>
          <w:lang w:val="bg-BG" w:eastAsia="bg-BG"/>
        </w:rPr>
      </w:pPr>
      <w:r w:rsidRPr="00EC066F">
        <w:rPr>
          <w:rFonts w:ascii="Arial Narrow" w:hAnsi="Arial Narrow"/>
          <w:lang w:val="bg-BG" w:eastAsia="bg-BG"/>
        </w:rPr>
        <w:t>Стопанисването, ползването и защитата на горите е насочено към формиране и поддържане на жизнени и многофункционални горски екосистеми, създаване на условия за естественото им възобновяване и подобряване на тяхната устойчивост.</w:t>
      </w:r>
    </w:p>
    <w:p w14:paraId="34310397" w14:textId="77777777" w:rsidR="00496E16" w:rsidRPr="00496E16" w:rsidRDefault="00ED5011" w:rsidP="00BF097E">
      <w:pPr>
        <w:pStyle w:val="ListParagraph"/>
        <w:keepNext/>
        <w:widowControl w:val="0"/>
        <w:numPr>
          <w:ilvl w:val="1"/>
          <w:numId w:val="21"/>
        </w:numPr>
        <w:spacing w:after="120"/>
        <w:ind w:left="714" w:hanging="357"/>
        <w:jc w:val="both"/>
        <w:outlineLvl w:val="0"/>
        <w:rPr>
          <w:rFonts w:ascii="Arial Narrow" w:hAnsi="Arial Narrow" w:cs="TimesNewRomanUnicode,Italic"/>
          <w:b/>
          <w:iCs/>
          <w:lang w:val="bg-BG" w:eastAsia="bg-BG"/>
        </w:rPr>
      </w:pPr>
      <w:bookmarkStart w:id="231" w:name="_Toc119489982"/>
      <w:bookmarkStart w:id="232" w:name="_Toc210747670"/>
      <w:r w:rsidRPr="00496E16">
        <w:rPr>
          <w:rFonts w:ascii="Arial Narrow" w:hAnsi="Arial Narrow" w:cs="TimesNewRomanUnicode,Italic"/>
          <w:b/>
          <w:iCs/>
          <w:lang w:val="bg-BG" w:eastAsia="bg-BG"/>
        </w:rPr>
        <w:t>Залесяване и защита срещу ерозия и порои</w:t>
      </w:r>
      <w:bookmarkEnd w:id="231"/>
      <w:bookmarkEnd w:id="232"/>
    </w:p>
    <w:p w14:paraId="5763767F" w14:textId="77777777" w:rsidR="00496E16" w:rsidRPr="00496E16" w:rsidRDefault="00496E16" w:rsidP="00496E16">
      <w:pPr>
        <w:widowControl w:val="0"/>
        <w:spacing w:after="120"/>
        <w:ind w:firstLine="709"/>
        <w:jc w:val="both"/>
        <w:rPr>
          <w:rFonts w:ascii="Arial Narrow" w:hAnsi="Arial Narrow"/>
          <w:lang w:val="bg-BG" w:eastAsia="bg-BG"/>
        </w:rPr>
      </w:pPr>
      <w:r w:rsidRPr="00496E16">
        <w:rPr>
          <w:rFonts w:ascii="Arial Narrow" w:hAnsi="Arial Narrow"/>
          <w:lang w:val="bg-BG" w:eastAsia="bg-BG"/>
        </w:rPr>
        <w:t>През 2024 г. дейността на ИАГ в тази област е насочена основно в следните направления:</w:t>
      </w:r>
    </w:p>
    <w:p w14:paraId="1DC5BA49" w14:textId="77777777" w:rsidR="00496E16" w:rsidRPr="00496E16" w:rsidRDefault="00496E16" w:rsidP="00496E16">
      <w:pPr>
        <w:numPr>
          <w:ilvl w:val="0"/>
          <w:numId w:val="17"/>
        </w:numPr>
        <w:spacing w:after="120"/>
        <w:jc w:val="both"/>
        <w:rPr>
          <w:rFonts w:ascii="Arial Narrow" w:hAnsi="Arial Narrow" w:cs="Arial Narrow"/>
          <w:bCs/>
          <w:lang w:val="bg-BG" w:eastAsia="bg-BG"/>
        </w:rPr>
      </w:pPr>
      <w:r w:rsidRPr="00496E16">
        <w:rPr>
          <w:rFonts w:ascii="Arial Narrow" w:hAnsi="Arial Narrow" w:cs="Arial Narrow"/>
          <w:bCs/>
          <w:lang w:val="bg-BG" w:eastAsia="bg-BG"/>
        </w:rPr>
        <w:t>Изпълнение на целите и показателите, заложени в програмата и бюджета на ИАГ;</w:t>
      </w:r>
    </w:p>
    <w:p w14:paraId="45883552" w14:textId="77777777" w:rsidR="00496E16" w:rsidRPr="00496E16" w:rsidRDefault="00496E16" w:rsidP="00496E16">
      <w:pPr>
        <w:numPr>
          <w:ilvl w:val="0"/>
          <w:numId w:val="17"/>
        </w:numPr>
        <w:spacing w:after="120"/>
        <w:jc w:val="both"/>
        <w:rPr>
          <w:rFonts w:ascii="Arial Narrow" w:hAnsi="Arial Narrow" w:cs="Arial Narrow"/>
          <w:bCs/>
          <w:lang w:val="bg-BG" w:eastAsia="bg-BG"/>
        </w:rPr>
      </w:pPr>
      <w:r w:rsidRPr="00496E16">
        <w:rPr>
          <w:rFonts w:ascii="Arial Narrow" w:hAnsi="Arial Narrow" w:cs="Arial Narrow"/>
          <w:bCs/>
          <w:lang w:val="bg-BG" w:eastAsia="bg-BG"/>
        </w:rPr>
        <w:lastRenderedPageBreak/>
        <w:t>Изпълнение на задълженията на България, произтичащи от членството в Европейския съюз в областта на горските репродуктивни материали (ГРМ);</w:t>
      </w:r>
    </w:p>
    <w:p w14:paraId="15726A7A" w14:textId="77777777" w:rsidR="00496E16" w:rsidRPr="00496E16" w:rsidRDefault="00496E16" w:rsidP="00496E16">
      <w:pPr>
        <w:numPr>
          <w:ilvl w:val="0"/>
          <w:numId w:val="17"/>
        </w:numPr>
        <w:spacing w:after="120"/>
        <w:jc w:val="both"/>
        <w:rPr>
          <w:rFonts w:ascii="Arial Narrow" w:hAnsi="Arial Narrow" w:cs="Arial Narrow"/>
          <w:bCs/>
          <w:lang w:val="bg-BG" w:eastAsia="bg-BG"/>
        </w:rPr>
      </w:pPr>
      <w:r w:rsidRPr="00496E16">
        <w:rPr>
          <w:rFonts w:ascii="Arial Narrow" w:hAnsi="Arial Narrow" w:cs="Arial Narrow"/>
          <w:bCs/>
          <w:lang w:val="bg-BG" w:eastAsia="bg-BG"/>
        </w:rPr>
        <w:t>Одобряване и регистрация на базови източници за ГРМ, регистрация на доставчици на ГРМ, изпитване и окачествяване на семена и подобряване на състоянието на горската семепроизводствена база;</w:t>
      </w:r>
    </w:p>
    <w:p w14:paraId="616B7C12" w14:textId="77777777" w:rsidR="00496E16" w:rsidRPr="00496E16" w:rsidRDefault="00496E16" w:rsidP="00496E16">
      <w:pPr>
        <w:numPr>
          <w:ilvl w:val="0"/>
          <w:numId w:val="17"/>
        </w:numPr>
        <w:spacing w:after="120"/>
        <w:jc w:val="both"/>
        <w:rPr>
          <w:rFonts w:ascii="Arial Narrow" w:hAnsi="Arial Narrow" w:cs="Arial Narrow"/>
          <w:bCs/>
          <w:lang w:val="bg-BG" w:eastAsia="bg-BG"/>
        </w:rPr>
      </w:pPr>
      <w:r w:rsidRPr="00496E16">
        <w:rPr>
          <w:rFonts w:ascii="Arial Narrow" w:hAnsi="Arial Narrow" w:cs="Arial Narrow"/>
          <w:bCs/>
          <w:lang w:val="bg-BG" w:eastAsia="bg-BG"/>
        </w:rPr>
        <w:t>Поддържане на база данни от извършените инвентаризации на създадените горски култури; на наличните пожарища, невъзобновените сечища и горите, унищожени от други природни въздействия; на наличните едроразмерни укрепителни съоръжения; извършените за компенсационно залесяване дейности и регистър на горските разсадници в страната;</w:t>
      </w:r>
    </w:p>
    <w:p w14:paraId="7383AFC1" w14:textId="77777777" w:rsidR="00496E16" w:rsidRPr="00496E16" w:rsidRDefault="00496E16" w:rsidP="00496E16">
      <w:pPr>
        <w:numPr>
          <w:ilvl w:val="0"/>
          <w:numId w:val="17"/>
        </w:numPr>
        <w:spacing w:after="120"/>
        <w:jc w:val="both"/>
        <w:rPr>
          <w:rFonts w:ascii="Arial Narrow" w:hAnsi="Arial Narrow" w:cs="Arial Narrow"/>
          <w:bCs/>
          <w:lang w:val="bg-BG" w:eastAsia="bg-BG"/>
        </w:rPr>
      </w:pPr>
      <w:r w:rsidRPr="00496E16">
        <w:rPr>
          <w:rFonts w:ascii="Arial Narrow" w:hAnsi="Arial Narrow" w:cs="Arial Narrow"/>
          <w:bCs/>
          <w:lang w:val="bg-BG" w:eastAsia="bg-BG"/>
        </w:rPr>
        <w:t>Извършване на контролна дейност;</w:t>
      </w:r>
    </w:p>
    <w:p w14:paraId="1DFA6A90" w14:textId="77777777" w:rsidR="00496E16" w:rsidRPr="00496E16" w:rsidRDefault="00496E16" w:rsidP="00496E16">
      <w:pPr>
        <w:numPr>
          <w:ilvl w:val="0"/>
          <w:numId w:val="17"/>
        </w:numPr>
        <w:spacing w:after="120"/>
        <w:jc w:val="both"/>
        <w:rPr>
          <w:rFonts w:ascii="Arial Narrow" w:hAnsi="Arial Narrow" w:cs="Arial Narrow"/>
          <w:bCs/>
          <w:lang w:val="bg-BG" w:eastAsia="bg-BG"/>
        </w:rPr>
      </w:pPr>
      <w:r w:rsidRPr="00496E16">
        <w:rPr>
          <w:rFonts w:ascii="Arial Narrow" w:hAnsi="Arial Narrow" w:cs="Arial Narrow"/>
          <w:bCs/>
          <w:lang w:val="bg-BG" w:eastAsia="bg-BG"/>
        </w:rPr>
        <w:t>Съгласуване на проекти за биологична рекултивация в горски територии, изготвяне на отговори и становища;</w:t>
      </w:r>
    </w:p>
    <w:p w14:paraId="2AD6DC13" w14:textId="77777777" w:rsidR="00496E16" w:rsidRPr="00496E16" w:rsidRDefault="00496E16" w:rsidP="00496E16">
      <w:pPr>
        <w:numPr>
          <w:ilvl w:val="0"/>
          <w:numId w:val="17"/>
        </w:numPr>
        <w:spacing w:after="120"/>
        <w:jc w:val="both"/>
        <w:rPr>
          <w:rFonts w:ascii="Arial Narrow" w:hAnsi="Arial Narrow" w:cs="Arial Narrow"/>
          <w:bCs/>
          <w:lang w:val="bg-BG" w:eastAsia="bg-BG"/>
        </w:rPr>
      </w:pPr>
      <w:r w:rsidRPr="00496E16">
        <w:rPr>
          <w:rFonts w:ascii="Arial Narrow" w:hAnsi="Arial Narrow" w:cs="Arial Narrow"/>
          <w:bCs/>
          <w:lang w:val="bg-BG" w:eastAsia="bg-BG"/>
        </w:rPr>
        <w:t>Изготвяне на проекти на нормативни документи.</w:t>
      </w:r>
    </w:p>
    <w:p w14:paraId="0FC57C81" w14:textId="77777777" w:rsidR="00496E16" w:rsidRPr="00496E16" w:rsidRDefault="00496E16" w:rsidP="00496E16">
      <w:pPr>
        <w:keepNext/>
        <w:keepLines/>
        <w:widowControl w:val="0"/>
        <w:spacing w:line="360" w:lineRule="auto"/>
        <w:rPr>
          <w:rFonts w:ascii="Arial Narrow" w:hAnsi="Arial Narrow"/>
          <w:b/>
          <w:bCs/>
          <w:lang w:val="bg-BG" w:eastAsia="bg-BG"/>
        </w:rPr>
      </w:pPr>
      <w:r w:rsidRPr="00496E16">
        <w:rPr>
          <w:rFonts w:ascii="Arial Narrow" w:hAnsi="Arial Narrow"/>
          <w:b/>
          <w:bCs/>
          <w:lang w:val="bg-BG" w:eastAsia="bg-BG"/>
        </w:rPr>
        <w:t>Таблица VI.1. Изпълнени дейности по създаване на гори през 2024 г.</w:t>
      </w:r>
    </w:p>
    <w:tbl>
      <w:tblPr>
        <w:tblW w:w="487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6"/>
        <w:gridCol w:w="5448"/>
        <w:gridCol w:w="1375"/>
        <w:gridCol w:w="2182"/>
      </w:tblGrid>
      <w:tr w:rsidR="00496E16" w:rsidRPr="00496E16" w14:paraId="6FC4E236" w14:textId="77777777" w:rsidTr="005E1F06">
        <w:trPr>
          <w:trHeight w:val="565"/>
          <w:tblHeader/>
        </w:trPr>
        <w:tc>
          <w:tcPr>
            <w:tcW w:w="291" w:type="pct"/>
            <w:shd w:val="clear" w:color="auto" w:fill="auto"/>
            <w:vAlign w:val="center"/>
          </w:tcPr>
          <w:p w14:paraId="26460BCD" w14:textId="77777777" w:rsidR="00496E16" w:rsidRPr="00496E16" w:rsidRDefault="00496E16" w:rsidP="00496E16">
            <w:pPr>
              <w:keepNext/>
              <w:keepLines/>
              <w:widowControl w:val="0"/>
              <w:jc w:val="center"/>
              <w:rPr>
                <w:rFonts w:ascii="Arial Narrow" w:hAnsi="Arial Narrow" w:cs="Arial Narrow"/>
                <w:b/>
                <w:bCs/>
                <w:sz w:val="20"/>
                <w:szCs w:val="20"/>
                <w:lang w:val="bg-BG" w:eastAsia="bg-BG"/>
              </w:rPr>
            </w:pPr>
            <w:r w:rsidRPr="00496E16">
              <w:rPr>
                <w:rFonts w:ascii="Arial Narrow" w:hAnsi="Arial Narrow" w:cs="Arial Narrow"/>
                <w:b/>
                <w:bCs/>
                <w:sz w:val="20"/>
                <w:szCs w:val="20"/>
                <w:lang w:val="bg-BG" w:eastAsia="bg-BG"/>
              </w:rPr>
              <w:t>№</w:t>
            </w:r>
          </w:p>
        </w:tc>
        <w:tc>
          <w:tcPr>
            <w:tcW w:w="2849" w:type="pct"/>
            <w:shd w:val="clear" w:color="auto" w:fill="auto"/>
            <w:vAlign w:val="center"/>
          </w:tcPr>
          <w:p w14:paraId="683F6E05" w14:textId="77777777" w:rsidR="00496E16" w:rsidRPr="00496E16" w:rsidRDefault="00496E16" w:rsidP="00496E16">
            <w:pPr>
              <w:keepNext/>
              <w:keepLines/>
              <w:widowControl w:val="0"/>
              <w:jc w:val="center"/>
              <w:rPr>
                <w:rFonts w:ascii="Arial Narrow" w:hAnsi="Arial Narrow" w:cs="Arial Narrow"/>
                <w:b/>
                <w:bCs/>
                <w:sz w:val="20"/>
                <w:szCs w:val="20"/>
                <w:lang w:val="bg-BG" w:eastAsia="bg-BG"/>
              </w:rPr>
            </w:pPr>
            <w:r w:rsidRPr="00496E16">
              <w:rPr>
                <w:rFonts w:ascii="Arial Narrow" w:hAnsi="Arial Narrow" w:cs="Arial Narrow"/>
                <w:b/>
                <w:bCs/>
                <w:sz w:val="20"/>
                <w:szCs w:val="20"/>
                <w:lang w:val="bg-BG" w:eastAsia="bg-BG"/>
              </w:rPr>
              <w:t>Видове дейности</w:t>
            </w:r>
          </w:p>
        </w:tc>
        <w:tc>
          <w:tcPr>
            <w:tcW w:w="719" w:type="pct"/>
            <w:shd w:val="clear" w:color="auto" w:fill="auto"/>
            <w:vAlign w:val="center"/>
          </w:tcPr>
          <w:p w14:paraId="646C98A5" w14:textId="77777777" w:rsidR="00496E16" w:rsidRPr="00496E16" w:rsidRDefault="00496E16" w:rsidP="00496E16">
            <w:pPr>
              <w:keepNext/>
              <w:keepLines/>
              <w:widowControl w:val="0"/>
              <w:jc w:val="center"/>
              <w:rPr>
                <w:rFonts w:ascii="Arial Narrow" w:hAnsi="Arial Narrow" w:cs="Arial Narrow"/>
                <w:b/>
                <w:bCs/>
                <w:sz w:val="20"/>
                <w:szCs w:val="20"/>
                <w:lang w:val="bg-BG" w:eastAsia="bg-BG"/>
              </w:rPr>
            </w:pPr>
            <w:r w:rsidRPr="00496E16">
              <w:rPr>
                <w:rFonts w:ascii="Arial Narrow" w:hAnsi="Arial Narrow" w:cs="Arial Narrow"/>
                <w:b/>
                <w:bCs/>
                <w:sz w:val="20"/>
                <w:szCs w:val="20"/>
                <w:lang w:val="bg-BG" w:eastAsia="bg-BG"/>
              </w:rPr>
              <w:t>Мярка</w:t>
            </w:r>
          </w:p>
        </w:tc>
        <w:tc>
          <w:tcPr>
            <w:tcW w:w="1141" w:type="pct"/>
            <w:shd w:val="clear" w:color="auto" w:fill="auto"/>
            <w:vAlign w:val="center"/>
          </w:tcPr>
          <w:p w14:paraId="3528E22F" w14:textId="77777777" w:rsidR="00496E16" w:rsidRPr="00496E16" w:rsidRDefault="00496E16" w:rsidP="00496E16">
            <w:pPr>
              <w:keepNext/>
              <w:keepLines/>
              <w:widowControl w:val="0"/>
              <w:jc w:val="center"/>
              <w:rPr>
                <w:rFonts w:ascii="Arial Narrow" w:hAnsi="Arial Narrow" w:cs="Arial Narrow"/>
                <w:b/>
                <w:bCs/>
                <w:sz w:val="20"/>
                <w:szCs w:val="20"/>
                <w:lang w:val="bg-BG" w:eastAsia="bg-BG"/>
              </w:rPr>
            </w:pPr>
            <w:r w:rsidRPr="00496E16">
              <w:rPr>
                <w:rFonts w:ascii="Arial Narrow" w:hAnsi="Arial Narrow" w:cs="Arial Narrow"/>
                <w:b/>
                <w:bCs/>
                <w:sz w:val="20"/>
                <w:szCs w:val="20"/>
                <w:lang w:val="bg-BG" w:eastAsia="bg-BG"/>
              </w:rPr>
              <w:t xml:space="preserve">Изпълнение </w:t>
            </w:r>
          </w:p>
          <w:p w14:paraId="7C7A02A8" w14:textId="77777777" w:rsidR="00496E16" w:rsidRPr="00496E16" w:rsidRDefault="00496E16" w:rsidP="00496E16">
            <w:pPr>
              <w:keepNext/>
              <w:keepLines/>
              <w:widowControl w:val="0"/>
              <w:jc w:val="center"/>
              <w:rPr>
                <w:rFonts w:ascii="Arial Narrow" w:hAnsi="Arial Narrow" w:cs="Arial Narrow"/>
                <w:b/>
                <w:bCs/>
                <w:sz w:val="20"/>
                <w:szCs w:val="20"/>
                <w:lang w:val="bg-BG" w:eastAsia="bg-BG"/>
              </w:rPr>
            </w:pPr>
            <w:r w:rsidRPr="00496E16">
              <w:rPr>
                <w:rFonts w:ascii="Arial Narrow" w:hAnsi="Arial Narrow" w:cs="Arial Narrow"/>
                <w:b/>
                <w:bCs/>
                <w:sz w:val="20"/>
                <w:szCs w:val="20"/>
                <w:lang w:val="bg-BG" w:eastAsia="bg-BG"/>
              </w:rPr>
              <w:t>за 2024 г.</w:t>
            </w:r>
          </w:p>
        </w:tc>
      </w:tr>
      <w:tr w:rsidR="00496E16" w:rsidRPr="00496E16" w14:paraId="560D4EEA" w14:textId="77777777" w:rsidTr="005E1F06">
        <w:trPr>
          <w:trHeight w:val="312"/>
        </w:trPr>
        <w:tc>
          <w:tcPr>
            <w:tcW w:w="291" w:type="pct"/>
            <w:shd w:val="clear" w:color="auto" w:fill="auto"/>
            <w:vAlign w:val="center"/>
          </w:tcPr>
          <w:p w14:paraId="6F272322" w14:textId="77777777" w:rsidR="00496E16" w:rsidRPr="00496E16" w:rsidRDefault="00496E16" w:rsidP="00496E16">
            <w:pPr>
              <w:widowControl w:val="0"/>
              <w:rPr>
                <w:rFonts w:ascii="Arial Narrow" w:hAnsi="Arial Narrow" w:cs="Arial Narrow"/>
                <w:bCs/>
                <w:sz w:val="20"/>
                <w:szCs w:val="20"/>
                <w:lang w:val="bg-BG" w:eastAsia="bg-BG"/>
              </w:rPr>
            </w:pPr>
            <w:r w:rsidRPr="00496E16">
              <w:rPr>
                <w:rFonts w:ascii="Arial Narrow" w:hAnsi="Arial Narrow" w:cs="Arial Narrow"/>
                <w:bCs/>
                <w:sz w:val="20"/>
                <w:szCs w:val="20"/>
                <w:lang w:val="bg-BG" w:eastAsia="bg-BG"/>
              </w:rPr>
              <w:t>1.</w:t>
            </w:r>
          </w:p>
        </w:tc>
        <w:tc>
          <w:tcPr>
            <w:tcW w:w="2849" w:type="pct"/>
            <w:shd w:val="clear" w:color="auto" w:fill="auto"/>
            <w:vAlign w:val="center"/>
          </w:tcPr>
          <w:p w14:paraId="4B7BB062" w14:textId="77777777" w:rsidR="00496E16" w:rsidRPr="00496E16" w:rsidRDefault="00496E16" w:rsidP="00496E16">
            <w:pPr>
              <w:widowControl w:val="0"/>
              <w:rPr>
                <w:rFonts w:ascii="Arial Narrow" w:hAnsi="Arial Narrow" w:cs="Arial Narrow"/>
                <w:bCs/>
                <w:sz w:val="20"/>
                <w:szCs w:val="20"/>
                <w:lang w:val="bg-BG" w:eastAsia="bg-BG"/>
              </w:rPr>
            </w:pPr>
            <w:r w:rsidRPr="00496E16">
              <w:rPr>
                <w:rFonts w:ascii="Arial Narrow" w:hAnsi="Arial Narrow" w:cs="Arial Narrow"/>
                <w:bCs/>
                <w:sz w:val="20"/>
                <w:szCs w:val="20"/>
                <w:lang w:val="bg-BG" w:eastAsia="bg-BG"/>
              </w:rPr>
              <w:t>Събрани и добити семена от ТП ДГС/ДЛС</w:t>
            </w:r>
          </w:p>
        </w:tc>
        <w:tc>
          <w:tcPr>
            <w:tcW w:w="719" w:type="pct"/>
            <w:shd w:val="clear" w:color="auto" w:fill="auto"/>
            <w:vAlign w:val="center"/>
          </w:tcPr>
          <w:p w14:paraId="632A8221" w14:textId="77777777" w:rsidR="00496E16" w:rsidRPr="00496E16" w:rsidRDefault="00496E16" w:rsidP="00496E16">
            <w:pPr>
              <w:widowControl w:val="0"/>
              <w:jc w:val="center"/>
              <w:rPr>
                <w:rFonts w:ascii="Arial Narrow" w:hAnsi="Arial Narrow" w:cs="Arial Narrow"/>
                <w:bCs/>
                <w:sz w:val="20"/>
                <w:szCs w:val="20"/>
                <w:lang w:val="bg-BG" w:eastAsia="bg-BG"/>
              </w:rPr>
            </w:pPr>
            <w:r w:rsidRPr="00496E16">
              <w:rPr>
                <w:rFonts w:ascii="Arial Narrow" w:hAnsi="Arial Narrow" w:cs="Arial Narrow"/>
                <w:bCs/>
                <w:sz w:val="20"/>
                <w:szCs w:val="20"/>
                <w:lang w:val="bg-BG" w:eastAsia="bg-BG"/>
              </w:rPr>
              <w:t>кг</w:t>
            </w:r>
          </w:p>
        </w:tc>
        <w:tc>
          <w:tcPr>
            <w:tcW w:w="1141" w:type="pct"/>
            <w:shd w:val="clear" w:color="auto" w:fill="auto"/>
            <w:vAlign w:val="center"/>
          </w:tcPr>
          <w:p w14:paraId="70CF26B8" w14:textId="77777777" w:rsidR="00496E16" w:rsidRPr="00496E16" w:rsidRDefault="00496E16" w:rsidP="00496E16">
            <w:pPr>
              <w:widowControl w:val="0"/>
              <w:jc w:val="right"/>
              <w:rPr>
                <w:rFonts w:ascii="Arial Narrow" w:hAnsi="Arial Narrow" w:cs="Arial Narrow"/>
                <w:bCs/>
                <w:sz w:val="20"/>
                <w:szCs w:val="20"/>
                <w:lang w:val="bg-BG" w:eastAsia="bg-BG"/>
              </w:rPr>
            </w:pPr>
            <w:r w:rsidRPr="00496E16">
              <w:rPr>
                <w:rFonts w:ascii="Arial Narrow" w:hAnsi="Arial Narrow" w:cs="Arial Narrow"/>
                <w:bCs/>
                <w:sz w:val="20"/>
                <w:szCs w:val="20"/>
                <w:lang w:val="bg-BG" w:eastAsia="bg-BG"/>
              </w:rPr>
              <w:t>40 634</w:t>
            </w:r>
          </w:p>
        </w:tc>
      </w:tr>
      <w:tr w:rsidR="00496E16" w:rsidRPr="00496E16" w14:paraId="7321351F" w14:textId="77777777" w:rsidTr="005E1F06">
        <w:trPr>
          <w:trHeight w:val="312"/>
        </w:trPr>
        <w:tc>
          <w:tcPr>
            <w:tcW w:w="291" w:type="pct"/>
            <w:shd w:val="clear" w:color="auto" w:fill="auto"/>
            <w:vAlign w:val="center"/>
          </w:tcPr>
          <w:p w14:paraId="57993A67" w14:textId="77777777" w:rsidR="00496E16" w:rsidRPr="00496E16" w:rsidRDefault="00496E16" w:rsidP="00496E16">
            <w:pPr>
              <w:widowControl w:val="0"/>
              <w:rPr>
                <w:rFonts w:ascii="Arial Narrow" w:hAnsi="Arial Narrow" w:cs="Arial Narrow"/>
                <w:bCs/>
                <w:sz w:val="20"/>
                <w:szCs w:val="20"/>
                <w:lang w:val="bg-BG" w:eastAsia="bg-BG"/>
              </w:rPr>
            </w:pPr>
            <w:r w:rsidRPr="00496E16">
              <w:rPr>
                <w:rFonts w:ascii="Arial Narrow" w:hAnsi="Arial Narrow" w:cs="Arial Narrow"/>
                <w:bCs/>
                <w:sz w:val="20"/>
                <w:szCs w:val="20"/>
                <w:lang w:val="bg-BG" w:eastAsia="bg-BG"/>
              </w:rPr>
              <w:t>2.</w:t>
            </w:r>
          </w:p>
        </w:tc>
        <w:tc>
          <w:tcPr>
            <w:tcW w:w="2849" w:type="pct"/>
            <w:shd w:val="clear" w:color="auto" w:fill="auto"/>
            <w:vAlign w:val="center"/>
          </w:tcPr>
          <w:p w14:paraId="2C6261A1" w14:textId="77777777" w:rsidR="00496E16" w:rsidRPr="00496E16" w:rsidRDefault="00496E16" w:rsidP="00496E16">
            <w:pPr>
              <w:widowControl w:val="0"/>
              <w:rPr>
                <w:rFonts w:ascii="Arial Narrow" w:hAnsi="Arial Narrow" w:cs="Arial Narrow"/>
                <w:bCs/>
                <w:sz w:val="20"/>
                <w:szCs w:val="20"/>
                <w:lang w:val="bg-BG" w:eastAsia="bg-BG"/>
              </w:rPr>
            </w:pPr>
            <w:r w:rsidRPr="00496E16">
              <w:rPr>
                <w:rFonts w:ascii="Arial Narrow" w:hAnsi="Arial Narrow" w:cs="Arial Narrow"/>
                <w:bCs/>
                <w:sz w:val="20"/>
                <w:szCs w:val="20"/>
                <w:lang w:val="bg-BG" w:eastAsia="bg-BG"/>
              </w:rPr>
              <w:t>Произведени фиданки в държавните горски разсадници</w:t>
            </w:r>
          </w:p>
        </w:tc>
        <w:tc>
          <w:tcPr>
            <w:tcW w:w="719" w:type="pct"/>
            <w:shd w:val="clear" w:color="auto" w:fill="auto"/>
            <w:vAlign w:val="center"/>
          </w:tcPr>
          <w:p w14:paraId="554819A8" w14:textId="77777777" w:rsidR="00496E16" w:rsidRPr="00496E16" w:rsidRDefault="00496E16" w:rsidP="00496E16">
            <w:pPr>
              <w:widowControl w:val="0"/>
              <w:jc w:val="center"/>
              <w:rPr>
                <w:rFonts w:ascii="Arial Narrow" w:hAnsi="Arial Narrow" w:cs="Arial Narrow"/>
                <w:bCs/>
                <w:sz w:val="20"/>
                <w:szCs w:val="20"/>
                <w:lang w:val="bg-BG" w:eastAsia="bg-BG"/>
              </w:rPr>
            </w:pPr>
            <w:r w:rsidRPr="00496E16">
              <w:rPr>
                <w:rFonts w:ascii="Arial Narrow" w:hAnsi="Arial Narrow" w:cs="Arial Narrow"/>
                <w:bCs/>
                <w:sz w:val="20"/>
                <w:szCs w:val="20"/>
                <w:lang w:val="bg-BG" w:eastAsia="bg-BG"/>
              </w:rPr>
              <w:t>хил. бр.</w:t>
            </w:r>
          </w:p>
        </w:tc>
        <w:tc>
          <w:tcPr>
            <w:tcW w:w="1141" w:type="pct"/>
            <w:shd w:val="clear" w:color="auto" w:fill="auto"/>
            <w:vAlign w:val="center"/>
          </w:tcPr>
          <w:p w14:paraId="4A0D1666" w14:textId="77777777" w:rsidR="00496E16" w:rsidRPr="00496E16" w:rsidRDefault="00496E16" w:rsidP="00496E16">
            <w:pPr>
              <w:widowControl w:val="0"/>
              <w:jc w:val="right"/>
              <w:rPr>
                <w:rFonts w:ascii="Arial Narrow" w:hAnsi="Arial Narrow" w:cs="Arial Narrow"/>
                <w:bCs/>
                <w:sz w:val="20"/>
                <w:szCs w:val="20"/>
                <w:lang w:eastAsia="bg-BG"/>
              </w:rPr>
            </w:pPr>
            <w:r w:rsidRPr="00496E16">
              <w:rPr>
                <w:rFonts w:ascii="Arial Narrow" w:hAnsi="Arial Narrow" w:cs="Arial Narrow"/>
                <w:bCs/>
                <w:sz w:val="20"/>
                <w:szCs w:val="20"/>
                <w:lang w:val="bg-BG" w:eastAsia="bg-BG"/>
              </w:rPr>
              <w:t>8 623,65</w:t>
            </w:r>
          </w:p>
        </w:tc>
      </w:tr>
      <w:tr w:rsidR="00496E16" w:rsidRPr="00496E16" w14:paraId="23B03CC1" w14:textId="77777777" w:rsidTr="005E1F06">
        <w:trPr>
          <w:trHeight w:val="312"/>
        </w:trPr>
        <w:tc>
          <w:tcPr>
            <w:tcW w:w="291" w:type="pct"/>
            <w:shd w:val="clear" w:color="auto" w:fill="auto"/>
            <w:vAlign w:val="center"/>
          </w:tcPr>
          <w:p w14:paraId="5BFFDFF2" w14:textId="77777777" w:rsidR="00496E16" w:rsidRPr="00496E16" w:rsidRDefault="00496E16" w:rsidP="00496E16">
            <w:pPr>
              <w:widowControl w:val="0"/>
              <w:rPr>
                <w:rFonts w:ascii="Arial Narrow" w:hAnsi="Arial Narrow" w:cs="Arial Narrow"/>
                <w:bCs/>
                <w:sz w:val="20"/>
                <w:szCs w:val="20"/>
                <w:lang w:val="bg-BG" w:eastAsia="bg-BG"/>
              </w:rPr>
            </w:pPr>
            <w:r w:rsidRPr="00496E16">
              <w:rPr>
                <w:rFonts w:ascii="Arial Narrow" w:hAnsi="Arial Narrow" w:cs="Arial Narrow"/>
                <w:bCs/>
                <w:sz w:val="20"/>
                <w:szCs w:val="20"/>
                <w:lang w:val="bg-BG" w:eastAsia="bg-BG"/>
              </w:rPr>
              <w:t>3.</w:t>
            </w:r>
          </w:p>
        </w:tc>
        <w:tc>
          <w:tcPr>
            <w:tcW w:w="2849" w:type="pct"/>
            <w:shd w:val="clear" w:color="auto" w:fill="auto"/>
            <w:vAlign w:val="center"/>
          </w:tcPr>
          <w:p w14:paraId="023F2028" w14:textId="77777777" w:rsidR="00496E16" w:rsidRPr="00496E16" w:rsidRDefault="00496E16" w:rsidP="00496E16">
            <w:pPr>
              <w:widowControl w:val="0"/>
              <w:rPr>
                <w:rFonts w:ascii="Arial Narrow" w:hAnsi="Arial Narrow" w:cs="Arial Narrow"/>
                <w:bCs/>
                <w:sz w:val="20"/>
                <w:szCs w:val="20"/>
                <w:lang w:val="bg-BG" w:eastAsia="bg-BG"/>
              </w:rPr>
            </w:pPr>
            <w:r w:rsidRPr="00496E16">
              <w:rPr>
                <w:rFonts w:ascii="Arial Narrow" w:hAnsi="Arial Narrow" w:cs="Arial Narrow"/>
                <w:bCs/>
                <w:sz w:val="20"/>
                <w:szCs w:val="20"/>
                <w:lang w:val="bg-BG" w:eastAsia="bg-BG"/>
              </w:rPr>
              <w:t>Залесени площи, в т. ч. от</w:t>
            </w:r>
          </w:p>
        </w:tc>
        <w:tc>
          <w:tcPr>
            <w:tcW w:w="719" w:type="pct"/>
            <w:shd w:val="clear" w:color="auto" w:fill="auto"/>
            <w:vAlign w:val="center"/>
          </w:tcPr>
          <w:p w14:paraId="4AC15ED2" w14:textId="77777777" w:rsidR="00496E16" w:rsidRPr="00496E16" w:rsidRDefault="00496E16" w:rsidP="00496E16">
            <w:pPr>
              <w:widowControl w:val="0"/>
              <w:jc w:val="center"/>
              <w:rPr>
                <w:rFonts w:ascii="Arial Narrow" w:hAnsi="Arial Narrow" w:cs="Arial Narrow"/>
                <w:bCs/>
                <w:sz w:val="20"/>
                <w:szCs w:val="20"/>
                <w:lang w:val="bg-BG" w:eastAsia="bg-BG"/>
              </w:rPr>
            </w:pPr>
            <w:r w:rsidRPr="00496E16">
              <w:rPr>
                <w:rFonts w:ascii="Arial Narrow" w:hAnsi="Arial Narrow" w:cs="Arial Narrow"/>
                <w:bCs/>
                <w:sz w:val="20"/>
                <w:szCs w:val="20"/>
                <w:lang w:val="bg-BG" w:eastAsia="bg-BG"/>
              </w:rPr>
              <w:t>ха</w:t>
            </w:r>
          </w:p>
        </w:tc>
        <w:tc>
          <w:tcPr>
            <w:tcW w:w="1141" w:type="pct"/>
            <w:shd w:val="clear" w:color="auto" w:fill="auto"/>
            <w:vAlign w:val="center"/>
          </w:tcPr>
          <w:p w14:paraId="775F7248" w14:textId="77777777" w:rsidR="00496E16" w:rsidRPr="00496E16" w:rsidRDefault="00496E16" w:rsidP="00496E16">
            <w:pPr>
              <w:widowControl w:val="0"/>
              <w:jc w:val="right"/>
              <w:rPr>
                <w:rFonts w:ascii="Arial Narrow" w:hAnsi="Arial Narrow" w:cs="Arial Narrow"/>
                <w:bCs/>
                <w:sz w:val="20"/>
                <w:szCs w:val="20"/>
                <w:lang w:val="bg-BG" w:eastAsia="bg-BG"/>
              </w:rPr>
            </w:pPr>
            <w:r w:rsidRPr="00496E16">
              <w:rPr>
                <w:rFonts w:ascii="Arial Narrow" w:hAnsi="Arial Narrow" w:cs="Arial Narrow"/>
                <w:bCs/>
                <w:sz w:val="20"/>
                <w:szCs w:val="20"/>
                <w:lang w:val="bg-BG" w:eastAsia="bg-BG"/>
              </w:rPr>
              <w:t>923,85</w:t>
            </w:r>
          </w:p>
        </w:tc>
      </w:tr>
      <w:tr w:rsidR="00496E16" w:rsidRPr="00496E16" w14:paraId="73D61B10" w14:textId="77777777" w:rsidTr="005E1F06">
        <w:trPr>
          <w:trHeight w:val="312"/>
        </w:trPr>
        <w:tc>
          <w:tcPr>
            <w:tcW w:w="291" w:type="pct"/>
            <w:shd w:val="clear" w:color="auto" w:fill="auto"/>
            <w:vAlign w:val="center"/>
          </w:tcPr>
          <w:p w14:paraId="3B1770AF" w14:textId="77777777" w:rsidR="00496E16" w:rsidRPr="00496E16" w:rsidRDefault="00496E16" w:rsidP="00496E16">
            <w:pPr>
              <w:widowControl w:val="0"/>
              <w:rPr>
                <w:rFonts w:ascii="Arial Narrow" w:hAnsi="Arial Narrow" w:cs="Arial Narrow"/>
                <w:bCs/>
                <w:sz w:val="20"/>
                <w:szCs w:val="20"/>
                <w:lang w:val="bg-BG" w:eastAsia="bg-BG"/>
              </w:rPr>
            </w:pPr>
          </w:p>
        </w:tc>
        <w:tc>
          <w:tcPr>
            <w:tcW w:w="2849" w:type="pct"/>
            <w:shd w:val="clear" w:color="auto" w:fill="auto"/>
            <w:vAlign w:val="center"/>
          </w:tcPr>
          <w:p w14:paraId="0D4AC8BD" w14:textId="77777777" w:rsidR="00496E16" w:rsidRPr="00496E16" w:rsidRDefault="00496E16" w:rsidP="00496E16">
            <w:pPr>
              <w:widowControl w:val="0"/>
              <w:numPr>
                <w:ilvl w:val="0"/>
                <w:numId w:val="23"/>
              </w:numPr>
              <w:ind w:left="204" w:hanging="113"/>
              <w:contextualSpacing/>
              <w:rPr>
                <w:rFonts w:ascii="Arial Narrow" w:hAnsi="Arial Narrow" w:cs="Arial Narrow"/>
                <w:bCs/>
                <w:sz w:val="20"/>
                <w:szCs w:val="20"/>
                <w:lang w:val="bg-BG" w:eastAsia="bg-BG"/>
              </w:rPr>
            </w:pPr>
            <w:r w:rsidRPr="00496E16">
              <w:rPr>
                <w:rFonts w:ascii="Arial Narrow" w:hAnsi="Arial Narrow" w:cs="Arial Narrow"/>
                <w:bCs/>
                <w:sz w:val="20"/>
                <w:szCs w:val="20"/>
                <w:lang w:val="bg-BG" w:eastAsia="bg-BG"/>
              </w:rPr>
              <w:t>държавни предприятия</w:t>
            </w:r>
          </w:p>
        </w:tc>
        <w:tc>
          <w:tcPr>
            <w:tcW w:w="719" w:type="pct"/>
            <w:shd w:val="clear" w:color="auto" w:fill="auto"/>
            <w:vAlign w:val="center"/>
          </w:tcPr>
          <w:p w14:paraId="0903A200" w14:textId="77777777" w:rsidR="00496E16" w:rsidRPr="00496E16" w:rsidRDefault="00496E16" w:rsidP="00496E16">
            <w:pPr>
              <w:widowControl w:val="0"/>
              <w:jc w:val="center"/>
              <w:rPr>
                <w:rFonts w:ascii="Arial Narrow" w:hAnsi="Arial Narrow" w:cs="Arial Narrow"/>
                <w:bCs/>
                <w:sz w:val="20"/>
                <w:szCs w:val="20"/>
                <w:lang w:val="bg-BG" w:eastAsia="bg-BG"/>
              </w:rPr>
            </w:pPr>
            <w:r w:rsidRPr="00496E16">
              <w:rPr>
                <w:rFonts w:ascii="Arial Narrow" w:hAnsi="Arial Narrow" w:cs="Arial Narrow"/>
                <w:bCs/>
                <w:sz w:val="20"/>
                <w:szCs w:val="20"/>
                <w:lang w:val="bg-BG" w:eastAsia="bg-BG"/>
              </w:rPr>
              <w:t>ха</w:t>
            </w:r>
          </w:p>
        </w:tc>
        <w:tc>
          <w:tcPr>
            <w:tcW w:w="1141" w:type="pct"/>
            <w:shd w:val="clear" w:color="auto" w:fill="auto"/>
            <w:vAlign w:val="center"/>
          </w:tcPr>
          <w:p w14:paraId="6B6A9B56" w14:textId="77777777" w:rsidR="00496E16" w:rsidRPr="00496E16" w:rsidRDefault="00496E16" w:rsidP="00496E16">
            <w:pPr>
              <w:widowControl w:val="0"/>
              <w:jc w:val="right"/>
              <w:rPr>
                <w:rFonts w:ascii="Arial Narrow" w:hAnsi="Arial Narrow" w:cs="Arial Narrow"/>
                <w:bCs/>
                <w:sz w:val="20"/>
                <w:szCs w:val="20"/>
                <w:lang w:val="bg-BG" w:eastAsia="bg-BG"/>
              </w:rPr>
            </w:pPr>
            <w:r w:rsidRPr="00496E16">
              <w:rPr>
                <w:rFonts w:ascii="Arial Narrow" w:hAnsi="Arial Narrow" w:cs="Arial Narrow"/>
                <w:bCs/>
                <w:sz w:val="20"/>
                <w:szCs w:val="20"/>
                <w:lang w:val="bg-BG" w:eastAsia="bg-BG"/>
              </w:rPr>
              <w:t>905,2</w:t>
            </w:r>
          </w:p>
        </w:tc>
      </w:tr>
      <w:tr w:rsidR="00496E16" w:rsidRPr="00496E16" w14:paraId="5EC26732" w14:textId="77777777" w:rsidTr="005E1F06">
        <w:trPr>
          <w:trHeight w:val="312"/>
        </w:trPr>
        <w:tc>
          <w:tcPr>
            <w:tcW w:w="291" w:type="pct"/>
            <w:shd w:val="clear" w:color="auto" w:fill="auto"/>
            <w:vAlign w:val="center"/>
          </w:tcPr>
          <w:p w14:paraId="77D93982" w14:textId="77777777" w:rsidR="00496E16" w:rsidRPr="00496E16" w:rsidRDefault="00496E16" w:rsidP="00496E16">
            <w:pPr>
              <w:widowControl w:val="0"/>
              <w:rPr>
                <w:rFonts w:ascii="Arial Narrow" w:hAnsi="Arial Narrow" w:cs="Arial Narrow"/>
                <w:bCs/>
                <w:sz w:val="20"/>
                <w:szCs w:val="20"/>
                <w:lang w:val="bg-BG" w:eastAsia="bg-BG"/>
              </w:rPr>
            </w:pPr>
          </w:p>
        </w:tc>
        <w:tc>
          <w:tcPr>
            <w:tcW w:w="2849" w:type="pct"/>
            <w:shd w:val="clear" w:color="auto" w:fill="auto"/>
            <w:vAlign w:val="center"/>
          </w:tcPr>
          <w:p w14:paraId="63802470" w14:textId="77777777" w:rsidR="00496E16" w:rsidRPr="00496E16" w:rsidRDefault="00496E16" w:rsidP="00496E16">
            <w:pPr>
              <w:widowControl w:val="0"/>
              <w:rPr>
                <w:rFonts w:ascii="Arial Narrow" w:hAnsi="Arial Narrow" w:cs="Arial Narrow"/>
                <w:bCs/>
                <w:sz w:val="20"/>
                <w:szCs w:val="20"/>
                <w:lang w:val="bg-BG" w:eastAsia="bg-BG"/>
              </w:rPr>
            </w:pPr>
            <w:r w:rsidRPr="00496E16">
              <w:rPr>
                <w:rFonts w:ascii="Arial Narrow" w:hAnsi="Arial Narrow" w:cs="Arial Narrow"/>
                <w:bCs/>
                <w:sz w:val="20"/>
                <w:szCs w:val="20"/>
                <w:lang w:val="bg-BG" w:eastAsia="bg-BG"/>
              </w:rPr>
              <w:t xml:space="preserve">  - общини</w:t>
            </w:r>
          </w:p>
        </w:tc>
        <w:tc>
          <w:tcPr>
            <w:tcW w:w="719" w:type="pct"/>
            <w:shd w:val="clear" w:color="auto" w:fill="auto"/>
            <w:vAlign w:val="center"/>
          </w:tcPr>
          <w:p w14:paraId="4602D266" w14:textId="77777777" w:rsidR="00496E16" w:rsidRPr="00496E16" w:rsidRDefault="00496E16" w:rsidP="00496E16">
            <w:pPr>
              <w:widowControl w:val="0"/>
              <w:jc w:val="center"/>
              <w:rPr>
                <w:rFonts w:ascii="Arial Narrow" w:hAnsi="Arial Narrow" w:cs="Arial Narrow"/>
                <w:bCs/>
                <w:sz w:val="20"/>
                <w:szCs w:val="20"/>
                <w:lang w:val="bg-BG" w:eastAsia="bg-BG"/>
              </w:rPr>
            </w:pPr>
            <w:r w:rsidRPr="00496E16">
              <w:rPr>
                <w:rFonts w:ascii="Arial Narrow" w:hAnsi="Arial Narrow" w:cs="Arial Narrow"/>
                <w:bCs/>
                <w:sz w:val="20"/>
                <w:szCs w:val="20"/>
                <w:lang w:val="bg-BG" w:eastAsia="bg-BG"/>
              </w:rPr>
              <w:t>ха</w:t>
            </w:r>
          </w:p>
        </w:tc>
        <w:tc>
          <w:tcPr>
            <w:tcW w:w="1141" w:type="pct"/>
            <w:shd w:val="clear" w:color="auto" w:fill="auto"/>
            <w:vAlign w:val="center"/>
          </w:tcPr>
          <w:p w14:paraId="754E7A9A" w14:textId="77777777" w:rsidR="00496E16" w:rsidRPr="00496E16" w:rsidRDefault="00496E16" w:rsidP="00496E16">
            <w:pPr>
              <w:widowControl w:val="0"/>
              <w:jc w:val="right"/>
              <w:rPr>
                <w:rFonts w:ascii="Arial Narrow" w:hAnsi="Arial Narrow" w:cs="Arial Narrow"/>
                <w:bCs/>
                <w:sz w:val="20"/>
                <w:szCs w:val="20"/>
                <w:lang w:val="bg-BG" w:eastAsia="bg-BG"/>
              </w:rPr>
            </w:pPr>
            <w:r w:rsidRPr="00496E16">
              <w:rPr>
                <w:rFonts w:ascii="Arial Narrow" w:hAnsi="Arial Narrow" w:cs="Arial Narrow"/>
                <w:bCs/>
                <w:sz w:val="20"/>
                <w:szCs w:val="20"/>
                <w:lang w:val="bg-BG" w:eastAsia="bg-BG"/>
              </w:rPr>
              <w:t>14,35</w:t>
            </w:r>
          </w:p>
        </w:tc>
      </w:tr>
      <w:tr w:rsidR="00496E16" w:rsidRPr="00496E16" w14:paraId="6A64EE3E" w14:textId="77777777" w:rsidTr="005E1F06">
        <w:trPr>
          <w:trHeight w:val="312"/>
        </w:trPr>
        <w:tc>
          <w:tcPr>
            <w:tcW w:w="291" w:type="pct"/>
            <w:shd w:val="clear" w:color="auto" w:fill="auto"/>
            <w:vAlign w:val="center"/>
          </w:tcPr>
          <w:p w14:paraId="62FDCFBD" w14:textId="77777777" w:rsidR="00496E16" w:rsidRPr="00496E16" w:rsidRDefault="00496E16" w:rsidP="00496E16">
            <w:pPr>
              <w:widowControl w:val="0"/>
              <w:rPr>
                <w:rFonts w:ascii="Arial Narrow" w:hAnsi="Arial Narrow" w:cs="Arial Narrow"/>
                <w:bCs/>
                <w:sz w:val="20"/>
                <w:szCs w:val="20"/>
                <w:lang w:val="bg-BG" w:eastAsia="bg-BG"/>
              </w:rPr>
            </w:pPr>
          </w:p>
        </w:tc>
        <w:tc>
          <w:tcPr>
            <w:tcW w:w="2849" w:type="pct"/>
            <w:shd w:val="clear" w:color="auto" w:fill="auto"/>
            <w:vAlign w:val="center"/>
          </w:tcPr>
          <w:p w14:paraId="3E17790D" w14:textId="77777777" w:rsidR="00496E16" w:rsidRPr="00496E16" w:rsidRDefault="00496E16" w:rsidP="00496E16">
            <w:pPr>
              <w:widowControl w:val="0"/>
              <w:rPr>
                <w:rFonts w:ascii="Arial Narrow" w:hAnsi="Arial Narrow" w:cs="Arial Narrow"/>
                <w:bCs/>
                <w:sz w:val="20"/>
                <w:szCs w:val="20"/>
                <w:lang w:val="bg-BG" w:eastAsia="bg-BG"/>
              </w:rPr>
            </w:pPr>
            <w:r w:rsidRPr="00496E16">
              <w:rPr>
                <w:rFonts w:ascii="Arial Narrow" w:hAnsi="Arial Narrow" w:cs="Arial Narrow"/>
                <w:bCs/>
                <w:sz w:val="20"/>
                <w:szCs w:val="20"/>
                <w:lang w:val="bg-BG" w:eastAsia="bg-BG"/>
              </w:rPr>
              <w:t xml:space="preserve">  - частни</w:t>
            </w:r>
          </w:p>
        </w:tc>
        <w:tc>
          <w:tcPr>
            <w:tcW w:w="719" w:type="pct"/>
            <w:shd w:val="clear" w:color="auto" w:fill="auto"/>
            <w:vAlign w:val="center"/>
          </w:tcPr>
          <w:p w14:paraId="258BB713" w14:textId="77777777" w:rsidR="00496E16" w:rsidRPr="00496E16" w:rsidRDefault="00496E16" w:rsidP="00496E16">
            <w:pPr>
              <w:widowControl w:val="0"/>
              <w:jc w:val="center"/>
              <w:rPr>
                <w:rFonts w:ascii="Arial Narrow" w:hAnsi="Arial Narrow" w:cs="Arial Narrow"/>
                <w:bCs/>
                <w:sz w:val="20"/>
                <w:szCs w:val="20"/>
                <w:lang w:val="bg-BG" w:eastAsia="bg-BG"/>
              </w:rPr>
            </w:pPr>
            <w:r w:rsidRPr="00496E16">
              <w:rPr>
                <w:rFonts w:ascii="Arial Narrow" w:hAnsi="Arial Narrow" w:cs="Arial Narrow"/>
                <w:bCs/>
                <w:sz w:val="20"/>
                <w:szCs w:val="20"/>
                <w:lang w:val="bg-BG" w:eastAsia="bg-BG"/>
              </w:rPr>
              <w:t>ха</w:t>
            </w:r>
          </w:p>
        </w:tc>
        <w:tc>
          <w:tcPr>
            <w:tcW w:w="1141" w:type="pct"/>
            <w:tcBorders>
              <w:bottom w:val="single" w:sz="4" w:space="0" w:color="auto"/>
            </w:tcBorders>
            <w:shd w:val="clear" w:color="auto" w:fill="auto"/>
            <w:vAlign w:val="center"/>
          </w:tcPr>
          <w:p w14:paraId="7BFB1516" w14:textId="77777777" w:rsidR="00496E16" w:rsidRPr="00496E16" w:rsidRDefault="00496E16" w:rsidP="00496E16">
            <w:pPr>
              <w:widowControl w:val="0"/>
              <w:jc w:val="right"/>
              <w:rPr>
                <w:rFonts w:ascii="Arial Narrow" w:hAnsi="Arial Narrow" w:cs="Arial Narrow"/>
                <w:bCs/>
                <w:sz w:val="20"/>
                <w:szCs w:val="20"/>
                <w:lang w:val="bg-BG" w:eastAsia="bg-BG"/>
              </w:rPr>
            </w:pPr>
            <w:r w:rsidRPr="00496E16">
              <w:rPr>
                <w:rFonts w:ascii="Arial Narrow" w:hAnsi="Arial Narrow" w:cs="Arial Narrow"/>
                <w:bCs/>
                <w:sz w:val="20"/>
                <w:szCs w:val="20"/>
                <w:lang w:val="bg-BG" w:eastAsia="bg-BG"/>
              </w:rPr>
              <w:t>4,3</w:t>
            </w:r>
          </w:p>
        </w:tc>
      </w:tr>
      <w:tr w:rsidR="00496E16" w:rsidRPr="00496E16" w14:paraId="6130C45A" w14:textId="77777777" w:rsidTr="005E1F06">
        <w:trPr>
          <w:trHeight w:val="312"/>
        </w:trPr>
        <w:tc>
          <w:tcPr>
            <w:tcW w:w="291" w:type="pct"/>
            <w:shd w:val="clear" w:color="auto" w:fill="auto"/>
            <w:vAlign w:val="center"/>
          </w:tcPr>
          <w:p w14:paraId="3D14A71A" w14:textId="77777777" w:rsidR="00496E16" w:rsidRPr="00496E16" w:rsidRDefault="00496E16" w:rsidP="00496E16">
            <w:pPr>
              <w:widowControl w:val="0"/>
              <w:rPr>
                <w:rFonts w:ascii="Arial Narrow" w:hAnsi="Arial Narrow" w:cs="Arial Narrow"/>
                <w:bCs/>
                <w:sz w:val="20"/>
                <w:szCs w:val="20"/>
                <w:lang w:val="bg-BG" w:eastAsia="bg-BG"/>
              </w:rPr>
            </w:pPr>
            <w:r w:rsidRPr="00496E16">
              <w:rPr>
                <w:rFonts w:ascii="Arial Narrow" w:hAnsi="Arial Narrow" w:cs="Arial Narrow"/>
                <w:bCs/>
                <w:sz w:val="20"/>
                <w:szCs w:val="20"/>
                <w:lang w:val="bg-BG" w:eastAsia="bg-BG"/>
              </w:rPr>
              <w:t>4.</w:t>
            </w:r>
          </w:p>
        </w:tc>
        <w:tc>
          <w:tcPr>
            <w:tcW w:w="2849" w:type="pct"/>
            <w:shd w:val="clear" w:color="auto" w:fill="auto"/>
            <w:vAlign w:val="center"/>
          </w:tcPr>
          <w:p w14:paraId="5C5B5D78" w14:textId="77777777" w:rsidR="00496E16" w:rsidRPr="00496E16" w:rsidRDefault="00496E16" w:rsidP="00496E16">
            <w:pPr>
              <w:widowControl w:val="0"/>
              <w:rPr>
                <w:rFonts w:ascii="Arial Narrow" w:hAnsi="Arial Narrow" w:cs="Arial Narrow"/>
                <w:bCs/>
                <w:sz w:val="20"/>
                <w:szCs w:val="20"/>
                <w:lang w:val="bg-BG" w:eastAsia="bg-BG"/>
              </w:rPr>
            </w:pPr>
            <w:r w:rsidRPr="00496E16">
              <w:rPr>
                <w:rFonts w:ascii="Arial Narrow" w:hAnsi="Arial Narrow" w:cs="Arial Narrow"/>
                <w:bCs/>
                <w:sz w:val="20"/>
                <w:szCs w:val="20"/>
                <w:lang w:val="bg-BG" w:eastAsia="bg-BG"/>
              </w:rPr>
              <w:t>Попълване на култури в държавни горски територии</w:t>
            </w:r>
          </w:p>
        </w:tc>
        <w:tc>
          <w:tcPr>
            <w:tcW w:w="719" w:type="pct"/>
            <w:shd w:val="clear" w:color="auto" w:fill="auto"/>
            <w:vAlign w:val="center"/>
          </w:tcPr>
          <w:p w14:paraId="381DBA4F" w14:textId="77777777" w:rsidR="00496E16" w:rsidRPr="00496E16" w:rsidRDefault="00496E16" w:rsidP="00496E16">
            <w:pPr>
              <w:widowControl w:val="0"/>
              <w:jc w:val="center"/>
              <w:rPr>
                <w:rFonts w:ascii="Arial Narrow" w:hAnsi="Arial Narrow" w:cs="Arial Narrow"/>
                <w:bCs/>
                <w:sz w:val="20"/>
                <w:szCs w:val="20"/>
                <w:lang w:val="bg-BG" w:eastAsia="bg-BG"/>
              </w:rPr>
            </w:pPr>
            <w:r w:rsidRPr="00496E16">
              <w:rPr>
                <w:rFonts w:ascii="Arial Narrow" w:hAnsi="Arial Narrow" w:cs="Arial Narrow"/>
                <w:bCs/>
                <w:sz w:val="20"/>
                <w:szCs w:val="20"/>
                <w:lang w:val="bg-BG" w:eastAsia="bg-BG"/>
              </w:rPr>
              <w:t>ха</w:t>
            </w:r>
          </w:p>
        </w:tc>
        <w:tc>
          <w:tcPr>
            <w:tcW w:w="1141" w:type="pct"/>
            <w:tcBorders>
              <w:right w:val="single" w:sz="4" w:space="0" w:color="auto"/>
            </w:tcBorders>
            <w:shd w:val="clear" w:color="auto" w:fill="auto"/>
            <w:vAlign w:val="center"/>
          </w:tcPr>
          <w:p w14:paraId="678129E2" w14:textId="77777777" w:rsidR="00496E16" w:rsidRPr="00496E16" w:rsidRDefault="00496E16" w:rsidP="00496E16">
            <w:pPr>
              <w:widowControl w:val="0"/>
              <w:jc w:val="right"/>
              <w:rPr>
                <w:rFonts w:ascii="Arial Narrow" w:hAnsi="Arial Narrow" w:cs="Arial Narrow"/>
                <w:bCs/>
                <w:sz w:val="20"/>
                <w:szCs w:val="20"/>
                <w:lang w:val="bg-BG" w:eastAsia="bg-BG"/>
              </w:rPr>
            </w:pPr>
            <w:r w:rsidRPr="00496E16">
              <w:rPr>
                <w:rFonts w:ascii="Arial Narrow" w:hAnsi="Arial Narrow" w:cs="Arial Narrow"/>
                <w:bCs/>
                <w:sz w:val="20"/>
                <w:szCs w:val="20"/>
                <w:lang w:val="bg-BG" w:eastAsia="bg-BG"/>
              </w:rPr>
              <w:t>703,7</w:t>
            </w:r>
          </w:p>
        </w:tc>
      </w:tr>
      <w:tr w:rsidR="00496E16" w:rsidRPr="00496E16" w14:paraId="2989B4E8" w14:textId="77777777" w:rsidTr="005E1F06">
        <w:trPr>
          <w:trHeight w:val="312"/>
        </w:trPr>
        <w:tc>
          <w:tcPr>
            <w:tcW w:w="291" w:type="pct"/>
            <w:shd w:val="clear" w:color="auto" w:fill="auto"/>
            <w:vAlign w:val="center"/>
          </w:tcPr>
          <w:p w14:paraId="26E99733" w14:textId="77777777" w:rsidR="00496E16" w:rsidRPr="00496E16" w:rsidRDefault="00496E16" w:rsidP="00496E16">
            <w:pPr>
              <w:widowControl w:val="0"/>
              <w:rPr>
                <w:rFonts w:ascii="Arial Narrow" w:hAnsi="Arial Narrow" w:cs="Arial Narrow"/>
                <w:bCs/>
                <w:sz w:val="20"/>
                <w:szCs w:val="20"/>
                <w:lang w:val="bg-BG" w:eastAsia="bg-BG"/>
              </w:rPr>
            </w:pPr>
            <w:r w:rsidRPr="00496E16">
              <w:rPr>
                <w:rFonts w:ascii="Arial Narrow" w:hAnsi="Arial Narrow" w:cs="Arial Narrow"/>
                <w:bCs/>
                <w:sz w:val="20"/>
                <w:szCs w:val="20"/>
                <w:lang w:val="bg-BG" w:eastAsia="bg-BG"/>
              </w:rPr>
              <w:t>5.</w:t>
            </w:r>
          </w:p>
        </w:tc>
        <w:tc>
          <w:tcPr>
            <w:tcW w:w="2849" w:type="pct"/>
            <w:shd w:val="clear" w:color="auto" w:fill="auto"/>
            <w:vAlign w:val="center"/>
          </w:tcPr>
          <w:p w14:paraId="6A5A4595" w14:textId="77777777" w:rsidR="00496E16" w:rsidRPr="00496E16" w:rsidRDefault="00496E16" w:rsidP="00496E16">
            <w:pPr>
              <w:widowControl w:val="0"/>
              <w:rPr>
                <w:rFonts w:ascii="Arial Narrow" w:hAnsi="Arial Narrow" w:cs="Arial Narrow"/>
                <w:bCs/>
                <w:sz w:val="20"/>
                <w:szCs w:val="20"/>
                <w:lang w:val="bg-BG" w:eastAsia="bg-BG"/>
              </w:rPr>
            </w:pPr>
            <w:r w:rsidRPr="00496E16">
              <w:rPr>
                <w:rFonts w:ascii="Arial Narrow" w:hAnsi="Arial Narrow" w:cs="Arial Narrow"/>
                <w:bCs/>
                <w:sz w:val="20"/>
                <w:szCs w:val="20"/>
                <w:lang w:val="bg-BG" w:eastAsia="bg-BG"/>
              </w:rPr>
              <w:t>Отглеждане на култури в държавни горски територии</w:t>
            </w:r>
          </w:p>
        </w:tc>
        <w:tc>
          <w:tcPr>
            <w:tcW w:w="719" w:type="pct"/>
            <w:shd w:val="clear" w:color="auto" w:fill="auto"/>
            <w:vAlign w:val="center"/>
          </w:tcPr>
          <w:p w14:paraId="242C5EF7" w14:textId="77777777" w:rsidR="00496E16" w:rsidRPr="00496E16" w:rsidRDefault="00496E16" w:rsidP="00496E16">
            <w:pPr>
              <w:widowControl w:val="0"/>
              <w:jc w:val="center"/>
              <w:rPr>
                <w:rFonts w:ascii="Arial Narrow" w:hAnsi="Arial Narrow" w:cs="Arial Narrow"/>
                <w:bCs/>
                <w:sz w:val="20"/>
                <w:szCs w:val="20"/>
                <w:lang w:val="bg-BG" w:eastAsia="bg-BG"/>
              </w:rPr>
            </w:pPr>
            <w:r w:rsidRPr="00496E16">
              <w:rPr>
                <w:rFonts w:ascii="Arial Narrow" w:hAnsi="Arial Narrow" w:cs="Arial Narrow"/>
                <w:bCs/>
                <w:sz w:val="20"/>
                <w:szCs w:val="20"/>
                <w:lang w:val="bg-BG" w:eastAsia="bg-BG"/>
              </w:rPr>
              <w:t>ха</w:t>
            </w:r>
          </w:p>
        </w:tc>
        <w:tc>
          <w:tcPr>
            <w:tcW w:w="1141" w:type="pct"/>
            <w:tcBorders>
              <w:right w:val="single" w:sz="4" w:space="0" w:color="auto"/>
            </w:tcBorders>
            <w:shd w:val="clear" w:color="auto" w:fill="auto"/>
            <w:vAlign w:val="center"/>
          </w:tcPr>
          <w:p w14:paraId="5543EA8B" w14:textId="77777777" w:rsidR="00496E16" w:rsidRPr="00496E16" w:rsidRDefault="00496E16" w:rsidP="00496E16">
            <w:pPr>
              <w:widowControl w:val="0"/>
              <w:jc w:val="right"/>
              <w:rPr>
                <w:rFonts w:ascii="Arial Narrow" w:hAnsi="Arial Narrow" w:cs="Arial Narrow"/>
                <w:bCs/>
                <w:sz w:val="20"/>
                <w:szCs w:val="20"/>
                <w:lang w:val="bg-BG" w:eastAsia="bg-BG"/>
              </w:rPr>
            </w:pPr>
            <w:r w:rsidRPr="00496E16">
              <w:rPr>
                <w:rFonts w:ascii="Arial Narrow" w:hAnsi="Arial Narrow" w:cs="Arial Narrow"/>
                <w:bCs/>
                <w:sz w:val="20"/>
                <w:szCs w:val="20"/>
                <w:lang w:val="bg-BG" w:eastAsia="bg-BG"/>
              </w:rPr>
              <w:t>9 823,9</w:t>
            </w:r>
          </w:p>
        </w:tc>
      </w:tr>
      <w:tr w:rsidR="00496E16" w:rsidRPr="00496E16" w14:paraId="60254DEA" w14:textId="77777777" w:rsidTr="005E1F06">
        <w:trPr>
          <w:trHeight w:val="312"/>
        </w:trPr>
        <w:tc>
          <w:tcPr>
            <w:tcW w:w="291" w:type="pct"/>
            <w:vMerge w:val="restart"/>
            <w:shd w:val="clear" w:color="auto" w:fill="auto"/>
          </w:tcPr>
          <w:p w14:paraId="22EDFD07" w14:textId="77777777" w:rsidR="00496E16" w:rsidRPr="00496E16" w:rsidRDefault="00496E16" w:rsidP="00496E16">
            <w:pPr>
              <w:widowControl w:val="0"/>
              <w:spacing w:before="120"/>
              <w:rPr>
                <w:rFonts w:ascii="Arial Narrow" w:hAnsi="Arial Narrow" w:cs="Arial Narrow"/>
                <w:bCs/>
                <w:sz w:val="20"/>
                <w:szCs w:val="20"/>
                <w:lang w:val="bg-BG" w:eastAsia="bg-BG"/>
              </w:rPr>
            </w:pPr>
            <w:r w:rsidRPr="00496E16">
              <w:rPr>
                <w:rFonts w:ascii="Arial Narrow" w:hAnsi="Arial Narrow" w:cs="Arial Narrow"/>
                <w:bCs/>
                <w:sz w:val="20"/>
                <w:szCs w:val="20"/>
                <w:lang w:val="bg-BG" w:eastAsia="bg-BG"/>
              </w:rPr>
              <w:t>6.</w:t>
            </w:r>
          </w:p>
        </w:tc>
        <w:tc>
          <w:tcPr>
            <w:tcW w:w="2849" w:type="pct"/>
            <w:shd w:val="clear" w:color="auto" w:fill="auto"/>
            <w:vAlign w:val="center"/>
          </w:tcPr>
          <w:p w14:paraId="1F10B9BB" w14:textId="77777777" w:rsidR="00496E16" w:rsidRPr="00496E16" w:rsidRDefault="00496E16" w:rsidP="00496E16">
            <w:pPr>
              <w:widowControl w:val="0"/>
              <w:rPr>
                <w:rFonts w:ascii="Arial Narrow" w:hAnsi="Arial Narrow" w:cs="Arial Narrow"/>
                <w:bCs/>
                <w:sz w:val="20"/>
                <w:szCs w:val="20"/>
                <w:lang w:val="bg-BG" w:eastAsia="bg-BG"/>
              </w:rPr>
            </w:pPr>
            <w:r w:rsidRPr="00496E16">
              <w:rPr>
                <w:rFonts w:ascii="Arial Narrow" w:hAnsi="Arial Narrow" w:cs="Arial Narrow"/>
                <w:bCs/>
                <w:sz w:val="20"/>
                <w:szCs w:val="20"/>
                <w:lang w:val="bg-BG" w:eastAsia="bg-BG"/>
              </w:rPr>
              <w:t>Среден процент на прихващане на културите</w:t>
            </w:r>
          </w:p>
        </w:tc>
        <w:tc>
          <w:tcPr>
            <w:tcW w:w="719" w:type="pct"/>
            <w:shd w:val="clear" w:color="auto" w:fill="auto"/>
            <w:vAlign w:val="center"/>
          </w:tcPr>
          <w:p w14:paraId="5FB1F9A6" w14:textId="77777777" w:rsidR="00496E16" w:rsidRPr="00496E16" w:rsidRDefault="00496E16" w:rsidP="00496E16">
            <w:pPr>
              <w:widowControl w:val="0"/>
              <w:jc w:val="center"/>
              <w:rPr>
                <w:rFonts w:ascii="Arial Narrow" w:hAnsi="Arial Narrow" w:cs="Arial Narrow"/>
                <w:bCs/>
                <w:sz w:val="20"/>
                <w:szCs w:val="20"/>
                <w:lang w:val="bg-BG" w:eastAsia="bg-BG"/>
              </w:rPr>
            </w:pPr>
          </w:p>
        </w:tc>
        <w:tc>
          <w:tcPr>
            <w:tcW w:w="1141" w:type="pct"/>
            <w:shd w:val="clear" w:color="auto" w:fill="auto"/>
            <w:vAlign w:val="center"/>
          </w:tcPr>
          <w:p w14:paraId="49C3306B" w14:textId="77777777" w:rsidR="00496E16" w:rsidRPr="00496E16" w:rsidRDefault="00496E16" w:rsidP="00496E16">
            <w:pPr>
              <w:widowControl w:val="0"/>
              <w:jc w:val="right"/>
              <w:rPr>
                <w:rFonts w:ascii="Arial Narrow" w:hAnsi="Arial Narrow" w:cs="Arial Narrow"/>
                <w:bCs/>
                <w:sz w:val="20"/>
                <w:szCs w:val="20"/>
                <w:lang w:val="bg-BG" w:eastAsia="bg-BG"/>
              </w:rPr>
            </w:pPr>
          </w:p>
        </w:tc>
      </w:tr>
      <w:tr w:rsidR="00496E16" w:rsidRPr="00496E16" w14:paraId="1CCA757D" w14:textId="77777777" w:rsidTr="005E1F06">
        <w:trPr>
          <w:trHeight w:val="312"/>
        </w:trPr>
        <w:tc>
          <w:tcPr>
            <w:tcW w:w="291" w:type="pct"/>
            <w:vMerge/>
            <w:shd w:val="clear" w:color="auto" w:fill="auto"/>
            <w:vAlign w:val="center"/>
          </w:tcPr>
          <w:p w14:paraId="122AEA12" w14:textId="77777777" w:rsidR="00496E16" w:rsidRPr="00496E16" w:rsidRDefault="00496E16" w:rsidP="00496E16">
            <w:pPr>
              <w:widowControl w:val="0"/>
              <w:rPr>
                <w:rFonts w:ascii="Arial Narrow" w:hAnsi="Arial Narrow" w:cs="Arial Narrow"/>
                <w:bCs/>
                <w:sz w:val="20"/>
                <w:szCs w:val="20"/>
                <w:lang w:val="bg-BG" w:eastAsia="bg-BG"/>
              </w:rPr>
            </w:pPr>
          </w:p>
        </w:tc>
        <w:tc>
          <w:tcPr>
            <w:tcW w:w="2849" w:type="pct"/>
            <w:shd w:val="clear" w:color="auto" w:fill="auto"/>
            <w:vAlign w:val="center"/>
          </w:tcPr>
          <w:p w14:paraId="136262C6" w14:textId="77777777" w:rsidR="00496E16" w:rsidRPr="00496E16" w:rsidRDefault="00496E16" w:rsidP="00496E16">
            <w:pPr>
              <w:widowControl w:val="0"/>
              <w:rPr>
                <w:rFonts w:ascii="Arial Narrow" w:hAnsi="Arial Narrow" w:cs="Arial Narrow"/>
                <w:bCs/>
                <w:sz w:val="20"/>
                <w:szCs w:val="20"/>
                <w:lang w:val="bg-BG" w:eastAsia="bg-BG"/>
              </w:rPr>
            </w:pPr>
            <w:r w:rsidRPr="00496E16">
              <w:rPr>
                <w:rFonts w:ascii="Arial Narrow" w:hAnsi="Arial Narrow" w:cs="Arial Narrow"/>
                <w:bCs/>
                <w:sz w:val="20"/>
                <w:szCs w:val="20"/>
                <w:lang w:val="bg-BG" w:eastAsia="bg-BG"/>
              </w:rPr>
              <w:t>а) държавна собственост</w:t>
            </w:r>
          </w:p>
        </w:tc>
        <w:tc>
          <w:tcPr>
            <w:tcW w:w="719" w:type="pct"/>
            <w:shd w:val="clear" w:color="auto" w:fill="auto"/>
            <w:vAlign w:val="center"/>
          </w:tcPr>
          <w:p w14:paraId="4073FC2E" w14:textId="77777777" w:rsidR="00496E16" w:rsidRPr="00496E16" w:rsidRDefault="00496E16" w:rsidP="00496E16">
            <w:pPr>
              <w:widowControl w:val="0"/>
              <w:jc w:val="center"/>
              <w:rPr>
                <w:rFonts w:ascii="Arial Narrow" w:hAnsi="Arial Narrow" w:cs="Arial Narrow"/>
                <w:bCs/>
                <w:sz w:val="20"/>
                <w:szCs w:val="20"/>
                <w:lang w:val="bg-BG" w:eastAsia="bg-BG"/>
              </w:rPr>
            </w:pPr>
          </w:p>
        </w:tc>
        <w:tc>
          <w:tcPr>
            <w:tcW w:w="1141" w:type="pct"/>
            <w:tcBorders>
              <w:bottom w:val="single" w:sz="4" w:space="0" w:color="auto"/>
            </w:tcBorders>
            <w:shd w:val="clear" w:color="auto" w:fill="auto"/>
            <w:vAlign w:val="center"/>
          </w:tcPr>
          <w:p w14:paraId="3C9E37AB" w14:textId="77777777" w:rsidR="00496E16" w:rsidRPr="00496E16" w:rsidRDefault="00496E16" w:rsidP="00496E16">
            <w:pPr>
              <w:widowControl w:val="0"/>
              <w:jc w:val="right"/>
              <w:rPr>
                <w:rFonts w:ascii="Arial Narrow" w:hAnsi="Arial Narrow" w:cs="Arial Narrow"/>
                <w:bCs/>
                <w:sz w:val="20"/>
                <w:szCs w:val="20"/>
                <w:lang w:val="bg-BG" w:eastAsia="bg-BG"/>
              </w:rPr>
            </w:pPr>
          </w:p>
        </w:tc>
      </w:tr>
      <w:tr w:rsidR="00496E16" w:rsidRPr="00496E16" w14:paraId="22B198F7" w14:textId="77777777" w:rsidTr="005E1F06">
        <w:trPr>
          <w:trHeight w:val="312"/>
        </w:trPr>
        <w:tc>
          <w:tcPr>
            <w:tcW w:w="291" w:type="pct"/>
            <w:vMerge/>
            <w:shd w:val="clear" w:color="auto" w:fill="auto"/>
            <w:vAlign w:val="center"/>
          </w:tcPr>
          <w:p w14:paraId="1E09F223" w14:textId="77777777" w:rsidR="00496E16" w:rsidRPr="00496E16" w:rsidRDefault="00496E16" w:rsidP="00496E16">
            <w:pPr>
              <w:widowControl w:val="0"/>
              <w:rPr>
                <w:rFonts w:ascii="Arial Narrow" w:hAnsi="Arial Narrow" w:cs="Arial Narrow"/>
                <w:bCs/>
                <w:sz w:val="20"/>
                <w:szCs w:val="20"/>
                <w:lang w:val="bg-BG" w:eastAsia="bg-BG"/>
              </w:rPr>
            </w:pPr>
          </w:p>
        </w:tc>
        <w:tc>
          <w:tcPr>
            <w:tcW w:w="2849" w:type="pct"/>
            <w:shd w:val="clear" w:color="auto" w:fill="auto"/>
            <w:vAlign w:val="center"/>
          </w:tcPr>
          <w:p w14:paraId="7E9AE541" w14:textId="77777777" w:rsidR="00496E16" w:rsidRPr="00496E16" w:rsidRDefault="00496E16" w:rsidP="00496E16">
            <w:pPr>
              <w:widowControl w:val="0"/>
              <w:rPr>
                <w:rFonts w:ascii="Arial Narrow" w:hAnsi="Arial Narrow" w:cs="Arial Narrow"/>
                <w:bCs/>
                <w:sz w:val="20"/>
                <w:szCs w:val="20"/>
                <w:lang w:val="bg-BG" w:eastAsia="bg-BG"/>
              </w:rPr>
            </w:pPr>
            <w:r w:rsidRPr="00496E16">
              <w:rPr>
                <w:rFonts w:ascii="Arial Narrow" w:hAnsi="Arial Narrow" w:cs="Arial Narrow"/>
                <w:bCs/>
                <w:sz w:val="20"/>
                <w:szCs w:val="20"/>
                <w:lang w:val="bg-BG" w:eastAsia="bg-BG"/>
              </w:rPr>
              <w:t xml:space="preserve">    - едногодишни</w:t>
            </w:r>
          </w:p>
        </w:tc>
        <w:tc>
          <w:tcPr>
            <w:tcW w:w="719" w:type="pct"/>
            <w:shd w:val="clear" w:color="auto" w:fill="auto"/>
            <w:vAlign w:val="center"/>
          </w:tcPr>
          <w:p w14:paraId="1759E5D4" w14:textId="77777777" w:rsidR="00496E16" w:rsidRPr="00496E16" w:rsidRDefault="00496E16" w:rsidP="00496E16">
            <w:pPr>
              <w:widowControl w:val="0"/>
              <w:jc w:val="center"/>
              <w:rPr>
                <w:rFonts w:ascii="Arial Narrow" w:hAnsi="Arial Narrow" w:cs="Arial Narrow"/>
                <w:bCs/>
                <w:sz w:val="20"/>
                <w:szCs w:val="20"/>
                <w:lang w:val="bg-BG" w:eastAsia="bg-BG"/>
              </w:rPr>
            </w:pPr>
            <w:r w:rsidRPr="00496E16">
              <w:rPr>
                <w:rFonts w:ascii="Arial Narrow" w:hAnsi="Arial Narrow" w:cs="Arial Narrow"/>
                <w:bCs/>
                <w:sz w:val="20"/>
                <w:szCs w:val="20"/>
                <w:lang w:val="bg-BG" w:eastAsia="bg-BG"/>
              </w:rPr>
              <w:t>%</w:t>
            </w:r>
          </w:p>
        </w:tc>
        <w:tc>
          <w:tcPr>
            <w:tcW w:w="1141" w:type="pct"/>
            <w:tcBorders>
              <w:right w:val="single" w:sz="4" w:space="0" w:color="auto"/>
            </w:tcBorders>
            <w:shd w:val="clear" w:color="auto" w:fill="auto"/>
            <w:vAlign w:val="center"/>
          </w:tcPr>
          <w:p w14:paraId="6ED2A930" w14:textId="77777777" w:rsidR="00496E16" w:rsidRPr="00496E16" w:rsidRDefault="00496E16" w:rsidP="00496E16">
            <w:pPr>
              <w:widowControl w:val="0"/>
              <w:jc w:val="right"/>
              <w:rPr>
                <w:rFonts w:ascii="Arial Narrow" w:hAnsi="Arial Narrow" w:cs="Arial Narrow"/>
                <w:bCs/>
                <w:sz w:val="20"/>
                <w:szCs w:val="20"/>
                <w:lang w:val="bg-BG" w:eastAsia="bg-BG"/>
              </w:rPr>
            </w:pPr>
            <w:r w:rsidRPr="00496E16">
              <w:rPr>
                <w:rFonts w:ascii="Arial Narrow" w:hAnsi="Arial Narrow" w:cs="Arial Narrow"/>
                <w:bCs/>
                <w:sz w:val="20"/>
                <w:szCs w:val="20"/>
                <w:lang w:val="bg-BG" w:eastAsia="bg-BG"/>
              </w:rPr>
              <w:t>55,12</w:t>
            </w:r>
          </w:p>
        </w:tc>
      </w:tr>
      <w:tr w:rsidR="00496E16" w:rsidRPr="00496E16" w14:paraId="3F80A3AC" w14:textId="77777777" w:rsidTr="005E1F06">
        <w:trPr>
          <w:trHeight w:val="312"/>
        </w:trPr>
        <w:tc>
          <w:tcPr>
            <w:tcW w:w="291" w:type="pct"/>
            <w:vMerge/>
            <w:shd w:val="clear" w:color="auto" w:fill="auto"/>
          </w:tcPr>
          <w:p w14:paraId="1245FF65" w14:textId="77777777" w:rsidR="00496E16" w:rsidRPr="00496E16" w:rsidRDefault="00496E16" w:rsidP="00496E16">
            <w:pPr>
              <w:widowControl w:val="0"/>
              <w:jc w:val="center"/>
              <w:rPr>
                <w:rFonts w:ascii="Arial Narrow" w:hAnsi="Arial Narrow" w:cs="Arial Narrow"/>
                <w:bCs/>
                <w:sz w:val="20"/>
                <w:szCs w:val="20"/>
                <w:lang w:val="bg-BG" w:eastAsia="bg-BG"/>
              </w:rPr>
            </w:pPr>
          </w:p>
        </w:tc>
        <w:tc>
          <w:tcPr>
            <w:tcW w:w="2849" w:type="pct"/>
            <w:shd w:val="clear" w:color="auto" w:fill="auto"/>
            <w:vAlign w:val="center"/>
          </w:tcPr>
          <w:p w14:paraId="226379FE" w14:textId="77777777" w:rsidR="00496E16" w:rsidRPr="00496E16" w:rsidRDefault="00496E16" w:rsidP="00496E16">
            <w:pPr>
              <w:widowControl w:val="0"/>
              <w:rPr>
                <w:rFonts w:ascii="Arial Narrow" w:hAnsi="Arial Narrow" w:cs="Arial Narrow"/>
                <w:bCs/>
                <w:sz w:val="20"/>
                <w:szCs w:val="20"/>
                <w:lang w:val="bg-BG" w:eastAsia="bg-BG"/>
              </w:rPr>
            </w:pPr>
            <w:r w:rsidRPr="00496E16">
              <w:rPr>
                <w:rFonts w:ascii="Arial Narrow" w:hAnsi="Arial Narrow" w:cs="Arial Narrow"/>
                <w:bCs/>
                <w:sz w:val="20"/>
                <w:szCs w:val="20"/>
                <w:lang w:val="bg-BG" w:eastAsia="bg-BG"/>
              </w:rPr>
              <w:t xml:space="preserve">    - двегодишни</w:t>
            </w:r>
          </w:p>
        </w:tc>
        <w:tc>
          <w:tcPr>
            <w:tcW w:w="719" w:type="pct"/>
            <w:shd w:val="clear" w:color="auto" w:fill="auto"/>
            <w:vAlign w:val="center"/>
          </w:tcPr>
          <w:p w14:paraId="5D4BD6DE" w14:textId="77777777" w:rsidR="00496E16" w:rsidRPr="00496E16" w:rsidRDefault="00496E16" w:rsidP="00496E16">
            <w:pPr>
              <w:widowControl w:val="0"/>
              <w:jc w:val="center"/>
              <w:rPr>
                <w:rFonts w:ascii="Arial Narrow" w:hAnsi="Arial Narrow" w:cs="Arial Narrow"/>
                <w:bCs/>
                <w:sz w:val="20"/>
                <w:szCs w:val="20"/>
                <w:lang w:val="bg-BG" w:eastAsia="bg-BG"/>
              </w:rPr>
            </w:pPr>
            <w:r w:rsidRPr="00496E16">
              <w:rPr>
                <w:rFonts w:ascii="Arial Narrow" w:hAnsi="Arial Narrow" w:cs="Arial Narrow"/>
                <w:bCs/>
                <w:sz w:val="20"/>
                <w:szCs w:val="20"/>
                <w:lang w:val="bg-BG" w:eastAsia="bg-BG"/>
              </w:rPr>
              <w:t>%</w:t>
            </w:r>
          </w:p>
        </w:tc>
        <w:tc>
          <w:tcPr>
            <w:tcW w:w="1141" w:type="pct"/>
            <w:tcBorders>
              <w:right w:val="single" w:sz="4" w:space="0" w:color="auto"/>
            </w:tcBorders>
            <w:shd w:val="clear" w:color="auto" w:fill="auto"/>
            <w:vAlign w:val="center"/>
          </w:tcPr>
          <w:p w14:paraId="417EFB6F" w14:textId="77777777" w:rsidR="00496E16" w:rsidRPr="00496E16" w:rsidRDefault="00496E16" w:rsidP="00496E16">
            <w:pPr>
              <w:widowControl w:val="0"/>
              <w:jc w:val="right"/>
              <w:rPr>
                <w:rFonts w:ascii="Arial Narrow" w:hAnsi="Arial Narrow" w:cs="Arial Narrow"/>
                <w:bCs/>
                <w:sz w:val="20"/>
                <w:szCs w:val="20"/>
                <w:lang w:val="bg-BG" w:eastAsia="bg-BG"/>
              </w:rPr>
            </w:pPr>
            <w:r w:rsidRPr="00496E16">
              <w:rPr>
                <w:rFonts w:ascii="Arial Narrow" w:hAnsi="Arial Narrow" w:cs="Arial Narrow"/>
                <w:bCs/>
                <w:sz w:val="20"/>
                <w:szCs w:val="20"/>
                <w:lang w:val="bg-BG" w:eastAsia="bg-BG"/>
              </w:rPr>
              <w:t>58,33</w:t>
            </w:r>
          </w:p>
        </w:tc>
      </w:tr>
      <w:tr w:rsidR="00496E16" w:rsidRPr="00496E16" w14:paraId="5DC7203E" w14:textId="77777777" w:rsidTr="005E1F06">
        <w:trPr>
          <w:trHeight w:val="312"/>
        </w:trPr>
        <w:tc>
          <w:tcPr>
            <w:tcW w:w="291" w:type="pct"/>
            <w:vMerge/>
            <w:shd w:val="clear" w:color="auto" w:fill="auto"/>
          </w:tcPr>
          <w:p w14:paraId="4513C8DD" w14:textId="77777777" w:rsidR="00496E16" w:rsidRPr="00496E16" w:rsidRDefault="00496E16" w:rsidP="00496E16">
            <w:pPr>
              <w:widowControl w:val="0"/>
              <w:jc w:val="center"/>
              <w:rPr>
                <w:rFonts w:ascii="Arial Narrow" w:hAnsi="Arial Narrow" w:cs="Arial Narrow"/>
                <w:bCs/>
                <w:sz w:val="20"/>
                <w:szCs w:val="20"/>
                <w:lang w:val="bg-BG" w:eastAsia="bg-BG"/>
              </w:rPr>
            </w:pPr>
          </w:p>
        </w:tc>
        <w:tc>
          <w:tcPr>
            <w:tcW w:w="2849" w:type="pct"/>
            <w:shd w:val="clear" w:color="auto" w:fill="auto"/>
            <w:vAlign w:val="center"/>
          </w:tcPr>
          <w:p w14:paraId="230D95C9" w14:textId="77777777" w:rsidR="00496E16" w:rsidRPr="00496E16" w:rsidRDefault="00496E16" w:rsidP="00496E16">
            <w:pPr>
              <w:widowControl w:val="0"/>
              <w:rPr>
                <w:rFonts w:ascii="Arial Narrow" w:hAnsi="Arial Narrow" w:cs="Arial Narrow"/>
                <w:bCs/>
                <w:sz w:val="20"/>
                <w:szCs w:val="20"/>
                <w:lang w:val="bg-BG" w:eastAsia="bg-BG"/>
              </w:rPr>
            </w:pPr>
            <w:r w:rsidRPr="00496E16">
              <w:rPr>
                <w:rFonts w:ascii="Arial Narrow" w:hAnsi="Arial Narrow" w:cs="Arial Narrow"/>
                <w:bCs/>
                <w:sz w:val="20"/>
                <w:szCs w:val="20"/>
                <w:lang w:val="bg-BG" w:eastAsia="bg-BG"/>
              </w:rPr>
              <w:t xml:space="preserve">    - тригодишни</w:t>
            </w:r>
          </w:p>
        </w:tc>
        <w:tc>
          <w:tcPr>
            <w:tcW w:w="719" w:type="pct"/>
            <w:shd w:val="clear" w:color="auto" w:fill="auto"/>
            <w:vAlign w:val="center"/>
          </w:tcPr>
          <w:p w14:paraId="5B380F24" w14:textId="77777777" w:rsidR="00496E16" w:rsidRPr="00496E16" w:rsidRDefault="00496E16" w:rsidP="00496E16">
            <w:pPr>
              <w:widowControl w:val="0"/>
              <w:jc w:val="center"/>
              <w:rPr>
                <w:rFonts w:ascii="Arial Narrow" w:hAnsi="Arial Narrow" w:cs="Arial Narrow"/>
                <w:bCs/>
                <w:sz w:val="20"/>
                <w:szCs w:val="20"/>
                <w:lang w:val="bg-BG" w:eastAsia="bg-BG"/>
              </w:rPr>
            </w:pPr>
            <w:r w:rsidRPr="00496E16">
              <w:rPr>
                <w:rFonts w:ascii="Arial Narrow" w:hAnsi="Arial Narrow" w:cs="Arial Narrow"/>
                <w:bCs/>
                <w:sz w:val="20"/>
                <w:szCs w:val="20"/>
                <w:lang w:val="bg-BG" w:eastAsia="bg-BG"/>
              </w:rPr>
              <w:t>%</w:t>
            </w:r>
          </w:p>
        </w:tc>
        <w:tc>
          <w:tcPr>
            <w:tcW w:w="1141" w:type="pct"/>
            <w:tcBorders>
              <w:right w:val="single" w:sz="4" w:space="0" w:color="auto"/>
            </w:tcBorders>
            <w:shd w:val="clear" w:color="auto" w:fill="auto"/>
            <w:vAlign w:val="center"/>
          </w:tcPr>
          <w:p w14:paraId="10A9D117" w14:textId="77777777" w:rsidR="00496E16" w:rsidRPr="00496E16" w:rsidRDefault="00496E16" w:rsidP="00496E16">
            <w:pPr>
              <w:widowControl w:val="0"/>
              <w:jc w:val="right"/>
              <w:rPr>
                <w:rFonts w:ascii="Arial Narrow" w:hAnsi="Arial Narrow" w:cs="Arial Narrow"/>
                <w:bCs/>
                <w:sz w:val="20"/>
                <w:szCs w:val="20"/>
                <w:lang w:val="bg-BG" w:eastAsia="bg-BG"/>
              </w:rPr>
            </w:pPr>
            <w:r w:rsidRPr="00496E16">
              <w:rPr>
                <w:rFonts w:ascii="Arial Narrow" w:hAnsi="Arial Narrow" w:cs="Arial Narrow"/>
                <w:bCs/>
                <w:sz w:val="20"/>
                <w:szCs w:val="20"/>
                <w:lang w:val="bg-BG" w:eastAsia="bg-BG"/>
              </w:rPr>
              <w:t>63,16</w:t>
            </w:r>
          </w:p>
        </w:tc>
      </w:tr>
      <w:tr w:rsidR="00496E16" w:rsidRPr="00496E16" w14:paraId="61C39873" w14:textId="77777777" w:rsidTr="005E1F06">
        <w:trPr>
          <w:trHeight w:val="312"/>
        </w:trPr>
        <w:tc>
          <w:tcPr>
            <w:tcW w:w="291" w:type="pct"/>
            <w:vMerge/>
            <w:shd w:val="clear" w:color="auto" w:fill="auto"/>
          </w:tcPr>
          <w:p w14:paraId="3B2CCFE7" w14:textId="77777777" w:rsidR="00496E16" w:rsidRPr="00496E16" w:rsidRDefault="00496E16" w:rsidP="00496E16">
            <w:pPr>
              <w:widowControl w:val="0"/>
              <w:jc w:val="center"/>
              <w:rPr>
                <w:rFonts w:ascii="Arial Narrow" w:hAnsi="Arial Narrow" w:cs="Arial Narrow"/>
                <w:bCs/>
                <w:sz w:val="20"/>
                <w:szCs w:val="20"/>
                <w:lang w:val="bg-BG" w:eastAsia="bg-BG"/>
              </w:rPr>
            </w:pPr>
          </w:p>
        </w:tc>
        <w:tc>
          <w:tcPr>
            <w:tcW w:w="2849" w:type="pct"/>
            <w:shd w:val="clear" w:color="auto" w:fill="auto"/>
            <w:vAlign w:val="center"/>
          </w:tcPr>
          <w:p w14:paraId="4130A18B" w14:textId="77777777" w:rsidR="00496E16" w:rsidRPr="00496E16" w:rsidRDefault="00496E16" w:rsidP="00496E16">
            <w:pPr>
              <w:widowControl w:val="0"/>
              <w:rPr>
                <w:rFonts w:ascii="Arial Narrow" w:hAnsi="Arial Narrow" w:cs="Arial Narrow"/>
                <w:bCs/>
                <w:sz w:val="20"/>
                <w:szCs w:val="20"/>
                <w:lang w:val="bg-BG" w:eastAsia="bg-BG"/>
              </w:rPr>
            </w:pPr>
            <w:r w:rsidRPr="00496E16">
              <w:rPr>
                <w:rFonts w:ascii="Arial Narrow" w:hAnsi="Arial Narrow" w:cs="Arial Narrow"/>
                <w:bCs/>
                <w:sz w:val="20"/>
                <w:szCs w:val="20"/>
                <w:lang w:val="bg-BG" w:eastAsia="bg-BG"/>
              </w:rPr>
              <w:t xml:space="preserve">б) общинска собственост </w:t>
            </w:r>
          </w:p>
        </w:tc>
        <w:tc>
          <w:tcPr>
            <w:tcW w:w="719" w:type="pct"/>
            <w:shd w:val="clear" w:color="auto" w:fill="auto"/>
            <w:vAlign w:val="center"/>
          </w:tcPr>
          <w:p w14:paraId="01B2160F" w14:textId="77777777" w:rsidR="00496E16" w:rsidRPr="00496E16" w:rsidRDefault="00496E16" w:rsidP="00496E16">
            <w:pPr>
              <w:widowControl w:val="0"/>
              <w:jc w:val="center"/>
              <w:rPr>
                <w:rFonts w:ascii="Arial Narrow" w:hAnsi="Arial Narrow" w:cs="Arial Narrow"/>
                <w:bCs/>
                <w:sz w:val="20"/>
                <w:szCs w:val="20"/>
                <w:lang w:val="bg-BG" w:eastAsia="bg-BG"/>
              </w:rPr>
            </w:pPr>
          </w:p>
        </w:tc>
        <w:tc>
          <w:tcPr>
            <w:tcW w:w="1141" w:type="pct"/>
            <w:shd w:val="clear" w:color="auto" w:fill="auto"/>
            <w:vAlign w:val="center"/>
          </w:tcPr>
          <w:p w14:paraId="2804F8A5" w14:textId="77777777" w:rsidR="00496E16" w:rsidRPr="00496E16" w:rsidRDefault="00496E16" w:rsidP="00496E16">
            <w:pPr>
              <w:widowControl w:val="0"/>
              <w:jc w:val="right"/>
              <w:rPr>
                <w:rFonts w:ascii="Arial Narrow" w:hAnsi="Arial Narrow" w:cs="Arial Narrow"/>
                <w:bCs/>
                <w:sz w:val="20"/>
                <w:szCs w:val="20"/>
                <w:lang w:val="bg-BG" w:eastAsia="bg-BG"/>
              </w:rPr>
            </w:pPr>
          </w:p>
        </w:tc>
      </w:tr>
      <w:tr w:rsidR="00496E16" w:rsidRPr="00496E16" w14:paraId="176BC11F" w14:textId="77777777" w:rsidTr="005E1F06">
        <w:trPr>
          <w:trHeight w:val="312"/>
        </w:trPr>
        <w:tc>
          <w:tcPr>
            <w:tcW w:w="291" w:type="pct"/>
            <w:vMerge/>
            <w:shd w:val="clear" w:color="auto" w:fill="auto"/>
          </w:tcPr>
          <w:p w14:paraId="27BC61B3" w14:textId="77777777" w:rsidR="00496E16" w:rsidRPr="00496E16" w:rsidRDefault="00496E16" w:rsidP="00496E16">
            <w:pPr>
              <w:widowControl w:val="0"/>
              <w:jc w:val="center"/>
              <w:rPr>
                <w:rFonts w:ascii="Arial Narrow" w:hAnsi="Arial Narrow" w:cs="Arial Narrow"/>
                <w:bCs/>
                <w:sz w:val="20"/>
                <w:szCs w:val="20"/>
                <w:lang w:val="bg-BG" w:eastAsia="bg-BG"/>
              </w:rPr>
            </w:pPr>
          </w:p>
        </w:tc>
        <w:tc>
          <w:tcPr>
            <w:tcW w:w="2849" w:type="pct"/>
            <w:shd w:val="clear" w:color="auto" w:fill="auto"/>
            <w:vAlign w:val="center"/>
          </w:tcPr>
          <w:p w14:paraId="00FCD56A" w14:textId="77777777" w:rsidR="00496E16" w:rsidRPr="00496E16" w:rsidRDefault="00496E16" w:rsidP="00496E16">
            <w:pPr>
              <w:widowControl w:val="0"/>
              <w:rPr>
                <w:rFonts w:ascii="Arial Narrow" w:hAnsi="Arial Narrow" w:cs="Arial Narrow"/>
                <w:bCs/>
                <w:sz w:val="20"/>
                <w:szCs w:val="20"/>
                <w:lang w:val="bg-BG" w:eastAsia="bg-BG"/>
              </w:rPr>
            </w:pPr>
            <w:r w:rsidRPr="00496E16">
              <w:rPr>
                <w:rFonts w:ascii="Arial Narrow" w:hAnsi="Arial Narrow" w:cs="Arial Narrow"/>
                <w:bCs/>
                <w:sz w:val="20"/>
                <w:szCs w:val="20"/>
                <w:lang w:val="bg-BG" w:eastAsia="bg-BG"/>
              </w:rPr>
              <w:t xml:space="preserve">    - едногодишни</w:t>
            </w:r>
          </w:p>
        </w:tc>
        <w:tc>
          <w:tcPr>
            <w:tcW w:w="719" w:type="pct"/>
            <w:shd w:val="clear" w:color="auto" w:fill="auto"/>
            <w:vAlign w:val="center"/>
          </w:tcPr>
          <w:p w14:paraId="7E93FE9F" w14:textId="77777777" w:rsidR="00496E16" w:rsidRPr="00496E16" w:rsidRDefault="00496E16" w:rsidP="00496E16">
            <w:pPr>
              <w:widowControl w:val="0"/>
              <w:jc w:val="center"/>
              <w:rPr>
                <w:rFonts w:ascii="Arial Narrow" w:hAnsi="Arial Narrow" w:cs="Arial Narrow"/>
                <w:bCs/>
                <w:sz w:val="20"/>
                <w:szCs w:val="20"/>
                <w:lang w:val="bg-BG" w:eastAsia="bg-BG"/>
              </w:rPr>
            </w:pPr>
            <w:r w:rsidRPr="00496E16">
              <w:rPr>
                <w:rFonts w:ascii="Arial Narrow" w:hAnsi="Arial Narrow" w:cs="Arial Narrow"/>
                <w:bCs/>
                <w:sz w:val="20"/>
                <w:szCs w:val="20"/>
                <w:lang w:val="bg-BG" w:eastAsia="bg-BG"/>
              </w:rPr>
              <w:t>%</w:t>
            </w:r>
          </w:p>
        </w:tc>
        <w:tc>
          <w:tcPr>
            <w:tcW w:w="1141" w:type="pct"/>
            <w:shd w:val="clear" w:color="auto" w:fill="auto"/>
            <w:vAlign w:val="center"/>
          </w:tcPr>
          <w:p w14:paraId="0E9C2608" w14:textId="77777777" w:rsidR="00496E16" w:rsidRPr="00496E16" w:rsidRDefault="00496E16" w:rsidP="00496E16">
            <w:pPr>
              <w:widowControl w:val="0"/>
              <w:jc w:val="right"/>
              <w:rPr>
                <w:rFonts w:ascii="Arial Narrow" w:hAnsi="Arial Narrow" w:cs="Arial Narrow"/>
                <w:bCs/>
                <w:sz w:val="20"/>
                <w:szCs w:val="20"/>
                <w:lang w:val="bg-BG" w:eastAsia="bg-BG"/>
              </w:rPr>
            </w:pPr>
            <w:r w:rsidRPr="00496E16">
              <w:rPr>
                <w:rFonts w:ascii="Arial Narrow" w:hAnsi="Arial Narrow" w:cs="Arial Narrow"/>
                <w:bCs/>
                <w:sz w:val="20"/>
                <w:szCs w:val="20"/>
                <w:lang w:val="bg-BG" w:eastAsia="bg-BG"/>
              </w:rPr>
              <w:t>60,88</w:t>
            </w:r>
          </w:p>
        </w:tc>
      </w:tr>
      <w:tr w:rsidR="00496E16" w:rsidRPr="00496E16" w14:paraId="35141992" w14:textId="77777777" w:rsidTr="005E1F06">
        <w:trPr>
          <w:trHeight w:val="312"/>
        </w:trPr>
        <w:tc>
          <w:tcPr>
            <w:tcW w:w="291" w:type="pct"/>
            <w:vMerge/>
            <w:shd w:val="clear" w:color="auto" w:fill="auto"/>
          </w:tcPr>
          <w:p w14:paraId="1BDC8F4A" w14:textId="77777777" w:rsidR="00496E16" w:rsidRPr="00496E16" w:rsidRDefault="00496E16" w:rsidP="00496E16">
            <w:pPr>
              <w:widowControl w:val="0"/>
              <w:jc w:val="center"/>
              <w:rPr>
                <w:rFonts w:ascii="Arial Narrow" w:hAnsi="Arial Narrow" w:cs="Arial Narrow"/>
                <w:bCs/>
                <w:sz w:val="20"/>
                <w:szCs w:val="20"/>
                <w:lang w:val="bg-BG" w:eastAsia="bg-BG"/>
              </w:rPr>
            </w:pPr>
          </w:p>
        </w:tc>
        <w:tc>
          <w:tcPr>
            <w:tcW w:w="2849" w:type="pct"/>
            <w:shd w:val="clear" w:color="auto" w:fill="auto"/>
            <w:vAlign w:val="center"/>
          </w:tcPr>
          <w:p w14:paraId="7771D93B" w14:textId="77777777" w:rsidR="00496E16" w:rsidRPr="00496E16" w:rsidRDefault="00496E16" w:rsidP="00496E16">
            <w:pPr>
              <w:widowControl w:val="0"/>
              <w:rPr>
                <w:rFonts w:ascii="Arial Narrow" w:hAnsi="Arial Narrow" w:cs="Arial Narrow"/>
                <w:bCs/>
                <w:sz w:val="20"/>
                <w:szCs w:val="20"/>
                <w:lang w:val="bg-BG" w:eastAsia="bg-BG"/>
              </w:rPr>
            </w:pPr>
            <w:r w:rsidRPr="00496E16">
              <w:rPr>
                <w:rFonts w:ascii="Arial Narrow" w:hAnsi="Arial Narrow" w:cs="Arial Narrow"/>
                <w:bCs/>
                <w:sz w:val="20"/>
                <w:szCs w:val="20"/>
                <w:lang w:val="bg-BG" w:eastAsia="bg-BG"/>
              </w:rPr>
              <w:t xml:space="preserve">    - двегодишни</w:t>
            </w:r>
          </w:p>
        </w:tc>
        <w:tc>
          <w:tcPr>
            <w:tcW w:w="719" w:type="pct"/>
            <w:shd w:val="clear" w:color="auto" w:fill="auto"/>
            <w:vAlign w:val="center"/>
          </w:tcPr>
          <w:p w14:paraId="65A793FC" w14:textId="77777777" w:rsidR="00496E16" w:rsidRPr="00496E16" w:rsidRDefault="00496E16" w:rsidP="00496E16">
            <w:pPr>
              <w:widowControl w:val="0"/>
              <w:jc w:val="center"/>
              <w:rPr>
                <w:rFonts w:ascii="Arial Narrow" w:hAnsi="Arial Narrow" w:cs="Arial Narrow"/>
                <w:bCs/>
                <w:sz w:val="20"/>
                <w:szCs w:val="20"/>
                <w:lang w:val="bg-BG" w:eastAsia="bg-BG"/>
              </w:rPr>
            </w:pPr>
            <w:r w:rsidRPr="00496E16">
              <w:rPr>
                <w:rFonts w:ascii="Arial Narrow" w:hAnsi="Arial Narrow" w:cs="Arial Narrow"/>
                <w:bCs/>
                <w:sz w:val="20"/>
                <w:szCs w:val="20"/>
                <w:lang w:val="bg-BG" w:eastAsia="bg-BG"/>
              </w:rPr>
              <w:t>%</w:t>
            </w:r>
          </w:p>
        </w:tc>
        <w:tc>
          <w:tcPr>
            <w:tcW w:w="1141" w:type="pct"/>
            <w:shd w:val="clear" w:color="auto" w:fill="auto"/>
            <w:vAlign w:val="center"/>
          </w:tcPr>
          <w:p w14:paraId="68E50595" w14:textId="77777777" w:rsidR="00496E16" w:rsidRPr="00496E16" w:rsidRDefault="00496E16" w:rsidP="00496E16">
            <w:pPr>
              <w:widowControl w:val="0"/>
              <w:jc w:val="right"/>
              <w:rPr>
                <w:rFonts w:ascii="Arial Narrow" w:hAnsi="Arial Narrow" w:cs="Arial Narrow"/>
                <w:bCs/>
                <w:sz w:val="20"/>
                <w:szCs w:val="20"/>
                <w:lang w:val="bg-BG" w:eastAsia="bg-BG"/>
              </w:rPr>
            </w:pPr>
            <w:r w:rsidRPr="00496E16">
              <w:rPr>
                <w:rFonts w:ascii="Arial Narrow" w:hAnsi="Arial Narrow" w:cs="Arial Narrow"/>
                <w:bCs/>
                <w:sz w:val="20"/>
                <w:szCs w:val="20"/>
                <w:lang w:val="bg-BG" w:eastAsia="bg-BG"/>
              </w:rPr>
              <w:t>72,72</w:t>
            </w:r>
          </w:p>
        </w:tc>
      </w:tr>
      <w:tr w:rsidR="00496E16" w:rsidRPr="00496E16" w14:paraId="5A7BE862" w14:textId="77777777" w:rsidTr="005E1F06">
        <w:trPr>
          <w:trHeight w:val="312"/>
        </w:trPr>
        <w:tc>
          <w:tcPr>
            <w:tcW w:w="291" w:type="pct"/>
            <w:vMerge/>
            <w:shd w:val="clear" w:color="auto" w:fill="auto"/>
          </w:tcPr>
          <w:p w14:paraId="5F25B3DA" w14:textId="77777777" w:rsidR="00496E16" w:rsidRPr="00496E16" w:rsidRDefault="00496E16" w:rsidP="00496E16">
            <w:pPr>
              <w:widowControl w:val="0"/>
              <w:jc w:val="center"/>
              <w:rPr>
                <w:rFonts w:ascii="Arial Narrow" w:hAnsi="Arial Narrow" w:cs="Arial Narrow"/>
                <w:bCs/>
                <w:sz w:val="20"/>
                <w:szCs w:val="20"/>
                <w:lang w:val="bg-BG" w:eastAsia="bg-BG"/>
              </w:rPr>
            </w:pPr>
          </w:p>
        </w:tc>
        <w:tc>
          <w:tcPr>
            <w:tcW w:w="2849" w:type="pct"/>
            <w:shd w:val="clear" w:color="auto" w:fill="auto"/>
            <w:vAlign w:val="center"/>
          </w:tcPr>
          <w:p w14:paraId="4471ACC7" w14:textId="77777777" w:rsidR="00496E16" w:rsidRPr="00496E16" w:rsidRDefault="00496E16" w:rsidP="00496E16">
            <w:pPr>
              <w:widowControl w:val="0"/>
              <w:rPr>
                <w:rFonts w:ascii="Arial Narrow" w:hAnsi="Arial Narrow" w:cs="Arial Narrow"/>
                <w:bCs/>
                <w:sz w:val="20"/>
                <w:szCs w:val="20"/>
                <w:lang w:val="bg-BG" w:eastAsia="bg-BG"/>
              </w:rPr>
            </w:pPr>
            <w:r w:rsidRPr="00496E16">
              <w:rPr>
                <w:rFonts w:ascii="Arial Narrow" w:hAnsi="Arial Narrow" w:cs="Arial Narrow"/>
                <w:bCs/>
                <w:sz w:val="20"/>
                <w:szCs w:val="20"/>
                <w:lang w:val="bg-BG" w:eastAsia="bg-BG"/>
              </w:rPr>
              <w:t xml:space="preserve">    - тригодишни</w:t>
            </w:r>
          </w:p>
        </w:tc>
        <w:tc>
          <w:tcPr>
            <w:tcW w:w="719" w:type="pct"/>
            <w:shd w:val="clear" w:color="auto" w:fill="auto"/>
            <w:vAlign w:val="center"/>
          </w:tcPr>
          <w:p w14:paraId="57FE2E6D" w14:textId="77777777" w:rsidR="00496E16" w:rsidRPr="00496E16" w:rsidRDefault="00496E16" w:rsidP="00496E16">
            <w:pPr>
              <w:widowControl w:val="0"/>
              <w:jc w:val="center"/>
              <w:rPr>
                <w:rFonts w:ascii="Arial Narrow" w:hAnsi="Arial Narrow" w:cs="Arial Narrow"/>
                <w:bCs/>
                <w:sz w:val="20"/>
                <w:szCs w:val="20"/>
                <w:lang w:val="bg-BG" w:eastAsia="bg-BG"/>
              </w:rPr>
            </w:pPr>
            <w:r w:rsidRPr="00496E16">
              <w:rPr>
                <w:rFonts w:ascii="Arial Narrow" w:hAnsi="Arial Narrow" w:cs="Arial Narrow"/>
                <w:bCs/>
                <w:sz w:val="20"/>
                <w:szCs w:val="20"/>
                <w:lang w:val="bg-BG" w:eastAsia="bg-BG"/>
              </w:rPr>
              <w:t>%</w:t>
            </w:r>
          </w:p>
        </w:tc>
        <w:tc>
          <w:tcPr>
            <w:tcW w:w="1141" w:type="pct"/>
            <w:shd w:val="clear" w:color="auto" w:fill="auto"/>
            <w:vAlign w:val="center"/>
          </w:tcPr>
          <w:p w14:paraId="4D47E729" w14:textId="77777777" w:rsidR="00496E16" w:rsidRPr="00496E16" w:rsidRDefault="00496E16" w:rsidP="00496E16">
            <w:pPr>
              <w:widowControl w:val="0"/>
              <w:jc w:val="right"/>
              <w:rPr>
                <w:rFonts w:ascii="Arial Narrow" w:hAnsi="Arial Narrow" w:cs="Arial Narrow"/>
                <w:bCs/>
                <w:sz w:val="20"/>
                <w:szCs w:val="20"/>
                <w:lang w:val="bg-BG" w:eastAsia="bg-BG"/>
              </w:rPr>
            </w:pPr>
            <w:r w:rsidRPr="00496E16">
              <w:rPr>
                <w:rFonts w:ascii="Arial Narrow" w:hAnsi="Arial Narrow" w:cs="Arial Narrow"/>
                <w:bCs/>
                <w:sz w:val="20"/>
                <w:szCs w:val="20"/>
                <w:lang w:val="bg-BG" w:eastAsia="bg-BG"/>
              </w:rPr>
              <w:t>68,75</w:t>
            </w:r>
          </w:p>
        </w:tc>
      </w:tr>
      <w:tr w:rsidR="00496E16" w:rsidRPr="00496E16" w14:paraId="2450B3BD" w14:textId="77777777" w:rsidTr="005E1F06">
        <w:trPr>
          <w:trHeight w:val="312"/>
        </w:trPr>
        <w:tc>
          <w:tcPr>
            <w:tcW w:w="291" w:type="pct"/>
            <w:vMerge/>
            <w:shd w:val="clear" w:color="auto" w:fill="auto"/>
          </w:tcPr>
          <w:p w14:paraId="5E8EE54C" w14:textId="77777777" w:rsidR="00496E16" w:rsidRPr="00496E16" w:rsidRDefault="00496E16" w:rsidP="00496E16">
            <w:pPr>
              <w:widowControl w:val="0"/>
              <w:jc w:val="center"/>
              <w:rPr>
                <w:rFonts w:ascii="Arial Narrow" w:hAnsi="Arial Narrow" w:cs="Arial Narrow"/>
                <w:bCs/>
                <w:sz w:val="20"/>
                <w:szCs w:val="20"/>
                <w:lang w:val="bg-BG" w:eastAsia="bg-BG"/>
              </w:rPr>
            </w:pPr>
          </w:p>
        </w:tc>
        <w:tc>
          <w:tcPr>
            <w:tcW w:w="2849" w:type="pct"/>
            <w:shd w:val="clear" w:color="auto" w:fill="auto"/>
            <w:vAlign w:val="center"/>
          </w:tcPr>
          <w:p w14:paraId="2AFF6B74" w14:textId="77777777" w:rsidR="00496E16" w:rsidRPr="00496E16" w:rsidRDefault="00496E16" w:rsidP="00496E16">
            <w:pPr>
              <w:widowControl w:val="0"/>
              <w:rPr>
                <w:rFonts w:ascii="Arial Narrow" w:hAnsi="Arial Narrow" w:cs="Arial Narrow"/>
                <w:bCs/>
                <w:sz w:val="20"/>
                <w:szCs w:val="20"/>
                <w:lang w:val="bg-BG" w:eastAsia="bg-BG"/>
              </w:rPr>
            </w:pPr>
            <w:r w:rsidRPr="00496E16">
              <w:rPr>
                <w:rFonts w:ascii="Arial Narrow" w:hAnsi="Arial Narrow" w:cs="Arial Narrow"/>
                <w:bCs/>
                <w:sz w:val="20"/>
                <w:szCs w:val="20"/>
                <w:lang w:val="bg-BG" w:eastAsia="bg-BG"/>
              </w:rPr>
              <w:t xml:space="preserve">в) частна собственост </w:t>
            </w:r>
          </w:p>
        </w:tc>
        <w:tc>
          <w:tcPr>
            <w:tcW w:w="719" w:type="pct"/>
            <w:shd w:val="clear" w:color="auto" w:fill="auto"/>
            <w:vAlign w:val="center"/>
          </w:tcPr>
          <w:p w14:paraId="23CA08A0" w14:textId="77777777" w:rsidR="00496E16" w:rsidRPr="00496E16" w:rsidRDefault="00496E16" w:rsidP="00496E16">
            <w:pPr>
              <w:widowControl w:val="0"/>
              <w:jc w:val="center"/>
              <w:rPr>
                <w:rFonts w:ascii="Arial Narrow" w:hAnsi="Arial Narrow" w:cs="Arial Narrow"/>
                <w:bCs/>
                <w:sz w:val="20"/>
                <w:szCs w:val="20"/>
                <w:lang w:val="bg-BG" w:eastAsia="bg-BG"/>
              </w:rPr>
            </w:pPr>
          </w:p>
        </w:tc>
        <w:tc>
          <w:tcPr>
            <w:tcW w:w="1141" w:type="pct"/>
            <w:shd w:val="clear" w:color="auto" w:fill="auto"/>
            <w:vAlign w:val="center"/>
          </w:tcPr>
          <w:p w14:paraId="18B9A08B" w14:textId="77777777" w:rsidR="00496E16" w:rsidRPr="00496E16" w:rsidRDefault="00496E16" w:rsidP="00496E16">
            <w:pPr>
              <w:widowControl w:val="0"/>
              <w:jc w:val="right"/>
              <w:rPr>
                <w:rFonts w:ascii="Arial Narrow" w:hAnsi="Arial Narrow" w:cs="Arial Narrow"/>
                <w:bCs/>
                <w:sz w:val="20"/>
                <w:szCs w:val="20"/>
                <w:lang w:val="bg-BG" w:eastAsia="bg-BG"/>
              </w:rPr>
            </w:pPr>
          </w:p>
        </w:tc>
      </w:tr>
      <w:tr w:rsidR="00496E16" w:rsidRPr="00496E16" w14:paraId="02575AD7" w14:textId="77777777" w:rsidTr="005E1F06">
        <w:trPr>
          <w:trHeight w:val="312"/>
        </w:trPr>
        <w:tc>
          <w:tcPr>
            <w:tcW w:w="291" w:type="pct"/>
            <w:vMerge/>
            <w:shd w:val="clear" w:color="auto" w:fill="auto"/>
          </w:tcPr>
          <w:p w14:paraId="470C18D3" w14:textId="77777777" w:rsidR="00496E16" w:rsidRPr="00496E16" w:rsidRDefault="00496E16" w:rsidP="00496E16">
            <w:pPr>
              <w:widowControl w:val="0"/>
              <w:jc w:val="center"/>
              <w:rPr>
                <w:rFonts w:ascii="Arial Narrow" w:hAnsi="Arial Narrow" w:cs="Arial Narrow"/>
                <w:bCs/>
                <w:sz w:val="20"/>
                <w:szCs w:val="20"/>
                <w:lang w:val="bg-BG" w:eastAsia="bg-BG"/>
              </w:rPr>
            </w:pPr>
          </w:p>
        </w:tc>
        <w:tc>
          <w:tcPr>
            <w:tcW w:w="2849" w:type="pct"/>
            <w:shd w:val="clear" w:color="auto" w:fill="auto"/>
            <w:vAlign w:val="center"/>
          </w:tcPr>
          <w:p w14:paraId="36213536" w14:textId="77777777" w:rsidR="00496E16" w:rsidRPr="00496E16" w:rsidRDefault="00496E16" w:rsidP="00496E16">
            <w:pPr>
              <w:widowControl w:val="0"/>
              <w:rPr>
                <w:rFonts w:ascii="Arial Narrow" w:hAnsi="Arial Narrow" w:cs="Arial Narrow"/>
                <w:bCs/>
                <w:sz w:val="20"/>
                <w:szCs w:val="20"/>
                <w:lang w:val="bg-BG" w:eastAsia="bg-BG"/>
              </w:rPr>
            </w:pPr>
            <w:r w:rsidRPr="00496E16">
              <w:rPr>
                <w:rFonts w:ascii="Arial Narrow" w:hAnsi="Arial Narrow" w:cs="Arial Narrow"/>
                <w:bCs/>
                <w:sz w:val="20"/>
                <w:szCs w:val="20"/>
                <w:lang w:val="bg-BG" w:eastAsia="bg-BG"/>
              </w:rPr>
              <w:t xml:space="preserve">    - едногодишни</w:t>
            </w:r>
          </w:p>
        </w:tc>
        <w:tc>
          <w:tcPr>
            <w:tcW w:w="719" w:type="pct"/>
            <w:shd w:val="clear" w:color="auto" w:fill="auto"/>
            <w:vAlign w:val="center"/>
          </w:tcPr>
          <w:p w14:paraId="33033B4D" w14:textId="77777777" w:rsidR="00496E16" w:rsidRPr="00496E16" w:rsidRDefault="00496E16" w:rsidP="00496E16">
            <w:pPr>
              <w:widowControl w:val="0"/>
              <w:jc w:val="center"/>
              <w:rPr>
                <w:rFonts w:ascii="Arial Narrow" w:hAnsi="Arial Narrow" w:cs="Arial Narrow"/>
                <w:bCs/>
                <w:sz w:val="20"/>
                <w:szCs w:val="20"/>
                <w:lang w:val="bg-BG" w:eastAsia="bg-BG"/>
              </w:rPr>
            </w:pPr>
            <w:r w:rsidRPr="00496E16">
              <w:rPr>
                <w:rFonts w:ascii="Arial Narrow" w:hAnsi="Arial Narrow" w:cs="Arial Narrow"/>
                <w:bCs/>
                <w:sz w:val="20"/>
                <w:szCs w:val="20"/>
                <w:lang w:val="bg-BG" w:eastAsia="bg-BG"/>
              </w:rPr>
              <w:t>%</w:t>
            </w:r>
          </w:p>
        </w:tc>
        <w:tc>
          <w:tcPr>
            <w:tcW w:w="1141" w:type="pct"/>
            <w:shd w:val="clear" w:color="auto" w:fill="auto"/>
            <w:vAlign w:val="center"/>
          </w:tcPr>
          <w:p w14:paraId="1E06B4EB" w14:textId="77777777" w:rsidR="00496E16" w:rsidRPr="00496E16" w:rsidRDefault="00496E16" w:rsidP="00496E16">
            <w:pPr>
              <w:widowControl w:val="0"/>
              <w:jc w:val="right"/>
              <w:rPr>
                <w:rFonts w:ascii="Arial Narrow" w:hAnsi="Arial Narrow" w:cs="Arial Narrow"/>
                <w:bCs/>
                <w:sz w:val="20"/>
                <w:szCs w:val="20"/>
                <w:lang w:val="bg-BG" w:eastAsia="bg-BG"/>
              </w:rPr>
            </w:pPr>
            <w:r w:rsidRPr="00496E16">
              <w:rPr>
                <w:rFonts w:ascii="Arial Narrow" w:hAnsi="Arial Narrow" w:cs="Arial Narrow"/>
                <w:bCs/>
                <w:sz w:val="20"/>
                <w:szCs w:val="20"/>
                <w:lang w:val="bg-BG" w:eastAsia="bg-BG"/>
              </w:rPr>
              <w:t>63,09</w:t>
            </w:r>
          </w:p>
        </w:tc>
      </w:tr>
      <w:tr w:rsidR="00496E16" w:rsidRPr="00496E16" w14:paraId="54F01D5D" w14:textId="77777777" w:rsidTr="005E1F06">
        <w:trPr>
          <w:trHeight w:val="312"/>
        </w:trPr>
        <w:tc>
          <w:tcPr>
            <w:tcW w:w="291" w:type="pct"/>
            <w:vMerge/>
            <w:shd w:val="clear" w:color="auto" w:fill="auto"/>
          </w:tcPr>
          <w:p w14:paraId="6C4497CF" w14:textId="77777777" w:rsidR="00496E16" w:rsidRPr="00496E16" w:rsidRDefault="00496E16" w:rsidP="00496E16">
            <w:pPr>
              <w:widowControl w:val="0"/>
              <w:jc w:val="center"/>
              <w:rPr>
                <w:rFonts w:ascii="Arial Narrow" w:hAnsi="Arial Narrow" w:cs="Arial Narrow"/>
                <w:bCs/>
                <w:sz w:val="20"/>
                <w:szCs w:val="20"/>
                <w:lang w:val="bg-BG" w:eastAsia="bg-BG"/>
              </w:rPr>
            </w:pPr>
          </w:p>
        </w:tc>
        <w:tc>
          <w:tcPr>
            <w:tcW w:w="2849" w:type="pct"/>
            <w:shd w:val="clear" w:color="auto" w:fill="auto"/>
            <w:vAlign w:val="center"/>
          </w:tcPr>
          <w:p w14:paraId="1E80D8C3" w14:textId="77777777" w:rsidR="00496E16" w:rsidRPr="00496E16" w:rsidRDefault="00496E16" w:rsidP="00496E16">
            <w:pPr>
              <w:widowControl w:val="0"/>
              <w:rPr>
                <w:rFonts w:ascii="Arial Narrow" w:hAnsi="Arial Narrow" w:cs="Arial Narrow"/>
                <w:bCs/>
                <w:sz w:val="20"/>
                <w:szCs w:val="20"/>
                <w:lang w:val="bg-BG" w:eastAsia="bg-BG"/>
              </w:rPr>
            </w:pPr>
            <w:r w:rsidRPr="00496E16">
              <w:rPr>
                <w:rFonts w:ascii="Arial Narrow" w:hAnsi="Arial Narrow" w:cs="Arial Narrow"/>
                <w:bCs/>
                <w:sz w:val="20"/>
                <w:szCs w:val="20"/>
                <w:lang w:val="bg-BG" w:eastAsia="bg-BG"/>
              </w:rPr>
              <w:t xml:space="preserve">    - двегодишни</w:t>
            </w:r>
          </w:p>
        </w:tc>
        <w:tc>
          <w:tcPr>
            <w:tcW w:w="719" w:type="pct"/>
            <w:shd w:val="clear" w:color="auto" w:fill="auto"/>
            <w:vAlign w:val="center"/>
          </w:tcPr>
          <w:p w14:paraId="50088549" w14:textId="77777777" w:rsidR="00496E16" w:rsidRPr="00496E16" w:rsidRDefault="00496E16" w:rsidP="00496E16">
            <w:pPr>
              <w:widowControl w:val="0"/>
              <w:jc w:val="center"/>
              <w:rPr>
                <w:rFonts w:ascii="Arial Narrow" w:hAnsi="Arial Narrow" w:cs="Arial Narrow"/>
                <w:bCs/>
                <w:sz w:val="20"/>
                <w:szCs w:val="20"/>
                <w:lang w:val="bg-BG" w:eastAsia="bg-BG"/>
              </w:rPr>
            </w:pPr>
            <w:r w:rsidRPr="00496E16">
              <w:rPr>
                <w:rFonts w:ascii="Arial Narrow" w:hAnsi="Arial Narrow" w:cs="Arial Narrow"/>
                <w:bCs/>
                <w:sz w:val="20"/>
                <w:szCs w:val="20"/>
                <w:lang w:val="bg-BG" w:eastAsia="bg-BG"/>
              </w:rPr>
              <w:t>%</w:t>
            </w:r>
          </w:p>
        </w:tc>
        <w:tc>
          <w:tcPr>
            <w:tcW w:w="1141" w:type="pct"/>
            <w:shd w:val="clear" w:color="auto" w:fill="auto"/>
            <w:vAlign w:val="center"/>
          </w:tcPr>
          <w:p w14:paraId="71EE1031" w14:textId="77777777" w:rsidR="00496E16" w:rsidRPr="00496E16" w:rsidRDefault="00496E16" w:rsidP="00496E16">
            <w:pPr>
              <w:widowControl w:val="0"/>
              <w:jc w:val="right"/>
              <w:rPr>
                <w:rFonts w:ascii="Arial Narrow" w:hAnsi="Arial Narrow" w:cs="Arial Narrow"/>
                <w:bCs/>
                <w:sz w:val="20"/>
                <w:szCs w:val="20"/>
                <w:lang w:val="bg-BG" w:eastAsia="bg-BG"/>
              </w:rPr>
            </w:pPr>
            <w:r w:rsidRPr="00496E16">
              <w:rPr>
                <w:rFonts w:ascii="Arial Narrow" w:hAnsi="Arial Narrow" w:cs="Arial Narrow"/>
                <w:bCs/>
                <w:sz w:val="20"/>
                <w:szCs w:val="20"/>
                <w:lang w:val="bg-BG" w:eastAsia="bg-BG"/>
              </w:rPr>
              <w:t>51,07</w:t>
            </w:r>
          </w:p>
        </w:tc>
      </w:tr>
      <w:tr w:rsidR="00496E16" w:rsidRPr="00496E16" w14:paraId="2CA77496" w14:textId="77777777" w:rsidTr="005E1F06">
        <w:trPr>
          <w:trHeight w:val="312"/>
        </w:trPr>
        <w:tc>
          <w:tcPr>
            <w:tcW w:w="291" w:type="pct"/>
            <w:vMerge/>
            <w:shd w:val="clear" w:color="auto" w:fill="auto"/>
          </w:tcPr>
          <w:p w14:paraId="1AA3527A" w14:textId="77777777" w:rsidR="00496E16" w:rsidRPr="00496E16" w:rsidRDefault="00496E16" w:rsidP="00496E16">
            <w:pPr>
              <w:widowControl w:val="0"/>
              <w:jc w:val="center"/>
              <w:rPr>
                <w:rFonts w:ascii="Arial Narrow" w:hAnsi="Arial Narrow" w:cs="Arial Narrow"/>
                <w:bCs/>
                <w:sz w:val="20"/>
                <w:szCs w:val="20"/>
                <w:lang w:val="bg-BG" w:eastAsia="bg-BG"/>
              </w:rPr>
            </w:pPr>
          </w:p>
        </w:tc>
        <w:tc>
          <w:tcPr>
            <w:tcW w:w="2849" w:type="pct"/>
            <w:shd w:val="clear" w:color="auto" w:fill="auto"/>
            <w:vAlign w:val="center"/>
          </w:tcPr>
          <w:p w14:paraId="069FD60F" w14:textId="77777777" w:rsidR="00496E16" w:rsidRPr="00496E16" w:rsidRDefault="00496E16" w:rsidP="00496E16">
            <w:pPr>
              <w:widowControl w:val="0"/>
              <w:rPr>
                <w:rFonts w:ascii="Arial Narrow" w:hAnsi="Arial Narrow" w:cs="Arial Narrow"/>
                <w:bCs/>
                <w:sz w:val="20"/>
                <w:szCs w:val="20"/>
                <w:lang w:val="bg-BG" w:eastAsia="bg-BG"/>
              </w:rPr>
            </w:pPr>
            <w:r w:rsidRPr="00496E16">
              <w:rPr>
                <w:rFonts w:ascii="Arial Narrow" w:hAnsi="Arial Narrow" w:cs="Arial Narrow"/>
                <w:bCs/>
                <w:sz w:val="20"/>
                <w:szCs w:val="20"/>
                <w:lang w:val="bg-BG" w:eastAsia="bg-BG"/>
              </w:rPr>
              <w:t xml:space="preserve">    - тригодишни</w:t>
            </w:r>
          </w:p>
        </w:tc>
        <w:tc>
          <w:tcPr>
            <w:tcW w:w="719" w:type="pct"/>
            <w:shd w:val="clear" w:color="auto" w:fill="auto"/>
            <w:vAlign w:val="center"/>
          </w:tcPr>
          <w:p w14:paraId="3CE3B8B8" w14:textId="77777777" w:rsidR="00496E16" w:rsidRPr="00496E16" w:rsidRDefault="00496E16" w:rsidP="00496E16">
            <w:pPr>
              <w:widowControl w:val="0"/>
              <w:jc w:val="center"/>
              <w:rPr>
                <w:rFonts w:ascii="Arial Narrow" w:hAnsi="Arial Narrow" w:cs="Arial Narrow"/>
                <w:bCs/>
                <w:sz w:val="20"/>
                <w:szCs w:val="20"/>
                <w:lang w:val="bg-BG" w:eastAsia="bg-BG"/>
              </w:rPr>
            </w:pPr>
            <w:r w:rsidRPr="00496E16">
              <w:rPr>
                <w:rFonts w:ascii="Arial Narrow" w:hAnsi="Arial Narrow" w:cs="Arial Narrow"/>
                <w:bCs/>
                <w:sz w:val="20"/>
                <w:szCs w:val="20"/>
                <w:lang w:val="bg-BG" w:eastAsia="bg-BG"/>
              </w:rPr>
              <w:t>%</w:t>
            </w:r>
          </w:p>
        </w:tc>
        <w:tc>
          <w:tcPr>
            <w:tcW w:w="1141" w:type="pct"/>
            <w:shd w:val="clear" w:color="auto" w:fill="auto"/>
            <w:vAlign w:val="center"/>
          </w:tcPr>
          <w:p w14:paraId="07323853" w14:textId="77777777" w:rsidR="00496E16" w:rsidRPr="00496E16" w:rsidRDefault="00496E16" w:rsidP="00496E16">
            <w:pPr>
              <w:widowControl w:val="0"/>
              <w:jc w:val="right"/>
              <w:rPr>
                <w:rFonts w:ascii="Arial Narrow" w:hAnsi="Arial Narrow" w:cs="Arial Narrow"/>
                <w:bCs/>
                <w:sz w:val="20"/>
                <w:szCs w:val="20"/>
                <w:lang w:val="bg-BG" w:eastAsia="bg-BG"/>
              </w:rPr>
            </w:pPr>
            <w:r w:rsidRPr="00496E16">
              <w:rPr>
                <w:rFonts w:ascii="Arial Narrow" w:hAnsi="Arial Narrow" w:cs="Arial Narrow"/>
                <w:bCs/>
                <w:sz w:val="20"/>
                <w:szCs w:val="20"/>
                <w:lang w:val="bg-BG" w:eastAsia="bg-BG"/>
              </w:rPr>
              <w:t>54,12</w:t>
            </w:r>
          </w:p>
        </w:tc>
      </w:tr>
    </w:tbl>
    <w:p w14:paraId="2F306D51" w14:textId="77777777" w:rsidR="00496E16" w:rsidRPr="000E7602" w:rsidRDefault="00496E16" w:rsidP="00496E16">
      <w:pPr>
        <w:widowControl w:val="0"/>
        <w:spacing w:after="240"/>
        <w:jc w:val="both"/>
        <w:rPr>
          <w:rFonts w:ascii="Arial Narrow" w:hAnsi="Arial Narrow" w:cs="Arial Narrow"/>
          <w:i/>
          <w:iCs/>
          <w:sz w:val="18"/>
          <w:szCs w:val="18"/>
          <w:lang w:val="bg-BG" w:eastAsia="bg-BG"/>
        </w:rPr>
      </w:pPr>
      <w:r w:rsidRPr="000E7602">
        <w:rPr>
          <w:rFonts w:ascii="Arial Narrow" w:hAnsi="Arial Narrow" w:cs="Arial Narrow"/>
          <w:bCs/>
          <w:i/>
          <w:iCs/>
          <w:sz w:val="18"/>
          <w:szCs w:val="18"/>
          <w:lang w:val="bg-BG" w:eastAsia="bg-BG"/>
        </w:rPr>
        <w:t>Източник</w:t>
      </w:r>
      <w:r w:rsidRPr="000E7602">
        <w:rPr>
          <w:rFonts w:ascii="Arial Narrow" w:hAnsi="Arial Narrow" w:cs="Arial Narrow"/>
          <w:sz w:val="18"/>
          <w:szCs w:val="18"/>
          <w:lang w:val="bg-BG" w:eastAsia="bg-BG"/>
        </w:rPr>
        <w:t xml:space="preserve">: </w:t>
      </w:r>
      <w:r w:rsidRPr="000E7602">
        <w:rPr>
          <w:rFonts w:ascii="Arial Narrow" w:hAnsi="Arial Narrow" w:cs="Arial Narrow"/>
          <w:iCs/>
          <w:sz w:val="18"/>
          <w:szCs w:val="18"/>
          <w:lang w:val="bg-BG" w:eastAsia="bg-BG"/>
        </w:rPr>
        <w:t>ИАГ</w:t>
      </w:r>
    </w:p>
    <w:p w14:paraId="6FDE998F" w14:textId="77777777" w:rsidR="00496E16" w:rsidRPr="00496E16" w:rsidRDefault="00496E16" w:rsidP="00496E16">
      <w:pPr>
        <w:widowControl w:val="0"/>
        <w:overflowPunct w:val="0"/>
        <w:autoSpaceDE w:val="0"/>
        <w:autoSpaceDN w:val="0"/>
        <w:adjustRightInd w:val="0"/>
        <w:spacing w:after="120"/>
        <w:ind w:left="714"/>
        <w:jc w:val="both"/>
        <w:textAlignment w:val="baseline"/>
        <w:rPr>
          <w:rFonts w:ascii="Arial Narrow" w:hAnsi="Arial Narrow"/>
          <w:lang w:val="bg-BG" w:eastAsia="bg-BG"/>
        </w:rPr>
      </w:pPr>
      <w:r w:rsidRPr="00496E16">
        <w:rPr>
          <w:rFonts w:ascii="Arial Narrow" w:hAnsi="Arial Narrow"/>
          <w:lang w:val="bg-BG" w:eastAsia="bg-BG"/>
        </w:rPr>
        <w:t>В рамките на 2024 г. са извършени следните дейности:</w:t>
      </w:r>
      <w:r w:rsidRPr="00496E16">
        <w:rPr>
          <w:rFonts w:ascii="Arial Narrow" w:hAnsi="Arial Narrow"/>
          <w:lang w:val="bg-BG" w:eastAsia="bg-BG"/>
        </w:rPr>
        <w:tab/>
      </w:r>
    </w:p>
    <w:p w14:paraId="49B5FAAF" w14:textId="77777777" w:rsidR="00496E16" w:rsidRPr="00496E16" w:rsidRDefault="00496E16" w:rsidP="00496E16">
      <w:pPr>
        <w:numPr>
          <w:ilvl w:val="0"/>
          <w:numId w:val="17"/>
        </w:numPr>
        <w:spacing w:after="120"/>
        <w:jc w:val="both"/>
        <w:rPr>
          <w:rFonts w:ascii="Arial Narrow" w:hAnsi="Arial Narrow" w:cs="Arial Narrow"/>
          <w:bCs/>
          <w:lang w:val="bg-BG" w:eastAsia="bg-BG"/>
        </w:rPr>
      </w:pPr>
      <w:r w:rsidRPr="00496E16">
        <w:rPr>
          <w:rFonts w:ascii="Arial Narrow" w:hAnsi="Arial Narrow" w:cs="Arial Narrow"/>
          <w:bCs/>
          <w:lang w:val="bg-BG" w:eastAsia="bg-BG"/>
        </w:rPr>
        <w:t>Изготвени са отчети с база данни за проведените инвентаризации на създадените горски култури; на наличните пожарища, невъзобновените сечища и горите, унищожени от други природни въздействия; на наличните едроразмерни укрепителни съоръжения и са дадени препоръки за отстраняване на допуснатите пропуски и грешки;</w:t>
      </w:r>
    </w:p>
    <w:p w14:paraId="655EEF9A" w14:textId="77777777" w:rsidR="00496E16" w:rsidRPr="00496E16" w:rsidRDefault="00496E16" w:rsidP="00496E16">
      <w:pPr>
        <w:numPr>
          <w:ilvl w:val="0"/>
          <w:numId w:val="17"/>
        </w:numPr>
        <w:spacing w:after="120"/>
        <w:jc w:val="both"/>
        <w:rPr>
          <w:rFonts w:ascii="Arial Narrow" w:hAnsi="Arial Narrow" w:cs="Arial Narrow"/>
          <w:bCs/>
          <w:lang w:val="bg-BG" w:eastAsia="bg-BG"/>
        </w:rPr>
      </w:pPr>
      <w:r w:rsidRPr="00496E16">
        <w:rPr>
          <w:rFonts w:ascii="Arial Narrow" w:hAnsi="Arial Narrow" w:cs="Arial Narrow"/>
          <w:bCs/>
          <w:lang w:val="bg-BG" w:eastAsia="bg-BG"/>
        </w:rPr>
        <w:t>Определена е цената на компенсационното залесяване и са издадени заповеди от министъра на земеделието и храните и изпълнителния директор на ИАГ;</w:t>
      </w:r>
    </w:p>
    <w:p w14:paraId="061AD398" w14:textId="77777777" w:rsidR="00496E16" w:rsidRPr="00496E16" w:rsidRDefault="00496E16" w:rsidP="00496E16">
      <w:pPr>
        <w:numPr>
          <w:ilvl w:val="0"/>
          <w:numId w:val="17"/>
        </w:numPr>
        <w:spacing w:after="120"/>
        <w:jc w:val="both"/>
        <w:rPr>
          <w:rFonts w:ascii="Arial Narrow" w:hAnsi="Arial Narrow" w:cs="Arial Narrow"/>
          <w:bCs/>
          <w:lang w:val="bg-BG" w:eastAsia="bg-BG"/>
        </w:rPr>
      </w:pPr>
      <w:r w:rsidRPr="00496E16">
        <w:rPr>
          <w:rFonts w:ascii="Arial Narrow" w:hAnsi="Arial Narrow" w:cs="Arial Narrow"/>
          <w:bCs/>
          <w:lang w:val="bg-BG" w:eastAsia="bg-BG"/>
        </w:rPr>
        <w:lastRenderedPageBreak/>
        <w:t>Съгласувани са 7 проекта за рекултивация на нарушени терени в горски територии;</w:t>
      </w:r>
    </w:p>
    <w:p w14:paraId="4E34303B" w14:textId="77777777" w:rsidR="00496E16" w:rsidRPr="00496E16" w:rsidRDefault="00496E16" w:rsidP="00496E16">
      <w:pPr>
        <w:numPr>
          <w:ilvl w:val="0"/>
          <w:numId w:val="17"/>
        </w:numPr>
        <w:spacing w:after="120"/>
        <w:jc w:val="both"/>
        <w:rPr>
          <w:rFonts w:ascii="Arial Narrow" w:hAnsi="Arial Narrow" w:cs="Arial Narrow"/>
          <w:bCs/>
          <w:lang w:val="bg-BG" w:eastAsia="bg-BG"/>
        </w:rPr>
      </w:pPr>
      <w:r w:rsidRPr="00496E16">
        <w:rPr>
          <w:rFonts w:ascii="Arial Narrow" w:hAnsi="Arial Narrow" w:cs="Arial Narrow"/>
          <w:bCs/>
          <w:lang w:val="bg-BG" w:eastAsia="bg-BG"/>
        </w:rPr>
        <w:t>Актуализиран е публичният регистър на горските разсадници в страната, като към 31.12.2024 г. на територията на страната има регистрирани 167 горски разсадници, от които 148 са държавна собственост;</w:t>
      </w:r>
    </w:p>
    <w:p w14:paraId="432B223F" w14:textId="77777777" w:rsidR="00496E16" w:rsidRPr="00496E16" w:rsidRDefault="00496E16" w:rsidP="00496E16">
      <w:pPr>
        <w:numPr>
          <w:ilvl w:val="0"/>
          <w:numId w:val="17"/>
        </w:numPr>
        <w:spacing w:after="120"/>
        <w:jc w:val="both"/>
        <w:rPr>
          <w:rFonts w:ascii="Arial Narrow" w:hAnsi="Arial Narrow" w:cs="Arial Narrow"/>
          <w:bCs/>
          <w:lang w:val="bg-BG" w:eastAsia="bg-BG"/>
        </w:rPr>
      </w:pPr>
      <w:r w:rsidRPr="00496E16">
        <w:rPr>
          <w:rFonts w:ascii="Arial Narrow" w:hAnsi="Arial Narrow" w:cs="Arial Narrow"/>
          <w:bCs/>
          <w:lang w:val="bg-BG" w:eastAsia="bg-BG"/>
        </w:rPr>
        <w:t>Актуализиран е Националният списък на одобрените и регистрирани източници за производство на ГРМ;</w:t>
      </w:r>
    </w:p>
    <w:p w14:paraId="68CDAA6B" w14:textId="77777777" w:rsidR="00496E16" w:rsidRPr="00496E16" w:rsidRDefault="00496E16" w:rsidP="00496E16">
      <w:pPr>
        <w:numPr>
          <w:ilvl w:val="0"/>
          <w:numId w:val="17"/>
        </w:numPr>
        <w:spacing w:after="120"/>
        <w:jc w:val="both"/>
        <w:rPr>
          <w:rFonts w:ascii="Arial Narrow" w:hAnsi="Arial Narrow" w:cs="Arial Narrow"/>
          <w:bCs/>
          <w:lang w:val="bg-BG" w:eastAsia="bg-BG"/>
        </w:rPr>
      </w:pPr>
      <w:r w:rsidRPr="00496E16">
        <w:rPr>
          <w:rFonts w:ascii="Arial Narrow" w:hAnsi="Arial Narrow" w:cs="Arial Narrow"/>
          <w:bCs/>
          <w:lang w:val="bg-BG" w:eastAsia="bg-BG"/>
        </w:rPr>
        <w:t>Изготвени са 7 информационни документа за осъществено движение на горски репродуктивни материали с цел търговия от Република България към Република Австрия и Кралство Испания;</w:t>
      </w:r>
    </w:p>
    <w:p w14:paraId="350FBB6A" w14:textId="77777777" w:rsidR="00496E16" w:rsidRPr="00496E16" w:rsidRDefault="00496E16" w:rsidP="00496E16">
      <w:pPr>
        <w:numPr>
          <w:ilvl w:val="0"/>
          <w:numId w:val="17"/>
        </w:numPr>
        <w:spacing w:after="120"/>
        <w:jc w:val="both"/>
        <w:rPr>
          <w:rFonts w:ascii="Arial Narrow" w:hAnsi="Arial Narrow" w:cs="Arial Narrow"/>
          <w:bCs/>
          <w:lang w:val="bg-BG" w:eastAsia="bg-BG"/>
        </w:rPr>
      </w:pPr>
      <w:r w:rsidRPr="00496E16">
        <w:rPr>
          <w:rFonts w:ascii="Arial Narrow" w:hAnsi="Arial Narrow" w:cs="Arial Narrow"/>
          <w:bCs/>
          <w:lang w:val="bg-BG" w:eastAsia="bg-BG"/>
        </w:rPr>
        <w:t xml:space="preserve">Одобрени и регистрирани са 28 нови базови източници от категория за производство на ГРМ върху площ от 160,4 ха, отговарящи на минималните изисквания на директива 1999/105/ЕС и са отменени 18 базови източника върху площ от 160,4 ха; </w:t>
      </w:r>
    </w:p>
    <w:p w14:paraId="3795A49B" w14:textId="77777777" w:rsidR="00496E16" w:rsidRPr="00496E16" w:rsidRDefault="00496E16" w:rsidP="00496E16">
      <w:pPr>
        <w:numPr>
          <w:ilvl w:val="0"/>
          <w:numId w:val="17"/>
        </w:numPr>
        <w:spacing w:after="120"/>
        <w:jc w:val="both"/>
        <w:rPr>
          <w:rFonts w:ascii="Arial Narrow" w:hAnsi="Arial Narrow" w:cs="Arial Narrow"/>
          <w:bCs/>
          <w:lang w:val="bg-BG" w:eastAsia="bg-BG"/>
        </w:rPr>
      </w:pPr>
      <w:r w:rsidRPr="00496E16">
        <w:rPr>
          <w:rFonts w:ascii="Arial Narrow" w:hAnsi="Arial Narrow" w:cs="Arial Narrow"/>
          <w:bCs/>
          <w:lang w:val="bg-BG" w:eastAsia="bg-BG"/>
        </w:rPr>
        <w:t>От специалисти на ГСС са извършени 516 контролни проверки на състоянието и провежданите дейности в регистрираните базови източници за ГРМ върху площ от 5 447 ха;</w:t>
      </w:r>
    </w:p>
    <w:p w14:paraId="02D892A6" w14:textId="77777777" w:rsidR="00496E16" w:rsidRPr="00496E16" w:rsidRDefault="00496E16" w:rsidP="00496E16">
      <w:pPr>
        <w:numPr>
          <w:ilvl w:val="0"/>
          <w:numId w:val="17"/>
        </w:numPr>
        <w:spacing w:after="120"/>
        <w:jc w:val="both"/>
        <w:rPr>
          <w:rFonts w:ascii="Arial Narrow" w:hAnsi="Arial Narrow" w:cs="Arial Narrow"/>
          <w:bCs/>
          <w:lang w:val="bg-BG" w:eastAsia="bg-BG"/>
        </w:rPr>
      </w:pPr>
      <w:r w:rsidRPr="00496E16">
        <w:rPr>
          <w:rFonts w:ascii="Arial Narrow" w:hAnsi="Arial Narrow" w:cs="Arial Narrow"/>
          <w:bCs/>
          <w:lang w:val="bg-BG" w:eastAsia="bg-BG"/>
        </w:rPr>
        <w:t>За идентифициране произхода на ГРМ от експерти в РДГ и ГСС са издадени общо 180 сертификата;</w:t>
      </w:r>
    </w:p>
    <w:p w14:paraId="497E9098" w14:textId="77777777" w:rsidR="00496E16" w:rsidRPr="00496E16" w:rsidRDefault="00496E16" w:rsidP="00496E16">
      <w:pPr>
        <w:numPr>
          <w:ilvl w:val="0"/>
          <w:numId w:val="17"/>
        </w:numPr>
        <w:spacing w:after="120"/>
        <w:jc w:val="both"/>
        <w:rPr>
          <w:rFonts w:ascii="Arial Narrow" w:hAnsi="Arial Narrow" w:cs="Arial Narrow"/>
          <w:bCs/>
          <w:lang w:val="bg-BG" w:eastAsia="bg-BG"/>
        </w:rPr>
      </w:pPr>
      <w:r w:rsidRPr="00496E16">
        <w:rPr>
          <w:rFonts w:ascii="Arial Narrow" w:hAnsi="Arial Narrow" w:cs="Arial Narrow"/>
          <w:bCs/>
          <w:lang w:val="bg-BG" w:eastAsia="bg-BG"/>
        </w:rPr>
        <w:t>В семеконтролните лаборатории на ГСС София и Пловдив са издадени 202 семеконтролни свидетелства на партиди семена от широколистни и иглолистни видове;</w:t>
      </w:r>
    </w:p>
    <w:p w14:paraId="177DEA18" w14:textId="77777777" w:rsidR="00496E16" w:rsidRPr="00496E16" w:rsidRDefault="00496E16" w:rsidP="00496E16">
      <w:pPr>
        <w:numPr>
          <w:ilvl w:val="0"/>
          <w:numId w:val="17"/>
        </w:numPr>
        <w:spacing w:after="120"/>
        <w:jc w:val="both"/>
        <w:rPr>
          <w:rFonts w:ascii="Arial Narrow" w:hAnsi="Arial Narrow" w:cs="Arial Narrow"/>
          <w:bCs/>
          <w:lang w:val="bg-BG" w:eastAsia="bg-BG"/>
        </w:rPr>
      </w:pPr>
      <w:r w:rsidRPr="00496E16">
        <w:rPr>
          <w:rFonts w:ascii="Arial Narrow" w:hAnsi="Arial Narrow" w:cs="Arial Narrow"/>
          <w:bCs/>
          <w:lang w:val="bg-BG" w:eastAsia="bg-BG"/>
        </w:rPr>
        <w:t>В семехранилището за дългосрочно съхранение в ГСС Пловдив се съхраняват 1 036,1 кг семена от 227 партиди от иглолистни и 9 партиди от широколистни видове;</w:t>
      </w:r>
    </w:p>
    <w:p w14:paraId="548A6127" w14:textId="77777777" w:rsidR="00496E16" w:rsidRPr="00496E16" w:rsidRDefault="00496E16" w:rsidP="00496E16">
      <w:pPr>
        <w:numPr>
          <w:ilvl w:val="0"/>
          <w:numId w:val="17"/>
        </w:numPr>
        <w:spacing w:after="120"/>
        <w:jc w:val="both"/>
        <w:rPr>
          <w:rFonts w:ascii="Arial Narrow" w:hAnsi="Arial Narrow" w:cs="Arial Narrow"/>
          <w:bCs/>
          <w:lang w:val="bg-BG" w:eastAsia="bg-BG"/>
        </w:rPr>
      </w:pPr>
      <w:r w:rsidRPr="00496E16">
        <w:rPr>
          <w:rFonts w:ascii="Arial Narrow" w:hAnsi="Arial Narrow" w:cs="Arial Narrow"/>
          <w:bCs/>
          <w:lang w:val="bg-BG" w:eastAsia="bg-BG"/>
        </w:rPr>
        <w:t>За „Генна банка“ като семенна колекция в ГСС София са съхранени 220,62 кг. семена с различни произходи от 44 дървесни и храстови вида. В ГСС Пловдив са съхранени 18,5 кг от 7 дървесни вида.</w:t>
      </w:r>
    </w:p>
    <w:p w14:paraId="5BBDE51D" w14:textId="77777777" w:rsidR="00496E16" w:rsidRPr="00496E16" w:rsidRDefault="00496E16" w:rsidP="00496E16">
      <w:pPr>
        <w:spacing w:after="120"/>
        <w:ind w:firstLine="709"/>
        <w:jc w:val="both"/>
        <w:rPr>
          <w:rFonts w:ascii="Arial Narrow" w:hAnsi="Arial Narrow"/>
          <w:lang w:val="bg-BG" w:eastAsia="bg-BG"/>
        </w:rPr>
      </w:pPr>
      <w:r w:rsidRPr="00496E16">
        <w:rPr>
          <w:rFonts w:ascii="Arial Narrow" w:hAnsi="Arial Narrow"/>
          <w:lang w:val="bg-BG" w:eastAsia="bg-BG"/>
        </w:rPr>
        <w:t>За защита на горските територии от ерозия и порои са извършени 511,5 ха противоерозионни залесявания.</w:t>
      </w:r>
    </w:p>
    <w:p w14:paraId="1F0B8279" w14:textId="77777777" w:rsidR="00496E16" w:rsidRPr="00496E16" w:rsidRDefault="00496E16" w:rsidP="00496E16">
      <w:pPr>
        <w:widowControl w:val="0"/>
        <w:spacing w:after="120"/>
        <w:ind w:firstLine="709"/>
        <w:jc w:val="both"/>
        <w:rPr>
          <w:rFonts w:ascii="Arial Narrow" w:hAnsi="Arial Narrow"/>
          <w:lang w:val="bg-BG" w:eastAsia="bg-BG"/>
        </w:rPr>
      </w:pPr>
      <w:r w:rsidRPr="00496E16">
        <w:rPr>
          <w:rFonts w:ascii="Arial Narrow" w:hAnsi="Arial Narrow"/>
          <w:lang w:val="bg-BG" w:eastAsia="bg-BG"/>
        </w:rPr>
        <w:t>За залесителни мероприятия и защита срещу ерозия и порои в държавни горски територии са изразходвани 19,2 млн. лева.</w:t>
      </w:r>
    </w:p>
    <w:p w14:paraId="179915E1" w14:textId="77777777" w:rsidR="00496E16" w:rsidRPr="00496E16" w:rsidRDefault="00496E16" w:rsidP="00496E16">
      <w:pPr>
        <w:widowControl w:val="0"/>
        <w:spacing w:after="120"/>
        <w:ind w:firstLine="709"/>
        <w:jc w:val="both"/>
        <w:rPr>
          <w:rFonts w:ascii="Arial Narrow" w:hAnsi="Arial Narrow"/>
          <w:lang w:val="bg-BG" w:eastAsia="bg-BG"/>
        </w:rPr>
      </w:pPr>
      <w:r w:rsidRPr="00496E16">
        <w:rPr>
          <w:rFonts w:ascii="Arial Narrow" w:hAnsi="Arial Narrow"/>
          <w:lang w:val="bg-BG" w:eastAsia="bg-BG"/>
        </w:rPr>
        <w:t>За изпълнението на дейностите по залесяване и защита срещу ерозия и порои в държавни горски територии, през 2025 г., са предвидени средства в общ размер на 21 млн. лева.</w:t>
      </w:r>
    </w:p>
    <w:p w14:paraId="66E91BDF" w14:textId="77777777" w:rsidR="00496E16" w:rsidRPr="00496E16" w:rsidRDefault="00ED5011" w:rsidP="00496E16">
      <w:pPr>
        <w:pStyle w:val="ListParagraph"/>
        <w:widowControl w:val="0"/>
        <w:numPr>
          <w:ilvl w:val="1"/>
          <w:numId w:val="21"/>
        </w:numPr>
        <w:spacing w:after="120"/>
        <w:ind w:left="714" w:hanging="357"/>
        <w:jc w:val="both"/>
        <w:outlineLvl w:val="0"/>
        <w:rPr>
          <w:rFonts w:ascii="Arial Narrow" w:hAnsi="Arial Narrow" w:cs="TimesNewRomanUnicode,Italic"/>
          <w:b/>
          <w:iCs/>
          <w:lang w:val="bg-BG" w:eastAsia="bg-BG"/>
        </w:rPr>
      </w:pPr>
      <w:bookmarkStart w:id="233" w:name="_Toc119489983"/>
      <w:bookmarkStart w:id="234" w:name="_Toc210747671"/>
      <w:r w:rsidRPr="00496E16">
        <w:rPr>
          <w:rFonts w:ascii="Arial Narrow" w:hAnsi="Arial Narrow" w:cs="TimesNewRomanUnicode,Italic"/>
          <w:b/>
          <w:iCs/>
          <w:lang w:val="bg-BG" w:eastAsia="bg-BG"/>
        </w:rPr>
        <w:t>Провеждане на сечи в горите</w:t>
      </w:r>
      <w:bookmarkEnd w:id="233"/>
      <w:bookmarkEnd w:id="234"/>
      <w:r w:rsidRPr="00496E16">
        <w:rPr>
          <w:rFonts w:ascii="Arial Narrow" w:hAnsi="Arial Narrow" w:cs="TimesNewRomanUnicode,Italic"/>
          <w:b/>
          <w:iCs/>
          <w:lang w:val="bg-BG" w:eastAsia="bg-BG"/>
        </w:rPr>
        <w:t xml:space="preserve"> </w:t>
      </w:r>
    </w:p>
    <w:p w14:paraId="17DF30A0" w14:textId="77777777" w:rsidR="00496E16" w:rsidRPr="00496E16" w:rsidRDefault="00496E16" w:rsidP="00496E16">
      <w:pPr>
        <w:widowControl w:val="0"/>
        <w:spacing w:after="120"/>
        <w:ind w:firstLine="709"/>
        <w:jc w:val="both"/>
        <w:rPr>
          <w:rFonts w:ascii="Arial Narrow" w:hAnsi="Arial Narrow"/>
          <w:color w:val="FF0000"/>
          <w:lang w:val="bg-BG" w:eastAsia="bg-BG"/>
        </w:rPr>
      </w:pPr>
      <w:r w:rsidRPr="00496E16">
        <w:rPr>
          <w:rFonts w:ascii="Arial Narrow" w:hAnsi="Arial Narrow"/>
          <w:lang w:val="bg-BG" w:eastAsia="bg-BG"/>
        </w:rPr>
        <w:t>През 2024 г. в държавните гори за регулиране на дървесния състав и подобряване на растежните условия са проведени отгледни сечи на площ 33</w:t>
      </w:r>
      <w:r w:rsidRPr="00496E16">
        <w:rPr>
          <w:rFonts w:ascii="Arial Narrow" w:hAnsi="Arial Narrow"/>
          <w:lang w:eastAsia="bg-BG"/>
        </w:rPr>
        <w:t xml:space="preserve"> </w:t>
      </w:r>
      <w:r w:rsidRPr="00496E16">
        <w:rPr>
          <w:rFonts w:ascii="Arial Narrow" w:hAnsi="Arial Narrow"/>
          <w:lang w:val="bg-BG" w:eastAsia="bg-BG"/>
        </w:rPr>
        <w:t>247</w:t>
      </w:r>
      <w:r w:rsidRPr="00496E16">
        <w:rPr>
          <w:rFonts w:ascii="Arial Narrow" w:hAnsi="Arial Narrow"/>
          <w:lang w:eastAsia="bg-BG"/>
        </w:rPr>
        <w:t>,</w:t>
      </w:r>
      <w:r w:rsidRPr="00496E16">
        <w:rPr>
          <w:rFonts w:ascii="Arial Narrow" w:hAnsi="Arial Narrow"/>
          <w:lang w:val="bg-BG" w:eastAsia="bg-BG"/>
        </w:rPr>
        <w:t>3 ха, което представлява 5</w:t>
      </w:r>
      <w:r w:rsidRPr="00496E16">
        <w:rPr>
          <w:rFonts w:ascii="Arial Narrow" w:hAnsi="Arial Narrow"/>
          <w:lang w:eastAsia="bg-BG"/>
        </w:rPr>
        <w:t>1,6</w:t>
      </w:r>
      <w:r w:rsidRPr="00496E16">
        <w:rPr>
          <w:rFonts w:ascii="Arial Narrow" w:hAnsi="Arial Narrow"/>
          <w:lang w:val="bg-BG" w:eastAsia="bg-BG"/>
        </w:rPr>
        <w:t>% от предвижданията на ГСП/ЛУП. От проведените отгледни сечи, 48,9% са в иглолистни гори, 33% в широколистни високостъблени гори и 18,1% в издънкови гори за превръщане в семенни. Изпълнението на отгледните сечи без материален добив на площ от 1 399 ха е 44,7% от предвижданията на ГСП/ЛУП. По видове отгледни сечи изпълнението ГСП/ЛУП е 43,2% за осветленията, 33,1% за прочистките, 41,8% за прорежданията и 60,2% за пробирките.</w:t>
      </w:r>
    </w:p>
    <w:p w14:paraId="68593234" w14:textId="77777777" w:rsidR="00496E16" w:rsidRPr="00496E16" w:rsidRDefault="00496E16" w:rsidP="00496E16">
      <w:pPr>
        <w:widowControl w:val="0"/>
        <w:spacing w:after="120"/>
        <w:ind w:firstLine="720"/>
        <w:jc w:val="both"/>
        <w:rPr>
          <w:rFonts w:ascii="Arial Narrow" w:hAnsi="Arial Narrow"/>
          <w:lang w:val="bg-BG" w:eastAsia="bg-BG"/>
        </w:rPr>
      </w:pPr>
      <w:r w:rsidRPr="00496E16">
        <w:rPr>
          <w:rFonts w:ascii="Arial Narrow" w:hAnsi="Arial Narrow"/>
          <w:lang w:val="bg-BG" w:eastAsia="bg-BG"/>
        </w:rPr>
        <w:t xml:space="preserve">През годината са проведени селекционни сечи на площ от 809,6 ха, с което предвижданията на ГСП/ЛУП са изпълнени на 70%.           </w:t>
      </w:r>
    </w:p>
    <w:p w14:paraId="40E7EB0E" w14:textId="77777777" w:rsidR="00496E16" w:rsidRPr="00496E16" w:rsidRDefault="00496E16" w:rsidP="00496E16">
      <w:pPr>
        <w:widowControl w:val="0"/>
        <w:spacing w:after="120"/>
        <w:ind w:firstLine="709"/>
        <w:jc w:val="both"/>
        <w:rPr>
          <w:rFonts w:ascii="Arial Narrow" w:hAnsi="Arial Narrow"/>
          <w:lang w:val="bg-BG" w:eastAsia="bg-BG"/>
        </w:rPr>
      </w:pPr>
      <w:r w:rsidRPr="00496E16">
        <w:rPr>
          <w:rFonts w:ascii="Arial Narrow" w:hAnsi="Arial Narrow"/>
          <w:lang w:val="bg-BG" w:eastAsia="bg-BG"/>
        </w:rPr>
        <w:t>От специалисти на ГСС са извършени двукратни контролни проверки на маркирането и на проведените селекционни сечи в семепроизводствени насаждения върху обща площ от 1 109 ха.</w:t>
      </w:r>
    </w:p>
    <w:p w14:paraId="1C313CB9" w14:textId="77777777" w:rsidR="00496E16" w:rsidRPr="00496E16" w:rsidRDefault="00496E16" w:rsidP="00496E16">
      <w:pPr>
        <w:widowControl w:val="0"/>
        <w:spacing w:after="120"/>
        <w:ind w:firstLine="709"/>
        <w:jc w:val="both"/>
        <w:rPr>
          <w:rFonts w:ascii="Arial Narrow" w:hAnsi="Arial Narrow"/>
          <w:lang w:val="bg-BG" w:eastAsia="bg-BG"/>
        </w:rPr>
      </w:pPr>
      <w:r w:rsidRPr="00496E16">
        <w:rPr>
          <w:rFonts w:ascii="Arial Narrow" w:hAnsi="Arial Narrow"/>
          <w:color w:val="FF0000"/>
          <w:lang w:val="bg-BG" w:eastAsia="bg-BG"/>
        </w:rPr>
        <w:tab/>
      </w:r>
      <w:r w:rsidRPr="00496E16">
        <w:rPr>
          <w:rFonts w:ascii="Arial Narrow" w:hAnsi="Arial Narrow"/>
          <w:lang w:val="bg-BG" w:eastAsia="bg-BG"/>
        </w:rPr>
        <w:t xml:space="preserve">В рамките на 2024 г. в недържавните гори са проведени отгледни сечи на площ от 5 512,5 </w:t>
      </w:r>
      <w:r w:rsidRPr="00496E16">
        <w:rPr>
          <w:rFonts w:ascii="Arial Narrow" w:hAnsi="Arial Narrow"/>
          <w:lang w:val="ru-RU" w:eastAsia="bg-BG"/>
        </w:rPr>
        <w:t>х</w:t>
      </w:r>
      <w:r w:rsidRPr="00496E16">
        <w:rPr>
          <w:rFonts w:ascii="Arial Narrow" w:hAnsi="Arial Narrow"/>
          <w:lang w:val="bg-BG" w:eastAsia="bg-BG"/>
        </w:rPr>
        <w:t xml:space="preserve">а, от които: </w:t>
      </w:r>
      <w:r w:rsidRPr="00496E16">
        <w:rPr>
          <w:rFonts w:ascii="Arial Narrow" w:hAnsi="Arial Narrow"/>
          <w:lang w:val="ru-RU" w:eastAsia="bg-BG"/>
        </w:rPr>
        <w:t>3 459,6 х</w:t>
      </w:r>
      <w:r w:rsidRPr="00496E16">
        <w:rPr>
          <w:rFonts w:ascii="Arial Narrow" w:hAnsi="Arial Narrow"/>
          <w:lang w:val="bg-BG" w:eastAsia="bg-BG"/>
        </w:rPr>
        <w:t>а в общински гори, 1 675,9 ха в гори - собственост на физически лица, 290,2 ха в гори - собственост на юридически лица и 86,8 ха в гори - собственост на религиозни организации.</w:t>
      </w:r>
    </w:p>
    <w:p w14:paraId="27F3475F" w14:textId="77777777" w:rsidR="00496E16" w:rsidRPr="00496E16" w:rsidRDefault="00496E16" w:rsidP="00496E16">
      <w:pPr>
        <w:widowControl w:val="0"/>
        <w:spacing w:after="120"/>
        <w:ind w:firstLine="709"/>
        <w:jc w:val="both"/>
        <w:rPr>
          <w:rFonts w:ascii="Arial Narrow" w:hAnsi="Arial Narrow"/>
          <w:lang w:val="bg-BG" w:eastAsia="bg-BG"/>
        </w:rPr>
      </w:pPr>
      <w:r w:rsidRPr="00496E16">
        <w:rPr>
          <w:rFonts w:ascii="Arial Narrow" w:hAnsi="Arial Narrow"/>
          <w:lang w:val="bg-BG" w:eastAsia="bg-BG"/>
        </w:rPr>
        <w:t xml:space="preserve">В държавните гори е извършено кастрене на стоящи дървета за подобряване на качеството на произвежданата дървесина и подпомагане процеса на естественото самоокастряне на дървостоите върху </w:t>
      </w:r>
      <w:r w:rsidRPr="00496E16">
        <w:rPr>
          <w:rFonts w:ascii="Arial Narrow" w:hAnsi="Arial Narrow"/>
          <w:lang w:val="bg-BG" w:eastAsia="bg-BG"/>
        </w:rPr>
        <w:lastRenderedPageBreak/>
        <w:t>1 178,2 ха, с 681,8 ха по-малко от разчета за дейността за 2024 г. Подпомогнато е естественото възобновяване върху площ от 6 383,2 ха (55,5% от предвижданията на ГСП), 8 063,4 ха по-малко от изпълнението през предходната година. Маркиран е лесосечен фонд в размер на 5 019 465</w:t>
      </w:r>
      <w:r w:rsidRPr="00496E16">
        <w:rPr>
          <w:rFonts w:ascii="Arial Narrow" w:hAnsi="Arial Narrow"/>
          <w:lang w:eastAsia="bg-BG"/>
        </w:rPr>
        <w:t xml:space="preserve"> </w:t>
      </w:r>
      <w:r w:rsidRPr="00496E16">
        <w:rPr>
          <w:rFonts w:ascii="Arial Narrow" w:hAnsi="Arial Narrow"/>
          <w:lang w:val="bg-BG" w:eastAsia="bg-BG"/>
        </w:rPr>
        <w:t xml:space="preserve">куб. м стояща  дървесина или с 81 030 куб. м по-малко в сравнение с 2023 г.  </w:t>
      </w:r>
    </w:p>
    <w:p w14:paraId="3B05C9E6" w14:textId="77777777" w:rsidR="00496E16" w:rsidRPr="00496E16" w:rsidRDefault="00496E16" w:rsidP="00496E16">
      <w:pPr>
        <w:widowControl w:val="0"/>
        <w:spacing w:after="120"/>
        <w:ind w:firstLine="709"/>
        <w:jc w:val="both"/>
        <w:rPr>
          <w:rFonts w:ascii="Arial Narrow" w:hAnsi="Arial Narrow"/>
          <w:lang w:val="bg-BG" w:eastAsia="bg-BG"/>
        </w:rPr>
      </w:pPr>
      <w:r w:rsidRPr="00496E16">
        <w:rPr>
          <w:rFonts w:ascii="Arial Narrow" w:hAnsi="Arial Narrow"/>
          <w:lang w:val="bg-BG" w:eastAsia="bg-BG"/>
        </w:rPr>
        <w:t>За изпълнение на дейностите, свързани със стопанисване на горските територии - държавна собственост, през 2024 г. ДП са изразходвали общо 5,5 млн. лева.</w:t>
      </w:r>
    </w:p>
    <w:p w14:paraId="681F53D8" w14:textId="77777777" w:rsidR="00496E16" w:rsidRPr="000E7602" w:rsidRDefault="00496E16" w:rsidP="000E7602">
      <w:pPr>
        <w:widowControl w:val="0"/>
        <w:spacing w:after="120"/>
        <w:ind w:firstLine="709"/>
        <w:jc w:val="both"/>
        <w:rPr>
          <w:rFonts w:ascii="Arial Narrow" w:hAnsi="Arial Narrow"/>
          <w:lang w:val="bg-BG" w:eastAsia="bg-BG"/>
        </w:rPr>
      </w:pPr>
      <w:r w:rsidRPr="00496E16">
        <w:rPr>
          <w:rFonts w:ascii="Arial Narrow" w:hAnsi="Arial Narrow"/>
          <w:lang w:val="bg-BG" w:eastAsia="bg-BG"/>
        </w:rPr>
        <w:t>Общият размер на предвидените средства за осъществяване на дейностите по стопанисван</w:t>
      </w:r>
      <w:r w:rsidR="000E7602">
        <w:rPr>
          <w:rFonts w:ascii="Arial Narrow" w:hAnsi="Arial Narrow"/>
          <w:lang w:val="bg-BG" w:eastAsia="bg-BG"/>
        </w:rPr>
        <w:t>е през 2025 г. е 9,3 млн. лева.</w:t>
      </w:r>
    </w:p>
    <w:p w14:paraId="14E076C3" w14:textId="77777777" w:rsidR="00ED5011" w:rsidRPr="00013528" w:rsidRDefault="00ED5011" w:rsidP="007C1DE2">
      <w:pPr>
        <w:keepNext/>
        <w:widowControl w:val="0"/>
        <w:numPr>
          <w:ilvl w:val="0"/>
          <w:numId w:val="20"/>
        </w:numPr>
        <w:spacing w:after="120"/>
        <w:ind w:hanging="357"/>
        <w:outlineLvl w:val="0"/>
        <w:rPr>
          <w:rFonts w:ascii="Arial Narrow" w:hAnsi="Arial Narrow" w:cstheme="minorBidi"/>
          <w:b/>
          <w:lang w:val="bg-BG" w:eastAsia="bg-BG"/>
        </w:rPr>
      </w:pPr>
      <w:bookmarkStart w:id="235" w:name="_Toc119489984"/>
      <w:bookmarkStart w:id="236" w:name="_Toc210747672"/>
      <w:r w:rsidRPr="00013528">
        <w:rPr>
          <w:rFonts w:ascii="Arial Narrow" w:hAnsi="Arial Narrow" w:cstheme="minorBidi"/>
          <w:b/>
          <w:lang w:val="bg-BG" w:eastAsia="bg-BG"/>
        </w:rPr>
        <w:t>Ползване на дървесина и на недървесни горски продукти</w:t>
      </w:r>
      <w:bookmarkEnd w:id="235"/>
      <w:bookmarkEnd w:id="236"/>
    </w:p>
    <w:p w14:paraId="0238E2E5" w14:textId="77777777" w:rsidR="00013528" w:rsidRPr="00013528" w:rsidRDefault="00ED5011" w:rsidP="00013528">
      <w:pPr>
        <w:widowControl w:val="0"/>
        <w:numPr>
          <w:ilvl w:val="1"/>
          <w:numId w:val="24"/>
        </w:numPr>
        <w:spacing w:after="120"/>
        <w:ind w:left="547" w:hanging="187"/>
        <w:jc w:val="both"/>
        <w:outlineLvl w:val="0"/>
        <w:rPr>
          <w:rFonts w:ascii="Arial Narrow" w:hAnsi="Arial Narrow" w:cs="TimesNewRomanUnicode,Italic"/>
          <w:b/>
          <w:iCs/>
          <w:lang w:val="bg-BG" w:eastAsia="bg-BG"/>
        </w:rPr>
      </w:pPr>
      <w:r w:rsidRPr="00013528">
        <w:rPr>
          <w:rFonts w:ascii="Arial Narrow" w:hAnsi="Arial Narrow" w:cs="TimesNewRomanUnicode,Italic"/>
          <w:b/>
          <w:iCs/>
          <w:lang w:val="bg-BG" w:eastAsia="bg-BG"/>
        </w:rPr>
        <w:t xml:space="preserve"> </w:t>
      </w:r>
      <w:bookmarkStart w:id="237" w:name="_Toc119489985"/>
      <w:bookmarkStart w:id="238" w:name="_Toc210747673"/>
      <w:r w:rsidRPr="00013528">
        <w:rPr>
          <w:rFonts w:ascii="Arial Narrow" w:hAnsi="Arial Narrow" w:cs="TimesNewRomanUnicode,Italic"/>
          <w:b/>
          <w:iCs/>
          <w:lang w:val="bg-BG" w:eastAsia="bg-BG"/>
        </w:rPr>
        <w:t>Ползване на дървесина</w:t>
      </w:r>
      <w:bookmarkEnd w:id="237"/>
      <w:bookmarkEnd w:id="238"/>
    </w:p>
    <w:p w14:paraId="5B652CAD" w14:textId="77777777" w:rsidR="00013528" w:rsidRPr="00013528" w:rsidRDefault="00013528" w:rsidP="00013528">
      <w:pPr>
        <w:widowControl w:val="0"/>
        <w:spacing w:after="120"/>
        <w:ind w:firstLine="709"/>
        <w:jc w:val="both"/>
        <w:rPr>
          <w:rFonts w:ascii="Arial Narrow" w:hAnsi="Arial Narrow"/>
          <w:lang w:val="bg-BG" w:eastAsia="bg-BG"/>
        </w:rPr>
      </w:pPr>
      <w:r w:rsidRPr="00013528">
        <w:rPr>
          <w:rFonts w:ascii="Arial Narrow" w:hAnsi="Arial Narrow"/>
          <w:lang w:val="bg-BG" w:eastAsia="bg-BG"/>
        </w:rPr>
        <w:t>По данни на ИАГ, през 2024 г. добивът на дървесина от всички горски територии възлиза на 4 736 011 куб. м.</w:t>
      </w:r>
    </w:p>
    <w:p w14:paraId="536FDF9C" w14:textId="77777777" w:rsidR="00013528" w:rsidRPr="00013528" w:rsidRDefault="00013528" w:rsidP="00013528">
      <w:pPr>
        <w:widowControl w:val="0"/>
        <w:spacing w:after="120"/>
        <w:ind w:firstLine="709"/>
        <w:jc w:val="both"/>
        <w:rPr>
          <w:rFonts w:ascii="Arial Narrow" w:hAnsi="Arial Narrow"/>
          <w:lang w:val="bg-BG" w:eastAsia="bg-BG"/>
        </w:rPr>
      </w:pPr>
      <w:r w:rsidRPr="00013528">
        <w:rPr>
          <w:rFonts w:ascii="Arial Narrow" w:hAnsi="Arial Narrow"/>
          <w:lang w:val="bg-BG" w:eastAsia="bg-BG"/>
        </w:rPr>
        <w:t>В рамките на 2024 г. държавните предприятия по чл. 163 от ЗГ са реализирали общо 3 743 461  куб. м дървесина от горските територии - държавна собственост или 81% спрямо планираното количество. Продадената дървесина е с 229 хил. куб. м по-малко от 2023 г.</w:t>
      </w:r>
    </w:p>
    <w:p w14:paraId="05E250B2" w14:textId="77777777" w:rsidR="00013528" w:rsidRPr="00013528" w:rsidRDefault="00013528" w:rsidP="00013528">
      <w:pPr>
        <w:spacing w:after="120"/>
        <w:ind w:firstLine="709"/>
        <w:jc w:val="both"/>
        <w:rPr>
          <w:rFonts w:ascii="Arial Narrow" w:hAnsi="Arial Narrow"/>
          <w:lang w:val="bg-BG" w:eastAsia="bg-BG"/>
        </w:rPr>
      </w:pPr>
      <w:r w:rsidRPr="00013528">
        <w:rPr>
          <w:rFonts w:ascii="Arial Narrow" w:hAnsi="Arial Narrow"/>
          <w:lang w:val="bg-BG" w:eastAsia="bg-BG"/>
        </w:rPr>
        <w:t xml:space="preserve">Реализираната дървесина, пострадала от абиотични и биотични фактори, е в размер на 157 хил. куб. м или 4% от всички продажби. </w:t>
      </w:r>
    </w:p>
    <w:p w14:paraId="563E7B27" w14:textId="77777777" w:rsidR="00013528" w:rsidRPr="00013528" w:rsidRDefault="00013528" w:rsidP="00013528">
      <w:pPr>
        <w:widowControl w:val="0"/>
        <w:spacing w:after="120"/>
        <w:ind w:firstLine="709"/>
        <w:jc w:val="both"/>
        <w:rPr>
          <w:rFonts w:ascii="Arial Narrow" w:hAnsi="Arial Narrow"/>
          <w:lang w:val="bg-BG" w:eastAsia="bg-BG"/>
        </w:rPr>
      </w:pPr>
      <w:r w:rsidRPr="00013528">
        <w:rPr>
          <w:rFonts w:ascii="Arial Narrow" w:hAnsi="Arial Narrow"/>
          <w:lang w:val="bg-BG" w:eastAsia="bg-BG"/>
        </w:rPr>
        <w:t>Общите приходи от продажба на дървесина през 2024 г. възлизат на 337,3 млн. лева, с 19,4% по-малко на годишна база. Общите разходи при ползването на дървесина са на стойност 107,1 млн. лева, с 16,5% под отчетените през 2023 г., като в тях са включени и отчисленията от продажната цена на дървесината към фонд „Инвестиции в горите” в размер на 14,4 млн. лева.</w:t>
      </w:r>
    </w:p>
    <w:p w14:paraId="360773BD" w14:textId="77777777" w:rsidR="00013528" w:rsidRPr="00013528" w:rsidRDefault="00013528" w:rsidP="00013528">
      <w:pPr>
        <w:keepNext/>
        <w:keepLines/>
        <w:widowControl w:val="0"/>
        <w:jc w:val="center"/>
        <w:rPr>
          <w:rFonts w:ascii="Arial Narrow" w:hAnsi="Arial Narrow"/>
          <w:b/>
          <w:i/>
          <w:lang w:val="bg-BG" w:eastAsia="zh-CN"/>
        </w:rPr>
      </w:pPr>
      <w:r w:rsidRPr="00013528">
        <w:rPr>
          <w:rFonts w:ascii="Arial Narrow" w:hAnsi="Arial Narrow"/>
          <w:b/>
          <w:i/>
          <w:lang w:val="bg-BG" w:eastAsia="zh-CN"/>
        </w:rPr>
        <w:t>Фигура VI.1.</w:t>
      </w:r>
      <w:r w:rsidRPr="00013528">
        <w:rPr>
          <w:rFonts w:ascii="Calibri" w:hAnsi="Calibri"/>
          <w:lang w:val="bg-BG" w:eastAsia="zh-CN"/>
        </w:rPr>
        <w:t xml:space="preserve"> </w:t>
      </w:r>
      <w:r w:rsidRPr="00013528">
        <w:rPr>
          <w:rFonts w:ascii="Arial Narrow" w:hAnsi="Arial Narrow"/>
          <w:b/>
          <w:i/>
          <w:lang w:val="bg-BG" w:eastAsia="zh-CN"/>
        </w:rPr>
        <w:t>План и отчет на реализираната дървесина от горските територии – държавна собственост за периода 2020 – 2024 г., хил. куб. м</w:t>
      </w:r>
    </w:p>
    <w:p w14:paraId="56EFFB11" w14:textId="77777777" w:rsidR="00013528" w:rsidRPr="00013528" w:rsidRDefault="00013528" w:rsidP="00013528">
      <w:pPr>
        <w:keepNext/>
        <w:widowControl w:val="0"/>
        <w:spacing w:after="120"/>
        <w:jc w:val="center"/>
        <w:rPr>
          <w:rFonts w:ascii="Arial Narrow" w:hAnsi="Arial Narrow"/>
          <w:b/>
          <w:i/>
          <w:color w:val="FF0000"/>
          <w:lang w:val="bg-BG" w:eastAsia="zh-CN"/>
        </w:rPr>
      </w:pPr>
      <w:r w:rsidRPr="00013528">
        <w:rPr>
          <w:noProof/>
        </w:rPr>
        <w:drawing>
          <wp:inline distT="0" distB="0" distL="0" distR="0" wp14:anchorId="543076C3" wp14:editId="624902E2">
            <wp:extent cx="5220000" cy="3060000"/>
            <wp:effectExtent l="0" t="0" r="0" b="762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4F7F9A1C" w14:textId="77777777" w:rsidR="00013528" w:rsidRPr="000E7602" w:rsidRDefault="00013528" w:rsidP="00013528">
      <w:pPr>
        <w:spacing w:after="240"/>
        <w:ind w:firstLine="709"/>
        <w:jc w:val="both"/>
        <w:rPr>
          <w:rFonts w:ascii="Arial Narrow" w:eastAsia="Calibri" w:hAnsi="Arial Narrow"/>
          <w:b/>
          <w:sz w:val="18"/>
          <w:szCs w:val="18"/>
          <w:lang w:val="bg-BG" w:eastAsia="zh-CN"/>
        </w:rPr>
      </w:pPr>
      <w:r w:rsidRPr="000E7602">
        <w:rPr>
          <w:rFonts w:ascii="Arial Narrow" w:eastAsia="Calibri" w:hAnsi="Arial Narrow"/>
          <w:i/>
          <w:sz w:val="18"/>
          <w:szCs w:val="18"/>
          <w:lang w:val="bg-BG" w:eastAsia="zh-CN"/>
        </w:rPr>
        <w:t>Източник:</w:t>
      </w:r>
      <w:r w:rsidRPr="000E7602">
        <w:rPr>
          <w:rFonts w:ascii="Arial Narrow" w:eastAsia="Calibri" w:hAnsi="Arial Narrow"/>
          <w:b/>
          <w:i/>
          <w:sz w:val="18"/>
          <w:szCs w:val="18"/>
          <w:lang w:val="bg-BG" w:eastAsia="zh-CN"/>
        </w:rPr>
        <w:t xml:space="preserve"> </w:t>
      </w:r>
      <w:r w:rsidRPr="000E7602">
        <w:rPr>
          <w:rFonts w:ascii="Arial Narrow" w:eastAsia="Calibri" w:hAnsi="Arial Narrow"/>
          <w:sz w:val="18"/>
          <w:szCs w:val="18"/>
          <w:lang w:val="bg-BG" w:eastAsia="zh-CN"/>
        </w:rPr>
        <w:t>МЗХ</w:t>
      </w:r>
    </w:p>
    <w:p w14:paraId="6D480354" w14:textId="77777777" w:rsidR="00BF097E" w:rsidRPr="00013528" w:rsidRDefault="00BF097E" w:rsidP="00BF097E">
      <w:pPr>
        <w:spacing w:after="120"/>
        <w:ind w:firstLine="709"/>
        <w:jc w:val="both"/>
        <w:rPr>
          <w:rFonts w:ascii="Arial Narrow" w:hAnsi="Arial Narrow"/>
          <w:lang w:val="bg-BG" w:eastAsia="bg-BG"/>
        </w:rPr>
      </w:pPr>
      <w:r w:rsidRPr="00013528">
        <w:rPr>
          <w:rFonts w:ascii="Arial Narrow" w:hAnsi="Arial Narrow"/>
          <w:lang w:val="bg-BG" w:eastAsia="bg-BG"/>
        </w:rPr>
        <w:t xml:space="preserve">През 2024 г. чрез продажба на добита дървесина от склад са реализирани 53% от общите количества дървесина. Останалите 47% са реализирани чрез продажба на стояща дървесина на физически лица за лична употреба и на юридически лица след провеждане на търгове. За задоволяване на нуждите на физически лица са продадени по ценоразпис общо 529  хил. куб. м дървесина, основно дърва за огрев, което е със 180 хил. куб. м или с 25% по-малко спрямо 2023 г. </w:t>
      </w:r>
    </w:p>
    <w:p w14:paraId="7EB4A193" w14:textId="77777777" w:rsidR="00013528" w:rsidRPr="00013528" w:rsidRDefault="00013528" w:rsidP="00013528">
      <w:pPr>
        <w:spacing w:after="120"/>
        <w:ind w:firstLine="709"/>
        <w:jc w:val="both"/>
        <w:rPr>
          <w:rFonts w:ascii="Arial Narrow" w:hAnsi="Arial Narrow"/>
          <w:lang w:val="bg-BG" w:eastAsia="bg-BG"/>
        </w:rPr>
      </w:pPr>
      <w:r w:rsidRPr="00013528">
        <w:rPr>
          <w:rFonts w:ascii="Arial Narrow" w:hAnsi="Arial Narrow"/>
          <w:lang w:val="bg-BG" w:eastAsia="bg-BG"/>
        </w:rPr>
        <w:lastRenderedPageBreak/>
        <w:t xml:space="preserve">Обемът на предоставената през 2024 г. дървесина по сключени дългосрочни договори от държавните предприятия е 299,6 хил. куб. м стояща дървесина и 220,4 хил. куб. м добита дървесина, а общото количество представлява 14% от реализираната дървесина, като спрямо предходната година този дял нараства с 3 процентни пункта. </w:t>
      </w:r>
    </w:p>
    <w:p w14:paraId="72A7928A" w14:textId="77777777" w:rsidR="00013528" w:rsidRPr="00013528" w:rsidRDefault="00013528" w:rsidP="00013528">
      <w:pPr>
        <w:spacing w:after="120"/>
        <w:ind w:firstLine="709"/>
        <w:jc w:val="both"/>
        <w:rPr>
          <w:rFonts w:ascii="Arial Narrow" w:hAnsi="Arial Narrow"/>
          <w:lang w:val="bg-BG" w:eastAsia="bg-BG"/>
        </w:rPr>
      </w:pPr>
      <w:r w:rsidRPr="00013528">
        <w:rPr>
          <w:rFonts w:ascii="Arial Narrow" w:hAnsi="Arial Narrow"/>
          <w:lang w:val="bg-BG" w:eastAsia="bg-BG"/>
        </w:rPr>
        <w:t xml:space="preserve">След проведени електронни търгове през годината са реализирани продажби за общо 1 327 хил. куб. м дървесина от държавните гори, с 495 хил. куб. м по-малко в сравнение с 2023 г. </w:t>
      </w:r>
    </w:p>
    <w:p w14:paraId="21ADA801" w14:textId="77777777" w:rsidR="00013528" w:rsidRPr="00013528" w:rsidRDefault="00013528" w:rsidP="00013528">
      <w:pPr>
        <w:spacing w:after="120"/>
        <w:ind w:firstLine="709"/>
        <w:jc w:val="both"/>
        <w:rPr>
          <w:rFonts w:ascii="Arial Narrow" w:hAnsi="Arial Narrow"/>
          <w:lang w:val="bg-BG" w:eastAsia="bg-BG"/>
        </w:rPr>
      </w:pPr>
      <w:r w:rsidRPr="00013528">
        <w:rPr>
          <w:rFonts w:ascii="Arial Narrow" w:hAnsi="Arial Narrow"/>
          <w:lang w:val="bg-BG" w:eastAsia="bg-BG"/>
        </w:rPr>
        <w:t xml:space="preserve">Среднопретеглените отчетени продажни цени на дървесината от горските територии - държавна собственост, от склад и на корен, са съответно 111,73 лева/куб. м и 67,43 лева/куб. м, като намаляват респективно с 12% (15,46 лева./куб. м) и с 6,5% (4,68 лева/куб. м). Средните разходи за добив на дървесина се запазват в приблизително същия размер спрямо предходната година. </w:t>
      </w:r>
    </w:p>
    <w:p w14:paraId="1E12E92F" w14:textId="77777777" w:rsidR="00013528" w:rsidRPr="00013528" w:rsidRDefault="00013528" w:rsidP="00013528">
      <w:pPr>
        <w:spacing w:after="120"/>
        <w:ind w:firstLine="709"/>
        <w:jc w:val="both"/>
        <w:rPr>
          <w:rFonts w:ascii="Arial Narrow" w:hAnsi="Arial Narrow"/>
          <w:lang w:val="bg-BG" w:eastAsia="bg-BG"/>
        </w:rPr>
      </w:pPr>
      <w:r w:rsidRPr="00013528">
        <w:rPr>
          <w:rFonts w:ascii="Arial Narrow" w:hAnsi="Arial Narrow"/>
          <w:lang w:val="bg-BG" w:eastAsia="bg-BG"/>
        </w:rPr>
        <w:t>Съгласно финансовите планове на ДП за 2025 г. се предвижда общото ползване на дървесина да бъде 4 382 765 куб. м.</w:t>
      </w:r>
    </w:p>
    <w:p w14:paraId="56887A1A" w14:textId="77777777" w:rsidR="00013528" w:rsidRPr="00013528" w:rsidRDefault="00013528" w:rsidP="00013528">
      <w:pPr>
        <w:keepNext/>
        <w:keepLines/>
        <w:spacing w:after="120"/>
        <w:jc w:val="both"/>
        <w:rPr>
          <w:rFonts w:ascii="Arial Narrow" w:hAnsi="Arial Narrow"/>
          <w:b/>
          <w:bCs/>
          <w:lang w:val="bg-BG" w:eastAsia="bg-BG"/>
        </w:rPr>
      </w:pPr>
      <w:r w:rsidRPr="00013528">
        <w:rPr>
          <w:rFonts w:ascii="Arial Narrow" w:hAnsi="Arial Narrow"/>
          <w:b/>
          <w:bCs/>
          <w:lang w:val="bg-BG" w:eastAsia="bg-BG"/>
        </w:rPr>
        <w:t>Таблица VI.2. Ползване на дървесина от горски територии, предоставени за управление на ДП,      и приходи от продажба през 2024 г.</w:t>
      </w:r>
    </w:p>
    <w:tbl>
      <w:tblPr>
        <w:tblW w:w="981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10"/>
        <w:gridCol w:w="1216"/>
        <w:gridCol w:w="1052"/>
        <w:gridCol w:w="1119"/>
        <w:gridCol w:w="1070"/>
        <w:gridCol w:w="912"/>
        <w:gridCol w:w="939"/>
      </w:tblGrid>
      <w:tr w:rsidR="00013528" w:rsidRPr="00013528" w14:paraId="60F889E1" w14:textId="77777777" w:rsidTr="00DB1BD8">
        <w:trPr>
          <w:trHeight w:val="432"/>
          <w:tblHeader/>
        </w:trPr>
        <w:tc>
          <w:tcPr>
            <w:tcW w:w="3510" w:type="dxa"/>
            <w:vMerge w:val="restart"/>
            <w:shd w:val="clear" w:color="auto" w:fill="auto"/>
            <w:vAlign w:val="center"/>
          </w:tcPr>
          <w:p w14:paraId="4CC122F8" w14:textId="77777777" w:rsidR="00013528" w:rsidRPr="00013528" w:rsidRDefault="00013528" w:rsidP="00013528">
            <w:pPr>
              <w:keepNext/>
              <w:jc w:val="center"/>
              <w:rPr>
                <w:rFonts w:ascii="Arial Narrow" w:hAnsi="Arial Narrow"/>
                <w:b/>
                <w:bCs/>
                <w:sz w:val="20"/>
                <w:szCs w:val="20"/>
                <w:lang w:val="bg-BG" w:eastAsia="bg-BG"/>
              </w:rPr>
            </w:pPr>
            <w:r w:rsidRPr="00013528">
              <w:rPr>
                <w:rFonts w:ascii="Arial Narrow" w:hAnsi="Arial Narrow"/>
                <w:b/>
                <w:bCs/>
                <w:sz w:val="20"/>
                <w:szCs w:val="20"/>
                <w:lang w:val="bg-BG" w:eastAsia="bg-BG"/>
              </w:rPr>
              <w:t>Начин на ползване и на продажба</w:t>
            </w:r>
          </w:p>
        </w:tc>
        <w:tc>
          <w:tcPr>
            <w:tcW w:w="2268" w:type="dxa"/>
            <w:gridSpan w:val="2"/>
            <w:shd w:val="clear" w:color="auto" w:fill="auto"/>
            <w:noWrap/>
            <w:vAlign w:val="center"/>
          </w:tcPr>
          <w:p w14:paraId="286750AC" w14:textId="77777777" w:rsidR="00013528" w:rsidRPr="00013528" w:rsidRDefault="00013528" w:rsidP="00013528">
            <w:pPr>
              <w:keepNext/>
              <w:jc w:val="center"/>
              <w:rPr>
                <w:rFonts w:ascii="Arial Narrow" w:hAnsi="Arial Narrow"/>
                <w:b/>
                <w:sz w:val="20"/>
                <w:szCs w:val="20"/>
                <w:lang w:val="bg-BG" w:eastAsia="bg-BG"/>
              </w:rPr>
            </w:pPr>
            <w:r w:rsidRPr="00013528">
              <w:rPr>
                <w:rFonts w:ascii="Arial Narrow" w:hAnsi="Arial Narrow"/>
                <w:b/>
                <w:sz w:val="20"/>
                <w:szCs w:val="20"/>
                <w:lang w:val="bg-BG" w:eastAsia="bg-BG"/>
              </w:rPr>
              <w:t>2023 г.</w:t>
            </w:r>
          </w:p>
        </w:tc>
        <w:tc>
          <w:tcPr>
            <w:tcW w:w="4040" w:type="dxa"/>
            <w:gridSpan w:val="4"/>
            <w:shd w:val="clear" w:color="auto" w:fill="auto"/>
            <w:noWrap/>
            <w:vAlign w:val="center"/>
          </w:tcPr>
          <w:p w14:paraId="1E8EA264" w14:textId="77777777" w:rsidR="00013528" w:rsidRPr="00013528" w:rsidRDefault="00013528" w:rsidP="00013528">
            <w:pPr>
              <w:keepNext/>
              <w:jc w:val="center"/>
              <w:rPr>
                <w:rFonts w:ascii="Arial Narrow" w:hAnsi="Arial Narrow"/>
                <w:b/>
                <w:sz w:val="20"/>
                <w:szCs w:val="20"/>
                <w:lang w:val="bg-BG" w:eastAsia="bg-BG"/>
              </w:rPr>
            </w:pPr>
            <w:r w:rsidRPr="00013528">
              <w:rPr>
                <w:rFonts w:ascii="Arial Narrow" w:hAnsi="Arial Narrow"/>
                <w:b/>
                <w:sz w:val="20"/>
                <w:szCs w:val="20"/>
                <w:lang w:val="bg-BG" w:eastAsia="bg-BG"/>
              </w:rPr>
              <w:t>2024 г.</w:t>
            </w:r>
          </w:p>
        </w:tc>
      </w:tr>
      <w:tr w:rsidR="00013528" w:rsidRPr="00013528" w14:paraId="4F2A9D84" w14:textId="77777777" w:rsidTr="00DB1BD8">
        <w:trPr>
          <w:trHeight w:val="357"/>
          <w:tblHeader/>
        </w:trPr>
        <w:tc>
          <w:tcPr>
            <w:tcW w:w="3510" w:type="dxa"/>
            <w:vMerge/>
            <w:vAlign w:val="center"/>
          </w:tcPr>
          <w:p w14:paraId="39CE5561" w14:textId="77777777" w:rsidR="00013528" w:rsidRPr="00013528" w:rsidRDefault="00013528" w:rsidP="00013528">
            <w:pPr>
              <w:keepNext/>
              <w:rPr>
                <w:rFonts w:ascii="Arial Narrow" w:hAnsi="Arial Narrow"/>
                <w:b/>
                <w:bCs/>
                <w:sz w:val="20"/>
                <w:szCs w:val="20"/>
                <w:lang w:val="bg-BG" w:eastAsia="bg-BG"/>
              </w:rPr>
            </w:pPr>
          </w:p>
        </w:tc>
        <w:tc>
          <w:tcPr>
            <w:tcW w:w="1216" w:type="dxa"/>
            <w:vMerge w:val="restart"/>
            <w:shd w:val="clear" w:color="auto" w:fill="FFFFFF"/>
            <w:vAlign w:val="center"/>
          </w:tcPr>
          <w:p w14:paraId="3BAE3F82" w14:textId="77777777" w:rsidR="00013528" w:rsidRPr="00013528" w:rsidRDefault="00013528" w:rsidP="00013528">
            <w:pPr>
              <w:keepNext/>
              <w:jc w:val="center"/>
              <w:rPr>
                <w:rFonts w:ascii="Arial Narrow" w:hAnsi="Arial Narrow"/>
                <w:b/>
                <w:sz w:val="20"/>
                <w:szCs w:val="20"/>
                <w:lang w:val="bg-BG" w:eastAsia="bg-BG"/>
              </w:rPr>
            </w:pPr>
            <w:r w:rsidRPr="00013528">
              <w:rPr>
                <w:rFonts w:ascii="Arial Narrow" w:hAnsi="Arial Narrow"/>
                <w:b/>
                <w:sz w:val="20"/>
                <w:szCs w:val="20"/>
                <w:lang w:val="bg-BG" w:eastAsia="bg-BG"/>
              </w:rPr>
              <w:t>Количество           (куб. м)</w:t>
            </w:r>
          </w:p>
        </w:tc>
        <w:tc>
          <w:tcPr>
            <w:tcW w:w="1052" w:type="dxa"/>
            <w:vMerge w:val="restart"/>
            <w:shd w:val="clear" w:color="auto" w:fill="FFFFFF"/>
            <w:vAlign w:val="center"/>
          </w:tcPr>
          <w:p w14:paraId="26C72CD4" w14:textId="77777777" w:rsidR="00013528" w:rsidRPr="00013528" w:rsidRDefault="00013528" w:rsidP="00013528">
            <w:pPr>
              <w:keepNext/>
              <w:jc w:val="center"/>
              <w:rPr>
                <w:rFonts w:ascii="Arial Narrow" w:hAnsi="Arial Narrow"/>
                <w:b/>
                <w:sz w:val="20"/>
                <w:szCs w:val="20"/>
                <w:lang w:val="bg-BG" w:eastAsia="bg-BG"/>
              </w:rPr>
            </w:pPr>
            <w:r w:rsidRPr="00013528">
              <w:rPr>
                <w:rFonts w:ascii="Arial Narrow" w:hAnsi="Arial Narrow"/>
                <w:b/>
                <w:sz w:val="20"/>
                <w:szCs w:val="20"/>
                <w:lang w:val="bg-BG" w:eastAsia="bg-BG"/>
              </w:rPr>
              <w:t>Стойност              (хил. лева)</w:t>
            </w:r>
          </w:p>
        </w:tc>
        <w:tc>
          <w:tcPr>
            <w:tcW w:w="2189" w:type="dxa"/>
            <w:gridSpan w:val="2"/>
            <w:shd w:val="clear" w:color="auto" w:fill="FFFFFF"/>
            <w:vAlign w:val="center"/>
          </w:tcPr>
          <w:p w14:paraId="420F893F" w14:textId="77777777" w:rsidR="00013528" w:rsidRPr="00013528" w:rsidRDefault="00013528" w:rsidP="00013528">
            <w:pPr>
              <w:keepNext/>
              <w:jc w:val="center"/>
              <w:rPr>
                <w:rFonts w:ascii="Arial Narrow" w:hAnsi="Arial Narrow"/>
                <w:b/>
                <w:sz w:val="20"/>
                <w:szCs w:val="20"/>
                <w:lang w:val="bg-BG" w:eastAsia="bg-BG"/>
              </w:rPr>
            </w:pPr>
            <w:r w:rsidRPr="00013528">
              <w:rPr>
                <w:rFonts w:ascii="Arial Narrow" w:hAnsi="Arial Narrow"/>
                <w:b/>
                <w:sz w:val="20"/>
                <w:szCs w:val="20"/>
                <w:lang w:val="bg-BG" w:eastAsia="bg-BG"/>
              </w:rPr>
              <w:t>Количество</w:t>
            </w:r>
          </w:p>
        </w:tc>
        <w:tc>
          <w:tcPr>
            <w:tcW w:w="1851" w:type="dxa"/>
            <w:gridSpan w:val="2"/>
            <w:shd w:val="clear" w:color="auto" w:fill="auto"/>
            <w:noWrap/>
            <w:vAlign w:val="center"/>
          </w:tcPr>
          <w:p w14:paraId="6911139F" w14:textId="77777777" w:rsidR="00013528" w:rsidRPr="00013528" w:rsidRDefault="00013528" w:rsidP="00013528">
            <w:pPr>
              <w:keepNext/>
              <w:jc w:val="center"/>
              <w:rPr>
                <w:rFonts w:ascii="Arial Narrow" w:hAnsi="Arial Narrow"/>
                <w:b/>
                <w:sz w:val="20"/>
                <w:szCs w:val="20"/>
                <w:lang w:val="bg-BG" w:eastAsia="bg-BG"/>
              </w:rPr>
            </w:pPr>
            <w:r w:rsidRPr="00013528">
              <w:rPr>
                <w:rFonts w:ascii="Arial Narrow" w:hAnsi="Arial Narrow"/>
                <w:b/>
                <w:sz w:val="20"/>
                <w:szCs w:val="20"/>
                <w:lang w:val="bg-BG" w:eastAsia="bg-BG"/>
              </w:rPr>
              <w:t>Стойност</w:t>
            </w:r>
          </w:p>
        </w:tc>
      </w:tr>
      <w:tr w:rsidR="00013528" w:rsidRPr="00013528" w14:paraId="5FFA5657" w14:textId="77777777" w:rsidTr="00DB1BD8">
        <w:trPr>
          <w:trHeight w:val="1118"/>
          <w:tblHeader/>
        </w:trPr>
        <w:tc>
          <w:tcPr>
            <w:tcW w:w="3510" w:type="dxa"/>
            <w:vMerge/>
            <w:vAlign w:val="center"/>
          </w:tcPr>
          <w:p w14:paraId="30E9BA3B" w14:textId="77777777" w:rsidR="00013528" w:rsidRPr="00013528" w:rsidRDefault="00013528" w:rsidP="00013528">
            <w:pPr>
              <w:rPr>
                <w:rFonts w:ascii="Arial Narrow" w:hAnsi="Arial Narrow"/>
                <w:b/>
                <w:bCs/>
                <w:sz w:val="20"/>
                <w:szCs w:val="20"/>
                <w:lang w:val="bg-BG" w:eastAsia="bg-BG"/>
              </w:rPr>
            </w:pPr>
          </w:p>
        </w:tc>
        <w:tc>
          <w:tcPr>
            <w:tcW w:w="1216" w:type="dxa"/>
            <w:vMerge/>
            <w:vAlign w:val="center"/>
          </w:tcPr>
          <w:p w14:paraId="119A24C8" w14:textId="77777777" w:rsidR="00013528" w:rsidRPr="00013528" w:rsidRDefault="00013528" w:rsidP="00013528">
            <w:pPr>
              <w:rPr>
                <w:rFonts w:ascii="Arial Narrow" w:hAnsi="Arial Narrow"/>
                <w:b/>
                <w:sz w:val="20"/>
                <w:szCs w:val="20"/>
                <w:lang w:val="bg-BG" w:eastAsia="bg-BG"/>
              </w:rPr>
            </w:pPr>
          </w:p>
        </w:tc>
        <w:tc>
          <w:tcPr>
            <w:tcW w:w="1052" w:type="dxa"/>
            <w:vMerge/>
            <w:vAlign w:val="center"/>
          </w:tcPr>
          <w:p w14:paraId="6181BABC" w14:textId="77777777" w:rsidR="00013528" w:rsidRPr="00013528" w:rsidRDefault="00013528" w:rsidP="00013528">
            <w:pPr>
              <w:rPr>
                <w:rFonts w:ascii="Arial Narrow" w:hAnsi="Arial Narrow"/>
                <w:b/>
                <w:sz w:val="20"/>
                <w:szCs w:val="20"/>
                <w:lang w:val="bg-BG" w:eastAsia="bg-BG"/>
              </w:rPr>
            </w:pPr>
          </w:p>
        </w:tc>
        <w:tc>
          <w:tcPr>
            <w:tcW w:w="1119" w:type="dxa"/>
            <w:shd w:val="clear" w:color="auto" w:fill="auto"/>
            <w:noWrap/>
            <w:vAlign w:val="center"/>
          </w:tcPr>
          <w:p w14:paraId="48E5B356" w14:textId="77777777" w:rsidR="00013528" w:rsidRPr="00013528" w:rsidRDefault="00013528" w:rsidP="00013528">
            <w:pPr>
              <w:jc w:val="center"/>
              <w:rPr>
                <w:rFonts w:ascii="Arial Narrow" w:hAnsi="Arial Narrow"/>
                <w:b/>
                <w:sz w:val="20"/>
                <w:szCs w:val="20"/>
                <w:lang w:val="bg-BG" w:eastAsia="bg-BG"/>
              </w:rPr>
            </w:pPr>
            <w:r w:rsidRPr="00013528">
              <w:rPr>
                <w:rFonts w:ascii="Arial Narrow" w:hAnsi="Arial Narrow"/>
                <w:b/>
                <w:sz w:val="20"/>
                <w:szCs w:val="20"/>
                <w:lang w:val="bg-BG" w:eastAsia="bg-BG"/>
              </w:rPr>
              <w:t>куб. м</w:t>
            </w:r>
          </w:p>
        </w:tc>
        <w:tc>
          <w:tcPr>
            <w:tcW w:w="1070" w:type="dxa"/>
            <w:shd w:val="clear" w:color="auto" w:fill="FFFFFF"/>
            <w:vAlign w:val="center"/>
          </w:tcPr>
          <w:p w14:paraId="2F1DB971" w14:textId="77777777" w:rsidR="00013528" w:rsidRPr="00013528" w:rsidRDefault="00013528" w:rsidP="00013528">
            <w:pPr>
              <w:jc w:val="center"/>
              <w:rPr>
                <w:rFonts w:ascii="Arial Narrow" w:hAnsi="Arial Narrow"/>
                <w:b/>
                <w:sz w:val="20"/>
                <w:szCs w:val="20"/>
                <w:lang w:val="bg-BG" w:eastAsia="bg-BG"/>
              </w:rPr>
            </w:pPr>
            <w:r w:rsidRPr="00013528">
              <w:rPr>
                <w:rFonts w:ascii="Arial Narrow" w:hAnsi="Arial Narrow"/>
                <w:b/>
                <w:sz w:val="20"/>
                <w:szCs w:val="20"/>
                <w:lang w:val="bg-BG" w:eastAsia="bg-BG"/>
              </w:rPr>
              <w:t xml:space="preserve">Изм. спрямо 2023 г. </w:t>
            </w:r>
          </w:p>
          <w:p w14:paraId="225FFDAB" w14:textId="77777777" w:rsidR="00013528" w:rsidRPr="00013528" w:rsidRDefault="00013528" w:rsidP="00013528">
            <w:pPr>
              <w:jc w:val="center"/>
              <w:rPr>
                <w:rFonts w:ascii="Arial Narrow" w:hAnsi="Arial Narrow"/>
                <w:b/>
                <w:sz w:val="20"/>
                <w:szCs w:val="20"/>
                <w:lang w:val="bg-BG" w:eastAsia="bg-BG"/>
              </w:rPr>
            </w:pPr>
            <w:r w:rsidRPr="00013528">
              <w:rPr>
                <w:rFonts w:ascii="Arial Narrow" w:hAnsi="Arial Narrow"/>
                <w:b/>
                <w:sz w:val="20"/>
                <w:szCs w:val="20"/>
                <w:lang w:val="bg-BG" w:eastAsia="bg-BG"/>
              </w:rPr>
              <w:t>(%)</w:t>
            </w:r>
          </w:p>
        </w:tc>
        <w:tc>
          <w:tcPr>
            <w:tcW w:w="912" w:type="dxa"/>
            <w:shd w:val="clear" w:color="auto" w:fill="FFFFFF"/>
            <w:vAlign w:val="center"/>
          </w:tcPr>
          <w:p w14:paraId="579345E3" w14:textId="77777777" w:rsidR="00013528" w:rsidRPr="00013528" w:rsidRDefault="00013528" w:rsidP="00013528">
            <w:pPr>
              <w:jc w:val="center"/>
              <w:rPr>
                <w:rFonts w:ascii="Arial Narrow" w:hAnsi="Arial Narrow"/>
                <w:b/>
                <w:sz w:val="20"/>
                <w:szCs w:val="20"/>
                <w:lang w:val="bg-BG" w:eastAsia="bg-BG"/>
              </w:rPr>
            </w:pPr>
            <w:r w:rsidRPr="00013528">
              <w:rPr>
                <w:rFonts w:ascii="Arial Narrow" w:hAnsi="Arial Narrow"/>
                <w:b/>
                <w:sz w:val="20"/>
                <w:szCs w:val="20"/>
                <w:lang w:val="bg-BG" w:eastAsia="bg-BG"/>
              </w:rPr>
              <w:t>хил.</w:t>
            </w:r>
          </w:p>
          <w:p w14:paraId="47ECFB38" w14:textId="77777777" w:rsidR="00013528" w:rsidRPr="00013528" w:rsidRDefault="00013528" w:rsidP="00013528">
            <w:pPr>
              <w:jc w:val="center"/>
              <w:rPr>
                <w:rFonts w:ascii="Arial Narrow" w:hAnsi="Arial Narrow"/>
                <w:b/>
                <w:sz w:val="20"/>
                <w:szCs w:val="20"/>
                <w:lang w:val="bg-BG" w:eastAsia="bg-BG"/>
              </w:rPr>
            </w:pPr>
            <w:r w:rsidRPr="00013528">
              <w:rPr>
                <w:rFonts w:ascii="Arial Narrow" w:hAnsi="Arial Narrow"/>
                <w:b/>
                <w:sz w:val="20"/>
                <w:szCs w:val="20"/>
                <w:lang w:val="bg-BG" w:eastAsia="bg-BG"/>
              </w:rPr>
              <w:t>лева</w:t>
            </w:r>
          </w:p>
        </w:tc>
        <w:tc>
          <w:tcPr>
            <w:tcW w:w="939" w:type="dxa"/>
            <w:shd w:val="clear" w:color="auto" w:fill="FFFFFF"/>
            <w:vAlign w:val="center"/>
          </w:tcPr>
          <w:p w14:paraId="696E6071" w14:textId="77777777" w:rsidR="00013528" w:rsidRPr="00013528" w:rsidRDefault="00013528" w:rsidP="00013528">
            <w:pPr>
              <w:jc w:val="center"/>
              <w:rPr>
                <w:rFonts w:ascii="Arial Narrow" w:hAnsi="Arial Narrow"/>
                <w:b/>
                <w:sz w:val="20"/>
                <w:szCs w:val="20"/>
                <w:lang w:val="bg-BG" w:eastAsia="bg-BG"/>
              </w:rPr>
            </w:pPr>
            <w:r w:rsidRPr="00013528">
              <w:rPr>
                <w:rFonts w:ascii="Arial Narrow" w:hAnsi="Arial Narrow"/>
                <w:b/>
                <w:sz w:val="20"/>
                <w:szCs w:val="20"/>
                <w:lang w:val="bg-BG" w:eastAsia="bg-BG"/>
              </w:rPr>
              <w:t xml:space="preserve">Изм. </w:t>
            </w:r>
          </w:p>
          <w:p w14:paraId="4A76CBBB" w14:textId="77777777" w:rsidR="00013528" w:rsidRPr="00013528" w:rsidRDefault="00013528" w:rsidP="00013528">
            <w:pPr>
              <w:jc w:val="center"/>
              <w:rPr>
                <w:rFonts w:ascii="Arial Narrow" w:hAnsi="Arial Narrow"/>
                <w:b/>
                <w:sz w:val="20"/>
                <w:szCs w:val="20"/>
                <w:lang w:val="bg-BG" w:eastAsia="bg-BG"/>
              </w:rPr>
            </w:pPr>
            <w:r w:rsidRPr="00013528">
              <w:rPr>
                <w:rFonts w:ascii="Arial Narrow" w:hAnsi="Arial Narrow"/>
                <w:b/>
                <w:sz w:val="20"/>
                <w:szCs w:val="20"/>
                <w:lang w:val="bg-BG" w:eastAsia="bg-BG"/>
              </w:rPr>
              <w:t xml:space="preserve">спрямо </w:t>
            </w:r>
          </w:p>
          <w:p w14:paraId="4A72A85D" w14:textId="77777777" w:rsidR="00013528" w:rsidRPr="00013528" w:rsidRDefault="00013528" w:rsidP="00013528">
            <w:pPr>
              <w:jc w:val="center"/>
              <w:rPr>
                <w:rFonts w:ascii="Arial Narrow" w:hAnsi="Arial Narrow"/>
                <w:b/>
                <w:sz w:val="20"/>
                <w:szCs w:val="20"/>
                <w:lang w:val="bg-BG" w:eastAsia="bg-BG"/>
              </w:rPr>
            </w:pPr>
            <w:r w:rsidRPr="00013528">
              <w:rPr>
                <w:rFonts w:ascii="Arial Narrow" w:hAnsi="Arial Narrow"/>
                <w:b/>
                <w:sz w:val="20"/>
                <w:szCs w:val="20"/>
                <w:lang w:val="bg-BG" w:eastAsia="bg-BG"/>
              </w:rPr>
              <w:t xml:space="preserve">2023 г. </w:t>
            </w:r>
          </w:p>
          <w:p w14:paraId="2BB1D30D" w14:textId="77777777" w:rsidR="00013528" w:rsidRPr="00013528" w:rsidRDefault="00013528" w:rsidP="00013528">
            <w:pPr>
              <w:jc w:val="center"/>
              <w:rPr>
                <w:rFonts w:ascii="Arial Narrow" w:hAnsi="Arial Narrow"/>
                <w:b/>
                <w:sz w:val="20"/>
                <w:szCs w:val="20"/>
                <w:lang w:val="bg-BG" w:eastAsia="bg-BG"/>
              </w:rPr>
            </w:pPr>
            <w:r w:rsidRPr="00013528">
              <w:rPr>
                <w:rFonts w:ascii="Arial Narrow" w:hAnsi="Arial Narrow"/>
                <w:b/>
                <w:sz w:val="20"/>
                <w:szCs w:val="20"/>
                <w:lang w:val="bg-BG" w:eastAsia="bg-BG"/>
              </w:rPr>
              <w:t>(%)</w:t>
            </w:r>
          </w:p>
        </w:tc>
      </w:tr>
      <w:tr w:rsidR="00013528" w:rsidRPr="00013528" w14:paraId="1B9BBCB5" w14:textId="77777777" w:rsidTr="00DB1BD8">
        <w:trPr>
          <w:trHeight w:val="572"/>
        </w:trPr>
        <w:tc>
          <w:tcPr>
            <w:tcW w:w="3510" w:type="dxa"/>
            <w:shd w:val="clear" w:color="auto" w:fill="FFFFFF"/>
            <w:noWrap/>
            <w:vAlign w:val="center"/>
          </w:tcPr>
          <w:p w14:paraId="21CF1F6C" w14:textId="77777777" w:rsidR="00013528" w:rsidRPr="00013528" w:rsidRDefault="00013528" w:rsidP="00013528">
            <w:pPr>
              <w:ind w:right="-108"/>
              <w:rPr>
                <w:rFonts w:ascii="Arial Narrow" w:hAnsi="Arial Narrow" w:cs="Arial"/>
                <w:b/>
                <w:bCs/>
                <w:sz w:val="20"/>
                <w:szCs w:val="20"/>
                <w:lang w:val="bg-BG" w:eastAsia="bg-BG"/>
              </w:rPr>
            </w:pPr>
            <w:r w:rsidRPr="00013528">
              <w:rPr>
                <w:rFonts w:ascii="Arial Narrow" w:hAnsi="Arial Narrow" w:cs="Arial"/>
                <w:b/>
                <w:bCs/>
                <w:sz w:val="20"/>
                <w:szCs w:val="20"/>
                <w:lang w:val="bg-BG" w:eastAsia="bg-BG"/>
              </w:rPr>
              <w:t>І. Приходи от продажба на дървесина (1+2+3+4):</w:t>
            </w:r>
          </w:p>
        </w:tc>
        <w:tc>
          <w:tcPr>
            <w:tcW w:w="1216" w:type="dxa"/>
            <w:tcBorders>
              <w:top w:val="nil"/>
              <w:left w:val="nil"/>
              <w:bottom w:val="single" w:sz="8" w:space="0" w:color="auto"/>
              <w:right w:val="single" w:sz="8" w:space="0" w:color="auto"/>
            </w:tcBorders>
            <w:shd w:val="clear" w:color="000000" w:fill="FFFFFF"/>
            <w:noWrap/>
            <w:vAlign w:val="center"/>
          </w:tcPr>
          <w:p w14:paraId="21F54794" w14:textId="77777777" w:rsidR="00013528" w:rsidRPr="00013528" w:rsidRDefault="00013528" w:rsidP="00013528">
            <w:pPr>
              <w:jc w:val="right"/>
              <w:rPr>
                <w:rFonts w:ascii="Arial Narrow" w:hAnsi="Arial Narrow" w:cs="Arial"/>
                <w:b/>
                <w:sz w:val="20"/>
                <w:szCs w:val="20"/>
                <w:lang w:val="bg-BG" w:eastAsia="bg-BG"/>
              </w:rPr>
            </w:pPr>
            <w:r w:rsidRPr="00013528">
              <w:rPr>
                <w:rFonts w:ascii="Arial Narrow" w:hAnsi="Arial Narrow" w:cs="Calibri"/>
                <w:b/>
                <w:bCs/>
                <w:sz w:val="20"/>
                <w:szCs w:val="20"/>
              </w:rPr>
              <w:t>3 972 318</w:t>
            </w:r>
          </w:p>
        </w:tc>
        <w:tc>
          <w:tcPr>
            <w:tcW w:w="1052" w:type="dxa"/>
            <w:tcBorders>
              <w:top w:val="nil"/>
              <w:left w:val="nil"/>
              <w:bottom w:val="single" w:sz="8" w:space="0" w:color="auto"/>
              <w:right w:val="single" w:sz="8" w:space="0" w:color="auto"/>
            </w:tcBorders>
            <w:shd w:val="clear" w:color="000000" w:fill="FFFFFF"/>
            <w:noWrap/>
            <w:vAlign w:val="center"/>
          </w:tcPr>
          <w:p w14:paraId="59C7CE55" w14:textId="77777777" w:rsidR="00013528" w:rsidRPr="00013528" w:rsidRDefault="00013528" w:rsidP="00013528">
            <w:pPr>
              <w:jc w:val="right"/>
              <w:rPr>
                <w:rFonts w:ascii="Arial Narrow" w:hAnsi="Arial Narrow" w:cs="Arial"/>
                <w:b/>
                <w:sz w:val="20"/>
                <w:szCs w:val="20"/>
                <w:lang w:val="bg-BG" w:eastAsia="bg-BG"/>
              </w:rPr>
            </w:pPr>
            <w:r w:rsidRPr="00013528">
              <w:rPr>
                <w:rFonts w:ascii="Arial Narrow" w:hAnsi="Arial Narrow" w:cs="Calibri"/>
                <w:b/>
                <w:bCs/>
                <w:sz w:val="20"/>
                <w:szCs w:val="20"/>
              </w:rPr>
              <w:t>418 395</w:t>
            </w:r>
          </w:p>
        </w:tc>
        <w:tc>
          <w:tcPr>
            <w:tcW w:w="1119" w:type="dxa"/>
            <w:tcBorders>
              <w:top w:val="nil"/>
              <w:left w:val="nil"/>
              <w:bottom w:val="single" w:sz="8" w:space="0" w:color="auto"/>
              <w:right w:val="single" w:sz="8" w:space="0" w:color="auto"/>
            </w:tcBorders>
            <w:shd w:val="clear" w:color="000000" w:fill="FFFFFF"/>
            <w:noWrap/>
            <w:vAlign w:val="center"/>
          </w:tcPr>
          <w:p w14:paraId="61437D5A" w14:textId="77777777" w:rsidR="00013528" w:rsidRPr="00013528" w:rsidRDefault="00013528" w:rsidP="00013528">
            <w:pPr>
              <w:jc w:val="right"/>
              <w:rPr>
                <w:rFonts w:ascii="Arial Narrow" w:hAnsi="Arial Narrow" w:cs="Arial"/>
                <w:b/>
                <w:sz w:val="20"/>
                <w:szCs w:val="20"/>
                <w:lang w:val="bg-BG" w:eastAsia="bg-BG"/>
              </w:rPr>
            </w:pPr>
            <w:r w:rsidRPr="00013528">
              <w:rPr>
                <w:rFonts w:ascii="Arial Narrow" w:hAnsi="Arial Narrow" w:cs="Calibri"/>
                <w:b/>
                <w:bCs/>
                <w:sz w:val="20"/>
                <w:szCs w:val="20"/>
              </w:rPr>
              <w:t>3 743 461</w:t>
            </w:r>
          </w:p>
        </w:tc>
        <w:tc>
          <w:tcPr>
            <w:tcW w:w="1070" w:type="dxa"/>
            <w:tcBorders>
              <w:top w:val="single" w:sz="4" w:space="0" w:color="auto"/>
              <w:left w:val="nil"/>
              <w:bottom w:val="single" w:sz="4" w:space="0" w:color="auto"/>
              <w:right w:val="single" w:sz="4" w:space="0" w:color="auto"/>
            </w:tcBorders>
            <w:shd w:val="clear" w:color="auto" w:fill="auto"/>
            <w:noWrap/>
            <w:vAlign w:val="center"/>
          </w:tcPr>
          <w:p w14:paraId="752CC3CD" w14:textId="77777777" w:rsidR="00013528" w:rsidRPr="00013528" w:rsidRDefault="00013528" w:rsidP="00013528">
            <w:pPr>
              <w:jc w:val="right"/>
              <w:rPr>
                <w:rFonts w:ascii="Arial Narrow" w:hAnsi="Arial Narrow" w:cs="Arial"/>
                <w:b/>
                <w:sz w:val="20"/>
                <w:szCs w:val="20"/>
                <w:lang w:val="bg-BG" w:eastAsia="bg-BG"/>
              </w:rPr>
            </w:pPr>
            <w:r w:rsidRPr="00013528">
              <w:rPr>
                <w:rFonts w:ascii="Arial Narrow" w:hAnsi="Arial Narrow" w:cs="Calibri"/>
                <w:b/>
                <w:bCs/>
                <w:sz w:val="20"/>
                <w:szCs w:val="20"/>
                <w:lang w:val="bg-BG"/>
              </w:rPr>
              <w:t>-6</w:t>
            </w:r>
            <w:r w:rsidRPr="00013528">
              <w:rPr>
                <w:rFonts w:ascii="Arial Narrow" w:hAnsi="Arial Narrow" w:cs="Calibri"/>
                <w:b/>
                <w:bCs/>
                <w:sz w:val="20"/>
                <w:szCs w:val="20"/>
              </w:rPr>
              <w:t>%</w:t>
            </w:r>
          </w:p>
        </w:tc>
        <w:tc>
          <w:tcPr>
            <w:tcW w:w="912" w:type="dxa"/>
            <w:tcBorders>
              <w:top w:val="nil"/>
              <w:left w:val="nil"/>
              <w:bottom w:val="single" w:sz="8" w:space="0" w:color="auto"/>
              <w:right w:val="single" w:sz="8" w:space="0" w:color="auto"/>
            </w:tcBorders>
            <w:shd w:val="clear" w:color="000000" w:fill="FFFFFF"/>
            <w:noWrap/>
            <w:vAlign w:val="center"/>
          </w:tcPr>
          <w:p w14:paraId="51609512" w14:textId="77777777" w:rsidR="00013528" w:rsidRPr="00013528" w:rsidRDefault="00013528" w:rsidP="00013528">
            <w:pPr>
              <w:jc w:val="right"/>
              <w:rPr>
                <w:rFonts w:ascii="Arial Narrow" w:hAnsi="Arial Narrow" w:cs="Arial"/>
                <w:b/>
                <w:sz w:val="20"/>
                <w:szCs w:val="20"/>
                <w:lang w:val="bg-BG" w:eastAsia="bg-BG"/>
              </w:rPr>
            </w:pPr>
            <w:r w:rsidRPr="00013528">
              <w:rPr>
                <w:rFonts w:ascii="Arial Narrow" w:hAnsi="Arial Narrow" w:cs="Calibri"/>
                <w:b/>
                <w:bCs/>
                <w:sz w:val="20"/>
                <w:szCs w:val="20"/>
              </w:rPr>
              <w:t>337 346</w:t>
            </w:r>
          </w:p>
        </w:tc>
        <w:tc>
          <w:tcPr>
            <w:tcW w:w="939" w:type="dxa"/>
            <w:tcBorders>
              <w:top w:val="single" w:sz="4" w:space="0" w:color="auto"/>
              <w:left w:val="nil"/>
              <w:bottom w:val="single" w:sz="4" w:space="0" w:color="auto"/>
              <w:right w:val="single" w:sz="4" w:space="0" w:color="auto"/>
            </w:tcBorders>
            <w:shd w:val="clear" w:color="auto" w:fill="auto"/>
            <w:noWrap/>
            <w:vAlign w:val="center"/>
          </w:tcPr>
          <w:p w14:paraId="0143A84A" w14:textId="77777777" w:rsidR="00013528" w:rsidRPr="00013528" w:rsidRDefault="00013528" w:rsidP="00013528">
            <w:pPr>
              <w:jc w:val="right"/>
              <w:rPr>
                <w:rFonts w:ascii="Arial Narrow" w:hAnsi="Arial Narrow" w:cs="Arial"/>
                <w:b/>
                <w:sz w:val="20"/>
                <w:szCs w:val="20"/>
                <w:lang w:val="bg-BG" w:eastAsia="bg-BG"/>
              </w:rPr>
            </w:pPr>
            <w:r w:rsidRPr="00013528">
              <w:rPr>
                <w:rFonts w:ascii="Arial Narrow" w:hAnsi="Arial Narrow" w:cs="Calibri"/>
                <w:b/>
                <w:bCs/>
                <w:sz w:val="20"/>
                <w:szCs w:val="20"/>
                <w:lang w:val="bg-BG"/>
              </w:rPr>
              <w:t>-19</w:t>
            </w:r>
            <w:r w:rsidRPr="00013528">
              <w:rPr>
                <w:rFonts w:ascii="Arial Narrow" w:hAnsi="Arial Narrow" w:cs="Calibri"/>
                <w:b/>
                <w:bCs/>
                <w:sz w:val="20"/>
                <w:szCs w:val="20"/>
              </w:rPr>
              <w:t>%</w:t>
            </w:r>
          </w:p>
        </w:tc>
      </w:tr>
      <w:tr w:rsidR="00013528" w:rsidRPr="00013528" w14:paraId="32653AD7" w14:textId="77777777" w:rsidTr="00DB1BD8">
        <w:trPr>
          <w:trHeight w:val="343"/>
        </w:trPr>
        <w:tc>
          <w:tcPr>
            <w:tcW w:w="3510" w:type="dxa"/>
            <w:shd w:val="clear" w:color="auto" w:fill="FFFFFF"/>
            <w:vAlign w:val="center"/>
          </w:tcPr>
          <w:p w14:paraId="40A32A78" w14:textId="77777777" w:rsidR="00013528" w:rsidRPr="00013528" w:rsidRDefault="00013528" w:rsidP="00013528">
            <w:pPr>
              <w:ind w:right="-108"/>
              <w:rPr>
                <w:rFonts w:ascii="Arial Narrow" w:hAnsi="Arial Narrow" w:cs="Arial"/>
                <w:sz w:val="20"/>
                <w:szCs w:val="20"/>
                <w:lang w:val="bg-BG" w:eastAsia="bg-BG"/>
              </w:rPr>
            </w:pPr>
            <w:r w:rsidRPr="00013528">
              <w:rPr>
                <w:rFonts w:ascii="Arial Narrow" w:hAnsi="Arial Narrow" w:cs="Arial"/>
                <w:sz w:val="20"/>
                <w:szCs w:val="20"/>
                <w:lang w:val="bg-BG" w:eastAsia="bg-BG"/>
              </w:rPr>
              <w:t>1.Продажба на стояща дървесина на корен</w:t>
            </w:r>
          </w:p>
        </w:tc>
        <w:tc>
          <w:tcPr>
            <w:tcW w:w="1216" w:type="dxa"/>
            <w:tcBorders>
              <w:top w:val="nil"/>
              <w:left w:val="nil"/>
              <w:bottom w:val="single" w:sz="8" w:space="0" w:color="auto"/>
              <w:right w:val="single" w:sz="8" w:space="0" w:color="auto"/>
            </w:tcBorders>
            <w:shd w:val="clear" w:color="000000" w:fill="FFFFFF"/>
            <w:noWrap/>
            <w:vAlign w:val="center"/>
          </w:tcPr>
          <w:p w14:paraId="4EA12435" w14:textId="77777777" w:rsidR="00013528" w:rsidRPr="00013528" w:rsidRDefault="00013528" w:rsidP="00013528">
            <w:pPr>
              <w:jc w:val="right"/>
              <w:rPr>
                <w:rFonts w:ascii="Arial Narrow" w:hAnsi="Arial Narrow" w:cs="Arial"/>
                <w:sz w:val="20"/>
                <w:szCs w:val="20"/>
                <w:lang w:val="bg-BG" w:eastAsia="bg-BG"/>
              </w:rPr>
            </w:pPr>
            <w:r w:rsidRPr="00013528">
              <w:rPr>
                <w:rFonts w:ascii="Arial Narrow" w:hAnsi="Arial Narrow" w:cs="Calibri"/>
                <w:sz w:val="20"/>
                <w:szCs w:val="20"/>
              </w:rPr>
              <w:t>1 504 318</w:t>
            </w:r>
          </w:p>
        </w:tc>
        <w:tc>
          <w:tcPr>
            <w:tcW w:w="1052" w:type="dxa"/>
            <w:tcBorders>
              <w:top w:val="nil"/>
              <w:left w:val="nil"/>
              <w:bottom w:val="single" w:sz="8" w:space="0" w:color="auto"/>
              <w:right w:val="single" w:sz="8" w:space="0" w:color="auto"/>
            </w:tcBorders>
            <w:shd w:val="clear" w:color="000000" w:fill="FFFFFF"/>
            <w:noWrap/>
            <w:vAlign w:val="center"/>
          </w:tcPr>
          <w:p w14:paraId="16F6E8E9" w14:textId="77777777" w:rsidR="00013528" w:rsidRPr="00013528" w:rsidRDefault="00013528" w:rsidP="00013528">
            <w:pPr>
              <w:jc w:val="right"/>
              <w:rPr>
                <w:rFonts w:ascii="Arial Narrow" w:hAnsi="Arial Narrow" w:cs="Arial"/>
                <w:sz w:val="20"/>
                <w:szCs w:val="20"/>
                <w:lang w:val="bg-BG" w:eastAsia="bg-BG"/>
              </w:rPr>
            </w:pPr>
            <w:r w:rsidRPr="00013528">
              <w:rPr>
                <w:rFonts w:ascii="Arial Narrow" w:hAnsi="Arial Narrow" w:cs="Calibri"/>
                <w:sz w:val="20"/>
                <w:szCs w:val="20"/>
              </w:rPr>
              <w:t>108 475</w:t>
            </w:r>
          </w:p>
        </w:tc>
        <w:tc>
          <w:tcPr>
            <w:tcW w:w="1119" w:type="dxa"/>
            <w:tcBorders>
              <w:top w:val="nil"/>
              <w:left w:val="nil"/>
              <w:bottom w:val="single" w:sz="8" w:space="0" w:color="auto"/>
              <w:right w:val="single" w:sz="8" w:space="0" w:color="auto"/>
            </w:tcBorders>
            <w:shd w:val="clear" w:color="000000" w:fill="FFFFFF"/>
            <w:noWrap/>
            <w:vAlign w:val="center"/>
          </w:tcPr>
          <w:p w14:paraId="1951FC74" w14:textId="77777777" w:rsidR="00013528" w:rsidRPr="00013528" w:rsidRDefault="00013528" w:rsidP="00013528">
            <w:pPr>
              <w:jc w:val="right"/>
              <w:rPr>
                <w:rFonts w:ascii="Arial Narrow" w:hAnsi="Arial Narrow" w:cs="Arial"/>
                <w:sz w:val="20"/>
                <w:szCs w:val="20"/>
                <w:lang w:val="bg-BG" w:eastAsia="bg-BG"/>
              </w:rPr>
            </w:pPr>
            <w:r w:rsidRPr="00013528">
              <w:rPr>
                <w:rFonts w:ascii="Arial Narrow" w:hAnsi="Arial Narrow" w:cs="Calibri"/>
                <w:sz w:val="20"/>
                <w:szCs w:val="20"/>
              </w:rPr>
              <w:t>1 741 143</w:t>
            </w:r>
          </w:p>
        </w:tc>
        <w:tc>
          <w:tcPr>
            <w:tcW w:w="1070" w:type="dxa"/>
            <w:tcBorders>
              <w:top w:val="nil"/>
              <w:left w:val="nil"/>
              <w:bottom w:val="single" w:sz="4" w:space="0" w:color="auto"/>
              <w:right w:val="single" w:sz="4" w:space="0" w:color="auto"/>
            </w:tcBorders>
            <w:shd w:val="clear" w:color="auto" w:fill="auto"/>
            <w:noWrap/>
            <w:vAlign w:val="center"/>
          </w:tcPr>
          <w:p w14:paraId="794E9E64" w14:textId="77777777" w:rsidR="00013528" w:rsidRPr="00013528" w:rsidRDefault="00013528" w:rsidP="00013528">
            <w:pPr>
              <w:jc w:val="right"/>
              <w:rPr>
                <w:rFonts w:ascii="Arial Narrow" w:hAnsi="Arial Narrow" w:cs="Arial"/>
                <w:sz w:val="20"/>
                <w:szCs w:val="20"/>
                <w:lang w:val="bg-BG" w:eastAsia="bg-BG"/>
              </w:rPr>
            </w:pPr>
            <w:r w:rsidRPr="00013528">
              <w:rPr>
                <w:rFonts w:ascii="Arial Narrow" w:hAnsi="Arial Narrow" w:cs="Calibri"/>
                <w:sz w:val="20"/>
                <w:szCs w:val="20"/>
                <w:lang w:val="bg-BG"/>
              </w:rPr>
              <w:t>16</w:t>
            </w:r>
            <w:r w:rsidRPr="00013528">
              <w:rPr>
                <w:rFonts w:ascii="Arial Narrow" w:hAnsi="Arial Narrow" w:cs="Calibri"/>
                <w:sz w:val="20"/>
                <w:szCs w:val="20"/>
              </w:rPr>
              <w:t>%</w:t>
            </w:r>
          </w:p>
        </w:tc>
        <w:tc>
          <w:tcPr>
            <w:tcW w:w="912" w:type="dxa"/>
            <w:tcBorders>
              <w:top w:val="nil"/>
              <w:left w:val="nil"/>
              <w:bottom w:val="single" w:sz="8" w:space="0" w:color="auto"/>
              <w:right w:val="single" w:sz="8" w:space="0" w:color="auto"/>
            </w:tcBorders>
            <w:shd w:val="clear" w:color="000000" w:fill="FFFFFF"/>
            <w:noWrap/>
            <w:vAlign w:val="center"/>
          </w:tcPr>
          <w:p w14:paraId="581F61A1" w14:textId="77777777" w:rsidR="00013528" w:rsidRPr="00013528" w:rsidRDefault="00013528" w:rsidP="00013528">
            <w:pPr>
              <w:jc w:val="right"/>
              <w:rPr>
                <w:rFonts w:ascii="Arial Narrow" w:hAnsi="Arial Narrow" w:cs="Arial"/>
                <w:sz w:val="20"/>
                <w:szCs w:val="20"/>
                <w:lang w:val="bg-BG" w:eastAsia="bg-BG"/>
              </w:rPr>
            </w:pPr>
            <w:r w:rsidRPr="00013528">
              <w:rPr>
                <w:rFonts w:ascii="Arial Narrow" w:hAnsi="Arial Narrow" w:cs="Calibri"/>
                <w:sz w:val="20"/>
                <w:szCs w:val="20"/>
              </w:rPr>
              <w:t>117 401</w:t>
            </w:r>
          </w:p>
        </w:tc>
        <w:tc>
          <w:tcPr>
            <w:tcW w:w="939" w:type="dxa"/>
            <w:tcBorders>
              <w:top w:val="nil"/>
              <w:left w:val="nil"/>
              <w:bottom w:val="single" w:sz="4" w:space="0" w:color="auto"/>
              <w:right w:val="single" w:sz="4" w:space="0" w:color="auto"/>
            </w:tcBorders>
            <w:shd w:val="clear" w:color="auto" w:fill="auto"/>
            <w:noWrap/>
            <w:vAlign w:val="center"/>
          </w:tcPr>
          <w:p w14:paraId="46F14EB4" w14:textId="77777777" w:rsidR="00013528" w:rsidRPr="00013528" w:rsidRDefault="00013528" w:rsidP="00013528">
            <w:pPr>
              <w:jc w:val="right"/>
              <w:rPr>
                <w:rFonts w:ascii="Arial Narrow" w:hAnsi="Arial Narrow" w:cs="Arial"/>
                <w:sz w:val="20"/>
                <w:szCs w:val="20"/>
                <w:lang w:val="bg-BG" w:eastAsia="bg-BG"/>
              </w:rPr>
            </w:pPr>
            <w:r w:rsidRPr="00013528">
              <w:rPr>
                <w:rFonts w:ascii="Arial Narrow" w:hAnsi="Arial Narrow" w:cs="Calibri"/>
                <w:sz w:val="20"/>
                <w:szCs w:val="20"/>
                <w:lang w:val="bg-BG"/>
              </w:rPr>
              <w:t>8</w:t>
            </w:r>
            <w:r w:rsidRPr="00013528">
              <w:rPr>
                <w:rFonts w:ascii="Arial Narrow" w:hAnsi="Arial Narrow" w:cs="Calibri"/>
                <w:sz w:val="20"/>
                <w:szCs w:val="20"/>
              </w:rPr>
              <w:t>%</w:t>
            </w:r>
          </w:p>
        </w:tc>
      </w:tr>
      <w:tr w:rsidR="00013528" w:rsidRPr="00013528" w14:paraId="523D6D05" w14:textId="77777777" w:rsidTr="00DB1BD8">
        <w:trPr>
          <w:trHeight w:val="572"/>
        </w:trPr>
        <w:tc>
          <w:tcPr>
            <w:tcW w:w="3510" w:type="dxa"/>
            <w:shd w:val="clear" w:color="auto" w:fill="FFFFFF"/>
            <w:vAlign w:val="center"/>
          </w:tcPr>
          <w:p w14:paraId="708F0FB6" w14:textId="77777777" w:rsidR="00013528" w:rsidRPr="00013528" w:rsidRDefault="00013528" w:rsidP="00013528">
            <w:pPr>
              <w:ind w:right="-108"/>
              <w:rPr>
                <w:rFonts w:ascii="Arial Narrow" w:hAnsi="Arial Narrow" w:cs="Arial"/>
                <w:sz w:val="20"/>
                <w:szCs w:val="20"/>
                <w:lang w:val="bg-BG" w:eastAsia="bg-BG"/>
              </w:rPr>
            </w:pPr>
            <w:r w:rsidRPr="00013528">
              <w:rPr>
                <w:rFonts w:ascii="Arial Narrow" w:hAnsi="Arial Narrow" w:cs="Arial"/>
                <w:sz w:val="20"/>
                <w:szCs w:val="20"/>
                <w:lang w:val="bg-BG" w:eastAsia="bg-BG"/>
              </w:rPr>
              <w:t>1.1. в т.ч. по ценоразпис на физически лица за лична употреба</w:t>
            </w:r>
          </w:p>
        </w:tc>
        <w:tc>
          <w:tcPr>
            <w:tcW w:w="1216" w:type="dxa"/>
            <w:tcBorders>
              <w:top w:val="nil"/>
              <w:left w:val="nil"/>
              <w:bottom w:val="single" w:sz="8" w:space="0" w:color="auto"/>
              <w:right w:val="single" w:sz="8" w:space="0" w:color="auto"/>
            </w:tcBorders>
            <w:shd w:val="clear" w:color="000000" w:fill="FFFFFF"/>
            <w:noWrap/>
            <w:vAlign w:val="center"/>
          </w:tcPr>
          <w:p w14:paraId="3B5AAF81" w14:textId="77777777" w:rsidR="00013528" w:rsidRPr="00013528" w:rsidRDefault="00013528" w:rsidP="00013528">
            <w:pPr>
              <w:jc w:val="right"/>
              <w:rPr>
                <w:rFonts w:ascii="Arial Narrow" w:hAnsi="Arial Narrow" w:cs="Arial"/>
                <w:sz w:val="20"/>
                <w:szCs w:val="20"/>
                <w:lang w:val="bg-BG" w:eastAsia="bg-BG"/>
              </w:rPr>
            </w:pPr>
            <w:r w:rsidRPr="00013528">
              <w:rPr>
                <w:rFonts w:ascii="Arial Narrow" w:hAnsi="Arial Narrow" w:cs="Calibri"/>
                <w:sz w:val="20"/>
                <w:szCs w:val="20"/>
              </w:rPr>
              <w:t>187 606</w:t>
            </w:r>
          </w:p>
        </w:tc>
        <w:tc>
          <w:tcPr>
            <w:tcW w:w="1052" w:type="dxa"/>
            <w:tcBorders>
              <w:top w:val="nil"/>
              <w:left w:val="nil"/>
              <w:bottom w:val="single" w:sz="8" w:space="0" w:color="auto"/>
              <w:right w:val="single" w:sz="8" w:space="0" w:color="auto"/>
            </w:tcBorders>
            <w:shd w:val="clear" w:color="000000" w:fill="FFFFFF"/>
            <w:noWrap/>
            <w:vAlign w:val="center"/>
          </w:tcPr>
          <w:p w14:paraId="210BC168" w14:textId="77777777" w:rsidR="00013528" w:rsidRPr="00013528" w:rsidRDefault="00013528" w:rsidP="00013528">
            <w:pPr>
              <w:jc w:val="right"/>
              <w:rPr>
                <w:rFonts w:ascii="Arial Narrow" w:hAnsi="Arial Narrow" w:cs="Arial"/>
                <w:sz w:val="20"/>
                <w:szCs w:val="20"/>
                <w:lang w:val="bg-BG" w:eastAsia="bg-BG"/>
              </w:rPr>
            </w:pPr>
            <w:r w:rsidRPr="00013528">
              <w:rPr>
                <w:rFonts w:ascii="Arial Narrow" w:hAnsi="Arial Narrow" w:cs="Calibri"/>
                <w:sz w:val="20"/>
                <w:szCs w:val="20"/>
              </w:rPr>
              <w:t>4 747</w:t>
            </w:r>
          </w:p>
        </w:tc>
        <w:tc>
          <w:tcPr>
            <w:tcW w:w="1119" w:type="dxa"/>
            <w:tcBorders>
              <w:top w:val="nil"/>
              <w:left w:val="nil"/>
              <w:bottom w:val="single" w:sz="8" w:space="0" w:color="auto"/>
              <w:right w:val="single" w:sz="8" w:space="0" w:color="auto"/>
            </w:tcBorders>
            <w:shd w:val="clear" w:color="000000" w:fill="FFFFFF"/>
            <w:noWrap/>
            <w:vAlign w:val="center"/>
          </w:tcPr>
          <w:p w14:paraId="5B076894" w14:textId="77777777" w:rsidR="00013528" w:rsidRPr="00013528" w:rsidRDefault="00013528" w:rsidP="00013528">
            <w:pPr>
              <w:jc w:val="right"/>
              <w:rPr>
                <w:rFonts w:ascii="Arial Narrow" w:hAnsi="Arial Narrow" w:cs="Arial"/>
                <w:sz w:val="20"/>
                <w:szCs w:val="20"/>
                <w:lang w:val="bg-BG" w:eastAsia="bg-BG"/>
              </w:rPr>
            </w:pPr>
            <w:r w:rsidRPr="00013528">
              <w:rPr>
                <w:rFonts w:ascii="Arial Narrow" w:hAnsi="Arial Narrow" w:cs="Calibri"/>
                <w:sz w:val="20"/>
                <w:szCs w:val="20"/>
              </w:rPr>
              <w:t>141 576</w:t>
            </w:r>
          </w:p>
        </w:tc>
        <w:tc>
          <w:tcPr>
            <w:tcW w:w="1070" w:type="dxa"/>
            <w:tcBorders>
              <w:top w:val="nil"/>
              <w:left w:val="nil"/>
              <w:bottom w:val="single" w:sz="4" w:space="0" w:color="auto"/>
              <w:right w:val="single" w:sz="4" w:space="0" w:color="auto"/>
            </w:tcBorders>
            <w:shd w:val="clear" w:color="auto" w:fill="auto"/>
            <w:noWrap/>
            <w:vAlign w:val="center"/>
          </w:tcPr>
          <w:p w14:paraId="4643DFA4" w14:textId="77777777" w:rsidR="00013528" w:rsidRPr="00013528" w:rsidRDefault="00013528" w:rsidP="00013528">
            <w:pPr>
              <w:jc w:val="right"/>
              <w:rPr>
                <w:rFonts w:ascii="Arial Narrow" w:hAnsi="Arial Narrow" w:cs="Arial"/>
                <w:sz w:val="20"/>
                <w:szCs w:val="20"/>
                <w:lang w:val="bg-BG" w:eastAsia="bg-BG"/>
              </w:rPr>
            </w:pPr>
            <w:r w:rsidRPr="00013528">
              <w:rPr>
                <w:rFonts w:ascii="Arial Narrow" w:hAnsi="Arial Narrow" w:cs="Arial"/>
                <w:sz w:val="20"/>
                <w:szCs w:val="20"/>
                <w:lang w:val="bg-BG" w:eastAsia="bg-BG"/>
              </w:rPr>
              <w:t>-25%</w:t>
            </w:r>
          </w:p>
        </w:tc>
        <w:tc>
          <w:tcPr>
            <w:tcW w:w="912" w:type="dxa"/>
            <w:tcBorders>
              <w:top w:val="nil"/>
              <w:left w:val="nil"/>
              <w:bottom w:val="single" w:sz="8" w:space="0" w:color="auto"/>
              <w:right w:val="single" w:sz="8" w:space="0" w:color="auto"/>
            </w:tcBorders>
            <w:shd w:val="clear" w:color="000000" w:fill="FFFFFF"/>
            <w:noWrap/>
            <w:vAlign w:val="center"/>
          </w:tcPr>
          <w:p w14:paraId="34E7634E" w14:textId="77777777" w:rsidR="00013528" w:rsidRPr="00013528" w:rsidRDefault="00013528" w:rsidP="00013528">
            <w:pPr>
              <w:jc w:val="right"/>
              <w:rPr>
                <w:rFonts w:ascii="Arial Narrow" w:hAnsi="Arial Narrow" w:cs="Arial"/>
                <w:sz w:val="20"/>
                <w:szCs w:val="20"/>
                <w:lang w:val="bg-BG" w:eastAsia="bg-BG"/>
              </w:rPr>
            </w:pPr>
            <w:r w:rsidRPr="00013528">
              <w:rPr>
                <w:rFonts w:ascii="Arial Narrow" w:hAnsi="Arial Narrow" w:cs="Calibri"/>
                <w:sz w:val="20"/>
                <w:szCs w:val="20"/>
              </w:rPr>
              <w:t>2 920</w:t>
            </w:r>
          </w:p>
        </w:tc>
        <w:tc>
          <w:tcPr>
            <w:tcW w:w="939" w:type="dxa"/>
            <w:tcBorders>
              <w:top w:val="nil"/>
              <w:left w:val="nil"/>
              <w:bottom w:val="single" w:sz="4" w:space="0" w:color="auto"/>
              <w:right w:val="single" w:sz="4" w:space="0" w:color="auto"/>
            </w:tcBorders>
            <w:shd w:val="clear" w:color="auto" w:fill="auto"/>
            <w:noWrap/>
            <w:vAlign w:val="center"/>
          </w:tcPr>
          <w:p w14:paraId="2BD9812D" w14:textId="77777777" w:rsidR="00013528" w:rsidRPr="00013528" w:rsidRDefault="00013528" w:rsidP="00013528">
            <w:pPr>
              <w:jc w:val="right"/>
              <w:rPr>
                <w:rFonts w:ascii="Arial Narrow" w:hAnsi="Arial Narrow" w:cs="Arial"/>
                <w:sz w:val="20"/>
                <w:szCs w:val="20"/>
                <w:lang w:val="bg-BG" w:eastAsia="bg-BG"/>
              </w:rPr>
            </w:pPr>
            <w:r w:rsidRPr="00013528">
              <w:rPr>
                <w:rFonts w:ascii="Arial Narrow" w:hAnsi="Arial Narrow" w:cs="Calibri"/>
                <w:sz w:val="20"/>
                <w:szCs w:val="20"/>
                <w:lang w:val="bg-BG"/>
              </w:rPr>
              <w:t>-38</w:t>
            </w:r>
            <w:r w:rsidRPr="00013528">
              <w:rPr>
                <w:rFonts w:ascii="Arial Narrow" w:hAnsi="Arial Narrow" w:cs="Calibri"/>
                <w:sz w:val="20"/>
                <w:szCs w:val="20"/>
              </w:rPr>
              <w:t>%</w:t>
            </w:r>
          </w:p>
        </w:tc>
      </w:tr>
      <w:tr w:rsidR="00013528" w:rsidRPr="00013528" w14:paraId="2FB41FA6" w14:textId="77777777" w:rsidTr="00DB1BD8">
        <w:trPr>
          <w:trHeight w:val="343"/>
        </w:trPr>
        <w:tc>
          <w:tcPr>
            <w:tcW w:w="3510" w:type="dxa"/>
            <w:shd w:val="clear" w:color="auto" w:fill="FFFFFF"/>
            <w:vAlign w:val="center"/>
          </w:tcPr>
          <w:p w14:paraId="198C3235" w14:textId="77777777" w:rsidR="00013528" w:rsidRPr="00013528" w:rsidRDefault="00013528" w:rsidP="00013528">
            <w:pPr>
              <w:ind w:right="-108"/>
              <w:rPr>
                <w:rFonts w:ascii="Arial Narrow" w:hAnsi="Arial Narrow" w:cs="Arial"/>
                <w:sz w:val="20"/>
                <w:szCs w:val="20"/>
                <w:lang w:val="bg-BG" w:eastAsia="bg-BG"/>
              </w:rPr>
            </w:pPr>
            <w:r w:rsidRPr="00013528">
              <w:rPr>
                <w:rFonts w:ascii="Arial Narrow" w:hAnsi="Arial Narrow" w:cs="Arial"/>
                <w:sz w:val="20"/>
                <w:szCs w:val="20"/>
                <w:lang w:val="bg-BG" w:eastAsia="bg-BG"/>
              </w:rPr>
              <w:t xml:space="preserve">2. Продажба на добита дървесина </w:t>
            </w:r>
          </w:p>
        </w:tc>
        <w:tc>
          <w:tcPr>
            <w:tcW w:w="1216" w:type="dxa"/>
            <w:tcBorders>
              <w:top w:val="nil"/>
              <w:left w:val="nil"/>
              <w:bottom w:val="single" w:sz="8" w:space="0" w:color="auto"/>
              <w:right w:val="single" w:sz="8" w:space="0" w:color="auto"/>
            </w:tcBorders>
            <w:shd w:val="clear" w:color="000000" w:fill="FFFFFF"/>
            <w:noWrap/>
            <w:vAlign w:val="center"/>
          </w:tcPr>
          <w:p w14:paraId="326EE97B" w14:textId="77777777" w:rsidR="00013528" w:rsidRPr="00013528" w:rsidRDefault="00013528" w:rsidP="00013528">
            <w:pPr>
              <w:jc w:val="right"/>
              <w:rPr>
                <w:rFonts w:ascii="Arial Narrow" w:hAnsi="Arial Narrow" w:cs="Arial"/>
                <w:sz w:val="20"/>
                <w:szCs w:val="20"/>
                <w:lang w:val="bg-BG" w:eastAsia="bg-BG"/>
              </w:rPr>
            </w:pPr>
            <w:r w:rsidRPr="00013528">
              <w:rPr>
                <w:rFonts w:ascii="Arial Narrow" w:hAnsi="Arial Narrow" w:cs="Calibri"/>
                <w:sz w:val="20"/>
                <w:szCs w:val="20"/>
              </w:rPr>
              <w:t>2 390 538</w:t>
            </w:r>
          </w:p>
        </w:tc>
        <w:tc>
          <w:tcPr>
            <w:tcW w:w="1052" w:type="dxa"/>
            <w:tcBorders>
              <w:top w:val="nil"/>
              <w:left w:val="nil"/>
              <w:bottom w:val="single" w:sz="8" w:space="0" w:color="auto"/>
              <w:right w:val="single" w:sz="8" w:space="0" w:color="auto"/>
            </w:tcBorders>
            <w:shd w:val="clear" w:color="000000" w:fill="FFFFFF"/>
            <w:noWrap/>
            <w:vAlign w:val="center"/>
          </w:tcPr>
          <w:p w14:paraId="63FFDF6F" w14:textId="77777777" w:rsidR="00013528" w:rsidRPr="00013528" w:rsidRDefault="00013528" w:rsidP="00013528">
            <w:pPr>
              <w:jc w:val="right"/>
              <w:rPr>
                <w:rFonts w:ascii="Arial Narrow" w:hAnsi="Arial Narrow" w:cs="Arial"/>
                <w:sz w:val="20"/>
                <w:szCs w:val="20"/>
                <w:lang w:val="bg-BG" w:eastAsia="bg-BG"/>
              </w:rPr>
            </w:pPr>
            <w:r w:rsidRPr="00013528">
              <w:rPr>
                <w:rFonts w:ascii="Arial Narrow" w:hAnsi="Arial Narrow" w:cs="Calibri"/>
                <w:sz w:val="20"/>
                <w:szCs w:val="20"/>
              </w:rPr>
              <w:t>304 053</w:t>
            </w:r>
          </w:p>
        </w:tc>
        <w:tc>
          <w:tcPr>
            <w:tcW w:w="1119" w:type="dxa"/>
            <w:tcBorders>
              <w:top w:val="nil"/>
              <w:left w:val="nil"/>
              <w:bottom w:val="single" w:sz="8" w:space="0" w:color="auto"/>
              <w:right w:val="single" w:sz="8" w:space="0" w:color="auto"/>
            </w:tcBorders>
            <w:shd w:val="clear" w:color="000000" w:fill="FFFFFF"/>
            <w:noWrap/>
            <w:vAlign w:val="center"/>
          </w:tcPr>
          <w:p w14:paraId="6A2B97AA" w14:textId="77777777" w:rsidR="00013528" w:rsidRPr="00013528" w:rsidRDefault="00013528" w:rsidP="00013528">
            <w:pPr>
              <w:jc w:val="right"/>
              <w:rPr>
                <w:rFonts w:ascii="Arial Narrow" w:hAnsi="Arial Narrow" w:cs="Arial"/>
                <w:sz w:val="20"/>
                <w:szCs w:val="20"/>
                <w:lang w:val="bg-BG" w:eastAsia="bg-BG"/>
              </w:rPr>
            </w:pPr>
            <w:r w:rsidRPr="00013528">
              <w:rPr>
                <w:rFonts w:ascii="Arial Narrow" w:hAnsi="Arial Narrow" w:cs="Calibri"/>
                <w:sz w:val="20"/>
                <w:szCs w:val="20"/>
              </w:rPr>
              <w:t>1 930 553</w:t>
            </w:r>
          </w:p>
        </w:tc>
        <w:tc>
          <w:tcPr>
            <w:tcW w:w="1070" w:type="dxa"/>
            <w:tcBorders>
              <w:top w:val="nil"/>
              <w:left w:val="nil"/>
              <w:bottom w:val="single" w:sz="4" w:space="0" w:color="auto"/>
              <w:right w:val="single" w:sz="4" w:space="0" w:color="auto"/>
            </w:tcBorders>
            <w:shd w:val="clear" w:color="auto" w:fill="auto"/>
            <w:noWrap/>
            <w:vAlign w:val="center"/>
          </w:tcPr>
          <w:p w14:paraId="256635A4" w14:textId="77777777" w:rsidR="00013528" w:rsidRPr="00013528" w:rsidRDefault="00013528" w:rsidP="00013528">
            <w:pPr>
              <w:jc w:val="right"/>
              <w:rPr>
                <w:rFonts w:ascii="Arial Narrow" w:hAnsi="Arial Narrow" w:cs="Arial"/>
                <w:sz w:val="20"/>
                <w:szCs w:val="20"/>
                <w:lang w:val="bg-BG" w:eastAsia="bg-BG"/>
              </w:rPr>
            </w:pPr>
            <w:r w:rsidRPr="00013528">
              <w:rPr>
                <w:rFonts w:ascii="Arial Narrow" w:hAnsi="Arial Narrow" w:cs="Arial"/>
                <w:sz w:val="20"/>
                <w:szCs w:val="20"/>
                <w:lang w:val="bg-BG" w:eastAsia="bg-BG"/>
              </w:rPr>
              <w:t>-19%</w:t>
            </w:r>
          </w:p>
        </w:tc>
        <w:tc>
          <w:tcPr>
            <w:tcW w:w="912" w:type="dxa"/>
            <w:tcBorders>
              <w:top w:val="nil"/>
              <w:left w:val="nil"/>
              <w:bottom w:val="single" w:sz="8" w:space="0" w:color="auto"/>
              <w:right w:val="single" w:sz="8" w:space="0" w:color="auto"/>
            </w:tcBorders>
            <w:shd w:val="clear" w:color="000000" w:fill="FFFFFF"/>
            <w:noWrap/>
            <w:vAlign w:val="center"/>
          </w:tcPr>
          <w:p w14:paraId="5D24A919" w14:textId="77777777" w:rsidR="00013528" w:rsidRPr="00013528" w:rsidRDefault="00013528" w:rsidP="00013528">
            <w:pPr>
              <w:jc w:val="right"/>
              <w:rPr>
                <w:rFonts w:ascii="Arial Narrow" w:hAnsi="Arial Narrow" w:cs="Arial"/>
                <w:sz w:val="20"/>
                <w:szCs w:val="20"/>
                <w:lang w:val="bg-BG" w:eastAsia="bg-BG"/>
              </w:rPr>
            </w:pPr>
            <w:r w:rsidRPr="00013528">
              <w:rPr>
                <w:rFonts w:ascii="Arial Narrow" w:hAnsi="Arial Narrow" w:cs="Calibri"/>
                <w:sz w:val="20"/>
                <w:szCs w:val="20"/>
              </w:rPr>
              <w:t>215 695</w:t>
            </w:r>
          </w:p>
        </w:tc>
        <w:tc>
          <w:tcPr>
            <w:tcW w:w="939" w:type="dxa"/>
            <w:tcBorders>
              <w:top w:val="nil"/>
              <w:left w:val="nil"/>
              <w:bottom w:val="single" w:sz="4" w:space="0" w:color="auto"/>
              <w:right w:val="single" w:sz="4" w:space="0" w:color="auto"/>
            </w:tcBorders>
            <w:shd w:val="clear" w:color="auto" w:fill="auto"/>
            <w:noWrap/>
            <w:vAlign w:val="center"/>
          </w:tcPr>
          <w:p w14:paraId="6277F9B9" w14:textId="77777777" w:rsidR="00013528" w:rsidRPr="00013528" w:rsidRDefault="00013528" w:rsidP="00013528">
            <w:pPr>
              <w:jc w:val="right"/>
              <w:rPr>
                <w:rFonts w:ascii="Arial Narrow" w:hAnsi="Arial Narrow" w:cs="Arial"/>
                <w:sz w:val="20"/>
                <w:szCs w:val="20"/>
                <w:lang w:val="bg-BG" w:eastAsia="bg-BG"/>
              </w:rPr>
            </w:pPr>
            <w:r w:rsidRPr="00013528">
              <w:rPr>
                <w:rFonts w:ascii="Arial Narrow" w:hAnsi="Arial Narrow" w:cs="Calibri"/>
                <w:sz w:val="20"/>
                <w:szCs w:val="20"/>
                <w:lang w:val="bg-BG"/>
              </w:rPr>
              <w:t>-29</w:t>
            </w:r>
            <w:r w:rsidRPr="00013528">
              <w:rPr>
                <w:rFonts w:ascii="Arial Narrow" w:hAnsi="Arial Narrow" w:cs="Calibri"/>
                <w:sz w:val="20"/>
                <w:szCs w:val="20"/>
              </w:rPr>
              <w:t>%</w:t>
            </w:r>
          </w:p>
        </w:tc>
      </w:tr>
      <w:tr w:rsidR="00013528" w:rsidRPr="00013528" w14:paraId="0F88B64A" w14:textId="77777777" w:rsidTr="00DB1BD8">
        <w:trPr>
          <w:trHeight w:val="572"/>
        </w:trPr>
        <w:tc>
          <w:tcPr>
            <w:tcW w:w="3510" w:type="dxa"/>
            <w:shd w:val="clear" w:color="auto" w:fill="FFFFFF"/>
            <w:vAlign w:val="center"/>
          </w:tcPr>
          <w:p w14:paraId="2C2EFD4C" w14:textId="77777777" w:rsidR="00013528" w:rsidRPr="00013528" w:rsidRDefault="00013528" w:rsidP="00013528">
            <w:pPr>
              <w:ind w:right="-108"/>
              <w:rPr>
                <w:rFonts w:ascii="Arial Narrow" w:hAnsi="Arial Narrow" w:cs="Arial"/>
                <w:sz w:val="20"/>
                <w:szCs w:val="20"/>
                <w:lang w:val="bg-BG" w:eastAsia="bg-BG"/>
              </w:rPr>
            </w:pPr>
            <w:r w:rsidRPr="00013528">
              <w:rPr>
                <w:rFonts w:ascii="Arial Narrow" w:hAnsi="Arial Narrow" w:cs="Arial"/>
                <w:sz w:val="20"/>
                <w:szCs w:val="20"/>
                <w:lang w:val="bg-BG" w:eastAsia="bg-BG"/>
              </w:rPr>
              <w:t>2.1. в т.ч. по ценоразпис на физически лица за лична употреба</w:t>
            </w:r>
          </w:p>
        </w:tc>
        <w:tc>
          <w:tcPr>
            <w:tcW w:w="1216" w:type="dxa"/>
            <w:tcBorders>
              <w:top w:val="nil"/>
              <w:left w:val="nil"/>
              <w:bottom w:val="single" w:sz="8" w:space="0" w:color="auto"/>
              <w:right w:val="single" w:sz="8" w:space="0" w:color="auto"/>
            </w:tcBorders>
            <w:shd w:val="clear" w:color="000000" w:fill="FFFFFF"/>
            <w:noWrap/>
            <w:vAlign w:val="center"/>
          </w:tcPr>
          <w:p w14:paraId="21B805DB" w14:textId="77777777" w:rsidR="00013528" w:rsidRPr="00013528" w:rsidRDefault="00013528" w:rsidP="00013528">
            <w:pPr>
              <w:jc w:val="right"/>
              <w:rPr>
                <w:rFonts w:ascii="Arial Narrow" w:hAnsi="Arial Narrow" w:cs="Arial"/>
                <w:sz w:val="20"/>
                <w:szCs w:val="20"/>
                <w:lang w:val="bg-BG" w:eastAsia="bg-BG"/>
              </w:rPr>
            </w:pPr>
            <w:r w:rsidRPr="00013528">
              <w:rPr>
                <w:rFonts w:ascii="Arial Narrow" w:hAnsi="Arial Narrow" w:cs="Calibri"/>
                <w:sz w:val="20"/>
                <w:szCs w:val="20"/>
              </w:rPr>
              <w:t>520 804</w:t>
            </w:r>
          </w:p>
        </w:tc>
        <w:tc>
          <w:tcPr>
            <w:tcW w:w="1052" w:type="dxa"/>
            <w:tcBorders>
              <w:top w:val="nil"/>
              <w:left w:val="nil"/>
              <w:bottom w:val="single" w:sz="8" w:space="0" w:color="auto"/>
              <w:right w:val="single" w:sz="8" w:space="0" w:color="auto"/>
            </w:tcBorders>
            <w:shd w:val="clear" w:color="000000" w:fill="FFFFFF"/>
            <w:noWrap/>
            <w:vAlign w:val="center"/>
          </w:tcPr>
          <w:p w14:paraId="2BC573B5" w14:textId="77777777" w:rsidR="00013528" w:rsidRPr="00013528" w:rsidRDefault="00013528" w:rsidP="00013528">
            <w:pPr>
              <w:jc w:val="right"/>
              <w:rPr>
                <w:rFonts w:ascii="Arial Narrow" w:hAnsi="Arial Narrow" w:cs="Arial"/>
                <w:sz w:val="20"/>
                <w:szCs w:val="20"/>
                <w:lang w:val="bg-BG" w:eastAsia="bg-BG"/>
              </w:rPr>
            </w:pPr>
            <w:r w:rsidRPr="00013528">
              <w:rPr>
                <w:rFonts w:ascii="Arial Narrow" w:hAnsi="Arial Narrow" w:cs="Calibri"/>
                <w:sz w:val="20"/>
                <w:szCs w:val="20"/>
              </w:rPr>
              <w:t>57 347</w:t>
            </w:r>
          </w:p>
        </w:tc>
        <w:tc>
          <w:tcPr>
            <w:tcW w:w="1119" w:type="dxa"/>
            <w:tcBorders>
              <w:top w:val="nil"/>
              <w:left w:val="nil"/>
              <w:bottom w:val="single" w:sz="8" w:space="0" w:color="auto"/>
              <w:right w:val="single" w:sz="8" w:space="0" w:color="auto"/>
            </w:tcBorders>
            <w:shd w:val="clear" w:color="000000" w:fill="FFFFFF"/>
            <w:noWrap/>
            <w:vAlign w:val="center"/>
          </w:tcPr>
          <w:p w14:paraId="50F4B5BA" w14:textId="77777777" w:rsidR="00013528" w:rsidRPr="00013528" w:rsidRDefault="00013528" w:rsidP="00013528">
            <w:pPr>
              <w:jc w:val="right"/>
              <w:rPr>
                <w:rFonts w:ascii="Arial Narrow" w:hAnsi="Arial Narrow" w:cs="Arial"/>
                <w:sz w:val="20"/>
                <w:szCs w:val="20"/>
                <w:lang w:val="bg-BG" w:eastAsia="bg-BG"/>
              </w:rPr>
            </w:pPr>
            <w:r w:rsidRPr="00013528">
              <w:rPr>
                <w:rFonts w:ascii="Arial Narrow" w:hAnsi="Arial Narrow" w:cs="Calibri"/>
                <w:sz w:val="20"/>
                <w:szCs w:val="20"/>
              </w:rPr>
              <w:t>387 548</w:t>
            </w:r>
          </w:p>
        </w:tc>
        <w:tc>
          <w:tcPr>
            <w:tcW w:w="1070" w:type="dxa"/>
            <w:tcBorders>
              <w:top w:val="nil"/>
              <w:left w:val="nil"/>
              <w:bottom w:val="single" w:sz="4" w:space="0" w:color="auto"/>
              <w:right w:val="single" w:sz="4" w:space="0" w:color="auto"/>
            </w:tcBorders>
            <w:shd w:val="clear" w:color="auto" w:fill="auto"/>
            <w:noWrap/>
            <w:vAlign w:val="center"/>
          </w:tcPr>
          <w:p w14:paraId="56EC8BA4" w14:textId="77777777" w:rsidR="00013528" w:rsidRPr="00013528" w:rsidRDefault="00013528" w:rsidP="00013528">
            <w:pPr>
              <w:jc w:val="right"/>
              <w:rPr>
                <w:rFonts w:ascii="Arial Narrow" w:hAnsi="Arial Narrow" w:cs="Arial"/>
                <w:sz w:val="20"/>
                <w:szCs w:val="20"/>
                <w:lang w:val="bg-BG" w:eastAsia="bg-BG"/>
              </w:rPr>
            </w:pPr>
            <w:r w:rsidRPr="00013528">
              <w:rPr>
                <w:rFonts w:ascii="Arial Narrow" w:hAnsi="Arial Narrow" w:cs="Arial"/>
                <w:sz w:val="20"/>
                <w:szCs w:val="20"/>
                <w:lang w:val="bg-BG" w:eastAsia="bg-BG"/>
              </w:rPr>
              <w:t>-26%</w:t>
            </w:r>
          </w:p>
        </w:tc>
        <w:tc>
          <w:tcPr>
            <w:tcW w:w="912" w:type="dxa"/>
            <w:tcBorders>
              <w:top w:val="nil"/>
              <w:left w:val="nil"/>
              <w:bottom w:val="single" w:sz="8" w:space="0" w:color="auto"/>
              <w:right w:val="single" w:sz="8" w:space="0" w:color="auto"/>
            </w:tcBorders>
            <w:shd w:val="clear" w:color="000000" w:fill="FFFFFF"/>
            <w:noWrap/>
            <w:vAlign w:val="center"/>
          </w:tcPr>
          <w:p w14:paraId="4BB60212" w14:textId="77777777" w:rsidR="00013528" w:rsidRPr="00013528" w:rsidRDefault="00013528" w:rsidP="00013528">
            <w:pPr>
              <w:jc w:val="right"/>
              <w:rPr>
                <w:rFonts w:ascii="Arial Narrow" w:hAnsi="Arial Narrow" w:cs="Arial"/>
                <w:sz w:val="20"/>
                <w:szCs w:val="20"/>
                <w:lang w:val="bg-BG" w:eastAsia="bg-BG"/>
              </w:rPr>
            </w:pPr>
            <w:r w:rsidRPr="00013528">
              <w:rPr>
                <w:rFonts w:ascii="Arial Narrow" w:hAnsi="Arial Narrow" w:cs="Calibri"/>
                <w:sz w:val="20"/>
                <w:szCs w:val="20"/>
              </w:rPr>
              <w:t>37 239</w:t>
            </w:r>
          </w:p>
        </w:tc>
        <w:tc>
          <w:tcPr>
            <w:tcW w:w="939" w:type="dxa"/>
            <w:tcBorders>
              <w:top w:val="nil"/>
              <w:left w:val="nil"/>
              <w:bottom w:val="single" w:sz="4" w:space="0" w:color="auto"/>
              <w:right w:val="single" w:sz="4" w:space="0" w:color="auto"/>
            </w:tcBorders>
            <w:shd w:val="clear" w:color="auto" w:fill="auto"/>
            <w:noWrap/>
            <w:vAlign w:val="center"/>
          </w:tcPr>
          <w:p w14:paraId="207A512C" w14:textId="77777777" w:rsidR="00013528" w:rsidRPr="00013528" w:rsidRDefault="00013528" w:rsidP="00013528">
            <w:pPr>
              <w:jc w:val="right"/>
              <w:rPr>
                <w:rFonts w:ascii="Arial Narrow" w:hAnsi="Arial Narrow" w:cs="Arial"/>
                <w:sz w:val="20"/>
                <w:szCs w:val="20"/>
                <w:lang w:val="bg-BG" w:eastAsia="bg-BG"/>
              </w:rPr>
            </w:pPr>
            <w:r w:rsidRPr="00013528">
              <w:rPr>
                <w:rFonts w:ascii="Arial Narrow" w:hAnsi="Arial Narrow" w:cs="Calibri"/>
                <w:sz w:val="20"/>
                <w:szCs w:val="20"/>
                <w:lang w:val="bg-BG"/>
              </w:rPr>
              <w:t>-</w:t>
            </w:r>
            <w:r w:rsidRPr="00013528">
              <w:rPr>
                <w:rFonts w:ascii="Arial Narrow" w:hAnsi="Arial Narrow" w:cs="Calibri"/>
                <w:sz w:val="20"/>
                <w:szCs w:val="20"/>
              </w:rPr>
              <w:t>3</w:t>
            </w:r>
            <w:r w:rsidRPr="00013528">
              <w:rPr>
                <w:rFonts w:ascii="Arial Narrow" w:hAnsi="Arial Narrow" w:cs="Calibri"/>
                <w:sz w:val="20"/>
                <w:szCs w:val="20"/>
                <w:lang w:val="bg-BG"/>
              </w:rPr>
              <w:t>5</w:t>
            </w:r>
            <w:r w:rsidRPr="00013528">
              <w:rPr>
                <w:rFonts w:ascii="Arial Narrow" w:hAnsi="Arial Narrow" w:cs="Calibri"/>
                <w:sz w:val="20"/>
                <w:szCs w:val="20"/>
              </w:rPr>
              <w:t>%</w:t>
            </w:r>
          </w:p>
        </w:tc>
      </w:tr>
      <w:tr w:rsidR="00013528" w:rsidRPr="00013528" w14:paraId="372A4E80" w14:textId="77777777" w:rsidTr="00DB1BD8">
        <w:trPr>
          <w:trHeight w:val="343"/>
        </w:trPr>
        <w:tc>
          <w:tcPr>
            <w:tcW w:w="3510" w:type="dxa"/>
            <w:shd w:val="clear" w:color="auto" w:fill="FFFFFF"/>
            <w:noWrap/>
            <w:vAlign w:val="center"/>
          </w:tcPr>
          <w:p w14:paraId="0AC5FC4B" w14:textId="77777777" w:rsidR="00013528" w:rsidRPr="00013528" w:rsidRDefault="00013528" w:rsidP="00013528">
            <w:pPr>
              <w:ind w:right="-108"/>
              <w:rPr>
                <w:rFonts w:ascii="Arial Narrow" w:hAnsi="Arial Narrow" w:cs="Arial"/>
                <w:sz w:val="20"/>
                <w:szCs w:val="20"/>
                <w:lang w:val="bg-BG" w:eastAsia="bg-BG"/>
              </w:rPr>
            </w:pPr>
            <w:r w:rsidRPr="00013528">
              <w:rPr>
                <w:rFonts w:ascii="Arial Narrow" w:hAnsi="Arial Narrow" w:cs="Arial"/>
                <w:sz w:val="20"/>
                <w:szCs w:val="20"/>
                <w:lang w:val="bg-BG" w:eastAsia="bg-BG"/>
              </w:rPr>
              <w:t>3. Ползване на дървесина по чл. 116б от ЗГ</w:t>
            </w:r>
          </w:p>
        </w:tc>
        <w:tc>
          <w:tcPr>
            <w:tcW w:w="1216" w:type="dxa"/>
            <w:tcBorders>
              <w:top w:val="nil"/>
              <w:left w:val="nil"/>
              <w:bottom w:val="single" w:sz="8" w:space="0" w:color="auto"/>
              <w:right w:val="single" w:sz="8" w:space="0" w:color="auto"/>
            </w:tcBorders>
            <w:shd w:val="clear" w:color="000000" w:fill="FFFFFF"/>
            <w:noWrap/>
            <w:vAlign w:val="center"/>
          </w:tcPr>
          <w:p w14:paraId="686C80B1" w14:textId="77777777" w:rsidR="00013528" w:rsidRPr="00013528" w:rsidRDefault="00013528" w:rsidP="00013528">
            <w:pPr>
              <w:jc w:val="right"/>
              <w:rPr>
                <w:rFonts w:ascii="Arial Narrow" w:hAnsi="Arial Narrow" w:cs="Arial"/>
                <w:sz w:val="20"/>
                <w:szCs w:val="20"/>
                <w:lang w:val="bg-BG" w:eastAsia="bg-BG"/>
              </w:rPr>
            </w:pPr>
            <w:r w:rsidRPr="00013528">
              <w:rPr>
                <w:rFonts w:ascii="Arial Narrow" w:hAnsi="Arial Narrow" w:cs="Calibri"/>
                <w:sz w:val="20"/>
                <w:szCs w:val="20"/>
              </w:rPr>
              <w:t>7 318</w:t>
            </w:r>
          </w:p>
        </w:tc>
        <w:tc>
          <w:tcPr>
            <w:tcW w:w="1052" w:type="dxa"/>
            <w:tcBorders>
              <w:top w:val="nil"/>
              <w:left w:val="nil"/>
              <w:bottom w:val="single" w:sz="8" w:space="0" w:color="auto"/>
              <w:right w:val="single" w:sz="8" w:space="0" w:color="auto"/>
            </w:tcBorders>
            <w:shd w:val="clear" w:color="000000" w:fill="FFFFFF"/>
            <w:noWrap/>
            <w:vAlign w:val="center"/>
          </w:tcPr>
          <w:p w14:paraId="2591F007" w14:textId="77777777" w:rsidR="00013528" w:rsidRPr="00013528" w:rsidRDefault="00013528" w:rsidP="00013528">
            <w:pPr>
              <w:jc w:val="right"/>
              <w:rPr>
                <w:rFonts w:ascii="Arial Narrow" w:hAnsi="Arial Narrow" w:cs="Arial"/>
                <w:sz w:val="20"/>
                <w:szCs w:val="20"/>
                <w:lang w:val="bg-BG" w:eastAsia="bg-BG"/>
              </w:rPr>
            </w:pPr>
            <w:r w:rsidRPr="00013528">
              <w:rPr>
                <w:rFonts w:ascii="Arial Narrow" w:hAnsi="Arial Narrow" w:cs="Calibri"/>
                <w:sz w:val="20"/>
                <w:szCs w:val="20"/>
              </w:rPr>
              <w:t>х</w:t>
            </w:r>
          </w:p>
        </w:tc>
        <w:tc>
          <w:tcPr>
            <w:tcW w:w="1119" w:type="dxa"/>
            <w:tcBorders>
              <w:top w:val="nil"/>
              <w:left w:val="nil"/>
              <w:bottom w:val="single" w:sz="8" w:space="0" w:color="auto"/>
              <w:right w:val="single" w:sz="8" w:space="0" w:color="auto"/>
            </w:tcBorders>
            <w:shd w:val="clear" w:color="000000" w:fill="FFFFFF"/>
            <w:noWrap/>
            <w:vAlign w:val="center"/>
          </w:tcPr>
          <w:p w14:paraId="6AB1FB55" w14:textId="77777777" w:rsidR="00013528" w:rsidRPr="00013528" w:rsidRDefault="00013528" w:rsidP="00013528">
            <w:pPr>
              <w:jc w:val="right"/>
              <w:rPr>
                <w:rFonts w:ascii="Arial Narrow" w:hAnsi="Arial Narrow" w:cs="Arial"/>
                <w:sz w:val="20"/>
                <w:szCs w:val="20"/>
                <w:lang w:val="bg-BG" w:eastAsia="bg-BG"/>
              </w:rPr>
            </w:pPr>
            <w:r w:rsidRPr="00013528">
              <w:rPr>
                <w:rFonts w:ascii="Arial Narrow" w:hAnsi="Arial Narrow" w:cs="Calibri"/>
                <w:sz w:val="20"/>
                <w:szCs w:val="20"/>
              </w:rPr>
              <w:t>4 646</w:t>
            </w:r>
          </w:p>
        </w:tc>
        <w:tc>
          <w:tcPr>
            <w:tcW w:w="1070" w:type="dxa"/>
            <w:tcBorders>
              <w:top w:val="nil"/>
              <w:left w:val="nil"/>
              <w:bottom w:val="single" w:sz="4" w:space="0" w:color="auto"/>
              <w:right w:val="single" w:sz="4" w:space="0" w:color="auto"/>
            </w:tcBorders>
            <w:shd w:val="clear" w:color="auto" w:fill="auto"/>
            <w:noWrap/>
            <w:vAlign w:val="center"/>
          </w:tcPr>
          <w:p w14:paraId="4903CDF6" w14:textId="77777777" w:rsidR="00013528" w:rsidRPr="00013528" w:rsidRDefault="00013528" w:rsidP="00013528">
            <w:pPr>
              <w:jc w:val="right"/>
              <w:rPr>
                <w:rFonts w:ascii="Arial Narrow" w:hAnsi="Arial Narrow" w:cs="Arial"/>
                <w:sz w:val="20"/>
                <w:szCs w:val="20"/>
                <w:lang w:val="bg-BG" w:eastAsia="bg-BG"/>
              </w:rPr>
            </w:pPr>
            <w:r w:rsidRPr="00013528">
              <w:rPr>
                <w:rFonts w:ascii="Arial Narrow" w:hAnsi="Arial Narrow" w:cs="Arial"/>
                <w:sz w:val="20"/>
                <w:szCs w:val="20"/>
                <w:lang w:val="bg-BG" w:eastAsia="bg-BG"/>
              </w:rPr>
              <w:t>-37%</w:t>
            </w:r>
          </w:p>
        </w:tc>
        <w:tc>
          <w:tcPr>
            <w:tcW w:w="912" w:type="dxa"/>
            <w:tcBorders>
              <w:top w:val="nil"/>
              <w:left w:val="nil"/>
              <w:bottom w:val="single" w:sz="8" w:space="0" w:color="auto"/>
              <w:right w:val="single" w:sz="8" w:space="0" w:color="auto"/>
            </w:tcBorders>
            <w:shd w:val="clear" w:color="000000" w:fill="FFFFFF"/>
            <w:noWrap/>
            <w:vAlign w:val="center"/>
          </w:tcPr>
          <w:p w14:paraId="3201274A" w14:textId="77777777" w:rsidR="00013528" w:rsidRPr="00013528" w:rsidRDefault="00013528" w:rsidP="00013528">
            <w:pPr>
              <w:jc w:val="right"/>
              <w:rPr>
                <w:rFonts w:ascii="Arial Narrow" w:hAnsi="Arial Narrow" w:cs="Arial"/>
                <w:sz w:val="20"/>
                <w:szCs w:val="20"/>
                <w:lang w:val="bg-BG" w:eastAsia="bg-BG"/>
              </w:rPr>
            </w:pPr>
            <w:r w:rsidRPr="00013528">
              <w:rPr>
                <w:rFonts w:ascii="Arial Narrow" w:hAnsi="Arial Narrow" w:cs="Arial"/>
                <w:sz w:val="20"/>
                <w:szCs w:val="20"/>
                <w:lang w:val="bg-BG" w:eastAsia="bg-BG"/>
              </w:rPr>
              <w:t>х</w:t>
            </w:r>
          </w:p>
        </w:tc>
        <w:tc>
          <w:tcPr>
            <w:tcW w:w="939" w:type="dxa"/>
            <w:tcBorders>
              <w:top w:val="nil"/>
              <w:left w:val="nil"/>
              <w:bottom w:val="single" w:sz="4" w:space="0" w:color="auto"/>
              <w:right w:val="single" w:sz="4" w:space="0" w:color="auto"/>
            </w:tcBorders>
            <w:shd w:val="clear" w:color="auto" w:fill="auto"/>
            <w:noWrap/>
            <w:vAlign w:val="center"/>
          </w:tcPr>
          <w:p w14:paraId="714D2250" w14:textId="77777777" w:rsidR="00013528" w:rsidRPr="00013528" w:rsidRDefault="00013528" w:rsidP="00013528">
            <w:pPr>
              <w:jc w:val="right"/>
              <w:rPr>
                <w:rFonts w:ascii="Arial Narrow" w:hAnsi="Arial Narrow" w:cs="Arial"/>
                <w:sz w:val="20"/>
                <w:szCs w:val="20"/>
                <w:lang w:val="bg-BG" w:eastAsia="bg-BG"/>
              </w:rPr>
            </w:pPr>
            <w:r w:rsidRPr="00013528">
              <w:rPr>
                <w:rFonts w:ascii="Arial Narrow" w:hAnsi="Arial Narrow" w:cs="Calibri"/>
                <w:sz w:val="20"/>
                <w:szCs w:val="20"/>
                <w:lang w:val="bg-BG"/>
              </w:rPr>
              <w:t>х</w:t>
            </w:r>
          </w:p>
        </w:tc>
      </w:tr>
      <w:tr w:rsidR="00013528" w:rsidRPr="00013528" w14:paraId="7A5AC6D0" w14:textId="77777777" w:rsidTr="00DB1BD8">
        <w:trPr>
          <w:trHeight w:val="343"/>
        </w:trPr>
        <w:tc>
          <w:tcPr>
            <w:tcW w:w="3510" w:type="dxa"/>
            <w:shd w:val="clear" w:color="auto" w:fill="FFFFFF"/>
            <w:noWrap/>
            <w:vAlign w:val="center"/>
          </w:tcPr>
          <w:p w14:paraId="6D124CA7" w14:textId="77777777" w:rsidR="00013528" w:rsidRPr="00013528" w:rsidRDefault="00013528" w:rsidP="00013528">
            <w:pPr>
              <w:ind w:right="-108"/>
              <w:rPr>
                <w:rFonts w:ascii="Arial Narrow" w:hAnsi="Arial Narrow" w:cs="Arial"/>
                <w:sz w:val="20"/>
                <w:szCs w:val="20"/>
                <w:lang w:val="bg-BG" w:eastAsia="bg-BG"/>
              </w:rPr>
            </w:pPr>
            <w:r w:rsidRPr="00013528">
              <w:rPr>
                <w:rFonts w:ascii="Arial Narrow" w:hAnsi="Arial Narrow" w:cs="Arial"/>
                <w:sz w:val="20"/>
                <w:szCs w:val="20"/>
                <w:lang w:val="bg-BG" w:eastAsia="bg-BG"/>
              </w:rPr>
              <w:t>4. Ползване на дървесина по чл. 193 от ЗГ</w:t>
            </w:r>
          </w:p>
        </w:tc>
        <w:tc>
          <w:tcPr>
            <w:tcW w:w="1216" w:type="dxa"/>
            <w:tcBorders>
              <w:top w:val="nil"/>
              <w:left w:val="nil"/>
              <w:bottom w:val="single" w:sz="8" w:space="0" w:color="auto"/>
              <w:right w:val="single" w:sz="8" w:space="0" w:color="auto"/>
            </w:tcBorders>
            <w:shd w:val="clear" w:color="000000" w:fill="FFFFFF"/>
            <w:noWrap/>
            <w:vAlign w:val="center"/>
          </w:tcPr>
          <w:p w14:paraId="72139FCC" w14:textId="77777777" w:rsidR="00013528" w:rsidRPr="00013528" w:rsidRDefault="00013528" w:rsidP="00013528">
            <w:pPr>
              <w:jc w:val="right"/>
              <w:rPr>
                <w:rFonts w:ascii="Arial Narrow" w:hAnsi="Arial Narrow" w:cs="Arial"/>
                <w:sz w:val="20"/>
                <w:szCs w:val="20"/>
                <w:lang w:val="bg-BG" w:eastAsia="bg-BG"/>
              </w:rPr>
            </w:pPr>
            <w:r w:rsidRPr="00013528">
              <w:rPr>
                <w:rFonts w:ascii="Arial Narrow" w:hAnsi="Arial Narrow" w:cs="Calibri"/>
                <w:sz w:val="20"/>
                <w:szCs w:val="20"/>
              </w:rPr>
              <w:t>70 143</w:t>
            </w:r>
          </w:p>
        </w:tc>
        <w:tc>
          <w:tcPr>
            <w:tcW w:w="1052" w:type="dxa"/>
            <w:tcBorders>
              <w:top w:val="nil"/>
              <w:left w:val="nil"/>
              <w:bottom w:val="single" w:sz="8" w:space="0" w:color="auto"/>
              <w:right w:val="single" w:sz="8" w:space="0" w:color="auto"/>
            </w:tcBorders>
            <w:shd w:val="clear" w:color="000000" w:fill="FFFFFF"/>
            <w:noWrap/>
            <w:vAlign w:val="center"/>
          </w:tcPr>
          <w:p w14:paraId="75E63C22" w14:textId="77777777" w:rsidR="00013528" w:rsidRPr="00013528" w:rsidRDefault="00013528" w:rsidP="00013528">
            <w:pPr>
              <w:jc w:val="right"/>
              <w:rPr>
                <w:rFonts w:ascii="Arial Narrow" w:hAnsi="Arial Narrow" w:cs="Arial"/>
                <w:sz w:val="20"/>
                <w:szCs w:val="20"/>
                <w:lang w:val="bg-BG" w:eastAsia="bg-BG"/>
              </w:rPr>
            </w:pPr>
            <w:r w:rsidRPr="00013528">
              <w:rPr>
                <w:rFonts w:ascii="Arial Narrow" w:hAnsi="Arial Narrow" w:cs="Calibri"/>
                <w:sz w:val="20"/>
                <w:szCs w:val="20"/>
              </w:rPr>
              <w:t>3 059</w:t>
            </w:r>
          </w:p>
        </w:tc>
        <w:tc>
          <w:tcPr>
            <w:tcW w:w="1119" w:type="dxa"/>
            <w:tcBorders>
              <w:top w:val="nil"/>
              <w:left w:val="nil"/>
              <w:bottom w:val="single" w:sz="8" w:space="0" w:color="auto"/>
              <w:right w:val="single" w:sz="8" w:space="0" w:color="auto"/>
            </w:tcBorders>
            <w:shd w:val="clear" w:color="000000" w:fill="FFFFFF"/>
            <w:noWrap/>
            <w:vAlign w:val="center"/>
          </w:tcPr>
          <w:p w14:paraId="1C9DDB44" w14:textId="77777777" w:rsidR="00013528" w:rsidRPr="00013528" w:rsidRDefault="00013528" w:rsidP="00013528">
            <w:pPr>
              <w:jc w:val="right"/>
              <w:rPr>
                <w:rFonts w:ascii="Arial Narrow" w:hAnsi="Arial Narrow" w:cs="Arial"/>
                <w:sz w:val="20"/>
                <w:szCs w:val="20"/>
                <w:lang w:val="bg-BG" w:eastAsia="bg-BG"/>
              </w:rPr>
            </w:pPr>
            <w:r w:rsidRPr="00013528">
              <w:rPr>
                <w:rFonts w:ascii="Arial Narrow" w:hAnsi="Arial Narrow" w:cs="Calibri"/>
                <w:sz w:val="20"/>
                <w:szCs w:val="20"/>
              </w:rPr>
              <w:t>67 117</w:t>
            </w:r>
          </w:p>
        </w:tc>
        <w:tc>
          <w:tcPr>
            <w:tcW w:w="1070" w:type="dxa"/>
            <w:tcBorders>
              <w:top w:val="nil"/>
              <w:left w:val="nil"/>
              <w:bottom w:val="single" w:sz="4" w:space="0" w:color="auto"/>
              <w:right w:val="single" w:sz="4" w:space="0" w:color="auto"/>
            </w:tcBorders>
            <w:shd w:val="clear" w:color="auto" w:fill="auto"/>
            <w:noWrap/>
            <w:vAlign w:val="center"/>
          </w:tcPr>
          <w:p w14:paraId="6EF17D5E" w14:textId="77777777" w:rsidR="00013528" w:rsidRPr="00013528" w:rsidRDefault="00013528" w:rsidP="00013528">
            <w:pPr>
              <w:jc w:val="right"/>
              <w:rPr>
                <w:rFonts w:ascii="Arial Narrow" w:hAnsi="Arial Narrow" w:cs="Arial"/>
                <w:sz w:val="20"/>
                <w:szCs w:val="20"/>
                <w:lang w:val="bg-BG" w:eastAsia="bg-BG"/>
              </w:rPr>
            </w:pPr>
            <w:r w:rsidRPr="00013528">
              <w:rPr>
                <w:rFonts w:ascii="Arial Narrow" w:hAnsi="Arial Narrow" w:cs="Arial"/>
                <w:sz w:val="20"/>
                <w:szCs w:val="20"/>
                <w:lang w:val="bg-BG" w:eastAsia="bg-BG"/>
              </w:rPr>
              <w:t>-4%</w:t>
            </w:r>
          </w:p>
        </w:tc>
        <w:tc>
          <w:tcPr>
            <w:tcW w:w="912" w:type="dxa"/>
            <w:tcBorders>
              <w:top w:val="nil"/>
              <w:left w:val="nil"/>
              <w:bottom w:val="single" w:sz="8" w:space="0" w:color="auto"/>
              <w:right w:val="single" w:sz="8" w:space="0" w:color="auto"/>
            </w:tcBorders>
            <w:shd w:val="clear" w:color="000000" w:fill="FFFFFF"/>
            <w:noWrap/>
            <w:vAlign w:val="center"/>
          </w:tcPr>
          <w:p w14:paraId="41636BCB" w14:textId="77777777" w:rsidR="00013528" w:rsidRPr="00013528" w:rsidRDefault="00013528" w:rsidP="00013528">
            <w:pPr>
              <w:jc w:val="right"/>
              <w:rPr>
                <w:rFonts w:ascii="Arial Narrow" w:hAnsi="Arial Narrow" w:cs="Arial"/>
                <w:sz w:val="20"/>
                <w:szCs w:val="20"/>
                <w:lang w:val="bg-BG" w:eastAsia="bg-BG"/>
              </w:rPr>
            </w:pPr>
            <w:r w:rsidRPr="00013528">
              <w:rPr>
                <w:rFonts w:ascii="Arial Narrow" w:hAnsi="Arial Narrow" w:cs="Calibri"/>
                <w:sz w:val="20"/>
                <w:szCs w:val="20"/>
              </w:rPr>
              <w:t>2 963</w:t>
            </w:r>
          </w:p>
        </w:tc>
        <w:tc>
          <w:tcPr>
            <w:tcW w:w="939" w:type="dxa"/>
            <w:tcBorders>
              <w:top w:val="nil"/>
              <w:left w:val="nil"/>
              <w:bottom w:val="single" w:sz="4" w:space="0" w:color="auto"/>
              <w:right w:val="single" w:sz="4" w:space="0" w:color="auto"/>
            </w:tcBorders>
            <w:shd w:val="clear" w:color="auto" w:fill="auto"/>
            <w:noWrap/>
            <w:vAlign w:val="center"/>
          </w:tcPr>
          <w:p w14:paraId="1E2B3346" w14:textId="77777777" w:rsidR="00013528" w:rsidRPr="00013528" w:rsidRDefault="00013528" w:rsidP="00013528">
            <w:pPr>
              <w:jc w:val="right"/>
              <w:rPr>
                <w:rFonts w:ascii="Arial Narrow" w:hAnsi="Arial Narrow" w:cs="Arial"/>
                <w:sz w:val="20"/>
                <w:szCs w:val="20"/>
                <w:lang w:val="bg-BG" w:eastAsia="bg-BG"/>
              </w:rPr>
            </w:pPr>
            <w:r w:rsidRPr="00013528">
              <w:rPr>
                <w:rFonts w:ascii="Arial Narrow" w:hAnsi="Arial Narrow" w:cs="Calibri"/>
                <w:sz w:val="20"/>
                <w:szCs w:val="20"/>
                <w:lang w:val="bg-BG"/>
              </w:rPr>
              <w:t>-3</w:t>
            </w:r>
            <w:r w:rsidRPr="00013528">
              <w:rPr>
                <w:rFonts w:ascii="Arial Narrow" w:hAnsi="Arial Narrow" w:cs="Calibri"/>
                <w:sz w:val="20"/>
                <w:szCs w:val="20"/>
              </w:rPr>
              <w:t>%</w:t>
            </w:r>
          </w:p>
        </w:tc>
      </w:tr>
      <w:tr w:rsidR="00013528" w:rsidRPr="00013528" w14:paraId="5F3A6F32" w14:textId="77777777" w:rsidTr="00DB1BD8">
        <w:trPr>
          <w:trHeight w:val="572"/>
        </w:trPr>
        <w:tc>
          <w:tcPr>
            <w:tcW w:w="3510" w:type="dxa"/>
            <w:shd w:val="clear" w:color="auto" w:fill="FFFFFF"/>
            <w:vAlign w:val="center"/>
          </w:tcPr>
          <w:p w14:paraId="078A1739" w14:textId="77777777" w:rsidR="00013528" w:rsidRPr="00013528" w:rsidRDefault="00013528" w:rsidP="00013528">
            <w:pPr>
              <w:ind w:right="-108"/>
              <w:rPr>
                <w:rFonts w:ascii="Arial Narrow" w:hAnsi="Arial Narrow" w:cs="Arial"/>
                <w:b/>
                <w:bCs/>
                <w:sz w:val="20"/>
                <w:szCs w:val="20"/>
                <w:lang w:val="bg-BG" w:eastAsia="bg-BG"/>
              </w:rPr>
            </w:pPr>
            <w:r w:rsidRPr="00013528">
              <w:rPr>
                <w:rFonts w:ascii="Arial Narrow" w:hAnsi="Arial Narrow" w:cs="Arial"/>
                <w:b/>
                <w:bCs/>
                <w:sz w:val="20"/>
                <w:szCs w:val="20"/>
                <w:lang w:val="bg-BG" w:eastAsia="bg-BG"/>
              </w:rPr>
              <w:t>ІІ. Общо разходи, количество (I.1.+ II.1.), стойност ІІ.(1+2+3):</w:t>
            </w:r>
          </w:p>
        </w:tc>
        <w:tc>
          <w:tcPr>
            <w:tcW w:w="1216" w:type="dxa"/>
            <w:tcBorders>
              <w:top w:val="nil"/>
              <w:left w:val="nil"/>
              <w:bottom w:val="single" w:sz="8" w:space="0" w:color="auto"/>
              <w:right w:val="single" w:sz="8" w:space="0" w:color="auto"/>
            </w:tcBorders>
            <w:shd w:val="clear" w:color="000000" w:fill="FFFFFF"/>
            <w:noWrap/>
            <w:vAlign w:val="center"/>
          </w:tcPr>
          <w:p w14:paraId="57A98A59" w14:textId="77777777" w:rsidR="00013528" w:rsidRPr="00013528" w:rsidRDefault="00013528" w:rsidP="00013528">
            <w:pPr>
              <w:jc w:val="right"/>
              <w:rPr>
                <w:rFonts w:ascii="Arial Narrow" w:hAnsi="Arial Narrow" w:cs="Arial"/>
                <w:b/>
                <w:sz w:val="20"/>
                <w:szCs w:val="20"/>
                <w:lang w:val="bg-BG" w:eastAsia="bg-BG"/>
              </w:rPr>
            </w:pPr>
            <w:r w:rsidRPr="00013528">
              <w:rPr>
                <w:rFonts w:ascii="Arial Narrow" w:hAnsi="Arial Narrow" w:cs="Calibri"/>
                <w:b/>
                <w:bCs/>
                <w:sz w:val="20"/>
                <w:szCs w:val="20"/>
              </w:rPr>
              <w:t>х</w:t>
            </w:r>
          </w:p>
        </w:tc>
        <w:tc>
          <w:tcPr>
            <w:tcW w:w="1052" w:type="dxa"/>
            <w:tcBorders>
              <w:top w:val="nil"/>
              <w:left w:val="nil"/>
              <w:bottom w:val="single" w:sz="8" w:space="0" w:color="auto"/>
              <w:right w:val="single" w:sz="8" w:space="0" w:color="auto"/>
            </w:tcBorders>
            <w:shd w:val="clear" w:color="000000" w:fill="FFFFFF"/>
            <w:noWrap/>
            <w:vAlign w:val="center"/>
          </w:tcPr>
          <w:p w14:paraId="1E2D4B5B" w14:textId="77777777" w:rsidR="00013528" w:rsidRPr="00013528" w:rsidRDefault="00013528" w:rsidP="00013528">
            <w:pPr>
              <w:jc w:val="right"/>
              <w:rPr>
                <w:rFonts w:ascii="Arial Narrow" w:hAnsi="Arial Narrow" w:cs="Arial"/>
                <w:b/>
                <w:sz w:val="20"/>
                <w:szCs w:val="20"/>
                <w:lang w:val="bg-BG" w:eastAsia="bg-BG"/>
              </w:rPr>
            </w:pPr>
            <w:r w:rsidRPr="00013528">
              <w:rPr>
                <w:rFonts w:ascii="Arial Narrow" w:hAnsi="Arial Narrow" w:cs="Calibri"/>
                <w:b/>
                <w:bCs/>
                <w:sz w:val="20"/>
                <w:szCs w:val="20"/>
              </w:rPr>
              <w:t>128 310</w:t>
            </w:r>
          </w:p>
        </w:tc>
        <w:tc>
          <w:tcPr>
            <w:tcW w:w="1119" w:type="dxa"/>
            <w:tcBorders>
              <w:top w:val="nil"/>
              <w:left w:val="nil"/>
              <w:bottom w:val="single" w:sz="8" w:space="0" w:color="auto"/>
              <w:right w:val="single" w:sz="8" w:space="0" w:color="auto"/>
            </w:tcBorders>
            <w:shd w:val="clear" w:color="000000" w:fill="FFFFFF"/>
            <w:noWrap/>
            <w:vAlign w:val="center"/>
          </w:tcPr>
          <w:p w14:paraId="4AB09F6D" w14:textId="77777777" w:rsidR="00013528" w:rsidRPr="00013528" w:rsidRDefault="00013528" w:rsidP="00013528">
            <w:pPr>
              <w:jc w:val="right"/>
              <w:rPr>
                <w:rFonts w:ascii="Arial Narrow" w:hAnsi="Arial Narrow" w:cs="Arial"/>
                <w:b/>
                <w:sz w:val="20"/>
                <w:szCs w:val="20"/>
                <w:lang w:val="bg-BG" w:eastAsia="bg-BG"/>
              </w:rPr>
            </w:pPr>
            <w:r w:rsidRPr="00013528">
              <w:rPr>
                <w:rFonts w:ascii="Arial Narrow" w:hAnsi="Arial Narrow" w:cs="Arial"/>
                <w:b/>
                <w:sz w:val="20"/>
                <w:szCs w:val="20"/>
                <w:lang w:val="bg-BG" w:eastAsia="bg-BG"/>
              </w:rPr>
              <w:t>х</w:t>
            </w:r>
          </w:p>
        </w:tc>
        <w:tc>
          <w:tcPr>
            <w:tcW w:w="1070" w:type="dxa"/>
            <w:tcBorders>
              <w:top w:val="nil"/>
              <w:left w:val="nil"/>
              <w:bottom w:val="single" w:sz="4" w:space="0" w:color="auto"/>
              <w:right w:val="single" w:sz="4" w:space="0" w:color="auto"/>
            </w:tcBorders>
            <w:shd w:val="clear" w:color="auto" w:fill="auto"/>
            <w:noWrap/>
            <w:vAlign w:val="center"/>
          </w:tcPr>
          <w:p w14:paraId="74E0E95E" w14:textId="77777777" w:rsidR="00013528" w:rsidRPr="00013528" w:rsidRDefault="00013528" w:rsidP="00013528">
            <w:pPr>
              <w:jc w:val="right"/>
              <w:rPr>
                <w:rFonts w:ascii="Arial Narrow" w:hAnsi="Arial Narrow" w:cs="Arial"/>
                <w:b/>
                <w:sz w:val="20"/>
                <w:szCs w:val="20"/>
                <w:lang w:val="bg-BG" w:eastAsia="bg-BG"/>
              </w:rPr>
            </w:pPr>
            <w:r w:rsidRPr="00013528">
              <w:rPr>
                <w:rFonts w:ascii="Arial Narrow" w:hAnsi="Arial Narrow" w:cs="Calibri"/>
                <w:b/>
                <w:sz w:val="20"/>
                <w:szCs w:val="20"/>
                <w:lang w:val="bg-BG"/>
              </w:rPr>
              <w:t>х</w:t>
            </w:r>
          </w:p>
        </w:tc>
        <w:tc>
          <w:tcPr>
            <w:tcW w:w="912" w:type="dxa"/>
            <w:tcBorders>
              <w:top w:val="nil"/>
              <w:left w:val="nil"/>
              <w:bottom w:val="single" w:sz="8" w:space="0" w:color="auto"/>
              <w:right w:val="single" w:sz="8" w:space="0" w:color="auto"/>
            </w:tcBorders>
            <w:shd w:val="clear" w:color="000000" w:fill="FFFFFF"/>
            <w:noWrap/>
            <w:vAlign w:val="center"/>
          </w:tcPr>
          <w:p w14:paraId="7365B401" w14:textId="77777777" w:rsidR="00013528" w:rsidRPr="00013528" w:rsidRDefault="00013528" w:rsidP="00013528">
            <w:pPr>
              <w:jc w:val="right"/>
              <w:rPr>
                <w:rFonts w:ascii="Arial Narrow" w:hAnsi="Arial Narrow" w:cs="Arial"/>
                <w:b/>
                <w:sz w:val="20"/>
                <w:szCs w:val="20"/>
                <w:lang w:val="bg-BG" w:eastAsia="bg-BG"/>
              </w:rPr>
            </w:pPr>
            <w:r w:rsidRPr="00013528">
              <w:rPr>
                <w:rFonts w:ascii="Arial Narrow" w:hAnsi="Arial Narrow" w:cs="Calibri"/>
                <w:b/>
                <w:bCs/>
                <w:sz w:val="20"/>
                <w:szCs w:val="20"/>
              </w:rPr>
              <w:t>107 150</w:t>
            </w:r>
          </w:p>
        </w:tc>
        <w:tc>
          <w:tcPr>
            <w:tcW w:w="939" w:type="dxa"/>
            <w:tcBorders>
              <w:top w:val="nil"/>
              <w:left w:val="nil"/>
              <w:bottom w:val="single" w:sz="4" w:space="0" w:color="auto"/>
              <w:right w:val="single" w:sz="4" w:space="0" w:color="auto"/>
            </w:tcBorders>
            <w:shd w:val="clear" w:color="auto" w:fill="auto"/>
            <w:noWrap/>
            <w:vAlign w:val="center"/>
          </w:tcPr>
          <w:p w14:paraId="1FB78A1E" w14:textId="77777777" w:rsidR="00013528" w:rsidRPr="00013528" w:rsidRDefault="00013528" w:rsidP="00013528">
            <w:pPr>
              <w:jc w:val="right"/>
              <w:rPr>
                <w:rFonts w:ascii="Arial Narrow" w:hAnsi="Arial Narrow" w:cs="Arial"/>
                <w:b/>
                <w:sz w:val="20"/>
                <w:szCs w:val="20"/>
                <w:lang w:val="bg-BG" w:eastAsia="bg-BG"/>
              </w:rPr>
            </w:pPr>
            <w:r w:rsidRPr="00013528">
              <w:rPr>
                <w:rFonts w:ascii="Arial Narrow" w:hAnsi="Arial Narrow" w:cs="Calibri"/>
                <w:b/>
                <w:bCs/>
                <w:sz w:val="20"/>
                <w:szCs w:val="20"/>
              </w:rPr>
              <w:t>-16%</w:t>
            </w:r>
          </w:p>
        </w:tc>
      </w:tr>
      <w:tr w:rsidR="00013528" w:rsidRPr="00013528" w14:paraId="138080A1" w14:textId="77777777" w:rsidTr="00DB1BD8">
        <w:trPr>
          <w:trHeight w:val="343"/>
        </w:trPr>
        <w:tc>
          <w:tcPr>
            <w:tcW w:w="3510" w:type="dxa"/>
            <w:shd w:val="clear" w:color="auto" w:fill="FFFFFF"/>
            <w:vAlign w:val="center"/>
          </w:tcPr>
          <w:p w14:paraId="5FC8CA3F" w14:textId="77777777" w:rsidR="00013528" w:rsidRPr="00013528" w:rsidRDefault="00013528" w:rsidP="00013528">
            <w:pPr>
              <w:ind w:right="-108"/>
              <w:rPr>
                <w:rFonts w:ascii="Arial Narrow" w:hAnsi="Arial Narrow" w:cs="Arial"/>
                <w:sz w:val="20"/>
                <w:szCs w:val="20"/>
                <w:lang w:val="bg-BG" w:eastAsia="bg-BG"/>
              </w:rPr>
            </w:pPr>
            <w:r w:rsidRPr="00013528">
              <w:rPr>
                <w:rFonts w:ascii="Arial Narrow" w:hAnsi="Arial Narrow" w:cs="Arial"/>
                <w:sz w:val="20"/>
                <w:szCs w:val="20"/>
                <w:lang w:val="bg-BG" w:eastAsia="bg-BG"/>
              </w:rPr>
              <w:t>1. Разходи за добив на дървесина - общо:</w:t>
            </w:r>
          </w:p>
        </w:tc>
        <w:tc>
          <w:tcPr>
            <w:tcW w:w="1216" w:type="dxa"/>
            <w:tcBorders>
              <w:top w:val="nil"/>
              <w:left w:val="nil"/>
              <w:bottom w:val="single" w:sz="8" w:space="0" w:color="auto"/>
              <w:right w:val="single" w:sz="8" w:space="0" w:color="auto"/>
            </w:tcBorders>
            <w:shd w:val="clear" w:color="000000" w:fill="FFFFFF"/>
            <w:noWrap/>
            <w:vAlign w:val="center"/>
          </w:tcPr>
          <w:p w14:paraId="3503C11B" w14:textId="77777777" w:rsidR="00013528" w:rsidRPr="00013528" w:rsidRDefault="00013528" w:rsidP="00013528">
            <w:pPr>
              <w:jc w:val="right"/>
              <w:rPr>
                <w:rFonts w:ascii="Arial Narrow" w:hAnsi="Arial Narrow" w:cs="Arial"/>
                <w:sz w:val="20"/>
                <w:szCs w:val="20"/>
                <w:lang w:val="bg-BG" w:eastAsia="bg-BG"/>
              </w:rPr>
            </w:pPr>
            <w:r w:rsidRPr="00013528">
              <w:rPr>
                <w:rFonts w:ascii="Arial Narrow" w:hAnsi="Arial Narrow" w:cs="Calibri"/>
                <w:sz w:val="20"/>
                <w:szCs w:val="20"/>
              </w:rPr>
              <w:t>2 510 469</w:t>
            </w:r>
          </w:p>
        </w:tc>
        <w:tc>
          <w:tcPr>
            <w:tcW w:w="1052" w:type="dxa"/>
            <w:tcBorders>
              <w:top w:val="nil"/>
              <w:left w:val="nil"/>
              <w:bottom w:val="single" w:sz="8" w:space="0" w:color="auto"/>
              <w:right w:val="single" w:sz="8" w:space="0" w:color="auto"/>
            </w:tcBorders>
            <w:shd w:val="clear" w:color="000000" w:fill="FFFFFF"/>
            <w:noWrap/>
            <w:vAlign w:val="center"/>
          </w:tcPr>
          <w:p w14:paraId="6C140A10" w14:textId="77777777" w:rsidR="00013528" w:rsidRPr="00013528" w:rsidRDefault="00013528" w:rsidP="00013528">
            <w:pPr>
              <w:jc w:val="right"/>
              <w:rPr>
                <w:rFonts w:ascii="Arial Narrow" w:hAnsi="Arial Narrow" w:cs="Arial"/>
                <w:sz w:val="20"/>
                <w:szCs w:val="20"/>
                <w:lang w:val="bg-BG" w:eastAsia="bg-BG"/>
              </w:rPr>
            </w:pPr>
            <w:r w:rsidRPr="00013528">
              <w:rPr>
                <w:rFonts w:ascii="Arial Narrow" w:hAnsi="Arial Narrow" w:cs="Calibri"/>
                <w:sz w:val="20"/>
                <w:szCs w:val="20"/>
              </w:rPr>
              <w:t>98 569</w:t>
            </w:r>
          </w:p>
        </w:tc>
        <w:tc>
          <w:tcPr>
            <w:tcW w:w="1119" w:type="dxa"/>
            <w:tcBorders>
              <w:top w:val="nil"/>
              <w:left w:val="nil"/>
              <w:bottom w:val="single" w:sz="8" w:space="0" w:color="auto"/>
              <w:right w:val="single" w:sz="8" w:space="0" w:color="auto"/>
            </w:tcBorders>
            <w:shd w:val="clear" w:color="000000" w:fill="FFFFFF"/>
            <w:noWrap/>
            <w:vAlign w:val="center"/>
          </w:tcPr>
          <w:p w14:paraId="57D2FF2C" w14:textId="77777777" w:rsidR="00013528" w:rsidRPr="00013528" w:rsidRDefault="00013528" w:rsidP="00013528">
            <w:pPr>
              <w:jc w:val="right"/>
              <w:rPr>
                <w:rFonts w:ascii="Arial Narrow" w:hAnsi="Arial Narrow" w:cs="Arial"/>
                <w:sz w:val="20"/>
                <w:szCs w:val="20"/>
                <w:lang w:val="bg-BG" w:eastAsia="bg-BG"/>
              </w:rPr>
            </w:pPr>
            <w:r w:rsidRPr="00013528">
              <w:rPr>
                <w:rFonts w:ascii="Arial Narrow" w:hAnsi="Arial Narrow" w:cs="Calibri"/>
                <w:sz w:val="20"/>
                <w:szCs w:val="20"/>
              </w:rPr>
              <w:t>1 992 162</w:t>
            </w:r>
          </w:p>
        </w:tc>
        <w:tc>
          <w:tcPr>
            <w:tcW w:w="1070" w:type="dxa"/>
            <w:tcBorders>
              <w:top w:val="nil"/>
              <w:left w:val="nil"/>
              <w:bottom w:val="single" w:sz="4" w:space="0" w:color="auto"/>
              <w:right w:val="single" w:sz="4" w:space="0" w:color="auto"/>
            </w:tcBorders>
            <w:shd w:val="clear" w:color="auto" w:fill="auto"/>
            <w:noWrap/>
            <w:vAlign w:val="center"/>
          </w:tcPr>
          <w:p w14:paraId="54942276" w14:textId="77777777" w:rsidR="00013528" w:rsidRPr="00013528" w:rsidRDefault="00013528" w:rsidP="00013528">
            <w:pPr>
              <w:jc w:val="right"/>
              <w:rPr>
                <w:rFonts w:ascii="Arial Narrow" w:hAnsi="Arial Narrow" w:cs="Arial"/>
                <w:sz w:val="20"/>
                <w:szCs w:val="20"/>
                <w:lang w:val="bg-BG" w:eastAsia="bg-BG"/>
              </w:rPr>
            </w:pPr>
            <w:r w:rsidRPr="00013528">
              <w:rPr>
                <w:rFonts w:ascii="Arial Narrow" w:hAnsi="Arial Narrow" w:cs="Arial"/>
                <w:sz w:val="20"/>
                <w:szCs w:val="20"/>
                <w:lang w:val="bg-BG" w:eastAsia="bg-BG"/>
              </w:rPr>
              <w:t>-21%</w:t>
            </w:r>
          </w:p>
        </w:tc>
        <w:tc>
          <w:tcPr>
            <w:tcW w:w="912" w:type="dxa"/>
            <w:tcBorders>
              <w:top w:val="nil"/>
              <w:left w:val="nil"/>
              <w:bottom w:val="single" w:sz="8" w:space="0" w:color="auto"/>
              <w:right w:val="single" w:sz="8" w:space="0" w:color="auto"/>
            </w:tcBorders>
            <w:shd w:val="clear" w:color="000000" w:fill="FFFFFF"/>
            <w:noWrap/>
            <w:vAlign w:val="center"/>
          </w:tcPr>
          <w:p w14:paraId="51FADCC9" w14:textId="77777777" w:rsidR="00013528" w:rsidRPr="00013528" w:rsidRDefault="00013528" w:rsidP="00013528">
            <w:pPr>
              <w:jc w:val="right"/>
              <w:rPr>
                <w:rFonts w:ascii="Arial Narrow" w:hAnsi="Arial Narrow" w:cs="Arial"/>
                <w:sz w:val="20"/>
                <w:szCs w:val="20"/>
                <w:lang w:val="bg-BG" w:eastAsia="bg-BG"/>
              </w:rPr>
            </w:pPr>
            <w:r w:rsidRPr="00013528">
              <w:rPr>
                <w:rFonts w:ascii="Arial Narrow" w:hAnsi="Arial Narrow" w:cs="Calibri"/>
                <w:sz w:val="20"/>
                <w:szCs w:val="20"/>
              </w:rPr>
              <w:t>78 962</w:t>
            </w:r>
          </w:p>
        </w:tc>
        <w:tc>
          <w:tcPr>
            <w:tcW w:w="939" w:type="dxa"/>
            <w:tcBorders>
              <w:top w:val="nil"/>
              <w:left w:val="nil"/>
              <w:bottom w:val="single" w:sz="4" w:space="0" w:color="auto"/>
              <w:right w:val="single" w:sz="4" w:space="0" w:color="auto"/>
            </w:tcBorders>
            <w:shd w:val="clear" w:color="auto" w:fill="auto"/>
            <w:noWrap/>
            <w:vAlign w:val="center"/>
          </w:tcPr>
          <w:p w14:paraId="1FF4F5A5" w14:textId="77777777" w:rsidR="00013528" w:rsidRPr="00013528" w:rsidRDefault="00013528" w:rsidP="00013528">
            <w:pPr>
              <w:jc w:val="right"/>
              <w:rPr>
                <w:rFonts w:ascii="Arial Narrow" w:hAnsi="Arial Narrow" w:cs="Arial"/>
                <w:sz w:val="20"/>
                <w:szCs w:val="20"/>
                <w:lang w:val="bg-BG" w:eastAsia="bg-BG"/>
              </w:rPr>
            </w:pPr>
            <w:r w:rsidRPr="00013528">
              <w:rPr>
                <w:rFonts w:ascii="Arial Narrow" w:hAnsi="Arial Narrow" w:cs="Calibri"/>
                <w:sz w:val="20"/>
                <w:szCs w:val="20"/>
                <w:lang w:val="bg-BG"/>
              </w:rPr>
              <w:t>-20</w:t>
            </w:r>
            <w:r w:rsidRPr="00013528">
              <w:rPr>
                <w:rFonts w:ascii="Arial Narrow" w:hAnsi="Arial Narrow" w:cs="Calibri"/>
                <w:sz w:val="20"/>
                <w:szCs w:val="20"/>
              </w:rPr>
              <w:t>%</w:t>
            </w:r>
          </w:p>
        </w:tc>
      </w:tr>
      <w:tr w:rsidR="00013528" w:rsidRPr="00013528" w14:paraId="075B9E98" w14:textId="77777777" w:rsidTr="00DB1BD8">
        <w:trPr>
          <w:trHeight w:val="572"/>
        </w:trPr>
        <w:tc>
          <w:tcPr>
            <w:tcW w:w="3510" w:type="dxa"/>
            <w:shd w:val="clear" w:color="auto" w:fill="FFFFFF"/>
            <w:vAlign w:val="center"/>
          </w:tcPr>
          <w:p w14:paraId="43D3511E" w14:textId="77777777" w:rsidR="00013528" w:rsidRPr="00013528" w:rsidRDefault="00013528" w:rsidP="00013528">
            <w:pPr>
              <w:ind w:right="-108"/>
              <w:rPr>
                <w:rFonts w:ascii="Arial Narrow" w:hAnsi="Arial Narrow" w:cs="Arial"/>
                <w:sz w:val="20"/>
                <w:szCs w:val="20"/>
                <w:lang w:val="bg-BG" w:eastAsia="bg-BG"/>
              </w:rPr>
            </w:pPr>
            <w:r w:rsidRPr="00013528">
              <w:rPr>
                <w:rFonts w:ascii="Arial Narrow" w:hAnsi="Arial Narrow" w:cs="Arial"/>
                <w:sz w:val="20"/>
                <w:szCs w:val="20"/>
                <w:lang w:val="bg-BG" w:eastAsia="bg-BG"/>
              </w:rPr>
              <w:t>2. Разходи за направа на извозни пътища и текущ ремонт на горски автомобилни пътища</w:t>
            </w:r>
          </w:p>
        </w:tc>
        <w:tc>
          <w:tcPr>
            <w:tcW w:w="1216" w:type="dxa"/>
            <w:tcBorders>
              <w:top w:val="nil"/>
              <w:left w:val="nil"/>
              <w:bottom w:val="single" w:sz="8" w:space="0" w:color="auto"/>
              <w:right w:val="single" w:sz="8" w:space="0" w:color="auto"/>
            </w:tcBorders>
            <w:shd w:val="clear" w:color="000000" w:fill="FFFFFF"/>
            <w:noWrap/>
            <w:vAlign w:val="center"/>
          </w:tcPr>
          <w:p w14:paraId="1CDBC152" w14:textId="77777777" w:rsidR="00013528" w:rsidRPr="00013528" w:rsidRDefault="00013528" w:rsidP="00013528">
            <w:pPr>
              <w:jc w:val="right"/>
              <w:rPr>
                <w:rFonts w:ascii="Arial Narrow" w:hAnsi="Arial Narrow" w:cs="Arial"/>
                <w:sz w:val="20"/>
                <w:szCs w:val="20"/>
                <w:highlight w:val="yellow"/>
                <w:lang w:val="bg-BG" w:eastAsia="bg-BG"/>
              </w:rPr>
            </w:pPr>
            <w:r w:rsidRPr="00013528">
              <w:rPr>
                <w:rFonts w:ascii="Arial Narrow" w:hAnsi="Arial Narrow" w:cs="Calibri"/>
                <w:sz w:val="20"/>
                <w:szCs w:val="20"/>
              </w:rPr>
              <w:t>263</w:t>
            </w:r>
          </w:p>
        </w:tc>
        <w:tc>
          <w:tcPr>
            <w:tcW w:w="1052" w:type="dxa"/>
            <w:tcBorders>
              <w:top w:val="nil"/>
              <w:left w:val="nil"/>
              <w:bottom w:val="single" w:sz="8" w:space="0" w:color="auto"/>
              <w:right w:val="single" w:sz="8" w:space="0" w:color="auto"/>
            </w:tcBorders>
            <w:shd w:val="clear" w:color="000000" w:fill="FFFFFF"/>
            <w:noWrap/>
            <w:vAlign w:val="center"/>
          </w:tcPr>
          <w:p w14:paraId="35941CF7" w14:textId="77777777" w:rsidR="00013528" w:rsidRPr="00013528" w:rsidRDefault="00013528" w:rsidP="00013528">
            <w:pPr>
              <w:jc w:val="right"/>
              <w:rPr>
                <w:rFonts w:ascii="Arial Narrow" w:hAnsi="Arial Narrow" w:cs="Arial"/>
                <w:sz w:val="20"/>
                <w:szCs w:val="20"/>
                <w:lang w:val="bg-BG" w:eastAsia="bg-BG"/>
              </w:rPr>
            </w:pPr>
            <w:r w:rsidRPr="00013528">
              <w:rPr>
                <w:rFonts w:ascii="Arial Narrow" w:hAnsi="Arial Narrow" w:cs="Calibri"/>
                <w:sz w:val="20"/>
                <w:szCs w:val="20"/>
              </w:rPr>
              <w:t>1273</w:t>
            </w:r>
          </w:p>
        </w:tc>
        <w:tc>
          <w:tcPr>
            <w:tcW w:w="1119" w:type="dxa"/>
            <w:tcBorders>
              <w:top w:val="nil"/>
              <w:left w:val="nil"/>
              <w:bottom w:val="single" w:sz="8" w:space="0" w:color="auto"/>
              <w:right w:val="single" w:sz="8" w:space="0" w:color="auto"/>
            </w:tcBorders>
            <w:shd w:val="clear" w:color="000000" w:fill="FFFFFF"/>
            <w:noWrap/>
            <w:vAlign w:val="center"/>
          </w:tcPr>
          <w:p w14:paraId="0E27EFB9" w14:textId="77777777" w:rsidR="00013528" w:rsidRPr="00013528" w:rsidRDefault="00013528" w:rsidP="00013528">
            <w:pPr>
              <w:jc w:val="right"/>
              <w:rPr>
                <w:rFonts w:ascii="Arial Narrow" w:hAnsi="Arial Narrow" w:cs="Arial"/>
                <w:sz w:val="20"/>
                <w:szCs w:val="20"/>
                <w:lang w:val="bg-BG" w:eastAsia="bg-BG"/>
              </w:rPr>
            </w:pPr>
            <w:r w:rsidRPr="00013528">
              <w:rPr>
                <w:rFonts w:ascii="Arial Narrow" w:hAnsi="Arial Narrow" w:cs="Calibri"/>
                <w:sz w:val="20"/>
                <w:szCs w:val="20"/>
              </w:rPr>
              <w:t>340</w:t>
            </w:r>
          </w:p>
        </w:tc>
        <w:tc>
          <w:tcPr>
            <w:tcW w:w="1070" w:type="dxa"/>
            <w:tcBorders>
              <w:top w:val="nil"/>
              <w:left w:val="nil"/>
              <w:bottom w:val="single" w:sz="4" w:space="0" w:color="auto"/>
              <w:right w:val="single" w:sz="4" w:space="0" w:color="auto"/>
            </w:tcBorders>
            <w:shd w:val="clear" w:color="000000" w:fill="FFFFFF"/>
            <w:noWrap/>
            <w:vAlign w:val="center"/>
          </w:tcPr>
          <w:p w14:paraId="2D244454" w14:textId="77777777" w:rsidR="00013528" w:rsidRPr="00013528" w:rsidRDefault="00013528" w:rsidP="00013528">
            <w:pPr>
              <w:jc w:val="right"/>
              <w:rPr>
                <w:rFonts w:ascii="Arial Narrow" w:hAnsi="Arial Narrow" w:cs="Arial"/>
                <w:sz w:val="20"/>
                <w:szCs w:val="20"/>
                <w:lang w:val="bg-BG" w:eastAsia="bg-BG"/>
              </w:rPr>
            </w:pPr>
            <w:r w:rsidRPr="00013528">
              <w:rPr>
                <w:rFonts w:ascii="Arial Narrow" w:hAnsi="Arial Narrow" w:cs="Arial"/>
                <w:sz w:val="20"/>
                <w:szCs w:val="20"/>
                <w:lang w:val="bg-BG" w:eastAsia="bg-BG"/>
              </w:rPr>
              <w:t>29%</w:t>
            </w:r>
          </w:p>
        </w:tc>
        <w:tc>
          <w:tcPr>
            <w:tcW w:w="912" w:type="dxa"/>
            <w:tcBorders>
              <w:top w:val="nil"/>
              <w:left w:val="nil"/>
              <w:bottom w:val="single" w:sz="8" w:space="0" w:color="auto"/>
              <w:right w:val="single" w:sz="8" w:space="0" w:color="auto"/>
            </w:tcBorders>
            <w:shd w:val="clear" w:color="000000" w:fill="FFFFFF"/>
            <w:noWrap/>
            <w:vAlign w:val="center"/>
          </w:tcPr>
          <w:p w14:paraId="635E263A" w14:textId="77777777" w:rsidR="00013528" w:rsidRPr="00013528" w:rsidRDefault="00013528" w:rsidP="00013528">
            <w:pPr>
              <w:jc w:val="right"/>
              <w:rPr>
                <w:rFonts w:ascii="Arial Narrow" w:hAnsi="Arial Narrow" w:cs="Arial"/>
                <w:sz w:val="20"/>
                <w:szCs w:val="20"/>
                <w:lang w:val="bg-BG" w:eastAsia="bg-BG"/>
              </w:rPr>
            </w:pPr>
            <w:r w:rsidRPr="00013528">
              <w:rPr>
                <w:rFonts w:ascii="Arial Narrow" w:hAnsi="Arial Narrow" w:cs="Calibri"/>
                <w:sz w:val="20"/>
                <w:szCs w:val="20"/>
              </w:rPr>
              <w:t>1 322</w:t>
            </w:r>
          </w:p>
        </w:tc>
        <w:tc>
          <w:tcPr>
            <w:tcW w:w="939" w:type="dxa"/>
            <w:tcBorders>
              <w:top w:val="nil"/>
              <w:left w:val="nil"/>
              <w:bottom w:val="single" w:sz="4" w:space="0" w:color="auto"/>
              <w:right w:val="single" w:sz="4" w:space="0" w:color="auto"/>
            </w:tcBorders>
            <w:shd w:val="clear" w:color="auto" w:fill="auto"/>
            <w:noWrap/>
            <w:vAlign w:val="center"/>
          </w:tcPr>
          <w:p w14:paraId="2DED6580" w14:textId="77777777" w:rsidR="00013528" w:rsidRPr="00013528" w:rsidRDefault="00013528" w:rsidP="00013528">
            <w:pPr>
              <w:jc w:val="right"/>
              <w:rPr>
                <w:rFonts w:ascii="Arial Narrow" w:hAnsi="Arial Narrow" w:cs="Arial"/>
                <w:sz w:val="20"/>
                <w:szCs w:val="20"/>
                <w:lang w:val="bg-BG" w:eastAsia="bg-BG"/>
              </w:rPr>
            </w:pPr>
            <w:r w:rsidRPr="00013528">
              <w:rPr>
                <w:rFonts w:ascii="Arial Narrow" w:hAnsi="Arial Narrow" w:cs="Calibri"/>
                <w:sz w:val="20"/>
                <w:szCs w:val="20"/>
                <w:lang w:val="bg-BG"/>
              </w:rPr>
              <w:t>4</w:t>
            </w:r>
            <w:r w:rsidRPr="00013528">
              <w:rPr>
                <w:rFonts w:ascii="Arial Narrow" w:hAnsi="Arial Narrow" w:cs="Calibri"/>
                <w:sz w:val="20"/>
                <w:szCs w:val="20"/>
              </w:rPr>
              <w:t>%</w:t>
            </w:r>
          </w:p>
        </w:tc>
      </w:tr>
      <w:tr w:rsidR="00013528" w:rsidRPr="00013528" w14:paraId="71CE4650" w14:textId="77777777" w:rsidTr="00DB1BD8">
        <w:trPr>
          <w:trHeight w:val="343"/>
        </w:trPr>
        <w:tc>
          <w:tcPr>
            <w:tcW w:w="3510" w:type="dxa"/>
            <w:shd w:val="clear" w:color="auto" w:fill="FFFFFF"/>
            <w:noWrap/>
            <w:vAlign w:val="center"/>
          </w:tcPr>
          <w:p w14:paraId="60DFDE72" w14:textId="77777777" w:rsidR="00013528" w:rsidRPr="00013528" w:rsidRDefault="00013528" w:rsidP="00013528">
            <w:pPr>
              <w:ind w:right="-108"/>
              <w:rPr>
                <w:rFonts w:ascii="Arial Narrow" w:hAnsi="Arial Narrow" w:cs="Arial"/>
                <w:sz w:val="20"/>
                <w:szCs w:val="20"/>
                <w:lang w:val="bg-BG" w:eastAsia="bg-BG"/>
              </w:rPr>
            </w:pPr>
            <w:r w:rsidRPr="00013528">
              <w:rPr>
                <w:rFonts w:ascii="Arial Narrow" w:hAnsi="Arial Narrow" w:cs="Arial"/>
                <w:sz w:val="20"/>
                <w:szCs w:val="20"/>
                <w:lang w:val="bg-BG" w:eastAsia="bg-BG"/>
              </w:rPr>
              <w:t xml:space="preserve">3. Отчисление за фонд "Инвeстиции в горите" </w:t>
            </w:r>
          </w:p>
        </w:tc>
        <w:tc>
          <w:tcPr>
            <w:tcW w:w="1216" w:type="dxa"/>
            <w:tcBorders>
              <w:top w:val="nil"/>
              <w:left w:val="nil"/>
              <w:bottom w:val="single" w:sz="8" w:space="0" w:color="auto"/>
              <w:right w:val="single" w:sz="8" w:space="0" w:color="auto"/>
            </w:tcBorders>
            <w:shd w:val="clear" w:color="000000" w:fill="FFFFFF"/>
            <w:noWrap/>
            <w:vAlign w:val="center"/>
          </w:tcPr>
          <w:p w14:paraId="0765A238" w14:textId="77777777" w:rsidR="00013528" w:rsidRPr="00013528" w:rsidRDefault="00013528" w:rsidP="00013528">
            <w:pPr>
              <w:jc w:val="right"/>
              <w:rPr>
                <w:rFonts w:ascii="Arial Narrow" w:hAnsi="Arial Narrow" w:cs="Arial"/>
                <w:sz w:val="20"/>
                <w:szCs w:val="20"/>
                <w:lang w:val="bg-BG" w:eastAsia="bg-BG"/>
              </w:rPr>
            </w:pPr>
            <w:r w:rsidRPr="00013528">
              <w:rPr>
                <w:rFonts w:ascii="Arial Narrow" w:hAnsi="Arial Narrow" w:cs="Arial"/>
                <w:sz w:val="20"/>
                <w:szCs w:val="20"/>
                <w:lang w:val="bg-BG" w:eastAsia="bg-BG"/>
              </w:rPr>
              <w:t>х</w:t>
            </w:r>
          </w:p>
        </w:tc>
        <w:tc>
          <w:tcPr>
            <w:tcW w:w="1052" w:type="dxa"/>
            <w:tcBorders>
              <w:top w:val="nil"/>
              <w:left w:val="nil"/>
              <w:bottom w:val="single" w:sz="8" w:space="0" w:color="auto"/>
              <w:right w:val="single" w:sz="8" w:space="0" w:color="auto"/>
            </w:tcBorders>
            <w:shd w:val="clear" w:color="000000" w:fill="FFFFFF"/>
            <w:noWrap/>
            <w:vAlign w:val="center"/>
          </w:tcPr>
          <w:p w14:paraId="610CF9E9" w14:textId="77777777" w:rsidR="00013528" w:rsidRPr="00013528" w:rsidRDefault="00013528" w:rsidP="00013528">
            <w:pPr>
              <w:jc w:val="right"/>
              <w:rPr>
                <w:rFonts w:ascii="Arial Narrow" w:hAnsi="Arial Narrow" w:cs="Arial"/>
                <w:sz w:val="20"/>
                <w:szCs w:val="20"/>
                <w:lang w:val="bg-BG" w:eastAsia="bg-BG"/>
              </w:rPr>
            </w:pPr>
            <w:r w:rsidRPr="00013528">
              <w:rPr>
                <w:rFonts w:ascii="Arial Narrow" w:hAnsi="Arial Narrow" w:cs="Calibri"/>
                <w:sz w:val="20"/>
                <w:szCs w:val="20"/>
              </w:rPr>
              <w:t>17</w:t>
            </w:r>
            <w:r w:rsidRPr="00013528">
              <w:rPr>
                <w:rFonts w:ascii="Arial Narrow" w:hAnsi="Arial Narrow" w:cs="Calibri"/>
                <w:sz w:val="20"/>
                <w:szCs w:val="20"/>
                <w:lang w:val="bg-BG"/>
              </w:rPr>
              <w:t xml:space="preserve"> </w:t>
            </w:r>
            <w:r w:rsidRPr="00013528">
              <w:rPr>
                <w:rFonts w:ascii="Arial Narrow" w:hAnsi="Arial Narrow" w:cs="Calibri"/>
                <w:sz w:val="20"/>
                <w:szCs w:val="20"/>
              </w:rPr>
              <w:t>44</w:t>
            </w:r>
            <w:r w:rsidRPr="00013528">
              <w:rPr>
                <w:rFonts w:ascii="Arial Narrow" w:hAnsi="Arial Narrow" w:cs="Calibri"/>
                <w:sz w:val="20"/>
                <w:szCs w:val="20"/>
                <w:lang w:val="bg-BG"/>
              </w:rPr>
              <w:t>2</w:t>
            </w:r>
          </w:p>
        </w:tc>
        <w:tc>
          <w:tcPr>
            <w:tcW w:w="1119" w:type="dxa"/>
            <w:tcBorders>
              <w:top w:val="nil"/>
              <w:left w:val="nil"/>
              <w:bottom w:val="single" w:sz="8" w:space="0" w:color="auto"/>
              <w:right w:val="single" w:sz="8" w:space="0" w:color="auto"/>
            </w:tcBorders>
            <w:shd w:val="clear" w:color="000000" w:fill="FFFFFF"/>
            <w:noWrap/>
            <w:vAlign w:val="center"/>
          </w:tcPr>
          <w:p w14:paraId="49DC48FE" w14:textId="77777777" w:rsidR="00013528" w:rsidRPr="00013528" w:rsidRDefault="00013528" w:rsidP="00013528">
            <w:pPr>
              <w:jc w:val="right"/>
              <w:rPr>
                <w:rFonts w:ascii="Arial Narrow" w:hAnsi="Arial Narrow" w:cs="Arial"/>
                <w:sz w:val="20"/>
                <w:szCs w:val="20"/>
                <w:lang w:val="bg-BG" w:eastAsia="bg-BG"/>
              </w:rPr>
            </w:pPr>
            <w:r w:rsidRPr="00013528">
              <w:rPr>
                <w:rFonts w:ascii="Arial Narrow" w:hAnsi="Arial Narrow" w:cs="Arial"/>
                <w:sz w:val="20"/>
                <w:szCs w:val="20"/>
                <w:lang w:val="bg-BG" w:eastAsia="bg-BG"/>
              </w:rPr>
              <w:t>х</w:t>
            </w:r>
          </w:p>
        </w:tc>
        <w:tc>
          <w:tcPr>
            <w:tcW w:w="1070" w:type="dxa"/>
            <w:tcBorders>
              <w:top w:val="nil"/>
              <w:left w:val="nil"/>
              <w:bottom w:val="single" w:sz="4" w:space="0" w:color="auto"/>
              <w:right w:val="single" w:sz="4" w:space="0" w:color="auto"/>
            </w:tcBorders>
            <w:shd w:val="clear" w:color="000000" w:fill="FFFFFF"/>
            <w:noWrap/>
            <w:vAlign w:val="center"/>
          </w:tcPr>
          <w:p w14:paraId="22E920F3" w14:textId="77777777" w:rsidR="00013528" w:rsidRPr="00013528" w:rsidRDefault="00013528" w:rsidP="00013528">
            <w:pPr>
              <w:jc w:val="right"/>
              <w:rPr>
                <w:rFonts w:ascii="Arial Narrow" w:hAnsi="Arial Narrow" w:cs="Arial"/>
                <w:sz w:val="20"/>
                <w:szCs w:val="20"/>
                <w:lang w:val="bg-BG" w:eastAsia="bg-BG"/>
              </w:rPr>
            </w:pPr>
            <w:r w:rsidRPr="00013528">
              <w:rPr>
                <w:rFonts w:ascii="Arial Narrow" w:hAnsi="Arial Narrow" w:cs="Calibri"/>
                <w:sz w:val="20"/>
                <w:szCs w:val="20"/>
              </w:rPr>
              <w:t>x</w:t>
            </w:r>
          </w:p>
        </w:tc>
        <w:tc>
          <w:tcPr>
            <w:tcW w:w="912" w:type="dxa"/>
            <w:tcBorders>
              <w:top w:val="nil"/>
              <w:left w:val="nil"/>
              <w:bottom w:val="single" w:sz="8" w:space="0" w:color="auto"/>
              <w:right w:val="single" w:sz="8" w:space="0" w:color="auto"/>
            </w:tcBorders>
            <w:shd w:val="clear" w:color="000000" w:fill="FFFFFF"/>
            <w:noWrap/>
            <w:vAlign w:val="center"/>
          </w:tcPr>
          <w:p w14:paraId="64A1DA99" w14:textId="77777777" w:rsidR="00013528" w:rsidRPr="00013528" w:rsidRDefault="00013528" w:rsidP="00013528">
            <w:pPr>
              <w:jc w:val="right"/>
              <w:rPr>
                <w:rFonts w:ascii="Arial Narrow" w:hAnsi="Arial Narrow" w:cs="Arial"/>
                <w:sz w:val="20"/>
                <w:szCs w:val="20"/>
                <w:lang w:val="bg-BG" w:eastAsia="bg-BG"/>
              </w:rPr>
            </w:pPr>
            <w:r w:rsidRPr="00013528">
              <w:rPr>
                <w:rFonts w:ascii="Arial Narrow" w:hAnsi="Arial Narrow" w:cs="Calibri"/>
                <w:sz w:val="20"/>
                <w:szCs w:val="20"/>
              </w:rPr>
              <w:t>14 417</w:t>
            </w:r>
          </w:p>
        </w:tc>
        <w:tc>
          <w:tcPr>
            <w:tcW w:w="939" w:type="dxa"/>
            <w:tcBorders>
              <w:top w:val="nil"/>
              <w:left w:val="nil"/>
              <w:bottom w:val="single" w:sz="4" w:space="0" w:color="auto"/>
              <w:right w:val="single" w:sz="4" w:space="0" w:color="auto"/>
            </w:tcBorders>
            <w:shd w:val="clear" w:color="auto" w:fill="auto"/>
            <w:noWrap/>
            <w:vAlign w:val="center"/>
          </w:tcPr>
          <w:p w14:paraId="304C14FF" w14:textId="77777777" w:rsidR="00013528" w:rsidRPr="00013528" w:rsidRDefault="00013528" w:rsidP="00013528">
            <w:pPr>
              <w:jc w:val="right"/>
              <w:rPr>
                <w:rFonts w:ascii="Arial Narrow" w:hAnsi="Arial Narrow" w:cs="Arial"/>
                <w:sz w:val="20"/>
                <w:szCs w:val="20"/>
                <w:lang w:val="bg-BG" w:eastAsia="bg-BG"/>
              </w:rPr>
            </w:pPr>
            <w:r w:rsidRPr="00013528">
              <w:rPr>
                <w:rFonts w:ascii="Arial Narrow" w:hAnsi="Arial Narrow" w:cs="Calibri"/>
                <w:sz w:val="20"/>
                <w:szCs w:val="20"/>
                <w:lang w:val="bg-BG"/>
              </w:rPr>
              <w:t>-17</w:t>
            </w:r>
            <w:r w:rsidRPr="00013528">
              <w:rPr>
                <w:rFonts w:ascii="Arial Narrow" w:hAnsi="Arial Narrow" w:cs="Calibri"/>
                <w:sz w:val="20"/>
                <w:szCs w:val="20"/>
              </w:rPr>
              <w:t>%</w:t>
            </w:r>
          </w:p>
        </w:tc>
      </w:tr>
    </w:tbl>
    <w:p w14:paraId="116C5670" w14:textId="77777777" w:rsidR="00013528" w:rsidRPr="000E7602" w:rsidRDefault="00013528" w:rsidP="00013528">
      <w:pPr>
        <w:spacing w:after="240"/>
        <w:rPr>
          <w:rFonts w:ascii="Arial Narrow" w:eastAsia="Calibri" w:hAnsi="Arial Narrow"/>
          <w:b/>
          <w:i/>
          <w:sz w:val="18"/>
          <w:szCs w:val="18"/>
          <w:lang w:val="bg-BG" w:eastAsia="zh-CN"/>
        </w:rPr>
      </w:pPr>
      <w:r w:rsidRPr="000E7602">
        <w:rPr>
          <w:rFonts w:ascii="Arial Narrow" w:eastAsia="Calibri" w:hAnsi="Arial Narrow"/>
          <w:i/>
          <w:sz w:val="18"/>
          <w:szCs w:val="18"/>
          <w:lang w:val="bg-BG" w:eastAsia="zh-CN"/>
        </w:rPr>
        <w:t>Източник:</w:t>
      </w:r>
      <w:r w:rsidRPr="000E7602">
        <w:rPr>
          <w:rFonts w:ascii="Arial Narrow" w:eastAsia="Calibri" w:hAnsi="Arial Narrow"/>
          <w:b/>
          <w:i/>
          <w:sz w:val="18"/>
          <w:szCs w:val="18"/>
          <w:lang w:val="bg-BG" w:eastAsia="zh-CN"/>
        </w:rPr>
        <w:t xml:space="preserve"> </w:t>
      </w:r>
      <w:r w:rsidRPr="000E7602">
        <w:rPr>
          <w:rFonts w:ascii="Arial Narrow" w:eastAsia="Calibri" w:hAnsi="Arial Narrow"/>
          <w:sz w:val="18"/>
          <w:szCs w:val="18"/>
          <w:lang w:val="bg-BG" w:eastAsia="zh-CN"/>
        </w:rPr>
        <w:t>МЗХ</w:t>
      </w:r>
    </w:p>
    <w:p w14:paraId="043CC568" w14:textId="77777777" w:rsidR="00ED5011" w:rsidRPr="00DB1BD8" w:rsidRDefault="00ED5011" w:rsidP="00BF097E">
      <w:pPr>
        <w:keepNext/>
        <w:numPr>
          <w:ilvl w:val="1"/>
          <w:numId w:val="24"/>
        </w:numPr>
        <w:spacing w:after="120"/>
        <w:ind w:left="538" w:hanging="181"/>
        <w:jc w:val="both"/>
        <w:outlineLvl w:val="0"/>
        <w:rPr>
          <w:rFonts w:ascii="Arial Narrow" w:hAnsi="Arial Narrow" w:cs="TimesNewRomanUnicode,Italic"/>
          <w:b/>
          <w:iCs/>
          <w:lang w:val="bg-BG" w:eastAsia="bg-BG"/>
        </w:rPr>
      </w:pPr>
      <w:bookmarkStart w:id="239" w:name="_Toc119489986"/>
      <w:bookmarkStart w:id="240" w:name="_Toc210747674"/>
      <w:r w:rsidRPr="00DB1BD8">
        <w:rPr>
          <w:rFonts w:ascii="Arial Narrow" w:hAnsi="Arial Narrow" w:cs="TimesNewRomanUnicode,Italic"/>
          <w:b/>
          <w:iCs/>
          <w:lang w:val="bg-BG" w:eastAsia="bg-BG"/>
        </w:rPr>
        <w:t>Странични дейности и ползване на недървесни горски продукти</w:t>
      </w:r>
      <w:bookmarkEnd w:id="239"/>
      <w:bookmarkEnd w:id="240"/>
      <w:r w:rsidRPr="00DB1BD8">
        <w:rPr>
          <w:rFonts w:ascii="Arial Narrow" w:hAnsi="Arial Narrow" w:cs="TimesNewRomanUnicode,Italic"/>
          <w:b/>
          <w:iCs/>
          <w:lang w:val="bg-BG" w:eastAsia="bg-BG"/>
        </w:rPr>
        <w:t xml:space="preserve"> </w:t>
      </w:r>
    </w:p>
    <w:p w14:paraId="2A6DDB88" w14:textId="77777777" w:rsidR="00DB1BD8" w:rsidRPr="00DB1BD8" w:rsidRDefault="00DB1BD8" w:rsidP="00ED5011">
      <w:pPr>
        <w:spacing w:after="120"/>
        <w:ind w:firstLine="709"/>
        <w:jc w:val="both"/>
        <w:rPr>
          <w:rFonts w:ascii="Arial Narrow" w:hAnsi="Arial Narrow"/>
          <w:lang w:val="bg-BG" w:eastAsia="bg-BG"/>
        </w:rPr>
      </w:pPr>
      <w:r w:rsidRPr="00DB1BD8">
        <w:rPr>
          <w:rFonts w:ascii="Arial Narrow" w:hAnsi="Arial Narrow"/>
          <w:lang w:val="bg-BG" w:eastAsia="bg-BG"/>
        </w:rPr>
        <w:t>За 2024 г. държавните предприятия отчитат общо 20,3 млн. лева приходи от странична дейност и недървесни горски продукти (без съществена промяна спрямо 2023 г.) и съответстващи разходи от 16,2 млн. лева.</w:t>
      </w:r>
    </w:p>
    <w:p w14:paraId="538BC573" w14:textId="77777777" w:rsidR="00ED5011" w:rsidRPr="00DB1BD8" w:rsidRDefault="00ED5011" w:rsidP="0072450C">
      <w:pPr>
        <w:keepNext/>
        <w:numPr>
          <w:ilvl w:val="0"/>
          <w:numId w:val="20"/>
        </w:numPr>
        <w:spacing w:after="120"/>
        <w:outlineLvl w:val="0"/>
        <w:rPr>
          <w:rFonts w:ascii="Arial Narrow" w:hAnsi="Arial Narrow" w:cs="Arial"/>
          <w:b/>
          <w:lang w:val="bg-BG" w:eastAsia="bg-BG"/>
        </w:rPr>
      </w:pPr>
      <w:bookmarkStart w:id="241" w:name="_Toc119489987"/>
      <w:bookmarkStart w:id="242" w:name="_Toc210747675"/>
      <w:r w:rsidRPr="00DB1BD8">
        <w:rPr>
          <w:rFonts w:ascii="Arial Narrow" w:hAnsi="Arial Narrow" w:cs="Arial"/>
          <w:b/>
          <w:lang w:val="bg-BG" w:eastAsia="bg-BG"/>
        </w:rPr>
        <w:t>Защита на горските територии</w:t>
      </w:r>
      <w:bookmarkEnd w:id="241"/>
      <w:bookmarkEnd w:id="242"/>
    </w:p>
    <w:p w14:paraId="3422ACD6" w14:textId="77777777" w:rsidR="00DB1BD8" w:rsidRPr="00DB1BD8" w:rsidRDefault="00ED5011" w:rsidP="00DB1BD8">
      <w:pPr>
        <w:numPr>
          <w:ilvl w:val="1"/>
          <w:numId w:val="25"/>
        </w:numPr>
        <w:spacing w:after="120"/>
        <w:ind w:hanging="180"/>
        <w:jc w:val="both"/>
        <w:outlineLvl w:val="0"/>
        <w:rPr>
          <w:rFonts w:ascii="Arial Narrow" w:hAnsi="Arial Narrow" w:cs="Arial"/>
          <w:b/>
          <w:lang w:val="bg-BG" w:eastAsia="bg-BG"/>
        </w:rPr>
      </w:pPr>
      <w:r w:rsidRPr="00DB1BD8">
        <w:rPr>
          <w:rFonts w:ascii="Arial Narrow" w:hAnsi="Arial Narrow" w:cs="Arial"/>
          <w:b/>
          <w:lang w:val="bg-BG" w:eastAsia="bg-BG"/>
        </w:rPr>
        <w:t xml:space="preserve"> </w:t>
      </w:r>
      <w:bookmarkStart w:id="243" w:name="_Toc119489988"/>
      <w:bookmarkStart w:id="244" w:name="_Toc210747676"/>
      <w:r w:rsidRPr="00DB1BD8">
        <w:rPr>
          <w:rFonts w:ascii="Arial Narrow" w:hAnsi="Arial Narrow" w:cs="Arial"/>
          <w:b/>
          <w:lang w:val="bg-BG" w:eastAsia="bg-BG"/>
        </w:rPr>
        <w:t>Защита на горските територии от болести, вредители и други повреди</w:t>
      </w:r>
      <w:bookmarkEnd w:id="243"/>
      <w:bookmarkEnd w:id="244"/>
    </w:p>
    <w:p w14:paraId="314D6256" w14:textId="77777777" w:rsidR="00DB1BD8" w:rsidRPr="00DB1BD8" w:rsidRDefault="00DB1BD8" w:rsidP="00DB1BD8">
      <w:pPr>
        <w:spacing w:after="120"/>
        <w:ind w:firstLine="709"/>
        <w:jc w:val="both"/>
        <w:rPr>
          <w:rFonts w:ascii="Arial Narrow" w:hAnsi="Arial Narrow"/>
          <w:color w:val="FF0000"/>
          <w:lang w:val="bg-BG" w:eastAsia="bg-BG"/>
        </w:rPr>
      </w:pPr>
      <w:r w:rsidRPr="00DB1BD8">
        <w:rPr>
          <w:rFonts w:ascii="Arial Narrow" w:hAnsi="Arial Narrow"/>
          <w:lang w:val="bg-BG" w:eastAsia="bg-BG"/>
        </w:rPr>
        <w:lastRenderedPageBreak/>
        <w:t>През 202</w:t>
      </w:r>
      <w:r w:rsidRPr="00DB1BD8">
        <w:rPr>
          <w:rFonts w:ascii="Arial Narrow" w:hAnsi="Arial Narrow"/>
          <w:lang w:eastAsia="bg-BG"/>
        </w:rPr>
        <w:t>4</w:t>
      </w:r>
      <w:r w:rsidRPr="00DB1BD8">
        <w:rPr>
          <w:rFonts w:ascii="Arial Narrow" w:hAnsi="Arial Narrow"/>
          <w:lang w:val="bg-BG" w:eastAsia="bg-BG"/>
        </w:rPr>
        <w:t xml:space="preserve"> г. са предвидени лесозащитни мероприятия на 42% от обследваните увредени горски площи до края на ноември 2023 г. Цялостното изпълнение на прогнозата е в рамките на 106%. Предвидено е също така извършване на въздушно пръскане на обща площ от 1 787,1 ха, от които 1 070ха срещу борова процесионка  и 717,1 ха срещу ръждива борова листна оса.</w:t>
      </w:r>
    </w:p>
    <w:p w14:paraId="00C259DC" w14:textId="77777777" w:rsidR="00DB1BD8" w:rsidRPr="00DB1BD8" w:rsidRDefault="00DB1BD8" w:rsidP="00DB1BD8">
      <w:pPr>
        <w:spacing w:after="120"/>
        <w:ind w:firstLine="709"/>
        <w:jc w:val="both"/>
        <w:rPr>
          <w:rFonts w:ascii="Arial Narrow" w:hAnsi="Arial Narrow"/>
          <w:lang w:val="bg-BG" w:eastAsia="bg-BG"/>
        </w:rPr>
      </w:pPr>
      <w:r w:rsidRPr="00DB1BD8">
        <w:rPr>
          <w:rFonts w:ascii="Arial Narrow" w:hAnsi="Arial Narrow"/>
          <w:lang w:val="bg-BG" w:eastAsia="bg-BG"/>
        </w:rPr>
        <w:t>Проведената наземна химична борба в горски разсадници и тополови култури през 2024 г. е с 64% повече от прогнозната площ. Преизпълнението се дължи на възникнали здравословни проблеми в горски разсадници и култури в различни райони на страната, причинени от суша, насекомни вредители и болести по тополи, върби и елши, плевелна и паразитна растителност. През годината е извършена и наземна химична борба срещу лъжегъсеници на ръждива борова листна оса, чиято численост се повиши осезаемо през 2023 г. в района на дейност на ЛЗС Варна (РДГ Сливен, ДГС Нова Загора).</w:t>
      </w:r>
    </w:p>
    <w:p w14:paraId="3AFDED84" w14:textId="77777777" w:rsidR="00DB1BD8" w:rsidRPr="00DB1BD8" w:rsidRDefault="00DB1BD8" w:rsidP="00DB1BD8">
      <w:pPr>
        <w:spacing w:after="120"/>
        <w:ind w:firstLine="709"/>
        <w:jc w:val="both"/>
        <w:rPr>
          <w:rFonts w:ascii="Arial Narrow" w:hAnsi="Arial Narrow"/>
          <w:lang w:val="bg-BG" w:eastAsia="bg-BG"/>
        </w:rPr>
      </w:pPr>
      <w:r w:rsidRPr="00DB1BD8">
        <w:rPr>
          <w:rFonts w:ascii="Arial Narrow" w:hAnsi="Arial Narrow"/>
          <w:lang w:val="bg-BG" w:eastAsia="bg-BG"/>
        </w:rPr>
        <w:t>Изпълнението на предвидената механична борба през 2024 г. е почти два пъти повече от планираната. Разпределението на отчетените площи показва, че 44% от механичната борба е проведена срещу насекоми в иглолистни култури, 39% срещу биотични повреди в тополови, върбови и елшови и други шириколистни гори и насаждения, 13% срещу повреди от дивеч, гризачи и домашни животни и 4% в горски разсадници.</w:t>
      </w:r>
    </w:p>
    <w:p w14:paraId="3A8DBB52" w14:textId="77777777" w:rsidR="00DB1BD8" w:rsidRPr="00DB1BD8" w:rsidRDefault="00DB1BD8" w:rsidP="00DB1BD8">
      <w:pPr>
        <w:spacing w:after="120"/>
        <w:ind w:firstLine="709"/>
        <w:jc w:val="both"/>
        <w:rPr>
          <w:rFonts w:ascii="Arial Narrow" w:hAnsi="Arial Narrow"/>
          <w:lang w:val="bg-BG" w:eastAsia="bg-BG"/>
        </w:rPr>
      </w:pPr>
      <w:r w:rsidRPr="00DB1BD8">
        <w:rPr>
          <w:rFonts w:ascii="Arial Narrow" w:hAnsi="Arial Narrow"/>
          <w:lang w:val="bg-BG" w:eastAsia="bg-BG"/>
        </w:rPr>
        <w:t>Проведени са санитарни</w:t>
      </w:r>
      <w:r w:rsidRPr="00DB1BD8">
        <w:rPr>
          <w:rFonts w:ascii="Arial Narrow" w:hAnsi="Arial Narrow"/>
          <w:bCs/>
          <w:lang w:val="bg-BG" w:eastAsia="bg-BG"/>
        </w:rPr>
        <w:t xml:space="preserve"> и принудителни сечи</w:t>
      </w:r>
      <w:r w:rsidRPr="00DB1BD8">
        <w:rPr>
          <w:rFonts w:ascii="Arial Narrow" w:hAnsi="Arial Narrow"/>
          <w:lang w:val="bg-BG" w:eastAsia="bg-BG"/>
        </w:rPr>
        <w:t xml:space="preserve"> на площ от 20 193 ха. От тях, 82% са в иглолистни гори и 18% в широколистни гори. С най-голям дял са проведените санитарни и принудителни сечи в увредени гори от абиотични фактори (48%), следвани от фитопатогенни гъби (45%). Делът на отчетените санитарни сечи в увредени гори от стъблени насекоми и пожари се запазва на нивото от 2023 г., съответно 4% и 3%.</w:t>
      </w:r>
    </w:p>
    <w:p w14:paraId="6A57F9F9" w14:textId="77777777" w:rsidR="00DB1BD8" w:rsidRPr="00DB1BD8" w:rsidRDefault="00DB1BD8" w:rsidP="00DB1BD8">
      <w:pPr>
        <w:spacing w:after="120"/>
        <w:ind w:firstLine="709"/>
        <w:jc w:val="both"/>
        <w:rPr>
          <w:rFonts w:ascii="Arial Narrow" w:hAnsi="Arial Narrow"/>
          <w:lang w:val="bg-BG" w:eastAsia="bg-BG"/>
        </w:rPr>
      </w:pPr>
      <w:r w:rsidRPr="00DB1BD8">
        <w:rPr>
          <w:rFonts w:ascii="Arial Narrow" w:hAnsi="Arial Narrow"/>
          <w:lang w:val="bg-BG" w:eastAsia="bg-BG"/>
        </w:rPr>
        <w:t xml:space="preserve">Разходите за реализиране на дейностите по защита от болести, вредители и други повреди в горските територии, стопанисвани от държавните предприятия по чл. 163 от ЗГ, са в размер на 356 хил. лева. </w:t>
      </w:r>
    </w:p>
    <w:p w14:paraId="4C1DC6B5" w14:textId="77777777" w:rsidR="00DB1BD8" w:rsidRPr="00DB1BD8" w:rsidRDefault="00DB1BD8" w:rsidP="00DB1BD8">
      <w:pPr>
        <w:spacing w:after="240"/>
        <w:ind w:firstLine="709"/>
        <w:jc w:val="both"/>
        <w:rPr>
          <w:rFonts w:ascii="Arial Narrow" w:hAnsi="Arial Narrow"/>
          <w:lang w:val="bg-BG" w:eastAsia="bg-BG"/>
        </w:rPr>
      </w:pPr>
      <w:r w:rsidRPr="00DB1BD8">
        <w:rPr>
          <w:rFonts w:ascii="Arial Narrow" w:hAnsi="Arial Narrow"/>
          <w:lang w:val="bg-BG" w:eastAsia="bg-BG"/>
        </w:rPr>
        <w:t>За изпълнението на дейностите по защита от болести, вредители и други повреди в ДП през 2025 г., са планирани общо 666 хил. лева.</w:t>
      </w:r>
    </w:p>
    <w:p w14:paraId="2D5CF442" w14:textId="77777777" w:rsidR="00DB1BD8" w:rsidRPr="00DB1BD8" w:rsidRDefault="00DB1BD8" w:rsidP="00DB1BD8">
      <w:pPr>
        <w:keepNext/>
        <w:spacing w:after="120"/>
        <w:jc w:val="both"/>
        <w:rPr>
          <w:rFonts w:ascii="Arial Narrow" w:hAnsi="Arial Narrow"/>
          <w:b/>
          <w:bCs/>
          <w:lang w:val="bg-BG" w:eastAsia="bg-BG"/>
        </w:rPr>
      </w:pPr>
      <w:r w:rsidRPr="00DB1BD8">
        <w:rPr>
          <w:rFonts w:ascii="Arial Narrow" w:hAnsi="Arial Narrow"/>
          <w:b/>
          <w:bCs/>
          <w:lang w:val="bg-BG" w:eastAsia="bg-BG"/>
        </w:rPr>
        <w:t xml:space="preserve">Таблица VI.3. Проведени лесозащитни мероприятия през 2024 г. </w:t>
      </w:r>
    </w:p>
    <w:tbl>
      <w:tblPr>
        <w:tblW w:w="9806" w:type="dxa"/>
        <w:tblInd w:w="108" w:type="dxa"/>
        <w:tblLook w:val="04A0" w:firstRow="1" w:lastRow="0" w:firstColumn="1" w:lastColumn="0" w:noHBand="0" w:noVBand="1"/>
      </w:tblPr>
      <w:tblGrid>
        <w:gridCol w:w="3988"/>
        <w:gridCol w:w="1939"/>
        <w:gridCol w:w="1939"/>
        <w:gridCol w:w="1940"/>
      </w:tblGrid>
      <w:tr w:rsidR="00DB1BD8" w:rsidRPr="00DB1BD8" w14:paraId="5A0C5EDA" w14:textId="77777777" w:rsidTr="00DB1BD8">
        <w:trPr>
          <w:trHeight w:val="747"/>
        </w:trPr>
        <w:tc>
          <w:tcPr>
            <w:tcW w:w="3988" w:type="dxa"/>
            <w:tcBorders>
              <w:top w:val="single" w:sz="8" w:space="0" w:color="auto"/>
              <w:left w:val="single" w:sz="8" w:space="0" w:color="auto"/>
              <w:bottom w:val="single" w:sz="4" w:space="0" w:color="auto"/>
              <w:right w:val="single" w:sz="8" w:space="0" w:color="auto"/>
            </w:tcBorders>
            <w:vAlign w:val="center"/>
            <w:hideMark/>
          </w:tcPr>
          <w:p w14:paraId="62134E08" w14:textId="77777777" w:rsidR="00DB1BD8" w:rsidRPr="00DB1BD8" w:rsidRDefault="00DB1BD8" w:rsidP="00DB1BD8">
            <w:pPr>
              <w:keepNext/>
              <w:jc w:val="center"/>
              <w:outlineLvl w:val="3"/>
              <w:rPr>
                <w:rFonts w:ascii="Arial Narrow" w:hAnsi="Arial Narrow"/>
                <w:b/>
                <w:bCs/>
                <w:sz w:val="20"/>
                <w:szCs w:val="20"/>
                <w:lang w:val="bg-BG" w:eastAsia="bg-BG"/>
              </w:rPr>
            </w:pPr>
            <w:r w:rsidRPr="00DB1BD8">
              <w:rPr>
                <w:rFonts w:ascii="Arial Narrow" w:hAnsi="Arial Narrow"/>
                <w:b/>
                <w:bCs/>
                <w:sz w:val="20"/>
                <w:szCs w:val="20"/>
                <w:lang w:val="bg-BG" w:eastAsia="bg-BG"/>
              </w:rPr>
              <w:t>Мероприятие</w:t>
            </w:r>
          </w:p>
        </w:tc>
        <w:tc>
          <w:tcPr>
            <w:tcW w:w="1939" w:type="dxa"/>
            <w:tcBorders>
              <w:top w:val="single" w:sz="8" w:space="0" w:color="auto"/>
              <w:left w:val="single" w:sz="8" w:space="0" w:color="auto"/>
              <w:bottom w:val="single" w:sz="4" w:space="0" w:color="auto"/>
              <w:right w:val="single" w:sz="8" w:space="0" w:color="auto"/>
            </w:tcBorders>
            <w:vAlign w:val="center"/>
            <w:hideMark/>
          </w:tcPr>
          <w:p w14:paraId="19A582BE" w14:textId="77777777" w:rsidR="00DB1BD8" w:rsidRPr="00DB1BD8" w:rsidRDefault="00DB1BD8" w:rsidP="00DB1BD8">
            <w:pPr>
              <w:keepNext/>
              <w:jc w:val="center"/>
              <w:outlineLvl w:val="3"/>
              <w:rPr>
                <w:rFonts w:ascii="Arial Narrow" w:hAnsi="Arial Narrow"/>
                <w:b/>
                <w:bCs/>
                <w:sz w:val="20"/>
                <w:szCs w:val="20"/>
                <w:lang w:val="bg-BG" w:eastAsia="bg-BG"/>
              </w:rPr>
            </w:pPr>
            <w:r w:rsidRPr="00DB1BD8">
              <w:rPr>
                <w:rFonts w:ascii="Arial Narrow" w:hAnsi="Arial Narrow"/>
                <w:b/>
                <w:bCs/>
                <w:sz w:val="20"/>
                <w:szCs w:val="20"/>
                <w:lang w:val="bg-BG" w:eastAsia="bg-BG"/>
              </w:rPr>
              <w:t>Прогноза 2024 г.</w:t>
            </w:r>
          </w:p>
          <w:p w14:paraId="7D9573D5" w14:textId="77777777" w:rsidR="00DB1BD8" w:rsidRPr="00DB1BD8" w:rsidRDefault="00DB1BD8" w:rsidP="00DB1BD8">
            <w:pPr>
              <w:keepNext/>
              <w:jc w:val="center"/>
              <w:outlineLvl w:val="3"/>
              <w:rPr>
                <w:rFonts w:ascii="Arial Narrow" w:hAnsi="Arial Narrow"/>
                <w:b/>
                <w:bCs/>
                <w:sz w:val="20"/>
                <w:szCs w:val="20"/>
                <w:lang w:val="bg-BG" w:eastAsia="bg-BG"/>
              </w:rPr>
            </w:pPr>
            <w:r w:rsidRPr="00DB1BD8">
              <w:rPr>
                <w:rFonts w:ascii="Arial Narrow" w:hAnsi="Arial Narrow"/>
                <w:b/>
                <w:bCs/>
                <w:sz w:val="20"/>
                <w:szCs w:val="20"/>
                <w:lang w:val="bg-BG" w:eastAsia="bg-BG"/>
              </w:rPr>
              <w:t>(ха)</w:t>
            </w:r>
          </w:p>
        </w:tc>
        <w:tc>
          <w:tcPr>
            <w:tcW w:w="1939" w:type="dxa"/>
            <w:tcBorders>
              <w:top w:val="single" w:sz="8" w:space="0" w:color="auto"/>
              <w:left w:val="nil"/>
              <w:bottom w:val="single" w:sz="4" w:space="0" w:color="auto"/>
              <w:right w:val="single" w:sz="8" w:space="0" w:color="auto"/>
            </w:tcBorders>
            <w:vAlign w:val="center"/>
            <w:hideMark/>
          </w:tcPr>
          <w:p w14:paraId="6989B726" w14:textId="77777777" w:rsidR="00DB1BD8" w:rsidRPr="00DB1BD8" w:rsidRDefault="00DB1BD8" w:rsidP="00DB1BD8">
            <w:pPr>
              <w:keepNext/>
              <w:jc w:val="center"/>
              <w:outlineLvl w:val="3"/>
              <w:rPr>
                <w:rFonts w:ascii="Arial Narrow" w:hAnsi="Arial Narrow"/>
                <w:b/>
                <w:bCs/>
                <w:sz w:val="20"/>
                <w:szCs w:val="20"/>
                <w:lang w:val="bg-BG" w:eastAsia="bg-BG"/>
              </w:rPr>
            </w:pPr>
            <w:r w:rsidRPr="00DB1BD8">
              <w:rPr>
                <w:rFonts w:ascii="Arial Narrow" w:hAnsi="Arial Narrow"/>
                <w:b/>
                <w:bCs/>
                <w:sz w:val="20"/>
                <w:szCs w:val="20"/>
                <w:lang w:val="bg-BG" w:eastAsia="bg-BG"/>
              </w:rPr>
              <w:t>Отчет 2024 г.</w:t>
            </w:r>
          </w:p>
          <w:p w14:paraId="634427E9" w14:textId="77777777" w:rsidR="00DB1BD8" w:rsidRPr="00DB1BD8" w:rsidRDefault="00DB1BD8" w:rsidP="00DB1BD8">
            <w:pPr>
              <w:keepNext/>
              <w:jc w:val="center"/>
              <w:outlineLvl w:val="3"/>
              <w:rPr>
                <w:rFonts w:ascii="Arial Narrow" w:hAnsi="Arial Narrow"/>
                <w:b/>
                <w:bCs/>
                <w:sz w:val="20"/>
                <w:szCs w:val="20"/>
                <w:lang w:val="bg-BG" w:eastAsia="bg-BG"/>
              </w:rPr>
            </w:pPr>
            <w:r w:rsidRPr="00DB1BD8">
              <w:rPr>
                <w:rFonts w:ascii="Arial Narrow" w:hAnsi="Arial Narrow"/>
                <w:b/>
                <w:bCs/>
                <w:sz w:val="20"/>
                <w:szCs w:val="20"/>
                <w:lang w:val="bg-BG" w:eastAsia="bg-BG"/>
              </w:rPr>
              <w:t>(ха)</w:t>
            </w:r>
          </w:p>
        </w:tc>
        <w:tc>
          <w:tcPr>
            <w:tcW w:w="1940" w:type="dxa"/>
            <w:tcBorders>
              <w:top w:val="single" w:sz="8" w:space="0" w:color="auto"/>
              <w:left w:val="nil"/>
              <w:bottom w:val="single" w:sz="4" w:space="0" w:color="auto"/>
              <w:right w:val="single" w:sz="8" w:space="0" w:color="auto"/>
            </w:tcBorders>
            <w:vAlign w:val="center"/>
            <w:hideMark/>
          </w:tcPr>
          <w:p w14:paraId="48BC0031" w14:textId="77777777" w:rsidR="00DB1BD8" w:rsidRPr="00DB1BD8" w:rsidRDefault="00DB1BD8" w:rsidP="00DB1BD8">
            <w:pPr>
              <w:keepNext/>
              <w:jc w:val="center"/>
              <w:outlineLvl w:val="3"/>
              <w:rPr>
                <w:rFonts w:ascii="Arial Narrow" w:hAnsi="Arial Narrow"/>
                <w:b/>
                <w:bCs/>
                <w:sz w:val="20"/>
                <w:szCs w:val="20"/>
                <w:lang w:val="bg-BG" w:eastAsia="bg-BG"/>
              </w:rPr>
            </w:pPr>
            <w:r w:rsidRPr="00DB1BD8">
              <w:rPr>
                <w:rFonts w:ascii="Arial Narrow" w:hAnsi="Arial Narrow"/>
                <w:b/>
                <w:bCs/>
                <w:sz w:val="20"/>
                <w:szCs w:val="20"/>
                <w:lang w:val="bg-BG" w:eastAsia="bg-BG"/>
              </w:rPr>
              <w:t>Изпълнение</w:t>
            </w:r>
          </w:p>
          <w:p w14:paraId="6F603CE0" w14:textId="77777777" w:rsidR="00DB1BD8" w:rsidRPr="00DB1BD8" w:rsidRDefault="00DB1BD8" w:rsidP="00DB1BD8">
            <w:pPr>
              <w:keepNext/>
              <w:jc w:val="center"/>
              <w:outlineLvl w:val="3"/>
              <w:rPr>
                <w:rFonts w:ascii="Arial Narrow" w:hAnsi="Arial Narrow"/>
                <w:b/>
                <w:bCs/>
                <w:sz w:val="20"/>
                <w:szCs w:val="20"/>
                <w:lang w:val="bg-BG" w:eastAsia="bg-BG"/>
              </w:rPr>
            </w:pPr>
            <w:r w:rsidRPr="00DB1BD8">
              <w:rPr>
                <w:rFonts w:ascii="Arial Narrow" w:hAnsi="Arial Narrow"/>
                <w:b/>
                <w:bCs/>
                <w:sz w:val="20"/>
                <w:szCs w:val="20"/>
                <w:lang w:val="bg-BG" w:eastAsia="bg-BG"/>
              </w:rPr>
              <w:t>(%)</w:t>
            </w:r>
          </w:p>
        </w:tc>
      </w:tr>
      <w:tr w:rsidR="00DB1BD8" w:rsidRPr="00DB1BD8" w14:paraId="4CE9B86E" w14:textId="77777777" w:rsidTr="00DB1BD8">
        <w:trPr>
          <w:trHeight w:val="344"/>
        </w:trPr>
        <w:tc>
          <w:tcPr>
            <w:tcW w:w="3988" w:type="dxa"/>
            <w:tcBorders>
              <w:top w:val="nil"/>
              <w:left w:val="single" w:sz="8" w:space="0" w:color="auto"/>
              <w:bottom w:val="single" w:sz="8" w:space="0" w:color="auto"/>
              <w:right w:val="single" w:sz="8" w:space="0" w:color="auto"/>
            </w:tcBorders>
            <w:vAlign w:val="center"/>
            <w:hideMark/>
          </w:tcPr>
          <w:p w14:paraId="279FA63E" w14:textId="77777777" w:rsidR="00DB1BD8" w:rsidRPr="00DB1BD8" w:rsidRDefault="00DB1BD8" w:rsidP="00DB1BD8">
            <w:pPr>
              <w:keepNext/>
              <w:outlineLvl w:val="3"/>
              <w:rPr>
                <w:rFonts w:ascii="Arial Narrow" w:hAnsi="Arial Narrow"/>
                <w:bCs/>
                <w:sz w:val="20"/>
                <w:szCs w:val="20"/>
                <w:lang w:val="bg-BG" w:eastAsia="bg-BG"/>
              </w:rPr>
            </w:pPr>
            <w:r w:rsidRPr="00DB1BD8">
              <w:rPr>
                <w:rFonts w:ascii="Arial Narrow" w:hAnsi="Arial Narrow"/>
                <w:bCs/>
                <w:sz w:val="20"/>
                <w:szCs w:val="20"/>
                <w:lang w:val="bg-BG" w:eastAsia="bg-BG"/>
              </w:rPr>
              <w:t xml:space="preserve"> Авиоборба</w:t>
            </w:r>
          </w:p>
        </w:tc>
        <w:tc>
          <w:tcPr>
            <w:tcW w:w="1939" w:type="dxa"/>
            <w:tcBorders>
              <w:top w:val="nil"/>
              <w:left w:val="nil"/>
              <w:bottom w:val="single" w:sz="8" w:space="0" w:color="auto"/>
              <w:right w:val="single" w:sz="8" w:space="0" w:color="auto"/>
            </w:tcBorders>
            <w:vAlign w:val="center"/>
          </w:tcPr>
          <w:p w14:paraId="32B95238" w14:textId="77777777" w:rsidR="00DB1BD8" w:rsidRPr="00DB1BD8" w:rsidRDefault="00DB1BD8" w:rsidP="00DB1BD8">
            <w:pPr>
              <w:jc w:val="right"/>
              <w:rPr>
                <w:rFonts w:ascii="Arial Narrow" w:hAnsi="Arial Narrow"/>
                <w:sz w:val="20"/>
                <w:szCs w:val="20"/>
                <w:lang w:val="bg-BG" w:eastAsia="bg-BG"/>
              </w:rPr>
            </w:pPr>
            <w:r w:rsidRPr="00DB1BD8">
              <w:rPr>
                <w:rFonts w:ascii="Arial Narrow" w:hAnsi="Arial Narrow"/>
                <w:sz w:val="20"/>
                <w:szCs w:val="20"/>
                <w:lang w:val="bg-BG" w:eastAsia="bg-BG"/>
              </w:rPr>
              <w:t>4 254</w:t>
            </w:r>
          </w:p>
        </w:tc>
        <w:tc>
          <w:tcPr>
            <w:tcW w:w="1939" w:type="dxa"/>
            <w:tcBorders>
              <w:top w:val="nil"/>
              <w:left w:val="nil"/>
              <w:bottom w:val="single" w:sz="8" w:space="0" w:color="auto"/>
              <w:right w:val="single" w:sz="8" w:space="0" w:color="auto"/>
            </w:tcBorders>
            <w:vAlign w:val="center"/>
          </w:tcPr>
          <w:p w14:paraId="0A9402F1" w14:textId="77777777" w:rsidR="00DB1BD8" w:rsidRPr="00DB1BD8" w:rsidRDefault="00DB1BD8" w:rsidP="00DB1BD8">
            <w:pPr>
              <w:jc w:val="right"/>
              <w:rPr>
                <w:rFonts w:ascii="Arial Narrow" w:hAnsi="Arial Narrow"/>
                <w:sz w:val="20"/>
                <w:szCs w:val="20"/>
                <w:lang w:val="bg-BG" w:eastAsia="bg-BG"/>
              </w:rPr>
            </w:pPr>
            <w:r w:rsidRPr="00DB1BD8">
              <w:rPr>
                <w:rFonts w:ascii="Arial Narrow" w:hAnsi="Arial Narrow"/>
                <w:sz w:val="20"/>
                <w:szCs w:val="20"/>
                <w:lang w:val="bg-BG" w:eastAsia="bg-BG"/>
              </w:rPr>
              <w:t>1 848,3</w:t>
            </w:r>
          </w:p>
        </w:tc>
        <w:tc>
          <w:tcPr>
            <w:tcW w:w="1940" w:type="dxa"/>
            <w:tcBorders>
              <w:top w:val="nil"/>
              <w:left w:val="nil"/>
              <w:bottom w:val="single" w:sz="8" w:space="0" w:color="auto"/>
              <w:right w:val="single" w:sz="8" w:space="0" w:color="auto"/>
            </w:tcBorders>
            <w:vAlign w:val="center"/>
          </w:tcPr>
          <w:p w14:paraId="6B418DCC" w14:textId="77777777" w:rsidR="00DB1BD8" w:rsidRPr="00DB1BD8" w:rsidRDefault="00DB1BD8" w:rsidP="00DB1BD8">
            <w:pPr>
              <w:jc w:val="right"/>
              <w:rPr>
                <w:rFonts w:ascii="Arial Narrow" w:hAnsi="Arial Narrow"/>
                <w:sz w:val="20"/>
                <w:szCs w:val="20"/>
                <w:lang w:val="bg-BG" w:eastAsia="bg-BG"/>
              </w:rPr>
            </w:pPr>
            <w:r w:rsidRPr="00DB1BD8">
              <w:rPr>
                <w:rFonts w:ascii="Arial Narrow" w:hAnsi="Arial Narrow"/>
                <w:sz w:val="20"/>
                <w:szCs w:val="20"/>
                <w:lang w:val="bg-BG" w:eastAsia="bg-BG"/>
              </w:rPr>
              <w:t>43%</w:t>
            </w:r>
          </w:p>
        </w:tc>
      </w:tr>
      <w:tr w:rsidR="00DB1BD8" w:rsidRPr="00DB1BD8" w14:paraId="0572E904" w14:textId="77777777" w:rsidTr="00DB1BD8">
        <w:trPr>
          <w:trHeight w:val="344"/>
        </w:trPr>
        <w:tc>
          <w:tcPr>
            <w:tcW w:w="3988" w:type="dxa"/>
            <w:tcBorders>
              <w:top w:val="nil"/>
              <w:left w:val="single" w:sz="8" w:space="0" w:color="auto"/>
              <w:bottom w:val="single" w:sz="8" w:space="0" w:color="auto"/>
              <w:right w:val="single" w:sz="8" w:space="0" w:color="auto"/>
            </w:tcBorders>
            <w:vAlign w:val="center"/>
            <w:hideMark/>
          </w:tcPr>
          <w:p w14:paraId="3D552E66" w14:textId="77777777" w:rsidR="00DB1BD8" w:rsidRPr="00DB1BD8" w:rsidRDefault="00DB1BD8" w:rsidP="00DB1BD8">
            <w:pPr>
              <w:keepNext/>
              <w:outlineLvl w:val="3"/>
              <w:rPr>
                <w:rFonts w:ascii="Arial Narrow" w:hAnsi="Arial Narrow"/>
                <w:bCs/>
                <w:sz w:val="20"/>
                <w:szCs w:val="20"/>
                <w:lang w:val="bg-BG" w:eastAsia="bg-BG"/>
              </w:rPr>
            </w:pPr>
            <w:r w:rsidRPr="00DB1BD8">
              <w:rPr>
                <w:rFonts w:ascii="Arial Narrow" w:hAnsi="Arial Narrow"/>
                <w:bCs/>
                <w:sz w:val="20"/>
                <w:szCs w:val="20"/>
                <w:lang w:val="bg-BG" w:eastAsia="bg-BG"/>
              </w:rPr>
              <w:t xml:space="preserve"> Биологична борба</w:t>
            </w:r>
          </w:p>
        </w:tc>
        <w:tc>
          <w:tcPr>
            <w:tcW w:w="1939" w:type="dxa"/>
            <w:tcBorders>
              <w:top w:val="nil"/>
              <w:left w:val="nil"/>
              <w:bottom w:val="single" w:sz="8" w:space="0" w:color="auto"/>
              <w:right w:val="single" w:sz="8" w:space="0" w:color="auto"/>
            </w:tcBorders>
            <w:vAlign w:val="center"/>
          </w:tcPr>
          <w:p w14:paraId="07E1E21D" w14:textId="77777777" w:rsidR="00DB1BD8" w:rsidRPr="00DB1BD8" w:rsidRDefault="00DB1BD8" w:rsidP="00DB1BD8">
            <w:pPr>
              <w:jc w:val="right"/>
              <w:rPr>
                <w:rFonts w:ascii="Arial Narrow" w:hAnsi="Arial Narrow"/>
                <w:sz w:val="20"/>
                <w:szCs w:val="20"/>
                <w:lang w:val="bg-BG" w:eastAsia="bg-BG"/>
              </w:rPr>
            </w:pPr>
            <w:r w:rsidRPr="00DB1BD8">
              <w:rPr>
                <w:rFonts w:ascii="Arial Narrow" w:hAnsi="Arial Narrow"/>
                <w:sz w:val="20"/>
                <w:szCs w:val="20"/>
                <w:lang w:val="bg-BG" w:eastAsia="bg-BG"/>
              </w:rPr>
              <w:t>0</w:t>
            </w:r>
          </w:p>
        </w:tc>
        <w:tc>
          <w:tcPr>
            <w:tcW w:w="1939" w:type="dxa"/>
            <w:tcBorders>
              <w:top w:val="nil"/>
              <w:left w:val="nil"/>
              <w:bottom w:val="single" w:sz="8" w:space="0" w:color="auto"/>
              <w:right w:val="single" w:sz="8" w:space="0" w:color="auto"/>
            </w:tcBorders>
            <w:vAlign w:val="center"/>
          </w:tcPr>
          <w:p w14:paraId="7FAC2AF4" w14:textId="77777777" w:rsidR="00DB1BD8" w:rsidRPr="00DB1BD8" w:rsidRDefault="00DB1BD8" w:rsidP="00DB1BD8">
            <w:pPr>
              <w:jc w:val="right"/>
              <w:rPr>
                <w:rFonts w:ascii="Arial Narrow" w:hAnsi="Arial Narrow"/>
                <w:sz w:val="20"/>
                <w:szCs w:val="20"/>
                <w:lang w:val="bg-BG" w:eastAsia="bg-BG"/>
              </w:rPr>
            </w:pPr>
            <w:r w:rsidRPr="00DB1BD8">
              <w:rPr>
                <w:rFonts w:ascii="Arial Narrow" w:hAnsi="Arial Narrow"/>
                <w:sz w:val="20"/>
                <w:szCs w:val="20"/>
                <w:lang w:val="bg-BG" w:eastAsia="bg-BG"/>
              </w:rPr>
              <w:t>0</w:t>
            </w:r>
          </w:p>
        </w:tc>
        <w:tc>
          <w:tcPr>
            <w:tcW w:w="1940" w:type="dxa"/>
            <w:tcBorders>
              <w:top w:val="nil"/>
              <w:left w:val="nil"/>
              <w:bottom w:val="single" w:sz="8" w:space="0" w:color="auto"/>
              <w:right w:val="single" w:sz="8" w:space="0" w:color="auto"/>
            </w:tcBorders>
            <w:vAlign w:val="center"/>
          </w:tcPr>
          <w:p w14:paraId="0AF8CA3B" w14:textId="77777777" w:rsidR="00DB1BD8" w:rsidRPr="00DB1BD8" w:rsidRDefault="00DB1BD8" w:rsidP="00DB1BD8">
            <w:pPr>
              <w:jc w:val="right"/>
              <w:rPr>
                <w:rFonts w:ascii="Arial Narrow" w:hAnsi="Arial Narrow"/>
                <w:sz w:val="20"/>
                <w:szCs w:val="20"/>
                <w:lang w:val="bg-BG" w:eastAsia="bg-BG"/>
              </w:rPr>
            </w:pPr>
            <w:r w:rsidRPr="00DB1BD8">
              <w:rPr>
                <w:rFonts w:ascii="Arial Narrow" w:hAnsi="Arial Narrow"/>
                <w:sz w:val="20"/>
                <w:szCs w:val="20"/>
                <w:lang w:val="bg-BG" w:eastAsia="bg-BG"/>
              </w:rPr>
              <w:t>-</w:t>
            </w:r>
          </w:p>
        </w:tc>
      </w:tr>
      <w:tr w:rsidR="00DB1BD8" w:rsidRPr="00DB1BD8" w14:paraId="4954CD94" w14:textId="77777777" w:rsidTr="00DB1BD8">
        <w:trPr>
          <w:trHeight w:val="344"/>
        </w:trPr>
        <w:tc>
          <w:tcPr>
            <w:tcW w:w="3988" w:type="dxa"/>
            <w:tcBorders>
              <w:top w:val="nil"/>
              <w:left w:val="single" w:sz="8" w:space="0" w:color="auto"/>
              <w:bottom w:val="single" w:sz="8" w:space="0" w:color="auto"/>
              <w:right w:val="single" w:sz="8" w:space="0" w:color="auto"/>
            </w:tcBorders>
            <w:vAlign w:val="center"/>
            <w:hideMark/>
          </w:tcPr>
          <w:p w14:paraId="2461FF0B" w14:textId="77777777" w:rsidR="00DB1BD8" w:rsidRPr="00DB1BD8" w:rsidRDefault="00DB1BD8" w:rsidP="00DB1BD8">
            <w:pPr>
              <w:keepNext/>
              <w:outlineLvl w:val="3"/>
              <w:rPr>
                <w:rFonts w:ascii="Arial Narrow" w:hAnsi="Arial Narrow"/>
                <w:bCs/>
                <w:sz w:val="20"/>
                <w:szCs w:val="20"/>
                <w:lang w:val="bg-BG" w:eastAsia="bg-BG"/>
              </w:rPr>
            </w:pPr>
            <w:r w:rsidRPr="00DB1BD8">
              <w:rPr>
                <w:rFonts w:ascii="Arial Narrow" w:hAnsi="Arial Narrow"/>
                <w:bCs/>
                <w:sz w:val="20"/>
                <w:szCs w:val="20"/>
                <w:lang w:val="bg-BG" w:eastAsia="bg-BG"/>
              </w:rPr>
              <w:t>Наземна химична борба, в т. ч.  :</w:t>
            </w:r>
          </w:p>
        </w:tc>
        <w:tc>
          <w:tcPr>
            <w:tcW w:w="1939" w:type="dxa"/>
            <w:tcBorders>
              <w:top w:val="nil"/>
              <w:left w:val="nil"/>
              <w:bottom w:val="single" w:sz="8" w:space="0" w:color="auto"/>
              <w:right w:val="single" w:sz="8" w:space="0" w:color="auto"/>
            </w:tcBorders>
            <w:vAlign w:val="center"/>
          </w:tcPr>
          <w:p w14:paraId="5E821280" w14:textId="77777777" w:rsidR="00DB1BD8" w:rsidRPr="00DB1BD8" w:rsidRDefault="00DB1BD8" w:rsidP="00DB1BD8">
            <w:pPr>
              <w:jc w:val="right"/>
              <w:rPr>
                <w:rFonts w:ascii="Arial Narrow" w:hAnsi="Arial Narrow"/>
                <w:sz w:val="20"/>
                <w:szCs w:val="20"/>
                <w:lang w:val="bg-BG" w:eastAsia="bg-BG"/>
              </w:rPr>
            </w:pPr>
            <w:r w:rsidRPr="00DB1BD8">
              <w:rPr>
                <w:rFonts w:ascii="Arial Narrow" w:hAnsi="Arial Narrow"/>
                <w:sz w:val="20"/>
                <w:szCs w:val="20"/>
                <w:lang w:val="bg-BG" w:eastAsia="bg-BG"/>
              </w:rPr>
              <w:t>415</w:t>
            </w:r>
          </w:p>
        </w:tc>
        <w:tc>
          <w:tcPr>
            <w:tcW w:w="1939" w:type="dxa"/>
            <w:tcBorders>
              <w:top w:val="nil"/>
              <w:left w:val="nil"/>
              <w:bottom w:val="single" w:sz="8" w:space="0" w:color="auto"/>
              <w:right w:val="single" w:sz="8" w:space="0" w:color="auto"/>
            </w:tcBorders>
            <w:vAlign w:val="center"/>
          </w:tcPr>
          <w:p w14:paraId="3F0C999C" w14:textId="77777777" w:rsidR="00DB1BD8" w:rsidRPr="00DB1BD8" w:rsidRDefault="00DB1BD8" w:rsidP="00DB1BD8">
            <w:pPr>
              <w:jc w:val="right"/>
              <w:rPr>
                <w:rFonts w:ascii="Arial Narrow" w:hAnsi="Arial Narrow"/>
                <w:sz w:val="20"/>
                <w:szCs w:val="20"/>
                <w:lang w:val="bg-BG" w:eastAsia="bg-BG"/>
              </w:rPr>
            </w:pPr>
            <w:r w:rsidRPr="00DB1BD8">
              <w:rPr>
                <w:rFonts w:ascii="Arial Narrow" w:hAnsi="Arial Narrow"/>
                <w:sz w:val="20"/>
                <w:szCs w:val="20"/>
                <w:lang w:val="bg-BG" w:eastAsia="bg-BG"/>
              </w:rPr>
              <w:t>680,9</w:t>
            </w:r>
          </w:p>
        </w:tc>
        <w:tc>
          <w:tcPr>
            <w:tcW w:w="1940" w:type="dxa"/>
            <w:tcBorders>
              <w:top w:val="nil"/>
              <w:left w:val="nil"/>
              <w:bottom w:val="single" w:sz="8" w:space="0" w:color="auto"/>
              <w:right w:val="single" w:sz="8" w:space="0" w:color="auto"/>
            </w:tcBorders>
            <w:vAlign w:val="center"/>
          </w:tcPr>
          <w:p w14:paraId="616DB8BB" w14:textId="77777777" w:rsidR="00DB1BD8" w:rsidRPr="00DB1BD8" w:rsidRDefault="00DB1BD8" w:rsidP="00DB1BD8">
            <w:pPr>
              <w:jc w:val="right"/>
              <w:rPr>
                <w:rFonts w:ascii="Arial Narrow" w:hAnsi="Arial Narrow"/>
                <w:sz w:val="20"/>
                <w:szCs w:val="20"/>
                <w:lang w:val="bg-BG" w:eastAsia="bg-BG"/>
              </w:rPr>
            </w:pPr>
            <w:r w:rsidRPr="00DB1BD8">
              <w:rPr>
                <w:rFonts w:ascii="Arial Narrow" w:hAnsi="Arial Narrow"/>
                <w:sz w:val="20"/>
                <w:szCs w:val="20"/>
                <w:lang w:val="bg-BG" w:eastAsia="bg-BG"/>
              </w:rPr>
              <w:t>164%</w:t>
            </w:r>
          </w:p>
        </w:tc>
      </w:tr>
      <w:tr w:rsidR="00DB1BD8" w:rsidRPr="00DB1BD8" w14:paraId="72918D3B" w14:textId="77777777" w:rsidTr="00DB1BD8">
        <w:trPr>
          <w:trHeight w:val="344"/>
        </w:trPr>
        <w:tc>
          <w:tcPr>
            <w:tcW w:w="3988" w:type="dxa"/>
            <w:tcBorders>
              <w:top w:val="nil"/>
              <w:left w:val="single" w:sz="8" w:space="0" w:color="auto"/>
              <w:bottom w:val="single" w:sz="8" w:space="0" w:color="auto"/>
              <w:right w:val="single" w:sz="8" w:space="0" w:color="auto"/>
            </w:tcBorders>
            <w:vAlign w:val="center"/>
          </w:tcPr>
          <w:p w14:paraId="555F72F7" w14:textId="77777777" w:rsidR="00DB1BD8" w:rsidRPr="00DB1BD8" w:rsidRDefault="00DB1BD8" w:rsidP="00DB1BD8">
            <w:pPr>
              <w:keepNext/>
              <w:outlineLvl w:val="3"/>
              <w:rPr>
                <w:rFonts w:ascii="Arial Narrow" w:hAnsi="Arial Narrow"/>
                <w:bCs/>
                <w:sz w:val="20"/>
                <w:szCs w:val="20"/>
                <w:lang w:val="bg-BG" w:eastAsia="bg-BG"/>
              </w:rPr>
            </w:pPr>
            <w:r w:rsidRPr="00DB1BD8">
              <w:rPr>
                <w:rFonts w:ascii="Arial Narrow" w:hAnsi="Arial Narrow"/>
                <w:bCs/>
                <w:i/>
                <w:sz w:val="20"/>
                <w:szCs w:val="20"/>
                <w:lang w:eastAsia="bg-BG"/>
              </w:rPr>
              <w:t xml:space="preserve">      </w:t>
            </w:r>
            <w:r w:rsidRPr="00DB1BD8">
              <w:rPr>
                <w:rFonts w:ascii="Arial Narrow" w:hAnsi="Arial Narrow"/>
                <w:bCs/>
                <w:i/>
                <w:sz w:val="20"/>
                <w:szCs w:val="20"/>
                <w:lang w:val="bg-BG" w:eastAsia="bg-BG"/>
              </w:rPr>
              <w:t xml:space="preserve"> в горски разсадници</w:t>
            </w:r>
          </w:p>
        </w:tc>
        <w:tc>
          <w:tcPr>
            <w:tcW w:w="1939" w:type="dxa"/>
            <w:tcBorders>
              <w:top w:val="nil"/>
              <w:left w:val="nil"/>
              <w:bottom w:val="single" w:sz="8" w:space="0" w:color="auto"/>
              <w:right w:val="single" w:sz="8" w:space="0" w:color="auto"/>
            </w:tcBorders>
            <w:shd w:val="clear" w:color="auto" w:fill="auto"/>
            <w:vAlign w:val="center"/>
          </w:tcPr>
          <w:p w14:paraId="49CA6384" w14:textId="77777777" w:rsidR="00DB1BD8" w:rsidRPr="00DB1BD8" w:rsidRDefault="00DB1BD8" w:rsidP="00DB1BD8">
            <w:pPr>
              <w:jc w:val="right"/>
              <w:rPr>
                <w:rFonts w:ascii="Arial Narrow" w:hAnsi="Arial Narrow"/>
                <w:sz w:val="20"/>
                <w:szCs w:val="20"/>
                <w:lang w:val="bg-BG" w:eastAsia="bg-BG"/>
              </w:rPr>
            </w:pPr>
            <w:r w:rsidRPr="00DB1BD8">
              <w:rPr>
                <w:rFonts w:ascii="Arial Narrow" w:hAnsi="Arial Narrow"/>
                <w:sz w:val="20"/>
                <w:szCs w:val="20"/>
                <w:lang w:val="bg-BG" w:eastAsia="bg-BG"/>
              </w:rPr>
              <w:t>28,4</w:t>
            </w:r>
          </w:p>
        </w:tc>
        <w:tc>
          <w:tcPr>
            <w:tcW w:w="1939" w:type="dxa"/>
            <w:tcBorders>
              <w:top w:val="nil"/>
              <w:left w:val="nil"/>
              <w:bottom w:val="single" w:sz="8" w:space="0" w:color="auto"/>
              <w:right w:val="single" w:sz="8" w:space="0" w:color="auto"/>
            </w:tcBorders>
            <w:shd w:val="clear" w:color="auto" w:fill="auto"/>
            <w:vAlign w:val="center"/>
          </w:tcPr>
          <w:p w14:paraId="7458AD78" w14:textId="77777777" w:rsidR="00DB1BD8" w:rsidRPr="00DB1BD8" w:rsidRDefault="00DB1BD8" w:rsidP="00DB1BD8">
            <w:pPr>
              <w:jc w:val="right"/>
              <w:rPr>
                <w:rFonts w:ascii="Arial Narrow" w:hAnsi="Arial Narrow"/>
                <w:sz w:val="20"/>
                <w:szCs w:val="20"/>
                <w:lang w:val="bg-BG" w:eastAsia="bg-BG"/>
              </w:rPr>
            </w:pPr>
            <w:r w:rsidRPr="00DB1BD8">
              <w:rPr>
                <w:rFonts w:ascii="Arial Narrow" w:hAnsi="Arial Narrow"/>
                <w:sz w:val="20"/>
                <w:szCs w:val="20"/>
                <w:lang w:val="bg-BG" w:eastAsia="bg-BG"/>
              </w:rPr>
              <w:t>121,6</w:t>
            </w:r>
          </w:p>
        </w:tc>
        <w:tc>
          <w:tcPr>
            <w:tcW w:w="1940" w:type="dxa"/>
            <w:tcBorders>
              <w:top w:val="nil"/>
              <w:left w:val="nil"/>
              <w:bottom w:val="single" w:sz="8" w:space="0" w:color="auto"/>
              <w:right w:val="single" w:sz="8" w:space="0" w:color="auto"/>
            </w:tcBorders>
            <w:shd w:val="clear" w:color="auto" w:fill="auto"/>
            <w:vAlign w:val="center"/>
          </w:tcPr>
          <w:p w14:paraId="0903D1BA" w14:textId="77777777" w:rsidR="00DB1BD8" w:rsidRPr="00DB1BD8" w:rsidRDefault="00DB1BD8" w:rsidP="00DB1BD8">
            <w:pPr>
              <w:jc w:val="right"/>
              <w:rPr>
                <w:rFonts w:ascii="Arial Narrow" w:hAnsi="Arial Narrow"/>
                <w:sz w:val="20"/>
                <w:szCs w:val="20"/>
                <w:lang w:val="bg-BG" w:eastAsia="bg-BG"/>
              </w:rPr>
            </w:pPr>
            <w:r w:rsidRPr="00DB1BD8">
              <w:rPr>
                <w:rFonts w:ascii="Arial Narrow" w:hAnsi="Arial Narrow"/>
                <w:sz w:val="20"/>
                <w:szCs w:val="20"/>
                <w:lang w:val="bg-BG" w:eastAsia="bg-BG"/>
              </w:rPr>
              <w:t>428%</w:t>
            </w:r>
          </w:p>
        </w:tc>
      </w:tr>
      <w:tr w:rsidR="00DB1BD8" w:rsidRPr="00DB1BD8" w14:paraId="2926F00E" w14:textId="77777777" w:rsidTr="00DB1BD8">
        <w:trPr>
          <w:trHeight w:val="344"/>
        </w:trPr>
        <w:tc>
          <w:tcPr>
            <w:tcW w:w="3988" w:type="dxa"/>
            <w:tcBorders>
              <w:top w:val="nil"/>
              <w:left w:val="single" w:sz="8" w:space="0" w:color="auto"/>
              <w:bottom w:val="single" w:sz="8" w:space="0" w:color="auto"/>
              <w:right w:val="single" w:sz="8" w:space="0" w:color="auto"/>
            </w:tcBorders>
            <w:vAlign w:val="center"/>
          </w:tcPr>
          <w:p w14:paraId="54E40745" w14:textId="77777777" w:rsidR="00DB1BD8" w:rsidRPr="00DB1BD8" w:rsidRDefault="00DB1BD8" w:rsidP="00DB1BD8">
            <w:pPr>
              <w:keepNext/>
              <w:outlineLvl w:val="3"/>
              <w:rPr>
                <w:rFonts w:ascii="Arial Narrow" w:hAnsi="Arial Narrow"/>
                <w:bCs/>
                <w:sz w:val="20"/>
                <w:szCs w:val="20"/>
                <w:lang w:val="bg-BG" w:eastAsia="bg-BG"/>
              </w:rPr>
            </w:pPr>
            <w:r w:rsidRPr="00DB1BD8">
              <w:rPr>
                <w:rFonts w:ascii="Arial Narrow" w:hAnsi="Arial Narrow"/>
                <w:bCs/>
                <w:i/>
                <w:sz w:val="20"/>
                <w:szCs w:val="20"/>
                <w:lang w:eastAsia="bg-BG"/>
              </w:rPr>
              <w:t xml:space="preserve">     </w:t>
            </w:r>
            <w:r w:rsidRPr="00DB1BD8">
              <w:rPr>
                <w:rFonts w:ascii="Arial Narrow" w:hAnsi="Arial Narrow"/>
                <w:bCs/>
                <w:i/>
                <w:sz w:val="20"/>
                <w:szCs w:val="20"/>
                <w:lang w:val="bg-BG" w:eastAsia="bg-BG"/>
              </w:rPr>
              <w:t xml:space="preserve">  в култури</w:t>
            </w:r>
          </w:p>
        </w:tc>
        <w:tc>
          <w:tcPr>
            <w:tcW w:w="1939" w:type="dxa"/>
            <w:tcBorders>
              <w:top w:val="nil"/>
              <w:left w:val="nil"/>
              <w:bottom w:val="single" w:sz="8" w:space="0" w:color="auto"/>
              <w:right w:val="single" w:sz="8" w:space="0" w:color="auto"/>
            </w:tcBorders>
            <w:shd w:val="clear" w:color="auto" w:fill="auto"/>
            <w:vAlign w:val="center"/>
          </w:tcPr>
          <w:p w14:paraId="4AF7BF34" w14:textId="77777777" w:rsidR="00DB1BD8" w:rsidRPr="00DB1BD8" w:rsidRDefault="00DB1BD8" w:rsidP="00DB1BD8">
            <w:pPr>
              <w:jc w:val="right"/>
              <w:rPr>
                <w:rFonts w:ascii="Arial Narrow" w:hAnsi="Arial Narrow"/>
                <w:sz w:val="20"/>
                <w:szCs w:val="20"/>
                <w:lang w:val="bg-BG" w:eastAsia="bg-BG"/>
              </w:rPr>
            </w:pPr>
            <w:r w:rsidRPr="00DB1BD8">
              <w:rPr>
                <w:rFonts w:ascii="Arial Narrow" w:hAnsi="Arial Narrow"/>
                <w:sz w:val="20"/>
                <w:szCs w:val="20"/>
                <w:lang w:val="bg-BG" w:eastAsia="bg-BG"/>
              </w:rPr>
              <w:t>386,6</w:t>
            </w:r>
          </w:p>
        </w:tc>
        <w:tc>
          <w:tcPr>
            <w:tcW w:w="1939" w:type="dxa"/>
            <w:tcBorders>
              <w:top w:val="nil"/>
              <w:left w:val="nil"/>
              <w:bottom w:val="single" w:sz="8" w:space="0" w:color="auto"/>
              <w:right w:val="single" w:sz="8" w:space="0" w:color="auto"/>
            </w:tcBorders>
            <w:shd w:val="clear" w:color="auto" w:fill="auto"/>
            <w:vAlign w:val="center"/>
          </w:tcPr>
          <w:p w14:paraId="1D6EFF44" w14:textId="77777777" w:rsidR="00DB1BD8" w:rsidRPr="00DB1BD8" w:rsidRDefault="00DB1BD8" w:rsidP="00DB1BD8">
            <w:pPr>
              <w:jc w:val="right"/>
              <w:rPr>
                <w:rFonts w:ascii="Arial Narrow" w:hAnsi="Arial Narrow"/>
                <w:sz w:val="20"/>
                <w:szCs w:val="20"/>
                <w:lang w:val="bg-BG" w:eastAsia="bg-BG"/>
              </w:rPr>
            </w:pPr>
            <w:r w:rsidRPr="00DB1BD8">
              <w:rPr>
                <w:rFonts w:ascii="Arial Narrow" w:hAnsi="Arial Narrow"/>
                <w:sz w:val="20"/>
                <w:szCs w:val="20"/>
                <w:lang w:val="bg-BG" w:eastAsia="bg-BG"/>
              </w:rPr>
              <w:t>559,3</w:t>
            </w:r>
          </w:p>
        </w:tc>
        <w:tc>
          <w:tcPr>
            <w:tcW w:w="1940" w:type="dxa"/>
            <w:tcBorders>
              <w:top w:val="nil"/>
              <w:left w:val="nil"/>
              <w:bottom w:val="single" w:sz="8" w:space="0" w:color="auto"/>
              <w:right w:val="single" w:sz="8" w:space="0" w:color="auto"/>
            </w:tcBorders>
            <w:shd w:val="clear" w:color="auto" w:fill="auto"/>
            <w:vAlign w:val="center"/>
          </w:tcPr>
          <w:p w14:paraId="46439138" w14:textId="77777777" w:rsidR="00DB1BD8" w:rsidRPr="00DB1BD8" w:rsidRDefault="00DB1BD8" w:rsidP="00DB1BD8">
            <w:pPr>
              <w:jc w:val="right"/>
              <w:rPr>
                <w:rFonts w:ascii="Arial Narrow" w:hAnsi="Arial Narrow"/>
                <w:sz w:val="20"/>
                <w:szCs w:val="20"/>
                <w:lang w:val="bg-BG" w:eastAsia="bg-BG"/>
              </w:rPr>
            </w:pPr>
            <w:r w:rsidRPr="00DB1BD8">
              <w:rPr>
                <w:rFonts w:ascii="Arial Narrow" w:hAnsi="Arial Narrow"/>
                <w:sz w:val="20"/>
                <w:szCs w:val="20"/>
                <w:lang w:val="bg-BG" w:eastAsia="bg-BG"/>
              </w:rPr>
              <w:t>145%</w:t>
            </w:r>
          </w:p>
        </w:tc>
      </w:tr>
      <w:tr w:rsidR="00DB1BD8" w:rsidRPr="00DB1BD8" w14:paraId="36033070" w14:textId="77777777" w:rsidTr="00DB1BD8">
        <w:trPr>
          <w:trHeight w:val="344"/>
        </w:trPr>
        <w:tc>
          <w:tcPr>
            <w:tcW w:w="3988" w:type="dxa"/>
            <w:tcBorders>
              <w:top w:val="nil"/>
              <w:left w:val="single" w:sz="8" w:space="0" w:color="auto"/>
              <w:bottom w:val="single" w:sz="8" w:space="0" w:color="auto"/>
              <w:right w:val="single" w:sz="8" w:space="0" w:color="auto"/>
            </w:tcBorders>
            <w:vAlign w:val="center"/>
            <w:hideMark/>
          </w:tcPr>
          <w:p w14:paraId="55D41357" w14:textId="77777777" w:rsidR="00DB1BD8" w:rsidRPr="00DB1BD8" w:rsidRDefault="00DB1BD8" w:rsidP="00DB1BD8">
            <w:pPr>
              <w:keepNext/>
              <w:outlineLvl w:val="3"/>
              <w:rPr>
                <w:rFonts w:ascii="Arial Narrow" w:hAnsi="Arial Narrow"/>
                <w:bCs/>
                <w:sz w:val="20"/>
                <w:szCs w:val="20"/>
                <w:lang w:val="bg-BG" w:eastAsia="bg-BG"/>
              </w:rPr>
            </w:pPr>
            <w:r w:rsidRPr="00DB1BD8">
              <w:rPr>
                <w:rFonts w:ascii="Arial Narrow" w:hAnsi="Arial Narrow"/>
                <w:bCs/>
                <w:sz w:val="20"/>
                <w:szCs w:val="20"/>
                <w:lang w:val="bg-BG" w:eastAsia="bg-BG"/>
              </w:rPr>
              <w:t>Механична борба</w:t>
            </w:r>
          </w:p>
        </w:tc>
        <w:tc>
          <w:tcPr>
            <w:tcW w:w="1939" w:type="dxa"/>
            <w:tcBorders>
              <w:top w:val="nil"/>
              <w:left w:val="nil"/>
              <w:bottom w:val="single" w:sz="8" w:space="0" w:color="auto"/>
              <w:right w:val="single" w:sz="8" w:space="0" w:color="auto"/>
            </w:tcBorders>
            <w:shd w:val="clear" w:color="auto" w:fill="auto"/>
            <w:vAlign w:val="center"/>
          </w:tcPr>
          <w:p w14:paraId="43F6CAAB" w14:textId="77777777" w:rsidR="00DB1BD8" w:rsidRPr="00DB1BD8" w:rsidRDefault="00DB1BD8" w:rsidP="00DB1BD8">
            <w:pPr>
              <w:jc w:val="right"/>
              <w:rPr>
                <w:rFonts w:ascii="Arial Narrow" w:hAnsi="Arial Narrow"/>
                <w:sz w:val="20"/>
                <w:szCs w:val="20"/>
                <w:lang w:val="bg-BG" w:eastAsia="bg-BG"/>
              </w:rPr>
            </w:pPr>
            <w:r w:rsidRPr="00DB1BD8">
              <w:rPr>
                <w:rFonts w:ascii="Arial Narrow" w:hAnsi="Arial Narrow"/>
                <w:sz w:val="20"/>
                <w:szCs w:val="20"/>
                <w:lang w:val="bg-BG" w:eastAsia="bg-BG"/>
              </w:rPr>
              <w:t>263,1</w:t>
            </w:r>
          </w:p>
        </w:tc>
        <w:tc>
          <w:tcPr>
            <w:tcW w:w="1939" w:type="dxa"/>
            <w:tcBorders>
              <w:top w:val="nil"/>
              <w:left w:val="nil"/>
              <w:bottom w:val="single" w:sz="8" w:space="0" w:color="auto"/>
              <w:right w:val="single" w:sz="8" w:space="0" w:color="auto"/>
            </w:tcBorders>
            <w:shd w:val="clear" w:color="auto" w:fill="auto"/>
            <w:vAlign w:val="center"/>
          </w:tcPr>
          <w:p w14:paraId="6DC9E8B2" w14:textId="77777777" w:rsidR="00DB1BD8" w:rsidRPr="00DB1BD8" w:rsidRDefault="00DB1BD8" w:rsidP="00DB1BD8">
            <w:pPr>
              <w:jc w:val="right"/>
              <w:rPr>
                <w:rFonts w:ascii="Arial Narrow" w:hAnsi="Arial Narrow"/>
                <w:sz w:val="20"/>
                <w:szCs w:val="20"/>
                <w:lang w:val="bg-BG" w:eastAsia="bg-BG"/>
              </w:rPr>
            </w:pPr>
            <w:r w:rsidRPr="00DB1BD8">
              <w:rPr>
                <w:rFonts w:ascii="Arial Narrow" w:hAnsi="Arial Narrow"/>
                <w:sz w:val="20"/>
                <w:szCs w:val="20"/>
                <w:lang w:val="bg-BG" w:eastAsia="bg-BG"/>
              </w:rPr>
              <w:t>505,2</w:t>
            </w:r>
          </w:p>
        </w:tc>
        <w:tc>
          <w:tcPr>
            <w:tcW w:w="1940" w:type="dxa"/>
            <w:tcBorders>
              <w:top w:val="nil"/>
              <w:left w:val="nil"/>
              <w:bottom w:val="single" w:sz="8" w:space="0" w:color="auto"/>
              <w:right w:val="single" w:sz="8" w:space="0" w:color="auto"/>
            </w:tcBorders>
            <w:shd w:val="clear" w:color="auto" w:fill="auto"/>
            <w:vAlign w:val="center"/>
          </w:tcPr>
          <w:p w14:paraId="75F0E80D" w14:textId="77777777" w:rsidR="00DB1BD8" w:rsidRPr="00DB1BD8" w:rsidRDefault="00DB1BD8" w:rsidP="00DB1BD8">
            <w:pPr>
              <w:jc w:val="right"/>
              <w:rPr>
                <w:rFonts w:ascii="Arial Narrow" w:hAnsi="Arial Narrow"/>
                <w:sz w:val="20"/>
                <w:szCs w:val="20"/>
                <w:lang w:val="bg-BG" w:eastAsia="bg-BG"/>
              </w:rPr>
            </w:pPr>
            <w:r w:rsidRPr="00DB1BD8">
              <w:rPr>
                <w:rFonts w:ascii="Arial Narrow" w:hAnsi="Arial Narrow"/>
                <w:sz w:val="20"/>
                <w:szCs w:val="20"/>
                <w:lang w:val="bg-BG" w:eastAsia="bg-BG"/>
              </w:rPr>
              <w:t>192%</w:t>
            </w:r>
          </w:p>
        </w:tc>
      </w:tr>
      <w:tr w:rsidR="00DB1BD8" w:rsidRPr="00DB1BD8" w14:paraId="6669CEE1" w14:textId="77777777" w:rsidTr="00DB1BD8">
        <w:trPr>
          <w:trHeight w:val="344"/>
        </w:trPr>
        <w:tc>
          <w:tcPr>
            <w:tcW w:w="3988" w:type="dxa"/>
            <w:tcBorders>
              <w:top w:val="nil"/>
              <w:left w:val="single" w:sz="8" w:space="0" w:color="auto"/>
              <w:bottom w:val="single" w:sz="8" w:space="0" w:color="auto"/>
              <w:right w:val="single" w:sz="8" w:space="0" w:color="auto"/>
            </w:tcBorders>
            <w:vAlign w:val="center"/>
            <w:hideMark/>
          </w:tcPr>
          <w:p w14:paraId="3365F9F3" w14:textId="77777777" w:rsidR="00DB1BD8" w:rsidRPr="00DB1BD8" w:rsidRDefault="00DB1BD8" w:rsidP="00DB1BD8">
            <w:pPr>
              <w:keepNext/>
              <w:outlineLvl w:val="3"/>
              <w:rPr>
                <w:rFonts w:ascii="Arial Narrow" w:hAnsi="Arial Narrow"/>
                <w:bCs/>
                <w:sz w:val="20"/>
                <w:szCs w:val="20"/>
                <w:lang w:val="bg-BG" w:eastAsia="bg-BG"/>
              </w:rPr>
            </w:pPr>
            <w:r w:rsidRPr="00DB1BD8">
              <w:rPr>
                <w:rFonts w:ascii="Arial Narrow" w:hAnsi="Arial Narrow"/>
                <w:bCs/>
                <w:sz w:val="20"/>
                <w:szCs w:val="20"/>
                <w:lang w:val="bg-BG" w:eastAsia="bg-BG"/>
              </w:rPr>
              <w:t>Интегрирана борба</w:t>
            </w:r>
          </w:p>
        </w:tc>
        <w:tc>
          <w:tcPr>
            <w:tcW w:w="1939" w:type="dxa"/>
            <w:tcBorders>
              <w:top w:val="nil"/>
              <w:left w:val="nil"/>
              <w:bottom w:val="single" w:sz="8" w:space="0" w:color="auto"/>
              <w:right w:val="single" w:sz="8" w:space="0" w:color="auto"/>
            </w:tcBorders>
            <w:shd w:val="clear" w:color="auto" w:fill="auto"/>
            <w:vAlign w:val="center"/>
          </w:tcPr>
          <w:p w14:paraId="6A32C122" w14:textId="77777777" w:rsidR="00DB1BD8" w:rsidRPr="00DB1BD8" w:rsidRDefault="00DB1BD8" w:rsidP="00DB1BD8">
            <w:pPr>
              <w:jc w:val="right"/>
              <w:rPr>
                <w:rFonts w:ascii="Arial Narrow" w:hAnsi="Arial Narrow"/>
                <w:sz w:val="20"/>
                <w:szCs w:val="20"/>
                <w:lang w:val="bg-BG" w:eastAsia="bg-BG"/>
              </w:rPr>
            </w:pPr>
            <w:r w:rsidRPr="00DB1BD8">
              <w:rPr>
                <w:rFonts w:ascii="Arial Narrow" w:hAnsi="Arial Narrow"/>
                <w:sz w:val="20"/>
                <w:szCs w:val="20"/>
                <w:lang w:val="bg-BG" w:eastAsia="bg-BG"/>
              </w:rPr>
              <w:t>6</w:t>
            </w:r>
          </w:p>
        </w:tc>
        <w:tc>
          <w:tcPr>
            <w:tcW w:w="1939" w:type="dxa"/>
            <w:tcBorders>
              <w:top w:val="nil"/>
              <w:left w:val="nil"/>
              <w:bottom w:val="single" w:sz="8" w:space="0" w:color="auto"/>
              <w:right w:val="single" w:sz="8" w:space="0" w:color="auto"/>
            </w:tcBorders>
            <w:shd w:val="clear" w:color="auto" w:fill="auto"/>
            <w:vAlign w:val="center"/>
          </w:tcPr>
          <w:p w14:paraId="382817BC" w14:textId="77777777" w:rsidR="00DB1BD8" w:rsidRPr="00DB1BD8" w:rsidRDefault="00DB1BD8" w:rsidP="00DB1BD8">
            <w:pPr>
              <w:jc w:val="right"/>
              <w:rPr>
                <w:rFonts w:ascii="Arial Narrow" w:hAnsi="Arial Narrow"/>
                <w:sz w:val="20"/>
                <w:szCs w:val="20"/>
                <w:lang w:val="bg-BG" w:eastAsia="bg-BG"/>
              </w:rPr>
            </w:pPr>
            <w:r w:rsidRPr="00DB1BD8">
              <w:rPr>
                <w:rFonts w:ascii="Arial Narrow" w:hAnsi="Arial Narrow"/>
                <w:sz w:val="20"/>
                <w:szCs w:val="20"/>
                <w:lang w:val="bg-BG" w:eastAsia="bg-BG"/>
              </w:rPr>
              <w:t>0</w:t>
            </w:r>
          </w:p>
        </w:tc>
        <w:tc>
          <w:tcPr>
            <w:tcW w:w="1940" w:type="dxa"/>
            <w:tcBorders>
              <w:top w:val="nil"/>
              <w:left w:val="nil"/>
              <w:bottom w:val="single" w:sz="8" w:space="0" w:color="auto"/>
              <w:right w:val="single" w:sz="8" w:space="0" w:color="auto"/>
            </w:tcBorders>
            <w:shd w:val="clear" w:color="auto" w:fill="auto"/>
            <w:vAlign w:val="center"/>
          </w:tcPr>
          <w:p w14:paraId="75234DBA" w14:textId="77777777" w:rsidR="00DB1BD8" w:rsidRPr="00DB1BD8" w:rsidRDefault="00DB1BD8" w:rsidP="00DB1BD8">
            <w:pPr>
              <w:jc w:val="right"/>
              <w:rPr>
                <w:rFonts w:ascii="Arial Narrow" w:hAnsi="Arial Narrow"/>
                <w:sz w:val="20"/>
                <w:szCs w:val="20"/>
                <w:lang w:val="bg-BG" w:eastAsia="bg-BG"/>
              </w:rPr>
            </w:pPr>
            <w:r w:rsidRPr="00DB1BD8">
              <w:rPr>
                <w:rFonts w:ascii="Arial Narrow" w:hAnsi="Arial Narrow"/>
                <w:sz w:val="20"/>
                <w:szCs w:val="20"/>
                <w:lang w:val="bg-BG" w:eastAsia="bg-BG"/>
              </w:rPr>
              <w:t>-</w:t>
            </w:r>
          </w:p>
        </w:tc>
      </w:tr>
      <w:tr w:rsidR="00DB1BD8" w:rsidRPr="00DB1BD8" w14:paraId="37056407" w14:textId="77777777" w:rsidTr="00DB1BD8">
        <w:trPr>
          <w:trHeight w:val="344"/>
        </w:trPr>
        <w:tc>
          <w:tcPr>
            <w:tcW w:w="3988" w:type="dxa"/>
            <w:tcBorders>
              <w:top w:val="nil"/>
              <w:left w:val="single" w:sz="8" w:space="0" w:color="auto"/>
              <w:bottom w:val="single" w:sz="8" w:space="0" w:color="auto"/>
              <w:right w:val="single" w:sz="8" w:space="0" w:color="auto"/>
            </w:tcBorders>
            <w:vAlign w:val="center"/>
            <w:hideMark/>
          </w:tcPr>
          <w:p w14:paraId="043286C0" w14:textId="77777777" w:rsidR="00DB1BD8" w:rsidRPr="00DB1BD8" w:rsidRDefault="00DB1BD8" w:rsidP="00DB1BD8">
            <w:pPr>
              <w:keepNext/>
              <w:outlineLvl w:val="3"/>
              <w:rPr>
                <w:rFonts w:ascii="Arial Narrow" w:hAnsi="Arial Narrow"/>
                <w:bCs/>
                <w:sz w:val="20"/>
                <w:szCs w:val="20"/>
                <w:lang w:val="bg-BG" w:eastAsia="bg-BG"/>
              </w:rPr>
            </w:pPr>
            <w:r w:rsidRPr="00DB1BD8">
              <w:rPr>
                <w:rFonts w:ascii="Arial Narrow" w:hAnsi="Arial Narrow"/>
                <w:bCs/>
                <w:sz w:val="20"/>
                <w:szCs w:val="20"/>
                <w:lang w:val="bg-BG" w:eastAsia="bg-BG"/>
              </w:rPr>
              <w:t>Санитарни сечи</w:t>
            </w:r>
          </w:p>
        </w:tc>
        <w:tc>
          <w:tcPr>
            <w:tcW w:w="1939" w:type="dxa"/>
            <w:tcBorders>
              <w:top w:val="nil"/>
              <w:left w:val="nil"/>
              <w:bottom w:val="single" w:sz="8" w:space="0" w:color="auto"/>
              <w:right w:val="single" w:sz="8" w:space="0" w:color="auto"/>
            </w:tcBorders>
            <w:shd w:val="clear" w:color="auto" w:fill="auto"/>
            <w:vAlign w:val="center"/>
          </w:tcPr>
          <w:p w14:paraId="216834A4" w14:textId="77777777" w:rsidR="00DB1BD8" w:rsidRPr="00DB1BD8" w:rsidRDefault="00DB1BD8" w:rsidP="00DB1BD8">
            <w:pPr>
              <w:jc w:val="right"/>
              <w:rPr>
                <w:rFonts w:ascii="Arial Narrow" w:hAnsi="Arial Narrow"/>
                <w:sz w:val="20"/>
                <w:szCs w:val="20"/>
                <w:lang w:val="bg-BG" w:eastAsia="bg-BG"/>
              </w:rPr>
            </w:pPr>
            <w:r w:rsidRPr="00DB1BD8">
              <w:rPr>
                <w:rFonts w:ascii="Arial Narrow" w:hAnsi="Arial Narrow"/>
                <w:sz w:val="20"/>
                <w:szCs w:val="20"/>
                <w:lang w:val="bg-BG" w:eastAsia="bg-BG"/>
              </w:rPr>
              <w:t>16 872,7</w:t>
            </w:r>
          </w:p>
        </w:tc>
        <w:tc>
          <w:tcPr>
            <w:tcW w:w="1939" w:type="dxa"/>
            <w:tcBorders>
              <w:top w:val="nil"/>
              <w:left w:val="nil"/>
              <w:bottom w:val="single" w:sz="8" w:space="0" w:color="auto"/>
              <w:right w:val="single" w:sz="8" w:space="0" w:color="auto"/>
            </w:tcBorders>
            <w:shd w:val="clear" w:color="auto" w:fill="auto"/>
            <w:vAlign w:val="center"/>
          </w:tcPr>
          <w:p w14:paraId="35B83698" w14:textId="77777777" w:rsidR="00DB1BD8" w:rsidRPr="00DB1BD8" w:rsidRDefault="00DB1BD8" w:rsidP="00DB1BD8">
            <w:pPr>
              <w:jc w:val="right"/>
              <w:rPr>
                <w:rFonts w:ascii="Arial Narrow" w:hAnsi="Arial Narrow"/>
                <w:sz w:val="20"/>
                <w:szCs w:val="20"/>
                <w:lang w:val="bg-BG" w:eastAsia="bg-BG"/>
              </w:rPr>
            </w:pPr>
            <w:r w:rsidRPr="00DB1BD8">
              <w:rPr>
                <w:rFonts w:ascii="Arial Narrow" w:hAnsi="Arial Narrow"/>
                <w:sz w:val="20"/>
                <w:szCs w:val="20"/>
                <w:lang w:val="bg-BG" w:eastAsia="bg-BG"/>
              </w:rPr>
              <w:t>20 193</w:t>
            </w:r>
          </w:p>
        </w:tc>
        <w:tc>
          <w:tcPr>
            <w:tcW w:w="1940" w:type="dxa"/>
            <w:tcBorders>
              <w:top w:val="nil"/>
              <w:left w:val="nil"/>
              <w:bottom w:val="single" w:sz="8" w:space="0" w:color="auto"/>
              <w:right w:val="single" w:sz="8" w:space="0" w:color="auto"/>
            </w:tcBorders>
            <w:shd w:val="clear" w:color="auto" w:fill="auto"/>
            <w:vAlign w:val="center"/>
          </w:tcPr>
          <w:p w14:paraId="771335D7" w14:textId="77777777" w:rsidR="00DB1BD8" w:rsidRPr="00DB1BD8" w:rsidRDefault="00DB1BD8" w:rsidP="00DB1BD8">
            <w:pPr>
              <w:jc w:val="right"/>
              <w:rPr>
                <w:rFonts w:ascii="Arial Narrow" w:hAnsi="Arial Narrow"/>
                <w:sz w:val="20"/>
                <w:szCs w:val="20"/>
                <w:lang w:val="bg-BG" w:eastAsia="bg-BG"/>
              </w:rPr>
            </w:pPr>
            <w:r w:rsidRPr="00DB1BD8">
              <w:rPr>
                <w:rFonts w:ascii="Arial Narrow" w:hAnsi="Arial Narrow"/>
                <w:sz w:val="20"/>
                <w:szCs w:val="20"/>
                <w:lang w:val="bg-BG" w:eastAsia="bg-BG"/>
              </w:rPr>
              <w:t>120%</w:t>
            </w:r>
          </w:p>
        </w:tc>
      </w:tr>
      <w:tr w:rsidR="00DB1BD8" w:rsidRPr="00DB1BD8" w14:paraId="0A63E516" w14:textId="77777777" w:rsidTr="00DB1BD8">
        <w:trPr>
          <w:trHeight w:val="344"/>
        </w:trPr>
        <w:tc>
          <w:tcPr>
            <w:tcW w:w="3988" w:type="dxa"/>
            <w:tcBorders>
              <w:top w:val="nil"/>
              <w:left w:val="single" w:sz="8" w:space="0" w:color="auto"/>
              <w:bottom w:val="single" w:sz="8" w:space="0" w:color="auto"/>
              <w:right w:val="single" w:sz="8" w:space="0" w:color="auto"/>
            </w:tcBorders>
            <w:vAlign w:val="center"/>
            <w:hideMark/>
          </w:tcPr>
          <w:p w14:paraId="64DB422C" w14:textId="77777777" w:rsidR="00DB1BD8" w:rsidRPr="00DB1BD8" w:rsidRDefault="00DB1BD8" w:rsidP="00DB1BD8">
            <w:pPr>
              <w:keepNext/>
              <w:outlineLvl w:val="3"/>
              <w:rPr>
                <w:rFonts w:ascii="Arial Narrow" w:hAnsi="Arial Narrow"/>
                <w:b/>
                <w:bCs/>
                <w:sz w:val="20"/>
                <w:szCs w:val="20"/>
                <w:lang w:val="bg-BG" w:eastAsia="bg-BG"/>
              </w:rPr>
            </w:pPr>
            <w:r w:rsidRPr="00DB1BD8">
              <w:rPr>
                <w:rFonts w:ascii="Arial Narrow" w:hAnsi="Arial Narrow"/>
                <w:b/>
                <w:bCs/>
                <w:sz w:val="20"/>
                <w:szCs w:val="20"/>
                <w:lang w:val="bg-BG" w:eastAsia="bg-BG"/>
              </w:rPr>
              <w:t>Общо:</w:t>
            </w:r>
          </w:p>
        </w:tc>
        <w:tc>
          <w:tcPr>
            <w:tcW w:w="1939" w:type="dxa"/>
            <w:tcBorders>
              <w:top w:val="nil"/>
              <w:left w:val="nil"/>
              <w:bottom w:val="single" w:sz="8" w:space="0" w:color="auto"/>
              <w:right w:val="single" w:sz="8" w:space="0" w:color="auto"/>
            </w:tcBorders>
            <w:shd w:val="clear" w:color="auto" w:fill="auto"/>
            <w:vAlign w:val="center"/>
          </w:tcPr>
          <w:p w14:paraId="4A8685D3" w14:textId="77777777" w:rsidR="00DB1BD8" w:rsidRPr="00DB1BD8" w:rsidRDefault="00DB1BD8" w:rsidP="00DB1BD8">
            <w:pPr>
              <w:jc w:val="right"/>
              <w:rPr>
                <w:rFonts w:ascii="Arial Narrow" w:hAnsi="Arial Narrow"/>
                <w:b/>
                <w:sz w:val="20"/>
                <w:szCs w:val="20"/>
                <w:lang w:val="bg-BG" w:eastAsia="bg-BG"/>
              </w:rPr>
            </w:pPr>
            <w:r w:rsidRPr="00DB1BD8">
              <w:rPr>
                <w:rFonts w:ascii="Arial Narrow" w:hAnsi="Arial Narrow"/>
                <w:b/>
                <w:sz w:val="20"/>
                <w:szCs w:val="20"/>
                <w:lang w:val="bg-BG" w:eastAsia="bg-BG"/>
              </w:rPr>
              <w:t>21 810,8</w:t>
            </w:r>
          </w:p>
        </w:tc>
        <w:tc>
          <w:tcPr>
            <w:tcW w:w="1939" w:type="dxa"/>
            <w:tcBorders>
              <w:top w:val="nil"/>
              <w:left w:val="nil"/>
              <w:bottom w:val="single" w:sz="8" w:space="0" w:color="auto"/>
              <w:right w:val="single" w:sz="8" w:space="0" w:color="auto"/>
            </w:tcBorders>
            <w:shd w:val="clear" w:color="auto" w:fill="auto"/>
            <w:vAlign w:val="center"/>
          </w:tcPr>
          <w:p w14:paraId="25C8C273" w14:textId="77777777" w:rsidR="00DB1BD8" w:rsidRPr="00DB1BD8" w:rsidRDefault="00DB1BD8" w:rsidP="00DB1BD8">
            <w:pPr>
              <w:jc w:val="right"/>
              <w:rPr>
                <w:rFonts w:ascii="Arial Narrow" w:hAnsi="Arial Narrow"/>
                <w:b/>
                <w:sz w:val="20"/>
                <w:szCs w:val="20"/>
                <w:lang w:val="bg-BG" w:eastAsia="bg-BG"/>
              </w:rPr>
            </w:pPr>
            <w:r w:rsidRPr="00DB1BD8">
              <w:rPr>
                <w:rFonts w:ascii="Arial Narrow" w:hAnsi="Arial Narrow"/>
                <w:b/>
                <w:sz w:val="20"/>
                <w:szCs w:val="20"/>
                <w:lang w:val="bg-BG" w:eastAsia="bg-BG"/>
              </w:rPr>
              <w:t>23 227,4</w:t>
            </w:r>
          </w:p>
        </w:tc>
        <w:tc>
          <w:tcPr>
            <w:tcW w:w="1940" w:type="dxa"/>
            <w:tcBorders>
              <w:top w:val="nil"/>
              <w:left w:val="nil"/>
              <w:bottom w:val="single" w:sz="8" w:space="0" w:color="auto"/>
              <w:right w:val="single" w:sz="8" w:space="0" w:color="auto"/>
            </w:tcBorders>
            <w:shd w:val="clear" w:color="auto" w:fill="auto"/>
            <w:vAlign w:val="center"/>
          </w:tcPr>
          <w:p w14:paraId="21D8849B" w14:textId="77777777" w:rsidR="00DB1BD8" w:rsidRPr="00DB1BD8" w:rsidRDefault="00DB1BD8" w:rsidP="00DB1BD8">
            <w:pPr>
              <w:jc w:val="right"/>
              <w:rPr>
                <w:rFonts w:ascii="Arial Narrow" w:hAnsi="Arial Narrow"/>
                <w:b/>
                <w:sz w:val="20"/>
                <w:szCs w:val="20"/>
                <w:lang w:val="bg-BG" w:eastAsia="bg-BG"/>
              </w:rPr>
            </w:pPr>
            <w:r w:rsidRPr="00DB1BD8">
              <w:rPr>
                <w:rFonts w:ascii="Arial Narrow" w:hAnsi="Arial Narrow"/>
                <w:b/>
                <w:sz w:val="20"/>
                <w:szCs w:val="20"/>
                <w:lang w:val="bg-BG" w:eastAsia="bg-BG"/>
              </w:rPr>
              <w:t>106%</w:t>
            </w:r>
          </w:p>
        </w:tc>
      </w:tr>
    </w:tbl>
    <w:p w14:paraId="35582801" w14:textId="77777777" w:rsidR="00DB1BD8" w:rsidRPr="000E7602" w:rsidRDefault="00DB1BD8" w:rsidP="00DB1BD8">
      <w:pPr>
        <w:spacing w:after="240"/>
        <w:rPr>
          <w:rFonts w:ascii="Arial Narrow" w:eastAsia="Calibri" w:hAnsi="Arial Narrow"/>
          <w:i/>
          <w:sz w:val="18"/>
          <w:szCs w:val="18"/>
          <w:lang w:val="bg-BG" w:eastAsia="zh-CN"/>
        </w:rPr>
      </w:pPr>
      <w:r w:rsidRPr="000E7602">
        <w:rPr>
          <w:rFonts w:ascii="Arial Narrow" w:eastAsia="Calibri" w:hAnsi="Arial Narrow"/>
          <w:i/>
          <w:sz w:val="18"/>
          <w:szCs w:val="18"/>
          <w:lang w:val="bg-BG" w:eastAsia="zh-CN"/>
        </w:rPr>
        <w:t>Източник:</w:t>
      </w:r>
      <w:r w:rsidRPr="000E7602">
        <w:rPr>
          <w:rFonts w:ascii="Arial Narrow" w:eastAsia="Calibri" w:hAnsi="Arial Narrow"/>
          <w:b/>
          <w:i/>
          <w:sz w:val="18"/>
          <w:szCs w:val="18"/>
          <w:lang w:val="bg-BG" w:eastAsia="zh-CN"/>
        </w:rPr>
        <w:t xml:space="preserve"> </w:t>
      </w:r>
      <w:r w:rsidRPr="000E7602">
        <w:rPr>
          <w:rFonts w:ascii="Arial Narrow" w:eastAsia="Calibri" w:hAnsi="Arial Narrow"/>
          <w:sz w:val="18"/>
          <w:szCs w:val="18"/>
          <w:lang w:val="bg-BG" w:eastAsia="zh-CN"/>
        </w:rPr>
        <w:t>ИАГ</w:t>
      </w:r>
    </w:p>
    <w:p w14:paraId="12036BE2" w14:textId="77777777" w:rsidR="002329CE" w:rsidRPr="002329CE" w:rsidRDefault="00ED5011" w:rsidP="002329CE">
      <w:pPr>
        <w:numPr>
          <w:ilvl w:val="1"/>
          <w:numId w:val="25"/>
        </w:numPr>
        <w:spacing w:after="120"/>
        <w:ind w:hanging="180"/>
        <w:jc w:val="both"/>
        <w:outlineLvl w:val="0"/>
        <w:rPr>
          <w:rFonts w:ascii="Arial Narrow" w:hAnsi="Arial Narrow" w:cs="TimesNewRomanUnicode,Italic"/>
          <w:b/>
          <w:iCs/>
          <w:lang w:val="bg-BG" w:eastAsia="bg-BG"/>
        </w:rPr>
      </w:pPr>
      <w:bookmarkStart w:id="245" w:name="_Toc119489989"/>
      <w:bookmarkStart w:id="246" w:name="_Toc210747677"/>
      <w:r w:rsidRPr="002329CE">
        <w:rPr>
          <w:rFonts w:ascii="Arial Narrow" w:hAnsi="Arial Narrow" w:cs="TimesNewRomanUnicode,Italic"/>
          <w:b/>
          <w:iCs/>
          <w:lang w:val="bg-BG" w:eastAsia="bg-BG"/>
        </w:rPr>
        <w:t>Защита на горите от пожари</w:t>
      </w:r>
      <w:bookmarkEnd w:id="245"/>
      <w:bookmarkEnd w:id="246"/>
    </w:p>
    <w:p w14:paraId="284E7573" w14:textId="77777777" w:rsidR="002329CE" w:rsidRPr="004650BE" w:rsidRDefault="002329CE" w:rsidP="002329CE">
      <w:pPr>
        <w:spacing w:after="120"/>
        <w:ind w:firstLine="709"/>
        <w:jc w:val="both"/>
        <w:rPr>
          <w:rFonts w:ascii="Arial Narrow" w:hAnsi="Arial Narrow"/>
          <w:lang w:val="bg-BG" w:eastAsia="bg-BG"/>
        </w:rPr>
      </w:pPr>
      <w:r w:rsidRPr="004650BE">
        <w:rPr>
          <w:rFonts w:ascii="Arial Narrow" w:hAnsi="Arial Narrow"/>
          <w:lang w:val="bg-BG" w:eastAsia="bg-BG"/>
        </w:rPr>
        <w:t xml:space="preserve">През 2024 г. в горските територии на страната са възникнали общо </w:t>
      </w:r>
      <w:r w:rsidRPr="004650BE">
        <w:rPr>
          <w:rFonts w:ascii="Arial Narrow" w:hAnsi="Arial Narrow"/>
          <w:lang w:eastAsia="bg-BG"/>
        </w:rPr>
        <w:t>595</w:t>
      </w:r>
      <w:r w:rsidRPr="004650BE">
        <w:rPr>
          <w:rFonts w:ascii="Arial Narrow" w:hAnsi="Arial Narrow"/>
          <w:lang w:val="bg-BG" w:eastAsia="bg-BG"/>
        </w:rPr>
        <w:t xml:space="preserve"> пожара, като са засегнати 17 116</w:t>
      </w:r>
      <w:r w:rsidRPr="004650BE">
        <w:rPr>
          <w:rFonts w:ascii="Arial Narrow" w:hAnsi="Arial Narrow"/>
          <w:lang w:eastAsia="bg-BG"/>
        </w:rPr>
        <w:t>,</w:t>
      </w:r>
      <w:r w:rsidRPr="004650BE">
        <w:rPr>
          <w:rFonts w:ascii="Arial Narrow" w:hAnsi="Arial Narrow"/>
          <w:lang w:val="bg-BG" w:eastAsia="bg-BG"/>
        </w:rPr>
        <w:t xml:space="preserve">4 ха. От тях, 1 462,4  ха са опожарени от върхови пожари. </w:t>
      </w:r>
    </w:p>
    <w:p w14:paraId="64FC8708" w14:textId="77777777" w:rsidR="002329CE" w:rsidRPr="00C4304E" w:rsidRDefault="002329CE" w:rsidP="002329CE">
      <w:pPr>
        <w:spacing w:after="120"/>
        <w:ind w:firstLine="709"/>
        <w:jc w:val="both"/>
        <w:rPr>
          <w:rFonts w:ascii="Arial Narrow" w:hAnsi="Arial Narrow"/>
          <w:lang w:val="bg-BG" w:eastAsia="bg-BG"/>
        </w:rPr>
      </w:pPr>
      <w:r w:rsidRPr="00C4304E">
        <w:rPr>
          <w:rFonts w:ascii="Arial Narrow" w:hAnsi="Arial Narrow"/>
          <w:lang w:val="bg-BG" w:eastAsia="bg-BG"/>
        </w:rPr>
        <w:t>Регистрираните през 2024 г. горски пожари са с</w:t>
      </w:r>
      <w:r>
        <w:rPr>
          <w:rFonts w:ascii="Arial Narrow" w:hAnsi="Arial Narrow"/>
          <w:lang w:val="bg-BG" w:eastAsia="bg-BG"/>
        </w:rPr>
        <w:t>ъс</w:t>
      </w:r>
      <w:r w:rsidRPr="00C4304E">
        <w:rPr>
          <w:rFonts w:ascii="Arial Narrow" w:hAnsi="Arial Narrow"/>
          <w:lang w:val="bg-BG" w:eastAsia="bg-BG"/>
        </w:rPr>
        <w:t xml:space="preserve"> 150 повече спрямо 2023 г.</w:t>
      </w:r>
      <w:r>
        <w:rPr>
          <w:rFonts w:ascii="Arial Narrow" w:hAnsi="Arial Narrow"/>
          <w:lang w:val="bg-BG" w:eastAsia="bg-BG"/>
        </w:rPr>
        <w:t>, като</w:t>
      </w:r>
      <w:r w:rsidRPr="00C4304E">
        <w:rPr>
          <w:rFonts w:ascii="Arial Narrow" w:hAnsi="Arial Narrow"/>
          <w:lang w:val="bg-BG" w:eastAsia="bg-BG"/>
        </w:rPr>
        <w:t xml:space="preserve"> опожарените горски територии </w:t>
      </w:r>
      <w:r>
        <w:rPr>
          <w:rFonts w:ascii="Arial Narrow" w:hAnsi="Arial Narrow"/>
          <w:lang w:val="bg-BG" w:eastAsia="bg-BG"/>
        </w:rPr>
        <w:t xml:space="preserve">са </w:t>
      </w:r>
      <w:r w:rsidRPr="00C4304E">
        <w:rPr>
          <w:rFonts w:ascii="Arial Narrow" w:hAnsi="Arial Narrow"/>
          <w:lang w:val="bg-BG" w:eastAsia="bg-BG"/>
        </w:rPr>
        <w:t xml:space="preserve">с 10 744,6 ха повече. </w:t>
      </w:r>
    </w:p>
    <w:p w14:paraId="46D517F8" w14:textId="77777777" w:rsidR="002329CE" w:rsidRPr="003870DA" w:rsidRDefault="002329CE" w:rsidP="002329CE">
      <w:pPr>
        <w:spacing w:after="120"/>
        <w:ind w:firstLine="709"/>
        <w:jc w:val="both"/>
        <w:rPr>
          <w:rFonts w:ascii="Arial Narrow" w:hAnsi="Arial Narrow"/>
          <w:lang w:val="bg-BG" w:eastAsia="bg-BG"/>
        </w:rPr>
      </w:pPr>
      <w:r w:rsidRPr="003870DA">
        <w:rPr>
          <w:rFonts w:ascii="Arial Narrow" w:hAnsi="Arial Narrow"/>
          <w:lang w:val="bg-BG" w:eastAsia="bg-BG"/>
        </w:rPr>
        <w:lastRenderedPageBreak/>
        <w:t xml:space="preserve">Най-много пожари са възникнали вследствие на небрежност при боравене с огън - 66% от </w:t>
      </w:r>
      <w:r>
        <w:rPr>
          <w:rFonts w:ascii="Arial Narrow" w:hAnsi="Arial Narrow"/>
          <w:lang w:val="bg-BG" w:eastAsia="bg-BG"/>
        </w:rPr>
        <w:t>общия брой.</w:t>
      </w:r>
      <w:r w:rsidRPr="003870DA">
        <w:rPr>
          <w:rFonts w:ascii="Arial Narrow" w:hAnsi="Arial Narrow"/>
          <w:lang w:val="bg-BG" w:eastAsia="bg-BG"/>
        </w:rPr>
        <w:t xml:space="preserve"> </w:t>
      </w:r>
      <w:r>
        <w:rPr>
          <w:rFonts w:ascii="Arial Narrow" w:hAnsi="Arial Narrow"/>
          <w:lang w:val="bg-BG" w:eastAsia="bg-BG"/>
        </w:rPr>
        <w:t>З</w:t>
      </w:r>
      <w:r w:rsidRPr="003870DA">
        <w:rPr>
          <w:rFonts w:ascii="Arial Narrow" w:hAnsi="Arial Narrow"/>
          <w:lang w:val="bg-BG" w:eastAsia="bg-BG"/>
        </w:rPr>
        <w:t xml:space="preserve">а 25% от пожарите не е открита причината за тяхното възникване, 3% са причинени умишлено, 6% са възникнали от естествени природни явления (мълнии). Голяма част от пожарите са възникнали извън горските територии, след което преминават в тях. </w:t>
      </w:r>
    </w:p>
    <w:p w14:paraId="78056BAB" w14:textId="77777777" w:rsidR="002329CE" w:rsidRPr="003870DA" w:rsidRDefault="002329CE" w:rsidP="002329CE">
      <w:pPr>
        <w:spacing w:after="120"/>
        <w:ind w:firstLine="709"/>
        <w:jc w:val="both"/>
        <w:rPr>
          <w:rFonts w:ascii="Arial Narrow" w:hAnsi="Arial Narrow"/>
          <w:lang w:val="bg-BG" w:eastAsia="bg-BG"/>
        </w:rPr>
      </w:pPr>
      <w:r w:rsidRPr="003870DA">
        <w:rPr>
          <w:rFonts w:ascii="Arial Narrow" w:hAnsi="Arial Narrow"/>
          <w:lang w:val="bg-BG" w:eastAsia="bg-BG"/>
        </w:rPr>
        <w:t xml:space="preserve">Най-големият горски пожар е </w:t>
      </w:r>
      <w:r>
        <w:rPr>
          <w:rFonts w:ascii="Arial Narrow" w:hAnsi="Arial Narrow"/>
          <w:lang w:val="bg-BG" w:eastAsia="bg-BG"/>
        </w:rPr>
        <w:t>регистриран</w:t>
      </w:r>
      <w:r w:rsidRPr="003870DA">
        <w:rPr>
          <w:rFonts w:ascii="Arial Narrow" w:hAnsi="Arial Narrow"/>
          <w:lang w:val="bg-BG" w:eastAsia="bg-BG"/>
        </w:rPr>
        <w:t xml:space="preserve"> в района на ДГС Елхово, като са засегнати 4 181,4 ха. Други големи пожари са възникнали в ДГС Свиленград, ДГС Хисар и ДГС Маджарово.</w:t>
      </w:r>
    </w:p>
    <w:p w14:paraId="03007284" w14:textId="77777777" w:rsidR="002329CE" w:rsidRPr="001F3463" w:rsidRDefault="002329CE" w:rsidP="001F3463">
      <w:pPr>
        <w:spacing w:after="120"/>
        <w:ind w:firstLine="709"/>
        <w:jc w:val="both"/>
        <w:rPr>
          <w:rFonts w:ascii="Arial Narrow" w:hAnsi="Arial Narrow"/>
          <w:lang w:val="bg-BG" w:eastAsia="bg-BG"/>
        </w:rPr>
      </w:pPr>
      <w:r w:rsidRPr="005257EA">
        <w:rPr>
          <w:rFonts w:ascii="Arial Narrow" w:hAnsi="Arial Narrow"/>
          <w:lang w:val="bg-BG" w:eastAsia="bg-BG"/>
        </w:rPr>
        <w:t>За изпълнението на дейностите за защита на горските територии от пожари през годината ДП са изразходвали средства в общ размер на 1,329 млн. лева. Основната част от отчетените разходи са за изпълнението на превантивни дейности, включително за направата и поддръжката на 2 029 049 м минерализовани ивици, 967 221 м лесокултурни прегради и 987 220 м бариерни прегради.</w:t>
      </w:r>
    </w:p>
    <w:p w14:paraId="4335DAF0" w14:textId="77777777" w:rsidR="009C7C5C" w:rsidRPr="009C7C5C" w:rsidRDefault="00ED5011" w:rsidP="009C7C5C">
      <w:pPr>
        <w:pStyle w:val="ListParagraph"/>
        <w:keepNext/>
        <w:widowControl w:val="0"/>
        <w:numPr>
          <w:ilvl w:val="0"/>
          <w:numId w:val="20"/>
        </w:numPr>
        <w:spacing w:after="120"/>
        <w:ind w:hanging="357"/>
        <w:contextualSpacing w:val="0"/>
        <w:outlineLvl w:val="0"/>
        <w:rPr>
          <w:rFonts w:ascii="Arial Narrow" w:hAnsi="Arial Narrow" w:cstheme="minorBidi"/>
          <w:b/>
          <w:lang w:val="bg-BG" w:eastAsia="bg-BG"/>
        </w:rPr>
      </w:pPr>
      <w:bookmarkStart w:id="247" w:name="_Toc119489990"/>
      <w:bookmarkStart w:id="248" w:name="_Toc210747678"/>
      <w:r w:rsidRPr="009C7C5C">
        <w:rPr>
          <w:rFonts w:ascii="Arial Narrow" w:hAnsi="Arial Narrow" w:cstheme="minorBidi"/>
          <w:b/>
          <w:lang w:val="bg-BG" w:eastAsia="bg-BG"/>
        </w:rPr>
        <w:t>Защитени територии</w:t>
      </w:r>
      <w:bookmarkEnd w:id="247"/>
      <w:bookmarkEnd w:id="248"/>
    </w:p>
    <w:p w14:paraId="041D10BF" w14:textId="77777777" w:rsidR="009C7C5C" w:rsidRPr="009C7C5C" w:rsidRDefault="009C7C5C" w:rsidP="009C7C5C">
      <w:pPr>
        <w:spacing w:after="120"/>
        <w:ind w:firstLine="709"/>
        <w:jc w:val="both"/>
        <w:rPr>
          <w:rFonts w:ascii="Arial Narrow" w:hAnsi="Arial Narrow"/>
          <w:lang w:val="bg-BG" w:eastAsia="bg-BG"/>
        </w:rPr>
      </w:pPr>
      <w:r w:rsidRPr="009C7C5C">
        <w:rPr>
          <w:rFonts w:ascii="Arial Narrow" w:hAnsi="Arial Narrow"/>
          <w:lang w:val="bg-BG" w:eastAsia="bg-BG"/>
        </w:rPr>
        <w:t>Съгласно Закона за защитените територии (ЗЗТ) в страната съществуват 6 категории защитени територии, като за 3 от тях (природен парк, природна забележителност и защитена местност) управлението е споделено между МЗХ – ИАГ, МОСВ и общините, а за останалите 3 (резерват, поддържан резерват и национален парк) – управлението и стопанисването се осъществява от МОСВ и съответните му регионални подразделения, в т.ч. Дирекциите на национални паркове (ДНП „Централен Балкан“, ДНП „Рила“ и ДНП „Пирин“) и регионалните инспекции по околната среда и водите.</w:t>
      </w:r>
    </w:p>
    <w:p w14:paraId="6A18148D" w14:textId="77777777" w:rsidR="009C7C5C" w:rsidRPr="009C7C5C" w:rsidRDefault="009C7C5C" w:rsidP="009C7C5C">
      <w:pPr>
        <w:spacing w:after="120"/>
        <w:ind w:firstLine="709"/>
        <w:jc w:val="both"/>
        <w:rPr>
          <w:rFonts w:ascii="Arial Narrow" w:hAnsi="Arial Narrow"/>
          <w:lang w:val="bg-BG" w:eastAsia="bg-BG"/>
        </w:rPr>
      </w:pPr>
      <w:r w:rsidRPr="009C7C5C">
        <w:rPr>
          <w:rFonts w:ascii="Arial Narrow" w:hAnsi="Arial Narrow"/>
          <w:lang w:val="bg-BG" w:eastAsia="bg-BG"/>
        </w:rPr>
        <w:t>Министерството на земеделието и храните, Изпълнителната агенция по горите, както и физическите и юридическите лица и общините – собственици на гори, земи и водни площи в защитените територии от категориите: природен парк, природна забележителност и защитена местност, осъществяват тяхното стопанисване, опазване и охрана, съгласно разпоредбите на ЗЗТ и други специални закони.</w:t>
      </w:r>
    </w:p>
    <w:p w14:paraId="38D942A9" w14:textId="77777777" w:rsidR="009C7C5C" w:rsidRPr="009C7C5C" w:rsidRDefault="009C7C5C" w:rsidP="009C7C5C">
      <w:pPr>
        <w:spacing w:after="120"/>
        <w:ind w:firstLine="709"/>
        <w:jc w:val="both"/>
        <w:rPr>
          <w:rFonts w:ascii="Arial Narrow" w:hAnsi="Arial Narrow"/>
          <w:lang w:val="bg-BG" w:eastAsia="bg-BG"/>
        </w:rPr>
      </w:pPr>
      <w:r w:rsidRPr="009C7C5C">
        <w:rPr>
          <w:rFonts w:ascii="Arial Narrow" w:hAnsi="Arial Narrow"/>
          <w:lang w:val="bg-BG" w:eastAsia="bg-BG"/>
        </w:rPr>
        <w:t>За управление на природните паркове са създадени 11 дирекции специализирани териториални звена към ИАГ: ПП „Беласица“, ПП „Българка“, ПП „Витоша“ , ПП „Врачански Балкан“, ПП „Златни пясъци“, ПП „Персина“, ПП „Сините Камъни“, ПП „Странджа“, ПП „Русенски Лом“, ПП „Рилски манастир“ и ПП „Шуменско плато“.</w:t>
      </w:r>
    </w:p>
    <w:p w14:paraId="01DF1448" w14:textId="77777777" w:rsidR="009C7C5C" w:rsidRPr="009C7C5C" w:rsidRDefault="009C7C5C" w:rsidP="009C7C5C">
      <w:pPr>
        <w:spacing w:after="120"/>
        <w:ind w:firstLine="709"/>
        <w:jc w:val="both"/>
        <w:rPr>
          <w:rFonts w:ascii="Arial Narrow" w:hAnsi="Arial Narrow"/>
          <w:lang w:val="bg-BG" w:eastAsia="bg-BG"/>
        </w:rPr>
      </w:pPr>
      <w:r w:rsidRPr="009C7C5C">
        <w:rPr>
          <w:rFonts w:ascii="Arial Narrow" w:hAnsi="Arial Narrow"/>
          <w:lang w:val="bg-BG" w:eastAsia="bg-BG"/>
        </w:rPr>
        <w:t>МОСВ и неговите регионални органи провеждат и осъществяват контрол в защитените територии по отношение на дейностите на собствениците или ползвателите на гори, земи и водни площи и по спазване на режимите, установени по реда на ЗЗТ, заповедта за обявяване и план за управление на съответната защитена територия.</w:t>
      </w:r>
    </w:p>
    <w:p w14:paraId="6619BB30" w14:textId="77777777" w:rsidR="009C7C5C" w:rsidRPr="009C7C5C" w:rsidRDefault="009C7C5C" w:rsidP="009C7C5C">
      <w:pPr>
        <w:spacing w:after="120"/>
        <w:ind w:firstLine="709"/>
        <w:jc w:val="both"/>
        <w:rPr>
          <w:rFonts w:ascii="Arial Narrow" w:hAnsi="Arial Narrow"/>
          <w:lang w:val="bg-BG" w:eastAsia="bg-BG"/>
        </w:rPr>
      </w:pPr>
      <w:r w:rsidRPr="009C7C5C">
        <w:rPr>
          <w:rFonts w:ascii="Arial Narrow" w:hAnsi="Arial Narrow"/>
          <w:lang w:val="bg-BG" w:eastAsia="bg-BG"/>
        </w:rPr>
        <w:t>Контролът по спазване на режимите в защитени територии се осъществява и от директорите на регионалните управления на горите, държавните горски стопанства, държавните ловни стопанства и дирекциите на природни паркове, както и кметовете на общини.</w:t>
      </w:r>
    </w:p>
    <w:p w14:paraId="042F00A7" w14:textId="77777777" w:rsidR="009C7C5C" w:rsidRPr="009C7C5C" w:rsidRDefault="009C7C5C" w:rsidP="009C7C5C">
      <w:pPr>
        <w:spacing w:after="120"/>
        <w:ind w:firstLine="709"/>
        <w:jc w:val="both"/>
        <w:rPr>
          <w:rFonts w:ascii="Arial Narrow" w:hAnsi="Arial Narrow"/>
          <w:lang w:val="bg-BG" w:eastAsia="bg-BG"/>
        </w:rPr>
      </w:pPr>
      <w:r w:rsidRPr="009C7C5C">
        <w:rPr>
          <w:rFonts w:ascii="Arial Narrow" w:hAnsi="Arial Narrow"/>
          <w:lang w:val="bg-BG" w:eastAsia="bg-BG"/>
        </w:rPr>
        <w:t>Дейностите по управлението на горските територии в защитени местности и природни забележителности се осъществява от държавните горски и ловни стопанства, в зависимост от това в чии териториален обхват попада територията.</w:t>
      </w:r>
    </w:p>
    <w:p w14:paraId="1A38B37A" w14:textId="77777777" w:rsidR="009C7C5C" w:rsidRPr="009C7C5C" w:rsidRDefault="009C7C5C" w:rsidP="009C7C5C">
      <w:pPr>
        <w:spacing w:after="120"/>
        <w:ind w:firstLine="709"/>
        <w:jc w:val="both"/>
        <w:rPr>
          <w:rFonts w:ascii="Arial Narrow" w:hAnsi="Arial Narrow"/>
          <w:lang w:val="bg-BG" w:eastAsia="bg-BG"/>
        </w:rPr>
      </w:pPr>
      <w:r w:rsidRPr="009C7C5C">
        <w:rPr>
          <w:rFonts w:ascii="Arial Narrow" w:hAnsi="Arial Narrow"/>
          <w:lang w:val="bg-BG" w:eastAsia="bg-BG"/>
        </w:rPr>
        <w:t xml:space="preserve">През 2024 г. е продължена работата на дирекциите на природните паркове по подобряване на условията за извършване на туризъм в парковите територии. Извършени са ремонтни и възстановителни дейности по съществуващата туристическа инфраструктура – мостове, интерпретативни маршрути, заслони, беседки, кътове за отдих, чешми и др. Обновени са и възстановени информационни табла, маркировка на туристическите маршрути и др. </w:t>
      </w:r>
    </w:p>
    <w:p w14:paraId="0C4A1AA0" w14:textId="77777777" w:rsidR="009C7C5C" w:rsidRPr="009C7C5C" w:rsidRDefault="009C7C5C" w:rsidP="009C7C5C">
      <w:pPr>
        <w:spacing w:after="120"/>
        <w:ind w:firstLine="709"/>
        <w:jc w:val="both"/>
        <w:rPr>
          <w:rFonts w:ascii="Arial Narrow" w:hAnsi="Arial Narrow"/>
          <w:lang w:val="bg-BG" w:eastAsia="bg-BG"/>
        </w:rPr>
      </w:pPr>
      <w:r w:rsidRPr="009C7C5C">
        <w:rPr>
          <w:rFonts w:ascii="Arial Narrow" w:hAnsi="Arial Narrow"/>
          <w:lang w:val="bg-BG" w:eastAsia="bg-BG"/>
        </w:rPr>
        <w:t xml:space="preserve">Всички дирекции на природните паркове са продължили активно работа с доброволци, с чиято помощ са реализирани редица мероприятия по възстановяване и поддържане на туристическата инфраструктура, почистване на парковите територии, обновяване на туристическата маркировка, залесителни мероприятия и др. </w:t>
      </w:r>
    </w:p>
    <w:p w14:paraId="11EC34A9" w14:textId="77777777" w:rsidR="009C7C5C" w:rsidRPr="009C7C5C" w:rsidRDefault="009C7C5C" w:rsidP="009C7C5C">
      <w:pPr>
        <w:spacing w:after="120"/>
        <w:ind w:firstLine="709"/>
        <w:jc w:val="both"/>
        <w:rPr>
          <w:rFonts w:ascii="Arial Narrow" w:hAnsi="Arial Narrow"/>
          <w:lang w:val="bg-BG" w:eastAsia="bg-BG"/>
        </w:rPr>
      </w:pPr>
      <w:r w:rsidRPr="009C7C5C">
        <w:rPr>
          <w:rFonts w:ascii="Arial Narrow" w:hAnsi="Arial Narrow"/>
          <w:lang w:val="bg-BG" w:eastAsia="bg-BG"/>
        </w:rPr>
        <w:t xml:space="preserve">На територията на ДПП „Русенски Лом“, съвместно с доброволци, е възстановена стара туристическа пътека от 80-те години - най-прекия път от гара Иваново до паркинга под скална църква „Света Богородица“ и началото на екопътека „Грамовец“. Стъпалата и парапетите към възстановения през 2023 г. туристически заслон в местността „Грамовец са ремонтирани и възстановени. През цялата 2024 г. </w:t>
      </w:r>
      <w:r w:rsidRPr="009C7C5C">
        <w:rPr>
          <w:rFonts w:ascii="Arial Narrow" w:hAnsi="Arial Narrow"/>
          <w:lang w:val="bg-BG" w:eastAsia="bg-BG"/>
        </w:rPr>
        <w:lastRenderedPageBreak/>
        <w:t>СТПД Академик - Русе, подпомогнато от спонсори, доброволци и ДПП „Русенски Лом“ са продължили поставянето на указателни и информационни табели в границите на Природния парк. Целогодишно са маркирани маршрути и са поставени 70 указателни табели.</w:t>
      </w:r>
    </w:p>
    <w:p w14:paraId="2DACE447" w14:textId="77777777" w:rsidR="009C7C5C" w:rsidRPr="009C7C5C" w:rsidRDefault="009C7C5C" w:rsidP="009C7C5C">
      <w:pPr>
        <w:spacing w:after="120"/>
        <w:ind w:firstLine="709"/>
        <w:jc w:val="both"/>
        <w:rPr>
          <w:rFonts w:ascii="Arial Narrow" w:hAnsi="Arial Narrow"/>
          <w:lang w:val="bg-BG" w:eastAsia="bg-BG"/>
        </w:rPr>
      </w:pPr>
      <w:r w:rsidRPr="009C7C5C">
        <w:rPr>
          <w:rFonts w:ascii="Arial Narrow" w:hAnsi="Arial Narrow"/>
          <w:lang w:val="bg-BG" w:eastAsia="bg-BG"/>
        </w:rPr>
        <w:t>На територията на ДПП „Странджа“ са поправени 5 табели, поставени са 6 нови информационни табели по маршрутите и 4 вековни дървета. Поправено е погледното място до параклис „Св. Илия“- село Визица, на връх „Градище“, всички парапети и погледни места по маршрутите на река „Младежка“ и „В царството на Зелениката“ и м.“Индипасха“, също са ремонтирани.</w:t>
      </w:r>
    </w:p>
    <w:p w14:paraId="5CBE4A10" w14:textId="77777777" w:rsidR="009C7C5C" w:rsidRPr="009C7C5C" w:rsidRDefault="009C7C5C" w:rsidP="009C7C5C">
      <w:pPr>
        <w:spacing w:after="120"/>
        <w:ind w:firstLine="709"/>
        <w:jc w:val="both"/>
        <w:rPr>
          <w:rFonts w:ascii="Arial Narrow" w:hAnsi="Arial Narrow"/>
          <w:lang w:val="bg-BG" w:eastAsia="bg-BG"/>
        </w:rPr>
      </w:pPr>
      <w:r w:rsidRPr="009C7C5C">
        <w:rPr>
          <w:rFonts w:ascii="Arial Narrow" w:hAnsi="Arial Narrow"/>
          <w:lang w:val="bg-BG" w:eastAsia="bg-BG"/>
        </w:rPr>
        <w:t>На територията на ДПП „Шуменско плато“ млади хора от фондация „Подобри“ заедно с експерти от парка са подновили туристическа маркировка по Флористичната пътека. Поставени са табели на заслоните и указания на маршрутите до местата за пикник. Скаутите от двата клуба са ремонтирали пейките пред пещера Русалка, засадени са пролетни цветя в лесопарк Кьошковете, направени се множество акции за почистване на различни райони в парка. С помощта на стажанти от СУ „Тр. Симеонов“ са облагородени пътеки към пещера Бисерна.</w:t>
      </w:r>
    </w:p>
    <w:p w14:paraId="0B2C3297" w14:textId="77777777" w:rsidR="009C7C5C" w:rsidRPr="009C7C5C" w:rsidRDefault="009C7C5C" w:rsidP="009C7C5C">
      <w:pPr>
        <w:spacing w:after="120"/>
        <w:ind w:firstLine="709"/>
        <w:jc w:val="both"/>
        <w:rPr>
          <w:rFonts w:ascii="Arial Narrow" w:hAnsi="Arial Narrow"/>
          <w:lang w:val="bg-BG" w:eastAsia="bg-BG"/>
        </w:rPr>
      </w:pPr>
      <w:r w:rsidRPr="009C7C5C">
        <w:rPr>
          <w:rFonts w:ascii="Arial Narrow" w:hAnsi="Arial Narrow"/>
          <w:lang w:val="bg-BG" w:eastAsia="bg-BG"/>
        </w:rPr>
        <w:t>На територията на ДПП „Врачански Балкан“ през 2024 г. са ремонтирани 10 интерпретативни маршрута, обновена е маркировка по 10 туристически маршрута, ремонтиран е 1 информационен пункт и 6 къта за отдих, подменени са 4 информационни табла и са ремонтирани други 5.</w:t>
      </w:r>
    </w:p>
    <w:p w14:paraId="399D781D" w14:textId="77777777" w:rsidR="009C7C5C" w:rsidRPr="009C7C5C" w:rsidRDefault="009C7C5C" w:rsidP="009C7C5C">
      <w:pPr>
        <w:spacing w:after="120"/>
        <w:ind w:firstLine="709"/>
        <w:jc w:val="both"/>
        <w:rPr>
          <w:rFonts w:ascii="Arial Narrow" w:hAnsi="Arial Narrow"/>
          <w:lang w:val="bg-BG" w:eastAsia="bg-BG"/>
        </w:rPr>
      </w:pPr>
      <w:r w:rsidRPr="009C7C5C">
        <w:rPr>
          <w:rFonts w:ascii="Arial Narrow" w:hAnsi="Arial Narrow"/>
          <w:lang w:val="bg-BG" w:eastAsia="bg-BG"/>
        </w:rPr>
        <w:t>На територията на ДПП „Витоша“ през годината са извършени дейности, свързани с почистване и обновяване на туристическата инфраструктура. Освежени са над 250 елемента от парковата инфраструктура - маси, пейки, беседки, мостове, скари, дървени огради, сцената при Детски екостационар „Бели брези“, фасадата на адаптационната волиера, металните парапети при Боянския водопад и при каменната река в м. Златни мостове. Почистени са повече от 4 000 л. м канавки/водостоци по туристическите алеи. Възстановена е алея с дължина 400 метра. Изградени са 11 дървени моста/скари, включително участък от дървената скара на алея „Приизворни торфища“. Изградени са 9 информационни табла, 15 маси и пейки “витошки тип“. Почистени са и ремонтирани 3 туристически заслона в местностите Разтоварището, Плещи дол и Меча поляна. Ремонтирани са две чешми в местностите Меча поляна и Масловица. Почистени са и стабилизирани 15 огнища, а нерегламентираните над 25 са премахнати. Изработени са и монтирани над 100 метални насочващи табели в различни части на Парка - Черни връх, м. Платото, Голи връх, при х. „Алеко“, по маршрута за Боянския водопад и др. Заредени са 7 горски аптечки с материали за първа помощ.</w:t>
      </w:r>
    </w:p>
    <w:p w14:paraId="6915BF48" w14:textId="77777777" w:rsidR="009C7C5C" w:rsidRPr="009C7C5C" w:rsidRDefault="009C7C5C" w:rsidP="009C7C5C">
      <w:pPr>
        <w:spacing w:after="120"/>
        <w:ind w:firstLine="709"/>
        <w:jc w:val="both"/>
        <w:rPr>
          <w:rFonts w:ascii="Arial Narrow" w:hAnsi="Arial Narrow"/>
          <w:lang w:val="bg-BG" w:eastAsia="bg-BG"/>
        </w:rPr>
      </w:pPr>
      <w:r w:rsidRPr="009C7C5C">
        <w:rPr>
          <w:rFonts w:ascii="Arial Narrow" w:hAnsi="Arial Narrow"/>
          <w:lang w:val="bg-BG" w:eastAsia="bg-BG"/>
        </w:rPr>
        <w:t>През 2024 г. ДПП „Персина“ е наградена с първа награда в инициативата The Living Danube'24, с проектното предложение „The wetlands restoration brings Danube habitats back to life and forms the Danube nature'streasures - Възстановяването на влажните зони връща към живот дунавските местообитания и създава природните богатства на Дунав“.</w:t>
      </w:r>
    </w:p>
    <w:p w14:paraId="025829B1" w14:textId="77777777" w:rsidR="009C7C5C" w:rsidRPr="009C7C5C" w:rsidRDefault="009C7C5C" w:rsidP="009C7C5C">
      <w:pPr>
        <w:spacing w:after="120"/>
        <w:ind w:firstLine="709"/>
        <w:jc w:val="both"/>
        <w:rPr>
          <w:rFonts w:ascii="Arial Narrow" w:hAnsi="Arial Narrow"/>
          <w:lang w:val="bg-BG" w:eastAsia="bg-BG"/>
        </w:rPr>
      </w:pPr>
      <w:r w:rsidRPr="009C7C5C">
        <w:rPr>
          <w:rFonts w:ascii="Arial Narrow" w:hAnsi="Arial Narrow"/>
          <w:lang w:val="bg-BG" w:eastAsia="bg-BG"/>
        </w:rPr>
        <w:t>В посетителския център на ДПП „Персина“ през 2024 г. е продължено изграждането на нов модул 3D модел на заливаема гора местообитание 91Е0* Алувиални гори в реален размер. Модулът ще бъде изграден по проект „Дунавски диви острови, коридор от хабитати“.</w:t>
      </w:r>
    </w:p>
    <w:p w14:paraId="0B441A6F" w14:textId="77777777" w:rsidR="009C7C5C" w:rsidRPr="009C7C5C" w:rsidRDefault="009C7C5C" w:rsidP="009C7C5C">
      <w:pPr>
        <w:spacing w:after="120"/>
        <w:ind w:firstLine="709"/>
        <w:jc w:val="both"/>
        <w:rPr>
          <w:rFonts w:ascii="Arial Narrow" w:hAnsi="Arial Narrow"/>
          <w:lang w:val="bg-BG" w:eastAsia="bg-BG"/>
        </w:rPr>
      </w:pPr>
      <w:r w:rsidRPr="009C7C5C">
        <w:rPr>
          <w:rFonts w:ascii="Arial Narrow" w:hAnsi="Arial Narrow"/>
          <w:lang w:val="bg-BG" w:eastAsia="bg-BG"/>
        </w:rPr>
        <w:t>Вече над 15 години Дирекция на ПП „Персина“ организира лятна образователна практика, озаглавена „Еко-ваканция“, като част от образователните програми на парка.</w:t>
      </w:r>
    </w:p>
    <w:p w14:paraId="4EB6D178" w14:textId="77777777" w:rsidR="009C7C5C" w:rsidRPr="009C7C5C" w:rsidRDefault="009C7C5C" w:rsidP="009C7C5C">
      <w:pPr>
        <w:spacing w:after="120"/>
        <w:ind w:firstLine="709"/>
        <w:jc w:val="both"/>
        <w:rPr>
          <w:rFonts w:ascii="Arial Narrow" w:hAnsi="Arial Narrow"/>
          <w:lang w:val="bg-BG" w:eastAsia="bg-BG"/>
        </w:rPr>
      </w:pPr>
      <w:r w:rsidRPr="009C7C5C">
        <w:rPr>
          <w:rFonts w:ascii="Arial Narrow" w:hAnsi="Arial Narrow"/>
          <w:lang w:val="bg-BG" w:eastAsia="bg-BG"/>
        </w:rPr>
        <w:t>Служителите на ДПП „Сините камъни“ през цялата година са извършвали ремонтни дейности на елементи от инфраструктурата на територията на природния парк. Поставени са указателни и предупредителни табели на едни от най-посещаваните от туристи места.</w:t>
      </w:r>
    </w:p>
    <w:p w14:paraId="568EBB74" w14:textId="77777777" w:rsidR="009C7C5C" w:rsidRPr="009C7C5C" w:rsidRDefault="009C7C5C" w:rsidP="009C7C5C">
      <w:pPr>
        <w:spacing w:after="120"/>
        <w:ind w:firstLine="709"/>
        <w:jc w:val="both"/>
        <w:rPr>
          <w:rFonts w:ascii="Arial Narrow" w:hAnsi="Arial Narrow"/>
          <w:lang w:val="bg-BG" w:eastAsia="bg-BG"/>
        </w:rPr>
      </w:pPr>
      <w:r w:rsidRPr="009C7C5C">
        <w:rPr>
          <w:rFonts w:ascii="Arial Narrow" w:hAnsi="Arial Narrow"/>
          <w:lang w:val="bg-BG" w:eastAsia="bg-BG"/>
        </w:rPr>
        <w:t>Информационният център на ДПП „Рилски манастир“ е бил домакин на студентите в специалност „Екология“ към ЛТУ, които ежегодно провеждат редовните си практики на територията на природния парк.</w:t>
      </w:r>
    </w:p>
    <w:p w14:paraId="3CBA3E03" w14:textId="77777777" w:rsidR="009C7C5C" w:rsidRPr="009C7C5C" w:rsidRDefault="009C7C5C" w:rsidP="009C7C5C">
      <w:pPr>
        <w:spacing w:after="120"/>
        <w:ind w:firstLine="709"/>
        <w:jc w:val="both"/>
        <w:rPr>
          <w:rFonts w:ascii="Arial Narrow" w:hAnsi="Arial Narrow"/>
          <w:lang w:val="bg-BG" w:eastAsia="bg-BG"/>
        </w:rPr>
      </w:pPr>
      <w:r w:rsidRPr="009C7C5C">
        <w:rPr>
          <w:rFonts w:ascii="Arial Narrow" w:hAnsi="Arial Narrow"/>
          <w:lang w:val="bg-BG" w:eastAsia="bg-BG"/>
        </w:rPr>
        <w:t>Традиционно в местността Игликина поляна ДПП „Витоша“ са организирани и проведени „Споделени игри“ за деца със специални потребности, съвместно с фондация „София - европейска столица на спорта” и НСА „Васил Левски“.</w:t>
      </w:r>
    </w:p>
    <w:p w14:paraId="4FE9D002" w14:textId="77777777" w:rsidR="009C7C5C" w:rsidRPr="009C7C5C" w:rsidRDefault="009C7C5C" w:rsidP="009C7C5C">
      <w:pPr>
        <w:spacing w:after="120"/>
        <w:ind w:firstLine="709"/>
        <w:jc w:val="both"/>
        <w:rPr>
          <w:rFonts w:ascii="Arial Narrow" w:hAnsi="Arial Narrow"/>
          <w:lang w:val="bg-BG" w:eastAsia="bg-BG"/>
        </w:rPr>
      </w:pPr>
      <w:r w:rsidRPr="009C7C5C">
        <w:rPr>
          <w:rFonts w:ascii="Arial Narrow" w:hAnsi="Arial Narrow"/>
          <w:lang w:val="bg-BG" w:eastAsia="bg-BG"/>
        </w:rPr>
        <w:t xml:space="preserve">ДПП „Врачански Балкан“ в рамките на дългогодишния проект „Възстановяване популацията на планински кеклик” са разселили през 2024 г. (есенно) 134 птици, като е извършено пролетно проучване на състоянието на популацията (трансектен метод), есенно проучване (телеметрия) и зимно проучване </w:t>
      </w:r>
      <w:r w:rsidRPr="009C7C5C">
        <w:rPr>
          <w:rFonts w:ascii="Arial Narrow" w:hAnsi="Arial Narrow"/>
          <w:lang w:val="bg-BG" w:eastAsia="bg-BG"/>
        </w:rPr>
        <w:lastRenderedPageBreak/>
        <w:t xml:space="preserve">(фотокапани и хранилки). В паркчетата има 84 птици за основно стадо през 2025 г. Паркът е продължил своята дейност и по подхранване на египетския и реинтродукция на белоглав лешояд. През 2024 г. в района ежемесечно са наблюдавани над 80 белоглави лешояда. Формирани са общо 18 двойки, които успешно са излюпили и отгледали 16 белоглави лешоядчета. </w:t>
      </w:r>
    </w:p>
    <w:p w14:paraId="57DDAB2D" w14:textId="77777777" w:rsidR="009C7C5C" w:rsidRPr="009C7C5C" w:rsidRDefault="009C7C5C" w:rsidP="009C7C5C">
      <w:pPr>
        <w:spacing w:after="120"/>
        <w:ind w:firstLine="709"/>
        <w:jc w:val="both"/>
        <w:rPr>
          <w:rFonts w:ascii="Arial Narrow" w:hAnsi="Arial Narrow"/>
          <w:lang w:val="bg-BG" w:eastAsia="bg-BG"/>
        </w:rPr>
      </w:pPr>
      <w:r w:rsidRPr="009C7C5C">
        <w:rPr>
          <w:rFonts w:ascii="Arial Narrow" w:hAnsi="Arial Narrow"/>
          <w:lang w:val="bg-BG" w:eastAsia="bg-BG"/>
        </w:rPr>
        <w:t xml:space="preserve">Извършен е мониторинг по проект за реинтродукция на европейски лалугер. Установени са над 68 активни дупки, на които са снети координати. През периода са наблюдавани над 16 животни. Колонията се развива успешно, като се наблюдава трайна тенденция за изместването </w:t>
      </w:r>
      <w:r w:rsidRPr="009C7C5C">
        <w:rPr>
          <w:rFonts w:ascii="Bahnschrift Light SemiCondensed" w:hAnsi="Bahnschrift Light SemiCondensed"/>
          <w:lang w:val="bg-BG" w:eastAsia="bg-BG"/>
        </w:rPr>
        <w:t xml:space="preserve">ѝ </w:t>
      </w:r>
      <w:r w:rsidRPr="009C7C5C">
        <w:rPr>
          <w:rFonts w:ascii="Arial Narrow" w:hAnsi="Arial Narrow"/>
          <w:lang w:val="bg-BG" w:eastAsia="bg-BG"/>
        </w:rPr>
        <w:t xml:space="preserve"> в посока североизток.</w:t>
      </w:r>
    </w:p>
    <w:p w14:paraId="6DFCBE01" w14:textId="77777777" w:rsidR="009C7C5C" w:rsidRPr="009C7C5C" w:rsidRDefault="009C7C5C" w:rsidP="009C7C5C">
      <w:pPr>
        <w:spacing w:after="120"/>
        <w:ind w:firstLine="709"/>
        <w:jc w:val="both"/>
        <w:rPr>
          <w:rFonts w:ascii="Arial Narrow" w:hAnsi="Arial Narrow"/>
          <w:lang w:val="bg-BG" w:eastAsia="bg-BG"/>
        </w:rPr>
      </w:pPr>
      <w:r w:rsidRPr="009C7C5C">
        <w:rPr>
          <w:rFonts w:ascii="Arial Narrow" w:hAnsi="Arial Narrow"/>
          <w:lang w:val="bg-BG" w:eastAsia="bg-BG"/>
        </w:rPr>
        <w:t>На територията на ДПП „Златни пясъци“ е извършена рехабилитация на туристическата инфраструктура, включваща ремонт на 47 м. електрически захранващ кабел в ИПЦ „Аладжа манастир”, ремонт на мостове и парапети до чешми „Йордан Минков”, „Св. Седмочисленици” и „1300 г. България”, ремонт на 10 пейки пред сцената до административната сграда, 1 табло по маршрут „Песента на гората”, ремонтиран е дървен под на погледна площадка „Горски кът” и ремонт на 36 пана на декоративна дървена ограда маркираща границата на парка.</w:t>
      </w:r>
    </w:p>
    <w:p w14:paraId="14121258" w14:textId="77777777" w:rsidR="009C7C5C" w:rsidRPr="009C7C5C" w:rsidRDefault="009C7C5C" w:rsidP="009C7C5C">
      <w:pPr>
        <w:spacing w:after="120"/>
        <w:ind w:firstLine="709"/>
        <w:jc w:val="both"/>
        <w:rPr>
          <w:rFonts w:ascii="Arial Narrow" w:hAnsi="Arial Narrow"/>
          <w:lang w:val="bg-BG" w:eastAsia="bg-BG"/>
        </w:rPr>
      </w:pPr>
      <w:r w:rsidRPr="009C7C5C">
        <w:rPr>
          <w:rFonts w:ascii="Arial Narrow" w:hAnsi="Arial Narrow"/>
          <w:lang w:val="bg-BG" w:eastAsia="bg-BG"/>
        </w:rPr>
        <w:t>В репродуктивната база за редки и застрашени растителни видове на ДПП „Българка“ в с. Поток и генна банка за овощни видове са продължили целогодишно дейностите по поддържане на материалната база, събиране на семена, подготовка на терени, дейности по засаждане, грижи по време на вегетация, резитба и борба с вредителите за овощните видове.</w:t>
      </w:r>
      <w:r w:rsidRPr="009C7C5C">
        <w:rPr>
          <w:rFonts w:ascii="Arial Narrow" w:hAnsi="Arial Narrow"/>
          <w:lang w:eastAsia="bg-BG"/>
        </w:rPr>
        <w:t xml:space="preserve"> </w:t>
      </w:r>
    </w:p>
    <w:p w14:paraId="145675B1" w14:textId="77777777" w:rsidR="009C7C5C" w:rsidRPr="009C7C5C" w:rsidRDefault="009C7C5C" w:rsidP="009C7C5C">
      <w:pPr>
        <w:spacing w:after="120"/>
        <w:ind w:firstLine="709"/>
        <w:jc w:val="both"/>
        <w:rPr>
          <w:rFonts w:ascii="Arial Narrow" w:hAnsi="Arial Narrow"/>
          <w:lang w:val="bg-BG" w:eastAsia="bg-BG" w:bidi="bg-BG"/>
        </w:rPr>
      </w:pPr>
      <w:r w:rsidRPr="009C7C5C">
        <w:rPr>
          <w:rFonts w:ascii="Arial Narrow" w:hAnsi="Arial Narrow"/>
          <w:lang w:val="bg-BG" w:eastAsia="bg-BG" w:bidi="bg-BG"/>
        </w:rPr>
        <w:t xml:space="preserve">ДПП „Българка“ е представена в международна обучителна програма в гр. Хайдерабад, Индия. Дирекцията на парка е взела участие в провеждането на екологични занимания по време на традиционния фестивал „Семе българско“ в град Севлиево. За поредна година експерти от ДПП „Българка” и горски педагози от Северноцентрално държавно предприятие - Габрово са се включили в инициативата „Fun навън“ фест в Трявна. </w:t>
      </w:r>
    </w:p>
    <w:p w14:paraId="53EDB1DC" w14:textId="77777777" w:rsidR="009C7C5C" w:rsidRPr="009C7C5C" w:rsidRDefault="009C7C5C" w:rsidP="009C7C5C">
      <w:pPr>
        <w:spacing w:after="120"/>
        <w:ind w:firstLine="709"/>
        <w:jc w:val="both"/>
        <w:rPr>
          <w:rFonts w:ascii="Arial Narrow" w:hAnsi="Arial Narrow"/>
          <w:lang w:val="bg-BG" w:eastAsia="bg-BG"/>
        </w:rPr>
      </w:pPr>
      <w:r w:rsidRPr="009C7C5C">
        <w:rPr>
          <w:rFonts w:ascii="Arial Narrow" w:hAnsi="Arial Narrow"/>
          <w:lang w:val="bg-BG" w:eastAsia="bg-BG"/>
        </w:rPr>
        <w:t xml:space="preserve">И през 2024 г. ДПП „Странджа“ е реализирала дейности по подпомагане на естественото възобновяване на местни видове, реинтродукция на видове от флората и фауната (пъстърва, реликтни видове растения от Специализирания разсадник), както и е предприела мерки за ограничаване разпространението на инвазивни видове – чрез механично премахване. Дирекцията на парка е провела и регулярното проучване на най-чувствителните и увредени крайморски дюнни местобитания и крайречни влажни зони. </w:t>
      </w:r>
    </w:p>
    <w:p w14:paraId="60CD255A" w14:textId="77777777" w:rsidR="009C7C5C" w:rsidRPr="009C7C5C" w:rsidRDefault="009C7C5C" w:rsidP="009C7C5C">
      <w:pPr>
        <w:spacing w:after="120"/>
        <w:ind w:firstLine="709"/>
        <w:jc w:val="both"/>
        <w:rPr>
          <w:rFonts w:ascii="Arial Narrow" w:hAnsi="Arial Narrow"/>
          <w:iCs/>
          <w:lang w:val="bg-BG" w:eastAsia="bg-BG"/>
        </w:rPr>
      </w:pPr>
      <w:r w:rsidRPr="009C7C5C">
        <w:rPr>
          <w:rFonts w:ascii="Arial Narrow" w:hAnsi="Arial Narrow"/>
          <w:lang w:val="bg-BG" w:eastAsia="bg-BG"/>
        </w:rPr>
        <w:t xml:space="preserve">ДПП „Русенски Лом“ е извършила редовния мониторинг на птици, който включва проверка на заетите известни гнезда на хищни птици; локализиране на нови заети територии от хищни и мършоядни птици и търсене на нови гнезда (Малък креслив орел, Египетски лешояд, Белоопашат мишелов, Малък орел); проверяване на заетостта на поставени изкуствени гнезда за Малък креслив орел; проверка на всички известни гнезда и търсене на нови на Черен щъркел. </w:t>
      </w:r>
      <w:r w:rsidRPr="009C7C5C">
        <w:rPr>
          <w:rFonts w:ascii="Arial Narrow" w:hAnsi="Arial Narrow"/>
          <w:iCs/>
          <w:lang w:val="bg-BG" w:eastAsia="bg-BG"/>
        </w:rPr>
        <w:t>Дирекцията на парка отговаря и за поддържане на оптималното водно ниво в ЗМ „Калимок-Бръшлен“. На изградената през 2021 г. платформа за привличане гнезденето на пеликани на територията на защитената местност е регистриран рекорд през 2024 г. - 92 двойки са отгледали 110 малки пеликанчета.</w:t>
      </w:r>
    </w:p>
    <w:p w14:paraId="391EE522" w14:textId="77777777" w:rsidR="009C7C5C" w:rsidRPr="009C7C5C" w:rsidRDefault="009C7C5C" w:rsidP="009C7C5C">
      <w:pPr>
        <w:spacing w:after="120"/>
        <w:ind w:firstLine="709"/>
        <w:jc w:val="both"/>
        <w:rPr>
          <w:rFonts w:ascii="Arial Narrow" w:hAnsi="Arial Narrow"/>
          <w:lang w:val="bg-BG" w:eastAsia="bg-BG"/>
        </w:rPr>
      </w:pPr>
      <w:r w:rsidRPr="009C7C5C">
        <w:rPr>
          <w:rFonts w:ascii="Arial Narrow" w:hAnsi="Arial Narrow"/>
          <w:lang w:val="bg-BG" w:eastAsia="bg-BG"/>
        </w:rPr>
        <w:t xml:space="preserve">В рамките на проект, финансиран от общинският фонд „Култура“ към Община Шумен, ДПП „Шуменско плато“ </w:t>
      </w:r>
      <w:r w:rsidRPr="009C7C5C">
        <w:rPr>
          <w:rFonts w:ascii="Arial Narrow" w:hAnsi="Arial Narrow"/>
          <w:lang w:eastAsia="bg-BG"/>
        </w:rPr>
        <w:t>e</w:t>
      </w:r>
      <w:r w:rsidRPr="009C7C5C">
        <w:rPr>
          <w:rFonts w:ascii="Arial Narrow" w:hAnsi="Arial Narrow"/>
          <w:lang w:val="bg-BG" w:eastAsia="bg-BG"/>
        </w:rPr>
        <w:t xml:space="preserve"> представи</w:t>
      </w:r>
      <w:r w:rsidRPr="009C7C5C">
        <w:rPr>
          <w:rFonts w:ascii="Arial Narrow" w:hAnsi="Arial Narrow"/>
          <w:lang w:eastAsia="bg-BG"/>
        </w:rPr>
        <w:t>ла</w:t>
      </w:r>
      <w:r w:rsidRPr="009C7C5C">
        <w:rPr>
          <w:rFonts w:ascii="Arial Narrow" w:hAnsi="Arial Narrow"/>
          <w:lang w:val="bg-BG" w:eastAsia="bg-BG"/>
        </w:rPr>
        <w:t xml:space="preserve"> книга „Подземните чудеса на Шуменското плато“ за пещерите по Шуменското плато. За поредна година с Регионалната библиотека в Шумен е реализирана инициатива „Лятно горско училище“. ДПП „Шуменско плато“ е организирала фестивал „Зелени слънца“ по повод Еньовден. </w:t>
      </w:r>
    </w:p>
    <w:p w14:paraId="7149115B" w14:textId="77777777" w:rsidR="009C7C5C" w:rsidRPr="009C7C5C" w:rsidRDefault="009C7C5C" w:rsidP="009C7C5C">
      <w:pPr>
        <w:spacing w:after="120"/>
        <w:ind w:firstLine="709"/>
        <w:jc w:val="both"/>
        <w:rPr>
          <w:rFonts w:ascii="Arial Narrow" w:hAnsi="Arial Narrow"/>
          <w:lang w:val="bg-BG" w:eastAsia="bg-BG"/>
        </w:rPr>
      </w:pPr>
      <w:r w:rsidRPr="009C7C5C">
        <w:rPr>
          <w:rFonts w:ascii="Arial Narrow" w:hAnsi="Arial Narrow"/>
          <w:lang w:val="bg-BG" w:eastAsia="bg-BG"/>
        </w:rPr>
        <w:t xml:space="preserve">Продължава засиленият интерес към пещера „Бисерна“ на територията на ДПП „Шуменско плато“, като през 2024 г. е посетена от над 4 хиляди туристи. </w:t>
      </w:r>
    </w:p>
    <w:p w14:paraId="1B2BBF41" w14:textId="77777777" w:rsidR="009C7C5C" w:rsidRPr="009C7C5C" w:rsidRDefault="009C7C5C" w:rsidP="009C7C5C">
      <w:pPr>
        <w:spacing w:after="120"/>
        <w:ind w:firstLine="709"/>
        <w:jc w:val="both"/>
        <w:rPr>
          <w:rFonts w:ascii="Arial Narrow" w:hAnsi="Arial Narrow"/>
          <w:lang w:val="bg-BG" w:eastAsia="bg-BG"/>
        </w:rPr>
      </w:pPr>
      <w:r w:rsidRPr="009C7C5C">
        <w:rPr>
          <w:rFonts w:ascii="Arial Narrow" w:hAnsi="Arial Narrow"/>
          <w:lang w:val="bg-BG" w:eastAsia="bg-BG"/>
        </w:rPr>
        <w:t xml:space="preserve">През м. април 2024 г. ДПП „Русенски Лом“ традиционно чества денят на бобъра, а в рамките на инициативите за Седмица на гората е обявен конкурс за рисунка за ученици на тема „Опазване на богатото разнообразие от растителни и животински видове в ландшафта на Природен парк „Русенски Лом““. </w:t>
      </w:r>
    </w:p>
    <w:p w14:paraId="7854E95E" w14:textId="77777777" w:rsidR="009C7C5C" w:rsidRPr="009C7C5C" w:rsidRDefault="009C7C5C" w:rsidP="009C7C5C">
      <w:pPr>
        <w:spacing w:after="120"/>
        <w:ind w:firstLine="709"/>
        <w:jc w:val="both"/>
        <w:rPr>
          <w:rFonts w:ascii="Arial Narrow" w:hAnsi="Arial Narrow"/>
          <w:lang w:val="bg-BG" w:eastAsia="bg-BG"/>
        </w:rPr>
      </w:pPr>
      <w:r w:rsidRPr="009C7C5C">
        <w:rPr>
          <w:rFonts w:ascii="Arial Narrow" w:hAnsi="Arial Narrow"/>
          <w:lang w:val="bg-BG" w:eastAsia="bg-BG"/>
        </w:rPr>
        <w:t xml:space="preserve">През годината ДПП „Златни пясъци“ е провела екологични игри и водачество по детски образователни маршрути „Песента на гората“ и „Домът на сойката“, като децата са запознати с особеностите на някои от често срещаните в парка птици, научили са повече за начина им на живот и за </w:t>
      </w:r>
      <w:r w:rsidRPr="009C7C5C">
        <w:rPr>
          <w:rFonts w:ascii="Arial Narrow" w:hAnsi="Arial Narrow"/>
          <w:lang w:val="bg-BG" w:eastAsia="bg-BG"/>
        </w:rPr>
        <w:lastRenderedPageBreak/>
        <w:t xml:space="preserve">опазването им. Проведени са екологични игри, както и беседи за билките при учебната „Билкова градина и алпинеум“. Разработени са нови игри по проект „Пътуване с куфар“, насочен към децата до 6 г. </w:t>
      </w:r>
    </w:p>
    <w:p w14:paraId="6C89A34C" w14:textId="77777777" w:rsidR="009C7C5C" w:rsidRPr="009C7C5C" w:rsidRDefault="009C7C5C" w:rsidP="009C7C5C">
      <w:pPr>
        <w:spacing w:after="120"/>
        <w:ind w:firstLine="709"/>
        <w:jc w:val="both"/>
        <w:rPr>
          <w:rFonts w:ascii="Arial Narrow" w:hAnsi="Arial Narrow"/>
          <w:lang w:val="bg-BG" w:eastAsia="bg-BG"/>
        </w:rPr>
      </w:pPr>
      <w:r w:rsidRPr="009C7C5C">
        <w:rPr>
          <w:rFonts w:ascii="Arial Narrow" w:hAnsi="Arial Narrow"/>
          <w:lang w:val="bg-BG" w:eastAsia="bg-BG"/>
        </w:rPr>
        <w:t xml:space="preserve">ДПП „Сините камъни“ е създала детски клуб „Барбатос“ и е организирала лагери за децата от клуба. На тях учениците са маркирали костенурки, спасени от Спасителния център за дивите животни в Стара Загора, свалили са биометричните им данни и са ги освободили на територията на парка. Наблюдавали са с бинокли и оптична тръба лешояди и са присъствали на опръстеняване и маркиране на белоглави лешояди. </w:t>
      </w:r>
    </w:p>
    <w:p w14:paraId="774A8707" w14:textId="77777777" w:rsidR="009C7C5C" w:rsidRPr="009C7C5C" w:rsidRDefault="009C7C5C" w:rsidP="009C7C5C">
      <w:pPr>
        <w:spacing w:after="120"/>
        <w:ind w:firstLine="709"/>
        <w:jc w:val="both"/>
        <w:rPr>
          <w:rFonts w:ascii="Arial Narrow" w:hAnsi="Arial Narrow"/>
          <w:lang w:val="bg-BG" w:eastAsia="bg-BG"/>
        </w:rPr>
      </w:pPr>
      <w:r w:rsidRPr="009C7C5C">
        <w:rPr>
          <w:rFonts w:ascii="Arial Narrow" w:hAnsi="Arial Narrow"/>
          <w:lang w:val="bg-BG" w:eastAsia="bg-BG"/>
        </w:rPr>
        <w:t xml:space="preserve">ДПП „Беласица“ е партньор в кампанията „Отгледай кестен“, както и в организирането и провеждането на тридневно събитие „Да се хванем за зелено“ в Подгорието. </w:t>
      </w:r>
    </w:p>
    <w:p w14:paraId="012B1175" w14:textId="77777777" w:rsidR="009C7C5C" w:rsidRPr="009C7C5C" w:rsidRDefault="009C7C5C" w:rsidP="009C7C5C">
      <w:pPr>
        <w:spacing w:after="120"/>
        <w:ind w:firstLine="709"/>
        <w:jc w:val="both"/>
        <w:rPr>
          <w:rFonts w:ascii="Arial Narrow" w:hAnsi="Arial Narrow"/>
          <w:lang w:val="ru-RU" w:eastAsia="bg-BG"/>
        </w:rPr>
      </w:pPr>
      <w:r w:rsidRPr="009C7C5C">
        <w:rPr>
          <w:rFonts w:ascii="Arial Narrow" w:hAnsi="Arial Narrow"/>
          <w:lang w:val="bg-BG" w:eastAsia="bg-BG"/>
        </w:rPr>
        <w:t>През 2024 г. освен регулярните мероприятия за поддържане на разнообразието на екосистемите и опазване на биологичното разнообразие в парка, ДПП „Сините камъни“ е продължила дейности по оказване на п</w:t>
      </w:r>
      <w:r w:rsidRPr="009C7C5C">
        <w:rPr>
          <w:rFonts w:ascii="Arial Narrow" w:hAnsi="Arial Narrow"/>
          <w:lang w:val="ru-RU" w:eastAsia="bg-BG"/>
        </w:rPr>
        <w:t xml:space="preserve">ърва помощ на диви птици, костенурки, таралежи и др., след което ги е експедирала към </w:t>
      </w:r>
      <w:r w:rsidRPr="009C7C5C">
        <w:rPr>
          <w:rFonts w:ascii="Arial Narrow" w:hAnsi="Arial Narrow"/>
          <w:lang w:val="bg-BG" w:eastAsia="bg-BG"/>
        </w:rPr>
        <w:t>„</w:t>
      </w:r>
      <w:r w:rsidRPr="009C7C5C">
        <w:rPr>
          <w:rFonts w:ascii="Arial Narrow" w:hAnsi="Arial Narrow"/>
          <w:lang w:val="ru-RU" w:eastAsia="bg-BG"/>
        </w:rPr>
        <w:t>Спасителен център за дивите животни</w:t>
      </w:r>
      <w:r w:rsidRPr="009C7C5C">
        <w:rPr>
          <w:rFonts w:ascii="Arial Narrow" w:hAnsi="Arial Narrow"/>
          <w:lang w:val="bg-BG" w:eastAsia="bg-BG"/>
        </w:rPr>
        <w:t>“</w:t>
      </w:r>
      <w:r w:rsidRPr="009C7C5C">
        <w:rPr>
          <w:rFonts w:ascii="Arial Narrow" w:hAnsi="Arial Narrow"/>
          <w:lang w:val="ru-RU" w:eastAsia="bg-BG"/>
        </w:rPr>
        <w:t xml:space="preserve"> - Стара Загора. </w:t>
      </w:r>
    </w:p>
    <w:p w14:paraId="6C4956FF" w14:textId="77777777" w:rsidR="009C7C5C" w:rsidRPr="009C7C5C" w:rsidRDefault="009C7C5C" w:rsidP="009C7C5C">
      <w:pPr>
        <w:spacing w:after="120"/>
        <w:ind w:firstLine="709"/>
        <w:jc w:val="both"/>
        <w:rPr>
          <w:rFonts w:ascii="Arial Narrow" w:hAnsi="Arial Narrow"/>
          <w:lang w:val="bg-BG" w:eastAsia="bg-BG"/>
        </w:rPr>
      </w:pPr>
      <w:r w:rsidRPr="009C7C5C">
        <w:rPr>
          <w:rFonts w:ascii="Arial Narrow" w:hAnsi="Arial Narrow"/>
          <w:lang w:val="bg-BG" w:eastAsia="bg-BG"/>
        </w:rPr>
        <w:t xml:space="preserve">Всички дирекции на природните паркове са продължили изпълнението на задължения, свързани с провеждането на мониторинг на консервационно значими видове растения и животни, включени в Националната система за мониторинг на биологичното разнообразие. </w:t>
      </w:r>
    </w:p>
    <w:p w14:paraId="549B55E5" w14:textId="77777777" w:rsidR="009C7C5C" w:rsidRPr="009C7C5C" w:rsidRDefault="009C7C5C" w:rsidP="009C7C5C">
      <w:pPr>
        <w:spacing w:after="120"/>
        <w:ind w:firstLine="709"/>
        <w:jc w:val="both"/>
        <w:rPr>
          <w:rFonts w:ascii="Arial Narrow" w:hAnsi="Arial Narrow"/>
          <w:lang w:val="bg-BG" w:eastAsia="bg-BG"/>
        </w:rPr>
      </w:pPr>
      <w:r w:rsidRPr="009C7C5C">
        <w:rPr>
          <w:rFonts w:ascii="Arial Narrow" w:hAnsi="Arial Narrow"/>
          <w:lang w:val="bg-BG" w:eastAsia="bg-BG"/>
        </w:rPr>
        <w:t xml:space="preserve">ДПП „Врачански Балкан“ е водещ партньор по проект „Еко дестинация Искърско дефиле“, по програма „Развитие на туризма в Северозападна България и по поречието на река Дунав“, финансиран от Фондация Америка за България. </w:t>
      </w:r>
    </w:p>
    <w:p w14:paraId="663B0EBA" w14:textId="77777777" w:rsidR="009C7C5C" w:rsidRPr="009C7C5C" w:rsidRDefault="009C7C5C" w:rsidP="009C7C5C">
      <w:pPr>
        <w:spacing w:after="120"/>
        <w:ind w:firstLine="709"/>
        <w:jc w:val="both"/>
        <w:rPr>
          <w:rFonts w:ascii="Arial Narrow" w:hAnsi="Arial Narrow"/>
          <w:color w:val="FF0000"/>
          <w:lang w:val="bg-BG" w:eastAsia="bg-BG"/>
        </w:rPr>
      </w:pPr>
      <w:r w:rsidRPr="009C7C5C">
        <w:rPr>
          <w:rFonts w:ascii="Arial Narrow" w:hAnsi="Arial Narrow"/>
          <w:lang w:val="bg-BG" w:eastAsia="bg-BG"/>
        </w:rPr>
        <w:t xml:space="preserve">ДПП „Сините камъни“ е партньор по международен проект „Живот за брадатия лешояд“ (проект №101113869 LIFE22-NAT-BG-Bearded Vulture LIFE), стартирал през 2023 г. </w:t>
      </w:r>
    </w:p>
    <w:p w14:paraId="02B0DBED" w14:textId="77777777" w:rsidR="009C7C5C" w:rsidRPr="009C7C5C" w:rsidRDefault="009C7C5C" w:rsidP="009C7C5C">
      <w:pPr>
        <w:spacing w:after="120"/>
        <w:ind w:firstLine="709"/>
        <w:jc w:val="both"/>
        <w:rPr>
          <w:rFonts w:ascii="Arial Narrow" w:hAnsi="Arial Narrow"/>
          <w:lang w:val="bg-BG" w:eastAsia="bg-BG"/>
        </w:rPr>
      </w:pPr>
      <w:r w:rsidRPr="009C7C5C">
        <w:rPr>
          <w:rFonts w:ascii="Arial Narrow" w:hAnsi="Arial Narrow"/>
          <w:lang w:val="bg-BG" w:eastAsia="bg-BG"/>
        </w:rPr>
        <w:t>ДПП „Персина“ е изпълнила и отчела 3 проекта.</w:t>
      </w:r>
    </w:p>
    <w:p w14:paraId="55F1CB38" w14:textId="77777777" w:rsidR="009C7C5C" w:rsidRPr="009C7C5C" w:rsidRDefault="009C7C5C" w:rsidP="009C7C5C">
      <w:pPr>
        <w:spacing w:after="120"/>
        <w:ind w:firstLine="709"/>
        <w:jc w:val="both"/>
        <w:rPr>
          <w:rFonts w:ascii="Arial Narrow" w:hAnsi="Arial Narrow"/>
          <w:lang w:val="bg-BG" w:eastAsia="bg-BG"/>
        </w:rPr>
      </w:pPr>
      <w:r w:rsidRPr="009C7C5C">
        <w:rPr>
          <w:rFonts w:ascii="Arial Narrow" w:hAnsi="Arial Narrow"/>
          <w:lang w:val="bg-BG" w:eastAsia="bg-BG"/>
        </w:rPr>
        <w:t>През 2024 г. от страна на ИАГ са изготвени и представени в МОСВ становища на основание чл. 36, ал. 2 от Закона за защитените територии (ЗЗТ) по процедури за обявяване на 10 защитени местности и 5 природни забележителности към МОСВ:</w:t>
      </w:r>
    </w:p>
    <w:p w14:paraId="380DFF0F" w14:textId="77777777" w:rsidR="009C7C5C" w:rsidRPr="009C7C5C" w:rsidRDefault="009C7C5C" w:rsidP="009C7C5C">
      <w:pPr>
        <w:numPr>
          <w:ilvl w:val="0"/>
          <w:numId w:val="17"/>
        </w:numPr>
        <w:spacing w:after="120"/>
        <w:jc w:val="both"/>
        <w:rPr>
          <w:rFonts w:ascii="Arial Narrow" w:hAnsi="Arial Narrow" w:cs="Arial Narrow"/>
          <w:bCs/>
          <w:lang w:val="bg-BG" w:eastAsia="bg-BG"/>
        </w:rPr>
      </w:pPr>
      <w:r w:rsidRPr="009C7C5C">
        <w:rPr>
          <w:rFonts w:ascii="Arial Narrow" w:hAnsi="Arial Narrow" w:cs="Arial Narrow"/>
          <w:bCs/>
          <w:lang w:val="bg-BG" w:eastAsia="bg-BG"/>
        </w:rPr>
        <w:t>Защитена местност „Изворът на Белоногата“, попадаща в землището на с. Рогозиново, община Харманли, област Хасково;</w:t>
      </w:r>
    </w:p>
    <w:p w14:paraId="0BFEB985" w14:textId="77777777" w:rsidR="009C7C5C" w:rsidRPr="009C7C5C" w:rsidRDefault="009C7C5C" w:rsidP="009C7C5C">
      <w:pPr>
        <w:numPr>
          <w:ilvl w:val="0"/>
          <w:numId w:val="17"/>
        </w:numPr>
        <w:spacing w:after="120"/>
        <w:jc w:val="both"/>
        <w:rPr>
          <w:rFonts w:ascii="Arial Narrow" w:hAnsi="Arial Narrow" w:cs="Arial Narrow"/>
          <w:bCs/>
          <w:lang w:val="bg-BG" w:eastAsia="bg-BG"/>
        </w:rPr>
      </w:pPr>
      <w:r w:rsidRPr="009C7C5C">
        <w:rPr>
          <w:rFonts w:ascii="Arial Narrow" w:hAnsi="Arial Narrow" w:cs="Arial Narrow"/>
          <w:bCs/>
          <w:lang w:val="bg-BG" w:eastAsia="bg-BG"/>
        </w:rPr>
        <w:t>Защитена местност „Голяма Сютка“, попадаща в землището на гр. Ракитово, община Ракитово, област Пазарджик;</w:t>
      </w:r>
    </w:p>
    <w:p w14:paraId="461FD957" w14:textId="77777777" w:rsidR="009C7C5C" w:rsidRPr="009C7C5C" w:rsidRDefault="009C7C5C" w:rsidP="009C7C5C">
      <w:pPr>
        <w:numPr>
          <w:ilvl w:val="0"/>
          <w:numId w:val="17"/>
        </w:numPr>
        <w:spacing w:after="120"/>
        <w:jc w:val="both"/>
        <w:rPr>
          <w:rFonts w:ascii="Arial Narrow" w:hAnsi="Arial Narrow" w:cs="Arial Narrow"/>
          <w:bCs/>
          <w:lang w:val="bg-BG" w:eastAsia="bg-BG"/>
        </w:rPr>
      </w:pPr>
      <w:r w:rsidRPr="009C7C5C">
        <w:rPr>
          <w:rFonts w:ascii="Arial Narrow" w:hAnsi="Arial Narrow" w:cs="Arial Narrow"/>
          <w:bCs/>
          <w:lang w:val="bg-BG" w:eastAsia="bg-BG"/>
        </w:rPr>
        <w:t>Защитена местност „Грънчарица“, попадаща в землището на с. Грашево и с. Кръстава, община Велинград, област Пазарджик;</w:t>
      </w:r>
    </w:p>
    <w:p w14:paraId="4EE1B705" w14:textId="77777777" w:rsidR="009C7C5C" w:rsidRPr="009C7C5C" w:rsidRDefault="009C7C5C" w:rsidP="009C7C5C">
      <w:pPr>
        <w:numPr>
          <w:ilvl w:val="0"/>
          <w:numId w:val="17"/>
        </w:numPr>
        <w:spacing w:after="120"/>
        <w:jc w:val="both"/>
        <w:rPr>
          <w:rFonts w:ascii="Arial Narrow" w:hAnsi="Arial Narrow" w:cs="Arial Narrow"/>
          <w:bCs/>
          <w:lang w:val="bg-BG" w:eastAsia="bg-BG"/>
        </w:rPr>
      </w:pPr>
      <w:r w:rsidRPr="009C7C5C">
        <w:rPr>
          <w:rFonts w:ascii="Arial Narrow" w:hAnsi="Arial Narrow" w:cs="Arial Narrow"/>
          <w:bCs/>
          <w:lang w:val="bg-BG" w:eastAsia="bg-BG"/>
        </w:rPr>
        <w:t>Защитена местност „Огняново - Синитевски рид“, попадаща в землищата на с. Синитово и с. Огняново, община Пазарджик, област Пазарджик;</w:t>
      </w:r>
    </w:p>
    <w:p w14:paraId="4437218B" w14:textId="77777777" w:rsidR="009C7C5C" w:rsidRPr="009C7C5C" w:rsidRDefault="009C7C5C" w:rsidP="009C7C5C">
      <w:pPr>
        <w:numPr>
          <w:ilvl w:val="0"/>
          <w:numId w:val="17"/>
        </w:numPr>
        <w:spacing w:after="120"/>
        <w:jc w:val="both"/>
        <w:rPr>
          <w:rFonts w:ascii="Arial Narrow" w:hAnsi="Arial Narrow" w:cs="Arial Narrow"/>
          <w:bCs/>
          <w:lang w:val="bg-BG" w:eastAsia="bg-BG"/>
        </w:rPr>
      </w:pPr>
      <w:r w:rsidRPr="009C7C5C">
        <w:rPr>
          <w:rFonts w:ascii="Arial Narrow" w:hAnsi="Arial Narrow" w:cs="Arial Narrow"/>
          <w:bCs/>
          <w:lang w:val="bg-BG" w:eastAsia="bg-BG"/>
        </w:rPr>
        <w:t>Защитена местност „Райновска кория“, попадаща в землището на с. Райново, община Димитровград, област Хасково;</w:t>
      </w:r>
    </w:p>
    <w:p w14:paraId="120EAC76" w14:textId="77777777" w:rsidR="009C7C5C" w:rsidRPr="009C7C5C" w:rsidRDefault="009C7C5C" w:rsidP="009C7C5C">
      <w:pPr>
        <w:numPr>
          <w:ilvl w:val="0"/>
          <w:numId w:val="17"/>
        </w:numPr>
        <w:spacing w:after="120"/>
        <w:jc w:val="both"/>
        <w:rPr>
          <w:rFonts w:ascii="Arial Narrow" w:hAnsi="Arial Narrow" w:cs="Arial Narrow"/>
          <w:bCs/>
          <w:lang w:val="bg-BG" w:eastAsia="bg-BG"/>
        </w:rPr>
      </w:pPr>
      <w:r w:rsidRPr="009C7C5C">
        <w:rPr>
          <w:rFonts w:ascii="Arial Narrow" w:hAnsi="Arial Narrow" w:cs="Arial Narrow"/>
          <w:bCs/>
          <w:lang w:val="bg-BG" w:eastAsia="bg-BG"/>
        </w:rPr>
        <w:t>Защитена местност „Силистар“, попадаща в землищата на с. Резово и с. Синеморец, община Царево, област Бургас;</w:t>
      </w:r>
    </w:p>
    <w:p w14:paraId="57FAF1F9" w14:textId="77777777" w:rsidR="009C7C5C" w:rsidRPr="009C7C5C" w:rsidRDefault="009C7C5C" w:rsidP="009C7C5C">
      <w:pPr>
        <w:numPr>
          <w:ilvl w:val="0"/>
          <w:numId w:val="17"/>
        </w:numPr>
        <w:spacing w:after="120"/>
        <w:jc w:val="both"/>
        <w:rPr>
          <w:rFonts w:ascii="Arial Narrow" w:hAnsi="Arial Narrow" w:cs="Arial Narrow"/>
          <w:bCs/>
          <w:lang w:val="bg-BG" w:eastAsia="bg-BG"/>
        </w:rPr>
      </w:pPr>
      <w:r w:rsidRPr="009C7C5C">
        <w:rPr>
          <w:rFonts w:ascii="Arial Narrow" w:hAnsi="Arial Narrow" w:cs="Arial Narrow"/>
          <w:bCs/>
          <w:lang w:val="bg-BG" w:eastAsia="bg-BG"/>
        </w:rPr>
        <w:t>Природна забележителност „Провъртеника“, попадаща в землището на гр. Луковит, община Луковит, област Ловеч;</w:t>
      </w:r>
    </w:p>
    <w:p w14:paraId="5121C5C2" w14:textId="77777777" w:rsidR="009C7C5C" w:rsidRPr="009C7C5C" w:rsidRDefault="009C7C5C" w:rsidP="009C7C5C">
      <w:pPr>
        <w:numPr>
          <w:ilvl w:val="0"/>
          <w:numId w:val="17"/>
        </w:numPr>
        <w:spacing w:after="120"/>
        <w:jc w:val="both"/>
        <w:rPr>
          <w:rFonts w:ascii="Arial Narrow" w:hAnsi="Arial Narrow" w:cs="Arial Narrow"/>
          <w:bCs/>
          <w:lang w:val="bg-BG" w:eastAsia="bg-BG"/>
        </w:rPr>
      </w:pPr>
      <w:r w:rsidRPr="009C7C5C">
        <w:rPr>
          <w:rFonts w:ascii="Arial Narrow" w:hAnsi="Arial Narrow" w:cs="Arial Narrow"/>
          <w:bCs/>
          <w:lang w:val="bg-BG" w:eastAsia="bg-BG"/>
        </w:rPr>
        <w:t>Природна забележителност „Находище на тис в м. Еленска глава“, попадаща в землището на с. Боров дол, община Твърдица, област Сливен и прекатегоризация в защитена местност;</w:t>
      </w:r>
    </w:p>
    <w:p w14:paraId="17AC7753" w14:textId="77777777" w:rsidR="009C7C5C" w:rsidRPr="009C7C5C" w:rsidRDefault="009C7C5C" w:rsidP="009C7C5C">
      <w:pPr>
        <w:numPr>
          <w:ilvl w:val="0"/>
          <w:numId w:val="17"/>
        </w:numPr>
        <w:spacing w:after="120"/>
        <w:jc w:val="both"/>
        <w:rPr>
          <w:rFonts w:ascii="Arial Narrow" w:hAnsi="Arial Narrow" w:cs="Arial Narrow"/>
          <w:bCs/>
          <w:lang w:val="bg-BG" w:eastAsia="bg-BG"/>
        </w:rPr>
      </w:pPr>
      <w:r w:rsidRPr="009C7C5C">
        <w:rPr>
          <w:rFonts w:ascii="Arial Narrow" w:hAnsi="Arial Narrow" w:cs="Arial Narrow"/>
          <w:bCs/>
          <w:lang w:val="bg-BG" w:eastAsia="bg-BG"/>
        </w:rPr>
        <w:t>Природна забележителност „Пясъчни дюни - 5 броя“ и природна забележителност „Пясъчни дюни – местност Бабата – Слънчев бряг“ и увеличаване на площта на новоопределената защитена територия;</w:t>
      </w:r>
    </w:p>
    <w:p w14:paraId="4E6A6871" w14:textId="77777777" w:rsidR="009C7C5C" w:rsidRPr="009C7C5C" w:rsidRDefault="009C7C5C" w:rsidP="009C7C5C">
      <w:pPr>
        <w:numPr>
          <w:ilvl w:val="0"/>
          <w:numId w:val="17"/>
        </w:numPr>
        <w:spacing w:after="120"/>
        <w:jc w:val="both"/>
        <w:rPr>
          <w:rFonts w:ascii="Arial Narrow" w:hAnsi="Arial Narrow" w:cs="Arial Narrow"/>
          <w:bCs/>
          <w:lang w:val="bg-BG" w:eastAsia="bg-BG"/>
        </w:rPr>
      </w:pPr>
      <w:r w:rsidRPr="009C7C5C">
        <w:rPr>
          <w:rFonts w:ascii="Arial Narrow" w:hAnsi="Arial Narrow" w:cs="Arial Narrow"/>
          <w:bCs/>
          <w:lang w:val="bg-BG" w:eastAsia="bg-BG"/>
        </w:rPr>
        <w:lastRenderedPageBreak/>
        <w:t>Защитена местност „Находище на Родопски силивряк“, в землището на с. Горнослав, община Асеновград, област Пловдив;</w:t>
      </w:r>
    </w:p>
    <w:p w14:paraId="6335A737" w14:textId="77777777" w:rsidR="009C7C5C" w:rsidRPr="009C7C5C" w:rsidRDefault="009C7C5C" w:rsidP="009C7C5C">
      <w:pPr>
        <w:numPr>
          <w:ilvl w:val="0"/>
          <w:numId w:val="17"/>
        </w:numPr>
        <w:spacing w:after="120"/>
        <w:jc w:val="both"/>
        <w:rPr>
          <w:rFonts w:ascii="Arial Narrow" w:hAnsi="Arial Narrow" w:cs="Arial Narrow"/>
          <w:bCs/>
          <w:lang w:val="bg-BG" w:eastAsia="bg-BG"/>
        </w:rPr>
      </w:pPr>
      <w:r w:rsidRPr="009C7C5C">
        <w:rPr>
          <w:rFonts w:ascii="Arial Narrow" w:hAnsi="Arial Narrow" w:cs="Arial Narrow"/>
          <w:bCs/>
          <w:lang w:val="bg-BG" w:eastAsia="bg-BG"/>
        </w:rPr>
        <w:t>Природна забележителност „Водопада на река Душан“, в землището на с. Джанка и с. Красино, община Крумовград, област Кърджали;</w:t>
      </w:r>
    </w:p>
    <w:p w14:paraId="1C5CE5F7" w14:textId="77777777" w:rsidR="009C7C5C" w:rsidRPr="009C7C5C" w:rsidRDefault="009C7C5C" w:rsidP="009C7C5C">
      <w:pPr>
        <w:numPr>
          <w:ilvl w:val="0"/>
          <w:numId w:val="17"/>
        </w:numPr>
        <w:spacing w:after="120"/>
        <w:jc w:val="both"/>
        <w:rPr>
          <w:rFonts w:ascii="Arial Narrow" w:hAnsi="Arial Narrow" w:cs="Arial Narrow"/>
          <w:bCs/>
          <w:lang w:val="bg-BG" w:eastAsia="bg-BG"/>
        </w:rPr>
      </w:pPr>
      <w:r w:rsidRPr="009C7C5C">
        <w:rPr>
          <w:rFonts w:ascii="Arial Narrow" w:hAnsi="Arial Narrow" w:cs="Arial Narrow"/>
          <w:bCs/>
          <w:lang w:val="bg-BG" w:eastAsia="bg-BG"/>
        </w:rPr>
        <w:t>Защитена местност „Дупката“, в землището на гр. Ивайловград, община Ивайловград, област Хасково;</w:t>
      </w:r>
    </w:p>
    <w:p w14:paraId="32EEE74F" w14:textId="77777777" w:rsidR="009C7C5C" w:rsidRPr="009C7C5C" w:rsidRDefault="009C7C5C" w:rsidP="009C7C5C">
      <w:pPr>
        <w:numPr>
          <w:ilvl w:val="0"/>
          <w:numId w:val="17"/>
        </w:numPr>
        <w:spacing w:after="120"/>
        <w:jc w:val="both"/>
        <w:rPr>
          <w:rFonts w:ascii="Arial Narrow" w:hAnsi="Arial Narrow" w:cs="Arial Narrow"/>
          <w:bCs/>
          <w:lang w:val="bg-BG" w:eastAsia="bg-BG"/>
        </w:rPr>
      </w:pPr>
      <w:r w:rsidRPr="009C7C5C">
        <w:rPr>
          <w:rFonts w:ascii="Arial Narrow" w:hAnsi="Arial Narrow" w:cs="Arial Narrow"/>
          <w:bCs/>
          <w:lang w:val="bg-BG" w:eastAsia="bg-BG"/>
        </w:rPr>
        <w:t>Природна забележителност „Находище на снежно кокиче“ и обявяване на защитена местност „Находище на Елвезиево кокиче“, в землището на гр. Ивайловград, община Ивайловград, област Хасково;</w:t>
      </w:r>
    </w:p>
    <w:p w14:paraId="122C8C7B" w14:textId="77777777" w:rsidR="009C7C5C" w:rsidRPr="009C7C5C" w:rsidRDefault="009C7C5C" w:rsidP="009C7C5C">
      <w:pPr>
        <w:numPr>
          <w:ilvl w:val="0"/>
          <w:numId w:val="17"/>
        </w:numPr>
        <w:spacing w:after="120"/>
        <w:jc w:val="both"/>
        <w:rPr>
          <w:rFonts w:ascii="Arial Narrow" w:hAnsi="Arial Narrow" w:cs="Arial Narrow"/>
          <w:bCs/>
          <w:lang w:val="bg-BG" w:eastAsia="bg-BG"/>
        </w:rPr>
      </w:pPr>
      <w:r w:rsidRPr="009C7C5C">
        <w:rPr>
          <w:rFonts w:ascii="Arial Narrow" w:hAnsi="Arial Narrow" w:cs="Arial Narrow"/>
          <w:bCs/>
          <w:lang w:val="bg-BG" w:eastAsia="bg-BG"/>
        </w:rPr>
        <w:t>Защитена местност „Лавдан“, в землището на с. Евренозово, община Малко Търново;</w:t>
      </w:r>
    </w:p>
    <w:p w14:paraId="521608CC" w14:textId="77777777" w:rsidR="009C7C5C" w:rsidRPr="009C7C5C" w:rsidRDefault="009C7C5C" w:rsidP="009C7C5C">
      <w:pPr>
        <w:numPr>
          <w:ilvl w:val="0"/>
          <w:numId w:val="17"/>
        </w:numPr>
        <w:spacing w:after="120"/>
        <w:jc w:val="both"/>
        <w:rPr>
          <w:rFonts w:ascii="Arial Narrow" w:hAnsi="Arial Narrow" w:cs="Arial Narrow"/>
          <w:bCs/>
          <w:lang w:val="bg-BG" w:eastAsia="bg-BG"/>
        </w:rPr>
      </w:pPr>
      <w:r w:rsidRPr="009C7C5C">
        <w:rPr>
          <w:rFonts w:ascii="Arial Narrow" w:hAnsi="Arial Narrow" w:cs="Arial Narrow"/>
          <w:bCs/>
          <w:lang w:val="bg-BG" w:eastAsia="bg-BG"/>
        </w:rPr>
        <w:t>Защитена местност „Находище на Урумово лале в м. „Лаликото“, землище на с. Терзийско, община Сунгурларе, област Бургас.</w:t>
      </w:r>
    </w:p>
    <w:p w14:paraId="325C6A34" w14:textId="77777777" w:rsidR="009C7C5C" w:rsidRPr="004317BF" w:rsidRDefault="00ED5011" w:rsidP="004317BF">
      <w:pPr>
        <w:pStyle w:val="ListParagraph"/>
        <w:widowControl w:val="0"/>
        <w:numPr>
          <w:ilvl w:val="0"/>
          <w:numId w:val="20"/>
        </w:numPr>
        <w:spacing w:after="120"/>
        <w:ind w:hanging="357"/>
        <w:contextualSpacing w:val="0"/>
        <w:outlineLvl w:val="0"/>
        <w:rPr>
          <w:rFonts w:ascii="Arial Narrow" w:hAnsi="Arial Narrow" w:cstheme="minorBidi"/>
          <w:b/>
          <w:lang w:val="bg-BG" w:eastAsia="bg-BG"/>
        </w:rPr>
      </w:pPr>
      <w:bookmarkStart w:id="249" w:name="_Toc119489991"/>
      <w:bookmarkStart w:id="250" w:name="_Toc210747679"/>
      <w:r w:rsidRPr="004317BF">
        <w:rPr>
          <w:rFonts w:ascii="Arial Narrow" w:hAnsi="Arial Narrow" w:cstheme="minorBidi"/>
          <w:b/>
          <w:lang w:val="bg-BG" w:eastAsia="bg-BG"/>
        </w:rPr>
        <w:t>Горска сертификация</w:t>
      </w:r>
      <w:bookmarkEnd w:id="249"/>
      <w:bookmarkEnd w:id="250"/>
    </w:p>
    <w:p w14:paraId="1E631C8B" w14:textId="77777777" w:rsidR="009C7C5C" w:rsidRPr="009C7C5C" w:rsidRDefault="009C7C5C" w:rsidP="009C7C5C">
      <w:pPr>
        <w:spacing w:after="120"/>
        <w:ind w:firstLine="709"/>
        <w:jc w:val="both"/>
        <w:rPr>
          <w:rFonts w:ascii="Arial Narrow" w:hAnsi="Arial Narrow"/>
          <w:lang w:val="bg-BG" w:eastAsia="bg-BG"/>
        </w:rPr>
      </w:pPr>
      <w:r w:rsidRPr="009C7C5C">
        <w:rPr>
          <w:rFonts w:ascii="Arial Narrow" w:hAnsi="Arial Narrow"/>
          <w:lang w:val="bg-BG" w:eastAsia="bg-BG"/>
        </w:rPr>
        <w:t xml:space="preserve">Към края на м. февруари 2025 г. общата площ на сертифицираните горски територии по системата на </w:t>
      </w:r>
      <w:r w:rsidRPr="009C7C5C">
        <w:rPr>
          <w:rFonts w:ascii="Arial Narrow" w:hAnsi="Arial Narrow"/>
          <w:lang w:eastAsia="bg-BG"/>
        </w:rPr>
        <w:t xml:space="preserve">FSC </w:t>
      </w:r>
      <w:r w:rsidRPr="009C7C5C">
        <w:rPr>
          <w:rFonts w:ascii="Arial Narrow" w:hAnsi="Arial Narrow"/>
          <w:lang w:val="bg-BG" w:eastAsia="bg-BG"/>
        </w:rPr>
        <w:t xml:space="preserve">(Съвет за стопанисване на горите) в страната е </w:t>
      </w:r>
      <w:r w:rsidRPr="009C7C5C">
        <w:rPr>
          <w:rFonts w:ascii="Arial Narrow" w:hAnsi="Arial Narrow"/>
          <w:lang w:eastAsia="bg-BG"/>
        </w:rPr>
        <w:t>2 405 444</w:t>
      </w:r>
      <w:r w:rsidRPr="009C7C5C">
        <w:rPr>
          <w:rFonts w:ascii="Arial Narrow" w:hAnsi="Arial Narrow"/>
          <w:lang w:val="bg-BG" w:eastAsia="bg-BG"/>
        </w:rPr>
        <w:t xml:space="preserve"> ха. Площта на сертифицираните по системата на </w:t>
      </w:r>
      <w:r w:rsidRPr="009C7C5C">
        <w:rPr>
          <w:rFonts w:ascii="Arial Narrow" w:hAnsi="Arial Narrow"/>
          <w:lang w:eastAsia="bg-BG"/>
        </w:rPr>
        <w:t xml:space="preserve">FSC </w:t>
      </w:r>
      <w:r w:rsidRPr="009C7C5C">
        <w:rPr>
          <w:rFonts w:ascii="Arial Narrow" w:hAnsi="Arial Narrow"/>
          <w:lang w:val="bg-BG" w:eastAsia="bg-BG"/>
        </w:rPr>
        <w:t xml:space="preserve">държавни горски територии, стопанисвани от държавните предприятия по чл. 163 от ЗГ, е 2 385 896,1 ха, равняващи се на 90% от общата стопанисвана от тях залесена територия в страната, като сертифицираните единици са 28. Площта на сертифицираните по системата на </w:t>
      </w:r>
      <w:r w:rsidRPr="009C7C5C">
        <w:rPr>
          <w:rFonts w:ascii="Arial Narrow" w:hAnsi="Arial Narrow"/>
          <w:lang w:eastAsia="bg-BG"/>
        </w:rPr>
        <w:t xml:space="preserve">FSC </w:t>
      </w:r>
      <w:r w:rsidRPr="009C7C5C">
        <w:rPr>
          <w:rFonts w:ascii="Arial Narrow" w:hAnsi="Arial Narrow"/>
          <w:lang w:val="bg-BG" w:eastAsia="bg-BG"/>
        </w:rPr>
        <w:t>общински горски територии, стопанисвани от общините, е 19 548 ха или 5% от общата стопанисвана от тях залесена територия в страната, като сертифицираните единици са 2.</w:t>
      </w:r>
    </w:p>
    <w:p w14:paraId="5B4AB731" w14:textId="77777777" w:rsidR="009C7C5C" w:rsidRPr="009C7C5C" w:rsidRDefault="009C7C5C" w:rsidP="009C7C5C">
      <w:pPr>
        <w:spacing w:after="120"/>
        <w:ind w:firstLine="709"/>
        <w:jc w:val="both"/>
        <w:rPr>
          <w:rFonts w:ascii="Arial Narrow" w:hAnsi="Arial Narrow"/>
          <w:lang w:val="bg-BG" w:eastAsia="bg-BG"/>
        </w:rPr>
      </w:pPr>
      <w:r w:rsidRPr="009C7C5C">
        <w:rPr>
          <w:rFonts w:ascii="Arial Narrow" w:hAnsi="Arial Narrow"/>
          <w:lang w:val="bg-BG" w:eastAsia="bg-BG"/>
        </w:rPr>
        <w:t xml:space="preserve">Площта на сертифицираните по системата на PEFC (Програма за утвърждаване на горската сертификация) държавни горски територии, стопанисвани от държавните предприятия по чл. 163 от ЗГ, е 245 025 ха, равняващи се на 9% от общата стопанисвана от тях залесена територия в страната, а сертифицираната единица е една – Северозападно държавно горско предприятие, с 18 териториални поделения в обхвата на сертификата. </w:t>
      </w:r>
    </w:p>
    <w:p w14:paraId="5C62C391" w14:textId="77777777" w:rsidR="009C7C5C" w:rsidRPr="009C7C5C" w:rsidRDefault="009C7C5C" w:rsidP="009C7C5C">
      <w:pPr>
        <w:spacing w:after="120"/>
        <w:ind w:firstLine="709"/>
        <w:jc w:val="both"/>
        <w:rPr>
          <w:rFonts w:ascii="Arial Narrow" w:hAnsi="Arial Narrow"/>
          <w:lang w:val="bg-BG" w:eastAsia="bg-BG"/>
        </w:rPr>
      </w:pPr>
      <w:r w:rsidRPr="009C7C5C">
        <w:rPr>
          <w:rFonts w:ascii="Arial Narrow" w:hAnsi="Arial Narrow"/>
          <w:lang w:val="bg-BG" w:eastAsia="bg-BG"/>
        </w:rPr>
        <w:t>Съгласно електронния информационен портал на PEFC, към 28.02.2025 г. сертификат за проследяване на дървесината PEFC - Chain of custody притежават 78 сертифицирани единици.</w:t>
      </w:r>
    </w:p>
    <w:p w14:paraId="53F579AD" w14:textId="77777777" w:rsidR="004317BF" w:rsidRPr="004317BF" w:rsidRDefault="00ED5011" w:rsidP="004317BF">
      <w:pPr>
        <w:pStyle w:val="ListParagraph"/>
        <w:keepNext/>
        <w:numPr>
          <w:ilvl w:val="0"/>
          <w:numId w:val="20"/>
        </w:numPr>
        <w:spacing w:after="120"/>
        <w:ind w:hanging="357"/>
        <w:contextualSpacing w:val="0"/>
        <w:outlineLvl w:val="0"/>
        <w:rPr>
          <w:rFonts w:ascii="Arial Narrow" w:hAnsi="Arial Narrow" w:cstheme="minorBidi"/>
          <w:b/>
          <w:lang w:val="bg-BG" w:eastAsia="bg-BG"/>
        </w:rPr>
      </w:pPr>
      <w:bookmarkStart w:id="251" w:name="_Toc119489992"/>
      <w:bookmarkStart w:id="252" w:name="_Toc210747680"/>
      <w:r w:rsidRPr="004317BF">
        <w:rPr>
          <w:rFonts w:ascii="Arial Narrow" w:hAnsi="Arial Narrow" w:cstheme="minorBidi"/>
          <w:b/>
          <w:lang w:val="bg-BG" w:eastAsia="bg-BG"/>
        </w:rPr>
        <w:t>Инвентаризация и планиране в горските територии</w:t>
      </w:r>
      <w:bookmarkEnd w:id="251"/>
      <w:bookmarkEnd w:id="252"/>
      <w:r w:rsidRPr="004317BF">
        <w:rPr>
          <w:rFonts w:ascii="Arial Narrow" w:hAnsi="Arial Narrow" w:cstheme="minorBidi"/>
          <w:b/>
          <w:lang w:val="bg-BG" w:eastAsia="bg-BG"/>
        </w:rPr>
        <w:t xml:space="preserve"> </w:t>
      </w:r>
    </w:p>
    <w:p w14:paraId="0B49C030" w14:textId="77777777" w:rsidR="004317BF" w:rsidRPr="004317BF" w:rsidRDefault="004317BF" w:rsidP="004317BF">
      <w:pPr>
        <w:spacing w:after="120"/>
        <w:ind w:firstLine="709"/>
        <w:jc w:val="both"/>
        <w:rPr>
          <w:rFonts w:ascii="Arial Narrow" w:hAnsi="Arial Narrow"/>
          <w:lang w:val="bg-BG" w:eastAsia="bg-BG"/>
        </w:rPr>
      </w:pPr>
      <w:r w:rsidRPr="004317BF">
        <w:rPr>
          <w:rFonts w:ascii="Arial Narrow" w:hAnsi="Arial Narrow"/>
          <w:lang w:val="bg-BG" w:eastAsia="bg-BG"/>
        </w:rPr>
        <w:t>През 2024 г. са извършени следните по-важни дейности в тази насока:</w:t>
      </w:r>
    </w:p>
    <w:p w14:paraId="275E98DA" w14:textId="77777777" w:rsidR="004317BF" w:rsidRPr="004317BF" w:rsidRDefault="004317BF" w:rsidP="004317BF">
      <w:pPr>
        <w:numPr>
          <w:ilvl w:val="0"/>
          <w:numId w:val="17"/>
        </w:numPr>
        <w:spacing w:after="120"/>
        <w:jc w:val="both"/>
        <w:rPr>
          <w:rFonts w:ascii="Arial Narrow" w:hAnsi="Arial Narrow" w:cs="Arial Narrow"/>
          <w:bCs/>
          <w:lang w:val="bg-BG" w:eastAsia="bg-BG"/>
        </w:rPr>
      </w:pPr>
      <w:r w:rsidRPr="004317BF">
        <w:rPr>
          <w:rFonts w:ascii="Arial Narrow" w:hAnsi="Arial Narrow" w:cs="Arial Narrow"/>
          <w:bCs/>
          <w:lang w:val="bg-BG" w:eastAsia="bg-BG"/>
        </w:rPr>
        <w:t>Проведени са съвещания на комисиите за инвентаризация и планиране в горските територии по чл. 34, ал. 1 от Наредба № 18/07.10.2015 г. за извършване на инвентаризация на горските територии независимо от тяхната собственост, изработване на горскостопанска карта, ловностопански план и план за дейностите по опазване на горските територии от пожари, в района на дейност на съответното териториално поделение, както и изработване на горскостопански план за държавните горски територии, попадащи в същия район на дейност през 2024/2025 г. за териториални поделения държавни горски стопанства „Плевен“, „Брезник“, „Златоград“, „Белово“, „Етрополе“, „Своге“, „Горна Оряховица“, „Свиленград“, „Габрово“, „Генерал Тошево“, „Суворово“, „Тича“, „Добрич“, „Кипилово“ и „Рилски манастир“ за територията, собственост на „Рилска света обител“ и за териториално поделение държавно ловно стопанство ,,Каракуз“ и учебно-опитно горско стопанство „Петрохан“;</w:t>
      </w:r>
    </w:p>
    <w:p w14:paraId="731AAB80" w14:textId="77777777" w:rsidR="004317BF" w:rsidRPr="004317BF" w:rsidRDefault="004317BF" w:rsidP="004317BF">
      <w:pPr>
        <w:numPr>
          <w:ilvl w:val="0"/>
          <w:numId w:val="17"/>
        </w:numPr>
        <w:spacing w:after="120"/>
        <w:jc w:val="both"/>
        <w:rPr>
          <w:rFonts w:ascii="Arial Narrow" w:hAnsi="Arial Narrow" w:cs="Arial Narrow"/>
          <w:bCs/>
          <w:lang w:val="bg-BG" w:eastAsia="bg-BG"/>
        </w:rPr>
      </w:pPr>
      <w:r w:rsidRPr="004317BF">
        <w:rPr>
          <w:rFonts w:ascii="Arial Narrow" w:hAnsi="Arial Narrow" w:cs="Arial Narrow"/>
          <w:bCs/>
          <w:lang w:val="bg-BG" w:eastAsia="bg-BG"/>
        </w:rPr>
        <w:t xml:space="preserve">Проведени са експертни съвети за приемане на задания във връзка с предстоящата инвентаризация на горските територии независимо от тяхната собственост през 2025/26 г., изработване на горскостопанска карта, ловностопански план и план за дейностите по опазване на горските територии от пожари, в района на дейност на съответното териториално поделение, както и изработване на горскостопански план за държавните горски територии, попадащи в същия район на дейност за териториални поделения ДГС „Стара Загора“, „Монтана“ (за влятото ТП „ДГС Лом“), „Белоградчик” (заедно с ТП „ДГС Миджур“), „Оряхово”, „Гоце Делчев”, „Царево”, „Акад. Николай </w:t>
      </w:r>
      <w:r w:rsidRPr="004317BF">
        <w:rPr>
          <w:rFonts w:ascii="Arial Narrow" w:hAnsi="Arial Narrow" w:cs="Arial Narrow"/>
          <w:bCs/>
          <w:lang w:val="bg-BG" w:eastAsia="bg-BG"/>
        </w:rPr>
        <w:lastRenderedPageBreak/>
        <w:t>Хайтов” (без ТП „ДГС Чепеларе“), „Клисура” (без ТП „ДГС Розино“), „Никопол”, „Селище”, „Свищов”, „Маджарово” и за териториални поделения ДЛС „Кормисош“, „Чепино“ (за ТП “ДГС „Чехльово”), „Балчик”, „Женда” (за ТП ДГС „Кърджали”), „Шерба” (за ТП ДГС „Старо Оряхово“);</w:t>
      </w:r>
    </w:p>
    <w:p w14:paraId="61323234" w14:textId="77777777" w:rsidR="004317BF" w:rsidRPr="004317BF" w:rsidRDefault="004317BF" w:rsidP="004317BF">
      <w:pPr>
        <w:numPr>
          <w:ilvl w:val="0"/>
          <w:numId w:val="17"/>
        </w:numPr>
        <w:spacing w:after="120"/>
        <w:jc w:val="both"/>
        <w:rPr>
          <w:rFonts w:ascii="Arial Narrow" w:hAnsi="Arial Narrow" w:cs="Arial Narrow"/>
          <w:bCs/>
          <w:lang w:val="bg-BG" w:eastAsia="bg-BG"/>
        </w:rPr>
      </w:pPr>
      <w:r w:rsidRPr="004317BF">
        <w:rPr>
          <w:rFonts w:ascii="Arial Narrow" w:hAnsi="Arial Narrow" w:cs="Arial Narrow"/>
          <w:bCs/>
          <w:lang w:val="bg-BG" w:eastAsia="bg-BG"/>
        </w:rPr>
        <w:t>Одобрени са задания за извършване на инвентаризация на горските територии независимо от тяхната собственост, изработване на горскостопанска карта, ловностопански план и план за дейностите по опазване на горските територии от пожари, в района на дейност на съответното териториално поделение, както и изработване на горскостопански план за държавните горски територии, попадащи в същия район на дейност през периода 2025/26 г. за териториални поделения държавни горски стопанства „Стара Загора“, „Монтана“ (за влятото ТП ДГС „Лом“), „Белоградчик” (заедно с ТП ДГС „Миджур“), „Оряхово”, „Гоце Делчев”, „Царево”, „Акад. Николай Хайтов” (без ТП ДГС „Чепеларе“), „Клисура” (без ТП ДГС „Розино“), „Никопол”, „Селище”, „Свищов”, „Маджарово” и за териториални поделения ДЛС „Кормисош“, „Чепино“ (за ТП ДГС „Чехльово”), „Балчик”, „Женда” (за ТП ДГС „Кърджали”), „Шерба” (за ТП ДГС „Старо Оряхово“) и учебно-опитно горско стопанство „Петрохан“;</w:t>
      </w:r>
    </w:p>
    <w:p w14:paraId="5DBCD386" w14:textId="77777777" w:rsidR="004317BF" w:rsidRPr="004317BF" w:rsidRDefault="004317BF" w:rsidP="004317BF">
      <w:pPr>
        <w:numPr>
          <w:ilvl w:val="0"/>
          <w:numId w:val="17"/>
        </w:numPr>
        <w:spacing w:after="120"/>
        <w:jc w:val="both"/>
        <w:rPr>
          <w:rFonts w:ascii="Arial Narrow" w:hAnsi="Arial Narrow" w:cs="Arial Narrow"/>
          <w:bCs/>
          <w:lang w:val="bg-BG" w:eastAsia="bg-BG"/>
        </w:rPr>
      </w:pPr>
      <w:r w:rsidRPr="004317BF">
        <w:rPr>
          <w:rFonts w:ascii="Arial Narrow" w:hAnsi="Arial Narrow" w:cs="Arial Narrow"/>
          <w:bCs/>
          <w:lang w:val="bg-BG" w:eastAsia="bg-BG"/>
        </w:rPr>
        <w:t>Проведени са експертни съвети за приемане на стопанските класове и размера на годишното ползване въз основа на извършената инвентаризация на горските територии независимо от тяхната собственост и изработените горскостопански планове за 2023/24 г. за териториални поделения ДГС „Якоруда“, „Белица“, „Карлово“, „Ардино“, „Хасково“, „Карнобат“ (само за частта на влятото ТП ДГС „Сунгурларе“), „Бургас“, „Враца“, „Лесидрен“, „Ловеч“, „Ботевград“, „Самоков“, ГСУ „Боровец“ към ТП ДГС „Самоков“, „Елена“, „Тутракан“, „Провадия“, „Търговище“, „Пазарджик“, Карнобат (без влятото ТП ДГС „Сунгурларе“) и за териториални поделения ДЛС „Искър“ и „Росица“ (без ТП ДГС „Севлиево“), и ловностопански район „Трънково“ към ТП ДЛС „Мазалат“;</w:t>
      </w:r>
    </w:p>
    <w:p w14:paraId="300BA554" w14:textId="77777777" w:rsidR="004317BF" w:rsidRPr="004317BF" w:rsidRDefault="004317BF" w:rsidP="004317BF">
      <w:pPr>
        <w:numPr>
          <w:ilvl w:val="0"/>
          <w:numId w:val="17"/>
        </w:numPr>
        <w:spacing w:after="120"/>
        <w:jc w:val="both"/>
        <w:rPr>
          <w:rFonts w:ascii="Arial Narrow" w:hAnsi="Arial Narrow" w:cs="Arial Narrow"/>
          <w:bCs/>
          <w:lang w:val="bg-BG" w:eastAsia="bg-BG"/>
        </w:rPr>
      </w:pPr>
      <w:r w:rsidRPr="004317BF">
        <w:rPr>
          <w:rFonts w:ascii="Arial Narrow" w:hAnsi="Arial Narrow" w:cs="Arial Narrow"/>
          <w:bCs/>
          <w:lang w:val="bg-BG" w:eastAsia="bg-BG"/>
        </w:rPr>
        <w:t>Проведени са съвещания на комисиите по чл. 37, ал. 3 от Наредба № 18/07.10.2015 г. за инвентаризация и планиране в горските територии за приемане на извършената инвентаризация на горските територии независимо от тяхната собственост, изработване на горскостопанска карта, ловностопански план и план за дейностите по опазване на горските територии от пожари, в района на дейност на съответното териториално поделение, както и изработване на горскостопански план за държавните горски територии, попадащи в същия район на дейност през 2023/24 г. за териториални поделения ДГС „Якоруда“, „Белица“, „Карлово“, „Ардино“, „Хасково“, „Карнобат“ (само за частта на влятото ТП ДГС „Сунгурларе“), „Бургас“, „Враца“, „Лесидрен“, „Ловеч“, „Ботевград“, „Самоков“, ГСУ „Боровец“ към ТП ДГС „Самоков“, „Елена“, „Тутракан“, „Провадия“, „Търговище“, „Пазарджик“, Карнобат (без влятото ТП ДГС „Сунгурларе“) и за териториални поделения ДЛС „Искър“ и „Росица“ (без ТП ДГС „Севлиево“), и ловностопански район „Трънково“ към ТП ДЛС „Мазалат“;</w:t>
      </w:r>
    </w:p>
    <w:p w14:paraId="49D265B3" w14:textId="77777777" w:rsidR="004317BF" w:rsidRPr="004317BF" w:rsidRDefault="004317BF" w:rsidP="004317BF">
      <w:pPr>
        <w:numPr>
          <w:ilvl w:val="0"/>
          <w:numId w:val="17"/>
        </w:numPr>
        <w:spacing w:after="120"/>
        <w:jc w:val="both"/>
        <w:rPr>
          <w:rFonts w:ascii="Arial Narrow" w:hAnsi="Arial Narrow" w:cs="Arial Narrow"/>
          <w:bCs/>
          <w:lang w:val="bg-BG" w:eastAsia="bg-BG"/>
        </w:rPr>
      </w:pPr>
      <w:r w:rsidRPr="004317BF">
        <w:rPr>
          <w:rFonts w:ascii="Arial Narrow" w:hAnsi="Arial Narrow" w:cs="Arial Narrow"/>
          <w:bCs/>
          <w:lang w:val="bg-BG" w:eastAsia="bg-BG"/>
        </w:rPr>
        <w:t>Проведени са експертни съвети за приемане на протоколите от съвещания на комисиите по чл. 37, ал. 3 от Наредба № 18/07.10.2015 г. за инвентаризация и планиране в горските територии за приемане на извършената инвентаризация на горските територии независимо от тяхната собственост, изработване на горскостопанска карта, ловностопански план и план за дейностите по опазване на горските територии от пожари, в района на дейност на съответното териториално поделение, както и изработване на горскостопански план за държавните горски територии, попадащи в същия район на дейност през 2022/23 г. за териториални поделения държавни горски стопанства „Бяла“, „Сеслав“, „Ивайловград“, „Невестино“, „Разлог“, „Омуртаг“ и за териториални поделения ДЛС „Тополовград“, „Витиня“ и „Женда“ (без частта на бившето ТП ДГС „Кърджали“), 2023/24 г. - за териториално поделение ДГС „Провадия“, 2021/22 г. - за териториални поделения ДГС „Преслав“, „Клисура“ (за бившето ТП ДГС „Розино“) и „Шумен“, и за териториално поделение държавно ловно стопанство „Дунав - Русе“;</w:t>
      </w:r>
    </w:p>
    <w:p w14:paraId="27946A3B" w14:textId="77777777" w:rsidR="004317BF" w:rsidRPr="004317BF" w:rsidRDefault="004317BF" w:rsidP="004317BF">
      <w:pPr>
        <w:numPr>
          <w:ilvl w:val="0"/>
          <w:numId w:val="17"/>
        </w:numPr>
        <w:spacing w:after="120"/>
        <w:jc w:val="both"/>
        <w:rPr>
          <w:rFonts w:ascii="Arial Narrow" w:hAnsi="Arial Narrow" w:cs="Arial Narrow"/>
          <w:bCs/>
          <w:lang w:val="bg-BG" w:eastAsia="bg-BG"/>
        </w:rPr>
      </w:pPr>
      <w:r w:rsidRPr="004317BF">
        <w:rPr>
          <w:rFonts w:ascii="Arial Narrow" w:hAnsi="Arial Narrow" w:cs="Arial Narrow"/>
          <w:bCs/>
          <w:lang w:val="bg-BG" w:eastAsia="bg-BG"/>
        </w:rPr>
        <w:t xml:space="preserve">Одобрен е доклад от министъра на земеделието и храните за обектите, в които ще се извършва инвентаризация на горските територии независимо от тяхната собственост, изработване на горскостопанска карта, ловностопански план и план за дейностите по опазване на горските територии от пожари, в района на дейност на съответното териториално поделение, както и изработване на горскостопански план за държавните горски територии, попадащи в същия район </w:t>
      </w:r>
      <w:r w:rsidRPr="004317BF">
        <w:rPr>
          <w:rFonts w:ascii="Arial Narrow" w:hAnsi="Arial Narrow" w:cs="Arial Narrow"/>
          <w:bCs/>
          <w:lang w:val="bg-BG" w:eastAsia="bg-BG"/>
        </w:rPr>
        <w:lastRenderedPageBreak/>
        <w:t>на дейност през 2026/27 г. за териториални поделения държавни горски стопанства „Момчилград”, „Кирково”, „Мездра”, „Белоградчик“ (за частта на бившето ТП ДГС „Чупрене“), „Места”, „Ново Паничарево”, „Широка лъка”, „Троян“, „Борима“, „Тетевен“ (за частта на бившето ТП ДГС „Рибарица“), „Пещера”, „Дупница“, „Самоков“ (за бившето ТП ДГС „Боровец“ - инвентаризация на всички горски територии различни от държавните), „Варна“ и за териториални поделения ДЛС „Граматиково“, „Русалка - Априлци“, „Росица“ (за частта на бившето ТП ДГС „Севлиево“, както и инвентаризация на териториално поделение ДЛС „Кричим“;</w:t>
      </w:r>
    </w:p>
    <w:p w14:paraId="03BC29FC" w14:textId="77777777" w:rsidR="004317BF" w:rsidRPr="004317BF" w:rsidRDefault="004317BF" w:rsidP="004317BF">
      <w:pPr>
        <w:numPr>
          <w:ilvl w:val="0"/>
          <w:numId w:val="17"/>
        </w:numPr>
        <w:spacing w:after="120"/>
        <w:jc w:val="both"/>
        <w:rPr>
          <w:rFonts w:ascii="Arial Narrow" w:hAnsi="Arial Narrow" w:cs="Arial Narrow"/>
          <w:bCs/>
          <w:lang w:val="bg-BG" w:eastAsia="bg-BG"/>
        </w:rPr>
      </w:pPr>
      <w:r w:rsidRPr="004317BF">
        <w:rPr>
          <w:rFonts w:ascii="Arial Narrow" w:hAnsi="Arial Narrow" w:cs="Arial Narrow"/>
          <w:bCs/>
          <w:lang w:val="bg-BG" w:eastAsia="bg-BG"/>
        </w:rPr>
        <w:t>Проведен е експертен съвет за приемане на задание за изменение на горскостопански план за териториално поделение ДГС „Сливница“;</w:t>
      </w:r>
    </w:p>
    <w:p w14:paraId="64A36623" w14:textId="77777777" w:rsidR="004317BF" w:rsidRPr="004317BF" w:rsidRDefault="004317BF" w:rsidP="004317BF">
      <w:pPr>
        <w:numPr>
          <w:ilvl w:val="0"/>
          <w:numId w:val="17"/>
        </w:numPr>
        <w:spacing w:after="120"/>
        <w:jc w:val="both"/>
        <w:rPr>
          <w:rFonts w:ascii="Arial Narrow" w:hAnsi="Arial Narrow" w:cs="Arial Narrow"/>
          <w:bCs/>
          <w:lang w:val="bg-BG" w:eastAsia="bg-BG"/>
        </w:rPr>
      </w:pPr>
      <w:r w:rsidRPr="004317BF">
        <w:rPr>
          <w:rFonts w:ascii="Arial Narrow" w:hAnsi="Arial Narrow" w:cs="Arial Narrow"/>
          <w:bCs/>
          <w:lang w:val="bg-BG" w:eastAsia="bg-BG"/>
        </w:rPr>
        <w:t>Проведени са експертни съвети за изменения на горскостопански планове за териториални поделения държавни горски стопанства - „Първомай“, „Триград“, „Широка лъка“, „Пещера“ и териториално поделение ДЛС „Кормисош“;</w:t>
      </w:r>
    </w:p>
    <w:p w14:paraId="6B923264" w14:textId="77777777" w:rsidR="004317BF" w:rsidRPr="004317BF" w:rsidRDefault="004317BF" w:rsidP="004317BF">
      <w:pPr>
        <w:numPr>
          <w:ilvl w:val="0"/>
          <w:numId w:val="17"/>
        </w:numPr>
        <w:spacing w:after="120"/>
        <w:jc w:val="both"/>
        <w:rPr>
          <w:rFonts w:ascii="Arial Narrow" w:hAnsi="Arial Narrow" w:cs="Arial Narrow"/>
          <w:bCs/>
          <w:lang w:val="bg-BG" w:eastAsia="bg-BG"/>
        </w:rPr>
      </w:pPr>
      <w:r w:rsidRPr="004317BF">
        <w:rPr>
          <w:rFonts w:ascii="Arial Narrow" w:hAnsi="Arial Narrow" w:cs="Arial Narrow"/>
          <w:bCs/>
          <w:lang w:val="bg-BG" w:eastAsia="bg-BG"/>
        </w:rPr>
        <w:t>Проведен е експертен съвет за изменение на ловностопански план за териториално поделение ДГС „Мездра“;</w:t>
      </w:r>
    </w:p>
    <w:p w14:paraId="62A412D3" w14:textId="77777777" w:rsidR="004317BF" w:rsidRPr="004317BF" w:rsidRDefault="004317BF" w:rsidP="004317BF">
      <w:pPr>
        <w:numPr>
          <w:ilvl w:val="0"/>
          <w:numId w:val="17"/>
        </w:numPr>
        <w:spacing w:after="120"/>
        <w:jc w:val="both"/>
        <w:rPr>
          <w:rFonts w:ascii="Arial Narrow" w:hAnsi="Arial Narrow" w:cs="Arial Narrow"/>
          <w:bCs/>
          <w:lang w:val="bg-BG" w:eastAsia="bg-BG"/>
        </w:rPr>
      </w:pPr>
      <w:r w:rsidRPr="004317BF">
        <w:rPr>
          <w:rFonts w:ascii="Arial Narrow" w:hAnsi="Arial Narrow" w:cs="Arial Narrow"/>
          <w:bCs/>
          <w:lang w:val="bg-BG" w:eastAsia="bg-BG"/>
        </w:rPr>
        <w:t>Проведени са 8 заседания на работна група във връзка с изработване и приемане на Методика за извършване на Национална инвентаризация на горските територии;</w:t>
      </w:r>
    </w:p>
    <w:p w14:paraId="4B730317" w14:textId="77777777" w:rsidR="004317BF" w:rsidRPr="004317BF" w:rsidRDefault="004317BF" w:rsidP="004317BF">
      <w:pPr>
        <w:numPr>
          <w:ilvl w:val="0"/>
          <w:numId w:val="17"/>
        </w:numPr>
        <w:spacing w:after="120"/>
        <w:jc w:val="both"/>
        <w:rPr>
          <w:rFonts w:ascii="Arial Narrow" w:hAnsi="Arial Narrow" w:cs="Arial Narrow"/>
          <w:bCs/>
          <w:lang w:val="bg-BG" w:eastAsia="bg-BG"/>
        </w:rPr>
      </w:pPr>
      <w:r w:rsidRPr="004317BF">
        <w:rPr>
          <w:rFonts w:ascii="Arial Narrow" w:hAnsi="Arial Narrow" w:cs="Arial Narrow"/>
          <w:bCs/>
          <w:lang w:val="bg-BG" w:eastAsia="bg-BG"/>
        </w:rPr>
        <w:t>Тествана е функционалността на софтуерен продукт за тестване на цифрови модели;</w:t>
      </w:r>
    </w:p>
    <w:p w14:paraId="164A6C6A" w14:textId="77777777" w:rsidR="004317BF" w:rsidRPr="004317BF" w:rsidRDefault="004317BF" w:rsidP="004317BF">
      <w:pPr>
        <w:numPr>
          <w:ilvl w:val="0"/>
          <w:numId w:val="17"/>
        </w:numPr>
        <w:spacing w:after="120"/>
        <w:jc w:val="both"/>
        <w:rPr>
          <w:rFonts w:ascii="Arial Narrow" w:hAnsi="Arial Narrow" w:cs="Arial Narrow"/>
          <w:bCs/>
          <w:lang w:val="bg-BG" w:eastAsia="bg-BG"/>
        </w:rPr>
      </w:pPr>
      <w:r w:rsidRPr="004317BF">
        <w:rPr>
          <w:rFonts w:ascii="Arial Narrow" w:hAnsi="Arial Narrow" w:cs="Arial Narrow"/>
          <w:bCs/>
          <w:lang w:val="bg-BG" w:eastAsia="bg-BG"/>
        </w:rPr>
        <w:t>Взето е участие в разработването на проекта на ИАГ по Плана за възстановяване и устойчивост;</w:t>
      </w:r>
    </w:p>
    <w:p w14:paraId="402DD6EE" w14:textId="77777777" w:rsidR="004317BF" w:rsidRPr="004317BF" w:rsidRDefault="004317BF" w:rsidP="004317BF">
      <w:pPr>
        <w:numPr>
          <w:ilvl w:val="0"/>
          <w:numId w:val="17"/>
        </w:numPr>
        <w:spacing w:after="120"/>
        <w:jc w:val="both"/>
        <w:rPr>
          <w:rFonts w:ascii="Arial Narrow" w:hAnsi="Arial Narrow" w:cs="Arial Narrow"/>
          <w:bCs/>
          <w:lang w:val="bg-BG" w:eastAsia="bg-BG"/>
        </w:rPr>
      </w:pPr>
      <w:r w:rsidRPr="004317BF">
        <w:rPr>
          <w:rFonts w:ascii="Arial Narrow" w:hAnsi="Arial Narrow" w:cs="Arial Narrow"/>
          <w:bCs/>
          <w:lang w:val="bg-BG" w:eastAsia="bg-BG"/>
        </w:rPr>
        <w:t xml:space="preserve">Предоставена е цифровата ортофотокарта на дружествата, извършващи инвентаризация на горските територии и изработващи горскостопански планове, горскостопански карти, ловностопански планове и планове за дейностите по опазване на горските територии от пожари за периода 2024/25 г.; </w:t>
      </w:r>
    </w:p>
    <w:p w14:paraId="399B39AF" w14:textId="77777777" w:rsidR="004317BF" w:rsidRPr="004317BF" w:rsidRDefault="004317BF" w:rsidP="004317BF">
      <w:pPr>
        <w:numPr>
          <w:ilvl w:val="0"/>
          <w:numId w:val="17"/>
        </w:numPr>
        <w:spacing w:after="120"/>
        <w:jc w:val="both"/>
        <w:rPr>
          <w:rFonts w:ascii="Arial Narrow" w:hAnsi="Arial Narrow" w:cs="Arial Narrow"/>
          <w:bCs/>
          <w:lang w:val="bg-BG" w:eastAsia="bg-BG"/>
        </w:rPr>
      </w:pPr>
      <w:r w:rsidRPr="004317BF">
        <w:rPr>
          <w:rFonts w:ascii="Arial Narrow" w:hAnsi="Arial Narrow" w:cs="Arial Narrow"/>
          <w:bCs/>
          <w:lang w:val="bg-BG" w:eastAsia="bg-BG"/>
        </w:rPr>
        <w:t xml:space="preserve">Осигурен е цифров модел на картата на възстановената собственост и на кадастралната карта за териториалния обхват на дейност на държавните горски и ловни стопанства, подлежащи на инвентаризация и горскостопанско планиране през 2024/25 г.;  </w:t>
      </w:r>
    </w:p>
    <w:p w14:paraId="1300C485" w14:textId="77777777" w:rsidR="004317BF" w:rsidRPr="004317BF" w:rsidRDefault="004317BF" w:rsidP="004317BF">
      <w:pPr>
        <w:numPr>
          <w:ilvl w:val="0"/>
          <w:numId w:val="17"/>
        </w:numPr>
        <w:spacing w:after="120"/>
        <w:jc w:val="both"/>
        <w:rPr>
          <w:rFonts w:ascii="Arial Narrow" w:hAnsi="Arial Narrow" w:cs="Arial Narrow"/>
          <w:bCs/>
          <w:lang w:val="bg-BG" w:eastAsia="bg-BG"/>
        </w:rPr>
      </w:pPr>
      <w:r w:rsidRPr="004317BF">
        <w:rPr>
          <w:rFonts w:ascii="Arial Narrow" w:hAnsi="Arial Narrow" w:cs="Arial Narrow"/>
          <w:bCs/>
          <w:lang w:val="bg-BG" w:eastAsia="bg-BG"/>
        </w:rPr>
        <w:t>Издадена е 1 заповед по чл. 83, ал. 7 от ЗГ, с включени в горските територии на 0,95 ха и  8 заповеди по реда на § 17 от ПЗР към ЗИД на ЗОЗЗ с включени в държавните горски територии на 152,8 ха;</w:t>
      </w:r>
    </w:p>
    <w:p w14:paraId="1F7FE2E8" w14:textId="77777777" w:rsidR="004317BF" w:rsidRPr="004317BF" w:rsidRDefault="004317BF" w:rsidP="004317BF">
      <w:pPr>
        <w:numPr>
          <w:ilvl w:val="0"/>
          <w:numId w:val="17"/>
        </w:numPr>
        <w:spacing w:after="120"/>
        <w:jc w:val="both"/>
        <w:rPr>
          <w:rFonts w:ascii="Arial Narrow" w:hAnsi="Arial Narrow" w:cs="Arial Narrow"/>
          <w:bCs/>
          <w:lang w:val="bg-BG" w:eastAsia="bg-BG"/>
        </w:rPr>
      </w:pPr>
      <w:r w:rsidRPr="004317BF">
        <w:rPr>
          <w:rFonts w:ascii="Arial Narrow" w:hAnsi="Arial Narrow" w:cs="Arial Narrow"/>
          <w:bCs/>
          <w:lang w:val="bg-BG" w:eastAsia="bg-BG"/>
        </w:rPr>
        <w:t>Извършени са 8 проверки на учебни форми по Наредбата за условията и реда за придобиване на правоспособност за работа със земеделска и горска техника, като са издадени удостоверения на учебните форми.</w:t>
      </w:r>
    </w:p>
    <w:p w14:paraId="0830A7CA" w14:textId="77777777" w:rsidR="004317BF" w:rsidRPr="004317BF" w:rsidRDefault="00ED5011" w:rsidP="004317BF">
      <w:pPr>
        <w:pStyle w:val="ListParagraph"/>
        <w:widowControl w:val="0"/>
        <w:numPr>
          <w:ilvl w:val="0"/>
          <w:numId w:val="20"/>
        </w:numPr>
        <w:spacing w:after="120"/>
        <w:ind w:hanging="357"/>
        <w:contextualSpacing w:val="0"/>
        <w:outlineLvl w:val="0"/>
        <w:rPr>
          <w:rFonts w:ascii="Arial Narrow" w:hAnsi="Arial Narrow" w:cstheme="minorBidi"/>
          <w:b/>
          <w:lang w:val="bg-BG" w:eastAsia="bg-BG"/>
        </w:rPr>
      </w:pPr>
      <w:bookmarkStart w:id="253" w:name="_Toc119489993"/>
      <w:bookmarkStart w:id="254" w:name="_Toc210747681"/>
      <w:r w:rsidRPr="004317BF">
        <w:rPr>
          <w:rFonts w:ascii="Arial Narrow" w:hAnsi="Arial Narrow" w:cstheme="minorBidi"/>
          <w:b/>
          <w:lang w:val="bg-BG" w:eastAsia="bg-BG"/>
        </w:rPr>
        <w:t>Ловно стопанство</w:t>
      </w:r>
      <w:bookmarkEnd w:id="253"/>
      <w:bookmarkEnd w:id="254"/>
    </w:p>
    <w:p w14:paraId="4DA1AB20" w14:textId="77777777" w:rsidR="004317BF" w:rsidRPr="004317BF" w:rsidRDefault="004317BF" w:rsidP="004317BF">
      <w:pPr>
        <w:widowControl w:val="0"/>
        <w:spacing w:after="120"/>
        <w:ind w:firstLine="709"/>
        <w:jc w:val="both"/>
        <w:rPr>
          <w:rFonts w:ascii="Arial Narrow" w:hAnsi="Arial Narrow"/>
          <w:lang w:val="bg-BG" w:eastAsia="bg-BG"/>
        </w:rPr>
      </w:pPr>
      <w:r w:rsidRPr="004317BF">
        <w:rPr>
          <w:rFonts w:ascii="Arial Narrow" w:hAnsi="Arial Narrow"/>
          <w:lang w:val="bg-BG" w:eastAsia="bg-BG"/>
        </w:rPr>
        <w:t>През 2024 г. са извършени следните по-важни дейности с участието на ИАГ, свързани със стопанисването и ползването на дивеча в страната:</w:t>
      </w:r>
    </w:p>
    <w:p w14:paraId="4E2ED40C" w14:textId="77777777" w:rsidR="004317BF" w:rsidRPr="004317BF" w:rsidRDefault="004317BF" w:rsidP="004317BF">
      <w:pPr>
        <w:numPr>
          <w:ilvl w:val="0"/>
          <w:numId w:val="17"/>
        </w:numPr>
        <w:spacing w:after="120"/>
        <w:jc w:val="both"/>
        <w:rPr>
          <w:rFonts w:ascii="Arial Narrow" w:hAnsi="Arial Narrow" w:cs="Arial Narrow"/>
          <w:bCs/>
          <w:lang w:val="bg-BG" w:eastAsia="bg-BG"/>
        </w:rPr>
      </w:pPr>
      <w:r w:rsidRPr="004317BF">
        <w:rPr>
          <w:rFonts w:ascii="Arial Narrow" w:hAnsi="Arial Narrow" w:cs="Arial Narrow"/>
          <w:bCs/>
          <w:lang w:val="bg-BG" w:eastAsia="bg-BG"/>
        </w:rPr>
        <w:t>Взето е участие в изработването на проекти за изменение на нормативни актове в областта - ППЗЛОД; Тарифата на таксите, които се събират по ЗЛОД; Наредба № 6 от 2007 г. за условията и реда за пасищно отглеждане на свине от източнобалканската порода и нейните кръстоски;</w:t>
      </w:r>
    </w:p>
    <w:p w14:paraId="7589C000" w14:textId="77777777" w:rsidR="004317BF" w:rsidRPr="004317BF" w:rsidRDefault="004317BF" w:rsidP="004317BF">
      <w:pPr>
        <w:numPr>
          <w:ilvl w:val="0"/>
          <w:numId w:val="17"/>
        </w:numPr>
        <w:spacing w:after="120"/>
        <w:jc w:val="both"/>
        <w:rPr>
          <w:rFonts w:ascii="Arial Narrow" w:hAnsi="Arial Narrow" w:cs="Arial Narrow"/>
          <w:bCs/>
          <w:lang w:val="bg-BG" w:eastAsia="bg-BG"/>
        </w:rPr>
      </w:pPr>
      <w:r w:rsidRPr="004317BF">
        <w:rPr>
          <w:rFonts w:ascii="Arial Narrow" w:hAnsi="Arial Narrow" w:cs="Arial Narrow"/>
          <w:bCs/>
          <w:lang w:val="bg-BG" w:eastAsia="bg-BG"/>
        </w:rPr>
        <w:t>Взето е участие в главен одит на Европейската комисия по отношение мерките за борба с Африканската чума по дивата свиня;</w:t>
      </w:r>
    </w:p>
    <w:p w14:paraId="4097B291" w14:textId="77777777" w:rsidR="004317BF" w:rsidRPr="004317BF" w:rsidRDefault="004317BF" w:rsidP="004317BF">
      <w:pPr>
        <w:numPr>
          <w:ilvl w:val="0"/>
          <w:numId w:val="17"/>
        </w:numPr>
        <w:spacing w:after="120"/>
        <w:jc w:val="both"/>
        <w:rPr>
          <w:rFonts w:ascii="Arial Narrow" w:hAnsi="Arial Narrow" w:cs="Arial Narrow"/>
          <w:bCs/>
          <w:lang w:val="bg-BG" w:eastAsia="bg-BG"/>
        </w:rPr>
      </w:pPr>
      <w:r w:rsidRPr="004317BF">
        <w:rPr>
          <w:rFonts w:ascii="Arial Narrow" w:hAnsi="Arial Narrow" w:cs="Arial Narrow"/>
          <w:bCs/>
          <w:lang w:val="bg-BG" w:eastAsia="bg-BG"/>
        </w:rPr>
        <w:t>Предоставена е информация във връзка с одит за установяване на фактите в България от Дирекция F, ГД „Здравеопазване и безопасност на храните“ ЕК, с цел установяване на добри практики и пропуски в политическите действия по подхода „Едно здраве“, за да се намалят потенциалните рискове за животните, околната среда и хората от болестта инфлуенца по птиците;</w:t>
      </w:r>
    </w:p>
    <w:p w14:paraId="16AA342D" w14:textId="77777777" w:rsidR="004317BF" w:rsidRPr="004317BF" w:rsidRDefault="004317BF" w:rsidP="004317BF">
      <w:pPr>
        <w:numPr>
          <w:ilvl w:val="0"/>
          <w:numId w:val="17"/>
        </w:numPr>
        <w:spacing w:after="120"/>
        <w:jc w:val="both"/>
        <w:rPr>
          <w:rFonts w:ascii="Arial Narrow" w:hAnsi="Arial Narrow" w:cs="Arial Narrow"/>
          <w:bCs/>
          <w:lang w:val="bg-BG" w:eastAsia="bg-BG"/>
        </w:rPr>
      </w:pPr>
      <w:r w:rsidRPr="004317BF">
        <w:rPr>
          <w:rFonts w:ascii="Arial Narrow" w:hAnsi="Arial Narrow" w:cs="Arial Narrow"/>
          <w:bCs/>
          <w:lang w:val="bg-BG" w:eastAsia="bg-BG"/>
        </w:rPr>
        <w:t>Взето е участие в работата на междуведомствени работни групи по отношение: опазването на вида кафява мечка; превенция на бракониерските прояви и използването на оловни сачми във влажните зони; бъдещото стопанисване и ползване балканска дива коза;</w:t>
      </w:r>
    </w:p>
    <w:p w14:paraId="1AA07179" w14:textId="77777777" w:rsidR="004317BF" w:rsidRPr="004317BF" w:rsidRDefault="004317BF" w:rsidP="004317BF">
      <w:pPr>
        <w:numPr>
          <w:ilvl w:val="0"/>
          <w:numId w:val="17"/>
        </w:numPr>
        <w:spacing w:after="120"/>
        <w:jc w:val="both"/>
        <w:rPr>
          <w:rFonts w:ascii="Arial Narrow" w:hAnsi="Arial Narrow" w:cs="Arial Narrow"/>
          <w:bCs/>
          <w:lang w:val="bg-BG" w:eastAsia="bg-BG"/>
        </w:rPr>
      </w:pPr>
      <w:r w:rsidRPr="004317BF">
        <w:rPr>
          <w:rFonts w:ascii="Arial Narrow" w:hAnsi="Arial Narrow" w:cs="Arial Narrow"/>
          <w:bCs/>
          <w:lang w:val="bg-BG" w:eastAsia="bg-BG"/>
        </w:rPr>
        <w:lastRenderedPageBreak/>
        <w:t>Проведена е среща с Изпълнителна агенция околна среда за предстоящия мониторинг и пробосъбиране, за определяне числеността на мечката в България;</w:t>
      </w:r>
    </w:p>
    <w:p w14:paraId="182E019B" w14:textId="77777777" w:rsidR="004317BF" w:rsidRPr="004317BF" w:rsidRDefault="004317BF" w:rsidP="004317BF">
      <w:pPr>
        <w:numPr>
          <w:ilvl w:val="0"/>
          <w:numId w:val="17"/>
        </w:numPr>
        <w:spacing w:after="120"/>
        <w:jc w:val="both"/>
        <w:rPr>
          <w:rFonts w:ascii="Arial Narrow" w:hAnsi="Arial Narrow" w:cs="Arial Narrow"/>
          <w:bCs/>
          <w:lang w:val="bg-BG" w:eastAsia="bg-BG"/>
        </w:rPr>
      </w:pPr>
      <w:r w:rsidRPr="004317BF">
        <w:rPr>
          <w:rFonts w:ascii="Arial Narrow" w:hAnsi="Arial Narrow" w:cs="Arial Narrow"/>
          <w:bCs/>
          <w:lang w:val="bg-BG" w:eastAsia="bg-BG"/>
        </w:rPr>
        <w:t xml:space="preserve">Проведени са заседания на Ловния съвет към ИАГ; </w:t>
      </w:r>
    </w:p>
    <w:p w14:paraId="38005833" w14:textId="77777777" w:rsidR="004317BF" w:rsidRPr="004317BF" w:rsidRDefault="004317BF" w:rsidP="004317BF">
      <w:pPr>
        <w:numPr>
          <w:ilvl w:val="0"/>
          <w:numId w:val="17"/>
        </w:numPr>
        <w:spacing w:after="120"/>
        <w:jc w:val="both"/>
        <w:rPr>
          <w:rFonts w:ascii="Arial Narrow" w:hAnsi="Arial Narrow" w:cs="Arial Narrow"/>
          <w:bCs/>
          <w:lang w:val="bg-BG" w:eastAsia="bg-BG"/>
        </w:rPr>
      </w:pPr>
      <w:r w:rsidRPr="004317BF">
        <w:rPr>
          <w:rFonts w:ascii="Arial Narrow" w:hAnsi="Arial Narrow" w:cs="Arial Narrow"/>
          <w:bCs/>
          <w:lang w:val="bg-BG" w:eastAsia="bg-BG"/>
        </w:rPr>
        <w:t>Взето е участие в Национални съвещания организирани от НЛРС - СЛРБ в гр. Пловдив и гр. Плевен;</w:t>
      </w:r>
    </w:p>
    <w:p w14:paraId="00445B8C" w14:textId="77777777" w:rsidR="004317BF" w:rsidRPr="004317BF" w:rsidRDefault="004317BF" w:rsidP="004317BF">
      <w:pPr>
        <w:numPr>
          <w:ilvl w:val="0"/>
          <w:numId w:val="17"/>
        </w:numPr>
        <w:spacing w:after="120"/>
        <w:jc w:val="both"/>
        <w:rPr>
          <w:rFonts w:ascii="Arial Narrow" w:hAnsi="Arial Narrow" w:cs="Arial Narrow"/>
          <w:bCs/>
          <w:lang w:val="bg-BG" w:eastAsia="bg-BG"/>
        </w:rPr>
      </w:pPr>
      <w:r w:rsidRPr="004317BF">
        <w:rPr>
          <w:rFonts w:ascii="Arial Narrow" w:hAnsi="Arial Narrow" w:cs="Arial Narrow"/>
          <w:bCs/>
          <w:lang w:val="bg-BG" w:eastAsia="bg-BG"/>
        </w:rPr>
        <w:t>Взето е участие в международни ловни изложения в гр. Дортмунд - Германия, гр. Залцбург - Австрия и гр. Вараждин - Хърватия;</w:t>
      </w:r>
    </w:p>
    <w:p w14:paraId="5978B41E" w14:textId="77777777" w:rsidR="004317BF" w:rsidRPr="004317BF" w:rsidRDefault="004317BF" w:rsidP="004317BF">
      <w:pPr>
        <w:numPr>
          <w:ilvl w:val="0"/>
          <w:numId w:val="17"/>
        </w:numPr>
        <w:spacing w:after="120"/>
        <w:jc w:val="both"/>
        <w:rPr>
          <w:rFonts w:ascii="Arial Narrow" w:hAnsi="Arial Narrow" w:cs="Arial Narrow"/>
          <w:bCs/>
          <w:lang w:val="bg-BG" w:eastAsia="bg-BG"/>
        </w:rPr>
      </w:pPr>
      <w:r w:rsidRPr="004317BF">
        <w:rPr>
          <w:rFonts w:ascii="Arial Narrow" w:hAnsi="Arial Narrow" w:cs="Arial Narrow"/>
          <w:bCs/>
          <w:lang w:val="bg-BG" w:eastAsia="bg-BG"/>
        </w:rPr>
        <w:t>Организирано е изложение „Природа, лов, риболов“ - 2024 г., в гр. Пловдив;</w:t>
      </w:r>
    </w:p>
    <w:p w14:paraId="06A2CDD4" w14:textId="77777777" w:rsidR="004317BF" w:rsidRPr="004317BF" w:rsidRDefault="004317BF" w:rsidP="004317BF">
      <w:pPr>
        <w:numPr>
          <w:ilvl w:val="0"/>
          <w:numId w:val="17"/>
        </w:numPr>
        <w:spacing w:after="120"/>
        <w:jc w:val="both"/>
        <w:rPr>
          <w:rFonts w:ascii="Arial Narrow" w:hAnsi="Arial Narrow" w:cs="Arial Narrow"/>
          <w:bCs/>
          <w:lang w:val="bg-BG" w:eastAsia="bg-BG"/>
        </w:rPr>
      </w:pPr>
      <w:r w:rsidRPr="004317BF">
        <w:rPr>
          <w:rFonts w:ascii="Arial Narrow" w:hAnsi="Arial Narrow" w:cs="Arial Narrow"/>
          <w:bCs/>
          <w:lang w:val="bg-BG" w:eastAsia="bg-BG"/>
        </w:rPr>
        <w:t>Взето е участие в конференция на Динарско Балканска – Пиндовска платформа за управление на едрите хищници, провела се в гр. София;</w:t>
      </w:r>
    </w:p>
    <w:p w14:paraId="2EBEE13C" w14:textId="77777777" w:rsidR="004317BF" w:rsidRPr="004317BF" w:rsidRDefault="004317BF" w:rsidP="004317BF">
      <w:pPr>
        <w:numPr>
          <w:ilvl w:val="0"/>
          <w:numId w:val="17"/>
        </w:numPr>
        <w:spacing w:after="120"/>
        <w:jc w:val="both"/>
        <w:rPr>
          <w:rFonts w:ascii="Arial Narrow" w:hAnsi="Arial Narrow" w:cs="Arial Narrow"/>
          <w:bCs/>
          <w:lang w:val="bg-BG" w:eastAsia="bg-BG"/>
        </w:rPr>
      </w:pPr>
      <w:r w:rsidRPr="004317BF">
        <w:rPr>
          <w:rFonts w:ascii="Arial Narrow" w:hAnsi="Arial Narrow" w:cs="Arial Narrow"/>
          <w:bCs/>
          <w:lang w:val="bg-BG" w:eastAsia="bg-BG"/>
        </w:rPr>
        <w:t xml:space="preserve">Водена е кореспонденция във връзка с продължаване на дейностите по мониторинг по „Методика за наблюдение на гургулицата и пъдпъдъка и прилагането </w:t>
      </w:r>
      <w:r w:rsidRPr="004317BF">
        <w:rPr>
          <w:rFonts w:ascii="Bahnschrift Light SemiCondensed" w:hAnsi="Bahnschrift Light SemiCondensed" w:cs="Calibri"/>
          <w:bCs/>
          <w:lang w:val="bg-BG" w:eastAsia="bg-BG"/>
        </w:rPr>
        <w:t>ѝ</w:t>
      </w:r>
      <w:r w:rsidRPr="004317BF">
        <w:rPr>
          <w:rFonts w:ascii="Arial Narrow" w:hAnsi="Arial Narrow" w:cs="Arial Narrow"/>
          <w:bCs/>
          <w:lang w:val="bg-BG" w:eastAsia="bg-BG"/>
        </w:rPr>
        <w:t xml:space="preserve"> на територията на Република България“;</w:t>
      </w:r>
    </w:p>
    <w:p w14:paraId="6BD37C82" w14:textId="77777777" w:rsidR="004317BF" w:rsidRPr="004317BF" w:rsidRDefault="004317BF" w:rsidP="004317BF">
      <w:pPr>
        <w:numPr>
          <w:ilvl w:val="0"/>
          <w:numId w:val="17"/>
        </w:numPr>
        <w:spacing w:after="120"/>
        <w:jc w:val="both"/>
        <w:rPr>
          <w:rFonts w:ascii="Arial Narrow" w:hAnsi="Arial Narrow" w:cs="Arial Narrow"/>
          <w:bCs/>
          <w:lang w:val="bg-BG" w:eastAsia="bg-BG"/>
        </w:rPr>
      </w:pPr>
      <w:r w:rsidRPr="004317BF">
        <w:rPr>
          <w:rFonts w:ascii="Arial Narrow" w:hAnsi="Arial Narrow" w:cs="Arial Narrow"/>
          <w:bCs/>
          <w:lang w:val="bg-BG" w:eastAsia="bg-BG"/>
        </w:rPr>
        <w:t>Проведени са съвместни обучения с РДГ и БАБХ сред ловците, относно ограничаване разпространението на африканската чума по свинете, болестта инфлуенца по птиците, както и спазване на мерките за биосигурност с цел ограничаване разпространението им;</w:t>
      </w:r>
    </w:p>
    <w:p w14:paraId="2B5C6C88" w14:textId="77777777" w:rsidR="004317BF" w:rsidRPr="004317BF" w:rsidRDefault="004317BF" w:rsidP="004317BF">
      <w:pPr>
        <w:numPr>
          <w:ilvl w:val="0"/>
          <w:numId w:val="17"/>
        </w:numPr>
        <w:spacing w:after="120"/>
        <w:jc w:val="both"/>
        <w:rPr>
          <w:rFonts w:ascii="Arial Narrow" w:hAnsi="Arial Narrow" w:cs="Arial Narrow"/>
          <w:bCs/>
          <w:lang w:val="bg-BG" w:eastAsia="bg-BG"/>
        </w:rPr>
      </w:pPr>
      <w:r w:rsidRPr="004317BF">
        <w:rPr>
          <w:rFonts w:ascii="Arial Narrow" w:hAnsi="Arial Narrow" w:cs="Arial Narrow"/>
          <w:bCs/>
          <w:lang w:val="bg-BG" w:eastAsia="bg-BG"/>
        </w:rPr>
        <w:t>Проведени са проверки, свързани с изпълнението на договори, с които се предоставя стопанисването и ползването на дивеча на ловните сдружения, договори в отдадените дивечовъдни участъци към ДГС и договори за съвместна ловностопанска дейност в държавни ловни стопанства;</w:t>
      </w:r>
    </w:p>
    <w:p w14:paraId="13BC6710" w14:textId="77777777" w:rsidR="004317BF" w:rsidRPr="004317BF" w:rsidRDefault="004317BF" w:rsidP="004317BF">
      <w:pPr>
        <w:numPr>
          <w:ilvl w:val="0"/>
          <w:numId w:val="17"/>
        </w:numPr>
        <w:spacing w:after="120"/>
        <w:jc w:val="both"/>
        <w:rPr>
          <w:rFonts w:ascii="Arial Narrow" w:hAnsi="Arial Narrow" w:cs="Arial Narrow"/>
          <w:bCs/>
          <w:lang w:val="bg-BG" w:eastAsia="bg-BG"/>
        </w:rPr>
      </w:pPr>
      <w:r w:rsidRPr="004317BF">
        <w:rPr>
          <w:rFonts w:ascii="Arial Narrow" w:hAnsi="Arial Narrow" w:cs="Arial Narrow"/>
          <w:bCs/>
          <w:lang w:val="bg-BG" w:eastAsia="bg-BG"/>
        </w:rPr>
        <w:t>Извършени са проверки на ферми за производство на дивеч за разселване;</w:t>
      </w:r>
    </w:p>
    <w:p w14:paraId="3DCA997E" w14:textId="77777777" w:rsidR="004317BF" w:rsidRPr="004317BF" w:rsidRDefault="004317BF" w:rsidP="004317BF">
      <w:pPr>
        <w:numPr>
          <w:ilvl w:val="0"/>
          <w:numId w:val="17"/>
        </w:numPr>
        <w:spacing w:after="120"/>
        <w:jc w:val="both"/>
        <w:rPr>
          <w:rFonts w:ascii="Arial Narrow" w:hAnsi="Arial Narrow" w:cs="Arial Narrow"/>
          <w:bCs/>
          <w:lang w:val="bg-BG" w:eastAsia="bg-BG"/>
        </w:rPr>
      </w:pPr>
      <w:r w:rsidRPr="004317BF">
        <w:rPr>
          <w:rFonts w:ascii="Arial Narrow" w:hAnsi="Arial Narrow" w:cs="Arial Narrow"/>
          <w:bCs/>
          <w:lang w:val="bg-BG" w:eastAsia="bg-BG"/>
        </w:rPr>
        <w:t xml:space="preserve">Извършени са проверки на изпитите за придобиване право на лов в ловните сдружения; </w:t>
      </w:r>
    </w:p>
    <w:p w14:paraId="206F57F5" w14:textId="77777777" w:rsidR="004317BF" w:rsidRPr="004317BF" w:rsidRDefault="004317BF" w:rsidP="004317BF">
      <w:pPr>
        <w:numPr>
          <w:ilvl w:val="0"/>
          <w:numId w:val="17"/>
        </w:numPr>
        <w:spacing w:after="120"/>
        <w:jc w:val="both"/>
        <w:rPr>
          <w:rFonts w:ascii="Arial Narrow" w:hAnsi="Arial Narrow" w:cs="Arial Narrow"/>
          <w:bCs/>
          <w:color w:val="FF0000"/>
          <w:lang w:val="bg-BG" w:eastAsia="bg-BG"/>
        </w:rPr>
      </w:pPr>
      <w:r w:rsidRPr="004317BF">
        <w:rPr>
          <w:rFonts w:ascii="Arial Narrow" w:hAnsi="Arial Narrow" w:cs="Arial Narrow"/>
          <w:bCs/>
          <w:lang w:val="bg-BG" w:eastAsia="bg-BG"/>
        </w:rPr>
        <w:t>Издадени са разрешителни за научно-изследователска дейност, разрешения за ползване на глухар, разрешителни за дерогация на кафява мечка, разрешителни за улавяне и преместване и отказ за издаване на разрешително за отстрел.</w:t>
      </w:r>
    </w:p>
    <w:p w14:paraId="6A8E1C08" w14:textId="77777777" w:rsidR="004317BF" w:rsidRPr="004317BF" w:rsidRDefault="004317BF" w:rsidP="004317BF">
      <w:pPr>
        <w:numPr>
          <w:ilvl w:val="0"/>
          <w:numId w:val="17"/>
        </w:numPr>
        <w:spacing w:after="120"/>
        <w:jc w:val="both"/>
        <w:rPr>
          <w:rFonts w:ascii="Arial Narrow" w:hAnsi="Arial Narrow" w:cs="Arial Narrow"/>
          <w:bCs/>
          <w:lang w:val="bg-BG" w:eastAsia="bg-BG"/>
        </w:rPr>
      </w:pPr>
      <w:r w:rsidRPr="004317BF">
        <w:rPr>
          <w:rFonts w:ascii="Arial Narrow" w:hAnsi="Arial Narrow" w:cs="Arial Narrow"/>
          <w:bCs/>
          <w:lang w:val="bg-BG" w:eastAsia="bg-BG"/>
        </w:rPr>
        <w:t>Категоризирани са ловни бази в ДЛС, ДГС и ДУ;</w:t>
      </w:r>
    </w:p>
    <w:p w14:paraId="68D64A6D" w14:textId="77777777" w:rsidR="004317BF" w:rsidRPr="004317BF" w:rsidRDefault="004317BF" w:rsidP="004317BF">
      <w:pPr>
        <w:spacing w:after="120"/>
        <w:ind w:firstLine="709"/>
        <w:jc w:val="both"/>
        <w:rPr>
          <w:rFonts w:ascii="Arial Narrow" w:hAnsi="Arial Narrow"/>
          <w:lang w:val="bg-BG" w:eastAsia="bg-BG"/>
        </w:rPr>
      </w:pPr>
      <w:r w:rsidRPr="004317BF">
        <w:rPr>
          <w:rFonts w:ascii="Arial Narrow" w:hAnsi="Arial Narrow"/>
          <w:lang w:val="bg-BG" w:eastAsia="bg-BG"/>
        </w:rPr>
        <w:t>Общите приходи от ловностопанската дейност в горските територии - държавна собственост, отчетени през 2024 г., са в размер на 11,6 млн. лева, което е с 1,4 млн. лева повече в сравнение с 2023 г. Приходите от организиран ловен и друг вид туризъм са в размер на 5,9 млн. лева, с 694 хил. лева над нивото от предходната година. Приходите от сключени договори по ЗЛОД под формата на годишни вноски за стопанисване на дивеча в дивечовъдните участъци и на годишни наемни цени на бази за ловен туризъм на ДГС възлизат на 4,47 млн. лева, като е налице увеличение с 650 хил. лева спрямо 2023 г. За изпълнение на предвидените ловностопански и рибностопански мероприятия през годината са изразходени 18,3 млн. лева.</w:t>
      </w:r>
    </w:p>
    <w:p w14:paraId="7FF22A89" w14:textId="77777777" w:rsidR="004317BF" w:rsidRDefault="004317BF" w:rsidP="004317BF">
      <w:pPr>
        <w:widowControl w:val="0"/>
        <w:spacing w:after="120"/>
        <w:ind w:firstLine="709"/>
        <w:jc w:val="both"/>
        <w:rPr>
          <w:rFonts w:ascii="Arial Narrow" w:hAnsi="Arial Narrow"/>
          <w:color w:val="FF0000"/>
          <w:lang w:val="bg-BG" w:eastAsia="bg-BG"/>
        </w:rPr>
      </w:pPr>
      <w:r w:rsidRPr="004317BF">
        <w:t xml:space="preserve"> </w:t>
      </w:r>
      <w:r w:rsidRPr="004317BF">
        <w:rPr>
          <w:rFonts w:ascii="Arial Narrow" w:hAnsi="Arial Narrow"/>
          <w:lang w:val="bg-BG" w:eastAsia="bg-BG"/>
        </w:rPr>
        <w:t>През 2025 г. ДП планират приходи от ловно и рибно стопанска дейност и друг вид туризъм в размер на 11 749 хил. лева и разходи в размер на 17 991 хил. лева.</w:t>
      </w:r>
    </w:p>
    <w:p w14:paraId="0856BC0A" w14:textId="77777777" w:rsidR="00AA79E0" w:rsidRPr="00AA79E0" w:rsidRDefault="00ED5011" w:rsidP="00AA79E0">
      <w:pPr>
        <w:pStyle w:val="ListParagraph"/>
        <w:keepNext/>
        <w:numPr>
          <w:ilvl w:val="0"/>
          <w:numId w:val="20"/>
        </w:numPr>
        <w:spacing w:after="120"/>
        <w:ind w:hanging="357"/>
        <w:contextualSpacing w:val="0"/>
        <w:outlineLvl w:val="0"/>
        <w:rPr>
          <w:rFonts w:ascii="Arial Narrow" w:hAnsi="Arial Narrow" w:cstheme="minorBidi"/>
          <w:b/>
          <w:lang w:val="bg-BG" w:eastAsia="bg-BG"/>
        </w:rPr>
      </w:pPr>
      <w:bookmarkStart w:id="255" w:name="_Toc119489994"/>
      <w:bookmarkStart w:id="256" w:name="_Toc210747682"/>
      <w:r w:rsidRPr="00AA79E0">
        <w:rPr>
          <w:rFonts w:ascii="Arial Narrow" w:hAnsi="Arial Narrow" w:cstheme="minorBidi"/>
          <w:b/>
          <w:lang w:val="bg-BG" w:eastAsia="bg-BG"/>
        </w:rPr>
        <w:t>Опазване на горските територии и контрол</w:t>
      </w:r>
      <w:bookmarkEnd w:id="255"/>
      <w:bookmarkEnd w:id="256"/>
    </w:p>
    <w:p w14:paraId="02787F43" w14:textId="77777777" w:rsidR="00AA79E0" w:rsidRPr="00AA79E0" w:rsidRDefault="00AA79E0" w:rsidP="00AA79E0">
      <w:pPr>
        <w:spacing w:after="120"/>
        <w:ind w:firstLine="709"/>
        <w:jc w:val="both"/>
        <w:rPr>
          <w:rFonts w:ascii="Arial Narrow" w:hAnsi="Arial Narrow"/>
          <w:color w:val="FF0000"/>
          <w:lang w:val="bg-BG" w:eastAsia="bg-BG"/>
        </w:rPr>
      </w:pPr>
      <w:r w:rsidRPr="00AA79E0">
        <w:rPr>
          <w:rFonts w:ascii="Arial Narrow" w:hAnsi="Arial Narrow"/>
          <w:lang w:val="bg-BG" w:eastAsia="bg-BG"/>
        </w:rPr>
        <w:t>През 2024 г. служителите на РДГ и ДП по чл. 163 от ЗГ са извършили общо 646 682 проверки, в т. ч. на: 133 479 обекта за добив на дървесина, 27 475 обекта по чл. 206 от ЗГ, 174 733 превозни средства, 143 172 ловци, 15 625 риболовци, 144 335 други лица, 3 050 проверки за добив на трюфели, 3 207 проверки по изпълнение на дейностите по опазване на горските територии и 1 606 други проверки.</w:t>
      </w:r>
    </w:p>
    <w:p w14:paraId="63B6E695" w14:textId="77777777" w:rsidR="00AA79E0" w:rsidRPr="00AA79E0" w:rsidRDefault="00AA79E0" w:rsidP="00AA79E0">
      <w:pPr>
        <w:widowControl w:val="0"/>
        <w:spacing w:after="120"/>
        <w:ind w:firstLine="709"/>
        <w:jc w:val="both"/>
        <w:rPr>
          <w:rFonts w:ascii="Arial Narrow" w:hAnsi="Arial Narrow"/>
          <w:lang w:val="bg-BG" w:eastAsia="bg-BG"/>
        </w:rPr>
      </w:pPr>
      <w:r w:rsidRPr="00AA79E0">
        <w:rPr>
          <w:rFonts w:ascii="Arial Narrow" w:hAnsi="Arial Narrow"/>
          <w:lang w:val="bg-BG" w:eastAsia="bg-BG"/>
        </w:rPr>
        <w:t>Извършени са проверки на постъпващата дървесина в обектите по чл. 206 от ЗГ, които преработват над 20 000 куб. м дървесина годишно, както и проверки на издадени превозни билети извън горски територии.</w:t>
      </w:r>
    </w:p>
    <w:p w14:paraId="7AB8D9A3" w14:textId="77777777" w:rsidR="00AA79E0" w:rsidRPr="00AA79E0" w:rsidRDefault="00AA79E0" w:rsidP="00AA79E0">
      <w:pPr>
        <w:widowControl w:val="0"/>
        <w:spacing w:after="120"/>
        <w:ind w:firstLine="709"/>
        <w:jc w:val="both"/>
        <w:rPr>
          <w:rFonts w:ascii="Arial Narrow" w:hAnsi="Arial Narrow"/>
          <w:lang w:val="bg-BG" w:eastAsia="bg-BG"/>
        </w:rPr>
      </w:pPr>
      <w:r w:rsidRPr="00AA79E0">
        <w:rPr>
          <w:rFonts w:ascii="Arial Narrow" w:hAnsi="Arial Narrow"/>
          <w:lang w:val="bg-BG" w:eastAsia="bg-BG"/>
        </w:rPr>
        <w:t xml:space="preserve">Организирано е национално съвещание по контрола и опазването на горските територии, като са </w:t>
      </w:r>
      <w:r w:rsidRPr="00AA79E0">
        <w:rPr>
          <w:rFonts w:ascii="Arial Narrow" w:hAnsi="Arial Narrow"/>
          <w:lang w:val="bg-BG" w:eastAsia="bg-BG"/>
        </w:rPr>
        <w:lastRenderedPageBreak/>
        <w:t xml:space="preserve">набелязани конкретни мерки и действия, целящи подобряване на дейностите по контрол върху опазването на горските територии и дивеча. </w:t>
      </w:r>
    </w:p>
    <w:p w14:paraId="20824E8F" w14:textId="77777777" w:rsidR="00AA79E0" w:rsidRPr="00AA79E0" w:rsidRDefault="00AA79E0" w:rsidP="00AA79E0">
      <w:pPr>
        <w:widowControl w:val="0"/>
        <w:spacing w:after="120"/>
        <w:ind w:firstLine="709"/>
        <w:jc w:val="both"/>
        <w:rPr>
          <w:rFonts w:ascii="Arial Narrow" w:hAnsi="Arial Narrow"/>
          <w:lang w:val="bg-BG" w:eastAsia="bg-BG"/>
        </w:rPr>
      </w:pPr>
      <w:r w:rsidRPr="00AA79E0">
        <w:rPr>
          <w:rFonts w:ascii="Arial Narrow" w:hAnsi="Arial Narrow"/>
          <w:lang w:val="bg-BG" w:eastAsia="bg-BG"/>
        </w:rPr>
        <w:t>Представен е нов софтуер за електронен дневник на обектите по чл. 206, както и издаването на превозни билети за експедиране на дървесина от тези обекти.</w:t>
      </w:r>
    </w:p>
    <w:p w14:paraId="420C7FAB" w14:textId="77777777" w:rsidR="00AA79E0" w:rsidRPr="00AA79E0" w:rsidRDefault="00AA79E0" w:rsidP="00AA79E0">
      <w:pPr>
        <w:widowControl w:val="0"/>
        <w:spacing w:after="120"/>
        <w:ind w:firstLine="709"/>
        <w:jc w:val="both"/>
        <w:rPr>
          <w:rFonts w:ascii="Arial Narrow" w:hAnsi="Arial Narrow"/>
          <w:lang w:val="bg-BG" w:eastAsia="bg-BG"/>
        </w:rPr>
      </w:pPr>
      <w:r w:rsidRPr="00AA79E0">
        <w:rPr>
          <w:rFonts w:ascii="Arial Narrow" w:hAnsi="Arial Narrow"/>
          <w:lang w:val="bg-BG" w:eastAsia="bg-BG"/>
        </w:rPr>
        <w:t>През 2024 г. са извършени кръстосани проверки между РДГ. Проверени са 206 обекта по чл. 206 от ЗГ, 191 обекта за добив на дървесина, 85 моторни превозни средства, 37 физически лица. Съставени са 230 констативни протокола и 52 АУАН.</w:t>
      </w:r>
    </w:p>
    <w:p w14:paraId="748A940A" w14:textId="77777777" w:rsidR="00AA79E0" w:rsidRPr="00AA79E0" w:rsidRDefault="00AA79E0" w:rsidP="00AA79E0">
      <w:pPr>
        <w:widowControl w:val="0"/>
        <w:spacing w:after="120"/>
        <w:ind w:firstLine="709"/>
        <w:jc w:val="both"/>
        <w:rPr>
          <w:rFonts w:ascii="Arial Narrow" w:hAnsi="Arial Narrow"/>
          <w:b/>
          <w:lang w:val="bg-BG" w:eastAsia="zh-CN"/>
        </w:rPr>
      </w:pPr>
      <w:r w:rsidRPr="00AA79E0">
        <w:rPr>
          <w:rFonts w:ascii="Arial Narrow" w:hAnsi="Arial Narrow"/>
          <w:lang w:val="bg-BG" w:eastAsia="bg-BG"/>
        </w:rPr>
        <w:tab/>
      </w:r>
      <w:r w:rsidRPr="00AA79E0">
        <w:rPr>
          <w:rFonts w:ascii="Arial Narrow" w:hAnsi="Arial Narrow"/>
          <w:b/>
          <w:lang w:val="bg-BG" w:eastAsia="zh-CN"/>
        </w:rPr>
        <w:t>Констатирани нарушения</w:t>
      </w:r>
    </w:p>
    <w:p w14:paraId="035E4A6F" w14:textId="77777777" w:rsidR="00AA79E0" w:rsidRPr="00AA79E0" w:rsidRDefault="00AA79E0" w:rsidP="00AA79E0">
      <w:pPr>
        <w:widowControl w:val="0"/>
        <w:spacing w:after="120"/>
        <w:ind w:firstLine="709"/>
        <w:jc w:val="both"/>
        <w:rPr>
          <w:rFonts w:ascii="Arial Narrow" w:hAnsi="Arial Narrow"/>
          <w:lang w:val="bg-BG" w:eastAsia="bg-BG"/>
        </w:rPr>
      </w:pPr>
      <w:r w:rsidRPr="00AA79E0">
        <w:rPr>
          <w:rFonts w:ascii="Arial Narrow" w:hAnsi="Arial Narrow"/>
          <w:lang w:val="bg-BG" w:eastAsia="bg-BG"/>
        </w:rPr>
        <w:t>През 2024 г. са констатирани общо 13 439 нарушения на горското законодателство, с 3 445 по-малко от 2023 г. Съставени са 8 473 акта за установяване на административни нарушения, като се отчита намаление с 2 101 спрямо 2023 г. Не са открити извършителите на 1 738 нарушения.</w:t>
      </w:r>
    </w:p>
    <w:p w14:paraId="535A2F1C" w14:textId="77777777" w:rsidR="00AA79E0" w:rsidRPr="00AA79E0" w:rsidRDefault="00AA79E0" w:rsidP="00AA79E0">
      <w:pPr>
        <w:widowControl w:val="0"/>
        <w:spacing w:after="120"/>
        <w:ind w:firstLine="706"/>
        <w:jc w:val="both"/>
        <w:rPr>
          <w:rFonts w:ascii="Arial Narrow" w:hAnsi="Arial Narrow"/>
          <w:lang w:val="bg-BG" w:eastAsia="bg-BG"/>
        </w:rPr>
      </w:pPr>
      <w:r w:rsidRPr="00AA79E0">
        <w:rPr>
          <w:rFonts w:ascii="Arial Narrow" w:hAnsi="Arial Narrow"/>
          <w:lang w:val="bg-BG" w:eastAsia="bg-BG"/>
        </w:rPr>
        <w:t xml:space="preserve">Най-много </w:t>
      </w:r>
      <w:r w:rsidR="001A77B3">
        <w:rPr>
          <w:rFonts w:ascii="Arial Narrow" w:hAnsi="Arial Narrow"/>
          <w:lang w:val="bg-BG" w:eastAsia="bg-BG"/>
        </w:rPr>
        <w:t xml:space="preserve">актове за </w:t>
      </w:r>
      <w:r w:rsidRPr="00AA79E0">
        <w:rPr>
          <w:rFonts w:ascii="Arial Narrow" w:hAnsi="Arial Narrow"/>
          <w:lang w:val="bg-BG" w:eastAsia="bg-BG"/>
        </w:rPr>
        <w:t>установени нарушения са съставени в района на РДГ Берковица - 905 акта, РДГ Стара Загора - 706 акта, РДГ Сливен - 666, РДГ София - 659 акта и РДГ Бургас - 657 акта. Регионалните дирекции с най-малко актове са РДГ Смолян - 59, РДГ Благоевград - 114 и РДГ Пловдив - 280.</w:t>
      </w:r>
    </w:p>
    <w:p w14:paraId="45CE1425" w14:textId="77777777" w:rsidR="00AA79E0" w:rsidRPr="00AA79E0" w:rsidRDefault="00AA79E0" w:rsidP="00AA79E0">
      <w:pPr>
        <w:widowControl w:val="0"/>
        <w:spacing w:after="120"/>
        <w:ind w:firstLine="706"/>
        <w:jc w:val="both"/>
        <w:rPr>
          <w:rFonts w:ascii="Arial Narrow" w:hAnsi="Arial Narrow"/>
          <w:lang w:val="bg-BG" w:eastAsia="bg-BG"/>
        </w:rPr>
      </w:pPr>
      <w:r w:rsidRPr="00AA79E0">
        <w:rPr>
          <w:rFonts w:ascii="Arial Narrow" w:hAnsi="Arial Narrow"/>
          <w:color w:val="FF0000"/>
          <w:lang w:val="bg-BG" w:eastAsia="bg-BG"/>
        </w:rPr>
        <w:tab/>
      </w:r>
      <w:r w:rsidRPr="00AA79E0">
        <w:rPr>
          <w:rFonts w:ascii="Arial Narrow" w:hAnsi="Arial Narrow"/>
          <w:lang w:val="bg-BG" w:eastAsia="bg-BG"/>
        </w:rPr>
        <w:t>Според собствеността на горските територии с актове са установени 2 535 нарушения в държавна собственост, 186 нарушения в общинска собственост, 918 нарушения в собственост на физически и юридически лица.</w:t>
      </w:r>
    </w:p>
    <w:p w14:paraId="0DE7BA84" w14:textId="77777777" w:rsidR="00AA79E0" w:rsidRPr="00AA79E0" w:rsidRDefault="00AA79E0" w:rsidP="00AA79E0">
      <w:pPr>
        <w:widowControl w:val="0"/>
        <w:spacing w:after="120"/>
        <w:ind w:firstLine="709"/>
        <w:jc w:val="both"/>
        <w:rPr>
          <w:rFonts w:ascii="Arial Narrow" w:hAnsi="Arial Narrow"/>
          <w:lang w:val="bg-BG" w:eastAsia="bg-BG"/>
        </w:rPr>
      </w:pPr>
      <w:r w:rsidRPr="00AA79E0">
        <w:rPr>
          <w:rFonts w:ascii="Arial Narrow" w:hAnsi="Arial Narrow"/>
          <w:b/>
          <w:lang w:val="bg-BG" w:eastAsia="bg-BG"/>
        </w:rPr>
        <w:tab/>
      </w:r>
      <w:r w:rsidRPr="00AA79E0">
        <w:rPr>
          <w:rFonts w:ascii="Arial Narrow" w:hAnsi="Arial Narrow"/>
          <w:lang w:val="bg-BG" w:eastAsia="bg-BG"/>
        </w:rPr>
        <w:t xml:space="preserve">Служителите на РДГ са съставили 153 акта за нарушения, извършени от служители на ТП ДГС/ДЛС, 384 акта на лесовъди, практикуващи частна лесовъдска практика и 37 акта на лица, имащи отношение към дейностите по стопанисване и опазване на горски територии, общинска собственост. </w:t>
      </w:r>
    </w:p>
    <w:p w14:paraId="0DEB2316" w14:textId="77777777" w:rsidR="00AA79E0" w:rsidRPr="00AA79E0" w:rsidRDefault="00AA79E0" w:rsidP="00AA79E0">
      <w:pPr>
        <w:widowControl w:val="0"/>
        <w:spacing w:after="120"/>
        <w:ind w:firstLine="709"/>
        <w:jc w:val="both"/>
        <w:rPr>
          <w:rFonts w:ascii="Arial Narrow" w:hAnsi="Arial Narrow"/>
          <w:lang w:val="bg-BG" w:eastAsia="bg-BG"/>
        </w:rPr>
      </w:pPr>
      <w:r w:rsidRPr="00AA79E0">
        <w:rPr>
          <w:rFonts w:ascii="Arial Narrow" w:hAnsi="Arial Narrow"/>
          <w:color w:val="FF0000"/>
          <w:lang w:val="bg-BG" w:eastAsia="bg-BG"/>
        </w:rPr>
        <w:tab/>
      </w:r>
      <w:r w:rsidRPr="00AA79E0">
        <w:rPr>
          <w:rFonts w:ascii="Arial Narrow" w:hAnsi="Arial Narrow"/>
          <w:lang w:val="bg-BG" w:eastAsia="bg-BG"/>
        </w:rPr>
        <w:t>През 2024 г. са наложени 46 принудителни административни мерки по реда на чл. 253 от ЗГ, с 15 повече от 2023 г.</w:t>
      </w:r>
    </w:p>
    <w:p w14:paraId="10ADC143" w14:textId="77777777" w:rsidR="00AA79E0" w:rsidRPr="00AA79E0" w:rsidRDefault="00AA79E0" w:rsidP="00AA79E0">
      <w:pPr>
        <w:widowControl w:val="0"/>
        <w:spacing w:after="120"/>
        <w:ind w:firstLine="706"/>
        <w:jc w:val="both"/>
        <w:rPr>
          <w:rFonts w:ascii="Arial Narrow" w:hAnsi="Arial Narrow"/>
          <w:b/>
          <w:lang w:val="bg-BG" w:eastAsia="zh-CN"/>
        </w:rPr>
      </w:pPr>
      <w:r w:rsidRPr="00AA79E0">
        <w:rPr>
          <w:rFonts w:ascii="Arial Narrow" w:hAnsi="Arial Narrow"/>
          <w:b/>
          <w:lang w:val="bg-BG" w:eastAsia="zh-CN"/>
        </w:rPr>
        <w:t>Дейност на регионалните дирекции по горите</w:t>
      </w:r>
    </w:p>
    <w:p w14:paraId="74DBD8A4" w14:textId="77777777" w:rsidR="00AA79E0" w:rsidRPr="00AA79E0" w:rsidRDefault="00AA79E0" w:rsidP="00AA79E0">
      <w:pPr>
        <w:widowControl w:val="0"/>
        <w:spacing w:after="120"/>
        <w:ind w:firstLine="709"/>
        <w:jc w:val="both"/>
        <w:rPr>
          <w:rFonts w:ascii="Arial Narrow" w:hAnsi="Arial Narrow"/>
          <w:lang w:val="bg-BG" w:eastAsia="bg-BG"/>
        </w:rPr>
      </w:pPr>
      <w:r w:rsidRPr="00AA79E0">
        <w:rPr>
          <w:rFonts w:ascii="Arial Narrow" w:hAnsi="Arial Narrow"/>
          <w:lang w:val="bg-BG" w:eastAsia="bg-BG"/>
        </w:rPr>
        <w:t>През 2024 г. горските инспектори в РДГ са извършили 344 449 проверки, от които 26 132 в обекти по чл. 206 от ЗГ, 44 015 в обекти за добив на дървесина, 102 643 на МПС, 46 878 на ловци, 13 609 на риболовци, 105 774 на физически лица, 948 за добив на трюфели и 4 450 други проверки. Съставени са 5 494 акта.</w:t>
      </w:r>
    </w:p>
    <w:p w14:paraId="3112F959" w14:textId="77777777" w:rsidR="00AA79E0" w:rsidRPr="00AA79E0" w:rsidRDefault="00AA79E0" w:rsidP="00AA79E0">
      <w:pPr>
        <w:widowControl w:val="0"/>
        <w:spacing w:after="120"/>
        <w:ind w:firstLine="709"/>
        <w:jc w:val="both"/>
        <w:rPr>
          <w:rFonts w:ascii="Arial Narrow" w:hAnsi="Arial Narrow"/>
          <w:lang w:val="bg-BG" w:eastAsia="bg-BG"/>
        </w:rPr>
      </w:pPr>
      <w:r w:rsidRPr="00AA79E0">
        <w:rPr>
          <w:rFonts w:ascii="Arial Narrow" w:hAnsi="Arial Narrow"/>
          <w:lang w:val="bg-BG" w:eastAsia="bg-BG"/>
        </w:rPr>
        <w:t xml:space="preserve">Установена е незаконно отсечена дървесина и разпоредителни действия с дървесина без документи, доказващи законния </w:t>
      </w:r>
      <w:r w:rsidRPr="00AA79E0">
        <w:rPr>
          <w:rFonts w:ascii="Bahnschrift Light SemiCondensed" w:hAnsi="Bahnschrift Light SemiCondensed" w:cs="Calibri"/>
          <w:lang w:val="bg-BG" w:eastAsia="bg-BG"/>
        </w:rPr>
        <w:t>ѝ</w:t>
      </w:r>
      <w:r w:rsidRPr="00AA79E0">
        <w:rPr>
          <w:rFonts w:ascii="Calibri" w:hAnsi="Calibri" w:cs="Calibri"/>
          <w:lang w:val="bg-BG" w:eastAsia="bg-BG"/>
        </w:rPr>
        <w:t xml:space="preserve"> </w:t>
      </w:r>
      <w:r w:rsidRPr="00AA79E0">
        <w:rPr>
          <w:rFonts w:ascii="Arial Narrow" w:hAnsi="Arial Narrow"/>
          <w:lang w:val="bg-BG" w:eastAsia="bg-BG"/>
        </w:rPr>
        <w:t>произход в размер на 6 789 куб. м.</w:t>
      </w:r>
    </w:p>
    <w:p w14:paraId="3FF4A938" w14:textId="77777777" w:rsidR="00AA79E0" w:rsidRPr="00AA79E0" w:rsidRDefault="00AA79E0" w:rsidP="00AA79E0">
      <w:pPr>
        <w:widowControl w:val="0"/>
        <w:spacing w:after="120"/>
        <w:ind w:firstLine="706"/>
        <w:jc w:val="both"/>
        <w:rPr>
          <w:rFonts w:ascii="Arial Narrow" w:hAnsi="Arial Narrow"/>
          <w:b/>
          <w:lang w:val="bg-BG" w:eastAsia="zh-CN"/>
        </w:rPr>
      </w:pPr>
      <w:r w:rsidRPr="00AA79E0">
        <w:rPr>
          <w:rFonts w:ascii="Arial Narrow" w:hAnsi="Arial Narrow"/>
          <w:b/>
          <w:lang w:val="bg-BG" w:eastAsia="zh-CN"/>
        </w:rPr>
        <w:t>Дейност на екипите към ИАГ</w:t>
      </w:r>
    </w:p>
    <w:p w14:paraId="280C93AD" w14:textId="77777777" w:rsidR="00AA79E0" w:rsidRPr="00AA79E0" w:rsidRDefault="00AA79E0" w:rsidP="00AA79E0">
      <w:pPr>
        <w:widowControl w:val="0"/>
        <w:spacing w:after="120"/>
        <w:ind w:firstLine="709"/>
        <w:jc w:val="both"/>
        <w:rPr>
          <w:rFonts w:ascii="Arial Narrow" w:hAnsi="Arial Narrow"/>
          <w:lang w:val="bg-BG" w:eastAsia="bg-BG"/>
        </w:rPr>
      </w:pPr>
      <w:r w:rsidRPr="00AA79E0">
        <w:rPr>
          <w:rFonts w:ascii="Arial Narrow" w:hAnsi="Arial Narrow"/>
          <w:lang w:val="bg-BG" w:eastAsia="zh-CN"/>
        </w:rPr>
        <w:tab/>
      </w:r>
      <w:r w:rsidRPr="00AA79E0">
        <w:rPr>
          <w:rFonts w:ascii="Arial Narrow" w:hAnsi="Arial Narrow"/>
          <w:lang w:val="bg-BG" w:eastAsia="bg-BG"/>
        </w:rPr>
        <w:t>В рамките на 2024 г. са извършени общо 5 426 проверки, от които 633 на обекти по чл. 206 от ЗГ, 631 на обекти за добив на дървесина, 279 на лица, опазващи поверените им горски територии, 1 850 на МПС, 929 на ловци, 163 на риболовци, 926 на физически лица и 15 по Регламент (ЕС) № 995/2010.</w:t>
      </w:r>
    </w:p>
    <w:p w14:paraId="058A0E85" w14:textId="77777777" w:rsidR="00AA79E0" w:rsidRPr="00AA79E0" w:rsidRDefault="00AA79E0" w:rsidP="00AA79E0">
      <w:pPr>
        <w:widowControl w:val="0"/>
        <w:spacing w:after="120"/>
        <w:ind w:firstLine="709"/>
        <w:jc w:val="both"/>
        <w:rPr>
          <w:rFonts w:ascii="Arial Narrow" w:hAnsi="Arial Narrow"/>
          <w:lang w:val="bg-BG" w:eastAsia="bg-BG"/>
        </w:rPr>
      </w:pPr>
      <w:r w:rsidRPr="00AA79E0">
        <w:rPr>
          <w:rFonts w:ascii="Arial Narrow" w:hAnsi="Arial Narrow"/>
          <w:lang w:val="bg-BG" w:eastAsia="bg-BG"/>
        </w:rPr>
        <w:t xml:space="preserve">Съставени са 207 АУАН, от които 201 са по ЗГ, 5 по ЗЛОД и 1 по ЗРА. </w:t>
      </w:r>
    </w:p>
    <w:p w14:paraId="1C5BC069" w14:textId="77777777" w:rsidR="00AA79E0" w:rsidRPr="00AA79E0" w:rsidRDefault="00AA79E0" w:rsidP="00AA79E0">
      <w:pPr>
        <w:widowControl w:val="0"/>
        <w:spacing w:after="120"/>
        <w:ind w:firstLine="709"/>
        <w:jc w:val="both"/>
        <w:rPr>
          <w:rFonts w:ascii="Arial Narrow" w:hAnsi="Arial Narrow"/>
          <w:lang w:val="bg-BG" w:eastAsia="bg-BG"/>
        </w:rPr>
      </w:pPr>
      <w:r w:rsidRPr="00AA79E0">
        <w:rPr>
          <w:rFonts w:ascii="Arial Narrow" w:hAnsi="Arial Narrow"/>
          <w:lang w:val="bg-BG" w:eastAsia="bg-BG"/>
        </w:rPr>
        <w:t>С констативни протоколи са дадени 453 предписания на РДГ за допълнителни проверки и съставяне на актове.</w:t>
      </w:r>
    </w:p>
    <w:p w14:paraId="06F1498D" w14:textId="77777777" w:rsidR="00AA79E0" w:rsidRPr="00AA79E0" w:rsidRDefault="00AA79E0" w:rsidP="00AA79E0">
      <w:pPr>
        <w:widowControl w:val="0"/>
        <w:spacing w:after="120"/>
        <w:ind w:firstLine="709"/>
        <w:jc w:val="both"/>
        <w:rPr>
          <w:rFonts w:ascii="Arial Narrow" w:hAnsi="Arial Narrow"/>
          <w:lang w:val="bg-BG" w:eastAsia="bg-BG"/>
        </w:rPr>
      </w:pPr>
      <w:r w:rsidRPr="00AA79E0">
        <w:rPr>
          <w:rFonts w:ascii="Arial Narrow" w:hAnsi="Arial Narrow"/>
          <w:lang w:val="bg-BG" w:eastAsia="bg-BG"/>
        </w:rPr>
        <w:t xml:space="preserve">Установено е незаконно отсечена дървесина и разпоредителни действия с дървесина без  документи, доказващи законния </w:t>
      </w:r>
      <w:r w:rsidRPr="00AA79E0">
        <w:rPr>
          <w:rFonts w:ascii="Bahnschrift Light SemiCondensed" w:hAnsi="Bahnschrift Light SemiCondensed" w:cs="Calibri"/>
          <w:lang w:val="bg-BG" w:eastAsia="bg-BG"/>
        </w:rPr>
        <w:t>ѝ</w:t>
      </w:r>
      <w:r w:rsidRPr="00AA79E0">
        <w:rPr>
          <w:rFonts w:ascii="Arial Narrow" w:hAnsi="Arial Narrow"/>
          <w:lang w:val="bg-BG" w:eastAsia="bg-BG"/>
        </w:rPr>
        <w:t xml:space="preserve"> произход в размер на 782 куб. м.</w:t>
      </w:r>
    </w:p>
    <w:p w14:paraId="719F4BAF" w14:textId="77777777" w:rsidR="00AA79E0" w:rsidRPr="00AA79E0" w:rsidRDefault="00AA79E0" w:rsidP="00AA79E0">
      <w:pPr>
        <w:spacing w:after="120"/>
        <w:ind w:firstLine="709"/>
        <w:jc w:val="both"/>
        <w:rPr>
          <w:rFonts w:ascii="Arial Narrow" w:hAnsi="Arial Narrow"/>
          <w:b/>
          <w:lang w:val="bg-BG" w:eastAsia="bg-BG"/>
        </w:rPr>
      </w:pPr>
      <w:r w:rsidRPr="00AA79E0">
        <w:rPr>
          <w:rFonts w:ascii="Arial Narrow" w:hAnsi="Arial Narrow"/>
          <w:b/>
          <w:lang w:val="bg-BG" w:eastAsia="bg-BG"/>
        </w:rPr>
        <w:t xml:space="preserve">Дейност на ДП по чл. 163 от ЗГ </w:t>
      </w:r>
    </w:p>
    <w:p w14:paraId="072771E3" w14:textId="77777777" w:rsidR="00AA79E0" w:rsidRPr="00AA79E0" w:rsidRDefault="00AA79E0" w:rsidP="00AA79E0">
      <w:pPr>
        <w:spacing w:after="120"/>
        <w:ind w:firstLine="709"/>
        <w:jc w:val="both"/>
        <w:rPr>
          <w:rFonts w:ascii="Arial Narrow" w:hAnsi="Arial Narrow"/>
          <w:color w:val="FF0000"/>
          <w:lang w:val="bg-BG" w:eastAsia="bg-BG"/>
        </w:rPr>
      </w:pPr>
      <w:r w:rsidRPr="00AA79E0">
        <w:rPr>
          <w:rFonts w:ascii="Arial Narrow" w:hAnsi="Arial Narrow"/>
          <w:lang w:val="bg-BG" w:eastAsia="bg-BG"/>
        </w:rPr>
        <w:tab/>
        <w:t>През 202</w:t>
      </w:r>
      <w:r w:rsidR="00D74B7B">
        <w:rPr>
          <w:rFonts w:ascii="Arial Narrow" w:hAnsi="Arial Narrow"/>
          <w:lang w:val="bg-BG" w:eastAsia="bg-BG"/>
        </w:rPr>
        <w:t>4</w:t>
      </w:r>
      <w:r w:rsidRPr="00AA79E0">
        <w:rPr>
          <w:rFonts w:ascii="Arial Narrow" w:hAnsi="Arial Narrow"/>
          <w:lang w:val="bg-BG" w:eastAsia="bg-BG"/>
        </w:rPr>
        <w:t xml:space="preserve"> г. от служители на ДП и техните поделения са извършени общо 274 739 проверки, от които 82 367 на обекти за добив на дървесина, 62 213 на МПС, 95 215 на ловци, 221 на риболовци, 33 635 на физически лица, 378 на лица, добиващи трюфели и 710 други проверки. Съставени са 2 426 АУАН, 1 026 констативни протокола за неизвестен извършител и 289 констативни протокола без АУАН. </w:t>
      </w:r>
    </w:p>
    <w:p w14:paraId="0F48C7F1" w14:textId="77777777" w:rsidR="00AA79E0" w:rsidRPr="00AA79E0" w:rsidRDefault="00AA79E0" w:rsidP="00AA79E0">
      <w:pPr>
        <w:spacing w:after="120"/>
        <w:ind w:firstLine="709"/>
        <w:jc w:val="both"/>
        <w:rPr>
          <w:rFonts w:ascii="Arial Narrow" w:hAnsi="Arial Narrow"/>
          <w:lang w:val="bg-BG" w:eastAsia="bg-BG"/>
        </w:rPr>
      </w:pPr>
      <w:r w:rsidRPr="00AA79E0">
        <w:rPr>
          <w:rFonts w:ascii="Arial Narrow" w:hAnsi="Arial Narrow"/>
          <w:lang w:val="bg-BG" w:eastAsia="bg-BG"/>
        </w:rPr>
        <w:t xml:space="preserve">Установената незаконно отсечена дървесина и разпоредителни действия с дървесина без  документи, доказващи законния </w:t>
      </w:r>
      <w:r w:rsidRPr="00AA79E0">
        <w:rPr>
          <w:rFonts w:ascii="Bahnschrift Light SemiCondensed" w:hAnsi="Bahnschrift Light SemiCondensed" w:cs="Calibri"/>
          <w:lang w:val="bg-BG" w:eastAsia="bg-BG"/>
        </w:rPr>
        <w:t>ѝ</w:t>
      </w:r>
      <w:r w:rsidRPr="00AA79E0" w:rsidDel="00F402C6">
        <w:rPr>
          <w:rFonts w:ascii="Arial Narrow" w:hAnsi="Arial Narrow"/>
          <w:lang w:val="bg-BG" w:eastAsia="bg-BG"/>
        </w:rPr>
        <w:t xml:space="preserve"> </w:t>
      </w:r>
      <w:r w:rsidRPr="00AA79E0">
        <w:rPr>
          <w:rFonts w:ascii="Arial Narrow" w:hAnsi="Arial Narrow"/>
          <w:lang w:val="bg-BG" w:eastAsia="bg-BG"/>
        </w:rPr>
        <w:t>произход е в размер на 5 935 куб. м.</w:t>
      </w:r>
    </w:p>
    <w:p w14:paraId="762B1E0C" w14:textId="77777777" w:rsidR="00AA79E0" w:rsidRPr="00AA79E0" w:rsidRDefault="00AA79E0" w:rsidP="00AA79E0">
      <w:pPr>
        <w:spacing w:after="120"/>
        <w:ind w:firstLine="709"/>
        <w:jc w:val="both"/>
        <w:rPr>
          <w:rFonts w:ascii="Arial Narrow" w:hAnsi="Arial Narrow"/>
          <w:b/>
          <w:lang w:val="bg-BG" w:eastAsia="bg-BG"/>
        </w:rPr>
      </w:pPr>
      <w:r w:rsidRPr="00AA79E0">
        <w:rPr>
          <w:rFonts w:ascii="Arial Narrow" w:hAnsi="Arial Narrow"/>
          <w:b/>
          <w:lang w:val="bg-BG" w:eastAsia="bg-BG"/>
        </w:rPr>
        <w:lastRenderedPageBreak/>
        <w:t>Прилагане на Регламент 995/2010</w:t>
      </w:r>
    </w:p>
    <w:p w14:paraId="6F2CA6B8" w14:textId="77777777" w:rsidR="00AA79E0" w:rsidRPr="00AA79E0" w:rsidRDefault="00AA79E0" w:rsidP="00AA79E0">
      <w:pPr>
        <w:spacing w:after="120"/>
        <w:ind w:firstLine="709"/>
        <w:jc w:val="both"/>
        <w:rPr>
          <w:rFonts w:ascii="Arial Narrow" w:hAnsi="Arial Narrow"/>
          <w:lang w:val="bg-BG" w:eastAsia="bg-BG"/>
        </w:rPr>
      </w:pPr>
      <w:r w:rsidRPr="00AA79E0">
        <w:rPr>
          <w:rFonts w:ascii="Arial Narrow" w:hAnsi="Arial Narrow"/>
          <w:lang w:val="bg-BG" w:eastAsia="bg-BG"/>
        </w:rPr>
        <w:t>През 202</w:t>
      </w:r>
      <w:r w:rsidR="00D74B7B">
        <w:rPr>
          <w:rFonts w:ascii="Arial Narrow" w:hAnsi="Arial Narrow"/>
          <w:lang w:val="bg-BG" w:eastAsia="bg-BG"/>
        </w:rPr>
        <w:t>4</w:t>
      </w:r>
      <w:r w:rsidRPr="00AA79E0">
        <w:rPr>
          <w:rFonts w:ascii="Arial Narrow" w:hAnsi="Arial Narrow"/>
          <w:lang w:val="bg-BG" w:eastAsia="bg-BG"/>
        </w:rPr>
        <w:t xml:space="preserve"> г. ИАГ е участвала в 1 присъствена и 5 онлайн срещи, свързани с прилагането на Регламент (ЕС) № 995/2010, включително и в Комитета по Регламента за обезлесяването, тъй като двете работни групи са обединени. </w:t>
      </w:r>
    </w:p>
    <w:p w14:paraId="1F04E47F" w14:textId="77777777" w:rsidR="00AA79E0" w:rsidRPr="00AA79E0" w:rsidRDefault="00AA79E0" w:rsidP="00AA79E0">
      <w:pPr>
        <w:spacing w:after="120"/>
        <w:ind w:firstLine="709"/>
        <w:jc w:val="both"/>
        <w:rPr>
          <w:rFonts w:ascii="Arial Narrow" w:hAnsi="Arial Narrow"/>
          <w:lang w:val="bg-BG" w:eastAsia="bg-BG"/>
        </w:rPr>
      </w:pPr>
      <w:r w:rsidRPr="00AA79E0">
        <w:rPr>
          <w:rFonts w:ascii="Arial Narrow" w:hAnsi="Arial Narrow"/>
          <w:lang w:val="bg-BG" w:eastAsia="bg-BG"/>
        </w:rPr>
        <w:t xml:space="preserve">Във връзка с осъществяване на ефективен контрол, през годината РДГ са извършили 1 305 проверки, с 276 повече в сравнение с 2023 г. </w:t>
      </w:r>
    </w:p>
    <w:p w14:paraId="19BE9529" w14:textId="77777777" w:rsidR="00AA79E0" w:rsidRPr="00AA79E0" w:rsidRDefault="00AA79E0" w:rsidP="00AA79E0">
      <w:pPr>
        <w:spacing w:after="120"/>
        <w:ind w:firstLine="706"/>
        <w:jc w:val="both"/>
        <w:rPr>
          <w:rFonts w:ascii="Arial Narrow" w:hAnsi="Arial Narrow"/>
          <w:b/>
          <w:lang w:val="bg-BG" w:eastAsia="zh-CN"/>
        </w:rPr>
      </w:pPr>
      <w:r w:rsidRPr="00AA79E0">
        <w:rPr>
          <w:rFonts w:ascii="Arial Narrow" w:hAnsi="Arial Narrow"/>
          <w:b/>
          <w:lang w:val="bg-BG" w:eastAsia="zh-CN"/>
        </w:rPr>
        <w:t>Взаимодействие с други институции</w:t>
      </w:r>
    </w:p>
    <w:p w14:paraId="3F6D0223" w14:textId="77777777" w:rsidR="00AA79E0" w:rsidRPr="00AA79E0" w:rsidRDefault="00AA79E0" w:rsidP="00AA79E0">
      <w:pPr>
        <w:spacing w:after="120"/>
        <w:ind w:firstLine="709"/>
        <w:jc w:val="both"/>
        <w:rPr>
          <w:rFonts w:ascii="Arial Narrow" w:hAnsi="Arial Narrow"/>
          <w:lang w:val="bg-BG" w:eastAsia="bg-BG"/>
        </w:rPr>
      </w:pPr>
      <w:r w:rsidRPr="00AA79E0">
        <w:rPr>
          <w:rFonts w:ascii="Arial Narrow" w:hAnsi="Arial Narrow"/>
          <w:lang w:val="bg-BG" w:eastAsia="bg-BG"/>
        </w:rPr>
        <w:t>В резултат на сключените споразумения за сътрудничество и взаимодействие и годишния план на МВР за противодействието на закононарушенията, свързани с горските, дивечовите и рибните ресурси, през 2024 г. са извършени общо 20 884 съвместни проверки, което е с 53 по-малко от 2023 г. Проверени са 782 обекта по чл. 206 от ЗГ, 462 обекта за добив на дървесина, 3 185 МПС,  11 086 ловци, 154 риболовци и 5 215 физически лица.</w:t>
      </w:r>
    </w:p>
    <w:p w14:paraId="53F7D40D" w14:textId="77777777" w:rsidR="00AA79E0" w:rsidRPr="00AA79E0" w:rsidRDefault="00AA79E0" w:rsidP="00AA79E0">
      <w:pPr>
        <w:spacing w:after="120"/>
        <w:ind w:firstLine="709"/>
        <w:jc w:val="both"/>
        <w:rPr>
          <w:rFonts w:ascii="Arial Narrow" w:hAnsi="Arial Narrow"/>
          <w:lang w:val="bg-BG" w:eastAsia="bg-BG"/>
        </w:rPr>
      </w:pPr>
      <w:r w:rsidRPr="00AA79E0">
        <w:rPr>
          <w:rFonts w:ascii="Arial Narrow" w:hAnsi="Arial Narrow"/>
          <w:lang w:val="bg-BG" w:eastAsia="bg-BG"/>
        </w:rPr>
        <w:tab/>
        <w:t xml:space="preserve">Съставени са 105 констативни протокола и 759 акта, от които 739 по ЗГ, 19 по ЗЛОД и 1 по други закони. </w:t>
      </w:r>
    </w:p>
    <w:p w14:paraId="658EE0AB" w14:textId="77777777" w:rsidR="00AA79E0" w:rsidRPr="00AA79E0" w:rsidRDefault="00AA79E0" w:rsidP="00AA79E0">
      <w:pPr>
        <w:spacing w:after="120"/>
        <w:ind w:firstLine="709"/>
        <w:jc w:val="both"/>
        <w:rPr>
          <w:rFonts w:ascii="Arial Narrow" w:hAnsi="Arial Narrow"/>
          <w:lang w:val="bg-BG" w:eastAsia="bg-BG"/>
        </w:rPr>
      </w:pPr>
      <w:r w:rsidRPr="00AA79E0">
        <w:rPr>
          <w:rFonts w:ascii="Arial Narrow" w:hAnsi="Arial Narrow"/>
          <w:lang w:val="bg-BG" w:eastAsia="bg-BG"/>
        </w:rPr>
        <w:t>Извършени са 196 проверки със служители на ИАРА, 11 със служители на Изпълнителна агенция „Инспекция по труда“, 12 със служители на НАП, 26 със служители на МОСВ, 234 с представители на неправителствени организации, над 1 300 проверки с ПБЗН и 401 с други институции.</w:t>
      </w:r>
    </w:p>
    <w:p w14:paraId="354DFA2E" w14:textId="77777777" w:rsidR="004C4B2A" w:rsidRPr="004C4B2A" w:rsidRDefault="00ED5011" w:rsidP="004C4B2A">
      <w:pPr>
        <w:numPr>
          <w:ilvl w:val="0"/>
          <w:numId w:val="20"/>
        </w:numPr>
        <w:tabs>
          <w:tab w:val="left" w:pos="720"/>
        </w:tabs>
        <w:spacing w:after="120"/>
        <w:ind w:left="714" w:hanging="357"/>
        <w:jc w:val="both"/>
        <w:outlineLvl w:val="0"/>
        <w:rPr>
          <w:rFonts w:ascii="Arial Narrow" w:hAnsi="Arial Narrow" w:cs="Arial"/>
          <w:b/>
          <w:lang w:val="bg-BG" w:eastAsia="bg-BG"/>
        </w:rPr>
      </w:pPr>
      <w:bookmarkStart w:id="257" w:name="_Toc119489995"/>
      <w:bookmarkStart w:id="258" w:name="_Toc210747683"/>
      <w:r w:rsidRPr="004C4B2A">
        <w:rPr>
          <w:rFonts w:ascii="Arial Narrow" w:hAnsi="Arial Narrow" w:cs="Arial"/>
          <w:b/>
          <w:lang w:val="bg-BG" w:eastAsia="bg-BG"/>
        </w:rPr>
        <w:t>Стратегическо планиране, усъвършенстване на нормативната база и международни дейности</w:t>
      </w:r>
      <w:bookmarkEnd w:id="257"/>
      <w:bookmarkEnd w:id="258"/>
    </w:p>
    <w:p w14:paraId="0B838C6F" w14:textId="77777777" w:rsidR="004C4B2A" w:rsidRPr="004C4B2A" w:rsidRDefault="004C4B2A" w:rsidP="004C4B2A">
      <w:pPr>
        <w:spacing w:after="120"/>
        <w:ind w:firstLine="709"/>
        <w:jc w:val="both"/>
        <w:rPr>
          <w:rFonts w:ascii="Arial Narrow" w:hAnsi="Arial Narrow"/>
          <w:lang w:val="bg-BG" w:eastAsia="bg-BG"/>
        </w:rPr>
      </w:pPr>
      <w:r w:rsidRPr="004C4B2A">
        <w:rPr>
          <w:rFonts w:ascii="Arial Narrow" w:hAnsi="Arial Narrow"/>
          <w:lang w:val="bg-BG" w:eastAsia="bg-BG"/>
        </w:rPr>
        <w:t>В рамките на 202</w:t>
      </w:r>
      <w:r w:rsidRPr="004C4B2A">
        <w:rPr>
          <w:rFonts w:ascii="Arial Narrow" w:hAnsi="Arial Narrow"/>
          <w:lang w:eastAsia="bg-BG"/>
        </w:rPr>
        <w:t>4</w:t>
      </w:r>
      <w:r w:rsidRPr="004C4B2A">
        <w:rPr>
          <w:rFonts w:ascii="Arial Narrow" w:hAnsi="Arial Narrow"/>
          <w:lang w:val="bg-BG" w:eastAsia="bg-BG"/>
        </w:rPr>
        <w:t xml:space="preserve"> г. са изготвени следните нормативни актове:</w:t>
      </w:r>
    </w:p>
    <w:p w14:paraId="50AF2A02" w14:textId="77777777" w:rsidR="004C4B2A" w:rsidRPr="004C4B2A" w:rsidRDefault="004C4B2A" w:rsidP="004C4B2A">
      <w:pPr>
        <w:numPr>
          <w:ilvl w:val="0"/>
          <w:numId w:val="17"/>
        </w:numPr>
        <w:spacing w:after="120"/>
        <w:jc w:val="both"/>
        <w:rPr>
          <w:rFonts w:ascii="Arial Narrow" w:hAnsi="Arial Narrow" w:cs="Arial Narrow"/>
          <w:bCs/>
          <w:lang w:val="bg-BG" w:eastAsia="bg-BG"/>
        </w:rPr>
      </w:pPr>
      <w:r w:rsidRPr="004C4B2A">
        <w:rPr>
          <w:rFonts w:ascii="Arial Narrow" w:hAnsi="Arial Narrow" w:cs="Arial Narrow"/>
          <w:bCs/>
          <w:lang w:val="bg-BG" w:eastAsia="bg-BG"/>
        </w:rPr>
        <w:t>Постановление на МС за изменение и допълнение на Правилника за прилагане на Закона за лова и опазване на дивеча (обн. ДВ, бр. 68 от 2024 г.);</w:t>
      </w:r>
    </w:p>
    <w:p w14:paraId="6AEB6498" w14:textId="77777777" w:rsidR="004C4B2A" w:rsidRPr="004C4B2A" w:rsidRDefault="004C4B2A" w:rsidP="004C4B2A">
      <w:pPr>
        <w:numPr>
          <w:ilvl w:val="0"/>
          <w:numId w:val="17"/>
        </w:numPr>
        <w:spacing w:after="120"/>
        <w:jc w:val="both"/>
        <w:rPr>
          <w:rFonts w:ascii="Arial Narrow" w:hAnsi="Arial Narrow" w:cs="Arial Narrow"/>
          <w:bCs/>
          <w:lang w:val="bg-BG" w:eastAsia="bg-BG"/>
        </w:rPr>
      </w:pPr>
      <w:r w:rsidRPr="004C4B2A">
        <w:rPr>
          <w:rFonts w:ascii="Arial Narrow" w:hAnsi="Arial Narrow" w:cs="Arial Narrow"/>
          <w:bCs/>
          <w:lang w:val="bg-BG" w:eastAsia="bg-BG"/>
        </w:rPr>
        <w:t>Постановление на МС за приемане на Тарифа за таксите, които се събират в системата на ИАГ (обн. ДВ, бр. 53 от 21.06.2024 г., в сила от 01.07.2024 г.);</w:t>
      </w:r>
    </w:p>
    <w:p w14:paraId="637EFB33" w14:textId="77777777" w:rsidR="004C4B2A" w:rsidRPr="004C4B2A" w:rsidRDefault="004C4B2A" w:rsidP="004C4B2A">
      <w:pPr>
        <w:numPr>
          <w:ilvl w:val="0"/>
          <w:numId w:val="17"/>
        </w:numPr>
        <w:spacing w:after="120"/>
        <w:jc w:val="both"/>
        <w:rPr>
          <w:rFonts w:ascii="Arial Narrow" w:hAnsi="Arial Narrow" w:cs="Arial Narrow"/>
          <w:bCs/>
          <w:lang w:val="bg-BG" w:eastAsia="bg-BG"/>
        </w:rPr>
      </w:pPr>
      <w:r w:rsidRPr="004C4B2A">
        <w:rPr>
          <w:rFonts w:ascii="Arial Narrow" w:hAnsi="Arial Narrow" w:cs="Arial Narrow"/>
          <w:bCs/>
          <w:lang w:val="bg-BG" w:eastAsia="bg-BG"/>
        </w:rPr>
        <w:t>Постановление на МС за изменение и допълнение на Тарифа за таксите, които се събират по Закона за лова и опазване на дивеча (обн. ДВ, бр. 75 от 3.09.2024 г., в сила от 1.10.2024 г.);</w:t>
      </w:r>
    </w:p>
    <w:p w14:paraId="1977C798" w14:textId="77777777" w:rsidR="004C4B2A" w:rsidRPr="004C4B2A" w:rsidRDefault="004C4B2A" w:rsidP="00BF097E">
      <w:pPr>
        <w:widowControl w:val="0"/>
        <w:numPr>
          <w:ilvl w:val="0"/>
          <w:numId w:val="17"/>
        </w:numPr>
        <w:spacing w:after="120"/>
        <w:ind w:left="714" w:hanging="357"/>
        <w:jc w:val="both"/>
        <w:rPr>
          <w:rFonts w:ascii="Arial Narrow" w:hAnsi="Arial Narrow" w:cs="Arial Narrow"/>
          <w:bCs/>
          <w:lang w:val="bg-BG" w:eastAsia="bg-BG"/>
        </w:rPr>
      </w:pPr>
      <w:r w:rsidRPr="004C4B2A">
        <w:rPr>
          <w:rFonts w:ascii="Arial Narrow" w:hAnsi="Arial Narrow" w:cs="Arial Narrow"/>
          <w:bCs/>
          <w:lang w:val="bg-BG" w:eastAsia="bg-BG"/>
        </w:rPr>
        <w:t>Постановление на МС за извършване на промени на утвърдените със Закона за държавния бюджет на Р България максимални размери на ангажиментите за разходи, които могат да бъдат поети през 2024 г., по бюджета на МЗХ;</w:t>
      </w:r>
    </w:p>
    <w:p w14:paraId="2330D38F" w14:textId="77777777" w:rsidR="004C4B2A" w:rsidRPr="004C4B2A" w:rsidRDefault="004C4B2A" w:rsidP="00BF097E">
      <w:pPr>
        <w:widowControl w:val="0"/>
        <w:numPr>
          <w:ilvl w:val="0"/>
          <w:numId w:val="17"/>
        </w:numPr>
        <w:spacing w:after="120"/>
        <w:ind w:left="714" w:hanging="357"/>
        <w:jc w:val="both"/>
        <w:rPr>
          <w:rFonts w:ascii="Arial Narrow" w:hAnsi="Arial Narrow" w:cs="Arial Narrow"/>
          <w:bCs/>
          <w:lang w:val="bg-BG" w:eastAsia="bg-BG"/>
        </w:rPr>
      </w:pPr>
      <w:r w:rsidRPr="004C4B2A">
        <w:rPr>
          <w:rFonts w:ascii="Arial Narrow" w:hAnsi="Arial Narrow" w:cs="Arial Narrow"/>
          <w:bCs/>
          <w:lang w:val="bg-BG" w:eastAsia="bg-BG"/>
        </w:rPr>
        <w:t xml:space="preserve">Устройствен правилник на дирекциите на природните паркове в България (обн. ДВ, бр. 1 от </w:t>
      </w:r>
      <w:r w:rsidR="001F3463">
        <w:rPr>
          <w:rFonts w:ascii="Arial Narrow" w:hAnsi="Arial Narrow" w:cs="Arial Narrow"/>
          <w:bCs/>
          <w:lang w:val="bg-BG" w:eastAsia="bg-BG"/>
        </w:rPr>
        <w:t xml:space="preserve">   </w:t>
      </w:r>
      <w:r w:rsidRPr="004C4B2A">
        <w:rPr>
          <w:rFonts w:ascii="Arial Narrow" w:hAnsi="Arial Narrow" w:cs="Arial Narrow"/>
          <w:bCs/>
          <w:lang w:val="bg-BG" w:eastAsia="bg-BG"/>
        </w:rPr>
        <w:t>2025 г.);</w:t>
      </w:r>
    </w:p>
    <w:p w14:paraId="2330D76A" w14:textId="77777777" w:rsidR="004C4B2A" w:rsidRPr="004C4B2A" w:rsidRDefault="004C4B2A" w:rsidP="004C4B2A">
      <w:pPr>
        <w:numPr>
          <w:ilvl w:val="0"/>
          <w:numId w:val="17"/>
        </w:numPr>
        <w:spacing w:after="120"/>
        <w:jc w:val="both"/>
        <w:rPr>
          <w:rFonts w:ascii="Arial Narrow" w:hAnsi="Arial Narrow" w:cs="Arial Narrow"/>
          <w:bCs/>
          <w:lang w:val="bg-BG" w:eastAsia="bg-BG"/>
        </w:rPr>
      </w:pPr>
      <w:r w:rsidRPr="004C4B2A">
        <w:rPr>
          <w:rFonts w:ascii="Arial Narrow" w:hAnsi="Arial Narrow" w:cs="Arial Narrow"/>
          <w:bCs/>
          <w:lang w:val="bg-BG" w:eastAsia="bg-BG"/>
        </w:rPr>
        <w:t>Проект на Наредба за изменение и допълнение на Наредба №8 от 2011 г. за сечите в горите, във връзка с необходимостта от нормативно регламентиране използването на механизирана горска техника в горските територии;</w:t>
      </w:r>
    </w:p>
    <w:p w14:paraId="23C4B568" w14:textId="77777777" w:rsidR="004C4B2A" w:rsidRPr="004C4B2A" w:rsidRDefault="004C4B2A" w:rsidP="004C4B2A">
      <w:pPr>
        <w:numPr>
          <w:ilvl w:val="0"/>
          <w:numId w:val="17"/>
        </w:numPr>
        <w:spacing w:after="120"/>
        <w:jc w:val="both"/>
        <w:rPr>
          <w:rFonts w:ascii="Arial Narrow" w:hAnsi="Arial Narrow" w:cs="Arial Narrow"/>
          <w:bCs/>
          <w:lang w:val="bg-BG" w:eastAsia="bg-BG"/>
        </w:rPr>
      </w:pPr>
      <w:r w:rsidRPr="004C4B2A">
        <w:rPr>
          <w:rFonts w:ascii="Arial Narrow" w:hAnsi="Arial Narrow" w:cs="Arial Narrow"/>
          <w:bCs/>
          <w:lang w:val="bg-BG" w:eastAsia="bg-BG"/>
        </w:rPr>
        <w:t>Проект за изменение и допълнение на Наредба №1 от 2012 г. за контрола и опазването на горските територии, във връзка с предложените изменения в Наредба №8 от 2011 г. за сечите в горите;</w:t>
      </w:r>
    </w:p>
    <w:p w14:paraId="4C701D97" w14:textId="77777777" w:rsidR="004C4B2A" w:rsidRPr="004C4B2A" w:rsidRDefault="004C4B2A" w:rsidP="004C4B2A">
      <w:pPr>
        <w:numPr>
          <w:ilvl w:val="0"/>
          <w:numId w:val="17"/>
        </w:numPr>
        <w:spacing w:after="120"/>
        <w:jc w:val="both"/>
        <w:rPr>
          <w:rFonts w:ascii="Arial Narrow" w:hAnsi="Arial Narrow" w:cs="Arial Narrow"/>
          <w:bCs/>
          <w:lang w:val="bg-BG" w:eastAsia="bg-BG"/>
        </w:rPr>
      </w:pPr>
      <w:r w:rsidRPr="004C4B2A">
        <w:rPr>
          <w:rFonts w:ascii="Arial Narrow" w:hAnsi="Arial Narrow" w:cs="Arial Narrow"/>
          <w:bCs/>
          <w:lang w:val="bg-BG" w:eastAsia="bg-BG"/>
        </w:rPr>
        <w:t>Проект на Наредба за изменение и допълнение на Наредба №5 от 2014 г. за строителството в горските територии без промяна на предназначението им, във връзка с предложените изменения в Наредба №8 от 2011 г. за сечите в горите;</w:t>
      </w:r>
    </w:p>
    <w:p w14:paraId="042BF649" w14:textId="77777777" w:rsidR="004C4B2A" w:rsidRPr="004C4B2A" w:rsidRDefault="004C4B2A" w:rsidP="004C4B2A">
      <w:pPr>
        <w:numPr>
          <w:ilvl w:val="0"/>
          <w:numId w:val="17"/>
        </w:numPr>
        <w:spacing w:after="120"/>
        <w:jc w:val="both"/>
        <w:rPr>
          <w:rFonts w:ascii="Arial Narrow" w:hAnsi="Arial Narrow" w:cs="Arial Narrow"/>
          <w:bCs/>
          <w:lang w:val="bg-BG" w:eastAsia="bg-BG"/>
        </w:rPr>
      </w:pPr>
      <w:r w:rsidRPr="004C4B2A">
        <w:rPr>
          <w:rFonts w:ascii="Arial Narrow" w:hAnsi="Arial Narrow" w:cs="Arial Narrow"/>
          <w:bCs/>
          <w:lang w:val="bg-BG" w:eastAsia="bg-BG"/>
        </w:rPr>
        <w:t>Проект за изменение и допълнение на Наредба №9 от 2019 г. за защита на горските територии от болести, вредители и други повреди с цел подобряване на дейността по защита в горските територии.</w:t>
      </w:r>
    </w:p>
    <w:p w14:paraId="25940C7D" w14:textId="77777777" w:rsidR="004C4B2A" w:rsidRPr="004C4B2A" w:rsidRDefault="004C4B2A" w:rsidP="004C4B2A">
      <w:pPr>
        <w:spacing w:after="120"/>
        <w:ind w:firstLine="706"/>
        <w:jc w:val="both"/>
        <w:rPr>
          <w:rFonts w:ascii="Arial Narrow" w:hAnsi="Arial Narrow"/>
          <w:b/>
          <w:lang w:val="bg-BG" w:eastAsia="zh-CN"/>
        </w:rPr>
      </w:pPr>
      <w:r w:rsidRPr="004C4B2A">
        <w:rPr>
          <w:rFonts w:ascii="Arial Narrow" w:hAnsi="Arial Narrow"/>
          <w:b/>
          <w:lang w:val="bg-BG" w:eastAsia="zh-CN"/>
        </w:rPr>
        <w:t xml:space="preserve">Изпълнение на стратегически дейности и приоритети в горския сектор чрез проекти, финансирани от ЕС и други международни донори </w:t>
      </w:r>
    </w:p>
    <w:p w14:paraId="3BAFD334" w14:textId="77777777" w:rsidR="004C4B2A" w:rsidRPr="004C4B2A" w:rsidRDefault="004C4B2A" w:rsidP="004C4B2A">
      <w:pPr>
        <w:spacing w:after="120"/>
        <w:ind w:firstLine="709"/>
        <w:jc w:val="both"/>
        <w:rPr>
          <w:rFonts w:ascii="Arial Narrow" w:hAnsi="Arial Narrow"/>
          <w:lang w:val="bg-BG" w:eastAsia="bg-BG"/>
        </w:rPr>
      </w:pPr>
      <w:r w:rsidRPr="004C4B2A">
        <w:rPr>
          <w:rFonts w:ascii="Arial Narrow" w:hAnsi="Arial Narrow"/>
          <w:lang w:val="bg-BG" w:eastAsia="bg-BG"/>
        </w:rPr>
        <w:lastRenderedPageBreak/>
        <w:t>През 2024 г. на заседания на комисията за разглеждане на проектни идеи и проектни предложения в ИАГ са разгледани общо 12 проектни идеи/предложения. Подадени са 9 проектни предложения, от които 3 са в процес на оценяване, 2 са одобрени и 4 не са одобрени.</w:t>
      </w:r>
    </w:p>
    <w:p w14:paraId="634649C8" w14:textId="77777777" w:rsidR="004C4B2A" w:rsidRPr="004C4B2A" w:rsidRDefault="004C4B2A" w:rsidP="004C4B2A">
      <w:pPr>
        <w:spacing w:after="120"/>
        <w:ind w:firstLine="709"/>
        <w:jc w:val="both"/>
        <w:rPr>
          <w:rFonts w:ascii="Arial Narrow" w:hAnsi="Arial Narrow"/>
          <w:lang w:val="bg-BG" w:eastAsia="bg-BG"/>
        </w:rPr>
      </w:pPr>
      <w:r w:rsidRPr="004C4B2A">
        <w:rPr>
          <w:rFonts w:ascii="Arial Narrow" w:hAnsi="Arial Narrow"/>
          <w:lang w:val="bg-BG" w:eastAsia="bg-BG"/>
        </w:rPr>
        <w:t>Разработено е едно проектно предложение - „Планове за действие за устойчиво управление на горските генетични ресурси и за развитие на устойчива и съвременна лесозащитна дейност в България“</w:t>
      </w:r>
    </w:p>
    <w:p w14:paraId="1A8959F8" w14:textId="77777777" w:rsidR="004C4B2A" w:rsidRPr="004C4B2A" w:rsidRDefault="004C4B2A" w:rsidP="004C4B2A">
      <w:pPr>
        <w:spacing w:after="120"/>
        <w:ind w:left="720"/>
        <w:jc w:val="both"/>
        <w:rPr>
          <w:rFonts w:ascii="Arial Narrow" w:hAnsi="Arial Narrow"/>
          <w:lang w:val="bg-BG" w:eastAsia="bg-BG"/>
        </w:rPr>
      </w:pPr>
      <w:r w:rsidRPr="004C4B2A">
        <w:rPr>
          <w:rFonts w:ascii="Arial Narrow" w:hAnsi="Arial Narrow"/>
          <w:lang w:val="bg-BG" w:eastAsia="bg-BG"/>
        </w:rPr>
        <w:t xml:space="preserve">През 2024 г. са изпълнявани текущо следните проекти: </w:t>
      </w:r>
    </w:p>
    <w:p w14:paraId="224D508B" w14:textId="77777777" w:rsidR="004C4B2A" w:rsidRPr="004C4B2A" w:rsidRDefault="004C4B2A" w:rsidP="004C4B2A">
      <w:pPr>
        <w:numPr>
          <w:ilvl w:val="0"/>
          <w:numId w:val="17"/>
        </w:numPr>
        <w:spacing w:after="120"/>
        <w:jc w:val="both"/>
        <w:rPr>
          <w:rFonts w:ascii="Arial Narrow" w:hAnsi="Arial Narrow"/>
          <w:lang w:val="bg-BG" w:eastAsia="bg-BG"/>
        </w:rPr>
      </w:pPr>
      <w:r w:rsidRPr="004C4B2A">
        <w:rPr>
          <w:rFonts w:ascii="Arial Narrow" w:hAnsi="Arial Narrow"/>
          <w:lang w:val="bg-BG" w:eastAsia="bg-BG"/>
        </w:rPr>
        <w:t>„Мерки за опазване на Малкия креслив орел и неговите местообитания в България“ по програма LIFE на Европейския съюз;</w:t>
      </w:r>
    </w:p>
    <w:p w14:paraId="0B17A8FC" w14:textId="77777777" w:rsidR="004C4B2A" w:rsidRPr="004C4B2A" w:rsidRDefault="004C4B2A" w:rsidP="004C4B2A">
      <w:pPr>
        <w:numPr>
          <w:ilvl w:val="0"/>
          <w:numId w:val="17"/>
        </w:numPr>
        <w:spacing w:after="120"/>
        <w:jc w:val="both"/>
        <w:rPr>
          <w:rFonts w:ascii="Arial Narrow" w:hAnsi="Arial Narrow"/>
          <w:lang w:val="bg-BG" w:eastAsia="bg-BG"/>
        </w:rPr>
      </w:pPr>
      <w:r w:rsidRPr="004C4B2A">
        <w:rPr>
          <w:rFonts w:ascii="Arial Narrow" w:hAnsi="Arial Narrow"/>
          <w:lang w:val="bg-BG" w:eastAsia="bg-BG"/>
        </w:rPr>
        <w:t>„Подпомагане на страните от Централна и Източна Европа при разработване на стратегии и планове за действие за биоикономика“ – CEE2ACT по програма „Хоризонт Европа“ на Европейския съюз в направление биоикономика;</w:t>
      </w:r>
    </w:p>
    <w:p w14:paraId="25BA7FC6" w14:textId="77777777" w:rsidR="004C4B2A" w:rsidRPr="004C4B2A" w:rsidRDefault="004C4B2A" w:rsidP="004C4B2A">
      <w:pPr>
        <w:numPr>
          <w:ilvl w:val="0"/>
          <w:numId w:val="17"/>
        </w:numPr>
        <w:spacing w:after="120"/>
        <w:jc w:val="both"/>
        <w:rPr>
          <w:rFonts w:ascii="Arial Narrow" w:hAnsi="Arial Narrow"/>
          <w:lang w:val="bg-BG" w:eastAsia="bg-BG"/>
        </w:rPr>
      </w:pPr>
      <w:r w:rsidRPr="004C4B2A">
        <w:rPr>
          <w:rFonts w:ascii="Arial Narrow" w:hAnsi="Arial Narrow"/>
          <w:lang w:val="bg-BG" w:eastAsia="bg-BG"/>
        </w:rPr>
        <w:t>„Към климатично интелигентна горска свързаност за едри хищници в Балкано-Карпатския регион (ForestConnect)“, с водещ партньор WWF България, по програма Интеррег „Дунавски регион“ 2021 - 2027 г.;</w:t>
      </w:r>
    </w:p>
    <w:p w14:paraId="7EC4998E" w14:textId="77777777" w:rsidR="004C4B2A" w:rsidRPr="004C4B2A" w:rsidRDefault="004C4B2A" w:rsidP="004C4B2A">
      <w:pPr>
        <w:numPr>
          <w:ilvl w:val="0"/>
          <w:numId w:val="17"/>
        </w:numPr>
        <w:spacing w:after="120"/>
        <w:jc w:val="both"/>
        <w:rPr>
          <w:rFonts w:ascii="Arial Narrow" w:hAnsi="Arial Narrow"/>
          <w:lang w:val="bg-BG" w:eastAsia="bg-BG"/>
        </w:rPr>
      </w:pPr>
      <w:r w:rsidRPr="004C4B2A">
        <w:rPr>
          <w:rFonts w:ascii="Arial Narrow" w:hAnsi="Arial Narrow"/>
          <w:lang w:val="bg-BG" w:eastAsia="bg-BG"/>
        </w:rPr>
        <w:t>„Използване на горските генетични ресурси за увеличаване на възможностите в контекста на екологичните и социални предизвикателства“;</w:t>
      </w:r>
    </w:p>
    <w:p w14:paraId="5743D97E" w14:textId="77777777" w:rsidR="004C4B2A" w:rsidRPr="004C4B2A" w:rsidRDefault="004C4B2A" w:rsidP="004C4B2A">
      <w:pPr>
        <w:numPr>
          <w:ilvl w:val="0"/>
          <w:numId w:val="17"/>
        </w:numPr>
        <w:spacing w:after="120"/>
        <w:jc w:val="both"/>
        <w:rPr>
          <w:rFonts w:ascii="Arial Narrow" w:hAnsi="Arial Narrow"/>
          <w:lang w:val="bg-BG" w:eastAsia="bg-BG"/>
        </w:rPr>
      </w:pPr>
      <w:r w:rsidRPr="004C4B2A">
        <w:rPr>
          <w:rFonts w:ascii="Arial Narrow" w:hAnsi="Arial Narrow"/>
          <w:lang w:val="bg-BG" w:eastAsia="bg-BG"/>
        </w:rPr>
        <w:t xml:space="preserve">Взето е </w:t>
      </w:r>
      <w:r w:rsidR="00D607C6">
        <w:rPr>
          <w:rFonts w:ascii="Arial Narrow" w:hAnsi="Arial Narrow"/>
          <w:lang w:val="bg-BG" w:eastAsia="bg-BG"/>
        </w:rPr>
        <w:t xml:space="preserve">експертно </w:t>
      </w:r>
      <w:r w:rsidRPr="004C4B2A">
        <w:rPr>
          <w:rFonts w:ascii="Arial Narrow" w:hAnsi="Arial Narrow"/>
          <w:lang w:val="bg-BG" w:eastAsia="bg-BG"/>
        </w:rPr>
        <w:t>участие в проект „Енергийна статистика: подкрепа за Енергийния съюз и допълнително дезагрегиране на крайното потребление на енергията”, изпълняван от НСИ.</w:t>
      </w:r>
    </w:p>
    <w:p w14:paraId="60FB88D1" w14:textId="77777777" w:rsidR="00ED5011" w:rsidRPr="00B94F8E" w:rsidRDefault="00ED5011" w:rsidP="0072450C">
      <w:pPr>
        <w:keepNext/>
        <w:numPr>
          <w:ilvl w:val="0"/>
          <w:numId w:val="20"/>
        </w:numPr>
        <w:spacing w:after="120"/>
        <w:outlineLvl w:val="0"/>
        <w:rPr>
          <w:rFonts w:ascii="Arial Narrow" w:hAnsi="Arial Narrow" w:cs="Arial"/>
          <w:b/>
          <w:lang w:val="bg-BG" w:eastAsia="bg-BG"/>
        </w:rPr>
      </w:pPr>
      <w:bookmarkStart w:id="259" w:name="_Toc119489996"/>
      <w:bookmarkStart w:id="260" w:name="_Toc210747684"/>
      <w:r w:rsidRPr="00B94F8E">
        <w:rPr>
          <w:rFonts w:ascii="Arial Narrow" w:hAnsi="Arial Narrow" w:cs="Arial"/>
          <w:b/>
          <w:lang w:val="bg-BG" w:eastAsia="bg-BG"/>
        </w:rPr>
        <w:t>Финансиране и инвестиции в горските територии</w:t>
      </w:r>
      <w:bookmarkEnd w:id="259"/>
      <w:bookmarkEnd w:id="260"/>
    </w:p>
    <w:p w14:paraId="2CBCB629" w14:textId="77777777" w:rsidR="00B94F8E" w:rsidRPr="00B94F8E" w:rsidRDefault="00ED5011" w:rsidP="00B94F8E">
      <w:pPr>
        <w:numPr>
          <w:ilvl w:val="1"/>
          <w:numId w:val="22"/>
        </w:numPr>
        <w:tabs>
          <w:tab w:val="left" w:pos="900"/>
        </w:tabs>
        <w:spacing w:after="120"/>
        <w:jc w:val="both"/>
        <w:outlineLvl w:val="0"/>
        <w:rPr>
          <w:rFonts w:ascii="Arial Narrow" w:hAnsi="Arial Narrow" w:cs="Arial"/>
          <w:b/>
          <w:lang w:val="bg-BG" w:eastAsia="bg-BG"/>
        </w:rPr>
      </w:pPr>
      <w:bookmarkStart w:id="261" w:name="_Toc119489997"/>
      <w:bookmarkStart w:id="262" w:name="_Toc210747685"/>
      <w:r w:rsidRPr="00B94F8E">
        <w:rPr>
          <w:rFonts w:ascii="Arial Narrow" w:hAnsi="Arial Narrow" w:cs="Arial"/>
          <w:b/>
          <w:lang w:val="bg-BG" w:eastAsia="bg-BG"/>
        </w:rPr>
        <w:t>Изпълнителна агенция по горите</w:t>
      </w:r>
      <w:bookmarkEnd w:id="261"/>
      <w:bookmarkEnd w:id="262"/>
    </w:p>
    <w:p w14:paraId="5EA4FC83" w14:textId="77777777" w:rsidR="00B94F8E" w:rsidRPr="00B94F8E" w:rsidRDefault="00B94F8E" w:rsidP="00B94F8E">
      <w:pPr>
        <w:spacing w:after="120"/>
        <w:ind w:firstLine="709"/>
        <w:jc w:val="both"/>
        <w:rPr>
          <w:rFonts w:ascii="Arial Narrow" w:hAnsi="Arial Narrow"/>
          <w:lang w:val="bg-BG" w:eastAsia="bg-BG"/>
        </w:rPr>
      </w:pPr>
      <w:r w:rsidRPr="00B94F8E">
        <w:rPr>
          <w:rFonts w:ascii="Arial Narrow" w:hAnsi="Arial Narrow"/>
          <w:lang w:val="bg-BG" w:eastAsia="bg-BG"/>
        </w:rPr>
        <w:t>През 2024 г. в Изпълнителна агенция по горите са отчетени приходи на обща стойност 7 012 548 лева.</w:t>
      </w:r>
    </w:p>
    <w:p w14:paraId="7A782193" w14:textId="77777777" w:rsidR="00B94F8E" w:rsidRPr="00B94F8E" w:rsidRDefault="00B94F8E" w:rsidP="00B94F8E">
      <w:pPr>
        <w:spacing w:after="120"/>
        <w:ind w:firstLine="709"/>
        <w:jc w:val="both"/>
        <w:rPr>
          <w:rFonts w:ascii="Arial Narrow" w:hAnsi="Arial Narrow"/>
          <w:lang w:val="bg-BG" w:eastAsia="bg-BG"/>
        </w:rPr>
      </w:pPr>
      <w:r w:rsidRPr="00B94F8E">
        <w:rPr>
          <w:rFonts w:ascii="Arial Narrow" w:hAnsi="Arial Narrow"/>
          <w:lang w:val="bg-BG" w:eastAsia="bg-BG"/>
        </w:rPr>
        <w:t>Определените за 2024 г. разходи на ИАГ за изпълнение на Бюджетна програма „Специализирани дейности в горските територии“ и Бюджетна програма „Планиране, опазване от посегателства, пожари и лесозащита“ са в размер на 39 474 300 лева.</w:t>
      </w:r>
    </w:p>
    <w:p w14:paraId="6DAD0B7F" w14:textId="77777777" w:rsidR="00B94F8E" w:rsidRPr="00B94F8E" w:rsidRDefault="00B94F8E" w:rsidP="00BF097E">
      <w:pPr>
        <w:widowControl w:val="0"/>
        <w:spacing w:after="120"/>
        <w:ind w:firstLine="709"/>
        <w:jc w:val="both"/>
        <w:rPr>
          <w:rFonts w:ascii="Arial Narrow" w:hAnsi="Arial Narrow"/>
          <w:lang w:val="bg-BG" w:eastAsia="bg-BG"/>
        </w:rPr>
      </w:pPr>
      <w:r w:rsidRPr="00B94F8E">
        <w:rPr>
          <w:rFonts w:ascii="Arial Narrow" w:hAnsi="Arial Narrow"/>
          <w:lang w:val="bg-BG" w:eastAsia="bg-BG"/>
        </w:rPr>
        <w:t>Утвърденият окончателен бюджет на ИАГ за 2024 г. възлиза на 47 114 351 л</w:t>
      </w:r>
      <w:r w:rsidRPr="00B94F8E">
        <w:rPr>
          <w:rFonts w:ascii="Arial Narrow" w:hAnsi="Arial Narrow"/>
          <w:lang w:eastAsia="bg-BG"/>
        </w:rPr>
        <w:t>e</w:t>
      </w:r>
      <w:r w:rsidRPr="00B94F8E">
        <w:rPr>
          <w:rFonts w:ascii="Arial Narrow" w:hAnsi="Arial Narrow"/>
          <w:lang w:val="bg-BG" w:eastAsia="bg-BG"/>
        </w:rPr>
        <w:t>в</w:t>
      </w:r>
      <w:r w:rsidRPr="00B94F8E">
        <w:rPr>
          <w:rFonts w:ascii="Arial Narrow" w:hAnsi="Arial Narrow"/>
          <w:lang w:eastAsia="bg-BG"/>
        </w:rPr>
        <w:t>a</w:t>
      </w:r>
      <w:r w:rsidRPr="00B94F8E">
        <w:rPr>
          <w:rFonts w:ascii="Arial Narrow" w:hAnsi="Arial Narrow"/>
          <w:lang w:val="bg-BG" w:eastAsia="bg-BG"/>
        </w:rPr>
        <w:t>, отчетени са общо разходи в размер на 47 114 351 л</w:t>
      </w:r>
      <w:r w:rsidRPr="00B94F8E">
        <w:rPr>
          <w:rFonts w:ascii="Arial Narrow" w:hAnsi="Arial Narrow"/>
          <w:lang w:eastAsia="bg-BG"/>
        </w:rPr>
        <w:t>e</w:t>
      </w:r>
      <w:r w:rsidRPr="00B94F8E">
        <w:rPr>
          <w:rFonts w:ascii="Arial Narrow" w:hAnsi="Arial Narrow"/>
          <w:lang w:val="bg-BG" w:eastAsia="bg-BG"/>
        </w:rPr>
        <w:t>в</w:t>
      </w:r>
      <w:r w:rsidRPr="00B94F8E">
        <w:rPr>
          <w:rFonts w:ascii="Arial Narrow" w:hAnsi="Arial Narrow"/>
          <w:lang w:eastAsia="bg-BG"/>
        </w:rPr>
        <w:t>a</w:t>
      </w:r>
      <w:r w:rsidRPr="00B94F8E">
        <w:rPr>
          <w:rFonts w:ascii="Arial Narrow" w:hAnsi="Arial Narrow"/>
          <w:lang w:val="bg-BG" w:eastAsia="bg-BG"/>
        </w:rPr>
        <w:t>.</w:t>
      </w:r>
    </w:p>
    <w:p w14:paraId="229EF429" w14:textId="77777777" w:rsidR="00B94F8E" w:rsidRPr="00B94F8E" w:rsidRDefault="00B94F8E" w:rsidP="00BF097E">
      <w:pPr>
        <w:widowControl w:val="0"/>
        <w:spacing w:after="120"/>
        <w:ind w:firstLine="709"/>
        <w:jc w:val="both"/>
        <w:rPr>
          <w:rFonts w:ascii="Arial Narrow" w:hAnsi="Arial Narrow" w:cs="Arial Narrow"/>
          <w:bCs/>
          <w:lang w:val="bg-BG" w:eastAsia="bg-BG"/>
        </w:rPr>
      </w:pPr>
      <w:r w:rsidRPr="00B94F8E">
        <w:rPr>
          <w:rFonts w:ascii="Arial Narrow" w:hAnsi="Arial Narrow"/>
          <w:lang w:val="bg-BG" w:eastAsia="bg-BG"/>
        </w:rPr>
        <w:t xml:space="preserve">През годината са извършени инвестиции (капиталови разходи) в размер на </w:t>
      </w:r>
      <w:r w:rsidRPr="00B94F8E">
        <w:rPr>
          <w:rFonts w:ascii="Arial Narrow" w:hAnsi="Arial Narrow"/>
          <w:lang w:eastAsia="bg-BG"/>
        </w:rPr>
        <w:t xml:space="preserve">72 870 </w:t>
      </w:r>
      <w:r w:rsidRPr="00B94F8E">
        <w:rPr>
          <w:rFonts w:ascii="Arial Narrow" w:hAnsi="Arial Narrow"/>
          <w:lang w:val="bg-BG" w:eastAsia="bg-BG"/>
        </w:rPr>
        <w:t xml:space="preserve">лева, от които  </w:t>
      </w:r>
      <w:r w:rsidRPr="00B94F8E">
        <w:rPr>
          <w:rFonts w:ascii="Arial Narrow" w:hAnsi="Arial Narrow" w:cs="Arial Narrow"/>
          <w:bCs/>
          <w:lang w:val="bg-BG" w:eastAsia="bg-BG"/>
        </w:rPr>
        <w:t>71 700 лева за придобиване на дълготрайни материални активи и 1 170 лева за придобиване на програмни продукти и лицензи за програмни продукти.</w:t>
      </w:r>
    </w:p>
    <w:p w14:paraId="47098776" w14:textId="77777777" w:rsidR="00B94F8E" w:rsidRPr="00B94F8E" w:rsidRDefault="00ED5011" w:rsidP="00B94F8E">
      <w:pPr>
        <w:numPr>
          <w:ilvl w:val="1"/>
          <w:numId w:val="22"/>
        </w:numPr>
        <w:tabs>
          <w:tab w:val="left" w:pos="900"/>
        </w:tabs>
        <w:spacing w:after="120"/>
        <w:jc w:val="both"/>
        <w:outlineLvl w:val="0"/>
        <w:rPr>
          <w:rFonts w:ascii="Arial Narrow" w:hAnsi="Arial Narrow" w:cs="Arial"/>
          <w:b/>
          <w:lang w:val="bg-BG" w:eastAsia="bg-BG"/>
        </w:rPr>
      </w:pPr>
      <w:bookmarkStart w:id="263" w:name="_Toc119489998"/>
      <w:bookmarkStart w:id="264" w:name="_Toc210747686"/>
      <w:r w:rsidRPr="00B94F8E">
        <w:rPr>
          <w:rFonts w:ascii="Arial Narrow" w:hAnsi="Arial Narrow" w:cs="Arial"/>
          <w:b/>
          <w:lang w:val="bg-BG" w:eastAsia="bg-BG"/>
        </w:rPr>
        <w:t>Държавни горски предприятия</w:t>
      </w:r>
      <w:bookmarkEnd w:id="263"/>
      <w:bookmarkEnd w:id="264"/>
    </w:p>
    <w:p w14:paraId="539E870B" w14:textId="77777777" w:rsidR="00B94F8E" w:rsidRPr="00B94F8E" w:rsidRDefault="00B94F8E" w:rsidP="00B94F8E">
      <w:pPr>
        <w:spacing w:after="120"/>
        <w:ind w:firstLine="709"/>
        <w:jc w:val="both"/>
        <w:rPr>
          <w:rFonts w:ascii="Arial Narrow" w:hAnsi="Arial Narrow"/>
          <w:lang w:eastAsia="bg-BG"/>
        </w:rPr>
      </w:pPr>
      <w:r w:rsidRPr="00B94F8E">
        <w:rPr>
          <w:rFonts w:ascii="Arial Narrow" w:hAnsi="Arial Narrow"/>
          <w:lang w:val="bg-BG" w:eastAsia="bg-BG"/>
        </w:rPr>
        <w:t xml:space="preserve">Отчетените приходи от цялостната дейност на ДП за 2024 г. са 457,5 млн. лева, а общите разходи - 460 млн. лева. В сравнение с 2023 г., приходите на предприятията се увеличават с 10%, а разходите - с 9%. </w:t>
      </w:r>
    </w:p>
    <w:p w14:paraId="03AF8E49" w14:textId="77777777" w:rsidR="00B94F8E" w:rsidRPr="00B94F8E" w:rsidRDefault="00B94F8E" w:rsidP="00B94F8E">
      <w:pPr>
        <w:spacing w:after="120"/>
        <w:ind w:firstLine="709"/>
        <w:jc w:val="both"/>
        <w:rPr>
          <w:rFonts w:ascii="Arial Narrow" w:hAnsi="Arial Narrow"/>
          <w:lang w:val="bg-BG" w:eastAsia="bg-BG"/>
        </w:rPr>
      </w:pPr>
      <w:r w:rsidRPr="00B94F8E">
        <w:rPr>
          <w:rFonts w:ascii="Arial Narrow" w:hAnsi="Arial Narrow"/>
          <w:lang w:val="bg-BG" w:eastAsia="bg-BG"/>
        </w:rPr>
        <w:t xml:space="preserve">Общият финансов резултат на ДП от оперативната им дейност през 2024 г. е загуба в размер на 2,5 млн. лева след отчисления за данъци. </w:t>
      </w:r>
    </w:p>
    <w:p w14:paraId="00F23F78" w14:textId="77777777" w:rsidR="00B94F8E" w:rsidRPr="00B94F8E" w:rsidRDefault="00B94F8E" w:rsidP="00B94F8E">
      <w:pPr>
        <w:spacing w:after="120"/>
        <w:ind w:firstLine="709"/>
        <w:jc w:val="both"/>
        <w:rPr>
          <w:rFonts w:ascii="Arial Narrow" w:hAnsi="Arial Narrow"/>
          <w:lang w:val="bg-BG" w:eastAsia="bg-BG"/>
        </w:rPr>
      </w:pPr>
      <w:r w:rsidRPr="00B94F8E">
        <w:rPr>
          <w:rFonts w:ascii="Arial Narrow" w:hAnsi="Arial Narrow"/>
          <w:lang w:val="bg-BG" w:eastAsia="bg-BG"/>
        </w:rPr>
        <w:t>Съгласно утвърдените финансови планове за 2025 г., за извършване на цялостната си дейност ДП планират приходи в размер на 495,1 млн. лева и разходи в размер на 493,9 млн. лева.</w:t>
      </w:r>
    </w:p>
    <w:p w14:paraId="687993DE" w14:textId="77777777" w:rsidR="00B94F8E" w:rsidRPr="00B94F8E" w:rsidRDefault="00B94F8E" w:rsidP="00B94F8E">
      <w:pPr>
        <w:spacing w:after="120"/>
        <w:ind w:firstLine="709"/>
        <w:jc w:val="both"/>
        <w:rPr>
          <w:rFonts w:ascii="Arial Narrow" w:hAnsi="Arial Narrow"/>
          <w:lang w:val="bg-BG" w:eastAsia="bg-BG"/>
        </w:rPr>
      </w:pPr>
      <w:r w:rsidRPr="00B94F8E">
        <w:rPr>
          <w:rFonts w:ascii="Arial Narrow" w:hAnsi="Arial Narrow"/>
          <w:lang w:val="bg-BG" w:eastAsia="bg-BG"/>
        </w:rPr>
        <w:t>Направените инвестиции от шестте ДП през 2024 г. са на стойност 59,145 млн. лева, с 11,947 млн. лева по-малко от предходната година. От тях, 43,640 млн. лева (74%) са осъществени със средства от фонд „Инвестиции в горите“ – с 43,640 млн. лева повече от 2023 г., за изпълнение на следните дейности:</w:t>
      </w:r>
    </w:p>
    <w:p w14:paraId="1B2A8B1C" w14:textId="77777777" w:rsidR="00B94F8E" w:rsidRPr="00B94F8E" w:rsidRDefault="00B94F8E" w:rsidP="00BF097E">
      <w:pPr>
        <w:numPr>
          <w:ilvl w:val="0"/>
          <w:numId w:val="17"/>
        </w:numPr>
        <w:spacing w:after="120"/>
        <w:ind w:left="714" w:hanging="357"/>
        <w:contextualSpacing/>
        <w:jc w:val="both"/>
        <w:rPr>
          <w:rFonts w:ascii="Arial Narrow" w:hAnsi="Arial Narrow" w:cs="Arial Narrow"/>
          <w:bCs/>
          <w:lang w:val="bg-BG" w:eastAsia="bg-BG"/>
        </w:rPr>
      </w:pPr>
      <w:r w:rsidRPr="00B94F8E">
        <w:rPr>
          <w:rFonts w:ascii="Arial Narrow" w:hAnsi="Arial Narrow" w:cs="Arial Narrow"/>
          <w:bCs/>
          <w:lang w:val="bg-BG" w:eastAsia="bg-BG"/>
        </w:rPr>
        <w:t xml:space="preserve">проектиране на 25 км нови пътища – 0,414 млн. лева; </w:t>
      </w:r>
    </w:p>
    <w:p w14:paraId="4A277FD9" w14:textId="77777777" w:rsidR="00B94F8E" w:rsidRPr="00B94F8E" w:rsidRDefault="00B94F8E" w:rsidP="00BF097E">
      <w:pPr>
        <w:numPr>
          <w:ilvl w:val="0"/>
          <w:numId w:val="17"/>
        </w:numPr>
        <w:spacing w:after="120"/>
        <w:ind w:left="714" w:hanging="357"/>
        <w:contextualSpacing/>
        <w:jc w:val="both"/>
        <w:rPr>
          <w:rFonts w:ascii="Arial Narrow" w:hAnsi="Arial Narrow" w:cs="Arial Narrow"/>
          <w:bCs/>
          <w:lang w:val="bg-BG" w:eastAsia="bg-BG"/>
        </w:rPr>
      </w:pPr>
      <w:r w:rsidRPr="00B94F8E">
        <w:rPr>
          <w:rFonts w:ascii="Arial Narrow" w:hAnsi="Arial Narrow" w:cs="Arial Narrow"/>
          <w:bCs/>
          <w:lang w:val="bg-BG" w:eastAsia="bg-BG"/>
        </w:rPr>
        <w:t xml:space="preserve">строителство и основен ремонт на горски пътища и транспортна техническа инфраструктура - 26,252 млн. лева; </w:t>
      </w:r>
    </w:p>
    <w:p w14:paraId="68607707" w14:textId="77777777" w:rsidR="00B94F8E" w:rsidRPr="00B94F8E" w:rsidRDefault="00B94F8E" w:rsidP="00BF097E">
      <w:pPr>
        <w:numPr>
          <w:ilvl w:val="0"/>
          <w:numId w:val="17"/>
        </w:numPr>
        <w:spacing w:after="120"/>
        <w:ind w:left="714" w:hanging="357"/>
        <w:contextualSpacing/>
        <w:jc w:val="both"/>
        <w:rPr>
          <w:rFonts w:ascii="Arial Narrow" w:hAnsi="Arial Narrow" w:cs="Arial Narrow"/>
          <w:bCs/>
          <w:lang w:val="bg-BG" w:eastAsia="bg-BG"/>
        </w:rPr>
      </w:pPr>
      <w:r w:rsidRPr="00B94F8E">
        <w:rPr>
          <w:rFonts w:ascii="Arial Narrow" w:hAnsi="Arial Narrow" w:cs="Arial Narrow"/>
          <w:bCs/>
          <w:lang w:val="bg-BG" w:eastAsia="bg-BG"/>
        </w:rPr>
        <w:t>дейности по залесяване – 13,870 млн. лева;</w:t>
      </w:r>
    </w:p>
    <w:p w14:paraId="57C34785" w14:textId="77777777" w:rsidR="00B94F8E" w:rsidRPr="00B94F8E" w:rsidRDefault="00B94F8E" w:rsidP="00BF097E">
      <w:pPr>
        <w:numPr>
          <w:ilvl w:val="0"/>
          <w:numId w:val="17"/>
        </w:numPr>
        <w:spacing w:after="120"/>
        <w:ind w:left="714" w:hanging="357"/>
        <w:jc w:val="both"/>
        <w:rPr>
          <w:rFonts w:ascii="Arial Narrow" w:hAnsi="Arial Narrow" w:cs="Arial Narrow"/>
          <w:bCs/>
          <w:lang w:val="bg-BG" w:eastAsia="bg-BG"/>
        </w:rPr>
      </w:pPr>
      <w:r w:rsidRPr="00B94F8E">
        <w:rPr>
          <w:rFonts w:ascii="Arial Narrow" w:hAnsi="Arial Narrow" w:cs="Arial Narrow"/>
          <w:bCs/>
          <w:lang w:val="bg-BG" w:eastAsia="bg-BG"/>
        </w:rPr>
        <w:lastRenderedPageBreak/>
        <w:t>закупуване на горски територии – 3,104 млн. лева.</w:t>
      </w:r>
    </w:p>
    <w:p w14:paraId="799B9C71" w14:textId="77777777" w:rsidR="00B94F8E" w:rsidRPr="00B94F8E" w:rsidRDefault="00B94F8E" w:rsidP="00B94F8E">
      <w:pPr>
        <w:spacing w:after="120"/>
        <w:ind w:firstLine="709"/>
        <w:jc w:val="both"/>
        <w:rPr>
          <w:rFonts w:ascii="Arial Narrow" w:hAnsi="Arial Narrow"/>
          <w:lang w:val="bg-BG" w:eastAsia="bg-BG"/>
        </w:rPr>
      </w:pPr>
      <w:r w:rsidRPr="00B94F8E">
        <w:rPr>
          <w:rFonts w:ascii="Arial Narrow" w:hAnsi="Arial Narrow"/>
          <w:lang w:val="bg-BG" w:eastAsia="bg-BG"/>
        </w:rPr>
        <w:t>Със средства от стопанската дейност са закупени 29 сгради, 175 транспортни средства и 34 броя специализирана техника и е извършен основен ремонт на 52 сгради и технически съоръжения на обща стойност 11,794 млн. лева.</w:t>
      </w:r>
    </w:p>
    <w:p w14:paraId="61CDA72A" w14:textId="77777777" w:rsidR="00B94F8E" w:rsidRPr="00B94F8E" w:rsidRDefault="00B94F8E" w:rsidP="00B94F8E">
      <w:pPr>
        <w:spacing w:after="120"/>
        <w:ind w:firstLine="709"/>
        <w:jc w:val="both"/>
        <w:rPr>
          <w:rFonts w:ascii="Arial Narrow" w:hAnsi="Arial Narrow"/>
          <w:lang w:val="bg-BG" w:eastAsia="bg-BG"/>
        </w:rPr>
      </w:pPr>
      <w:r w:rsidRPr="00B94F8E">
        <w:rPr>
          <w:rFonts w:ascii="Arial Narrow" w:hAnsi="Arial Narrow"/>
          <w:lang w:val="bg-BG" w:eastAsia="bg-BG"/>
        </w:rPr>
        <w:t>Наличните средства във фонд „Инвестиции в горите“ към 31.12.2024 г. възлизат на общо 41,815 млн. лева или с 27,875 млн. лева по-малко в сравнение с края на 2023 г.</w:t>
      </w:r>
    </w:p>
    <w:p w14:paraId="2992E9E0" w14:textId="77777777" w:rsidR="00B94F8E" w:rsidRPr="00B94F8E" w:rsidRDefault="00B94F8E" w:rsidP="00B94F8E">
      <w:pPr>
        <w:spacing w:after="120"/>
        <w:ind w:firstLine="709"/>
        <w:jc w:val="both"/>
        <w:rPr>
          <w:rFonts w:ascii="Arial Narrow" w:hAnsi="Arial Narrow"/>
          <w:lang w:val="bg-BG" w:eastAsia="bg-BG"/>
        </w:rPr>
      </w:pPr>
      <w:r w:rsidRPr="00B94F8E">
        <w:rPr>
          <w:rFonts w:ascii="Arial Narrow" w:hAnsi="Arial Narrow"/>
          <w:lang w:val="bg-BG" w:eastAsia="bg-BG"/>
        </w:rPr>
        <w:t>Съгласно утвърдените финансови планове за 2025 г., за извършване на цялостната си дейност държавните предприятия планират приходи в размер на 427,1 млн. лева и разходи в размер на 447,7 млн. лева.</w:t>
      </w:r>
    </w:p>
    <w:p w14:paraId="0422F445" w14:textId="77777777" w:rsidR="00B94F8E" w:rsidRPr="00B94F8E" w:rsidRDefault="00ED5011" w:rsidP="00B94F8E">
      <w:pPr>
        <w:pStyle w:val="ListParagraph"/>
        <w:keepNext/>
        <w:numPr>
          <w:ilvl w:val="0"/>
          <w:numId w:val="20"/>
        </w:numPr>
        <w:spacing w:after="120"/>
        <w:outlineLvl w:val="0"/>
        <w:rPr>
          <w:rFonts w:ascii="Arial Narrow" w:hAnsi="Arial Narrow" w:cs="TimesNewRomanUnicode,Bold,Itali"/>
          <w:b/>
          <w:bCs/>
          <w:iCs/>
          <w:lang w:val="bg-BG" w:eastAsia="bg-BG"/>
        </w:rPr>
      </w:pPr>
      <w:bookmarkStart w:id="265" w:name="_Toc119489999"/>
      <w:bookmarkStart w:id="266" w:name="_Toc210747687"/>
      <w:r w:rsidRPr="00B94F8E">
        <w:rPr>
          <w:rFonts w:ascii="Arial Narrow" w:hAnsi="Arial Narrow" w:cs="TimesNewRomanUnicode,Bold,Itali"/>
          <w:b/>
          <w:bCs/>
          <w:iCs/>
          <w:lang w:val="bg-BG" w:eastAsia="bg-BG"/>
        </w:rPr>
        <w:t>Административно обслужване</w:t>
      </w:r>
      <w:bookmarkEnd w:id="265"/>
      <w:bookmarkEnd w:id="266"/>
    </w:p>
    <w:p w14:paraId="4C01AFE4" w14:textId="77777777" w:rsidR="00B94F8E" w:rsidRPr="00B94F8E" w:rsidRDefault="00B94F8E" w:rsidP="00B94F8E">
      <w:pPr>
        <w:spacing w:after="120"/>
        <w:ind w:firstLine="709"/>
        <w:jc w:val="both"/>
        <w:rPr>
          <w:rFonts w:ascii="Arial Narrow" w:hAnsi="Arial Narrow"/>
          <w:lang w:val="bg-BG" w:eastAsia="bg-BG"/>
        </w:rPr>
      </w:pPr>
      <w:r w:rsidRPr="00B94F8E">
        <w:rPr>
          <w:rFonts w:ascii="Arial Narrow" w:hAnsi="Arial Narrow"/>
          <w:lang w:val="bg-BG" w:eastAsia="bg-BG"/>
        </w:rPr>
        <w:t>През 2024 г. са проведени 28 заседания на Комисията за разглеждане на заявления за вписване на физически лица и търговци в публичните регистри на ИАГ по чл. 235 и чл. 241 от ЗГ, в резултат на което са регистрирани и издадени удостоверения на 264 физически лица за упражняване на лесовъдска практика. Регистрирани и издадени са удостоверения на 285 търговци за извършване на дейности в горските територии.</w:t>
      </w:r>
    </w:p>
    <w:p w14:paraId="77C599D6" w14:textId="77777777" w:rsidR="00B94F8E" w:rsidRPr="00B94F8E" w:rsidRDefault="00B94F8E" w:rsidP="00B94F8E">
      <w:pPr>
        <w:spacing w:after="120"/>
        <w:ind w:firstLine="709"/>
        <w:jc w:val="both"/>
        <w:rPr>
          <w:rFonts w:ascii="Arial Narrow" w:hAnsi="Arial Narrow"/>
          <w:lang w:val="bg-BG" w:eastAsia="bg-BG"/>
        </w:rPr>
      </w:pPr>
      <w:r w:rsidRPr="00B94F8E">
        <w:rPr>
          <w:rFonts w:ascii="Arial Narrow" w:hAnsi="Arial Narrow"/>
          <w:lang w:val="bg-BG" w:eastAsia="bg-BG"/>
        </w:rPr>
        <w:t>През годината от публичния регистър по чл. 241, ал. 1 от ЗГ са отписани 190 търговци, а от регистъра по чл. 235 от ЗГ са отписани 58 физически лица. На</w:t>
      </w:r>
      <w:r w:rsidRPr="00B94F8E">
        <w:rPr>
          <w:rFonts w:ascii="Arial Narrow" w:hAnsi="Arial Narrow"/>
          <w:lang w:val="en-GB" w:eastAsia="bg-BG"/>
        </w:rPr>
        <w:t xml:space="preserve"> </w:t>
      </w:r>
      <w:r w:rsidRPr="00B94F8E">
        <w:rPr>
          <w:rFonts w:ascii="Arial Narrow" w:hAnsi="Arial Narrow"/>
          <w:lang w:val="bg-BG" w:eastAsia="bg-BG"/>
        </w:rPr>
        <w:t>12 физически лица и на 6 юридически лица е постановен отказ за вписване в публичните регистри на ИАГ.</w:t>
      </w:r>
    </w:p>
    <w:p w14:paraId="72ABA90A" w14:textId="77777777" w:rsidR="00B94F8E" w:rsidRPr="00B94F8E" w:rsidRDefault="00B94F8E" w:rsidP="00B94F8E">
      <w:pPr>
        <w:spacing w:after="120"/>
        <w:ind w:firstLine="709"/>
        <w:jc w:val="both"/>
        <w:rPr>
          <w:rFonts w:ascii="Arial Narrow" w:hAnsi="Arial Narrow"/>
          <w:lang w:val="bg-BG" w:eastAsia="bg-BG"/>
        </w:rPr>
      </w:pPr>
      <w:r w:rsidRPr="00B94F8E">
        <w:rPr>
          <w:rFonts w:ascii="Arial Narrow" w:hAnsi="Arial Narrow"/>
          <w:lang w:val="bg-BG" w:eastAsia="bg-BG"/>
        </w:rPr>
        <w:t xml:space="preserve">Към 31.12.2024 г. общият брой на регистрираните физически лица за упражняване на лесовъдска практика е </w:t>
      </w:r>
      <w:r w:rsidRPr="00B94F8E">
        <w:rPr>
          <w:rFonts w:ascii="Arial Narrow" w:hAnsi="Arial Narrow"/>
          <w:lang w:val="bg-BG" w:eastAsia="bg-BG" w:bidi="bg-BG"/>
        </w:rPr>
        <w:t>12 667</w:t>
      </w:r>
      <w:r w:rsidRPr="00B94F8E">
        <w:rPr>
          <w:rFonts w:ascii="Arial Narrow" w:hAnsi="Arial Narrow"/>
          <w:lang w:val="bg-BG" w:eastAsia="bg-BG"/>
        </w:rPr>
        <w:t>, а на регистрираните търговци - 4 603.</w:t>
      </w:r>
    </w:p>
    <w:p w14:paraId="3E80E00A" w14:textId="77777777" w:rsidR="00B94F8E" w:rsidRPr="00B94F8E" w:rsidRDefault="00B94F8E" w:rsidP="00B94F8E">
      <w:pPr>
        <w:spacing w:after="120"/>
        <w:ind w:firstLine="709"/>
        <w:jc w:val="both"/>
        <w:rPr>
          <w:rFonts w:ascii="Arial Narrow" w:hAnsi="Arial Narrow"/>
          <w:lang w:val="bg-BG" w:eastAsia="bg-BG"/>
        </w:rPr>
      </w:pPr>
      <w:r w:rsidRPr="00B94F8E">
        <w:rPr>
          <w:rFonts w:ascii="Arial Narrow" w:hAnsi="Arial Narrow"/>
          <w:lang w:val="bg-BG" w:eastAsia="bg-BG"/>
        </w:rPr>
        <w:t>Проведени са 26 изпита по реда на чл. 23</w:t>
      </w:r>
      <w:r w:rsidR="00810973">
        <w:rPr>
          <w:rFonts w:ascii="Arial Narrow" w:hAnsi="Arial Narrow"/>
          <w:lang w:val="bg-BG" w:eastAsia="bg-BG"/>
        </w:rPr>
        <w:t>6а</w:t>
      </w:r>
      <w:r w:rsidRPr="00B94F8E">
        <w:rPr>
          <w:rFonts w:ascii="Arial Narrow" w:hAnsi="Arial Narrow"/>
          <w:lang w:val="bg-BG" w:eastAsia="bg-BG"/>
        </w:rPr>
        <w:t xml:space="preserve"> от ЗГ, на които са се явили общо 439 кандидати, от които издържалите са 192.</w:t>
      </w:r>
    </w:p>
    <w:p w14:paraId="711FBFC3" w14:textId="77777777" w:rsidR="00B94F8E" w:rsidRPr="00B94F8E" w:rsidRDefault="00B94F8E" w:rsidP="00B94F8E">
      <w:pPr>
        <w:spacing w:after="120"/>
        <w:ind w:firstLine="709"/>
        <w:jc w:val="both"/>
        <w:rPr>
          <w:rFonts w:ascii="Arial Narrow" w:hAnsi="Arial Narrow"/>
          <w:lang w:val="bg-BG" w:eastAsia="bg-BG"/>
        </w:rPr>
      </w:pPr>
      <w:r w:rsidRPr="00B94F8E">
        <w:rPr>
          <w:rFonts w:ascii="Arial Narrow" w:hAnsi="Arial Narrow"/>
          <w:lang w:val="bg-BG" w:eastAsia="bg-BG"/>
        </w:rPr>
        <w:t>Направени са множество консултации на собственици, частни лесовъди и други заинтересовани лица по телефон, електронна поща, в приемната на МЗХ и по време на извършените теренни проверки.</w:t>
      </w:r>
    </w:p>
    <w:p w14:paraId="6A0C9DC3" w14:textId="77777777" w:rsidR="00441502" w:rsidRPr="000D1A29" w:rsidRDefault="00184AB8" w:rsidP="00513FF4">
      <w:pPr>
        <w:pStyle w:val="Heading1"/>
        <w:keepLines w:val="0"/>
        <w:numPr>
          <w:ilvl w:val="0"/>
          <w:numId w:val="14"/>
        </w:numPr>
        <w:tabs>
          <w:tab w:val="num" w:pos="360"/>
        </w:tabs>
        <w:overflowPunct w:val="0"/>
        <w:autoSpaceDE w:val="0"/>
        <w:autoSpaceDN w:val="0"/>
        <w:adjustRightInd w:val="0"/>
        <w:spacing w:before="240" w:after="120"/>
        <w:ind w:left="270" w:firstLine="10"/>
        <w:textAlignment w:val="baseline"/>
        <w:rPr>
          <w:rFonts w:ascii="Arial Narrow" w:eastAsia="Times New Roman" w:hAnsi="Arial Narrow"/>
          <w:color w:val="auto"/>
          <w:sz w:val="24"/>
          <w:szCs w:val="24"/>
          <w:lang w:eastAsia="bg-BG"/>
        </w:rPr>
      </w:pPr>
      <w:bookmarkStart w:id="267" w:name="_Toc210747688"/>
      <w:r w:rsidRPr="000D1A29">
        <w:rPr>
          <w:rFonts w:ascii="Arial Narrow" w:eastAsia="Times New Roman" w:hAnsi="Arial Narrow"/>
          <w:color w:val="auto"/>
          <w:sz w:val="24"/>
          <w:szCs w:val="24"/>
          <w:lang w:val="bg-BG" w:eastAsia="bg-BG"/>
        </w:rPr>
        <w:t>РИБАРСТВО</w:t>
      </w:r>
      <w:r w:rsidR="001845CC" w:rsidRPr="000D1A29">
        <w:rPr>
          <w:rFonts w:ascii="Arial Narrow" w:eastAsia="Times New Roman" w:hAnsi="Arial Narrow"/>
          <w:color w:val="auto"/>
          <w:sz w:val="24"/>
          <w:szCs w:val="24"/>
          <w:lang w:val="bg-BG" w:eastAsia="bg-BG"/>
        </w:rPr>
        <w:t xml:space="preserve"> И АКВАКУЛТУРИ</w:t>
      </w:r>
      <w:bookmarkEnd w:id="267"/>
    </w:p>
    <w:p w14:paraId="010D40D9" w14:textId="77777777" w:rsidR="00441502" w:rsidRPr="000D1A29" w:rsidRDefault="00441502" w:rsidP="00513FF4">
      <w:pPr>
        <w:numPr>
          <w:ilvl w:val="0"/>
          <w:numId w:val="12"/>
        </w:numPr>
        <w:spacing w:after="120"/>
        <w:outlineLvl w:val="0"/>
        <w:rPr>
          <w:rFonts w:ascii="Arial Narrow" w:hAnsi="Arial Narrow" w:cs="TimesNewRomanUnicode,Bold,Itali"/>
          <w:b/>
          <w:bCs/>
          <w:iCs/>
          <w:lang w:val="bg-BG" w:eastAsia="bg-BG"/>
        </w:rPr>
      </w:pPr>
      <w:bookmarkStart w:id="268" w:name="_Toc210747689"/>
      <w:r w:rsidRPr="000D1A29">
        <w:rPr>
          <w:rFonts w:ascii="Arial Narrow" w:hAnsi="Arial Narrow" w:cs="TimesNewRomanUnicode,Bold,Itali"/>
          <w:b/>
          <w:bCs/>
          <w:iCs/>
          <w:lang w:val="bg-BG" w:eastAsia="bg-BG"/>
        </w:rPr>
        <w:t>Улов и производство на риба и други водни организми</w:t>
      </w:r>
      <w:bookmarkEnd w:id="268"/>
    </w:p>
    <w:p w14:paraId="747D73BC" w14:textId="77777777" w:rsidR="000D1A29" w:rsidRPr="000D1A29" w:rsidRDefault="00441502" w:rsidP="000D1A29">
      <w:pPr>
        <w:spacing w:after="120"/>
        <w:ind w:firstLine="720"/>
        <w:jc w:val="both"/>
        <w:rPr>
          <w:rFonts w:ascii="Arial Narrow" w:hAnsi="Arial Narrow" w:cstheme="minorBidi"/>
          <w:b/>
          <w:lang w:val="bg-BG" w:eastAsia="bg-BG"/>
        </w:rPr>
      </w:pPr>
      <w:r w:rsidRPr="000D1A29">
        <w:rPr>
          <w:rFonts w:ascii="Arial Narrow" w:hAnsi="Arial Narrow" w:cstheme="minorBidi"/>
          <w:b/>
          <w:lang w:val="bg-BG" w:eastAsia="bg-BG"/>
        </w:rPr>
        <w:t xml:space="preserve">Улов </w:t>
      </w:r>
      <w:r w:rsidR="008964A6" w:rsidRPr="000D1A29">
        <w:rPr>
          <w:rFonts w:ascii="Arial Narrow" w:hAnsi="Arial Narrow" w:cstheme="minorBidi"/>
          <w:b/>
          <w:lang w:val="bg-BG" w:eastAsia="bg-BG"/>
        </w:rPr>
        <w:t>на риба и други водни организми</w:t>
      </w:r>
    </w:p>
    <w:p w14:paraId="0BCDE844" w14:textId="77777777" w:rsidR="000D1A29" w:rsidRPr="00C756E8" w:rsidRDefault="000D1A29" w:rsidP="000D1A29">
      <w:pPr>
        <w:spacing w:after="120" w:line="264" w:lineRule="auto"/>
        <w:ind w:firstLine="709"/>
        <w:jc w:val="both"/>
        <w:rPr>
          <w:rFonts w:ascii="Arial Narrow" w:eastAsiaTheme="minorHAnsi" w:hAnsi="Arial Narrow" w:cstheme="minorBidi"/>
        </w:rPr>
      </w:pPr>
      <w:r w:rsidRPr="00FD63E0">
        <w:rPr>
          <w:rFonts w:ascii="Arial Narrow" w:eastAsiaTheme="minorHAnsi" w:hAnsi="Arial Narrow" w:cstheme="minorBidi"/>
        </w:rPr>
        <w:t xml:space="preserve">По данни на Изпълнителната агенция по рибарство и аквакултури (ИАРА), през </w:t>
      </w:r>
      <w:r w:rsidRPr="00C50F11">
        <w:rPr>
          <w:rFonts w:ascii="Arial Narrow" w:eastAsiaTheme="minorHAnsi" w:hAnsi="Arial Narrow" w:cstheme="minorBidi"/>
        </w:rPr>
        <w:t>2024 г.</w:t>
      </w:r>
      <w:r w:rsidRPr="00C50F11">
        <w:t xml:space="preserve"> </w:t>
      </w:r>
      <w:r w:rsidRPr="00C50F11">
        <w:rPr>
          <w:rFonts w:ascii="Arial Narrow" w:eastAsiaTheme="minorHAnsi" w:hAnsi="Arial Narrow" w:cstheme="minorBidi"/>
        </w:rPr>
        <w:t xml:space="preserve">общият улов на риба и други водни организми от стопански риболов в страната </w:t>
      </w:r>
      <w:r>
        <w:rPr>
          <w:rFonts w:ascii="Arial Narrow" w:eastAsiaTheme="minorHAnsi" w:hAnsi="Arial Narrow" w:cstheme="minorBidi"/>
        </w:rPr>
        <w:t xml:space="preserve">възлиза </w:t>
      </w:r>
      <w:r w:rsidRPr="00C50F11">
        <w:rPr>
          <w:rFonts w:ascii="Arial Narrow" w:eastAsiaTheme="minorHAnsi" w:hAnsi="Arial Narrow" w:cstheme="minorBidi"/>
        </w:rPr>
        <w:t>на 6 862,5 тона</w:t>
      </w:r>
      <w:r w:rsidRPr="00C50F11" w:rsidDel="0046414B">
        <w:rPr>
          <w:rFonts w:ascii="Arial Narrow" w:eastAsiaTheme="minorHAnsi" w:hAnsi="Arial Narrow" w:cstheme="minorBidi"/>
        </w:rPr>
        <w:t xml:space="preserve"> </w:t>
      </w:r>
      <w:r>
        <w:rPr>
          <w:rFonts w:ascii="Arial Narrow" w:eastAsiaTheme="minorHAnsi" w:hAnsi="Arial Narrow" w:cstheme="minorBidi"/>
        </w:rPr>
        <w:t xml:space="preserve">- </w:t>
      </w:r>
      <w:r w:rsidRPr="00C50F11">
        <w:rPr>
          <w:rFonts w:ascii="Arial Narrow" w:eastAsiaTheme="minorHAnsi" w:hAnsi="Arial Narrow" w:cstheme="minorBidi"/>
        </w:rPr>
        <w:t xml:space="preserve">с 2,4%  </w:t>
      </w:r>
      <w:r>
        <w:rPr>
          <w:rFonts w:ascii="Arial Narrow" w:eastAsiaTheme="minorHAnsi" w:hAnsi="Arial Narrow" w:cstheme="minorBidi"/>
        </w:rPr>
        <w:t>повече на годишна база</w:t>
      </w:r>
      <w:r w:rsidRPr="00C50F11">
        <w:rPr>
          <w:rFonts w:ascii="Arial Narrow" w:eastAsiaTheme="minorHAnsi" w:hAnsi="Arial Narrow" w:cstheme="minorBidi"/>
        </w:rPr>
        <w:t xml:space="preserve">, от които 6 784,2 тона в Черно море и 78,3 </w:t>
      </w:r>
      <w:r w:rsidRPr="00C756E8">
        <w:rPr>
          <w:rFonts w:ascii="Arial Narrow" w:eastAsiaTheme="minorHAnsi" w:hAnsi="Arial Narrow" w:cstheme="minorBidi"/>
        </w:rPr>
        <w:t>тона в река Дунав. В сравнение с 2023 г. уловът в Черно море се увеличава с 1,8%, а този в река Дунав над два пъти.</w:t>
      </w:r>
    </w:p>
    <w:p w14:paraId="7554262F" w14:textId="77777777" w:rsidR="000D1A29" w:rsidRDefault="000D1A29" w:rsidP="000D1A29">
      <w:pPr>
        <w:keepNext/>
        <w:tabs>
          <w:tab w:val="left" w:pos="1276"/>
        </w:tabs>
        <w:autoSpaceDE w:val="0"/>
        <w:autoSpaceDN w:val="0"/>
        <w:adjustRightInd w:val="0"/>
        <w:spacing w:after="120"/>
        <w:jc w:val="center"/>
        <w:rPr>
          <w:rFonts w:ascii="Arial Narrow" w:eastAsiaTheme="minorHAnsi" w:hAnsi="Arial Narrow" w:cstheme="minorBidi"/>
          <w:b/>
          <w:i/>
        </w:rPr>
      </w:pPr>
      <w:r w:rsidRPr="00C50F11">
        <w:rPr>
          <w:rFonts w:ascii="Arial Narrow" w:eastAsiaTheme="minorHAnsi" w:hAnsi="Arial Narrow" w:cstheme="minorBidi"/>
          <w:b/>
          <w:i/>
        </w:rPr>
        <w:lastRenderedPageBreak/>
        <w:t>Фигура VІІ.1. Общ улов на риба и други водни организми в страната, тона</w:t>
      </w:r>
    </w:p>
    <w:p w14:paraId="3849BCBB" w14:textId="77777777" w:rsidR="000D1A29" w:rsidRPr="004D2C93" w:rsidRDefault="000D1A29" w:rsidP="000D1A29">
      <w:pPr>
        <w:keepNext/>
        <w:tabs>
          <w:tab w:val="left" w:pos="1276"/>
        </w:tabs>
        <w:autoSpaceDE w:val="0"/>
        <w:autoSpaceDN w:val="0"/>
        <w:adjustRightInd w:val="0"/>
        <w:spacing w:after="120"/>
        <w:jc w:val="center"/>
        <w:rPr>
          <w:rFonts w:ascii="Arial Narrow" w:eastAsiaTheme="minorHAnsi" w:hAnsi="Arial Narrow" w:cstheme="minorBidi"/>
          <w:b/>
          <w:i/>
        </w:rPr>
      </w:pPr>
      <w:r w:rsidRPr="00C50F11">
        <w:rPr>
          <w:noProof/>
        </w:rPr>
        <w:t xml:space="preserve"> </w:t>
      </w:r>
      <w:r w:rsidRPr="00C50F11">
        <w:rPr>
          <w:noProof/>
        </w:rPr>
        <w:drawing>
          <wp:inline distT="0" distB="0" distL="0" distR="0" wp14:anchorId="26009575" wp14:editId="7F727EEB">
            <wp:extent cx="5040000" cy="3060000"/>
            <wp:effectExtent l="0" t="0" r="8255" b="7620"/>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7FDA1BE2" w14:textId="77777777" w:rsidR="000D1A29" w:rsidRPr="00FE2B59" w:rsidRDefault="000D1A29" w:rsidP="00BF097E">
      <w:pPr>
        <w:spacing w:after="240"/>
        <w:ind w:firstLine="709"/>
        <w:rPr>
          <w:rFonts w:ascii="Arial Narrow" w:hAnsi="Arial Narrow" w:cstheme="minorBidi"/>
          <w:sz w:val="18"/>
          <w:szCs w:val="18"/>
        </w:rPr>
      </w:pPr>
      <w:r w:rsidRPr="000D1A29">
        <w:rPr>
          <w:rFonts w:ascii="Arial Narrow" w:hAnsi="Arial Narrow" w:cstheme="minorBidi"/>
          <w:i/>
          <w:sz w:val="18"/>
          <w:szCs w:val="18"/>
        </w:rPr>
        <w:t>Източник:</w:t>
      </w:r>
      <w:r w:rsidRPr="00FE2B59">
        <w:rPr>
          <w:rFonts w:ascii="Arial Narrow" w:hAnsi="Arial Narrow" w:cstheme="minorBidi"/>
          <w:i/>
          <w:sz w:val="18"/>
          <w:szCs w:val="18"/>
        </w:rPr>
        <w:t xml:space="preserve"> </w:t>
      </w:r>
      <w:r w:rsidRPr="00FE2B59">
        <w:rPr>
          <w:rFonts w:ascii="Arial Narrow" w:hAnsi="Arial Narrow" w:cstheme="minorBidi"/>
          <w:sz w:val="18"/>
          <w:szCs w:val="18"/>
        </w:rPr>
        <w:t>ИАРА</w:t>
      </w:r>
    </w:p>
    <w:p w14:paraId="6D6CB804" w14:textId="77777777" w:rsidR="000D1A29" w:rsidRPr="00BC2603" w:rsidRDefault="000D1A29" w:rsidP="000D1A29">
      <w:pPr>
        <w:spacing w:after="120" w:line="264" w:lineRule="auto"/>
        <w:ind w:firstLine="709"/>
        <w:jc w:val="both"/>
        <w:rPr>
          <w:rFonts w:ascii="Arial Narrow" w:eastAsiaTheme="minorHAnsi" w:hAnsi="Arial Narrow" w:cstheme="minorBidi"/>
        </w:rPr>
      </w:pPr>
      <w:r w:rsidRPr="00BC2603">
        <w:rPr>
          <w:rFonts w:ascii="Arial Narrow" w:eastAsiaTheme="minorHAnsi" w:hAnsi="Arial Narrow" w:cstheme="minorBidi"/>
        </w:rPr>
        <w:t xml:space="preserve">Общото количество уловени морски видове риби през 2024 г. </w:t>
      </w:r>
      <w:r>
        <w:rPr>
          <w:rFonts w:ascii="Arial Narrow" w:eastAsiaTheme="minorHAnsi" w:hAnsi="Arial Narrow" w:cstheme="minorBidi"/>
        </w:rPr>
        <w:t>достига</w:t>
      </w:r>
      <w:r w:rsidRPr="00BC2603">
        <w:rPr>
          <w:rFonts w:ascii="Arial Narrow" w:eastAsiaTheme="minorHAnsi" w:hAnsi="Arial Narrow" w:cstheme="minorBidi"/>
        </w:rPr>
        <w:t xml:space="preserve"> 4</w:t>
      </w:r>
      <w:r>
        <w:rPr>
          <w:rFonts w:ascii="Arial Narrow" w:eastAsiaTheme="minorHAnsi" w:hAnsi="Arial Narrow" w:cstheme="minorBidi"/>
        </w:rPr>
        <w:t> </w:t>
      </w:r>
      <w:r w:rsidRPr="00BC2603">
        <w:rPr>
          <w:rFonts w:ascii="Arial Narrow" w:eastAsiaTheme="minorHAnsi" w:hAnsi="Arial Narrow" w:cstheme="minorBidi"/>
        </w:rPr>
        <w:t>162</w:t>
      </w:r>
      <w:r>
        <w:rPr>
          <w:rFonts w:ascii="Arial Narrow" w:eastAsiaTheme="minorHAnsi" w:hAnsi="Arial Narrow" w:cstheme="minorBidi"/>
        </w:rPr>
        <w:t>,</w:t>
      </w:r>
      <w:r w:rsidRPr="00BC2603">
        <w:rPr>
          <w:rFonts w:ascii="Arial Narrow" w:eastAsiaTheme="minorHAnsi" w:hAnsi="Arial Narrow" w:cstheme="minorBidi"/>
        </w:rPr>
        <w:t>6 тона</w:t>
      </w:r>
      <w:r>
        <w:rPr>
          <w:rFonts w:ascii="Arial Narrow" w:eastAsiaTheme="minorHAnsi" w:hAnsi="Arial Narrow" w:cstheme="minorBidi"/>
        </w:rPr>
        <w:t>,</w:t>
      </w:r>
      <w:r w:rsidRPr="00BC2603">
        <w:rPr>
          <w:rFonts w:ascii="Arial Narrow" w:eastAsiaTheme="minorHAnsi" w:hAnsi="Arial Narrow" w:cstheme="minorBidi"/>
        </w:rPr>
        <w:t xml:space="preserve"> с</w:t>
      </w:r>
      <w:r>
        <w:rPr>
          <w:rFonts w:ascii="Arial Narrow" w:eastAsiaTheme="minorHAnsi" w:hAnsi="Arial Narrow" w:cstheme="minorBidi"/>
        </w:rPr>
        <w:t>ъс</w:t>
      </w:r>
      <w:r w:rsidRPr="00BC2603">
        <w:rPr>
          <w:rFonts w:ascii="Arial Narrow" w:eastAsiaTheme="minorHAnsi" w:hAnsi="Arial Narrow" w:cstheme="minorBidi"/>
        </w:rPr>
        <w:t xml:space="preserve"> 77</w:t>
      </w:r>
      <w:r>
        <w:rPr>
          <w:rFonts w:ascii="Arial Narrow" w:eastAsiaTheme="minorHAnsi" w:hAnsi="Arial Narrow" w:cstheme="minorBidi"/>
        </w:rPr>
        <w:t>,</w:t>
      </w:r>
      <w:r w:rsidRPr="00BC2603">
        <w:rPr>
          <w:rFonts w:ascii="Arial Narrow" w:eastAsiaTheme="minorHAnsi" w:hAnsi="Arial Narrow" w:cstheme="minorBidi"/>
        </w:rPr>
        <w:t xml:space="preserve">3 тона </w:t>
      </w:r>
      <w:r>
        <w:rPr>
          <w:rFonts w:ascii="Arial Narrow" w:eastAsiaTheme="minorHAnsi" w:hAnsi="Arial Narrow" w:cstheme="minorBidi"/>
        </w:rPr>
        <w:t>или с 1,9% над нивото от</w:t>
      </w:r>
      <w:r w:rsidRPr="00BC2603">
        <w:rPr>
          <w:rFonts w:ascii="Arial Narrow" w:eastAsiaTheme="minorHAnsi" w:hAnsi="Arial Narrow" w:cstheme="minorBidi"/>
        </w:rPr>
        <w:t xml:space="preserve"> 2023 г. Традиционно, най-значителен е уловът на риба от вида цаца </w:t>
      </w:r>
      <w:r>
        <w:rPr>
          <w:rFonts w:ascii="Arial Narrow" w:eastAsiaTheme="minorHAnsi" w:hAnsi="Arial Narrow" w:cstheme="minorBidi"/>
        </w:rPr>
        <w:t>(</w:t>
      </w:r>
      <w:r w:rsidRPr="00BC2603">
        <w:rPr>
          <w:rFonts w:ascii="Arial Narrow" w:eastAsiaTheme="minorHAnsi" w:hAnsi="Arial Narrow" w:cstheme="minorBidi"/>
        </w:rPr>
        <w:t>копърка, трицона, шпрот</w:t>
      </w:r>
      <w:r>
        <w:rPr>
          <w:rFonts w:ascii="Arial Narrow" w:eastAsiaTheme="minorHAnsi" w:hAnsi="Arial Narrow" w:cstheme="minorBidi"/>
        </w:rPr>
        <w:t>)</w:t>
      </w:r>
      <w:r w:rsidRPr="00BC2603">
        <w:rPr>
          <w:rFonts w:ascii="Arial Narrow" w:eastAsiaTheme="minorHAnsi" w:hAnsi="Arial Narrow" w:cstheme="minorBidi"/>
        </w:rPr>
        <w:t>, възлизащ на 2</w:t>
      </w:r>
      <w:r>
        <w:rPr>
          <w:rFonts w:ascii="Arial Narrow" w:eastAsiaTheme="minorHAnsi" w:hAnsi="Arial Narrow" w:cstheme="minorBidi"/>
        </w:rPr>
        <w:t> </w:t>
      </w:r>
      <w:r w:rsidRPr="00BC2603">
        <w:rPr>
          <w:rFonts w:ascii="Arial Narrow" w:eastAsiaTheme="minorHAnsi" w:hAnsi="Arial Narrow" w:cstheme="minorBidi"/>
        </w:rPr>
        <w:t>836</w:t>
      </w:r>
      <w:r>
        <w:rPr>
          <w:rFonts w:ascii="Arial Narrow" w:eastAsiaTheme="minorHAnsi" w:hAnsi="Arial Narrow" w:cstheme="minorBidi"/>
        </w:rPr>
        <w:t>,</w:t>
      </w:r>
      <w:r w:rsidRPr="00BC2603">
        <w:rPr>
          <w:rFonts w:ascii="Arial Narrow" w:eastAsiaTheme="minorHAnsi" w:hAnsi="Arial Narrow" w:cstheme="minorBidi"/>
        </w:rPr>
        <w:t xml:space="preserve">6 тона, </w:t>
      </w:r>
      <w:r>
        <w:rPr>
          <w:rFonts w:ascii="Arial Narrow" w:eastAsiaTheme="minorHAnsi" w:hAnsi="Arial Narrow" w:cstheme="minorBidi"/>
        </w:rPr>
        <w:t xml:space="preserve">което е с </w:t>
      </w:r>
      <w:r w:rsidRPr="00BC2603">
        <w:rPr>
          <w:rFonts w:ascii="Arial Narrow" w:eastAsiaTheme="minorHAnsi" w:hAnsi="Arial Narrow" w:cstheme="minorBidi"/>
        </w:rPr>
        <w:t>427</w:t>
      </w:r>
      <w:r>
        <w:rPr>
          <w:rFonts w:ascii="Arial Narrow" w:eastAsiaTheme="minorHAnsi" w:hAnsi="Arial Narrow" w:cstheme="minorBidi"/>
        </w:rPr>
        <w:t>,6</w:t>
      </w:r>
      <w:r w:rsidRPr="00BC2603">
        <w:rPr>
          <w:rFonts w:ascii="Arial Narrow" w:eastAsiaTheme="minorHAnsi" w:hAnsi="Arial Narrow" w:cstheme="minorBidi"/>
        </w:rPr>
        <w:t xml:space="preserve"> тона </w:t>
      </w:r>
      <w:r>
        <w:rPr>
          <w:rFonts w:ascii="Arial Narrow" w:eastAsiaTheme="minorHAnsi" w:hAnsi="Arial Narrow" w:cstheme="minorBidi"/>
        </w:rPr>
        <w:t>или 13,1% по-малко</w:t>
      </w:r>
      <w:r w:rsidRPr="00BC2603">
        <w:rPr>
          <w:rFonts w:ascii="Arial Narrow" w:eastAsiaTheme="minorHAnsi" w:hAnsi="Arial Narrow" w:cstheme="minorBidi"/>
        </w:rPr>
        <w:t xml:space="preserve"> </w:t>
      </w:r>
      <w:r>
        <w:rPr>
          <w:rFonts w:ascii="Arial Narrow" w:eastAsiaTheme="minorHAnsi" w:hAnsi="Arial Narrow" w:cstheme="minorBidi"/>
        </w:rPr>
        <w:t>на</w:t>
      </w:r>
      <w:r w:rsidRPr="00BC2603">
        <w:rPr>
          <w:rFonts w:ascii="Arial Narrow" w:eastAsiaTheme="minorHAnsi" w:hAnsi="Arial Narrow" w:cstheme="minorBidi"/>
        </w:rPr>
        <w:t xml:space="preserve"> годи</w:t>
      </w:r>
      <w:r>
        <w:rPr>
          <w:rFonts w:ascii="Arial Narrow" w:eastAsiaTheme="minorHAnsi" w:hAnsi="Arial Narrow" w:cstheme="minorBidi"/>
        </w:rPr>
        <w:t>ш</w:t>
      </w:r>
      <w:r w:rsidRPr="00BC2603">
        <w:rPr>
          <w:rFonts w:ascii="Arial Narrow" w:eastAsiaTheme="minorHAnsi" w:hAnsi="Arial Narrow" w:cstheme="minorBidi"/>
        </w:rPr>
        <w:t>на</w:t>
      </w:r>
      <w:r>
        <w:rPr>
          <w:rFonts w:ascii="Arial Narrow" w:eastAsiaTheme="minorHAnsi" w:hAnsi="Arial Narrow" w:cstheme="minorBidi"/>
        </w:rPr>
        <w:t xml:space="preserve"> база</w:t>
      </w:r>
      <w:r w:rsidRPr="00BC2603">
        <w:rPr>
          <w:rFonts w:ascii="Arial Narrow" w:eastAsiaTheme="minorHAnsi" w:hAnsi="Arial Narrow" w:cstheme="minorBidi"/>
        </w:rPr>
        <w:t xml:space="preserve">. </w:t>
      </w:r>
      <w:r w:rsidRPr="00CA24E9">
        <w:rPr>
          <w:rFonts w:ascii="Arial Narrow" w:eastAsiaTheme="minorHAnsi" w:hAnsi="Arial Narrow" w:cstheme="minorBidi"/>
        </w:rPr>
        <w:t xml:space="preserve">Сред останалите черноморски видове риби, по-съществен е уловът на </w:t>
      </w:r>
      <w:r w:rsidRPr="00BC2603">
        <w:rPr>
          <w:rFonts w:ascii="Arial Narrow" w:eastAsiaTheme="minorHAnsi" w:hAnsi="Arial Narrow" w:cstheme="minorBidi"/>
        </w:rPr>
        <w:t>черноморска барбуня</w:t>
      </w:r>
      <w:r>
        <w:rPr>
          <w:rFonts w:ascii="Arial Narrow" w:eastAsiaTheme="minorHAnsi" w:hAnsi="Arial Narrow" w:cstheme="minorBidi"/>
        </w:rPr>
        <w:t xml:space="preserve"> </w:t>
      </w:r>
      <w:r w:rsidRPr="00BC2603">
        <w:rPr>
          <w:rFonts w:ascii="Arial Narrow" w:eastAsiaTheme="minorHAnsi" w:hAnsi="Arial Narrow" w:cstheme="minorBidi"/>
        </w:rPr>
        <w:t>– 373</w:t>
      </w:r>
      <w:r>
        <w:rPr>
          <w:rFonts w:ascii="Arial Narrow" w:eastAsiaTheme="minorHAnsi" w:hAnsi="Arial Narrow" w:cstheme="minorBidi"/>
        </w:rPr>
        <w:t>,</w:t>
      </w:r>
      <w:r w:rsidRPr="00BC2603">
        <w:rPr>
          <w:rFonts w:ascii="Arial Narrow" w:eastAsiaTheme="minorHAnsi" w:hAnsi="Arial Narrow" w:cstheme="minorBidi"/>
        </w:rPr>
        <w:t>8 тона</w:t>
      </w:r>
      <w:r>
        <w:rPr>
          <w:rFonts w:ascii="Arial Narrow" w:eastAsiaTheme="minorHAnsi" w:hAnsi="Arial Narrow" w:cstheme="minorBidi"/>
        </w:rPr>
        <w:t xml:space="preserve">, </w:t>
      </w:r>
      <w:r w:rsidRPr="00BC2603">
        <w:rPr>
          <w:rFonts w:ascii="Arial Narrow" w:eastAsiaTheme="minorHAnsi" w:hAnsi="Arial Narrow" w:cstheme="minorBidi"/>
        </w:rPr>
        <w:t>лефер -</w:t>
      </w:r>
      <w:r>
        <w:rPr>
          <w:rFonts w:ascii="Arial Narrow" w:eastAsiaTheme="minorHAnsi" w:hAnsi="Arial Narrow" w:cstheme="minorBidi"/>
        </w:rPr>
        <w:t xml:space="preserve"> </w:t>
      </w:r>
      <w:r w:rsidRPr="00BC2603">
        <w:rPr>
          <w:rFonts w:ascii="Arial Narrow" w:eastAsiaTheme="minorHAnsi" w:hAnsi="Arial Narrow" w:cstheme="minorBidi"/>
        </w:rPr>
        <w:t>238</w:t>
      </w:r>
      <w:r>
        <w:rPr>
          <w:rFonts w:ascii="Arial Narrow" w:eastAsiaTheme="minorHAnsi" w:hAnsi="Arial Narrow" w:cstheme="minorBidi"/>
        </w:rPr>
        <w:t>,</w:t>
      </w:r>
      <w:r w:rsidRPr="00BC2603">
        <w:rPr>
          <w:rFonts w:ascii="Arial Narrow" w:eastAsiaTheme="minorHAnsi" w:hAnsi="Arial Narrow" w:cstheme="minorBidi"/>
        </w:rPr>
        <w:t>5 тона</w:t>
      </w:r>
      <w:r>
        <w:rPr>
          <w:rFonts w:ascii="Arial Narrow" w:eastAsiaTheme="minorHAnsi" w:hAnsi="Arial Narrow" w:cstheme="minorBidi"/>
        </w:rPr>
        <w:t xml:space="preserve">, сафрид </w:t>
      </w:r>
      <w:r w:rsidRPr="00BC2603">
        <w:rPr>
          <w:rFonts w:ascii="Arial Narrow" w:eastAsiaTheme="minorHAnsi" w:hAnsi="Arial Narrow" w:cstheme="minorBidi"/>
        </w:rPr>
        <w:t>– 237</w:t>
      </w:r>
      <w:r>
        <w:rPr>
          <w:rFonts w:ascii="Arial Narrow" w:eastAsiaTheme="minorHAnsi" w:hAnsi="Arial Narrow" w:cstheme="minorBidi"/>
        </w:rPr>
        <w:t>,</w:t>
      </w:r>
      <w:r w:rsidRPr="00BC2603">
        <w:rPr>
          <w:rFonts w:ascii="Arial Narrow" w:eastAsiaTheme="minorHAnsi" w:hAnsi="Arial Narrow" w:cstheme="minorBidi"/>
        </w:rPr>
        <w:t>5 тона</w:t>
      </w:r>
      <w:r>
        <w:rPr>
          <w:rFonts w:ascii="Arial Narrow" w:eastAsiaTheme="minorHAnsi" w:hAnsi="Arial Narrow" w:cstheme="minorBidi"/>
        </w:rPr>
        <w:t xml:space="preserve"> и хамсия – 235,7 тона. Уловът на черноморска барбуня нараства с 55% спрямо предходната година, а този на лефер и хамсия - м</w:t>
      </w:r>
      <w:r w:rsidRPr="00B20E68">
        <w:rPr>
          <w:rFonts w:ascii="Arial Narrow" w:eastAsiaTheme="minorHAnsi" w:hAnsi="Arial Narrow" w:cstheme="minorBidi"/>
        </w:rPr>
        <w:t>ногократ</w:t>
      </w:r>
      <w:r>
        <w:rPr>
          <w:rFonts w:ascii="Arial Narrow" w:eastAsiaTheme="minorHAnsi" w:hAnsi="Arial Narrow" w:cstheme="minorBidi"/>
        </w:rPr>
        <w:t>но. Значително</w:t>
      </w:r>
      <w:r w:rsidRPr="00B20E68">
        <w:rPr>
          <w:rFonts w:ascii="Arial Narrow" w:eastAsiaTheme="minorHAnsi" w:hAnsi="Arial Narrow" w:cstheme="minorBidi"/>
        </w:rPr>
        <w:t xml:space="preserve"> </w:t>
      </w:r>
      <w:r>
        <w:rPr>
          <w:rFonts w:ascii="Arial Narrow" w:eastAsiaTheme="minorHAnsi" w:hAnsi="Arial Narrow" w:cstheme="minorBidi"/>
        </w:rPr>
        <w:t>повече са и уловените количества</w:t>
      </w:r>
      <w:r w:rsidRPr="00B20E68">
        <w:rPr>
          <w:rFonts w:ascii="Arial Narrow" w:eastAsiaTheme="minorHAnsi" w:hAnsi="Arial Narrow" w:cstheme="minorBidi"/>
        </w:rPr>
        <w:t xml:space="preserve"> паламуд</w:t>
      </w:r>
      <w:r>
        <w:rPr>
          <w:rFonts w:ascii="Arial Narrow" w:eastAsiaTheme="minorHAnsi" w:hAnsi="Arial Narrow" w:cstheme="minorBidi"/>
        </w:rPr>
        <w:t xml:space="preserve"> (</w:t>
      </w:r>
      <w:r w:rsidRPr="00B20E68">
        <w:rPr>
          <w:rFonts w:ascii="Arial Narrow" w:eastAsiaTheme="minorHAnsi" w:hAnsi="Arial Narrow" w:cstheme="minorBidi"/>
        </w:rPr>
        <w:t xml:space="preserve">с 42,7 тона </w:t>
      </w:r>
      <w:r>
        <w:rPr>
          <w:rFonts w:ascii="Arial Narrow" w:eastAsiaTheme="minorHAnsi" w:hAnsi="Arial Narrow" w:cstheme="minorBidi"/>
        </w:rPr>
        <w:t>или близо 34 пъти),</w:t>
      </w:r>
      <w:r w:rsidRPr="00BC2603">
        <w:rPr>
          <w:rFonts w:ascii="Arial Narrow" w:eastAsiaTheme="minorHAnsi" w:hAnsi="Arial Narrow" w:cstheme="minorBidi"/>
        </w:rPr>
        <w:t xml:space="preserve"> </w:t>
      </w:r>
      <w:r>
        <w:rPr>
          <w:rFonts w:ascii="Arial Narrow" w:eastAsiaTheme="minorHAnsi" w:hAnsi="Arial Narrow" w:cstheme="minorBidi"/>
        </w:rPr>
        <w:t>морска лисица (</w:t>
      </w:r>
      <w:r w:rsidRPr="00BC2603">
        <w:rPr>
          <w:rFonts w:ascii="Arial Narrow" w:eastAsiaTheme="minorHAnsi" w:hAnsi="Arial Narrow" w:cstheme="minorBidi"/>
        </w:rPr>
        <w:t>с</w:t>
      </w:r>
      <w:r>
        <w:rPr>
          <w:rFonts w:ascii="Arial Narrow" w:eastAsiaTheme="minorHAnsi" w:hAnsi="Arial Narrow" w:cstheme="minorBidi"/>
        </w:rPr>
        <w:t>ъс</w:t>
      </w:r>
      <w:r w:rsidRPr="00BC2603">
        <w:rPr>
          <w:rFonts w:ascii="Arial Narrow" w:eastAsiaTheme="minorHAnsi" w:hAnsi="Arial Narrow" w:cstheme="minorBidi"/>
        </w:rPr>
        <w:t xml:space="preserve"> 73</w:t>
      </w:r>
      <w:r>
        <w:rPr>
          <w:rFonts w:ascii="Arial Narrow" w:eastAsiaTheme="minorHAnsi" w:hAnsi="Arial Narrow" w:cstheme="minorBidi"/>
        </w:rPr>
        <w:t>,2</w:t>
      </w:r>
      <w:r w:rsidRPr="00BC2603">
        <w:rPr>
          <w:rFonts w:ascii="Arial Narrow" w:eastAsiaTheme="minorHAnsi" w:hAnsi="Arial Narrow" w:cstheme="minorBidi"/>
        </w:rPr>
        <w:t>%</w:t>
      </w:r>
      <w:r>
        <w:rPr>
          <w:rFonts w:ascii="Arial Narrow" w:eastAsiaTheme="minorHAnsi" w:hAnsi="Arial Narrow" w:cstheme="minorBidi"/>
        </w:rPr>
        <w:t>) и</w:t>
      </w:r>
      <w:r w:rsidRPr="00BC2603">
        <w:rPr>
          <w:rFonts w:ascii="Arial Narrow" w:eastAsiaTheme="minorHAnsi" w:hAnsi="Arial Narrow" w:cstheme="minorBidi"/>
        </w:rPr>
        <w:t xml:space="preserve"> </w:t>
      </w:r>
      <w:r>
        <w:rPr>
          <w:rFonts w:ascii="Arial Narrow" w:eastAsiaTheme="minorHAnsi" w:hAnsi="Arial Narrow" w:cstheme="minorBidi"/>
        </w:rPr>
        <w:t>ч</w:t>
      </w:r>
      <w:r w:rsidRPr="00BC2603">
        <w:rPr>
          <w:rFonts w:ascii="Arial Narrow" w:eastAsiaTheme="minorHAnsi" w:hAnsi="Arial Narrow" w:cstheme="minorBidi"/>
        </w:rPr>
        <w:t>ерноморски меджид</w:t>
      </w:r>
      <w:r>
        <w:rPr>
          <w:rFonts w:ascii="Arial Narrow" w:eastAsiaTheme="minorHAnsi" w:hAnsi="Arial Narrow" w:cstheme="minorBidi"/>
        </w:rPr>
        <w:t xml:space="preserve"> (</w:t>
      </w:r>
      <w:r w:rsidRPr="00BC2603">
        <w:rPr>
          <w:rFonts w:ascii="Arial Narrow" w:eastAsiaTheme="minorHAnsi" w:hAnsi="Arial Narrow" w:cstheme="minorBidi"/>
        </w:rPr>
        <w:t>с 20</w:t>
      </w:r>
      <w:r>
        <w:rPr>
          <w:rFonts w:ascii="Arial Narrow" w:eastAsiaTheme="minorHAnsi" w:hAnsi="Arial Narrow" w:cstheme="minorBidi"/>
        </w:rPr>
        <w:t>,5</w:t>
      </w:r>
      <w:r w:rsidRPr="00BC2603">
        <w:rPr>
          <w:rFonts w:ascii="Arial Narrow" w:eastAsiaTheme="minorHAnsi" w:hAnsi="Arial Narrow" w:cstheme="minorBidi"/>
        </w:rPr>
        <w:t>%</w:t>
      </w:r>
      <w:r>
        <w:rPr>
          <w:rFonts w:ascii="Arial Narrow" w:eastAsiaTheme="minorHAnsi" w:hAnsi="Arial Narrow" w:cstheme="minorBidi"/>
        </w:rPr>
        <w:t>), а намаление е налице при сафрида (</w:t>
      </w:r>
      <w:r w:rsidRPr="00BC2603">
        <w:rPr>
          <w:rFonts w:ascii="Arial Narrow" w:eastAsiaTheme="minorHAnsi" w:hAnsi="Arial Narrow" w:cstheme="minorBidi"/>
        </w:rPr>
        <w:t>с 36,1%</w:t>
      </w:r>
      <w:r>
        <w:rPr>
          <w:rFonts w:ascii="Arial Narrow" w:eastAsiaTheme="minorHAnsi" w:hAnsi="Arial Narrow" w:cstheme="minorBidi"/>
        </w:rPr>
        <w:t>)</w:t>
      </w:r>
      <w:r w:rsidRPr="00BC2603">
        <w:rPr>
          <w:rFonts w:ascii="Arial Narrow" w:eastAsiaTheme="minorHAnsi" w:hAnsi="Arial Narrow" w:cstheme="minorBidi"/>
        </w:rPr>
        <w:t xml:space="preserve"> </w:t>
      </w:r>
      <w:r>
        <w:rPr>
          <w:rFonts w:ascii="Arial Narrow" w:eastAsiaTheme="minorHAnsi" w:hAnsi="Arial Narrow" w:cstheme="minorBidi"/>
        </w:rPr>
        <w:t>и з</w:t>
      </w:r>
      <w:r w:rsidRPr="00BC2603">
        <w:rPr>
          <w:rFonts w:ascii="Arial Narrow" w:eastAsiaTheme="minorHAnsi" w:hAnsi="Arial Narrow" w:cstheme="minorBidi"/>
        </w:rPr>
        <w:t>арган</w:t>
      </w:r>
      <w:r>
        <w:rPr>
          <w:rFonts w:ascii="Arial Narrow" w:eastAsiaTheme="minorHAnsi" w:hAnsi="Arial Narrow" w:cstheme="minorBidi"/>
        </w:rPr>
        <w:t>а (с</w:t>
      </w:r>
      <w:r w:rsidRPr="00BC2603">
        <w:rPr>
          <w:rFonts w:ascii="Arial Narrow" w:eastAsiaTheme="minorHAnsi" w:hAnsi="Arial Narrow" w:cstheme="minorBidi"/>
        </w:rPr>
        <w:t xml:space="preserve"> 30,7%</w:t>
      </w:r>
      <w:r>
        <w:rPr>
          <w:rFonts w:ascii="Arial Narrow" w:eastAsiaTheme="minorHAnsi" w:hAnsi="Arial Narrow" w:cstheme="minorBidi"/>
        </w:rPr>
        <w:t>)</w:t>
      </w:r>
      <w:r w:rsidRPr="00BC2603">
        <w:rPr>
          <w:rFonts w:ascii="Arial Narrow" w:eastAsiaTheme="minorHAnsi" w:hAnsi="Arial Narrow" w:cstheme="minorBidi"/>
        </w:rPr>
        <w:t>.</w:t>
      </w:r>
    </w:p>
    <w:p w14:paraId="7EDC68A9" w14:textId="77777777" w:rsidR="000D1A29" w:rsidRPr="00E65785" w:rsidRDefault="000D1A29" w:rsidP="000D1A29">
      <w:pPr>
        <w:spacing w:after="120" w:line="264" w:lineRule="auto"/>
        <w:ind w:firstLine="709"/>
        <w:jc w:val="both"/>
        <w:rPr>
          <w:rFonts w:ascii="Arial Narrow" w:eastAsiaTheme="minorHAnsi" w:hAnsi="Arial Narrow" w:cstheme="minorBidi"/>
        </w:rPr>
      </w:pPr>
      <w:r w:rsidRPr="00E65785">
        <w:rPr>
          <w:rFonts w:ascii="Arial Narrow" w:eastAsiaTheme="minorHAnsi" w:hAnsi="Arial Narrow" w:cstheme="minorBidi"/>
        </w:rPr>
        <w:t>През 2024 г. уловът на рапани, представляващ основен дял от улова на водни организми в Черно море, е в размер на 2 297 тона</w:t>
      </w:r>
      <w:r>
        <w:rPr>
          <w:rFonts w:ascii="Arial Narrow" w:eastAsiaTheme="minorHAnsi" w:hAnsi="Arial Narrow" w:cstheme="minorBidi"/>
        </w:rPr>
        <w:t>,</w:t>
      </w:r>
      <w:r w:rsidRPr="00E65785">
        <w:rPr>
          <w:rFonts w:ascii="Arial Narrow" w:eastAsiaTheme="minorHAnsi" w:hAnsi="Arial Narrow" w:cstheme="minorBidi"/>
        </w:rPr>
        <w:t xml:space="preserve"> без същест</w:t>
      </w:r>
      <w:r w:rsidR="00372EF2">
        <w:rPr>
          <w:rFonts w:ascii="Arial Narrow" w:eastAsiaTheme="minorHAnsi" w:hAnsi="Arial Narrow" w:cstheme="minorBidi"/>
          <w:lang w:val="bg-BG"/>
        </w:rPr>
        <w:t>в</w:t>
      </w:r>
      <w:r w:rsidRPr="00E65785">
        <w:rPr>
          <w:rFonts w:ascii="Arial Narrow" w:eastAsiaTheme="minorHAnsi" w:hAnsi="Arial Narrow" w:cstheme="minorBidi"/>
        </w:rPr>
        <w:t xml:space="preserve">ена промяна спрямо предходната година </w:t>
      </w:r>
      <w:r>
        <w:rPr>
          <w:rFonts w:ascii="Arial Narrow" w:eastAsiaTheme="minorHAnsi" w:hAnsi="Arial Narrow" w:cstheme="minorBidi"/>
        </w:rPr>
        <w:t>(+0,3%). Уловът</w:t>
      </w:r>
      <w:r w:rsidRPr="00E65785">
        <w:rPr>
          <w:rFonts w:ascii="Arial Narrow" w:eastAsiaTheme="minorHAnsi" w:hAnsi="Arial Narrow" w:cstheme="minorBidi"/>
        </w:rPr>
        <w:t xml:space="preserve"> на черна морска мида</w:t>
      </w:r>
      <w:r>
        <w:rPr>
          <w:rFonts w:ascii="Arial Narrow" w:eastAsiaTheme="minorHAnsi" w:hAnsi="Arial Narrow" w:cstheme="minorBidi"/>
        </w:rPr>
        <w:t xml:space="preserve"> спада </w:t>
      </w:r>
      <w:r w:rsidRPr="00E65785">
        <w:rPr>
          <w:rFonts w:ascii="Arial Narrow" w:eastAsiaTheme="minorHAnsi" w:hAnsi="Arial Narrow" w:cstheme="minorBidi"/>
        </w:rPr>
        <w:t>с 25,5% спрямо 2023 г.</w:t>
      </w:r>
      <w:r>
        <w:rPr>
          <w:rFonts w:ascii="Arial Narrow" w:eastAsiaTheme="minorHAnsi" w:hAnsi="Arial Narrow" w:cstheme="minorBidi"/>
        </w:rPr>
        <w:t>, докато при</w:t>
      </w:r>
      <w:r w:rsidRPr="00E65785">
        <w:rPr>
          <w:rFonts w:ascii="Arial Narrow" w:eastAsiaTheme="minorHAnsi" w:hAnsi="Arial Narrow" w:cstheme="minorBidi"/>
        </w:rPr>
        <w:t xml:space="preserve"> бяла</w:t>
      </w:r>
      <w:r>
        <w:rPr>
          <w:rFonts w:ascii="Arial Narrow" w:eastAsiaTheme="minorHAnsi" w:hAnsi="Arial Narrow" w:cstheme="minorBidi"/>
        </w:rPr>
        <w:t>та</w:t>
      </w:r>
      <w:r w:rsidRPr="00E65785">
        <w:rPr>
          <w:rFonts w:ascii="Arial Narrow" w:eastAsiaTheme="minorHAnsi" w:hAnsi="Arial Narrow" w:cstheme="minorBidi"/>
        </w:rPr>
        <w:t xml:space="preserve"> пясъчна мида, към която се наблюдава съществен интерес през последните години, се отчита ръст от 41,8%</w:t>
      </w:r>
      <w:r>
        <w:rPr>
          <w:rFonts w:ascii="Arial Narrow" w:eastAsiaTheme="minorHAnsi" w:hAnsi="Arial Narrow" w:cstheme="minorBidi"/>
        </w:rPr>
        <w:t>.</w:t>
      </w:r>
    </w:p>
    <w:p w14:paraId="68A81B4C" w14:textId="77777777" w:rsidR="000D1A29" w:rsidRPr="00BC2603" w:rsidRDefault="000D1A29" w:rsidP="000D1A29">
      <w:pPr>
        <w:spacing w:after="120" w:line="264" w:lineRule="auto"/>
        <w:ind w:firstLine="709"/>
        <w:jc w:val="both"/>
        <w:rPr>
          <w:rFonts w:ascii="Arial Narrow" w:eastAsiaTheme="minorHAnsi" w:hAnsi="Arial Narrow" w:cstheme="minorBidi"/>
        </w:rPr>
      </w:pPr>
      <w:r>
        <w:rPr>
          <w:rFonts w:ascii="Arial Narrow" w:eastAsiaTheme="minorHAnsi" w:hAnsi="Arial Narrow" w:cstheme="minorBidi"/>
        </w:rPr>
        <w:t>У</w:t>
      </w:r>
      <w:r w:rsidRPr="00BC2603">
        <w:rPr>
          <w:rFonts w:ascii="Arial Narrow" w:eastAsiaTheme="minorHAnsi" w:hAnsi="Arial Narrow" w:cstheme="minorBidi"/>
        </w:rPr>
        <w:t>лов</w:t>
      </w:r>
      <w:r>
        <w:rPr>
          <w:rFonts w:ascii="Arial Narrow" w:eastAsiaTheme="minorHAnsi" w:hAnsi="Arial Narrow" w:cstheme="minorBidi"/>
        </w:rPr>
        <w:t>еното количество</w:t>
      </w:r>
      <w:r w:rsidRPr="00BC2603">
        <w:rPr>
          <w:rFonts w:ascii="Arial Narrow" w:eastAsiaTheme="minorHAnsi" w:hAnsi="Arial Narrow" w:cstheme="minorBidi"/>
        </w:rPr>
        <w:t xml:space="preserve"> проходни видове риба (карагьоз) в Черно море е 7</w:t>
      </w:r>
      <w:r>
        <w:rPr>
          <w:rFonts w:ascii="Arial Narrow" w:eastAsiaTheme="minorHAnsi" w:hAnsi="Arial Narrow" w:cstheme="minorBidi"/>
        </w:rPr>
        <w:t>,</w:t>
      </w:r>
      <w:r w:rsidRPr="00BC2603">
        <w:rPr>
          <w:rFonts w:ascii="Arial Narrow" w:eastAsiaTheme="minorHAnsi" w:hAnsi="Arial Narrow" w:cstheme="minorBidi"/>
        </w:rPr>
        <w:t xml:space="preserve">32 тона, </w:t>
      </w:r>
      <w:r>
        <w:rPr>
          <w:rFonts w:ascii="Arial Narrow" w:eastAsiaTheme="minorHAnsi" w:hAnsi="Arial Narrow" w:cstheme="minorBidi"/>
        </w:rPr>
        <w:t xml:space="preserve">с 46% повече </w:t>
      </w:r>
      <w:r w:rsidRPr="00BC2603">
        <w:rPr>
          <w:rFonts w:ascii="Arial Narrow" w:eastAsiaTheme="minorHAnsi" w:hAnsi="Arial Narrow" w:cstheme="minorBidi"/>
        </w:rPr>
        <w:t>спрямо предходната година.</w:t>
      </w:r>
    </w:p>
    <w:p w14:paraId="142C0ED9" w14:textId="77777777" w:rsidR="000D1A29" w:rsidRPr="00D16D3D" w:rsidRDefault="000D1A29" w:rsidP="000D1A29">
      <w:pPr>
        <w:keepNext/>
        <w:spacing w:after="120"/>
        <w:jc w:val="both"/>
        <w:rPr>
          <w:rFonts w:ascii="Arial Narrow" w:hAnsi="Arial Narrow" w:cstheme="minorBidi"/>
          <w:b/>
          <w:bCs/>
        </w:rPr>
      </w:pPr>
      <w:r w:rsidRPr="00D16D3D">
        <w:rPr>
          <w:rFonts w:ascii="Arial Narrow" w:hAnsi="Arial Narrow" w:cstheme="minorBidi"/>
          <w:b/>
          <w:bCs/>
        </w:rPr>
        <w:t>Таблица VІІ.1. Общ улов на риба и други водни организми в страната по водни басейни, тона</w:t>
      </w:r>
    </w:p>
    <w:tbl>
      <w:tblPr>
        <w:tblW w:w="4915"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483"/>
        <w:gridCol w:w="1364"/>
        <w:gridCol w:w="1362"/>
        <w:gridCol w:w="1362"/>
        <w:gridCol w:w="1062"/>
      </w:tblGrid>
      <w:tr w:rsidR="000D1A29" w:rsidRPr="00D16D3D" w14:paraId="73537CEA" w14:textId="77777777" w:rsidTr="000D1A29">
        <w:trPr>
          <w:trHeight w:val="770"/>
          <w:tblHeader/>
        </w:trPr>
        <w:tc>
          <w:tcPr>
            <w:tcW w:w="2327" w:type="pct"/>
            <w:shd w:val="clear" w:color="auto" w:fill="auto"/>
            <w:noWrap/>
            <w:vAlign w:val="bottom"/>
          </w:tcPr>
          <w:p w14:paraId="7942654F" w14:textId="77777777" w:rsidR="000D1A29" w:rsidRPr="00D16D3D" w:rsidRDefault="000D1A29" w:rsidP="00F44BFC">
            <w:pPr>
              <w:jc w:val="center"/>
              <w:rPr>
                <w:rFonts w:ascii="Arial Narrow" w:hAnsi="Arial Narrow" w:cs="Arial"/>
                <w:sz w:val="20"/>
                <w:szCs w:val="20"/>
              </w:rPr>
            </w:pPr>
          </w:p>
        </w:tc>
        <w:tc>
          <w:tcPr>
            <w:tcW w:w="708" w:type="pct"/>
            <w:vAlign w:val="center"/>
          </w:tcPr>
          <w:p w14:paraId="033576AC" w14:textId="77777777" w:rsidR="000D1A29" w:rsidRPr="00D16D3D" w:rsidRDefault="000D1A29" w:rsidP="00F44BFC">
            <w:pPr>
              <w:jc w:val="center"/>
              <w:rPr>
                <w:rFonts w:ascii="Arial Narrow" w:hAnsi="Arial Narrow" w:cs="Arial"/>
                <w:b/>
                <w:bCs/>
                <w:sz w:val="20"/>
                <w:szCs w:val="20"/>
              </w:rPr>
            </w:pPr>
            <w:r w:rsidRPr="00D16D3D">
              <w:rPr>
                <w:rFonts w:ascii="Arial Narrow" w:hAnsi="Arial Narrow" w:cs="Arial"/>
                <w:b/>
                <w:bCs/>
                <w:sz w:val="20"/>
                <w:szCs w:val="20"/>
              </w:rPr>
              <w:t>2022</w:t>
            </w:r>
          </w:p>
        </w:tc>
        <w:tc>
          <w:tcPr>
            <w:tcW w:w="707" w:type="pct"/>
            <w:vAlign w:val="center"/>
          </w:tcPr>
          <w:p w14:paraId="35165869" w14:textId="77777777" w:rsidR="000D1A29" w:rsidRPr="00D16D3D" w:rsidRDefault="000D1A29" w:rsidP="00F44BFC">
            <w:pPr>
              <w:jc w:val="center"/>
              <w:rPr>
                <w:rFonts w:ascii="Arial Narrow" w:hAnsi="Arial Narrow" w:cs="Arial"/>
                <w:b/>
                <w:bCs/>
                <w:sz w:val="20"/>
                <w:szCs w:val="20"/>
              </w:rPr>
            </w:pPr>
            <w:r w:rsidRPr="00D16D3D">
              <w:rPr>
                <w:rFonts w:ascii="Arial Narrow" w:hAnsi="Arial Narrow" w:cs="Arial"/>
                <w:b/>
                <w:bCs/>
                <w:sz w:val="20"/>
                <w:szCs w:val="20"/>
              </w:rPr>
              <w:t>2023</w:t>
            </w:r>
          </w:p>
        </w:tc>
        <w:tc>
          <w:tcPr>
            <w:tcW w:w="707" w:type="pct"/>
            <w:shd w:val="clear" w:color="auto" w:fill="auto"/>
            <w:vAlign w:val="center"/>
          </w:tcPr>
          <w:p w14:paraId="354A8944" w14:textId="77777777" w:rsidR="000D1A29" w:rsidRPr="00D16D3D" w:rsidRDefault="000D1A29" w:rsidP="00F44BFC">
            <w:pPr>
              <w:jc w:val="center"/>
              <w:rPr>
                <w:rFonts w:ascii="Arial Narrow" w:hAnsi="Arial Narrow" w:cs="Arial"/>
                <w:b/>
                <w:bCs/>
                <w:sz w:val="20"/>
                <w:szCs w:val="20"/>
              </w:rPr>
            </w:pPr>
            <w:r w:rsidRPr="00D16D3D">
              <w:rPr>
                <w:rFonts w:ascii="Arial Narrow" w:hAnsi="Arial Narrow" w:cs="Arial"/>
                <w:b/>
                <w:bCs/>
                <w:sz w:val="20"/>
                <w:szCs w:val="20"/>
              </w:rPr>
              <w:t>2024</w:t>
            </w:r>
          </w:p>
        </w:tc>
        <w:tc>
          <w:tcPr>
            <w:tcW w:w="551" w:type="pct"/>
            <w:shd w:val="clear" w:color="auto" w:fill="auto"/>
            <w:vAlign w:val="center"/>
          </w:tcPr>
          <w:p w14:paraId="0780CD5F" w14:textId="77777777" w:rsidR="000D1A29" w:rsidRPr="00D16D3D" w:rsidRDefault="000D1A29" w:rsidP="00F44BFC">
            <w:pPr>
              <w:jc w:val="center"/>
              <w:rPr>
                <w:rFonts w:ascii="Arial Narrow" w:hAnsi="Arial Narrow" w:cs="Arial"/>
                <w:b/>
                <w:bCs/>
                <w:sz w:val="20"/>
                <w:szCs w:val="20"/>
              </w:rPr>
            </w:pPr>
            <w:r w:rsidRPr="00D16D3D">
              <w:rPr>
                <w:rFonts w:ascii="Arial Narrow" w:hAnsi="Arial Narrow" w:cs="Arial"/>
                <w:b/>
                <w:bCs/>
                <w:sz w:val="20"/>
                <w:szCs w:val="20"/>
              </w:rPr>
              <w:t>Изменение 2024/2023</w:t>
            </w:r>
          </w:p>
        </w:tc>
      </w:tr>
      <w:tr w:rsidR="000D1A29" w:rsidRPr="00D16D3D" w14:paraId="3F46820A" w14:textId="77777777" w:rsidTr="000D1A29">
        <w:trPr>
          <w:trHeight w:val="449"/>
        </w:trPr>
        <w:tc>
          <w:tcPr>
            <w:tcW w:w="2327" w:type="pct"/>
            <w:shd w:val="clear" w:color="auto" w:fill="auto"/>
            <w:noWrap/>
            <w:vAlign w:val="center"/>
          </w:tcPr>
          <w:p w14:paraId="64EC212E" w14:textId="77777777" w:rsidR="000D1A29" w:rsidRPr="00D16D3D" w:rsidRDefault="000D1A29" w:rsidP="00F44BFC">
            <w:pPr>
              <w:rPr>
                <w:rFonts w:ascii="Arial Narrow" w:hAnsi="Arial Narrow" w:cs="Arial"/>
                <w:b/>
                <w:bCs/>
                <w:sz w:val="20"/>
                <w:szCs w:val="20"/>
              </w:rPr>
            </w:pPr>
            <w:r w:rsidRPr="00D16D3D">
              <w:rPr>
                <w:rFonts w:ascii="Arial Narrow" w:hAnsi="Arial Narrow" w:cs="Arial"/>
                <w:b/>
                <w:bCs/>
                <w:sz w:val="20"/>
                <w:szCs w:val="20"/>
              </w:rPr>
              <w:t xml:space="preserve">Улов в Черно море - общо, в т. ч.:  </w:t>
            </w:r>
          </w:p>
        </w:tc>
        <w:tc>
          <w:tcPr>
            <w:tcW w:w="708" w:type="pct"/>
            <w:tcBorders>
              <w:top w:val="single" w:sz="4" w:space="0" w:color="auto"/>
              <w:left w:val="nil"/>
              <w:bottom w:val="single" w:sz="4" w:space="0" w:color="auto"/>
              <w:right w:val="single" w:sz="4" w:space="0" w:color="auto"/>
            </w:tcBorders>
            <w:shd w:val="clear" w:color="auto" w:fill="auto"/>
            <w:vAlign w:val="center"/>
          </w:tcPr>
          <w:p w14:paraId="51C1CB6F" w14:textId="77777777" w:rsidR="000D1A29" w:rsidRPr="00D16D3D" w:rsidRDefault="000D1A29" w:rsidP="00F44BFC">
            <w:pPr>
              <w:jc w:val="right"/>
              <w:rPr>
                <w:rFonts w:ascii="Arial Narrow" w:hAnsi="Arial Narrow" w:cs="Arial"/>
                <w:b/>
                <w:bCs/>
                <w:sz w:val="20"/>
                <w:szCs w:val="20"/>
              </w:rPr>
            </w:pPr>
            <w:r w:rsidRPr="00D16D3D">
              <w:rPr>
                <w:rFonts w:ascii="Arial Narrow" w:hAnsi="Arial Narrow" w:cs="Arial"/>
                <w:b/>
                <w:bCs/>
                <w:sz w:val="20"/>
                <w:szCs w:val="20"/>
              </w:rPr>
              <w:t>5 546,5</w:t>
            </w:r>
          </w:p>
        </w:tc>
        <w:tc>
          <w:tcPr>
            <w:tcW w:w="707" w:type="pct"/>
            <w:tcBorders>
              <w:top w:val="single" w:sz="4" w:space="0" w:color="auto"/>
              <w:left w:val="nil"/>
              <w:bottom w:val="single" w:sz="4" w:space="0" w:color="auto"/>
              <w:right w:val="single" w:sz="4" w:space="0" w:color="auto"/>
            </w:tcBorders>
            <w:shd w:val="clear" w:color="auto" w:fill="auto"/>
            <w:vAlign w:val="center"/>
          </w:tcPr>
          <w:p w14:paraId="12A6467B" w14:textId="77777777" w:rsidR="000D1A29" w:rsidRPr="00D16D3D" w:rsidRDefault="000D1A29" w:rsidP="00F44BFC">
            <w:pPr>
              <w:jc w:val="right"/>
              <w:rPr>
                <w:rFonts w:ascii="Arial Narrow" w:hAnsi="Arial Narrow" w:cs="Arial"/>
                <w:b/>
                <w:bCs/>
                <w:sz w:val="20"/>
                <w:szCs w:val="20"/>
              </w:rPr>
            </w:pPr>
            <w:r w:rsidRPr="00D16D3D">
              <w:rPr>
                <w:rFonts w:ascii="Arial Narrow" w:hAnsi="Arial Narrow" w:cs="Arial"/>
                <w:b/>
                <w:bCs/>
                <w:sz w:val="20"/>
                <w:szCs w:val="20"/>
              </w:rPr>
              <w:t>6 667,1</w:t>
            </w:r>
          </w:p>
        </w:tc>
        <w:tc>
          <w:tcPr>
            <w:tcW w:w="707" w:type="pct"/>
            <w:tcBorders>
              <w:top w:val="single" w:sz="4" w:space="0" w:color="auto"/>
              <w:left w:val="nil"/>
              <w:bottom w:val="single" w:sz="4" w:space="0" w:color="auto"/>
              <w:right w:val="single" w:sz="4" w:space="0" w:color="auto"/>
            </w:tcBorders>
            <w:shd w:val="clear" w:color="auto" w:fill="auto"/>
            <w:noWrap/>
            <w:vAlign w:val="center"/>
          </w:tcPr>
          <w:p w14:paraId="0FEA9868" w14:textId="77777777" w:rsidR="000D1A29" w:rsidRPr="00D16D3D" w:rsidRDefault="000D1A29" w:rsidP="00F44BFC">
            <w:pPr>
              <w:jc w:val="right"/>
              <w:rPr>
                <w:rFonts w:ascii="Arial Narrow" w:hAnsi="Arial Narrow" w:cs="Arial"/>
                <w:b/>
                <w:bCs/>
                <w:sz w:val="20"/>
                <w:szCs w:val="20"/>
              </w:rPr>
            </w:pPr>
            <w:r w:rsidRPr="00D16D3D">
              <w:rPr>
                <w:rFonts w:ascii="Arial Narrow" w:hAnsi="Arial Narrow" w:cs="Arial"/>
                <w:b/>
                <w:bCs/>
                <w:sz w:val="20"/>
                <w:szCs w:val="20"/>
              </w:rPr>
              <w:t>6 784,2</w:t>
            </w:r>
          </w:p>
        </w:tc>
        <w:tc>
          <w:tcPr>
            <w:tcW w:w="551" w:type="pct"/>
            <w:tcBorders>
              <w:top w:val="single" w:sz="4" w:space="0" w:color="auto"/>
              <w:left w:val="nil"/>
              <w:bottom w:val="single" w:sz="4" w:space="0" w:color="auto"/>
              <w:right w:val="single" w:sz="4" w:space="0" w:color="auto"/>
            </w:tcBorders>
            <w:shd w:val="clear" w:color="auto" w:fill="auto"/>
            <w:noWrap/>
            <w:vAlign w:val="center"/>
          </w:tcPr>
          <w:p w14:paraId="35E57857" w14:textId="77777777" w:rsidR="000D1A29" w:rsidRPr="00D16D3D" w:rsidRDefault="000D1A29" w:rsidP="00F44BFC">
            <w:pPr>
              <w:jc w:val="right"/>
              <w:rPr>
                <w:rFonts w:ascii="Arial Narrow" w:hAnsi="Arial Narrow" w:cs="Arial"/>
                <w:b/>
                <w:bCs/>
                <w:sz w:val="20"/>
                <w:szCs w:val="20"/>
              </w:rPr>
            </w:pPr>
            <w:r w:rsidRPr="00D16D3D">
              <w:rPr>
                <w:rFonts w:ascii="Arial Narrow" w:hAnsi="Arial Narrow" w:cs="Arial"/>
                <w:b/>
                <w:bCs/>
                <w:sz w:val="20"/>
                <w:szCs w:val="20"/>
              </w:rPr>
              <w:t>1,8%</w:t>
            </w:r>
          </w:p>
        </w:tc>
      </w:tr>
      <w:tr w:rsidR="000D1A29" w:rsidRPr="00D16D3D" w14:paraId="675DC3F8" w14:textId="77777777" w:rsidTr="000D1A29">
        <w:trPr>
          <w:trHeight w:val="449"/>
        </w:trPr>
        <w:tc>
          <w:tcPr>
            <w:tcW w:w="2327" w:type="pct"/>
            <w:shd w:val="clear" w:color="auto" w:fill="auto"/>
            <w:noWrap/>
            <w:vAlign w:val="center"/>
          </w:tcPr>
          <w:p w14:paraId="0EF78AB5" w14:textId="77777777" w:rsidR="000D1A29" w:rsidRPr="00D16D3D" w:rsidRDefault="000D1A29" w:rsidP="00F44BFC">
            <w:pPr>
              <w:ind w:firstLineChars="100" w:firstLine="200"/>
              <w:rPr>
                <w:rFonts w:ascii="Arial Narrow" w:hAnsi="Arial Narrow" w:cs="Arial"/>
                <w:sz w:val="20"/>
                <w:szCs w:val="20"/>
              </w:rPr>
            </w:pPr>
            <w:r w:rsidRPr="00D16D3D">
              <w:rPr>
                <w:rFonts w:ascii="Arial Narrow" w:hAnsi="Arial Narrow" w:cs="Arial"/>
                <w:sz w:val="20"/>
                <w:szCs w:val="20"/>
              </w:rPr>
              <w:t>- морски видове риби</w:t>
            </w:r>
          </w:p>
        </w:tc>
        <w:tc>
          <w:tcPr>
            <w:tcW w:w="708" w:type="pct"/>
            <w:tcBorders>
              <w:top w:val="nil"/>
              <w:left w:val="nil"/>
              <w:bottom w:val="single" w:sz="4" w:space="0" w:color="auto"/>
              <w:right w:val="single" w:sz="4" w:space="0" w:color="auto"/>
            </w:tcBorders>
            <w:shd w:val="clear" w:color="auto" w:fill="auto"/>
            <w:vAlign w:val="center"/>
          </w:tcPr>
          <w:p w14:paraId="499109C2" w14:textId="77777777" w:rsidR="000D1A29" w:rsidRPr="00D16D3D" w:rsidRDefault="000D1A29" w:rsidP="00F44BFC">
            <w:pPr>
              <w:jc w:val="right"/>
              <w:rPr>
                <w:rFonts w:ascii="Arial Narrow" w:hAnsi="Arial Narrow" w:cs="Arial"/>
                <w:sz w:val="20"/>
                <w:szCs w:val="20"/>
              </w:rPr>
            </w:pPr>
            <w:r w:rsidRPr="00D16D3D">
              <w:rPr>
                <w:rFonts w:ascii="Arial Narrow" w:hAnsi="Arial Narrow" w:cs="Arial"/>
                <w:sz w:val="20"/>
                <w:szCs w:val="20"/>
              </w:rPr>
              <w:t>2 812,6</w:t>
            </w:r>
          </w:p>
        </w:tc>
        <w:tc>
          <w:tcPr>
            <w:tcW w:w="707" w:type="pct"/>
            <w:tcBorders>
              <w:top w:val="nil"/>
              <w:left w:val="nil"/>
              <w:bottom w:val="single" w:sz="4" w:space="0" w:color="auto"/>
              <w:right w:val="single" w:sz="4" w:space="0" w:color="auto"/>
            </w:tcBorders>
            <w:shd w:val="clear" w:color="auto" w:fill="auto"/>
            <w:vAlign w:val="center"/>
          </w:tcPr>
          <w:p w14:paraId="5C3046AB" w14:textId="77777777" w:rsidR="000D1A29" w:rsidRPr="00D16D3D" w:rsidRDefault="000D1A29" w:rsidP="00F44BFC">
            <w:pPr>
              <w:jc w:val="right"/>
              <w:rPr>
                <w:rFonts w:ascii="Arial Narrow" w:hAnsi="Arial Narrow" w:cs="Arial"/>
                <w:sz w:val="20"/>
                <w:szCs w:val="20"/>
              </w:rPr>
            </w:pPr>
            <w:r w:rsidRPr="00D16D3D">
              <w:rPr>
                <w:rFonts w:ascii="Arial Narrow" w:hAnsi="Arial Narrow" w:cs="Arial"/>
                <w:sz w:val="20"/>
                <w:szCs w:val="20"/>
              </w:rPr>
              <w:t>4 085,3</w:t>
            </w:r>
          </w:p>
        </w:tc>
        <w:tc>
          <w:tcPr>
            <w:tcW w:w="707" w:type="pct"/>
            <w:tcBorders>
              <w:top w:val="nil"/>
              <w:left w:val="nil"/>
              <w:bottom w:val="single" w:sz="4" w:space="0" w:color="auto"/>
              <w:right w:val="single" w:sz="4" w:space="0" w:color="auto"/>
            </w:tcBorders>
            <w:shd w:val="clear" w:color="auto" w:fill="auto"/>
            <w:noWrap/>
            <w:vAlign w:val="center"/>
          </w:tcPr>
          <w:p w14:paraId="4313FD3D" w14:textId="77777777" w:rsidR="000D1A29" w:rsidRPr="00D16D3D" w:rsidRDefault="000D1A29" w:rsidP="00F44BFC">
            <w:pPr>
              <w:jc w:val="right"/>
              <w:rPr>
                <w:rFonts w:ascii="Arial Narrow" w:hAnsi="Arial Narrow" w:cs="Arial"/>
                <w:sz w:val="20"/>
                <w:szCs w:val="20"/>
              </w:rPr>
            </w:pPr>
            <w:r w:rsidRPr="00D16D3D">
              <w:rPr>
                <w:rFonts w:ascii="Arial Narrow" w:hAnsi="Arial Narrow" w:cs="Arial"/>
                <w:sz w:val="20"/>
                <w:szCs w:val="20"/>
              </w:rPr>
              <w:t>4 162,6</w:t>
            </w:r>
          </w:p>
        </w:tc>
        <w:tc>
          <w:tcPr>
            <w:tcW w:w="551" w:type="pct"/>
            <w:tcBorders>
              <w:top w:val="nil"/>
              <w:left w:val="nil"/>
              <w:bottom w:val="single" w:sz="4" w:space="0" w:color="auto"/>
              <w:right w:val="single" w:sz="4" w:space="0" w:color="auto"/>
            </w:tcBorders>
            <w:shd w:val="clear" w:color="auto" w:fill="auto"/>
            <w:noWrap/>
            <w:vAlign w:val="center"/>
          </w:tcPr>
          <w:p w14:paraId="70E6F54F" w14:textId="77777777" w:rsidR="000D1A29" w:rsidRPr="00D16D3D" w:rsidRDefault="000D1A29" w:rsidP="00F44BFC">
            <w:pPr>
              <w:jc w:val="right"/>
              <w:rPr>
                <w:rFonts w:ascii="Arial Narrow" w:hAnsi="Arial Narrow" w:cs="Arial"/>
                <w:sz w:val="20"/>
                <w:szCs w:val="20"/>
              </w:rPr>
            </w:pPr>
            <w:r w:rsidRPr="00D16D3D">
              <w:rPr>
                <w:rFonts w:ascii="Arial Narrow" w:hAnsi="Arial Narrow" w:cs="Arial"/>
                <w:sz w:val="20"/>
                <w:szCs w:val="20"/>
              </w:rPr>
              <w:t>1,9%</w:t>
            </w:r>
          </w:p>
        </w:tc>
      </w:tr>
      <w:tr w:rsidR="000D1A29" w:rsidRPr="00D16D3D" w14:paraId="27482771" w14:textId="77777777" w:rsidTr="000D1A29">
        <w:trPr>
          <w:trHeight w:val="449"/>
        </w:trPr>
        <w:tc>
          <w:tcPr>
            <w:tcW w:w="2327" w:type="pct"/>
            <w:shd w:val="clear" w:color="auto" w:fill="auto"/>
            <w:noWrap/>
            <w:vAlign w:val="center"/>
          </w:tcPr>
          <w:p w14:paraId="1333ED12" w14:textId="77777777" w:rsidR="000D1A29" w:rsidRPr="00D16D3D" w:rsidRDefault="000D1A29" w:rsidP="00F44BFC">
            <w:pPr>
              <w:ind w:firstLineChars="100" w:firstLine="200"/>
              <w:rPr>
                <w:rFonts w:ascii="Arial Narrow" w:hAnsi="Arial Narrow" w:cs="Arial"/>
                <w:sz w:val="20"/>
                <w:szCs w:val="20"/>
              </w:rPr>
            </w:pPr>
            <w:r w:rsidRPr="00D16D3D">
              <w:rPr>
                <w:rFonts w:ascii="Arial Narrow" w:hAnsi="Arial Narrow" w:cs="Arial"/>
                <w:sz w:val="20"/>
                <w:szCs w:val="20"/>
              </w:rPr>
              <w:t>- проходни риби, карагьоз</w:t>
            </w:r>
          </w:p>
        </w:tc>
        <w:tc>
          <w:tcPr>
            <w:tcW w:w="708" w:type="pct"/>
            <w:tcBorders>
              <w:top w:val="nil"/>
              <w:left w:val="nil"/>
              <w:bottom w:val="single" w:sz="4" w:space="0" w:color="auto"/>
              <w:right w:val="single" w:sz="4" w:space="0" w:color="auto"/>
            </w:tcBorders>
            <w:shd w:val="clear" w:color="auto" w:fill="auto"/>
            <w:vAlign w:val="center"/>
          </w:tcPr>
          <w:p w14:paraId="4A1A7533" w14:textId="77777777" w:rsidR="000D1A29" w:rsidRPr="00D16D3D" w:rsidRDefault="000D1A29" w:rsidP="00F44BFC">
            <w:pPr>
              <w:jc w:val="right"/>
              <w:rPr>
                <w:rFonts w:ascii="Arial Narrow" w:hAnsi="Arial Narrow" w:cs="Arial"/>
                <w:sz w:val="20"/>
                <w:szCs w:val="20"/>
              </w:rPr>
            </w:pPr>
            <w:r w:rsidRPr="00D16D3D">
              <w:rPr>
                <w:rFonts w:ascii="Arial Narrow" w:hAnsi="Arial Narrow" w:cs="Arial"/>
                <w:sz w:val="20"/>
                <w:szCs w:val="20"/>
              </w:rPr>
              <w:t>6,8</w:t>
            </w:r>
          </w:p>
        </w:tc>
        <w:tc>
          <w:tcPr>
            <w:tcW w:w="707" w:type="pct"/>
            <w:tcBorders>
              <w:top w:val="nil"/>
              <w:left w:val="nil"/>
              <w:bottom w:val="single" w:sz="4" w:space="0" w:color="auto"/>
              <w:right w:val="single" w:sz="4" w:space="0" w:color="auto"/>
            </w:tcBorders>
            <w:shd w:val="clear" w:color="auto" w:fill="auto"/>
            <w:vAlign w:val="center"/>
          </w:tcPr>
          <w:p w14:paraId="740EFF10" w14:textId="77777777" w:rsidR="000D1A29" w:rsidRPr="00D16D3D" w:rsidRDefault="000D1A29" w:rsidP="00F44BFC">
            <w:pPr>
              <w:jc w:val="right"/>
              <w:rPr>
                <w:rFonts w:ascii="Arial Narrow" w:hAnsi="Arial Narrow" w:cs="Arial"/>
                <w:sz w:val="20"/>
                <w:szCs w:val="20"/>
              </w:rPr>
            </w:pPr>
            <w:r w:rsidRPr="00D16D3D">
              <w:rPr>
                <w:rFonts w:ascii="Arial Narrow" w:hAnsi="Arial Narrow" w:cs="Arial"/>
                <w:sz w:val="20"/>
                <w:szCs w:val="20"/>
              </w:rPr>
              <w:t>5,0</w:t>
            </w:r>
          </w:p>
        </w:tc>
        <w:tc>
          <w:tcPr>
            <w:tcW w:w="707" w:type="pct"/>
            <w:tcBorders>
              <w:top w:val="nil"/>
              <w:left w:val="nil"/>
              <w:bottom w:val="single" w:sz="4" w:space="0" w:color="auto"/>
              <w:right w:val="single" w:sz="4" w:space="0" w:color="auto"/>
            </w:tcBorders>
            <w:shd w:val="clear" w:color="auto" w:fill="auto"/>
            <w:noWrap/>
            <w:vAlign w:val="center"/>
          </w:tcPr>
          <w:p w14:paraId="7E5C0B56" w14:textId="77777777" w:rsidR="000D1A29" w:rsidRPr="00D16D3D" w:rsidRDefault="000D1A29" w:rsidP="00F44BFC">
            <w:pPr>
              <w:jc w:val="right"/>
              <w:rPr>
                <w:rFonts w:ascii="Arial Narrow" w:hAnsi="Arial Narrow" w:cs="Arial"/>
                <w:sz w:val="20"/>
                <w:szCs w:val="20"/>
              </w:rPr>
            </w:pPr>
            <w:r w:rsidRPr="00D16D3D">
              <w:rPr>
                <w:rFonts w:ascii="Arial Narrow" w:hAnsi="Arial Narrow" w:cs="Arial"/>
                <w:sz w:val="20"/>
                <w:szCs w:val="20"/>
              </w:rPr>
              <w:t>7,3</w:t>
            </w:r>
          </w:p>
        </w:tc>
        <w:tc>
          <w:tcPr>
            <w:tcW w:w="551" w:type="pct"/>
            <w:tcBorders>
              <w:top w:val="nil"/>
              <w:left w:val="nil"/>
              <w:bottom w:val="single" w:sz="4" w:space="0" w:color="auto"/>
              <w:right w:val="single" w:sz="4" w:space="0" w:color="auto"/>
            </w:tcBorders>
            <w:shd w:val="clear" w:color="auto" w:fill="auto"/>
            <w:noWrap/>
            <w:vAlign w:val="center"/>
          </w:tcPr>
          <w:p w14:paraId="2C2BCC44" w14:textId="77777777" w:rsidR="000D1A29" w:rsidRPr="00CA24E9" w:rsidRDefault="000D1A29" w:rsidP="00F44BFC">
            <w:pPr>
              <w:jc w:val="right"/>
              <w:rPr>
                <w:rFonts w:ascii="Arial Narrow" w:hAnsi="Arial Narrow" w:cs="Arial"/>
                <w:sz w:val="20"/>
                <w:szCs w:val="20"/>
              </w:rPr>
            </w:pPr>
            <w:r w:rsidRPr="00D16D3D">
              <w:rPr>
                <w:rFonts w:ascii="Arial Narrow" w:hAnsi="Arial Narrow" w:cs="Arial"/>
                <w:sz w:val="20"/>
                <w:szCs w:val="20"/>
              </w:rPr>
              <w:t>46,0%</w:t>
            </w:r>
          </w:p>
        </w:tc>
      </w:tr>
      <w:tr w:rsidR="000D1A29" w:rsidRPr="00D16D3D" w14:paraId="305FBDAD" w14:textId="77777777" w:rsidTr="000D1A29">
        <w:trPr>
          <w:trHeight w:val="449"/>
        </w:trPr>
        <w:tc>
          <w:tcPr>
            <w:tcW w:w="2327" w:type="pct"/>
            <w:shd w:val="clear" w:color="auto" w:fill="auto"/>
            <w:noWrap/>
            <w:vAlign w:val="center"/>
          </w:tcPr>
          <w:p w14:paraId="161DF29E" w14:textId="77777777" w:rsidR="000D1A29" w:rsidRPr="00D16D3D" w:rsidRDefault="000D1A29" w:rsidP="00F44BFC">
            <w:pPr>
              <w:ind w:firstLineChars="100" w:firstLine="200"/>
              <w:rPr>
                <w:rFonts w:ascii="Arial Narrow" w:hAnsi="Arial Narrow" w:cs="Arial"/>
                <w:sz w:val="20"/>
                <w:szCs w:val="20"/>
              </w:rPr>
            </w:pPr>
            <w:r w:rsidRPr="00D16D3D">
              <w:rPr>
                <w:rFonts w:ascii="Arial Narrow" w:hAnsi="Arial Narrow" w:cs="Arial"/>
                <w:sz w:val="20"/>
                <w:szCs w:val="20"/>
              </w:rPr>
              <w:t>- рапани, миди и скариди</w:t>
            </w:r>
          </w:p>
        </w:tc>
        <w:tc>
          <w:tcPr>
            <w:tcW w:w="708" w:type="pct"/>
            <w:tcBorders>
              <w:top w:val="nil"/>
              <w:left w:val="nil"/>
              <w:bottom w:val="single" w:sz="4" w:space="0" w:color="auto"/>
              <w:right w:val="single" w:sz="4" w:space="0" w:color="auto"/>
            </w:tcBorders>
            <w:shd w:val="clear" w:color="auto" w:fill="auto"/>
            <w:vAlign w:val="center"/>
          </w:tcPr>
          <w:p w14:paraId="15F165B4" w14:textId="77777777" w:rsidR="000D1A29" w:rsidRPr="00D16D3D" w:rsidRDefault="000D1A29" w:rsidP="00F44BFC">
            <w:pPr>
              <w:jc w:val="right"/>
              <w:rPr>
                <w:rFonts w:ascii="Arial Narrow" w:hAnsi="Arial Narrow" w:cs="Arial"/>
                <w:sz w:val="20"/>
                <w:szCs w:val="20"/>
              </w:rPr>
            </w:pPr>
            <w:r w:rsidRPr="00D16D3D">
              <w:rPr>
                <w:rFonts w:ascii="Arial Narrow" w:hAnsi="Arial Narrow" w:cs="Arial"/>
                <w:sz w:val="20"/>
                <w:szCs w:val="20"/>
              </w:rPr>
              <w:t>2 727,0</w:t>
            </w:r>
          </w:p>
        </w:tc>
        <w:tc>
          <w:tcPr>
            <w:tcW w:w="707" w:type="pct"/>
            <w:tcBorders>
              <w:top w:val="nil"/>
              <w:left w:val="nil"/>
              <w:bottom w:val="single" w:sz="4" w:space="0" w:color="auto"/>
              <w:right w:val="single" w:sz="4" w:space="0" w:color="auto"/>
            </w:tcBorders>
            <w:shd w:val="clear" w:color="auto" w:fill="auto"/>
            <w:vAlign w:val="center"/>
          </w:tcPr>
          <w:p w14:paraId="68D756BF" w14:textId="77777777" w:rsidR="000D1A29" w:rsidRPr="00D16D3D" w:rsidRDefault="000D1A29" w:rsidP="00F44BFC">
            <w:pPr>
              <w:jc w:val="right"/>
              <w:rPr>
                <w:rFonts w:ascii="Arial Narrow" w:hAnsi="Arial Narrow" w:cs="Arial"/>
                <w:sz w:val="20"/>
                <w:szCs w:val="20"/>
              </w:rPr>
            </w:pPr>
            <w:r w:rsidRPr="00D16D3D">
              <w:rPr>
                <w:rFonts w:ascii="Arial Narrow" w:hAnsi="Arial Narrow" w:cs="Arial"/>
                <w:sz w:val="20"/>
                <w:szCs w:val="20"/>
              </w:rPr>
              <w:t>2 576,8</w:t>
            </w:r>
          </w:p>
        </w:tc>
        <w:tc>
          <w:tcPr>
            <w:tcW w:w="707" w:type="pct"/>
            <w:tcBorders>
              <w:top w:val="nil"/>
              <w:left w:val="nil"/>
              <w:bottom w:val="single" w:sz="4" w:space="0" w:color="auto"/>
              <w:right w:val="single" w:sz="4" w:space="0" w:color="auto"/>
            </w:tcBorders>
            <w:shd w:val="clear" w:color="auto" w:fill="auto"/>
            <w:noWrap/>
            <w:vAlign w:val="center"/>
          </w:tcPr>
          <w:p w14:paraId="2827CB9C" w14:textId="77777777" w:rsidR="000D1A29" w:rsidRPr="00D16D3D" w:rsidRDefault="000D1A29" w:rsidP="00F44BFC">
            <w:pPr>
              <w:jc w:val="right"/>
              <w:rPr>
                <w:rFonts w:ascii="Arial Narrow" w:hAnsi="Arial Narrow" w:cs="Arial"/>
                <w:sz w:val="20"/>
                <w:szCs w:val="20"/>
              </w:rPr>
            </w:pPr>
            <w:r w:rsidRPr="00D16D3D">
              <w:rPr>
                <w:rFonts w:ascii="Arial Narrow" w:hAnsi="Arial Narrow" w:cs="Arial"/>
                <w:sz w:val="20"/>
                <w:szCs w:val="20"/>
              </w:rPr>
              <w:t>2 614,4</w:t>
            </w:r>
          </w:p>
        </w:tc>
        <w:tc>
          <w:tcPr>
            <w:tcW w:w="551" w:type="pct"/>
            <w:tcBorders>
              <w:top w:val="nil"/>
              <w:left w:val="nil"/>
              <w:bottom w:val="single" w:sz="4" w:space="0" w:color="auto"/>
              <w:right w:val="single" w:sz="4" w:space="0" w:color="auto"/>
            </w:tcBorders>
            <w:shd w:val="clear" w:color="auto" w:fill="auto"/>
            <w:noWrap/>
            <w:vAlign w:val="center"/>
          </w:tcPr>
          <w:p w14:paraId="19BADA91" w14:textId="77777777" w:rsidR="000D1A29" w:rsidRPr="00D16D3D" w:rsidRDefault="000D1A29" w:rsidP="00F44BFC">
            <w:pPr>
              <w:jc w:val="right"/>
              <w:rPr>
                <w:rFonts w:ascii="Arial Narrow" w:hAnsi="Arial Narrow" w:cs="Arial"/>
                <w:sz w:val="20"/>
                <w:szCs w:val="20"/>
              </w:rPr>
            </w:pPr>
            <w:r w:rsidRPr="00D16D3D">
              <w:rPr>
                <w:rFonts w:ascii="Arial Narrow" w:hAnsi="Arial Narrow" w:cs="Arial"/>
                <w:sz w:val="20"/>
                <w:szCs w:val="20"/>
              </w:rPr>
              <w:t>1,5%</w:t>
            </w:r>
          </w:p>
        </w:tc>
      </w:tr>
      <w:tr w:rsidR="000D1A29" w:rsidRPr="00D16D3D" w14:paraId="4D7C18E9" w14:textId="77777777" w:rsidTr="000D1A29">
        <w:trPr>
          <w:trHeight w:val="449"/>
        </w:trPr>
        <w:tc>
          <w:tcPr>
            <w:tcW w:w="2327" w:type="pct"/>
            <w:shd w:val="clear" w:color="auto" w:fill="auto"/>
            <w:noWrap/>
            <w:vAlign w:val="center"/>
          </w:tcPr>
          <w:p w14:paraId="63FC56E2" w14:textId="77777777" w:rsidR="000D1A29" w:rsidRPr="00D16D3D" w:rsidRDefault="000D1A29" w:rsidP="00F44BFC">
            <w:pPr>
              <w:rPr>
                <w:rFonts w:ascii="Arial Narrow" w:hAnsi="Arial Narrow" w:cs="Arial"/>
                <w:b/>
                <w:bCs/>
                <w:sz w:val="20"/>
                <w:szCs w:val="20"/>
              </w:rPr>
            </w:pPr>
            <w:r w:rsidRPr="00D16D3D">
              <w:rPr>
                <w:rFonts w:ascii="Arial Narrow" w:hAnsi="Arial Narrow" w:cs="Arial"/>
                <w:b/>
                <w:bCs/>
                <w:sz w:val="20"/>
                <w:szCs w:val="20"/>
              </w:rPr>
              <w:t>Улов в река Дунав - общо, в т. ч.:</w:t>
            </w:r>
          </w:p>
        </w:tc>
        <w:tc>
          <w:tcPr>
            <w:tcW w:w="708" w:type="pct"/>
            <w:tcBorders>
              <w:top w:val="nil"/>
              <w:left w:val="nil"/>
              <w:bottom w:val="single" w:sz="4" w:space="0" w:color="auto"/>
              <w:right w:val="single" w:sz="4" w:space="0" w:color="auto"/>
            </w:tcBorders>
            <w:shd w:val="clear" w:color="auto" w:fill="auto"/>
            <w:vAlign w:val="center"/>
          </w:tcPr>
          <w:p w14:paraId="629E0F6A" w14:textId="77777777" w:rsidR="000D1A29" w:rsidRPr="00D16D3D" w:rsidRDefault="000D1A29" w:rsidP="00F44BFC">
            <w:pPr>
              <w:jc w:val="right"/>
              <w:rPr>
                <w:rFonts w:ascii="Arial Narrow" w:hAnsi="Arial Narrow" w:cs="Arial"/>
                <w:b/>
                <w:bCs/>
                <w:sz w:val="18"/>
                <w:szCs w:val="18"/>
              </w:rPr>
            </w:pPr>
            <w:r w:rsidRPr="00D16D3D">
              <w:rPr>
                <w:rFonts w:ascii="Arial Narrow" w:hAnsi="Arial Narrow" w:cs="Arial"/>
                <w:b/>
                <w:bCs/>
                <w:sz w:val="18"/>
                <w:szCs w:val="18"/>
              </w:rPr>
              <w:t>47,8</w:t>
            </w:r>
          </w:p>
        </w:tc>
        <w:tc>
          <w:tcPr>
            <w:tcW w:w="707" w:type="pct"/>
            <w:tcBorders>
              <w:top w:val="nil"/>
              <w:left w:val="nil"/>
              <w:bottom w:val="single" w:sz="4" w:space="0" w:color="auto"/>
              <w:right w:val="single" w:sz="4" w:space="0" w:color="auto"/>
            </w:tcBorders>
            <w:shd w:val="clear" w:color="auto" w:fill="auto"/>
            <w:vAlign w:val="center"/>
          </w:tcPr>
          <w:p w14:paraId="64C24440" w14:textId="77777777" w:rsidR="000D1A29" w:rsidRPr="00D16D3D" w:rsidRDefault="000D1A29" w:rsidP="00F44BFC">
            <w:pPr>
              <w:jc w:val="right"/>
              <w:rPr>
                <w:rFonts w:ascii="Arial Narrow" w:hAnsi="Arial Narrow" w:cs="Arial"/>
                <w:b/>
                <w:bCs/>
                <w:sz w:val="18"/>
                <w:szCs w:val="18"/>
              </w:rPr>
            </w:pPr>
            <w:r w:rsidRPr="00D16D3D">
              <w:rPr>
                <w:rFonts w:ascii="Arial Narrow" w:hAnsi="Arial Narrow" w:cs="Arial"/>
                <w:b/>
                <w:bCs/>
                <w:sz w:val="18"/>
                <w:szCs w:val="18"/>
              </w:rPr>
              <w:t>36,7</w:t>
            </w:r>
          </w:p>
        </w:tc>
        <w:tc>
          <w:tcPr>
            <w:tcW w:w="707" w:type="pct"/>
            <w:tcBorders>
              <w:top w:val="nil"/>
              <w:left w:val="nil"/>
              <w:bottom w:val="single" w:sz="4" w:space="0" w:color="auto"/>
              <w:right w:val="single" w:sz="4" w:space="0" w:color="auto"/>
            </w:tcBorders>
            <w:shd w:val="clear" w:color="auto" w:fill="auto"/>
            <w:noWrap/>
            <w:vAlign w:val="center"/>
          </w:tcPr>
          <w:p w14:paraId="0BC136ED" w14:textId="77777777" w:rsidR="000D1A29" w:rsidRPr="00D16D3D" w:rsidRDefault="000D1A29" w:rsidP="00F44BFC">
            <w:pPr>
              <w:jc w:val="right"/>
              <w:rPr>
                <w:rFonts w:ascii="Arial Narrow" w:hAnsi="Arial Narrow" w:cs="Arial"/>
                <w:b/>
                <w:bCs/>
                <w:sz w:val="18"/>
                <w:szCs w:val="18"/>
              </w:rPr>
            </w:pPr>
            <w:r w:rsidRPr="00D16D3D">
              <w:rPr>
                <w:rFonts w:ascii="Arial Narrow" w:hAnsi="Arial Narrow" w:cs="Arial"/>
                <w:b/>
                <w:bCs/>
                <w:sz w:val="18"/>
                <w:szCs w:val="18"/>
              </w:rPr>
              <w:t>78,3</w:t>
            </w:r>
          </w:p>
        </w:tc>
        <w:tc>
          <w:tcPr>
            <w:tcW w:w="551" w:type="pct"/>
            <w:tcBorders>
              <w:top w:val="nil"/>
              <w:left w:val="nil"/>
              <w:bottom w:val="single" w:sz="4" w:space="0" w:color="auto"/>
              <w:right w:val="single" w:sz="4" w:space="0" w:color="auto"/>
            </w:tcBorders>
            <w:shd w:val="clear" w:color="auto" w:fill="auto"/>
            <w:noWrap/>
            <w:vAlign w:val="center"/>
          </w:tcPr>
          <w:p w14:paraId="0E64D640" w14:textId="77777777" w:rsidR="000D1A29" w:rsidRPr="00D62AEF" w:rsidRDefault="000D1A29" w:rsidP="00F44BFC">
            <w:pPr>
              <w:jc w:val="right"/>
              <w:rPr>
                <w:rFonts w:ascii="Arial Narrow" w:hAnsi="Arial Narrow" w:cs="Arial"/>
                <w:b/>
                <w:sz w:val="20"/>
                <w:szCs w:val="20"/>
              </w:rPr>
            </w:pPr>
            <w:r w:rsidRPr="00D62AEF">
              <w:rPr>
                <w:rFonts w:ascii="Arial Narrow" w:hAnsi="Arial Narrow" w:cs="Arial"/>
                <w:b/>
                <w:sz w:val="20"/>
                <w:szCs w:val="20"/>
              </w:rPr>
              <w:t>113,2%</w:t>
            </w:r>
          </w:p>
        </w:tc>
      </w:tr>
      <w:tr w:rsidR="000D1A29" w:rsidRPr="00D16D3D" w14:paraId="1E2E03A5" w14:textId="77777777" w:rsidTr="000D1A29">
        <w:trPr>
          <w:trHeight w:val="449"/>
        </w:trPr>
        <w:tc>
          <w:tcPr>
            <w:tcW w:w="2327" w:type="pct"/>
            <w:shd w:val="clear" w:color="auto" w:fill="auto"/>
            <w:noWrap/>
            <w:vAlign w:val="center"/>
          </w:tcPr>
          <w:p w14:paraId="2CD47D4F" w14:textId="77777777" w:rsidR="000D1A29" w:rsidRPr="00D16D3D" w:rsidRDefault="000D1A29" w:rsidP="00F44BFC">
            <w:pPr>
              <w:ind w:firstLineChars="100" w:firstLine="200"/>
              <w:rPr>
                <w:rFonts w:ascii="Arial Narrow" w:hAnsi="Arial Narrow" w:cs="Arial"/>
                <w:sz w:val="20"/>
                <w:szCs w:val="20"/>
              </w:rPr>
            </w:pPr>
            <w:r w:rsidRPr="00D16D3D">
              <w:rPr>
                <w:rFonts w:ascii="Arial Narrow" w:hAnsi="Arial Narrow" w:cs="Arial"/>
                <w:sz w:val="20"/>
                <w:szCs w:val="20"/>
              </w:rPr>
              <w:t xml:space="preserve">- сладководна риба </w:t>
            </w:r>
          </w:p>
        </w:tc>
        <w:tc>
          <w:tcPr>
            <w:tcW w:w="708" w:type="pct"/>
            <w:tcBorders>
              <w:top w:val="nil"/>
              <w:left w:val="nil"/>
              <w:bottom w:val="single" w:sz="4" w:space="0" w:color="auto"/>
              <w:right w:val="single" w:sz="4" w:space="0" w:color="auto"/>
            </w:tcBorders>
            <w:shd w:val="clear" w:color="auto" w:fill="auto"/>
            <w:vAlign w:val="center"/>
          </w:tcPr>
          <w:p w14:paraId="6ED8114B" w14:textId="77777777" w:rsidR="000D1A29" w:rsidRPr="00D16D3D" w:rsidRDefault="000D1A29" w:rsidP="00F44BFC">
            <w:pPr>
              <w:jc w:val="right"/>
              <w:rPr>
                <w:rFonts w:ascii="Arial Narrow" w:hAnsi="Arial Narrow" w:cs="Arial"/>
                <w:sz w:val="20"/>
                <w:szCs w:val="20"/>
              </w:rPr>
            </w:pPr>
            <w:r w:rsidRPr="00D16D3D">
              <w:rPr>
                <w:rFonts w:ascii="Arial Narrow" w:hAnsi="Arial Narrow" w:cs="Arial"/>
                <w:sz w:val="20"/>
                <w:szCs w:val="20"/>
              </w:rPr>
              <w:t>47,0</w:t>
            </w:r>
          </w:p>
        </w:tc>
        <w:tc>
          <w:tcPr>
            <w:tcW w:w="707" w:type="pct"/>
            <w:tcBorders>
              <w:top w:val="nil"/>
              <w:left w:val="nil"/>
              <w:bottom w:val="single" w:sz="4" w:space="0" w:color="auto"/>
              <w:right w:val="single" w:sz="4" w:space="0" w:color="auto"/>
            </w:tcBorders>
            <w:shd w:val="clear" w:color="auto" w:fill="auto"/>
            <w:vAlign w:val="center"/>
          </w:tcPr>
          <w:p w14:paraId="721C6307" w14:textId="77777777" w:rsidR="000D1A29" w:rsidRPr="00D16D3D" w:rsidRDefault="000D1A29" w:rsidP="00F44BFC">
            <w:pPr>
              <w:jc w:val="right"/>
              <w:rPr>
                <w:rFonts w:ascii="Arial Narrow" w:hAnsi="Arial Narrow" w:cs="Arial"/>
                <w:sz w:val="20"/>
                <w:szCs w:val="20"/>
              </w:rPr>
            </w:pPr>
            <w:r w:rsidRPr="00D16D3D">
              <w:rPr>
                <w:rFonts w:ascii="Arial Narrow" w:hAnsi="Arial Narrow" w:cs="Arial"/>
                <w:sz w:val="20"/>
                <w:szCs w:val="20"/>
              </w:rPr>
              <w:t>36,4</w:t>
            </w:r>
          </w:p>
        </w:tc>
        <w:tc>
          <w:tcPr>
            <w:tcW w:w="707" w:type="pct"/>
            <w:tcBorders>
              <w:top w:val="nil"/>
              <w:left w:val="nil"/>
              <w:bottom w:val="single" w:sz="4" w:space="0" w:color="auto"/>
              <w:right w:val="single" w:sz="4" w:space="0" w:color="auto"/>
            </w:tcBorders>
            <w:shd w:val="clear" w:color="auto" w:fill="auto"/>
            <w:noWrap/>
            <w:vAlign w:val="center"/>
          </w:tcPr>
          <w:p w14:paraId="460FFC41" w14:textId="77777777" w:rsidR="000D1A29" w:rsidRPr="00D16D3D" w:rsidRDefault="000D1A29" w:rsidP="00F44BFC">
            <w:pPr>
              <w:jc w:val="right"/>
              <w:rPr>
                <w:rFonts w:ascii="Arial Narrow" w:hAnsi="Arial Narrow" w:cs="Arial"/>
                <w:sz w:val="20"/>
                <w:szCs w:val="20"/>
              </w:rPr>
            </w:pPr>
            <w:r w:rsidRPr="00D16D3D">
              <w:rPr>
                <w:rFonts w:ascii="Arial Narrow" w:hAnsi="Arial Narrow" w:cs="Arial"/>
                <w:sz w:val="20"/>
                <w:szCs w:val="20"/>
              </w:rPr>
              <w:t>75,3</w:t>
            </w:r>
          </w:p>
        </w:tc>
        <w:tc>
          <w:tcPr>
            <w:tcW w:w="551" w:type="pct"/>
            <w:tcBorders>
              <w:top w:val="nil"/>
              <w:left w:val="nil"/>
              <w:bottom w:val="single" w:sz="4" w:space="0" w:color="auto"/>
              <w:right w:val="single" w:sz="4" w:space="0" w:color="auto"/>
            </w:tcBorders>
            <w:shd w:val="clear" w:color="auto" w:fill="auto"/>
            <w:noWrap/>
            <w:vAlign w:val="center"/>
          </w:tcPr>
          <w:p w14:paraId="6E4D1510" w14:textId="77777777" w:rsidR="000D1A29" w:rsidRPr="00D16D3D" w:rsidRDefault="000D1A29" w:rsidP="00F44BFC">
            <w:pPr>
              <w:jc w:val="right"/>
              <w:rPr>
                <w:rFonts w:ascii="Arial Narrow" w:hAnsi="Arial Narrow" w:cs="Arial"/>
                <w:sz w:val="20"/>
                <w:szCs w:val="20"/>
              </w:rPr>
            </w:pPr>
            <w:r w:rsidRPr="00D16D3D">
              <w:rPr>
                <w:rFonts w:ascii="Arial Narrow" w:hAnsi="Arial Narrow" w:cs="Arial"/>
                <w:sz w:val="20"/>
                <w:szCs w:val="20"/>
              </w:rPr>
              <w:t>106,9%</w:t>
            </w:r>
          </w:p>
        </w:tc>
      </w:tr>
      <w:tr w:rsidR="000D1A29" w:rsidRPr="00D16D3D" w14:paraId="35862064" w14:textId="77777777" w:rsidTr="000D1A29">
        <w:trPr>
          <w:trHeight w:val="449"/>
        </w:trPr>
        <w:tc>
          <w:tcPr>
            <w:tcW w:w="2327" w:type="pct"/>
            <w:shd w:val="clear" w:color="auto" w:fill="auto"/>
            <w:noWrap/>
            <w:vAlign w:val="center"/>
          </w:tcPr>
          <w:p w14:paraId="664E9C18" w14:textId="77777777" w:rsidR="000D1A29" w:rsidRPr="00D16D3D" w:rsidRDefault="000D1A29" w:rsidP="00F44BFC">
            <w:pPr>
              <w:ind w:firstLineChars="100" w:firstLine="200"/>
              <w:rPr>
                <w:rFonts w:ascii="Arial Narrow" w:hAnsi="Arial Narrow" w:cs="Arial"/>
                <w:sz w:val="20"/>
                <w:szCs w:val="20"/>
              </w:rPr>
            </w:pPr>
            <w:r w:rsidRPr="00D16D3D">
              <w:rPr>
                <w:rFonts w:ascii="Arial Narrow" w:hAnsi="Arial Narrow" w:cs="Arial"/>
                <w:sz w:val="20"/>
                <w:szCs w:val="20"/>
              </w:rPr>
              <w:t>- проходни риби, карагьоз</w:t>
            </w:r>
          </w:p>
        </w:tc>
        <w:tc>
          <w:tcPr>
            <w:tcW w:w="708" w:type="pct"/>
            <w:tcBorders>
              <w:top w:val="nil"/>
              <w:left w:val="nil"/>
              <w:bottom w:val="single" w:sz="4" w:space="0" w:color="auto"/>
              <w:right w:val="single" w:sz="4" w:space="0" w:color="auto"/>
            </w:tcBorders>
            <w:shd w:val="clear" w:color="auto" w:fill="auto"/>
            <w:vAlign w:val="center"/>
          </w:tcPr>
          <w:p w14:paraId="70C725AC" w14:textId="77777777" w:rsidR="000D1A29" w:rsidRPr="00D16D3D" w:rsidRDefault="000D1A29" w:rsidP="00F44BFC">
            <w:pPr>
              <w:jc w:val="right"/>
              <w:rPr>
                <w:rFonts w:ascii="Arial Narrow" w:hAnsi="Arial Narrow" w:cs="Arial"/>
                <w:sz w:val="20"/>
                <w:szCs w:val="20"/>
              </w:rPr>
            </w:pPr>
            <w:r w:rsidRPr="00D16D3D">
              <w:rPr>
                <w:rFonts w:ascii="Arial Narrow" w:hAnsi="Arial Narrow" w:cs="Arial"/>
                <w:sz w:val="20"/>
                <w:szCs w:val="20"/>
              </w:rPr>
              <w:t>0,8</w:t>
            </w:r>
          </w:p>
        </w:tc>
        <w:tc>
          <w:tcPr>
            <w:tcW w:w="707" w:type="pct"/>
            <w:tcBorders>
              <w:top w:val="nil"/>
              <w:left w:val="nil"/>
              <w:bottom w:val="single" w:sz="4" w:space="0" w:color="auto"/>
              <w:right w:val="single" w:sz="4" w:space="0" w:color="auto"/>
            </w:tcBorders>
            <w:shd w:val="clear" w:color="auto" w:fill="auto"/>
            <w:vAlign w:val="center"/>
          </w:tcPr>
          <w:p w14:paraId="22FD3956" w14:textId="77777777" w:rsidR="000D1A29" w:rsidRPr="00D16D3D" w:rsidRDefault="000D1A29" w:rsidP="00F44BFC">
            <w:pPr>
              <w:jc w:val="right"/>
              <w:rPr>
                <w:rFonts w:ascii="Arial Narrow" w:hAnsi="Arial Narrow" w:cs="Arial"/>
                <w:sz w:val="20"/>
                <w:szCs w:val="20"/>
              </w:rPr>
            </w:pPr>
            <w:r w:rsidRPr="00D16D3D">
              <w:rPr>
                <w:rFonts w:ascii="Arial Narrow" w:hAnsi="Arial Narrow" w:cs="Arial"/>
                <w:sz w:val="20"/>
                <w:szCs w:val="20"/>
              </w:rPr>
              <w:t>0,3</w:t>
            </w:r>
          </w:p>
        </w:tc>
        <w:tc>
          <w:tcPr>
            <w:tcW w:w="707" w:type="pct"/>
            <w:tcBorders>
              <w:top w:val="nil"/>
              <w:left w:val="nil"/>
              <w:bottom w:val="single" w:sz="4" w:space="0" w:color="auto"/>
              <w:right w:val="single" w:sz="4" w:space="0" w:color="auto"/>
            </w:tcBorders>
            <w:shd w:val="clear" w:color="auto" w:fill="auto"/>
            <w:noWrap/>
            <w:vAlign w:val="center"/>
          </w:tcPr>
          <w:p w14:paraId="678D69D6" w14:textId="77777777" w:rsidR="000D1A29" w:rsidRPr="00D16D3D" w:rsidRDefault="000D1A29" w:rsidP="00F44BFC">
            <w:pPr>
              <w:jc w:val="right"/>
              <w:rPr>
                <w:rFonts w:ascii="Arial Narrow" w:hAnsi="Arial Narrow" w:cs="Arial"/>
                <w:sz w:val="20"/>
                <w:szCs w:val="20"/>
              </w:rPr>
            </w:pPr>
            <w:r w:rsidRPr="00D16D3D">
              <w:rPr>
                <w:rFonts w:ascii="Arial Narrow" w:hAnsi="Arial Narrow" w:cs="Arial"/>
                <w:sz w:val="20"/>
                <w:szCs w:val="20"/>
              </w:rPr>
              <w:t>2,5</w:t>
            </w:r>
          </w:p>
        </w:tc>
        <w:tc>
          <w:tcPr>
            <w:tcW w:w="551" w:type="pct"/>
            <w:tcBorders>
              <w:top w:val="nil"/>
              <w:left w:val="nil"/>
              <w:bottom w:val="single" w:sz="4" w:space="0" w:color="auto"/>
              <w:right w:val="single" w:sz="4" w:space="0" w:color="auto"/>
            </w:tcBorders>
            <w:shd w:val="clear" w:color="auto" w:fill="auto"/>
            <w:noWrap/>
            <w:vAlign w:val="center"/>
          </w:tcPr>
          <w:p w14:paraId="37222F87" w14:textId="77777777" w:rsidR="000D1A29" w:rsidRPr="00D16D3D" w:rsidRDefault="000D1A29" w:rsidP="00F44BFC">
            <w:pPr>
              <w:jc w:val="right"/>
              <w:rPr>
                <w:rFonts w:ascii="Arial Narrow" w:hAnsi="Arial Narrow" w:cs="Arial"/>
                <w:sz w:val="20"/>
                <w:szCs w:val="20"/>
              </w:rPr>
            </w:pPr>
            <w:r w:rsidRPr="00D16D3D">
              <w:rPr>
                <w:rFonts w:ascii="Arial Narrow" w:hAnsi="Arial Narrow" w:cs="Arial"/>
                <w:sz w:val="20"/>
                <w:szCs w:val="20"/>
              </w:rPr>
              <w:t>847,0%</w:t>
            </w:r>
          </w:p>
        </w:tc>
      </w:tr>
      <w:tr w:rsidR="000D1A29" w:rsidRPr="00D16D3D" w14:paraId="143637F7" w14:textId="77777777" w:rsidTr="000D1A29">
        <w:trPr>
          <w:trHeight w:val="449"/>
        </w:trPr>
        <w:tc>
          <w:tcPr>
            <w:tcW w:w="2327" w:type="pct"/>
            <w:shd w:val="clear" w:color="auto" w:fill="auto"/>
            <w:noWrap/>
            <w:vAlign w:val="center"/>
          </w:tcPr>
          <w:p w14:paraId="759567B4" w14:textId="77777777" w:rsidR="000D1A29" w:rsidRPr="00D16D3D" w:rsidRDefault="000D1A29" w:rsidP="00F44BFC">
            <w:pPr>
              <w:ind w:firstLineChars="100" w:firstLine="200"/>
              <w:rPr>
                <w:rFonts w:ascii="Arial Narrow" w:hAnsi="Arial Narrow" w:cs="Arial"/>
                <w:sz w:val="20"/>
                <w:szCs w:val="20"/>
              </w:rPr>
            </w:pPr>
            <w:r w:rsidRPr="00D16D3D">
              <w:rPr>
                <w:rFonts w:ascii="Arial Narrow" w:hAnsi="Arial Narrow" w:cs="Arial"/>
                <w:sz w:val="20"/>
                <w:szCs w:val="20"/>
              </w:rPr>
              <w:lastRenderedPageBreak/>
              <w:t xml:space="preserve">- други водни организми </w:t>
            </w:r>
          </w:p>
        </w:tc>
        <w:tc>
          <w:tcPr>
            <w:tcW w:w="708" w:type="pct"/>
            <w:tcBorders>
              <w:top w:val="nil"/>
              <w:left w:val="nil"/>
              <w:bottom w:val="single" w:sz="4" w:space="0" w:color="auto"/>
              <w:right w:val="single" w:sz="4" w:space="0" w:color="auto"/>
            </w:tcBorders>
            <w:shd w:val="clear" w:color="auto" w:fill="auto"/>
            <w:vAlign w:val="center"/>
          </w:tcPr>
          <w:p w14:paraId="7FB85A40" w14:textId="77777777" w:rsidR="000D1A29" w:rsidRPr="00D16D3D" w:rsidRDefault="000D1A29" w:rsidP="00F44BFC">
            <w:pPr>
              <w:jc w:val="right"/>
              <w:rPr>
                <w:rFonts w:ascii="Arial Narrow" w:hAnsi="Arial Narrow" w:cs="Arial"/>
                <w:sz w:val="20"/>
                <w:szCs w:val="20"/>
              </w:rPr>
            </w:pPr>
            <w:r w:rsidRPr="00D16D3D">
              <w:rPr>
                <w:rFonts w:ascii="Arial Narrow" w:hAnsi="Arial Narrow" w:cs="Arial"/>
                <w:sz w:val="20"/>
                <w:szCs w:val="20"/>
              </w:rPr>
              <w:t>0,02</w:t>
            </w:r>
          </w:p>
        </w:tc>
        <w:tc>
          <w:tcPr>
            <w:tcW w:w="707" w:type="pct"/>
            <w:tcBorders>
              <w:top w:val="nil"/>
              <w:left w:val="nil"/>
              <w:bottom w:val="single" w:sz="4" w:space="0" w:color="auto"/>
              <w:right w:val="single" w:sz="4" w:space="0" w:color="auto"/>
            </w:tcBorders>
            <w:shd w:val="clear" w:color="auto" w:fill="auto"/>
            <w:vAlign w:val="center"/>
          </w:tcPr>
          <w:p w14:paraId="5E6B3ED0" w14:textId="77777777" w:rsidR="000D1A29" w:rsidRPr="00D16D3D" w:rsidRDefault="000D1A29" w:rsidP="00F44BFC">
            <w:pPr>
              <w:jc w:val="right"/>
              <w:rPr>
                <w:rFonts w:ascii="Arial Narrow" w:hAnsi="Arial Narrow" w:cs="Arial"/>
                <w:sz w:val="20"/>
                <w:szCs w:val="20"/>
              </w:rPr>
            </w:pPr>
            <w:r>
              <w:rPr>
                <w:rFonts w:ascii="Arial Narrow" w:hAnsi="Arial Narrow" w:cs="Arial"/>
                <w:sz w:val="20"/>
                <w:szCs w:val="20"/>
              </w:rPr>
              <w:t xml:space="preserve"> -</w:t>
            </w:r>
          </w:p>
        </w:tc>
        <w:tc>
          <w:tcPr>
            <w:tcW w:w="707" w:type="pct"/>
            <w:tcBorders>
              <w:top w:val="nil"/>
              <w:left w:val="nil"/>
              <w:bottom w:val="single" w:sz="4" w:space="0" w:color="auto"/>
              <w:right w:val="single" w:sz="4" w:space="0" w:color="auto"/>
            </w:tcBorders>
            <w:shd w:val="clear" w:color="auto" w:fill="auto"/>
            <w:noWrap/>
            <w:vAlign w:val="center"/>
          </w:tcPr>
          <w:p w14:paraId="53558B40" w14:textId="77777777" w:rsidR="000D1A29" w:rsidRPr="00D16D3D" w:rsidRDefault="000D1A29" w:rsidP="00F44BFC">
            <w:pPr>
              <w:jc w:val="right"/>
              <w:rPr>
                <w:rFonts w:ascii="Arial Narrow" w:hAnsi="Arial Narrow" w:cs="Arial"/>
                <w:sz w:val="20"/>
                <w:szCs w:val="20"/>
              </w:rPr>
            </w:pPr>
            <w:r w:rsidRPr="00D16D3D">
              <w:rPr>
                <w:rFonts w:ascii="Arial Narrow" w:hAnsi="Arial Narrow" w:cs="Arial"/>
                <w:sz w:val="20"/>
                <w:szCs w:val="20"/>
              </w:rPr>
              <w:t>0,4</w:t>
            </w:r>
          </w:p>
        </w:tc>
        <w:tc>
          <w:tcPr>
            <w:tcW w:w="551" w:type="pct"/>
            <w:tcBorders>
              <w:top w:val="nil"/>
              <w:left w:val="nil"/>
              <w:bottom w:val="single" w:sz="4" w:space="0" w:color="auto"/>
              <w:right w:val="single" w:sz="4" w:space="0" w:color="auto"/>
            </w:tcBorders>
            <w:shd w:val="clear" w:color="auto" w:fill="auto"/>
            <w:noWrap/>
            <w:vAlign w:val="center"/>
          </w:tcPr>
          <w:p w14:paraId="13CC005A" w14:textId="77777777" w:rsidR="000D1A29" w:rsidRPr="00D16D3D" w:rsidRDefault="000D1A29" w:rsidP="00F44BFC">
            <w:pPr>
              <w:jc w:val="right"/>
              <w:rPr>
                <w:rFonts w:ascii="Arial Narrow" w:hAnsi="Arial Narrow" w:cs="Arial"/>
                <w:sz w:val="20"/>
                <w:szCs w:val="20"/>
              </w:rPr>
            </w:pPr>
            <w:r w:rsidRPr="00D16D3D">
              <w:rPr>
                <w:rFonts w:ascii="Arial Narrow" w:hAnsi="Arial Narrow" w:cs="Arial"/>
                <w:sz w:val="20"/>
                <w:szCs w:val="20"/>
              </w:rPr>
              <w:t xml:space="preserve"> -</w:t>
            </w:r>
          </w:p>
        </w:tc>
      </w:tr>
      <w:tr w:rsidR="000D1A29" w:rsidRPr="00D16D3D" w14:paraId="46D7DCCF" w14:textId="77777777" w:rsidTr="000D1A29">
        <w:trPr>
          <w:trHeight w:val="449"/>
        </w:trPr>
        <w:tc>
          <w:tcPr>
            <w:tcW w:w="2327" w:type="pct"/>
            <w:shd w:val="clear" w:color="auto" w:fill="auto"/>
            <w:noWrap/>
            <w:vAlign w:val="center"/>
          </w:tcPr>
          <w:p w14:paraId="7F0DCC34" w14:textId="77777777" w:rsidR="000D1A29" w:rsidRPr="00D16D3D" w:rsidRDefault="000D1A29" w:rsidP="00F44BFC">
            <w:pPr>
              <w:rPr>
                <w:rFonts w:ascii="Arial Narrow" w:hAnsi="Arial Narrow" w:cs="Arial"/>
                <w:b/>
                <w:bCs/>
                <w:sz w:val="20"/>
                <w:szCs w:val="20"/>
              </w:rPr>
            </w:pPr>
            <w:r w:rsidRPr="00D16D3D">
              <w:rPr>
                <w:rFonts w:ascii="Arial Narrow" w:hAnsi="Arial Narrow" w:cs="Arial"/>
                <w:b/>
                <w:bCs/>
                <w:sz w:val="20"/>
                <w:szCs w:val="20"/>
              </w:rPr>
              <w:t>Общ улов на риба и други водни организми</w:t>
            </w:r>
          </w:p>
        </w:tc>
        <w:tc>
          <w:tcPr>
            <w:tcW w:w="708" w:type="pct"/>
            <w:tcBorders>
              <w:top w:val="nil"/>
              <w:left w:val="nil"/>
              <w:bottom w:val="single" w:sz="4" w:space="0" w:color="auto"/>
              <w:right w:val="single" w:sz="4" w:space="0" w:color="auto"/>
            </w:tcBorders>
            <w:shd w:val="clear" w:color="auto" w:fill="auto"/>
            <w:vAlign w:val="center"/>
          </w:tcPr>
          <w:p w14:paraId="4F5FE00D" w14:textId="77777777" w:rsidR="000D1A29" w:rsidRPr="00D16D3D" w:rsidRDefault="000D1A29" w:rsidP="00F44BFC">
            <w:pPr>
              <w:jc w:val="right"/>
              <w:rPr>
                <w:rFonts w:ascii="Arial Narrow" w:hAnsi="Arial Narrow" w:cs="Arial"/>
                <w:b/>
                <w:bCs/>
                <w:sz w:val="20"/>
                <w:szCs w:val="20"/>
              </w:rPr>
            </w:pPr>
            <w:r w:rsidRPr="00D16D3D">
              <w:rPr>
                <w:rFonts w:ascii="Arial Narrow" w:hAnsi="Arial Narrow" w:cs="Arial"/>
                <w:b/>
                <w:bCs/>
                <w:sz w:val="20"/>
                <w:szCs w:val="20"/>
              </w:rPr>
              <w:t>5 594,3</w:t>
            </w:r>
          </w:p>
        </w:tc>
        <w:tc>
          <w:tcPr>
            <w:tcW w:w="707" w:type="pct"/>
            <w:tcBorders>
              <w:top w:val="nil"/>
              <w:left w:val="nil"/>
              <w:bottom w:val="single" w:sz="4" w:space="0" w:color="auto"/>
              <w:right w:val="single" w:sz="4" w:space="0" w:color="auto"/>
            </w:tcBorders>
            <w:shd w:val="clear" w:color="auto" w:fill="auto"/>
            <w:vAlign w:val="center"/>
          </w:tcPr>
          <w:p w14:paraId="2C2321A0" w14:textId="77777777" w:rsidR="000D1A29" w:rsidRPr="00D16D3D" w:rsidRDefault="000D1A29" w:rsidP="00F44BFC">
            <w:pPr>
              <w:jc w:val="right"/>
              <w:rPr>
                <w:rFonts w:ascii="Arial Narrow" w:hAnsi="Arial Narrow" w:cs="Arial"/>
                <w:b/>
                <w:bCs/>
                <w:sz w:val="20"/>
                <w:szCs w:val="20"/>
              </w:rPr>
            </w:pPr>
            <w:r w:rsidRPr="00D16D3D">
              <w:rPr>
                <w:rFonts w:ascii="Arial Narrow" w:hAnsi="Arial Narrow" w:cs="Arial"/>
                <w:b/>
                <w:bCs/>
                <w:sz w:val="20"/>
                <w:szCs w:val="20"/>
              </w:rPr>
              <w:t>6 704,1</w:t>
            </w:r>
          </w:p>
        </w:tc>
        <w:tc>
          <w:tcPr>
            <w:tcW w:w="707" w:type="pct"/>
            <w:tcBorders>
              <w:top w:val="nil"/>
              <w:left w:val="nil"/>
              <w:bottom w:val="single" w:sz="4" w:space="0" w:color="auto"/>
              <w:right w:val="single" w:sz="4" w:space="0" w:color="auto"/>
            </w:tcBorders>
            <w:shd w:val="clear" w:color="auto" w:fill="auto"/>
            <w:noWrap/>
            <w:vAlign w:val="center"/>
          </w:tcPr>
          <w:p w14:paraId="5ACDB4DD" w14:textId="77777777" w:rsidR="000D1A29" w:rsidRPr="00D16D3D" w:rsidRDefault="000D1A29" w:rsidP="00F44BFC">
            <w:pPr>
              <w:jc w:val="right"/>
              <w:rPr>
                <w:rFonts w:ascii="Arial Narrow" w:hAnsi="Arial Narrow" w:cs="Arial"/>
                <w:b/>
                <w:bCs/>
                <w:sz w:val="20"/>
                <w:szCs w:val="20"/>
              </w:rPr>
            </w:pPr>
            <w:r w:rsidRPr="00D16D3D">
              <w:rPr>
                <w:rFonts w:ascii="Arial Narrow" w:hAnsi="Arial Narrow" w:cs="Arial"/>
                <w:b/>
                <w:bCs/>
                <w:sz w:val="20"/>
                <w:szCs w:val="20"/>
              </w:rPr>
              <w:t>6 862,5</w:t>
            </w:r>
          </w:p>
        </w:tc>
        <w:tc>
          <w:tcPr>
            <w:tcW w:w="551" w:type="pct"/>
            <w:tcBorders>
              <w:top w:val="nil"/>
              <w:left w:val="nil"/>
              <w:bottom w:val="single" w:sz="4" w:space="0" w:color="auto"/>
              <w:right w:val="single" w:sz="4" w:space="0" w:color="auto"/>
            </w:tcBorders>
            <w:shd w:val="clear" w:color="auto" w:fill="auto"/>
            <w:noWrap/>
            <w:vAlign w:val="center"/>
          </w:tcPr>
          <w:p w14:paraId="20A075E7" w14:textId="77777777" w:rsidR="000D1A29" w:rsidRPr="00D16D3D" w:rsidRDefault="000D1A29" w:rsidP="00F44BFC">
            <w:pPr>
              <w:jc w:val="right"/>
              <w:rPr>
                <w:rFonts w:ascii="Arial Narrow" w:hAnsi="Arial Narrow" w:cs="Arial"/>
                <w:b/>
                <w:bCs/>
                <w:sz w:val="20"/>
                <w:szCs w:val="20"/>
              </w:rPr>
            </w:pPr>
            <w:r w:rsidRPr="00D16D3D">
              <w:rPr>
                <w:rFonts w:ascii="Arial Narrow" w:hAnsi="Arial Narrow" w:cs="Arial"/>
                <w:b/>
                <w:bCs/>
                <w:sz w:val="20"/>
                <w:szCs w:val="20"/>
              </w:rPr>
              <w:t>2,4%</w:t>
            </w:r>
          </w:p>
        </w:tc>
      </w:tr>
    </w:tbl>
    <w:p w14:paraId="623ECC63" w14:textId="77777777" w:rsidR="000D1A29" w:rsidRPr="000D1A29" w:rsidRDefault="000D1A29" w:rsidP="000D1A29">
      <w:pPr>
        <w:tabs>
          <w:tab w:val="left" w:pos="993"/>
        </w:tabs>
        <w:autoSpaceDE w:val="0"/>
        <w:autoSpaceDN w:val="0"/>
        <w:adjustRightInd w:val="0"/>
        <w:spacing w:after="240"/>
        <w:jc w:val="both"/>
        <w:rPr>
          <w:rFonts w:ascii="Arial Narrow" w:eastAsiaTheme="minorHAnsi" w:hAnsi="Arial Narrow" w:cstheme="minorBidi"/>
          <w:i/>
          <w:sz w:val="18"/>
          <w:szCs w:val="18"/>
        </w:rPr>
      </w:pPr>
      <w:r w:rsidRPr="000D1A29">
        <w:rPr>
          <w:rFonts w:ascii="Arial Narrow" w:eastAsiaTheme="minorHAnsi" w:hAnsi="Arial Narrow" w:cstheme="minorBidi"/>
          <w:i/>
          <w:iCs/>
          <w:sz w:val="18"/>
          <w:szCs w:val="18"/>
        </w:rPr>
        <w:t>Източник</w:t>
      </w:r>
      <w:r w:rsidRPr="000D1A29">
        <w:rPr>
          <w:rFonts w:ascii="Arial Narrow" w:eastAsiaTheme="minorHAnsi" w:hAnsi="Arial Narrow" w:cstheme="minorBidi"/>
          <w:i/>
          <w:sz w:val="18"/>
          <w:szCs w:val="18"/>
        </w:rPr>
        <w:t xml:space="preserve">: </w:t>
      </w:r>
      <w:r w:rsidRPr="000D1A29">
        <w:rPr>
          <w:rFonts w:ascii="Arial Narrow" w:eastAsiaTheme="minorHAnsi" w:hAnsi="Arial Narrow" w:cstheme="minorBidi"/>
          <w:sz w:val="18"/>
          <w:szCs w:val="18"/>
        </w:rPr>
        <w:t xml:space="preserve">ИАРА </w:t>
      </w:r>
    </w:p>
    <w:p w14:paraId="1E33CDFB" w14:textId="77777777" w:rsidR="000D1A29" w:rsidRPr="00FD63E0" w:rsidRDefault="000D1A29" w:rsidP="000D1A29">
      <w:pPr>
        <w:spacing w:after="120" w:line="264" w:lineRule="auto"/>
        <w:ind w:firstLine="709"/>
        <w:jc w:val="both"/>
        <w:rPr>
          <w:rFonts w:ascii="Arial Narrow" w:eastAsiaTheme="minorHAnsi" w:hAnsi="Arial Narrow" w:cstheme="minorBidi"/>
        </w:rPr>
      </w:pPr>
      <w:r w:rsidRPr="00FD63E0">
        <w:rPr>
          <w:rFonts w:ascii="Arial Narrow" w:eastAsiaTheme="minorHAnsi" w:hAnsi="Arial Narrow" w:cstheme="minorBidi"/>
        </w:rPr>
        <w:t>Общият улов на сладководна риба в река Дунав през 2024 г. нараства два пъти на годишна база</w:t>
      </w:r>
      <w:r>
        <w:rPr>
          <w:rFonts w:ascii="Arial Narrow" w:eastAsiaTheme="minorHAnsi" w:hAnsi="Arial Narrow" w:cstheme="minorBidi"/>
        </w:rPr>
        <w:t>,</w:t>
      </w:r>
      <w:r w:rsidRPr="00FD63E0">
        <w:rPr>
          <w:rFonts w:ascii="Arial Narrow" w:eastAsiaTheme="minorHAnsi" w:hAnsi="Arial Narrow" w:cstheme="minorBidi"/>
        </w:rPr>
        <w:t xml:space="preserve"> до 75,3 тона, като се наблюдава значително увеличение при повечето видове риба. </w:t>
      </w:r>
      <w:r>
        <w:rPr>
          <w:rFonts w:ascii="Arial Narrow" w:eastAsiaTheme="minorHAnsi" w:hAnsi="Arial Narrow" w:cstheme="minorBidi"/>
        </w:rPr>
        <w:t xml:space="preserve">Намаляват само </w:t>
      </w:r>
      <w:r w:rsidRPr="00FD63E0">
        <w:rPr>
          <w:rFonts w:ascii="Arial Narrow" w:eastAsiaTheme="minorHAnsi" w:hAnsi="Arial Narrow" w:cstheme="minorBidi"/>
        </w:rPr>
        <w:t xml:space="preserve">уловените количества уклей – </w:t>
      </w:r>
      <w:r>
        <w:rPr>
          <w:rFonts w:ascii="Arial Narrow" w:eastAsiaTheme="minorHAnsi" w:hAnsi="Arial Narrow" w:cstheme="minorBidi"/>
        </w:rPr>
        <w:t xml:space="preserve">с </w:t>
      </w:r>
      <w:r w:rsidRPr="00FD63E0">
        <w:rPr>
          <w:rFonts w:ascii="Arial Narrow" w:eastAsiaTheme="minorHAnsi" w:hAnsi="Arial Narrow" w:cstheme="minorBidi"/>
        </w:rPr>
        <w:t>20,5%</w:t>
      </w:r>
      <w:r>
        <w:rPr>
          <w:rFonts w:ascii="Arial Narrow" w:eastAsiaTheme="minorHAnsi" w:hAnsi="Arial Narrow" w:cstheme="minorBidi"/>
        </w:rPr>
        <w:t xml:space="preserve"> и </w:t>
      </w:r>
      <w:r w:rsidRPr="00FD63E0">
        <w:rPr>
          <w:rFonts w:ascii="Arial Narrow" w:eastAsiaTheme="minorHAnsi" w:hAnsi="Arial Narrow" w:cstheme="minorBidi"/>
        </w:rPr>
        <w:t>сребриста каракуда - с 57,1%</w:t>
      </w:r>
      <w:r>
        <w:rPr>
          <w:rFonts w:ascii="Arial Narrow" w:eastAsiaTheme="minorHAnsi" w:hAnsi="Arial Narrow" w:cstheme="minorBidi"/>
        </w:rPr>
        <w:t>.</w:t>
      </w:r>
      <w:r w:rsidRPr="00FD63E0">
        <w:rPr>
          <w:rFonts w:ascii="Arial Narrow" w:eastAsiaTheme="minorHAnsi" w:hAnsi="Arial Narrow" w:cstheme="minorBidi"/>
        </w:rPr>
        <w:t xml:space="preserve"> </w:t>
      </w:r>
      <w:r>
        <w:rPr>
          <w:rFonts w:ascii="Arial Narrow" w:eastAsiaTheme="minorHAnsi" w:hAnsi="Arial Narrow" w:cstheme="minorBidi"/>
        </w:rPr>
        <w:t>Н</w:t>
      </w:r>
      <w:r w:rsidRPr="00FD63E0">
        <w:rPr>
          <w:rFonts w:ascii="Arial Narrow" w:eastAsiaTheme="minorHAnsi" w:hAnsi="Arial Narrow" w:cstheme="minorBidi"/>
        </w:rPr>
        <w:t>ай-съществен</w:t>
      </w:r>
      <w:r>
        <w:rPr>
          <w:rFonts w:ascii="Arial Narrow" w:eastAsiaTheme="minorHAnsi" w:hAnsi="Arial Narrow" w:cstheme="minorBidi"/>
        </w:rPr>
        <w:t xml:space="preserve"> </w:t>
      </w:r>
      <w:r w:rsidRPr="00FD63E0">
        <w:rPr>
          <w:rFonts w:ascii="Arial Narrow" w:eastAsiaTheme="minorHAnsi" w:hAnsi="Arial Narrow" w:cstheme="minorBidi"/>
        </w:rPr>
        <w:t>е уловът на бял толстолоб – 16,3 тона, бяла мряна – 13,2 тона</w:t>
      </w:r>
      <w:r>
        <w:rPr>
          <w:rFonts w:ascii="Arial Narrow" w:eastAsiaTheme="minorHAnsi" w:hAnsi="Arial Narrow" w:cstheme="minorBidi"/>
        </w:rPr>
        <w:t xml:space="preserve"> и</w:t>
      </w:r>
      <w:r w:rsidRPr="00FD63E0">
        <w:rPr>
          <w:rFonts w:ascii="Arial Narrow" w:eastAsiaTheme="minorHAnsi" w:hAnsi="Arial Narrow" w:cstheme="minorBidi"/>
        </w:rPr>
        <w:t xml:space="preserve"> шаран – 10,1 тона, </w:t>
      </w:r>
      <w:r>
        <w:rPr>
          <w:rFonts w:ascii="Arial Narrow" w:eastAsiaTheme="minorHAnsi" w:hAnsi="Arial Narrow" w:cstheme="minorBidi"/>
        </w:rPr>
        <w:t xml:space="preserve">следван от този на </w:t>
      </w:r>
      <w:r w:rsidRPr="00FD63E0">
        <w:rPr>
          <w:rFonts w:ascii="Arial Narrow" w:eastAsiaTheme="minorHAnsi" w:hAnsi="Arial Narrow" w:cstheme="minorBidi"/>
        </w:rPr>
        <w:t>европейски сом – 6,9 тона, морунаш – 6,1 тона</w:t>
      </w:r>
      <w:r>
        <w:rPr>
          <w:rFonts w:ascii="Arial Narrow" w:eastAsiaTheme="minorHAnsi" w:hAnsi="Arial Narrow" w:cstheme="minorBidi"/>
        </w:rPr>
        <w:t>,</w:t>
      </w:r>
      <w:r w:rsidRPr="00FD63E0">
        <w:rPr>
          <w:rFonts w:ascii="Arial Narrow" w:eastAsiaTheme="minorHAnsi" w:hAnsi="Arial Narrow" w:cstheme="minorBidi"/>
        </w:rPr>
        <w:t xml:space="preserve"> бял амур – 4,4 тона</w:t>
      </w:r>
      <w:r>
        <w:rPr>
          <w:rFonts w:ascii="Arial Narrow" w:eastAsiaTheme="minorHAnsi" w:hAnsi="Arial Narrow" w:cstheme="minorBidi"/>
        </w:rPr>
        <w:t xml:space="preserve"> и др</w:t>
      </w:r>
      <w:r w:rsidRPr="00FD63E0">
        <w:rPr>
          <w:rFonts w:ascii="Arial Narrow" w:eastAsiaTheme="minorHAnsi" w:hAnsi="Arial Narrow" w:cstheme="minorBidi"/>
        </w:rPr>
        <w:t>.</w:t>
      </w:r>
    </w:p>
    <w:p w14:paraId="4471CBC2" w14:textId="77777777" w:rsidR="000D1A29" w:rsidRPr="00FD63E0" w:rsidRDefault="000D1A29" w:rsidP="000D1A29">
      <w:pPr>
        <w:spacing w:after="120"/>
        <w:ind w:firstLine="709"/>
        <w:jc w:val="both"/>
        <w:rPr>
          <w:rFonts w:ascii="Arial Narrow" w:hAnsi="Arial Narrow"/>
        </w:rPr>
      </w:pPr>
      <w:r w:rsidRPr="00FD63E0">
        <w:rPr>
          <w:rFonts w:ascii="Arial Narrow" w:hAnsi="Arial Narrow"/>
        </w:rPr>
        <w:t xml:space="preserve">Уловът на проходни риби (карагьоз) в река Дунав </w:t>
      </w:r>
      <w:r>
        <w:rPr>
          <w:rFonts w:ascii="Arial Narrow" w:hAnsi="Arial Narrow"/>
        </w:rPr>
        <w:t>възлиза на</w:t>
      </w:r>
      <w:r w:rsidRPr="00FD63E0">
        <w:rPr>
          <w:rFonts w:ascii="Arial Narrow" w:hAnsi="Arial Narrow"/>
        </w:rPr>
        <w:t xml:space="preserve"> 2,5 тона</w:t>
      </w:r>
      <w:r>
        <w:rPr>
          <w:rFonts w:ascii="Arial Narrow" w:hAnsi="Arial Narrow"/>
        </w:rPr>
        <w:t>, което представлява</w:t>
      </w:r>
      <w:r w:rsidRPr="00FD63E0">
        <w:rPr>
          <w:rFonts w:ascii="Arial Narrow" w:hAnsi="Arial Narrow"/>
        </w:rPr>
        <w:t xml:space="preserve"> многократен ръст спрямо 2023 г. </w:t>
      </w:r>
    </w:p>
    <w:p w14:paraId="5CA2A672" w14:textId="77777777" w:rsidR="000D1A29" w:rsidRPr="00FD63E0" w:rsidRDefault="000D1A29" w:rsidP="000D1A29">
      <w:pPr>
        <w:spacing w:after="120"/>
        <w:ind w:hanging="142"/>
        <w:jc w:val="center"/>
        <w:rPr>
          <w:rFonts w:ascii="Arial Narrow" w:hAnsi="Arial Narrow" w:cstheme="minorBidi"/>
          <w:b/>
          <w:bCs/>
        </w:rPr>
      </w:pPr>
      <w:r w:rsidRPr="00FD63E0">
        <w:rPr>
          <w:rFonts w:ascii="Arial Narrow" w:hAnsi="Arial Narrow" w:cstheme="minorBidi"/>
          <w:b/>
          <w:bCs/>
        </w:rPr>
        <w:t>Таблица VІІ.2. Улов на риба и други водни организми от водоеми за стопански риболов през 2024 г.</w:t>
      </w:r>
    </w:p>
    <w:tbl>
      <w:tblPr>
        <w:tblW w:w="487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7"/>
        <w:gridCol w:w="6754"/>
        <w:gridCol w:w="2281"/>
      </w:tblGrid>
      <w:tr w:rsidR="000D1A29" w:rsidRPr="00FD63E0" w14:paraId="2FD913D8" w14:textId="77777777" w:rsidTr="001F3463">
        <w:trPr>
          <w:trHeight w:val="366"/>
          <w:tblHeader/>
        </w:trPr>
        <w:tc>
          <w:tcPr>
            <w:tcW w:w="662" w:type="dxa"/>
            <w:shd w:val="clear" w:color="auto" w:fill="auto"/>
            <w:vAlign w:val="center"/>
          </w:tcPr>
          <w:p w14:paraId="66D83C80" w14:textId="77777777" w:rsidR="000D1A29" w:rsidRPr="00FD63E0" w:rsidRDefault="000D1A29" w:rsidP="00F44BFC">
            <w:pPr>
              <w:rPr>
                <w:rFonts w:ascii="Arial Narrow" w:hAnsi="Arial Narrow" w:cstheme="minorBidi"/>
                <w:b/>
                <w:sz w:val="20"/>
                <w:szCs w:val="20"/>
              </w:rPr>
            </w:pPr>
          </w:p>
        </w:tc>
        <w:tc>
          <w:tcPr>
            <w:tcW w:w="6818" w:type="dxa"/>
            <w:shd w:val="clear" w:color="auto" w:fill="auto"/>
            <w:vAlign w:val="center"/>
          </w:tcPr>
          <w:p w14:paraId="1095F995" w14:textId="77777777" w:rsidR="000D1A29" w:rsidRPr="00FD63E0" w:rsidRDefault="000D1A29" w:rsidP="00F44BFC">
            <w:pPr>
              <w:jc w:val="center"/>
              <w:rPr>
                <w:rFonts w:ascii="Arial Narrow" w:hAnsi="Arial Narrow" w:cstheme="minorBidi"/>
                <w:b/>
                <w:sz w:val="20"/>
                <w:szCs w:val="20"/>
              </w:rPr>
            </w:pPr>
            <w:r w:rsidRPr="00FD63E0">
              <w:rPr>
                <w:rFonts w:ascii="Arial Narrow" w:hAnsi="Arial Narrow" w:cstheme="minorBidi"/>
                <w:b/>
                <w:sz w:val="20"/>
                <w:szCs w:val="20"/>
              </w:rPr>
              <w:t>Вид риба/воден организъм</w:t>
            </w:r>
          </w:p>
        </w:tc>
        <w:tc>
          <w:tcPr>
            <w:tcW w:w="2301" w:type="dxa"/>
            <w:shd w:val="clear" w:color="auto" w:fill="auto"/>
            <w:noWrap/>
            <w:vAlign w:val="center"/>
          </w:tcPr>
          <w:p w14:paraId="64947F00" w14:textId="77777777" w:rsidR="000D1A29" w:rsidRPr="00FD63E0" w:rsidRDefault="000D1A29" w:rsidP="00F44BFC">
            <w:pPr>
              <w:jc w:val="center"/>
              <w:rPr>
                <w:rFonts w:ascii="Arial Narrow" w:hAnsi="Arial Narrow" w:cstheme="minorBidi"/>
                <w:b/>
                <w:bCs/>
                <w:sz w:val="20"/>
                <w:szCs w:val="20"/>
              </w:rPr>
            </w:pPr>
            <w:r w:rsidRPr="00FD63E0">
              <w:rPr>
                <w:rFonts w:ascii="Arial Narrow" w:hAnsi="Arial Narrow" w:cstheme="minorBidi"/>
                <w:b/>
                <w:bCs/>
                <w:sz w:val="20"/>
                <w:szCs w:val="20"/>
              </w:rPr>
              <w:t>Количество (тона)</w:t>
            </w:r>
          </w:p>
        </w:tc>
      </w:tr>
      <w:tr w:rsidR="000D1A29" w:rsidRPr="00C50F11" w14:paraId="38AB520D" w14:textId="77777777" w:rsidTr="001F3463">
        <w:trPr>
          <w:trHeight w:val="284"/>
        </w:trPr>
        <w:tc>
          <w:tcPr>
            <w:tcW w:w="662" w:type="dxa"/>
            <w:shd w:val="clear" w:color="auto" w:fill="auto"/>
            <w:vAlign w:val="center"/>
            <w:hideMark/>
          </w:tcPr>
          <w:p w14:paraId="35DB0E13" w14:textId="77777777" w:rsidR="000D1A29" w:rsidRPr="00C50F11" w:rsidRDefault="000D1A29" w:rsidP="00F44BFC">
            <w:pPr>
              <w:jc w:val="center"/>
              <w:rPr>
                <w:rFonts w:ascii="Arial Narrow" w:hAnsi="Arial Narrow" w:cstheme="minorBidi"/>
                <w:sz w:val="20"/>
                <w:szCs w:val="20"/>
              </w:rPr>
            </w:pPr>
            <w:r w:rsidRPr="00C50F11">
              <w:rPr>
                <w:rFonts w:ascii="Arial Narrow" w:hAnsi="Arial Narrow" w:cstheme="minorBidi"/>
                <w:sz w:val="20"/>
                <w:szCs w:val="20"/>
              </w:rPr>
              <w:t> </w:t>
            </w:r>
          </w:p>
        </w:tc>
        <w:tc>
          <w:tcPr>
            <w:tcW w:w="9119" w:type="dxa"/>
            <w:gridSpan w:val="2"/>
            <w:shd w:val="clear" w:color="auto" w:fill="auto"/>
            <w:vAlign w:val="center"/>
            <w:hideMark/>
          </w:tcPr>
          <w:p w14:paraId="2FB7C91E" w14:textId="77777777" w:rsidR="000D1A29" w:rsidRPr="00C50F11" w:rsidRDefault="000D1A29" w:rsidP="00F44BFC">
            <w:pPr>
              <w:jc w:val="center"/>
              <w:rPr>
                <w:rFonts w:ascii="Arial Narrow" w:hAnsi="Arial Narrow" w:cstheme="minorBidi"/>
                <w:b/>
                <w:bCs/>
                <w:sz w:val="20"/>
                <w:szCs w:val="20"/>
              </w:rPr>
            </w:pPr>
            <w:r w:rsidRPr="00C50F11">
              <w:rPr>
                <w:rFonts w:ascii="Arial Narrow" w:hAnsi="Arial Narrow" w:cstheme="minorBidi"/>
                <w:b/>
                <w:bCs/>
                <w:sz w:val="20"/>
                <w:szCs w:val="20"/>
              </w:rPr>
              <w:t>А. Река Дунав</w:t>
            </w:r>
          </w:p>
        </w:tc>
      </w:tr>
      <w:tr w:rsidR="000D1A29" w:rsidRPr="00C50F11" w14:paraId="1B0FA370" w14:textId="77777777" w:rsidTr="001F3463">
        <w:trPr>
          <w:trHeight w:val="284"/>
        </w:trPr>
        <w:tc>
          <w:tcPr>
            <w:tcW w:w="662" w:type="dxa"/>
            <w:shd w:val="clear" w:color="auto" w:fill="auto"/>
            <w:noWrap/>
            <w:vAlign w:val="center"/>
            <w:hideMark/>
          </w:tcPr>
          <w:p w14:paraId="1F778182" w14:textId="77777777" w:rsidR="000D1A29" w:rsidRPr="00C50F11" w:rsidRDefault="000D1A29" w:rsidP="00F44BFC">
            <w:pPr>
              <w:jc w:val="center"/>
              <w:rPr>
                <w:rFonts w:ascii="Arial Narrow" w:hAnsi="Arial Narrow"/>
                <w:sz w:val="20"/>
                <w:szCs w:val="20"/>
              </w:rPr>
            </w:pPr>
            <w:r w:rsidRPr="00C50F11">
              <w:rPr>
                <w:rFonts w:ascii="Arial Narrow" w:hAnsi="Arial Narrow"/>
                <w:sz w:val="20"/>
                <w:szCs w:val="20"/>
              </w:rPr>
              <w:t>1</w:t>
            </w:r>
          </w:p>
        </w:tc>
        <w:tc>
          <w:tcPr>
            <w:tcW w:w="6818" w:type="dxa"/>
            <w:tcBorders>
              <w:top w:val="nil"/>
              <w:left w:val="nil"/>
              <w:bottom w:val="single" w:sz="4" w:space="0" w:color="auto"/>
              <w:right w:val="single" w:sz="4" w:space="0" w:color="auto"/>
            </w:tcBorders>
            <w:shd w:val="clear" w:color="auto" w:fill="auto"/>
            <w:noWrap/>
            <w:vAlign w:val="center"/>
          </w:tcPr>
          <w:p w14:paraId="46B02853" w14:textId="77777777" w:rsidR="000D1A29" w:rsidRPr="00C50F11" w:rsidRDefault="000D1A29" w:rsidP="00F44BFC">
            <w:pPr>
              <w:rPr>
                <w:rFonts w:ascii="Arial Narrow" w:hAnsi="Arial Narrow"/>
                <w:sz w:val="20"/>
                <w:szCs w:val="20"/>
              </w:rPr>
            </w:pPr>
            <w:r w:rsidRPr="00C50F11">
              <w:rPr>
                <w:rFonts w:ascii="Arial Narrow" w:hAnsi="Arial Narrow"/>
                <w:sz w:val="20"/>
                <w:szCs w:val="20"/>
              </w:rPr>
              <w:t>Брияна /облез. уклей/ /Chalcalburnus chalcoides/</w:t>
            </w:r>
          </w:p>
        </w:tc>
        <w:tc>
          <w:tcPr>
            <w:tcW w:w="2301" w:type="dxa"/>
            <w:tcBorders>
              <w:top w:val="nil"/>
              <w:left w:val="nil"/>
              <w:bottom w:val="single" w:sz="4" w:space="0" w:color="auto"/>
              <w:right w:val="single" w:sz="4" w:space="0" w:color="auto"/>
            </w:tcBorders>
            <w:shd w:val="clear" w:color="auto" w:fill="auto"/>
            <w:noWrap/>
            <w:vAlign w:val="center"/>
          </w:tcPr>
          <w:p w14:paraId="6F07D8A8" w14:textId="77777777" w:rsidR="000D1A29" w:rsidRPr="00C50F11" w:rsidRDefault="000D1A29" w:rsidP="00F44BFC">
            <w:pPr>
              <w:jc w:val="right"/>
              <w:rPr>
                <w:rFonts w:ascii="Arial Narrow" w:hAnsi="Arial Narrow"/>
                <w:sz w:val="20"/>
                <w:szCs w:val="20"/>
              </w:rPr>
            </w:pPr>
            <w:r w:rsidRPr="00C50F11">
              <w:rPr>
                <w:rFonts w:ascii="Arial Narrow" w:hAnsi="Arial Narrow"/>
                <w:sz w:val="20"/>
                <w:szCs w:val="20"/>
              </w:rPr>
              <w:t>0,310</w:t>
            </w:r>
          </w:p>
        </w:tc>
      </w:tr>
      <w:tr w:rsidR="000D1A29" w:rsidRPr="00C50F11" w14:paraId="4D4D7807" w14:textId="77777777" w:rsidTr="001F3463">
        <w:trPr>
          <w:trHeight w:val="284"/>
        </w:trPr>
        <w:tc>
          <w:tcPr>
            <w:tcW w:w="662" w:type="dxa"/>
            <w:shd w:val="clear" w:color="auto" w:fill="auto"/>
            <w:noWrap/>
            <w:vAlign w:val="center"/>
            <w:hideMark/>
          </w:tcPr>
          <w:p w14:paraId="41FDC3A6" w14:textId="77777777" w:rsidR="000D1A29" w:rsidRPr="00C50F11" w:rsidRDefault="000D1A29" w:rsidP="00F44BFC">
            <w:pPr>
              <w:jc w:val="center"/>
              <w:rPr>
                <w:rFonts w:ascii="Arial Narrow" w:hAnsi="Arial Narrow"/>
                <w:sz w:val="20"/>
                <w:szCs w:val="20"/>
              </w:rPr>
            </w:pPr>
            <w:r w:rsidRPr="00C50F11">
              <w:rPr>
                <w:rFonts w:ascii="Arial Narrow" w:hAnsi="Arial Narrow"/>
                <w:sz w:val="20"/>
                <w:szCs w:val="20"/>
              </w:rPr>
              <w:t>2</w:t>
            </w:r>
          </w:p>
        </w:tc>
        <w:tc>
          <w:tcPr>
            <w:tcW w:w="6818" w:type="dxa"/>
            <w:tcBorders>
              <w:top w:val="nil"/>
              <w:left w:val="nil"/>
              <w:bottom w:val="single" w:sz="4" w:space="0" w:color="auto"/>
              <w:right w:val="single" w:sz="4" w:space="0" w:color="auto"/>
            </w:tcBorders>
            <w:shd w:val="clear" w:color="auto" w:fill="auto"/>
            <w:noWrap/>
            <w:vAlign w:val="center"/>
          </w:tcPr>
          <w:p w14:paraId="3F47877A" w14:textId="77777777" w:rsidR="000D1A29" w:rsidRPr="00C50F11" w:rsidRDefault="000D1A29" w:rsidP="00F44BFC">
            <w:pPr>
              <w:rPr>
                <w:rFonts w:ascii="Arial Narrow" w:hAnsi="Arial Narrow"/>
                <w:sz w:val="20"/>
                <w:szCs w:val="20"/>
              </w:rPr>
            </w:pPr>
            <w:r w:rsidRPr="00C50F11">
              <w:rPr>
                <w:rFonts w:ascii="Arial Narrow" w:hAnsi="Arial Narrow"/>
                <w:sz w:val="20"/>
                <w:szCs w:val="20"/>
              </w:rPr>
              <w:t>Бял амур /Ctenopharingodon idella/</w:t>
            </w:r>
          </w:p>
        </w:tc>
        <w:tc>
          <w:tcPr>
            <w:tcW w:w="2301" w:type="dxa"/>
            <w:tcBorders>
              <w:top w:val="nil"/>
              <w:left w:val="nil"/>
              <w:bottom w:val="single" w:sz="4" w:space="0" w:color="auto"/>
              <w:right w:val="single" w:sz="4" w:space="0" w:color="auto"/>
            </w:tcBorders>
            <w:shd w:val="clear" w:color="auto" w:fill="auto"/>
            <w:noWrap/>
            <w:vAlign w:val="center"/>
          </w:tcPr>
          <w:p w14:paraId="36253ACC" w14:textId="77777777" w:rsidR="000D1A29" w:rsidRPr="00C50F11" w:rsidRDefault="000D1A29" w:rsidP="00F44BFC">
            <w:pPr>
              <w:jc w:val="right"/>
              <w:rPr>
                <w:rFonts w:ascii="Arial Narrow" w:hAnsi="Arial Narrow"/>
                <w:sz w:val="20"/>
                <w:szCs w:val="20"/>
              </w:rPr>
            </w:pPr>
            <w:r w:rsidRPr="00C50F11">
              <w:rPr>
                <w:rFonts w:ascii="Arial Narrow" w:hAnsi="Arial Narrow"/>
                <w:sz w:val="20"/>
                <w:szCs w:val="20"/>
              </w:rPr>
              <w:t>4,407</w:t>
            </w:r>
          </w:p>
        </w:tc>
      </w:tr>
      <w:tr w:rsidR="000D1A29" w:rsidRPr="00C50F11" w14:paraId="5E827102" w14:textId="77777777" w:rsidTr="001F3463">
        <w:trPr>
          <w:trHeight w:val="284"/>
        </w:trPr>
        <w:tc>
          <w:tcPr>
            <w:tcW w:w="662" w:type="dxa"/>
            <w:shd w:val="clear" w:color="auto" w:fill="auto"/>
            <w:noWrap/>
            <w:vAlign w:val="center"/>
            <w:hideMark/>
          </w:tcPr>
          <w:p w14:paraId="30028F2B" w14:textId="77777777" w:rsidR="000D1A29" w:rsidRPr="00C50F11" w:rsidRDefault="000D1A29" w:rsidP="00F44BFC">
            <w:pPr>
              <w:jc w:val="center"/>
              <w:rPr>
                <w:rFonts w:ascii="Arial Narrow" w:hAnsi="Arial Narrow"/>
                <w:sz w:val="20"/>
                <w:szCs w:val="20"/>
              </w:rPr>
            </w:pPr>
            <w:r w:rsidRPr="00C50F11">
              <w:rPr>
                <w:rFonts w:ascii="Arial Narrow" w:hAnsi="Arial Narrow"/>
                <w:sz w:val="20"/>
                <w:szCs w:val="20"/>
              </w:rPr>
              <w:t>3</w:t>
            </w:r>
          </w:p>
        </w:tc>
        <w:tc>
          <w:tcPr>
            <w:tcW w:w="6818" w:type="dxa"/>
            <w:tcBorders>
              <w:top w:val="nil"/>
              <w:left w:val="nil"/>
              <w:bottom w:val="single" w:sz="4" w:space="0" w:color="auto"/>
              <w:right w:val="single" w:sz="4" w:space="0" w:color="auto"/>
            </w:tcBorders>
            <w:shd w:val="clear" w:color="auto" w:fill="auto"/>
            <w:noWrap/>
            <w:vAlign w:val="center"/>
          </w:tcPr>
          <w:p w14:paraId="6D3B2A4D" w14:textId="77777777" w:rsidR="000D1A29" w:rsidRPr="00C50F11" w:rsidRDefault="000D1A29" w:rsidP="00F44BFC">
            <w:pPr>
              <w:rPr>
                <w:rFonts w:ascii="Arial Narrow" w:hAnsi="Arial Narrow"/>
                <w:sz w:val="20"/>
                <w:szCs w:val="20"/>
              </w:rPr>
            </w:pPr>
            <w:r w:rsidRPr="00C50F11">
              <w:rPr>
                <w:rFonts w:ascii="Arial Narrow" w:hAnsi="Arial Narrow"/>
                <w:sz w:val="20"/>
                <w:szCs w:val="20"/>
              </w:rPr>
              <w:t>Бял толстолоб /Hypophthalmichthys molitrix/</w:t>
            </w:r>
          </w:p>
        </w:tc>
        <w:tc>
          <w:tcPr>
            <w:tcW w:w="2301" w:type="dxa"/>
            <w:tcBorders>
              <w:top w:val="nil"/>
              <w:left w:val="nil"/>
              <w:bottom w:val="single" w:sz="4" w:space="0" w:color="auto"/>
              <w:right w:val="single" w:sz="4" w:space="0" w:color="auto"/>
            </w:tcBorders>
            <w:shd w:val="clear" w:color="auto" w:fill="auto"/>
            <w:noWrap/>
            <w:vAlign w:val="center"/>
          </w:tcPr>
          <w:p w14:paraId="11D2C955" w14:textId="77777777" w:rsidR="000D1A29" w:rsidRPr="00C50F11" w:rsidRDefault="000D1A29" w:rsidP="00F44BFC">
            <w:pPr>
              <w:jc w:val="right"/>
              <w:rPr>
                <w:rFonts w:ascii="Arial Narrow" w:hAnsi="Arial Narrow"/>
                <w:sz w:val="20"/>
                <w:szCs w:val="20"/>
              </w:rPr>
            </w:pPr>
            <w:r w:rsidRPr="00C50F11">
              <w:rPr>
                <w:rFonts w:ascii="Arial Narrow" w:hAnsi="Arial Narrow"/>
                <w:sz w:val="20"/>
                <w:szCs w:val="20"/>
              </w:rPr>
              <w:t>16,317</w:t>
            </w:r>
          </w:p>
        </w:tc>
      </w:tr>
      <w:tr w:rsidR="000D1A29" w:rsidRPr="00C50F11" w14:paraId="267CEF97" w14:textId="77777777" w:rsidTr="001F3463">
        <w:trPr>
          <w:trHeight w:val="284"/>
        </w:trPr>
        <w:tc>
          <w:tcPr>
            <w:tcW w:w="662" w:type="dxa"/>
            <w:shd w:val="clear" w:color="auto" w:fill="auto"/>
            <w:noWrap/>
            <w:vAlign w:val="center"/>
            <w:hideMark/>
          </w:tcPr>
          <w:p w14:paraId="4D363D3B" w14:textId="77777777" w:rsidR="000D1A29" w:rsidRPr="00C50F11" w:rsidRDefault="000D1A29" w:rsidP="00F44BFC">
            <w:pPr>
              <w:jc w:val="center"/>
              <w:rPr>
                <w:rFonts w:ascii="Arial Narrow" w:hAnsi="Arial Narrow"/>
                <w:sz w:val="20"/>
                <w:szCs w:val="20"/>
              </w:rPr>
            </w:pPr>
            <w:r w:rsidRPr="00C50F11">
              <w:rPr>
                <w:rFonts w:ascii="Arial Narrow" w:hAnsi="Arial Narrow"/>
                <w:sz w:val="20"/>
                <w:szCs w:val="20"/>
              </w:rPr>
              <w:t>4</w:t>
            </w:r>
          </w:p>
        </w:tc>
        <w:tc>
          <w:tcPr>
            <w:tcW w:w="6818" w:type="dxa"/>
            <w:tcBorders>
              <w:top w:val="nil"/>
              <w:left w:val="nil"/>
              <w:bottom w:val="single" w:sz="4" w:space="0" w:color="auto"/>
              <w:right w:val="single" w:sz="4" w:space="0" w:color="auto"/>
            </w:tcBorders>
            <w:shd w:val="clear" w:color="auto" w:fill="auto"/>
            <w:noWrap/>
            <w:vAlign w:val="center"/>
          </w:tcPr>
          <w:p w14:paraId="34D7E2AA" w14:textId="77777777" w:rsidR="000D1A29" w:rsidRPr="00C50F11" w:rsidRDefault="000D1A29" w:rsidP="00F44BFC">
            <w:pPr>
              <w:rPr>
                <w:rFonts w:ascii="Arial Narrow" w:hAnsi="Arial Narrow"/>
                <w:sz w:val="20"/>
                <w:szCs w:val="20"/>
              </w:rPr>
            </w:pPr>
            <w:r w:rsidRPr="00C50F11">
              <w:rPr>
                <w:rFonts w:ascii="Arial Narrow" w:hAnsi="Arial Narrow"/>
                <w:sz w:val="20"/>
                <w:szCs w:val="20"/>
              </w:rPr>
              <w:t>Бяла мряна /Barbus barbus/</w:t>
            </w:r>
          </w:p>
        </w:tc>
        <w:tc>
          <w:tcPr>
            <w:tcW w:w="2301" w:type="dxa"/>
            <w:tcBorders>
              <w:top w:val="nil"/>
              <w:left w:val="nil"/>
              <w:bottom w:val="single" w:sz="4" w:space="0" w:color="auto"/>
              <w:right w:val="single" w:sz="4" w:space="0" w:color="auto"/>
            </w:tcBorders>
            <w:shd w:val="clear" w:color="auto" w:fill="auto"/>
            <w:noWrap/>
            <w:vAlign w:val="center"/>
          </w:tcPr>
          <w:p w14:paraId="591F729E" w14:textId="77777777" w:rsidR="000D1A29" w:rsidRPr="00C50F11" w:rsidRDefault="000D1A29" w:rsidP="00F44BFC">
            <w:pPr>
              <w:jc w:val="right"/>
              <w:rPr>
                <w:rFonts w:ascii="Arial Narrow" w:hAnsi="Arial Narrow"/>
                <w:sz w:val="20"/>
                <w:szCs w:val="20"/>
              </w:rPr>
            </w:pPr>
            <w:r w:rsidRPr="00C50F11">
              <w:rPr>
                <w:rFonts w:ascii="Arial Narrow" w:hAnsi="Arial Narrow"/>
                <w:sz w:val="20"/>
                <w:szCs w:val="20"/>
              </w:rPr>
              <w:t>13,198</w:t>
            </w:r>
          </w:p>
        </w:tc>
      </w:tr>
      <w:tr w:rsidR="000D1A29" w:rsidRPr="00C50F11" w14:paraId="3DB24A88" w14:textId="77777777" w:rsidTr="001F3463">
        <w:trPr>
          <w:trHeight w:val="284"/>
        </w:trPr>
        <w:tc>
          <w:tcPr>
            <w:tcW w:w="662" w:type="dxa"/>
            <w:shd w:val="clear" w:color="auto" w:fill="auto"/>
            <w:noWrap/>
            <w:vAlign w:val="center"/>
            <w:hideMark/>
          </w:tcPr>
          <w:p w14:paraId="220045AE" w14:textId="77777777" w:rsidR="000D1A29" w:rsidRPr="00C50F11" w:rsidRDefault="000D1A29" w:rsidP="00F44BFC">
            <w:pPr>
              <w:jc w:val="center"/>
              <w:rPr>
                <w:rFonts w:ascii="Arial Narrow" w:hAnsi="Arial Narrow"/>
                <w:sz w:val="20"/>
                <w:szCs w:val="20"/>
              </w:rPr>
            </w:pPr>
            <w:r w:rsidRPr="00C50F11">
              <w:rPr>
                <w:rFonts w:ascii="Arial Narrow" w:hAnsi="Arial Narrow"/>
                <w:sz w:val="20"/>
                <w:szCs w:val="20"/>
              </w:rPr>
              <w:t>5</w:t>
            </w:r>
          </w:p>
        </w:tc>
        <w:tc>
          <w:tcPr>
            <w:tcW w:w="6818" w:type="dxa"/>
            <w:tcBorders>
              <w:top w:val="nil"/>
              <w:left w:val="nil"/>
              <w:bottom w:val="single" w:sz="4" w:space="0" w:color="auto"/>
              <w:right w:val="single" w:sz="4" w:space="0" w:color="auto"/>
            </w:tcBorders>
            <w:shd w:val="clear" w:color="auto" w:fill="auto"/>
            <w:noWrap/>
            <w:vAlign w:val="center"/>
          </w:tcPr>
          <w:p w14:paraId="7F7DE52C" w14:textId="77777777" w:rsidR="000D1A29" w:rsidRPr="00C50F11" w:rsidRDefault="000D1A29" w:rsidP="00F44BFC">
            <w:pPr>
              <w:rPr>
                <w:rFonts w:ascii="Arial Narrow" w:hAnsi="Arial Narrow"/>
                <w:sz w:val="20"/>
                <w:szCs w:val="20"/>
              </w:rPr>
            </w:pPr>
            <w:r w:rsidRPr="00C50F11">
              <w:rPr>
                <w:rFonts w:ascii="Arial Narrow" w:hAnsi="Arial Narrow"/>
                <w:sz w:val="20"/>
                <w:szCs w:val="20"/>
              </w:rPr>
              <w:t>Бяла риба /сулка/ /Sander lucioperca/Stizostedion lucioperca/</w:t>
            </w:r>
          </w:p>
        </w:tc>
        <w:tc>
          <w:tcPr>
            <w:tcW w:w="2301" w:type="dxa"/>
            <w:tcBorders>
              <w:top w:val="nil"/>
              <w:left w:val="nil"/>
              <w:bottom w:val="single" w:sz="4" w:space="0" w:color="auto"/>
              <w:right w:val="single" w:sz="4" w:space="0" w:color="auto"/>
            </w:tcBorders>
            <w:shd w:val="clear" w:color="auto" w:fill="auto"/>
            <w:noWrap/>
            <w:vAlign w:val="center"/>
          </w:tcPr>
          <w:p w14:paraId="1BCDB555" w14:textId="77777777" w:rsidR="000D1A29" w:rsidRPr="00C50F11" w:rsidRDefault="000D1A29" w:rsidP="00F44BFC">
            <w:pPr>
              <w:jc w:val="right"/>
              <w:rPr>
                <w:rFonts w:ascii="Arial Narrow" w:hAnsi="Arial Narrow"/>
                <w:sz w:val="20"/>
                <w:szCs w:val="20"/>
              </w:rPr>
            </w:pPr>
            <w:r w:rsidRPr="00C50F11">
              <w:rPr>
                <w:rFonts w:ascii="Arial Narrow" w:hAnsi="Arial Narrow"/>
                <w:sz w:val="20"/>
                <w:szCs w:val="20"/>
              </w:rPr>
              <w:t>1,740</w:t>
            </w:r>
          </w:p>
        </w:tc>
      </w:tr>
      <w:tr w:rsidR="000D1A29" w:rsidRPr="00C50F11" w14:paraId="44A7C2D8" w14:textId="77777777" w:rsidTr="001F3463">
        <w:trPr>
          <w:trHeight w:val="284"/>
        </w:trPr>
        <w:tc>
          <w:tcPr>
            <w:tcW w:w="662" w:type="dxa"/>
            <w:shd w:val="clear" w:color="auto" w:fill="auto"/>
            <w:noWrap/>
            <w:vAlign w:val="center"/>
            <w:hideMark/>
          </w:tcPr>
          <w:p w14:paraId="7BE21646" w14:textId="77777777" w:rsidR="000D1A29" w:rsidRPr="00C50F11" w:rsidRDefault="000D1A29" w:rsidP="00F44BFC">
            <w:pPr>
              <w:jc w:val="center"/>
              <w:rPr>
                <w:rFonts w:ascii="Arial Narrow" w:hAnsi="Arial Narrow"/>
                <w:sz w:val="20"/>
                <w:szCs w:val="20"/>
              </w:rPr>
            </w:pPr>
            <w:r w:rsidRPr="00C50F11">
              <w:rPr>
                <w:rFonts w:ascii="Arial Narrow" w:hAnsi="Arial Narrow"/>
                <w:sz w:val="20"/>
                <w:szCs w:val="20"/>
              </w:rPr>
              <w:t>6</w:t>
            </w:r>
          </w:p>
        </w:tc>
        <w:tc>
          <w:tcPr>
            <w:tcW w:w="6818" w:type="dxa"/>
            <w:tcBorders>
              <w:top w:val="nil"/>
              <w:left w:val="nil"/>
              <w:bottom w:val="single" w:sz="4" w:space="0" w:color="auto"/>
              <w:right w:val="single" w:sz="4" w:space="0" w:color="auto"/>
            </w:tcBorders>
            <w:shd w:val="clear" w:color="auto" w:fill="auto"/>
            <w:noWrap/>
            <w:vAlign w:val="center"/>
          </w:tcPr>
          <w:p w14:paraId="2B7D7796" w14:textId="77777777" w:rsidR="000D1A29" w:rsidRPr="00C50F11" w:rsidRDefault="000D1A29" w:rsidP="00F44BFC">
            <w:pPr>
              <w:rPr>
                <w:rFonts w:ascii="Arial Narrow" w:hAnsi="Arial Narrow"/>
                <w:sz w:val="20"/>
                <w:szCs w:val="20"/>
              </w:rPr>
            </w:pPr>
            <w:r w:rsidRPr="00C50F11">
              <w:rPr>
                <w:rFonts w:ascii="Arial Narrow" w:hAnsi="Arial Narrow"/>
                <w:sz w:val="20"/>
                <w:szCs w:val="20"/>
              </w:rPr>
              <w:t>Златиста каракуда /Carassius carassius/</w:t>
            </w:r>
          </w:p>
        </w:tc>
        <w:tc>
          <w:tcPr>
            <w:tcW w:w="2301" w:type="dxa"/>
            <w:tcBorders>
              <w:top w:val="nil"/>
              <w:left w:val="nil"/>
              <w:bottom w:val="single" w:sz="4" w:space="0" w:color="auto"/>
              <w:right w:val="single" w:sz="4" w:space="0" w:color="auto"/>
            </w:tcBorders>
            <w:shd w:val="clear" w:color="auto" w:fill="auto"/>
            <w:noWrap/>
            <w:vAlign w:val="center"/>
          </w:tcPr>
          <w:p w14:paraId="07618E96" w14:textId="77777777" w:rsidR="000D1A29" w:rsidRPr="00C50F11" w:rsidRDefault="000D1A29" w:rsidP="00F44BFC">
            <w:pPr>
              <w:jc w:val="right"/>
              <w:rPr>
                <w:rFonts w:ascii="Arial Narrow" w:hAnsi="Arial Narrow"/>
                <w:sz w:val="20"/>
                <w:szCs w:val="20"/>
              </w:rPr>
            </w:pPr>
            <w:r w:rsidRPr="00C50F11">
              <w:rPr>
                <w:rFonts w:ascii="Arial Narrow" w:hAnsi="Arial Narrow"/>
                <w:sz w:val="20"/>
                <w:szCs w:val="20"/>
              </w:rPr>
              <w:t>0,000</w:t>
            </w:r>
          </w:p>
        </w:tc>
      </w:tr>
      <w:tr w:rsidR="000D1A29" w:rsidRPr="00C50F11" w14:paraId="04BD3560" w14:textId="77777777" w:rsidTr="001F3463">
        <w:trPr>
          <w:trHeight w:val="284"/>
        </w:trPr>
        <w:tc>
          <w:tcPr>
            <w:tcW w:w="662" w:type="dxa"/>
            <w:shd w:val="clear" w:color="auto" w:fill="auto"/>
            <w:noWrap/>
            <w:vAlign w:val="center"/>
            <w:hideMark/>
          </w:tcPr>
          <w:p w14:paraId="72EAB4B4" w14:textId="77777777" w:rsidR="000D1A29" w:rsidRPr="00C50F11" w:rsidRDefault="000D1A29" w:rsidP="00F44BFC">
            <w:pPr>
              <w:jc w:val="center"/>
              <w:rPr>
                <w:rFonts w:ascii="Arial Narrow" w:hAnsi="Arial Narrow"/>
                <w:sz w:val="20"/>
                <w:szCs w:val="20"/>
              </w:rPr>
            </w:pPr>
            <w:r w:rsidRPr="00C50F11">
              <w:rPr>
                <w:rFonts w:ascii="Arial Narrow" w:hAnsi="Arial Narrow"/>
                <w:sz w:val="20"/>
                <w:szCs w:val="20"/>
              </w:rPr>
              <w:t>7</w:t>
            </w:r>
          </w:p>
        </w:tc>
        <w:tc>
          <w:tcPr>
            <w:tcW w:w="6818" w:type="dxa"/>
            <w:tcBorders>
              <w:top w:val="nil"/>
              <w:left w:val="nil"/>
              <w:bottom w:val="single" w:sz="4" w:space="0" w:color="auto"/>
              <w:right w:val="single" w:sz="4" w:space="0" w:color="auto"/>
            </w:tcBorders>
            <w:shd w:val="clear" w:color="auto" w:fill="auto"/>
            <w:noWrap/>
            <w:vAlign w:val="center"/>
          </w:tcPr>
          <w:p w14:paraId="31234E3C" w14:textId="77777777" w:rsidR="000D1A29" w:rsidRPr="00C50F11" w:rsidRDefault="000D1A29" w:rsidP="00F44BFC">
            <w:pPr>
              <w:rPr>
                <w:rFonts w:ascii="Arial Narrow" w:hAnsi="Arial Narrow"/>
                <w:sz w:val="20"/>
                <w:szCs w:val="20"/>
              </w:rPr>
            </w:pPr>
            <w:r w:rsidRPr="00C50F11">
              <w:rPr>
                <w:rFonts w:ascii="Arial Narrow" w:hAnsi="Arial Narrow"/>
                <w:sz w:val="20"/>
                <w:szCs w:val="20"/>
              </w:rPr>
              <w:t>Карагьоз, дунавска скумрия /Caspialosa pontica/Alosa pontica/</w:t>
            </w:r>
          </w:p>
        </w:tc>
        <w:tc>
          <w:tcPr>
            <w:tcW w:w="2301" w:type="dxa"/>
            <w:tcBorders>
              <w:top w:val="nil"/>
              <w:left w:val="nil"/>
              <w:bottom w:val="single" w:sz="4" w:space="0" w:color="auto"/>
              <w:right w:val="single" w:sz="4" w:space="0" w:color="auto"/>
            </w:tcBorders>
            <w:shd w:val="clear" w:color="auto" w:fill="auto"/>
            <w:noWrap/>
            <w:vAlign w:val="center"/>
          </w:tcPr>
          <w:p w14:paraId="327D1C8E" w14:textId="77777777" w:rsidR="000D1A29" w:rsidRPr="00C50F11" w:rsidRDefault="000D1A29" w:rsidP="00F44BFC">
            <w:pPr>
              <w:jc w:val="right"/>
              <w:rPr>
                <w:rFonts w:ascii="Arial Narrow" w:hAnsi="Arial Narrow"/>
                <w:sz w:val="20"/>
                <w:szCs w:val="20"/>
              </w:rPr>
            </w:pPr>
            <w:r w:rsidRPr="00C50F11">
              <w:rPr>
                <w:rFonts w:ascii="Arial Narrow" w:hAnsi="Arial Narrow"/>
                <w:sz w:val="20"/>
                <w:szCs w:val="20"/>
              </w:rPr>
              <w:t>2,526</w:t>
            </w:r>
          </w:p>
        </w:tc>
      </w:tr>
      <w:tr w:rsidR="000D1A29" w:rsidRPr="00C50F11" w14:paraId="7579524F" w14:textId="77777777" w:rsidTr="001F3463">
        <w:trPr>
          <w:trHeight w:val="284"/>
        </w:trPr>
        <w:tc>
          <w:tcPr>
            <w:tcW w:w="662" w:type="dxa"/>
            <w:shd w:val="clear" w:color="auto" w:fill="auto"/>
            <w:noWrap/>
            <w:vAlign w:val="center"/>
            <w:hideMark/>
          </w:tcPr>
          <w:p w14:paraId="69B569C8" w14:textId="77777777" w:rsidR="000D1A29" w:rsidRPr="00C50F11" w:rsidRDefault="000D1A29" w:rsidP="00F44BFC">
            <w:pPr>
              <w:jc w:val="center"/>
              <w:rPr>
                <w:rFonts w:ascii="Arial Narrow" w:hAnsi="Arial Narrow"/>
                <w:sz w:val="20"/>
                <w:szCs w:val="20"/>
              </w:rPr>
            </w:pPr>
            <w:r w:rsidRPr="00C50F11">
              <w:rPr>
                <w:rFonts w:ascii="Arial Narrow" w:hAnsi="Arial Narrow"/>
                <w:sz w:val="20"/>
                <w:szCs w:val="20"/>
              </w:rPr>
              <w:t>8</w:t>
            </w:r>
          </w:p>
        </w:tc>
        <w:tc>
          <w:tcPr>
            <w:tcW w:w="6818" w:type="dxa"/>
            <w:tcBorders>
              <w:top w:val="nil"/>
              <w:left w:val="nil"/>
              <w:bottom w:val="single" w:sz="4" w:space="0" w:color="auto"/>
              <w:right w:val="single" w:sz="4" w:space="0" w:color="auto"/>
            </w:tcBorders>
            <w:shd w:val="clear" w:color="auto" w:fill="auto"/>
            <w:noWrap/>
            <w:vAlign w:val="center"/>
          </w:tcPr>
          <w:p w14:paraId="6FA8098D" w14:textId="77777777" w:rsidR="000D1A29" w:rsidRPr="00C50F11" w:rsidRDefault="000D1A29" w:rsidP="00F44BFC">
            <w:pPr>
              <w:rPr>
                <w:rFonts w:ascii="Arial Narrow" w:hAnsi="Arial Narrow"/>
                <w:sz w:val="20"/>
                <w:szCs w:val="20"/>
              </w:rPr>
            </w:pPr>
            <w:r w:rsidRPr="00C50F11">
              <w:rPr>
                <w:rFonts w:ascii="Arial Narrow" w:hAnsi="Arial Narrow"/>
                <w:sz w:val="20"/>
                <w:szCs w:val="20"/>
              </w:rPr>
              <w:t>Бабушка /Rutilus ritilus/</w:t>
            </w:r>
          </w:p>
        </w:tc>
        <w:tc>
          <w:tcPr>
            <w:tcW w:w="2301" w:type="dxa"/>
            <w:tcBorders>
              <w:top w:val="nil"/>
              <w:left w:val="nil"/>
              <w:bottom w:val="single" w:sz="4" w:space="0" w:color="auto"/>
              <w:right w:val="single" w:sz="4" w:space="0" w:color="auto"/>
            </w:tcBorders>
            <w:shd w:val="clear" w:color="auto" w:fill="auto"/>
            <w:noWrap/>
            <w:vAlign w:val="center"/>
          </w:tcPr>
          <w:p w14:paraId="1C8355A5" w14:textId="77777777" w:rsidR="000D1A29" w:rsidRPr="00C50F11" w:rsidRDefault="000D1A29" w:rsidP="00F44BFC">
            <w:pPr>
              <w:jc w:val="right"/>
              <w:rPr>
                <w:rFonts w:ascii="Arial Narrow" w:hAnsi="Arial Narrow"/>
                <w:sz w:val="20"/>
                <w:szCs w:val="20"/>
              </w:rPr>
            </w:pPr>
            <w:r w:rsidRPr="00C50F11">
              <w:rPr>
                <w:rFonts w:ascii="Arial Narrow" w:hAnsi="Arial Narrow"/>
                <w:sz w:val="20"/>
                <w:szCs w:val="20"/>
              </w:rPr>
              <w:t>0,000</w:t>
            </w:r>
          </w:p>
        </w:tc>
      </w:tr>
      <w:tr w:rsidR="000D1A29" w:rsidRPr="00C50F11" w14:paraId="1702F406" w14:textId="77777777" w:rsidTr="001F3463">
        <w:trPr>
          <w:trHeight w:val="284"/>
        </w:trPr>
        <w:tc>
          <w:tcPr>
            <w:tcW w:w="662" w:type="dxa"/>
            <w:shd w:val="clear" w:color="auto" w:fill="auto"/>
            <w:noWrap/>
            <w:vAlign w:val="center"/>
            <w:hideMark/>
          </w:tcPr>
          <w:p w14:paraId="4A57A9D1" w14:textId="77777777" w:rsidR="000D1A29" w:rsidRPr="00C50F11" w:rsidRDefault="000D1A29" w:rsidP="00F44BFC">
            <w:pPr>
              <w:jc w:val="center"/>
              <w:rPr>
                <w:rFonts w:ascii="Arial Narrow" w:hAnsi="Arial Narrow"/>
                <w:sz w:val="20"/>
                <w:szCs w:val="20"/>
              </w:rPr>
            </w:pPr>
            <w:r w:rsidRPr="00C50F11">
              <w:rPr>
                <w:rFonts w:ascii="Arial Narrow" w:hAnsi="Arial Narrow"/>
                <w:sz w:val="20"/>
                <w:szCs w:val="20"/>
              </w:rPr>
              <w:t>9</w:t>
            </w:r>
          </w:p>
        </w:tc>
        <w:tc>
          <w:tcPr>
            <w:tcW w:w="6818" w:type="dxa"/>
            <w:tcBorders>
              <w:top w:val="single" w:sz="4" w:space="0" w:color="auto"/>
              <w:left w:val="nil"/>
              <w:bottom w:val="single" w:sz="4" w:space="0" w:color="auto"/>
              <w:right w:val="single" w:sz="4" w:space="0" w:color="auto"/>
            </w:tcBorders>
            <w:shd w:val="clear" w:color="auto" w:fill="auto"/>
            <w:noWrap/>
            <w:vAlign w:val="center"/>
          </w:tcPr>
          <w:p w14:paraId="201AA05A" w14:textId="77777777" w:rsidR="000D1A29" w:rsidRPr="00C50F11" w:rsidRDefault="000D1A29" w:rsidP="00F44BFC">
            <w:pPr>
              <w:rPr>
                <w:rFonts w:ascii="Arial Narrow" w:hAnsi="Arial Narrow"/>
                <w:sz w:val="20"/>
                <w:szCs w:val="20"/>
              </w:rPr>
            </w:pPr>
            <w:r w:rsidRPr="00C50F11">
              <w:rPr>
                <w:rFonts w:ascii="Arial Narrow" w:hAnsi="Arial Narrow"/>
                <w:sz w:val="20"/>
                <w:szCs w:val="20"/>
              </w:rPr>
              <w:t>Морунаш  /Vimba vimba/</w:t>
            </w:r>
          </w:p>
        </w:tc>
        <w:tc>
          <w:tcPr>
            <w:tcW w:w="2301" w:type="dxa"/>
            <w:tcBorders>
              <w:top w:val="nil"/>
              <w:left w:val="nil"/>
              <w:bottom w:val="single" w:sz="4" w:space="0" w:color="auto"/>
              <w:right w:val="single" w:sz="4" w:space="0" w:color="auto"/>
            </w:tcBorders>
            <w:shd w:val="clear" w:color="auto" w:fill="auto"/>
            <w:noWrap/>
            <w:vAlign w:val="center"/>
          </w:tcPr>
          <w:p w14:paraId="388665FA" w14:textId="77777777" w:rsidR="000D1A29" w:rsidRPr="00C50F11" w:rsidRDefault="000D1A29" w:rsidP="00F44BFC">
            <w:pPr>
              <w:jc w:val="right"/>
              <w:rPr>
                <w:rFonts w:ascii="Arial Narrow" w:hAnsi="Arial Narrow"/>
                <w:sz w:val="20"/>
                <w:szCs w:val="20"/>
              </w:rPr>
            </w:pPr>
            <w:r w:rsidRPr="00C50F11">
              <w:rPr>
                <w:rFonts w:ascii="Arial Narrow" w:hAnsi="Arial Narrow"/>
                <w:sz w:val="20"/>
                <w:szCs w:val="20"/>
              </w:rPr>
              <w:t>6,066</w:t>
            </w:r>
          </w:p>
        </w:tc>
      </w:tr>
      <w:tr w:rsidR="000D1A29" w:rsidRPr="00C50F11" w14:paraId="4ABA8B83" w14:textId="77777777" w:rsidTr="001F3463">
        <w:trPr>
          <w:trHeight w:val="284"/>
        </w:trPr>
        <w:tc>
          <w:tcPr>
            <w:tcW w:w="662" w:type="dxa"/>
            <w:shd w:val="clear" w:color="auto" w:fill="auto"/>
            <w:noWrap/>
            <w:vAlign w:val="center"/>
            <w:hideMark/>
          </w:tcPr>
          <w:p w14:paraId="6758599A" w14:textId="77777777" w:rsidR="000D1A29" w:rsidRPr="00C50F11" w:rsidRDefault="000D1A29" w:rsidP="00F44BFC">
            <w:pPr>
              <w:jc w:val="center"/>
              <w:rPr>
                <w:rFonts w:ascii="Arial Narrow" w:hAnsi="Arial Narrow"/>
                <w:sz w:val="20"/>
                <w:szCs w:val="20"/>
              </w:rPr>
            </w:pPr>
            <w:r w:rsidRPr="00C50F11">
              <w:rPr>
                <w:rFonts w:ascii="Arial Narrow" w:hAnsi="Arial Narrow"/>
                <w:sz w:val="20"/>
                <w:szCs w:val="20"/>
              </w:rPr>
              <w:t>10</w:t>
            </w:r>
          </w:p>
        </w:tc>
        <w:tc>
          <w:tcPr>
            <w:tcW w:w="6818" w:type="dxa"/>
            <w:tcBorders>
              <w:top w:val="single" w:sz="4" w:space="0" w:color="auto"/>
              <w:left w:val="nil"/>
              <w:bottom w:val="single" w:sz="4" w:space="0" w:color="auto"/>
              <w:right w:val="single" w:sz="4" w:space="0" w:color="auto"/>
            </w:tcBorders>
            <w:shd w:val="clear" w:color="auto" w:fill="auto"/>
            <w:noWrap/>
            <w:vAlign w:val="center"/>
          </w:tcPr>
          <w:p w14:paraId="43725777" w14:textId="77777777" w:rsidR="000D1A29" w:rsidRPr="00C50F11" w:rsidRDefault="000D1A29" w:rsidP="00F44BFC">
            <w:pPr>
              <w:rPr>
                <w:rFonts w:ascii="Arial Narrow" w:hAnsi="Arial Narrow"/>
                <w:sz w:val="20"/>
                <w:szCs w:val="20"/>
              </w:rPr>
            </w:pPr>
            <w:r w:rsidRPr="00C50F11">
              <w:rPr>
                <w:rFonts w:ascii="Arial Narrow" w:hAnsi="Arial Narrow"/>
                <w:sz w:val="20"/>
                <w:szCs w:val="20"/>
              </w:rPr>
              <w:t>Михалица</w:t>
            </w:r>
          </w:p>
        </w:tc>
        <w:tc>
          <w:tcPr>
            <w:tcW w:w="2301" w:type="dxa"/>
            <w:tcBorders>
              <w:top w:val="nil"/>
              <w:left w:val="nil"/>
              <w:bottom w:val="single" w:sz="4" w:space="0" w:color="auto"/>
              <w:right w:val="single" w:sz="4" w:space="0" w:color="auto"/>
            </w:tcBorders>
            <w:shd w:val="clear" w:color="auto" w:fill="auto"/>
            <w:noWrap/>
            <w:vAlign w:val="center"/>
          </w:tcPr>
          <w:p w14:paraId="14924700" w14:textId="77777777" w:rsidR="000D1A29" w:rsidRPr="00C50F11" w:rsidRDefault="000D1A29" w:rsidP="00F44BFC">
            <w:pPr>
              <w:jc w:val="right"/>
              <w:rPr>
                <w:rFonts w:ascii="Arial Narrow" w:hAnsi="Arial Narrow"/>
                <w:sz w:val="20"/>
                <w:szCs w:val="20"/>
              </w:rPr>
            </w:pPr>
            <w:r w:rsidRPr="00C50F11">
              <w:rPr>
                <w:rFonts w:ascii="Arial Narrow" w:hAnsi="Arial Narrow"/>
                <w:sz w:val="20"/>
                <w:szCs w:val="20"/>
              </w:rPr>
              <w:t>0,000</w:t>
            </w:r>
          </w:p>
        </w:tc>
      </w:tr>
      <w:tr w:rsidR="000D1A29" w:rsidRPr="00C50F11" w14:paraId="290DE861" w14:textId="77777777" w:rsidTr="001F3463">
        <w:trPr>
          <w:trHeight w:val="284"/>
        </w:trPr>
        <w:tc>
          <w:tcPr>
            <w:tcW w:w="662" w:type="dxa"/>
            <w:shd w:val="clear" w:color="auto" w:fill="auto"/>
            <w:noWrap/>
            <w:vAlign w:val="center"/>
            <w:hideMark/>
          </w:tcPr>
          <w:p w14:paraId="7187097D" w14:textId="77777777" w:rsidR="000D1A29" w:rsidRPr="00C50F11" w:rsidRDefault="000D1A29" w:rsidP="00F44BFC">
            <w:pPr>
              <w:jc w:val="center"/>
              <w:rPr>
                <w:rFonts w:ascii="Arial Narrow" w:hAnsi="Arial Narrow"/>
                <w:sz w:val="20"/>
                <w:szCs w:val="20"/>
              </w:rPr>
            </w:pPr>
            <w:r w:rsidRPr="00C50F11">
              <w:rPr>
                <w:rFonts w:ascii="Arial Narrow" w:hAnsi="Arial Narrow"/>
                <w:sz w:val="20"/>
                <w:szCs w:val="20"/>
              </w:rPr>
              <w:t>11</w:t>
            </w:r>
          </w:p>
        </w:tc>
        <w:tc>
          <w:tcPr>
            <w:tcW w:w="6818" w:type="dxa"/>
            <w:tcBorders>
              <w:top w:val="single" w:sz="4" w:space="0" w:color="auto"/>
              <w:left w:val="nil"/>
              <w:bottom w:val="single" w:sz="4" w:space="0" w:color="auto"/>
              <w:right w:val="single" w:sz="4" w:space="0" w:color="auto"/>
            </w:tcBorders>
            <w:shd w:val="clear" w:color="auto" w:fill="auto"/>
            <w:noWrap/>
            <w:vAlign w:val="center"/>
          </w:tcPr>
          <w:p w14:paraId="6483E5A3" w14:textId="77777777" w:rsidR="000D1A29" w:rsidRPr="00C50F11" w:rsidRDefault="000D1A29" w:rsidP="00F44BFC">
            <w:pPr>
              <w:rPr>
                <w:rFonts w:ascii="Arial Narrow" w:hAnsi="Arial Narrow"/>
                <w:sz w:val="20"/>
                <w:szCs w:val="20"/>
              </w:rPr>
            </w:pPr>
            <w:r w:rsidRPr="00C50F11">
              <w:rPr>
                <w:rFonts w:ascii="Arial Narrow" w:hAnsi="Arial Narrow"/>
                <w:sz w:val="20"/>
                <w:szCs w:val="20"/>
              </w:rPr>
              <w:t>Мъздруга  /Leuciscus idus/</w:t>
            </w:r>
          </w:p>
        </w:tc>
        <w:tc>
          <w:tcPr>
            <w:tcW w:w="2301" w:type="dxa"/>
            <w:tcBorders>
              <w:top w:val="nil"/>
              <w:left w:val="nil"/>
              <w:bottom w:val="single" w:sz="4" w:space="0" w:color="auto"/>
              <w:right w:val="single" w:sz="4" w:space="0" w:color="auto"/>
            </w:tcBorders>
            <w:shd w:val="clear" w:color="auto" w:fill="auto"/>
            <w:noWrap/>
            <w:vAlign w:val="center"/>
          </w:tcPr>
          <w:p w14:paraId="330D8757" w14:textId="77777777" w:rsidR="000D1A29" w:rsidRPr="00C50F11" w:rsidRDefault="000D1A29" w:rsidP="00F44BFC">
            <w:pPr>
              <w:jc w:val="right"/>
              <w:rPr>
                <w:rFonts w:ascii="Arial Narrow" w:hAnsi="Arial Narrow"/>
                <w:sz w:val="20"/>
                <w:szCs w:val="20"/>
              </w:rPr>
            </w:pPr>
            <w:r w:rsidRPr="00C50F11">
              <w:rPr>
                <w:rFonts w:ascii="Arial Narrow" w:hAnsi="Arial Narrow"/>
                <w:sz w:val="20"/>
                <w:szCs w:val="20"/>
              </w:rPr>
              <w:t>0,000</w:t>
            </w:r>
          </w:p>
        </w:tc>
      </w:tr>
      <w:tr w:rsidR="000D1A29" w:rsidRPr="00C50F11" w14:paraId="5DFFB2E1" w14:textId="77777777" w:rsidTr="001F3463">
        <w:trPr>
          <w:trHeight w:val="284"/>
        </w:trPr>
        <w:tc>
          <w:tcPr>
            <w:tcW w:w="662" w:type="dxa"/>
            <w:shd w:val="clear" w:color="auto" w:fill="auto"/>
            <w:noWrap/>
            <w:vAlign w:val="center"/>
            <w:hideMark/>
          </w:tcPr>
          <w:p w14:paraId="15988790" w14:textId="77777777" w:rsidR="000D1A29" w:rsidRPr="00C50F11" w:rsidRDefault="000D1A29" w:rsidP="00F44BFC">
            <w:pPr>
              <w:jc w:val="center"/>
              <w:rPr>
                <w:rFonts w:ascii="Arial Narrow" w:hAnsi="Arial Narrow"/>
                <w:sz w:val="20"/>
                <w:szCs w:val="20"/>
              </w:rPr>
            </w:pPr>
            <w:r w:rsidRPr="00C50F11">
              <w:rPr>
                <w:rFonts w:ascii="Arial Narrow" w:hAnsi="Arial Narrow"/>
                <w:sz w:val="20"/>
                <w:szCs w:val="20"/>
              </w:rPr>
              <w:t>12</w:t>
            </w:r>
          </w:p>
        </w:tc>
        <w:tc>
          <w:tcPr>
            <w:tcW w:w="6818" w:type="dxa"/>
            <w:tcBorders>
              <w:top w:val="single" w:sz="4" w:space="0" w:color="auto"/>
              <w:left w:val="nil"/>
              <w:bottom w:val="single" w:sz="4" w:space="0" w:color="auto"/>
              <w:right w:val="single" w:sz="4" w:space="0" w:color="auto"/>
            </w:tcBorders>
            <w:shd w:val="clear" w:color="auto" w:fill="auto"/>
            <w:noWrap/>
            <w:vAlign w:val="center"/>
          </w:tcPr>
          <w:p w14:paraId="17956D3E" w14:textId="77777777" w:rsidR="000D1A29" w:rsidRPr="00C50F11" w:rsidRDefault="000D1A29" w:rsidP="00F44BFC">
            <w:pPr>
              <w:rPr>
                <w:rFonts w:ascii="Arial Narrow" w:hAnsi="Arial Narrow"/>
                <w:sz w:val="20"/>
                <w:szCs w:val="20"/>
              </w:rPr>
            </w:pPr>
            <w:r w:rsidRPr="00C50F11">
              <w:rPr>
                <w:rFonts w:ascii="Arial Narrow" w:hAnsi="Arial Narrow"/>
                <w:sz w:val="20"/>
                <w:szCs w:val="20"/>
              </w:rPr>
              <w:t>Маришка мряна /Barbus cyclolepis/</w:t>
            </w:r>
          </w:p>
        </w:tc>
        <w:tc>
          <w:tcPr>
            <w:tcW w:w="2301" w:type="dxa"/>
            <w:tcBorders>
              <w:top w:val="nil"/>
              <w:left w:val="nil"/>
              <w:bottom w:val="single" w:sz="4" w:space="0" w:color="auto"/>
              <w:right w:val="single" w:sz="4" w:space="0" w:color="auto"/>
            </w:tcBorders>
            <w:shd w:val="clear" w:color="auto" w:fill="auto"/>
            <w:noWrap/>
            <w:vAlign w:val="center"/>
          </w:tcPr>
          <w:p w14:paraId="5A8C9367" w14:textId="77777777" w:rsidR="000D1A29" w:rsidRPr="00C50F11" w:rsidRDefault="000D1A29" w:rsidP="00F44BFC">
            <w:pPr>
              <w:jc w:val="right"/>
              <w:rPr>
                <w:rFonts w:ascii="Arial Narrow" w:hAnsi="Arial Narrow"/>
                <w:sz w:val="20"/>
                <w:szCs w:val="20"/>
              </w:rPr>
            </w:pPr>
            <w:r w:rsidRPr="00C50F11">
              <w:rPr>
                <w:rFonts w:ascii="Arial Narrow" w:hAnsi="Arial Narrow"/>
                <w:sz w:val="20"/>
                <w:szCs w:val="20"/>
              </w:rPr>
              <w:t>0,000</w:t>
            </w:r>
          </w:p>
        </w:tc>
      </w:tr>
      <w:tr w:rsidR="000D1A29" w:rsidRPr="00C50F11" w14:paraId="7F3B347E" w14:textId="77777777" w:rsidTr="001F3463">
        <w:trPr>
          <w:trHeight w:val="284"/>
        </w:trPr>
        <w:tc>
          <w:tcPr>
            <w:tcW w:w="662" w:type="dxa"/>
            <w:shd w:val="clear" w:color="auto" w:fill="auto"/>
            <w:noWrap/>
            <w:vAlign w:val="center"/>
            <w:hideMark/>
          </w:tcPr>
          <w:p w14:paraId="357E411F" w14:textId="77777777" w:rsidR="000D1A29" w:rsidRPr="00C50F11" w:rsidRDefault="000D1A29" w:rsidP="00F44BFC">
            <w:pPr>
              <w:jc w:val="center"/>
              <w:rPr>
                <w:rFonts w:ascii="Arial Narrow" w:hAnsi="Arial Narrow"/>
                <w:sz w:val="20"/>
                <w:szCs w:val="20"/>
              </w:rPr>
            </w:pPr>
            <w:r w:rsidRPr="00C50F11">
              <w:rPr>
                <w:rFonts w:ascii="Arial Narrow" w:hAnsi="Arial Narrow"/>
                <w:sz w:val="20"/>
                <w:szCs w:val="20"/>
              </w:rPr>
              <w:t>13</w:t>
            </w:r>
          </w:p>
        </w:tc>
        <w:tc>
          <w:tcPr>
            <w:tcW w:w="6818" w:type="dxa"/>
            <w:tcBorders>
              <w:top w:val="single" w:sz="4" w:space="0" w:color="auto"/>
              <w:left w:val="nil"/>
              <w:bottom w:val="single" w:sz="4" w:space="0" w:color="auto"/>
              <w:right w:val="single" w:sz="4" w:space="0" w:color="auto"/>
            </w:tcBorders>
            <w:shd w:val="clear" w:color="auto" w:fill="auto"/>
            <w:noWrap/>
            <w:vAlign w:val="center"/>
          </w:tcPr>
          <w:p w14:paraId="479524DE" w14:textId="77777777" w:rsidR="000D1A29" w:rsidRPr="00C50F11" w:rsidRDefault="000D1A29" w:rsidP="00F44BFC">
            <w:pPr>
              <w:rPr>
                <w:rFonts w:ascii="Arial Narrow" w:hAnsi="Arial Narrow"/>
                <w:sz w:val="20"/>
                <w:szCs w:val="20"/>
              </w:rPr>
            </w:pPr>
            <w:r w:rsidRPr="00C50F11">
              <w:rPr>
                <w:rFonts w:ascii="Arial Narrow" w:hAnsi="Arial Narrow"/>
                <w:sz w:val="20"/>
                <w:szCs w:val="20"/>
              </w:rPr>
              <w:t>Платика /Abramis brama/</w:t>
            </w:r>
          </w:p>
        </w:tc>
        <w:tc>
          <w:tcPr>
            <w:tcW w:w="2301" w:type="dxa"/>
            <w:tcBorders>
              <w:top w:val="single" w:sz="4" w:space="0" w:color="auto"/>
              <w:left w:val="nil"/>
              <w:bottom w:val="single" w:sz="4" w:space="0" w:color="auto"/>
              <w:right w:val="single" w:sz="4" w:space="0" w:color="auto"/>
            </w:tcBorders>
            <w:shd w:val="clear" w:color="auto" w:fill="auto"/>
            <w:noWrap/>
            <w:vAlign w:val="center"/>
          </w:tcPr>
          <w:p w14:paraId="3FB433FD" w14:textId="77777777" w:rsidR="000D1A29" w:rsidRPr="00C50F11" w:rsidRDefault="000D1A29" w:rsidP="00F44BFC">
            <w:pPr>
              <w:jc w:val="right"/>
              <w:rPr>
                <w:rFonts w:ascii="Arial Narrow" w:hAnsi="Arial Narrow"/>
                <w:sz w:val="20"/>
                <w:szCs w:val="20"/>
              </w:rPr>
            </w:pPr>
            <w:r w:rsidRPr="00C50F11">
              <w:rPr>
                <w:rFonts w:ascii="Arial Narrow" w:hAnsi="Arial Narrow"/>
                <w:sz w:val="20"/>
                <w:szCs w:val="20"/>
              </w:rPr>
              <w:t>5,694</w:t>
            </w:r>
          </w:p>
        </w:tc>
      </w:tr>
      <w:tr w:rsidR="000D1A29" w:rsidRPr="00C50F11" w14:paraId="507C22BF" w14:textId="77777777" w:rsidTr="001F3463">
        <w:trPr>
          <w:trHeight w:val="284"/>
        </w:trPr>
        <w:tc>
          <w:tcPr>
            <w:tcW w:w="662" w:type="dxa"/>
            <w:shd w:val="clear" w:color="auto" w:fill="auto"/>
            <w:noWrap/>
            <w:vAlign w:val="center"/>
            <w:hideMark/>
          </w:tcPr>
          <w:p w14:paraId="1D59BFD6" w14:textId="77777777" w:rsidR="000D1A29" w:rsidRPr="00C50F11" w:rsidRDefault="000D1A29" w:rsidP="00F44BFC">
            <w:pPr>
              <w:jc w:val="center"/>
              <w:rPr>
                <w:rFonts w:ascii="Arial Narrow" w:hAnsi="Arial Narrow"/>
                <w:sz w:val="20"/>
                <w:szCs w:val="20"/>
              </w:rPr>
            </w:pPr>
            <w:r w:rsidRPr="00C50F11">
              <w:rPr>
                <w:rFonts w:ascii="Arial Narrow" w:hAnsi="Arial Narrow"/>
                <w:sz w:val="20"/>
                <w:szCs w:val="20"/>
              </w:rPr>
              <w:t>14</w:t>
            </w:r>
          </w:p>
        </w:tc>
        <w:tc>
          <w:tcPr>
            <w:tcW w:w="6818" w:type="dxa"/>
            <w:tcBorders>
              <w:top w:val="single" w:sz="4" w:space="0" w:color="auto"/>
              <w:left w:val="nil"/>
              <w:bottom w:val="single" w:sz="4" w:space="0" w:color="auto"/>
              <w:right w:val="single" w:sz="4" w:space="0" w:color="auto"/>
            </w:tcBorders>
            <w:shd w:val="clear" w:color="auto" w:fill="auto"/>
            <w:noWrap/>
            <w:vAlign w:val="center"/>
          </w:tcPr>
          <w:p w14:paraId="1721242D" w14:textId="77777777" w:rsidR="000D1A29" w:rsidRPr="00C50F11" w:rsidRDefault="000D1A29" w:rsidP="00F44BFC">
            <w:pPr>
              <w:rPr>
                <w:rFonts w:ascii="Arial Narrow" w:hAnsi="Arial Narrow"/>
                <w:sz w:val="20"/>
                <w:szCs w:val="20"/>
              </w:rPr>
            </w:pPr>
            <w:r w:rsidRPr="00C50F11">
              <w:rPr>
                <w:rFonts w:ascii="Arial Narrow" w:hAnsi="Arial Narrow"/>
                <w:sz w:val="20"/>
                <w:szCs w:val="20"/>
              </w:rPr>
              <w:t>Пъстър толстолоб /Aristhichthys nobilis/</w:t>
            </w:r>
          </w:p>
        </w:tc>
        <w:tc>
          <w:tcPr>
            <w:tcW w:w="2301" w:type="dxa"/>
            <w:tcBorders>
              <w:top w:val="single" w:sz="4" w:space="0" w:color="auto"/>
              <w:left w:val="nil"/>
              <w:bottom w:val="single" w:sz="4" w:space="0" w:color="auto"/>
              <w:right w:val="single" w:sz="4" w:space="0" w:color="auto"/>
            </w:tcBorders>
            <w:shd w:val="clear" w:color="auto" w:fill="auto"/>
            <w:noWrap/>
            <w:vAlign w:val="center"/>
          </w:tcPr>
          <w:p w14:paraId="6D7584FF" w14:textId="77777777" w:rsidR="000D1A29" w:rsidRPr="00C50F11" w:rsidRDefault="000D1A29" w:rsidP="00F44BFC">
            <w:pPr>
              <w:jc w:val="right"/>
              <w:rPr>
                <w:rFonts w:ascii="Arial Narrow" w:hAnsi="Arial Narrow"/>
                <w:sz w:val="20"/>
                <w:szCs w:val="20"/>
              </w:rPr>
            </w:pPr>
            <w:r w:rsidRPr="00C50F11">
              <w:rPr>
                <w:rFonts w:ascii="Arial Narrow" w:hAnsi="Arial Narrow"/>
                <w:sz w:val="20"/>
                <w:szCs w:val="20"/>
              </w:rPr>
              <w:t>4,136</w:t>
            </w:r>
          </w:p>
        </w:tc>
      </w:tr>
      <w:tr w:rsidR="000D1A29" w:rsidRPr="00C50F11" w14:paraId="70C13D93" w14:textId="77777777" w:rsidTr="001F3463">
        <w:trPr>
          <w:trHeight w:val="284"/>
        </w:trPr>
        <w:tc>
          <w:tcPr>
            <w:tcW w:w="662" w:type="dxa"/>
            <w:shd w:val="clear" w:color="auto" w:fill="auto"/>
            <w:noWrap/>
            <w:vAlign w:val="center"/>
            <w:hideMark/>
          </w:tcPr>
          <w:p w14:paraId="454DD9D2" w14:textId="77777777" w:rsidR="000D1A29" w:rsidRPr="00C50F11" w:rsidRDefault="000D1A29" w:rsidP="00F44BFC">
            <w:pPr>
              <w:jc w:val="center"/>
              <w:rPr>
                <w:rFonts w:ascii="Arial Narrow" w:hAnsi="Arial Narrow"/>
                <w:sz w:val="20"/>
                <w:szCs w:val="20"/>
              </w:rPr>
            </w:pPr>
            <w:r w:rsidRPr="00C50F11">
              <w:rPr>
                <w:rFonts w:ascii="Arial Narrow" w:hAnsi="Arial Narrow"/>
                <w:sz w:val="20"/>
                <w:szCs w:val="20"/>
              </w:rPr>
              <w:t>15</w:t>
            </w:r>
          </w:p>
        </w:tc>
        <w:tc>
          <w:tcPr>
            <w:tcW w:w="6818" w:type="dxa"/>
            <w:tcBorders>
              <w:top w:val="single" w:sz="4" w:space="0" w:color="auto"/>
              <w:left w:val="nil"/>
              <w:bottom w:val="single" w:sz="4" w:space="0" w:color="auto"/>
              <w:right w:val="single" w:sz="4" w:space="0" w:color="auto"/>
            </w:tcBorders>
            <w:shd w:val="clear" w:color="auto" w:fill="auto"/>
            <w:noWrap/>
            <w:vAlign w:val="center"/>
          </w:tcPr>
          <w:p w14:paraId="56AA1E5C" w14:textId="77777777" w:rsidR="000D1A29" w:rsidRPr="00C50F11" w:rsidRDefault="000D1A29" w:rsidP="00F44BFC">
            <w:pPr>
              <w:rPr>
                <w:rFonts w:ascii="Arial Narrow" w:hAnsi="Arial Narrow"/>
                <w:sz w:val="20"/>
                <w:szCs w:val="20"/>
              </w:rPr>
            </w:pPr>
            <w:r w:rsidRPr="00C50F11">
              <w:rPr>
                <w:rFonts w:ascii="Arial Narrow" w:hAnsi="Arial Narrow"/>
                <w:sz w:val="20"/>
                <w:szCs w:val="20"/>
              </w:rPr>
              <w:t>Попчета / Gobiidae/</w:t>
            </w:r>
          </w:p>
        </w:tc>
        <w:tc>
          <w:tcPr>
            <w:tcW w:w="2301" w:type="dxa"/>
            <w:tcBorders>
              <w:top w:val="single" w:sz="4" w:space="0" w:color="auto"/>
              <w:left w:val="nil"/>
              <w:bottom w:val="single" w:sz="4" w:space="0" w:color="auto"/>
              <w:right w:val="single" w:sz="4" w:space="0" w:color="auto"/>
            </w:tcBorders>
            <w:shd w:val="clear" w:color="auto" w:fill="auto"/>
            <w:noWrap/>
            <w:vAlign w:val="center"/>
          </w:tcPr>
          <w:p w14:paraId="575B9DCA" w14:textId="77777777" w:rsidR="000D1A29" w:rsidRPr="00C50F11" w:rsidRDefault="000D1A29" w:rsidP="00F44BFC">
            <w:pPr>
              <w:jc w:val="right"/>
              <w:rPr>
                <w:rFonts w:ascii="Arial Narrow" w:hAnsi="Arial Narrow"/>
                <w:sz w:val="20"/>
                <w:szCs w:val="20"/>
              </w:rPr>
            </w:pPr>
            <w:r w:rsidRPr="00C50F11">
              <w:rPr>
                <w:rFonts w:ascii="Arial Narrow" w:hAnsi="Arial Narrow"/>
                <w:sz w:val="20"/>
                <w:szCs w:val="20"/>
              </w:rPr>
              <w:t>0,00</w:t>
            </w:r>
          </w:p>
        </w:tc>
      </w:tr>
      <w:tr w:rsidR="000D1A29" w:rsidRPr="00C50F11" w14:paraId="302B424A" w14:textId="77777777" w:rsidTr="001F3463">
        <w:trPr>
          <w:trHeight w:val="284"/>
        </w:trPr>
        <w:tc>
          <w:tcPr>
            <w:tcW w:w="662" w:type="dxa"/>
            <w:shd w:val="clear" w:color="auto" w:fill="auto"/>
            <w:noWrap/>
            <w:vAlign w:val="center"/>
            <w:hideMark/>
          </w:tcPr>
          <w:p w14:paraId="40641F85" w14:textId="77777777" w:rsidR="000D1A29" w:rsidRPr="00C50F11" w:rsidRDefault="000D1A29" w:rsidP="00F44BFC">
            <w:pPr>
              <w:jc w:val="center"/>
              <w:rPr>
                <w:rFonts w:ascii="Arial Narrow" w:hAnsi="Arial Narrow"/>
                <w:sz w:val="20"/>
                <w:szCs w:val="20"/>
              </w:rPr>
            </w:pPr>
            <w:r w:rsidRPr="00C50F11">
              <w:rPr>
                <w:rFonts w:ascii="Arial Narrow" w:hAnsi="Arial Narrow"/>
                <w:sz w:val="20"/>
                <w:szCs w:val="20"/>
              </w:rPr>
              <w:t>16</w:t>
            </w:r>
          </w:p>
        </w:tc>
        <w:tc>
          <w:tcPr>
            <w:tcW w:w="68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1A198A" w14:textId="77777777" w:rsidR="000D1A29" w:rsidRPr="00C50F11" w:rsidRDefault="000D1A29" w:rsidP="00F44BFC">
            <w:pPr>
              <w:rPr>
                <w:rFonts w:ascii="Arial Narrow" w:hAnsi="Arial Narrow"/>
                <w:sz w:val="20"/>
                <w:szCs w:val="20"/>
              </w:rPr>
            </w:pPr>
            <w:r w:rsidRPr="00C50F11">
              <w:rPr>
                <w:rFonts w:ascii="Arial Narrow" w:hAnsi="Arial Narrow"/>
                <w:sz w:val="20"/>
                <w:szCs w:val="20"/>
              </w:rPr>
              <w:t>Распер /Aspius aspius/</w:t>
            </w:r>
          </w:p>
        </w:tc>
        <w:tc>
          <w:tcPr>
            <w:tcW w:w="23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52B65F" w14:textId="77777777" w:rsidR="000D1A29" w:rsidRPr="00C50F11" w:rsidRDefault="000D1A29" w:rsidP="00F44BFC">
            <w:pPr>
              <w:jc w:val="right"/>
              <w:rPr>
                <w:rFonts w:ascii="Arial Narrow" w:hAnsi="Arial Narrow"/>
                <w:sz w:val="20"/>
                <w:szCs w:val="20"/>
              </w:rPr>
            </w:pPr>
            <w:r w:rsidRPr="00C50F11">
              <w:rPr>
                <w:rFonts w:ascii="Arial Narrow" w:hAnsi="Arial Narrow"/>
                <w:sz w:val="20"/>
                <w:szCs w:val="20"/>
              </w:rPr>
              <w:t>1,292</w:t>
            </w:r>
          </w:p>
        </w:tc>
      </w:tr>
      <w:tr w:rsidR="000D1A29" w:rsidRPr="00C50F11" w14:paraId="52130D16" w14:textId="77777777" w:rsidTr="001F3463">
        <w:trPr>
          <w:trHeight w:val="284"/>
        </w:trPr>
        <w:tc>
          <w:tcPr>
            <w:tcW w:w="662" w:type="dxa"/>
            <w:shd w:val="clear" w:color="auto" w:fill="auto"/>
            <w:noWrap/>
            <w:vAlign w:val="center"/>
            <w:hideMark/>
          </w:tcPr>
          <w:p w14:paraId="069ADA64" w14:textId="77777777" w:rsidR="000D1A29" w:rsidRPr="00C50F11" w:rsidRDefault="000D1A29" w:rsidP="00F44BFC">
            <w:pPr>
              <w:jc w:val="center"/>
              <w:rPr>
                <w:rFonts w:ascii="Arial Narrow" w:hAnsi="Arial Narrow"/>
                <w:sz w:val="20"/>
                <w:szCs w:val="20"/>
              </w:rPr>
            </w:pPr>
            <w:r w:rsidRPr="00C50F11">
              <w:rPr>
                <w:rFonts w:ascii="Arial Narrow" w:hAnsi="Arial Narrow"/>
                <w:sz w:val="20"/>
                <w:szCs w:val="20"/>
              </w:rPr>
              <w:t>17</w:t>
            </w:r>
          </w:p>
        </w:tc>
        <w:tc>
          <w:tcPr>
            <w:tcW w:w="6818" w:type="dxa"/>
            <w:tcBorders>
              <w:top w:val="single" w:sz="4" w:space="0" w:color="auto"/>
              <w:left w:val="nil"/>
              <w:bottom w:val="single" w:sz="4" w:space="0" w:color="auto"/>
              <w:right w:val="single" w:sz="4" w:space="0" w:color="auto"/>
            </w:tcBorders>
            <w:shd w:val="clear" w:color="auto" w:fill="auto"/>
            <w:noWrap/>
            <w:vAlign w:val="center"/>
          </w:tcPr>
          <w:p w14:paraId="7DB8E912" w14:textId="77777777" w:rsidR="000D1A29" w:rsidRPr="00C50F11" w:rsidRDefault="000D1A29" w:rsidP="00F44BFC">
            <w:pPr>
              <w:rPr>
                <w:rFonts w:ascii="Arial Narrow" w:hAnsi="Arial Narrow"/>
                <w:sz w:val="20"/>
                <w:szCs w:val="20"/>
              </w:rPr>
            </w:pPr>
            <w:r w:rsidRPr="00C50F11">
              <w:rPr>
                <w:rFonts w:ascii="Arial Narrow" w:hAnsi="Arial Narrow"/>
                <w:sz w:val="20"/>
                <w:szCs w:val="20"/>
              </w:rPr>
              <w:t>Речен кефал /Leuciscus cephalus/</w:t>
            </w:r>
          </w:p>
        </w:tc>
        <w:tc>
          <w:tcPr>
            <w:tcW w:w="2301" w:type="dxa"/>
            <w:tcBorders>
              <w:top w:val="single" w:sz="4" w:space="0" w:color="auto"/>
              <w:left w:val="nil"/>
              <w:bottom w:val="single" w:sz="4" w:space="0" w:color="auto"/>
              <w:right w:val="single" w:sz="4" w:space="0" w:color="auto"/>
            </w:tcBorders>
            <w:shd w:val="clear" w:color="auto" w:fill="auto"/>
            <w:noWrap/>
            <w:vAlign w:val="center"/>
          </w:tcPr>
          <w:p w14:paraId="39D240F7" w14:textId="77777777" w:rsidR="000D1A29" w:rsidRPr="00C50F11" w:rsidRDefault="000D1A29" w:rsidP="00F44BFC">
            <w:pPr>
              <w:jc w:val="right"/>
              <w:rPr>
                <w:rFonts w:ascii="Arial Narrow" w:hAnsi="Arial Narrow"/>
                <w:sz w:val="20"/>
                <w:szCs w:val="20"/>
              </w:rPr>
            </w:pPr>
            <w:r w:rsidRPr="00C50F11">
              <w:rPr>
                <w:rFonts w:ascii="Arial Narrow" w:hAnsi="Arial Narrow"/>
                <w:sz w:val="20"/>
                <w:szCs w:val="20"/>
              </w:rPr>
              <w:t>0,065</w:t>
            </w:r>
          </w:p>
        </w:tc>
      </w:tr>
      <w:tr w:rsidR="000D1A29" w:rsidRPr="00C50F11" w14:paraId="4BDC1BB7" w14:textId="77777777" w:rsidTr="001F3463">
        <w:trPr>
          <w:trHeight w:val="284"/>
        </w:trPr>
        <w:tc>
          <w:tcPr>
            <w:tcW w:w="662" w:type="dxa"/>
            <w:shd w:val="clear" w:color="auto" w:fill="auto"/>
            <w:noWrap/>
            <w:vAlign w:val="center"/>
            <w:hideMark/>
          </w:tcPr>
          <w:p w14:paraId="3FE9D82A" w14:textId="77777777" w:rsidR="000D1A29" w:rsidRPr="00C50F11" w:rsidRDefault="000D1A29" w:rsidP="00F44BFC">
            <w:pPr>
              <w:jc w:val="center"/>
              <w:rPr>
                <w:rFonts w:ascii="Arial Narrow" w:hAnsi="Arial Narrow"/>
                <w:sz w:val="20"/>
                <w:szCs w:val="20"/>
              </w:rPr>
            </w:pPr>
            <w:r w:rsidRPr="00C50F11">
              <w:rPr>
                <w:rFonts w:ascii="Arial Narrow" w:hAnsi="Arial Narrow"/>
                <w:sz w:val="20"/>
                <w:szCs w:val="20"/>
              </w:rPr>
              <w:t>18</w:t>
            </w:r>
          </w:p>
        </w:tc>
        <w:tc>
          <w:tcPr>
            <w:tcW w:w="6818" w:type="dxa"/>
            <w:tcBorders>
              <w:top w:val="nil"/>
              <w:left w:val="nil"/>
              <w:bottom w:val="single" w:sz="4" w:space="0" w:color="auto"/>
              <w:right w:val="single" w:sz="4" w:space="0" w:color="auto"/>
            </w:tcBorders>
            <w:shd w:val="clear" w:color="auto" w:fill="auto"/>
            <w:noWrap/>
            <w:vAlign w:val="center"/>
          </w:tcPr>
          <w:p w14:paraId="09168E90" w14:textId="77777777" w:rsidR="000D1A29" w:rsidRPr="00C50F11" w:rsidRDefault="000D1A29" w:rsidP="00F44BFC">
            <w:pPr>
              <w:rPr>
                <w:rFonts w:ascii="Arial Narrow" w:hAnsi="Arial Narrow"/>
                <w:sz w:val="20"/>
                <w:szCs w:val="20"/>
              </w:rPr>
            </w:pPr>
            <w:r w:rsidRPr="00C50F11">
              <w:rPr>
                <w:rFonts w:ascii="Arial Narrow" w:hAnsi="Arial Narrow"/>
                <w:sz w:val="20"/>
                <w:szCs w:val="20"/>
              </w:rPr>
              <w:t>Речен костур /Perca fluviatilis/</w:t>
            </w:r>
          </w:p>
        </w:tc>
        <w:tc>
          <w:tcPr>
            <w:tcW w:w="2301" w:type="dxa"/>
            <w:tcBorders>
              <w:top w:val="nil"/>
              <w:left w:val="nil"/>
              <w:bottom w:val="single" w:sz="4" w:space="0" w:color="auto"/>
              <w:right w:val="single" w:sz="4" w:space="0" w:color="auto"/>
            </w:tcBorders>
            <w:shd w:val="clear" w:color="auto" w:fill="auto"/>
            <w:noWrap/>
            <w:vAlign w:val="center"/>
          </w:tcPr>
          <w:p w14:paraId="4167F2D8" w14:textId="77777777" w:rsidR="000D1A29" w:rsidRPr="00C50F11" w:rsidRDefault="000D1A29" w:rsidP="00F44BFC">
            <w:pPr>
              <w:jc w:val="right"/>
              <w:rPr>
                <w:rFonts w:ascii="Arial Narrow" w:hAnsi="Arial Narrow"/>
                <w:sz w:val="20"/>
                <w:szCs w:val="20"/>
              </w:rPr>
            </w:pPr>
            <w:r w:rsidRPr="00C50F11">
              <w:rPr>
                <w:rFonts w:ascii="Arial Narrow" w:hAnsi="Arial Narrow"/>
                <w:sz w:val="20"/>
                <w:szCs w:val="20"/>
              </w:rPr>
              <w:t>0,000</w:t>
            </w:r>
          </w:p>
        </w:tc>
      </w:tr>
      <w:tr w:rsidR="000D1A29" w:rsidRPr="00C50F11" w14:paraId="32F011B9" w14:textId="77777777" w:rsidTr="001F3463">
        <w:trPr>
          <w:trHeight w:val="284"/>
        </w:trPr>
        <w:tc>
          <w:tcPr>
            <w:tcW w:w="662" w:type="dxa"/>
            <w:shd w:val="clear" w:color="auto" w:fill="auto"/>
            <w:noWrap/>
            <w:vAlign w:val="center"/>
            <w:hideMark/>
          </w:tcPr>
          <w:p w14:paraId="56200DC0" w14:textId="77777777" w:rsidR="000D1A29" w:rsidRPr="00C50F11" w:rsidRDefault="000D1A29" w:rsidP="00F44BFC">
            <w:pPr>
              <w:jc w:val="center"/>
              <w:rPr>
                <w:rFonts w:ascii="Arial Narrow" w:hAnsi="Arial Narrow"/>
                <w:sz w:val="20"/>
                <w:szCs w:val="20"/>
              </w:rPr>
            </w:pPr>
            <w:r w:rsidRPr="00C50F11">
              <w:rPr>
                <w:rFonts w:ascii="Arial Narrow" w:hAnsi="Arial Narrow"/>
                <w:sz w:val="20"/>
                <w:szCs w:val="20"/>
              </w:rPr>
              <w:t>19</w:t>
            </w:r>
          </w:p>
        </w:tc>
        <w:tc>
          <w:tcPr>
            <w:tcW w:w="6818" w:type="dxa"/>
            <w:tcBorders>
              <w:top w:val="single" w:sz="4" w:space="0" w:color="auto"/>
              <w:left w:val="nil"/>
              <w:bottom w:val="single" w:sz="4" w:space="0" w:color="auto"/>
              <w:right w:val="single" w:sz="4" w:space="0" w:color="auto"/>
            </w:tcBorders>
            <w:shd w:val="clear" w:color="auto" w:fill="auto"/>
            <w:noWrap/>
            <w:vAlign w:val="center"/>
          </w:tcPr>
          <w:p w14:paraId="26BC6986" w14:textId="77777777" w:rsidR="000D1A29" w:rsidRPr="00C50F11" w:rsidRDefault="000D1A29" w:rsidP="00F44BFC">
            <w:pPr>
              <w:rPr>
                <w:rFonts w:ascii="Arial Narrow" w:hAnsi="Arial Narrow"/>
                <w:sz w:val="20"/>
                <w:szCs w:val="20"/>
              </w:rPr>
            </w:pPr>
            <w:r w:rsidRPr="00C50F11">
              <w:rPr>
                <w:rFonts w:ascii="Arial Narrow" w:hAnsi="Arial Narrow"/>
                <w:sz w:val="20"/>
                <w:szCs w:val="20"/>
              </w:rPr>
              <w:t>Скобар /Chondrostoma nasus/</w:t>
            </w:r>
          </w:p>
        </w:tc>
        <w:tc>
          <w:tcPr>
            <w:tcW w:w="2301" w:type="dxa"/>
            <w:tcBorders>
              <w:top w:val="single" w:sz="4" w:space="0" w:color="auto"/>
              <w:left w:val="nil"/>
              <w:bottom w:val="single" w:sz="4" w:space="0" w:color="auto"/>
              <w:right w:val="single" w:sz="4" w:space="0" w:color="auto"/>
            </w:tcBorders>
            <w:shd w:val="clear" w:color="auto" w:fill="auto"/>
            <w:noWrap/>
            <w:vAlign w:val="center"/>
          </w:tcPr>
          <w:p w14:paraId="25290D4D" w14:textId="77777777" w:rsidR="000D1A29" w:rsidRPr="00C50F11" w:rsidRDefault="000D1A29" w:rsidP="00F44BFC">
            <w:pPr>
              <w:jc w:val="right"/>
              <w:rPr>
                <w:rFonts w:ascii="Arial Narrow" w:hAnsi="Arial Narrow"/>
                <w:sz w:val="20"/>
                <w:szCs w:val="20"/>
              </w:rPr>
            </w:pPr>
            <w:r w:rsidRPr="00C50F11">
              <w:rPr>
                <w:rFonts w:ascii="Arial Narrow" w:hAnsi="Arial Narrow"/>
                <w:sz w:val="20"/>
                <w:szCs w:val="20"/>
              </w:rPr>
              <w:t>0,749</w:t>
            </w:r>
          </w:p>
        </w:tc>
      </w:tr>
      <w:tr w:rsidR="000D1A29" w:rsidRPr="00C50F11" w14:paraId="7EF701E5" w14:textId="77777777" w:rsidTr="001F3463">
        <w:trPr>
          <w:trHeight w:val="284"/>
        </w:trPr>
        <w:tc>
          <w:tcPr>
            <w:tcW w:w="662" w:type="dxa"/>
            <w:shd w:val="clear" w:color="auto" w:fill="auto"/>
            <w:noWrap/>
            <w:vAlign w:val="center"/>
            <w:hideMark/>
          </w:tcPr>
          <w:p w14:paraId="3EE4BC60" w14:textId="77777777" w:rsidR="000D1A29" w:rsidRPr="00C50F11" w:rsidRDefault="000D1A29" w:rsidP="00F44BFC">
            <w:pPr>
              <w:jc w:val="center"/>
              <w:rPr>
                <w:rFonts w:ascii="Arial Narrow" w:hAnsi="Arial Narrow"/>
                <w:sz w:val="20"/>
                <w:szCs w:val="20"/>
              </w:rPr>
            </w:pPr>
            <w:r w:rsidRPr="00C50F11">
              <w:rPr>
                <w:rFonts w:ascii="Arial Narrow" w:hAnsi="Arial Narrow"/>
                <w:sz w:val="20"/>
                <w:szCs w:val="20"/>
              </w:rPr>
              <w:t>20</w:t>
            </w:r>
          </w:p>
        </w:tc>
        <w:tc>
          <w:tcPr>
            <w:tcW w:w="6818" w:type="dxa"/>
            <w:tcBorders>
              <w:top w:val="nil"/>
              <w:left w:val="nil"/>
              <w:bottom w:val="single" w:sz="4" w:space="0" w:color="auto"/>
              <w:right w:val="single" w:sz="4" w:space="0" w:color="auto"/>
            </w:tcBorders>
            <w:shd w:val="clear" w:color="auto" w:fill="auto"/>
            <w:noWrap/>
            <w:vAlign w:val="center"/>
          </w:tcPr>
          <w:p w14:paraId="681B845E" w14:textId="77777777" w:rsidR="000D1A29" w:rsidRPr="00C50F11" w:rsidRDefault="000D1A29" w:rsidP="00F44BFC">
            <w:pPr>
              <w:rPr>
                <w:rFonts w:ascii="Arial Narrow" w:hAnsi="Arial Narrow"/>
                <w:sz w:val="20"/>
                <w:szCs w:val="20"/>
              </w:rPr>
            </w:pPr>
            <w:r w:rsidRPr="00C50F11">
              <w:rPr>
                <w:rFonts w:ascii="Arial Narrow" w:hAnsi="Arial Narrow"/>
                <w:sz w:val="20"/>
                <w:szCs w:val="20"/>
              </w:rPr>
              <w:t>Европейски сом /Sillurus glanis/</w:t>
            </w:r>
          </w:p>
        </w:tc>
        <w:tc>
          <w:tcPr>
            <w:tcW w:w="2301" w:type="dxa"/>
            <w:tcBorders>
              <w:top w:val="nil"/>
              <w:left w:val="nil"/>
              <w:bottom w:val="single" w:sz="4" w:space="0" w:color="auto"/>
              <w:right w:val="single" w:sz="4" w:space="0" w:color="auto"/>
            </w:tcBorders>
            <w:shd w:val="clear" w:color="auto" w:fill="auto"/>
            <w:noWrap/>
            <w:vAlign w:val="center"/>
          </w:tcPr>
          <w:p w14:paraId="02B1EDA8" w14:textId="77777777" w:rsidR="000D1A29" w:rsidRPr="00C50F11" w:rsidRDefault="000D1A29" w:rsidP="00F44BFC">
            <w:pPr>
              <w:jc w:val="right"/>
              <w:rPr>
                <w:rFonts w:ascii="Arial Narrow" w:hAnsi="Arial Narrow"/>
                <w:sz w:val="20"/>
                <w:szCs w:val="20"/>
              </w:rPr>
            </w:pPr>
            <w:r w:rsidRPr="00C50F11">
              <w:rPr>
                <w:rFonts w:ascii="Arial Narrow" w:hAnsi="Arial Narrow"/>
                <w:sz w:val="20"/>
                <w:szCs w:val="20"/>
              </w:rPr>
              <w:t>6,933</w:t>
            </w:r>
          </w:p>
        </w:tc>
      </w:tr>
      <w:tr w:rsidR="000D1A29" w:rsidRPr="00C50F11" w14:paraId="5AAEEF7B" w14:textId="77777777" w:rsidTr="001F3463">
        <w:trPr>
          <w:trHeight w:val="284"/>
        </w:trPr>
        <w:tc>
          <w:tcPr>
            <w:tcW w:w="662" w:type="dxa"/>
            <w:shd w:val="clear" w:color="auto" w:fill="auto"/>
            <w:noWrap/>
            <w:vAlign w:val="center"/>
            <w:hideMark/>
          </w:tcPr>
          <w:p w14:paraId="6510B36A" w14:textId="77777777" w:rsidR="000D1A29" w:rsidRPr="00C50F11" w:rsidRDefault="000D1A29" w:rsidP="00F44BFC">
            <w:pPr>
              <w:jc w:val="center"/>
              <w:rPr>
                <w:rFonts w:ascii="Arial Narrow" w:hAnsi="Arial Narrow"/>
                <w:sz w:val="20"/>
                <w:szCs w:val="20"/>
              </w:rPr>
            </w:pPr>
            <w:r w:rsidRPr="00C50F11">
              <w:rPr>
                <w:rFonts w:ascii="Arial Narrow" w:hAnsi="Arial Narrow"/>
                <w:sz w:val="20"/>
                <w:szCs w:val="20"/>
              </w:rPr>
              <w:t>21</w:t>
            </w:r>
          </w:p>
        </w:tc>
        <w:tc>
          <w:tcPr>
            <w:tcW w:w="6818" w:type="dxa"/>
            <w:tcBorders>
              <w:top w:val="nil"/>
              <w:left w:val="nil"/>
              <w:bottom w:val="single" w:sz="4" w:space="0" w:color="auto"/>
              <w:right w:val="single" w:sz="4" w:space="0" w:color="auto"/>
            </w:tcBorders>
            <w:shd w:val="clear" w:color="auto" w:fill="auto"/>
            <w:noWrap/>
            <w:vAlign w:val="center"/>
          </w:tcPr>
          <w:p w14:paraId="4CBFD8C7" w14:textId="77777777" w:rsidR="000D1A29" w:rsidRPr="00C50F11" w:rsidRDefault="000D1A29" w:rsidP="00F44BFC">
            <w:pPr>
              <w:rPr>
                <w:rFonts w:ascii="Arial Narrow" w:hAnsi="Arial Narrow"/>
                <w:sz w:val="20"/>
                <w:szCs w:val="20"/>
              </w:rPr>
            </w:pPr>
            <w:r w:rsidRPr="00C50F11">
              <w:rPr>
                <w:rFonts w:ascii="Arial Narrow" w:hAnsi="Arial Narrow"/>
                <w:sz w:val="20"/>
                <w:szCs w:val="20"/>
              </w:rPr>
              <w:t>Сабица /Pelecus cultratus/</w:t>
            </w:r>
          </w:p>
        </w:tc>
        <w:tc>
          <w:tcPr>
            <w:tcW w:w="2301" w:type="dxa"/>
            <w:tcBorders>
              <w:top w:val="nil"/>
              <w:left w:val="nil"/>
              <w:bottom w:val="single" w:sz="4" w:space="0" w:color="auto"/>
              <w:right w:val="single" w:sz="4" w:space="0" w:color="auto"/>
            </w:tcBorders>
            <w:shd w:val="clear" w:color="auto" w:fill="auto"/>
            <w:noWrap/>
            <w:vAlign w:val="center"/>
          </w:tcPr>
          <w:p w14:paraId="76EC1A03" w14:textId="77777777" w:rsidR="000D1A29" w:rsidRPr="00C50F11" w:rsidRDefault="000D1A29" w:rsidP="00F44BFC">
            <w:pPr>
              <w:jc w:val="right"/>
              <w:rPr>
                <w:rFonts w:ascii="Arial Narrow" w:hAnsi="Arial Narrow"/>
                <w:sz w:val="20"/>
                <w:szCs w:val="20"/>
              </w:rPr>
            </w:pPr>
            <w:r w:rsidRPr="00C50F11">
              <w:rPr>
                <w:rFonts w:ascii="Arial Narrow" w:hAnsi="Arial Narrow"/>
                <w:sz w:val="20"/>
                <w:szCs w:val="20"/>
              </w:rPr>
              <w:t>0,005</w:t>
            </w:r>
          </w:p>
        </w:tc>
      </w:tr>
      <w:tr w:rsidR="000D1A29" w:rsidRPr="00C50F11" w14:paraId="66FD6850" w14:textId="77777777" w:rsidTr="001F3463">
        <w:trPr>
          <w:trHeight w:val="284"/>
        </w:trPr>
        <w:tc>
          <w:tcPr>
            <w:tcW w:w="662" w:type="dxa"/>
            <w:shd w:val="clear" w:color="auto" w:fill="auto"/>
            <w:noWrap/>
            <w:vAlign w:val="center"/>
            <w:hideMark/>
          </w:tcPr>
          <w:p w14:paraId="04262E69" w14:textId="77777777" w:rsidR="000D1A29" w:rsidRPr="00C50F11" w:rsidRDefault="000D1A29" w:rsidP="00F44BFC">
            <w:pPr>
              <w:jc w:val="center"/>
              <w:rPr>
                <w:rFonts w:ascii="Arial Narrow" w:hAnsi="Arial Narrow"/>
                <w:sz w:val="20"/>
                <w:szCs w:val="20"/>
              </w:rPr>
            </w:pPr>
            <w:r w:rsidRPr="00C50F11">
              <w:rPr>
                <w:rFonts w:ascii="Arial Narrow" w:hAnsi="Arial Narrow"/>
                <w:sz w:val="20"/>
                <w:szCs w:val="20"/>
              </w:rPr>
              <w:t>22</w:t>
            </w:r>
          </w:p>
        </w:tc>
        <w:tc>
          <w:tcPr>
            <w:tcW w:w="6818" w:type="dxa"/>
            <w:tcBorders>
              <w:top w:val="nil"/>
              <w:left w:val="nil"/>
              <w:bottom w:val="single" w:sz="4" w:space="0" w:color="auto"/>
              <w:right w:val="single" w:sz="4" w:space="0" w:color="auto"/>
            </w:tcBorders>
            <w:shd w:val="clear" w:color="auto" w:fill="auto"/>
            <w:noWrap/>
            <w:vAlign w:val="center"/>
          </w:tcPr>
          <w:p w14:paraId="47CF14C3" w14:textId="77777777" w:rsidR="000D1A29" w:rsidRPr="00C50F11" w:rsidRDefault="000D1A29" w:rsidP="00F44BFC">
            <w:pPr>
              <w:rPr>
                <w:rFonts w:ascii="Arial Narrow" w:hAnsi="Arial Narrow"/>
                <w:sz w:val="20"/>
                <w:szCs w:val="20"/>
              </w:rPr>
            </w:pPr>
            <w:r w:rsidRPr="00C50F11">
              <w:rPr>
                <w:rFonts w:ascii="Arial Narrow" w:hAnsi="Arial Narrow"/>
                <w:sz w:val="20"/>
                <w:szCs w:val="20"/>
              </w:rPr>
              <w:t>Сребриста каракуда /Carassius sp./</w:t>
            </w:r>
          </w:p>
        </w:tc>
        <w:tc>
          <w:tcPr>
            <w:tcW w:w="2301" w:type="dxa"/>
            <w:tcBorders>
              <w:top w:val="nil"/>
              <w:left w:val="nil"/>
              <w:bottom w:val="single" w:sz="4" w:space="0" w:color="auto"/>
              <w:right w:val="single" w:sz="4" w:space="0" w:color="auto"/>
            </w:tcBorders>
            <w:shd w:val="clear" w:color="auto" w:fill="auto"/>
            <w:noWrap/>
            <w:vAlign w:val="center"/>
          </w:tcPr>
          <w:p w14:paraId="6E5C5388" w14:textId="77777777" w:rsidR="000D1A29" w:rsidRPr="00C50F11" w:rsidRDefault="000D1A29" w:rsidP="00F44BFC">
            <w:pPr>
              <w:jc w:val="right"/>
              <w:rPr>
                <w:rFonts w:ascii="Arial Narrow" w:hAnsi="Arial Narrow"/>
                <w:sz w:val="20"/>
                <w:szCs w:val="20"/>
              </w:rPr>
            </w:pPr>
            <w:r w:rsidRPr="00C50F11">
              <w:rPr>
                <w:rFonts w:ascii="Arial Narrow" w:hAnsi="Arial Narrow"/>
                <w:sz w:val="20"/>
                <w:szCs w:val="20"/>
              </w:rPr>
              <w:t>2,176</w:t>
            </w:r>
          </w:p>
        </w:tc>
      </w:tr>
      <w:tr w:rsidR="000D1A29" w:rsidRPr="00C50F11" w14:paraId="0FFD0206" w14:textId="77777777" w:rsidTr="001F3463">
        <w:trPr>
          <w:trHeight w:val="284"/>
        </w:trPr>
        <w:tc>
          <w:tcPr>
            <w:tcW w:w="662" w:type="dxa"/>
            <w:shd w:val="clear" w:color="auto" w:fill="auto"/>
            <w:noWrap/>
            <w:vAlign w:val="center"/>
            <w:hideMark/>
          </w:tcPr>
          <w:p w14:paraId="2297B216" w14:textId="77777777" w:rsidR="000D1A29" w:rsidRPr="00C50F11" w:rsidRDefault="000D1A29" w:rsidP="00F44BFC">
            <w:pPr>
              <w:jc w:val="center"/>
              <w:rPr>
                <w:rFonts w:ascii="Arial Narrow" w:hAnsi="Arial Narrow"/>
                <w:sz w:val="20"/>
                <w:szCs w:val="20"/>
              </w:rPr>
            </w:pPr>
            <w:r w:rsidRPr="00C50F11">
              <w:rPr>
                <w:rFonts w:ascii="Arial Narrow" w:hAnsi="Arial Narrow"/>
                <w:sz w:val="20"/>
                <w:szCs w:val="20"/>
              </w:rPr>
              <w:t>23</w:t>
            </w:r>
          </w:p>
        </w:tc>
        <w:tc>
          <w:tcPr>
            <w:tcW w:w="6818" w:type="dxa"/>
            <w:tcBorders>
              <w:top w:val="nil"/>
              <w:left w:val="nil"/>
              <w:bottom w:val="single" w:sz="4" w:space="0" w:color="auto"/>
              <w:right w:val="single" w:sz="4" w:space="0" w:color="auto"/>
            </w:tcBorders>
            <w:shd w:val="clear" w:color="auto" w:fill="auto"/>
            <w:noWrap/>
            <w:vAlign w:val="center"/>
          </w:tcPr>
          <w:p w14:paraId="3097B47C" w14:textId="77777777" w:rsidR="000D1A29" w:rsidRPr="00C50F11" w:rsidRDefault="000D1A29" w:rsidP="00F44BFC">
            <w:pPr>
              <w:rPr>
                <w:rFonts w:ascii="Arial Narrow" w:hAnsi="Arial Narrow"/>
                <w:sz w:val="20"/>
                <w:szCs w:val="20"/>
              </w:rPr>
            </w:pPr>
            <w:r w:rsidRPr="00C50F11">
              <w:rPr>
                <w:rFonts w:ascii="Arial Narrow" w:hAnsi="Arial Narrow"/>
                <w:sz w:val="20"/>
                <w:szCs w:val="20"/>
              </w:rPr>
              <w:t>Уклей /Alburnus alburnus/</w:t>
            </w:r>
          </w:p>
        </w:tc>
        <w:tc>
          <w:tcPr>
            <w:tcW w:w="2301" w:type="dxa"/>
            <w:tcBorders>
              <w:top w:val="nil"/>
              <w:left w:val="nil"/>
              <w:bottom w:val="single" w:sz="4" w:space="0" w:color="auto"/>
              <w:right w:val="single" w:sz="4" w:space="0" w:color="auto"/>
            </w:tcBorders>
            <w:shd w:val="clear" w:color="auto" w:fill="auto"/>
            <w:noWrap/>
            <w:vAlign w:val="center"/>
          </w:tcPr>
          <w:p w14:paraId="46F3BF41" w14:textId="77777777" w:rsidR="000D1A29" w:rsidRPr="00C50F11" w:rsidRDefault="000D1A29" w:rsidP="00F44BFC">
            <w:pPr>
              <w:jc w:val="right"/>
              <w:rPr>
                <w:rFonts w:ascii="Arial Narrow" w:hAnsi="Arial Narrow"/>
                <w:sz w:val="20"/>
                <w:szCs w:val="20"/>
              </w:rPr>
            </w:pPr>
            <w:r w:rsidRPr="00C50F11">
              <w:rPr>
                <w:rFonts w:ascii="Arial Narrow" w:hAnsi="Arial Narrow"/>
                <w:sz w:val="20"/>
                <w:szCs w:val="20"/>
              </w:rPr>
              <w:t>1,630</w:t>
            </w:r>
          </w:p>
        </w:tc>
      </w:tr>
      <w:tr w:rsidR="000D1A29" w:rsidRPr="00C50F11" w14:paraId="7C9C2B68" w14:textId="77777777" w:rsidTr="001F3463">
        <w:trPr>
          <w:trHeight w:val="284"/>
        </w:trPr>
        <w:tc>
          <w:tcPr>
            <w:tcW w:w="662" w:type="dxa"/>
            <w:shd w:val="clear" w:color="auto" w:fill="auto"/>
            <w:noWrap/>
            <w:vAlign w:val="center"/>
            <w:hideMark/>
          </w:tcPr>
          <w:p w14:paraId="784358BF" w14:textId="77777777" w:rsidR="000D1A29" w:rsidRPr="00C50F11" w:rsidRDefault="000D1A29" w:rsidP="00F44BFC">
            <w:pPr>
              <w:jc w:val="center"/>
              <w:rPr>
                <w:rFonts w:ascii="Arial Narrow" w:hAnsi="Arial Narrow"/>
                <w:sz w:val="20"/>
                <w:szCs w:val="20"/>
              </w:rPr>
            </w:pPr>
            <w:r w:rsidRPr="00C50F11">
              <w:rPr>
                <w:rFonts w:ascii="Arial Narrow" w:hAnsi="Arial Narrow"/>
                <w:sz w:val="20"/>
                <w:szCs w:val="20"/>
              </w:rPr>
              <w:t>24</w:t>
            </w:r>
          </w:p>
        </w:tc>
        <w:tc>
          <w:tcPr>
            <w:tcW w:w="6818" w:type="dxa"/>
            <w:tcBorders>
              <w:top w:val="nil"/>
              <w:left w:val="nil"/>
              <w:bottom w:val="single" w:sz="4" w:space="0" w:color="auto"/>
              <w:right w:val="single" w:sz="4" w:space="0" w:color="auto"/>
            </w:tcBorders>
            <w:shd w:val="clear" w:color="auto" w:fill="auto"/>
            <w:noWrap/>
            <w:vAlign w:val="center"/>
          </w:tcPr>
          <w:p w14:paraId="4AB09CE9" w14:textId="77777777" w:rsidR="000D1A29" w:rsidRPr="00C50F11" w:rsidRDefault="000D1A29" w:rsidP="00F44BFC">
            <w:pPr>
              <w:rPr>
                <w:rFonts w:ascii="Arial Narrow" w:hAnsi="Arial Narrow"/>
                <w:sz w:val="20"/>
                <w:szCs w:val="20"/>
              </w:rPr>
            </w:pPr>
            <w:r w:rsidRPr="00C50F11">
              <w:rPr>
                <w:rFonts w:ascii="Arial Narrow" w:hAnsi="Arial Narrow"/>
                <w:sz w:val="20"/>
                <w:szCs w:val="20"/>
              </w:rPr>
              <w:t>Червеноперка /Scardinius erythrophthalmus/</w:t>
            </w:r>
          </w:p>
        </w:tc>
        <w:tc>
          <w:tcPr>
            <w:tcW w:w="2301" w:type="dxa"/>
            <w:tcBorders>
              <w:top w:val="single" w:sz="4" w:space="0" w:color="auto"/>
              <w:left w:val="nil"/>
              <w:bottom w:val="single" w:sz="4" w:space="0" w:color="auto"/>
              <w:right w:val="single" w:sz="4" w:space="0" w:color="auto"/>
            </w:tcBorders>
            <w:shd w:val="clear" w:color="auto" w:fill="auto"/>
            <w:noWrap/>
            <w:vAlign w:val="center"/>
          </w:tcPr>
          <w:p w14:paraId="7480647E" w14:textId="77777777" w:rsidR="000D1A29" w:rsidRPr="00C50F11" w:rsidRDefault="000D1A29" w:rsidP="00F44BFC">
            <w:pPr>
              <w:jc w:val="right"/>
              <w:rPr>
                <w:rFonts w:ascii="Arial Narrow" w:hAnsi="Arial Narrow"/>
                <w:sz w:val="20"/>
                <w:szCs w:val="20"/>
              </w:rPr>
            </w:pPr>
            <w:r w:rsidRPr="00C50F11">
              <w:rPr>
                <w:rFonts w:ascii="Arial Narrow" w:hAnsi="Arial Narrow"/>
                <w:sz w:val="20"/>
                <w:szCs w:val="20"/>
              </w:rPr>
              <w:t>0,035</w:t>
            </w:r>
          </w:p>
        </w:tc>
      </w:tr>
      <w:tr w:rsidR="000D1A29" w:rsidRPr="00C50F11" w14:paraId="301C6138" w14:textId="77777777" w:rsidTr="001F3463">
        <w:trPr>
          <w:trHeight w:val="284"/>
        </w:trPr>
        <w:tc>
          <w:tcPr>
            <w:tcW w:w="662" w:type="dxa"/>
            <w:shd w:val="clear" w:color="auto" w:fill="auto"/>
            <w:noWrap/>
            <w:vAlign w:val="center"/>
            <w:hideMark/>
          </w:tcPr>
          <w:p w14:paraId="0E3A3BE1" w14:textId="77777777" w:rsidR="000D1A29" w:rsidRPr="00C50F11" w:rsidRDefault="000D1A29" w:rsidP="00F44BFC">
            <w:pPr>
              <w:jc w:val="center"/>
              <w:rPr>
                <w:rFonts w:ascii="Arial Narrow" w:hAnsi="Arial Narrow"/>
                <w:sz w:val="20"/>
                <w:szCs w:val="20"/>
              </w:rPr>
            </w:pPr>
            <w:r w:rsidRPr="00C50F11">
              <w:rPr>
                <w:rFonts w:ascii="Arial Narrow" w:hAnsi="Arial Narrow"/>
                <w:sz w:val="20"/>
                <w:szCs w:val="20"/>
              </w:rPr>
              <w:t>25</w:t>
            </w:r>
          </w:p>
        </w:tc>
        <w:tc>
          <w:tcPr>
            <w:tcW w:w="6818" w:type="dxa"/>
            <w:tcBorders>
              <w:top w:val="nil"/>
              <w:left w:val="nil"/>
              <w:bottom w:val="single" w:sz="4" w:space="0" w:color="auto"/>
              <w:right w:val="single" w:sz="4" w:space="0" w:color="auto"/>
            </w:tcBorders>
            <w:shd w:val="clear" w:color="auto" w:fill="auto"/>
            <w:noWrap/>
            <w:vAlign w:val="center"/>
          </w:tcPr>
          <w:p w14:paraId="6B17ED65" w14:textId="77777777" w:rsidR="000D1A29" w:rsidRPr="00C50F11" w:rsidRDefault="000D1A29" w:rsidP="00F44BFC">
            <w:pPr>
              <w:rPr>
                <w:rFonts w:ascii="Arial Narrow" w:hAnsi="Arial Narrow"/>
                <w:sz w:val="20"/>
                <w:szCs w:val="20"/>
              </w:rPr>
            </w:pPr>
            <w:r w:rsidRPr="00C50F11">
              <w:rPr>
                <w:rFonts w:ascii="Arial Narrow" w:hAnsi="Arial Narrow"/>
                <w:sz w:val="20"/>
                <w:szCs w:val="20"/>
              </w:rPr>
              <w:t>Шаран /Cyprinus carpio/</w:t>
            </w:r>
          </w:p>
        </w:tc>
        <w:tc>
          <w:tcPr>
            <w:tcW w:w="2301" w:type="dxa"/>
            <w:tcBorders>
              <w:top w:val="single" w:sz="4" w:space="0" w:color="auto"/>
              <w:left w:val="nil"/>
              <w:bottom w:val="single" w:sz="4" w:space="0" w:color="auto"/>
              <w:right w:val="single" w:sz="4" w:space="0" w:color="auto"/>
            </w:tcBorders>
            <w:shd w:val="clear" w:color="auto" w:fill="auto"/>
            <w:noWrap/>
            <w:vAlign w:val="center"/>
          </w:tcPr>
          <w:p w14:paraId="0FFB208C" w14:textId="77777777" w:rsidR="000D1A29" w:rsidRPr="00C50F11" w:rsidRDefault="000D1A29" w:rsidP="00F44BFC">
            <w:pPr>
              <w:jc w:val="right"/>
              <w:rPr>
                <w:rFonts w:ascii="Arial Narrow" w:hAnsi="Arial Narrow"/>
                <w:sz w:val="20"/>
                <w:szCs w:val="20"/>
              </w:rPr>
            </w:pPr>
            <w:r w:rsidRPr="00C50F11">
              <w:rPr>
                <w:rFonts w:ascii="Arial Narrow" w:hAnsi="Arial Narrow"/>
                <w:sz w:val="20"/>
                <w:szCs w:val="20"/>
              </w:rPr>
              <w:t>10,113</w:t>
            </w:r>
          </w:p>
        </w:tc>
      </w:tr>
      <w:tr w:rsidR="000D1A29" w:rsidRPr="00C50F11" w14:paraId="5708DDE5" w14:textId="77777777" w:rsidTr="001F3463">
        <w:trPr>
          <w:trHeight w:val="284"/>
        </w:trPr>
        <w:tc>
          <w:tcPr>
            <w:tcW w:w="662" w:type="dxa"/>
            <w:shd w:val="clear" w:color="auto" w:fill="auto"/>
            <w:noWrap/>
            <w:vAlign w:val="center"/>
            <w:hideMark/>
          </w:tcPr>
          <w:p w14:paraId="4BCA6A53" w14:textId="77777777" w:rsidR="000D1A29" w:rsidRPr="00C50F11" w:rsidRDefault="000D1A29" w:rsidP="00F44BFC">
            <w:pPr>
              <w:jc w:val="center"/>
              <w:rPr>
                <w:rFonts w:ascii="Arial Narrow" w:hAnsi="Arial Narrow"/>
                <w:sz w:val="20"/>
                <w:szCs w:val="20"/>
              </w:rPr>
            </w:pPr>
            <w:r w:rsidRPr="00C50F11">
              <w:rPr>
                <w:rFonts w:ascii="Arial Narrow" w:hAnsi="Arial Narrow"/>
                <w:sz w:val="20"/>
                <w:szCs w:val="20"/>
              </w:rPr>
              <w:t>26</w:t>
            </w:r>
          </w:p>
        </w:tc>
        <w:tc>
          <w:tcPr>
            <w:tcW w:w="6818" w:type="dxa"/>
            <w:tcBorders>
              <w:top w:val="nil"/>
              <w:left w:val="nil"/>
              <w:bottom w:val="single" w:sz="4" w:space="0" w:color="auto"/>
              <w:right w:val="single" w:sz="4" w:space="0" w:color="auto"/>
            </w:tcBorders>
            <w:shd w:val="clear" w:color="auto" w:fill="auto"/>
            <w:noWrap/>
            <w:vAlign w:val="center"/>
          </w:tcPr>
          <w:p w14:paraId="2F5DC8D9" w14:textId="77777777" w:rsidR="000D1A29" w:rsidRPr="00C50F11" w:rsidRDefault="000D1A29" w:rsidP="00F44BFC">
            <w:pPr>
              <w:rPr>
                <w:rFonts w:ascii="Arial Narrow" w:hAnsi="Arial Narrow"/>
                <w:sz w:val="20"/>
                <w:szCs w:val="20"/>
              </w:rPr>
            </w:pPr>
            <w:r w:rsidRPr="00C50F11">
              <w:rPr>
                <w:rFonts w:ascii="Arial Narrow" w:hAnsi="Arial Narrow"/>
                <w:sz w:val="20"/>
                <w:szCs w:val="20"/>
              </w:rPr>
              <w:t>Чил косат /Abramis/</w:t>
            </w:r>
          </w:p>
        </w:tc>
        <w:tc>
          <w:tcPr>
            <w:tcW w:w="2301" w:type="dxa"/>
            <w:tcBorders>
              <w:top w:val="single" w:sz="4" w:space="0" w:color="auto"/>
              <w:left w:val="nil"/>
              <w:bottom w:val="single" w:sz="4" w:space="0" w:color="auto"/>
              <w:right w:val="single" w:sz="4" w:space="0" w:color="auto"/>
            </w:tcBorders>
            <w:shd w:val="clear" w:color="auto" w:fill="auto"/>
            <w:noWrap/>
            <w:vAlign w:val="center"/>
          </w:tcPr>
          <w:p w14:paraId="3BEEE661" w14:textId="77777777" w:rsidR="000D1A29" w:rsidRPr="00C50F11" w:rsidRDefault="000D1A29" w:rsidP="00F44BFC">
            <w:pPr>
              <w:jc w:val="right"/>
              <w:rPr>
                <w:rFonts w:ascii="Arial Narrow" w:hAnsi="Arial Narrow"/>
                <w:sz w:val="20"/>
                <w:szCs w:val="20"/>
              </w:rPr>
            </w:pPr>
            <w:r w:rsidRPr="00C50F11">
              <w:rPr>
                <w:rFonts w:ascii="Arial Narrow" w:hAnsi="Arial Narrow"/>
                <w:sz w:val="20"/>
                <w:szCs w:val="20"/>
              </w:rPr>
              <w:t>0,027</w:t>
            </w:r>
          </w:p>
        </w:tc>
      </w:tr>
      <w:tr w:rsidR="000D1A29" w:rsidRPr="00C50F11" w14:paraId="3348CD90" w14:textId="77777777" w:rsidTr="001F3463">
        <w:trPr>
          <w:trHeight w:val="284"/>
        </w:trPr>
        <w:tc>
          <w:tcPr>
            <w:tcW w:w="662" w:type="dxa"/>
            <w:shd w:val="clear" w:color="auto" w:fill="auto"/>
            <w:noWrap/>
            <w:vAlign w:val="center"/>
            <w:hideMark/>
          </w:tcPr>
          <w:p w14:paraId="0A357F0C" w14:textId="77777777" w:rsidR="000D1A29" w:rsidRPr="00C50F11" w:rsidRDefault="000D1A29" w:rsidP="00F44BFC">
            <w:pPr>
              <w:jc w:val="center"/>
              <w:rPr>
                <w:rFonts w:ascii="Arial Narrow" w:hAnsi="Arial Narrow"/>
                <w:sz w:val="20"/>
                <w:szCs w:val="20"/>
              </w:rPr>
            </w:pPr>
            <w:r w:rsidRPr="00C50F11">
              <w:rPr>
                <w:rFonts w:ascii="Arial Narrow" w:hAnsi="Arial Narrow"/>
                <w:sz w:val="20"/>
                <w:szCs w:val="20"/>
              </w:rPr>
              <w:t>27</w:t>
            </w:r>
          </w:p>
        </w:tc>
        <w:tc>
          <w:tcPr>
            <w:tcW w:w="6818" w:type="dxa"/>
            <w:tcBorders>
              <w:top w:val="nil"/>
              <w:left w:val="nil"/>
              <w:bottom w:val="single" w:sz="4" w:space="0" w:color="auto"/>
              <w:right w:val="single" w:sz="4" w:space="0" w:color="auto"/>
            </w:tcBorders>
            <w:shd w:val="clear" w:color="auto" w:fill="auto"/>
            <w:noWrap/>
            <w:vAlign w:val="center"/>
          </w:tcPr>
          <w:p w14:paraId="4157B591" w14:textId="77777777" w:rsidR="000D1A29" w:rsidRPr="00C50F11" w:rsidRDefault="000D1A29" w:rsidP="00F44BFC">
            <w:pPr>
              <w:rPr>
                <w:rFonts w:ascii="Arial Narrow" w:hAnsi="Arial Narrow"/>
                <w:sz w:val="20"/>
                <w:szCs w:val="20"/>
              </w:rPr>
            </w:pPr>
            <w:r w:rsidRPr="00C50F11">
              <w:rPr>
                <w:rFonts w:ascii="Arial Narrow" w:hAnsi="Arial Narrow"/>
                <w:sz w:val="20"/>
                <w:szCs w:val="20"/>
              </w:rPr>
              <w:t>Щука /Esox lucius/</w:t>
            </w:r>
          </w:p>
        </w:tc>
        <w:tc>
          <w:tcPr>
            <w:tcW w:w="2301" w:type="dxa"/>
            <w:tcBorders>
              <w:top w:val="nil"/>
              <w:left w:val="nil"/>
              <w:bottom w:val="single" w:sz="4" w:space="0" w:color="auto"/>
              <w:right w:val="single" w:sz="4" w:space="0" w:color="auto"/>
            </w:tcBorders>
            <w:shd w:val="clear" w:color="auto" w:fill="auto"/>
            <w:vAlign w:val="center"/>
          </w:tcPr>
          <w:p w14:paraId="5CDD5D15" w14:textId="77777777" w:rsidR="000D1A29" w:rsidRPr="00C50F11" w:rsidRDefault="000D1A29" w:rsidP="00F44BFC">
            <w:pPr>
              <w:jc w:val="right"/>
              <w:rPr>
                <w:rFonts w:ascii="Arial Narrow" w:hAnsi="Arial Narrow"/>
                <w:sz w:val="20"/>
                <w:szCs w:val="20"/>
              </w:rPr>
            </w:pPr>
            <w:r w:rsidRPr="00C50F11">
              <w:rPr>
                <w:rFonts w:ascii="Arial Narrow" w:hAnsi="Arial Narrow"/>
                <w:sz w:val="20"/>
                <w:szCs w:val="20"/>
              </w:rPr>
              <w:t>0,393</w:t>
            </w:r>
          </w:p>
        </w:tc>
      </w:tr>
      <w:tr w:rsidR="000D1A29" w:rsidRPr="00C50F11" w14:paraId="152175C3" w14:textId="77777777" w:rsidTr="001F3463">
        <w:trPr>
          <w:trHeight w:val="284"/>
        </w:trPr>
        <w:tc>
          <w:tcPr>
            <w:tcW w:w="662" w:type="dxa"/>
            <w:shd w:val="clear" w:color="auto" w:fill="auto"/>
            <w:noWrap/>
            <w:vAlign w:val="center"/>
          </w:tcPr>
          <w:p w14:paraId="0B02EC7A" w14:textId="77777777" w:rsidR="000D1A29" w:rsidRPr="00C50F11" w:rsidRDefault="000D1A29" w:rsidP="00F44BFC">
            <w:pPr>
              <w:jc w:val="center"/>
              <w:rPr>
                <w:rFonts w:ascii="Arial Narrow" w:hAnsi="Arial Narrow"/>
                <w:sz w:val="20"/>
                <w:szCs w:val="20"/>
              </w:rPr>
            </w:pPr>
            <w:r>
              <w:rPr>
                <w:rFonts w:ascii="Arial Narrow" w:hAnsi="Arial Narrow"/>
                <w:sz w:val="20"/>
                <w:szCs w:val="20"/>
              </w:rPr>
              <w:t>28</w:t>
            </w:r>
          </w:p>
        </w:tc>
        <w:tc>
          <w:tcPr>
            <w:tcW w:w="6818" w:type="dxa"/>
            <w:tcBorders>
              <w:top w:val="nil"/>
              <w:left w:val="nil"/>
              <w:bottom w:val="single" w:sz="4" w:space="0" w:color="auto"/>
              <w:right w:val="single" w:sz="4" w:space="0" w:color="auto"/>
            </w:tcBorders>
            <w:shd w:val="clear" w:color="auto" w:fill="auto"/>
            <w:noWrap/>
            <w:vAlign w:val="center"/>
          </w:tcPr>
          <w:p w14:paraId="0A36ABA9" w14:textId="77777777" w:rsidR="000D1A29" w:rsidRPr="00C50F11" w:rsidRDefault="000D1A29" w:rsidP="00F44BFC">
            <w:pPr>
              <w:rPr>
                <w:rFonts w:ascii="Arial Narrow" w:hAnsi="Arial Narrow"/>
                <w:sz w:val="20"/>
                <w:szCs w:val="20"/>
              </w:rPr>
            </w:pPr>
            <w:r w:rsidRPr="00C50F11">
              <w:rPr>
                <w:rFonts w:ascii="Arial Narrow" w:hAnsi="Arial Narrow"/>
                <w:sz w:val="20"/>
                <w:szCs w:val="20"/>
              </w:rPr>
              <w:t>Сладководни раци/Astacus leptodactylus/</w:t>
            </w:r>
          </w:p>
        </w:tc>
        <w:tc>
          <w:tcPr>
            <w:tcW w:w="2301" w:type="dxa"/>
            <w:tcBorders>
              <w:top w:val="nil"/>
              <w:left w:val="nil"/>
              <w:bottom w:val="single" w:sz="4" w:space="0" w:color="auto"/>
              <w:right w:val="single" w:sz="4" w:space="0" w:color="auto"/>
            </w:tcBorders>
            <w:shd w:val="clear" w:color="auto" w:fill="auto"/>
            <w:noWrap/>
            <w:vAlign w:val="center"/>
          </w:tcPr>
          <w:p w14:paraId="6E6433BB" w14:textId="77777777" w:rsidR="000D1A29" w:rsidRPr="00C50F11" w:rsidRDefault="000D1A29" w:rsidP="00F44BFC">
            <w:pPr>
              <w:jc w:val="right"/>
              <w:rPr>
                <w:rFonts w:ascii="Arial Narrow" w:hAnsi="Arial Narrow"/>
                <w:sz w:val="20"/>
                <w:szCs w:val="20"/>
              </w:rPr>
            </w:pPr>
            <w:r w:rsidRPr="00C50F11">
              <w:rPr>
                <w:rFonts w:ascii="Arial Narrow" w:hAnsi="Arial Narrow"/>
                <w:sz w:val="20"/>
                <w:szCs w:val="20"/>
              </w:rPr>
              <w:t>0,431</w:t>
            </w:r>
          </w:p>
        </w:tc>
      </w:tr>
      <w:tr w:rsidR="000D1A29" w:rsidRPr="00C50F11" w14:paraId="4DA77259" w14:textId="77777777" w:rsidTr="001F3463">
        <w:trPr>
          <w:trHeight w:val="284"/>
        </w:trPr>
        <w:tc>
          <w:tcPr>
            <w:tcW w:w="662" w:type="dxa"/>
            <w:shd w:val="clear" w:color="auto" w:fill="auto"/>
            <w:noWrap/>
            <w:vAlign w:val="center"/>
          </w:tcPr>
          <w:p w14:paraId="3FAF71D0" w14:textId="77777777" w:rsidR="000D1A29" w:rsidRPr="00C50F11" w:rsidRDefault="000D1A29" w:rsidP="00F44BFC">
            <w:pPr>
              <w:jc w:val="center"/>
              <w:rPr>
                <w:rFonts w:ascii="Arial Narrow" w:hAnsi="Arial Narrow"/>
                <w:sz w:val="20"/>
                <w:szCs w:val="20"/>
              </w:rPr>
            </w:pPr>
            <w:r>
              <w:rPr>
                <w:rFonts w:ascii="Arial Narrow" w:hAnsi="Arial Narrow"/>
                <w:sz w:val="20"/>
                <w:szCs w:val="20"/>
              </w:rPr>
              <w:t>29</w:t>
            </w:r>
          </w:p>
        </w:tc>
        <w:tc>
          <w:tcPr>
            <w:tcW w:w="6818" w:type="dxa"/>
            <w:tcBorders>
              <w:top w:val="nil"/>
              <w:left w:val="nil"/>
              <w:bottom w:val="single" w:sz="4" w:space="0" w:color="auto"/>
              <w:right w:val="single" w:sz="4" w:space="0" w:color="auto"/>
            </w:tcBorders>
            <w:shd w:val="clear" w:color="auto" w:fill="auto"/>
            <w:noWrap/>
            <w:vAlign w:val="center"/>
          </w:tcPr>
          <w:p w14:paraId="48AE0656" w14:textId="77777777" w:rsidR="000D1A29" w:rsidRPr="00C50F11" w:rsidRDefault="000D1A29" w:rsidP="00F44BFC">
            <w:pPr>
              <w:rPr>
                <w:rFonts w:ascii="Arial Narrow" w:hAnsi="Arial Narrow"/>
                <w:sz w:val="20"/>
                <w:szCs w:val="20"/>
              </w:rPr>
            </w:pPr>
            <w:r w:rsidRPr="00C50F11">
              <w:rPr>
                <w:rFonts w:ascii="Arial Narrow" w:hAnsi="Arial Narrow"/>
                <w:sz w:val="20"/>
                <w:szCs w:val="20"/>
              </w:rPr>
              <w:t>Лин</w:t>
            </w:r>
          </w:p>
        </w:tc>
        <w:tc>
          <w:tcPr>
            <w:tcW w:w="2301" w:type="dxa"/>
            <w:tcBorders>
              <w:top w:val="nil"/>
              <w:left w:val="nil"/>
              <w:bottom w:val="single" w:sz="4" w:space="0" w:color="auto"/>
              <w:right w:val="single" w:sz="4" w:space="0" w:color="auto"/>
            </w:tcBorders>
            <w:shd w:val="clear" w:color="auto" w:fill="auto"/>
            <w:noWrap/>
            <w:vAlign w:val="center"/>
          </w:tcPr>
          <w:p w14:paraId="5735FFE9" w14:textId="77777777" w:rsidR="000D1A29" w:rsidRPr="00C50F11" w:rsidRDefault="000D1A29" w:rsidP="00F44BFC">
            <w:pPr>
              <w:jc w:val="right"/>
              <w:rPr>
                <w:rFonts w:ascii="Arial Narrow" w:hAnsi="Arial Narrow"/>
                <w:sz w:val="20"/>
                <w:szCs w:val="20"/>
              </w:rPr>
            </w:pPr>
            <w:r w:rsidRPr="00C50F11">
              <w:rPr>
                <w:rFonts w:ascii="Arial Narrow" w:hAnsi="Arial Narrow"/>
                <w:sz w:val="20"/>
                <w:szCs w:val="20"/>
              </w:rPr>
              <w:t>0,012</w:t>
            </w:r>
          </w:p>
        </w:tc>
      </w:tr>
      <w:tr w:rsidR="000D1A29" w:rsidRPr="00C50F11" w14:paraId="6F3CAB82" w14:textId="77777777" w:rsidTr="001F3463">
        <w:trPr>
          <w:trHeight w:val="284"/>
        </w:trPr>
        <w:tc>
          <w:tcPr>
            <w:tcW w:w="662" w:type="dxa"/>
            <w:shd w:val="clear" w:color="auto" w:fill="auto"/>
            <w:noWrap/>
            <w:vAlign w:val="center"/>
          </w:tcPr>
          <w:p w14:paraId="2BDA9EF8" w14:textId="77777777" w:rsidR="000D1A29" w:rsidRPr="00C50F11" w:rsidRDefault="000D1A29" w:rsidP="00F44BFC">
            <w:pPr>
              <w:jc w:val="center"/>
              <w:rPr>
                <w:rFonts w:ascii="Arial Narrow" w:hAnsi="Arial Narrow"/>
                <w:sz w:val="20"/>
                <w:szCs w:val="20"/>
              </w:rPr>
            </w:pPr>
          </w:p>
        </w:tc>
        <w:tc>
          <w:tcPr>
            <w:tcW w:w="6818" w:type="dxa"/>
            <w:shd w:val="clear" w:color="auto" w:fill="auto"/>
            <w:noWrap/>
            <w:vAlign w:val="center"/>
          </w:tcPr>
          <w:p w14:paraId="7D115360" w14:textId="77777777" w:rsidR="000D1A29" w:rsidRPr="00C50F11" w:rsidRDefault="000D1A29" w:rsidP="00F44BFC">
            <w:pPr>
              <w:rPr>
                <w:rFonts w:ascii="Arial Narrow" w:hAnsi="Arial Narrow"/>
                <w:sz w:val="20"/>
                <w:szCs w:val="20"/>
              </w:rPr>
            </w:pPr>
            <w:r w:rsidRPr="00C50F11">
              <w:rPr>
                <w:rFonts w:ascii="Arial Narrow" w:hAnsi="Arial Narrow"/>
                <w:b/>
                <w:sz w:val="20"/>
                <w:szCs w:val="20"/>
              </w:rPr>
              <w:t>Общо за река Дунав</w:t>
            </w:r>
          </w:p>
        </w:tc>
        <w:tc>
          <w:tcPr>
            <w:tcW w:w="2301" w:type="dxa"/>
            <w:shd w:val="clear" w:color="auto" w:fill="auto"/>
            <w:noWrap/>
            <w:vAlign w:val="center"/>
          </w:tcPr>
          <w:p w14:paraId="1CB88E6D" w14:textId="77777777" w:rsidR="000D1A29" w:rsidRPr="00C50F11" w:rsidRDefault="000D1A29" w:rsidP="00F44BFC">
            <w:pPr>
              <w:jc w:val="right"/>
              <w:rPr>
                <w:rFonts w:ascii="Arial Narrow" w:hAnsi="Arial Narrow"/>
                <w:b/>
                <w:sz w:val="20"/>
                <w:szCs w:val="20"/>
              </w:rPr>
            </w:pPr>
            <w:r w:rsidRPr="00C50F11">
              <w:rPr>
                <w:rFonts w:ascii="Arial Narrow" w:hAnsi="Arial Narrow"/>
                <w:b/>
                <w:sz w:val="20"/>
                <w:szCs w:val="20"/>
              </w:rPr>
              <w:t>78,256</w:t>
            </w:r>
          </w:p>
        </w:tc>
      </w:tr>
      <w:tr w:rsidR="000D1A29" w:rsidRPr="00C50F11" w14:paraId="02C830A2" w14:textId="77777777" w:rsidTr="001F3463">
        <w:trPr>
          <w:trHeight w:val="284"/>
        </w:trPr>
        <w:tc>
          <w:tcPr>
            <w:tcW w:w="662" w:type="dxa"/>
            <w:shd w:val="clear" w:color="auto" w:fill="auto"/>
            <w:noWrap/>
            <w:vAlign w:val="center"/>
          </w:tcPr>
          <w:p w14:paraId="058C981C" w14:textId="77777777" w:rsidR="000D1A29" w:rsidRPr="00C50F11" w:rsidRDefault="000D1A29" w:rsidP="00F44BFC">
            <w:pPr>
              <w:jc w:val="center"/>
              <w:rPr>
                <w:rFonts w:ascii="Arial Narrow" w:hAnsi="Arial Narrow"/>
                <w:sz w:val="20"/>
                <w:szCs w:val="20"/>
              </w:rPr>
            </w:pPr>
          </w:p>
        </w:tc>
        <w:tc>
          <w:tcPr>
            <w:tcW w:w="9119" w:type="dxa"/>
            <w:gridSpan w:val="2"/>
            <w:shd w:val="clear" w:color="auto" w:fill="auto"/>
            <w:noWrap/>
            <w:vAlign w:val="center"/>
          </w:tcPr>
          <w:p w14:paraId="7DB423A3" w14:textId="77777777" w:rsidR="000D1A29" w:rsidRPr="00C50F11" w:rsidRDefault="000D1A29" w:rsidP="00F44BFC">
            <w:pPr>
              <w:jc w:val="center"/>
              <w:rPr>
                <w:rFonts w:ascii="Arial Narrow" w:hAnsi="Arial Narrow"/>
                <w:sz w:val="20"/>
                <w:szCs w:val="20"/>
              </w:rPr>
            </w:pPr>
            <w:r w:rsidRPr="00C50F11">
              <w:rPr>
                <w:rFonts w:ascii="Arial Narrow" w:hAnsi="Arial Narrow"/>
                <w:b/>
                <w:bCs/>
                <w:sz w:val="20"/>
                <w:szCs w:val="20"/>
              </w:rPr>
              <w:t>Б. Черно море</w:t>
            </w:r>
          </w:p>
        </w:tc>
      </w:tr>
      <w:tr w:rsidR="000D1A29" w:rsidRPr="00C50F11" w14:paraId="79B550E6" w14:textId="77777777" w:rsidTr="001F3463">
        <w:trPr>
          <w:trHeight w:val="284"/>
        </w:trPr>
        <w:tc>
          <w:tcPr>
            <w:tcW w:w="662" w:type="dxa"/>
            <w:shd w:val="clear" w:color="auto" w:fill="auto"/>
            <w:noWrap/>
            <w:vAlign w:val="center"/>
          </w:tcPr>
          <w:p w14:paraId="54FE799D" w14:textId="77777777" w:rsidR="000D1A29" w:rsidRPr="00C50F11" w:rsidRDefault="000D1A29" w:rsidP="00F44BFC">
            <w:pPr>
              <w:jc w:val="center"/>
              <w:rPr>
                <w:rFonts w:ascii="Arial Narrow" w:hAnsi="Arial Narrow"/>
                <w:sz w:val="20"/>
                <w:szCs w:val="20"/>
              </w:rPr>
            </w:pPr>
            <w:r w:rsidRPr="00C50F11">
              <w:rPr>
                <w:rFonts w:ascii="Arial Narrow" w:hAnsi="Arial Narrow"/>
                <w:sz w:val="20"/>
                <w:szCs w:val="20"/>
              </w:rPr>
              <w:lastRenderedPageBreak/>
              <w:t>1</w:t>
            </w:r>
          </w:p>
        </w:tc>
        <w:tc>
          <w:tcPr>
            <w:tcW w:w="6818" w:type="dxa"/>
            <w:tcBorders>
              <w:top w:val="nil"/>
              <w:left w:val="nil"/>
              <w:bottom w:val="single" w:sz="4" w:space="0" w:color="auto"/>
              <w:right w:val="single" w:sz="4" w:space="0" w:color="auto"/>
            </w:tcBorders>
            <w:shd w:val="clear" w:color="auto" w:fill="auto"/>
            <w:noWrap/>
            <w:vAlign w:val="center"/>
          </w:tcPr>
          <w:p w14:paraId="418C4FCF" w14:textId="77777777" w:rsidR="000D1A29" w:rsidRPr="00C50F11" w:rsidRDefault="000D1A29" w:rsidP="00F44BFC">
            <w:pPr>
              <w:rPr>
                <w:rFonts w:ascii="Arial Narrow" w:hAnsi="Arial Narrow"/>
                <w:sz w:val="20"/>
                <w:szCs w:val="20"/>
              </w:rPr>
            </w:pPr>
            <w:r w:rsidRPr="00C50F11">
              <w:rPr>
                <w:rFonts w:ascii="Arial Narrow" w:hAnsi="Arial Narrow"/>
                <w:sz w:val="20"/>
                <w:szCs w:val="20"/>
              </w:rPr>
              <w:t>Атерина /Atherina spp./</w:t>
            </w:r>
          </w:p>
        </w:tc>
        <w:tc>
          <w:tcPr>
            <w:tcW w:w="2301" w:type="dxa"/>
            <w:tcBorders>
              <w:top w:val="nil"/>
              <w:left w:val="nil"/>
              <w:bottom w:val="single" w:sz="4" w:space="0" w:color="auto"/>
              <w:right w:val="single" w:sz="4" w:space="0" w:color="auto"/>
            </w:tcBorders>
            <w:shd w:val="clear" w:color="auto" w:fill="auto"/>
            <w:noWrap/>
            <w:vAlign w:val="center"/>
          </w:tcPr>
          <w:p w14:paraId="3EDE8587" w14:textId="77777777" w:rsidR="000D1A29" w:rsidRPr="00C50F11" w:rsidRDefault="000D1A29" w:rsidP="00F44BFC">
            <w:pPr>
              <w:jc w:val="right"/>
              <w:rPr>
                <w:rFonts w:ascii="Arial Narrow" w:hAnsi="Arial Narrow"/>
                <w:sz w:val="20"/>
                <w:szCs w:val="20"/>
              </w:rPr>
            </w:pPr>
            <w:r w:rsidRPr="00C50F11">
              <w:rPr>
                <w:rFonts w:ascii="Arial Narrow" w:hAnsi="Arial Narrow"/>
                <w:sz w:val="20"/>
                <w:szCs w:val="20"/>
              </w:rPr>
              <w:t>1,237</w:t>
            </w:r>
          </w:p>
        </w:tc>
      </w:tr>
      <w:tr w:rsidR="000D1A29" w:rsidRPr="00C50F11" w14:paraId="734BAEAA" w14:textId="77777777" w:rsidTr="001F3463">
        <w:trPr>
          <w:trHeight w:val="284"/>
        </w:trPr>
        <w:tc>
          <w:tcPr>
            <w:tcW w:w="662" w:type="dxa"/>
            <w:shd w:val="clear" w:color="auto" w:fill="auto"/>
            <w:noWrap/>
            <w:vAlign w:val="center"/>
          </w:tcPr>
          <w:p w14:paraId="3BED84FC" w14:textId="77777777" w:rsidR="000D1A29" w:rsidRPr="00C50F11" w:rsidRDefault="000D1A29" w:rsidP="00F44BFC">
            <w:pPr>
              <w:jc w:val="center"/>
              <w:rPr>
                <w:rFonts w:ascii="Arial Narrow" w:hAnsi="Arial Narrow"/>
                <w:sz w:val="20"/>
                <w:szCs w:val="20"/>
              </w:rPr>
            </w:pPr>
            <w:r w:rsidRPr="00C50F11">
              <w:rPr>
                <w:rFonts w:ascii="Arial Narrow" w:hAnsi="Arial Narrow"/>
                <w:sz w:val="20"/>
                <w:szCs w:val="20"/>
              </w:rPr>
              <w:t>2</w:t>
            </w:r>
          </w:p>
        </w:tc>
        <w:tc>
          <w:tcPr>
            <w:tcW w:w="6818" w:type="dxa"/>
            <w:tcBorders>
              <w:top w:val="nil"/>
              <w:left w:val="nil"/>
              <w:bottom w:val="single" w:sz="4" w:space="0" w:color="auto"/>
              <w:right w:val="single" w:sz="4" w:space="0" w:color="auto"/>
            </w:tcBorders>
            <w:shd w:val="clear" w:color="auto" w:fill="auto"/>
            <w:noWrap/>
            <w:vAlign w:val="center"/>
          </w:tcPr>
          <w:p w14:paraId="22139416" w14:textId="77777777" w:rsidR="000D1A29" w:rsidRPr="00C50F11" w:rsidRDefault="000D1A29" w:rsidP="00F44BFC">
            <w:pPr>
              <w:rPr>
                <w:rFonts w:ascii="Arial Narrow" w:hAnsi="Arial Narrow"/>
                <w:sz w:val="20"/>
                <w:szCs w:val="20"/>
              </w:rPr>
            </w:pPr>
            <w:r w:rsidRPr="00C50F11">
              <w:rPr>
                <w:rFonts w:ascii="Arial Narrow" w:hAnsi="Arial Narrow"/>
                <w:sz w:val="20"/>
                <w:szCs w:val="20"/>
              </w:rPr>
              <w:t>Бяла пясъчна мида /Mya arenaria/</w:t>
            </w:r>
          </w:p>
        </w:tc>
        <w:tc>
          <w:tcPr>
            <w:tcW w:w="2301" w:type="dxa"/>
            <w:tcBorders>
              <w:top w:val="nil"/>
              <w:left w:val="nil"/>
              <w:bottom w:val="single" w:sz="4" w:space="0" w:color="auto"/>
              <w:right w:val="single" w:sz="4" w:space="0" w:color="auto"/>
            </w:tcBorders>
            <w:shd w:val="clear" w:color="auto" w:fill="auto"/>
            <w:noWrap/>
            <w:vAlign w:val="center"/>
          </w:tcPr>
          <w:p w14:paraId="6424CFFB" w14:textId="77777777" w:rsidR="000D1A29" w:rsidRPr="00C50F11" w:rsidRDefault="000D1A29" w:rsidP="00F44BFC">
            <w:pPr>
              <w:jc w:val="right"/>
              <w:rPr>
                <w:rFonts w:ascii="Arial Narrow" w:hAnsi="Arial Narrow"/>
                <w:sz w:val="20"/>
                <w:szCs w:val="20"/>
              </w:rPr>
            </w:pPr>
            <w:r w:rsidRPr="00C50F11">
              <w:rPr>
                <w:rFonts w:ascii="Arial Narrow" w:hAnsi="Arial Narrow"/>
                <w:sz w:val="20"/>
                <w:szCs w:val="20"/>
              </w:rPr>
              <w:t>216,839</w:t>
            </w:r>
          </w:p>
        </w:tc>
      </w:tr>
      <w:tr w:rsidR="000D1A29" w:rsidRPr="00C50F11" w14:paraId="2136B07A" w14:textId="77777777" w:rsidTr="001F3463">
        <w:trPr>
          <w:trHeight w:val="284"/>
        </w:trPr>
        <w:tc>
          <w:tcPr>
            <w:tcW w:w="662" w:type="dxa"/>
            <w:shd w:val="clear" w:color="auto" w:fill="auto"/>
            <w:noWrap/>
            <w:vAlign w:val="center"/>
          </w:tcPr>
          <w:p w14:paraId="3978B1D6" w14:textId="77777777" w:rsidR="000D1A29" w:rsidRPr="00C50F11" w:rsidRDefault="000D1A29" w:rsidP="00F44BFC">
            <w:pPr>
              <w:jc w:val="center"/>
              <w:rPr>
                <w:rFonts w:ascii="Arial Narrow" w:hAnsi="Arial Narrow"/>
                <w:sz w:val="20"/>
                <w:szCs w:val="20"/>
              </w:rPr>
            </w:pPr>
            <w:r w:rsidRPr="00C50F11">
              <w:rPr>
                <w:rFonts w:ascii="Arial Narrow" w:hAnsi="Arial Narrow"/>
                <w:sz w:val="20"/>
                <w:szCs w:val="20"/>
              </w:rPr>
              <w:t>3</w:t>
            </w:r>
          </w:p>
        </w:tc>
        <w:tc>
          <w:tcPr>
            <w:tcW w:w="6818" w:type="dxa"/>
            <w:tcBorders>
              <w:top w:val="nil"/>
              <w:left w:val="nil"/>
              <w:bottom w:val="single" w:sz="4" w:space="0" w:color="auto"/>
              <w:right w:val="single" w:sz="4" w:space="0" w:color="auto"/>
            </w:tcBorders>
            <w:shd w:val="clear" w:color="auto" w:fill="auto"/>
            <w:noWrap/>
            <w:vAlign w:val="center"/>
          </w:tcPr>
          <w:p w14:paraId="664B1ECE" w14:textId="77777777" w:rsidR="000D1A29" w:rsidRPr="00C50F11" w:rsidRDefault="000D1A29" w:rsidP="00F44BFC">
            <w:pPr>
              <w:rPr>
                <w:rFonts w:ascii="Arial Narrow" w:hAnsi="Arial Narrow"/>
                <w:sz w:val="20"/>
                <w:szCs w:val="20"/>
              </w:rPr>
            </w:pPr>
            <w:r w:rsidRPr="00C50F11">
              <w:rPr>
                <w:rFonts w:ascii="Arial Narrow" w:hAnsi="Arial Narrow"/>
                <w:sz w:val="20"/>
                <w:szCs w:val="20"/>
              </w:rPr>
              <w:t>Дънен морски червей</w:t>
            </w:r>
          </w:p>
        </w:tc>
        <w:tc>
          <w:tcPr>
            <w:tcW w:w="2301" w:type="dxa"/>
            <w:tcBorders>
              <w:top w:val="nil"/>
              <w:left w:val="nil"/>
              <w:bottom w:val="single" w:sz="4" w:space="0" w:color="auto"/>
              <w:right w:val="single" w:sz="4" w:space="0" w:color="auto"/>
            </w:tcBorders>
            <w:shd w:val="clear" w:color="auto" w:fill="auto"/>
            <w:noWrap/>
            <w:vAlign w:val="center"/>
          </w:tcPr>
          <w:p w14:paraId="6AE9AA49" w14:textId="77777777" w:rsidR="000D1A29" w:rsidRPr="00C50F11" w:rsidRDefault="000D1A29" w:rsidP="00F44BFC">
            <w:pPr>
              <w:jc w:val="right"/>
              <w:rPr>
                <w:rFonts w:ascii="Arial Narrow" w:hAnsi="Arial Narrow"/>
                <w:sz w:val="20"/>
                <w:szCs w:val="20"/>
              </w:rPr>
            </w:pPr>
            <w:r w:rsidRPr="00C50F11">
              <w:rPr>
                <w:rFonts w:ascii="Arial Narrow" w:hAnsi="Arial Narrow"/>
                <w:sz w:val="20"/>
                <w:szCs w:val="20"/>
              </w:rPr>
              <w:t>0,001</w:t>
            </w:r>
          </w:p>
        </w:tc>
      </w:tr>
      <w:tr w:rsidR="000D1A29" w:rsidRPr="00C50F11" w14:paraId="07F7B9DF" w14:textId="77777777" w:rsidTr="001F3463">
        <w:trPr>
          <w:trHeight w:val="284"/>
        </w:trPr>
        <w:tc>
          <w:tcPr>
            <w:tcW w:w="662" w:type="dxa"/>
            <w:shd w:val="clear" w:color="auto" w:fill="auto"/>
            <w:noWrap/>
            <w:vAlign w:val="center"/>
          </w:tcPr>
          <w:p w14:paraId="4A1CF8D5" w14:textId="77777777" w:rsidR="000D1A29" w:rsidRPr="00C50F11" w:rsidRDefault="000D1A29" w:rsidP="00F44BFC">
            <w:pPr>
              <w:jc w:val="center"/>
              <w:rPr>
                <w:rFonts w:ascii="Arial Narrow" w:hAnsi="Arial Narrow"/>
                <w:sz w:val="20"/>
                <w:szCs w:val="20"/>
              </w:rPr>
            </w:pPr>
            <w:r w:rsidRPr="00C50F11">
              <w:rPr>
                <w:rFonts w:ascii="Arial Narrow" w:hAnsi="Arial Narrow"/>
                <w:sz w:val="20"/>
                <w:szCs w:val="20"/>
              </w:rPr>
              <w:t>4</w:t>
            </w:r>
          </w:p>
        </w:tc>
        <w:tc>
          <w:tcPr>
            <w:tcW w:w="6818" w:type="dxa"/>
            <w:tcBorders>
              <w:top w:val="nil"/>
              <w:left w:val="nil"/>
              <w:bottom w:val="single" w:sz="4" w:space="0" w:color="auto"/>
              <w:right w:val="single" w:sz="4" w:space="0" w:color="auto"/>
            </w:tcBorders>
            <w:shd w:val="clear" w:color="auto" w:fill="auto"/>
            <w:noWrap/>
            <w:vAlign w:val="center"/>
          </w:tcPr>
          <w:p w14:paraId="5482EC47" w14:textId="77777777" w:rsidR="000D1A29" w:rsidRPr="00C50F11" w:rsidRDefault="000D1A29" w:rsidP="00F44BFC">
            <w:pPr>
              <w:rPr>
                <w:rFonts w:ascii="Arial Narrow" w:hAnsi="Arial Narrow"/>
                <w:sz w:val="20"/>
                <w:szCs w:val="20"/>
              </w:rPr>
            </w:pPr>
            <w:r w:rsidRPr="00C50F11">
              <w:rPr>
                <w:rFonts w:ascii="Arial Narrow" w:hAnsi="Arial Narrow"/>
                <w:sz w:val="20"/>
                <w:szCs w:val="20"/>
              </w:rPr>
              <w:t>Заргaн /Belone belone/</w:t>
            </w:r>
          </w:p>
        </w:tc>
        <w:tc>
          <w:tcPr>
            <w:tcW w:w="2301" w:type="dxa"/>
            <w:tcBorders>
              <w:top w:val="nil"/>
              <w:left w:val="nil"/>
              <w:bottom w:val="single" w:sz="4" w:space="0" w:color="auto"/>
              <w:right w:val="single" w:sz="4" w:space="0" w:color="auto"/>
            </w:tcBorders>
            <w:shd w:val="clear" w:color="auto" w:fill="auto"/>
            <w:noWrap/>
            <w:vAlign w:val="center"/>
          </w:tcPr>
          <w:p w14:paraId="3DAF4506" w14:textId="77777777" w:rsidR="000D1A29" w:rsidRPr="00C50F11" w:rsidRDefault="000D1A29" w:rsidP="00F44BFC">
            <w:pPr>
              <w:jc w:val="right"/>
              <w:rPr>
                <w:rFonts w:ascii="Arial Narrow" w:hAnsi="Arial Narrow"/>
                <w:sz w:val="20"/>
                <w:szCs w:val="20"/>
              </w:rPr>
            </w:pPr>
            <w:r w:rsidRPr="00C50F11">
              <w:rPr>
                <w:rFonts w:ascii="Arial Narrow" w:hAnsi="Arial Narrow"/>
                <w:sz w:val="20"/>
                <w:szCs w:val="20"/>
              </w:rPr>
              <w:t>1,554</w:t>
            </w:r>
          </w:p>
        </w:tc>
      </w:tr>
      <w:tr w:rsidR="000D1A29" w:rsidRPr="00C50F11" w14:paraId="71BB01D5" w14:textId="77777777" w:rsidTr="001F3463">
        <w:trPr>
          <w:trHeight w:val="284"/>
        </w:trPr>
        <w:tc>
          <w:tcPr>
            <w:tcW w:w="662" w:type="dxa"/>
            <w:shd w:val="clear" w:color="auto" w:fill="auto"/>
            <w:noWrap/>
            <w:vAlign w:val="center"/>
          </w:tcPr>
          <w:p w14:paraId="45A24673" w14:textId="77777777" w:rsidR="000D1A29" w:rsidRPr="00C50F11" w:rsidRDefault="000D1A29" w:rsidP="00F44BFC">
            <w:pPr>
              <w:jc w:val="center"/>
              <w:rPr>
                <w:rFonts w:ascii="Arial Narrow" w:hAnsi="Arial Narrow"/>
                <w:sz w:val="20"/>
                <w:szCs w:val="20"/>
              </w:rPr>
            </w:pPr>
            <w:r w:rsidRPr="00C50F11">
              <w:rPr>
                <w:rFonts w:ascii="Arial Narrow" w:hAnsi="Arial Narrow"/>
                <w:sz w:val="20"/>
                <w:szCs w:val="20"/>
              </w:rPr>
              <w:t>5</w:t>
            </w:r>
          </w:p>
        </w:tc>
        <w:tc>
          <w:tcPr>
            <w:tcW w:w="6818" w:type="dxa"/>
            <w:tcBorders>
              <w:top w:val="nil"/>
              <w:left w:val="nil"/>
              <w:bottom w:val="single" w:sz="4" w:space="0" w:color="auto"/>
              <w:right w:val="single" w:sz="4" w:space="0" w:color="auto"/>
            </w:tcBorders>
            <w:shd w:val="clear" w:color="auto" w:fill="auto"/>
            <w:noWrap/>
            <w:vAlign w:val="center"/>
          </w:tcPr>
          <w:p w14:paraId="7D758A95" w14:textId="77777777" w:rsidR="000D1A29" w:rsidRPr="00C50F11" w:rsidRDefault="000D1A29" w:rsidP="00F44BFC">
            <w:pPr>
              <w:rPr>
                <w:rFonts w:ascii="Arial Narrow" w:hAnsi="Arial Narrow"/>
                <w:sz w:val="20"/>
                <w:szCs w:val="20"/>
              </w:rPr>
            </w:pPr>
            <w:r w:rsidRPr="00C50F11">
              <w:rPr>
                <w:rFonts w:ascii="Arial Narrow" w:hAnsi="Arial Narrow"/>
                <w:sz w:val="20"/>
                <w:szCs w:val="20"/>
              </w:rPr>
              <w:t>Илария /Liza saliens/</w:t>
            </w:r>
          </w:p>
        </w:tc>
        <w:tc>
          <w:tcPr>
            <w:tcW w:w="2301" w:type="dxa"/>
            <w:tcBorders>
              <w:top w:val="nil"/>
              <w:left w:val="nil"/>
              <w:bottom w:val="single" w:sz="4" w:space="0" w:color="auto"/>
              <w:right w:val="single" w:sz="4" w:space="0" w:color="auto"/>
            </w:tcBorders>
            <w:shd w:val="clear" w:color="auto" w:fill="auto"/>
            <w:noWrap/>
            <w:vAlign w:val="center"/>
          </w:tcPr>
          <w:p w14:paraId="21526A0C" w14:textId="77777777" w:rsidR="000D1A29" w:rsidRPr="00C50F11" w:rsidRDefault="000D1A29" w:rsidP="00F44BFC">
            <w:pPr>
              <w:jc w:val="right"/>
              <w:rPr>
                <w:rFonts w:ascii="Arial Narrow" w:hAnsi="Arial Narrow"/>
                <w:sz w:val="20"/>
                <w:szCs w:val="20"/>
              </w:rPr>
            </w:pPr>
            <w:r w:rsidRPr="00C50F11">
              <w:rPr>
                <w:rFonts w:ascii="Arial Narrow" w:hAnsi="Arial Narrow"/>
                <w:sz w:val="20"/>
                <w:szCs w:val="20"/>
              </w:rPr>
              <w:t>1,630</w:t>
            </w:r>
          </w:p>
        </w:tc>
      </w:tr>
      <w:tr w:rsidR="000D1A29" w:rsidRPr="00C50F11" w14:paraId="4A0ABC31" w14:textId="77777777" w:rsidTr="001F3463">
        <w:trPr>
          <w:trHeight w:val="284"/>
        </w:trPr>
        <w:tc>
          <w:tcPr>
            <w:tcW w:w="662" w:type="dxa"/>
            <w:shd w:val="clear" w:color="auto" w:fill="auto"/>
            <w:noWrap/>
            <w:vAlign w:val="center"/>
          </w:tcPr>
          <w:p w14:paraId="2E42406A" w14:textId="77777777" w:rsidR="000D1A29" w:rsidRPr="00C50F11" w:rsidRDefault="000D1A29" w:rsidP="00F44BFC">
            <w:pPr>
              <w:jc w:val="center"/>
              <w:rPr>
                <w:rFonts w:ascii="Arial Narrow" w:hAnsi="Arial Narrow"/>
                <w:sz w:val="20"/>
                <w:szCs w:val="20"/>
              </w:rPr>
            </w:pPr>
            <w:r w:rsidRPr="00C50F11">
              <w:rPr>
                <w:rFonts w:ascii="Arial Narrow" w:hAnsi="Arial Narrow"/>
                <w:sz w:val="20"/>
                <w:szCs w:val="20"/>
              </w:rPr>
              <w:t>6</w:t>
            </w:r>
          </w:p>
        </w:tc>
        <w:tc>
          <w:tcPr>
            <w:tcW w:w="6818" w:type="dxa"/>
            <w:tcBorders>
              <w:top w:val="nil"/>
              <w:left w:val="nil"/>
              <w:bottom w:val="nil"/>
              <w:right w:val="nil"/>
            </w:tcBorders>
            <w:shd w:val="clear" w:color="auto" w:fill="auto"/>
            <w:noWrap/>
            <w:vAlign w:val="center"/>
          </w:tcPr>
          <w:p w14:paraId="3EADFC0C" w14:textId="77777777" w:rsidR="000D1A29" w:rsidRPr="00C50F11" w:rsidRDefault="000D1A29" w:rsidP="00F44BFC">
            <w:pPr>
              <w:rPr>
                <w:rFonts w:ascii="Arial Narrow" w:hAnsi="Arial Narrow"/>
                <w:sz w:val="20"/>
                <w:szCs w:val="20"/>
              </w:rPr>
            </w:pPr>
            <w:r w:rsidRPr="00C50F11">
              <w:rPr>
                <w:rFonts w:ascii="Arial Narrow" w:hAnsi="Arial Narrow"/>
                <w:sz w:val="20"/>
                <w:szCs w:val="20"/>
              </w:rPr>
              <w:t>Калкан /Psetta maxima/</w:t>
            </w:r>
          </w:p>
        </w:tc>
        <w:tc>
          <w:tcPr>
            <w:tcW w:w="2301" w:type="dxa"/>
            <w:tcBorders>
              <w:top w:val="nil"/>
              <w:left w:val="single" w:sz="4" w:space="0" w:color="auto"/>
              <w:bottom w:val="single" w:sz="4" w:space="0" w:color="auto"/>
              <w:right w:val="single" w:sz="4" w:space="0" w:color="auto"/>
            </w:tcBorders>
            <w:shd w:val="clear" w:color="auto" w:fill="auto"/>
            <w:noWrap/>
            <w:vAlign w:val="center"/>
          </w:tcPr>
          <w:p w14:paraId="33AB3486" w14:textId="77777777" w:rsidR="000D1A29" w:rsidRPr="00C50F11" w:rsidRDefault="000D1A29" w:rsidP="00F44BFC">
            <w:pPr>
              <w:jc w:val="right"/>
              <w:rPr>
                <w:rFonts w:ascii="Arial Narrow" w:hAnsi="Arial Narrow"/>
                <w:sz w:val="20"/>
                <w:szCs w:val="20"/>
              </w:rPr>
            </w:pPr>
            <w:r w:rsidRPr="00C50F11">
              <w:rPr>
                <w:rFonts w:ascii="Arial Narrow" w:hAnsi="Arial Narrow"/>
                <w:sz w:val="20"/>
                <w:szCs w:val="20"/>
              </w:rPr>
              <w:t>91,198</w:t>
            </w:r>
          </w:p>
        </w:tc>
      </w:tr>
      <w:tr w:rsidR="000D1A29" w:rsidRPr="00C50F11" w14:paraId="41C2FC52" w14:textId="77777777" w:rsidTr="001F3463">
        <w:trPr>
          <w:trHeight w:val="284"/>
        </w:trPr>
        <w:tc>
          <w:tcPr>
            <w:tcW w:w="662" w:type="dxa"/>
            <w:shd w:val="clear" w:color="auto" w:fill="auto"/>
            <w:noWrap/>
            <w:vAlign w:val="center"/>
          </w:tcPr>
          <w:p w14:paraId="18E27088" w14:textId="77777777" w:rsidR="000D1A29" w:rsidRPr="00C50F11" w:rsidRDefault="000D1A29" w:rsidP="00F44BFC">
            <w:pPr>
              <w:jc w:val="center"/>
              <w:rPr>
                <w:rFonts w:ascii="Arial Narrow" w:hAnsi="Arial Narrow"/>
                <w:sz w:val="20"/>
                <w:szCs w:val="20"/>
              </w:rPr>
            </w:pPr>
            <w:r w:rsidRPr="00C50F11">
              <w:rPr>
                <w:rFonts w:ascii="Arial Narrow" w:hAnsi="Arial Narrow"/>
                <w:sz w:val="20"/>
                <w:szCs w:val="20"/>
              </w:rPr>
              <w:t>7</w:t>
            </w:r>
          </w:p>
        </w:tc>
        <w:tc>
          <w:tcPr>
            <w:tcW w:w="6818" w:type="dxa"/>
            <w:tcBorders>
              <w:top w:val="single" w:sz="4" w:space="0" w:color="auto"/>
              <w:left w:val="nil"/>
              <w:bottom w:val="single" w:sz="4" w:space="0" w:color="auto"/>
              <w:right w:val="single" w:sz="4" w:space="0" w:color="auto"/>
            </w:tcBorders>
            <w:shd w:val="clear" w:color="auto" w:fill="auto"/>
            <w:noWrap/>
            <w:vAlign w:val="center"/>
          </w:tcPr>
          <w:p w14:paraId="4203C4E2" w14:textId="77777777" w:rsidR="000D1A29" w:rsidRPr="00C50F11" w:rsidRDefault="000D1A29" w:rsidP="00F44BFC">
            <w:pPr>
              <w:rPr>
                <w:rFonts w:ascii="Arial Narrow" w:hAnsi="Arial Narrow"/>
                <w:sz w:val="20"/>
                <w:szCs w:val="20"/>
              </w:rPr>
            </w:pPr>
            <w:r w:rsidRPr="00C50F11">
              <w:rPr>
                <w:rFonts w:ascii="Arial Narrow" w:hAnsi="Arial Narrow"/>
                <w:sz w:val="20"/>
                <w:szCs w:val="20"/>
              </w:rPr>
              <w:t>Карагьоз, дунавска скумрия /Caspialosa pontica/Alosa pontica/</w:t>
            </w:r>
          </w:p>
        </w:tc>
        <w:tc>
          <w:tcPr>
            <w:tcW w:w="2301" w:type="dxa"/>
            <w:tcBorders>
              <w:top w:val="nil"/>
              <w:left w:val="nil"/>
              <w:bottom w:val="single" w:sz="4" w:space="0" w:color="auto"/>
              <w:right w:val="single" w:sz="4" w:space="0" w:color="auto"/>
            </w:tcBorders>
            <w:shd w:val="clear" w:color="auto" w:fill="auto"/>
            <w:noWrap/>
            <w:vAlign w:val="center"/>
          </w:tcPr>
          <w:p w14:paraId="25A4E3C6" w14:textId="77777777" w:rsidR="000D1A29" w:rsidRPr="00C50F11" w:rsidRDefault="000D1A29" w:rsidP="00F44BFC">
            <w:pPr>
              <w:jc w:val="right"/>
              <w:rPr>
                <w:rFonts w:ascii="Arial Narrow" w:hAnsi="Arial Narrow"/>
                <w:sz w:val="20"/>
                <w:szCs w:val="20"/>
              </w:rPr>
            </w:pPr>
            <w:r w:rsidRPr="00C50F11">
              <w:rPr>
                <w:rFonts w:ascii="Arial Narrow" w:hAnsi="Arial Narrow"/>
                <w:sz w:val="20"/>
                <w:szCs w:val="20"/>
              </w:rPr>
              <w:t>7,322</w:t>
            </w:r>
          </w:p>
        </w:tc>
      </w:tr>
      <w:tr w:rsidR="000D1A29" w:rsidRPr="00C50F11" w14:paraId="0F95C231" w14:textId="77777777" w:rsidTr="001F3463">
        <w:trPr>
          <w:trHeight w:val="284"/>
        </w:trPr>
        <w:tc>
          <w:tcPr>
            <w:tcW w:w="662" w:type="dxa"/>
            <w:shd w:val="clear" w:color="auto" w:fill="auto"/>
            <w:noWrap/>
            <w:vAlign w:val="center"/>
          </w:tcPr>
          <w:p w14:paraId="7056A403" w14:textId="77777777" w:rsidR="000D1A29" w:rsidRPr="00C50F11" w:rsidRDefault="000D1A29" w:rsidP="00F44BFC">
            <w:pPr>
              <w:jc w:val="center"/>
              <w:rPr>
                <w:rFonts w:ascii="Arial Narrow" w:hAnsi="Arial Narrow"/>
                <w:sz w:val="20"/>
                <w:szCs w:val="20"/>
              </w:rPr>
            </w:pPr>
            <w:r w:rsidRPr="00C50F11">
              <w:rPr>
                <w:rFonts w:ascii="Arial Narrow" w:hAnsi="Arial Narrow"/>
                <w:sz w:val="20"/>
                <w:szCs w:val="20"/>
              </w:rPr>
              <w:t>8</w:t>
            </w:r>
          </w:p>
        </w:tc>
        <w:tc>
          <w:tcPr>
            <w:tcW w:w="6818" w:type="dxa"/>
            <w:tcBorders>
              <w:top w:val="nil"/>
              <w:left w:val="nil"/>
              <w:bottom w:val="single" w:sz="4" w:space="0" w:color="auto"/>
              <w:right w:val="single" w:sz="4" w:space="0" w:color="auto"/>
            </w:tcBorders>
            <w:shd w:val="clear" w:color="auto" w:fill="auto"/>
            <w:noWrap/>
            <w:vAlign w:val="center"/>
          </w:tcPr>
          <w:p w14:paraId="46DEF935" w14:textId="77777777" w:rsidR="000D1A29" w:rsidRPr="00C50F11" w:rsidRDefault="000D1A29" w:rsidP="00F44BFC">
            <w:pPr>
              <w:rPr>
                <w:rFonts w:ascii="Arial Narrow" w:hAnsi="Arial Narrow"/>
                <w:sz w:val="20"/>
                <w:szCs w:val="20"/>
              </w:rPr>
            </w:pPr>
            <w:r w:rsidRPr="00C50F11">
              <w:rPr>
                <w:rFonts w:ascii="Arial Narrow" w:hAnsi="Arial Narrow"/>
                <w:sz w:val="20"/>
                <w:szCs w:val="20"/>
              </w:rPr>
              <w:t>Морска лястовица</w:t>
            </w:r>
          </w:p>
        </w:tc>
        <w:tc>
          <w:tcPr>
            <w:tcW w:w="2301" w:type="dxa"/>
            <w:tcBorders>
              <w:top w:val="nil"/>
              <w:left w:val="nil"/>
              <w:bottom w:val="single" w:sz="4" w:space="0" w:color="auto"/>
              <w:right w:val="single" w:sz="4" w:space="0" w:color="auto"/>
            </w:tcBorders>
            <w:shd w:val="clear" w:color="auto" w:fill="auto"/>
            <w:noWrap/>
            <w:vAlign w:val="center"/>
          </w:tcPr>
          <w:p w14:paraId="730B324E" w14:textId="77777777" w:rsidR="000D1A29" w:rsidRPr="00C50F11" w:rsidRDefault="000D1A29" w:rsidP="00F44BFC">
            <w:pPr>
              <w:jc w:val="right"/>
              <w:rPr>
                <w:rFonts w:ascii="Arial Narrow" w:hAnsi="Arial Narrow"/>
                <w:sz w:val="20"/>
                <w:szCs w:val="20"/>
              </w:rPr>
            </w:pPr>
            <w:r w:rsidRPr="00C50F11">
              <w:rPr>
                <w:rFonts w:ascii="Arial Narrow" w:hAnsi="Arial Narrow"/>
                <w:sz w:val="20"/>
                <w:szCs w:val="20"/>
              </w:rPr>
              <w:t>0,850</w:t>
            </w:r>
          </w:p>
        </w:tc>
      </w:tr>
      <w:tr w:rsidR="000D1A29" w:rsidRPr="00C50F11" w14:paraId="474634A9" w14:textId="77777777" w:rsidTr="001F3463">
        <w:trPr>
          <w:trHeight w:val="284"/>
        </w:trPr>
        <w:tc>
          <w:tcPr>
            <w:tcW w:w="662" w:type="dxa"/>
            <w:shd w:val="clear" w:color="auto" w:fill="auto"/>
            <w:noWrap/>
            <w:vAlign w:val="center"/>
          </w:tcPr>
          <w:p w14:paraId="7F477BFB" w14:textId="77777777" w:rsidR="000D1A29" w:rsidRPr="00C50F11" w:rsidRDefault="000D1A29" w:rsidP="00F44BFC">
            <w:pPr>
              <w:jc w:val="center"/>
              <w:rPr>
                <w:rFonts w:ascii="Arial Narrow" w:hAnsi="Arial Narrow"/>
                <w:sz w:val="20"/>
                <w:szCs w:val="20"/>
              </w:rPr>
            </w:pPr>
            <w:r w:rsidRPr="00C50F11">
              <w:rPr>
                <w:rFonts w:ascii="Arial Narrow" w:hAnsi="Arial Narrow"/>
                <w:sz w:val="20"/>
                <w:szCs w:val="20"/>
              </w:rPr>
              <w:t>9</w:t>
            </w:r>
          </w:p>
        </w:tc>
        <w:tc>
          <w:tcPr>
            <w:tcW w:w="6818" w:type="dxa"/>
            <w:tcBorders>
              <w:top w:val="nil"/>
              <w:left w:val="nil"/>
              <w:bottom w:val="single" w:sz="4" w:space="0" w:color="auto"/>
              <w:right w:val="single" w:sz="4" w:space="0" w:color="auto"/>
            </w:tcBorders>
            <w:shd w:val="clear" w:color="auto" w:fill="auto"/>
            <w:noWrap/>
            <w:vAlign w:val="center"/>
          </w:tcPr>
          <w:p w14:paraId="746C5680" w14:textId="77777777" w:rsidR="000D1A29" w:rsidRPr="00C50F11" w:rsidRDefault="000D1A29" w:rsidP="00F44BFC">
            <w:pPr>
              <w:rPr>
                <w:rFonts w:ascii="Arial Narrow" w:hAnsi="Arial Narrow"/>
                <w:sz w:val="20"/>
                <w:szCs w:val="20"/>
              </w:rPr>
            </w:pPr>
            <w:r w:rsidRPr="00C50F11">
              <w:rPr>
                <w:rFonts w:ascii="Arial Narrow" w:hAnsi="Arial Narrow"/>
                <w:sz w:val="20"/>
                <w:szCs w:val="20"/>
              </w:rPr>
              <w:t>Лаврак /Dicentrachus labrax/Morone labrax/</w:t>
            </w:r>
          </w:p>
        </w:tc>
        <w:tc>
          <w:tcPr>
            <w:tcW w:w="2301" w:type="dxa"/>
            <w:tcBorders>
              <w:top w:val="nil"/>
              <w:left w:val="nil"/>
              <w:bottom w:val="single" w:sz="4" w:space="0" w:color="auto"/>
              <w:right w:val="single" w:sz="4" w:space="0" w:color="auto"/>
            </w:tcBorders>
            <w:shd w:val="clear" w:color="auto" w:fill="auto"/>
            <w:noWrap/>
            <w:vAlign w:val="center"/>
          </w:tcPr>
          <w:p w14:paraId="7B3F5253" w14:textId="77777777" w:rsidR="000D1A29" w:rsidRPr="00C50F11" w:rsidRDefault="000D1A29" w:rsidP="00F44BFC">
            <w:pPr>
              <w:jc w:val="right"/>
              <w:rPr>
                <w:rFonts w:ascii="Arial Narrow" w:hAnsi="Arial Narrow"/>
                <w:sz w:val="20"/>
                <w:szCs w:val="20"/>
              </w:rPr>
            </w:pPr>
            <w:r w:rsidRPr="00C50F11">
              <w:rPr>
                <w:rFonts w:ascii="Arial Narrow" w:hAnsi="Arial Narrow"/>
                <w:sz w:val="20"/>
                <w:szCs w:val="20"/>
              </w:rPr>
              <w:t>0,004</w:t>
            </w:r>
          </w:p>
        </w:tc>
      </w:tr>
      <w:tr w:rsidR="000D1A29" w:rsidRPr="00C50F11" w14:paraId="1E96AFE5" w14:textId="77777777" w:rsidTr="001F3463">
        <w:trPr>
          <w:trHeight w:val="284"/>
        </w:trPr>
        <w:tc>
          <w:tcPr>
            <w:tcW w:w="662" w:type="dxa"/>
            <w:shd w:val="clear" w:color="auto" w:fill="auto"/>
            <w:noWrap/>
            <w:vAlign w:val="center"/>
          </w:tcPr>
          <w:p w14:paraId="6B5F10A2" w14:textId="77777777" w:rsidR="000D1A29" w:rsidRPr="00C50F11" w:rsidRDefault="000D1A29" w:rsidP="00F44BFC">
            <w:pPr>
              <w:jc w:val="center"/>
              <w:rPr>
                <w:rFonts w:ascii="Arial Narrow" w:hAnsi="Arial Narrow"/>
                <w:sz w:val="20"/>
                <w:szCs w:val="20"/>
              </w:rPr>
            </w:pPr>
            <w:r w:rsidRPr="00C50F11">
              <w:rPr>
                <w:rFonts w:ascii="Arial Narrow" w:hAnsi="Arial Narrow"/>
                <w:sz w:val="20"/>
                <w:szCs w:val="20"/>
              </w:rPr>
              <w:t>10</w:t>
            </w:r>
          </w:p>
        </w:tc>
        <w:tc>
          <w:tcPr>
            <w:tcW w:w="6818" w:type="dxa"/>
            <w:tcBorders>
              <w:top w:val="nil"/>
              <w:left w:val="nil"/>
              <w:bottom w:val="single" w:sz="4" w:space="0" w:color="auto"/>
              <w:right w:val="single" w:sz="4" w:space="0" w:color="auto"/>
            </w:tcBorders>
            <w:shd w:val="clear" w:color="auto" w:fill="auto"/>
            <w:noWrap/>
            <w:vAlign w:val="center"/>
          </w:tcPr>
          <w:p w14:paraId="390DFD81" w14:textId="77777777" w:rsidR="000D1A29" w:rsidRPr="00C50F11" w:rsidRDefault="000D1A29" w:rsidP="00F44BFC">
            <w:pPr>
              <w:rPr>
                <w:rFonts w:ascii="Arial Narrow" w:hAnsi="Arial Narrow"/>
                <w:sz w:val="20"/>
                <w:szCs w:val="20"/>
              </w:rPr>
            </w:pPr>
            <w:r w:rsidRPr="00C50F11">
              <w:rPr>
                <w:rFonts w:ascii="Arial Narrow" w:hAnsi="Arial Narrow"/>
                <w:sz w:val="20"/>
                <w:szCs w:val="20"/>
              </w:rPr>
              <w:t>Лефер /Pomatomus saltatrix/</w:t>
            </w:r>
          </w:p>
        </w:tc>
        <w:tc>
          <w:tcPr>
            <w:tcW w:w="2301" w:type="dxa"/>
            <w:tcBorders>
              <w:top w:val="nil"/>
              <w:left w:val="nil"/>
              <w:bottom w:val="single" w:sz="4" w:space="0" w:color="auto"/>
              <w:right w:val="single" w:sz="4" w:space="0" w:color="auto"/>
            </w:tcBorders>
            <w:shd w:val="clear" w:color="auto" w:fill="auto"/>
            <w:noWrap/>
            <w:vAlign w:val="center"/>
          </w:tcPr>
          <w:p w14:paraId="68C31201" w14:textId="77777777" w:rsidR="000D1A29" w:rsidRPr="00C50F11" w:rsidRDefault="000D1A29" w:rsidP="00F44BFC">
            <w:pPr>
              <w:jc w:val="right"/>
              <w:rPr>
                <w:rFonts w:ascii="Arial Narrow" w:hAnsi="Arial Narrow"/>
                <w:sz w:val="20"/>
                <w:szCs w:val="20"/>
              </w:rPr>
            </w:pPr>
            <w:r w:rsidRPr="00C50F11">
              <w:rPr>
                <w:rFonts w:ascii="Arial Narrow" w:hAnsi="Arial Narrow"/>
                <w:sz w:val="20"/>
                <w:szCs w:val="20"/>
              </w:rPr>
              <w:t>238,532</w:t>
            </w:r>
          </w:p>
        </w:tc>
      </w:tr>
      <w:tr w:rsidR="000D1A29" w:rsidRPr="00C50F11" w14:paraId="715D39C1" w14:textId="77777777" w:rsidTr="001F3463">
        <w:trPr>
          <w:trHeight w:val="284"/>
        </w:trPr>
        <w:tc>
          <w:tcPr>
            <w:tcW w:w="662" w:type="dxa"/>
            <w:shd w:val="clear" w:color="auto" w:fill="auto"/>
            <w:noWrap/>
            <w:vAlign w:val="center"/>
          </w:tcPr>
          <w:p w14:paraId="15E69D84" w14:textId="77777777" w:rsidR="000D1A29" w:rsidRPr="00C50F11" w:rsidRDefault="000D1A29" w:rsidP="00F44BFC">
            <w:pPr>
              <w:jc w:val="center"/>
              <w:rPr>
                <w:rFonts w:ascii="Arial Narrow" w:hAnsi="Arial Narrow"/>
                <w:sz w:val="20"/>
                <w:szCs w:val="20"/>
              </w:rPr>
            </w:pPr>
            <w:r w:rsidRPr="00C50F11">
              <w:rPr>
                <w:rFonts w:ascii="Arial Narrow" w:hAnsi="Arial Narrow"/>
                <w:sz w:val="20"/>
                <w:szCs w:val="20"/>
              </w:rPr>
              <w:t>11</w:t>
            </w:r>
          </w:p>
        </w:tc>
        <w:tc>
          <w:tcPr>
            <w:tcW w:w="6818" w:type="dxa"/>
            <w:tcBorders>
              <w:top w:val="single" w:sz="4" w:space="0" w:color="auto"/>
              <w:left w:val="nil"/>
              <w:bottom w:val="single" w:sz="4" w:space="0" w:color="auto"/>
              <w:right w:val="single" w:sz="4" w:space="0" w:color="auto"/>
            </w:tcBorders>
            <w:shd w:val="clear" w:color="auto" w:fill="auto"/>
            <w:noWrap/>
            <w:vAlign w:val="center"/>
          </w:tcPr>
          <w:p w14:paraId="4B3582B5" w14:textId="77777777" w:rsidR="000D1A29" w:rsidRPr="00C50F11" w:rsidRDefault="000D1A29" w:rsidP="00F44BFC">
            <w:pPr>
              <w:rPr>
                <w:rFonts w:ascii="Arial Narrow" w:hAnsi="Arial Narrow"/>
                <w:sz w:val="20"/>
                <w:szCs w:val="20"/>
              </w:rPr>
            </w:pPr>
            <w:r w:rsidRPr="00C50F11">
              <w:rPr>
                <w:rFonts w:ascii="Arial Narrow" w:hAnsi="Arial Narrow"/>
                <w:sz w:val="20"/>
                <w:szCs w:val="20"/>
              </w:rPr>
              <w:t>Морска котка /Dasyatis pastinaca/</w:t>
            </w:r>
          </w:p>
        </w:tc>
        <w:tc>
          <w:tcPr>
            <w:tcW w:w="2301" w:type="dxa"/>
            <w:tcBorders>
              <w:top w:val="nil"/>
              <w:left w:val="nil"/>
              <w:bottom w:val="single" w:sz="4" w:space="0" w:color="auto"/>
              <w:right w:val="single" w:sz="4" w:space="0" w:color="auto"/>
            </w:tcBorders>
            <w:shd w:val="clear" w:color="auto" w:fill="auto"/>
            <w:noWrap/>
            <w:vAlign w:val="center"/>
          </w:tcPr>
          <w:p w14:paraId="5EE4249B" w14:textId="77777777" w:rsidR="000D1A29" w:rsidRPr="00C50F11" w:rsidRDefault="000D1A29" w:rsidP="00F44BFC">
            <w:pPr>
              <w:jc w:val="right"/>
              <w:rPr>
                <w:rFonts w:ascii="Arial Narrow" w:hAnsi="Arial Narrow"/>
                <w:sz w:val="20"/>
                <w:szCs w:val="20"/>
              </w:rPr>
            </w:pPr>
            <w:r w:rsidRPr="00C50F11">
              <w:rPr>
                <w:rFonts w:ascii="Arial Narrow" w:hAnsi="Arial Narrow"/>
                <w:sz w:val="20"/>
                <w:szCs w:val="20"/>
              </w:rPr>
              <w:t>0,487</w:t>
            </w:r>
          </w:p>
        </w:tc>
      </w:tr>
      <w:tr w:rsidR="000D1A29" w:rsidRPr="00C50F11" w14:paraId="54357D53" w14:textId="77777777" w:rsidTr="001F3463">
        <w:trPr>
          <w:trHeight w:val="284"/>
        </w:trPr>
        <w:tc>
          <w:tcPr>
            <w:tcW w:w="662" w:type="dxa"/>
            <w:shd w:val="clear" w:color="auto" w:fill="auto"/>
            <w:noWrap/>
            <w:vAlign w:val="center"/>
          </w:tcPr>
          <w:p w14:paraId="207D8D16" w14:textId="77777777" w:rsidR="000D1A29" w:rsidRPr="00C50F11" w:rsidRDefault="000D1A29" w:rsidP="00F44BFC">
            <w:pPr>
              <w:jc w:val="center"/>
              <w:rPr>
                <w:rFonts w:ascii="Arial Narrow" w:hAnsi="Arial Narrow"/>
                <w:sz w:val="20"/>
                <w:szCs w:val="20"/>
              </w:rPr>
            </w:pPr>
            <w:r w:rsidRPr="00C50F11">
              <w:rPr>
                <w:rFonts w:ascii="Arial Narrow" w:hAnsi="Arial Narrow"/>
                <w:sz w:val="20"/>
                <w:szCs w:val="20"/>
              </w:rPr>
              <w:t>12</w:t>
            </w:r>
          </w:p>
        </w:tc>
        <w:tc>
          <w:tcPr>
            <w:tcW w:w="6818" w:type="dxa"/>
            <w:tcBorders>
              <w:top w:val="nil"/>
              <w:left w:val="nil"/>
              <w:bottom w:val="single" w:sz="4" w:space="0" w:color="auto"/>
              <w:right w:val="single" w:sz="4" w:space="0" w:color="auto"/>
            </w:tcBorders>
            <w:shd w:val="clear" w:color="auto" w:fill="auto"/>
            <w:noWrap/>
            <w:vAlign w:val="center"/>
          </w:tcPr>
          <w:p w14:paraId="0B9A5518" w14:textId="77777777" w:rsidR="000D1A29" w:rsidRPr="00C50F11" w:rsidRDefault="000D1A29" w:rsidP="00F44BFC">
            <w:pPr>
              <w:rPr>
                <w:rFonts w:ascii="Arial Narrow" w:hAnsi="Arial Narrow"/>
                <w:sz w:val="20"/>
                <w:szCs w:val="20"/>
              </w:rPr>
            </w:pPr>
            <w:r w:rsidRPr="00C50F11">
              <w:rPr>
                <w:rFonts w:ascii="Arial Narrow" w:hAnsi="Arial Narrow"/>
                <w:sz w:val="20"/>
                <w:szCs w:val="20"/>
              </w:rPr>
              <w:t>Морска лисица /Raja clavata/</w:t>
            </w:r>
          </w:p>
        </w:tc>
        <w:tc>
          <w:tcPr>
            <w:tcW w:w="2301" w:type="dxa"/>
            <w:tcBorders>
              <w:top w:val="nil"/>
              <w:left w:val="nil"/>
              <w:bottom w:val="single" w:sz="4" w:space="0" w:color="auto"/>
              <w:right w:val="single" w:sz="4" w:space="0" w:color="auto"/>
            </w:tcBorders>
            <w:shd w:val="clear" w:color="auto" w:fill="auto"/>
            <w:noWrap/>
            <w:vAlign w:val="center"/>
          </w:tcPr>
          <w:p w14:paraId="3ABF33DD" w14:textId="77777777" w:rsidR="000D1A29" w:rsidRPr="00C50F11" w:rsidRDefault="000D1A29" w:rsidP="00F44BFC">
            <w:pPr>
              <w:jc w:val="right"/>
              <w:rPr>
                <w:rFonts w:ascii="Arial Narrow" w:hAnsi="Arial Narrow"/>
                <w:sz w:val="20"/>
                <w:szCs w:val="20"/>
              </w:rPr>
            </w:pPr>
            <w:r w:rsidRPr="00C50F11">
              <w:rPr>
                <w:rFonts w:ascii="Arial Narrow" w:hAnsi="Arial Narrow"/>
                <w:sz w:val="20"/>
                <w:szCs w:val="20"/>
              </w:rPr>
              <w:t>39,349</w:t>
            </w:r>
          </w:p>
        </w:tc>
      </w:tr>
      <w:tr w:rsidR="000D1A29" w:rsidRPr="00C50F11" w14:paraId="3B12C6F8" w14:textId="77777777" w:rsidTr="001F3463">
        <w:trPr>
          <w:trHeight w:val="284"/>
        </w:trPr>
        <w:tc>
          <w:tcPr>
            <w:tcW w:w="662" w:type="dxa"/>
            <w:shd w:val="clear" w:color="auto" w:fill="auto"/>
            <w:noWrap/>
            <w:vAlign w:val="center"/>
          </w:tcPr>
          <w:p w14:paraId="2315C367" w14:textId="77777777" w:rsidR="000D1A29" w:rsidRPr="00C50F11" w:rsidRDefault="000D1A29" w:rsidP="00F44BFC">
            <w:pPr>
              <w:jc w:val="center"/>
              <w:rPr>
                <w:rFonts w:ascii="Arial Narrow" w:hAnsi="Arial Narrow"/>
                <w:sz w:val="20"/>
                <w:szCs w:val="20"/>
              </w:rPr>
            </w:pPr>
            <w:r w:rsidRPr="00C50F11">
              <w:rPr>
                <w:rFonts w:ascii="Arial Narrow" w:hAnsi="Arial Narrow"/>
                <w:sz w:val="20"/>
                <w:szCs w:val="20"/>
              </w:rPr>
              <w:t>13</w:t>
            </w:r>
          </w:p>
        </w:tc>
        <w:tc>
          <w:tcPr>
            <w:tcW w:w="6818" w:type="dxa"/>
            <w:tcBorders>
              <w:top w:val="nil"/>
              <w:left w:val="nil"/>
              <w:bottom w:val="single" w:sz="4" w:space="0" w:color="auto"/>
              <w:right w:val="single" w:sz="4" w:space="0" w:color="auto"/>
            </w:tcBorders>
            <w:shd w:val="clear" w:color="auto" w:fill="auto"/>
            <w:noWrap/>
            <w:vAlign w:val="center"/>
          </w:tcPr>
          <w:p w14:paraId="14F60FA0" w14:textId="77777777" w:rsidR="000D1A29" w:rsidRPr="00C50F11" w:rsidRDefault="000D1A29" w:rsidP="00F44BFC">
            <w:pPr>
              <w:rPr>
                <w:rFonts w:ascii="Arial Narrow" w:hAnsi="Arial Narrow"/>
                <w:sz w:val="20"/>
                <w:szCs w:val="20"/>
              </w:rPr>
            </w:pPr>
            <w:r w:rsidRPr="00C50F11">
              <w:rPr>
                <w:rFonts w:ascii="Arial Narrow" w:hAnsi="Arial Narrow"/>
                <w:sz w:val="20"/>
                <w:szCs w:val="20"/>
              </w:rPr>
              <w:t>Морски дявол /Lophius piscatorius/</w:t>
            </w:r>
          </w:p>
        </w:tc>
        <w:tc>
          <w:tcPr>
            <w:tcW w:w="2301" w:type="dxa"/>
            <w:tcBorders>
              <w:top w:val="nil"/>
              <w:left w:val="nil"/>
              <w:bottom w:val="single" w:sz="4" w:space="0" w:color="auto"/>
              <w:right w:val="single" w:sz="4" w:space="0" w:color="auto"/>
            </w:tcBorders>
            <w:shd w:val="clear" w:color="auto" w:fill="auto"/>
            <w:noWrap/>
            <w:vAlign w:val="center"/>
          </w:tcPr>
          <w:p w14:paraId="3EC2325C" w14:textId="77777777" w:rsidR="000D1A29" w:rsidRPr="00C50F11" w:rsidRDefault="000D1A29" w:rsidP="00F44BFC">
            <w:pPr>
              <w:jc w:val="right"/>
              <w:rPr>
                <w:rFonts w:ascii="Arial Narrow" w:hAnsi="Arial Narrow"/>
                <w:sz w:val="20"/>
                <w:szCs w:val="20"/>
              </w:rPr>
            </w:pPr>
            <w:r w:rsidRPr="00C50F11">
              <w:rPr>
                <w:rFonts w:ascii="Arial Narrow" w:hAnsi="Arial Narrow"/>
                <w:sz w:val="20"/>
                <w:szCs w:val="20"/>
              </w:rPr>
              <w:t>0,028</w:t>
            </w:r>
          </w:p>
        </w:tc>
      </w:tr>
      <w:tr w:rsidR="000D1A29" w:rsidRPr="00C50F11" w14:paraId="505D2C67" w14:textId="77777777" w:rsidTr="001F3463">
        <w:trPr>
          <w:trHeight w:val="284"/>
        </w:trPr>
        <w:tc>
          <w:tcPr>
            <w:tcW w:w="662" w:type="dxa"/>
            <w:shd w:val="clear" w:color="auto" w:fill="auto"/>
            <w:noWrap/>
            <w:vAlign w:val="center"/>
          </w:tcPr>
          <w:p w14:paraId="5A67DFE0" w14:textId="77777777" w:rsidR="000D1A29" w:rsidRPr="00C50F11" w:rsidRDefault="000D1A29" w:rsidP="00F44BFC">
            <w:pPr>
              <w:jc w:val="center"/>
              <w:rPr>
                <w:rFonts w:ascii="Arial Narrow" w:hAnsi="Arial Narrow"/>
                <w:sz w:val="20"/>
                <w:szCs w:val="20"/>
              </w:rPr>
            </w:pPr>
            <w:r w:rsidRPr="00C50F11">
              <w:rPr>
                <w:rFonts w:ascii="Arial Narrow" w:hAnsi="Arial Narrow"/>
                <w:sz w:val="20"/>
                <w:szCs w:val="20"/>
              </w:rPr>
              <w:t>14</w:t>
            </w:r>
          </w:p>
        </w:tc>
        <w:tc>
          <w:tcPr>
            <w:tcW w:w="6818" w:type="dxa"/>
            <w:tcBorders>
              <w:top w:val="nil"/>
              <w:left w:val="nil"/>
              <w:bottom w:val="single" w:sz="4" w:space="0" w:color="auto"/>
              <w:right w:val="single" w:sz="4" w:space="0" w:color="auto"/>
            </w:tcBorders>
            <w:shd w:val="clear" w:color="auto" w:fill="auto"/>
            <w:noWrap/>
            <w:vAlign w:val="center"/>
          </w:tcPr>
          <w:p w14:paraId="5E046EA9" w14:textId="77777777" w:rsidR="000D1A29" w:rsidRPr="00C50F11" w:rsidRDefault="000D1A29" w:rsidP="00F44BFC">
            <w:pPr>
              <w:rPr>
                <w:rFonts w:ascii="Arial Narrow" w:hAnsi="Arial Narrow"/>
                <w:sz w:val="20"/>
                <w:szCs w:val="20"/>
              </w:rPr>
            </w:pPr>
            <w:r w:rsidRPr="00C50F11">
              <w:rPr>
                <w:rFonts w:ascii="Arial Narrow" w:hAnsi="Arial Narrow"/>
                <w:sz w:val="20"/>
                <w:szCs w:val="20"/>
              </w:rPr>
              <w:t>Морски език /Solea nasuta/</w:t>
            </w:r>
          </w:p>
        </w:tc>
        <w:tc>
          <w:tcPr>
            <w:tcW w:w="2301" w:type="dxa"/>
            <w:tcBorders>
              <w:top w:val="nil"/>
              <w:left w:val="nil"/>
              <w:bottom w:val="single" w:sz="4" w:space="0" w:color="auto"/>
              <w:right w:val="single" w:sz="4" w:space="0" w:color="auto"/>
            </w:tcBorders>
            <w:shd w:val="clear" w:color="auto" w:fill="auto"/>
            <w:noWrap/>
            <w:vAlign w:val="center"/>
          </w:tcPr>
          <w:p w14:paraId="6B1644E0" w14:textId="77777777" w:rsidR="000D1A29" w:rsidRPr="00C50F11" w:rsidRDefault="000D1A29" w:rsidP="00F44BFC">
            <w:pPr>
              <w:jc w:val="right"/>
              <w:rPr>
                <w:rFonts w:ascii="Arial Narrow" w:hAnsi="Arial Narrow"/>
                <w:sz w:val="20"/>
                <w:szCs w:val="20"/>
              </w:rPr>
            </w:pPr>
            <w:r w:rsidRPr="00C50F11">
              <w:rPr>
                <w:rFonts w:ascii="Arial Narrow" w:hAnsi="Arial Narrow"/>
                <w:sz w:val="20"/>
                <w:szCs w:val="20"/>
              </w:rPr>
              <w:t>0,014</w:t>
            </w:r>
          </w:p>
        </w:tc>
      </w:tr>
      <w:tr w:rsidR="000D1A29" w:rsidRPr="00C50F11" w14:paraId="702A4CBE" w14:textId="77777777" w:rsidTr="001F3463">
        <w:trPr>
          <w:trHeight w:val="284"/>
        </w:trPr>
        <w:tc>
          <w:tcPr>
            <w:tcW w:w="662" w:type="dxa"/>
            <w:shd w:val="clear" w:color="auto" w:fill="auto"/>
            <w:noWrap/>
            <w:vAlign w:val="center"/>
          </w:tcPr>
          <w:p w14:paraId="217D3BF8" w14:textId="77777777" w:rsidR="000D1A29" w:rsidRPr="00C50F11" w:rsidRDefault="000D1A29" w:rsidP="00F44BFC">
            <w:pPr>
              <w:jc w:val="center"/>
              <w:rPr>
                <w:rFonts w:ascii="Arial Narrow" w:hAnsi="Arial Narrow"/>
                <w:sz w:val="20"/>
                <w:szCs w:val="20"/>
              </w:rPr>
            </w:pPr>
            <w:r w:rsidRPr="00C50F11">
              <w:rPr>
                <w:rFonts w:ascii="Arial Narrow" w:hAnsi="Arial Narrow"/>
                <w:sz w:val="20"/>
                <w:szCs w:val="20"/>
              </w:rPr>
              <w:t>15</w:t>
            </w:r>
          </w:p>
        </w:tc>
        <w:tc>
          <w:tcPr>
            <w:tcW w:w="6818" w:type="dxa"/>
            <w:tcBorders>
              <w:top w:val="nil"/>
              <w:left w:val="nil"/>
              <w:bottom w:val="single" w:sz="4" w:space="0" w:color="auto"/>
              <w:right w:val="single" w:sz="4" w:space="0" w:color="auto"/>
            </w:tcBorders>
            <w:shd w:val="clear" w:color="auto" w:fill="auto"/>
            <w:noWrap/>
            <w:vAlign w:val="center"/>
          </w:tcPr>
          <w:p w14:paraId="5C7256AF" w14:textId="77777777" w:rsidR="000D1A29" w:rsidRPr="00C50F11" w:rsidRDefault="000D1A29" w:rsidP="00F44BFC">
            <w:pPr>
              <w:rPr>
                <w:rFonts w:ascii="Arial Narrow" w:hAnsi="Arial Narrow"/>
                <w:sz w:val="20"/>
                <w:szCs w:val="20"/>
              </w:rPr>
            </w:pPr>
            <w:r w:rsidRPr="00C50F11">
              <w:rPr>
                <w:rFonts w:ascii="Arial Narrow" w:hAnsi="Arial Narrow"/>
                <w:sz w:val="20"/>
                <w:szCs w:val="20"/>
              </w:rPr>
              <w:t>Морски кефал /Mugil cephalus/</w:t>
            </w:r>
          </w:p>
        </w:tc>
        <w:tc>
          <w:tcPr>
            <w:tcW w:w="2301" w:type="dxa"/>
            <w:tcBorders>
              <w:top w:val="nil"/>
              <w:left w:val="nil"/>
              <w:bottom w:val="single" w:sz="4" w:space="0" w:color="auto"/>
              <w:right w:val="single" w:sz="4" w:space="0" w:color="auto"/>
            </w:tcBorders>
            <w:shd w:val="clear" w:color="auto" w:fill="auto"/>
            <w:noWrap/>
            <w:vAlign w:val="center"/>
          </w:tcPr>
          <w:p w14:paraId="29745D41" w14:textId="77777777" w:rsidR="000D1A29" w:rsidRPr="00C50F11" w:rsidRDefault="000D1A29" w:rsidP="00F44BFC">
            <w:pPr>
              <w:jc w:val="right"/>
              <w:rPr>
                <w:rFonts w:ascii="Arial Narrow" w:hAnsi="Arial Narrow"/>
                <w:sz w:val="20"/>
                <w:szCs w:val="20"/>
              </w:rPr>
            </w:pPr>
            <w:r w:rsidRPr="00C50F11">
              <w:rPr>
                <w:rFonts w:ascii="Arial Narrow" w:hAnsi="Arial Narrow"/>
                <w:sz w:val="20"/>
                <w:szCs w:val="20"/>
              </w:rPr>
              <w:t>2,672</w:t>
            </w:r>
          </w:p>
        </w:tc>
      </w:tr>
      <w:tr w:rsidR="000D1A29" w:rsidRPr="00C50F11" w14:paraId="0744E140" w14:textId="77777777" w:rsidTr="001F3463">
        <w:trPr>
          <w:trHeight w:val="284"/>
        </w:trPr>
        <w:tc>
          <w:tcPr>
            <w:tcW w:w="662" w:type="dxa"/>
            <w:shd w:val="clear" w:color="auto" w:fill="auto"/>
            <w:noWrap/>
            <w:vAlign w:val="center"/>
          </w:tcPr>
          <w:p w14:paraId="21CF15D4" w14:textId="77777777" w:rsidR="000D1A29" w:rsidRPr="00C50F11" w:rsidRDefault="000D1A29" w:rsidP="00F44BFC">
            <w:pPr>
              <w:jc w:val="center"/>
              <w:rPr>
                <w:rFonts w:ascii="Arial Narrow" w:hAnsi="Arial Narrow"/>
                <w:sz w:val="20"/>
                <w:szCs w:val="20"/>
              </w:rPr>
            </w:pPr>
            <w:r w:rsidRPr="00C50F11">
              <w:rPr>
                <w:rFonts w:ascii="Arial Narrow" w:hAnsi="Arial Narrow"/>
                <w:sz w:val="20"/>
                <w:szCs w:val="20"/>
              </w:rPr>
              <w:t>16</w:t>
            </w:r>
          </w:p>
        </w:tc>
        <w:tc>
          <w:tcPr>
            <w:tcW w:w="6818" w:type="dxa"/>
            <w:tcBorders>
              <w:top w:val="nil"/>
              <w:left w:val="nil"/>
              <w:bottom w:val="single" w:sz="4" w:space="0" w:color="auto"/>
              <w:right w:val="single" w:sz="4" w:space="0" w:color="auto"/>
            </w:tcBorders>
            <w:shd w:val="clear" w:color="auto" w:fill="auto"/>
            <w:noWrap/>
            <w:vAlign w:val="center"/>
          </w:tcPr>
          <w:p w14:paraId="208522C9" w14:textId="77777777" w:rsidR="000D1A29" w:rsidRPr="00C50F11" w:rsidRDefault="000D1A29" w:rsidP="00F44BFC">
            <w:pPr>
              <w:rPr>
                <w:rFonts w:ascii="Arial Narrow" w:hAnsi="Arial Narrow"/>
                <w:sz w:val="20"/>
                <w:szCs w:val="20"/>
              </w:rPr>
            </w:pPr>
            <w:r w:rsidRPr="00C50F11">
              <w:rPr>
                <w:rFonts w:ascii="Arial Narrow" w:hAnsi="Arial Narrow"/>
                <w:sz w:val="20"/>
                <w:szCs w:val="20"/>
              </w:rPr>
              <w:t>Обикновени скариди /Leander spp./</w:t>
            </w:r>
          </w:p>
        </w:tc>
        <w:tc>
          <w:tcPr>
            <w:tcW w:w="2301" w:type="dxa"/>
            <w:tcBorders>
              <w:top w:val="nil"/>
              <w:left w:val="nil"/>
              <w:bottom w:val="single" w:sz="4" w:space="0" w:color="auto"/>
              <w:right w:val="single" w:sz="4" w:space="0" w:color="auto"/>
            </w:tcBorders>
            <w:shd w:val="clear" w:color="auto" w:fill="auto"/>
            <w:noWrap/>
            <w:vAlign w:val="center"/>
          </w:tcPr>
          <w:p w14:paraId="2E943869" w14:textId="77777777" w:rsidR="000D1A29" w:rsidRPr="00C50F11" w:rsidRDefault="000D1A29" w:rsidP="00F44BFC">
            <w:pPr>
              <w:jc w:val="right"/>
              <w:rPr>
                <w:rFonts w:ascii="Arial Narrow" w:hAnsi="Arial Narrow"/>
                <w:sz w:val="20"/>
                <w:szCs w:val="20"/>
              </w:rPr>
            </w:pPr>
            <w:r w:rsidRPr="00C50F11">
              <w:rPr>
                <w:rFonts w:ascii="Arial Narrow" w:hAnsi="Arial Narrow"/>
                <w:sz w:val="20"/>
                <w:szCs w:val="20"/>
              </w:rPr>
              <w:t>0,00</w:t>
            </w:r>
          </w:p>
        </w:tc>
      </w:tr>
      <w:tr w:rsidR="000D1A29" w:rsidRPr="00C50F11" w14:paraId="420ED893" w14:textId="77777777" w:rsidTr="001F3463">
        <w:trPr>
          <w:trHeight w:val="284"/>
        </w:trPr>
        <w:tc>
          <w:tcPr>
            <w:tcW w:w="662" w:type="dxa"/>
            <w:shd w:val="clear" w:color="auto" w:fill="auto"/>
            <w:noWrap/>
            <w:vAlign w:val="center"/>
          </w:tcPr>
          <w:p w14:paraId="78820433" w14:textId="77777777" w:rsidR="000D1A29" w:rsidRPr="00C50F11" w:rsidRDefault="000D1A29" w:rsidP="00F44BFC">
            <w:pPr>
              <w:jc w:val="center"/>
              <w:rPr>
                <w:rFonts w:ascii="Arial Narrow" w:hAnsi="Arial Narrow"/>
                <w:sz w:val="20"/>
                <w:szCs w:val="20"/>
              </w:rPr>
            </w:pPr>
            <w:r w:rsidRPr="00C50F11">
              <w:rPr>
                <w:rFonts w:ascii="Arial Narrow" w:hAnsi="Arial Narrow"/>
                <w:sz w:val="20"/>
                <w:szCs w:val="20"/>
              </w:rPr>
              <w:t>17</w:t>
            </w:r>
          </w:p>
        </w:tc>
        <w:tc>
          <w:tcPr>
            <w:tcW w:w="6818" w:type="dxa"/>
            <w:tcBorders>
              <w:top w:val="nil"/>
              <w:left w:val="nil"/>
              <w:bottom w:val="single" w:sz="4" w:space="0" w:color="auto"/>
              <w:right w:val="single" w:sz="4" w:space="0" w:color="auto"/>
            </w:tcBorders>
            <w:shd w:val="clear" w:color="auto" w:fill="auto"/>
            <w:noWrap/>
            <w:vAlign w:val="center"/>
          </w:tcPr>
          <w:p w14:paraId="2EE82252" w14:textId="77777777" w:rsidR="000D1A29" w:rsidRPr="00C50F11" w:rsidRDefault="000D1A29" w:rsidP="00F44BFC">
            <w:pPr>
              <w:rPr>
                <w:rFonts w:ascii="Arial Narrow" w:hAnsi="Arial Narrow"/>
                <w:sz w:val="20"/>
                <w:szCs w:val="20"/>
              </w:rPr>
            </w:pPr>
            <w:r w:rsidRPr="00C50F11">
              <w:rPr>
                <w:rFonts w:ascii="Arial Narrow" w:hAnsi="Arial Narrow"/>
                <w:sz w:val="20"/>
                <w:szCs w:val="20"/>
              </w:rPr>
              <w:t>Морска врана</w:t>
            </w:r>
          </w:p>
        </w:tc>
        <w:tc>
          <w:tcPr>
            <w:tcW w:w="2301" w:type="dxa"/>
            <w:tcBorders>
              <w:top w:val="nil"/>
              <w:left w:val="nil"/>
              <w:bottom w:val="single" w:sz="4" w:space="0" w:color="auto"/>
              <w:right w:val="single" w:sz="4" w:space="0" w:color="auto"/>
            </w:tcBorders>
            <w:shd w:val="clear" w:color="auto" w:fill="auto"/>
            <w:noWrap/>
            <w:vAlign w:val="center"/>
          </w:tcPr>
          <w:p w14:paraId="1A797F21" w14:textId="77777777" w:rsidR="000D1A29" w:rsidRPr="00C50F11" w:rsidRDefault="000D1A29" w:rsidP="00F44BFC">
            <w:pPr>
              <w:jc w:val="right"/>
              <w:rPr>
                <w:rFonts w:ascii="Arial Narrow" w:hAnsi="Arial Narrow"/>
                <w:sz w:val="20"/>
                <w:szCs w:val="20"/>
              </w:rPr>
            </w:pPr>
            <w:r w:rsidRPr="00C50F11">
              <w:rPr>
                <w:rFonts w:ascii="Arial Narrow" w:hAnsi="Arial Narrow"/>
                <w:sz w:val="20"/>
                <w:szCs w:val="20"/>
              </w:rPr>
              <w:t>0,187</w:t>
            </w:r>
          </w:p>
        </w:tc>
      </w:tr>
      <w:tr w:rsidR="000D1A29" w:rsidRPr="00C50F11" w14:paraId="0482B930" w14:textId="77777777" w:rsidTr="001F3463">
        <w:trPr>
          <w:trHeight w:val="284"/>
        </w:trPr>
        <w:tc>
          <w:tcPr>
            <w:tcW w:w="662" w:type="dxa"/>
            <w:shd w:val="clear" w:color="auto" w:fill="auto"/>
            <w:noWrap/>
            <w:vAlign w:val="center"/>
          </w:tcPr>
          <w:p w14:paraId="4E975319" w14:textId="77777777" w:rsidR="000D1A29" w:rsidRPr="00C50F11" w:rsidRDefault="000D1A29" w:rsidP="00F44BFC">
            <w:pPr>
              <w:jc w:val="center"/>
              <w:rPr>
                <w:rFonts w:ascii="Arial Narrow" w:hAnsi="Arial Narrow"/>
                <w:sz w:val="20"/>
                <w:szCs w:val="20"/>
              </w:rPr>
            </w:pPr>
            <w:r w:rsidRPr="00C50F11">
              <w:rPr>
                <w:rFonts w:ascii="Arial Narrow" w:hAnsi="Arial Narrow"/>
                <w:sz w:val="20"/>
                <w:szCs w:val="20"/>
              </w:rPr>
              <w:t>18</w:t>
            </w:r>
          </w:p>
        </w:tc>
        <w:tc>
          <w:tcPr>
            <w:tcW w:w="6818" w:type="dxa"/>
            <w:tcBorders>
              <w:top w:val="nil"/>
              <w:left w:val="nil"/>
              <w:bottom w:val="single" w:sz="4" w:space="0" w:color="auto"/>
              <w:right w:val="single" w:sz="4" w:space="0" w:color="auto"/>
            </w:tcBorders>
            <w:shd w:val="clear" w:color="auto" w:fill="auto"/>
            <w:noWrap/>
            <w:vAlign w:val="center"/>
          </w:tcPr>
          <w:p w14:paraId="1E5BBBCD" w14:textId="77777777" w:rsidR="000D1A29" w:rsidRPr="00C50F11" w:rsidRDefault="000D1A29" w:rsidP="00F44BFC">
            <w:pPr>
              <w:rPr>
                <w:rFonts w:ascii="Arial Narrow" w:hAnsi="Arial Narrow"/>
                <w:sz w:val="20"/>
                <w:szCs w:val="20"/>
              </w:rPr>
            </w:pPr>
            <w:r w:rsidRPr="00C50F11">
              <w:rPr>
                <w:rFonts w:ascii="Arial Narrow" w:hAnsi="Arial Narrow"/>
                <w:sz w:val="20"/>
                <w:szCs w:val="20"/>
              </w:rPr>
              <w:t>Пагур /Eriphia verrucosa/</w:t>
            </w:r>
          </w:p>
        </w:tc>
        <w:tc>
          <w:tcPr>
            <w:tcW w:w="2301" w:type="dxa"/>
            <w:tcBorders>
              <w:top w:val="nil"/>
              <w:left w:val="nil"/>
              <w:bottom w:val="single" w:sz="4" w:space="0" w:color="auto"/>
              <w:right w:val="single" w:sz="4" w:space="0" w:color="auto"/>
            </w:tcBorders>
            <w:shd w:val="clear" w:color="auto" w:fill="auto"/>
            <w:noWrap/>
            <w:vAlign w:val="center"/>
          </w:tcPr>
          <w:p w14:paraId="40407985" w14:textId="77777777" w:rsidR="000D1A29" w:rsidRPr="00C50F11" w:rsidRDefault="000D1A29" w:rsidP="00F44BFC">
            <w:pPr>
              <w:jc w:val="right"/>
              <w:rPr>
                <w:rFonts w:ascii="Arial Narrow" w:hAnsi="Arial Narrow"/>
                <w:sz w:val="20"/>
                <w:szCs w:val="20"/>
              </w:rPr>
            </w:pPr>
            <w:r w:rsidRPr="00C50F11">
              <w:rPr>
                <w:rFonts w:ascii="Arial Narrow" w:hAnsi="Arial Narrow"/>
                <w:sz w:val="20"/>
                <w:szCs w:val="20"/>
              </w:rPr>
              <w:t>0,176</w:t>
            </w:r>
          </w:p>
        </w:tc>
      </w:tr>
      <w:tr w:rsidR="000D1A29" w:rsidRPr="00C50F11" w14:paraId="02DF3DE0" w14:textId="77777777" w:rsidTr="001F3463">
        <w:trPr>
          <w:trHeight w:val="284"/>
        </w:trPr>
        <w:tc>
          <w:tcPr>
            <w:tcW w:w="662" w:type="dxa"/>
            <w:shd w:val="clear" w:color="auto" w:fill="auto"/>
            <w:noWrap/>
            <w:vAlign w:val="center"/>
          </w:tcPr>
          <w:p w14:paraId="2607200F" w14:textId="77777777" w:rsidR="000D1A29" w:rsidRPr="00C50F11" w:rsidRDefault="000D1A29" w:rsidP="00F44BFC">
            <w:pPr>
              <w:jc w:val="center"/>
              <w:rPr>
                <w:rFonts w:ascii="Arial Narrow" w:hAnsi="Arial Narrow"/>
                <w:sz w:val="20"/>
                <w:szCs w:val="20"/>
              </w:rPr>
            </w:pPr>
            <w:r w:rsidRPr="00C50F11">
              <w:rPr>
                <w:rFonts w:ascii="Arial Narrow" w:hAnsi="Arial Narrow"/>
                <w:sz w:val="20"/>
                <w:szCs w:val="20"/>
              </w:rPr>
              <w:t>19</w:t>
            </w:r>
          </w:p>
        </w:tc>
        <w:tc>
          <w:tcPr>
            <w:tcW w:w="6818" w:type="dxa"/>
            <w:tcBorders>
              <w:top w:val="nil"/>
              <w:left w:val="nil"/>
              <w:bottom w:val="single" w:sz="4" w:space="0" w:color="auto"/>
              <w:right w:val="single" w:sz="4" w:space="0" w:color="auto"/>
            </w:tcBorders>
            <w:shd w:val="clear" w:color="auto" w:fill="auto"/>
            <w:noWrap/>
            <w:vAlign w:val="center"/>
          </w:tcPr>
          <w:p w14:paraId="7A65AD12" w14:textId="77777777" w:rsidR="000D1A29" w:rsidRPr="00C50F11" w:rsidRDefault="000D1A29" w:rsidP="00F44BFC">
            <w:pPr>
              <w:rPr>
                <w:rFonts w:ascii="Arial Narrow" w:hAnsi="Arial Narrow"/>
                <w:sz w:val="20"/>
                <w:szCs w:val="20"/>
              </w:rPr>
            </w:pPr>
            <w:r w:rsidRPr="00C50F11">
              <w:rPr>
                <w:rFonts w:ascii="Arial Narrow" w:hAnsi="Arial Narrow"/>
                <w:sz w:val="20"/>
                <w:szCs w:val="20"/>
              </w:rPr>
              <w:t>Паламуд /Sarda sarda/</w:t>
            </w:r>
          </w:p>
        </w:tc>
        <w:tc>
          <w:tcPr>
            <w:tcW w:w="2301" w:type="dxa"/>
            <w:tcBorders>
              <w:top w:val="nil"/>
              <w:left w:val="nil"/>
              <w:bottom w:val="single" w:sz="4" w:space="0" w:color="auto"/>
              <w:right w:val="single" w:sz="4" w:space="0" w:color="auto"/>
            </w:tcBorders>
            <w:shd w:val="clear" w:color="auto" w:fill="auto"/>
            <w:noWrap/>
            <w:vAlign w:val="center"/>
          </w:tcPr>
          <w:p w14:paraId="29AD92A3" w14:textId="77777777" w:rsidR="000D1A29" w:rsidRPr="00C50F11" w:rsidRDefault="000D1A29" w:rsidP="00F44BFC">
            <w:pPr>
              <w:jc w:val="right"/>
              <w:rPr>
                <w:rFonts w:ascii="Arial Narrow" w:hAnsi="Arial Narrow"/>
                <w:sz w:val="20"/>
                <w:szCs w:val="20"/>
              </w:rPr>
            </w:pPr>
            <w:r w:rsidRPr="00C50F11">
              <w:rPr>
                <w:rFonts w:ascii="Arial Narrow" w:hAnsi="Arial Narrow"/>
                <w:sz w:val="20"/>
                <w:szCs w:val="20"/>
              </w:rPr>
              <w:t>43,934</w:t>
            </w:r>
          </w:p>
        </w:tc>
      </w:tr>
      <w:tr w:rsidR="000D1A29" w:rsidRPr="00C50F11" w14:paraId="2D9D370A" w14:textId="77777777" w:rsidTr="001F3463">
        <w:trPr>
          <w:trHeight w:val="284"/>
        </w:trPr>
        <w:tc>
          <w:tcPr>
            <w:tcW w:w="662" w:type="dxa"/>
            <w:shd w:val="clear" w:color="auto" w:fill="auto"/>
            <w:noWrap/>
            <w:vAlign w:val="center"/>
          </w:tcPr>
          <w:p w14:paraId="495578DD" w14:textId="77777777" w:rsidR="000D1A29" w:rsidRPr="00C50F11" w:rsidRDefault="000D1A29" w:rsidP="00F44BFC">
            <w:pPr>
              <w:jc w:val="center"/>
              <w:rPr>
                <w:rFonts w:ascii="Arial Narrow" w:hAnsi="Arial Narrow"/>
                <w:sz w:val="20"/>
                <w:szCs w:val="20"/>
              </w:rPr>
            </w:pPr>
            <w:r w:rsidRPr="00C50F11">
              <w:rPr>
                <w:rFonts w:ascii="Arial Narrow" w:hAnsi="Arial Narrow"/>
                <w:sz w:val="20"/>
                <w:szCs w:val="20"/>
              </w:rPr>
              <w:t>20</w:t>
            </w:r>
          </w:p>
        </w:tc>
        <w:tc>
          <w:tcPr>
            <w:tcW w:w="6818" w:type="dxa"/>
            <w:tcBorders>
              <w:top w:val="nil"/>
              <w:left w:val="nil"/>
              <w:bottom w:val="single" w:sz="4" w:space="0" w:color="auto"/>
              <w:right w:val="single" w:sz="4" w:space="0" w:color="auto"/>
            </w:tcBorders>
            <w:shd w:val="clear" w:color="auto" w:fill="auto"/>
            <w:noWrap/>
            <w:vAlign w:val="center"/>
          </w:tcPr>
          <w:p w14:paraId="6F0AA2DB" w14:textId="77777777" w:rsidR="000D1A29" w:rsidRPr="00C50F11" w:rsidRDefault="000D1A29" w:rsidP="00F44BFC">
            <w:pPr>
              <w:rPr>
                <w:rFonts w:ascii="Arial Narrow" w:hAnsi="Arial Narrow"/>
                <w:sz w:val="20"/>
                <w:szCs w:val="20"/>
              </w:rPr>
            </w:pPr>
            <w:r w:rsidRPr="00C50F11">
              <w:rPr>
                <w:rFonts w:ascii="Arial Narrow" w:hAnsi="Arial Narrow"/>
                <w:sz w:val="20"/>
                <w:szCs w:val="20"/>
              </w:rPr>
              <w:t>Писия /Platichthys flesus luscus/</w:t>
            </w:r>
          </w:p>
        </w:tc>
        <w:tc>
          <w:tcPr>
            <w:tcW w:w="2301" w:type="dxa"/>
            <w:tcBorders>
              <w:top w:val="nil"/>
              <w:left w:val="nil"/>
              <w:bottom w:val="nil"/>
              <w:right w:val="single" w:sz="4" w:space="0" w:color="auto"/>
            </w:tcBorders>
            <w:shd w:val="clear" w:color="auto" w:fill="auto"/>
            <w:noWrap/>
            <w:vAlign w:val="center"/>
          </w:tcPr>
          <w:p w14:paraId="0616A3F9" w14:textId="77777777" w:rsidR="000D1A29" w:rsidRPr="00C50F11" w:rsidRDefault="000D1A29" w:rsidP="00F44BFC">
            <w:pPr>
              <w:jc w:val="right"/>
              <w:rPr>
                <w:rFonts w:ascii="Arial Narrow" w:hAnsi="Arial Narrow"/>
                <w:sz w:val="20"/>
                <w:szCs w:val="20"/>
              </w:rPr>
            </w:pPr>
            <w:r w:rsidRPr="00C50F11">
              <w:rPr>
                <w:rFonts w:ascii="Arial Narrow" w:hAnsi="Arial Narrow"/>
                <w:sz w:val="20"/>
                <w:szCs w:val="20"/>
              </w:rPr>
              <w:t>0,079</w:t>
            </w:r>
          </w:p>
        </w:tc>
      </w:tr>
      <w:tr w:rsidR="000D1A29" w:rsidRPr="00C50F11" w14:paraId="051BECB7" w14:textId="77777777" w:rsidTr="001F3463">
        <w:trPr>
          <w:trHeight w:val="284"/>
        </w:trPr>
        <w:tc>
          <w:tcPr>
            <w:tcW w:w="662" w:type="dxa"/>
            <w:shd w:val="clear" w:color="auto" w:fill="auto"/>
            <w:noWrap/>
            <w:vAlign w:val="center"/>
          </w:tcPr>
          <w:p w14:paraId="03553B3A" w14:textId="77777777" w:rsidR="000D1A29" w:rsidRPr="00C50F11" w:rsidRDefault="000D1A29" w:rsidP="00F44BFC">
            <w:pPr>
              <w:jc w:val="center"/>
              <w:rPr>
                <w:rFonts w:ascii="Arial Narrow" w:hAnsi="Arial Narrow"/>
                <w:sz w:val="20"/>
                <w:szCs w:val="20"/>
              </w:rPr>
            </w:pPr>
            <w:r w:rsidRPr="00C50F11">
              <w:rPr>
                <w:rFonts w:ascii="Arial Narrow" w:hAnsi="Arial Narrow"/>
                <w:sz w:val="20"/>
                <w:szCs w:val="20"/>
              </w:rPr>
              <w:t>21</w:t>
            </w:r>
          </w:p>
        </w:tc>
        <w:tc>
          <w:tcPr>
            <w:tcW w:w="6818" w:type="dxa"/>
            <w:tcBorders>
              <w:top w:val="nil"/>
              <w:left w:val="nil"/>
              <w:bottom w:val="single" w:sz="4" w:space="0" w:color="auto"/>
              <w:right w:val="single" w:sz="4" w:space="0" w:color="auto"/>
            </w:tcBorders>
            <w:shd w:val="clear" w:color="auto" w:fill="auto"/>
            <w:noWrap/>
            <w:vAlign w:val="center"/>
          </w:tcPr>
          <w:p w14:paraId="77CDC335" w14:textId="77777777" w:rsidR="000D1A29" w:rsidRPr="00C50F11" w:rsidRDefault="000D1A29" w:rsidP="00F44BFC">
            <w:pPr>
              <w:rPr>
                <w:rFonts w:ascii="Arial Narrow" w:hAnsi="Arial Narrow"/>
                <w:sz w:val="20"/>
                <w:szCs w:val="20"/>
              </w:rPr>
            </w:pPr>
            <w:r w:rsidRPr="00C50F11">
              <w:rPr>
                <w:rFonts w:ascii="Arial Narrow" w:hAnsi="Arial Narrow"/>
                <w:sz w:val="20"/>
                <w:szCs w:val="20"/>
              </w:rPr>
              <w:t>Платерина /Liza aurata/</w:t>
            </w:r>
          </w:p>
        </w:tc>
        <w:tc>
          <w:tcPr>
            <w:tcW w:w="2301" w:type="dxa"/>
            <w:tcBorders>
              <w:top w:val="single" w:sz="4" w:space="0" w:color="auto"/>
              <w:left w:val="nil"/>
              <w:bottom w:val="single" w:sz="4" w:space="0" w:color="auto"/>
              <w:right w:val="single" w:sz="4" w:space="0" w:color="auto"/>
            </w:tcBorders>
            <w:shd w:val="clear" w:color="auto" w:fill="auto"/>
            <w:noWrap/>
            <w:vAlign w:val="center"/>
          </w:tcPr>
          <w:p w14:paraId="2BC6CFBA" w14:textId="77777777" w:rsidR="000D1A29" w:rsidRPr="00C50F11" w:rsidRDefault="000D1A29" w:rsidP="00F44BFC">
            <w:pPr>
              <w:jc w:val="right"/>
              <w:rPr>
                <w:rFonts w:ascii="Arial Narrow" w:hAnsi="Arial Narrow"/>
                <w:sz w:val="20"/>
                <w:szCs w:val="20"/>
              </w:rPr>
            </w:pPr>
            <w:r w:rsidRPr="00C50F11">
              <w:rPr>
                <w:rFonts w:ascii="Arial Narrow" w:hAnsi="Arial Narrow"/>
                <w:sz w:val="20"/>
                <w:szCs w:val="20"/>
              </w:rPr>
              <w:t>0,275</w:t>
            </w:r>
          </w:p>
        </w:tc>
      </w:tr>
      <w:tr w:rsidR="000D1A29" w:rsidRPr="00C50F11" w14:paraId="3C61ECE6" w14:textId="77777777" w:rsidTr="001F3463">
        <w:trPr>
          <w:trHeight w:val="284"/>
        </w:trPr>
        <w:tc>
          <w:tcPr>
            <w:tcW w:w="662" w:type="dxa"/>
            <w:shd w:val="clear" w:color="auto" w:fill="auto"/>
            <w:noWrap/>
            <w:vAlign w:val="center"/>
          </w:tcPr>
          <w:p w14:paraId="1B54C94D" w14:textId="77777777" w:rsidR="000D1A29" w:rsidRPr="00C50F11" w:rsidRDefault="000D1A29" w:rsidP="00F44BFC">
            <w:pPr>
              <w:jc w:val="center"/>
              <w:rPr>
                <w:rFonts w:ascii="Arial Narrow" w:hAnsi="Arial Narrow"/>
                <w:sz w:val="20"/>
                <w:szCs w:val="20"/>
              </w:rPr>
            </w:pPr>
            <w:r w:rsidRPr="00C50F11">
              <w:rPr>
                <w:rFonts w:ascii="Arial Narrow" w:hAnsi="Arial Narrow"/>
                <w:sz w:val="20"/>
                <w:szCs w:val="20"/>
              </w:rPr>
              <w:t>22</w:t>
            </w:r>
          </w:p>
        </w:tc>
        <w:tc>
          <w:tcPr>
            <w:tcW w:w="6818" w:type="dxa"/>
            <w:tcBorders>
              <w:top w:val="nil"/>
              <w:left w:val="nil"/>
              <w:bottom w:val="single" w:sz="4" w:space="0" w:color="auto"/>
              <w:right w:val="single" w:sz="4" w:space="0" w:color="auto"/>
            </w:tcBorders>
            <w:shd w:val="clear" w:color="auto" w:fill="auto"/>
            <w:noWrap/>
            <w:vAlign w:val="center"/>
          </w:tcPr>
          <w:p w14:paraId="1EBB57E1" w14:textId="77777777" w:rsidR="000D1A29" w:rsidRPr="00C50F11" w:rsidRDefault="000D1A29" w:rsidP="00F44BFC">
            <w:pPr>
              <w:rPr>
                <w:rFonts w:ascii="Arial Narrow" w:hAnsi="Arial Narrow"/>
                <w:sz w:val="20"/>
                <w:szCs w:val="20"/>
              </w:rPr>
            </w:pPr>
            <w:r w:rsidRPr="00C50F11">
              <w:rPr>
                <w:rFonts w:ascii="Arial Narrow" w:hAnsi="Arial Narrow"/>
                <w:sz w:val="20"/>
                <w:szCs w:val="20"/>
              </w:rPr>
              <w:t>Сем. Попчета /Gobiidae/</w:t>
            </w:r>
          </w:p>
        </w:tc>
        <w:tc>
          <w:tcPr>
            <w:tcW w:w="2301" w:type="dxa"/>
            <w:tcBorders>
              <w:top w:val="nil"/>
              <w:left w:val="nil"/>
              <w:bottom w:val="single" w:sz="4" w:space="0" w:color="auto"/>
              <w:right w:val="single" w:sz="4" w:space="0" w:color="auto"/>
            </w:tcBorders>
            <w:shd w:val="clear" w:color="auto" w:fill="auto"/>
            <w:noWrap/>
            <w:vAlign w:val="center"/>
          </w:tcPr>
          <w:p w14:paraId="14272277" w14:textId="77777777" w:rsidR="000D1A29" w:rsidRPr="00C50F11" w:rsidRDefault="000D1A29" w:rsidP="00F44BFC">
            <w:pPr>
              <w:jc w:val="right"/>
              <w:rPr>
                <w:rFonts w:ascii="Arial Narrow" w:hAnsi="Arial Narrow"/>
                <w:sz w:val="20"/>
                <w:szCs w:val="20"/>
              </w:rPr>
            </w:pPr>
            <w:r w:rsidRPr="00C50F11">
              <w:rPr>
                <w:rFonts w:ascii="Arial Narrow" w:hAnsi="Arial Narrow"/>
                <w:sz w:val="20"/>
                <w:szCs w:val="20"/>
              </w:rPr>
              <w:t>15,950</w:t>
            </w:r>
          </w:p>
        </w:tc>
      </w:tr>
      <w:tr w:rsidR="000D1A29" w:rsidRPr="00C50F11" w14:paraId="7D07A1A6" w14:textId="77777777" w:rsidTr="001F3463">
        <w:trPr>
          <w:trHeight w:val="284"/>
        </w:trPr>
        <w:tc>
          <w:tcPr>
            <w:tcW w:w="662" w:type="dxa"/>
            <w:shd w:val="clear" w:color="auto" w:fill="auto"/>
            <w:noWrap/>
            <w:vAlign w:val="center"/>
          </w:tcPr>
          <w:p w14:paraId="13C9F9D7" w14:textId="77777777" w:rsidR="000D1A29" w:rsidRPr="00C50F11" w:rsidRDefault="000D1A29" w:rsidP="00F44BFC">
            <w:pPr>
              <w:jc w:val="center"/>
              <w:rPr>
                <w:rFonts w:ascii="Arial Narrow" w:hAnsi="Arial Narrow"/>
                <w:sz w:val="20"/>
                <w:szCs w:val="20"/>
              </w:rPr>
            </w:pPr>
            <w:r w:rsidRPr="00C50F11">
              <w:rPr>
                <w:rFonts w:ascii="Arial Narrow" w:hAnsi="Arial Narrow"/>
                <w:sz w:val="20"/>
                <w:szCs w:val="20"/>
              </w:rPr>
              <w:t>23</w:t>
            </w:r>
          </w:p>
        </w:tc>
        <w:tc>
          <w:tcPr>
            <w:tcW w:w="6818" w:type="dxa"/>
            <w:tcBorders>
              <w:top w:val="nil"/>
              <w:left w:val="nil"/>
              <w:bottom w:val="single" w:sz="4" w:space="0" w:color="auto"/>
              <w:right w:val="single" w:sz="4" w:space="0" w:color="auto"/>
            </w:tcBorders>
            <w:shd w:val="clear" w:color="auto" w:fill="auto"/>
            <w:noWrap/>
            <w:vAlign w:val="center"/>
          </w:tcPr>
          <w:p w14:paraId="46826F1E" w14:textId="77777777" w:rsidR="000D1A29" w:rsidRPr="00C50F11" w:rsidRDefault="000D1A29" w:rsidP="00F44BFC">
            <w:pPr>
              <w:rPr>
                <w:rFonts w:ascii="Arial Narrow" w:hAnsi="Arial Narrow"/>
                <w:sz w:val="20"/>
                <w:szCs w:val="20"/>
              </w:rPr>
            </w:pPr>
            <w:r w:rsidRPr="00C50F11">
              <w:rPr>
                <w:rFonts w:ascii="Arial Narrow" w:hAnsi="Arial Narrow"/>
                <w:sz w:val="20"/>
                <w:szCs w:val="20"/>
              </w:rPr>
              <w:t>Пясъчна скарида /Crangon sp./</w:t>
            </w:r>
          </w:p>
        </w:tc>
        <w:tc>
          <w:tcPr>
            <w:tcW w:w="2301" w:type="dxa"/>
            <w:tcBorders>
              <w:top w:val="nil"/>
              <w:left w:val="nil"/>
              <w:bottom w:val="single" w:sz="4" w:space="0" w:color="auto"/>
              <w:right w:val="single" w:sz="4" w:space="0" w:color="auto"/>
            </w:tcBorders>
            <w:shd w:val="clear" w:color="auto" w:fill="auto"/>
            <w:noWrap/>
            <w:vAlign w:val="center"/>
          </w:tcPr>
          <w:p w14:paraId="14EDACB7" w14:textId="77777777" w:rsidR="000D1A29" w:rsidRPr="00C50F11" w:rsidRDefault="000D1A29" w:rsidP="00F44BFC">
            <w:pPr>
              <w:jc w:val="right"/>
              <w:rPr>
                <w:rFonts w:ascii="Arial Narrow" w:hAnsi="Arial Narrow"/>
                <w:sz w:val="20"/>
                <w:szCs w:val="20"/>
              </w:rPr>
            </w:pPr>
            <w:r w:rsidRPr="00C50F11">
              <w:rPr>
                <w:rFonts w:ascii="Arial Narrow" w:hAnsi="Arial Narrow"/>
                <w:sz w:val="20"/>
                <w:szCs w:val="20"/>
              </w:rPr>
              <w:t>1,401</w:t>
            </w:r>
          </w:p>
        </w:tc>
      </w:tr>
      <w:tr w:rsidR="000D1A29" w:rsidRPr="00C50F11" w14:paraId="08B6F88C" w14:textId="77777777" w:rsidTr="001F3463">
        <w:trPr>
          <w:trHeight w:val="284"/>
        </w:trPr>
        <w:tc>
          <w:tcPr>
            <w:tcW w:w="662" w:type="dxa"/>
            <w:shd w:val="clear" w:color="auto" w:fill="auto"/>
            <w:noWrap/>
            <w:vAlign w:val="center"/>
          </w:tcPr>
          <w:p w14:paraId="28D14DD9" w14:textId="77777777" w:rsidR="000D1A29" w:rsidRPr="00C50F11" w:rsidRDefault="000D1A29" w:rsidP="00F44BFC">
            <w:pPr>
              <w:jc w:val="center"/>
              <w:rPr>
                <w:rFonts w:ascii="Arial Narrow" w:hAnsi="Arial Narrow"/>
                <w:sz w:val="20"/>
                <w:szCs w:val="20"/>
              </w:rPr>
            </w:pPr>
            <w:r w:rsidRPr="00C50F11">
              <w:rPr>
                <w:rFonts w:ascii="Arial Narrow" w:hAnsi="Arial Narrow"/>
                <w:sz w:val="20"/>
                <w:szCs w:val="20"/>
              </w:rPr>
              <w:t>24</w:t>
            </w:r>
          </w:p>
        </w:tc>
        <w:tc>
          <w:tcPr>
            <w:tcW w:w="6818" w:type="dxa"/>
            <w:tcBorders>
              <w:top w:val="nil"/>
              <w:left w:val="nil"/>
              <w:bottom w:val="single" w:sz="4" w:space="0" w:color="auto"/>
              <w:right w:val="single" w:sz="4" w:space="0" w:color="auto"/>
            </w:tcBorders>
            <w:shd w:val="clear" w:color="auto" w:fill="auto"/>
            <w:noWrap/>
            <w:vAlign w:val="center"/>
          </w:tcPr>
          <w:p w14:paraId="00A45115" w14:textId="77777777" w:rsidR="000D1A29" w:rsidRPr="00C50F11" w:rsidRDefault="000D1A29" w:rsidP="00F44BFC">
            <w:pPr>
              <w:rPr>
                <w:rFonts w:ascii="Arial Narrow" w:hAnsi="Arial Narrow"/>
                <w:sz w:val="20"/>
                <w:szCs w:val="20"/>
              </w:rPr>
            </w:pPr>
            <w:r w:rsidRPr="00C50F11">
              <w:rPr>
                <w:rFonts w:ascii="Arial Narrow" w:hAnsi="Arial Narrow"/>
                <w:sz w:val="20"/>
                <w:szCs w:val="20"/>
              </w:rPr>
              <w:t>Рапани /Rapana spp./</w:t>
            </w:r>
          </w:p>
        </w:tc>
        <w:tc>
          <w:tcPr>
            <w:tcW w:w="2301" w:type="dxa"/>
            <w:tcBorders>
              <w:top w:val="nil"/>
              <w:left w:val="nil"/>
              <w:bottom w:val="single" w:sz="4" w:space="0" w:color="auto"/>
              <w:right w:val="single" w:sz="4" w:space="0" w:color="auto"/>
            </w:tcBorders>
            <w:shd w:val="clear" w:color="auto" w:fill="auto"/>
            <w:noWrap/>
            <w:vAlign w:val="center"/>
          </w:tcPr>
          <w:p w14:paraId="3AC73E8A" w14:textId="77777777" w:rsidR="000D1A29" w:rsidRPr="00C50F11" w:rsidRDefault="000D1A29" w:rsidP="00F44BFC">
            <w:pPr>
              <w:jc w:val="right"/>
              <w:rPr>
                <w:rFonts w:ascii="Arial Narrow" w:hAnsi="Arial Narrow"/>
                <w:sz w:val="20"/>
                <w:szCs w:val="20"/>
              </w:rPr>
            </w:pPr>
            <w:r w:rsidRPr="00C50F11">
              <w:rPr>
                <w:rFonts w:ascii="Arial Narrow" w:hAnsi="Arial Narrow"/>
                <w:sz w:val="20"/>
                <w:szCs w:val="20"/>
              </w:rPr>
              <w:t>2 296,959</w:t>
            </w:r>
          </w:p>
        </w:tc>
      </w:tr>
      <w:tr w:rsidR="000D1A29" w:rsidRPr="00C50F11" w14:paraId="08F1398D" w14:textId="77777777" w:rsidTr="001F3463">
        <w:trPr>
          <w:trHeight w:val="284"/>
        </w:trPr>
        <w:tc>
          <w:tcPr>
            <w:tcW w:w="662" w:type="dxa"/>
            <w:shd w:val="clear" w:color="auto" w:fill="auto"/>
            <w:noWrap/>
            <w:vAlign w:val="center"/>
          </w:tcPr>
          <w:p w14:paraId="6E69CB94" w14:textId="77777777" w:rsidR="000D1A29" w:rsidRPr="00C50F11" w:rsidRDefault="000D1A29" w:rsidP="00F44BFC">
            <w:pPr>
              <w:jc w:val="center"/>
              <w:rPr>
                <w:rFonts w:ascii="Arial Narrow" w:hAnsi="Arial Narrow"/>
                <w:sz w:val="20"/>
                <w:szCs w:val="20"/>
              </w:rPr>
            </w:pPr>
            <w:r w:rsidRPr="00C50F11">
              <w:rPr>
                <w:rFonts w:ascii="Arial Narrow" w:hAnsi="Arial Narrow"/>
                <w:sz w:val="20"/>
                <w:szCs w:val="20"/>
              </w:rPr>
              <w:t>25</w:t>
            </w:r>
          </w:p>
        </w:tc>
        <w:tc>
          <w:tcPr>
            <w:tcW w:w="6818" w:type="dxa"/>
            <w:tcBorders>
              <w:top w:val="single" w:sz="4" w:space="0" w:color="auto"/>
              <w:left w:val="nil"/>
              <w:bottom w:val="single" w:sz="4" w:space="0" w:color="auto"/>
              <w:right w:val="nil"/>
            </w:tcBorders>
            <w:shd w:val="clear" w:color="auto" w:fill="auto"/>
            <w:noWrap/>
            <w:vAlign w:val="center"/>
          </w:tcPr>
          <w:p w14:paraId="6BB3D9DC" w14:textId="77777777" w:rsidR="000D1A29" w:rsidRPr="00C50F11" w:rsidRDefault="000D1A29" w:rsidP="00F44BFC">
            <w:pPr>
              <w:rPr>
                <w:rFonts w:ascii="Arial Narrow" w:hAnsi="Arial Narrow"/>
                <w:sz w:val="20"/>
                <w:szCs w:val="20"/>
              </w:rPr>
            </w:pPr>
            <w:r w:rsidRPr="00C50F11">
              <w:rPr>
                <w:rFonts w:ascii="Arial Narrow" w:hAnsi="Arial Narrow"/>
                <w:sz w:val="20"/>
                <w:szCs w:val="20"/>
              </w:rPr>
              <w:t>Сафрид /Trachurus mediterraneus ponticus/</w:t>
            </w:r>
          </w:p>
        </w:tc>
        <w:tc>
          <w:tcPr>
            <w:tcW w:w="2301" w:type="dxa"/>
            <w:tcBorders>
              <w:top w:val="nil"/>
              <w:left w:val="single" w:sz="4" w:space="0" w:color="auto"/>
              <w:bottom w:val="single" w:sz="4" w:space="0" w:color="auto"/>
              <w:right w:val="single" w:sz="4" w:space="0" w:color="auto"/>
            </w:tcBorders>
            <w:shd w:val="clear" w:color="auto" w:fill="auto"/>
            <w:noWrap/>
            <w:vAlign w:val="center"/>
          </w:tcPr>
          <w:p w14:paraId="6DB9B8BE" w14:textId="77777777" w:rsidR="000D1A29" w:rsidRPr="00C50F11" w:rsidRDefault="000D1A29" w:rsidP="00F44BFC">
            <w:pPr>
              <w:jc w:val="right"/>
              <w:rPr>
                <w:rFonts w:ascii="Arial Narrow" w:hAnsi="Arial Narrow"/>
                <w:sz w:val="20"/>
                <w:szCs w:val="20"/>
              </w:rPr>
            </w:pPr>
            <w:r w:rsidRPr="00C50F11">
              <w:rPr>
                <w:rFonts w:ascii="Arial Narrow" w:hAnsi="Arial Narrow"/>
                <w:sz w:val="20"/>
                <w:szCs w:val="20"/>
              </w:rPr>
              <w:t>237,541</w:t>
            </w:r>
          </w:p>
        </w:tc>
      </w:tr>
      <w:tr w:rsidR="000D1A29" w:rsidRPr="00C50F11" w14:paraId="0E086CA7" w14:textId="77777777" w:rsidTr="001F3463">
        <w:trPr>
          <w:trHeight w:val="284"/>
        </w:trPr>
        <w:tc>
          <w:tcPr>
            <w:tcW w:w="662" w:type="dxa"/>
            <w:shd w:val="clear" w:color="auto" w:fill="auto"/>
            <w:noWrap/>
            <w:vAlign w:val="center"/>
          </w:tcPr>
          <w:p w14:paraId="293998B0" w14:textId="77777777" w:rsidR="000D1A29" w:rsidRPr="00C50F11" w:rsidRDefault="000D1A29" w:rsidP="00F44BFC">
            <w:pPr>
              <w:jc w:val="center"/>
              <w:rPr>
                <w:rFonts w:ascii="Arial Narrow" w:hAnsi="Arial Narrow"/>
                <w:sz w:val="20"/>
                <w:szCs w:val="20"/>
              </w:rPr>
            </w:pPr>
            <w:r w:rsidRPr="00C50F11">
              <w:rPr>
                <w:rFonts w:ascii="Arial Narrow" w:hAnsi="Arial Narrow"/>
                <w:sz w:val="20"/>
                <w:szCs w:val="20"/>
              </w:rPr>
              <w:t>26</w:t>
            </w:r>
          </w:p>
        </w:tc>
        <w:tc>
          <w:tcPr>
            <w:tcW w:w="6818" w:type="dxa"/>
            <w:tcBorders>
              <w:top w:val="single" w:sz="4" w:space="0" w:color="auto"/>
              <w:left w:val="nil"/>
              <w:bottom w:val="single" w:sz="4" w:space="0" w:color="auto"/>
              <w:right w:val="nil"/>
            </w:tcBorders>
            <w:shd w:val="clear" w:color="auto" w:fill="auto"/>
            <w:noWrap/>
            <w:vAlign w:val="center"/>
          </w:tcPr>
          <w:p w14:paraId="21A34FD6" w14:textId="77777777" w:rsidR="000D1A29" w:rsidRPr="00C50F11" w:rsidRDefault="000D1A29" w:rsidP="00F44BFC">
            <w:pPr>
              <w:rPr>
                <w:rFonts w:ascii="Arial Narrow" w:hAnsi="Arial Narrow"/>
                <w:sz w:val="20"/>
                <w:szCs w:val="20"/>
              </w:rPr>
            </w:pPr>
            <w:r w:rsidRPr="00C50F11">
              <w:rPr>
                <w:rFonts w:ascii="Arial Narrow" w:hAnsi="Arial Narrow"/>
                <w:sz w:val="20"/>
                <w:szCs w:val="20"/>
              </w:rPr>
              <w:t>Скорпид</w:t>
            </w:r>
          </w:p>
        </w:tc>
        <w:tc>
          <w:tcPr>
            <w:tcW w:w="2301" w:type="dxa"/>
            <w:tcBorders>
              <w:top w:val="nil"/>
              <w:left w:val="single" w:sz="4" w:space="0" w:color="auto"/>
              <w:bottom w:val="single" w:sz="4" w:space="0" w:color="auto"/>
              <w:right w:val="single" w:sz="4" w:space="0" w:color="auto"/>
            </w:tcBorders>
            <w:shd w:val="clear" w:color="auto" w:fill="auto"/>
            <w:noWrap/>
            <w:vAlign w:val="center"/>
          </w:tcPr>
          <w:p w14:paraId="113A8B8D" w14:textId="77777777" w:rsidR="000D1A29" w:rsidRPr="00C50F11" w:rsidRDefault="000D1A29" w:rsidP="00F44BFC">
            <w:pPr>
              <w:jc w:val="right"/>
              <w:rPr>
                <w:rFonts w:ascii="Arial Narrow" w:hAnsi="Arial Narrow"/>
                <w:sz w:val="20"/>
                <w:szCs w:val="20"/>
              </w:rPr>
            </w:pPr>
            <w:r w:rsidRPr="00C50F11">
              <w:rPr>
                <w:rFonts w:ascii="Arial Narrow" w:hAnsi="Arial Narrow"/>
                <w:sz w:val="20"/>
                <w:szCs w:val="20"/>
              </w:rPr>
              <w:t>0,909</w:t>
            </w:r>
          </w:p>
        </w:tc>
      </w:tr>
      <w:tr w:rsidR="000D1A29" w:rsidRPr="00C50F11" w14:paraId="25EB8E74" w14:textId="77777777" w:rsidTr="001F3463">
        <w:trPr>
          <w:trHeight w:val="284"/>
        </w:trPr>
        <w:tc>
          <w:tcPr>
            <w:tcW w:w="662" w:type="dxa"/>
            <w:shd w:val="clear" w:color="auto" w:fill="auto"/>
            <w:noWrap/>
            <w:vAlign w:val="center"/>
          </w:tcPr>
          <w:p w14:paraId="743D00A1" w14:textId="77777777" w:rsidR="000D1A29" w:rsidRPr="00C50F11" w:rsidRDefault="000D1A29" w:rsidP="00F44BFC">
            <w:pPr>
              <w:jc w:val="center"/>
              <w:rPr>
                <w:rFonts w:ascii="Arial Narrow" w:hAnsi="Arial Narrow"/>
                <w:sz w:val="20"/>
                <w:szCs w:val="20"/>
              </w:rPr>
            </w:pPr>
            <w:r w:rsidRPr="00C50F11">
              <w:rPr>
                <w:rFonts w:ascii="Arial Narrow" w:hAnsi="Arial Narrow"/>
                <w:sz w:val="20"/>
                <w:szCs w:val="20"/>
              </w:rPr>
              <w:t>27</w:t>
            </w:r>
          </w:p>
        </w:tc>
        <w:tc>
          <w:tcPr>
            <w:tcW w:w="6818" w:type="dxa"/>
            <w:tcBorders>
              <w:top w:val="single" w:sz="4" w:space="0" w:color="auto"/>
              <w:left w:val="nil"/>
              <w:bottom w:val="single" w:sz="4" w:space="0" w:color="auto"/>
              <w:right w:val="nil"/>
            </w:tcBorders>
            <w:shd w:val="clear" w:color="auto" w:fill="auto"/>
            <w:noWrap/>
            <w:vAlign w:val="center"/>
          </w:tcPr>
          <w:p w14:paraId="634E2901" w14:textId="77777777" w:rsidR="000D1A29" w:rsidRPr="00C50F11" w:rsidRDefault="000D1A29" w:rsidP="00F44BFC">
            <w:pPr>
              <w:rPr>
                <w:rFonts w:ascii="Arial Narrow" w:hAnsi="Arial Narrow"/>
                <w:sz w:val="20"/>
                <w:szCs w:val="20"/>
              </w:rPr>
            </w:pPr>
            <w:r w:rsidRPr="00C50F11">
              <w:rPr>
                <w:rFonts w:ascii="Arial Narrow" w:hAnsi="Arial Narrow"/>
                <w:sz w:val="20"/>
                <w:szCs w:val="20"/>
              </w:rPr>
              <w:t>Смарид</w:t>
            </w:r>
          </w:p>
        </w:tc>
        <w:tc>
          <w:tcPr>
            <w:tcW w:w="2301" w:type="dxa"/>
            <w:tcBorders>
              <w:top w:val="nil"/>
              <w:left w:val="single" w:sz="4" w:space="0" w:color="auto"/>
              <w:bottom w:val="single" w:sz="4" w:space="0" w:color="auto"/>
              <w:right w:val="single" w:sz="4" w:space="0" w:color="auto"/>
            </w:tcBorders>
            <w:shd w:val="clear" w:color="auto" w:fill="auto"/>
            <w:noWrap/>
            <w:vAlign w:val="center"/>
          </w:tcPr>
          <w:p w14:paraId="488809C4" w14:textId="77777777" w:rsidR="000D1A29" w:rsidRPr="00C50F11" w:rsidRDefault="000D1A29" w:rsidP="00F44BFC">
            <w:pPr>
              <w:jc w:val="right"/>
              <w:rPr>
                <w:rFonts w:ascii="Arial Narrow" w:hAnsi="Arial Narrow"/>
                <w:sz w:val="20"/>
                <w:szCs w:val="20"/>
              </w:rPr>
            </w:pPr>
            <w:r w:rsidRPr="00C50F11">
              <w:rPr>
                <w:rFonts w:ascii="Arial Narrow" w:hAnsi="Arial Narrow"/>
                <w:sz w:val="20"/>
                <w:szCs w:val="20"/>
              </w:rPr>
              <w:t>0,052</w:t>
            </w:r>
          </w:p>
        </w:tc>
      </w:tr>
      <w:tr w:rsidR="000D1A29" w:rsidRPr="00C50F11" w14:paraId="4FC4E07D" w14:textId="77777777" w:rsidTr="001F3463">
        <w:trPr>
          <w:trHeight w:val="284"/>
        </w:trPr>
        <w:tc>
          <w:tcPr>
            <w:tcW w:w="662" w:type="dxa"/>
            <w:shd w:val="clear" w:color="auto" w:fill="auto"/>
            <w:noWrap/>
            <w:vAlign w:val="center"/>
          </w:tcPr>
          <w:p w14:paraId="58C4C158" w14:textId="77777777" w:rsidR="000D1A29" w:rsidRPr="00C50F11" w:rsidRDefault="000D1A29" w:rsidP="00F44BFC">
            <w:pPr>
              <w:jc w:val="center"/>
              <w:rPr>
                <w:rFonts w:ascii="Arial Narrow" w:hAnsi="Arial Narrow"/>
                <w:sz w:val="20"/>
                <w:szCs w:val="20"/>
              </w:rPr>
            </w:pPr>
            <w:r w:rsidRPr="00C50F11">
              <w:rPr>
                <w:rFonts w:ascii="Arial Narrow" w:hAnsi="Arial Narrow"/>
                <w:sz w:val="20"/>
                <w:szCs w:val="20"/>
              </w:rPr>
              <w:t>28</w:t>
            </w:r>
          </w:p>
        </w:tc>
        <w:tc>
          <w:tcPr>
            <w:tcW w:w="6818" w:type="dxa"/>
            <w:tcBorders>
              <w:top w:val="single" w:sz="4" w:space="0" w:color="auto"/>
              <w:left w:val="nil"/>
              <w:bottom w:val="single" w:sz="4" w:space="0" w:color="auto"/>
              <w:right w:val="single" w:sz="4" w:space="0" w:color="auto"/>
            </w:tcBorders>
            <w:shd w:val="clear" w:color="auto" w:fill="auto"/>
            <w:noWrap/>
            <w:vAlign w:val="center"/>
          </w:tcPr>
          <w:p w14:paraId="0F3A3892" w14:textId="77777777" w:rsidR="000D1A29" w:rsidRPr="00C50F11" w:rsidRDefault="000D1A29" w:rsidP="00F44BFC">
            <w:pPr>
              <w:rPr>
                <w:rFonts w:ascii="Arial Narrow" w:hAnsi="Arial Narrow"/>
                <w:sz w:val="20"/>
                <w:szCs w:val="20"/>
              </w:rPr>
            </w:pPr>
            <w:r w:rsidRPr="00C50F11">
              <w:rPr>
                <w:rFonts w:ascii="Arial Narrow" w:hAnsi="Arial Narrow"/>
                <w:sz w:val="20"/>
                <w:szCs w:val="20"/>
              </w:rPr>
              <w:t>Хамсия /Engraulis encrasicholus ponticus/</w:t>
            </w:r>
          </w:p>
        </w:tc>
        <w:tc>
          <w:tcPr>
            <w:tcW w:w="2301" w:type="dxa"/>
            <w:tcBorders>
              <w:top w:val="nil"/>
              <w:left w:val="nil"/>
              <w:bottom w:val="single" w:sz="4" w:space="0" w:color="auto"/>
              <w:right w:val="single" w:sz="4" w:space="0" w:color="auto"/>
            </w:tcBorders>
            <w:shd w:val="clear" w:color="auto" w:fill="auto"/>
            <w:noWrap/>
            <w:vAlign w:val="center"/>
          </w:tcPr>
          <w:p w14:paraId="4798E638" w14:textId="77777777" w:rsidR="000D1A29" w:rsidRPr="00C50F11" w:rsidRDefault="000D1A29" w:rsidP="00F44BFC">
            <w:pPr>
              <w:jc w:val="right"/>
              <w:rPr>
                <w:rFonts w:ascii="Arial Narrow" w:hAnsi="Arial Narrow"/>
                <w:sz w:val="20"/>
                <w:szCs w:val="20"/>
              </w:rPr>
            </w:pPr>
            <w:r w:rsidRPr="00C50F11">
              <w:rPr>
                <w:rFonts w:ascii="Arial Narrow" w:hAnsi="Arial Narrow"/>
                <w:sz w:val="20"/>
                <w:szCs w:val="20"/>
              </w:rPr>
              <w:t>235,725</w:t>
            </w:r>
          </w:p>
        </w:tc>
      </w:tr>
      <w:tr w:rsidR="000D1A29" w:rsidRPr="00C50F11" w14:paraId="77C9E710" w14:textId="77777777" w:rsidTr="001F3463">
        <w:trPr>
          <w:trHeight w:val="284"/>
        </w:trPr>
        <w:tc>
          <w:tcPr>
            <w:tcW w:w="662" w:type="dxa"/>
            <w:shd w:val="clear" w:color="auto" w:fill="auto"/>
            <w:noWrap/>
            <w:vAlign w:val="center"/>
          </w:tcPr>
          <w:p w14:paraId="4EE4F5B3" w14:textId="77777777" w:rsidR="000D1A29" w:rsidRPr="00C50F11" w:rsidRDefault="000D1A29" w:rsidP="00F44BFC">
            <w:pPr>
              <w:jc w:val="center"/>
              <w:rPr>
                <w:rFonts w:ascii="Arial Narrow" w:hAnsi="Arial Narrow"/>
                <w:sz w:val="20"/>
                <w:szCs w:val="20"/>
              </w:rPr>
            </w:pPr>
            <w:r w:rsidRPr="00C50F11">
              <w:rPr>
                <w:rFonts w:ascii="Arial Narrow" w:hAnsi="Arial Narrow"/>
                <w:sz w:val="20"/>
                <w:szCs w:val="20"/>
              </w:rPr>
              <w:t>29</w:t>
            </w:r>
          </w:p>
        </w:tc>
        <w:tc>
          <w:tcPr>
            <w:tcW w:w="6818" w:type="dxa"/>
            <w:tcBorders>
              <w:top w:val="nil"/>
              <w:left w:val="nil"/>
              <w:bottom w:val="single" w:sz="4" w:space="0" w:color="auto"/>
              <w:right w:val="single" w:sz="4" w:space="0" w:color="auto"/>
            </w:tcBorders>
            <w:shd w:val="clear" w:color="auto" w:fill="auto"/>
            <w:noWrap/>
            <w:vAlign w:val="center"/>
          </w:tcPr>
          <w:p w14:paraId="40B2A925" w14:textId="77777777" w:rsidR="000D1A29" w:rsidRPr="00C50F11" w:rsidRDefault="000D1A29" w:rsidP="00F44BFC">
            <w:pPr>
              <w:rPr>
                <w:rFonts w:ascii="Arial Narrow" w:hAnsi="Arial Narrow"/>
                <w:sz w:val="20"/>
                <w:szCs w:val="20"/>
              </w:rPr>
            </w:pPr>
            <w:r w:rsidRPr="00C50F11">
              <w:rPr>
                <w:rFonts w:ascii="Arial Narrow" w:hAnsi="Arial Narrow"/>
                <w:sz w:val="20"/>
                <w:szCs w:val="20"/>
              </w:rPr>
              <w:t>Цаца /копърка. трицона. шпрот/ /Sprattus sprattus sulinus/</w:t>
            </w:r>
          </w:p>
        </w:tc>
        <w:tc>
          <w:tcPr>
            <w:tcW w:w="2301" w:type="dxa"/>
            <w:tcBorders>
              <w:top w:val="nil"/>
              <w:left w:val="nil"/>
              <w:bottom w:val="single" w:sz="4" w:space="0" w:color="auto"/>
              <w:right w:val="single" w:sz="4" w:space="0" w:color="auto"/>
            </w:tcBorders>
            <w:shd w:val="clear" w:color="auto" w:fill="auto"/>
            <w:noWrap/>
            <w:vAlign w:val="center"/>
          </w:tcPr>
          <w:p w14:paraId="210FD778" w14:textId="77777777" w:rsidR="000D1A29" w:rsidRPr="00C50F11" w:rsidRDefault="000D1A29" w:rsidP="00F44BFC">
            <w:pPr>
              <w:jc w:val="right"/>
              <w:rPr>
                <w:rFonts w:ascii="Arial Narrow" w:hAnsi="Arial Narrow"/>
                <w:sz w:val="20"/>
                <w:szCs w:val="20"/>
              </w:rPr>
            </w:pPr>
            <w:r w:rsidRPr="00C50F11">
              <w:rPr>
                <w:rFonts w:ascii="Arial Narrow" w:hAnsi="Arial Narrow"/>
                <w:sz w:val="20"/>
                <w:szCs w:val="20"/>
              </w:rPr>
              <w:t>2 836,626</w:t>
            </w:r>
          </w:p>
        </w:tc>
      </w:tr>
      <w:tr w:rsidR="000D1A29" w:rsidRPr="00C50F11" w14:paraId="0B0B8317" w14:textId="77777777" w:rsidTr="001F3463">
        <w:trPr>
          <w:trHeight w:val="284"/>
        </w:trPr>
        <w:tc>
          <w:tcPr>
            <w:tcW w:w="662" w:type="dxa"/>
            <w:shd w:val="clear" w:color="auto" w:fill="auto"/>
            <w:noWrap/>
            <w:vAlign w:val="center"/>
          </w:tcPr>
          <w:p w14:paraId="17B2542A" w14:textId="77777777" w:rsidR="000D1A29" w:rsidRPr="00C50F11" w:rsidRDefault="000D1A29" w:rsidP="00F44BFC">
            <w:pPr>
              <w:jc w:val="center"/>
              <w:rPr>
                <w:rFonts w:ascii="Arial Narrow" w:hAnsi="Arial Narrow"/>
                <w:sz w:val="20"/>
                <w:szCs w:val="20"/>
              </w:rPr>
            </w:pPr>
            <w:r w:rsidRPr="00C50F11">
              <w:rPr>
                <w:rFonts w:ascii="Arial Narrow" w:hAnsi="Arial Narrow"/>
                <w:sz w:val="20"/>
                <w:szCs w:val="20"/>
              </w:rPr>
              <w:t>30</w:t>
            </w:r>
          </w:p>
        </w:tc>
        <w:tc>
          <w:tcPr>
            <w:tcW w:w="68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5392C5" w14:textId="77777777" w:rsidR="000D1A29" w:rsidRPr="00C50F11" w:rsidRDefault="000D1A29" w:rsidP="00F44BFC">
            <w:pPr>
              <w:rPr>
                <w:rFonts w:ascii="Arial Narrow" w:hAnsi="Arial Narrow"/>
                <w:sz w:val="20"/>
                <w:szCs w:val="20"/>
              </w:rPr>
            </w:pPr>
            <w:r w:rsidRPr="00C50F11">
              <w:rPr>
                <w:rFonts w:ascii="Arial Narrow" w:hAnsi="Arial Narrow"/>
                <w:sz w:val="20"/>
                <w:szCs w:val="20"/>
              </w:rPr>
              <w:t>Черна морска мида /Mytilus galloprovincialis/</w:t>
            </w:r>
          </w:p>
        </w:tc>
        <w:tc>
          <w:tcPr>
            <w:tcW w:w="23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325C4B" w14:textId="77777777" w:rsidR="000D1A29" w:rsidRPr="00C50F11" w:rsidRDefault="000D1A29" w:rsidP="00F44BFC">
            <w:pPr>
              <w:jc w:val="right"/>
              <w:rPr>
                <w:rFonts w:ascii="Arial Narrow" w:hAnsi="Arial Narrow"/>
                <w:sz w:val="20"/>
                <w:szCs w:val="20"/>
              </w:rPr>
            </w:pPr>
            <w:r w:rsidRPr="00C50F11">
              <w:rPr>
                <w:rFonts w:ascii="Arial Narrow" w:hAnsi="Arial Narrow"/>
                <w:sz w:val="20"/>
                <w:szCs w:val="20"/>
              </w:rPr>
              <w:t>99,178</w:t>
            </w:r>
          </w:p>
        </w:tc>
      </w:tr>
      <w:tr w:rsidR="000D1A29" w:rsidRPr="00C50F11" w14:paraId="44382DA9" w14:textId="77777777" w:rsidTr="001F3463">
        <w:trPr>
          <w:trHeight w:val="284"/>
        </w:trPr>
        <w:tc>
          <w:tcPr>
            <w:tcW w:w="662" w:type="dxa"/>
            <w:shd w:val="clear" w:color="auto" w:fill="auto"/>
            <w:noWrap/>
            <w:vAlign w:val="center"/>
          </w:tcPr>
          <w:p w14:paraId="53B0B4AA" w14:textId="77777777" w:rsidR="000D1A29" w:rsidRPr="00C50F11" w:rsidRDefault="000D1A29" w:rsidP="00F44BFC">
            <w:pPr>
              <w:jc w:val="center"/>
              <w:rPr>
                <w:rFonts w:ascii="Arial Narrow" w:hAnsi="Arial Narrow"/>
                <w:sz w:val="20"/>
                <w:szCs w:val="20"/>
              </w:rPr>
            </w:pPr>
            <w:r w:rsidRPr="00C50F11">
              <w:rPr>
                <w:rFonts w:ascii="Arial Narrow" w:hAnsi="Arial Narrow"/>
                <w:sz w:val="20"/>
                <w:szCs w:val="20"/>
              </w:rPr>
              <w:t>31</w:t>
            </w:r>
          </w:p>
        </w:tc>
        <w:tc>
          <w:tcPr>
            <w:tcW w:w="6818" w:type="dxa"/>
            <w:tcBorders>
              <w:top w:val="single" w:sz="4" w:space="0" w:color="auto"/>
              <w:left w:val="nil"/>
              <w:bottom w:val="single" w:sz="4" w:space="0" w:color="auto"/>
              <w:right w:val="single" w:sz="4" w:space="0" w:color="auto"/>
            </w:tcBorders>
            <w:shd w:val="clear" w:color="auto" w:fill="auto"/>
            <w:noWrap/>
            <w:vAlign w:val="center"/>
          </w:tcPr>
          <w:p w14:paraId="3D0FB726" w14:textId="77777777" w:rsidR="000D1A29" w:rsidRPr="00C50F11" w:rsidRDefault="000D1A29" w:rsidP="00F44BFC">
            <w:pPr>
              <w:rPr>
                <w:rFonts w:ascii="Arial Narrow" w:hAnsi="Arial Narrow"/>
                <w:sz w:val="20"/>
                <w:szCs w:val="20"/>
              </w:rPr>
            </w:pPr>
            <w:r w:rsidRPr="00C50F11">
              <w:rPr>
                <w:rFonts w:ascii="Arial Narrow" w:hAnsi="Arial Narrow"/>
                <w:sz w:val="20"/>
                <w:szCs w:val="20"/>
              </w:rPr>
              <w:t xml:space="preserve">Черноморска барбуня /Mullus barbatus ponticus/ </w:t>
            </w:r>
          </w:p>
        </w:tc>
        <w:tc>
          <w:tcPr>
            <w:tcW w:w="2301" w:type="dxa"/>
            <w:tcBorders>
              <w:top w:val="single" w:sz="4" w:space="0" w:color="auto"/>
              <w:left w:val="nil"/>
              <w:bottom w:val="single" w:sz="4" w:space="0" w:color="auto"/>
              <w:right w:val="single" w:sz="4" w:space="0" w:color="auto"/>
            </w:tcBorders>
            <w:shd w:val="clear" w:color="auto" w:fill="auto"/>
            <w:noWrap/>
            <w:vAlign w:val="center"/>
          </w:tcPr>
          <w:p w14:paraId="1EF1FB08" w14:textId="77777777" w:rsidR="000D1A29" w:rsidRPr="00C50F11" w:rsidRDefault="000D1A29" w:rsidP="00F44BFC">
            <w:pPr>
              <w:jc w:val="right"/>
              <w:rPr>
                <w:rFonts w:ascii="Arial Narrow" w:hAnsi="Arial Narrow"/>
                <w:sz w:val="20"/>
                <w:szCs w:val="20"/>
              </w:rPr>
            </w:pPr>
            <w:r w:rsidRPr="00C50F11">
              <w:rPr>
                <w:rFonts w:ascii="Arial Narrow" w:hAnsi="Arial Narrow"/>
                <w:sz w:val="20"/>
                <w:szCs w:val="20"/>
              </w:rPr>
              <w:t>373,835</w:t>
            </w:r>
          </w:p>
        </w:tc>
      </w:tr>
      <w:tr w:rsidR="000D1A29" w:rsidRPr="00C50F11" w14:paraId="5388C542" w14:textId="77777777" w:rsidTr="001F3463">
        <w:trPr>
          <w:trHeight w:val="284"/>
        </w:trPr>
        <w:tc>
          <w:tcPr>
            <w:tcW w:w="662" w:type="dxa"/>
            <w:shd w:val="clear" w:color="auto" w:fill="auto"/>
            <w:noWrap/>
            <w:vAlign w:val="center"/>
          </w:tcPr>
          <w:p w14:paraId="3A3C785F" w14:textId="77777777" w:rsidR="000D1A29" w:rsidRPr="00C50F11" w:rsidRDefault="000D1A29" w:rsidP="00F44BFC">
            <w:pPr>
              <w:jc w:val="center"/>
              <w:rPr>
                <w:rFonts w:ascii="Arial Narrow" w:hAnsi="Arial Narrow"/>
                <w:sz w:val="20"/>
                <w:szCs w:val="20"/>
              </w:rPr>
            </w:pPr>
            <w:r w:rsidRPr="00C50F11">
              <w:rPr>
                <w:rFonts w:ascii="Arial Narrow" w:hAnsi="Arial Narrow"/>
                <w:sz w:val="20"/>
                <w:szCs w:val="20"/>
              </w:rPr>
              <w:t>32</w:t>
            </w:r>
          </w:p>
        </w:tc>
        <w:tc>
          <w:tcPr>
            <w:tcW w:w="6818" w:type="dxa"/>
            <w:tcBorders>
              <w:top w:val="single" w:sz="4" w:space="0" w:color="auto"/>
              <w:left w:val="nil"/>
              <w:bottom w:val="single" w:sz="4" w:space="0" w:color="auto"/>
              <w:right w:val="single" w:sz="4" w:space="0" w:color="auto"/>
            </w:tcBorders>
            <w:shd w:val="clear" w:color="auto" w:fill="auto"/>
            <w:noWrap/>
            <w:vAlign w:val="center"/>
          </w:tcPr>
          <w:p w14:paraId="3CE2B565" w14:textId="77777777" w:rsidR="000D1A29" w:rsidRPr="00C50F11" w:rsidRDefault="000D1A29" w:rsidP="00F44BFC">
            <w:pPr>
              <w:rPr>
                <w:rFonts w:ascii="Arial Narrow" w:hAnsi="Arial Narrow"/>
                <w:sz w:val="20"/>
                <w:szCs w:val="20"/>
              </w:rPr>
            </w:pPr>
            <w:r w:rsidRPr="00C50F11">
              <w:rPr>
                <w:rFonts w:ascii="Arial Narrow" w:hAnsi="Arial Narrow"/>
                <w:sz w:val="20"/>
                <w:szCs w:val="20"/>
              </w:rPr>
              <w:t>Черноморска бодлива акула /Squalus acanthias/</w:t>
            </w:r>
          </w:p>
        </w:tc>
        <w:tc>
          <w:tcPr>
            <w:tcW w:w="2301" w:type="dxa"/>
            <w:tcBorders>
              <w:top w:val="single" w:sz="4" w:space="0" w:color="auto"/>
              <w:left w:val="nil"/>
              <w:bottom w:val="single" w:sz="4" w:space="0" w:color="auto"/>
              <w:right w:val="single" w:sz="4" w:space="0" w:color="auto"/>
            </w:tcBorders>
            <w:shd w:val="clear" w:color="auto" w:fill="auto"/>
            <w:noWrap/>
            <w:vAlign w:val="center"/>
          </w:tcPr>
          <w:p w14:paraId="6055B835" w14:textId="77777777" w:rsidR="000D1A29" w:rsidRPr="00C50F11" w:rsidRDefault="000D1A29" w:rsidP="00F44BFC">
            <w:pPr>
              <w:jc w:val="right"/>
              <w:rPr>
                <w:rFonts w:ascii="Arial Narrow" w:hAnsi="Arial Narrow"/>
                <w:sz w:val="20"/>
                <w:szCs w:val="20"/>
              </w:rPr>
            </w:pPr>
            <w:r w:rsidRPr="00C50F11">
              <w:rPr>
                <w:rFonts w:ascii="Arial Narrow" w:hAnsi="Arial Narrow"/>
                <w:sz w:val="20"/>
                <w:szCs w:val="20"/>
              </w:rPr>
              <w:t>13,012</w:t>
            </w:r>
          </w:p>
        </w:tc>
      </w:tr>
      <w:tr w:rsidR="000D1A29" w:rsidRPr="00C50F11" w14:paraId="49FFBD8E" w14:textId="77777777" w:rsidTr="001F3463">
        <w:trPr>
          <w:trHeight w:val="284"/>
        </w:trPr>
        <w:tc>
          <w:tcPr>
            <w:tcW w:w="662" w:type="dxa"/>
            <w:shd w:val="clear" w:color="auto" w:fill="auto"/>
            <w:noWrap/>
            <w:vAlign w:val="center"/>
          </w:tcPr>
          <w:p w14:paraId="4104666B" w14:textId="77777777" w:rsidR="000D1A29" w:rsidRPr="00C50F11" w:rsidRDefault="000D1A29" w:rsidP="00F44BFC">
            <w:pPr>
              <w:jc w:val="center"/>
              <w:rPr>
                <w:rFonts w:ascii="Arial Narrow" w:hAnsi="Arial Narrow"/>
                <w:sz w:val="20"/>
                <w:szCs w:val="20"/>
              </w:rPr>
            </w:pPr>
            <w:r w:rsidRPr="00C50F11">
              <w:rPr>
                <w:rFonts w:ascii="Arial Narrow" w:hAnsi="Arial Narrow"/>
                <w:sz w:val="20"/>
                <w:szCs w:val="20"/>
              </w:rPr>
              <w:t>33</w:t>
            </w:r>
          </w:p>
        </w:tc>
        <w:tc>
          <w:tcPr>
            <w:tcW w:w="6818" w:type="dxa"/>
            <w:tcBorders>
              <w:top w:val="nil"/>
              <w:left w:val="nil"/>
              <w:bottom w:val="single" w:sz="4" w:space="0" w:color="auto"/>
              <w:right w:val="single" w:sz="4" w:space="0" w:color="auto"/>
            </w:tcBorders>
            <w:shd w:val="clear" w:color="auto" w:fill="auto"/>
            <w:noWrap/>
            <w:vAlign w:val="center"/>
          </w:tcPr>
          <w:p w14:paraId="60D9F0DC" w14:textId="77777777" w:rsidR="000D1A29" w:rsidRPr="00C50F11" w:rsidRDefault="000D1A29" w:rsidP="00F44BFC">
            <w:pPr>
              <w:rPr>
                <w:rFonts w:ascii="Arial Narrow" w:hAnsi="Arial Narrow"/>
                <w:sz w:val="20"/>
                <w:szCs w:val="20"/>
              </w:rPr>
            </w:pPr>
            <w:r w:rsidRPr="00C50F11">
              <w:rPr>
                <w:rFonts w:ascii="Arial Narrow" w:hAnsi="Arial Narrow"/>
                <w:sz w:val="20"/>
                <w:szCs w:val="20"/>
              </w:rPr>
              <w:t>Черноморски меджид /Мerlangius merlangus euxinus/</w:t>
            </w:r>
          </w:p>
        </w:tc>
        <w:tc>
          <w:tcPr>
            <w:tcW w:w="2301" w:type="dxa"/>
            <w:tcBorders>
              <w:top w:val="nil"/>
              <w:left w:val="nil"/>
              <w:bottom w:val="single" w:sz="4" w:space="0" w:color="auto"/>
              <w:right w:val="single" w:sz="4" w:space="0" w:color="auto"/>
            </w:tcBorders>
            <w:shd w:val="clear" w:color="auto" w:fill="auto"/>
            <w:noWrap/>
            <w:vAlign w:val="center"/>
          </w:tcPr>
          <w:p w14:paraId="23FA0788" w14:textId="77777777" w:rsidR="000D1A29" w:rsidRPr="00C50F11" w:rsidRDefault="000D1A29" w:rsidP="00F44BFC">
            <w:pPr>
              <w:jc w:val="right"/>
              <w:rPr>
                <w:rFonts w:ascii="Arial Narrow" w:hAnsi="Arial Narrow"/>
                <w:sz w:val="20"/>
                <w:szCs w:val="20"/>
              </w:rPr>
            </w:pPr>
            <w:r w:rsidRPr="00C50F11">
              <w:rPr>
                <w:rFonts w:ascii="Arial Narrow" w:hAnsi="Arial Narrow"/>
                <w:sz w:val="20"/>
                <w:szCs w:val="20"/>
              </w:rPr>
              <w:t>26,617</w:t>
            </w:r>
          </w:p>
        </w:tc>
      </w:tr>
      <w:tr w:rsidR="000D1A29" w:rsidRPr="00C50F11" w14:paraId="4169CA46" w14:textId="77777777" w:rsidTr="001F3463">
        <w:trPr>
          <w:trHeight w:val="284"/>
        </w:trPr>
        <w:tc>
          <w:tcPr>
            <w:tcW w:w="662" w:type="dxa"/>
            <w:shd w:val="clear" w:color="auto" w:fill="auto"/>
            <w:noWrap/>
            <w:vAlign w:val="center"/>
          </w:tcPr>
          <w:p w14:paraId="7317BF8F" w14:textId="77777777" w:rsidR="000D1A29" w:rsidRPr="00C50F11" w:rsidRDefault="000D1A29" w:rsidP="00F44BFC">
            <w:pPr>
              <w:jc w:val="center"/>
              <w:rPr>
                <w:rFonts w:ascii="Arial Narrow" w:hAnsi="Arial Narrow"/>
                <w:sz w:val="20"/>
                <w:szCs w:val="20"/>
              </w:rPr>
            </w:pPr>
            <w:r w:rsidRPr="00C50F11">
              <w:rPr>
                <w:rFonts w:ascii="Arial Narrow" w:hAnsi="Arial Narrow"/>
                <w:sz w:val="20"/>
                <w:szCs w:val="20"/>
              </w:rPr>
              <w:t>34</w:t>
            </w:r>
          </w:p>
        </w:tc>
        <w:tc>
          <w:tcPr>
            <w:tcW w:w="6818" w:type="dxa"/>
            <w:tcBorders>
              <w:top w:val="nil"/>
              <w:left w:val="nil"/>
              <w:bottom w:val="single" w:sz="4" w:space="0" w:color="auto"/>
              <w:right w:val="single" w:sz="4" w:space="0" w:color="auto"/>
            </w:tcBorders>
            <w:shd w:val="clear" w:color="auto" w:fill="auto"/>
            <w:noWrap/>
            <w:vAlign w:val="center"/>
          </w:tcPr>
          <w:p w14:paraId="711CBC05" w14:textId="77777777" w:rsidR="000D1A29" w:rsidRPr="00C50F11" w:rsidRDefault="000D1A29" w:rsidP="00F44BFC">
            <w:pPr>
              <w:rPr>
                <w:rFonts w:ascii="Arial Narrow" w:hAnsi="Arial Narrow"/>
                <w:sz w:val="20"/>
                <w:szCs w:val="20"/>
              </w:rPr>
            </w:pPr>
            <w:r w:rsidRPr="00C50F11">
              <w:rPr>
                <w:rFonts w:ascii="Arial Narrow" w:hAnsi="Arial Narrow"/>
                <w:sz w:val="20"/>
                <w:szCs w:val="20"/>
              </w:rPr>
              <w:t xml:space="preserve">Черноморска скумрия </w:t>
            </w:r>
          </w:p>
        </w:tc>
        <w:tc>
          <w:tcPr>
            <w:tcW w:w="2301" w:type="dxa"/>
            <w:tcBorders>
              <w:top w:val="nil"/>
              <w:left w:val="nil"/>
              <w:bottom w:val="single" w:sz="4" w:space="0" w:color="auto"/>
              <w:right w:val="single" w:sz="4" w:space="0" w:color="auto"/>
            </w:tcBorders>
            <w:shd w:val="clear" w:color="auto" w:fill="auto"/>
            <w:noWrap/>
            <w:vAlign w:val="center"/>
          </w:tcPr>
          <w:p w14:paraId="7665FB62" w14:textId="77777777" w:rsidR="000D1A29" w:rsidRPr="00C50F11" w:rsidRDefault="000D1A29" w:rsidP="00F44BFC">
            <w:pPr>
              <w:jc w:val="right"/>
              <w:rPr>
                <w:rFonts w:ascii="Arial Narrow" w:hAnsi="Arial Narrow"/>
                <w:sz w:val="20"/>
                <w:szCs w:val="20"/>
              </w:rPr>
            </w:pPr>
            <w:r w:rsidRPr="00C50F11">
              <w:rPr>
                <w:rFonts w:ascii="Arial Narrow" w:hAnsi="Arial Narrow"/>
                <w:sz w:val="20"/>
                <w:szCs w:val="20"/>
              </w:rPr>
              <w:t>0,00</w:t>
            </w:r>
          </w:p>
        </w:tc>
      </w:tr>
      <w:tr w:rsidR="000D1A29" w:rsidRPr="00C50F11" w14:paraId="1C4DE3FA" w14:textId="77777777" w:rsidTr="001F3463">
        <w:trPr>
          <w:trHeight w:val="284"/>
        </w:trPr>
        <w:tc>
          <w:tcPr>
            <w:tcW w:w="662" w:type="dxa"/>
            <w:shd w:val="clear" w:color="auto" w:fill="auto"/>
            <w:noWrap/>
            <w:vAlign w:val="center"/>
          </w:tcPr>
          <w:p w14:paraId="1281BA05" w14:textId="77777777" w:rsidR="000D1A29" w:rsidRPr="00C50F11" w:rsidRDefault="000D1A29" w:rsidP="00F44BFC">
            <w:pPr>
              <w:jc w:val="center"/>
              <w:rPr>
                <w:rFonts w:ascii="Arial Narrow" w:hAnsi="Arial Narrow"/>
                <w:sz w:val="20"/>
                <w:szCs w:val="20"/>
              </w:rPr>
            </w:pPr>
            <w:r w:rsidRPr="00C50F11">
              <w:rPr>
                <w:rFonts w:ascii="Arial Narrow" w:hAnsi="Arial Narrow"/>
                <w:sz w:val="20"/>
                <w:szCs w:val="20"/>
              </w:rPr>
              <w:t>35</w:t>
            </w:r>
          </w:p>
        </w:tc>
        <w:tc>
          <w:tcPr>
            <w:tcW w:w="6818" w:type="dxa"/>
            <w:tcBorders>
              <w:top w:val="nil"/>
              <w:left w:val="nil"/>
              <w:bottom w:val="single" w:sz="4" w:space="0" w:color="auto"/>
              <w:right w:val="single" w:sz="4" w:space="0" w:color="auto"/>
            </w:tcBorders>
            <w:shd w:val="clear" w:color="auto" w:fill="auto"/>
            <w:noWrap/>
            <w:vAlign w:val="center"/>
          </w:tcPr>
          <w:p w14:paraId="15CA1C73" w14:textId="77777777" w:rsidR="000D1A29" w:rsidRPr="00C50F11" w:rsidRDefault="000D1A29" w:rsidP="00F44BFC">
            <w:pPr>
              <w:rPr>
                <w:rFonts w:ascii="Arial Narrow" w:hAnsi="Arial Narrow"/>
                <w:sz w:val="20"/>
                <w:szCs w:val="20"/>
              </w:rPr>
            </w:pPr>
            <w:r w:rsidRPr="00C50F11">
              <w:rPr>
                <w:rFonts w:ascii="Arial Narrow" w:hAnsi="Arial Narrow"/>
                <w:sz w:val="20"/>
                <w:szCs w:val="20"/>
              </w:rPr>
              <w:t>Миконом</w:t>
            </w:r>
          </w:p>
        </w:tc>
        <w:tc>
          <w:tcPr>
            <w:tcW w:w="2301" w:type="dxa"/>
            <w:tcBorders>
              <w:top w:val="nil"/>
              <w:left w:val="nil"/>
              <w:bottom w:val="single" w:sz="4" w:space="0" w:color="auto"/>
              <w:right w:val="single" w:sz="4" w:space="0" w:color="auto"/>
            </w:tcBorders>
            <w:shd w:val="clear" w:color="auto" w:fill="auto"/>
            <w:noWrap/>
            <w:vAlign w:val="center"/>
          </w:tcPr>
          <w:p w14:paraId="05B217F6" w14:textId="77777777" w:rsidR="000D1A29" w:rsidRPr="00C50F11" w:rsidRDefault="000D1A29" w:rsidP="00F44BFC">
            <w:pPr>
              <w:jc w:val="right"/>
              <w:rPr>
                <w:rFonts w:ascii="Arial Narrow" w:hAnsi="Arial Narrow"/>
                <w:sz w:val="20"/>
                <w:szCs w:val="20"/>
              </w:rPr>
            </w:pPr>
            <w:r w:rsidRPr="00C50F11">
              <w:rPr>
                <w:rFonts w:ascii="Arial Narrow" w:hAnsi="Arial Narrow"/>
                <w:sz w:val="20"/>
                <w:szCs w:val="20"/>
              </w:rPr>
              <w:t>0,063</w:t>
            </w:r>
          </w:p>
        </w:tc>
      </w:tr>
      <w:tr w:rsidR="000D1A29" w:rsidRPr="00C50F11" w14:paraId="04DD6C4D" w14:textId="77777777" w:rsidTr="001F3463">
        <w:trPr>
          <w:trHeight w:val="284"/>
        </w:trPr>
        <w:tc>
          <w:tcPr>
            <w:tcW w:w="662" w:type="dxa"/>
            <w:shd w:val="clear" w:color="auto" w:fill="auto"/>
            <w:noWrap/>
            <w:vAlign w:val="center"/>
          </w:tcPr>
          <w:p w14:paraId="732FBCB8" w14:textId="77777777" w:rsidR="000D1A29" w:rsidRPr="00C50F11" w:rsidRDefault="000D1A29" w:rsidP="00F44BFC">
            <w:pPr>
              <w:jc w:val="center"/>
              <w:rPr>
                <w:rFonts w:ascii="Arial Narrow" w:hAnsi="Arial Narrow"/>
                <w:sz w:val="20"/>
                <w:szCs w:val="20"/>
              </w:rPr>
            </w:pPr>
            <w:r w:rsidRPr="00C50F11">
              <w:rPr>
                <w:rFonts w:ascii="Arial Narrow" w:hAnsi="Arial Narrow"/>
                <w:sz w:val="20"/>
                <w:szCs w:val="20"/>
              </w:rPr>
              <w:t>36</w:t>
            </w:r>
          </w:p>
        </w:tc>
        <w:tc>
          <w:tcPr>
            <w:tcW w:w="6818" w:type="dxa"/>
            <w:tcBorders>
              <w:top w:val="nil"/>
              <w:left w:val="nil"/>
              <w:bottom w:val="single" w:sz="4" w:space="0" w:color="auto"/>
              <w:right w:val="single" w:sz="4" w:space="0" w:color="auto"/>
            </w:tcBorders>
            <w:shd w:val="clear" w:color="auto" w:fill="auto"/>
            <w:noWrap/>
            <w:vAlign w:val="center"/>
          </w:tcPr>
          <w:p w14:paraId="0967C2F4" w14:textId="77777777" w:rsidR="000D1A29" w:rsidRPr="00C50F11" w:rsidRDefault="000D1A29" w:rsidP="00F44BFC">
            <w:pPr>
              <w:rPr>
                <w:rFonts w:ascii="Arial Narrow" w:hAnsi="Arial Narrow"/>
                <w:sz w:val="20"/>
                <w:szCs w:val="20"/>
              </w:rPr>
            </w:pPr>
            <w:r w:rsidRPr="00C50F11">
              <w:rPr>
                <w:rFonts w:ascii="Arial Narrow" w:hAnsi="Arial Narrow"/>
                <w:sz w:val="20"/>
                <w:szCs w:val="20"/>
              </w:rPr>
              <w:t>Други</w:t>
            </w:r>
          </w:p>
        </w:tc>
        <w:tc>
          <w:tcPr>
            <w:tcW w:w="2301" w:type="dxa"/>
            <w:tcBorders>
              <w:top w:val="nil"/>
              <w:left w:val="nil"/>
              <w:bottom w:val="single" w:sz="4" w:space="0" w:color="auto"/>
              <w:right w:val="single" w:sz="4" w:space="0" w:color="auto"/>
            </w:tcBorders>
            <w:shd w:val="clear" w:color="auto" w:fill="auto"/>
            <w:noWrap/>
            <w:vAlign w:val="center"/>
          </w:tcPr>
          <w:p w14:paraId="6CAEB187" w14:textId="77777777" w:rsidR="000D1A29" w:rsidRPr="00C50F11" w:rsidRDefault="000D1A29" w:rsidP="00F44BFC">
            <w:pPr>
              <w:jc w:val="right"/>
              <w:rPr>
                <w:rFonts w:ascii="Arial Narrow" w:hAnsi="Arial Narrow"/>
                <w:sz w:val="20"/>
                <w:szCs w:val="20"/>
              </w:rPr>
            </w:pPr>
            <w:r w:rsidRPr="00C50F11">
              <w:rPr>
                <w:rFonts w:ascii="Arial Narrow" w:hAnsi="Arial Narrow"/>
                <w:sz w:val="20"/>
                <w:szCs w:val="20"/>
              </w:rPr>
              <w:t>0,00</w:t>
            </w:r>
          </w:p>
        </w:tc>
      </w:tr>
      <w:tr w:rsidR="000D1A29" w:rsidRPr="00C50F11" w14:paraId="28A0B6FA" w14:textId="77777777" w:rsidTr="001F3463">
        <w:trPr>
          <w:trHeight w:val="284"/>
        </w:trPr>
        <w:tc>
          <w:tcPr>
            <w:tcW w:w="662" w:type="dxa"/>
            <w:shd w:val="clear" w:color="auto" w:fill="auto"/>
            <w:noWrap/>
            <w:vAlign w:val="center"/>
          </w:tcPr>
          <w:p w14:paraId="3D907AF3" w14:textId="77777777" w:rsidR="000D1A29" w:rsidRPr="00C50F11" w:rsidRDefault="000D1A29" w:rsidP="00F44BFC">
            <w:pPr>
              <w:jc w:val="center"/>
              <w:rPr>
                <w:rFonts w:ascii="Arial Narrow" w:hAnsi="Arial Narrow"/>
                <w:sz w:val="20"/>
                <w:szCs w:val="20"/>
              </w:rPr>
            </w:pPr>
          </w:p>
        </w:tc>
        <w:tc>
          <w:tcPr>
            <w:tcW w:w="6818" w:type="dxa"/>
            <w:shd w:val="clear" w:color="auto" w:fill="auto"/>
            <w:noWrap/>
            <w:vAlign w:val="center"/>
          </w:tcPr>
          <w:p w14:paraId="6AC97FDC" w14:textId="77777777" w:rsidR="000D1A29" w:rsidRPr="00C50F11" w:rsidRDefault="000D1A29" w:rsidP="00F44BFC">
            <w:pPr>
              <w:rPr>
                <w:rFonts w:ascii="Arial Narrow" w:hAnsi="Arial Narrow"/>
                <w:b/>
                <w:sz w:val="20"/>
                <w:szCs w:val="20"/>
              </w:rPr>
            </w:pPr>
            <w:r w:rsidRPr="00C50F11">
              <w:rPr>
                <w:rFonts w:ascii="Arial Narrow" w:hAnsi="Arial Narrow"/>
                <w:b/>
                <w:sz w:val="20"/>
                <w:szCs w:val="20"/>
              </w:rPr>
              <w:t xml:space="preserve">Общо за Черно море </w:t>
            </w:r>
          </w:p>
        </w:tc>
        <w:tc>
          <w:tcPr>
            <w:tcW w:w="2301" w:type="dxa"/>
            <w:tcBorders>
              <w:top w:val="nil"/>
              <w:left w:val="single" w:sz="4" w:space="0" w:color="auto"/>
              <w:bottom w:val="single" w:sz="4" w:space="0" w:color="auto"/>
              <w:right w:val="single" w:sz="4" w:space="0" w:color="auto"/>
            </w:tcBorders>
            <w:shd w:val="clear" w:color="auto" w:fill="auto"/>
            <w:noWrap/>
            <w:vAlign w:val="center"/>
          </w:tcPr>
          <w:p w14:paraId="4F3B14FB" w14:textId="77777777" w:rsidR="000D1A29" w:rsidRPr="00C50F11" w:rsidRDefault="000D1A29" w:rsidP="00F44BFC">
            <w:pPr>
              <w:jc w:val="right"/>
              <w:rPr>
                <w:rFonts w:ascii="Arial Narrow" w:hAnsi="Arial Narrow"/>
                <w:b/>
                <w:sz w:val="20"/>
                <w:szCs w:val="20"/>
              </w:rPr>
            </w:pPr>
            <w:r w:rsidRPr="00C50F11">
              <w:rPr>
                <w:rFonts w:ascii="Arial Narrow" w:hAnsi="Arial Narrow"/>
                <w:b/>
                <w:sz w:val="20"/>
                <w:szCs w:val="20"/>
              </w:rPr>
              <w:t>6 784,236</w:t>
            </w:r>
          </w:p>
        </w:tc>
      </w:tr>
      <w:tr w:rsidR="000D1A29" w:rsidRPr="00C50F11" w14:paraId="049EFAAD" w14:textId="77777777" w:rsidTr="001F3463">
        <w:trPr>
          <w:trHeight w:val="284"/>
        </w:trPr>
        <w:tc>
          <w:tcPr>
            <w:tcW w:w="662" w:type="dxa"/>
            <w:shd w:val="clear" w:color="auto" w:fill="auto"/>
            <w:noWrap/>
            <w:vAlign w:val="center"/>
          </w:tcPr>
          <w:p w14:paraId="38986DD6" w14:textId="77777777" w:rsidR="000D1A29" w:rsidRPr="00C50F11" w:rsidRDefault="000D1A29" w:rsidP="00F44BFC">
            <w:pPr>
              <w:jc w:val="center"/>
              <w:rPr>
                <w:rFonts w:ascii="Arial Narrow" w:hAnsi="Arial Narrow" w:cstheme="minorBidi"/>
                <w:sz w:val="20"/>
                <w:szCs w:val="20"/>
              </w:rPr>
            </w:pPr>
          </w:p>
        </w:tc>
        <w:tc>
          <w:tcPr>
            <w:tcW w:w="6818" w:type="dxa"/>
            <w:shd w:val="clear" w:color="auto" w:fill="auto"/>
            <w:noWrap/>
            <w:vAlign w:val="center"/>
            <w:hideMark/>
          </w:tcPr>
          <w:p w14:paraId="4ABA7C7D" w14:textId="77777777" w:rsidR="000D1A29" w:rsidRPr="00C50F11" w:rsidRDefault="000D1A29" w:rsidP="00F44BFC">
            <w:pPr>
              <w:rPr>
                <w:rFonts w:ascii="Arial Narrow" w:hAnsi="Arial Narrow" w:cstheme="minorBidi"/>
                <w:b/>
                <w:sz w:val="20"/>
                <w:szCs w:val="20"/>
              </w:rPr>
            </w:pPr>
            <w:r w:rsidRPr="00C50F11">
              <w:rPr>
                <w:rFonts w:ascii="Arial Narrow" w:hAnsi="Arial Narrow" w:cstheme="minorBidi"/>
                <w:b/>
                <w:sz w:val="20"/>
                <w:szCs w:val="20"/>
              </w:rPr>
              <w:t>Общо за Черно море и река Дунав</w:t>
            </w:r>
          </w:p>
        </w:tc>
        <w:tc>
          <w:tcPr>
            <w:tcW w:w="2301" w:type="dxa"/>
            <w:tcBorders>
              <w:top w:val="nil"/>
              <w:left w:val="single" w:sz="4" w:space="0" w:color="auto"/>
              <w:bottom w:val="single" w:sz="4" w:space="0" w:color="auto"/>
              <w:right w:val="single" w:sz="4" w:space="0" w:color="auto"/>
            </w:tcBorders>
            <w:shd w:val="clear" w:color="auto" w:fill="auto"/>
            <w:noWrap/>
            <w:vAlign w:val="center"/>
          </w:tcPr>
          <w:p w14:paraId="6F46A7C4" w14:textId="77777777" w:rsidR="000D1A29" w:rsidRPr="00C50F11" w:rsidRDefault="000D1A29" w:rsidP="00F44BFC">
            <w:pPr>
              <w:jc w:val="right"/>
              <w:rPr>
                <w:rFonts w:ascii="Arial Narrow" w:hAnsi="Arial Narrow"/>
                <w:b/>
                <w:sz w:val="20"/>
                <w:szCs w:val="20"/>
              </w:rPr>
            </w:pPr>
            <w:r w:rsidRPr="00C50F11">
              <w:rPr>
                <w:rFonts w:ascii="Arial Narrow" w:hAnsi="Arial Narrow"/>
                <w:b/>
                <w:sz w:val="20"/>
                <w:szCs w:val="20"/>
              </w:rPr>
              <w:t>6 862,492</w:t>
            </w:r>
          </w:p>
        </w:tc>
      </w:tr>
    </w:tbl>
    <w:p w14:paraId="620364AF" w14:textId="77777777" w:rsidR="000D1A29" w:rsidRPr="000D1A29" w:rsidRDefault="000D1A29" w:rsidP="000D1A29">
      <w:pPr>
        <w:tabs>
          <w:tab w:val="left" w:pos="993"/>
        </w:tabs>
        <w:autoSpaceDE w:val="0"/>
        <w:autoSpaceDN w:val="0"/>
        <w:adjustRightInd w:val="0"/>
        <w:spacing w:after="120"/>
        <w:jc w:val="both"/>
        <w:rPr>
          <w:rFonts w:ascii="Arial Narrow" w:hAnsi="Arial Narrow" w:cstheme="minorBidi"/>
          <w:sz w:val="18"/>
          <w:szCs w:val="18"/>
        </w:rPr>
      </w:pPr>
      <w:r w:rsidRPr="000D1A29">
        <w:rPr>
          <w:rFonts w:ascii="Arial Narrow" w:hAnsi="Arial Narrow" w:cstheme="minorBidi"/>
          <w:i/>
          <w:iCs/>
          <w:sz w:val="18"/>
          <w:szCs w:val="18"/>
        </w:rPr>
        <w:t xml:space="preserve"> Източник</w:t>
      </w:r>
      <w:r w:rsidRPr="000D1A29">
        <w:rPr>
          <w:rFonts w:ascii="Arial Narrow" w:hAnsi="Arial Narrow" w:cstheme="minorBidi"/>
          <w:i/>
          <w:sz w:val="18"/>
          <w:szCs w:val="18"/>
        </w:rPr>
        <w:t xml:space="preserve">: </w:t>
      </w:r>
      <w:r w:rsidRPr="000D1A29">
        <w:rPr>
          <w:rFonts w:ascii="Arial Narrow" w:hAnsi="Arial Narrow" w:cstheme="minorBidi"/>
          <w:sz w:val="18"/>
          <w:szCs w:val="18"/>
        </w:rPr>
        <w:t>ИАРА</w:t>
      </w:r>
    </w:p>
    <w:p w14:paraId="373A835D" w14:textId="77777777" w:rsidR="000D1A29" w:rsidRPr="009F0936" w:rsidRDefault="000D1A29" w:rsidP="000D1A29">
      <w:pPr>
        <w:widowControl w:val="0"/>
        <w:spacing w:after="120" w:line="276" w:lineRule="auto"/>
        <w:ind w:firstLine="709"/>
        <w:jc w:val="both"/>
        <w:rPr>
          <w:rFonts w:ascii="Arial Narrow" w:eastAsiaTheme="minorHAnsi" w:hAnsi="Arial Narrow" w:cstheme="minorBidi"/>
        </w:rPr>
      </w:pPr>
      <w:r>
        <w:rPr>
          <w:rFonts w:ascii="Arial Narrow" w:eastAsiaTheme="minorHAnsi" w:hAnsi="Arial Narrow" w:cstheme="minorBidi"/>
        </w:rPr>
        <w:t>П</w:t>
      </w:r>
      <w:r w:rsidRPr="009F0936">
        <w:rPr>
          <w:rFonts w:ascii="Arial Narrow" w:eastAsiaTheme="minorHAnsi" w:hAnsi="Arial Narrow" w:cstheme="minorBidi"/>
        </w:rPr>
        <w:t xml:space="preserve">рез първите шест месеца на 2025 г. </w:t>
      </w:r>
      <w:r>
        <w:rPr>
          <w:rFonts w:ascii="Arial Narrow" w:eastAsiaTheme="minorHAnsi" w:hAnsi="Arial Narrow" w:cstheme="minorBidi"/>
        </w:rPr>
        <w:t>е о</w:t>
      </w:r>
      <w:r w:rsidRPr="009F0936">
        <w:rPr>
          <w:rFonts w:ascii="Arial Narrow" w:eastAsiaTheme="minorHAnsi" w:hAnsi="Arial Narrow" w:cstheme="minorBidi"/>
        </w:rPr>
        <w:t xml:space="preserve">тчетен общ стопански улов на риба и други водни организми </w:t>
      </w:r>
      <w:r>
        <w:rPr>
          <w:rFonts w:ascii="Arial Narrow" w:eastAsiaTheme="minorHAnsi" w:hAnsi="Arial Narrow" w:cstheme="minorBidi"/>
        </w:rPr>
        <w:t xml:space="preserve">в размер </w:t>
      </w:r>
      <w:r w:rsidRPr="009F0936">
        <w:rPr>
          <w:rFonts w:ascii="Arial Narrow" w:eastAsiaTheme="minorHAnsi" w:hAnsi="Arial Narrow" w:cstheme="minorBidi"/>
        </w:rPr>
        <w:t>на 3</w:t>
      </w:r>
      <w:r>
        <w:rPr>
          <w:rFonts w:ascii="Arial Narrow" w:eastAsiaTheme="minorHAnsi" w:hAnsi="Arial Narrow" w:cstheme="minorBidi"/>
        </w:rPr>
        <w:t> 936,</w:t>
      </w:r>
      <w:r w:rsidRPr="009F0936">
        <w:rPr>
          <w:rFonts w:ascii="Arial Narrow" w:eastAsiaTheme="minorHAnsi" w:hAnsi="Arial Narrow" w:cstheme="minorBidi"/>
        </w:rPr>
        <w:t xml:space="preserve">9 тона, с 2,8% повече спрямо същия период на 2024 г. Уловът в Черно море </w:t>
      </w:r>
      <w:r w:rsidR="00905583">
        <w:rPr>
          <w:rFonts w:ascii="Arial Narrow" w:eastAsiaTheme="minorHAnsi" w:hAnsi="Arial Narrow" w:cstheme="minorBidi"/>
          <w:lang w:val="bg-BG"/>
        </w:rPr>
        <w:t>е в размер на</w:t>
      </w:r>
      <w:r w:rsidRPr="009F0936">
        <w:rPr>
          <w:rFonts w:ascii="Arial Narrow" w:eastAsiaTheme="minorHAnsi" w:hAnsi="Arial Narrow" w:cstheme="minorBidi"/>
        </w:rPr>
        <w:t xml:space="preserve"> 3 909,</w:t>
      </w:r>
      <w:r>
        <w:rPr>
          <w:rFonts w:ascii="Arial Narrow" w:eastAsiaTheme="minorHAnsi" w:hAnsi="Arial Narrow" w:cstheme="minorBidi"/>
        </w:rPr>
        <w:t>3</w:t>
      </w:r>
      <w:r w:rsidRPr="009F0936">
        <w:rPr>
          <w:rFonts w:ascii="Arial Narrow" w:eastAsiaTheme="minorHAnsi" w:hAnsi="Arial Narrow" w:cstheme="minorBidi"/>
        </w:rPr>
        <w:t xml:space="preserve"> тона, а този в река Дунав </w:t>
      </w:r>
      <w:r w:rsidR="00905583">
        <w:rPr>
          <w:rFonts w:ascii="Arial Narrow" w:eastAsiaTheme="minorHAnsi" w:hAnsi="Arial Narrow" w:cstheme="minorBidi"/>
          <w:lang w:val="bg-BG"/>
        </w:rPr>
        <w:t>-</w:t>
      </w:r>
      <w:r w:rsidRPr="009F0936">
        <w:rPr>
          <w:rFonts w:ascii="Arial Narrow" w:eastAsiaTheme="minorHAnsi" w:hAnsi="Arial Narrow" w:cstheme="minorBidi"/>
        </w:rPr>
        <w:t xml:space="preserve"> 27,6 тона.  </w:t>
      </w:r>
    </w:p>
    <w:p w14:paraId="5ACE4EF1" w14:textId="77777777" w:rsidR="000D1A29" w:rsidRPr="003B2E40" w:rsidRDefault="000D1A29" w:rsidP="000D1A29">
      <w:pPr>
        <w:spacing w:after="120"/>
        <w:ind w:firstLine="709"/>
        <w:jc w:val="both"/>
        <w:rPr>
          <w:rFonts w:ascii="Arial Narrow" w:hAnsi="Arial Narrow" w:cstheme="minorBidi"/>
          <w:b/>
        </w:rPr>
      </w:pPr>
      <w:r w:rsidRPr="003B2E40">
        <w:rPr>
          <w:rFonts w:ascii="Arial Narrow" w:hAnsi="Arial Narrow" w:cstheme="minorBidi"/>
          <w:b/>
        </w:rPr>
        <w:t xml:space="preserve">Производство на риба и други водни организми </w:t>
      </w:r>
    </w:p>
    <w:p w14:paraId="37B74A52" w14:textId="77777777" w:rsidR="000D1A29" w:rsidRPr="009F0936" w:rsidRDefault="000D1A29" w:rsidP="000D1A29">
      <w:pPr>
        <w:widowControl w:val="0"/>
        <w:spacing w:after="120" w:line="276" w:lineRule="auto"/>
        <w:ind w:firstLine="709"/>
        <w:jc w:val="both"/>
        <w:rPr>
          <w:rFonts w:ascii="Arial Narrow" w:eastAsiaTheme="minorHAnsi" w:hAnsi="Arial Narrow" w:cstheme="minorBidi"/>
        </w:rPr>
      </w:pPr>
      <w:r w:rsidRPr="003B2E40">
        <w:rPr>
          <w:rFonts w:ascii="Arial Narrow" w:eastAsiaTheme="minorHAnsi" w:hAnsi="Arial Narrow" w:cstheme="minorBidi"/>
        </w:rPr>
        <w:t xml:space="preserve">По данни на ИАРА, към края на 2024 г. общият </w:t>
      </w:r>
      <w:r w:rsidRPr="009F0936">
        <w:rPr>
          <w:rFonts w:ascii="Arial Narrow" w:eastAsiaTheme="minorHAnsi" w:hAnsi="Arial Narrow" w:cstheme="minorBidi"/>
        </w:rPr>
        <w:t>брой на активните рибовъдни стопанства в страната е 690. От тях, 668  са за сладководни аквакултури и 22 - за морски аквакултури.</w:t>
      </w:r>
    </w:p>
    <w:p w14:paraId="0DAAEC4E" w14:textId="77777777" w:rsidR="000D1A29" w:rsidRPr="00950EAC" w:rsidRDefault="000D1A29" w:rsidP="000D1A29">
      <w:pPr>
        <w:spacing w:after="120"/>
        <w:ind w:firstLine="709"/>
        <w:jc w:val="both"/>
        <w:rPr>
          <w:rFonts w:ascii="Arial Narrow" w:hAnsi="Arial Narrow"/>
        </w:rPr>
      </w:pPr>
      <w:r w:rsidRPr="00950EAC">
        <w:rPr>
          <w:rFonts w:ascii="Arial Narrow" w:hAnsi="Arial Narrow"/>
        </w:rPr>
        <w:lastRenderedPageBreak/>
        <w:t xml:space="preserve">През 2024 г. в специализираните рибовъдни стопанства </w:t>
      </w:r>
      <w:r>
        <w:rPr>
          <w:rFonts w:ascii="Arial Narrow" w:hAnsi="Arial Narrow"/>
        </w:rPr>
        <w:t>са произведени общо</w:t>
      </w:r>
      <w:r w:rsidRPr="00950EAC">
        <w:rPr>
          <w:rFonts w:ascii="Arial Narrow" w:hAnsi="Arial Narrow"/>
        </w:rPr>
        <w:t xml:space="preserve"> 14 84</w:t>
      </w:r>
      <w:r>
        <w:rPr>
          <w:rFonts w:ascii="Arial Narrow" w:hAnsi="Arial Narrow"/>
        </w:rPr>
        <w:t>4</w:t>
      </w:r>
      <w:r w:rsidRPr="00950EAC">
        <w:rPr>
          <w:rFonts w:ascii="Arial Narrow" w:hAnsi="Arial Narrow"/>
        </w:rPr>
        <w:t xml:space="preserve"> тона аквакултури (зарибителен материал, риба и други водни организми за консумация)</w:t>
      </w:r>
      <w:r>
        <w:rPr>
          <w:rFonts w:ascii="Arial Narrow" w:hAnsi="Arial Narrow"/>
        </w:rPr>
        <w:t xml:space="preserve"> </w:t>
      </w:r>
      <w:r w:rsidRPr="00950EAC">
        <w:rPr>
          <w:rFonts w:ascii="Arial Narrow" w:hAnsi="Arial Narrow"/>
        </w:rPr>
        <w:t>– с 3,2% повече спрямо предходната година.</w:t>
      </w:r>
    </w:p>
    <w:p w14:paraId="71382EDF" w14:textId="77777777" w:rsidR="000D1A29" w:rsidRPr="004D2C93" w:rsidRDefault="000D1A29" w:rsidP="000D1A29">
      <w:pPr>
        <w:tabs>
          <w:tab w:val="left" w:pos="1276"/>
        </w:tabs>
        <w:autoSpaceDE w:val="0"/>
        <w:autoSpaceDN w:val="0"/>
        <w:adjustRightInd w:val="0"/>
        <w:spacing w:after="120"/>
        <w:jc w:val="center"/>
        <w:rPr>
          <w:rFonts w:ascii="Arial Narrow" w:eastAsiaTheme="minorHAnsi" w:hAnsi="Arial Narrow" w:cstheme="minorBidi"/>
          <w:b/>
          <w:i/>
        </w:rPr>
      </w:pPr>
      <w:r w:rsidRPr="004D2C93">
        <w:rPr>
          <w:rFonts w:ascii="Arial Narrow" w:eastAsiaTheme="minorHAnsi" w:hAnsi="Arial Narrow" w:cstheme="minorBidi"/>
          <w:b/>
          <w:i/>
        </w:rPr>
        <w:t>Фигура VІІ.2. Производство на риба и други организми в специализирани рибовъдни стопанства за периода 2020 – 2024 г., тона</w:t>
      </w:r>
    </w:p>
    <w:p w14:paraId="136B063E" w14:textId="77777777" w:rsidR="000D1A29" w:rsidRPr="00FE7455" w:rsidRDefault="000D1A29" w:rsidP="000D1A29">
      <w:pPr>
        <w:tabs>
          <w:tab w:val="left" w:pos="1276"/>
        </w:tabs>
        <w:autoSpaceDE w:val="0"/>
        <w:autoSpaceDN w:val="0"/>
        <w:adjustRightInd w:val="0"/>
        <w:spacing w:before="240" w:after="120"/>
        <w:jc w:val="center"/>
        <w:rPr>
          <w:rFonts w:ascii="Arial Narrow" w:eastAsiaTheme="minorHAnsi" w:hAnsi="Arial Narrow" w:cstheme="minorBidi"/>
          <w:b/>
          <w:i/>
        </w:rPr>
      </w:pPr>
      <w:r>
        <w:rPr>
          <w:noProof/>
        </w:rPr>
        <w:drawing>
          <wp:inline distT="0" distB="0" distL="0" distR="0" wp14:anchorId="667C0045" wp14:editId="3E233D7E">
            <wp:extent cx="5040000" cy="3060000"/>
            <wp:effectExtent l="0" t="0" r="8255" b="7620"/>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0BDB3B4A" w14:textId="77777777" w:rsidR="000D1A29" w:rsidRPr="000D1A29" w:rsidRDefault="000D1A29" w:rsidP="000D1A29">
      <w:pPr>
        <w:tabs>
          <w:tab w:val="left" w:pos="993"/>
        </w:tabs>
        <w:autoSpaceDE w:val="0"/>
        <w:autoSpaceDN w:val="0"/>
        <w:adjustRightInd w:val="0"/>
        <w:spacing w:after="120"/>
        <w:jc w:val="both"/>
        <w:rPr>
          <w:rFonts w:ascii="Arial Narrow" w:hAnsi="Arial Narrow" w:cs="Arial"/>
          <w:iCs/>
          <w:sz w:val="18"/>
        </w:rPr>
      </w:pPr>
      <w:r w:rsidRPr="000D1A29">
        <w:rPr>
          <w:rFonts w:ascii="Arial Narrow" w:hAnsi="Arial Narrow" w:cstheme="minorBidi"/>
          <w:i/>
          <w:color w:val="FF0000"/>
          <w:sz w:val="18"/>
          <w:szCs w:val="18"/>
        </w:rPr>
        <w:tab/>
      </w:r>
      <w:r w:rsidRPr="000D1A29">
        <w:rPr>
          <w:rFonts w:ascii="Arial Narrow" w:hAnsi="Arial Narrow" w:cstheme="minorBidi"/>
          <w:i/>
          <w:sz w:val="18"/>
          <w:szCs w:val="18"/>
        </w:rPr>
        <w:t xml:space="preserve">Източник: </w:t>
      </w:r>
      <w:r w:rsidRPr="000D1A29">
        <w:rPr>
          <w:rFonts w:ascii="Arial Narrow" w:hAnsi="Arial Narrow" w:cstheme="minorBidi"/>
          <w:sz w:val="18"/>
          <w:szCs w:val="18"/>
        </w:rPr>
        <w:t>ИАРА</w:t>
      </w:r>
      <w:r w:rsidRPr="000D1A29">
        <w:rPr>
          <w:rFonts w:ascii="Arial Narrow" w:hAnsi="Arial Narrow" w:cstheme="minorBidi"/>
          <w:i/>
          <w:sz w:val="18"/>
          <w:szCs w:val="18"/>
        </w:rPr>
        <w:t xml:space="preserve"> </w:t>
      </w:r>
      <w:r w:rsidRPr="000D1A29">
        <w:rPr>
          <w:rFonts w:ascii="Arial Narrow" w:hAnsi="Arial Narrow" w:cs="Arial"/>
          <w:iCs/>
          <w:sz w:val="18"/>
        </w:rPr>
        <w:t>(данните за 2024 г. са актуални към 30.06.2025 г.)</w:t>
      </w:r>
    </w:p>
    <w:p w14:paraId="747E3349" w14:textId="77777777" w:rsidR="000D1A29" w:rsidRPr="006A2D59" w:rsidRDefault="000D1A29" w:rsidP="000D1A29">
      <w:pPr>
        <w:spacing w:after="120"/>
        <w:ind w:firstLine="709"/>
        <w:jc w:val="both"/>
        <w:rPr>
          <w:rFonts w:ascii="Arial Narrow" w:hAnsi="Arial Narrow"/>
        </w:rPr>
      </w:pPr>
      <w:r w:rsidRPr="006A2D59">
        <w:rPr>
          <w:rFonts w:ascii="Arial Narrow" w:hAnsi="Arial Narrow"/>
        </w:rPr>
        <w:t>Общо отчетеното производство на зарибителен материал в рибовъдните стопанства е 1 592,2 тона, отбелязвайки повиш</w:t>
      </w:r>
      <w:r>
        <w:rPr>
          <w:rFonts w:ascii="Arial Narrow" w:hAnsi="Arial Narrow"/>
        </w:rPr>
        <w:t>ение</w:t>
      </w:r>
      <w:r w:rsidRPr="006A2D59">
        <w:rPr>
          <w:rFonts w:ascii="Arial Narrow" w:hAnsi="Arial Narrow"/>
        </w:rPr>
        <w:t xml:space="preserve"> с 12,6% спрямо предходната година. Това се дължи главно на по</w:t>
      </w:r>
      <w:r>
        <w:rPr>
          <w:rFonts w:ascii="Arial Narrow" w:hAnsi="Arial Narrow"/>
        </w:rPr>
        <w:t xml:space="preserve">-голямото </w:t>
      </w:r>
      <w:r w:rsidRPr="006A2D59">
        <w:rPr>
          <w:rFonts w:ascii="Arial Narrow" w:hAnsi="Arial Narrow"/>
        </w:rPr>
        <w:t>производство на зарибителен материал на няко</w:t>
      </w:r>
      <w:r>
        <w:rPr>
          <w:rFonts w:ascii="Arial Narrow" w:hAnsi="Arial Narrow"/>
        </w:rPr>
        <w:t>и</w:t>
      </w:r>
      <w:r w:rsidRPr="006A2D59">
        <w:rPr>
          <w:rFonts w:ascii="Arial Narrow" w:hAnsi="Arial Narrow"/>
        </w:rPr>
        <w:t xml:space="preserve"> от основните видове риби</w:t>
      </w:r>
      <w:r>
        <w:rPr>
          <w:rFonts w:ascii="Arial Narrow" w:hAnsi="Arial Narrow"/>
        </w:rPr>
        <w:t>,</w:t>
      </w:r>
      <w:r w:rsidRPr="006A2D59">
        <w:rPr>
          <w:rFonts w:ascii="Arial Narrow" w:hAnsi="Arial Narrow"/>
        </w:rPr>
        <w:t xml:space="preserve"> отглеждани в рибовъдните стопанства, </w:t>
      </w:r>
      <w:r>
        <w:rPr>
          <w:rFonts w:ascii="Arial Narrow" w:hAnsi="Arial Narrow"/>
        </w:rPr>
        <w:t xml:space="preserve">като </w:t>
      </w:r>
      <w:r w:rsidR="0059698E">
        <w:rPr>
          <w:rFonts w:ascii="Arial Narrow" w:hAnsi="Arial Narrow"/>
        </w:rPr>
        <w:t>дъгова пъстърва -</w:t>
      </w:r>
      <w:r w:rsidRPr="006A2D59">
        <w:rPr>
          <w:rFonts w:ascii="Arial Narrow" w:hAnsi="Arial Narrow"/>
        </w:rPr>
        <w:t xml:space="preserve"> с 6,3%</w:t>
      </w:r>
      <w:r>
        <w:rPr>
          <w:rFonts w:ascii="Arial Narrow" w:hAnsi="Arial Narrow"/>
        </w:rPr>
        <w:t>,</w:t>
      </w:r>
      <w:r w:rsidR="0059698E">
        <w:rPr>
          <w:rFonts w:ascii="Arial Narrow" w:hAnsi="Arial Narrow"/>
        </w:rPr>
        <w:t xml:space="preserve"> шаран - с 8,1%, пъстър толстолоб -</w:t>
      </w:r>
      <w:r w:rsidRPr="006A2D59">
        <w:rPr>
          <w:rFonts w:ascii="Arial Narrow" w:hAnsi="Arial Narrow"/>
        </w:rPr>
        <w:t xml:space="preserve"> с 13,3%, бял </w:t>
      </w:r>
      <w:r w:rsidR="0059698E">
        <w:rPr>
          <w:rFonts w:ascii="Arial Narrow" w:hAnsi="Arial Narrow"/>
        </w:rPr>
        <w:t>амур -</w:t>
      </w:r>
      <w:r w:rsidRPr="006A2D59">
        <w:rPr>
          <w:rFonts w:ascii="Arial Narrow" w:hAnsi="Arial Narrow"/>
        </w:rPr>
        <w:t xml:space="preserve"> с 21,7%, бял толстолоб </w:t>
      </w:r>
      <w:r w:rsidR="0059698E">
        <w:rPr>
          <w:rFonts w:ascii="Arial Narrow" w:hAnsi="Arial Narrow"/>
          <w:lang w:val="bg-BG"/>
        </w:rPr>
        <w:t>-</w:t>
      </w:r>
      <w:r w:rsidR="0059698E">
        <w:rPr>
          <w:rFonts w:ascii="Arial Narrow" w:hAnsi="Arial Narrow"/>
        </w:rPr>
        <w:t xml:space="preserve"> с 58,3%, африкански сом -</w:t>
      </w:r>
      <w:r>
        <w:rPr>
          <w:rFonts w:ascii="Arial Narrow" w:hAnsi="Arial Narrow"/>
        </w:rPr>
        <w:t xml:space="preserve"> </w:t>
      </w:r>
      <w:r w:rsidR="0059698E">
        <w:rPr>
          <w:rFonts w:ascii="Arial Narrow" w:hAnsi="Arial Narrow"/>
        </w:rPr>
        <w:t>над два пъти, руска есетра -</w:t>
      </w:r>
      <w:r w:rsidRPr="006A2D59">
        <w:rPr>
          <w:rFonts w:ascii="Arial Narrow" w:hAnsi="Arial Narrow"/>
        </w:rPr>
        <w:t xml:space="preserve"> над четири пъти. </w:t>
      </w:r>
    </w:p>
    <w:p w14:paraId="28827A92" w14:textId="77777777" w:rsidR="000D1A29" w:rsidRPr="001A2CDB" w:rsidRDefault="000D1A29" w:rsidP="000D1A29">
      <w:pPr>
        <w:spacing w:after="120"/>
        <w:ind w:firstLine="709"/>
        <w:jc w:val="both"/>
        <w:rPr>
          <w:rFonts w:ascii="Arial Narrow" w:hAnsi="Arial Narrow"/>
        </w:rPr>
      </w:pPr>
      <w:r w:rsidRPr="001A2CDB">
        <w:rPr>
          <w:rFonts w:ascii="Arial Narrow" w:hAnsi="Arial Narrow"/>
        </w:rPr>
        <w:t>През 2024 г. производството на риба и други водни организми за консумац</w:t>
      </w:r>
      <w:r w:rsidR="0059698E">
        <w:rPr>
          <w:rFonts w:ascii="Arial Narrow" w:hAnsi="Arial Narrow"/>
        </w:rPr>
        <w:t>ия е в размер на 13 251,8 тона -</w:t>
      </w:r>
      <w:r w:rsidRPr="001A2CDB">
        <w:rPr>
          <w:rFonts w:ascii="Arial Narrow" w:hAnsi="Arial Narrow"/>
        </w:rPr>
        <w:t xml:space="preserve"> с 2,4%  повече </w:t>
      </w:r>
      <w:r>
        <w:rPr>
          <w:rFonts w:ascii="Arial Narrow" w:hAnsi="Arial Narrow"/>
        </w:rPr>
        <w:t>на годишна база</w:t>
      </w:r>
      <w:r w:rsidRPr="001A2CDB">
        <w:rPr>
          <w:rFonts w:ascii="Arial Narrow" w:hAnsi="Arial Narrow"/>
        </w:rPr>
        <w:t xml:space="preserve">. </w:t>
      </w:r>
      <w:r w:rsidRPr="006A2D59">
        <w:rPr>
          <w:rFonts w:ascii="Arial Narrow" w:hAnsi="Arial Narrow"/>
        </w:rPr>
        <w:t>Традиционно най-голямо е производството на риба за консумация от видовете дъгова пъстърва, шаран и пъстър толстолоб.</w:t>
      </w:r>
      <w:r>
        <w:rPr>
          <w:rFonts w:ascii="Arial Narrow" w:hAnsi="Arial Narrow"/>
        </w:rPr>
        <w:t xml:space="preserve"> </w:t>
      </w:r>
      <w:r w:rsidRPr="001A2CDB">
        <w:rPr>
          <w:rFonts w:ascii="Arial Narrow" w:hAnsi="Arial Narrow"/>
        </w:rPr>
        <w:t xml:space="preserve">Спрямо предходната година се наблюдава </w:t>
      </w:r>
      <w:r>
        <w:rPr>
          <w:rFonts w:ascii="Arial Narrow" w:hAnsi="Arial Narrow"/>
        </w:rPr>
        <w:t>съществено</w:t>
      </w:r>
      <w:r w:rsidRPr="001A2CDB">
        <w:rPr>
          <w:rFonts w:ascii="Arial Narrow" w:hAnsi="Arial Narrow"/>
        </w:rPr>
        <w:t xml:space="preserve"> нарастване на производство</w:t>
      </w:r>
      <w:r>
        <w:rPr>
          <w:rFonts w:ascii="Arial Narrow" w:hAnsi="Arial Narrow"/>
        </w:rPr>
        <w:t>то</w:t>
      </w:r>
      <w:r w:rsidRPr="001A2CDB">
        <w:rPr>
          <w:rFonts w:ascii="Arial Narrow" w:hAnsi="Arial Narrow"/>
        </w:rPr>
        <w:t xml:space="preserve"> на риба за консумац</w:t>
      </w:r>
      <w:r w:rsidR="0059698E">
        <w:rPr>
          <w:rFonts w:ascii="Arial Narrow" w:hAnsi="Arial Narrow"/>
        </w:rPr>
        <w:t>ия от видовете дъгова пъстърва -</w:t>
      </w:r>
      <w:r w:rsidRPr="001A2CDB">
        <w:rPr>
          <w:rFonts w:ascii="Arial Narrow" w:hAnsi="Arial Narrow"/>
        </w:rPr>
        <w:t xml:space="preserve"> с 20,9%</w:t>
      </w:r>
      <w:r>
        <w:rPr>
          <w:rFonts w:ascii="Arial Narrow" w:hAnsi="Arial Narrow"/>
        </w:rPr>
        <w:t>,</w:t>
      </w:r>
      <w:r w:rsidR="0059698E">
        <w:rPr>
          <w:rFonts w:ascii="Arial Narrow" w:hAnsi="Arial Narrow"/>
        </w:rPr>
        <w:t xml:space="preserve"> шаран -</w:t>
      </w:r>
      <w:r w:rsidRPr="001A2CDB">
        <w:rPr>
          <w:rFonts w:ascii="Arial Narrow" w:hAnsi="Arial Narrow"/>
        </w:rPr>
        <w:t xml:space="preserve"> с </w:t>
      </w:r>
      <w:r>
        <w:rPr>
          <w:rFonts w:ascii="Arial Narrow" w:hAnsi="Arial Narrow"/>
        </w:rPr>
        <w:t>4,5</w:t>
      </w:r>
      <w:r w:rsidRPr="001A2CDB">
        <w:rPr>
          <w:rFonts w:ascii="Arial Narrow" w:hAnsi="Arial Narrow"/>
        </w:rPr>
        <w:t>%,</w:t>
      </w:r>
      <w:r>
        <w:rPr>
          <w:rFonts w:ascii="Arial Narrow" w:hAnsi="Arial Narrow"/>
        </w:rPr>
        <w:t xml:space="preserve"> </w:t>
      </w:r>
      <w:r w:rsidR="0059698E">
        <w:rPr>
          <w:rFonts w:ascii="Arial Narrow" w:hAnsi="Arial Narrow"/>
        </w:rPr>
        <w:t>бял толстолоб -</w:t>
      </w:r>
      <w:r w:rsidRPr="001A2CDB">
        <w:rPr>
          <w:rFonts w:ascii="Arial Narrow" w:hAnsi="Arial Narrow"/>
        </w:rPr>
        <w:t xml:space="preserve"> </w:t>
      </w:r>
      <w:r>
        <w:rPr>
          <w:rFonts w:ascii="Arial Narrow" w:hAnsi="Arial Narrow"/>
        </w:rPr>
        <w:t xml:space="preserve">с </w:t>
      </w:r>
      <w:r w:rsidR="0059698E">
        <w:rPr>
          <w:rFonts w:ascii="Arial Narrow" w:hAnsi="Arial Narrow"/>
        </w:rPr>
        <w:t>36,1%, бял амур -</w:t>
      </w:r>
      <w:r w:rsidRPr="001A2CDB">
        <w:rPr>
          <w:rFonts w:ascii="Arial Narrow" w:hAnsi="Arial Narrow"/>
        </w:rPr>
        <w:t xml:space="preserve"> с 20,2%</w:t>
      </w:r>
      <w:r>
        <w:rPr>
          <w:rFonts w:ascii="Arial Narrow" w:hAnsi="Arial Narrow"/>
        </w:rPr>
        <w:t xml:space="preserve"> </w:t>
      </w:r>
      <w:r w:rsidRPr="00FA5676">
        <w:rPr>
          <w:rFonts w:ascii="Arial Narrow" w:hAnsi="Arial Narrow"/>
        </w:rPr>
        <w:t>и</w:t>
      </w:r>
      <w:r w:rsidR="0059698E" w:rsidRPr="00FA5676">
        <w:rPr>
          <w:rFonts w:ascii="Arial Narrow" w:hAnsi="Arial Narrow"/>
        </w:rPr>
        <w:t xml:space="preserve"> моруна -</w:t>
      </w:r>
      <w:r w:rsidRPr="00FA5676">
        <w:rPr>
          <w:rFonts w:ascii="Arial Narrow" w:hAnsi="Arial Narrow"/>
        </w:rPr>
        <w:t xml:space="preserve"> със 78,6%.</w:t>
      </w:r>
      <w:r w:rsidRPr="001A2CDB">
        <w:rPr>
          <w:rFonts w:ascii="Arial Narrow" w:hAnsi="Arial Narrow"/>
        </w:rPr>
        <w:t xml:space="preserve"> </w:t>
      </w:r>
    </w:p>
    <w:p w14:paraId="30A5010A" w14:textId="77777777" w:rsidR="000D1A29" w:rsidRPr="006A2D59" w:rsidRDefault="000D1A29" w:rsidP="000D1A29">
      <w:pPr>
        <w:spacing w:after="120"/>
        <w:ind w:firstLine="709"/>
        <w:jc w:val="both"/>
        <w:rPr>
          <w:rFonts w:ascii="Arial Narrow" w:hAnsi="Arial Narrow"/>
        </w:rPr>
      </w:pPr>
      <w:r w:rsidRPr="006A2D59">
        <w:rPr>
          <w:rFonts w:ascii="Arial Narrow" w:hAnsi="Arial Narrow"/>
        </w:rPr>
        <w:t>През годината е отчетено производство на видове риби, които са прилов в екстензивните и полуин</w:t>
      </w:r>
      <w:r w:rsidR="0059698E">
        <w:rPr>
          <w:rFonts w:ascii="Arial Narrow" w:hAnsi="Arial Narrow"/>
        </w:rPr>
        <w:t>тензивни топловодни стопанства -</w:t>
      </w:r>
      <w:r w:rsidRPr="006A2D59">
        <w:rPr>
          <w:rFonts w:ascii="Arial Narrow" w:hAnsi="Arial Narrow"/>
        </w:rPr>
        <w:t xml:space="preserve"> платика, уклей, речен костур и червеноперка. Тези видове не са обект на целенасочено развъждане и отглеждане в аквакултурното производство.</w:t>
      </w:r>
    </w:p>
    <w:p w14:paraId="4525B9D8" w14:textId="77777777" w:rsidR="000D1A29" w:rsidRPr="006A2D59" w:rsidRDefault="000D1A29" w:rsidP="000D1A29">
      <w:pPr>
        <w:spacing w:after="120"/>
        <w:ind w:firstLine="709"/>
        <w:jc w:val="both"/>
        <w:rPr>
          <w:rFonts w:ascii="Arial Narrow" w:hAnsi="Arial Narrow"/>
        </w:rPr>
      </w:pPr>
      <w:r w:rsidRPr="006A2D59">
        <w:rPr>
          <w:rFonts w:ascii="Arial Narrow" w:hAnsi="Arial Narrow"/>
        </w:rPr>
        <w:t xml:space="preserve">Основният вид от морските аквакултури, отглеждани в крайбрежните акватории на страната, е черната морска мида. През 2024 г. нейното производство </w:t>
      </w:r>
      <w:r>
        <w:rPr>
          <w:rFonts w:ascii="Arial Narrow" w:hAnsi="Arial Narrow"/>
        </w:rPr>
        <w:t>спада</w:t>
      </w:r>
      <w:r w:rsidRPr="006A2D59">
        <w:rPr>
          <w:rFonts w:ascii="Arial Narrow" w:hAnsi="Arial Narrow"/>
        </w:rPr>
        <w:t xml:space="preserve"> с 33,5% спрямо предходната година, до 1 697,9 тона.</w:t>
      </w:r>
    </w:p>
    <w:p w14:paraId="53576BCF" w14:textId="77777777" w:rsidR="000D1A29" w:rsidRPr="004D2C93" w:rsidRDefault="000D1A29" w:rsidP="000D1A29">
      <w:pPr>
        <w:spacing w:after="120"/>
        <w:jc w:val="both"/>
        <w:rPr>
          <w:rFonts w:ascii="Arial Narrow" w:hAnsi="Arial Narrow" w:cstheme="minorBidi"/>
          <w:b/>
          <w:bCs/>
        </w:rPr>
      </w:pPr>
      <w:r w:rsidRPr="004D2C93">
        <w:rPr>
          <w:rFonts w:ascii="Arial Narrow" w:hAnsi="Arial Narrow" w:cstheme="minorBidi"/>
          <w:b/>
          <w:bCs/>
        </w:rPr>
        <w:t>Таблица VІІ.3. Производство на зарибителен материал, риба и водни организми в рибовъдните стопанства, тона</w:t>
      </w:r>
    </w:p>
    <w:tbl>
      <w:tblPr>
        <w:tblW w:w="9902"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2787"/>
        <w:gridCol w:w="1084"/>
        <w:gridCol w:w="1093"/>
        <w:gridCol w:w="1112"/>
        <w:gridCol w:w="1114"/>
        <w:gridCol w:w="1112"/>
        <w:gridCol w:w="1114"/>
      </w:tblGrid>
      <w:tr w:rsidR="000D1A29" w:rsidRPr="004D2C93" w14:paraId="7898E1DE" w14:textId="77777777" w:rsidTr="00F44BFC">
        <w:trPr>
          <w:trHeight w:val="567"/>
          <w:tblHeader/>
        </w:trPr>
        <w:tc>
          <w:tcPr>
            <w:tcW w:w="486" w:type="dxa"/>
            <w:shd w:val="clear" w:color="auto" w:fill="auto"/>
            <w:noWrap/>
            <w:vAlign w:val="center"/>
            <w:hideMark/>
          </w:tcPr>
          <w:p w14:paraId="5BCFC3F5" w14:textId="77777777" w:rsidR="000D1A29" w:rsidRPr="004D2C93" w:rsidRDefault="000D1A29" w:rsidP="00F44BFC">
            <w:pPr>
              <w:jc w:val="center"/>
              <w:rPr>
                <w:rFonts w:ascii="Arial Narrow" w:hAnsi="Arial Narrow" w:cs="Arial"/>
                <w:b/>
                <w:bCs/>
                <w:sz w:val="20"/>
                <w:szCs w:val="20"/>
              </w:rPr>
            </w:pPr>
            <w:r w:rsidRPr="004D2C93">
              <w:rPr>
                <w:rFonts w:ascii="Arial Narrow" w:hAnsi="Arial Narrow" w:cs="Arial"/>
                <w:b/>
                <w:bCs/>
                <w:sz w:val="20"/>
                <w:szCs w:val="20"/>
              </w:rPr>
              <w:t>№</w:t>
            </w:r>
          </w:p>
        </w:tc>
        <w:tc>
          <w:tcPr>
            <w:tcW w:w="2787" w:type="dxa"/>
            <w:shd w:val="clear" w:color="auto" w:fill="auto"/>
            <w:vAlign w:val="center"/>
            <w:hideMark/>
          </w:tcPr>
          <w:p w14:paraId="4C9D6D16" w14:textId="77777777" w:rsidR="000D1A29" w:rsidRPr="004D2C93" w:rsidRDefault="000D1A29" w:rsidP="00F44BFC">
            <w:pPr>
              <w:jc w:val="center"/>
              <w:rPr>
                <w:rFonts w:ascii="Arial Narrow" w:hAnsi="Arial Narrow" w:cs="Arial"/>
                <w:b/>
                <w:bCs/>
                <w:sz w:val="20"/>
                <w:szCs w:val="20"/>
              </w:rPr>
            </w:pPr>
            <w:r w:rsidRPr="004D2C93">
              <w:rPr>
                <w:rFonts w:ascii="Arial Narrow" w:hAnsi="Arial Narrow" w:cs="Arial"/>
                <w:b/>
                <w:bCs/>
                <w:sz w:val="20"/>
                <w:szCs w:val="20"/>
              </w:rPr>
              <w:t xml:space="preserve">Общоприети и местни наименования </w:t>
            </w:r>
          </w:p>
        </w:tc>
        <w:tc>
          <w:tcPr>
            <w:tcW w:w="2177" w:type="dxa"/>
            <w:gridSpan w:val="2"/>
            <w:shd w:val="clear" w:color="auto" w:fill="auto"/>
            <w:vAlign w:val="center"/>
            <w:hideMark/>
          </w:tcPr>
          <w:p w14:paraId="4E6ED216" w14:textId="77777777" w:rsidR="000D1A29" w:rsidRPr="004D2C93" w:rsidRDefault="000D1A29" w:rsidP="00F44BFC">
            <w:pPr>
              <w:jc w:val="center"/>
              <w:rPr>
                <w:rFonts w:ascii="Arial Narrow" w:hAnsi="Arial Narrow" w:cs="Arial"/>
                <w:b/>
                <w:bCs/>
                <w:sz w:val="20"/>
                <w:szCs w:val="20"/>
              </w:rPr>
            </w:pPr>
            <w:r w:rsidRPr="004D2C93">
              <w:rPr>
                <w:rFonts w:ascii="Arial Narrow" w:hAnsi="Arial Narrow" w:cs="Arial"/>
                <w:b/>
                <w:bCs/>
                <w:sz w:val="20"/>
                <w:szCs w:val="20"/>
              </w:rPr>
              <w:t>Зарибителен материал</w:t>
            </w:r>
          </w:p>
        </w:tc>
        <w:tc>
          <w:tcPr>
            <w:tcW w:w="2226" w:type="dxa"/>
            <w:gridSpan w:val="2"/>
            <w:shd w:val="clear" w:color="auto" w:fill="auto"/>
            <w:vAlign w:val="center"/>
            <w:hideMark/>
          </w:tcPr>
          <w:p w14:paraId="0C7E81D1" w14:textId="77777777" w:rsidR="000D1A29" w:rsidRPr="004D2C93" w:rsidRDefault="000D1A29" w:rsidP="00F44BFC">
            <w:pPr>
              <w:jc w:val="center"/>
              <w:rPr>
                <w:rFonts w:ascii="Arial Narrow" w:hAnsi="Arial Narrow" w:cs="Arial"/>
                <w:b/>
                <w:bCs/>
                <w:sz w:val="20"/>
                <w:szCs w:val="20"/>
              </w:rPr>
            </w:pPr>
            <w:r w:rsidRPr="004D2C93">
              <w:rPr>
                <w:rFonts w:ascii="Arial Narrow" w:hAnsi="Arial Narrow" w:cs="Arial"/>
                <w:b/>
                <w:bCs/>
                <w:sz w:val="20"/>
                <w:szCs w:val="20"/>
              </w:rPr>
              <w:t xml:space="preserve">Риба за консумация </w:t>
            </w:r>
          </w:p>
        </w:tc>
        <w:tc>
          <w:tcPr>
            <w:tcW w:w="2226" w:type="dxa"/>
            <w:gridSpan w:val="2"/>
            <w:shd w:val="clear" w:color="auto" w:fill="auto"/>
            <w:vAlign w:val="center"/>
            <w:hideMark/>
          </w:tcPr>
          <w:p w14:paraId="6C46F103" w14:textId="77777777" w:rsidR="000D1A29" w:rsidRPr="004D2C93" w:rsidRDefault="000D1A29" w:rsidP="00F44BFC">
            <w:pPr>
              <w:jc w:val="center"/>
              <w:rPr>
                <w:rFonts w:ascii="Arial Narrow" w:hAnsi="Arial Narrow" w:cs="Arial"/>
                <w:b/>
                <w:bCs/>
                <w:sz w:val="20"/>
                <w:szCs w:val="20"/>
              </w:rPr>
            </w:pPr>
            <w:r w:rsidRPr="004D2C93">
              <w:rPr>
                <w:rFonts w:ascii="Arial Narrow" w:hAnsi="Arial Narrow" w:cs="Arial"/>
                <w:b/>
                <w:bCs/>
                <w:sz w:val="20"/>
                <w:szCs w:val="20"/>
              </w:rPr>
              <w:t xml:space="preserve">Общо тегло </w:t>
            </w:r>
          </w:p>
        </w:tc>
      </w:tr>
      <w:tr w:rsidR="000D1A29" w:rsidRPr="004D2C93" w14:paraId="5C4F4B00" w14:textId="77777777" w:rsidTr="00F44BFC">
        <w:trPr>
          <w:trHeight w:val="340"/>
        </w:trPr>
        <w:tc>
          <w:tcPr>
            <w:tcW w:w="486" w:type="dxa"/>
            <w:shd w:val="clear" w:color="auto" w:fill="auto"/>
            <w:noWrap/>
            <w:vAlign w:val="center"/>
            <w:hideMark/>
          </w:tcPr>
          <w:p w14:paraId="1C1E0380" w14:textId="77777777" w:rsidR="000D1A29" w:rsidRPr="004D2C93" w:rsidRDefault="000D1A29" w:rsidP="00F44BFC">
            <w:pPr>
              <w:jc w:val="center"/>
              <w:rPr>
                <w:rFonts w:ascii="Arial Narrow" w:hAnsi="Arial Narrow" w:cs="Arial"/>
                <w:b/>
                <w:bCs/>
                <w:sz w:val="20"/>
                <w:szCs w:val="20"/>
              </w:rPr>
            </w:pPr>
            <w:r w:rsidRPr="004D2C93">
              <w:rPr>
                <w:rFonts w:ascii="Arial Narrow" w:hAnsi="Arial Narrow" w:cs="Arial"/>
                <w:b/>
                <w:bCs/>
                <w:sz w:val="20"/>
                <w:szCs w:val="20"/>
              </w:rPr>
              <w:t> </w:t>
            </w:r>
          </w:p>
        </w:tc>
        <w:tc>
          <w:tcPr>
            <w:tcW w:w="2787" w:type="dxa"/>
            <w:shd w:val="clear" w:color="auto" w:fill="auto"/>
            <w:vAlign w:val="center"/>
            <w:hideMark/>
          </w:tcPr>
          <w:p w14:paraId="46791719" w14:textId="77777777" w:rsidR="000D1A29" w:rsidRPr="004D2C93" w:rsidRDefault="000D1A29" w:rsidP="00F44BFC">
            <w:pPr>
              <w:jc w:val="center"/>
              <w:rPr>
                <w:rFonts w:ascii="Arial Narrow" w:hAnsi="Arial Narrow" w:cs="Arial"/>
                <w:b/>
                <w:bCs/>
                <w:sz w:val="20"/>
                <w:szCs w:val="20"/>
              </w:rPr>
            </w:pPr>
            <w:r w:rsidRPr="004D2C93">
              <w:rPr>
                <w:rFonts w:ascii="Arial Narrow" w:hAnsi="Arial Narrow" w:cs="Arial"/>
                <w:b/>
                <w:bCs/>
                <w:sz w:val="20"/>
                <w:szCs w:val="20"/>
              </w:rPr>
              <w:t> </w:t>
            </w:r>
          </w:p>
        </w:tc>
        <w:tc>
          <w:tcPr>
            <w:tcW w:w="1084" w:type="dxa"/>
            <w:shd w:val="clear" w:color="auto" w:fill="auto"/>
            <w:vAlign w:val="center"/>
            <w:hideMark/>
          </w:tcPr>
          <w:p w14:paraId="2E77EC81" w14:textId="77777777" w:rsidR="000D1A29" w:rsidRPr="004D2C93" w:rsidRDefault="000D1A29" w:rsidP="00F44BFC">
            <w:pPr>
              <w:jc w:val="center"/>
              <w:rPr>
                <w:rFonts w:ascii="Arial Narrow" w:hAnsi="Arial Narrow" w:cs="Arial"/>
                <w:b/>
                <w:bCs/>
                <w:sz w:val="20"/>
                <w:szCs w:val="20"/>
              </w:rPr>
            </w:pPr>
            <w:r w:rsidRPr="004D2C93">
              <w:rPr>
                <w:rFonts w:ascii="Arial Narrow" w:hAnsi="Arial Narrow" w:cs="Arial"/>
                <w:b/>
                <w:bCs/>
                <w:sz w:val="20"/>
                <w:szCs w:val="20"/>
              </w:rPr>
              <w:t>2023</w:t>
            </w:r>
          </w:p>
        </w:tc>
        <w:tc>
          <w:tcPr>
            <w:tcW w:w="1093" w:type="dxa"/>
            <w:shd w:val="clear" w:color="auto" w:fill="auto"/>
            <w:vAlign w:val="center"/>
            <w:hideMark/>
          </w:tcPr>
          <w:p w14:paraId="49B8E336" w14:textId="77777777" w:rsidR="000D1A29" w:rsidRPr="004D2C93" w:rsidRDefault="000D1A29" w:rsidP="00F44BFC">
            <w:pPr>
              <w:jc w:val="center"/>
              <w:rPr>
                <w:rFonts w:ascii="Arial Narrow" w:hAnsi="Arial Narrow" w:cs="Arial"/>
                <w:b/>
                <w:bCs/>
                <w:sz w:val="20"/>
                <w:szCs w:val="20"/>
              </w:rPr>
            </w:pPr>
            <w:r w:rsidRPr="004D2C93">
              <w:rPr>
                <w:rFonts w:ascii="Arial Narrow" w:hAnsi="Arial Narrow" w:cs="Arial"/>
                <w:b/>
                <w:bCs/>
                <w:sz w:val="20"/>
                <w:szCs w:val="20"/>
              </w:rPr>
              <w:t>2024</w:t>
            </w:r>
          </w:p>
        </w:tc>
        <w:tc>
          <w:tcPr>
            <w:tcW w:w="1112" w:type="dxa"/>
            <w:shd w:val="clear" w:color="auto" w:fill="auto"/>
            <w:vAlign w:val="center"/>
            <w:hideMark/>
          </w:tcPr>
          <w:p w14:paraId="54F159FE" w14:textId="77777777" w:rsidR="000D1A29" w:rsidRPr="004D2C93" w:rsidRDefault="000D1A29" w:rsidP="00F44BFC">
            <w:pPr>
              <w:jc w:val="center"/>
              <w:rPr>
                <w:rFonts w:ascii="Arial Narrow" w:hAnsi="Arial Narrow" w:cs="Arial"/>
                <w:b/>
                <w:bCs/>
                <w:sz w:val="20"/>
                <w:szCs w:val="20"/>
              </w:rPr>
            </w:pPr>
            <w:r w:rsidRPr="004D2C93">
              <w:rPr>
                <w:rFonts w:ascii="Arial Narrow" w:hAnsi="Arial Narrow" w:cs="Arial"/>
                <w:b/>
                <w:bCs/>
                <w:sz w:val="20"/>
                <w:szCs w:val="20"/>
              </w:rPr>
              <w:t>2023</w:t>
            </w:r>
          </w:p>
        </w:tc>
        <w:tc>
          <w:tcPr>
            <w:tcW w:w="1114" w:type="dxa"/>
            <w:shd w:val="clear" w:color="auto" w:fill="auto"/>
            <w:vAlign w:val="center"/>
            <w:hideMark/>
          </w:tcPr>
          <w:p w14:paraId="4A165B23" w14:textId="77777777" w:rsidR="000D1A29" w:rsidRPr="004D2C93" w:rsidRDefault="000D1A29" w:rsidP="00F44BFC">
            <w:pPr>
              <w:jc w:val="center"/>
              <w:rPr>
                <w:rFonts w:ascii="Arial Narrow" w:hAnsi="Arial Narrow" w:cs="Arial"/>
                <w:b/>
                <w:bCs/>
                <w:sz w:val="20"/>
                <w:szCs w:val="20"/>
              </w:rPr>
            </w:pPr>
            <w:r w:rsidRPr="004D2C93">
              <w:rPr>
                <w:rFonts w:ascii="Arial Narrow" w:hAnsi="Arial Narrow" w:cs="Arial"/>
                <w:b/>
                <w:bCs/>
                <w:sz w:val="20"/>
                <w:szCs w:val="20"/>
              </w:rPr>
              <w:t>2024</w:t>
            </w:r>
          </w:p>
        </w:tc>
        <w:tc>
          <w:tcPr>
            <w:tcW w:w="1112" w:type="dxa"/>
            <w:shd w:val="clear" w:color="auto" w:fill="auto"/>
            <w:vAlign w:val="center"/>
            <w:hideMark/>
          </w:tcPr>
          <w:p w14:paraId="56B31CD7" w14:textId="77777777" w:rsidR="000D1A29" w:rsidRPr="004D2C93" w:rsidRDefault="000D1A29" w:rsidP="00F44BFC">
            <w:pPr>
              <w:jc w:val="center"/>
              <w:rPr>
                <w:rFonts w:ascii="Arial Narrow" w:hAnsi="Arial Narrow" w:cs="Arial"/>
                <w:b/>
                <w:bCs/>
                <w:sz w:val="20"/>
                <w:szCs w:val="20"/>
              </w:rPr>
            </w:pPr>
            <w:r w:rsidRPr="004D2C93">
              <w:rPr>
                <w:rFonts w:ascii="Arial Narrow" w:hAnsi="Arial Narrow" w:cs="Arial"/>
                <w:b/>
                <w:bCs/>
                <w:sz w:val="20"/>
                <w:szCs w:val="20"/>
              </w:rPr>
              <w:t>2023</w:t>
            </w:r>
          </w:p>
        </w:tc>
        <w:tc>
          <w:tcPr>
            <w:tcW w:w="1114" w:type="dxa"/>
            <w:shd w:val="clear" w:color="auto" w:fill="auto"/>
            <w:vAlign w:val="center"/>
            <w:hideMark/>
          </w:tcPr>
          <w:p w14:paraId="306636C1" w14:textId="77777777" w:rsidR="000D1A29" w:rsidRPr="004D2C93" w:rsidRDefault="000D1A29" w:rsidP="00F44BFC">
            <w:pPr>
              <w:jc w:val="center"/>
              <w:rPr>
                <w:rFonts w:ascii="Arial Narrow" w:hAnsi="Arial Narrow" w:cs="Arial"/>
                <w:b/>
                <w:bCs/>
                <w:sz w:val="20"/>
                <w:szCs w:val="20"/>
              </w:rPr>
            </w:pPr>
            <w:r w:rsidRPr="004D2C93">
              <w:rPr>
                <w:rFonts w:ascii="Arial Narrow" w:hAnsi="Arial Narrow" w:cs="Arial"/>
                <w:b/>
                <w:bCs/>
                <w:sz w:val="20"/>
                <w:szCs w:val="20"/>
              </w:rPr>
              <w:t>2024</w:t>
            </w:r>
          </w:p>
        </w:tc>
      </w:tr>
      <w:tr w:rsidR="000D1A29" w:rsidRPr="004D2C93" w14:paraId="55D0E860" w14:textId="77777777" w:rsidTr="00F44BFC">
        <w:trPr>
          <w:trHeight w:val="312"/>
        </w:trPr>
        <w:tc>
          <w:tcPr>
            <w:tcW w:w="486" w:type="dxa"/>
            <w:shd w:val="clear" w:color="auto" w:fill="auto"/>
            <w:noWrap/>
            <w:vAlign w:val="center"/>
            <w:hideMark/>
          </w:tcPr>
          <w:p w14:paraId="68FD2460" w14:textId="77777777" w:rsidR="000D1A29" w:rsidRPr="004D2C93" w:rsidRDefault="000D1A29" w:rsidP="00F44BFC">
            <w:pPr>
              <w:rPr>
                <w:rFonts w:ascii="Arial Narrow" w:hAnsi="Arial Narrow" w:cs="Arial"/>
                <w:sz w:val="20"/>
                <w:szCs w:val="20"/>
              </w:rPr>
            </w:pPr>
            <w:r w:rsidRPr="004D2C93">
              <w:rPr>
                <w:rFonts w:ascii="Arial Narrow" w:hAnsi="Arial Narrow" w:cs="Arial"/>
                <w:sz w:val="20"/>
                <w:szCs w:val="20"/>
              </w:rPr>
              <w:t>1</w:t>
            </w:r>
          </w:p>
        </w:tc>
        <w:tc>
          <w:tcPr>
            <w:tcW w:w="2787" w:type="dxa"/>
            <w:shd w:val="clear" w:color="auto" w:fill="auto"/>
            <w:noWrap/>
            <w:vAlign w:val="center"/>
          </w:tcPr>
          <w:p w14:paraId="52696DDC" w14:textId="77777777" w:rsidR="000D1A29" w:rsidRPr="004D2C93" w:rsidRDefault="000D1A29" w:rsidP="00F44BFC">
            <w:pPr>
              <w:rPr>
                <w:rFonts w:ascii="Arial Narrow" w:hAnsi="Arial Narrow" w:cs="Calibri"/>
                <w:sz w:val="20"/>
                <w:szCs w:val="20"/>
              </w:rPr>
            </w:pPr>
            <w:r w:rsidRPr="004D2C93">
              <w:rPr>
                <w:rFonts w:ascii="Arial Narrow" w:hAnsi="Arial Narrow" w:cs="Calibri"/>
                <w:sz w:val="20"/>
                <w:szCs w:val="20"/>
              </w:rPr>
              <w:t>Речна (балканска) пъстърва </w:t>
            </w:r>
          </w:p>
        </w:tc>
        <w:tc>
          <w:tcPr>
            <w:tcW w:w="1084" w:type="dxa"/>
            <w:shd w:val="clear" w:color="auto" w:fill="auto"/>
            <w:noWrap/>
            <w:vAlign w:val="center"/>
          </w:tcPr>
          <w:p w14:paraId="31A87BD9" w14:textId="77777777" w:rsidR="000D1A29" w:rsidRPr="004D2C93" w:rsidRDefault="000D1A29" w:rsidP="00F44BFC">
            <w:pPr>
              <w:jc w:val="right"/>
              <w:rPr>
                <w:rFonts w:ascii="Arial Narrow" w:hAnsi="Arial Narrow" w:cs="Calibri"/>
                <w:sz w:val="20"/>
                <w:szCs w:val="20"/>
              </w:rPr>
            </w:pPr>
            <w:r w:rsidRPr="004D2C93">
              <w:rPr>
                <w:rFonts w:ascii="Arial Narrow" w:hAnsi="Arial Narrow" w:cs="Calibri"/>
                <w:sz w:val="20"/>
                <w:szCs w:val="20"/>
              </w:rPr>
              <w:t>3,15</w:t>
            </w:r>
          </w:p>
        </w:tc>
        <w:tc>
          <w:tcPr>
            <w:tcW w:w="1093" w:type="dxa"/>
            <w:shd w:val="clear" w:color="auto" w:fill="auto"/>
            <w:noWrap/>
            <w:vAlign w:val="center"/>
          </w:tcPr>
          <w:p w14:paraId="27A3EF07" w14:textId="77777777" w:rsidR="000D1A29" w:rsidRPr="004D2C93" w:rsidRDefault="000D1A29" w:rsidP="00F44BFC">
            <w:pPr>
              <w:jc w:val="right"/>
              <w:rPr>
                <w:rFonts w:ascii="Arial Narrow" w:hAnsi="Arial Narrow" w:cs="Calibri"/>
                <w:sz w:val="20"/>
                <w:szCs w:val="20"/>
              </w:rPr>
            </w:pPr>
            <w:r w:rsidRPr="004D2C93">
              <w:rPr>
                <w:rFonts w:ascii="Arial Narrow" w:hAnsi="Arial Narrow" w:cs="Calibri"/>
                <w:sz w:val="20"/>
                <w:szCs w:val="20"/>
              </w:rPr>
              <w:t>3,12</w:t>
            </w:r>
          </w:p>
        </w:tc>
        <w:tc>
          <w:tcPr>
            <w:tcW w:w="1112" w:type="dxa"/>
            <w:shd w:val="clear" w:color="auto" w:fill="auto"/>
            <w:noWrap/>
            <w:vAlign w:val="center"/>
          </w:tcPr>
          <w:p w14:paraId="5715A60D" w14:textId="77777777" w:rsidR="000D1A29" w:rsidRPr="004D2C93" w:rsidRDefault="000D1A29" w:rsidP="00F44BFC">
            <w:pPr>
              <w:jc w:val="right"/>
              <w:rPr>
                <w:rFonts w:ascii="Arial Narrow" w:hAnsi="Arial Narrow" w:cs="Calibri"/>
                <w:sz w:val="20"/>
                <w:szCs w:val="20"/>
              </w:rPr>
            </w:pPr>
            <w:r w:rsidRPr="004D2C93">
              <w:rPr>
                <w:rFonts w:ascii="Arial Narrow" w:hAnsi="Arial Narrow" w:cs="Calibri"/>
                <w:sz w:val="20"/>
                <w:szCs w:val="20"/>
              </w:rPr>
              <w:t>11,91</w:t>
            </w:r>
          </w:p>
        </w:tc>
        <w:tc>
          <w:tcPr>
            <w:tcW w:w="1114" w:type="dxa"/>
            <w:shd w:val="clear" w:color="auto" w:fill="auto"/>
            <w:noWrap/>
            <w:vAlign w:val="center"/>
          </w:tcPr>
          <w:p w14:paraId="749017A3" w14:textId="77777777" w:rsidR="000D1A29" w:rsidRPr="004D2C93" w:rsidRDefault="000D1A29" w:rsidP="00F44BFC">
            <w:pPr>
              <w:jc w:val="right"/>
              <w:rPr>
                <w:rFonts w:ascii="Arial Narrow" w:hAnsi="Arial Narrow" w:cs="Calibri"/>
                <w:sz w:val="20"/>
                <w:szCs w:val="20"/>
              </w:rPr>
            </w:pPr>
            <w:r w:rsidRPr="004D2C93">
              <w:rPr>
                <w:rFonts w:ascii="Arial Narrow" w:hAnsi="Arial Narrow" w:cs="Calibri"/>
                <w:sz w:val="20"/>
                <w:szCs w:val="20"/>
              </w:rPr>
              <w:t>13,12</w:t>
            </w:r>
          </w:p>
        </w:tc>
        <w:tc>
          <w:tcPr>
            <w:tcW w:w="1112" w:type="dxa"/>
            <w:shd w:val="clear" w:color="auto" w:fill="auto"/>
            <w:noWrap/>
            <w:vAlign w:val="center"/>
          </w:tcPr>
          <w:p w14:paraId="56E7BD07" w14:textId="77777777" w:rsidR="000D1A29" w:rsidRPr="004D2C93" w:rsidRDefault="000D1A29" w:rsidP="00F44BFC">
            <w:pPr>
              <w:jc w:val="right"/>
              <w:rPr>
                <w:rFonts w:ascii="Arial Narrow" w:hAnsi="Arial Narrow" w:cs="Calibri"/>
                <w:sz w:val="20"/>
                <w:szCs w:val="20"/>
              </w:rPr>
            </w:pPr>
            <w:r w:rsidRPr="004D2C93">
              <w:rPr>
                <w:rFonts w:ascii="Arial Narrow" w:hAnsi="Arial Narrow" w:cs="Calibri"/>
                <w:sz w:val="20"/>
                <w:szCs w:val="20"/>
              </w:rPr>
              <w:t>15,06</w:t>
            </w:r>
          </w:p>
        </w:tc>
        <w:tc>
          <w:tcPr>
            <w:tcW w:w="1114" w:type="dxa"/>
            <w:shd w:val="clear" w:color="auto" w:fill="auto"/>
            <w:noWrap/>
            <w:vAlign w:val="center"/>
          </w:tcPr>
          <w:p w14:paraId="134B9647" w14:textId="77777777" w:rsidR="000D1A29" w:rsidRPr="004D2C93" w:rsidRDefault="000D1A29" w:rsidP="00F44BFC">
            <w:pPr>
              <w:jc w:val="right"/>
              <w:rPr>
                <w:rFonts w:ascii="Arial Narrow" w:hAnsi="Arial Narrow" w:cs="Calibri"/>
                <w:sz w:val="20"/>
                <w:szCs w:val="20"/>
              </w:rPr>
            </w:pPr>
            <w:r w:rsidRPr="004D2C93">
              <w:rPr>
                <w:rFonts w:ascii="Arial Narrow" w:hAnsi="Arial Narrow" w:cs="Calibri"/>
                <w:sz w:val="20"/>
                <w:szCs w:val="20"/>
              </w:rPr>
              <w:t>16,24</w:t>
            </w:r>
          </w:p>
        </w:tc>
      </w:tr>
      <w:tr w:rsidR="000D1A29" w:rsidRPr="004D2C93" w14:paraId="53A0CB56" w14:textId="77777777" w:rsidTr="00F44BFC">
        <w:trPr>
          <w:trHeight w:val="312"/>
        </w:trPr>
        <w:tc>
          <w:tcPr>
            <w:tcW w:w="486" w:type="dxa"/>
            <w:shd w:val="clear" w:color="auto" w:fill="auto"/>
            <w:noWrap/>
            <w:vAlign w:val="center"/>
            <w:hideMark/>
          </w:tcPr>
          <w:p w14:paraId="4A6F88C3" w14:textId="77777777" w:rsidR="000D1A29" w:rsidRPr="004D2C93" w:rsidRDefault="000D1A29" w:rsidP="00F44BFC">
            <w:pPr>
              <w:rPr>
                <w:rFonts w:ascii="Arial Narrow" w:hAnsi="Arial Narrow" w:cs="Arial"/>
                <w:sz w:val="20"/>
                <w:szCs w:val="20"/>
              </w:rPr>
            </w:pPr>
            <w:r w:rsidRPr="004D2C93">
              <w:rPr>
                <w:rFonts w:ascii="Arial Narrow" w:hAnsi="Arial Narrow" w:cs="Arial"/>
                <w:sz w:val="20"/>
                <w:szCs w:val="20"/>
              </w:rPr>
              <w:t>2</w:t>
            </w:r>
          </w:p>
        </w:tc>
        <w:tc>
          <w:tcPr>
            <w:tcW w:w="2787" w:type="dxa"/>
            <w:shd w:val="clear" w:color="auto" w:fill="auto"/>
            <w:noWrap/>
            <w:vAlign w:val="center"/>
          </w:tcPr>
          <w:p w14:paraId="33DE6B2B" w14:textId="77777777" w:rsidR="000D1A29" w:rsidRPr="004D2C93" w:rsidRDefault="000D1A29" w:rsidP="00F44BFC">
            <w:pPr>
              <w:rPr>
                <w:rFonts w:ascii="Arial Narrow" w:hAnsi="Arial Narrow" w:cs="Calibri"/>
                <w:sz w:val="20"/>
                <w:szCs w:val="20"/>
              </w:rPr>
            </w:pPr>
            <w:r w:rsidRPr="004D2C93">
              <w:rPr>
                <w:rFonts w:ascii="Arial Narrow" w:hAnsi="Arial Narrow" w:cs="Calibri"/>
                <w:sz w:val="20"/>
                <w:szCs w:val="20"/>
              </w:rPr>
              <w:t>Дъгова пъстърва</w:t>
            </w:r>
          </w:p>
        </w:tc>
        <w:tc>
          <w:tcPr>
            <w:tcW w:w="1084" w:type="dxa"/>
            <w:shd w:val="clear" w:color="auto" w:fill="auto"/>
            <w:noWrap/>
            <w:vAlign w:val="center"/>
          </w:tcPr>
          <w:p w14:paraId="76C231A6" w14:textId="77777777" w:rsidR="000D1A29" w:rsidRPr="004D2C93" w:rsidRDefault="000D1A29" w:rsidP="00F44BFC">
            <w:pPr>
              <w:jc w:val="right"/>
              <w:rPr>
                <w:rFonts w:ascii="Arial Narrow" w:hAnsi="Arial Narrow" w:cs="Calibri"/>
                <w:sz w:val="20"/>
                <w:szCs w:val="20"/>
              </w:rPr>
            </w:pPr>
            <w:r w:rsidRPr="004D2C93">
              <w:rPr>
                <w:rFonts w:ascii="Arial Narrow" w:hAnsi="Arial Narrow" w:cs="Calibri"/>
                <w:sz w:val="20"/>
                <w:szCs w:val="20"/>
              </w:rPr>
              <w:t>300,79</w:t>
            </w:r>
          </w:p>
        </w:tc>
        <w:tc>
          <w:tcPr>
            <w:tcW w:w="1093" w:type="dxa"/>
            <w:shd w:val="clear" w:color="auto" w:fill="auto"/>
            <w:noWrap/>
            <w:vAlign w:val="center"/>
          </w:tcPr>
          <w:p w14:paraId="12F7B620" w14:textId="77777777" w:rsidR="000D1A29" w:rsidRPr="004D2C93" w:rsidRDefault="000D1A29" w:rsidP="00F44BFC">
            <w:pPr>
              <w:jc w:val="right"/>
              <w:rPr>
                <w:rFonts w:ascii="Arial Narrow" w:hAnsi="Arial Narrow" w:cs="Calibri"/>
                <w:sz w:val="20"/>
                <w:szCs w:val="20"/>
              </w:rPr>
            </w:pPr>
            <w:r w:rsidRPr="004D2C93">
              <w:rPr>
                <w:rFonts w:ascii="Arial Narrow" w:hAnsi="Arial Narrow" w:cs="Calibri"/>
                <w:sz w:val="20"/>
                <w:szCs w:val="20"/>
              </w:rPr>
              <w:t>319,61</w:t>
            </w:r>
          </w:p>
        </w:tc>
        <w:tc>
          <w:tcPr>
            <w:tcW w:w="1112" w:type="dxa"/>
            <w:shd w:val="clear" w:color="auto" w:fill="auto"/>
            <w:noWrap/>
            <w:vAlign w:val="center"/>
          </w:tcPr>
          <w:p w14:paraId="4412B72D" w14:textId="77777777" w:rsidR="000D1A29" w:rsidRPr="004D2C93" w:rsidRDefault="000D1A29" w:rsidP="00F44BFC">
            <w:pPr>
              <w:jc w:val="right"/>
              <w:rPr>
                <w:rFonts w:ascii="Arial Narrow" w:hAnsi="Arial Narrow" w:cs="Calibri"/>
                <w:sz w:val="20"/>
                <w:szCs w:val="20"/>
              </w:rPr>
            </w:pPr>
            <w:r w:rsidRPr="004D2C93">
              <w:rPr>
                <w:rFonts w:ascii="Arial Narrow" w:hAnsi="Arial Narrow" w:cs="Calibri"/>
                <w:sz w:val="20"/>
                <w:szCs w:val="20"/>
              </w:rPr>
              <w:t>4 718,64</w:t>
            </w:r>
          </w:p>
        </w:tc>
        <w:tc>
          <w:tcPr>
            <w:tcW w:w="1114" w:type="dxa"/>
            <w:shd w:val="clear" w:color="auto" w:fill="auto"/>
            <w:noWrap/>
            <w:vAlign w:val="center"/>
          </w:tcPr>
          <w:p w14:paraId="1D0A131D" w14:textId="77777777" w:rsidR="000D1A29" w:rsidRPr="004D2C93" w:rsidRDefault="000D1A29" w:rsidP="00F44BFC">
            <w:pPr>
              <w:jc w:val="right"/>
              <w:rPr>
                <w:rFonts w:ascii="Arial Narrow" w:hAnsi="Arial Narrow" w:cs="Calibri"/>
                <w:sz w:val="20"/>
                <w:szCs w:val="20"/>
              </w:rPr>
            </w:pPr>
            <w:r w:rsidRPr="004D2C93">
              <w:rPr>
                <w:rFonts w:ascii="Arial Narrow" w:hAnsi="Arial Narrow" w:cs="Calibri"/>
                <w:sz w:val="20"/>
                <w:szCs w:val="20"/>
              </w:rPr>
              <w:t>5 703,86</w:t>
            </w:r>
          </w:p>
        </w:tc>
        <w:tc>
          <w:tcPr>
            <w:tcW w:w="1112" w:type="dxa"/>
            <w:shd w:val="clear" w:color="auto" w:fill="auto"/>
            <w:noWrap/>
            <w:vAlign w:val="center"/>
          </w:tcPr>
          <w:p w14:paraId="268C0A3E" w14:textId="77777777" w:rsidR="000D1A29" w:rsidRPr="004D2C93" w:rsidRDefault="000D1A29" w:rsidP="00F44BFC">
            <w:pPr>
              <w:jc w:val="right"/>
              <w:rPr>
                <w:rFonts w:ascii="Arial Narrow" w:hAnsi="Arial Narrow" w:cs="Calibri"/>
                <w:sz w:val="20"/>
                <w:szCs w:val="20"/>
              </w:rPr>
            </w:pPr>
            <w:r w:rsidRPr="004D2C93">
              <w:rPr>
                <w:rFonts w:ascii="Arial Narrow" w:hAnsi="Arial Narrow" w:cs="Calibri"/>
                <w:sz w:val="20"/>
                <w:szCs w:val="20"/>
              </w:rPr>
              <w:t>5 019,43</w:t>
            </w:r>
          </w:p>
        </w:tc>
        <w:tc>
          <w:tcPr>
            <w:tcW w:w="1114" w:type="dxa"/>
            <w:shd w:val="clear" w:color="auto" w:fill="auto"/>
            <w:noWrap/>
            <w:vAlign w:val="center"/>
          </w:tcPr>
          <w:p w14:paraId="6571A3AB" w14:textId="77777777" w:rsidR="000D1A29" w:rsidRPr="004D2C93" w:rsidRDefault="000D1A29" w:rsidP="00F44BFC">
            <w:pPr>
              <w:jc w:val="right"/>
              <w:rPr>
                <w:rFonts w:ascii="Arial Narrow" w:hAnsi="Arial Narrow" w:cs="Calibri"/>
                <w:sz w:val="20"/>
                <w:szCs w:val="20"/>
              </w:rPr>
            </w:pPr>
            <w:r w:rsidRPr="004D2C93">
              <w:rPr>
                <w:rFonts w:ascii="Arial Narrow" w:hAnsi="Arial Narrow" w:cs="Calibri"/>
                <w:sz w:val="20"/>
                <w:szCs w:val="20"/>
              </w:rPr>
              <w:t>6 023,46</w:t>
            </w:r>
          </w:p>
        </w:tc>
      </w:tr>
      <w:tr w:rsidR="000D1A29" w:rsidRPr="004D2C93" w14:paraId="5A92CB81" w14:textId="77777777" w:rsidTr="00F44BFC">
        <w:trPr>
          <w:trHeight w:val="312"/>
        </w:trPr>
        <w:tc>
          <w:tcPr>
            <w:tcW w:w="486" w:type="dxa"/>
            <w:shd w:val="clear" w:color="auto" w:fill="auto"/>
            <w:noWrap/>
            <w:vAlign w:val="center"/>
            <w:hideMark/>
          </w:tcPr>
          <w:p w14:paraId="5AA57184" w14:textId="77777777" w:rsidR="000D1A29" w:rsidRPr="004D2C93" w:rsidRDefault="000D1A29" w:rsidP="00F44BFC">
            <w:pPr>
              <w:rPr>
                <w:rFonts w:ascii="Arial Narrow" w:hAnsi="Arial Narrow" w:cs="Arial"/>
                <w:sz w:val="20"/>
                <w:szCs w:val="20"/>
              </w:rPr>
            </w:pPr>
            <w:r w:rsidRPr="004D2C93">
              <w:rPr>
                <w:rFonts w:ascii="Arial Narrow" w:hAnsi="Arial Narrow" w:cs="Arial"/>
                <w:sz w:val="20"/>
                <w:szCs w:val="20"/>
              </w:rPr>
              <w:t>3</w:t>
            </w:r>
          </w:p>
        </w:tc>
        <w:tc>
          <w:tcPr>
            <w:tcW w:w="2787" w:type="dxa"/>
            <w:shd w:val="clear" w:color="auto" w:fill="auto"/>
            <w:noWrap/>
            <w:vAlign w:val="center"/>
          </w:tcPr>
          <w:p w14:paraId="1800B58A" w14:textId="77777777" w:rsidR="000D1A29" w:rsidRPr="004D2C93" w:rsidRDefault="000D1A29" w:rsidP="00F44BFC">
            <w:pPr>
              <w:rPr>
                <w:rFonts w:ascii="Arial Narrow" w:hAnsi="Arial Narrow" w:cs="Calibri"/>
                <w:sz w:val="20"/>
                <w:szCs w:val="20"/>
              </w:rPr>
            </w:pPr>
            <w:r w:rsidRPr="004D2C93">
              <w:rPr>
                <w:rFonts w:ascii="Arial Narrow" w:hAnsi="Arial Narrow" w:cs="Calibri"/>
                <w:sz w:val="20"/>
                <w:szCs w:val="20"/>
              </w:rPr>
              <w:t>Сивен </w:t>
            </w:r>
          </w:p>
        </w:tc>
        <w:tc>
          <w:tcPr>
            <w:tcW w:w="1084" w:type="dxa"/>
            <w:shd w:val="clear" w:color="auto" w:fill="auto"/>
            <w:noWrap/>
            <w:vAlign w:val="center"/>
          </w:tcPr>
          <w:p w14:paraId="6E4127C7" w14:textId="77777777" w:rsidR="000D1A29" w:rsidRPr="004D2C93" w:rsidRDefault="000D1A29" w:rsidP="00F44BFC">
            <w:pPr>
              <w:jc w:val="right"/>
              <w:rPr>
                <w:rFonts w:ascii="Arial Narrow" w:hAnsi="Arial Narrow" w:cs="Calibri"/>
                <w:sz w:val="20"/>
                <w:szCs w:val="20"/>
              </w:rPr>
            </w:pPr>
            <w:r w:rsidRPr="004D2C93">
              <w:rPr>
                <w:rFonts w:ascii="Arial Narrow" w:hAnsi="Arial Narrow" w:cs="Calibri"/>
                <w:sz w:val="20"/>
                <w:szCs w:val="20"/>
              </w:rPr>
              <w:t>0,00</w:t>
            </w:r>
          </w:p>
        </w:tc>
        <w:tc>
          <w:tcPr>
            <w:tcW w:w="1093" w:type="dxa"/>
            <w:shd w:val="clear" w:color="auto" w:fill="auto"/>
            <w:noWrap/>
            <w:vAlign w:val="center"/>
          </w:tcPr>
          <w:p w14:paraId="549FE36B" w14:textId="77777777" w:rsidR="000D1A29" w:rsidRPr="004D2C93" w:rsidRDefault="000D1A29" w:rsidP="00F44BFC">
            <w:pPr>
              <w:jc w:val="right"/>
              <w:rPr>
                <w:rFonts w:ascii="Arial Narrow" w:hAnsi="Arial Narrow" w:cs="Calibri"/>
                <w:sz w:val="20"/>
                <w:szCs w:val="20"/>
              </w:rPr>
            </w:pPr>
            <w:r w:rsidRPr="004D2C93">
              <w:rPr>
                <w:rFonts w:ascii="Arial Narrow" w:hAnsi="Arial Narrow" w:cs="Calibri"/>
                <w:sz w:val="20"/>
                <w:szCs w:val="20"/>
              </w:rPr>
              <w:t>0,02</w:t>
            </w:r>
          </w:p>
        </w:tc>
        <w:tc>
          <w:tcPr>
            <w:tcW w:w="1112" w:type="dxa"/>
            <w:shd w:val="clear" w:color="auto" w:fill="auto"/>
            <w:noWrap/>
            <w:vAlign w:val="center"/>
          </w:tcPr>
          <w:p w14:paraId="14E46FE4" w14:textId="77777777" w:rsidR="000D1A29" w:rsidRPr="004D2C93" w:rsidRDefault="000D1A29" w:rsidP="00F44BFC">
            <w:pPr>
              <w:jc w:val="right"/>
              <w:rPr>
                <w:rFonts w:ascii="Arial Narrow" w:hAnsi="Arial Narrow" w:cs="Calibri"/>
                <w:sz w:val="20"/>
                <w:szCs w:val="20"/>
              </w:rPr>
            </w:pPr>
            <w:r w:rsidRPr="004D2C93">
              <w:rPr>
                <w:rFonts w:ascii="Arial Narrow" w:hAnsi="Arial Narrow" w:cs="Calibri"/>
                <w:sz w:val="20"/>
                <w:szCs w:val="20"/>
              </w:rPr>
              <w:t>0,34</w:t>
            </w:r>
          </w:p>
        </w:tc>
        <w:tc>
          <w:tcPr>
            <w:tcW w:w="1114" w:type="dxa"/>
            <w:shd w:val="clear" w:color="auto" w:fill="auto"/>
            <w:noWrap/>
            <w:vAlign w:val="center"/>
          </w:tcPr>
          <w:p w14:paraId="1AA54683" w14:textId="77777777" w:rsidR="000D1A29" w:rsidRPr="004D2C93" w:rsidRDefault="000D1A29" w:rsidP="00F44BFC">
            <w:pPr>
              <w:jc w:val="right"/>
              <w:rPr>
                <w:rFonts w:ascii="Arial Narrow" w:hAnsi="Arial Narrow" w:cs="Calibri"/>
                <w:sz w:val="20"/>
                <w:szCs w:val="20"/>
              </w:rPr>
            </w:pPr>
            <w:r w:rsidRPr="004D2C93">
              <w:rPr>
                <w:rFonts w:ascii="Arial Narrow" w:hAnsi="Arial Narrow" w:cs="Calibri"/>
                <w:sz w:val="20"/>
                <w:szCs w:val="20"/>
              </w:rPr>
              <w:t>0,25</w:t>
            </w:r>
          </w:p>
        </w:tc>
        <w:tc>
          <w:tcPr>
            <w:tcW w:w="1112" w:type="dxa"/>
            <w:shd w:val="clear" w:color="auto" w:fill="auto"/>
            <w:noWrap/>
            <w:vAlign w:val="center"/>
          </w:tcPr>
          <w:p w14:paraId="518ECA68" w14:textId="77777777" w:rsidR="000D1A29" w:rsidRPr="004D2C93" w:rsidRDefault="000D1A29" w:rsidP="00F44BFC">
            <w:pPr>
              <w:jc w:val="right"/>
              <w:rPr>
                <w:rFonts w:ascii="Arial Narrow" w:hAnsi="Arial Narrow" w:cs="Calibri"/>
                <w:sz w:val="20"/>
                <w:szCs w:val="20"/>
              </w:rPr>
            </w:pPr>
            <w:r w:rsidRPr="004D2C93">
              <w:rPr>
                <w:rFonts w:ascii="Arial Narrow" w:hAnsi="Arial Narrow" w:cs="Calibri"/>
                <w:sz w:val="20"/>
                <w:szCs w:val="20"/>
              </w:rPr>
              <w:t>0,34</w:t>
            </w:r>
          </w:p>
        </w:tc>
        <w:tc>
          <w:tcPr>
            <w:tcW w:w="1114" w:type="dxa"/>
            <w:shd w:val="clear" w:color="auto" w:fill="auto"/>
            <w:noWrap/>
            <w:vAlign w:val="center"/>
          </w:tcPr>
          <w:p w14:paraId="6DF7E82C" w14:textId="77777777" w:rsidR="000D1A29" w:rsidRPr="004D2C93" w:rsidRDefault="000D1A29" w:rsidP="00F44BFC">
            <w:pPr>
              <w:jc w:val="right"/>
              <w:rPr>
                <w:rFonts w:ascii="Arial Narrow" w:hAnsi="Arial Narrow" w:cs="Calibri"/>
                <w:sz w:val="20"/>
                <w:szCs w:val="20"/>
              </w:rPr>
            </w:pPr>
            <w:r w:rsidRPr="004D2C93">
              <w:rPr>
                <w:rFonts w:ascii="Arial Narrow" w:hAnsi="Arial Narrow" w:cs="Calibri"/>
                <w:sz w:val="20"/>
                <w:szCs w:val="20"/>
              </w:rPr>
              <w:t>0,27</w:t>
            </w:r>
          </w:p>
        </w:tc>
      </w:tr>
      <w:tr w:rsidR="000D1A29" w:rsidRPr="004D2C93" w14:paraId="0266BEB4" w14:textId="77777777" w:rsidTr="00F44BFC">
        <w:trPr>
          <w:trHeight w:val="312"/>
        </w:trPr>
        <w:tc>
          <w:tcPr>
            <w:tcW w:w="486" w:type="dxa"/>
            <w:shd w:val="clear" w:color="auto" w:fill="auto"/>
            <w:noWrap/>
            <w:vAlign w:val="center"/>
            <w:hideMark/>
          </w:tcPr>
          <w:p w14:paraId="4C9606E1" w14:textId="77777777" w:rsidR="000D1A29" w:rsidRPr="004D2C93" w:rsidRDefault="000D1A29" w:rsidP="00F44BFC">
            <w:pPr>
              <w:rPr>
                <w:rFonts w:ascii="Arial Narrow" w:hAnsi="Arial Narrow" w:cs="Arial"/>
                <w:sz w:val="20"/>
                <w:szCs w:val="20"/>
              </w:rPr>
            </w:pPr>
            <w:r w:rsidRPr="004D2C93">
              <w:rPr>
                <w:rFonts w:ascii="Arial Narrow" w:hAnsi="Arial Narrow" w:cs="Arial"/>
                <w:sz w:val="20"/>
                <w:szCs w:val="20"/>
              </w:rPr>
              <w:t>4</w:t>
            </w:r>
          </w:p>
        </w:tc>
        <w:tc>
          <w:tcPr>
            <w:tcW w:w="2787" w:type="dxa"/>
            <w:shd w:val="clear" w:color="auto" w:fill="auto"/>
            <w:noWrap/>
            <w:vAlign w:val="center"/>
          </w:tcPr>
          <w:p w14:paraId="3292B89C" w14:textId="77777777" w:rsidR="000D1A29" w:rsidRPr="004D2C93" w:rsidRDefault="000D1A29" w:rsidP="00F44BFC">
            <w:pPr>
              <w:rPr>
                <w:rFonts w:ascii="Arial Narrow" w:hAnsi="Arial Narrow" w:cs="Calibri"/>
                <w:sz w:val="20"/>
                <w:szCs w:val="20"/>
              </w:rPr>
            </w:pPr>
            <w:r w:rsidRPr="004D2C93">
              <w:rPr>
                <w:rFonts w:ascii="Arial Narrow" w:hAnsi="Arial Narrow" w:cs="Calibri"/>
                <w:sz w:val="20"/>
                <w:szCs w:val="20"/>
              </w:rPr>
              <w:t>Щука </w:t>
            </w:r>
          </w:p>
        </w:tc>
        <w:tc>
          <w:tcPr>
            <w:tcW w:w="1084" w:type="dxa"/>
            <w:shd w:val="clear" w:color="auto" w:fill="auto"/>
            <w:noWrap/>
            <w:vAlign w:val="center"/>
          </w:tcPr>
          <w:p w14:paraId="41C10E77" w14:textId="77777777" w:rsidR="000D1A29" w:rsidRPr="004D2C93" w:rsidRDefault="000D1A29" w:rsidP="00F44BFC">
            <w:pPr>
              <w:jc w:val="right"/>
              <w:rPr>
                <w:rFonts w:ascii="Arial Narrow" w:hAnsi="Arial Narrow" w:cs="Calibri"/>
                <w:sz w:val="20"/>
                <w:szCs w:val="20"/>
              </w:rPr>
            </w:pPr>
            <w:r w:rsidRPr="004D2C93">
              <w:rPr>
                <w:rFonts w:ascii="Arial Narrow" w:hAnsi="Arial Narrow" w:cs="Calibri"/>
                <w:sz w:val="20"/>
                <w:szCs w:val="20"/>
              </w:rPr>
              <w:t>1,49</w:t>
            </w:r>
          </w:p>
        </w:tc>
        <w:tc>
          <w:tcPr>
            <w:tcW w:w="1093" w:type="dxa"/>
            <w:shd w:val="clear" w:color="auto" w:fill="auto"/>
            <w:noWrap/>
            <w:vAlign w:val="center"/>
          </w:tcPr>
          <w:p w14:paraId="2654C43F" w14:textId="77777777" w:rsidR="000D1A29" w:rsidRPr="004D2C93" w:rsidRDefault="000D1A29" w:rsidP="00F44BFC">
            <w:pPr>
              <w:jc w:val="right"/>
              <w:rPr>
                <w:rFonts w:ascii="Arial Narrow" w:hAnsi="Arial Narrow" w:cs="Calibri"/>
                <w:sz w:val="20"/>
                <w:szCs w:val="20"/>
              </w:rPr>
            </w:pPr>
            <w:r w:rsidRPr="004D2C93">
              <w:rPr>
                <w:rFonts w:ascii="Arial Narrow" w:hAnsi="Arial Narrow" w:cs="Calibri"/>
                <w:sz w:val="20"/>
                <w:szCs w:val="20"/>
              </w:rPr>
              <w:t>1,21</w:t>
            </w:r>
          </w:p>
        </w:tc>
        <w:tc>
          <w:tcPr>
            <w:tcW w:w="1112" w:type="dxa"/>
            <w:shd w:val="clear" w:color="auto" w:fill="auto"/>
            <w:noWrap/>
            <w:vAlign w:val="center"/>
          </w:tcPr>
          <w:p w14:paraId="1CF976A3" w14:textId="77777777" w:rsidR="000D1A29" w:rsidRPr="004D2C93" w:rsidRDefault="000D1A29" w:rsidP="00F44BFC">
            <w:pPr>
              <w:jc w:val="right"/>
              <w:rPr>
                <w:rFonts w:ascii="Arial Narrow" w:hAnsi="Arial Narrow" w:cs="Calibri"/>
                <w:sz w:val="20"/>
                <w:szCs w:val="20"/>
              </w:rPr>
            </w:pPr>
            <w:r w:rsidRPr="004D2C93">
              <w:rPr>
                <w:rFonts w:ascii="Arial Narrow" w:hAnsi="Arial Narrow" w:cs="Calibri"/>
                <w:sz w:val="20"/>
                <w:szCs w:val="20"/>
              </w:rPr>
              <w:t>9,02</w:t>
            </w:r>
          </w:p>
        </w:tc>
        <w:tc>
          <w:tcPr>
            <w:tcW w:w="1114" w:type="dxa"/>
            <w:shd w:val="clear" w:color="auto" w:fill="auto"/>
            <w:noWrap/>
            <w:vAlign w:val="center"/>
          </w:tcPr>
          <w:p w14:paraId="29490536" w14:textId="77777777" w:rsidR="000D1A29" w:rsidRPr="004D2C93" w:rsidRDefault="000D1A29" w:rsidP="00F44BFC">
            <w:pPr>
              <w:jc w:val="right"/>
              <w:rPr>
                <w:rFonts w:ascii="Arial Narrow" w:hAnsi="Arial Narrow" w:cs="Calibri"/>
                <w:sz w:val="20"/>
                <w:szCs w:val="20"/>
              </w:rPr>
            </w:pPr>
            <w:r w:rsidRPr="004D2C93">
              <w:rPr>
                <w:rFonts w:ascii="Arial Narrow" w:hAnsi="Arial Narrow" w:cs="Calibri"/>
                <w:sz w:val="20"/>
                <w:szCs w:val="20"/>
              </w:rPr>
              <w:t>6,76</w:t>
            </w:r>
          </w:p>
        </w:tc>
        <w:tc>
          <w:tcPr>
            <w:tcW w:w="1112" w:type="dxa"/>
            <w:shd w:val="clear" w:color="auto" w:fill="auto"/>
            <w:noWrap/>
            <w:vAlign w:val="center"/>
          </w:tcPr>
          <w:p w14:paraId="7159B2B8" w14:textId="77777777" w:rsidR="000D1A29" w:rsidRPr="004D2C93" w:rsidRDefault="000D1A29" w:rsidP="00F44BFC">
            <w:pPr>
              <w:jc w:val="right"/>
              <w:rPr>
                <w:rFonts w:ascii="Arial Narrow" w:hAnsi="Arial Narrow" w:cs="Calibri"/>
                <w:sz w:val="20"/>
                <w:szCs w:val="20"/>
              </w:rPr>
            </w:pPr>
            <w:r w:rsidRPr="004D2C93">
              <w:rPr>
                <w:rFonts w:ascii="Arial Narrow" w:hAnsi="Arial Narrow" w:cs="Calibri"/>
                <w:sz w:val="20"/>
                <w:szCs w:val="20"/>
              </w:rPr>
              <w:t>10,51</w:t>
            </w:r>
          </w:p>
        </w:tc>
        <w:tc>
          <w:tcPr>
            <w:tcW w:w="1114" w:type="dxa"/>
            <w:shd w:val="clear" w:color="auto" w:fill="auto"/>
            <w:noWrap/>
            <w:vAlign w:val="center"/>
          </w:tcPr>
          <w:p w14:paraId="192A2F56" w14:textId="77777777" w:rsidR="000D1A29" w:rsidRPr="004D2C93" w:rsidRDefault="000D1A29" w:rsidP="00F44BFC">
            <w:pPr>
              <w:jc w:val="right"/>
              <w:rPr>
                <w:rFonts w:ascii="Arial Narrow" w:hAnsi="Arial Narrow" w:cs="Calibri"/>
                <w:sz w:val="20"/>
                <w:szCs w:val="20"/>
              </w:rPr>
            </w:pPr>
            <w:r w:rsidRPr="004D2C93">
              <w:rPr>
                <w:rFonts w:ascii="Arial Narrow" w:hAnsi="Arial Narrow" w:cs="Calibri"/>
                <w:sz w:val="20"/>
                <w:szCs w:val="20"/>
              </w:rPr>
              <w:t>7,97</w:t>
            </w:r>
          </w:p>
        </w:tc>
      </w:tr>
      <w:tr w:rsidR="000D1A29" w:rsidRPr="004D2C93" w14:paraId="1FC94226" w14:textId="77777777" w:rsidTr="00F44BFC">
        <w:trPr>
          <w:trHeight w:val="312"/>
        </w:trPr>
        <w:tc>
          <w:tcPr>
            <w:tcW w:w="486" w:type="dxa"/>
            <w:shd w:val="clear" w:color="auto" w:fill="auto"/>
            <w:noWrap/>
            <w:vAlign w:val="center"/>
            <w:hideMark/>
          </w:tcPr>
          <w:p w14:paraId="3AAEA54E" w14:textId="77777777" w:rsidR="000D1A29" w:rsidRPr="004D2C93" w:rsidRDefault="000D1A29" w:rsidP="00F44BFC">
            <w:pPr>
              <w:rPr>
                <w:rFonts w:ascii="Arial Narrow" w:hAnsi="Arial Narrow" w:cs="Arial"/>
                <w:sz w:val="20"/>
                <w:szCs w:val="20"/>
              </w:rPr>
            </w:pPr>
            <w:r w:rsidRPr="004D2C93">
              <w:rPr>
                <w:rFonts w:ascii="Arial Narrow" w:hAnsi="Arial Narrow" w:cs="Arial"/>
                <w:sz w:val="20"/>
                <w:szCs w:val="20"/>
              </w:rPr>
              <w:lastRenderedPageBreak/>
              <w:t>5</w:t>
            </w:r>
          </w:p>
        </w:tc>
        <w:tc>
          <w:tcPr>
            <w:tcW w:w="2787" w:type="dxa"/>
            <w:shd w:val="clear" w:color="auto" w:fill="auto"/>
            <w:noWrap/>
            <w:vAlign w:val="center"/>
          </w:tcPr>
          <w:p w14:paraId="590877BB" w14:textId="77777777" w:rsidR="000D1A29" w:rsidRPr="004D2C93" w:rsidRDefault="000D1A29" w:rsidP="00F44BFC">
            <w:pPr>
              <w:rPr>
                <w:rFonts w:ascii="Arial Narrow" w:hAnsi="Arial Narrow" w:cs="Calibri"/>
                <w:sz w:val="20"/>
                <w:szCs w:val="20"/>
              </w:rPr>
            </w:pPr>
            <w:r w:rsidRPr="004D2C93">
              <w:rPr>
                <w:rFonts w:ascii="Arial Narrow" w:hAnsi="Arial Narrow" w:cs="Calibri"/>
                <w:sz w:val="20"/>
                <w:szCs w:val="20"/>
              </w:rPr>
              <w:t>Лин</w:t>
            </w:r>
          </w:p>
        </w:tc>
        <w:tc>
          <w:tcPr>
            <w:tcW w:w="1084" w:type="dxa"/>
            <w:shd w:val="clear" w:color="auto" w:fill="auto"/>
            <w:noWrap/>
            <w:vAlign w:val="center"/>
          </w:tcPr>
          <w:p w14:paraId="34E61BF9" w14:textId="77777777" w:rsidR="000D1A29" w:rsidRPr="004D2C93" w:rsidRDefault="000D1A29" w:rsidP="00F44BFC">
            <w:pPr>
              <w:jc w:val="right"/>
              <w:rPr>
                <w:rFonts w:ascii="Arial Narrow" w:hAnsi="Arial Narrow" w:cs="Calibri"/>
                <w:sz w:val="20"/>
                <w:szCs w:val="20"/>
              </w:rPr>
            </w:pPr>
            <w:r w:rsidRPr="004D2C93">
              <w:rPr>
                <w:rFonts w:ascii="Arial Narrow" w:hAnsi="Arial Narrow" w:cs="Calibri"/>
                <w:sz w:val="20"/>
                <w:szCs w:val="20"/>
              </w:rPr>
              <w:t>0,02</w:t>
            </w:r>
          </w:p>
        </w:tc>
        <w:tc>
          <w:tcPr>
            <w:tcW w:w="1093" w:type="dxa"/>
            <w:shd w:val="clear" w:color="auto" w:fill="auto"/>
            <w:noWrap/>
            <w:vAlign w:val="center"/>
          </w:tcPr>
          <w:p w14:paraId="7ACBED87" w14:textId="77777777" w:rsidR="000D1A29" w:rsidRPr="004D2C93" w:rsidRDefault="000D1A29" w:rsidP="00F44BFC">
            <w:pPr>
              <w:jc w:val="right"/>
              <w:rPr>
                <w:rFonts w:ascii="Arial Narrow" w:hAnsi="Arial Narrow" w:cs="Calibri"/>
                <w:sz w:val="20"/>
                <w:szCs w:val="20"/>
              </w:rPr>
            </w:pPr>
            <w:r w:rsidRPr="004D2C93">
              <w:rPr>
                <w:rFonts w:ascii="Arial Narrow" w:hAnsi="Arial Narrow" w:cs="Calibri"/>
                <w:sz w:val="20"/>
                <w:szCs w:val="20"/>
              </w:rPr>
              <w:t>0,02</w:t>
            </w:r>
          </w:p>
        </w:tc>
        <w:tc>
          <w:tcPr>
            <w:tcW w:w="1112" w:type="dxa"/>
            <w:shd w:val="clear" w:color="auto" w:fill="auto"/>
            <w:noWrap/>
            <w:vAlign w:val="center"/>
          </w:tcPr>
          <w:p w14:paraId="7C645E95" w14:textId="77777777" w:rsidR="000D1A29" w:rsidRPr="004D2C93" w:rsidRDefault="000D1A29" w:rsidP="00F44BFC">
            <w:pPr>
              <w:jc w:val="right"/>
              <w:rPr>
                <w:rFonts w:ascii="Arial Narrow" w:hAnsi="Arial Narrow" w:cs="Calibri"/>
                <w:sz w:val="20"/>
                <w:szCs w:val="20"/>
              </w:rPr>
            </w:pPr>
            <w:r w:rsidRPr="004D2C93">
              <w:rPr>
                <w:rFonts w:ascii="Arial Narrow" w:hAnsi="Arial Narrow" w:cs="Calibri"/>
                <w:sz w:val="20"/>
                <w:szCs w:val="20"/>
              </w:rPr>
              <w:t>0,22</w:t>
            </w:r>
          </w:p>
        </w:tc>
        <w:tc>
          <w:tcPr>
            <w:tcW w:w="1114" w:type="dxa"/>
            <w:shd w:val="clear" w:color="auto" w:fill="auto"/>
            <w:noWrap/>
            <w:vAlign w:val="center"/>
          </w:tcPr>
          <w:p w14:paraId="318D74CA" w14:textId="77777777" w:rsidR="000D1A29" w:rsidRPr="004D2C93" w:rsidRDefault="000D1A29" w:rsidP="00F44BFC">
            <w:pPr>
              <w:jc w:val="right"/>
              <w:rPr>
                <w:rFonts w:ascii="Arial Narrow" w:hAnsi="Arial Narrow" w:cs="Calibri"/>
                <w:sz w:val="20"/>
                <w:szCs w:val="20"/>
              </w:rPr>
            </w:pPr>
            <w:r w:rsidRPr="004D2C93">
              <w:rPr>
                <w:rFonts w:ascii="Arial Narrow" w:hAnsi="Arial Narrow" w:cs="Calibri"/>
                <w:sz w:val="20"/>
                <w:szCs w:val="20"/>
              </w:rPr>
              <w:t>0,00</w:t>
            </w:r>
          </w:p>
        </w:tc>
        <w:tc>
          <w:tcPr>
            <w:tcW w:w="1112" w:type="dxa"/>
            <w:shd w:val="clear" w:color="auto" w:fill="auto"/>
            <w:noWrap/>
            <w:vAlign w:val="center"/>
          </w:tcPr>
          <w:p w14:paraId="1AC62A33" w14:textId="77777777" w:rsidR="000D1A29" w:rsidRPr="004D2C93" w:rsidRDefault="000D1A29" w:rsidP="00F44BFC">
            <w:pPr>
              <w:jc w:val="right"/>
              <w:rPr>
                <w:rFonts w:ascii="Arial Narrow" w:hAnsi="Arial Narrow" w:cs="Calibri"/>
                <w:sz w:val="20"/>
                <w:szCs w:val="20"/>
              </w:rPr>
            </w:pPr>
            <w:r w:rsidRPr="004D2C93">
              <w:rPr>
                <w:rFonts w:ascii="Arial Narrow" w:hAnsi="Arial Narrow" w:cs="Calibri"/>
                <w:sz w:val="20"/>
                <w:szCs w:val="20"/>
              </w:rPr>
              <w:t>0,24</w:t>
            </w:r>
          </w:p>
        </w:tc>
        <w:tc>
          <w:tcPr>
            <w:tcW w:w="1114" w:type="dxa"/>
            <w:shd w:val="clear" w:color="auto" w:fill="auto"/>
            <w:noWrap/>
            <w:vAlign w:val="center"/>
          </w:tcPr>
          <w:p w14:paraId="3F4D9E93" w14:textId="77777777" w:rsidR="000D1A29" w:rsidRPr="004D2C93" w:rsidRDefault="000D1A29" w:rsidP="00F44BFC">
            <w:pPr>
              <w:jc w:val="right"/>
              <w:rPr>
                <w:rFonts w:ascii="Arial Narrow" w:hAnsi="Arial Narrow" w:cs="Calibri"/>
                <w:sz w:val="20"/>
                <w:szCs w:val="20"/>
              </w:rPr>
            </w:pPr>
            <w:r w:rsidRPr="004D2C93">
              <w:rPr>
                <w:rFonts w:ascii="Arial Narrow" w:hAnsi="Arial Narrow" w:cs="Calibri"/>
                <w:sz w:val="20"/>
                <w:szCs w:val="20"/>
              </w:rPr>
              <w:t>0,02</w:t>
            </w:r>
          </w:p>
        </w:tc>
      </w:tr>
      <w:tr w:rsidR="000D1A29" w:rsidRPr="004D2C93" w14:paraId="021B74FF" w14:textId="77777777" w:rsidTr="00F44BFC">
        <w:trPr>
          <w:trHeight w:val="312"/>
        </w:trPr>
        <w:tc>
          <w:tcPr>
            <w:tcW w:w="486" w:type="dxa"/>
            <w:shd w:val="clear" w:color="auto" w:fill="auto"/>
            <w:noWrap/>
            <w:vAlign w:val="center"/>
            <w:hideMark/>
          </w:tcPr>
          <w:p w14:paraId="06FB6FFE" w14:textId="77777777" w:rsidR="000D1A29" w:rsidRPr="004D2C93" w:rsidRDefault="000D1A29" w:rsidP="00F44BFC">
            <w:pPr>
              <w:rPr>
                <w:rFonts w:ascii="Arial Narrow" w:hAnsi="Arial Narrow" w:cs="Arial"/>
                <w:sz w:val="20"/>
                <w:szCs w:val="20"/>
              </w:rPr>
            </w:pPr>
            <w:r w:rsidRPr="004D2C93">
              <w:rPr>
                <w:rFonts w:ascii="Arial Narrow" w:hAnsi="Arial Narrow" w:cs="Arial"/>
                <w:sz w:val="20"/>
                <w:szCs w:val="20"/>
              </w:rPr>
              <w:t>6</w:t>
            </w:r>
          </w:p>
        </w:tc>
        <w:tc>
          <w:tcPr>
            <w:tcW w:w="2787" w:type="dxa"/>
            <w:shd w:val="clear" w:color="auto" w:fill="auto"/>
            <w:noWrap/>
            <w:vAlign w:val="center"/>
          </w:tcPr>
          <w:p w14:paraId="770421FC" w14:textId="77777777" w:rsidR="000D1A29" w:rsidRPr="004D2C93" w:rsidRDefault="000D1A29" w:rsidP="00F44BFC">
            <w:pPr>
              <w:rPr>
                <w:rFonts w:ascii="Arial Narrow" w:hAnsi="Arial Narrow" w:cs="Calibri"/>
                <w:sz w:val="20"/>
                <w:szCs w:val="20"/>
              </w:rPr>
            </w:pPr>
            <w:r w:rsidRPr="004D2C93">
              <w:rPr>
                <w:rFonts w:ascii="Arial Narrow" w:hAnsi="Arial Narrow" w:cs="Calibri"/>
                <w:sz w:val="20"/>
                <w:szCs w:val="20"/>
              </w:rPr>
              <w:t>Уклей (Брияна)</w:t>
            </w:r>
          </w:p>
        </w:tc>
        <w:tc>
          <w:tcPr>
            <w:tcW w:w="1084" w:type="dxa"/>
            <w:shd w:val="clear" w:color="auto" w:fill="auto"/>
            <w:noWrap/>
            <w:vAlign w:val="center"/>
          </w:tcPr>
          <w:p w14:paraId="7498C205" w14:textId="77777777" w:rsidR="000D1A29" w:rsidRPr="004D2C93" w:rsidRDefault="000D1A29" w:rsidP="00F44BFC">
            <w:pPr>
              <w:jc w:val="right"/>
              <w:rPr>
                <w:rFonts w:ascii="Arial Narrow" w:hAnsi="Arial Narrow" w:cs="Calibri"/>
                <w:sz w:val="20"/>
                <w:szCs w:val="20"/>
              </w:rPr>
            </w:pPr>
            <w:r w:rsidRPr="004D2C93">
              <w:rPr>
                <w:rFonts w:ascii="Arial Narrow" w:hAnsi="Arial Narrow" w:cs="Calibri"/>
                <w:sz w:val="20"/>
                <w:szCs w:val="20"/>
              </w:rPr>
              <w:t>0,00</w:t>
            </w:r>
          </w:p>
        </w:tc>
        <w:tc>
          <w:tcPr>
            <w:tcW w:w="1093" w:type="dxa"/>
            <w:shd w:val="clear" w:color="auto" w:fill="auto"/>
            <w:noWrap/>
            <w:vAlign w:val="center"/>
          </w:tcPr>
          <w:p w14:paraId="2358353A" w14:textId="77777777" w:rsidR="000D1A29" w:rsidRPr="004D2C93" w:rsidRDefault="000D1A29" w:rsidP="00F44BFC">
            <w:pPr>
              <w:jc w:val="right"/>
              <w:rPr>
                <w:rFonts w:ascii="Arial Narrow" w:hAnsi="Arial Narrow" w:cs="Calibri"/>
                <w:sz w:val="20"/>
                <w:szCs w:val="20"/>
              </w:rPr>
            </w:pPr>
            <w:r w:rsidRPr="004D2C93">
              <w:rPr>
                <w:rFonts w:ascii="Arial Narrow" w:hAnsi="Arial Narrow" w:cs="Calibri"/>
                <w:sz w:val="20"/>
                <w:szCs w:val="20"/>
              </w:rPr>
              <w:t>0,00</w:t>
            </w:r>
          </w:p>
        </w:tc>
        <w:tc>
          <w:tcPr>
            <w:tcW w:w="1112" w:type="dxa"/>
            <w:shd w:val="clear" w:color="auto" w:fill="auto"/>
            <w:noWrap/>
            <w:vAlign w:val="center"/>
          </w:tcPr>
          <w:p w14:paraId="09FEABD8" w14:textId="77777777" w:rsidR="000D1A29" w:rsidRPr="004D2C93" w:rsidRDefault="000D1A29" w:rsidP="00F44BFC">
            <w:pPr>
              <w:jc w:val="right"/>
              <w:rPr>
                <w:rFonts w:ascii="Arial Narrow" w:hAnsi="Arial Narrow" w:cs="Calibri"/>
                <w:sz w:val="20"/>
                <w:szCs w:val="20"/>
              </w:rPr>
            </w:pPr>
            <w:r w:rsidRPr="004D2C93">
              <w:rPr>
                <w:rFonts w:ascii="Arial Narrow" w:hAnsi="Arial Narrow" w:cs="Calibri"/>
                <w:sz w:val="20"/>
                <w:szCs w:val="20"/>
              </w:rPr>
              <w:t>0,52</w:t>
            </w:r>
          </w:p>
        </w:tc>
        <w:tc>
          <w:tcPr>
            <w:tcW w:w="1114" w:type="dxa"/>
            <w:shd w:val="clear" w:color="auto" w:fill="auto"/>
            <w:noWrap/>
            <w:vAlign w:val="center"/>
          </w:tcPr>
          <w:p w14:paraId="0A1332AC" w14:textId="77777777" w:rsidR="000D1A29" w:rsidRPr="004D2C93" w:rsidRDefault="000D1A29" w:rsidP="00F44BFC">
            <w:pPr>
              <w:jc w:val="right"/>
              <w:rPr>
                <w:rFonts w:ascii="Arial Narrow" w:hAnsi="Arial Narrow" w:cs="Calibri"/>
                <w:sz w:val="20"/>
                <w:szCs w:val="20"/>
              </w:rPr>
            </w:pPr>
            <w:r w:rsidRPr="004D2C93">
              <w:rPr>
                <w:rFonts w:ascii="Arial Narrow" w:hAnsi="Arial Narrow" w:cs="Calibri"/>
                <w:sz w:val="20"/>
                <w:szCs w:val="20"/>
              </w:rPr>
              <w:t>0,54</w:t>
            </w:r>
          </w:p>
        </w:tc>
        <w:tc>
          <w:tcPr>
            <w:tcW w:w="1112" w:type="dxa"/>
            <w:shd w:val="clear" w:color="auto" w:fill="auto"/>
            <w:noWrap/>
            <w:vAlign w:val="center"/>
          </w:tcPr>
          <w:p w14:paraId="1D8BA29D" w14:textId="77777777" w:rsidR="000D1A29" w:rsidRPr="004D2C93" w:rsidRDefault="000D1A29" w:rsidP="00F44BFC">
            <w:pPr>
              <w:jc w:val="right"/>
              <w:rPr>
                <w:rFonts w:ascii="Arial Narrow" w:hAnsi="Arial Narrow" w:cs="Calibri"/>
                <w:sz w:val="20"/>
                <w:szCs w:val="20"/>
              </w:rPr>
            </w:pPr>
            <w:r w:rsidRPr="004D2C93">
              <w:rPr>
                <w:rFonts w:ascii="Arial Narrow" w:hAnsi="Arial Narrow" w:cs="Calibri"/>
                <w:sz w:val="20"/>
                <w:szCs w:val="20"/>
              </w:rPr>
              <w:t>0,52</w:t>
            </w:r>
          </w:p>
        </w:tc>
        <w:tc>
          <w:tcPr>
            <w:tcW w:w="1114" w:type="dxa"/>
            <w:shd w:val="clear" w:color="auto" w:fill="auto"/>
            <w:noWrap/>
            <w:vAlign w:val="center"/>
          </w:tcPr>
          <w:p w14:paraId="10EA285F" w14:textId="77777777" w:rsidR="000D1A29" w:rsidRPr="004D2C93" w:rsidRDefault="000D1A29" w:rsidP="00F44BFC">
            <w:pPr>
              <w:jc w:val="right"/>
              <w:rPr>
                <w:rFonts w:ascii="Arial Narrow" w:hAnsi="Arial Narrow" w:cs="Calibri"/>
                <w:sz w:val="20"/>
                <w:szCs w:val="20"/>
              </w:rPr>
            </w:pPr>
            <w:r w:rsidRPr="004D2C93">
              <w:rPr>
                <w:rFonts w:ascii="Arial Narrow" w:hAnsi="Arial Narrow" w:cs="Calibri"/>
                <w:sz w:val="20"/>
                <w:szCs w:val="20"/>
              </w:rPr>
              <w:t>0,54</w:t>
            </w:r>
          </w:p>
        </w:tc>
      </w:tr>
      <w:tr w:rsidR="000D1A29" w:rsidRPr="004D2C93" w14:paraId="413D8DCF" w14:textId="77777777" w:rsidTr="00F44BFC">
        <w:trPr>
          <w:trHeight w:val="312"/>
        </w:trPr>
        <w:tc>
          <w:tcPr>
            <w:tcW w:w="486" w:type="dxa"/>
            <w:shd w:val="clear" w:color="auto" w:fill="auto"/>
            <w:noWrap/>
            <w:vAlign w:val="center"/>
            <w:hideMark/>
          </w:tcPr>
          <w:p w14:paraId="7263FBC1" w14:textId="77777777" w:rsidR="000D1A29" w:rsidRPr="004D2C93" w:rsidRDefault="000D1A29" w:rsidP="00F44BFC">
            <w:pPr>
              <w:rPr>
                <w:rFonts w:ascii="Arial Narrow" w:hAnsi="Arial Narrow" w:cs="Arial"/>
                <w:sz w:val="20"/>
                <w:szCs w:val="20"/>
              </w:rPr>
            </w:pPr>
            <w:r w:rsidRPr="004D2C93">
              <w:rPr>
                <w:rFonts w:ascii="Arial Narrow" w:hAnsi="Arial Narrow" w:cs="Arial"/>
                <w:sz w:val="20"/>
                <w:szCs w:val="20"/>
              </w:rPr>
              <w:t>7</w:t>
            </w:r>
          </w:p>
        </w:tc>
        <w:tc>
          <w:tcPr>
            <w:tcW w:w="2787" w:type="dxa"/>
            <w:shd w:val="clear" w:color="auto" w:fill="auto"/>
            <w:noWrap/>
            <w:vAlign w:val="center"/>
          </w:tcPr>
          <w:p w14:paraId="00BDFFE6" w14:textId="77777777" w:rsidR="000D1A29" w:rsidRPr="004D2C93" w:rsidRDefault="000D1A29" w:rsidP="00F44BFC">
            <w:pPr>
              <w:rPr>
                <w:rFonts w:ascii="Arial Narrow" w:hAnsi="Arial Narrow" w:cs="Calibri"/>
                <w:sz w:val="20"/>
                <w:szCs w:val="20"/>
              </w:rPr>
            </w:pPr>
            <w:r w:rsidRPr="004D2C93">
              <w:rPr>
                <w:rFonts w:ascii="Arial Narrow" w:hAnsi="Arial Narrow" w:cs="Calibri"/>
                <w:sz w:val="20"/>
                <w:szCs w:val="20"/>
              </w:rPr>
              <w:t>Платика </w:t>
            </w:r>
          </w:p>
        </w:tc>
        <w:tc>
          <w:tcPr>
            <w:tcW w:w="1084" w:type="dxa"/>
            <w:shd w:val="clear" w:color="auto" w:fill="auto"/>
            <w:noWrap/>
            <w:vAlign w:val="center"/>
          </w:tcPr>
          <w:p w14:paraId="140ECA70" w14:textId="77777777" w:rsidR="000D1A29" w:rsidRPr="004D2C93" w:rsidRDefault="000D1A29" w:rsidP="00F44BFC">
            <w:pPr>
              <w:jc w:val="right"/>
              <w:rPr>
                <w:rFonts w:ascii="Arial Narrow" w:hAnsi="Arial Narrow" w:cs="Calibri"/>
                <w:sz w:val="20"/>
                <w:szCs w:val="20"/>
              </w:rPr>
            </w:pPr>
            <w:r w:rsidRPr="004D2C93">
              <w:rPr>
                <w:rFonts w:ascii="Arial Narrow" w:hAnsi="Arial Narrow" w:cs="Calibri"/>
                <w:sz w:val="20"/>
                <w:szCs w:val="20"/>
              </w:rPr>
              <w:t>0,00</w:t>
            </w:r>
          </w:p>
        </w:tc>
        <w:tc>
          <w:tcPr>
            <w:tcW w:w="1093" w:type="dxa"/>
            <w:shd w:val="clear" w:color="auto" w:fill="auto"/>
            <w:noWrap/>
            <w:vAlign w:val="center"/>
          </w:tcPr>
          <w:p w14:paraId="1678E0CA" w14:textId="77777777" w:rsidR="000D1A29" w:rsidRPr="004D2C93" w:rsidRDefault="000D1A29" w:rsidP="00F44BFC">
            <w:pPr>
              <w:jc w:val="right"/>
              <w:rPr>
                <w:rFonts w:ascii="Arial Narrow" w:hAnsi="Arial Narrow" w:cs="Calibri"/>
                <w:sz w:val="20"/>
                <w:szCs w:val="20"/>
              </w:rPr>
            </w:pPr>
            <w:r w:rsidRPr="004D2C93">
              <w:rPr>
                <w:rFonts w:ascii="Arial Narrow" w:hAnsi="Arial Narrow" w:cs="Calibri"/>
                <w:sz w:val="20"/>
                <w:szCs w:val="20"/>
              </w:rPr>
              <w:t>0,00</w:t>
            </w:r>
          </w:p>
        </w:tc>
        <w:tc>
          <w:tcPr>
            <w:tcW w:w="1112" w:type="dxa"/>
            <w:shd w:val="clear" w:color="auto" w:fill="auto"/>
            <w:noWrap/>
            <w:vAlign w:val="center"/>
          </w:tcPr>
          <w:p w14:paraId="365469E8" w14:textId="77777777" w:rsidR="000D1A29" w:rsidRPr="004D2C93" w:rsidRDefault="000D1A29" w:rsidP="00F44BFC">
            <w:pPr>
              <w:jc w:val="right"/>
              <w:rPr>
                <w:rFonts w:ascii="Arial Narrow" w:hAnsi="Arial Narrow" w:cs="Calibri"/>
                <w:sz w:val="20"/>
                <w:szCs w:val="20"/>
              </w:rPr>
            </w:pPr>
            <w:r w:rsidRPr="004D2C93">
              <w:rPr>
                <w:rFonts w:ascii="Arial Narrow" w:hAnsi="Arial Narrow" w:cs="Calibri"/>
                <w:sz w:val="20"/>
                <w:szCs w:val="20"/>
              </w:rPr>
              <w:t>2,92</w:t>
            </w:r>
          </w:p>
        </w:tc>
        <w:tc>
          <w:tcPr>
            <w:tcW w:w="1114" w:type="dxa"/>
            <w:shd w:val="clear" w:color="auto" w:fill="auto"/>
            <w:noWrap/>
            <w:vAlign w:val="center"/>
          </w:tcPr>
          <w:p w14:paraId="5F6FB42C" w14:textId="77777777" w:rsidR="000D1A29" w:rsidRPr="004D2C93" w:rsidRDefault="000D1A29" w:rsidP="00F44BFC">
            <w:pPr>
              <w:jc w:val="right"/>
              <w:rPr>
                <w:rFonts w:ascii="Arial Narrow" w:hAnsi="Arial Narrow" w:cs="Calibri"/>
                <w:sz w:val="20"/>
                <w:szCs w:val="20"/>
              </w:rPr>
            </w:pPr>
            <w:r w:rsidRPr="004D2C93">
              <w:rPr>
                <w:rFonts w:ascii="Arial Narrow" w:hAnsi="Arial Narrow" w:cs="Calibri"/>
                <w:sz w:val="20"/>
                <w:szCs w:val="20"/>
              </w:rPr>
              <w:t>4,18</w:t>
            </w:r>
          </w:p>
        </w:tc>
        <w:tc>
          <w:tcPr>
            <w:tcW w:w="1112" w:type="dxa"/>
            <w:shd w:val="clear" w:color="auto" w:fill="auto"/>
            <w:noWrap/>
            <w:vAlign w:val="center"/>
          </w:tcPr>
          <w:p w14:paraId="5B5FD7B2" w14:textId="77777777" w:rsidR="000D1A29" w:rsidRPr="004D2C93" w:rsidRDefault="000D1A29" w:rsidP="00F44BFC">
            <w:pPr>
              <w:jc w:val="right"/>
              <w:rPr>
                <w:rFonts w:ascii="Arial Narrow" w:hAnsi="Arial Narrow" w:cs="Calibri"/>
                <w:sz w:val="20"/>
                <w:szCs w:val="20"/>
              </w:rPr>
            </w:pPr>
            <w:r w:rsidRPr="004D2C93">
              <w:rPr>
                <w:rFonts w:ascii="Arial Narrow" w:hAnsi="Arial Narrow" w:cs="Calibri"/>
                <w:sz w:val="20"/>
                <w:szCs w:val="20"/>
              </w:rPr>
              <w:t>2,92</w:t>
            </w:r>
          </w:p>
        </w:tc>
        <w:tc>
          <w:tcPr>
            <w:tcW w:w="1114" w:type="dxa"/>
            <w:shd w:val="clear" w:color="auto" w:fill="auto"/>
            <w:noWrap/>
            <w:vAlign w:val="center"/>
          </w:tcPr>
          <w:p w14:paraId="06E2AE18" w14:textId="77777777" w:rsidR="000D1A29" w:rsidRPr="004D2C93" w:rsidRDefault="000D1A29" w:rsidP="00F44BFC">
            <w:pPr>
              <w:jc w:val="right"/>
              <w:rPr>
                <w:rFonts w:ascii="Arial Narrow" w:hAnsi="Arial Narrow" w:cs="Calibri"/>
                <w:sz w:val="20"/>
                <w:szCs w:val="20"/>
              </w:rPr>
            </w:pPr>
            <w:r w:rsidRPr="004D2C93">
              <w:rPr>
                <w:rFonts w:ascii="Arial Narrow" w:hAnsi="Arial Narrow" w:cs="Calibri"/>
                <w:sz w:val="20"/>
                <w:szCs w:val="20"/>
              </w:rPr>
              <w:t>4,18</w:t>
            </w:r>
          </w:p>
        </w:tc>
      </w:tr>
      <w:tr w:rsidR="000D1A29" w:rsidRPr="004D2C93" w14:paraId="242F64C8" w14:textId="77777777" w:rsidTr="00F44BFC">
        <w:trPr>
          <w:trHeight w:val="312"/>
        </w:trPr>
        <w:tc>
          <w:tcPr>
            <w:tcW w:w="486" w:type="dxa"/>
            <w:shd w:val="clear" w:color="auto" w:fill="auto"/>
            <w:noWrap/>
            <w:vAlign w:val="center"/>
            <w:hideMark/>
          </w:tcPr>
          <w:p w14:paraId="717615CA" w14:textId="77777777" w:rsidR="000D1A29" w:rsidRPr="004D2C93" w:rsidRDefault="000D1A29" w:rsidP="00F44BFC">
            <w:pPr>
              <w:rPr>
                <w:rFonts w:ascii="Arial Narrow" w:hAnsi="Arial Narrow" w:cs="Arial"/>
                <w:sz w:val="20"/>
                <w:szCs w:val="20"/>
              </w:rPr>
            </w:pPr>
            <w:r w:rsidRPr="004D2C93">
              <w:rPr>
                <w:rFonts w:ascii="Arial Narrow" w:hAnsi="Arial Narrow" w:cs="Arial"/>
                <w:sz w:val="20"/>
                <w:szCs w:val="20"/>
              </w:rPr>
              <w:t>8</w:t>
            </w:r>
          </w:p>
        </w:tc>
        <w:tc>
          <w:tcPr>
            <w:tcW w:w="2787" w:type="dxa"/>
            <w:shd w:val="clear" w:color="auto" w:fill="auto"/>
            <w:noWrap/>
            <w:vAlign w:val="center"/>
          </w:tcPr>
          <w:p w14:paraId="5A2ECD2F" w14:textId="77777777" w:rsidR="000D1A29" w:rsidRPr="004D2C93" w:rsidRDefault="000D1A29" w:rsidP="00F44BFC">
            <w:pPr>
              <w:rPr>
                <w:rFonts w:ascii="Arial Narrow" w:hAnsi="Arial Narrow" w:cs="Calibri"/>
                <w:sz w:val="20"/>
                <w:szCs w:val="20"/>
              </w:rPr>
            </w:pPr>
            <w:r w:rsidRPr="004D2C93">
              <w:rPr>
                <w:rFonts w:ascii="Arial Narrow" w:hAnsi="Arial Narrow" w:cs="Calibri"/>
                <w:sz w:val="20"/>
                <w:szCs w:val="20"/>
              </w:rPr>
              <w:t>Шаран</w:t>
            </w:r>
          </w:p>
        </w:tc>
        <w:tc>
          <w:tcPr>
            <w:tcW w:w="1084" w:type="dxa"/>
            <w:shd w:val="clear" w:color="auto" w:fill="auto"/>
            <w:noWrap/>
            <w:vAlign w:val="center"/>
          </w:tcPr>
          <w:p w14:paraId="50826601" w14:textId="77777777" w:rsidR="000D1A29" w:rsidRPr="004D2C93" w:rsidRDefault="000D1A29" w:rsidP="00F44BFC">
            <w:pPr>
              <w:jc w:val="right"/>
              <w:rPr>
                <w:rFonts w:ascii="Arial Narrow" w:hAnsi="Arial Narrow" w:cs="Calibri"/>
                <w:sz w:val="20"/>
                <w:szCs w:val="20"/>
              </w:rPr>
            </w:pPr>
            <w:r w:rsidRPr="004D2C93">
              <w:rPr>
                <w:rFonts w:ascii="Arial Narrow" w:hAnsi="Arial Narrow" w:cs="Calibri"/>
                <w:sz w:val="20"/>
                <w:szCs w:val="20"/>
              </w:rPr>
              <w:t>558,48</w:t>
            </w:r>
          </w:p>
        </w:tc>
        <w:tc>
          <w:tcPr>
            <w:tcW w:w="1093" w:type="dxa"/>
            <w:shd w:val="clear" w:color="auto" w:fill="auto"/>
            <w:noWrap/>
            <w:vAlign w:val="center"/>
          </w:tcPr>
          <w:p w14:paraId="35901DB7" w14:textId="77777777" w:rsidR="000D1A29" w:rsidRPr="004D2C93" w:rsidRDefault="000D1A29" w:rsidP="00F44BFC">
            <w:pPr>
              <w:jc w:val="right"/>
              <w:rPr>
                <w:rFonts w:ascii="Arial Narrow" w:hAnsi="Arial Narrow" w:cs="Calibri"/>
                <w:sz w:val="20"/>
                <w:szCs w:val="20"/>
              </w:rPr>
            </w:pPr>
            <w:r w:rsidRPr="004D2C93">
              <w:rPr>
                <w:rFonts w:ascii="Arial Narrow" w:hAnsi="Arial Narrow" w:cs="Calibri"/>
                <w:sz w:val="20"/>
                <w:szCs w:val="20"/>
              </w:rPr>
              <w:t>603,79</w:t>
            </w:r>
          </w:p>
        </w:tc>
        <w:tc>
          <w:tcPr>
            <w:tcW w:w="1112" w:type="dxa"/>
            <w:shd w:val="clear" w:color="auto" w:fill="auto"/>
            <w:noWrap/>
            <w:vAlign w:val="center"/>
          </w:tcPr>
          <w:p w14:paraId="74D0B7CA" w14:textId="77777777" w:rsidR="000D1A29" w:rsidRPr="004D2C93" w:rsidRDefault="000D1A29" w:rsidP="00F44BFC">
            <w:pPr>
              <w:jc w:val="right"/>
              <w:rPr>
                <w:rFonts w:ascii="Arial Narrow" w:hAnsi="Arial Narrow" w:cs="Calibri"/>
                <w:sz w:val="20"/>
                <w:szCs w:val="20"/>
              </w:rPr>
            </w:pPr>
            <w:r w:rsidRPr="004D2C93">
              <w:rPr>
                <w:rFonts w:ascii="Arial Narrow" w:hAnsi="Arial Narrow" w:cs="Calibri"/>
                <w:sz w:val="20"/>
                <w:szCs w:val="20"/>
              </w:rPr>
              <w:t>3 463,43</w:t>
            </w:r>
          </w:p>
        </w:tc>
        <w:tc>
          <w:tcPr>
            <w:tcW w:w="1114" w:type="dxa"/>
            <w:shd w:val="clear" w:color="auto" w:fill="auto"/>
            <w:noWrap/>
            <w:vAlign w:val="center"/>
          </w:tcPr>
          <w:p w14:paraId="0627B713" w14:textId="77777777" w:rsidR="000D1A29" w:rsidRPr="004D2C93" w:rsidRDefault="000D1A29" w:rsidP="00F44BFC">
            <w:pPr>
              <w:jc w:val="right"/>
              <w:rPr>
                <w:rFonts w:ascii="Arial Narrow" w:hAnsi="Arial Narrow" w:cs="Calibri"/>
                <w:sz w:val="20"/>
                <w:szCs w:val="20"/>
              </w:rPr>
            </w:pPr>
            <w:r w:rsidRPr="004D2C93">
              <w:rPr>
                <w:rFonts w:ascii="Arial Narrow" w:hAnsi="Arial Narrow" w:cs="Calibri"/>
                <w:sz w:val="20"/>
                <w:szCs w:val="20"/>
              </w:rPr>
              <w:t>3 620,11</w:t>
            </w:r>
          </w:p>
        </w:tc>
        <w:tc>
          <w:tcPr>
            <w:tcW w:w="1112" w:type="dxa"/>
            <w:shd w:val="clear" w:color="auto" w:fill="auto"/>
            <w:noWrap/>
            <w:vAlign w:val="center"/>
          </w:tcPr>
          <w:p w14:paraId="3CA6FC97" w14:textId="77777777" w:rsidR="000D1A29" w:rsidRPr="004D2C93" w:rsidRDefault="000D1A29" w:rsidP="00F44BFC">
            <w:pPr>
              <w:jc w:val="right"/>
              <w:rPr>
                <w:rFonts w:ascii="Arial Narrow" w:hAnsi="Arial Narrow" w:cs="Calibri"/>
                <w:sz w:val="20"/>
                <w:szCs w:val="20"/>
              </w:rPr>
            </w:pPr>
            <w:r w:rsidRPr="004D2C93">
              <w:rPr>
                <w:rFonts w:ascii="Arial Narrow" w:hAnsi="Arial Narrow" w:cs="Calibri"/>
                <w:sz w:val="20"/>
                <w:szCs w:val="20"/>
              </w:rPr>
              <w:t>4 021,91</w:t>
            </w:r>
          </w:p>
        </w:tc>
        <w:tc>
          <w:tcPr>
            <w:tcW w:w="1114" w:type="dxa"/>
            <w:shd w:val="clear" w:color="auto" w:fill="auto"/>
            <w:noWrap/>
            <w:vAlign w:val="center"/>
          </w:tcPr>
          <w:p w14:paraId="6D34F888" w14:textId="77777777" w:rsidR="000D1A29" w:rsidRPr="004D2C93" w:rsidRDefault="000D1A29" w:rsidP="00F44BFC">
            <w:pPr>
              <w:jc w:val="right"/>
              <w:rPr>
                <w:rFonts w:ascii="Arial Narrow" w:hAnsi="Arial Narrow" w:cs="Calibri"/>
                <w:sz w:val="20"/>
                <w:szCs w:val="20"/>
              </w:rPr>
            </w:pPr>
            <w:r w:rsidRPr="004D2C93">
              <w:rPr>
                <w:rFonts w:ascii="Arial Narrow" w:hAnsi="Arial Narrow" w:cs="Calibri"/>
                <w:sz w:val="20"/>
                <w:szCs w:val="20"/>
              </w:rPr>
              <w:t>4 223,90</w:t>
            </w:r>
          </w:p>
        </w:tc>
      </w:tr>
      <w:tr w:rsidR="000D1A29" w:rsidRPr="004D2C93" w14:paraId="5BE22F7B" w14:textId="77777777" w:rsidTr="00F44BFC">
        <w:trPr>
          <w:trHeight w:val="312"/>
        </w:trPr>
        <w:tc>
          <w:tcPr>
            <w:tcW w:w="486" w:type="dxa"/>
            <w:shd w:val="clear" w:color="auto" w:fill="auto"/>
            <w:noWrap/>
            <w:vAlign w:val="center"/>
            <w:hideMark/>
          </w:tcPr>
          <w:p w14:paraId="493A0B5F" w14:textId="77777777" w:rsidR="000D1A29" w:rsidRPr="004D2C93" w:rsidRDefault="000D1A29" w:rsidP="00F44BFC">
            <w:pPr>
              <w:rPr>
                <w:rFonts w:ascii="Arial Narrow" w:hAnsi="Arial Narrow" w:cs="Arial"/>
                <w:sz w:val="20"/>
                <w:szCs w:val="20"/>
              </w:rPr>
            </w:pPr>
            <w:r w:rsidRPr="004D2C93">
              <w:rPr>
                <w:rFonts w:ascii="Arial Narrow" w:hAnsi="Arial Narrow" w:cs="Arial"/>
                <w:sz w:val="20"/>
                <w:szCs w:val="20"/>
              </w:rPr>
              <w:t>9</w:t>
            </w:r>
          </w:p>
        </w:tc>
        <w:tc>
          <w:tcPr>
            <w:tcW w:w="2787" w:type="dxa"/>
            <w:shd w:val="clear" w:color="auto" w:fill="auto"/>
            <w:noWrap/>
            <w:vAlign w:val="center"/>
          </w:tcPr>
          <w:p w14:paraId="52D316A0" w14:textId="77777777" w:rsidR="000D1A29" w:rsidRPr="004D2C93" w:rsidRDefault="000D1A29" w:rsidP="00F44BFC">
            <w:pPr>
              <w:rPr>
                <w:rFonts w:ascii="Arial Narrow" w:hAnsi="Arial Narrow" w:cs="Calibri"/>
                <w:sz w:val="20"/>
                <w:szCs w:val="20"/>
              </w:rPr>
            </w:pPr>
            <w:r w:rsidRPr="004D2C93">
              <w:rPr>
                <w:rFonts w:ascii="Arial Narrow" w:hAnsi="Arial Narrow" w:cs="Calibri"/>
                <w:sz w:val="20"/>
                <w:szCs w:val="20"/>
              </w:rPr>
              <w:t>Златиста каракуда</w:t>
            </w:r>
          </w:p>
        </w:tc>
        <w:tc>
          <w:tcPr>
            <w:tcW w:w="1084" w:type="dxa"/>
            <w:shd w:val="clear" w:color="auto" w:fill="auto"/>
            <w:noWrap/>
            <w:vAlign w:val="center"/>
          </w:tcPr>
          <w:p w14:paraId="0717CD2C" w14:textId="77777777" w:rsidR="000D1A29" w:rsidRPr="004D2C93" w:rsidRDefault="000D1A29" w:rsidP="00F44BFC">
            <w:pPr>
              <w:jc w:val="right"/>
              <w:rPr>
                <w:rFonts w:ascii="Arial Narrow" w:hAnsi="Arial Narrow" w:cs="Calibri"/>
                <w:sz w:val="20"/>
                <w:szCs w:val="20"/>
              </w:rPr>
            </w:pPr>
            <w:r w:rsidRPr="004D2C93">
              <w:rPr>
                <w:rFonts w:ascii="Arial Narrow" w:hAnsi="Arial Narrow" w:cs="Calibri"/>
                <w:sz w:val="20"/>
                <w:szCs w:val="20"/>
              </w:rPr>
              <w:t>0,00</w:t>
            </w:r>
          </w:p>
        </w:tc>
        <w:tc>
          <w:tcPr>
            <w:tcW w:w="1093" w:type="dxa"/>
            <w:shd w:val="clear" w:color="auto" w:fill="auto"/>
            <w:noWrap/>
            <w:vAlign w:val="center"/>
          </w:tcPr>
          <w:p w14:paraId="3726CAAE" w14:textId="77777777" w:rsidR="000D1A29" w:rsidRPr="004D2C93" w:rsidRDefault="000D1A29" w:rsidP="00F44BFC">
            <w:pPr>
              <w:jc w:val="right"/>
              <w:rPr>
                <w:rFonts w:ascii="Arial Narrow" w:hAnsi="Arial Narrow" w:cs="Calibri"/>
                <w:sz w:val="20"/>
                <w:szCs w:val="20"/>
              </w:rPr>
            </w:pPr>
            <w:r w:rsidRPr="004D2C93">
              <w:rPr>
                <w:rFonts w:ascii="Arial Narrow" w:hAnsi="Arial Narrow" w:cs="Calibri"/>
                <w:sz w:val="20"/>
                <w:szCs w:val="20"/>
              </w:rPr>
              <w:t>0,00</w:t>
            </w:r>
          </w:p>
        </w:tc>
        <w:tc>
          <w:tcPr>
            <w:tcW w:w="1112" w:type="dxa"/>
            <w:shd w:val="clear" w:color="auto" w:fill="auto"/>
            <w:noWrap/>
            <w:vAlign w:val="center"/>
          </w:tcPr>
          <w:p w14:paraId="663A49CE" w14:textId="77777777" w:rsidR="000D1A29" w:rsidRPr="004D2C93" w:rsidRDefault="000D1A29" w:rsidP="00F44BFC">
            <w:pPr>
              <w:jc w:val="right"/>
              <w:rPr>
                <w:rFonts w:ascii="Arial Narrow" w:hAnsi="Arial Narrow" w:cs="Calibri"/>
                <w:sz w:val="20"/>
                <w:szCs w:val="20"/>
              </w:rPr>
            </w:pPr>
            <w:r w:rsidRPr="004D2C93">
              <w:rPr>
                <w:rFonts w:ascii="Arial Narrow" w:hAnsi="Arial Narrow" w:cs="Calibri"/>
                <w:sz w:val="20"/>
                <w:szCs w:val="20"/>
              </w:rPr>
              <w:t>2,02</w:t>
            </w:r>
          </w:p>
        </w:tc>
        <w:tc>
          <w:tcPr>
            <w:tcW w:w="1114" w:type="dxa"/>
            <w:shd w:val="clear" w:color="auto" w:fill="auto"/>
            <w:noWrap/>
            <w:vAlign w:val="center"/>
          </w:tcPr>
          <w:p w14:paraId="652E4072" w14:textId="77777777" w:rsidR="000D1A29" w:rsidRPr="004D2C93" w:rsidRDefault="000D1A29" w:rsidP="00F44BFC">
            <w:pPr>
              <w:jc w:val="right"/>
              <w:rPr>
                <w:rFonts w:ascii="Arial Narrow" w:hAnsi="Arial Narrow" w:cs="Calibri"/>
                <w:sz w:val="20"/>
                <w:szCs w:val="20"/>
              </w:rPr>
            </w:pPr>
            <w:r w:rsidRPr="004D2C93">
              <w:rPr>
                <w:rFonts w:ascii="Arial Narrow" w:hAnsi="Arial Narrow" w:cs="Calibri"/>
                <w:sz w:val="20"/>
                <w:szCs w:val="20"/>
              </w:rPr>
              <w:t>0,10</w:t>
            </w:r>
          </w:p>
        </w:tc>
        <w:tc>
          <w:tcPr>
            <w:tcW w:w="1112" w:type="dxa"/>
            <w:shd w:val="clear" w:color="auto" w:fill="auto"/>
            <w:noWrap/>
            <w:vAlign w:val="center"/>
          </w:tcPr>
          <w:p w14:paraId="3A6B42BC" w14:textId="77777777" w:rsidR="000D1A29" w:rsidRPr="004D2C93" w:rsidRDefault="000D1A29" w:rsidP="00F44BFC">
            <w:pPr>
              <w:jc w:val="right"/>
              <w:rPr>
                <w:rFonts w:ascii="Arial Narrow" w:hAnsi="Arial Narrow" w:cs="Calibri"/>
                <w:sz w:val="20"/>
                <w:szCs w:val="20"/>
              </w:rPr>
            </w:pPr>
            <w:r w:rsidRPr="004D2C93">
              <w:rPr>
                <w:rFonts w:ascii="Arial Narrow" w:hAnsi="Arial Narrow" w:cs="Calibri"/>
                <w:sz w:val="20"/>
                <w:szCs w:val="20"/>
              </w:rPr>
              <w:t>2,02</w:t>
            </w:r>
          </w:p>
        </w:tc>
        <w:tc>
          <w:tcPr>
            <w:tcW w:w="1114" w:type="dxa"/>
            <w:shd w:val="clear" w:color="auto" w:fill="auto"/>
            <w:noWrap/>
            <w:vAlign w:val="center"/>
          </w:tcPr>
          <w:p w14:paraId="3FEC00A9" w14:textId="77777777" w:rsidR="000D1A29" w:rsidRPr="004D2C93" w:rsidRDefault="000D1A29" w:rsidP="00F44BFC">
            <w:pPr>
              <w:jc w:val="right"/>
              <w:rPr>
                <w:rFonts w:ascii="Arial Narrow" w:hAnsi="Arial Narrow" w:cs="Calibri"/>
                <w:sz w:val="20"/>
                <w:szCs w:val="20"/>
              </w:rPr>
            </w:pPr>
            <w:r w:rsidRPr="004D2C93">
              <w:rPr>
                <w:rFonts w:ascii="Arial Narrow" w:hAnsi="Arial Narrow" w:cs="Calibri"/>
                <w:sz w:val="20"/>
                <w:szCs w:val="20"/>
              </w:rPr>
              <w:t>0,10</w:t>
            </w:r>
          </w:p>
        </w:tc>
      </w:tr>
      <w:tr w:rsidR="000D1A29" w:rsidRPr="004D2C93" w14:paraId="33066B20" w14:textId="77777777" w:rsidTr="00F44BFC">
        <w:trPr>
          <w:trHeight w:val="312"/>
        </w:trPr>
        <w:tc>
          <w:tcPr>
            <w:tcW w:w="486" w:type="dxa"/>
            <w:shd w:val="clear" w:color="auto" w:fill="auto"/>
            <w:noWrap/>
            <w:vAlign w:val="center"/>
            <w:hideMark/>
          </w:tcPr>
          <w:p w14:paraId="0F446498" w14:textId="77777777" w:rsidR="000D1A29" w:rsidRPr="004D2C93" w:rsidRDefault="000D1A29" w:rsidP="00F44BFC">
            <w:pPr>
              <w:rPr>
                <w:rFonts w:ascii="Arial Narrow" w:hAnsi="Arial Narrow" w:cs="Arial"/>
                <w:sz w:val="20"/>
                <w:szCs w:val="20"/>
              </w:rPr>
            </w:pPr>
            <w:r w:rsidRPr="004D2C93">
              <w:rPr>
                <w:rFonts w:ascii="Arial Narrow" w:hAnsi="Arial Narrow" w:cs="Arial"/>
                <w:sz w:val="20"/>
                <w:szCs w:val="20"/>
              </w:rPr>
              <w:t>10</w:t>
            </w:r>
          </w:p>
        </w:tc>
        <w:tc>
          <w:tcPr>
            <w:tcW w:w="2787" w:type="dxa"/>
            <w:shd w:val="clear" w:color="auto" w:fill="auto"/>
            <w:noWrap/>
            <w:vAlign w:val="center"/>
          </w:tcPr>
          <w:p w14:paraId="4DD3C5B4" w14:textId="77777777" w:rsidR="000D1A29" w:rsidRPr="004D2C93" w:rsidRDefault="000D1A29" w:rsidP="00F44BFC">
            <w:pPr>
              <w:rPr>
                <w:rFonts w:ascii="Arial Narrow" w:hAnsi="Arial Narrow" w:cs="Calibri"/>
                <w:sz w:val="20"/>
                <w:szCs w:val="20"/>
              </w:rPr>
            </w:pPr>
            <w:r w:rsidRPr="004D2C93">
              <w:rPr>
                <w:rFonts w:ascii="Arial Narrow" w:hAnsi="Arial Narrow" w:cs="Calibri"/>
                <w:sz w:val="20"/>
                <w:szCs w:val="20"/>
              </w:rPr>
              <w:t>Сребриста каракуда </w:t>
            </w:r>
          </w:p>
        </w:tc>
        <w:tc>
          <w:tcPr>
            <w:tcW w:w="1084" w:type="dxa"/>
            <w:shd w:val="clear" w:color="auto" w:fill="auto"/>
            <w:noWrap/>
            <w:vAlign w:val="center"/>
          </w:tcPr>
          <w:p w14:paraId="505463DB" w14:textId="77777777" w:rsidR="000D1A29" w:rsidRPr="004D2C93" w:rsidRDefault="000D1A29" w:rsidP="00F44BFC">
            <w:pPr>
              <w:jc w:val="right"/>
              <w:rPr>
                <w:rFonts w:ascii="Arial Narrow" w:hAnsi="Arial Narrow" w:cs="Calibri"/>
                <w:sz w:val="20"/>
                <w:szCs w:val="20"/>
              </w:rPr>
            </w:pPr>
            <w:r w:rsidRPr="004D2C93">
              <w:rPr>
                <w:rFonts w:ascii="Arial Narrow" w:hAnsi="Arial Narrow" w:cs="Calibri"/>
                <w:sz w:val="20"/>
                <w:szCs w:val="20"/>
              </w:rPr>
              <w:t>5,38</w:t>
            </w:r>
          </w:p>
        </w:tc>
        <w:tc>
          <w:tcPr>
            <w:tcW w:w="1093" w:type="dxa"/>
            <w:shd w:val="clear" w:color="auto" w:fill="auto"/>
            <w:noWrap/>
            <w:vAlign w:val="center"/>
          </w:tcPr>
          <w:p w14:paraId="50879DC0" w14:textId="77777777" w:rsidR="000D1A29" w:rsidRPr="004D2C93" w:rsidRDefault="000D1A29" w:rsidP="00F44BFC">
            <w:pPr>
              <w:jc w:val="right"/>
              <w:rPr>
                <w:rFonts w:ascii="Arial Narrow" w:hAnsi="Arial Narrow" w:cs="Calibri"/>
                <w:sz w:val="20"/>
                <w:szCs w:val="20"/>
              </w:rPr>
            </w:pPr>
            <w:r w:rsidRPr="004D2C93">
              <w:rPr>
                <w:rFonts w:ascii="Arial Narrow" w:hAnsi="Arial Narrow" w:cs="Calibri"/>
                <w:sz w:val="20"/>
                <w:szCs w:val="20"/>
              </w:rPr>
              <w:t>8,31</w:t>
            </w:r>
          </w:p>
        </w:tc>
        <w:tc>
          <w:tcPr>
            <w:tcW w:w="1112" w:type="dxa"/>
            <w:shd w:val="clear" w:color="auto" w:fill="auto"/>
            <w:noWrap/>
            <w:vAlign w:val="center"/>
          </w:tcPr>
          <w:p w14:paraId="7DBBBCBE" w14:textId="77777777" w:rsidR="000D1A29" w:rsidRPr="004D2C93" w:rsidRDefault="000D1A29" w:rsidP="00F44BFC">
            <w:pPr>
              <w:jc w:val="right"/>
              <w:rPr>
                <w:rFonts w:ascii="Arial Narrow" w:hAnsi="Arial Narrow" w:cs="Calibri"/>
                <w:sz w:val="20"/>
                <w:szCs w:val="20"/>
              </w:rPr>
            </w:pPr>
            <w:r w:rsidRPr="004D2C93">
              <w:rPr>
                <w:rFonts w:ascii="Arial Narrow" w:hAnsi="Arial Narrow" w:cs="Calibri"/>
                <w:sz w:val="20"/>
                <w:szCs w:val="20"/>
              </w:rPr>
              <w:t>241,53</w:t>
            </w:r>
          </w:p>
        </w:tc>
        <w:tc>
          <w:tcPr>
            <w:tcW w:w="1114" w:type="dxa"/>
            <w:shd w:val="clear" w:color="auto" w:fill="auto"/>
            <w:noWrap/>
            <w:vAlign w:val="center"/>
          </w:tcPr>
          <w:p w14:paraId="2644B7BE" w14:textId="77777777" w:rsidR="000D1A29" w:rsidRPr="004D2C93" w:rsidRDefault="000D1A29" w:rsidP="00F44BFC">
            <w:pPr>
              <w:jc w:val="right"/>
              <w:rPr>
                <w:rFonts w:ascii="Arial Narrow" w:hAnsi="Arial Narrow" w:cs="Calibri"/>
                <w:sz w:val="20"/>
                <w:szCs w:val="20"/>
              </w:rPr>
            </w:pPr>
            <w:r w:rsidRPr="004D2C93">
              <w:rPr>
                <w:rFonts w:ascii="Arial Narrow" w:hAnsi="Arial Narrow" w:cs="Calibri"/>
                <w:sz w:val="20"/>
                <w:szCs w:val="20"/>
              </w:rPr>
              <w:t>285,37</w:t>
            </w:r>
          </w:p>
        </w:tc>
        <w:tc>
          <w:tcPr>
            <w:tcW w:w="1112" w:type="dxa"/>
            <w:shd w:val="clear" w:color="auto" w:fill="auto"/>
            <w:noWrap/>
            <w:vAlign w:val="center"/>
          </w:tcPr>
          <w:p w14:paraId="3549AB19" w14:textId="77777777" w:rsidR="000D1A29" w:rsidRPr="004D2C93" w:rsidRDefault="000D1A29" w:rsidP="00F44BFC">
            <w:pPr>
              <w:jc w:val="right"/>
              <w:rPr>
                <w:rFonts w:ascii="Arial Narrow" w:hAnsi="Arial Narrow" w:cs="Calibri"/>
                <w:sz w:val="20"/>
                <w:szCs w:val="20"/>
              </w:rPr>
            </w:pPr>
            <w:r w:rsidRPr="004D2C93">
              <w:rPr>
                <w:rFonts w:ascii="Arial Narrow" w:hAnsi="Arial Narrow" w:cs="Calibri"/>
                <w:sz w:val="20"/>
                <w:szCs w:val="20"/>
              </w:rPr>
              <w:t>246,90</w:t>
            </w:r>
          </w:p>
        </w:tc>
        <w:tc>
          <w:tcPr>
            <w:tcW w:w="1114" w:type="dxa"/>
            <w:shd w:val="clear" w:color="auto" w:fill="auto"/>
            <w:noWrap/>
            <w:vAlign w:val="center"/>
          </w:tcPr>
          <w:p w14:paraId="6635A4F6" w14:textId="77777777" w:rsidR="000D1A29" w:rsidRPr="004D2C93" w:rsidRDefault="000D1A29" w:rsidP="00F44BFC">
            <w:pPr>
              <w:jc w:val="right"/>
              <w:rPr>
                <w:rFonts w:ascii="Arial Narrow" w:hAnsi="Arial Narrow" w:cs="Calibri"/>
                <w:sz w:val="20"/>
                <w:szCs w:val="20"/>
              </w:rPr>
            </w:pPr>
            <w:r w:rsidRPr="004D2C93">
              <w:rPr>
                <w:rFonts w:ascii="Arial Narrow" w:hAnsi="Arial Narrow" w:cs="Calibri"/>
                <w:sz w:val="20"/>
                <w:szCs w:val="20"/>
              </w:rPr>
              <w:t>293,68</w:t>
            </w:r>
          </w:p>
        </w:tc>
      </w:tr>
      <w:tr w:rsidR="000D1A29" w:rsidRPr="004D2C93" w14:paraId="70A1C827" w14:textId="77777777" w:rsidTr="00F44BFC">
        <w:trPr>
          <w:trHeight w:val="312"/>
        </w:trPr>
        <w:tc>
          <w:tcPr>
            <w:tcW w:w="486" w:type="dxa"/>
            <w:shd w:val="clear" w:color="auto" w:fill="auto"/>
            <w:noWrap/>
            <w:vAlign w:val="center"/>
            <w:hideMark/>
          </w:tcPr>
          <w:p w14:paraId="18488AD6" w14:textId="77777777" w:rsidR="000D1A29" w:rsidRPr="004D2C93" w:rsidRDefault="000D1A29" w:rsidP="00F44BFC">
            <w:pPr>
              <w:rPr>
                <w:rFonts w:ascii="Arial Narrow" w:hAnsi="Arial Narrow" w:cs="Arial"/>
                <w:sz w:val="20"/>
                <w:szCs w:val="20"/>
              </w:rPr>
            </w:pPr>
            <w:r w:rsidRPr="004D2C93">
              <w:rPr>
                <w:rFonts w:ascii="Arial Narrow" w:hAnsi="Arial Narrow" w:cs="Arial"/>
                <w:sz w:val="20"/>
                <w:szCs w:val="20"/>
              </w:rPr>
              <w:t>11</w:t>
            </w:r>
          </w:p>
        </w:tc>
        <w:tc>
          <w:tcPr>
            <w:tcW w:w="2787" w:type="dxa"/>
            <w:shd w:val="clear" w:color="auto" w:fill="auto"/>
            <w:noWrap/>
            <w:vAlign w:val="center"/>
          </w:tcPr>
          <w:p w14:paraId="3202EFE9" w14:textId="77777777" w:rsidR="000D1A29" w:rsidRPr="004D2C93" w:rsidRDefault="000D1A29" w:rsidP="00F44BFC">
            <w:pPr>
              <w:rPr>
                <w:rFonts w:ascii="Arial Narrow" w:hAnsi="Arial Narrow" w:cs="Calibri"/>
                <w:sz w:val="20"/>
                <w:szCs w:val="20"/>
              </w:rPr>
            </w:pPr>
            <w:r w:rsidRPr="004D2C93">
              <w:rPr>
                <w:rFonts w:ascii="Arial Narrow" w:hAnsi="Arial Narrow" w:cs="Calibri"/>
                <w:sz w:val="20"/>
                <w:szCs w:val="20"/>
              </w:rPr>
              <w:t>Бял толстолоб</w:t>
            </w:r>
          </w:p>
        </w:tc>
        <w:tc>
          <w:tcPr>
            <w:tcW w:w="1084" w:type="dxa"/>
            <w:shd w:val="clear" w:color="auto" w:fill="auto"/>
            <w:noWrap/>
            <w:vAlign w:val="center"/>
          </w:tcPr>
          <w:p w14:paraId="35BA9204" w14:textId="77777777" w:rsidR="000D1A29" w:rsidRPr="004D2C93" w:rsidRDefault="000D1A29" w:rsidP="00F44BFC">
            <w:pPr>
              <w:jc w:val="right"/>
              <w:rPr>
                <w:rFonts w:ascii="Arial Narrow" w:hAnsi="Arial Narrow" w:cs="Calibri"/>
                <w:sz w:val="20"/>
                <w:szCs w:val="20"/>
              </w:rPr>
            </w:pPr>
            <w:r w:rsidRPr="004D2C93">
              <w:rPr>
                <w:rFonts w:ascii="Arial Narrow" w:hAnsi="Arial Narrow" w:cs="Calibri"/>
                <w:sz w:val="20"/>
                <w:szCs w:val="20"/>
              </w:rPr>
              <w:t>30,28</w:t>
            </w:r>
          </w:p>
        </w:tc>
        <w:tc>
          <w:tcPr>
            <w:tcW w:w="1093" w:type="dxa"/>
            <w:shd w:val="clear" w:color="auto" w:fill="auto"/>
            <w:noWrap/>
            <w:vAlign w:val="center"/>
          </w:tcPr>
          <w:p w14:paraId="51806B29" w14:textId="77777777" w:rsidR="000D1A29" w:rsidRPr="004D2C93" w:rsidRDefault="000D1A29" w:rsidP="00F44BFC">
            <w:pPr>
              <w:jc w:val="right"/>
              <w:rPr>
                <w:rFonts w:ascii="Arial Narrow" w:hAnsi="Arial Narrow" w:cs="Calibri"/>
                <w:sz w:val="20"/>
                <w:szCs w:val="20"/>
              </w:rPr>
            </w:pPr>
            <w:r w:rsidRPr="004D2C93">
              <w:rPr>
                <w:rFonts w:ascii="Arial Narrow" w:hAnsi="Arial Narrow" w:cs="Calibri"/>
                <w:sz w:val="20"/>
                <w:szCs w:val="20"/>
              </w:rPr>
              <w:t>47,94</w:t>
            </w:r>
          </w:p>
        </w:tc>
        <w:tc>
          <w:tcPr>
            <w:tcW w:w="1112" w:type="dxa"/>
            <w:shd w:val="clear" w:color="auto" w:fill="auto"/>
            <w:noWrap/>
            <w:vAlign w:val="center"/>
          </w:tcPr>
          <w:p w14:paraId="469BD737" w14:textId="77777777" w:rsidR="000D1A29" w:rsidRPr="004D2C93" w:rsidRDefault="000D1A29" w:rsidP="00F44BFC">
            <w:pPr>
              <w:jc w:val="right"/>
              <w:rPr>
                <w:rFonts w:ascii="Arial Narrow" w:hAnsi="Arial Narrow" w:cs="Calibri"/>
                <w:sz w:val="20"/>
                <w:szCs w:val="20"/>
              </w:rPr>
            </w:pPr>
            <w:r w:rsidRPr="004D2C93">
              <w:rPr>
                <w:rFonts w:ascii="Arial Narrow" w:hAnsi="Arial Narrow" w:cs="Calibri"/>
                <w:sz w:val="20"/>
                <w:szCs w:val="20"/>
              </w:rPr>
              <w:t>83,54</w:t>
            </w:r>
          </w:p>
        </w:tc>
        <w:tc>
          <w:tcPr>
            <w:tcW w:w="1114" w:type="dxa"/>
            <w:shd w:val="clear" w:color="auto" w:fill="auto"/>
            <w:noWrap/>
            <w:vAlign w:val="center"/>
          </w:tcPr>
          <w:p w14:paraId="639C3238" w14:textId="77777777" w:rsidR="000D1A29" w:rsidRPr="004D2C93" w:rsidRDefault="000D1A29" w:rsidP="00F44BFC">
            <w:pPr>
              <w:jc w:val="right"/>
              <w:rPr>
                <w:rFonts w:ascii="Arial Narrow" w:hAnsi="Arial Narrow" w:cs="Calibri"/>
                <w:sz w:val="20"/>
                <w:szCs w:val="20"/>
              </w:rPr>
            </w:pPr>
            <w:r w:rsidRPr="004D2C93">
              <w:rPr>
                <w:rFonts w:ascii="Arial Narrow" w:hAnsi="Arial Narrow" w:cs="Calibri"/>
                <w:sz w:val="20"/>
                <w:szCs w:val="20"/>
              </w:rPr>
              <w:t>113,71</w:t>
            </w:r>
          </w:p>
        </w:tc>
        <w:tc>
          <w:tcPr>
            <w:tcW w:w="1112" w:type="dxa"/>
            <w:shd w:val="clear" w:color="auto" w:fill="auto"/>
            <w:noWrap/>
            <w:vAlign w:val="center"/>
          </w:tcPr>
          <w:p w14:paraId="7A3F74FE" w14:textId="77777777" w:rsidR="000D1A29" w:rsidRPr="004D2C93" w:rsidRDefault="000D1A29" w:rsidP="00F44BFC">
            <w:pPr>
              <w:jc w:val="right"/>
              <w:rPr>
                <w:rFonts w:ascii="Arial Narrow" w:hAnsi="Arial Narrow" w:cs="Calibri"/>
                <w:sz w:val="20"/>
                <w:szCs w:val="20"/>
              </w:rPr>
            </w:pPr>
            <w:r w:rsidRPr="004D2C93">
              <w:rPr>
                <w:rFonts w:ascii="Arial Narrow" w:hAnsi="Arial Narrow" w:cs="Calibri"/>
                <w:sz w:val="20"/>
                <w:szCs w:val="20"/>
              </w:rPr>
              <w:t>113,82</w:t>
            </w:r>
          </w:p>
        </w:tc>
        <w:tc>
          <w:tcPr>
            <w:tcW w:w="1114" w:type="dxa"/>
            <w:shd w:val="clear" w:color="auto" w:fill="auto"/>
            <w:noWrap/>
            <w:vAlign w:val="center"/>
          </w:tcPr>
          <w:p w14:paraId="6F782EA1" w14:textId="77777777" w:rsidR="000D1A29" w:rsidRPr="004D2C93" w:rsidRDefault="000D1A29" w:rsidP="00F44BFC">
            <w:pPr>
              <w:jc w:val="right"/>
              <w:rPr>
                <w:rFonts w:ascii="Arial Narrow" w:hAnsi="Arial Narrow" w:cs="Calibri"/>
                <w:sz w:val="20"/>
                <w:szCs w:val="20"/>
              </w:rPr>
            </w:pPr>
            <w:r w:rsidRPr="004D2C93">
              <w:rPr>
                <w:rFonts w:ascii="Arial Narrow" w:hAnsi="Arial Narrow" w:cs="Calibri"/>
                <w:sz w:val="20"/>
                <w:szCs w:val="20"/>
              </w:rPr>
              <w:t>161,65</w:t>
            </w:r>
          </w:p>
        </w:tc>
      </w:tr>
      <w:tr w:rsidR="000D1A29" w:rsidRPr="004D2C93" w14:paraId="22D3DF98" w14:textId="77777777" w:rsidTr="00F44BFC">
        <w:trPr>
          <w:trHeight w:val="312"/>
        </w:trPr>
        <w:tc>
          <w:tcPr>
            <w:tcW w:w="486" w:type="dxa"/>
            <w:shd w:val="clear" w:color="auto" w:fill="auto"/>
            <w:noWrap/>
            <w:vAlign w:val="center"/>
            <w:hideMark/>
          </w:tcPr>
          <w:p w14:paraId="09886F24" w14:textId="77777777" w:rsidR="000D1A29" w:rsidRPr="004D2C93" w:rsidRDefault="000D1A29" w:rsidP="00F44BFC">
            <w:pPr>
              <w:rPr>
                <w:rFonts w:ascii="Arial Narrow" w:hAnsi="Arial Narrow" w:cs="Arial"/>
                <w:sz w:val="20"/>
                <w:szCs w:val="20"/>
              </w:rPr>
            </w:pPr>
            <w:r w:rsidRPr="004D2C93">
              <w:rPr>
                <w:rFonts w:ascii="Arial Narrow" w:hAnsi="Arial Narrow" w:cs="Arial"/>
                <w:sz w:val="20"/>
                <w:szCs w:val="20"/>
              </w:rPr>
              <w:t>12</w:t>
            </w:r>
          </w:p>
        </w:tc>
        <w:tc>
          <w:tcPr>
            <w:tcW w:w="2787" w:type="dxa"/>
            <w:shd w:val="clear" w:color="auto" w:fill="auto"/>
            <w:noWrap/>
            <w:vAlign w:val="center"/>
          </w:tcPr>
          <w:p w14:paraId="521C6C01" w14:textId="77777777" w:rsidR="000D1A29" w:rsidRPr="004D2C93" w:rsidRDefault="000D1A29" w:rsidP="00F44BFC">
            <w:pPr>
              <w:rPr>
                <w:rFonts w:ascii="Arial Narrow" w:hAnsi="Arial Narrow" w:cs="Calibri"/>
                <w:sz w:val="20"/>
                <w:szCs w:val="20"/>
              </w:rPr>
            </w:pPr>
            <w:r w:rsidRPr="004D2C93">
              <w:rPr>
                <w:rFonts w:ascii="Arial Narrow" w:hAnsi="Arial Narrow" w:cs="Calibri"/>
                <w:sz w:val="20"/>
                <w:szCs w:val="20"/>
              </w:rPr>
              <w:t>Пъстър толстолоб </w:t>
            </w:r>
          </w:p>
        </w:tc>
        <w:tc>
          <w:tcPr>
            <w:tcW w:w="1084" w:type="dxa"/>
            <w:shd w:val="clear" w:color="auto" w:fill="auto"/>
            <w:noWrap/>
            <w:vAlign w:val="center"/>
          </w:tcPr>
          <w:p w14:paraId="2768377C" w14:textId="77777777" w:rsidR="000D1A29" w:rsidRPr="004D2C93" w:rsidRDefault="000D1A29" w:rsidP="00F44BFC">
            <w:pPr>
              <w:jc w:val="right"/>
              <w:rPr>
                <w:rFonts w:ascii="Arial Narrow" w:hAnsi="Arial Narrow" w:cs="Calibri"/>
                <w:sz w:val="20"/>
                <w:szCs w:val="20"/>
              </w:rPr>
            </w:pPr>
            <w:r w:rsidRPr="004D2C93">
              <w:rPr>
                <w:rFonts w:ascii="Arial Narrow" w:hAnsi="Arial Narrow" w:cs="Calibri"/>
                <w:sz w:val="20"/>
                <w:szCs w:val="20"/>
              </w:rPr>
              <w:t>246,01</w:t>
            </w:r>
          </w:p>
        </w:tc>
        <w:tc>
          <w:tcPr>
            <w:tcW w:w="1093" w:type="dxa"/>
            <w:shd w:val="clear" w:color="auto" w:fill="auto"/>
            <w:noWrap/>
            <w:vAlign w:val="center"/>
          </w:tcPr>
          <w:p w14:paraId="642550B5" w14:textId="77777777" w:rsidR="000D1A29" w:rsidRPr="004D2C93" w:rsidRDefault="000D1A29" w:rsidP="00F44BFC">
            <w:pPr>
              <w:jc w:val="right"/>
              <w:rPr>
                <w:rFonts w:ascii="Arial Narrow" w:hAnsi="Arial Narrow" w:cs="Calibri"/>
                <w:sz w:val="20"/>
                <w:szCs w:val="20"/>
              </w:rPr>
            </w:pPr>
            <w:r w:rsidRPr="004D2C93">
              <w:rPr>
                <w:rFonts w:ascii="Arial Narrow" w:hAnsi="Arial Narrow" w:cs="Calibri"/>
                <w:sz w:val="20"/>
                <w:szCs w:val="20"/>
              </w:rPr>
              <w:t>278,72</w:t>
            </w:r>
          </w:p>
        </w:tc>
        <w:tc>
          <w:tcPr>
            <w:tcW w:w="1112" w:type="dxa"/>
            <w:shd w:val="clear" w:color="auto" w:fill="auto"/>
            <w:noWrap/>
            <w:vAlign w:val="center"/>
          </w:tcPr>
          <w:p w14:paraId="06962698" w14:textId="77777777" w:rsidR="000D1A29" w:rsidRPr="004D2C93" w:rsidRDefault="000D1A29" w:rsidP="00F44BFC">
            <w:pPr>
              <w:jc w:val="right"/>
              <w:rPr>
                <w:rFonts w:ascii="Arial Narrow" w:hAnsi="Arial Narrow" w:cs="Calibri"/>
                <w:sz w:val="20"/>
                <w:szCs w:val="20"/>
              </w:rPr>
            </w:pPr>
            <w:r w:rsidRPr="004D2C93">
              <w:rPr>
                <w:rFonts w:ascii="Arial Narrow" w:hAnsi="Arial Narrow" w:cs="Calibri"/>
                <w:sz w:val="20"/>
                <w:szCs w:val="20"/>
              </w:rPr>
              <w:t>931,13</w:t>
            </w:r>
          </w:p>
        </w:tc>
        <w:tc>
          <w:tcPr>
            <w:tcW w:w="1114" w:type="dxa"/>
            <w:shd w:val="clear" w:color="auto" w:fill="auto"/>
            <w:noWrap/>
            <w:vAlign w:val="center"/>
          </w:tcPr>
          <w:p w14:paraId="49534BD7" w14:textId="77777777" w:rsidR="000D1A29" w:rsidRPr="004D2C93" w:rsidRDefault="000D1A29" w:rsidP="00F44BFC">
            <w:pPr>
              <w:jc w:val="right"/>
              <w:rPr>
                <w:rFonts w:ascii="Arial Narrow" w:hAnsi="Arial Narrow" w:cs="Calibri"/>
                <w:sz w:val="20"/>
                <w:szCs w:val="20"/>
              </w:rPr>
            </w:pPr>
            <w:r w:rsidRPr="004D2C93">
              <w:rPr>
                <w:rFonts w:ascii="Arial Narrow" w:hAnsi="Arial Narrow" w:cs="Calibri"/>
                <w:sz w:val="20"/>
                <w:szCs w:val="20"/>
              </w:rPr>
              <w:t>867,64</w:t>
            </w:r>
          </w:p>
        </w:tc>
        <w:tc>
          <w:tcPr>
            <w:tcW w:w="1112" w:type="dxa"/>
            <w:shd w:val="clear" w:color="auto" w:fill="auto"/>
            <w:noWrap/>
            <w:vAlign w:val="center"/>
          </w:tcPr>
          <w:p w14:paraId="1B9160E8" w14:textId="77777777" w:rsidR="000D1A29" w:rsidRPr="004D2C93" w:rsidRDefault="000D1A29" w:rsidP="00F44BFC">
            <w:pPr>
              <w:jc w:val="right"/>
              <w:rPr>
                <w:rFonts w:ascii="Arial Narrow" w:hAnsi="Arial Narrow" w:cs="Calibri"/>
                <w:sz w:val="20"/>
                <w:szCs w:val="20"/>
              </w:rPr>
            </w:pPr>
            <w:r w:rsidRPr="004D2C93">
              <w:rPr>
                <w:rFonts w:ascii="Arial Narrow" w:hAnsi="Arial Narrow" w:cs="Calibri"/>
                <w:sz w:val="20"/>
                <w:szCs w:val="20"/>
              </w:rPr>
              <w:t>1 177,13</w:t>
            </w:r>
          </w:p>
        </w:tc>
        <w:tc>
          <w:tcPr>
            <w:tcW w:w="1114" w:type="dxa"/>
            <w:shd w:val="clear" w:color="auto" w:fill="auto"/>
            <w:noWrap/>
            <w:vAlign w:val="center"/>
          </w:tcPr>
          <w:p w14:paraId="333F6A0A" w14:textId="77777777" w:rsidR="000D1A29" w:rsidRPr="004D2C93" w:rsidRDefault="000D1A29" w:rsidP="00F44BFC">
            <w:pPr>
              <w:jc w:val="right"/>
              <w:rPr>
                <w:rFonts w:ascii="Arial Narrow" w:hAnsi="Arial Narrow" w:cs="Calibri"/>
                <w:sz w:val="20"/>
                <w:szCs w:val="20"/>
              </w:rPr>
            </w:pPr>
            <w:r w:rsidRPr="004D2C93">
              <w:rPr>
                <w:rFonts w:ascii="Arial Narrow" w:hAnsi="Arial Narrow" w:cs="Calibri"/>
                <w:sz w:val="20"/>
                <w:szCs w:val="20"/>
              </w:rPr>
              <w:t>1 146,36</w:t>
            </w:r>
          </w:p>
        </w:tc>
      </w:tr>
      <w:tr w:rsidR="000D1A29" w:rsidRPr="004D2C93" w14:paraId="280C44E8" w14:textId="77777777" w:rsidTr="00F44BFC">
        <w:trPr>
          <w:trHeight w:val="312"/>
        </w:trPr>
        <w:tc>
          <w:tcPr>
            <w:tcW w:w="486" w:type="dxa"/>
            <w:shd w:val="clear" w:color="auto" w:fill="auto"/>
            <w:noWrap/>
            <w:vAlign w:val="center"/>
            <w:hideMark/>
          </w:tcPr>
          <w:p w14:paraId="35359B84" w14:textId="77777777" w:rsidR="000D1A29" w:rsidRPr="004D2C93" w:rsidRDefault="000D1A29" w:rsidP="00F44BFC">
            <w:pPr>
              <w:rPr>
                <w:rFonts w:ascii="Arial Narrow" w:hAnsi="Arial Narrow" w:cs="Arial"/>
                <w:sz w:val="20"/>
                <w:szCs w:val="20"/>
              </w:rPr>
            </w:pPr>
            <w:r w:rsidRPr="004D2C93">
              <w:rPr>
                <w:rFonts w:ascii="Arial Narrow" w:hAnsi="Arial Narrow" w:cs="Arial"/>
                <w:sz w:val="20"/>
                <w:szCs w:val="20"/>
              </w:rPr>
              <w:t>13</w:t>
            </w:r>
          </w:p>
        </w:tc>
        <w:tc>
          <w:tcPr>
            <w:tcW w:w="2787" w:type="dxa"/>
            <w:shd w:val="clear" w:color="auto" w:fill="auto"/>
            <w:noWrap/>
            <w:vAlign w:val="center"/>
          </w:tcPr>
          <w:p w14:paraId="649BF3DD" w14:textId="77777777" w:rsidR="000D1A29" w:rsidRPr="004D2C93" w:rsidRDefault="000D1A29" w:rsidP="00F44BFC">
            <w:pPr>
              <w:rPr>
                <w:rFonts w:ascii="Arial Narrow" w:hAnsi="Arial Narrow" w:cs="Calibri"/>
                <w:sz w:val="20"/>
                <w:szCs w:val="20"/>
              </w:rPr>
            </w:pPr>
            <w:r w:rsidRPr="004D2C93">
              <w:rPr>
                <w:rFonts w:ascii="Arial Narrow" w:hAnsi="Arial Narrow" w:cs="Calibri"/>
                <w:sz w:val="20"/>
                <w:szCs w:val="20"/>
              </w:rPr>
              <w:t>Бял амур </w:t>
            </w:r>
          </w:p>
        </w:tc>
        <w:tc>
          <w:tcPr>
            <w:tcW w:w="1084" w:type="dxa"/>
            <w:shd w:val="clear" w:color="auto" w:fill="auto"/>
            <w:noWrap/>
            <w:vAlign w:val="center"/>
          </w:tcPr>
          <w:p w14:paraId="4DE7481D" w14:textId="77777777" w:rsidR="000D1A29" w:rsidRPr="004D2C93" w:rsidRDefault="000D1A29" w:rsidP="00F44BFC">
            <w:pPr>
              <w:jc w:val="right"/>
              <w:rPr>
                <w:rFonts w:ascii="Arial Narrow" w:hAnsi="Arial Narrow" w:cs="Calibri"/>
                <w:sz w:val="20"/>
                <w:szCs w:val="20"/>
              </w:rPr>
            </w:pPr>
            <w:r w:rsidRPr="004D2C93">
              <w:rPr>
                <w:rFonts w:ascii="Arial Narrow" w:hAnsi="Arial Narrow" w:cs="Calibri"/>
                <w:sz w:val="20"/>
                <w:szCs w:val="20"/>
              </w:rPr>
              <w:t>152,21</w:t>
            </w:r>
          </w:p>
        </w:tc>
        <w:tc>
          <w:tcPr>
            <w:tcW w:w="1093" w:type="dxa"/>
            <w:shd w:val="clear" w:color="auto" w:fill="auto"/>
            <w:noWrap/>
            <w:vAlign w:val="center"/>
          </w:tcPr>
          <w:p w14:paraId="3CC670C7" w14:textId="77777777" w:rsidR="000D1A29" w:rsidRPr="004D2C93" w:rsidRDefault="000D1A29" w:rsidP="00F44BFC">
            <w:pPr>
              <w:jc w:val="right"/>
              <w:rPr>
                <w:rFonts w:ascii="Arial Narrow" w:hAnsi="Arial Narrow" w:cs="Calibri"/>
                <w:sz w:val="20"/>
                <w:szCs w:val="20"/>
              </w:rPr>
            </w:pPr>
            <w:r w:rsidRPr="004D2C93">
              <w:rPr>
                <w:rFonts w:ascii="Arial Narrow" w:hAnsi="Arial Narrow" w:cs="Calibri"/>
                <w:sz w:val="20"/>
                <w:szCs w:val="20"/>
              </w:rPr>
              <w:t>185,17</w:t>
            </w:r>
          </w:p>
        </w:tc>
        <w:tc>
          <w:tcPr>
            <w:tcW w:w="1112" w:type="dxa"/>
            <w:shd w:val="clear" w:color="auto" w:fill="auto"/>
            <w:noWrap/>
            <w:vAlign w:val="center"/>
          </w:tcPr>
          <w:p w14:paraId="23E15FE1" w14:textId="77777777" w:rsidR="000D1A29" w:rsidRPr="004D2C93" w:rsidRDefault="000D1A29" w:rsidP="00F44BFC">
            <w:pPr>
              <w:jc w:val="right"/>
              <w:rPr>
                <w:rFonts w:ascii="Arial Narrow" w:hAnsi="Arial Narrow" w:cs="Calibri"/>
                <w:sz w:val="20"/>
                <w:szCs w:val="20"/>
              </w:rPr>
            </w:pPr>
            <w:r w:rsidRPr="004D2C93">
              <w:rPr>
                <w:rFonts w:ascii="Arial Narrow" w:hAnsi="Arial Narrow" w:cs="Calibri"/>
                <w:sz w:val="20"/>
                <w:szCs w:val="20"/>
              </w:rPr>
              <w:t>149,64</w:t>
            </w:r>
          </w:p>
        </w:tc>
        <w:tc>
          <w:tcPr>
            <w:tcW w:w="1114" w:type="dxa"/>
            <w:shd w:val="clear" w:color="auto" w:fill="auto"/>
            <w:noWrap/>
            <w:vAlign w:val="center"/>
          </w:tcPr>
          <w:p w14:paraId="18280F8F" w14:textId="77777777" w:rsidR="000D1A29" w:rsidRPr="004D2C93" w:rsidRDefault="000D1A29" w:rsidP="00F44BFC">
            <w:pPr>
              <w:jc w:val="right"/>
              <w:rPr>
                <w:rFonts w:ascii="Arial Narrow" w:hAnsi="Arial Narrow" w:cs="Calibri"/>
                <w:sz w:val="20"/>
                <w:szCs w:val="20"/>
              </w:rPr>
            </w:pPr>
            <w:r w:rsidRPr="004D2C93">
              <w:rPr>
                <w:rFonts w:ascii="Arial Narrow" w:hAnsi="Arial Narrow" w:cs="Calibri"/>
                <w:sz w:val="20"/>
                <w:szCs w:val="20"/>
              </w:rPr>
              <w:t>179,88</w:t>
            </w:r>
          </w:p>
        </w:tc>
        <w:tc>
          <w:tcPr>
            <w:tcW w:w="1112" w:type="dxa"/>
            <w:shd w:val="clear" w:color="auto" w:fill="auto"/>
            <w:noWrap/>
            <w:vAlign w:val="center"/>
          </w:tcPr>
          <w:p w14:paraId="53E9AC1A" w14:textId="77777777" w:rsidR="000D1A29" w:rsidRPr="004D2C93" w:rsidRDefault="000D1A29" w:rsidP="00F44BFC">
            <w:pPr>
              <w:jc w:val="right"/>
              <w:rPr>
                <w:rFonts w:ascii="Arial Narrow" w:hAnsi="Arial Narrow" w:cs="Calibri"/>
                <w:sz w:val="20"/>
                <w:szCs w:val="20"/>
              </w:rPr>
            </w:pPr>
            <w:r w:rsidRPr="004D2C93">
              <w:rPr>
                <w:rFonts w:ascii="Arial Narrow" w:hAnsi="Arial Narrow" w:cs="Calibri"/>
                <w:sz w:val="20"/>
                <w:szCs w:val="20"/>
              </w:rPr>
              <w:t>301,85</w:t>
            </w:r>
          </w:p>
        </w:tc>
        <w:tc>
          <w:tcPr>
            <w:tcW w:w="1114" w:type="dxa"/>
            <w:shd w:val="clear" w:color="auto" w:fill="auto"/>
            <w:noWrap/>
            <w:vAlign w:val="center"/>
          </w:tcPr>
          <w:p w14:paraId="467C4267" w14:textId="77777777" w:rsidR="000D1A29" w:rsidRPr="004D2C93" w:rsidRDefault="000D1A29" w:rsidP="00F44BFC">
            <w:pPr>
              <w:jc w:val="right"/>
              <w:rPr>
                <w:rFonts w:ascii="Arial Narrow" w:hAnsi="Arial Narrow" w:cs="Calibri"/>
                <w:sz w:val="20"/>
                <w:szCs w:val="20"/>
              </w:rPr>
            </w:pPr>
            <w:r w:rsidRPr="004D2C93">
              <w:rPr>
                <w:rFonts w:ascii="Arial Narrow" w:hAnsi="Arial Narrow" w:cs="Calibri"/>
                <w:sz w:val="20"/>
                <w:szCs w:val="20"/>
              </w:rPr>
              <w:t>365,04</w:t>
            </w:r>
          </w:p>
        </w:tc>
      </w:tr>
      <w:tr w:rsidR="000D1A29" w:rsidRPr="004D2C93" w14:paraId="4D3C1FFA" w14:textId="77777777" w:rsidTr="00F44BFC">
        <w:trPr>
          <w:trHeight w:val="312"/>
        </w:trPr>
        <w:tc>
          <w:tcPr>
            <w:tcW w:w="486" w:type="dxa"/>
            <w:shd w:val="clear" w:color="auto" w:fill="auto"/>
            <w:noWrap/>
            <w:vAlign w:val="center"/>
            <w:hideMark/>
          </w:tcPr>
          <w:p w14:paraId="79BC49CD" w14:textId="77777777" w:rsidR="000D1A29" w:rsidRPr="004D2C93" w:rsidRDefault="000D1A29" w:rsidP="00F44BFC">
            <w:pPr>
              <w:rPr>
                <w:rFonts w:ascii="Arial Narrow" w:hAnsi="Arial Narrow" w:cs="Arial"/>
                <w:sz w:val="20"/>
                <w:szCs w:val="20"/>
              </w:rPr>
            </w:pPr>
            <w:r w:rsidRPr="004D2C93">
              <w:rPr>
                <w:rFonts w:ascii="Arial Narrow" w:hAnsi="Arial Narrow" w:cs="Arial"/>
                <w:sz w:val="20"/>
                <w:szCs w:val="20"/>
              </w:rPr>
              <w:t>14</w:t>
            </w:r>
          </w:p>
        </w:tc>
        <w:tc>
          <w:tcPr>
            <w:tcW w:w="2787" w:type="dxa"/>
            <w:shd w:val="clear" w:color="auto" w:fill="auto"/>
            <w:noWrap/>
            <w:vAlign w:val="center"/>
          </w:tcPr>
          <w:p w14:paraId="47682F4A" w14:textId="77777777" w:rsidR="000D1A29" w:rsidRPr="004D2C93" w:rsidRDefault="000D1A29" w:rsidP="00F44BFC">
            <w:pPr>
              <w:rPr>
                <w:rFonts w:ascii="Arial Narrow" w:hAnsi="Arial Narrow" w:cs="Calibri"/>
                <w:sz w:val="20"/>
                <w:szCs w:val="20"/>
              </w:rPr>
            </w:pPr>
            <w:r w:rsidRPr="004D2C93">
              <w:rPr>
                <w:rFonts w:ascii="Arial Narrow" w:hAnsi="Arial Narrow" w:cs="Calibri"/>
                <w:sz w:val="20"/>
                <w:szCs w:val="20"/>
              </w:rPr>
              <w:t>Черен амур</w:t>
            </w:r>
          </w:p>
        </w:tc>
        <w:tc>
          <w:tcPr>
            <w:tcW w:w="1084" w:type="dxa"/>
            <w:shd w:val="clear" w:color="auto" w:fill="auto"/>
            <w:noWrap/>
            <w:vAlign w:val="center"/>
          </w:tcPr>
          <w:p w14:paraId="02EB006E" w14:textId="77777777" w:rsidR="000D1A29" w:rsidRPr="004D2C93" w:rsidRDefault="000D1A29" w:rsidP="00F44BFC">
            <w:pPr>
              <w:jc w:val="right"/>
              <w:rPr>
                <w:rFonts w:ascii="Arial Narrow" w:hAnsi="Arial Narrow" w:cs="Calibri"/>
                <w:sz w:val="20"/>
                <w:szCs w:val="20"/>
              </w:rPr>
            </w:pPr>
            <w:r w:rsidRPr="004D2C93">
              <w:rPr>
                <w:rFonts w:ascii="Arial Narrow" w:hAnsi="Arial Narrow" w:cs="Calibri"/>
                <w:sz w:val="20"/>
                <w:szCs w:val="20"/>
              </w:rPr>
              <w:t>0,00</w:t>
            </w:r>
          </w:p>
        </w:tc>
        <w:tc>
          <w:tcPr>
            <w:tcW w:w="1093" w:type="dxa"/>
            <w:shd w:val="clear" w:color="auto" w:fill="auto"/>
            <w:noWrap/>
            <w:vAlign w:val="center"/>
          </w:tcPr>
          <w:p w14:paraId="0C7C2793" w14:textId="77777777" w:rsidR="000D1A29" w:rsidRPr="004D2C93" w:rsidRDefault="000D1A29" w:rsidP="00F44BFC">
            <w:pPr>
              <w:jc w:val="right"/>
              <w:rPr>
                <w:rFonts w:ascii="Arial Narrow" w:hAnsi="Arial Narrow" w:cs="Calibri"/>
                <w:sz w:val="20"/>
                <w:szCs w:val="20"/>
              </w:rPr>
            </w:pPr>
            <w:r w:rsidRPr="004D2C93">
              <w:rPr>
                <w:rFonts w:ascii="Arial Narrow" w:hAnsi="Arial Narrow" w:cs="Calibri"/>
                <w:sz w:val="20"/>
                <w:szCs w:val="20"/>
              </w:rPr>
              <w:t>7,72</w:t>
            </w:r>
          </w:p>
        </w:tc>
        <w:tc>
          <w:tcPr>
            <w:tcW w:w="1112" w:type="dxa"/>
            <w:shd w:val="clear" w:color="auto" w:fill="auto"/>
            <w:noWrap/>
            <w:vAlign w:val="center"/>
          </w:tcPr>
          <w:p w14:paraId="1206DAF2" w14:textId="77777777" w:rsidR="000D1A29" w:rsidRPr="004D2C93" w:rsidRDefault="000D1A29" w:rsidP="00F44BFC">
            <w:pPr>
              <w:jc w:val="right"/>
              <w:rPr>
                <w:rFonts w:ascii="Arial Narrow" w:hAnsi="Arial Narrow" w:cs="Calibri"/>
                <w:sz w:val="20"/>
                <w:szCs w:val="20"/>
              </w:rPr>
            </w:pPr>
            <w:r w:rsidRPr="004D2C93">
              <w:rPr>
                <w:rFonts w:ascii="Arial Narrow" w:hAnsi="Arial Narrow" w:cs="Calibri"/>
                <w:sz w:val="20"/>
                <w:szCs w:val="20"/>
              </w:rPr>
              <w:t>0,32</w:t>
            </w:r>
          </w:p>
        </w:tc>
        <w:tc>
          <w:tcPr>
            <w:tcW w:w="1114" w:type="dxa"/>
            <w:shd w:val="clear" w:color="auto" w:fill="auto"/>
            <w:noWrap/>
            <w:vAlign w:val="center"/>
          </w:tcPr>
          <w:p w14:paraId="2C0A2449" w14:textId="77777777" w:rsidR="000D1A29" w:rsidRPr="004D2C93" w:rsidRDefault="000D1A29" w:rsidP="00F44BFC">
            <w:pPr>
              <w:jc w:val="right"/>
              <w:rPr>
                <w:rFonts w:ascii="Arial Narrow" w:hAnsi="Arial Narrow" w:cs="Calibri"/>
                <w:sz w:val="20"/>
                <w:szCs w:val="20"/>
              </w:rPr>
            </w:pPr>
            <w:r w:rsidRPr="004D2C93">
              <w:rPr>
                <w:rFonts w:ascii="Arial Narrow" w:hAnsi="Arial Narrow" w:cs="Calibri"/>
                <w:sz w:val="20"/>
                <w:szCs w:val="20"/>
              </w:rPr>
              <w:t>0,17</w:t>
            </w:r>
          </w:p>
        </w:tc>
        <w:tc>
          <w:tcPr>
            <w:tcW w:w="1112" w:type="dxa"/>
            <w:shd w:val="clear" w:color="auto" w:fill="auto"/>
            <w:noWrap/>
            <w:vAlign w:val="center"/>
          </w:tcPr>
          <w:p w14:paraId="1C1EDFD2" w14:textId="77777777" w:rsidR="000D1A29" w:rsidRPr="004D2C93" w:rsidRDefault="000D1A29" w:rsidP="00F44BFC">
            <w:pPr>
              <w:jc w:val="right"/>
              <w:rPr>
                <w:rFonts w:ascii="Arial Narrow" w:hAnsi="Arial Narrow" w:cs="Calibri"/>
                <w:sz w:val="20"/>
                <w:szCs w:val="20"/>
              </w:rPr>
            </w:pPr>
            <w:r w:rsidRPr="004D2C93">
              <w:rPr>
                <w:rFonts w:ascii="Arial Narrow" w:hAnsi="Arial Narrow" w:cs="Calibri"/>
                <w:sz w:val="20"/>
                <w:szCs w:val="20"/>
              </w:rPr>
              <w:t>0,32</w:t>
            </w:r>
          </w:p>
        </w:tc>
        <w:tc>
          <w:tcPr>
            <w:tcW w:w="1114" w:type="dxa"/>
            <w:shd w:val="clear" w:color="auto" w:fill="auto"/>
            <w:noWrap/>
            <w:vAlign w:val="center"/>
          </w:tcPr>
          <w:p w14:paraId="677D4E92" w14:textId="77777777" w:rsidR="000D1A29" w:rsidRPr="004D2C93" w:rsidRDefault="000D1A29" w:rsidP="00F44BFC">
            <w:pPr>
              <w:jc w:val="right"/>
              <w:rPr>
                <w:rFonts w:ascii="Arial Narrow" w:hAnsi="Arial Narrow" w:cs="Calibri"/>
                <w:sz w:val="20"/>
                <w:szCs w:val="20"/>
              </w:rPr>
            </w:pPr>
            <w:r w:rsidRPr="004D2C93">
              <w:rPr>
                <w:rFonts w:ascii="Arial Narrow" w:hAnsi="Arial Narrow" w:cs="Calibri"/>
                <w:sz w:val="20"/>
                <w:szCs w:val="20"/>
              </w:rPr>
              <w:t>7,89</w:t>
            </w:r>
          </w:p>
        </w:tc>
      </w:tr>
      <w:tr w:rsidR="000D1A29" w:rsidRPr="004D2C93" w14:paraId="162BAFA4" w14:textId="77777777" w:rsidTr="00F44BFC">
        <w:trPr>
          <w:trHeight w:val="312"/>
        </w:trPr>
        <w:tc>
          <w:tcPr>
            <w:tcW w:w="486" w:type="dxa"/>
            <w:shd w:val="clear" w:color="auto" w:fill="auto"/>
            <w:noWrap/>
            <w:vAlign w:val="center"/>
            <w:hideMark/>
          </w:tcPr>
          <w:p w14:paraId="16A38F64" w14:textId="77777777" w:rsidR="000D1A29" w:rsidRPr="004D2C93" w:rsidRDefault="000D1A29" w:rsidP="00F44BFC">
            <w:pPr>
              <w:rPr>
                <w:rFonts w:ascii="Arial Narrow" w:hAnsi="Arial Narrow" w:cs="Arial"/>
                <w:sz w:val="20"/>
                <w:szCs w:val="20"/>
              </w:rPr>
            </w:pPr>
            <w:r w:rsidRPr="004D2C93">
              <w:rPr>
                <w:rFonts w:ascii="Arial Narrow" w:hAnsi="Arial Narrow" w:cs="Arial"/>
                <w:sz w:val="20"/>
                <w:szCs w:val="20"/>
              </w:rPr>
              <w:t>15</w:t>
            </w:r>
          </w:p>
        </w:tc>
        <w:tc>
          <w:tcPr>
            <w:tcW w:w="2787" w:type="dxa"/>
            <w:shd w:val="clear" w:color="auto" w:fill="auto"/>
            <w:noWrap/>
            <w:vAlign w:val="center"/>
          </w:tcPr>
          <w:p w14:paraId="1BC0B371" w14:textId="77777777" w:rsidR="000D1A29" w:rsidRPr="004D2C93" w:rsidRDefault="000D1A29" w:rsidP="00F44BFC">
            <w:pPr>
              <w:rPr>
                <w:rFonts w:ascii="Arial Narrow" w:hAnsi="Arial Narrow" w:cs="Calibri"/>
                <w:sz w:val="20"/>
                <w:szCs w:val="20"/>
              </w:rPr>
            </w:pPr>
            <w:r w:rsidRPr="004D2C93">
              <w:rPr>
                <w:rFonts w:ascii="Arial Narrow" w:hAnsi="Arial Narrow" w:cs="Calibri"/>
                <w:sz w:val="20"/>
                <w:szCs w:val="20"/>
              </w:rPr>
              <w:t>Сом </w:t>
            </w:r>
          </w:p>
        </w:tc>
        <w:tc>
          <w:tcPr>
            <w:tcW w:w="1084" w:type="dxa"/>
            <w:shd w:val="clear" w:color="auto" w:fill="auto"/>
            <w:noWrap/>
            <w:vAlign w:val="center"/>
          </w:tcPr>
          <w:p w14:paraId="4AB0ADCC" w14:textId="77777777" w:rsidR="000D1A29" w:rsidRPr="004D2C93" w:rsidRDefault="000D1A29" w:rsidP="00F44BFC">
            <w:pPr>
              <w:jc w:val="right"/>
              <w:rPr>
                <w:rFonts w:ascii="Arial Narrow" w:hAnsi="Arial Narrow" w:cs="Calibri"/>
                <w:sz w:val="20"/>
                <w:szCs w:val="20"/>
              </w:rPr>
            </w:pPr>
            <w:r w:rsidRPr="004D2C93">
              <w:rPr>
                <w:rFonts w:ascii="Arial Narrow" w:hAnsi="Arial Narrow" w:cs="Calibri"/>
                <w:sz w:val="20"/>
                <w:szCs w:val="20"/>
              </w:rPr>
              <w:t>32,71</w:t>
            </w:r>
          </w:p>
        </w:tc>
        <w:tc>
          <w:tcPr>
            <w:tcW w:w="1093" w:type="dxa"/>
            <w:shd w:val="clear" w:color="auto" w:fill="auto"/>
            <w:noWrap/>
            <w:vAlign w:val="center"/>
          </w:tcPr>
          <w:p w14:paraId="77084A57" w14:textId="77777777" w:rsidR="000D1A29" w:rsidRPr="004D2C93" w:rsidRDefault="000D1A29" w:rsidP="00F44BFC">
            <w:pPr>
              <w:jc w:val="right"/>
              <w:rPr>
                <w:rFonts w:ascii="Arial Narrow" w:hAnsi="Arial Narrow" w:cs="Calibri"/>
                <w:sz w:val="20"/>
                <w:szCs w:val="20"/>
              </w:rPr>
            </w:pPr>
            <w:r w:rsidRPr="004D2C93">
              <w:rPr>
                <w:rFonts w:ascii="Arial Narrow" w:hAnsi="Arial Narrow" w:cs="Calibri"/>
                <w:sz w:val="20"/>
                <w:szCs w:val="20"/>
              </w:rPr>
              <w:t>34,51</w:t>
            </w:r>
          </w:p>
        </w:tc>
        <w:tc>
          <w:tcPr>
            <w:tcW w:w="1112" w:type="dxa"/>
            <w:shd w:val="clear" w:color="auto" w:fill="auto"/>
            <w:noWrap/>
            <w:vAlign w:val="center"/>
          </w:tcPr>
          <w:p w14:paraId="1418E6A4" w14:textId="77777777" w:rsidR="000D1A29" w:rsidRPr="004D2C93" w:rsidRDefault="000D1A29" w:rsidP="00F44BFC">
            <w:pPr>
              <w:jc w:val="right"/>
              <w:rPr>
                <w:rFonts w:ascii="Arial Narrow" w:hAnsi="Arial Narrow" w:cs="Calibri"/>
                <w:sz w:val="20"/>
                <w:szCs w:val="20"/>
              </w:rPr>
            </w:pPr>
            <w:r w:rsidRPr="004D2C93">
              <w:rPr>
                <w:rFonts w:ascii="Arial Narrow" w:hAnsi="Arial Narrow" w:cs="Calibri"/>
                <w:sz w:val="20"/>
                <w:szCs w:val="20"/>
              </w:rPr>
              <w:t>201,62</w:t>
            </w:r>
          </w:p>
        </w:tc>
        <w:tc>
          <w:tcPr>
            <w:tcW w:w="1114" w:type="dxa"/>
            <w:shd w:val="clear" w:color="auto" w:fill="auto"/>
            <w:noWrap/>
            <w:vAlign w:val="center"/>
          </w:tcPr>
          <w:p w14:paraId="1A54DEF2" w14:textId="77777777" w:rsidR="000D1A29" w:rsidRPr="004D2C93" w:rsidRDefault="000D1A29" w:rsidP="00F44BFC">
            <w:pPr>
              <w:jc w:val="right"/>
              <w:rPr>
                <w:rFonts w:ascii="Arial Narrow" w:hAnsi="Arial Narrow" w:cs="Calibri"/>
                <w:sz w:val="20"/>
                <w:szCs w:val="20"/>
              </w:rPr>
            </w:pPr>
            <w:r w:rsidRPr="004D2C93">
              <w:rPr>
                <w:rFonts w:ascii="Arial Narrow" w:hAnsi="Arial Narrow" w:cs="Calibri"/>
                <w:sz w:val="20"/>
                <w:szCs w:val="20"/>
              </w:rPr>
              <w:t>171,61</w:t>
            </w:r>
          </w:p>
        </w:tc>
        <w:tc>
          <w:tcPr>
            <w:tcW w:w="1112" w:type="dxa"/>
            <w:shd w:val="clear" w:color="auto" w:fill="auto"/>
            <w:noWrap/>
            <w:vAlign w:val="center"/>
          </w:tcPr>
          <w:p w14:paraId="44F9BAB0" w14:textId="77777777" w:rsidR="000D1A29" w:rsidRPr="004D2C93" w:rsidRDefault="000D1A29" w:rsidP="00F44BFC">
            <w:pPr>
              <w:jc w:val="right"/>
              <w:rPr>
                <w:rFonts w:ascii="Arial Narrow" w:hAnsi="Arial Narrow" w:cs="Calibri"/>
                <w:sz w:val="20"/>
                <w:szCs w:val="20"/>
              </w:rPr>
            </w:pPr>
            <w:r w:rsidRPr="004D2C93">
              <w:rPr>
                <w:rFonts w:ascii="Arial Narrow" w:hAnsi="Arial Narrow" w:cs="Calibri"/>
                <w:sz w:val="20"/>
                <w:szCs w:val="20"/>
              </w:rPr>
              <w:t>234,33</w:t>
            </w:r>
          </w:p>
        </w:tc>
        <w:tc>
          <w:tcPr>
            <w:tcW w:w="1114" w:type="dxa"/>
            <w:shd w:val="clear" w:color="auto" w:fill="auto"/>
            <w:noWrap/>
            <w:vAlign w:val="center"/>
          </w:tcPr>
          <w:p w14:paraId="3B7BC46F" w14:textId="77777777" w:rsidR="000D1A29" w:rsidRPr="004D2C93" w:rsidRDefault="000D1A29" w:rsidP="00F44BFC">
            <w:pPr>
              <w:jc w:val="right"/>
              <w:rPr>
                <w:rFonts w:ascii="Arial Narrow" w:hAnsi="Arial Narrow" w:cs="Calibri"/>
                <w:sz w:val="20"/>
                <w:szCs w:val="20"/>
              </w:rPr>
            </w:pPr>
            <w:r w:rsidRPr="004D2C93">
              <w:rPr>
                <w:rFonts w:ascii="Arial Narrow" w:hAnsi="Arial Narrow" w:cs="Calibri"/>
                <w:sz w:val="20"/>
                <w:szCs w:val="20"/>
              </w:rPr>
              <w:t>206,11</w:t>
            </w:r>
          </w:p>
        </w:tc>
      </w:tr>
      <w:tr w:rsidR="000D1A29" w:rsidRPr="004D2C93" w14:paraId="025A91BB" w14:textId="77777777" w:rsidTr="00F44BFC">
        <w:trPr>
          <w:trHeight w:val="312"/>
        </w:trPr>
        <w:tc>
          <w:tcPr>
            <w:tcW w:w="486" w:type="dxa"/>
            <w:shd w:val="clear" w:color="auto" w:fill="auto"/>
            <w:noWrap/>
            <w:vAlign w:val="center"/>
            <w:hideMark/>
          </w:tcPr>
          <w:p w14:paraId="24FDEDD6" w14:textId="77777777" w:rsidR="000D1A29" w:rsidRPr="004D2C93" w:rsidRDefault="000D1A29" w:rsidP="00F44BFC">
            <w:pPr>
              <w:rPr>
                <w:rFonts w:ascii="Arial Narrow" w:hAnsi="Arial Narrow" w:cs="Arial"/>
                <w:sz w:val="20"/>
                <w:szCs w:val="20"/>
              </w:rPr>
            </w:pPr>
            <w:r w:rsidRPr="004D2C93">
              <w:rPr>
                <w:rFonts w:ascii="Arial Narrow" w:hAnsi="Arial Narrow" w:cs="Arial"/>
                <w:sz w:val="20"/>
                <w:szCs w:val="20"/>
              </w:rPr>
              <w:t>16</w:t>
            </w:r>
          </w:p>
        </w:tc>
        <w:tc>
          <w:tcPr>
            <w:tcW w:w="2787" w:type="dxa"/>
            <w:shd w:val="clear" w:color="auto" w:fill="auto"/>
            <w:noWrap/>
            <w:vAlign w:val="center"/>
          </w:tcPr>
          <w:p w14:paraId="3C99FA9E" w14:textId="77777777" w:rsidR="000D1A29" w:rsidRPr="004D2C93" w:rsidRDefault="000D1A29" w:rsidP="00F44BFC">
            <w:pPr>
              <w:rPr>
                <w:rFonts w:ascii="Arial Narrow" w:hAnsi="Arial Narrow" w:cs="Calibri"/>
                <w:sz w:val="20"/>
                <w:szCs w:val="20"/>
              </w:rPr>
            </w:pPr>
            <w:r w:rsidRPr="004D2C93">
              <w:rPr>
                <w:rFonts w:ascii="Arial Narrow" w:hAnsi="Arial Narrow" w:cs="Calibri"/>
                <w:sz w:val="20"/>
                <w:szCs w:val="20"/>
              </w:rPr>
              <w:t>Канален (американски) сом </w:t>
            </w:r>
          </w:p>
        </w:tc>
        <w:tc>
          <w:tcPr>
            <w:tcW w:w="1084" w:type="dxa"/>
            <w:shd w:val="clear" w:color="auto" w:fill="auto"/>
            <w:noWrap/>
            <w:vAlign w:val="center"/>
          </w:tcPr>
          <w:p w14:paraId="7A304AFF" w14:textId="77777777" w:rsidR="000D1A29" w:rsidRPr="004D2C93" w:rsidRDefault="000D1A29" w:rsidP="00F44BFC">
            <w:pPr>
              <w:jc w:val="right"/>
              <w:rPr>
                <w:rFonts w:ascii="Arial Narrow" w:hAnsi="Arial Narrow" w:cs="Calibri"/>
                <w:sz w:val="20"/>
                <w:szCs w:val="20"/>
              </w:rPr>
            </w:pPr>
            <w:r w:rsidRPr="004D2C93">
              <w:rPr>
                <w:rFonts w:ascii="Arial Narrow" w:hAnsi="Arial Narrow" w:cs="Calibri"/>
                <w:sz w:val="20"/>
                <w:szCs w:val="20"/>
              </w:rPr>
              <w:t>0,10</w:t>
            </w:r>
          </w:p>
        </w:tc>
        <w:tc>
          <w:tcPr>
            <w:tcW w:w="1093" w:type="dxa"/>
            <w:shd w:val="clear" w:color="auto" w:fill="auto"/>
            <w:noWrap/>
            <w:vAlign w:val="center"/>
          </w:tcPr>
          <w:p w14:paraId="29BA2368" w14:textId="77777777" w:rsidR="000D1A29" w:rsidRPr="004D2C93" w:rsidRDefault="000D1A29" w:rsidP="00F44BFC">
            <w:pPr>
              <w:jc w:val="right"/>
              <w:rPr>
                <w:rFonts w:ascii="Arial Narrow" w:hAnsi="Arial Narrow" w:cs="Calibri"/>
                <w:sz w:val="20"/>
                <w:szCs w:val="20"/>
              </w:rPr>
            </w:pPr>
            <w:r w:rsidRPr="004D2C93">
              <w:rPr>
                <w:rFonts w:ascii="Arial Narrow" w:hAnsi="Arial Narrow" w:cs="Calibri"/>
                <w:sz w:val="20"/>
                <w:szCs w:val="20"/>
              </w:rPr>
              <w:t>0,00</w:t>
            </w:r>
          </w:p>
        </w:tc>
        <w:tc>
          <w:tcPr>
            <w:tcW w:w="1112" w:type="dxa"/>
            <w:shd w:val="clear" w:color="auto" w:fill="auto"/>
            <w:noWrap/>
            <w:vAlign w:val="center"/>
          </w:tcPr>
          <w:p w14:paraId="64ED0F8A" w14:textId="77777777" w:rsidR="000D1A29" w:rsidRPr="004D2C93" w:rsidRDefault="000D1A29" w:rsidP="00F44BFC">
            <w:pPr>
              <w:jc w:val="right"/>
              <w:rPr>
                <w:rFonts w:ascii="Arial Narrow" w:hAnsi="Arial Narrow" w:cs="Calibri"/>
                <w:sz w:val="20"/>
                <w:szCs w:val="20"/>
              </w:rPr>
            </w:pPr>
            <w:r w:rsidRPr="004D2C93">
              <w:rPr>
                <w:rFonts w:ascii="Arial Narrow" w:hAnsi="Arial Narrow" w:cs="Calibri"/>
                <w:sz w:val="20"/>
                <w:szCs w:val="20"/>
              </w:rPr>
              <w:t>4,51</w:t>
            </w:r>
          </w:p>
        </w:tc>
        <w:tc>
          <w:tcPr>
            <w:tcW w:w="1114" w:type="dxa"/>
            <w:shd w:val="clear" w:color="auto" w:fill="auto"/>
            <w:noWrap/>
            <w:vAlign w:val="center"/>
          </w:tcPr>
          <w:p w14:paraId="757A1B43" w14:textId="77777777" w:rsidR="000D1A29" w:rsidRPr="004D2C93" w:rsidRDefault="000D1A29" w:rsidP="00F44BFC">
            <w:pPr>
              <w:jc w:val="right"/>
              <w:rPr>
                <w:rFonts w:ascii="Arial Narrow" w:hAnsi="Arial Narrow" w:cs="Calibri"/>
                <w:sz w:val="20"/>
                <w:szCs w:val="20"/>
              </w:rPr>
            </w:pPr>
            <w:r w:rsidRPr="004D2C93">
              <w:rPr>
                <w:rFonts w:ascii="Arial Narrow" w:hAnsi="Arial Narrow" w:cs="Calibri"/>
                <w:sz w:val="20"/>
                <w:szCs w:val="20"/>
              </w:rPr>
              <w:t>5,97</w:t>
            </w:r>
          </w:p>
        </w:tc>
        <w:tc>
          <w:tcPr>
            <w:tcW w:w="1112" w:type="dxa"/>
            <w:shd w:val="clear" w:color="auto" w:fill="auto"/>
            <w:noWrap/>
            <w:vAlign w:val="center"/>
          </w:tcPr>
          <w:p w14:paraId="6874DC63" w14:textId="77777777" w:rsidR="000D1A29" w:rsidRPr="004D2C93" w:rsidRDefault="000D1A29" w:rsidP="00F44BFC">
            <w:pPr>
              <w:jc w:val="right"/>
              <w:rPr>
                <w:rFonts w:ascii="Arial Narrow" w:hAnsi="Arial Narrow" w:cs="Calibri"/>
                <w:sz w:val="20"/>
                <w:szCs w:val="20"/>
              </w:rPr>
            </w:pPr>
            <w:r w:rsidRPr="004D2C93">
              <w:rPr>
                <w:rFonts w:ascii="Arial Narrow" w:hAnsi="Arial Narrow" w:cs="Calibri"/>
                <w:sz w:val="20"/>
                <w:szCs w:val="20"/>
              </w:rPr>
              <w:t>4,61</w:t>
            </w:r>
          </w:p>
        </w:tc>
        <w:tc>
          <w:tcPr>
            <w:tcW w:w="1114" w:type="dxa"/>
            <w:shd w:val="clear" w:color="auto" w:fill="auto"/>
            <w:noWrap/>
            <w:vAlign w:val="center"/>
          </w:tcPr>
          <w:p w14:paraId="6637B654" w14:textId="77777777" w:rsidR="000D1A29" w:rsidRPr="004D2C93" w:rsidRDefault="000D1A29" w:rsidP="00F44BFC">
            <w:pPr>
              <w:jc w:val="right"/>
              <w:rPr>
                <w:rFonts w:ascii="Arial Narrow" w:hAnsi="Arial Narrow" w:cs="Calibri"/>
                <w:sz w:val="20"/>
                <w:szCs w:val="20"/>
              </w:rPr>
            </w:pPr>
            <w:r w:rsidRPr="004D2C93">
              <w:rPr>
                <w:rFonts w:ascii="Arial Narrow" w:hAnsi="Arial Narrow" w:cs="Calibri"/>
                <w:sz w:val="20"/>
                <w:szCs w:val="20"/>
              </w:rPr>
              <w:t>5,97</w:t>
            </w:r>
          </w:p>
        </w:tc>
      </w:tr>
      <w:tr w:rsidR="000D1A29" w:rsidRPr="004D2C93" w14:paraId="258A3FEC" w14:textId="77777777" w:rsidTr="00F44BFC">
        <w:trPr>
          <w:trHeight w:val="312"/>
        </w:trPr>
        <w:tc>
          <w:tcPr>
            <w:tcW w:w="486" w:type="dxa"/>
            <w:shd w:val="clear" w:color="auto" w:fill="auto"/>
            <w:noWrap/>
            <w:vAlign w:val="center"/>
            <w:hideMark/>
          </w:tcPr>
          <w:p w14:paraId="679564E9" w14:textId="77777777" w:rsidR="000D1A29" w:rsidRPr="004D2C93" w:rsidRDefault="000D1A29" w:rsidP="00F44BFC">
            <w:pPr>
              <w:rPr>
                <w:rFonts w:ascii="Arial Narrow" w:hAnsi="Arial Narrow" w:cs="Arial"/>
                <w:sz w:val="20"/>
                <w:szCs w:val="20"/>
              </w:rPr>
            </w:pPr>
            <w:r w:rsidRPr="004D2C93">
              <w:rPr>
                <w:rFonts w:ascii="Arial Narrow" w:hAnsi="Arial Narrow" w:cs="Arial"/>
                <w:sz w:val="20"/>
                <w:szCs w:val="20"/>
              </w:rPr>
              <w:t>17</w:t>
            </w:r>
          </w:p>
        </w:tc>
        <w:tc>
          <w:tcPr>
            <w:tcW w:w="2787" w:type="dxa"/>
            <w:shd w:val="clear" w:color="auto" w:fill="auto"/>
            <w:noWrap/>
            <w:vAlign w:val="center"/>
          </w:tcPr>
          <w:p w14:paraId="694D1E67" w14:textId="77777777" w:rsidR="000D1A29" w:rsidRPr="004D2C93" w:rsidRDefault="000D1A29" w:rsidP="00F44BFC">
            <w:pPr>
              <w:rPr>
                <w:rFonts w:ascii="Arial Narrow" w:hAnsi="Arial Narrow" w:cs="Calibri"/>
                <w:sz w:val="20"/>
                <w:szCs w:val="20"/>
              </w:rPr>
            </w:pPr>
            <w:r w:rsidRPr="004D2C93">
              <w:rPr>
                <w:rFonts w:ascii="Arial Narrow" w:hAnsi="Arial Narrow" w:cs="Calibri"/>
                <w:sz w:val="20"/>
                <w:szCs w:val="20"/>
              </w:rPr>
              <w:t>Бяла риба (сулка) </w:t>
            </w:r>
          </w:p>
        </w:tc>
        <w:tc>
          <w:tcPr>
            <w:tcW w:w="1084" w:type="dxa"/>
            <w:shd w:val="clear" w:color="auto" w:fill="auto"/>
            <w:noWrap/>
            <w:vAlign w:val="center"/>
          </w:tcPr>
          <w:p w14:paraId="4E944B81" w14:textId="77777777" w:rsidR="000D1A29" w:rsidRPr="004D2C93" w:rsidRDefault="000D1A29" w:rsidP="00F44BFC">
            <w:pPr>
              <w:jc w:val="right"/>
              <w:rPr>
                <w:rFonts w:ascii="Arial Narrow" w:hAnsi="Arial Narrow" w:cs="Calibri"/>
                <w:sz w:val="20"/>
                <w:szCs w:val="20"/>
              </w:rPr>
            </w:pPr>
            <w:r w:rsidRPr="004D2C93">
              <w:rPr>
                <w:rFonts w:ascii="Arial Narrow" w:hAnsi="Arial Narrow" w:cs="Calibri"/>
                <w:sz w:val="20"/>
                <w:szCs w:val="20"/>
              </w:rPr>
              <w:t>9,08</w:t>
            </w:r>
          </w:p>
        </w:tc>
        <w:tc>
          <w:tcPr>
            <w:tcW w:w="1093" w:type="dxa"/>
            <w:shd w:val="clear" w:color="auto" w:fill="auto"/>
            <w:noWrap/>
            <w:vAlign w:val="center"/>
          </w:tcPr>
          <w:p w14:paraId="2A2177E5" w14:textId="77777777" w:rsidR="000D1A29" w:rsidRPr="004D2C93" w:rsidRDefault="000D1A29" w:rsidP="00F44BFC">
            <w:pPr>
              <w:jc w:val="right"/>
              <w:rPr>
                <w:rFonts w:ascii="Arial Narrow" w:hAnsi="Arial Narrow" w:cs="Calibri"/>
                <w:sz w:val="20"/>
                <w:szCs w:val="20"/>
              </w:rPr>
            </w:pPr>
            <w:r w:rsidRPr="004D2C93">
              <w:rPr>
                <w:rFonts w:ascii="Arial Narrow" w:hAnsi="Arial Narrow" w:cs="Calibri"/>
                <w:sz w:val="20"/>
                <w:szCs w:val="20"/>
              </w:rPr>
              <w:t>8,13</w:t>
            </w:r>
          </w:p>
        </w:tc>
        <w:tc>
          <w:tcPr>
            <w:tcW w:w="1112" w:type="dxa"/>
            <w:shd w:val="clear" w:color="auto" w:fill="auto"/>
            <w:noWrap/>
            <w:vAlign w:val="center"/>
          </w:tcPr>
          <w:p w14:paraId="61015279" w14:textId="77777777" w:rsidR="000D1A29" w:rsidRPr="004D2C93" w:rsidRDefault="000D1A29" w:rsidP="00F44BFC">
            <w:pPr>
              <w:jc w:val="right"/>
              <w:rPr>
                <w:rFonts w:ascii="Arial Narrow" w:hAnsi="Arial Narrow" w:cs="Calibri"/>
                <w:sz w:val="20"/>
                <w:szCs w:val="20"/>
              </w:rPr>
            </w:pPr>
            <w:r w:rsidRPr="004D2C93">
              <w:rPr>
                <w:rFonts w:ascii="Arial Narrow" w:hAnsi="Arial Narrow" w:cs="Calibri"/>
                <w:sz w:val="20"/>
                <w:szCs w:val="20"/>
              </w:rPr>
              <w:t>59,58</w:t>
            </w:r>
          </w:p>
        </w:tc>
        <w:tc>
          <w:tcPr>
            <w:tcW w:w="1114" w:type="dxa"/>
            <w:shd w:val="clear" w:color="auto" w:fill="auto"/>
            <w:noWrap/>
            <w:vAlign w:val="center"/>
          </w:tcPr>
          <w:p w14:paraId="0AC5D456" w14:textId="77777777" w:rsidR="000D1A29" w:rsidRPr="004D2C93" w:rsidRDefault="000D1A29" w:rsidP="00F44BFC">
            <w:pPr>
              <w:jc w:val="right"/>
              <w:rPr>
                <w:rFonts w:ascii="Arial Narrow" w:hAnsi="Arial Narrow" w:cs="Calibri"/>
                <w:sz w:val="20"/>
                <w:szCs w:val="20"/>
              </w:rPr>
            </w:pPr>
            <w:r w:rsidRPr="004D2C93">
              <w:rPr>
                <w:rFonts w:ascii="Arial Narrow" w:hAnsi="Arial Narrow" w:cs="Calibri"/>
                <w:sz w:val="20"/>
                <w:szCs w:val="20"/>
              </w:rPr>
              <w:t>33,38</w:t>
            </w:r>
          </w:p>
        </w:tc>
        <w:tc>
          <w:tcPr>
            <w:tcW w:w="1112" w:type="dxa"/>
            <w:shd w:val="clear" w:color="auto" w:fill="auto"/>
            <w:noWrap/>
            <w:vAlign w:val="center"/>
          </w:tcPr>
          <w:p w14:paraId="626F9BB1" w14:textId="77777777" w:rsidR="000D1A29" w:rsidRPr="004D2C93" w:rsidRDefault="000D1A29" w:rsidP="00F44BFC">
            <w:pPr>
              <w:jc w:val="right"/>
              <w:rPr>
                <w:rFonts w:ascii="Arial Narrow" w:hAnsi="Arial Narrow" w:cs="Calibri"/>
                <w:sz w:val="20"/>
                <w:szCs w:val="20"/>
              </w:rPr>
            </w:pPr>
            <w:r w:rsidRPr="004D2C93">
              <w:rPr>
                <w:rFonts w:ascii="Arial Narrow" w:hAnsi="Arial Narrow" w:cs="Calibri"/>
                <w:sz w:val="20"/>
                <w:szCs w:val="20"/>
              </w:rPr>
              <w:t>68,66</w:t>
            </w:r>
          </w:p>
        </w:tc>
        <w:tc>
          <w:tcPr>
            <w:tcW w:w="1114" w:type="dxa"/>
            <w:shd w:val="clear" w:color="auto" w:fill="auto"/>
            <w:noWrap/>
            <w:vAlign w:val="center"/>
          </w:tcPr>
          <w:p w14:paraId="6EB4B4D5" w14:textId="77777777" w:rsidR="000D1A29" w:rsidRPr="004D2C93" w:rsidRDefault="000D1A29" w:rsidP="00F44BFC">
            <w:pPr>
              <w:jc w:val="right"/>
              <w:rPr>
                <w:rFonts w:ascii="Arial Narrow" w:hAnsi="Arial Narrow" w:cs="Calibri"/>
                <w:sz w:val="20"/>
                <w:szCs w:val="20"/>
              </w:rPr>
            </w:pPr>
            <w:r w:rsidRPr="004D2C93">
              <w:rPr>
                <w:rFonts w:ascii="Arial Narrow" w:hAnsi="Arial Narrow" w:cs="Calibri"/>
                <w:sz w:val="20"/>
                <w:szCs w:val="20"/>
              </w:rPr>
              <w:t>41,51</w:t>
            </w:r>
          </w:p>
        </w:tc>
      </w:tr>
      <w:tr w:rsidR="000D1A29" w:rsidRPr="004D2C93" w14:paraId="545684AA" w14:textId="77777777" w:rsidTr="00F44BFC">
        <w:trPr>
          <w:trHeight w:val="312"/>
        </w:trPr>
        <w:tc>
          <w:tcPr>
            <w:tcW w:w="486" w:type="dxa"/>
            <w:shd w:val="clear" w:color="auto" w:fill="auto"/>
            <w:noWrap/>
            <w:vAlign w:val="center"/>
            <w:hideMark/>
          </w:tcPr>
          <w:p w14:paraId="43C313FB" w14:textId="77777777" w:rsidR="000D1A29" w:rsidRPr="004D2C93" w:rsidRDefault="000D1A29" w:rsidP="00F44BFC">
            <w:pPr>
              <w:rPr>
                <w:rFonts w:ascii="Arial Narrow" w:hAnsi="Arial Narrow" w:cs="Arial"/>
                <w:sz w:val="20"/>
                <w:szCs w:val="20"/>
              </w:rPr>
            </w:pPr>
            <w:r w:rsidRPr="004D2C93">
              <w:rPr>
                <w:rFonts w:ascii="Arial Narrow" w:hAnsi="Arial Narrow" w:cs="Arial"/>
                <w:sz w:val="20"/>
                <w:szCs w:val="20"/>
              </w:rPr>
              <w:t>18</w:t>
            </w:r>
          </w:p>
        </w:tc>
        <w:tc>
          <w:tcPr>
            <w:tcW w:w="2787" w:type="dxa"/>
            <w:shd w:val="clear" w:color="auto" w:fill="auto"/>
            <w:noWrap/>
            <w:vAlign w:val="center"/>
          </w:tcPr>
          <w:p w14:paraId="2DE25675" w14:textId="77777777" w:rsidR="000D1A29" w:rsidRPr="004D2C93" w:rsidRDefault="000D1A29" w:rsidP="00F44BFC">
            <w:pPr>
              <w:rPr>
                <w:rFonts w:ascii="Arial Narrow" w:hAnsi="Arial Narrow" w:cs="Calibri"/>
                <w:sz w:val="20"/>
                <w:szCs w:val="20"/>
              </w:rPr>
            </w:pPr>
            <w:r w:rsidRPr="004D2C93">
              <w:rPr>
                <w:rFonts w:ascii="Arial Narrow" w:hAnsi="Arial Narrow" w:cs="Calibri"/>
                <w:sz w:val="20"/>
                <w:szCs w:val="20"/>
              </w:rPr>
              <w:t>Речен костур </w:t>
            </w:r>
          </w:p>
        </w:tc>
        <w:tc>
          <w:tcPr>
            <w:tcW w:w="1084" w:type="dxa"/>
            <w:shd w:val="clear" w:color="auto" w:fill="auto"/>
            <w:noWrap/>
            <w:vAlign w:val="center"/>
          </w:tcPr>
          <w:p w14:paraId="5F1B8AE9" w14:textId="77777777" w:rsidR="000D1A29" w:rsidRPr="004D2C93" w:rsidRDefault="000D1A29" w:rsidP="00F44BFC">
            <w:pPr>
              <w:jc w:val="right"/>
              <w:rPr>
                <w:rFonts w:ascii="Arial Narrow" w:hAnsi="Arial Narrow" w:cs="Calibri"/>
                <w:sz w:val="20"/>
                <w:szCs w:val="20"/>
              </w:rPr>
            </w:pPr>
            <w:r w:rsidRPr="004D2C93">
              <w:rPr>
                <w:rFonts w:ascii="Arial Narrow" w:hAnsi="Arial Narrow" w:cs="Calibri"/>
                <w:sz w:val="20"/>
                <w:szCs w:val="20"/>
              </w:rPr>
              <w:t>0,00</w:t>
            </w:r>
          </w:p>
        </w:tc>
        <w:tc>
          <w:tcPr>
            <w:tcW w:w="1093" w:type="dxa"/>
            <w:shd w:val="clear" w:color="auto" w:fill="auto"/>
            <w:noWrap/>
            <w:vAlign w:val="center"/>
          </w:tcPr>
          <w:p w14:paraId="3EAD06A1" w14:textId="77777777" w:rsidR="000D1A29" w:rsidRPr="004D2C93" w:rsidRDefault="000D1A29" w:rsidP="00F44BFC">
            <w:pPr>
              <w:jc w:val="right"/>
              <w:rPr>
                <w:rFonts w:ascii="Arial Narrow" w:hAnsi="Arial Narrow" w:cs="Calibri"/>
                <w:sz w:val="20"/>
                <w:szCs w:val="20"/>
              </w:rPr>
            </w:pPr>
            <w:r w:rsidRPr="004D2C93">
              <w:rPr>
                <w:rFonts w:ascii="Arial Narrow" w:hAnsi="Arial Narrow" w:cs="Calibri"/>
                <w:sz w:val="20"/>
                <w:szCs w:val="20"/>
              </w:rPr>
              <w:t>0,00</w:t>
            </w:r>
          </w:p>
        </w:tc>
        <w:tc>
          <w:tcPr>
            <w:tcW w:w="1112" w:type="dxa"/>
            <w:shd w:val="clear" w:color="auto" w:fill="auto"/>
            <w:noWrap/>
            <w:vAlign w:val="center"/>
          </w:tcPr>
          <w:p w14:paraId="0EE41D3E" w14:textId="77777777" w:rsidR="000D1A29" w:rsidRPr="004D2C93" w:rsidRDefault="000D1A29" w:rsidP="00F44BFC">
            <w:pPr>
              <w:jc w:val="right"/>
              <w:rPr>
                <w:rFonts w:ascii="Arial Narrow" w:hAnsi="Arial Narrow" w:cs="Calibri"/>
                <w:sz w:val="20"/>
                <w:szCs w:val="20"/>
              </w:rPr>
            </w:pPr>
            <w:r w:rsidRPr="004D2C93">
              <w:rPr>
                <w:rFonts w:ascii="Arial Narrow" w:hAnsi="Arial Narrow" w:cs="Calibri"/>
                <w:sz w:val="20"/>
                <w:szCs w:val="20"/>
              </w:rPr>
              <w:t>0,12</w:t>
            </w:r>
          </w:p>
        </w:tc>
        <w:tc>
          <w:tcPr>
            <w:tcW w:w="1114" w:type="dxa"/>
            <w:shd w:val="clear" w:color="auto" w:fill="auto"/>
            <w:noWrap/>
            <w:vAlign w:val="center"/>
          </w:tcPr>
          <w:p w14:paraId="60428353" w14:textId="77777777" w:rsidR="000D1A29" w:rsidRPr="004D2C93" w:rsidRDefault="000D1A29" w:rsidP="00F44BFC">
            <w:pPr>
              <w:jc w:val="right"/>
              <w:rPr>
                <w:rFonts w:ascii="Arial Narrow" w:hAnsi="Arial Narrow" w:cs="Calibri"/>
                <w:sz w:val="20"/>
                <w:szCs w:val="20"/>
              </w:rPr>
            </w:pPr>
            <w:r w:rsidRPr="004D2C93">
              <w:rPr>
                <w:rFonts w:ascii="Arial Narrow" w:hAnsi="Arial Narrow" w:cs="Calibri"/>
                <w:sz w:val="20"/>
                <w:szCs w:val="20"/>
              </w:rPr>
              <w:t>0,42</w:t>
            </w:r>
          </w:p>
        </w:tc>
        <w:tc>
          <w:tcPr>
            <w:tcW w:w="1112" w:type="dxa"/>
            <w:shd w:val="clear" w:color="auto" w:fill="auto"/>
            <w:noWrap/>
            <w:vAlign w:val="center"/>
          </w:tcPr>
          <w:p w14:paraId="72B50302" w14:textId="77777777" w:rsidR="000D1A29" w:rsidRPr="004D2C93" w:rsidRDefault="000D1A29" w:rsidP="00F44BFC">
            <w:pPr>
              <w:jc w:val="right"/>
              <w:rPr>
                <w:rFonts w:ascii="Arial Narrow" w:hAnsi="Arial Narrow" w:cs="Calibri"/>
                <w:sz w:val="20"/>
                <w:szCs w:val="20"/>
              </w:rPr>
            </w:pPr>
            <w:r w:rsidRPr="004D2C93">
              <w:rPr>
                <w:rFonts w:ascii="Arial Narrow" w:hAnsi="Arial Narrow" w:cs="Calibri"/>
                <w:sz w:val="20"/>
                <w:szCs w:val="20"/>
              </w:rPr>
              <w:t>0,12</w:t>
            </w:r>
          </w:p>
        </w:tc>
        <w:tc>
          <w:tcPr>
            <w:tcW w:w="1114" w:type="dxa"/>
            <w:shd w:val="clear" w:color="auto" w:fill="auto"/>
            <w:noWrap/>
            <w:vAlign w:val="center"/>
          </w:tcPr>
          <w:p w14:paraId="2541473C" w14:textId="77777777" w:rsidR="000D1A29" w:rsidRPr="004D2C93" w:rsidRDefault="000D1A29" w:rsidP="00F44BFC">
            <w:pPr>
              <w:jc w:val="right"/>
              <w:rPr>
                <w:rFonts w:ascii="Arial Narrow" w:hAnsi="Arial Narrow" w:cs="Calibri"/>
                <w:sz w:val="20"/>
                <w:szCs w:val="20"/>
              </w:rPr>
            </w:pPr>
            <w:r w:rsidRPr="004D2C93">
              <w:rPr>
                <w:rFonts w:ascii="Arial Narrow" w:hAnsi="Arial Narrow" w:cs="Calibri"/>
                <w:sz w:val="20"/>
                <w:szCs w:val="20"/>
              </w:rPr>
              <w:t>0,42</w:t>
            </w:r>
          </w:p>
        </w:tc>
      </w:tr>
      <w:tr w:rsidR="000D1A29" w:rsidRPr="004D2C93" w14:paraId="07CE081B" w14:textId="77777777" w:rsidTr="00F44BFC">
        <w:trPr>
          <w:trHeight w:val="312"/>
        </w:trPr>
        <w:tc>
          <w:tcPr>
            <w:tcW w:w="486" w:type="dxa"/>
            <w:shd w:val="clear" w:color="auto" w:fill="auto"/>
            <w:noWrap/>
            <w:vAlign w:val="center"/>
            <w:hideMark/>
          </w:tcPr>
          <w:p w14:paraId="162C4C9F" w14:textId="77777777" w:rsidR="000D1A29" w:rsidRPr="004D2C93" w:rsidRDefault="000D1A29" w:rsidP="00F44BFC">
            <w:pPr>
              <w:rPr>
                <w:rFonts w:ascii="Arial Narrow" w:hAnsi="Arial Narrow" w:cs="Arial"/>
                <w:sz w:val="20"/>
                <w:szCs w:val="20"/>
              </w:rPr>
            </w:pPr>
            <w:r w:rsidRPr="004D2C93">
              <w:rPr>
                <w:rFonts w:ascii="Arial Narrow" w:hAnsi="Arial Narrow" w:cs="Arial"/>
                <w:sz w:val="20"/>
                <w:szCs w:val="20"/>
              </w:rPr>
              <w:t>19</w:t>
            </w:r>
          </w:p>
        </w:tc>
        <w:tc>
          <w:tcPr>
            <w:tcW w:w="2787" w:type="dxa"/>
            <w:shd w:val="clear" w:color="auto" w:fill="auto"/>
            <w:noWrap/>
            <w:vAlign w:val="center"/>
          </w:tcPr>
          <w:p w14:paraId="3C842197" w14:textId="77777777" w:rsidR="000D1A29" w:rsidRPr="004D2C93" w:rsidRDefault="000D1A29" w:rsidP="00F44BFC">
            <w:pPr>
              <w:rPr>
                <w:rFonts w:ascii="Arial Narrow" w:hAnsi="Arial Narrow" w:cs="Calibri"/>
                <w:sz w:val="20"/>
                <w:szCs w:val="20"/>
              </w:rPr>
            </w:pPr>
            <w:r w:rsidRPr="004D2C93">
              <w:rPr>
                <w:rFonts w:ascii="Arial Narrow" w:hAnsi="Arial Narrow" w:cs="Calibri"/>
                <w:sz w:val="20"/>
                <w:szCs w:val="20"/>
              </w:rPr>
              <w:t>Чига </w:t>
            </w:r>
          </w:p>
        </w:tc>
        <w:tc>
          <w:tcPr>
            <w:tcW w:w="1084" w:type="dxa"/>
            <w:shd w:val="clear" w:color="auto" w:fill="auto"/>
            <w:noWrap/>
            <w:vAlign w:val="center"/>
          </w:tcPr>
          <w:p w14:paraId="34096FAE" w14:textId="77777777" w:rsidR="000D1A29" w:rsidRPr="004D2C93" w:rsidRDefault="000D1A29" w:rsidP="00F44BFC">
            <w:pPr>
              <w:jc w:val="right"/>
              <w:rPr>
                <w:rFonts w:ascii="Arial Narrow" w:hAnsi="Arial Narrow" w:cs="Calibri"/>
                <w:sz w:val="20"/>
                <w:szCs w:val="20"/>
              </w:rPr>
            </w:pPr>
            <w:r w:rsidRPr="004D2C93">
              <w:rPr>
                <w:rFonts w:ascii="Arial Narrow" w:hAnsi="Arial Narrow" w:cs="Calibri"/>
                <w:sz w:val="20"/>
                <w:szCs w:val="20"/>
              </w:rPr>
              <w:t>0,00</w:t>
            </w:r>
          </w:p>
        </w:tc>
        <w:tc>
          <w:tcPr>
            <w:tcW w:w="1093" w:type="dxa"/>
            <w:shd w:val="clear" w:color="auto" w:fill="auto"/>
            <w:noWrap/>
            <w:vAlign w:val="center"/>
          </w:tcPr>
          <w:p w14:paraId="690E272C" w14:textId="77777777" w:rsidR="000D1A29" w:rsidRPr="004D2C93" w:rsidRDefault="000D1A29" w:rsidP="00F44BFC">
            <w:pPr>
              <w:jc w:val="right"/>
              <w:rPr>
                <w:rFonts w:ascii="Arial Narrow" w:hAnsi="Arial Narrow" w:cs="Calibri"/>
                <w:sz w:val="20"/>
                <w:szCs w:val="20"/>
              </w:rPr>
            </w:pPr>
            <w:r w:rsidRPr="004D2C93">
              <w:rPr>
                <w:rFonts w:ascii="Arial Narrow" w:hAnsi="Arial Narrow" w:cs="Calibri"/>
                <w:sz w:val="20"/>
                <w:szCs w:val="20"/>
              </w:rPr>
              <w:t>0,00</w:t>
            </w:r>
          </w:p>
        </w:tc>
        <w:tc>
          <w:tcPr>
            <w:tcW w:w="1112" w:type="dxa"/>
            <w:shd w:val="clear" w:color="auto" w:fill="auto"/>
            <w:noWrap/>
            <w:vAlign w:val="center"/>
          </w:tcPr>
          <w:p w14:paraId="5F01AF54" w14:textId="77777777" w:rsidR="000D1A29" w:rsidRPr="004D2C93" w:rsidRDefault="000D1A29" w:rsidP="00F44BFC">
            <w:pPr>
              <w:jc w:val="right"/>
              <w:rPr>
                <w:rFonts w:ascii="Arial Narrow" w:hAnsi="Arial Narrow" w:cs="Calibri"/>
                <w:sz w:val="20"/>
                <w:szCs w:val="20"/>
              </w:rPr>
            </w:pPr>
            <w:r w:rsidRPr="004D2C93">
              <w:rPr>
                <w:rFonts w:ascii="Arial Narrow" w:hAnsi="Arial Narrow" w:cs="Calibri"/>
                <w:sz w:val="20"/>
                <w:szCs w:val="20"/>
              </w:rPr>
              <w:t>3,62</w:t>
            </w:r>
          </w:p>
        </w:tc>
        <w:tc>
          <w:tcPr>
            <w:tcW w:w="1114" w:type="dxa"/>
            <w:shd w:val="clear" w:color="auto" w:fill="auto"/>
            <w:noWrap/>
            <w:vAlign w:val="center"/>
          </w:tcPr>
          <w:p w14:paraId="5EB01C61" w14:textId="77777777" w:rsidR="000D1A29" w:rsidRPr="004D2C93" w:rsidRDefault="000D1A29" w:rsidP="00F44BFC">
            <w:pPr>
              <w:jc w:val="right"/>
              <w:rPr>
                <w:rFonts w:ascii="Arial Narrow" w:hAnsi="Arial Narrow" w:cs="Calibri"/>
                <w:sz w:val="20"/>
                <w:szCs w:val="20"/>
              </w:rPr>
            </w:pPr>
            <w:r w:rsidRPr="004D2C93">
              <w:rPr>
                <w:rFonts w:ascii="Arial Narrow" w:hAnsi="Arial Narrow" w:cs="Calibri"/>
                <w:sz w:val="20"/>
                <w:szCs w:val="20"/>
              </w:rPr>
              <w:t>7,25</w:t>
            </w:r>
          </w:p>
        </w:tc>
        <w:tc>
          <w:tcPr>
            <w:tcW w:w="1112" w:type="dxa"/>
            <w:shd w:val="clear" w:color="auto" w:fill="auto"/>
            <w:noWrap/>
            <w:vAlign w:val="center"/>
          </w:tcPr>
          <w:p w14:paraId="253DA08A" w14:textId="77777777" w:rsidR="000D1A29" w:rsidRPr="004D2C93" w:rsidRDefault="000D1A29" w:rsidP="00F44BFC">
            <w:pPr>
              <w:jc w:val="right"/>
              <w:rPr>
                <w:rFonts w:ascii="Arial Narrow" w:hAnsi="Arial Narrow" w:cs="Calibri"/>
                <w:sz w:val="20"/>
                <w:szCs w:val="20"/>
              </w:rPr>
            </w:pPr>
            <w:r w:rsidRPr="004D2C93">
              <w:rPr>
                <w:rFonts w:ascii="Arial Narrow" w:hAnsi="Arial Narrow" w:cs="Calibri"/>
                <w:sz w:val="20"/>
                <w:szCs w:val="20"/>
              </w:rPr>
              <w:t>3,62</w:t>
            </w:r>
          </w:p>
        </w:tc>
        <w:tc>
          <w:tcPr>
            <w:tcW w:w="1114" w:type="dxa"/>
            <w:shd w:val="clear" w:color="auto" w:fill="auto"/>
            <w:noWrap/>
            <w:vAlign w:val="center"/>
          </w:tcPr>
          <w:p w14:paraId="484485CE" w14:textId="77777777" w:rsidR="000D1A29" w:rsidRPr="004D2C93" w:rsidRDefault="000D1A29" w:rsidP="00F44BFC">
            <w:pPr>
              <w:jc w:val="right"/>
              <w:rPr>
                <w:rFonts w:ascii="Arial Narrow" w:hAnsi="Arial Narrow" w:cs="Calibri"/>
                <w:sz w:val="20"/>
                <w:szCs w:val="20"/>
              </w:rPr>
            </w:pPr>
            <w:r w:rsidRPr="004D2C93">
              <w:rPr>
                <w:rFonts w:ascii="Arial Narrow" w:hAnsi="Arial Narrow" w:cs="Calibri"/>
                <w:sz w:val="20"/>
                <w:szCs w:val="20"/>
              </w:rPr>
              <w:t>7,25</w:t>
            </w:r>
          </w:p>
        </w:tc>
      </w:tr>
      <w:tr w:rsidR="000D1A29" w:rsidRPr="004D2C93" w14:paraId="139F0051" w14:textId="77777777" w:rsidTr="00F44BFC">
        <w:trPr>
          <w:trHeight w:val="312"/>
        </w:trPr>
        <w:tc>
          <w:tcPr>
            <w:tcW w:w="486" w:type="dxa"/>
            <w:shd w:val="clear" w:color="auto" w:fill="auto"/>
            <w:noWrap/>
            <w:vAlign w:val="center"/>
            <w:hideMark/>
          </w:tcPr>
          <w:p w14:paraId="0619A63D" w14:textId="77777777" w:rsidR="000D1A29" w:rsidRPr="004D2C93" w:rsidRDefault="000D1A29" w:rsidP="00F44BFC">
            <w:pPr>
              <w:rPr>
                <w:rFonts w:ascii="Arial Narrow" w:hAnsi="Arial Narrow" w:cs="Arial"/>
                <w:sz w:val="20"/>
                <w:szCs w:val="20"/>
              </w:rPr>
            </w:pPr>
            <w:r w:rsidRPr="004D2C93">
              <w:rPr>
                <w:rFonts w:ascii="Arial Narrow" w:hAnsi="Arial Narrow" w:cs="Arial"/>
                <w:sz w:val="20"/>
                <w:szCs w:val="20"/>
              </w:rPr>
              <w:t>20</w:t>
            </w:r>
          </w:p>
        </w:tc>
        <w:tc>
          <w:tcPr>
            <w:tcW w:w="2787" w:type="dxa"/>
            <w:shd w:val="clear" w:color="auto" w:fill="auto"/>
            <w:noWrap/>
            <w:vAlign w:val="center"/>
          </w:tcPr>
          <w:p w14:paraId="210B2F01" w14:textId="77777777" w:rsidR="000D1A29" w:rsidRPr="004D2C93" w:rsidRDefault="000D1A29" w:rsidP="00F44BFC">
            <w:pPr>
              <w:rPr>
                <w:rFonts w:ascii="Arial Narrow" w:hAnsi="Arial Narrow" w:cs="Calibri"/>
                <w:sz w:val="20"/>
                <w:szCs w:val="20"/>
              </w:rPr>
            </w:pPr>
            <w:r w:rsidRPr="004D2C93">
              <w:rPr>
                <w:rFonts w:ascii="Arial Narrow" w:hAnsi="Arial Narrow" w:cs="Calibri"/>
                <w:sz w:val="20"/>
                <w:szCs w:val="20"/>
              </w:rPr>
              <w:t>Моруна </w:t>
            </w:r>
          </w:p>
        </w:tc>
        <w:tc>
          <w:tcPr>
            <w:tcW w:w="1084" w:type="dxa"/>
            <w:shd w:val="clear" w:color="auto" w:fill="auto"/>
            <w:noWrap/>
            <w:vAlign w:val="center"/>
          </w:tcPr>
          <w:p w14:paraId="4516FFB9" w14:textId="77777777" w:rsidR="000D1A29" w:rsidRPr="004D2C93" w:rsidRDefault="000D1A29" w:rsidP="00F44BFC">
            <w:pPr>
              <w:jc w:val="right"/>
              <w:rPr>
                <w:rFonts w:ascii="Arial Narrow" w:hAnsi="Arial Narrow" w:cs="Calibri"/>
                <w:sz w:val="20"/>
                <w:szCs w:val="20"/>
              </w:rPr>
            </w:pPr>
            <w:r w:rsidRPr="004D2C93">
              <w:rPr>
                <w:rFonts w:ascii="Arial Narrow" w:hAnsi="Arial Narrow" w:cs="Calibri"/>
                <w:sz w:val="20"/>
                <w:szCs w:val="20"/>
              </w:rPr>
              <w:t>0,00</w:t>
            </w:r>
          </w:p>
        </w:tc>
        <w:tc>
          <w:tcPr>
            <w:tcW w:w="1093" w:type="dxa"/>
            <w:shd w:val="clear" w:color="auto" w:fill="auto"/>
            <w:noWrap/>
            <w:vAlign w:val="center"/>
          </w:tcPr>
          <w:p w14:paraId="1E5D2531" w14:textId="77777777" w:rsidR="000D1A29" w:rsidRPr="004D2C93" w:rsidRDefault="000D1A29" w:rsidP="00F44BFC">
            <w:pPr>
              <w:jc w:val="right"/>
              <w:rPr>
                <w:rFonts w:ascii="Arial Narrow" w:hAnsi="Arial Narrow" w:cs="Calibri"/>
                <w:sz w:val="20"/>
                <w:szCs w:val="20"/>
              </w:rPr>
            </w:pPr>
            <w:r w:rsidRPr="004D2C93">
              <w:rPr>
                <w:rFonts w:ascii="Arial Narrow" w:hAnsi="Arial Narrow" w:cs="Calibri"/>
                <w:sz w:val="20"/>
                <w:szCs w:val="20"/>
              </w:rPr>
              <w:t>0,00</w:t>
            </w:r>
          </w:p>
        </w:tc>
        <w:tc>
          <w:tcPr>
            <w:tcW w:w="1112" w:type="dxa"/>
            <w:shd w:val="clear" w:color="auto" w:fill="auto"/>
            <w:noWrap/>
            <w:vAlign w:val="center"/>
          </w:tcPr>
          <w:p w14:paraId="76687920" w14:textId="77777777" w:rsidR="000D1A29" w:rsidRPr="004D2C93" w:rsidRDefault="000D1A29" w:rsidP="00F44BFC">
            <w:pPr>
              <w:jc w:val="right"/>
              <w:rPr>
                <w:rFonts w:ascii="Arial Narrow" w:hAnsi="Arial Narrow" w:cs="Calibri"/>
                <w:sz w:val="20"/>
                <w:szCs w:val="20"/>
              </w:rPr>
            </w:pPr>
            <w:r w:rsidRPr="004D2C93">
              <w:rPr>
                <w:rFonts w:ascii="Arial Narrow" w:hAnsi="Arial Narrow" w:cs="Calibri"/>
                <w:sz w:val="20"/>
                <w:szCs w:val="20"/>
              </w:rPr>
              <w:t>22,89</w:t>
            </w:r>
          </w:p>
        </w:tc>
        <w:tc>
          <w:tcPr>
            <w:tcW w:w="1114" w:type="dxa"/>
            <w:shd w:val="clear" w:color="auto" w:fill="auto"/>
            <w:noWrap/>
            <w:vAlign w:val="center"/>
          </w:tcPr>
          <w:p w14:paraId="20FBC6E6" w14:textId="77777777" w:rsidR="000D1A29" w:rsidRPr="004D2C93" w:rsidRDefault="000D1A29" w:rsidP="00F44BFC">
            <w:pPr>
              <w:jc w:val="right"/>
              <w:rPr>
                <w:rFonts w:ascii="Arial Narrow" w:hAnsi="Arial Narrow" w:cs="Calibri"/>
                <w:sz w:val="20"/>
                <w:szCs w:val="20"/>
              </w:rPr>
            </w:pPr>
            <w:r w:rsidRPr="004D2C93">
              <w:rPr>
                <w:rFonts w:ascii="Arial Narrow" w:hAnsi="Arial Narrow" w:cs="Calibri"/>
                <w:sz w:val="20"/>
                <w:szCs w:val="20"/>
              </w:rPr>
              <w:t>40,89</w:t>
            </w:r>
          </w:p>
        </w:tc>
        <w:tc>
          <w:tcPr>
            <w:tcW w:w="1112" w:type="dxa"/>
            <w:shd w:val="clear" w:color="auto" w:fill="auto"/>
            <w:noWrap/>
            <w:vAlign w:val="center"/>
          </w:tcPr>
          <w:p w14:paraId="760A2C36" w14:textId="77777777" w:rsidR="000D1A29" w:rsidRPr="004D2C93" w:rsidRDefault="000D1A29" w:rsidP="00F44BFC">
            <w:pPr>
              <w:jc w:val="right"/>
              <w:rPr>
                <w:rFonts w:ascii="Arial Narrow" w:hAnsi="Arial Narrow" w:cs="Calibri"/>
                <w:sz w:val="20"/>
                <w:szCs w:val="20"/>
              </w:rPr>
            </w:pPr>
            <w:r w:rsidRPr="004D2C93">
              <w:rPr>
                <w:rFonts w:ascii="Arial Narrow" w:hAnsi="Arial Narrow" w:cs="Calibri"/>
                <w:sz w:val="20"/>
                <w:szCs w:val="20"/>
              </w:rPr>
              <w:t>22,89</w:t>
            </w:r>
          </w:p>
        </w:tc>
        <w:tc>
          <w:tcPr>
            <w:tcW w:w="1114" w:type="dxa"/>
            <w:shd w:val="clear" w:color="auto" w:fill="auto"/>
            <w:noWrap/>
            <w:vAlign w:val="center"/>
          </w:tcPr>
          <w:p w14:paraId="7F4EF878" w14:textId="77777777" w:rsidR="000D1A29" w:rsidRPr="004D2C93" w:rsidRDefault="000D1A29" w:rsidP="00F44BFC">
            <w:pPr>
              <w:jc w:val="right"/>
              <w:rPr>
                <w:rFonts w:ascii="Arial Narrow" w:hAnsi="Arial Narrow" w:cs="Calibri"/>
                <w:sz w:val="20"/>
                <w:szCs w:val="20"/>
              </w:rPr>
            </w:pPr>
            <w:r w:rsidRPr="004D2C93">
              <w:rPr>
                <w:rFonts w:ascii="Arial Narrow" w:hAnsi="Arial Narrow" w:cs="Calibri"/>
                <w:sz w:val="20"/>
                <w:szCs w:val="20"/>
              </w:rPr>
              <w:t>40,89</w:t>
            </w:r>
          </w:p>
        </w:tc>
      </w:tr>
      <w:tr w:rsidR="000D1A29" w:rsidRPr="004D2C93" w14:paraId="54C4C3F4" w14:textId="77777777" w:rsidTr="00F44BFC">
        <w:trPr>
          <w:trHeight w:val="312"/>
        </w:trPr>
        <w:tc>
          <w:tcPr>
            <w:tcW w:w="486" w:type="dxa"/>
            <w:shd w:val="clear" w:color="auto" w:fill="auto"/>
            <w:noWrap/>
            <w:vAlign w:val="center"/>
            <w:hideMark/>
          </w:tcPr>
          <w:p w14:paraId="55DBEC7B" w14:textId="77777777" w:rsidR="000D1A29" w:rsidRPr="004D2C93" w:rsidRDefault="000D1A29" w:rsidP="00F44BFC">
            <w:pPr>
              <w:rPr>
                <w:rFonts w:ascii="Arial Narrow" w:hAnsi="Arial Narrow" w:cs="Arial"/>
                <w:sz w:val="20"/>
                <w:szCs w:val="20"/>
              </w:rPr>
            </w:pPr>
            <w:r w:rsidRPr="004D2C93">
              <w:rPr>
                <w:rFonts w:ascii="Arial Narrow" w:hAnsi="Arial Narrow" w:cs="Arial"/>
                <w:sz w:val="20"/>
                <w:szCs w:val="20"/>
              </w:rPr>
              <w:t>21</w:t>
            </w:r>
          </w:p>
        </w:tc>
        <w:tc>
          <w:tcPr>
            <w:tcW w:w="2787" w:type="dxa"/>
            <w:shd w:val="clear" w:color="auto" w:fill="auto"/>
            <w:noWrap/>
            <w:vAlign w:val="center"/>
          </w:tcPr>
          <w:p w14:paraId="710C0857" w14:textId="77777777" w:rsidR="000D1A29" w:rsidRPr="004D2C93" w:rsidRDefault="000D1A29" w:rsidP="00F44BFC">
            <w:pPr>
              <w:rPr>
                <w:rFonts w:ascii="Arial Narrow" w:hAnsi="Arial Narrow" w:cs="Calibri"/>
                <w:sz w:val="20"/>
                <w:szCs w:val="20"/>
              </w:rPr>
            </w:pPr>
            <w:r w:rsidRPr="004D2C93">
              <w:rPr>
                <w:rFonts w:ascii="Arial Narrow" w:hAnsi="Arial Narrow" w:cs="Calibri"/>
                <w:sz w:val="20"/>
                <w:szCs w:val="20"/>
              </w:rPr>
              <w:t>Пъструга </w:t>
            </w:r>
          </w:p>
        </w:tc>
        <w:tc>
          <w:tcPr>
            <w:tcW w:w="1084" w:type="dxa"/>
            <w:shd w:val="clear" w:color="auto" w:fill="auto"/>
            <w:noWrap/>
            <w:vAlign w:val="center"/>
          </w:tcPr>
          <w:p w14:paraId="75A8F3C1" w14:textId="77777777" w:rsidR="000D1A29" w:rsidRPr="004D2C93" w:rsidRDefault="000D1A29" w:rsidP="00F44BFC">
            <w:pPr>
              <w:jc w:val="right"/>
              <w:rPr>
                <w:rFonts w:ascii="Arial Narrow" w:hAnsi="Arial Narrow" w:cs="Calibri"/>
                <w:sz w:val="20"/>
                <w:szCs w:val="20"/>
              </w:rPr>
            </w:pPr>
            <w:r w:rsidRPr="004D2C93">
              <w:rPr>
                <w:rFonts w:ascii="Arial Narrow" w:hAnsi="Arial Narrow" w:cs="Calibri"/>
                <w:sz w:val="20"/>
                <w:szCs w:val="20"/>
              </w:rPr>
              <w:t>0,00</w:t>
            </w:r>
          </w:p>
        </w:tc>
        <w:tc>
          <w:tcPr>
            <w:tcW w:w="1093" w:type="dxa"/>
            <w:shd w:val="clear" w:color="auto" w:fill="auto"/>
            <w:noWrap/>
            <w:vAlign w:val="center"/>
          </w:tcPr>
          <w:p w14:paraId="6D9C2095" w14:textId="77777777" w:rsidR="000D1A29" w:rsidRPr="004D2C93" w:rsidRDefault="000D1A29" w:rsidP="00F44BFC">
            <w:pPr>
              <w:jc w:val="right"/>
              <w:rPr>
                <w:rFonts w:ascii="Arial Narrow" w:hAnsi="Arial Narrow" w:cs="Calibri"/>
                <w:sz w:val="20"/>
                <w:szCs w:val="20"/>
              </w:rPr>
            </w:pPr>
            <w:r w:rsidRPr="004D2C93">
              <w:rPr>
                <w:rFonts w:ascii="Arial Narrow" w:hAnsi="Arial Narrow" w:cs="Calibri"/>
                <w:sz w:val="20"/>
                <w:szCs w:val="20"/>
              </w:rPr>
              <w:t>0,00</w:t>
            </w:r>
          </w:p>
        </w:tc>
        <w:tc>
          <w:tcPr>
            <w:tcW w:w="1112" w:type="dxa"/>
            <w:shd w:val="clear" w:color="auto" w:fill="auto"/>
            <w:noWrap/>
            <w:vAlign w:val="center"/>
          </w:tcPr>
          <w:p w14:paraId="199ADC82" w14:textId="77777777" w:rsidR="000D1A29" w:rsidRPr="004D2C93" w:rsidRDefault="000D1A29" w:rsidP="00F44BFC">
            <w:pPr>
              <w:jc w:val="right"/>
              <w:rPr>
                <w:rFonts w:ascii="Arial Narrow" w:hAnsi="Arial Narrow" w:cs="Calibri"/>
                <w:sz w:val="20"/>
                <w:szCs w:val="20"/>
              </w:rPr>
            </w:pPr>
            <w:r w:rsidRPr="004D2C93">
              <w:rPr>
                <w:rFonts w:ascii="Arial Narrow" w:hAnsi="Arial Narrow" w:cs="Calibri"/>
                <w:sz w:val="20"/>
                <w:szCs w:val="20"/>
              </w:rPr>
              <w:t>0,30</w:t>
            </w:r>
          </w:p>
        </w:tc>
        <w:tc>
          <w:tcPr>
            <w:tcW w:w="1114" w:type="dxa"/>
            <w:shd w:val="clear" w:color="auto" w:fill="auto"/>
            <w:noWrap/>
            <w:vAlign w:val="center"/>
          </w:tcPr>
          <w:p w14:paraId="650A1BC0" w14:textId="77777777" w:rsidR="000D1A29" w:rsidRPr="004D2C93" w:rsidRDefault="000D1A29" w:rsidP="00F44BFC">
            <w:pPr>
              <w:jc w:val="right"/>
              <w:rPr>
                <w:rFonts w:ascii="Arial Narrow" w:hAnsi="Arial Narrow" w:cs="Calibri"/>
                <w:sz w:val="20"/>
                <w:szCs w:val="20"/>
              </w:rPr>
            </w:pPr>
            <w:r w:rsidRPr="004D2C93">
              <w:rPr>
                <w:rFonts w:ascii="Arial Narrow" w:hAnsi="Arial Narrow" w:cs="Calibri"/>
                <w:sz w:val="20"/>
                <w:szCs w:val="20"/>
              </w:rPr>
              <w:t>0,20</w:t>
            </w:r>
          </w:p>
        </w:tc>
        <w:tc>
          <w:tcPr>
            <w:tcW w:w="1112" w:type="dxa"/>
            <w:shd w:val="clear" w:color="auto" w:fill="auto"/>
            <w:noWrap/>
            <w:vAlign w:val="center"/>
          </w:tcPr>
          <w:p w14:paraId="4FD77B40" w14:textId="77777777" w:rsidR="000D1A29" w:rsidRPr="004D2C93" w:rsidRDefault="000D1A29" w:rsidP="00F44BFC">
            <w:pPr>
              <w:jc w:val="right"/>
              <w:rPr>
                <w:rFonts w:ascii="Arial Narrow" w:hAnsi="Arial Narrow" w:cs="Calibri"/>
                <w:sz w:val="20"/>
                <w:szCs w:val="20"/>
              </w:rPr>
            </w:pPr>
            <w:r w:rsidRPr="004D2C93">
              <w:rPr>
                <w:rFonts w:ascii="Arial Narrow" w:hAnsi="Arial Narrow" w:cs="Calibri"/>
                <w:sz w:val="20"/>
                <w:szCs w:val="20"/>
              </w:rPr>
              <w:t>0,30</w:t>
            </w:r>
          </w:p>
        </w:tc>
        <w:tc>
          <w:tcPr>
            <w:tcW w:w="1114" w:type="dxa"/>
            <w:shd w:val="clear" w:color="auto" w:fill="auto"/>
            <w:noWrap/>
            <w:vAlign w:val="center"/>
          </w:tcPr>
          <w:p w14:paraId="18A032AD" w14:textId="77777777" w:rsidR="000D1A29" w:rsidRPr="004D2C93" w:rsidRDefault="000D1A29" w:rsidP="00F44BFC">
            <w:pPr>
              <w:jc w:val="right"/>
              <w:rPr>
                <w:rFonts w:ascii="Arial Narrow" w:hAnsi="Arial Narrow" w:cs="Calibri"/>
                <w:sz w:val="20"/>
                <w:szCs w:val="20"/>
              </w:rPr>
            </w:pPr>
            <w:r w:rsidRPr="004D2C93">
              <w:rPr>
                <w:rFonts w:ascii="Arial Narrow" w:hAnsi="Arial Narrow" w:cs="Calibri"/>
                <w:sz w:val="20"/>
                <w:szCs w:val="20"/>
              </w:rPr>
              <w:t>0,20</w:t>
            </w:r>
          </w:p>
        </w:tc>
      </w:tr>
      <w:tr w:rsidR="000D1A29" w:rsidRPr="004D2C93" w14:paraId="6D2C82CA" w14:textId="77777777" w:rsidTr="00F44BFC">
        <w:trPr>
          <w:trHeight w:val="312"/>
        </w:trPr>
        <w:tc>
          <w:tcPr>
            <w:tcW w:w="486" w:type="dxa"/>
            <w:shd w:val="clear" w:color="auto" w:fill="auto"/>
            <w:noWrap/>
            <w:vAlign w:val="center"/>
            <w:hideMark/>
          </w:tcPr>
          <w:p w14:paraId="1B9E4ED2" w14:textId="77777777" w:rsidR="000D1A29" w:rsidRPr="004D2C93" w:rsidRDefault="000D1A29" w:rsidP="00F44BFC">
            <w:pPr>
              <w:rPr>
                <w:rFonts w:ascii="Arial Narrow" w:hAnsi="Arial Narrow" w:cs="Arial"/>
                <w:sz w:val="20"/>
                <w:szCs w:val="20"/>
              </w:rPr>
            </w:pPr>
            <w:r w:rsidRPr="004D2C93">
              <w:rPr>
                <w:rFonts w:ascii="Arial Narrow" w:hAnsi="Arial Narrow" w:cs="Arial"/>
                <w:sz w:val="20"/>
                <w:szCs w:val="20"/>
              </w:rPr>
              <w:t>22</w:t>
            </w:r>
          </w:p>
        </w:tc>
        <w:tc>
          <w:tcPr>
            <w:tcW w:w="2787" w:type="dxa"/>
            <w:shd w:val="clear" w:color="auto" w:fill="auto"/>
            <w:noWrap/>
            <w:vAlign w:val="center"/>
          </w:tcPr>
          <w:p w14:paraId="23428656" w14:textId="77777777" w:rsidR="000D1A29" w:rsidRPr="004D2C93" w:rsidRDefault="000D1A29" w:rsidP="00F44BFC">
            <w:pPr>
              <w:rPr>
                <w:rFonts w:ascii="Arial Narrow" w:hAnsi="Arial Narrow" w:cs="Calibri"/>
                <w:sz w:val="20"/>
                <w:szCs w:val="20"/>
              </w:rPr>
            </w:pPr>
            <w:r w:rsidRPr="004D2C93">
              <w:rPr>
                <w:rFonts w:ascii="Arial Narrow" w:hAnsi="Arial Narrow" w:cs="Calibri"/>
                <w:sz w:val="20"/>
                <w:szCs w:val="20"/>
              </w:rPr>
              <w:t>Руска есетра</w:t>
            </w:r>
          </w:p>
        </w:tc>
        <w:tc>
          <w:tcPr>
            <w:tcW w:w="1084" w:type="dxa"/>
            <w:shd w:val="clear" w:color="auto" w:fill="auto"/>
            <w:noWrap/>
            <w:vAlign w:val="center"/>
          </w:tcPr>
          <w:p w14:paraId="4A2865FC" w14:textId="77777777" w:rsidR="000D1A29" w:rsidRPr="004D2C93" w:rsidRDefault="000D1A29" w:rsidP="00F44BFC">
            <w:pPr>
              <w:jc w:val="right"/>
              <w:rPr>
                <w:rFonts w:ascii="Arial Narrow" w:hAnsi="Arial Narrow" w:cs="Calibri"/>
                <w:sz w:val="20"/>
                <w:szCs w:val="20"/>
              </w:rPr>
            </w:pPr>
            <w:r w:rsidRPr="004D2C93">
              <w:rPr>
                <w:rFonts w:ascii="Arial Narrow" w:hAnsi="Arial Narrow" w:cs="Calibri"/>
                <w:sz w:val="20"/>
                <w:szCs w:val="20"/>
              </w:rPr>
              <w:t>2,62</w:t>
            </w:r>
          </w:p>
        </w:tc>
        <w:tc>
          <w:tcPr>
            <w:tcW w:w="1093" w:type="dxa"/>
            <w:shd w:val="clear" w:color="auto" w:fill="auto"/>
            <w:noWrap/>
            <w:vAlign w:val="center"/>
          </w:tcPr>
          <w:p w14:paraId="0ADD5F19" w14:textId="77777777" w:rsidR="000D1A29" w:rsidRPr="004D2C93" w:rsidRDefault="000D1A29" w:rsidP="00F44BFC">
            <w:pPr>
              <w:jc w:val="right"/>
              <w:rPr>
                <w:rFonts w:ascii="Arial Narrow" w:hAnsi="Arial Narrow" w:cs="Calibri"/>
                <w:sz w:val="20"/>
                <w:szCs w:val="20"/>
              </w:rPr>
            </w:pPr>
            <w:r w:rsidRPr="004D2C93">
              <w:rPr>
                <w:rFonts w:ascii="Arial Narrow" w:hAnsi="Arial Narrow" w:cs="Calibri"/>
                <w:sz w:val="20"/>
                <w:szCs w:val="20"/>
              </w:rPr>
              <w:t>11,90</w:t>
            </w:r>
          </w:p>
        </w:tc>
        <w:tc>
          <w:tcPr>
            <w:tcW w:w="1112" w:type="dxa"/>
            <w:shd w:val="clear" w:color="auto" w:fill="auto"/>
            <w:noWrap/>
            <w:vAlign w:val="center"/>
          </w:tcPr>
          <w:p w14:paraId="699600CB" w14:textId="77777777" w:rsidR="000D1A29" w:rsidRPr="004D2C93" w:rsidRDefault="000D1A29" w:rsidP="00F44BFC">
            <w:pPr>
              <w:jc w:val="right"/>
              <w:rPr>
                <w:rFonts w:ascii="Arial Narrow" w:hAnsi="Arial Narrow" w:cs="Calibri"/>
                <w:sz w:val="20"/>
                <w:szCs w:val="20"/>
              </w:rPr>
            </w:pPr>
            <w:r w:rsidRPr="004D2C93">
              <w:rPr>
                <w:rFonts w:ascii="Arial Narrow" w:hAnsi="Arial Narrow" w:cs="Calibri"/>
                <w:sz w:val="20"/>
                <w:szCs w:val="20"/>
              </w:rPr>
              <w:t>255,52</w:t>
            </w:r>
          </w:p>
        </w:tc>
        <w:tc>
          <w:tcPr>
            <w:tcW w:w="1114" w:type="dxa"/>
            <w:shd w:val="clear" w:color="auto" w:fill="auto"/>
            <w:noWrap/>
            <w:vAlign w:val="center"/>
          </w:tcPr>
          <w:p w14:paraId="3AA96D39" w14:textId="77777777" w:rsidR="000D1A29" w:rsidRPr="004D2C93" w:rsidRDefault="000D1A29" w:rsidP="00F44BFC">
            <w:pPr>
              <w:jc w:val="right"/>
              <w:rPr>
                <w:rFonts w:ascii="Arial Narrow" w:hAnsi="Arial Narrow" w:cs="Calibri"/>
                <w:sz w:val="20"/>
                <w:szCs w:val="20"/>
              </w:rPr>
            </w:pPr>
            <w:r w:rsidRPr="004D2C93">
              <w:rPr>
                <w:rFonts w:ascii="Arial Narrow" w:hAnsi="Arial Narrow" w:cs="Calibri"/>
                <w:sz w:val="20"/>
                <w:szCs w:val="20"/>
              </w:rPr>
              <w:t>234,37</w:t>
            </w:r>
          </w:p>
        </w:tc>
        <w:tc>
          <w:tcPr>
            <w:tcW w:w="1112" w:type="dxa"/>
            <w:shd w:val="clear" w:color="auto" w:fill="auto"/>
            <w:noWrap/>
            <w:vAlign w:val="center"/>
          </w:tcPr>
          <w:p w14:paraId="10CFF8C1" w14:textId="77777777" w:rsidR="000D1A29" w:rsidRPr="004D2C93" w:rsidRDefault="000D1A29" w:rsidP="00F44BFC">
            <w:pPr>
              <w:jc w:val="right"/>
              <w:rPr>
                <w:rFonts w:ascii="Arial Narrow" w:hAnsi="Arial Narrow" w:cs="Calibri"/>
                <w:sz w:val="20"/>
                <w:szCs w:val="20"/>
              </w:rPr>
            </w:pPr>
            <w:r w:rsidRPr="004D2C93">
              <w:rPr>
                <w:rFonts w:ascii="Arial Narrow" w:hAnsi="Arial Narrow" w:cs="Calibri"/>
                <w:sz w:val="20"/>
                <w:szCs w:val="20"/>
              </w:rPr>
              <w:t>258,14</w:t>
            </w:r>
          </w:p>
        </w:tc>
        <w:tc>
          <w:tcPr>
            <w:tcW w:w="1114" w:type="dxa"/>
            <w:shd w:val="clear" w:color="auto" w:fill="auto"/>
            <w:noWrap/>
            <w:vAlign w:val="center"/>
          </w:tcPr>
          <w:p w14:paraId="1586BDD0" w14:textId="77777777" w:rsidR="000D1A29" w:rsidRPr="004D2C93" w:rsidRDefault="000D1A29" w:rsidP="00F44BFC">
            <w:pPr>
              <w:jc w:val="right"/>
              <w:rPr>
                <w:rFonts w:ascii="Arial Narrow" w:hAnsi="Arial Narrow" w:cs="Calibri"/>
                <w:sz w:val="20"/>
                <w:szCs w:val="20"/>
              </w:rPr>
            </w:pPr>
            <w:r w:rsidRPr="004D2C93">
              <w:rPr>
                <w:rFonts w:ascii="Arial Narrow" w:hAnsi="Arial Narrow" w:cs="Calibri"/>
                <w:sz w:val="20"/>
                <w:szCs w:val="20"/>
              </w:rPr>
              <w:t>246,27</w:t>
            </w:r>
          </w:p>
        </w:tc>
      </w:tr>
      <w:tr w:rsidR="000D1A29" w:rsidRPr="004D2C93" w14:paraId="50E42576" w14:textId="77777777" w:rsidTr="00F44BFC">
        <w:trPr>
          <w:trHeight w:val="312"/>
        </w:trPr>
        <w:tc>
          <w:tcPr>
            <w:tcW w:w="486" w:type="dxa"/>
            <w:shd w:val="clear" w:color="auto" w:fill="auto"/>
            <w:noWrap/>
            <w:vAlign w:val="center"/>
            <w:hideMark/>
          </w:tcPr>
          <w:p w14:paraId="5FA2825B" w14:textId="77777777" w:rsidR="000D1A29" w:rsidRPr="004D2C93" w:rsidRDefault="000D1A29" w:rsidP="00F44BFC">
            <w:pPr>
              <w:rPr>
                <w:rFonts w:ascii="Arial Narrow" w:hAnsi="Arial Narrow" w:cs="Arial"/>
                <w:sz w:val="20"/>
                <w:szCs w:val="20"/>
              </w:rPr>
            </w:pPr>
            <w:r w:rsidRPr="004D2C93">
              <w:rPr>
                <w:rFonts w:ascii="Arial Narrow" w:hAnsi="Arial Narrow" w:cs="Arial"/>
                <w:sz w:val="20"/>
                <w:szCs w:val="20"/>
              </w:rPr>
              <w:t>23</w:t>
            </w:r>
          </w:p>
        </w:tc>
        <w:tc>
          <w:tcPr>
            <w:tcW w:w="2787" w:type="dxa"/>
            <w:shd w:val="clear" w:color="auto" w:fill="auto"/>
            <w:noWrap/>
            <w:vAlign w:val="center"/>
          </w:tcPr>
          <w:p w14:paraId="786FCA60" w14:textId="77777777" w:rsidR="000D1A29" w:rsidRPr="004D2C93" w:rsidRDefault="000D1A29" w:rsidP="00F44BFC">
            <w:pPr>
              <w:rPr>
                <w:rFonts w:ascii="Arial Narrow" w:hAnsi="Arial Narrow" w:cs="Calibri"/>
                <w:sz w:val="20"/>
                <w:szCs w:val="20"/>
              </w:rPr>
            </w:pPr>
            <w:r w:rsidRPr="004D2C93">
              <w:rPr>
                <w:rFonts w:ascii="Arial Narrow" w:hAnsi="Arial Narrow" w:cs="Calibri"/>
                <w:sz w:val="20"/>
                <w:szCs w:val="20"/>
              </w:rPr>
              <w:t>Черна морска мида</w:t>
            </w:r>
          </w:p>
        </w:tc>
        <w:tc>
          <w:tcPr>
            <w:tcW w:w="1084" w:type="dxa"/>
            <w:shd w:val="clear" w:color="auto" w:fill="auto"/>
            <w:noWrap/>
            <w:vAlign w:val="center"/>
          </w:tcPr>
          <w:p w14:paraId="73B3C599" w14:textId="77777777" w:rsidR="000D1A29" w:rsidRPr="004D2C93" w:rsidRDefault="000D1A29" w:rsidP="00F44BFC">
            <w:pPr>
              <w:jc w:val="right"/>
              <w:rPr>
                <w:rFonts w:ascii="Arial Narrow" w:hAnsi="Arial Narrow" w:cs="Calibri"/>
                <w:sz w:val="20"/>
                <w:szCs w:val="20"/>
              </w:rPr>
            </w:pPr>
            <w:r w:rsidRPr="004D2C93">
              <w:rPr>
                <w:rFonts w:ascii="Arial Narrow" w:hAnsi="Arial Narrow" w:cs="Calibri"/>
                <w:sz w:val="20"/>
                <w:szCs w:val="20"/>
              </w:rPr>
              <w:t>0,00</w:t>
            </w:r>
          </w:p>
        </w:tc>
        <w:tc>
          <w:tcPr>
            <w:tcW w:w="1093" w:type="dxa"/>
            <w:shd w:val="clear" w:color="auto" w:fill="auto"/>
            <w:noWrap/>
            <w:vAlign w:val="center"/>
          </w:tcPr>
          <w:p w14:paraId="52B0812E" w14:textId="77777777" w:rsidR="000D1A29" w:rsidRPr="004D2C93" w:rsidRDefault="000D1A29" w:rsidP="00F44BFC">
            <w:pPr>
              <w:jc w:val="right"/>
              <w:rPr>
                <w:rFonts w:ascii="Arial Narrow" w:hAnsi="Arial Narrow" w:cs="Calibri"/>
                <w:sz w:val="20"/>
                <w:szCs w:val="20"/>
              </w:rPr>
            </w:pPr>
            <w:r w:rsidRPr="004D2C93">
              <w:rPr>
                <w:rFonts w:ascii="Arial Narrow" w:hAnsi="Arial Narrow" w:cs="Calibri"/>
                <w:sz w:val="20"/>
                <w:szCs w:val="20"/>
              </w:rPr>
              <w:t>0,00</w:t>
            </w:r>
          </w:p>
        </w:tc>
        <w:tc>
          <w:tcPr>
            <w:tcW w:w="1112" w:type="dxa"/>
            <w:shd w:val="clear" w:color="auto" w:fill="auto"/>
            <w:noWrap/>
            <w:vAlign w:val="center"/>
          </w:tcPr>
          <w:p w14:paraId="5858B2A0" w14:textId="77777777" w:rsidR="000D1A29" w:rsidRPr="004D2C93" w:rsidRDefault="000D1A29" w:rsidP="00F44BFC">
            <w:pPr>
              <w:jc w:val="right"/>
              <w:rPr>
                <w:rFonts w:ascii="Arial Narrow" w:hAnsi="Arial Narrow" w:cs="Calibri"/>
                <w:sz w:val="20"/>
                <w:szCs w:val="20"/>
              </w:rPr>
            </w:pPr>
            <w:r w:rsidRPr="004D2C93">
              <w:rPr>
                <w:rFonts w:ascii="Arial Narrow" w:hAnsi="Arial Narrow" w:cs="Calibri"/>
                <w:sz w:val="20"/>
                <w:szCs w:val="20"/>
              </w:rPr>
              <w:t>2 551,52</w:t>
            </w:r>
          </w:p>
        </w:tc>
        <w:tc>
          <w:tcPr>
            <w:tcW w:w="1114" w:type="dxa"/>
            <w:shd w:val="clear" w:color="auto" w:fill="auto"/>
            <w:noWrap/>
            <w:vAlign w:val="center"/>
          </w:tcPr>
          <w:p w14:paraId="5DC99A10" w14:textId="77777777" w:rsidR="000D1A29" w:rsidRPr="004D2C93" w:rsidRDefault="000D1A29" w:rsidP="00F44BFC">
            <w:pPr>
              <w:jc w:val="right"/>
              <w:rPr>
                <w:rFonts w:ascii="Arial Narrow" w:hAnsi="Arial Narrow" w:cs="Calibri"/>
                <w:sz w:val="20"/>
                <w:szCs w:val="20"/>
              </w:rPr>
            </w:pPr>
            <w:r w:rsidRPr="004D2C93">
              <w:rPr>
                <w:rFonts w:ascii="Arial Narrow" w:hAnsi="Arial Narrow" w:cs="Calibri"/>
                <w:sz w:val="20"/>
                <w:szCs w:val="20"/>
              </w:rPr>
              <w:t>1 697,94</w:t>
            </w:r>
          </w:p>
        </w:tc>
        <w:tc>
          <w:tcPr>
            <w:tcW w:w="1112" w:type="dxa"/>
            <w:shd w:val="clear" w:color="auto" w:fill="auto"/>
            <w:noWrap/>
            <w:vAlign w:val="center"/>
          </w:tcPr>
          <w:p w14:paraId="1A282DE8" w14:textId="77777777" w:rsidR="000D1A29" w:rsidRPr="004D2C93" w:rsidRDefault="000D1A29" w:rsidP="00F44BFC">
            <w:pPr>
              <w:jc w:val="right"/>
              <w:rPr>
                <w:rFonts w:ascii="Arial Narrow" w:hAnsi="Arial Narrow" w:cs="Calibri"/>
                <w:sz w:val="20"/>
                <w:szCs w:val="20"/>
              </w:rPr>
            </w:pPr>
            <w:r w:rsidRPr="004D2C93">
              <w:rPr>
                <w:rFonts w:ascii="Arial Narrow" w:hAnsi="Arial Narrow" w:cs="Calibri"/>
                <w:sz w:val="20"/>
                <w:szCs w:val="20"/>
              </w:rPr>
              <w:t>2 551,52</w:t>
            </w:r>
          </w:p>
        </w:tc>
        <w:tc>
          <w:tcPr>
            <w:tcW w:w="1114" w:type="dxa"/>
            <w:shd w:val="clear" w:color="auto" w:fill="auto"/>
            <w:noWrap/>
            <w:vAlign w:val="center"/>
          </w:tcPr>
          <w:p w14:paraId="1275EBCF" w14:textId="77777777" w:rsidR="000D1A29" w:rsidRPr="004D2C93" w:rsidRDefault="000D1A29" w:rsidP="00F44BFC">
            <w:pPr>
              <w:jc w:val="right"/>
              <w:rPr>
                <w:rFonts w:ascii="Arial Narrow" w:hAnsi="Arial Narrow" w:cs="Calibri"/>
                <w:sz w:val="20"/>
                <w:szCs w:val="20"/>
              </w:rPr>
            </w:pPr>
            <w:r w:rsidRPr="004D2C93">
              <w:rPr>
                <w:rFonts w:ascii="Arial Narrow" w:hAnsi="Arial Narrow" w:cs="Calibri"/>
                <w:sz w:val="20"/>
                <w:szCs w:val="20"/>
              </w:rPr>
              <w:t>1 697,94</w:t>
            </w:r>
          </w:p>
        </w:tc>
      </w:tr>
      <w:tr w:rsidR="000D1A29" w:rsidRPr="004D2C93" w14:paraId="2CB693A0" w14:textId="77777777" w:rsidTr="00BF097E">
        <w:trPr>
          <w:trHeight w:val="612"/>
        </w:trPr>
        <w:tc>
          <w:tcPr>
            <w:tcW w:w="486" w:type="dxa"/>
            <w:shd w:val="clear" w:color="auto" w:fill="auto"/>
            <w:noWrap/>
            <w:vAlign w:val="center"/>
            <w:hideMark/>
          </w:tcPr>
          <w:p w14:paraId="5B7E01B9" w14:textId="77777777" w:rsidR="000D1A29" w:rsidRPr="004D2C93" w:rsidRDefault="000D1A29" w:rsidP="00F44BFC">
            <w:pPr>
              <w:rPr>
                <w:rFonts w:ascii="Arial Narrow" w:hAnsi="Arial Narrow" w:cs="Arial"/>
                <w:sz w:val="20"/>
                <w:szCs w:val="20"/>
              </w:rPr>
            </w:pPr>
            <w:r w:rsidRPr="004D2C93">
              <w:rPr>
                <w:rFonts w:ascii="Arial Narrow" w:hAnsi="Arial Narrow" w:cs="Arial"/>
                <w:sz w:val="20"/>
                <w:szCs w:val="20"/>
              </w:rPr>
              <w:t>24</w:t>
            </w:r>
          </w:p>
        </w:tc>
        <w:tc>
          <w:tcPr>
            <w:tcW w:w="2787" w:type="dxa"/>
            <w:shd w:val="clear" w:color="auto" w:fill="auto"/>
            <w:noWrap/>
            <w:vAlign w:val="center"/>
          </w:tcPr>
          <w:p w14:paraId="0C14F897" w14:textId="77777777" w:rsidR="000D1A29" w:rsidRPr="004D2C93" w:rsidRDefault="000D1A29" w:rsidP="00F44BFC">
            <w:pPr>
              <w:rPr>
                <w:rFonts w:ascii="Arial Narrow" w:hAnsi="Arial Narrow" w:cs="Calibri"/>
                <w:sz w:val="20"/>
                <w:szCs w:val="20"/>
              </w:rPr>
            </w:pPr>
            <w:r w:rsidRPr="004D2C93">
              <w:rPr>
                <w:rFonts w:ascii="Arial Narrow" w:hAnsi="Arial Narrow" w:cs="Calibri"/>
                <w:sz w:val="20"/>
                <w:szCs w:val="20"/>
              </w:rPr>
              <w:t>Други хибриди от семейство Есетрови</w:t>
            </w:r>
          </w:p>
        </w:tc>
        <w:tc>
          <w:tcPr>
            <w:tcW w:w="1084" w:type="dxa"/>
            <w:shd w:val="clear" w:color="auto" w:fill="auto"/>
            <w:noWrap/>
            <w:vAlign w:val="center"/>
          </w:tcPr>
          <w:p w14:paraId="1B917F4A" w14:textId="77777777" w:rsidR="000D1A29" w:rsidRPr="004D2C93" w:rsidRDefault="000D1A29" w:rsidP="00F44BFC">
            <w:pPr>
              <w:jc w:val="right"/>
              <w:rPr>
                <w:rFonts w:ascii="Arial Narrow" w:hAnsi="Arial Narrow" w:cs="Calibri"/>
                <w:sz w:val="20"/>
                <w:szCs w:val="20"/>
              </w:rPr>
            </w:pPr>
            <w:r w:rsidRPr="004D2C93">
              <w:rPr>
                <w:rFonts w:ascii="Arial Narrow" w:hAnsi="Arial Narrow" w:cs="Calibri"/>
                <w:sz w:val="20"/>
                <w:szCs w:val="20"/>
              </w:rPr>
              <w:t>0,43</w:t>
            </w:r>
          </w:p>
        </w:tc>
        <w:tc>
          <w:tcPr>
            <w:tcW w:w="1093" w:type="dxa"/>
            <w:shd w:val="clear" w:color="auto" w:fill="auto"/>
            <w:noWrap/>
            <w:vAlign w:val="center"/>
          </w:tcPr>
          <w:p w14:paraId="37CD09D5" w14:textId="77777777" w:rsidR="000D1A29" w:rsidRPr="004D2C93" w:rsidRDefault="000D1A29" w:rsidP="00F44BFC">
            <w:pPr>
              <w:jc w:val="right"/>
              <w:rPr>
                <w:rFonts w:ascii="Arial Narrow" w:hAnsi="Arial Narrow" w:cs="Calibri"/>
                <w:sz w:val="20"/>
                <w:szCs w:val="20"/>
              </w:rPr>
            </w:pPr>
            <w:r w:rsidRPr="004D2C93">
              <w:rPr>
                <w:rFonts w:ascii="Arial Narrow" w:hAnsi="Arial Narrow" w:cs="Calibri"/>
                <w:sz w:val="20"/>
                <w:szCs w:val="20"/>
              </w:rPr>
              <w:t>1,38</w:t>
            </w:r>
          </w:p>
        </w:tc>
        <w:tc>
          <w:tcPr>
            <w:tcW w:w="1112" w:type="dxa"/>
            <w:shd w:val="clear" w:color="auto" w:fill="auto"/>
            <w:noWrap/>
            <w:vAlign w:val="center"/>
          </w:tcPr>
          <w:p w14:paraId="4FFF02F3" w14:textId="77777777" w:rsidR="000D1A29" w:rsidRPr="004D2C93" w:rsidRDefault="000D1A29" w:rsidP="00F44BFC">
            <w:pPr>
              <w:jc w:val="right"/>
              <w:rPr>
                <w:rFonts w:ascii="Arial Narrow" w:hAnsi="Arial Narrow" w:cs="Calibri"/>
                <w:sz w:val="20"/>
                <w:szCs w:val="20"/>
              </w:rPr>
            </w:pPr>
            <w:r w:rsidRPr="004D2C93">
              <w:rPr>
                <w:rFonts w:ascii="Arial Narrow" w:hAnsi="Arial Narrow" w:cs="Calibri"/>
                <w:sz w:val="20"/>
                <w:szCs w:val="20"/>
              </w:rPr>
              <w:t>41,87</w:t>
            </w:r>
          </w:p>
        </w:tc>
        <w:tc>
          <w:tcPr>
            <w:tcW w:w="1114" w:type="dxa"/>
            <w:shd w:val="clear" w:color="auto" w:fill="auto"/>
            <w:noWrap/>
            <w:vAlign w:val="center"/>
          </w:tcPr>
          <w:p w14:paraId="05210490" w14:textId="77777777" w:rsidR="000D1A29" w:rsidRPr="004D2C93" w:rsidRDefault="000D1A29" w:rsidP="00F44BFC">
            <w:pPr>
              <w:jc w:val="right"/>
              <w:rPr>
                <w:rFonts w:ascii="Arial Narrow" w:hAnsi="Arial Narrow" w:cs="Calibri"/>
                <w:sz w:val="20"/>
                <w:szCs w:val="20"/>
              </w:rPr>
            </w:pPr>
            <w:r w:rsidRPr="004D2C93">
              <w:rPr>
                <w:rFonts w:ascii="Arial Narrow" w:hAnsi="Arial Narrow" w:cs="Calibri"/>
                <w:sz w:val="20"/>
                <w:szCs w:val="20"/>
              </w:rPr>
              <w:t>67,52</w:t>
            </w:r>
          </w:p>
        </w:tc>
        <w:tc>
          <w:tcPr>
            <w:tcW w:w="1112" w:type="dxa"/>
            <w:shd w:val="clear" w:color="auto" w:fill="auto"/>
            <w:noWrap/>
            <w:vAlign w:val="center"/>
          </w:tcPr>
          <w:p w14:paraId="5EB8CB72" w14:textId="77777777" w:rsidR="000D1A29" w:rsidRPr="004D2C93" w:rsidRDefault="000D1A29" w:rsidP="00F44BFC">
            <w:pPr>
              <w:jc w:val="right"/>
              <w:rPr>
                <w:rFonts w:ascii="Arial Narrow" w:hAnsi="Arial Narrow" w:cs="Calibri"/>
                <w:sz w:val="20"/>
                <w:szCs w:val="20"/>
              </w:rPr>
            </w:pPr>
            <w:r w:rsidRPr="004D2C93">
              <w:rPr>
                <w:rFonts w:ascii="Arial Narrow" w:hAnsi="Arial Narrow" w:cs="Calibri"/>
                <w:sz w:val="20"/>
                <w:szCs w:val="20"/>
              </w:rPr>
              <w:t>42,26</w:t>
            </w:r>
          </w:p>
        </w:tc>
        <w:tc>
          <w:tcPr>
            <w:tcW w:w="1114" w:type="dxa"/>
            <w:shd w:val="clear" w:color="auto" w:fill="auto"/>
            <w:noWrap/>
            <w:vAlign w:val="center"/>
          </w:tcPr>
          <w:p w14:paraId="7261CB06" w14:textId="77777777" w:rsidR="000D1A29" w:rsidRPr="004D2C93" w:rsidRDefault="000D1A29" w:rsidP="00F44BFC">
            <w:pPr>
              <w:jc w:val="right"/>
              <w:rPr>
                <w:rFonts w:ascii="Arial Narrow" w:hAnsi="Arial Narrow" w:cs="Calibri"/>
                <w:sz w:val="20"/>
                <w:szCs w:val="20"/>
              </w:rPr>
            </w:pPr>
            <w:r w:rsidRPr="004D2C93">
              <w:rPr>
                <w:rFonts w:ascii="Arial Narrow" w:hAnsi="Arial Narrow" w:cs="Calibri"/>
                <w:sz w:val="20"/>
                <w:szCs w:val="20"/>
              </w:rPr>
              <w:t>68,90</w:t>
            </w:r>
          </w:p>
        </w:tc>
      </w:tr>
      <w:tr w:rsidR="000D1A29" w:rsidRPr="004D2C93" w14:paraId="593DCBC1" w14:textId="77777777" w:rsidTr="00F44BFC">
        <w:trPr>
          <w:trHeight w:val="312"/>
        </w:trPr>
        <w:tc>
          <w:tcPr>
            <w:tcW w:w="486" w:type="dxa"/>
            <w:shd w:val="clear" w:color="auto" w:fill="auto"/>
            <w:noWrap/>
            <w:vAlign w:val="center"/>
            <w:hideMark/>
          </w:tcPr>
          <w:p w14:paraId="734A3112" w14:textId="77777777" w:rsidR="000D1A29" w:rsidRPr="004D2C93" w:rsidRDefault="000D1A29" w:rsidP="00F44BFC">
            <w:pPr>
              <w:rPr>
                <w:rFonts w:ascii="Arial Narrow" w:hAnsi="Arial Narrow" w:cs="Arial"/>
                <w:sz w:val="20"/>
                <w:szCs w:val="20"/>
              </w:rPr>
            </w:pPr>
            <w:r w:rsidRPr="004D2C93">
              <w:rPr>
                <w:rFonts w:ascii="Arial Narrow" w:hAnsi="Arial Narrow" w:cs="Arial"/>
                <w:sz w:val="20"/>
                <w:szCs w:val="20"/>
              </w:rPr>
              <w:t>25</w:t>
            </w:r>
          </w:p>
        </w:tc>
        <w:tc>
          <w:tcPr>
            <w:tcW w:w="2787" w:type="dxa"/>
            <w:shd w:val="clear" w:color="auto" w:fill="auto"/>
            <w:noWrap/>
            <w:vAlign w:val="center"/>
          </w:tcPr>
          <w:p w14:paraId="0049787A" w14:textId="77777777" w:rsidR="000D1A29" w:rsidRPr="004D2C93" w:rsidRDefault="000D1A29" w:rsidP="00F44BFC">
            <w:pPr>
              <w:rPr>
                <w:rFonts w:ascii="Arial Narrow" w:hAnsi="Arial Narrow" w:cs="Calibri"/>
                <w:sz w:val="20"/>
                <w:szCs w:val="20"/>
              </w:rPr>
            </w:pPr>
            <w:r w:rsidRPr="004D2C93">
              <w:rPr>
                <w:rFonts w:ascii="Arial Narrow" w:hAnsi="Arial Narrow" w:cs="Calibri"/>
                <w:sz w:val="20"/>
                <w:szCs w:val="20"/>
              </w:rPr>
              <w:t>Веслонос</w:t>
            </w:r>
          </w:p>
        </w:tc>
        <w:tc>
          <w:tcPr>
            <w:tcW w:w="1084" w:type="dxa"/>
            <w:shd w:val="clear" w:color="auto" w:fill="auto"/>
            <w:noWrap/>
            <w:vAlign w:val="center"/>
          </w:tcPr>
          <w:p w14:paraId="1D9F9A64" w14:textId="77777777" w:rsidR="000D1A29" w:rsidRPr="004D2C93" w:rsidRDefault="000D1A29" w:rsidP="00F44BFC">
            <w:pPr>
              <w:jc w:val="right"/>
              <w:rPr>
                <w:rFonts w:ascii="Arial Narrow" w:hAnsi="Arial Narrow" w:cs="Calibri"/>
                <w:sz w:val="20"/>
                <w:szCs w:val="20"/>
              </w:rPr>
            </w:pPr>
            <w:r w:rsidRPr="004D2C93">
              <w:rPr>
                <w:rFonts w:ascii="Arial Narrow" w:hAnsi="Arial Narrow" w:cs="Calibri"/>
                <w:sz w:val="20"/>
                <w:szCs w:val="20"/>
              </w:rPr>
              <w:t>65,60</w:t>
            </w:r>
          </w:p>
        </w:tc>
        <w:tc>
          <w:tcPr>
            <w:tcW w:w="1093" w:type="dxa"/>
            <w:shd w:val="clear" w:color="auto" w:fill="auto"/>
            <w:noWrap/>
            <w:vAlign w:val="center"/>
          </w:tcPr>
          <w:p w14:paraId="0EF2BF68" w14:textId="77777777" w:rsidR="000D1A29" w:rsidRPr="004D2C93" w:rsidRDefault="000D1A29" w:rsidP="00F44BFC">
            <w:pPr>
              <w:jc w:val="right"/>
              <w:rPr>
                <w:rFonts w:ascii="Arial Narrow" w:hAnsi="Arial Narrow" w:cs="Calibri"/>
                <w:sz w:val="20"/>
                <w:szCs w:val="20"/>
              </w:rPr>
            </w:pPr>
            <w:r w:rsidRPr="004D2C93">
              <w:rPr>
                <w:rFonts w:ascii="Arial Narrow" w:hAnsi="Arial Narrow" w:cs="Calibri"/>
                <w:sz w:val="20"/>
                <w:szCs w:val="20"/>
              </w:rPr>
              <w:t>69,80</w:t>
            </w:r>
          </w:p>
        </w:tc>
        <w:tc>
          <w:tcPr>
            <w:tcW w:w="1112" w:type="dxa"/>
            <w:shd w:val="clear" w:color="auto" w:fill="auto"/>
            <w:noWrap/>
            <w:vAlign w:val="center"/>
          </w:tcPr>
          <w:p w14:paraId="11A5A8D0" w14:textId="77777777" w:rsidR="000D1A29" w:rsidRPr="004D2C93" w:rsidRDefault="000D1A29" w:rsidP="00F44BFC">
            <w:pPr>
              <w:jc w:val="right"/>
              <w:rPr>
                <w:rFonts w:ascii="Arial Narrow" w:hAnsi="Arial Narrow" w:cs="Calibri"/>
                <w:sz w:val="20"/>
                <w:szCs w:val="20"/>
              </w:rPr>
            </w:pPr>
            <w:r w:rsidRPr="004D2C93">
              <w:rPr>
                <w:rFonts w:ascii="Arial Narrow" w:hAnsi="Arial Narrow" w:cs="Calibri"/>
                <w:sz w:val="20"/>
                <w:szCs w:val="20"/>
              </w:rPr>
              <w:t>72,19</w:t>
            </w:r>
          </w:p>
        </w:tc>
        <w:tc>
          <w:tcPr>
            <w:tcW w:w="1114" w:type="dxa"/>
            <w:shd w:val="clear" w:color="auto" w:fill="auto"/>
            <w:noWrap/>
            <w:vAlign w:val="center"/>
          </w:tcPr>
          <w:p w14:paraId="1B49F79A" w14:textId="77777777" w:rsidR="000D1A29" w:rsidRPr="004D2C93" w:rsidRDefault="000D1A29" w:rsidP="00F44BFC">
            <w:pPr>
              <w:jc w:val="right"/>
              <w:rPr>
                <w:rFonts w:ascii="Arial Narrow" w:hAnsi="Arial Narrow" w:cs="Calibri"/>
                <w:sz w:val="20"/>
                <w:szCs w:val="20"/>
              </w:rPr>
            </w:pPr>
            <w:r w:rsidRPr="004D2C93">
              <w:rPr>
                <w:rFonts w:ascii="Arial Narrow" w:hAnsi="Arial Narrow" w:cs="Calibri"/>
                <w:sz w:val="20"/>
                <w:szCs w:val="20"/>
              </w:rPr>
              <w:t>57,82</w:t>
            </w:r>
          </w:p>
        </w:tc>
        <w:tc>
          <w:tcPr>
            <w:tcW w:w="1112" w:type="dxa"/>
            <w:shd w:val="clear" w:color="auto" w:fill="auto"/>
            <w:noWrap/>
            <w:vAlign w:val="center"/>
          </w:tcPr>
          <w:p w14:paraId="7FAC7FB8" w14:textId="77777777" w:rsidR="000D1A29" w:rsidRPr="004D2C93" w:rsidRDefault="000D1A29" w:rsidP="00F44BFC">
            <w:pPr>
              <w:jc w:val="right"/>
              <w:rPr>
                <w:rFonts w:ascii="Arial Narrow" w:hAnsi="Arial Narrow" w:cs="Calibri"/>
                <w:sz w:val="20"/>
                <w:szCs w:val="20"/>
              </w:rPr>
            </w:pPr>
            <w:r w:rsidRPr="004D2C93">
              <w:rPr>
                <w:rFonts w:ascii="Arial Narrow" w:hAnsi="Arial Narrow" w:cs="Calibri"/>
                <w:sz w:val="20"/>
                <w:szCs w:val="20"/>
              </w:rPr>
              <w:t>137,79</w:t>
            </w:r>
          </w:p>
        </w:tc>
        <w:tc>
          <w:tcPr>
            <w:tcW w:w="1114" w:type="dxa"/>
            <w:shd w:val="clear" w:color="auto" w:fill="auto"/>
            <w:noWrap/>
            <w:vAlign w:val="center"/>
          </w:tcPr>
          <w:p w14:paraId="17ACBF91" w14:textId="77777777" w:rsidR="000D1A29" w:rsidRPr="004D2C93" w:rsidRDefault="000D1A29" w:rsidP="00F44BFC">
            <w:pPr>
              <w:jc w:val="right"/>
              <w:rPr>
                <w:rFonts w:ascii="Arial Narrow" w:hAnsi="Arial Narrow" w:cs="Calibri"/>
                <w:sz w:val="20"/>
                <w:szCs w:val="20"/>
              </w:rPr>
            </w:pPr>
            <w:r w:rsidRPr="004D2C93">
              <w:rPr>
                <w:rFonts w:ascii="Arial Narrow" w:hAnsi="Arial Narrow" w:cs="Calibri"/>
                <w:sz w:val="20"/>
                <w:szCs w:val="20"/>
              </w:rPr>
              <w:t>127,62</w:t>
            </w:r>
          </w:p>
        </w:tc>
      </w:tr>
      <w:tr w:rsidR="000D1A29" w:rsidRPr="004D2C93" w14:paraId="68981A90" w14:textId="77777777" w:rsidTr="00F44BFC">
        <w:trPr>
          <w:trHeight w:val="312"/>
        </w:trPr>
        <w:tc>
          <w:tcPr>
            <w:tcW w:w="486" w:type="dxa"/>
            <w:shd w:val="clear" w:color="auto" w:fill="auto"/>
            <w:noWrap/>
            <w:vAlign w:val="center"/>
            <w:hideMark/>
          </w:tcPr>
          <w:p w14:paraId="32BEA027" w14:textId="77777777" w:rsidR="000D1A29" w:rsidRPr="004D2C93" w:rsidRDefault="000D1A29" w:rsidP="00F44BFC">
            <w:pPr>
              <w:rPr>
                <w:rFonts w:ascii="Arial Narrow" w:hAnsi="Arial Narrow" w:cs="Arial"/>
                <w:sz w:val="20"/>
                <w:szCs w:val="20"/>
              </w:rPr>
            </w:pPr>
            <w:r w:rsidRPr="004D2C93">
              <w:rPr>
                <w:rFonts w:ascii="Arial Narrow" w:hAnsi="Arial Narrow" w:cs="Arial"/>
                <w:sz w:val="20"/>
                <w:szCs w:val="20"/>
              </w:rPr>
              <w:t>26</w:t>
            </w:r>
          </w:p>
        </w:tc>
        <w:tc>
          <w:tcPr>
            <w:tcW w:w="2787" w:type="dxa"/>
            <w:shd w:val="clear" w:color="auto" w:fill="auto"/>
            <w:noWrap/>
            <w:vAlign w:val="center"/>
          </w:tcPr>
          <w:p w14:paraId="5612C75E" w14:textId="77777777" w:rsidR="000D1A29" w:rsidRPr="004D2C93" w:rsidRDefault="000D1A29" w:rsidP="00F44BFC">
            <w:pPr>
              <w:rPr>
                <w:rFonts w:ascii="Arial Narrow" w:hAnsi="Arial Narrow" w:cs="Calibri"/>
                <w:sz w:val="20"/>
                <w:szCs w:val="20"/>
              </w:rPr>
            </w:pPr>
            <w:r w:rsidRPr="004D2C93">
              <w:rPr>
                <w:rFonts w:ascii="Arial Narrow" w:hAnsi="Arial Narrow" w:cs="Calibri"/>
                <w:sz w:val="20"/>
                <w:szCs w:val="20"/>
              </w:rPr>
              <w:t>Зелени водорасли</w:t>
            </w:r>
          </w:p>
        </w:tc>
        <w:tc>
          <w:tcPr>
            <w:tcW w:w="1084" w:type="dxa"/>
            <w:shd w:val="clear" w:color="auto" w:fill="auto"/>
            <w:noWrap/>
            <w:vAlign w:val="center"/>
          </w:tcPr>
          <w:p w14:paraId="29773AC4" w14:textId="77777777" w:rsidR="000D1A29" w:rsidRPr="004D2C93" w:rsidRDefault="000D1A29" w:rsidP="00F44BFC">
            <w:pPr>
              <w:jc w:val="right"/>
              <w:rPr>
                <w:rFonts w:ascii="Arial Narrow" w:hAnsi="Arial Narrow" w:cs="Calibri"/>
                <w:sz w:val="20"/>
                <w:szCs w:val="20"/>
              </w:rPr>
            </w:pPr>
            <w:r w:rsidRPr="004D2C93">
              <w:rPr>
                <w:rFonts w:ascii="Arial Narrow" w:hAnsi="Arial Narrow" w:cs="Calibri"/>
                <w:sz w:val="20"/>
                <w:szCs w:val="20"/>
              </w:rPr>
              <w:t>0,00</w:t>
            </w:r>
          </w:p>
        </w:tc>
        <w:tc>
          <w:tcPr>
            <w:tcW w:w="1093" w:type="dxa"/>
            <w:shd w:val="clear" w:color="auto" w:fill="auto"/>
            <w:noWrap/>
            <w:vAlign w:val="center"/>
          </w:tcPr>
          <w:p w14:paraId="5E162DF8" w14:textId="77777777" w:rsidR="000D1A29" w:rsidRPr="004D2C93" w:rsidRDefault="000D1A29" w:rsidP="00F44BFC">
            <w:pPr>
              <w:jc w:val="right"/>
              <w:rPr>
                <w:rFonts w:ascii="Arial Narrow" w:hAnsi="Arial Narrow" w:cs="Calibri"/>
                <w:sz w:val="20"/>
                <w:szCs w:val="20"/>
              </w:rPr>
            </w:pPr>
            <w:r w:rsidRPr="004D2C93">
              <w:rPr>
                <w:rFonts w:ascii="Arial Narrow" w:hAnsi="Arial Narrow" w:cs="Calibri"/>
                <w:sz w:val="20"/>
                <w:szCs w:val="20"/>
              </w:rPr>
              <w:t>0,00</w:t>
            </w:r>
          </w:p>
        </w:tc>
        <w:tc>
          <w:tcPr>
            <w:tcW w:w="1112" w:type="dxa"/>
            <w:shd w:val="clear" w:color="auto" w:fill="auto"/>
            <w:noWrap/>
            <w:vAlign w:val="center"/>
          </w:tcPr>
          <w:p w14:paraId="13EE68D9" w14:textId="77777777" w:rsidR="000D1A29" w:rsidRPr="004D2C93" w:rsidRDefault="000D1A29" w:rsidP="00F44BFC">
            <w:pPr>
              <w:jc w:val="right"/>
              <w:rPr>
                <w:rFonts w:ascii="Arial Narrow" w:hAnsi="Arial Narrow" w:cs="Calibri"/>
                <w:sz w:val="20"/>
                <w:szCs w:val="20"/>
              </w:rPr>
            </w:pPr>
            <w:r w:rsidRPr="004D2C93">
              <w:rPr>
                <w:rFonts w:ascii="Arial Narrow" w:hAnsi="Arial Narrow" w:cs="Calibri"/>
                <w:sz w:val="20"/>
                <w:szCs w:val="20"/>
              </w:rPr>
              <w:t>10,97</w:t>
            </w:r>
          </w:p>
        </w:tc>
        <w:tc>
          <w:tcPr>
            <w:tcW w:w="1114" w:type="dxa"/>
            <w:shd w:val="clear" w:color="auto" w:fill="auto"/>
            <w:noWrap/>
            <w:vAlign w:val="center"/>
          </w:tcPr>
          <w:p w14:paraId="3C3919EF" w14:textId="77777777" w:rsidR="000D1A29" w:rsidRPr="004D2C93" w:rsidRDefault="000D1A29" w:rsidP="00F44BFC">
            <w:pPr>
              <w:jc w:val="right"/>
              <w:rPr>
                <w:rFonts w:ascii="Arial Narrow" w:hAnsi="Arial Narrow" w:cs="Calibri"/>
                <w:sz w:val="20"/>
                <w:szCs w:val="20"/>
              </w:rPr>
            </w:pPr>
            <w:r w:rsidRPr="004D2C93">
              <w:rPr>
                <w:rFonts w:ascii="Arial Narrow" w:hAnsi="Arial Narrow" w:cs="Calibri"/>
                <w:sz w:val="20"/>
                <w:szCs w:val="20"/>
              </w:rPr>
              <w:t>19,31</w:t>
            </w:r>
          </w:p>
        </w:tc>
        <w:tc>
          <w:tcPr>
            <w:tcW w:w="1112" w:type="dxa"/>
            <w:shd w:val="clear" w:color="auto" w:fill="auto"/>
            <w:noWrap/>
            <w:vAlign w:val="center"/>
          </w:tcPr>
          <w:p w14:paraId="75A4BC23" w14:textId="77777777" w:rsidR="000D1A29" w:rsidRPr="004D2C93" w:rsidRDefault="000D1A29" w:rsidP="00F44BFC">
            <w:pPr>
              <w:jc w:val="right"/>
              <w:rPr>
                <w:rFonts w:ascii="Arial Narrow" w:hAnsi="Arial Narrow" w:cs="Calibri"/>
                <w:sz w:val="20"/>
                <w:szCs w:val="20"/>
              </w:rPr>
            </w:pPr>
            <w:r w:rsidRPr="004D2C93">
              <w:rPr>
                <w:rFonts w:ascii="Arial Narrow" w:hAnsi="Arial Narrow" w:cs="Calibri"/>
                <w:sz w:val="20"/>
                <w:szCs w:val="20"/>
              </w:rPr>
              <w:t>10,97</w:t>
            </w:r>
          </w:p>
        </w:tc>
        <w:tc>
          <w:tcPr>
            <w:tcW w:w="1114" w:type="dxa"/>
            <w:shd w:val="clear" w:color="auto" w:fill="auto"/>
            <w:noWrap/>
            <w:vAlign w:val="center"/>
          </w:tcPr>
          <w:p w14:paraId="4BD29482" w14:textId="77777777" w:rsidR="000D1A29" w:rsidRPr="004D2C93" w:rsidRDefault="000D1A29" w:rsidP="00F44BFC">
            <w:pPr>
              <w:jc w:val="right"/>
              <w:rPr>
                <w:rFonts w:ascii="Arial Narrow" w:hAnsi="Arial Narrow" w:cs="Calibri"/>
                <w:sz w:val="20"/>
                <w:szCs w:val="20"/>
              </w:rPr>
            </w:pPr>
            <w:r w:rsidRPr="004D2C93">
              <w:rPr>
                <w:rFonts w:ascii="Arial Narrow" w:hAnsi="Arial Narrow" w:cs="Calibri"/>
                <w:sz w:val="20"/>
                <w:szCs w:val="20"/>
              </w:rPr>
              <w:t>19,31</w:t>
            </w:r>
          </w:p>
        </w:tc>
      </w:tr>
      <w:tr w:rsidR="000D1A29" w:rsidRPr="004D2C93" w14:paraId="0FD8CB22" w14:textId="77777777" w:rsidTr="00F44BFC">
        <w:trPr>
          <w:trHeight w:val="312"/>
        </w:trPr>
        <w:tc>
          <w:tcPr>
            <w:tcW w:w="486" w:type="dxa"/>
            <w:shd w:val="clear" w:color="auto" w:fill="auto"/>
            <w:noWrap/>
            <w:vAlign w:val="center"/>
            <w:hideMark/>
          </w:tcPr>
          <w:p w14:paraId="2E3FF043" w14:textId="77777777" w:rsidR="000D1A29" w:rsidRPr="004D2C93" w:rsidRDefault="000D1A29" w:rsidP="00F44BFC">
            <w:pPr>
              <w:rPr>
                <w:rFonts w:ascii="Arial Narrow" w:hAnsi="Arial Narrow" w:cs="Arial"/>
                <w:sz w:val="20"/>
                <w:szCs w:val="20"/>
              </w:rPr>
            </w:pPr>
            <w:r w:rsidRPr="004D2C93">
              <w:rPr>
                <w:rFonts w:ascii="Arial Narrow" w:hAnsi="Arial Narrow" w:cs="Arial"/>
                <w:sz w:val="20"/>
                <w:szCs w:val="20"/>
              </w:rPr>
              <w:t>27</w:t>
            </w:r>
          </w:p>
        </w:tc>
        <w:tc>
          <w:tcPr>
            <w:tcW w:w="2787" w:type="dxa"/>
            <w:shd w:val="clear" w:color="auto" w:fill="auto"/>
            <w:noWrap/>
            <w:vAlign w:val="center"/>
          </w:tcPr>
          <w:p w14:paraId="65F10E08" w14:textId="77777777" w:rsidR="000D1A29" w:rsidRPr="004D2C93" w:rsidRDefault="000D1A29" w:rsidP="00F44BFC">
            <w:pPr>
              <w:rPr>
                <w:rFonts w:ascii="Arial Narrow" w:hAnsi="Arial Narrow" w:cs="Calibri"/>
                <w:sz w:val="20"/>
                <w:szCs w:val="20"/>
              </w:rPr>
            </w:pPr>
            <w:r w:rsidRPr="004D2C93">
              <w:rPr>
                <w:rFonts w:ascii="Arial Narrow" w:hAnsi="Arial Narrow" w:cs="Calibri"/>
                <w:sz w:val="20"/>
                <w:szCs w:val="20"/>
              </w:rPr>
              <w:t>Червеноперка</w:t>
            </w:r>
          </w:p>
        </w:tc>
        <w:tc>
          <w:tcPr>
            <w:tcW w:w="1084" w:type="dxa"/>
            <w:shd w:val="clear" w:color="auto" w:fill="auto"/>
            <w:noWrap/>
            <w:vAlign w:val="center"/>
          </w:tcPr>
          <w:p w14:paraId="6BB444FC" w14:textId="77777777" w:rsidR="000D1A29" w:rsidRPr="004D2C93" w:rsidRDefault="000D1A29" w:rsidP="00F44BFC">
            <w:pPr>
              <w:jc w:val="right"/>
              <w:rPr>
                <w:rFonts w:ascii="Arial Narrow" w:hAnsi="Arial Narrow" w:cs="Calibri"/>
                <w:sz w:val="20"/>
                <w:szCs w:val="20"/>
              </w:rPr>
            </w:pPr>
            <w:r w:rsidRPr="004D2C93">
              <w:rPr>
                <w:rFonts w:ascii="Arial Narrow" w:hAnsi="Arial Narrow" w:cs="Calibri"/>
                <w:sz w:val="20"/>
                <w:szCs w:val="20"/>
              </w:rPr>
              <w:t>0,00</w:t>
            </w:r>
          </w:p>
        </w:tc>
        <w:tc>
          <w:tcPr>
            <w:tcW w:w="1093" w:type="dxa"/>
            <w:shd w:val="clear" w:color="auto" w:fill="auto"/>
            <w:noWrap/>
            <w:vAlign w:val="center"/>
          </w:tcPr>
          <w:p w14:paraId="7DC76FF4" w14:textId="77777777" w:rsidR="000D1A29" w:rsidRPr="004D2C93" w:rsidRDefault="000D1A29" w:rsidP="00F44BFC">
            <w:pPr>
              <w:jc w:val="right"/>
              <w:rPr>
                <w:rFonts w:ascii="Arial Narrow" w:hAnsi="Arial Narrow" w:cs="Calibri"/>
                <w:sz w:val="20"/>
                <w:szCs w:val="20"/>
              </w:rPr>
            </w:pPr>
            <w:r w:rsidRPr="004D2C93">
              <w:rPr>
                <w:rFonts w:ascii="Arial Narrow" w:hAnsi="Arial Narrow" w:cs="Calibri"/>
                <w:sz w:val="20"/>
                <w:szCs w:val="20"/>
              </w:rPr>
              <w:t>0,00</w:t>
            </w:r>
          </w:p>
        </w:tc>
        <w:tc>
          <w:tcPr>
            <w:tcW w:w="1112" w:type="dxa"/>
            <w:shd w:val="clear" w:color="auto" w:fill="auto"/>
            <w:noWrap/>
            <w:vAlign w:val="center"/>
          </w:tcPr>
          <w:p w14:paraId="671EDFF2" w14:textId="77777777" w:rsidR="000D1A29" w:rsidRPr="004D2C93" w:rsidRDefault="000D1A29" w:rsidP="00F44BFC">
            <w:pPr>
              <w:jc w:val="right"/>
              <w:rPr>
                <w:rFonts w:ascii="Arial Narrow" w:hAnsi="Arial Narrow" w:cs="Calibri"/>
                <w:sz w:val="20"/>
                <w:szCs w:val="20"/>
              </w:rPr>
            </w:pPr>
            <w:r w:rsidRPr="004D2C93">
              <w:rPr>
                <w:rFonts w:ascii="Arial Narrow" w:hAnsi="Arial Narrow" w:cs="Calibri"/>
                <w:sz w:val="20"/>
                <w:szCs w:val="20"/>
              </w:rPr>
              <w:t>0,35</w:t>
            </w:r>
          </w:p>
        </w:tc>
        <w:tc>
          <w:tcPr>
            <w:tcW w:w="1114" w:type="dxa"/>
            <w:shd w:val="clear" w:color="auto" w:fill="auto"/>
            <w:noWrap/>
            <w:vAlign w:val="center"/>
          </w:tcPr>
          <w:p w14:paraId="26822DF1" w14:textId="77777777" w:rsidR="000D1A29" w:rsidRPr="004D2C93" w:rsidRDefault="000D1A29" w:rsidP="00F44BFC">
            <w:pPr>
              <w:jc w:val="right"/>
              <w:rPr>
                <w:rFonts w:ascii="Arial Narrow" w:hAnsi="Arial Narrow" w:cs="Calibri"/>
                <w:sz w:val="20"/>
                <w:szCs w:val="20"/>
              </w:rPr>
            </w:pPr>
            <w:r w:rsidRPr="004D2C93">
              <w:rPr>
                <w:rFonts w:ascii="Arial Narrow" w:hAnsi="Arial Narrow" w:cs="Calibri"/>
                <w:sz w:val="20"/>
                <w:szCs w:val="20"/>
              </w:rPr>
              <w:t>0,93</w:t>
            </w:r>
          </w:p>
        </w:tc>
        <w:tc>
          <w:tcPr>
            <w:tcW w:w="1112" w:type="dxa"/>
            <w:shd w:val="clear" w:color="auto" w:fill="auto"/>
            <w:noWrap/>
            <w:vAlign w:val="center"/>
          </w:tcPr>
          <w:p w14:paraId="6B294705" w14:textId="77777777" w:rsidR="000D1A29" w:rsidRPr="004D2C93" w:rsidRDefault="000D1A29" w:rsidP="00F44BFC">
            <w:pPr>
              <w:jc w:val="right"/>
              <w:rPr>
                <w:rFonts w:ascii="Arial Narrow" w:hAnsi="Arial Narrow" w:cs="Calibri"/>
                <w:sz w:val="20"/>
                <w:szCs w:val="20"/>
              </w:rPr>
            </w:pPr>
            <w:r w:rsidRPr="004D2C93">
              <w:rPr>
                <w:rFonts w:ascii="Arial Narrow" w:hAnsi="Arial Narrow" w:cs="Calibri"/>
                <w:sz w:val="20"/>
                <w:szCs w:val="20"/>
              </w:rPr>
              <w:t>0,35</w:t>
            </w:r>
          </w:p>
        </w:tc>
        <w:tc>
          <w:tcPr>
            <w:tcW w:w="1114" w:type="dxa"/>
            <w:shd w:val="clear" w:color="auto" w:fill="auto"/>
            <w:noWrap/>
            <w:vAlign w:val="center"/>
          </w:tcPr>
          <w:p w14:paraId="29968E2B" w14:textId="77777777" w:rsidR="000D1A29" w:rsidRPr="004D2C93" w:rsidRDefault="000D1A29" w:rsidP="00F44BFC">
            <w:pPr>
              <w:jc w:val="right"/>
              <w:rPr>
                <w:rFonts w:ascii="Arial Narrow" w:hAnsi="Arial Narrow" w:cs="Calibri"/>
                <w:sz w:val="20"/>
                <w:szCs w:val="20"/>
              </w:rPr>
            </w:pPr>
            <w:r w:rsidRPr="004D2C93">
              <w:rPr>
                <w:rFonts w:ascii="Arial Narrow" w:hAnsi="Arial Narrow" w:cs="Calibri"/>
                <w:sz w:val="20"/>
                <w:szCs w:val="20"/>
              </w:rPr>
              <w:t>0,93</w:t>
            </w:r>
          </w:p>
        </w:tc>
      </w:tr>
      <w:tr w:rsidR="000D1A29" w:rsidRPr="004D2C93" w14:paraId="019875A0" w14:textId="77777777" w:rsidTr="00F44BFC">
        <w:trPr>
          <w:trHeight w:val="312"/>
        </w:trPr>
        <w:tc>
          <w:tcPr>
            <w:tcW w:w="486" w:type="dxa"/>
            <w:shd w:val="clear" w:color="auto" w:fill="auto"/>
            <w:noWrap/>
            <w:vAlign w:val="center"/>
            <w:hideMark/>
          </w:tcPr>
          <w:p w14:paraId="0AF5A415" w14:textId="77777777" w:rsidR="000D1A29" w:rsidRPr="004D2C93" w:rsidRDefault="000D1A29" w:rsidP="00F44BFC">
            <w:pPr>
              <w:rPr>
                <w:rFonts w:ascii="Arial Narrow" w:hAnsi="Arial Narrow" w:cs="Arial"/>
                <w:sz w:val="20"/>
                <w:szCs w:val="20"/>
              </w:rPr>
            </w:pPr>
            <w:r w:rsidRPr="004D2C93">
              <w:rPr>
                <w:rFonts w:ascii="Arial Narrow" w:hAnsi="Arial Narrow" w:cs="Arial"/>
                <w:sz w:val="20"/>
                <w:szCs w:val="20"/>
              </w:rPr>
              <w:t>28</w:t>
            </w:r>
          </w:p>
        </w:tc>
        <w:tc>
          <w:tcPr>
            <w:tcW w:w="2787" w:type="dxa"/>
            <w:shd w:val="clear" w:color="auto" w:fill="auto"/>
            <w:noWrap/>
            <w:vAlign w:val="center"/>
          </w:tcPr>
          <w:p w14:paraId="0CA46D1C" w14:textId="77777777" w:rsidR="000D1A29" w:rsidRPr="004D2C93" w:rsidRDefault="000D1A29" w:rsidP="00F44BFC">
            <w:pPr>
              <w:rPr>
                <w:rFonts w:ascii="Arial Narrow" w:hAnsi="Arial Narrow" w:cs="Calibri"/>
                <w:sz w:val="20"/>
                <w:szCs w:val="20"/>
              </w:rPr>
            </w:pPr>
            <w:r w:rsidRPr="004D2C93">
              <w:rPr>
                <w:rFonts w:ascii="Arial Narrow" w:hAnsi="Arial Narrow" w:cs="Calibri"/>
                <w:sz w:val="20"/>
                <w:szCs w:val="20"/>
              </w:rPr>
              <w:t>Африкански сом</w:t>
            </w:r>
          </w:p>
        </w:tc>
        <w:tc>
          <w:tcPr>
            <w:tcW w:w="1084" w:type="dxa"/>
            <w:shd w:val="clear" w:color="auto" w:fill="auto"/>
            <w:noWrap/>
            <w:vAlign w:val="center"/>
          </w:tcPr>
          <w:p w14:paraId="1AFA767C" w14:textId="77777777" w:rsidR="000D1A29" w:rsidRPr="004D2C93" w:rsidRDefault="000D1A29" w:rsidP="00F44BFC">
            <w:pPr>
              <w:jc w:val="right"/>
              <w:rPr>
                <w:rFonts w:ascii="Arial Narrow" w:hAnsi="Arial Narrow" w:cs="Calibri"/>
                <w:sz w:val="20"/>
                <w:szCs w:val="20"/>
              </w:rPr>
            </w:pPr>
            <w:r w:rsidRPr="004D2C93">
              <w:rPr>
                <w:rFonts w:ascii="Arial Narrow" w:hAnsi="Arial Narrow" w:cs="Calibri"/>
                <w:sz w:val="20"/>
                <w:szCs w:val="20"/>
              </w:rPr>
              <w:t>3,99</w:t>
            </w:r>
          </w:p>
        </w:tc>
        <w:tc>
          <w:tcPr>
            <w:tcW w:w="1093" w:type="dxa"/>
            <w:shd w:val="clear" w:color="auto" w:fill="auto"/>
            <w:noWrap/>
            <w:vAlign w:val="center"/>
          </w:tcPr>
          <w:p w14:paraId="15A02613" w14:textId="77777777" w:rsidR="000D1A29" w:rsidRPr="004D2C93" w:rsidRDefault="000D1A29" w:rsidP="00F44BFC">
            <w:pPr>
              <w:jc w:val="right"/>
              <w:rPr>
                <w:rFonts w:ascii="Arial Narrow" w:hAnsi="Arial Narrow" w:cs="Calibri"/>
                <w:sz w:val="20"/>
                <w:szCs w:val="20"/>
              </w:rPr>
            </w:pPr>
            <w:r w:rsidRPr="004D2C93">
              <w:rPr>
                <w:rFonts w:ascii="Arial Narrow" w:hAnsi="Arial Narrow" w:cs="Calibri"/>
                <w:sz w:val="20"/>
                <w:szCs w:val="20"/>
              </w:rPr>
              <w:t>10,09</w:t>
            </w:r>
          </w:p>
        </w:tc>
        <w:tc>
          <w:tcPr>
            <w:tcW w:w="1112" w:type="dxa"/>
            <w:shd w:val="clear" w:color="auto" w:fill="auto"/>
            <w:noWrap/>
            <w:vAlign w:val="center"/>
          </w:tcPr>
          <w:p w14:paraId="3BE17521" w14:textId="77777777" w:rsidR="000D1A29" w:rsidRPr="004D2C93" w:rsidRDefault="000D1A29" w:rsidP="00F44BFC">
            <w:pPr>
              <w:jc w:val="right"/>
              <w:rPr>
                <w:rFonts w:ascii="Arial Narrow" w:hAnsi="Arial Narrow" w:cs="Calibri"/>
                <w:sz w:val="20"/>
                <w:szCs w:val="20"/>
              </w:rPr>
            </w:pPr>
            <w:r w:rsidRPr="004D2C93">
              <w:rPr>
                <w:rFonts w:ascii="Arial Narrow" w:hAnsi="Arial Narrow" w:cs="Calibri"/>
                <w:sz w:val="20"/>
                <w:szCs w:val="20"/>
              </w:rPr>
              <w:t>35,84</w:t>
            </w:r>
          </w:p>
        </w:tc>
        <w:tc>
          <w:tcPr>
            <w:tcW w:w="1114" w:type="dxa"/>
            <w:shd w:val="clear" w:color="auto" w:fill="auto"/>
            <w:noWrap/>
            <w:vAlign w:val="center"/>
          </w:tcPr>
          <w:p w14:paraId="53573EBD" w14:textId="77777777" w:rsidR="000D1A29" w:rsidRPr="004D2C93" w:rsidRDefault="000D1A29" w:rsidP="00F44BFC">
            <w:pPr>
              <w:jc w:val="right"/>
              <w:rPr>
                <w:rFonts w:ascii="Arial Narrow" w:hAnsi="Arial Narrow" w:cs="Calibri"/>
                <w:sz w:val="20"/>
                <w:szCs w:val="20"/>
              </w:rPr>
            </w:pPr>
            <w:r w:rsidRPr="004D2C93">
              <w:rPr>
                <w:rFonts w:ascii="Arial Narrow" w:hAnsi="Arial Narrow" w:cs="Calibri"/>
                <w:sz w:val="20"/>
                <w:szCs w:val="20"/>
              </w:rPr>
              <w:t>16,32</w:t>
            </w:r>
          </w:p>
        </w:tc>
        <w:tc>
          <w:tcPr>
            <w:tcW w:w="1112" w:type="dxa"/>
            <w:shd w:val="clear" w:color="auto" w:fill="auto"/>
            <w:noWrap/>
            <w:vAlign w:val="center"/>
          </w:tcPr>
          <w:p w14:paraId="550ECB00" w14:textId="77777777" w:rsidR="000D1A29" w:rsidRPr="004D2C93" w:rsidRDefault="000D1A29" w:rsidP="00F44BFC">
            <w:pPr>
              <w:jc w:val="right"/>
              <w:rPr>
                <w:rFonts w:ascii="Arial Narrow" w:hAnsi="Arial Narrow" w:cs="Calibri"/>
                <w:sz w:val="20"/>
                <w:szCs w:val="20"/>
              </w:rPr>
            </w:pPr>
            <w:r w:rsidRPr="004D2C93">
              <w:rPr>
                <w:rFonts w:ascii="Arial Narrow" w:hAnsi="Arial Narrow" w:cs="Calibri"/>
                <w:sz w:val="20"/>
                <w:szCs w:val="20"/>
              </w:rPr>
              <w:t>39,83</w:t>
            </w:r>
          </w:p>
        </w:tc>
        <w:tc>
          <w:tcPr>
            <w:tcW w:w="1114" w:type="dxa"/>
            <w:shd w:val="clear" w:color="auto" w:fill="auto"/>
            <w:noWrap/>
            <w:vAlign w:val="center"/>
          </w:tcPr>
          <w:p w14:paraId="338E9FE2" w14:textId="77777777" w:rsidR="000D1A29" w:rsidRPr="004D2C93" w:rsidRDefault="000D1A29" w:rsidP="00F44BFC">
            <w:pPr>
              <w:jc w:val="right"/>
              <w:rPr>
                <w:rFonts w:ascii="Arial Narrow" w:hAnsi="Arial Narrow" w:cs="Calibri"/>
                <w:sz w:val="20"/>
                <w:szCs w:val="20"/>
              </w:rPr>
            </w:pPr>
            <w:r w:rsidRPr="004D2C93">
              <w:rPr>
                <w:rFonts w:ascii="Arial Narrow" w:hAnsi="Arial Narrow" w:cs="Calibri"/>
                <w:sz w:val="20"/>
                <w:szCs w:val="20"/>
              </w:rPr>
              <w:t>26,41</w:t>
            </w:r>
          </w:p>
        </w:tc>
      </w:tr>
      <w:tr w:rsidR="000D1A29" w:rsidRPr="004D2C93" w14:paraId="3502BC75" w14:textId="77777777" w:rsidTr="00F44BFC">
        <w:trPr>
          <w:trHeight w:val="312"/>
        </w:trPr>
        <w:tc>
          <w:tcPr>
            <w:tcW w:w="486" w:type="dxa"/>
            <w:shd w:val="clear" w:color="auto" w:fill="auto"/>
            <w:noWrap/>
            <w:vAlign w:val="center"/>
            <w:hideMark/>
          </w:tcPr>
          <w:p w14:paraId="50E52A67" w14:textId="77777777" w:rsidR="000D1A29" w:rsidRPr="004D2C93" w:rsidRDefault="000D1A29" w:rsidP="00F44BFC">
            <w:pPr>
              <w:rPr>
                <w:rFonts w:ascii="Arial Narrow" w:hAnsi="Arial Narrow" w:cs="Arial"/>
                <w:sz w:val="20"/>
                <w:szCs w:val="20"/>
              </w:rPr>
            </w:pPr>
            <w:r w:rsidRPr="004D2C93">
              <w:rPr>
                <w:rFonts w:ascii="Arial Narrow" w:hAnsi="Arial Narrow" w:cs="Arial"/>
                <w:sz w:val="20"/>
                <w:szCs w:val="20"/>
              </w:rPr>
              <w:t>29</w:t>
            </w:r>
          </w:p>
        </w:tc>
        <w:tc>
          <w:tcPr>
            <w:tcW w:w="2787" w:type="dxa"/>
            <w:shd w:val="clear" w:color="auto" w:fill="auto"/>
            <w:noWrap/>
            <w:vAlign w:val="center"/>
          </w:tcPr>
          <w:p w14:paraId="0298A2DD" w14:textId="77777777" w:rsidR="000D1A29" w:rsidRPr="004D2C93" w:rsidRDefault="000D1A29" w:rsidP="00F44BFC">
            <w:pPr>
              <w:rPr>
                <w:rFonts w:ascii="Arial Narrow" w:hAnsi="Arial Narrow" w:cs="Calibri"/>
                <w:sz w:val="20"/>
                <w:szCs w:val="20"/>
              </w:rPr>
            </w:pPr>
            <w:r w:rsidRPr="004D2C93">
              <w:rPr>
                <w:rFonts w:ascii="Arial Narrow" w:hAnsi="Arial Narrow" w:cs="Calibri"/>
                <w:sz w:val="20"/>
                <w:szCs w:val="20"/>
              </w:rPr>
              <w:t>Сибирска есетра</w:t>
            </w:r>
          </w:p>
        </w:tc>
        <w:tc>
          <w:tcPr>
            <w:tcW w:w="1084" w:type="dxa"/>
            <w:shd w:val="clear" w:color="auto" w:fill="auto"/>
            <w:noWrap/>
            <w:vAlign w:val="center"/>
          </w:tcPr>
          <w:p w14:paraId="34ACB760" w14:textId="77777777" w:rsidR="000D1A29" w:rsidRPr="004D2C93" w:rsidRDefault="000D1A29" w:rsidP="00F44BFC">
            <w:pPr>
              <w:jc w:val="right"/>
              <w:rPr>
                <w:rFonts w:ascii="Arial Narrow" w:hAnsi="Arial Narrow" w:cs="Calibri"/>
                <w:sz w:val="20"/>
                <w:szCs w:val="20"/>
              </w:rPr>
            </w:pPr>
            <w:r w:rsidRPr="004D2C93">
              <w:rPr>
                <w:rFonts w:ascii="Arial Narrow" w:hAnsi="Arial Narrow" w:cs="Calibri"/>
                <w:sz w:val="20"/>
                <w:szCs w:val="20"/>
              </w:rPr>
              <w:t>0,00</w:t>
            </w:r>
          </w:p>
        </w:tc>
        <w:tc>
          <w:tcPr>
            <w:tcW w:w="1093" w:type="dxa"/>
            <w:shd w:val="clear" w:color="auto" w:fill="auto"/>
            <w:noWrap/>
            <w:vAlign w:val="bottom"/>
          </w:tcPr>
          <w:p w14:paraId="6103B578" w14:textId="77777777" w:rsidR="000D1A29" w:rsidRPr="004D2C93" w:rsidRDefault="000D1A29" w:rsidP="00F44BFC">
            <w:pPr>
              <w:jc w:val="right"/>
              <w:rPr>
                <w:rFonts w:ascii="Arial Narrow" w:hAnsi="Arial Narrow" w:cs="Calibri"/>
                <w:sz w:val="20"/>
                <w:szCs w:val="20"/>
              </w:rPr>
            </w:pPr>
            <w:r w:rsidRPr="004D2C93">
              <w:rPr>
                <w:rFonts w:ascii="Arial Narrow" w:hAnsi="Arial Narrow" w:cs="Calibri"/>
                <w:sz w:val="20"/>
                <w:szCs w:val="20"/>
              </w:rPr>
              <w:t>0</w:t>
            </w:r>
          </w:p>
        </w:tc>
        <w:tc>
          <w:tcPr>
            <w:tcW w:w="1112" w:type="dxa"/>
            <w:shd w:val="clear" w:color="auto" w:fill="auto"/>
            <w:noWrap/>
            <w:vAlign w:val="center"/>
          </w:tcPr>
          <w:p w14:paraId="66559408" w14:textId="77777777" w:rsidR="000D1A29" w:rsidRPr="004D2C93" w:rsidRDefault="000D1A29" w:rsidP="00F44BFC">
            <w:pPr>
              <w:jc w:val="right"/>
              <w:rPr>
                <w:rFonts w:ascii="Arial Narrow" w:hAnsi="Arial Narrow" w:cs="Calibri"/>
                <w:sz w:val="20"/>
                <w:szCs w:val="20"/>
              </w:rPr>
            </w:pPr>
            <w:r w:rsidRPr="004D2C93">
              <w:rPr>
                <w:rFonts w:ascii="Arial Narrow" w:hAnsi="Arial Narrow" w:cs="Calibri"/>
                <w:sz w:val="20"/>
                <w:szCs w:val="20"/>
              </w:rPr>
              <w:t>54,75</w:t>
            </w:r>
          </w:p>
        </w:tc>
        <w:tc>
          <w:tcPr>
            <w:tcW w:w="1114" w:type="dxa"/>
            <w:shd w:val="clear" w:color="auto" w:fill="auto"/>
            <w:noWrap/>
            <w:vAlign w:val="center"/>
          </w:tcPr>
          <w:p w14:paraId="7C1CF622" w14:textId="77777777" w:rsidR="000D1A29" w:rsidRPr="004D2C93" w:rsidRDefault="000D1A29" w:rsidP="00F44BFC">
            <w:pPr>
              <w:jc w:val="right"/>
              <w:rPr>
                <w:rFonts w:ascii="Arial Narrow" w:hAnsi="Arial Narrow" w:cs="Calibri"/>
                <w:sz w:val="20"/>
                <w:szCs w:val="20"/>
              </w:rPr>
            </w:pPr>
            <w:r w:rsidRPr="004D2C93">
              <w:rPr>
                <w:rFonts w:ascii="Arial Narrow" w:hAnsi="Arial Narrow" w:cs="Calibri"/>
                <w:sz w:val="20"/>
                <w:szCs w:val="20"/>
              </w:rPr>
              <w:t>43,62</w:t>
            </w:r>
          </w:p>
        </w:tc>
        <w:tc>
          <w:tcPr>
            <w:tcW w:w="1112" w:type="dxa"/>
            <w:shd w:val="clear" w:color="auto" w:fill="auto"/>
            <w:noWrap/>
            <w:vAlign w:val="center"/>
          </w:tcPr>
          <w:p w14:paraId="7E1B6086" w14:textId="77777777" w:rsidR="000D1A29" w:rsidRPr="004D2C93" w:rsidRDefault="000D1A29" w:rsidP="00F44BFC">
            <w:pPr>
              <w:jc w:val="right"/>
              <w:rPr>
                <w:rFonts w:ascii="Arial Narrow" w:hAnsi="Arial Narrow" w:cs="Calibri"/>
                <w:sz w:val="20"/>
                <w:szCs w:val="20"/>
              </w:rPr>
            </w:pPr>
            <w:r w:rsidRPr="004D2C93">
              <w:rPr>
                <w:rFonts w:ascii="Arial Narrow" w:hAnsi="Arial Narrow" w:cs="Calibri"/>
                <w:sz w:val="20"/>
                <w:szCs w:val="20"/>
              </w:rPr>
              <w:t>54,75</w:t>
            </w:r>
          </w:p>
        </w:tc>
        <w:tc>
          <w:tcPr>
            <w:tcW w:w="1114" w:type="dxa"/>
            <w:shd w:val="clear" w:color="auto" w:fill="auto"/>
            <w:noWrap/>
            <w:vAlign w:val="center"/>
          </w:tcPr>
          <w:p w14:paraId="7B52DD5A" w14:textId="77777777" w:rsidR="000D1A29" w:rsidRPr="004D2C93" w:rsidRDefault="000D1A29" w:rsidP="00F44BFC">
            <w:pPr>
              <w:jc w:val="right"/>
              <w:rPr>
                <w:rFonts w:ascii="Arial Narrow" w:hAnsi="Arial Narrow" w:cs="Calibri"/>
                <w:sz w:val="20"/>
                <w:szCs w:val="20"/>
              </w:rPr>
            </w:pPr>
            <w:r w:rsidRPr="004D2C93">
              <w:rPr>
                <w:rFonts w:ascii="Arial Narrow" w:hAnsi="Arial Narrow" w:cs="Calibri"/>
                <w:sz w:val="20"/>
                <w:szCs w:val="20"/>
              </w:rPr>
              <w:t>43,62</w:t>
            </w:r>
          </w:p>
        </w:tc>
      </w:tr>
      <w:tr w:rsidR="000D1A29" w:rsidRPr="004D2C93" w14:paraId="4B89C7E0" w14:textId="77777777" w:rsidTr="00F44BFC">
        <w:trPr>
          <w:trHeight w:val="312"/>
        </w:trPr>
        <w:tc>
          <w:tcPr>
            <w:tcW w:w="486" w:type="dxa"/>
            <w:shd w:val="clear" w:color="auto" w:fill="auto"/>
            <w:noWrap/>
            <w:vAlign w:val="center"/>
            <w:hideMark/>
          </w:tcPr>
          <w:p w14:paraId="4504AA99" w14:textId="77777777" w:rsidR="000D1A29" w:rsidRPr="004D2C93" w:rsidRDefault="000D1A29" w:rsidP="00F44BFC">
            <w:pPr>
              <w:rPr>
                <w:rFonts w:ascii="Arial Narrow" w:hAnsi="Arial Narrow" w:cs="Arial"/>
                <w:sz w:val="20"/>
                <w:szCs w:val="20"/>
              </w:rPr>
            </w:pPr>
            <w:r w:rsidRPr="004D2C93">
              <w:rPr>
                <w:rFonts w:ascii="Arial Narrow" w:hAnsi="Arial Narrow" w:cs="Arial"/>
                <w:sz w:val="20"/>
                <w:szCs w:val="20"/>
              </w:rPr>
              <w:t>30</w:t>
            </w:r>
          </w:p>
        </w:tc>
        <w:tc>
          <w:tcPr>
            <w:tcW w:w="2787" w:type="dxa"/>
            <w:shd w:val="clear" w:color="auto" w:fill="auto"/>
            <w:noWrap/>
            <w:vAlign w:val="center"/>
          </w:tcPr>
          <w:p w14:paraId="5F117E1B" w14:textId="77777777" w:rsidR="000D1A29" w:rsidRPr="004D2C93" w:rsidRDefault="000D1A29" w:rsidP="00F44BFC">
            <w:pPr>
              <w:rPr>
                <w:rFonts w:ascii="Arial Narrow" w:hAnsi="Arial Narrow" w:cs="Calibri"/>
                <w:sz w:val="20"/>
                <w:szCs w:val="20"/>
              </w:rPr>
            </w:pPr>
            <w:r w:rsidRPr="004D2C93">
              <w:rPr>
                <w:rFonts w:ascii="Arial Narrow" w:hAnsi="Arial Narrow" w:cs="Calibri"/>
                <w:sz w:val="20"/>
                <w:szCs w:val="20"/>
              </w:rPr>
              <w:t>Езерен рак</w:t>
            </w:r>
          </w:p>
        </w:tc>
        <w:tc>
          <w:tcPr>
            <w:tcW w:w="1084" w:type="dxa"/>
            <w:shd w:val="clear" w:color="auto" w:fill="auto"/>
            <w:noWrap/>
            <w:vAlign w:val="center"/>
          </w:tcPr>
          <w:p w14:paraId="3D1FB96F" w14:textId="77777777" w:rsidR="000D1A29" w:rsidRPr="004D2C93" w:rsidRDefault="000D1A29" w:rsidP="00F44BFC">
            <w:pPr>
              <w:jc w:val="right"/>
              <w:rPr>
                <w:rFonts w:ascii="Arial Narrow" w:hAnsi="Arial Narrow" w:cs="Calibri"/>
                <w:sz w:val="20"/>
                <w:szCs w:val="20"/>
              </w:rPr>
            </w:pPr>
            <w:r w:rsidRPr="004D2C93">
              <w:rPr>
                <w:rFonts w:ascii="Arial Narrow" w:hAnsi="Arial Narrow" w:cs="Calibri"/>
                <w:sz w:val="20"/>
                <w:szCs w:val="20"/>
              </w:rPr>
              <w:t>0,01</w:t>
            </w:r>
          </w:p>
        </w:tc>
        <w:tc>
          <w:tcPr>
            <w:tcW w:w="1093" w:type="dxa"/>
            <w:shd w:val="clear" w:color="auto" w:fill="auto"/>
            <w:noWrap/>
            <w:vAlign w:val="center"/>
          </w:tcPr>
          <w:p w14:paraId="0519B92F" w14:textId="77777777" w:rsidR="000D1A29" w:rsidRPr="004D2C93" w:rsidRDefault="000D1A29" w:rsidP="00F44BFC">
            <w:pPr>
              <w:jc w:val="right"/>
              <w:rPr>
                <w:rFonts w:ascii="Arial Narrow" w:hAnsi="Arial Narrow" w:cs="Calibri"/>
                <w:sz w:val="20"/>
                <w:szCs w:val="20"/>
              </w:rPr>
            </w:pPr>
            <w:r w:rsidRPr="004D2C93">
              <w:rPr>
                <w:rFonts w:ascii="Arial Narrow" w:hAnsi="Arial Narrow" w:cs="Calibri"/>
                <w:sz w:val="20"/>
                <w:szCs w:val="20"/>
              </w:rPr>
              <w:t>0,10</w:t>
            </w:r>
          </w:p>
        </w:tc>
        <w:tc>
          <w:tcPr>
            <w:tcW w:w="1112" w:type="dxa"/>
            <w:shd w:val="clear" w:color="auto" w:fill="auto"/>
            <w:noWrap/>
            <w:vAlign w:val="center"/>
          </w:tcPr>
          <w:p w14:paraId="46E1FC17" w14:textId="77777777" w:rsidR="000D1A29" w:rsidRPr="004D2C93" w:rsidRDefault="000D1A29" w:rsidP="00F44BFC">
            <w:pPr>
              <w:jc w:val="right"/>
              <w:rPr>
                <w:rFonts w:ascii="Arial Narrow" w:hAnsi="Arial Narrow" w:cs="Calibri"/>
                <w:sz w:val="20"/>
                <w:szCs w:val="20"/>
              </w:rPr>
            </w:pPr>
            <w:r w:rsidRPr="004D2C93">
              <w:rPr>
                <w:rFonts w:ascii="Arial Narrow" w:hAnsi="Arial Narrow" w:cs="Calibri"/>
                <w:sz w:val="20"/>
                <w:szCs w:val="20"/>
              </w:rPr>
              <w:t>1,40</w:t>
            </w:r>
          </w:p>
        </w:tc>
        <w:tc>
          <w:tcPr>
            <w:tcW w:w="1114" w:type="dxa"/>
            <w:shd w:val="clear" w:color="auto" w:fill="auto"/>
            <w:noWrap/>
            <w:vAlign w:val="center"/>
          </w:tcPr>
          <w:p w14:paraId="6690EB26" w14:textId="77777777" w:rsidR="000D1A29" w:rsidRPr="004D2C93" w:rsidRDefault="000D1A29" w:rsidP="00F44BFC">
            <w:pPr>
              <w:jc w:val="right"/>
              <w:rPr>
                <w:rFonts w:ascii="Arial Narrow" w:hAnsi="Arial Narrow" w:cs="Calibri"/>
                <w:sz w:val="20"/>
                <w:szCs w:val="20"/>
              </w:rPr>
            </w:pPr>
            <w:r w:rsidRPr="004D2C93">
              <w:rPr>
                <w:rFonts w:ascii="Arial Narrow" w:hAnsi="Arial Narrow" w:cs="Calibri"/>
                <w:sz w:val="20"/>
                <w:szCs w:val="20"/>
              </w:rPr>
              <w:t>0,63</w:t>
            </w:r>
          </w:p>
        </w:tc>
        <w:tc>
          <w:tcPr>
            <w:tcW w:w="1112" w:type="dxa"/>
            <w:shd w:val="clear" w:color="auto" w:fill="auto"/>
            <w:noWrap/>
            <w:vAlign w:val="center"/>
          </w:tcPr>
          <w:p w14:paraId="609A071D" w14:textId="77777777" w:rsidR="000D1A29" w:rsidRPr="004D2C93" w:rsidRDefault="000D1A29" w:rsidP="00F44BFC">
            <w:pPr>
              <w:jc w:val="right"/>
              <w:rPr>
                <w:rFonts w:ascii="Arial Narrow" w:hAnsi="Arial Narrow" w:cs="Calibri"/>
                <w:sz w:val="20"/>
                <w:szCs w:val="20"/>
              </w:rPr>
            </w:pPr>
            <w:r w:rsidRPr="004D2C93">
              <w:rPr>
                <w:rFonts w:ascii="Arial Narrow" w:hAnsi="Arial Narrow" w:cs="Calibri"/>
                <w:sz w:val="20"/>
                <w:szCs w:val="20"/>
              </w:rPr>
              <w:t>1,41</w:t>
            </w:r>
          </w:p>
        </w:tc>
        <w:tc>
          <w:tcPr>
            <w:tcW w:w="1114" w:type="dxa"/>
            <w:shd w:val="clear" w:color="auto" w:fill="auto"/>
            <w:noWrap/>
            <w:vAlign w:val="center"/>
          </w:tcPr>
          <w:p w14:paraId="100FDC79" w14:textId="77777777" w:rsidR="000D1A29" w:rsidRPr="004D2C93" w:rsidRDefault="000D1A29" w:rsidP="00F44BFC">
            <w:pPr>
              <w:jc w:val="right"/>
              <w:rPr>
                <w:rFonts w:ascii="Arial Narrow" w:hAnsi="Arial Narrow" w:cs="Calibri"/>
                <w:sz w:val="20"/>
                <w:szCs w:val="20"/>
              </w:rPr>
            </w:pPr>
            <w:r w:rsidRPr="004D2C93">
              <w:rPr>
                <w:rFonts w:ascii="Arial Narrow" w:hAnsi="Arial Narrow" w:cs="Calibri"/>
                <w:sz w:val="20"/>
                <w:szCs w:val="20"/>
              </w:rPr>
              <w:t>0,64</w:t>
            </w:r>
          </w:p>
        </w:tc>
      </w:tr>
      <w:tr w:rsidR="000D1A29" w:rsidRPr="004D2C93" w14:paraId="7C2C20E9" w14:textId="77777777" w:rsidTr="00F44BFC">
        <w:trPr>
          <w:trHeight w:val="312"/>
        </w:trPr>
        <w:tc>
          <w:tcPr>
            <w:tcW w:w="486" w:type="dxa"/>
            <w:shd w:val="clear" w:color="auto" w:fill="auto"/>
            <w:noWrap/>
            <w:vAlign w:val="center"/>
            <w:hideMark/>
          </w:tcPr>
          <w:p w14:paraId="7FC5C5DF" w14:textId="77777777" w:rsidR="000D1A29" w:rsidRPr="004D2C93" w:rsidRDefault="000D1A29" w:rsidP="00F44BFC">
            <w:pPr>
              <w:rPr>
                <w:rFonts w:ascii="Arial Narrow" w:hAnsi="Arial Narrow" w:cs="Arial"/>
                <w:sz w:val="20"/>
                <w:szCs w:val="20"/>
              </w:rPr>
            </w:pPr>
            <w:r w:rsidRPr="004D2C93">
              <w:rPr>
                <w:rFonts w:ascii="Arial Narrow" w:hAnsi="Arial Narrow" w:cs="Arial"/>
                <w:sz w:val="20"/>
                <w:szCs w:val="20"/>
              </w:rPr>
              <w:t>31</w:t>
            </w:r>
          </w:p>
        </w:tc>
        <w:tc>
          <w:tcPr>
            <w:tcW w:w="2787" w:type="dxa"/>
            <w:shd w:val="clear" w:color="auto" w:fill="auto"/>
            <w:noWrap/>
            <w:vAlign w:val="center"/>
          </w:tcPr>
          <w:p w14:paraId="6144F29F" w14:textId="77777777" w:rsidR="000D1A29" w:rsidRPr="004D2C93" w:rsidRDefault="000D1A29" w:rsidP="00F44BFC">
            <w:pPr>
              <w:rPr>
                <w:rFonts w:ascii="Arial Narrow" w:hAnsi="Arial Narrow" w:cs="Calibri"/>
                <w:sz w:val="20"/>
                <w:szCs w:val="20"/>
              </w:rPr>
            </w:pPr>
            <w:r w:rsidRPr="004D2C93">
              <w:rPr>
                <w:rFonts w:ascii="Arial Narrow" w:hAnsi="Arial Narrow" w:cs="Calibri"/>
                <w:sz w:val="20"/>
                <w:szCs w:val="20"/>
              </w:rPr>
              <w:t xml:space="preserve">Речен рак </w:t>
            </w:r>
          </w:p>
        </w:tc>
        <w:tc>
          <w:tcPr>
            <w:tcW w:w="1084" w:type="dxa"/>
            <w:shd w:val="clear" w:color="auto" w:fill="auto"/>
            <w:noWrap/>
            <w:vAlign w:val="center"/>
          </w:tcPr>
          <w:p w14:paraId="2D1CAC48" w14:textId="77777777" w:rsidR="000D1A29" w:rsidRPr="004D2C93" w:rsidRDefault="000D1A29" w:rsidP="00F44BFC">
            <w:pPr>
              <w:jc w:val="right"/>
              <w:rPr>
                <w:rFonts w:ascii="Arial Narrow" w:hAnsi="Arial Narrow" w:cs="Calibri"/>
                <w:sz w:val="20"/>
                <w:szCs w:val="20"/>
              </w:rPr>
            </w:pPr>
            <w:r w:rsidRPr="004D2C93">
              <w:rPr>
                <w:rFonts w:ascii="Arial Narrow" w:hAnsi="Arial Narrow" w:cs="Calibri"/>
                <w:sz w:val="20"/>
                <w:szCs w:val="20"/>
              </w:rPr>
              <w:t>0,00</w:t>
            </w:r>
          </w:p>
        </w:tc>
        <w:tc>
          <w:tcPr>
            <w:tcW w:w="1093" w:type="dxa"/>
            <w:shd w:val="clear" w:color="auto" w:fill="auto"/>
            <w:noWrap/>
            <w:vAlign w:val="center"/>
          </w:tcPr>
          <w:p w14:paraId="400A1CEC" w14:textId="77777777" w:rsidR="000D1A29" w:rsidRPr="004D2C93" w:rsidRDefault="000D1A29" w:rsidP="00F44BFC">
            <w:pPr>
              <w:jc w:val="right"/>
              <w:rPr>
                <w:rFonts w:ascii="Arial Narrow" w:hAnsi="Arial Narrow" w:cs="Calibri"/>
                <w:sz w:val="20"/>
                <w:szCs w:val="20"/>
              </w:rPr>
            </w:pPr>
            <w:r w:rsidRPr="004D2C93">
              <w:rPr>
                <w:rFonts w:ascii="Arial Narrow" w:hAnsi="Arial Narrow" w:cs="Calibri"/>
                <w:sz w:val="20"/>
                <w:szCs w:val="20"/>
              </w:rPr>
              <w:t>0,00</w:t>
            </w:r>
          </w:p>
        </w:tc>
        <w:tc>
          <w:tcPr>
            <w:tcW w:w="1112" w:type="dxa"/>
            <w:shd w:val="clear" w:color="auto" w:fill="auto"/>
            <w:noWrap/>
            <w:vAlign w:val="center"/>
          </w:tcPr>
          <w:p w14:paraId="5F04709C" w14:textId="77777777" w:rsidR="000D1A29" w:rsidRPr="004D2C93" w:rsidRDefault="000D1A29" w:rsidP="00F44BFC">
            <w:pPr>
              <w:jc w:val="right"/>
              <w:rPr>
                <w:rFonts w:ascii="Arial Narrow" w:hAnsi="Arial Narrow" w:cs="Calibri"/>
                <w:sz w:val="20"/>
                <w:szCs w:val="20"/>
              </w:rPr>
            </w:pPr>
            <w:r w:rsidRPr="004D2C93">
              <w:rPr>
                <w:rFonts w:ascii="Arial Narrow" w:hAnsi="Arial Narrow" w:cs="Calibri"/>
                <w:sz w:val="20"/>
                <w:szCs w:val="20"/>
              </w:rPr>
              <w:t>0,20</w:t>
            </w:r>
          </w:p>
        </w:tc>
        <w:tc>
          <w:tcPr>
            <w:tcW w:w="1114" w:type="dxa"/>
            <w:shd w:val="clear" w:color="auto" w:fill="auto"/>
            <w:noWrap/>
            <w:vAlign w:val="center"/>
          </w:tcPr>
          <w:p w14:paraId="4860F992" w14:textId="77777777" w:rsidR="000D1A29" w:rsidRPr="004D2C93" w:rsidRDefault="000D1A29" w:rsidP="00F44BFC">
            <w:pPr>
              <w:jc w:val="right"/>
              <w:rPr>
                <w:rFonts w:ascii="Arial Narrow" w:hAnsi="Arial Narrow" w:cs="Calibri"/>
                <w:sz w:val="20"/>
                <w:szCs w:val="20"/>
              </w:rPr>
            </w:pPr>
            <w:r w:rsidRPr="004D2C93">
              <w:rPr>
                <w:rFonts w:ascii="Arial Narrow" w:hAnsi="Arial Narrow" w:cs="Calibri"/>
                <w:sz w:val="20"/>
                <w:szCs w:val="20"/>
              </w:rPr>
              <w:t>0,00</w:t>
            </w:r>
          </w:p>
        </w:tc>
        <w:tc>
          <w:tcPr>
            <w:tcW w:w="1112" w:type="dxa"/>
            <w:shd w:val="clear" w:color="auto" w:fill="auto"/>
            <w:noWrap/>
            <w:vAlign w:val="center"/>
          </w:tcPr>
          <w:p w14:paraId="4B533B44" w14:textId="77777777" w:rsidR="000D1A29" w:rsidRPr="004D2C93" w:rsidRDefault="000D1A29" w:rsidP="00F44BFC">
            <w:pPr>
              <w:jc w:val="right"/>
              <w:rPr>
                <w:rFonts w:ascii="Arial Narrow" w:hAnsi="Arial Narrow" w:cs="Calibri"/>
                <w:sz w:val="20"/>
                <w:szCs w:val="20"/>
              </w:rPr>
            </w:pPr>
            <w:r w:rsidRPr="004D2C93">
              <w:rPr>
                <w:rFonts w:ascii="Arial Narrow" w:hAnsi="Arial Narrow" w:cs="Calibri"/>
                <w:sz w:val="20"/>
                <w:szCs w:val="20"/>
              </w:rPr>
              <w:t>0,20</w:t>
            </w:r>
          </w:p>
        </w:tc>
        <w:tc>
          <w:tcPr>
            <w:tcW w:w="1114" w:type="dxa"/>
            <w:shd w:val="clear" w:color="auto" w:fill="auto"/>
            <w:noWrap/>
            <w:vAlign w:val="center"/>
          </w:tcPr>
          <w:p w14:paraId="531588C0" w14:textId="77777777" w:rsidR="000D1A29" w:rsidRPr="004D2C93" w:rsidRDefault="000D1A29" w:rsidP="00F44BFC">
            <w:pPr>
              <w:jc w:val="right"/>
              <w:rPr>
                <w:rFonts w:ascii="Arial Narrow" w:hAnsi="Arial Narrow" w:cs="Calibri"/>
                <w:sz w:val="20"/>
                <w:szCs w:val="20"/>
              </w:rPr>
            </w:pPr>
            <w:r w:rsidRPr="004D2C93">
              <w:rPr>
                <w:rFonts w:ascii="Arial Narrow" w:hAnsi="Arial Narrow" w:cs="Calibri"/>
                <w:sz w:val="20"/>
                <w:szCs w:val="20"/>
              </w:rPr>
              <w:t>0,00</w:t>
            </w:r>
          </w:p>
        </w:tc>
      </w:tr>
      <w:tr w:rsidR="000D1A29" w:rsidRPr="004D2C93" w14:paraId="7010AA18" w14:textId="77777777" w:rsidTr="00F44BFC">
        <w:trPr>
          <w:trHeight w:val="312"/>
        </w:trPr>
        <w:tc>
          <w:tcPr>
            <w:tcW w:w="486" w:type="dxa"/>
            <w:shd w:val="clear" w:color="auto" w:fill="auto"/>
            <w:noWrap/>
            <w:vAlign w:val="center"/>
            <w:hideMark/>
          </w:tcPr>
          <w:p w14:paraId="43F791D1" w14:textId="77777777" w:rsidR="000D1A29" w:rsidRPr="004D2C93" w:rsidRDefault="000D1A29" w:rsidP="00F44BFC">
            <w:pPr>
              <w:rPr>
                <w:rFonts w:ascii="Arial Narrow" w:hAnsi="Arial Narrow" w:cs="Arial"/>
                <w:sz w:val="20"/>
                <w:szCs w:val="20"/>
              </w:rPr>
            </w:pPr>
            <w:r w:rsidRPr="004D2C93">
              <w:rPr>
                <w:rFonts w:ascii="Arial Narrow" w:hAnsi="Arial Narrow" w:cs="Arial"/>
                <w:sz w:val="20"/>
                <w:szCs w:val="20"/>
              </w:rPr>
              <w:t>32</w:t>
            </w:r>
          </w:p>
        </w:tc>
        <w:tc>
          <w:tcPr>
            <w:tcW w:w="2787" w:type="dxa"/>
            <w:shd w:val="clear" w:color="auto" w:fill="auto"/>
            <w:noWrap/>
            <w:vAlign w:val="center"/>
          </w:tcPr>
          <w:p w14:paraId="0BA1CC7B" w14:textId="77777777" w:rsidR="000D1A29" w:rsidRPr="004D2C93" w:rsidRDefault="000D1A29" w:rsidP="00F44BFC">
            <w:pPr>
              <w:rPr>
                <w:rFonts w:ascii="Arial Narrow" w:hAnsi="Arial Narrow" w:cs="Calibri"/>
                <w:sz w:val="20"/>
                <w:szCs w:val="20"/>
              </w:rPr>
            </w:pPr>
            <w:r w:rsidRPr="004D2C93">
              <w:rPr>
                <w:rFonts w:ascii="Arial Narrow" w:hAnsi="Arial Narrow" w:cs="Calibri"/>
                <w:sz w:val="20"/>
                <w:szCs w:val="20"/>
              </w:rPr>
              <w:t>Бестер</w:t>
            </w:r>
          </w:p>
        </w:tc>
        <w:tc>
          <w:tcPr>
            <w:tcW w:w="1084" w:type="dxa"/>
            <w:shd w:val="clear" w:color="auto" w:fill="auto"/>
            <w:noWrap/>
            <w:vAlign w:val="center"/>
          </w:tcPr>
          <w:p w14:paraId="592E3E15" w14:textId="77777777" w:rsidR="000D1A29" w:rsidRPr="004D2C93" w:rsidRDefault="000D1A29" w:rsidP="00F44BFC">
            <w:pPr>
              <w:jc w:val="right"/>
              <w:rPr>
                <w:rFonts w:ascii="Arial Narrow" w:hAnsi="Arial Narrow" w:cs="Calibri"/>
                <w:sz w:val="20"/>
                <w:szCs w:val="20"/>
              </w:rPr>
            </w:pPr>
            <w:r w:rsidRPr="004D2C93">
              <w:rPr>
                <w:rFonts w:ascii="Arial Narrow" w:hAnsi="Arial Narrow" w:cs="Calibri"/>
                <w:sz w:val="20"/>
                <w:szCs w:val="20"/>
              </w:rPr>
              <w:t>0,00</w:t>
            </w:r>
          </w:p>
        </w:tc>
        <w:tc>
          <w:tcPr>
            <w:tcW w:w="1093" w:type="dxa"/>
            <w:shd w:val="clear" w:color="auto" w:fill="auto"/>
            <w:noWrap/>
            <w:vAlign w:val="center"/>
          </w:tcPr>
          <w:p w14:paraId="5E109CB2" w14:textId="77777777" w:rsidR="000D1A29" w:rsidRPr="004D2C93" w:rsidRDefault="000D1A29" w:rsidP="00F44BFC">
            <w:pPr>
              <w:jc w:val="right"/>
              <w:rPr>
                <w:rFonts w:ascii="Arial Narrow" w:hAnsi="Arial Narrow" w:cs="Calibri"/>
                <w:sz w:val="20"/>
                <w:szCs w:val="20"/>
              </w:rPr>
            </w:pPr>
            <w:r w:rsidRPr="004D2C93">
              <w:rPr>
                <w:rFonts w:ascii="Arial Narrow" w:hAnsi="Arial Narrow" w:cs="Calibri"/>
                <w:sz w:val="20"/>
                <w:szCs w:val="20"/>
              </w:rPr>
              <w:t>0,00</w:t>
            </w:r>
          </w:p>
        </w:tc>
        <w:tc>
          <w:tcPr>
            <w:tcW w:w="1112" w:type="dxa"/>
            <w:shd w:val="clear" w:color="auto" w:fill="auto"/>
            <w:noWrap/>
            <w:vAlign w:val="center"/>
          </w:tcPr>
          <w:p w14:paraId="3E58362D" w14:textId="77777777" w:rsidR="000D1A29" w:rsidRPr="004D2C93" w:rsidRDefault="000D1A29" w:rsidP="00F44BFC">
            <w:pPr>
              <w:jc w:val="right"/>
              <w:rPr>
                <w:rFonts w:ascii="Arial Narrow" w:hAnsi="Arial Narrow" w:cs="Calibri"/>
                <w:sz w:val="20"/>
                <w:szCs w:val="20"/>
              </w:rPr>
            </w:pPr>
            <w:r w:rsidRPr="004D2C93">
              <w:rPr>
                <w:rFonts w:ascii="Arial Narrow" w:hAnsi="Arial Narrow" w:cs="Calibri"/>
                <w:sz w:val="20"/>
                <w:szCs w:val="20"/>
              </w:rPr>
              <w:t>16,72</w:t>
            </w:r>
          </w:p>
        </w:tc>
        <w:tc>
          <w:tcPr>
            <w:tcW w:w="1114" w:type="dxa"/>
            <w:shd w:val="clear" w:color="auto" w:fill="auto"/>
            <w:noWrap/>
            <w:vAlign w:val="center"/>
          </w:tcPr>
          <w:p w14:paraId="59232A32" w14:textId="77777777" w:rsidR="000D1A29" w:rsidRPr="004D2C93" w:rsidRDefault="000D1A29" w:rsidP="00F44BFC">
            <w:pPr>
              <w:jc w:val="right"/>
              <w:rPr>
                <w:rFonts w:ascii="Arial Narrow" w:hAnsi="Arial Narrow" w:cs="Calibri"/>
                <w:sz w:val="20"/>
                <w:szCs w:val="20"/>
              </w:rPr>
            </w:pPr>
            <w:r w:rsidRPr="004D2C93">
              <w:rPr>
                <w:rFonts w:ascii="Arial Narrow" w:hAnsi="Arial Narrow" w:cs="Calibri"/>
                <w:sz w:val="20"/>
                <w:szCs w:val="20"/>
              </w:rPr>
              <w:t>10,74</w:t>
            </w:r>
          </w:p>
        </w:tc>
        <w:tc>
          <w:tcPr>
            <w:tcW w:w="1112" w:type="dxa"/>
            <w:shd w:val="clear" w:color="auto" w:fill="auto"/>
            <w:noWrap/>
            <w:vAlign w:val="center"/>
          </w:tcPr>
          <w:p w14:paraId="3516B5CD" w14:textId="77777777" w:rsidR="000D1A29" w:rsidRPr="004D2C93" w:rsidRDefault="000D1A29" w:rsidP="00F44BFC">
            <w:pPr>
              <w:jc w:val="right"/>
              <w:rPr>
                <w:rFonts w:ascii="Arial Narrow" w:hAnsi="Arial Narrow" w:cs="Calibri"/>
                <w:sz w:val="20"/>
                <w:szCs w:val="20"/>
              </w:rPr>
            </w:pPr>
            <w:r w:rsidRPr="004D2C93">
              <w:rPr>
                <w:rFonts w:ascii="Arial Narrow" w:hAnsi="Arial Narrow" w:cs="Calibri"/>
                <w:sz w:val="20"/>
                <w:szCs w:val="20"/>
              </w:rPr>
              <w:t>16,72</w:t>
            </w:r>
          </w:p>
        </w:tc>
        <w:tc>
          <w:tcPr>
            <w:tcW w:w="1114" w:type="dxa"/>
            <w:shd w:val="clear" w:color="auto" w:fill="auto"/>
            <w:noWrap/>
            <w:vAlign w:val="center"/>
          </w:tcPr>
          <w:p w14:paraId="43495A0E" w14:textId="77777777" w:rsidR="000D1A29" w:rsidRPr="004D2C93" w:rsidRDefault="000D1A29" w:rsidP="00F44BFC">
            <w:pPr>
              <w:jc w:val="right"/>
              <w:rPr>
                <w:rFonts w:ascii="Arial Narrow" w:hAnsi="Arial Narrow" w:cs="Calibri"/>
                <w:sz w:val="20"/>
                <w:szCs w:val="20"/>
              </w:rPr>
            </w:pPr>
            <w:r w:rsidRPr="004D2C93">
              <w:rPr>
                <w:rFonts w:ascii="Arial Narrow" w:hAnsi="Arial Narrow" w:cs="Calibri"/>
                <w:sz w:val="20"/>
                <w:szCs w:val="20"/>
              </w:rPr>
              <w:t>10,74</w:t>
            </w:r>
          </w:p>
        </w:tc>
      </w:tr>
      <w:tr w:rsidR="000D1A29" w:rsidRPr="004D2C93" w14:paraId="5109357E" w14:textId="77777777" w:rsidTr="00F44BFC">
        <w:trPr>
          <w:trHeight w:val="312"/>
        </w:trPr>
        <w:tc>
          <w:tcPr>
            <w:tcW w:w="486" w:type="dxa"/>
            <w:shd w:val="clear" w:color="auto" w:fill="auto"/>
            <w:noWrap/>
            <w:vAlign w:val="center"/>
            <w:hideMark/>
          </w:tcPr>
          <w:p w14:paraId="4A5A40D9" w14:textId="77777777" w:rsidR="000D1A29" w:rsidRPr="004D2C93" w:rsidRDefault="000D1A29" w:rsidP="00F44BFC">
            <w:pPr>
              <w:rPr>
                <w:rFonts w:ascii="Arial Narrow" w:hAnsi="Arial Narrow" w:cs="Arial"/>
                <w:sz w:val="20"/>
                <w:szCs w:val="20"/>
              </w:rPr>
            </w:pPr>
            <w:r w:rsidRPr="004D2C93">
              <w:rPr>
                <w:rFonts w:ascii="Arial Narrow" w:hAnsi="Arial Narrow" w:cs="Arial"/>
                <w:sz w:val="20"/>
                <w:szCs w:val="20"/>
              </w:rPr>
              <w:t>33</w:t>
            </w:r>
          </w:p>
        </w:tc>
        <w:tc>
          <w:tcPr>
            <w:tcW w:w="2787" w:type="dxa"/>
            <w:shd w:val="clear" w:color="auto" w:fill="auto"/>
            <w:noWrap/>
            <w:vAlign w:val="center"/>
          </w:tcPr>
          <w:p w14:paraId="03768E7E" w14:textId="77777777" w:rsidR="000D1A29" w:rsidRPr="004D2C93" w:rsidRDefault="000D1A29" w:rsidP="00F44BFC">
            <w:pPr>
              <w:rPr>
                <w:rFonts w:ascii="Arial Narrow" w:hAnsi="Arial Narrow" w:cs="Calibri"/>
                <w:sz w:val="20"/>
                <w:szCs w:val="20"/>
              </w:rPr>
            </w:pPr>
            <w:r w:rsidRPr="004D2C93">
              <w:rPr>
                <w:rFonts w:ascii="Arial Narrow" w:hAnsi="Arial Narrow" w:cs="Calibri"/>
                <w:sz w:val="20"/>
                <w:szCs w:val="20"/>
              </w:rPr>
              <w:t>Обикновени скариди</w:t>
            </w:r>
          </w:p>
        </w:tc>
        <w:tc>
          <w:tcPr>
            <w:tcW w:w="1084" w:type="dxa"/>
            <w:shd w:val="clear" w:color="auto" w:fill="auto"/>
            <w:noWrap/>
            <w:vAlign w:val="center"/>
          </w:tcPr>
          <w:p w14:paraId="76451A16" w14:textId="77777777" w:rsidR="000D1A29" w:rsidRPr="004D2C93" w:rsidRDefault="000D1A29" w:rsidP="00F44BFC">
            <w:pPr>
              <w:jc w:val="right"/>
              <w:rPr>
                <w:rFonts w:ascii="Arial Narrow" w:hAnsi="Arial Narrow" w:cs="Calibri"/>
                <w:sz w:val="20"/>
                <w:szCs w:val="20"/>
              </w:rPr>
            </w:pPr>
            <w:r w:rsidRPr="004D2C93">
              <w:rPr>
                <w:rFonts w:ascii="Arial Narrow" w:hAnsi="Arial Narrow" w:cs="Calibri"/>
                <w:sz w:val="20"/>
                <w:szCs w:val="20"/>
              </w:rPr>
              <w:t>0,00</w:t>
            </w:r>
          </w:p>
        </w:tc>
        <w:tc>
          <w:tcPr>
            <w:tcW w:w="1093" w:type="dxa"/>
            <w:shd w:val="clear" w:color="auto" w:fill="auto"/>
            <w:noWrap/>
            <w:vAlign w:val="center"/>
          </w:tcPr>
          <w:p w14:paraId="5406C589" w14:textId="77777777" w:rsidR="000D1A29" w:rsidRPr="004D2C93" w:rsidRDefault="000D1A29" w:rsidP="00F44BFC">
            <w:pPr>
              <w:jc w:val="right"/>
              <w:rPr>
                <w:rFonts w:ascii="Arial Narrow" w:hAnsi="Arial Narrow" w:cs="Calibri"/>
                <w:sz w:val="20"/>
                <w:szCs w:val="20"/>
              </w:rPr>
            </w:pPr>
            <w:r w:rsidRPr="004D2C93">
              <w:rPr>
                <w:rFonts w:ascii="Arial Narrow" w:hAnsi="Arial Narrow" w:cs="Calibri"/>
                <w:sz w:val="20"/>
                <w:szCs w:val="20"/>
              </w:rPr>
              <w:t>0,00</w:t>
            </w:r>
          </w:p>
        </w:tc>
        <w:tc>
          <w:tcPr>
            <w:tcW w:w="1112" w:type="dxa"/>
            <w:shd w:val="clear" w:color="auto" w:fill="auto"/>
            <w:noWrap/>
            <w:vAlign w:val="center"/>
          </w:tcPr>
          <w:p w14:paraId="22D5093D" w14:textId="77777777" w:rsidR="000D1A29" w:rsidRPr="004D2C93" w:rsidRDefault="000D1A29" w:rsidP="00F44BFC">
            <w:pPr>
              <w:jc w:val="right"/>
              <w:rPr>
                <w:rFonts w:ascii="Arial Narrow" w:hAnsi="Arial Narrow" w:cs="Calibri"/>
                <w:sz w:val="20"/>
                <w:szCs w:val="20"/>
              </w:rPr>
            </w:pPr>
            <w:r w:rsidRPr="004D2C93">
              <w:rPr>
                <w:rFonts w:ascii="Arial Narrow" w:hAnsi="Arial Narrow" w:cs="Calibri"/>
                <w:sz w:val="20"/>
                <w:szCs w:val="20"/>
              </w:rPr>
              <w:t>22,61</w:t>
            </w:r>
          </w:p>
        </w:tc>
        <w:tc>
          <w:tcPr>
            <w:tcW w:w="1114" w:type="dxa"/>
            <w:shd w:val="clear" w:color="auto" w:fill="auto"/>
            <w:noWrap/>
            <w:vAlign w:val="center"/>
          </w:tcPr>
          <w:p w14:paraId="61D03549" w14:textId="77777777" w:rsidR="000D1A29" w:rsidRPr="004D2C93" w:rsidRDefault="000D1A29" w:rsidP="00F44BFC">
            <w:pPr>
              <w:jc w:val="right"/>
              <w:rPr>
                <w:rFonts w:ascii="Arial Narrow" w:hAnsi="Arial Narrow" w:cs="Calibri"/>
                <w:sz w:val="20"/>
                <w:szCs w:val="20"/>
              </w:rPr>
            </w:pPr>
            <w:r w:rsidRPr="004D2C93">
              <w:rPr>
                <w:rFonts w:ascii="Arial Narrow" w:hAnsi="Arial Narrow" w:cs="Calibri"/>
                <w:sz w:val="20"/>
                <w:szCs w:val="20"/>
              </w:rPr>
              <w:t>22,63</w:t>
            </w:r>
          </w:p>
        </w:tc>
        <w:tc>
          <w:tcPr>
            <w:tcW w:w="1112" w:type="dxa"/>
            <w:shd w:val="clear" w:color="auto" w:fill="auto"/>
            <w:noWrap/>
            <w:vAlign w:val="center"/>
          </w:tcPr>
          <w:p w14:paraId="0B992058" w14:textId="77777777" w:rsidR="000D1A29" w:rsidRPr="004D2C93" w:rsidRDefault="000D1A29" w:rsidP="00F44BFC">
            <w:pPr>
              <w:jc w:val="right"/>
              <w:rPr>
                <w:rFonts w:ascii="Arial Narrow" w:hAnsi="Arial Narrow" w:cs="Calibri"/>
                <w:sz w:val="20"/>
                <w:szCs w:val="20"/>
              </w:rPr>
            </w:pPr>
            <w:r w:rsidRPr="004D2C93">
              <w:rPr>
                <w:rFonts w:ascii="Arial Narrow" w:hAnsi="Arial Narrow" w:cs="Calibri"/>
                <w:sz w:val="20"/>
                <w:szCs w:val="20"/>
              </w:rPr>
              <w:t>22,61</w:t>
            </w:r>
          </w:p>
        </w:tc>
        <w:tc>
          <w:tcPr>
            <w:tcW w:w="1114" w:type="dxa"/>
            <w:shd w:val="clear" w:color="auto" w:fill="auto"/>
            <w:noWrap/>
            <w:vAlign w:val="center"/>
          </w:tcPr>
          <w:p w14:paraId="0C7A75E3" w14:textId="77777777" w:rsidR="000D1A29" w:rsidRPr="004D2C93" w:rsidRDefault="000D1A29" w:rsidP="00F44BFC">
            <w:pPr>
              <w:jc w:val="right"/>
              <w:rPr>
                <w:rFonts w:ascii="Arial Narrow" w:hAnsi="Arial Narrow" w:cs="Calibri"/>
                <w:sz w:val="20"/>
                <w:szCs w:val="20"/>
              </w:rPr>
            </w:pPr>
            <w:r w:rsidRPr="004D2C93">
              <w:rPr>
                <w:rFonts w:ascii="Arial Narrow" w:hAnsi="Arial Narrow" w:cs="Calibri"/>
                <w:sz w:val="20"/>
                <w:szCs w:val="20"/>
              </w:rPr>
              <w:t>22,63</w:t>
            </w:r>
          </w:p>
        </w:tc>
      </w:tr>
      <w:tr w:rsidR="000D1A29" w:rsidRPr="004D2C93" w14:paraId="180A7C8F" w14:textId="77777777" w:rsidTr="00F44BFC">
        <w:trPr>
          <w:trHeight w:val="312"/>
        </w:trPr>
        <w:tc>
          <w:tcPr>
            <w:tcW w:w="486" w:type="dxa"/>
            <w:shd w:val="clear" w:color="auto" w:fill="auto"/>
            <w:noWrap/>
            <w:vAlign w:val="center"/>
            <w:hideMark/>
          </w:tcPr>
          <w:p w14:paraId="69560D2B" w14:textId="77777777" w:rsidR="000D1A29" w:rsidRPr="004D2C93" w:rsidRDefault="000D1A29" w:rsidP="00F44BFC">
            <w:pPr>
              <w:rPr>
                <w:rFonts w:ascii="Arial Narrow" w:hAnsi="Arial Narrow" w:cs="Arial"/>
                <w:sz w:val="20"/>
                <w:szCs w:val="20"/>
              </w:rPr>
            </w:pPr>
            <w:r w:rsidRPr="004D2C93">
              <w:rPr>
                <w:rFonts w:ascii="Arial Narrow" w:hAnsi="Arial Narrow" w:cs="Arial"/>
                <w:sz w:val="20"/>
                <w:szCs w:val="20"/>
              </w:rPr>
              <w:t>34</w:t>
            </w:r>
          </w:p>
        </w:tc>
        <w:tc>
          <w:tcPr>
            <w:tcW w:w="2787" w:type="dxa"/>
            <w:shd w:val="clear" w:color="auto" w:fill="auto"/>
            <w:noWrap/>
            <w:vAlign w:val="center"/>
          </w:tcPr>
          <w:p w14:paraId="25442821" w14:textId="77777777" w:rsidR="000D1A29" w:rsidRPr="004D2C93" w:rsidRDefault="000D1A29" w:rsidP="00F44BFC">
            <w:pPr>
              <w:rPr>
                <w:rFonts w:ascii="Arial Narrow" w:hAnsi="Arial Narrow" w:cs="Calibri"/>
                <w:sz w:val="20"/>
                <w:szCs w:val="20"/>
              </w:rPr>
            </w:pPr>
            <w:r w:rsidRPr="004D2C93">
              <w:rPr>
                <w:rFonts w:ascii="Arial Narrow" w:hAnsi="Arial Narrow" w:cs="Calibri"/>
                <w:sz w:val="20"/>
                <w:szCs w:val="20"/>
              </w:rPr>
              <w:t>Тилапия</w:t>
            </w:r>
          </w:p>
        </w:tc>
        <w:tc>
          <w:tcPr>
            <w:tcW w:w="1084" w:type="dxa"/>
            <w:shd w:val="clear" w:color="auto" w:fill="auto"/>
            <w:noWrap/>
            <w:vAlign w:val="center"/>
          </w:tcPr>
          <w:p w14:paraId="42C436FB" w14:textId="77777777" w:rsidR="000D1A29" w:rsidRPr="004D2C93" w:rsidRDefault="000D1A29" w:rsidP="00F44BFC">
            <w:pPr>
              <w:jc w:val="right"/>
              <w:rPr>
                <w:rFonts w:ascii="Arial Narrow" w:hAnsi="Arial Narrow" w:cs="Calibri"/>
                <w:sz w:val="20"/>
                <w:szCs w:val="20"/>
              </w:rPr>
            </w:pPr>
            <w:r w:rsidRPr="004D2C93">
              <w:rPr>
                <w:rFonts w:ascii="Arial Narrow" w:hAnsi="Arial Narrow" w:cs="Calibri"/>
                <w:sz w:val="20"/>
                <w:szCs w:val="20"/>
              </w:rPr>
              <w:t>1,43</w:t>
            </w:r>
          </w:p>
        </w:tc>
        <w:tc>
          <w:tcPr>
            <w:tcW w:w="1093" w:type="dxa"/>
            <w:shd w:val="clear" w:color="auto" w:fill="auto"/>
            <w:noWrap/>
            <w:vAlign w:val="center"/>
          </w:tcPr>
          <w:p w14:paraId="7C7E0F79" w14:textId="77777777" w:rsidR="000D1A29" w:rsidRPr="004D2C93" w:rsidRDefault="000D1A29" w:rsidP="00F44BFC">
            <w:pPr>
              <w:jc w:val="right"/>
              <w:rPr>
                <w:rFonts w:ascii="Arial Narrow" w:hAnsi="Arial Narrow" w:cs="Calibri"/>
                <w:sz w:val="20"/>
                <w:szCs w:val="20"/>
              </w:rPr>
            </w:pPr>
            <w:r w:rsidRPr="004D2C93">
              <w:rPr>
                <w:rFonts w:ascii="Arial Narrow" w:hAnsi="Arial Narrow" w:cs="Calibri"/>
                <w:sz w:val="20"/>
                <w:szCs w:val="20"/>
              </w:rPr>
              <w:t>0,68</w:t>
            </w:r>
          </w:p>
        </w:tc>
        <w:tc>
          <w:tcPr>
            <w:tcW w:w="1112" w:type="dxa"/>
            <w:shd w:val="clear" w:color="auto" w:fill="auto"/>
            <w:noWrap/>
            <w:vAlign w:val="center"/>
          </w:tcPr>
          <w:p w14:paraId="0B24A26D" w14:textId="77777777" w:rsidR="000D1A29" w:rsidRPr="004D2C93" w:rsidRDefault="000D1A29" w:rsidP="00F44BFC">
            <w:pPr>
              <w:jc w:val="right"/>
              <w:rPr>
                <w:rFonts w:ascii="Arial Narrow" w:hAnsi="Arial Narrow" w:cs="Calibri"/>
                <w:sz w:val="20"/>
                <w:szCs w:val="20"/>
              </w:rPr>
            </w:pPr>
            <w:r w:rsidRPr="004D2C93">
              <w:rPr>
                <w:rFonts w:ascii="Arial Narrow" w:hAnsi="Arial Narrow" w:cs="Calibri"/>
                <w:sz w:val="20"/>
                <w:szCs w:val="20"/>
              </w:rPr>
              <w:t>0,15</w:t>
            </w:r>
          </w:p>
        </w:tc>
        <w:tc>
          <w:tcPr>
            <w:tcW w:w="1114" w:type="dxa"/>
            <w:shd w:val="clear" w:color="auto" w:fill="auto"/>
            <w:noWrap/>
            <w:vAlign w:val="center"/>
          </w:tcPr>
          <w:p w14:paraId="1777E0AE" w14:textId="77777777" w:rsidR="000D1A29" w:rsidRPr="004D2C93" w:rsidRDefault="000D1A29" w:rsidP="00F44BFC">
            <w:pPr>
              <w:jc w:val="right"/>
              <w:rPr>
                <w:rFonts w:ascii="Arial Narrow" w:hAnsi="Arial Narrow" w:cs="Calibri"/>
                <w:sz w:val="20"/>
                <w:szCs w:val="20"/>
              </w:rPr>
            </w:pPr>
            <w:r w:rsidRPr="004D2C93">
              <w:rPr>
                <w:rFonts w:ascii="Arial Narrow" w:hAnsi="Arial Narrow" w:cs="Calibri"/>
                <w:sz w:val="20"/>
                <w:szCs w:val="20"/>
              </w:rPr>
              <w:t>1,09</w:t>
            </w:r>
          </w:p>
        </w:tc>
        <w:tc>
          <w:tcPr>
            <w:tcW w:w="1112" w:type="dxa"/>
            <w:shd w:val="clear" w:color="auto" w:fill="auto"/>
            <w:noWrap/>
            <w:vAlign w:val="center"/>
          </w:tcPr>
          <w:p w14:paraId="6CF325B6" w14:textId="77777777" w:rsidR="000D1A29" w:rsidRPr="004D2C93" w:rsidRDefault="000D1A29" w:rsidP="00F44BFC">
            <w:pPr>
              <w:jc w:val="right"/>
              <w:rPr>
                <w:rFonts w:ascii="Arial Narrow" w:hAnsi="Arial Narrow" w:cs="Calibri"/>
                <w:sz w:val="20"/>
                <w:szCs w:val="20"/>
              </w:rPr>
            </w:pPr>
            <w:r w:rsidRPr="004D2C93">
              <w:rPr>
                <w:rFonts w:ascii="Arial Narrow" w:hAnsi="Arial Narrow" w:cs="Calibri"/>
                <w:sz w:val="20"/>
                <w:szCs w:val="20"/>
              </w:rPr>
              <w:t>1,58</w:t>
            </w:r>
          </w:p>
        </w:tc>
        <w:tc>
          <w:tcPr>
            <w:tcW w:w="1114" w:type="dxa"/>
            <w:shd w:val="clear" w:color="auto" w:fill="auto"/>
            <w:noWrap/>
            <w:vAlign w:val="center"/>
          </w:tcPr>
          <w:p w14:paraId="46FAA14A" w14:textId="77777777" w:rsidR="000D1A29" w:rsidRPr="004D2C93" w:rsidRDefault="000D1A29" w:rsidP="00F44BFC">
            <w:pPr>
              <w:jc w:val="right"/>
              <w:rPr>
                <w:rFonts w:ascii="Arial Narrow" w:hAnsi="Arial Narrow" w:cs="Calibri"/>
                <w:sz w:val="20"/>
                <w:szCs w:val="20"/>
              </w:rPr>
            </w:pPr>
            <w:r w:rsidRPr="004D2C93">
              <w:rPr>
                <w:rFonts w:ascii="Arial Narrow" w:hAnsi="Arial Narrow" w:cs="Calibri"/>
                <w:sz w:val="20"/>
                <w:szCs w:val="20"/>
              </w:rPr>
              <w:t>1,77</w:t>
            </w:r>
          </w:p>
        </w:tc>
      </w:tr>
      <w:tr w:rsidR="000D1A29" w:rsidRPr="004D2C93" w14:paraId="0B0EE625" w14:textId="77777777" w:rsidTr="00F44BFC">
        <w:trPr>
          <w:trHeight w:val="312"/>
        </w:trPr>
        <w:tc>
          <w:tcPr>
            <w:tcW w:w="486" w:type="dxa"/>
            <w:shd w:val="clear" w:color="auto" w:fill="auto"/>
            <w:noWrap/>
            <w:vAlign w:val="center"/>
            <w:hideMark/>
          </w:tcPr>
          <w:p w14:paraId="65594A45" w14:textId="77777777" w:rsidR="000D1A29" w:rsidRPr="004D2C93" w:rsidRDefault="000D1A29" w:rsidP="00F44BFC">
            <w:pPr>
              <w:rPr>
                <w:rFonts w:ascii="Arial Narrow" w:hAnsi="Arial Narrow" w:cs="Arial"/>
                <w:sz w:val="20"/>
                <w:szCs w:val="20"/>
              </w:rPr>
            </w:pPr>
            <w:r w:rsidRPr="004D2C93">
              <w:rPr>
                <w:rFonts w:ascii="Arial Narrow" w:hAnsi="Arial Narrow" w:cs="Arial"/>
                <w:sz w:val="20"/>
                <w:szCs w:val="20"/>
              </w:rPr>
              <w:t>35</w:t>
            </w:r>
          </w:p>
        </w:tc>
        <w:tc>
          <w:tcPr>
            <w:tcW w:w="2787" w:type="dxa"/>
            <w:shd w:val="clear" w:color="auto" w:fill="auto"/>
            <w:noWrap/>
            <w:vAlign w:val="center"/>
          </w:tcPr>
          <w:p w14:paraId="2D832E7B" w14:textId="77777777" w:rsidR="000D1A29" w:rsidRPr="004D2C93" w:rsidRDefault="000D1A29" w:rsidP="00F44BFC">
            <w:pPr>
              <w:rPr>
                <w:rFonts w:ascii="Arial Narrow" w:hAnsi="Arial Narrow" w:cs="Calibri"/>
                <w:sz w:val="20"/>
                <w:szCs w:val="20"/>
              </w:rPr>
            </w:pPr>
            <w:r w:rsidRPr="004D2C93">
              <w:rPr>
                <w:rFonts w:ascii="Arial Narrow" w:hAnsi="Arial Narrow" w:cs="Calibri"/>
                <w:sz w:val="20"/>
                <w:szCs w:val="20"/>
              </w:rPr>
              <w:t>Тихоокеанска стрида</w:t>
            </w:r>
          </w:p>
        </w:tc>
        <w:tc>
          <w:tcPr>
            <w:tcW w:w="1084" w:type="dxa"/>
            <w:shd w:val="clear" w:color="auto" w:fill="auto"/>
            <w:noWrap/>
            <w:vAlign w:val="center"/>
          </w:tcPr>
          <w:p w14:paraId="1C9AF05D" w14:textId="77777777" w:rsidR="000D1A29" w:rsidRPr="004D2C93" w:rsidRDefault="000D1A29" w:rsidP="00F44BFC">
            <w:pPr>
              <w:jc w:val="right"/>
              <w:rPr>
                <w:rFonts w:ascii="Arial Narrow" w:hAnsi="Arial Narrow" w:cs="Calibri"/>
                <w:sz w:val="20"/>
                <w:szCs w:val="20"/>
              </w:rPr>
            </w:pPr>
            <w:r w:rsidRPr="004D2C93">
              <w:rPr>
                <w:rFonts w:ascii="Arial Narrow" w:hAnsi="Arial Narrow" w:cs="Calibri"/>
                <w:sz w:val="20"/>
                <w:szCs w:val="20"/>
              </w:rPr>
              <w:t>0,00</w:t>
            </w:r>
          </w:p>
        </w:tc>
        <w:tc>
          <w:tcPr>
            <w:tcW w:w="1093" w:type="dxa"/>
            <w:shd w:val="clear" w:color="auto" w:fill="auto"/>
            <w:noWrap/>
            <w:vAlign w:val="center"/>
          </w:tcPr>
          <w:p w14:paraId="7F03E4CA" w14:textId="77777777" w:rsidR="000D1A29" w:rsidRPr="004D2C93" w:rsidRDefault="000D1A29" w:rsidP="00F44BFC">
            <w:pPr>
              <w:jc w:val="right"/>
              <w:rPr>
                <w:rFonts w:ascii="Arial Narrow" w:hAnsi="Arial Narrow" w:cs="Calibri"/>
                <w:sz w:val="20"/>
                <w:szCs w:val="20"/>
              </w:rPr>
            </w:pPr>
            <w:r w:rsidRPr="004D2C93">
              <w:rPr>
                <w:rFonts w:ascii="Arial Narrow" w:hAnsi="Arial Narrow" w:cs="Calibri"/>
                <w:sz w:val="20"/>
                <w:szCs w:val="20"/>
              </w:rPr>
              <w:t>0,05</w:t>
            </w:r>
          </w:p>
        </w:tc>
        <w:tc>
          <w:tcPr>
            <w:tcW w:w="1112" w:type="dxa"/>
            <w:shd w:val="clear" w:color="auto" w:fill="auto"/>
            <w:noWrap/>
            <w:vAlign w:val="center"/>
          </w:tcPr>
          <w:p w14:paraId="536D24C0" w14:textId="77777777" w:rsidR="000D1A29" w:rsidRPr="004D2C93" w:rsidRDefault="000D1A29" w:rsidP="00F44BFC">
            <w:pPr>
              <w:jc w:val="right"/>
              <w:rPr>
                <w:rFonts w:ascii="Arial Narrow" w:hAnsi="Arial Narrow" w:cs="Calibri"/>
                <w:sz w:val="20"/>
                <w:szCs w:val="20"/>
              </w:rPr>
            </w:pPr>
            <w:r w:rsidRPr="004D2C93">
              <w:rPr>
                <w:rFonts w:ascii="Arial Narrow" w:hAnsi="Arial Narrow" w:cs="Calibri"/>
                <w:sz w:val="20"/>
                <w:szCs w:val="20"/>
              </w:rPr>
              <w:t>2,00</w:t>
            </w:r>
          </w:p>
        </w:tc>
        <w:tc>
          <w:tcPr>
            <w:tcW w:w="1114" w:type="dxa"/>
            <w:shd w:val="clear" w:color="auto" w:fill="auto"/>
            <w:noWrap/>
            <w:vAlign w:val="center"/>
          </w:tcPr>
          <w:p w14:paraId="1D27ADE6" w14:textId="77777777" w:rsidR="000D1A29" w:rsidRPr="004D2C93" w:rsidRDefault="000D1A29" w:rsidP="00F44BFC">
            <w:pPr>
              <w:jc w:val="right"/>
              <w:rPr>
                <w:rFonts w:ascii="Arial Narrow" w:hAnsi="Arial Narrow" w:cs="Calibri"/>
                <w:sz w:val="20"/>
                <w:szCs w:val="20"/>
              </w:rPr>
            </w:pPr>
            <w:r w:rsidRPr="004D2C93">
              <w:rPr>
                <w:rFonts w:ascii="Arial Narrow" w:hAnsi="Arial Narrow" w:cs="Calibri"/>
                <w:sz w:val="20"/>
                <w:szCs w:val="20"/>
              </w:rPr>
              <w:t>0,60</w:t>
            </w:r>
          </w:p>
        </w:tc>
        <w:tc>
          <w:tcPr>
            <w:tcW w:w="1112" w:type="dxa"/>
            <w:shd w:val="clear" w:color="auto" w:fill="auto"/>
            <w:noWrap/>
            <w:vAlign w:val="center"/>
          </w:tcPr>
          <w:p w14:paraId="1647035C" w14:textId="77777777" w:rsidR="000D1A29" w:rsidRPr="004D2C93" w:rsidRDefault="000D1A29" w:rsidP="00F44BFC">
            <w:pPr>
              <w:jc w:val="right"/>
              <w:rPr>
                <w:rFonts w:ascii="Arial Narrow" w:hAnsi="Arial Narrow" w:cs="Calibri"/>
                <w:sz w:val="20"/>
                <w:szCs w:val="20"/>
              </w:rPr>
            </w:pPr>
            <w:r w:rsidRPr="004D2C93">
              <w:rPr>
                <w:rFonts w:ascii="Arial Narrow" w:hAnsi="Arial Narrow" w:cs="Calibri"/>
                <w:sz w:val="20"/>
                <w:szCs w:val="20"/>
              </w:rPr>
              <w:t>2,00</w:t>
            </w:r>
          </w:p>
        </w:tc>
        <w:tc>
          <w:tcPr>
            <w:tcW w:w="1114" w:type="dxa"/>
            <w:shd w:val="clear" w:color="auto" w:fill="auto"/>
            <w:noWrap/>
            <w:vAlign w:val="center"/>
          </w:tcPr>
          <w:p w14:paraId="3D5899BE" w14:textId="77777777" w:rsidR="000D1A29" w:rsidRPr="004D2C93" w:rsidRDefault="000D1A29" w:rsidP="00F44BFC">
            <w:pPr>
              <w:jc w:val="right"/>
              <w:rPr>
                <w:rFonts w:ascii="Arial Narrow" w:hAnsi="Arial Narrow" w:cs="Calibri"/>
                <w:sz w:val="20"/>
                <w:szCs w:val="20"/>
              </w:rPr>
            </w:pPr>
            <w:r w:rsidRPr="004D2C93">
              <w:rPr>
                <w:rFonts w:ascii="Arial Narrow" w:hAnsi="Arial Narrow" w:cs="Calibri"/>
                <w:sz w:val="20"/>
                <w:szCs w:val="20"/>
              </w:rPr>
              <w:t>0,65</w:t>
            </w:r>
          </w:p>
        </w:tc>
      </w:tr>
      <w:tr w:rsidR="000D1A29" w:rsidRPr="004D2C93" w14:paraId="0EF6A7A3" w14:textId="77777777" w:rsidTr="00F44BFC">
        <w:trPr>
          <w:trHeight w:val="312"/>
        </w:trPr>
        <w:tc>
          <w:tcPr>
            <w:tcW w:w="486" w:type="dxa"/>
            <w:shd w:val="clear" w:color="auto" w:fill="auto"/>
            <w:noWrap/>
            <w:vAlign w:val="center"/>
            <w:hideMark/>
          </w:tcPr>
          <w:p w14:paraId="559FBDEE" w14:textId="77777777" w:rsidR="000D1A29" w:rsidRPr="004D2C93" w:rsidRDefault="000D1A29" w:rsidP="00F44BFC">
            <w:pPr>
              <w:rPr>
                <w:rFonts w:ascii="Arial Narrow" w:hAnsi="Arial Narrow" w:cs="Arial"/>
                <w:sz w:val="20"/>
                <w:szCs w:val="20"/>
              </w:rPr>
            </w:pPr>
            <w:r w:rsidRPr="004D2C93">
              <w:rPr>
                <w:rFonts w:ascii="Arial Narrow" w:hAnsi="Arial Narrow" w:cs="Arial"/>
                <w:sz w:val="20"/>
                <w:szCs w:val="20"/>
              </w:rPr>
              <w:t>36</w:t>
            </w:r>
          </w:p>
        </w:tc>
        <w:tc>
          <w:tcPr>
            <w:tcW w:w="2787" w:type="dxa"/>
            <w:shd w:val="clear" w:color="auto" w:fill="auto"/>
            <w:noWrap/>
            <w:vAlign w:val="center"/>
          </w:tcPr>
          <w:p w14:paraId="6C463EE8" w14:textId="77777777" w:rsidR="000D1A29" w:rsidRPr="004D2C93" w:rsidRDefault="000D1A29" w:rsidP="00F44BFC">
            <w:pPr>
              <w:rPr>
                <w:rFonts w:ascii="Arial Narrow" w:hAnsi="Arial Narrow" w:cs="Calibri"/>
                <w:sz w:val="20"/>
                <w:szCs w:val="20"/>
              </w:rPr>
            </w:pPr>
            <w:r w:rsidRPr="004D2C93">
              <w:rPr>
                <w:rFonts w:ascii="Arial Narrow" w:hAnsi="Arial Narrow" w:cs="Calibri"/>
                <w:sz w:val="20"/>
                <w:szCs w:val="20"/>
              </w:rPr>
              <w:t>Бабушка</w:t>
            </w:r>
          </w:p>
        </w:tc>
        <w:tc>
          <w:tcPr>
            <w:tcW w:w="1084" w:type="dxa"/>
            <w:shd w:val="clear" w:color="auto" w:fill="auto"/>
            <w:noWrap/>
            <w:vAlign w:val="center"/>
          </w:tcPr>
          <w:p w14:paraId="5DE83640" w14:textId="77777777" w:rsidR="000D1A29" w:rsidRPr="004D2C93" w:rsidRDefault="000D1A29" w:rsidP="00F44BFC">
            <w:pPr>
              <w:jc w:val="right"/>
              <w:rPr>
                <w:rFonts w:ascii="Arial Narrow" w:hAnsi="Arial Narrow" w:cs="Calibri"/>
                <w:sz w:val="20"/>
                <w:szCs w:val="20"/>
              </w:rPr>
            </w:pPr>
            <w:r w:rsidRPr="004D2C93">
              <w:rPr>
                <w:rFonts w:ascii="Arial Narrow" w:hAnsi="Arial Narrow" w:cs="Calibri"/>
                <w:sz w:val="20"/>
                <w:szCs w:val="20"/>
              </w:rPr>
              <w:t>0,00</w:t>
            </w:r>
          </w:p>
        </w:tc>
        <w:tc>
          <w:tcPr>
            <w:tcW w:w="1093" w:type="dxa"/>
            <w:shd w:val="clear" w:color="auto" w:fill="auto"/>
            <w:noWrap/>
            <w:vAlign w:val="center"/>
          </w:tcPr>
          <w:p w14:paraId="30762BB7" w14:textId="77777777" w:rsidR="000D1A29" w:rsidRPr="004D2C93" w:rsidRDefault="000D1A29" w:rsidP="00F44BFC">
            <w:pPr>
              <w:jc w:val="right"/>
              <w:rPr>
                <w:rFonts w:ascii="Arial Narrow" w:hAnsi="Arial Narrow" w:cs="Calibri"/>
                <w:sz w:val="20"/>
                <w:szCs w:val="20"/>
              </w:rPr>
            </w:pPr>
            <w:r w:rsidRPr="004D2C93">
              <w:rPr>
                <w:rFonts w:ascii="Arial Narrow" w:hAnsi="Arial Narrow" w:cs="Calibri"/>
                <w:sz w:val="20"/>
                <w:szCs w:val="20"/>
              </w:rPr>
              <w:t>0,00</w:t>
            </w:r>
          </w:p>
        </w:tc>
        <w:tc>
          <w:tcPr>
            <w:tcW w:w="1112" w:type="dxa"/>
            <w:shd w:val="clear" w:color="auto" w:fill="auto"/>
            <w:noWrap/>
            <w:vAlign w:val="center"/>
          </w:tcPr>
          <w:p w14:paraId="4077C5A0" w14:textId="77777777" w:rsidR="000D1A29" w:rsidRPr="004D2C93" w:rsidRDefault="000D1A29" w:rsidP="00F44BFC">
            <w:pPr>
              <w:jc w:val="right"/>
              <w:rPr>
                <w:rFonts w:ascii="Arial Narrow" w:hAnsi="Arial Narrow" w:cs="Calibri"/>
                <w:sz w:val="20"/>
                <w:szCs w:val="20"/>
              </w:rPr>
            </w:pPr>
            <w:r w:rsidRPr="004D2C93">
              <w:rPr>
                <w:rFonts w:ascii="Arial Narrow" w:hAnsi="Arial Narrow" w:cs="Calibri"/>
                <w:sz w:val="20"/>
                <w:szCs w:val="20"/>
              </w:rPr>
              <w:t>0,00</w:t>
            </w:r>
          </w:p>
        </w:tc>
        <w:tc>
          <w:tcPr>
            <w:tcW w:w="1114" w:type="dxa"/>
            <w:shd w:val="clear" w:color="auto" w:fill="auto"/>
            <w:noWrap/>
            <w:vAlign w:val="center"/>
          </w:tcPr>
          <w:p w14:paraId="4DE5632A" w14:textId="77777777" w:rsidR="000D1A29" w:rsidRPr="004D2C93" w:rsidRDefault="000D1A29" w:rsidP="00F44BFC">
            <w:pPr>
              <w:jc w:val="right"/>
              <w:rPr>
                <w:rFonts w:ascii="Arial Narrow" w:hAnsi="Arial Narrow" w:cs="Calibri"/>
                <w:sz w:val="20"/>
                <w:szCs w:val="20"/>
              </w:rPr>
            </w:pPr>
            <w:r w:rsidRPr="004D2C93">
              <w:rPr>
                <w:rFonts w:ascii="Arial Narrow" w:hAnsi="Arial Narrow" w:cs="Calibri"/>
                <w:sz w:val="20"/>
                <w:szCs w:val="20"/>
              </w:rPr>
              <w:t>0,00</w:t>
            </w:r>
          </w:p>
        </w:tc>
        <w:tc>
          <w:tcPr>
            <w:tcW w:w="1112" w:type="dxa"/>
            <w:shd w:val="clear" w:color="auto" w:fill="auto"/>
            <w:noWrap/>
            <w:vAlign w:val="center"/>
          </w:tcPr>
          <w:p w14:paraId="741A2C81" w14:textId="77777777" w:rsidR="000D1A29" w:rsidRPr="004D2C93" w:rsidRDefault="000D1A29" w:rsidP="00F44BFC">
            <w:pPr>
              <w:jc w:val="right"/>
              <w:rPr>
                <w:rFonts w:ascii="Arial Narrow" w:hAnsi="Arial Narrow" w:cs="Calibri"/>
                <w:sz w:val="20"/>
                <w:szCs w:val="20"/>
              </w:rPr>
            </w:pPr>
            <w:r w:rsidRPr="004D2C93">
              <w:rPr>
                <w:rFonts w:ascii="Arial Narrow" w:hAnsi="Arial Narrow" w:cs="Calibri"/>
                <w:sz w:val="20"/>
                <w:szCs w:val="20"/>
              </w:rPr>
              <w:t>0,00</w:t>
            </w:r>
          </w:p>
        </w:tc>
        <w:tc>
          <w:tcPr>
            <w:tcW w:w="1114" w:type="dxa"/>
            <w:shd w:val="clear" w:color="auto" w:fill="auto"/>
            <w:noWrap/>
            <w:vAlign w:val="center"/>
          </w:tcPr>
          <w:p w14:paraId="2B2A406F" w14:textId="77777777" w:rsidR="000D1A29" w:rsidRPr="004D2C93" w:rsidRDefault="000D1A29" w:rsidP="00F44BFC">
            <w:pPr>
              <w:jc w:val="right"/>
              <w:rPr>
                <w:rFonts w:ascii="Arial Narrow" w:hAnsi="Arial Narrow" w:cs="Calibri"/>
                <w:sz w:val="20"/>
                <w:szCs w:val="20"/>
              </w:rPr>
            </w:pPr>
            <w:r w:rsidRPr="004D2C93">
              <w:rPr>
                <w:rFonts w:ascii="Arial Narrow" w:hAnsi="Arial Narrow" w:cs="Calibri"/>
                <w:sz w:val="20"/>
                <w:szCs w:val="20"/>
              </w:rPr>
              <w:t>0,00</w:t>
            </w:r>
          </w:p>
        </w:tc>
      </w:tr>
      <w:tr w:rsidR="000D1A29" w:rsidRPr="004D2C93" w14:paraId="1E5B5BC2" w14:textId="77777777" w:rsidTr="00F44BFC">
        <w:trPr>
          <w:trHeight w:val="312"/>
        </w:trPr>
        <w:tc>
          <w:tcPr>
            <w:tcW w:w="486" w:type="dxa"/>
            <w:shd w:val="clear" w:color="auto" w:fill="auto"/>
            <w:noWrap/>
            <w:vAlign w:val="center"/>
          </w:tcPr>
          <w:p w14:paraId="2789CC5E" w14:textId="77777777" w:rsidR="000D1A29" w:rsidRPr="004D2C93" w:rsidRDefault="000D1A29" w:rsidP="00F44BFC">
            <w:pPr>
              <w:rPr>
                <w:rFonts w:ascii="Arial Narrow" w:hAnsi="Arial Narrow" w:cs="Arial"/>
                <w:sz w:val="20"/>
                <w:szCs w:val="20"/>
              </w:rPr>
            </w:pPr>
            <w:r w:rsidRPr="004D2C93">
              <w:rPr>
                <w:rFonts w:ascii="Arial Narrow" w:hAnsi="Arial Narrow" w:cs="Arial"/>
                <w:sz w:val="20"/>
                <w:szCs w:val="20"/>
              </w:rPr>
              <w:t>37</w:t>
            </w:r>
          </w:p>
        </w:tc>
        <w:tc>
          <w:tcPr>
            <w:tcW w:w="2787" w:type="dxa"/>
            <w:shd w:val="clear" w:color="auto" w:fill="auto"/>
            <w:noWrap/>
            <w:vAlign w:val="center"/>
          </w:tcPr>
          <w:p w14:paraId="6C71F5CE" w14:textId="77777777" w:rsidR="000D1A29" w:rsidRPr="004D2C93" w:rsidRDefault="000D1A29" w:rsidP="00F44BFC">
            <w:pPr>
              <w:rPr>
                <w:rFonts w:ascii="Arial Narrow" w:hAnsi="Arial Narrow" w:cs="Calibri"/>
                <w:sz w:val="20"/>
                <w:szCs w:val="20"/>
              </w:rPr>
            </w:pPr>
            <w:r w:rsidRPr="004D2C93">
              <w:rPr>
                <w:rFonts w:ascii="Arial Narrow" w:hAnsi="Arial Narrow" w:cs="Calibri"/>
                <w:sz w:val="20"/>
                <w:szCs w:val="20"/>
              </w:rPr>
              <w:t>Скобар</w:t>
            </w:r>
          </w:p>
        </w:tc>
        <w:tc>
          <w:tcPr>
            <w:tcW w:w="1084" w:type="dxa"/>
            <w:shd w:val="clear" w:color="auto" w:fill="auto"/>
            <w:noWrap/>
            <w:vAlign w:val="center"/>
          </w:tcPr>
          <w:p w14:paraId="6AEFE0DC" w14:textId="77777777" w:rsidR="000D1A29" w:rsidRPr="004D2C93" w:rsidRDefault="000D1A29" w:rsidP="00F44BFC">
            <w:pPr>
              <w:jc w:val="right"/>
              <w:rPr>
                <w:rFonts w:ascii="Arial Narrow" w:hAnsi="Arial Narrow" w:cs="Calibri"/>
                <w:sz w:val="20"/>
                <w:szCs w:val="20"/>
              </w:rPr>
            </w:pPr>
            <w:r w:rsidRPr="004D2C93">
              <w:rPr>
                <w:rFonts w:ascii="Arial Narrow" w:hAnsi="Arial Narrow" w:cs="Calibri"/>
                <w:sz w:val="20"/>
                <w:szCs w:val="20"/>
              </w:rPr>
              <w:t>0,00</w:t>
            </w:r>
          </w:p>
        </w:tc>
        <w:tc>
          <w:tcPr>
            <w:tcW w:w="1093" w:type="dxa"/>
            <w:shd w:val="clear" w:color="auto" w:fill="auto"/>
            <w:noWrap/>
            <w:vAlign w:val="center"/>
          </w:tcPr>
          <w:p w14:paraId="0F925009" w14:textId="77777777" w:rsidR="000D1A29" w:rsidRPr="004D2C93" w:rsidRDefault="000D1A29" w:rsidP="00F44BFC">
            <w:pPr>
              <w:jc w:val="right"/>
              <w:rPr>
                <w:rFonts w:ascii="Arial Narrow" w:hAnsi="Arial Narrow" w:cs="Calibri"/>
                <w:sz w:val="20"/>
                <w:szCs w:val="20"/>
              </w:rPr>
            </w:pPr>
            <w:r w:rsidRPr="004D2C93">
              <w:rPr>
                <w:rFonts w:ascii="Arial Narrow" w:hAnsi="Arial Narrow" w:cs="Calibri"/>
                <w:sz w:val="20"/>
                <w:szCs w:val="20"/>
              </w:rPr>
              <w:t>0,00</w:t>
            </w:r>
          </w:p>
        </w:tc>
        <w:tc>
          <w:tcPr>
            <w:tcW w:w="1112" w:type="dxa"/>
            <w:shd w:val="clear" w:color="auto" w:fill="auto"/>
            <w:noWrap/>
            <w:vAlign w:val="center"/>
          </w:tcPr>
          <w:p w14:paraId="7B152356" w14:textId="77777777" w:rsidR="000D1A29" w:rsidRPr="004D2C93" w:rsidRDefault="000D1A29" w:rsidP="00F44BFC">
            <w:pPr>
              <w:jc w:val="right"/>
              <w:rPr>
                <w:rFonts w:ascii="Arial Narrow" w:hAnsi="Arial Narrow" w:cs="Calibri"/>
                <w:sz w:val="20"/>
                <w:szCs w:val="20"/>
              </w:rPr>
            </w:pPr>
            <w:r w:rsidRPr="004D2C93">
              <w:rPr>
                <w:rFonts w:ascii="Arial Narrow" w:hAnsi="Arial Narrow" w:cs="Calibri"/>
                <w:sz w:val="20"/>
                <w:szCs w:val="20"/>
              </w:rPr>
              <w:t>0,00</w:t>
            </w:r>
          </w:p>
        </w:tc>
        <w:tc>
          <w:tcPr>
            <w:tcW w:w="1114" w:type="dxa"/>
            <w:shd w:val="clear" w:color="auto" w:fill="auto"/>
            <w:noWrap/>
            <w:vAlign w:val="center"/>
          </w:tcPr>
          <w:p w14:paraId="74F991AD" w14:textId="77777777" w:rsidR="000D1A29" w:rsidRPr="004D2C93" w:rsidRDefault="000D1A29" w:rsidP="00F44BFC">
            <w:pPr>
              <w:jc w:val="right"/>
              <w:rPr>
                <w:rFonts w:ascii="Arial Narrow" w:hAnsi="Arial Narrow" w:cs="Calibri"/>
                <w:sz w:val="20"/>
                <w:szCs w:val="20"/>
              </w:rPr>
            </w:pPr>
            <w:r w:rsidRPr="004D2C93">
              <w:rPr>
                <w:rFonts w:ascii="Arial Narrow" w:hAnsi="Arial Narrow" w:cs="Calibri"/>
                <w:sz w:val="20"/>
                <w:szCs w:val="20"/>
              </w:rPr>
              <w:t>0,00</w:t>
            </w:r>
          </w:p>
        </w:tc>
        <w:tc>
          <w:tcPr>
            <w:tcW w:w="1112" w:type="dxa"/>
            <w:shd w:val="clear" w:color="auto" w:fill="auto"/>
            <w:noWrap/>
            <w:vAlign w:val="center"/>
          </w:tcPr>
          <w:p w14:paraId="2556885E" w14:textId="77777777" w:rsidR="000D1A29" w:rsidRPr="004D2C93" w:rsidRDefault="000D1A29" w:rsidP="00F44BFC">
            <w:pPr>
              <w:jc w:val="right"/>
              <w:rPr>
                <w:rFonts w:ascii="Arial Narrow" w:hAnsi="Arial Narrow" w:cs="Calibri"/>
                <w:sz w:val="20"/>
                <w:szCs w:val="20"/>
              </w:rPr>
            </w:pPr>
            <w:r w:rsidRPr="004D2C93">
              <w:rPr>
                <w:rFonts w:ascii="Arial Narrow" w:hAnsi="Arial Narrow" w:cs="Calibri"/>
                <w:sz w:val="20"/>
                <w:szCs w:val="20"/>
              </w:rPr>
              <w:t>0,00</w:t>
            </w:r>
          </w:p>
        </w:tc>
        <w:tc>
          <w:tcPr>
            <w:tcW w:w="1114" w:type="dxa"/>
            <w:shd w:val="clear" w:color="auto" w:fill="auto"/>
            <w:noWrap/>
            <w:vAlign w:val="center"/>
          </w:tcPr>
          <w:p w14:paraId="03BA54FF" w14:textId="77777777" w:rsidR="000D1A29" w:rsidRPr="004D2C93" w:rsidRDefault="000D1A29" w:rsidP="00F44BFC">
            <w:pPr>
              <w:jc w:val="right"/>
              <w:rPr>
                <w:rFonts w:ascii="Arial Narrow" w:hAnsi="Arial Narrow" w:cs="Calibri"/>
                <w:sz w:val="20"/>
                <w:szCs w:val="20"/>
              </w:rPr>
            </w:pPr>
            <w:r w:rsidRPr="004D2C93">
              <w:rPr>
                <w:rFonts w:ascii="Arial Narrow" w:hAnsi="Arial Narrow" w:cs="Calibri"/>
                <w:sz w:val="20"/>
                <w:szCs w:val="20"/>
              </w:rPr>
              <w:t>0,00</w:t>
            </w:r>
          </w:p>
        </w:tc>
      </w:tr>
      <w:tr w:rsidR="000D1A29" w:rsidRPr="004D2C93" w14:paraId="3ECB804E" w14:textId="77777777" w:rsidTr="00F44BFC">
        <w:trPr>
          <w:trHeight w:val="312"/>
        </w:trPr>
        <w:tc>
          <w:tcPr>
            <w:tcW w:w="486" w:type="dxa"/>
            <w:shd w:val="clear" w:color="auto" w:fill="auto"/>
            <w:noWrap/>
            <w:vAlign w:val="center"/>
          </w:tcPr>
          <w:p w14:paraId="31DBDFE5" w14:textId="77777777" w:rsidR="000D1A29" w:rsidRPr="004D2C93" w:rsidRDefault="000D1A29" w:rsidP="00F44BFC">
            <w:pPr>
              <w:rPr>
                <w:rFonts w:ascii="Arial Narrow" w:hAnsi="Arial Narrow" w:cs="Arial"/>
                <w:sz w:val="20"/>
                <w:szCs w:val="20"/>
              </w:rPr>
            </w:pPr>
            <w:r w:rsidRPr="004D2C93">
              <w:rPr>
                <w:rFonts w:ascii="Arial Narrow" w:hAnsi="Arial Narrow" w:cs="Arial"/>
                <w:sz w:val="20"/>
                <w:szCs w:val="20"/>
              </w:rPr>
              <w:t>38</w:t>
            </w:r>
          </w:p>
        </w:tc>
        <w:tc>
          <w:tcPr>
            <w:tcW w:w="2787" w:type="dxa"/>
            <w:shd w:val="clear" w:color="auto" w:fill="auto"/>
            <w:noWrap/>
            <w:vAlign w:val="center"/>
          </w:tcPr>
          <w:p w14:paraId="5B29136E" w14:textId="77777777" w:rsidR="000D1A29" w:rsidRPr="004D2C93" w:rsidRDefault="000D1A29" w:rsidP="00F44BFC">
            <w:pPr>
              <w:rPr>
                <w:rFonts w:ascii="Arial Narrow" w:hAnsi="Arial Narrow" w:cs="Calibri"/>
                <w:sz w:val="20"/>
                <w:szCs w:val="20"/>
              </w:rPr>
            </w:pPr>
            <w:r w:rsidRPr="004D2C93">
              <w:rPr>
                <w:rFonts w:ascii="Arial Narrow" w:hAnsi="Arial Narrow" w:cs="Calibri"/>
                <w:sz w:val="20"/>
                <w:szCs w:val="20"/>
              </w:rPr>
              <w:t>Атлантическа пъстърва</w:t>
            </w:r>
          </w:p>
        </w:tc>
        <w:tc>
          <w:tcPr>
            <w:tcW w:w="1084" w:type="dxa"/>
            <w:shd w:val="clear" w:color="auto" w:fill="auto"/>
            <w:noWrap/>
            <w:vAlign w:val="center"/>
          </w:tcPr>
          <w:p w14:paraId="51DB487D" w14:textId="77777777" w:rsidR="000D1A29" w:rsidRPr="004D2C93" w:rsidRDefault="000D1A29" w:rsidP="00F44BFC">
            <w:pPr>
              <w:jc w:val="right"/>
              <w:rPr>
                <w:rFonts w:ascii="Arial Narrow" w:hAnsi="Arial Narrow" w:cs="Calibri"/>
                <w:sz w:val="20"/>
                <w:szCs w:val="20"/>
              </w:rPr>
            </w:pPr>
            <w:r w:rsidRPr="004D2C93">
              <w:rPr>
                <w:rFonts w:ascii="Arial Narrow" w:hAnsi="Arial Narrow" w:cs="Calibri"/>
                <w:sz w:val="20"/>
                <w:szCs w:val="20"/>
              </w:rPr>
              <w:t>0,00</w:t>
            </w:r>
          </w:p>
        </w:tc>
        <w:tc>
          <w:tcPr>
            <w:tcW w:w="1093" w:type="dxa"/>
            <w:shd w:val="clear" w:color="auto" w:fill="auto"/>
            <w:noWrap/>
            <w:vAlign w:val="center"/>
          </w:tcPr>
          <w:p w14:paraId="6478C1F8" w14:textId="77777777" w:rsidR="000D1A29" w:rsidRPr="004D2C93" w:rsidRDefault="000D1A29" w:rsidP="00F44BFC">
            <w:pPr>
              <w:jc w:val="right"/>
              <w:rPr>
                <w:rFonts w:ascii="Arial Narrow" w:hAnsi="Arial Narrow" w:cs="Calibri"/>
                <w:sz w:val="20"/>
                <w:szCs w:val="20"/>
              </w:rPr>
            </w:pPr>
            <w:r w:rsidRPr="004D2C93">
              <w:rPr>
                <w:rFonts w:ascii="Arial Narrow" w:hAnsi="Arial Narrow" w:cs="Calibri"/>
                <w:sz w:val="20"/>
                <w:szCs w:val="20"/>
              </w:rPr>
              <w:t>0,05</w:t>
            </w:r>
          </w:p>
        </w:tc>
        <w:tc>
          <w:tcPr>
            <w:tcW w:w="1112" w:type="dxa"/>
            <w:shd w:val="clear" w:color="auto" w:fill="auto"/>
            <w:noWrap/>
            <w:vAlign w:val="center"/>
          </w:tcPr>
          <w:p w14:paraId="07B629C7" w14:textId="77777777" w:rsidR="000D1A29" w:rsidRPr="004D2C93" w:rsidRDefault="000D1A29" w:rsidP="00F44BFC">
            <w:pPr>
              <w:jc w:val="right"/>
              <w:rPr>
                <w:rFonts w:ascii="Arial Narrow" w:hAnsi="Arial Narrow" w:cs="Calibri"/>
                <w:sz w:val="20"/>
                <w:szCs w:val="20"/>
              </w:rPr>
            </w:pPr>
            <w:r w:rsidRPr="004D2C93">
              <w:rPr>
                <w:rFonts w:ascii="Arial Narrow" w:hAnsi="Arial Narrow" w:cs="Calibri"/>
                <w:sz w:val="20"/>
                <w:szCs w:val="20"/>
              </w:rPr>
              <w:t>0,00</w:t>
            </w:r>
          </w:p>
        </w:tc>
        <w:tc>
          <w:tcPr>
            <w:tcW w:w="1114" w:type="dxa"/>
            <w:shd w:val="clear" w:color="auto" w:fill="auto"/>
            <w:noWrap/>
            <w:vAlign w:val="center"/>
          </w:tcPr>
          <w:p w14:paraId="726D733C" w14:textId="77777777" w:rsidR="000D1A29" w:rsidRPr="004D2C93" w:rsidRDefault="000D1A29" w:rsidP="00F44BFC">
            <w:pPr>
              <w:jc w:val="right"/>
              <w:rPr>
                <w:rFonts w:ascii="Arial Narrow" w:hAnsi="Arial Narrow" w:cs="Calibri"/>
                <w:sz w:val="20"/>
                <w:szCs w:val="20"/>
              </w:rPr>
            </w:pPr>
            <w:r w:rsidRPr="004D2C93">
              <w:rPr>
                <w:rFonts w:ascii="Arial Narrow" w:hAnsi="Arial Narrow" w:cs="Calibri"/>
                <w:sz w:val="20"/>
                <w:szCs w:val="20"/>
              </w:rPr>
              <w:t>0,00</w:t>
            </w:r>
          </w:p>
        </w:tc>
        <w:tc>
          <w:tcPr>
            <w:tcW w:w="1112" w:type="dxa"/>
            <w:shd w:val="clear" w:color="auto" w:fill="auto"/>
            <w:noWrap/>
            <w:vAlign w:val="center"/>
          </w:tcPr>
          <w:p w14:paraId="6BEAAA9F" w14:textId="77777777" w:rsidR="000D1A29" w:rsidRPr="004D2C93" w:rsidRDefault="000D1A29" w:rsidP="00F44BFC">
            <w:pPr>
              <w:jc w:val="right"/>
              <w:rPr>
                <w:rFonts w:ascii="Arial Narrow" w:hAnsi="Arial Narrow" w:cs="Calibri"/>
                <w:sz w:val="20"/>
                <w:szCs w:val="20"/>
              </w:rPr>
            </w:pPr>
            <w:r w:rsidRPr="004D2C93">
              <w:rPr>
                <w:rFonts w:ascii="Arial Narrow" w:hAnsi="Arial Narrow" w:cs="Calibri"/>
                <w:sz w:val="20"/>
                <w:szCs w:val="20"/>
              </w:rPr>
              <w:t>0,00</w:t>
            </w:r>
          </w:p>
        </w:tc>
        <w:tc>
          <w:tcPr>
            <w:tcW w:w="1114" w:type="dxa"/>
            <w:shd w:val="clear" w:color="auto" w:fill="auto"/>
            <w:noWrap/>
            <w:vAlign w:val="center"/>
          </w:tcPr>
          <w:p w14:paraId="24A09045" w14:textId="77777777" w:rsidR="000D1A29" w:rsidRPr="004D2C93" w:rsidRDefault="000D1A29" w:rsidP="00F44BFC">
            <w:pPr>
              <w:jc w:val="right"/>
              <w:rPr>
                <w:rFonts w:ascii="Arial Narrow" w:hAnsi="Arial Narrow" w:cs="Calibri"/>
                <w:sz w:val="20"/>
                <w:szCs w:val="20"/>
              </w:rPr>
            </w:pPr>
            <w:r w:rsidRPr="004D2C93">
              <w:rPr>
                <w:rFonts w:ascii="Arial Narrow" w:hAnsi="Arial Narrow" w:cs="Calibri"/>
                <w:sz w:val="20"/>
                <w:szCs w:val="20"/>
              </w:rPr>
              <w:t>0,05</w:t>
            </w:r>
          </w:p>
        </w:tc>
      </w:tr>
      <w:tr w:rsidR="000D1A29" w:rsidRPr="004D2C93" w14:paraId="6D1FA227" w14:textId="77777777" w:rsidTr="00F44BFC">
        <w:trPr>
          <w:trHeight w:val="312"/>
        </w:trPr>
        <w:tc>
          <w:tcPr>
            <w:tcW w:w="486" w:type="dxa"/>
            <w:shd w:val="clear" w:color="auto" w:fill="auto"/>
            <w:noWrap/>
            <w:vAlign w:val="center"/>
            <w:hideMark/>
          </w:tcPr>
          <w:p w14:paraId="200616FD" w14:textId="77777777" w:rsidR="000D1A29" w:rsidRPr="004D2C93" w:rsidRDefault="000D1A29" w:rsidP="00F44BFC">
            <w:pPr>
              <w:rPr>
                <w:rFonts w:ascii="Arial Narrow" w:hAnsi="Arial Narrow" w:cs="Arial"/>
                <w:sz w:val="20"/>
                <w:szCs w:val="20"/>
              </w:rPr>
            </w:pPr>
            <w:r w:rsidRPr="004D2C93">
              <w:rPr>
                <w:rFonts w:ascii="Arial Narrow" w:hAnsi="Arial Narrow" w:cs="Arial"/>
                <w:sz w:val="20"/>
                <w:szCs w:val="20"/>
              </w:rPr>
              <w:t>39</w:t>
            </w:r>
          </w:p>
        </w:tc>
        <w:tc>
          <w:tcPr>
            <w:tcW w:w="2787" w:type="dxa"/>
            <w:shd w:val="clear" w:color="auto" w:fill="auto"/>
            <w:noWrap/>
            <w:vAlign w:val="center"/>
          </w:tcPr>
          <w:p w14:paraId="24ACBBE8" w14:textId="77777777" w:rsidR="000D1A29" w:rsidRPr="004D2C93" w:rsidRDefault="000D1A29" w:rsidP="00F44BFC">
            <w:pPr>
              <w:rPr>
                <w:rFonts w:ascii="Arial Narrow" w:hAnsi="Arial Narrow" w:cs="Calibri"/>
                <w:sz w:val="20"/>
                <w:szCs w:val="20"/>
              </w:rPr>
            </w:pPr>
            <w:r w:rsidRPr="004D2C93">
              <w:rPr>
                <w:rFonts w:ascii="Arial Narrow" w:hAnsi="Arial Narrow" w:cs="Calibri"/>
                <w:sz w:val="20"/>
                <w:szCs w:val="20"/>
              </w:rPr>
              <w:t>Слънчев лаврак</w:t>
            </w:r>
          </w:p>
        </w:tc>
        <w:tc>
          <w:tcPr>
            <w:tcW w:w="1084" w:type="dxa"/>
            <w:shd w:val="clear" w:color="auto" w:fill="auto"/>
            <w:noWrap/>
            <w:vAlign w:val="center"/>
          </w:tcPr>
          <w:p w14:paraId="11B17E83" w14:textId="77777777" w:rsidR="000D1A29" w:rsidRPr="004D2C93" w:rsidRDefault="000D1A29" w:rsidP="00F44BFC">
            <w:pPr>
              <w:jc w:val="right"/>
              <w:rPr>
                <w:rFonts w:ascii="Arial Narrow" w:hAnsi="Arial Narrow" w:cs="Calibri"/>
                <w:sz w:val="20"/>
                <w:szCs w:val="20"/>
              </w:rPr>
            </w:pPr>
            <w:r w:rsidRPr="004D2C93">
              <w:rPr>
                <w:rFonts w:ascii="Arial Narrow" w:hAnsi="Arial Narrow" w:cs="Calibri"/>
                <w:sz w:val="20"/>
                <w:szCs w:val="20"/>
              </w:rPr>
              <w:t>0,00</w:t>
            </w:r>
          </w:p>
        </w:tc>
        <w:tc>
          <w:tcPr>
            <w:tcW w:w="1093" w:type="dxa"/>
            <w:shd w:val="clear" w:color="auto" w:fill="auto"/>
            <w:noWrap/>
            <w:vAlign w:val="center"/>
          </w:tcPr>
          <w:p w14:paraId="614F2927" w14:textId="77777777" w:rsidR="000D1A29" w:rsidRPr="004D2C93" w:rsidRDefault="000D1A29" w:rsidP="00F44BFC">
            <w:pPr>
              <w:jc w:val="right"/>
              <w:rPr>
                <w:rFonts w:ascii="Arial Narrow" w:hAnsi="Arial Narrow" w:cs="Calibri"/>
                <w:sz w:val="20"/>
                <w:szCs w:val="20"/>
              </w:rPr>
            </w:pPr>
            <w:r w:rsidRPr="004D2C93">
              <w:rPr>
                <w:rFonts w:ascii="Arial Narrow" w:hAnsi="Arial Narrow" w:cs="Calibri"/>
                <w:sz w:val="20"/>
                <w:szCs w:val="20"/>
              </w:rPr>
              <w:t>0,00</w:t>
            </w:r>
          </w:p>
        </w:tc>
        <w:tc>
          <w:tcPr>
            <w:tcW w:w="1112" w:type="dxa"/>
            <w:shd w:val="clear" w:color="auto" w:fill="auto"/>
            <w:noWrap/>
            <w:vAlign w:val="center"/>
          </w:tcPr>
          <w:p w14:paraId="34EA9489" w14:textId="77777777" w:rsidR="000D1A29" w:rsidRPr="004D2C93" w:rsidRDefault="000D1A29" w:rsidP="00F44BFC">
            <w:pPr>
              <w:jc w:val="right"/>
              <w:rPr>
                <w:rFonts w:ascii="Arial Narrow" w:hAnsi="Arial Narrow" w:cs="Calibri"/>
                <w:sz w:val="20"/>
                <w:szCs w:val="20"/>
              </w:rPr>
            </w:pPr>
            <w:r w:rsidRPr="004D2C93">
              <w:rPr>
                <w:rFonts w:ascii="Arial Narrow" w:hAnsi="Arial Narrow" w:cs="Calibri"/>
                <w:sz w:val="20"/>
                <w:szCs w:val="20"/>
              </w:rPr>
              <w:t>0,00</w:t>
            </w:r>
          </w:p>
        </w:tc>
        <w:tc>
          <w:tcPr>
            <w:tcW w:w="1114" w:type="dxa"/>
            <w:shd w:val="clear" w:color="auto" w:fill="auto"/>
            <w:noWrap/>
            <w:vAlign w:val="center"/>
          </w:tcPr>
          <w:p w14:paraId="26511DAB" w14:textId="77777777" w:rsidR="000D1A29" w:rsidRPr="004D2C93" w:rsidRDefault="000D1A29" w:rsidP="00F44BFC">
            <w:pPr>
              <w:jc w:val="right"/>
              <w:rPr>
                <w:rFonts w:ascii="Arial Narrow" w:hAnsi="Arial Narrow" w:cs="Calibri"/>
                <w:sz w:val="20"/>
                <w:szCs w:val="20"/>
              </w:rPr>
            </w:pPr>
            <w:r w:rsidRPr="004D2C93">
              <w:rPr>
                <w:rFonts w:ascii="Arial Narrow" w:hAnsi="Arial Narrow" w:cs="Calibri"/>
                <w:sz w:val="20"/>
                <w:szCs w:val="20"/>
              </w:rPr>
              <w:t>22,85</w:t>
            </w:r>
          </w:p>
        </w:tc>
        <w:tc>
          <w:tcPr>
            <w:tcW w:w="1112" w:type="dxa"/>
            <w:shd w:val="clear" w:color="auto" w:fill="auto"/>
            <w:noWrap/>
            <w:vAlign w:val="center"/>
          </w:tcPr>
          <w:p w14:paraId="10EBF10E" w14:textId="77777777" w:rsidR="000D1A29" w:rsidRPr="004D2C93" w:rsidRDefault="000D1A29" w:rsidP="00F44BFC">
            <w:pPr>
              <w:jc w:val="right"/>
              <w:rPr>
                <w:rFonts w:ascii="Arial Narrow" w:hAnsi="Arial Narrow" w:cs="Calibri"/>
                <w:sz w:val="20"/>
                <w:szCs w:val="20"/>
              </w:rPr>
            </w:pPr>
            <w:r w:rsidRPr="004D2C93">
              <w:rPr>
                <w:rFonts w:ascii="Arial Narrow" w:hAnsi="Arial Narrow" w:cs="Calibri"/>
                <w:sz w:val="20"/>
                <w:szCs w:val="20"/>
              </w:rPr>
              <w:t>0,00</w:t>
            </w:r>
          </w:p>
        </w:tc>
        <w:tc>
          <w:tcPr>
            <w:tcW w:w="1114" w:type="dxa"/>
            <w:shd w:val="clear" w:color="auto" w:fill="auto"/>
            <w:noWrap/>
            <w:vAlign w:val="center"/>
          </w:tcPr>
          <w:p w14:paraId="468B67F3" w14:textId="77777777" w:rsidR="000D1A29" w:rsidRPr="004D2C93" w:rsidRDefault="000D1A29" w:rsidP="00F44BFC">
            <w:pPr>
              <w:jc w:val="right"/>
              <w:rPr>
                <w:rFonts w:ascii="Arial Narrow" w:hAnsi="Arial Narrow" w:cs="Calibri"/>
                <w:sz w:val="20"/>
                <w:szCs w:val="20"/>
              </w:rPr>
            </w:pPr>
            <w:r w:rsidRPr="004D2C93">
              <w:rPr>
                <w:rFonts w:ascii="Arial Narrow" w:hAnsi="Arial Narrow" w:cs="Calibri"/>
                <w:sz w:val="20"/>
                <w:szCs w:val="20"/>
              </w:rPr>
              <w:t>22,85</w:t>
            </w:r>
          </w:p>
        </w:tc>
      </w:tr>
      <w:tr w:rsidR="000D1A29" w:rsidRPr="004D2C93" w14:paraId="5BF5E528" w14:textId="77777777" w:rsidTr="00F44BFC">
        <w:trPr>
          <w:trHeight w:val="312"/>
        </w:trPr>
        <w:tc>
          <w:tcPr>
            <w:tcW w:w="486" w:type="dxa"/>
            <w:shd w:val="clear" w:color="auto" w:fill="auto"/>
            <w:noWrap/>
            <w:vAlign w:val="center"/>
          </w:tcPr>
          <w:p w14:paraId="719C99F1" w14:textId="77777777" w:rsidR="000D1A29" w:rsidRPr="004D2C93" w:rsidRDefault="000D1A29" w:rsidP="00F44BFC">
            <w:pPr>
              <w:rPr>
                <w:rFonts w:ascii="Arial Narrow" w:hAnsi="Arial Narrow" w:cs="Arial"/>
                <w:sz w:val="20"/>
                <w:szCs w:val="20"/>
              </w:rPr>
            </w:pPr>
          </w:p>
        </w:tc>
        <w:tc>
          <w:tcPr>
            <w:tcW w:w="2787" w:type="dxa"/>
            <w:shd w:val="clear" w:color="auto" w:fill="auto"/>
            <w:noWrap/>
            <w:vAlign w:val="center"/>
          </w:tcPr>
          <w:p w14:paraId="1FCAA26C" w14:textId="77777777" w:rsidR="000D1A29" w:rsidRPr="004D2C93" w:rsidRDefault="000D1A29" w:rsidP="00F44BFC">
            <w:pPr>
              <w:rPr>
                <w:rFonts w:ascii="Arial Narrow" w:hAnsi="Arial Narrow" w:cstheme="minorBidi"/>
                <w:b/>
                <w:sz w:val="20"/>
                <w:szCs w:val="20"/>
              </w:rPr>
            </w:pPr>
            <w:r w:rsidRPr="004D2C93">
              <w:rPr>
                <w:rFonts w:ascii="Arial Narrow" w:hAnsi="Arial Narrow" w:cstheme="minorBidi"/>
                <w:b/>
                <w:sz w:val="20"/>
                <w:szCs w:val="20"/>
              </w:rPr>
              <w:t>Общо</w:t>
            </w:r>
          </w:p>
        </w:tc>
        <w:tc>
          <w:tcPr>
            <w:tcW w:w="1084" w:type="dxa"/>
            <w:shd w:val="clear" w:color="auto" w:fill="auto"/>
            <w:noWrap/>
            <w:vAlign w:val="center"/>
          </w:tcPr>
          <w:p w14:paraId="3BC5C40E" w14:textId="77777777" w:rsidR="000D1A29" w:rsidRPr="004D2C93" w:rsidRDefault="000D1A29" w:rsidP="00F44BFC">
            <w:pPr>
              <w:jc w:val="right"/>
              <w:rPr>
                <w:rFonts w:ascii="Arial Narrow" w:hAnsi="Arial Narrow" w:cs="Arial"/>
                <w:b/>
                <w:bCs/>
                <w:sz w:val="20"/>
                <w:szCs w:val="20"/>
              </w:rPr>
            </w:pPr>
            <w:r w:rsidRPr="004D2C93">
              <w:rPr>
                <w:rFonts w:ascii="Arial Narrow" w:hAnsi="Arial Narrow" w:cs="Arial"/>
                <w:b/>
                <w:bCs/>
                <w:sz w:val="20"/>
                <w:szCs w:val="20"/>
              </w:rPr>
              <w:t>1 413,80</w:t>
            </w:r>
          </w:p>
        </w:tc>
        <w:tc>
          <w:tcPr>
            <w:tcW w:w="1093" w:type="dxa"/>
            <w:shd w:val="clear" w:color="auto" w:fill="auto"/>
            <w:noWrap/>
            <w:vAlign w:val="center"/>
          </w:tcPr>
          <w:p w14:paraId="2CFF171E" w14:textId="77777777" w:rsidR="000D1A29" w:rsidRPr="004D2C93" w:rsidRDefault="000D1A29" w:rsidP="00F44BFC">
            <w:pPr>
              <w:jc w:val="right"/>
              <w:rPr>
                <w:rFonts w:ascii="Arial Narrow" w:hAnsi="Arial Narrow" w:cs="Arial"/>
                <w:b/>
                <w:bCs/>
                <w:sz w:val="20"/>
                <w:szCs w:val="20"/>
              </w:rPr>
            </w:pPr>
            <w:r w:rsidRPr="004D2C93">
              <w:rPr>
                <w:rFonts w:ascii="Arial Narrow" w:hAnsi="Arial Narrow" w:cs="Arial"/>
                <w:b/>
                <w:bCs/>
                <w:sz w:val="20"/>
                <w:szCs w:val="20"/>
              </w:rPr>
              <w:t>1 592,20</w:t>
            </w:r>
          </w:p>
        </w:tc>
        <w:tc>
          <w:tcPr>
            <w:tcW w:w="1112" w:type="dxa"/>
            <w:shd w:val="clear" w:color="auto" w:fill="auto"/>
            <w:noWrap/>
            <w:vAlign w:val="center"/>
          </w:tcPr>
          <w:p w14:paraId="51269F0E" w14:textId="77777777" w:rsidR="000D1A29" w:rsidRPr="004D2C93" w:rsidRDefault="000D1A29" w:rsidP="00F44BFC">
            <w:pPr>
              <w:jc w:val="right"/>
              <w:rPr>
                <w:rFonts w:ascii="Arial Narrow" w:hAnsi="Arial Narrow" w:cs="Arial"/>
                <w:b/>
                <w:bCs/>
                <w:sz w:val="20"/>
                <w:szCs w:val="20"/>
              </w:rPr>
            </w:pPr>
            <w:r w:rsidRPr="004D2C93">
              <w:rPr>
                <w:rFonts w:ascii="Arial Narrow" w:hAnsi="Arial Narrow" w:cs="Arial"/>
                <w:b/>
                <w:bCs/>
                <w:sz w:val="20"/>
                <w:szCs w:val="20"/>
              </w:rPr>
              <w:t>12 937,91</w:t>
            </w:r>
          </w:p>
        </w:tc>
        <w:tc>
          <w:tcPr>
            <w:tcW w:w="1114" w:type="dxa"/>
            <w:shd w:val="clear" w:color="auto" w:fill="auto"/>
            <w:noWrap/>
            <w:vAlign w:val="center"/>
          </w:tcPr>
          <w:p w14:paraId="51B0CF06" w14:textId="77777777" w:rsidR="000D1A29" w:rsidRPr="004D2C93" w:rsidRDefault="000D1A29" w:rsidP="00F44BFC">
            <w:pPr>
              <w:jc w:val="right"/>
              <w:rPr>
                <w:rFonts w:ascii="Arial Narrow" w:hAnsi="Arial Narrow" w:cs="Arial"/>
                <w:b/>
                <w:bCs/>
                <w:sz w:val="20"/>
                <w:szCs w:val="20"/>
              </w:rPr>
            </w:pPr>
            <w:r w:rsidRPr="004D2C93">
              <w:rPr>
                <w:rFonts w:ascii="Arial Narrow" w:hAnsi="Arial Narrow" w:cs="Arial"/>
                <w:b/>
                <w:bCs/>
                <w:sz w:val="20"/>
                <w:szCs w:val="20"/>
              </w:rPr>
              <w:t>13 251,79</w:t>
            </w:r>
          </w:p>
        </w:tc>
        <w:tc>
          <w:tcPr>
            <w:tcW w:w="1112" w:type="dxa"/>
            <w:shd w:val="clear" w:color="auto" w:fill="auto"/>
            <w:noWrap/>
            <w:vAlign w:val="center"/>
          </w:tcPr>
          <w:p w14:paraId="07030B73" w14:textId="77777777" w:rsidR="000D1A29" w:rsidRPr="004D2C93" w:rsidRDefault="000D1A29" w:rsidP="00F44BFC">
            <w:pPr>
              <w:jc w:val="right"/>
              <w:rPr>
                <w:rFonts w:ascii="Arial Narrow" w:hAnsi="Arial Narrow" w:cs="Arial"/>
                <w:b/>
                <w:bCs/>
                <w:sz w:val="20"/>
                <w:szCs w:val="20"/>
              </w:rPr>
            </w:pPr>
            <w:r w:rsidRPr="004D2C93">
              <w:rPr>
                <w:rFonts w:ascii="Arial Narrow" w:hAnsi="Arial Narrow" w:cs="Arial"/>
                <w:b/>
                <w:bCs/>
                <w:sz w:val="20"/>
                <w:szCs w:val="20"/>
              </w:rPr>
              <w:t>14 387,65</w:t>
            </w:r>
          </w:p>
        </w:tc>
        <w:tc>
          <w:tcPr>
            <w:tcW w:w="1114" w:type="dxa"/>
            <w:shd w:val="clear" w:color="auto" w:fill="auto"/>
            <w:noWrap/>
            <w:vAlign w:val="center"/>
          </w:tcPr>
          <w:p w14:paraId="1ADAEE55" w14:textId="77777777" w:rsidR="000D1A29" w:rsidRPr="004D2C93" w:rsidRDefault="000D1A29" w:rsidP="00F44BFC">
            <w:pPr>
              <w:jc w:val="right"/>
              <w:rPr>
                <w:rFonts w:ascii="Arial Narrow" w:hAnsi="Arial Narrow" w:cs="Arial"/>
                <w:b/>
                <w:bCs/>
                <w:sz w:val="20"/>
                <w:szCs w:val="20"/>
              </w:rPr>
            </w:pPr>
            <w:r w:rsidRPr="004D2C93">
              <w:rPr>
                <w:rFonts w:ascii="Arial Narrow" w:hAnsi="Arial Narrow" w:cs="Arial"/>
                <w:b/>
                <w:bCs/>
                <w:sz w:val="20"/>
                <w:szCs w:val="20"/>
              </w:rPr>
              <w:t>14 844,00</w:t>
            </w:r>
          </w:p>
        </w:tc>
      </w:tr>
    </w:tbl>
    <w:p w14:paraId="036504CE" w14:textId="77777777" w:rsidR="000D1A29" w:rsidRPr="000D1A29" w:rsidRDefault="000D1A29" w:rsidP="000D1A29">
      <w:pPr>
        <w:tabs>
          <w:tab w:val="left" w:pos="993"/>
        </w:tabs>
        <w:autoSpaceDE w:val="0"/>
        <w:autoSpaceDN w:val="0"/>
        <w:adjustRightInd w:val="0"/>
        <w:spacing w:after="120"/>
        <w:jc w:val="both"/>
        <w:rPr>
          <w:rFonts w:ascii="Arial Narrow" w:hAnsi="Arial Narrow" w:cs="Arial"/>
          <w:iCs/>
          <w:sz w:val="18"/>
        </w:rPr>
      </w:pPr>
      <w:r w:rsidRPr="000D1A29">
        <w:rPr>
          <w:rFonts w:ascii="Arial Narrow" w:hAnsi="Arial Narrow" w:cstheme="minorBidi"/>
          <w:i/>
          <w:iCs/>
          <w:sz w:val="18"/>
        </w:rPr>
        <w:t>Източник</w:t>
      </w:r>
      <w:r w:rsidRPr="000D1A29">
        <w:rPr>
          <w:rFonts w:ascii="Arial Narrow" w:hAnsi="Arial Narrow" w:cs="Arial"/>
          <w:bCs/>
          <w:i/>
          <w:iCs/>
          <w:sz w:val="18"/>
        </w:rPr>
        <w:t xml:space="preserve">: </w:t>
      </w:r>
      <w:r w:rsidRPr="000D1A29">
        <w:rPr>
          <w:rFonts w:ascii="Arial Narrow" w:hAnsi="Arial Narrow" w:cs="Arial"/>
          <w:iCs/>
          <w:sz w:val="18"/>
        </w:rPr>
        <w:t>ИАРА (данните за 2024 г. са актуални към 30.06.2025 г.)</w:t>
      </w:r>
    </w:p>
    <w:p w14:paraId="5575FB12" w14:textId="77777777" w:rsidR="000D1A29" w:rsidRPr="00B10684" w:rsidRDefault="000D1A29" w:rsidP="007858D9">
      <w:pPr>
        <w:spacing w:after="120"/>
        <w:ind w:firstLine="709"/>
        <w:jc w:val="both"/>
        <w:rPr>
          <w:rFonts w:ascii="Arial Narrow" w:hAnsi="Arial Narrow"/>
          <w:color w:val="FF0000"/>
          <w:lang w:val="bg-BG" w:eastAsia="bg-BG"/>
        </w:rPr>
      </w:pPr>
      <w:r w:rsidRPr="001A2CDB">
        <w:rPr>
          <w:rFonts w:ascii="Arial Narrow" w:hAnsi="Arial Narrow"/>
        </w:rPr>
        <w:t>През 2025 г. се очаква нарастване на броя на рибовъдните стопанства и съответно на производството на аквакултури. За развитие на сектора допринасят изграждането на нови стопанства, както и модернизирането и увеличаването на производствени</w:t>
      </w:r>
      <w:r w:rsidR="00905583">
        <w:rPr>
          <w:rFonts w:ascii="Arial Narrow" w:hAnsi="Arial Narrow"/>
          <w:lang w:val="bg-BG"/>
        </w:rPr>
        <w:t>те</w:t>
      </w:r>
      <w:r w:rsidRPr="001A2CDB">
        <w:rPr>
          <w:rFonts w:ascii="Arial Narrow" w:hAnsi="Arial Narrow"/>
        </w:rPr>
        <w:t xml:space="preserve"> мощности</w:t>
      </w:r>
      <w:r w:rsidR="00905583">
        <w:rPr>
          <w:rFonts w:ascii="Arial Narrow" w:hAnsi="Arial Narrow"/>
          <w:lang w:val="bg-BG"/>
        </w:rPr>
        <w:t xml:space="preserve"> на съществуващите стопанства</w:t>
      </w:r>
      <w:r w:rsidRPr="001A2CDB">
        <w:rPr>
          <w:rFonts w:ascii="Arial Narrow" w:hAnsi="Arial Narrow"/>
        </w:rPr>
        <w:t>.</w:t>
      </w:r>
    </w:p>
    <w:p w14:paraId="2A2DD023" w14:textId="77777777" w:rsidR="00441502" w:rsidRPr="00767485" w:rsidRDefault="00441502" w:rsidP="00BF097E">
      <w:pPr>
        <w:keepNext/>
        <w:numPr>
          <w:ilvl w:val="0"/>
          <w:numId w:val="12"/>
        </w:numPr>
        <w:spacing w:after="120"/>
        <w:outlineLvl w:val="0"/>
        <w:rPr>
          <w:rFonts w:ascii="Arial Narrow" w:hAnsi="Arial Narrow" w:cstheme="minorBidi"/>
          <w:b/>
          <w:lang w:val="bg-BG" w:eastAsia="bg-BG"/>
        </w:rPr>
      </w:pPr>
      <w:bookmarkStart w:id="269" w:name="_Toc210747690"/>
      <w:r w:rsidRPr="00767485">
        <w:rPr>
          <w:rFonts w:ascii="Arial Narrow" w:hAnsi="Arial Narrow" w:cstheme="minorBidi"/>
          <w:b/>
          <w:lang w:val="bg-BG" w:eastAsia="bg-BG"/>
        </w:rPr>
        <w:lastRenderedPageBreak/>
        <w:t>Внос и износ на риба и рибни продукти</w:t>
      </w:r>
      <w:bookmarkEnd w:id="269"/>
    </w:p>
    <w:p w14:paraId="3A968616" w14:textId="77777777" w:rsidR="00441502" w:rsidRPr="00767485" w:rsidRDefault="00441502" w:rsidP="00BF097E">
      <w:pPr>
        <w:keepNext/>
        <w:spacing w:after="120"/>
        <w:ind w:firstLine="706"/>
        <w:jc w:val="both"/>
        <w:rPr>
          <w:rFonts w:ascii="Arial Narrow" w:hAnsi="Arial Narrow" w:cstheme="minorBidi"/>
          <w:b/>
          <w:lang w:val="bg-BG" w:eastAsia="bg-BG"/>
        </w:rPr>
      </w:pPr>
      <w:r w:rsidRPr="00767485">
        <w:rPr>
          <w:rFonts w:ascii="Arial Narrow" w:hAnsi="Arial Narrow" w:cstheme="minorBidi"/>
          <w:b/>
          <w:lang w:val="bg-BG" w:eastAsia="bg-BG"/>
        </w:rPr>
        <w:t>Внос</w:t>
      </w:r>
    </w:p>
    <w:p w14:paraId="3BA2DCC0" w14:textId="77777777" w:rsidR="00767485" w:rsidRPr="00767485" w:rsidRDefault="00767485" w:rsidP="00767485">
      <w:pPr>
        <w:spacing w:after="120"/>
        <w:ind w:firstLine="709"/>
        <w:jc w:val="both"/>
        <w:rPr>
          <w:rFonts w:ascii="Arial Narrow" w:hAnsi="Arial Narrow"/>
          <w:lang w:val="bg-BG" w:eastAsia="bg-BG"/>
        </w:rPr>
      </w:pPr>
      <w:r w:rsidRPr="00767485">
        <w:rPr>
          <w:rFonts w:ascii="Arial Narrow" w:hAnsi="Arial Narrow"/>
          <w:lang w:val="bg-BG" w:eastAsia="bg-BG"/>
        </w:rPr>
        <w:t xml:space="preserve">По данни на НСИ, през 2024 г. общият внос на риба и рибни продукти в страната възлиза на 39 306 тона, с 2,7% под нивото от 2023 г. В сравнение с предходната година се наблюдава намаление на вноса на замразена риба и филета, мекотели и други водни безгръбначни (живи, пресни, охладени, замразени, сушени), готови храни и консерви от риби и консервирани ракообразни и мекотели и увеличение на този на жива риба, прясна и охладена риба, осолена и сушена риба и ракообразни. </w:t>
      </w:r>
    </w:p>
    <w:p w14:paraId="71FB74A9" w14:textId="77777777" w:rsidR="00767485" w:rsidRPr="00767485" w:rsidRDefault="00767485" w:rsidP="00767485">
      <w:pPr>
        <w:keepNext/>
        <w:spacing w:after="120"/>
        <w:jc w:val="both"/>
        <w:rPr>
          <w:rFonts w:ascii="Arial Narrow" w:hAnsi="Arial Narrow"/>
          <w:b/>
          <w:bCs/>
          <w:lang w:val="bg-BG" w:eastAsia="bg-BG"/>
        </w:rPr>
      </w:pPr>
      <w:r w:rsidRPr="00767485">
        <w:rPr>
          <w:rFonts w:ascii="Arial Narrow" w:hAnsi="Arial Narrow"/>
          <w:b/>
          <w:bCs/>
          <w:lang w:val="bg-BG" w:eastAsia="bg-BG"/>
        </w:rPr>
        <w:t>Таблица VІІ.4. Внос на риба, други водни организми и рибни продукти, тона</w:t>
      </w:r>
    </w:p>
    <w:tbl>
      <w:tblPr>
        <w:tblW w:w="973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0"/>
        <w:gridCol w:w="1235"/>
        <w:gridCol w:w="1413"/>
        <w:gridCol w:w="1413"/>
      </w:tblGrid>
      <w:tr w:rsidR="00767485" w:rsidRPr="00767485" w14:paraId="6973AABA" w14:textId="77777777" w:rsidTr="00F44BFC">
        <w:trPr>
          <w:trHeight w:val="567"/>
          <w:tblHeader/>
        </w:trPr>
        <w:tc>
          <w:tcPr>
            <w:tcW w:w="5670" w:type="dxa"/>
            <w:vAlign w:val="center"/>
          </w:tcPr>
          <w:p w14:paraId="56B7591A" w14:textId="77777777" w:rsidR="00767485" w:rsidRPr="00767485" w:rsidRDefault="00767485" w:rsidP="00767485">
            <w:pPr>
              <w:keepNext/>
              <w:jc w:val="center"/>
              <w:rPr>
                <w:rFonts w:ascii="Arial Narrow" w:hAnsi="Arial Narrow" w:cs="Arial"/>
                <w:b/>
                <w:bCs/>
                <w:sz w:val="20"/>
                <w:szCs w:val="20"/>
                <w:lang w:val="bg-BG" w:eastAsia="bg-BG"/>
              </w:rPr>
            </w:pPr>
            <w:r w:rsidRPr="00767485">
              <w:rPr>
                <w:rFonts w:ascii="Arial Narrow" w:hAnsi="Arial Narrow" w:cs="Arial"/>
                <w:b/>
                <w:bCs/>
                <w:sz w:val="20"/>
                <w:szCs w:val="20"/>
                <w:lang w:val="bg-BG" w:eastAsia="bg-BG"/>
              </w:rPr>
              <w:t xml:space="preserve">Продукти </w:t>
            </w:r>
          </w:p>
        </w:tc>
        <w:tc>
          <w:tcPr>
            <w:tcW w:w="1235" w:type="dxa"/>
            <w:shd w:val="clear" w:color="auto" w:fill="FFFFFF"/>
            <w:vAlign w:val="center"/>
          </w:tcPr>
          <w:p w14:paraId="52E20EE3" w14:textId="77777777" w:rsidR="00767485" w:rsidRPr="00767485" w:rsidRDefault="00767485" w:rsidP="00767485">
            <w:pPr>
              <w:keepNext/>
              <w:jc w:val="center"/>
              <w:rPr>
                <w:rFonts w:ascii="Arial Narrow" w:hAnsi="Arial Narrow" w:cs="Arial"/>
                <w:b/>
                <w:bCs/>
                <w:sz w:val="20"/>
                <w:szCs w:val="20"/>
                <w:lang w:val="bg-BG" w:eastAsia="bg-BG"/>
              </w:rPr>
            </w:pPr>
            <w:r w:rsidRPr="00767485">
              <w:rPr>
                <w:rFonts w:ascii="Arial Narrow" w:hAnsi="Arial Narrow" w:cs="Arial"/>
                <w:b/>
                <w:bCs/>
                <w:sz w:val="20"/>
                <w:szCs w:val="20"/>
                <w:lang w:val="bg-BG" w:eastAsia="bg-BG"/>
              </w:rPr>
              <w:t>2023</w:t>
            </w:r>
          </w:p>
        </w:tc>
        <w:tc>
          <w:tcPr>
            <w:tcW w:w="1413" w:type="dxa"/>
            <w:tcBorders>
              <w:right w:val="single" w:sz="4" w:space="0" w:color="auto"/>
            </w:tcBorders>
            <w:shd w:val="clear" w:color="auto" w:fill="FFFFFF"/>
            <w:vAlign w:val="center"/>
          </w:tcPr>
          <w:p w14:paraId="45620F81" w14:textId="77777777" w:rsidR="00767485" w:rsidRPr="00767485" w:rsidRDefault="00767485" w:rsidP="00767485">
            <w:pPr>
              <w:keepNext/>
              <w:jc w:val="center"/>
              <w:rPr>
                <w:rFonts w:ascii="Arial Narrow" w:hAnsi="Arial Narrow" w:cs="Arial"/>
                <w:b/>
                <w:bCs/>
                <w:sz w:val="20"/>
                <w:szCs w:val="20"/>
                <w:lang w:val="bg-BG" w:eastAsia="bg-BG"/>
              </w:rPr>
            </w:pPr>
            <w:r w:rsidRPr="00767485">
              <w:rPr>
                <w:rFonts w:ascii="Arial Narrow" w:hAnsi="Arial Narrow" w:cs="Arial"/>
                <w:b/>
                <w:bCs/>
                <w:sz w:val="20"/>
                <w:szCs w:val="20"/>
                <w:lang w:val="bg-BG" w:eastAsia="bg-BG"/>
              </w:rPr>
              <w:t>2024</w:t>
            </w:r>
          </w:p>
        </w:tc>
        <w:tc>
          <w:tcPr>
            <w:tcW w:w="1413" w:type="dxa"/>
            <w:tcBorders>
              <w:top w:val="single" w:sz="4" w:space="0" w:color="auto"/>
              <w:left w:val="single" w:sz="4" w:space="0" w:color="auto"/>
              <w:right w:val="single" w:sz="4" w:space="0" w:color="auto"/>
            </w:tcBorders>
            <w:noWrap/>
            <w:vAlign w:val="center"/>
          </w:tcPr>
          <w:p w14:paraId="5DF99710" w14:textId="77777777" w:rsidR="00767485" w:rsidRPr="00767485" w:rsidRDefault="00767485" w:rsidP="00767485">
            <w:pPr>
              <w:keepNext/>
              <w:jc w:val="center"/>
              <w:rPr>
                <w:rFonts w:ascii="Arial Narrow" w:hAnsi="Arial Narrow" w:cs="Arial"/>
                <w:b/>
                <w:bCs/>
                <w:sz w:val="20"/>
                <w:szCs w:val="20"/>
                <w:lang w:val="bg-BG" w:eastAsia="bg-BG"/>
              </w:rPr>
            </w:pPr>
            <w:r w:rsidRPr="00767485">
              <w:rPr>
                <w:rFonts w:ascii="Arial Narrow" w:hAnsi="Arial Narrow" w:cs="Arial"/>
                <w:b/>
                <w:bCs/>
                <w:sz w:val="20"/>
                <w:szCs w:val="20"/>
                <w:lang w:val="bg-BG" w:eastAsia="bg-BG"/>
              </w:rPr>
              <w:t>Изменение</w:t>
            </w:r>
          </w:p>
          <w:p w14:paraId="4B251A6D" w14:textId="77777777" w:rsidR="00767485" w:rsidRPr="00767485" w:rsidRDefault="00767485" w:rsidP="00767485">
            <w:pPr>
              <w:keepNext/>
              <w:jc w:val="center"/>
              <w:rPr>
                <w:rFonts w:ascii="Arial Narrow" w:hAnsi="Arial Narrow" w:cs="Arial"/>
                <w:b/>
                <w:bCs/>
                <w:sz w:val="20"/>
                <w:szCs w:val="20"/>
                <w:lang w:val="bg-BG" w:eastAsia="bg-BG"/>
              </w:rPr>
            </w:pPr>
            <w:r w:rsidRPr="00767485">
              <w:rPr>
                <w:rFonts w:ascii="Arial Narrow" w:hAnsi="Arial Narrow" w:cs="Arial"/>
                <w:b/>
                <w:bCs/>
                <w:sz w:val="20"/>
                <w:szCs w:val="20"/>
                <w:lang w:val="bg-BG" w:eastAsia="bg-BG"/>
              </w:rPr>
              <w:t>2024/2023</w:t>
            </w:r>
          </w:p>
        </w:tc>
      </w:tr>
      <w:tr w:rsidR="00767485" w:rsidRPr="00767485" w14:paraId="239F1218" w14:textId="77777777" w:rsidTr="00F44BFC">
        <w:trPr>
          <w:trHeight w:val="397"/>
        </w:trPr>
        <w:tc>
          <w:tcPr>
            <w:tcW w:w="5670" w:type="dxa"/>
            <w:vAlign w:val="center"/>
          </w:tcPr>
          <w:p w14:paraId="15698753" w14:textId="77777777" w:rsidR="00767485" w:rsidRPr="00767485" w:rsidRDefault="00767485" w:rsidP="00767485">
            <w:pPr>
              <w:rPr>
                <w:rFonts w:ascii="Arial Narrow" w:hAnsi="Arial Narrow" w:cs="Arial"/>
                <w:b/>
                <w:bCs/>
                <w:sz w:val="20"/>
                <w:szCs w:val="20"/>
                <w:lang w:val="bg-BG" w:eastAsia="bg-BG"/>
              </w:rPr>
            </w:pPr>
            <w:r w:rsidRPr="00767485">
              <w:rPr>
                <w:rFonts w:ascii="Arial Narrow" w:hAnsi="Arial Narrow" w:cs="Arial"/>
                <w:b/>
                <w:bCs/>
                <w:sz w:val="20"/>
                <w:szCs w:val="20"/>
                <w:lang w:val="bg-BG" w:eastAsia="bg-BG"/>
              </w:rPr>
              <w:t>Риба, други водни организми и рибни продукти – общо, в т.ч.:</w:t>
            </w:r>
          </w:p>
        </w:tc>
        <w:tc>
          <w:tcPr>
            <w:tcW w:w="12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794842" w14:textId="77777777" w:rsidR="00767485" w:rsidRPr="00767485" w:rsidRDefault="00767485" w:rsidP="00767485">
            <w:pPr>
              <w:jc w:val="right"/>
              <w:rPr>
                <w:rFonts w:ascii="Arial Narrow" w:hAnsi="Arial Narrow" w:cs="Arial"/>
                <w:b/>
                <w:bCs/>
                <w:sz w:val="20"/>
                <w:szCs w:val="20"/>
                <w:lang w:val="bg-BG" w:eastAsia="bg-BG"/>
              </w:rPr>
            </w:pPr>
            <w:r w:rsidRPr="00767485">
              <w:rPr>
                <w:rFonts w:ascii="Arial Narrow" w:hAnsi="Arial Narrow" w:cs="Arial"/>
                <w:b/>
                <w:bCs/>
                <w:sz w:val="20"/>
                <w:szCs w:val="20"/>
                <w:lang w:val="bg-BG" w:eastAsia="bg-BG"/>
              </w:rPr>
              <w:t>40 402</w:t>
            </w:r>
          </w:p>
        </w:tc>
        <w:tc>
          <w:tcPr>
            <w:tcW w:w="1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D5BBEF" w14:textId="77777777" w:rsidR="00767485" w:rsidRPr="00767485" w:rsidRDefault="00767485" w:rsidP="00767485">
            <w:pPr>
              <w:jc w:val="right"/>
              <w:rPr>
                <w:rFonts w:ascii="Arial Narrow" w:hAnsi="Arial Narrow" w:cs="Arial"/>
                <w:b/>
                <w:bCs/>
                <w:sz w:val="20"/>
                <w:szCs w:val="20"/>
                <w:lang w:val="bg-BG" w:eastAsia="bg-BG"/>
              </w:rPr>
            </w:pPr>
            <w:r w:rsidRPr="00767485">
              <w:rPr>
                <w:rFonts w:ascii="Arial Narrow" w:hAnsi="Arial Narrow" w:cs="Arial"/>
                <w:b/>
                <w:bCs/>
                <w:sz w:val="20"/>
                <w:szCs w:val="20"/>
                <w:lang w:val="bg-BG" w:eastAsia="bg-BG"/>
              </w:rPr>
              <w:t>39 306</w:t>
            </w:r>
          </w:p>
        </w:tc>
        <w:tc>
          <w:tcPr>
            <w:tcW w:w="1413" w:type="dxa"/>
            <w:tcBorders>
              <w:top w:val="single" w:sz="4" w:space="0" w:color="auto"/>
              <w:left w:val="nil"/>
              <w:bottom w:val="single" w:sz="4" w:space="0" w:color="auto"/>
              <w:right w:val="single" w:sz="4" w:space="0" w:color="auto"/>
            </w:tcBorders>
            <w:shd w:val="clear" w:color="000000" w:fill="FFFFFF"/>
            <w:noWrap/>
            <w:vAlign w:val="center"/>
          </w:tcPr>
          <w:p w14:paraId="59977CE4" w14:textId="77777777" w:rsidR="00767485" w:rsidRPr="00767485" w:rsidRDefault="00767485" w:rsidP="00767485">
            <w:pPr>
              <w:jc w:val="right"/>
              <w:rPr>
                <w:rFonts w:ascii="Arial Narrow" w:hAnsi="Arial Narrow" w:cs="Arial"/>
                <w:b/>
                <w:bCs/>
                <w:sz w:val="20"/>
                <w:szCs w:val="20"/>
                <w:lang w:val="bg-BG" w:eastAsia="bg-BG"/>
              </w:rPr>
            </w:pPr>
            <w:r w:rsidRPr="00767485">
              <w:rPr>
                <w:rFonts w:ascii="Arial Narrow" w:hAnsi="Arial Narrow" w:cs="Arial"/>
                <w:b/>
                <w:bCs/>
                <w:sz w:val="20"/>
                <w:szCs w:val="20"/>
                <w:lang w:val="bg-BG" w:eastAsia="bg-BG"/>
              </w:rPr>
              <w:t>-2,7%</w:t>
            </w:r>
          </w:p>
        </w:tc>
      </w:tr>
      <w:tr w:rsidR="00767485" w:rsidRPr="00767485" w14:paraId="46ACEE89" w14:textId="77777777" w:rsidTr="00F44BFC">
        <w:trPr>
          <w:trHeight w:val="397"/>
        </w:trPr>
        <w:tc>
          <w:tcPr>
            <w:tcW w:w="5670" w:type="dxa"/>
            <w:vAlign w:val="center"/>
          </w:tcPr>
          <w:p w14:paraId="2885DF56" w14:textId="77777777" w:rsidR="00767485" w:rsidRPr="00767485" w:rsidRDefault="00767485" w:rsidP="00767485">
            <w:pPr>
              <w:rPr>
                <w:rFonts w:ascii="Arial Narrow" w:hAnsi="Arial Narrow" w:cs="Arial"/>
                <w:sz w:val="20"/>
                <w:szCs w:val="20"/>
                <w:lang w:val="bg-BG" w:eastAsia="bg-BG"/>
              </w:rPr>
            </w:pPr>
            <w:r w:rsidRPr="00767485">
              <w:rPr>
                <w:rFonts w:ascii="Arial Narrow" w:hAnsi="Arial Narrow" w:cs="Arial"/>
                <w:sz w:val="20"/>
                <w:szCs w:val="20"/>
                <w:lang w:val="bg-BG" w:eastAsia="bg-BG"/>
              </w:rPr>
              <w:t xml:space="preserve">Живи риби - сладководни и морски </w:t>
            </w:r>
          </w:p>
        </w:tc>
        <w:tc>
          <w:tcPr>
            <w:tcW w:w="1235" w:type="dxa"/>
            <w:tcBorders>
              <w:top w:val="nil"/>
              <w:left w:val="single" w:sz="4" w:space="0" w:color="auto"/>
              <w:bottom w:val="single" w:sz="4" w:space="0" w:color="auto"/>
              <w:right w:val="single" w:sz="4" w:space="0" w:color="auto"/>
            </w:tcBorders>
            <w:shd w:val="clear" w:color="auto" w:fill="auto"/>
            <w:noWrap/>
            <w:vAlign w:val="center"/>
          </w:tcPr>
          <w:p w14:paraId="32D5BE0F" w14:textId="77777777" w:rsidR="00767485" w:rsidRPr="00767485" w:rsidRDefault="00767485" w:rsidP="00767485">
            <w:pPr>
              <w:jc w:val="right"/>
              <w:rPr>
                <w:rFonts w:ascii="Arial Narrow" w:hAnsi="Arial Narrow" w:cs="Arial"/>
                <w:sz w:val="20"/>
                <w:szCs w:val="20"/>
                <w:lang w:val="bg-BG" w:eastAsia="bg-BG"/>
              </w:rPr>
            </w:pPr>
            <w:r w:rsidRPr="00767485">
              <w:rPr>
                <w:rFonts w:ascii="Arial Narrow" w:hAnsi="Arial Narrow" w:cs="Arial"/>
                <w:sz w:val="20"/>
                <w:szCs w:val="20"/>
                <w:lang w:val="bg-BG" w:eastAsia="bg-BG"/>
              </w:rPr>
              <w:t>623</w:t>
            </w:r>
          </w:p>
        </w:tc>
        <w:tc>
          <w:tcPr>
            <w:tcW w:w="1413" w:type="dxa"/>
            <w:tcBorders>
              <w:top w:val="nil"/>
              <w:left w:val="single" w:sz="4" w:space="0" w:color="auto"/>
              <w:bottom w:val="single" w:sz="4" w:space="0" w:color="auto"/>
              <w:right w:val="single" w:sz="4" w:space="0" w:color="auto"/>
            </w:tcBorders>
            <w:shd w:val="clear" w:color="000000" w:fill="FFFFFF"/>
            <w:noWrap/>
            <w:vAlign w:val="center"/>
          </w:tcPr>
          <w:p w14:paraId="4CE91ACB" w14:textId="77777777" w:rsidR="00767485" w:rsidRPr="00767485" w:rsidRDefault="00767485" w:rsidP="00767485">
            <w:pPr>
              <w:jc w:val="right"/>
              <w:rPr>
                <w:rFonts w:ascii="Arial Narrow" w:hAnsi="Arial Narrow" w:cs="Arial"/>
                <w:sz w:val="20"/>
                <w:szCs w:val="20"/>
                <w:lang w:val="bg-BG" w:eastAsia="bg-BG"/>
              </w:rPr>
            </w:pPr>
            <w:r w:rsidRPr="00767485">
              <w:rPr>
                <w:rFonts w:ascii="Arial Narrow" w:hAnsi="Arial Narrow" w:cs="Arial"/>
                <w:sz w:val="20"/>
                <w:szCs w:val="20"/>
                <w:lang w:val="bg-BG" w:eastAsia="bg-BG"/>
              </w:rPr>
              <w:t>693</w:t>
            </w:r>
          </w:p>
        </w:tc>
        <w:tc>
          <w:tcPr>
            <w:tcW w:w="1413" w:type="dxa"/>
            <w:tcBorders>
              <w:top w:val="nil"/>
              <w:left w:val="nil"/>
              <w:bottom w:val="single" w:sz="4" w:space="0" w:color="auto"/>
              <w:right w:val="single" w:sz="4" w:space="0" w:color="auto"/>
            </w:tcBorders>
            <w:shd w:val="clear" w:color="000000" w:fill="FFFFFF"/>
            <w:noWrap/>
            <w:vAlign w:val="center"/>
          </w:tcPr>
          <w:p w14:paraId="25B5B351" w14:textId="77777777" w:rsidR="00767485" w:rsidRPr="00767485" w:rsidRDefault="00767485" w:rsidP="00767485">
            <w:pPr>
              <w:jc w:val="right"/>
              <w:rPr>
                <w:rFonts w:ascii="Arial Narrow" w:hAnsi="Arial Narrow" w:cs="Arial"/>
                <w:sz w:val="20"/>
                <w:szCs w:val="20"/>
                <w:lang w:val="bg-BG" w:eastAsia="bg-BG"/>
              </w:rPr>
            </w:pPr>
            <w:r w:rsidRPr="00767485">
              <w:rPr>
                <w:rFonts w:ascii="Arial Narrow" w:hAnsi="Arial Narrow" w:cs="Arial"/>
                <w:sz w:val="20"/>
                <w:szCs w:val="20"/>
                <w:lang w:val="bg-BG" w:eastAsia="bg-BG"/>
              </w:rPr>
              <w:t>11,1%</w:t>
            </w:r>
          </w:p>
        </w:tc>
      </w:tr>
      <w:tr w:rsidR="00767485" w:rsidRPr="00767485" w14:paraId="6F5176FA" w14:textId="77777777" w:rsidTr="00F44BFC">
        <w:trPr>
          <w:trHeight w:val="397"/>
        </w:trPr>
        <w:tc>
          <w:tcPr>
            <w:tcW w:w="5670" w:type="dxa"/>
            <w:vAlign w:val="center"/>
          </w:tcPr>
          <w:p w14:paraId="7347DBE0" w14:textId="77777777" w:rsidR="00767485" w:rsidRPr="00767485" w:rsidRDefault="00767485" w:rsidP="00767485">
            <w:pPr>
              <w:rPr>
                <w:rFonts w:ascii="Arial Narrow" w:hAnsi="Arial Narrow" w:cs="Arial"/>
                <w:sz w:val="20"/>
                <w:szCs w:val="20"/>
                <w:lang w:val="bg-BG" w:eastAsia="bg-BG"/>
              </w:rPr>
            </w:pPr>
            <w:r w:rsidRPr="00767485">
              <w:rPr>
                <w:rFonts w:ascii="Arial Narrow" w:hAnsi="Arial Narrow" w:cs="Arial"/>
                <w:sz w:val="20"/>
                <w:szCs w:val="20"/>
                <w:lang w:val="bg-BG" w:eastAsia="bg-BG"/>
              </w:rPr>
              <w:t>Риби - пресни или охладени, с изкл. на филетата</w:t>
            </w:r>
          </w:p>
        </w:tc>
        <w:tc>
          <w:tcPr>
            <w:tcW w:w="1235" w:type="dxa"/>
            <w:tcBorders>
              <w:top w:val="nil"/>
              <w:left w:val="single" w:sz="4" w:space="0" w:color="auto"/>
              <w:bottom w:val="single" w:sz="4" w:space="0" w:color="auto"/>
              <w:right w:val="single" w:sz="4" w:space="0" w:color="auto"/>
            </w:tcBorders>
            <w:shd w:val="clear" w:color="auto" w:fill="auto"/>
            <w:noWrap/>
            <w:vAlign w:val="center"/>
          </w:tcPr>
          <w:p w14:paraId="26CB25F9" w14:textId="77777777" w:rsidR="00767485" w:rsidRPr="00767485" w:rsidRDefault="00767485" w:rsidP="00767485">
            <w:pPr>
              <w:jc w:val="right"/>
              <w:rPr>
                <w:rFonts w:ascii="Arial Narrow" w:hAnsi="Arial Narrow" w:cs="Arial"/>
                <w:sz w:val="20"/>
                <w:szCs w:val="20"/>
                <w:lang w:val="bg-BG" w:eastAsia="bg-BG"/>
              </w:rPr>
            </w:pPr>
            <w:r w:rsidRPr="00767485">
              <w:rPr>
                <w:rFonts w:ascii="Arial Narrow" w:hAnsi="Arial Narrow" w:cs="Arial"/>
                <w:sz w:val="20"/>
                <w:szCs w:val="20"/>
                <w:lang w:val="bg-BG" w:eastAsia="bg-BG"/>
              </w:rPr>
              <w:t>5 719</w:t>
            </w:r>
          </w:p>
        </w:tc>
        <w:tc>
          <w:tcPr>
            <w:tcW w:w="1413" w:type="dxa"/>
            <w:tcBorders>
              <w:top w:val="nil"/>
              <w:left w:val="single" w:sz="4" w:space="0" w:color="auto"/>
              <w:bottom w:val="single" w:sz="4" w:space="0" w:color="auto"/>
              <w:right w:val="single" w:sz="4" w:space="0" w:color="auto"/>
            </w:tcBorders>
            <w:shd w:val="clear" w:color="000000" w:fill="FFFFFF"/>
            <w:noWrap/>
            <w:vAlign w:val="center"/>
          </w:tcPr>
          <w:p w14:paraId="5A7C9633" w14:textId="77777777" w:rsidR="00767485" w:rsidRPr="00767485" w:rsidRDefault="00767485" w:rsidP="00767485">
            <w:pPr>
              <w:jc w:val="right"/>
              <w:rPr>
                <w:rFonts w:ascii="Arial Narrow" w:hAnsi="Arial Narrow" w:cs="Arial"/>
                <w:sz w:val="20"/>
                <w:szCs w:val="20"/>
                <w:lang w:val="bg-BG" w:eastAsia="bg-BG"/>
              </w:rPr>
            </w:pPr>
            <w:r w:rsidRPr="00767485">
              <w:rPr>
                <w:rFonts w:ascii="Arial Narrow" w:hAnsi="Arial Narrow" w:cs="Arial"/>
                <w:sz w:val="20"/>
                <w:szCs w:val="20"/>
                <w:lang w:val="bg-BG" w:eastAsia="bg-BG"/>
              </w:rPr>
              <w:t>6 321</w:t>
            </w:r>
          </w:p>
        </w:tc>
        <w:tc>
          <w:tcPr>
            <w:tcW w:w="1413" w:type="dxa"/>
            <w:tcBorders>
              <w:top w:val="nil"/>
              <w:left w:val="nil"/>
              <w:bottom w:val="single" w:sz="4" w:space="0" w:color="auto"/>
              <w:right w:val="single" w:sz="4" w:space="0" w:color="auto"/>
            </w:tcBorders>
            <w:shd w:val="clear" w:color="000000" w:fill="FFFFFF"/>
            <w:noWrap/>
            <w:vAlign w:val="center"/>
          </w:tcPr>
          <w:p w14:paraId="789B0D12" w14:textId="77777777" w:rsidR="00767485" w:rsidRPr="00767485" w:rsidRDefault="00767485" w:rsidP="00767485">
            <w:pPr>
              <w:jc w:val="right"/>
              <w:rPr>
                <w:rFonts w:ascii="Arial Narrow" w:hAnsi="Arial Narrow" w:cs="Arial"/>
                <w:sz w:val="20"/>
                <w:szCs w:val="20"/>
                <w:lang w:val="bg-BG" w:eastAsia="bg-BG"/>
              </w:rPr>
            </w:pPr>
            <w:r w:rsidRPr="00767485">
              <w:rPr>
                <w:rFonts w:ascii="Arial Narrow" w:hAnsi="Arial Narrow" w:cs="Arial"/>
                <w:sz w:val="20"/>
                <w:szCs w:val="20"/>
                <w:lang w:val="bg-BG" w:eastAsia="bg-BG"/>
              </w:rPr>
              <w:t>10,5%</w:t>
            </w:r>
          </w:p>
        </w:tc>
      </w:tr>
      <w:tr w:rsidR="00767485" w:rsidRPr="00767485" w14:paraId="25D89771" w14:textId="77777777" w:rsidTr="00F44BFC">
        <w:trPr>
          <w:trHeight w:val="397"/>
        </w:trPr>
        <w:tc>
          <w:tcPr>
            <w:tcW w:w="5670" w:type="dxa"/>
            <w:vAlign w:val="center"/>
          </w:tcPr>
          <w:p w14:paraId="234E5660" w14:textId="77777777" w:rsidR="00767485" w:rsidRPr="00767485" w:rsidRDefault="00767485" w:rsidP="00767485">
            <w:pPr>
              <w:rPr>
                <w:rFonts w:ascii="Arial Narrow" w:hAnsi="Arial Narrow" w:cs="Arial"/>
                <w:sz w:val="20"/>
                <w:szCs w:val="20"/>
                <w:lang w:val="bg-BG" w:eastAsia="bg-BG"/>
              </w:rPr>
            </w:pPr>
            <w:r w:rsidRPr="00767485">
              <w:rPr>
                <w:rFonts w:ascii="Arial Narrow" w:hAnsi="Arial Narrow" w:cs="Arial"/>
                <w:sz w:val="20"/>
                <w:szCs w:val="20"/>
                <w:lang w:val="bg-BG" w:eastAsia="bg-BG"/>
              </w:rPr>
              <w:t>Риби - замразени, с изкл. на филетата</w:t>
            </w:r>
          </w:p>
        </w:tc>
        <w:tc>
          <w:tcPr>
            <w:tcW w:w="1235" w:type="dxa"/>
            <w:tcBorders>
              <w:top w:val="nil"/>
              <w:left w:val="single" w:sz="4" w:space="0" w:color="auto"/>
              <w:bottom w:val="single" w:sz="4" w:space="0" w:color="auto"/>
              <w:right w:val="single" w:sz="4" w:space="0" w:color="auto"/>
            </w:tcBorders>
            <w:shd w:val="clear" w:color="auto" w:fill="auto"/>
            <w:noWrap/>
            <w:vAlign w:val="center"/>
          </w:tcPr>
          <w:p w14:paraId="0F54569A" w14:textId="77777777" w:rsidR="00767485" w:rsidRPr="00767485" w:rsidRDefault="00767485" w:rsidP="00767485">
            <w:pPr>
              <w:jc w:val="right"/>
              <w:rPr>
                <w:rFonts w:ascii="Arial Narrow" w:hAnsi="Arial Narrow" w:cs="Arial"/>
                <w:sz w:val="20"/>
                <w:szCs w:val="20"/>
                <w:lang w:val="bg-BG" w:eastAsia="bg-BG"/>
              </w:rPr>
            </w:pPr>
            <w:r w:rsidRPr="00767485">
              <w:rPr>
                <w:rFonts w:ascii="Arial Narrow" w:hAnsi="Arial Narrow" w:cs="Arial"/>
                <w:sz w:val="20"/>
                <w:szCs w:val="20"/>
                <w:lang w:val="bg-BG" w:eastAsia="bg-BG"/>
              </w:rPr>
              <w:t>16 034</w:t>
            </w:r>
          </w:p>
        </w:tc>
        <w:tc>
          <w:tcPr>
            <w:tcW w:w="1413" w:type="dxa"/>
            <w:tcBorders>
              <w:top w:val="nil"/>
              <w:left w:val="single" w:sz="4" w:space="0" w:color="auto"/>
              <w:bottom w:val="single" w:sz="4" w:space="0" w:color="auto"/>
              <w:right w:val="single" w:sz="4" w:space="0" w:color="auto"/>
            </w:tcBorders>
            <w:shd w:val="clear" w:color="000000" w:fill="FFFFFF"/>
            <w:noWrap/>
            <w:vAlign w:val="center"/>
          </w:tcPr>
          <w:p w14:paraId="318B0E7D" w14:textId="77777777" w:rsidR="00767485" w:rsidRPr="00767485" w:rsidRDefault="00767485" w:rsidP="00767485">
            <w:pPr>
              <w:jc w:val="right"/>
              <w:rPr>
                <w:rFonts w:ascii="Arial Narrow" w:hAnsi="Arial Narrow" w:cs="Arial"/>
                <w:sz w:val="20"/>
                <w:szCs w:val="20"/>
                <w:lang w:val="bg-BG" w:eastAsia="bg-BG"/>
              </w:rPr>
            </w:pPr>
            <w:r w:rsidRPr="00767485">
              <w:rPr>
                <w:rFonts w:ascii="Arial Narrow" w:hAnsi="Arial Narrow" w:cs="Arial"/>
                <w:sz w:val="20"/>
                <w:szCs w:val="20"/>
                <w:lang w:val="bg-BG" w:eastAsia="bg-BG"/>
              </w:rPr>
              <w:t>15 835</w:t>
            </w:r>
          </w:p>
        </w:tc>
        <w:tc>
          <w:tcPr>
            <w:tcW w:w="1413" w:type="dxa"/>
            <w:tcBorders>
              <w:top w:val="nil"/>
              <w:left w:val="nil"/>
              <w:bottom w:val="single" w:sz="4" w:space="0" w:color="auto"/>
              <w:right w:val="single" w:sz="4" w:space="0" w:color="auto"/>
            </w:tcBorders>
            <w:shd w:val="clear" w:color="000000" w:fill="FFFFFF"/>
            <w:noWrap/>
            <w:vAlign w:val="center"/>
          </w:tcPr>
          <w:p w14:paraId="3EB7A242" w14:textId="77777777" w:rsidR="00767485" w:rsidRPr="00767485" w:rsidRDefault="00767485" w:rsidP="00767485">
            <w:pPr>
              <w:jc w:val="right"/>
              <w:rPr>
                <w:rFonts w:ascii="Arial Narrow" w:hAnsi="Arial Narrow" w:cs="Arial"/>
                <w:sz w:val="20"/>
                <w:szCs w:val="20"/>
                <w:lang w:val="bg-BG" w:eastAsia="bg-BG"/>
              </w:rPr>
            </w:pPr>
            <w:r w:rsidRPr="00767485">
              <w:rPr>
                <w:rFonts w:ascii="Arial Narrow" w:hAnsi="Arial Narrow" w:cs="Arial"/>
                <w:sz w:val="20"/>
                <w:szCs w:val="20"/>
                <w:lang w:val="bg-BG" w:eastAsia="bg-BG"/>
              </w:rPr>
              <w:t>-1,2%</w:t>
            </w:r>
          </w:p>
        </w:tc>
      </w:tr>
      <w:tr w:rsidR="00767485" w:rsidRPr="00767485" w14:paraId="4F25EB1C" w14:textId="77777777" w:rsidTr="00F44BFC">
        <w:trPr>
          <w:trHeight w:val="397"/>
        </w:trPr>
        <w:tc>
          <w:tcPr>
            <w:tcW w:w="5670" w:type="dxa"/>
            <w:vAlign w:val="center"/>
          </w:tcPr>
          <w:p w14:paraId="01369F40" w14:textId="77777777" w:rsidR="00767485" w:rsidRPr="00767485" w:rsidRDefault="00767485" w:rsidP="00767485">
            <w:pPr>
              <w:rPr>
                <w:rFonts w:ascii="Arial Narrow" w:hAnsi="Arial Narrow" w:cs="Arial"/>
                <w:sz w:val="20"/>
                <w:szCs w:val="20"/>
                <w:lang w:val="bg-BG" w:eastAsia="bg-BG"/>
              </w:rPr>
            </w:pPr>
            <w:r w:rsidRPr="00767485">
              <w:rPr>
                <w:rFonts w:ascii="Arial Narrow" w:hAnsi="Arial Narrow" w:cs="Arial"/>
                <w:sz w:val="20"/>
                <w:szCs w:val="20"/>
                <w:lang w:val="bg-BG" w:eastAsia="bg-BG"/>
              </w:rPr>
              <w:t>Филета и други меса от риби, пресни или охладени, замразени</w:t>
            </w:r>
          </w:p>
        </w:tc>
        <w:tc>
          <w:tcPr>
            <w:tcW w:w="1235" w:type="dxa"/>
            <w:tcBorders>
              <w:top w:val="nil"/>
              <w:left w:val="single" w:sz="4" w:space="0" w:color="auto"/>
              <w:bottom w:val="single" w:sz="4" w:space="0" w:color="auto"/>
              <w:right w:val="single" w:sz="4" w:space="0" w:color="auto"/>
            </w:tcBorders>
            <w:shd w:val="clear" w:color="auto" w:fill="auto"/>
            <w:noWrap/>
            <w:vAlign w:val="center"/>
          </w:tcPr>
          <w:p w14:paraId="2787FB85" w14:textId="77777777" w:rsidR="00767485" w:rsidRPr="00767485" w:rsidRDefault="00767485" w:rsidP="00767485">
            <w:pPr>
              <w:jc w:val="right"/>
              <w:rPr>
                <w:rFonts w:ascii="Arial Narrow" w:hAnsi="Arial Narrow" w:cs="Arial"/>
                <w:sz w:val="20"/>
                <w:szCs w:val="20"/>
                <w:lang w:val="bg-BG" w:eastAsia="bg-BG"/>
              </w:rPr>
            </w:pPr>
            <w:r w:rsidRPr="00767485">
              <w:rPr>
                <w:rFonts w:ascii="Arial Narrow" w:hAnsi="Arial Narrow" w:cs="Arial"/>
                <w:sz w:val="20"/>
                <w:szCs w:val="20"/>
                <w:lang w:val="bg-BG" w:eastAsia="bg-BG"/>
              </w:rPr>
              <w:t>4 189</w:t>
            </w:r>
          </w:p>
        </w:tc>
        <w:tc>
          <w:tcPr>
            <w:tcW w:w="1413" w:type="dxa"/>
            <w:tcBorders>
              <w:top w:val="nil"/>
              <w:left w:val="single" w:sz="4" w:space="0" w:color="auto"/>
              <w:bottom w:val="single" w:sz="4" w:space="0" w:color="auto"/>
              <w:right w:val="single" w:sz="4" w:space="0" w:color="auto"/>
            </w:tcBorders>
            <w:shd w:val="clear" w:color="000000" w:fill="FFFFFF"/>
            <w:noWrap/>
            <w:vAlign w:val="center"/>
          </w:tcPr>
          <w:p w14:paraId="26C8E9AC" w14:textId="77777777" w:rsidR="00767485" w:rsidRPr="00767485" w:rsidRDefault="00767485" w:rsidP="00767485">
            <w:pPr>
              <w:jc w:val="right"/>
              <w:rPr>
                <w:rFonts w:ascii="Arial Narrow" w:hAnsi="Arial Narrow" w:cs="Arial"/>
                <w:sz w:val="20"/>
                <w:szCs w:val="20"/>
                <w:lang w:val="bg-BG" w:eastAsia="bg-BG"/>
              </w:rPr>
            </w:pPr>
            <w:r w:rsidRPr="00767485">
              <w:rPr>
                <w:rFonts w:ascii="Arial Narrow" w:hAnsi="Arial Narrow" w:cs="Arial"/>
                <w:sz w:val="20"/>
                <w:szCs w:val="20"/>
                <w:lang w:val="bg-BG" w:eastAsia="bg-BG"/>
              </w:rPr>
              <w:t>3 959</w:t>
            </w:r>
          </w:p>
        </w:tc>
        <w:tc>
          <w:tcPr>
            <w:tcW w:w="1413" w:type="dxa"/>
            <w:tcBorders>
              <w:top w:val="nil"/>
              <w:left w:val="nil"/>
              <w:bottom w:val="single" w:sz="4" w:space="0" w:color="auto"/>
              <w:right w:val="single" w:sz="4" w:space="0" w:color="auto"/>
            </w:tcBorders>
            <w:shd w:val="clear" w:color="000000" w:fill="FFFFFF"/>
            <w:noWrap/>
            <w:vAlign w:val="center"/>
          </w:tcPr>
          <w:p w14:paraId="04B92DFD" w14:textId="77777777" w:rsidR="00767485" w:rsidRPr="00767485" w:rsidRDefault="00767485" w:rsidP="00767485">
            <w:pPr>
              <w:jc w:val="right"/>
              <w:rPr>
                <w:rFonts w:ascii="Arial Narrow" w:hAnsi="Arial Narrow" w:cs="Arial"/>
                <w:sz w:val="20"/>
                <w:szCs w:val="20"/>
                <w:lang w:val="bg-BG" w:eastAsia="bg-BG"/>
              </w:rPr>
            </w:pPr>
            <w:r w:rsidRPr="00767485">
              <w:rPr>
                <w:rFonts w:ascii="Arial Narrow" w:hAnsi="Arial Narrow" w:cs="Arial"/>
                <w:sz w:val="20"/>
                <w:szCs w:val="20"/>
                <w:lang w:val="bg-BG" w:eastAsia="bg-BG"/>
              </w:rPr>
              <w:t>-5,5%</w:t>
            </w:r>
          </w:p>
        </w:tc>
      </w:tr>
      <w:tr w:rsidR="00767485" w:rsidRPr="00767485" w14:paraId="2986F8CA" w14:textId="77777777" w:rsidTr="00F44BFC">
        <w:trPr>
          <w:trHeight w:val="397"/>
        </w:trPr>
        <w:tc>
          <w:tcPr>
            <w:tcW w:w="5670" w:type="dxa"/>
            <w:vAlign w:val="center"/>
          </w:tcPr>
          <w:p w14:paraId="7CB96919" w14:textId="77777777" w:rsidR="00767485" w:rsidRPr="00767485" w:rsidRDefault="00767485" w:rsidP="00767485">
            <w:pPr>
              <w:rPr>
                <w:rFonts w:ascii="Arial Narrow" w:hAnsi="Arial Narrow" w:cs="Arial"/>
                <w:sz w:val="20"/>
                <w:szCs w:val="20"/>
                <w:lang w:val="bg-BG" w:eastAsia="bg-BG"/>
              </w:rPr>
            </w:pPr>
            <w:r w:rsidRPr="00767485">
              <w:rPr>
                <w:rFonts w:ascii="Arial Narrow" w:hAnsi="Arial Narrow" w:cs="Arial"/>
                <w:sz w:val="20"/>
                <w:szCs w:val="20"/>
                <w:lang w:val="bg-BG" w:eastAsia="bg-BG"/>
              </w:rPr>
              <w:t>Риби - сушени, осолени, пушени</w:t>
            </w:r>
          </w:p>
        </w:tc>
        <w:tc>
          <w:tcPr>
            <w:tcW w:w="1235" w:type="dxa"/>
            <w:tcBorders>
              <w:top w:val="nil"/>
              <w:left w:val="single" w:sz="4" w:space="0" w:color="auto"/>
              <w:bottom w:val="single" w:sz="4" w:space="0" w:color="auto"/>
              <w:right w:val="single" w:sz="4" w:space="0" w:color="auto"/>
            </w:tcBorders>
            <w:shd w:val="clear" w:color="auto" w:fill="auto"/>
            <w:noWrap/>
            <w:vAlign w:val="center"/>
          </w:tcPr>
          <w:p w14:paraId="7001D705" w14:textId="77777777" w:rsidR="00767485" w:rsidRPr="00767485" w:rsidRDefault="00767485" w:rsidP="00767485">
            <w:pPr>
              <w:jc w:val="right"/>
              <w:rPr>
                <w:rFonts w:ascii="Arial Narrow" w:hAnsi="Arial Narrow" w:cs="Arial"/>
                <w:sz w:val="20"/>
                <w:szCs w:val="20"/>
                <w:lang w:val="bg-BG" w:eastAsia="bg-BG"/>
              </w:rPr>
            </w:pPr>
            <w:r w:rsidRPr="00767485">
              <w:rPr>
                <w:rFonts w:ascii="Arial Narrow" w:hAnsi="Arial Narrow" w:cs="Arial"/>
                <w:sz w:val="20"/>
                <w:szCs w:val="20"/>
                <w:lang w:val="bg-BG" w:eastAsia="bg-BG"/>
              </w:rPr>
              <w:t>514</w:t>
            </w:r>
          </w:p>
        </w:tc>
        <w:tc>
          <w:tcPr>
            <w:tcW w:w="1413" w:type="dxa"/>
            <w:tcBorders>
              <w:top w:val="nil"/>
              <w:left w:val="single" w:sz="4" w:space="0" w:color="auto"/>
              <w:bottom w:val="single" w:sz="4" w:space="0" w:color="auto"/>
              <w:right w:val="single" w:sz="4" w:space="0" w:color="auto"/>
            </w:tcBorders>
            <w:shd w:val="clear" w:color="000000" w:fill="FFFFFF"/>
            <w:noWrap/>
            <w:vAlign w:val="center"/>
          </w:tcPr>
          <w:p w14:paraId="11A2CD3C" w14:textId="77777777" w:rsidR="00767485" w:rsidRPr="00767485" w:rsidRDefault="00767485" w:rsidP="00767485">
            <w:pPr>
              <w:jc w:val="right"/>
              <w:rPr>
                <w:rFonts w:ascii="Arial Narrow" w:hAnsi="Arial Narrow" w:cs="Arial"/>
                <w:sz w:val="20"/>
                <w:szCs w:val="20"/>
                <w:lang w:val="bg-BG" w:eastAsia="bg-BG"/>
              </w:rPr>
            </w:pPr>
            <w:r w:rsidRPr="00767485">
              <w:rPr>
                <w:rFonts w:ascii="Arial Narrow" w:hAnsi="Arial Narrow" w:cs="Arial"/>
                <w:sz w:val="20"/>
                <w:szCs w:val="20"/>
                <w:lang w:val="bg-BG" w:eastAsia="bg-BG"/>
              </w:rPr>
              <w:t>691</w:t>
            </w:r>
          </w:p>
        </w:tc>
        <w:tc>
          <w:tcPr>
            <w:tcW w:w="1413" w:type="dxa"/>
            <w:tcBorders>
              <w:top w:val="nil"/>
              <w:left w:val="nil"/>
              <w:bottom w:val="single" w:sz="4" w:space="0" w:color="auto"/>
              <w:right w:val="single" w:sz="4" w:space="0" w:color="auto"/>
            </w:tcBorders>
            <w:shd w:val="clear" w:color="000000" w:fill="FFFFFF"/>
            <w:noWrap/>
            <w:vAlign w:val="center"/>
          </w:tcPr>
          <w:p w14:paraId="2DA8385C" w14:textId="77777777" w:rsidR="00767485" w:rsidRPr="00767485" w:rsidRDefault="00767485" w:rsidP="00767485">
            <w:pPr>
              <w:jc w:val="right"/>
              <w:rPr>
                <w:rFonts w:ascii="Arial Narrow" w:hAnsi="Arial Narrow" w:cs="Arial"/>
                <w:sz w:val="20"/>
                <w:szCs w:val="20"/>
                <w:lang w:val="bg-BG" w:eastAsia="bg-BG"/>
              </w:rPr>
            </w:pPr>
            <w:r w:rsidRPr="00767485">
              <w:rPr>
                <w:rFonts w:ascii="Arial Narrow" w:hAnsi="Arial Narrow" w:cs="Arial"/>
                <w:sz w:val="20"/>
                <w:szCs w:val="20"/>
                <w:lang w:val="bg-BG" w:eastAsia="bg-BG"/>
              </w:rPr>
              <w:t>34,3%</w:t>
            </w:r>
          </w:p>
        </w:tc>
      </w:tr>
      <w:tr w:rsidR="00767485" w:rsidRPr="00767485" w14:paraId="6533261E" w14:textId="77777777" w:rsidTr="00F44BFC">
        <w:trPr>
          <w:trHeight w:val="397"/>
        </w:trPr>
        <w:tc>
          <w:tcPr>
            <w:tcW w:w="5670" w:type="dxa"/>
            <w:vAlign w:val="center"/>
          </w:tcPr>
          <w:p w14:paraId="3A032F48" w14:textId="77777777" w:rsidR="00767485" w:rsidRPr="00767485" w:rsidRDefault="00767485" w:rsidP="00767485">
            <w:pPr>
              <w:rPr>
                <w:rFonts w:ascii="Arial Narrow" w:hAnsi="Arial Narrow" w:cs="Arial"/>
                <w:sz w:val="20"/>
                <w:szCs w:val="20"/>
                <w:lang w:val="bg-BG" w:eastAsia="bg-BG"/>
              </w:rPr>
            </w:pPr>
            <w:r w:rsidRPr="00767485">
              <w:rPr>
                <w:rFonts w:ascii="Arial Narrow" w:hAnsi="Arial Narrow" w:cs="Arial"/>
                <w:sz w:val="20"/>
                <w:szCs w:val="20"/>
                <w:lang w:val="bg-BG" w:eastAsia="bg-BG"/>
              </w:rPr>
              <w:t xml:space="preserve">Ракообразни </w:t>
            </w:r>
          </w:p>
        </w:tc>
        <w:tc>
          <w:tcPr>
            <w:tcW w:w="1235" w:type="dxa"/>
            <w:tcBorders>
              <w:top w:val="nil"/>
              <w:left w:val="single" w:sz="4" w:space="0" w:color="auto"/>
              <w:bottom w:val="single" w:sz="4" w:space="0" w:color="auto"/>
              <w:right w:val="single" w:sz="4" w:space="0" w:color="auto"/>
            </w:tcBorders>
            <w:shd w:val="clear" w:color="auto" w:fill="auto"/>
            <w:noWrap/>
            <w:vAlign w:val="center"/>
          </w:tcPr>
          <w:p w14:paraId="2739A517" w14:textId="77777777" w:rsidR="00767485" w:rsidRPr="00767485" w:rsidRDefault="00767485" w:rsidP="00767485">
            <w:pPr>
              <w:jc w:val="right"/>
              <w:rPr>
                <w:rFonts w:ascii="Arial Narrow" w:hAnsi="Arial Narrow" w:cs="Arial"/>
                <w:sz w:val="20"/>
                <w:szCs w:val="20"/>
                <w:lang w:val="bg-BG" w:eastAsia="bg-BG"/>
              </w:rPr>
            </w:pPr>
            <w:r w:rsidRPr="00767485">
              <w:rPr>
                <w:rFonts w:ascii="Arial Narrow" w:hAnsi="Arial Narrow" w:cs="Arial"/>
                <w:sz w:val="20"/>
                <w:szCs w:val="20"/>
                <w:lang w:val="bg-BG" w:eastAsia="bg-BG"/>
              </w:rPr>
              <w:t>3 908</w:t>
            </w:r>
          </w:p>
        </w:tc>
        <w:tc>
          <w:tcPr>
            <w:tcW w:w="1413" w:type="dxa"/>
            <w:tcBorders>
              <w:top w:val="nil"/>
              <w:left w:val="single" w:sz="4" w:space="0" w:color="auto"/>
              <w:bottom w:val="single" w:sz="4" w:space="0" w:color="auto"/>
              <w:right w:val="single" w:sz="4" w:space="0" w:color="auto"/>
            </w:tcBorders>
            <w:shd w:val="clear" w:color="000000" w:fill="FFFFFF"/>
            <w:noWrap/>
            <w:vAlign w:val="center"/>
          </w:tcPr>
          <w:p w14:paraId="697F2537" w14:textId="77777777" w:rsidR="00767485" w:rsidRPr="00767485" w:rsidRDefault="00767485" w:rsidP="00767485">
            <w:pPr>
              <w:jc w:val="right"/>
              <w:rPr>
                <w:rFonts w:ascii="Arial Narrow" w:hAnsi="Arial Narrow" w:cs="Arial"/>
                <w:sz w:val="20"/>
                <w:szCs w:val="20"/>
                <w:lang w:val="bg-BG" w:eastAsia="bg-BG"/>
              </w:rPr>
            </w:pPr>
            <w:r w:rsidRPr="00767485">
              <w:rPr>
                <w:rFonts w:ascii="Arial Narrow" w:hAnsi="Arial Narrow" w:cs="Arial"/>
                <w:sz w:val="20"/>
                <w:szCs w:val="20"/>
                <w:lang w:val="bg-BG" w:eastAsia="bg-BG"/>
              </w:rPr>
              <w:t>4 173</w:t>
            </w:r>
          </w:p>
        </w:tc>
        <w:tc>
          <w:tcPr>
            <w:tcW w:w="1413" w:type="dxa"/>
            <w:tcBorders>
              <w:top w:val="nil"/>
              <w:left w:val="nil"/>
              <w:bottom w:val="single" w:sz="4" w:space="0" w:color="auto"/>
              <w:right w:val="single" w:sz="4" w:space="0" w:color="auto"/>
            </w:tcBorders>
            <w:shd w:val="clear" w:color="000000" w:fill="FFFFFF"/>
            <w:noWrap/>
            <w:vAlign w:val="center"/>
          </w:tcPr>
          <w:p w14:paraId="4DC3A238" w14:textId="77777777" w:rsidR="00767485" w:rsidRPr="00767485" w:rsidRDefault="00767485" w:rsidP="00767485">
            <w:pPr>
              <w:jc w:val="right"/>
              <w:rPr>
                <w:rFonts w:ascii="Arial Narrow" w:hAnsi="Arial Narrow" w:cs="Arial"/>
                <w:sz w:val="20"/>
                <w:szCs w:val="20"/>
                <w:lang w:val="bg-BG" w:eastAsia="bg-BG"/>
              </w:rPr>
            </w:pPr>
            <w:r w:rsidRPr="00767485">
              <w:rPr>
                <w:rFonts w:ascii="Arial Narrow" w:hAnsi="Arial Narrow" w:cs="Arial"/>
                <w:sz w:val="20"/>
                <w:szCs w:val="20"/>
                <w:lang w:val="bg-BG" w:eastAsia="bg-BG"/>
              </w:rPr>
              <w:t>6,8%</w:t>
            </w:r>
          </w:p>
        </w:tc>
      </w:tr>
      <w:tr w:rsidR="00767485" w:rsidRPr="00767485" w14:paraId="7AF0E300" w14:textId="77777777" w:rsidTr="00F44BFC">
        <w:trPr>
          <w:trHeight w:val="397"/>
        </w:trPr>
        <w:tc>
          <w:tcPr>
            <w:tcW w:w="5670" w:type="dxa"/>
            <w:vAlign w:val="center"/>
          </w:tcPr>
          <w:p w14:paraId="764A3CB0" w14:textId="77777777" w:rsidR="00767485" w:rsidRPr="00767485" w:rsidRDefault="00767485" w:rsidP="00767485">
            <w:pPr>
              <w:rPr>
                <w:rFonts w:ascii="Arial Narrow" w:hAnsi="Arial Narrow" w:cs="Arial"/>
                <w:sz w:val="20"/>
                <w:szCs w:val="20"/>
                <w:lang w:val="bg-BG" w:eastAsia="bg-BG"/>
              </w:rPr>
            </w:pPr>
            <w:r w:rsidRPr="00767485">
              <w:rPr>
                <w:rFonts w:ascii="Arial Narrow" w:hAnsi="Arial Narrow" w:cs="Arial"/>
                <w:sz w:val="20"/>
                <w:szCs w:val="20"/>
                <w:lang w:val="bg-BG" w:eastAsia="bg-BG"/>
              </w:rPr>
              <w:t xml:space="preserve">Мекотели* </w:t>
            </w:r>
          </w:p>
        </w:tc>
        <w:tc>
          <w:tcPr>
            <w:tcW w:w="1235" w:type="dxa"/>
            <w:tcBorders>
              <w:top w:val="nil"/>
              <w:left w:val="single" w:sz="4" w:space="0" w:color="auto"/>
              <w:bottom w:val="single" w:sz="4" w:space="0" w:color="auto"/>
              <w:right w:val="single" w:sz="4" w:space="0" w:color="auto"/>
            </w:tcBorders>
            <w:shd w:val="clear" w:color="auto" w:fill="auto"/>
            <w:noWrap/>
            <w:vAlign w:val="center"/>
          </w:tcPr>
          <w:p w14:paraId="19072C71" w14:textId="77777777" w:rsidR="00767485" w:rsidRPr="00767485" w:rsidRDefault="00767485" w:rsidP="00767485">
            <w:pPr>
              <w:jc w:val="right"/>
              <w:rPr>
                <w:rFonts w:ascii="Arial Narrow" w:hAnsi="Arial Narrow" w:cs="Arial"/>
                <w:sz w:val="20"/>
                <w:szCs w:val="20"/>
                <w:lang w:val="bg-BG" w:eastAsia="bg-BG"/>
              </w:rPr>
            </w:pPr>
            <w:r w:rsidRPr="00767485">
              <w:rPr>
                <w:rFonts w:ascii="Arial Narrow" w:hAnsi="Arial Narrow" w:cs="Arial"/>
                <w:sz w:val="20"/>
                <w:szCs w:val="20"/>
                <w:lang w:val="bg-BG" w:eastAsia="bg-BG"/>
              </w:rPr>
              <w:t>3 055</w:t>
            </w:r>
          </w:p>
        </w:tc>
        <w:tc>
          <w:tcPr>
            <w:tcW w:w="1413" w:type="dxa"/>
            <w:tcBorders>
              <w:top w:val="nil"/>
              <w:left w:val="single" w:sz="4" w:space="0" w:color="auto"/>
              <w:bottom w:val="single" w:sz="4" w:space="0" w:color="auto"/>
              <w:right w:val="single" w:sz="4" w:space="0" w:color="auto"/>
            </w:tcBorders>
            <w:shd w:val="clear" w:color="000000" w:fill="FFFFFF"/>
            <w:noWrap/>
            <w:vAlign w:val="center"/>
          </w:tcPr>
          <w:p w14:paraId="4340B24F" w14:textId="77777777" w:rsidR="00767485" w:rsidRPr="00767485" w:rsidRDefault="00767485" w:rsidP="00767485">
            <w:pPr>
              <w:jc w:val="right"/>
              <w:rPr>
                <w:rFonts w:ascii="Arial Narrow" w:hAnsi="Arial Narrow" w:cs="Arial"/>
                <w:sz w:val="20"/>
                <w:szCs w:val="20"/>
                <w:lang w:val="bg-BG" w:eastAsia="bg-BG"/>
              </w:rPr>
            </w:pPr>
            <w:r w:rsidRPr="00767485">
              <w:rPr>
                <w:rFonts w:ascii="Arial Narrow" w:hAnsi="Arial Narrow" w:cs="Arial"/>
                <w:sz w:val="20"/>
                <w:szCs w:val="20"/>
                <w:lang w:val="bg-BG" w:eastAsia="bg-BG"/>
              </w:rPr>
              <w:t>2 405</w:t>
            </w:r>
          </w:p>
        </w:tc>
        <w:tc>
          <w:tcPr>
            <w:tcW w:w="1413" w:type="dxa"/>
            <w:tcBorders>
              <w:top w:val="nil"/>
              <w:left w:val="nil"/>
              <w:bottom w:val="single" w:sz="4" w:space="0" w:color="auto"/>
              <w:right w:val="single" w:sz="4" w:space="0" w:color="auto"/>
            </w:tcBorders>
            <w:shd w:val="clear" w:color="000000" w:fill="FFFFFF"/>
            <w:noWrap/>
            <w:vAlign w:val="center"/>
          </w:tcPr>
          <w:p w14:paraId="24055093" w14:textId="77777777" w:rsidR="00767485" w:rsidRPr="00767485" w:rsidRDefault="00767485" w:rsidP="00767485">
            <w:pPr>
              <w:jc w:val="right"/>
              <w:rPr>
                <w:rFonts w:ascii="Arial Narrow" w:hAnsi="Arial Narrow" w:cs="Arial"/>
                <w:sz w:val="20"/>
                <w:szCs w:val="20"/>
                <w:lang w:val="bg-BG" w:eastAsia="bg-BG"/>
              </w:rPr>
            </w:pPr>
            <w:r w:rsidRPr="00767485">
              <w:rPr>
                <w:rFonts w:ascii="Arial Narrow" w:hAnsi="Arial Narrow" w:cs="Arial"/>
                <w:sz w:val="20"/>
                <w:szCs w:val="20"/>
                <w:lang w:val="bg-BG" w:eastAsia="bg-BG"/>
              </w:rPr>
              <w:t>-21,3%</w:t>
            </w:r>
          </w:p>
        </w:tc>
      </w:tr>
      <w:tr w:rsidR="00767485" w:rsidRPr="00767485" w14:paraId="19D32B2F" w14:textId="77777777" w:rsidTr="00F44BFC">
        <w:trPr>
          <w:trHeight w:val="397"/>
        </w:trPr>
        <w:tc>
          <w:tcPr>
            <w:tcW w:w="5670" w:type="dxa"/>
            <w:vAlign w:val="center"/>
          </w:tcPr>
          <w:p w14:paraId="064181C5" w14:textId="77777777" w:rsidR="00767485" w:rsidRPr="00767485" w:rsidRDefault="00767485" w:rsidP="00767485">
            <w:pPr>
              <w:rPr>
                <w:rFonts w:ascii="Arial Narrow" w:hAnsi="Arial Narrow" w:cs="Arial"/>
                <w:sz w:val="20"/>
                <w:szCs w:val="20"/>
                <w:lang w:val="bg-BG" w:eastAsia="bg-BG"/>
              </w:rPr>
            </w:pPr>
            <w:r w:rsidRPr="00767485">
              <w:rPr>
                <w:rFonts w:ascii="Arial Narrow" w:hAnsi="Arial Narrow" w:cs="Arial"/>
                <w:sz w:val="20"/>
                <w:szCs w:val="20"/>
                <w:lang w:val="bg-BG" w:eastAsia="bg-BG"/>
              </w:rPr>
              <w:t>Водни безгръбначни, различни от ракообразните и мекотелите</w:t>
            </w:r>
          </w:p>
        </w:tc>
        <w:tc>
          <w:tcPr>
            <w:tcW w:w="1235" w:type="dxa"/>
            <w:tcBorders>
              <w:top w:val="nil"/>
              <w:left w:val="single" w:sz="4" w:space="0" w:color="auto"/>
              <w:bottom w:val="single" w:sz="4" w:space="0" w:color="auto"/>
              <w:right w:val="single" w:sz="4" w:space="0" w:color="auto"/>
            </w:tcBorders>
            <w:shd w:val="clear" w:color="auto" w:fill="auto"/>
            <w:noWrap/>
            <w:vAlign w:val="center"/>
          </w:tcPr>
          <w:p w14:paraId="1A1C2555" w14:textId="77777777" w:rsidR="00767485" w:rsidRPr="00767485" w:rsidRDefault="00767485" w:rsidP="00767485">
            <w:pPr>
              <w:jc w:val="right"/>
              <w:rPr>
                <w:rFonts w:ascii="Arial Narrow" w:hAnsi="Arial Narrow" w:cs="Arial"/>
                <w:sz w:val="20"/>
                <w:szCs w:val="20"/>
                <w:lang w:val="bg-BG" w:eastAsia="bg-BG"/>
              </w:rPr>
            </w:pPr>
            <w:r w:rsidRPr="00767485">
              <w:rPr>
                <w:rFonts w:ascii="Arial Narrow" w:hAnsi="Arial Narrow" w:cs="Arial"/>
                <w:sz w:val="20"/>
                <w:szCs w:val="20"/>
                <w:lang w:val="bg-BG" w:eastAsia="bg-BG"/>
              </w:rPr>
              <w:t>594</w:t>
            </w:r>
          </w:p>
        </w:tc>
        <w:tc>
          <w:tcPr>
            <w:tcW w:w="1413" w:type="dxa"/>
            <w:tcBorders>
              <w:top w:val="nil"/>
              <w:left w:val="single" w:sz="4" w:space="0" w:color="auto"/>
              <w:bottom w:val="single" w:sz="4" w:space="0" w:color="auto"/>
              <w:right w:val="single" w:sz="4" w:space="0" w:color="auto"/>
            </w:tcBorders>
            <w:shd w:val="clear" w:color="000000" w:fill="FFFFFF"/>
            <w:noWrap/>
            <w:vAlign w:val="center"/>
          </w:tcPr>
          <w:p w14:paraId="44D0DB49" w14:textId="77777777" w:rsidR="00767485" w:rsidRPr="00767485" w:rsidRDefault="00767485" w:rsidP="00767485">
            <w:pPr>
              <w:jc w:val="right"/>
              <w:rPr>
                <w:rFonts w:ascii="Arial Narrow" w:hAnsi="Arial Narrow" w:cs="Arial"/>
                <w:sz w:val="20"/>
                <w:szCs w:val="20"/>
                <w:lang w:val="bg-BG" w:eastAsia="bg-BG"/>
              </w:rPr>
            </w:pPr>
            <w:r w:rsidRPr="00767485">
              <w:rPr>
                <w:rFonts w:ascii="Arial Narrow" w:hAnsi="Arial Narrow" w:cs="Arial"/>
                <w:sz w:val="20"/>
                <w:szCs w:val="20"/>
                <w:lang w:val="bg-BG" w:eastAsia="bg-BG"/>
              </w:rPr>
              <w:t>101</w:t>
            </w:r>
          </w:p>
        </w:tc>
        <w:tc>
          <w:tcPr>
            <w:tcW w:w="1413" w:type="dxa"/>
            <w:tcBorders>
              <w:top w:val="nil"/>
              <w:left w:val="nil"/>
              <w:bottom w:val="single" w:sz="4" w:space="0" w:color="auto"/>
              <w:right w:val="single" w:sz="4" w:space="0" w:color="auto"/>
            </w:tcBorders>
            <w:shd w:val="clear" w:color="000000" w:fill="FFFFFF"/>
            <w:noWrap/>
            <w:vAlign w:val="center"/>
          </w:tcPr>
          <w:p w14:paraId="1B795C35" w14:textId="77777777" w:rsidR="00767485" w:rsidRPr="00767485" w:rsidRDefault="00767485" w:rsidP="00767485">
            <w:pPr>
              <w:jc w:val="right"/>
              <w:rPr>
                <w:rFonts w:ascii="Arial Narrow" w:hAnsi="Arial Narrow" w:cs="Arial"/>
                <w:sz w:val="20"/>
                <w:szCs w:val="20"/>
                <w:lang w:val="bg-BG" w:eastAsia="bg-BG"/>
              </w:rPr>
            </w:pPr>
            <w:r w:rsidRPr="00767485">
              <w:rPr>
                <w:rFonts w:ascii="Arial Narrow" w:hAnsi="Arial Narrow" w:cs="Arial"/>
                <w:sz w:val="20"/>
                <w:szCs w:val="20"/>
                <w:lang w:val="bg-BG" w:eastAsia="bg-BG"/>
              </w:rPr>
              <w:t>-82,9%</w:t>
            </w:r>
          </w:p>
        </w:tc>
      </w:tr>
      <w:tr w:rsidR="00767485" w:rsidRPr="00767485" w14:paraId="75280819" w14:textId="77777777" w:rsidTr="00F44BFC">
        <w:trPr>
          <w:trHeight w:val="397"/>
        </w:trPr>
        <w:tc>
          <w:tcPr>
            <w:tcW w:w="5670" w:type="dxa"/>
            <w:vAlign w:val="center"/>
          </w:tcPr>
          <w:p w14:paraId="552C59F4" w14:textId="77777777" w:rsidR="00767485" w:rsidRPr="00767485" w:rsidRDefault="00767485" w:rsidP="00767485">
            <w:pPr>
              <w:rPr>
                <w:rFonts w:ascii="Arial Narrow" w:hAnsi="Arial Narrow" w:cs="Arial"/>
                <w:sz w:val="20"/>
                <w:szCs w:val="20"/>
                <w:lang w:val="bg-BG" w:eastAsia="bg-BG"/>
              </w:rPr>
            </w:pPr>
            <w:r w:rsidRPr="00767485">
              <w:rPr>
                <w:rFonts w:ascii="Arial Narrow" w:hAnsi="Arial Narrow" w:cs="Arial"/>
                <w:sz w:val="20"/>
                <w:szCs w:val="20"/>
                <w:lang w:val="bg-BG" w:eastAsia="bg-BG"/>
              </w:rPr>
              <w:t xml:space="preserve">Готови храни и консерви от риби; хайвер </w:t>
            </w:r>
          </w:p>
        </w:tc>
        <w:tc>
          <w:tcPr>
            <w:tcW w:w="1235" w:type="dxa"/>
            <w:tcBorders>
              <w:top w:val="nil"/>
              <w:left w:val="single" w:sz="4" w:space="0" w:color="auto"/>
              <w:bottom w:val="single" w:sz="4" w:space="0" w:color="auto"/>
              <w:right w:val="single" w:sz="4" w:space="0" w:color="auto"/>
            </w:tcBorders>
            <w:shd w:val="clear" w:color="auto" w:fill="auto"/>
            <w:noWrap/>
            <w:vAlign w:val="center"/>
          </w:tcPr>
          <w:p w14:paraId="2183C21B" w14:textId="77777777" w:rsidR="00767485" w:rsidRPr="00767485" w:rsidRDefault="00767485" w:rsidP="00767485">
            <w:pPr>
              <w:jc w:val="right"/>
              <w:rPr>
                <w:rFonts w:ascii="Arial Narrow" w:hAnsi="Arial Narrow" w:cs="Arial"/>
                <w:sz w:val="20"/>
                <w:szCs w:val="20"/>
                <w:lang w:val="bg-BG" w:eastAsia="bg-BG"/>
              </w:rPr>
            </w:pPr>
            <w:r w:rsidRPr="00767485">
              <w:rPr>
                <w:rFonts w:ascii="Arial Narrow" w:hAnsi="Arial Narrow" w:cs="Arial"/>
                <w:sz w:val="20"/>
                <w:szCs w:val="20"/>
                <w:lang w:val="bg-BG" w:eastAsia="bg-BG"/>
              </w:rPr>
              <w:t>4 431</w:t>
            </w:r>
          </w:p>
        </w:tc>
        <w:tc>
          <w:tcPr>
            <w:tcW w:w="1413" w:type="dxa"/>
            <w:tcBorders>
              <w:top w:val="nil"/>
              <w:left w:val="single" w:sz="4" w:space="0" w:color="auto"/>
              <w:bottom w:val="single" w:sz="4" w:space="0" w:color="auto"/>
              <w:right w:val="single" w:sz="4" w:space="0" w:color="auto"/>
            </w:tcBorders>
            <w:shd w:val="clear" w:color="000000" w:fill="FFFFFF"/>
            <w:noWrap/>
            <w:vAlign w:val="center"/>
          </w:tcPr>
          <w:p w14:paraId="56BA3ED4" w14:textId="77777777" w:rsidR="00767485" w:rsidRPr="00767485" w:rsidRDefault="00767485" w:rsidP="00767485">
            <w:pPr>
              <w:jc w:val="right"/>
              <w:rPr>
                <w:rFonts w:ascii="Arial Narrow" w:hAnsi="Arial Narrow" w:cs="Arial"/>
                <w:sz w:val="20"/>
                <w:szCs w:val="20"/>
                <w:lang w:val="bg-BG" w:eastAsia="bg-BG"/>
              </w:rPr>
            </w:pPr>
            <w:r w:rsidRPr="00767485">
              <w:rPr>
                <w:rFonts w:ascii="Arial Narrow" w:hAnsi="Arial Narrow" w:cs="Arial"/>
                <w:sz w:val="20"/>
                <w:szCs w:val="20"/>
                <w:lang w:val="bg-BG" w:eastAsia="bg-BG"/>
              </w:rPr>
              <w:t>4 309</w:t>
            </w:r>
          </w:p>
        </w:tc>
        <w:tc>
          <w:tcPr>
            <w:tcW w:w="1413" w:type="dxa"/>
            <w:tcBorders>
              <w:top w:val="nil"/>
              <w:left w:val="nil"/>
              <w:bottom w:val="single" w:sz="4" w:space="0" w:color="auto"/>
              <w:right w:val="single" w:sz="4" w:space="0" w:color="auto"/>
            </w:tcBorders>
            <w:shd w:val="clear" w:color="000000" w:fill="FFFFFF"/>
            <w:noWrap/>
            <w:vAlign w:val="center"/>
          </w:tcPr>
          <w:p w14:paraId="42092D9F" w14:textId="77777777" w:rsidR="00767485" w:rsidRPr="00767485" w:rsidRDefault="00767485" w:rsidP="00767485">
            <w:pPr>
              <w:jc w:val="right"/>
              <w:rPr>
                <w:rFonts w:ascii="Arial Narrow" w:hAnsi="Arial Narrow" w:cs="Arial"/>
                <w:sz w:val="20"/>
                <w:szCs w:val="20"/>
                <w:lang w:val="bg-BG" w:eastAsia="bg-BG"/>
              </w:rPr>
            </w:pPr>
            <w:r w:rsidRPr="00767485">
              <w:rPr>
                <w:rFonts w:ascii="Arial Narrow" w:hAnsi="Arial Narrow" w:cs="Arial"/>
                <w:sz w:val="20"/>
                <w:szCs w:val="20"/>
                <w:lang w:val="bg-BG" w:eastAsia="bg-BG"/>
              </w:rPr>
              <w:t>-2,7%</w:t>
            </w:r>
          </w:p>
        </w:tc>
      </w:tr>
      <w:tr w:rsidR="00767485" w:rsidRPr="00767485" w14:paraId="7D8AC3D9" w14:textId="77777777" w:rsidTr="00F44BFC">
        <w:trPr>
          <w:trHeight w:val="397"/>
        </w:trPr>
        <w:tc>
          <w:tcPr>
            <w:tcW w:w="5670" w:type="dxa"/>
            <w:vAlign w:val="center"/>
          </w:tcPr>
          <w:p w14:paraId="1BCB9108" w14:textId="77777777" w:rsidR="00767485" w:rsidRPr="00767485" w:rsidRDefault="00767485" w:rsidP="00767485">
            <w:pPr>
              <w:rPr>
                <w:rFonts w:ascii="Arial Narrow" w:hAnsi="Arial Narrow" w:cs="Arial"/>
                <w:sz w:val="20"/>
                <w:szCs w:val="20"/>
                <w:lang w:val="bg-BG" w:eastAsia="bg-BG"/>
              </w:rPr>
            </w:pPr>
            <w:r w:rsidRPr="00767485">
              <w:rPr>
                <w:rFonts w:ascii="Arial Narrow" w:hAnsi="Arial Narrow" w:cs="Arial"/>
                <w:sz w:val="20"/>
                <w:szCs w:val="20"/>
                <w:lang w:val="bg-BG" w:eastAsia="bg-BG"/>
              </w:rPr>
              <w:t>Ракообразни и мекотели, консервирани</w:t>
            </w:r>
          </w:p>
        </w:tc>
        <w:tc>
          <w:tcPr>
            <w:tcW w:w="1235" w:type="dxa"/>
            <w:tcBorders>
              <w:top w:val="nil"/>
              <w:left w:val="single" w:sz="4" w:space="0" w:color="auto"/>
              <w:bottom w:val="single" w:sz="4" w:space="0" w:color="auto"/>
              <w:right w:val="single" w:sz="4" w:space="0" w:color="auto"/>
            </w:tcBorders>
            <w:shd w:val="clear" w:color="auto" w:fill="auto"/>
            <w:noWrap/>
            <w:vAlign w:val="center"/>
          </w:tcPr>
          <w:p w14:paraId="6B87B3C0" w14:textId="77777777" w:rsidR="00767485" w:rsidRPr="00767485" w:rsidRDefault="00767485" w:rsidP="00767485">
            <w:pPr>
              <w:jc w:val="right"/>
              <w:rPr>
                <w:rFonts w:ascii="Arial Narrow" w:hAnsi="Arial Narrow" w:cs="Arial"/>
                <w:sz w:val="20"/>
                <w:szCs w:val="20"/>
                <w:lang w:val="bg-BG" w:eastAsia="bg-BG"/>
              </w:rPr>
            </w:pPr>
            <w:r w:rsidRPr="00767485">
              <w:rPr>
                <w:rFonts w:ascii="Arial Narrow" w:hAnsi="Arial Narrow" w:cs="Arial"/>
                <w:sz w:val="20"/>
                <w:szCs w:val="20"/>
                <w:lang w:val="bg-BG" w:eastAsia="bg-BG"/>
              </w:rPr>
              <w:t>1 334</w:t>
            </w:r>
          </w:p>
        </w:tc>
        <w:tc>
          <w:tcPr>
            <w:tcW w:w="1413" w:type="dxa"/>
            <w:tcBorders>
              <w:top w:val="nil"/>
              <w:left w:val="single" w:sz="4" w:space="0" w:color="auto"/>
              <w:bottom w:val="single" w:sz="4" w:space="0" w:color="auto"/>
              <w:right w:val="single" w:sz="4" w:space="0" w:color="auto"/>
            </w:tcBorders>
            <w:shd w:val="clear" w:color="000000" w:fill="FFFFFF"/>
            <w:noWrap/>
            <w:vAlign w:val="center"/>
          </w:tcPr>
          <w:p w14:paraId="5007B067" w14:textId="77777777" w:rsidR="00767485" w:rsidRPr="00767485" w:rsidRDefault="00767485" w:rsidP="00767485">
            <w:pPr>
              <w:jc w:val="right"/>
              <w:rPr>
                <w:rFonts w:ascii="Arial Narrow" w:hAnsi="Arial Narrow" w:cs="Arial"/>
                <w:sz w:val="20"/>
                <w:szCs w:val="20"/>
                <w:lang w:val="bg-BG" w:eastAsia="bg-BG"/>
              </w:rPr>
            </w:pPr>
            <w:r w:rsidRPr="00767485">
              <w:rPr>
                <w:rFonts w:ascii="Arial Narrow" w:hAnsi="Arial Narrow" w:cs="Arial"/>
                <w:sz w:val="20"/>
                <w:szCs w:val="20"/>
                <w:lang w:val="bg-BG" w:eastAsia="bg-BG"/>
              </w:rPr>
              <w:t>818</w:t>
            </w:r>
          </w:p>
        </w:tc>
        <w:tc>
          <w:tcPr>
            <w:tcW w:w="1413" w:type="dxa"/>
            <w:tcBorders>
              <w:top w:val="nil"/>
              <w:left w:val="nil"/>
              <w:bottom w:val="single" w:sz="4" w:space="0" w:color="auto"/>
              <w:right w:val="single" w:sz="4" w:space="0" w:color="auto"/>
            </w:tcBorders>
            <w:shd w:val="clear" w:color="000000" w:fill="FFFFFF"/>
            <w:noWrap/>
            <w:vAlign w:val="center"/>
          </w:tcPr>
          <w:p w14:paraId="52074FBC" w14:textId="77777777" w:rsidR="00767485" w:rsidRPr="00767485" w:rsidRDefault="00767485" w:rsidP="00767485">
            <w:pPr>
              <w:jc w:val="right"/>
              <w:rPr>
                <w:rFonts w:ascii="Arial Narrow" w:hAnsi="Arial Narrow" w:cs="Arial"/>
                <w:sz w:val="20"/>
                <w:szCs w:val="20"/>
                <w:lang w:val="bg-BG" w:eastAsia="bg-BG"/>
              </w:rPr>
            </w:pPr>
            <w:r w:rsidRPr="00767485">
              <w:rPr>
                <w:rFonts w:ascii="Arial Narrow" w:hAnsi="Arial Narrow" w:cs="Arial"/>
                <w:sz w:val="20"/>
                <w:szCs w:val="20"/>
                <w:lang w:val="bg-BG" w:eastAsia="bg-BG"/>
              </w:rPr>
              <w:t>-38,6%</w:t>
            </w:r>
          </w:p>
        </w:tc>
      </w:tr>
    </w:tbl>
    <w:p w14:paraId="4F8852E4" w14:textId="77777777" w:rsidR="00767485" w:rsidRPr="00767485" w:rsidRDefault="00767485" w:rsidP="00767485">
      <w:pPr>
        <w:jc w:val="both"/>
        <w:rPr>
          <w:rFonts w:ascii="Arial Narrow" w:hAnsi="Arial Narrow"/>
          <w:i/>
          <w:sz w:val="18"/>
          <w:szCs w:val="18"/>
          <w:lang w:val="bg-BG" w:eastAsia="bg-BG"/>
        </w:rPr>
      </w:pPr>
      <w:r w:rsidRPr="00767485">
        <w:rPr>
          <w:rFonts w:ascii="Arial Narrow" w:hAnsi="Arial Narrow"/>
          <w:i/>
          <w:sz w:val="18"/>
          <w:szCs w:val="18"/>
          <w:lang w:val="bg-BG" w:eastAsia="bg-BG"/>
        </w:rPr>
        <w:t xml:space="preserve"> Източник: </w:t>
      </w:r>
      <w:r w:rsidRPr="00767485">
        <w:rPr>
          <w:rFonts w:ascii="Arial Narrow" w:hAnsi="Arial Narrow"/>
          <w:sz w:val="18"/>
          <w:szCs w:val="18"/>
          <w:lang w:val="bg-BG" w:eastAsia="bg-BG"/>
        </w:rPr>
        <w:t>данни на НСИ и изчисления на МЗХ.</w:t>
      </w:r>
    </w:p>
    <w:p w14:paraId="3BE0E6CB" w14:textId="77777777" w:rsidR="00767485" w:rsidRPr="00767485" w:rsidRDefault="00767485" w:rsidP="00767485">
      <w:pPr>
        <w:spacing w:after="240"/>
        <w:jc w:val="both"/>
        <w:rPr>
          <w:rFonts w:ascii="Arial Narrow" w:hAnsi="Arial Narrow"/>
          <w:i/>
          <w:sz w:val="18"/>
          <w:szCs w:val="18"/>
          <w:lang w:val="bg-BG" w:eastAsia="bg-BG"/>
        </w:rPr>
      </w:pPr>
      <w:r w:rsidRPr="00767485">
        <w:rPr>
          <w:rFonts w:ascii="Arial Narrow" w:hAnsi="Arial Narrow"/>
          <w:i/>
          <w:sz w:val="18"/>
          <w:szCs w:val="18"/>
          <w:lang w:val="bg-BG" w:eastAsia="bg-BG"/>
        </w:rPr>
        <w:t>*</w:t>
      </w:r>
      <w:r w:rsidRPr="00767485">
        <w:rPr>
          <w:rFonts w:ascii="Arial Narrow" w:hAnsi="Arial Narrow"/>
          <w:bCs/>
          <w:i/>
          <w:sz w:val="18"/>
          <w:lang w:val="bg-BG" w:eastAsia="bg-BG"/>
        </w:rPr>
        <w:t>В</w:t>
      </w:r>
      <w:r w:rsidRPr="00767485">
        <w:rPr>
          <w:rFonts w:ascii="Arial Narrow" w:hAnsi="Arial Narrow"/>
          <w:i/>
          <w:sz w:val="18"/>
          <w:szCs w:val="18"/>
          <w:lang w:val="bg-BG" w:eastAsia="bg-BG"/>
        </w:rPr>
        <w:t xml:space="preserve">ключва и известно количество сухоземни мекотели, което не може да бъде разграничено. </w:t>
      </w:r>
    </w:p>
    <w:p w14:paraId="3E02DE27" w14:textId="77777777" w:rsidR="00767485" w:rsidRPr="00767485" w:rsidRDefault="00767485" w:rsidP="00767485">
      <w:pPr>
        <w:spacing w:after="120"/>
        <w:ind w:firstLine="709"/>
        <w:jc w:val="both"/>
        <w:rPr>
          <w:rFonts w:ascii="Arial Narrow" w:hAnsi="Arial Narrow"/>
          <w:lang w:val="bg-BG" w:eastAsia="bg-BG"/>
        </w:rPr>
      </w:pPr>
      <w:r w:rsidRPr="00767485">
        <w:rPr>
          <w:rFonts w:ascii="Arial Narrow" w:hAnsi="Arial Narrow"/>
          <w:lang w:val="bg-BG" w:eastAsia="bg-BG"/>
        </w:rPr>
        <w:t>Доставките на риба и рибни продукти от държави членки на ЕС през 2024 г. се свиват с 6,7% на годишна база, до 25 490 тона (65% от целия обем за годината). Основни партньори са Испания (5,8 хил. тона), Гърция (4,3 хил. тона), Дания (3,5 хил. тона) и Нидерландия (2,9 хил. тона), следвани от Латвия, Германия, Полша и др.</w:t>
      </w:r>
    </w:p>
    <w:p w14:paraId="0F1140EF" w14:textId="77777777" w:rsidR="00767485" w:rsidRPr="00767485" w:rsidRDefault="00767485" w:rsidP="00767485">
      <w:pPr>
        <w:keepNext/>
        <w:keepLines/>
        <w:tabs>
          <w:tab w:val="left" w:pos="1276"/>
        </w:tabs>
        <w:autoSpaceDE w:val="0"/>
        <w:autoSpaceDN w:val="0"/>
        <w:adjustRightInd w:val="0"/>
        <w:spacing w:after="120"/>
        <w:jc w:val="center"/>
        <w:rPr>
          <w:rFonts w:ascii="Arial Narrow" w:eastAsia="Calibri" w:hAnsi="Arial Narrow"/>
          <w:b/>
          <w:i/>
          <w:lang w:val="bg-BG" w:eastAsia="bg-BG"/>
        </w:rPr>
      </w:pPr>
      <w:r w:rsidRPr="00767485">
        <w:rPr>
          <w:rFonts w:ascii="Arial Narrow" w:eastAsia="Calibri" w:hAnsi="Arial Narrow"/>
          <w:b/>
          <w:i/>
          <w:lang w:val="bg-BG" w:eastAsia="bg-BG"/>
        </w:rPr>
        <w:t>Фигура VІІ.3. Внос на риба и рибни продукти от ЕС и трети страни, тона</w:t>
      </w:r>
    </w:p>
    <w:p w14:paraId="23F4BE3C" w14:textId="77777777" w:rsidR="00767485" w:rsidRPr="00767485" w:rsidRDefault="00767485" w:rsidP="00767485">
      <w:pPr>
        <w:keepNext/>
        <w:keepLines/>
        <w:tabs>
          <w:tab w:val="left" w:pos="1276"/>
        </w:tabs>
        <w:autoSpaceDE w:val="0"/>
        <w:autoSpaceDN w:val="0"/>
        <w:adjustRightInd w:val="0"/>
        <w:spacing w:before="240"/>
        <w:jc w:val="center"/>
        <w:rPr>
          <w:rFonts w:ascii="Arial Narrow" w:eastAsia="Calibri" w:hAnsi="Arial Narrow"/>
          <w:b/>
          <w:i/>
          <w:color w:val="FF0000"/>
          <w:lang w:val="bg-BG" w:eastAsia="bg-BG"/>
        </w:rPr>
      </w:pPr>
      <w:r w:rsidRPr="00767485">
        <w:rPr>
          <w:noProof/>
        </w:rPr>
        <w:drawing>
          <wp:inline distT="0" distB="0" distL="0" distR="0" wp14:anchorId="68FAF039" wp14:editId="7DDEB8A8">
            <wp:extent cx="5039995" cy="2781300"/>
            <wp:effectExtent l="0" t="0" r="8255" b="0"/>
            <wp:docPr id="44" name="Chart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7F32BA1E" w14:textId="77777777" w:rsidR="00767485" w:rsidRPr="00767485" w:rsidRDefault="00767485" w:rsidP="00767485">
      <w:pPr>
        <w:spacing w:after="120"/>
        <w:ind w:firstLine="1077"/>
        <w:jc w:val="both"/>
        <w:rPr>
          <w:rFonts w:ascii="Arial Narrow" w:hAnsi="Arial Narrow"/>
          <w:sz w:val="18"/>
          <w:szCs w:val="18"/>
          <w:lang w:val="bg-BG" w:eastAsia="bg-BG"/>
        </w:rPr>
      </w:pPr>
      <w:r w:rsidRPr="00767485">
        <w:rPr>
          <w:rFonts w:ascii="Arial Narrow" w:hAnsi="Arial Narrow"/>
          <w:i/>
          <w:sz w:val="18"/>
          <w:szCs w:val="18"/>
          <w:lang w:val="bg-BG" w:eastAsia="bg-BG"/>
        </w:rPr>
        <w:t xml:space="preserve">Източник: </w:t>
      </w:r>
      <w:r w:rsidRPr="00767485">
        <w:rPr>
          <w:rFonts w:ascii="Arial Narrow" w:hAnsi="Arial Narrow"/>
          <w:sz w:val="18"/>
          <w:szCs w:val="18"/>
          <w:lang w:val="bg-BG" w:eastAsia="bg-BG"/>
        </w:rPr>
        <w:t>НСИ</w:t>
      </w:r>
    </w:p>
    <w:p w14:paraId="581B0530" w14:textId="77777777" w:rsidR="00767485" w:rsidRPr="00767485" w:rsidRDefault="00767485" w:rsidP="00767485">
      <w:pPr>
        <w:spacing w:after="120"/>
        <w:ind w:firstLine="709"/>
        <w:jc w:val="both"/>
        <w:rPr>
          <w:rFonts w:ascii="Arial Narrow" w:hAnsi="Arial Narrow"/>
          <w:i/>
          <w:sz w:val="18"/>
          <w:szCs w:val="18"/>
          <w:lang w:val="bg-BG" w:eastAsia="bg-BG"/>
        </w:rPr>
      </w:pPr>
      <w:r w:rsidRPr="00767485">
        <w:rPr>
          <w:rFonts w:ascii="Arial Narrow" w:hAnsi="Arial Narrow"/>
          <w:lang w:val="bg-BG" w:eastAsia="bg-BG"/>
        </w:rPr>
        <w:lastRenderedPageBreak/>
        <w:t>Внесеното количество риба и рибни продукти от трети страни е в размер на 13 816 тона, с 5,6% над нивото от предходната година. Най-значителен е импортът от Норвегия (2,6 хил. тона), Мароко (2,5 хил. тона), Турция (1,6 хил. тона), Канада (1,2 хил. тона) и Китай (1,0 хил. тона).</w:t>
      </w:r>
      <w:r w:rsidRPr="00767485">
        <w:rPr>
          <w:rFonts w:ascii="Arial Narrow" w:hAnsi="Arial Narrow"/>
          <w:i/>
          <w:sz w:val="18"/>
          <w:szCs w:val="18"/>
          <w:lang w:val="bg-BG" w:eastAsia="bg-BG"/>
        </w:rPr>
        <w:t xml:space="preserve"> </w:t>
      </w:r>
    </w:p>
    <w:p w14:paraId="1FA2D8AF" w14:textId="77777777" w:rsidR="00767485" w:rsidRPr="00767485" w:rsidRDefault="00767485" w:rsidP="00767485">
      <w:pPr>
        <w:keepNext/>
        <w:spacing w:after="120"/>
        <w:jc w:val="center"/>
        <w:rPr>
          <w:rFonts w:ascii="Arial Narrow" w:eastAsia="Calibri" w:hAnsi="Arial Narrow"/>
          <w:b/>
          <w:i/>
          <w:lang w:val="bg-BG" w:eastAsia="bg-BG"/>
        </w:rPr>
      </w:pPr>
      <w:r w:rsidRPr="00767485">
        <w:rPr>
          <w:rFonts w:ascii="Arial Narrow" w:eastAsia="Calibri" w:hAnsi="Arial Narrow"/>
          <w:b/>
          <w:i/>
          <w:lang w:val="bg-BG" w:eastAsia="bg-BG"/>
        </w:rPr>
        <w:t>Фигура VІІ.4. Структура на вноса на риба и рибни продукти през 2024 г.</w:t>
      </w:r>
    </w:p>
    <w:p w14:paraId="455F67AC" w14:textId="77777777" w:rsidR="00767485" w:rsidRPr="00767485" w:rsidRDefault="00767485" w:rsidP="00767485">
      <w:pPr>
        <w:keepNext/>
        <w:spacing w:after="120"/>
        <w:jc w:val="center"/>
        <w:rPr>
          <w:rFonts w:ascii="Arial Narrow" w:eastAsia="Calibri" w:hAnsi="Arial Narrow"/>
          <w:b/>
          <w:i/>
          <w:lang w:val="bg-BG" w:eastAsia="bg-BG"/>
        </w:rPr>
      </w:pPr>
      <w:r w:rsidRPr="00767485">
        <w:rPr>
          <w:noProof/>
        </w:rPr>
        <w:drawing>
          <wp:inline distT="0" distB="0" distL="0" distR="0" wp14:anchorId="645F1232" wp14:editId="2E49EA19">
            <wp:extent cx="5040000" cy="3060000"/>
            <wp:effectExtent l="0" t="0" r="8255" b="7620"/>
            <wp:docPr id="45" name="Chart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781910DD" w14:textId="77777777" w:rsidR="00767485" w:rsidRPr="00767485" w:rsidRDefault="00767485" w:rsidP="00767485">
      <w:pPr>
        <w:spacing w:after="240"/>
        <w:ind w:firstLine="992"/>
        <w:jc w:val="both"/>
        <w:rPr>
          <w:rFonts w:ascii="Arial Narrow" w:hAnsi="Arial Narrow"/>
          <w:sz w:val="18"/>
          <w:szCs w:val="18"/>
          <w:lang w:val="bg-BG" w:eastAsia="bg-BG"/>
        </w:rPr>
      </w:pPr>
      <w:r w:rsidRPr="00767485">
        <w:rPr>
          <w:rFonts w:ascii="Arial Narrow" w:hAnsi="Arial Narrow"/>
          <w:i/>
          <w:sz w:val="18"/>
          <w:szCs w:val="18"/>
          <w:lang w:val="bg-BG" w:eastAsia="bg-BG"/>
        </w:rPr>
        <w:t xml:space="preserve">Източник: </w:t>
      </w:r>
      <w:r w:rsidRPr="00767485">
        <w:rPr>
          <w:rFonts w:ascii="Arial Narrow" w:hAnsi="Arial Narrow"/>
          <w:sz w:val="18"/>
          <w:szCs w:val="18"/>
          <w:lang w:val="bg-BG" w:eastAsia="bg-BG"/>
        </w:rPr>
        <w:t>данни на НСИ и изчисления на МЗХ.</w:t>
      </w:r>
    </w:p>
    <w:p w14:paraId="74A8F740" w14:textId="77777777" w:rsidR="00767485" w:rsidRPr="00767485" w:rsidRDefault="00767485" w:rsidP="00767485">
      <w:pPr>
        <w:spacing w:after="120"/>
        <w:ind w:firstLine="709"/>
        <w:jc w:val="both"/>
        <w:rPr>
          <w:rFonts w:ascii="Arial Narrow" w:hAnsi="Arial Narrow"/>
          <w:lang w:val="bg-BG" w:eastAsia="bg-BG"/>
        </w:rPr>
      </w:pPr>
      <w:r w:rsidRPr="00767485">
        <w:rPr>
          <w:rFonts w:ascii="Arial Narrow" w:hAnsi="Arial Narrow"/>
          <w:lang w:val="bg-BG" w:eastAsia="bg-BG"/>
        </w:rPr>
        <w:t xml:space="preserve">Традиционно, водещ е вносът на замразена риба. През 2024 г.са внесени 15 835 тона замразена риба, с изключение на филета - с 1,2% по-малко на годишна база. Най-значителни остават доставките на замразена скумрия </w:t>
      </w:r>
      <w:r w:rsidR="000F303E">
        <w:rPr>
          <w:rFonts w:ascii="Arial Narrow" w:hAnsi="Arial Narrow"/>
          <w:lang w:val="bg-BG" w:eastAsia="bg-BG"/>
        </w:rPr>
        <w:t>-</w:t>
      </w:r>
      <w:r w:rsidRPr="00767485">
        <w:rPr>
          <w:rFonts w:ascii="Arial Narrow" w:hAnsi="Arial Narrow"/>
          <w:lang w:val="bg-BG" w:eastAsia="bg-BG"/>
        </w:rPr>
        <w:t xml:space="preserve"> 8 180 тона, с 4,3% над нивото от предходната година. Сравнително големи са и вл</w:t>
      </w:r>
      <w:r w:rsidR="00905583">
        <w:rPr>
          <w:rFonts w:ascii="Arial Narrow" w:hAnsi="Arial Narrow"/>
          <w:lang w:val="bg-BG" w:eastAsia="bg-BG"/>
        </w:rPr>
        <w:t>е</w:t>
      </w:r>
      <w:r w:rsidRPr="00767485">
        <w:rPr>
          <w:rFonts w:ascii="Arial Narrow" w:hAnsi="Arial Narrow"/>
          <w:lang w:val="bg-BG" w:eastAsia="bg-BG"/>
        </w:rPr>
        <w:t>злите отвън количества замразена риба от следните видове: мерлуза</w:t>
      </w:r>
      <w:r w:rsidR="000F303E">
        <w:rPr>
          <w:rFonts w:ascii="Arial Narrow" w:hAnsi="Arial Narrow"/>
          <w:lang w:val="bg-BG" w:eastAsia="bg-BG"/>
        </w:rPr>
        <w:t xml:space="preserve"> -</w:t>
      </w:r>
      <w:r w:rsidRPr="00767485">
        <w:rPr>
          <w:rFonts w:ascii="Arial Narrow" w:hAnsi="Arial Narrow"/>
          <w:lang w:val="bg-BG" w:eastAsia="bg-BG"/>
        </w:rPr>
        <w:t xml:space="preserve"> 1 558 тона, шпрот, трицона или цаца - </w:t>
      </w:r>
      <w:r w:rsidRPr="00767485">
        <w:rPr>
          <w:rFonts w:ascii="Arial Narrow" w:hAnsi="Arial Narrow" w:cs="Arial"/>
          <w:lang w:val="bg-BG" w:eastAsia="bg-BG"/>
        </w:rPr>
        <w:t>576 тона,</w:t>
      </w:r>
      <w:r w:rsidRPr="00767485">
        <w:rPr>
          <w:rFonts w:ascii="Arial" w:hAnsi="Arial" w:cs="Arial"/>
          <w:sz w:val="20"/>
          <w:szCs w:val="20"/>
          <w:lang w:val="bg-BG" w:eastAsia="bg-BG"/>
        </w:rPr>
        <w:t xml:space="preserve"> </w:t>
      </w:r>
      <w:r w:rsidR="000F303E">
        <w:rPr>
          <w:rFonts w:ascii="Arial Narrow" w:hAnsi="Arial Narrow"/>
          <w:lang w:val="bg-BG" w:eastAsia="bg-BG"/>
        </w:rPr>
        <w:t>сардини -</w:t>
      </w:r>
      <w:r w:rsidRPr="00767485">
        <w:rPr>
          <w:rFonts w:ascii="Arial Narrow" w:hAnsi="Arial Narrow"/>
          <w:lang w:val="bg-BG" w:eastAsia="bg-BG"/>
        </w:rPr>
        <w:t xml:space="preserve"> 392 тона, </w:t>
      </w:r>
      <w:r w:rsidR="000F303E">
        <w:rPr>
          <w:rFonts w:ascii="Arial Narrow" w:hAnsi="Arial Narrow"/>
          <w:lang w:val="bg-BG" w:eastAsia="bg-BG"/>
        </w:rPr>
        <w:t>херинга -</w:t>
      </w:r>
      <w:r w:rsidRPr="00767485">
        <w:rPr>
          <w:rFonts w:ascii="Arial Narrow" w:hAnsi="Arial Narrow"/>
          <w:lang w:val="bg-BG" w:eastAsia="bg-BG"/>
        </w:rPr>
        <w:t xml:space="preserve"> 309 тона, сьомга</w:t>
      </w:r>
      <w:r w:rsidR="000F303E">
        <w:rPr>
          <w:rFonts w:ascii="Arial Narrow" w:hAnsi="Arial Narrow"/>
          <w:lang w:val="bg-BG" w:eastAsia="bg-BG"/>
        </w:rPr>
        <w:t xml:space="preserve"> -</w:t>
      </w:r>
      <w:r w:rsidRPr="00767485">
        <w:rPr>
          <w:rFonts w:ascii="Arial Narrow" w:hAnsi="Arial Narrow"/>
          <w:lang w:val="bg-BG" w:eastAsia="bg-BG"/>
        </w:rPr>
        <w:t xml:space="preserve"> 267 тона, акула - 221 тона,</w:t>
      </w:r>
      <w:r w:rsidR="000F303E">
        <w:rPr>
          <w:rFonts w:ascii="Arial Narrow" w:hAnsi="Arial Narrow"/>
          <w:lang w:val="bg-BG" w:eastAsia="bg-BG"/>
        </w:rPr>
        <w:t xml:space="preserve"> треска -</w:t>
      </w:r>
      <w:r w:rsidRPr="00767485">
        <w:rPr>
          <w:rFonts w:ascii="Arial Narrow" w:hAnsi="Arial Narrow"/>
          <w:lang w:val="bg-BG" w:eastAsia="bg-BG"/>
        </w:rPr>
        <w:t xml:space="preserve"> 123 тона, </w:t>
      </w:r>
      <w:r w:rsidR="000F303E">
        <w:rPr>
          <w:rFonts w:ascii="Arial Narrow" w:hAnsi="Arial Narrow"/>
          <w:lang w:val="bg-BG" w:eastAsia="bg-BG"/>
        </w:rPr>
        <w:t>сафрид -</w:t>
      </w:r>
      <w:r w:rsidRPr="00767485">
        <w:rPr>
          <w:rFonts w:ascii="Arial Narrow" w:hAnsi="Arial Narrow"/>
          <w:lang w:val="bg-BG" w:eastAsia="bg-BG"/>
        </w:rPr>
        <w:t xml:space="preserve"> 110 тона и пъстървови </w:t>
      </w:r>
      <w:r w:rsidR="000F303E">
        <w:rPr>
          <w:rFonts w:ascii="Arial Narrow" w:hAnsi="Arial Narrow"/>
          <w:lang w:eastAsia="bg-BG"/>
        </w:rPr>
        <w:t>-</w:t>
      </w:r>
      <w:r w:rsidRPr="00767485">
        <w:rPr>
          <w:rFonts w:ascii="Arial Narrow" w:hAnsi="Arial Narrow"/>
          <w:lang w:val="bg-BG" w:eastAsia="bg-BG"/>
        </w:rPr>
        <w:t xml:space="preserve"> 303 тона.</w:t>
      </w:r>
    </w:p>
    <w:p w14:paraId="112253F4" w14:textId="77777777" w:rsidR="00767485" w:rsidRPr="00767485" w:rsidRDefault="00767485" w:rsidP="00767485">
      <w:pPr>
        <w:spacing w:after="120"/>
        <w:ind w:firstLine="709"/>
        <w:jc w:val="both"/>
        <w:rPr>
          <w:rFonts w:ascii="Arial Narrow" w:hAnsi="Arial Narrow"/>
          <w:lang w:val="bg-BG" w:eastAsia="bg-BG"/>
        </w:rPr>
      </w:pPr>
      <w:r w:rsidRPr="00767485">
        <w:rPr>
          <w:rFonts w:ascii="Arial Narrow" w:hAnsi="Arial Narrow"/>
          <w:lang w:val="bg-BG" w:eastAsia="bg-BG"/>
        </w:rPr>
        <w:t>Сред останалите групи продукти, сериозен спад на годишна база се наблюдава при вноса на водни безгръбначни, различни от ракообразните и мекотелите</w:t>
      </w:r>
      <w:r w:rsidRPr="00767485">
        <w:rPr>
          <w:rFonts w:ascii="Arial Narrow" w:hAnsi="Arial Narrow"/>
          <w:lang w:eastAsia="bg-BG"/>
        </w:rPr>
        <w:t xml:space="preserve"> </w:t>
      </w:r>
      <w:r w:rsidRPr="00767485">
        <w:rPr>
          <w:rFonts w:ascii="Arial Narrow" w:hAnsi="Arial Narrow"/>
          <w:lang w:val="bg-BG" w:eastAsia="bg-BG"/>
        </w:rPr>
        <w:t>- с 82,9%, консе</w:t>
      </w:r>
      <w:r w:rsidR="002E0986">
        <w:rPr>
          <w:rFonts w:ascii="Arial Narrow" w:hAnsi="Arial Narrow"/>
          <w:lang w:val="bg-BG" w:eastAsia="bg-BG"/>
        </w:rPr>
        <w:t>рвирани ракообразни и мекотели -</w:t>
      </w:r>
      <w:r w:rsidRPr="00767485">
        <w:rPr>
          <w:rFonts w:ascii="Arial Narrow" w:hAnsi="Arial Narrow"/>
          <w:lang w:val="bg-BG" w:eastAsia="bg-BG"/>
        </w:rPr>
        <w:t xml:space="preserve"> с 38,6%, мекотели (живи, пресни, охладени, замраз</w:t>
      </w:r>
      <w:r w:rsidR="008921B3">
        <w:rPr>
          <w:rFonts w:ascii="Arial Narrow" w:hAnsi="Arial Narrow"/>
          <w:lang w:val="bg-BG" w:eastAsia="bg-BG"/>
        </w:rPr>
        <w:t>ени, сушени) -</w:t>
      </w:r>
      <w:r w:rsidRPr="00767485">
        <w:rPr>
          <w:rFonts w:ascii="Arial Narrow" w:hAnsi="Arial Narrow"/>
          <w:lang w:val="bg-BG" w:eastAsia="bg-BG"/>
        </w:rPr>
        <w:t xml:space="preserve"> с 21,3%. Макар и много по-слабо, намаляват и внесените количества филета (с 5,5%) и готови храни и консерви от риби (с </w:t>
      </w:r>
      <w:r w:rsidRPr="00767485">
        <w:rPr>
          <w:rFonts w:ascii="Arial Narrow" w:hAnsi="Arial Narrow"/>
          <w:lang w:eastAsia="bg-BG"/>
        </w:rPr>
        <w:t>2</w:t>
      </w:r>
      <w:r w:rsidRPr="00767485">
        <w:rPr>
          <w:rFonts w:ascii="Arial Narrow" w:hAnsi="Arial Narrow"/>
          <w:lang w:val="bg-BG" w:eastAsia="bg-BG"/>
        </w:rPr>
        <w:t>,</w:t>
      </w:r>
      <w:r w:rsidRPr="00767485">
        <w:rPr>
          <w:rFonts w:ascii="Arial Narrow" w:hAnsi="Arial Narrow"/>
          <w:lang w:eastAsia="bg-BG"/>
        </w:rPr>
        <w:t>7%</w:t>
      </w:r>
      <w:r w:rsidRPr="00767485">
        <w:rPr>
          <w:rFonts w:ascii="Arial Narrow" w:hAnsi="Arial Narrow"/>
          <w:lang w:val="bg-BG" w:eastAsia="bg-BG"/>
        </w:rPr>
        <w:t>). Съществено нарастване спрямо 2023 г. се отчита при импорта на осолена и сушен</w:t>
      </w:r>
      <w:r w:rsidR="002E0986">
        <w:rPr>
          <w:rFonts w:ascii="Arial Narrow" w:hAnsi="Arial Narrow"/>
          <w:lang w:val="bg-BG" w:eastAsia="bg-BG"/>
        </w:rPr>
        <w:t>а риба - с 34,3%, а по-умерено -</w:t>
      </w:r>
      <w:r w:rsidRPr="00767485">
        <w:rPr>
          <w:rFonts w:ascii="Arial Narrow" w:hAnsi="Arial Narrow"/>
          <w:lang w:val="bg-BG" w:eastAsia="bg-BG"/>
        </w:rPr>
        <w:t xml:space="preserve"> при този на жива и на прясна и охладена риба - с</w:t>
      </w:r>
      <w:r w:rsidR="008921B3">
        <w:rPr>
          <w:rFonts w:ascii="Arial Narrow" w:hAnsi="Arial Narrow"/>
          <w:lang w:val="bg-BG" w:eastAsia="bg-BG"/>
        </w:rPr>
        <w:t xml:space="preserve"> по около 11% и на ракообразни -</w:t>
      </w:r>
      <w:r w:rsidRPr="00767485">
        <w:rPr>
          <w:rFonts w:ascii="Arial Narrow" w:hAnsi="Arial Narrow"/>
          <w:lang w:val="bg-BG" w:eastAsia="bg-BG"/>
        </w:rPr>
        <w:t xml:space="preserve"> с 6,8%.</w:t>
      </w:r>
    </w:p>
    <w:p w14:paraId="6CFB7B4C" w14:textId="77777777" w:rsidR="00767485" w:rsidRPr="00767485" w:rsidRDefault="00767485" w:rsidP="00767485">
      <w:pPr>
        <w:spacing w:after="120"/>
        <w:ind w:firstLine="709"/>
        <w:jc w:val="both"/>
        <w:rPr>
          <w:rFonts w:ascii="Arial Narrow" w:hAnsi="Arial Narrow"/>
          <w:lang w:val="bg-BG" w:eastAsia="bg-BG"/>
        </w:rPr>
      </w:pPr>
      <w:r w:rsidRPr="00767485">
        <w:rPr>
          <w:rFonts w:ascii="Arial Narrow" w:hAnsi="Arial Narrow"/>
          <w:lang w:val="bg-BG" w:eastAsia="bg-BG"/>
        </w:rPr>
        <w:t>По предварителни данни, през първите шест месеца на 202</w:t>
      </w:r>
      <w:r w:rsidRPr="00767485">
        <w:rPr>
          <w:rFonts w:ascii="Arial Narrow" w:hAnsi="Arial Narrow"/>
          <w:lang w:eastAsia="bg-BG"/>
        </w:rPr>
        <w:t>5</w:t>
      </w:r>
      <w:r w:rsidRPr="00767485">
        <w:rPr>
          <w:rFonts w:ascii="Arial Narrow" w:hAnsi="Arial Narrow"/>
          <w:lang w:val="bg-BG" w:eastAsia="bg-BG"/>
        </w:rPr>
        <w:t xml:space="preserve"> г. са внесени общо </w:t>
      </w:r>
      <w:r w:rsidRPr="00767485">
        <w:rPr>
          <w:rFonts w:ascii="Arial Narrow" w:hAnsi="Arial Narrow"/>
          <w:lang w:eastAsia="bg-BG"/>
        </w:rPr>
        <w:t>18 343</w:t>
      </w:r>
      <w:r w:rsidRPr="00767485">
        <w:rPr>
          <w:rFonts w:ascii="Arial Narrow" w:hAnsi="Arial Narrow"/>
          <w:lang w:val="bg-BG" w:eastAsia="bg-BG"/>
        </w:rPr>
        <w:t xml:space="preserve"> тона риба, други водни организми и преработени рибни продукти, което е с 9,</w:t>
      </w:r>
      <w:r w:rsidRPr="00767485">
        <w:rPr>
          <w:rFonts w:ascii="Arial Narrow" w:hAnsi="Arial Narrow"/>
          <w:lang w:eastAsia="bg-BG"/>
        </w:rPr>
        <w:t>8</w:t>
      </w:r>
      <w:r w:rsidRPr="00767485">
        <w:rPr>
          <w:rFonts w:ascii="Arial Narrow" w:hAnsi="Arial Narrow"/>
          <w:lang w:val="bg-BG" w:eastAsia="bg-BG"/>
        </w:rPr>
        <w:t xml:space="preserve">% повече на годишна база. Налице е леко увеличение на доставките от ЕС с </w:t>
      </w:r>
      <w:r w:rsidRPr="00767485">
        <w:rPr>
          <w:rFonts w:ascii="Arial Narrow" w:hAnsi="Arial Narrow"/>
          <w:lang w:eastAsia="bg-BG"/>
        </w:rPr>
        <w:t>1,4</w:t>
      </w:r>
      <w:r w:rsidRPr="00767485">
        <w:rPr>
          <w:rFonts w:ascii="Arial Narrow" w:hAnsi="Arial Narrow"/>
          <w:lang w:val="bg-BG" w:eastAsia="bg-BG"/>
        </w:rPr>
        <w:t>%, до 11 676 тона и ръст на вноса от трети страни от 28,4%, до 6 667 тона.</w:t>
      </w:r>
    </w:p>
    <w:p w14:paraId="06B613A4" w14:textId="77777777" w:rsidR="00767485" w:rsidRPr="00767485" w:rsidRDefault="00767485" w:rsidP="00767485">
      <w:pPr>
        <w:spacing w:after="120"/>
        <w:ind w:firstLine="709"/>
        <w:jc w:val="both"/>
        <w:rPr>
          <w:rFonts w:ascii="Arial Narrow" w:hAnsi="Arial Narrow"/>
          <w:b/>
          <w:lang w:val="bg-BG" w:eastAsia="bg-BG"/>
        </w:rPr>
      </w:pPr>
      <w:r w:rsidRPr="00767485">
        <w:rPr>
          <w:rFonts w:ascii="Arial Narrow" w:hAnsi="Arial Narrow"/>
          <w:b/>
          <w:lang w:val="bg-BG" w:eastAsia="bg-BG"/>
        </w:rPr>
        <w:t>Износ</w:t>
      </w:r>
    </w:p>
    <w:p w14:paraId="121C25F7" w14:textId="77777777" w:rsidR="00767485" w:rsidRPr="00767485" w:rsidRDefault="00767485" w:rsidP="00767485">
      <w:pPr>
        <w:spacing w:after="120"/>
        <w:ind w:firstLine="706"/>
        <w:jc w:val="both"/>
        <w:rPr>
          <w:rFonts w:ascii="Arial Narrow" w:hAnsi="Arial Narrow"/>
          <w:lang w:val="bg-BG" w:eastAsia="bg-BG"/>
        </w:rPr>
      </w:pPr>
      <w:r w:rsidRPr="00767485">
        <w:rPr>
          <w:rFonts w:ascii="Arial Narrow" w:hAnsi="Arial Narrow"/>
          <w:lang w:val="bg-BG" w:eastAsia="bg-BG"/>
        </w:rPr>
        <w:t>По данни на НСИ, през 2024 г. са изнесени общо 13 185 тона на риба, други водни организми и рибни продукти, което е с 10% по-малко спрямо предходната година. Наблюдава се намаление на експорта на повечето видове продукти в границите от 0,4% (консервирани ракообразни и мекотели) до 40% (мекотели - живи, пресни, охладени, замразени, сушени и замразени филета). От друга страна, износът на готови храни и консерви от риби се увеличава с 5,8% на годиш</w:t>
      </w:r>
      <w:r w:rsidR="002E0986">
        <w:rPr>
          <w:rFonts w:ascii="Arial Narrow" w:hAnsi="Arial Narrow"/>
          <w:lang w:val="bg-BG" w:eastAsia="bg-BG"/>
        </w:rPr>
        <w:t>на база, а този на ракообразни -</w:t>
      </w:r>
      <w:r w:rsidRPr="00767485">
        <w:rPr>
          <w:rFonts w:ascii="Arial Narrow" w:hAnsi="Arial Narrow"/>
          <w:lang w:val="bg-BG" w:eastAsia="bg-BG"/>
        </w:rPr>
        <w:t xml:space="preserve"> с 15,6%. Макар и да нараства близо шест пъти, изнесеното количество водни безгръбначни,</w:t>
      </w:r>
      <w:r w:rsidRPr="00767485">
        <w:rPr>
          <w:lang w:val="bg-BG" w:eastAsia="bg-BG"/>
        </w:rPr>
        <w:t xml:space="preserve"> </w:t>
      </w:r>
      <w:r w:rsidRPr="00767485">
        <w:rPr>
          <w:rFonts w:ascii="Arial Narrow" w:hAnsi="Arial Narrow"/>
          <w:lang w:val="bg-BG" w:eastAsia="bg-BG"/>
        </w:rPr>
        <w:t xml:space="preserve">различни от ракообразните и мекотелите, остава сравнително малко. </w:t>
      </w:r>
    </w:p>
    <w:p w14:paraId="5CE92EB9" w14:textId="77777777" w:rsidR="00767485" w:rsidRPr="00767485" w:rsidRDefault="00767485" w:rsidP="00767485">
      <w:pPr>
        <w:keepNext/>
        <w:spacing w:after="120"/>
        <w:jc w:val="both"/>
        <w:rPr>
          <w:rFonts w:ascii="Arial Narrow" w:hAnsi="Arial Narrow"/>
          <w:b/>
          <w:lang w:val="bg-BG" w:eastAsia="bg-BG"/>
        </w:rPr>
      </w:pPr>
      <w:r w:rsidRPr="00767485">
        <w:rPr>
          <w:rFonts w:ascii="Arial Narrow" w:hAnsi="Arial Narrow"/>
          <w:b/>
          <w:bCs/>
          <w:lang w:val="bg-BG" w:eastAsia="bg-BG"/>
        </w:rPr>
        <w:lastRenderedPageBreak/>
        <w:t>Таблица</w:t>
      </w:r>
      <w:r w:rsidRPr="00767485">
        <w:rPr>
          <w:rFonts w:ascii="Arial Narrow" w:hAnsi="Arial Narrow"/>
          <w:b/>
          <w:lang w:val="bg-BG" w:eastAsia="bg-BG"/>
        </w:rPr>
        <w:t xml:space="preserve"> VІІ.5. Износ на риба, други водни организми и рибни продукти, тона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566"/>
        <w:gridCol w:w="1411"/>
        <w:gridCol w:w="1411"/>
        <w:gridCol w:w="1412"/>
      </w:tblGrid>
      <w:tr w:rsidR="00767485" w:rsidRPr="00767485" w14:paraId="111FBCC1" w14:textId="77777777" w:rsidTr="00F44BFC">
        <w:trPr>
          <w:trHeight w:val="526"/>
          <w:tblHeader/>
        </w:trPr>
        <w:tc>
          <w:tcPr>
            <w:tcW w:w="5662" w:type="dxa"/>
            <w:vAlign w:val="center"/>
          </w:tcPr>
          <w:p w14:paraId="78B25FAC" w14:textId="77777777" w:rsidR="00767485" w:rsidRPr="00767485" w:rsidRDefault="00767485" w:rsidP="00767485">
            <w:pPr>
              <w:jc w:val="center"/>
              <w:rPr>
                <w:rFonts w:ascii="Arial Narrow" w:hAnsi="Arial Narrow" w:cs="Arial"/>
                <w:b/>
                <w:bCs/>
                <w:sz w:val="20"/>
                <w:szCs w:val="20"/>
                <w:lang w:val="bg-BG" w:eastAsia="bg-BG"/>
              </w:rPr>
            </w:pPr>
            <w:r w:rsidRPr="00767485">
              <w:rPr>
                <w:rFonts w:ascii="Arial Narrow" w:hAnsi="Arial Narrow" w:cs="Arial"/>
                <w:b/>
                <w:bCs/>
                <w:sz w:val="20"/>
                <w:szCs w:val="20"/>
                <w:lang w:val="bg-BG" w:eastAsia="bg-BG"/>
              </w:rPr>
              <w:t xml:space="preserve">Продукти </w:t>
            </w:r>
          </w:p>
        </w:tc>
        <w:tc>
          <w:tcPr>
            <w:tcW w:w="1434" w:type="dxa"/>
            <w:shd w:val="clear" w:color="auto" w:fill="FFFFFF"/>
            <w:vAlign w:val="center"/>
          </w:tcPr>
          <w:p w14:paraId="6E0D3BF9" w14:textId="77777777" w:rsidR="00767485" w:rsidRPr="00767485" w:rsidRDefault="00767485" w:rsidP="00767485">
            <w:pPr>
              <w:keepNext/>
              <w:jc w:val="center"/>
              <w:rPr>
                <w:rFonts w:ascii="Arial Narrow" w:hAnsi="Arial Narrow" w:cs="Arial"/>
                <w:b/>
                <w:bCs/>
                <w:sz w:val="20"/>
                <w:szCs w:val="20"/>
                <w:lang w:val="bg-BG" w:eastAsia="bg-BG"/>
              </w:rPr>
            </w:pPr>
            <w:r w:rsidRPr="00767485">
              <w:rPr>
                <w:rFonts w:ascii="Arial Narrow" w:hAnsi="Arial Narrow" w:cs="Arial"/>
                <w:b/>
                <w:bCs/>
                <w:sz w:val="20"/>
                <w:szCs w:val="20"/>
                <w:lang w:val="bg-BG" w:eastAsia="bg-BG"/>
              </w:rPr>
              <w:t>2023</w:t>
            </w:r>
          </w:p>
        </w:tc>
        <w:tc>
          <w:tcPr>
            <w:tcW w:w="1434" w:type="dxa"/>
            <w:tcBorders>
              <w:right w:val="single" w:sz="4" w:space="0" w:color="auto"/>
            </w:tcBorders>
            <w:shd w:val="clear" w:color="auto" w:fill="FFFFFF"/>
            <w:vAlign w:val="center"/>
          </w:tcPr>
          <w:p w14:paraId="0CC2AE48" w14:textId="77777777" w:rsidR="00767485" w:rsidRPr="00767485" w:rsidRDefault="00767485" w:rsidP="00767485">
            <w:pPr>
              <w:keepNext/>
              <w:jc w:val="center"/>
              <w:rPr>
                <w:rFonts w:ascii="Arial Narrow" w:hAnsi="Arial Narrow" w:cs="Arial"/>
                <w:b/>
                <w:bCs/>
                <w:sz w:val="20"/>
                <w:szCs w:val="20"/>
                <w:lang w:val="bg-BG" w:eastAsia="bg-BG"/>
              </w:rPr>
            </w:pPr>
            <w:r w:rsidRPr="00767485">
              <w:rPr>
                <w:rFonts w:ascii="Arial Narrow" w:hAnsi="Arial Narrow" w:cs="Arial"/>
                <w:b/>
                <w:bCs/>
                <w:sz w:val="20"/>
                <w:szCs w:val="20"/>
                <w:lang w:val="bg-BG" w:eastAsia="bg-BG"/>
              </w:rPr>
              <w:t>2024</w:t>
            </w:r>
          </w:p>
        </w:tc>
        <w:tc>
          <w:tcPr>
            <w:tcW w:w="1435" w:type="dxa"/>
            <w:tcBorders>
              <w:top w:val="single" w:sz="4" w:space="0" w:color="auto"/>
              <w:left w:val="single" w:sz="4" w:space="0" w:color="auto"/>
              <w:right w:val="single" w:sz="4" w:space="0" w:color="auto"/>
            </w:tcBorders>
            <w:noWrap/>
            <w:vAlign w:val="center"/>
          </w:tcPr>
          <w:p w14:paraId="23A4A626" w14:textId="77777777" w:rsidR="00767485" w:rsidRPr="00767485" w:rsidRDefault="00767485" w:rsidP="00767485">
            <w:pPr>
              <w:keepNext/>
              <w:jc w:val="center"/>
              <w:rPr>
                <w:rFonts w:ascii="Arial Narrow" w:hAnsi="Arial Narrow" w:cs="Arial"/>
                <w:b/>
                <w:bCs/>
                <w:sz w:val="20"/>
                <w:szCs w:val="20"/>
                <w:lang w:val="bg-BG" w:eastAsia="bg-BG"/>
              </w:rPr>
            </w:pPr>
            <w:r w:rsidRPr="00767485">
              <w:rPr>
                <w:rFonts w:ascii="Arial Narrow" w:hAnsi="Arial Narrow" w:cs="Arial"/>
                <w:b/>
                <w:bCs/>
                <w:sz w:val="20"/>
                <w:szCs w:val="20"/>
                <w:lang w:val="bg-BG" w:eastAsia="bg-BG"/>
              </w:rPr>
              <w:t>Изменение</w:t>
            </w:r>
          </w:p>
          <w:p w14:paraId="7E86B6CC" w14:textId="77777777" w:rsidR="00767485" w:rsidRPr="00767485" w:rsidRDefault="00767485" w:rsidP="00767485">
            <w:pPr>
              <w:keepNext/>
              <w:jc w:val="center"/>
              <w:rPr>
                <w:rFonts w:ascii="Arial Narrow" w:hAnsi="Arial Narrow" w:cs="Arial"/>
                <w:b/>
                <w:bCs/>
                <w:sz w:val="20"/>
                <w:szCs w:val="20"/>
                <w:lang w:val="bg-BG" w:eastAsia="bg-BG"/>
              </w:rPr>
            </w:pPr>
            <w:r w:rsidRPr="00767485">
              <w:rPr>
                <w:rFonts w:ascii="Arial Narrow" w:hAnsi="Arial Narrow" w:cs="Arial"/>
                <w:b/>
                <w:bCs/>
                <w:sz w:val="20"/>
                <w:szCs w:val="20"/>
                <w:lang w:val="bg-BG" w:eastAsia="bg-BG"/>
              </w:rPr>
              <w:t>2024/2023</w:t>
            </w:r>
          </w:p>
        </w:tc>
      </w:tr>
      <w:tr w:rsidR="00767485" w:rsidRPr="00767485" w14:paraId="1C7D28E8" w14:textId="77777777" w:rsidTr="00F44BFC">
        <w:trPr>
          <w:trHeight w:val="420"/>
        </w:trPr>
        <w:tc>
          <w:tcPr>
            <w:tcW w:w="5662" w:type="dxa"/>
            <w:vAlign w:val="center"/>
          </w:tcPr>
          <w:p w14:paraId="0998E958" w14:textId="77777777" w:rsidR="00767485" w:rsidRPr="00767485" w:rsidRDefault="00767485" w:rsidP="00767485">
            <w:pPr>
              <w:rPr>
                <w:rFonts w:ascii="Arial Narrow" w:hAnsi="Arial Narrow" w:cs="Arial"/>
                <w:b/>
                <w:bCs/>
                <w:sz w:val="20"/>
                <w:szCs w:val="20"/>
                <w:lang w:val="bg-BG" w:eastAsia="bg-BG"/>
              </w:rPr>
            </w:pPr>
            <w:r w:rsidRPr="00767485">
              <w:rPr>
                <w:rFonts w:ascii="Arial Narrow" w:hAnsi="Arial Narrow" w:cs="Arial"/>
                <w:b/>
                <w:bCs/>
                <w:sz w:val="20"/>
                <w:szCs w:val="20"/>
                <w:lang w:val="bg-BG" w:eastAsia="bg-BG"/>
              </w:rPr>
              <w:t>Риба, други водни организми и рибни продукти – общо, в т.ч.:</w:t>
            </w:r>
          </w:p>
        </w:tc>
        <w:tc>
          <w:tcPr>
            <w:tcW w:w="14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3C9568" w14:textId="77777777" w:rsidR="00767485" w:rsidRPr="00767485" w:rsidRDefault="00767485" w:rsidP="00767485">
            <w:pPr>
              <w:jc w:val="right"/>
              <w:rPr>
                <w:rFonts w:ascii="Arial Narrow" w:hAnsi="Arial Narrow" w:cs="Arial"/>
                <w:b/>
                <w:bCs/>
                <w:sz w:val="20"/>
                <w:szCs w:val="20"/>
                <w:lang w:val="bg-BG" w:eastAsia="bg-BG"/>
              </w:rPr>
            </w:pPr>
            <w:r w:rsidRPr="00767485">
              <w:rPr>
                <w:rFonts w:ascii="Arial Narrow" w:hAnsi="Arial Narrow" w:cs="Arial"/>
                <w:b/>
                <w:bCs/>
                <w:sz w:val="20"/>
                <w:szCs w:val="20"/>
                <w:lang w:val="bg-BG" w:eastAsia="bg-BG"/>
              </w:rPr>
              <w:t>14 650</w:t>
            </w:r>
          </w:p>
        </w:tc>
        <w:tc>
          <w:tcPr>
            <w:tcW w:w="14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3C98B7" w14:textId="77777777" w:rsidR="00767485" w:rsidRPr="00767485" w:rsidRDefault="00767485" w:rsidP="00767485">
            <w:pPr>
              <w:jc w:val="right"/>
              <w:rPr>
                <w:rFonts w:ascii="Arial Narrow" w:hAnsi="Arial Narrow" w:cs="Arial"/>
                <w:b/>
                <w:bCs/>
                <w:sz w:val="20"/>
                <w:szCs w:val="20"/>
                <w:lang w:val="bg-BG" w:eastAsia="bg-BG"/>
              </w:rPr>
            </w:pPr>
            <w:r w:rsidRPr="00767485">
              <w:rPr>
                <w:rFonts w:ascii="Arial Narrow" w:hAnsi="Arial Narrow" w:cs="Arial"/>
                <w:b/>
                <w:bCs/>
                <w:sz w:val="20"/>
                <w:szCs w:val="20"/>
                <w:lang w:val="bg-BG" w:eastAsia="bg-BG"/>
              </w:rPr>
              <w:t>13 185</w:t>
            </w:r>
          </w:p>
        </w:tc>
        <w:tc>
          <w:tcPr>
            <w:tcW w:w="1435" w:type="dxa"/>
            <w:tcBorders>
              <w:top w:val="single" w:sz="4" w:space="0" w:color="auto"/>
              <w:left w:val="nil"/>
              <w:bottom w:val="single" w:sz="4" w:space="0" w:color="auto"/>
              <w:right w:val="single" w:sz="4" w:space="0" w:color="auto"/>
            </w:tcBorders>
            <w:shd w:val="clear" w:color="auto" w:fill="auto"/>
            <w:noWrap/>
            <w:vAlign w:val="center"/>
          </w:tcPr>
          <w:p w14:paraId="5CBB6777" w14:textId="77777777" w:rsidR="00767485" w:rsidRPr="00767485" w:rsidRDefault="00767485" w:rsidP="00767485">
            <w:pPr>
              <w:jc w:val="right"/>
              <w:rPr>
                <w:rFonts w:ascii="Arial Narrow" w:hAnsi="Arial Narrow" w:cs="Arial"/>
                <w:b/>
                <w:bCs/>
                <w:sz w:val="20"/>
                <w:szCs w:val="20"/>
                <w:lang w:val="bg-BG" w:eastAsia="bg-BG"/>
              </w:rPr>
            </w:pPr>
            <w:r w:rsidRPr="00767485">
              <w:rPr>
                <w:rFonts w:ascii="Arial Narrow" w:hAnsi="Arial Narrow" w:cs="Arial"/>
                <w:b/>
                <w:bCs/>
                <w:sz w:val="20"/>
                <w:szCs w:val="20"/>
                <w:lang w:val="bg-BG" w:eastAsia="bg-BG"/>
              </w:rPr>
              <w:t>-10,0%</w:t>
            </w:r>
          </w:p>
        </w:tc>
      </w:tr>
      <w:tr w:rsidR="00767485" w:rsidRPr="00767485" w14:paraId="65A60F25" w14:textId="77777777" w:rsidTr="00F44BFC">
        <w:trPr>
          <w:trHeight w:val="420"/>
        </w:trPr>
        <w:tc>
          <w:tcPr>
            <w:tcW w:w="5662" w:type="dxa"/>
            <w:vAlign w:val="center"/>
          </w:tcPr>
          <w:p w14:paraId="08971C9C" w14:textId="77777777" w:rsidR="00767485" w:rsidRPr="00767485" w:rsidRDefault="00767485" w:rsidP="00767485">
            <w:pPr>
              <w:rPr>
                <w:rFonts w:ascii="Arial Narrow" w:hAnsi="Arial Narrow" w:cs="Arial"/>
                <w:sz w:val="20"/>
                <w:szCs w:val="20"/>
                <w:lang w:val="bg-BG" w:eastAsia="bg-BG"/>
              </w:rPr>
            </w:pPr>
            <w:r w:rsidRPr="00767485">
              <w:rPr>
                <w:rFonts w:ascii="Arial Narrow" w:hAnsi="Arial Narrow" w:cs="Arial"/>
                <w:sz w:val="20"/>
                <w:szCs w:val="20"/>
                <w:lang w:val="bg-BG" w:eastAsia="bg-BG"/>
              </w:rPr>
              <w:t xml:space="preserve">Живи риби - сладководни и морски </w:t>
            </w:r>
          </w:p>
        </w:tc>
        <w:tc>
          <w:tcPr>
            <w:tcW w:w="1434" w:type="dxa"/>
            <w:tcBorders>
              <w:top w:val="nil"/>
              <w:left w:val="single" w:sz="4" w:space="0" w:color="auto"/>
              <w:bottom w:val="single" w:sz="4" w:space="0" w:color="auto"/>
              <w:right w:val="nil"/>
            </w:tcBorders>
            <w:shd w:val="clear" w:color="auto" w:fill="auto"/>
            <w:noWrap/>
            <w:vAlign w:val="center"/>
          </w:tcPr>
          <w:p w14:paraId="2831355C" w14:textId="77777777" w:rsidR="00767485" w:rsidRPr="00767485" w:rsidRDefault="00767485" w:rsidP="00767485">
            <w:pPr>
              <w:jc w:val="right"/>
              <w:rPr>
                <w:rFonts w:ascii="Arial Narrow" w:hAnsi="Arial Narrow" w:cs="Arial"/>
                <w:sz w:val="20"/>
                <w:szCs w:val="20"/>
                <w:lang w:val="bg-BG" w:eastAsia="bg-BG"/>
              </w:rPr>
            </w:pPr>
            <w:r w:rsidRPr="00767485">
              <w:rPr>
                <w:rFonts w:ascii="Arial Narrow" w:hAnsi="Arial Narrow" w:cs="Arial"/>
                <w:sz w:val="20"/>
                <w:szCs w:val="20"/>
                <w:lang w:val="bg-BG" w:eastAsia="bg-BG"/>
              </w:rPr>
              <w:t>1 105</w:t>
            </w:r>
          </w:p>
        </w:tc>
        <w:tc>
          <w:tcPr>
            <w:tcW w:w="1434" w:type="dxa"/>
            <w:tcBorders>
              <w:top w:val="single" w:sz="4" w:space="0" w:color="auto"/>
              <w:left w:val="single" w:sz="4" w:space="0" w:color="auto"/>
              <w:bottom w:val="single" w:sz="4" w:space="0" w:color="auto"/>
              <w:right w:val="nil"/>
            </w:tcBorders>
            <w:shd w:val="clear" w:color="auto" w:fill="auto"/>
            <w:noWrap/>
            <w:vAlign w:val="center"/>
          </w:tcPr>
          <w:p w14:paraId="02D8D61A" w14:textId="77777777" w:rsidR="00767485" w:rsidRPr="00767485" w:rsidRDefault="00767485" w:rsidP="00767485">
            <w:pPr>
              <w:jc w:val="right"/>
              <w:rPr>
                <w:rFonts w:ascii="Arial Narrow" w:hAnsi="Arial Narrow" w:cs="Arial"/>
                <w:sz w:val="20"/>
                <w:szCs w:val="20"/>
                <w:lang w:val="bg-BG" w:eastAsia="bg-BG"/>
              </w:rPr>
            </w:pPr>
            <w:r w:rsidRPr="00767485">
              <w:rPr>
                <w:rFonts w:ascii="Arial Narrow" w:hAnsi="Arial Narrow" w:cs="Arial"/>
                <w:sz w:val="20"/>
                <w:szCs w:val="20"/>
                <w:lang w:val="bg-BG" w:eastAsia="bg-BG"/>
              </w:rPr>
              <w:t>1 084</w:t>
            </w:r>
          </w:p>
        </w:tc>
        <w:tc>
          <w:tcPr>
            <w:tcW w:w="1435" w:type="dxa"/>
            <w:tcBorders>
              <w:top w:val="nil"/>
              <w:left w:val="single" w:sz="4" w:space="0" w:color="auto"/>
              <w:bottom w:val="single" w:sz="4" w:space="0" w:color="auto"/>
              <w:right w:val="single" w:sz="4" w:space="0" w:color="auto"/>
            </w:tcBorders>
            <w:shd w:val="clear" w:color="auto" w:fill="auto"/>
            <w:noWrap/>
            <w:vAlign w:val="center"/>
          </w:tcPr>
          <w:p w14:paraId="539A6874" w14:textId="77777777" w:rsidR="00767485" w:rsidRPr="00767485" w:rsidRDefault="00767485" w:rsidP="00767485">
            <w:pPr>
              <w:jc w:val="right"/>
              <w:rPr>
                <w:rFonts w:ascii="Arial Narrow" w:hAnsi="Arial Narrow" w:cs="Arial"/>
                <w:sz w:val="20"/>
                <w:szCs w:val="20"/>
                <w:lang w:val="bg-BG" w:eastAsia="bg-BG"/>
              </w:rPr>
            </w:pPr>
            <w:r w:rsidRPr="00767485">
              <w:rPr>
                <w:rFonts w:ascii="Arial Narrow" w:hAnsi="Arial Narrow" w:cs="Arial"/>
                <w:sz w:val="20"/>
                <w:szCs w:val="20"/>
                <w:lang w:val="bg-BG" w:eastAsia="bg-BG"/>
              </w:rPr>
              <w:t>-1,9%</w:t>
            </w:r>
          </w:p>
        </w:tc>
      </w:tr>
      <w:tr w:rsidR="00767485" w:rsidRPr="00767485" w14:paraId="68FB2FB7" w14:textId="77777777" w:rsidTr="00F44BFC">
        <w:trPr>
          <w:trHeight w:val="420"/>
        </w:trPr>
        <w:tc>
          <w:tcPr>
            <w:tcW w:w="5662" w:type="dxa"/>
            <w:vAlign w:val="center"/>
          </w:tcPr>
          <w:p w14:paraId="2E9FE997" w14:textId="77777777" w:rsidR="00767485" w:rsidRPr="00767485" w:rsidRDefault="00767485" w:rsidP="00767485">
            <w:pPr>
              <w:rPr>
                <w:rFonts w:ascii="Arial Narrow" w:hAnsi="Arial Narrow" w:cs="Arial"/>
                <w:sz w:val="20"/>
                <w:szCs w:val="20"/>
                <w:lang w:val="bg-BG" w:eastAsia="bg-BG"/>
              </w:rPr>
            </w:pPr>
            <w:r w:rsidRPr="00767485">
              <w:rPr>
                <w:rFonts w:ascii="Arial Narrow" w:hAnsi="Arial Narrow" w:cs="Arial"/>
                <w:sz w:val="20"/>
                <w:szCs w:val="20"/>
                <w:lang w:val="bg-BG" w:eastAsia="bg-BG"/>
              </w:rPr>
              <w:t>Риби - пресни или охладени, с изкл. на филетата</w:t>
            </w:r>
          </w:p>
        </w:tc>
        <w:tc>
          <w:tcPr>
            <w:tcW w:w="1434" w:type="dxa"/>
            <w:tcBorders>
              <w:top w:val="nil"/>
              <w:left w:val="single" w:sz="4" w:space="0" w:color="auto"/>
              <w:bottom w:val="single" w:sz="4" w:space="0" w:color="auto"/>
              <w:right w:val="nil"/>
            </w:tcBorders>
            <w:shd w:val="clear" w:color="auto" w:fill="auto"/>
            <w:noWrap/>
            <w:vAlign w:val="center"/>
          </w:tcPr>
          <w:p w14:paraId="47D115F4" w14:textId="77777777" w:rsidR="00767485" w:rsidRPr="00767485" w:rsidRDefault="00767485" w:rsidP="00767485">
            <w:pPr>
              <w:jc w:val="right"/>
              <w:rPr>
                <w:rFonts w:ascii="Arial Narrow" w:hAnsi="Arial Narrow" w:cs="Arial"/>
                <w:sz w:val="20"/>
                <w:szCs w:val="20"/>
                <w:lang w:val="bg-BG" w:eastAsia="bg-BG"/>
              </w:rPr>
            </w:pPr>
            <w:r w:rsidRPr="00767485">
              <w:rPr>
                <w:rFonts w:ascii="Arial Narrow" w:hAnsi="Arial Narrow" w:cs="Arial"/>
                <w:sz w:val="20"/>
                <w:szCs w:val="20"/>
                <w:lang w:val="bg-BG" w:eastAsia="bg-BG"/>
              </w:rPr>
              <w:t>2 316</w:t>
            </w:r>
          </w:p>
        </w:tc>
        <w:tc>
          <w:tcPr>
            <w:tcW w:w="1434" w:type="dxa"/>
            <w:tcBorders>
              <w:top w:val="nil"/>
              <w:left w:val="single" w:sz="4" w:space="0" w:color="auto"/>
              <w:bottom w:val="single" w:sz="4" w:space="0" w:color="auto"/>
              <w:right w:val="nil"/>
            </w:tcBorders>
            <w:shd w:val="clear" w:color="auto" w:fill="auto"/>
            <w:noWrap/>
            <w:vAlign w:val="center"/>
          </w:tcPr>
          <w:p w14:paraId="3B441226" w14:textId="77777777" w:rsidR="00767485" w:rsidRPr="00767485" w:rsidRDefault="00767485" w:rsidP="00767485">
            <w:pPr>
              <w:jc w:val="right"/>
              <w:rPr>
                <w:rFonts w:ascii="Arial Narrow" w:hAnsi="Arial Narrow" w:cs="Arial"/>
                <w:sz w:val="20"/>
                <w:szCs w:val="20"/>
                <w:lang w:val="bg-BG" w:eastAsia="bg-BG"/>
              </w:rPr>
            </w:pPr>
            <w:r w:rsidRPr="00767485">
              <w:rPr>
                <w:rFonts w:ascii="Arial Narrow" w:hAnsi="Arial Narrow" w:cs="Arial"/>
                <w:sz w:val="20"/>
                <w:szCs w:val="20"/>
                <w:lang w:val="bg-BG" w:eastAsia="bg-BG"/>
              </w:rPr>
              <w:t>2 264</w:t>
            </w:r>
          </w:p>
        </w:tc>
        <w:tc>
          <w:tcPr>
            <w:tcW w:w="1435" w:type="dxa"/>
            <w:tcBorders>
              <w:top w:val="nil"/>
              <w:left w:val="single" w:sz="4" w:space="0" w:color="auto"/>
              <w:bottom w:val="single" w:sz="4" w:space="0" w:color="auto"/>
              <w:right w:val="single" w:sz="4" w:space="0" w:color="auto"/>
            </w:tcBorders>
            <w:shd w:val="clear" w:color="auto" w:fill="auto"/>
            <w:noWrap/>
            <w:vAlign w:val="center"/>
          </w:tcPr>
          <w:p w14:paraId="3D7913D9" w14:textId="77777777" w:rsidR="00767485" w:rsidRPr="00767485" w:rsidRDefault="00767485" w:rsidP="00767485">
            <w:pPr>
              <w:jc w:val="right"/>
              <w:rPr>
                <w:rFonts w:ascii="Arial Narrow" w:hAnsi="Arial Narrow" w:cs="Arial"/>
                <w:sz w:val="20"/>
                <w:szCs w:val="20"/>
                <w:lang w:val="bg-BG" w:eastAsia="bg-BG"/>
              </w:rPr>
            </w:pPr>
            <w:r w:rsidRPr="00767485">
              <w:rPr>
                <w:rFonts w:ascii="Arial Narrow" w:hAnsi="Arial Narrow" w:cs="Arial"/>
                <w:sz w:val="20"/>
                <w:szCs w:val="20"/>
                <w:lang w:val="bg-BG" w:eastAsia="bg-BG"/>
              </w:rPr>
              <w:t>-2,3%</w:t>
            </w:r>
          </w:p>
        </w:tc>
      </w:tr>
      <w:tr w:rsidR="00767485" w:rsidRPr="00767485" w14:paraId="3F0331A7" w14:textId="77777777" w:rsidTr="00F44BFC">
        <w:trPr>
          <w:trHeight w:val="420"/>
        </w:trPr>
        <w:tc>
          <w:tcPr>
            <w:tcW w:w="5662" w:type="dxa"/>
            <w:vAlign w:val="center"/>
          </w:tcPr>
          <w:p w14:paraId="07626F0D" w14:textId="77777777" w:rsidR="00767485" w:rsidRPr="00767485" w:rsidRDefault="00767485" w:rsidP="00767485">
            <w:pPr>
              <w:rPr>
                <w:rFonts w:ascii="Arial Narrow" w:hAnsi="Arial Narrow" w:cs="Arial"/>
                <w:sz w:val="20"/>
                <w:szCs w:val="20"/>
                <w:lang w:val="bg-BG" w:eastAsia="bg-BG"/>
              </w:rPr>
            </w:pPr>
            <w:r w:rsidRPr="00767485">
              <w:rPr>
                <w:rFonts w:ascii="Arial Narrow" w:hAnsi="Arial Narrow" w:cs="Arial"/>
                <w:sz w:val="20"/>
                <w:szCs w:val="20"/>
                <w:lang w:val="bg-BG" w:eastAsia="bg-BG"/>
              </w:rPr>
              <w:t>Риби - замразени, с изкл. на филетата</w:t>
            </w:r>
          </w:p>
        </w:tc>
        <w:tc>
          <w:tcPr>
            <w:tcW w:w="1434" w:type="dxa"/>
            <w:tcBorders>
              <w:top w:val="nil"/>
              <w:left w:val="single" w:sz="4" w:space="0" w:color="auto"/>
              <w:bottom w:val="single" w:sz="4" w:space="0" w:color="auto"/>
              <w:right w:val="nil"/>
            </w:tcBorders>
            <w:shd w:val="clear" w:color="auto" w:fill="auto"/>
            <w:noWrap/>
            <w:vAlign w:val="center"/>
          </w:tcPr>
          <w:p w14:paraId="664B0AF4" w14:textId="77777777" w:rsidR="00767485" w:rsidRPr="00767485" w:rsidRDefault="00767485" w:rsidP="00767485">
            <w:pPr>
              <w:jc w:val="right"/>
              <w:rPr>
                <w:rFonts w:ascii="Arial Narrow" w:hAnsi="Arial Narrow" w:cs="Arial"/>
                <w:sz w:val="20"/>
                <w:szCs w:val="20"/>
                <w:lang w:val="bg-BG" w:eastAsia="bg-BG"/>
              </w:rPr>
            </w:pPr>
            <w:r w:rsidRPr="00767485">
              <w:rPr>
                <w:rFonts w:ascii="Arial Narrow" w:hAnsi="Arial Narrow" w:cs="Arial"/>
                <w:sz w:val="20"/>
                <w:szCs w:val="20"/>
                <w:lang w:val="bg-BG" w:eastAsia="bg-BG"/>
              </w:rPr>
              <w:t>2 100</w:t>
            </w:r>
          </w:p>
        </w:tc>
        <w:tc>
          <w:tcPr>
            <w:tcW w:w="1434" w:type="dxa"/>
            <w:tcBorders>
              <w:top w:val="nil"/>
              <w:left w:val="single" w:sz="4" w:space="0" w:color="auto"/>
              <w:bottom w:val="single" w:sz="4" w:space="0" w:color="auto"/>
              <w:right w:val="nil"/>
            </w:tcBorders>
            <w:shd w:val="clear" w:color="auto" w:fill="auto"/>
            <w:noWrap/>
            <w:vAlign w:val="center"/>
          </w:tcPr>
          <w:p w14:paraId="67F02C8C" w14:textId="77777777" w:rsidR="00767485" w:rsidRPr="00767485" w:rsidRDefault="00767485" w:rsidP="00767485">
            <w:pPr>
              <w:jc w:val="right"/>
              <w:rPr>
                <w:rFonts w:ascii="Arial Narrow" w:hAnsi="Arial Narrow" w:cs="Arial"/>
                <w:sz w:val="20"/>
                <w:szCs w:val="20"/>
                <w:lang w:val="bg-BG" w:eastAsia="bg-BG"/>
              </w:rPr>
            </w:pPr>
            <w:r w:rsidRPr="00767485">
              <w:rPr>
                <w:rFonts w:ascii="Arial Narrow" w:hAnsi="Arial Narrow" w:cs="Arial"/>
                <w:sz w:val="20"/>
                <w:szCs w:val="20"/>
                <w:lang w:val="bg-BG" w:eastAsia="bg-BG"/>
              </w:rPr>
              <w:t>1 702</w:t>
            </w:r>
          </w:p>
        </w:tc>
        <w:tc>
          <w:tcPr>
            <w:tcW w:w="1435" w:type="dxa"/>
            <w:tcBorders>
              <w:top w:val="nil"/>
              <w:left w:val="single" w:sz="4" w:space="0" w:color="auto"/>
              <w:bottom w:val="single" w:sz="4" w:space="0" w:color="auto"/>
              <w:right w:val="single" w:sz="4" w:space="0" w:color="auto"/>
            </w:tcBorders>
            <w:shd w:val="clear" w:color="auto" w:fill="auto"/>
            <w:noWrap/>
            <w:vAlign w:val="center"/>
          </w:tcPr>
          <w:p w14:paraId="03E9E502" w14:textId="77777777" w:rsidR="00767485" w:rsidRPr="00767485" w:rsidRDefault="00767485" w:rsidP="00767485">
            <w:pPr>
              <w:jc w:val="right"/>
              <w:rPr>
                <w:rFonts w:ascii="Arial Narrow" w:hAnsi="Arial Narrow" w:cs="Arial"/>
                <w:sz w:val="20"/>
                <w:szCs w:val="20"/>
                <w:lang w:val="bg-BG" w:eastAsia="bg-BG"/>
              </w:rPr>
            </w:pPr>
            <w:r w:rsidRPr="00767485">
              <w:rPr>
                <w:rFonts w:ascii="Arial Narrow" w:hAnsi="Arial Narrow" w:cs="Arial"/>
                <w:sz w:val="20"/>
                <w:szCs w:val="20"/>
                <w:lang w:val="bg-BG" w:eastAsia="bg-BG"/>
              </w:rPr>
              <w:t>-18,9%</w:t>
            </w:r>
          </w:p>
        </w:tc>
      </w:tr>
      <w:tr w:rsidR="00767485" w:rsidRPr="00767485" w14:paraId="51798D58" w14:textId="77777777" w:rsidTr="00F44BFC">
        <w:trPr>
          <w:trHeight w:val="420"/>
        </w:trPr>
        <w:tc>
          <w:tcPr>
            <w:tcW w:w="5662" w:type="dxa"/>
            <w:vAlign w:val="center"/>
          </w:tcPr>
          <w:p w14:paraId="7894A8C9" w14:textId="77777777" w:rsidR="00767485" w:rsidRPr="00767485" w:rsidRDefault="00767485" w:rsidP="00767485">
            <w:pPr>
              <w:rPr>
                <w:rFonts w:ascii="Arial Narrow" w:hAnsi="Arial Narrow" w:cs="Arial"/>
                <w:sz w:val="20"/>
                <w:szCs w:val="20"/>
                <w:lang w:val="bg-BG" w:eastAsia="bg-BG"/>
              </w:rPr>
            </w:pPr>
            <w:r w:rsidRPr="00767485">
              <w:rPr>
                <w:rFonts w:ascii="Arial Narrow" w:hAnsi="Arial Narrow" w:cs="Arial"/>
                <w:sz w:val="20"/>
                <w:szCs w:val="20"/>
                <w:lang w:val="bg-BG" w:eastAsia="bg-BG"/>
              </w:rPr>
              <w:t>Филета и други меса от риби, пресни или охладени, замразени</w:t>
            </w:r>
          </w:p>
        </w:tc>
        <w:tc>
          <w:tcPr>
            <w:tcW w:w="1434" w:type="dxa"/>
            <w:tcBorders>
              <w:top w:val="nil"/>
              <w:left w:val="single" w:sz="4" w:space="0" w:color="auto"/>
              <w:bottom w:val="single" w:sz="4" w:space="0" w:color="auto"/>
              <w:right w:val="nil"/>
            </w:tcBorders>
            <w:shd w:val="clear" w:color="auto" w:fill="auto"/>
            <w:noWrap/>
            <w:vAlign w:val="center"/>
          </w:tcPr>
          <w:p w14:paraId="7A1C0E0B" w14:textId="77777777" w:rsidR="00767485" w:rsidRPr="00767485" w:rsidRDefault="00767485" w:rsidP="00767485">
            <w:pPr>
              <w:jc w:val="right"/>
              <w:rPr>
                <w:rFonts w:ascii="Arial Narrow" w:hAnsi="Arial Narrow" w:cs="Arial"/>
                <w:sz w:val="20"/>
                <w:szCs w:val="20"/>
                <w:lang w:val="bg-BG" w:eastAsia="bg-BG"/>
              </w:rPr>
            </w:pPr>
            <w:r w:rsidRPr="00767485">
              <w:rPr>
                <w:rFonts w:ascii="Arial Narrow" w:hAnsi="Arial Narrow" w:cs="Arial"/>
                <w:sz w:val="20"/>
                <w:szCs w:val="20"/>
                <w:lang w:val="bg-BG" w:eastAsia="bg-BG"/>
              </w:rPr>
              <w:t>929</w:t>
            </w:r>
          </w:p>
        </w:tc>
        <w:tc>
          <w:tcPr>
            <w:tcW w:w="1434" w:type="dxa"/>
            <w:tcBorders>
              <w:top w:val="nil"/>
              <w:left w:val="single" w:sz="4" w:space="0" w:color="auto"/>
              <w:bottom w:val="single" w:sz="4" w:space="0" w:color="auto"/>
              <w:right w:val="nil"/>
            </w:tcBorders>
            <w:shd w:val="clear" w:color="auto" w:fill="auto"/>
            <w:noWrap/>
            <w:vAlign w:val="center"/>
          </w:tcPr>
          <w:p w14:paraId="2153B2E9" w14:textId="77777777" w:rsidR="00767485" w:rsidRPr="00767485" w:rsidRDefault="00767485" w:rsidP="00767485">
            <w:pPr>
              <w:jc w:val="right"/>
              <w:rPr>
                <w:rFonts w:ascii="Arial Narrow" w:hAnsi="Arial Narrow" w:cs="Arial"/>
                <w:sz w:val="20"/>
                <w:szCs w:val="20"/>
                <w:lang w:val="bg-BG" w:eastAsia="bg-BG"/>
              </w:rPr>
            </w:pPr>
            <w:r w:rsidRPr="00767485">
              <w:rPr>
                <w:rFonts w:ascii="Arial Narrow" w:hAnsi="Arial Narrow" w:cs="Arial"/>
                <w:sz w:val="20"/>
                <w:szCs w:val="20"/>
                <w:lang w:val="bg-BG" w:eastAsia="bg-BG"/>
              </w:rPr>
              <w:t>560</w:t>
            </w:r>
          </w:p>
        </w:tc>
        <w:tc>
          <w:tcPr>
            <w:tcW w:w="1435" w:type="dxa"/>
            <w:tcBorders>
              <w:top w:val="nil"/>
              <w:left w:val="single" w:sz="4" w:space="0" w:color="auto"/>
              <w:bottom w:val="single" w:sz="4" w:space="0" w:color="auto"/>
              <w:right w:val="single" w:sz="4" w:space="0" w:color="auto"/>
            </w:tcBorders>
            <w:shd w:val="clear" w:color="auto" w:fill="auto"/>
            <w:noWrap/>
            <w:vAlign w:val="center"/>
          </w:tcPr>
          <w:p w14:paraId="23035250" w14:textId="77777777" w:rsidR="00767485" w:rsidRPr="00767485" w:rsidRDefault="00767485" w:rsidP="00767485">
            <w:pPr>
              <w:jc w:val="right"/>
              <w:rPr>
                <w:rFonts w:ascii="Arial Narrow" w:hAnsi="Arial Narrow" w:cs="Arial"/>
                <w:sz w:val="20"/>
                <w:szCs w:val="20"/>
                <w:lang w:val="bg-BG" w:eastAsia="bg-BG"/>
              </w:rPr>
            </w:pPr>
            <w:r w:rsidRPr="00767485">
              <w:rPr>
                <w:rFonts w:ascii="Arial Narrow" w:hAnsi="Arial Narrow" w:cs="Arial"/>
                <w:sz w:val="20"/>
                <w:szCs w:val="20"/>
                <w:lang w:val="bg-BG" w:eastAsia="bg-BG"/>
              </w:rPr>
              <w:t>-39,7%</w:t>
            </w:r>
          </w:p>
        </w:tc>
      </w:tr>
      <w:tr w:rsidR="00767485" w:rsidRPr="00767485" w14:paraId="50DF5847" w14:textId="77777777" w:rsidTr="00F44BFC">
        <w:trPr>
          <w:trHeight w:val="420"/>
        </w:trPr>
        <w:tc>
          <w:tcPr>
            <w:tcW w:w="5662" w:type="dxa"/>
            <w:vAlign w:val="center"/>
          </w:tcPr>
          <w:p w14:paraId="3F305158" w14:textId="77777777" w:rsidR="00767485" w:rsidRPr="00767485" w:rsidRDefault="00767485" w:rsidP="00767485">
            <w:pPr>
              <w:rPr>
                <w:rFonts w:ascii="Arial Narrow" w:hAnsi="Arial Narrow" w:cs="Arial"/>
                <w:sz w:val="20"/>
                <w:szCs w:val="20"/>
                <w:lang w:val="bg-BG" w:eastAsia="bg-BG"/>
              </w:rPr>
            </w:pPr>
            <w:r w:rsidRPr="00767485">
              <w:rPr>
                <w:rFonts w:ascii="Arial Narrow" w:hAnsi="Arial Narrow" w:cs="Arial"/>
                <w:sz w:val="20"/>
                <w:szCs w:val="20"/>
                <w:lang w:val="bg-BG" w:eastAsia="bg-BG"/>
              </w:rPr>
              <w:t>Риби - сушени, осолени, пушени</w:t>
            </w:r>
          </w:p>
        </w:tc>
        <w:tc>
          <w:tcPr>
            <w:tcW w:w="1434" w:type="dxa"/>
            <w:tcBorders>
              <w:top w:val="nil"/>
              <w:left w:val="single" w:sz="4" w:space="0" w:color="auto"/>
              <w:bottom w:val="single" w:sz="4" w:space="0" w:color="auto"/>
              <w:right w:val="nil"/>
            </w:tcBorders>
            <w:shd w:val="clear" w:color="auto" w:fill="auto"/>
            <w:noWrap/>
            <w:vAlign w:val="center"/>
          </w:tcPr>
          <w:p w14:paraId="3BAD77C8" w14:textId="77777777" w:rsidR="00767485" w:rsidRPr="00767485" w:rsidRDefault="00767485" w:rsidP="00767485">
            <w:pPr>
              <w:jc w:val="right"/>
              <w:rPr>
                <w:rFonts w:ascii="Arial Narrow" w:hAnsi="Arial Narrow" w:cs="Arial"/>
                <w:sz w:val="20"/>
                <w:szCs w:val="20"/>
                <w:lang w:val="bg-BG" w:eastAsia="bg-BG"/>
              </w:rPr>
            </w:pPr>
            <w:r w:rsidRPr="00767485">
              <w:rPr>
                <w:rFonts w:ascii="Arial Narrow" w:hAnsi="Arial Narrow" w:cs="Arial"/>
                <w:sz w:val="20"/>
                <w:szCs w:val="20"/>
                <w:lang w:val="bg-BG" w:eastAsia="bg-BG"/>
              </w:rPr>
              <w:t>723</w:t>
            </w:r>
          </w:p>
        </w:tc>
        <w:tc>
          <w:tcPr>
            <w:tcW w:w="1434" w:type="dxa"/>
            <w:tcBorders>
              <w:top w:val="nil"/>
              <w:left w:val="single" w:sz="4" w:space="0" w:color="auto"/>
              <w:bottom w:val="single" w:sz="4" w:space="0" w:color="auto"/>
              <w:right w:val="nil"/>
            </w:tcBorders>
            <w:shd w:val="clear" w:color="auto" w:fill="auto"/>
            <w:noWrap/>
            <w:vAlign w:val="center"/>
          </w:tcPr>
          <w:p w14:paraId="08D91332" w14:textId="77777777" w:rsidR="00767485" w:rsidRPr="00767485" w:rsidRDefault="00767485" w:rsidP="00767485">
            <w:pPr>
              <w:jc w:val="right"/>
              <w:rPr>
                <w:rFonts w:ascii="Arial Narrow" w:hAnsi="Arial Narrow" w:cs="Arial"/>
                <w:sz w:val="20"/>
                <w:szCs w:val="20"/>
                <w:lang w:val="bg-BG" w:eastAsia="bg-BG"/>
              </w:rPr>
            </w:pPr>
            <w:r w:rsidRPr="00767485">
              <w:rPr>
                <w:rFonts w:ascii="Arial Narrow" w:hAnsi="Arial Narrow" w:cs="Arial"/>
                <w:sz w:val="20"/>
                <w:szCs w:val="20"/>
                <w:lang w:val="bg-BG" w:eastAsia="bg-BG"/>
              </w:rPr>
              <w:t>585</w:t>
            </w:r>
          </w:p>
        </w:tc>
        <w:tc>
          <w:tcPr>
            <w:tcW w:w="1435" w:type="dxa"/>
            <w:tcBorders>
              <w:top w:val="nil"/>
              <w:left w:val="single" w:sz="4" w:space="0" w:color="auto"/>
              <w:bottom w:val="single" w:sz="4" w:space="0" w:color="auto"/>
              <w:right w:val="single" w:sz="4" w:space="0" w:color="auto"/>
            </w:tcBorders>
            <w:shd w:val="clear" w:color="auto" w:fill="auto"/>
            <w:noWrap/>
            <w:vAlign w:val="center"/>
          </w:tcPr>
          <w:p w14:paraId="0AC208FC" w14:textId="77777777" w:rsidR="00767485" w:rsidRPr="00767485" w:rsidRDefault="00767485" w:rsidP="00767485">
            <w:pPr>
              <w:jc w:val="right"/>
              <w:rPr>
                <w:rFonts w:ascii="Arial Narrow" w:hAnsi="Arial Narrow" w:cs="Arial"/>
                <w:sz w:val="20"/>
                <w:szCs w:val="20"/>
                <w:lang w:val="bg-BG" w:eastAsia="bg-BG"/>
              </w:rPr>
            </w:pPr>
            <w:r w:rsidRPr="00767485">
              <w:rPr>
                <w:rFonts w:ascii="Arial Narrow" w:hAnsi="Arial Narrow" w:cs="Arial"/>
                <w:sz w:val="20"/>
                <w:szCs w:val="20"/>
                <w:lang w:val="bg-BG" w:eastAsia="bg-BG"/>
              </w:rPr>
              <w:t>-19,2%</w:t>
            </w:r>
          </w:p>
        </w:tc>
      </w:tr>
      <w:tr w:rsidR="00767485" w:rsidRPr="00767485" w14:paraId="6E158FB8" w14:textId="77777777" w:rsidTr="00F44BFC">
        <w:trPr>
          <w:trHeight w:val="420"/>
        </w:trPr>
        <w:tc>
          <w:tcPr>
            <w:tcW w:w="5662" w:type="dxa"/>
            <w:vAlign w:val="center"/>
          </w:tcPr>
          <w:p w14:paraId="234A867E" w14:textId="77777777" w:rsidR="00767485" w:rsidRPr="00767485" w:rsidRDefault="00767485" w:rsidP="00767485">
            <w:pPr>
              <w:rPr>
                <w:rFonts w:ascii="Arial Narrow" w:hAnsi="Arial Narrow" w:cs="Arial"/>
                <w:sz w:val="20"/>
                <w:szCs w:val="20"/>
                <w:lang w:val="bg-BG" w:eastAsia="bg-BG"/>
              </w:rPr>
            </w:pPr>
            <w:r w:rsidRPr="00767485">
              <w:rPr>
                <w:rFonts w:ascii="Arial Narrow" w:hAnsi="Arial Narrow" w:cs="Arial"/>
                <w:sz w:val="20"/>
                <w:szCs w:val="20"/>
                <w:lang w:val="bg-BG" w:eastAsia="bg-BG"/>
              </w:rPr>
              <w:t xml:space="preserve">Ракообразни </w:t>
            </w:r>
          </w:p>
        </w:tc>
        <w:tc>
          <w:tcPr>
            <w:tcW w:w="1434" w:type="dxa"/>
            <w:tcBorders>
              <w:top w:val="nil"/>
              <w:left w:val="single" w:sz="4" w:space="0" w:color="auto"/>
              <w:bottom w:val="single" w:sz="4" w:space="0" w:color="auto"/>
              <w:right w:val="nil"/>
            </w:tcBorders>
            <w:shd w:val="clear" w:color="auto" w:fill="auto"/>
            <w:noWrap/>
            <w:vAlign w:val="center"/>
          </w:tcPr>
          <w:p w14:paraId="7D165C6C" w14:textId="77777777" w:rsidR="00767485" w:rsidRPr="00767485" w:rsidRDefault="00767485" w:rsidP="00767485">
            <w:pPr>
              <w:jc w:val="right"/>
              <w:rPr>
                <w:rFonts w:ascii="Arial Narrow" w:hAnsi="Arial Narrow" w:cs="Arial"/>
                <w:sz w:val="20"/>
                <w:szCs w:val="20"/>
                <w:lang w:val="bg-BG" w:eastAsia="bg-BG"/>
              </w:rPr>
            </w:pPr>
            <w:r w:rsidRPr="00767485">
              <w:rPr>
                <w:rFonts w:ascii="Arial Narrow" w:hAnsi="Arial Narrow" w:cs="Arial"/>
                <w:sz w:val="20"/>
                <w:szCs w:val="20"/>
                <w:lang w:val="bg-BG" w:eastAsia="bg-BG"/>
              </w:rPr>
              <w:t>122</w:t>
            </w:r>
          </w:p>
        </w:tc>
        <w:tc>
          <w:tcPr>
            <w:tcW w:w="1434" w:type="dxa"/>
            <w:tcBorders>
              <w:top w:val="nil"/>
              <w:left w:val="single" w:sz="4" w:space="0" w:color="auto"/>
              <w:bottom w:val="single" w:sz="4" w:space="0" w:color="auto"/>
              <w:right w:val="nil"/>
            </w:tcBorders>
            <w:shd w:val="clear" w:color="auto" w:fill="auto"/>
            <w:noWrap/>
            <w:vAlign w:val="center"/>
          </w:tcPr>
          <w:p w14:paraId="5DE49478" w14:textId="77777777" w:rsidR="00767485" w:rsidRPr="00767485" w:rsidRDefault="00767485" w:rsidP="00767485">
            <w:pPr>
              <w:jc w:val="right"/>
              <w:rPr>
                <w:rFonts w:ascii="Arial Narrow" w:hAnsi="Arial Narrow" w:cs="Arial"/>
                <w:sz w:val="20"/>
                <w:szCs w:val="20"/>
                <w:lang w:val="bg-BG" w:eastAsia="bg-BG"/>
              </w:rPr>
            </w:pPr>
            <w:r w:rsidRPr="00767485">
              <w:rPr>
                <w:rFonts w:ascii="Arial Narrow" w:hAnsi="Arial Narrow" w:cs="Arial"/>
                <w:sz w:val="20"/>
                <w:szCs w:val="20"/>
                <w:lang w:val="bg-BG" w:eastAsia="bg-BG"/>
              </w:rPr>
              <w:t>141</w:t>
            </w:r>
          </w:p>
        </w:tc>
        <w:tc>
          <w:tcPr>
            <w:tcW w:w="1435" w:type="dxa"/>
            <w:tcBorders>
              <w:top w:val="nil"/>
              <w:left w:val="single" w:sz="4" w:space="0" w:color="auto"/>
              <w:bottom w:val="single" w:sz="4" w:space="0" w:color="auto"/>
              <w:right w:val="single" w:sz="4" w:space="0" w:color="auto"/>
            </w:tcBorders>
            <w:shd w:val="clear" w:color="auto" w:fill="auto"/>
            <w:noWrap/>
            <w:vAlign w:val="center"/>
          </w:tcPr>
          <w:p w14:paraId="2520958A" w14:textId="77777777" w:rsidR="00767485" w:rsidRPr="00767485" w:rsidRDefault="00767485" w:rsidP="00767485">
            <w:pPr>
              <w:jc w:val="right"/>
              <w:rPr>
                <w:rFonts w:ascii="Arial Narrow" w:hAnsi="Arial Narrow" w:cs="Arial"/>
                <w:sz w:val="20"/>
                <w:szCs w:val="20"/>
                <w:lang w:val="bg-BG" w:eastAsia="bg-BG"/>
              </w:rPr>
            </w:pPr>
            <w:r w:rsidRPr="00767485">
              <w:rPr>
                <w:rFonts w:ascii="Arial Narrow" w:hAnsi="Arial Narrow" w:cs="Arial"/>
                <w:sz w:val="20"/>
                <w:szCs w:val="20"/>
                <w:lang w:val="bg-BG" w:eastAsia="bg-BG"/>
              </w:rPr>
              <w:t>15,6%</w:t>
            </w:r>
          </w:p>
        </w:tc>
      </w:tr>
      <w:tr w:rsidR="00767485" w:rsidRPr="00767485" w14:paraId="766C7C41" w14:textId="77777777" w:rsidTr="00F44BFC">
        <w:trPr>
          <w:trHeight w:val="420"/>
        </w:trPr>
        <w:tc>
          <w:tcPr>
            <w:tcW w:w="5662" w:type="dxa"/>
            <w:vAlign w:val="center"/>
          </w:tcPr>
          <w:p w14:paraId="4C3775B6" w14:textId="77777777" w:rsidR="00767485" w:rsidRPr="00767485" w:rsidRDefault="00767485" w:rsidP="00767485">
            <w:pPr>
              <w:rPr>
                <w:rFonts w:ascii="Arial Narrow" w:hAnsi="Arial Narrow" w:cs="Arial"/>
                <w:sz w:val="20"/>
                <w:szCs w:val="20"/>
                <w:lang w:val="bg-BG" w:eastAsia="bg-BG"/>
              </w:rPr>
            </w:pPr>
            <w:r w:rsidRPr="00767485">
              <w:rPr>
                <w:rFonts w:ascii="Arial Narrow" w:hAnsi="Arial Narrow" w:cs="Arial"/>
                <w:sz w:val="20"/>
                <w:szCs w:val="20"/>
                <w:lang w:val="bg-BG" w:eastAsia="bg-BG"/>
              </w:rPr>
              <w:t xml:space="preserve">Мекотели* </w:t>
            </w:r>
          </w:p>
        </w:tc>
        <w:tc>
          <w:tcPr>
            <w:tcW w:w="1434" w:type="dxa"/>
            <w:tcBorders>
              <w:top w:val="nil"/>
              <w:left w:val="single" w:sz="4" w:space="0" w:color="auto"/>
              <w:bottom w:val="single" w:sz="4" w:space="0" w:color="auto"/>
              <w:right w:val="single" w:sz="4" w:space="0" w:color="auto"/>
            </w:tcBorders>
            <w:shd w:val="clear" w:color="auto" w:fill="auto"/>
            <w:noWrap/>
            <w:vAlign w:val="center"/>
          </w:tcPr>
          <w:p w14:paraId="06ABA84E" w14:textId="77777777" w:rsidR="00767485" w:rsidRPr="00767485" w:rsidRDefault="00767485" w:rsidP="00767485">
            <w:pPr>
              <w:jc w:val="right"/>
              <w:rPr>
                <w:rFonts w:ascii="Arial Narrow" w:hAnsi="Arial Narrow" w:cs="Arial"/>
                <w:sz w:val="20"/>
                <w:szCs w:val="20"/>
                <w:lang w:val="bg-BG" w:eastAsia="bg-BG"/>
              </w:rPr>
            </w:pPr>
            <w:r w:rsidRPr="00767485">
              <w:rPr>
                <w:rFonts w:ascii="Arial Narrow" w:hAnsi="Arial Narrow" w:cs="Arial"/>
                <w:sz w:val="20"/>
                <w:szCs w:val="20"/>
                <w:lang w:val="bg-BG" w:eastAsia="bg-BG"/>
              </w:rPr>
              <w:t>1 780</w:t>
            </w:r>
          </w:p>
        </w:tc>
        <w:tc>
          <w:tcPr>
            <w:tcW w:w="1434" w:type="dxa"/>
            <w:tcBorders>
              <w:top w:val="nil"/>
              <w:left w:val="single" w:sz="4" w:space="0" w:color="auto"/>
              <w:bottom w:val="single" w:sz="4" w:space="0" w:color="auto"/>
              <w:right w:val="single" w:sz="4" w:space="0" w:color="auto"/>
            </w:tcBorders>
            <w:shd w:val="clear" w:color="auto" w:fill="auto"/>
            <w:noWrap/>
            <w:vAlign w:val="center"/>
          </w:tcPr>
          <w:p w14:paraId="02645C02" w14:textId="77777777" w:rsidR="00767485" w:rsidRPr="00767485" w:rsidRDefault="00767485" w:rsidP="00767485">
            <w:pPr>
              <w:jc w:val="right"/>
              <w:rPr>
                <w:rFonts w:ascii="Arial Narrow" w:hAnsi="Arial Narrow" w:cs="Arial"/>
                <w:sz w:val="20"/>
                <w:szCs w:val="20"/>
                <w:lang w:val="bg-BG" w:eastAsia="bg-BG"/>
              </w:rPr>
            </w:pPr>
            <w:r w:rsidRPr="00767485">
              <w:rPr>
                <w:rFonts w:ascii="Arial Narrow" w:hAnsi="Arial Narrow" w:cs="Arial"/>
                <w:sz w:val="20"/>
                <w:szCs w:val="20"/>
                <w:lang w:val="bg-BG" w:eastAsia="bg-BG"/>
              </w:rPr>
              <w:t>1 067</w:t>
            </w:r>
          </w:p>
        </w:tc>
        <w:tc>
          <w:tcPr>
            <w:tcW w:w="1435" w:type="dxa"/>
            <w:tcBorders>
              <w:top w:val="nil"/>
              <w:left w:val="nil"/>
              <w:bottom w:val="single" w:sz="4" w:space="0" w:color="auto"/>
              <w:right w:val="single" w:sz="4" w:space="0" w:color="auto"/>
            </w:tcBorders>
            <w:shd w:val="clear" w:color="auto" w:fill="auto"/>
            <w:noWrap/>
            <w:vAlign w:val="center"/>
          </w:tcPr>
          <w:p w14:paraId="5F2A5785" w14:textId="77777777" w:rsidR="00767485" w:rsidRPr="00767485" w:rsidRDefault="00767485" w:rsidP="00767485">
            <w:pPr>
              <w:jc w:val="right"/>
              <w:rPr>
                <w:rFonts w:ascii="Arial Narrow" w:hAnsi="Arial Narrow" w:cs="Arial"/>
                <w:sz w:val="20"/>
                <w:szCs w:val="20"/>
                <w:lang w:val="bg-BG" w:eastAsia="bg-BG"/>
              </w:rPr>
            </w:pPr>
            <w:r w:rsidRPr="00767485">
              <w:rPr>
                <w:rFonts w:ascii="Arial Narrow" w:hAnsi="Arial Narrow" w:cs="Arial"/>
                <w:sz w:val="20"/>
                <w:szCs w:val="20"/>
                <w:lang w:val="bg-BG" w:eastAsia="bg-BG"/>
              </w:rPr>
              <w:t>-40,0%</w:t>
            </w:r>
          </w:p>
        </w:tc>
      </w:tr>
      <w:tr w:rsidR="00767485" w:rsidRPr="00767485" w14:paraId="5668F50D" w14:textId="77777777" w:rsidTr="00F44BFC">
        <w:trPr>
          <w:trHeight w:val="420"/>
        </w:trPr>
        <w:tc>
          <w:tcPr>
            <w:tcW w:w="5662" w:type="dxa"/>
            <w:vAlign w:val="center"/>
          </w:tcPr>
          <w:p w14:paraId="3AE7D2E2" w14:textId="77777777" w:rsidR="00767485" w:rsidRPr="00767485" w:rsidRDefault="00767485" w:rsidP="00767485">
            <w:pPr>
              <w:rPr>
                <w:rFonts w:ascii="Arial Narrow" w:hAnsi="Arial Narrow" w:cs="Arial"/>
                <w:sz w:val="20"/>
                <w:szCs w:val="20"/>
                <w:lang w:val="bg-BG" w:eastAsia="bg-BG"/>
              </w:rPr>
            </w:pPr>
            <w:r w:rsidRPr="00767485">
              <w:rPr>
                <w:rFonts w:ascii="Arial Narrow" w:hAnsi="Arial Narrow" w:cs="Arial"/>
                <w:sz w:val="20"/>
                <w:szCs w:val="20"/>
                <w:lang w:val="bg-BG" w:eastAsia="bg-BG"/>
              </w:rPr>
              <w:t>Водни безгръбначни, различни от ракообразните и мекотелите</w:t>
            </w:r>
          </w:p>
        </w:tc>
        <w:tc>
          <w:tcPr>
            <w:tcW w:w="1434" w:type="dxa"/>
            <w:tcBorders>
              <w:top w:val="nil"/>
              <w:left w:val="single" w:sz="4" w:space="0" w:color="auto"/>
              <w:bottom w:val="single" w:sz="4" w:space="0" w:color="auto"/>
              <w:right w:val="single" w:sz="4" w:space="0" w:color="auto"/>
            </w:tcBorders>
            <w:shd w:val="clear" w:color="auto" w:fill="auto"/>
            <w:noWrap/>
            <w:vAlign w:val="center"/>
          </w:tcPr>
          <w:p w14:paraId="6A91F8F2" w14:textId="77777777" w:rsidR="00767485" w:rsidRPr="00767485" w:rsidRDefault="00767485" w:rsidP="00767485">
            <w:pPr>
              <w:jc w:val="right"/>
              <w:rPr>
                <w:rFonts w:ascii="Arial Narrow" w:hAnsi="Arial Narrow" w:cs="Arial"/>
                <w:sz w:val="20"/>
                <w:szCs w:val="20"/>
                <w:lang w:val="bg-BG" w:eastAsia="bg-BG"/>
              </w:rPr>
            </w:pPr>
            <w:r w:rsidRPr="00767485">
              <w:rPr>
                <w:rFonts w:ascii="Arial Narrow" w:hAnsi="Arial Narrow" w:cs="Arial"/>
                <w:sz w:val="20"/>
                <w:szCs w:val="20"/>
                <w:lang w:val="bg-BG" w:eastAsia="bg-BG"/>
              </w:rPr>
              <w:t>0,058</w:t>
            </w:r>
          </w:p>
        </w:tc>
        <w:tc>
          <w:tcPr>
            <w:tcW w:w="1434" w:type="dxa"/>
            <w:tcBorders>
              <w:top w:val="nil"/>
              <w:left w:val="single" w:sz="4" w:space="0" w:color="auto"/>
              <w:bottom w:val="single" w:sz="4" w:space="0" w:color="auto"/>
              <w:right w:val="single" w:sz="4" w:space="0" w:color="auto"/>
            </w:tcBorders>
            <w:shd w:val="clear" w:color="auto" w:fill="auto"/>
            <w:noWrap/>
            <w:vAlign w:val="center"/>
          </w:tcPr>
          <w:p w14:paraId="7D085BBD" w14:textId="77777777" w:rsidR="00767485" w:rsidRPr="00767485" w:rsidRDefault="00767485" w:rsidP="00767485">
            <w:pPr>
              <w:jc w:val="right"/>
              <w:rPr>
                <w:rFonts w:ascii="Arial Narrow" w:hAnsi="Arial Narrow" w:cs="Arial"/>
                <w:sz w:val="20"/>
                <w:szCs w:val="20"/>
                <w:lang w:val="bg-BG" w:eastAsia="bg-BG"/>
              </w:rPr>
            </w:pPr>
            <w:r w:rsidRPr="00767485">
              <w:rPr>
                <w:rFonts w:ascii="Arial Narrow" w:hAnsi="Arial Narrow" w:cs="Arial"/>
                <w:sz w:val="20"/>
                <w:szCs w:val="20"/>
                <w:lang w:val="bg-BG" w:eastAsia="bg-BG"/>
              </w:rPr>
              <w:t>0,326</w:t>
            </w:r>
          </w:p>
        </w:tc>
        <w:tc>
          <w:tcPr>
            <w:tcW w:w="1435" w:type="dxa"/>
            <w:tcBorders>
              <w:top w:val="nil"/>
              <w:left w:val="nil"/>
              <w:bottom w:val="single" w:sz="4" w:space="0" w:color="auto"/>
              <w:right w:val="single" w:sz="4" w:space="0" w:color="auto"/>
            </w:tcBorders>
            <w:shd w:val="clear" w:color="auto" w:fill="auto"/>
            <w:noWrap/>
            <w:vAlign w:val="center"/>
          </w:tcPr>
          <w:p w14:paraId="44B45D38" w14:textId="77777777" w:rsidR="00767485" w:rsidRPr="00767485" w:rsidRDefault="00767485" w:rsidP="00767485">
            <w:pPr>
              <w:jc w:val="right"/>
              <w:rPr>
                <w:rFonts w:ascii="Arial Narrow" w:hAnsi="Arial Narrow" w:cs="Arial"/>
                <w:sz w:val="20"/>
                <w:szCs w:val="20"/>
                <w:lang w:val="bg-BG" w:eastAsia="bg-BG"/>
              </w:rPr>
            </w:pPr>
            <w:r w:rsidRPr="00767485">
              <w:rPr>
                <w:rFonts w:ascii="Arial Narrow" w:hAnsi="Arial Narrow" w:cs="Arial"/>
                <w:sz w:val="20"/>
                <w:szCs w:val="20"/>
                <w:lang w:val="bg-BG" w:eastAsia="bg-BG"/>
              </w:rPr>
              <w:t>462,1%</w:t>
            </w:r>
          </w:p>
        </w:tc>
      </w:tr>
      <w:tr w:rsidR="00767485" w:rsidRPr="00767485" w14:paraId="5E24E028" w14:textId="77777777" w:rsidTr="00F44BFC">
        <w:trPr>
          <w:trHeight w:val="420"/>
        </w:trPr>
        <w:tc>
          <w:tcPr>
            <w:tcW w:w="5662" w:type="dxa"/>
            <w:vAlign w:val="center"/>
          </w:tcPr>
          <w:p w14:paraId="138DC70C" w14:textId="77777777" w:rsidR="00767485" w:rsidRPr="00767485" w:rsidRDefault="00767485" w:rsidP="00767485">
            <w:pPr>
              <w:rPr>
                <w:rFonts w:ascii="Arial Narrow" w:hAnsi="Arial Narrow" w:cs="Arial"/>
                <w:sz w:val="20"/>
                <w:szCs w:val="20"/>
                <w:lang w:val="bg-BG" w:eastAsia="bg-BG"/>
              </w:rPr>
            </w:pPr>
            <w:r w:rsidRPr="00767485">
              <w:rPr>
                <w:rFonts w:ascii="Arial Narrow" w:hAnsi="Arial Narrow" w:cs="Arial"/>
                <w:sz w:val="20"/>
                <w:szCs w:val="20"/>
                <w:lang w:val="bg-BG" w:eastAsia="bg-BG"/>
              </w:rPr>
              <w:t xml:space="preserve">Готови храни и консерви от риби; хайвер </w:t>
            </w:r>
          </w:p>
        </w:tc>
        <w:tc>
          <w:tcPr>
            <w:tcW w:w="1434" w:type="dxa"/>
            <w:tcBorders>
              <w:top w:val="nil"/>
              <w:left w:val="single" w:sz="4" w:space="0" w:color="auto"/>
              <w:bottom w:val="single" w:sz="4" w:space="0" w:color="auto"/>
              <w:right w:val="single" w:sz="4" w:space="0" w:color="auto"/>
            </w:tcBorders>
            <w:shd w:val="clear" w:color="auto" w:fill="auto"/>
            <w:noWrap/>
            <w:vAlign w:val="center"/>
          </w:tcPr>
          <w:p w14:paraId="4119CA3C" w14:textId="77777777" w:rsidR="00767485" w:rsidRPr="00767485" w:rsidRDefault="00767485" w:rsidP="00767485">
            <w:pPr>
              <w:jc w:val="right"/>
              <w:rPr>
                <w:rFonts w:ascii="Arial Narrow" w:hAnsi="Arial Narrow" w:cs="Arial"/>
                <w:sz w:val="20"/>
                <w:szCs w:val="20"/>
                <w:lang w:val="bg-BG" w:eastAsia="bg-BG"/>
              </w:rPr>
            </w:pPr>
            <w:r w:rsidRPr="00767485">
              <w:rPr>
                <w:rFonts w:ascii="Arial Narrow" w:hAnsi="Arial Narrow" w:cs="Arial"/>
                <w:sz w:val="20"/>
                <w:szCs w:val="20"/>
                <w:lang w:val="bg-BG" w:eastAsia="bg-BG"/>
              </w:rPr>
              <w:t>3 702</w:t>
            </w:r>
          </w:p>
        </w:tc>
        <w:tc>
          <w:tcPr>
            <w:tcW w:w="1434" w:type="dxa"/>
            <w:tcBorders>
              <w:top w:val="nil"/>
              <w:left w:val="single" w:sz="4" w:space="0" w:color="auto"/>
              <w:bottom w:val="single" w:sz="4" w:space="0" w:color="auto"/>
              <w:right w:val="single" w:sz="4" w:space="0" w:color="auto"/>
            </w:tcBorders>
            <w:shd w:val="clear" w:color="auto" w:fill="auto"/>
            <w:noWrap/>
            <w:vAlign w:val="center"/>
          </w:tcPr>
          <w:p w14:paraId="15704674" w14:textId="77777777" w:rsidR="00767485" w:rsidRPr="00767485" w:rsidRDefault="00767485" w:rsidP="00767485">
            <w:pPr>
              <w:jc w:val="right"/>
              <w:rPr>
                <w:rFonts w:ascii="Arial Narrow" w:hAnsi="Arial Narrow" w:cs="Arial"/>
                <w:sz w:val="20"/>
                <w:szCs w:val="20"/>
                <w:lang w:val="bg-BG" w:eastAsia="bg-BG"/>
              </w:rPr>
            </w:pPr>
            <w:r w:rsidRPr="00767485">
              <w:rPr>
                <w:rFonts w:ascii="Arial Narrow" w:hAnsi="Arial Narrow" w:cs="Arial"/>
                <w:sz w:val="20"/>
                <w:szCs w:val="20"/>
                <w:lang w:val="bg-BG" w:eastAsia="bg-BG"/>
              </w:rPr>
              <w:t>3 916</w:t>
            </w:r>
          </w:p>
        </w:tc>
        <w:tc>
          <w:tcPr>
            <w:tcW w:w="1435" w:type="dxa"/>
            <w:tcBorders>
              <w:top w:val="nil"/>
              <w:left w:val="nil"/>
              <w:bottom w:val="single" w:sz="4" w:space="0" w:color="auto"/>
              <w:right w:val="single" w:sz="4" w:space="0" w:color="auto"/>
            </w:tcBorders>
            <w:shd w:val="clear" w:color="auto" w:fill="auto"/>
            <w:noWrap/>
            <w:vAlign w:val="center"/>
          </w:tcPr>
          <w:p w14:paraId="0F4B7DC6" w14:textId="77777777" w:rsidR="00767485" w:rsidRPr="00767485" w:rsidRDefault="00767485" w:rsidP="00767485">
            <w:pPr>
              <w:jc w:val="right"/>
              <w:rPr>
                <w:rFonts w:ascii="Arial Narrow" w:hAnsi="Arial Narrow" w:cs="Arial"/>
                <w:sz w:val="20"/>
                <w:szCs w:val="20"/>
                <w:lang w:val="bg-BG" w:eastAsia="bg-BG"/>
              </w:rPr>
            </w:pPr>
            <w:r w:rsidRPr="00767485">
              <w:rPr>
                <w:rFonts w:ascii="Arial Narrow" w:hAnsi="Arial Narrow" w:cs="Arial"/>
                <w:sz w:val="20"/>
                <w:szCs w:val="20"/>
                <w:lang w:val="bg-BG" w:eastAsia="bg-BG"/>
              </w:rPr>
              <w:t>5,8%</w:t>
            </w:r>
          </w:p>
        </w:tc>
      </w:tr>
      <w:tr w:rsidR="00767485" w:rsidRPr="00767485" w14:paraId="4DE6B6A1" w14:textId="77777777" w:rsidTr="00F44BFC">
        <w:trPr>
          <w:trHeight w:val="420"/>
        </w:trPr>
        <w:tc>
          <w:tcPr>
            <w:tcW w:w="5662" w:type="dxa"/>
            <w:vAlign w:val="center"/>
          </w:tcPr>
          <w:p w14:paraId="47B84675" w14:textId="77777777" w:rsidR="00767485" w:rsidRPr="00767485" w:rsidRDefault="00767485" w:rsidP="00767485">
            <w:pPr>
              <w:rPr>
                <w:rFonts w:ascii="Arial Narrow" w:hAnsi="Arial Narrow" w:cs="Arial"/>
                <w:sz w:val="20"/>
                <w:szCs w:val="20"/>
                <w:lang w:val="bg-BG" w:eastAsia="bg-BG"/>
              </w:rPr>
            </w:pPr>
            <w:r w:rsidRPr="00767485">
              <w:rPr>
                <w:rFonts w:ascii="Arial Narrow" w:hAnsi="Arial Narrow" w:cs="Arial"/>
                <w:sz w:val="20"/>
                <w:szCs w:val="20"/>
                <w:lang w:val="bg-BG" w:eastAsia="bg-BG"/>
              </w:rPr>
              <w:t>Ракообразни и мекотели, консервирани</w:t>
            </w:r>
          </w:p>
        </w:tc>
        <w:tc>
          <w:tcPr>
            <w:tcW w:w="1434" w:type="dxa"/>
            <w:tcBorders>
              <w:top w:val="nil"/>
              <w:left w:val="single" w:sz="4" w:space="0" w:color="auto"/>
              <w:bottom w:val="single" w:sz="4" w:space="0" w:color="auto"/>
              <w:right w:val="single" w:sz="4" w:space="0" w:color="auto"/>
            </w:tcBorders>
            <w:shd w:val="clear" w:color="auto" w:fill="auto"/>
            <w:noWrap/>
            <w:vAlign w:val="center"/>
          </w:tcPr>
          <w:p w14:paraId="0373CDE0" w14:textId="77777777" w:rsidR="00767485" w:rsidRPr="00767485" w:rsidRDefault="00767485" w:rsidP="00767485">
            <w:pPr>
              <w:jc w:val="right"/>
              <w:rPr>
                <w:rFonts w:ascii="Arial Narrow" w:hAnsi="Arial Narrow" w:cs="Arial"/>
                <w:sz w:val="20"/>
                <w:szCs w:val="20"/>
                <w:lang w:val="bg-BG" w:eastAsia="bg-BG"/>
              </w:rPr>
            </w:pPr>
            <w:r w:rsidRPr="00767485">
              <w:rPr>
                <w:rFonts w:ascii="Arial Narrow" w:hAnsi="Arial Narrow" w:cs="Arial"/>
                <w:sz w:val="20"/>
                <w:szCs w:val="20"/>
                <w:lang w:val="bg-BG" w:eastAsia="bg-BG"/>
              </w:rPr>
              <w:t>1 874</w:t>
            </w:r>
          </w:p>
        </w:tc>
        <w:tc>
          <w:tcPr>
            <w:tcW w:w="1434" w:type="dxa"/>
            <w:tcBorders>
              <w:top w:val="nil"/>
              <w:left w:val="single" w:sz="4" w:space="0" w:color="auto"/>
              <w:bottom w:val="single" w:sz="4" w:space="0" w:color="auto"/>
              <w:right w:val="single" w:sz="4" w:space="0" w:color="auto"/>
            </w:tcBorders>
            <w:shd w:val="clear" w:color="auto" w:fill="auto"/>
            <w:noWrap/>
            <w:vAlign w:val="center"/>
          </w:tcPr>
          <w:p w14:paraId="0CADB5E9" w14:textId="77777777" w:rsidR="00767485" w:rsidRPr="00767485" w:rsidRDefault="00767485" w:rsidP="00767485">
            <w:pPr>
              <w:jc w:val="right"/>
              <w:rPr>
                <w:rFonts w:ascii="Arial Narrow" w:hAnsi="Arial Narrow" w:cs="Arial"/>
                <w:sz w:val="20"/>
                <w:szCs w:val="20"/>
                <w:lang w:val="bg-BG" w:eastAsia="bg-BG"/>
              </w:rPr>
            </w:pPr>
            <w:r w:rsidRPr="00767485">
              <w:rPr>
                <w:rFonts w:ascii="Arial Narrow" w:hAnsi="Arial Narrow" w:cs="Arial"/>
                <w:sz w:val="20"/>
                <w:szCs w:val="20"/>
                <w:lang w:val="bg-BG" w:eastAsia="bg-BG"/>
              </w:rPr>
              <w:t>1 867</w:t>
            </w:r>
          </w:p>
        </w:tc>
        <w:tc>
          <w:tcPr>
            <w:tcW w:w="1435" w:type="dxa"/>
            <w:tcBorders>
              <w:top w:val="nil"/>
              <w:left w:val="nil"/>
              <w:bottom w:val="single" w:sz="4" w:space="0" w:color="auto"/>
              <w:right w:val="single" w:sz="4" w:space="0" w:color="auto"/>
            </w:tcBorders>
            <w:shd w:val="clear" w:color="auto" w:fill="auto"/>
            <w:noWrap/>
            <w:vAlign w:val="center"/>
          </w:tcPr>
          <w:p w14:paraId="7F287392" w14:textId="77777777" w:rsidR="00767485" w:rsidRPr="00767485" w:rsidRDefault="00767485" w:rsidP="00767485">
            <w:pPr>
              <w:jc w:val="right"/>
              <w:rPr>
                <w:rFonts w:ascii="Arial Narrow" w:hAnsi="Arial Narrow" w:cs="Arial"/>
                <w:sz w:val="20"/>
                <w:szCs w:val="20"/>
                <w:lang w:val="bg-BG" w:eastAsia="bg-BG"/>
              </w:rPr>
            </w:pPr>
            <w:r w:rsidRPr="00767485">
              <w:rPr>
                <w:rFonts w:ascii="Arial Narrow" w:hAnsi="Arial Narrow" w:cs="Arial"/>
                <w:sz w:val="20"/>
                <w:szCs w:val="20"/>
                <w:lang w:val="bg-BG" w:eastAsia="bg-BG"/>
              </w:rPr>
              <w:t>-0,4%</w:t>
            </w:r>
          </w:p>
        </w:tc>
      </w:tr>
    </w:tbl>
    <w:p w14:paraId="26F90B71" w14:textId="77777777" w:rsidR="00767485" w:rsidRPr="00767485" w:rsidRDefault="00767485" w:rsidP="00767485">
      <w:pPr>
        <w:jc w:val="both"/>
        <w:rPr>
          <w:rFonts w:ascii="Arial Narrow" w:hAnsi="Arial Narrow"/>
          <w:sz w:val="18"/>
          <w:szCs w:val="18"/>
          <w:lang w:val="bg-BG" w:eastAsia="bg-BG"/>
        </w:rPr>
      </w:pPr>
      <w:r w:rsidRPr="00767485">
        <w:rPr>
          <w:rFonts w:ascii="Arial Narrow" w:hAnsi="Arial Narrow"/>
          <w:i/>
          <w:sz w:val="18"/>
          <w:szCs w:val="18"/>
          <w:lang w:val="bg-BG" w:eastAsia="bg-BG"/>
        </w:rPr>
        <w:t xml:space="preserve">Източник: </w:t>
      </w:r>
      <w:r w:rsidRPr="00767485">
        <w:rPr>
          <w:rFonts w:ascii="Arial Narrow" w:hAnsi="Arial Narrow"/>
          <w:sz w:val="18"/>
          <w:szCs w:val="18"/>
          <w:lang w:val="bg-BG" w:eastAsia="bg-BG"/>
        </w:rPr>
        <w:t>данни на НСИ и изчисления на МЗХ</w:t>
      </w:r>
    </w:p>
    <w:p w14:paraId="3B38B66F" w14:textId="77777777" w:rsidR="00767485" w:rsidRPr="00767485" w:rsidRDefault="00767485" w:rsidP="00767485">
      <w:pPr>
        <w:spacing w:after="240"/>
        <w:jc w:val="both"/>
        <w:rPr>
          <w:rFonts w:ascii="Arial Narrow" w:hAnsi="Arial Narrow"/>
          <w:i/>
          <w:sz w:val="18"/>
          <w:szCs w:val="18"/>
          <w:lang w:eastAsia="bg-BG"/>
        </w:rPr>
      </w:pPr>
      <w:r w:rsidRPr="00767485">
        <w:rPr>
          <w:rFonts w:ascii="Arial Narrow" w:hAnsi="Arial Narrow"/>
          <w:i/>
          <w:sz w:val="18"/>
          <w:szCs w:val="18"/>
          <w:lang w:val="bg-BG" w:eastAsia="bg-BG"/>
        </w:rPr>
        <w:t>*</w:t>
      </w:r>
      <w:r w:rsidRPr="00767485">
        <w:rPr>
          <w:rFonts w:ascii="Arial Narrow" w:hAnsi="Arial Narrow"/>
          <w:bCs/>
          <w:i/>
          <w:sz w:val="18"/>
          <w:lang w:val="bg-BG" w:eastAsia="bg-BG"/>
        </w:rPr>
        <w:t>Вк</w:t>
      </w:r>
      <w:r w:rsidRPr="00767485">
        <w:rPr>
          <w:rFonts w:ascii="Arial Narrow" w:hAnsi="Arial Narrow"/>
          <w:i/>
          <w:sz w:val="18"/>
          <w:szCs w:val="18"/>
          <w:lang w:val="bg-BG" w:eastAsia="bg-BG"/>
        </w:rPr>
        <w:t xml:space="preserve">лючва и известно количество сухоземни мекотели, което не може да бъде разграничено. </w:t>
      </w:r>
    </w:p>
    <w:p w14:paraId="09BB85A3" w14:textId="77777777" w:rsidR="00767485" w:rsidRPr="00767485" w:rsidRDefault="00767485" w:rsidP="00767485">
      <w:pPr>
        <w:spacing w:after="120"/>
        <w:ind w:firstLine="706"/>
        <w:jc w:val="both"/>
        <w:rPr>
          <w:rFonts w:ascii="Arial Narrow" w:hAnsi="Arial Narrow"/>
          <w:lang w:val="bg-BG" w:eastAsia="bg-BG"/>
        </w:rPr>
      </w:pPr>
      <w:r w:rsidRPr="00767485">
        <w:rPr>
          <w:rFonts w:ascii="Arial Narrow" w:hAnsi="Arial Narrow"/>
          <w:lang w:val="bg-BG" w:eastAsia="bg-BG"/>
        </w:rPr>
        <w:t>Около 74% от общия износ на риба и рибни продукти през 2024 г. се формира от изпращанията за ЕС, които се свиват с 11,6% на годишна база, до 9 764 тона. Най-значителни количества са насочени за Румъния (5 136 тона) и Швеция (1 929 тона), следвани от тези за Гърция (667 тона), Полша (513 тона) Белгия (487 тона), Испания ( 478 тона) и др.</w:t>
      </w:r>
    </w:p>
    <w:p w14:paraId="7A02725D" w14:textId="77777777" w:rsidR="00767485" w:rsidRPr="00767485" w:rsidRDefault="00767485" w:rsidP="00767485">
      <w:pPr>
        <w:keepNext/>
        <w:keepLines/>
        <w:tabs>
          <w:tab w:val="left" w:pos="1276"/>
        </w:tabs>
        <w:autoSpaceDE w:val="0"/>
        <w:autoSpaceDN w:val="0"/>
        <w:adjustRightInd w:val="0"/>
        <w:spacing w:after="120"/>
        <w:jc w:val="center"/>
        <w:rPr>
          <w:rFonts w:ascii="Arial Narrow" w:eastAsia="Calibri" w:hAnsi="Arial Narrow"/>
          <w:b/>
          <w:i/>
          <w:lang w:val="bg-BG" w:eastAsia="bg-BG"/>
        </w:rPr>
      </w:pPr>
      <w:r w:rsidRPr="00767485">
        <w:rPr>
          <w:rFonts w:ascii="Arial Narrow" w:eastAsia="Calibri" w:hAnsi="Arial Narrow"/>
          <w:b/>
          <w:i/>
          <w:lang w:val="bg-BG" w:eastAsia="bg-BG"/>
        </w:rPr>
        <w:t>Фигура VIІ.5. Износ на риба, други водни организми и рибни продукти за ЕС и трети страни, тона</w:t>
      </w:r>
    </w:p>
    <w:p w14:paraId="4AEA43CF" w14:textId="77777777" w:rsidR="00767485" w:rsidRPr="00767485" w:rsidRDefault="00767485" w:rsidP="00767485">
      <w:pPr>
        <w:keepNext/>
        <w:keepLines/>
        <w:tabs>
          <w:tab w:val="left" w:pos="1276"/>
        </w:tabs>
        <w:autoSpaceDE w:val="0"/>
        <w:autoSpaceDN w:val="0"/>
        <w:adjustRightInd w:val="0"/>
        <w:spacing w:after="120"/>
        <w:jc w:val="center"/>
        <w:rPr>
          <w:rFonts w:ascii="Arial Narrow" w:eastAsia="Calibri" w:hAnsi="Arial Narrow"/>
          <w:b/>
          <w:i/>
          <w:lang w:val="bg-BG" w:eastAsia="bg-BG"/>
        </w:rPr>
      </w:pPr>
      <w:r w:rsidRPr="00767485">
        <w:rPr>
          <w:noProof/>
        </w:rPr>
        <w:drawing>
          <wp:inline distT="0" distB="0" distL="0" distR="0" wp14:anchorId="64A68411" wp14:editId="632568D9">
            <wp:extent cx="5040000" cy="3060000"/>
            <wp:effectExtent l="0" t="0" r="8255" b="762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183836F1" w14:textId="77777777" w:rsidR="00767485" w:rsidRPr="00767485" w:rsidRDefault="00767485" w:rsidP="00767485">
      <w:pPr>
        <w:keepLines/>
        <w:widowControl w:val="0"/>
        <w:spacing w:after="120"/>
        <w:ind w:firstLine="1077"/>
        <w:jc w:val="both"/>
        <w:rPr>
          <w:rFonts w:ascii="Arial Narrow" w:hAnsi="Arial Narrow"/>
          <w:i/>
          <w:sz w:val="18"/>
          <w:szCs w:val="18"/>
          <w:lang w:val="bg-BG" w:eastAsia="bg-BG"/>
        </w:rPr>
      </w:pPr>
      <w:r w:rsidRPr="00767485">
        <w:rPr>
          <w:rFonts w:ascii="Arial Narrow" w:hAnsi="Arial Narrow"/>
          <w:i/>
          <w:sz w:val="18"/>
          <w:szCs w:val="18"/>
          <w:lang w:val="bg-BG" w:eastAsia="bg-BG"/>
        </w:rPr>
        <w:t xml:space="preserve">Източник: </w:t>
      </w:r>
      <w:r w:rsidRPr="00767485">
        <w:rPr>
          <w:rFonts w:ascii="Arial Narrow" w:hAnsi="Arial Narrow"/>
          <w:sz w:val="18"/>
          <w:szCs w:val="18"/>
          <w:lang w:val="bg-BG" w:eastAsia="bg-BG"/>
        </w:rPr>
        <w:t>НСИ</w:t>
      </w:r>
    </w:p>
    <w:p w14:paraId="3FA06DC1" w14:textId="77777777" w:rsidR="00767485" w:rsidRPr="00767485" w:rsidRDefault="00767485" w:rsidP="00767485">
      <w:pPr>
        <w:spacing w:after="120"/>
        <w:ind w:firstLine="709"/>
        <w:jc w:val="both"/>
        <w:rPr>
          <w:rFonts w:ascii="Arial Narrow" w:hAnsi="Arial Narrow"/>
          <w:lang w:val="bg-BG" w:eastAsia="bg-BG"/>
        </w:rPr>
      </w:pPr>
      <w:r w:rsidRPr="00767485">
        <w:rPr>
          <w:rFonts w:ascii="Arial Narrow" w:hAnsi="Arial Narrow"/>
          <w:lang w:val="bg-BG" w:eastAsia="bg-BG"/>
        </w:rPr>
        <w:t xml:space="preserve">Износът на риба и рибни продукти за трети страни е в размер на 3 421 тона, с 5% по-малко спрямо 2023 г. Количествата са реализирани основно в Сърбия (1 617 тона), Босна и Херцеговина (449 тона), Обединеното кралство (287 тона), Япония (244 тона), Китай (177 тона) и Южна Корея (172 тона). </w:t>
      </w:r>
    </w:p>
    <w:p w14:paraId="089F536B" w14:textId="77777777" w:rsidR="00767485" w:rsidRPr="00767485" w:rsidRDefault="00767485" w:rsidP="00767485">
      <w:pPr>
        <w:widowControl w:val="0"/>
        <w:spacing w:before="240" w:after="120"/>
        <w:jc w:val="center"/>
        <w:rPr>
          <w:rFonts w:ascii="Arial Narrow" w:eastAsia="Calibri" w:hAnsi="Arial Narrow"/>
          <w:b/>
          <w:i/>
          <w:lang w:val="bg-BG" w:eastAsia="bg-BG"/>
        </w:rPr>
      </w:pPr>
      <w:r w:rsidRPr="00767485">
        <w:rPr>
          <w:rFonts w:ascii="Arial Narrow" w:hAnsi="Arial Narrow"/>
          <w:b/>
          <w:i/>
          <w:lang w:val="bg-BG" w:eastAsia="bg-BG"/>
        </w:rPr>
        <w:lastRenderedPageBreak/>
        <w:t>Фигура</w:t>
      </w:r>
      <w:r w:rsidRPr="00767485">
        <w:rPr>
          <w:rFonts w:ascii="Arial Narrow" w:eastAsia="Calibri" w:hAnsi="Arial Narrow"/>
          <w:b/>
          <w:i/>
          <w:lang w:val="bg-BG" w:eastAsia="bg-BG"/>
        </w:rPr>
        <w:t xml:space="preserve"> VІІ.6. Структура на износа на риба и рибни продукти през 2024 г.</w:t>
      </w:r>
    </w:p>
    <w:p w14:paraId="634FDC3A" w14:textId="77777777" w:rsidR="00767485" w:rsidRPr="00767485" w:rsidRDefault="00767485" w:rsidP="00767485">
      <w:pPr>
        <w:widowControl w:val="0"/>
        <w:spacing w:before="240" w:after="120"/>
        <w:jc w:val="center"/>
        <w:rPr>
          <w:rFonts w:ascii="Arial Narrow" w:eastAsia="Calibri" w:hAnsi="Arial Narrow"/>
          <w:b/>
          <w:i/>
          <w:lang w:val="bg-BG" w:eastAsia="bg-BG"/>
        </w:rPr>
      </w:pPr>
      <w:r w:rsidRPr="00767485">
        <w:rPr>
          <w:noProof/>
        </w:rPr>
        <w:drawing>
          <wp:inline distT="0" distB="0" distL="0" distR="0" wp14:anchorId="2D344385" wp14:editId="490F145E">
            <wp:extent cx="5040000" cy="3060000"/>
            <wp:effectExtent l="0" t="0" r="8255" b="7620"/>
            <wp:docPr id="46" name="Chart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09C08B4B" w14:textId="77777777" w:rsidR="00767485" w:rsidRPr="00767485" w:rsidRDefault="00767485" w:rsidP="00767485">
      <w:pPr>
        <w:widowControl w:val="0"/>
        <w:spacing w:after="240"/>
        <w:ind w:firstLine="992"/>
        <w:rPr>
          <w:rFonts w:ascii="Arial Narrow" w:hAnsi="Arial Narrow"/>
          <w:sz w:val="18"/>
          <w:szCs w:val="18"/>
          <w:lang w:val="bg-BG" w:eastAsia="bg-BG"/>
        </w:rPr>
      </w:pPr>
      <w:r w:rsidRPr="00767485">
        <w:rPr>
          <w:rFonts w:ascii="Arial Narrow" w:hAnsi="Arial Narrow"/>
          <w:i/>
          <w:sz w:val="18"/>
          <w:szCs w:val="18"/>
          <w:lang w:val="bg-BG" w:eastAsia="bg-BG"/>
        </w:rPr>
        <w:t xml:space="preserve">Източник: </w:t>
      </w:r>
      <w:r w:rsidRPr="00767485">
        <w:rPr>
          <w:rFonts w:ascii="Arial Narrow" w:hAnsi="Arial Narrow"/>
          <w:sz w:val="18"/>
          <w:szCs w:val="18"/>
          <w:lang w:val="bg-BG" w:eastAsia="bg-BG"/>
        </w:rPr>
        <w:t>данни на НСИ и изчисления на  МЗХ.</w:t>
      </w:r>
    </w:p>
    <w:p w14:paraId="3AAC7724" w14:textId="77777777" w:rsidR="00767485" w:rsidRDefault="00767485" w:rsidP="00767485">
      <w:pPr>
        <w:spacing w:after="120"/>
        <w:ind w:firstLine="709"/>
        <w:jc w:val="both"/>
        <w:rPr>
          <w:rFonts w:ascii="Arial Narrow" w:hAnsi="Arial Narrow"/>
          <w:lang w:val="bg-BG" w:eastAsia="bg-BG"/>
        </w:rPr>
      </w:pPr>
      <w:r w:rsidRPr="00767485">
        <w:rPr>
          <w:rFonts w:ascii="Arial Narrow" w:hAnsi="Arial Narrow"/>
          <w:lang w:val="bg-BG" w:eastAsia="bg-BG"/>
        </w:rPr>
        <w:t xml:space="preserve">Предварителните данни за първото полугодие на 2025 г. сочат намаление на износа на риба, други водни организми и преработени рибни продукти със 7% на годишна база, до 5 969 тона. Това включва 4 438 тона за ЕС и </w:t>
      </w:r>
      <w:r w:rsidR="00DA538C">
        <w:rPr>
          <w:rFonts w:ascii="Arial Narrow" w:hAnsi="Arial Narrow"/>
          <w:lang w:eastAsia="bg-BG"/>
        </w:rPr>
        <w:t>1 531</w:t>
      </w:r>
      <w:r w:rsidRPr="00767485">
        <w:rPr>
          <w:rFonts w:ascii="Arial Narrow" w:hAnsi="Arial Narrow"/>
          <w:lang w:val="bg-BG" w:eastAsia="bg-BG"/>
        </w:rPr>
        <w:t xml:space="preserve"> тона за трети страни, съответно с 6,7% и 8% под нивото отпреди една година.</w:t>
      </w:r>
    </w:p>
    <w:p w14:paraId="05637114" w14:textId="77777777" w:rsidR="00F44BFC" w:rsidRPr="009336F4" w:rsidRDefault="00D77D4F" w:rsidP="00DA7B44">
      <w:pPr>
        <w:numPr>
          <w:ilvl w:val="0"/>
          <w:numId w:val="12"/>
        </w:numPr>
        <w:spacing w:after="120"/>
        <w:outlineLvl w:val="0"/>
        <w:rPr>
          <w:rFonts w:ascii="Arial Narrow" w:hAnsi="Arial Narrow" w:cs="TimesNewRomanUnicode,Bold,Itali"/>
          <w:b/>
          <w:bCs/>
          <w:iCs/>
          <w:lang w:val="bg-BG" w:eastAsia="bg-BG"/>
        </w:rPr>
      </w:pPr>
      <w:bookmarkStart w:id="270" w:name="_Toc87952177"/>
      <w:bookmarkStart w:id="271" w:name="_Toc210747691"/>
      <w:r w:rsidRPr="009336F4">
        <w:rPr>
          <w:rFonts w:ascii="Arial Narrow" w:hAnsi="Arial Narrow" w:cs="TimesNewRomanUnicode,Bold,Itali"/>
          <w:b/>
          <w:bCs/>
          <w:iCs/>
          <w:lang w:val="bg-BG" w:eastAsia="bg-BG"/>
        </w:rPr>
        <w:t>Програма за морско дело и рибарство 2014 – 2020 г.</w:t>
      </w:r>
      <w:bookmarkEnd w:id="270"/>
      <w:r w:rsidRPr="009336F4">
        <w:rPr>
          <w:rFonts w:ascii="Arial Narrow" w:hAnsi="Arial Narrow" w:cs="TimesNewRomanUnicode,Bold,Itali"/>
          <w:b/>
          <w:bCs/>
          <w:iCs/>
          <w:lang w:val="bg-BG" w:eastAsia="bg-BG"/>
        </w:rPr>
        <w:t xml:space="preserve"> и Програма за морско дело, рибарство и аквакултури 2021 – 2027 г.</w:t>
      </w:r>
      <w:bookmarkEnd w:id="271"/>
    </w:p>
    <w:p w14:paraId="52F5CD4D" w14:textId="77777777" w:rsidR="00F44BFC" w:rsidRPr="009336F4" w:rsidRDefault="00597359" w:rsidP="00597359">
      <w:pPr>
        <w:pStyle w:val="ListParagraph"/>
        <w:spacing w:after="120"/>
        <w:ind w:left="540" w:hanging="180"/>
        <w:contextualSpacing w:val="0"/>
        <w:outlineLvl w:val="0"/>
        <w:rPr>
          <w:rFonts w:ascii="Arial Narrow" w:hAnsi="Arial Narrow"/>
          <w:b/>
          <w:lang w:val="bg-BG" w:eastAsia="bg-BG"/>
        </w:rPr>
      </w:pPr>
      <w:bookmarkStart w:id="272" w:name="_Toc210747692"/>
      <w:r w:rsidRPr="009336F4">
        <w:rPr>
          <w:rFonts w:ascii="Arial Narrow" w:hAnsi="Arial Narrow"/>
          <w:b/>
          <w:lang w:val="bg-BG" w:eastAsia="bg-BG"/>
        </w:rPr>
        <w:t xml:space="preserve">3.1. </w:t>
      </w:r>
      <w:r w:rsidR="00F44BFC" w:rsidRPr="009336F4">
        <w:rPr>
          <w:rFonts w:ascii="Arial Narrow" w:hAnsi="Arial Narrow"/>
          <w:b/>
          <w:lang w:val="bg-BG" w:eastAsia="bg-BG"/>
        </w:rPr>
        <w:t>Програма за морско дело и рибарство 2014 - 2020 г. (ПМДР)</w:t>
      </w:r>
      <w:bookmarkEnd w:id="272"/>
    </w:p>
    <w:p w14:paraId="3AD1F64A" w14:textId="77777777" w:rsidR="00F44BFC" w:rsidRPr="00F44BFC" w:rsidRDefault="00F44BFC" w:rsidP="00F44BFC">
      <w:pPr>
        <w:widowControl w:val="0"/>
        <w:spacing w:after="120"/>
        <w:ind w:firstLine="706"/>
        <w:jc w:val="both"/>
        <w:rPr>
          <w:rFonts w:ascii="Arial Narrow" w:hAnsi="Arial Narrow"/>
          <w:lang w:val="bg-BG" w:eastAsia="bg-BG"/>
        </w:rPr>
      </w:pPr>
      <w:r w:rsidRPr="00F44BFC">
        <w:rPr>
          <w:rFonts w:ascii="Arial Narrow" w:hAnsi="Arial Narrow"/>
          <w:lang w:val="bg-BG" w:eastAsia="bg-BG"/>
        </w:rPr>
        <w:t xml:space="preserve">През 2024 г. са положени усилия за успешното изпълнение и приключване на </w:t>
      </w:r>
      <w:r w:rsidRPr="00F44BFC">
        <w:rPr>
          <w:rFonts w:ascii="Arial Narrow" w:hAnsi="Arial Narrow" w:cs="TimesNewRomanUnicode,Bold,Itali"/>
          <w:bCs/>
          <w:iCs/>
          <w:lang w:val="bg-BG" w:eastAsia="bg-BG"/>
        </w:rPr>
        <w:t xml:space="preserve">Програмата за морско дело и рибарство 2014 - 2020 г. (ПМДР) и за намаляване на риска от загуба на средства. </w:t>
      </w:r>
      <w:r w:rsidRPr="00F44BFC">
        <w:rPr>
          <w:rFonts w:ascii="Arial Narrow" w:hAnsi="Arial Narrow"/>
          <w:lang w:val="bg-BG" w:eastAsia="bg-BG"/>
        </w:rPr>
        <w:t>Предприетите мерки за подобряване на изпълнението на ПМДР са чрез интензивна комуникация с бенефициентите, въведени електронни договори и опростени разходи, скъсени срокове за оценка, последващ контрол, верификация и плащане и др.</w:t>
      </w:r>
    </w:p>
    <w:p w14:paraId="23E23D44" w14:textId="77777777" w:rsidR="00F44BFC" w:rsidRPr="00F44BFC" w:rsidRDefault="00F44BFC" w:rsidP="00F44BFC">
      <w:pPr>
        <w:widowControl w:val="0"/>
        <w:spacing w:after="120"/>
        <w:ind w:firstLine="706"/>
        <w:jc w:val="both"/>
        <w:rPr>
          <w:rFonts w:ascii="Arial Narrow" w:hAnsi="Arial Narrow"/>
          <w:lang w:val="bg-BG" w:eastAsia="bg-BG"/>
        </w:rPr>
      </w:pPr>
      <w:r w:rsidRPr="00F44BFC">
        <w:rPr>
          <w:rFonts w:ascii="Arial Narrow" w:hAnsi="Arial Narrow"/>
          <w:lang w:val="bg-BG" w:eastAsia="bg-BG"/>
        </w:rPr>
        <w:t>С цел минимизиране на негативните последици за сектора от войната на Русия срещу Украйна (свързани с увеличение на разходите и смущения в търговията), през 2024 г. продължават мерките за компенсация на операторите в риболова по мярка 1.9. „Временно преустановяване на риболовна дейност вследствие на войната на Русия в Украйна, която застрашава сигурността на риболовните дейности или възпрепятства икономическата жизнеспособност на риболовните операции“ и по мярка 5.3 „Мерки за предлагане на пазара“ за компенсация на всички подсектори – Риболов, Аквакултури и Преработка.</w:t>
      </w:r>
    </w:p>
    <w:p w14:paraId="39551F03" w14:textId="77777777" w:rsidR="00F44BFC" w:rsidRPr="00F44BFC" w:rsidRDefault="00F44BFC" w:rsidP="00F44BFC">
      <w:pPr>
        <w:spacing w:after="120"/>
        <w:ind w:firstLine="709"/>
        <w:jc w:val="both"/>
        <w:rPr>
          <w:rFonts w:ascii="Arial Narrow" w:hAnsi="Arial Narrow"/>
          <w:lang w:val="bg-BG" w:eastAsia="bg-BG"/>
        </w:rPr>
      </w:pPr>
      <w:r w:rsidRPr="00F44BFC">
        <w:rPr>
          <w:rFonts w:ascii="Arial Narrow" w:hAnsi="Arial Narrow"/>
          <w:lang w:val="bg-BG" w:eastAsia="bg-BG"/>
        </w:rPr>
        <w:t>През 2024 г. са сключени 151 договора по ПМДР, които са разпределени по приоритети на Съюза (ПС), както следва:</w:t>
      </w:r>
    </w:p>
    <w:p w14:paraId="1193909B" w14:textId="77777777" w:rsidR="00F44BFC" w:rsidRPr="00F44BFC" w:rsidRDefault="00F44BFC" w:rsidP="00F44BFC">
      <w:pPr>
        <w:spacing w:after="120"/>
        <w:ind w:firstLine="720"/>
        <w:jc w:val="both"/>
        <w:rPr>
          <w:rFonts w:ascii="Arial Narrow" w:hAnsi="Arial Narrow"/>
          <w:b/>
          <w:i/>
          <w:lang w:val="bg-BG" w:eastAsia="bg-BG"/>
        </w:rPr>
      </w:pPr>
      <w:r w:rsidRPr="00F44BFC">
        <w:rPr>
          <w:rFonts w:ascii="Arial Narrow" w:hAnsi="Arial Narrow"/>
          <w:b/>
          <w:i/>
          <w:lang w:val="bg-BG" w:eastAsia="bg-BG"/>
        </w:rPr>
        <w:t>Приоритет на Съюза 1 „Насърчаване на устойчиво в екологично отношение, иновативно, конкурентоспособно и основано на знания рибарство, характеризиращо се с ефективно използване на ресурсите”</w:t>
      </w:r>
    </w:p>
    <w:p w14:paraId="651F4DF8" w14:textId="77777777" w:rsidR="00F44BFC" w:rsidRPr="00F44BFC" w:rsidRDefault="00F44BFC" w:rsidP="00F44BFC">
      <w:pPr>
        <w:spacing w:after="120"/>
        <w:ind w:firstLine="709"/>
        <w:jc w:val="both"/>
        <w:rPr>
          <w:rFonts w:ascii="Arial Narrow" w:hAnsi="Arial Narrow"/>
          <w:lang w:val="bg-BG" w:eastAsia="bg-BG"/>
        </w:rPr>
      </w:pPr>
      <w:r w:rsidRPr="00F44BFC">
        <w:rPr>
          <w:rFonts w:ascii="Arial Narrow" w:hAnsi="Arial Narrow"/>
          <w:lang w:val="bg-BG" w:eastAsia="bg-BG"/>
        </w:rPr>
        <w:tab/>
        <w:t>Основни постижения по ПС 1 - сключени са 23 договора през 2024 г. на стойност 356 378 лева БФП (182 216 евро)</w:t>
      </w:r>
    </w:p>
    <w:p w14:paraId="7CFEFDC1" w14:textId="77777777" w:rsidR="00F44BFC" w:rsidRPr="00F44BFC" w:rsidRDefault="00F44BFC" w:rsidP="00F44BFC">
      <w:pPr>
        <w:spacing w:after="120"/>
        <w:ind w:firstLine="709"/>
        <w:jc w:val="both"/>
        <w:rPr>
          <w:rFonts w:ascii="Arial Narrow" w:hAnsi="Arial Narrow"/>
          <w:lang w:val="bg-BG" w:eastAsia="bg-BG"/>
        </w:rPr>
      </w:pPr>
      <w:r w:rsidRPr="00F44BFC">
        <w:rPr>
          <w:rFonts w:ascii="Arial Narrow" w:hAnsi="Arial Narrow"/>
          <w:lang w:val="bg-BG" w:eastAsia="bg-BG"/>
        </w:rPr>
        <w:t>Обявени приеми по мерки:</w:t>
      </w:r>
    </w:p>
    <w:p w14:paraId="5D59CD12" w14:textId="77777777" w:rsidR="00F44BFC" w:rsidRPr="00F44BFC" w:rsidRDefault="00F44BFC" w:rsidP="00F44BFC">
      <w:pPr>
        <w:spacing w:after="120"/>
        <w:ind w:firstLine="709"/>
        <w:jc w:val="both"/>
        <w:rPr>
          <w:rFonts w:ascii="Arial Narrow" w:hAnsi="Arial Narrow"/>
          <w:lang w:val="bg-BG" w:eastAsia="bg-BG"/>
        </w:rPr>
      </w:pPr>
      <w:r w:rsidRPr="00F44BFC">
        <w:rPr>
          <w:rFonts w:ascii="Arial Narrow" w:hAnsi="Arial Narrow"/>
          <w:lang w:val="bg-BG" w:eastAsia="bg-BG"/>
        </w:rPr>
        <w:t xml:space="preserve">В края  на 2023 г. е обявен прием по Мярка 1.9 „Временно преустановяване на риболовна дейност вследствие на агресивната война на Русия срещу Украйна, която застрашава сигурността на риболовните </w:t>
      </w:r>
      <w:r w:rsidRPr="00F44BFC">
        <w:rPr>
          <w:rFonts w:ascii="Arial Narrow" w:hAnsi="Arial Narrow"/>
          <w:lang w:val="bg-BG" w:eastAsia="bg-BG"/>
        </w:rPr>
        <w:lastRenderedPageBreak/>
        <w:t>дейности или възпрепятства икономическата жизнеспособност на риболовните операции“, като проекти са приемани до 27 март 2024 г.</w:t>
      </w:r>
    </w:p>
    <w:p w14:paraId="591D2466" w14:textId="77777777" w:rsidR="00F44BFC" w:rsidRPr="00F44BFC" w:rsidRDefault="00F44BFC" w:rsidP="00F44BFC">
      <w:pPr>
        <w:spacing w:after="120"/>
        <w:ind w:firstLine="709"/>
        <w:jc w:val="both"/>
        <w:rPr>
          <w:rFonts w:ascii="Arial Narrow" w:hAnsi="Arial Narrow"/>
          <w:lang w:val="bg-BG" w:eastAsia="bg-BG"/>
        </w:rPr>
      </w:pPr>
      <w:r w:rsidRPr="00F44BFC">
        <w:rPr>
          <w:rFonts w:ascii="Arial Narrow" w:hAnsi="Arial Narrow"/>
          <w:lang w:val="bg-BG" w:eastAsia="bg-BG"/>
        </w:rPr>
        <w:t>Финансово изпълнение на ниво ПС 1 до края на 2024 г.:</w:t>
      </w:r>
    </w:p>
    <w:p w14:paraId="4E0A365E" w14:textId="77777777" w:rsidR="00F44BFC" w:rsidRPr="00F44BFC" w:rsidRDefault="00F44BFC" w:rsidP="00F44BFC">
      <w:pPr>
        <w:spacing w:after="120"/>
        <w:ind w:firstLine="709"/>
        <w:jc w:val="both"/>
        <w:rPr>
          <w:rFonts w:ascii="Arial Narrow" w:hAnsi="Arial Narrow"/>
          <w:lang w:val="bg-BG" w:eastAsia="bg-BG"/>
        </w:rPr>
      </w:pPr>
      <w:r w:rsidRPr="00F44BFC">
        <w:rPr>
          <w:rFonts w:ascii="Arial Narrow" w:hAnsi="Arial Narrow"/>
          <w:lang w:val="bg-BG" w:eastAsia="bg-BG"/>
        </w:rPr>
        <w:t xml:space="preserve">През 2024 г. са сключени 23 договора на стойност 356 378 лева БФП (182 216 евро).  </w:t>
      </w:r>
    </w:p>
    <w:p w14:paraId="78D4A1C4" w14:textId="77777777" w:rsidR="00F44BFC" w:rsidRPr="00F44BFC" w:rsidRDefault="00F44BFC" w:rsidP="00F44BFC">
      <w:pPr>
        <w:spacing w:after="120"/>
        <w:ind w:firstLine="709"/>
        <w:jc w:val="both"/>
        <w:rPr>
          <w:rFonts w:ascii="Arial Narrow" w:hAnsi="Arial Narrow"/>
          <w:lang w:val="bg-BG" w:eastAsia="bg-BG"/>
        </w:rPr>
      </w:pPr>
      <w:r w:rsidRPr="00F44BFC">
        <w:rPr>
          <w:rFonts w:ascii="Arial Narrow" w:hAnsi="Arial Narrow"/>
          <w:lang w:val="bg-BG" w:eastAsia="bg-BG"/>
        </w:rPr>
        <w:t>Общият напредък по ПС 1 по отношение на изплатените публични разходи на бенефициентите през 2024 г. е в размер на 329 799 лева (168 626 евро) БФП.</w:t>
      </w:r>
    </w:p>
    <w:p w14:paraId="104ED271" w14:textId="77777777" w:rsidR="00F44BFC" w:rsidRPr="00F44BFC" w:rsidRDefault="00F44BFC" w:rsidP="00F44BFC">
      <w:pPr>
        <w:spacing w:after="120"/>
        <w:ind w:firstLine="709"/>
        <w:jc w:val="both"/>
        <w:rPr>
          <w:rFonts w:ascii="Arial Narrow" w:hAnsi="Arial Narrow"/>
          <w:lang w:val="bg-BG" w:eastAsia="bg-BG"/>
        </w:rPr>
      </w:pPr>
      <w:r w:rsidRPr="00F44BFC">
        <w:rPr>
          <w:rFonts w:ascii="Arial Narrow" w:hAnsi="Arial Narrow"/>
          <w:lang w:val="bg-BG" w:eastAsia="bg-BG"/>
        </w:rPr>
        <w:t>Сертифицираните средства на ниво приоритет през 2024 г. са в размер на 5 033 446 лева (2 573 600 евро) БФП (сумата на сертифицираните разходи включва и договорените, сключени в предходни години).</w:t>
      </w:r>
    </w:p>
    <w:p w14:paraId="3AEC04CE" w14:textId="77777777" w:rsidR="00F44BFC" w:rsidRPr="00F44BFC" w:rsidRDefault="00F44BFC" w:rsidP="00F44BFC">
      <w:pPr>
        <w:spacing w:after="120"/>
        <w:ind w:firstLine="709"/>
        <w:jc w:val="both"/>
        <w:rPr>
          <w:rFonts w:ascii="Arial Narrow" w:hAnsi="Arial Narrow"/>
          <w:lang w:val="bg-BG" w:eastAsia="bg-BG"/>
        </w:rPr>
      </w:pPr>
      <w:r w:rsidRPr="00F44BFC">
        <w:rPr>
          <w:rFonts w:ascii="Arial Narrow" w:hAnsi="Arial Narrow"/>
          <w:lang w:val="bg-BG" w:eastAsia="bg-BG"/>
        </w:rPr>
        <w:t>Общо договорените средства на ниво приоритет с натрупване до 31.12.2024 г. са в размер на 38 047 706 лева (19 453 782 евро) БФП.</w:t>
      </w:r>
    </w:p>
    <w:p w14:paraId="0B811ED1" w14:textId="77777777" w:rsidR="00F44BFC" w:rsidRPr="00F44BFC" w:rsidRDefault="00F44BFC" w:rsidP="00F44BFC">
      <w:pPr>
        <w:spacing w:after="120"/>
        <w:ind w:firstLine="709"/>
        <w:jc w:val="both"/>
        <w:rPr>
          <w:rFonts w:ascii="Arial Narrow" w:hAnsi="Arial Narrow"/>
          <w:lang w:val="bg-BG" w:eastAsia="bg-BG"/>
        </w:rPr>
      </w:pPr>
      <w:r w:rsidRPr="00F44BFC">
        <w:rPr>
          <w:rFonts w:ascii="Arial Narrow" w:hAnsi="Arial Narrow"/>
          <w:lang w:val="bg-BG" w:eastAsia="bg-BG"/>
        </w:rPr>
        <w:t>Общо изплатените средства с натрупване до 31.12.2024 г. са в размер на 37 105 151 лева (18 971 853 евро) БФП.</w:t>
      </w:r>
    </w:p>
    <w:p w14:paraId="7387F271" w14:textId="77777777" w:rsidR="00F44BFC" w:rsidRPr="00F44BFC" w:rsidRDefault="00F44BFC" w:rsidP="00F44BFC">
      <w:pPr>
        <w:spacing w:after="120"/>
        <w:ind w:firstLine="709"/>
        <w:jc w:val="both"/>
        <w:rPr>
          <w:rFonts w:ascii="Arial Narrow" w:hAnsi="Arial Narrow"/>
          <w:lang w:val="bg-BG" w:eastAsia="bg-BG"/>
        </w:rPr>
      </w:pPr>
      <w:r w:rsidRPr="00F44BFC">
        <w:rPr>
          <w:rFonts w:ascii="Arial Narrow" w:hAnsi="Arial Narrow"/>
          <w:lang w:val="bg-BG" w:eastAsia="bg-BG"/>
        </w:rPr>
        <w:t>Общо сертифицирани средства до 31.12.2024 г. са в размер на 35 400 316 лева БФП (18 100 172 евро).</w:t>
      </w:r>
    </w:p>
    <w:p w14:paraId="416CD3EF" w14:textId="77777777" w:rsidR="00F44BFC" w:rsidRPr="00F44BFC" w:rsidRDefault="00F44BFC" w:rsidP="00F44BFC">
      <w:pPr>
        <w:spacing w:after="120"/>
        <w:ind w:firstLine="720"/>
        <w:jc w:val="both"/>
        <w:rPr>
          <w:rFonts w:ascii="Arial Narrow" w:hAnsi="Arial Narrow"/>
          <w:b/>
          <w:i/>
          <w:lang w:val="bg-BG" w:eastAsia="bg-BG"/>
        </w:rPr>
      </w:pPr>
      <w:r w:rsidRPr="00F44BFC">
        <w:rPr>
          <w:rFonts w:ascii="Arial Narrow" w:hAnsi="Arial Narrow"/>
          <w:b/>
          <w:i/>
          <w:lang w:val="bg-BG" w:eastAsia="bg-BG"/>
        </w:rPr>
        <w:t>Приоритет на Съюза 2 „Насърчаване на устойчиви в екологично отношение, иновативни, конкурентоспособни и основани на знания аквакултури, характеризиращи се с ефективно използване на ресурсите“</w:t>
      </w:r>
    </w:p>
    <w:p w14:paraId="070B4D79" w14:textId="77777777" w:rsidR="00F44BFC" w:rsidRPr="00F44BFC" w:rsidRDefault="00F44BFC" w:rsidP="00F44BFC">
      <w:pPr>
        <w:spacing w:after="120"/>
        <w:ind w:firstLine="720"/>
        <w:jc w:val="both"/>
        <w:rPr>
          <w:rFonts w:ascii="Arial Narrow" w:hAnsi="Arial Narrow"/>
          <w:bCs/>
          <w:lang w:val="bg-BG" w:eastAsia="bg-BG"/>
        </w:rPr>
      </w:pPr>
      <w:r w:rsidRPr="00F44BFC">
        <w:rPr>
          <w:rFonts w:ascii="Arial Narrow" w:hAnsi="Arial Narrow"/>
          <w:bCs/>
          <w:lang w:val="bg-BG" w:eastAsia="bg-BG"/>
        </w:rPr>
        <w:t>Основни постижения по ПС 2 - През 2024 г. не са сключвани договори по този приоритет.</w:t>
      </w:r>
    </w:p>
    <w:p w14:paraId="57A7BFAC" w14:textId="77777777" w:rsidR="00F44BFC" w:rsidRPr="00F44BFC" w:rsidRDefault="00F44BFC" w:rsidP="00F44BFC">
      <w:pPr>
        <w:spacing w:after="120"/>
        <w:ind w:firstLine="720"/>
        <w:jc w:val="both"/>
        <w:rPr>
          <w:rFonts w:ascii="Arial Narrow" w:hAnsi="Arial Narrow"/>
          <w:bCs/>
          <w:lang w:val="bg-BG" w:eastAsia="bg-BG"/>
        </w:rPr>
      </w:pPr>
      <w:r w:rsidRPr="00F44BFC">
        <w:rPr>
          <w:rFonts w:ascii="Arial Narrow" w:hAnsi="Arial Narrow"/>
          <w:bCs/>
          <w:lang w:val="bg-BG" w:eastAsia="bg-BG"/>
        </w:rPr>
        <w:t>Мерки, отворени за прием: През 2024 г. няма отворени мерки по този приоритет.</w:t>
      </w:r>
    </w:p>
    <w:p w14:paraId="59710379" w14:textId="77777777" w:rsidR="00F44BFC" w:rsidRPr="00F44BFC" w:rsidRDefault="00F44BFC" w:rsidP="00F44BFC">
      <w:pPr>
        <w:spacing w:after="120"/>
        <w:ind w:firstLine="720"/>
        <w:jc w:val="both"/>
        <w:rPr>
          <w:rFonts w:ascii="Arial Narrow" w:hAnsi="Arial Narrow"/>
          <w:bCs/>
          <w:lang w:val="bg-BG" w:eastAsia="bg-BG"/>
        </w:rPr>
      </w:pPr>
      <w:r w:rsidRPr="00F44BFC">
        <w:rPr>
          <w:rFonts w:ascii="Arial Narrow" w:hAnsi="Arial Narrow"/>
          <w:bCs/>
          <w:lang w:val="bg-BG" w:eastAsia="bg-BG"/>
        </w:rPr>
        <w:t>Финансово изпълнение на ниво ПС до края на 2024 г.:</w:t>
      </w:r>
    </w:p>
    <w:p w14:paraId="5F9F1890" w14:textId="77777777" w:rsidR="00F44BFC" w:rsidRPr="00F44BFC" w:rsidRDefault="00F44BFC" w:rsidP="00F44BFC">
      <w:pPr>
        <w:spacing w:after="120"/>
        <w:ind w:firstLine="720"/>
        <w:jc w:val="both"/>
        <w:rPr>
          <w:rFonts w:ascii="Arial Narrow" w:hAnsi="Arial Narrow"/>
          <w:bCs/>
          <w:lang w:val="bg-BG" w:eastAsia="bg-BG"/>
        </w:rPr>
      </w:pPr>
      <w:r w:rsidRPr="00F44BFC">
        <w:rPr>
          <w:rFonts w:ascii="Arial Narrow" w:hAnsi="Arial Narrow"/>
          <w:bCs/>
          <w:lang w:val="bg-BG" w:eastAsia="bg-BG"/>
        </w:rPr>
        <w:t>Изплатените публични разходи на бенефициентите през 2024 г. са в размер на 1 190 101 лева (608 498 евро) БФП.</w:t>
      </w:r>
    </w:p>
    <w:p w14:paraId="757E43D2" w14:textId="77777777" w:rsidR="00F44BFC" w:rsidRPr="00F44BFC" w:rsidRDefault="00F44BFC" w:rsidP="00F44BFC">
      <w:pPr>
        <w:spacing w:after="120"/>
        <w:ind w:firstLine="720"/>
        <w:jc w:val="both"/>
        <w:rPr>
          <w:rFonts w:ascii="Arial Narrow" w:hAnsi="Arial Narrow"/>
          <w:bCs/>
          <w:lang w:val="bg-BG" w:eastAsia="bg-BG"/>
        </w:rPr>
      </w:pPr>
      <w:r w:rsidRPr="00F44BFC">
        <w:rPr>
          <w:rFonts w:ascii="Arial Narrow" w:hAnsi="Arial Narrow"/>
          <w:bCs/>
          <w:lang w:val="bg-BG" w:eastAsia="bg-BG"/>
        </w:rPr>
        <w:t>Сертифицираните средства през 2024 г. са в размер на 2 229 214 лева БФП или 1 139 796 евро БФП (Сумата на сертифицираните разходи включва и договори, сертифицирани в предходни години.)</w:t>
      </w:r>
    </w:p>
    <w:p w14:paraId="07FCC4A1" w14:textId="77777777" w:rsidR="00F44BFC" w:rsidRPr="00F44BFC" w:rsidRDefault="00F44BFC" w:rsidP="00F44BFC">
      <w:pPr>
        <w:spacing w:after="120"/>
        <w:ind w:firstLine="720"/>
        <w:jc w:val="both"/>
        <w:rPr>
          <w:rFonts w:ascii="Arial Narrow" w:hAnsi="Arial Narrow"/>
          <w:bCs/>
          <w:lang w:val="bg-BG" w:eastAsia="bg-BG"/>
        </w:rPr>
      </w:pPr>
      <w:r w:rsidRPr="00F44BFC">
        <w:rPr>
          <w:rFonts w:ascii="Arial Narrow" w:hAnsi="Arial Narrow"/>
          <w:bCs/>
          <w:lang w:val="bg-BG" w:eastAsia="bg-BG"/>
        </w:rPr>
        <w:t xml:space="preserve">Общо договорените средства на ниво приоритет до края на отчетния период са в размер на 41 859 961 лева (21 402 987 евро) БФП. </w:t>
      </w:r>
    </w:p>
    <w:p w14:paraId="0710195A" w14:textId="77777777" w:rsidR="00F44BFC" w:rsidRPr="00F44BFC" w:rsidRDefault="00F44BFC" w:rsidP="00F44BFC">
      <w:pPr>
        <w:spacing w:after="120"/>
        <w:ind w:firstLine="720"/>
        <w:jc w:val="both"/>
        <w:rPr>
          <w:rFonts w:ascii="Arial Narrow" w:hAnsi="Arial Narrow"/>
          <w:bCs/>
          <w:lang w:val="bg-BG" w:eastAsia="bg-BG"/>
        </w:rPr>
      </w:pPr>
      <w:r w:rsidRPr="00F44BFC">
        <w:rPr>
          <w:rFonts w:ascii="Arial Narrow" w:hAnsi="Arial Narrow"/>
          <w:bCs/>
          <w:lang w:val="bg-BG" w:eastAsia="bg-BG"/>
        </w:rPr>
        <w:t xml:space="preserve">Общо изплатените средства до края на отчетния период са в размер на 32 844 258 лева (16 793 260 евро) БФП. </w:t>
      </w:r>
    </w:p>
    <w:p w14:paraId="0FA94267" w14:textId="77777777" w:rsidR="00F44BFC" w:rsidRPr="00F44BFC" w:rsidRDefault="00F44BFC" w:rsidP="00F44BFC">
      <w:pPr>
        <w:spacing w:after="120"/>
        <w:ind w:firstLine="720"/>
        <w:jc w:val="both"/>
        <w:rPr>
          <w:rFonts w:ascii="Arial Narrow" w:hAnsi="Arial Narrow"/>
          <w:bCs/>
          <w:lang w:val="bg-BG" w:eastAsia="bg-BG"/>
        </w:rPr>
      </w:pPr>
      <w:r w:rsidRPr="00F44BFC">
        <w:rPr>
          <w:rFonts w:ascii="Arial Narrow" w:hAnsi="Arial Narrow"/>
          <w:bCs/>
          <w:lang w:val="bg-BG" w:eastAsia="bg-BG"/>
        </w:rPr>
        <w:t>Общо сертифицираните средства от ЕК до края на отчетния период са в размер на 30 375 498 лева (15 530 984 евро).</w:t>
      </w:r>
    </w:p>
    <w:p w14:paraId="6B651F70" w14:textId="77777777" w:rsidR="00F44BFC" w:rsidRPr="00F44BFC" w:rsidRDefault="00F44BFC" w:rsidP="00F44BFC">
      <w:pPr>
        <w:spacing w:after="120"/>
        <w:ind w:firstLine="720"/>
        <w:jc w:val="both"/>
        <w:rPr>
          <w:rFonts w:ascii="Arial Narrow" w:hAnsi="Arial Narrow"/>
          <w:b/>
          <w:bCs/>
          <w:i/>
          <w:lang w:val="bg-BG" w:eastAsia="bg-BG"/>
        </w:rPr>
      </w:pPr>
      <w:r w:rsidRPr="00F44BFC">
        <w:rPr>
          <w:rFonts w:ascii="Arial Narrow" w:hAnsi="Arial Narrow"/>
          <w:b/>
          <w:bCs/>
          <w:i/>
          <w:lang w:val="bg-BG" w:eastAsia="bg-BG"/>
        </w:rPr>
        <w:t>Приоритет на Съюза 3 „Насърчаване на изпълнението на Общата политика в областта на рибарството”</w:t>
      </w:r>
    </w:p>
    <w:p w14:paraId="21740A78" w14:textId="77777777" w:rsidR="00F44BFC" w:rsidRPr="00F44BFC" w:rsidRDefault="00F44BFC" w:rsidP="00F44BFC">
      <w:pPr>
        <w:spacing w:after="120"/>
        <w:ind w:firstLine="720"/>
        <w:jc w:val="both"/>
        <w:rPr>
          <w:rFonts w:ascii="Arial Narrow" w:hAnsi="Arial Narrow"/>
          <w:bCs/>
          <w:lang w:val="bg-BG" w:eastAsia="bg-BG"/>
        </w:rPr>
      </w:pPr>
      <w:r w:rsidRPr="00F44BFC">
        <w:rPr>
          <w:rFonts w:ascii="Arial Narrow" w:hAnsi="Arial Narrow"/>
          <w:bCs/>
          <w:lang w:val="bg-BG" w:eastAsia="bg-BG"/>
        </w:rPr>
        <w:t>По Приоритет на Съюза 3 в програмата са заложени 2 мерки и са одобрени проектни предложения, които се изпълняват от конкретен бенефициент Изпълнителна агенция по рибарство и акакултури.</w:t>
      </w:r>
    </w:p>
    <w:p w14:paraId="7BC25DF4" w14:textId="77777777" w:rsidR="00F44BFC" w:rsidRPr="00F44BFC" w:rsidRDefault="00F44BFC" w:rsidP="00F44BFC">
      <w:pPr>
        <w:spacing w:after="120"/>
        <w:ind w:firstLine="720"/>
        <w:jc w:val="both"/>
        <w:rPr>
          <w:rFonts w:ascii="Arial Narrow" w:hAnsi="Arial Narrow"/>
          <w:bCs/>
          <w:lang w:val="bg-BG" w:eastAsia="bg-BG"/>
        </w:rPr>
      </w:pPr>
      <w:r w:rsidRPr="00F44BFC">
        <w:rPr>
          <w:rFonts w:ascii="Arial Narrow" w:hAnsi="Arial Narrow"/>
          <w:bCs/>
          <w:lang w:val="bg-BG" w:eastAsia="bg-BG"/>
        </w:rPr>
        <w:t>Основни постижения по ПС 3 – няма сключени договори през 2024 г.</w:t>
      </w:r>
    </w:p>
    <w:p w14:paraId="6A9B5AF7" w14:textId="77777777" w:rsidR="00F44BFC" w:rsidRPr="00F44BFC" w:rsidRDefault="00F44BFC" w:rsidP="00F44BFC">
      <w:pPr>
        <w:spacing w:after="120"/>
        <w:ind w:firstLine="720"/>
        <w:jc w:val="both"/>
        <w:rPr>
          <w:rFonts w:ascii="Arial Narrow" w:hAnsi="Arial Narrow"/>
          <w:bCs/>
          <w:lang w:val="bg-BG" w:eastAsia="bg-BG"/>
        </w:rPr>
      </w:pPr>
      <w:r w:rsidRPr="00F44BFC">
        <w:rPr>
          <w:rFonts w:ascii="Arial Narrow" w:hAnsi="Arial Narrow"/>
          <w:bCs/>
          <w:lang w:val="bg-BG" w:eastAsia="bg-BG"/>
        </w:rPr>
        <w:t>Мерки, отворени за прием: През 2024 г. няма отворени приеми по мерки 3.1 „Контрол и изпълнение“ и мярка 3.2 „Събиране на данни по Национална програма за събиране и управление на данни от сектор „Рибарство” 2017 – 2019 г.“ по този приоритет. Приемът по тези мерки е започнал през 2017 г. и е с краен срок през 2023 г. За периода не са извършвани плащания по ПС3.</w:t>
      </w:r>
    </w:p>
    <w:p w14:paraId="64FDA359" w14:textId="77777777" w:rsidR="00F44BFC" w:rsidRPr="00F44BFC" w:rsidRDefault="00F44BFC" w:rsidP="00F44BFC">
      <w:pPr>
        <w:spacing w:after="120"/>
        <w:ind w:firstLine="720"/>
        <w:jc w:val="both"/>
        <w:rPr>
          <w:rFonts w:ascii="Arial Narrow" w:hAnsi="Arial Narrow"/>
          <w:bCs/>
          <w:lang w:val="bg-BG" w:eastAsia="bg-BG"/>
        </w:rPr>
      </w:pPr>
      <w:r w:rsidRPr="00F44BFC">
        <w:rPr>
          <w:rFonts w:ascii="Arial Narrow" w:hAnsi="Arial Narrow"/>
          <w:bCs/>
          <w:lang w:val="bg-BG" w:eastAsia="bg-BG"/>
        </w:rPr>
        <w:t>Финансово изпълнение на ниво ПС до края на 2024 г.:</w:t>
      </w:r>
    </w:p>
    <w:p w14:paraId="71708391" w14:textId="77777777" w:rsidR="00F44BFC" w:rsidRPr="00F44BFC" w:rsidRDefault="00F44BFC" w:rsidP="00F44BFC">
      <w:pPr>
        <w:spacing w:after="120"/>
        <w:ind w:firstLine="720"/>
        <w:jc w:val="both"/>
        <w:rPr>
          <w:rFonts w:ascii="Arial Narrow" w:hAnsi="Arial Narrow"/>
          <w:bCs/>
          <w:lang w:val="bg-BG" w:eastAsia="bg-BG"/>
        </w:rPr>
      </w:pPr>
      <w:r w:rsidRPr="00F44BFC">
        <w:rPr>
          <w:rFonts w:ascii="Arial Narrow" w:hAnsi="Arial Narrow"/>
          <w:bCs/>
          <w:lang w:val="bg-BG" w:eastAsia="bg-BG"/>
        </w:rPr>
        <w:t>Сертифицираните средства през 2024 г. са в размер на 2 576 591лева (1 317 410 евро) БФП.</w:t>
      </w:r>
    </w:p>
    <w:p w14:paraId="047443A5" w14:textId="77777777" w:rsidR="00F44BFC" w:rsidRPr="00F44BFC" w:rsidRDefault="00F44BFC" w:rsidP="00F44BFC">
      <w:pPr>
        <w:spacing w:after="120"/>
        <w:ind w:firstLine="720"/>
        <w:jc w:val="both"/>
        <w:rPr>
          <w:rFonts w:ascii="Arial Narrow" w:hAnsi="Arial Narrow"/>
          <w:bCs/>
          <w:lang w:val="bg-BG" w:eastAsia="bg-BG"/>
        </w:rPr>
      </w:pPr>
      <w:r w:rsidRPr="00F44BFC">
        <w:rPr>
          <w:rFonts w:ascii="Arial Narrow" w:hAnsi="Arial Narrow"/>
          <w:bCs/>
          <w:lang w:val="bg-BG" w:eastAsia="bg-BG"/>
        </w:rPr>
        <w:lastRenderedPageBreak/>
        <w:t>Общо договорените средства до края на отчетния период са в размер на 20 757 473 лева (10 613 290 евро) БФП.</w:t>
      </w:r>
    </w:p>
    <w:p w14:paraId="7B53CF0E" w14:textId="77777777" w:rsidR="00F44BFC" w:rsidRPr="00F44BFC" w:rsidRDefault="00F44BFC" w:rsidP="00F44BFC">
      <w:pPr>
        <w:spacing w:after="120"/>
        <w:ind w:firstLine="720"/>
        <w:jc w:val="both"/>
        <w:rPr>
          <w:rFonts w:ascii="Arial Narrow" w:hAnsi="Arial Narrow"/>
          <w:bCs/>
          <w:lang w:val="bg-BG" w:eastAsia="bg-BG"/>
        </w:rPr>
      </w:pPr>
      <w:r w:rsidRPr="00F44BFC">
        <w:rPr>
          <w:rFonts w:ascii="Arial Narrow" w:hAnsi="Arial Narrow"/>
          <w:bCs/>
          <w:lang w:val="bg-BG" w:eastAsia="bg-BG"/>
        </w:rPr>
        <w:t>Общо изплатените средства до края на отчетния период са в размер на 20 599 729 лева (10 532 635 евро) БФП.</w:t>
      </w:r>
    </w:p>
    <w:p w14:paraId="593B3C2D" w14:textId="77777777" w:rsidR="00F44BFC" w:rsidRPr="00F44BFC" w:rsidRDefault="00F44BFC" w:rsidP="00F44BFC">
      <w:pPr>
        <w:spacing w:after="120"/>
        <w:ind w:firstLine="720"/>
        <w:jc w:val="both"/>
        <w:rPr>
          <w:rFonts w:ascii="Arial Narrow" w:hAnsi="Arial Narrow"/>
          <w:bCs/>
          <w:lang w:val="bg-BG" w:eastAsia="bg-BG"/>
        </w:rPr>
      </w:pPr>
      <w:r w:rsidRPr="00F44BFC">
        <w:rPr>
          <w:rFonts w:ascii="Arial Narrow" w:hAnsi="Arial Narrow"/>
          <w:bCs/>
          <w:lang w:val="bg-BG" w:eastAsia="bg-BG"/>
        </w:rPr>
        <w:t>Общо сертифицираните средства от ЕК до края на отчетния период са в размер на 17 072 275 лева (8 729 049 евро) БФП.</w:t>
      </w:r>
    </w:p>
    <w:p w14:paraId="5080805C" w14:textId="77777777" w:rsidR="00F44BFC" w:rsidRPr="00F44BFC" w:rsidRDefault="00F44BFC" w:rsidP="00F44BFC">
      <w:pPr>
        <w:widowControl w:val="0"/>
        <w:spacing w:after="120"/>
        <w:ind w:firstLine="720"/>
        <w:jc w:val="both"/>
        <w:rPr>
          <w:rFonts w:ascii="Arial Narrow" w:hAnsi="Arial Narrow"/>
          <w:b/>
          <w:i/>
          <w:lang w:val="bg-BG" w:eastAsia="bg-BG"/>
        </w:rPr>
      </w:pPr>
      <w:r w:rsidRPr="00F44BFC">
        <w:rPr>
          <w:rFonts w:ascii="Arial Narrow" w:hAnsi="Arial Narrow"/>
          <w:b/>
          <w:i/>
          <w:lang w:val="bg-BG" w:eastAsia="bg-BG"/>
        </w:rPr>
        <w:t>Приоритет на Съюза 4 „Повишаване на заетостта и териториално сближаване“</w:t>
      </w:r>
    </w:p>
    <w:p w14:paraId="6CC9267B" w14:textId="77777777" w:rsidR="00F44BFC" w:rsidRPr="00F44BFC" w:rsidRDefault="00F44BFC" w:rsidP="00F44BFC">
      <w:pPr>
        <w:widowControl w:val="0"/>
        <w:spacing w:after="120"/>
        <w:ind w:firstLine="720"/>
        <w:jc w:val="both"/>
        <w:rPr>
          <w:rFonts w:ascii="Arial Narrow" w:hAnsi="Arial Narrow"/>
          <w:lang w:val="bg-BG" w:eastAsia="bg-BG"/>
        </w:rPr>
      </w:pPr>
      <w:r w:rsidRPr="00F44BFC">
        <w:rPr>
          <w:rFonts w:ascii="Arial Narrow" w:hAnsi="Arial Narrow"/>
          <w:lang w:val="bg-BG" w:eastAsia="bg-BG"/>
        </w:rPr>
        <w:t>През 2024 г. няма обявени процедури по мерките и няма сключени договори, предвид края на програмния период. Фокусът е насочен към подаване на искания за окончателни плащания, верифициране и сертифициране на разходите.</w:t>
      </w:r>
    </w:p>
    <w:p w14:paraId="7BD62D73" w14:textId="77777777" w:rsidR="00F44BFC" w:rsidRPr="00F44BFC" w:rsidRDefault="00F44BFC" w:rsidP="00F44BFC">
      <w:pPr>
        <w:widowControl w:val="0"/>
        <w:spacing w:after="120"/>
        <w:ind w:firstLine="720"/>
        <w:jc w:val="both"/>
        <w:rPr>
          <w:rFonts w:ascii="Arial Narrow" w:hAnsi="Arial Narrow"/>
          <w:lang w:val="bg-BG" w:eastAsia="bg-BG"/>
        </w:rPr>
      </w:pPr>
      <w:r w:rsidRPr="00F44BFC">
        <w:rPr>
          <w:rFonts w:ascii="Arial Narrow" w:hAnsi="Arial Narrow"/>
          <w:lang w:val="bg-BG" w:eastAsia="bg-BG"/>
        </w:rPr>
        <w:t>Основни постижения по ПС 4 – През 2024 г. не са сключени договори по одобрените 9 стратегии за ВОМР на местните инициативни рибарски групи (МИРГ).</w:t>
      </w:r>
    </w:p>
    <w:p w14:paraId="629A7CDA" w14:textId="77777777" w:rsidR="00F44BFC" w:rsidRPr="00F44BFC" w:rsidRDefault="00F44BFC" w:rsidP="00F44BFC">
      <w:pPr>
        <w:widowControl w:val="0"/>
        <w:spacing w:after="120"/>
        <w:ind w:firstLine="720"/>
        <w:jc w:val="both"/>
        <w:rPr>
          <w:rFonts w:ascii="Arial Narrow" w:hAnsi="Arial Narrow"/>
          <w:lang w:val="bg-BG" w:eastAsia="bg-BG"/>
        </w:rPr>
      </w:pPr>
      <w:r w:rsidRPr="00F44BFC">
        <w:rPr>
          <w:rFonts w:ascii="Arial Narrow" w:hAnsi="Arial Narrow"/>
          <w:lang w:val="bg-BG" w:eastAsia="bg-BG"/>
        </w:rPr>
        <w:t>Общо до края на 2024 г. са сключени 207 договора, включващи проекти по подготвителна помощ, проекти по стратегиите на МИРГ и текущи разходи на МИРГ.</w:t>
      </w:r>
    </w:p>
    <w:p w14:paraId="5BB49C92" w14:textId="77777777" w:rsidR="00F44BFC" w:rsidRPr="00F44BFC" w:rsidRDefault="00F44BFC" w:rsidP="00F44BFC">
      <w:pPr>
        <w:widowControl w:val="0"/>
        <w:spacing w:after="120"/>
        <w:ind w:firstLine="720"/>
        <w:jc w:val="both"/>
        <w:rPr>
          <w:rFonts w:ascii="Arial Narrow" w:hAnsi="Arial Narrow"/>
          <w:lang w:val="bg-BG" w:eastAsia="bg-BG"/>
        </w:rPr>
      </w:pPr>
      <w:r w:rsidRPr="00F44BFC">
        <w:rPr>
          <w:rFonts w:ascii="Arial Narrow" w:hAnsi="Arial Narrow"/>
          <w:lang w:val="bg-BG" w:eastAsia="bg-BG"/>
        </w:rPr>
        <w:t>Финансово изпълнение на ниво ПС до края на 2024 г.:</w:t>
      </w:r>
    </w:p>
    <w:p w14:paraId="3AE78407" w14:textId="77777777" w:rsidR="00F44BFC" w:rsidRPr="00F44BFC" w:rsidRDefault="00F44BFC" w:rsidP="00F44BFC">
      <w:pPr>
        <w:widowControl w:val="0"/>
        <w:spacing w:after="120"/>
        <w:ind w:firstLine="720"/>
        <w:jc w:val="both"/>
        <w:rPr>
          <w:rFonts w:ascii="Arial Narrow" w:hAnsi="Arial Narrow"/>
          <w:lang w:val="bg-BG" w:eastAsia="bg-BG"/>
        </w:rPr>
      </w:pPr>
      <w:r w:rsidRPr="00F44BFC">
        <w:rPr>
          <w:rFonts w:ascii="Arial Narrow" w:hAnsi="Arial Narrow"/>
          <w:lang w:val="bg-BG" w:eastAsia="bg-BG"/>
        </w:rPr>
        <w:t>Общият напредък по ПС 4 на изплатените публични разходи на бенефициентите през 2024 г. е в размер на 6 051 953 лева (3 094 362 евро) БФП.</w:t>
      </w:r>
    </w:p>
    <w:p w14:paraId="5EC0C51A" w14:textId="77777777" w:rsidR="00F44BFC" w:rsidRPr="00F44BFC" w:rsidRDefault="00F44BFC" w:rsidP="00F44BFC">
      <w:pPr>
        <w:widowControl w:val="0"/>
        <w:spacing w:after="120"/>
        <w:ind w:firstLine="720"/>
        <w:jc w:val="both"/>
        <w:rPr>
          <w:rFonts w:ascii="Arial Narrow" w:hAnsi="Arial Narrow"/>
          <w:lang w:val="bg-BG" w:eastAsia="bg-BG"/>
        </w:rPr>
      </w:pPr>
      <w:r w:rsidRPr="00F44BFC">
        <w:rPr>
          <w:rFonts w:ascii="Arial Narrow" w:hAnsi="Arial Narrow"/>
          <w:lang w:val="bg-BG" w:eastAsia="bg-BG"/>
        </w:rPr>
        <w:t>Сертифицираните средства през 2024 г. по приоритета са в размер на 9 735 833 лева (4 977 929 евро) БФП.</w:t>
      </w:r>
    </w:p>
    <w:p w14:paraId="24565801" w14:textId="77777777" w:rsidR="00F44BFC" w:rsidRPr="00F44BFC" w:rsidRDefault="00F44BFC" w:rsidP="00F44BFC">
      <w:pPr>
        <w:widowControl w:val="0"/>
        <w:spacing w:after="120"/>
        <w:ind w:firstLine="720"/>
        <w:jc w:val="both"/>
        <w:rPr>
          <w:rFonts w:ascii="Arial Narrow" w:hAnsi="Arial Narrow"/>
          <w:lang w:val="bg-BG" w:eastAsia="bg-BG"/>
        </w:rPr>
      </w:pPr>
      <w:r w:rsidRPr="00F44BFC">
        <w:rPr>
          <w:rFonts w:ascii="Arial Narrow" w:hAnsi="Arial Narrow"/>
          <w:lang w:val="bg-BG" w:eastAsia="bg-BG"/>
        </w:rPr>
        <w:t>Общо договорените средства по проекти от стратегиите на МИРГ до края на 2024 г. са в размер на 34 208 542 лева (17 490 818 евро) БФП, в т.ч. подготвителна помощ и текущи разходи на МИРГ или 100% от бюджета на приоритета, за 207 договора.</w:t>
      </w:r>
    </w:p>
    <w:p w14:paraId="1F7AE4E0" w14:textId="77777777" w:rsidR="00F44BFC" w:rsidRPr="00F44BFC" w:rsidRDefault="00F44BFC" w:rsidP="00F44BFC">
      <w:pPr>
        <w:widowControl w:val="0"/>
        <w:spacing w:after="120"/>
        <w:ind w:firstLine="720"/>
        <w:jc w:val="both"/>
        <w:rPr>
          <w:rFonts w:ascii="Arial Narrow" w:hAnsi="Arial Narrow"/>
          <w:lang w:val="bg-BG" w:eastAsia="bg-BG"/>
        </w:rPr>
      </w:pPr>
      <w:r w:rsidRPr="00F44BFC">
        <w:rPr>
          <w:rFonts w:ascii="Arial Narrow" w:hAnsi="Arial Narrow"/>
          <w:lang w:val="bg-BG" w:eastAsia="bg-BG"/>
        </w:rPr>
        <w:t xml:space="preserve">Общо изплатените средства са в размер на 32 480 723 лева БФП или 16 607 384,56 евро . </w:t>
      </w:r>
    </w:p>
    <w:p w14:paraId="48AB15EE" w14:textId="77777777" w:rsidR="00F44BFC" w:rsidRPr="00F44BFC" w:rsidRDefault="00F44BFC" w:rsidP="00F44BFC">
      <w:pPr>
        <w:widowControl w:val="0"/>
        <w:spacing w:after="120"/>
        <w:ind w:firstLine="720"/>
        <w:jc w:val="both"/>
        <w:rPr>
          <w:rFonts w:ascii="Arial Narrow" w:hAnsi="Arial Narrow"/>
          <w:lang w:val="bg-BG" w:eastAsia="bg-BG"/>
        </w:rPr>
      </w:pPr>
      <w:r w:rsidRPr="00F44BFC">
        <w:rPr>
          <w:rFonts w:ascii="Arial Narrow" w:hAnsi="Arial Narrow"/>
          <w:lang w:val="bg-BG" w:eastAsia="bg-BG"/>
        </w:rPr>
        <w:t>Общо сертифицираните от ЕК средства до края на 2024 г. са в размер на 31 536 117,39 лева (16 124 408,11 евро) БФП.</w:t>
      </w:r>
    </w:p>
    <w:p w14:paraId="667519E9" w14:textId="77777777" w:rsidR="00F44BFC" w:rsidRPr="00F44BFC" w:rsidRDefault="00F44BFC" w:rsidP="00F44BFC">
      <w:pPr>
        <w:spacing w:after="120"/>
        <w:ind w:firstLine="709"/>
        <w:jc w:val="both"/>
        <w:rPr>
          <w:rFonts w:ascii="Arial Narrow" w:hAnsi="Arial Narrow"/>
          <w:b/>
          <w:i/>
          <w:lang w:val="bg-BG" w:eastAsia="bg-BG"/>
        </w:rPr>
      </w:pPr>
      <w:r w:rsidRPr="00F44BFC">
        <w:rPr>
          <w:rFonts w:ascii="Arial Narrow" w:hAnsi="Arial Narrow"/>
          <w:b/>
          <w:i/>
          <w:lang w:val="bg-BG" w:eastAsia="bg-BG"/>
        </w:rPr>
        <w:t>Приоритет на Съюза 5 „Насърчаване на предлагането на пазара и преработката“</w:t>
      </w:r>
    </w:p>
    <w:p w14:paraId="356FE04E" w14:textId="77777777" w:rsidR="00F44BFC" w:rsidRPr="00F44BFC" w:rsidRDefault="00F44BFC" w:rsidP="00F44BFC">
      <w:pPr>
        <w:spacing w:after="120"/>
        <w:ind w:firstLine="709"/>
        <w:jc w:val="both"/>
        <w:rPr>
          <w:rFonts w:ascii="Arial Narrow" w:hAnsi="Arial Narrow"/>
          <w:lang w:val="bg-BG" w:eastAsia="bg-BG"/>
        </w:rPr>
      </w:pPr>
      <w:r w:rsidRPr="00F44BFC">
        <w:rPr>
          <w:rFonts w:ascii="Arial Narrow" w:hAnsi="Arial Narrow"/>
          <w:lang w:val="bg-BG" w:eastAsia="bg-BG"/>
        </w:rPr>
        <w:tab/>
        <w:t>Основни постижения по ПС 5 - 128 АДПБФП през 2024 г.</w:t>
      </w:r>
    </w:p>
    <w:p w14:paraId="1FFCCFF4" w14:textId="77777777" w:rsidR="00F44BFC" w:rsidRPr="00F44BFC" w:rsidRDefault="00F44BFC" w:rsidP="00F44BFC">
      <w:pPr>
        <w:spacing w:after="120"/>
        <w:ind w:firstLine="709"/>
        <w:jc w:val="both"/>
        <w:rPr>
          <w:rFonts w:ascii="Arial Narrow" w:hAnsi="Arial Narrow"/>
          <w:lang w:val="bg-BG" w:eastAsia="bg-BG"/>
        </w:rPr>
      </w:pPr>
      <w:r w:rsidRPr="00F44BFC">
        <w:rPr>
          <w:rFonts w:ascii="Arial Narrow" w:hAnsi="Arial Narrow"/>
          <w:lang w:val="bg-BG" w:eastAsia="bg-BG"/>
        </w:rPr>
        <w:t xml:space="preserve">Мерки, отворени за прием: </w:t>
      </w:r>
    </w:p>
    <w:p w14:paraId="40C27F49" w14:textId="77777777" w:rsidR="00F44BFC" w:rsidRPr="00F44BFC" w:rsidRDefault="00F44BFC" w:rsidP="00F44BFC">
      <w:pPr>
        <w:spacing w:after="120"/>
        <w:ind w:firstLine="709"/>
        <w:jc w:val="both"/>
        <w:rPr>
          <w:rFonts w:ascii="Arial Narrow" w:hAnsi="Arial Narrow"/>
          <w:lang w:val="bg-BG" w:eastAsia="bg-BG"/>
        </w:rPr>
      </w:pPr>
      <w:r w:rsidRPr="00F44BFC">
        <w:rPr>
          <w:rFonts w:ascii="Arial Narrow" w:hAnsi="Arial Narrow"/>
          <w:lang w:val="bg-BG" w:eastAsia="bg-BG"/>
        </w:rPr>
        <w:t>В края на 2023 г. е обявен прием по 5.3 „Мерки за предлагане на пазара” - сектор „Риболов“, сектор „Аквакултури“, сектор „Преработване на продуктите от риболов и аквакултури" по чл. 68, параграф 3 от Рег. (ЕС) 508/2014 изм. с Рег. (ЕС) 2022/1278 финансови компенсации за операторите в сектора, свързани с военната обстановка в Украйна.</w:t>
      </w:r>
    </w:p>
    <w:p w14:paraId="0099DD7A" w14:textId="77777777" w:rsidR="00F44BFC" w:rsidRPr="00F44BFC" w:rsidRDefault="00F44BFC" w:rsidP="00F44BFC">
      <w:pPr>
        <w:spacing w:after="120"/>
        <w:ind w:firstLine="709"/>
        <w:jc w:val="both"/>
        <w:rPr>
          <w:rFonts w:ascii="Arial Narrow" w:hAnsi="Arial Narrow"/>
          <w:lang w:val="bg-BG" w:eastAsia="bg-BG"/>
        </w:rPr>
      </w:pPr>
      <w:r w:rsidRPr="00F44BFC">
        <w:rPr>
          <w:rFonts w:ascii="Arial Narrow" w:hAnsi="Arial Narrow"/>
          <w:lang w:val="bg-BG" w:eastAsia="bg-BG"/>
        </w:rPr>
        <w:t>По Мярка 5.3 Мерки за предлагане на пазара - сектор "Риболов" са сключени 23 договора за предоставяне на БФП на стойност 642 393 лева (328 456 евро) БФП.</w:t>
      </w:r>
    </w:p>
    <w:p w14:paraId="29D24F83" w14:textId="77777777" w:rsidR="00F44BFC" w:rsidRPr="00F44BFC" w:rsidRDefault="00F44BFC" w:rsidP="00F44BFC">
      <w:pPr>
        <w:spacing w:after="120"/>
        <w:ind w:firstLine="709"/>
        <w:jc w:val="both"/>
        <w:rPr>
          <w:rFonts w:ascii="Arial Narrow" w:hAnsi="Arial Narrow"/>
          <w:lang w:val="bg-BG" w:eastAsia="bg-BG"/>
        </w:rPr>
      </w:pPr>
      <w:r w:rsidRPr="00F44BFC">
        <w:rPr>
          <w:rFonts w:ascii="Arial Narrow" w:hAnsi="Arial Narrow"/>
          <w:lang w:val="bg-BG" w:eastAsia="bg-BG"/>
        </w:rPr>
        <w:t xml:space="preserve">По Мярка 5.3 Мерки за предлагане на пазара - сектор „Аквакултури“ са сключени 67 договора за предоставяне на БФП на стойност 4 593 542 лева (2 348 677 евро) БФП. </w:t>
      </w:r>
    </w:p>
    <w:p w14:paraId="0441254B" w14:textId="77777777" w:rsidR="00F44BFC" w:rsidRPr="00F44BFC" w:rsidRDefault="00F44BFC" w:rsidP="00F44BFC">
      <w:pPr>
        <w:spacing w:after="120"/>
        <w:ind w:firstLine="709"/>
        <w:jc w:val="both"/>
        <w:rPr>
          <w:rFonts w:ascii="Arial Narrow" w:hAnsi="Arial Narrow"/>
          <w:lang w:val="bg-BG" w:eastAsia="bg-BG"/>
        </w:rPr>
      </w:pPr>
      <w:r w:rsidRPr="00F44BFC">
        <w:rPr>
          <w:rFonts w:ascii="Arial Narrow" w:hAnsi="Arial Narrow"/>
          <w:lang w:val="bg-BG" w:eastAsia="bg-BG"/>
        </w:rPr>
        <w:t xml:space="preserve">По Мярка 5.3 Мерки за предлагане на пазара - сектор „Преработване на продуктите от риболов и аквакултури“ са сключени 38 договора за предоставяне на БФП на стойност 6 075 550 лева (3 106 427 евро) БФП. </w:t>
      </w:r>
    </w:p>
    <w:p w14:paraId="52405EE9" w14:textId="77777777" w:rsidR="00F44BFC" w:rsidRPr="00F44BFC" w:rsidRDefault="00F44BFC" w:rsidP="00F44BFC">
      <w:pPr>
        <w:spacing w:after="120"/>
        <w:ind w:firstLine="709"/>
        <w:jc w:val="both"/>
        <w:rPr>
          <w:rFonts w:ascii="Arial Narrow" w:hAnsi="Arial Narrow"/>
          <w:lang w:val="bg-BG" w:eastAsia="bg-BG"/>
        </w:rPr>
      </w:pPr>
      <w:r w:rsidRPr="00F44BFC">
        <w:rPr>
          <w:rFonts w:ascii="Arial Narrow" w:hAnsi="Arial Narrow"/>
          <w:lang w:val="bg-BG" w:eastAsia="bg-BG"/>
        </w:rPr>
        <w:t>Финансово изпълнение на ниво ПС до края на 2024 г.:</w:t>
      </w:r>
    </w:p>
    <w:p w14:paraId="0A85FCBB" w14:textId="77777777" w:rsidR="00F44BFC" w:rsidRPr="00F44BFC" w:rsidRDefault="00F44BFC" w:rsidP="00F44BFC">
      <w:pPr>
        <w:spacing w:after="120"/>
        <w:ind w:firstLine="709"/>
        <w:jc w:val="both"/>
        <w:rPr>
          <w:rFonts w:ascii="Arial Narrow" w:hAnsi="Arial Narrow"/>
          <w:lang w:val="bg-BG" w:eastAsia="bg-BG"/>
        </w:rPr>
      </w:pPr>
      <w:r w:rsidRPr="00F44BFC">
        <w:rPr>
          <w:rFonts w:ascii="Arial Narrow" w:hAnsi="Arial Narrow"/>
          <w:lang w:val="bg-BG" w:eastAsia="bg-BG"/>
        </w:rPr>
        <w:t>По ПС 5 - договорените средства през 2024 г. са в размер на 11 311 485 лева (5 783 559 евро) БФП.</w:t>
      </w:r>
    </w:p>
    <w:p w14:paraId="513D5944" w14:textId="77777777" w:rsidR="00F44BFC" w:rsidRPr="00F44BFC" w:rsidRDefault="00F44BFC" w:rsidP="00F44BFC">
      <w:pPr>
        <w:spacing w:after="120"/>
        <w:ind w:firstLine="709"/>
        <w:jc w:val="both"/>
        <w:rPr>
          <w:rFonts w:ascii="Arial Narrow" w:hAnsi="Arial Narrow"/>
          <w:lang w:val="bg-BG" w:eastAsia="bg-BG"/>
        </w:rPr>
      </w:pPr>
      <w:r w:rsidRPr="00F44BFC">
        <w:rPr>
          <w:rFonts w:ascii="Arial Narrow" w:hAnsi="Arial Narrow"/>
          <w:lang w:val="bg-BG" w:eastAsia="bg-BG"/>
        </w:rPr>
        <w:t xml:space="preserve">Изплатени по приоритета през 2024 г. са 14 261 537 лева (7 291 920 евро) БФП.  </w:t>
      </w:r>
    </w:p>
    <w:p w14:paraId="39965C8C" w14:textId="77777777" w:rsidR="00F44BFC" w:rsidRPr="00F44BFC" w:rsidRDefault="00F44BFC" w:rsidP="00F44BFC">
      <w:pPr>
        <w:spacing w:after="120"/>
        <w:ind w:firstLine="709"/>
        <w:jc w:val="both"/>
        <w:rPr>
          <w:rFonts w:ascii="Arial Narrow" w:hAnsi="Arial Narrow"/>
          <w:lang w:val="bg-BG" w:eastAsia="bg-BG"/>
        </w:rPr>
      </w:pPr>
      <w:r w:rsidRPr="00F44BFC">
        <w:rPr>
          <w:rFonts w:ascii="Arial Narrow" w:hAnsi="Arial Narrow"/>
          <w:lang w:val="bg-BG" w:eastAsia="bg-BG"/>
        </w:rPr>
        <w:t xml:space="preserve">Сертифицираните средства през 2024 г. са 16 647 267 лева (8 511 743 евро) БФП. </w:t>
      </w:r>
    </w:p>
    <w:p w14:paraId="58692E57" w14:textId="77777777" w:rsidR="00F44BFC" w:rsidRPr="00F44BFC" w:rsidRDefault="00F44BFC" w:rsidP="00F44BFC">
      <w:pPr>
        <w:spacing w:after="120"/>
        <w:ind w:firstLine="709"/>
        <w:jc w:val="both"/>
        <w:rPr>
          <w:rFonts w:ascii="Arial Narrow" w:hAnsi="Arial Narrow"/>
          <w:lang w:val="bg-BG" w:eastAsia="bg-BG"/>
        </w:rPr>
      </w:pPr>
      <w:r w:rsidRPr="00F44BFC">
        <w:rPr>
          <w:rFonts w:ascii="Arial Narrow" w:hAnsi="Arial Narrow"/>
          <w:lang w:val="bg-BG" w:eastAsia="bg-BG"/>
        </w:rPr>
        <w:lastRenderedPageBreak/>
        <w:t>Общо договорени по приоритета са 41 945 839 лева (21 446 895,78 евро) БФП.</w:t>
      </w:r>
    </w:p>
    <w:p w14:paraId="5623A462" w14:textId="77777777" w:rsidR="00F44BFC" w:rsidRPr="00F44BFC" w:rsidRDefault="00F44BFC" w:rsidP="00F44BFC">
      <w:pPr>
        <w:spacing w:after="120"/>
        <w:ind w:firstLine="709"/>
        <w:jc w:val="both"/>
        <w:rPr>
          <w:rFonts w:ascii="Arial Narrow" w:hAnsi="Arial Narrow"/>
          <w:lang w:val="bg-BG" w:eastAsia="bg-BG"/>
        </w:rPr>
      </w:pPr>
      <w:r w:rsidRPr="00F44BFC">
        <w:rPr>
          <w:rFonts w:ascii="Arial Narrow" w:hAnsi="Arial Narrow"/>
          <w:lang w:val="bg-BG" w:eastAsia="bg-BG"/>
        </w:rPr>
        <w:t xml:space="preserve">Общо изплатени са 41 475 120 лева (21 501 490 евро) БФП. </w:t>
      </w:r>
    </w:p>
    <w:p w14:paraId="30662935" w14:textId="77777777" w:rsidR="00F44BFC" w:rsidRPr="00F44BFC" w:rsidRDefault="00F44BFC" w:rsidP="00F44BFC">
      <w:pPr>
        <w:spacing w:after="120"/>
        <w:ind w:firstLine="709"/>
        <w:jc w:val="both"/>
        <w:rPr>
          <w:rFonts w:ascii="Arial Narrow" w:hAnsi="Arial Narrow"/>
          <w:lang w:val="bg-BG" w:eastAsia="bg-BG"/>
        </w:rPr>
      </w:pPr>
      <w:r w:rsidRPr="00F44BFC">
        <w:rPr>
          <w:rFonts w:ascii="Arial Narrow" w:hAnsi="Arial Narrow"/>
          <w:lang w:val="bg-BG" w:eastAsia="bg-BG"/>
        </w:rPr>
        <w:t>Общо сертифицирани по приоритета са 41 107 268,25 лева (21 018 135 евро) БФП.</w:t>
      </w:r>
    </w:p>
    <w:p w14:paraId="5A47956B" w14:textId="77777777" w:rsidR="00F44BFC" w:rsidRPr="00F44BFC" w:rsidRDefault="00F44BFC" w:rsidP="00F44BFC">
      <w:pPr>
        <w:spacing w:after="120"/>
        <w:ind w:firstLine="709"/>
        <w:jc w:val="both"/>
        <w:rPr>
          <w:rFonts w:ascii="Arial Narrow" w:hAnsi="Arial Narrow"/>
          <w:b/>
          <w:i/>
          <w:lang w:val="bg-BG" w:eastAsia="bg-BG"/>
        </w:rPr>
      </w:pPr>
      <w:r w:rsidRPr="00F44BFC">
        <w:rPr>
          <w:rFonts w:ascii="Arial Narrow" w:hAnsi="Arial Narrow"/>
          <w:b/>
          <w:i/>
          <w:lang w:val="bg-BG" w:eastAsia="bg-BG"/>
        </w:rPr>
        <w:t>Приоритет на Съюза 6 „Интегрирана морска политика“</w:t>
      </w:r>
    </w:p>
    <w:p w14:paraId="073C086F" w14:textId="77777777" w:rsidR="00F44BFC" w:rsidRPr="00F44BFC" w:rsidRDefault="00F44BFC" w:rsidP="00F44BFC">
      <w:pPr>
        <w:widowControl w:val="0"/>
        <w:spacing w:after="120"/>
        <w:ind w:firstLine="709"/>
        <w:jc w:val="both"/>
        <w:rPr>
          <w:rFonts w:ascii="Arial Narrow" w:hAnsi="Arial Narrow"/>
          <w:lang w:val="bg-BG" w:eastAsia="bg-BG"/>
        </w:rPr>
      </w:pPr>
      <w:r w:rsidRPr="00F44BFC">
        <w:rPr>
          <w:rFonts w:ascii="Arial Narrow" w:hAnsi="Arial Narrow"/>
          <w:lang w:val="bg-BG" w:eastAsia="bg-BG"/>
        </w:rPr>
        <w:tab/>
        <w:t>Основни постижения по ПС 6 - По ПС 6 са изпълнени общо 8 договора.</w:t>
      </w:r>
    </w:p>
    <w:p w14:paraId="251C46A5" w14:textId="77777777" w:rsidR="00F44BFC" w:rsidRPr="00F44BFC" w:rsidRDefault="00F44BFC" w:rsidP="00F44BFC">
      <w:pPr>
        <w:widowControl w:val="0"/>
        <w:spacing w:after="120"/>
        <w:ind w:firstLine="709"/>
        <w:jc w:val="both"/>
        <w:rPr>
          <w:rFonts w:ascii="Arial Narrow" w:hAnsi="Arial Narrow"/>
          <w:lang w:val="bg-BG" w:eastAsia="bg-BG"/>
        </w:rPr>
      </w:pPr>
      <w:r w:rsidRPr="00F44BFC">
        <w:rPr>
          <w:rFonts w:ascii="Arial Narrow" w:hAnsi="Arial Narrow"/>
          <w:lang w:val="bg-BG" w:eastAsia="bg-BG"/>
        </w:rPr>
        <w:t xml:space="preserve">Мерки, отворени за прием: </w:t>
      </w:r>
    </w:p>
    <w:p w14:paraId="48CEE3E2" w14:textId="77777777" w:rsidR="00F44BFC" w:rsidRPr="00F44BFC" w:rsidRDefault="00F44BFC" w:rsidP="00F44BFC">
      <w:pPr>
        <w:widowControl w:val="0"/>
        <w:spacing w:after="120"/>
        <w:ind w:firstLine="709"/>
        <w:jc w:val="both"/>
        <w:rPr>
          <w:rFonts w:ascii="Arial Narrow" w:hAnsi="Arial Narrow"/>
          <w:lang w:val="bg-BG" w:eastAsia="bg-BG"/>
        </w:rPr>
      </w:pPr>
      <w:r w:rsidRPr="00F44BFC">
        <w:rPr>
          <w:rFonts w:ascii="Arial Narrow" w:hAnsi="Arial Narrow"/>
          <w:lang w:val="bg-BG" w:eastAsia="bg-BG"/>
        </w:rPr>
        <w:t>През 2024 г. по ПС 6 не е обявяван прием на мерки.</w:t>
      </w:r>
    </w:p>
    <w:p w14:paraId="44093AEE" w14:textId="77777777" w:rsidR="00F44BFC" w:rsidRPr="00F44BFC" w:rsidRDefault="00F44BFC" w:rsidP="00F44BFC">
      <w:pPr>
        <w:widowControl w:val="0"/>
        <w:spacing w:after="120"/>
        <w:ind w:firstLine="709"/>
        <w:jc w:val="both"/>
        <w:rPr>
          <w:rFonts w:ascii="Arial Narrow" w:hAnsi="Arial Narrow"/>
          <w:lang w:val="bg-BG" w:eastAsia="bg-BG"/>
        </w:rPr>
      </w:pPr>
      <w:r w:rsidRPr="00F44BFC">
        <w:rPr>
          <w:rFonts w:ascii="Arial Narrow" w:hAnsi="Arial Narrow"/>
          <w:lang w:val="bg-BG" w:eastAsia="bg-BG"/>
        </w:rPr>
        <w:t>Финансово изпълнение на ниво ПС до края на 2024 г.:</w:t>
      </w:r>
    </w:p>
    <w:p w14:paraId="31269088" w14:textId="77777777" w:rsidR="00F44BFC" w:rsidRPr="00F44BFC" w:rsidRDefault="00F44BFC" w:rsidP="00F44BFC">
      <w:pPr>
        <w:widowControl w:val="0"/>
        <w:spacing w:after="120"/>
        <w:ind w:firstLine="709"/>
        <w:jc w:val="both"/>
        <w:rPr>
          <w:rFonts w:ascii="Arial Narrow" w:hAnsi="Arial Narrow"/>
          <w:lang w:val="bg-BG" w:eastAsia="bg-BG"/>
        </w:rPr>
      </w:pPr>
      <w:r w:rsidRPr="00F44BFC">
        <w:rPr>
          <w:rFonts w:ascii="Arial Narrow" w:hAnsi="Arial Narrow"/>
          <w:lang w:val="bg-BG" w:eastAsia="bg-BG"/>
        </w:rPr>
        <w:t xml:space="preserve">Общо договорените до момента средства по ПС 6 са в размер на 5 304 383 лева или 2 712 130 евро БФП. </w:t>
      </w:r>
    </w:p>
    <w:p w14:paraId="2F83839B" w14:textId="77777777" w:rsidR="00F44BFC" w:rsidRPr="00F44BFC" w:rsidRDefault="00F44BFC" w:rsidP="00F44BFC">
      <w:pPr>
        <w:widowControl w:val="0"/>
        <w:spacing w:after="120"/>
        <w:ind w:firstLine="709"/>
        <w:jc w:val="both"/>
        <w:rPr>
          <w:rFonts w:ascii="Arial Narrow" w:hAnsi="Arial Narrow"/>
          <w:lang w:val="bg-BG" w:eastAsia="bg-BG"/>
        </w:rPr>
      </w:pPr>
      <w:r w:rsidRPr="00F44BFC">
        <w:rPr>
          <w:rFonts w:ascii="Arial Narrow" w:hAnsi="Arial Narrow"/>
          <w:lang w:val="bg-BG" w:eastAsia="bg-BG"/>
        </w:rPr>
        <w:t>Общо изплатените до момента средства са в размер на 4 752 887 лева (2 430 150 евро) БФП.</w:t>
      </w:r>
    </w:p>
    <w:p w14:paraId="635C8EBF" w14:textId="77777777" w:rsidR="00F44BFC" w:rsidRPr="00F44BFC" w:rsidRDefault="00F44BFC" w:rsidP="00F44BFC">
      <w:pPr>
        <w:widowControl w:val="0"/>
        <w:spacing w:after="120"/>
        <w:ind w:firstLine="709"/>
        <w:jc w:val="both"/>
        <w:rPr>
          <w:rFonts w:ascii="Arial Narrow" w:hAnsi="Arial Narrow"/>
          <w:lang w:val="bg-BG" w:eastAsia="bg-BG"/>
        </w:rPr>
      </w:pPr>
      <w:r w:rsidRPr="00F44BFC">
        <w:rPr>
          <w:rFonts w:ascii="Arial Narrow" w:hAnsi="Arial Narrow"/>
          <w:lang w:val="bg-BG" w:eastAsia="bg-BG"/>
        </w:rPr>
        <w:t>Общо сертифицираните от ЕК средства до края на отчетния период са в размер на 4 650 821 лева (2 377 964 евро) ЕФМДР.</w:t>
      </w:r>
    </w:p>
    <w:p w14:paraId="70DD337D" w14:textId="77777777" w:rsidR="00F44BFC" w:rsidRPr="00F44BFC" w:rsidRDefault="00F44BFC" w:rsidP="00F44BFC">
      <w:pPr>
        <w:widowControl w:val="0"/>
        <w:spacing w:after="120"/>
        <w:ind w:firstLine="709"/>
        <w:jc w:val="both"/>
        <w:rPr>
          <w:rFonts w:ascii="Arial Narrow" w:hAnsi="Arial Narrow"/>
          <w:lang w:val="bg-BG" w:eastAsia="bg-BG"/>
        </w:rPr>
      </w:pPr>
      <w:r w:rsidRPr="00F44BFC">
        <w:rPr>
          <w:rFonts w:ascii="Arial Narrow" w:hAnsi="Arial Narrow"/>
          <w:lang w:val="bg-BG" w:eastAsia="bg-BG"/>
        </w:rPr>
        <w:t xml:space="preserve">По силата на Споразумение за делегиране на функции по прилагане на ПМДР 2014 - 2020 ДФ „Земеделие“ - Разплащателна агенция, в качеството на Междинно звено на Управляващия орган, извършва верификация на разходите след подадено искане за плащане. </w:t>
      </w:r>
    </w:p>
    <w:p w14:paraId="710D3725" w14:textId="77777777" w:rsidR="00F44BFC" w:rsidRDefault="00F44BFC" w:rsidP="00F44BFC">
      <w:pPr>
        <w:widowControl w:val="0"/>
        <w:spacing w:after="120"/>
        <w:ind w:firstLine="709"/>
        <w:jc w:val="both"/>
        <w:rPr>
          <w:rFonts w:ascii="Arial Narrow" w:hAnsi="Arial Narrow"/>
          <w:lang w:val="bg-BG" w:eastAsia="bg-BG"/>
        </w:rPr>
      </w:pPr>
      <w:r w:rsidRPr="00F44BFC">
        <w:rPr>
          <w:rFonts w:ascii="Arial Narrow" w:hAnsi="Arial Narrow"/>
          <w:lang w:val="bg-BG" w:eastAsia="bg-BG"/>
        </w:rPr>
        <w:t xml:space="preserve">В рамките на 2024 г. чрез ИСУН 2020 са приети, верифицирани и платени искания за плащане съгласно представената по-долу таблица. </w:t>
      </w:r>
    </w:p>
    <w:p w14:paraId="230986A5" w14:textId="77777777" w:rsidR="00F44BFC" w:rsidRPr="00F44BFC" w:rsidRDefault="00F44BFC" w:rsidP="00F44BFC">
      <w:pPr>
        <w:widowControl w:val="0"/>
        <w:spacing w:after="120"/>
        <w:jc w:val="both"/>
        <w:rPr>
          <w:rFonts w:ascii="Arial Narrow" w:hAnsi="Arial Narrow"/>
          <w:b/>
          <w:lang w:val="bg-BG" w:eastAsia="bg-BG"/>
        </w:rPr>
      </w:pPr>
      <w:r w:rsidRPr="00F44BFC">
        <w:rPr>
          <w:rFonts w:ascii="Arial Narrow" w:hAnsi="Arial Narrow"/>
          <w:b/>
          <w:lang w:val="bg-BG" w:eastAsia="bg-BG"/>
        </w:rPr>
        <w:t>Таблица VII.6. Платени проекти по мерки от ПМДР 2014 - 2020 за периода 01.01.2024 г. - 31.12.2024 г. (лева)</w:t>
      </w:r>
    </w:p>
    <w:tbl>
      <w:tblPr>
        <w:tblW w:w="496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542"/>
        <w:gridCol w:w="841"/>
        <w:gridCol w:w="1345"/>
        <w:gridCol w:w="1429"/>
        <w:gridCol w:w="1574"/>
      </w:tblGrid>
      <w:tr w:rsidR="00F44BFC" w:rsidRPr="00F44BFC" w14:paraId="0D468145" w14:textId="77777777" w:rsidTr="00DA7B44">
        <w:trPr>
          <w:trHeight w:val="715"/>
          <w:tblHeader/>
          <w:jc w:val="center"/>
        </w:trPr>
        <w:tc>
          <w:tcPr>
            <w:tcW w:w="2334" w:type="pct"/>
            <w:shd w:val="clear" w:color="auto" w:fill="auto"/>
            <w:vAlign w:val="center"/>
            <w:hideMark/>
          </w:tcPr>
          <w:p w14:paraId="3F7F39B0" w14:textId="77777777" w:rsidR="00F44BFC" w:rsidRPr="00F44BFC" w:rsidRDefault="00F44BFC" w:rsidP="00F44BFC">
            <w:pPr>
              <w:jc w:val="center"/>
              <w:rPr>
                <w:rFonts w:ascii="Arial Narrow" w:hAnsi="Arial Narrow"/>
                <w:b/>
                <w:bCs/>
                <w:iCs/>
                <w:sz w:val="20"/>
                <w:szCs w:val="20"/>
                <w:lang w:val="bg-BG" w:eastAsia="bg-BG"/>
              </w:rPr>
            </w:pPr>
            <w:r w:rsidRPr="00F44BFC">
              <w:rPr>
                <w:rFonts w:ascii="Arial Narrow" w:hAnsi="Arial Narrow"/>
                <w:b/>
                <w:bCs/>
                <w:iCs/>
                <w:sz w:val="20"/>
                <w:szCs w:val="20"/>
                <w:lang w:val="bg-BG" w:eastAsia="bg-BG"/>
              </w:rPr>
              <w:t>Мярка</w:t>
            </w:r>
          </w:p>
        </w:tc>
        <w:tc>
          <w:tcPr>
            <w:tcW w:w="432" w:type="pct"/>
            <w:shd w:val="clear" w:color="auto" w:fill="auto"/>
            <w:vAlign w:val="center"/>
            <w:hideMark/>
          </w:tcPr>
          <w:p w14:paraId="0ED4F54C" w14:textId="77777777" w:rsidR="00F44BFC" w:rsidRPr="00F44BFC" w:rsidRDefault="00F44BFC" w:rsidP="00F44BFC">
            <w:pPr>
              <w:jc w:val="center"/>
              <w:rPr>
                <w:rFonts w:ascii="Arial Narrow" w:hAnsi="Arial Narrow"/>
                <w:b/>
                <w:bCs/>
                <w:iCs/>
                <w:sz w:val="20"/>
                <w:szCs w:val="20"/>
                <w:lang w:val="bg-BG" w:eastAsia="bg-BG"/>
              </w:rPr>
            </w:pPr>
            <w:r w:rsidRPr="00F44BFC">
              <w:rPr>
                <w:rFonts w:ascii="Arial Narrow" w:hAnsi="Arial Narrow"/>
                <w:b/>
                <w:bCs/>
                <w:iCs/>
                <w:sz w:val="20"/>
                <w:szCs w:val="20"/>
                <w:lang w:val="bg-BG" w:eastAsia="bg-BG"/>
              </w:rPr>
              <w:t>Брой проекти</w:t>
            </w:r>
          </w:p>
        </w:tc>
        <w:tc>
          <w:tcPr>
            <w:tcW w:w="691" w:type="pct"/>
            <w:shd w:val="clear" w:color="auto" w:fill="auto"/>
            <w:vAlign w:val="center"/>
            <w:hideMark/>
          </w:tcPr>
          <w:p w14:paraId="1AD32EB7" w14:textId="77777777" w:rsidR="00F44BFC" w:rsidRPr="00F44BFC" w:rsidRDefault="00F44BFC" w:rsidP="00F44BFC">
            <w:pPr>
              <w:jc w:val="center"/>
              <w:rPr>
                <w:rFonts w:ascii="Arial Narrow" w:hAnsi="Arial Narrow"/>
                <w:b/>
                <w:bCs/>
                <w:iCs/>
                <w:sz w:val="20"/>
                <w:szCs w:val="20"/>
                <w:lang w:val="bg-BG" w:eastAsia="bg-BG"/>
              </w:rPr>
            </w:pPr>
            <w:r w:rsidRPr="00F44BFC">
              <w:rPr>
                <w:rFonts w:ascii="Arial Narrow" w:hAnsi="Arial Narrow"/>
                <w:b/>
                <w:bCs/>
                <w:iCs/>
                <w:sz w:val="20"/>
                <w:szCs w:val="20"/>
                <w:lang w:val="bg-BG" w:eastAsia="bg-BG"/>
              </w:rPr>
              <w:t>Платена сума</w:t>
            </w:r>
          </w:p>
        </w:tc>
        <w:tc>
          <w:tcPr>
            <w:tcW w:w="734" w:type="pct"/>
            <w:shd w:val="clear" w:color="auto" w:fill="auto"/>
            <w:vAlign w:val="center"/>
            <w:hideMark/>
          </w:tcPr>
          <w:p w14:paraId="32B3EE9C" w14:textId="77777777" w:rsidR="00F44BFC" w:rsidRPr="00F44BFC" w:rsidRDefault="00F44BFC" w:rsidP="00F44BFC">
            <w:pPr>
              <w:jc w:val="center"/>
              <w:rPr>
                <w:rFonts w:ascii="Arial Narrow" w:hAnsi="Arial Narrow"/>
                <w:b/>
                <w:bCs/>
                <w:iCs/>
                <w:sz w:val="20"/>
                <w:szCs w:val="20"/>
                <w:lang w:val="bg-BG" w:eastAsia="bg-BG"/>
              </w:rPr>
            </w:pPr>
            <w:r w:rsidRPr="00F44BFC">
              <w:rPr>
                <w:rFonts w:ascii="Arial Narrow" w:hAnsi="Arial Narrow"/>
                <w:b/>
                <w:bCs/>
                <w:iCs/>
                <w:sz w:val="20"/>
                <w:szCs w:val="20"/>
                <w:lang w:val="bg-BG" w:eastAsia="bg-BG"/>
              </w:rPr>
              <w:t>Национално финансиране</w:t>
            </w:r>
          </w:p>
        </w:tc>
        <w:tc>
          <w:tcPr>
            <w:tcW w:w="809" w:type="pct"/>
            <w:shd w:val="clear" w:color="auto" w:fill="auto"/>
            <w:vAlign w:val="center"/>
            <w:hideMark/>
          </w:tcPr>
          <w:p w14:paraId="3BD59F21" w14:textId="77777777" w:rsidR="00F44BFC" w:rsidRPr="00F44BFC" w:rsidRDefault="00F44BFC" w:rsidP="00F44BFC">
            <w:pPr>
              <w:jc w:val="center"/>
              <w:rPr>
                <w:rFonts w:ascii="Arial Narrow" w:hAnsi="Arial Narrow"/>
                <w:b/>
                <w:bCs/>
                <w:iCs/>
                <w:sz w:val="20"/>
                <w:szCs w:val="20"/>
                <w:lang w:val="bg-BG" w:eastAsia="bg-BG"/>
              </w:rPr>
            </w:pPr>
            <w:r w:rsidRPr="00F44BFC">
              <w:rPr>
                <w:rFonts w:ascii="Arial Narrow" w:hAnsi="Arial Narrow"/>
                <w:b/>
                <w:bCs/>
                <w:iCs/>
                <w:sz w:val="20"/>
                <w:szCs w:val="20"/>
                <w:lang w:val="bg-BG" w:eastAsia="bg-BG"/>
              </w:rPr>
              <w:t>Европейско финансиране</w:t>
            </w:r>
          </w:p>
        </w:tc>
      </w:tr>
      <w:tr w:rsidR="00F44BFC" w:rsidRPr="00F44BFC" w14:paraId="6A3B5EFD" w14:textId="77777777" w:rsidTr="00DA7B44">
        <w:trPr>
          <w:trHeight w:val="808"/>
          <w:jc w:val="center"/>
        </w:trPr>
        <w:tc>
          <w:tcPr>
            <w:tcW w:w="2334" w:type="pct"/>
            <w:tcBorders>
              <w:top w:val="single" w:sz="4" w:space="0" w:color="auto"/>
              <w:left w:val="single" w:sz="4" w:space="0" w:color="auto"/>
              <w:bottom w:val="single" w:sz="4" w:space="0" w:color="auto"/>
              <w:right w:val="single" w:sz="4" w:space="0" w:color="auto"/>
            </w:tcBorders>
            <w:shd w:val="clear" w:color="auto" w:fill="auto"/>
            <w:vAlign w:val="center"/>
          </w:tcPr>
          <w:p w14:paraId="64D9E418" w14:textId="77777777" w:rsidR="00F44BFC" w:rsidRPr="00F44BFC" w:rsidRDefault="00F44BFC" w:rsidP="00F44BFC">
            <w:pPr>
              <w:rPr>
                <w:rFonts w:ascii="Arial Narrow" w:hAnsi="Arial Narrow"/>
                <w:sz w:val="20"/>
                <w:szCs w:val="20"/>
                <w:lang w:val="bg-BG" w:eastAsia="bg-BG"/>
              </w:rPr>
            </w:pPr>
            <w:r w:rsidRPr="00F44BFC">
              <w:rPr>
                <w:rFonts w:ascii="Arial Narrow" w:hAnsi="Arial Narrow"/>
                <w:sz w:val="20"/>
                <w:szCs w:val="20"/>
                <w:lang w:val="bg-BG" w:eastAsia="bg-BG"/>
              </w:rPr>
              <w:t>1.8. Инвестиции за подобрение на инфраструктурата в рибарските пристанища, инвестиции за подобрение на кейови места за разтоварване.Изграждане или модернизацията на лодкостоянки</w:t>
            </w:r>
          </w:p>
        </w:tc>
        <w:tc>
          <w:tcPr>
            <w:tcW w:w="432" w:type="pct"/>
            <w:tcBorders>
              <w:top w:val="nil"/>
              <w:left w:val="nil"/>
              <w:bottom w:val="single" w:sz="4" w:space="0" w:color="auto"/>
              <w:right w:val="single" w:sz="4" w:space="0" w:color="auto"/>
            </w:tcBorders>
            <w:shd w:val="clear" w:color="auto" w:fill="auto"/>
            <w:vAlign w:val="center"/>
          </w:tcPr>
          <w:p w14:paraId="1610571F" w14:textId="77777777" w:rsidR="00F44BFC" w:rsidRPr="00F44BFC" w:rsidRDefault="00F44BFC" w:rsidP="00F44BFC">
            <w:pPr>
              <w:jc w:val="center"/>
              <w:rPr>
                <w:rFonts w:ascii="Arial Narrow" w:hAnsi="Arial Narrow"/>
                <w:sz w:val="20"/>
                <w:szCs w:val="20"/>
                <w:lang w:val="bg-BG" w:eastAsia="bg-BG"/>
              </w:rPr>
            </w:pPr>
            <w:r w:rsidRPr="00F44BFC">
              <w:rPr>
                <w:rFonts w:ascii="Arial Narrow" w:hAnsi="Arial Narrow"/>
                <w:sz w:val="20"/>
                <w:szCs w:val="20"/>
                <w:lang w:val="bg-BG" w:eastAsia="bg-BG"/>
              </w:rPr>
              <w:t>8</w:t>
            </w:r>
          </w:p>
        </w:tc>
        <w:tc>
          <w:tcPr>
            <w:tcW w:w="691" w:type="pct"/>
            <w:tcBorders>
              <w:top w:val="nil"/>
              <w:left w:val="nil"/>
              <w:bottom w:val="single" w:sz="4" w:space="0" w:color="auto"/>
              <w:right w:val="single" w:sz="4" w:space="0" w:color="auto"/>
            </w:tcBorders>
            <w:shd w:val="clear" w:color="auto" w:fill="auto"/>
            <w:vAlign w:val="center"/>
          </w:tcPr>
          <w:p w14:paraId="0BEAF10B" w14:textId="77777777" w:rsidR="00F44BFC" w:rsidRPr="00F44BFC" w:rsidRDefault="00F44BFC" w:rsidP="00F44BFC">
            <w:pPr>
              <w:jc w:val="right"/>
              <w:rPr>
                <w:rFonts w:ascii="Arial Narrow" w:hAnsi="Arial Narrow"/>
                <w:sz w:val="20"/>
                <w:szCs w:val="20"/>
                <w:lang w:val="bg-BG" w:eastAsia="bg-BG"/>
              </w:rPr>
            </w:pPr>
            <w:r w:rsidRPr="00F44BFC">
              <w:rPr>
                <w:rFonts w:ascii="Arial Narrow" w:hAnsi="Arial Narrow"/>
                <w:sz w:val="20"/>
                <w:szCs w:val="20"/>
                <w:lang w:val="bg-BG" w:eastAsia="bg-BG"/>
              </w:rPr>
              <w:t xml:space="preserve">3 708 266,58 </w:t>
            </w:r>
          </w:p>
        </w:tc>
        <w:tc>
          <w:tcPr>
            <w:tcW w:w="734" w:type="pct"/>
            <w:tcBorders>
              <w:top w:val="nil"/>
              <w:left w:val="nil"/>
              <w:bottom w:val="single" w:sz="4" w:space="0" w:color="auto"/>
              <w:right w:val="single" w:sz="4" w:space="0" w:color="auto"/>
            </w:tcBorders>
            <w:shd w:val="clear" w:color="auto" w:fill="auto"/>
            <w:vAlign w:val="center"/>
          </w:tcPr>
          <w:p w14:paraId="4F2DEFFD" w14:textId="77777777" w:rsidR="00F44BFC" w:rsidRPr="00F44BFC" w:rsidRDefault="00F44BFC" w:rsidP="00F44BFC">
            <w:pPr>
              <w:jc w:val="right"/>
              <w:rPr>
                <w:rFonts w:ascii="Arial Narrow" w:hAnsi="Arial Narrow"/>
                <w:sz w:val="20"/>
                <w:szCs w:val="20"/>
                <w:lang w:val="bg-BG" w:eastAsia="bg-BG"/>
              </w:rPr>
            </w:pPr>
            <w:r w:rsidRPr="00F44BFC">
              <w:rPr>
                <w:rFonts w:ascii="Arial Narrow" w:hAnsi="Arial Narrow"/>
                <w:sz w:val="20"/>
                <w:szCs w:val="20"/>
                <w:lang w:val="bg-BG" w:eastAsia="bg-BG"/>
              </w:rPr>
              <w:t>991 590,48</w:t>
            </w:r>
          </w:p>
        </w:tc>
        <w:tc>
          <w:tcPr>
            <w:tcW w:w="809" w:type="pct"/>
            <w:tcBorders>
              <w:top w:val="nil"/>
              <w:left w:val="nil"/>
              <w:bottom w:val="single" w:sz="4" w:space="0" w:color="auto"/>
              <w:right w:val="single" w:sz="4" w:space="0" w:color="auto"/>
            </w:tcBorders>
            <w:shd w:val="clear" w:color="auto" w:fill="auto"/>
            <w:vAlign w:val="center"/>
          </w:tcPr>
          <w:p w14:paraId="305C9135" w14:textId="77777777" w:rsidR="00F44BFC" w:rsidRPr="00F44BFC" w:rsidRDefault="00F44BFC" w:rsidP="00F44BFC">
            <w:pPr>
              <w:jc w:val="right"/>
              <w:rPr>
                <w:rFonts w:ascii="Arial Narrow" w:hAnsi="Arial Narrow"/>
                <w:sz w:val="20"/>
                <w:szCs w:val="20"/>
                <w:lang w:val="bg-BG" w:eastAsia="bg-BG"/>
              </w:rPr>
            </w:pPr>
            <w:r w:rsidRPr="00F44BFC">
              <w:rPr>
                <w:rFonts w:ascii="Arial Narrow" w:hAnsi="Arial Narrow"/>
                <w:sz w:val="20"/>
                <w:szCs w:val="20"/>
                <w:lang w:val="bg-BG" w:eastAsia="bg-BG"/>
              </w:rPr>
              <w:t>2 716 676,10</w:t>
            </w:r>
          </w:p>
        </w:tc>
      </w:tr>
      <w:tr w:rsidR="00F44BFC" w:rsidRPr="00F44BFC" w14:paraId="0FF6CB48" w14:textId="77777777" w:rsidTr="00DA7B44">
        <w:trPr>
          <w:trHeight w:val="777"/>
          <w:jc w:val="center"/>
        </w:trPr>
        <w:tc>
          <w:tcPr>
            <w:tcW w:w="2334" w:type="pct"/>
            <w:tcBorders>
              <w:top w:val="single" w:sz="4" w:space="0" w:color="auto"/>
              <w:left w:val="single" w:sz="4" w:space="0" w:color="auto"/>
              <w:bottom w:val="single" w:sz="4" w:space="0" w:color="auto"/>
              <w:right w:val="single" w:sz="4" w:space="0" w:color="auto"/>
            </w:tcBorders>
            <w:shd w:val="clear" w:color="auto" w:fill="auto"/>
            <w:vAlign w:val="center"/>
          </w:tcPr>
          <w:p w14:paraId="02B80DB8" w14:textId="77777777" w:rsidR="00F44BFC" w:rsidRPr="00F44BFC" w:rsidRDefault="00F44BFC" w:rsidP="00F44BFC">
            <w:pPr>
              <w:rPr>
                <w:rFonts w:ascii="Arial Narrow" w:hAnsi="Arial Narrow"/>
                <w:sz w:val="20"/>
                <w:szCs w:val="20"/>
                <w:lang w:val="bg-BG" w:eastAsia="bg-BG"/>
              </w:rPr>
            </w:pPr>
            <w:r w:rsidRPr="00F44BFC">
              <w:rPr>
                <w:rFonts w:ascii="Arial Narrow" w:hAnsi="Arial Narrow"/>
                <w:sz w:val="20"/>
                <w:szCs w:val="20"/>
                <w:lang w:val="bg-BG" w:eastAsia="bg-BG"/>
              </w:rPr>
              <w:t>1.9. Временно преустановяване на риболовната дейност (Украйна)</w:t>
            </w:r>
          </w:p>
        </w:tc>
        <w:tc>
          <w:tcPr>
            <w:tcW w:w="432" w:type="pct"/>
            <w:tcBorders>
              <w:top w:val="nil"/>
              <w:left w:val="nil"/>
              <w:bottom w:val="single" w:sz="4" w:space="0" w:color="auto"/>
              <w:right w:val="single" w:sz="4" w:space="0" w:color="auto"/>
            </w:tcBorders>
            <w:shd w:val="clear" w:color="auto" w:fill="auto"/>
            <w:vAlign w:val="center"/>
          </w:tcPr>
          <w:p w14:paraId="69F2FE58" w14:textId="77777777" w:rsidR="00F44BFC" w:rsidRPr="00F44BFC" w:rsidRDefault="00F44BFC" w:rsidP="00F44BFC">
            <w:pPr>
              <w:jc w:val="center"/>
              <w:rPr>
                <w:rFonts w:ascii="Arial Narrow" w:hAnsi="Arial Narrow"/>
                <w:sz w:val="20"/>
                <w:szCs w:val="20"/>
                <w:lang w:val="bg-BG" w:eastAsia="bg-BG"/>
              </w:rPr>
            </w:pPr>
            <w:r w:rsidRPr="00F44BFC">
              <w:rPr>
                <w:rFonts w:ascii="Arial Narrow" w:hAnsi="Arial Narrow"/>
                <w:sz w:val="20"/>
                <w:szCs w:val="20"/>
                <w:lang w:val="bg-BG" w:eastAsia="bg-BG"/>
              </w:rPr>
              <w:t>44</w:t>
            </w:r>
          </w:p>
        </w:tc>
        <w:tc>
          <w:tcPr>
            <w:tcW w:w="691" w:type="pct"/>
            <w:tcBorders>
              <w:top w:val="nil"/>
              <w:left w:val="nil"/>
              <w:bottom w:val="single" w:sz="4" w:space="0" w:color="auto"/>
              <w:right w:val="single" w:sz="4" w:space="0" w:color="auto"/>
            </w:tcBorders>
            <w:shd w:val="clear" w:color="auto" w:fill="auto"/>
            <w:vAlign w:val="center"/>
          </w:tcPr>
          <w:p w14:paraId="2A146025" w14:textId="77777777" w:rsidR="00F44BFC" w:rsidRPr="00F44BFC" w:rsidRDefault="00F44BFC" w:rsidP="00F44BFC">
            <w:pPr>
              <w:jc w:val="right"/>
              <w:rPr>
                <w:rFonts w:ascii="Arial Narrow" w:hAnsi="Arial Narrow"/>
                <w:sz w:val="20"/>
                <w:szCs w:val="20"/>
                <w:lang w:val="bg-BG" w:eastAsia="bg-BG"/>
              </w:rPr>
            </w:pPr>
            <w:r w:rsidRPr="00F44BFC">
              <w:rPr>
                <w:rFonts w:ascii="Arial Narrow" w:hAnsi="Arial Narrow"/>
                <w:sz w:val="20"/>
                <w:szCs w:val="20"/>
                <w:lang w:val="bg-BG" w:eastAsia="bg-BG"/>
              </w:rPr>
              <w:t>698 882,22</w:t>
            </w:r>
          </w:p>
        </w:tc>
        <w:tc>
          <w:tcPr>
            <w:tcW w:w="734" w:type="pct"/>
            <w:tcBorders>
              <w:top w:val="nil"/>
              <w:left w:val="nil"/>
              <w:bottom w:val="single" w:sz="4" w:space="0" w:color="auto"/>
              <w:right w:val="single" w:sz="4" w:space="0" w:color="auto"/>
            </w:tcBorders>
            <w:shd w:val="clear" w:color="auto" w:fill="auto"/>
            <w:vAlign w:val="center"/>
          </w:tcPr>
          <w:p w14:paraId="6AB944AE" w14:textId="77777777" w:rsidR="00F44BFC" w:rsidRPr="00F44BFC" w:rsidRDefault="00F44BFC" w:rsidP="00F44BFC">
            <w:pPr>
              <w:jc w:val="right"/>
              <w:rPr>
                <w:rFonts w:ascii="Arial Narrow" w:hAnsi="Arial Narrow"/>
                <w:sz w:val="20"/>
                <w:szCs w:val="20"/>
                <w:lang w:val="bg-BG" w:eastAsia="bg-BG"/>
              </w:rPr>
            </w:pPr>
            <w:r w:rsidRPr="00F44BFC">
              <w:rPr>
                <w:rFonts w:ascii="Arial Narrow" w:hAnsi="Arial Narrow"/>
                <w:sz w:val="20"/>
                <w:szCs w:val="20"/>
                <w:lang w:val="bg-BG" w:eastAsia="bg-BG"/>
              </w:rPr>
              <w:t>186 881,09</w:t>
            </w:r>
          </w:p>
        </w:tc>
        <w:tc>
          <w:tcPr>
            <w:tcW w:w="809" w:type="pct"/>
            <w:tcBorders>
              <w:top w:val="nil"/>
              <w:left w:val="nil"/>
              <w:bottom w:val="single" w:sz="4" w:space="0" w:color="auto"/>
              <w:right w:val="single" w:sz="4" w:space="0" w:color="auto"/>
            </w:tcBorders>
            <w:shd w:val="clear" w:color="auto" w:fill="auto"/>
            <w:vAlign w:val="center"/>
          </w:tcPr>
          <w:p w14:paraId="608CADDC" w14:textId="77777777" w:rsidR="00F44BFC" w:rsidRPr="00F44BFC" w:rsidRDefault="00F44BFC" w:rsidP="00F44BFC">
            <w:pPr>
              <w:jc w:val="right"/>
              <w:rPr>
                <w:rFonts w:ascii="Arial Narrow" w:hAnsi="Arial Narrow"/>
                <w:sz w:val="20"/>
                <w:szCs w:val="20"/>
                <w:lang w:val="bg-BG" w:eastAsia="bg-BG"/>
              </w:rPr>
            </w:pPr>
            <w:r w:rsidRPr="00F44BFC">
              <w:rPr>
                <w:rFonts w:ascii="Arial Narrow" w:hAnsi="Arial Narrow"/>
                <w:sz w:val="20"/>
                <w:szCs w:val="20"/>
                <w:lang w:val="bg-BG" w:eastAsia="bg-BG"/>
              </w:rPr>
              <w:t>512 001,13</w:t>
            </w:r>
          </w:p>
        </w:tc>
      </w:tr>
      <w:tr w:rsidR="00F44BFC" w:rsidRPr="00F44BFC" w14:paraId="6A24E852" w14:textId="77777777" w:rsidTr="00DA7B44">
        <w:trPr>
          <w:trHeight w:val="679"/>
          <w:jc w:val="center"/>
        </w:trPr>
        <w:tc>
          <w:tcPr>
            <w:tcW w:w="2334" w:type="pct"/>
            <w:tcBorders>
              <w:top w:val="single" w:sz="4" w:space="0" w:color="auto"/>
              <w:left w:val="single" w:sz="4" w:space="0" w:color="auto"/>
              <w:bottom w:val="single" w:sz="4" w:space="0" w:color="auto"/>
              <w:right w:val="single" w:sz="4" w:space="0" w:color="auto"/>
            </w:tcBorders>
            <w:shd w:val="clear" w:color="auto" w:fill="auto"/>
            <w:vAlign w:val="center"/>
          </w:tcPr>
          <w:p w14:paraId="09E15463" w14:textId="77777777" w:rsidR="00F44BFC" w:rsidRPr="00F44BFC" w:rsidRDefault="00F44BFC" w:rsidP="00F44BFC">
            <w:pPr>
              <w:rPr>
                <w:rFonts w:ascii="Arial Narrow" w:hAnsi="Arial Narrow"/>
                <w:sz w:val="20"/>
                <w:szCs w:val="20"/>
                <w:lang w:val="bg-BG" w:eastAsia="bg-BG"/>
              </w:rPr>
            </w:pPr>
            <w:r w:rsidRPr="00F44BFC">
              <w:rPr>
                <w:rFonts w:ascii="Arial Narrow" w:hAnsi="Arial Narrow"/>
                <w:sz w:val="20"/>
                <w:szCs w:val="20"/>
                <w:lang w:val="bg-BG" w:eastAsia="bg-BG"/>
              </w:rPr>
              <w:t>2.2. Продуктивни инвестиции в аквакултура</w:t>
            </w:r>
          </w:p>
        </w:tc>
        <w:tc>
          <w:tcPr>
            <w:tcW w:w="432" w:type="pct"/>
            <w:tcBorders>
              <w:top w:val="nil"/>
              <w:left w:val="nil"/>
              <w:bottom w:val="single" w:sz="4" w:space="0" w:color="auto"/>
              <w:right w:val="single" w:sz="4" w:space="0" w:color="auto"/>
            </w:tcBorders>
            <w:shd w:val="clear" w:color="auto" w:fill="auto"/>
            <w:vAlign w:val="center"/>
          </w:tcPr>
          <w:p w14:paraId="246F1B87" w14:textId="77777777" w:rsidR="00F44BFC" w:rsidRPr="00F44BFC" w:rsidRDefault="00F44BFC" w:rsidP="00F44BFC">
            <w:pPr>
              <w:jc w:val="center"/>
              <w:rPr>
                <w:rFonts w:ascii="Arial Narrow" w:hAnsi="Arial Narrow"/>
                <w:sz w:val="20"/>
                <w:szCs w:val="20"/>
                <w:lang w:val="bg-BG" w:eastAsia="bg-BG"/>
              </w:rPr>
            </w:pPr>
            <w:r w:rsidRPr="00F44BFC">
              <w:rPr>
                <w:rFonts w:ascii="Arial Narrow" w:hAnsi="Arial Narrow"/>
                <w:sz w:val="20"/>
                <w:szCs w:val="20"/>
                <w:lang w:val="bg-BG" w:eastAsia="bg-BG"/>
              </w:rPr>
              <w:t>7</w:t>
            </w:r>
          </w:p>
        </w:tc>
        <w:tc>
          <w:tcPr>
            <w:tcW w:w="691" w:type="pct"/>
            <w:tcBorders>
              <w:top w:val="nil"/>
              <w:left w:val="nil"/>
              <w:bottom w:val="single" w:sz="4" w:space="0" w:color="auto"/>
              <w:right w:val="single" w:sz="4" w:space="0" w:color="auto"/>
            </w:tcBorders>
            <w:shd w:val="clear" w:color="auto" w:fill="auto"/>
            <w:vAlign w:val="center"/>
          </w:tcPr>
          <w:p w14:paraId="557FE169" w14:textId="77777777" w:rsidR="00F44BFC" w:rsidRPr="00F44BFC" w:rsidRDefault="00F44BFC" w:rsidP="00F44BFC">
            <w:pPr>
              <w:jc w:val="right"/>
              <w:rPr>
                <w:rFonts w:ascii="Arial Narrow" w:hAnsi="Arial Narrow"/>
                <w:sz w:val="20"/>
                <w:szCs w:val="20"/>
                <w:lang w:val="bg-BG" w:eastAsia="bg-BG"/>
              </w:rPr>
            </w:pPr>
            <w:r w:rsidRPr="00F44BFC">
              <w:rPr>
                <w:rFonts w:ascii="Arial Narrow" w:hAnsi="Arial Narrow"/>
                <w:sz w:val="20"/>
                <w:szCs w:val="20"/>
                <w:lang w:val="bg-BG" w:eastAsia="bg-BG"/>
              </w:rPr>
              <w:t xml:space="preserve">1 740 306,24 </w:t>
            </w:r>
          </w:p>
        </w:tc>
        <w:tc>
          <w:tcPr>
            <w:tcW w:w="734" w:type="pct"/>
            <w:tcBorders>
              <w:top w:val="nil"/>
              <w:left w:val="nil"/>
              <w:bottom w:val="single" w:sz="4" w:space="0" w:color="auto"/>
              <w:right w:val="single" w:sz="4" w:space="0" w:color="auto"/>
            </w:tcBorders>
            <w:shd w:val="clear" w:color="auto" w:fill="auto"/>
            <w:vAlign w:val="center"/>
          </w:tcPr>
          <w:p w14:paraId="25F74B0B" w14:textId="77777777" w:rsidR="00F44BFC" w:rsidRPr="00F44BFC" w:rsidRDefault="00F44BFC" w:rsidP="00F44BFC">
            <w:pPr>
              <w:jc w:val="right"/>
              <w:rPr>
                <w:rFonts w:ascii="Arial Narrow" w:hAnsi="Arial Narrow"/>
                <w:sz w:val="20"/>
                <w:szCs w:val="20"/>
                <w:lang w:val="bg-BG" w:eastAsia="bg-BG"/>
              </w:rPr>
            </w:pPr>
            <w:r w:rsidRPr="00F44BFC">
              <w:rPr>
                <w:rFonts w:ascii="Arial Narrow" w:hAnsi="Arial Narrow"/>
                <w:sz w:val="20"/>
                <w:szCs w:val="20"/>
                <w:lang w:val="bg-BG" w:eastAsia="bg-BG"/>
              </w:rPr>
              <w:t xml:space="preserve">435 076,57 </w:t>
            </w:r>
          </w:p>
        </w:tc>
        <w:tc>
          <w:tcPr>
            <w:tcW w:w="809" w:type="pct"/>
            <w:tcBorders>
              <w:top w:val="nil"/>
              <w:left w:val="nil"/>
              <w:bottom w:val="single" w:sz="4" w:space="0" w:color="auto"/>
              <w:right w:val="single" w:sz="4" w:space="0" w:color="auto"/>
            </w:tcBorders>
            <w:shd w:val="clear" w:color="auto" w:fill="auto"/>
            <w:vAlign w:val="center"/>
          </w:tcPr>
          <w:p w14:paraId="1B06ACEE" w14:textId="77777777" w:rsidR="00F44BFC" w:rsidRPr="00F44BFC" w:rsidRDefault="00F44BFC" w:rsidP="00F44BFC">
            <w:pPr>
              <w:jc w:val="right"/>
              <w:rPr>
                <w:rFonts w:ascii="Arial Narrow" w:hAnsi="Arial Narrow"/>
                <w:sz w:val="20"/>
                <w:szCs w:val="20"/>
                <w:lang w:val="bg-BG" w:eastAsia="bg-BG"/>
              </w:rPr>
            </w:pPr>
            <w:r w:rsidRPr="00F44BFC">
              <w:rPr>
                <w:rFonts w:ascii="Arial Narrow" w:hAnsi="Arial Narrow"/>
                <w:sz w:val="20"/>
                <w:szCs w:val="20"/>
                <w:lang w:val="bg-BG" w:eastAsia="bg-BG"/>
              </w:rPr>
              <w:t>1 305 229,67</w:t>
            </w:r>
          </w:p>
        </w:tc>
      </w:tr>
      <w:tr w:rsidR="00F44BFC" w:rsidRPr="00F44BFC" w14:paraId="43BF6E57" w14:textId="77777777" w:rsidTr="00DA7B44">
        <w:trPr>
          <w:trHeight w:val="571"/>
          <w:jc w:val="center"/>
        </w:trPr>
        <w:tc>
          <w:tcPr>
            <w:tcW w:w="2334" w:type="pct"/>
            <w:tcBorders>
              <w:top w:val="single" w:sz="4" w:space="0" w:color="auto"/>
              <w:left w:val="single" w:sz="4" w:space="0" w:color="auto"/>
              <w:bottom w:val="single" w:sz="4" w:space="0" w:color="auto"/>
              <w:right w:val="single" w:sz="4" w:space="0" w:color="auto"/>
            </w:tcBorders>
            <w:shd w:val="clear" w:color="auto" w:fill="auto"/>
            <w:vAlign w:val="center"/>
          </w:tcPr>
          <w:p w14:paraId="24F18508" w14:textId="77777777" w:rsidR="00F44BFC" w:rsidRPr="00F44BFC" w:rsidRDefault="00F44BFC" w:rsidP="00F44BFC">
            <w:pPr>
              <w:rPr>
                <w:rFonts w:ascii="Arial Narrow" w:hAnsi="Arial Narrow"/>
                <w:sz w:val="20"/>
                <w:szCs w:val="20"/>
                <w:lang w:val="bg-BG" w:eastAsia="bg-BG"/>
              </w:rPr>
            </w:pPr>
            <w:r w:rsidRPr="00F44BFC">
              <w:rPr>
                <w:rFonts w:ascii="Arial Narrow" w:hAnsi="Arial Narrow"/>
                <w:sz w:val="20"/>
                <w:szCs w:val="20"/>
                <w:lang w:val="bg-BG" w:eastAsia="bg-BG"/>
              </w:rPr>
              <w:t>2.3. Насърчаване на нови производители на аквакултури, развиващи устойчиви аквакултури</w:t>
            </w:r>
          </w:p>
        </w:tc>
        <w:tc>
          <w:tcPr>
            <w:tcW w:w="432" w:type="pct"/>
            <w:tcBorders>
              <w:top w:val="nil"/>
              <w:left w:val="nil"/>
              <w:bottom w:val="single" w:sz="4" w:space="0" w:color="auto"/>
              <w:right w:val="single" w:sz="4" w:space="0" w:color="auto"/>
            </w:tcBorders>
            <w:shd w:val="clear" w:color="auto" w:fill="auto"/>
            <w:vAlign w:val="center"/>
          </w:tcPr>
          <w:p w14:paraId="60894551" w14:textId="77777777" w:rsidR="00F44BFC" w:rsidRPr="00F44BFC" w:rsidRDefault="00F44BFC" w:rsidP="00F44BFC">
            <w:pPr>
              <w:jc w:val="center"/>
              <w:rPr>
                <w:rFonts w:ascii="Arial Narrow" w:hAnsi="Arial Narrow"/>
                <w:sz w:val="20"/>
                <w:szCs w:val="20"/>
                <w:lang w:val="bg-BG" w:eastAsia="bg-BG"/>
              </w:rPr>
            </w:pPr>
            <w:r w:rsidRPr="00F44BFC">
              <w:rPr>
                <w:rFonts w:ascii="Arial Narrow" w:hAnsi="Arial Narrow"/>
                <w:sz w:val="20"/>
                <w:szCs w:val="20"/>
                <w:lang w:val="bg-BG" w:eastAsia="bg-BG"/>
              </w:rPr>
              <w:t>1</w:t>
            </w:r>
          </w:p>
        </w:tc>
        <w:tc>
          <w:tcPr>
            <w:tcW w:w="691" w:type="pct"/>
            <w:tcBorders>
              <w:top w:val="nil"/>
              <w:left w:val="nil"/>
              <w:bottom w:val="single" w:sz="4" w:space="0" w:color="auto"/>
              <w:right w:val="single" w:sz="4" w:space="0" w:color="auto"/>
            </w:tcBorders>
            <w:shd w:val="clear" w:color="auto" w:fill="auto"/>
            <w:vAlign w:val="center"/>
          </w:tcPr>
          <w:p w14:paraId="0D352439" w14:textId="77777777" w:rsidR="00F44BFC" w:rsidRPr="00F44BFC" w:rsidRDefault="00F44BFC" w:rsidP="00F44BFC">
            <w:pPr>
              <w:jc w:val="right"/>
              <w:rPr>
                <w:rFonts w:ascii="Arial Narrow" w:hAnsi="Arial Narrow"/>
                <w:sz w:val="20"/>
                <w:szCs w:val="20"/>
                <w:lang w:val="bg-BG" w:eastAsia="bg-BG"/>
              </w:rPr>
            </w:pPr>
            <w:r w:rsidRPr="00F44BFC">
              <w:rPr>
                <w:rFonts w:ascii="Arial Narrow" w:hAnsi="Arial Narrow"/>
                <w:sz w:val="20"/>
                <w:szCs w:val="20"/>
                <w:lang w:val="bg-BG" w:eastAsia="bg-BG"/>
              </w:rPr>
              <w:t xml:space="preserve">108 079,77 </w:t>
            </w:r>
          </w:p>
        </w:tc>
        <w:tc>
          <w:tcPr>
            <w:tcW w:w="734" w:type="pct"/>
            <w:tcBorders>
              <w:top w:val="nil"/>
              <w:left w:val="nil"/>
              <w:bottom w:val="single" w:sz="4" w:space="0" w:color="auto"/>
              <w:right w:val="single" w:sz="4" w:space="0" w:color="auto"/>
            </w:tcBorders>
            <w:shd w:val="clear" w:color="auto" w:fill="auto"/>
            <w:vAlign w:val="center"/>
          </w:tcPr>
          <w:p w14:paraId="4ABB527B" w14:textId="77777777" w:rsidR="00F44BFC" w:rsidRPr="00F44BFC" w:rsidRDefault="00F44BFC" w:rsidP="00F44BFC">
            <w:pPr>
              <w:jc w:val="right"/>
              <w:rPr>
                <w:rFonts w:ascii="Arial Narrow" w:hAnsi="Arial Narrow"/>
                <w:sz w:val="20"/>
                <w:szCs w:val="20"/>
                <w:lang w:val="bg-BG" w:eastAsia="bg-BG"/>
              </w:rPr>
            </w:pPr>
            <w:r w:rsidRPr="00F44BFC">
              <w:rPr>
                <w:rFonts w:ascii="Arial Narrow" w:hAnsi="Arial Narrow"/>
                <w:sz w:val="20"/>
                <w:szCs w:val="20"/>
                <w:lang w:val="bg-BG" w:eastAsia="bg-BG"/>
              </w:rPr>
              <w:t>27 019,94</w:t>
            </w:r>
          </w:p>
        </w:tc>
        <w:tc>
          <w:tcPr>
            <w:tcW w:w="809" w:type="pct"/>
            <w:tcBorders>
              <w:top w:val="nil"/>
              <w:left w:val="nil"/>
              <w:bottom w:val="single" w:sz="4" w:space="0" w:color="auto"/>
              <w:right w:val="single" w:sz="4" w:space="0" w:color="auto"/>
            </w:tcBorders>
            <w:shd w:val="clear" w:color="auto" w:fill="auto"/>
            <w:vAlign w:val="center"/>
          </w:tcPr>
          <w:p w14:paraId="0F58263B" w14:textId="77777777" w:rsidR="00F44BFC" w:rsidRPr="00F44BFC" w:rsidRDefault="00F44BFC" w:rsidP="00F44BFC">
            <w:pPr>
              <w:jc w:val="right"/>
              <w:rPr>
                <w:rFonts w:ascii="Arial Narrow" w:hAnsi="Arial Narrow"/>
                <w:sz w:val="20"/>
                <w:szCs w:val="20"/>
                <w:lang w:val="bg-BG" w:eastAsia="bg-BG"/>
              </w:rPr>
            </w:pPr>
            <w:r w:rsidRPr="00F44BFC">
              <w:rPr>
                <w:rFonts w:ascii="Arial Narrow" w:hAnsi="Arial Narrow"/>
                <w:sz w:val="20"/>
                <w:szCs w:val="20"/>
                <w:lang w:val="bg-BG" w:eastAsia="bg-BG"/>
              </w:rPr>
              <w:t>81 059,83</w:t>
            </w:r>
          </w:p>
        </w:tc>
      </w:tr>
      <w:tr w:rsidR="00F44BFC" w:rsidRPr="00F44BFC" w14:paraId="1FFBB32D" w14:textId="77777777" w:rsidTr="00DA7B44">
        <w:trPr>
          <w:trHeight w:val="397"/>
          <w:jc w:val="center"/>
        </w:trPr>
        <w:tc>
          <w:tcPr>
            <w:tcW w:w="2334" w:type="pct"/>
            <w:tcBorders>
              <w:top w:val="single" w:sz="4" w:space="0" w:color="auto"/>
              <w:left w:val="single" w:sz="4" w:space="0" w:color="auto"/>
              <w:bottom w:val="single" w:sz="4" w:space="0" w:color="auto"/>
              <w:right w:val="single" w:sz="4" w:space="0" w:color="auto"/>
            </w:tcBorders>
            <w:shd w:val="clear" w:color="auto" w:fill="auto"/>
            <w:vAlign w:val="center"/>
          </w:tcPr>
          <w:p w14:paraId="21F8CF55" w14:textId="77777777" w:rsidR="00F44BFC" w:rsidRPr="00F44BFC" w:rsidRDefault="00F44BFC" w:rsidP="00F44BFC">
            <w:pPr>
              <w:rPr>
                <w:rFonts w:ascii="Arial Narrow" w:hAnsi="Arial Narrow"/>
                <w:sz w:val="20"/>
                <w:szCs w:val="20"/>
                <w:lang w:val="bg-BG" w:eastAsia="bg-BG"/>
              </w:rPr>
            </w:pPr>
            <w:r w:rsidRPr="00F44BFC">
              <w:rPr>
                <w:rFonts w:ascii="Arial Narrow" w:hAnsi="Arial Narrow"/>
                <w:sz w:val="20"/>
                <w:szCs w:val="20"/>
                <w:lang w:val="bg-BG" w:eastAsia="bg-BG"/>
              </w:rPr>
              <w:t>2.5. Аквакултури, осигуряващи екологични услуги</w:t>
            </w:r>
          </w:p>
        </w:tc>
        <w:tc>
          <w:tcPr>
            <w:tcW w:w="432" w:type="pct"/>
            <w:tcBorders>
              <w:top w:val="nil"/>
              <w:left w:val="nil"/>
              <w:bottom w:val="single" w:sz="4" w:space="0" w:color="auto"/>
              <w:right w:val="single" w:sz="4" w:space="0" w:color="auto"/>
            </w:tcBorders>
            <w:shd w:val="clear" w:color="auto" w:fill="auto"/>
            <w:vAlign w:val="center"/>
          </w:tcPr>
          <w:p w14:paraId="6136AD8B" w14:textId="77777777" w:rsidR="00F44BFC" w:rsidRPr="00F44BFC" w:rsidRDefault="00F44BFC" w:rsidP="00F44BFC">
            <w:pPr>
              <w:jc w:val="center"/>
              <w:rPr>
                <w:rFonts w:ascii="Arial Narrow" w:hAnsi="Arial Narrow"/>
                <w:sz w:val="20"/>
                <w:szCs w:val="20"/>
                <w:lang w:val="bg-BG" w:eastAsia="bg-BG"/>
              </w:rPr>
            </w:pPr>
            <w:r w:rsidRPr="00F44BFC">
              <w:rPr>
                <w:rFonts w:ascii="Arial Narrow" w:hAnsi="Arial Narrow"/>
                <w:sz w:val="20"/>
                <w:szCs w:val="20"/>
                <w:lang w:val="bg-BG" w:eastAsia="bg-BG"/>
              </w:rPr>
              <w:t>4</w:t>
            </w:r>
          </w:p>
        </w:tc>
        <w:tc>
          <w:tcPr>
            <w:tcW w:w="691" w:type="pct"/>
            <w:tcBorders>
              <w:top w:val="nil"/>
              <w:left w:val="nil"/>
              <w:bottom w:val="single" w:sz="4" w:space="0" w:color="auto"/>
              <w:right w:val="single" w:sz="4" w:space="0" w:color="auto"/>
            </w:tcBorders>
            <w:shd w:val="clear" w:color="auto" w:fill="auto"/>
            <w:vAlign w:val="center"/>
          </w:tcPr>
          <w:p w14:paraId="09AC9A25" w14:textId="77777777" w:rsidR="00F44BFC" w:rsidRPr="00F44BFC" w:rsidRDefault="00F44BFC" w:rsidP="00F44BFC">
            <w:pPr>
              <w:jc w:val="right"/>
              <w:rPr>
                <w:rFonts w:ascii="Arial Narrow" w:hAnsi="Arial Narrow"/>
                <w:sz w:val="20"/>
                <w:szCs w:val="20"/>
                <w:lang w:val="bg-BG" w:eastAsia="bg-BG"/>
              </w:rPr>
            </w:pPr>
            <w:r w:rsidRPr="00F44BFC">
              <w:rPr>
                <w:rFonts w:ascii="Arial Narrow" w:hAnsi="Arial Narrow"/>
                <w:sz w:val="20"/>
                <w:szCs w:val="20"/>
                <w:lang w:val="bg-BG" w:eastAsia="bg-BG"/>
              </w:rPr>
              <w:t xml:space="preserve">362 250,08 </w:t>
            </w:r>
          </w:p>
        </w:tc>
        <w:tc>
          <w:tcPr>
            <w:tcW w:w="734" w:type="pct"/>
            <w:tcBorders>
              <w:top w:val="nil"/>
              <w:left w:val="nil"/>
              <w:bottom w:val="single" w:sz="4" w:space="0" w:color="auto"/>
              <w:right w:val="single" w:sz="4" w:space="0" w:color="auto"/>
            </w:tcBorders>
            <w:shd w:val="clear" w:color="auto" w:fill="auto"/>
            <w:vAlign w:val="center"/>
          </w:tcPr>
          <w:p w14:paraId="3DA23F74" w14:textId="77777777" w:rsidR="00F44BFC" w:rsidRPr="00F44BFC" w:rsidRDefault="00F44BFC" w:rsidP="00F44BFC">
            <w:pPr>
              <w:jc w:val="right"/>
              <w:rPr>
                <w:rFonts w:ascii="Arial Narrow" w:hAnsi="Arial Narrow"/>
                <w:sz w:val="20"/>
                <w:szCs w:val="20"/>
                <w:lang w:val="bg-BG" w:eastAsia="bg-BG"/>
              </w:rPr>
            </w:pPr>
            <w:r w:rsidRPr="00F44BFC">
              <w:rPr>
                <w:rFonts w:ascii="Arial Narrow" w:hAnsi="Arial Narrow"/>
                <w:sz w:val="20"/>
                <w:szCs w:val="20"/>
                <w:lang w:val="bg-BG" w:eastAsia="bg-BG"/>
              </w:rPr>
              <w:t xml:space="preserve">90 562,52 </w:t>
            </w:r>
          </w:p>
        </w:tc>
        <w:tc>
          <w:tcPr>
            <w:tcW w:w="809" w:type="pct"/>
            <w:tcBorders>
              <w:top w:val="nil"/>
              <w:left w:val="nil"/>
              <w:bottom w:val="single" w:sz="4" w:space="0" w:color="auto"/>
              <w:right w:val="single" w:sz="4" w:space="0" w:color="auto"/>
            </w:tcBorders>
            <w:shd w:val="clear" w:color="auto" w:fill="auto"/>
            <w:vAlign w:val="center"/>
          </w:tcPr>
          <w:p w14:paraId="14691FF5" w14:textId="77777777" w:rsidR="00F44BFC" w:rsidRPr="00F44BFC" w:rsidRDefault="00F44BFC" w:rsidP="00F44BFC">
            <w:pPr>
              <w:jc w:val="right"/>
              <w:rPr>
                <w:rFonts w:ascii="Arial Narrow" w:hAnsi="Arial Narrow"/>
                <w:sz w:val="20"/>
                <w:szCs w:val="20"/>
                <w:lang w:val="bg-BG" w:eastAsia="bg-BG"/>
              </w:rPr>
            </w:pPr>
            <w:r w:rsidRPr="00F44BFC">
              <w:rPr>
                <w:rFonts w:ascii="Arial Narrow" w:hAnsi="Arial Narrow"/>
                <w:sz w:val="20"/>
                <w:szCs w:val="20"/>
                <w:lang w:val="bg-BG" w:eastAsia="bg-BG"/>
              </w:rPr>
              <w:t>271 687,56</w:t>
            </w:r>
          </w:p>
        </w:tc>
      </w:tr>
      <w:tr w:rsidR="00F44BFC" w:rsidRPr="00F44BFC" w14:paraId="776AF525" w14:textId="77777777" w:rsidTr="00DA7B44">
        <w:trPr>
          <w:trHeight w:val="624"/>
          <w:jc w:val="center"/>
        </w:trPr>
        <w:tc>
          <w:tcPr>
            <w:tcW w:w="2334" w:type="pct"/>
            <w:tcBorders>
              <w:top w:val="single" w:sz="4" w:space="0" w:color="auto"/>
              <w:left w:val="single" w:sz="4" w:space="0" w:color="auto"/>
              <w:bottom w:val="single" w:sz="4" w:space="0" w:color="auto"/>
              <w:right w:val="single" w:sz="4" w:space="0" w:color="auto"/>
            </w:tcBorders>
            <w:shd w:val="clear" w:color="auto" w:fill="auto"/>
            <w:vAlign w:val="center"/>
          </w:tcPr>
          <w:p w14:paraId="16158F88" w14:textId="77777777" w:rsidR="00F44BFC" w:rsidRPr="00F44BFC" w:rsidRDefault="00F44BFC" w:rsidP="00F44BFC">
            <w:pPr>
              <w:rPr>
                <w:rFonts w:ascii="Arial Narrow" w:hAnsi="Arial Narrow"/>
                <w:sz w:val="20"/>
                <w:szCs w:val="20"/>
                <w:lang w:val="bg-BG" w:eastAsia="bg-BG"/>
              </w:rPr>
            </w:pPr>
            <w:r w:rsidRPr="00F44BFC">
              <w:rPr>
                <w:rFonts w:ascii="Arial Narrow" w:hAnsi="Arial Narrow"/>
                <w:sz w:val="20"/>
                <w:szCs w:val="20"/>
                <w:lang w:val="bg-BG" w:eastAsia="bg-BG"/>
              </w:rPr>
              <w:t>3.1. Контрол и изпълнение</w:t>
            </w:r>
          </w:p>
        </w:tc>
        <w:tc>
          <w:tcPr>
            <w:tcW w:w="432" w:type="pct"/>
            <w:tcBorders>
              <w:top w:val="nil"/>
              <w:left w:val="nil"/>
              <w:bottom w:val="single" w:sz="4" w:space="0" w:color="auto"/>
              <w:right w:val="single" w:sz="4" w:space="0" w:color="auto"/>
            </w:tcBorders>
            <w:shd w:val="clear" w:color="auto" w:fill="auto"/>
            <w:vAlign w:val="center"/>
          </w:tcPr>
          <w:p w14:paraId="54300123" w14:textId="77777777" w:rsidR="00F44BFC" w:rsidRPr="00F44BFC" w:rsidRDefault="00F44BFC" w:rsidP="00F44BFC">
            <w:pPr>
              <w:jc w:val="center"/>
              <w:rPr>
                <w:rFonts w:ascii="Arial Narrow" w:hAnsi="Arial Narrow"/>
                <w:sz w:val="20"/>
                <w:szCs w:val="20"/>
                <w:lang w:val="bg-BG" w:eastAsia="bg-BG"/>
              </w:rPr>
            </w:pPr>
            <w:r w:rsidRPr="00F44BFC">
              <w:rPr>
                <w:rFonts w:ascii="Arial Narrow" w:hAnsi="Arial Narrow"/>
                <w:sz w:val="20"/>
                <w:szCs w:val="20"/>
                <w:lang w:val="bg-BG" w:eastAsia="bg-BG"/>
              </w:rPr>
              <w:t>4</w:t>
            </w:r>
          </w:p>
        </w:tc>
        <w:tc>
          <w:tcPr>
            <w:tcW w:w="691" w:type="pct"/>
            <w:tcBorders>
              <w:top w:val="nil"/>
              <w:left w:val="nil"/>
              <w:bottom w:val="single" w:sz="4" w:space="0" w:color="auto"/>
              <w:right w:val="single" w:sz="4" w:space="0" w:color="auto"/>
            </w:tcBorders>
            <w:shd w:val="clear" w:color="auto" w:fill="auto"/>
            <w:vAlign w:val="center"/>
          </w:tcPr>
          <w:p w14:paraId="50A88669" w14:textId="77777777" w:rsidR="00F44BFC" w:rsidRPr="00F44BFC" w:rsidRDefault="00F44BFC" w:rsidP="00F44BFC">
            <w:pPr>
              <w:jc w:val="right"/>
              <w:rPr>
                <w:rFonts w:ascii="Arial Narrow" w:hAnsi="Arial Narrow"/>
                <w:sz w:val="20"/>
                <w:szCs w:val="20"/>
                <w:lang w:val="bg-BG" w:eastAsia="bg-BG"/>
              </w:rPr>
            </w:pPr>
            <w:r w:rsidRPr="00F44BFC">
              <w:rPr>
                <w:rFonts w:ascii="Arial Narrow" w:hAnsi="Arial Narrow"/>
                <w:sz w:val="20"/>
                <w:szCs w:val="20"/>
                <w:lang w:val="bg-BG" w:eastAsia="bg-BG"/>
              </w:rPr>
              <w:t xml:space="preserve">1 225 223,54 </w:t>
            </w:r>
          </w:p>
        </w:tc>
        <w:tc>
          <w:tcPr>
            <w:tcW w:w="734" w:type="pct"/>
            <w:tcBorders>
              <w:top w:val="nil"/>
              <w:left w:val="nil"/>
              <w:bottom w:val="single" w:sz="4" w:space="0" w:color="auto"/>
              <w:right w:val="single" w:sz="4" w:space="0" w:color="auto"/>
            </w:tcBorders>
            <w:shd w:val="clear" w:color="auto" w:fill="auto"/>
            <w:vAlign w:val="center"/>
          </w:tcPr>
          <w:p w14:paraId="6C395D28" w14:textId="77777777" w:rsidR="00F44BFC" w:rsidRPr="00F44BFC" w:rsidRDefault="00F44BFC" w:rsidP="00F44BFC">
            <w:pPr>
              <w:jc w:val="right"/>
              <w:rPr>
                <w:rFonts w:ascii="Arial Narrow" w:hAnsi="Arial Narrow"/>
                <w:sz w:val="20"/>
                <w:szCs w:val="20"/>
                <w:lang w:val="bg-BG" w:eastAsia="bg-BG"/>
              </w:rPr>
            </w:pPr>
            <w:r w:rsidRPr="00F44BFC">
              <w:rPr>
                <w:rFonts w:ascii="Arial Narrow" w:hAnsi="Arial Narrow"/>
                <w:sz w:val="20"/>
                <w:szCs w:val="20"/>
                <w:lang w:val="bg-BG" w:eastAsia="bg-BG"/>
              </w:rPr>
              <w:t xml:space="preserve">122 522,35 </w:t>
            </w:r>
          </w:p>
        </w:tc>
        <w:tc>
          <w:tcPr>
            <w:tcW w:w="809" w:type="pct"/>
            <w:tcBorders>
              <w:top w:val="nil"/>
              <w:left w:val="nil"/>
              <w:bottom w:val="single" w:sz="4" w:space="0" w:color="auto"/>
              <w:right w:val="single" w:sz="4" w:space="0" w:color="auto"/>
            </w:tcBorders>
            <w:shd w:val="clear" w:color="auto" w:fill="auto"/>
            <w:vAlign w:val="center"/>
          </w:tcPr>
          <w:p w14:paraId="6FB7C0C3" w14:textId="77777777" w:rsidR="00F44BFC" w:rsidRPr="00F44BFC" w:rsidRDefault="00F44BFC" w:rsidP="00F44BFC">
            <w:pPr>
              <w:jc w:val="right"/>
              <w:rPr>
                <w:rFonts w:ascii="Arial Narrow" w:hAnsi="Arial Narrow"/>
                <w:sz w:val="20"/>
                <w:szCs w:val="20"/>
                <w:lang w:val="bg-BG" w:eastAsia="bg-BG"/>
              </w:rPr>
            </w:pPr>
            <w:r w:rsidRPr="00F44BFC">
              <w:rPr>
                <w:rFonts w:ascii="Arial Narrow" w:hAnsi="Arial Narrow"/>
                <w:sz w:val="20"/>
                <w:szCs w:val="20"/>
                <w:lang w:val="bg-BG" w:eastAsia="bg-BG"/>
              </w:rPr>
              <w:t>1 102 701,19</w:t>
            </w:r>
          </w:p>
        </w:tc>
      </w:tr>
      <w:tr w:rsidR="00F44BFC" w:rsidRPr="00F44BFC" w14:paraId="35255C90" w14:textId="77777777" w:rsidTr="00DA7B44">
        <w:trPr>
          <w:trHeight w:val="397"/>
          <w:jc w:val="center"/>
        </w:trPr>
        <w:tc>
          <w:tcPr>
            <w:tcW w:w="2334" w:type="pct"/>
            <w:tcBorders>
              <w:top w:val="single" w:sz="4" w:space="0" w:color="auto"/>
              <w:left w:val="single" w:sz="4" w:space="0" w:color="auto"/>
              <w:bottom w:val="single" w:sz="4" w:space="0" w:color="auto"/>
              <w:right w:val="single" w:sz="4" w:space="0" w:color="auto"/>
            </w:tcBorders>
            <w:shd w:val="clear" w:color="auto" w:fill="auto"/>
            <w:vAlign w:val="center"/>
          </w:tcPr>
          <w:p w14:paraId="5D4B7377" w14:textId="77777777" w:rsidR="00F44BFC" w:rsidRPr="00F44BFC" w:rsidRDefault="00F44BFC" w:rsidP="00F44BFC">
            <w:pPr>
              <w:rPr>
                <w:rFonts w:ascii="Arial Narrow" w:hAnsi="Arial Narrow"/>
                <w:sz w:val="20"/>
                <w:szCs w:val="20"/>
                <w:lang w:val="bg-BG" w:eastAsia="bg-BG"/>
              </w:rPr>
            </w:pPr>
            <w:r w:rsidRPr="00F44BFC">
              <w:rPr>
                <w:rFonts w:ascii="Arial Narrow" w:hAnsi="Arial Narrow"/>
                <w:sz w:val="20"/>
                <w:szCs w:val="20"/>
                <w:lang w:val="bg-BG" w:eastAsia="bg-BG"/>
              </w:rPr>
              <w:t>3.2. Събиране на данни</w:t>
            </w:r>
          </w:p>
        </w:tc>
        <w:tc>
          <w:tcPr>
            <w:tcW w:w="432" w:type="pct"/>
            <w:tcBorders>
              <w:top w:val="nil"/>
              <w:left w:val="nil"/>
              <w:bottom w:val="single" w:sz="4" w:space="0" w:color="auto"/>
              <w:right w:val="single" w:sz="4" w:space="0" w:color="auto"/>
            </w:tcBorders>
            <w:shd w:val="clear" w:color="auto" w:fill="auto"/>
            <w:vAlign w:val="center"/>
          </w:tcPr>
          <w:p w14:paraId="32999325" w14:textId="77777777" w:rsidR="00F44BFC" w:rsidRPr="00F44BFC" w:rsidRDefault="00F44BFC" w:rsidP="00F44BFC">
            <w:pPr>
              <w:jc w:val="center"/>
              <w:rPr>
                <w:rFonts w:ascii="Arial Narrow" w:hAnsi="Arial Narrow"/>
                <w:sz w:val="20"/>
                <w:szCs w:val="20"/>
                <w:lang w:val="bg-BG" w:eastAsia="bg-BG"/>
              </w:rPr>
            </w:pPr>
            <w:r w:rsidRPr="00F44BFC">
              <w:rPr>
                <w:rFonts w:ascii="Arial Narrow" w:hAnsi="Arial Narrow"/>
                <w:sz w:val="20"/>
                <w:szCs w:val="20"/>
                <w:lang w:val="bg-BG" w:eastAsia="bg-BG"/>
              </w:rPr>
              <w:t>1</w:t>
            </w:r>
          </w:p>
        </w:tc>
        <w:tc>
          <w:tcPr>
            <w:tcW w:w="691" w:type="pct"/>
            <w:tcBorders>
              <w:top w:val="nil"/>
              <w:left w:val="nil"/>
              <w:bottom w:val="single" w:sz="4" w:space="0" w:color="auto"/>
              <w:right w:val="single" w:sz="4" w:space="0" w:color="auto"/>
            </w:tcBorders>
            <w:shd w:val="clear" w:color="auto" w:fill="auto"/>
            <w:vAlign w:val="center"/>
          </w:tcPr>
          <w:p w14:paraId="48AEB008" w14:textId="77777777" w:rsidR="00F44BFC" w:rsidRPr="00F44BFC" w:rsidRDefault="00F44BFC" w:rsidP="00F44BFC">
            <w:pPr>
              <w:jc w:val="right"/>
              <w:rPr>
                <w:rFonts w:ascii="Arial Narrow" w:hAnsi="Arial Narrow"/>
                <w:sz w:val="20"/>
                <w:szCs w:val="20"/>
                <w:lang w:val="bg-BG" w:eastAsia="bg-BG"/>
              </w:rPr>
            </w:pPr>
            <w:r w:rsidRPr="00F44BFC">
              <w:rPr>
                <w:rFonts w:ascii="Arial Narrow" w:hAnsi="Arial Narrow"/>
                <w:sz w:val="20"/>
                <w:szCs w:val="20"/>
                <w:lang w:val="bg-BG" w:eastAsia="bg-BG"/>
              </w:rPr>
              <w:t>467 773,79</w:t>
            </w:r>
          </w:p>
        </w:tc>
        <w:tc>
          <w:tcPr>
            <w:tcW w:w="734" w:type="pct"/>
            <w:tcBorders>
              <w:top w:val="nil"/>
              <w:left w:val="nil"/>
              <w:bottom w:val="single" w:sz="4" w:space="0" w:color="auto"/>
              <w:right w:val="single" w:sz="4" w:space="0" w:color="auto"/>
            </w:tcBorders>
            <w:shd w:val="clear" w:color="auto" w:fill="auto"/>
            <w:vAlign w:val="center"/>
          </w:tcPr>
          <w:p w14:paraId="70A40895" w14:textId="77777777" w:rsidR="00F44BFC" w:rsidRPr="00F44BFC" w:rsidRDefault="00F44BFC" w:rsidP="00F44BFC">
            <w:pPr>
              <w:jc w:val="right"/>
              <w:rPr>
                <w:rFonts w:ascii="Arial Narrow" w:hAnsi="Arial Narrow"/>
                <w:sz w:val="20"/>
                <w:szCs w:val="20"/>
                <w:lang w:val="bg-BG" w:eastAsia="bg-BG"/>
              </w:rPr>
            </w:pPr>
            <w:r w:rsidRPr="00F44BFC">
              <w:rPr>
                <w:rFonts w:ascii="Arial Narrow" w:hAnsi="Arial Narrow"/>
                <w:sz w:val="20"/>
                <w:szCs w:val="20"/>
                <w:lang w:val="bg-BG" w:eastAsia="bg-BG"/>
              </w:rPr>
              <w:t>93 554,76</w:t>
            </w:r>
          </w:p>
        </w:tc>
        <w:tc>
          <w:tcPr>
            <w:tcW w:w="809" w:type="pct"/>
            <w:tcBorders>
              <w:top w:val="nil"/>
              <w:left w:val="nil"/>
              <w:bottom w:val="single" w:sz="4" w:space="0" w:color="auto"/>
              <w:right w:val="single" w:sz="4" w:space="0" w:color="auto"/>
            </w:tcBorders>
            <w:shd w:val="clear" w:color="auto" w:fill="auto"/>
            <w:vAlign w:val="center"/>
          </w:tcPr>
          <w:p w14:paraId="5FEA28A0" w14:textId="77777777" w:rsidR="00F44BFC" w:rsidRPr="00F44BFC" w:rsidRDefault="00F44BFC" w:rsidP="00F44BFC">
            <w:pPr>
              <w:jc w:val="right"/>
              <w:rPr>
                <w:rFonts w:ascii="Arial Narrow" w:hAnsi="Arial Narrow"/>
                <w:sz w:val="20"/>
                <w:szCs w:val="20"/>
                <w:lang w:val="bg-BG" w:eastAsia="bg-BG"/>
              </w:rPr>
            </w:pPr>
            <w:r w:rsidRPr="00F44BFC">
              <w:rPr>
                <w:rFonts w:ascii="Arial Narrow" w:hAnsi="Arial Narrow"/>
                <w:sz w:val="20"/>
                <w:szCs w:val="20"/>
                <w:lang w:val="bg-BG" w:eastAsia="bg-BG"/>
              </w:rPr>
              <w:t>374 219,03</w:t>
            </w:r>
          </w:p>
        </w:tc>
      </w:tr>
      <w:tr w:rsidR="00F44BFC" w:rsidRPr="00F44BFC" w14:paraId="2E7704CE" w14:textId="77777777" w:rsidTr="00DA7B44">
        <w:trPr>
          <w:trHeight w:val="671"/>
          <w:jc w:val="center"/>
        </w:trPr>
        <w:tc>
          <w:tcPr>
            <w:tcW w:w="2334" w:type="pct"/>
            <w:tcBorders>
              <w:top w:val="single" w:sz="4" w:space="0" w:color="auto"/>
              <w:left w:val="single" w:sz="4" w:space="0" w:color="auto"/>
              <w:bottom w:val="single" w:sz="4" w:space="0" w:color="auto"/>
              <w:right w:val="single" w:sz="4" w:space="0" w:color="auto"/>
            </w:tcBorders>
            <w:shd w:val="clear" w:color="auto" w:fill="auto"/>
            <w:vAlign w:val="center"/>
          </w:tcPr>
          <w:p w14:paraId="755CE35D" w14:textId="77777777" w:rsidR="00F44BFC" w:rsidRPr="00F44BFC" w:rsidRDefault="00F44BFC" w:rsidP="00F44BFC">
            <w:pPr>
              <w:rPr>
                <w:rFonts w:ascii="Arial Narrow" w:hAnsi="Arial Narrow"/>
                <w:sz w:val="20"/>
                <w:szCs w:val="20"/>
                <w:lang w:val="bg-BG" w:eastAsia="bg-BG"/>
              </w:rPr>
            </w:pPr>
            <w:r w:rsidRPr="00F44BFC">
              <w:rPr>
                <w:rFonts w:ascii="Arial Narrow" w:hAnsi="Arial Narrow"/>
                <w:sz w:val="20"/>
                <w:szCs w:val="20"/>
                <w:lang w:val="bg-BG" w:eastAsia="bg-BG"/>
              </w:rPr>
              <w:t>4.2. Изпълнение на стратегиите за водено от общностите местно развитие</w:t>
            </w:r>
          </w:p>
        </w:tc>
        <w:tc>
          <w:tcPr>
            <w:tcW w:w="432" w:type="pct"/>
            <w:tcBorders>
              <w:top w:val="nil"/>
              <w:left w:val="nil"/>
              <w:bottom w:val="single" w:sz="4" w:space="0" w:color="auto"/>
              <w:right w:val="single" w:sz="4" w:space="0" w:color="auto"/>
            </w:tcBorders>
            <w:shd w:val="clear" w:color="auto" w:fill="auto"/>
            <w:vAlign w:val="center"/>
          </w:tcPr>
          <w:p w14:paraId="078B6BF0" w14:textId="77777777" w:rsidR="00F44BFC" w:rsidRPr="00F44BFC" w:rsidRDefault="00F44BFC" w:rsidP="00F44BFC">
            <w:pPr>
              <w:jc w:val="center"/>
              <w:rPr>
                <w:rFonts w:ascii="Arial Narrow" w:hAnsi="Arial Narrow"/>
                <w:sz w:val="20"/>
                <w:szCs w:val="20"/>
                <w:lang w:val="bg-BG" w:eastAsia="bg-BG"/>
              </w:rPr>
            </w:pPr>
            <w:r w:rsidRPr="00F44BFC">
              <w:rPr>
                <w:rFonts w:ascii="Arial Narrow" w:hAnsi="Arial Narrow"/>
                <w:sz w:val="20"/>
                <w:szCs w:val="20"/>
                <w:lang w:val="bg-BG" w:eastAsia="bg-BG"/>
              </w:rPr>
              <w:t>76</w:t>
            </w:r>
          </w:p>
        </w:tc>
        <w:tc>
          <w:tcPr>
            <w:tcW w:w="691" w:type="pct"/>
            <w:tcBorders>
              <w:top w:val="nil"/>
              <w:left w:val="nil"/>
              <w:bottom w:val="single" w:sz="4" w:space="0" w:color="auto"/>
              <w:right w:val="single" w:sz="4" w:space="0" w:color="auto"/>
            </w:tcBorders>
            <w:shd w:val="clear" w:color="auto" w:fill="auto"/>
            <w:vAlign w:val="center"/>
          </w:tcPr>
          <w:p w14:paraId="0AB88120" w14:textId="77777777" w:rsidR="00F44BFC" w:rsidRPr="00F44BFC" w:rsidRDefault="00F44BFC" w:rsidP="00F44BFC">
            <w:pPr>
              <w:jc w:val="right"/>
              <w:rPr>
                <w:rFonts w:ascii="Arial Narrow" w:hAnsi="Arial Narrow"/>
                <w:sz w:val="20"/>
                <w:szCs w:val="20"/>
                <w:lang w:val="bg-BG" w:eastAsia="bg-BG"/>
              </w:rPr>
            </w:pPr>
            <w:r w:rsidRPr="00F44BFC">
              <w:rPr>
                <w:rFonts w:ascii="Arial Narrow" w:hAnsi="Arial Narrow"/>
                <w:sz w:val="20"/>
                <w:szCs w:val="20"/>
                <w:lang w:val="bg-BG" w:eastAsia="bg-BG"/>
              </w:rPr>
              <w:t xml:space="preserve">8 005 252,61 </w:t>
            </w:r>
          </w:p>
        </w:tc>
        <w:tc>
          <w:tcPr>
            <w:tcW w:w="734" w:type="pct"/>
            <w:tcBorders>
              <w:top w:val="nil"/>
              <w:left w:val="nil"/>
              <w:bottom w:val="single" w:sz="4" w:space="0" w:color="auto"/>
              <w:right w:val="single" w:sz="4" w:space="0" w:color="auto"/>
            </w:tcBorders>
            <w:shd w:val="clear" w:color="auto" w:fill="auto"/>
            <w:vAlign w:val="center"/>
          </w:tcPr>
          <w:p w14:paraId="633E5F2C" w14:textId="77777777" w:rsidR="00F44BFC" w:rsidRPr="00F44BFC" w:rsidRDefault="00F44BFC" w:rsidP="00F44BFC">
            <w:pPr>
              <w:jc w:val="right"/>
              <w:rPr>
                <w:rFonts w:ascii="Arial Narrow" w:hAnsi="Arial Narrow"/>
                <w:sz w:val="20"/>
                <w:szCs w:val="20"/>
                <w:lang w:val="bg-BG" w:eastAsia="bg-BG"/>
              </w:rPr>
            </w:pPr>
            <w:r w:rsidRPr="00F44BFC">
              <w:rPr>
                <w:rFonts w:ascii="Arial Narrow" w:hAnsi="Arial Narrow"/>
                <w:sz w:val="20"/>
                <w:szCs w:val="20"/>
                <w:lang w:val="bg-BG" w:eastAsia="bg-BG"/>
              </w:rPr>
              <w:t xml:space="preserve">1 200 787,95 </w:t>
            </w:r>
          </w:p>
        </w:tc>
        <w:tc>
          <w:tcPr>
            <w:tcW w:w="809" w:type="pct"/>
            <w:tcBorders>
              <w:top w:val="nil"/>
              <w:left w:val="nil"/>
              <w:bottom w:val="single" w:sz="4" w:space="0" w:color="auto"/>
              <w:right w:val="single" w:sz="4" w:space="0" w:color="auto"/>
            </w:tcBorders>
            <w:shd w:val="clear" w:color="auto" w:fill="auto"/>
            <w:vAlign w:val="center"/>
          </w:tcPr>
          <w:p w14:paraId="6AD5FDD0" w14:textId="77777777" w:rsidR="00F44BFC" w:rsidRPr="00F44BFC" w:rsidRDefault="00F44BFC" w:rsidP="00F44BFC">
            <w:pPr>
              <w:jc w:val="right"/>
              <w:rPr>
                <w:rFonts w:ascii="Arial Narrow" w:hAnsi="Arial Narrow"/>
                <w:sz w:val="20"/>
                <w:szCs w:val="20"/>
                <w:lang w:val="bg-BG" w:eastAsia="bg-BG"/>
              </w:rPr>
            </w:pPr>
            <w:r w:rsidRPr="00F44BFC">
              <w:rPr>
                <w:rFonts w:ascii="Arial Narrow" w:hAnsi="Arial Narrow"/>
                <w:sz w:val="20"/>
                <w:szCs w:val="20"/>
                <w:lang w:val="bg-BG" w:eastAsia="bg-BG"/>
              </w:rPr>
              <w:t>6 804 464,66</w:t>
            </w:r>
          </w:p>
        </w:tc>
      </w:tr>
      <w:tr w:rsidR="00F44BFC" w:rsidRPr="00F44BFC" w14:paraId="18AFF44D" w14:textId="77777777" w:rsidTr="00DA7B44">
        <w:trPr>
          <w:trHeight w:val="397"/>
          <w:jc w:val="center"/>
        </w:trPr>
        <w:tc>
          <w:tcPr>
            <w:tcW w:w="2334" w:type="pct"/>
            <w:tcBorders>
              <w:top w:val="single" w:sz="4" w:space="0" w:color="auto"/>
              <w:left w:val="single" w:sz="4" w:space="0" w:color="auto"/>
              <w:bottom w:val="single" w:sz="4" w:space="0" w:color="auto"/>
              <w:right w:val="single" w:sz="4" w:space="0" w:color="auto"/>
            </w:tcBorders>
            <w:shd w:val="clear" w:color="auto" w:fill="auto"/>
            <w:vAlign w:val="center"/>
          </w:tcPr>
          <w:p w14:paraId="27003093" w14:textId="77777777" w:rsidR="00F44BFC" w:rsidRPr="00F44BFC" w:rsidRDefault="00F44BFC" w:rsidP="00F44BFC">
            <w:pPr>
              <w:rPr>
                <w:rFonts w:ascii="Arial Narrow" w:hAnsi="Arial Narrow"/>
                <w:sz w:val="20"/>
                <w:szCs w:val="20"/>
                <w:lang w:val="bg-BG" w:eastAsia="bg-BG"/>
              </w:rPr>
            </w:pPr>
            <w:r w:rsidRPr="00F44BFC">
              <w:rPr>
                <w:rFonts w:ascii="Arial Narrow" w:hAnsi="Arial Narrow"/>
                <w:sz w:val="20"/>
                <w:szCs w:val="20"/>
                <w:lang w:val="bg-BG" w:eastAsia="bg-BG"/>
              </w:rPr>
              <w:t>5.3. Мерки за предлагане на пазара - Украйна</w:t>
            </w:r>
          </w:p>
        </w:tc>
        <w:tc>
          <w:tcPr>
            <w:tcW w:w="432" w:type="pct"/>
            <w:tcBorders>
              <w:top w:val="nil"/>
              <w:left w:val="nil"/>
              <w:bottom w:val="single" w:sz="4" w:space="0" w:color="auto"/>
              <w:right w:val="single" w:sz="4" w:space="0" w:color="auto"/>
            </w:tcBorders>
            <w:shd w:val="clear" w:color="auto" w:fill="auto"/>
            <w:vAlign w:val="center"/>
          </w:tcPr>
          <w:p w14:paraId="4D5433CB" w14:textId="77777777" w:rsidR="00F44BFC" w:rsidRPr="00F44BFC" w:rsidRDefault="00F44BFC" w:rsidP="00F44BFC">
            <w:pPr>
              <w:jc w:val="center"/>
              <w:rPr>
                <w:rFonts w:ascii="Arial Narrow" w:hAnsi="Arial Narrow"/>
                <w:sz w:val="20"/>
                <w:szCs w:val="20"/>
                <w:lang w:val="bg-BG" w:eastAsia="bg-BG"/>
              </w:rPr>
            </w:pPr>
            <w:r w:rsidRPr="00F44BFC">
              <w:rPr>
                <w:rFonts w:ascii="Arial Narrow" w:hAnsi="Arial Narrow"/>
                <w:sz w:val="20"/>
                <w:szCs w:val="20"/>
                <w:lang w:val="bg-BG" w:eastAsia="bg-BG"/>
              </w:rPr>
              <w:t>174</w:t>
            </w:r>
          </w:p>
        </w:tc>
        <w:tc>
          <w:tcPr>
            <w:tcW w:w="691" w:type="pct"/>
            <w:tcBorders>
              <w:top w:val="nil"/>
              <w:left w:val="nil"/>
              <w:bottom w:val="single" w:sz="4" w:space="0" w:color="auto"/>
              <w:right w:val="single" w:sz="4" w:space="0" w:color="auto"/>
            </w:tcBorders>
            <w:shd w:val="clear" w:color="auto" w:fill="auto"/>
            <w:vAlign w:val="center"/>
          </w:tcPr>
          <w:p w14:paraId="3253DC06" w14:textId="77777777" w:rsidR="00F44BFC" w:rsidRPr="00F44BFC" w:rsidRDefault="00F44BFC" w:rsidP="00F44BFC">
            <w:pPr>
              <w:jc w:val="right"/>
              <w:rPr>
                <w:rFonts w:ascii="Arial Narrow" w:hAnsi="Arial Narrow"/>
                <w:sz w:val="20"/>
                <w:szCs w:val="20"/>
                <w:lang w:val="bg-BG" w:eastAsia="bg-BG"/>
              </w:rPr>
            </w:pPr>
            <w:r w:rsidRPr="00F44BFC">
              <w:rPr>
                <w:rFonts w:ascii="Arial Narrow" w:hAnsi="Arial Narrow"/>
                <w:sz w:val="20"/>
                <w:szCs w:val="20"/>
                <w:lang w:val="bg-BG" w:eastAsia="bg-BG"/>
              </w:rPr>
              <w:t xml:space="preserve">13 875 307,06 </w:t>
            </w:r>
          </w:p>
        </w:tc>
        <w:tc>
          <w:tcPr>
            <w:tcW w:w="734" w:type="pct"/>
            <w:tcBorders>
              <w:top w:val="nil"/>
              <w:left w:val="nil"/>
              <w:bottom w:val="single" w:sz="4" w:space="0" w:color="auto"/>
              <w:right w:val="single" w:sz="4" w:space="0" w:color="auto"/>
            </w:tcBorders>
            <w:shd w:val="clear" w:color="auto" w:fill="auto"/>
            <w:vAlign w:val="center"/>
          </w:tcPr>
          <w:p w14:paraId="562C8D86" w14:textId="77777777" w:rsidR="00F44BFC" w:rsidRPr="00F44BFC" w:rsidRDefault="00F44BFC" w:rsidP="00F44BFC">
            <w:pPr>
              <w:jc w:val="right"/>
              <w:rPr>
                <w:rFonts w:ascii="Arial Narrow" w:hAnsi="Arial Narrow"/>
                <w:sz w:val="20"/>
                <w:szCs w:val="20"/>
                <w:lang w:val="bg-BG" w:eastAsia="bg-BG"/>
              </w:rPr>
            </w:pPr>
            <w:r w:rsidRPr="00F44BFC">
              <w:rPr>
                <w:rFonts w:ascii="Arial Narrow" w:hAnsi="Arial Narrow"/>
                <w:sz w:val="20"/>
                <w:szCs w:val="20"/>
                <w:lang w:val="bg-BG" w:eastAsia="bg-BG"/>
              </w:rPr>
              <w:t>3 468 826,74</w:t>
            </w:r>
          </w:p>
        </w:tc>
        <w:tc>
          <w:tcPr>
            <w:tcW w:w="809" w:type="pct"/>
            <w:tcBorders>
              <w:top w:val="nil"/>
              <w:left w:val="nil"/>
              <w:bottom w:val="single" w:sz="4" w:space="0" w:color="auto"/>
              <w:right w:val="single" w:sz="4" w:space="0" w:color="auto"/>
            </w:tcBorders>
            <w:shd w:val="clear" w:color="auto" w:fill="auto"/>
            <w:vAlign w:val="center"/>
          </w:tcPr>
          <w:p w14:paraId="063E2221" w14:textId="77777777" w:rsidR="00F44BFC" w:rsidRPr="00F44BFC" w:rsidRDefault="00F44BFC" w:rsidP="00F44BFC">
            <w:pPr>
              <w:jc w:val="right"/>
              <w:rPr>
                <w:rFonts w:ascii="Arial Narrow" w:hAnsi="Arial Narrow"/>
                <w:sz w:val="20"/>
                <w:szCs w:val="20"/>
                <w:lang w:val="bg-BG" w:eastAsia="bg-BG"/>
              </w:rPr>
            </w:pPr>
            <w:r w:rsidRPr="00F44BFC">
              <w:rPr>
                <w:rFonts w:ascii="Arial Narrow" w:hAnsi="Arial Narrow"/>
                <w:sz w:val="20"/>
                <w:szCs w:val="20"/>
                <w:lang w:val="bg-BG" w:eastAsia="bg-BG"/>
              </w:rPr>
              <w:t>10 406 480,32</w:t>
            </w:r>
          </w:p>
        </w:tc>
      </w:tr>
      <w:tr w:rsidR="00F44BFC" w:rsidRPr="00F44BFC" w14:paraId="7E52D3D9" w14:textId="77777777" w:rsidTr="00DA7B44">
        <w:trPr>
          <w:trHeight w:val="588"/>
          <w:jc w:val="center"/>
        </w:trPr>
        <w:tc>
          <w:tcPr>
            <w:tcW w:w="2334" w:type="pct"/>
            <w:tcBorders>
              <w:top w:val="single" w:sz="4" w:space="0" w:color="auto"/>
              <w:left w:val="single" w:sz="4" w:space="0" w:color="auto"/>
              <w:bottom w:val="single" w:sz="4" w:space="0" w:color="auto"/>
              <w:right w:val="single" w:sz="4" w:space="0" w:color="auto"/>
            </w:tcBorders>
            <w:shd w:val="clear" w:color="auto" w:fill="auto"/>
            <w:vAlign w:val="center"/>
          </w:tcPr>
          <w:p w14:paraId="313BFD2C" w14:textId="77777777" w:rsidR="00F44BFC" w:rsidRPr="00F44BFC" w:rsidRDefault="00F44BFC" w:rsidP="00F44BFC">
            <w:pPr>
              <w:rPr>
                <w:rFonts w:ascii="Arial Narrow" w:hAnsi="Arial Narrow"/>
                <w:sz w:val="20"/>
                <w:szCs w:val="20"/>
                <w:lang w:val="bg-BG" w:eastAsia="bg-BG"/>
              </w:rPr>
            </w:pPr>
            <w:r w:rsidRPr="00F44BFC">
              <w:rPr>
                <w:rFonts w:ascii="Arial Narrow" w:hAnsi="Arial Narrow"/>
                <w:sz w:val="20"/>
                <w:szCs w:val="20"/>
                <w:lang w:val="bg-BG" w:eastAsia="bg-BG"/>
              </w:rPr>
              <w:t>5.4. Преработване на продуктите от риболов и аквакултури</w:t>
            </w:r>
          </w:p>
        </w:tc>
        <w:tc>
          <w:tcPr>
            <w:tcW w:w="432" w:type="pct"/>
            <w:tcBorders>
              <w:top w:val="nil"/>
              <w:left w:val="nil"/>
              <w:bottom w:val="single" w:sz="4" w:space="0" w:color="auto"/>
              <w:right w:val="single" w:sz="4" w:space="0" w:color="auto"/>
            </w:tcBorders>
            <w:shd w:val="clear" w:color="auto" w:fill="auto"/>
            <w:vAlign w:val="center"/>
          </w:tcPr>
          <w:p w14:paraId="656C5A99" w14:textId="77777777" w:rsidR="00F44BFC" w:rsidRPr="00F44BFC" w:rsidRDefault="00F44BFC" w:rsidP="00F44BFC">
            <w:pPr>
              <w:jc w:val="center"/>
              <w:rPr>
                <w:rFonts w:ascii="Arial Narrow" w:hAnsi="Arial Narrow"/>
                <w:sz w:val="20"/>
                <w:szCs w:val="20"/>
                <w:lang w:val="bg-BG" w:eastAsia="bg-BG"/>
              </w:rPr>
            </w:pPr>
            <w:r w:rsidRPr="00F44BFC">
              <w:rPr>
                <w:rFonts w:ascii="Arial Narrow" w:hAnsi="Arial Narrow"/>
                <w:sz w:val="20"/>
                <w:szCs w:val="20"/>
                <w:lang w:val="bg-BG" w:eastAsia="bg-BG"/>
              </w:rPr>
              <w:t>9</w:t>
            </w:r>
          </w:p>
        </w:tc>
        <w:tc>
          <w:tcPr>
            <w:tcW w:w="691" w:type="pct"/>
            <w:tcBorders>
              <w:top w:val="nil"/>
              <w:left w:val="nil"/>
              <w:bottom w:val="single" w:sz="4" w:space="0" w:color="auto"/>
              <w:right w:val="single" w:sz="4" w:space="0" w:color="auto"/>
            </w:tcBorders>
            <w:shd w:val="clear" w:color="auto" w:fill="auto"/>
            <w:vAlign w:val="center"/>
          </w:tcPr>
          <w:p w14:paraId="08DC82B7" w14:textId="77777777" w:rsidR="00F44BFC" w:rsidRPr="00F44BFC" w:rsidRDefault="00F44BFC" w:rsidP="00F44BFC">
            <w:pPr>
              <w:jc w:val="right"/>
              <w:rPr>
                <w:rFonts w:ascii="Arial Narrow" w:hAnsi="Arial Narrow"/>
                <w:sz w:val="20"/>
                <w:szCs w:val="20"/>
                <w:lang w:val="bg-BG" w:eastAsia="bg-BG"/>
              </w:rPr>
            </w:pPr>
            <w:r w:rsidRPr="00F44BFC">
              <w:rPr>
                <w:rFonts w:ascii="Arial Narrow" w:hAnsi="Arial Narrow"/>
                <w:sz w:val="20"/>
                <w:szCs w:val="20"/>
                <w:lang w:val="bg-BG" w:eastAsia="bg-BG"/>
              </w:rPr>
              <w:t xml:space="preserve">2 710 610,39 </w:t>
            </w:r>
          </w:p>
        </w:tc>
        <w:tc>
          <w:tcPr>
            <w:tcW w:w="734" w:type="pct"/>
            <w:tcBorders>
              <w:top w:val="nil"/>
              <w:left w:val="nil"/>
              <w:bottom w:val="single" w:sz="4" w:space="0" w:color="auto"/>
              <w:right w:val="single" w:sz="4" w:space="0" w:color="auto"/>
            </w:tcBorders>
            <w:shd w:val="clear" w:color="000000" w:fill="FFFFFF"/>
            <w:vAlign w:val="center"/>
          </w:tcPr>
          <w:p w14:paraId="0E8F65E0" w14:textId="77777777" w:rsidR="00F44BFC" w:rsidRPr="00F44BFC" w:rsidRDefault="00F44BFC" w:rsidP="00F44BFC">
            <w:pPr>
              <w:jc w:val="right"/>
              <w:rPr>
                <w:rFonts w:ascii="Arial Narrow" w:hAnsi="Arial Narrow"/>
                <w:sz w:val="20"/>
                <w:szCs w:val="20"/>
                <w:lang w:val="bg-BG" w:eastAsia="bg-BG"/>
              </w:rPr>
            </w:pPr>
            <w:r w:rsidRPr="00F44BFC">
              <w:rPr>
                <w:rFonts w:ascii="Arial Narrow" w:hAnsi="Arial Narrow"/>
                <w:sz w:val="20"/>
                <w:szCs w:val="20"/>
                <w:lang w:val="bg-BG" w:eastAsia="bg-BG"/>
              </w:rPr>
              <w:t xml:space="preserve">677 652,65 </w:t>
            </w:r>
          </w:p>
        </w:tc>
        <w:tc>
          <w:tcPr>
            <w:tcW w:w="809" w:type="pct"/>
            <w:tcBorders>
              <w:top w:val="nil"/>
              <w:left w:val="nil"/>
              <w:bottom w:val="single" w:sz="4" w:space="0" w:color="auto"/>
              <w:right w:val="single" w:sz="4" w:space="0" w:color="auto"/>
            </w:tcBorders>
            <w:shd w:val="clear" w:color="auto" w:fill="auto"/>
            <w:vAlign w:val="center"/>
          </w:tcPr>
          <w:p w14:paraId="2E43E91D" w14:textId="77777777" w:rsidR="00F44BFC" w:rsidRPr="00F44BFC" w:rsidRDefault="00F44BFC" w:rsidP="00F44BFC">
            <w:pPr>
              <w:jc w:val="right"/>
              <w:rPr>
                <w:rFonts w:ascii="Arial Narrow" w:hAnsi="Arial Narrow"/>
                <w:sz w:val="20"/>
                <w:szCs w:val="20"/>
                <w:lang w:val="bg-BG" w:eastAsia="bg-BG"/>
              </w:rPr>
            </w:pPr>
            <w:r w:rsidRPr="00F44BFC">
              <w:rPr>
                <w:rFonts w:ascii="Arial Narrow" w:hAnsi="Arial Narrow"/>
                <w:sz w:val="20"/>
                <w:szCs w:val="20"/>
                <w:lang w:val="bg-BG" w:eastAsia="bg-BG"/>
              </w:rPr>
              <w:t>2 032 957,74</w:t>
            </w:r>
          </w:p>
        </w:tc>
      </w:tr>
      <w:tr w:rsidR="00F44BFC" w:rsidRPr="00F44BFC" w14:paraId="00295463" w14:textId="77777777" w:rsidTr="00DA7B44">
        <w:trPr>
          <w:trHeight w:val="546"/>
          <w:jc w:val="center"/>
        </w:trPr>
        <w:tc>
          <w:tcPr>
            <w:tcW w:w="2334" w:type="pct"/>
            <w:tcBorders>
              <w:top w:val="single" w:sz="4" w:space="0" w:color="auto"/>
              <w:left w:val="single" w:sz="4" w:space="0" w:color="auto"/>
              <w:bottom w:val="single" w:sz="4" w:space="0" w:color="auto"/>
              <w:right w:val="single" w:sz="4" w:space="0" w:color="auto"/>
            </w:tcBorders>
            <w:shd w:val="clear" w:color="auto" w:fill="auto"/>
            <w:vAlign w:val="center"/>
          </w:tcPr>
          <w:p w14:paraId="4A9635A0" w14:textId="77777777" w:rsidR="00F44BFC" w:rsidRPr="00F44BFC" w:rsidRDefault="00F44BFC" w:rsidP="00F44BFC">
            <w:pPr>
              <w:rPr>
                <w:rFonts w:ascii="Arial Narrow" w:hAnsi="Arial Narrow"/>
                <w:sz w:val="20"/>
                <w:szCs w:val="20"/>
                <w:lang w:val="bg-BG" w:eastAsia="bg-BG"/>
              </w:rPr>
            </w:pPr>
            <w:r w:rsidRPr="00F44BFC">
              <w:rPr>
                <w:rFonts w:ascii="Arial Narrow" w:hAnsi="Arial Narrow"/>
                <w:sz w:val="20"/>
                <w:szCs w:val="20"/>
                <w:lang w:val="bg-BG" w:eastAsia="bg-BG"/>
              </w:rPr>
              <w:t>6.3. Повишаване на знанията за състоянието на морската среда</w:t>
            </w:r>
          </w:p>
        </w:tc>
        <w:tc>
          <w:tcPr>
            <w:tcW w:w="432" w:type="pct"/>
            <w:tcBorders>
              <w:top w:val="nil"/>
              <w:left w:val="nil"/>
              <w:bottom w:val="single" w:sz="4" w:space="0" w:color="auto"/>
              <w:right w:val="single" w:sz="4" w:space="0" w:color="auto"/>
            </w:tcBorders>
            <w:shd w:val="clear" w:color="auto" w:fill="auto"/>
            <w:vAlign w:val="center"/>
          </w:tcPr>
          <w:p w14:paraId="7F941676" w14:textId="77777777" w:rsidR="00F44BFC" w:rsidRPr="00F44BFC" w:rsidRDefault="00F44BFC" w:rsidP="00F44BFC">
            <w:pPr>
              <w:jc w:val="center"/>
              <w:rPr>
                <w:rFonts w:ascii="Arial Narrow" w:hAnsi="Arial Narrow"/>
                <w:sz w:val="20"/>
                <w:szCs w:val="20"/>
                <w:lang w:val="bg-BG" w:eastAsia="bg-BG"/>
              </w:rPr>
            </w:pPr>
            <w:r w:rsidRPr="00F44BFC">
              <w:rPr>
                <w:rFonts w:ascii="Arial Narrow" w:hAnsi="Arial Narrow"/>
                <w:sz w:val="20"/>
                <w:szCs w:val="20"/>
                <w:lang w:val="bg-BG" w:eastAsia="bg-BG"/>
              </w:rPr>
              <w:t>1</w:t>
            </w:r>
          </w:p>
        </w:tc>
        <w:tc>
          <w:tcPr>
            <w:tcW w:w="691" w:type="pct"/>
            <w:tcBorders>
              <w:top w:val="nil"/>
              <w:left w:val="nil"/>
              <w:bottom w:val="single" w:sz="4" w:space="0" w:color="auto"/>
              <w:right w:val="single" w:sz="4" w:space="0" w:color="auto"/>
            </w:tcBorders>
            <w:shd w:val="clear" w:color="auto" w:fill="auto"/>
            <w:vAlign w:val="center"/>
          </w:tcPr>
          <w:p w14:paraId="6F2E96D0" w14:textId="77777777" w:rsidR="00F44BFC" w:rsidRPr="00F44BFC" w:rsidRDefault="00F44BFC" w:rsidP="00F44BFC">
            <w:pPr>
              <w:jc w:val="right"/>
              <w:rPr>
                <w:rFonts w:ascii="Arial Narrow" w:hAnsi="Arial Narrow"/>
                <w:sz w:val="20"/>
                <w:szCs w:val="20"/>
                <w:lang w:val="bg-BG" w:eastAsia="bg-BG"/>
              </w:rPr>
            </w:pPr>
            <w:r w:rsidRPr="00F44BFC">
              <w:rPr>
                <w:rFonts w:ascii="Arial Narrow" w:hAnsi="Arial Narrow"/>
                <w:sz w:val="20"/>
                <w:szCs w:val="20"/>
                <w:lang w:val="bg-BG" w:eastAsia="bg-BG"/>
              </w:rPr>
              <w:t xml:space="preserve">2 340,00 </w:t>
            </w:r>
          </w:p>
        </w:tc>
        <w:tc>
          <w:tcPr>
            <w:tcW w:w="734" w:type="pct"/>
            <w:tcBorders>
              <w:top w:val="nil"/>
              <w:left w:val="nil"/>
              <w:bottom w:val="single" w:sz="4" w:space="0" w:color="auto"/>
              <w:right w:val="single" w:sz="4" w:space="0" w:color="auto"/>
            </w:tcBorders>
            <w:shd w:val="clear" w:color="000000" w:fill="FFFFFF"/>
            <w:vAlign w:val="center"/>
          </w:tcPr>
          <w:p w14:paraId="695CA3C5" w14:textId="77777777" w:rsidR="00F44BFC" w:rsidRPr="00F44BFC" w:rsidRDefault="00F44BFC" w:rsidP="00F44BFC">
            <w:pPr>
              <w:jc w:val="right"/>
              <w:rPr>
                <w:rFonts w:ascii="Arial Narrow" w:hAnsi="Arial Narrow"/>
                <w:sz w:val="20"/>
                <w:szCs w:val="20"/>
                <w:lang w:val="bg-BG" w:eastAsia="bg-BG"/>
              </w:rPr>
            </w:pPr>
            <w:r w:rsidRPr="00F44BFC">
              <w:rPr>
                <w:rFonts w:ascii="Arial Narrow" w:hAnsi="Arial Narrow"/>
                <w:sz w:val="20"/>
                <w:szCs w:val="20"/>
                <w:lang w:val="bg-BG" w:eastAsia="bg-BG"/>
              </w:rPr>
              <w:t xml:space="preserve">585,00 </w:t>
            </w:r>
          </w:p>
        </w:tc>
        <w:tc>
          <w:tcPr>
            <w:tcW w:w="809" w:type="pct"/>
            <w:tcBorders>
              <w:top w:val="nil"/>
              <w:left w:val="nil"/>
              <w:bottom w:val="single" w:sz="4" w:space="0" w:color="auto"/>
              <w:right w:val="single" w:sz="4" w:space="0" w:color="auto"/>
            </w:tcBorders>
            <w:shd w:val="clear" w:color="auto" w:fill="auto"/>
            <w:vAlign w:val="center"/>
          </w:tcPr>
          <w:p w14:paraId="2203A04C" w14:textId="77777777" w:rsidR="00F44BFC" w:rsidRPr="00F44BFC" w:rsidRDefault="00F44BFC" w:rsidP="00F44BFC">
            <w:pPr>
              <w:jc w:val="right"/>
              <w:rPr>
                <w:rFonts w:ascii="Arial Narrow" w:hAnsi="Arial Narrow"/>
                <w:sz w:val="20"/>
                <w:szCs w:val="20"/>
                <w:lang w:val="bg-BG" w:eastAsia="bg-BG"/>
              </w:rPr>
            </w:pPr>
            <w:r w:rsidRPr="00F44BFC">
              <w:rPr>
                <w:rFonts w:ascii="Arial Narrow" w:hAnsi="Arial Narrow"/>
                <w:sz w:val="20"/>
                <w:szCs w:val="20"/>
                <w:lang w:val="bg-BG" w:eastAsia="bg-BG"/>
              </w:rPr>
              <w:t>1 755,00</w:t>
            </w:r>
          </w:p>
        </w:tc>
      </w:tr>
      <w:tr w:rsidR="00F44BFC" w:rsidRPr="00F44BFC" w14:paraId="48F703B8" w14:textId="77777777" w:rsidTr="00DA7B44">
        <w:trPr>
          <w:trHeight w:val="426"/>
          <w:jc w:val="center"/>
        </w:trPr>
        <w:tc>
          <w:tcPr>
            <w:tcW w:w="2334" w:type="pct"/>
            <w:tcBorders>
              <w:top w:val="single" w:sz="4" w:space="0" w:color="auto"/>
              <w:left w:val="single" w:sz="4" w:space="0" w:color="auto"/>
              <w:bottom w:val="single" w:sz="4" w:space="0" w:color="auto"/>
              <w:right w:val="single" w:sz="4" w:space="0" w:color="auto"/>
            </w:tcBorders>
            <w:shd w:val="clear" w:color="auto" w:fill="auto"/>
            <w:vAlign w:val="center"/>
          </w:tcPr>
          <w:p w14:paraId="4C970619" w14:textId="77777777" w:rsidR="00F44BFC" w:rsidRPr="00F44BFC" w:rsidRDefault="00F44BFC" w:rsidP="00F44BFC">
            <w:pPr>
              <w:rPr>
                <w:rFonts w:ascii="Arial Narrow" w:hAnsi="Arial Narrow"/>
                <w:sz w:val="20"/>
                <w:szCs w:val="20"/>
                <w:lang w:val="bg-BG" w:eastAsia="bg-BG"/>
              </w:rPr>
            </w:pPr>
            <w:r w:rsidRPr="00F44BFC">
              <w:rPr>
                <w:rFonts w:ascii="Arial Narrow" w:hAnsi="Arial Narrow"/>
                <w:sz w:val="20"/>
                <w:szCs w:val="20"/>
                <w:lang w:val="bg-BG" w:eastAsia="bg-BG"/>
              </w:rPr>
              <w:lastRenderedPageBreak/>
              <w:t>7.1. Техническа помощ</w:t>
            </w:r>
          </w:p>
        </w:tc>
        <w:tc>
          <w:tcPr>
            <w:tcW w:w="432" w:type="pct"/>
            <w:tcBorders>
              <w:top w:val="nil"/>
              <w:left w:val="nil"/>
              <w:bottom w:val="single" w:sz="4" w:space="0" w:color="auto"/>
              <w:right w:val="single" w:sz="4" w:space="0" w:color="auto"/>
            </w:tcBorders>
            <w:shd w:val="clear" w:color="auto" w:fill="auto"/>
            <w:vAlign w:val="center"/>
          </w:tcPr>
          <w:p w14:paraId="58D1C666" w14:textId="77777777" w:rsidR="00F44BFC" w:rsidRPr="00F44BFC" w:rsidRDefault="00F44BFC" w:rsidP="00F44BFC">
            <w:pPr>
              <w:jc w:val="center"/>
              <w:rPr>
                <w:rFonts w:ascii="Arial Narrow" w:hAnsi="Arial Narrow"/>
                <w:sz w:val="20"/>
                <w:szCs w:val="20"/>
                <w:lang w:val="bg-BG" w:eastAsia="bg-BG"/>
              </w:rPr>
            </w:pPr>
            <w:r w:rsidRPr="00F44BFC">
              <w:rPr>
                <w:rFonts w:ascii="Arial Narrow" w:hAnsi="Arial Narrow"/>
                <w:sz w:val="20"/>
                <w:szCs w:val="20"/>
                <w:lang w:val="bg-BG" w:eastAsia="bg-BG"/>
              </w:rPr>
              <w:t>10</w:t>
            </w:r>
          </w:p>
        </w:tc>
        <w:tc>
          <w:tcPr>
            <w:tcW w:w="691" w:type="pct"/>
            <w:tcBorders>
              <w:top w:val="nil"/>
              <w:left w:val="nil"/>
              <w:bottom w:val="single" w:sz="4" w:space="0" w:color="auto"/>
              <w:right w:val="single" w:sz="4" w:space="0" w:color="auto"/>
            </w:tcBorders>
            <w:shd w:val="clear" w:color="auto" w:fill="auto"/>
            <w:vAlign w:val="center"/>
          </w:tcPr>
          <w:p w14:paraId="02B50CB4" w14:textId="77777777" w:rsidR="00F44BFC" w:rsidRPr="00F44BFC" w:rsidRDefault="00F44BFC" w:rsidP="00F44BFC">
            <w:pPr>
              <w:jc w:val="right"/>
              <w:rPr>
                <w:rFonts w:ascii="Arial Narrow" w:hAnsi="Arial Narrow"/>
                <w:sz w:val="20"/>
                <w:szCs w:val="20"/>
                <w:lang w:val="bg-BG" w:eastAsia="bg-BG"/>
              </w:rPr>
            </w:pPr>
            <w:r w:rsidRPr="00F44BFC">
              <w:rPr>
                <w:rFonts w:ascii="Arial Narrow" w:hAnsi="Arial Narrow"/>
                <w:sz w:val="20"/>
                <w:szCs w:val="20"/>
                <w:lang w:val="bg-BG" w:eastAsia="bg-BG"/>
              </w:rPr>
              <w:t xml:space="preserve">3 050 256,05 </w:t>
            </w:r>
          </w:p>
        </w:tc>
        <w:tc>
          <w:tcPr>
            <w:tcW w:w="734" w:type="pct"/>
            <w:tcBorders>
              <w:top w:val="nil"/>
              <w:left w:val="nil"/>
              <w:bottom w:val="single" w:sz="4" w:space="0" w:color="auto"/>
              <w:right w:val="single" w:sz="4" w:space="0" w:color="auto"/>
            </w:tcBorders>
            <w:shd w:val="clear" w:color="000000" w:fill="FFFFFF"/>
            <w:vAlign w:val="center"/>
          </w:tcPr>
          <w:p w14:paraId="76B4FA1A" w14:textId="77777777" w:rsidR="00F44BFC" w:rsidRPr="00F44BFC" w:rsidRDefault="00F44BFC" w:rsidP="00F44BFC">
            <w:pPr>
              <w:jc w:val="right"/>
              <w:rPr>
                <w:rFonts w:ascii="Arial Narrow" w:hAnsi="Arial Narrow"/>
                <w:sz w:val="20"/>
                <w:szCs w:val="20"/>
                <w:lang w:val="bg-BG" w:eastAsia="bg-BG"/>
              </w:rPr>
            </w:pPr>
            <w:r w:rsidRPr="00F44BFC">
              <w:rPr>
                <w:rFonts w:ascii="Arial Narrow" w:hAnsi="Arial Narrow"/>
                <w:sz w:val="20"/>
                <w:szCs w:val="20"/>
                <w:lang w:val="bg-BG" w:eastAsia="bg-BG"/>
              </w:rPr>
              <w:t>762 564,02</w:t>
            </w:r>
          </w:p>
        </w:tc>
        <w:tc>
          <w:tcPr>
            <w:tcW w:w="809" w:type="pct"/>
            <w:tcBorders>
              <w:top w:val="nil"/>
              <w:left w:val="nil"/>
              <w:bottom w:val="single" w:sz="4" w:space="0" w:color="auto"/>
              <w:right w:val="single" w:sz="4" w:space="0" w:color="auto"/>
            </w:tcBorders>
            <w:shd w:val="clear" w:color="auto" w:fill="auto"/>
            <w:vAlign w:val="center"/>
          </w:tcPr>
          <w:p w14:paraId="17EBB7CD" w14:textId="77777777" w:rsidR="00F44BFC" w:rsidRPr="00F44BFC" w:rsidRDefault="00F44BFC" w:rsidP="00F44BFC">
            <w:pPr>
              <w:jc w:val="right"/>
              <w:rPr>
                <w:rFonts w:ascii="Arial Narrow" w:hAnsi="Arial Narrow"/>
                <w:sz w:val="20"/>
                <w:szCs w:val="20"/>
                <w:lang w:val="bg-BG" w:eastAsia="bg-BG"/>
              </w:rPr>
            </w:pPr>
            <w:r w:rsidRPr="00F44BFC">
              <w:rPr>
                <w:rFonts w:ascii="Arial Narrow" w:hAnsi="Arial Narrow"/>
                <w:sz w:val="20"/>
                <w:szCs w:val="20"/>
                <w:lang w:val="bg-BG" w:eastAsia="bg-BG"/>
              </w:rPr>
              <w:t>2 287 692,03</w:t>
            </w:r>
          </w:p>
        </w:tc>
      </w:tr>
      <w:tr w:rsidR="00F44BFC" w:rsidRPr="00F44BFC" w14:paraId="26F4414A" w14:textId="77777777" w:rsidTr="00DA7B44">
        <w:trPr>
          <w:trHeight w:val="397"/>
          <w:jc w:val="center"/>
        </w:trPr>
        <w:tc>
          <w:tcPr>
            <w:tcW w:w="2334" w:type="pct"/>
            <w:tcBorders>
              <w:top w:val="single" w:sz="4" w:space="0" w:color="auto"/>
              <w:left w:val="single" w:sz="4" w:space="0" w:color="auto"/>
              <w:bottom w:val="single" w:sz="4" w:space="0" w:color="auto"/>
              <w:right w:val="single" w:sz="4" w:space="0" w:color="auto"/>
            </w:tcBorders>
            <w:shd w:val="clear" w:color="auto" w:fill="auto"/>
            <w:vAlign w:val="center"/>
          </w:tcPr>
          <w:p w14:paraId="4756984A" w14:textId="77777777" w:rsidR="00F44BFC" w:rsidRPr="00F44BFC" w:rsidRDefault="00F44BFC" w:rsidP="00F44BFC">
            <w:pPr>
              <w:rPr>
                <w:rFonts w:ascii="Arial Narrow" w:hAnsi="Arial Narrow"/>
                <w:b/>
                <w:sz w:val="20"/>
                <w:szCs w:val="20"/>
                <w:lang w:val="bg-BG" w:eastAsia="bg-BG"/>
              </w:rPr>
            </w:pPr>
            <w:r w:rsidRPr="00F44BFC">
              <w:rPr>
                <w:rFonts w:ascii="Arial Narrow" w:hAnsi="Arial Narrow"/>
                <w:b/>
                <w:sz w:val="20"/>
                <w:szCs w:val="20"/>
                <w:lang w:val="bg-BG" w:eastAsia="bg-BG"/>
              </w:rPr>
              <w:t>Общо:</w:t>
            </w:r>
          </w:p>
        </w:tc>
        <w:tc>
          <w:tcPr>
            <w:tcW w:w="432" w:type="pct"/>
            <w:tcBorders>
              <w:top w:val="nil"/>
              <w:left w:val="nil"/>
              <w:bottom w:val="single" w:sz="4" w:space="0" w:color="auto"/>
              <w:right w:val="single" w:sz="4" w:space="0" w:color="auto"/>
            </w:tcBorders>
            <w:shd w:val="clear" w:color="auto" w:fill="auto"/>
            <w:vAlign w:val="center"/>
          </w:tcPr>
          <w:p w14:paraId="601D1EAE" w14:textId="77777777" w:rsidR="00F44BFC" w:rsidRPr="00F44BFC" w:rsidRDefault="00F44BFC" w:rsidP="00F44BFC">
            <w:pPr>
              <w:jc w:val="center"/>
              <w:rPr>
                <w:rFonts w:ascii="Arial Narrow" w:hAnsi="Arial Narrow"/>
                <w:b/>
                <w:sz w:val="20"/>
                <w:szCs w:val="20"/>
                <w:lang w:val="bg-BG" w:eastAsia="bg-BG"/>
              </w:rPr>
            </w:pPr>
            <w:r w:rsidRPr="00F44BFC">
              <w:rPr>
                <w:rFonts w:ascii="Arial Narrow" w:hAnsi="Arial Narrow"/>
                <w:b/>
                <w:sz w:val="20"/>
                <w:szCs w:val="20"/>
                <w:lang w:val="bg-BG" w:eastAsia="bg-BG"/>
              </w:rPr>
              <w:t>339</w:t>
            </w:r>
          </w:p>
        </w:tc>
        <w:tc>
          <w:tcPr>
            <w:tcW w:w="691" w:type="pct"/>
            <w:tcBorders>
              <w:top w:val="nil"/>
              <w:left w:val="nil"/>
              <w:bottom w:val="single" w:sz="4" w:space="0" w:color="auto"/>
              <w:right w:val="single" w:sz="4" w:space="0" w:color="auto"/>
            </w:tcBorders>
            <w:shd w:val="clear" w:color="auto" w:fill="auto"/>
            <w:vAlign w:val="center"/>
          </w:tcPr>
          <w:p w14:paraId="582EE435" w14:textId="77777777" w:rsidR="00F44BFC" w:rsidRPr="00F44BFC" w:rsidRDefault="00F44BFC" w:rsidP="00F44BFC">
            <w:pPr>
              <w:jc w:val="right"/>
              <w:rPr>
                <w:rFonts w:ascii="Arial Narrow" w:hAnsi="Arial Narrow"/>
                <w:b/>
                <w:sz w:val="20"/>
                <w:szCs w:val="20"/>
                <w:lang w:val="bg-BG" w:eastAsia="bg-BG"/>
              </w:rPr>
            </w:pPr>
            <w:r w:rsidRPr="00F44BFC">
              <w:rPr>
                <w:rFonts w:ascii="Arial Narrow" w:hAnsi="Arial Narrow"/>
                <w:b/>
                <w:sz w:val="20"/>
                <w:szCs w:val="20"/>
                <w:lang w:val="bg-BG" w:eastAsia="bg-BG"/>
              </w:rPr>
              <w:t xml:space="preserve">35 954 548,33 </w:t>
            </w:r>
          </w:p>
        </w:tc>
        <w:tc>
          <w:tcPr>
            <w:tcW w:w="734" w:type="pct"/>
            <w:tcBorders>
              <w:top w:val="nil"/>
              <w:left w:val="nil"/>
              <w:bottom w:val="single" w:sz="4" w:space="0" w:color="auto"/>
              <w:right w:val="single" w:sz="4" w:space="0" w:color="auto"/>
            </w:tcBorders>
            <w:shd w:val="clear" w:color="auto" w:fill="auto"/>
            <w:vAlign w:val="center"/>
          </w:tcPr>
          <w:p w14:paraId="19F5ADC8" w14:textId="77777777" w:rsidR="00F44BFC" w:rsidRPr="00F44BFC" w:rsidRDefault="00F44BFC" w:rsidP="00F44BFC">
            <w:pPr>
              <w:jc w:val="right"/>
              <w:rPr>
                <w:rFonts w:ascii="Arial Narrow" w:hAnsi="Arial Narrow"/>
                <w:b/>
                <w:sz w:val="20"/>
                <w:szCs w:val="20"/>
                <w:lang w:val="bg-BG" w:eastAsia="bg-BG"/>
              </w:rPr>
            </w:pPr>
            <w:r w:rsidRPr="00F44BFC">
              <w:rPr>
                <w:rFonts w:ascii="Arial Narrow" w:hAnsi="Arial Narrow"/>
                <w:b/>
                <w:sz w:val="20"/>
                <w:szCs w:val="20"/>
                <w:lang w:val="bg-BG" w:eastAsia="bg-BG"/>
              </w:rPr>
              <w:t>8 057 624,07</w:t>
            </w:r>
          </w:p>
        </w:tc>
        <w:tc>
          <w:tcPr>
            <w:tcW w:w="809" w:type="pct"/>
            <w:tcBorders>
              <w:top w:val="nil"/>
              <w:left w:val="nil"/>
              <w:bottom w:val="single" w:sz="4" w:space="0" w:color="auto"/>
              <w:right w:val="single" w:sz="4" w:space="0" w:color="auto"/>
            </w:tcBorders>
            <w:shd w:val="clear" w:color="auto" w:fill="auto"/>
            <w:vAlign w:val="center"/>
          </w:tcPr>
          <w:p w14:paraId="0118940C" w14:textId="77777777" w:rsidR="00F44BFC" w:rsidRPr="00F44BFC" w:rsidRDefault="00F44BFC" w:rsidP="00F44BFC">
            <w:pPr>
              <w:jc w:val="right"/>
              <w:rPr>
                <w:rFonts w:ascii="Arial Narrow" w:hAnsi="Arial Narrow"/>
                <w:b/>
                <w:sz w:val="20"/>
                <w:szCs w:val="20"/>
                <w:lang w:val="bg-BG" w:eastAsia="bg-BG"/>
              </w:rPr>
            </w:pPr>
            <w:r w:rsidRPr="00F44BFC">
              <w:rPr>
                <w:rFonts w:ascii="Arial Narrow" w:hAnsi="Arial Narrow"/>
                <w:b/>
                <w:sz w:val="20"/>
                <w:szCs w:val="20"/>
                <w:lang w:val="bg-BG" w:eastAsia="bg-BG"/>
              </w:rPr>
              <w:t xml:space="preserve">27 896 924,26 </w:t>
            </w:r>
          </w:p>
        </w:tc>
      </w:tr>
    </w:tbl>
    <w:p w14:paraId="03797ED1" w14:textId="77777777" w:rsidR="00F44BFC" w:rsidRPr="00007F21" w:rsidRDefault="00F44BFC" w:rsidP="00F44BFC">
      <w:pPr>
        <w:spacing w:after="240"/>
        <w:rPr>
          <w:rFonts w:ascii="Arial Narrow" w:hAnsi="Arial Narrow"/>
          <w:lang w:val="bg-BG" w:eastAsia="bg-BG"/>
        </w:rPr>
      </w:pPr>
      <w:r w:rsidRPr="00007F21">
        <w:rPr>
          <w:rFonts w:ascii="Arial Narrow" w:hAnsi="Arial Narrow"/>
          <w:i/>
          <w:sz w:val="18"/>
          <w:szCs w:val="18"/>
          <w:lang w:val="bg-BG" w:eastAsia="bg-BG"/>
        </w:rPr>
        <w:t xml:space="preserve">Източник: </w:t>
      </w:r>
      <w:r w:rsidRPr="00007F21">
        <w:rPr>
          <w:rFonts w:ascii="Arial Narrow" w:hAnsi="Arial Narrow"/>
          <w:sz w:val="18"/>
          <w:szCs w:val="18"/>
          <w:lang w:val="bg-BG" w:eastAsia="bg-BG"/>
        </w:rPr>
        <w:t>ДФЗ</w:t>
      </w:r>
    </w:p>
    <w:p w14:paraId="6702C91D" w14:textId="77777777" w:rsidR="00F44BFC" w:rsidRPr="00F44BFC" w:rsidRDefault="00F44BFC" w:rsidP="00F44BFC">
      <w:pPr>
        <w:spacing w:after="120"/>
        <w:ind w:firstLine="709"/>
        <w:jc w:val="both"/>
        <w:rPr>
          <w:rFonts w:ascii="Arial Narrow" w:hAnsi="Arial Narrow"/>
          <w:b/>
          <w:lang w:val="bg-BG" w:eastAsia="bg-BG"/>
        </w:rPr>
      </w:pPr>
      <w:r w:rsidRPr="00F44BFC">
        <w:rPr>
          <w:rFonts w:ascii="Arial Narrow" w:hAnsi="Arial Narrow"/>
          <w:b/>
          <w:lang w:val="bg-BG" w:eastAsia="bg-BG"/>
        </w:rPr>
        <w:t xml:space="preserve">Общ напредък в изпълнението на Програма за морско дело и рибарство 2014 - 2020 към 26.06.2025 г. </w:t>
      </w:r>
    </w:p>
    <w:p w14:paraId="70EA5408" w14:textId="77777777" w:rsidR="00F44BFC" w:rsidRPr="00F44BFC" w:rsidRDefault="00F44BFC" w:rsidP="00F44BFC">
      <w:pPr>
        <w:spacing w:after="120"/>
        <w:ind w:firstLine="709"/>
        <w:jc w:val="both"/>
        <w:rPr>
          <w:rFonts w:ascii="Arial Narrow" w:hAnsi="Arial Narrow"/>
          <w:b/>
          <w:i/>
          <w:lang w:val="bg-BG" w:eastAsia="bg-BG"/>
        </w:rPr>
      </w:pPr>
      <w:r w:rsidRPr="00F44BFC">
        <w:rPr>
          <w:rFonts w:ascii="Arial Narrow" w:hAnsi="Arial Narrow"/>
          <w:b/>
          <w:i/>
          <w:lang w:val="bg-BG" w:eastAsia="bg-BG"/>
        </w:rPr>
        <w:t>Приоритет 1 „Насърчаване на устойчиво в екологично отношение, иновативно, конкурентоспособно и основано на знания рибарство, характеризиращо се с ефективно използване на ресурсите“</w:t>
      </w:r>
    </w:p>
    <w:p w14:paraId="68A6AE0A" w14:textId="77777777" w:rsidR="00F44BFC" w:rsidRPr="00F44BFC" w:rsidRDefault="00F44BFC" w:rsidP="00F44BFC">
      <w:pPr>
        <w:spacing w:after="120"/>
        <w:ind w:firstLine="709"/>
        <w:jc w:val="both"/>
        <w:rPr>
          <w:rFonts w:ascii="Arial Narrow" w:hAnsi="Arial Narrow"/>
          <w:lang w:val="bg-BG" w:eastAsia="bg-BG"/>
        </w:rPr>
      </w:pPr>
      <w:r w:rsidRPr="00F44BFC">
        <w:rPr>
          <w:rFonts w:ascii="Arial Narrow" w:hAnsi="Arial Narrow"/>
          <w:lang w:val="bg-BG" w:eastAsia="bg-BG"/>
        </w:rPr>
        <w:t>Мярка 1.1. „Диверсификация и нови форми на доход“ - извършено е едно плащане с обща стойност на безвъзмездната финансова помощ 131 027 лева.</w:t>
      </w:r>
    </w:p>
    <w:p w14:paraId="5D6FAEA4" w14:textId="77777777" w:rsidR="00F44BFC" w:rsidRPr="00F44BFC" w:rsidRDefault="00F44BFC" w:rsidP="00F44BFC">
      <w:pPr>
        <w:spacing w:after="120"/>
        <w:ind w:firstLine="709"/>
        <w:jc w:val="both"/>
        <w:rPr>
          <w:rFonts w:ascii="Arial Narrow" w:hAnsi="Arial Narrow"/>
          <w:lang w:val="bg-BG" w:eastAsia="bg-BG"/>
        </w:rPr>
      </w:pPr>
      <w:r w:rsidRPr="00F44BFC">
        <w:rPr>
          <w:rFonts w:ascii="Arial Narrow" w:hAnsi="Arial Narrow"/>
          <w:lang w:val="bg-BG" w:eastAsia="bg-BG"/>
        </w:rPr>
        <w:t>Мярка 1.2. „Инвестиции за подобрение на хигиената, здравето, безопасността и условията на труд на борда или индивидуално оборудване“, при условие че посочените инвестиции надхвърлят изискванията съгласно правото на Съюза или националн</w:t>
      </w:r>
      <w:r w:rsidR="00F03D01">
        <w:rPr>
          <w:rFonts w:ascii="Arial Narrow" w:hAnsi="Arial Narrow"/>
          <w:lang w:val="bg-BG" w:eastAsia="bg-BG"/>
        </w:rPr>
        <w:t>ото право - извършени плащания -</w:t>
      </w:r>
      <w:r w:rsidRPr="00F44BFC">
        <w:rPr>
          <w:rFonts w:ascii="Arial Narrow" w:hAnsi="Arial Narrow"/>
          <w:lang w:val="bg-BG" w:eastAsia="bg-BG"/>
        </w:rPr>
        <w:t xml:space="preserve"> 2 броя с обща стойност на безвъзмездната финансова помощ 15 762 лева.</w:t>
      </w:r>
    </w:p>
    <w:p w14:paraId="208BB0D5" w14:textId="77777777" w:rsidR="00F44BFC" w:rsidRPr="00F44BFC" w:rsidRDefault="00F44BFC" w:rsidP="00F44BFC">
      <w:pPr>
        <w:spacing w:after="120"/>
        <w:ind w:firstLine="709"/>
        <w:jc w:val="both"/>
        <w:rPr>
          <w:rFonts w:ascii="Arial Narrow" w:hAnsi="Arial Narrow"/>
          <w:lang w:val="bg-BG" w:eastAsia="bg-BG"/>
        </w:rPr>
      </w:pPr>
      <w:r w:rsidRPr="00F44BFC">
        <w:rPr>
          <w:rFonts w:ascii="Arial Narrow" w:hAnsi="Arial Narrow"/>
          <w:lang w:val="bg-BG" w:eastAsia="bg-BG"/>
        </w:rPr>
        <w:t xml:space="preserve">Мярка 1.3. „Окончателно преустановяване на риболовните </w:t>
      </w:r>
      <w:r w:rsidR="00F03D01">
        <w:rPr>
          <w:rFonts w:ascii="Arial Narrow" w:hAnsi="Arial Narrow"/>
          <w:lang w:val="bg-BG" w:eastAsia="bg-BG"/>
        </w:rPr>
        <w:t>дейности” - извършени плащания -</w:t>
      </w:r>
      <w:r w:rsidRPr="00F44BFC">
        <w:rPr>
          <w:rFonts w:ascii="Arial Narrow" w:hAnsi="Arial Narrow"/>
          <w:lang w:val="bg-BG" w:eastAsia="bg-BG"/>
        </w:rPr>
        <w:t xml:space="preserve"> 8 броя с обща стойност на безвъзмездната финансова помощ 483 173 лева.</w:t>
      </w:r>
    </w:p>
    <w:p w14:paraId="2A0B9A65" w14:textId="77777777" w:rsidR="00F44BFC" w:rsidRPr="00F44BFC" w:rsidRDefault="00F44BFC" w:rsidP="00F44BFC">
      <w:pPr>
        <w:spacing w:after="120"/>
        <w:ind w:firstLine="709"/>
        <w:jc w:val="both"/>
        <w:rPr>
          <w:rFonts w:ascii="Arial Narrow" w:hAnsi="Arial Narrow"/>
          <w:lang w:val="bg-BG" w:eastAsia="bg-BG"/>
        </w:rPr>
      </w:pPr>
      <w:r w:rsidRPr="00F44BFC">
        <w:rPr>
          <w:rFonts w:ascii="Arial Narrow" w:hAnsi="Arial Narrow"/>
          <w:lang w:val="bg-BG" w:eastAsia="bg-BG"/>
        </w:rPr>
        <w:t>Мярка 1.6. „Опазване и възстановяване на морското биологично разнообразие и екосистеми и компенсационни режими“ - извършени пл</w:t>
      </w:r>
      <w:r w:rsidR="00F03D01">
        <w:rPr>
          <w:rFonts w:ascii="Arial Narrow" w:hAnsi="Arial Narrow"/>
          <w:lang w:val="bg-BG" w:eastAsia="bg-BG"/>
        </w:rPr>
        <w:t>ащания -</w:t>
      </w:r>
      <w:r w:rsidRPr="00F44BFC">
        <w:rPr>
          <w:rFonts w:ascii="Arial Narrow" w:hAnsi="Arial Narrow"/>
          <w:lang w:val="bg-BG" w:eastAsia="bg-BG"/>
        </w:rPr>
        <w:t xml:space="preserve"> 7 броя с обща стойност на безвъзмездната финансова помощ 718 217 лева.</w:t>
      </w:r>
    </w:p>
    <w:p w14:paraId="1A2EE551" w14:textId="77777777" w:rsidR="00F44BFC" w:rsidRPr="00F44BFC" w:rsidRDefault="00F44BFC" w:rsidP="00F44BFC">
      <w:pPr>
        <w:spacing w:after="120"/>
        <w:ind w:firstLine="709"/>
        <w:jc w:val="both"/>
        <w:rPr>
          <w:rFonts w:ascii="Arial Narrow" w:hAnsi="Arial Narrow"/>
          <w:lang w:val="bg-BG" w:eastAsia="bg-BG"/>
        </w:rPr>
      </w:pPr>
      <w:r w:rsidRPr="00F44BFC">
        <w:rPr>
          <w:rFonts w:ascii="Arial Narrow" w:hAnsi="Arial Narrow"/>
          <w:lang w:val="bg-BG" w:eastAsia="bg-BG"/>
        </w:rPr>
        <w:t>Мярка 1.7. „Добавена стойност, качество на продуктите и използване на нежела</w:t>
      </w:r>
      <w:r w:rsidR="00F03D01">
        <w:rPr>
          <w:rFonts w:ascii="Arial Narrow" w:hAnsi="Arial Narrow"/>
          <w:lang w:val="bg-BG" w:eastAsia="bg-BG"/>
        </w:rPr>
        <w:t>ния улов“ - извършени плащания -</w:t>
      </w:r>
      <w:r w:rsidRPr="00F44BFC">
        <w:rPr>
          <w:rFonts w:ascii="Arial Narrow" w:hAnsi="Arial Narrow"/>
          <w:lang w:val="bg-BG" w:eastAsia="bg-BG"/>
        </w:rPr>
        <w:t xml:space="preserve"> 4 броя с обща стойност на безвъзмездната финансова помощ 359 673 лева.</w:t>
      </w:r>
    </w:p>
    <w:p w14:paraId="142018FD" w14:textId="77777777" w:rsidR="00F44BFC" w:rsidRPr="00F44BFC" w:rsidRDefault="00F44BFC" w:rsidP="00F44BFC">
      <w:pPr>
        <w:spacing w:after="120"/>
        <w:ind w:firstLine="709"/>
        <w:jc w:val="both"/>
        <w:rPr>
          <w:rFonts w:ascii="Arial Narrow" w:hAnsi="Arial Narrow"/>
          <w:lang w:val="bg-BG" w:eastAsia="bg-BG"/>
        </w:rPr>
      </w:pPr>
      <w:r w:rsidRPr="00F44BFC">
        <w:rPr>
          <w:rFonts w:ascii="Arial Narrow" w:hAnsi="Arial Narrow"/>
          <w:lang w:val="bg-BG" w:eastAsia="bg-BG"/>
        </w:rPr>
        <w:t>Мярка 1.8. „Инвестиции за подобрение на инфраструктурата в рибарските пристанища, инвестиции за подобрение на кейови места за разтоварване. Изграждане или модернизацията на лодк</w:t>
      </w:r>
      <w:r w:rsidR="00F03D01">
        <w:rPr>
          <w:rFonts w:ascii="Arial Narrow" w:hAnsi="Arial Narrow"/>
          <w:lang w:val="bg-BG" w:eastAsia="bg-BG"/>
        </w:rPr>
        <w:t>остоянки“ - извършени плащания -</w:t>
      </w:r>
      <w:r w:rsidRPr="00F44BFC">
        <w:rPr>
          <w:rFonts w:ascii="Arial Narrow" w:hAnsi="Arial Narrow"/>
          <w:lang w:val="bg-BG" w:eastAsia="bg-BG"/>
        </w:rPr>
        <w:t xml:space="preserve"> 36 броя с обща стойност на безвъзмездната финансова помощ 29 398 929 лева.</w:t>
      </w:r>
    </w:p>
    <w:p w14:paraId="2E6B5D1B" w14:textId="77777777" w:rsidR="00F44BFC" w:rsidRPr="00F44BFC" w:rsidRDefault="00F44BFC" w:rsidP="00F44BFC">
      <w:pPr>
        <w:spacing w:after="120"/>
        <w:ind w:firstLine="709"/>
        <w:jc w:val="both"/>
        <w:rPr>
          <w:lang w:val="bg-BG" w:eastAsia="bg-BG"/>
        </w:rPr>
      </w:pPr>
      <w:r w:rsidRPr="00F44BFC">
        <w:rPr>
          <w:rFonts w:ascii="Arial Narrow" w:hAnsi="Arial Narrow"/>
          <w:lang w:val="bg-BG" w:eastAsia="bg-BG"/>
        </w:rPr>
        <w:t>Мярка 1.9. „Подкрепа за собственици на риболовни кораби и рибари за преодоляване на икономическите последствия от избухването на COVID-19, поради временно преустановяване на риболовната</w:t>
      </w:r>
      <w:r w:rsidR="00F03D01">
        <w:rPr>
          <w:rFonts w:ascii="Arial Narrow" w:hAnsi="Arial Narrow"/>
          <w:lang w:val="bg-BG" w:eastAsia="bg-BG"/>
        </w:rPr>
        <w:t xml:space="preserve"> дейност“ - извършени плащания -</w:t>
      </w:r>
      <w:r w:rsidRPr="00F44BFC">
        <w:rPr>
          <w:rFonts w:ascii="Arial Narrow" w:hAnsi="Arial Narrow"/>
          <w:lang w:val="bg-BG" w:eastAsia="bg-BG"/>
        </w:rPr>
        <w:t xml:space="preserve"> 147 броя с обща стойност на безвъзмездната финансова помощ 4 697 542 лева.</w:t>
      </w:r>
      <w:r w:rsidRPr="00F44BFC">
        <w:rPr>
          <w:lang w:val="bg-BG" w:eastAsia="bg-BG"/>
        </w:rPr>
        <w:t xml:space="preserve"> </w:t>
      </w:r>
    </w:p>
    <w:p w14:paraId="67DF9B50" w14:textId="77777777" w:rsidR="00F44BFC" w:rsidRPr="00F44BFC" w:rsidRDefault="00F44BFC" w:rsidP="00F44BFC">
      <w:pPr>
        <w:spacing w:after="120"/>
        <w:ind w:firstLine="709"/>
        <w:jc w:val="both"/>
        <w:rPr>
          <w:rFonts w:ascii="Arial Narrow" w:hAnsi="Arial Narrow"/>
          <w:lang w:val="bg-BG" w:eastAsia="bg-BG"/>
        </w:rPr>
      </w:pPr>
      <w:r w:rsidRPr="00F44BFC">
        <w:rPr>
          <w:rFonts w:ascii="Arial Narrow" w:hAnsi="Arial Narrow"/>
          <w:lang w:val="bg-BG" w:eastAsia="bg-BG"/>
        </w:rPr>
        <w:t>Мярка 1.9. „Временно преустановяване на риболовната дейност (</w:t>
      </w:r>
      <w:r w:rsidR="00F03D01">
        <w:rPr>
          <w:rFonts w:ascii="Arial Narrow" w:hAnsi="Arial Narrow"/>
          <w:lang w:val="bg-BG" w:eastAsia="bg-BG"/>
        </w:rPr>
        <w:t>Украйна)“ - извършени плащания -</w:t>
      </w:r>
      <w:r w:rsidRPr="00F44BFC">
        <w:rPr>
          <w:rFonts w:ascii="Arial Narrow" w:hAnsi="Arial Narrow"/>
          <w:lang w:val="bg-BG" w:eastAsia="bg-BG"/>
        </w:rPr>
        <w:t xml:space="preserve"> 61 броя с обща стойност на безвъзмездната финансова помощ 1 198 264 лева.</w:t>
      </w:r>
    </w:p>
    <w:p w14:paraId="08564959" w14:textId="77777777" w:rsidR="00F44BFC" w:rsidRPr="00F44BFC" w:rsidRDefault="00F44BFC" w:rsidP="00F44BFC">
      <w:pPr>
        <w:spacing w:after="120"/>
        <w:ind w:firstLine="709"/>
        <w:jc w:val="both"/>
        <w:rPr>
          <w:rFonts w:ascii="Arial Narrow" w:hAnsi="Arial Narrow"/>
          <w:b/>
          <w:i/>
          <w:lang w:val="bg-BG" w:eastAsia="bg-BG"/>
        </w:rPr>
      </w:pPr>
      <w:r w:rsidRPr="00F44BFC">
        <w:rPr>
          <w:rFonts w:ascii="Arial Narrow" w:hAnsi="Arial Narrow"/>
          <w:b/>
          <w:i/>
          <w:lang w:val="bg-BG" w:eastAsia="bg-BG"/>
        </w:rPr>
        <w:t>Приоритет 2 „Насърчаване на устойчивите в екологично отношение, иновативни, конкурентоспособни и основани на знания аквакултури с ефективно използване на ресурсите“</w:t>
      </w:r>
    </w:p>
    <w:p w14:paraId="7148836A" w14:textId="77777777" w:rsidR="00F44BFC" w:rsidRPr="00F44BFC" w:rsidRDefault="00F44BFC" w:rsidP="00F44BFC">
      <w:pPr>
        <w:spacing w:after="120"/>
        <w:ind w:firstLine="709"/>
        <w:jc w:val="both"/>
        <w:rPr>
          <w:rFonts w:ascii="Arial Narrow" w:hAnsi="Arial Narrow"/>
          <w:lang w:val="bg-BG" w:eastAsia="bg-BG"/>
        </w:rPr>
      </w:pPr>
      <w:r w:rsidRPr="00F44BFC">
        <w:rPr>
          <w:rFonts w:ascii="Arial Narrow" w:hAnsi="Arial Narrow"/>
          <w:lang w:val="bg-BG" w:eastAsia="bg-BG"/>
        </w:rPr>
        <w:t>Мярка 2.2. „Продуктивни инвестиции в акв</w:t>
      </w:r>
      <w:r w:rsidR="00F03D01">
        <w:rPr>
          <w:rFonts w:ascii="Arial Narrow" w:hAnsi="Arial Narrow"/>
          <w:lang w:val="bg-BG" w:eastAsia="bg-BG"/>
        </w:rPr>
        <w:t>акултура“ - извършени плащания -</w:t>
      </w:r>
      <w:r w:rsidRPr="00F44BFC">
        <w:rPr>
          <w:rFonts w:ascii="Arial Narrow" w:hAnsi="Arial Narrow"/>
          <w:lang w:val="bg-BG" w:eastAsia="bg-BG"/>
        </w:rPr>
        <w:t xml:space="preserve"> 107 броя с обща стойност на безвъзмездната финансова помощ 21 243 221 лева.</w:t>
      </w:r>
    </w:p>
    <w:p w14:paraId="05E68088" w14:textId="77777777" w:rsidR="00F44BFC" w:rsidRPr="00F44BFC" w:rsidRDefault="00F44BFC" w:rsidP="00F44BFC">
      <w:pPr>
        <w:spacing w:after="120"/>
        <w:ind w:firstLine="709"/>
        <w:jc w:val="both"/>
        <w:rPr>
          <w:rFonts w:ascii="Arial Narrow" w:hAnsi="Arial Narrow"/>
          <w:lang w:val="bg-BG" w:eastAsia="bg-BG"/>
        </w:rPr>
      </w:pPr>
      <w:r w:rsidRPr="00F44BFC">
        <w:rPr>
          <w:rFonts w:ascii="Arial Narrow" w:hAnsi="Arial Narrow"/>
          <w:lang w:val="bg-BG" w:eastAsia="bg-BG"/>
        </w:rPr>
        <w:t>Мярка 2.3. „Насърчаване на нови производители на аквакултури, развиващи устойчиви акв</w:t>
      </w:r>
      <w:r w:rsidR="00F03D01">
        <w:rPr>
          <w:rFonts w:ascii="Arial Narrow" w:hAnsi="Arial Narrow"/>
          <w:lang w:val="bg-BG" w:eastAsia="bg-BG"/>
        </w:rPr>
        <w:t>акултури“ - извършени плащания -</w:t>
      </w:r>
      <w:r w:rsidRPr="00F44BFC">
        <w:rPr>
          <w:rFonts w:ascii="Arial Narrow" w:hAnsi="Arial Narrow"/>
          <w:lang w:val="bg-BG" w:eastAsia="bg-BG"/>
        </w:rPr>
        <w:t xml:space="preserve"> 22 броя с обща стойност на безвъзмездната финансова помощ 5 756 217 лева.</w:t>
      </w:r>
    </w:p>
    <w:p w14:paraId="76DDA12B" w14:textId="77777777" w:rsidR="00F44BFC" w:rsidRPr="00F44BFC" w:rsidRDefault="00F44BFC" w:rsidP="00F44BFC">
      <w:pPr>
        <w:spacing w:after="120"/>
        <w:ind w:firstLine="709"/>
        <w:jc w:val="both"/>
        <w:rPr>
          <w:rFonts w:ascii="Arial Narrow" w:hAnsi="Arial Narrow"/>
          <w:lang w:val="bg-BG" w:eastAsia="bg-BG"/>
        </w:rPr>
      </w:pPr>
      <w:r w:rsidRPr="00F44BFC">
        <w:rPr>
          <w:rFonts w:ascii="Arial Narrow" w:hAnsi="Arial Narrow"/>
          <w:lang w:val="bg-BG" w:eastAsia="bg-BG"/>
        </w:rPr>
        <w:t>Мярка 2.5. „Аквакултури, осигуряващи екологичн</w:t>
      </w:r>
      <w:r w:rsidR="00F03D01">
        <w:rPr>
          <w:rFonts w:ascii="Arial Narrow" w:hAnsi="Arial Narrow"/>
          <w:lang w:val="bg-BG" w:eastAsia="bg-BG"/>
        </w:rPr>
        <w:t>и услуги“ - извършени плащания -</w:t>
      </w:r>
      <w:r w:rsidRPr="00F44BFC">
        <w:rPr>
          <w:rFonts w:ascii="Arial Narrow" w:hAnsi="Arial Narrow"/>
          <w:lang w:val="bg-BG" w:eastAsia="bg-BG"/>
        </w:rPr>
        <w:t xml:space="preserve"> 18 броя с обща стойност на безвъзмездната финансова помощ 1 498 844 лева.</w:t>
      </w:r>
    </w:p>
    <w:p w14:paraId="2F7CDE91" w14:textId="77777777" w:rsidR="00F44BFC" w:rsidRPr="00F44BFC" w:rsidRDefault="00F44BFC" w:rsidP="00F44BFC">
      <w:pPr>
        <w:spacing w:after="120"/>
        <w:ind w:firstLine="709"/>
        <w:jc w:val="both"/>
        <w:rPr>
          <w:rFonts w:ascii="Arial Narrow" w:hAnsi="Arial Narrow"/>
          <w:lang w:val="bg-BG" w:eastAsia="bg-BG"/>
        </w:rPr>
      </w:pPr>
      <w:r w:rsidRPr="00F44BFC">
        <w:rPr>
          <w:rFonts w:ascii="Arial Narrow" w:hAnsi="Arial Narrow"/>
          <w:lang w:val="bg-BG" w:eastAsia="bg-BG"/>
        </w:rPr>
        <w:t xml:space="preserve">Мярка 2.6. „Подкрепа за производители на риба и други водни организми за преодоляване на икономическите последствия от пандемията </w:t>
      </w:r>
      <w:r w:rsidR="00F03D01">
        <w:rPr>
          <w:rFonts w:ascii="Arial Narrow" w:hAnsi="Arial Narrow"/>
          <w:lang w:val="bg-BG" w:eastAsia="bg-BG"/>
        </w:rPr>
        <w:t>COVID-19“ - извършени плащания -</w:t>
      </w:r>
      <w:r w:rsidRPr="00F44BFC">
        <w:rPr>
          <w:rFonts w:ascii="Arial Narrow" w:hAnsi="Arial Narrow"/>
          <w:lang w:val="bg-BG" w:eastAsia="bg-BG"/>
        </w:rPr>
        <w:t xml:space="preserve"> 105 броя с обща стойност на безвъзмездната финансова помощ 3 598 249 лева.</w:t>
      </w:r>
    </w:p>
    <w:p w14:paraId="64732289" w14:textId="77777777" w:rsidR="00F44BFC" w:rsidRPr="00F44BFC" w:rsidRDefault="00F44BFC" w:rsidP="00F44BFC">
      <w:pPr>
        <w:spacing w:after="120"/>
        <w:ind w:firstLine="709"/>
        <w:jc w:val="both"/>
        <w:rPr>
          <w:rFonts w:ascii="Arial Narrow" w:hAnsi="Arial Narrow"/>
          <w:b/>
          <w:i/>
          <w:lang w:val="bg-BG" w:eastAsia="bg-BG"/>
        </w:rPr>
      </w:pPr>
      <w:r w:rsidRPr="00F44BFC">
        <w:rPr>
          <w:rFonts w:ascii="Arial Narrow" w:hAnsi="Arial Narrow"/>
          <w:b/>
          <w:i/>
          <w:lang w:val="bg-BG" w:eastAsia="bg-BG"/>
        </w:rPr>
        <w:lastRenderedPageBreak/>
        <w:t>Приоритет 3 „Насърчаване на изпълнението на ОПОР"</w:t>
      </w:r>
    </w:p>
    <w:p w14:paraId="3000D503" w14:textId="77777777" w:rsidR="00F44BFC" w:rsidRPr="00F44BFC" w:rsidRDefault="00F44BFC" w:rsidP="00F44BFC">
      <w:pPr>
        <w:spacing w:after="120"/>
        <w:ind w:firstLine="709"/>
        <w:jc w:val="both"/>
        <w:rPr>
          <w:rFonts w:ascii="Arial Narrow" w:hAnsi="Arial Narrow"/>
          <w:lang w:val="bg-BG" w:eastAsia="bg-BG"/>
        </w:rPr>
      </w:pPr>
      <w:r w:rsidRPr="00F44BFC">
        <w:rPr>
          <w:rFonts w:ascii="Arial Narrow" w:hAnsi="Arial Narrow"/>
          <w:lang w:val="bg-BG" w:eastAsia="bg-BG"/>
        </w:rPr>
        <w:t>Мярка 3.1. „Контрол и из</w:t>
      </w:r>
      <w:r w:rsidR="00F03D01">
        <w:rPr>
          <w:rFonts w:ascii="Arial Narrow" w:hAnsi="Arial Narrow"/>
          <w:lang w:val="bg-BG" w:eastAsia="bg-BG"/>
        </w:rPr>
        <w:t>пълнение“ - извършени плащания -</w:t>
      </w:r>
      <w:r w:rsidRPr="00F44BFC">
        <w:rPr>
          <w:rFonts w:ascii="Arial Narrow" w:hAnsi="Arial Narrow"/>
          <w:lang w:val="bg-BG" w:eastAsia="bg-BG"/>
        </w:rPr>
        <w:t xml:space="preserve"> 48 броя с обща стойност на безвъзмездната финансова помощ 14 261 496 лева.</w:t>
      </w:r>
    </w:p>
    <w:p w14:paraId="2AF89581" w14:textId="77777777" w:rsidR="00F44BFC" w:rsidRPr="00F44BFC" w:rsidRDefault="00F44BFC" w:rsidP="00F44BFC">
      <w:pPr>
        <w:spacing w:after="120"/>
        <w:ind w:firstLine="709"/>
        <w:jc w:val="both"/>
        <w:rPr>
          <w:rFonts w:ascii="Arial Narrow" w:hAnsi="Arial Narrow"/>
          <w:lang w:val="bg-BG" w:eastAsia="bg-BG"/>
        </w:rPr>
      </w:pPr>
      <w:r w:rsidRPr="00F44BFC">
        <w:rPr>
          <w:rFonts w:ascii="Arial Narrow" w:hAnsi="Arial Narrow"/>
          <w:lang w:val="bg-BG" w:eastAsia="bg-BG"/>
        </w:rPr>
        <w:t xml:space="preserve">Мярка 3.2. „Събиране </w:t>
      </w:r>
      <w:r w:rsidR="00F03D01">
        <w:rPr>
          <w:rFonts w:ascii="Arial Narrow" w:hAnsi="Arial Narrow"/>
          <w:lang w:val="bg-BG" w:eastAsia="bg-BG"/>
        </w:rPr>
        <w:t>на данни“ - извършени плащания -</w:t>
      </w:r>
      <w:r w:rsidRPr="00F44BFC">
        <w:rPr>
          <w:rFonts w:ascii="Arial Narrow" w:hAnsi="Arial Narrow"/>
          <w:lang w:val="bg-BG" w:eastAsia="bg-BG"/>
        </w:rPr>
        <w:t xml:space="preserve"> 11 броя с обща стойност на безвъзмездната финансова помощ 5 510 153 лева.</w:t>
      </w:r>
    </w:p>
    <w:p w14:paraId="1D8C3F4C" w14:textId="77777777" w:rsidR="00F44BFC" w:rsidRPr="00F44BFC" w:rsidRDefault="00F44BFC" w:rsidP="00F44BFC">
      <w:pPr>
        <w:spacing w:after="120"/>
        <w:ind w:firstLine="709"/>
        <w:jc w:val="both"/>
        <w:rPr>
          <w:rFonts w:ascii="Arial Narrow" w:hAnsi="Arial Narrow"/>
          <w:b/>
          <w:i/>
          <w:lang w:val="bg-BG" w:eastAsia="bg-BG"/>
        </w:rPr>
      </w:pPr>
      <w:r w:rsidRPr="00F44BFC">
        <w:rPr>
          <w:rFonts w:ascii="Arial Narrow" w:hAnsi="Arial Narrow"/>
          <w:b/>
          <w:i/>
          <w:lang w:val="bg-BG" w:eastAsia="bg-BG"/>
        </w:rPr>
        <w:t>Приоритет 4 „Увеличаване на заетостта и териториалното сближаване"</w:t>
      </w:r>
    </w:p>
    <w:p w14:paraId="2864FA63" w14:textId="77777777" w:rsidR="00F44BFC" w:rsidRPr="00F44BFC" w:rsidRDefault="00F44BFC" w:rsidP="00F44BFC">
      <w:pPr>
        <w:spacing w:after="120"/>
        <w:ind w:firstLine="709"/>
        <w:jc w:val="both"/>
        <w:rPr>
          <w:rFonts w:ascii="Arial Narrow" w:hAnsi="Arial Narrow"/>
          <w:lang w:val="bg-BG" w:eastAsia="bg-BG"/>
        </w:rPr>
      </w:pPr>
      <w:r w:rsidRPr="00F44BFC">
        <w:rPr>
          <w:rFonts w:ascii="Arial Narrow" w:hAnsi="Arial Narrow"/>
          <w:lang w:val="bg-BG" w:eastAsia="bg-BG"/>
        </w:rPr>
        <w:t xml:space="preserve">Мярка 4.1 „Подготвителна помощ за стратегии за ВОМР, в това число създаване на Национална рибарска мрежа“ - извършени плащания - 13 броя с обща стойност на безвъзмездната финансова помощ 506 394 лева. </w:t>
      </w:r>
    </w:p>
    <w:p w14:paraId="44E66F26" w14:textId="77777777" w:rsidR="00F44BFC" w:rsidRPr="00F44BFC" w:rsidRDefault="00F44BFC" w:rsidP="00F44BFC">
      <w:pPr>
        <w:spacing w:after="120"/>
        <w:ind w:firstLine="709"/>
        <w:jc w:val="both"/>
        <w:rPr>
          <w:rFonts w:ascii="Arial Narrow" w:hAnsi="Arial Narrow"/>
          <w:lang w:val="bg-BG" w:eastAsia="bg-BG"/>
        </w:rPr>
      </w:pPr>
      <w:r w:rsidRPr="00F44BFC">
        <w:rPr>
          <w:rFonts w:ascii="Arial Narrow" w:hAnsi="Arial Narrow"/>
          <w:lang w:val="bg-BG" w:eastAsia="bg-BG"/>
        </w:rPr>
        <w:t>Мярка 4.2. „Изпълнение на стратегиите за водено от общностите местно развитие</w:t>
      </w:r>
      <w:r w:rsidR="00F03D01">
        <w:rPr>
          <w:rFonts w:ascii="Arial Narrow" w:hAnsi="Arial Narrow"/>
          <w:lang w:val="bg-BG" w:eastAsia="bg-BG"/>
        </w:rPr>
        <w:t>“ - извършени плащания -</w:t>
      </w:r>
      <w:r w:rsidRPr="00F44BFC">
        <w:rPr>
          <w:rFonts w:ascii="Arial Narrow" w:hAnsi="Arial Narrow"/>
          <w:lang w:val="bg-BG" w:eastAsia="bg-BG"/>
        </w:rPr>
        <w:t xml:space="preserve"> 480 броя на обща стойност на субсидията 32 242 151 лева.</w:t>
      </w:r>
    </w:p>
    <w:p w14:paraId="5742CDB5" w14:textId="77777777" w:rsidR="00F44BFC" w:rsidRPr="00F44BFC" w:rsidRDefault="00F44BFC" w:rsidP="00F44BFC">
      <w:pPr>
        <w:spacing w:after="120"/>
        <w:ind w:firstLine="709"/>
        <w:jc w:val="both"/>
        <w:rPr>
          <w:rFonts w:ascii="Arial Narrow" w:hAnsi="Arial Narrow"/>
          <w:b/>
          <w:i/>
          <w:lang w:val="bg-BG" w:eastAsia="bg-BG"/>
        </w:rPr>
      </w:pPr>
      <w:r w:rsidRPr="00F44BFC">
        <w:rPr>
          <w:rFonts w:ascii="Arial Narrow" w:hAnsi="Arial Narrow"/>
          <w:b/>
          <w:i/>
          <w:lang w:val="bg-BG" w:eastAsia="bg-BG"/>
        </w:rPr>
        <w:t>Приоритет 5 „Насърчаване на предлагането на пазара и преработването"</w:t>
      </w:r>
    </w:p>
    <w:p w14:paraId="38DA8ED7" w14:textId="77777777" w:rsidR="00F44BFC" w:rsidRPr="00F44BFC" w:rsidRDefault="00F44BFC" w:rsidP="00F44BFC">
      <w:pPr>
        <w:spacing w:after="120"/>
        <w:ind w:firstLine="709"/>
        <w:jc w:val="both"/>
        <w:rPr>
          <w:rFonts w:ascii="Arial Narrow" w:hAnsi="Arial Narrow"/>
          <w:lang w:val="bg-BG" w:eastAsia="bg-BG"/>
        </w:rPr>
      </w:pPr>
      <w:r w:rsidRPr="00F44BFC">
        <w:rPr>
          <w:rFonts w:ascii="Arial Narrow" w:hAnsi="Arial Narrow"/>
          <w:lang w:val="bg-BG" w:eastAsia="bg-BG"/>
        </w:rPr>
        <w:t>Мярка 5.1. „Планове за произв</w:t>
      </w:r>
      <w:r w:rsidR="00F03D01">
        <w:rPr>
          <w:rFonts w:ascii="Arial Narrow" w:hAnsi="Arial Narrow"/>
          <w:lang w:val="bg-BG" w:eastAsia="bg-BG"/>
        </w:rPr>
        <w:t>одство и предлагане на пазара“ -</w:t>
      </w:r>
      <w:r w:rsidRPr="00F44BFC">
        <w:rPr>
          <w:rFonts w:ascii="Arial Narrow" w:hAnsi="Arial Narrow"/>
          <w:lang w:val="bg-BG" w:eastAsia="bg-BG"/>
        </w:rPr>
        <w:t xml:space="preserve"> извършени 2 броя плащания с обща стойност на безвъзмездната финансова помощ 121 523 лева.</w:t>
      </w:r>
    </w:p>
    <w:p w14:paraId="33A6B223" w14:textId="77777777" w:rsidR="00F44BFC" w:rsidRPr="00F44BFC" w:rsidRDefault="00F44BFC" w:rsidP="00F44BFC">
      <w:pPr>
        <w:spacing w:after="120"/>
        <w:ind w:firstLine="709"/>
        <w:jc w:val="both"/>
        <w:rPr>
          <w:rFonts w:ascii="Arial Narrow" w:hAnsi="Arial Narrow"/>
          <w:lang w:val="bg-BG" w:eastAsia="bg-BG"/>
        </w:rPr>
      </w:pPr>
      <w:r w:rsidRPr="00F44BFC">
        <w:rPr>
          <w:rFonts w:ascii="Arial Narrow" w:hAnsi="Arial Narrow"/>
          <w:lang w:val="bg-BG" w:eastAsia="bg-BG"/>
        </w:rPr>
        <w:t xml:space="preserve">Мярка 5.3. „Създаване на организации на производители, на асоциации от организации на производители или на междубраншови организации. Търсене на нови пазари и подобряване на условията за пускане на пазара на продукти от риболов и аквакултури“ - извършени плащания - 10 броя с обща стойност на безвъзмездната финансова помощ 1 367 440 лева. </w:t>
      </w:r>
    </w:p>
    <w:p w14:paraId="1D0CAF00" w14:textId="77777777" w:rsidR="00F44BFC" w:rsidRPr="00F44BFC" w:rsidRDefault="00F44BFC" w:rsidP="00F44BFC">
      <w:pPr>
        <w:spacing w:after="120"/>
        <w:ind w:firstLine="709"/>
        <w:jc w:val="both"/>
        <w:rPr>
          <w:rFonts w:ascii="Arial Narrow" w:hAnsi="Arial Narrow"/>
          <w:lang w:val="bg-BG" w:eastAsia="bg-BG"/>
        </w:rPr>
      </w:pPr>
      <w:r w:rsidRPr="00F44BFC">
        <w:rPr>
          <w:rFonts w:ascii="Arial Narrow" w:hAnsi="Arial Narrow"/>
          <w:lang w:val="bg-BG" w:eastAsia="bg-BG"/>
        </w:rPr>
        <w:t xml:space="preserve">Мярка 5.3. </w:t>
      </w:r>
      <w:r w:rsidR="00F03D01">
        <w:rPr>
          <w:rFonts w:ascii="Arial Narrow" w:hAnsi="Arial Narrow"/>
          <w:lang w:val="bg-BG" w:eastAsia="bg-BG"/>
        </w:rPr>
        <w:t>„Мерки за предлагане на пазара - Украйна“ - извършени плащания -</w:t>
      </w:r>
      <w:r w:rsidRPr="00F44BFC">
        <w:rPr>
          <w:rFonts w:ascii="Arial Narrow" w:hAnsi="Arial Narrow"/>
          <w:lang w:val="bg-BG" w:eastAsia="bg-BG"/>
        </w:rPr>
        <w:t xml:space="preserve"> 219 броя с обща стойност на безвъзмездната финансова помощ 18 817 596 лева.</w:t>
      </w:r>
    </w:p>
    <w:p w14:paraId="0AA25504" w14:textId="77777777" w:rsidR="00F44BFC" w:rsidRPr="00F44BFC" w:rsidRDefault="00F44BFC" w:rsidP="00F44BFC">
      <w:pPr>
        <w:spacing w:after="120"/>
        <w:ind w:firstLine="709"/>
        <w:jc w:val="both"/>
        <w:rPr>
          <w:rFonts w:ascii="Arial Narrow" w:hAnsi="Arial Narrow"/>
          <w:lang w:val="bg-BG" w:eastAsia="bg-BG"/>
        </w:rPr>
      </w:pPr>
      <w:r w:rsidRPr="00F44BFC">
        <w:rPr>
          <w:rFonts w:ascii="Arial Narrow" w:hAnsi="Arial Narrow"/>
          <w:lang w:val="bg-BG" w:eastAsia="bg-BG"/>
        </w:rPr>
        <w:t>Мярка 5.4. „Преработване на продуктите от риболов и аквакултури“ - извършени плащания – 50 броя с обща стойност на безвъзмездната финансова помощ 18 917 791 лева.</w:t>
      </w:r>
    </w:p>
    <w:p w14:paraId="10A42EE8" w14:textId="77777777" w:rsidR="00F44BFC" w:rsidRPr="00F44BFC" w:rsidRDefault="00F44BFC" w:rsidP="00F44BFC">
      <w:pPr>
        <w:spacing w:after="120"/>
        <w:ind w:firstLine="709"/>
        <w:jc w:val="both"/>
        <w:rPr>
          <w:rFonts w:ascii="Arial Narrow" w:hAnsi="Arial Narrow"/>
          <w:lang w:val="bg-BG" w:eastAsia="bg-BG"/>
        </w:rPr>
      </w:pPr>
      <w:r w:rsidRPr="00F44BFC">
        <w:rPr>
          <w:rFonts w:ascii="Arial Narrow" w:hAnsi="Arial Narrow"/>
          <w:lang w:val="bg-BG" w:eastAsia="bg-BG"/>
        </w:rPr>
        <w:t>Мярка 5.4. „Подкрепа за преработвателни предприятия на продукти от риболов и аквакултури за преодоляване на икономическите последствия от пандемията COVID-19“ - извършени плащания - 35 броя с обща стойност на безвъзмездната финансова помощ 2 650 962 лева.</w:t>
      </w:r>
    </w:p>
    <w:p w14:paraId="05A83375" w14:textId="77777777" w:rsidR="00F44BFC" w:rsidRPr="00F44BFC" w:rsidRDefault="00F44BFC" w:rsidP="00F44BFC">
      <w:pPr>
        <w:spacing w:after="120"/>
        <w:ind w:firstLine="709"/>
        <w:jc w:val="both"/>
        <w:rPr>
          <w:rFonts w:ascii="Arial Narrow" w:hAnsi="Arial Narrow"/>
          <w:b/>
          <w:i/>
          <w:lang w:val="bg-BG" w:eastAsia="bg-BG"/>
        </w:rPr>
      </w:pPr>
      <w:r w:rsidRPr="00F44BFC">
        <w:rPr>
          <w:rFonts w:ascii="Arial Narrow" w:hAnsi="Arial Narrow"/>
          <w:b/>
          <w:i/>
          <w:lang w:val="bg-BG" w:eastAsia="bg-BG"/>
        </w:rPr>
        <w:t>Приоритет 6 „Насърчаване на изпълнението на интегрираната морска политика“</w:t>
      </w:r>
    </w:p>
    <w:p w14:paraId="20CAB352" w14:textId="77777777" w:rsidR="00F44BFC" w:rsidRPr="00F44BFC" w:rsidRDefault="00F44BFC" w:rsidP="00F44BFC">
      <w:pPr>
        <w:spacing w:after="120"/>
        <w:ind w:firstLine="709"/>
        <w:jc w:val="both"/>
        <w:rPr>
          <w:rFonts w:ascii="Arial Narrow" w:hAnsi="Arial Narrow"/>
          <w:lang w:val="bg-BG" w:eastAsia="bg-BG"/>
        </w:rPr>
      </w:pPr>
      <w:r w:rsidRPr="00F44BFC">
        <w:rPr>
          <w:rFonts w:ascii="Arial Narrow" w:hAnsi="Arial Narrow"/>
          <w:lang w:val="bg-BG" w:eastAsia="bg-BG"/>
        </w:rPr>
        <w:t>Мярка 6.1. „Интегрирано морско на</w:t>
      </w:r>
      <w:r w:rsidR="00F03D01">
        <w:rPr>
          <w:rFonts w:ascii="Arial Narrow" w:hAnsi="Arial Narrow"/>
          <w:lang w:val="bg-BG" w:eastAsia="bg-BG"/>
        </w:rPr>
        <w:t>блюдение“ - извършени плащания -</w:t>
      </w:r>
      <w:r w:rsidRPr="00F44BFC">
        <w:rPr>
          <w:rFonts w:ascii="Arial Narrow" w:hAnsi="Arial Narrow"/>
          <w:lang w:val="bg-BG" w:eastAsia="bg-BG"/>
        </w:rPr>
        <w:t xml:space="preserve"> 4 броя с обща стойност на безвъзмездната финансова помощ 2 959 680 лева.</w:t>
      </w:r>
    </w:p>
    <w:p w14:paraId="1B4E23E3" w14:textId="77777777" w:rsidR="00F44BFC" w:rsidRPr="00F44BFC" w:rsidRDefault="00F44BFC" w:rsidP="00F44BFC">
      <w:pPr>
        <w:spacing w:after="120"/>
        <w:ind w:firstLine="709"/>
        <w:jc w:val="both"/>
        <w:rPr>
          <w:rFonts w:ascii="Arial Narrow" w:hAnsi="Arial Narrow"/>
          <w:lang w:val="bg-BG" w:eastAsia="bg-BG"/>
        </w:rPr>
      </w:pPr>
      <w:r w:rsidRPr="00F44BFC">
        <w:rPr>
          <w:rFonts w:ascii="Arial Narrow" w:hAnsi="Arial Narrow"/>
          <w:lang w:val="bg-BG" w:eastAsia="bg-BG"/>
        </w:rPr>
        <w:t>Мярка 6.3. „Повишаване на знанията за състоянието на морска</w:t>
      </w:r>
      <w:r w:rsidR="00F03D01">
        <w:rPr>
          <w:rFonts w:ascii="Arial Narrow" w:hAnsi="Arial Narrow"/>
          <w:lang w:val="bg-BG" w:eastAsia="bg-BG"/>
        </w:rPr>
        <w:t>та среда“ - извършени плащания -</w:t>
      </w:r>
      <w:r w:rsidRPr="00F44BFC">
        <w:rPr>
          <w:rFonts w:ascii="Arial Narrow" w:hAnsi="Arial Narrow"/>
          <w:lang w:val="bg-BG" w:eastAsia="bg-BG"/>
        </w:rPr>
        <w:t xml:space="preserve"> 10 броя с обща стойност на безвъзмездната финансова помощ 1 793 207 лева. </w:t>
      </w:r>
    </w:p>
    <w:p w14:paraId="1FC37FCD" w14:textId="77777777" w:rsidR="00F44BFC" w:rsidRPr="00F44BFC" w:rsidRDefault="00F44BFC" w:rsidP="00F44BFC">
      <w:pPr>
        <w:spacing w:after="120"/>
        <w:ind w:firstLine="709"/>
        <w:jc w:val="both"/>
        <w:rPr>
          <w:rFonts w:ascii="Arial Narrow" w:hAnsi="Arial Narrow"/>
          <w:b/>
          <w:i/>
          <w:lang w:val="bg-BG" w:eastAsia="bg-BG"/>
        </w:rPr>
      </w:pPr>
      <w:r w:rsidRPr="00F44BFC">
        <w:rPr>
          <w:rFonts w:ascii="Arial Narrow" w:hAnsi="Arial Narrow"/>
          <w:b/>
          <w:i/>
          <w:lang w:val="bg-BG" w:eastAsia="bg-BG"/>
        </w:rPr>
        <w:t>Приоритет 7 „Техническа помощ“</w:t>
      </w:r>
    </w:p>
    <w:p w14:paraId="2A0AA820" w14:textId="77777777" w:rsidR="00F44BFC" w:rsidRPr="00F44BFC" w:rsidRDefault="00F44BFC" w:rsidP="00F44BFC">
      <w:pPr>
        <w:spacing w:after="120"/>
        <w:ind w:firstLine="709"/>
        <w:jc w:val="both"/>
        <w:rPr>
          <w:rFonts w:ascii="Arial Narrow" w:hAnsi="Arial Narrow"/>
          <w:lang w:val="bg-BG" w:eastAsia="bg-BG"/>
        </w:rPr>
      </w:pPr>
      <w:r w:rsidRPr="00F44BFC">
        <w:rPr>
          <w:rFonts w:ascii="Arial Narrow" w:hAnsi="Arial Narrow"/>
          <w:lang w:val="bg-BG" w:eastAsia="bg-BG"/>
        </w:rPr>
        <w:t>Извършени са 87 плащания с обща стойност на безвъзмездната финансова помощ 15 146 081 лева.</w:t>
      </w:r>
    </w:p>
    <w:p w14:paraId="75E0A67E" w14:textId="77777777" w:rsidR="00F44BFC" w:rsidRPr="00F44BFC" w:rsidRDefault="00F44BFC" w:rsidP="00BF097E">
      <w:pPr>
        <w:keepNext/>
        <w:widowControl w:val="0"/>
        <w:spacing w:after="120"/>
        <w:jc w:val="both"/>
        <w:rPr>
          <w:rFonts w:ascii="Arial Narrow" w:hAnsi="Arial Narrow"/>
          <w:b/>
          <w:lang w:val="bg-BG" w:eastAsia="bg-BG"/>
        </w:rPr>
      </w:pPr>
      <w:r w:rsidRPr="00F44BFC">
        <w:rPr>
          <w:rFonts w:ascii="Arial Narrow" w:hAnsi="Arial Narrow"/>
          <w:b/>
          <w:lang w:val="bg-BG" w:eastAsia="bg-BG"/>
        </w:rPr>
        <w:t>Таблица VII.7. Платени проекти по мерки от ПМДР 2014 - 2020 за периода 01.01.2025 г. – 30.06.2025 г. (лева)</w:t>
      </w:r>
    </w:p>
    <w:tbl>
      <w:tblPr>
        <w:tblW w:w="4965"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578"/>
        <w:gridCol w:w="830"/>
        <w:gridCol w:w="1489"/>
        <w:gridCol w:w="1417"/>
        <w:gridCol w:w="1417"/>
      </w:tblGrid>
      <w:tr w:rsidR="00F44BFC" w:rsidRPr="00F44BFC" w14:paraId="7E9EB1DE" w14:textId="77777777" w:rsidTr="00007F21">
        <w:trPr>
          <w:trHeight w:val="641"/>
          <w:tblHeader/>
        </w:trPr>
        <w:tc>
          <w:tcPr>
            <w:tcW w:w="2352" w:type="pct"/>
            <w:shd w:val="clear" w:color="auto" w:fill="auto"/>
            <w:vAlign w:val="center"/>
            <w:hideMark/>
          </w:tcPr>
          <w:p w14:paraId="46602BEE" w14:textId="77777777" w:rsidR="00F44BFC" w:rsidRPr="00F44BFC" w:rsidRDefault="00F44BFC" w:rsidP="00BF097E">
            <w:pPr>
              <w:keepNext/>
              <w:jc w:val="center"/>
              <w:rPr>
                <w:rFonts w:ascii="Arial Narrow" w:hAnsi="Arial Narrow"/>
                <w:b/>
                <w:bCs/>
                <w:iCs/>
                <w:sz w:val="20"/>
                <w:szCs w:val="20"/>
                <w:lang w:val="bg-BG" w:eastAsia="bg-BG"/>
              </w:rPr>
            </w:pPr>
            <w:r w:rsidRPr="00F44BFC">
              <w:rPr>
                <w:rFonts w:ascii="Arial Narrow" w:hAnsi="Arial Narrow"/>
                <w:b/>
                <w:bCs/>
                <w:iCs/>
                <w:sz w:val="20"/>
                <w:szCs w:val="20"/>
                <w:lang w:val="bg-BG" w:eastAsia="bg-BG"/>
              </w:rPr>
              <w:t>Мярка</w:t>
            </w:r>
          </w:p>
        </w:tc>
        <w:tc>
          <w:tcPr>
            <w:tcW w:w="426" w:type="pct"/>
            <w:shd w:val="clear" w:color="auto" w:fill="auto"/>
            <w:vAlign w:val="center"/>
            <w:hideMark/>
          </w:tcPr>
          <w:p w14:paraId="7282228C" w14:textId="77777777" w:rsidR="00F44BFC" w:rsidRPr="00F44BFC" w:rsidRDefault="00F44BFC" w:rsidP="00BF097E">
            <w:pPr>
              <w:keepNext/>
              <w:jc w:val="center"/>
              <w:rPr>
                <w:rFonts w:ascii="Arial Narrow" w:hAnsi="Arial Narrow"/>
                <w:b/>
                <w:bCs/>
                <w:iCs/>
                <w:sz w:val="20"/>
                <w:szCs w:val="20"/>
                <w:lang w:val="bg-BG" w:eastAsia="bg-BG"/>
              </w:rPr>
            </w:pPr>
            <w:r w:rsidRPr="00F44BFC">
              <w:rPr>
                <w:rFonts w:ascii="Arial Narrow" w:hAnsi="Arial Narrow"/>
                <w:b/>
                <w:bCs/>
                <w:iCs/>
                <w:sz w:val="20"/>
                <w:szCs w:val="20"/>
                <w:lang w:val="bg-BG" w:eastAsia="bg-BG"/>
              </w:rPr>
              <w:t>Брой проекти</w:t>
            </w:r>
          </w:p>
        </w:tc>
        <w:tc>
          <w:tcPr>
            <w:tcW w:w="765" w:type="pct"/>
            <w:shd w:val="clear" w:color="auto" w:fill="auto"/>
            <w:vAlign w:val="center"/>
            <w:hideMark/>
          </w:tcPr>
          <w:p w14:paraId="057453F1" w14:textId="77777777" w:rsidR="00F44BFC" w:rsidRPr="00F44BFC" w:rsidRDefault="00F44BFC" w:rsidP="00BF097E">
            <w:pPr>
              <w:keepNext/>
              <w:jc w:val="center"/>
              <w:rPr>
                <w:rFonts w:ascii="Arial Narrow" w:hAnsi="Arial Narrow"/>
                <w:b/>
                <w:bCs/>
                <w:iCs/>
                <w:sz w:val="20"/>
                <w:szCs w:val="20"/>
                <w:lang w:val="bg-BG" w:eastAsia="bg-BG"/>
              </w:rPr>
            </w:pPr>
            <w:r w:rsidRPr="00F44BFC">
              <w:rPr>
                <w:rFonts w:ascii="Arial Narrow" w:hAnsi="Arial Narrow"/>
                <w:b/>
                <w:bCs/>
                <w:iCs/>
                <w:sz w:val="20"/>
                <w:szCs w:val="20"/>
                <w:lang w:val="bg-BG" w:eastAsia="bg-BG"/>
              </w:rPr>
              <w:t>Платена сума</w:t>
            </w:r>
          </w:p>
        </w:tc>
        <w:tc>
          <w:tcPr>
            <w:tcW w:w="728" w:type="pct"/>
            <w:shd w:val="clear" w:color="auto" w:fill="auto"/>
            <w:vAlign w:val="center"/>
            <w:hideMark/>
          </w:tcPr>
          <w:p w14:paraId="5AC4FA6C" w14:textId="77777777" w:rsidR="00F44BFC" w:rsidRPr="00F44BFC" w:rsidRDefault="00F44BFC" w:rsidP="00BF097E">
            <w:pPr>
              <w:keepNext/>
              <w:jc w:val="center"/>
              <w:rPr>
                <w:rFonts w:ascii="Arial Narrow" w:hAnsi="Arial Narrow"/>
                <w:b/>
                <w:bCs/>
                <w:iCs/>
                <w:sz w:val="20"/>
                <w:szCs w:val="20"/>
                <w:lang w:val="bg-BG" w:eastAsia="bg-BG"/>
              </w:rPr>
            </w:pPr>
            <w:r w:rsidRPr="00F44BFC">
              <w:rPr>
                <w:rFonts w:ascii="Arial Narrow" w:hAnsi="Arial Narrow"/>
                <w:b/>
                <w:bCs/>
                <w:iCs/>
                <w:sz w:val="20"/>
                <w:szCs w:val="20"/>
                <w:lang w:val="bg-BG" w:eastAsia="bg-BG"/>
              </w:rPr>
              <w:t>Национално финансиране</w:t>
            </w:r>
          </w:p>
        </w:tc>
        <w:tc>
          <w:tcPr>
            <w:tcW w:w="728" w:type="pct"/>
            <w:shd w:val="clear" w:color="auto" w:fill="auto"/>
            <w:vAlign w:val="center"/>
            <w:hideMark/>
          </w:tcPr>
          <w:p w14:paraId="51C7F213" w14:textId="77777777" w:rsidR="00F44BFC" w:rsidRPr="00F44BFC" w:rsidRDefault="00F44BFC" w:rsidP="00BF097E">
            <w:pPr>
              <w:keepNext/>
              <w:jc w:val="center"/>
              <w:rPr>
                <w:rFonts w:ascii="Arial Narrow" w:hAnsi="Arial Narrow"/>
                <w:b/>
                <w:bCs/>
                <w:iCs/>
                <w:sz w:val="20"/>
                <w:szCs w:val="20"/>
                <w:lang w:val="bg-BG" w:eastAsia="bg-BG"/>
              </w:rPr>
            </w:pPr>
            <w:r w:rsidRPr="00F44BFC">
              <w:rPr>
                <w:rFonts w:ascii="Arial Narrow" w:hAnsi="Arial Narrow"/>
                <w:b/>
                <w:bCs/>
                <w:iCs/>
                <w:sz w:val="20"/>
                <w:szCs w:val="20"/>
                <w:lang w:val="bg-BG" w:eastAsia="bg-BG"/>
              </w:rPr>
              <w:t>Европейско финансиране</w:t>
            </w:r>
          </w:p>
        </w:tc>
      </w:tr>
      <w:tr w:rsidR="00F44BFC" w:rsidRPr="00F44BFC" w14:paraId="30CC1603" w14:textId="77777777" w:rsidTr="00007F21">
        <w:trPr>
          <w:trHeight w:val="815"/>
        </w:trPr>
        <w:tc>
          <w:tcPr>
            <w:tcW w:w="2352" w:type="pct"/>
            <w:shd w:val="clear" w:color="auto" w:fill="auto"/>
            <w:vAlign w:val="center"/>
          </w:tcPr>
          <w:p w14:paraId="291A923A" w14:textId="77777777" w:rsidR="00F44BFC" w:rsidRPr="00F44BFC" w:rsidRDefault="00F44BFC" w:rsidP="00F44BFC">
            <w:pPr>
              <w:rPr>
                <w:rFonts w:ascii="Arial Narrow" w:hAnsi="Arial Narrow"/>
                <w:sz w:val="20"/>
                <w:szCs w:val="20"/>
                <w:lang w:val="bg-BG" w:eastAsia="bg-BG"/>
              </w:rPr>
            </w:pPr>
            <w:r w:rsidRPr="00F44BFC">
              <w:rPr>
                <w:rFonts w:ascii="Arial Narrow" w:hAnsi="Arial Narrow"/>
                <w:sz w:val="20"/>
                <w:szCs w:val="20"/>
                <w:lang w:val="bg-BG" w:eastAsia="bg-BG"/>
              </w:rPr>
              <w:t>1.8. Инвестиции за подобрение на инфраструктурата в рибарските пристанища, инвестиции за подобрение на кейови места за разтоварване.Изграждане или модернизацията на лодкостоянки</w:t>
            </w:r>
          </w:p>
        </w:tc>
        <w:tc>
          <w:tcPr>
            <w:tcW w:w="426" w:type="pct"/>
            <w:tcBorders>
              <w:top w:val="nil"/>
              <w:left w:val="nil"/>
              <w:bottom w:val="single" w:sz="4" w:space="0" w:color="auto"/>
              <w:right w:val="single" w:sz="4" w:space="0" w:color="auto"/>
            </w:tcBorders>
            <w:shd w:val="clear" w:color="000000" w:fill="FFFFFF"/>
            <w:vAlign w:val="center"/>
          </w:tcPr>
          <w:p w14:paraId="7B688938" w14:textId="77777777" w:rsidR="00F44BFC" w:rsidRPr="00F44BFC" w:rsidRDefault="00F44BFC" w:rsidP="00F44BFC">
            <w:pPr>
              <w:jc w:val="center"/>
              <w:rPr>
                <w:rFonts w:ascii="Arial Narrow" w:hAnsi="Arial Narrow"/>
                <w:sz w:val="20"/>
                <w:szCs w:val="20"/>
                <w:lang w:val="bg-BG" w:eastAsia="bg-BG"/>
              </w:rPr>
            </w:pPr>
            <w:r w:rsidRPr="00F44BFC">
              <w:rPr>
                <w:rFonts w:ascii="Arial Narrow" w:hAnsi="Arial Narrow"/>
                <w:sz w:val="20"/>
                <w:szCs w:val="20"/>
                <w:lang w:val="bg-BG" w:eastAsia="bg-BG"/>
              </w:rPr>
              <w:t>0</w:t>
            </w:r>
          </w:p>
        </w:tc>
        <w:tc>
          <w:tcPr>
            <w:tcW w:w="765" w:type="pct"/>
            <w:tcBorders>
              <w:top w:val="nil"/>
              <w:left w:val="nil"/>
              <w:bottom w:val="single" w:sz="4" w:space="0" w:color="auto"/>
              <w:right w:val="single" w:sz="4" w:space="0" w:color="auto"/>
            </w:tcBorders>
            <w:shd w:val="clear" w:color="000000" w:fill="FFFFFF"/>
            <w:vAlign w:val="center"/>
          </w:tcPr>
          <w:p w14:paraId="7465147D" w14:textId="77777777" w:rsidR="00F44BFC" w:rsidRPr="00F44BFC" w:rsidRDefault="00F44BFC" w:rsidP="00F44BFC">
            <w:pPr>
              <w:jc w:val="right"/>
              <w:rPr>
                <w:rFonts w:ascii="Arial Narrow" w:hAnsi="Arial Narrow"/>
                <w:sz w:val="20"/>
                <w:szCs w:val="20"/>
                <w:lang w:val="bg-BG" w:eastAsia="bg-BG"/>
              </w:rPr>
            </w:pPr>
            <w:r w:rsidRPr="00F44BFC">
              <w:rPr>
                <w:rFonts w:ascii="Arial Narrow" w:hAnsi="Arial Narrow"/>
                <w:sz w:val="20"/>
                <w:szCs w:val="20"/>
                <w:lang w:val="bg-BG" w:eastAsia="bg-BG"/>
              </w:rPr>
              <w:t xml:space="preserve">-6 362,40 </w:t>
            </w:r>
          </w:p>
        </w:tc>
        <w:tc>
          <w:tcPr>
            <w:tcW w:w="728" w:type="pct"/>
            <w:tcBorders>
              <w:top w:val="nil"/>
              <w:left w:val="nil"/>
              <w:bottom w:val="single" w:sz="4" w:space="0" w:color="auto"/>
              <w:right w:val="single" w:sz="4" w:space="0" w:color="auto"/>
            </w:tcBorders>
            <w:shd w:val="clear" w:color="000000" w:fill="FFFFFF"/>
            <w:vAlign w:val="center"/>
          </w:tcPr>
          <w:p w14:paraId="64CFF605" w14:textId="77777777" w:rsidR="00F44BFC" w:rsidRPr="00F44BFC" w:rsidRDefault="00F44BFC" w:rsidP="00F44BFC">
            <w:pPr>
              <w:jc w:val="right"/>
              <w:rPr>
                <w:rFonts w:ascii="Arial Narrow" w:hAnsi="Arial Narrow"/>
                <w:sz w:val="20"/>
                <w:szCs w:val="20"/>
                <w:lang w:val="bg-BG" w:eastAsia="bg-BG"/>
              </w:rPr>
            </w:pPr>
            <w:r w:rsidRPr="00F44BFC">
              <w:rPr>
                <w:rFonts w:ascii="Arial Narrow" w:hAnsi="Arial Narrow"/>
                <w:sz w:val="20"/>
                <w:szCs w:val="20"/>
                <w:lang w:val="bg-BG" w:eastAsia="bg-BG"/>
              </w:rPr>
              <w:t xml:space="preserve">-1 701,31 </w:t>
            </w:r>
          </w:p>
        </w:tc>
        <w:tc>
          <w:tcPr>
            <w:tcW w:w="728" w:type="pct"/>
            <w:tcBorders>
              <w:top w:val="nil"/>
              <w:left w:val="nil"/>
              <w:bottom w:val="single" w:sz="4" w:space="0" w:color="auto"/>
              <w:right w:val="single" w:sz="4" w:space="0" w:color="auto"/>
            </w:tcBorders>
            <w:shd w:val="clear" w:color="000000" w:fill="FFFFFF"/>
            <w:vAlign w:val="center"/>
          </w:tcPr>
          <w:p w14:paraId="191E0C57" w14:textId="77777777" w:rsidR="00F44BFC" w:rsidRPr="00F44BFC" w:rsidRDefault="00F44BFC" w:rsidP="00F44BFC">
            <w:pPr>
              <w:jc w:val="right"/>
              <w:rPr>
                <w:rFonts w:ascii="Arial Narrow" w:hAnsi="Arial Narrow"/>
                <w:sz w:val="20"/>
                <w:szCs w:val="20"/>
                <w:lang w:val="bg-BG" w:eastAsia="bg-BG"/>
              </w:rPr>
            </w:pPr>
            <w:r w:rsidRPr="00F44BFC">
              <w:rPr>
                <w:rFonts w:ascii="Arial Narrow" w:hAnsi="Arial Narrow"/>
                <w:sz w:val="20"/>
                <w:szCs w:val="20"/>
                <w:lang w:val="bg-BG" w:eastAsia="bg-BG"/>
              </w:rPr>
              <w:t xml:space="preserve">-4 661,09 </w:t>
            </w:r>
          </w:p>
        </w:tc>
      </w:tr>
      <w:tr w:rsidR="00F44BFC" w:rsidRPr="00F44BFC" w14:paraId="51B8C4F6" w14:textId="77777777" w:rsidTr="00007F21">
        <w:trPr>
          <w:trHeight w:val="633"/>
        </w:trPr>
        <w:tc>
          <w:tcPr>
            <w:tcW w:w="2352" w:type="pct"/>
            <w:shd w:val="clear" w:color="auto" w:fill="auto"/>
            <w:vAlign w:val="center"/>
          </w:tcPr>
          <w:p w14:paraId="2075319B" w14:textId="77777777" w:rsidR="00F44BFC" w:rsidRPr="00F44BFC" w:rsidRDefault="00F44BFC" w:rsidP="00F44BFC">
            <w:pPr>
              <w:rPr>
                <w:rFonts w:ascii="Arial Narrow" w:hAnsi="Arial Narrow"/>
                <w:sz w:val="20"/>
                <w:szCs w:val="20"/>
                <w:lang w:val="bg-BG" w:eastAsia="bg-BG"/>
              </w:rPr>
            </w:pPr>
            <w:r w:rsidRPr="00F44BFC">
              <w:rPr>
                <w:rFonts w:ascii="Arial Narrow" w:hAnsi="Arial Narrow"/>
                <w:sz w:val="20"/>
                <w:szCs w:val="20"/>
                <w:lang w:val="bg-BG" w:eastAsia="bg-BG"/>
              </w:rPr>
              <w:t>2.2. Продуктивни инвестиции в аквакултура</w:t>
            </w:r>
          </w:p>
        </w:tc>
        <w:tc>
          <w:tcPr>
            <w:tcW w:w="426" w:type="pct"/>
            <w:tcBorders>
              <w:top w:val="nil"/>
              <w:left w:val="nil"/>
              <w:bottom w:val="single" w:sz="4" w:space="0" w:color="auto"/>
              <w:right w:val="single" w:sz="4" w:space="0" w:color="auto"/>
            </w:tcBorders>
            <w:shd w:val="clear" w:color="000000" w:fill="FFFFFF"/>
            <w:vAlign w:val="center"/>
          </w:tcPr>
          <w:p w14:paraId="4AFCC9D8" w14:textId="77777777" w:rsidR="00F44BFC" w:rsidRPr="00F44BFC" w:rsidRDefault="00F44BFC" w:rsidP="00F44BFC">
            <w:pPr>
              <w:jc w:val="center"/>
              <w:rPr>
                <w:rFonts w:ascii="Arial Narrow" w:hAnsi="Arial Narrow"/>
                <w:sz w:val="20"/>
                <w:szCs w:val="20"/>
                <w:lang w:val="bg-BG" w:eastAsia="bg-BG"/>
              </w:rPr>
            </w:pPr>
            <w:r w:rsidRPr="00F44BFC">
              <w:rPr>
                <w:rFonts w:ascii="Arial Narrow" w:hAnsi="Arial Narrow"/>
                <w:sz w:val="20"/>
                <w:szCs w:val="20"/>
                <w:lang w:val="bg-BG" w:eastAsia="bg-BG"/>
              </w:rPr>
              <w:t>0</w:t>
            </w:r>
          </w:p>
        </w:tc>
        <w:tc>
          <w:tcPr>
            <w:tcW w:w="765" w:type="pct"/>
            <w:tcBorders>
              <w:top w:val="nil"/>
              <w:left w:val="nil"/>
              <w:bottom w:val="single" w:sz="4" w:space="0" w:color="auto"/>
              <w:right w:val="single" w:sz="4" w:space="0" w:color="auto"/>
            </w:tcBorders>
            <w:shd w:val="clear" w:color="000000" w:fill="FFFFFF"/>
            <w:vAlign w:val="center"/>
          </w:tcPr>
          <w:p w14:paraId="5ED848B2" w14:textId="77777777" w:rsidR="00F44BFC" w:rsidRPr="00F44BFC" w:rsidRDefault="00F44BFC" w:rsidP="00F44BFC">
            <w:pPr>
              <w:jc w:val="right"/>
              <w:rPr>
                <w:rFonts w:ascii="Arial Narrow" w:hAnsi="Arial Narrow"/>
                <w:sz w:val="20"/>
                <w:szCs w:val="20"/>
                <w:lang w:val="bg-BG" w:eastAsia="bg-BG"/>
              </w:rPr>
            </w:pPr>
            <w:r w:rsidRPr="00F44BFC">
              <w:rPr>
                <w:rFonts w:ascii="Arial Narrow" w:hAnsi="Arial Narrow"/>
                <w:sz w:val="20"/>
                <w:szCs w:val="20"/>
                <w:lang w:val="bg-BG" w:eastAsia="bg-BG"/>
              </w:rPr>
              <w:t xml:space="preserve">-33 183,76 </w:t>
            </w:r>
          </w:p>
        </w:tc>
        <w:tc>
          <w:tcPr>
            <w:tcW w:w="728" w:type="pct"/>
            <w:tcBorders>
              <w:top w:val="nil"/>
              <w:left w:val="nil"/>
              <w:bottom w:val="single" w:sz="4" w:space="0" w:color="auto"/>
              <w:right w:val="single" w:sz="4" w:space="0" w:color="auto"/>
            </w:tcBorders>
            <w:shd w:val="clear" w:color="000000" w:fill="FFFFFF"/>
            <w:vAlign w:val="center"/>
          </w:tcPr>
          <w:p w14:paraId="2A69BDB7" w14:textId="77777777" w:rsidR="00F44BFC" w:rsidRPr="00F44BFC" w:rsidRDefault="00F44BFC" w:rsidP="00F44BFC">
            <w:pPr>
              <w:jc w:val="right"/>
              <w:rPr>
                <w:rFonts w:ascii="Arial Narrow" w:hAnsi="Arial Narrow"/>
                <w:sz w:val="20"/>
                <w:szCs w:val="20"/>
                <w:lang w:val="bg-BG" w:eastAsia="bg-BG"/>
              </w:rPr>
            </w:pPr>
            <w:r w:rsidRPr="00F44BFC">
              <w:rPr>
                <w:rFonts w:ascii="Arial Narrow" w:hAnsi="Arial Narrow"/>
                <w:sz w:val="20"/>
                <w:szCs w:val="20"/>
                <w:lang w:val="bg-BG" w:eastAsia="bg-BG"/>
              </w:rPr>
              <w:t xml:space="preserve">-8 295,94 </w:t>
            </w:r>
          </w:p>
        </w:tc>
        <w:tc>
          <w:tcPr>
            <w:tcW w:w="728" w:type="pct"/>
            <w:tcBorders>
              <w:top w:val="nil"/>
              <w:left w:val="nil"/>
              <w:bottom w:val="single" w:sz="4" w:space="0" w:color="auto"/>
              <w:right w:val="single" w:sz="4" w:space="0" w:color="auto"/>
            </w:tcBorders>
            <w:shd w:val="clear" w:color="000000" w:fill="FFFFFF"/>
            <w:vAlign w:val="center"/>
          </w:tcPr>
          <w:p w14:paraId="359FE248" w14:textId="77777777" w:rsidR="00F44BFC" w:rsidRPr="00F44BFC" w:rsidRDefault="00F44BFC" w:rsidP="00F44BFC">
            <w:pPr>
              <w:jc w:val="right"/>
              <w:rPr>
                <w:rFonts w:ascii="Arial Narrow" w:hAnsi="Arial Narrow"/>
                <w:sz w:val="20"/>
                <w:szCs w:val="20"/>
                <w:lang w:val="bg-BG" w:eastAsia="bg-BG"/>
              </w:rPr>
            </w:pPr>
            <w:r w:rsidRPr="00F44BFC">
              <w:rPr>
                <w:rFonts w:ascii="Arial Narrow" w:hAnsi="Arial Narrow"/>
                <w:sz w:val="20"/>
                <w:szCs w:val="20"/>
                <w:lang w:val="bg-BG" w:eastAsia="bg-BG"/>
              </w:rPr>
              <w:t xml:space="preserve">-24 887,82 </w:t>
            </w:r>
          </w:p>
        </w:tc>
      </w:tr>
      <w:tr w:rsidR="00F44BFC" w:rsidRPr="00F44BFC" w14:paraId="6141AB84" w14:textId="77777777" w:rsidTr="00007F21">
        <w:trPr>
          <w:trHeight w:val="624"/>
        </w:trPr>
        <w:tc>
          <w:tcPr>
            <w:tcW w:w="2352" w:type="pct"/>
            <w:shd w:val="clear" w:color="auto" w:fill="auto"/>
            <w:vAlign w:val="center"/>
          </w:tcPr>
          <w:p w14:paraId="38690548" w14:textId="77777777" w:rsidR="00F44BFC" w:rsidRPr="00F44BFC" w:rsidRDefault="00F44BFC" w:rsidP="00F44BFC">
            <w:pPr>
              <w:rPr>
                <w:rFonts w:ascii="Arial Narrow" w:hAnsi="Arial Narrow"/>
                <w:sz w:val="20"/>
                <w:szCs w:val="20"/>
                <w:lang w:val="bg-BG" w:eastAsia="bg-BG"/>
              </w:rPr>
            </w:pPr>
            <w:r w:rsidRPr="00F44BFC">
              <w:rPr>
                <w:rFonts w:ascii="Arial Narrow" w:hAnsi="Arial Narrow"/>
                <w:sz w:val="20"/>
                <w:szCs w:val="20"/>
                <w:lang w:val="bg-BG" w:eastAsia="bg-BG"/>
              </w:rPr>
              <w:t>4.2. Изпълнение на стратегиите за водено от общностите местно развитие</w:t>
            </w:r>
          </w:p>
        </w:tc>
        <w:tc>
          <w:tcPr>
            <w:tcW w:w="426" w:type="pct"/>
            <w:tcBorders>
              <w:top w:val="nil"/>
              <w:left w:val="nil"/>
              <w:bottom w:val="single" w:sz="4" w:space="0" w:color="auto"/>
              <w:right w:val="single" w:sz="4" w:space="0" w:color="auto"/>
            </w:tcBorders>
            <w:shd w:val="clear" w:color="000000" w:fill="FFFFFF"/>
            <w:vAlign w:val="center"/>
          </w:tcPr>
          <w:p w14:paraId="2FFC74EC" w14:textId="77777777" w:rsidR="00F44BFC" w:rsidRPr="00F44BFC" w:rsidRDefault="00F44BFC" w:rsidP="00F44BFC">
            <w:pPr>
              <w:jc w:val="center"/>
              <w:rPr>
                <w:rFonts w:ascii="Arial Narrow" w:hAnsi="Arial Narrow"/>
                <w:sz w:val="20"/>
                <w:szCs w:val="20"/>
                <w:lang w:val="bg-BG" w:eastAsia="bg-BG"/>
              </w:rPr>
            </w:pPr>
            <w:r w:rsidRPr="00F44BFC">
              <w:rPr>
                <w:rFonts w:ascii="Arial Narrow" w:hAnsi="Arial Narrow"/>
                <w:sz w:val="20"/>
                <w:szCs w:val="20"/>
                <w:lang w:val="bg-BG" w:eastAsia="bg-BG"/>
              </w:rPr>
              <w:t>7</w:t>
            </w:r>
          </w:p>
        </w:tc>
        <w:tc>
          <w:tcPr>
            <w:tcW w:w="765" w:type="pct"/>
            <w:tcBorders>
              <w:top w:val="nil"/>
              <w:left w:val="nil"/>
              <w:bottom w:val="single" w:sz="4" w:space="0" w:color="auto"/>
              <w:right w:val="single" w:sz="4" w:space="0" w:color="auto"/>
            </w:tcBorders>
            <w:shd w:val="clear" w:color="000000" w:fill="FFFFFF"/>
            <w:vAlign w:val="center"/>
          </w:tcPr>
          <w:p w14:paraId="031E4C71" w14:textId="77777777" w:rsidR="00F44BFC" w:rsidRPr="00F44BFC" w:rsidRDefault="00F44BFC" w:rsidP="00F44BFC">
            <w:pPr>
              <w:jc w:val="right"/>
              <w:rPr>
                <w:rFonts w:ascii="Arial Narrow" w:hAnsi="Arial Narrow"/>
                <w:sz w:val="20"/>
                <w:szCs w:val="20"/>
                <w:lang w:val="bg-BG" w:eastAsia="bg-BG"/>
              </w:rPr>
            </w:pPr>
            <w:r w:rsidRPr="00F44BFC">
              <w:rPr>
                <w:rFonts w:ascii="Arial Narrow" w:hAnsi="Arial Narrow"/>
                <w:sz w:val="20"/>
                <w:szCs w:val="20"/>
                <w:lang w:val="bg-BG" w:eastAsia="bg-BG"/>
              </w:rPr>
              <w:t xml:space="preserve">444 349,12 </w:t>
            </w:r>
          </w:p>
        </w:tc>
        <w:tc>
          <w:tcPr>
            <w:tcW w:w="728" w:type="pct"/>
            <w:tcBorders>
              <w:top w:val="nil"/>
              <w:left w:val="nil"/>
              <w:bottom w:val="single" w:sz="4" w:space="0" w:color="auto"/>
              <w:right w:val="single" w:sz="4" w:space="0" w:color="auto"/>
            </w:tcBorders>
            <w:shd w:val="clear" w:color="000000" w:fill="FFFFFF"/>
            <w:vAlign w:val="center"/>
          </w:tcPr>
          <w:p w14:paraId="3C674233" w14:textId="77777777" w:rsidR="00F44BFC" w:rsidRPr="00F44BFC" w:rsidRDefault="00F44BFC" w:rsidP="00F44BFC">
            <w:pPr>
              <w:jc w:val="right"/>
              <w:rPr>
                <w:rFonts w:ascii="Arial Narrow" w:hAnsi="Arial Narrow"/>
                <w:sz w:val="20"/>
                <w:szCs w:val="20"/>
                <w:lang w:val="bg-BG" w:eastAsia="bg-BG"/>
              </w:rPr>
            </w:pPr>
            <w:r w:rsidRPr="00F44BFC">
              <w:rPr>
                <w:rFonts w:ascii="Arial Narrow" w:hAnsi="Arial Narrow"/>
                <w:sz w:val="20"/>
                <w:szCs w:val="20"/>
                <w:lang w:val="bg-BG" w:eastAsia="bg-BG"/>
              </w:rPr>
              <w:t xml:space="preserve">66 652,37 </w:t>
            </w:r>
          </w:p>
        </w:tc>
        <w:tc>
          <w:tcPr>
            <w:tcW w:w="728" w:type="pct"/>
            <w:tcBorders>
              <w:top w:val="nil"/>
              <w:left w:val="nil"/>
              <w:bottom w:val="single" w:sz="4" w:space="0" w:color="auto"/>
              <w:right w:val="single" w:sz="4" w:space="0" w:color="auto"/>
            </w:tcBorders>
            <w:shd w:val="clear" w:color="000000" w:fill="FFFFFF"/>
            <w:vAlign w:val="center"/>
          </w:tcPr>
          <w:p w14:paraId="60636C61" w14:textId="77777777" w:rsidR="00F44BFC" w:rsidRPr="00F44BFC" w:rsidRDefault="00F44BFC" w:rsidP="00F44BFC">
            <w:pPr>
              <w:jc w:val="right"/>
              <w:rPr>
                <w:rFonts w:ascii="Arial Narrow" w:hAnsi="Arial Narrow"/>
                <w:sz w:val="20"/>
                <w:szCs w:val="20"/>
                <w:lang w:val="bg-BG" w:eastAsia="bg-BG"/>
              </w:rPr>
            </w:pPr>
            <w:r w:rsidRPr="00F44BFC">
              <w:rPr>
                <w:rFonts w:ascii="Arial Narrow" w:hAnsi="Arial Narrow"/>
                <w:sz w:val="20"/>
                <w:szCs w:val="20"/>
                <w:lang w:val="bg-BG" w:eastAsia="bg-BG"/>
              </w:rPr>
              <w:t xml:space="preserve">377 696,75 </w:t>
            </w:r>
          </w:p>
        </w:tc>
      </w:tr>
      <w:tr w:rsidR="00F44BFC" w:rsidRPr="00F44BFC" w14:paraId="61546AD6" w14:textId="77777777" w:rsidTr="00007F21">
        <w:trPr>
          <w:trHeight w:val="397"/>
        </w:trPr>
        <w:tc>
          <w:tcPr>
            <w:tcW w:w="2352" w:type="pct"/>
            <w:shd w:val="clear" w:color="auto" w:fill="auto"/>
            <w:vAlign w:val="center"/>
          </w:tcPr>
          <w:p w14:paraId="2F5DBE79" w14:textId="77777777" w:rsidR="00F44BFC" w:rsidRPr="00F44BFC" w:rsidRDefault="00F44BFC" w:rsidP="00F44BFC">
            <w:pPr>
              <w:rPr>
                <w:rFonts w:ascii="Arial Narrow" w:hAnsi="Arial Narrow"/>
                <w:sz w:val="20"/>
                <w:szCs w:val="20"/>
                <w:lang w:val="bg-BG" w:eastAsia="bg-BG"/>
              </w:rPr>
            </w:pPr>
            <w:r w:rsidRPr="00F44BFC">
              <w:rPr>
                <w:rFonts w:ascii="Arial Narrow" w:hAnsi="Arial Narrow"/>
                <w:sz w:val="20"/>
                <w:szCs w:val="20"/>
                <w:lang w:val="bg-BG" w:eastAsia="bg-BG"/>
              </w:rPr>
              <w:lastRenderedPageBreak/>
              <w:t>5.3. Мерки за предлагане на пазара - Украйна</w:t>
            </w:r>
          </w:p>
        </w:tc>
        <w:tc>
          <w:tcPr>
            <w:tcW w:w="426" w:type="pct"/>
            <w:tcBorders>
              <w:top w:val="nil"/>
              <w:left w:val="nil"/>
              <w:bottom w:val="single" w:sz="4" w:space="0" w:color="auto"/>
              <w:right w:val="single" w:sz="4" w:space="0" w:color="auto"/>
            </w:tcBorders>
            <w:shd w:val="clear" w:color="000000" w:fill="FFFFFF"/>
            <w:vAlign w:val="center"/>
          </w:tcPr>
          <w:p w14:paraId="3A60E16D" w14:textId="77777777" w:rsidR="00F44BFC" w:rsidRPr="00F44BFC" w:rsidRDefault="00F44BFC" w:rsidP="00F44BFC">
            <w:pPr>
              <w:jc w:val="center"/>
              <w:rPr>
                <w:rFonts w:ascii="Arial Narrow" w:hAnsi="Arial Narrow"/>
                <w:sz w:val="20"/>
                <w:szCs w:val="20"/>
                <w:lang w:val="bg-BG" w:eastAsia="bg-BG"/>
              </w:rPr>
            </w:pPr>
            <w:r w:rsidRPr="00F44BFC">
              <w:rPr>
                <w:rFonts w:ascii="Arial Narrow" w:hAnsi="Arial Narrow"/>
                <w:sz w:val="20"/>
                <w:szCs w:val="20"/>
                <w:lang w:val="bg-BG" w:eastAsia="bg-BG"/>
              </w:rPr>
              <w:t>1</w:t>
            </w:r>
          </w:p>
        </w:tc>
        <w:tc>
          <w:tcPr>
            <w:tcW w:w="765" w:type="pct"/>
            <w:tcBorders>
              <w:top w:val="nil"/>
              <w:left w:val="nil"/>
              <w:bottom w:val="single" w:sz="4" w:space="0" w:color="auto"/>
              <w:right w:val="single" w:sz="4" w:space="0" w:color="auto"/>
            </w:tcBorders>
            <w:shd w:val="clear" w:color="000000" w:fill="FFFFFF"/>
            <w:vAlign w:val="center"/>
          </w:tcPr>
          <w:p w14:paraId="31B4F8A7" w14:textId="77777777" w:rsidR="00F44BFC" w:rsidRPr="00F44BFC" w:rsidRDefault="00F44BFC" w:rsidP="00F44BFC">
            <w:pPr>
              <w:jc w:val="right"/>
              <w:rPr>
                <w:rFonts w:ascii="Arial Narrow" w:hAnsi="Arial Narrow"/>
                <w:sz w:val="20"/>
                <w:szCs w:val="20"/>
                <w:lang w:val="bg-BG" w:eastAsia="bg-BG"/>
              </w:rPr>
            </w:pPr>
            <w:r w:rsidRPr="00F44BFC">
              <w:rPr>
                <w:rFonts w:ascii="Arial Narrow" w:hAnsi="Arial Narrow"/>
                <w:sz w:val="20"/>
                <w:szCs w:val="20"/>
                <w:lang w:val="bg-BG" w:eastAsia="bg-BG"/>
              </w:rPr>
              <w:t xml:space="preserve">91 236,96 </w:t>
            </w:r>
          </w:p>
        </w:tc>
        <w:tc>
          <w:tcPr>
            <w:tcW w:w="728" w:type="pct"/>
            <w:tcBorders>
              <w:top w:val="nil"/>
              <w:left w:val="nil"/>
              <w:bottom w:val="single" w:sz="4" w:space="0" w:color="auto"/>
              <w:right w:val="single" w:sz="4" w:space="0" w:color="auto"/>
            </w:tcBorders>
            <w:shd w:val="clear" w:color="000000" w:fill="FFFFFF"/>
            <w:vAlign w:val="center"/>
          </w:tcPr>
          <w:p w14:paraId="06B3E148" w14:textId="77777777" w:rsidR="00F44BFC" w:rsidRPr="00F44BFC" w:rsidRDefault="00F44BFC" w:rsidP="00F44BFC">
            <w:pPr>
              <w:jc w:val="right"/>
              <w:rPr>
                <w:rFonts w:ascii="Arial Narrow" w:hAnsi="Arial Narrow"/>
                <w:sz w:val="20"/>
                <w:szCs w:val="20"/>
                <w:lang w:val="bg-BG" w:eastAsia="bg-BG"/>
              </w:rPr>
            </w:pPr>
            <w:r w:rsidRPr="00F44BFC">
              <w:rPr>
                <w:rFonts w:ascii="Arial Narrow" w:hAnsi="Arial Narrow"/>
                <w:sz w:val="20"/>
                <w:szCs w:val="20"/>
                <w:lang w:val="bg-BG" w:eastAsia="bg-BG"/>
              </w:rPr>
              <w:t xml:space="preserve">22 809,24 </w:t>
            </w:r>
          </w:p>
        </w:tc>
        <w:tc>
          <w:tcPr>
            <w:tcW w:w="728" w:type="pct"/>
            <w:tcBorders>
              <w:top w:val="nil"/>
              <w:left w:val="nil"/>
              <w:bottom w:val="single" w:sz="4" w:space="0" w:color="auto"/>
              <w:right w:val="single" w:sz="4" w:space="0" w:color="auto"/>
            </w:tcBorders>
            <w:shd w:val="clear" w:color="000000" w:fill="FFFFFF"/>
            <w:vAlign w:val="center"/>
          </w:tcPr>
          <w:p w14:paraId="3DD64CFD" w14:textId="77777777" w:rsidR="00F44BFC" w:rsidRPr="00F44BFC" w:rsidRDefault="00F44BFC" w:rsidP="00F44BFC">
            <w:pPr>
              <w:jc w:val="right"/>
              <w:rPr>
                <w:rFonts w:ascii="Arial Narrow" w:hAnsi="Arial Narrow"/>
                <w:sz w:val="20"/>
                <w:szCs w:val="20"/>
                <w:lang w:val="bg-BG" w:eastAsia="bg-BG"/>
              </w:rPr>
            </w:pPr>
            <w:r w:rsidRPr="00F44BFC">
              <w:rPr>
                <w:rFonts w:ascii="Arial Narrow" w:hAnsi="Arial Narrow"/>
                <w:sz w:val="20"/>
                <w:szCs w:val="20"/>
                <w:lang w:val="bg-BG" w:eastAsia="bg-BG"/>
              </w:rPr>
              <w:t xml:space="preserve">68 427,72 </w:t>
            </w:r>
          </w:p>
        </w:tc>
      </w:tr>
      <w:tr w:rsidR="00F44BFC" w:rsidRPr="00F44BFC" w14:paraId="133112D3" w14:textId="77777777" w:rsidTr="00853B17">
        <w:trPr>
          <w:trHeight w:val="508"/>
        </w:trPr>
        <w:tc>
          <w:tcPr>
            <w:tcW w:w="2352" w:type="pct"/>
            <w:shd w:val="clear" w:color="auto" w:fill="auto"/>
            <w:vAlign w:val="center"/>
          </w:tcPr>
          <w:p w14:paraId="7E938747" w14:textId="77777777" w:rsidR="00F44BFC" w:rsidRPr="00F44BFC" w:rsidRDefault="00F44BFC" w:rsidP="00F44BFC">
            <w:pPr>
              <w:rPr>
                <w:rFonts w:ascii="Arial Narrow" w:hAnsi="Arial Narrow"/>
                <w:sz w:val="20"/>
                <w:szCs w:val="20"/>
                <w:lang w:val="bg-BG" w:eastAsia="bg-BG"/>
              </w:rPr>
            </w:pPr>
            <w:r w:rsidRPr="00F44BFC">
              <w:rPr>
                <w:rFonts w:ascii="Arial Narrow" w:hAnsi="Arial Narrow"/>
                <w:sz w:val="20"/>
                <w:szCs w:val="20"/>
                <w:lang w:val="bg-BG" w:eastAsia="bg-BG"/>
              </w:rPr>
              <w:t>5.4. Преработване на продуктите от риболов и аквакултури</w:t>
            </w:r>
          </w:p>
        </w:tc>
        <w:tc>
          <w:tcPr>
            <w:tcW w:w="426" w:type="pct"/>
            <w:tcBorders>
              <w:top w:val="nil"/>
              <w:left w:val="nil"/>
              <w:bottom w:val="single" w:sz="4" w:space="0" w:color="auto"/>
              <w:right w:val="single" w:sz="4" w:space="0" w:color="auto"/>
            </w:tcBorders>
            <w:shd w:val="clear" w:color="000000" w:fill="FFFFFF"/>
            <w:vAlign w:val="center"/>
          </w:tcPr>
          <w:p w14:paraId="7CB9B270" w14:textId="77777777" w:rsidR="00F44BFC" w:rsidRPr="00F44BFC" w:rsidRDefault="00F44BFC" w:rsidP="00F44BFC">
            <w:pPr>
              <w:jc w:val="center"/>
              <w:rPr>
                <w:rFonts w:ascii="Arial Narrow" w:hAnsi="Arial Narrow"/>
                <w:sz w:val="20"/>
                <w:szCs w:val="20"/>
                <w:lang w:val="bg-BG" w:eastAsia="bg-BG"/>
              </w:rPr>
            </w:pPr>
            <w:r w:rsidRPr="00F44BFC">
              <w:rPr>
                <w:rFonts w:ascii="Arial Narrow" w:hAnsi="Arial Narrow"/>
                <w:sz w:val="20"/>
                <w:szCs w:val="20"/>
                <w:lang w:val="bg-BG" w:eastAsia="bg-BG"/>
              </w:rPr>
              <w:t>0</w:t>
            </w:r>
          </w:p>
        </w:tc>
        <w:tc>
          <w:tcPr>
            <w:tcW w:w="765" w:type="pct"/>
            <w:tcBorders>
              <w:top w:val="nil"/>
              <w:left w:val="nil"/>
              <w:bottom w:val="single" w:sz="4" w:space="0" w:color="auto"/>
              <w:right w:val="single" w:sz="4" w:space="0" w:color="auto"/>
            </w:tcBorders>
            <w:shd w:val="clear" w:color="000000" w:fill="FFFFFF"/>
            <w:vAlign w:val="center"/>
          </w:tcPr>
          <w:p w14:paraId="7AFF786E" w14:textId="77777777" w:rsidR="00F44BFC" w:rsidRPr="00F44BFC" w:rsidRDefault="00F44BFC" w:rsidP="00F44BFC">
            <w:pPr>
              <w:jc w:val="right"/>
              <w:rPr>
                <w:rFonts w:ascii="Arial Narrow" w:hAnsi="Arial Narrow"/>
                <w:sz w:val="20"/>
                <w:szCs w:val="20"/>
                <w:lang w:val="bg-BG" w:eastAsia="bg-BG"/>
              </w:rPr>
            </w:pPr>
            <w:r w:rsidRPr="00F44BFC">
              <w:rPr>
                <w:rFonts w:ascii="Arial Narrow" w:hAnsi="Arial Narrow"/>
                <w:sz w:val="20"/>
                <w:szCs w:val="20"/>
                <w:lang w:val="bg-BG" w:eastAsia="bg-BG"/>
              </w:rPr>
              <w:t xml:space="preserve">-56 482,70 </w:t>
            </w:r>
          </w:p>
        </w:tc>
        <w:tc>
          <w:tcPr>
            <w:tcW w:w="728" w:type="pct"/>
            <w:tcBorders>
              <w:top w:val="nil"/>
              <w:left w:val="nil"/>
              <w:bottom w:val="single" w:sz="4" w:space="0" w:color="auto"/>
              <w:right w:val="single" w:sz="4" w:space="0" w:color="auto"/>
            </w:tcBorders>
            <w:shd w:val="clear" w:color="000000" w:fill="FFFFFF"/>
            <w:vAlign w:val="center"/>
          </w:tcPr>
          <w:p w14:paraId="35BC1D01" w14:textId="77777777" w:rsidR="00F44BFC" w:rsidRPr="00F44BFC" w:rsidRDefault="00F44BFC" w:rsidP="00F44BFC">
            <w:pPr>
              <w:jc w:val="right"/>
              <w:rPr>
                <w:rFonts w:ascii="Arial Narrow" w:hAnsi="Arial Narrow"/>
                <w:sz w:val="20"/>
                <w:szCs w:val="20"/>
                <w:lang w:val="bg-BG" w:eastAsia="bg-BG"/>
              </w:rPr>
            </w:pPr>
            <w:r w:rsidRPr="00F44BFC">
              <w:rPr>
                <w:rFonts w:ascii="Arial Narrow" w:hAnsi="Arial Narrow"/>
                <w:sz w:val="20"/>
                <w:szCs w:val="20"/>
                <w:lang w:val="bg-BG" w:eastAsia="bg-BG"/>
              </w:rPr>
              <w:t xml:space="preserve">-14 120,67 </w:t>
            </w:r>
          </w:p>
        </w:tc>
        <w:tc>
          <w:tcPr>
            <w:tcW w:w="728" w:type="pct"/>
            <w:tcBorders>
              <w:top w:val="nil"/>
              <w:left w:val="nil"/>
              <w:bottom w:val="single" w:sz="4" w:space="0" w:color="auto"/>
              <w:right w:val="single" w:sz="4" w:space="0" w:color="auto"/>
            </w:tcBorders>
            <w:shd w:val="clear" w:color="000000" w:fill="FFFFFF"/>
            <w:vAlign w:val="center"/>
          </w:tcPr>
          <w:p w14:paraId="0CB191BF" w14:textId="77777777" w:rsidR="00F44BFC" w:rsidRPr="00F44BFC" w:rsidRDefault="00F44BFC" w:rsidP="00F44BFC">
            <w:pPr>
              <w:jc w:val="right"/>
              <w:rPr>
                <w:rFonts w:ascii="Arial Narrow" w:hAnsi="Arial Narrow"/>
                <w:sz w:val="20"/>
                <w:szCs w:val="20"/>
                <w:lang w:val="bg-BG" w:eastAsia="bg-BG"/>
              </w:rPr>
            </w:pPr>
            <w:r w:rsidRPr="00F44BFC">
              <w:rPr>
                <w:rFonts w:ascii="Arial Narrow" w:hAnsi="Arial Narrow"/>
                <w:sz w:val="20"/>
                <w:szCs w:val="20"/>
                <w:lang w:val="bg-BG" w:eastAsia="bg-BG"/>
              </w:rPr>
              <w:t xml:space="preserve">-42 362,03 </w:t>
            </w:r>
          </w:p>
        </w:tc>
      </w:tr>
      <w:tr w:rsidR="00F44BFC" w:rsidRPr="00F44BFC" w14:paraId="08D27BE9" w14:textId="77777777" w:rsidTr="00853B17">
        <w:trPr>
          <w:trHeight w:val="571"/>
        </w:trPr>
        <w:tc>
          <w:tcPr>
            <w:tcW w:w="2352" w:type="pct"/>
            <w:tcBorders>
              <w:top w:val="single" w:sz="4" w:space="0" w:color="auto"/>
              <w:left w:val="single" w:sz="4" w:space="0" w:color="auto"/>
              <w:bottom w:val="single" w:sz="4" w:space="0" w:color="auto"/>
              <w:right w:val="single" w:sz="4" w:space="0" w:color="000000"/>
            </w:tcBorders>
            <w:shd w:val="clear" w:color="000000" w:fill="FFFFFF"/>
            <w:vAlign w:val="center"/>
          </w:tcPr>
          <w:p w14:paraId="5CABD23C" w14:textId="77777777" w:rsidR="00F44BFC" w:rsidRPr="00F44BFC" w:rsidRDefault="00F44BFC" w:rsidP="00F44BFC">
            <w:pPr>
              <w:rPr>
                <w:lang w:val="bg-BG" w:eastAsia="bg-BG"/>
              </w:rPr>
            </w:pPr>
            <w:r w:rsidRPr="00F44BFC">
              <w:rPr>
                <w:rFonts w:ascii="Arial Narrow" w:hAnsi="Arial Narrow"/>
                <w:sz w:val="20"/>
                <w:szCs w:val="20"/>
                <w:lang w:val="bg-BG" w:eastAsia="bg-BG"/>
              </w:rPr>
              <w:t>6.3. Повишаване на знанията за състоянието на морската среда</w:t>
            </w:r>
          </w:p>
        </w:tc>
        <w:tc>
          <w:tcPr>
            <w:tcW w:w="426" w:type="pct"/>
            <w:tcBorders>
              <w:top w:val="nil"/>
              <w:left w:val="nil"/>
              <w:bottom w:val="single" w:sz="4" w:space="0" w:color="auto"/>
              <w:right w:val="single" w:sz="4" w:space="0" w:color="auto"/>
            </w:tcBorders>
            <w:shd w:val="clear" w:color="000000" w:fill="FFFFFF"/>
            <w:vAlign w:val="center"/>
          </w:tcPr>
          <w:p w14:paraId="46AD40BB" w14:textId="77777777" w:rsidR="00F44BFC" w:rsidRPr="00F44BFC" w:rsidRDefault="00F44BFC" w:rsidP="00F44BFC">
            <w:pPr>
              <w:jc w:val="center"/>
              <w:rPr>
                <w:rFonts w:ascii="Arial Narrow" w:hAnsi="Arial Narrow"/>
                <w:sz w:val="20"/>
                <w:szCs w:val="20"/>
                <w:lang w:val="bg-BG" w:eastAsia="bg-BG"/>
              </w:rPr>
            </w:pPr>
            <w:r w:rsidRPr="00F44BFC">
              <w:rPr>
                <w:rFonts w:ascii="Arial Narrow" w:hAnsi="Arial Narrow"/>
                <w:sz w:val="20"/>
                <w:szCs w:val="20"/>
                <w:lang w:val="bg-BG" w:eastAsia="bg-BG"/>
              </w:rPr>
              <w:t>1</w:t>
            </w:r>
          </w:p>
        </w:tc>
        <w:tc>
          <w:tcPr>
            <w:tcW w:w="765" w:type="pct"/>
            <w:tcBorders>
              <w:top w:val="nil"/>
              <w:left w:val="nil"/>
              <w:bottom w:val="single" w:sz="4" w:space="0" w:color="auto"/>
              <w:right w:val="single" w:sz="4" w:space="0" w:color="auto"/>
            </w:tcBorders>
            <w:shd w:val="clear" w:color="000000" w:fill="FFFFFF"/>
            <w:vAlign w:val="center"/>
          </w:tcPr>
          <w:p w14:paraId="7F992637" w14:textId="77777777" w:rsidR="00F44BFC" w:rsidRPr="00F44BFC" w:rsidRDefault="00F44BFC" w:rsidP="00F44BFC">
            <w:pPr>
              <w:jc w:val="right"/>
              <w:rPr>
                <w:rFonts w:ascii="Arial Narrow" w:hAnsi="Arial Narrow"/>
                <w:sz w:val="20"/>
                <w:szCs w:val="20"/>
                <w:lang w:val="bg-BG" w:eastAsia="bg-BG"/>
              </w:rPr>
            </w:pPr>
            <w:r w:rsidRPr="00F44BFC">
              <w:rPr>
                <w:rFonts w:ascii="Arial Narrow" w:hAnsi="Arial Narrow"/>
                <w:sz w:val="20"/>
                <w:szCs w:val="20"/>
                <w:lang w:val="bg-BG" w:eastAsia="bg-BG"/>
              </w:rPr>
              <w:t xml:space="preserve">102 065,64 </w:t>
            </w:r>
          </w:p>
        </w:tc>
        <w:tc>
          <w:tcPr>
            <w:tcW w:w="728" w:type="pct"/>
            <w:tcBorders>
              <w:top w:val="nil"/>
              <w:left w:val="nil"/>
              <w:bottom w:val="single" w:sz="4" w:space="0" w:color="auto"/>
              <w:right w:val="single" w:sz="4" w:space="0" w:color="auto"/>
            </w:tcBorders>
            <w:shd w:val="clear" w:color="000000" w:fill="FFFFFF"/>
            <w:vAlign w:val="center"/>
          </w:tcPr>
          <w:p w14:paraId="315BF57B" w14:textId="77777777" w:rsidR="00F44BFC" w:rsidRPr="00F44BFC" w:rsidRDefault="00F44BFC" w:rsidP="00F44BFC">
            <w:pPr>
              <w:jc w:val="right"/>
              <w:rPr>
                <w:rFonts w:ascii="Arial Narrow" w:hAnsi="Arial Narrow"/>
                <w:sz w:val="20"/>
                <w:szCs w:val="20"/>
                <w:lang w:val="bg-BG" w:eastAsia="bg-BG"/>
              </w:rPr>
            </w:pPr>
            <w:r w:rsidRPr="00F44BFC">
              <w:rPr>
                <w:rFonts w:ascii="Arial Narrow" w:hAnsi="Arial Narrow"/>
                <w:sz w:val="20"/>
                <w:szCs w:val="20"/>
                <w:lang w:val="bg-BG" w:eastAsia="bg-BG"/>
              </w:rPr>
              <w:t xml:space="preserve">25 516,41 </w:t>
            </w:r>
          </w:p>
        </w:tc>
        <w:tc>
          <w:tcPr>
            <w:tcW w:w="728" w:type="pct"/>
            <w:tcBorders>
              <w:top w:val="nil"/>
              <w:left w:val="nil"/>
              <w:bottom w:val="single" w:sz="4" w:space="0" w:color="auto"/>
              <w:right w:val="single" w:sz="4" w:space="0" w:color="auto"/>
            </w:tcBorders>
            <w:shd w:val="clear" w:color="000000" w:fill="FFFFFF"/>
            <w:vAlign w:val="center"/>
          </w:tcPr>
          <w:p w14:paraId="2FE53FEF" w14:textId="77777777" w:rsidR="00F44BFC" w:rsidRPr="00F44BFC" w:rsidRDefault="00F44BFC" w:rsidP="00F44BFC">
            <w:pPr>
              <w:jc w:val="right"/>
              <w:rPr>
                <w:rFonts w:ascii="Arial Narrow" w:hAnsi="Arial Narrow"/>
                <w:sz w:val="20"/>
                <w:szCs w:val="20"/>
                <w:lang w:val="bg-BG" w:eastAsia="bg-BG"/>
              </w:rPr>
            </w:pPr>
            <w:r w:rsidRPr="00F44BFC">
              <w:rPr>
                <w:rFonts w:ascii="Arial Narrow" w:hAnsi="Arial Narrow"/>
                <w:sz w:val="20"/>
                <w:szCs w:val="20"/>
                <w:lang w:val="bg-BG" w:eastAsia="bg-BG"/>
              </w:rPr>
              <w:t xml:space="preserve">76 549,23 </w:t>
            </w:r>
          </w:p>
        </w:tc>
      </w:tr>
      <w:tr w:rsidR="00F44BFC" w:rsidRPr="00F44BFC" w14:paraId="3A99193E" w14:textId="77777777" w:rsidTr="00007F21">
        <w:trPr>
          <w:trHeight w:val="397"/>
        </w:trPr>
        <w:tc>
          <w:tcPr>
            <w:tcW w:w="2352" w:type="pct"/>
            <w:shd w:val="clear" w:color="auto" w:fill="auto"/>
            <w:vAlign w:val="center"/>
          </w:tcPr>
          <w:p w14:paraId="0DE84315" w14:textId="77777777" w:rsidR="00F44BFC" w:rsidRPr="00F44BFC" w:rsidRDefault="00F44BFC" w:rsidP="00F44BFC">
            <w:pPr>
              <w:rPr>
                <w:rFonts w:ascii="Arial Narrow" w:hAnsi="Arial Narrow"/>
                <w:sz w:val="20"/>
                <w:szCs w:val="20"/>
                <w:lang w:val="bg-BG" w:eastAsia="bg-BG"/>
              </w:rPr>
            </w:pPr>
            <w:r w:rsidRPr="00F44BFC">
              <w:rPr>
                <w:rFonts w:ascii="Arial Narrow" w:hAnsi="Arial Narrow"/>
                <w:sz w:val="20"/>
                <w:szCs w:val="20"/>
                <w:lang w:val="bg-BG" w:eastAsia="bg-BG"/>
              </w:rPr>
              <w:t>7.1. Техническа помощ</w:t>
            </w:r>
          </w:p>
        </w:tc>
        <w:tc>
          <w:tcPr>
            <w:tcW w:w="426" w:type="pct"/>
            <w:tcBorders>
              <w:top w:val="nil"/>
              <w:left w:val="nil"/>
              <w:bottom w:val="single" w:sz="4" w:space="0" w:color="auto"/>
              <w:right w:val="single" w:sz="4" w:space="0" w:color="auto"/>
            </w:tcBorders>
            <w:shd w:val="clear" w:color="000000" w:fill="FFFFFF"/>
            <w:vAlign w:val="center"/>
          </w:tcPr>
          <w:p w14:paraId="22624144" w14:textId="77777777" w:rsidR="00F44BFC" w:rsidRPr="00F44BFC" w:rsidRDefault="00F44BFC" w:rsidP="00F44BFC">
            <w:pPr>
              <w:jc w:val="center"/>
              <w:rPr>
                <w:rFonts w:ascii="Arial Narrow" w:hAnsi="Arial Narrow"/>
                <w:sz w:val="20"/>
                <w:szCs w:val="20"/>
                <w:lang w:val="bg-BG" w:eastAsia="bg-BG"/>
              </w:rPr>
            </w:pPr>
            <w:r w:rsidRPr="00F44BFC">
              <w:rPr>
                <w:rFonts w:ascii="Arial Narrow" w:hAnsi="Arial Narrow"/>
                <w:sz w:val="20"/>
                <w:szCs w:val="20"/>
                <w:lang w:val="bg-BG" w:eastAsia="bg-BG"/>
              </w:rPr>
              <w:t>1</w:t>
            </w:r>
          </w:p>
        </w:tc>
        <w:tc>
          <w:tcPr>
            <w:tcW w:w="765" w:type="pct"/>
            <w:tcBorders>
              <w:top w:val="nil"/>
              <w:left w:val="nil"/>
              <w:bottom w:val="single" w:sz="4" w:space="0" w:color="auto"/>
              <w:right w:val="single" w:sz="4" w:space="0" w:color="auto"/>
            </w:tcBorders>
            <w:shd w:val="clear" w:color="000000" w:fill="FFFFFF"/>
            <w:vAlign w:val="center"/>
          </w:tcPr>
          <w:p w14:paraId="2E6E8FDE" w14:textId="77777777" w:rsidR="00F44BFC" w:rsidRPr="00F44BFC" w:rsidRDefault="00F44BFC" w:rsidP="00F44BFC">
            <w:pPr>
              <w:jc w:val="right"/>
              <w:rPr>
                <w:rFonts w:ascii="Arial Narrow" w:hAnsi="Arial Narrow"/>
                <w:sz w:val="20"/>
                <w:szCs w:val="20"/>
                <w:lang w:val="bg-BG" w:eastAsia="bg-BG"/>
              </w:rPr>
            </w:pPr>
            <w:r w:rsidRPr="00F44BFC">
              <w:rPr>
                <w:rFonts w:ascii="Arial Narrow" w:hAnsi="Arial Narrow"/>
                <w:sz w:val="20"/>
                <w:szCs w:val="20"/>
                <w:lang w:val="bg-BG" w:eastAsia="bg-BG"/>
              </w:rPr>
              <w:t xml:space="preserve">975 927,36 </w:t>
            </w:r>
          </w:p>
        </w:tc>
        <w:tc>
          <w:tcPr>
            <w:tcW w:w="728" w:type="pct"/>
            <w:tcBorders>
              <w:top w:val="nil"/>
              <w:left w:val="nil"/>
              <w:bottom w:val="single" w:sz="4" w:space="0" w:color="auto"/>
              <w:right w:val="single" w:sz="4" w:space="0" w:color="auto"/>
            </w:tcBorders>
            <w:shd w:val="clear" w:color="000000" w:fill="FFFFFF"/>
            <w:vAlign w:val="center"/>
          </w:tcPr>
          <w:p w14:paraId="6291FA08" w14:textId="77777777" w:rsidR="00F44BFC" w:rsidRPr="00F44BFC" w:rsidRDefault="00F44BFC" w:rsidP="00F44BFC">
            <w:pPr>
              <w:jc w:val="right"/>
              <w:rPr>
                <w:rFonts w:ascii="Arial Narrow" w:hAnsi="Arial Narrow"/>
                <w:sz w:val="20"/>
                <w:szCs w:val="20"/>
                <w:lang w:val="bg-BG" w:eastAsia="bg-BG"/>
              </w:rPr>
            </w:pPr>
            <w:r w:rsidRPr="00F44BFC">
              <w:rPr>
                <w:rFonts w:ascii="Arial Narrow" w:hAnsi="Arial Narrow"/>
                <w:sz w:val="20"/>
                <w:szCs w:val="20"/>
                <w:lang w:val="bg-BG" w:eastAsia="bg-BG"/>
              </w:rPr>
              <w:t xml:space="preserve">243 981,84 </w:t>
            </w:r>
          </w:p>
        </w:tc>
        <w:tc>
          <w:tcPr>
            <w:tcW w:w="728" w:type="pct"/>
            <w:tcBorders>
              <w:top w:val="nil"/>
              <w:left w:val="nil"/>
              <w:bottom w:val="single" w:sz="4" w:space="0" w:color="auto"/>
              <w:right w:val="single" w:sz="4" w:space="0" w:color="auto"/>
            </w:tcBorders>
            <w:shd w:val="clear" w:color="000000" w:fill="FFFFFF"/>
            <w:vAlign w:val="center"/>
          </w:tcPr>
          <w:p w14:paraId="15320290" w14:textId="77777777" w:rsidR="00F44BFC" w:rsidRPr="00F44BFC" w:rsidRDefault="00F44BFC" w:rsidP="00F44BFC">
            <w:pPr>
              <w:jc w:val="right"/>
              <w:rPr>
                <w:rFonts w:ascii="Arial Narrow" w:hAnsi="Arial Narrow"/>
                <w:sz w:val="20"/>
                <w:szCs w:val="20"/>
                <w:lang w:val="bg-BG" w:eastAsia="bg-BG"/>
              </w:rPr>
            </w:pPr>
            <w:r w:rsidRPr="00F44BFC">
              <w:rPr>
                <w:rFonts w:ascii="Arial Narrow" w:hAnsi="Arial Narrow"/>
                <w:sz w:val="20"/>
                <w:szCs w:val="20"/>
                <w:lang w:val="bg-BG" w:eastAsia="bg-BG"/>
              </w:rPr>
              <w:t xml:space="preserve">731 945,52 </w:t>
            </w:r>
          </w:p>
        </w:tc>
      </w:tr>
      <w:tr w:rsidR="00F44BFC" w:rsidRPr="00F44BFC" w14:paraId="18894552" w14:textId="77777777" w:rsidTr="00007F21">
        <w:trPr>
          <w:trHeight w:val="397"/>
        </w:trPr>
        <w:tc>
          <w:tcPr>
            <w:tcW w:w="2352" w:type="pct"/>
            <w:shd w:val="clear" w:color="auto" w:fill="auto"/>
            <w:vAlign w:val="center"/>
          </w:tcPr>
          <w:p w14:paraId="1E6A2B94" w14:textId="77777777" w:rsidR="00F44BFC" w:rsidRPr="00F44BFC" w:rsidRDefault="00F44BFC" w:rsidP="00F44BFC">
            <w:pPr>
              <w:rPr>
                <w:rFonts w:ascii="Arial Narrow" w:hAnsi="Arial Narrow"/>
                <w:b/>
                <w:sz w:val="20"/>
                <w:szCs w:val="20"/>
                <w:lang w:val="bg-BG" w:eastAsia="bg-BG"/>
              </w:rPr>
            </w:pPr>
            <w:r w:rsidRPr="00F44BFC">
              <w:rPr>
                <w:rFonts w:ascii="Arial Narrow" w:hAnsi="Arial Narrow"/>
                <w:b/>
                <w:sz w:val="20"/>
                <w:szCs w:val="20"/>
                <w:lang w:val="bg-BG" w:eastAsia="bg-BG"/>
              </w:rPr>
              <w:t>Общо:</w:t>
            </w:r>
          </w:p>
        </w:tc>
        <w:tc>
          <w:tcPr>
            <w:tcW w:w="426" w:type="pct"/>
            <w:tcBorders>
              <w:top w:val="nil"/>
              <w:left w:val="nil"/>
              <w:bottom w:val="single" w:sz="4" w:space="0" w:color="auto"/>
              <w:right w:val="single" w:sz="4" w:space="0" w:color="auto"/>
            </w:tcBorders>
            <w:shd w:val="clear" w:color="000000" w:fill="FFFFFF"/>
            <w:vAlign w:val="center"/>
          </w:tcPr>
          <w:p w14:paraId="6A168E40" w14:textId="77777777" w:rsidR="00F44BFC" w:rsidRPr="00F44BFC" w:rsidRDefault="00F44BFC" w:rsidP="00F44BFC">
            <w:pPr>
              <w:jc w:val="center"/>
              <w:rPr>
                <w:rFonts w:ascii="Arial Narrow" w:hAnsi="Arial Narrow"/>
                <w:b/>
                <w:sz w:val="20"/>
                <w:szCs w:val="20"/>
                <w:lang w:val="bg-BG" w:eastAsia="bg-BG"/>
              </w:rPr>
            </w:pPr>
            <w:r w:rsidRPr="00F44BFC">
              <w:rPr>
                <w:rFonts w:ascii="Arial Narrow" w:hAnsi="Arial Narrow"/>
                <w:b/>
                <w:sz w:val="20"/>
                <w:szCs w:val="20"/>
                <w:lang w:val="bg-BG" w:eastAsia="bg-BG"/>
              </w:rPr>
              <w:t>10</w:t>
            </w:r>
          </w:p>
        </w:tc>
        <w:tc>
          <w:tcPr>
            <w:tcW w:w="765" w:type="pct"/>
            <w:tcBorders>
              <w:top w:val="nil"/>
              <w:left w:val="nil"/>
              <w:bottom w:val="single" w:sz="4" w:space="0" w:color="auto"/>
              <w:right w:val="single" w:sz="4" w:space="0" w:color="auto"/>
            </w:tcBorders>
            <w:shd w:val="clear" w:color="000000" w:fill="FFFFFF"/>
            <w:vAlign w:val="center"/>
          </w:tcPr>
          <w:p w14:paraId="7E5C2402" w14:textId="77777777" w:rsidR="00F44BFC" w:rsidRPr="00F44BFC" w:rsidRDefault="00F44BFC" w:rsidP="00F44BFC">
            <w:pPr>
              <w:jc w:val="right"/>
              <w:rPr>
                <w:rFonts w:ascii="Arial Narrow" w:hAnsi="Arial Narrow"/>
                <w:b/>
                <w:sz w:val="20"/>
                <w:szCs w:val="20"/>
                <w:lang w:val="bg-BG" w:eastAsia="bg-BG"/>
              </w:rPr>
            </w:pPr>
            <w:r w:rsidRPr="00F44BFC">
              <w:rPr>
                <w:rFonts w:ascii="Arial Narrow" w:hAnsi="Arial Narrow"/>
                <w:b/>
                <w:sz w:val="20"/>
                <w:szCs w:val="20"/>
                <w:lang w:val="bg-BG" w:eastAsia="bg-BG"/>
              </w:rPr>
              <w:t xml:space="preserve">1 517 550,22 </w:t>
            </w:r>
          </w:p>
        </w:tc>
        <w:tc>
          <w:tcPr>
            <w:tcW w:w="728" w:type="pct"/>
            <w:tcBorders>
              <w:top w:val="nil"/>
              <w:left w:val="nil"/>
              <w:bottom w:val="single" w:sz="4" w:space="0" w:color="auto"/>
              <w:right w:val="single" w:sz="4" w:space="0" w:color="auto"/>
            </w:tcBorders>
            <w:shd w:val="clear" w:color="000000" w:fill="FFFFFF"/>
            <w:vAlign w:val="center"/>
          </w:tcPr>
          <w:p w14:paraId="2FDE5D1C" w14:textId="77777777" w:rsidR="00F44BFC" w:rsidRPr="00F44BFC" w:rsidRDefault="00F44BFC" w:rsidP="00F44BFC">
            <w:pPr>
              <w:jc w:val="right"/>
              <w:rPr>
                <w:rFonts w:ascii="Arial Narrow" w:hAnsi="Arial Narrow"/>
                <w:b/>
                <w:sz w:val="20"/>
                <w:szCs w:val="20"/>
                <w:lang w:val="bg-BG" w:eastAsia="bg-BG"/>
              </w:rPr>
            </w:pPr>
            <w:r w:rsidRPr="00F44BFC">
              <w:rPr>
                <w:rFonts w:ascii="Arial Narrow" w:hAnsi="Arial Narrow"/>
                <w:b/>
                <w:sz w:val="20"/>
                <w:szCs w:val="20"/>
                <w:lang w:val="bg-BG" w:eastAsia="bg-BG"/>
              </w:rPr>
              <w:t xml:space="preserve">334 841,94 </w:t>
            </w:r>
          </w:p>
        </w:tc>
        <w:tc>
          <w:tcPr>
            <w:tcW w:w="728" w:type="pct"/>
            <w:tcBorders>
              <w:top w:val="nil"/>
              <w:left w:val="nil"/>
              <w:bottom w:val="single" w:sz="4" w:space="0" w:color="auto"/>
              <w:right w:val="single" w:sz="4" w:space="0" w:color="auto"/>
            </w:tcBorders>
            <w:shd w:val="clear" w:color="000000" w:fill="FFFFFF"/>
            <w:vAlign w:val="center"/>
          </w:tcPr>
          <w:p w14:paraId="00A6C2BC" w14:textId="77777777" w:rsidR="00F44BFC" w:rsidRPr="00F44BFC" w:rsidRDefault="00F44BFC" w:rsidP="00F44BFC">
            <w:pPr>
              <w:jc w:val="right"/>
              <w:rPr>
                <w:rFonts w:ascii="Arial Narrow" w:hAnsi="Arial Narrow"/>
                <w:b/>
                <w:sz w:val="20"/>
                <w:szCs w:val="20"/>
                <w:lang w:val="bg-BG" w:eastAsia="bg-BG"/>
              </w:rPr>
            </w:pPr>
            <w:r w:rsidRPr="00F44BFC">
              <w:rPr>
                <w:rFonts w:ascii="Arial Narrow" w:hAnsi="Arial Narrow"/>
                <w:b/>
                <w:sz w:val="20"/>
                <w:szCs w:val="20"/>
                <w:lang w:val="bg-BG" w:eastAsia="bg-BG"/>
              </w:rPr>
              <w:t>1 182 708,28</w:t>
            </w:r>
          </w:p>
        </w:tc>
      </w:tr>
    </w:tbl>
    <w:p w14:paraId="653515E8" w14:textId="77777777" w:rsidR="00F44BFC" w:rsidRPr="00007F21" w:rsidRDefault="00F44BFC" w:rsidP="00F44BFC">
      <w:pPr>
        <w:spacing w:after="240"/>
        <w:jc w:val="both"/>
        <w:rPr>
          <w:rFonts w:ascii="Arial Narrow" w:hAnsi="Arial Narrow"/>
          <w:i/>
          <w:sz w:val="18"/>
          <w:szCs w:val="18"/>
          <w:lang w:val="bg-BG" w:eastAsia="bg-BG"/>
        </w:rPr>
      </w:pPr>
      <w:r w:rsidRPr="00007F21">
        <w:rPr>
          <w:rFonts w:ascii="Arial Narrow" w:hAnsi="Arial Narrow"/>
          <w:i/>
          <w:sz w:val="18"/>
          <w:szCs w:val="18"/>
          <w:lang w:val="bg-BG" w:eastAsia="bg-BG"/>
        </w:rPr>
        <w:t>Източник: ДФЗ</w:t>
      </w:r>
    </w:p>
    <w:p w14:paraId="409656AF" w14:textId="77777777" w:rsidR="00F44BFC" w:rsidRPr="00F44BFC" w:rsidRDefault="00F44BFC" w:rsidP="00F44BFC">
      <w:pPr>
        <w:spacing w:after="120"/>
        <w:ind w:firstLine="706"/>
        <w:jc w:val="both"/>
        <w:rPr>
          <w:rFonts w:ascii="Arial Narrow" w:hAnsi="Arial Narrow"/>
          <w:b/>
          <w:i/>
          <w:lang w:val="bg-BG" w:eastAsia="bg-BG"/>
        </w:rPr>
      </w:pPr>
      <w:r w:rsidRPr="00F44BFC">
        <w:rPr>
          <w:rFonts w:ascii="Arial Narrow" w:hAnsi="Arial Narrow"/>
          <w:b/>
          <w:i/>
          <w:lang w:val="bg-BG" w:eastAsia="bg-BG"/>
        </w:rPr>
        <w:t>Мониторинг</w:t>
      </w:r>
    </w:p>
    <w:p w14:paraId="62886139" w14:textId="77777777" w:rsidR="00597359" w:rsidRPr="00597359" w:rsidRDefault="00F44BFC" w:rsidP="00597359">
      <w:pPr>
        <w:spacing w:after="120"/>
        <w:ind w:firstLine="709"/>
        <w:jc w:val="both"/>
        <w:rPr>
          <w:rFonts w:ascii="Arial Narrow" w:hAnsi="Arial Narrow"/>
          <w:lang w:val="bg-BG" w:eastAsia="bg-BG"/>
        </w:rPr>
      </w:pPr>
      <w:r w:rsidRPr="00F44BFC">
        <w:rPr>
          <w:rFonts w:ascii="Arial Narrow" w:hAnsi="Arial Narrow"/>
          <w:lang w:val="bg-BG" w:eastAsia="bg-BG"/>
        </w:rPr>
        <w:t>Съгласно чл. 2 от Споразумението за делегиране на функции по прилагане на ПМДР 2014 - 2020 са извършени проверките за изпълнение на производствените програми на бенефициерите за използване на финансираните активи по предназначение, както и проверките за изпълнение на мониторинговите индикатори за резултат на проектите, попадащи в последна година на мониторинг през 2022 г. През 2023 г. на база риск анализ за административни проверки и проверки на място са избрани 204 проекта, попадащи в период на мониторинг след окончателно изплащане на безвъзмездната финансова помощ. Резултатите от проверките са обобщени и докладвани на УО на ПМДР.</w:t>
      </w:r>
    </w:p>
    <w:p w14:paraId="2506A5E5" w14:textId="77777777" w:rsidR="00597359" w:rsidRPr="009336F4" w:rsidRDefault="00F44BFC" w:rsidP="009C6577">
      <w:pPr>
        <w:pStyle w:val="ListParagraph"/>
        <w:numPr>
          <w:ilvl w:val="1"/>
          <w:numId w:val="60"/>
        </w:numPr>
        <w:spacing w:after="120"/>
        <w:outlineLvl w:val="0"/>
        <w:rPr>
          <w:rFonts w:ascii="Arial Narrow" w:hAnsi="Arial Narrow"/>
          <w:b/>
          <w:lang w:val="bg-BG" w:eastAsia="bg-BG"/>
        </w:rPr>
      </w:pPr>
      <w:bookmarkStart w:id="273" w:name="_Toc210747693"/>
      <w:r w:rsidRPr="009336F4">
        <w:rPr>
          <w:rFonts w:ascii="Arial Narrow" w:hAnsi="Arial Narrow"/>
          <w:b/>
          <w:lang w:val="bg-BG" w:eastAsia="bg-BG"/>
        </w:rPr>
        <w:t>Програма за морско дело, рибарство и аквакултури 2021 - 2027 г.</w:t>
      </w:r>
      <w:r w:rsidRPr="009336F4">
        <w:rPr>
          <w:rFonts w:ascii="Arial Narrow" w:hAnsi="Arial Narrow"/>
          <w:lang w:val="bg-BG" w:eastAsia="bg-BG"/>
        </w:rPr>
        <w:t xml:space="preserve"> (</w:t>
      </w:r>
      <w:r w:rsidRPr="009336F4">
        <w:rPr>
          <w:rFonts w:ascii="Arial Narrow" w:hAnsi="Arial Narrow"/>
          <w:b/>
          <w:lang w:val="bg-BG" w:eastAsia="bg-BG"/>
        </w:rPr>
        <w:t>ПМДРА)</w:t>
      </w:r>
      <w:bookmarkEnd w:id="273"/>
    </w:p>
    <w:p w14:paraId="0B170209" w14:textId="77777777" w:rsidR="00F44BFC" w:rsidRPr="00F44BFC" w:rsidRDefault="00F44BFC" w:rsidP="00F44BFC">
      <w:pPr>
        <w:spacing w:after="120"/>
        <w:ind w:firstLine="706"/>
        <w:jc w:val="both"/>
        <w:rPr>
          <w:rFonts w:ascii="Arial Narrow" w:hAnsi="Arial Narrow"/>
          <w:lang w:val="bg-BG" w:eastAsia="bg-BG"/>
        </w:rPr>
      </w:pPr>
      <w:r w:rsidRPr="00F44BFC">
        <w:rPr>
          <w:rFonts w:ascii="Arial Narrow" w:hAnsi="Arial Narrow"/>
          <w:lang w:val="bg-BG" w:eastAsia="bg-BG"/>
        </w:rPr>
        <w:t>През 2024 г. се засилва изпълнението на ПМДРА, като големият ангажиран ресурс в обявяваните процедури и краткият процес на оценка на постъпилите проектни предложения са предпоставка за своевременно постигане на финансовите ангажименти по ПМДРА. Изпълнението и отчитането на проектите са улеснени значително от въвеждането на опростени разходи.</w:t>
      </w:r>
    </w:p>
    <w:p w14:paraId="0CB5BD75" w14:textId="77777777" w:rsidR="00F44BFC" w:rsidRPr="00F44BFC" w:rsidRDefault="00F44BFC" w:rsidP="00F44BFC">
      <w:pPr>
        <w:spacing w:after="120"/>
        <w:ind w:firstLine="706"/>
        <w:jc w:val="both"/>
        <w:rPr>
          <w:rFonts w:ascii="Arial Narrow" w:hAnsi="Arial Narrow"/>
          <w:lang w:val="bg-BG" w:eastAsia="bg-BG"/>
        </w:rPr>
      </w:pPr>
      <w:r w:rsidRPr="00F44BFC">
        <w:rPr>
          <w:rFonts w:ascii="Arial Narrow" w:hAnsi="Arial Narrow"/>
          <w:lang w:val="bg-BG" w:eastAsia="bg-BG"/>
        </w:rPr>
        <w:t>През 2024 г. са отворени приеми по следните видове дейности:</w:t>
      </w:r>
    </w:p>
    <w:p w14:paraId="3331EF19" w14:textId="77777777" w:rsidR="00F44BFC" w:rsidRPr="00F44BFC" w:rsidRDefault="00F44BFC" w:rsidP="006E11F9">
      <w:pPr>
        <w:numPr>
          <w:ilvl w:val="0"/>
          <w:numId w:val="31"/>
        </w:numPr>
        <w:spacing w:after="120"/>
        <w:jc w:val="both"/>
        <w:rPr>
          <w:rFonts w:ascii="Arial Narrow" w:hAnsi="Arial Narrow"/>
          <w:bCs/>
          <w:lang w:val="bg-BG" w:eastAsia="bg-BG"/>
        </w:rPr>
      </w:pPr>
      <w:r w:rsidRPr="00F44BFC">
        <w:rPr>
          <w:rFonts w:ascii="Arial Narrow" w:hAnsi="Arial Narrow"/>
          <w:bCs/>
          <w:lang w:val="bg-BG" w:eastAsia="bg-BG"/>
        </w:rPr>
        <w:t>Преработване на продуктите от риболов и аквакултури;</w:t>
      </w:r>
    </w:p>
    <w:p w14:paraId="1DAE5166" w14:textId="77777777" w:rsidR="00F44BFC" w:rsidRPr="00F44BFC" w:rsidRDefault="00F44BFC" w:rsidP="006E11F9">
      <w:pPr>
        <w:numPr>
          <w:ilvl w:val="0"/>
          <w:numId w:val="31"/>
        </w:numPr>
        <w:spacing w:after="120"/>
        <w:jc w:val="both"/>
        <w:rPr>
          <w:rFonts w:ascii="Arial Narrow" w:hAnsi="Arial Narrow"/>
          <w:bCs/>
          <w:lang w:val="bg-BG" w:eastAsia="bg-BG"/>
        </w:rPr>
      </w:pPr>
      <w:r w:rsidRPr="00F44BFC">
        <w:rPr>
          <w:rFonts w:ascii="Arial Narrow" w:hAnsi="Arial Narrow"/>
          <w:bCs/>
          <w:lang w:val="bg-BG" w:eastAsia="bg-BG"/>
        </w:rPr>
        <w:t>Събиране и обработване на данни за управление на рибарството и аквакултурите и за научни цели;</w:t>
      </w:r>
    </w:p>
    <w:p w14:paraId="43757C30" w14:textId="77777777" w:rsidR="00F44BFC" w:rsidRPr="00F44BFC" w:rsidRDefault="00F44BFC" w:rsidP="006E11F9">
      <w:pPr>
        <w:numPr>
          <w:ilvl w:val="0"/>
          <w:numId w:val="31"/>
        </w:numPr>
        <w:spacing w:after="120"/>
        <w:jc w:val="both"/>
        <w:rPr>
          <w:rFonts w:ascii="Arial Narrow" w:hAnsi="Arial Narrow"/>
          <w:bCs/>
          <w:lang w:val="bg-BG" w:eastAsia="bg-BG"/>
        </w:rPr>
      </w:pPr>
      <w:r w:rsidRPr="00F44BFC">
        <w:rPr>
          <w:rFonts w:ascii="Arial Narrow" w:hAnsi="Arial Narrow"/>
          <w:bCs/>
          <w:lang w:val="bg-BG" w:eastAsia="bg-BG"/>
        </w:rPr>
        <w:t>Продуктивни инвестиции и иновации в аквакултурите;</w:t>
      </w:r>
    </w:p>
    <w:p w14:paraId="0D2A17E1" w14:textId="77777777" w:rsidR="00F44BFC" w:rsidRPr="00F44BFC" w:rsidRDefault="00F44BFC" w:rsidP="006E11F9">
      <w:pPr>
        <w:numPr>
          <w:ilvl w:val="0"/>
          <w:numId w:val="31"/>
        </w:numPr>
        <w:spacing w:after="120"/>
        <w:jc w:val="both"/>
        <w:rPr>
          <w:rFonts w:ascii="Arial Narrow" w:hAnsi="Arial Narrow"/>
          <w:bCs/>
          <w:lang w:val="bg-BG" w:eastAsia="bg-BG"/>
        </w:rPr>
      </w:pPr>
      <w:r w:rsidRPr="00F44BFC">
        <w:rPr>
          <w:rFonts w:ascii="Arial Narrow" w:hAnsi="Arial Narrow"/>
          <w:bCs/>
          <w:lang w:val="bg-BG" w:eastAsia="bg-BG"/>
        </w:rPr>
        <w:t>Окончателно преустановяване на риболовни дейности;</w:t>
      </w:r>
    </w:p>
    <w:p w14:paraId="22E2CF6F" w14:textId="77777777" w:rsidR="00F44BFC" w:rsidRPr="00F44BFC" w:rsidRDefault="00F44BFC" w:rsidP="006E11F9">
      <w:pPr>
        <w:numPr>
          <w:ilvl w:val="0"/>
          <w:numId w:val="31"/>
        </w:numPr>
        <w:spacing w:after="120"/>
        <w:jc w:val="both"/>
        <w:rPr>
          <w:rFonts w:ascii="Arial Narrow" w:hAnsi="Arial Narrow"/>
          <w:bCs/>
          <w:lang w:val="bg-BG" w:eastAsia="bg-BG"/>
        </w:rPr>
      </w:pPr>
      <w:r w:rsidRPr="00F44BFC">
        <w:rPr>
          <w:rFonts w:ascii="Arial Narrow" w:hAnsi="Arial Narrow"/>
          <w:bCs/>
          <w:lang w:val="bg-BG" w:eastAsia="bg-BG"/>
        </w:rPr>
        <w:t>Морско наблюдение;</w:t>
      </w:r>
    </w:p>
    <w:p w14:paraId="723C8DBE" w14:textId="77777777" w:rsidR="00F44BFC" w:rsidRPr="00F44BFC" w:rsidRDefault="00F44BFC" w:rsidP="006E11F9">
      <w:pPr>
        <w:numPr>
          <w:ilvl w:val="0"/>
          <w:numId w:val="31"/>
        </w:numPr>
        <w:spacing w:after="120"/>
        <w:jc w:val="both"/>
        <w:rPr>
          <w:rFonts w:ascii="Arial Narrow" w:hAnsi="Arial Narrow"/>
          <w:bCs/>
          <w:lang w:val="bg-BG" w:eastAsia="bg-BG"/>
        </w:rPr>
      </w:pPr>
      <w:r w:rsidRPr="00F44BFC">
        <w:rPr>
          <w:rFonts w:ascii="Arial Narrow" w:hAnsi="Arial Narrow"/>
          <w:bCs/>
          <w:lang w:val="bg-BG" w:eastAsia="bg-BG"/>
        </w:rPr>
        <w:t>Предлагане на пазара;</w:t>
      </w:r>
    </w:p>
    <w:p w14:paraId="1816A99D" w14:textId="77777777" w:rsidR="00F44BFC" w:rsidRPr="00F44BFC" w:rsidRDefault="00F44BFC" w:rsidP="006E11F9">
      <w:pPr>
        <w:numPr>
          <w:ilvl w:val="0"/>
          <w:numId w:val="31"/>
        </w:numPr>
        <w:spacing w:after="120"/>
        <w:jc w:val="both"/>
        <w:rPr>
          <w:rFonts w:ascii="Arial Narrow" w:hAnsi="Arial Narrow"/>
          <w:bCs/>
          <w:lang w:val="bg-BG" w:eastAsia="bg-BG"/>
        </w:rPr>
      </w:pPr>
      <w:r w:rsidRPr="00F44BFC">
        <w:rPr>
          <w:rFonts w:ascii="Arial Narrow" w:hAnsi="Arial Narrow"/>
          <w:bCs/>
          <w:lang w:val="bg-BG" w:eastAsia="bg-BG"/>
        </w:rPr>
        <w:t>Планове за производство и предлагане на пазара;</w:t>
      </w:r>
    </w:p>
    <w:p w14:paraId="38759B9E" w14:textId="77777777" w:rsidR="00F44BFC" w:rsidRPr="00F44BFC" w:rsidRDefault="00F44BFC" w:rsidP="006E11F9">
      <w:pPr>
        <w:numPr>
          <w:ilvl w:val="0"/>
          <w:numId w:val="31"/>
        </w:numPr>
        <w:spacing w:after="120"/>
        <w:jc w:val="both"/>
        <w:rPr>
          <w:rFonts w:ascii="Arial Narrow" w:hAnsi="Arial Narrow"/>
          <w:bCs/>
          <w:lang w:val="bg-BG" w:eastAsia="bg-BG"/>
        </w:rPr>
      </w:pPr>
      <w:r w:rsidRPr="00F44BFC">
        <w:rPr>
          <w:rFonts w:ascii="Arial Narrow" w:hAnsi="Arial Narrow"/>
          <w:bCs/>
          <w:lang w:val="bg-BG" w:eastAsia="bg-BG"/>
        </w:rPr>
        <w:t>Подобряване на инфраструктурата на рибарските пристанища, рибните борси, местата на разтоварване и лодкостоянките, с цел да се улесни разтоварването и съхранението на нежелания улов.</w:t>
      </w:r>
    </w:p>
    <w:p w14:paraId="12DFBCFD" w14:textId="77777777" w:rsidR="00F44BFC" w:rsidRPr="00F44BFC" w:rsidRDefault="00F44BFC" w:rsidP="00F44BFC">
      <w:pPr>
        <w:spacing w:after="120"/>
        <w:ind w:firstLine="706"/>
        <w:jc w:val="both"/>
        <w:rPr>
          <w:rFonts w:ascii="Arial Narrow" w:hAnsi="Arial Narrow"/>
          <w:lang w:val="bg-BG" w:eastAsia="bg-BG"/>
        </w:rPr>
      </w:pPr>
      <w:r w:rsidRPr="00F44BFC">
        <w:rPr>
          <w:rFonts w:ascii="Arial Narrow" w:hAnsi="Arial Narrow"/>
          <w:lang w:val="bg-BG" w:eastAsia="bg-BG"/>
        </w:rPr>
        <w:t xml:space="preserve">Сключени са 32 договора по вид дейност, отворен за прием в предходната година - „Изграждане на капацитет и подготвителни действия в подкрепа на разработването и бъдещото изпълнение на стратегиите за Водено от общностите местно развитие“ на стойност 687 376 лева БФП. Сключен е и един договор по вид дейност „Събиране и обработване на данни за управление на рибарството и аквакултурите и за научни цели“. </w:t>
      </w:r>
    </w:p>
    <w:p w14:paraId="2C61FF6B" w14:textId="77777777" w:rsidR="00F44BFC" w:rsidRPr="00F44BFC" w:rsidRDefault="00F44BFC" w:rsidP="00F44BFC">
      <w:pPr>
        <w:spacing w:after="120"/>
        <w:ind w:firstLine="706"/>
        <w:jc w:val="both"/>
        <w:rPr>
          <w:rFonts w:ascii="Arial Narrow" w:hAnsi="Arial Narrow"/>
          <w:b/>
          <w:lang w:val="bg-BG" w:eastAsia="bg-BG"/>
        </w:rPr>
      </w:pPr>
      <w:r w:rsidRPr="00F44BFC">
        <w:rPr>
          <w:rFonts w:ascii="Arial Narrow" w:hAnsi="Arial Narrow"/>
          <w:b/>
          <w:lang w:val="bg-BG" w:eastAsia="bg-BG"/>
        </w:rPr>
        <w:t>Очаквани данни за 2025 г.</w:t>
      </w:r>
    </w:p>
    <w:p w14:paraId="4690669D" w14:textId="77777777" w:rsidR="00F44BFC" w:rsidRPr="00F44BFC" w:rsidRDefault="00F44BFC" w:rsidP="00F44BFC">
      <w:pPr>
        <w:keepNext/>
        <w:spacing w:after="120"/>
        <w:jc w:val="both"/>
        <w:rPr>
          <w:rFonts w:ascii="Arial Narrow" w:hAnsi="Arial Narrow"/>
          <w:b/>
          <w:lang w:val="bg-BG" w:eastAsia="bg-BG"/>
        </w:rPr>
      </w:pPr>
      <w:r w:rsidRPr="00F44BFC">
        <w:rPr>
          <w:rFonts w:ascii="Arial Narrow" w:hAnsi="Arial Narrow"/>
          <w:b/>
          <w:lang w:val="bg-BG" w:eastAsia="bg-BG"/>
        </w:rPr>
        <w:lastRenderedPageBreak/>
        <w:t>Таблица VII.8. Прогноза за плащанията по ПМДРА 2021 - 2027 г. за 2025 г.</w:t>
      </w:r>
      <w:r w:rsidRPr="00F44BFC">
        <w:rPr>
          <w:b/>
          <w:bCs/>
          <w:sz w:val="18"/>
          <w:szCs w:val="18"/>
          <w:lang w:val="bg-BG" w:eastAsia="bg-BG"/>
        </w:rPr>
        <w:t xml:space="preserve"> </w:t>
      </w:r>
      <w:r w:rsidRPr="00F44BFC">
        <w:rPr>
          <w:rFonts w:ascii="Arial Narrow" w:hAnsi="Arial Narrow"/>
          <w:b/>
          <w:bCs/>
          <w:lang w:val="bg-BG" w:eastAsia="bg-BG"/>
        </w:rPr>
        <w:t>(лева)</w:t>
      </w:r>
    </w:p>
    <w:tbl>
      <w:tblPr>
        <w:tblStyle w:val="TableGrid423"/>
        <w:tblW w:w="4946" w:type="pct"/>
        <w:tblInd w:w="108" w:type="dxa"/>
        <w:tblLayout w:type="fixed"/>
        <w:tblLook w:val="04A0" w:firstRow="1" w:lastRow="0" w:firstColumn="1" w:lastColumn="0" w:noHBand="0" w:noVBand="1"/>
      </w:tblPr>
      <w:tblGrid>
        <w:gridCol w:w="2120"/>
        <w:gridCol w:w="2926"/>
        <w:gridCol w:w="1419"/>
        <w:gridCol w:w="1503"/>
        <w:gridCol w:w="1726"/>
      </w:tblGrid>
      <w:tr w:rsidR="00F44BFC" w:rsidRPr="00F44BFC" w14:paraId="63C4E0CF" w14:textId="77777777" w:rsidTr="00007F21">
        <w:trPr>
          <w:trHeight w:val="1057"/>
          <w:tblHeader/>
        </w:trPr>
        <w:tc>
          <w:tcPr>
            <w:tcW w:w="1094" w:type="pct"/>
            <w:vAlign w:val="center"/>
          </w:tcPr>
          <w:p w14:paraId="2CBD7E76" w14:textId="77777777" w:rsidR="00F44BFC" w:rsidRPr="00F44BFC" w:rsidRDefault="00F44BFC" w:rsidP="00F44BFC">
            <w:pPr>
              <w:jc w:val="center"/>
              <w:rPr>
                <w:rFonts w:ascii="Arial Narrow" w:hAnsi="Arial Narrow"/>
                <w:b/>
                <w:bCs/>
                <w:sz w:val="20"/>
                <w:szCs w:val="20"/>
                <w:lang w:val="bg-BG" w:eastAsia="bg-BG"/>
              </w:rPr>
            </w:pPr>
            <w:r w:rsidRPr="00F44BFC">
              <w:rPr>
                <w:rFonts w:ascii="Arial Narrow" w:hAnsi="Arial Narrow"/>
                <w:b/>
                <w:bCs/>
                <w:sz w:val="20"/>
                <w:szCs w:val="20"/>
                <w:lang w:val="bg-BG" w:eastAsia="bg-BG"/>
              </w:rPr>
              <w:t>Приоритети на Съюза</w:t>
            </w:r>
          </w:p>
        </w:tc>
        <w:tc>
          <w:tcPr>
            <w:tcW w:w="1508" w:type="pct"/>
            <w:vAlign w:val="center"/>
          </w:tcPr>
          <w:p w14:paraId="7CA93E25" w14:textId="77777777" w:rsidR="00F44BFC" w:rsidRPr="00F44BFC" w:rsidRDefault="00F44BFC" w:rsidP="00F44BFC">
            <w:pPr>
              <w:jc w:val="center"/>
              <w:rPr>
                <w:rFonts w:ascii="Arial Narrow" w:hAnsi="Arial Narrow"/>
                <w:b/>
                <w:bCs/>
                <w:sz w:val="20"/>
                <w:szCs w:val="20"/>
                <w:lang w:val="bg-BG" w:eastAsia="bg-BG"/>
              </w:rPr>
            </w:pPr>
            <w:r w:rsidRPr="00F44BFC">
              <w:rPr>
                <w:rFonts w:ascii="Arial Narrow" w:hAnsi="Arial Narrow"/>
                <w:b/>
                <w:bCs/>
                <w:sz w:val="20"/>
                <w:szCs w:val="20"/>
                <w:lang w:val="bg-BG" w:eastAsia="bg-BG"/>
              </w:rPr>
              <w:t>Видове дейности по приоритета</w:t>
            </w:r>
          </w:p>
        </w:tc>
        <w:tc>
          <w:tcPr>
            <w:tcW w:w="732" w:type="pct"/>
            <w:noWrap/>
            <w:vAlign w:val="center"/>
          </w:tcPr>
          <w:p w14:paraId="03C20403" w14:textId="77777777" w:rsidR="00F44BFC" w:rsidRPr="00F44BFC" w:rsidRDefault="00F44BFC" w:rsidP="00F44BFC">
            <w:pPr>
              <w:jc w:val="center"/>
              <w:rPr>
                <w:rFonts w:ascii="Arial Narrow" w:hAnsi="Arial Narrow"/>
                <w:b/>
                <w:bCs/>
                <w:sz w:val="20"/>
                <w:szCs w:val="20"/>
                <w:lang w:val="bg-BG" w:eastAsia="bg-BG"/>
              </w:rPr>
            </w:pPr>
            <w:r w:rsidRPr="00F44BFC">
              <w:rPr>
                <w:rFonts w:ascii="Arial Narrow" w:hAnsi="Arial Narrow"/>
                <w:b/>
                <w:bCs/>
                <w:sz w:val="20"/>
                <w:szCs w:val="20"/>
                <w:lang w:val="bg-BG" w:eastAsia="bg-BG"/>
              </w:rPr>
              <w:t>ЕФМДРА</w:t>
            </w:r>
          </w:p>
        </w:tc>
        <w:tc>
          <w:tcPr>
            <w:tcW w:w="775" w:type="pct"/>
            <w:vAlign w:val="center"/>
          </w:tcPr>
          <w:p w14:paraId="4520903A" w14:textId="77777777" w:rsidR="00F44BFC" w:rsidRPr="00F44BFC" w:rsidRDefault="00F44BFC" w:rsidP="00F44BFC">
            <w:pPr>
              <w:jc w:val="center"/>
              <w:rPr>
                <w:rFonts w:ascii="Arial Narrow" w:hAnsi="Arial Narrow"/>
                <w:b/>
                <w:bCs/>
                <w:sz w:val="20"/>
                <w:szCs w:val="20"/>
                <w:lang w:val="bg-BG" w:eastAsia="bg-BG"/>
              </w:rPr>
            </w:pPr>
            <w:r w:rsidRPr="00F44BFC">
              <w:rPr>
                <w:rFonts w:ascii="Arial Narrow" w:hAnsi="Arial Narrow"/>
                <w:b/>
                <w:bCs/>
                <w:sz w:val="20"/>
                <w:szCs w:val="20"/>
                <w:lang w:val="bg-BG" w:eastAsia="bg-BG"/>
              </w:rPr>
              <w:t>Национално съфинансиране</w:t>
            </w:r>
          </w:p>
        </w:tc>
        <w:tc>
          <w:tcPr>
            <w:tcW w:w="890" w:type="pct"/>
            <w:vAlign w:val="center"/>
          </w:tcPr>
          <w:p w14:paraId="0D49D033" w14:textId="77777777" w:rsidR="00F44BFC" w:rsidRPr="00F44BFC" w:rsidRDefault="00F44BFC" w:rsidP="00F44BFC">
            <w:pPr>
              <w:jc w:val="center"/>
              <w:rPr>
                <w:rFonts w:ascii="Arial Narrow" w:hAnsi="Arial Narrow"/>
                <w:sz w:val="20"/>
                <w:szCs w:val="20"/>
                <w:lang w:val="bg-BG" w:eastAsia="bg-BG"/>
              </w:rPr>
            </w:pPr>
            <w:r w:rsidRPr="00F44BFC">
              <w:rPr>
                <w:rFonts w:ascii="Arial Narrow" w:hAnsi="Arial Narrow"/>
                <w:b/>
                <w:bCs/>
                <w:sz w:val="20"/>
                <w:szCs w:val="20"/>
                <w:lang w:val="bg-BG" w:eastAsia="bg-BG"/>
              </w:rPr>
              <w:t>Общо финансови средства</w:t>
            </w:r>
          </w:p>
        </w:tc>
      </w:tr>
      <w:tr w:rsidR="00F44BFC" w:rsidRPr="00F44BFC" w14:paraId="504EABDF" w14:textId="77777777" w:rsidTr="00007F21">
        <w:trPr>
          <w:trHeight w:val="826"/>
        </w:trPr>
        <w:tc>
          <w:tcPr>
            <w:tcW w:w="1094" w:type="pct"/>
            <w:vMerge w:val="restart"/>
            <w:shd w:val="clear" w:color="000000" w:fill="FFFFFF"/>
            <w:vAlign w:val="center"/>
          </w:tcPr>
          <w:p w14:paraId="12F14C74" w14:textId="77777777" w:rsidR="00F44BFC" w:rsidRPr="00F44BFC" w:rsidRDefault="00F44BFC" w:rsidP="00F44BFC">
            <w:pPr>
              <w:rPr>
                <w:rFonts w:ascii="Arial Narrow" w:hAnsi="Arial Narrow"/>
                <w:sz w:val="20"/>
                <w:szCs w:val="20"/>
                <w:lang w:val="bg-BG" w:eastAsia="bg-BG"/>
              </w:rPr>
            </w:pPr>
            <w:r w:rsidRPr="00F44BFC">
              <w:rPr>
                <w:rFonts w:ascii="Arial Narrow" w:hAnsi="Arial Narrow"/>
                <w:sz w:val="20"/>
                <w:szCs w:val="20"/>
                <w:lang w:val="bg-BG" w:eastAsia="bg-BG"/>
              </w:rPr>
              <w:t xml:space="preserve">Приоритет 1 </w:t>
            </w:r>
          </w:p>
          <w:p w14:paraId="4E0EBD28" w14:textId="77777777" w:rsidR="00F44BFC" w:rsidRPr="00F44BFC" w:rsidRDefault="00F44BFC" w:rsidP="00F44BFC">
            <w:pPr>
              <w:rPr>
                <w:rFonts w:ascii="Arial Narrow" w:hAnsi="Arial Narrow"/>
                <w:sz w:val="20"/>
                <w:szCs w:val="20"/>
                <w:lang w:val="bg-BG" w:eastAsia="bg-BG"/>
              </w:rPr>
            </w:pPr>
            <w:r w:rsidRPr="00F44BFC">
              <w:rPr>
                <w:rFonts w:ascii="Arial Narrow" w:hAnsi="Arial Narrow"/>
                <w:sz w:val="20"/>
                <w:szCs w:val="20"/>
                <w:lang w:val="bg-BG" w:eastAsia="bg-BG"/>
              </w:rPr>
              <w:t>Насърчаване на устойчивото рибарство и на възстановяването и опазването на водните биологични ресурси</w:t>
            </w:r>
          </w:p>
        </w:tc>
        <w:tc>
          <w:tcPr>
            <w:tcW w:w="1508" w:type="pct"/>
            <w:shd w:val="clear" w:color="auto" w:fill="auto"/>
            <w:vAlign w:val="center"/>
          </w:tcPr>
          <w:p w14:paraId="267B7828" w14:textId="77777777" w:rsidR="00F44BFC" w:rsidRPr="00F44BFC" w:rsidRDefault="00F44BFC" w:rsidP="00F44BFC">
            <w:pPr>
              <w:rPr>
                <w:rFonts w:ascii="Arial Narrow" w:hAnsi="Arial Narrow"/>
                <w:sz w:val="20"/>
                <w:szCs w:val="20"/>
                <w:lang w:val="bg-BG" w:eastAsia="bg-BG"/>
              </w:rPr>
            </w:pPr>
            <w:r w:rsidRPr="00F44BFC">
              <w:rPr>
                <w:rFonts w:ascii="Arial Narrow" w:hAnsi="Arial Narrow"/>
                <w:sz w:val="20"/>
                <w:szCs w:val="20"/>
                <w:lang w:val="bg-BG" w:eastAsia="bg-BG"/>
              </w:rPr>
              <w:t>1.1.1 Подобряване на инфраструктурата на рибарските пристанища, рибните борси, местата на разтоварване и лодкостоянките, с цел да се улесни разтоварването и съхранението на нежелания улов</w:t>
            </w:r>
          </w:p>
        </w:tc>
        <w:tc>
          <w:tcPr>
            <w:tcW w:w="732" w:type="pct"/>
            <w:shd w:val="clear" w:color="auto" w:fill="auto"/>
            <w:noWrap/>
            <w:vAlign w:val="center"/>
          </w:tcPr>
          <w:p w14:paraId="69BD5B17" w14:textId="77777777" w:rsidR="00F44BFC" w:rsidRPr="00F44BFC" w:rsidRDefault="00F44BFC" w:rsidP="00F44BFC">
            <w:pPr>
              <w:jc w:val="right"/>
              <w:rPr>
                <w:rFonts w:ascii="Arial Narrow" w:hAnsi="Arial Narrow"/>
                <w:bCs/>
                <w:sz w:val="20"/>
                <w:szCs w:val="20"/>
                <w:lang w:val="bg-BG" w:eastAsia="bg-BG"/>
              </w:rPr>
            </w:pPr>
            <w:r w:rsidRPr="00F44BFC">
              <w:rPr>
                <w:rFonts w:ascii="Arial Narrow" w:hAnsi="Arial Narrow"/>
                <w:bCs/>
                <w:sz w:val="20"/>
                <w:szCs w:val="20"/>
                <w:lang w:val="bg-BG" w:eastAsia="bg-BG"/>
              </w:rPr>
              <w:t>5 040 000,00</w:t>
            </w:r>
          </w:p>
        </w:tc>
        <w:tc>
          <w:tcPr>
            <w:tcW w:w="775" w:type="pct"/>
            <w:shd w:val="clear" w:color="auto" w:fill="auto"/>
            <w:vAlign w:val="center"/>
          </w:tcPr>
          <w:p w14:paraId="205C62EA" w14:textId="77777777" w:rsidR="00F44BFC" w:rsidRPr="00F44BFC" w:rsidRDefault="00F44BFC" w:rsidP="00F44BFC">
            <w:pPr>
              <w:jc w:val="right"/>
              <w:rPr>
                <w:rFonts w:ascii="Arial Narrow" w:hAnsi="Arial Narrow"/>
                <w:bCs/>
                <w:sz w:val="20"/>
                <w:szCs w:val="20"/>
                <w:lang w:val="bg-BG" w:eastAsia="bg-BG"/>
              </w:rPr>
            </w:pPr>
            <w:r w:rsidRPr="00F44BFC">
              <w:rPr>
                <w:rFonts w:ascii="Arial Narrow" w:hAnsi="Arial Narrow"/>
                <w:bCs/>
                <w:sz w:val="20"/>
                <w:szCs w:val="20"/>
                <w:lang w:val="bg-BG" w:eastAsia="bg-BG"/>
              </w:rPr>
              <w:t>2 160 000,00</w:t>
            </w:r>
          </w:p>
        </w:tc>
        <w:tc>
          <w:tcPr>
            <w:tcW w:w="890" w:type="pct"/>
            <w:shd w:val="clear" w:color="auto" w:fill="auto"/>
            <w:vAlign w:val="center"/>
          </w:tcPr>
          <w:p w14:paraId="134B7185" w14:textId="77777777" w:rsidR="00F44BFC" w:rsidRPr="00F44BFC" w:rsidRDefault="00F44BFC" w:rsidP="00F44BFC">
            <w:pPr>
              <w:jc w:val="right"/>
              <w:rPr>
                <w:rFonts w:ascii="Arial Narrow" w:hAnsi="Arial Narrow"/>
                <w:bCs/>
                <w:sz w:val="20"/>
                <w:szCs w:val="20"/>
                <w:lang w:val="bg-BG" w:eastAsia="bg-BG"/>
              </w:rPr>
            </w:pPr>
            <w:r w:rsidRPr="00F44BFC">
              <w:rPr>
                <w:rFonts w:ascii="Arial Narrow" w:hAnsi="Arial Narrow"/>
                <w:bCs/>
                <w:sz w:val="20"/>
                <w:szCs w:val="20"/>
                <w:lang w:val="bg-BG" w:eastAsia="bg-BG"/>
              </w:rPr>
              <w:t>7 200 000,00</w:t>
            </w:r>
          </w:p>
        </w:tc>
      </w:tr>
      <w:tr w:rsidR="00F44BFC" w:rsidRPr="00F44BFC" w14:paraId="4B732431" w14:textId="77777777" w:rsidTr="00007F21">
        <w:trPr>
          <w:trHeight w:val="557"/>
        </w:trPr>
        <w:tc>
          <w:tcPr>
            <w:tcW w:w="1094" w:type="pct"/>
            <w:vMerge/>
            <w:vAlign w:val="center"/>
          </w:tcPr>
          <w:p w14:paraId="75245875" w14:textId="77777777" w:rsidR="00F44BFC" w:rsidRPr="00F44BFC" w:rsidRDefault="00F44BFC" w:rsidP="00F44BFC">
            <w:pPr>
              <w:rPr>
                <w:rFonts w:ascii="Arial Narrow" w:hAnsi="Arial Narrow"/>
                <w:sz w:val="20"/>
                <w:szCs w:val="20"/>
                <w:lang w:val="bg-BG" w:eastAsia="bg-BG"/>
              </w:rPr>
            </w:pPr>
          </w:p>
        </w:tc>
        <w:tc>
          <w:tcPr>
            <w:tcW w:w="1508" w:type="pct"/>
            <w:shd w:val="clear" w:color="auto" w:fill="auto"/>
            <w:vAlign w:val="center"/>
          </w:tcPr>
          <w:p w14:paraId="0E628787" w14:textId="77777777" w:rsidR="00F44BFC" w:rsidRPr="00F44BFC" w:rsidRDefault="00F44BFC" w:rsidP="00F44BFC">
            <w:pPr>
              <w:rPr>
                <w:rFonts w:ascii="Arial Narrow" w:hAnsi="Arial Narrow"/>
                <w:sz w:val="20"/>
                <w:szCs w:val="20"/>
                <w:lang w:val="bg-BG" w:eastAsia="bg-BG"/>
              </w:rPr>
            </w:pPr>
            <w:r w:rsidRPr="00F44BFC">
              <w:rPr>
                <w:rFonts w:ascii="Arial Narrow" w:hAnsi="Arial Narrow"/>
                <w:sz w:val="20"/>
                <w:szCs w:val="20"/>
                <w:lang w:val="bg-BG" w:eastAsia="bg-BG"/>
              </w:rPr>
              <w:t xml:space="preserve">1.3.2 Окончателно преустановяване на риболовни дейности </w:t>
            </w:r>
          </w:p>
        </w:tc>
        <w:tc>
          <w:tcPr>
            <w:tcW w:w="732" w:type="pct"/>
            <w:shd w:val="clear" w:color="auto" w:fill="auto"/>
            <w:noWrap/>
            <w:vAlign w:val="center"/>
          </w:tcPr>
          <w:p w14:paraId="74F605CE" w14:textId="77777777" w:rsidR="00F44BFC" w:rsidRPr="00F44BFC" w:rsidRDefault="00F44BFC" w:rsidP="00F44BFC">
            <w:pPr>
              <w:jc w:val="right"/>
              <w:rPr>
                <w:rFonts w:ascii="Arial Narrow" w:hAnsi="Arial Narrow"/>
                <w:bCs/>
                <w:sz w:val="20"/>
                <w:szCs w:val="20"/>
                <w:lang w:val="bg-BG" w:eastAsia="bg-BG"/>
              </w:rPr>
            </w:pPr>
            <w:r w:rsidRPr="00F44BFC">
              <w:rPr>
                <w:rFonts w:ascii="Arial Narrow" w:hAnsi="Arial Narrow"/>
                <w:bCs/>
                <w:sz w:val="20"/>
                <w:szCs w:val="20"/>
                <w:lang w:val="bg-BG" w:eastAsia="bg-BG"/>
              </w:rPr>
              <w:t>175 000,00</w:t>
            </w:r>
          </w:p>
        </w:tc>
        <w:tc>
          <w:tcPr>
            <w:tcW w:w="775" w:type="pct"/>
            <w:shd w:val="clear" w:color="auto" w:fill="auto"/>
            <w:vAlign w:val="center"/>
          </w:tcPr>
          <w:p w14:paraId="1D499FC8" w14:textId="77777777" w:rsidR="00F44BFC" w:rsidRPr="00F44BFC" w:rsidRDefault="00F44BFC" w:rsidP="00F44BFC">
            <w:pPr>
              <w:jc w:val="right"/>
              <w:rPr>
                <w:rFonts w:ascii="Arial Narrow" w:hAnsi="Arial Narrow"/>
                <w:bCs/>
                <w:sz w:val="20"/>
                <w:szCs w:val="20"/>
                <w:lang w:val="bg-BG" w:eastAsia="bg-BG"/>
              </w:rPr>
            </w:pPr>
            <w:r w:rsidRPr="00F44BFC">
              <w:rPr>
                <w:rFonts w:ascii="Arial Narrow" w:hAnsi="Arial Narrow"/>
                <w:bCs/>
                <w:sz w:val="20"/>
                <w:szCs w:val="20"/>
                <w:lang w:val="bg-BG" w:eastAsia="bg-BG"/>
              </w:rPr>
              <w:t>75 000,00</w:t>
            </w:r>
          </w:p>
        </w:tc>
        <w:tc>
          <w:tcPr>
            <w:tcW w:w="890" w:type="pct"/>
            <w:shd w:val="clear" w:color="auto" w:fill="auto"/>
            <w:vAlign w:val="center"/>
          </w:tcPr>
          <w:p w14:paraId="2C837D85" w14:textId="77777777" w:rsidR="00F44BFC" w:rsidRPr="00F44BFC" w:rsidRDefault="00F44BFC" w:rsidP="00F44BFC">
            <w:pPr>
              <w:jc w:val="right"/>
              <w:rPr>
                <w:rFonts w:ascii="Arial Narrow" w:hAnsi="Arial Narrow"/>
                <w:bCs/>
                <w:sz w:val="20"/>
                <w:szCs w:val="20"/>
                <w:lang w:val="bg-BG" w:eastAsia="bg-BG"/>
              </w:rPr>
            </w:pPr>
            <w:r w:rsidRPr="00F44BFC">
              <w:rPr>
                <w:rFonts w:ascii="Arial Narrow" w:hAnsi="Arial Narrow"/>
                <w:bCs/>
                <w:sz w:val="20"/>
                <w:szCs w:val="20"/>
                <w:lang w:val="bg-BG" w:eastAsia="bg-BG"/>
              </w:rPr>
              <w:t>250 000,00</w:t>
            </w:r>
          </w:p>
        </w:tc>
      </w:tr>
      <w:tr w:rsidR="00F44BFC" w:rsidRPr="00F44BFC" w14:paraId="5ECB3A2C" w14:textId="77777777" w:rsidTr="00007F21">
        <w:trPr>
          <w:trHeight w:val="420"/>
        </w:trPr>
        <w:tc>
          <w:tcPr>
            <w:tcW w:w="1094" w:type="pct"/>
            <w:vMerge/>
            <w:vAlign w:val="center"/>
          </w:tcPr>
          <w:p w14:paraId="1B405394" w14:textId="77777777" w:rsidR="00F44BFC" w:rsidRPr="00F44BFC" w:rsidRDefault="00F44BFC" w:rsidP="00F44BFC">
            <w:pPr>
              <w:rPr>
                <w:rFonts w:ascii="Arial Narrow" w:hAnsi="Arial Narrow"/>
                <w:sz w:val="20"/>
                <w:szCs w:val="20"/>
                <w:lang w:val="bg-BG" w:eastAsia="bg-BG"/>
              </w:rPr>
            </w:pPr>
          </w:p>
        </w:tc>
        <w:tc>
          <w:tcPr>
            <w:tcW w:w="1508" w:type="pct"/>
            <w:shd w:val="clear" w:color="auto" w:fill="auto"/>
            <w:vAlign w:val="center"/>
          </w:tcPr>
          <w:p w14:paraId="0DD31E33" w14:textId="77777777" w:rsidR="00F44BFC" w:rsidRPr="00F44BFC" w:rsidRDefault="00F44BFC" w:rsidP="00F44BFC">
            <w:pPr>
              <w:rPr>
                <w:rFonts w:ascii="Arial Narrow" w:hAnsi="Arial Narrow"/>
                <w:sz w:val="20"/>
                <w:szCs w:val="20"/>
                <w:lang w:val="bg-BG" w:eastAsia="bg-BG"/>
              </w:rPr>
            </w:pPr>
            <w:r w:rsidRPr="00F44BFC">
              <w:rPr>
                <w:rFonts w:ascii="Arial Narrow" w:hAnsi="Arial Narrow"/>
                <w:sz w:val="20"/>
                <w:szCs w:val="20"/>
                <w:lang w:val="bg-BG" w:eastAsia="bg-BG"/>
              </w:rPr>
              <w:t>1.4.1 Контрол и правоприлагане</w:t>
            </w:r>
          </w:p>
        </w:tc>
        <w:tc>
          <w:tcPr>
            <w:tcW w:w="732" w:type="pct"/>
            <w:shd w:val="clear" w:color="auto" w:fill="auto"/>
            <w:noWrap/>
            <w:vAlign w:val="center"/>
          </w:tcPr>
          <w:p w14:paraId="773A3E4D" w14:textId="77777777" w:rsidR="00F44BFC" w:rsidRPr="00F44BFC" w:rsidRDefault="00F44BFC" w:rsidP="00F44BFC">
            <w:pPr>
              <w:jc w:val="right"/>
              <w:rPr>
                <w:rFonts w:ascii="Arial Narrow" w:hAnsi="Arial Narrow"/>
                <w:bCs/>
                <w:sz w:val="20"/>
                <w:szCs w:val="20"/>
                <w:lang w:val="bg-BG" w:eastAsia="bg-BG"/>
              </w:rPr>
            </w:pPr>
            <w:r w:rsidRPr="00F44BFC">
              <w:rPr>
                <w:rFonts w:ascii="Arial Narrow" w:hAnsi="Arial Narrow"/>
                <w:bCs/>
                <w:sz w:val="20"/>
                <w:szCs w:val="20"/>
                <w:lang w:val="bg-BG" w:eastAsia="bg-BG"/>
              </w:rPr>
              <w:t>6 300 000,00</w:t>
            </w:r>
          </w:p>
        </w:tc>
        <w:tc>
          <w:tcPr>
            <w:tcW w:w="775" w:type="pct"/>
            <w:shd w:val="clear" w:color="auto" w:fill="auto"/>
            <w:vAlign w:val="center"/>
          </w:tcPr>
          <w:p w14:paraId="1074FD85" w14:textId="77777777" w:rsidR="00F44BFC" w:rsidRPr="00F44BFC" w:rsidRDefault="00F44BFC" w:rsidP="00F44BFC">
            <w:pPr>
              <w:jc w:val="right"/>
              <w:rPr>
                <w:rFonts w:ascii="Arial Narrow" w:hAnsi="Arial Narrow"/>
                <w:bCs/>
                <w:sz w:val="20"/>
                <w:szCs w:val="20"/>
                <w:lang w:val="bg-BG" w:eastAsia="bg-BG"/>
              </w:rPr>
            </w:pPr>
            <w:r w:rsidRPr="00F44BFC">
              <w:rPr>
                <w:rFonts w:ascii="Arial Narrow" w:hAnsi="Arial Narrow"/>
                <w:bCs/>
                <w:sz w:val="20"/>
                <w:szCs w:val="20"/>
                <w:lang w:val="bg-BG" w:eastAsia="bg-BG"/>
              </w:rPr>
              <w:t>2 700 000,00</w:t>
            </w:r>
          </w:p>
        </w:tc>
        <w:tc>
          <w:tcPr>
            <w:tcW w:w="890" w:type="pct"/>
            <w:shd w:val="clear" w:color="auto" w:fill="auto"/>
            <w:vAlign w:val="center"/>
          </w:tcPr>
          <w:p w14:paraId="732EA05E" w14:textId="77777777" w:rsidR="00F44BFC" w:rsidRPr="00F44BFC" w:rsidRDefault="00F44BFC" w:rsidP="00F44BFC">
            <w:pPr>
              <w:jc w:val="right"/>
              <w:rPr>
                <w:rFonts w:ascii="Arial Narrow" w:hAnsi="Arial Narrow"/>
                <w:bCs/>
                <w:sz w:val="20"/>
                <w:szCs w:val="20"/>
                <w:lang w:val="bg-BG" w:eastAsia="bg-BG"/>
              </w:rPr>
            </w:pPr>
            <w:r w:rsidRPr="00F44BFC">
              <w:rPr>
                <w:rFonts w:ascii="Arial Narrow" w:hAnsi="Arial Narrow"/>
                <w:bCs/>
                <w:sz w:val="20"/>
                <w:szCs w:val="20"/>
                <w:lang w:val="bg-BG" w:eastAsia="bg-BG"/>
              </w:rPr>
              <w:t>9 000 000,00</w:t>
            </w:r>
          </w:p>
        </w:tc>
      </w:tr>
      <w:tr w:rsidR="00F44BFC" w:rsidRPr="00F44BFC" w14:paraId="148544BA" w14:textId="77777777" w:rsidTr="00007F21">
        <w:trPr>
          <w:trHeight w:val="837"/>
        </w:trPr>
        <w:tc>
          <w:tcPr>
            <w:tcW w:w="1094" w:type="pct"/>
            <w:vMerge/>
            <w:vAlign w:val="center"/>
          </w:tcPr>
          <w:p w14:paraId="358385EC" w14:textId="77777777" w:rsidR="00F44BFC" w:rsidRPr="00F44BFC" w:rsidRDefault="00F44BFC" w:rsidP="00F44BFC">
            <w:pPr>
              <w:rPr>
                <w:rFonts w:ascii="Arial Narrow" w:hAnsi="Arial Narrow"/>
                <w:sz w:val="20"/>
                <w:szCs w:val="20"/>
                <w:lang w:val="bg-BG" w:eastAsia="bg-BG"/>
              </w:rPr>
            </w:pPr>
          </w:p>
        </w:tc>
        <w:tc>
          <w:tcPr>
            <w:tcW w:w="1508" w:type="pct"/>
            <w:shd w:val="clear" w:color="auto" w:fill="auto"/>
            <w:vAlign w:val="center"/>
          </w:tcPr>
          <w:p w14:paraId="11B583B5" w14:textId="77777777" w:rsidR="00F44BFC" w:rsidRPr="00F44BFC" w:rsidRDefault="00F44BFC" w:rsidP="00F44BFC">
            <w:pPr>
              <w:rPr>
                <w:rFonts w:ascii="Arial Narrow" w:hAnsi="Arial Narrow"/>
                <w:sz w:val="20"/>
                <w:szCs w:val="20"/>
                <w:lang w:val="bg-BG" w:eastAsia="bg-BG"/>
              </w:rPr>
            </w:pPr>
            <w:r w:rsidRPr="00F44BFC">
              <w:rPr>
                <w:rFonts w:ascii="Arial Narrow" w:hAnsi="Arial Narrow"/>
                <w:sz w:val="20"/>
                <w:szCs w:val="20"/>
                <w:lang w:val="bg-BG" w:eastAsia="bg-BG"/>
              </w:rPr>
              <w:t xml:space="preserve">1.4.2 Събиране и обработване на данни за управление на рибарството и аквакултурите и за научни цели </w:t>
            </w:r>
          </w:p>
        </w:tc>
        <w:tc>
          <w:tcPr>
            <w:tcW w:w="732" w:type="pct"/>
            <w:shd w:val="clear" w:color="auto" w:fill="auto"/>
            <w:noWrap/>
            <w:vAlign w:val="center"/>
          </w:tcPr>
          <w:p w14:paraId="7B8A697A" w14:textId="77777777" w:rsidR="00F44BFC" w:rsidRPr="00F44BFC" w:rsidRDefault="00F44BFC" w:rsidP="00F44BFC">
            <w:pPr>
              <w:jc w:val="right"/>
              <w:rPr>
                <w:rFonts w:ascii="Arial Narrow" w:hAnsi="Arial Narrow"/>
                <w:bCs/>
                <w:sz w:val="20"/>
                <w:szCs w:val="20"/>
                <w:lang w:val="bg-BG" w:eastAsia="bg-BG"/>
              </w:rPr>
            </w:pPr>
            <w:r w:rsidRPr="00F44BFC">
              <w:rPr>
                <w:rFonts w:ascii="Arial Narrow" w:hAnsi="Arial Narrow"/>
                <w:bCs/>
                <w:sz w:val="20"/>
                <w:szCs w:val="20"/>
                <w:lang w:val="bg-BG" w:eastAsia="bg-BG"/>
              </w:rPr>
              <w:t>1 612 580,52</w:t>
            </w:r>
          </w:p>
        </w:tc>
        <w:tc>
          <w:tcPr>
            <w:tcW w:w="775" w:type="pct"/>
            <w:shd w:val="clear" w:color="auto" w:fill="auto"/>
            <w:vAlign w:val="center"/>
          </w:tcPr>
          <w:p w14:paraId="07FD6C67" w14:textId="77777777" w:rsidR="00F44BFC" w:rsidRPr="00F44BFC" w:rsidRDefault="00F44BFC" w:rsidP="00F44BFC">
            <w:pPr>
              <w:jc w:val="right"/>
              <w:rPr>
                <w:rFonts w:ascii="Arial Narrow" w:hAnsi="Arial Narrow"/>
                <w:bCs/>
                <w:sz w:val="20"/>
                <w:szCs w:val="20"/>
                <w:lang w:val="bg-BG" w:eastAsia="bg-BG"/>
              </w:rPr>
            </w:pPr>
            <w:r w:rsidRPr="00F44BFC">
              <w:rPr>
                <w:rFonts w:ascii="Arial Narrow" w:hAnsi="Arial Narrow"/>
                <w:bCs/>
                <w:sz w:val="20"/>
                <w:szCs w:val="20"/>
                <w:lang w:val="bg-BG" w:eastAsia="bg-BG"/>
              </w:rPr>
              <w:t>691 105,94</w:t>
            </w:r>
          </w:p>
        </w:tc>
        <w:tc>
          <w:tcPr>
            <w:tcW w:w="890" w:type="pct"/>
            <w:shd w:val="clear" w:color="auto" w:fill="auto"/>
            <w:vAlign w:val="center"/>
          </w:tcPr>
          <w:p w14:paraId="2034614B" w14:textId="77777777" w:rsidR="00F44BFC" w:rsidRPr="00F44BFC" w:rsidRDefault="00F44BFC" w:rsidP="00F44BFC">
            <w:pPr>
              <w:jc w:val="right"/>
              <w:rPr>
                <w:rFonts w:ascii="Arial Narrow" w:hAnsi="Arial Narrow"/>
                <w:bCs/>
                <w:sz w:val="20"/>
                <w:szCs w:val="20"/>
                <w:lang w:val="bg-BG" w:eastAsia="bg-BG"/>
              </w:rPr>
            </w:pPr>
            <w:r w:rsidRPr="00F44BFC">
              <w:rPr>
                <w:rFonts w:ascii="Arial Narrow" w:hAnsi="Arial Narrow"/>
                <w:bCs/>
                <w:sz w:val="20"/>
                <w:szCs w:val="20"/>
                <w:lang w:val="bg-BG" w:eastAsia="bg-BG"/>
              </w:rPr>
              <w:t>2 303 686,46</w:t>
            </w:r>
          </w:p>
        </w:tc>
      </w:tr>
      <w:tr w:rsidR="00F44BFC" w:rsidRPr="00F44BFC" w14:paraId="28FA3EBB" w14:textId="77777777" w:rsidTr="00007F21">
        <w:trPr>
          <w:trHeight w:val="693"/>
        </w:trPr>
        <w:tc>
          <w:tcPr>
            <w:tcW w:w="1094" w:type="pct"/>
            <w:vMerge w:val="restart"/>
            <w:vAlign w:val="center"/>
          </w:tcPr>
          <w:p w14:paraId="57AA5C2D" w14:textId="77777777" w:rsidR="00F44BFC" w:rsidRPr="00F44BFC" w:rsidRDefault="00F44BFC" w:rsidP="00F44BFC">
            <w:pPr>
              <w:rPr>
                <w:rFonts w:ascii="Arial Narrow" w:hAnsi="Arial Narrow"/>
                <w:sz w:val="20"/>
                <w:szCs w:val="20"/>
                <w:lang w:val="bg-BG" w:eastAsia="bg-BG"/>
              </w:rPr>
            </w:pPr>
            <w:r w:rsidRPr="00F44BFC">
              <w:rPr>
                <w:rFonts w:ascii="Arial Narrow" w:hAnsi="Arial Narrow"/>
                <w:sz w:val="20"/>
                <w:szCs w:val="20"/>
                <w:lang w:val="bg-BG" w:eastAsia="bg-BG"/>
              </w:rPr>
              <w:t>Приоритет 2 Насърчаване на устойчивите дейности, свързани с аквакултурите, и на преработването и предлагането на пазара на продукти от риболов и аквакултури</w:t>
            </w:r>
          </w:p>
        </w:tc>
        <w:tc>
          <w:tcPr>
            <w:tcW w:w="1508" w:type="pct"/>
            <w:shd w:val="clear" w:color="auto" w:fill="auto"/>
            <w:vAlign w:val="center"/>
          </w:tcPr>
          <w:p w14:paraId="3D9F0490" w14:textId="77777777" w:rsidR="00F44BFC" w:rsidRPr="00F44BFC" w:rsidRDefault="00F44BFC" w:rsidP="00F44BFC">
            <w:pPr>
              <w:rPr>
                <w:rFonts w:ascii="Arial Narrow" w:hAnsi="Arial Narrow"/>
                <w:sz w:val="20"/>
                <w:szCs w:val="20"/>
                <w:lang w:val="bg-BG" w:eastAsia="bg-BG"/>
              </w:rPr>
            </w:pPr>
            <w:r w:rsidRPr="00F44BFC">
              <w:rPr>
                <w:rFonts w:ascii="Arial Narrow" w:hAnsi="Arial Narrow"/>
                <w:sz w:val="20"/>
                <w:szCs w:val="20"/>
                <w:lang w:val="bg-BG" w:eastAsia="bg-BG"/>
              </w:rPr>
              <w:t>2.1.1 Продуктивни инвестиции и иновации в аквакултурите</w:t>
            </w:r>
          </w:p>
        </w:tc>
        <w:tc>
          <w:tcPr>
            <w:tcW w:w="732" w:type="pct"/>
            <w:shd w:val="clear" w:color="auto" w:fill="auto"/>
            <w:noWrap/>
            <w:vAlign w:val="center"/>
          </w:tcPr>
          <w:p w14:paraId="187ED677" w14:textId="77777777" w:rsidR="00F44BFC" w:rsidRPr="00F44BFC" w:rsidRDefault="00F44BFC" w:rsidP="00F44BFC">
            <w:pPr>
              <w:jc w:val="right"/>
              <w:rPr>
                <w:rFonts w:ascii="Arial Narrow" w:hAnsi="Arial Narrow"/>
                <w:bCs/>
                <w:sz w:val="20"/>
                <w:szCs w:val="20"/>
                <w:lang w:val="bg-BG" w:eastAsia="bg-BG"/>
              </w:rPr>
            </w:pPr>
            <w:r w:rsidRPr="00F44BFC">
              <w:rPr>
                <w:rFonts w:ascii="Arial Narrow" w:hAnsi="Arial Narrow"/>
                <w:bCs/>
                <w:sz w:val="20"/>
                <w:szCs w:val="20"/>
                <w:lang w:val="bg-BG" w:eastAsia="bg-BG"/>
              </w:rPr>
              <w:t>3 500 000,00</w:t>
            </w:r>
          </w:p>
        </w:tc>
        <w:tc>
          <w:tcPr>
            <w:tcW w:w="775" w:type="pct"/>
            <w:shd w:val="clear" w:color="auto" w:fill="auto"/>
            <w:vAlign w:val="center"/>
          </w:tcPr>
          <w:p w14:paraId="54F65804" w14:textId="77777777" w:rsidR="00F44BFC" w:rsidRPr="00F44BFC" w:rsidRDefault="00F44BFC" w:rsidP="00F44BFC">
            <w:pPr>
              <w:jc w:val="right"/>
              <w:rPr>
                <w:rFonts w:ascii="Arial Narrow" w:hAnsi="Arial Narrow"/>
                <w:bCs/>
                <w:sz w:val="20"/>
                <w:szCs w:val="20"/>
                <w:lang w:val="bg-BG" w:eastAsia="bg-BG"/>
              </w:rPr>
            </w:pPr>
            <w:r w:rsidRPr="00F44BFC">
              <w:rPr>
                <w:rFonts w:ascii="Arial Narrow" w:hAnsi="Arial Narrow"/>
                <w:bCs/>
                <w:sz w:val="20"/>
                <w:szCs w:val="20"/>
                <w:lang w:val="bg-BG" w:eastAsia="bg-BG"/>
              </w:rPr>
              <w:t>1 500 000,00</w:t>
            </w:r>
          </w:p>
        </w:tc>
        <w:tc>
          <w:tcPr>
            <w:tcW w:w="890" w:type="pct"/>
            <w:shd w:val="clear" w:color="auto" w:fill="auto"/>
            <w:vAlign w:val="center"/>
          </w:tcPr>
          <w:p w14:paraId="099B618E" w14:textId="77777777" w:rsidR="00F44BFC" w:rsidRPr="00F44BFC" w:rsidRDefault="00F44BFC" w:rsidP="00F44BFC">
            <w:pPr>
              <w:jc w:val="right"/>
              <w:rPr>
                <w:rFonts w:ascii="Arial Narrow" w:hAnsi="Arial Narrow"/>
                <w:bCs/>
                <w:sz w:val="20"/>
                <w:szCs w:val="20"/>
                <w:lang w:val="bg-BG" w:eastAsia="bg-BG"/>
              </w:rPr>
            </w:pPr>
            <w:r w:rsidRPr="00F44BFC">
              <w:rPr>
                <w:rFonts w:ascii="Arial Narrow" w:hAnsi="Arial Narrow"/>
                <w:bCs/>
                <w:sz w:val="20"/>
                <w:szCs w:val="20"/>
                <w:lang w:val="bg-BG" w:eastAsia="bg-BG"/>
              </w:rPr>
              <w:t>5 000 000,00</w:t>
            </w:r>
          </w:p>
        </w:tc>
      </w:tr>
      <w:tr w:rsidR="00F44BFC" w:rsidRPr="00F44BFC" w14:paraId="24564F8F" w14:textId="77777777" w:rsidTr="00007F21">
        <w:trPr>
          <w:trHeight w:val="693"/>
        </w:trPr>
        <w:tc>
          <w:tcPr>
            <w:tcW w:w="1094" w:type="pct"/>
            <w:vMerge/>
            <w:vAlign w:val="center"/>
          </w:tcPr>
          <w:p w14:paraId="234563FA" w14:textId="77777777" w:rsidR="00F44BFC" w:rsidRPr="00F44BFC" w:rsidRDefault="00F44BFC" w:rsidP="00F44BFC">
            <w:pPr>
              <w:rPr>
                <w:rFonts w:ascii="Arial Narrow" w:hAnsi="Arial Narrow"/>
                <w:sz w:val="20"/>
                <w:szCs w:val="20"/>
                <w:lang w:val="bg-BG" w:eastAsia="bg-BG"/>
              </w:rPr>
            </w:pPr>
          </w:p>
        </w:tc>
        <w:tc>
          <w:tcPr>
            <w:tcW w:w="1508" w:type="pct"/>
            <w:shd w:val="clear" w:color="auto" w:fill="auto"/>
            <w:vAlign w:val="center"/>
          </w:tcPr>
          <w:p w14:paraId="381931B5" w14:textId="77777777" w:rsidR="00F44BFC" w:rsidRPr="00F44BFC" w:rsidRDefault="00F44BFC" w:rsidP="00F44BFC">
            <w:pPr>
              <w:rPr>
                <w:rFonts w:ascii="Arial Narrow" w:hAnsi="Arial Narrow"/>
                <w:sz w:val="20"/>
                <w:szCs w:val="20"/>
                <w:lang w:val="bg-BG" w:eastAsia="bg-BG"/>
              </w:rPr>
            </w:pPr>
            <w:r w:rsidRPr="00F44BFC">
              <w:rPr>
                <w:rFonts w:ascii="Arial Narrow" w:hAnsi="Arial Narrow"/>
                <w:sz w:val="20"/>
                <w:szCs w:val="20"/>
                <w:lang w:val="bg-BG" w:eastAsia="bg-BG"/>
              </w:rPr>
              <w:t>2.1.2 Аквакултури, осигуряващи екологични услуги</w:t>
            </w:r>
          </w:p>
        </w:tc>
        <w:tc>
          <w:tcPr>
            <w:tcW w:w="732" w:type="pct"/>
            <w:shd w:val="clear" w:color="auto" w:fill="auto"/>
            <w:noWrap/>
            <w:vAlign w:val="center"/>
          </w:tcPr>
          <w:p w14:paraId="3994B5F6" w14:textId="77777777" w:rsidR="00F44BFC" w:rsidRPr="00F44BFC" w:rsidRDefault="00F44BFC" w:rsidP="00F44BFC">
            <w:pPr>
              <w:jc w:val="right"/>
              <w:rPr>
                <w:rFonts w:ascii="Arial Narrow" w:hAnsi="Arial Narrow"/>
                <w:bCs/>
                <w:sz w:val="20"/>
                <w:szCs w:val="20"/>
                <w:lang w:val="bg-BG" w:eastAsia="bg-BG"/>
              </w:rPr>
            </w:pPr>
            <w:r w:rsidRPr="00F44BFC">
              <w:rPr>
                <w:rFonts w:ascii="Arial Narrow" w:hAnsi="Arial Narrow"/>
                <w:bCs/>
                <w:sz w:val="20"/>
                <w:szCs w:val="20"/>
                <w:lang w:val="bg-BG" w:eastAsia="bg-BG"/>
              </w:rPr>
              <w:t>700 000,00</w:t>
            </w:r>
          </w:p>
        </w:tc>
        <w:tc>
          <w:tcPr>
            <w:tcW w:w="775" w:type="pct"/>
            <w:shd w:val="clear" w:color="auto" w:fill="auto"/>
            <w:vAlign w:val="center"/>
          </w:tcPr>
          <w:p w14:paraId="1915639B" w14:textId="77777777" w:rsidR="00F44BFC" w:rsidRPr="00F44BFC" w:rsidRDefault="00F44BFC" w:rsidP="00F44BFC">
            <w:pPr>
              <w:jc w:val="right"/>
              <w:rPr>
                <w:rFonts w:ascii="Arial Narrow" w:hAnsi="Arial Narrow"/>
                <w:bCs/>
                <w:sz w:val="20"/>
                <w:szCs w:val="20"/>
                <w:lang w:val="bg-BG" w:eastAsia="bg-BG"/>
              </w:rPr>
            </w:pPr>
            <w:r w:rsidRPr="00F44BFC">
              <w:rPr>
                <w:rFonts w:ascii="Arial Narrow" w:hAnsi="Arial Narrow"/>
                <w:bCs/>
                <w:sz w:val="20"/>
                <w:szCs w:val="20"/>
                <w:lang w:val="bg-BG" w:eastAsia="bg-BG"/>
              </w:rPr>
              <w:t>300 000,00</w:t>
            </w:r>
          </w:p>
        </w:tc>
        <w:tc>
          <w:tcPr>
            <w:tcW w:w="890" w:type="pct"/>
            <w:shd w:val="clear" w:color="auto" w:fill="auto"/>
            <w:vAlign w:val="center"/>
          </w:tcPr>
          <w:p w14:paraId="649ADE7D" w14:textId="77777777" w:rsidR="00F44BFC" w:rsidRPr="00F44BFC" w:rsidRDefault="00F44BFC" w:rsidP="00F44BFC">
            <w:pPr>
              <w:jc w:val="right"/>
              <w:rPr>
                <w:rFonts w:ascii="Arial Narrow" w:hAnsi="Arial Narrow"/>
                <w:bCs/>
                <w:sz w:val="20"/>
                <w:szCs w:val="20"/>
                <w:lang w:val="bg-BG" w:eastAsia="bg-BG"/>
              </w:rPr>
            </w:pPr>
            <w:r w:rsidRPr="00F44BFC">
              <w:rPr>
                <w:rFonts w:ascii="Arial Narrow" w:hAnsi="Arial Narrow"/>
                <w:bCs/>
                <w:sz w:val="20"/>
                <w:szCs w:val="20"/>
                <w:lang w:val="bg-BG" w:eastAsia="bg-BG"/>
              </w:rPr>
              <w:t>1 000 000,00</w:t>
            </w:r>
          </w:p>
        </w:tc>
      </w:tr>
      <w:tr w:rsidR="00F44BFC" w:rsidRPr="00F44BFC" w14:paraId="5B9A3B5A" w14:textId="77777777" w:rsidTr="00007F21">
        <w:trPr>
          <w:trHeight w:val="693"/>
        </w:trPr>
        <w:tc>
          <w:tcPr>
            <w:tcW w:w="1094" w:type="pct"/>
            <w:vMerge/>
            <w:vAlign w:val="center"/>
          </w:tcPr>
          <w:p w14:paraId="1E36D4E0" w14:textId="77777777" w:rsidR="00F44BFC" w:rsidRPr="00F44BFC" w:rsidRDefault="00F44BFC" w:rsidP="00F44BFC">
            <w:pPr>
              <w:rPr>
                <w:rFonts w:ascii="Arial Narrow" w:hAnsi="Arial Narrow"/>
                <w:sz w:val="20"/>
                <w:szCs w:val="20"/>
                <w:lang w:val="bg-BG" w:eastAsia="bg-BG"/>
              </w:rPr>
            </w:pPr>
          </w:p>
        </w:tc>
        <w:tc>
          <w:tcPr>
            <w:tcW w:w="1508" w:type="pct"/>
            <w:shd w:val="clear" w:color="auto" w:fill="auto"/>
            <w:vAlign w:val="center"/>
          </w:tcPr>
          <w:p w14:paraId="38916A7F" w14:textId="77777777" w:rsidR="00F44BFC" w:rsidRPr="00F44BFC" w:rsidRDefault="00F44BFC" w:rsidP="00F44BFC">
            <w:pPr>
              <w:rPr>
                <w:rFonts w:ascii="Arial Narrow" w:hAnsi="Arial Narrow"/>
                <w:sz w:val="20"/>
                <w:szCs w:val="20"/>
                <w:lang w:val="bg-BG" w:eastAsia="bg-BG"/>
              </w:rPr>
            </w:pPr>
            <w:r w:rsidRPr="00F44BFC">
              <w:rPr>
                <w:rFonts w:ascii="Arial Narrow" w:hAnsi="Arial Narrow"/>
                <w:sz w:val="20"/>
                <w:szCs w:val="20"/>
                <w:lang w:val="bg-BG" w:eastAsia="bg-BG"/>
              </w:rPr>
              <w:t>2.2.1 Преработка на продукти от риболов и аквакултури</w:t>
            </w:r>
          </w:p>
        </w:tc>
        <w:tc>
          <w:tcPr>
            <w:tcW w:w="732" w:type="pct"/>
            <w:shd w:val="clear" w:color="auto" w:fill="auto"/>
            <w:noWrap/>
            <w:vAlign w:val="center"/>
          </w:tcPr>
          <w:p w14:paraId="3DAF4ACD" w14:textId="77777777" w:rsidR="00F44BFC" w:rsidRPr="00F44BFC" w:rsidRDefault="00F44BFC" w:rsidP="00F44BFC">
            <w:pPr>
              <w:jc w:val="right"/>
              <w:rPr>
                <w:rFonts w:ascii="Arial Narrow" w:hAnsi="Arial Narrow"/>
                <w:bCs/>
                <w:sz w:val="20"/>
                <w:szCs w:val="20"/>
                <w:lang w:val="bg-BG" w:eastAsia="bg-BG"/>
              </w:rPr>
            </w:pPr>
            <w:r w:rsidRPr="00F44BFC">
              <w:rPr>
                <w:rFonts w:ascii="Arial Narrow" w:hAnsi="Arial Narrow"/>
                <w:bCs/>
                <w:sz w:val="20"/>
                <w:szCs w:val="20"/>
                <w:lang w:val="bg-BG" w:eastAsia="bg-BG"/>
              </w:rPr>
              <w:t>6 650 000,00</w:t>
            </w:r>
          </w:p>
        </w:tc>
        <w:tc>
          <w:tcPr>
            <w:tcW w:w="775" w:type="pct"/>
            <w:shd w:val="clear" w:color="auto" w:fill="auto"/>
            <w:vAlign w:val="center"/>
          </w:tcPr>
          <w:p w14:paraId="08D56AF3" w14:textId="77777777" w:rsidR="00F44BFC" w:rsidRPr="00F44BFC" w:rsidRDefault="00F44BFC" w:rsidP="00F44BFC">
            <w:pPr>
              <w:jc w:val="right"/>
              <w:rPr>
                <w:rFonts w:ascii="Arial Narrow" w:hAnsi="Arial Narrow"/>
                <w:bCs/>
                <w:sz w:val="20"/>
                <w:szCs w:val="20"/>
                <w:lang w:val="bg-BG" w:eastAsia="bg-BG"/>
              </w:rPr>
            </w:pPr>
            <w:r w:rsidRPr="00F44BFC">
              <w:rPr>
                <w:rFonts w:ascii="Arial Narrow" w:hAnsi="Arial Narrow"/>
                <w:bCs/>
                <w:sz w:val="20"/>
                <w:szCs w:val="20"/>
                <w:lang w:val="bg-BG" w:eastAsia="bg-BG"/>
              </w:rPr>
              <w:t>2 850 000,00</w:t>
            </w:r>
          </w:p>
        </w:tc>
        <w:tc>
          <w:tcPr>
            <w:tcW w:w="890" w:type="pct"/>
            <w:shd w:val="clear" w:color="auto" w:fill="auto"/>
            <w:vAlign w:val="center"/>
          </w:tcPr>
          <w:p w14:paraId="7E74A2E6" w14:textId="77777777" w:rsidR="00F44BFC" w:rsidRPr="00F44BFC" w:rsidRDefault="00F44BFC" w:rsidP="00F44BFC">
            <w:pPr>
              <w:jc w:val="right"/>
              <w:rPr>
                <w:rFonts w:ascii="Arial Narrow" w:hAnsi="Arial Narrow"/>
                <w:bCs/>
                <w:sz w:val="20"/>
                <w:szCs w:val="20"/>
                <w:lang w:val="bg-BG" w:eastAsia="bg-BG"/>
              </w:rPr>
            </w:pPr>
            <w:r w:rsidRPr="00F44BFC">
              <w:rPr>
                <w:rFonts w:ascii="Arial Narrow" w:hAnsi="Arial Narrow"/>
                <w:bCs/>
                <w:sz w:val="20"/>
                <w:szCs w:val="20"/>
                <w:lang w:val="bg-BG" w:eastAsia="bg-BG"/>
              </w:rPr>
              <w:t>9 500 000,00</w:t>
            </w:r>
          </w:p>
        </w:tc>
      </w:tr>
      <w:tr w:rsidR="00F44BFC" w:rsidRPr="00F44BFC" w14:paraId="50E03602" w14:textId="77777777" w:rsidTr="00007F21">
        <w:trPr>
          <w:trHeight w:val="693"/>
        </w:trPr>
        <w:tc>
          <w:tcPr>
            <w:tcW w:w="1094" w:type="pct"/>
            <w:vMerge/>
            <w:vAlign w:val="center"/>
          </w:tcPr>
          <w:p w14:paraId="46E3D7D1" w14:textId="77777777" w:rsidR="00F44BFC" w:rsidRPr="00F44BFC" w:rsidRDefault="00F44BFC" w:rsidP="00F44BFC">
            <w:pPr>
              <w:rPr>
                <w:rFonts w:ascii="Arial Narrow" w:hAnsi="Arial Narrow"/>
                <w:sz w:val="20"/>
                <w:szCs w:val="20"/>
                <w:lang w:val="bg-BG" w:eastAsia="bg-BG"/>
              </w:rPr>
            </w:pPr>
          </w:p>
        </w:tc>
        <w:tc>
          <w:tcPr>
            <w:tcW w:w="1508" w:type="pct"/>
            <w:shd w:val="clear" w:color="auto" w:fill="auto"/>
            <w:vAlign w:val="center"/>
          </w:tcPr>
          <w:p w14:paraId="2DDB4AE3" w14:textId="77777777" w:rsidR="00F44BFC" w:rsidRPr="00F44BFC" w:rsidRDefault="00F44BFC" w:rsidP="00F44BFC">
            <w:pPr>
              <w:rPr>
                <w:rFonts w:ascii="Arial Narrow" w:hAnsi="Arial Narrow"/>
                <w:sz w:val="20"/>
                <w:szCs w:val="20"/>
                <w:lang w:val="bg-BG" w:eastAsia="bg-BG"/>
              </w:rPr>
            </w:pPr>
            <w:r w:rsidRPr="00F44BFC">
              <w:rPr>
                <w:rFonts w:ascii="Arial Narrow" w:hAnsi="Arial Narrow"/>
                <w:sz w:val="20"/>
                <w:szCs w:val="20"/>
                <w:lang w:val="bg-BG" w:eastAsia="bg-BG"/>
              </w:rPr>
              <w:t>2.2.2 Предлагане на пазара</w:t>
            </w:r>
          </w:p>
        </w:tc>
        <w:tc>
          <w:tcPr>
            <w:tcW w:w="732" w:type="pct"/>
            <w:shd w:val="clear" w:color="auto" w:fill="auto"/>
            <w:noWrap/>
            <w:vAlign w:val="center"/>
          </w:tcPr>
          <w:p w14:paraId="50D4B7C3" w14:textId="77777777" w:rsidR="00F44BFC" w:rsidRPr="00F44BFC" w:rsidRDefault="00F44BFC" w:rsidP="00F44BFC">
            <w:pPr>
              <w:jc w:val="right"/>
              <w:rPr>
                <w:rFonts w:ascii="Arial Narrow" w:hAnsi="Arial Narrow"/>
                <w:bCs/>
                <w:sz w:val="20"/>
                <w:szCs w:val="20"/>
                <w:lang w:val="bg-BG" w:eastAsia="bg-BG"/>
              </w:rPr>
            </w:pPr>
            <w:r w:rsidRPr="00F44BFC">
              <w:rPr>
                <w:rFonts w:ascii="Arial Narrow" w:hAnsi="Arial Narrow"/>
                <w:bCs/>
                <w:sz w:val="20"/>
                <w:szCs w:val="20"/>
                <w:lang w:val="bg-BG" w:eastAsia="bg-BG"/>
              </w:rPr>
              <w:t>560 000,00</w:t>
            </w:r>
          </w:p>
        </w:tc>
        <w:tc>
          <w:tcPr>
            <w:tcW w:w="775" w:type="pct"/>
            <w:shd w:val="clear" w:color="auto" w:fill="auto"/>
            <w:vAlign w:val="center"/>
          </w:tcPr>
          <w:p w14:paraId="0B9A90C1" w14:textId="77777777" w:rsidR="00F44BFC" w:rsidRPr="00F44BFC" w:rsidRDefault="00F44BFC" w:rsidP="00F44BFC">
            <w:pPr>
              <w:jc w:val="right"/>
              <w:rPr>
                <w:rFonts w:ascii="Arial Narrow" w:hAnsi="Arial Narrow"/>
                <w:bCs/>
                <w:sz w:val="20"/>
                <w:szCs w:val="20"/>
                <w:lang w:val="bg-BG" w:eastAsia="bg-BG"/>
              </w:rPr>
            </w:pPr>
            <w:r w:rsidRPr="00F44BFC">
              <w:rPr>
                <w:rFonts w:ascii="Arial Narrow" w:hAnsi="Arial Narrow"/>
                <w:bCs/>
                <w:sz w:val="20"/>
                <w:szCs w:val="20"/>
                <w:lang w:val="bg-BG" w:eastAsia="bg-BG"/>
              </w:rPr>
              <w:t>240 000,00</w:t>
            </w:r>
          </w:p>
        </w:tc>
        <w:tc>
          <w:tcPr>
            <w:tcW w:w="890" w:type="pct"/>
            <w:shd w:val="clear" w:color="auto" w:fill="auto"/>
            <w:vAlign w:val="center"/>
          </w:tcPr>
          <w:p w14:paraId="43AFF895" w14:textId="77777777" w:rsidR="00F44BFC" w:rsidRPr="00F44BFC" w:rsidRDefault="00F44BFC" w:rsidP="00F44BFC">
            <w:pPr>
              <w:jc w:val="right"/>
              <w:rPr>
                <w:rFonts w:ascii="Arial Narrow" w:hAnsi="Arial Narrow"/>
                <w:bCs/>
                <w:sz w:val="20"/>
                <w:szCs w:val="20"/>
                <w:lang w:val="bg-BG" w:eastAsia="bg-BG"/>
              </w:rPr>
            </w:pPr>
            <w:r w:rsidRPr="00F44BFC">
              <w:rPr>
                <w:rFonts w:ascii="Arial Narrow" w:hAnsi="Arial Narrow"/>
                <w:bCs/>
                <w:sz w:val="20"/>
                <w:szCs w:val="20"/>
                <w:lang w:val="bg-BG" w:eastAsia="bg-BG"/>
              </w:rPr>
              <w:t>800 000,00</w:t>
            </w:r>
          </w:p>
        </w:tc>
      </w:tr>
      <w:tr w:rsidR="00F44BFC" w:rsidRPr="00F44BFC" w14:paraId="5C277C90" w14:textId="77777777" w:rsidTr="00007F21">
        <w:trPr>
          <w:trHeight w:val="693"/>
        </w:trPr>
        <w:tc>
          <w:tcPr>
            <w:tcW w:w="1094" w:type="pct"/>
            <w:vMerge/>
            <w:vAlign w:val="center"/>
          </w:tcPr>
          <w:p w14:paraId="4484C850" w14:textId="77777777" w:rsidR="00F44BFC" w:rsidRPr="00F44BFC" w:rsidRDefault="00F44BFC" w:rsidP="00F44BFC">
            <w:pPr>
              <w:rPr>
                <w:rFonts w:ascii="Arial Narrow" w:hAnsi="Arial Narrow"/>
                <w:sz w:val="20"/>
                <w:szCs w:val="20"/>
                <w:lang w:val="bg-BG" w:eastAsia="bg-BG"/>
              </w:rPr>
            </w:pPr>
          </w:p>
        </w:tc>
        <w:tc>
          <w:tcPr>
            <w:tcW w:w="1508" w:type="pct"/>
            <w:shd w:val="clear" w:color="auto" w:fill="auto"/>
            <w:vAlign w:val="center"/>
          </w:tcPr>
          <w:p w14:paraId="350579E2" w14:textId="77777777" w:rsidR="00F44BFC" w:rsidRPr="00F44BFC" w:rsidRDefault="00F44BFC" w:rsidP="00F44BFC">
            <w:pPr>
              <w:rPr>
                <w:rFonts w:ascii="Arial Narrow" w:hAnsi="Arial Narrow"/>
                <w:sz w:val="20"/>
                <w:szCs w:val="20"/>
                <w:lang w:val="bg-BG" w:eastAsia="bg-BG"/>
              </w:rPr>
            </w:pPr>
            <w:r w:rsidRPr="00F44BFC">
              <w:rPr>
                <w:rFonts w:ascii="Arial Narrow" w:hAnsi="Arial Narrow"/>
                <w:sz w:val="20"/>
                <w:szCs w:val="20"/>
                <w:lang w:val="bg-BG" w:eastAsia="bg-BG"/>
              </w:rPr>
              <w:t>2.2.3 Планове за производство и предлагане на пазара</w:t>
            </w:r>
          </w:p>
        </w:tc>
        <w:tc>
          <w:tcPr>
            <w:tcW w:w="732" w:type="pct"/>
            <w:shd w:val="clear" w:color="auto" w:fill="auto"/>
            <w:noWrap/>
            <w:vAlign w:val="center"/>
          </w:tcPr>
          <w:p w14:paraId="2E219E42" w14:textId="77777777" w:rsidR="00F44BFC" w:rsidRPr="00F44BFC" w:rsidRDefault="00F44BFC" w:rsidP="00F44BFC">
            <w:pPr>
              <w:jc w:val="right"/>
              <w:rPr>
                <w:rFonts w:ascii="Arial Narrow" w:hAnsi="Arial Narrow"/>
                <w:bCs/>
                <w:sz w:val="20"/>
                <w:szCs w:val="20"/>
                <w:lang w:val="bg-BG" w:eastAsia="bg-BG"/>
              </w:rPr>
            </w:pPr>
            <w:r w:rsidRPr="00F44BFC">
              <w:rPr>
                <w:rFonts w:ascii="Arial Narrow" w:hAnsi="Arial Narrow"/>
                <w:bCs/>
                <w:sz w:val="20"/>
                <w:szCs w:val="20"/>
                <w:lang w:val="bg-BG" w:eastAsia="bg-BG"/>
              </w:rPr>
              <w:t>82 530,00</w:t>
            </w:r>
          </w:p>
        </w:tc>
        <w:tc>
          <w:tcPr>
            <w:tcW w:w="775" w:type="pct"/>
            <w:shd w:val="clear" w:color="auto" w:fill="auto"/>
            <w:vAlign w:val="center"/>
          </w:tcPr>
          <w:p w14:paraId="5AC10492" w14:textId="77777777" w:rsidR="00F44BFC" w:rsidRPr="00F44BFC" w:rsidRDefault="00F44BFC" w:rsidP="00F44BFC">
            <w:pPr>
              <w:jc w:val="right"/>
              <w:rPr>
                <w:rFonts w:ascii="Arial Narrow" w:hAnsi="Arial Narrow"/>
                <w:bCs/>
                <w:sz w:val="20"/>
                <w:szCs w:val="20"/>
                <w:lang w:val="bg-BG" w:eastAsia="bg-BG"/>
              </w:rPr>
            </w:pPr>
            <w:r w:rsidRPr="00F44BFC">
              <w:rPr>
                <w:rFonts w:ascii="Arial Narrow" w:hAnsi="Arial Narrow"/>
                <w:bCs/>
                <w:sz w:val="20"/>
                <w:szCs w:val="20"/>
                <w:lang w:val="bg-BG" w:eastAsia="bg-BG"/>
              </w:rPr>
              <w:t>35 370,00</w:t>
            </w:r>
          </w:p>
        </w:tc>
        <w:tc>
          <w:tcPr>
            <w:tcW w:w="890" w:type="pct"/>
            <w:shd w:val="clear" w:color="auto" w:fill="auto"/>
            <w:vAlign w:val="center"/>
          </w:tcPr>
          <w:p w14:paraId="39D93087" w14:textId="77777777" w:rsidR="00F44BFC" w:rsidRPr="00F44BFC" w:rsidRDefault="00F44BFC" w:rsidP="00F44BFC">
            <w:pPr>
              <w:jc w:val="right"/>
              <w:rPr>
                <w:rFonts w:ascii="Arial Narrow" w:hAnsi="Arial Narrow"/>
                <w:bCs/>
                <w:sz w:val="20"/>
                <w:szCs w:val="20"/>
                <w:lang w:val="bg-BG" w:eastAsia="bg-BG"/>
              </w:rPr>
            </w:pPr>
            <w:r w:rsidRPr="00F44BFC">
              <w:rPr>
                <w:rFonts w:ascii="Arial Narrow" w:hAnsi="Arial Narrow"/>
                <w:bCs/>
                <w:sz w:val="20"/>
                <w:szCs w:val="20"/>
                <w:lang w:val="bg-BG" w:eastAsia="bg-BG"/>
              </w:rPr>
              <w:t>117 900,00</w:t>
            </w:r>
          </w:p>
        </w:tc>
      </w:tr>
      <w:tr w:rsidR="00F44BFC" w:rsidRPr="00F44BFC" w14:paraId="3FA58638" w14:textId="77777777" w:rsidTr="00007F21">
        <w:trPr>
          <w:trHeight w:val="603"/>
        </w:trPr>
        <w:tc>
          <w:tcPr>
            <w:tcW w:w="1094" w:type="pct"/>
            <w:shd w:val="clear" w:color="000000" w:fill="FFFFFF"/>
            <w:vAlign w:val="center"/>
          </w:tcPr>
          <w:p w14:paraId="71E29220" w14:textId="77777777" w:rsidR="00F44BFC" w:rsidRPr="00F44BFC" w:rsidRDefault="00F44BFC" w:rsidP="00F44BFC">
            <w:pPr>
              <w:rPr>
                <w:rFonts w:ascii="Arial Narrow" w:hAnsi="Arial Narrow"/>
                <w:sz w:val="20"/>
                <w:szCs w:val="20"/>
                <w:lang w:val="bg-BG" w:eastAsia="bg-BG"/>
              </w:rPr>
            </w:pPr>
            <w:r w:rsidRPr="00F44BFC">
              <w:rPr>
                <w:rFonts w:ascii="Arial Narrow" w:hAnsi="Arial Narrow"/>
                <w:sz w:val="20"/>
                <w:szCs w:val="20"/>
                <w:lang w:val="bg-BG" w:eastAsia="bg-BG"/>
              </w:rPr>
              <w:t xml:space="preserve">Приоритет 3 </w:t>
            </w:r>
          </w:p>
          <w:p w14:paraId="1C0CD275" w14:textId="77777777" w:rsidR="00F44BFC" w:rsidRPr="00F44BFC" w:rsidRDefault="00F44BFC" w:rsidP="00F44BFC">
            <w:pPr>
              <w:rPr>
                <w:rFonts w:ascii="Arial Narrow" w:hAnsi="Arial Narrow"/>
                <w:sz w:val="20"/>
                <w:szCs w:val="20"/>
                <w:lang w:val="bg-BG" w:eastAsia="bg-BG"/>
              </w:rPr>
            </w:pPr>
            <w:r w:rsidRPr="00F44BFC">
              <w:rPr>
                <w:rFonts w:ascii="Arial Narrow" w:hAnsi="Arial Narrow"/>
                <w:sz w:val="20"/>
                <w:szCs w:val="20"/>
                <w:lang w:val="bg-BG" w:eastAsia="bg-BG"/>
              </w:rPr>
              <w:t>Създаване на предпоставки за растеж на устойчивата синя икономика и стимулиране на развитието на общностите, занимаващи се с рибарство и аквакултури, в крайбрежните и вътрешните райони</w:t>
            </w:r>
          </w:p>
        </w:tc>
        <w:tc>
          <w:tcPr>
            <w:tcW w:w="1508" w:type="pct"/>
            <w:shd w:val="clear" w:color="auto" w:fill="auto"/>
            <w:vAlign w:val="center"/>
          </w:tcPr>
          <w:p w14:paraId="32F29DA8" w14:textId="77777777" w:rsidR="00F44BFC" w:rsidRPr="00F44BFC" w:rsidRDefault="00F44BFC" w:rsidP="00F44BFC">
            <w:pPr>
              <w:rPr>
                <w:rFonts w:ascii="Arial Narrow" w:hAnsi="Arial Narrow"/>
                <w:sz w:val="20"/>
                <w:szCs w:val="20"/>
                <w:lang w:val="bg-BG" w:eastAsia="bg-BG"/>
              </w:rPr>
            </w:pPr>
            <w:r w:rsidRPr="00F44BFC">
              <w:rPr>
                <w:rFonts w:ascii="Arial Narrow" w:hAnsi="Arial Narrow"/>
                <w:sz w:val="20"/>
                <w:szCs w:val="20"/>
                <w:lang w:val="bg-BG" w:eastAsia="bg-BG"/>
              </w:rPr>
              <w:t>3.2 Изпълнение на стратегии за Водено от общностите местно развитие</w:t>
            </w:r>
          </w:p>
        </w:tc>
        <w:tc>
          <w:tcPr>
            <w:tcW w:w="732" w:type="pct"/>
            <w:shd w:val="clear" w:color="auto" w:fill="auto"/>
            <w:noWrap/>
            <w:vAlign w:val="center"/>
          </w:tcPr>
          <w:p w14:paraId="209716FE" w14:textId="77777777" w:rsidR="00F44BFC" w:rsidRPr="00F44BFC" w:rsidRDefault="00F44BFC" w:rsidP="00F44BFC">
            <w:pPr>
              <w:jc w:val="right"/>
              <w:rPr>
                <w:rFonts w:ascii="Arial Narrow" w:hAnsi="Arial Narrow"/>
                <w:bCs/>
                <w:sz w:val="20"/>
                <w:szCs w:val="20"/>
                <w:lang w:val="bg-BG" w:eastAsia="bg-BG"/>
              </w:rPr>
            </w:pPr>
            <w:r w:rsidRPr="00F44BFC">
              <w:rPr>
                <w:rFonts w:ascii="Arial Narrow" w:hAnsi="Arial Narrow"/>
                <w:bCs/>
                <w:sz w:val="20"/>
                <w:szCs w:val="20"/>
                <w:lang w:val="bg-BG" w:eastAsia="bg-BG"/>
              </w:rPr>
              <w:t>168 000,00</w:t>
            </w:r>
          </w:p>
        </w:tc>
        <w:tc>
          <w:tcPr>
            <w:tcW w:w="775" w:type="pct"/>
            <w:shd w:val="clear" w:color="auto" w:fill="auto"/>
            <w:vAlign w:val="center"/>
          </w:tcPr>
          <w:p w14:paraId="5F59C365" w14:textId="77777777" w:rsidR="00F44BFC" w:rsidRPr="00F44BFC" w:rsidRDefault="00F44BFC" w:rsidP="00F44BFC">
            <w:pPr>
              <w:jc w:val="right"/>
              <w:rPr>
                <w:rFonts w:ascii="Arial Narrow" w:hAnsi="Arial Narrow"/>
                <w:bCs/>
                <w:sz w:val="20"/>
                <w:szCs w:val="20"/>
                <w:lang w:val="bg-BG" w:eastAsia="bg-BG"/>
              </w:rPr>
            </w:pPr>
            <w:r w:rsidRPr="00F44BFC">
              <w:rPr>
                <w:rFonts w:ascii="Arial Narrow" w:hAnsi="Arial Narrow"/>
                <w:bCs/>
                <w:sz w:val="20"/>
                <w:szCs w:val="20"/>
                <w:lang w:val="bg-BG" w:eastAsia="bg-BG"/>
              </w:rPr>
              <w:t>72 000,00</w:t>
            </w:r>
          </w:p>
        </w:tc>
        <w:tc>
          <w:tcPr>
            <w:tcW w:w="890" w:type="pct"/>
            <w:shd w:val="clear" w:color="auto" w:fill="auto"/>
            <w:vAlign w:val="center"/>
          </w:tcPr>
          <w:p w14:paraId="11A9F194" w14:textId="77777777" w:rsidR="00F44BFC" w:rsidRPr="00F44BFC" w:rsidRDefault="00F44BFC" w:rsidP="00F44BFC">
            <w:pPr>
              <w:jc w:val="right"/>
              <w:rPr>
                <w:rFonts w:ascii="Arial Narrow" w:hAnsi="Arial Narrow"/>
                <w:bCs/>
                <w:sz w:val="20"/>
                <w:szCs w:val="20"/>
                <w:lang w:val="bg-BG" w:eastAsia="bg-BG"/>
              </w:rPr>
            </w:pPr>
            <w:r w:rsidRPr="00F44BFC">
              <w:rPr>
                <w:rFonts w:ascii="Arial Narrow" w:hAnsi="Arial Narrow"/>
                <w:bCs/>
                <w:sz w:val="20"/>
                <w:szCs w:val="20"/>
                <w:lang w:val="bg-BG" w:eastAsia="bg-BG"/>
              </w:rPr>
              <w:t>240 000,00</w:t>
            </w:r>
          </w:p>
        </w:tc>
      </w:tr>
      <w:tr w:rsidR="00F44BFC" w:rsidRPr="00F44BFC" w14:paraId="54B35DBA" w14:textId="77777777" w:rsidTr="00007F21">
        <w:trPr>
          <w:trHeight w:val="603"/>
        </w:trPr>
        <w:tc>
          <w:tcPr>
            <w:tcW w:w="1094" w:type="pct"/>
            <w:shd w:val="clear" w:color="auto" w:fill="auto"/>
            <w:vAlign w:val="center"/>
          </w:tcPr>
          <w:p w14:paraId="4C1AE8D0" w14:textId="77777777" w:rsidR="00F44BFC" w:rsidRPr="00F44BFC" w:rsidRDefault="00F44BFC" w:rsidP="00F44BFC">
            <w:pPr>
              <w:rPr>
                <w:rFonts w:ascii="Arial Narrow" w:hAnsi="Arial Narrow"/>
                <w:sz w:val="20"/>
                <w:szCs w:val="20"/>
                <w:lang w:val="bg-BG" w:eastAsia="bg-BG"/>
              </w:rPr>
            </w:pPr>
            <w:r w:rsidRPr="00F44BFC">
              <w:rPr>
                <w:rFonts w:ascii="Arial Narrow" w:hAnsi="Arial Narrow"/>
                <w:sz w:val="20"/>
                <w:szCs w:val="20"/>
                <w:lang w:val="bg-BG" w:eastAsia="bg-BG"/>
              </w:rPr>
              <w:t>Техническа помощ</w:t>
            </w:r>
          </w:p>
        </w:tc>
        <w:tc>
          <w:tcPr>
            <w:tcW w:w="1508" w:type="pct"/>
            <w:shd w:val="clear" w:color="auto" w:fill="auto"/>
            <w:vAlign w:val="center"/>
          </w:tcPr>
          <w:p w14:paraId="3F623E91" w14:textId="77777777" w:rsidR="00F44BFC" w:rsidRPr="00F44BFC" w:rsidRDefault="00F44BFC" w:rsidP="00F44BFC">
            <w:pPr>
              <w:rPr>
                <w:rFonts w:ascii="Arial Narrow" w:hAnsi="Arial Narrow"/>
                <w:sz w:val="20"/>
                <w:szCs w:val="20"/>
                <w:lang w:val="bg-BG" w:eastAsia="bg-BG"/>
              </w:rPr>
            </w:pPr>
            <w:r w:rsidRPr="00F44BFC">
              <w:rPr>
                <w:rFonts w:ascii="Arial Narrow" w:hAnsi="Arial Narrow"/>
                <w:sz w:val="20"/>
                <w:szCs w:val="20"/>
                <w:lang w:val="bg-BG" w:eastAsia="bg-BG"/>
              </w:rPr>
              <w:t>Техническа помощ</w:t>
            </w:r>
          </w:p>
        </w:tc>
        <w:tc>
          <w:tcPr>
            <w:tcW w:w="732" w:type="pct"/>
            <w:shd w:val="clear" w:color="auto" w:fill="auto"/>
            <w:noWrap/>
            <w:vAlign w:val="center"/>
          </w:tcPr>
          <w:p w14:paraId="370713B2" w14:textId="77777777" w:rsidR="00F44BFC" w:rsidRPr="00F44BFC" w:rsidRDefault="00F44BFC" w:rsidP="00F44BFC">
            <w:pPr>
              <w:jc w:val="right"/>
              <w:rPr>
                <w:rFonts w:ascii="Arial Narrow" w:hAnsi="Arial Narrow"/>
                <w:bCs/>
                <w:sz w:val="20"/>
                <w:szCs w:val="20"/>
                <w:lang w:val="bg-BG" w:eastAsia="bg-BG"/>
              </w:rPr>
            </w:pPr>
            <w:r w:rsidRPr="00F44BFC">
              <w:rPr>
                <w:rFonts w:ascii="Arial Narrow" w:hAnsi="Arial Narrow"/>
                <w:bCs/>
                <w:sz w:val="20"/>
                <w:szCs w:val="20"/>
                <w:lang w:val="bg-BG" w:eastAsia="bg-BG"/>
              </w:rPr>
              <w:t>1 330 000,00</w:t>
            </w:r>
          </w:p>
        </w:tc>
        <w:tc>
          <w:tcPr>
            <w:tcW w:w="775" w:type="pct"/>
            <w:shd w:val="clear" w:color="auto" w:fill="auto"/>
            <w:vAlign w:val="center"/>
          </w:tcPr>
          <w:p w14:paraId="258B7765" w14:textId="77777777" w:rsidR="00F44BFC" w:rsidRPr="00F44BFC" w:rsidRDefault="00F44BFC" w:rsidP="00F44BFC">
            <w:pPr>
              <w:jc w:val="right"/>
              <w:rPr>
                <w:rFonts w:ascii="Arial Narrow" w:hAnsi="Arial Narrow"/>
                <w:bCs/>
                <w:sz w:val="20"/>
                <w:szCs w:val="20"/>
                <w:lang w:val="bg-BG" w:eastAsia="bg-BG"/>
              </w:rPr>
            </w:pPr>
            <w:r w:rsidRPr="00F44BFC">
              <w:rPr>
                <w:rFonts w:ascii="Arial Narrow" w:hAnsi="Arial Narrow"/>
                <w:bCs/>
                <w:sz w:val="20"/>
                <w:szCs w:val="20"/>
                <w:lang w:val="bg-BG" w:eastAsia="bg-BG"/>
              </w:rPr>
              <w:t>570 000,00</w:t>
            </w:r>
          </w:p>
        </w:tc>
        <w:tc>
          <w:tcPr>
            <w:tcW w:w="890" w:type="pct"/>
            <w:shd w:val="clear" w:color="auto" w:fill="auto"/>
            <w:vAlign w:val="center"/>
          </w:tcPr>
          <w:p w14:paraId="72702E76" w14:textId="77777777" w:rsidR="00F44BFC" w:rsidRPr="00F44BFC" w:rsidRDefault="00F44BFC" w:rsidP="00F44BFC">
            <w:pPr>
              <w:jc w:val="right"/>
              <w:rPr>
                <w:rFonts w:ascii="Arial Narrow" w:hAnsi="Arial Narrow"/>
                <w:bCs/>
                <w:sz w:val="20"/>
                <w:szCs w:val="20"/>
                <w:lang w:val="bg-BG" w:eastAsia="bg-BG"/>
              </w:rPr>
            </w:pPr>
            <w:r w:rsidRPr="00F44BFC">
              <w:rPr>
                <w:rFonts w:ascii="Arial Narrow" w:hAnsi="Arial Narrow"/>
                <w:bCs/>
                <w:sz w:val="20"/>
                <w:szCs w:val="20"/>
                <w:lang w:val="bg-BG" w:eastAsia="bg-BG"/>
              </w:rPr>
              <w:t>1 900 000,00</w:t>
            </w:r>
          </w:p>
        </w:tc>
      </w:tr>
      <w:tr w:rsidR="00F44BFC" w:rsidRPr="00F44BFC" w14:paraId="1B88E087" w14:textId="77777777" w:rsidTr="00007F21">
        <w:trPr>
          <w:trHeight w:val="333"/>
        </w:trPr>
        <w:tc>
          <w:tcPr>
            <w:tcW w:w="2603" w:type="pct"/>
            <w:gridSpan w:val="2"/>
            <w:noWrap/>
            <w:vAlign w:val="center"/>
            <w:hideMark/>
          </w:tcPr>
          <w:p w14:paraId="001F81F7" w14:textId="77777777" w:rsidR="00F44BFC" w:rsidRPr="00F44BFC" w:rsidRDefault="00F44BFC" w:rsidP="00F44BFC">
            <w:pPr>
              <w:rPr>
                <w:rFonts w:ascii="Arial Narrow" w:hAnsi="Arial Narrow"/>
                <w:b/>
                <w:sz w:val="20"/>
                <w:szCs w:val="20"/>
                <w:lang w:val="bg-BG" w:eastAsia="bg-BG"/>
              </w:rPr>
            </w:pPr>
            <w:r w:rsidRPr="00F44BFC">
              <w:rPr>
                <w:rFonts w:ascii="Arial Narrow" w:hAnsi="Arial Narrow"/>
                <w:b/>
                <w:sz w:val="20"/>
                <w:szCs w:val="20"/>
                <w:lang w:val="bg-BG" w:eastAsia="bg-BG"/>
              </w:rPr>
              <w:t>Общ размер на договорираните средства</w:t>
            </w:r>
          </w:p>
        </w:tc>
        <w:tc>
          <w:tcPr>
            <w:tcW w:w="732" w:type="pct"/>
            <w:shd w:val="clear" w:color="auto" w:fill="auto"/>
            <w:noWrap/>
            <w:vAlign w:val="center"/>
            <w:hideMark/>
          </w:tcPr>
          <w:p w14:paraId="53C98897" w14:textId="77777777" w:rsidR="00F44BFC" w:rsidRPr="00F44BFC" w:rsidRDefault="00F44BFC" w:rsidP="00F44BFC">
            <w:pPr>
              <w:jc w:val="right"/>
              <w:rPr>
                <w:rFonts w:ascii="Arial Narrow" w:hAnsi="Arial Narrow"/>
                <w:b/>
                <w:bCs/>
                <w:sz w:val="20"/>
                <w:szCs w:val="20"/>
                <w:lang w:val="bg-BG" w:eastAsia="bg-BG"/>
              </w:rPr>
            </w:pPr>
            <w:r w:rsidRPr="00F44BFC">
              <w:rPr>
                <w:rFonts w:ascii="Arial Narrow" w:hAnsi="Arial Narrow"/>
                <w:b/>
                <w:bCs/>
                <w:sz w:val="20"/>
                <w:szCs w:val="20"/>
                <w:lang w:val="bg-BG" w:eastAsia="bg-BG"/>
              </w:rPr>
              <w:t>26 118 110,52</w:t>
            </w:r>
          </w:p>
        </w:tc>
        <w:tc>
          <w:tcPr>
            <w:tcW w:w="775" w:type="pct"/>
            <w:shd w:val="clear" w:color="auto" w:fill="auto"/>
            <w:noWrap/>
            <w:vAlign w:val="center"/>
            <w:hideMark/>
          </w:tcPr>
          <w:p w14:paraId="7589FAF8" w14:textId="77777777" w:rsidR="00F44BFC" w:rsidRPr="00F44BFC" w:rsidRDefault="00F44BFC" w:rsidP="00F44BFC">
            <w:pPr>
              <w:jc w:val="right"/>
              <w:rPr>
                <w:rFonts w:ascii="Arial Narrow" w:hAnsi="Arial Narrow"/>
                <w:b/>
                <w:bCs/>
                <w:sz w:val="20"/>
                <w:szCs w:val="20"/>
                <w:lang w:val="bg-BG" w:eastAsia="bg-BG"/>
              </w:rPr>
            </w:pPr>
            <w:r w:rsidRPr="00F44BFC">
              <w:rPr>
                <w:rFonts w:ascii="Arial Narrow" w:hAnsi="Arial Narrow"/>
                <w:b/>
                <w:bCs/>
                <w:sz w:val="20"/>
                <w:szCs w:val="20"/>
                <w:lang w:val="bg-BG" w:eastAsia="bg-BG"/>
              </w:rPr>
              <w:t>11 193 475,94</w:t>
            </w:r>
          </w:p>
        </w:tc>
        <w:tc>
          <w:tcPr>
            <w:tcW w:w="890" w:type="pct"/>
            <w:shd w:val="clear" w:color="auto" w:fill="auto"/>
            <w:noWrap/>
            <w:vAlign w:val="center"/>
            <w:hideMark/>
          </w:tcPr>
          <w:p w14:paraId="496DFCD2" w14:textId="77777777" w:rsidR="00F44BFC" w:rsidRPr="00F44BFC" w:rsidRDefault="00F44BFC" w:rsidP="00F44BFC">
            <w:pPr>
              <w:jc w:val="right"/>
              <w:rPr>
                <w:rFonts w:ascii="Arial Narrow" w:hAnsi="Arial Narrow"/>
                <w:b/>
                <w:bCs/>
                <w:sz w:val="20"/>
                <w:szCs w:val="20"/>
                <w:lang w:val="bg-BG" w:eastAsia="bg-BG"/>
              </w:rPr>
            </w:pPr>
            <w:r w:rsidRPr="00F44BFC">
              <w:rPr>
                <w:rFonts w:ascii="Arial Narrow" w:hAnsi="Arial Narrow"/>
                <w:b/>
                <w:bCs/>
                <w:sz w:val="20"/>
                <w:szCs w:val="20"/>
                <w:lang w:val="bg-BG" w:eastAsia="bg-BG"/>
              </w:rPr>
              <w:t>37 311 586,46</w:t>
            </w:r>
          </w:p>
        </w:tc>
      </w:tr>
    </w:tbl>
    <w:p w14:paraId="6D1A6585" w14:textId="77777777" w:rsidR="00F44BFC" w:rsidRPr="00DA7B44" w:rsidRDefault="00F44BFC" w:rsidP="00F44BFC">
      <w:pPr>
        <w:spacing w:after="240"/>
        <w:jc w:val="both"/>
        <w:rPr>
          <w:rFonts w:ascii="Arial Narrow" w:hAnsi="Arial Narrow"/>
          <w:sz w:val="18"/>
          <w:szCs w:val="18"/>
          <w:lang w:val="bg-BG" w:eastAsia="bg-BG"/>
        </w:rPr>
      </w:pPr>
      <w:r w:rsidRPr="00DA7B44">
        <w:rPr>
          <w:rFonts w:ascii="Arial Narrow" w:hAnsi="Arial Narrow"/>
          <w:i/>
          <w:sz w:val="18"/>
          <w:szCs w:val="18"/>
          <w:lang w:val="bg-BG" w:eastAsia="bg-BG"/>
        </w:rPr>
        <w:t xml:space="preserve">Източник: </w:t>
      </w:r>
      <w:r w:rsidRPr="00DA7B44">
        <w:rPr>
          <w:rFonts w:ascii="Arial Narrow" w:hAnsi="Arial Narrow"/>
          <w:sz w:val="18"/>
          <w:szCs w:val="18"/>
          <w:lang w:val="bg-BG" w:eastAsia="bg-BG"/>
        </w:rPr>
        <w:t>МЗХ, дирекция „Морско дело и рибарство”</w:t>
      </w:r>
    </w:p>
    <w:p w14:paraId="28B58E49" w14:textId="77777777" w:rsidR="00F44BFC" w:rsidRPr="00F44BFC" w:rsidRDefault="00F44BFC" w:rsidP="00F44BFC">
      <w:pPr>
        <w:widowControl w:val="0"/>
        <w:spacing w:after="120"/>
        <w:jc w:val="both"/>
        <w:rPr>
          <w:rFonts w:ascii="Arial Narrow" w:hAnsi="Arial Narrow"/>
          <w:b/>
          <w:bCs/>
          <w:sz w:val="20"/>
          <w:szCs w:val="20"/>
          <w:lang w:val="bg-BG" w:eastAsia="bg-BG"/>
        </w:rPr>
      </w:pPr>
      <w:r w:rsidRPr="00F44BFC">
        <w:rPr>
          <w:rFonts w:ascii="Arial Narrow" w:hAnsi="Arial Narrow"/>
          <w:b/>
          <w:lang w:val="bg-BG" w:eastAsia="bg-BG"/>
        </w:rPr>
        <w:t>Таблица VІІ.9. Приеми по ПМДРА 2021 - 2027 г. през 2025 г.</w:t>
      </w:r>
      <w:r w:rsidRPr="00F44BFC">
        <w:rPr>
          <w:rFonts w:ascii="Arial Narrow" w:hAnsi="Arial Narrow"/>
          <w:b/>
          <w:bCs/>
          <w:sz w:val="20"/>
          <w:szCs w:val="20"/>
          <w:lang w:val="bg-BG" w:eastAsia="bg-BG"/>
        </w:rPr>
        <w:t xml:space="preserve"> (лева)</w:t>
      </w:r>
    </w:p>
    <w:tbl>
      <w:tblPr>
        <w:tblW w:w="5097" w:type="pct"/>
        <w:tblLayout w:type="fixed"/>
        <w:tblCellMar>
          <w:left w:w="70" w:type="dxa"/>
          <w:right w:w="70" w:type="dxa"/>
        </w:tblCellMar>
        <w:tblLook w:val="04A0" w:firstRow="1" w:lastRow="0" w:firstColumn="1" w:lastColumn="0" w:noHBand="0" w:noVBand="1"/>
      </w:tblPr>
      <w:tblGrid>
        <w:gridCol w:w="437"/>
        <w:gridCol w:w="1729"/>
        <w:gridCol w:w="1636"/>
        <w:gridCol w:w="1201"/>
        <w:gridCol w:w="1201"/>
        <w:gridCol w:w="1271"/>
        <w:gridCol w:w="1257"/>
        <w:gridCol w:w="1258"/>
      </w:tblGrid>
      <w:tr w:rsidR="00F44BFC" w:rsidRPr="00F44BFC" w14:paraId="45535DDC" w14:textId="77777777" w:rsidTr="00F44BFC">
        <w:trPr>
          <w:trHeight w:val="300"/>
          <w:tblHeader/>
        </w:trPr>
        <w:tc>
          <w:tcPr>
            <w:tcW w:w="44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82060CF" w14:textId="77777777" w:rsidR="00F44BFC" w:rsidRPr="00F44BFC" w:rsidRDefault="00F44BFC" w:rsidP="00F44BFC">
            <w:pPr>
              <w:jc w:val="center"/>
              <w:rPr>
                <w:rFonts w:ascii="Arial Narrow" w:hAnsi="Arial Narrow"/>
                <w:b/>
                <w:bCs/>
                <w:sz w:val="20"/>
                <w:szCs w:val="20"/>
                <w:lang w:val="bg-BG" w:eastAsia="bg-BG"/>
              </w:rPr>
            </w:pPr>
            <w:r w:rsidRPr="00F44BFC">
              <w:rPr>
                <w:rFonts w:ascii="Arial Narrow" w:hAnsi="Arial Narrow"/>
                <w:b/>
                <w:bCs/>
                <w:sz w:val="20"/>
                <w:szCs w:val="20"/>
                <w:lang w:val="bg-BG" w:eastAsia="bg-BG"/>
              </w:rPr>
              <w:lastRenderedPageBreak/>
              <w:t>№ по ред</w:t>
            </w:r>
          </w:p>
        </w:tc>
        <w:tc>
          <w:tcPr>
            <w:tcW w:w="175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D2EBA51" w14:textId="77777777" w:rsidR="00F44BFC" w:rsidRPr="00F44BFC" w:rsidRDefault="00F44BFC" w:rsidP="00F44BFC">
            <w:pPr>
              <w:jc w:val="center"/>
              <w:rPr>
                <w:rFonts w:ascii="Arial Narrow" w:hAnsi="Arial Narrow"/>
                <w:b/>
                <w:bCs/>
                <w:sz w:val="20"/>
                <w:szCs w:val="20"/>
                <w:lang w:val="bg-BG" w:eastAsia="bg-BG"/>
              </w:rPr>
            </w:pPr>
            <w:r w:rsidRPr="00F44BFC">
              <w:rPr>
                <w:rFonts w:ascii="Arial Narrow" w:hAnsi="Arial Narrow"/>
                <w:b/>
                <w:bCs/>
                <w:sz w:val="20"/>
                <w:szCs w:val="20"/>
                <w:lang w:val="bg-BG" w:eastAsia="bg-BG"/>
              </w:rPr>
              <w:t xml:space="preserve">Наименование на процедурата </w:t>
            </w:r>
          </w:p>
        </w:tc>
        <w:tc>
          <w:tcPr>
            <w:tcW w:w="166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4AE9C74" w14:textId="77777777" w:rsidR="00F44BFC" w:rsidRPr="00F44BFC" w:rsidRDefault="00F44BFC" w:rsidP="00F44BFC">
            <w:pPr>
              <w:jc w:val="center"/>
              <w:rPr>
                <w:rFonts w:ascii="Arial Narrow" w:hAnsi="Arial Narrow"/>
                <w:b/>
                <w:bCs/>
                <w:sz w:val="20"/>
                <w:szCs w:val="20"/>
                <w:lang w:val="bg-BG" w:eastAsia="bg-BG"/>
              </w:rPr>
            </w:pPr>
            <w:r w:rsidRPr="00F44BFC">
              <w:rPr>
                <w:rFonts w:ascii="Arial Narrow" w:hAnsi="Arial Narrow"/>
                <w:b/>
                <w:bCs/>
                <w:sz w:val="20"/>
                <w:szCs w:val="20"/>
                <w:lang w:val="bg-BG" w:eastAsia="bg-BG"/>
              </w:rPr>
              <w:t>Цели на предоставяната БФП по процедурата</w:t>
            </w:r>
          </w:p>
        </w:tc>
        <w:tc>
          <w:tcPr>
            <w:tcW w:w="121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9B4DEB1" w14:textId="77777777" w:rsidR="00F44BFC" w:rsidRPr="00F44BFC" w:rsidRDefault="00F44BFC" w:rsidP="00F44BFC">
            <w:pPr>
              <w:jc w:val="center"/>
              <w:rPr>
                <w:rFonts w:ascii="Arial Narrow" w:hAnsi="Arial Narrow"/>
                <w:b/>
                <w:bCs/>
                <w:sz w:val="20"/>
                <w:szCs w:val="20"/>
                <w:lang w:val="bg-BG" w:eastAsia="bg-BG"/>
              </w:rPr>
            </w:pPr>
            <w:r w:rsidRPr="00F44BFC">
              <w:rPr>
                <w:rFonts w:ascii="Arial Narrow" w:hAnsi="Arial Narrow"/>
                <w:b/>
                <w:bCs/>
                <w:sz w:val="20"/>
                <w:szCs w:val="20"/>
                <w:lang w:val="bg-BG" w:eastAsia="bg-BG"/>
              </w:rPr>
              <w:t>Общ размер на БФП по процедурата</w:t>
            </w:r>
          </w:p>
        </w:tc>
        <w:tc>
          <w:tcPr>
            <w:tcW w:w="121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ACFE9E5" w14:textId="77777777" w:rsidR="00F44BFC" w:rsidRPr="00F44BFC" w:rsidRDefault="00816B15" w:rsidP="00F44BFC">
            <w:pPr>
              <w:jc w:val="center"/>
              <w:rPr>
                <w:rFonts w:ascii="Arial Narrow" w:hAnsi="Arial Narrow"/>
                <w:b/>
                <w:bCs/>
                <w:sz w:val="20"/>
                <w:szCs w:val="20"/>
                <w:lang w:val="bg-BG" w:eastAsia="bg-BG"/>
              </w:rPr>
            </w:pPr>
            <w:hyperlink r:id="rId48" w:anchor="RANGE!_ftn3" w:history="1">
              <w:r w:rsidR="00F44BFC" w:rsidRPr="00F44BFC">
                <w:rPr>
                  <w:rFonts w:ascii="Arial Narrow" w:hAnsi="Arial Narrow"/>
                  <w:b/>
                  <w:bCs/>
                  <w:sz w:val="20"/>
                  <w:szCs w:val="20"/>
                  <w:lang w:val="bg-BG" w:eastAsia="bg-BG"/>
                </w:rPr>
                <w:t>Дата на обявяване на процедурата</w:t>
              </w:r>
            </w:hyperlink>
          </w:p>
        </w:tc>
        <w:tc>
          <w:tcPr>
            <w:tcW w:w="129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54CB582" w14:textId="77777777" w:rsidR="00F44BFC" w:rsidRPr="00F44BFC" w:rsidRDefault="00F44BFC" w:rsidP="00F44BFC">
            <w:pPr>
              <w:jc w:val="center"/>
              <w:rPr>
                <w:rFonts w:ascii="Arial Narrow" w:hAnsi="Arial Narrow"/>
                <w:b/>
                <w:bCs/>
                <w:sz w:val="20"/>
                <w:szCs w:val="20"/>
                <w:lang w:val="bg-BG" w:eastAsia="bg-BG"/>
              </w:rPr>
            </w:pPr>
            <w:r w:rsidRPr="00F44BFC">
              <w:rPr>
                <w:rFonts w:ascii="Arial Narrow" w:hAnsi="Arial Narrow"/>
                <w:b/>
                <w:bCs/>
                <w:sz w:val="20"/>
                <w:szCs w:val="20"/>
                <w:lang w:val="bg-BG" w:eastAsia="bg-BG"/>
              </w:rPr>
              <w:t>Краен срок за подаване на проектни предложения</w:t>
            </w:r>
          </w:p>
        </w:tc>
        <w:tc>
          <w:tcPr>
            <w:tcW w:w="2551" w:type="dxa"/>
            <w:gridSpan w:val="2"/>
            <w:tcBorders>
              <w:top w:val="single" w:sz="4" w:space="0" w:color="auto"/>
              <w:left w:val="nil"/>
              <w:bottom w:val="single" w:sz="4" w:space="0" w:color="auto"/>
              <w:right w:val="single" w:sz="4" w:space="0" w:color="000000"/>
            </w:tcBorders>
            <w:shd w:val="clear" w:color="auto" w:fill="auto"/>
            <w:vAlign w:val="center"/>
            <w:hideMark/>
          </w:tcPr>
          <w:p w14:paraId="5ADC025C" w14:textId="77777777" w:rsidR="00F44BFC" w:rsidRPr="00F44BFC" w:rsidRDefault="00F44BFC" w:rsidP="00F44BFC">
            <w:pPr>
              <w:jc w:val="center"/>
              <w:rPr>
                <w:rFonts w:ascii="Arial Narrow" w:hAnsi="Arial Narrow"/>
                <w:b/>
                <w:bCs/>
                <w:sz w:val="20"/>
                <w:szCs w:val="20"/>
                <w:lang w:val="bg-BG" w:eastAsia="bg-BG"/>
              </w:rPr>
            </w:pPr>
            <w:r w:rsidRPr="00F44BFC">
              <w:rPr>
                <w:rFonts w:ascii="Arial Narrow" w:hAnsi="Arial Narrow"/>
                <w:b/>
                <w:bCs/>
                <w:sz w:val="20"/>
                <w:szCs w:val="20"/>
                <w:lang w:val="bg-BG" w:eastAsia="bg-BG"/>
              </w:rPr>
              <w:t xml:space="preserve">Размер на БФП за проект </w:t>
            </w:r>
          </w:p>
        </w:tc>
      </w:tr>
      <w:tr w:rsidR="00F44BFC" w:rsidRPr="00F44BFC" w14:paraId="685FB558" w14:textId="77777777" w:rsidTr="00F44BFC">
        <w:trPr>
          <w:trHeight w:val="761"/>
          <w:tblHeader/>
        </w:trPr>
        <w:tc>
          <w:tcPr>
            <w:tcW w:w="442" w:type="dxa"/>
            <w:vMerge/>
            <w:tcBorders>
              <w:top w:val="single" w:sz="4" w:space="0" w:color="auto"/>
              <w:left w:val="single" w:sz="4" w:space="0" w:color="auto"/>
              <w:bottom w:val="single" w:sz="4" w:space="0" w:color="000000"/>
              <w:right w:val="single" w:sz="4" w:space="0" w:color="auto"/>
            </w:tcBorders>
            <w:vAlign w:val="center"/>
            <w:hideMark/>
          </w:tcPr>
          <w:p w14:paraId="2A44A3FB" w14:textId="77777777" w:rsidR="00F44BFC" w:rsidRPr="00F44BFC" w:rsidRDefault="00F44BFC" w:rsidP="00F44BFC">
            <w:pPr>
              <w:rPr>
                <w:rFonts w:ascii="Arial Narrow" w:hAnsi="Arial Narrow"/>
                <w:b/>
                <w:bCs/>
                <w:sz w:val="20"/>
                <w:szCs w:val="20"/>
                <w:lang w:val="bg-BG" w:eastAsia="bg-BG"/>
              </w:rPr>
            </w:pPr>
          </w:p>
        </w:tc>
        <w:tc>
          <w:tcPr>
            <w:tcW w:w="1755" w:type="dxa"/>
            <w:vMerge/>
            <w:tcBorders>
              <w:top w:val="single" w:sz="4" w:space="0" w:color="auto"/>
              <w:left w:val="single" w:sz="4" w:space="0" w:color="auto"/>
              <w:bottom w:val="single" w:sz="4" w:space="0" w:color="000000"/>
              <w:right w:val="single" w:sz="4" w:space="0" w:color="auto"/>
            </w:tcBorders>
            <w:vAlign w:val="center"/>
            <w:hideMark/>
          </w:tcPr>
          <w:p w14:paraId="26538C9B" w14:textId="77777777" w:rsidR="00F44BFC" w:rsidRPr="00F44BFC" w:rsidRDefault="00F44BFC" w:rsidP="00F44BFC">
            <w:pPr>
              <w:rPr>
                <w:rFonts w:ascii="Arial Narrow" w:hAnsi="Arial Narrow"/>
                <w:b/>
                <w:bCs/>
                <w:sz w:val="20"/>
                <w:szCs w:val="20"/>
                <w:lang w:val="bg-BG" w:eastAsia="bg-BG"/>
              </w:rPr>
            </w:pPr>
          </w:p>
        </w:tc>
        <w:tc>
          <w:tcPr>
            <w:tcW w:w="1661" w:type="dxa"/>
            <w:vMerge/>
            <w:tcBorders>
              <w:top w:val="single" w:sz="4" w:space="0" w:color="auto"/>
              <w:left w:val="single" w:sz="4" w:space="0" w:color="auto"/>
              <w:bottom w:val="single" w:sz="4" w:space="0" w:color="000000"/>
              <w:right w:val="single" w:sz="4" w:space="0" w:color="auto"/>
            </w:tcBorders>
            <w:vAlign w:val="center"/>
            <w:hideMark/>
          </w:tcPr>
          <w:p w14:paraId="6E45E787" w14:textId="77777777" w:rsidR="00F44BFC" w:rsidRPr="00F44BFC" w:rsidRDefault="00F44BFC" w:rsidP="00F44BFC">
            <w:pPr>
              <w:rPr>
                <w:rFonts w:ascii="Arial Narrow" w:hAnsi="Arial Narrow"/>
                <w:b/>
                <w:bCs/>
                <w:sz w:val="20"/>
                <w:szCs w:val="20"/>
                <w:lang w:val="bg-BG" w:eastAsia="bg-BG"/>
              </w:rPr>
            </w:pPr>
          </w:p>
        </w:tc>
        <w:tc>
          <w:tcPr>
            <w:tcW w:w="1218" w:type="dxa"/>
            <w:vMerge/>
            <w:tcBorders>
              <w:top w:val="single" w:sz="4" w:space="0" w:color="auto"/>
              <w:left w:val="single" w:sz="4" w:space="0" w:color="auto"/>
              <w:bottom w:val="single" w:sz="4" w:space="0" w:color="auto"/>
              <w:right w:val="single" w:sz="4" w:space="0" w:color="auto"/>
            </w:tcBorders>
            <w:vAlign w:val="center"/>
            <w:hideMark/>
          </w:tcPr>
          <w:p w14:paraId="0AD0225A" w14:textId="77777777" w:rsidR="00F44BFC" w:rsidRPr="00F44BFC" w:rsidRDefault="00F44BFC" w:rsidP="00F44BFC">
            <w:pPr>
              <w:rPr>
                <w:rFonts w:ascii="Arial Narrow" w:hAnsi="Arial Narrow"/>
                <w:b/>
                <w:bCs/>
                <w:sz w:val="20"/>
                <w:szCs w:val="20"/>
                <w:lang w:val="bg-BG" w:eastAsia="bg-BG"/>
              </w:rPr>
            </w:pPr>
          </w:p>
        </w:tc>
        <w:tc>
          <w:tcPr>
            <w:tcW w:w="1218" w:type="dxa"/>
            <w:vMerge/>
            <w:tcBorders>
              <w:top w:val="single" w:sz="4" w:space="0" w:color="auto"/>
              <w:left w:val="single" w:sz="4" w:space="0" w:color="auto"/>
              <w:bottom w:val="single" w:sz="4" w:space="0" w:color="auto"/>
              <w:right w:val="single" w:sz="4" w:space="0" w:color="auto"/>
            </w:tcBorders>
            <w:vAlign w:val="center"/>
            <w:hideMark/>
          </w:tcPr>
          <w:p w14:paraId="6DC2975B" w14:textId="77777777" w:rsidR="00F44BFC" w:rsidRPr="00F44BFC" w:rsidRDefault="00F44BFC" w:rsidP="00F44BFC">
            <w:pPr>
              <w:rPr>
                <w:rFonts w:ascii="Arial Narrow" w:hAnsi="Arial Narrow"/>
                <w:b/>
                <w:bCs/>
                <w:sz w:val="20"/>
                <w:szCs w:val="20"/>
                <w:lang w:val="bg-BG" w:eastAsia="bg-BG"/>
              </w:rPr>
            </w:pPr>
          </w:p>
        </w:tc>
        <w:tc>
          <w:tcPr>
            <w:tcW w:w="1290" w:type="dxa"/>
            <w:vMerge/>
            <w:tcBorders>
              <w:top w:val="single" w:sz="4" w:space="0" w:color="auto"/>
              <w:left w:val="single" w:sz="4" w:space="0" w:color="auto"/>
              <w:bottom w:val="single" w:sz="4" w:space="0" w:color="auto"/>
              <w:right w:val="single" w:sz="4" w:space="0" w:color="auto"/>
            </w:tcBorders>
            <w:vAlign w:val="center"/>
            <w:hideMark/>
          </w:tcPr>
          <w:p w14:paraId="5D3574E5" w14:textId="77777777" w:rsidR="00F44BFC" w:rsidRPr="00F44BFC" w:rsidRDefault="00F44BFC" w:rsidP="00F44BFC">
            <w:pPr>
              <w:rPr>
                <w:rFonts w:ascii="Arial Narrow" w:hAnsi="Arial Narrow"/>
                <w:b/>
                <w:bCs/>
                <w:sz w:val="20"/>
                <w:szCs w:val="20"/>
                <w:lang w:val="bg-BG" w:eastAsia="bg-BG"/>
              </w:rPr>
            </w:pPr>
          </w:p>
        </w:tc>
        <w:tc>
          <w:tcPr>
            <w:tcW w:w="1275" w:type="dxa"/>
            <w:tcBorders>
              <w:top w:val="nil"/>
              <w:left w:val="nil"/>
              <w:bottom w:val="single" w:sz="4" w:space="0" w:color="auto"/>
              <w:right w:val="single" w:sz="4" w:space="0" w:color="auto"/>
            </w:tcBorders>
            <w:shd w:val="clear" w:color="auto" w:fill="auto"/>
            <w:vAlign w:val="center"/>
            <w:hideMark/>
          </w:tcPr>
          <w:p w14:paraId="66D25253" w14:textId="77777777" w:rsidR="00F44BFC" w:rsidRPr="00F44BFC" w:rsidRDefault="00F44BFC" w:rsidP="00F44BFC">
            <w:pPr>
              <w:jc w:val="center"/>
              <w:rPr>
                <w:rFonts w:ascii="Arial Narrow" w:hAnsi="Arial Narrow"/>
                <w:b/>
                <w:bCs/>
                <w:sz w:val="20"/>
                <w:szCs w:val="20"/>
                <w:lang w:val="bg-BG" w:eastAsia="bg-BG"/>
              </w:rPr>
            </w:pPr>
            <w:r w:rsidRPr="00F44BFC">
              <w:rPr>
                <w:rFonts w:ascii="Arial Narrow" w:hAnsi="Arial Narrow"/>
                <w:b/>
                <w:bCs/>
                <w:sz w:val="20"/>
                <w:szCs w:val="20"/>
                <w:lang w:val="bg-BG" w:eastAsia="bg-BG"/>
              </w:rPr>
              <w:t>минимален</w:t>
            </w:r>
          </w:p>
        </w:tc>
        <w:tc>
          <w:tcPr>
            <w:tcW w:w="1276" w:type="dxa"/>
            <w:tcBorders>
              <w:top w:val="nil"/>
              <w:left w:val="nil"/>
              <w:bottom w:val="single" w:sz="4" w:space="0" w:color="auto"/>
              <w:right w:val="single" w:sz="4" w:space="0" w:color="auto"/>
            </w:tcBorders>
            <w:shd w:val="clear" w:color="auto" w:fill="auto"/>
            <w:vAlign w:val="center"/>
            <w:hideMark/>
          </w:tcPr>
          <w:p w14:paraId="2DAD31E4" w14:textId="77777777" w:rsidR="00F44BFC" w:rsidRPr="00F44BFC" w:rsidRDefault="00F44BFC" w:rsidP="00F44BFC">
            <w:pPr>
              <w:jc w:val="center"/>
              <w:rPr>
                <w:rFonts w:ascii="Arial Narrow" w:hAnsi="Arial Narrow"/>
                <w:b/>
                <w:bCs/>
                <w:sz w:val="20"/>
                <w:szCs w:val="20"/>
                <w:lang w:val="bg-BG" w:eastAsia="bg-BG"/>
              </w:rPr>
            </w:pPr>
            <w:r w:rsidRPr="00F44BFC">
              <w:rPr>
                <w:rFonts w:ascii="Arial Narrow" w:hAnsi="Arial Narrow"/>
                <w:b/>
                <w:bCs/>
                <w:sz w:val="20"/>
                <w:szCs w:val="20"/>
                <w:lang w:val="bg-BG" w:eastAsia="bg-BG"/>
              </w:rPr>
              <w:t>максимален</w:t>
            </w:r>
          </w:p>
        </w:tc>
      </w:tr>
      <w:tr w:rsidR="00F44BFC" w:rsidRPr="00F44BFC" w14:paraId="78781076" w14:textId="77777777" w:rsidTr="00F44BFC">
        <w:trPr>
          <w:trHeight w:val="630"/>
        </w:trPr>
        <w:tc>
          <w:tcPr>
            <w:tcW w:w="10135" w:type="dxa"/>
            <w:gridSpan w:val="8"/>
            <w:tcBorders>
              <w:top w:val="single" w:sz="4" w:space="0" w:color="auto"/>
              <w:left w:val="single" w:sz="4" w:space="0" w:color="auto"/>
              <w:bottom w:val="single" w:sz="4" w:space="0" w:color="auto"/>
              <w:right w:val="single" w:sz="4" w:space="0" w:color="000000"/>
            </w:tcBorders>
            <w:shd w:val="clear" w:color="auto" w:fill="auto"/>
            <w:vAlign w:val="center"/>
            <w:hideMark/>
          </w:tcPr>
          <w:p w14:paraId="3ABCCFAE" w14:textId="77777777" w:rsidR="00F44BFC" w:rsidRPr="00F44BFC" w:rsidRDefault="00F44BFC" w:rsidP="00F44BFC">
            <w:pPr>
              <w:rPr>
                <w:rFonts w:ascii="Arial Narrow" w:hAnsi="Arial Narrow"/>
                <w:b/>
                <w:bCs/>
                <w:sz w:val="20"/>
                <w:szCs w:val="20"/>
                <w:lang w:val="bg-BG" w:eastAsia="bg-BG"/>
              </w:rPr>
            </w:pPr>
            <w:r w:rsidRPr="00F44BFC">
              <w:rPr>
                <w:rFonts w:ascii="Arial Narrow" w:hAnsi="Arial Narrow"/>
                <w:b/>
                <w:bCs/>
                <w:sz w:val="20"/>
                <w:szCs w:val="20"/>
                <w:lang w:val="bg-BG" w:eastAsia="bg-BG"/>
              </w:rPr>
              <w:t>Приоритет 1 Насърчаване на устойчивото рибарство и на възстановяването и опазването на водните биологични ресурси“</w:t>
            </w:r>
          </w:p>
        </w:tc>
      </w:tr>
      <w:tr w:rsidR="00F44BFC" w:rsidRPr="00F44BFC" w14:paraId="16A5EA10" w14:textId="77777777" w:rsidTr="00F44BFC">
        <w:trPr>
          <w:trHeight w:val="1675"/>
        </w:trPr>
        <w:tc>
          <w:tcPr>
            <w:tcW w:w="442" w:type="dxa"/>
            <w:tcBorders>
              <w:top w:val="nil"/>
              <w:left w:val="single" w:sz="4" w:space="0" w:color="auto"/>
              <w:bottom w:val="single" w:sz="4" w:space="0" w:color="auto"/>
              <w:right w:val="single" w:sz="4" w:space="0" w:color="auto"/>
            </w:tcBorders>
            <w:shd w:val="clear" w:color="auto" w:fill="auto"/>
            <w:noWrap/>
            <w:vAlign w:val="center"/>
            <w:hideMark/>
          </w:tcPr>
          <w:p w14:paraId="311C7F4C" w14:textId="77777777" w:rsidR="00F44BFC" w:rsidRPr="00F44BFC" w:rsidRDefault="00F44BFC" w:rsidP="00F44BFC">
            <w:pPr>
              <w:jc w:val="center"/>
              <w:rPr>
                <w:rFonts w:ascii="Arial Narrow" w:hAnsi="Arial Narrow"/>
                <w:sz w:val="20"/>
                <w:szCs w:val="20"/>
                <w:lang w:val="bg-BG" w:eastAsia="bg-BG"/>
              </w:rPr>
            </w:pPr>
            <w:r w:rsidRPr="00F44BFC">
              <w:rPr>
                <w:rFonts w:ascii="Arial Narrow" w:hAnsi="Arial Narrow"/>
                <w:sz w:val="20"/>
                <w:szCs w:val="20"/>
                <w:lang w:val="bg-BG" w:eastAsia="bg-BG"/>
              </w:rPr>
              <w:t>1</w:t>
            </w:r>
          </w:p>
        </w:tc>
        <w:tc>
          <w:tcPr>
            <w:tcW w:w="1755" w:type="dxa"/>
            <w:tcBorders>
              <w:top w:val="nil"/>
              <w:left w:val="nil"/>
              <w:bottom w:val="single" w:sz="4" w:space="0" w:color="auto"/>
              <w:right w:val="single" w:sz="4" w:space="0" w:color="auto"/>
            </w:tcBorders>
            <w:shd w:val="clear" w:color="000000" w:fill="FFFFFF"/>
            <w:vAlign w:val="center"/>
            <w:hideMark/>
          </w:tcPr>
          <w:p w14:paraId="2D4C46F9" w14:textId="77777777" w:rsidR="00F44BFC" w:rsidRPr="00F44BFC" w:rsidRDefault="00F44BFC" w:rsidP="00F44BFC">
            <w:pPr>
              <w:rPr>
                <w:rFonts w:ascii="Arial Narrow" w:hAnsi="Arial Narrow"/>
                <w:sz w:val="20"/>
                <w:szCs w:val="20"/>
                <w:lang w:val="bg-BG" w:eastAsia="bg-BG"/>
              </w:rPr>
            </w:pPr>
            <w:r w:rsidRPr="00F44BFC">
              <w:rPr>
                <w:rFonts w:ascii="Arial Narrow" w:hAnsi="Arial Narrow"/>
                <w:sz w:val="20"/>
                <w:szCs w:val="20"/>
                <w:lang w:val="bg-BG" w:eastAsia="bg-BG"/>
              </w:rPr>
              <w:t>Окончателно преустановяване на риболовни дейности</w:t>
            </w:r>
          </w:p>
        </w:tc>
        <w:tc>
          <w:tcPr>
            <w:tcW w:w="1661" w:type="dxa"/>
            <w:tcBorders>
              <w:top w:val="nil"/>
              <w:left w:val="nil"/>
              <w:bottom w:val="single" w:sz="4" w:space="0" w:color="auto"/>
              <w:right w:val="single" w:sz="4" w:space="0" w:color="auto"/>
            </w:tcBorders>
            <w:shd w:val="clear" w:color="auto" w:fill="auto"/>
            <w:noWrap/>
            <w:vAlign w:val="center"/>
            <w:hideMark/>
          </w:tcPr>
          <w:p w14:paraId="624B996B" w14:textId="77777777" w:rsidR="00F44BFC" w:rsidRPr="00F44BFC" w:rsidRDefault="00F44BFC" w:rsidP="00F44BFC">
            <w:pPr>
              <w:rPr>
                <w:rFonts w:ascii="Arial Narrow" w:hAnsi="Arial Narrow"/>
                <w:sz w:val="20"/>
                <w:szCs w:val="20"/>
                <w:lang w:val="bg-BG" w:eastAsia="bg-BG"/>
              </w:rPr>
            </w:pPr>
            <w:r w:rsidRPr="00F44BFC">
              <w:rPr>
                <w:rFonts w:ascii="Arial Narrow" w:hAnsi="Arial Narrow"/>
                <w:sz w:val="20"/>
                <w:szCs w:val="20"/>
                <w:lang w:val="bg-BG" w:eastAsia="bg-BG"/>
              </w:rPr>
              <w:t>Подкрепата за окончателно преустановяване ще допринесе за адаптирането на риболовния флот към рибните запаси. Целта е да се постигне балансиран флот, който да експлоатира устойчиво наличните ресурси</w:t>
            </w:r>
          </w:p>
        </w:tc>
        <w:tc>
          <w:tcPr>
            <w:tcW w:w="1218" w:type="dxa"/>
            <w:tcBorders>
              <w:top w:val="nil"/>
              <w:left w:val="nil"/>
              <w:bottom w:val="single" w:sz="4" w:space="0" w:color="auto"/>
              <w:right w:val="single" w:sz="4" w:space="0" w:color="auto"/>
            </w:tcBorders>
            <w:shd w:val="clear" w:color="000000" w:fill="FFFFFF"/>
            <w:vAlign w:val="center"/>
            <w:hideMark/>
          </w:tcPr>
          <w:p w14:paraId="09498B58" w14:textId="77777777" w:rsidR="00F44BFC" w:rsidRPr="00F44BFC" w:rsidRDefault="00F44BFC" w:rsidP="00F44BFC">
            <w:pPr>
              <w:jc w:val="center"/>
              <w:rPr>
                <w:rFonts w:ascii="Arial Narrow" w:hAnsi="Arial Narrow"/>
                <w:sz w:val="20"/>
                <w:szCs w:val="20"/>
                <w:lang w:val="bg-BG" w:eastAsia="bg-BG"/>
              </w:rPr>
            </w:pPr>
            <w:r w:rsidRPr="00F44BFC">
              <w:rPr>
                <w:rFonts w:ascii="Arial Narrow" w:hAnsi="Arial Narrow"/>
                <w:sz w:val="20"/>
                <w:szCs w:val="20"/>
                <w:lang w:val="bg-BG" w:eastAsia="bg-BG"/>
              </w:rPr>
              <w:t>3 500 000,00</w:t>
            </w:r>
          </w:p>
        </w:tc>
        <w:tc>
          <w:tcPr>
            <w:tcW w:w="1218" w:type="dxa"/>
            <w:tcBorders>
              <w:top w:val="nil"/>
              <w:left w:val="nil"/>
              <w:bottom w:val="single" w:sz="4" w:space="0" w:color="auto"/>
              <w:right w:val="single" w:sz="4" w:space="0" w:color="auto"/>
            </w:tcBorders>
            <w:shd w:val="clear" w:color="000000" w:fill="FFFFFF"/>
            <w:vAlign w:val="center"/>
            <w:hideMark/>
          </w:tcPr>
          <w:p w14:paraId="657370E7" w14:textId="77777777" w:rsidR="00F44BFC" w:rsidRPr="00F44BFC" w:rsidRDefault="00F44BFC" w:rsidP="00F44BFC">
            <w:pPr>
              <w:jc w:val="center"/>
              <w:rPr>
                <w:rFonts w:ascii="Arial Narrow" w:hAnsi="Arial Narrow"/>
                <w:sz w:val="20"/>
                <w:szCs w:val="20"/>
                <w:lang w:val="bg-BG" w:eastAsia="bg-BG"/>
              </w:rPr>
            </w:pPr>
            <w:r w:rsidRPr="00F44BFC">
              <w:rPr>
                <w:rFonts w:ascii="Arial Narrow" w:hAnsi="Arial Narrow"/>
                <w:sz w:val="20"/>
                <w:szCs w:val="20"/>
                <w:lang w:val="bg-BG" w:eastAsia="bg-BG"/>
              </w:rPr>
              <w:t>2-ро тримесечие</w:t>
            </w:r>
          </w:p>
        </w:tc>
        <w:tc>
          <w:tcPr>
            <w:tcW w:w="1290" w:type="dxa"/>
            <w:tcBorders>
              <w:top w:val="nil"/>
              <w:left w:val="nil"/>
              <w:bottom w:val="single" w:sz="4" w:space="0" w:color="auto"/>
              <w:right w:val="single" w:sz="4" w:space="0" w:color="auto"/>
            </w:tcBorders>
            <w:shd w:val="clear" w:color="000000" w:fill="FFFFFF"/>
            <w:vAlign w:val="center"/>
            <w:hideMark/>
          </w:tcPr>
          <w:p w14:paraId="18BF4821" w14:textId="77777777" w:rsidR="00F44BFC" w:rsidRPr="00F44BFC" w:rsidRDefault="00F44BFC" w:rsidP="00F44BFC">
            <w:pPr>
              <w:jc w:val="center"/>
              <w:rPr>
                <w:rFonts w:ascii="Arial Narrow" w:hAnsi="Arial Narrow"/>
                <w:sz w:val="20"/>
                <w:szCs w:val="20"/>
                <w:lang w:val="bg-BG" w:eastAsia="bg-BG"/>
              </w:rPr>
            </w:pPr>
            <w:r w:rsidRPr="00F44BFC">
              <w:rPr>
                <w:rFonts w:ascii="Arial Narrow" w:hAnsi="Arial Narrow"/>
                <w:sz w:val="20"/>
                <w:szCs w:val="20"/>
                <w:lang w:val="bg-BG" w:eastAsia="bg-BG"/>
              </w:rPr>
              <w:t>60 дни от датата на обявяване на процедурата</w:t>
            </w:r>
          </w:p>
        </w:tc>
        <w:tc>
          <w:tcPr>
            <w:tcW w:w="1275" w:type="dxa"/>
            <w:tcBorders>
              <w:top w:val="nil"/>
              <w:left w:val="nil"/>
              <w:bottom w:val="single" w:sz="4" w:space="0" w:color="auto"/>
              <w:right w:val="single" w:sz="4" w:space="0" w:color="auto"/>
            </w:tcBorders>
            <w:shd w:val="clear" w:color="000000" w:fill="FFFFFF"/>
            <w:vAlign w:val="center"/>
            <w:hideMark/>
          </w:tcPr>
          <w:p w14:paraId="7D3ED747" w14:textId="77777777" w:rsidR="00F44BFC" w:rsidRPr="00F44BFC" w:rsidRDefault="00F44BFC" w:rsidP="00F44BFC">
            <w:pPr>
              <w:jc w:val="center"/>
              <w:rPr>
                <w:rFonts w:ascii="Arial Narrow" w:hAnsi="Arial Narrow"/>
                <w:sz w:val="20"/>
                <w:szCs w:val="20"/>
                <w:lang w:val="bg-BG" w:eastAsia="bg-BG"/>
              </w:rPr>
            </w:pPr>
            <w:r w:rsidRPr="00F44BFC">
              <w:rPr>
                <w:rFonts w:ascii="Arial Narrow" w:hAnsi="Arial Narrow"/>
                <w:sz w:val="20"/>
                <w:szCs w:val="20"/>
                <w:lang w:val="bg-BG" w:eastAsia="bg-BG"/>
              </w:rPr>
              <w:t xml:space="preserve">неприложимо </w:t>
            </w:r>
          </w:p>
        </w:tc>
        <w:tc>
          <w:tcPr>
            <w:tcW w:w="1276" w:type="dxa"/>
            <w:tcBorders>
              <w:top w:val="nil"/>
              <w:left w:val="nil"/>
              <w:bottom w:val="single" w:sz="4" w:space="0" w:color="auto"/>
              <w:right w:val="single" w:sz="4" w:space="0" w:color="auto"/>
            </w:tcBorders>
            <w:shd w:val="clear" w:color="000000" w:fill="FFFFFF"/>
            <w:vAlign w:val="center"/>
            <w:hideMark/>
          </w:tcPr>
          <w:p w14:paraId="6ED5AEF5" w14:textId="77777777" w:rsidR="00F44BFC" w:rsidRPr="00F44BFC" w:rsidRDefault="00F44BFC" w:rsidP="00F44BFC">
            <w:pPr>
              <w:jc w:val="center"/>
              <w:rPr>
                <w:rFonts w:ascii="Arial Narrow" w:hAnsi="Arial Narrow"/>
                <w:sz w:val="20"/>
                <w:szCs w:val="20"/>
                <w:lang w:val="bg-BG" w:eastAsia="bg-BG"/>
              </w:rPr>
            </w:pPr>
            <w:r w:rsidRPr="00F44BFC">
              <w:rPr>
                <w:rFonts w:ascii="Arial Narrow" w:hAnsi="Arial Narrow"/>
                <w:sz w:val="20"/>
                <w:szCs w:val="20"/>
                <w:lang w:val="bg-BG" w:eastAsia="bg-BG"/>
              </w:rPr>
              <w:t>съгласно методика</w:t>
            </w:r>
          </w:p>
        </w:tc>
      </w:tr>
      <w:tr w:rsidR="00F44BFC" w:rsidRPr="00F44BFC" w14:paraId="5E4EF962" w14:textId="77777777" w:rsidTr="00F44BFC">
        <w:trPr>
          <w:trHeight w:val="3196"/>
        </w:trPr>
        <w:tc>
          <w:tcPr>
            <w:tcW w:w="442" w:type="dxa"/>
            <w:tcBorders>
              <w:top w:val="nil"/>
              <w:left w:val="single" w:sz="4" w:space="0" w:color="auto"/>
              <w:bottom w:val="single" w:sz="4" w:space="0" w:color="auto"/>
              <w:right w:val="single" w:sz="4" w:space="0" w:color="auto"/>
            </w:tcBorders>
            <w:shd w:val="clear" w:color="auto" w:fill="auto"/>
            <w:noWrap/>
            <w:vAlign w:val="center"/>
            <w:hideMark/>
          </w:tcPr>
          <w:p w14:paraId="7611216E" w14:textId="77777777" w:rsidR="00F44BFC" w:rsidRPr="00F44BFC" w:rsidRDefault="00F44BFC" w:rsidP="00F44BFC">
            <w:pPr>
              <w:jc w:val="center"/>
              <w:rPr>
                <w:rFonts w:ascii="Arial Narrow" w:hAnsi="Arial Narrow"/>
                <w:sz w:val="20"/>
                <w:szCs w:val="20"/>
                <w:lang w:val="bg-BG" w:eastAsia="bg-BG"/>
              </w:rPr>
            </w:pPr>
            <w:r w:rsidRPr="00F44BFC">
              <w:rPr>
                <w:rFonts w:ascii="Arial Narrow" w:hAnsi="Arial Narrow"/>
                <w:sz w:val="20"/>
                <w:szCs w:val="20"/>
                <w:lang w:val="bg-BG" w:eastAsia="bg-BG"/>
              </w:rPr>
              <w:t>2</w:t>
            </w:r>
          </w:p>
        </w:tc>
        <w:tc>
          <w:tcPr>
            <w:tcW w:w="1755" w:type="dxa"/>
            <w:tcBorders>
              <w:top w:val="nil"/>
              <w:left w:val="nil"/>
              <w:bottom w:val="single" w:sz="4" w:space="0" w:color="auto"/>
              <w:right w:val="single" w:sz="4" w:space="0" w:color="auto"/>
            </w:tcBorders>
            <w:shd w:val="clear" w:color="000000" w:fill="FFFFFF"/>
            <w:vAlign w:val="center"/>
            <w:hideMark/>
          </w:tcPr>
          <w:p w14:paraId="0A3C6CF4" w14:textId="77777777" w:rsidR="00F44BFC" w:rsidRPr="00F44BFC" w:rsidRDefault="00F44BFC" w:rsidP="00F44BFC">
            <w:pPr>
              <w:rPr>
                <w:rFonts w:ascii="Arial Narrow" w:hAnsi="Arial Narrow"/>
                <w:sz w:val="20"/>
                <w:szCs w:val="20"/>
                <w:lang w:val="bg-BG" w:eastAsia="bg-BG"/>
              </w:rPr>
            </w:pPr>
            <w:r w:rsidRPr="00F44BFC">
              <w:rPr>
                <w:rFonts w:ascii="Arial Narrow" w:hAnsi="Arial Narrow"/>
                <w:sz w:val="20"/>
                <w:szCs w:val="20"/>
                <w:lang w:val="bg-BG" w:eastAsia="bg-BG"/>
              </w:rPr>
              <w:t>Подкрепа за подобряване на икономическия и социалния статус на операторите в риболова</w:t>
            </w:r>
          </w:p>
        </w:tc>
        <w:tc>
          <w:tcPr>
            <w:tcW w:w="1661" w:type="dxa"/>
            <w:tcBorders>
              <w:top w:val="nil"/>
              <w:left w:val="nil"/>
              <w:bottom w:val="single" w:sz="4" w:space="0" w:color="auto"/>
              <w:right w:val="single" w:sz="4" w:space="0" w:color="auto"/>
            </w:tcBorders>
            <w:shd w:val="clear" w:color="auto" w:fill="auto"/>
            <w:noWrap/>
            <w:vAlign w:val="center"/>
            <w:hideMark/>
          </w:tcPr>
          <w:p w14:paraId="4B2C8702" w14:textId="77777777" w:rsidR="00F44BFC" w:rsidRPr="00F44BFC" w:rsidRDefault="00F44BFC" w:rsidP="00F44BFC">
            <w:pPr>
              <w:rPr>
                <w:rFonts w:ascii="Arial Narrow" w:hAnsi="Arial Narrow"/>
                <w:sz w:val="20"/>
                <w:szCs w:val="20"/>
                <w:lang w:val="bg-BG" w:eastAsia="bg-BG"/>
              </w:rPr>
            </w:pPr>
            <w:r w:rsidRPr="00F44BFC">
              <w:rPr>
                <w:rFonts w:ascii="Arial Narrow" w:hAnsi="Arial Narrow"/>
                <w:sz w:val="20"/>
                <w:szCs w:val="20"/>
                <w:lang w:val="bg-BG" w:eastAsia="bg-BG"/>
              </w:rPr>
              <w:t>Подкрепата е насочена за подпомагане подобрението на икономическото и социалното състояние на операторите от сектор Рибарство</w:t>
            </w:r>
          </w:p>
        </w:tc>
        <w:tc>
          <w:tcPr>
            <w:tcW w:w="1218" w:type="dxa"/>
            <w:tcBorders>
              <w:top w:val="nil"/>
              <w:left w:val="nil"/>
              <w:bottom w:val="single" w:sz="4" w:space="0" w:color="auto"/>
              <w:right w:val="single" w:sz="4" w:space="0" w:color="auto"/>
            </w:tcBorders>
            <w:shd w:val="clear" w:color="000000" w:fill="FFFFFF"/>
            <w:vAlign w:val="center"/>
            <w:hideMark/>
          </w:tcPr>
          <w:p w14:paraId="064444AD" w14:textId="77777777" w:rsidR="00F44BFC" w:rsidRPr="00F44BFC" w:rsidRDefault="00F44BFC" w:rsidP="00F44BFC">
            <w:pPr>
              <w:jc w:val="center"/>
              <w:rPr>
                <w:rFonts w:ascii="Arial Narrow" w:hAnsi="Arial Narrow"/>
                <w:sz w:val="20"/>
                <w:szCs w:val="20"/>
                <w:lang w:val="bg-BG" w:eastAsia="bg-BG"/>
              </w:rPr>
            </w:pPr>
            <w:r w:rsidRPr="00F44BFC">
              <w:rPr>
                <w:rFonts w:ascii="Arial Narrow" w:hAnsi="Arial Narrow"/>
                <w:sz w:val="20"/>
                <w:szCs w:val="20"/>
                <w:lang w:val="bg-BG" w:eastAsia="bg-BG"/>
              </w:rPr>
              <w:t xml:space="preserve">1-ви прием -3 538 601 </w:t>
            </w:r>
            <w:r w:rsidRPr="00F44BFC">
              <w:rPr>
                <w:rFonts w:ascii="Arial Narrow" w:hAnsi="Arial Narrow"/>
                <w:sz w:val="20"/>
                <w:szCs w:val="20"/>
                <w:lang w:val="bg-BG" w:eastAsia="bg-BG"/>
              </w:rPr>
              <w:br/>
              <w:t>2-ри прием - 2 500 000</w:t>
            </w:r>
          </w:p>
        </w:tc>
        <w:tc>
          <w:tcPr>
            <w:tcW w:w="1218" w:type="dxa"/>
            <w:tcBorders>
              <w:top w:val="nil"/>
              <w:left w:val="nil"/>
              <w:bottom w:val="single" w:sz="4" w:space="0" w:color="auto"/>
              <w:right w:val="single" w:sz="4" w:space="0" w:color="auto"/>
            </w:tcBorders>
            <w:shd w:val="clear" w:color="000000" w:fill="FFFFFF"/>
            <w:vAlign w:val="center"/>
            <w:hideMark/>
          </w:tcPr>
          <w:p w14:paraId="040B5860" w14:textId="77777777" w:rsidR="00F44BFC" w:rsidRPr="00F44BFC" w:rsidRDefault="00F44BFC" w:rsidP="00F44BFC">
            <w:pPr>
              <w:jc w:val="center"/>
              <w:rPr>
                <w:rFonts w:ascii="Arial Narrow" w:hAnsi="Arial Narrow"/>
                <w:sz w:val="20"/>
                <w:szCs w:val="20"/>
                <w:lang w:val="bg-BG" w:eastAsia="bg-BG"/>
              </w:rPr>
            </w:pPr>
            <w:r w:rsidRPr="00F44BFC">
              <w:rPr>
                <w:rFonts w:ascii="Arial Narrow" w:hAnsi="Arial Narrow"/>
                <w:sz w:val="20"/>
                <w:szCs w:val="20"/>
                <w:lang w:val="bg-BG" w:eastAsia="bg-BG"/>
              </w:rPr>
              <w:t>1-во тримесечие</w:t>
            </w:r>
            <w:r w:rsidRPr="00F44BFC">
              <w:rPr>
                <w:rFonts w:ascii="Arial Narrow" w:hAnsi="Arial Narrow"/>
                <w:sz w:val="20"/>
                <w:szCs w:val="20"/>
                <w:lang w:val="bg-BG" w:eastAsia="bg-BG"/>
              </w:rPr>
              <w:br/>
              <w:t>4-то тримесечие</w:t>
            </w:r>
          </w:p>
        </w:tc>
        <w:tc>
          <w:tcPr>
            <w:tcW w:w="1290" w:type="dxa"/>
            <w:tcBorders>
              <w:top w:val="nil"/>
              <w:left w:val="nil"/>
              <w:bottom w:val="single" w:sz="4" w:space="0" w:color="auto"/>
              <w:right w:val="single" w:sz="4" w:space="0" w:color="auto"/>
            </w:tcBorders>
            <w:shd w:val="clear" w:color="000000" w:fill="FFFFFF"/>
            <w:vAlign w:val="center"/>
            <w:hideMark/>
          </w:tcPr>
          <w:p w14:paraId="4249FED7" w14:textId="77777777" w:rsidR="00F44BFC" w:rsidRPr="00F44BFC" w:rsidRDefault="00F44BFC" w:rsidP="00F44BFC">
            <w:pPr>
              <w:jc w:val="center"/>
              <w:rPr>
                <w:rFonts w:ascii="Arial Narrow" w:hAnsi="Arial Narrow"/>
                <w:sz w:val="20"/>
                <w:szCs w:val="20"/>
                <w:lang w:val="bg-BG" w:eastAsia="bg-BG"/>
              </w:rPr>
            </w:pPr>
            <w:r w:rsidRPr="00F44BFC">
              <w:rPr>
                <w:rFonts w:ascii="Arial Narrow" w:hAnsi="Arial Narrow"/>
                <w:sz w:val="20"/>
                <w:szCs w:val="20"/>
                <w:lang w:val="bg-BG" w:eastAsia="bg-BG"/>
              </w:rPr>
              <w:t>Първи срок 60 дни от датата на обявяване на процедурата</w:t>
            </w:r>
            <w:r w:rsidRPr="00F44BFC">
              <w:rPr>
                <w:rFonts w:ascii="Arial Narrow" w:hAnsi="Arial Narrow"/>
                <w:sz w:val="20"/>
                <w:szCs w:val="20"/>
                <w:lang w:val="bg-BG" w:eastAsia="bg-BG"/>
              </w:rPr>
              <w:br/>
              <w:t>Втори срок 30 дни след приключване на първия срок</w:t>
            </w:r>
            <w:r w:rsidRPr="00F44BFC">
              <w:rPr>
                <w:rFonts w:ascii="Arial Narrow" w:hAnsi="Arial Narrow"/>
                <w:sz w:val="20"/>
                <w:szCs w:val="20"/>
                <w:lang w:val="bg-BG" w:eastAsia="bg-BG"/>
              </w:rPr>
              <w:br/>
              <w:t>Трети срок 30 дни след приключване на втория срок</w:t>
            </w:r>
          </w:p>
        </w:tc>
        <w:tc>
          <w:tcPr>
            <w:tcW w:w="1275" w:type="dxa"/>
            <w:tcBorders>
              <w:top w:val="nil"/>
              <w:left w:val="nil"/>
              <w:bottom w:val="single" w:sz="4" w:space="0" w:color="auto"/>
              <w:right w:val="single" w:sz="4" w:space="0" w:color="auto"/>
            </w:tcBorders>
            <w:shd w:val="clear" w:color="000000" w:fill="FFFFFF"/>
            <w:vAlign w:val="center"/>
            <w:hideMark/>
          </w:tcPr>
          <w:p w14:paraId="2BC25F24" w14:textId="77777777" w:rsidR="00F44BFC" w:rsidRPr="00F44BFC" w:rsidRDefault="00F44BFC" w:rsidP="00F44BFC">
            <w:pPr>
              <w:jc w:val="center"/>
              <w:rPr>
                <w:rFonts w:ascii="Arial Narrow" w:hAnsi="Arial Narrow"/>
                <w:sz w:val="20"/>
                <w:szCs w:val="20"/>
                <w:lang w:val="bg-BG" w:eastAsia="bg-BG"/>
              </w:rPr>
            </w:pPr>
            <w:r w:rsidRPr="00F44BFC">
              <w:rPr>
                <w:rFonts w:ascii="Arial Narrow" w:hAnsi="Arial Narrow"/>
                <w:sz w:val="20"/>
                <w:szCs w:val="20"/>
                <w:lang w:val="bg-BG" w:eastAsia="bg-BG"/>
              </w:rPr>
              <w:t>15 000,00</w:t>
            </w:r>
          </w:p>
        </w:tc>
        <w:tc>
          <w:tcPr>
            <w:tcW w:w="1276" w:type="dxa"/>
            <w:tcBorders>
              <w:top w:val="nil"/>
              <w:left w:val="nil"/>
              <w:bottom w:val="single" w:sz="4" w:space="0" w:color="auto"/>
              <w:right w:val="single" w:sz="4" w:space="0" w:color="auto"/>
            </w:tcBorders>
            <w:shd w:val="clear" w:color="000000" w:fill="FFFFFF"/>
            <w:vAlign w:val="center"/>
            <w:hideMark/>
          </w:tcPr>
          <w:p w14:paraId="5AC8A42B" w14:textId="77777777" w:rsidR="00F44BFC" w:rsidRPr="00F44BFC" w:rsidRDefault="00F44BFC" w:rsidP="00F44BFC">
            <w:pPr>
              <w:jc w:val="center"/>
              <w:rPr>
                <w:rFonts w:ascii="Arial Narrow" w:hAnsi="Arial Narrow"/>
                <w:sz w:val="20"/>
                <w:szCs w:val="20"/>
                <w:lang w:val="bg-BG" w:eastAsia="bg-BG"/>
              </w:rPr>
            </w:pPr>
            <w:r w:rsidRPr="00F44BFC">
              <w:rPr>
                <w:rFonts w:ascii="Arial Narrow" w:hAnsi="Arial Narrow"/>
                <w:sz w:val="20"/>
                <w:szCs w:val="20"/>
                <w:lang w:val="bg-BG" w:eastAsia="bg-BG"/>
              </w:rPr>
              <w:t>450 000,00</w:t>
            </w:r>
          </w:p>
        </w:tc>
      </w:tr>
      <w:tr w:rsidR="00F44BFC" w:rsidRPr="00F44BFC" w14:paraId="0597951A" w14:textId="77777777" w:rsidTr="00F44BFC">
        <w:trPr>
          <w:trHeight w:val="4305"/>
        </w:trPr>
        <w:tc>
          <w:tcPr>
            <w:tcW w:w="442" w:type="dxa"/>
            <w:tcBorders>
              <w:top w:val="nil"/>
              <w:left w:val="single" w:sz="4" w:space="0" w:color="auto"/>
              <w:bottom w:val="single" w:sz="4" w:space="0" w:color="auto"/>
              <w:right w:val="single" w:sz="4" w:space="0" w:color="auto"/>
            </w:tcBorders>
            <w:shd w:val="clear" w:color="auto" w:fill="auto"/>
            <w:noWrap/>
            <w:vAlign w:val="center"/>
            <w:hideMark/>
          </w:tcPr>
          <w:p w14:paraId="16C216CC" w14:textId="77777777" w:rsidR="00F44BFC" w:rsidRPr="00F44BFC" w:rsidRDefault="00F44BFC" w:rsidP="00F44BFC">
            <w:pPr>
              <w:jc w:val="center"/>
              <w:rPr>
                <w:rFonts w:ascii="Arial Narrow" w:hAnsi="Arial Narrow"/>
                <w:sz w:val="20"/>
                <w:szCs w:val="20"/>
                <w:lang w:val="bg-BG" w:eastAsia="bg-BG"/>
              </w:rPr>
            </w:pPr>
            <w:r w:rsidRPr="00F44BFC">
              <w:rPr>
                <w:rFonts w:ascii="Arial Narrow" w:hAnsi="Arial Narrow"/>
                <w:sz w:val="20"/>
                <w:szCs w:val="20"/>
                <w:lang w:val="bg-BG" w:eastAsia="bg-BG"/>
              </w:rPr>
              <w:t>3</w:t>
            </w:r>
          </w:p>
        </w:tc>
        <w:tc>
          <w:tcPr>
            <w:tcW w:w="1755" w:type="dxa"/>
            <w:tcBorders>
              <w:top w:val="nil"/>
              <w:left w:val="nil"/>
              <w:bottom w:val="single" w:sz="4" w:space="0" w:color="auto"/>
              <w:right w:val="single" w:sz="4" w:space="0" w:color="auto"/>
            </w:tcBorders>
            <w:shd w:val="clear" w:color="000000" w:fill="FFFFFF"/>
            <w:vAlign w:val="center"/>
            <w:hideMark/>
          </w:tcPr>
          <w:p w14:paraId="2EF13CB1" w14:textId="77777777" w:rsidR="00F44BFC" w:rsidRPr="00F44BFC" w:rsidRDefault="00F44BFC" w:rsidP="00F44BFC">
            <w:pPr>
              <w:rPr>
                <w:rFonts w:ascii="Arial Narrow" w:hAnsi="Arial Narrow"/>
                <w:sz w:val="20"/>
                <w:szCs w:val="20"/>
                <w:lang w:val="bg-BG" w:eastAsia="bg-BG"/>
              </w:rPr>
            </w:pPr>
            <w:r w:rsidRPr="00F44BFC">
              <w:rPr>
                <w:rFonts w:ascii="Arial Narrow" w:hAnsi="Arial Narrow"/>
                <w:sz w:val="20"/>
                <w:szCs w:val="20"/>
                <w:lang w:val="bg-BG" w:eastAsia="bg-BG"/>
              </w:rPr>
              <w:t>Специфично оборудване на риболовния кораб, дейности и иновации, целящи опазването на околната среда и на биоразнообразието</w:t>
            </w:r>
          </w:p>
        </w:tc>
        <w:tc>
          <w:tcPr>
            <w:tcW w:w="1661" w:type="dxa"/>
            <w:tcBorders>
              <w:top w:val="nil"/>
              <w:left w:val="nil"/>
              <w:bottom w:val="single" w:sz="4" w:space="0" w:color="auto"/>
              <w:right w:val="single" w:sz="4" w:space="0" w:color="auto"/>
            </w:tcBorders>
            <w:shd w:val="clear" w:color="auto" w:fill="auto"/>
            <w:vAlign w:val="center"/>
            <w:hideMark/>
          </w:tcPr>
          <w:p w14:paraId="77B22F0F" w14:textId="77777777" w:rsidR="00F44BFC" w:rsidRPr="00F44BFC" w:rsidRDefault="00F44BFC" w:rsidP="00F44BFC">
            <w:pPr>
              <w:rPr>
                <w:rFonts w:ascii="Arial Narrow" w:hAnsi="Arial Narrow"/>
                <w:sz w:val="20"/>
                <w:szCs w:val="20"/>
                <w:lang w:val="bg-BG" w:eastAsia="bg-BG"/>
              </w:rPr>
            </w:pPr>
            <w:r w:rsidRPr="00F44BFC">
              <w:rPr>
                <w:rFonts w:ascii="Arial Narrow" w:hAnsi="Arial Narrow"/>
                <w:sz w:val="20"/>
                <w:szCs w:val="20"/>
                <w:lang w:val="bg-BG" w:eastAsia="bg-BG"/>
              </w:rPr>
              <w:t>Подкрепата е насочена за подпомагане на операции свързани с подпомагане придобиването на специфично оборудване на риболовния кораб, дейности и иновации, целящи опазването на околната среда и на биоразнообразието</w:t>
            </w:r>
          </w:p>
        </w:tc>
        <w:tc>
          <w:tcPr>
            <w:tcW w:w="1218" w:type="dxa"/>
            <w:tcBorders>
              <w:top w:val="nil"/>
              <w:left w:val="nil"/>
              <w:bottom w:val="single" w:sz="4" w:space="0" w:color="auto"/>
              <w:right w:val="single" w:sz="4" w:space="0" w:color="auto"/>
            </w:tcBorders>
            <w:shd w:val="clear" w:color="000000" w:fill="FFFFFF"/>
            <w:vAlign w:val="center"/>
            <w:hideMark/>
          </w:tcPr>
          <w:p w14:paraId="09C44DB6" w14:textId="77777777" w:rsidR="00F44BFC" w:rsidRPr="00F44BFC" w:rsidRDefault="00F44BFC" w:rsidP="00F44BFC">
            <w:pPr>
              <w:jc w:val="center"/>
              <w:rPr>
                <w:rFonts w:ascii="Arial Narrow" w:hAnsi="Arial Narrow"/>
                <w:sz w:val="20"/>
                <w:szCs w:val="20"/>
                <w:lang w:val="bg-BG" w:eastAsia="bg-BG"/>
              </w:rPr>
            </w:pPr>
            <w:r w:rsidRPr="00F44BFC">
              <w:rPr>
                <w:rFonts w:ascii="Arial Narrow" w:hAnsi="Arial Narrow"/>
                <w:sz w:val="20"/>
                <w:szCs w:val="20"/>
                <w:lang w:val="bg-BG" w:eastAsia="bg-BG"/>
              </w:rPr>
              <w:br/>
              <w:t xml:space="preserve">1-ви прием - 4 888 382,40 </w:t>
            </w:r>
            <w:r w:rsidRPr="00F44BFC">
              <w:rPr>
                <w:rFonts w:ascii="Arial Narrow" w:hAnsi="Arial Narrow"/>
                <w:sz w:val="20"/>
                <w:szCs w:val="20"/>
                <w:lang w:val="bg-BG" w:eastAsia="bg-BG"/>
              </w:rPr>
              <w:br/>
              <w:t>2-ри прием - 1 500 000</w:t>
            </w:r>
          </w:p>
        </w:tc>
        <w:tc>
          <w:tcPr>
            <w:tcW w:w="1218" w:type="dxa"/>
            <w:tcBorders>
              <w:top w:val="nil"/>
              <w:left w:val="nil"/>
              <w:bottom w:val="single" w:sz="4" w:space="0" w:color="auto"/>
              <w:right w:val="single" w:sz="4" w:space="0" w:color="auto"/>
            </w:tcBorders>
            <w:shd w:val="clear" w:color="000000" w:fill="FFFFFF"/>
            <w:vAlign w:val="center"/>
            <w:hideMark/>
          </w:tcPr>
          <w:p w14:paraId="4AE5EAF3" w14:textId="77777777" w:rsidR="00F44BFC" w:rsidRPr="00F44BFC" w:rsidRDefault="00F44BFC" w:rsidP="00F44BFC">
            <w:pPr>
              <w:jc w:val="center"/>
              <w:rPr>
                <w:rFonts w:ascii="Arial Narrow" w:hAnsi="Arial Narrow"/>
                <w:sz w:val="20"/>
                <w:szCs w:val="20"/>
                <w:lang w:val="bg-BG" w:eastAsia="bg-BG"/>
              </w:rPr>
            </w:pPr>
            <w:r w:rsidRPr="00F44BFC">
              <w:rPr>
                <w:rFonts w:ascii="Arial Narrow" w:hAnsi="Arial Narrow"/>
                <w:sz w:val="20"/>
                <w:szCs w:val="20"/>
                <w:lang w:val="bg-BG" w:eastAsia="bg-BG"/>
              </w:rPr>
              <w:t>1-во тримесечие</w:t>
            </w:r>
            <w:r w:rsidRPr="00F44BFC">
              <w:rPr>
                <w:rFonts w:ascii="Arial Narrow" w:hAnsi="Arial Narrow"/>
                <w:sz w:val="20"/>
                <w:szCs w:val="20"/>
                <w:lang w:val="bg-BG" w:eastAsia="bg-BG"/>
              </w:rPr>
              <w:br/>
              <w:t>4-то тримесечие</w:t>
            </w:r>
          </w:p>
        </w:tc>
        <w:tc>
          <w:tcPr>
            <w:tcW w:w="1290" w:type="dxa"/>
            <w:tcBorders>
              <w:top w:val="nil"/>
              <w:left w:val="nil"/>
              <w:bottom w:val="single" w:sz="4" w:space="0" w:color="auto"/>
              <w:right w:val="single" w:sz="4" w:space="0" w:color="auto"/>
            </w:tcBorders>
            <w:shd w:val="clear" w:color="000000" w:fill="FFFFFF"/>
            <w:vAlign w:val="center"/>
            <w:hideMark/>
          </w:tcPr>
          <w:p w14:paraId="71735014" w14:textId="77777777" w:rsidR="00F44BFC" w:rsidRPr="00F44BFC" w:rsidRDefault="00F44BFC" w:rsidP="00F44BFC">
            <w:pPr>
              <w:jc w:val="center"/>
              <w:rPr>
                <w:rFonts w:ascii="Arial Narrow" w:hAnsi="Arial Narrow"/>
                <w:sz w:val="20"/>
                <w:szCs w:val="20"/>
                <w:lang w:val="bg-BG" w:eastAsia="bg-BG"/>
              </w:rPr>
            </w:pPr>
            <w:r w:rsidRPr="00F44BFC">
              <w:rPr>
                <w:rFonts w:ascii="Arial Narrow" w:hAnsi="Arial Narrow"/>
                <w:sz w:val="20"/>
                <w:szCs w:val="20"/>
                <w:lang w:val="bg-BG" w:eastAsia="bg-BG"/>
              </w:rPr>
              <w:t>Първи срок 60 дни от датата на обявяване на процедурата</w:t>
            </w:r>
            <w:r w:rsidRPr="00F44BFC">
              <w:rPr>
                <w:rFonts w:ascii="Arial Narrow" w:hAnsi="Arial Narrow"/>
                <w:sz w:val="20"/>
                <w:szCs w:val="20"/>
                <w:lang w:val="bg-BG" w:eastAsia="bg-BG"/>
              </w:rPr>
              <w:br/>
              <w:t>Втори срок 30 дни след приключване на първия срок</w:t>
            </w:r>
            <w:r w:rsidRPr="00F44BFC">
              <w:rPr>
                <w:rFonts w:ascii="Arial Narrow" w:hAnsi="Arial Narrow"/>
                <w:sz w:val="20"/>
                <w:szCs w:val="20"/>
                <w:lang w:val="bg-BG" w:eastAsia="bg-BG"/>
              </w:rPr>
              <w:br/>
              <w:t>Трети срок 30 дни след приключване на втория срок</w:t>
            </w:r>
          </w:p>
        </w:tc>
        <w:tc>
          <w:tcPr>
            <w:tcW w:w="1275" w:type="dxa"/>
            <w:tcBorders>
              <w:top w:val="nil"/>
              <w:left w:val="nil"/>
              <w:bottom w:val="single" w:sz="4" w:space="0" w:color="auto"/>
              <w:right w:val="single" w:sz="4" w:space="0" w:color="auto"/>
            </w:tcBorders>
            <w:shd w:val="clear" w:color="000000" w:fill="FFFFFF"/>
            <w:vAlign w:val="center"/>
            <w:hideMark/>
          </w:tcPr>
          <w:p w14:paraId="6FD40D5E" w14:textId="77777777" w:rsidR="00F44BFC" w:rsidRPr="00F44BFC" w:rsidRDefault="00F44BFC" w:rsidP="00F44BFC">
            <w:pPr>
              <w:jc w:val="center"/>
              <w:rPr>
                <w:rFonts w:ascii="Arial Narrow" w:hAnsi="Arial Narrow"/>
                <w:sz w:val="20"/>
                <w:szCs w:val="20"/>
                <w:lang w:val="bg-BG" w:eastAsia="bg-BG"/>
              </w:rPr>
            </w:pPr>
            <w:r w:rsidRPr="00F44BFC">
              <w:rPr>
                <w:rFonts w:ascii="Arial Narrow" w:hAnsi="Arial Narrow"/>
                <w:sz w:val="20"/>
                <w:szCs w:val="20"/>
                <w:lang w:val="bg-BG" w:eastAsia="bg-BG"/>
              </w:rPr>
              <w:t>6 000,00</w:t>
            </w:r>
          </w:p>
        </w:tc>
        <w:tc>
          <w:tcPr>
            <w:tcW w:w="1276" w:type="dxa"/>
            <w:tcBorders>
              <w:top w:val="nil"/>
              <w:left w:val="nil"/>
              <w:bottom w:val="single" w:sz="4" w:space="0" w:color="auto"/>
              <w:right w:val="single" w:sz="4" w:space="0" w:color="auto"/>
            </w:tcBorders>
            <w:shd w:val="clear" w:color="000000" w:fill="FFFFFF"/>
            <w:vAlign w:val="center"/>
            <w:hideMark/>
          </w:tcPr>
          <w:p w14:paraId="3511C3F6" w14:textId="77777777" w:rsidR="00F44BFC" w:rsidRPr="00F44BFC" w:rsidRDefault="00F44BFC" w:rsidP="00F44BFC">
            <w:pPr>
              <w:jc w:val="center"/>
              <w:rPr>
                <w:rFonts w:ascii="Arial Narrow" w:hAnsi="Arial Narrow"/>
                <w:sz w:val="20"/>
                <w:szCs w:val="20"/>
                <w:lang w:val="bg-BG" w:eastAsia="bg-BG"/>
              </w:rPr>
            </w:pPr>
            <w:r w:rsidRPr="00F44BFC">
              <w:rPr>
                <w:rFonts w:ascii="Arial Narrow" w:hAnsi="Arial Narrow"/>
                <w:sz w:val="20"/>
                <w:szCs w:val="20"/>
                <w:lang w:val="bg-BG" w:eastAsia="bg-BG"/>
              </w:rPr>
              <w:t>200 000,00</w:t>
            </w:r>
          </w:p>
        </w:tc>
      </w:tr>
      <w:tr w:rsidR="00F44BFC" w:rsidRPr="00F44BFC" w14:paraId="47D9222F" w14:textId="77777777" w:rsidTr="00F44BFC">
        <w:trPr>
          <w:trHeight w:val="134"/>
        </w:trPr>
        <w:tc>
          <w:tcPr>
            <w:tcW w:w="442" w:type="dxa"/>
            <w:tcBorders>
              <w:top w:val="nil"/>
              <w:left w:val="single" w:sz="4" w:space="0" w:color="auto"/>
              <w:bottom w:val="single" w:sz="4" w:space="0" w:color="auto"/>
              <w:right w:val="single" w:sz="4" w:space="0" w:color="auto"/>
            </w:tcBorders>
            <w:shd w:val="clear" w:color="auto" w:fill="auto"/>
            <w:vAlign w:val="center"/>
            <w:hideMark/>
          </w:tcPr>
          <w:p w14:paraId="233FCD08" w14:textId="77777777" w:rsidR="00F44BFC" w:rsidRPr="00F44BFC" w:rsidRDefault="00F44BFC" w:rsidP="00F44BFC">
            <w:pPr>
              <w:jc w:val="center"/>
              <w:rPr>
                <w:rFonts w:ascii="Arial Narrow" w:hAnsi="Arial Narrow"/>
                <w:sz w:val="20"/>
                <w:szCs w:val="20"/>
                <w:lang w:val="bg-BG" w:eastAsia="bg-BG"/>
              </w:rPr>
            </w:pPr>
            <w:r w:rsidRPr="00F44BFC">
              <w:rPr>
                <w:rFonts w:ascii="Arial Narrow" w:hAnsi="Arial Narrow"/>
                <w:sz w:val="20"/>
                <w:szCs w:val="20"/>
                <w:lang w:val="bg-BG" w:eastAsia="bg-BG"/>
              </w:rPr>
              <w:t>4</w:t>
            </w:r>
          </w:p>
        </w:tc>
        <w:tc>
          <w:tcPr>
            <w:tcW w:w="1755" w:type="dxa"/>
            <w:tcBorders>
              <w:top w:val="nil"/>
              <w:left w:val="nil"/>
              <w:bottom w:val="single" w:sz="4" w:space="0" w:color="auto"/>
              <w:right w:val="single" w:sz="4" w:space="0" w:color="auto"/>
            </w:tcBorders>
            <w:shd w:val="clear" w:color="000000" w:fill="FFFFFF"/>
            <w:vAlign w:val="center"/>
            <w:hideMark/>
          </w:tcPr>
          <w:p w14:paraId="61A9636D" w14:textId="77777777" w:rsidR="00F44BFC" w:rsidRPr="00F44BFC" w:rsidRDefault="00F44BFC" w:rsidP="00F44BFC">
            <w:pPr>
              <w:rPr>
                <w:rFonts w:ascii="Arial Narrow" w:hAnsi="Arial Narrow"/>
                <w:sz w:val="20"/>
                <w:szCs w:val="20"/>
                <w:lang w:val="bg-BG" w:eastAsia="bg-BG"/>
              </w:rPr>
            </w:pPr>
            <w:r w:rsidRPr="00F44BFC">
              <w:rPr>
                <w:rFonts w:ascii="Arial Narrow" w:hAnsi="Arial Narrow"/>
                <w:sz w:val="20"/>
                <w:szCs w:val="20"/>
                <w:lang w:val="bg-BG" w:eastAsia="bg-BG"/>
              </w:rPr>
              <w:t xml:space="preserve">Защита на екологичното състояние на морската среда </w:t>
            </w:r>
          </w:p>
        </w:tc>
        <w:tc>
          <w:tcPr>
            <w:tcW w:w="1661" w:type="dxa"/>
            <w:tcBorders>
              <w:top w:val="nil"/>
              <w:left w:val="nil"/>
              <w:bottom w:val="single" w:sz="4" w:space="0" w:color="auto"/>
              <w:right w:val="single" w:sz="4" w:space="0" w:color="auto"/>
            </w:tcBorders>
            <w:shd w:val="clear" w:color="auto" w:fill="auto"/>
            <w:noWrap/>
            <w:vAlign w:val="center"/>
            <w:hideMark/>
          </w:tcPr>
          <w:p w14:paraId="3A583D4A" w14:textId="77777777" w:rsidR="00F44BFC" w:rsidRPr="00F44BFC" w:rsidRDefault="00F44BFC" w:rsidP="00F44BFC">
            <w:pPr>
              <w:rPr>
                <w:rFonts w:ascii="Arial Narrow" w:hAnsi="Arial Narrow"/>
                <w:sz w:val="20"/>
                <w:szCs w:val="20"/>
                <w:lang w:val="bg-BG" w:eastAsia="bg-BG"/>
              </w:rPr>
            </w:pPr>
            <w:r w:rsidRPr="00F44BFC">
              <w:rPr>
                <w:rFonts w:ascii="Arial Narrow" w:hAnsi="Arial Narrow"/>
                <w:sz w:val="20"/>
                <w:szCs w:val="20"/>
                <w:lang w:val="bg-BG" w:eastAsia="bg-BG"/>
              </w:rPr>
              <w:t xml:space="preserve">Прилагането на дейностите ще допринесат за по-доброто управление или съхранение на морските биологични ресурси в синхрон </w:t>
            </w:r>
            <w:r w:rsidRPr="00F44BFC">
              <w:rPr>
                <w:rFonts w:ascii="Arial Narrow" w:hAnsi="Arial Narrow"/>
                <w:sz w:val="20"/>
                <w:szCs w:val="20"/>
                <w:lang w:val="bg-BG" w:eastAsia="bg-BG"/>
              </w:rPr>
              <w:lastRenderedPageBreak/>
              <w:t>със Стратегията за биологичното разнообразие.</w:t>
            </w:r>
          </w:p>
        </w:tc>
        <w:tc>
          <w:tcPr>
            <w:tcW w:w="1218" w:type="dxa"/>
            <w:tcBorders>
              <w:top w:val="nil"/>
              <w:left w:val="nil"/>
              <w:bottom w:val="single" w:sz="4" w:space="0" w:color="auto"/>
              <w:right w:val="single" w:sz="4" w:space="0" w:color="auto"/>
            </w:tcBorders>
            <w:shd w:val="clear" w:color="000000" w:fill="FFFFFF"/>
            <w:vAlign w:val="center"/>
            <w:hideMark/>
          </w:tcPr>
          <w:p w14:paraId="663420EA" w14:textId="77777777" w:rsidR="00F44BFC" w:rsidRPr="00F44BFC" w:rsidRDefault="00F44BFC" w:rsidP="00F44BFC">
            <w:pPr>
              <w:jc w:val="center"/>
              <w:rPr>
                <w:rFonts w:ascii="Arial Narrow" w:hAnsi="Arial Narrow"/>
                <w:sz w:val="20"/>
                <w:szCs w:val="20"/>
                <w:lang w:val="bg-BG" w:eastAsia="bg-BG"/>
              </w:rPr>
            </w:pPr>
            <w:r w:rsidRPr="00F44BFC">
              <w:rPr>
                <w:rFonts w:ascii="Arial Narrow" w:hAnsi="Arial Narrow"/>
                <w:sz w:val="20"/>
                <w:szCs w:val="20"/>
                <w:lang w:val="bg-BG" w:eastAsia="bg-BG"/>
              </w:rPr>
              <w:lastRenderedPageBreak/>
              <w:t>2 235 200,00</w:t>
            </w:r>
          </w:p>
        </w:tc>
        <w:tc>
          <w:tcPr>
            <w:tcW w:w="1218" w:type="dxa"/>
            <w:tcBorders>
              <w:top w:val="nil"/>
              <w:left w:val="nil"/>
              <w:bottom w:val="single" w:sz="4" w:space="0" w:color="auto"/>
              <w:right w:val="single" w:sz="4" w:space="0" w:color="auto"/>
            </w:tcBorders>
            <w:shd w:val="clear" w:color="000000" w:fill="FFFFFF"/>
            <w:vAlign w:val="center"/>
            <w:hideMark/>
          </w:tcPr>
          <w:p w14:paraId="78DF9376" w14:textId="77777777" w:rsidR="00F44BFC" w:rsidRPr="00F44BFC" w:rsidRDefault="00F44BFC" w:rsidP="00F44BFC">
            <w:pPr>
              <w:jc w:val="center"/>
              <w:rPr>
                <w:rFonts w:ascii="Arial Narrow" w:hAnsi="Arial Narrow"/>
                <w:sz w:val="20"/>
                <w:szCs w:val="20"/>
                <w:lang w:val="bg-BG" w:eastAsia="bg-BG"/>
              </w:rPr>
            </w:pPr>
            <w:r w:rsidRPr="00F44BFC">
              <w:rPr>
                <w:rFonts w:ascii="Arial Narrow" w:hAnsi="Arial Narrow"/>
                <w:sz w:val="20"/>
                <w:szCs w:val="20"/>
                <w:lang w:val="bg-BG" w:eastAsia="bg-BG"/>
              </w:rPr>
              <w:t>3-то тримесечие</w:t>
            </w:r>
          </w:p>
        </w:tc>
        <w:tc>
          <w:tcPr>
            <w:tcW w:w="1290" w:type="dxa"/>
            <w:tcBorders>
              <w:top w:val="nil"/>
              <w:left w:val="nil"/>
              <w:bottom w:val="single" w:sz="4" w:space="0" w:color="auto"/>
              <w:right w:val="single" w:sz="4" w:space="0" w:color="auto"/>
            </w:tcBorders>
            <w:shd w:val="clear" w:color="000000" w:fill="FFFFFF"/>
            <w:vAlign w:val="center"/>
            <w:hideMark/>
          </w:tcPr>
          <w:p w14:paraId="342909A2" w14:textId="77777777" w:rsidR="00F44BFC" w:rsidRPr="00F44BFC" w:rsidRDefault="00F44BFC" w:rsidP="00F44BFC">
            <w:pPr>
              <w:jc w:val="center"/>
              <w:rPr>
                <w:rFonts w:ascii="Arial Narrow" w:hAnsi="Arial Narrow"/>
                <w:sz w:val="20"/>
                <w:szCs w:val="20"/>
                <w:lang w:val="bg-BG" w:eastAsia="bg-BG"/>
              </w:rPr>
            </w:pPr>
            <w:r w:rsidRPr="00F44BFC">
              <w:rPr>
                <w:rFonts w:ascii="Arial Narrow" w:hAnsi="Arial Narrow"/>
                <w:sz w:val="20"/>
                <w:szCs w:val="20"/>
                <w:lang w:val="bg-BG" w:eastAsia="bg-BG"/>
              </w:rPr>
              <w:t>Първи срок 60 дни от датата на обявяване на процедурата</w:t>
            </w:r>
            <w:r w:rsidRPr="00F44BFC">
              <w:rPr>
                <w:rFonts w:ascii="Arial Narrow" w:hAnsi="Arial Narrow"/>
                <w:sz w:val="20"/>
                <w:szCs w:val="20"/>
                <w:lang w:val="bg-BG" w:eastAsia="bg-BG"/>
              </w:rPr>
              <w:br/>
              <w:t xml:space="preserve">Втори срок 60 дни след приключване </w:t>
            </w:r>
            <w:r w:rsidRPr="00F44BFC">
              <w:rPr>
                <w:rFonts w:ascii="Arial Narrow" w:hAnsi="Arial Narrow"/>
                <w:sz w:val="20"/>
                <w:szCs w:val="20"/>
                <w:lang w:val="bg-BG" w:eastAsia="bg-BG"/>
              </w:rPr>
              <w:lastRenderedPageBreak/>
              <w:t>на първия срок</w:t>
            </w:r>
          </w:p>
        </w:tc>
        <w:tc>
          <w:tcPr>
            <w:tcW w:w="1275" w:type="dxa"/>
            <w:tcBorders>
              <w:top w:val="nil"/>
              <w:left w:val="nil"/>
              <w:bottom w:val="single" w:sz="4" w:space="0" w:color="auto"/>
              <w:right w:val="single" w:sz="4" w:space="0" w:color="auto"/>
            </w:tcBorders>
            <w:shd w:val="clear" w:color="000000" w:fill="FFFFFF"/>
            <w:vAlign w:val="center"/>
            <w:hideMark/>
          </w:tcPr>
          <w:p w14:paraId="256357C2" w14:textId="77777777" w:rsidR="00F44BFC" w:rsidRPr="00F44BFC" w:rsidRDefault="00F44BFC" w:rsidP="00F44BFC">
            <w:pPr>
              <w:jc w:val="center"/>
              <w:rPr>
                <w:rFonts w:ascii="Arial Narrow" w:hAnsi="Arial Narrow"/>
                <w:sz w:val="20"/>
                <w:szCs w:val="20"/>
                <w:lang w:val="bg-BG" w:eastAsia="bg-BG"/>
              </w:rPr>
            </w:pPr>
            <w:r w:rsidRPr="00F44BFC">
              <w:rPr>
                <w:rFonts w:ascii="Arial Narrow" w:hAnsi="Arial Narrow"/>
                <w:sz w:val="20"/>
                <w:szCs w:val="20"/>
                <w:lang w:val="bg-BG" w:eastAsia="bg-BG"/>
              </w:rPr>
              <w:lastRenderedPageBreak/>
              <w:t>20 000,00</w:t>
            </w:r>
          </w:p>
        </w:tc>
        <w:tc>
          <w:tcPr>
            <w:tcW w:w="1276" w:type="dxa"/>
            <w:tcBorders>
              <w:top w:val="nil"/>
              <w:left w:val="nil"/>
              <w:bottom w:val="single" w:sz="4" w:space="0" w:color="auto"/>
              <w:right w:val="single" w:sz="4" w:space="0" w:color="auto"/>
            </w:tcBorders>
            <w:shd w:val="clear" w:color="000000" w:fill="FFFFFF"/>
            <w:vAlign w:val="center"/>
            <w:hideMark/>
          </w:tcPr>
          <w:p w14:paraId="6F2A6106" w14:textId="77777777" w:rsidR="00F44BFC" w:rsidRPr="00F44BFC" w:rsidRDefault="00F44BFC" w:rsidP="00F44BFC">
            <w:pPr>
              <w:jc w:val="center"/>
              <w:rPr>
                <w:rFonts w:ascii="Arial Narrow" w:hAnsi="Arial Narrow"/>
                <w:sz w:val="20"/>
                <w:szCs w:val="20"/>
                <w:lang w:val="bg-BG" w:eastAsia="bg-BG"/>
              </w:rPr>
            </w:pPr>
            <w:r w:rsidRPr="00F44BFC">
              <w:rPr>
                <w:rFonts w:ascii="Arial Narrow" w:hAnsi="Arial Narrow"/>
                <w:sz w:val="20"/>
                <w:szCs w:val="20"/>
                <w:lang w:val="bg-BG" w:eastAsia="bg-BG"/>
              </w:rPr>
              <w:t>800 000,00</w:t>
            </w:r>
          </w:p>
        </w:tc>
      </w:tr>
      <w:tr w:rsidR="00F44BFC" w:rsidRPr="00F44BFC" w14:paraId="7A2AF070" w14:textId="77777777" w:rsidTr="00F44BFC">
        <w:trPr>
          <w:trHeight w:val="885"/>
        </w:trPr>
        <w:tc>
          <w:tcPr>
            <w:tcW w:w="10135" w:type="dxa"/>
            <w:gridSpan w:val="8"/>
            <w:tcBorders>
              <w:top w:val="single" w:sz="4" w:space="0" w:color="auto"/>
              <w:left w:val="single" w:sz="4" w:space="0" w:color="auto"/>
              <w:bottom w:val="single" w:sz="4" w:space="0" w:color="auto"/>
              <w:right w:val="single" w:sz="4" w:space="0" w:color="000000"/>
            </w:tcBorders>
            <w:shd w:val="clear" w:color="auto" w:fill="auto"/>
            <w:vAlign w:val="center"/>
            <w:hideMark/>
          </w:tcPr>
          <w:p w14:paraId="70013A6A" w14:textId="77777777" w:rsidR="00F44BFC" w:rsidRPr="00F44BFC" w:rsidRDefault="00F44BFC" w:rsidP="00F44BFC">
            <w:pPr>
              <w:rPr>
                <w:rFonts w:ascii="Arial Narrow" w:hAnsi="Arial Narrow"/>
                <w:b/>
                <w:bCs/>
                <w:sz w:val="20"/>
                <w:szCs w:val="20"/>
                <w:lang w:val="bg-BG" w:eastAsia="bg-BG"/>
              </w:rPr>
            </w:pPr>
            <w:r w:rsidRPr="00F44BFC">
              <w:rPr>
                <w:rFonts w:ascii="Arial Narrow" w:hAnsi="Arial Narrow"/>
                <w:b/>
                <w:bCs/>
                <w:sz w:val="20"/>
                <w:szCs w:val="20"/>
                <w:lang w:val="bg-BG" w:eastAsia="bg-BG"/>
              </w:rPr>
              <w:t>Приоритет 2 Насърчаване на устойчивите дейности, свързани с аквакултурите, и на преработването и предлагането на пазара на продукти от риболов и аквакултури</w:t>
            </w:r>
          </w:p>
        </w:tc>
      </w:tr>
      <w:tr w:rsidR="00F44BFC" w:rsidRPr="00F44BFC" w14:paraId="56D53CDA" w14:textId="77777777" w:rsidTr="00F44BFC">
        <w:trPr>
          <w:trHeight w:val="4305"/>
        </w:trPr>
        <w:tc>
          <w:tcPr>
            <w:tcW w:w="442" w:type="dxa"/>
            <w:tcBorders>
              <w:top w:val="nil"/>
              <w:left w:val="single" w:sz="4" w:space="0" w:color="auto"/>
              <w:bottom w:val="single" w:sz="4" w:space="0" w:color="auto"/>
              <w:right w:val="single" w:sz="4" w:space="0" w:color="auto"/>
            </w:tcBorders>
            <w:shd w:val="clear" w:color="auto" w:fill="auto"/>
            <w:vAlign w:val="center"/>
            <w:hideMark/>
          </w:tcPr>
          <w:p w14:paraId="5C56E34F" w14:textId="77777777" w:rsidR="00F44BFC" w:rsidRPr="00F44BFC" w:rsidRDefault="00F44BFC" w:rsidP="00F44BFC">
            <w:pPr>
              <w:jc w:val="center"/>
              <w:rPr>
                <w:rFonts w:ascii="Arial Narrow" w:hAnsi="Arial Narrow"/>
                <w:sz w:val="20"/>
                <w:szCs w:val="20"/>
                <w:lang w:val="bg-BG" w:eastAsia="bg-BG"/>
              </w:rPr>
            </w:pPr>
            <w:r w:rsidRPr="00F44BFC">
              <w:rPr>
                <w:rFonts w:ascii="Arial Narrow" w:hAnsi="Arial Narrow"/>
                <w:sz w:val="20"/>
                <w:szCs w:val="20"/>
                <w:lang w:val="bg-BG" w:eastAsia="bg-BG"/>
              </w:rPr>
              <w:t>5</w:t>
            </w:r>
          </w:p>
        </w:tc>
        <w:tc>
          <w:tcPr>
            <w:tcW w:w="1755" w:type="dxa"/>
            <w:tcBorders>
              <w:top w:val="nil"/>
              <w:left w:val="nil"/>
              <w:bottom w:val="single" w:sz="4" w:space="0" w:color="auto"/>
              <w:right w:val="single" w:sz="4" w:space="0" w:color="auto"/>
            </w:tcBorders>
            <w:shd w:val="clear" w:color="auto" w:fill="auto"/>
            <w:vAlign w:val="center"/>
            <w:hideMark/>
          </w:tcPr>
          <w:p w14:paraId="0C5B39D3" w14:textId="77777777" w:rsidR="00F44BFC" w:rsidRPr="00F44BFC" w:rsidRDefault="00F44BFC" w:rsidP="00F44BFC">
            <w:pPr>
              <w:rPr>
                <w:rFonts w:ascii="Arial Narrow" w:hAnsi="Arial Narrow"/>
                <w:sz w:val="20"/>
                <w:szCs w:val="20"/>
                <w:lang w:val="bg-BG" w:eastAsia="bg-BG"/>
              </w:rPr>
            </w:pPr>
            <w:r w:rsidRPr="00F44BFC">
              <w:rPr>
                <w:rFonts w:ascii="Arial Narrow" w:hAnsi="Arial Narrow"/>
                <w:sz w:val="20"/>
                <w:szCs w:val="20"/>
                <w:lang w:val="bg-BG" w:eastAsia="bg-BG"/>
              </w:rPr>
              <w:t xml:space="preserve">Аквакултури, предоставящи екологични услуги </w:t>
            </w:r>
            <w:r w:rsidRPr="00F44BFC">
              <w:rPr>
                <w:rFonts w:ascii="Arial Narrow" w:hAnsi="Arial Narrow"/>
                <w:sz w:val="20"/>
                <w:szCs w:val="20"/>
                <w:lang w:val="bg-BG" w:eastAsia="bg-BG"/>
              </w:rPr>
              <w:br/>
              <w:t xml:space="preserve">- сектор  непродуктивни инвестиции в  стопанствата, свързани с прилагане на преки консервационни действия за ограничаване на конфликта между рибоядните видове и аквакултурата; </w:t>
            </w:r>
            <w:r w:rsidRPr="00F44BFC">
              <w:rPr>
                <w:rFonts w:ascii="Arial Narrow" w:hAnsi="Arial Narrow"/>
                <w:sz w:val="20"/>
                <w:szCs w:val="20"/>
                <w:lang w:val="bg-BG" w:eastAsia="bg-BG"/>
              </w:rPr>
              <w:br/>
              <w:t xml:space="preserve">- сектор Компенсации за стопанства, попадащи в Натура 2000 </w:t>
            </w:r>
          </w:p>
        </w:tc>
        <w:tc>
          <w:tcPr>
            <w:tcW w:w="1661" w:type="dxa"/>
            <w:tcBorders>
              <w:top w:val="nil"/>
              <w:left w:val="nil"/>
              <w:bottom w:val="single" w:sz="4" w:space="0" w:color="auto"/>
              <w:right w:val="single" w:sz="4" w:space="0" w:color="auto"/>
            </w:tcBorders>
            <w:shd w:val="clear" w:color="auto" w:fill="auto"/>
            <w:vAlign w:val="center"/>
            <w:hideMark/>
          </w:tcPr>
          <w:p w14:paraId="22C60B40" w14:textId="77777777" w:rsidR="00F44BFC" w:rsidRPr="00F44BFC" w:rsidRDefault="00F44BFC" w:rsidP="00F44BFC">
            <w:pPr>
              <w:rPr>
                <w:rFonts w:ascii="Arial Narrow" w:hAnsi="Arial Narrow"/>
                <w:sz w:val="20"/>
                <w:szCs w:val="20"/>
                <w:lang w:val="bg-BG" w:eastAsia="bg-BG"/>
              </w:rPr>
            </w:pPr>
            <w:r w:rsidRPr="00F44BFC">
              <w:rPr>
                <w:rFonts w:ascii="Arial Narrow" w:hAnsi="Arial Narrow"/>
                <w:sz w:val="20"/>
                <w:szCs w:val="20"/>
                <w:lang w:val="bg-BG" w:eastAsia="bg-BG"/>
              </w:rPr>
              <w:t xml:space="preserve">Насърчаване на производството на аквакултури, осигуряващи високо равнище на опазване на околната среда, на здравето на животните и хуманното отношение към тях, както и на общественото здраве и безопасност; </w:t>
            </w:r>
          </w:p>
        </w:tc>
        <w:tc>
          <w:tcPr>
            <w:tcW w:w="1218" w:type="dxa"/>
            <w:tcBorders>
              <w:top w:val="nil"/>
              <w:left w:val="nil"/>
              <w:bottom w:val="single" w:sz="4" w:space="0" w:color="auto"/>
              <w:right w:val="single" w:sz="4" w:space="0" w:color="auto"/>
            </w:tcBorders>
            <w:shd w:val="clear" w:color="auto" w:fill="auto"/>
            <w:vAlign w:val="center"/>
            <w:hideMark/>
          </w:tcPr>
          <w:p w14:paraId="22AA678D" w14:textId="77777777" w:rsidR="00F44BFC" w:rsidRPr="00F44BFC" w:rsidRDefault="00F44BFC" w:rsidP="00F44BFC">
            <w:pPr>
              <w:jc w:val="center"/>
              <w:rPr>
                <w:rFonts w:ascii="Arial Narrow" w:hAnsi="Arial Narrow"/>
                <w:sz w:val="20"/>
                <w:szCs w:val="20"/>
                <w:lang w:val="bg-BG" w:eastAsia="bg-BG"/>
              </w:rPr>
            </w:pPr>
            <w:r w:rsidRPr="00F44BFC">
              <w:rPr>
                <w:rFonts w:ascii="Arial Narrow" w:hAnsi="Arial Narrow"/>
                <w:sz w:val="20"/>
                <w:szCs w:val="20"/>
                <w:lang w:val="bg-BG" w:eastAsia="bg-BG"/>
              </w:rPr>
              <w:t>1-ви прием - 4 920 000</w:t>
            </w:r>
            <w:r w:rsidRPr="00F44BFC">
              <w:rPr>
                <w:rFonts w:ascii="Arial Narrow" w:hAnsi="Arial Narrow"/>
                <w:sz w:val="20"/>
                <w:szCs w:val="20"/>
                <w:lang w:val="bg-BG" w:eastAsia="bg-BG"/>
              </w:rPr>
              <w:br/>
              <w:t>2-ри прием - 6 563 340</w:t>
            </w:r>
          </w:p>
        </w:tc>
        <w:tc>
          <w:tcPr>
            <w:tcW w:w="1218" w:type="dxa"/>
            <w:tcBorders>
              <w:top w:val="nil"/>
              <w:left w:val="nil"/>
              <w:bottom w:val="single" w:sz="4" w:space="0" w:color="auto"/>
              <w:right w:val="single" w:sz="4" w:space="0" w:color="auto"/>
            </w:tcBorders>
            <w:shd w:val="clear" w:color="000000" w:fill="FFFFFF"/>
            <w:vAlign w:val="center"/>
            <w:hideMark/>
          </w:tcPr>
          <w:p w14:paraId="7E5342C4" w14:textId="77777777" w:rsidR="00F44BFC" w:rsidRPr="00F44BFC" w:rsidRDefault="00F44BFC" w:rsidP="00F44BFC">
            <w:pPr>
              <w:jc w:val="center"/>
              <w:rPr>
                <w:rFonts w:ascii="Arial Narrow" w:hAnsi="Arial Narrow"/>
                <w:sz w:val="20"/>
                <w:szCs w:val="20"/>
                <w:lang w:val="bg-BG" w:eastAsia="bg-BG"/>
              </w:rPr>
            </w:pPr>
            <w:r w:rsidRPr="00F44BFC">
              <w:rPr>
                <w:rFonts w:ascii="Arial Narrow" w:hAnsi="Arial Narrow"/>
                <w:sz w:val="20"/>
                <w:szCs w:val="20"/>
                <w:lang w:val="bg-BG" w:eastAsia="bg-BG"/>
              </w:rPr>
              <w:t>1-во тримесечие</w:t>
            </w:r>
            <w:r w:rsidRPr="00F44BFC">
              <w:rPr>
                <w:rFonts w:ascii="Arial Narrow" w:hAnsi="Arial Narrow"/>
                <w:sz w:val="20"/>
                <w:szCs w:val="20"/>
                <w:lang w:val="bg-BG" w:eastAsia="bg-BG"/>
              </w:rPr>
              <w:br/>
              <w:t>4-то тримесечие</w:t>
            </w:r>
          </w:p>
        </w:tc>
        <w:tc>
          <w:tcPr>
            <w:tcW w:w="1290" w:type="dxa"/>
            <w:tcBorders>
              <w:top w:val="nil"/>
              <w:left w:val="nil"/>
              <w:bottom w:val="single" w:sz="4" w:space="0" w:color="auto"/>
              <w:right w:val="single" w:sz="4" w:space="0" w:color="auto"/>
            </w:tcBorders>
            <w:shd w:val="clear" w:color="000000" w:fill="FFFFFF"/>
            <w:vAlign w:val="center"/>
            <w:hideMark/>
          </w:tcPr>
          <w:p w14:paraId="5B356265" w14:textId="77777777" w:rsidR="00F44BFC" w:rsidRPr="00F44BFC" w:rsidRDefault="00F44BFC" w:rsidP="00F44BFC">
            <w:pPr>
              <w:jc w:val="center"/>
              <w:rPr>
                <w:rFonts w:ascii="Arial Narrow" w:hAnsi="Arial Narrow"/>
                <w:sz w:val="20"/>
                <w:szCs w:val="20"/>
                <w:lang w:val="bg-BG" w:eastAsia="bg-BG"/>
              </w:rPr>
            </w:pPr>
            <w:r w:rsidRPr="00F44BFC">
              <w:rPr>
                <w:rFonts w:ascii="Arial Narrow" w:hAnsi="Arial Narrow"/>
                <w:sz w:val="20"/>
                <w:szCs w:val="20"/>
                <w:lang w:val="bg-BG" w:eastAsia="bg-BG"/>
              </w:rPr>
              <w:t>Първи срок 90 дни от датата на обявяване на процедурата;</w:t>
            </w:r>
            <w:r w:rsidRPr="00F44BFC">
              <w:rPr>
                <w:rFonts w:ascii="Arial Narrow" w:hAnsi="Arial Narrow"/>
                <w:sz w:val="20"/>
                <w:szCs w:val="20"/>
                <w:lang w:val="bg-BG" w:eastAsia="bg-BG"/>
              </w:rPr>
              <w:br/>
            </w:r>
            <w:r w:rsidRPr="00F44BFC">
              <w:rPr>
                <w:rFonts w:ascii="Arial Narrow" w:hAnsi="Arial Narrow"/>
                <w:sz w:val="20"/>
                <w:szCs w:val="20"/>
                <w:lang w:val="bg-BG" w:eastAsia="bg-BG"/>
              </w:rPr>
              <w:br/>
              <w:t>Втори срок 60 дни след приключване на първия срок;</w:t>
            </w:r>
          </w:p>
        </w:tc>
        <w:tc>
          <w:tcPr>
            <w:tcW w:w="1275" w:type="dxa"/>
            <w:tcBorders>
              <w:top w:val="nil"/>
              <w:left w:val="nil"/>
              <w:bottom w:val="single" w:sz="4" w:space="0" w:color="auto"/>
              <w:right w:val="single" w:sz="4" w:space="0" w:color="auto"/>
            </w:tcBorders>
            <w:shd w:val="clear" w:color="auto" w:fill="auto"/>
            <w:vAlign w:val="center"/>
            <w:hideMark/>
          </w:tcPr>
          <w:p w14:paraId="2A0CAD03" w14:textId="77777777" w:rsidR="00F44BFC" w:rsidRPr="00F44BFC" w:rsidRDefault="00F44BFC" w:rsidP="00F44BFC">
            <w:pPr>
              <w:rPr>
                <w:rFonts w:ascii="Arial Narrow" w:hAnsi="Arial Narrow"/>
                <w:sz w:val="20"/>
                <w:szCs w:val="20"/>
                <w:lang w:val="bg-BG" w:eastAsia="bg-BG"/>
              </w:rPr>
            </w:pPr>
            <w:r w:rsidRPr="00F44BFC">
              <w:rPr>
                <w:rFonts w:ascii="Arial Narrow" w:hAnsi="Arial Narrow"/>
                <w:sz w:val="20"/>
                <w:szCs w:val="20"/>
                <w:lang w:val="bg-BG" w:eastAsia="bg-BG"/>
              </w:rPr>
              <w:t xml:space="preserve"> 1. за сектор непродуктивни инвестиции - 15 000</w:t>
            </w:r>
            <w:r w:rsidRPr="00F44BFC">
              <w:rPr>
                <w:rFonts w:ascii="Arial Narrow" w:hAnsi="Arial Narrow"/>
                <w:sz w:val="20"/>
                <w:szCs w:val="20"/>
                <w:lang w:val="bg-BG" w:eastAsia="bg-BG"/>
              </w:rPr>
              <w:br/>
              <w:t xml:space="preserve">2. за сектор компенсации - неприложимо   </w:t>
            </w:r>
          </w:p>
        </w:tc>
        <w:tc>
          <w:tcPr>
            <w:tcW w:w="1276" w:type="dxa"/>
            <w:tcBorders>
              <w:top w:val="nil"/>
              <w:left w:val="nil"/>
              <w:bottom w:val="single" w:sz="4" w:space="0" w:color="auto"/>
              <w:right w:val="single" w:sz="4" w:space="0" w:color="auto"/>
            </w:tcBorders>
            <w:shd w:val="clear" w:color="auto" w:fill="auto"/>
            <w:vAlign w:val="center"/>
            <w:hideMark/>
          </w:tcPr>
          <w:p w14:paraId="43560A48" w14:textId="77777777" w:rsidR="00F44BFC" w:rsidRPr="00F44BFC" w:rsidRDefault="00F44BFC" w:rsidP="00F44BFC">
            <w:pPr>
              <w:jc w:val="center"/>
              <w:rPr>
                <w:rFonts w:ascii="Arial Narrow" w:hAnsi="Arial Narrow"/>
                <w:sz w:val="20"/>
                <w:szCs w:val="20"/>
                <w:lang w:val="bg-BG" w:eastAsia="bg-BG"/>
              </w:rPr>
            </w:pPr>
            <w:r w:rsidRPr="00F44BFC">
              <w:rPr>
                <w:rFonts w:ascii="Arial Narrow" w:hAnsi="Arial Narrow"/>
                <w:sz w:val="20"/>
                <w:szCs w:val="20"/>
                <w:lang w:val="bg-BG" w:eastAsia="bg-BG"/>
              </w:rPr>
              <w:t xml:space="preserve"> 1. за сектор непродуктивни инвестиции - 200 000</w:t>
            </w:r>
            <w:r w:rsidRPr="00F44BFC">
              <w:rPr>
                <w:rFonts w:ascii="Arial Narrow" w:hAnsi="Arial Narrow"/>
                <w:sz w:val="20"/>
                <w:szCs w:val="20"/>
                <w:lang w:val="bg-BG" w:eastAsia="bg-BG"/>
              </w:rPr>
              <w:br/>
              <w:t xml:space="preserve">2. за сектор компенсации - съгласно методика  </w:t>
            </w:r>
          </w:p>
        </w:tc>
      </w:tr>
      <w:tr w:rsidR="00F44BFC" w:rsidRPr="00F44BFC" w14:paraId="6746782F" w14:textId="77777777" w:rsidTr="00F44BFC">
        <w:trPr>
          <w:trHeight w:val="3439"/>
        </w:trPr>
        <w:tc>
          <w:tcPr>
            <w:tcW w:w="442" w:type="dxa"/>
            <w:tcBorders>
              <w:top w:val="nil"/>
              <w:left w:val="single" w:sz="4" w:space="0" w:color="auto"/>
              <w:bottom w:val="single" w:sz="4" w:space="0" w:color="auto"/>
              <w:right w:val="single" w:sz="4" w:space="0" w:color="auto"/>
            </w:tcBorders>
            <w:shd w:val="clear" w:color="auto" w:fill="auto"/>
            <w:vAlign w:val="center"/>
            <w:hideMark/>
          </w:tcPr>
          <w:p w14:paraId="4D8C6916" w14:textId="77777777" w:rsidR="00F44BFC" w:rsidRPr="00F44BFC" w:rsidRDefault="00F44BFC" w:rsidP="00F44BFC">
            <w:pPr>
              <w:jc w:val="center"/>
              <w:rPr>
                <w:rFonts w:ascii="Arial Narrow" w:hAnsi="Arial Narrow"/>
                <w:sz w:val="20"/>
                <w:szCs w:val="20"/>
                <w:lang w:val="bg-BG" w:eastAsia="bg-BG"/>
              </w:rPr>
            </w:pPr>
            <w:r w:rsidRPr="00F44BFC">
              <w:rPr>
                <w:rFonts w:ascii="Arial Narrow" w:hAnsi="Arial Narrow"/>
                <w:sz w:val="20"/>
                <w:szCs w:val="20"/>
                <w:lang w:val="bg-BG" w:eastAsia="bg-BG"/>
              </w:rPr>
              <w:t>6</w:t>
            </w:r>
          </w:p>
        </w:tc>
        <w:tc>
          <w:tcPr>
            <w:tcW w:w="1755" w:type="dxa"/>
            <w:tcBorders>
              <w:top w:val="nil"/>
              <w:left w:val="nil"/>
              <w:bottom w:val="single" w:sz="4" w:space="0" w:color="auto"/>
              <w:right w:val="single" w:sz="4" w:space="0" w:color="auto"/>
            </w:tcBorders>
            <w:shd w:val="clear" w:color="auto" w:fill="auto"/>
            <w:vAlign w:val="center"/>
            <w:hideMark/>
          </w:tcPr>
          <w:p w14:paraId="1EA84E6E" w14:textId="77777777" w:rsidR="00F44BFC" w:rsidRPr="00F44BFC" w:rsidRDefault="00F44BFC" w:rsidP="00F44BFC">
            <w:pPr>
              <w:rPr>
                <w:rFonts w:ascii="Arial Narrow" w:hAnsi="Arial Narrow"/>
                <w:sz w:val="20"/>
                <w:szCs w:val="20"/>
                <w:lang w:val="bg-BG" w:eastAsia="bg-BG"/>
              </w:rPr>
            </w:pPr>
            <w:r w:rsidRPr="00F44BFC">
              <w:rPr>
                <w:rFonts w:ascii="Arial Narrow" w:hAnsi="Arial Narrow"/>
                <w:sz w:val="20"/>
                <w:szCs w:val="20"/>
                <w:lang w:val="bg-BG" w:eastAsia="bg-BG"/>
              </w:rPr>
              <w:t>Продуктивни инвестиции и иновации в аквакултурите</w:t>
            </w:r>
          </w:p>
        </w:tc>
        <w:tc>
          <w:tcPr>
            <w:tcW w:w="1661" w:type="dxa"/>
            <w:tcBorders>
              <w:top w:val="nil"/>
              <w:left w:val="nil"/>
              <w:bottom w:val="single" w:sz="4" w:space="0" w:color="auto"/>
              <w:right w:val="single" w:sz="4" w:space="0" w:color="auto"/>
            </w:tcBorders>
            <w:shd w:val="clear" w:color="auto" w:fill="auto"/>
            <w:noWrap/>
            <w:vAlign w:val="center"/>
            <w:hideMark/>
          </w:tcPr>
          <w:p w14:paraId="39D598D8" w14:textId="77777777" w:rsidR="00F44BFC" w:rsidRPr="00F44BFC" w:rsidRDefault="00F44BFC" w:rsidP="00F44BFC">
            <w:pPr>
              <w:rPr>
                <w:rFonts w:ascii="Arial Narrow" w:hAnsi="Arial Narrow"/>
                <w:sz w:val="20"/>
                <w:szCs w:val="20"/>
                <w:lang w:val="bg-BG" w:eastAsia="bg-BG"/>
              </w:rPr>
            </w:pPr>
            <w:r w:rsidRPr="00F44BFC">
              <w:rPr>
                <w:rFonts w:ascii="Arial Narrow" w:hAnsi="Arial Narrow"/>
                <w:sz w:val="20"/>
                <w:szCs w:val="20"/>
                <w:lang w:val="bg-BG" w:eastAsia="bg-BG"/>
              </w:rPr>
              <w:t>С реализирането на инвестициите ще се повиши конкурентоспособността и ще се постигне устойчив растеж на аквакултурите в България. Създадените работни места и повишаването на квалификацията на заетите ще подпомогнат икономическото развите на сектора и на териториите свързани с него</w:t>
            </w:r>
          </w:p>
        </w:tc>
        <w:tc>
          <w:tcPr>
            <w:tcW w:w="1218" w:type="dxa"/>
            <w:tcBorders>
              <w:top w:val="nil"/>
              <w:left w:val="nil"/>
              <w:bottom w:val="single" w:sz="4" w:space="0" w:color="auto"/>
              <w:right w:val="single" w:sz="4" w:space="0" w:color="auto"/>
            </w:tcBorders>
            <w:shd w:val="clear" w:color="auto" w:fill="auto"/>
            <w:vAlign w:val="center"/>
            <w:hideMark/>
          </w:tcPr>
          <w:p w14:paraId="525569DD" w14:textId="77777777" w:rsidR="00F44BFC" w:rsidRPr="00F44BFC" w:rsidRDefault="00F44BFC" w:rsidP="00F44BFC">
            <w:pPr>
              <w:rPr>
                <w:rFonts w:ascii="Arial Narrow" w:hAnsi="Arial Narrow"/>
                <w:sz w:val="20"/>
                <w:szCs w:val="20"/>
                <w:lang w:val="bg-BG" w:eastAsia="bg-BG"/>
              </w:rPr>
            </w:pPr>
            <w:r w:rsidRPr="00F44BFC">
              <w:rPr>
                <w:rFonts w:ascii="Arial Narrow" w:hAnsi="Arial Narrow"/>
                <w:sz w:val="20"/>
                <w:szCs w:val="20"/>
                <w:lang w:val="bg-BG" w:eastAsia="bg-BG"/>
              </w:rPr>
              <w:t xml:space="preserve">20 000 000,00 </w:t>
            </w:r>
          </w:p>
        </w:tc>
        <w:tc>
          <w:tcPr>
            <w:tcW w:w="1218" w:type="dxa"/>
            <w:tcBorders>
              <w:top w:val="nil"/>
              <w:left w:val="nil"/>
              <w:bottom w:val="single" w:sz="4" w:space="0" w:color="auto"/>
              <w:right w:val="single" w:sz="4" w:space="0" w:color="auto"/>
            </w:tcBorders>
            <w:shd w:val="clear" w:color="000000" w:fill="FFFFFF"/>
            <w:vAlign w:val="center"/>
            <w:hideMark/>
          </w:tcPr>
          <w:p w14:paraId="31CB237F" w14:textId="77777777" w:rsidR="00F44BFC" w:rsidRPr="00F44BFC" w:rsidRDefault="00F44BFC" w:rsidP="00F44BFC">
            <w:pPr>
              <w:spacing w:after="240"/>
              <w:jc w:val="center"/>
              <w:rPr>
                <w:rFonts w:ascii="Arial Narrow" w:hAnsi="Arial Narrow"/>
                <w:sz w:val="20"/>
                <w:szCs w:val="20"/>
                <w:lang w:val="bg-BG" w:eastAsia="bg-BG"/>
              </w:rPr>
            </w:pPr>
            <w:r w:rsidRPr="00F44BFC">
              <w:rPr>
                <w:rFonts w:ascii="Arial Narrow" w:hAnsi="Arial Narrow"/>
                <w:sz w:val="20"/>
                <w:szCs w:val="20"/>
                <w:lang w:val="bg-BG" w:eastAsia="bg-BG"/>
              </w:rPr>
              <w:t>3-то тримесечие</w:t>
            </w:r>
          </w:p>
        </w:tc>
        <w:tc>
          <w:tcPr>
            <w:tcW w:w="1290" w:type="dxa"/>
            <w:tcBorders>
              <w:top w:val="nil"/>
              <w:left w:val="nil"/>
              <w:bottom w:val="single" w:sz="4" w:space="0" w:color="auto"/>
              <w:right w:val="single" w:sz="4" w:space="0" w:color="auto"/>
            </w:tcBorders>
            <w:shd w:val="clear" w:color="000000" w:fill="FFFFFF"/>
            <w:vAlign w:val="center"/>
            <w:hideMark/>
          </w:tcPr>
          <w:p w14:paraId="591D7B4E" w14:textId="77777777" w:rsidR="00F44BFC" w:rsidRPr="00F44BFC" w:rsidRDefault="00F44BFC" w:rsidP="00F44BFC">
            <w:pPr>
              <w:jc w:val="center"/>
              <w:rPr>
                <w:rFonts w:ascii="Arial Narrow" w:hAnsi="Arial Narrow"/>
                <w:sz w:val="20"/>
                <w:szCs w:val="20"/>
                <w:lang w:val="bg-BG" w:eastAsia="bg-BG"/>
              </w:rPr>
            </w:pPr>
            <w:r w:rsidRPr="00F44BFC">
              <w:rPr>
                <w:rFonts w:ascii="Arial Narrow" w:hAnsi="Arial Narrow"/>
                <w:sz w:val="20"/>
                <w:szCs w:val="20"/>
                <w:lang w:val="bg-BG" w:eastAsia="bg-BG"/>
              </w:rPr>
              <w:t>Първи срок 90 дни от датата на обявяване на процедурата;</w:t>
            </w:r>
            <w:r w:rsidRPr="00F44BFC">
              <w:rPr>
                <w:rFonts w:ascii="Arial Narrow" w:hAnsi="Arial Narrow"/>
                <w:sz w:val="20"/>
                <w:szCs w:val="20"/>
                <w:lang w:val="bg-BG" w:eastAsia="bg-BG"/>
              </w:rPr>
              <w:br/>
            </w:r>
            <w:r w:rsidRPr="00F44BFC">
              <w:rPr>
                <w:rFonts w:ascii="Arial Narrow" w:hAnsi="Arial Narrow"/>
                <w:sz w:val="20"/>
                <w:szCs w:val="20"/>
                <w:lang w:val="bg-BG" w:eastAsia="bg-BG"/>
              </w:rPr>
              <w:br/>
              <w:t>Втори срок 60 дни след приключване на първия срок;</w:t>
            </w:r>
            <w:r w:rsidRPr="00F44BFC">
              <w:rPr>
                <w:rFonts w:ascii="Arial Narrow" w:hAnsi="Arial Narrow"/>
                <w:sz w:val="20"/>
                <w:szCs w:val="20"/>
                <w:lang w:val="bg-BG" w:eastAsia="bg-BG"/>
              </w:rPr>
              <w:br/>
            </w:r>
            <w:r w:rsidRPr="00F44BFC">
              <w:rPr>
                <w:rFonts w:ascii="Arial Narrow" w:hAnsi="Arial Narrow"/>
                <w:sz w:val="20"/>
                <w:szCs w:val="20"/>
                <w:lang w:val="bg-BG" w:eastAsia="bg-BG"/>
              </w:rPr>
              <w:br/>
              <w:t>Трети срок 60 дни след приключване на втория срок;</w:t>
            </w:r>
          </w:p>
        </w:tc>
        <w:tc>
          <w:tcPr>
            <w:tcW w:w="1275" w:type="dxa"/>
            <w:tcBorders>
              <w:top w:val="nil"/>
              <w:left w:val="nil"/>
              <w:bottom w:val="single" w:sz="4" w:space="0" w:color="auto"/>
              <w:right w:val="single" w:sz="4" w:space="0" w:color="auto"/>
            </w:tcBorders>
            <w:shd w:val="clear" w:color="auto" w:fill="auto"/>
            <w:vAlign w:val="center"/>
            <w:hideMark/>
          </w:tcPr>
          <w:p w14:paraId="5B1033B4" w14:textId="77777777" w:rsidR="00F44BFC" w:rsidRPr="00F44BFC" w:rsidRDefault="00F44BFC" w:rsidP="00F44BFC">
            <w:pPr>
              <w:rPr>
                <w:rFonts w:ascii="Arial Narrow" w:hAnsi="Arial Narrow"/>
                <w:sz w:val="20"/>
                <w:szCs w:val="20"/>
                <w:lang w:val="bg-BG" w:eastAsia="bg-BG"/>
              </w:rPr>
            </w:pPr>
            <w:r w:rsidRPr="00F44BFC">
              <w:rPr>
                <w:rFonts w:ascii="Arial Narrow" w:hAnsi="Arial Narrow"/>
                <w:sz w:val="20"/>
                <w:szCs w:val="20"/>
                <w:lang w:val="bg-BG" w:eastAsia="bg-BG"/>
              </w:rPr>
              <w:t xml:space="preserve">    30 000,00 </w:t>
            </w:r>
          </w:p>
        </w:tc>
        <w:tc>
          <w:tcPr>
            <w:tcW w:w="1276" w:type="dxa"/>
            <w:tcBorders>
              <w:top w:val="nil"/>
              <w:left w:val="nil"/>
              <w:bottom w:val="single" w:sz="4" w:space="0" w:color="auto"/>
              <w:right w:val="single" w:sz="4" w:space="0" w:color="auto"/>
            </w:tcBorders>
            <w:shd w:val="clear" w:color="auto" w:fill="auto"/>
            <w:vAlign w:val="center"/>
            <w:hideMark/>
          </w:tcPr>
          <w:p w14:paraId="179C6E77" w14:textId="77777777" w:rsidR="00F44BFC" w:rsidRPr="00F44BFC" w:rsidRDefault="00F44BFC" w:rsidP="00F44BFC">
            <w:pPr>
              <w:jc w:val="center"/>
              <w:rPr>
                <w:rFonts w:ascii="Arial Narrow" w:hAnsi="Arial Narrow"/>
                <w:sz w:val="20"/>
                <w:szCs w:val="20"/>
                <w:lang w:val="bg-BG" w:eastAsia="bg-BG"/>
              </w:rPr>
            </w:pPr>
            <w:r w:rsidRPr="00F44BFC">
              <w:rPr>
                <w:rFonts w:ascii="Arial Narrow" w:hAnsi="Arial Narrow"/>
                <w:sz w:val="20"/>
                <w:szCs w:val="20"/>
                <w:lang w:val="bg-BG" w:eastAsia="bg-BG"/>
              </w:rPr>
              <w:t xml:space="preserve"> до 1000 000,00 </w:t>
            </w:r>
          </w:p>
        </w:tc>
      </w:tr>
      <w:tr w:rsidR="00F44BFC" w:rsidRPr="00F44BFC" w14:paraId="0D9A2DB3" w14:textId="77777777" w:rsidTr="00F44BFC">
        <w:trPr>
          <w:trHeight w:val="2402"/>
        </w:trPr>
        <w:tc>
          <w:tcPr>
            <w:tcW w:w="442" w:type="dxa"/>
            <w:tcBorders>
              <w:top w:val="nil"/>
              <w:left w:val="single" w:sz="4" w:space="0" w:color="auto"/>
              <w:bottom w:val="single" w:sz="4" w:space="0" w:color="auto"/>
              <w:right w:val="single" w:sz="4" w:space="0" w:color="auto"/>
            </w:tcBorders>
            <w:shd w:val="clear" w:color="auto" w:fill="auto"/>
            <w:vAlign w:val="center"/>
            <w:hideMark/>
          </w:tcPr>
          <w:p w14:paraId="157DA2AE" w14:textId="77777777" w:rsidR="00F44BFC" w:rsidRPr="00F44BFC" w:rsidRDefault="00F44BFC" w:rsidP="00F44BFC">
            <w:pPr>
              <w:jc w:val="center"/>
              <w:rPr>
                <w:rFonts w:ascii="Arial Narrow" w:hAnsi="Arial Narrow"/>
                <w:sz w:val="20"/>
                <w:szCs w:val="20"/>
                <w:lang w:val="bg-BG" w:eastAsia="bg-BG"/>
              </w:rPr>
            </w:pPr>
            <w:r w:rsidRPr="00F44BFC">
              <w:rPr>
                <w:rFonts w:ascii="Arial Narrow" w:hAnsi="Arial Narrow"/>
                <w:sz w:val="20"/>
                <w:szCs w:val="20"/>
                <w:lang w:val="bg-BG" w:eastAsia="bg-BG"/>
              </w:rPr>
              <w:t>7</w:t>
            </w:r>
          </w:p>
        </w:tc>
        <w:tc>
          <w:tcPr>
            <w:tcW w:w="1755" w:type="dxa"/>
            <w:tcBorders>
              <w:top w:val="nil"/>
              <w:left w:val="nil"/>
              <w:bottom w:val="single" w:sz="4" w:space="0" w:color="auto"/>
              <w:right w:val="single" w:sz="4" w:space="0" w:color="auto"/>
            </w:tcBorders>
            <w:shd w:val="clear" w:color="auto" w:fill="auto"/>
            <w:vAlign w:val="center"/>
            <w:hideMark/>
          </w:tcPr>
          <w:p w14:paraId="0FD6AD81" w14:textId="77777777" w:rsidR="00F44BFC" w:rsidRPr="00F44BFC" w:rsidRDefault="00F44BFC" w:rsidP="00F44BFC">
            <w:pPr>
              <w:rPr>
                <w:rFonts w:ascii="Arial Narrow" w:hAnsi="Arial Narrow"/>
                <w:sz w:val="20"/>
                <w:szCs w:val="20"/>
                <w:lang w:val="bg-BG" w:eastAsia="bg-BG"/>
              </w:rPr>
            </w:pPr>
            <w:r w:rsidRPr="00F44BFC">
              <w:rPr>
                <w:rFonts w:ascii="Arial Narrow" w:hAnsi="Arial Narrow"/>
                <w:sz w:val="20"/>
                <w:szCs w:val="20"/>
                <w:lang w:val="bg-BG" w:eastAsia="bg-BG"/>
              </w:rPr>
              <w:t>Продуктивни инвестиции и иновации в аквакултурите, сектор "Иновации в аквакултурите"</w:t>
            </w:r>
          </w:p>
        </w:tc>
        <w:tc>
          <w:tcPr>
            <w:tcW w:w="1661" w:type="dxa"/>
            <w:tcBorders>
              <w:top w:val="nil"/>
              <w:left w:val="nil"/>
              <w:bottom w:val="single" w:sz="4" w:space="0" w:color="auto"/>
              <w:right w:val="single" w:sz="4" w:space="0" w:color="auto"/>
            </w:tcBorders>
            <w:shd w:val="clear" w:color="auto" w:fill="auto"/>
            <w:noWrap/>
            <w:vAlign w:val="center"/>
            <w:hideMark/>
          </w:tcPr>
          <w:p w14:paraId="39CADB7F" w14:textId="77777777" w:rsidR="00F44BFC" w:rsidRPr="00F44BFC" w:rsidRDefault="00F44BFC" w:rsidP="00F44BFC">
            <w:pPr>
              <w:rPr>
                <w:rFonts w:ascii="Arial Narrow" w:hAnsi="Arial Narrow"/>
                <w:sz w:val="20"/>
                <w:szCs w:val="20"/>
                <w:lang w:val="bg-BG" w:eastAsia="bg-BG"/>
              </w:rPr>
            </w:pPr>
            <w:r w:rsidRPr="00F44BFC">
              <w:rPr>
                <w:rFonts w:ascii="Arial Narrow" w:hAnsi="Arial Narrow"/>
                <w:sz w:val="20"/>
                <w:szCs w:val="20"/>
                <w:lang w:val="bg-BG" w:eastAsia="bg-BG"/>
              </w:rPr>
              <w:t xml:space="preserve">С реализирането на инвестициите ще се повиши конкурентоспособността и ще се постигне устойчив растеж на аквакултурите в България. Чрез въвеждането на иновации ще се улесни, развитието на биоикономиката </w:t>
            </w:r>
            <w:r w:rsidRPr="00F44BFC">
              <w:rPr>
                <w:rFonts w:ascii="Arial Narrow" w:hAnsi="Arial Narrow"/>
                <w:sz w:val="20"/>
                <w:szCs w:val="20"/>
                <w:lang w:val="bg-BG" w:eastAsia="bg-BG"/>
              </w:rPr>
              <w:lastRenderedPageBreak/>
              <w:t xml:space="preserve">и ще се постигнат принципите на кръговата икономика при производството на аквакултури. </w:t>
            </w:r>
          </w:p>
        </w:tc>
        <w:tc>
          <w:tcPr>
            <w:tcW w:w="1218" w:type="dxa"/>
            <w:tcBorders>
              <w:top w:val="nil"/>
              <w:left w:val="nil"/>
              <w:bottom w:val="single" w:sz="4" w:space="0" w:color="auto"/>
              <w:right w:val="single" w:sz="4" w:space="0" w:color="auto"/>
            </w:tcBorders>
            <w:shd w:val="clear" w:color="auto" w:fill="auto"/>
            <w:vAlign w:val="center"/>
            <w:hideMark/>
          </w:tcPr>
          <w:p w14:paraId="3653625E" w14:textId="77777777" w:rsidR="00F44BFC" w:rsidRPr="00F44BFC" w:rsidRDefault="00F44BFC" w:rsidP="00F44BFC">
            <w:pPr>
              <w:jc w:val="center"/>
              <w:rPr>
                <w:rFonts w:ascii="Arial Narrow" w:hAnsi="Arial Narrow"/>
                <w:sz w:val="20"/>
                <w:szCs w:val="20"/>
                <w:lang w:val="bg-BG" w:eastAsia="bg-BG"/>
              </w:rPr>
            </w:pPr>
            <w:r w:rsidRPr="00F44BFC">
              <w:rPr>
                <w:rFonts w:ascii="Arial Narrow" w:hAnsi="Arial Narrow"/>
                <w:sz w:val="20"/>
                <w:szCs w:val="20"/>
                <w:lang w:val="bg-BG" w:eastAsia="bg-BG"/>
              </w:rPr>
              <w:lastRenderedPageBreak/>
              <w:t xml:space="preserve">10 000 000,00 </w:t>
            </w:r>
          </w:p>
        </w:tc>
        <w:tc>
          <w:tcPr>
            <w:tcW w:w="1218" w:type="dxa"/>
            <w:tcBorders>
              <w:top w:val="nil"/>
              <w:left w:val="nil"/>
              <w:bottom w:val="single" w:sz="4" w:space="0" w:color="auto"/>
              <w:right w:val="single" w:sz="4" w:space="0" w:color="auto"/>
            </w:tcBorders>
            <w:shd w:val="clear" w:color="000000" w:fill="FFFFFF"/>
            <w:vAlign w:val="center"/>
            <w:hideMark/>
          </w:tcPr>
          <w:p w14:paraId="37F171B6" w14:textId="77777777" w:rsidR="00F44BFC" w:rsidRPr="00F44BFC" w:rsidRDefault="00F44BFC" w:rsidP="00F44BFC">
            <w:pPr>
              <w:spacing w:after="240"/>
              <w:jc w:val="center"/>
              <w:rPr>
                <w:rFonts w:ascii="Arial Narrow" w:hAnsi="Arial Narrow"/>
                <w:sz w:val="20"/>
                <w:szCs w:val="20"/>
                <w:lang w:val="bg-BG" w:eastAsia="bg-BG"/>
              </w:rPr>
            </w:pPr>
            <w:r w:rsidRPr="00F44BFC">
              <w:rPr>
                <w:rFonts w:ascii="Arial Narrow" w:hAnsi="Arial Narrow"/>
                <w:sz w:val="20"/>
                <w:szCs w:val="20"/>
                <w:lang w:val="bg-BG" w:eastAsia="bg-BG"/>
              </w:rPr>
              <w:t>3-то тримесечие</w:t>
            </w:r>
          </w:p>
        </w:tc>
        <w:tc>
          <w:tcPr>
            <w:tcW w:w="1290" w:type="dxa"/>
            <w:tcBorders>
              <w:top w:val="nil"/>
              <w:left w:val="nil"/>
              <w:bottom w:val="single" w:sz="4" w:space="0" w:color="auto"/>
              <w:right w:val="single" w:sz="4" w:space="0" w:color="auto"/>
            </w:tcBorders>
            <w:shd w:val="clear" w:color="000000" w:fill="FFFFFF"/>
            <w:vAlign w:val="center"/>
            <w:hideMark/>
          </w:tcPr>
          <w:p w14:paraId="44A42A7C" w14:textId="77777777" w:rsidR="00F44BFC" w:rsidRPr="00F44BFC" w:rsidRDefault="00F44BFC" w:rsidP="00F44BFC">
            <w:pPr>
              <w:jc w:val="center"/>
              <w:rPr>
                <w:rFonts w:ascii="Arial Narrow" w:hAnsi="Arial Narrow"/>
                <w:sz w:val="20"/>
                <w:szCs w:val="20"/>
                <w:lang w:val="bg-BG" w:eastAsia="bg-BG"/>
              </w:rPr>
            </w:pPr>
            <w:r w:rsidRPr="00F44BFC">
              <w:rPr>
                <w:rFonts w:ascii="Arial Narrow" w:hAnsi="Arial Narrow"/>
                <w:sz w:val="20"/>
                <w:szCs w:val="20"/>
                <w:lang w:val="bg-BG" w:eastAsia="bg-BG"/>
              </w:rPr>
              <w:t>90 дни от датата на обявяване на процедурата</w:t>
            </w:r>
          </w:p>
        </w:tc>
        <w:tc>
          <w:tcPr>
            <w:tcW w:w="1275" w:type="dxa"/>
            <w:tcBorders>
              <w:top w:val="nil"/>
              <w:left w:val="nil"/>
              <w:bottom w:val="single" w:sz="4" w:space="0" w:color="auto"/>
              <w:right w:val="single" w:sz="4" w:space="0" w:color="auto"/>
            </w:tcBorders>
            <w:shd w:val="clear" w:color="auto" w:fill="auto"/>
            <w:vAlign w:val="center"/>
            <w:hideMark/>
          </w:tcPr>
          <w:p w14:paraId="68FEA8F1" w14:textId="77777777" w:rsidR="00F44BFC" w:rsidRPr="00F44BFC" w:rsidRDefault="00F44BFC" w:rsidP="00F44BFC">
            <w:pPr>
              <w:rPr>
                <w:rFonts w:ascii="Arial Narrow" w:hAnsi="Arial Narrow"/>
                <w:sz w:val="20"/>
                <w:szCs w:val="20"/>
                <w:lang w:val="bg-BG" w:eastAsia="bg-BG"/>
              </w:rPr>
            </w:pPr>
            <w:r w:rsidRPr="00F44BFC">
              <w:rPr>
                <w:rFonts w:ascii="Arial Narrow" w:hAnsi="Arial Narrow"/>
                <w:sz w:val="20"/>
                <w:szCs w:val="20"/>
                <w:lang w:val="bg-BG" w:eastAsia="bg-BG"/>
              </w:rPr>
              <w:t xml:space="preserve">    30 000,00 </w:t>
            </w:r>
          </w:p>
        </w:tc>
        <w:tc>
          <w:tcPr>
            <w:tcW w:w="1276" w:type="dxa"/>
            <w:tcBorders>
              <w:top w:val="nil"/>
              <w:left w:val="nil"/>
              <w:bottom w:val="single" w:sz="4" w:space="0" w:color="auto"/>
              <w:right w:val="single" w:sz="4" w:space="0" w:color="auto"/>
            </w:tcBorders>
            <w:shd w:val="clear" w:color="auto" w:fill="auto"/>
            <w:vAlign w:val="center"/>
            <w:hideMark/>
          </w:tcPr>
          <w:p w14:paraId="0CA413D9" w14:textId="77777777" w:rsidR="00F44BFC" w:rsidRPr="00F44BFC" w:rsidRDefault="00F44BFC" w:rsidP="00F44BFC">
            <w:pPr>
              <w:jc w:val="center"/>
              <w:rPr>
                <w:rFonts w:ascii="Arial Narrow" w:hAnsi="Arial Narrow"/>
                <w:sz w:val="20"/>
                <w:szCs w:val="20"/>
                <w:lang w:val="bg-BG" w:eastAsia="bg-BG"/>
              </w:rPr>
            </w:pPr>
            <w:r w:rsidRPr="00F44BFC">
              <w:rPr>
                <w:rFonts w:ascii="Arial Narrow" w:hAnsi="Arial Narrow"/>
                <w:sz w:val="20"/>
                <w:szCs w:val="20"/>
                <w:lang w:val="bg-BG" w:eastAsia="bg-BG"/>
              </w:rPr>
              <w:t xml:space="preserve"> неприложимо </w:t>
            </w:r>
          </w:p>
        </w:tc>
      </w:tr>
      <w:tr w:rsidR="00F44BFC" w:rsidRPr="00F44BFC" w14:paraId="1F89A1B0" w14:textId="77777777" w:rsidTr="00F44BFC">
        <w:trPr>
          <w:trHeight w:val="3253"/>
        </w:trPr>
        <w:tc>
          <w:tcPr>
            <w:tcW w:w="442" w:type="dxa"/>
            <w:tcBorders>
              <w:top w:val="nil"/>
              <w:left w:val="single" w:sz="4" w:space="0" w:color="auto"/>
              <w:bottom w:val="single" w:sz="4" w:space="0" w:color="auto"/>
              <w:right w:val="single" w:sz="4" w:space="0" w:color="auto"/>
            </w:tcBorders>
            <w:shd w:val="clear" w:color="auto" w:fill="auto"/>
            <w:vAlign w:val="center"/>
            <w:hideMark/>
          </w:tcPr>
          <w:p w14:paraId="6ED7D28A" w14:textId="77777777" w:rsidR="00F44BFC" w:rsidRPr="00F44BFC" w:rsidRDefault="00F44BFC" w:rsidP="00F44BFC">
            <w:pPr>
              <w:jc w:val="center"/>
              <w:rPr>
                <w:rFonts w:ascii="Arial Narrow" w:hAnsi="Arial Narrow"/>
                <w:sz w:val="20"/>
                <w:szCs w:val="20"/>
                <w:lang w:val="bg-BG" w:eastAsia="bg-BG"/>
              </w:rPr>
            </w:pPr>
            <w:r w:rsidRPr="00F44BFC">
              <w:rPr>
                <w:rFonts w:ascii="Arial Narrow" w:hAnsi="Arial Narrow"/>
                <w:sz w:val="20"/>
                <w:szCs w:val="20"/>
                <w:lang w:val="bg-BG" w:eastAsia="bg-BG"/>
              </w:rPr>
              <w:t>8</w:t>
            </w:r>
          </w:p>
        </w:tc>
        <w:tc>
          <w:tcPr>
            <w:tcW w:w="1755" w:type="dxa"/>
            <w:tcBorders>
              <w:top w:val="nil"/>
              <w:left w:val="nil"/>
              <w:bottom w:val="single" w:sz="4" w:space="0" w:color="auto"/>
              <w:right w:val="single" w:sz="4" w:space="0" w:color="auto"/>
            </w:tcBorders>
            <w:shd w:val="clear" w:color="auto" w:fill="auto"/>
            <w:vAlign w:val="center"/>
            <w:hideMark/>
          </w:tcPr>
          <w:p w14:paraId="68B4DFE8" w14:textId="77777777" w:rsidR="00F44BFC" w:rsidRPr="00F44BFC" w:rsidRDefault="00F44BFC" w:rsidP="00F44BFC">
            <w:pPr>
              <w:rPr>
                <w:rFonts w:ascii="Arial Narrow" w:hAnsi="Arial Narrow"/>
                <w:sz w:val="20"/>
                <w:szCs w:val="20"/>
                <w:lang w:val="bg-BG" w:eastAsia="bg-BG"/>
              </w:rPr>
            </w:pPr>
            <w:r w:rsidRPr="00F44BFC">
              <w:rPr>
                <w:rFonts w:ascii="Arial Narrow" w:hAnsi="Arial Narrow"/>
                <w:sz w:val="20"/>
                <w:szCs w:val="20"/>
                <w:lang w:val="bg-BG" w:eastAsia="bg-BG"/>
              </w:rPr>
              <w:t>Преработка на продукти от риболов и аквакултури</w:t>
            </w:r>
          </w:p>
        </w:tc>
        <w:tc>
          <w:tcPr>
            <w:tcW w:w="1661" w:type="dxa"/>
            <w:tcBorders>
              <w:top w:val="nil"/>
              <w:left w:val="nil"/>
              <w:bottom w:val="single" w:sz="4" w:space="0" w:color="auto"/>
              <w:right w:val="single" w:sz="4" w:space="0" w:color="auto"/>
            </w:tcBorders>
            <w:shd w:val="clear" w:color="auto" w:fill="auto"/>
            <w:noWrap/>
            <w:vAlign w:val="center"/>
            <w:hideMark/>
          </w:tcPr>
          <w:p w14:paraId="7DFEB725" w14:textId="77777777" w:rsidR="00F44BFC" w:rsidRPr="00F44BFC" w:rsidRDefault="00F44BFC" w:rsidP="00F44BFC">
            <w:pPr>
              <w:rPr>
                <w:rFonts w:ascii="Arial Narrow" w:hAnsi="Arial Narrow"/>
                <w:sz w:val="20"/>
                <w:szCs w:val="20"/>
                <w:lang w:val="bg-BG" w:eastAsia="bg-BG"/>
              </w:rPr>
            </w:pPr>
            <w:r w:rsidRPr="00F44BFC">
              <w:rPr>
                <w:rFonts w:ascii="Arial Narrow" w:hAnsi="Arial Narrow"/>
                <w:sz w:val="20"/>
                <w:szCs w:val="20"/>
                <w:lang w:val="bg-BG" w:eastAsia="bg-BG"/>
              </w:rPr>
              <w:t>Цели се създаване и модернизиране на преработвателните предприятия в страната, като се подобри тяхната енергийна ефективност и декарбонизация, което ще доведе до намаляване на негативното въздействие върху околната среда във връзка със Зеления преход</w:t>
            </w:r>
          </w:p>
        </w:tc>
        <w:tc>
          <w:tcPr>
            <w:tcW w:w="1218" w:type="dxa"/>
            <w:tcBorders>
              <w:top w:val="nil"/>
              <w:left w:val="nil"/>
              <w:bottom w:val="single" w:sz="4" w:space="0" w:color="auto"/>
              <w:right w:val="single" w:sz="4" w:space="0" w:color="auto"/>
            </w:tcBorders>
            <w:shd w:val="clear" w:color="auto" w:fill="auto"/>
            <w:vAlign w:val="center"/>
            <w:hideMark/>
          </w:tcPr>
          <w:p w14:paraId="2FC50DEA" w14:textId="77777777" w:rsidR="00F44BFC" w:rsidRPr="00F44BFC" w:rsidRDefault="00F44BFC" w:rsidP="00F44BFC">
            <w:pPr>
              <w:jc w:val="center"/>
              <w:rPr>
                <w:rFonts w:ascii="Arial Narrow" w:hAnsi="Arial Narrow"/>
                <w:sz w:val="20"/>
                <w:szCs w:val="20"/>
                <w:lang w:val="bg-BG" w:eastAsia="bg-BG"/>
              </w:rPr>
            </w:pPr>
            <w:r w:rsidRPr="00F44BFC">
              <w:rPr>
                <w:rFonts w:ascii="Arial Narrow" w:hAnsi="Arial Narrow"/>
                <w:sz w:val="20"/>
                <w:szCs w:val="20"/>
                <w:lang w:val="bg-BG" w:eastAsia="bg-BG"/>
              </w:rPr>
              <w:t xml:space="preserve">5 000 000,00 </w:t>
            </w:r>
          </w:p>
        </w:tc>
        <w:tc>
          <w:tcPr>
            <w:tcW w:w="1218" w:type="dxa"/>
            <w:tcBorders>
              <w:top w:val="nil"/>
              <w:left w:val="nil"/>
              <w:bottom w:val="single" w:sz="4" w:space="0" w:color="auto"/>
              <w:right w:val="single" w:sz="4" w:space="0" w:color="auto"/>
            </w:tcBorders>
            <w:shd w:val="clear" w:color="000000" w:fill="FFFFFF"/>
            <w:vAlign w:val="center"/>
            <w:hideMark/>
          </w:tcPr>
          <w:p w14:paraId="35B38D12" w14:textId="77777777" w:rsidR="00F44BFC" w:rsidRPr="00F44BFC" w:rsidRDefault="00F44BFC" w:rsidP="00F44BFC">
            <w:pPr>
              <w:spacing w:after="240"/>
              <w:jc w:val="center"/>
              <w:rPr>
                <w:rFonts w:ascii="Arial Narrow" w:hAnsi="Arial Narrow"/>
                <w:sz w:val="20"/>
                <w:szCs w:val="20"/>
                <w:lang w:val="bg-BG" w:eastAsia="bg-BG"/>
              </w:rPr>
            </w:pPr>
            <w:r w:rsidRPr="00F44BFC">
              <w:rPr>
                <w:rFonts w:ascii="Arial Narrow" w:hAnsi="Arial Narrow"/>
                <w:sz w:val="20"/>
                <w:szCs w:val="20"/>
                <w:lang w:val="bg-BG" w:eastAsia="bg-BG"/>
              </w:rPr>
              <w:t>2-ро тримесечие</w:t>
            </w:r>
          </w:p>
        </w:tc>
        <w:tc>
          <w:tcPr>
            <w:tcW w:w="1290" w:type="dxa"/>
            <w:tcBorders>
              <w:top w:val="nil"/>
              <w:left w:val="nil"/>
              <w:bottom w:val="single" w:sz="4" w:space="0" w:color="auto"/>
              <w:right w:val="single" w:sz="4" w:space="0" w:color="auto"/>
            </w:tcBorders>
            <w:shd w:val="clear" w:color="000000" w:fill="FFFFFF"/>
            <w:vAlign w:val="center"/>
            <w:hideMark/>
          </w:tcPr>
          <w:p w14:paraId="4437B4D2" w14:textId="77777777" w:rsidR="00F44BFC" w:rsidRPr="00F44BFC" w:rsidRDefault="00F44BFC" w:rsidP="00F44BFC">
            <w:pPr>
              <w:spacing w:after="240"/>
              <w:jc w:val="center"/>
              <w:rPr>
                <w:rFonts w:ascii="Arial Narrow" w:hAnsi="Arial Narrow"/>
                <w:sz w:val="20"/>
                <w:szCs w:val="20"/>
                <w:lang w:val="bg-BG" w:eastAsia="bg-BG"/>
              </w:rPr>
            </w:pPr>
            <w:r w:rsidRPr="00F44BFC">
              <w:rPr>
                <w:rFonts w:ascii="Arial Narrow" w:hAnsi="Arial Narrow"/>
                <w:sz w:val="20"/>
                <w:szCs w:val="20"/>
                <w:lang w:val="bg-BG" w:eastAsia="bg-BG"/>
              </w:rPr>
              <w:t>Първи срок 90 дни от датата на обявяване на процедурата;</w:t>
            </w:r>
            <w:r w:rsidRPr="00F44BFC">
              <w:rPr>
                <w:rFonts w:ascii="Arial Narrow" w:hAnsi="Arial Narrow"/>
                <w:sz w:val="20"/>
                <w:szCs w:val="20"/>
                <w:lang w:val="bg-BG" w:eastAsia="bg-BG"/>
              </w:rPr>
              <w:br/>
            </w:r>
            <w:r w:rsidRPr="00F44BFC">
              <w:rPr>
                <w:rFonts w:ascii="Arial Narrow" w:hAnsi="Arial Narrow"/>
                <w:sz w:val="20"/>
                <w:szCs w:val="20"/>
                <w:lang w:val="bg-BG" w:eastAsia="bg-BG"/>
              </w:rPr>
              <w:br/>
              <w:t>Втори срок 60 дни след приключване на първия срок;</w:t>
            </w:r>
            <w:r w:rsidRPr="00F44BFC">
              <w:rPr>
                <w:rFonts w:ascii="Arial Narrow" w:hAnsi="Arial Narrow"/>
                <w:sz w:val="20"/>
                <w:szCs w:val="20"/>
                <w:lang w:val="bg-BG" w:eastAsia="bg-BG"/>
              </w:rPr>
              <w:br/>
            </w:r>
            <w:r w:rsidRPr="00F44BFC">
              <w:rPr>
                <w:rFonts w:ascii="Arial Narrow" w:hAnsi="Arial Narrow"/>
                <w:sz w:val="20"/>
                <w:szCs w:val="20"/>
                <w:lang w:val="bg-BG" w:eastAsia="bg-BG"/>
              </w:rPr>
              <w:br/>
              <w:t>Трети срок 60 дни след приключване на втория срок.</w:t>
            </w:r>
          </w:p>
        </w:tc>
        <w:tc>
          <w:tcPr>
            <w:tcW w:w="1275" w:type="dxa"/>
            <w:tcBorders>
              <w:top w:val="nil"/>
              <w:left w:val="nil"/>
              <w:bottom w:val="single" w:sz="4" w:space="0" w:color="auto"/>
              <w:right w:val="single" w:sz="4" w:space="0" w:color="auto"/>
            </w:tcBorders>
            <w:shd w:val="clear" w:color="auto" w:fill="auto"/>
            <w:vAlign w:val="center"/>
            <w:hideMark/>
          </w:tcPr>
          <w:p w14:paraId="2820A87E" w14:textId="77777777" w:rsidR="00F44BFC" w:rsidRPr="00F44BFC" w:rsidRDefault="00F44BFC" w:rsidP="00F44BFC">
            <w:pPr>
              <w:rPr>
                <w:rFonts w:ascii="Arial Narrow" w:hAnsi="Arial Narrow"/>
                <w:sz w:val="20"/>
                <w:szCs w:val="20"/>
                <w:lang w:val="bg-BG" w:eastAsia="bg-BG"/>
              </w:rPr>
            </w:pPr>
            <w:r w:rsidRPr="00F44BFC">
              <w:rPr>
                <w:rFonts w:ascii="Arial Narrow" w:hAnsi="Arial Narrow"/>
                <w:sz w:val="20"/>
                <w:szCs w:val="20"/>
                <w:lang w:val="bg-BG" w:eastAsia="bg-BG"/>
              </w:rPr>
              <w:t xml:space="preserve">    30 000,00 </w:t>
            </w:r>
          </w:p>
        </w:tc>
        <w:tc>
          <w:tcPr>
            <w:tcW w:w="1276" w:type="dxa"/>
            <w:tcBorders>
              <w:top w:val="nil"/>
              <w:left w:val="nil"/>
              <w:bottom w:val="single" w:sz="4" w:space="0" w:color="auto"/>
              <w:right w:val="single" w:sz="4" w:space="0" w:color="auto"/>
            </w:tcBorders>
            <w:shd w:val="clear" w:color="auto" w:fill="auto"/>
            <w:vAlign w:val="center"/>
            <w:hideMark/>
          </w:tcPr>
          <w:p w14:paraId="07ECB934" w14:textId="77777777" w:rsidR="00F44BFC" w:rsidRPr="00F44BFC" w:rsidRDefault="00F44BFC" w:rsidP="00F44BFC">
            <w:pPr>
              <w:jc w:val="center"/>
              <w:rPr>
                <w:rFonts w:ascii="Arial Narrow" w:hAnsi="Arial Narrow"/>
                <w:sz w:val="20"/>
                <w:szCs w:val="20"/>
                <w:lang w:val="bg-BG" w:eastAsia="bg-BG"/>
              </w:rPr>
            </w:pPr>
            <w:r w:rsidRPr="00F44BFC">
              <w:rPr>
                <w:rFonts w:ascii="Arial Narrow" w:hAnsi="Arial Narrow"/>
                <w:sz w:val="20"/>
                <w:szCs w:val="20"/>
                <w:lang w:val="bg-BG" w:eastAsia="bg-BG"/>
              </w:rPr>
              <w:t xml:space="preserve"> до 2 000 000,00 </w:t>
            </w:r>
          </w:p>
        </w:tc>
      </w:tr>
      <w:tr w:rsidR="00F44BFC" w:rsidRPr="00F44BFC" w14:paraId="6CD8F988" w14:textId="77777777" w:rsidTr="00F44BFC">
        <w:trPr>
          <w:trHeight w:val="2267"/>
        </w:trPr>
        <w:tc>
          <w:tcPr>
            <w:tcW w:w="442" w:type="dxa"/>
            <w:tcBorders>
              <w:top w:val="nil"/>
              <w:left w:val="single" w:sz="4" w:space="0" w:color="auto"/>
              <w:bottom w:val="single" w:sz="4" w:space="0" w:color="auto"/>
              <w:right w:val="single" w:sz="4" w:space="0" w:color="auto"/>
            </w:tcBorders>
            <w:shd w:val="clear" w:color="auto" w:fill="auto"/>
            <w:vAlign w:val="center"/>
            <w:hideMark/>
          </w:tcPr>
          <w:p w14:paraId="7E0C8D56" w14:textId="77777777" w:rsidR="00F44BFC" w:rsidRPr="00F44BFC" w:rsidRDefault="00F44BFC" w:rsidP="00F44BFC">
            <w:pPr>
              <w:jc w:val="center"/>
              <w:rPr>
                <w:rFonts w:ascii="Arial Narrow" w:hAnsi="Arial Narrow"/>
                <w:sz w:val="20"/>
                <w:szCs w:val="20"/>
                <w:lang w:val="bg-BG" w:eastAsia="bg-BG"/>
              </w:rPr>
            </w:pPr>
            <w:r w:rsidRPr="00F44BFC">
              <w:rPr>
                <w:rFonts w:ascii="Arial Narrow" w:hAnsi="Arial Narrow"/>
                <w:sz w:val="20"/>
                <w:szCs w:val="20"/>
                <w:lang w:val="bg-BG" w:eastAsia="bg-BG"/>
              </w:rPr>
              <w:t>9</w:t>
            </w:r>
          </w:p>
        </w:tc>
        <w:tc>
          <w:tcPr>
            <w:tcW w:w="1755" w:type="dxa"/>
            <w:tcBorders>
              <w:top w:val="nil"/>
              <w:left w:val="nil"/>
              <w:bottom w:val="single" w:sz="4" w:space="0" w:color="auto"/>
              <w:right w:val="single" w:sz="4" w:space="0" w:color="auto"/>
            </w:tcBorders>
            <w:shd w:val="clear" w:color="auto" w:fill="auto"/>
            <w:vAlign w:val="center"/>
            <w:hideMark/>
          </w:tcPr>
          <w:p w14:paraId="4297297B" w14:textId="77777777" w:rsidR="00F44BFC" w:rsidRPr="00F44BFC" w:rsidRDefault="00F44BFC" w:rsidP="00F44BFC">
            <w:pPr>
              <w:rPr>
                <w:rFonts w:ascii="Arial Narrow" w:hAnsi="Arial Narrow"/>
                <w:sz w:val="20"/>
                <w:szCs w:val="20"/>
                <w:lang w:val="bg-BG" w:eastAsia="bg-BG"/>
              </w:rPr>
            </w:pPr>
            <w:r w:rsidRPr="00F44BFC">
              <w:rPr>
                <w:rFonts w:ascii="Arial Narrow" w:hAnsi="Arial Narrow"/>
                <w:sz w:val="20"/>
                <w:szCs w:val="20"/>
                <w:lang w:val="bg-BG" w:eastAsia="bg-BG"/>
              </w:rPr>
              <w:t>Предлагане на пазара</w:t>
            </w:r>
          </w:p>
        </w:tc>
        <w:tc>
          <w:tcPr>
            <w:tcW w:w="1661" w:type="dxa"/>
            <w:tcBorders>
              <w:top w:val="nil"/>
              <w:left w:val="nil"/>
              <w:bottom w:val="single" w:sz="4" w:space="0" w:color="auto"/>
              <w:right w:val="single" w:sz="4" w:space="0" w:color="auto"/>
            </w:tcBorders>
            <w:shd w:val="clear" w:color="auto" w:fill="auto"/>
            <w:vAlign w:val="center"/>
            <w:hideMark/>
          </w:tcPr>
          <w:p w14:paraId="3C1F3CA9" w14:textId="77777777" w:rsidR="00F44BFC" w:rsidRPr="00F44BFC" w:rsidRDefault="00F44BFC" w:rsidP="00F44BFC">
            <w:pPr>
              <w:rPr>
                <w:rFonts w:ascii="Arial Narrow" w:hAnsi="Arial Narrow"/>
                <w:sz w:val="20"/>
                <w:szCs w:val="20"/>
                <w:lang w:val="bg-BG" w:eastAsia="bg-BG"/>
              </w:rPr>
            </w:pPr>
            <w:r w:rsidRPr="00F44BFC">
              <w:rPr>
                <w:rFonts w:ascii="Arial Narrow" w:hAnsi="Arial Narrow"/>
                <w:sz w:val="20"/>
                <w:szCs w:val="20"/>
                <w:lang w:val="bg-BG" w:eastAsia="bg-BG"/>
              </w:rPr>
              <w:t>Дейностите по популяризиране на местни продукти от риболов, аквакултури и</w:t>
            </w:r>
            <w:r w:rsidRPr="00F44BFC">
              <w:rPr>
                <w:rFonts w:ascii="Arial Narrow" w:hAnsi="Arial Narrow"/>
                <w:sz w:val="20"/>
                <w:szCs w:val="20"/>
                <w:lang w:val="bg-BG" w:eastAsia="bg-BG"/>
              </w:rPr>
              <w:br/>
              <w:t>преработка ще доведат до нарастване на консумацията в страната на българско производство. Провеждането на комуникационни кампании ще</w:t>
            </w:r>
            <w:r w:rsidRPr="00F44BFC">
              <w:rPr>
                <w:rFonts w:ascii="Arial Narrow" w:hAnsi="Arial Narrow"/>
                <w:sz w:val="20"/>
                <w:szCs w:val="20"/>
                <w:lang w:val="bg-BG" w:eastAsia="bg-BG"/>
              </w:rPr>
              <w:br/>
              <w:t>мотивира потребителите за информиран, здравословен избор на храна.</w:t>
            </w:r>
          </w:p>
        </w:tc>
        <w:tc>
          <w:tcPr>
            <w:tcW w:w="1218" w:type="dxa"/>
            <w:tcBorders>
              <w:top w:val="nil"/>
              <w:left w:val="nil"/>
              <w:bottom w:val="single" w:sz="4" w:space="0" w:color="auto"/>
              <w:right w:val="single" w:sz="4" w:space="0" w:color="auto"/>
            </w:tcBorders>
            <w:shd w:val="clear" w:color="auto" w:fill="auto"/>
            <w:vAlign w:val="center"/>
            <w:hideMark/>
          </w:tcPr>
          <w:p w14:paraId="1566E53B" w14:textId="77777777" w:rsidR="00F44BFC" w:rsidRPr="00F44BFC" w:rsidRDefault="00F44BFC" w:rsidP="00F44BFC">
            <w:pPr>
              <w:jc w:val="center"/>
              <w:rPr>
                <w:rFonts w:ascii="Arial Narrow" w:hAnsi="Arial Narrow"/>
                <w:sz w:val="20"/>
                <w:szCs w:val="20"/>
                <w:lang w:val="bg-BG" w:eastAsia="bg-BG"/>
              </w:rPr>
            </w:pPr>
            <w:r w:rsidRPr="00F44BFC">
              <w:rPr>
                <w:rFonts w:ascii="Arial Narrow" w:hAnsi="Arial Narrow"/>
                <w:sz w:val="20"/>
                <w:szCs w:val="20"/>
                <w:lang w:val="bg-BG" w:eastAsia="bg-BG"/>
              </w:rPr>
              <w:t xml:space="preserve">955 800,00 </w:t>
            </w:r>
          </w:p>
        </w:tc>
        <w:tc>
          <w:tcPr>
            <w:tcW w:w="1218" w:type="dxa"/>
            <w:tcBorders>
              <w:top w:val="nil"/>
              <w:left w:val="nil"/>
              <w:bottom w:val="single" w:sz="4" w:space="0" w:color="auto"/>
              <w:right w:val="single" w:sz="4" w:space="0" w:color="auto"/>
            </w:tcBorders>
            <w:shd w:val="clear" w:color="000000" w:fill="FFFFFF"/>
            <w:vAlign w:val="center"/>
            <w:hideMark/>
          </w:tcPr>
          <w:p w14:paraId="2774C700" w14:textId="77777777" w:rsidR="00F44BFC" w:rsidRPr="00F44BFC" w:rsidRDefault="00F44BFC" w:rsidP="00F44BFC">
            <w:pPr>
              <w:jc w:val="center"/>
              <w:rPr>
                <w:rFonts w:ascii="Arial Narrow" w:hAnsi="Arial Narrow"/>
                <w:sz w:val="20"/>
                <w:szCs w:val="20"/>
                <w:lang w:val="bg-BG" w:eastAsia="bg-BG"/>
              </w:rPr>
            </w:pPr>
            <w:r w:rsidRPr="00F44BFC">
              <w:rPr>
                <w:rFonts w:ascii="Arial Narrow" w:hAnsi="Arial Narrow"/>
                <w:sz w:val="20"/>
                <w:szCs w:val="20"/>
                <w:lang w:val="bg-BG" w:eastAsia="bg-BG"/>
              </w:rPr>
              <w:t>3-то тримесечие</w:t>
            </w:r>
          </w:p>
        </w:tc>
        <w:tc>
          <w:tcPr>
            <w:tcW w:w="1290" w:type="dxa"/>
            <w:tcBorders>
              <w:top w:val="nil"/>
              <w:left w:val="nil"/>
              <w:bottom w:val="single" w:sz="4" w:space="0" w:color="auto"/>
              <w:right w:val="single" w:sz="4" w:space="0" w:color="auto"/>
            </w:tcBorders>
            <w:shd w:val="clear" w:color="000000" w:fill="FFFFFF"/>
            <w:vAlign w:val="center"/>
            <w:hideMark/>
          </w:tcPr>
          <w:p w14:paraId="4603182D" w14:textId="77777777" w:rsidR="00F44BFC" w:rsidRPr="00F44BFC" w:rsidRDefault="00F44BFC" w:rsidP="00F44BFC">
            <w:pPr>
              <w:jc w:val="center"/>
              <w:rPr>
                <w:rFonts w:ascii="Arial Narrow" w:hAnsi="Arial Narrow"/>
                <w:sz w:val="20"/>
                <w:szCs w:val="20"/>
                <w:lang w:val="bg-BG" w:eastAsia="bg-BG"/>
              </w:rPr>
            </w:pPr>
            <w:r w:rsidRPr="00F44BFC">
              <w:rPr>
                <w:rFonts w:ascii="Arial Narrow" w:hAnsi="Arial Narrow"/>
                <w:sz w:val="20"/>
                <w:szCs w:val="20"/>
                <w:lang w:val="bg-BG" w:eastAsia="bg-BG"/>
              </w:rPr>
              <w:t>90 дни от датата на обявяване на процедурата</w:t>
            </w:r>
          </w:p>
        </w:tc>
        <w:tc>
          <w:tcPr>
            <w:tcW w:w="1275" w:type="dxa"/>
            <w:tcBorders>
              <w:top w:val="nil"/>
              <w:left w:val="nil"/>
              <w:bottom w:val="single" w:sz="4" w:space="0" w:color="auto"/>
              <w:right w:val="single" w:sz="4" w:space="0" w:color="auto"/>
            </w:tcBorders>
            <w:shd w:val="clear" w:color="auto" w:fill="auto"/>
            <w:vAlign w:val="center"/>
            <w:hideMark/>
          </w:tcPr>
          <w:p w14:paraId="7FC353A1" w14:textId="77777777" w:rsidR="00F44BFC" w:rsidRPr="00F44BFC" w:rsidRDefault="00F44BFC" w:rsidP="00F44BFC">
            <w:pPr>
              <w:rPr>
                <w:rFonts w:ascii="Arial Narrow" w:hAnsi="Arial Narrow"/>
                <w:sz w:val="20"/>
                <w:szCs w:val="20"/>
                <w:lang w:val="bg-BG" w:eastAsia="bg-BG"/>
              </w:rPr>
            </w:pPr>
            <w:r w:rsidRPr="00F44BFC">
              <w:rPr>
                <w:rFonts w:ascii="Arial Narrow" w:hAnsi="Arial Narrow"/>
                <w:sz w:val="20"/>
                <w:szCs w:val="20"/>
                <w:lang w:val="bg-BG" w:eastAsia="bg-BG"/>
              </w:rPr>
              <w:t xml:space="preserve"> неприложимо  </w:t>
            </w:r>
          </w:p>
        </w:tc>
        <w:tc>
          <w:tcPr>
            <w:tcW w:w="1276" w:type="dxa"/>
            <w:tcBorders>
              <w:top w:val="nil"/>
              <w:left w:val="nil"/>
              <w:bottom w:val="single" w:sz="4" w:space="0" w:color="auto"/>
              <w:right w:val="single" w:sz="4" w:space="0" w:color="auto"/>
            </w:tcBorders>
            <w:shd w:val="clear" w:color="000000" w:fill="FFFFFF"/>
            <w:vAlign w:val="center"/>
            <w:hideMark/>
          </w:tcPr>
          <w:p w14:paraId="036C4D2A" w14:textId="77777777" w:rsidR="00F44BFC" w:rsidRPr="00F44BFC" w:rsidRDefault="00F44BFC" w:rsidP="00F44BFC">
            <w:pPr>
              <w:jc w:val="center"/>
              <w:rPr>
                <w:rFonts w:ascii="Arial Narrow" w:hAnsi="Arial Narrow"/>
                <w:sz w:val="20"/>
                <w:szCs w:val="20"/>
                <w:lang w:val="bg-BG" w:eastAsia="bg-BG"/>
              </w:rPr>
            </w:pPr>
            <w:r w:rsidRPr="00F44BFC">
              <w:rPr>
                <w:rFonts w:ascii="Arial Narrow" w:hAnsi="Arial Narrow"/>
                <w:sz w:val="20"/>
                <w:szCs w:val="20"/>
                <w:lang w:val="bg-BG" w:eastAsia="bg-BG"/>
              </w:rPr>
              <w:t xml:space="preserve"> 955 800,00 </w:t>
            </w:r>
          </w:p>
        </w:tc>
      </w:tr>
      <w:tr w:rsidR="00F44BFC" w:rsidRPr="00F44BFC" w14:paraId="52F2C902" w14:textId="77777777" w:rsidTr="00F44BFC">
        <w:trPr>
          <w:trHeight w:val="982"/>
        </w:trPr>
        <w:tc>
          <w:tcPr>
            <w:tcW w:w="10135" w:type="dxa"/>
            <w:gridSpan w:val="8"/>
            <w:tcBorders>
              <w:top w:val="single" w:sz="4" w:space="0" w:color="auto"/>
              <w:left w:val="single" w:sz="4" w:space="0" w:color="auto"/>
              <w:bottom w:val="single" w:sz="4" w:space="0" w:color="auto"/>
              <w:right w:val="single" w:sz="4" w:space="0" w:color="000000"/>
            </w:tcBorders>
            <w:shd w:val="clear" w:color="auto" w:fill="auto"/>
            <w:vAlign w:val="center"/>
            <w:hideMark/>
          </w:tcPr>
          <w:p w14:paraId="5AE9B5DD" w14:textId="77777777" w:rsidR="00F44BFC" w:rsidRPr="00F44BFC" w:rsidRDefault="00F44BFC" w:rsidP="00F44BFC">
            <w:pPr>
              <w:rPr>
                <w:rFonts w:ascii="Arial Narrow" w:hAnsi="Arial Narrow"/>
                <w:b/>
                <w:bCs/>
                <w:sz w:val="20"/>
                <w:szCs w:val="20"/>
                <w:lang w:val="bg-BG" w:eastAsia="bg-BG"/>
              </w:rPr>
            </w:pPr>
            <w:r w:rsidRPr="00F44BFC">
              <w:rPr>
                <w:rFonts w:ascii="Arial Narrow" w:hAnsi="Arial Narrow"/>
                <w:b/>
                <w:bCs/>
                <w:sz w:val="20"/>
                <w:szCs w:val="20"/>
                <w:lang w:val="bg-BG" w:eastAsia="bg-BG"/>
              </w:rPr>
              <w:t xml:space="preserve">Приоритет 3 Създаване на предпоставки за растеж на устойчивата синя икономика и стимулиране на развитието на общностите, занимаващи се с рибарство и аквакултури, в крайбрежните и вътрешните райони </w:t>
            </w:r>
          </w:p>
        </w:tc>
      </w:tr>
      <w:tr w:rsidR="00F44BFC" w:rsidRPr="00F44BFC" w14:paraId="6AF30E16" w14:textId="77777777" w:rsidTr="00F44BFC">
        <w:trPr>
          <w:trHeight w:val="2828"/>
        </w:trPr>
        <w:tc>
          <w:tcPr>
            <w:tcW w:w="442" w:type="dxa"/>
            <w:tcBorders>
              <w:top w:val="nil"/>
              <w:left w:val="single" w:sz="4" w:space="0" w:color="auto"/>
              <w:bottom w:val="single" w:sz="4" w:space="0" w:color="auto"/>
              <w:right w:val="single" w:sz="4" w:space="0" w:color="auto"/>
            </w:tcBorders>
            <w:shd w:val="clear" w:color="auto" w:fill="auto"/>
            <w:vAlign w:val="center"/>
            <w:hideMark/>
          </w:tcPr>
          <w:p w14:paraId="471636E1" w14:textId="77777777" w:rsidR="00F44BFC" w:rsidRPr="00F44BFC" w:rsidRDefault="00F44BFC" w:rsidP="00F44BFC">
            <w:pPr>
              <w:jc w:val="center"/>
              <w:rPr>
                <w:rFonts w:ascii="Arial Narrow" w:hAnsi="Arial Narrow"/>
                <w:sz w:val="20"/>
                <w:szCs w:val="20"/>
                <w:lang w:val="bg-BG" w:eastAsia="bg-BG"/>
              </w:rPr>
            </w:pPr>
            <w:r w:rsidRPr="00F44BFC">
              <w:rPr>
                <w:rFonts w:ascii="Arial Narrow" w:hAnsi="Arial Narrow"/>
                <w:sz w:val="20"/>
                <w:szCs w:val="20"/>
                <w:lang w:val="bg-BG" w:eastAsia="bg-BG"/>
              </w:rPr>
              <w:lastRenderedPageBreak/>
              <w:t>10</w:t>
            </w:r>
          </w:p>
        </w:tc>
        <w:tc>
          <w:tcPr>
            <w:tcW w:w="1755" w:type="dxa"/>
            <w:tcBorders>
              <w:top w:val="nil"/>
              <w:left w:val="nil"/>
              <w:bottom w:val="single" w:sz="4" w:space="0" w:color="auto"/>
              <w:right w:val="single" w:sz="4" w:space="0" w:color="auto"/>
            </w:tcBorders>
            <w:shd w:val="clear" w:color="auto" w:fill="auto"/>
            <w:vAlign w:val="center"/>
            <w:hideMark/>
          </w:tcPr>
          <w:p w14:paraId="3A4437D2" w14:textId="77777777" w:rsidR="00F44BFC" w:rsidRPr="00F44BFC" w:rsidRDefault="00F44BFC" w:rsidP="00F44BFC">
            <w:pPr>
              <w:rPr>
                <w:rFonts w:ascii="Arial Narrow" w:hAnsi="Arial Narrow"/>
                <w:sz w:val="20"/>
                <w:szCs w:val="20"/>
                <w:lang w:val="bg-BG" w:eastAsia="bg-BG"/>
              </w:rPr>
            </w:pPr>
            <w:r w:rsidRPr="00F44BFC">
              <w:rPr>
                <w:rFonts w:ascii="Arial Narrow" w:hAnsi="Arial Narrow"/>
                <w:sz w:val="20"/>
                <w:szCs w:val="20"/>
                <w:lang w:val="bg-BG" w:eastAsia="bg-BG"/>
              </w:rPr>
              <w:t>Изпълнение на стратегии за Водено от общностите местно развитие, вкл. текущи разходи и дейности за популяризиране на територията</w:t>
            </w:r>
          </w:p>
        </w:tc>
        <w:tc>
          <w:tcPr>
            <w:tcW w:w="1661" w:type="dxa"/>
            <w:tcBorders>
              <w:top w:val="nil"/>
              <w:left w:val="nil"/>
              <w:bottom w:val="single" w:sz="4" w:space="0" w:color="auto"/>
              <w:right w:val="single" w:sz="4" w:space="0" w:color="auto"/>
            </w:tcBorders>
            <w:shd w:val="clear" w:color="auto" w:fill="auto"/>
            <w:vAlign w:val="center"/>
            <w:hideMark/>
          </w:tcPr>
          <w:p w14:paraId="661E4436" w14:textId="77777777" w:rsidR="00F44BFC" w:rsidRPr="00F44BFC" w:rsidRDefault="00F44BFC" w:rsidP="00F44BFC">
            <w:pPr>
              <w:rPr>
                <w:rFonts w:ascii="Arial Narrow" w:hAnsi="Arial Narrow"/>
                <w:sz w:val="20"/>
                <w:szCs w:val="20"/>
                <w:lang w:val="bg-BG" w:eastAsia="bg-BG"/>
              </w:rPr>
            </w:pPr>
            <w:r w:rsidRPr="00F44BFC">
              <w:rPr>
                <w:rFonts w:ascii="Arial Narrow" w:hAnsi="Arial Narrow"/>
                <w:sz w:val="20"/>
                <w:szCs w:val="20"/>
                <w:lang w:val="bg-BG" w:eastAsia="bg-BG"/>
              </w:rPr>
              <w:t xml:space="preserve">Повишаване на качеството на живот на населението в общностите, зависими от рибарството и аквакултурите, чрез устойчива синяикономика, като се използват и укрепват екологичните, културните, социалните и човешките ресурси  </w:t>
            </w:r>
          </w:p>
        </w:tc>
        <w:tc>
          <w:tcPr>
            <w:tcW w:w="1218" w:type="dxa"/>
            <w:tcBorders>
              <w:top w:val="nil"/>
              <w:left w:val="nil"/>
              <w:bottom w:val="single" w:sz="4" w:space="0" w:color="auto"/>
              <w:right w:val="single" w:sz="4" w:space="0" w:color="auto"/>
            </w:tcBorders>
            <w:shd w:val="clear" w:color="auto" w:fill="auto"/>
            <w:vAlign w:val="center"/>
            <w:hideMark/>
          </w:tcPr>
          <w:p w14:paraId="322BAC0D" w14:textId="77777777" w:rsidR="00F44BFC" w:rsidRPr="00F44BFC" w:rsidRDefault="00F44BFC" w:rsidP="00F44BFC">
            <w:pPr>
              <w:jc w:val="center"/>
              <w:rPr>
                <w:rFonts w:ascii="Arial Narrow" w:hAnsi="Arial Narrow"/>
                <w:sz w:val="20"/>
                <w:szCs w:val="20"/>
                <w:lang w:val="bg-BG" w:eastAsia="bg-BG"/>
              </w:rPr>
            </w:pPr>
            <w:r w:rsidRPr="00F44BFC">
              <w:rPr>
                <w:rFonts w:ascii="Arial Narrow" w:hAnsi="Arial Narrow"/>
                <w:sz w:val="20"/>
                <w:szCs w:val="20"/>
                <w:lang w:val="bg-BG" w:eastAsia="bg-BG"/>
              </w:rPr>
              <w:t xml:space="preserve">46 772 789,36  </w:t>
            </w:r>
          </w:p>
        </w:tc>
        <w:tc>
          <w:tcPr>
            <w:tcW w:w="1218" w:type="dxa"/>
            <w:tcBorders>
              <w:top w:val="nil"/>
              <w:left w:val="nil"/>
              <w:bottom w:val="single" w:sz="4" w:space="0" w:color="auto"/>
              <w:right w:val="single" w:sz="4" w:space="0" w:color="auto"/>
            </w:tcBorders>
            <w:shd w:val="clear" w:color="000000" w:fill="FFFFFF"/>
            <w:vAlign w:val="center"/>
            <w:hideMark/>
          </w:tcPr>
          <w:p w14:paraId="50743FCB" w14:textId="77777777" w:rsidR="00F44BFC" w:rsidRPr="00F44BFC" w:rsidRDefault="00F44BFC" w:rsidP="00F44BFC">
            <w:pPr>
              <w:jc w:val="center"/>
              <w:rPr>
                <w:rFonts w:ascii="Arial Narrow" w:hAnsi="Arial Narrow"/>
                <w:sz w:val="20"/>
                <w:szCs w:val="20"/>
                <w:lang w:val="bg-BG" w:eastAsia="bg-BG"/>
              </w:rPr>
            </w:pPr>
            <w:r w:rsidRPr="00F44BFC">
              <w:rPr>
                <w:rFonts w:ascii="Arial Narrow" w:hAnsi="Arial Narrow"/>
                <w:sz w:val="20"/>
                <w:szCs w:val="20"/>
                <w:lang w:val="bg-BG" w:eastAsia="bg-BG"/>
              </w:rPr>
              <w:t>1-во тримесечие</w:t>
            </w:r>
          </w:p>
        </w:tc>
        <w:tc>
          <w:tcPr>
            <w:tcW w:w="1290" w:type="dxa"/>
            <w:tcBorders>
              <w:top w:val="nil"/>
              <w:left w:val="nil"/>
              <w:bottom w:val="single" w:sz="4" w:space="0" w:color="auto"/>
              <w:right w:val="single" w:sz="4" w:space="0" w:color="auto"/>
            </w:tcBorders>
            <w:shd w:val="clear" w:color="000000" w:fill="FFFFFF"/>
            <w:vAlign w:val="center"/>
            <w:hideMark/>
          </w:tcPr>
          <w:p w14:paraId="16C03D1E" w14:textId="77777777" w:rsidR="00F44BFC" w:rsidRPr="00F44BFC" w:rsidRDefault="00F44BFC" w:rsidP="00F44BFC">
            <w:pPr>
              <w:jc w:val="center"/>
              <w:rPr>
                <w:rFonts w:ascii="Arial Narrow" w:hAnsi="Arial Narrow"/>
                <w:sz w:val="20"/>
                <w:szCs w:val="20"/>
                <w:lang w:val="bg-BG" w:eastAsia="bg-BG"/>
              </w:rPr>
            </w:pPr>
            <w:r w:rsidRPr="00F44BFC">
              <w:rPr>
                <w:rFonts w:ascii="Arial Narrow" w:hAnsi="Arial Narrow"/>
                <w:sz w:val="20"/>
                <w:szCs w:val="20"/>
                <w:lang w:val="bg-BG" w:eastAsia="bg-BG"/>
              </w:rPr>
              <w:t>90 дни от датата на обявяване на процедурата</w:t>
            </w:r>
          </w:p>
        </w:tc>
        <w:tc>
          <w:tcPr>
            <w:tcW w:w="1275" w:type="dxa"/>
            <w:tcBorders>
              <w:top w:val="nil"/>
              <w:left w:val="nil"/>
              <w:bottom w:val="single" w:sz="4" w:space="0" w:color="auto"/>
              <w:right w:val="single" w:sz="4" w:space="0" w:color="auto"/>
            </w:tcBorders>
            <w:shd w:val="clear" w:color="auto" w:fill="auto"/>
            <w:vAlign w:val="center"/>
            <w:hideMark/>
          </w:tcPr>
          <w:p w14:paraId="67F570BA" w14:textId="77777777" w:rsidR="00F44BFC" w:rsidRPr="00F44BFC" w:rsidRDefault="00F44BFC" w:rsidP="00F44BFC">
            <w:pPr>
              <w:rPr>
                <w:rFonts w:ascii="Arial Narrow" w:hAnsi="Arial Narrow"/>
                <w:sz w:val="20"/>
                <w:szCs w:val="20"/>
                <w:lang w:val="bg-BG" w:eastAsia="bg-BG"/>
              </w:rPr>
            </w:pPr>
            <w:r w:rsidRPr="00F44BFC">
              <w:rPr>
                <w:rFonts w:ascii="Arial Narrow" w:hAnsi="Arial Narrow"/>
                <w:sz w:val="20"/>
                <w:szCs w:val="20"/>
                <w:lang w:val="bg-BG" w:eastAsia="bg-BG"/>
              </w:rPr>
              <w:t>неприложимо</w:t>
            </w:r>
          </w:p>
        </w:tc>
        <w:tc>
          <w:tcPr>
            <w:tcW w:w="1276" w:type="dxa"/>
            <w:tcBorders>
              <w:top w:val="nil"/>
              <w:left w:val="nil"/>
              <w:bottom w:val="single" w:sz="4" w:space="0" w:color="auto"/>
              <w:right w:val="single" w:sz="4" w:space="0" w:color="auto"/>
            </w:tcBorders>
            <w:shd w:val="clear" w:color="000000" w:fill="FFFFFF"/>
            <w:vAlign w:val="center"/>
            <w:hideMark/>
          </w:tcPr>
          <w:p w14:paraId="4DF27EB0" w14:textId="77777777" w:rsidR="00F44BFC" w:rsidRPr="00F44BFC" w:rsidRDefault="00F44BFC" w:rsidP="00F44BFC">
            <w:pPr>
              <w:jc w:val="center"/>
              <w:rPr>
                <w:rFonts w:ascii="Arial Narrow" w:hAnsi="Arial Narrow"/>
                <w:sz w:val="20"/>
                <w:szCs w:val="20"/>
                <w:lang w:val="bg-BG" w:eastAsia="bg-BG"/>
              </w:rPr>
            </w:pPr>
            <w:r w:rsidRPr="00F44BFC">
              <w:rPr>
                <w:rFonts w:ascii="Arial Narrow" w:hAnsi="Arial Narrow"/>
                <w:sz w:val="20"/>
                <w:szCs w:val="20"/>
                <w:lang w:val="bg-BG" w:eastAsia="bg-BG"/>
              </w:rPr>
              <w:t xml:space="preserve">Макс. размер на допустимата БФП за една стратегия по ЕФМДРА: </w:t>
            </w:r>
            <w:r w:rsidRPr="00F44BFC">
              <w:rPr>
                <w:rFonts w:ascii="Arial Narrow" w:hAnsi="Arial Narrow"/>
                <w:sz w:val="20"/>
                <w:szCs w:val="20"/>
                <w:lang w:val="bg-BG" w:eastAsia="bg-BG"/>
              </w:rPr>
              <w:br/>
              <w:t>- За МИРГ, съставена от две общини – до 2 933 700 лв., от които до 25% за текущи разходи и популяризиране</w:t>
            </w:r>
            <w:r w:rsidRPr="00F44BFC">
              <w:rPr>
                <w:rFonts w:ascii="Arial Narrow" w:hAnsi="Arial Narrow"/>
                <w:sz w:val="20"/>
                <w:szCs w:val="20"/>
                <w:lang w:val="bg-BG" w:eastAsia="bg-BG"/>
              </w:rPr>
              <w:br/>
              <w:t>- За МИРГ, съставена от три и повече общини – до 3 911 600 лв., от които до 25% за текущи разходи и популяризиране</w:t>
            </w:r>
            <w:r w:rsidRPr="00F44BFC">
              <w:rPr>
                <w:rFonts w:ascii="Arial Narrow" w:hAnsi="Arial Narrow"/>
                <w:sz w:val="20"/>
                <w:szCs w:val="20"/>
                <w:lang w:val="bg-BG" w:eastAsia="bg-BG"/>
              </w:rPr>
              <w:br/>
              <w:t>Максимален размер на допустимата БФП за един проект по стратегия за ВОМР е 391 160 лева.</w:t>
            </w:r>
          </w:p>
        </w:tc>
      </w:tr>
    </w:tbl>
    <w:p w14:paraId="09704E44" w14:textId="77777777" w:rsidR="00F44BFC" w:rsidRPr="00DA4E40" w:rsidRDefault="00F44BFC" w:rsidP="00DA4E40">
      <w:pPr>
        <w:spacing w:after="240"/>
        <w:jc w:val="both"/>
        <w:rPr>
          <w:rFonts w:ascii="Arial Narrow" w:hAnsi="Arial Narrow"/>
          <w:sz w:val="18"/>
          <w:szCs w:val="18"/>
          <w:lang w:val="bg-BG" w:eastAsia="bg-BG"/>
        </w:rPr>
      </w:pPr>
      <w:r w:rsidRPr="00DA4E40">
        <w:rPr>
          <w:rFonts w:ascii="Arial Narrow" w:hAnsi="Arial Narrow"/>
          <w:i/>
          <w:sz w:val="18"/>
          <w:szCs w:val="18"/>
          <w:lang w:val="bg-BG" w:eastAsia="bg-BG"/>
        </w:rPr>
        <w:t xml:space="preserve">Източник: </w:t>
      </w:r>
      <w:r w:rsidRPr="00DA4E40">
        <w:rPr>
          <w:rFonts w:ascii="Arial Narrow" w:hAnsi="Arial Narrow"/>
          <w:sz w:val="18"/>
          <w:szCs w:val="18"/>
          <w:lang w:val="bg-BG" w:eastAsia="bg-BG"/>
        </w:rPr>
        <w:t>МЗХ, дир</w:t>
      </w:r>
      <w:r w:rsidR="00DA4E40">
        <w:rPr>
          <w:rFonts w:ascii="Arial Narrow" w:hAnsi="Arial Narrow"/>
          <w:sz w:val="18"/>
          <w:szCs w:val="18"/>
          <w:lang w:val="bg-BG" w:eastAsia="bg-BG"/>
        </w:rPr>
        <w:t>екция „Морско дело и рибарство”</w:t>
      </w:r>
    </w:p>
    <w:p w14:paraId="34774C50" w14:textId="77777777" w:rsidR="00DA4E40" w:rsidRPr="00DA4E40" w:rsidRDefault="00554300" w:rsidP="00DA4E40">
      <w:pPr>
        <w:widowControl w:val="0"/>
        <w:numPr>
          <w:ilvl w:val="0"/>
          <w:numId w:val="12"/>
        </w:numPr>
        <w:spacing w:after="120"/>
        <w:ind w:left="714" w:hanging="357"/>
        <w:outlineLvl w:val="0"/>
        <w:rPr>
          <w:rFonts w:ascii="Arial Narrow" w:hAnsi="Arial Narrow" w:cstheme="minorBidi"/>
          <w:b/>
          <w:lang w:val="bg-BG"/>
        </w:rPr>
      </w:pPr>
      <w:bookmarkStart w:id="274" w:name="_Toc210747694"/>
      <w:r w:rsidRPr="00DA4E40">
        <w:rPr>
          <w:rFonts w:ascii="Arial Narrow" w:hAnsi="Arial Narrow" w:cstheme="minorBidi"/>
          <w:b/>
          <w:lang w:val="bg-BG"/>
        </w:rPr>
        <w:t>Обща политика в областта на рибарството</w:t>
      </w:r>
      <w:bookmarkEnd w:id="274"/>
    </w:p>
    <w:p w14:paraId="5FB76916" w14:textId="77777777" w:rsidR="00DA4E40" w:rsidRPr="00DA4E40" w:rsidRDefault="00DA4E40" w:rsidP="00DA4E40">
      <w:pPr>
        <w:tabs>
          <w:tab w:val="left" w:pos="567"/>
        </w:tabs>
        <w:spacing w:after="120"/>
        <w:ind w:firstLine="709"/>
        <w:jc w:val="both"/>
        <w:rPr>
          <w:rFonts w:ascii="Arial Narrow" w:hAnsi="Arial Narrow"/>
          <w:bCs/>
          <w:lang w:val="bg-BG" w:eastAsia="bg-BG"/>
        </w:rPr>
      </w:pPr>
      <w:r w:rsidRPr="00DA4E40">
        <w:rPr>
          <w:rFonts w:ascii="Arial Narrow" w:hAnsi="Arial Narrow"/>
          <w:bCs/>
          <w:lang w:val="bg-BG" w:eastAsia="bg-BG"/>
        </w:rPr>
        <w:t>Общата политика в областта на рибарството (ОПОР) има за цел създаване на условия за устойчиво развитие на сектор Рибарство, включващ стопански и любителски риболов, аквакултури, търговия и преработка на продукти от риболов и аквакултури.</w:t>
      </w:r>
    </w:p>
    <w:p w14:paraId="1A474A89" w14:textId="77777777" w:rsidR="00DA4E40" w:rsidRPr="00DA4E40" w:rsidRDefault="00DA4E40" w:rsidP="00DA4E40">
      <w:pPr>
        <w:tabs>
          <w:tab w:val="left" w:pos="567"/>
        </w:tabs>
        <w:spacing w:after="120"/>
        <w:ind w:firstLine="709"/>
        <w:jc w:val="both"/>
        <w:rPr>
          <w:rFonts w:ascii="Arial Narrow" w:hAnsi="Arial Narrow"/>
          <w:bCs/>
          <w:lang w:val="bg-BG" w:eastAsia="bg-BG"/>
        </w:rPr>
      </w:pPr>
      <w:r w:rsidRPr="00DA4E40">
        <w:rPr>
          <w:rFonts w:ascii="Arial Narrow" w:hAnsi="Arial Narrow"/>
          <w:bCs/>
          <w:lang w:val="bg-BG" w:eastAsia="bg-BG"/>
        </w:rPr>
        <w:t xml:space="preserve">Един от елемените на ОПОР е Общата организация на пазарите (ООП) на продукти от риболов и аквакултури, която има за цел да защити производителите и да гарантира екологична устойчивост и икономическа жизнеспособност на пазара на продукти от риболов и аквакултури. Основен фактор за постигане на целите на ООП са организациите на производители на продукти от риболов и/или на продукти от аквакултури, асоциации на организации на производители и междубраншови организации в сектора на рибарството. </w:t>
      </w:r>
    </w:p>
    <w:p w14:paraId="3C031F92" w14:textId="77777777" w:rsidR="00DA4E40" w:rsidRPr="00DA4E40" w:rsidRDefault="00DA4E40" w:rsidP="00DA4E40">
      <w:pPr>
        <w:tabs>
          <w:tab w:val="left" w:pos="567"/>
        </w:tabs>
        <w:spacing w:after="120"/>
        <w:ind w:firstLine="709"/>
        <w:jc w:val="both"/>
        <w:rPr>
          <w:rFonts w:ascii="Arial Narrow" w:hAnsi="Arial Narrow"/>
          <w:bCs/>
          <w:lang w:val="bg-BG" w:eastAsia="bg-BG"/>
        </w:rPr>
      </w:pPr>
      <w:r w:rsidRPr="00DA4E40">
        <w:rPr>
          <w:rFonts w:ascii="Arial Narrow" w:hAnsi="Arial Narrow"/>
          <w:bCs/>
          <w:lang w:val="bg-BG" w:eastAsia="bg-BG"/>
        </w:rPr>
        <w:t xml:space="preserve">През 2024 г., във връзка с осъществяване на контрол върху професионалните организации в сектора на рибарството, признати по реда на Закона за рибарството и аквакултурите и Наредба № 7 от 2018 г. за условията и реда за признаване на организации на производители на продукти от риболов и на продукти от аквакултури, асоциации на организации на производители и междубраншови организации в сектора на рибарството и за одобрение на планове за производство и предлагане на пазара, са извършени проверки за установяване на съответствието им с изискванията на нормативната уредба и за констатиране степента на изпълнение на Плановете за производство и предлагане на пазара на признатите организации </w:t>
      </w:r>
      <w:r w:rsidRPr="00DA4E40">
        <w:rPr>
          <w:rFonts w:ascii="Arial Narrow" w:hAnsi="Arial Narrow"/>
          <w:bCs/>
          <w:lang w:val="bg-BG" w:eastAsia="bg-BG"/>
        </w:rPr>
        <w:lastRenderedPageBreak/>
        <w:t>на производители - сдружение „Черноморски изгрев“ и сдружение „Организация на производителите Черноморска мида“. Постоянната комисия за признаване на организации на производители на продукти от риболов и/или на продукти от аквакултури, асоциации на организации на производители и междубраншови организации в сектора на рибарството и за осъществяване на контрол върху дейността извърши 8 проверки и проведе 4 заседания през 2024 г. Одобрен е План за производство и предлагане на пазара за 2024 г. на сдружение „Организация на производителите Черноморска мида“.</w:t>
      </w:r>
    </w:p>
    <w:p w14:paraId="5EDEE78C" w14:textId="77777777" w:rsidR="00DA4E40" w:rsidRPr="00DA4E40" w:rsidRDefault="00DA4E40" w:rsidP="00DA4E40">
      <w:pPr>
        <w:tabs>
          <w:tab w:val="left" w:pos="567"/>
        </w:tabs>
        <w:spacing w:after="120"/>
        <w:ind w:firstLine="709"/>
        <w:jc w:val="both"/>
        <w:rPr>
          <w:rFonts w:ascii="Arial Narrow" w:hAnsi="Arial Narrow"/>
          <w:bCs/>
          <w:lang w:val="bg-BG" w:eastAsia="bg-BG"/>
        </w:rPr>
      </w:pPr>
      <w:r w:rsidRPr="00DA4E40">
        <w:rPr>
          <w:rFonts w:ascii="Arial Narrow" w:hAnsi="Arial Narrow"/>
          <w:bCs/>
          <w:lang w:val="bg-BG" w:eastAsia="bg-BG"/>
        </w:rPr>
        <w:t xml:space="preserve">В изпълнение на изискванията на европейското законодателство и с цел предоставяне на достъпна и разбираема информация на потребителите относно предлаганите на пазара продукти от риболов и аквакултури през годината е актуализиран и допълнен националният списък с използваните търговски обозначения на продукти от риболов и аквакултури. </w:t>
      </w:r>
    </w:p>
    <w:p w14:paraId="2865D8F3" w14:textId="77777777" w:rsidR="00DA4E40" w:rsidRPr="00DA4E40" w:rsidRDefault="00DA4E40" w:rsidP="00DA4E40">
      <w:pPr>
        <w:tabs>
          <w:tab w:val="left" w:pos="567"/>
        </w:tabs>
        <w:spacing w:after="120"/>
        <w:ind w:firstLine="709"/>
        <w:jc w:val="both"/>
        <w:rPr>
          <w:rFonts w:ascii="Arial Narrow" w:hAnsi="Arial Narrow"/>
          <w:bCs/>
          <w:lang w:val="bg-BG" w:eastAsia="bg-BG"/>
        </w:rPr>
      </w:pPr>
      <w:r w:rsidRPr="00DA4E40">
        <w:rPr>
          <w:rFonts w:ascii="Arial Narrow" w:hAnsi="Arial Narrow"/>
          <w:bCs/>
          <w:lang w:val="bg-BG" w:eastAsia="bg-BG"/>
        </w:rPr>
        <w:t xml:space="preserve">С цел опазване на популациите от риба и други водни организми, през 2024 г. са въведени редица ограничения и временни забрани за риболов в естествени и изкуствени водни обекти на територията на цялата страна. Създадени са условия за защита на рибите и другите водни организми в периода на тяхното размножаване. Въведени са мерки за регулиране ползването на рибните ресурси през тъмната част на денонощието и за извършване на зарибяване в определени водоеми. За опазване на основните видове бели пясъчни миди, обект на стопански риболов, е въведено ограничение за улова им през пролетния размножителен максимум в периода 1 май – 7 юни 2024 г. С цел намаляване на въздействието на стопанския риболов върху структурата на дънни екосистеми в Черно море, е определена зона в българската акватория (зона „Бяла - Обзор“), в която е забранено използването на бийм трал за период от 2 години. </w:t>
      </w:r>
    </w:p>
    <w:p w14:paraId="6640BC1D" w14:textId="77777777" w:rsidR="00DA4E40" w:rsidRPr="00DA4E40" w:rsidRDefault="00DA4E40" w:rsidP="00DA4E40">
      <w:pPr>
        <w:tabs>
          <w:tab w:val="left" w:pos="567"/>
        </w:tabs>
        <w:spacing w:after="120"/>
        <w:ind w:firstLine="709"/>
        <w:jc w:val="both"/>
        <w:rPr>
          <w:rFonts w:ascii="Arial Narrow" w:hAnsi="Arial Narrow"/>
          <w:bCs/>
          <w:lang w:val="bg-BG" w:eastAsia="bg-BG"/>
        </w:rPr>
      </w:pPr>
      <w:r w:rsidRPr="00DA4E40">
        <w:rPr>
          <w:rFonts w:ascii="Arial Narrow" w:hAnsi="Arial Narrow"/>
          <w:bCs/>
          <w:lang w:val="bg-BG" w:eastAsia="bg-BG"/>
        </w:rPr>
        <w:t>През 2024 г. е възложено управлението на рибните ресурси в язовирите Сопот, Горни Дъбник и Дъбника на сдружения за любителски риболов по чл. 11 от ЗРА. Съгласно процедурата, определена в Наредба № 22 от 10.12.2007 г. за реда за предоставяне управлението на рибните ресурси в изкуствени водни обекти - държавна собственост на сдружения за любителски риболов, сдруженията, на които е възложено управлението на рибния ресурс за любителски риболов, осъществяват контрол и охрана на язовирите, както и дейности, свързани с устойчивото управление на рибните ресурси, тяхното опазване и възстановяване. За целта, са определени минимални ежегодни нормативи за зарибявания, при спазване на съществуващите приложими законодателни и административни изисквания за осъществяване на зарибявания.</w:t>
      </w:r>
    </w:p>
    <w:p w14:paraId="5C7D9C92" w14:textId="77777777" w:rsidR="00DA4E40" w:rsidRPr="00DA4E40" w:rsidRDefault="00DA4E40" w:rsidP="00DA4E40">
      <w:pPr>
        <w:tabs>
          <w:tab w:val="left" w:pos="567"/>
        </w:tabs>
        <w:spacing w:after="120"/>
        <w:ind w:firstLine="709"/>
        <w:jc w:val="both"/>
        <w:rPr>
          <w:rFonts w:ascii="Arial Narrow" w:hAnsi="Arial Narrow"/>
          <w:bCs/>
          <w:lang w:val="bg-BG" w:eastAsia="bg-BG"/>
        </w:rPr>
      </w:pPr>
      <w:r w:rsidRPr="00DA4E40">
        <w:rPr>
          <w:rFonts w:ascii="Arial Narrow" w:hAnsi="Arial Narrow"/>
          <w:bCs/>
          <w:lang w:val="bg-BG" w:eastAsia="bg-BG"/>
        </w:rPr>
        <w:t>Във връзка с необходимостта от приведждане на Закона за рибарството и аквакултурите (ЗРА) в съответствие с последните изменения на европейското законодателство в системата за контрол в рибарството, през 2024 г. се работи активно по изготвяне на проект на Закон за изменение и допълнение на ЗРА. Освен това, промените са обусловени и от установени непълноти в регулирането на обществените отношения, свързани с осъществяването на стопански, любителски риболов и аквакултури, както и от необходимост от въвеждане на правни норми, създаващи условия за по-ефективно прилагане на ОПОР и ООП на продуктите от риболов и аквакултури на ЕС.</w:t>
      </w:r>
    </w:p>
    <w:p w14:paraId="59EC666D" w14:textId="77777777" w:rsidR="00DA4E40" w:rsidRPr="00DA4E40" w:rsidRDefault="00DA4E40" w:rsidP="00DA4E40">
      <w:pPr>
        <w:tabs>
          <w:tab w:val="left" w:pos="567"/>
        </w:tabs>
        <w:spacing w:after="120"/>
        <w:ind w:firstLine="709"/>
        <w:jc w:val="both"/>
        <w:rPr>
          <w:rFonts w:ascii="Arial Narrow" w:hAnsi="Arial Narrow"/>
          <w:bCs/>
          <w:lang w:val="bg-BG" w:eastAsia="bg-BG"/>
        </w:rPr>
      </w:pPr>
      <w:r w:rsidRPr="00DA4E40">
        <w:rPr>
          <w:rFonts w:ascii="Arial Narrow" w:hAnsi="Arial Narrow"/>
          <w:bCs/>
          <w:lang w:val="bg-BG" w:eastAsia="bg-BG"/>
        </w:rPr>
        <w:t xml:space="preserve">На проведената 47-а годишна среща на GFCM през 2024 г. са дискутирани редица теми, свързани с опазване на морските биологични ресурси, съответните рибарства и морските аквакултури в Средиземно и Черно море, касаещи основните заключения и съветите за управление, произтичащи от 10-ата сесия на Работната група за Черно море, 25-ата сесия на Научно-консултативния комитет по рибарство (SАС), 15-ата среща на Научно-консултативния комитет по аквакултури (CAQ) и 17-ата сесия на Комитета за съответствие (CoC). В резултат на дискусиите са предложени набор от препоръки и резолюции, адресиращи идентифицирани проблеми, заплахи или научни съвети. От съществено значение за България е приемането на препоръка относно многогодишния план за управление на риболова на калкан в Черно море (географска подзона 29). С цел стимулиране на сектора и възпиране на незаконния, недеклариран и нерегулиран риболов е прието увеличение на общия допустим улов на калкан в Черно море (10% увеличение на квотата на ЕС) за следващите 4 години, като същевременно се работи за определяне на допълнителни технически мерки за смекчаване на прилова </w:t>
      </w:r>
      <w:r w:rsidR="00E51AE5">
        <w:rPr>
          <w:rFonts w:ascii="Arial Narrow" w:hAnsi="Arial Narrow"/>
          <w:bCs/>
          <w:lang w:val="bg-BG" w:eastAsia="bg-BG"/>
        </w:rPr>
        <w:t xml:space="preserve">при риболов </w:t>
      </w:r>
      <w:r w:rsidRPr="00DA4E40">
        <w:rPr>
          <w:rFonts w:ascii="Arial Narrow" w:hAnsi="Arial Narrow"/>
          <w:bCs/>
          <w:lang w:val="bg-BG" w:eastAsia="bg-BG"/>
        </w:rPr>
        <w:t xml:space="preserve">на калкан, събиране на данни за риболовното усилие и изхвърлянията в морето, както и за засилване на мерките за контрол. Одобрено е искането на ЕС за прехвърляне на неусвоеното от ЕС (България и Румъния) през 2023 г. количество квота за улов на калкан (за България в размер на 7,6 тона) към риболовните </w:t>
      </w:r>
      <w:r w:rsidRPr="00DA4E40">
        <w:rPr>
          <w:rFonts w:ascii="Arial Narrow" w:hAnsi="Arial Narrow"/>
          <w:bCs/>
          <w:lang w:val="bg-BG" w:eastAsia="bg-BG"/>
        </w:rPr>
        <w:lastRenderedPageBreak/>
        <w:t>възможности за 2025 г. Така общите риболовни възможности на България за улов на калкан през 2025 г. възлизат на 90,26 тона.</w:t>
      </w:r>
    </w:p>
    <w:p w14:paraId="5D22582F" w14:textId="77777777" w:rsidR="00DA4E40" w:rsidRPr="00DA4E40" w:rsidRDefault="00DA4E40" w:rsidP="00DA4E40">
      <w:pPr>
        <w:tabs>
          <w:tab w:val="left" w:pos="567"/>
        </w:tabs>
        <w:spacing w:after="120"/>
        <w:ind w:firstLine="709"/>
        <w:jc w:val="both"/>
        <w:rPr>
          <w:rFonts w:ascii="Arial Narrow" w:hAnsi="Arial Narrow"/>
          <w:bCs/>
          <w:lang w:val="bg-BG" w:eastAsia="bg-BG"/>
        </w:rPr>
      </w:pPr>
      <w:r w:rsidRPr="00DA4E40">
        <w:rPr>
          <w:rFonts w:ascii="Arial Narrow" w:hAnsi="Arial Narrow"/>
          <w:bCs/>
          <w:lang w:val="bg-BG" w:eastAsia="bg-BG"/>
        </w:rPr>
        <w:t>Други решения от съществен интерес за страната са приетите препоръки относно мерките за управление за устойчива експлоатация на цацата в Черно море, с която наред с другото, се приканва за оценка на климатичните въздействия върху вида, с цел предоставяне на по-пълни съвети при подготовка за дългосрочен план за управление, както и за мерките за управление за устойчивата експлоатация на рапана в Черно море (прилагане на преходни мерки, включващи замразяване на риболовния капацитет или риболовното усилие на кораби, извършващи риболов на рапан с бийм трал, както и оценка на стратегията за управление, установява</w:t>
      </w:r>
      <w:r w:rsidR="00E51AE5">
        <w:rPr>
          <w:rFonts w:ascii="Arial Narrow" w:hAnsi="Arial Narrow"/>
          <w:bCs/>
          <w:lang w:val="bg-BG" w:eastAsia="bg-BG"/>
        </w:rPr>
        <w:t>не на</w:t>
      </w:r>
      <w:r w:rsidRPr="00DA4E40">
        <w:rPr>
          <w:rFonts w:ascii="Arial Narrow" w:hAnsi="Arial Narrow"/>
          <w:bCs/>
          <w:lang w:val="bg-BG" w:eastAsia="bg-BG"/>
        </w:rPr>
        <w:t xml:space="preserve"> изисквания към системата за наблюдение на риболовните кораби, разрешени кораби/водолази, риболовни дневници и пристанищни инспекции). Въведени са пълна забрана на морския улов на есетрови риби </w:t>
      </w:r>
      <w:r w:rsidRPr="00DA4E40">
        <w:rPr>
          <w:rFonts w:ascii="Arial Narrow" w:hAnsi="Arial Narrow"/>
          <w:bCs/>
          <w:i/>
          <w:lang w:val="bg-BG" w:eastAsia="bg-BG"/>
        </w:rPr>
        <w:t>(Acipenseridae</w:t>
      </w:r>
      <w:r w:rsidRPr="00DA4E40">
        <w:rPr>
          <w:rFonts w:ascii="Arial Narrow" w:hAnsi="Arial Narrow"/>
          <w:bCs/>
          <w:lang w:val="bg-BG" w:eastAsia="bg-BG"/>
        </w:rPr>
        <w:t>) в Черно море, както и подходящи мерки за мониторинг, контрол и наблюдение, кампании за повишаване на осведомеността и обучения за безопасно освобождаване на случайно уловени екземпляри. Действащите към момента мерки за черноморската бодлива акула се допълват със засилване на събирането на данни, провеждането на кампании за повишаване на осведомеността и безопасното освобождаване на екземпляри от вида, в случаите на прилов.</w:t>
      </w:r>
    </w:p>
    <w:p w14:paraId="099DF532" w14:textId="77777777" w:rsidR="00DA4E40" w:rsidRPr="00DA4E40" w:rsidRDefault="00DA4E40" w:rsidP="00DA4E40">
      <w:pPr>
        <w:tabs>
          <w:tab w:val="left" w:pos="567"/>
        </w:tabs>
        <w:spacing w:after="120"/>
        <w:ind w:firstLine="709"/>
        <w:jc w:val="both"/>
        <w:rPr>
          <w:rFonts w:ascii="Arial Narrow" w:hAnsi="Arial Narrow"/>
          <w:bCs/>
          <w:lang w:val="bg-BG" w:eastAsia="bg-BG"/>
        </w:rPr>
      </w:pPr>
      <w:r w:rsidRPr="00DA4E40">
        <w:rPr>
          <w:rFonts w:ascii="Arial Narrow" w:hAnsi="Arial Narrow"/>
          <w:bCs/>
          <w:lang w:val="bg-BG" w:eastAsia="bg-BG"/>
        </w:rPr>
        <w:t>През 2024 г. МЗХ активно работи и участва в работните формати на Организацията за икономическо сътрудничество и развитие (ОИСР) във връзка с присъединяването на България към ОИСР. В рамките 134-тата сесия на Комитета по рибарство (COFI) на ОИСР в края на ноември 2024 г., е проведен технически преглед от ОИСР на съответствието на българското законодателство, политики и административни практики с правните инструменти на ОИСР в областта на риболова и аквакултурите и са представени резултатите от прегледа на присъединяването на страната ни към комитета. В резултат, прегледът на присъединяването на България към ОИСР в частта рибарство приключи успешно.</w:t>
      </w:r>
    </w:p>
    <w:p w14:paraId="0BD424C8" w14:textId="77777777" w:rsidR="00DA4E40" w:rsidRPr="00DA4E40" w:rsidRDefault="00DA4E40" w:rsidP="00DA4E40">
      <w:pPr>
        <w:tabs>
          <w:tab w:val="left" w:pos="567"/>
        </w:tabs>
        <w:spacing w:after="120"/>
        <w:ind w:firstLine="709"/>
        <w:jc w:val="both"/>
        <w:rPr>
          <w:rFonts w:ascii="Arial Narrow" w:hAnsi="Arial Narrow"/>
          <w:bCs/>
          <w:lang w:val="bg-BG" w:eastAsia="bg-BG"/>
        </w:rPr>
      </w:pPr>
      <w:r w:rsidRPr="00DA4E40">
        <w:rPr>
          <w:rFonts w:ascii="Arial Narrow" w:hAnsi="Arial Narrow"/>
          <w:bCs/>
          <w:lang w:val="bg-BG" w:eastAsia="bg-BG"/>
        </w:rPr>
        <w:t xml:space="preserve">Във връзка с публикувания от ЕК през 2023 г. План за действие за опазване и възстановяване на морските екосистеми за устойчиво и издръжливо на сътресения рибарство (Морски план), част от пакета от мерки за подобряване на устойчивостта и издръжливостта на сектора на рибарството и аквакултурите в ЕС, България изготви национална Пътна карта за изпълнение на мерките и действията, предвидени в Морския план, разработена съвместно от МЗХ и МОСВ, в партньорство с експерти от публичния сектор в областта на рибарството и околната среда, както и представители на научни организации. </w:t>
      </w:r>
    </w:p>
    <w:p w14:paraId="6493C72C" w14:textId="77777777" w:rsidR="00DA4E40" w:rsidRPr="00DA4E40" w:rsidRDefault="00DA4E40" w:rsidP="00DA4E40">
      <w:pPr>
        <w:tabs>
          <w:tab w:val="left" w:pos="709"/>
        </w:tabs>
        <w:spacing w:line="360" w:lineRule="auto"/>
        <w:jc w:val="both"/>
        <w:rPr>
          <w:rFonts w:ascii="Arial Narrow" w:hAnsi="Arial Narrow"/>
          <w:b/>
          <w:bCs/>
          <w:i/>
          <w:u w:val="single"/>
          <w:lang w:val="bg-BG" w:eastAsia="bg-BG"/>
        </w:rPr>
      </w:pPr>
      <w:r w:rsidRPr="00DA4E40">
        <w:rPr>
          <w:rFonts w:ascii="Verdana" w:hAnsi="Verdana"/>
          <w:bCs/>
          <w:color w:val="FF0000"/>
          <w:lang w:val="bg-BG" w:eastAsia="bg-BG"/>
        </w:rPr>
        <w:tab/>
      </w:r>
      <w:r w:rsidRPr="00DA4E40">
        <w:rPr>
          <w:rFonts w:ascii="Arial Narrow" w:hAnsi="Arial Narrow"/>
          <w:b/>
          <w:bCs/>
          <w:i/>
          <w:u w:val="single"/>
          <w:lang w:val="bg-BG" w:eastAsia="bg-BG"/>
        </w:rPr>
        <w:t>Планирани дейности през 2025 г.</w:t>
      </w:r>
    </w:p>
    <w:p w14:paraId="144CDDDF" w14:textId="77777777" w:rsidR="00DA4E40" w:rsidRPr="00DA4E40" w:rsidRDefault="00DA4E40" w:rsidP="00DA4E40">
      <w:pPr>
        <w:tabs>
          <w:tab w:val="left" w:pos="567"/>
        </w:tabs>
        <w:spacing w:after="120"/>
        <w:ind w:firstLine="709"/>
        <w:jc w:val="both"/>
        <w:rPr>
          <w:rFonts w:ascii="Arial Narrow" w:hAnsi="Arial Narrow"/>
          <w:bCs/>
          <w:lang w:val="bg-BG" w:eastAsia="bg-BG"/>
        </w:rPr>
      </w:pPr>
      <w:r w:rsidRPr="00DA4E40">
        <w:rPr>
          <w:rFonts w:ascii="Arial Narrow" w:hAnsi="Arial Narrow"/>
          <w:bCs/>
          <w:lang w:val="bg-BG" w:eastAsia="bg-BG"/>
        </w:rPr>
        <w:t>През 2025 година е планирано:</w:t>
      </w:r>
    </w:p>
    <w:p w14:paraId="63E8634A" w14:textId="77777777" w:rsidR="00DA4E40" w:rsidRPr="00DA4E40" w:rsidRDefault="00DA4E40" w:rsidP="006E11F9">
      <w:pPr>
        <w:numPr>
          <w:ilvl w:val="0"/>
          <w:numId w:val="31"/>
        </w:numPr>
        <w:spacing w:after="120"/>
        <w:jc w:val="both"/>
        <w:rPr>
          <w:rFonts w:ascii="Arial Narrow" w:hAnsi="Arial Narrow"/>
          <w:bCs/>
          <w:lang w:val="bg-BG" w:eastAsia="bg-BG"/>
        </w:rPr>
      </w:pPr>
      <w:r w:rsidRPr="00DA4E40">
        <w:rPr>
          <w:rFonts w:ascii="Arial Narrow" w:hAnsi="Arial Narrow"/>
          <w:bCs/>
          <w:lang w:val="bg-BG" w:eastAsia="bg-BG"/>
        </w:rPr>
        <w:t>Определяне на рибностопански обекти, разрешени за извършване на любителски риболов през тъмната част на денонощието;</w:t>
      </w:r>
    </w:p>
    <w:p w14:paraId="6535FF53" w14:textId="77777777" w:rsidR="00DA4E40" w:rsidRPr="00DA4E40" w:rsidRDefault="00DA4E40" w:rsidP="006E11F9">
      <w:pPr>
        <w:numPr>
          <w:ilvl w:val="0"/>
          <w:numId w:val="31"/>
        </w:numPr>
        <w:spacing w:after="120"/>
        <w:jc w:val="both"/>
        <w:rPr>
          <w:rFonts w:ascii="Arial Narrow" w:hAnsi="Arial Narrow"/>
          <w:bCs/>
          <w:lang w:val="bg-BG" w:eastAsia="bg-BG"/>
        </w:rPr>
      </w:pPr>
      <w:r w:rsidRPr="00DA4E40">
        <w:rPr>
          <w:rFonts w:ascii="Arial Narrow" w:hAnsi="Arial Narrow"/>
          <w:bCs/>
          <w:lang w:val="bg-BG" w:eastAsia="bg-BG"/>
        </w:rPr>
        <w:t>Определяне на водни обекти за извършване на зарибяване, съгласно чл. 22а, ал. 5 от ЗРА;</w:t>
      </w:r>
    </w:p>
    <w:p w14:paraId="6390ED24" w14:textId="77777777" w:rsidR="00DA4E40" w:rsidRPr="00DA4E40" w:rsidRDefault="00DA4E40" w:rsidP="006E11F9">
      <w:pPr>
        <w:numPr>
          <w:ilvl w:val="0"/>
          <w:numId w:val="31"/>
        </w:numPr>
        <w:spacing w:after="120"/>
        <w:jc w:val="both"/>
        <w:rPr>
          <w:rFonts w:ascii="Arial Narrow" w:hAnsi="Arial Narrow"/>
          <w:bCs/>
          <w:lang w:val="bg-BG" w:eastAsia="bg-BG"/>
        </w:rPr>
      </w:pPr>
      <w:r w:rsidRPr="00DA4E40">
        <w:rPr>
          <w:rFonts w:ascii="Arial Narrow" w:hAnsi="Arial Narrow"/>
          <w:bCs/>
          <w:lang w:val="bg-BG" w:eastAsia="bg-BG"/>
        </w:rPr>
        <w:t>Въвеждане на забрана за извършване на риболов в рибностопански обекти по чл. 3, ал. 1, т. 1 и 2 от ЗРА през размножителния период на рибите;</w:t>
      </w:r>
    </w:p>
    <w:p w14:paraId="49E65DB0" w14:textId="77777777" w:rsidR="00DA4E40" w:rsidRPr="00DA4E40" w:rsidRDefault="00DA4E40" w:rsidP="006E11F9">
      <w:pPr>
        <w:numPr>
          <w:ilvl w:val="0"/>
          <w:numId w:val="31"/>
        </w:numPr>
        <w:spacing w:after="120"/>
        <w:jc w:val="both"/>
        <w:rPr>
          <w:rFonts w:ascii="Arial Narrow" w:hAnsi="Arial Narrow"/>
          <w:bCs/>
          <w:lang w:val="bg-BG" w:eastAsia="bg-BG"/>
        </w:rPr>
      </w:pPr>
      <w:r w:rsidRPr="00DA4E40">
        <w:rPr>
          <w:rFonts w:ascii="Arial Narrow" w:hAnsi="Arial Narrow"/>
          <w:bCs/>
          <w:lang w:val="bg-BG" w:eastAsia="bg-BG"/>
        </w:rPr>
        <w:t>Въвеждане на временна забрана за извършване на улов на бели пясъчни миди;</w:t>
      </w:r>
    </w:p>
    <w:p w14:paraId="25A4FA16" w14:textId="77777777" w:rsidR="00DA4E40" w:rsidRPr="00DA4E40" w:rsidRDefault="00DA4E40" w:rsidP="006E11F9">
      <w:pPr>
        <w:numPr>
          <w:ilvl w:val="0"/>
          <w:numId w:val="31"/>
        </w:numPr>
        <w:spacing w:after="120"/>
        <w:jc w:val="both"/>
        <w:rPr>
          <w:rFonts w:ascii="Arial Narrow" w:hAnsi="Arial Narrow"/>
          <w:bCs/>
          <w:lang w:val="bg-BG" w:eastAsia="bg-BG"/>
        </w:rPr>
      </w:pPr>
      <w:r w:rsidRPr="00DA4E40">
        <w:rPr>
          <w:rFonts w:ascii="Arial Narrow" w:hAnsi="Arial Narrow"/>
          <w:bCs/>
          <w:lang w:val="bg-BG" w:eastAsia="bg-BG"/>
        </w:rPr>
        <w:t>Одобряване на Годишни доклади за изпълнените дейности по Плановете за производство и предлагане на пазара на признатите организации на производители в сектора на риболова;</w:t>
      </w:r>
    </w:p>
    <w:p w14:paraId="451AECF7" w14:textId="77777777" w:rsidR="00DA4E40" w:rsidRPr="00DA4E40" w:rsidRDefault="00DA4E40" w:rsidP="006E11F9">
      <w:pPr>
        <w:numPr>
          <w:ilvl w:val="0"/>
          <w:numId w:val="31"/>
        </w:numPr>
        <w:spacing w:after="120"/>
        <w:jc w:val="both"/>
        <w:rPr>
          <w:rFonts w:ascii="Arial Narrow" w:hAnsi="Arial Narrow"/>
          <w:bCs/>
          <w:lang w:val="bg-BG" w:eastAsia="bg-BG"/>
        </w:rPr>
      </w:pPr>
      <w:r w:rsidRPr="00DA4E40">
        <w:rPr>
          <w:rFonts w:ascii="Arial Narrow" w:hAnsi="Arial Narrow"/>
          <w:bCs/>
          <w:lang w:val="bg-BG" w:eastAsia="bg-BG"/>
        </w:rPr>
        <w:t>Одобряване на нов План за производство и предлагане на пазара на сдружение „Организация на производителите Черноморска мида“;</w:t>
      </w:r>
    </w:p>
    <w:p w14:paraId="3501AACE" w14:textId="77777777" w:rsidR="00DA4E40" w:rsidRPr="00DA4E40" w:rsidRDefault="00DA4E40" w:rsidP="006E11F9">
      <w:pPr>
        <w:numPr>
          <w:ilvl w:val="0"/>
          <w:numId w:val="31"/>
        </w:numPr>
        <w:spacing w:after="120"/>
        <w:jc w:val="both"/>
        <w:rPr>
          <w:rFonts w:ascii="Arial Narrow" w:hAnsi="Arial Narrow"/>
          <w:bCs/>
          <w:lang w:val="bg-BG" w:eastAsia="bg-BG"/>
        </w:rPr>
      </w:pPr>
      <w:r w:rsidRPr="00DA4E40">
        <w:rPr>
          <w:rFonts w:ascii="Arial Narrow" w:hAnsi="Arial Narrow"/>
          <w:bCs/>
          <w:lang w:val="bg-BG" w:eastAsia="bg-BG"/>
        </w:rPr>
        <w:t>Извършване на проверка за установяване на съответствие с изискванията за признаване на междубрашови организации в сектора на организациите на АПРП БГ ФИШ;</w:t>
      </w:r>
    </w:p>
    <w:p w14:paraId="1C0269F8" w14:textId="77777777" w:rsidR="00DA4E40" w:rsidRPr="00DA4E40" w:rsidRDefault="00DA4E40" w:rsidP="006E11F9">
      <w:pPr>
        <w:numPr>
          <w:ilvl w:val="0"/>
          <w:numId w:val="31"/>
        </w:numPr>
        <w:spacing w:after="120"/>
        <w:jc w:val="both"/>
        <w:rPr>
          <w:rFonts w:ascii="Arial Narrow" w:hAnsi="Arial Narrow"/>
          <w:bCs/>
          <w:lang w:val="bg-BG" w:eastAsia="bg-BG"/>
        </w:rPr>
      </w:pPr>
      <w:r w:rsidRPr="00DA4E40">
        <w:rPr>
          <w:rFonts w:ascii="Arial Narrow" w:hAnsi="Arial Narrow"/>
          <w:bCs/>
          <w:lang w:val="bg-BG" w:eastAsia="bg-BG"/>
        </w:rPr>
        <w:t>Участие в срещи с ЕК и GFCM, във връзка с приемането от GFCM на мерки за опазване и управление на стопански ценни видове, обект на риболов в Черно море, както и мерки с хоризонтален характер (контрол, събиране на данни и др.);</w:t>
      </w:r>
    </w:p>
    <w:p w14:paraId="23A80D5C" w14:textId="77777777" w:rsidR="00DA4E40" w:rsidRPr="00DA4E40" w:rsidRDefault="00E51AE5" w:rsidP="006E11F9">
      <w:pPr>
        <w:numPr>
          <w:ilvl w:val="0"/>
          <w:numId w:val="31"/>
        </w:numPr>
        <w:spacing w:after="120"/>
        <w:jc w:val="both"/>
        <w:rPr>
          <w:rFonts w:ascii="Arial Narrow" w:hAnsi="Arial Narrow"/>
          <w:bCs/>
          <w:lang w:val="bg-BG" w:eastAsia="bg-BG"/>
        </w:rPr>
      </w:pPr>
      <w:r>
        <w:rPr>
          <w:rFonts w:ascii="Arial Narrow" w:hAnsi="Arial Narrow"/>
          <w:bCs/>
          <w:lang w:val="bg-BG" w:eastAsia="bg-BG"/>
        </w:rPr>
        <w:t>Продължаване на дейностите</w:t>
      </w:r>
      <w:r w:rsidRPr="00DA4E40">
        <w:rPr>
          <w:rFonts w:ascii="Arial Narrow" w:hAnsi="Arial Narrow"/>
          <w:bCs/>
          <w:lang w:val="bg-BG" w:eastAsia="bg-BG"/>
        </w:rPr>
        <w:t xml:space="preserve"> </w:t>
      </w:r>
      <w:r w:rsidR="00DA4E40" w:rsidRPr="00DA4E40">
        <w:rPr>
          <w:rFonts w:ascii="Arial Narrow" w:hAnsi="Arial Narrow"/>
          <w:bCs/>
          <w:lang w:val="bg-BG" w:eastAsia="bg-BG"/>
        </w:rPr>
        <w:t>по изготвяне на проект на ЗИД на ЗРА;</w:t>
      </w:r>
    </w:p>
    <w:p w14:paraId="01155A18" w14:textId="77777777" w:rsidR="00DA4E40" w:rsidRPr="00DA4E40" w:rsidRDefault="00DA4E40" w:rsidP="006E11F9">
      <w:pPr>
        <w:numPr>
          <w:ilvl w:val="0"/>
          <w:numId w:val="31"/>
        </w:numPr>
        <w:spacing w:after="120"/>
        <w:jc w:val="both"/>
        <w:rPr>
          <w:rFonts w:ascii="Arial Narrow" w:hAnsi="Arial Narrow"/>
          <w:bCs/>
          <w:lang w:val="bg-BG" w:eastAsia="bg-BG"/>
        </w:rPr>
      </w:pPr>
      <w:r w:rsidRPr="00DA4E40">
        <w:rPr>
          <w:rFonts w:ascii="Arial Narrow" w:hAnsi="Arial Narrow"/>
          <w:bCs/>
          <w:lang w:val="bg-BG" w:eastAsia="bg-BG"/>
        </w:rPr>
        <w:lastRenderedPageBreak/>
        <w:t>Участие в 18-ото заседание на Комитета за съответствие на GFCM, 11-ата среща на Работната група за Черно море (WGBS) и 48-ата годишна среща на GFCM, с цел защита интересите на България при взимането на решения за управление на рибарството в Черно море;</w:t>
      </w:r>
    </w:p>
    <w:p w14:paraId="2B2DEBC4" w14:textId="77777777" w:rsidR="00DA4E40" w:rsidRPr="00DA4E40" w:rsidRDefault="00DA4E40" w:rsidP="006E11F9">
      <w:pPr>
        <w:numPr>
          <w:ilvl w:val="0"/>
          <w:numId w:val="31"/>
        </w:numPr>
        <w:spacing w:after="120"/>
        <w:jc w:val="both"/>
        <w:rPr>
          <w:rFonts w:ascii="Arial Narrow" w:hAnsi="Arial Narrow"/>
          <w:bCs/>
          <w:lang w:val="bg-BG" w:eastAsia="bg-BG"/>
        </w:rPr>
      </w:pPr>
      <w:r w:rsidRPr="00DA4E40">
        <w:rPr>
          <w:rFonts w:ascii="Arial Narrow" w:hAnsi="Arial Narrow"/>
          <w:bCs/>
          <w:lang w:val="bg-BG" w:eastAsia="bg-BG"/>
        </w:rPr>
        <w:t>Предприемане на мерки за изпълнение на дейности от Пътната карта за изпълнение на План за действие на ЕС: Опазване и възстановяване на морските екосистеми за устойчиво и гъвкаво рибарство.</w:t>
      </w:r>
    </w:p>
    <w:p w14:paraId="1BBA75A7" w14:textId="77777777" w:rsidR="00DA4E40" w:rsidRPr="003264BC" w:rsidRDefault="00DA4E40" w:rsidP="00A37B2F">
      <w:pPr>
        <w:tabs>
          <w:tab w:val="left" w:pos="567"/>
        </w:tabs>
        <w:spacing w:after="120"/>
        <w:ind w:firstLine="709"/>
        <w:jc w:val="both"/>
        <w:rPr>
          <w:rFonts w:ascii="Arial Narrow" w:hAnsi="Arial Narrow"/>
          <w:bCs/>
          <w:lang w:val="bg-BG"/>
        </w:rPr>
      </w:pPr>
    </w:p>
    <w:p w14:paraId="5B405687" w14:textId="77777777" w:rsidR="006F5D96" w:rsidRPr="006F5D96" w:rsidRDefault="00B945CB" w:rsidP="006F5D96">
      <w:pPr>
        <w:spacing w:after="120"/>
        <w:ind w:left="425" w:hanging="425"/>
        <w:jc w:val="both"/>
        <w:outlineLvl w:val="0"/>
        <w:rPr>
          <w:rFonts w:ascii="Arial Narrow" w:hAnsi="Arial Narrow"/>
          <w:b/>
          <w:lang w:val="bg-BG"/>
        </w:rPr>
      </w:pPr>
      <w:bookmarkStart w:id="275" w:name="_Toc210747695"/>
      <w:bookmarkStart w:id="276" w:name="_Toc147747568"/>
      <w:bookmarkStart w:id="277" w:name="_Toc56176184"/>
      <w:r w:rsidRPr="006F5D96">
        <w:rPr>
          <w:rFonts w:ascii="Arial Narrow" w:hAnsi="Arial Narrow"/>
          <w:b/>
        </w:rPr>
        <w:t xml:space="preserve">VIII. </w:t>
      </w:r>
      <w:r w:rsidRPr="006F5D96">
        <w:rPr>
          <w:rFonts w:ascii="Arial Narrow" w:hAnsi="Arial Narrow"/>
          <w:b/>
        </w:rPr>
        <w:tab/>
      </w:r>
      <w:r w:rsidRPr="006F5D96">
        <w:rPr>
          <w:rFonts w:ascii="Arial Narrow" w:hAnsi="Arial Narrow"/>
          <w:b/>
          <w:lang w:val="bg-BG"/>
        </w:rPr>
        <w:t>НАПРЕДЪК В ИЗПЪЛНЕНИЕТО НА ДОКУМЕНТИ В ОБЛАСТТА НА АГРАРНАТА ПОЛИТИКА ОТ НАЦИОНАЛНАТА СТРАТЕГИЧЕСКА РАМКА ПРЕЗ 202</w:t>
      </w:r>
      <w:r w:rsidR="006F5D96" w:rsidRPr="006F5D96">
        <w:rPr>
          <w:rFonts w:ascii="Arial Narrow" w:hAnsi="Arial Narrow"/>
          <w:b/>
        </w:rPr>
        <w:t>4</w:t>
      </w:r>
      <w:r w:rsidRPr="006F5D96">
        <w:rPr>
          <w:rFonts w:ascii="Arial Narrow" w:hAnsi="Arial Narrow"/>
          <w:b/>
          <w:lang w:val="bg-BG"/>
        </w:rPr>
        <w:t xml:space="preserve"> Г.</w:t>
      </w:r>
      <w:bookmarkEnd w:id="275"/>
    </w:p>
    <w:p w14:paraId="4E446CD8" w14:textId="77777777" w:rsidR="006F5D96" w:rsidRPr="008A76B6" w:rsidRDefault="006F5D96" w:rsidP="009C6577">
      <w:pPr>
        <w:pStyle w:val="ListParagraph"/>
        <w:numPr>
          <w:ilvl w:val="0"/>
          <w:numId w:val="48"/>
        </w:numPr>
        <w:tabs>
          <w:tab w:val="left" w:pos="1134"/>
        </w:tabs>
        <w:spacing w:after="120"/>
        <w:ind w:left="0" w:firstLine="709"/>
        <w:contextualSpacing w:val="0"/>
        <w:jc w:val="both"/>
        <w:rPr>
          <w:rFonts w:ascii="Arial Narrow" w:hAnsi="Arial Narrow" w:cs="Calibri Light"/>
          <w:lang w:val="bg-BG"/>
        </w:rPr>
      </w:pPr>
      <w:r w:rsidRPr="008A76B6">
        <w:rPr>
          <w:rFonts w:ascii="Arial Narrow" w:hAnsi="Arial Narrow"/>
          <w:b/>
          <w:lang w:val="bg-BG"/>
        </w:rPr>
        <w:t xml:space="preserve">Националната програма за развитие България 2030  </w:t>
      </w:r>
      <w:r w:rsidRPr="008A76B6">
        <w:rPr>
          <w:rFonts w:ascii="Arial Narrow" w:hAnsi="Arial Narrow"/>
          <w:lang w:val="bg-BG"/>
        </w:rPr>
        <w:t>е</w:t>
      </w:r>
      <w:r w:rsidRPr="008A76B6">
        <w:rPr>
          <w:rFonts w:ascii="Arial Narrow" w:hAnsi="Arial Narrow"/>
          <w:b/>
          <w:lang w:val="bg-BG"/>
        </w:rPr>
        <w:t xml:space="preserve"> </w:t>
      </w:r>
      <w:r w:rsidRPr="008A76B6">
        <w:rPr>
          <w:rFonts w:ascii="Arial Narrow" w:hAnsi="Arial Narrow"/>
          <w:lang w:val="bg-BG"/>
        </w:rPr>
        <w:t>основният стратегически документ, задаващ рамката от политики за развитие на аграрния отрасъл.</w:t>
      </w:r>
    </w:p>
    <w:p w14:paraId="32107CED" w14:textId="77777777" w:rsidR="006F5D96" w:rsidRDefault="006F5D96" w:rsidP="006F5D96">
      <w:pPr>
        <w:pStyle w:val="ListParagraph"/>
        <w:spacing w:after="120"/>
        <w:ind w:left="0" w:firstLine="709"/>
        <w:contextualSpacing w:val="0"/>
        <w:jc w:val="both"/>
        <w:rPr>
          <w:rFonts w:ascii="Arial Narrow" w:hAnsi="Arial Narrow"/>
        </w:rPr>
      </w:pPr>
      <w:r w:rsidRPr="008A76B6">
        <w:rPr>
          <w:rFonts w:ascii="Arial Narrow" w:hAnsi="Arial Narrow"/>
          <w:lang w:val="bg-BG"/>
        </w:rPr>
        <w:t xml:space="preserve">В рамките на </w:t>
      </w:r>
      <w:r w:rsidRPr="008A76B6">
        <w:rPr>
          <w:rFonts w:ascii="Arial Narrow" w:hAnsi="Arial Narrow"/>
          <w:b/>
          <w:lang w:val="bg-BG"/>
        </w:rPr>
        <w:t>Приоритет 6 „Устойчиво селско стопанство“</w:t>
      </w:r>
      <w:r w:rsidRPr="008A76B6">
        <w:rPr>
          <w:rFonts w:ascii="Arial Narrow" w:hAnsi="Arial Narrow"/>
          <w:lang w:val="bg-BG"/>
        </w:rPr>
        <w:t xml:space="preserve"> на Програмата са формулирани подприоритети и области на въздействие, насочени към развитието на интелигентен, устойчив и диверсифициран сектор на селското стопанство, който да гарантира продоволствената сигурност на страната.</w:t>
      </w:r>
      <w:r w:rsidRPr="008A76B6">
        <w:rPr>
          <w:rFonts w:ascii="Arial Narrow" w:hAnsi="Arial Narrow"/>
        </w:rPr>
        <w:t xml:space="preserve"> </w:t>
      </w:r>
    </w:p>
    <w:p w14:paraId="3D955D80" w14:textId="77777777" w:rsidR="006F5D96" w:rsidRDefault="006F5D96" w:rsidP="006F5D96">
      <w:pPr>
        <w:pStyle w:val="ListParagraph"/>
        <w:spacing w:after="120"/>
        <w:ind w:left="0" w:firstLine="709"/>
        <w:contextualSpacing w:val="0"/>
        <w:jc w:val="both"/>
        <w:rPr>
          <w:rFonts w:ascii="Arial Narrow" w:hAnsi="Arial Narrow" w:cs="Calibri Light"/>
          <w:lang w:val="bg-BG"/>
        </w:rPr>
      </w:pPr>
      <w:r>
        <w:rPr>
          <w:rFonts w:ascii="Arial Narrow" w:hAnsi="Arial Narrow" w:cs="Calibri Light"/>
          <w:lang w:val="bg-BG"/>
        </w:rPr>
        <w:t>П</w:t>
      </w:r>
      <w:r w:rsidRPr="008A76B6">
        <w:rPr>
          <w:rFonts w:ascii="Arial Narrow" w:hAnsi="Arial Narrow" w:cs="Calibri Light"/>
          <w:lang w:val="bg-BG"/>
        </w:rPr>
        <w:t xml:space="preserve">о </w:t>
      </w:r>
      <w:r w:rsidRPr="008A76B6">
        <w:rPr>
          <w:rFonts w:ascii="Arial Narrow" w:hAnsi="Arial Narrow" w:cs="Calibri Light"/>
          <w:b/>
          <w:lang w:val="bg-BG"/>
        </w:rPr>
        <w:t>Приоритет 9 „Местно развитие“</w:t>
      </w:r>
      <w:r w:rsidRPr="008A76B6">
        <w:rPr>
          <w:rFonts w:ascii="Arial Narrow" w:hAnsi="Arial Narrow" w:cs="Calibri Light"/>
          <w:lang w:val="bg-BG"/>
        </w:rPr>
        <w:t xml:space="preserve"> на </w:t>
      </w:r>
      <w:r>
        <w:rPr>
          <w:rFonts w:ascii="Arial Narrow" w:hAnsi="Arial Narrow" w:cs="Calibri Light"/>
          <w:lang w:val="bg-BG"/>
        </w:rPr>
        <w:t xml:space="preserve">Програмата са заложени подприоритети и области на въздействие, </w:t>
      </w:r>
      <w:r w:rsidRPr="00A83D7F">
        <w:rPr>
          <w:rFonts w:ascii="Arial Narrow" w:hAnsi="Arial Narrow" w:cs="Calibri Light"/>
          <w:lang w:val="bg-BG"/>
        </w:rPr>
        <w:t>насочени към съхраняване на жизнеспособността и ускоряване на икономическото развитие на селските райони</w:t>
      </w:r>
      <w:r>
        <w:rPr>
          <w:rFonts w:ascii="Arial Narrow" w:hAnsi="Arial Narrow" w:cs="Calibri Light"/>
          <w:lang w:val="bg-BG"/>
        </w:rPr>
        <w:t>.</w:t>
      </w:r>
    </w:p>
    <w:p w14:paraId="2630C354" w14:textId="77777777" w:rsidR="006F5D96" w:rsidRPr="001645D7" w:rsidRDefault="006F5D96" w:rsidP="006F5D96">
      <w:pPr>
        <w:pStyle w:val="ListParagraph"/>
        <w:spacing w:after="120"/>
        <w:ind w:left="0" w:firstLine="709"/>
        <w:contextualSpacing w:val="0"/>
        <w:jc w:val="both"/>
        <w:rPr>
          <w:rFonts w:ascii="Arial Narrow" w:hAnsi="Arial Narrow"/>
          <w:lang w:val="bg-BG"/>
        </w:rPr>
      </w:pPr>
      <w:r w:rsidRPr="008A76B6">
        <w:rPr>
          <w:rFonts w:ascii="Arial Narrow" w:hAnsi="Arial Narrow"/>
          <w:lang w:val="bg-BG"/>
        </w:rPr>
        <w:t xml:space="preserve">За постигане на поставените в Националната програма за развитие България 2030 цели в областта на селското стопанство, рибарството, горите и селските райони се залага комплекс от мерки и се наблюдава тяхното изпълнение в тригодишните планове за действие по Програмата. </w:t>
      </w:r>
      <w:r>
        <w:rPr>
          <w:rFonts w:ascii="Arial Narrow" w:hAnsi="Arial Narrow"/>
          <w:lang w:val="bg-BG"/>
        </w:rPr>
        <w:t>И</w:t>
      </w:r>
      <w:r w:rsidRPr="008A76B6">
        <w:rPr>
          <w:rFonts w:ascii="Arial Narrow" w:hAnsi="Arial Narrow"/>
          <w:lang w:val="bg-BG"/>
        </w:rPr>
        <w:t xml:space="preserve">зползват </w:t>
      </w:r>
      <w:r>
        <w:rPr>
          <w:rFonts w:ascii="Arial Narrow" w:hAnsi="Arial Narrow"/>
          <w:lang w:val="bg-BG"/>
        </w:rPr>
        <w:t xml:space="preserve">се </w:t>
      </w:r>
      <w:r w:rsidRPr="008A76B6">
        <w:rPr>
          <w:rFonts w:ascii="Arial Narrow" w:hAnsi="Arial Narrow"/>
          <w:lang w:val="bg-BG"/>
        </w:rPr>
        <w:t xml:space="preserve">възможностите на различни инструменти </w:t>
      </w:r>
      <w:r>
        <w:rPr>
          <w:rFonts w:ascii="Arial Narrow" w:hAnsi="Arial Narrow"/>
          <w:lang w:val="bg-BG"/>
        </w:rPr>
        <w:t xml:space="preserve">- Програмата за развитие на селските райони 2020-2024 г., </w:t>
      </w:r>
      <w:r w:rsidRPr="008A76B6">
        <w:rPr>
          <w:rFonts w:ascii="Arial Narrow" w:hAnsi="Arial Narrow"/>
          <w:lang w:val="bg-BG"/>
        </w:rPr>
        <w:t>Стратегическия план за развитие на земеделието и селските райони 2023-2027 г., Механизма за възстановяване и устойчивост на ЕС, Програмата за морско дело и рибарство 2014-2020 г., Програмата за морско дело, рибарство и аквакултури 2021-2027 г.</w:t>
      </w:r>
      <w:r>
        <w:rPr>
          <w:rFonts w:ascii="Arial Narrow" w:hAnsi="Arial Narrow"/>
          <w:lang w:val="bg-BG"/>
        </w:rPr>
        <w:t xml:space="preserve"> </w:t>
      </w:r>
      <w:r w:rsidRPr="001645D7">
        <w:rPr>
          <w:rFonts w:ascii="Arial Narrow" w:hAnsi="Arial Narrow"/>
          <w:highlight w:val="lightGray"/>
          <w:lang w:val="bg-BG"/>
        </w:rPr>
        <w:t>(</w:t>
      </w:r>
      <w:r w:rsidRPr="009336F4">
        <w:rPr>
          <w:rFonts w:ascii="Arial Narrow" w:hAnsi="Arial Narrow"/>
          <w:lang w:val="bg-BG"/>
        </w:rPr>
        <w:t xml:space="preserve">данни за прилагането на тези инструменти са представени в подраздел IV. ПОДПОМАГАНЕ НА АГРАРНИЯ ОТРАСЪЛ и подраздел </w:t>
      </w:r>
      <w:r w:rsidRPr="009336F4">
        <w:rPr>
          <w:rFonts w:ascii="Arial Narrow" w:hAnsi="Arial Narrow"/>
        </w:rPr>
        <w:t>VII</w:t>
      </w:r>
      <w:r w:rsidRPr="009336F4">
        <w:rPr>
          <w:rFonts w:ascii="Arial Narrow" w:hAnsi="Arial Narrow"/>
          <w:lang w:val="bg-BG"/>
        </w:rPr>
        <w:t>. РИБАРСТВО И АКВАКУЛТУРИ, т. 3. Програма за морско дело и рибарство 2014-2020 г. и Програма за морско дело, рибарство и аквакултури 2021-2027 г. на настоящия Доклад).</w:t>
      </w:r>
    </w:p>
    <w:p w14:paraId="37C24076" w14:textId="77777777" w:rsidR="006F5D96" w:rsidRPr="006960DF" w:rsidRDefault="006F5D96" w:rsidP="009C6577">
      <w:pPr>
        <w:pStyle w:val="ListParagraph"/>
        <w:numPr>
          <w:ilvl w:val="0"/>
          <w:numId w:val="48"/>
        </w:numPr>
        <w:tabs>
          <w:tab w:val="left" w:pos="993"/>
        </w:tabs>
        <w:spacing w:after="120"/>
        <w:ind w:left="0" w:firstLine="709"/>
        <w:contextualSpacing w:val="0"/>
        <w:jc w:val="both"/>
        <w:rPr>
          <w:rFonts w:ascii="Arial Narrow" w:hAnsi="Arial Narrow"/>
          <w:b/>
          <w:lang w:val="bg-BG"/>
        </w:rPr>
      </w:pPr>
      <w:r w:rsidRPr="006960DF">
        <w:rPr>
          <w:rFonts w:ascii="Arial Narrow" w:hAnsi="Arial Narrow"/>
          <w:b/>
          <w:lang w:val="bg-BG"/>
        </w:rPr>
        <w:t>Обща стратегия за управление и развитие на хидромелиорациите и защита от вредното въздействие на водите</w:t>
      </w:r>
    </w:p>
    <w:p w14:paraId="322FCBA1" w14:textId="77777777" w:rsidR="006F5D96" w:rsidRPr="006960DF" w:rsidRDefault="006F5D96" w:rsidP="006F5D96">
      <w:pPr>
        <w:spacing w:after="120"/>
        <w:ind w:firstLine="709"/>
        <w:jc w:val="both"/>
        <w:rPr>
          <w:rFonts w:ascii="Arial Narrow" w:hAnsi="Arial Narrow"/>
          <w:lang w:val="bg-BG"/>
        </w:rPr>
      </w:pPr>
      <w:r w:rsidRPr="006960DF">
        <w:rPr>
          <w:rFonts w:ascii="Arial Narrow" w:hAnsi="Arial Narrow"/>
          <w:lang w:val="bg-BG"/>
        </w:rPr>
        <w:t xml:space="preserve">В документа </w:t>
      </w:r>
      <w:r w:rsidRPr="00B25F05">
        <w:rPr>
          <w:rFonts w:ascii="Arial Narrow" w:hAnsi="Arial Narrow"/>
          <w:lang w:val="bg-BG"/>
        </w:rPr>
        <w:t>се очертава необходимостта от</w:t>
      </w:r>
      <w:r w:rsidRPr="006960DF">
        <w:rPr>
          <w:rFonts w:ascii="Arial Narrow" w:hAnsi="Arial Narrow"/>
          <w:lang w:val="bg-BG"/>
        </w:rPr>
        <w:t xml:space="preserve"> възстановяване на ефективен и ефикасен хидромелиоративен сектор </w:t>
      </w:r>
      <w:r>
        <w:rPr>
          <w:rFonts w:ascii="Arial Narrow" w:hAnsi="Arial Narrow"/>
          <w:lang w:val="bg-BG"/>
        </w:rPr>
        <w:t xml:space="preserve">като предпоставка </w:t>
      </w:r>
      <w:r w:rsidRPr="006960DF">
        <w:rPr>
          <w:rFonts w:ascii="Arial Narrow" w:hAnsi="Arial Narrow"/>
          <w:lang w:val="bg-BG"/>
        </w:rPr>
        <w:t>за икономически жизнеспособно, конкурентно земеделие, устойчиво на въздействията от изменението на климата и осигуряващо защита от вредното въздействие на водите.</w:t>
      </w:r>
    </w:p>
    <w:p w14:paraId="6EA3B461" w14:textId="77777777" w:rsidR="006F5D96" w:rsidRDefault="006F5D96" w:rsidP="006F5D96">
      <w:pPr>
        <w:spacing w:after="120"/>
        <w:ind w:firstLine="709"/>
        <w:jc w:val="both"/>
        <w:rPr>
          <w:rFonts w:ascii="Arial Narrow" w:hAnsi="Arial Narrow"/>
          <w:lang w:val="bg-BG"/>
        </w:rPr>
      </w:pPr>
      <w:r w:rsidRPr="006960DF">
        <w:rPr>
          <w:rFonts w:ascii="Arial Narrow" w:hAnsi="Arial Narrow"/>
          <w:lang w:val="bg-BG"/>
        </w:rPr>
        <w:t>В изпълнение на целите на стратегията през 202</w:t>
      </w:r>
      <w:r>
        <w:rPr>
          <w:rFonts w:ascii="Arial Narrow" w:hAnsi="Arial Narrow"/>
          <w:lang w:val="bg-BG"/>
        </w:rPr>
        <w:t>4</w:t>
      </w:r>
      <w:r w:rsidRPr="006960DF">
        <w:rPr>
          <w:rFonts w:ascii="Arial Narrow" w:hAnsi="Arial Narrow"/>
          <w:lang w:val="bg-BG"/>
        </w:rPr>
        <w:t xml:space="preserve"> г. се отчита напредък по отношение на изпълнението на инвестиции (финансирани по ПРСР 2014-2020 г.), свързани с реконструкция и модернизация на обекти от хидромелиоративния фонд, както и с проекти за ефективно използване на водите в земеделските стопанства. </w:t>
      </w:r>
      <w:r w:rsidRPr="007E2578">
        <w:rPr>
          <w:rFonts w:ascii="Arial Narrow" w:hAnsi="Arial Narrow"/>
          <w:lang w:val="bg-BG"/>
        </w:rPr>
        <w:t xml:space="preserve">В процес на изпълнение са 27 проекта за рехабилитация на хидромелиоративни съоръжения за напояване и предпазване от вредното въздействие на водата. </w:t>
      </w:r>
    </w:p>
    <w:p w14:paraId="194BE5BA" w14:textId="77777777" w:rsidR="006F5D96" w:rsidRDefault="006F5D96" w:rsidP="006F5D96">
      <w:pPr>
        <w:spacing w:after="120"/>
        <w:ind w:firstLine="709"/>
        <w:jc w:val="both"/>
        <w:rPr>
          <w:rFonts w:ascii="Arial Narrow" w:hAnsi="Arial Narrow"/>
          <w:lang w:val="bg-BG"/>
        </w:rPr>
      </w:pPr>
      <w:r>
        <w:rPr>
          <w:rFonts w:ascii="Arial Narrow" w:hAnsi="Arial Narrow"/>
          <w:lang w:val="bg-BG"/>
        </w:rPr>
        <w:t xml:space="preserve">През периода м. февруари - м. април 2025 г. е проведен прием по интервенция „Инвестиции в инфраструктура за напояване“ от СПРЗСР 2023-2027 г. в две направления - за сдружения за напояване и други частни доставчици и за „Напоителни системи“ ЕАД. Чрез подкрепа по интервенцията ще бъдат подпомогнати </w:t>
      </w:r>
      <w:r w:rsidRPr="00DB55A3">
        <w:rPr>
          <w:rFonts w:ascii="Arial Narrow" w:hAnsi="Arial Narrow"/>
          <w:lang w:val="bg-BG"/>
        </w:rPr>
        <w:t>дейности, свързани с материални и нематериални инвестиции за реконструкция и модернизация на съществуваща</w:t>
      </w:r>
      <w:r>
        <w:rPr>
          <w:rFonts w:ascii="Arial Narrow" w:hAnsi="Arial Narrow"/>
          <w:lang w:val="bg-BG"/>
        </w:rPr>
        <w:t>та</w:t>
      </w:r>
      <w:r w:rsidRPr="00DB55A3">
        <w:rPr>
          <w:rFonts w:ascii="Arial Narrow" w:hAnsi="Arial Narrow"/>
          <w:lang w:val="bg-BG"/>
        </w:rPr>
        <w:t xml:space="preserve"> инфраструктура за напояване, използвана само за селскостопански цели и разположена извън земеделските стопанства.</w:t>
      </w:r>
      <w:r>
        <w:rPr>
          <w:rFonts w:ascii="Arial Narrow" w:hAnsi="Arial Narrow"/>
          <w:lang w:val="bg-BG"/>
        </w:rPr>
        <w:t xml:space="preserve"> Постъпили са общо 38 проектни предложения със стойност на заявената субсидия 248 339 307 лева, които са в процес на разглеждане и оценка.</w:t>
      </w:r>
      <w:r w:rsidRPr="00DB55A3">
        <w:t xml:space="preserve"> </w:t>
      </w:r>
    </w:p>
    <w:p w14:paraId="0FB8C70C" w14:textId="77777777" w:rsidR="006F5D96" w:rsidRPr="001645D7" w:rsidRDefault="006F5D96" w:rsidP="006F5D96">
      <w:pPr>
        <w:spacing w:after="120"/>
        <w:ind w:firstLine="709"/>
        <w:jc w:val="both"/>
        <w:rPr>
          <w:rFonts w:ascii="Arial Narrow" w:hAnsi="Arial Narrow"/>
          <w:lang w:val="bg-BG"/>
        </w:rPr>
      </w:pPr>
      <w:r w:rsidRPr="006960DF">
        <w:rPr>
          <w:rFonts w:ascii="Arial Narrow" w:hAnsi="Arial Narrow"/>
          <w:lang w:val="bg-BG"/>
        </w:rPr>
        <w:lastRenderedPageBreak/>
        <w:t>По-конкретни данни за осъществените дейности в областта на хидромелиорациите и защита от вредното въздействие на водите през 202</w:t>
      </w:r>
      <w:r>
        <w:rPr>
          <w:rFonts w:ascii="Arial Narrow" w:hAnsi="Arial Narrow"/>
          <w:lang w:val="bg-BG"/>
        </w:rPr>
        <w:t>4</w:t>
      </w:r>
      <w:r w:rsidRPr="006960DF">
        <w:rPr>
          <w:rFonts w:ascii="Arial Narrow" w:hAnsi="Arial Narrow"/>
          <w:lang w:val="bg-BG"/>
        </w:rPr>
        <w:t xml:space="preserve"> г. са изложени </w:t>
      </w:r>
      <w:r w:rsidRPr="009336F4">
        <w:rPr>
          <w:rFonts w:ascii="Arial Narrow" w:hAnsi="Arial Narrow"/>
          <w:lang w:val="bg-BG"/>
        </w:rPr>
        <w:t xml:space="preserve">в подраздел </w:t>
      </w:r>
      <w:r w:rsidR="009336F4" w:rsidRPr="009336F4">
        <w:rPr>
          <w:rFonts w:ascii="Arial Narrow" w:hAnsi="Arial Narrow"/>
        </w:rPr>
        <w:t>V</w:t>
      </w:r>
      <w:r w:rsidRPr="009336F4">
        <w:rPr>
          <w:rFonts w:ascii="Arial Narrow" w:hAnsi="Arial Narrow"/>
        </w:rPr>
        <w:t xml:space="preserve">. </w:t>
      </w:r>
      <w:r w:rsidRPr="009336F4">
        <w:rPr>
          <w:rFonts w:ascii="Arial Narrow" w:hAnsi="Arial Narrow"/>
          <w:lang w:val="bg-BG"/>
        </w:rPr>
        <w:t>ДЕЙНОСТИ, СВЪРЗАНИ СЪС ЗЕМЕДЕЛСКОТО ПРОИЗВОДСТВО</w:t>
      </w:r>
      <w:r w:rsidRPr="009336F4">
        <w:rPr>
          <w:rFonts w:ascii="Arial Narrow" w:hAnsi="Arial Narrow"/>
        </w:rPr>
        <w:t>,</w:t>
      </w:r>
      <w:r w:rsidRPr="009336F4">
        <w:rPr>
          <w:rFonts w:ascii="Arial Narrow" w:hAnsi="Arial Narrow"/>
          <w:lang w:val="bg-BG"/>
        </w:rPr>
        <w:t xml:space="preserve"> т. 2. Хидромелиорации на Доклада.</w:t>
      </w:r>
    </w:p>
    <w:p w14:paraId="3EB8CCDC" w14:textId="77777777" w:rsidR="006F5D96" w:rsidRPr="00020B8B" w:rsidRDefault="006F5D96" w:rsidP="009C6577">
      <w:pPr>
        <w:pStyle w:val="ListParagraph"/>
        <w:numPr>
          <w:ilvl w:val="0"/>
          <w:numId w:val="49"/>
        </w:numPr>
        <w:tabs>
          <w:tab w:val="left" w:pos="993"/>
        </w:tabs>
        <w:spacing w:after="120"/>
        <w:ind w:left="0" w:firstLine="709"/>
        <w:contextualSpacing w:val="0"/>
        <w:jc w:val="both"/>
        <w:rPr>
          <w:rFonts w:ascii="Arial Narrow" w:hAnsi="Arial Narrow"/>
          <w:b/>
          <w:lang w:val="bg-BG"/>
        </w:rPr>
      </w:pPr>
      <w:r w:rsidRPr="00020B8B">
        <w:rPr>
          <w:rFonts w:ascii="Arial Narrow" w:hAnsi="Arial Narrow"/>
          <w:b/>
          <w:lang w:val="bg-BG"/>
        </w:rPr>
        <w:t>Стратегия за цифровизация на земеделието и селски</w:t>
      </w:r>
      <w:r>
        <w:rPr>
          <w:rFonts w:ascii="Arial Narrow" w:hAnsi="Arial Narrow"/>
          <w:b/>
          <w:lang w:val="bg-BG"/>
        </w:rPr>
        <w:t>те райони на Република България</w:t>
      </w:r>
    </w:p>
    <w:p w14:paraId="5297E1EC" w14:textId="77777777" w:rsidR="006F5D96" w:rsidRPr="00020B8B" w:rsidRDefault="006F5D96" w:rsidP="006F5D96">
      <w:pPr>
        <w:pStyle w:val="ListParagraph"/>
        <w:spacing w:after="120"/>
        <w:ind w:left="0" w:firstLine="709"/>
        <w:contextualSpacing w:val="0"/>
        <w:jc w:val="both"/>
        <w:rPr>
          <w:rFonts w:ascii="Arial Narrow" w:hAnsi="Arial Narrow"/>
          <w:lang w:val="bg-BG"/>
        </w:rPr>
      </w:pPr>
      <w:r w:rsidRPr="00020B8B">
        <w:rPr>
          <w:rFonts w:ascii="Arial Narrow" w:hAnsi="Arial Narrow"/>
          <w:lang w:val="bg-BG"/>
        </w:rPr>
        <w:t>В изпълнение на Стратегията е изградена единна информационна система на електронни регистри за целите на специализираната администрация (ЕРСА) в министерството.</w:t>
      </w:r>
    </w:p>
    <w:p w14:paraId="27C2F7F2" w14:textId="77777777" w:rsidR="006F5D96" w:rsidRPr="007B59BE" w:rsidRDefault="006F5D96" w:rsidP="006F5D96">
      <w:pPr>
        <w:pStyle w:val="ListParagraph"/>
        <w:spacing w:after="120"/>
        <w:ind w:left="0" w:firstLine="709"/>
        <w:contextualSpacing w:val="0"/>
        <w:jc w:val="both"/>
        <w:rPr>
          <w:rFonts w:ascii="Arial Narrow" w:hAnsi="Arial Narrow"/>
          <w:lang w:val="bg-BG"/>
        </w:rPr>
      </w:pPr>
      <w:r w:rsidRPr="006960DF">
        <w:rPr>
          <w:rFonts w:ascii="Arial Narrow" w:hAnsi="Arial Narrow"/>
          <w:lang w:val="bg-BG"/>
        </w:rPr>
        <w:t>С</w:t>
      </w:r>
      <w:r>
        <w:rPr>
          <w:rFonts w:ascii="Arial Narrow" w:hAnsi="Arial Narrow"/>
          <w:lang w:val="bg-BG"/>
        </w:rPr>
        <w:t>ъс средства по ПРСР 2014-2020 г.,</w:t>
      </w:r>
      <w:r w:rsidRPr="006960DF">
        <w:rPr>
          <w:rFonts w:ascii="Arial Narrow" w:hAnsi="Arial Narrow"/>
          <w:lang w:val="bg-BG"/>
        </w:rPr>
        <w:t xml:space="preserve"> НПВУ </w:t>
      </w:r>
      <w:r>
        <w:rPr>
          <w:rFonts w:ascii="Arial Narrow" w:hAnsi="Arial Narrow"/>
          <w:lang w:val="bg-BG"/>
        </w:rPr>
        <w:t xml:space="preserve">и СПРЗСР 2023-2027 г. </w:t>
      </w:r>
      <w:r w:rsidRPr="006960DF">
        <w:rPr>
          <w:rFonts w:ascii="Arial Narrow" w:hAnsi="Arial Narrow"/>
          <w:lang w:val="bg-BG"/>
        </w:rPr>
        <w:t xml:space="preserve">се осъществяват мерки от Стратегията, насочени към технологична модернизация и цифровизация в земеделието. </w:t>
      </w:r>
    </w:p>
    <w:p w14:paraId="7DAED740" w14:textId="77777777" w:rsidR="006F5D96" w:rsidRDefault="006F5D96" w:rsidP="006F5D96">
      <w:pPr>
        <w:pStyle w:val="ListParagraph"/>
        <w:spacing w:after="120"/>
        <w:ind w:left="0" w:firstLine="709"/>
        <w:contextualSpacing w:val="0"/>
        <w:jc w:val="both"/>
        <w:rPr>
          <w:rFonts w:ascii="Arial Narrow" w:hAnsi="Arial Narrow"/>
          <w:lang w:val="bg-BG"/>
        </w:rPr>
      </w:pPr>
      <w:r w:rsidRPr="006960DF">
        <w:rPr>
          <w:rFonts w:ascii="Arial Narrow" w:hAnsi="Arial Narrow"/>
          <w:lang w:val="bg-BG"/>
        </w:rPr>
        <w:t xml:space="preserve">По ПРСР 2014-2020 г. се стимулира повишаването на иновационния капацитет на сектор Земеделие чрез подкрепа на сътрудничеството между бизнеса и науката (осъществяване на научноизследователска дейност и иновации, партньорство за обмен и трансфер на иновации, развиване на инфраструктура за експериментиране и достъп до нея). </w:t>
      </w:r>
      <w:r w:rsidRPr="00F13962">
        <w:rPr>
          <w:rFonts w:ascii="Arial Narrow" w:hAnsi="Arial Narrow"/>
          <w:lang w:val="bg-BG"/>
        </w:rPr>
        <w:t>Към края на 2024 г. по подмярка 16.1 "Подкрепа за сформиране и функциониране на оперативни групи в рамките на Европейското партньорство за иновации" от ПРСР 2014-2020 г. се финансира изпълнението договори за финансова подкрепа на дейността на 24  оперативни групи.</w:t>
      </w:r>
      <w:r w:rsidRPr="00A53531">
        <w:rPr>
          <w:rFonts w:ascii="Arial Narrow" w:hAnsi="Arial Narrow"/>
          <w:lang w:val="bg-BG"/>
        </w:rPr>
        <w:t xml:space="preserve"> </w:t>
      </w:r>
    </w:p>
    <w:p w14:paraId="3784B85F" w14:textId="77777777" w:rsidR="006F5D96" w:rsidRDefault="006F5D96" w:rsidP="006F5D96">
      <w:pPr>
        <w:pStyle w:val="ListParagraph"/>
        <w:spacing w:after="120"/>
        <w:ind w:left="0" w:firstLine="709"/>
        <w:contextualSpacing w:val="0"/>
        <w:jc w:val="both"/>
        <w:rPr>
          <w:rFonts w:ascii="Arial Narrow" w:hAnsi="Arial Narrow"/>
          <w:lang w:val="bg-BG"/>
        </w:rPr>
      </w:pPr>
      <w:r>
        <w:rPr>
          <w:rFonts w:ascii="Arial Narrow" w:hAnsi="Arial Narrow"/>
          <w:lang w:val="bg-BG"/>
        </w:rPr>
        <w:t xml:space="preserve">Във връзка с ангажиментите на МЗХ по </w:t>
      </w:r>
      <w:r w:rsidRPr="006960DF">
        <w:rPr>
          <w:rFonts w:ascii="Arial Narrow" w:hAnsi="Arial Narrow"/>
          <w:lang w:val="bg-BG"/>
        </w:rPr>
        <w:t xml:space="preserve">Националния план за възстановяване и устойчивост </w:t>
      </w:r>
      <w:r>
        <w:rPr>
          <w:rFonts w:ascii="Arial Narrow" w:hAnsi="Arial Narrow"/>
          <w:lang w:val="bg-BG"/>
        </w:rPr>
        <w:t xml:space="preserve">се изпълнява </w:t>
      </w:r>
      <w:r w:rsidRPr="006960DF">
        <w:rPr>
          <w:rFonts w:ascii="Arial Narrow" w:hAnsi="Arial Narrow"/>
          <w:lang w:val="bg-BG"/>
        </w:rPr>
        <w:t>проект „Дигитализация на процесите от фермата до трапезата“</w:t>
      </w:r>
      <w:r>
        <w:rPr>
          <w:rFonts w:ascii="Arial Narrow" w:hAnsi="Arial Narrow"/>
          <w:lang w:val="bg-BG"/>
        </w:rPr>
        <w:t>.</w:t>
      </w:r>
      <w:r w:rsidRPr="006960DF">
        <w:rPr>
          <w:rFonts w:ascii="Arial Narrow" w:hAnsi="Arial Narrow"/>
          <w:lang w:val="bg-BG"/>
        </w:rPr>
        <w:t xml:space="preserve"> Инвестиционният проект, </w:t>
      </w:r>
      <w:r>
        <w:rPr>
          <w:rFonts w:ascii="Arial Narrow" w:hAnsi="Arial Narrow"/>
          <w:lang w:val="bg-BG"/>
        </w:rPr>
        <w:t xml:space="preserve">със срок на изпълнение 31 декември </w:t>
      </w:r>
      <w:r w:rsidRPr="006960DF">
        <w:rPr>
          <w:rFonts w:ascii="Arial Narrow" w:hAnsi="Arial Narrow"/>
          <w:lang w:val="bg-BG"/>
        </w:rPr>
        <w:t>2025 г., предвижда изграждане на Електронна информационна система в земеделието за обмен на данни между публичната администрация и икономическите субекти в сектора, която да осигури интегриране и съвместимост на данните от различни информационни системи, регистри и бази-данни, в и извън сектор Земеделие. Целта е цифровизиране и обединяване на информационните ресурси в земеделието, създаване на условия за проследяване на напредъка по изпълнението на целите на зелената сделка в областта на селското стопанство, оптимизиране на бизнес-средата и намаляване на административната тежест.</w:t>
      </w:r>
    </w:p>
    <w:p w14:paraId="79A1F3BE" w14:textId="77777777" w:rsidR="006F5D96" w:rsidRDefault="006F5D96" w:rsidP="006F5D96">
      <w:pPr>
        <w:pStyle w:val="ListParagraph"/>
        <w:spacing w:after="120"/>
        <w:ind w:left="0" w:firstLine="709"/>
        <w:contextualSpacing w:val="0"/>
        <w:jc w:val="both"/>
        <w:rPr>
          <w:rFonts w:ascii="Arial Narrow" w:hAnsi="Arial Narrow"/>
          <w:lang w:val="bg-BG"/>
        </w:rPr>
      </w:pPr>
      <w:r w:rsidRPr="006960DF">
        <w:rPr>
          <w:rFonts w:ascii="Arial Narrow" w:hAnsi="Arial Narrow"/>
          <w:lang w:val="bg-BG"/>
        </w:rPr>
        <w:t xml:space="preserve">По проект </w:t>
      </w:r>
      <w:r>
        <w:rPr>
          <w:rFonts w:ascii="Arial Narrow" w:hAnsi="Arial Narrow"/>
          <w:lang w:val="bg-BG"/>
        </w:rPr>
        <w:t>„</w:t>
      </w:r>
      <w:r w:rsidRPr="006960DF">
        <w:rPr>
          <w:rFonts w:ascii="Arial Narrow" w:hAnsi="Arial Narrow"/>
          <w:lang w:val="bg-BG"/>
        </w:rPr>
        <w:t xml:space="preserve">Фонд за насърчаване на технологичния и екологичен преход на селското стопанство" от НПВУ </w:t>
      </w:r>
      <w:r w:rsidRPr="00F13962">
        <w:rPr>
          <w:rFonts w:ascii="Arial Narrow" w:hAnsi="Arial Narrow"/>
          <w:lang w:val="bg-BG"/>
        </w:rPr>
        <w:t xml:space="preserve">са сключени 1 520 договора със земеделски производители за </w:t>
      </w:r>
      <w:r>
        <w:rPr>
          <w:rFonts w:ascii="Arial Narrow" w:hAnsi="Arial Narrow"/>
          <w:lang w:val="bg-BG"/>
        </w:rPr>
        <w:t xml:space="preserve">предоставяне на </w:t>
      </w:r>
      <w:r w:rsidRPr="00F13962">
        <w:rPr>
          <w:rFonts w:ascii="Arial Narrow" w:hAnsi="Arial Narrow"/>
          <w:lang w:val="bg-BG"/>
        </w:rPr>
        <w:t xml:space="preserve">инвестиционна подкрепа </w:t>
      </w:r>
      <w:r>
        <w:rPr>
          <w:rFonts w:ascii="Arial Narrow" w:hAnsi="Arial Narrow"/>
          <w:lang w:val="bg-BG"/>
        </w:rPr>
        <w:t>в</w:t>
      </w:r>
      <w:r w:rsidRPr="00F13962">
        <w:rPr>
          <w:rFonts w:ascii="Arial Narrow" w:hAnsi="Arial Narrow"/>
          <w:lang w:val="bg-BG"/>
        </w:rPr>
        <w:t xml:space="preserve"> размер на 315 562 820 лева.</w:t>
      </w:r>
      <w:r>
        <w:rPr>
          <w:rFonts w:ascii="Arial Narrow" w:hAnsi="Arial Narrow"/>
          <w:lang w:val="bg-BG"/>
        </w:rPr>
        <w:t xml:space="preserve"> Финансовата помощ е насочена към придобиването на активи от земеделските стопанства, допринасящи за тяхното ускорено техническо обновяване и широко навлизане в земеделската практика на дигитални иновации. </w:t>
      </w:r>
    </w:p>
    <w:p w14:paraId="5510BB0E" w14:textId="77777777" w:rsidR="006F5D96" w:rsidRPr="006960DF" w:rsidRDefault="006F5D96" w:rsidP="006F5D96">
      <w:pPr>
        <w:pStyle w:val="ListParagraph"/>
        <w:spacing w:after="120"/>
        <w:ind w:left="0" w:firstLine="709"/>
        <w:contextualSpacing w:val="0"/>
        <w:jc w:val="both"/>
        <w:rPr>
          <w:rFonts w:ascii="Arial Narrow" w:hAnsi="Arial Narrow"/>
          <w:lang w:val="bg-BG"/>
        </w:rPr>
      </w:pPr>
      <w:r>
        <w:rPr>
          <w:rFonts w:ascii="Arial Narrow" w:hAnsi="Arial Narrow"/>
          <w:lang w:val="bg-BG"/>
        </w:rPr>
        <w:t xml:space="preserve">В периода м. декември 2024 г. - м. февруари 2025 г. е отворен прием по </w:t>
      </w:r>
      <w:r w:rsidRPr="006A4883">
        <w:rPr>
          <w:rFonts w:ascii="Arial Narrow" w:hAnsi="Arial Narrow"/>
          <w:lang w:val="bg-BG"/>
        </w:rPr>
        <w:t xml:space="preserve">Интервенция II.Ж.1. </w:t>
      </w:r>
      <w:r>
        <w:rPr>
          <w:rFonts w:ascii="Arial Narrow" w:hAnsi="Arial Narrow"/>
          <w:lang w:val="bg-BG"/>
        </w:rPr>
        <w:t>„</w:t>
      </w:r>
      <w:r w:rsidRPr="006A4883">
        <w:rPr>
          <w:rFonts w:ascii="Arial Narrow" w:hAnsi="Arial Narrow"/>
          <w:lang w:val="bg-BG"/>
        </w:rPr>
        <w:t>Подкрепа за оперативни групи в рамките на Европейското партньорство за иновации</w:t>
      </w:r>
      <w:r>
        <w:rPr>
          <w:rFonts w:ascii="Arial Narrow" w:hAnsi="Arial Narrow"/>
          <w:lang w:val="bg-BG"/>
        </w:rPr>
        <w:t>“ от СПРЗСР 2023-2027 г. за финансиране на първата стъпка при изпълнение на новаторски проекти - създаване на оперативна група.</w:t>
      </w:r>
      <w:r w:rsidRPr="002A2F18">
        <w:rPr>
          <w:rFonts w:ascii="Arial Narrow" w:hAnsi="Arial Narrow"/>
          <w:lang w:val="bg-BG"/>
        </w:rPr>
        <w:t xml:space="preserve"> </w:t>
      </w:r>
      <w:r>
        <w:rPr>
          <w:rFonts w:ascii="Arial Narrow" w:hAnsi="Arial Narrow"/>
          <w:lang w:val="bg-BG"/>
        </w:rPr>
        <w:t xml:space="preserve">Постъпили са 118 </w:t>
      </w:r>
      <w:r w:rsidRPr="006A4883">
        <w:rPr>
          <w:rFonts w:ascii="Arial Narrow" w:hAnsi="Arial Narrow"/>
          <w:lang w:val="bg-BG"/>
        </w:rPr>
        <w:t>заявления за подпомагане, които са в процедура по оценка</w:t>
      </w:r>
      <w:r>
        <w:rPr>
          <w:rFonts w:ascii="Arial Narrow" w:hAnsi="Arial Narrow"/>
          <w:lang w:val="bg-BG"/>
        </w:rPr>
        <w:t xml:space="preserve">. Съгласно индикативния </w:t>
      </w:r>
      <w:r w:rsidRPr="006A4883">
        <w:rPr>
          <w:rFonts w:ascii="Arial Narrow" w:hAnsi="Arial Narrow"/>
          <w:lang w:val="bg-BG"/>
        </w:rPr>
        <w:t>годишен график за планираните приеми</w:t>
      </w:r>
      <w:r>
        <w:rPr>
          <w:rFonts w:ascii="Arial Narrow" w:hAnsi="Arial Narrow"/>
          <w:lang w:val="bg-BG"/>
        </w:rPr>
        <w:t>,</w:t>
      </w:r>
      <w:r w:rsidRPr="006A4883">
        <w:rPr>
          <w:rFonts w:ascii="Arial Narrow" w:hAnsi="Arial Narrow"/>
          <w:lang w:val="bg-BG"/>
        </w:rPr>
        <w:t xml:space="preserve"> </w:t>
      </w:r>
      <w:r>
        <w:rPr>
          <w:rFonts w:ascii="Arial Narrow" w:hAnsi="Arial Narrow"/>
          <w:lang w:val="bg-BG"/>
        </w:rPr>
        <w:t>в периода м. септември - м. ноември 2025 г. предстои провеждането на прием на заявления по втората стъпка – предоставяне на  финансова помощ за функциониране на оперативна група.</w:t>
      </w:r>
    </w:p>
    <w:p w14:paraId="7DE4EBD0" w14:textId="77777777" w:rsidR="006F5D96" w:rsidRPr="006960DF" w:rsidRDefault="006F5D96" w:rsidP="006F5D96">
      <w:pPr>
        <w:pStyle w:val="ListParagraph"/>
        <w:spacing w:after="120"/>
        <w:ind w:left="0" w:firstLine="709"/>
        <w:contextualSpacing w:val="0"/>
        <w:jc w:val="both"/>
        <w:rPr>
          <w:rFonts w:ascii="Arial Narrow" w:hAnsi="Arial Narrow"/>
          <w:lang w:val="bg-BG"/>
        </w:rPr>
      </w:pPr>
      <w:r w:rsidRPr="006960DF">
        <w:rPr>
          <w:rFonts w:ascii="Arial Narrow" w:hAnsi="Arial Narrow"/>
          <w:lang w:val="bg-BG"/>
        </w:rPr>
        <w:t xml:space="preserve">Провеждат се обучения и консултации за развиване на цифровите умения и квалификация на заетите в селското стопанство. </w:t>
      </w:r>
      <w:r>
        <w:rPr>
          <w:rFonts w:ascii="Arial Narrow" w:hAnsi="Arial Narrow"/>
          <w:lang w:val="bg-BG"/>
        </w:rPr>
        <w:t>Осъществени</w:t>
      </w:r>
      <w:r w:rsidRPr="006960DF">
        <w:rPr>
          <w:rFonts w:ascii="Arial Narrow" w:hAnsi="Arial Narrow"/>
          <w:lang w:val="bg-BG"/>
        </w:rPr>
        <w:t xml:space="preserve"> са обучителни събития по теми, свързани с прецизно земеделие, системи за електронно управление на процеси, възможностите за използване на блокчейн</w:t>
      </w:r>
      <w:r>
        <w:rPr>
          <w:rFonts w:ascii="Arial Narrow" w:hAnsi="Arial Narrow"/>
          <w:lang w:val="bg-BG"/>
        </w:rPr>
        <w:t xml:space="preserve"> </w:t>
      </w:r>
      <w:r w:rsidRPr="006960DF">
        <w:rPr>
          <w:rFonts w:ascii="Arial Narrow" w:hAnsi="Arial Narrow"/>
          <w:lang w:val="bg-BG"/>
        </w:rPr>
        <w:t>технологии в земеделието.</w:t>
      </w:r>
    </w:p>
    <w:p w14:paraId="523781B3" w14:textId="77777777" w:rsidR="006F5D96" w:rsidRPr="006960DF" w:rsidRDefault="006F5D96" w:rsidP="009C6577">
      <w:pPr>
        <w:pStyle w:val="ListParagraph"/>
        <w:numPr>
          <w:ilvl w:val="0"/>
          <w:numId w:val="49"/>
        </w:numPr>
        <w:tabs>
          <w:tab w:val="left" w:pos="993"/>
        </w:tabs>
        <w:spacing w:after="120"/>
        <w:ind w:left="0" w:firstLine="709"/>
        <w:contextualSpacing w:val="0"/>
        <w:jc w:val="both"/>
        <w:rPr>
          <w:rFonts w:ascii="Arial Narrow" w:hAnsi="Arial Narrow"/>
          <w:b/>
          <w:lang w:val="bg-BG"/>
        </w:rPr>
      </w:pPr>
      <w:r w:rsidRPr="006960DF">
        <w:rPr>
          <w:rFonts w:ascii="Arial Narrow" w:hAnsi="Arial Narrow"/>
          <w:b/>
          <w:lang w:val="bg-BG"/>
        </w:rPr>
        <w:t>Актуализиран Национален план за действие за устойчива употреба на пестициди в Република България (НПДУУП)</w:t>
      </w:r>
    </w:p>
    <w:p w14:paraId="367782AD" w14:textId="77777777" w:rsidR="006F5D96" w:rsidRDefault="006F5D96" w:rsidP="006F5D96">
      <w:pPr>
        <w:pStyle w:val="ListParagraph"/>
        <w:spacing w:after="120"/>
        <w:ind w:left="0" w:firstLine="709"/>
        <w:contextualSpacing w:val="0"/>
        <w:jc w:val="both"/>
        <w:rPr>
          <w:rFonts w:ascii="Arial Narrow" w:hAnsi="Arial Narrow"/>
          <w:lang w:val="bg-BG"/>
        </w:rPr>
      </w:pPr>
      <w:r w:rsidRPr="006960DF">
        <w:rPr>
          <w:rFonts w:ascii="Arial Narrow" w:hAnsi="Arial Narrow"/>
          <w:lang w:val="bg-BG"/>
        </w:rPr>
        <w:t>Напредъкът в изпълнението на  НПДУУП се отчита в ежегодно изготвяни Годишни доклади по наблюдението и контрола при прилагане на Актуализирания Национален план за действие за устойчива употреба на пестициди в Република България</w:t>
      </w:r>
      <w:r>
        <w:rPr>
          <w:rFonts w:ascii="Arial Narrow" w:hAnsi="Arial Narrow"/>
          <w:lang w:val="bg-BG"/>
        </w:rPr>
        <w:t xml:space="preserve">. Докладите се публикуват </w:t>
      </w:r>
      <w:r w:rsidRPr="006960DF">
        <w:rPr>
          <w:rFonts w:ascii="Arial Narrow" w:hAnsi="Arial Narrow"/>
          <w:lang w:val="bg-BG"/>
        </w:rPr>
        <w:t xml:space="preserve">на интернет-страницата на Българската агенция по </w:t>
      </w:r>
      <w:r>
        <w:rPr>
          <w:rFonts w:ascii="Arial Narrow" w:hAnsi="Arial Narrow"/>
          <w:lang w:val="bg-BG"/>
        </w:rPr>
        <w:t xml:space="preserve">безопасност на </w:t>
      </w:r>
      <w:r w:rsidRPr="006960DF">
        <w:rPr>
          <w:rFonts w:ascii="Arial Narrow" w:hAnsi="Arial Narrow"/>
          <w:lang w:val="bg-BG"/>
        </w:rPr>
        <w:t>храните.</w:t>
      </w:r>
      <w:r w:rsidRPr="0055374E">
        <w:rPr>
          <w:rFonts w:ascii="Arial Narrow" w:hAnsi="Arial Narrow"/>
          <w:lang w:val="bg-BG"/>
        </w:rPr>
        <w:t xml:space="preserve"> </w:t>
      </w:r>
    </w:p>
    <w:p w14:paraId="21DCE7BD" w14:textId="77777777" w:rsidR="006F5D96" w:rsidRPr="005D5CBD" w:rsidRDefault="006F5D96" w:rsidP="006F5D96">
      <w:pPr>
        <w:pStyle w:val="ListParagraph"/>
        <w:spacing w:after="120"/>
        <w:ind w:left="0" w:firstLine="709"/>
        <w:contextualSpacing w:val="0"/>
        <w:jc w:val="both"/>
        <w:rPr>
          <w:rFonts w:ascii="Arial Narrow" w:hAnsi="Arial Narrow"/>
          <w:lang w:val="bg-BG"/>
        </w:rPr>
      </w:pPr>
      <w:r w:rsidRPr="0055374E">
        <w:rPr>
          <w:rFonts w:ascii="Arial Narrow" w:hAnsi="Arial Narrow"/>
          <w:lang w:val="bg-BG"/>
        </w:rPr>
        <w:t xml:space="preserve">Предстои отчитане на изпълнението на </w:t>
      </w:r>
      <w:r>
        <w:rPr>
          <w:rFonts w:ascii="Arial Narrow" w:hAnsi="Arial Narrow"/>
          <w:lang w:val="bg-BG"/>
        </w:rPr>
        <w:t>Плана з</w:t>
      </w:r>
      <w:r w:rsidRPr="0055374E">
        <w:rPr>
          <w:rFonts w:ascii="Arial Narrow" w:hAnsi="Arial Narrow"/>
          <w:lang w:val="bg-BG"/>
        </w:rPr>
        <w:t>а периода 2020-2024 г. и актуализиране му с въвеждане на количествени показатели за риска.</w:t>
      </w:r>
    </w:p>
    <w:p w14:paraId="32B2FCAD" w14:textId="77777777" w:rsidR="006F5D96" w:rsidRPr="001645D7" w:rsidRDefault="006F5D96" w:rsidP="006F5D96">
      <w:pPr>
        <w:pStyle w:val="ListParagraph"/>
        <w:spacing w:after="120"/>
        <w:ind w:left="0" w:firstLine="709"/>
        <w:contextualSpacing w:val="0"/>
        <w:jc w:val="both"/>
        <w:rPr>
          <w:rFonts w:ascii="Arial Narrow" w:hAnsi="Arial Narrow"/>
          <w:lang w:val="bg-BG"/>
        </w:rPr>
      </w:pPr>
      <w:r w:rsidRPr="009336F4">
        <w:rPr>
          <w:rFonts w:ascii="Arial Narrow" w:hAnsi="Arial Narrow"/>
          <w:lang w:val="bg-BG"/>
        </w:rPr>
        <w:lastRenderedPageBreak/>
        <w:t xml:space="preserve">Данни за изпълнени дейности по Плана за 2024 г. се представени в подраздел </w:t>
      </w:r>
      <w:r w:rsidR="009336F4" w:rsidRPr="009336F4">
        <w:rPr>
          <w:rFonts w:ascii="Arial Narrow" w:hAnsi="Arial Narrow"/>
        </w:rPr>
        <w:t>V</w:t>
      </w:r>
      <w:r w:rsidRPr="009336F4">
        <w:rPr>
          <w:rFonts w:ascii="Arial Narrow" w:hAnsi="Arial Narrow"/>
          <w:lang w:val="bg-BG"/>
        </w:rPr>
        <w:t>. ДЕЙНОСТИ, СВЪРЗАНИ СЪС ЗЕМЕДЕЛСКОТО ПРОИЗВОДСТВО, т. 3. Растителна защита и фитосанитарен контрол на Аграрния доклад.</w:t>
      </w:r>
    </w:p>
    <w:p w14:paraId="17944979" w14:textId="77777777" w:rsidR="006F5D96" w:rsidRPr="006960DF" w:rsidRDefault="006F5D96" w:rsidP="009C6577">
      <w:pPr>
        <w:pStyle w:val="ListParagraph"/>
        <w:numPr>
          <w:ilvl w:val="0"/>
          <w:numId w:val="51"/>
        </w:numPr>
        <w:tabs>
          <w:tab w:val="left" w:pos="993"/>
        </w:tabs>
        <w:spacing w:after="120"/>
        <w:ind w:left="0" w:firstLine="709"/>
        <w:contextualSpacing w:val="0"/>
        <w:jc w:val="both"/>
        <w:rPr>
          <w:rFonts w:ascii="Arial Narrow" w:hAnsi="Arial Narrow"/>
          <w:b/>
          <w:lang w:val="bg-BG"/>
        </w:rPr>
      </w:pPr>
      <w:r w:rsidRPr="006960DF">
        <w:rPr>
          <w:rFonts w:ascii="Arial Narrow" w:hAnsi="Arial Narrow"/>
          <w:b/>
          <w:lang w:val="bg-BG"/>
        </w:rPr>
        <w:t>Национална стратегия за развитие на лозарството и винарството в Република България 2005</w:t>
      </w:r>
      <w:r>
        <w:rPr>
          <w:rFonts w:ascii="Arial Narrow" w:hAnsi="Arial Narrow"/>
          <w:b/>
          <w:lang w:val="bg-BG"/>
        </w:rPr>
        <w:t>-</w:t>
      </w:r>
      <w:r w:rsidRPr="006960DF">
        <w:rPr>
          <w:rFonts w:ascii="Arial Narrow" w:hAnsi="Arial Narrow"/>
          <w:b/>
          <w:lang w:val="bg-BG"/>
        </w:rPr>
        <w:t>2025 г.</w:t>
      </w:r>
    </w:p>
    <w:p w14:paraId="2ED36B85" w14:textId="77777777" w:rsidR="006F5D96" w:rsidRPr="00E623CB" w:rsidRDefault="006F5D96" w:rsidP="006F5D96">
      <w:pPr>
        <w:pStyle w:val="ListParagraph"/>
        <w:spacing w:after="120"/>
        <w:ind w:left="0" w:firstLine="709"/>
        <w:contextualSpacing w:val="0"/>
        <w:jc w:val="both"/>
        <w:rPr>
          <w:rFonts w:ascii="Arial Narrow" w:hAnsi="Arial Narrow"/>
          <w:lang w:val="bg-BG"/>
        </w:rPr>
      </w:pPr>
      <w:r>
        <w:rPr>
          <w:rFonts w:ascii="Arial Narrow" w:hAnsi="Arial Narrow"/>
          <w:lang w:val="bg-BG"/>
        </w:rPr>
        <w:t>В условията на членство в ЕС и прилагане на Общата селскостопанска политика развитието на подсектор Лозарство и винарство се стимулира чрез прилагането на Национални програми за</w:t>
      </w:r>
      <w:r w:rsidRPr="00E623CB">
        <w:rPr>
          <w:rFonts w:ascii="Arial Narrow" w:hAnsi="Arial Narrow"/>
          <w:lang w:val="bg-BG"/>
        </w:rPr>
        <w:t xml:space="preserve"> подпомагане на лозаро-винарския сектор</w:t>
      </w:r>
      <w:r>
        <w:rPr>
          <w:rFonts w:ascii="Arial Narrow" w:hAnsi="Arial Narrow"/>
          <w:lang w:val="bg-BG"/>
        </w:rPr>
        <w:t>.</w:t>
      </w:r>
    </w:p>
    <w:p w14:paraId="7FD08882" w14:textId="77777777" w:rsidR="006F5D96" w:rsidRPr="00E54B98" w:rsidRDefault="006F5D96" w:rsidP="006F5D96">
      <w:pPr>
        <w:pStyle w:val="ListParagraph"/>
        <w:spacing w:after="120"/>
        <w:ind w:left="0" w:firstLine="709"/>
        <w:contextualSpacing w:val="0"/>
        <w:jc w:val="both"/>
        <w:rPr>
          <w:rFonts w:ascii="Arial Narrow" w:hAnsi="Arial Narrow"/>
          <w:lang w:val="bg-BG"/>
        </w:rPr>
      </w:pPr>
      <w:r>
        <w:rPr>
          <w:rFonts w:ascii="Arial Narrow" w:hAnsi="Arial Narrow"/>
          <w:lang w:val="bg-BG"/>
        </w:rPr>
        <w:t>П</w:t>
      </w:r>
      <w:r w:rsidRPr="002A0D09">
        <w:rPr>
          <w:rFonts w:ascii="Arial Narrow" w:hAnsi="Arial Narrow"/>
        </w:rPr>
        <w:t xml:space="preserve">о </w:t>
      </w:r>
      <w:r w:rsidRPr="00054A3B">
        <w:rPr>
          <w:rFonts w:ascii="Arial Narrow" w:hAnsi="Arial Narrow"/>
          <w:lang w:val="bg-BG"/>
        </w:rPr>
        <w:t>Националната програма за подпомагане на лозаро-винарския сектор за периода 2008</w:t>
      </w:r>
      <w:r w:rsidRPr="00E54B98">
        <w:rPr>
          <w:rFonts w:ascii="Arial Narrow" w:hAnsi="Arial Narrow"/>
          <w:lang w:val="bg-BG"/>
        </w:rPr>
        <w:t xml:space="preserve"> – 2013 г. са </w:t>
      </w:r>
      <w:r w:rsidRPr="00054A3B">
        <w:rPr>
          <w:rFonts w:ascii="Arial Narrow" w:hAnsi="Arial Narrow"/>
          <w:lang w:val="bg-BG"/>
        </w:rPr>
        <w:t>преструктурирани 1</w:t>
      </w:r>
      <w:r w:rsidRPr="00E54B98">
        <w:rPr>
          <w:rFonts w:ascii="Arial Narrow" w:hAnsi="Arial Narrow"/>
          <w:lang w:val="bg-BG"/>
        </w:rPr>
        <w:t xml:space="preserve"> </w:t>
      </w:r>
      <w:r w:rsidRPr="00054A3B">
        <w:rPr>
          <w:rFonts w:ascii="Arial Narrow" w:hAnsi="Arial Narrow"/>
          <w:lang w:val="bg-BG"/>
        </w:rPr>
        <w:t xml:space="preserve">820 ха </w:t>
      </w:r>
      <w:r w:rsidRPr="00E54B98">
        <w:rPr>
          <w:rFonts w:ascii="Arial Narrow" w:hAnsi="Arial Narrow"/>
          <w:lang w:val="bg-BG"/>
        </w:rPr>
        <w:t xml:space="preserve">с винени лозя и са </w:t>
      </w:r>
      <w:r w:rsidRPr="00054A3B">
        <w:rPr>
          <w:rFonts w:ascii="Arial Narrow" w:hAnsi="Arial Narrow"/>
          <w:lang w:val="bg-BG"/>
        </w:rPr>
        <w:t xml:space="preserve">подобрени техники на управление </w:t>
      </w:r>
      <w:r w:rsidRPr="00E54B98">
        <w:rPr>
          <w:rFonts w:ascii="Arial Narrow" w:hAnsi="Arial Narrow"/>
          <w:lang w:val="bg-BG"/>
        </w:rPr>
        <w:t xml:space="preserve">на </w:t>
      </w:r>
      <w:r w:rsidRPr="00054A3B">
        <w:rPr>
          <w:rFonts w:ascii="Arial Narrow" w:hAnsi="Arial Narrow"/>
          <w:lang w:val="bg-BG"/>
        </w:rPr>
        <w:t>5</w:t>
      </w:r>
      <w:r w:rsidRPr="00E54B98">
        <w:rPr>
          <w:rFonts w:ascii="Arial Narrow" w:hAnsi="Arial Narrow"/>
          <w:lang w:val="bg-BG"/>
        </w:rPr>
        <w:t xml:space="preserve"> </w:t>
      </w:r>
      <w:r w:rsidRPr="00054A3B">
        <w:rPr>
          <w:rFonts w:ascii="Arial Narrow" w:hAnsi="Arial Narrow"/>
          <w:lang w:val="bg-BG"/>
        </w:rPr>
        <w:t>574 ха.</w:t>
      </w:r>
    </w:p>
    <w:p w14:paraId="7E11D018" w14:textId="77777777" w:rsidR="006F5D96" w:rsidRDefault="006F5D96" w:rsidP="006F5D96">
      <w:pPr>
        <w:pStyle w:val="ListParagraph"/>
        <w:spacing w:after="120"/>
        <w:ind w:left="0" w:firstLine="709"/>
        <w:contextualSpacing w:val="0"/>
        <w:jc w:val="both"/>
        <w:rPr>
          <w:rFonts w:ascii="Arial Narrow" w:hAnsi="Arial Narrow"/>
          <w:lang w:val="bg-BG"/>
        </w:rPr>
      </w:pPr>
      <w:r w:rsidRPr="00E54B98">
        <w:rPr>
          <w:rFonts w:ascii="Arial Narrow" w:hAnsi="Arial Narrow"/>
          <w:lang w:val="bg-BG"/>
        </w:rPr>
        <w:t>С финансовата подкрепа по Националната</w:t>
      </w:r>
      <w:r w:rsidRPr="002A0D09">
        <w:rPr>
          <w:rFonts w:ascii="Arial Narrow" w:hAnsi="Arial Narrow"/>
          <w:lang w:val="bg-BG"/>
        </w:rPr>
        <w:t xml:space="preserve"> програм</w:t>
      </w:r>
      <w:r>
        <w:rPr>
          <w:rFonts w:ascii="Arial Narrow" w:hAnsi="Arial Narrow"/>
          <w:lang w:val="bg-BG"/>
        </w:rPr>
        <w:t>а</w:t>
      </w:r>
      <w:r w:rsidRPr="002A0D09">
        <w:rPr>
          <w:rFonts w:ascii="Arial Narrow" w:hAnsi="Arial Narrow"/>
          <w:lang w:val="bg-BG"/>
        </w:rPr>
        <w:t xml:space="preserve"> за подпомагане на лозаро-винарския сектор</w:t>
      </w:r>
      <w:r w:rsidRPr="00E623CB">
        <w:rPr>
          <w:rFonts w:ascii="Arial Narrow" w:hAnsi="Arial Narrow"/>
          <w:lang w:val="bg-BG"/>
        </w:rPr>
        <w:t xml:space="preserve"> </w:t>
      </w:r>
      <w:r>
        <w:rPr>
          <w:rFonts w:ascii="Arial Narrow" w:hAnsi="Arial Narrow"/>
          <w:lang w:val="bg-BG"/>
        </w:rPr>
        <w:t xml:space="preserve">за периода </w:t>
      </w:r>
      <w:r w:rsidRPr="00E623CB">
        <w:rPr>
          <w:rFonts w:ascii="Arial Narrow" w:hAnsi="Arial Narrow"/>
          <w:lang w:val="bg-BG"/>
        </w:rPr>
        <w:t>2014-2018 г.</w:t>
      </w:r>
      <w:r>
        <w:rPr>
          <w:rFonts w:ascii="Arial Narrow" w:hAnsi="Arial Narrow"/>
          <w:lang w:val="bg-BG"/>
        </w:rPr>
        <w:t xml:space="preserve"> </w:t>
      </w:r>
      <w:r w:rsidRPr="00E623CB">
        <w:rPr>
          <w:rFonts w:ascii="Arial Narrow" w:hAnsi="Arial Narrow"/>
          <w:lang w:val="bg-BG"/>
        </w:rPr>
        <w:t>са преструктурирани 3 715 ха с винени лозя и са подобрени техниките на управление на 2</w:t>
      </w:r>
      <w:r>
        <w:rPr>
          <w:rFonts w:ascii="Arial Narrow" w:hAnsi="Arial Narrow"/>
          <w:lang w:val="bg-BG"/>
        </w:rPr>
        <w:t> </w:t>
      </w:r>
      <w:r w:rsidRPr="00E623CB">
        <w:rPr>
          <w:rFonts w:ascii="Arial Narrow" w:hAnsi="Arial Narrow"/>
          <w:lang w:val="bg-BG"/>
        </w:rPr>
        <w:t>930</w:t>
      </w:r>
      <w:r>
        <w:rPr>
          <w:rFonts w:ascii="Arial Narrow" w:hAnsi="Arial Narrow"/>
          <w:lang w:val="bg-BG"/>
        </w:rPr>
        <w:t xml:space="preserve"> </w:t>
      </w:r>
      <w:r w:rsidRPr="00E623CB">
        <w:rPr>
          <w:rFonts w:ascii="Arial Narrow" w:hAnsi="Arial Narrow"/>
          <w:lang w:val="bg-BG"/>
        </w:rPr>
        <w:t xml:space="preserve">ха лозови насаждения. </w:t>
      </w:r>
    </w:p>
    <w:p w14:paraId="0C692614" w14:textId="77777777" w:rsidR="006F5D96" w:rsidRPr="006960DF" w:rsidRDefault="006F5D96" w:rsidP="006F5D96">
      <w:pPr>
        <w:pStyle w:val="ListParagraph"/>
        <w:spacing w:after="120"/>
        <w:ind w:left="0" w:firstLine="709"/>
        <w:contextualSpacing w:val="0"/>
        <w:jc w:val="both"/>
        <w:rPr>
          <w:rFonts w:ascii="Arial Narrow" w:hAnsi="Arial Narrow"/>
          <w:lang w:val="bg-BG"/>
        </w:rPr>
      </w:pPr>
      <w:r w:rsidRPr="006960DF">
        <w:rPr>
          <w:rFonts w:ascii="Arial Narrow" w:hAnsi="Arial Narrow"/>
          <w:lang w:val="bg-BG"/>
        </w:rPr>
        <w:t xml:space="preserve">През 2023 г. приключи прилагането на Националната програма за подпомагане на лозаро-винарския сектор 2019-2023 г. Изпълнението на предвидените в нея дейности допринесе за постигане на заложените индикатори за изпълнение на </w:t>
      </w:r>
      <w:r>
        <w:rPr>
          <w:rFonts w:ascii="Arial Narrow" w:hAnsi="Arial Narrow"/>
          <w:lang w:val="bg-BG"/>
        </w:rPr>
        <w:t xml:space="preserve">относимите </w:t>
      </w:r>
      <w:r w:rsidRPr="006960DF">
        <w:rPr>
          <w:rFonts w:ascii="Arial Narrow" w:hAnsi="Arial Narrow"/>
          <w:lang w:val="bg-BG"/>
        </w:rPr>
        <w:t xml:space="preserve">мерки в НПР България 2030. За периода 2021-2023 г. са преструктурирани 4 578,9 ха винени лозя, което представлява 14,2% от площите с лозови насаждения в земеделските стопанствата през 2023 г. (32 178 ха), при заложена целева стойност от 8%. </w:t>
      </w:r>
    </w:p>
    <w:p w14:paraId="38E67C65" w14:textId="77777777" w:rsidR="006F5D96" w:rsidRDefault="006F5D96" w:rsidP="006F5D96">
      <w:pPr>
        <w:pStyle w:val="ListParagraph"/>
        <w:spacing w:after="120"/>
        <w:ind w:left="0" w:firstLine="709"/>
        <w:contextualSpacing w:val="0"/>
        <w:jc w:val="both"/>
        <w:rPr>
          <w:rFonts w:ascii="Arial Narrow" w:hAnsi="Arial Narrow"/>
          <w:lang w:val="bg-BG"/>
        </w:rPr>
      </w:pPr>
      <w:r w:rsidRPr="006960DF">
        <w:rPr>
          <w:rFonts w:ascii="Arial Narrow" w:hAnsi="Arial Narrow"/>
          <w:lang w:val="bg-BG"/>
        </w:rPr>
        <w:t>През м. октомври 2023 г. стартира прилагането на интервенциите в лозаро-винарския сектор от СПРЗСР</w:t>
      </w:r>
      <w:r>
        <w:rPr>
          <w:rFonts w:ascii="Arial Narrow" w:hAnsi="Arial Narrow"/>
          <w:lang w:val="bg-BG"/>
        </w:rPr>
        <w:t xml:space="preserve"> 2023-2027 г.</w:t>
      </w:r>
      <w:r w:rsidRPr="006960DF">
        <w:rPr>
          <w:rFonts w:ascii="Arial Narrow" w:hAnsi="Arial Narrow"/>
          <w:lang w:val="bg-BG"/>
        </w:rPr>
        <w:t xml:space="preserve"> </w:t>
      </w:r>
      <w:r w:rsidRPr="008A50A2">
        <w:rPr>
          <w:rFonts w:ascii="Arial Narrow" w:hAnsi="Arial Narrow"/>
          <w:lang w:val="bg-BG"/>
        </w:rPr>
        <w:t>За финансовата 2024 г. са сключени близо 200 договора за финансово подпомагане със стойност на одобрената финансова помощ в размер на 35 206 792 лева.</w:t>
      </w:r>
    </w:p>
    <w:p w14:paraId="7D3F1231" w14:textId="77777777" w:rsidR="006F5D96" w:rsidRPr="008A50A2" w:rsidRDefault="006F5D96" w:rsidP="006F5D96">
      <w:pPr>
        <w:pStyle w:val="ListParagraph"/>
        <w:spacing w:after="120"/>
        <w:ind w:left="0" w:firstLine="709"/>
        <w:contextualSpacing w:val="0"/>
        <w:jc w:val="both"/>
        <w:rPr>
          <w:rFonts w:ascii="Arial Narrow" w:hAnsi="Arial Narrow"/>
          <w:lang w:val="bg-BG"/>
        </w:rPr>
      </w:pPr>
      <w:r>
        <w:rPr>
          <w:rFonts w:ascii="Arial Narrow" w:hAnsi="Arial Narrow"/>
          <w:lang w:val="bg-BG"/>
        </w:rPr>
        <w:t xml:space="preserve">За финансовата 2025 г. постъпили над 220 заявления за финансова помощ. Към средата на 2025 г. са сключени 87 договора за финансова помощ, с одобрена субсидия, възлизаща на                                         </w:t>
      </w:r>
      <w:r w:rsidRPr="0041136E">
        <w:rPr>
          <w:rFonts w:ascii="Arial Narrow" w:hAnsi="Arial Narrow"/>
          <w:lang w:val="bg-BG"/>
        </w:rPr>
        <w:t>26 530</w:t>
      </w:r>
      <w:r>
        <w:rPr>
          <w:rFonts w:ascii="Arial Narrow" w:hAnsi="Arial Narrow"/>
          <w:lang w:val="bg-BG"/>
        </w:rPr>
        <w:t> </w:t>
      </w:r>
      <w:r w:rsidRPr="0041136E">
        <w:rPr>
          <w:rFonts w:ascii="Arial Narrow" w:hAnsi="Arial Narrow"/>
          <w:lang w:val="bg-BG"/>
        </w:rPr>
        <w:t>579</w:t>
      </w:r>
      <w:r>
        <w:rPr>
          <w:rFonts w:ascii="Arial Narrow" w:hAnsi="Arial Narrow"/>
          <w:lang w:val="bg-BG"/>
        </w:rPr>
        <w:t xml:space="preserve"> лева.</w:t>
      </w:r>
    </w:p>
    <w:p w14:paraId="77A9EA64" w14:textId="77777777" w:rsidR="006F5D96" w:rsidRPr="006960DF" w:rsidRDefault="006F5D96" w:rsidP="006F5D96">
      <w:pPr>
        <w:pStyle w:val="ListParagraph"/>
        <w:spacing w:after="120"/>
        <w:ind w:left="0" w:firstLine="709"/>
        <w:contextualSpacing w:val="0"/>
        <w:jc w:val="both"/>
        <w:rPr>
          <w:rFonts w:ascii="Arial Narrow" w:hAnsi="Arial Narrow"/>
          <w:lang w:val="bg-BG"/>
        </w:rPr>
      </w:pPr>
      <w:r w:rsidRPr="00D97694">
        <w:rPr>
          <w:rFonts w:ascii="Arial Narrow" w:hAnsi="Arial Narrow"/>
          <w:lang w:val="bg-BG"/>
        </w:rPr>
        <w:t>Данни за състоянието на лозаро-винарския сектор през 2024 г. са представени в подраздел ІІ. РАЗВИТИЕ НА АГРАРНИЯ ОТРАСЪЛ ПРЕЗ 2024 Г. И ПРОГНОЗИ ЗА 2025 Г., т. 2.5. Лозарство и винопроизводство на Доклада.</w:t>
      </w:r>
    </w:p>
    <w:p w14:paraId="4C9203A0" w14:textId="77777777" w:rsidR="006F5D96" w:rsidRPr="006960DF" w:rsidRDefault="006F5D96" w:rsidP="009C6577">
      <w:pPr>
        <w:pStyle w:val="ListParagraph"/>
        <w:numPr>
          <w:ilvl w:val="0"/>
          <w:numId w:val="50"/>
        </w:numPr>
        <w:tabs>
          <w:tab w:val="left" w:pos="993"/>
        </w:tabs>
        <w:spacing w:after="120"/>
        <w:ind w:left="0" w:firstLine="709"/>
        <w:contextualSpacing w:val="0"/>
        <w:jc w:val="both"/>
        <w:rPr>
          <w:rFonts w:ascii="Arial Narrow" w:hAnsi="Arial Narrow"/>
          <w:b/>
          <w:lang w:val="bg-BG"/>
        </w:rPr>
      </w:pPr>
      <w:r w:rsidRPr="006960DF">
        <w:rPr>
          <w:rFonts w:ascii="Arial Narrow" w:hAnsi="Arial Narrow"/>
          <w:b/>
          <w:lang w:val="bg-BG"/>
        </w:rPr>
        <w:t xml:space="preserve">Национална програма за предотвратяване и намаляване на загубата на храни </w:t>
      </w:r>
      <w:r w:rsidR="00D97694">
        <w:rPr>
          <w:rFonts w:ascii="Arial Narrow" w:hAnsi="Arial Narrow"/>
          <w:b/>
          <w:lang w:val="bg-BG"/>
        </w:rPr>
        <w:t xml:space="preserve">           </w:t>
      </w:r>
      <w:r w:rsidRPr="006960DF">
        <w:rPr>
          <w:rFonts w:ascii="Arial Narrow" w:hAnsi="Arial Narrow"/>
          <w:b/>
          <w:lang w:val="bg-BG"/>
        </w:rPr>
        <w:t>2021-2026 г.</w:t>
      </w:r>
    </w:p>
    <w:p w14:paraId="18A1F05D" w14:textId="77777777" w:rsidR="006F5D96" w:rsidRPr="00E54B98" w:rsidRDefault="006F5D96" w:rsidP="006F5D96">
      <w:pPr>
        <w:spacing w:after="120"/>
        <w:ind w:firstLine="709"/>
        <w:jc w:val="both"/>
        <w:rPr>
          <w:rFonts w:ascii="Arial Narrow" w:hAnsi="Arial Narrow"/>
          <w:lang w:val="bg-BG"/>
        </w:rPr>
      </w:pPr>
      <w:r w:rsidRPr="00054A3B">
        <w:rPr>
          <w:rFonts w:ascii="Arial Narrow" w:hAnsi="Arial Narrow"/>
          <w:lang w:val="bg-BG"/>
        </w:rPr>
        <w:t xml:space="preserve">Националната програма за предотвратяване и намаляване на загубата на храни в България е </w:t>
      </w:r>
      <w:r>
        <w:rPr>
          <w:rFonts w:ascii="Arial Narrow" w:hAnsi="Arial Narrow"/>
          <w:lang w:val="bg-BG"/>
        </w:rPr>
        <w:t>изготвена</w:t>
      </w:r>
      <w:r w:rsidRPr="00054A3B">
        <w:rPr>
          <w:rFonts w:ascii="Arial Narrow" w:hAnsi="Arial Narrow"/>
          <w:lang w:val="bg-BG"/>
        </w:rPr>
        <w:t xml:space="preserve"> в съответствие с националните и европейски ангажименти за намаляване на разхищението на храни. Основната цел на програмата е да създаде и развие мерки и механизми за намаляване на загубата на храни в производствената, търговската и потребителската сфера, както и да насърчи даряването на храни.</w:t>
      </w:r>
      <w:r>
        <w:rPr>
          <w:rFonts w:ascii="Arial Narrow" w:hAnsi="Arial Narrow"/>
          <w:lang w:val="bg-BG"/>
        </w:rPr>
        <w:t xml:space="preserve"> </w:t>
      </w:r>
    </w:p>
    <w:p w14:paraId="178ECE18" w14:textId="77777777" w:rsidR="006F5D96" w:rsidRDefault="006F5D96" w:rsidP="006F5D96">
      <w:pPr>
        <w:ind w:firstLine="709"/>
        <w:jc w:val="both"/>
        <w:rPr>
          <w:rFonts w:ascii="Arial Narrow" w:hAnsi="Arial Narrow"/>
          <w:lang w:val="bg-BG"/>
        </w:rPr>
      </w:pPr>
      <w:r w:rsidRPr="006960DF">
        <w:rPr>
          <w:rFonts w:ascii="Arial Narrow" w:hAnsi="Arial Narrow"/>
          <w:lang w:val="bg-BG"/>
        </w:rPr>
        <w:t>В изпълнение на мерките от Програмата през 202</w:t>
      </w:r>
      <w:r>
        <w:rPr>
          <w:rFonts w:ascii="Arial Narrow" w:hAnsi="Arial Narrow"/>
          <w:lang w:val="bg-BG"/>
        </w:rPr>
        <w:t>4</w:t>
      </w:r>
      <w:r w:rsidRPr="006960DF">
        <w:rPr>
          <w:rFonts w:ascii="Arial Narrow" w:hAnsi="Arial Narrow"/>
          <w:lang w:val="bg-BG"/>
        </w:rPr>
        <w:t xml:space="preserve"> г. </w:t>
      </w:r>
      <w:r>
        <w:rPr>
          <w:rFonts w:ascii="Arial Narrow" w:hAnsi="Arial Narrow"/>
          <w:lang w:val="bg-BG"/>
        </w:rPr>
        <w:t xml:space="preserve">са изготвени и са отпечатани </w:t>
      </w:r>
      <w:r w:rsidRPr="006960DF">
        <w:rPr>
          <w:rFonts w:ascii="Arial Narrow" w:hAnsi="Arial Narrow"/>
          <w:lang w:val="bg-BG"/>
        </w:rPr>
        <w:t xml:space="preserve"> </w:t>
      </w:r>
      <w:r>
        <w:rPr>
          <w:rFonts w:ascii="Arial Narrow" w:hAnsi="Arial Narrow"/>
          <w:lang w:val="bg-BG"/>
        </w:rPr>
        <w:t>информационни материали, свързани с</w:t>
      </w:r>
      <w:r w:rsidRPr="006A143F">
        <w:rPr>
          <w:rFonts w:ascii="Arial Narrow" w:hAnsi="Arial Narrow"/>
          <w:lang w:val="bg-BG"/>
        </w:rPr>
        <w:t xml:space="preserve"> поясняване на разликата между срок на годност и срок на минимална трайност на храните</w:t>
      </w:r>
      <w:r>
        <w:rPr>
          <w:rFonts w:ascii="Arial Narrow" w:hAnsi="Arial Narrow"/>
          <w:lang w:val="bg-BG"/>
        </w:rPr>
        <w:t xml:space="preserve">, </w:t>
      </w:r>
      <w:r w:rsidRPr="006A143F">
        <w:rPr>
          <w:rFonts w:ascii="Arial Narrow" w:hAnsi="Arial Narrow"/>
          <w:lang w:val="bg-BG"/>
        </w:rPr>
        <w:t>правилното съхранение на храните в домакинството</w:t>
      </w:r>
      <w:r>
        <w:rPr>
          <w:rFonts w:ascii="Arial Narrow" w:hAnsi="Arial Narrow"/>
          <w:lang w:val="bg-BG"/>
        </w:rPr>
        <w:t xml:space="preserve">. Разработени са информационни материали, предназначени за ученици по темата за </w:t>
      </w:r>
      <w:r w:rsidRPr="006A143F">
        <w:rPr>
          <w:rFonts w:ascii="Arial Narrow" w:hAnsi="Arial Narrow"/>
          <w:lang w:val="bg-BG"/>
        </w:rPr>
        <w:t>предотвратяване и намаляване на разхищението на храни</w:t>
      </w:r>
      <w:r>
        <w:rPr>
          <w:rFonts w:ascii="Arial Narrow" w:hAnsi="Arial Narrow"/>
          <w:lang w:val="bg-BG"/>
        </w:rPr>
        <w:t>.</w:t>
      </w:r>
      <w:r w:rsidRPr="006A143F">
        <w:rPr>
          <w:rFonts w:ascii="Arial Narrow" w:hAnsi="Arial Narrow"/>
          <w:lang w:val="bg-BG"/>
        </w:rPr>
        <w:t xml:space="preserve"> </w:t>
      </w:r>
    </w:p>
    <w:p w14:paraId="5C852BEF" w14:textId="77777777" w:rsidR="006F5D96" w:rsidRPr="006A143F" w:rsidRDefault="006F5D96" w:rsidP="006F5D96">
      <w:pPr>
        <w:ind w:firstLine="709"/>
        <w:jc w:val="both"/>
        <w:rPr>
          <w:rFonts w:ascii="Arial Narrow" w:hAnsi="Arial Narrow"/>
          <w:lang w:val="bg-BG"/>
        </w:rPr>
      </w:pPr>
    </w:p>
    <w:p w14:paraId="7BF35905" w14:textId="77777777" w:rsidR="006F5D96" w:rsidRDefault="006F5D96" w:rsidP="009C6577">
      <w:pPr>
        <w:pStyle w:val="ListParagraph"/>
        <w:numPr>
          <w:ilvl w:val="0"/>
          <w:numId w:val="58"/>
        </w:numPr>
        <w:tabs>
          <w:tab w:val="left" w:pos="993"/>
        </w:tabs>
        <w:ind w:left="0" w:firstLine="709"/>
        <w:jc w:val="both"/>
        <w:rPr>
          <w:rFonts w:ascii="Arial Narrow" w:hAnsi="Arial Narrow"/>
          <w:b/>
          <w:lang w:val="bg-BG"/>
        </w:rPr>
      </w:pPr>
      <w:r w:rsidRPr="00E30835">
        <w:rPr>
          <w:rFonts w:ascii="Arial Narrow" w:hAnsi="Arial Narrow"/>
          <w:b/>
          <w:lang w:val="bg-BG"/>
        </w:rPr>
        <w:t>Национална програма за действие за принос към изпълнение на целите на Стратегията „От фермата до трапезата“ до 2030 г.</w:t>
      </w:r>
    </w:p>
    <w:p w14:paraId="41AB15EB" w14:textId="77777777" w:rsidR="006F5D96" w:rsidRDefault="006F5D96" w:rsidP="006F5D96">
      <w:pPr>
        <w:pStyle w:val="ListParagraph"/>
        <w:tabs>
          <w:tab w:val="left" w:pos="993"/>
        </w:tabs>
        <w:spacing w:before="120"/>
        <w:ind w:left="0" w:firstLine="709"/>
        <w:contextualSpacing w:val="0"/>
        <w:jc w:val="both"/>
        <w:rPr>
          <w:rFonts w:ascii="Arial Narrow" w:hAnsi="Arial Narrow"/>
          <w:lang w:val="bg-BG"/>
        </w:rPr>
      </w:pPr>
      <w:r>
        <w:rPr>
          <w:rFonts w:ascii="Arial Narrow" w:hAnsi="Arial Narrow"/>
          <w:lang w:val="bg-BG"/>
        </w:rPr>
        <w:t>П</w:t>
      </w:r>
      <w:r w:rsidRPr="00E81E4D">
        <w:rPr>
          <w:rFonts w:ascii="Arial Narrow" w:hAnsi="Arial Narrow"/>
          <w:lang w:val="bg-BG"/>
        </w:rPr>
        <w:t xml:space="preserve">рез 2024 г. Министерството на земеделието и храните изпълни включена в Компонент 6 „Устойчиво селско стопанство“ </w:t>
      </w:r>
      <w:r>
        <w:rPr>
          <w:rFonts w:ascii="Arial Narrow" w:hAnsi="Arial Narrow"/>
          <w:lang w:val="bg-BG"/>
        </w:rPr>
        <w:t xml:space="preserve">на НПВУ </w:t>
      </w:r>
      <w:r w:rsidRPr="00E81E4D">
        <w:rPr>
          <w:rFonts w:ascii="Arial Narrow" w:hAnsi="Arial Narrow"/>
          <w:lang w:val="bg-BG"/>
        </w:rPr>
        <w:t>реформа „Актуализация на стратегическата рамка на аграрния сектор</w:t>
      </w:r>
      <w:r>
        <w:rPr>
          <w:rFonts w:ascii="Arial Narrow" w:hAnsi="Arial Narrow"/>
          <w:lang w:val="bg-BG"/>
        </w:rPr>
        <w:t xml:space="preserve">“. Нейната същност </w:t>
      </w:r>
      <w:r w:rsidRPr="00E81E4D">
        <w:rPr>
          <w:rFonts w:ascii="Arial Narrow" w:hAnsi="Arial Narrow"/>
          <w:lang w:val="bg-BG"/>
        </w:rPr>
        <w:t xml:space="preserve">се състои </w:t>
      </w:r>
      <w:r>
        <w:rPr>
          <w:rFonts w:ascii="Arial Narrow" w:hAnsi="Arial Narrow"/>
          <w:lang w:val="bg-BG"/>
        </w:rPr>
        <w:t xml:space="preserve">в разработването на </w:t>
      </w:r>
      <w:r w:rsidRPr="00E81E4D">
        <w:rPr>
          <w:rFonts w:ascii="Arial Narrow" w:hAnsi="Arial Narrow"/>
          <w:lang w:val="bg-BG"/>
        </w:rPr>
        <w:t>Национална програма за действие за принос към изпълнение на целите на Стратегията „От фермата до трапезата“ до 2030 г.</w:t>
      </w:r>
      <w:r>
        <w:rPr>
          <w:rFonts w:ascii="Arial Narrow" w:hAnsi="Arial Narrow"/>
          <w:lang w:val="bg-BG"/>
        </w:rPr>
        <w:t xml:space="preserve"> Документът е одобрен с Решение на Министерския съвет №857/13.12.2024 г.</w:t>
      </w:r>
    </w:p>
    <w:p w14:paraId="5B74B103" w14:textId="77777777" w:rsidR="006F5D96" w:rsidRPr="00196C9A" w:rsidRDefault="006F5D96" w:rsidP="006F5D96">
      <w:pPr>
        <w:pStyle w:val="ListParagraph"/>
        <w:tabs>
          <w:tab w:val="left" w:pos="993"/>
        </w:tabs>
        <w:spacing w:before="120"/>
        <w:ind w:left="0" w:firstLine="709"/>
        <w:contextualSpacing w:val="0"/>
        <w:jc w:val="both"/>
        <w:rPr>
          <w:rFonts w:ascii="Arial Narrow" w:hAnsi="Arial Narrow"/>
          <w:lang w:val="bg-BG"/>
        </w:rPr>
      </w:pPr>
      <w:r>
        <w:rPr>
          <w:rFonts w:ascii="Arial Narrow" w:hAnsi="Arial Narrow"/>
          <w:lang w:val="bg-BG"/>
        </w:rPr>
        <w:t xml:space="preserve">Програмата надгражда стратегическата рамка </w:t>
      </w:r>
      <w:r w:rsidRPr="00E017CE">
        <w:rPr>
          <w:rFonts w:ascii="Arial Narrow" w:hAnsi="Arial Narrow"/>
          <w:lang w:val="bg-BG"/>
        </w:rPr>
        <w:t>за управление на аграрния сектор, регламентирана в Националната програма за развитие България 2030.</w:t>
      </w:r>
      <w:r>
        <w:rPr>
          <w:rFonts w:ascii="Arial Narrow" w:hAnsi="Arial Narrow"/>
          <w:lang w:val="bg-BG"/>
        </w:rPr>
        <w:t xml:space="preserve"> Тя очертава </w:t>
      </w:r>
      <w:r w:rsidRPr="00E017CE">
        <w:rPr>
          <w:rFonts w:ascii="Arial Narrow" w:hAnsi="Arial Narrow"/>
          <w:lang w:val="bg-BG"/>
        </w:rPr>
        <w:t xml:space="preserve">цели, мерки и дейности, насочени към </w:t>
      </w:r>
      <w:r w:rsidRPr="00E017CE">
        <w:rPr>
          <w:rFonts w:ascii="Arial Narrow" w:hAnsi="Arial Narrow"/>
          <w:lang w:val="bg-BG"/>
        </w:rPr>
        <w:lastRenderedPageBreak/>
        <w:t xml:space="preserve">опазване на климата, околната среда, биоразнообразието и природните ресурси в областта на селското стопанство за периода до 2030 г. в съответствие с приоритетите и целите на Стратегията „От фермата до трапезата“ на ЕС и Целите за устойчиво развитие на ООН. </w:t>
      </w:r>
    </w:p>
    <w:p w14:paraId="26B7955C" w14:textId="77777777" w:rsidR="006F5D96" w:rsidRPr="00E30835" w:rsidRDefault="006F5D96" w:rsidP="006F5D96">
      <w:pPr>
        <w:pStyle w:val="ListParagraph"/>
        <w:tabs>
          <w:tab w:val="left" w:pos="993"/>
        </w:tabs>
        <w:ind w:left="0" w:firstLine="709"/>
        <w:jc w:val="both"/>
        <w:rPr>
          <w:rFonts w:ascii="Arial Narrow" w:hAnsi="Arial Narrow"/>
          <w:b/>
          <w:lang w:val="bg-BG"/>
        </w:rPr>
      </w:pPr>
    </w:p>
    <w:p w14:paraId="6BE9B905" w14:textId="77777777" w:rsidR="006F5D96" w:rsidRDefault="006F5D96" w:rsidP="006F5D96">
      <w:pPr>
        <w:ind w:firstLine="709"/>
        <w:jc w:val="both"/>
        <w:rPr>
          <w:rFonts w:ascii="Arial Narrow" w:hAnsi="Arial Narrow"/>
          <w:lang w:val="bg-BG"/>
        </w:rPr>
      </w:pPr>
      <w:r w:rsidRPr="00A20248">
        <w:rPr>
          <w:rFonts w:ascii="Arial Narrow" w:hAnsi="Arial Narrow"/>
          <w:lang w:val="bg-BG"/>
        </w:rPr>
        <w:t xml:space="preserve">Прилаганата аграрна политика допринася за поддържането на стабилни макропоказатели от отрасъла. Същевременно </w:t>
      </w:r>
      <w:r>
        <w:rPr>
          <w:rFonts w:ascii="Arial Narrow" w:hAnsi="Arial Narrow"/>
          <w:lang w:val="bg-BG"/>
        </w:rPr>
        <w:t>селското стопанство е поставено</w:t>
      </w:r>
      <w:r w:rsidRPr="00A20248">
        <w:rPr>
          <w:rFonts w:ascii="Arial Narrow" w:hAnsi="Arial Narrow"/>
          <w:lang w:val="bg-BG"/>
        </w:rPr>
        <w:t xml:space="preserve"> пред редица нарастващи през последните години предизвикателства - все по-видими прояви на екстремни метеорологични събития, които имат пряк отрицателен ефект върху селскостопанското производство, влошени международни отношения и външнополитическа нестабилност, неустойчивост на </w:t>
      </w:r>
      <w:r>
        <w:rPr>
          <w:rFonts w:ascii="Arial Narrow" w:hAnsi="Arial Narrow"/>
          <w:lang w:val="bg-BG"/>
        </w:rPr>
        <w:t>световните</w:t>
      </w:r>
      <w:r w:rsidRPr="00A20248">
        <w:rPr>
          <w:rFonts w:ascii="Arial Narrow" w:hAnsi="Arial Narrow"/>
          <w:lang w:val="bg-BG"/>
        </w:rPr>
        <w:t xml:space="preserve"> пазари на земеделски продукти, задълбочаващи се демографски проблеми. В </w:t>
      </w:r>
      <w:r>
        <w:rPr>
          <w:rFonts w:ascii="Arial Narrow" w:hAnsi="Arial Narrow"/>
          <w:lang w:val="bg-BG"/>
        </w:rPr>
        <w:t>тези условия</w:t>
      </w:r>
      <w:r w:rsidRPr="00A20248">
        <w:rPr>
          <w:rFonts w:ascii="Arial Narrow" w:hAnsi="Arial Narrow"/>
          <w:lang w:val="bg-BG"/>
        </w:rPr>
        <w:t xml:space="preserve"> </w:t>
      </w:r>
      <w:r>
        <w:rPr>
          <w:rFonts w:ascii="Arial Narrow" w:hAnsi="Arial Narrow"/>
          <w:lang w:val="bg-BG"/>
        </w:rPr>
        <w:t>във фокуса на политиката са</w:t>
      </w:r>
      <w:r w:rsidRPr="00A20248">
        <w:rPr>
          <w:rFonts w:ascii="Arial Narrow" w:hAnsi="Arial Narrow"/>
          <w:lang w:val="bg-BG"/>
        </w:rPr>
        <w:t xml:space="preserve"> </w:t>
      </w:r>
      <w:r>
        <w:rPr>
          <w:rFonts w:ascii="Arial Narrow" w:hAnsi="Arial Narrow"/>
          <w:lang w:val="bg-BG"/>
        </w:rPr>
        <w:t xml:space="preserve">по-доброто </w:t>
      </w:r>
      <w:r w:rsidRPr="00A20248">
        <w:rPr>
          <w:rFonts w:ascii="Arial Narrow" w:hAnsi="Arial Narrow"/>
          <w:lang w:val="bg-BG"/>
        </w:rPr>
        <w:t>управление на рисковете</w:t>
      </w:r>
      <w:r>
        <w:rPr>
          <w:rFonts w:ascii="Arial Narrow" w:hAnsi="Arial Narrow"/>
          <w:lang w:val="bg-BG"/>
        </w:rPr>
        <w:t xml:space="preserve"> и широкото навлизане в земеделската практика на нови технологични и цифрови решения, позволяващи производството на устойчиви продукти с по-малко ресурси. Акцент се поставя върху</w:t>
      </w:r>
      <w:r w:rsidRPr="00A20248">
        <w:rPr>
          <w:rFonts w:ascii="Arial Narrow" w:hAnsi="Arial Narrow"/>
          <w:lang w:val="bg-BG"/>
        </w:rPr>
        <w:t xml:space="preserve"> </w:t>
      </w:r>
      <w:r>
        <w:rPr>
          <w:rFonts w:ascii="Arial Narrow" w:hAnsi="Arial Narrow"/>
          <w:lang w:val="bg-BG"/>
        </w:rPr>
        <w:t xml:space="preserve">стабилизирането на доходите и </w:t>
      </w:r>
      <w:r w:rsidRPr="00A20248">
        <w:rPr>
          <w:rFonts w:ascii="Arial Narrow" w:hAnsi="Arial Narrow"/>
          <w:lang w:val="bg-BG"/>
        </w:rPr>
        <w:t xml:space="preserve">засилването на пазарните позиции на земеделските производители, създаването на нови работни места и осигуряване на заетост </w:t>
      </w:r>
      <w:r>
        <w:rPr>
          <w:rFonts w:ascii="Arial Narrow" w:hAnsi="Arial Narrow"/>
          <w:lang w:val="bg-BG"/>
        </w:rPr>
        <w:t>в</w:t>
      </w:r>
      <w:r>
        <w:rPr>
          <w:rFonts w:ascii="Arial Narrow" w:hAnsi="Arial Narrow"/>
        </w:rPr>
        <w:t xml:space="preserve"> </w:t>
      </w:r>
      <w:r>
        <w:rPr>
          <w:rFonts w:ascii="Arial Narrow" w:hAnsi="Arial Narrow"/>
          <w:lang w:val="bg-BG"/>
        </w:rPr>
        <w:t>селските райони</w:t>
      </w:r>
      <w:r w:rsidRPr="00A20248">
        <w:rPr>
          <w:rFonts w:ascii="Arial Narrow" w:hAnsi="Arial Narrow"/>
          <w:lang w:val="bg-BG"/>
        </w:rPr>
        <w:t>.</w:t>
      </w:r>
    </w:p>
    <w:p w14:paraId="006BE36A" w14:textId="77777777" w:rsidR="006F5D96" w:rsidRDefault="006F5D96" w:rsidP="00F90BCD">
      <w:pPr>
        <w:spacing w:after="120"/>
        <w:ind w:left="425" w:hanging="425"/>
        <w:jc w:val="both"/>
        <w:outlineLvl w:val="0"/>
        <w:rPr>
          <w:rFonts w:ascii="Arial Narrow" w:hAnsi="Arial Narrow"/>
          <w:b/>
          <w:color w:val="FF0000"/>
          <w:lang w:val="bg-BG"/>
        </w:rPr>
      </w:pPr>
    </w:p>
    <w:p w14:paraId="460010E1" w14:textId="77777777" w:rsidR="006E11F9" w:rsidRPr="006E11F9" w:rsidRDefault="00392577" w:rsidP="006E11F9">
      <w:pPr>
        <w:keepNext/>
        <w:pageBreakBefore/>
        <w:autoSpaceDE w:val="0"/>
        <w:autoSpaceDN w:val="0"/>
        <w:adjustRightInd w:val="0"/>
        <w:spacing w:after="240"/>
        <w:outlineLvl w:val="0"/>
        <w:rPr>
          <w:rFonts w:ascii="Arial Narrow" w:hAnsi="Arial Narrow"/>
          <w:b/>
          <w:bCs/>
          <w:sz w:val="32"/>
          <w:lang w:val="bg-BG" w:eastAsia="bg-BG"/>
        </w:rPr>
      </w:pPr>
      <w:bookmarkStart w:id="278" w:name="_Toc210747696"/>
      <w:r w:rsidRPr="006E11F9">
        <w:rPr>
          <w:rFonts w:ascii="Arial Narrow" w:hAnsi="Arial Narrow"/>
          <w:b/>
          <w:bCs/>
          <w:sz w:val="32"/>
          <w:lang w:val="bg-BG" w:eastAsia="bg-BG"/>
        </w:rPr>
        <w:lastRenderedPageBreak/>
        <w:t>РАЗДЕЛ Б</w:t>
      </w:r>
      <w:bookmarkEnd w:id="276"/>
      <w:bookmarkEnd w:id="278"/>
    </w:p>
    <w:p w14:paraId="0B946A80" w14:textId="77777777" w:rsidR="006E11F9" w:rsidRPr="00AD7646" w:rsidRDefault="006E11F9" w:rsidP="006E11F9">
      <w:pPr>
        <w:spacing w:after="120"/>
        <w:jc w:val="both"/>
        <w:rPr>
          <w:rFonts w:ascii="Arial Narrow" w:hAnsi="Arial Narrow"/>
          <w:b/>
          <w:lang w:eastAsia="bg-BG"/>
        </w:rPr>
      </w:pPr>
      <w:r w:rsidRPr="00AD7646">
        <w:rPr>
          <w:rFonts w:ascii="Arial Narrow" w:hAnsi="Arial Narrow"/>
          <w:b/>
          <w:lang w:eastAsia="bg-BG"/>
        </w:rPr>
        <w:t>ПРОГРАМА ЗА РАЗВИТИЕ НА ЗЕМЕДЕЛИЕТО ПРЕЗ 202</w:t>
      </w:r>
      <w:r>
        <w:rPr>
          <w:rFonts w:ascii="Arial Narrow" w:hAnsi="Arial Narrow"/>
          <w:b/>
          <w:lang w:eastAsia="bg-BG"/>
        </w:rPr>
        <w:t>6</w:t>
      </w:r>
      <w:r w:rsidRPr="00AD7646">
        <w:rPr>
          <w:rFonts w:ascii="Arial Narrow" w:hAnsi="Arial Narrow"/>
          <w:b/>
          <w:lang w:eastAsia="bg-BG"/>
        </w:rPr>
        <w:t xml:space="preserve"> Г.</w:t>
      </w:r>
    </w:p>
    <w:p w14:paraId="57C65883" w14:textId="77777777" w:rsidR="006E11F9" w:rsidRPr="001B6455" w:rsidRDefault="006E11F9" w:rsidP="006E11F9">
      <w:pPr>
        <w:spacing w:before="120" w:after="120"/>
        <w:ind w:firstLine="708"/>
        <w:jc w:val="both"/>
        <w:rPr>
          <w:rFonts w:ascii="Arial Narrow" w:hAnsi="Arial Narrow"/>
        </w:rPr>
      </w:pPr>
      <w:r w:rsidRPr="006C43BB">
        <w:rPr>
          <w:rFonts w:ascii="Arial Narrow" w:hAnsi="Arial Narrow" w:cs="Arial"/>
          <w:lang w:eastAsia="bg-BG"/>
        </w:rPr>
        <w:t xml:space="preserve">Държавната политика в аграрния </w:t>
      </w:r>
      <w:r>
        <w:rPr>
          <w:rFonts w:ascii="Arial Narrow" w:hAnsi="Arial Narrow" w:cs="Arial"/>
          <w:lang w:eastAsia="bg-BG"/>
        </w:rPr>
        <w:t>сектор</w:t>
      </w:r>
      <w:r w:rsidRPr="006C43BB">
        <w:rPr>
          <w:rFonts w:ascii="Arial Narrow" w:hAnsi="Arial Narrow" w:cs="Arial"/>
          <w:lang w:eastAsia="bg-BG"/>
        </w:rPr>
        <w:t xml:space="preserve"> е насочена към модернизация и </w:t>
      </w:r>
      <w:r w:rsidRPr="000E2D6B">
        <w:rPr>
          <w:rFonts w:ascii="Arial Narrow" w:hAnsi="Arial Narrow" w:cs="Arial"/>
          <w:lang w:eastAsia="bg-BG"/>
        </w:rPr>
        <w:t xml:space="preserve">повишаване на конкурентоспособността на българското селско стопанство, устойчиво развитие на рибарския и горския сектори, подобряване условията на труд и качеството на живот в селските райони,  устойчиво управление на природните ресурси и спазване на високи стандарти за безопасност по веригата за производство и доставка на храни. </w:t>
      </w:r>
      <w:r w:rsidRPr="001B6455">
        <w:rPr>
          <w:rFonts w:ascii="Arial Narrow" w:hAnsi="Arial Narrow"/>
        </w:rPr>
        <w:t xml:space="preserve">Основните предизвикателства в развитието на сектора включват </w:t>
      </w:r>
      <w:r w:rsidRPr="001B6455">
        <w:rPr>
          <w:rFonts w:ascii="Arial Narrow" w:hAnsi="Arial Narrow"/>
          <w:bCs/>
        </w:rPr>
        <w:t>необходимостта от подобряване на инфраструктурата за напояване, намаляване на административната тежест и засилване на дигитализацията</w:t>
      </w:r>
      <w:r w:rsidRPr="001B6455">
        <w:rPr>
          <w:rFonts w:ascii="Arial Narrow" w:hAnsi="Arial Narrow"/>
        </w:rPr>
        <w:t xml:space="preserve">. Борбата с климатичните рискове, включително суши, наводнения и градушки, изисква по-добро управление на водните ресурси и инвестиции в </w:t>
      </w:r>
      <w:r w:rsidRPr="001B6455">
        <w:rPr>
          <w:rFonts w:ascii="Arial Narrow" w:hAnsi="Arial Narrow"/>
          <w:bCs/>
        </w:rPr>
        <w:t>инфраструктура за напояване и защита на земеделската продукция</w:t>
      </w:r>
      <w:r w:rsidRPr="001B6455">
        <w:rPr>
          <w:rFonts w:ascii="Arial Narrow" w:hAnsi="Arial Narrow"/>
        </w:rPr>
        <w:t xml:space="preserve">. В горския сектор предизвикателство е </w:t>
      </w:r>
      <w:r w:rsidRPr="001B6455">
        <w:rPr>
          <w:rFonts w:ascii="Arial Narrow" w:hAnsi="Arial Narrow"/>
          <w:bCs/>
        </w:rPr>
        <w:t>мониторингът и защитата на горите от пожари и незаконни дейности</w:t>
      </w:r>
      <w:r w:rsidRPr="001B6455">
        <w:rPr>
          <w:rFonts w:ascii="Arial Narrow" w:hAnsi="Arial Narrow"/>
        </w:rPr>
        <w:t xml:space="preserve">. В сектора на рибарството приоритет е </w:t>
      </w:r>
      <w:r w:rsidRPr="001B6455">
        <w:rPr>
          <w:rFonts w:ascii="Arial Narrow" w:hAnsi="Arial Narrow"/>
          <w:bCs/>
        </w:rPr>
        <w:t>гарантирането на устойчива експлоатация на ресурсите и намаляването на незаконния риболов</w:t>
      </w:r>
      <w:r w:rsidRPr="001B6455">
        <w:rPr>
          <w:rFonts w:ascii="Arial Narrow" w:hAnsi="Arial Narrow"/>
        </w:rPr>
        <w:t>.</w:t>
      </w:r>
    </w:p>
    <w:p w14:paraId="6F3E7347" w14:textId="77777777" w:rsidR="006E11F9" w:rsidRPr="001B6455" w:rsidRDefault="006E11F9" w:rsidP="006E11F9">
      <w:pPr>
        <w:autoSpaceDE w:val="0"/>
        <w:autoSpaceDN w:val="0"/>
        <w:adjustRightInd w:val="0"/>
        <w:spacing w:after="120"/>
        <w:ind w:firstLine="709"/>
        <w:jc w:val="both"/>
        <w:rPr>
          <w:rFonts w:ascii="Arial Narrow" w:hAnsi="Arial Narrow" w:cs="Arial"/>
          <w:lang w:eastAsia="bg-BG"/>
        </w:rPr>
      </w:pPr>
      <w:r w:rsidRPr="006C43BB">
        <w:rPr>
          <w:rFonts w:ascii="Arial Narrow" w:hAnsi="Arial Narrow" w:cs="Arial"/>
          <w:lang w:eastAsia="bg-BG"/>
        </w:rPr>
        <w:t xml:space="preserve">Приоритетите и целите на политиката в аграрния </w:t>
      </w:r>
      <w:r w:rsidRPr="00EA5541">
        <w:rPr>
          <w:rFonts w:ascii="Arial Narrow" w:hAnsi="Arial Narrow" w:cs="Arial"/>
          <w:lang w:eastAsia="bg-BG"/>
        </w:rPr>
        <w:t>сектор и</w:t>
      </w:r>
      <w:r w:rsidRPr="006C43BB">
        <w:rPr>
          <w:rFonts w:ascii="Arial Narrow" w:hAnsi="Arial Narrow" w:cs="Arial"/>
          <w:lang w:eastAsia="bg-BG"/>
        </w:rPr>
        <w:t xml:space="preserve"> мерките за тяхното постигане през 20</w:t>
      </w:r>
      <w:r w:rsidRPr="000E2D6B">
        <w:rPr>
          <w:rFonts w:ascii="Arial Narrow" w:hAnsi="Arial Narrow" w:cs="Arial"/>
          <w:lang w:eastAsia="bg-BG"/>
        </w:rPr>
        <w:t>26 г., заложени в този раздел, са в съответствие с Програмата за управление на Република България за периода 2025</w:t>
      </w:r>
      <w:r>
        <w:rPr>
          <w:rFonts w:ascii="Arial Narrow" w:hAnsi="Arial Narrow" w:cs="Arial"/>
          <w:lang w:eastAsia="bg-BG"/>
        </w:rPr>
        <w:t>-</w:t>
      </w:r>
      <w:r w:rsidRPr="000E2D6B">
        <w:rPr>
          <w:rFonts w:ascii="Arial Narrow" w:hAnsi="Arial Narrow" w:cs="Arial"/>
          <w:lang w:eastAsia="bg-BG"/>
        </w:rPr>
        <w:t xml:space="preserve">2029 г., както и </w:t>
      </w:r>
      <w:r>
        <w:rPr>
          <w:rFonts w:ascii="Arial Narrow" w:hAnsi="Arial Narrow" w:cs="Arial"/>
          <w:lang w:eastAsia="bg-BG"/>
        </w:rPr>
        <w:t xml:space="preserve">с </w:t>
      </w:r>
      <w:r w:rsidRPr="000E2D6B">
        <w:rPr>
          <w:rFonts w:ascii="Arial Narrow" w:hAnsi="Arial Narrow" w:cs="Arial"/>
          <w:lang w:eastAsia="bg-BG"/>
        </w:rPr>
        <w:t xml:space="preserve">Националната програма за развитие БЪЛГАРИЯ 2030. През 2026 г. ще се прилагат Стратегическия план за развитие на земеделието и селските райони за периода 2023-2027 г. и Програмата за морско дело, рибарство и аквакултури 2021-2027 </w:t>
      </w:r>
      <w:r>
        <w:rPr>
          <w:rFonts w:ascii="Arial Narrow" w:hAnsi="Arial Narrow" w:cs="Arial"/>
          <w:lang w:eastAsia="bg-BG"/>
        </w:rPr>
        <w:t>г.</w:t>
      </w:r>
      <w:r w:rsidRPr="000E2D6B">
        <w:rPr>
          <w:rFonts w:ascii="Arial Narrow" w:hAnsi="Arial Narrow" w:cs="Arial"/>
          <w:lang w:eastAsia="bg-BG"/>
        </w:rPr>
        <w:t>, в които са предвидени интервенции</w:t>
      </w:r>
      <w:r w:rsidRPr="001B6455">
        <w:rPr>
          <w:rFonts w:ascii="Arial Narrow" w:hAnsi="Arial Narrow" w:cs="Arial"/>
          <w:lang w:eastAsia="bg-BG"/>
        </w:rPr>
        <w:t>, финансирани от европейските земеделски и рибарски фондове. Ще се финализират дейностите по изпълнение на Националния план за възстановяване и устойчивост на Република България, включващ инвестиции за повишаване на устойчивостта и конкурентоспособността на отрасъла и готовността му да посрещне предизвикателствата, свързани със зеления и цифровия преход.</w:t>
      </w:r>
    </w:p>
    <w:p w14:paraId="49D954E4" w14:textId="77777777" w:rsidR="006E11F9" w:rsidRDefault="006E11F9" w:rsidP="00256728">
      <w:pPr>
        <w:autoSpaceDE w:val="0"/>
        <w:autoSpaceDN w:val="0"/>
        <w:adjustRightInd w:val="0"/>
        <w:spacing w:after="120"/>
        <w:ind w:firstLine="709"/>
        <w:jc w:val="both"/>
        <w:rPr>
          <w:rFonts w:ascii="Arial Narrow" w:hAnsi="Arial Narrow"/>
          <w:b/>
          <w:bCs/>
        </w:rPr>
      </w:pPr>
    </w:p>
    <w:p w14:paraId="319A9076" w14:textId="77777777" w:rsidR="006E11F9" w:rsidRPr="001B6455" w:rsidRDefault="006E11F9" w:rsidP="00256728">
      <w:pPr>
        <w:spacing w:before="120" w:after="120"/>
        <w:jc w:val="both"/>
        <w:rPr>
          <w:rFonts w:ascii="Arial Narrow" w:hAnsi="Arial Narrow"/>
          <w:b/>
          <w:bCs/>
        </w:rPr>
      </w:pPr>
      <w:r w:rsidRPr="00417913">
        <w:rPr>
          <w:rFonts w:ascii="Arial Narrow" w:hAnsi="Arial Narrow"/>
          <w:b/>
          <w:bCs/>
        </w:rPr>
        <w:t>ПРИОРИТЕТ</w:t>
      </w:r>
      <w:r>
        <w:rPr>
          <w:rFonts w:ascii="Arial Narrow" w:hAnsi="Arial Narrow"/>
          <w:b/>
          <w:bCs/>
        </w:rPr>
        <w:t xml:space="preserve"> 1</w:t>
      </w:r>
      <w:r w:rsidRPr="00417913">
        <w:rPr>
          <w:rFonts w:ascii="Arial Narrow" w:hAnsi="Arial Narrow"/>
          <w:b/>
          <w:bCs/>
        </w:rPr>
        <w:t>: РАЗВИТИЕ НА КОНКУРЕНТНОСПОСОБНО, ПАЗАРНООРИЕНТИРАНО И УСТОЙЧИВО НА КЛИМАТИЧНИТЕ ПРОМЕНИ ЗЕМЕДЕЛИЕ</w:t>
      </w:r>
    </w:p>
    <w:p w14:paraId="11A4CC59" w14:textId="77777777" w:rsidR="006E11F9" w:rsidRPr="00256728" w:rsidRDefault="006E11F9" w:rsidP="00256728">
      <w:pPr>
        <w:spacing w:before="120" w:after="120"/>
        <w:jc w:val="both"/>
        <w:rPr>
          <w:rFonts w:ascii="Arial Narrow" w:hAnsi="Arial Narrow"/>
          <w:b/>
          <w:bCs/>
        </w:rPr>
      </w:pPr>
      <w:r w:rsidRPr="00417913">
        <w:rPr>
          <w:rFonts w:ascii="Arial Narrow" w:hAnsi="Arial Narrow"/>
          <w:b/>
          <w:bCs/>
        </w:rPr>
        <w:t xml:space="preserve">ЦЕЛ 1: </w:t>
      </w:r>
      <w:r w:rsidRPr="001B6455">
        <w:rPr>
          <w:rFonts w:ascii="Arial Narrow" w:hAnsi="Arial Narrow"/>
          <w:b/>
          <w:bCs/>
        </w:rPr>
        <w:t>ГАРАНТИРАНЕ НА СПРАВЕДЛИВИ И СТАБИЛНИ ДОХОДИ НА ЗЕМЕДЕЛСКИТЕ ПРОИЗВОДИТЕЛИ</w:t>
      </w:r>
    </w:p>
    <w:p w14:paraId="7A401EC3" w14:textId="77777777" w:rsidR="006E11F9" w:rsidRPr="001B6455" w:rsidRDefault="006E11F9" w:rsidP="006E11F9">
      <w:pPr>
        <w:spacing w:before="120" w:after="120"/>
        <w:jc w:val="both"/>
        <w:rPr>
          <w:rFonts w:ascii="Arial Narrow" w:hAnsi="Arial Narrow"/>
          <w:b/>
          <w:bCs/>
        </w:rPr>
      </w:pPr>
      <w:r w:rsidRPr="00417913">
        <w:rPr>
          <w:rFonts w:ascii="Arial Narrow" w:hAnsi="Arial Narrow"/>
          <w:b/>
          <w:bCs/>
        </w:rPr>
        <w:t>МЕРКИ:</w:t>
      </w:r>
    </w:p>
    <w:p w14:paraId="08E91408" w14:textId="77777777" w:rsidR="006E11F9" w:rsidRPr="001B6455" w:rsidRDefault="006E11F9" w:rsidP="009C6577">
      <w:pPr>
        <w:numPr>
          <w:ilvl w:val="0"/>
          <w:numId w:val="61"/>
        </w:numPr>
        <w:spacing w:before="120" w:after="120"/>
        <w:ind w:left="360" w:hanging="76"/>
        <w:jc w:val="both"/>
        <w:rPr>
          <w:rFonts w:ascii="Arial Narrow" w:hAnsi="Arial Narrow"/>
        </w:rPr>
      </w:pPr>
      <w:r w:rsidRPr="001B6455">
        <w:rPr>
          <w:rFonts w:ascii="Arial Narrow" w:hAnsi="Arial Narrow"/>
        </w:rPr>
        <w:t xml:space="preserve">Предоставяне на ежегодна подкрепа на земеделски стопани по линия на директните плащания. </w:t>
      </w:r>
    </w:p>
    <w:p w14:paraId="70B22DAD" w14:textId="77777777" w:rsidR="006E11F9" w:rsidRPr="001B6455" w:rsidRDefault="006E11F9" w:rsidP="009C6577">
      <w:pPr>
        <w:pStyle w:val="ListParagraph"/>
        <w:numPr>
          <w:ilvl w:val="0"/>
          <w:numId w:val="61"/>
        </w:numPr>
        <w:spacing w:before="120" w:after="120"/>
        <w:ind w:left="709" w:hanging="425"/>
        <w:jc w:val="both"/>
        <w:outlineLvl w:val="3"/>
        <w:rPr>
          <w:rFonts w:ascii="Arial Narrow" w:hAnsi="Arial Narrow"/>
        </w:rPr>
      </w:pPr>
      <w:r w:rsidRPr="001B6455">
        <w:rPr>
          <w:rFonts w:ascii="Arial Narrow" w:hAnsi="Arial Narrow"/>
        </w:rPr>
        <w:t>Използване на механизмите за подкрепа с държавни помощи за подобряване на социално-икономическата устойчивост на земеделските стопанства и насърчаване производството на качествена растениевъдна и животновъдна продукция</w:t>
      </w:r>
    </w:p>
    <w:p w14:paraId="7E8F3D94" w14:textId="77777777" w:rsidR="006E11F9" w:rsidRPr="001B6455" w:rsidRDefault="006E11F9" w:rsidP="00256728">
      <w:pPr>
        <w:spacing w:before="120" w:after="120"/>
        <w:jc w:val="both"/>
        <w:rPr>
          <w:rFonts w:ascii="Arial Narrow" w:hAnsi="Arial Narrow"/>
          <w:b/>
          <w:bCs/>
        </w:rPr>
      </w:pPr>
      <w:r w:rsidRPr="00417913">
        <w:rPr>
          <w:rFonts w:ascii="Arial Narrow" w:hAnsi="Arial Narrow"/>
          <w:b/>
          <w:bCs/>
        </w:rPr>
        <w:t xml:space="preserve">ЦЕЛ 2: </w:t>
      </w:r>
      <w:r w:rsidRPr="001B6455">
        <w:rPr>
          <w:rFonts w:ascii="Arial Narrow" w:hAnsi="Arial Narrow"/>
          <w:b/>
          <w:bCs/>
        </w:rPr>
        <w:t>МОДЕРНИЗИРАНИ И ТЕХНОЛОГИЧНО ОБНОВЕНИ СТОПАНСТВА И ПРЕДПРИЯТИЯ, УСКОРЕНО ВЪВЕЖДАНЕ НА ИНОВАЦИИ И ЦИФРОВИЗАЦИЯ</w:t>
      </w:r>
    </w:p>
    <w:p w14:paraId="583A6128" w14:textId="77777777" w:rsidR="006E11F9" w:rsidRPr="001B6455" w:rsidRDefault="006E11F9" w:rsidP="006E11F9">
      <w:pPr>
        <w:spacing w:before="120" w:after="120"/>
        <w:jc w:val="both"/>
        <w:rPr>
          <w:rFonts w:ascii="Arial Narrow" w:hAnsi="Arial Narrow"/>
          <w:b/>
          <w:bCs/>
        </w:rPr>
      </w:pPr>
      <w:r w:rsidRPr="00417913">
        <w:rPr>
          <w:rFonts w:ascii="Arial Narrow" w:hAnsi="Arial Narrow"/>
          <w:b/>
          <w:bCs/>
        </w:rPr>
        <w:t>МЕРКИ:</w:t>
      </w:r>
    </w:p>
    <w:p w14:paraId="52AE2840" w14:textId="77777777" w:rsidR="006E11F9" w:rsidRDefault="006E11F9" w:rsidP="009C6577">
      <w:pPr>
        <w:numPr>
          <w:ilvl w:val="0"/>
          <w:numId w:val="62"/>
        </w:numPr>
        <w:spacing w:before="120" w:after="120"/>
        <w:jc w:val="both"/>
        <w:rPr>
          <w:rFonts w:ascii="Arial Narrow" w:hAnsi="Arial Narrow"/>
        </w:rPr>
      </w:pPr>
      <w:r w:rsidRPr="001B6455">
        <w:rPr>
          <w:rFonts w:ascii="Arial Narrow" w:hAnsi="Arial Narrow"/>
        </w:rPr>
        <w:t xml:space="preserve">Стимулиране на инвестиционната активност на земеделските стопанства и предприятията за преработка/маркетинг </w:t>
      </w:r>
      <w:r>
        <w:rPr>
          <w:rFonts w:ascii="Arial Narrow" w:hAnsi="Arial Narrow"/>
        </w:rPr>
        <w:t xml:space="preserve">на земеделска продукция </w:t>
      </w:r>
      <w:r w:rsidRPr="001B6455">
        <w:rPr>
          <w:rFonts w:ascii="Arial Narrow" w:hAnsi="Arial Narrow"/>
        </w:rPr>
        <w:t>чрез изпълнение на мерки за подкрепа по СПРЗСР</w:t>
      </w:r>
    </w:p>
    <w:p w14:paraId="7E4B0E97" w14:textId="77777777" w:rsidR="006E11F9" w:rsidRPr="00402E2A" w:rsidRDefault="006E11F9" w:rsidP="009C6577">
      <w:pPr>
        <w:numPr>
          <w:ilvl w:val="0"/>
          <w:numId w:val="83"/>
        </w:numPr>
        <w:snapToGrid w:val="0"/>
        <w:spacing w:before="120"/>
        <w:jc w:val="both"/>
        <w:rPr>
          <w:rFonts w:ascii="Arial Narrow" w:hAnsi="Arial Narrow"/>
          <w:bCs/>
          <w:lang w:eastAsia="zh-TW"/>
        </w:rPr>
      </w:pPr>
      <w:r>
        <w:rPr>
          <w:rFonts w:ascii="Arial Narrow" w:hAnsi="Arial Narrow"/>
        </w:rPr>
        <w:t xml:space="preserve">Предоставяне на инвестиционна подкрепа по </w:t>
      </w:r>
      <w:r w:rsidRPr="00402E2A">
        <w:rPr>
          <w:rFonts w:ascii="Arial Narrow" w:hAnsi="Arial Narrow"/>
          <w:bCs/>
          <w:lang w:eastAsia="zh-TW"/>
        </w:rPr>
        <w:t xml:space="preserve">Националния план за възстановяване и устойчивост чрез </w:t>
      </w:r>
      <w:r>
        <w:rPr>
          <w:rFonts w:ascii="Arial Narrow" w:hAnsi="Arial Narrow"/>
          <w:bCs/>
          <w:lang w:eastAsia="zh-TW"/>
        </w:rPr>
        <w:t>проект „</w:t>
      </w:r>
      <w:r w:rsidRPr="00402E2A">
        <w:rPr>
          <w:rFonts w:ascii="Arial Narrow" w:hAnsi="Arial Narrow"/>
          <w:bCs/>
          <w:lang w:eastAsia="zh-TW"/>
        </w:rPr>
        <w:t>Фонд за насърчаване на технологичния и екологичен преход на селското стопанство</w:t>
      </w:r>
      <w:r>
        <w:rPr>
          <w:rFonts w:ascii="Arial Narrow" w:hAnsi="Arial Narrow"/>
          <w:bCs/>
          <w:lang w:eastAsia="zh-TW"/>
        </w:rPr>
        <w:t>“</w:t>
      </w:r>
      <w:r w:rsidRPr="00402E2A">
        <w:rPr>
          <w:rFonts w:ascii="Arial Narrow" w:hAnsi="Arial Narrow"/>
          <w:bCs/>
          <w:lang w:eastAsia="zh-TW"/>
        </w:rPr>
        <w:t xml:space="preserve"> </w:t>
      </w:r>
    </w:p>
    <w:p w14:paraId="207BB3EA" w14:textId="77777777" w:rsidR="00D020C1" w:rsidRDefault="00D020C1" w:rsidP="00256728">
      <w:pPr>
        <w:spacing w:before="120" w:after="120"/>
        <w:jc w:val="both"/>
        <w:rPr>
          <w:rFonts w:ascii="Arial Narrow" w:hAnsi="Arial Narrow"/>
          <w:b/>
          <w:bCs/>
        </w:rPr>
      </w:pPr>
    </w:p>
    <w:p w14:paraId="44B1D1A1" w14:textId="77777777" w:rsidR="00D020C1" w:rsidRDefault="00D020C1" w:rsidP="00256728">
      <w:pPr>
        <w:spacing w:before="120" w:after="120"/>
        <w:jc w:val="both"/>
        <w:rPr>
          <w:rFonts w:ascii="Arial Narrow" w:hAnsi="Arial Narrow"/>
          <w:b/>
          <w:bCs/>
        </w:rPr>
      </w:pPr>
    </w:p>
    <w:p w14:paraId="74C3DB1C" w14:textId="77777777" w:rsidR="00D020C1" w:rsidRDefault="00D020C1" w:rsidP="00256728">
      <w:pPr>
        <w:spacing w:before="120" w:after="120"/>
        <w:jc w:val="both"/>
        <w:rPr>
          <w:rFonts w:ascii="Arial Narrow" w:hAnsi="Arial Narrow"/>
          <w:b/>
          <w:bCs/>
        </w:rPr>
      </w:pPr>
    </w:p>
    <w:p w14:paraId="18B9C845" w14:textId="77777777" w:rsidR="006E11F9" w:rsidRPr="001B6455" w:rsidRDefault="006E11F9" w:rsidP="00256728">
      <w:pPr>
        <w:spacing w:before="120" w:after="120"/>
        <w:jc w:val="both"/>
        <w:rPr>
          <w:rFonts w:ascii="Arial Narrow" w:hAnsi="Arial Narrow"/>
          <w:b/>
          <w:bCs/>
        </w:rPr>
      </w:pPr>
      <w:r w:rsidRPr="00417913">
        <w:rPr>
          <w:rFonts w:ascii="Arial Narrow" w:hAnsi="Arial Narrow"/>
          <w:b/>
          <w:bCs/>
        </w:rPr>
        <w:t xml:space="preserve">ЦЕЛ 3: </w:t>
      </w:r>
      <w:r w:rsidRPr="001B6455">
        <w:rPr>
          <w:rFonts w:ascii="Arial Narrow" w:hAnsi="Arial Narrow"/>
          <w:b/>
          <w:bCs/>
        </w:rPr>
        <w:t>УКРЕПВАНЕ ПОЗИЦИИТЕ НА ЗЕМЕДЕЛСКИТЕ СТОПАНИ ПО ВЕРИГАТА НА ПРЕДЛАГАНЕ НА ХРАНИ</w:t>
      </w:r>
    </w:p>
    <w:p w14:paraId="2A44C5BA" w14:textId="77777777" w:rsidR="006E11F9" w:rsidRPr="001B6455" w:rsidRDefault="006E11F9" w:rsidP="006E11F9">
      <w:pPr>
        <w:spacing w:before="120" w:after="120"/>
        <w:jc w:val="both"/>
        <w:rPr>
          <w:rFonts w:ascii="Arial Narrow" w:hAnsi="Arial Narrow"/>
          <w:b/>
          <w:bCs/>
        </w:rPr>
      </w:pPr>
      <w:r w:rsidRPr="00417913">
        <w:rPr>
          <w:rFonts w:ascii="Arial Narrow" w:hAnsi="Arial Narrow"/>
          <w:b/>
          <w:bCs/>
        </w:rPr>
        <w:t>МЕРКИ:</w:t>
      </w:r>
    </w:p>
    <w:p w14:paraId="2B622F10" w14:textId="77777777" w:rsidR="006E11F9" w:rsidRPr="001B6455" w:rsidRDefault="006E11F9" w:rsidP="009C6577">
      <w:pPr>
        <w:numPr>
          <w:ilvl w:val="0"/>
          <w:numId w:val="63"/>
        </w:numPr>
        <w:spacing w:before="120" w:after="120"/>
        <w:jc w:val="both"/>
        <w:rPr>
          <w:rFonts w:ascii="Arial Narrow" w:hAnsi="Arial Narrow"/>
        </w:rPr>
      </w:pPr>
      <w:r w:rsidRPr="001B6455">
        <w:rPr>
          <w:rFonts w:ascii="Arial Narrow" w:hAnsi="Arial Narrow"/>
        </w:rPr>
        <w:lastRenderedPageBreak/>
        <w:t>Насърчаване на сдружаването на земеделските стопани в групи и организации на производители чрез предоставяне на финансова подкрепа по СПРЗСР</w:t>
      </w:r>
    </w:p>
    <w:p w14:paraId="70B43F05" w14:textId="77777777" w:rsidR="006E11F9" w:rsidRPr="001B6455" w:rsidRDefault="006E11F9" w:rsidP="009C6577">
      <w:pPr>
        <w:numPr>
          <w:ilvl w:val="0"/>
          <w:numId w:val="63"/>
        </w:numPr>
        <w:spacing w:before="120" w:after="120"/>
        <w:jc w:val="both"/>
        <w:rPr>
          <w:rFonts w:ascii="Arial Narrow" w:hAnsi="Arial Narrow"/>
          <w:b/>
          <w:bCs/>
        </w:rPr>
      </w:pPr>
      <w:r w:rsidRPr="001B6455">
        <w:rPr>
          <w:rFonts w:ascii="Arial Narrow" w:hAnsi="Arial Narrow"/>
        </w:rPr>
        <w:t xml:space="preserve">Прилагане на мерки за пазарна подкрепа чрез инструментите на СПРЗСР </w:t>
      </w:r>
    </w:p>
    <w:p w14:paraId="4DE28439" w14:textId="77777777" w:rsidR="006E11F9" w:rsidRPr="001B6455" w:rsidRDefault="006E11F9" w:rsidP="006E11F9">
      <w:pPr>
        <w:spacing w:before="240" w:after="120"/>
        <w:jc w:val="both"/>
        <w:rPr>
          <w:rFonts w:ascii="Arial Narrow" w:hAnsi="Arial Narrow"/>
          <w:b/>
          <w:bCs/>
        </w:rPr>
      </w:pPr>
      <w:r w:rsidRPr="00417913">
        <w:rPr>
          <w:rFonts w:ascii="Arial Narrow" w:hAnsi="Arial Narrow"/>
          <w:b/>
          <w:bCs/>
        </w:rPr>
        <w:t xml:space="preserve">ЦЕЛ 4: </w:t>
      </w:r>
      <w:r w:rsidRPr="001B6455">
        <w:rPr>
          <w:rFonts w:ascii="Arial Narrow" w:hAnsi="Arial Narrow"/>
          <w:b/>
          <w:bCs/>
        </w:rPr>
        <w:t xml:space="preserve">СЪЗДАВАНЕ НА ОПТИМАЛНИ УСЛОВИЯ ЗА РАЗВИТИЕ НА ЕФЕКТИВНО ПОЛИВНО ЗЕМЕДЕЛИЕ И ПРЕВЕНЦИЯ НА РИСКА ОТ НАВОДНЕНИЯ, БЕДСТВИЯ И АВАРИИ </w:t>
      </w:r>
    </w:p>
    <w:p w14:paraId="05F75DA5" w14:textId="77777777" w:rsidR="006E11F9" w:rsidRPr="001B6455" w:rsidRDefault="006E11F9" w:rsidP="006E11F9">
      <w:pPr>
        <w:spacing w:before="120" w:after="120"/>
        <w:jc w:val="both"/>
        <w:rPr>
          <w:rFonts w:ascii="Arial Narrow" w:hAnsi="Arial Narrow"/>
        </w:rPr>
      </w:pPr>
      <w:r w:rsidRPr="00417913">
        <w:rPr>
          <w:rFonts w:ascii="Arial Narrow" w:hAnsi="Arial Narrow"/>
          <w:b/>
          <w:bCs/>
        </w:rPr>
        <w:t>МЕРКИ:</w:t>
      </w:r>
    </w:p>
    <w:p w14:paraId="7DD03BBC" w14:textId="77777777" w:rsidR="006E11F9" w:rsidRPr="001B6455" w:rsidRDefault="006E11F9" w:rsidP="009C6577">
      <w:pPr>
        <w:numPr>
          <w:ilvl w:val="0"/>
          <w:numId w:val="64"/>
        </w:numPr>
        <w:spacing w:before="120" w:after="120"/>
        <w:jc w:val="both"/>
        <w:rPr>
          <w:rFonts w:ascii="Arial Narrow" w:hAnsi="Arial Narrow"/>
        </w:rPr>
      </w:pPr>
      <w:r w:rsidRPr="001B6455">
        <w:rPr>
          <w:rFonts w:ascii="Arial Narrow" w:hAnsi="Arial Narrow"/>
        </w:rPr>
        <w:t>Възстановяване на съществуващата хидромелиоративна инфраструктура за напояване в Република България</w:t>
      </w:r>
    </w:p>
    <w:p w14:paraId="38908F5D" w14:textId="77777777" w:rsidR="006E11F9" w:rsidRPr="001B6455" w:rsidRDefault="006E11F9" w:rsidP="009C6577">
      <w:pPr>
        <w:numPr>
          <w:ilvl w:val="0"/>
          <w:numId w:val="64"/>
        </w:numPr>
        <w:spacing w:before="120" w:after="120"/>
        <w:jc w:val="both"/>
        <w:rPr>
          <w:rFonts w:ascii="Arial Narrow" w:hAnsi="Arial Narrow"/>
        </w:rPr>
      </w:pPr>
      <w:r w:rsidRPr="001B6455">
        <w:rPr>
          <w:rFonts w:ascii="Arial Narrow" w:hAnsi="Arial Narrow"/>
        </w:rPr>
        <w:t xml:space="preserve">Предприемане на действията по изграждане на незавършените обекти от хидромелиоративната инфраструктура </w:t>
      </w:r>
    </w:p>
    <w:p w14:paraId="1CD8A433" w14:textId="77777777" w:rsidR="006E11F9" w:rsidRPr="001B6455" w:rsidRDefault="006E11F9" w:rsidP="009C6577">
      <w:pPr>
        <w:numPr>
          <w:ilvl w:val="0"/>
          <w:numId w:val="64"/>
        </w:numPr>
        <w:spacing w:before="120" w:after="120"/>
        <w:jc w:val="both"/>
        <w:rPr>
          <w:rFonts w:ascii="Arial Narrow" w:hAnsi="Arial Narrow"/>
        </w:rPr>
      </w:pPr>
      <w:r w:rsidRPr="001B6455">
        <w:rPr>
          <w:rFonts w:ascii="Arial Narrow" w:hAnsi="Arial Narrow"/>
        </w:rPr>
        <w:t>Възстановяване и модернизация на отводнителните помпени станции</w:t>
      </w:r>
    </w:p>
    <w:p w14:paraId="3E2001F5" w14:textId="77777777" w:rsidR="006E11F9" w:rsidRPr="001B6455" w:rsidRDefault="006E11F9" w:rsidP="00256728">
      <w:pPr>
        <w:spacing w:before="240" w:after="120"/>
        <w:jc w:val="both"/>
        <w:rPr>
          <w:rFonts w:ascii="Arial Narrow" w:hAnsi="Arial Narrow"/>
          <w:b/>
          <w:bCs/>
        </w:rPr>
      </w:pPr>
      <w:r w:rsidRPr="00417913">
        <w:rPr>
          <w:rFonts w:ascii="Arial Narrow" w:hAnsi="Arial Narrow"/>
          <w:b/>
          <w:bCs/>
        </w:rPr>
        <w:t xml:space="preserve">ЦЕЛ 5: </w:t>
      </w:r>
      <w:r w:rsidRPr="001B6455">
        <w:rPr>
          <w:rFonts w:ascii="Arial Narrow" w:hAnsi="Arial Narrow"/>
          <w:b/>
          <w:bCs/>
        </w:rPr>
        <w:t>УВЕЛИЧАВАНЕ ПРОИЗВОДСТВОТО НА СЕЛСКОСТОПАНСКИ ПРОДУКТИ, ПРОИЗВЕДЕНИ ПО БИОЛОГИЧЕН НАЧИН</w:t>
      </w:r>
    </w:p>
    <w:p w14:paraId="6CF7EE24" w14:textId="77777777" w:rsidR="006E11F9" w:rsidRPr="001B6455" w:rsidRDefault="006E11F9" w:rsidP="006E11F9">
      <w:pPr>
        <w:spacing w:before="120" w:after="120"/>
        <w:jc w:val="both"/>
        <w:rPr>
          <w:rFonts w:ascii="Arial Narrow" w:hAnsi="Arial Narrow"/>
          <w:b/>
          <w:bCs/>
        </w:rPr>
      </w:pPr>
      <w:r w:rsidRPr="00417913">
        <w:rPr>
          <w:rFonts w:ascii="Arial Narrow" w:hAnsi="Arial Narrow"/>
          <w:b/>
          <w:bCs/>
        </w:rPr>
        <w:t>МЕРКИ:</w:t>
      </w:r>
    </w:p>
    <w:p w14:paraId="7E77C89F" w14:textId="77777777" w:rsidR="006E11F9" w:rsidRPr="001B6455" w:rsidRDefault="006E11F9" w:rsidP="009C6577">
      <w:pPr>
        <w:pStyle w:val="ListParagraph"/>
        <w:numPr>
          <w:ilvl w:val="0"/>
          <w:numId w:val="84"/>
        </w:numPr>
        <w:spacing w:before="120" w:after="120"/>
        <w:jc w:val="both"/>
        <w:rPr>
          <w:rFonts w:ascii="Arial Narrow" w:hAnsi="Arial Narrow"/>
        </w:rPr>
      </w:pPr>
      <w:r w:rsidRPr="001B6455">
        <w:rPr>
          <w:rFonts w:ascii="Arial Narrow" w:hAnsi="Arial Narrow"/>
        </w:rPr>
        <w:t>Изпълнение на мерките и дейностите от Националния план за развитие на биологичното производство до 20</w:t>
      </w:r>
      <w:r>
        <w:rPr>
          <w:rFonts w:ascii="Arial Narrow" w:hAnsi="Arial Narrow"/>
        </w:rPr>
        <w:t>30</w:t>
      </w:r>
      <w:r w:rsidRPr="001B6455">
        <w:rPr>
          <w:rFonts w:ascii="Arial Narrow" w:hAnsi="Arial Narrow"/>
        </w:rPr>
        <w:t xml:space="preserve"> г.</w:t>
      </w:r>
    </w:p>
    <w:p w14:paraId="54586B2E" w14:textId="77777777" w:rsidR="006E11F9" w:rsidRPr="001B6455" w:rsidRDefault="006E11F9" w:rsidP="009C6577">
      <w:pPr>
        <w:numPr>
          <w:ilvl w:val="0"/>
          <w:numId w:val="65"/>
        </w:numPr>
        <w:spacing w:before="120" w:after="120"/>
        <w:jc w:val="both"/>
        <w:rPr>
          <w:rFonts w:ascii="Arial Narrow" w:hAnsi="Arial Narrow"/>
        </w:rPr>
      </w:pPr>
      <w:r w:rsidRPr="001B6455">
        <w:rPr>
          <w:rFonts w:ascii="Arial Narrow" w:hAnsi="Arial Narrow"/>
        </w:rPr>
        <w:t>Предоставяне на подкрепа за развитие на биологичното земеделие чрез мерки по СПРЗСР</w:t>
      </w:r>
    </w:p>
    <w:p w14:paraId="5F14A172" w14:textId="77777777" w:rsidR="006E11F9" w:rsidRPr="001B6455" w:rsidRDefault="006E11F9" w:rsidP="00256728">
      <w:pPr>
        <w:spacing w:before="240" w:after="120"/>
        <w:jc w:val="both"/>
        <w:rPr>
          <w:rFonts w:ascii="Arial Narrow" w:hAnsi="Arial Narrow"/>
          <w:b/>
          <w:bCs/>
        </w:rPr>
      </w:pPr>
      <w:r w:rsidRPr="001B6455">
        <w:rPr>
          <w:rFonts w:ascii="Arial Narrow" w:hAnsi="Arial Narrow"/>
          <w:b/>
          <w:bCs/>
        </w:rPr>
        <w:t>ЦЕЛ 6: ПОДПОМАГАНЕ НА АГРАРНИЯ ОТРАСЪЛ ЗА ПРИЛАГАНЕ НА МЕРКИ ЗА ОПАЗВАНЕ НА ОКОЛНАТА СРЕДА И КЛИМАТА</w:t>
      </w:r>
    </w:p>
    <w:p w14:paraId="3582752C" w14:textId="77777777" w:rsidR="006E11F9" w:rsidRPr="001B6455" w:rsidRDefault="006E11F9" w:rsidP="006E11F9">
      <w:pPr>
        <w:spacing w:before="120" w:after="120"/>
        <w:jc w:val="both"/>
        <w:rPr>
          <w:rFonts w:ascii="Arial Narrow" w:hAnsi="Arial Narrow"/>
          <w:b/>
          <w:bCs/>
        </w:rPr>
      </w:pPr>
      <w:r w:rsidRPr="00417913">
        <w:rPr>
          <w:rFonts w:ascii="Arial Narrow" w:hAnsi="Arial Narrow"/>
          <w:b/>
          <w:bCs/>
        </w:rPr>
        <w:t>МЕРКИ:</w:t>
      </w:r>
    </w:p>
    <w:p w14:paraId="68D5DBE5" w14:textId="77777777" w:rsidR="006E11F9" w:rsidRPr="001B6455" w:rsidRDefault="006E11F9" w:rsidP="009C6577">
      <w:pPr>
        <w:numPr>
          <w:ilvl w:val="0"/>
          <w:numId w:val="66"/>
        </w:numPr>
        <w:spacing w:before="120" w:after="120"/>
        <w:ind w:left="714" w:hanging="357"/>
        <w:jc w:val="both"/>
        <w:rPr>
          <w:rFonts w:ascii="Arial Narrow" w:hAnsi="Arial Narrow"/>
        </w:rPr>
      </w:pPr>
      <w:r w:rsidRPr="001B6455">
        <w:rPr>
          <w:rFonts w:ascii="Arial Narrow" w:hAnsi="Arial Narrow"/>
        </w:rPr>
        <w:t>Насърчаване на земеделските стопани за прилагане на дейности, допринасящи за опазване на околната среда и биоразнообразието и за реализиране на инвестиции в производство и преработка, насочени към опазване на околната среда по СПРЗСР.</w:t>
      </w:r>
    </w:p>
    <w:p w14:paraId="6F61C1E5" w14:textId="77777777" w:rsidR="006E11F9" w:rsidRPr="001B6455" w:rsidRDefault="006E11F9" w:rsidP="00256728">
      <w:pPr>
        <w:spacing w:before="240" w:after="120"/>
        <w:jc w:val="both"/>
        <w:rPr>
          <w:rFonts w:ascii="Arial Narrow" w:hAnsi="Arial Narrow"/>
          <w:b/>
          <w:bCs/>
        </w:rPr>
      </w:pPr>
      <w:r w:rsidRPr="00417913">
        <w:rPr>
          <w:rFonts w:ascii="Arial Narrow" w:hAnsi="Arial Narrow"/>
          <w:b/>
          <w:bCs/>
        </w:rPr>
        <w:t xml:space="preserve">ЦЕЛ 7: </w:t>
      </w:r>
      <w:r w:rsidRPr="001B6455">
        <w:rPr>
          <w:rFonts w:ascii="Arial Narrow" w:hAnsi="Arial Narrow"/>
          <w:b/>
          <w:bCs/>
        </w:rPr>
        <w:t>ПОДОБРЯВАНЕ НА ПРОЦЕСИТЕ, СВЪРЗАНИ С ПОЛЗВАНЕ И ОПАЗВАНЕ НА ЗЕМЕДЕЛСКИТЕ ЗЕМИ</w:t>
      </w:r>
    </w:p>
    <w:p w14:paraId="14586900" w14:textId="77777777" w:rsidR="006E11F9" w:rsidRPr="001B6455" w:rsidRDefault="006E11F9" w:rsidP="006E11F9">
      <w:pPr>
        <w:spacing w:before="120" w:after="120"/>
        <w:jc w:val="both"/>
        <w:rPr>
          <w:rFonts w:ascii="Arial Narrow" w:hAnsi="Arial Narrow"/>
        </w:rPr>
      </w:pPr>
      <w:r w:rsidRPr="00417913">
        <w:rPr>
          <w:rFonts w:ascii="Arial Narrow" w:hAnsi="Arial Narrow"/>
          <w:b/>
          <w:bCs/>
        </w:rPr>
        <w:t>МЕРКИ:</w:t>
      </w:r>
    </w:p>
    <w:p w14:paraId="1EC0F3C1" w14:textId="77777777" w:rsidR="006E11F9" w:rsidRPr="001B6455" w:rsidRDefault="006E11F9" w:rsidP="009C6577">
      <w:pPr>
        <w:numPr>
          <w:ilvl w:val="0"/>
          <w:numId w:val="67"/>
        </w:numPr>
        <w:spacing w:before="120" w:after="120"/>
        <w:jc w:val="both"/>
        <w:rPr>
          <w:rFonts w:ascii="Arial Narrow" w:hAnsi="Arial Narrow"/>
        </w:rPr>
      </w:pPr>
      <w:r w:rsidRPr="001B6455">
        <w:rPr>
          <w:rFonts w:ascii="Arial Narrow" w:hAnsi="Arial Narrow"/>
        </w:rPr>
        <w:t xml:space="preserve">Подобряване на ефективността на процесите по предоставянето на земи от </w:t>
      </w:r>
      <w:r>
        <w:rPr>
          <w:rFonts w:ascii="Arial Narrow" w:hAnsi="Arial Narrow"/>
        </w:rPr>
        <w:t>Д</w:t>
      </w:r>
      <w:r w:rsidRPr="001B6455">
        <w:rPr>
          <w:rFonts w:ascii="Arial Narrow" w:hAnsi="Arial Narrow"/>
        </w:rPr>
        <w:t>ържавния поземлен фонд</w:t>
      </w:r>
    </w:p>
    <w:p w14:paraId="6B53E2EA" w14:textId="77777777" w:rsidR="006E11F9" w:rsidRPr="001B6455" w:rsidRDefault="006E11F9" w:rsidP="009C6577">
      <w:pPr>
        <w:numPr>
          <w:ilvl w:val="0"/>
          <w:numId w:val="67"/>
        </w:numPr>
        <w:spacing w:before="120" w:after="120"/>
        <w:jc w:val="both"/>
        <w:rPr>
          <w:rFonts w:ascii="Arial Narrow" w:hAnsi="Arial Narrow"/>
        </w:rPr>
      </w:pPr>
      <w:r w:rsidRPr="001B6455">
        <w:rPr>
          <w:rFonts w:ascii="Arial Narrow" w:hAnsi="Arial Narrow"/>
        </w:rPr>
        <w:t xml:space="preserve">Подобряване на контрола върху ползването на земеделските земи и тяхното опазване </w:t>
      </w:r>
    </w:p>
    <w:p w14:paraId="0C3526DE" w14:textId="77777777" w:rsidR="006E11F9" w:rsidRPr="001B6455" w:rsidRDefault="006E11F9" w:rsidP="009C6577">
      <w:pPr>
        <w:numPr>
          <w:ilvl w:val="0"/>
          <w:numId w:val="67"/>
        </w:numPr>
        <w:spacing w:before="120" w:after="120"/>
        <w:jc w:val="both"/>
        <w:rPr>
          <w:rFonts w:ascii="Arial Narrow" w:hAnsi="Arial Narrow"/>
        </w:rPr>
      </w:pPr>
      <w:r w:rsidRPr="001B6455">
        <w:rPr>
          <w:rFonts w:ascii="Arial Narrow" w:hAnsi="Arial Narrow"/>
        </w:rPr>
        <w:t>Създаване на единна система за управление на земите от ДПФ</w:t>
      </w:r>
    </w:p>
    <w:p w14:paraId="6E20CFDD" w14:textId="77777777" w:rsidR="006E11F9" w:rsidRPr="001B6455" w:rsidRDefault="006E11F9" w:rsidP="00256728">
      <w:pPr>
        <w:spacing w:before="240" w:after="120"/>
        <w:jc w:val="both"/>
        <w:rPr>
          <w:rFonts w:ascii="Arial Narrow" w:hAnsi="Arial Narrow"/>
          <w:b/>
          <w:bCs/>
        </w:rPr>
      </w:pPr>
      <w:r w:rsidRPr="00417913">
        <w:rPr>
          <w:rFonts w:ascii="Arial Narrow" w:hAnsi="Arial Narrow"/>
          <w:b/>
          <w:bCs/>
        </w:rPr>
        <w:t>ЦЕЛ 8: СМЕКЧАВАНЕ ВЪЗДЕЙСТВИЕТО НА РИСКОВЕТЕ В СЕЛСКОТО СТОПАНСТВО ВЪРХУ ДЕЙНОСТТА И ДОХОДИТЕ НА ЗАЕТИТЕ В ОТРАСЪЛА</w:t>
      </w:r>
    </w:p>
    <w:p w14:paraId="7BD33A7B" w14:textId="77777777" w:rsidR="006E11F9" w:rsidRPr="001B6455" w:rsidRDefault="006E11F9" w:rsidP="006E11F9">
      <w:pPr>
        <w:spacing w:before="120" w:after="120"/>
        <w:jc w:val="both"/>
        <w:rPr>
          <w:rFonts w:ascii="Arial Narrow" w:hAnsi="Arial Narrow"/>
          <w:b/>
          <w:bCs/>
        </w:rPr>
      </w:pPr>
      <w:r w:rsidRPr="00417913">
        <w:rPr>
          <w:rFonts w:ascii="Arial Narrow" w:hAnsi="Arial Narrow"/>
          <w:b/>
          <w:bCs/>
        </w:rPr>
        <w:t>МЕРКИ:</w:t>
      </w:r>
    </w:p>
    <w:p w14:paraId="717781C8" w14:textId="77777777" w:rsidR="006E11F9" w:rsidRPr="001B6455" w:rsidRDefault="006E11F9" w:rsidP="009C6577">
      <w:pPr>
        <w:numPr>
          <w:ilvl w:val="0"/>
          <w:numId w:val="68"/>
        </w:numPr>
        <w:spacing w:before="120" w:after="120"/>
        <w:jc w:val="both"/>
        <w:rPr>
          <w:rFonts w:ascii="Arial Narrow" w:hAnsi="Arial Narrow"/>
        </w:rPr>
      </w:pPr>
      <w:r w:rsidRPr="001B6455">
        <w:rPr>
          <w:rFonts w:ascii="Arial Narrow" w:hAnsi="Arial Narrow"/>
        </w:rPr>
        <w:t>Прилагане на инструменти за подкрепа на земеделските стопани за превенция и управление на рисковете в селското стопанство</w:t>
      </w:r>
      <w:r>
        <w:rPr>
          <w:rFonts w:ascii="Arial Narrow" w:hAnsi="Arial Narrow"/>
        </w:rPr>
        <w:t xml:space="preserve"> с европейски и национални средства</w:t>
      </w:r>
      <w:r w:rsidRPr="001B6455">
        <w:rPr>
          <w:rFonts w:ascii="Arial Narrow" w:hAnsi="Arial Narrow"/>
        </w:rPr>
        <w:t xml:space="preserve"> </w:t>
      </w:r>
    </w:p>
    <w:p w14:paraId="10BAD4AA" w14:textId="77777777" w:rsidR="006E11F9" w:rsidRPr="001B6455" w:rsidRDefault="006E11F9" w:rsidP="009C6577">
      <w:pPr>
        <w:numPr>
          <w:ilvl w:val="0"/>
          <w:numId w:val="68"/>
        </w:numPr>
        <w:spacing w:before="120" w:after="120"/>
        <w:jc w:val="both"/>
        <w:rPr>
          <w:rFonts w:ascii="Arial Narrow" w:hAnsi="Arial Narrow"/>
        </w:rPr>
      </w:pPr>
      <w:r w:rsidRPr="001B6455">
        <w:rPr>
          <w:rFonts w:ascii="Arial Narrow" w:hAnsi="Arial Narrow"/>
        </w:rPr>
        <w:t>Разширяване и уплътняване на системата за противоградова защита</w:t>
      </w:r>
    </w:p>
    <w:p w14:paraId="6A7D2CBC" w14:textId="77777777" w:rsidR="00D020C1" w:rsidRDefault="00D020C1" w:rsidP="00256728">
      <w:pPr>
        <w:spacing w:before="240" w:after="120"/>
        <w:jc w:val="both"/>
        <w:rPr>
          <w:rFonts w:ascii="Arial Narrow" w:hAnsi="Arial Narrow"/>
          <w:b/>
          <w:bCs/>
        </w:rPr>
      </w:pPr>
    </w:p>
    <w:p w14:paraId="5F2A243A" w14:textId="77777777" w:rsidR="006E11F9" w:rsidRDefault="006E11F9" w:rsidP="00256728">
      <w:pPr>
        <w:spacing w:before="240" w:after="120"/>
        <w:jc w:val="both"/>
        <w:rPr>
          <w:rFonts w:ascii="Arial Narrow" w:hAnsi="Arial Narrow"/>
          <w:b/>
          <w:bCs/>
        </w:rPr>
      </w:pPr>
      <w:r w:rsidRPr="00417913">
        <w:rPr>
          <w:rFonts w:ascii="Arial Narrow" w:hAnsi="Arial Narrow"/>
          <w:b/>
          <w:bCs/>
        </w:rPr>
        <w:t>ЦЕЛ 9: ПОДОБРЯВАНЕ НА ЕФЕКТИВНОСТТА НА СИСТЕМАТА ЗА СЪВЕТИ В ЗЕМЕДЕЛИЕТО</w:t>
      </w:r>
    </w:p>
    <w:p w14:paraId="6EBCAF8A" w14:textId="77777777" w:rsidR="006E11F9" w:rsidRPr="001B6455" w:rsidRDefault="006E11F9" w:rsidP="006E11F9">
      <w:pPr>
        <w:spacing w:before="120" w:after="120"/>
        <w:jc w:val="both"/>
        <w:rPr>
          <w:rFonts w:ascii="Arial Narrow" w:hAnsi="Arial Narrow"/>
          <w:b/>
          <w:bCs/>
        </w:rPr>
      </w:pPr>
      <w:r w:rsidRPr="00417913">
        <w:rPr>
          <w:rFonts w:ascii="Arial Narrow" w:hAnsi="Arial Narrow"/>
          <w:b/>
          <w:bCs/>
        </w:rPr>
        <w:t>МЕРКИ:</w:t>
      </w:r>
    </w:p>
    <w:p w14:paraId="57A7459B" w14:textId="77777777" w:rsidR="006E11F9" w:rsidRPr="001B6455" w:rsidRDefault="006E11F9" w:rsidP="009C6577">
      <w:pPr>
        <w:numPr>
          <w:ilvl w:val="0"/>
          <w:numId w:val="69"/>
        </w:numPr>
        <w:spacing w:before="120" w:after="120"/>
        <w:jc w:val="both"/>
        <w:rPr>
          <w:rFonts w:ascii="Arial Narrow" w:hAnsi="Arial Narrow"/>
        </w:rPr>
      </w:pPr>
      <w:r w:rsidRPr="001B6455">
        <w:rPr>
          <w:rFonts w:ascii="Arial Narrow" w:hAnsi="Arial Narrow"/>
        </w:rPr>
        <w:lastRenderedPageBreak/>
        <w:t xml:space="preserve">Предоставяне на подкрепа за професионално обучение и повишаване на знанията и практическите умения на земеделските стопани </w:t>
      </w:r>
    </w:p>
    <w:p w14:paraId="47262A8B" w14:textId="77777777" w:rsidR="006E11F9" w:rsidRPr="001B6455" w:rsidRDefault="006E11F9" w:rsidP="009C6577">
      <w:pPr>
        <w:numPr>
          <w:ilvl w:val="0"/>
          <w:numId w:val="69"/>
        </w:numPr>
        <w:spacing w:before="120" w:after="120"/>
        <w:jc w:val="both"/>
        <w:outlineLvl w:val="3"/>
        <w:rPr>
          <w:rFonts w:ascii="Arial Narrow" w:hAnsi="Arial Narrow"/>
          <w:b/>
          <w:bCs/>
        </w:rPr>
      </w:pPr>
      <w:r w:rsidRPr="001B6455">
        <w:rPr>
          <w:rFonts w:ascii="Arial Narrow" w:hAnsi="Arial Narrow"/>
        </w:rPr>
        <w:t xml:space="preserve">Развитие и укрепване на Системата за знания и иновации в селското стопанство  (AKIS) с помощта на интегрирани съветници и реализация на новаторски проекти </w:t>
      </w:r>
    </w:p>
    <w:p w14:paraId="1E3AEB2B" w14:textId="77777777" w:rsidR="006E11F9" w:rsidRPr="001B6455" w:rsidRDefault="006E11F9" w:rsidP="00256728">
      <w:pPr>
        <w:spacing w:before="240" w:after="120"/>
        <w:jc w:val="both"/>
        <w:rPr>
          <w:rFonts w:ascii="Arial Narrow" w:hAnsi="Arial Narrow"/>
          <w:b/>
          <w:bCs/>
        </w:rPr>
      </w:pPr>
      <w:r w:rsidRPr="001B6455">
        <w:rPr>
          <w:rFonts w:ascii="Arial Narrow" w:hAnsi="Arial Narrow"/>
          <w:b/>
          <w:bCs/>
        </w:rPr>
        <w:t>ЦЕЛ 10: РАЗВИТИЕ НА АГРАРНАТА НАУКА КАТО ИНСТРУМЕНТ ЗА ГЕНЕРИРАНЕ НА ИНОВАТИВНИ ПОЛИТИКИ В АГРАРНИЯ СЕКТОР</w:t>
      </w:r>
    </w:p>
    <w:p w14:paraId="555C8DD6" w14:textId="77777777" w:rsidR="006E11F9" w:rsidRPr="001B6455" w:rsidRDefault="006E11F9" w:rsidP="006E11F9">
      <w:pPr>
        <w:spacing w:before="120" w:after="120"/>
        <w:jc w:val="both"/>
        <w:rPr>
          <w:rFonts w:ascii="Arial Narrow" w:hAnsi="Arial Narrow"/>
          <w:b/>
          <w:bCs/>
        </w:rPr>
      </w:pPr>
      <w:r w:rsidRPr="001B6455">
        <w:rPr>
          <w:rFonts w:ascii="Arial Narrow" w:hAnsi="Arial Narrow"/>
          <w:b/>
          <w:bCs/>
        </w:rPr>
        <w:t>МЕРКИ:</w:t>
      </w:r>
    </w:p>
    <w:p w14:paraId="5ABA33F1" w14:textId="77777777" w:rsidR="006E11F9" w:rsidRPr="001B6455" w:rsidRDefault="006E11F9" w:rsidP="009C6577">
      <w:pPr>
        <w:numPr>
          <w:ilvl w:val="0"/>
          <w:numId w:val="70"/>
        </w:numPr>
        <w:spacing w:before="120" w:after="120"/>
        <w:jc w:val="both"/>
        <w:rPr>
          <w:rFonts w:ascii="Arial Narrow" w:hAnsi="Arial Narrow"/>
        </w:rPr>
      </w:pPr>
      <w:r w:rsidRPr="001B6455">
        <w:rPr>
          <w:rFonts w:ascii="Arial Narrow" w:hAnsi="Arial Narrow"/>
        </w:rPr>
        <w:t>Създаване на нови научни продукти, свързани с устойчиво развитие на конкурентоспособно селско стопанство, опазване и ефективно използване на природните и генетични ресурси за смекчаване и адаптация към климатичните промени, прехода към биоикономика и кръгова икономика</w:t>
      </w:r>
    </w:p>
    <w:p w14:paraId="34677F4A" w14:textId="77777777" w:rsidR="006E11F9" w:rsidRPr="001B6455" w:rsidRDefault="006E11F9" w:rsidP="009C6577">
      <w:pPr>
        <w:numPr>
          <w:ilvl w:val="0"/>
          <w:numId w:val="70"/>
        </w:numPr>
        <w:spacing w:before="120" w:after="120"/>
        <w:jc w:val="both"/>
        <w:rPr>
          <w:rFonts w:ascii="Arial Narrow" w:hAnsi="Arial Narrow"/>
        </w:rPr>
      </w:pPr>
      <w:r w:rsidRPr="001B6455">
        <w:rPr>
          <w:rFonts w:ascii="Arial Narrow" w:hAnsi="Arial Narrow"/>
        </w:rPr>
        <w:t>Продължаване на политиките по извършване на геномна оценка на високопродуктивните животни</w:t>
      </w:r>
    </w:p>
    <w:p w14:paraId="018B1274" w14:textId="77777777" w:rsidR="006E11F9" w:rsidRPr="001B6455" w:rsidRDefault="006E11F9" w:rsidP="006E11F9">
      <w:pPr>
        <w:spacing w:before="120" w:after="120"/>
        <w:jc w:val="both"/>
        <w:rPr>
          <w:rFonts w:ascii="Arial Narrow" w:hAnsi="Arial Narrow"/>
          <w:b/>
          <w:bCs/>
        </w:rPr>
      </w:pPr>
      <w:r w:rsidRPr="001B6455">
        <w:rPr>
          <w:rFonts w:ascii="Arial Narrow" w:hAnsi="Arial Narrow"/>
          <w:b/>
          <w:bCs/>
        </w:rPr>
        <w:t>ЦЕЛ 11: ПОВИШАВАНЕ ЗАЩИТАТА НА ЧОВЕШКОТО ЗДРАВЕ И ИНТЕРЕСИТЕ НА ПОТРЕБИТЕЛИТЕ ПО ОТНОШЕНИЕ НА ХРАНИТЕ</w:t>
      </w:r>
    </w:p>
    <w:p w14:paraId="4F4F9414" w14:textId="77777777" w:rsidR="006E11F9" w:rsidRPr="001B6455" w:rsidRDefault="006E11F9" w:rsidP="006E11F9">
      <w:pPr>
        <w:spacing w:before="120" w:after="120"/>
        <w:jc w:val="both"/>
        <w:rPr>
          <w:rFonts w:ascii="Arial Narrow" w:hAnsi="Arial Narrow"/>
          <w:b/>
          <w:bCs/>
        </w:rPr>
      </w:pPr>
      <w:r w:rsidRPr="00417913">
        <w:rPr>
          <w:rFonts w:ascii="Arial Narrow" w:hAnsi="Arial Narrow"/>
          <w:b/>
          <w:bCs/>
        </w:rPr>
        <w:t>МЕРКИ:</w:t>
      </w:r>
    </w:p>
    <w:p w14:paraId="3AF095FD" w14:textId="77777777" w:rsidR="006E11F9" w:rsidRPr="001B6455" w:rsidRDefault="006E11F9" w:rsidP="009C6577">
      <w:pPr>
        <w:numPr>
          <w:ilvl w:val="0"/>
          <w:numId w:val="71"/>
        </w:numPr>
        <w:spacing w:before="120"/>
        <w:jc w:val="both"/>
        <w:rPr>
          <w:rFonts w:ascii="Arial Narrow" w:hAnsi="Arial Narrow"/>
        </w:rPr>
      </w:pPr>
      <w:r w:rsidRPr="001B6455">
        <w:rPr>
          <w:rFonts w:ascii="Arial Narrow" w:hAnsi="Arial Narrow"/>
        </w:rPr>
        <w:t xml:space="preserve">Подобряване </w:t>
      </w:r>
      <w:r>
        <w:rPr>
          <w:rFonts w:ascii="Arial Narrow" w:hAnsi="Arial Narrow"/>
        </w:rPr>
        <w:t xml:space="preserve">на </w:t>
      </w:r>
      <w:r w:rsidRPr="001B6455">
        <w:rPr>
          <w:rFonts w:ascii="Arial Narrow" w:hAnsi="Arial Narrow"/>
        </w:rPr>
        <w:t xml:space="preserve">контрола по </w:t>
      </w:r>
      <w:r>
        <w:rPr>
          <w:rFonts w:ascii="Arial Narrow" w:hAnsi="Arial Narrow"/>
        </w:rPr>
        <w:t>агрохранителната</w:t>
      </w:r>
      <w:r w:rsidRPr="001B6455">
        <w:rPr>
          <w:rFonts w:ascii="Arial Narrow" w:hAnsi="Arial Narrow"/>
        </w:rPr>
        <w:t xml:space="preserve"> верига и предотвратяване на инциденти, свързани с храни </w:t>
      </w:r>
    </w:p>
    <w:p w14:paraId="3AB6DE3B" w14:textId="77777777" w:rsidR="006E11F9" w:rsidRPr="001B6455" w:rsidRDefault="006E11F9" w:rsidP="009C6577">
      <w:pPr>
        <w:pStyle w:val="ListParagraph"/>
        <w:numPr>
          <w:ilvl w:val="0"/>
          <w:numId w:val="71"/>
        </w:numPr>
        <w:spacing w:before="120"/>
        <w:ind w:left="714" w:hanging="357"/>
        <w:contextualSpacing w:val="0"/>
        <w:jc w:val="both"/>
        <w:rPr>
          <w:rFonts w:ascii="Arial Narrow" w:hAnsi="Arial Narrow"/>
        </w:rPr>
      </w:pPr>
      <w:r w:rsidRPr="001B6455">
        <w:rPr>
          <w:rFonts w:ascii="Arial Narrow" w:hAnsi="Arial Narrow"/>
        </w:rPr>
        <w:t xml:space="preserve">Одобряване от Министерския съвет на проект на нов Закон за ветеринарномедицинската дейност и проект на нов Закон за съсловната организация на ветеринарните лекари </w:t>
      </w:r>
    </w:p>
    <w:p w14:paraId="147856AD" w14:textId="77777777" w:rsidR="006E11F9" w:rsidRDefault="006E11F9" w:rsidP="009C6577">
      <w:pPr>
        <w:numPr>
          <w:ilvl w:val="0"/>
          <w:numId w:val="71"/>
        </w:numPr>
        <w:spacing w:before="120"/>
        <w:ind w:left="714" w:hanging="357"/>
        <w:jc w:val="both"/>
        <w:rPr>
          <w:rFonts w:ascii="Arial Narrow" w:hAnsi="Arial Narrow"/>
        </w:rPr>
      </w:pPr>
      <w:r w:rsidRPr="001B6455">
        <w:rPr>
          <w:rFonts w:ascii="Arial Narrow" w:hAnsi="Arial Narrow"/>
        </w:rPr>
        <w:t xml:space="preserve">Подобряване на контрола при употребата на ветеринарни лекарствени продукти </w:t>
      </w:r>
    </w:p>
    <w:p w14:paraId="67A1EB22" w14:textId="77777777" w:rsidR="006E11F9" w:rsidRPr="001B6455" w:rsidRDefault="006E11F9" w:rsidP="009C6577">
      <w:pPr>
        <w:pStyle w:val="ListParagraph"/>
        <w:numPr>
          <w:ilvl w:val="0"/>
          <w:numId w:val="71"/>
        </w:numPr>
        <w:spacing w:before="120"/>
        <w:contextualSpacing w:val="0"/>
        <w:jc w:val="both"/>
        <w:rPr>
          <w:rFonts w:ascii="Arial Narrow" w:hAnsi="Arial Narrow"/>
        </w:rPr>
      </w:pPr>
      <w:r w:rsidRPr="001B6455">
        <w:rPr>
          <w:rFonts w:ascii="Arial Narrow" w:hAnsi="Arial Narrow"/>
        </w:rPr>
        <w:t>Прилагане на високо ниво на контрол по отношение спазването на изискванията на законодателството и изпълнението на мерките</w:t>
      </w:r>
      <w:r>
        <w:rPr>
          <w:rFonts w:ascii="Arial Narrow" w:hAnsi="Arial Narrow"/>
        </w:rPr>
        <w:t>,</w:t>
      </w:r>
      <w:r w:rsidRPr="001B6455">
        <w:rPr>
          <w:rFonts w:ascii="Arial Narrow" w:hAnsi="Arial Narrow"/>
        </w:rPr>
        <w:t xml:space="preserve"> заложени в Националната програма за профилактика, контрол, надзор на болести по животните и зоонози за периода 2025-2027 г. и актуализиране на мерките при необходимост в съответствие с епизоотологичната обстановка и приложимото законодателство </w:t>
      </w:r>
    </w:p>
    <w:p w14:paraId="49C671B6" w14:textId="77777777" w:rsidR="006E11F9" w:rsidRPr="001B6455" w:rsidRDefault="006E11F9" w:rsidP="009C6577">
      <w:pPr>
        <w:pStyle w:val="ListParagraph"/>
        <w:numPr>
          <w:ilvl w:val="0"/>
          <w:numId w:val="71"/>
        </w:numPr>
        <w:spacing w:before="120"/>
        <w:contextualSpacing w:val="0"/>
        <w:jc w:val="both"/>
        <w:rPr>
          <w:rFonts w:ascii="Arial Narrow" w:hAnsi="Arial Narrow"/>
        </w:rPr>
      </w:pPr>
      <w:r w:rsidRPr="001B6455">
        <w:rPr>
          <w:rFonts w:ascii="Arial Narrow" w:hAnsi="Arial Narrow"/>
        </w:rPr>
        <w:t>Ограничаване употребата на продукти за растителна защита, които са тотални хербициди и продукти за растителна защита от първа професионална категория на употреба;</w:t>
      </w:r>
    </w:p>
    <w:p w14:paraId="5D051E58" w14:textId="77777777" w:rsidR="006E11F9" w:rsidRPr="001B6455" w:rsidRDefault="006E11F9" w:rsidP="009C6577">
      <w:pPr>
        <w:pStyle w:val="ListParagraph"/>
        <w:numPr>
          <w:ilvl w:val="0"/>
          <w:numId w:val="71"/>
        </w:numPr>
        <w:spacing w:before="120"/>
        <w:contextualSpacing w:val="0"/>
        <w:jc w:val="both"/>
        <w:rPr>
          <w:rFonts w:ascii="Arial Narrow" w:hAnsi="Arial Narrow"/>
        </w:rPr>
      </w:pPr>
      <w:r w:rsidRPr="001B6455">
        <w:rPr>
          <w:rFonts w:ascii="Arial Narrow" w:hAnsi="Arial Narrow"/>
        </w:rPr>
        <w:t>Контрол на изпълнението на заложените в ревизирания Национален план за действие на Р</w:t>
      </w:r>
      <w:r>
        <w:rPr>
          <w:rFonts w:ascii="Arial Narrow" w:hAnsi="Arial Narrow"/>
        </w:rPr>
        <w:t>епублика</w:t>
      </w:r>
      <w:r w:rsidRPr="001B6455">
        <w:rPr>
          <w:rFonts w:ascii="Arial Narrow" w:hAnsi="Arial Narrow"/>
        </w:rPr>
        <w:t xml:space="preserve"> България за устойчива употреба на пестициди цели за намаляване на рисковете и въздействието от употребата на пестициди</w:t>
      </w:r>
    </w:p>
    <w:p w14:paraId="2869FDE5" w14:textId="77777777" w:rsidR="006E11F9" w:rsidRPr="001B6455" w:rsidRDefault="006E11F9" w:rsidP="009C6577">
      <w:pPr>
        <w:pStyle w:val="ListParagraph"/>
        <w:numPr>
          <w:ilvl w:val="0"/>
          <w:numId w:val="71"/>
        </w:numPr>
        <w:spacing w:before="120"/>
        <w:contextualSpacing w:val="0"/>
        <w:jc w:val="both"/>
        <w:rPr>
          <w:rFonts w:ascii="Arial Narrow" w:hAnsi="Arial Narrow"/>
        </w:rPr>
      </w:pPr>
      <w:r w:rsidRPr="001B6455">
        <w:rPr>
          <w:rFonts w:ascii="Arial Narrow" w:hAnsi="Arial Narrow"/>
        </w:rPr>
        <w:t>Контрол на максимално допустимите граници на остатъчни вещества от пестициди в крайните растителни продукти</w:t>
      </w:r>
    </w:p>
    <w:p w14:paraId="053E1190" w14:textId="77777777" w:rsidR="006E11F9" w:rsidRPr="001B6455" w:rsidRDefault="006E11F9" w:rsidP="009C6577">
      <w:pPr>
        <w:numPr>
          <w:ilvl w:val="0"/>
          <w:numId w:val="71"/>
        </w:numPr>
        <w:spacing w:before="120"/>
        <w:jc w:val="both"/>
        <w:rPr>
          <w:rFonts w:ascii="Arial Narrow" w:hAnsi="Arial Narrow"/>
        </w:rPr>
      </w:pPr>
      <w:r w:rsidRPr="001B6455">
        <w:rPr>
          <w:rFonts w:ascii="Arial Narrow" w:hAnsi="Arial Narrow"/>
        </w:rPr>
        <w:t xml:space="preserve">Популяризиране прилагането на добрите практики за биосигурност във фамилните и малки животновъдни ферми и на добри практики сред производители и потребители на храни с цел предотвратяване на загубите на храни </w:t>
      </w:r>
    </w:p>
    <w:p w14:paraId="39346CD9" w14:textId="77777777" w:rsidR="006E11F9" w:rsidRDefault="006E11F9" w:rsidP="009C6577">
      <w:pPr>
        <w:numPr>
          <w:ilvl w:val="0"/>
          <w:numId w:val="71"/>
        </w:numPr>
        <w:spacing w:before="120"/>
        <w:jc w:val="both"/>
        <w:rPr>
          <w:rFonts w:ascii="Arial Narrow" w:hAnsi="Arial Narrow"/>
        </w:rPr>
      </w:pPr>
      <w:r w:rsidRPr="001B6455">
        <w:rPr>
          <w:rFonts w:ascii="Arial Narrow" w:hAnsi="Arial Narrow"/>
        </w:rPr>
        <w:t xml:space="preserve">Модернизиране </w:t>
      </w:r>
      <w:r>
        <w:rPr>
          <w:rFonts w:ascii="Arial Narrow" w:hAnsi="Arial Narrow"/>
        </w:rPr>
        <w:t xml:space="preserve">на </w:t>
      </w:r>
      <w:r w:rsidRPr="001B6455">
        <w:rPr>
          <w:rFonts w:ascii="Arial Narrow" w:hAnsi="Arial Narrow"/>
        </w:rPr>
        <w:t xml:space="preserve">системата за идентификация на животните и регистрация на животновъдните обекти </w:t>
      </w:r>
    </w:p>
    <w:p w14:paraId="2B4088C4" w14:textId="77777777" w:rsidR="006E11F9" w:rsidRPr="001B6455" w:rsidRDefault="006E11F9" w:rsidP="009C6577">
      <w:pPr>
        <w:numPr>
          <w:ilvl w:val="0"/>
          <w:numId w:val="71"/>
        </w:numPr>
        <w:spacing w:before="120"/>
        <w:jc w:val="both"/>
        <w:rPr>
          <w:rFonts w:ascii="Arial Narrow" w:hAnsi="Arial Narrow"/>
        </w:rPr>
      </w:pPr>
      <w:r w:rsidRPr="001B6455">
        <w:rPr>
          <w:rFonts w:ascii="Arial Narrow" w:hAnsi="Arial Narrow"/>
        </w:rPr>
        <w:t>Реализиране на последователна политика за сътрудничество с браншовите организации в хранително-вкусовия сектор за разработване на стандарти, които целят повишаване на качеството</w:t>
      </w:r>
      <w:r>
        <w:rPr>
          <w:rFonts w:ascii="Arial Narrow" w:hAnsi="Arial Narrow"/>
        </w:rPr>
        <w:t xml:space="preserve"> на основни хранителни продукти</w:t>
      </w:r>
    </w:p>
    <w:p w14:paraId="65CB8910" w14:textId="77777777" w:rsidR="006E11F9" w:rsidRPr="00A466CD" w:rsidRDefault="006E11F9" w:rsidP="009C6577">
      <w:pPr>
        <w:numPr>
          <w:ilvl w:val="0"/>
          <w:numId w:val="71"/>
        </w:numPr>
        <w:spacing w:before="120"/>
        <w:ind w:left="714" w:hanging="357"/>
        <w:jc w:val="both"/>
        <w:rPr>
          <w:rFonts w:ascii="Arial Narrow" w:hAnsi="Arial Narrow"/>
        </w:rPr>
      </w:pPr>
      <w:r w:rsidRPr="001B6455">
        <w:rPr>
          <w:rFonts w:ascii="Arial Narrow" w:hAnsi="Arial Narrow"/>
        </w:rPr>
        <w:t>Финализиране изпълнението на Националната програма за предотвратяване и намаляване на загубат</w:t>
      </w:r>
      <w:r>
        <w:rPr>
          <w:rFonts w:ascii="Arial Narrow" w:hAnsi="Arial Narrow"/>
        </w:rPr>
        <w:t>а на храни (2021 г.-2026 г.)</w:t>
      </w:r>
    </w:p>
    <w:p w14:paraId="4C561E0D" w14:textId="77777777" w:rsidR="006E11F9" w:rsidRPr="001B6455" w:rsidRDefault="006E11F9" w:rsidP="00256728">
      <w:pPr>
        <w:spacing w:before="120" w:after="120"/>
        <w:jc w:val="both"/>
        <w:rPr>
          <w:rFonts w:ascii="Arial Narrow" w:hAnsi="Arial Narrow"/>
          <w:b/>
          <w:bCs/>
        </w:rPr>
      </w:pPr>
      <w:r w:rsidRPr="00417913">
        <w:rPr>
          <w:rFonts w:ascii="Arial Narrow" w:hAnsi="Arial Narrow"/>
          <w:b/>
          <w:bCs/>
        </w:rPr>
        <w:t>ЦЕЛ 12: ПОВИШАВАНЕ НА ЕФЕКТИВНОСТТА В ДЕЙНОСТТА НА ПУБЛИЧНИТЕ ПРЕДПРИЯТИЯ В ОТРАСЪЛА</w:t>
      </w:r>
    </w:p>
    <w:p w14:paraId="1ECBC080" w14:textId="77777777" w:rsidR="006E11F9" w:rsidRPr="001B6455" w:rsidRDefault="006E11F9" w:rsidP="006E11F9">
      <w:pPr>
        <w:spacing w:before="120" w:after="120"/>
        <w:jc w:val="both"/>
        <w:rPr>
          <w:rFonts w:ascii="Arial Narrow" w:hAnsi="Arial Narrow"/>
          <w:b/>
          <w:bCs/>
        </w:rPr>
      </w:pPr>
      <w:r w:rsidRPr="00417913">
        <w:rPr>
          <w:rFonts w:ascii="Arial Narrow" w:hAnsi="Arial Narrow"/>
          <w:b/>
          <w:bCs/>
        </w:rPr>
        <w:t>МЕРКИ:</w:t>
      </w:r>
    </w:p>
    <w:p w14:paraId="09A4B7EF" w14:textId="77777777" w:rsidR="006E11F9" w:rsidRPr="001B6455" w:rsidRDefault="006E11F9" w:rsidP="009C6577">
      <w:pPr>
        <w:numPr>
          <w:ilvl w:val="0"/>
          <w:numId w:val="72"/>
        </w:numPr>
        <w:spacing w:before="120" w:after="120"/>
        <w:jc w:val="both"/>
        <w:rPr>
          <w:rFonts w:ascii="Arial Narrow" w:hAnsi="Arial Narrow"/>
        </w:rPr>
      </w:pPr>
      <w:r w:rsidRPr="001B6455">
        <w:rPr>
          <w:rFonts w:ascii="Arial Narrow" w:hAnsi="Arial Narrow"/>
        </w:rPr>
        <w:lastRenderedPageBreak/>
        <w:t>Ефективно управление на едноличните търговски дружества в отрасъла и предприемане на действия за преструктурирането им</w:t>
      </w:r>
    </w:p>
    <w:p w14:paraId="0F30FF9A" w14:textId="77777777" w:rsidR="006E11F9" w:rsidRPr="001B6455" w:rsidRDefault="006E11F9" w:rsidP="00256728">
      <w:pPr>
        <w:spacing w:before="120" w:after="120"/>
        <w:jc w:val="both"/>
        <w:rPr>
          <w:rFonts w:ascii="Arial Narrow" w:hAnsi="Arial Narrow"/>
          <w:b/>
          <w:bCs/>
        </w:rPr>
      </w:pPr>
      <w:r w:rsidRPr="001B6455">
        <w:rPr>
          <w:rFonts w:ascii="Arial Narrow" w:hAnsi="Arial Narrow"/>
          <w:b/>
          <w:bCs/>
        </w:rPr>
        <w:t>ЦЕЛ 13: СЪЗДАВАНЕ НА ДОБРА БИЗНЕС СРЕДА ЗА РАЗВИТИЕ НА АГРАРНИЯ ОТРАСЪЛ И ПОДОБРЯВАНЕ НА АДМИНИСТРАТИВНИТЕ УСЛУГИ</w:t>
      </w:r>
    </w:p>
    <w:p w14:paraId="65CA7E20" w14:textId="77777777" w:rsidR="006E11F9" w:rsidRPr="001B6455" w:rsidRDefault="006E11F9" w:rsidP="006E11F9">
      <w:pPr>
        <w:spacing w:before="120" w:after="120"/>
        <w:jc w:val="both"/>
        <w:rPr>
          <w:rFonts w:ascii="Arial Narrow" w:hAnsi="Arial Narrow"/>
          <w:b/>
          <w:bCs/>
        </w:rPr>
      </w:pPr>
      <w:r w:rsidRPr="001B6455">
        <w:rPr>
          <w:rFonts w:ascii="Arial Narrow" w:hAnsi="Arial Narrow"/>
          <w:b/>
          <w:bCs/>
        </w:rPr>
        <w:t>МЕРКИ:</w:t>
      </w:r>
    </w:p>
    <w:p w14:paraId="245580E5" w14:textId="77777777" w:rsidR="006E11F9" w:rsidRPr="001B6455" w:rsidRDefault="006E11F9" w:rsidP="009C6577">
      <w:pPr>
        <w:numPr>
          <w:ilvl w:val="0"/>
          <w:numId w:val="73"/>
        </w:numPr>
        <w:spacing w:before="120" w:after="120"/>
        <w:jc w:val="both"/>
        <w:rPr>
          <w:rFonts w:ascii="Arial Narrow" w:hAnsi="Arial Narrow"/>
        </w:rPr>
      </w:pPr>
      <w:r w:rsidRPr="001B6455">
        <w:rPr>
          <w:rFonts w:ascii="Arial Narrow" w:hAnsi="Arial Narrow"/>
        </w:rPr>
        <w:t xml:space="preserve">Създаване и въвеждане на единна административна система за управление на земите с променено предназначение </w:t>
      </w:r>
    </w:p>
    <w:p w14:paraId="7F3EA0E9" w14:textId="77777777" w:rsidR="006E11F9" w:rsidRPr="001B6455" w:rsidRDefault="006E11F9" w:rsidP="009C6577">
      <w:pPr>
        <w:numPr>
          <w:ilvl w:val="0"/>
          <w:numId w:val="73"/>
        </w:numPr>
        <w:spacing w:before="120" w:after="120"/>
        <w:jc w:val="both"/>
        <w:rPr>
          <w:rFonts w:ascii="Arial Narrow" w:hAnsi="Arial Narrow"/>
        </w:rPr>
      </w:pPr>
      <w:r w:rsidRPr="001B6455">
        <w:rPr>
          <w:rFonts w:ascii="Arial Narrow" w:hAnsi="Arial Narrow"/>
        </w:rPr>
        <w:t xml:space="preserve">Въвеждане в експлоатация на Електронна информационна система в земеделието по инвестиция „Дигитализация на процесите от фермата до трапезата“ от Националния план за възстановяване и устойчивост </w:t>
      </w:r>
    </w:p>
    <w:p w14:paraId="20B0150A" w14:textId="77777777" w:rsidR="006E11F9" w:rsidRPr="007D2AED" w:rsidRDefault="006E11F9" w:rsidP="007D2AED">
      <w:pPr>
        <w:numPr>
          <w:ilvl w:val="0"/>
          <w:numId w:val="73"/>
        </w:numPr>
        <w:spacing w:before="120" w:after="120"/>
        <w:jc w:val="both"/>
        <w:rPr>
          <w:rFonts w:ascii="Arial Narrow" w:hAnsi="Arial Narrow"/>
        </w:rPr>
      </w:pPr>
      <w:r w:rsidRPr="001B6455">
        <w:rPr>
          <w:rFonts w:ascii="Arial Narrow" w:hAnsi="Arial Narrow"/>
        </w:rPr>
        <w:t xml:space="preserve">Разширяване на електронните административни услуги </w:t>
      </w:r>
    </w:p>
    <w:p w14:paraId="1E23E6FE" w14:textId="77777777" w:rsidR="006E11F9" w:rsidRPr="001B6455" w:rsidRDefault="006E11F9" w:rsidP="007D2AED">
      <w:pPr>
        <w:numPr>
          <w:ilvl w:val="0"/>
          <w:numId w:val="73"/>
        </w:numPr>
        <w:spacing w:before="120" w:after="120"/>
        <w:jc w:val="both"/>
        <w:rPr>
          <w:rFonts w:ascii="Arial Narrow" w:hAnsi="Arial Narrow"/>
        </w:rPr>
      </w:pPr>
      <w:r w:rsidRPr="001B6455">
        <w:rPr>
          <w:rFonts w:ascii="Arial Narrow" w:hAnsi="Arial Narrow"/>
        </w:rPr>
        <w:t>Развитие на Интегрираната информационна система на БАБХ – ВетИС с цел повишаване информираността на стопаните и улесняване на тяхната дейност, подпомагане на ветеринарните лекари при изпълнение на Националната програма за профилактика, контрол и ликвидиране на болестите по животните и зоонозите и отразяване на резултатите от тяхната практика</w:t>
      </w:r>
    </w:p>
    <w:p w14:paraId="62616740" w14:textId="77777777" w:rsidR="006E11F9" w:rsidRPr="001B6455" w:rsidRDefault="006E11F9" w:rsidP="006E11F9">
      <w:pPr>
        <w:snapToGrid w:val="0"/>
        <w:spacing w:after="120"/>
        <w:ind w:left="720"/>
        <w:jc w:val="both"/>
        <w:rPr>
          <w:rFonts w:ascii="Arial Narrow" w:hAnsi="Arial Narrow"/>
          <w:lang w:eastAsia="bg-BG"/>
        </w:rPr>
      </w:pPr>
    </w:p>
    <w:p w14:paraId="4DC2FF4E" w14:textId="77777777" w:rsidR="006E11F9" w:rsidRPr="001B6455" w:rsidRDefault="006E11F9" w:rsidP="00256728">
      <w:pPr>
        <w:spacing w:before="120" w:after="120"/>
        <w:jc w:val="both"/>
        <w:rPr>
          <w:rFonts w:ascii="Arial Narrow" w:hAnsi="Arial Narrow"/>
          <w:b/>
          <w:bCs/>
        </w:rPr>
      </w:pPr>
      <w:r w:rsidRPr="00417913">
        <w:rPr>
          <w:rFonts w:ascii="Arial Narrow" w:hAnsi="Arial Narrow"/>
          <w:b/>
          <w:bCs/>
        </w:rPr>
        <w:t>ПРИОРИТЕТ 2: МОБИЛИЗИРАНЕ НА ПОТЕНЦИАЛА НА СЕЛСКИТЕ РАЙОНИ ЗА ПОСТИГАНЕ НА БАЛАНСИРАНО СОЦИАЛНО И ТЕРИТОРИАЛНО РАЗВИТИЕ</w:t>
      </w:r>
    </w:p>
    <w:p w14:paraId="4CC9333E" w14:textId="77777777" w:rsidR="006E11F9" w:rsidRPr="001B6455" w:rsidRDefault="006E11F9" w:rsidP="00256728">
      <w:pPr>
        <w:spacing w:before="120" w:after="120"/>
        <w:jc w:val="both"/>
        <w:rPr>
          <w:rFonts w:ascii="Arial Narrow" w:hAnsi="Arial Narrow"/>
          <w:b/>
          <w:bCs/>
        </w:rPr>
      </w:pPr>
      <w:r w:rsidRPr="00417913">
        <w:rPr>
          <w:rFonts w:ascii="Arial Narrow" w:hAnsi="Arial Narrow"/>
          <w:b/>
          <w:bCs/>
        </w:rPr>
        <w:t>ЦЕЛ</w:t>
      </w:r>
      <w:r>
        <w:rPr>
          <w:rFonts w:ascii="Arial Narrow" w:hAnsi="Arial Narrow"/>
          <w:b/>
          <w:bCs/>
        </w:rPr>
        <w:t xml:space="preserve"> 1</w:t>
      </w:r>
      <w:r w:rsidRPr="00417913">
        <w:rPr>
          <w:rFonts w:ascii="Arial Narrow" w:hAnsi="Arial Narrow"/>
          <w:b/>
          <w:bCs/>
        </w:rPr>
        <w:t>: ДИВЕРСИФИКАЦИЯ НА ИКОНОМИКАТА НА СЕЛСКИТЕ РАЙОНИ И ПОВИШАВАНЕ НА ЗАЕТОСТТА НА МЕСТНОТО НАСЕЛЕНИЕ</w:t>
      </w:r>
    </w:p>
    <w:p w14:paraId="5DBFBE8B" w14:textId="77777777" w:rsidR="006E11F9" w:rsidRPr="001B6455" w:rsidRDefault="006E11F9" w:rsidP="006E11F9">
      <w:pPr>
        <w:spacing w:before="120" w:after="120"/>
        <w:jc w:val="both"/>
        <w:rPr>
          <w:rFonts w:ascii="Arial Narrow" w:hAnsi="Arial Narrow"/>
          <w:b/>
          <w:bCs/>
        </w:rPr>
      </w:pPr>
      <w:r w:rsidRPr="001B6455">
        <w:rPr>
          <w:rFonts w:ascii="Arial Narrow" w:hAnsi="Arial Narrow"/>
          <w:b/>
          <w:bCs/>
        </w:rPr>
        <w:t>МЕРКИ:</w:t>
      </w:r>
    </w:p>
    <w:p w14:paraId="1FFDBF5A" w14:textId="77777777" w:rsidR="006E11F9" w:rsidRPr="001B6455" w:rsidRDefault="006E11F9" w:rsidP="009C6577">
      <w:pPr>
        <w:pStyle w:val="ListParagraph"/>
        <w:widowControl w:val="0"/>
        <w:numPr>
          <w:ilvl w:val="0"/>
          <w:numId w:val="85"/>
        </w:numPr>
        <w:tabs>
          <w:tab w:val="left" w:pos="1134"/>
        </w:tabs>
        <w:snapToGrid w:val="0"/>
        <w:spacing w:before="120" w:after="120"/>
        <w:ind w:left="714" w:hanging="357"/>
        <w:contextualSpacing w:val="0"/>
        <w:jc w:val="both"/>
        <w:rPr>
          <w:rFonts w:ascii="Arial Narrow" w:hAnsi="Arial Narrow" w:cs="Arial"/>
          <w:lang w:eastAsia="bg-BG"/>
        </w:rPr>
      </w:pPr>
      <w:r w:rsidRPr="001B6455">
        <w:rPr>
          <w:rFonts w:ascii="Arial Narrow" w:hAnsi="Arial Narrow" w:cs="Arial"/>
          <w:lang w:eastAsia="bg-BG"/>
        </w:rPr>
        <w:t xml:space="preserve">Изпълнение на интегрирани многосекторни стратегии за местно развитие, основани на характеристиките на конкретната територия и разработени на основата на местните потребности и потенциал </w:t>
      </w:r>
    </w:p>
    <w:p w14:paraId="64A2A5E7" w14:textId="77777777" w:rsidR="006E11F9" w:rsidRPr="001B6455" w:rsidRDefault="006E11F9" w:rsidP="009C6577">
      <w:pPr>
        <w:numPr>
          <w:ilvl w:val="0"/>
          <w:numId w:val="74"/>
        </w:numPr>
        <w:spacing w:before="120" w:after="120"/>
        <w:jc w:val="both"/>
        <w:rPr>
          <w:rFonts w:ascii="Arial Narrow" w:hAnsi="Arial Narrow"/>
        </w:rPr>
      </w:pPr>
      <w:r w:rsidRPr="001B6455">
        <w:rPr>
          <w:rFonts w:ascii="Arial Narrow" w:hAnsi="Arial Narrow"/>
        </w:rPr>
        <w:t xml:space="preserve">Насърчаване на инвестициите в неземеделски дейности чрез подкрепа по </w:t>
      </w:r>
      <w:r w:rsidRPr="006404C0">
        <w:rPr>
          <w:rFonts w:ascii="Arial Narrow" w:hAnsi="Arial Narrow"/>
        </w:rPr>
        <w:t xml:space="preserve">СПРЗСР </w:t>
      </w:r>
    </w:p>
    <w:p w14:paraId="4EC37053" w14:textId="77777777" w:rsidR="006E11F9" w:rsidRPr="001B6455" w:rsidRDefault="006E11F9" w:rsidP="00256728">
      <w:pPr>
        <w:spacing w:before="120" w:after="120"/>
        <w:jc w:val="both"/>
        <w:rPr>
          <w:rFonts w:ascii="Arial Narrow" w:hAnsi="Arial Narrow"/>
          <w:b/>
          <w:bCs/>
        </w:rPr>
      </w:pPr>
      <w:r w:rsidRPr="00417913">
        <w:rPr>
          <w:rFonts w:ascii="Arial Narrow" w:hAnsi="Arial Narrow"/>
          <w:b/>
          <w:bCs/>
        </w:rPr>
        <w:t>ЦЕЛ 2: ПОДОБРЯВАНЕ КАЧЕСТВОТО НА ЖИВОТ В СЕЛСКИТЕ РАЙОНИ</w:t>
      </w:r>
    </w:p>
    <w:p w14:paraId="3AB8FF16" w14:textId="77777777" w:rsidR="006E11F9" w:rsidRPr="001B6455" w:rsidRDefault="006E11F9" w:rsidP="006E11F9">
      <w:pPr>
        <w:spacing w:before="120" w:after="120"/>
        <w:jc w:val="both"/>
        <w:rPr>
          <w:rFonts w:ascii="Arial Narrow" w:hAnsi="Arial Narrow"/>
          <w:b/>
        </w:rPr>
      </w:pPr>
      <w:r w:rsidRPr="00417913">
        <w:rPr>
          <w:rFonts w:ascii="Arial Narrow" w:hAnsi="Arial Narrow"/>
          <w:b/>
          <w:bCs/>
        </w:rPr>
        <w:t>МЕРКИ:</w:t>
      </w:r>
    </w:p>
    <w:p w14:paraId="661ECE26" w14:textId="77777777" w:rsidR="006E11F9" w:rsidRPr="001B6455" w:rsidRDefault="006E11F9" w:rsidP="009C6577">
      <w:pPr>
        <w:numPr>
          <w:ilvl w:val="0"/>
          <w:numId w:val="75"/>
        </w:numPr>
        <w:spacing w:before="120" w:after="120"/>
        <w:jc w:val="both"/>
        <w:rPr>
          <w:rFonts w:ascii="Arial Narrow" w:hAnsi="Arial Narrow"/>
        </w:rPr>
      </w:pPr>
      <w:r w:rsidRPr="001B6455">
        <w:rPr>
          <w:rFonts w:ascii="Arial Narrow" w:hAnsi="Arial Narrow"/>
        </w:rPr>
        <w:t>Реализиране на инвестиции по СПРЗСР за изграждане и/или реконструкция на техническа инфраструктура, общинска пътна и улична мрежа, реконструкция и модернизация на водопроводната мрежа и к</w:t>
      </w:r>
      <w:r>
        <w:rPr>
          <w:rFonts w:ascii="Arial Narrow" w:hAnsi="Arial Narrow"/>
        </w:rPr>
        <w:t>анализационна система</w:t>
      </w:r>
    </w:p>
    <w:p w14:paraId="46D77BDE" w14:textId="77777777" w:rsidR="006E11F9" w:rsidRPr="001B6455" w:rsidRDefault="006E11F9" w:rsidP="009C6577">
      <w:pPr>
        <w:numPr>
          <w:ilvl w:val="0"/>
          <w:numId w:val="75"/>
        </w:numPr>
        <w:spacing w:before="120" w:after="120"/>
        <w:jc w:val="both"/>
        <w:rPr>
          <w:rFonts w:ascii="Arial Narrow" w:hAnsi="Arial Narrow"/>
        </w:rPr>
      </w:pPr>
      <w:r w:rsidRPr="001B6455">
        <w:rPr>
          <w:rFonts w:ascii="Arial Narrow" w:hAnsi="Arial Narrow"/>
        </w:rPr>
        <w:t>Предоставяне на подкрепа за запазване на духовния и културния живот н</w:t>
      </w:r>
      <w:r>
        <w:rPr>
          <w:rFonts w:ascii="Arial Narrow" w:hAnsi="Arial Narrow"/>
        </w:rPr>
        <w:t>а населението в селските райони</w:t>
      </w:r>
    </w:p>
    <w:p w14:paraId="53B7DB59" w14:textId="77777777" w:rsidR="006E11F9" w:rsidRPr="001B6455" w:rsidRDefault="006E11F9" w:rsidP="00256728">
      <w:pPr>
        <w:spacing w:before="120" w:after="120"/>
        <w:jc w:val="both"/>
        <w:rPr>
          <w:rFonts w:ascii="Arial Narrow" w:hAnsi="Arial Narrow"/>
          <w:b/>
          <w:bCs/>
        </w:rPr>
      </w:pPr>
      <w:r w:rsidRPr="001B6455">
        <w:rPr>
          <w:rFonts w:ascii="Arial Narrow" w:hAnsi="Arial Narrow"/>
          <w:b/>
          <w:bCs/>
        </w:rPr>
        <w:t>ПРИОРИТЕТ 3: РАЗВИТИЕ НА УСТОЙЧИВ И ИКОНОМИЧЕСКИ ЖИЗНЕСПОСОБЕН СЕКТОР „РИБАРСТВО И АКВАКУЛТУРИ“</w:t>
      </w:r>
    </w:p>
    <w:p w14:paraId="4F66CE28" w14:textId="77777777" w:rsidR="006E11F9" w:rsidRPr="001B6455" w:rsidRDefault="006E11F9" w:rsidP="00256728">
      <w:pPr>
        <w:spacing w:before="120" w:after="120"/>
        <w:jc w:val="both"/>
        <w:rPr>
          <w:rFonts w:ascii="Arial Narrow" w:hAnsi="Arial Narrow"/>
          <w:b/>
          <w:bCs/>
        </w:rPr>
      </w:pPr>
      <w:r w:rsidRPr="001B6455">
        <w:rPr>
          <w:rFonts w:ascii="Arial Narrow" w:hAnsi="Arial Narrow"/>
          <w:b/>
          <w:bCs/>
        </w:rPr>
        <w:t>ЦЕЛ</w:t>
      </w:r>
      <w:r>
        <w:rPr>
          <w:rFonts w:ascii="Arial Narrow" w:hAnsi="Arial Narrow"/>
          <w:b/>
          <w:bCs/>
        </w:rPr>
        <w:t xml:space="preserve"> 1</w:t>
      </w:r>
      <w:r w:rsidRPr="001B6455">
        <w:rPr>
          <w:rFonts w:ascii="Arial Narrow" w:hAnsi="Arial Narrow"/>
          <w:b/>
          <w:bCs/>
        </w:rPr>
        <w:t>: ОПАЗВАНЕ И УПРАВЛЕНИЕ НА РИБНИТЕ РЕСУРСИ ВЪВ ВОДНИТЕ ЕКОСИСТЕМИ</w:t>
      </w:r>
    </w:p>
    <w:p w14:paraId="35FFB2CB" w14:textId="77777777" w:rsidR="006E11F9" w:rsidRPr="001B6455" w:rsidRDefault="006E11F9" w:rsidP="006E11F9">
      <w:pPr>
        <w:spacing w:before="120" w:after="120"/>
        <w:jc w:val="both"/>
        <w:rPr>
          <w:rFonts w:ascii="Arial Narrow" w:hAnsi="Arial Narrow"/>
          <w:b/>
          <w:bCs/>
        </w:rPr>
      </w:pPr>
      <w:r w:rsidRPr="001B6455">
        <w:rPr>
          <w:rFonts w:ascii="Arial Narrow" w:hAnsi="Arial Narrow"/>
          <w:b/>
          <w:bCs/>
        </w:rPr>
        <w:t>МЕРКИ:</w:t>
      </w:r>
    </w:p>
    <w:p w14:paraId="2D7ADC8E" w14:textId="77777777" w:rsidR="006E11F9" w:rsidRPr="001B6455" w:rsidRDefault="006E11F9" w:rsidP="009C6577">
      <w:pPr>
        <w:numPr>
          <w:ilvl w:val="0"/>
          <w:numId w:val="76"/>
        </w:numPr>
        <w:spacing w:before="120" w:after="120"/>
        <w:jc w:val="both"/>
        <w:rPr>
          <w:rFonts w:ascii="Arial Narrow" w:hAnsi="Arial Narrow"/>
        </w:rPr>
      </w:pPr>
      <w:r w:rsidRPr="001B6455">
        <w:rPr>
          <w:rFonts w:ascii="Arial Narrow" w:hAnsi="Arial Narrow"/>
        </w:rPr>
        <w:t xml:space="preserve">Въвеждане на мерки за опазване на рибните популации във водните обекти на територията на страната и за извършване на устойчив риболов </w:t>
      </w:r>
    </w:p>
    <w:p w14:paraId="5D6C0003" w14:textId="77777777" w:rsidR="006E11F9" w:rsidRPr="001B6455" w:rsidRDefault="006E11F9" w:rsidP="009C6577">
      <w:pPr>
        <w:numPr>
          <w:ilvl w:val="0"/>
          <w:numId w:val="76"/>
        </w:numPr>
        <w:spacing w:before="120" w:after="120"/>
        <w:jc w:val="both"/>
        <w:rPr>
          <w:rFonts w:ascii="Arial Narrow" w:hAnsi="Arial Narrow"/>
        </w:rPr>
      </w:pPr>
      <w:r w:rsidRPr="001B6455">
        <w:rPr>
          <w:rFonts w:ascii="Arial Narrow" w:hAnsi="Arial Narrow"/>
        </w:rPr>
        <w:t xml:space="preserve">Привеждане на националното законодателство в областта на рибарството в съответствие с последните изменения на системата за контрол в рибарството в ЕС </w:t>
      </w:r>
    </w:p>
    <w:p w14:paraId="1349576C" w14:textId="77777777" w:rsidR="006E11F9" w:rsidRPr="001B6455" w:rsidRDefault="006E11F9" w:rsidP="00256728">
      <w:pPr>
        <w:spacing w:before="120" w:after="120"/>
        <w:jc w:val="both"/>
        <w:rPr>
          <w:rFonts w:ascii="Arial Narrow" w:hAnsi="Arial Narrow"/>
          <w:b/>
          <w:bCs/>
        </w:rPr>
      </w:pPr>
      <w:r w:rsidRPr="001B6455">
        <w:rPr>
          <w:rFonts w:ascii="Arial Narrow" w:hAnsi="Arial Narrow"/>
          <w:b/>
          <w:bCs/>
        </w:rPr>
        <w:t>ЦЕЛ</w:t>
      </w:r>
      <w:r>
        <w:rPr>
          <w:rFonts w:ascii="Arial Narrow" w:hAnsi="Arial Narrow"/>
          <w:b/>
          <w:bCs/>
        </w:rPr>
        <w:t xml:space="preserve"> 2</w:t>
      </w:r>
      <w:r w:rsidRPr="001B6455">
        <w:rPr>
          <w:rFonts w:ascii="Arial Narrow" w:hAnsi="Arial Narrow"/>
          <w:b/>
          <w:bCs/>
        </w:rPr>
        <w:t>: ПОДОБРЯВАНЕ НА КОНКУРЕНТОСПОСОБНОСТТА И УСТОЙЧИВОСТТА НА СЕКТОРА НА РИБАРСТВОТО И АКВАКУЛТУРИТЕ</w:t>
      </w:r>
    </w:p>
    <w:p w14:paraId="7FAB8606" w14:textId="77777777" w:rsidR="006E11F9" w:rsidRPr="001B6455" w:rsidRDefault="006E11F9" w:rsidP="006E11F9">
      <w:pPr>
        <w:spacing w:before="120" w:after="120"/>
        <w:jc w:val="both"/>
        <w:rPr>
          <w:rFonts w:ascii="Arial Narrow" w:hAnsi="Arial Narrow"/>
          <w:b/>
          <w:bCs/>
        </w:rPr>
      </w:pPr>
      <w:r w:rsidRPr="001B6455">
        <w:rPr>
          <w:rFonts w:ascii="Arial Narrow" w:hAnsi="Arial Narrow"/>
          <w:b/>
          <w:bCs/>
        </w:rPr>
        <w:t>МЕРКИ:</w:t>
      </w:r>
    </w:p>
    <w:p w14:paraId="7241926E" w14:textId="77777777" w:rsidR="006E11F9" w:rsidRPr="001B6455" w:rsidRDefault="006E11F9" w:rsidP="009C6577">
      <w:pPr>
        <w:numPr>
          <w:ilvl w:val="0"/>
          <w:numId w:val="77"/>
        </w:numPr>
        <w:spacing w:before="120" w:after="120"/>
        <w:jc w:val="both"/>
        <w:rPr>
          <w:rFonts w:ascii="Arial Narrow" w:hAnsi="Arial Narrow"/>
        </w:rPr>
      </w:pPr>
      <w:r w:rsidRPr="001B6455">
        <w:rPr>
          <w:rFonts w:ascii="Arial Narrow" w:hAnsi="Arial Narrow"/>
        </w:rPr>
        <w:lastRenderedPageBreak/>
        <w:t xml:space="preserve">Модернизиране на риболовния флот </w:t>
      </w:r>
    </w:p>
    <w:p w14:paraId="589B88B6" w14:textId="77777777" w:rsidR="006E11F9" w:rsidRPr="001B6455" w:rsidRDefault="006E11F9" w:rsidP="009C6577">
      <w:pPr>
        <w:numPr>
          <w:ilvl w:val="0"/>
          <w:numId w:val="77"/>
        </w:numPr>
        <w:spacing w:before="120" w:after="120"/>
        <w:jc w:val="both"/>
        <w:rPr>
          <w:rFonts w:ascii="Arial Narrow" w:hAnsi="Arial Narrow"/>
        </w:rPr>
      </w:pPr>
      <w:r w:rsidRPr="001B6455">
        <w:rPr>
          <w:rFonts w:ascii="Arial Narrow" w:hAnsi="Arial Narrow"/>
        </w:rPr>
        <w:t xml:space="preserve">Насърчаване на инвестиционната активност и въвеждането на иновации в подсектор „Аквакултури“ </w:t>
      </w:r>
    </w:p>
    <w:p w14:paraId="61D8869B" w14:textId="77777777" w:rsidR="006E11F9" w:rsidRPr="001B6455" w:rsidRDefault="006E11F9" w:rsidP="009C6577">
      <w:pPr>
        <w:numPr>
          <w:ilvl w:val="0"/>
          <w:numId w:val="77"/>
        </w:numPr>
        <w:spacing w:before="120" w:after="120"/>
        <w:jc w:val="both"/>
        <w:rPr>
          <w:rFonts w:ascii="Arial Narrow" w:hAnsi="Arial Narrow"/>
        </w:rPr>
      </w:pPr>
      <w:r w:rsidRPr="001B6455">
        <w:rPr>
          <w:rFonts w:ascii="Arial Narrow" w:hAnsi="Arial Narrow"/>
        </w:rPr>
        <w:t xml:space="preserve">Стимулиране на модернизацията и въвеждането на иновации при преработката на продукти от риболов и аквакултури </w:t>
      </w:r>
    </w:p>
    <w:p w14:paraId="4AB0D601" w14:textId="77777777" w:rsidR="006E11F9" w:rsidRPr="001B6455" w:rsidRDefault="006E11F9" w:rsidP="009C6577">
      <w:pPr>
        <w:numPr>
          <w:ilvl w:val="0"/>
          <w:numId w:val="77"/>
        </w:numPr>
        <w:spacing w:before="120" w:after="120"/>
        <w:jc w:val="both"/>
        <w:rPr>
          <w:rFonts w:ascii="Arial Narrow" w:hAnsi="Arial Narrow"/>
        </w:rPr>
      </w:pPr>
      <w:r w:rsidRPr="001B6455">
        <w:rPr>
          <w:rFonts w:ascii="Arial Narrow" w:hAnsi="Arial Narrow"/>
        </w:rPr>
        <w:t>Осигуряване на безопасно, сигурно и устойчиво море чрез морско наблюдение и обмен на данни на европейско ниво</w:t>
      </w:r>
    </w:p>
    <w:p w14:paraId="7D0EBB34" w14:textId="77777777" w:rsidR="006E11F9" w:rsidRPr="001B6455" w:rsidRDefault="006E11F9" w:rsidP="009C6577">
      <w:pPr>
        <w:numPr>
          <w:ilvl w:val="0"/>
          <w:numId w:val="77"/>
        </w:numPr>
        <w:spacing w:before="120" w:after="120"/>
        <w:jc w:val="both"/>
        <w:rPr>
          <w:rFonts w:ascii="Arial Narrow" w:hAnsi="Arial Narrow"/>
        </w:rPr>
      </w:pPr>
      <w:r w:rsidRPr="001B6455">
        <w:rPr>
          <w:rFonts w:ascii="Arial Narrow" w:hAnsi="Arial Narrow"/>
        </w:rPr>
        <w:t xml:space="preserve">Борба с незаконния, недеклариран и нерегулиран риболов </w:t>
      </w:r>
    </w:p>
    <w:p w14:paraId="3930A7BC" w14:textId="77777777" w:rsidR="006E11F9" w:rsidRPr="00256728" w:rsidRDefault="006E11F9" w:rsidP="00256728">
      <w:pPr>
        <w:numPr>
          <w:ilvl w:val="0"/>
          <w:numId w:val="77"/>
        </w:numPr>
        <w:spacing w:before="120" w:after="120"/>
        <w:jc w:val="both"/>
        <w:rPr>
          <w:rFonts w:ascii="Arial Narrow" w:hAnsi="Arial Narrow"/>
        </w:rPr>
      </w:pPr>
      <w:r w:rsidRPr="001B6455">
        <w:rPr>
          <w:rFonts w:ascii="Arial Narrow" w:hAnsi="Arial Narrow"/>
        </w:rPr>
        <w:t xml:space="preserve">Насърчаване участието на местните общности в устойчивото развитие на крайбрежните и вътрешните рибарски райони </w:t>
      </w:r>
    </w:p>
    <w:p w14:paraId="1A9FBC3A" w14:textId="77777777" w:rsidR="006E11F9" w:rsidRPr="001B6455" w:rsidRDefault="006E11F9" w:rsidP="00256728">
      <w:pPr>
        <w:spacing w:before="120" w:after="120"/>
        <w:jc w:val="both"/>
        <w:rPr>
          <w:rFonts w:ascii="Arial Narrow" w:hAnsi="Arial Narrow"/>
          <w:b/>
          <w:bCs/>
        </w:rPr>
      </w:pPr>
      <w:r w:rsidRPr="001B6455">
        <w:rPr>
          <w:rFonts w:ascii="Arial Narrow" w:hAnsi="Arial Narrow"/>
          <w:b/>
          <w:bCs/>
        </w:rPr>
        <w:t>ПРИОРИТЕТ 4: РАЗВИТИЕ НА УСТОЙЧИВ И ЖИЗНЕСПОСОБЕН ГОРСКИ СЕКТОР</w:t>
      </w:r>
    </w:p>
    <w:p w14:paraId="7D04CA3E" w14:textId="77777777" w:rsidR="006E11F9" w:rsidRPr="001B6455" w:rsidRDefault="006E11F9" w:rsidP="00256728">
      <w:pPr>
        <w:spacing w:before="120" w:after="120"/>
        <w:jc w:val="both"/>
        <w:rPr>
          <w:rFonts w:ascii="Arial Narrow" w:hAnsi="Arial Narrow"/>
          <w:b/>
          <w:bCs/>
        </w:rPr>
      </w:pPr>
      <w:r w:rsidRPr="001B6455">
        <w:rPr>
          <w:rFonts w:ascii="Arial Narrow" w:hAnsi="Arial Narrow"/>
          <w:b/>
          <w:bCs/>
        </w:rPr>
        <w:t>ЦЕЛ</w:t>
      </w:r>
      <w:r>
        <w:rPr>
          <w:rFonts w:ascii="Arial Narrow" w:hAnsi="Arial Narrow"/>
          <w:b/>
          <w:bCs/>
        </w:rPr>
        <w:t xml:space="preserve"> 1</w:t>
      </w:r>
      <w:r w:rsidRPr="001B6455">
        <w:rPr>
          <w:rFonts w:ascii="Arial Narrow" w:hAnsi="Arial Narrow"/>
          <w:b/>
          <w:bCs/>
        </w:rPr>
        <w:t>: УСТОЙЧИВО СТОПАНИСВАНЕ НА ГОРИТЕ,</w:t>
      </w:r>
      <w:r w:rsidRPr="00256728">
        <w:rPr>
          <w:rFonts w:ascii="Arial Narrow" w:hAnsi="Arial Narrow"/>
          <w:b/>
          <w:bCs/>
        </w:rPr>
        <w:t xml:space="preserve"> ЗАПАЗВАНЕ И УВЕЛИЧАВАНЕ НА БИОЛОГИЧНОТО РАЗНООБРАЗИЕ И ПРИНОС КЪМ СМЕКЧАВАНЕ НА КЛИМАТИЧНИТЕ ПРОМЕНИ</w:t>
      </w:r>
    </w:p>
    <w:p w14:paraId="3BCFB02C" w14:textId="77777777" w:rsidR="006E11F9" w:rsidRPr="001B6455" w:rsidRDefault="006E11F9" w:rsidP="006E11F9">
      <w:pPr>
        <w:spacing w:before="120" w:after="120"/>
        <w:jc w:val="both"/>
        <w:rPr>
          <w:rFonts w:ascii="Arial Narrow" w:hAnsi="Arial Narrow"/>
          <w:b/>
          <w:bCs/>
        </w:rPr>
      </w:pPr>
      <w:r w:rsidRPr="001B6455">
        <w:rPr>
          <w:rFonts w:ascii="Arial Narrow" w:hAnsi="Arial Narrow"/>
          <w:b/>
          <w:bCs/>
        </w:rPr>
        <w:t>МЕРКИ:</w:t>
      </w:r>
    </w:p>
    <w:p w14:paraId="29A6675F" w14:textId="77777777" w:rsidR="006E11F9" w:rsidRPr="001B6455" w:rsidRDefault="006E11F9" w:rsidP="009C6577">
      <w:pPr>
        <w:numPr>
          <w:ilvl w:val="0"/>
          <w:numId w:val="79"/>
        </w:numPr>
        <w:spacing w:before="120" w:after="120"/>
        <w:jc w:val="both"/>
        <w:rPr>
          <w:rFonts w:ascii="Arial Narrow" w:hAnsi="Arial Narrow"/>
        </w:rPr>
      </w:pPr>
      <w:r w:rsidRPr="001B6455">
        <w:rPr>
          <w:rFonts w:ascii="Arial Narrow" w:hAnsi="Arial Narrow"/>
        </w:rPr>
        <w:t xml:space="preserve">Одобряване от Министерския съвет на „Национална стратегия за развитие на горския сектор в Република България за периода до 2030 г.“ </w:t>
      </w:r>
    </w:p>
    <w:p w14:paraId="6FD863C0" w14:textId="77777777" w:rsidR="006E11F9" w:rsidRPr="001B6455" w:rsidRDefault="006E11F9" w:rsidP="009C6577">
      <w:pPr>
        <w:numPr>
          <w:ilvl w:val="0"/>
          <w:numId w:val="80"/>
        </w:numPr>
        <w:spacing w:before="120" w:after="120"/>
        <w:jc w:val="both"/>
        <w:rPr>
          <w:rFonts w:ascii="Arial Narrow" w:hAnsi="Arial Narrow"/>
        </w:rPr>
      </w:pPr>
      <w:r w:rsidRPr="001B6455">
        <w:rPr>
          <w:rFonts w:ascii="Arial Narrow" w:hAnsi="Arial Narrow"/>
        </w:rPr>
        <w:t>Повишаване на капацитета на държавните горски предприятия за борба с горските пожари</w:t>
      </w:r>
    </w:p>
    <w:p w14:paraId="5B77BE73" w14:textId="77777777" w:rsidR="006E11F9" w:rsidRPr="001B6455" w:rsidRDefault="006E11F9" w:rsidP="009C6577">
      <w:pPr>
        <w:numPr>
          <w:ilvl w:val="0"/>
          <w:numId w:val="80"/>
        </w:numPr>
        <w:spacing w:before="120" w:after="120"/>
        <w:jc w:val="both"/>
        <w:rPr>
          <w:rFonts w:ascii="Arial Narrow" w:hAnsi="Arial Narrow"/>
        </w:rPr>
      </w:pPr>
      <w:r w:rsidRPr="001B6455">
        <w:rPr>
          <w:rFonts w:ascii="Arial Narrow" w:hAnsi="Arial Narrow"/>
        </w:rPr>
        <w:t xml:space="preserve">Осигуряване на подкрепа за намаляване загубата на биологично разнообразие, опазване на горските местообитания и намаляване на незаконните дейности в горските територии, за предотвратяване на щети от горски пожари, природни бедствия и катастрофични събития, и за залесяване и възстановяване по СПРЗСР </w:t>
      </w:r>
    </w:p>
    <w:p w14:paraId="1BD22BCE" w14:textId="77777777" w:rsidR="006E11F9" w:rsidRPr="00256728" w:rsidRDefault="006E11F9" w:rsidP="00256728">
      <w:pPr>
        <w:numPr>
          <w:ilvl w:val="0"/>
          <w:numId w:val="80"/>
        </w:numPr>
        <w:spacing w:before="120" w:after="120"/>
        <w:jc w:val="both"/>
        <w:rPr>
          <w:rFonts w:ascii="Arial Narrow" w:hAnsi="Arial Narrow"/>
        </w:rPr>
      </w:pPr>
      <w:r w:rsidRPr="001B6455">
        <w:rPr>
          <w:rFonts w:ascii="Arial Narrow" w:hAnsi="Arial Narrow"/>
        </w:rPr>
        <w:t xml:space="preserve">Осигуряване на подкрепа за изпълнение на екологични дейности за горите в Натура 2000, поддръжка на новосъздадени и възстановени гори, подобряване здравословното състояние и устойчивостта на горските екосистеми, първична преработка на дървесина и поддържане и подобряване на биоразнообразието в горски екосистеми по СПРЗСР </w:t>
      </w:r>
    </w:p>
    <w:p w14:paraId="68E73222" w14:textId="77777777" w:rsidR="006E11F9" w:rsidRPr="001B6455" w:rsidRDefault="006E11F9" w:rsidP="00256728">
      <w:pPr>
        <w:spacing w:before="120" w:after="120"/>
        <w:jc w:val="both"/>
        <w:rPr>
          <w:rFonts w:ascii="Arial Narrow" w:hAnsi="Arial Narrow"/>
          <w:b/>
          <w:bCs/>
        </w:rPr>
      </w:pPr>
      <w:r w:rsidRPr="001B6455">
        <w:rPr>
          <w:rFonts w:ascii="Arial Narrow" w:hAnsi="Arial Narrow"/>
          <w:b/>
          <w:bCs/>
        </w:rPr>
        <w:t>ЦЕЛ</w:t>
      </w:r>
      <w:r>
        <w:rPr>
          <w:rFonts w:ascii="Arial Narrow" w:hAnsi="Arial Narrow"/>
          <w:b/>
          <w:bCs/>
        </w:rPr>
        <w:t xml:space="preserve"> 2</w:t>
      </w:r>
      <w:r w:rsidRPr="001B6455">
        <w:rPr>
          <w:rFonts w:ascii="Arial Narrow" w:hAnsi="Arial Narrow"/>
          <w:b/>
          <w:bCs/>
        </w:rPr>
        <w:t>: ПОВИШАВАНЕ НА РОЛЯТА НА ГОРИТЕ В ИКОНОМИЧЕСКИЯ РАСТЕЖ НА СТРАНАТА</w:t>
      </w:r>
    </w:p>
    <w:p w14:paraId="087B3A51" w14:textId="77777777" w:rsidR="006E11F9" w:rsidRPr="001B6455" w:rsidRDefault="006E11F9" w:rsidP="006E11F9">
      <w:pPr>
        <w:spacing w:before="120" w:after="120"/>
        <w:jc w:val="both"/>
        <w:rPr>
          <w:rFonts w:ascii="Arial Narrow" w:hAnsi="Arial Narrow"/>
          <w:b/>
          <w:bCs/>
        </w:rPr>
      </w:pPr>
      <w:r w:rsidRPr="001B6455">
        <w:rPr>
          <w:rFonts w:ascii="Arial Narrow" w:hAnsi="Arial Narrow"/>
          <w:b/>
          <w:bCs/>
        </w:rPr>
        <w:t>МЕРКИ:</w:t>
      </w:r>
    </w:p>
    <w:p w14:paraId="7A78E17B" w14:textId="77777777" w:rsidR="006E11F9" w:rsidRPr="001B6455" w:rsidRDefault="006E11F9" w:rsidP="009C6577">
      <w:pPr>
        <w:numPr>
          <w:ilvl w:val="0"/>
          <w:numId w:val="81"/>
        </w:numPr>
        <w:spacing w:before="120" w:after="120"/>
        <w:jc w:val="both"/>
        <w:rPr>
          <w:rFonts w:ascii="Arial Narrow" w:hAnsi="Arial Narrow"/>
        </w:rPr>
      </w:pPr>
      <w:r w:rsidRPr="001B6455">
        <w:rPr>
          <w:rFonts w:ascii="Arial Narrow" w:hAnsi="Arial Narrow"/>
        </w:rPr>
        <w:t>Извършване на текуща инвентаризация на 40 % от горските територии</w:t>
      </w:r>
    </w:p>
    <w:p w14:paraId="0A6F2466" w14:textId="77777777" w:rsidR="006E11F9" w:rsidRDefault="006E11F9" w:rsidP="009C6577">
      <w:pPr>
        <w:numPr>
          <w:ilvl w:val="0"/>
          <w:numId w:val="81"/>
        </w:numPr>
        <w:spacing w:before="120"/>
        <w:ind w:left="714" w:hanging="357"/>
        <w:jc w:val="both"/>
        <w:rPr>
          <w:rFonts w:ascii="Arial Narrow" w:hAnsi="Arial Narrow"/>
        </w:rPr>
      </w:pPr>
      <w:r w:rsidRPr="001B6455">
        <w:rPr>
          <w:rFonts w:ascii="Arial Narrow" w:hAnsi="Arial Narrow"/>
        </w:rPr>
        <w:t>Поддържане на горите в добро здравословно състояние, възстановяване на пострадали горски територии чрез залесяване и подпомагане на естественото им възобновяване</w:t>
      </w:r>
      <w:r>
        <w:rPr>
          <w:rFonts w:ascii="Arial Narrow" w:hAnsi="Arial Narrow"/>
        </w:rPr>
        <w:t>:</w:t>
      </w:r>
    </w:p>
    <w:p w14:paraId="64D40224" w14:textId="77777777" w:rsidR="006E11F9" w:rsidRPr="009110CA" w:rsidRDefault="006E11F9" w:rsidP="009C6577">
      <w:pPr>
        <w:pStyle w:val="ListParagraph"/>
        <w:numPr>
          <w:ilvl w:val="0"/>
          <w:numId w:val="86"/>
        </w:numPr>
        <w:tabs>
          <w:tab w:val="left" w:pos="1260"/>
        </w:tabs>
        <w:ind w:left="1077" w:hanging="357"/>
        <w:contextualSpacing w:val="0"/>
        <w:jc w:val="both"/>
        <w:rPr>
          <w:rFonts w:ascii="Arial Narrow" w:hAnsi="Arial Narrow"/>
        </w:rPr>
      </w:pPr>
      <w:r w:rsidRPr="009110CA">
        <w:rPr>
          <w:rFonts w:ascii="Arial Narrow" w:hAnsi="Arial Narrow"/>
        </w:rPr>
        <w:t>Изготвяне на прогноза за очаквани нападения от болести и вредители;</w:t>
      </w:r>
    </w:p>
    <w:p w14:paraId="34631BE9" w14:textId="77777777" w:rsidR="006E11F9" w:rsidRPr="00C03295" w:rsidRDefault="006E11F9" w:rsidP="009C6577">
      <w:pPr>
        <w:pStyle w:val="ListParagraph"/>
        <w:numPr>
          <w:ilvl w:val="0"/>
          <w:numId w:val="86"/>
        </w:numPr>
        <w:spacing w:after="120"/>
        <w:ind w:left="1077" w:hanging="357"/>
        <w:contextualSpacing w:val="0"/>
        <w:jc w:val="both"/>
        <w:rPr>
          <w:rFonts w:ascii="Arial Narrow" w:hAnsi="Arial Narrow"/>
        </w:rPr>
      </w:pPr>
      <w:r w:rsidRPr="009110CA">
        <w:rPr>
          <w:rFonts w:ascii="Arial Narrow" w:hAnsi="Arial Narrow"/>
        </w:rPr>
        <w:t>Своевременно издаване и прилагане на предписания за провеждане на санитарните и лесозащитни мероприятия и дейности.</w:t>
      </w:r>
    </w:p>
    <w:p w14:paraId="593284A6" w14:textId="77777777" w:rsidR="006E11F9" w:rsidRPr="00256728" w:rsidRDefault="006E11F9" w:rsidP="00256728">
      <w:pPr>
        <w:numPr>
          <w:ilvl w:val="0"/>
          <w:numId w:val="81"/>
        </w:numPr>
        <w:spacing w:before="120" w:after="120"/>
        <w:jc w:val="both"/>
        <w:rPr>
          <w:rFonts w:ascii="Arial Narrow" w:hAnsi="Arial Narrow"/>
        </w:rPr>
      </w:pPr>
      <w:r w:rsidRPr="001B6455">
        <w:rPr>
          <w:rFonts w:ascii="Arial Narrow" w:hAnsi="Arial Narrow"/>
        </w:rPr>
        <w:t>Устойчиво предлагане на дървесина за преработващата промишленост</w:t>
      </w:r>
    </w:p>
    <w:p w14:paraId="0217A754" w14:textId="77777777" w:rsidR="006E11F9" w:rsidRPr="001B6455" w:rsidRDefault="006E11F9" w:rsidP="00256728">
      <w:pPr>
        <w:spacing w:before="120" w:after="120"/>
        <w:jc w:val="both"/>
        <w:rPr>
          <w:rFonts w:ascii="Arial Narrow" w:hAnsi="Arial Narrow"/>
          <w:b/>
          <w:bCs/>
        </w:rPr>
      </w:pPr>
      <w:r w:rsidRPr="001B6455">
        <w:rPr>
          <w:rFonts w:ascii="Arial Narrow" w:hAnsi="Arial Narrow"/>
          <w:b/>
          <w:bCs/>
        </w:rPr>
        <w:t>ЦЕЛ</w:t>
      </w:r>
      <w:r>
        <w:rPr>
          <w:rFonts w:ascii="Arial Narrow" w:hAnsi="Arial Narrow"/>
          <w:b/>
          <w:bCs/>
        </w:rPr>
        <w:t xml:space="preserve"> 3</w:t>
      </w:r>
      <w:r w:rsidRPr="001B6455">
        <w:rPr>
          <w:rFonts w:ascii="Arial Narrow" w:hAnsi="Arial Narrow"/>
          <w:b/>
          <w:bCs/>
        </w:rPr>
        <w:t xml:space="preserve">: </w:t>
      </w:r>
      <w:r w:rsidRPr="00256728">
        <w:rPr>
          <w:rFonts w:ascii="Arial Narrow" w:hAnsi="Arial Narrow"/>
          <w:b/>
          <w:bCs/>
        </w:rPr>
        <w:t>ГАРАНТИРАНЕ НА ТЕРИТОРИАЛНОТО СОЦИАЛНО-ИКОНОМИЧЕСКО РАЗВИТИЕ И УЧАСТИЕТО НА ВСИЧКИ ОСНОВНИ ЗАИНТЕРЕСОВАНИ СТРАНИ ПРИ ОСЪЩЕСТВЯВАНЕ НА ГОРСКИТЕ ПОЛИТИКИ</w:t>
      </w:r>
    </w:p>
    <w:p w14:paraId="607AFEE1" w14:textId="77777777" w:rsidR="006E11F9" w:rsidRPr="001B6455" w:rsidRDefault="006E11F9" w:rsidP="006E11F9">
      <w:pPr>
        <w:spacing w:before="120" w:after="120"/>
        <w:jc w:val="both"/>
        <w:rPr>
          <w:rFonts w:ascii="Arial Narrow" w:hAnsi="Arial Narrow"/>
          <w:b/>
          <w:bCs/>
        </w:rPr>
      </w:pPr>
      <w:r w:rsidRPr="001B6455">
        <w:rPr>
          <w:rFonts w:ascii="Arial Narrow" w:hAnsi="Arial Narrow"/>
          <w:b/>
          <w:bCs/>
        </w:rPr>
        <w:t>МЕРКИ:</w:t>
      </w:r>
    </w:p>
    <w:p w14:paraId="6990F4E0" w14:textId="77777777" w:rsidR="006E11F9" w:rsidRDefault="006E11F9" w:rsidP="009C6577">
      <w:pPr>
        <w:numPr>
          <w:ilvl w:val="0"/>
          <w:numId w:val="82"/>
        </w:numPr>
        <w:spacing w:before="120" w:after="120"/>
        <w:jc w:val="both"/>
        <w:rPr>
          <w:rFonts w:ascii="Arial Narrow" w:hAnsi="Arial Narrow"/>
        </w:rPr>
      </w:pPr>
      <w:r w:rsidRPr="001B6455">
        <w:rPr>
          <w:rFonts w:ascii="Arial Narrow" w:hAnsi="Arial Narrow"/>
        </w:rPr>
        <w:t>Визуализация на горите в съществуващата информационна среда чрез актуализиране на географския портал за горите</w:t>
      </w:r>
    </w:p>
    <w:p w14:paraId="790F1EDF" w14:textId="77777777" w:rsidR="006E11F9" w:rsidRPr="001B6455" w:rsidRDefault="006E11F9" w:rsidP="009C6577">
      <w:pPr>
        <w:numPr>
          <w:ilvl w:val="0"/>
          <w:numId w:val="82"/>
        </w:numPr>
        <w:spacing w:before="120" w:after="120"/>
        <w:jc w:val="both"/>
        <w:rPr>
          <w:rFonts w:ascii="Arial Narrow" w:hAnsi="Arial Narrow"/>
        </w:rPr>
      </w:pPr>
      <w:r w:rsidRPr="001B6455">
        <w:rPr>
          <w:rFonts w:ascii="Arial Narrow" w:hAnsi="Arial Narrow"/>
        </w:rPr>
        <w:t xml:space="preserve">Осигуряване на нива на достъп до изградената </w:t>
      </w:r>
      <w:r>
        <w:rPr>
          <w:rFonts w:ascii="Arial Narrow" w:hAnsi="Arial Narrow"/>
        </w:rPr>
        <w:t xml:space="preserve">информационна </w:t>
      </w:r>
      <w:r w:rsidRPr="001B6455">
        <w:rPr>
          <w:rFonts w:ascii="Arial Narrow" w:hAnsi="Arial Narrow"/>
        </w:rPr>
        <w:t>система с цел осигуряване на по-активно участие на обществото и институциите по отношение кон</w:t>
      </w:r>
      <w:r>
        <w:rPr>
          <w:rFonts w:ascii="Arial Narrow" w:hAnsi="Arial Narrow"/>
        </w:rPr>
        <w:t>трола върху дейностите в горите</w:t>
      </w:r>
    </w:p>
    <w:p w14:paraId="5420479F" w14:textId="77777777" w:rsidR="006E11F9" w:rsidRPr="001B6455" w:rsidRDefault="006E11F9" w:rsidP="009C6577">
      <w:pPr>
        <w:numPr>
          <w:ilvl w:val="0"/>
          <w:numId w:val="82"/>
        </w:numPr>
        <w:spacing w:before="120" w:after="120"/>
        <w:jc w:val="both"/>
        <w:rPr>
          <w:rFonts w:ascii="Arial Narrow" w:hAnsi="Arial Narrow"/>
        </w:rPr>
      </w:pPr>
      <w:r w:rsidRPr="001B6455">
        <w:rPr>
          <w:rFonts w:ascii="Arial Narrow" w:hAnsi="Arial Narrow"/>
        </w:rPr>
        <w:t xml:space="preserve">Изготвяне на „Методика за извършване на национална горска инвентаризация“ и възлагане извършването на Национална горска инвентаризация </w:t>
      </w:r>
    </w:p>
    <w:p w14:paraId="75688D47" w14:textId="77777777" w:rsidR="006E11F9" w:rsidRDefault="006E11F9" w:rsidP="009C6577">
      <w:pPr>
        <w:numPr>
          <w:ilvl w:val="0"/>
          <w:numId w:val="82"/>
        </w:numPr>
        <w:spacing w:before="120"/>
        <w:ind w:left="714" w:hanging="357"/>
        <w:jc w:val="both"/>
        <w:rPr>
          <w:rFonts w:ascii="Arial Narrow" w:hAnsi="Arial Narrow"/>
        </w:rPr>
      </w:pPr>
      <w:r w:rsidRPr="001B6455">
        <w:rPr>
          <w:rFonts w:ascii="Arial Narrow" w:hAnsi="Arial Narrow"/>
        </w:rPr>
        <w:lastRenderedPageBreak/>
        <w:t>Превенция и мерки за недопускане на незаконните дейности в горските територии</w:t>
      </w:r>
      <w:r>
        <w:rPr>
          <w:rFonts w:ascii="Arial Narrow" w:hAnsi="Arial Narrow"/>
        </w:rPr>
        <w:t>:</w:t>
      </w:r>
      <w:r w:rsidRPr="001B6455">
        <w:rPr>
          <w:rFonts w:ascii="Arial Narrow" w:hAnsi="Arial Narrow"/>
        </w:rPr>
        <w:t xml:space="preserve"> </w:t>
      </w:r>
    </w:p>
    <w:p w14:paraId="4700D9EC" w14:textId="77777777" w:rsidR="006E11F9" w:rsidRPr="001B6455" w:rsidRDefault="006E11F9" w:rsidP="009C6577">
      <w:pPr>
        <w:pStyle w:val="ListParagraph"/>
        <w:numPr>
          <w:ilvl w:val="0"/>
          <w:numId w:val="88"/>
        </w:numPr>
        <w:spacing w:after="200"/>
        <w:jc w:val="both"/>
        <w:rPr>
          <w:rFonts w:ascii="Arial Narrow" w:hAnsi="Arial Narrow"/>
        </w:rPr>
      </w:pPr>
      <w:r w:rsidRPr="001B6455">
        <w:rPr>
          <w:rFonts w:ascii="Arial Narrow" w:hAnsi="Arial Narrow"/>
        </w:rPr>
        <w:t>Преглед и при необходимост актуализация на съществуващите споразумения за съвместна дейност с МВР, ИАРА, НАП, ГИТ, АПИ и др. институции за осъществяване на контрол и предотвратяване на незаконнит</w:t>
      </w:r>
      <w:r>
        <w:rPr>
          <w:rFonts w:ascii="Arial Narrow" w:hAnsi="Arial Narrow"/>
        </w:rPr>
        <w:t>е действия в горските територии</w:t>
      </w:r>
    </w:p>
    <w:p w14:paraId="06B519C4" w14:textId="77777777" w:rsidR="006E11F9" w:rsidRPr="001B6455" w:rsidRDefault="006E11F9" w:rsidP="009C6577">
      <w:pPr>
        <w:pStyle w:val="ListParagraph"/>
        <w:numPr>
          <w:ilvl w:val="0"/>
          <w:numId w:val="88"/>
        </w:numPr>
        <w:spacing w:after="200"/>
        <w:jc w:val="both"/>
        <w:rPr>
          <w:rFonts w:ascii="Arial Narrow" w:hAnsi="Arial Narrow"/>
          <w:color w:val="000000" w:themeColor="text1"/>
        </w:rPr>
      </w:pPr>
      <w:r w:rsidRPr="001B6455">
        <w:rPr>
          <w:rFonts w:ascii="Arial Narrow" w:hAnsi="Arial Narrow"/>
          <w:bCs/>
          <w:color w:val="000000" w:themeColor="text1"/>
        </w:rPr>
        <w:t>Внедряване</w:t>
      </w:r>
      <w:r w:rsidRPr="001B6455">
        <w:rPr>
          <w:rFonts w:ascii="Arial Narrow" w:hAnsi="Arial Narrow"/>
          <w:bCs/>
          <w:color w:val="000000" w:themeColor="text1"/>
          <w:lang w:eastAsia="bg-BG"/>
        </w:rPr>
        <w:t xml:space="preserve"> </w:t>
      </w:r>
      <w:r w:rsidRPr="001B6455">
        <w:rPr>
          <w:rFonts w:ascii="Arial Narrow" w:hAnsi="Arial Narrow"/>
          <w:iCs/>
          <w:color w:val="000000" w:themeColor="text1"/>
        </w:rPr>
        <w:t xml:space="preserve">на модул към Информационната система (ИС) на Изпълнителна агенция по горите за </w:t>
      </w:r>
      <w:r w:rsidRPr="001B6455">
        <w:rPr>
          <w:rFonts w:ascii="Arial Narrow" w:hAnsi="Arial Narrow"/>
          <w:bCs/>
          <w:color w:val="000000" w:themeColor="text1"/>
          <w:lang w:eastAsia="bg-BG"/>
        </w:rPr>
        <w:t xml:space="preserve">разрешаване, контрол и проследяване на добива, търговията и </w:t>
      </w:r>
      <w:r w:rsidRPr="001B6455">
        <w:rPr>
          <w:rFonts w:ascii="Arial Narrow" w:hAnsi="Arial Narrow"/>
          <w:color w:val="000000" w:themeColor="text1"/>
          <w:lang w:eastAsia="bg-BG"/>
        </w:rPr>
        <w:t>транспорта на нед</w:t>
      </w:r>
      <w:r>
        <w:rPr>
          <w:rFonts w:ascii="Arial Narrow" w:hAnsi="Arial Narrow"/>
          <w:color w:val="000000" w:themeColor="text1"/>
          <w:lang w:eastAsia="bg-BG"/>
        </w:rPr>
        <w:t>ървесните горски продукти</w:t>
      </w:r>
    </w:p>
    <w:p w14:paraId="6CAA1E4F" w14:textId="77777777" w:rsidR="006E11F9" w:rsidRPr="001B6455" w:rsidRDefault="006E11F9" w:rsidP="009C6577">
      <w:pPr>
        <w:pStyle w:val="ListParagraph"/>
        <w:numPr>
          <w:ilvl w:val="0"/>
          <w:numId w:val="88"/>
        </w:numPr>
        <w:spacing w:after="200"/>
        <w:jc w:val="both"/>
        <w:rPr>
          <w:rFonts w:ascii="Arial Narrow" w:hAnsi="Arial Narrow"/>
          <w:color w:val="000000" w:themeColor="text1"/>
        </w:rPr>
      </w:pPr>
      <w:r w:rsidRPr="001B6455">
        <w:rPr>
          <w:rFonts w:ascii="Arial Narrow" w:hAnsi="Arial Narrow"/>
          <w:color w:val="000000" w:themeColor="text1"/>
        </w:rPr>
        <w:t>Мониторинг върху ползването на биомаса от горското стопанст</w:t>
      </w:r>
      <w:r>
        <w:rPr>
          <w:rFonts w:ascii="Arial Narrow" w:hAnsi="Arial Narrow"/>
          <w:color w:val="000000" w:themeColor="text1"/>
        </w:rPr>
        <w:t>во за производството на енергия</w:t>
      </w:r>
    </w:p>
    <w:p w14:paraId="5559C00C" w14:textId="77777777" w:rsidR="006E11F9" w:rsidRPr="001B6455" w:rsidRDefault="006E11F9" w:rsidP="009C6577">
      <w:pPr>
        <w:pStyle w:val="ListParagraph"/>
        <w:numPr>
          <w:ilvl w:val="0"/>
          <w:numId w:val="88"/>
        </w:numPr>
        <w:spacing w:after="200"/>
        <w:jc w:val="both"/>
        <w:rPr>
          <w:rFonts w:ascii="Arial Narrow" w:hAnsi="Arial Narrow"/>
        </w:rPr>
      </w:pPr>
      <w:r w:rsidRPr="001B6455">
        <w:rPr>
          <w:rFonts w:ascii="Arial Narrow" w:hAnsi="Arial Narrow"/>
        </w:rPr>
        <w:t>Въвеждане на нов софтуер за обектите</w:t>
      </w:r>
      <w:r>
        <w:rPr>
          <w:rFonts w:ascii="Arial Narrow" w:hAnsi="Arial Narrow"/>
        </w:rPr>
        <w:t xml:space="preserve"> по чл. 206 от Закона за горите</w:t>
      </w:r>
    </w:p>
    <w:p w14:paraId="6F29763B" w14:textId="77777777" w:rsidR="006E11F9" w:rsidRPr="004A7527" w:rsidRDefault="006E11F9" w:rsidP="009C6577">
      <w:pPr>
        <w:numPr>
          <w:ilvl w:val="0"/>
          <w:numId w:val="82"/>
        </w:numPr>
        <w:spacing w:before="120" w:after="120"/>
        <w:jc w:val="both"/>
        <w:rPr>
          <w:rFonts w:ascii="Arial Narrow" w:hAnsi="Arial Narrow"/>
        </w:rPr>
      </w:pPr>
      <w:r w:rsidRPr="001B6455">
        <w:rPr>
          <w:rFonts w:ascii="Arial Narrow" w:hAnsi="Arial Narrow"/>
        </w:rPr>
        <w:t>Разработване и стартиране на „Национална програма за горска педагогика“</w:t>
      </w:r>
    </w:p>
    <w:p w14:paraId="24A9A887" w14:textId="77777777" w:rsidR="006E11F9" w:rsidRPr="009110CA" w:rsidRDefault="006E11F9" w:rsidP="006E11F9">
      <w:pPr>
        <w:widowControl w:val="0"/>
        <w:autoSpaceDE w:val="0"/>
        <w:autoSpaceDN w:val="0"/>
        <w:adjustRightInd w:val="0"/>
        <w:ind w:firstLine="720"/>
        <w:jc w:val="both"/>
        <w:rPr>
          <w:rFonts w:ascii="Arial Narrow" w:hAnsi="Arial Narrow"/>
        </w:rPr>
      </w:pPr>
      <w:r w:rsidRPr="009110CA">
        <w:rPr>
          <w:rFonts w:ascii="Arial Narrow" w:hAnsi="Arial Narrow"/>
        </w:rPr>
        <w:t xml:space="preserve">За изпълнение на мерките и постигане на целите на аграрната политика през 2026 г. ще се използва съвкупност от инструменти за финансова подкрепа с европейски и национални средства. </w:t>
      </w:r>
    </w:p>
    <w:p w14:paraId="1BB2F685" w14:textId="77777777" w:rsidR="006E11F9" w:rsidRPr="009110CA" w:rsidRDefault="006E11F9" w:rsidP="006E11F9">
      <w:pPr>
        <w:widowControl w:val="0"/>
        <w:autoSpaceDE w:val="0"/>
        <w:autoSpaceDN w:val="0"/>
        <w:adjustRightInd w:val="0"/>
        <w:ind w:firstLine="720"/>
        <w:jc w:val="both"/>
        <w:rPr>
          <w:rFonts w:ascii="Arial Narrow" w:hAnsi="Arial Narrow"/>
        </w:rPr>
      </w:pPr>
      <w:r w:rsidRPr="009110CA">
        <w:rPr>
          <w:rFonts w:ascii="Arial Narrow" w:hAnsi="Arial Narrow"/>
        </w:rPr>
        <w:t xml:space="preserve">По отношение на селското стопанство ще се прилагат интервенциите от Стратегическия план за развитие на земеделието и селските райони 2023-2027 г., а развитието на рибарството и производството на аквакултури ще се подпомага чрез Програмата за морско дело, рибарство и аквакултури 2021-2027 г. </w:t>
      </w:r>
    </w:p>
    <w:p w14:paraId="3BA81DFD" w14:textId="77777777" w:rsidR="006E11F9" w:rsidRPr="009110CA" w:rsidRDefault="006E11F9" w:rsidP="006E11F9">
      <w:pPr>
        <w:widowControl w:val="0"/>
        <w:autoSpaceDE w:val="0"/>
        <w:autoSpaceDN w:val="0"/>
        <w:adjustRightInd w:val="0"/>
        <w:jc w:val="both"/>
        <w:rPr>
          <w:rFonts w:ascii="Arial Narrow" w:hAnsi="Arial Narrow" w:cs="Tahoma"/>
        </w:rPr>
      </w:pPr>
      <w:r w:rsidRPr="009110CA">
        <w:rPr>
          <w:rFonts w:ascii="Arial Narrow" w:hAnsi="Arial Narrow"/>
        </w:rPr>
        <w:tab/>
        <w:t>Въпреки ограниченията на националния бюджет, устойчивото развитие на земеделието ще се насърчава и с национален ресурс – чрез схеми за преходна национална помощ, допълващи подкрепата с европейски средства за директно подпомагане, и държавни помощи.</w:t>
      </w:r>
    </w:p>
    <w:p w14:paraId="3B934C4D" w14:textId="77777777" w:rsidR="006E11F9" w:rsidRPr="009110CA" w:rsidRDefault="006E11F9" w:rsidP="006E11F9">
      <w:pPr>
        <w:widowControl w:val="0"/>
        <w:autoSpaceDE w:val="0"/>
        <w:autoSpaceDN w:val="0"/>
        <w:adjustRightInd w:val="0"/>
        <w:ind w:firstLine="720"/>
        <w:jc w:val="both"/>
        <w:rPr>
          <w:rFonts w:ascii="Arial Narrow" w:hAnsi="Arial Narrow"/>
        </w:rPr>
      </w:pPr>
      <w:r w:rsidRPr="009110CA">
        <w:rPr>
          <w:rFonts w:ascii="Arial Narrow" w:hAnsi="Arial Narrow" w:cs="Tahoma"/>
        </w:rPr>
        <w:t xml:space="preserve">През 2026 г. приключва изпълнението на проектите, които се </w:t>
      </w:r>
      <w:r>
        <w:rPr>
          <w:rFonts w:ascii="Arial Narrow" w:hAnsi="Arial Narrow" w:cs="Tahoma"/>
        </w:rPr>
        <w:t>финансират</w:t>
      </w:r>
      <w:r w:rsidRPr="009110CA">
        <w:rPr>
          <w:rFonts w:ascii="Arial Narrow" w:hAnsi="Arial Narrow" w:cs="Tahoma"/>
        </w:rPr>
        <w:t xml:space="preserve"> със средства от Националния план за възстановяване и устойчивост, свързани с инвестиции в дейности, осигуряващи опазване на компонентите на околната среда и смекчаване на последиците от климатичните промени, въвеждане на иновативни производствени и </w:t>
      </w:r>
      <w:r w:rsidRPr="009110CA">
        <w:rPr>
          <w:rFonts w:ascii="Arial Narrow" w:hAnsi="Arial Narrow"/>
        </w:rPr>
        <w:t>цифрови технологии, електронизация на процесите в отрасъла и комуникацията между администрацията и бизнеса.</w:t>
      </w:r>
    </w:p>
    <w:p w14:paraId="1CE2F433" w14:textId="77777777" w:rsidR="006E11F9" w:rsidRPr="009110CA" w:rsidRDefault="006E11F9" w:rsidP="006E11F9">
      <w:pPr>
        <w:widowControl w:val="0"/>
        <w:autoSpaceDE w:val="0"/>
        <w:autoSpaceDN w:val="0"/>
        <w:adjustRightInd w:val="0"/>
        <w:spacing w:before="120"/>
        <w:ind w:firstLine="720"/>
        <w:jc w:val="both"/>
        <w:rPr>
          <w:rFonts w:ascii="Arial Narrow" w:hAnsi="Arial Narrow"/>
        </w:rPr>
      </w:pPr>
      <w:r w:rsidRPr="009110CA">
        <w:rPr>
          <w:rFonts w:ascii="Arial Narrow" w:hAnsi="Arial Narrow"/>
        </w:rPr>
        <w:t xml:space="preserve">За подкрепа на аграрния отрасъл през 2026 г. ще бъдат необходими средства в размер на </w:t>
      </w:r>
      <w:r w:rsidRPr="005520A1">
        <w:rPr>
          <w:rFonts w:ascii="Arial Narrow" w:hAnsi="Arial Narrow"/>
        </w:rPr>
        <w:t>4 233,</w:t>
      </w:r>
      <w:r>
        <w:rPr>
          <w:rFonts w:ascii="Arial Narrow" w:hAnsi="Arial Narrow"/>
        </w:rPr>
        <w:t>8</w:t>
      </w:r>
      <w:r w:rsidRPr="009110CA">
        <w:rPr>
          <w:rFonts w:ascii="Arial Narrow" w:hAnsi="Arial Narrow"/>
        </w:rPr>
        <w:t xml:space="preserve"> млн. лева (</w:t>
      </w:r>
      <w:r w:rsidRPr="005520A1">
        <w:rPr>
          <w:rFonts w:ascii="Arial Narrow" w:hAnsi="Arial Narrow"/>
        </w:rPr>
        <w:t>2 164,7</w:t>
      </w:r>
      <w:r w:rsidRPr="009110CA">
        <w:rPr>
          <w:rFonts w:ascii="Arial Narrow" w:hAnsi="Arial Narrow"/>
        </w:rPr>
        <w:t xml:space="preserve"> млн. евро), в това число:</w:t>
      </w:r>
    </w:p>
    <w:p w14:paraId="49BF1448" w14:textId="77777777" w:rsidR="006E11F9" w:rsidRPr="009110CA" w:rsidRDefault="006E11F9" w:rsidP="009C6577">
      <w:pPr>
        <w:widowControl w:val="0"/>
        <w:numPr>
          <w:ilvl w:val="0"/>
          <w:numId w:val="87"/>
        </w:numPr>
        <w:autoSpaceDE w:val="0"/>
        <w:autoSpaceDN w:val="0"/>
        <w:adjustRightInd w:val="0"/>
        <w:spacing w:before="120" w:after="120"/>
        <w:jc w:val="both"/>
        <w:rPr>
          <w:rFonts w:ascii="Arial Narrow" w:hAnsi="Arial Narrow"/>
        </w:rPr>
      </w:pPr>
      <w:r w:rsidRPr="009110CA">
        <w:rPr>
          <w:rFonts w:ascii="Arial Narrow" w:hAnsi="Arial Narrow"/>
        </w:rPr>
        <w:t xml:space="preserve">За директни плащания </w:t>
      </w:r>
      <w:r>
        <w:rPr>
          <w:rFonts w:ascii="Arial Narrow" w:hAnsi="Arial Narrow"/>
        </w:rPr>
        <w:t xml:space="preserve">- </w:t>
      </w:r>
      <w:r w:rsidRPr="00A07D4B">
        <w:rPr>
          <w:rFonts w:ascii="Arial Narrow" w:hAnsi="Arial Narrow"/>
        </w:rPr>
        <w:t>1</w:t>
      </w:r>
      <w:r>
        <w:rPr>
          <w:rFonts w:ascii="Arial Narrow" w:hAnsi="Arial Narrow"/>
        </w:rPr>
        <w:t> </w:t>
      </w:r>
      <w:r w:rsidRPr="00A07D4B">
        <w:rPr>
          <w:rFonts w:ascii="Arial Narrow" w:hAnsi="Arial Narrow"/>
        </w:rPr>
        <w:t>645</w:t>
      </w:r>
      <w:r>
        <w:rPr>
          <w:rFonts w:ascii="Arial Narrow" w:hAnsi="Arial Narrow"/>
        </w:rPr>
        <w:t>,9</w:t>
      </w:r>
      <w:r w:rsidRPr="009110CA">
        <w:rPr>
          <w:rFonts w:ascii="Arial Narrow" w:hAnsi="Arial Narrow"/>
        </w:rPr>
        <w:t xml:space="preserve"> млн. лева (</w:t>
      </w:r>
      <w:r w:rsidRPr="00A07D4B">
        <w:rPr>
          <w:rFonts w:ascii="Arial Narrow" w:hAnsi="Arial Narrow"/>
        </w:rPr>
        <w:t>841</w:t>
      </w:r>
      <w:r>
        <w:rPr>
          <w:rFonts w:ascii="Arial Narrow" w:hAnsi="Arial Narrow"/>
        </w:rPr>
        <w:t>,</w:t>
      </w:r>
      <w:r w:rsidRPr="00A07D4B">
        <w:rPr>
          <w:rFonts w:ascii="Arial Narrow" w:hAnsi="Arial Narrow"/>
        </w:rPr>
        <w:t>5</w:t>
      </w:r>
      <w:r w:rsidRPr="009110CA">
        <w:rPr>
          <w:rFonts w:ascii="Arial Narrow" w:hAnsi="Arial Narrow"/>
        </w:rPr>
        <w:t xml:space="preserve"> млн. евро) за финансова година</w:t>
      </w:r>
      <w:r>
        <w:rPr>
          <w:rFonts w:ascii="Arial Narrow" w:hAnsi="Arial Narrow"/>
        </w:rPr>
        <w:t>.</w:t>
      </w:r>
      <w:r w:rsidRPr="009110CA">
        <w:rPr>
          <w:rFonts w:ascii="Arial Narrow" w:hAnsi="Arial Narrow"/>
        </w:rPr>
        <w:t xml:space="preserve"> </w:t>
      </w:r>
    </w:p>
    <w:p w14:paraId="4279DA22" w14:textId="77777777" w:rsidR="006E11F9" w:rsidRPr="009110CA" w:rsidRDefault="006E11F9" w:rsidP="009C6577">
      <w:pPr>
        <w:widowControl w:val="0"/>
        <w:numPr>
          <w:ilvl w:val="0"/>
          <w:numId w:val="87"/>
        </w:numPr>
        <w:autoSpaceDE w:val="0"/>
        <w:autoSpaceDN w:val="0"/>
        <w:adjustRightInd w:val="0"/>
        <w:spacing w:after="120"/>
        <w:jc w:val="both"/>
        <w:rPr>
          <w:rFonts w:ascii="Arial Narrow" w:hAnsi="Arial Narrow"/>
        </w:rPr>
      </w:pPr>
      <w:r w:rsidRPr="009110CA">
        <w:rPr>
          <w:rFonts w:ascii="Arial Narrow" w:hAnsi="Arial Narrow"/>
        </w:rPr>
        <w:t xml:space="preserve">За пазарни мерки </w:t>
      </w:r>
      <w:r>
        <w:rPr>
          <w:rFonts w:ascii="Arial Narrow" w:hAnsi="Arial Narrow"/>
        </w:rPr>
        <w:t>–</w:t>
      </w:r>
      <w:r w:rsidRPr="009110CA">
        <w:rPr>
          <w:rFonts w:ascii="Arial Narrow" w:hAnsi="Arial Narrow"/>
        </w:rPr>
        <w:t xml:space="preserve"> </w:t>
      </w:r>
      <w:r w:rsidRPr="00AD268F">
        <w:rPr>
          <w:rFonts w:ascii="Arial Narrow" w:hAnsi="Arial Narrow"/>
        </w:rPr>
        <w:t>170</w:t>
      </w:r>
      <w:r>
        <w:rPr>
          <w:rFonts w:ascii="Arial Narrow" w:hAnsi="Arial Narrow"/>
        </w:rPr>
        <w:t>,7</w:t>
      </w:r>
      <w:r w:rsidRPr="009110CA">
        <w:rPr>
          <w:rFonts w:ascii="Arial Narrow" w:hAnsi="Arial Narrow"/>
        </w:rPr>
        <w:t xml:space="preserve"> млн. лева (</w:t>
      </w:r>
      <w:r w:rsidRPr="00AD268F">
        <w:rPr>
          <w:rFonts w:ascii="Arial Narrow" w:hAnsi="Arial Narrow"/>
        </w:rPr>
        <w:t>87</w:t>
      </w:r>
      <w:r>
        <w:rPr>
          <w:rFonts w:ascii="Arial Narrow" w:hAnsi="Arial Narrow"/>
        </w:rPr>
        <w:t xml:space="preserve">,3 </w:t>
      </w:r>
      <w:r w:rsidRPr="009110CA">
        <w:rPr>
          <w:rFonts w:ascii="Arial Narrow" w:hAnsi="Arial Narrow"/>
        </w:rPr>
        <w:t>млн. евро) за финансова година</w:t>
      </w:r>
      <w:r>
        <w:rPr>
          <w:rFonts w:ascii="Arial Narrow" w:hAnsi="Arial Narrow"/>
        </w:rPr>
        <w:t>.</w:t>
      </w:r>
    </w:p>
    <w:p w14:paraId="57B22B3C" w14:textId="77777777" w:rsidR="006E11F9" w:rsidRPr="009110CA" w:rsidRDefault="006E11F9" w:rsidP="009C6577">
      <w:pPr>
        <w:widowControl w:val="0"/>
        <w:numPr>
          <w:ilvl w:val="0"/>
          <w:numId w:val="87"/>
        </w:numPr>
        <w:autoSpaceDE w:val="0"/>
        <w:autoSpaceDN w:val="0"/>
        <w:adjustRightInd w:val="0"/>
        <w:spacing w:after="120"/>
        <w:jc w:val="both"/>
        <w:rPr>
          <w:rFonts w:ascii="Arial Narrow" w:hAnsi="Arial Narrow"/>
        </w:rPr>
      </w:pPr>
      <w:r w:rsidRPr="009110CA">
        <w:rPr>
          <w:rFonts w:ascii="Arial Narrow" w:hAnsi="Arial Narrow"/>
        </w:rPr>
        <w:t xml:space="preserve">За преходна национална помощ </w:t>
      </w:r>
      <w:r>
        <w:rPr>
          <w:rFonts w:ascii="Arial Narrow" w:hAnsi="Arial Narrow"/>
        </w:rPr>
        <w:t>–</w:t>
      </w:r>
      <w:r w:rsidRPr="009110CA">
        <w:rPr>
          <w:rFonts w:ascii="Arial Narrow" w:hAnsi="Arial Narrow"/>
        </w:rPr>
        <w:t xml:space="preserve"> </w:t>
      </w:r>
      <w:r w:rsidRPr="009D5132">
        <w:rPr>
          <w:rFonts w:ascii="Arial Narrow" w:hAnsi="Arial Narrow"/>
        </w:rPr>
        <w:t>96</w:t>
      </w:r>
      <w:r>
        <w:rPr>
          <w:rFonts w:ascii="Arial Narrow" w:hAnsi="Arial Narrow"/>
        </w:rPr>
        <w:t>,4</w:t>
      </w:r>
      <w:r w:rsidRPr="009110CA">
        <w:rPr>
          <w:rFonts w:ascii="Arial Narrow" w:hAnsi="Arial Narrow"/>
        </w:rPr>
        <w:t xml:space="preserve"> млн. лева (</w:t>
      </w:r>
      <w:r w:rsidRPr="009D5132">
        <w:rPr>
          <w:rFonts w:ascii="Arial Narrow" w:hAnsi="Arial Narrow"/>
        </w:rPr>
        <w:t>49</w:t>
      </w:r>
      <w:r>
        <w:rPr>
          <w:rFonts w:ascii="Arial Narrow" w:hAnsi="Arial Narrow"/>
        </w:rPr>
        <w:t xml:space="preserve">,3 </w:t>
      </w:r>
      <w:r w:rsidRPr="009110CA">
        <w:rPr>
          <w:rFonts w:ascii="Arial Narrow" w:hAnsi="Arial Narrow"/>
        </w:rPr>
        <w:t>млн. евро)</w:t>
      </w:r>
      <w:r>
        <w:rPr>
          <w:rFonts w:ascii="Arial Narrow" w:hAnsi="Arial Narrow"/>
        </w:rPr>
        <w:t xml:space="preserve"> за финансова година.</w:t>
      </w:r>
    </w:p>
    <w:p w14:paraId="69317150" w14:textId="77777777" w:rsidR="006E11F9" w:rsidRPr="00A92DB7" w:rsidRDefault="006E11F9" w:rsidP="009C6577">
      <w:pPr>
        <w:widowControl w:val="0"/>
        <w:numPr>
          <w:ilvl w:val="0"/>
          <w:numId w:val="87"/>
        </w:numPr>
        <w:tabs>
          <w:tab w:val="left" w:pos="993"/>
        </w:tabs>
        <w:autoSpaceDE w:val="0"/>
        <w:autoSpaceDN w:val="0"/>
        <w:adjustRightInd w:val="0"/>
        <w:spacing w:after="120"/>
        <w:ind w:left="0" w:firstLine="633"/>
        <w:jc w:val="both"/>
        <w:rPr>
          <w:rFonts w:ascii="Arial Narrow" w:hAnsi="Arial Narrow"/>
        </w:rPr>
      </w:pPr>
      <w:r w:rsidRPr="00A92DB7">
        <w:rPr>
          <w:rFonts w:ascii="Arial Narrow" w:hAnsi="Arial Narrow"/>
        </w:rPr>
        <w:t>За държавни помощи (в т. ч. по схеми за данъчни облекчения) – 750 млн. лева (383,5 млн. евро). При необходимост и при наличие на финансова възможност може да бъде предоставен и допълнителен финансов ресурс.</w:t>
      </w:r>
    </w:p>
    <w:p w14:paraId="28D50612" w14:textId="77777777" w:rsidR="006E11F9" w:rsidRDefault="006E11F9" w:rsidP="009C6577">
      <w:pPr>
        <w:widowControl w:val="0"/>
        <w:numPr>
          <w:ilvl w:val="0"/>
          <w:numId w:val="87"/>
        </w:numPr>
        <w:tabs>
          <w:tab w:val="left" w:pos="993"/>
        </w:tabs>
        <w:autoSpaceDE w:val="0"/>
        <w:autoSpaceDN w:val="0"/>
        <w:adjustRightInd w:val="0"/>
        <w:spacing w:after="120"/>
        <w:ind w:left="0" w:firstLine="633"/>
        <w:jc w:val="both"/>
        <w:rPr>
          <w:rFonts w:ascii="Arial Narrow" w:hAnsi="Arial Narrow"/>
          <w:bCs/>
        </w:rPr>
      </w:pPr>
      <w:r w:rsidRPr="00113DB9">
        <w:rPr>
          <w:rFonts w:ascii="Arial Narrow" w:hAnsi="Arial Narrow"/>
        </w:rPr>
        <w:t>За плащания по интервенции от Стратегическия план по ОСП, финансирани от ЕЗФРСР – 1 379,7 млн. лева (</w:t>
      </w:r>
      <w:r w:rsidRPr="00113DB9">
        <w:rPr>
          <w:rFonts w:ascii="Arial Narrow" w:hAnsi="Arial Narrow"/>
          <w:bCs/>
        </w:rPr>
        <w:t>705,4 млн. евро).</w:t>
      </w:r>
    </w:p>
    <w:p w14:paraId="0F56AB9F" w14:textId="77777777" w:rsidR="006E11F9" w:rsidRPr="00C3297F" w:rsidRDefault="006E11F9" w:rsidP="009C6577">
      <w:pPr>
        <w:widowControl w:val="0"/>
        <w:numPr>
          <w:ilvl w:val="0"/>
          <w:numId w:val="87"/>
        </w:numPr>
        <w:tabs>
          <w:tab w:val="left" w:pos="993"/>
        </w:tabs>
        <w:autoSpaceDE w:val="0"/>
        <w:autoSpaceDN w:val="0"/>
        <w:adjustRightInd w:val="0"/>
        <w:spacing w:after="120"/>
        <w:ind w:left="0" w:firstLine="633"/>
        <w:jc w:val="both"/>
        <w:rPr>
          <w:rFonts w:ascii="Arial Narrow" w:hAnsi="Arial Narrow"/>
          <w:bCs/>
        </w:rPr>
      </w:pPr>
      <w:r w:rsidRPr="00C3297F">
        <w:rPr>
          <w:rFonts w:ascii="Arial Narrow" w:hAnsi="Arial Narrow"/>
        </w:rPr>
        <w:t>За прилагане на мерки в подкрепа на рибарството и аквакултурите – 53,8 млн. лева (27</w:t>
      </w:r>
      <w:r>
        <w:rPr>
          <w:rFonts w:ascii="Arial Narrow" w:hAnsi="Arial Narrow"/>
        </w:rPr>
        <w:t>,5 м</w:t>
      </w:r>
      <w:r w:rsidRPr="00C3297F">
        <w:rPr>
          <w:rFonts w:ascii="Arial Narrow" w:hAnsi="Arial Narrow"/>
        </w:rPr>
        <w:t>лн. евро).</w:t>
      </w:r>
    </w:p>
    <w:p w14:paraId="0B02A664" w14:textId="77777777" w:rsidR="006E11F9" w:rsidRPr="00113DB9" w:rsidRDefault="006E11F9" w:rsidP="009C6577">
      <w:pPr>
        <w:widowControl w:val="0"/>
        <w:numPr>
          <w:ilvl w:val="0"/>
          <w:numId w:val="87"/>
        </w:numPr>
        <w:tabs>
          <w:tab w:val="left" w:pos="993"/>
        </w:tabs>
        <w:autoSpaceDE w:val="0"/>
        <w:autoSpaceDN w:val="0"/>
        <w:adjustRightInd w:val="0"/>
        <w:spacing w:after="120"/>
        <w:ind w:left="0" w:firstLine="633"/>
        <w:jc w:val="both"/>
        <w:rPr>
          <w:rFonts w:ascii="Arial Narrow" w:hAnsi="Arial Narrow"/>
          <w:bCs/>
        </w:rPr>
      </w:pPr>
      <w:r w:rsidRPr="00113DB9">
        <w:rPr>
          <w:rFonts w:ascii="Arial Narrow" w:hAnsi="Arial Narrow"/>
        </w:rPr>
        <w:t>За изпълнение на дейности по НПВУ – 137,3 млн. лева (70,2 млн. евро) с ДДС.</w:t>
      </w:r>
    </w:p>
    <w:p w14:paraId="7FB60392" w14:textId="77777777" w:rsidR="006E11F9" w:rsidRDefault="006E11F9" w:rsidP="00392577">
      <w:pPr>
        <w:spacing w:after="120"/>
        <w:jc w:val="both"/>
        <w:rPr>
          <w:rFonts w:ascii="Arial Narrow" w:hAnsi="Arial Narrow" w:cstheme="minorBidi"/>
          <w:b/>
          <w:color w:val="FF0000"/>
          <w:lang w:val="bg-BG" w:eastAsia="bg-BG"/>
        </w:rPr>
      </w:pPr>
    </w:p>
    <w:p w14:paraId="04B3EF8E" w14:textId="77777777" w:rsidR="006E11F9" w:rsidRDefault="006E11F9" w:rsidP="00392577">
      <w:pPr>
        <w:spacing w:after="120"/>
        <w:jc w:val="both"/>
        <w:rPr>
          <w:rFonts w:ascii="Arial Narrow" w:hAnsi="Arial Narrow" w:cstheme="minorBidi"/>
          <w:b/>
          <w:color w:val="FF0000"/>
          <w:lang w:val="bg-BG" w:eastAsia="bg-BG"/>
        </w:rPr>
      </w:pPr>
    </w:p>
    <w:p w14:paraId="05F9C347" w14:textId="77777777" w:rsidR="006E11F9" w:rsidRDefault="006E11F9" w:rsidP="00392577">
      <w:pPr>
        <w:spacing w:after="120"/>
        <w:jc w:val="both"/>
        <w:rPr>
          <w:rFonts w:ascii="Arial Narrow" w:hAnsi="Arial Narrow" w:cstheme="minorBidi"/>
          <w:b/>
          <w:color w:val="FF0000"/>
          <w:lang w:val="bg-BG" w:eastAsia="bg-BG"/>
        </w:rPr>
      </w:pPr>
    </w:p>
    <w:p w14:paraId="59C5201B" w14:textId="77777777" w:rsidR="006E11F9" w:rsidRDefault="006E11F9" w:rsidP="00392577">
      <w:pPr>
        <w:spacing w:after="120"/>
        <w:jc w:val="both"/>
        <w:rPr>
          <w:rFonts w:ascii="Arial Narrow" w:hAnsi="Arial Narrow" w:cstheme="minorBidi"/>
          <w:b/>
          <w:color w:val="FF0000"/>
          <w:lang w:val="bg-BG" w:eastAsia="bg-BG"/>
        </w:rPr>
      </w:pPr>
    </w:p>
    <w:p w14:paraId="7A6D972D" w14:textId="77777777" w:rsidR="004B7892" w:rsidRPr="00361922" w:rsidRDefault="00750F1B" w:rsidP="006E11F9">
      <w:pPr>
        <w:pStyle w:val="Heading1"/>
        <w:pageBreakBefore/>
        <w:spacing w:before="720"/>
        <w:jc w:val="center"/>
        <w:rPr>
          <w:rFonts w:ascii="Arial Narrow" w:hAnsi="Arial Narrow"/>
          <w:color w:val="auto"/>
          <w:sz w:val="24"/>
          <w:szCs w:val="24"/>
        </w:rPr>
        <w:sectPr w:rsidR="004B7892" w:rsidRPr="00361922" w:rsidSect="00314D3C">
          <w:headerReference w:type="default" r:id="rId49"/>
          <w:footerReference w:type="default" r:id="rId50"/>
          <w:pgSz w:w="11907" w:h="16840" w:code="9"/>
          <w:pgMar w:top="992" w:right="850" w:bottom="737" w:left="1247" w:header="720" w:footer="413" w:gutter="0"/>
          <w:pgNumType w:start="0"/>
          <w:cols w:space="720"/>
          <w:titlePg/>
          <w:docGrid w:linePitch="360"/>
        </w:sectPr>
      </w:pPr>
      <w:bookmarkStart w:id="279" w:name="_Toc210747697"/>
      <w:bookmarkEnd w:id="277"/>
      <w:r w:rsidRPr="006E11F9">
        <w:rPr>
          <w:rFonts w:ascii="Arial Narrow" w:hAnsi="Arial Narrow"/>
          <w:color w:val="auto"/>
          <w:sz w:val="24"/>
          <w:szCs w:val="24"/>
          <w:lang w:val="bg-BG"/>
        </w:rPr>
        <w:lastRenderedPageBreak/>
        <w:t>ПРИЛОЖЕНИЯ</w:t>
      </w:r>
      <w:bookmarkEnd w:id="279"/>
    </w:p>
    <w:p w14:paraId="594DA4B7" w14:textId="77777777" w:rsidR="00C53060" w:rsidRPr="005232AE" w:rsidRDefault="00C53060" w:rsidP="00C53060">
      <w:pPr>
        <w:spacing w:after="120"/>
        <w:rPr>
          <w:rFonts w:ascii="Arial Narrow" w:hAnsi="Arial Narrow"/>
          <w:b/>
          <w:sz w:val="18"/>
          <w:szCs w:val="18"/>
          <w:lang w:val="bg-BG"/>
        </w:rPr>
      </w:pPr>
      <w:r w:rsidRPr="005232AE">
        <w:rPr>
          <w:rFonts w:ascii="Arial Narrow" w:hAnsi="Arial Narrow"/>
          <w:b/>
          <w:sz w:val="18"/>
          <w:szCs w:val="18"/>
          <w:lang w:val="bg-BG"/>
        </w:rPr>
        <w:lastRenderedPageBreak/>
        <w:t>ПРИЛОЖЕНИЕ  1</w:t>
      </w:r>
    </w:p>
    <w:p w14:paraId="12B4D4A1" w14:textId="77777777" w:rsidR="00C53060" w:rsidRPr="005232AE" w:rsidRDefault="00C53060" w:rsidP="00C53060">
      <w:pPr>
        <w:spacing w:after="120"/>
        <w:rPr>
          <w:rFonts w:ascii="Arial Narrow" w:hAnsi="Arial Narrow"/>
          <w:b/>
          <w:sz w:val="18"/>
          <w:szCs w:val="18"/>
          <w:lang w:val="bg-BG"/>
        </w:rPr>
      </w:pPr>
      <w:r w:rsidRPr="005232AE">
        <w:rPr>
          <w:rFonts w:ascii="Arial Narrow" w:hAnsi="Arial Narrow"/>
          <w:b/>
          <w:sz w:val="18"/>
          <w:szCs w:val="18"/>
          <w:lang w:val="bg-BG"/>
        </w:rPr>
        <w:t>БРУТНА И КРАЙНА ПРОДУКЦИЯ ОТ О</w:t>
      </w:r>
      <w:r w:rsidR="00EC13F1" w:rsidRPr="005232AE">
        <w:rPr>
          <w:rFonts w:ascii="Arial Narrow" w:hAnsi="Arial Narrow"/>
          <w:b/>
          <w:sz w:val="18"/>
          <w:szCs w:val="18"/>
          <w:lang w:val="bg-BG"/>
        </w:rPr>
        <w:t>ТРАСЪЛ СЕЛСКО СТОПАНСТВО ЗА 20</w:t>
      </w:r>
      <w:r w:rsidR="003B0C17" w:rsidRPr="005232AE">
        <w:rPr>
          <w:rFonts w:ascii="Arial Narrow" w:hAnsi="Arial Narrow"/>
          <w:b/>
          <w:sz w:val="18"/>
          <w:szCs w:val="18"/>
          <w:lang w:val="bg-BG"/>
        </w:rPr>
        <w:t>2</w:t>
      </w:r>
      <w:r w:rsidR="00F00781" w:rsidRPr="005232AE">
        <w:rPr>
          <w:rFonts w:ascii="Arial Narrow" w:hAnsi="Arial Narrow"/>
          <w:b/>
          <w:sz w:val="18"/>
          <w:szCs w:val="18"/>
          <w:lang w:val="bg-BG"/>
        </w:rPr>
        <w:t>4</w:t>
      </w:r>
      <w:r w:rsidRPr="005232AE">
        <w:rPr>
          <w:rFonts w:ascii="Arial Narrow" w:hAnsi="Arial Narrow"/>
          <w:b/>
          <w:sz w:val="18"/>
          <w:szCs w:val="18"/>
          <w:lang w:val="bg-BG"/>
        </w:rPr>
        <w:t xml:space="preserve"> Г.</w:t>
      </w:r>
      <w:r w:rsidR="006248A5" w:rsidRPr="005232AE">
        <w:rPr>
          <w:rFonts w:ascii="Arial Narrow" w:hAnsi="Arial Narrow"/>
          <w:b/>
          <w:sz w:val="18"/>
          <w:szCs w:val="18"/>
          <w:lang w:val="bg-BG"/>
        </w:rPr>
        <w:t xml:space="preserve"> </w:t>
      </w:r>
      <w:r w:rsidRPr="005232AE">
        <w:rPr>
          <w:rFonts w:ascii="Arial Narrow" w:hAnsi="Arial Narrow"/>
          <w:b/>
          <w:sz w:val="18"/>
          <w:szCs w:val="18"/>
          <w:lang w:val="bg-BG"/>
        </w:rPr>
        <w:t>(ПО ЦЕНИ НА ПРОИЗВОДИТЕЛ)</w:t>
      </w:r>
    </w:p>
    <w:p w14:paraId="3E4DD74A" w14:textId="77777777" w:rsidR="00F00781" w:rsidRPr="006C5FBA" w:rsidRDefault="00C53060" w:rsidP="00F00781">
      <w:pPr>
        <w:ind w:right="108"/>
        <w:jc w:val="right"/>
        <w:rPr>
          <w:rFonts w:ascii="Arial Narrow" w:hAnsi="Arial Narrow"/>
          <w:b/>
          <w:sz w:val="16"/>
          <w:szCs w:val="18"/>
          <w:lang w:val="bg-BG"/>
        </w:rPr>
      </w:pPr>
      <w:r w:rsidRPr="006C5FBA">
        <w:rPr>
          <w:rFonts w:ascii="Arial Narrow" w:hAnsi="Arial Narrow"/>
          <w:b/>
          <w:sz w:val="16"/>
          <w:szCs w:val="18"/>
          <w:lang w:val="bg-BG"/>
        </w:rPr>
        <w:t>(млн. лв.)</w:t>
      </w:r>
    </w:p>
    <w:p w14:paraId="4B491191" w14:textId="77777777" w:rsidR="00F668A8" w:rsidRPr="00B10684" w:rsidRDefault="00F668A8" w:rsidP="0097652C">
      <w:pPr>
        <w:ind w:right="108"/>
        <w:jc w:val="right"/>
        <w:rPr>
          <w:rFonts w:ascii="Arial Narrow" w:hAnsi="Arial Narrow"/>
          <w:b/>
          <w:color w:val="FF0000"/>
          <w:sz w:val="16"/>
          <w:szCs w:val="18"/>
          <w:lang w:val="bg-BG"/>
        </w:rPr>
      </w:pPr>
    </w:p>
    <w:tbl>
      <w:tblPr>
        <w:tblW w:w="14744" w:type="dxa"/>
        <w:tblInd w:w="113" w:type="dxa"/>
        <w:tblLook w:val="04A0" w:firstRow="1" w:lastRow="0" w:firstColumn="1" w:lastColumn="0" w:noHBand="0" w:noVBand="1"/>
      </w:tblPr>
      <w:tblGrid>
        <w:gridCol w:w="632"/>
        <w:gridCol w:w="1671"/>
        <w:gridCol w:w="773"/>
        <w:gridCol w:w="582"/>
        <w:gridCol w:w="681"/>
        <w:gridCol w:w="789"/>
        <w:gridCol w:w="693"/>
        <w:gridCol w:w="537"/>
        <w:gridCol w:w="1143"/>
        <w:gridCol w:w="1200"/>
        <w:gridCol w:w="721"/>
        <w:gridCol w:w="721"/>
        <w:gridCol w:w="698"/>
        <w:gridCol w:w="765"/>
        <w:gridCol w:w="970"/>
        <w:gridCol w:w="602"/>
        <w:gridCol w:w="697"/>
        <w:gridCol w:w="869"/>
      </w:tblGrid>
      <w:tr w:rsidR="00F00781" w:rsidRPr="00F00781" w14:paraId="2B4FEE84" w14:textId="77777777" w:rsidTr="00E01BBF">
        <w:trPr>
          <w:trHeight w:val="196"/>
          <w:tblHeader/>
        </w:trPr>
        <w:tc>
          <w:tcPr>
            <w:tcW w:w="63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D33BFCA" w14:textId="77777777" w:rsidR="00F668A8" w:rsidRPr="00F00781" w:rsidRDefault="00F668A8" w:rsidP="005A18A5">
            <w:pPr>
              <w:jc w:val="center"/>
              <w:rPr>
                <w:rFonts w:ascii="Arial Narrow" w:hAnsi="Arial Narrow" w:cs="Calibri"/>
                <w:sz w:val="14"/>
                <w:szCs w:val="14"/>
              </w:rPr>
            </w:pPr>
            <w:r w:rsidRPr="00F00781">
              <w:rPr>
                <w:rFonts w:ascii="Arial Narrow" w:hAnsi="Arial Narrow" w:cs="Calibri"/>
                <w:sz w:val="14"/>
                <w:szCs w:val="14"/>
              </w:rPr>
              <w:t>Код</w:t>
            </w:r>
          </w:p>
        </w:tc>
        <w:tc>
          <w:tcPr>
            <w:tcW w:w="167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5519999" w14:textId="77777777" w:rsidR="00F668A8" w:rsidRPr="00F00781" w:rsidRDefault="00F668A8" w:rsidP="005A18A5">
            <w:pPr>
              <w:jc w:val="center"/>
              <w:rPr>
                <w:rFonts w:ascii="Arial Narrow" w:hAnsi="Arial Narrow" w:cs="Calibri"/>
                <w:sz w:val="14"/>
                <w:szCs w:val="14"/>
              </w:rPr>
            </w:pPr>
            <w:r w:rsidRPr="00F00781">
              <w:rPr>
                <w:rFonts w:ascii="Arial Narrow" w:hAnsi="Arial Narrow" w:cs="Calibri"/>
                <w:sz w:val="14"/>
                <w:szCs w:val="14"/>
              </w:rPr>
              <w:t xml:space="preserve">Продукти </w:t>
            </w:r>
          </w:p>
        </w:tc>
        <w:tc>
          <w:tcPr>
            <w:tcW w:w="12441" w:type="dxa"/>
            <w:gridSpan w:val="16"/>
            <w:tcBorders>
              <w:top w:val="single" w:sz="4" w:space="0" w:color="auto"/>
              <w:left w:val="nil"/>
              <w:bottom w:val="single" w:sz="4" w:space="0" w:color="auto"/>
              <w:right w:val="single" w:sz="4" w:space="0" w:color="auto"/>
            </w:tcBorders>
            <w:shd w:val="clear" w:color="auto" w:fill="auto"/>
            <w:vAlign w:val="center"/>
            <w:hideMark/>
          </w:tcPr>
          <w:p w14:paraId="367E6E08" w14:textId="77777777" w:rsidR="00F668A8" w:rsidRPr="00F00781" w:rsidRDefault="00F668A8" w:rsidP="005A18A5">
            <w:pPr>
              <w:jc w:val="center"/>
              <w:rPr>
                <w:rFonts w:ascii="Arial Narrow" w:hAnsi="Arial Narrow" w:cs="Calibri"/>
                <w:sz w:val="14"/>
                <w:szCs w:val="14"/>
              </w:rPr>
            </w:pPr>
            <w:r w:rsidRPr="00F00781">
              <w:rPr>
                <w:rFonts w:ascii="Arial Narrow" w:hAnsi="Arial Narrow" w:cs="Calibri"/>
                <w:sz w:val="14"/>
                <w:szCs w:val="14"/>
              </w:rPr>
              <w:t>Tекущи цени</w:t>
            </w:r>
          </w:p>
        </w:tc>
      </w:tr>
      <w:tr w:rsidR="00F00781" w:rsidRPr="00F00781" w14:paraId="6A227D18" w14:textId="77777777" w:rsidTr="00E01BBF">
        <w:trPr>
          <w:trHeight w:val="196"/>
          <w:tblHeader/>
        </w:trPr>
        <w:tc>
          <w:tcPr>
            <w:tcW w:w="632" w:type="dxa"/>
            <w:vMerge/>
            <w:tcBorders>
              <w:top w:val="single" w:sz="4" w:space="0" w:color="auto"/>
              <w:left w:val="single" w:sz="4" w:space="0" w:color="auto"/>
              <w:bottom w:val="single" w:sz="4" w:space="0" w:color="000000"/>
              <w:right w:val="single" w:sz="4" w:space="0" w:color="auto"/>
            </w:tcBorders>
            <w:vAlign w:val="center"/>
            <w:hideMark/>
          </w:tcPr>
          <w:p w14:paraId="347E0DFA" w14:textId="77777777" w:rsidR="00F668A8" w:rsidRPr="00F00781" w:rsidRDefault="00F668A8" w:rsidP="005A18A5">
            <w:pPr>
              <w:rPr>
                <w:rFonts w:ascii="Arial Narrow" w:hAnsi="Arial Narrow" w:cs="Calibri"/>
                <w:sz w:val="14"/>
                <w:szCs w:val="14"/>
              </w:rPr>
            </w:pPr>
          </w:p>
        </w:tc>
        <w:tc>
          <w:tcPr>
            <w:tcW w:w="1671" w:type="dxa"/>
            <w:vMerge/>
            <w:tcBorders>
              <w:top w:val="single" w:sz="4" w:space="0" w:color="auto"/>
              <w:left w:val="single" w:sz="4" w:space="0" w:color="auto"/>
              <w:bottom w:val="single" w:sz="4" w:space="0" w:color="000000"/>
              <w:right w:val="single" w:sz="4" w:space="0" w:color="auto"/>
            </w:tcBorders>
            <w:vAlign w:val="center"/>
            <w:hideMark/>
          </w:tcPr>
          <w:p w14:paraId="62EB095C" w14:textId="77777777" w:rsidR="00F668A8" w:rsidRPr="00F00781" w:rsidRDefault="00F668A8" w:rsidP="005A18A5">
            <w:pPr>
              <w:rPr>
                <w:rFonts w:ascii="Arial Narrow" w:hAnsi="Arial Narrow" w:cs="Calibri"/>
                <w:sz w:val="14"/>
                <w:szCs w:val="14"/>
              </w:rPr>
            </w:pPr>
          </w:p>
        </w:tc>
        <w:tc>
          <w:tcPr>
            <w:tcW w:w="773" w:type="dxa"/>
            <w:vMerge w:val="restart"/>
            <w:tcBorders>
              <w:top w:val="nil"/>
              <w:left w:val="single" w:sz="4" w:space="0" w:color="auto"/>
              <w:bottom w:val="single" w:sz="4" w:space="0" w:color="auto"/>
              <w:right w:val="single" w:sz="4" w:space="0" w:color="auto"/>
            </w:tcBorders>
            <w:shd w:val="clear" w:color="auto" w:fill="auto"/>
            <w:vAlign w:val="center"/>
            <w:hideMark/>
          </w:tcPr>
          <w:p w14:paraId="6DD2EA95" w14:textId="77777777" w:rsidR="00F668A8" w:rsidRPr="00F00781" w:rsidRDefault="00F668A8" w:rsidP="005A18A5">
            <w:pPr>
              <w:jc w:val="center"/>
              <w:rPr>
                <w:rFonts w:ascii="Arial Narrow" w:hAnsi="Arial Narrow" w:cs="Calibri"/>
                <w:sz w:val="14"/>
                <w:szCs w:val="14"/>
              </w:rPr>
            </w:pPr>
            <w:r w:rsidRPr="00F00781">
              <w:rPr>
                <w:rFonts w:ascii="Arial Narrow" w:hAnsi="Arial Narrow" w:cs="Calibri"/>
                <w:sz w:val="14"/>
                <w:szCs w:val="14"/>
              </w:rPr>
              <w:t>Брутна продукция</w:t>
            </w:r>
          </w:p>
        </w:tc>
        <w:tc>
          <w:tcPr>
            <w:tcW w:w="582" w:type="dxa"/>
            <w:vMerge w:val="restart"/>
            <w:tcBorders>
              <w:top w:val="nil"/>
              <w:left w:val="single" w:sz="4" w:space="0" w:color="auto"/>
              <w:bottom w:val="single" w:sz="4" w:space="0" w:color="auto"/>
              <w:right w:val="single" w:sz="4" w:space="0" w:color="auto"/>
            </w:tcBorders>
            <w:shd w:val="clear" w:color="auto" w:fill="auto"/>
            <w:vAlign w:val="center"/>
            <w:hideMark/>
          </w:tcPr>
          <w:p w14:paraId="4F7E4001" w14:textId="77777777" w:rsidR="00F668A8" w:rsidRPr="00F00781" w:rsidRDefault="00F668A8" w:rsidP="005A18A5">
            <w:pPr>
              <w:jc w:val="center"/>
              <w:rPr>
                <w:rFonts w:ascii="Arial Narrow" w:hAnsi="Arial Narrow" w:cs="Calibri"/>
                <w:sz w:val="14"/>
                <w:szCs w:val="14"/>
              </w:rPr>
            </w:pPr>
            <w:r w:rsidRPr="00F00781">
              <w:rPr>
                <w:rFonts w:ascii="Arial Narrow" w:hAnsi="Arial Narrow" w:cs="Calibri"/>
                <w:sz w:val="14"/>
                <w:szCs w:val="14"/>
              </w:rPr>
              <w:t>Загуби</w:t>
            </w:r>
          </w:p>
        </w:tc>
        <w:tc>
          <w:tcPr>
            <w:tcW w:w="681" w:type="dxa"/>
            <w:vMerge w:val="restart"/>
            <w:tcBorders>
              <w:top w:val="nil"/>
              <w:left w:val="single" w:sz="4" w:space="0" w:color="auto"/>
              <w:bottom w:val="single" w:sz="4" w:space="0" w:color="auto"/>
              <w:right w:val="single" w:sz="4" w:space="0" w:color="auto"/>
            </w:tcBorders>
            <w:shd w:val="clear" w:color="auto" w:fill="auto"/>
            <w:vAlign w:val="center"/>
            <w:hideMark/>
          </w:tcPr>
          <w:p w14:paraId="396A332A" w14:textId="77777777" w:rsidR="00F668A8" w:rsidRPr="00F00781" w:rsidRDefault="00F668A8" w:rsidP="005A18A5">
            <w:pPr>
              <w:jc w:val="center"/>
              <w:rPr>
                <w:rFonts w:ascii="Arial Narrow" w:hAnsi="Arial Narrow" w:cs="Calibri"/>
                <w:sz w:val="14"/>
                <w:szCs w:val="14"/>
              </w:rPr>
            </w:pPr>
            <w:r w:rsidRPr="00F00781">
              <w:rPr>
                <w:rFonts w:ascii="Arial Narrow" w:hAnsi="Arial Narrow" w:cs="Calibri"/>
                <w:sz w:val="14"/>
                <w:szCs w:val="14"/>
              </w:rPr>
              <w:t>Начални запаси</w:t>
            </w:r>
          </w:p>
        </w:tc>
        <w:tc>
          <w:tcPr>
            <w:tcW w:w="2019"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A39B311" w14:textId="77777777" w:rsidR="00F668A8" w:rsidRPr="00F00781" w:rsidRDefault="00F668A8" w:rsidP="005A18A5">
            <w:pPr>
              <w:jc w:val="center"/>
              <w:rPr>
                <w:rFonts w:ascii="Arial Narrow" w:hAnsi="Arial Narrow" w:cs="Calibri"/>
                <w:sz w:val="14"/>
                <w:szCs w:val="14"/>
              </w:rPr>
            </w:pPr>
            <w:r w:rsidRPr="00F00781">
              <w:rPr>
                <w:rFonts w:ascii="Arial Narrow" w:hAnsi="Arial Narrow" w:cs="Calibri"/>
                <w:sz w:val="14"/>
                <w:szCs w:val="14"/>
              </w:rPr>
              <w:t>Употребено в единицата</w:t>
            </w:r>
          </w:p>
        </w:tc>
        <w:tc>
          <w:tcPr>
            <w:tcW w:w="1143" w:type="dxa"/>
            <w:vMerge w:val="restart"/>
            <w:tcBorders>
              <w:top w:val="nil"/>
              <w:left w:val="single" w:sz="4" w:space="0" w:color="auto"/>
              <w:bottom w:val="single" w:sz="4" w:space="0" w:color="auto"/>
              <w:right w:val="single" w:sz="4" w:space="0" w:color="auto"/>
            </w:tcBorders>
            <w:shd w:val="clear" w:color="auto" w:fill="auto"/>
            <w:vAlign w:val="center"/>
            <w:hideMark/>
          </w:tcPr>
          <w:p w14:paraId="529760BA" w14:textId="77777777" w:rsidR="00F668A8" w:rsidRPr="00F00781" w:rsidRDefault="00F668A8" w:rsidP="005A18A5">
            <w:pPr>
              <w:jc w:val="center"/>
              <w:rPr>
                <w:rFonts w:ascii="Arial Narrow" w:hAnsi="Arial Narrow" w:cs="Calibri"/>
                <w:sz w:val="14"/>
                <w:szCs w:val="14"/>
              </w:rPr>
            </w:pPr>
            <w:r w:rsidRPr="00F00781">
              <w:rPr>
                <w:rFonts w:ascii="Arial Narrow" w:hAnsi="Arial Narrow" w:cs="Calibri"/>
                <w:sz w:val="14"/>
                <w:szCs w:val="14"/>
              </w:rPr>
              <w:t>Преработено от производителите</w:t>
            </w:r>
          </w:p>
        </w:tc>
        <w:tc>
          <w:tcPr>
            <w:tcW w:w="1200" w:type="dxa"/>
            <w:vMerge w:val="restart"/>
            <w:tcBorders>
              <w:top w:val="nil"/>
              <w:left w:val="single" w:sz="4" w:space="0" w:color="auto"/>
              <w:bottom w:val="single" w:sz="4" w:space="0" w:color="auto"/>
              <w:right w:val="single" w:sz="4" w:space="0" w:color="auto"/>
            </w:tcBorders>
            <w:shd w:val="clear" w:color="auto" w:fill="auto"/>
            <w:vAlign w:val="center"/>
            <w:hideMark/>
          </w:tcPr>
          <w:p w14:paraId="14669956" w14:textId="77777777" w:rsidR="00F668A8" w:rsidRPr="00F00781" w:rsidRDefault="00F668A8" w:rsidP="005A18A5">
            <w:pPr>
              <w:jc w:val="center"/>
              <w:rPr>
                <w:rFonts w:ascii="Arial Narrow" w:hAnsi="Arial Narrow" w:cs="Calibri"/>
                <w:sz w:val="14"/>
                <w:szCs w:val="14"/>
              </w:rPr>
            </w:pPr>
            <w:r w:rsidRPr="00F00781">
              <w:rPr>
                <w:rFonts w:ascii="Arial Narrow" w:hAnsi="Arial Narrow" w:cs="Calibri"/>
                <w:sz w:val="14"/>
                <w:szCs w:val="14"/>
              </w:rPr>
              <w:t>Самопотребление</w:t>
            </w:r>
          </w:p>
        </w:tc>
        <w:tc>
          <w:tcPr>
            <w:tcW w:w="2140" w:type="dxa"/>
            <w:gridSpan w:val="3"/>
            <w:tcBorders>
              <w:top w:val="single" w:sz="4" w:space="0" w:color="auto"/>
              <w:left w:val="nil"/>
              <w:bottom w:val="single" w:sz="4" w:space="0" w:color="auto"/>
              <w:right w:val="single" w:sz="4" w:space="0" w:color="auto"/>
            </w:tcBorders>
            <w:shd w:val="clear" w:color="auto" w:fill="auto"/>
            <w:vAlign w:val="center"/>
            <w:hideMark/>
          </w:tcPr>
          <w:p w14:paraId="3F1542F2" w14:textId="77777777" w:rsidR="00F668A8" w:rsidRPr="00F00781" w:rsidRDefault="00F668A8" w:rsidP="005A18A5">
            <w:pPr>
              <w:jc w:val="center"/>
              <w:rPr>
                <w:rFonts w:ascii="Arial Narrow" w:hAnsi="Arial Narrow" w:cs="Calibri"/>
                <w:sz w:val="14"/>
                <w:szCs w:val="14"/>
              </w:rPr>
            </w:pPr>
            <w:r w:rsidRPr="00F00781">
              <w:rPr>
                <w:rFonts w:ascii="Arial Narrow" w:hAnsi="Arial Narrow" w:cs="Calibri"/>
                <w:sz w:val="14"/>
                <w:szCs w:val="14"/>
              </w:rPr>
              <w:t>Продажби</w:t>
            </w:r>
          </w:p>
        </w:tc>
        <w:tc>
          <w:tcPr>
            <w:tcW w:w="765" w:type="dxa"/>
            <w:vMerge w:val="restart"/>
            <w:tcBorders>
              <w:top w:val="nil"/>
              <w:left w:val="single" w:sz="4" w:space="0" w:color="auto"/>
              <w:bottom w:val="single" w:sz="4" w:space="0" w:color="auto"/>
              <w:right w:val="single" w:sz="4" w:space="0" w:color="auto"/>
            </w:tcBorders>
            <w:shd w:val="clear" w:color="auto" w:fill="auto"/>
            <w:vAlign w:val="center"/>
            <w:hideMark/>
          </w:tcPr>
          <w:p w14:paraId="2DB61B6D" w14:textId="77777777" w:rsidR="00F668A8" w:rsidRPr="00F00781" w:rsidRDefault="00F668A8" w:rsidP="005A18A5">
            <w:pPr>
              <w:jc w:val="center"/>
              <w:rPr>
                <w:rFonts w:ascii="Arial Narrow" w:hAnsi="Arial Narrow" w:cs="Calibri"/>
                <w:sz w:val="14"/>
                <w:szCs w:val="14"/>
              </w:rPr>
            </w:pPr>
            <w:r w:rsidRPr="00F00781">
              <w:rPr>
                <w:rFonts w:ascii="Arial Narrow" w:hAnsi="Arial Narrow" w:cs="Calibri"/>
                <w:sz w:val="14"/>
                <w:szCs w:val="14"/>
              </w:rPr>
              <w:t>Продажби - общо</w:t>
            </w:r>
          </w:p>
        </w:tc>
        <w:tc>
          <w:tcPr>
            <w:tcW w:w="970" w:type="dxa"/>
            <w:vMerge w:val="restart"/>
            <w:tcBorders>
              <w:top w:val="nil"/>
              <w:left w:val="single" w:sz="4" w:space="0" w:color="auto"/>
              <w:bottom w:val="single" w:sz="4" w:space="0" w:color="auto"/>
              <w:right w:val="single" w:sz="4" w:space="0" w:color="auto"/>
            </w:tcBorders>
            <w:shd w:val="clear" w:color="auto" w:fill="auto"/>
            <w:vAlign w:val="center"/>
            <w:hideMark/>
          </w:tcPr>
          <w:p w14:paraId="3E46F273" w14:textId="77777777" w:rsidR="00F668A8" w:rsidRPr="00F00781" w:rsidRDefault="00F668A8" w:rsidP="005A18A5">
            <w:pPr>
              <w:jc w:val="center"/>
              <w:rPr>
                <w:rFonts w:ascii="Arial Narrow" w:hAnsi="Arial Narrow" w:cs="Calibri"/>
                <w:sz w:val="14"/>
                <w:szCs w:val="14"/>
              </w:rPr>
            </w:pPr>
            <w:r w:rsidRPr="00F00781">
              <w:rPr>
                <w:rFonts w:ascii="Arial Narrow" w:hAnsi="Arial Narrow" w:cs="Calibri"/>
                <w:sz w:val="14"/>
                <w:szCs w:val="14"/>
              </w:rPr>
              <w:t>Производство на стоки от основен капитал за собствена сметка</w:t>
            </w:r>
          </w:p>
        </w:tc>
        <w:tc>
          <w:tcPr>
            <w:tcW w:w="602" w:type="dxa"/>
            <w:vMerge w:val="restart"/>
            <w:tcBorders>
              <w:top w:val="nil"/>
              <w:left w:val="single" w:sz="4" w:space="0" w:color="auto"/>
              <w:bottom w:val="single" w:sz="4" w:space="0" w:color="auto"/>
              <w:right w:val="single" w:sz="4" w:space="0" w:color="auto"/>
            </w:tcBorders>
            <w:shd w:val="clear" w:color="auto" w:fill="auto"/>
            <w:vAlign w:val="center"/>
            <w:hideMark/>
          </w:tcPr>
          <w:p w14:paraId="42CFF50D" w14:textId="77777777" w:rsidR="00F668A8" w:rsidRPr="00F00781" w:rsidRDefault="00F668A8" w:rsidP="005A18A5">
            <w:pPr>
              <w:jc w:val="center"/>
              <w:rPr>
                <w:rFonts w:ascii="Arial Narrow" w:hAnsi="Arial Narrow" w:cs="Calibri"/>
                <w:sz w:val="14"/>
                <w:szCs w:val="14"/>
              </w:rPr>
            </w:pPr>
            <w:r w:rsidRPr="00F00781">
              <w:rPr>
                <w:rFonts w:ascii="Arial Narrow" w:hAnsi="Arial Narrow" w:cs="Calibri"/>
                <w:sz w:val="14"/>
                <w:szCs w:val="14"/>
              </w:rPr>
              <w:t>Крайни запаси</w:t>
            </w:r>
          </w:p>
        </w:tc>
        <w:tc>
          <w:tcPr>
            <w:tcW w:w="697" w:type="dxa"/>
            <w:vMerge w:val="restart"/>
            <w:tcBorders>
              <w:top w:val="nil"/>
              <w:left w:val="single" w:sz="4" w:space="0" w:color="auto"/>
              <w:bottom w:val="single" w:sz="4" w:space="0" w:color="auto"/>
              <w:right w:val="single" w:sz="4" w:space="0" w:color="auto"/>
            </w:tcBorders>
            <w:shd w:val="clear" w:color="auto" w:fill="auto"/>
            <w:vAlign w:val="center"/>
            <w:hideMark/>
          </w:tcPr>
          <w:p w14:paraId="3EF8D44E" w14:textId="77777777" w:rsidR="00F668A8" w:rsidRPr="00F00781" w:rsidRDefault="00F668A8" w:rsidP="005A18A5">
            <w:pPr>
              <w:jc w:val="center"/>
              <w:rPr>
                <w:rFonts w:ascii="Arial Narrow" w:hAnsi="Arial Narrow" w:cs="Calibri"/>
                <w:sz w:val="14"/>
                <w:szCs w:val="14"/>
              </w:rPr>
            </w:pPr>
            <w:r w:rsidRPr="00F00781">
              <w:rPr>
                <w:rFonts w:ascii="Arial Narrow" w:hAnsi="Arial Narrow" w:cs="Calibri"/>
                <w:sz w:val="14"/>
                <w:szCs w:val="14"/>
              </w:rPr>
              <w:t>Промяна в запасите</w:t>
            </w:r>
          </w:p>
        </w:tc>
        <w:tc>
          <w:tcPr>
            <w:tcW w:w="869" w:type="dxa"/>
            <w:vMerge w:val="restart"/>
            <w:tcBorders>
              <w:top w:val="nil"/>
              <w:left w:val="single" w:sz="4" w:space="0" w:color="auto"/>
              <w:bottom w:val="single" w:sz="4" w:space="0" w:color="auto"/>
              <w:right w:val="single" w:sz="4" w:space="0" w:color="auto"/>
            </w:tcBorders>
            <w:shd w:val="clear" w:color="auto" w:fill="auto"/>
            <w:vAlign w:val="center"/>
            <w:hideMark/>
          </w:tcPr>
          <w:p w14:paraId="6AF59358" w14:textId="77777777" w:rsidR="00F668A8" w:rsidRPr="00F00781" w:rsidRDefault="00F668A8" w:rsidP="005A18A5">
            <w:pPr>
              <w:jc w:val="center"/>
              <w:rPr>
                <w:rFonts w:ascii="Arial Narrow" w:hAnsi="Arial Narrow" w:cs="Calibri"/>
                <w:sz w:val="14"/>
                <w:szCs w:val="14"/>
              </w:rPr>
            </w:pPr>
            <w:r w:rsidRPr="00F00781">
              <w:rPr>
                <w:rFonts w:ascii="Arial Narrow" w:hAnsi="Arial Narrow" w:cs="Calibri"/>
                <w:sz w:val="14"/>
                <w:szCs w:val="14"/>
              </w:rPr>
              <w:t xml:space="preserve">Крайна продукция </w:t>
            </w:r>
          </w:p>
        </w:tc>
      </w:tr>
      <w:tr w:rsidR="00F00781" w:rsidRPr="00F00781" w14:paraId="0E432D8B" w14:textId="77777777" w:rsidTr="00E01BBF">
        <w:trPr>
          <w:trHeight w:val="356"/>
        </w:trPr>
        <w:tc>
          <w:tcPr>
            <w:tcW w:w="632" w:type="dxa"/>
            <w:vMerge/>
            <w:tcBorders>
              <w:top w:val="single" w:sz="4" w:space="0" w:color="auto"/>
              <w:left w:val="single" w:sz="4" w:space="0" w:color="auto"/>
              <w:bottom w:val="single" w:sz="4" w:space="0" w:color="000000"/>
              <w:right w:val="single" w:sz="4" w:space="0" w:color="auto"/>
            </w:tcBorders>
            <w:vAlign w:val="center"/>
            <w:hideMark/>
          </w:tcPr>
          <w:p w14:paraId="4825F1BD" w14:textId="77777777" w:rsidR="00F668A8" w:rsidRPr="00F00781" w:rsidRDefault="00F668A8" w:rsidP="005A18A5">
            <w:pPr>
              <w:rPr>
                <w:rFonts w:ascii="Arial Narrow" w:hAnsi="Arial Narrow" w:cs="Calibri"/>
                <w:sz w:val="14"/>
                <w:szCs w:val="14"/>
              </w:rPr>
            </w:pPr>
          </w:p>
        </w:tc>
        <w:tc>
          <w:tcPr>
            <w:tcW w:w="1671" w:type="dxa"/>
            <w:vMerge/>
            <w:tcBorders>
              <w:top w:val="single" w:sz="4" w:space="0" w:color="auto"/>
              <w:left w:val="single" w:sz="4" w:space="0" w:color="auto"/>
              <w:bottom w:val="single" w:sz="4" w:space="0" w:color="000000"/>
              <w:right w:val="single" w:sz="4" w:space="0" w:color="auto"/>
            </w:tcBorders>
            <w:vAlign w:val="center"/>
            <w:hideMark/>
          </w:tcPr>
          <w:p w14:paraId="72B7A856" w14:textId="77777777" w:rsidR="00F668A8" w:rsidRPr="00F00781" w:rsidRDefault="00F668A8" w:rsidP="005A18A5">
            <w:pPr>
              <w:rPr>
                <w:rFonts w:ascii="Arial Narrow" w:hAnsi="Arial Narrow" w:cs="Calibri"/>
                <w:sz w:val="14"/>
                <w:szCs w:val="14"/>
              </w:rPr>
            </w:pPr>
          </w:p>
        </w:tc>
        <w:tc>
          <w:tcPr>
            <w:tcW w:w="773" w:type="dxa"/>
            <w:vMerge/>
            <w:tcBorders>
              <w:top w:val="nil"/>
              <w:left w:val="single" w:sz="4" w:space="0" w:color="auto"/>
              <w:bottom w:val="single" w:sz="4" w:space="0" w:color="auto"/>
              <w:right w:val="single" w:sz="4" w:space="0" w:color="auto"/>
            </w:tcBorders>
            <w:vAlign w:val="center"/>
            <w:hideMark/>
          </w:tcPr>
          <w:p w14:paraId="0AC1F2CB" w14:textId="77777777" w:rsidR="00F668A8" w:rsidRPr="00F00781" w:rsidRDefault="00F668A8" w:rsidP="005A18A5">
            <w:pPr>
              <w:rPr>
                <w:rFonts w:ascii="Arial Narrow" w:hAnsi="Arial Narrow" w:cs="Calibri"/>
                <w:sz w:val="14"/>
                <w:szCs w:val="14"/>
              </w:rPr>
            </w:pPr>
          </w:p>
        </w:tc>
        <w:tc>
          <w:tcPr>
            <w:tcW w:w="582" w:type="dxa"/>
            <w:vMerge/>
            <w:tcBorders>
              <w:top w:val="nil"/>
              <w:left w:val="single" w:sz="4" w:space="0" w:color="auto"/>
              <w:bottom w:val="single" w:sz="4" w:space="0" w:color="auto"/>
              <w:right w:val="single" w:sz="4" w:space="0" w:color="auto"/>
            </w:tcBorders>
            <w:vAlign w:val="center"/>
            <w:hideMark/>
          </w:tcPr>
          <w:p w14:paraId="4D8BF97D" w14:textId="77777777" w:rsidR="00F668A8" w:rsidRPr="00F00781" w:rsidRDefault="00F668A8" w:rsidP="005A18A5">
            <w:pPr>
              <w:rPr>
                <w:rFonts w:ascii="Arial Narrow" w:hAnsi="Arial Narrow" w:cs="Calibri"/>
                <w:sz w:val="14"/>
                <w:szCs w:val="14"/>
              </w:rPr>
            </w:pPr>
          </w:p>
        </w:tc>
        <w:tc>
          <w:tcPr>
            <w:tcW w:w="681" w:type="dxa"/>
            <w:vMerge/>
            <w:tcBorders>
              <w:top w:val="nil"/>
              <w:left w:val="single" w:sz="4" w:space="0" w:color="auto"/>
              <w:bottom w:val="single" w:sz="4" w:space="0" w:color="auto"/>
              <w:right w:val="single" w:sz="4" w:space="0" w:color="auto"/>
            </w:tcBorders>
            <w:vAlign w:val="center"/>
            <w:hideMark/>
          </w:tcPr>
          <w:p w14:paraId="0DEEFC8A" w14:textId="77777777" w:rsidR="00F668A8" w:rsidRPr="00F00781" w:rsidRDefault="00F668A8" w:rsidP="005A18A5">
            <w:pPr>
              <w:rPr>
                <w:rFonts w:ascii="Arial Narrow" w:hAnsi="Arial Narrow" w:cs="Calibri"/>
                <w:sz w:val="14"/>
                <w:szCs w:val="14"/>
              </w:rPr>
            </w:pPr>
          </w:p>
        </w:tc>
        <w:tc>
          <w:tcPr>
            <w:tcW w:w="2019" w:type="dxa"/>
            <w:gridSpan w:val="3"/>
            <w:vMerge/>
            <w:tcBorders>
              <w:top w:val="single" w:sz="4" w:space="0" w:color="auto"/>
              <w:left w:val="single" w:sz="4" w:space="0" w:color="auto"/>
              <w:bottom w:val="single" w:sz="4" w:space="0" w:color="auto"/>
              <w:right w:val="single" w:sz="4" w:space="0" w:color="auto"/>
            </w:tcBorders>
            <w:vAlign w:val="center"/>
            <w:hideMark/>
          </w:tcPr>
          <w:p w14:paraId="245B0297" w14:textId="77777777" w:rsidR="00F668A8" w:rsidRPr="00F00781" w:rsidRDefault="00F668A8" w:rsidP="005A18A5">
            <w:pPr>
              <w:rPr>
                <w:rFonts w:ascii="Arial Narrow" w:hAnsi="Arial Narrow" w:cs="Calibri"/>
                <w:sz w:val="14"/>
                <w:szCs w:val="14"/>
              </w:rPr>
            </w:pPr>
          </w:p>
        </w:tc>
        <w:tc>
          <w:tcPr>
            <w:tcW w:w="1143" w:type="dxa"/>
            <w:vMerge/>
            <w:tcBorders>
              <w:top w:val="nil"/>
              <w:left w:val="single" w:sz="4" w:space="0" w:color="auto"/>
              <w:bottom w:val="single" w:sz="4" w:space="0" w:color="auto"/>
              <w:right w:val="single" w:sz="4" w:space="0" w:color="auto"/>
            </w:tcBorders>
            <w:vAlign w:val="center"/>
            <w:hideMark/>
          </w:tcPr>
          <w:p w14:paraId="527F2722" w14:textId="77777777" w:rsidR="00F668A8" w:rsidRPr="00F00781" w:rsidRDefault="00F668A8" w:rsidP="005A18A5">
            <w:pPr>
              <w:rPr>
                <w:rFonts w:ascii="Arial Narrow" w:hAnsi="Arial Narrow" w:cs="Calibri"/>
                <w:sz w:val="14"/>
                <w:szCs w:val="14"/>
              </w:rPr>
            </w:pPr>
          </w:p>
        </w:tc>
        <w:tc>
          <w:tcPr>
            <w:tcW w:w="1200" w:type="dxa"/>
            <w:vMerge/>
            <w:tcBorders>
              <w:top w:val="nil"/>
              <w:left w:val="single" w:sz="4" w:space="0" w:color="auto"/>
              <w:bottom w:val="single" w:sz="4" w:space="0" w:color="auto"/>
              <w:right w:val="single" w:sz="4" w:space="0" w:color="auto"/>
            </w:tcBorders>
            <w:vAlign w:val="center"/>
            <w:hideMark/>
          </w:tcPr>
          <w:p w14:paraId="730D19BE" w14:textId="77777777" w:rsidR="00F668A8" w:rsidRPr="00F00781" w:rsidRDefault="00F668A8" w:rsidP="005A18A5">
            <w:pPr>
              <w:rPr>
                <w:rFonts w:ascii="Arial Narrow" w:hAnsi="Arial Narrow" w:cs="Calibri"/>
                <w:sz w:val="14"/>
                <w:szCs w:val="14"/>
              </w:rPr>
            </w:pPr>
          </w:p>
        </w:tc>
        <w:tc>
          <w:tcPr>
            <w:tcW w:w="1442" w:type="dxa"/>
            <w:gridSpan w:val="2"/>
            <w:tcBorders>
              <w:top w:val="single" w:sz="4" w:space="0" w:color="auto"/>
              <w:left w:val="nil"/>
              <w:bottom w:val="single" w:sz="4" w:space="0" w:color="auto"/>
              <w:right w:val="single" w:sz="4" w:space="0" w:color="auto"/>
            </w:tcBorders>
            <w:shd w:val="clear" w:color="auto" w:fill="auto"/>
            <w:vAlign w:val="center"/>
            <w:hideMark/>
          </w:tcPr>
          <w:p w14:paraId="58A1786C" w14:textId="77777777" w:rsidR="00F668A8" w:rsidRPr="00F00781" w:rsidRDefault="00F668A8" w:rsidP="005A18A5">
            <w:pPr>
              <w:jc w:val="center"/>
              <w:rPr>
                <w:rFonts w:ascii="Arial Narrow" w:hAnsi="Arial Narrow" w:cs="Calibri"/>
                <w:sz w:val="14"/>
                <w:szCs w:val="14"/>
              </w:rPr>
            </w:pPr>
            <w:r w:rsidRPr="00F00781">
              <w:rPr>
                <w:rFonts w:ascii="Arial Narrow" w:hAnsi="Arial Narrow" w:cs="Calibri"/>
                <w:sz w:val="14"/>
                <w:szCs w:val="14"/>
              </w:rPr>
              <w:t>в рамките на страната</w:t>
            </w:r>
          </w:p>
        </w:tc>
        <w:tc>
          <w:tcPr>
            <w:tcW w:w="698" w:type="dxa"/>
            <w:vMerge w:val="restart"/>
            <w:tcBorders>
              <w:top w:val="nil"/>
              <w:left w:val="single" w:sz="4" w:space="0" w:color="auto"/>
              <w:bottom w:val="single" w:sz="4" w:space="0" w:color="auto"/>
              <w:right w:val="single" w:sz="4" w:space="0" w:color="auto"/>
            </w:tcBorders>
            <w:shd w:val="clear" w:color="auto" w:fill="auto"/>
            <w:vAlign w:val="center"/>
            <w:hideMark/>
          </w:tcPr>
          <w:p w14:paraId="45959E60" w14:textId="77777777" w:rsidR="00F668A8" w:rsidRPr="00F00781" w:rsidRDefault="00F668A8" w:rsidP="005A18A5">
            <w:pPr>
              <w:jc w:val="center"/>
              <w:rPr>
                <w:rFonts w:ascii="Arial Narrow" w:hAnsi="Arial Narrow" w:cs="Calibri"/>
                <w:sz w:val="14"/>
                <w:szCs w:val="14"/>
              </w:rPr>
            </w:pPr>
            <w:r w:rsidRPr="00F00781">
              <w:rPr>
                <w:rFonts w:ascii="Arial Narrow" w:hAnsi="Arial Narrow" w:cs="Calibri"/>
                <w:sz w:val="14"/>
                <w:szCs w:val="14"/>
              </w:rPr>
              <w:t>извън страната</w:t>
            </w:r>
          </w:p>
        </w:tc>
        <w:tc>
          <w:tcPr>
            <w:tcW w:w="765" w:type="dxa"/>
            <w:vMerge/>
            <w:tcBorders>
              <w:top w:val="nil"/>
              <w:left w:val="single" w:sz="4" w:space="0" w:color="auto"/>
              <w:bottom w:val="single" w:sz="4" w:space="0" w:color="auto"/>
              <w:right w:val="single" w:sz="4" w:space="0" w:color="auto"/>
            </w:tcBorders>
            <w:vAlign w:val="center"/>
            <w:hideMark/>
          </w:tcPr>
          <w:p w14:paraId="17E9AC3C" w14:textId="77777777" w:rsidR="00F668A8" w:rsidRPr="00F00781" w:rsidRDefault="00F668A8" w:rsidP="005A18A5">
            <w:pPr>
              <w:rPr>
                <w:rFonts w:ascii="Arial Narrow" w:hAnsi="Arial Narrow" w:cs="Calibri"/>
                <w:sz w:val="14"/>
                <w:szCs w:val="14"/>
              </w:rPr>
            </w:pPr>
          </w:p>
        </w:tc>
        <w:tc>
          <w:tcPr>
            <w:tcW w:w="970" w:type="dxa"/>
            <w:vMerge/>
            <w:tcBorders>
              <w:top w:val="nil"/>
              <w:left w:val="single" w:sz="4" w:space="0" w:color="auto"/>
              <w:bottom w:val="single" w:sz="4" w:space="0" w:color="auto"/>
              <w:right w:val="single" w:sz="4" w:space="0" w:color="auto"/>
            </w:tcBorders>
            <w:vAlign w:val="center"/>
            <w:hideMark/>
          </w:tcPr>
          <w:p w14:paraId="7A8127BA" w14:textId="77777777" w:rsidR="00F668A8" w:rsidRPr="00F00781" w:rsidRDefault="00F668A8" w:rsidP="005A18A5">
            <w:pPr>
              <w:rPr>
                <w:rFonts w:ascii="Arial Narrow" w:hAnsi="Arial Narrow" w:cs="Calibri"/>
                <w:sz w:val="14"/>
                <w:szCs w:val="14"/>
              </w:rPr>
            </w:pPr>
          </w:p>
        </w:tc>
        <w:tc>
          <w:tcPr>
            <w:tcW w:w="602" w:type="dxa"/>
            <w:vMerge/>
            <w:tcBorders>
              <w:top w:val="nil"/>
              <w:left w:val="single" w:sz="4" w:space="0" w:color="auto"/>
              <w:bottom w:val="single" w:sz="4" w:space="0" w:color="auto"/>
              <w:right w:val="single" w:sz="4" w:space="0" w:color="auto"/>
            </w:tcBorders>
            <w:vAlign w:val="center"/>
            <w:hideMark/>
          </w:tcPr>
          <w:p w14:paraId="47DDF1AC" w14:textId="77777777" w:rsidR="00F668A8" w:rsidRPr="00F00781" w:rsidRDefault="00F668A8" w:rsidP="005A18A5">
            <w:pPr>
              <w:rPr>
                <w:rFonts w:ascii="Arial Narrow" w:hAnsi="Arial Narrow" w:cs="Calibri"/>
                <w:sz w:val="14"/>
                <w:szCs w:val="14"/>
              </w:rPr>
            </w:pPr>
          </w:p>
        </w:tc>
        <w:tc>
          <w:tcPr>
            <w:tcW w:w="697" w:type="dxa"/>
            <w:vMerge/>
            <w:tcBorders>
              <w:top w:val="nil"/>
              <w:left w:val="single" w:sz="4" w:space="0" w:color="auto"/>
              <w:bottom w:val="single" w:sz="4" w:space="0" w:color="auto"/>
              <w:right w:val="single" w:sz="4" w:space="0" w:color="auto"/>
            </w:tcBorders>
            <w:vAlign w:val="center"/>
            <w:hideMark/>
          </w:tcPr>
          <w:p w14:paraId="288D2AED" w14:textId="77777777" w:rsidR="00F668A8" w:rsidRPr="00F00781" w:rsidRDefault="00F668A8" w:rsidP="005A18A5">
            <w:pPr>
              <w:rPr>
                <w:rFonts w:ascii="Arial Narrow" w:hAnsi="Arial Narrow" w:cs="Calibri"/>
                <w:sz w:val="14"/>
                <w:szCs w:val="14"/>
              </w:rPr>
            </w:pPr>
          </w:p>
        </w:tc>
        <w:tc>
          <w:tcPr>
            <w:tcW w:w="869" w:type="dxa"/>
            <w:vMerge/>
            <w:tcBorders>
              <w:top w:val="nil"/>
              <w:left w:val="single" w:sz="4" w:space="0" w:color="auto"/>
              <w:bottom w:val="single" w:sz="4" w:space="0" w:color="auto"/>
              <w:right w:val="single" w:sz="4" w:space="0" w:color="auto"/>
            </w:tcBorders>
            <w:vAlign w:val="center"/>
            <w:hideMark/>
          </w:tcPr>
          <w:p w14:paraId="4AB49EF6" w14:textId="77777777" w:rsidR="00F668A8" w:rsidRPr="00F00781" w:rsidRDefault="00F668A8" w:rsidP="005A18A5">
            <w:pPr>
              <w:rPr>
                <w:rFonts w:ascii="Arial Narrow" w:hAnsi="Arial Narrow" w:cs="Calibri"/>
                <w:sz w:val="14"/>
                <w:szCs w:val="14"/>
              </w:rPr>
            </w:pPr>
          </w:p>
        </w:tc>
      </w:tr>
      <w:tr w:rsidR="00F00781" w:rsidRPr="00F00781" w14:paraId="4B31DB9A" w14:textId="77777777" w:rsidTr="00E01BBF">
        <w:trPr>
          <w:trHeight w:val="589"/>
        </w:trPr>
        <w:tc>
          <w:tcPr>
            <w:tcW w:w="632" w:type="dxa"/>
            <w:vMerge/>
            <w:tcBorders>
              <w:top w:val="single" w:sz="4" w:space="0" w:color="auto"/>
              <w:left w:val="single" w:sz="4" w:space="0" w:color="auto"/>
              <w:bottom w:val="single" w:sz="4" w:space="0" w:color="000000"/>
              <w:right w:val="single" w:sz="4" w:space="0" w:color="auto"/>
            </w:tcBorders>
            <w:vAlign w:val="center"/>
            <w:hideMark/>
          </w:tcPr>
          <w:p w14:paraId="4236EFBC" w14:textId="77777777" w:rsidR="00F668A8" w:rsidRPr="00F00781" w:rsidRDefault="00F668A8" w:rsidP="005A18A5">
            <w:pPr>
              <w:rPr>
                <w:rFonts w:ascii="Arial Narrow" w:hAnsi="Arial Narrow" w:cs="Calibri"/>
                <w:sz w:val="14"/>
                <w:szCs w:val="14"/>
              </w:rPr>
            </w:pPr>
          </w:p>
        </w:tc>
        <w:tc>
          <w:tcPr>
            <w:tcW w:w="1671" w:type="dxa"/>
            <w:vMerge/>
            <w:tcBorders>
              <w:top w:val="single" w:sz="4" w:space="0" w:color="auto"/>
              <w:left w:val="single" w:sz="4" w:space="0" w:color="auto"/>
              <w:bottom w:val="single" w:sz="4" w:space="0" w:color="000000"/>
              <w:right w:val="single" w:sz="4" w:space="0" w:color="auto"/>
            </w:tcBorders>
            <w:vAlign w:val="center"/>
            <w:hideMark/>
          </w:tcPr>
          <w:p w14:paraId="5097C8A7" w14:textId="77777777" w:rsidR="00F668A8" w:rsidRPr="00F00781" w:rsidRDefault="00F668A8" w:rsidP="005A18A5">
            <w:pPr>
              <w:rPr>
                <w:rFonts w:ascii="Arial Narrow" w:hAnsi="Arial Narrow" w:cs="Calibri"/>
                <w:sz w:val="14"/>
                <w:szCs w:val="14"/>
              </w:rPr>
            </w:pPr>
          </w:p>
        </w:tc>
        <w:tc>
          <w:tcPr>
            <w:tcW w:w="773" w:type="dxa"/>
            <w:vMerge/>
            <w:tcBorders>
              <w:top w:val="nil"/>
              <w:left w:val="single" w:sz="4" w:space="0" w:color="auto"/>
              <w:bottom w:val="single" w:sz="4" w:space="0" w:color="auto"/>
              <w:right w:val="single" w:sz="4" w:space="0" w:color="auto"/>
            </w:tcBorders>
            <w:vAlign w:val="center"/>
            <w:hideMark/>
          </w:tcPr>
          <w:p w14:paraId="69F981D6" w14:textId="77777777" w:rsidR="00F668A8" w:rsidRPr="00F00781" w:rsidRDefault="00F668A8" w:rsidP="005A18A5">
            <w:pPr>
              <w:rPr>
                <w:rFonts w:ascii="Arial Narrow" w:hAnsi="Arial Narrow" w:cs="Calibri"/>
                <w:sz w:val="14"/>
                <w:szCs w:val="14"/>
              </w:rPr>
            </w:pPr>
          </w:p>
        </w:tc>
        <w:tc>
          <w:tcPr>
            <w:tcW w:w="582" w:type="dxa"/>
            <w:vMerge/>
            <w:tcBorders>
              <w:top w:val="nil"/>
              <w:left w:val="single" w:sz="4" w:space="0" w:color="auto"/>
              <w:bottom w:val="single" w:sz="4" w:space="0" w:color="auto"/>
              <w:right w:val="single" w:sz="4" w:space="0" w:color="auto"/>
            </w:tcBorders>
            <w:vAlign w:val="center"/>
            <w:hideMark/>
          </w:tcPr>
          <w:p w14:paraId="23F6E069" w14:textId="77777777" w:rsidR="00F668A8" w:rsidRPr="00F00781" w:rsidRDefault="00F668A8" w:rsidP="005A18A5">
            <w:pPr>
              <w:rPr>
                <w:rFonts w:ascii="Arial Narrow" w:hAnsi="Arial Narrow" w:cs="Calibri"/>
                <w:sz w:val="14"/>
                <w:szCs w:val="14"/>
              </w:rPr>
            </w:pPr>
          </w:p>
        </w:tc>
        <w:tc>
          <w:tcPr>
            <w:tcW w:w="681" w:type="dxa"/>
            <w:vMerge/>
            <w:tcBorders>
              <w:top w:val="nil"/>
              <w:left w:val="single" w:sz="4" w:space="0" w:color="auto"/>
              <w:bottom w:val="single" w:sz="4" w:space="0" w:color="auto"/>
              <w:right w:val="single" w:sz="4" w:space="0" w:color="auto"/>
            </w:tcBorders>
            <w:vAlign w:val="center"/>
            <w:hideMark/>
          </w:tcPr>
          <w:p w14:paraId="510BE4AD" w14:textId="77777777" w:rsidR="00F668A8" w:rsidRPr="00F00781" w:rsidRDefault="00F668A8" w:rsidP="005A18A5">
            <w:pPr>
              <w:rPr>
                <w:rFonts w:ascii="Arial Narrow" w:hAnsi="Arial Narrow" w:cs="Calibri"/>
                <w:sz w:val="14"/>
                <w:szCs w:val="14"/>
              </w:rPr>
            </w:pPr>
          </w:p>
        </w:tc>
        <w:tc>
          <w:tcPr>
            <w:tcW w:w="789" w:type="dxa"/>
            <w:tcBorders>
              <w:top w:val="nil"/>
              <w:left w:val="nil"/>
              <w:bottom w:val="single" w:sz="4" w:space="0" w:color="auto"/>
              <w:right w:val="single" w:sz="4" w:space="0" w:color="auto"/>
            </w:tcBorders>
            <w:shd w:val="clear" w:color="auto" w:fill="auto"/>
            <w:vAlign w:val="center"/>
            <w:hideMark/>
          </w:tcPr>
          <w:p w14:paraId="50509418" w14:textId="77777777" w:rsidR="00F668A8" w:rsidRPr="00F00781" w:rsidRDefault="00F668A8" w:rsidP="005A18A5">
            <w:pPr>
              <w:jc w:val="center"/>
              <w:rPr>
                <w:rFonts w:ascii="Arial Narrow" w:hAnsi="Arial Narrow" w:cs="Calibri"/>
                <w:sz w:val="14"/>
                <w:szCs w:val="14"/>
              </w:rPr>
            </w:pPr>
            <w:r w:rsidRPr="00F00781">
              <w:rPr>
                <w:rFonts w:ascii="Arial Narrow" w:hAnsi="Arial Narrow" w:cs="Calibri"/>
                <w:sz w:val="14"/>
                <w:szCs w:val="14"/>
              </w:rPr>
              <w:t>Семена и посадъчен материал</w:t>
            </w:r>
          </w:p>
        </w:tc>
        <w:tc>
          <w:tcPr>
            <w:tcW w:w="693" w:type="dxa"/>
            <w:tcBorders>
              <w:top w:val="nil"/>
              <w:left w:val="nil"/>
              <w:bottom w:val="single" w:sz="4" w:space="0" w:color="auto"/>
              <w:right w:val="single" w:sz="4" w:space="0" w:color="auto"/>
            </w:tcBorders>
            <w:shd w:val="clear" w:color="auto" w:fill="auto"/>
            <w:vAlign w:val="center"/>
            <w:hideMark/>
          </w:tcPr>
          <w:p w14:paraId="3E4E2EFE" w14:textId="77777777" w:rsidR="00F668A8" w:rsidRPr="00F00781" w:rsidRDefault="00F668A8" w:rsidP="005A18A5">
            <w:pPr>
              <w:jc w:val="center"/>
              <w:rPr>
                <w:rFonts w:ascii="Arial Narrow" w:hAnsi="Arial Narrow" w:cs="Calibri"/>
                <w:sz w:val="14"/>
                <w:szCs w:val="14"/>
              </w:rPr>
            </w:pPr>
            <w:r w:rsidRPr="00F00781">
              <w:rPr>
                <w:rFonts w:ascii="Arial Narrow" w:hAnsi="Arial Narrow" w:cs="Calibri"/>
                <w:sz w:val="14"/>
                <w:szCs w:val="14"/>
              </w:rPr>
              <w:t>Фуражни добавки</w:t>
            </w:r>
          </w:p>
        </w:tc>
        <w:tc>
          <w:tcPr>
            <w:tcW w:w="537" w:type="dxa"/>
            <w:tcBorders>
              <w:top w:val="nil"/>
              <w:left w:val="nil"/>
              <w:bottom w:val="single" w:sz="4" w:space="0" w:color="auto"/>
              <w:right w:val="single" w:sz="4" w:space="0" w:color="auto"/>
            </w:tcBorders>
            <w:shd w:val="clear" w:color="auto" w:fill="auto"/>
            <w:vAlign w:val="center"/>
            <w:hideMark/>
          </w:tcPr>
          <w:p w14:paraId="586D8AAF" w14:textId="77777777" w:rsidR="00F668A8" w:rsidRPr="00F00781" w:rsidRDefault="00F668A8" w:rsidP="005A18A5">
            <w:pPr>
              <w:jc w:val="center"/>
              <w:rPr>
                <w:rFonts w:ascii="Arial Narrow" w:hAnsi="Arial Narrow" w:cs="Calibri"/>
                <w:sz w:val="14"/>
                <w:szCs w:val="14"/>
              </w:rPr>
            </w:pPr>
            <w:r w:rsidRPr="00F00781">
              <w:rPr>
                <w:rFonts w:ascii="Arial Narrow" w:hAnsi="Arial Narrow" w:cs="Calibri"/>
                <w:sz w:val="14"/>
                <w:szCs w:val="14"/>
              </w:rPr>
              <w:t>Друго</w:t>
            </w:r>
          </w:p>
        </w:tc>
        <w:tc>
          <w:tcPr>
            <w:tcW w:w="1143" w:type="dxa"/>
            <w:vMerge/>
            <w:tcBorders>
              <w:top w:val="nil"/>
              <w:left w:val="single" w:sz="4" w:space="0" w:color="auto"/>
              <w:bottom w:val="single" w:sz="4" w:space="0" w:color="auto"/>
              <w:right w:val="single" w:sz="4" w:space="0" w:color="auto"/>
            </w:tcBorders>
            <w:vAlign w:val="center"/>
            <w:hideMark/>
          </w:tcPr>
          <w:p w14:paraId="7D6E2F31" w14:textId="77777777" w:rsidR="00F668A8" w:rsidRPr="00F00781" w:rsidRDefault="00F668A8" w:rsidP="005A18A5">
            <w:pPr>
              <w:rPr>
                <w:rFonts w:ascii="Arial Narrow" w:hAnsi="Arial Narrow" w:cs="Calibri"/>
                <w:sz w:val="14"/>
                <w:szCs w:val="14"/>
              </w:rPr>
            </w:pPr>
          </w:p>
        </w:tc>
        <w:tc>
          <w:tcPr>
            <w:tcW w:w="1200" w:type="dxa"/>
            <w:vMerge/>
            <w:tcBorders>
              <w:top w:val="nil"/>
              <w:left w:val="single" w:sz="4" w:space="0" w:color="auto"/>
              <w:bottom w:val="single" w:sz="4" w:space="0" w:color="auto"/>
              <w:right w:val="single" w:sz="4" w:space="0" w:color="auto"/>
            </w:tcBorders>
            <w:vAlign w:val="center"/>
            <w:hideMark/>
          </w:tcPr>
          <w:p w14:paraId="07155FEB" w14:textId="77777777" w:rsidR="00F668A8" w:rsidRPr="00F00781" w:rsidRDefault="00F668A8" w:rsidP="005A18A5">
            <w:pPr>
              <w:rPr>
                <w:rFonts w:ascii="Arial Narrow" w:hAnsi="Arial Narrow" w:cs="Calibri"/>
                <w:sz w:val="14"/>
                <w:szCs w:val="14"/>
              </w:rPr>
            </w:pPr>
          </w:p>
        </w:tc>
        <w:tc>
          <w:tcPr>
            <w:tcW w:w="721" w:type="dxa"/>
            <w:tcBorders>
              <w:top w:val="nil"/>
              <w:left w:val="nil"/>
              <w:bottom w:val="single" w:sz="4" w:space="0" w:color="auto"/>
              <w:right w:val="single" w:sz="4" w:space="0" w:color="auto"/>
            </w:tcBorders>
            <w:shd w:val="clear" w:color="auto" w:fill="auto"/>
            <w:vAlign w:val="center"/>
            <w:hideMark/>
          </w:tcPr>
          <w:p w14:paraId="5A0D6A40" w14:textId="77777777" w:rsidR="00F668A8" w:rsidRPr="00F00781" w:rsidRDefault="00F668A8" w:rsidP="005A18A5">
            <w:pPr>
              <w:jc w:val="center"/>
              <w:rPr>
                <w:rFonts w:ascii="Arial Narrow" w:hAnsi="Arial Narrow" w:cs="Calibri"/>
                <w:sz w:val="14"/>
                <w:szCs w:val="14"/>
              </w:rPr>
            </w:pPr>
            <w:r w:rsidRPr="00F00781">
              <w:rPr>
                <w:rFonts w:ascii="Arial Narrow" w:hAnsi="Arial Narrow" w:cs="Calibri"/>
                <w:sz w:val="14"/>
                <w:szCs w:val="14"/>
              </w:rPr>
              <w:t xml:space="preserve"> в отрасъла</w:t>
            </w:r>
          </w:p>
        </w:tc>
        <w:tc>
          <w:tcPr>
            <w:tcW w:w="721" w:type="dxa"/>
            <w:tcBorders>
              <w:top w:val="nil"/>
              <w:left w:val="nil"/>
              <w:bottom w:val="single" w:sz="4" w:space="0" w:color="auto"/>
              <w:right w:val="single" w:sz="4" w:space="0" w:color="auto"/>
            </w:tcBorders>
            <w:shd w:val="clear" w:color="auto" w:fill="auto"/>
            <w:vAlign w:val="center"/>
            <w:hideMark/>
          </w:tcPr>
          <w:p w14:paraId="4FB1F5B6" w14:textId="77777777" w:rsidR="00F668A8" w:rsidRPr="00F00781" w:rsidRDefault="00F668A8" w:rsidP="005A18A5">
            <w:pPr>
              <w:jc w:val="center"/>
              <w:rPr>
                <w:rFonts w:ascii="Arial Narrow" w:hAnsi="Arial Narrow" w:cs="Calibri"/>
                <w:sz w:val="14"/>
                <w:szCs w:val="14"/>
              </w:rPr>
            </w:pPr>
            <w:r w:rsidRPr="00F00781">
              <w:rPr>
                <w:rFonts w:ascii="Arial Narrow" w:hAnsi="Arial Narrow" w:cs="Calibri"/>
                <w:sz w:val="14"/>
                <w:szCs w:val="14"/>
              </w:rPr>
              <w:t>извън отрасъла</w:t>
            </w:r>
          </w:p>
        </w:tc>
        <w:tc>
          <w:tcPr>
            <w:tcW w:w="698" w:type="dxa"/>
            <w:vMerge/>
            <w:tcBorders>
              <w:top w:val="nil"/>
              <w:left w:val="single" w:sz="4" w:space="0" w:color="auto"/>
              <w:bottom w:val="single" w:sz="4" w:space="0" w:color="auto"/>
              <w:right w:val="single" w:sz="4" w:space="0" w:color="auto"/>
            </w:tcBorders>
            <w:vAlign w:val="center"/>
            <w:hideMark/>
          </w:tcPr>
          <w:p w14:paraId="792C267F" w14:textId="77777777" w:rsidR="00F668A8" w:rsidRPr="00F00781" w:rsidRDefault="00F668A8" w:rsidP="005A18A5">
            <w:pPr>
              <w:rPr>
                <w:rFonts w:ascii="Arial Narrow" w:hAnsi="Arial Narrow" w:cs="Calibri"/>
                <w:sz w:val="14"/>
                <w:szCs w:val="14"/>
              </w:rPr>
            </w:pPr>
          </w:p>
        </w:tc>
        <w:tc>
          <w:tcPr>
            <w:tcW w:w="765" w:type="dxa"/>
            <w:vMerge/>
            <w:tcBorders>
              <w:top w:val="nil"/>
              <w:left w:val="single" w:sz="4" w:space="0" w:color="auto"/>
              <w:bottom w:val="single" w:sz="4" w:space="0" w:color="auto"/>
              <w:right w:val="single" w:sz="4" w:space="0" w:color="auto"/>
            </w:tcBorders>
            <w:vAlign w:val="center"/>
            <w:hideMark/>
          </w:tcPr>
          <w:p w14:paraId="2DCDDF1B" w14:textId="77777777" w:rsidR="00F668A8" w:rsidRPr="00F00781" w:rsidRDefault="00F668A8" w:rsidP="005A18A5">
            <w:pPr>
              <w:rPr>
                <w:rFonts w:ascii="Arial Narrow" w:hAnsi="Arial Narrow" w:cs="Calibri"/>
                <w:sz w:val="14"/>
                <w:szCs w:val="14"/>
              </w:rPr>
            </w:pPr>
          </w:p>
        </w:tc>
        <w:tc>
          <w:tcPr>
            <w:tcW w:w="970" w:type="dxa"/>
            <w:vMerge/>
            <w:tcBorders>
              <w:top w:val="nil"/>
              <w:left w:val="single" w:sz="4" w:space="0" w:color="auto"/>
              <w:bottom w:val="single" w:sz="4" w:space="0" w:color="auto"/>
              <w:right w:val="single" w:sz="4" w:space="0" w:color="auto"/>
            </w:tcBorders>
            <w:vAlign w:val="center"/>
            <w:hideMark/>
          </w:tcPr>
          <w:p w14:paraId="4DF4EA25" w14:textId="77777777" w:rsidR="00F668A8" w:rsidRPr="00F00781" w:rsidRDefault="00F668A8" w:rsidP="005A18A5">
            <w:pPr>
              <w:rPr>
                <w:rFonts w:ascii="Arial Narrow" w:hAnsi="Arial Narrow" w:cs="Calibri"/>
                <w:sz w:val="14"/>
                <w:szCs w:val="14"/>
              </w:rPr>
            </w:pPr>
          </w:p>
        </w:tc>
        <w:tc>
          <w:tcPr>
            <w:tcW w:w="602" w:type="dxa"/>
            <w:vMerge/>
            <w:tcBorders>
              <w:top w:val="nil"/>
              <w:left w:val="single" w:sz="4" w:space="0" w:color="auto"/>
              <w:bottom w:val="single" w:sz="4" w:space="0" w:color="auto"/>
              <w:right w:val="single" w:sz="4" w:space="0" w:color="auto"/>
            </w:tcBorders>
            <w:vAlign w:val="center"/>
            <w:hideMark/>
          </w:tcPr>
          <w:p w14:paraId="47C77764" w14:textId="77777777" w:rsidR="00F668A8" w:rsidRPr="00F00781" w:rsidRDefault="00F668A8" w:rsidP="005A18A5">
            <w:pPr>
              <w:rPr>
                <w:rFonts w:ascii="Arial Narrow" w:hAnsi="Arial Narrow" w:cs="Calibri"/>
                <w:sz w:val="14"/>
                <w:szCs w:val="14"/>
              </w:rPr>
            </w:pPr>
          </w:p>
        </w:tc>
        <w:tc>
          <w:tcPr>
            <w:tcW w:w="697" w:type="dxa"/>
            <w:vMerge/>
            <w:tcBorders>
              <w:top w:val="nil"/>
              <w:left w:val="single" w:sz="4" w:space="0" w:color="auto"/>
              <w:bottom w:val="single" w:sz="4" w:space="0" w:color="auto"/>
              <w:right w:val="single" w:sz="4" w:space="0" w:color="auto"/>
            </w:tcBorders>
            <w:vAlign w:val="center"/>
            <w:hideMark/>
          </w:tcPr>
          <w:p w14:paraId="4A3C0B06" w14:textId="77777777" w:rsidR="00F668A8" w:rsidRPr="00F00781" w:rsidRDefault="00F668A8" w:rsidP="005A18A5">
            <w:pPr>
              <w:rPr>
                <w:rFonts w:ascii="Arial Narrow" w:hAnsi="Arial Narrow" w:cs="Calibri"/>
                <w:sz w:val="14"/>
                <w:szCs w:val="14"/>
              </w:rPr>
            </w:pPr>
          </w:p>
        </w:tc>
        <w:tc>
          <w:tcPr>
            <w:tcW w:w="869" w:type="dxa"/>
            <w:vMerge/>
            <w:tcBorders>
              <w:top w:val="nil"/>
              <w:left w:val="single" w:sz="4" w:space="0" w:color="auto"/>
              <w:bottom w:val="single" w:sz="4" w:space="0" w:color="auto"/>
              <w:right w:val="single" w:sz="4" w:space="0" w:color="auto"/>
            </w:tcBorders>
            <w:vAlign w:val="center"/>
            <w:hideMark/>
          </w:tcPr>
          <w:p w14:paraId="7C7FBAE5" w14:textId="77777777" w:rsidR="00F668A8" w:rsidRPr="00F00781" w:rsidRDefault="00F668A8" w:rsidP="005A18A5">
            <w:pPr>
              <w:rPr>
                <w:rFonts w:ascii="Arial Narrow" w:hAnsi="Arial Narrow" w:cs="Calibri"/>
                <w:sz w:val="14"/>
                <w:szCs w:val="14"/>
              </w:rPr>
            </w:pPr>
          </w:p>
        </w:tc>
      </w:tr>
      <w:tr w:rsidR="00F00781" w:rsidRPr="00F00781" w14:paraId="49AB898D" w14:textId="77777777" w:rsidTr="00E01BBF">
        <w:trPr>
          <w:trHeight w:val="196"/>
        </w:trPr>
        <w:tc>
          <w:tcPr>
            <w:tcW w:w="632" w:type="dxa"/>
            <w:tcBorders>
              <w:top w:val="nil"/>
              <w:left w:val="single" w:sz="4" w:space="0" w:color="auto"/>
              <w:bottom w:val="single" w:sz="4" w:space="0" w:color="auto"/>
              <w:right w:val="single" w:sz="4" w:space="0" w:color="auto"/>
            </w:tcBorders>
            <w:shd w:val="clear" w:color="auto" w:fill="auto"/>
            <w:vAlign w:val="center"/>
            <w:hideMark/>
          </w:tcPr>
          <w:p w14:paraId="52C278E3" w14:textId="77777777" w:rsidR="00F668A8" w:rsidRPr="00F00781" w:rsidRDefault="00F668A8" w:rsidP="005A18A5">
            <w:pPr>
              <w:jc w:val="center"/>
              <w:rPr>
                <w:rFonts w:ascii="Arial Narrow" w:hAnsi="Arial Narrow" w:cs="Calibri"/>
                <w:sz w:val="14"/>
                <w:szCs w:val="14"/>
              </w:rPr>
            </w:pPr>
            <w:r w:rsidRPr="00F00781">
              <w:rPr>
                <w:rFonts w:ascii="Arial Narrow" w:hAnsi="Arial Narrow" w:cs="Calibri"/>
                <w:sz w:val="14"/>
                <w:szCs w:val="14"/>
              </w:rPr>
              <w:t>а</w:t>
            </w:r>
          </w:p>
        </w:tc>
        <w:tc>
          <w:tcPr>
            <w:tcW w:w="1671" w:type="dxa"/>
            <w:tcBorders>
              <w:top w:val="nil"/>
              <w:left w:val="nil"/>
              <w:bottom w:val="single" w:sz="4" w:space="0" w:color="auto"/>
              <w:right w:val="single" w:sz="4" w:space="0" w:color="auto"/>
            </w:tcBorders>
            <w:shd w:val="clear" w:color="auto" w:fill="auto"/>
            <w:vAlign w:val="center"/>
            <w:hideMark/>
          </w:tcPr>
          <w:p w14:paraId="09A4836C" w14:textId="77777777" w:rsidR="00F668A8" w:rsidRPr="00F00781" w:rsidRDefault="00F668A8" w:rsidP="005A18A5">
            <w:pPr>
              <w:jc w:val="center"/>
              <w:rPr>
                <w:rFonts w:ascii="Arial Narrow" w:hAnsi="Arial Narrow" w:cs="Calibri"/>
                <w:sz w:val="14"/>
                <w:szCs w:val="14"/>
              </w:rPr>
            </w:pPr>
            <w:r w:rsidRPr="00F00781">
              <w:rPr>
                <w:rFonts w:ascii="Arial Narrow" w:hAnsi="Arial Narrow" w:cs="Calibri"/>
                <w:sz w:val="14"/>
                <w:szCs w:val="14"/>
              </w:rPr>
              <w:t>б</w:t>
            </w:r>
          </w:p>
        </w:tc>
        <w:tc>
          <w:tcPr>
            <w:tcW w:w="773" w:type="dxa"/>
            <w:tcBorders>
              <w:top w:val="nil"/>
              <w:left w:val="nil"/>
              <w:bottom w:val="single" w:sz="4" w:space="0" w:color="auto"/>
              <w:right w:val="single" w:sz="4" w:space="0" w:color="auto"/>
            </w:tcBorders>
            <w:shd w:val="clear" w:color="auto" w:fill="auto"/>
            <w:vAlign w:val="center"/>
            <w:hideMark/>
          </w:tcPr>
          <w:p w14:paraId="07526961" w14:textId="77777777" w:rsidR="00F668A8" w:rsidRPr="00F00781" w:rsidRDefault="00F668A8" w:rsidP="005A18A5">
            <w:pPr>
              <w:jc w:val="center"/>
              <w:rPr>
                <w:rFonts w:ascii="Arial Narrow" w:hAnsi="Arial Narrow" w:cs="Calibri"/>
                <w:sz w:val="14"/>
                <w:szCs w:val="14"/>
              </w:rPr>
            </w:pPr>
            <w:r w:rsidRPr="00F00781">
              <w:rPr>
                <w:rFonts w:ascii="Arial Narrow" w:hAnsi="Arial Narrow" w:cs="Calibri"/>
                <w:sz w:val="14"/>
                <w:szCs w:val="14"/>
              </w:rPr>
              <w:t>1</w:t>
            </w:r>
          </w:p>
        </w:tc>
        <w:tc>
          <w:tcPr>
            <w:tcW w:w="582" w:type="dxa"/>
            <w:tcBorders>
              <w:top w:val="nil"/>
              <w:left w:val="nil"/>
              <w:bottom w:val="single" w:sz="4" w:space="0" w:color="auto"/>
              <w:right w:val="single" w:sz="4" w:space="0" w:color="auto"/>
            </w:tcBorders>
            <w:shd w:val="clear" w:color="auto" w:fill="auto"/>
            <w:vAlign w:val="center"/>
            <w:hideMark/>
          </w:tcPr>
          <w:p w14:paraId="7FA168FA" w14:textId="77777777" w:rsidR="00F668A8" w:rsidRPr="00F00781" w:rsidRDefault="00F668A8" w:rsidP="005A18A5">
            <w:pPr>
              <w:jc w:val="center"/>
              <w:rPr>
                <w:rFonts w:ascii="Arial Narrow" w:hAnsi="Arial Narrow" w:cs="Calibri"/>
                <w:sz w:val="14"/>
                <w:szCs w:val="14"/>
              </w:rPr>
            </w:pPr>
            <w:r w:rsidRPr="00F00781">
              <w:rPr>
                <w:rFonts w:ascii="Arial Narrow" w:hAnsi="Arial Narrow" w:cs="Calibri"/>
                <w:sz w:val="14"/>
                <w:szCs w:val="14"/>
              </w:rPr>
              <w:t>2</w:t>
            </w:r>
          </w:p>
        </w:tc>
        <w:tc>
          <w:tcPr>
            <w:tcW w:w="681" w:type="dxa"/>
            <w:tcBorders>
              <w:top w:val="nil"/>
              <w:left w:val="nil"/>
              <w:bottom w:val="single" w:sz="4" w:space="0" w:color="auto"/>
              <w:right w:val="single" w:sz="4" w:space="0" w:color="auto"/>
            </w:tcBorders>
            <w:shd w:val="clear" w:color="auto" w:fill="auto"/>
            <w:vAlign w:val="center"/>
            <w:hideMark/>
          </w:tcPr>
          <w:p w14:paraId="6E454E9B" w14:textId="77777777" w:rsidR="00F668A8" w:rsidRPr="00F00781" w:rsidRDefault="00F668A8" w:rsidP="005A18A5">
            <w:pPr>
              <w:jc w:val="center"/>
              <w:rPr>
                <w:rFonts w:ascii="Arial Narrow" w:hAnsi="Arial Narrow" w:cs="Calibri"/>
                <w:sz w:val="14"/>
                <w:szCs w:val="14"/>
              </w:rPr>
            </w:pPr>
            <w:r w:rsidRPr="00F00781">
              <w:rPr>
                <w:rFonts w:ascii="Arial Narrow" w:hAnsi="Arial Narrow" w:cs="Calibri"/>
                <w:sz w:val="14"/>
                <w:szCs w:val="14"/>
              </w:rPr>
              <w:t>3</w:t>
            </w:r>
          </w:p>
        </w:tc>
        <w:tc>
          <w:tcPr>
            <w:tcW w:w="789" w:type="dxa"/>
            <w:tcBorders>
              <w:top w:val="nil"/>
              <w:left w:val="nil"/>
              <w:bottom w:val="single" w:sz="4" w:space="0" w:color="auto"/>
              <w:right w:val="single" w:sz="4" w:space="0" w:color="auto"/>
            </w:tcBorders>
            <w:shd w:val="clear" w:color="auto" w:fill="auto"/>
            <w:vAlign w:val="center"/>
            <w:hideMark/>
          </w:tcPr>
          <w:p w14:paraId="73E58006" w14:textId="77777777" w:rsidR="00F668A8" w:rsidRPr="00F00781" w:rsidRDefault="00F668A8" w:rsidP="005A18A5">
            <w:pPr>
              <w:jc w:val="center"/>
              <w:rPr>
                <w:rFonts w:ascii="Arial Narrow" w:hAnsi="Arial Narrow" w:cs="Calibri"/>
                <w:sz w:val="14"/>
                <w:szCs w:val="14"/>
              </w:rPr>
            </w:pPr>
            <w:r w:rsidRPr="00F00781">
              <w:rPr>
                <w:rFonts w:ascii="Arial Narrow" w:hAnsi="Arial Narrow" w:cs="Calibri"/>
                <w:sz w:val="14"/>
                <w:szCs w:val="14"/>
              </w:rPr>
              <w:t>4</w:t>
            </w:r>
          </w:p>
        </w:tc>
        <w:tc>
          <w:tcPr>
            <w:tcW w:w="693" w:type="dxa"/>
            <w:tcBorders>
              <w:top w:val="nil"/>
              <w:left w:val="nil"/>
              <w:bottom w:val="single" w:sz="4" w:space="0" w:color="auto"/>
              <w:right w:val="single" w:sz="4" w:space="0" w:color="auto"/>
            </w:tcBorders>
            <w:shd w:val="clear" w:color="auto" w:fill="auto"/>
            <w:vAlign w:val="center"/>
            <w:hideMark/>
          </w:tcPr>
          <w:p w14:paraId="466D5FCA" w14:textId="77777777" w:rsidR="00F668A8" w:rsidRPr="00F00781" w:rsidRDefault="00F668A8" w:rsidP="005A18A5">
            <w:pPr>
              <w:jc w:val="center"/>
              <w:rPr>
                <w:rFonts w:ascii="Arial Narrow" w:hAnsi="Arial Narrow" w:cs="Calibri"/>
                <w:sz w:val="14"/>
                <w:szCs w:val="14"/>
              </w:rPr>
            </w:pPr>
            <w:r w:rsidRPr="00F00781">
              <w:rPr>
                <w:rFonts w:ascii="Arial Narrow" w:hAnsi="Arial Narrow" w:cs="Calibri"/>
                <w:sz w:val="14"/>
                <w:szCs w:val="14"/>
              </w:rPr>
              <w:t>5</w:t>
            </w:r>
          </w:p>
        </w:tc>
        <w:tc>
          <w:tcPr>
            <w:tcW w:w="537" w:type="dxa"/>
            <w:tcBorders>
              <w:top w:val="nil"/>
              <w:left w:val="nil"/>
              <w:bottom w:val="single" w:sz="4" w:space="0" w:color="auto"/>
              <w:right w:val="single" w:sz="4" w:space="0" w:color="auto"/>
            </w:tcBorders>
            <w:shd w:val="clear" w:color="auto" w:fill="auto"/>
            <w:vAlign w:val="center"/>
            <w:hideMark/>
          </w:tcPr>
          <w:p w14:paraId="6D009ABA" w14:textId="77777777" w:rsidR="00F668A8" w:rsidRPr="00F00781" w:rsidRDefault="00F668A8" w:rsidP="005A18A5">
            <w:pPr>
              <w:jc w:val="center"/>
              <w:rPr>
                <w:rFonts w:ascii="Arial Narrow" w:hAnsi="Arial Narrow" w:cs="Calibri"/>
                <w:sz w:val="14"/>
                <w:szCs w:val="14"/>
              </w:rPr>
            </w:pPr>
            <w:r w:rsidRPr="00F00781">
              <w:rPr>
                <w:rFonts w:ascii="Arial Narrow" w:hAnsi="Arial Narrow" w:cs="Calibri"/>
                <w:sz w:val="14"/>
                <w:szCs w:val="14"/>
              </w:rPr>
              <w:t>6</w:t>
            </w:r>
          </w:p>
        </w:tc>
        <w:tc>
          <w:tcPr>
            <w:tcW w:w="1143" w:type="dxa"/>
            <w:tcBorders>
              <w:top w:val="nil"/>
              <w:left w:val="nil"/>
              <w:bottom w:val="single" w:sz="4" w:space="0" w:color="auto"/>
              <w:right w:val="single" w:sz="4" w:space="0" w:color="auto"/>
            </w:tcBorders>
            <w:shd w:val="clear" w:color="auto" w:fill="auto"/>
            <w:vAlign w:val="center"/>
            <w:hideMark/>
          </w:tcPr>
          <w:p w14:paraId="4B3CC350" w14:textId="77777777" w:rsidR="00F668A8" w:rsidRPr="00F00781" w:rsidRDefault="00F668A8" w:rsidP="005A18A5">
            <w:pPr>
              <w:jc w:val="center"/>
              <w:rPr>
                <w:rFonts w:ascii="Arial Narrow" w:hAnsi="Arial Narrow" w:cs="Calibri"/>
                <w:sz w:val="14"/>
                <w:szCs w:val="14"/>
              </w:rPr>
            </w:pPr>
            <w:r w:rsidRPr="00F00781">
              <w:rPr>
                <w:rFonts w:ascii="Arial Narrow" w:hAnsi="Arial Narrow" w:cs="Calibri"/>
                <w:sz w:val="14"/>
                <w:szCs w:val="14"/>
              </w:rPr>
              <w:t>7</w:t>
            </w:r>
          </w:p>
        </w:tc>
        <w:tc>
          <w:tcPr>
            <w:tcW w:w="1200" w:type="dxa"/>
            <w:tcBorders>
              <w:top w:val="nil"/>
              <w:left w:val="nil"/>
              <w:bottom w:val="single" w:sz="4" w:space="0" w:color="auto"/>
              <w:right w:val="single" w:sz="4" w:space="0" w:color="auto"/>
            </w:tcBorders>
            <w:shd w:val="clear" w:color="auto" w:fill="auto"/>
            <w:vAlign w:val="center"/>
            <w:hideMark/>
          </w:tcPr>
          <w:p w14:paraId="751DA3B5" w14:textId="77777777" w:rsidR="00F668A8" w:rsidRPr="00F00781" w:rsidRDefault="00F668A8" w:rsidP="005A18A5">
            <w:pPr>
              <w:jc w:val="center"/>
              <w:rPr>
                <w:rFonts w:ascii="Arial Narrow" w:hAnsi="Arial Narrow" w:cs="Calibri"/>
                <w:sz w:val="14"/>
                <w:szCs w:val="14"/>
              </w:rPr>
            </w:pPr>
            <w:r w:rsidRPr="00F00781">
              <w:rPr>
                <w:rFonts w:ascii="Arial Narrow" w:hAnsi="Arial Narrow" w:cs="Calibri"/>
                <w:sz w:val="14"/>
                <w:szCs w:val="14"/>
              </w:rPr>
              <w:t>8</w:t>
            </w:r>
          </w:p>
        </w:tc>
        <w:tc>
          <w:tcPr>
            <w:tcW w:w="721" w:type="dxa"/>
            <w:tcBorders>
              <w:top w:val="nil"/>
              <w:left w:val="nil"/>
              <w:bottom w:val="single" w:sz="4" w:space="0" w:color="auto"/>
              <w:right w:val="single" w:sz="4" w:space="0" w:color="auto"/>
            </w:tcBorders>
            <w:shd w:val="clear" w:color="auto" w:fill="auto"/>
            <w:vAlign w:val="center"/>
            <w:hideMark/>
          </w:tcPr>
          <w:p w14:paraId="0D1E5A2E" w14:textId="77777777" w:rsidR="00F668A8" w:rsidRPr="00F00781" w:rsidRDefault="00F668A8" w:rsidP="005A18A5">
            <w:pPr>
              <w:jc w:val="center"/>
              <w:rPr>
                <w:rFonts w:ascii="Arial Narrow" w:hAnsi="Arial Narrow" w:cs="Calibri"/>
                <w:sz w:val="14"/>
                <w:szCs w:val="14"/>
              </w:rPr>
            </w:pPr>
            <w:r w:rsidRPr="00F00781">
              <w:rPr>
                <w:rFonts w:ascii="Arial Narrow" w:hAnsi="Arial Narrow" w:cs="Calibri"/>
                <w:sz w:val="14"/>
                <w:szCs w:val="14"/>
              </w:rPr>
              <w:t>9</w:t>
            </w:r>
          </w:p>
        </w:tc>
        <w:tc>
          <w:tcPr>
            <w:tcW w:w="721" w:type="dxa"/>
            <w:tcBorders>
              <w:top w:val="nil"/>
              <w:left w:val="nil"/>
              <w:bottom w:val="single" w:sz="4" w:space="0" w:color="auto"/>
              <w:right w:val="single" w:sz="4" w:space="0" w:color="auto"/>
            </w:tcBorders>
            <w:shd w:val="clear" w:color="auto" w:fill="auto"/>
            <w:vAlign w:val="center"/>
            <w:hideMark/>
          </w:tcPr>
          <w:p w14:paraId="60766143" w14:textId="77777777" w:rsidR="00F668A8" w:rsidRPr="00F00781" w:rsidRDefault="00F668A8" w:rsidP="005A18A5">
            <w:pPr>
              <w:jc w:val="center"/>
              <w:rPr>
                <w:rFonts w:ascii="Arial Narrow" w:hAnsi="Arial Narrow" w:cs="Calibri"/>
                <w:sz w:val="14"/>
                <w:szCs w:val="14"/>
              </w:rPr>
            </w:pPr>
            <w:r w:rsidRPr="00F00781">
              <w:rPr>
                <w:rFonts w:ascii="Arial Narrow" w:hAnsi="Arial Narrow" w:cs="Calibri"/>
                <w:sz w:val="14"/>
                <w:szCs w:val="14"/>
              </w:rPr>
              <w:t>10</w:t>
            </w:r>
          </w:p>
        </w:tc>
        <w:tc>
          <w:tcPr>
            <w:tcW w:w="698" w:type="dxa"/>
            <w:tcBorders>
              <w:top w:val="nil"/>
              <w:left w:val="nil"/>
              <w:bottom w:val="single" w:sz="4" w:space="0" w:color="auto"/>
              <w:right w:val="single" w:sz="4" w:space="0" w:color="auto"/>
            </w:tcBorders>
            <w:shd w:val="clear" w:color="auto" w:fill="auto"/>
            <w:vAlign w:val="center"/>
            <w:hideMark/>
          </w:tcPr>
          <w:p w14:paraId="387E3D47" w14:textId="77777777" w:rsidR="00F668A8" w:rsidRPr="00F00781" w:rsidRDefault="00F668A8" w:rsidP="005A18A5">
            <w:pPr>
              <w:jc w:val="center"/>
              <w:rPr>
                <w:rFonts w:ascii="Arial Narrow" w:hAnsi="Arial Narrow" w:cs="Calibri"/>
                <w:sz w:val="14"/>
                <w:szCs w:val="14"/>
              </w:rPr>
            </w:pPr>
            <w:r w:rsidRPr="00F00781">
              <w:rPr>
                <w:rFonts w:ascii="Arial Narrow" w:hAnsi="Arial Narrow" w:cs="Calibri"/>
                <w:sz w:val="14"/>
                <w:szCs w:val="14"/>
              </w:rPr>
              <w:t>11</w:t>
            </w:r>
          </w:p>
        </w:tc>
        <w:tc>
          <w:tcPr>
            <w:tcW w:w="765" w:type="dxa"/>
            <w:tcBorders>
              <w:top w:val="nil"/>
              <w:left w:val="nil"/>
              <w:bottom w:val="single" w:sz="4" w:space="0" w:color="auto"/>
              <w:right w:val="single" w:sz="4" w:space="0" w:color="auto"/>
            </w:tcBorders>
            <w:shd w:val="clear" w:color="auto" w:fill="auto"/>
            <w:vAlign w:val="center"/>
            <w:hideMark/>
          </w:tcPr>
          <w:p w14:paraId="5E01A2E2" w14:textId="77777777" w:rsidR="00F668A8" w:rsidRPr="00F00781" w:rsidRDefault="00F668A8" w:rsidP="005A18A5">
            <w:pPr>
              <w:jc w:val="center"/>
              <w:rPr>
                <w:rFonts w:ascii="Arial Narrow" w:hAnsi="Arial Narrow" w:cs="Calibri"/>
                <w:sz w:val="14"/>
                <w:szCs w:val="14"/>
              </w:rPr>
            </w:pPr>
            <w:r w:rsidRPr="00F00781">
              <w:rPr>
                <w:rFonts w:ascii="Arial Narrow" w:hAnsi="Arial Narrow" w:cs="Calibri"/>
                <w:sz w:val="14"/>
                <w:szCs w:val="14"/>
              </w:rPr>
              <w:t>12</w:t>
            </w:r>
          </w:p>
        </w:tc>
        <w:tc>
          <w:tcPr>
            <w:tcW w:w="970" w:type="dxa"/>
            <w:tcBorders>
              <w:top w:val="nil"/>
              <w:left w:val="nil"/>
              <w:bottom w:val="single" w:sz="4" w:space="0" w:color="auto"/>
              <w:right w:val="single" w:sz="4" w:space="0" w:color="auto"/>
            </w:tcBorders>
            <w:shd w:val="clear" w:color="auto" w:fill="auto"/>
            <w:vAlign w:val="center"/>
            <w:hideMark/>
          </w:tcPr>
          <w:p w14:paraId="7FD2ACFC" w14:textId="77777777" w:rsidR="00F668A8" w:rsidRPr="00F00781" w:rsidRDefault="00F668A8" w:rsidP="005A18A5">
            <w:pPr>
              <w:jc w:val="center"/>
              <w:rPr>
                <w:rFonts w:ascii="Arial Narrow" w:hAnsi="Arial Narrow" w:cs="Calibri"/>
                <w:sz w:val="14"/>
                <w:szCs w:val="14"/>
              </w:rPr>
            </w:pPr>
            <w:r w:rsidRPr="00F00781">
              <w:rPr>
                <w:rFonts w:ascii="Arial Narrow" w:hAnsi="Arial Narrow" w:cs="Calibri"/>
                <w:sz w:val="14"/>
                <w:szCs w:val="14"/>
              </w:rPr>
              <w:t>13</w:t>
            </w:r>
          </w:p>
        </w:tc>
        <w:tc>
          <w:tcPr>
            <w:tcW w:w="602" w:type="dxa"/>
            <w:tcBorders>
              <w:top w:val="nil"/>
              <w:left w:val="nil"/>
              <w:bottom w:val="single" w:sz="4" w:space="0" w:color="auto"/>
              <w:right w:val="single" w:sz="4" w:space="0" w:color="auto"/>
            </w:tcBorders>
            <w:shd w:val="clear" w:color="auto" w:fill="auto"/>
            <w:vAlign w:val="center"/>
            <w:hideMark/>
          </w:tcPr>
          <w:p w14:paraId="50434D89" w14:textId="77777777" w:rsidR="00F668A8" w:rsidRPr="00F00781" w:rsidRDefault="00F668A8" w:rsidP="005A18A5">
            <w:pPr>
              <w:jc w:val="center"/>
              <w:rPr>
                <w:rFonts w:ascii="Arial Narrow" w:hAnsi="Arial Narrow" w:cs="Calibri"/>
                <w:sz w:val="14"/>
                <w:szCs w:val="14"/>
              </w:rPr>
            </w:pPr>
            <w:r w:rsidRPr="00F00781">
              <w:rPr>
                <w:rFonts w:ascii="Arial Narrow" w:hAnsi="Arial Narrow" w:cs="Calibri"/>
                <w:sz w:val="14"/>
                <w:szCs w:val="14"/>
              </w:rPr>
              <w:t>14</w:t>
            </w:r>
          </w:p>
        </w:tc>
        <w:tc>
          <w:tcPr>
            <w:tcW w:w="697" w:type="dxa"/>
            <w:tcBorders>
              <w:top w:val="nil"/>
              <w:left w:val="nil"/>
              <w:bottom w:val="single" w:sz="4" w:space="0" w:color="auto"/>
              <w:right w:val="single" w:sz="4" w:space="0" w:color="auto"/>
            </w:tcBorders>
            <w:shd w:val="clear" w:color="auto" w:fill="auto"/>
            <w:vAlign w:val="center"/>
            <w:hideMark/>
          </w:tcPr>
          <w:p w14:paraId="410262B3" w14:textId="77777777" w:rsidR="00F668A8" w:rsidRPr="00F00781" w:rsidRDefault="00F668A8" w:rsidP="005A18A5">
            <w:pPr>
              <w:jc w:val="center"/>
              <w:rPr>
                <w:rFonts w:ascii="Arial Narrow" w:hAnsi="Arial Narrow" w:cs="Calibri"/>
                <w:sz w:val="14"/>
                <w:szCs w:val="14"/>
              </w:rPr>
            </w:pPr>
            <w:r w:rsidRPr="00F00781">
              <w:rPr>
                <w:rFonts w:ascii="Arial Narrow" w:hAnsi="Arial Narrow" w:cs="Calibri"/>
                <w:sz w:val="14"/>
                <w:szCs w:val="14"/>
              </w:rPr>
              <w:t>15</w:t>
            </w:r>
          </w:p>
        </w:tc>
        <w:tc>
          <w:tcPr>
            <w:tcW w:w="869" w:type="dxa"/>
            <w:tcBorders>
              <w:top w:val="nil"/>
              <w:left w:val="nil"/>
              <w:bottom w:val="single" w:sz="4" w:space="0" w:color="auto"/>
              <w:right w:val="single" w:sz="4" w:space="0" w:color="auto"/>
            </w:tcBorders>
            <w:shd w:val="clear" w:color="auto" w:fill="auto"/>
            <w:vAlign w:val="center"/>
            <w:hideMark/>
          </w:tcPr>
          <w:p w14:paraId="13915661" w14:textId="77777777" w:rsidR="00F668A8" w:rsidRPr="00F00781" w:rsidRDefault="00F668A8" w:rsidP="005A18A5">
            <w:pPr>
              <w:jc w:val="center"/>
              <w:rPr>
                <w:rFonts w:ascii="Arial Narrow" w:hAnsi="Arial Narrow" w:cs="Calibri"/>
                <w:sz w:val="14"/>
                <w:szCs w:val="14"/>
              </w:rPr>
            </w:pPr>
            <w:r w:rsidRPr="00F00781">
              <w:rPr>
                <w:rFonts w:ascii="Arial Narrow" w:hAnsi="Arial Narrow" w:cs="Calibri"/>
                <w:sz w:val="14"/>
                <w:szCs w:val="14"/>
              </w:rPr>
              <w:t>16</w:t>
            </w:r>
          </w:p>
        </w:tc>
      </w:tr>
      <w:tr w:rsidR="00F00781" w:rsidRPr="00F00781" w14:paraId="1F91D1A2" w14:textId="77777777" w:rsidTr="00E01BBF">
        <w:trPr>
          <w:trHeight w:val="196"/>
        </w:trPr>
        <w:tc>
          <w:tcPr>
            <w:tcW w:w="6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C8B68B" w14:textId="77777777" w:rsidR="00F00781" w:rsidRPr="00F00781" w:rsidRDefault="00F00781" w:rsidP="00F00781">
            <w:pPr>
              <w:rPr>
                <w:rFonts w:ascii="Arial Narrow" w:hAnsi="Arial Narrow" w:cs="Calibri"/>
                <w:sz w:val="14"/>
                <w:szCs w:val="14"/>
              </w:rPr>
            </w:pPr>
            <w:r w:rsidRPr="00F00781">
              <w:rPr>
                <w:rFonts w:ascii="Arial Narrow" w:hAnsi="Arial Narrow" w:cs="Calibri"/>
                <w:sz w:val="14"/>
                <w:szCs w:val="14"/>
              </w:rPr>
              <w:t xml:space="preserve"> 01</w:t>
            </w:r>
          </w:p>
        </w:tc>
        <w:tc>
          <w:tcPr>
            <w:tcW w:w="1671" w:type="dxa"/>
            <w:tcBorders>
              <w:top w:val="single" w:sz="4" w:space="0" w:color="auto"/>
              <w:left w:val="nil"/>
              <w:bottom w:val="single" w:sz="4" w:space="0" w:color="auto"/>
              <w:right w:val="single" w:sz="4" w:space="0" w:color="auto"/>
            </w:tcBorders>
            <w:shd w:val="clear" w:color="auto" w:fill="auto"/>
            <w:vAlign w:val="center"/>
            <w:hideMark/>
          </w:tcPr>
          <w:p w14:paraId="330FE7E9" w14:textId="77777777" w:rsidR="00F00781" w:rsidRPr="00F00781" w:rsidRDefault="00F00781" w:rsidP="00F00781">
            <w:pPr>
              <w:rPr>
                <w:rFonts w:ascii="Arial Narrow" w:hAnsi="Arial Narrow" w:cs="Calibri"/>
                <w:sz w:val="14"/>
                <w:szCs w:val="14"/>
              </w:rPr>
            </w:pPr>
            <w:r w:rsidRPr="00F00781">
              <w:rPr>
                <w:rFonts w:ascii="Arial Narrow" w:hAnsi="Arial Narrow" w:cs="Calibri"/>
                <w:sz w:val="14"/>
                <w:szCs w:val="14"/>
              </w:rPr>
              <w:t>Зърнени култури</w:t>
            </w:r>
          </w:p>
        </w:tc>
        <w:tc>
          <w:tcPr>
            <w:tcW w:w="773" w:type="dxa"/>
            <w:tcBorders>
              <w:top w:val="single" w:sz="4" w:space="0" w:color="auto"/>
              <w:left w:val="nil"/>
              <w:bottom w:val="single" w:sz="4" w:space="0" w:color="auto"/>
              <w:right w:val="single" w:sz="4" w:space="0" w:color="auto"/>
            </w:tcBorders>
            <w:shd w:val="clear" w:color="auto" w:fill="auto"/>
            <w:vAlign w:val="center"/>
            <w:hideMark/>
          </w:tcPr>
          <w:p w14:paraId="0440A153"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3 513,0</w:t>
            </w:r>
          </w:p>
        </w:tc>
        <w:tc>
          <w:tcPr>
            <w:tcW w:w="582" w:type="dxa"/>
            <w:tcBorders>
              <w:top w:val="single" w:sz="4" w:space="0" w:color="auto"/>
              <w:left w:val="nil"/>
              <w:bottom w:val="single" w:sz="4" w:space="0" w:color="auto"/>
              <w:right w:val="single" w:sz="4" w:space="0" w:color="auto"/>
            </w:tcBorders>
            <w:shd w:val="clear" w:color="auto" w:fill="auto"/>
            <w:vAlign w:val="center"/>
            <w:hideMark/>
          </w:tcPr>
          <w:p w14:paraId="3E79B229"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2,0</w:t>
            </w:r>
          </w:p>
        </w:tc>
        <w:tc>
          <w:tcPr>
            <w:tcW w:w="681" w:type="dxa"/>
            <w:tcBorders>
              <w:top w:val="single" w:sz="4" w:space="0" w:color="auto"/>
              <w:left w:val="nil"/>
              <w:bottom w:val="single" w:sz="4" w:space="0" w:color="auto"/>
              <w:right w:val="single" w:sz="4" w:space="0" w:color="auto"/>
            </w:tcBorders>
            <w:shd w:val="clear" w:color="auto" w:fill="auto"/>
            <w:vAlign w:val="center"/>
            <w:hideMark/>
          </w:tcPr>
          <w:p w14:paraId="5DB4B3E5"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1 397,6</w:t>
            </w:r>
          </w:p>
        </w:tc>
        <w:tc>
          <w:tcPr>
            <w:tcW w:w="789" w:type="dxa"/>
            <w:tcBorders>
              <w:top w:val="single" w:sz="4" w:space="0" w:color="auto"/>
              <w:left w:val="nil"/>
              <w:bottom w:val="single" w:sz="4" w:space="0" w:color="auto"/>
              <w:right w:val="single" w:sz="4" w:space="0" w:color="auto"/>
            </w:tcBorders>
            <w:shd w:val="clear" w:color="auto" w:fill="auto"/>
            <w:vAlign w:val="center"/>
            <w:hideMark/>
          </w:tcPr>
          <w:p w14:paraId="786652B2"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93,3</w:t>
            </w:r>
          </w:p>
        </w:tc>
        <w:tc>
          <w:tcPr>
            <w:tcW w:w="693" w:type="dxa"/>
            <w:tcBorders>
              <w:top w:val="single" w:sz="4" w:space="0" w:color="auto"/>
              <w:left w:val="nil"/>
              <w:bottom w:val="single" w:sz="4" w:space="0" w:color="auto"/>
              <w:right w:val="single" w:sz="4" w:space="0" w:color="auto"/>
            </w:tcBorders>
            <w:shd w:val="clear" w:color="auto" w:fill="auto"/>
            <w:vAlign w:val="center"/>
            <w:hideMark/>
          </w:tcPr>
          <w:p w14:paraId="087F7632"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62,0</w:t>
            </w:r>
          </w:p>
        </w:tc>
        <w:tc>
          <w:tcPr>
            <w:tcW w:w="537" w:type="dxa"/>
            <w:tcBorders>
              <w:top w:val="single" w:sz="4" w:space="0" w:color="auto"/>
              <w:left w:val="nil"/>
              <w:bottom w:val="single" w:sz="4" w:space="0" w:color="auto"/>
              <w:right w:val="single" w:sz="4" w:space="0" w:color="auto"/>
            </w:tcBorders>
            <w:shd w:val="clear" w:color="auto" w:fill="auto"/>
            <w:vAlign w:val="center"/>
            <w:hideMark/>
          </w:tcPr>
          <w:p w14:paraId="1CE615A3"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6,2</w:t>
            </w:r>
          </w:p>
        </w:tc>
        <w:tc>
          <w:tcPr>
            <w:tcW w:w="1143" w:type="dxa"/>
            <w:tcBorders>
              <w:top w:val="single" w:sz="4" w:space="0" w:color="auto"/>
              <w:left w:val="nil"/>
              <w:bottom w:val="single" w:sz="4" w:space="0" w:color="auto"/>
              <w:right w:val="single" w:sz="4" w:space="0" w:color="auto"/>
            </w:tcBorders>
            <w:shd w:val="clear" w:color="auto" w:fill="auto"/>
            <w:vAlign w:val="center"/>
            <w:hideMark/>
          </w:tcPr>
          <w:p w14:paraId="41D8CDE7"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9,0</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14:paraId="355FFFE5"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7,4</w:t>
            </w:r>
          </w:p>
        </w:tc>
        <w:tc>
          <w:tcPr>
            <w:tcW w:w="721" w:type="dxa"/>
            <w:tcBorders>
              <w:top w:val="single" w:sz="4" w:space="0" w:color="auto"/>
              <w:left w:val="nil"/>
              <w:bottom w:val="single" w:sz="4" w:space="0" w:color="auto"/>
              <w:right w:val="single" w:sz="4" w:space="0" w:color="auto"/>
            </w:tcBorders>
            <w:shd w:val="clear" w:color="auto" w:fill="auto"/>
            <w:vAlign w:val="center"/>
            <w:hideMark/>
          </w:tcPr>
          <w:p w14:paraId="3EE8BA06"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231,3</w:t>
            </w:r>
          </w:p>
        </w:tc>
        <w:tc>
          <w:tcPr>
            <w:tcW w:w="721" w:type="dxa"/>
            <w:tcBorders>
              <w:top w:val="single" w:sz="4" w:space="0" w:color="auto"/>
              <w:left w:val="nil"/>
              <w:bottom w:val="single" w:sz="4" w:space="0" w:color="auto"/>
              <w:right w:val="single" w:sz="4" w:space="0" w:color="auto"/>
            </w:tcBorders>
            <w:shd w:val="clear" w:color="auto" w:fill="auto"/>
            <w:vAlign w:val="center"/>
            <w:hideMark/>
          </w:tcPr>
          <w:p w14:paraId="01355D1D"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3 362,0</w:t>
            </w:r>
          </w:p>
        </w:tc>
        <w:tc>
          <w:tcPr>
            <w:tcW w:w="698" w:type="dxa"/>
            <w:tcBorders>
              <w:top w:val="single" w:sz="4" w:space="0" w:color="auto"/>
              <w:left w:val="nil"/>
              <w:bottom w:val="single" w:sz="4" w:space="0" w:color="auto"/>
              <w:right w:val="single" w:sz="4" w:space="0" w:color="auto"/>
            </w:tcBorders>
            <w:shd w:val="clear" w:color="auto" w:fill="auto"/>
            <w:vAlign w:val="center"/>
            <w:hideMark/>
          </w:tcPr>
          <w:p w14:paraId="7741C858"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52,2</w:t>
            </w:r>
          </w:p>
        </w:tc>
        <w:tc>
          <w:tcPr>
            <w:tcW w:w="765" w:type="dxa"/>
            <w:tcBorders>
              <w:top w:val="single" w:sz="4" w:space="0" w:color="auto"/>
              <w:left w:val="nil"/>
              <w:bottom w:val="single" w:sz="4" w:space="0" w:color="auto"/>
              <w:right w:val="single" w:sz="4" w:space="0" w:color="auto"/>
            </w:tcBorders>
            <w:shd w:val="clear" w:color="auto" w:fill="auto"/>
            <w:vAlign w:val="center"/>
            <w:hideMark/>
          </w:tcPr>
          <w:p w14:paraId="31AFDB9F"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3 645,3</w:t>
            </w:r>
          </w:p>
        </w:tc>
        <w:tc>
          <w:tcPr>
            <w:tcW w:w="970" w:type="dxa"/>
            <w:tcBorders>
              <w:top w:val="single" w:sz="4" w:space="0" w:color="auto"/>
              <w:left w:val="nil"/>
              <w:bottom w:val="single" w:sz="4" w:space="0" w:color="auto"/>
              <w:right w:val="single" w:sz="4" w:space="0" w:color="auto"/>
            </w:tcBorders>
            <w:shd w:val="clear" w:color="auto" w:fill="auto"/>
            <w:vAlign w:val="center"/>
            <w:hideMark/>
          </w:tcPr>
          <w:p w14:paraId="42892752" w14:textId="77777777" w:rsidR="00F00781" w:rsidRPr="00F00781" w:rsidRDefault="00F00781" w:rsidP="00F00781">
            <w:pPr>
              <w:rPr>
                <w:rFonts w:ascii="Arial Narrow" w:hAnsi="Arial Narrow" w:cs="Calibri"/>
                <w:sz w:val="14"/>
                <w:szCs w:val="14"/>
              </w:rPr>
            </w:pPr>
            <w:r w:rsidRPr="00F00781">
              <w:rPr>
                <w:rFonts w:ascii="Arial Narrow" w:hAnsi="Arial Narrow" w:cs="Calibri"/>
                <w:sz w:val="14"/>
                <w:szCs w:val="14"/>
              </w:rPr>
              <w:t> </w:t>
            </w:r>
          </w:p>
        </w:tc>
        <w:tc>
          <w:tcPr>
            <w:tcW w:w="602" w:type="dxa"/>
            <w:tcBorders>
              <w:top w:val="single" w:sz="4" w:space="0" w:color="auto"/>
              <w:left w:val="nil"/>
              <w:bottom w:val="single" w:sz="4" w:space="0" w:color="auto"/>
              <w:right w:val="single" w:sz="4" w:space="0" w:color="auto"/>
            </w:tcBorders>
            <w:shd w:val="clear" w:color="auto" w:fill="auto"/>
            <w:vAlign w:val="center"/>
            <w:hideMark/>
          </w:tcPr>
          <w:p w14:paraId="22B65659"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1 085,4</w:t>
            </w:r>
          </w:p>
        </w:tc>
        <w:tc>
          <w:tcPr>
            <w:tcW w:w="697" w:type="dxa"/>
            <w:tcBorders>
              <w:top w:val="single" w:sz="4" w:space="0" w:color="auto"/>
              <w:left w:val="nil"/>
              <w:bottom w:val="single" w:sz="4" w:space="0" w:color="auto"/>
              <w:right w:val="single" w:sz="4" w:space="0" w:color="auto"/>
            </w:tcBorders>
            <w:shd w:val="clear" w:color="auto" w:fill="auto"/>
            <w:vAlign w:val="center"/>
            <w:hideMark/>
          </w:tcPr>
          <w:p w14:paraId="481B5AD7"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-312,1</w:t>
            </w:r>
          </w:p>
        </w:tc>
        <w:tc>
          <w:tcPr>
            <w:tcW w:w="869" w:type="dxa"/>
            <w:tcBorders>
              <w:top w:val="single" w:sz="4" w:space="0" w:color="auto"/>
              <w:left w:val="nil"/>
              <w:bottom w:val="single" w:sz="4" w:space="0" w:color="auto"/>
              <w:right w:val="single" w:sz="4" w:space="0" w:color="auto"/>
            </w:tcBorders>
            <w:shd w:val="clear" w:color="auto" w:fill="auto"/>
            <w:vAlign w:val="center"/>
            <w:hideMark/>
          </w:tcPr>
          <w:p w14:paraId="5C78C105"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3 411,5</w:t>
            </w:r>
          </w:p>
        </w:tc>
      </w:tr>
      <w:tr w:rsidR="00F00781" w:rsidRPr="00F00781" w14:paraId="6AEBCBAB" w14:textId="77777777" w:rsidTr="00E01BBF">
        <w:trPr>
          <w:trHeight w:val="196"/>
        </w:trPr>
        <w:tc>
          <w:tcPr>
            <w:tcW w:w="632" w:type="dxa"/>
            <w:tcBorders>
              <w:top w:val="nil"/>
              <w:left w:val="single" w:sz="4" w:space="0" w:color="auto"/>
              <w:bottom w:val="single" w:sz="4" w:space="0" w:color="auto"/>
              <w:right w:val="single" w:sz="4" w:space="0" w:color="auto"/>
            </w:tcBorders>
            <w:shd w:val="clear" w:color="auto" w:fill="auto"/>
            <w:vAlign w:val="center"/>
            <w:hideMark/>
          </w:tcPr>
          <w:p w14:paraId="3823EE26" w14:textId="77777777" w:rsidR="00F00781" w:rsidRPr="00F00781" w:rsidRDefault="00F00781" w:rsidP="00F00781">
            <w:pPr>
              <w:rPr>
                <w:rFonts w:ascii="Arial Narrow" w:hAnsi="Arial Narrow" w:cs="Calibri"/>
                <w:sz w:val="14"/>
                <w:szCs w:val="14"/>
              </w:rPr>
            </w:pPr>
            <w:r w:rsidRPr="00F00781">
              <w:rPr>
                <w:rFonts w:ascii="Arial Narrow" w:hAnsi="Arial Narrow" w:cs="Calibri"/>
                <w:sz w:val="14"/>
                <w:szCs w:val="14"/>
              </w:rPr>
              <w:t xml:space="preserve"> 01.1</w:t>
            </w:r>
          </w:p>
        </w:tc>
        <w:tc>
          <w:tcPr>
            <w:tcW w:w="1671" w:type="dxa"/>
            <w:tcBorders>
              <w:top w:val="nil"/>
              <w:left w:val="nil"/>
              <w:bottom w:val="single" w:sz="4" w:space="0" w:color="auto"/>
              <w:right w:val="single" w:sz="4" w:space="0" w:color="auto"/>
            </w:tcBorders>
            <w:shd w:val="clear" w:color="auto" w:fill="auto"/>
            <w:vAlign w:val="center"/>
            <w:hideMark/>
          </w:tcPr>
          <w:p w14:paraId="5573E76B" w14:textId="77777777" w:rsidR="00F00781" w:rsidRPr="00F00781" w:rsidRDefault="00F00781" w:rsidP="00F00781">
            <w:pPr>
              <w:ind w:firstLineChars="100" w:firstLine="140"/>
              <w:rPr>
                <w:rFonts w:ascii="Arial Narrow" w:hAnsi="Arial Narrow" w:cs="Calibri"/>
                <w:sz w:val="14"/>
                <w:szCs w:val="14"/>
              </w:rPr>
            </w:pPr>
            <w:r w:rsidRPr="00F00781">
              <w:rPr>
                <w:rFonts w:ascii="Arial Narrow" w:hAnsi="Arial Narrow" w:cs="Calibri"/>
                <w:sz w:val="14"/>
                <w:szCs w:val="14"/>
              </w:rPr>
              <w:t>Пшеница и лимец</w:t>
            </w:r>
          </w:p>
        </w:tc>
        <w:tc>
          <w:tcPr>
            <w:tcW w:w="773" w:type="dxa"/>
            <w:tcBorders>
              <w:top w:val="nil"/>
              <w:left w:val="nil"/>
              <w:bottom w:val="single" w:sz="4" w:space="0" w:color="auto"/>
              <w:right w:val="single" w:sz="4" w:space="0" w:color="auto"/>
            </w:tcBorders>
            <w:shd w:val="clear" w:color="auto" w:fill="auto"/>
            <w:vAlign w:val="center"/>
            <w:hideMark/>
          </w:tcPr>
          <w:p w14:paraId="5A81D5E0"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2 481,1</w:t>
            </w:r>
          </w:p>
        </w:tc>
        <w:tc>
          <w:tcPr>
            <w:tcW w:w="582" w:type="dxa"/>
            <w:tcBorders>
              <w:top w:val="nil"/>
              <w:left w:val="nil"/>
              <w:bottom w:val="single" w:sz="4" w:space="0" w:color="auto"/>
              <w:right w:val="single" w:sz="4" w:space="0" w:color="auto"/>
            </w:tcBorders>
            <w:shd w:val="clear" w:color="auto" w:fill="auto"/>
            <w:vAlign w:val="center"/>
            <w:hideMark/>
          </w:tcPr>
          <w:p w14:paraId="41F6E2B1"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1,0</w:t>
            </w:r>
          </w:p>
        </w:tc>
        <w:tc>
          <w:tcPr>
            <w:tcW w:w="681" w:type="dxa"/>
            <w:tcBorders>
              <w:top w:val="nil"/>
              <w:left w:val="nil"/>
              <w:bottom w:val="single" w:sz="4" w:space="0" w:color="auto"/>
              <w:right w:val="single" w:sz="4" w:space="0" w:color="auto"/>
            </w:tcBorders>
            <w:shd w:val="clear" w:color="auto" w:fill="auto"/>
            <w:vAlign w:val="center"/>
            <w:hideMark/>
          </w:tcPr>
          <w:p w14:paraId="376384DB"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833,3</w:t>
            </w:r>
          </w:p>
        </w:tc>
        <w:tc>
          <w:tcPr>
            <w:tcW w:w="789" w:type="dxa"/>
            <w:tcBorders>
              <w:top w:val="nil"/>
              <w:left w:val="nil"/>
              <w:bottom w:val="single" w:sz="4" w:space="0" w:color="auto"/>
              <w:right w:val="single" w:sz="4" w:space="0" w:color="auto"/>
            </w:tcBorders>
            <w:shd w:val="clear" w:color="auto" w:fill="auto"/>
            <w:vAlign w:val="center"/>
            <w:hideMark/>
          </w:tcPr>
          <w:p w14:paraId="7FEC9641"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79,4</w:t>
            </w:r>
          </w:p>
        </w:tc>
        <w:tc>
          <w:tcPr>
            <w:tcW w:w="693" w:type="dxa"/>
            <w:tcBorders>
              <w:top w:val="nil"/>
              <w:left w:val="nil"/>
              <w:bottom w:val="single" w:sz="4" w:space="0" w:color="auto"/>
              <w:right w:val="single" w:sz="4" w:space="0" w:color="auto"/>
            </w:tcBorders>
            <w:shd w:val="clear" w:color="auto" w:fill="auto"/>
            <w:vAlign w:val="center"/>
            <w:hideMark/>
          </w:tcPr>
          <w:p w14:paraId="324D2D81"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22,6</w:t>
            </w:r>
          </w:p>
        </w:tc>
        <w:tc>
          <w:tcPr>
            <w:tcW w:w="537" w:type="dxa"/>
            <w:tcBorders>
              <w:top w:val="nil"/>
              <w:left w:val="nil"/>
              <w:bottom w:val="single" w:sz="4" w:space="0" w:color="auto"/>
              <w:right w:val="single" w:sz="4" w:space="0" w:color="auto"/>
            </w:tcBorders>
            <w:shd w:val="clear" w:color="auto" w:fill="auto"/>
            <w:vAlign w:val="center"/>
            <w:hideMark/>
          </w:tcPr>
          <w:p w14:paraId="55D78B4C"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0,7</w:t>
            </w:r>
          </w:p>
        </w:tc>
        <w:tc>
          <w:tcPr>
            <w:tcW w:w="1143" w:type="dxa"/>
            <w:tcBorders>
              <w:top w:val="nil"/>
              <w:left w:val="nil"/>
              <w:bottom w:val="single" w:sz="4" w:space="0" w:color="auto"/>
              <w:right w:val="single" w:sz="4" w:space="0" w:color="auto"/>
            </w:tcBorders>
            <w:shd w:val="clear" w:color="auto" w:fill="auto"/>
            <w:vAlign w:val="center"/>
            <w:hideMark/>
          </w:tcPr>
          <w:p w14:paraId="4907CFDB"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0,9</w:t>
            </w:r>
          </w:p>
        </w:tc>
        <w:tc>
          <w:tcPr>
            <w:tcW w:w="1200" w:type="dxa"/>
            <w:tcBorders>
              <w:top w:val="nil"/>
              <w:left w:val="nil"/>
              <w:bottom w:val="single" w:sz="4" w:space="0" w:color="auto"/>
              <w:right w:val="single" w:sz="4" w:space="0" w:color="auto"/>
            </w:tcBorders>
            <w:shd w:val="clear" w:color="auto" w:fill="auto"/>
            <w:vAlign w:val="center"/>
            <w:hideMark/>
          </w:tcPr>
          <w:p w14:paraId="4BBDD7F4"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4,0</w:t>
            </w:r>
          </w:p>
        </w:tc>
        <w:tc>
          <w:tcPr>
            <w:tcW w:w="721" w:type="dxa"/>
            <w:tcBorders>
              <w:top w:val="nil"/>
              <w:left w:val="nil"/>
              <w:bottom w:val="single" w:sz="4" w:space="0" w:color="auto"/>
              <w:right w:val="single" w:sz="4" w:space="0" w:color="auto"/>
            </w:tcBorders>
            <w:shd w:val="clear" w:color="auto" w:fill="auto"/>
            <w:vAlign w:val="center"/>
            <w:hideMark/>
          </w:tcPr>
          <w:p w14:paraId="4D128BD9"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52,4</w:t>
            </w:r>
          </w:p>
        </w:tc>
        <w:tc>
          <w:tcPr>
            <w:tcW w:w="721" w:type="dxa"/>
            <w:tcBorders>
              <w:top w:val="nil"/>
              <w:left w:val="nil"/>
              <w:bottom w:val="single" w:sz="4" w:space="0" w:color="auto"/>
              <w:right w:val="single" w:sz="4" w:space="0" w:color="auto"/>
            </w:tcBorders>
            <w:shd w:val="clear" w:color="auto" w:fill="auto"/>
            <w:vAlign w:val="center"/>
            <w:hideMark/>
          </w:tcPr>
          <w:p w14:paraId="5B8BE65D"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2 470,7</w:t>
            </w:r>
          </w:p>
        </w:tc>
        <w:tc>
          <w:tcPr>
            <w:tcW w:w="698" w:type="dxa"/>
            <w:tcBorders>
              <w:top w:val="nil"/>
              <w:left w:val="nil"/>
              <w:bottom w:val="single" w:sz="4" w:space="0" w:color="auto"/>
              <w:right w:val="single" w:sz="4" w:space="0" w:color="auto"/>
            </w:tcBorders>
            <w:shd w:val="clear" w:color="auto" w:fill="auto"/>
            <w:vAlign w:val="center"/>
            <w:hideMark/>
          </w:tcPr>
          <w:p w14:paraId="21115228"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19,4</w:t>
            </w:r>
          </w:p>
        </w:tc>
        <w:tc>
          <w:tcPr>
            <w:tcW w:w="765" w:type="dxa"/>
            <w:tcBorders>
              <w:top w:val="nil"/>
              <w:left w:val="nil"/>
              <w:bottom w:val="single" w:sz="4" w:space="0" w:color="auto"/>
              <w:right w:val="single" w:sz="4" w:space="0" w:color="auto"/>
            </w:tcBorders>
            <w:shd w:val="clear" w:color="auto" w:fill="auto"/>
            <w:vAlign w:val="center"/>
            <w:hideMark/>
          </w:tcPr>
          <w:p w14:paraId="3089903D"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2 542,5</w:t>
            </w:r>
          </w:p>
        </w:tc>
        <w:tc>
          <w:tcPr>
            <w:tcW w:w="970" w:type="dxa"/>
            <w:tcBorders>
              <w:top w:val="nil"/>
              <w:left w:val="nil"/>
              <w:bottom w:val="single" w:sz="4" w:space="0" w:color="auto"/>
              <w:right w:val="single" w:sz="4" w:space="0" w:color="auto"/>
            </w:tcBorders>
            <w:shd w:val="clear" w:color="auto" w:fill="auto"/>
            <w:vAlign w:val="center"/>
            <w:hideMark/>
          </w:tcPr>
          <w:p w14:paraId="286F477B" w14:textId="77777777" w:rsidR="00F00781" w:rsidRPr="00F00781" w:rsidRDefault="00F00781" w:rsidP="00F00781">
            <w:pPr>
              <w:rPr>
                <w:rFonts w:ascii="Arial Narrow" w:hAnsi="Arial Narrow" w:cs="Calibri"/>
                <w:sz w:val="14"/>
                <w:szCs w:val="14"/>
              </w:rPr>
            </w:pPr>
            <w:r w:rsidRPr="00F00781">
              <w:rPr>
                <w:rFonts w:ascii="Arial Narrow" w:hAnsi="Arial Narrow" w:cs="Calibri"/>
                <w:sz w:val="14"/>
                <w:szCs w:val="14"/>
              </w:rPr>
              <w:t> </w:t>
            </w:r>
          </w:p>
        </w:tc>
        <w:tc>
          <w:tcPr>
            <w:tcW w:w="602" w:type="dxa"/>
            <w:tcBorders>
              <w:top w:val="nil"/>
              <w:left w:val="nil"/>
              <w:bottom w:val="single" w:sz="4" w:space="0" w:color="auto"/>
              <w:right w:val="single" w:sz="4" w:space="0" w:color="auto"/>
            </w:tcBorders>
            <w:shd w:val="clear" w:color="auto" w:fill="auto"/>
            <w:vAlign w:val="center"/>
            <w:hideMark/>
          </w:tcPr>
          <w:p w14:paraId="501612EC"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663,3</w:t>
            </w:r>
          </w:p>
        </w:tc>
        <w:tc>
          <w:tcPr>
            <w:tcW w:w="697" w:type="dxa"/>
            <w:tcBorders>
              <w:top w:val="nil"/>
              <w:left w:val="nil"/>
              <w:bottom w:val="single" w:sz="4" w:space="0" w:color="auto"/>
              <w:right w:val="single" w:sz="4" w:space="0" w:color="auto"/>
            </w:tcBorders>
            <w:shd w:val="clear" w:color="auto" w:fill="auto"/>
            <w:vAlign w:val="center"/>
            <w:hideMark/>
          </w:tcPr>
          <w:p w14:paraId="79E0CE62"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-169,9</w:t>
            </w:r>
          </w:p>
        </w:tc>
        <w:tc>
          <w:tcPr>
            <w:tcW w:w="869" w:type="dxa"/>
            <w:tcBorders>
              <w:top w:val="nil"/>
              <w:left w:val="nil"/>
              <w:bottom w:val="single" w:sz="4" w:space="0" w:color="auto"/>
              <w:right w:val="single" w:sz="4" w:space="0" w:color="auto"/>
            </w:tcBorders>
            <w:shd w:val="clear" w:color="auto" w:fill="auto"/>
            <w:vAlign w:val="center"/>
            <w:hideMark/>
          </w:tcPr>
          <w:p w14:paraId="405A7FF6"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2 400,0</w:t>
            </w:r>
          </w:p>
        </w:tc>
      </w:tr>
      <w:tr w:rsidR="00F00781" w:rsidRPr="00F00781" w14:paraId="5D87D3A1" w14:textId="77777777" w:rsidTr="00E01BBF">
        <w:trPr>
          <w:trHeight w:val="196"/>
        </w:trPr>
        <w:tc>
          <w:tcPr>
            <w:tcW w:w="632" w:type="dxa"/>
            <w:tcBorders>
              <w:top w:val="nil"/>
              <w:left w:val="single" w:sz="4" w:space="0" w:color="auto"/>
              <w:bottom w:val="single" w:sz="4" w:space="0" w:color="auto"/>
              <w:right w:val="single" w:sz="4" w:space="0" w:color="auto"/>
            </w:tcBorders>
            <w:shd w:val="clear" w:color="auto" w:fill="auto"/>
            <w:vAlign w:val="center"/>
            <w:hideMark/>
          </w:tcPr>
          <w:p w14:paraId="72F14E03" w14:textId="77777777" w:rsidR="00F00781" w:rsidRPr="00F00781" w:rsidRDefault="00F00781" w:rsidP="00F00781">
            <w:pPr>
              <w:rPr>
                <w:rFonts w:ascii="Arial Narrow" w:hAnsi="Arial Narrow" w:cs="Calibri"/>
                <w:sz w:val="14"/>
                <w:szCs w:val="14"/>
              </w:rPr>
            </w:pPr>
            <w:r w:rsidRPr="00F00781">
              <w:rPr>
                <w:rFonts w:ascii="Arial Narrow" w:hAnsi="Arial Narrow" w:cs="Calibri"/>
                <w:sz w:val="14"/>
                <w:szCs w:val="14"/>
              </w:rPr>
              <w:t xml:space="preserve"> 01.1/1</w:t>
            </w:r>
          </w:p>
        </w:tc>
        <w:tc>
          <w:tcPr>
            <w:tcW w:w="1671" w:type="dxa"/>
            <w:tcBorders>
              <w:top w:val="nil"/>
              <w:left w:val="nil"/>
              <w:bottom w:val="single" w:sz="4" w:space="0" w:color="auto"/>
              <w:right w:val="single" w:sz="4" w:space="0" w:color="auto"/>
            </w:tcBorders>
            <w:shd w:val="clear" w:color="auto" w:fill="auto"/>
            <w:vAlign w:val="center"/>
            <w:hideMark/>
          </w:tcPr>
          <w:p w14:paraId="2E4AC2B3" w14:textId="77777777" w:rsidR="00F00781" w:rsidRPr="00F00781" w:rsidRDefault="00F00781" w:rsidP="00F00781">
            <w:pPr>
              <w:ind w:firstLineChars="300" w:firstLine="420"/>
              <w:rPr>
                <w:rFonts w:ascii="Arial Narrow" w:hAnsi="Arial Narrow" w:cs="Calibri"/>
                <w:sz w:val="14"/>
                <w:szCs w:val="14"/>
              </w:rPr>
            </w:pPr>
            <w:r w:rsidRPr="00F00781">
              <w:rPr>
                <w:rFonts w:ascii="Arial Narrow" w:hAnsi="Arial Narrow" w:cs="Calibri"/>
                <w:sz w:val="14"/>
                <w:szCs w:val="14"/>
              </w:rPr>
              <w:t>Мека пшеница</w:t>
            </w:r>
          </w:p>
        </w:tc>
        <w:tc>
          <w:tcPr>
            <w:tcW w:w="773" w:type="dxa"/>
            <w:tcBorders>
              <w:top w:val="nil"/>
              <w:left w:val="nil"/>
              <w:bottom w:val="single" w:sz="4" w:space="0" w:color="auto"/>
              <w:right w:val="single" w:sz="4" w:space="0" w:color="auto"/>
            </w:tcBorders>
            <w:shd w:val="clear" w:color="auto" w:fill="auto"/>
            <w:vAlign w:val="center"/>
            <w:hideMark/>
          </w:tcPr>
          <w:p w14:paraId="051C1F61"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2 436,3</w:t>
            </w:r>
          </w:p>
        </w:tc>
        <w:tc>
          <w:tcPr>
            <w:tcW w:w="582" w:type="dxa"/>
            <w:tcBorders>
              <w:top w:val="nil"/>
              <w:left w:val="nil"/>
              <w:bottom w:val="single" w:sz="4" w:space="0" w:color="auto"/>
              <w:right w:val="single" w:sz="4" w:space="0" w:color="auto"/>
            </w:tcBorders>
            <w:shd w:val="clear" w:color="auto" w:fill="auto"/>
            <w:vAlign w:val="center"/>
            <w:hideMark/>
          </w:tcPr>
          <w:p w14:paraId="22EC7141"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1,0</w:t>
            </w:r>
          </w:p>
        </w:tc>
        <w:tc>
          <w:tcPr>
            <w:tcW w:w="681" w:type="dxa"/>
            <w:tcBorders>
              <w:top w:val="nil"/>
              <w:left w:val="nil"/>
              <w:bottom w:val="single" w:sz="4" w:space="0" w:color="auto"/>
              <w:right w:val="single" w:sz="4" w:space="0" w:color="auto"/>
            </w:tcBorders>
            <w:shd w:val="clear" w:color="auto" w:fill="auto"/>
            <w:vAlign w:val="center"/>
            <w:hideMark/>
          </w:tcPr>
          <w:p w14:paraId="63C19A1C"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821,8</w:t>
            </w:r>
          </w:p>
        </w:tc>
        <w:tc>
          <w:tcPr>
            <w:tcW w:w="789" w:type="dxa"/>
            <w:tcBorders>
              <w:top w:val="nil"/>
              <w:left w:val="nil"/>
              <w:bottom w:val="single" w:sz="4" w:space="0" w:color="auto"/>
              <w:right w:val="single" w:sz="4" w:space="0" w:color="auto"/>
            </w:tcBorders>
            <w:shd w:val="clear" w:color="auto" w:fill="auto"/>
            <w:vAlign w:val="center"/>
            <w:hideMark/>
          </w:tcPr>
          <w:p w14:paraId="154219AA"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78,1</w:t>
            </w:r>
          </w:p>
        </w:tc>
        <w:tc>
          <w:tcPr>
            <w:tcW w:w="693" w:type="dxa"/>
            <w:tcBorders>
              <w:top w:val="nil"/>
              <w:left w:val="nil"/>
              <w:bottom w:val="single" w:sz="4" w:space="0" w:color="auto"/>
              <w:right w:val="single" w:sz="4" w:space="0" w:color="auto"/>
            </w:tcBorders>
            <w:shd w:val="clear" w:color="auto" w:fill="auto"/>
            <w:vAlign w:val="center"/>
            <w:hideMark/>
          </w:tcPr>
          <w:p w14:paraId="23DF3B0B"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22,3</w:t>
            </w:r>
          </w:p>
        </w:tc>
        <w:tc>
          <w:tcPr>
            <w:tcW w:w="537" w:type="dxa"/>
            <w:tcBorders>
              <w:top w:val="nil"/>
              <w:left w:val="nil"/>
              <w:bottom w:val="single" w:sz="4" w:space="0" w:color="auto"/>
              <w:right w:val="single" w:sz="4" w:space="0" w:color="auto"/>
            </w:tcBorders>
            <w:shd w:val="clear" w:color="auto" w:fill="auto"/>
            <w:vAlign w:val="center"/>
            <w:hideMark/>
          </w:tcPr>
          <w:p w14:paraId="45E8D5E2"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0,7</w:t>
            </w:r>
          </w:p>
        </w:tc>
        <w:tc>
          <w:tcPr>
            <w:tcW w:w="1143" w:type="dxa"/>
            <w:tcBorders>
              <w:top w:val="nil"/>
              <w:left w:val="nil"/>
              <w:bottom w:val="single" w:sz="4" w:space="0" w:color="auto"/>
              <w:right w:val="single" w:sz="4" w:space="0" w:color="auto"/>
            </w:tcBorders>
            <w:shd w:val="clear" w:color="auto" w:fill="auto"/>
            <w:vAlign w:val="center"/>
            <w:hideMark/>
          </w:tcPr>
          <w:p w14:paraId="1062247C"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0,9</w:t>
            </w:r>
          </w:p>
        </w:tc>
        <w:tc>
          <w:tcPr>
            <w:tcW w:w="1200" w:type="dxa"/>
            <w:tcBorders>
              <w:top w:val="nil"/>
              <w:left w:val="nil"/>
              <w:bottom w:val="single" w:sz="4" w:space="0" w:color="auto"/>
              <w:right w:val="single" w:sz="4" w:space="0" w:color="auto"/>
            </w:tcBorders>
            <w:shd w:val="clear" w:color="auto" w:fill="auto"/>
            <w:vAlign w:val="center"/>
            <w:hideMark/>
          </w:tcPr>
          <w:p w14:paraId="201E534F"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3,8</w:t>
            </w:r>
          </w:p>
        </w:tc>
        <w:tc>
          <w:tcPr>
            <w:tcW w:w="721" w:type="dxa"/>
            <w:tcBorders>
              <w:top w:val="nil"/>
              <w:left w:val="nil"/>
              <w:bottom w:val="single" w:sz="4" w:space="0" w:color="auto"/>
              <w:right w:val="single" w:sz="4" w:space="0" w:color="auto"/>
            </w:tcBorders>
            <w:shd w:val="clear" w:color="auto" w:fill="auto"/>
            <w:vAlign w:val="center"/>
            <w:hideMark/>
          </w:tcPr>
          <w:p w14:paraId="466EC242"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46,4</w:t>
            </w:r>
          </w:p>
        </w:tc>
        <w:tc>
          <w:tcPr>
            <w:tcW w:w="721" w:type="dxa"/>
            <w:tcBorders>
              <w:top w:val="nil"/>
              <w:left w:val="nil"/>
              <w:bottom w:val="single" w:sz="4" w:space="0" w:color="auto"/>
              <w:right w:val="single" w:sz="4" w:space="0" w:color="auto"/>
            </w:tcBorders>
            <w:shd w:val="clear" w:color="auto" w:fill="auto"/>
            <w:vAlign w:val="center"/>
            <w:hideMark/>
          </w:tcPr>
          <w:p w14:paraId="221F3F89"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2 429,5</w:t>
            </w:r>
          </w:p>
        </w:tc>
        <w:tc>
          <w:tcPr>
            <w:tcW w:w="698" w:type="dxa"/>
            <w:tcBorders>
              <w:top w:val="nil"/>
              <w:left w:val="nil"/>
              <w:bottom w:val="single" w:sz="4" w:space="0" w:color="auto"/>
              <w:right w:val="single" w:sz="4" w:space="0" w:color="auto"/>
            </w:tcBorders>
            <w:shd w:val="clear" w:color="auto" w:fill="auto"/>
            <w:vAlign w:val="center"/>
            <w:hideMark/>
          </w:tcPr>
          <w:p w14:paraId="23D53147"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17,8</w:t>
            </w:r>
          </w:p>
        </w:tc>
        <w:tc>
          <w:tcPr>
            <w:tcW w:w="765" w:type="dxa"/>
            <w:tcBorders>
              <w:top w:val="nil"/>
              <w:left w:val="nil"/>
              <w:bottom w:val="single" w:sz="4" w:space="0" w:color="auto"/>
              <w:right w:val="single" w:sz="4" w:space="0" w:color="auto"/>
            </w:tcBorders>
            <w:shd w:val="clear" w:color="auto" w:fill="auto"/>
            <w:vAlign w:val="center"/>
            <w:hideMark/>
          </w:tcPr>
          <w:p w14:paraId="44D047B6"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2 493,7</w:t>
            </w:r>
          </w:p>
        </w:tc>
        <w:tc>
          <w:tcPr>
            <w:tcW w:w="970" w:type="dxa"/>
            <w:tcBorders>
              <w:top w:val="nil"/>
              <w:left w:val="nil"/>
              <w:bottom w:val="single" w:sz="4" w:space="0" w:color="auto"/>
              <w:right w:val="single" w:sz="4" w:space="0" w:color="auto"/>
            </w:tcBorders>
            <w:shd w:val="clear" w:color="auto" w:fill="auto"/>
            <w:vAlign w:val="center"/>
            <w:hideMark/>
          </w:tcPr>
          <w:p w14:paraId="055BDF92" w14:textId="77777777" w:rsidR="00F00781" w:rsidRPr="00F00781" w:rsidRDefault="00F00781" w:rsidP="00F00781">
            <w:pPr>
              <w:rPr>
                <w:rFonts w:ascii="Arial Narrow" w:hAnsi="Arial Narrow" w:cs="Calibri"/>
                <w:sz w:val="14"/>
                <w:szCs w:val="14"/>
              </w:rPr>
            </w:pPr>
            <w:r w:rsidRPr="00F00781">
              <w:rPr>
                <w:rFonts w:ascii="Arial Narrow" w:hAnsi="Arial Narrow" w:cs="Calibri"/>
                <w:sz w:val="14"/>
                <w:szCs w:val="14"/>
              </w:rPr>
              <w:t> </w:t>
            </w:r>
          </w:p>
        </w:tc>
        <w:tc>
          <w:tcPr>
            <w:tcW w:w="602" w:type="dxa"/>
            <w:tcBorders>
              <w:top w:val="nil"/>
              <w:left w:val="nil"/>
              <w:bottom w:val="single" w:sz="4" w:space="0" w:color="auto"/>
              <w:right w:val="single" w:sz="4" w:space="0" w:color="auto"/>
            </w:tcBorders>
            <w:shd w:val="clear" w:color="auto" w:fill="auto"/>
            <w:vAlign w:val="center"/>
            <w:hideMark/>
          </w:tcPr>
          <w:p w14:paraId="309C9E56"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657,6</w:t>
            </w:r>
          </w:p>
        </w:tc>
        <w:tc>
          <w:tcPr>
            <w:tcW w:w="697" w:type="dxa"/>
            <w:tcBorders>
              <w:top w:val="nil"/>
              <w:left w:val="nil"/>
              <w:bottom w:val="single" w:sz="4" w:space="0" w:color="auto"/>
              <w:right w:val="single" w:sz="4" w:space="0" w:color="auto"/>
            </w:tcBorders>
            <w:shd w:val="clear" w:color="auto" w:fill="auto"/>
            <w:vAlign w:val="center"/>
            <w:hideMark/>
          </w:tcPr>
          <w:p w14:paraId="037308DC"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-164,2</w:t>
            </w:r>
          </w:p>
        </w:tc>
        <w:tc>
          <w:tcPr>
            <w:tcW w:w="869" w:type="dxa"/>
            <w:tcBorders>
              <w:top w:val="nil"/>
              <w:left w:val="nil"/>
              <w:bottom w:val="single" w:sz="4" w:space="0" w:color="auto"/>
              <w:right w:val="single" w:sz="4" w:space="0" w:color="auto"/>
            </w:tcBorders>
            <w:shd w:val="clear" w:color="auto" w:fill="auto"/>
            <w:vAlign w:val="center"/>
            <w:hideMark/>
          </w:tcPr>
          <w:p w14:paraId="6F279B90"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2 356,5</w:t>
            </w:r>
          </w:p>
        </w:tc>
      </w:tr>
      <w:tr w:rsidR="00F00781" w:rsidRPr="00F00781" w14:paraId="3B600FB7" w14:textId="77777777" w:rsidTr="00E01BBF">
        <w:trPr>
          <w:trHeight w:val="196"/>
        </w:trPr>
        <w:tc>
          <w:tcPr>
            <w:tcW w:w="632" w:type="dxa"/>
            <w:tcBorders>
              <w:top w:val="nil"/>
              <w:left w:val="single" w:sz="4" w:space="0" w:color="auto"/>
              <w:bottom w:val="single" w:sz="4" w:space="0" w:color="auto"/>
              <w:right w:val="single" w:sz="4" w:space="0" w:color="auto"/>
            </w:tcBorders>
            <w:shd w:val="clear" w:color="auto" w:fill="auto"/>
            <w:vAlign w:val="center"/>
            <w:hideMark/>
          </w:tcPr>
          <w:p w14:paraId="3ECEAC1E" w14:textId="77777777" w:rsidR="00F00781" w:rsidRPr="00F00781" w:rsidRDefault="00F00781" w:rsidP="00F00781">
            <w:pPr>
              <w:rPr>
                <w:rFonts w:ascii="Arial Narrow" w:hAnsi="Arial Narrow" w:cs="Calibri"/>
                <w:sz w:val="14"/>
                <w:szCs w:val="14"/>
              </w:rPr>
            </w:pPr>
            <w:r w:rsidRPr="00F00781">
              <w:rPr>
                <w:rFonts w:ascii="Arial Narrow" w:hAnsi="Arial Narrow" w:cs="Calibri"/>
                <w:sz w:val="14"/>
                <w:szCs w:val="14"/>
              </w:rPr>
              <w:t xml:space="preserve"> 01.1/2</w:t>
            </w:r>
          </w:p>
        </w:tc>
        <w:tc>
          <w:tcPr>
            <w:tcW w:w="1671" w:type="dxa"/>
            <w:tcBorders>
              <w:top w:val="nil"/>
              <w:left w:val="nil"/>
              <w:bottom w:val="single" w:sz="4" w:space="0" w:color="auto"/>
              <w:right w:val="single" w:sz="4" w:space="0" w:color="auto"/>
            </w:tcBorders>
            <w:shd w:val="clear" w:color="auto" w:fill="auto"/>
            <w:vAlign w:val="center"/>
            <w:hideMark/>
          </w:tcPr>
          <w:p w14:paraId="19ADD291" w14:textId="77777777" w:rsidR="00F00781" w:rsidRPr="00F00781" w:rsidRDefault="00F00781" w:rsidP="00F00781">
            <w:pPr>
              <w:ind w:firstLineChars="300" w:firstLine="420"/>
              <w:rPr>
                <w:rFonts w:ascii="Arial Narrow" w:hAnsi="Arial Narrow" w:cs="Calibri"/>
                <w:sz w:val="14"/>
                <w:szCs w:val="14"/>
              </w:rPr>
            </w:pPr>
            <w:r w:rsidRPr="00F00781">
              <w:rPr>
                <w:rFonts w:ascii="Arial Narrow" w:hAnsi="Arial Narrow" w:cs="Calibri"/>
                <w:sz w:val="14"/>
                <w:szCs w:val="14"/>
              </w:rPr>
              <w:t>Твърда пшеница</w:t>
            </w:r>
          </w:p>
        </w:tc>
        <w:tc>
          <w:tcPr>
            <w:tcW w:w="773" w:type="dxa"/>
            <w:tcBorders>
              <w:top w:val="nil"/>
              <w:left w:val="nil"/>
              <w:bottom w:val="single" w:sz="4" w:space="0" w:color="auto"/>
              <w:right w:val="single" w:sz="4" w:space="0" w:color="auto"/>
            </w:tcBorders>
            <w:shd w:val="clear" w:color="auto" w:fill="auto"/>
            <w:vAlign w:val="center"/>
            <w:hideMark/>
          </w:tcPr>
          <w:p w14:paraId="3C73CC15"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44,8</w:t>
            </w:r>
          </w:p>
        </w:tc>
        <w:tc>
          <w:tcPr>
            <w:tcW w:w="582" w:type="dxa"/>
            <w:tcBorders>
              <w:top w:val="nil"/>
              <w:left w:val="nil"/>
              <w:bottom w:val="single" w:sz="4" w:space="0" w:color="auto"/>
              <w:right w:val="single" w:sz="4" w:space="0" w:color="auto"/>
            </w:tcBorders>
            <w:shd w:val="clear" w:color="auto" w:fill="auto"/>
            <w:vAlign w:val="center"/>
            <w:hideMark/>
          </w:tcPr>
          <w:p w14:paraId="41691F70" w14:textId="77777777" w:rsidR="00F00781" w:rsidRPr="00F00781" w:rsidRDefault="00F00781" w:rsidP="00F00781">
            <w:pPr>
              <w:rPr>
                <w:rFonts w:ascii="Arial Narrow" w:hAnsi="Arial Narrow" w:cs="Calibri"/>
                <w:sz w:val="14"/>
                <w:szCs w:val="14"/>
              </w:rPr>
            </w:pPr>
            <w:r w:rsidRPr="00F00781">
              <w:rPr>
                <w:rFonts w:ascii="Arial Narrow" w:hAnsi="Arial Narrow" w:cs="Calibri"/>
                <w:sz w:val="14"/>
                <w:szCs w:val="14"/>
              </w:rPr>
              <w:t> </w:t>
            </w:r>
          </w:p>
        </w:tc>
        <w:tc>
          <w:tcPr>
            <w:tcW w:w="681" w:type="dxa"/>
            <w:tcBorders>
              <w:top w:val="nil"/>
              <w:left w:val="nil"/>
              <w:bottom w:val="single" w:sz="4" w:space="0" w:color="auto"/>
              <w:right w:val="single" w:sz="4" w:space="0" w:color="auto"/>
            </w:tcBorders>
            <w:shd w:val="clear" w:color="auto" w:fill="auto"/>
            <w:vAlign w:val="center"/>
            <w:hideMark/>
          </w:tcPr>
          <w:p w14:paraId="78E7F568"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11,5</w:t>
            </w:r>
          </w:p>
        </w:tc>
        <w:tc>
          <w:tcPr>
            <w:tcW w:w="789" w:type="dxa"/>
            <w:tcBorders>
              <w:top w:val="nil"/>
              <w:left w:val="nil"/>
              <w:bottom w:val="single" w:sz="4" w:space="0" w:color="auto"/>
              <w:right w:val="single" w:sz="4" w:space="0" w:color="auto"/>
            </w:tcBorders>
            <w:shd w:val="clear" w:color="auto" w:fill="auto"/>
            <w:vAlign w:val="center"/>
            <w:hideMark/>
          </w:tcPr>
          <w:p w14:paraId="75BEA24B"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1,3</w:t>
            </w:r>
          </w:p>
        </w:tc>
        <w:tc>
          <w:tcPr>
            <w:tcW w:w="693" w:type="dxa"/>
            <w:tcBorders>
              <w:top w:val="nil"/>
              <w:left w:val="nil"/>
              <w:bottom w:val="single" w:sz="4" w:space="0" w:color="auto"/>
              <w:right w:val="single" w:sz="4" w:space="0" w:color="auto"/>
            </w:tcBorders>
            <w:shd w:val="clear" w:color="auto" w:fill="auto"/>
            <w:vAlign w:val="center"/>
            <w:hideMark/>
          </w:tcPr>
          <w:p w14:paraId="2D651FD8"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0,3</w:t>
            </w:r>
          </w:p>
        </w:tc>
        <w:tc>
          <w:tcPr>
            <w:tcW w:w="537" w:type="dxa"/>
            <w:tcBorders>
              <w:top w:val="nil"/>
              <w:left w:val="nil"/>
              <w:bottom w:val="single" w:sz="4" w:space="0" w:color="auto"/>
              <w:right w:val="single" w:sz="4" w:space="0" w:color="auto"/>
            </w:tcBorders>
            <w:shd w:val="clear" w:color="auto" w:fill="auto"/>
            <w:vAlign w:val="center"/>
            <w:hideMark/>
          </w:tcPr>
          <w:p w14:paraId="1B835A0B" w14:textId="77777777" w:rsidR="00F00781" w:rsidRPr="00F00781" w:rsidRDefault="00F00781" w:rsidP="00F00781">
            <w:pPr>
              <w:rPr>
                <w:rFonts w:ascii="Arial Narrow" w:hAnsi="Arial Narrow" w:cs="Calibri"/>
                <w:sz w:val="14"/>
                <w:szCs w:val="14"/>
              </w:rPr>
            </w:pPr>
            <w:r w:rsidRPr="00F00781">
              <w:rPr>
                <w:rFonts w:ascii="Arial Narrow" w:hAnsi="Arial Narrow" w:cs="Calibri"/>
                <w:sz w:val="14"/>
                <w:szCs w:val="14"/>
              </w:rPr>
              <w:t> </w:t>
            </w:r>
          </w:p>
        </w:tc>
        <w:tc>
          <w:tcPr>
            <w:tcW w:w="1143" w:type="dxa"/>
            <w:tcBorders>
              <w:top w:val="nil"/>
              <w:left w:val="nil"/>
              <w:bottom w:val="single" w:sz="4" w:space="0" w:color="auto"/>
              <w:right w:val="single" w:sz="4" w:space="0" w:color="auto"/>
            </w:tcBorders>
            <w:shd w:val="clear" w:color="auto" w:fill="auto"/>
            <w:vAlign w:val="center"/>
            <w:hideMark/>
          </w:tcPr>
          <w:p w14:paraId="192210CB" w14:textId="77777777" w:rsidR="00F00781" w:rsidRPr="00F00781" w:rsidRDefault="00F00781" w:rsidP="00F00781">
            <w:pPr>
              <w:rPr>
                <w:rFonts w:ascii="Arial Narrow" w:hAnsi="Arial Narrow" w:cs="Calibri"/>
                <w:sz w:val="14"/>
                <w:szCs w:val="14"/>
              </w:rPr>
            </w:pPr>
            <w:r w:rsidRPr="00F00781">
              <w:rPr>
                <w:rFonts w:ascii="Arial Narrow" w:hAnsi="Arial Narrow" w:cs="Calibri"/>
                <w:sz w:val="14"/>
                <w:szCs w:val="14"/>
              </w:rPr>
              <w:t> </w:t>
            </w:r>
          </w:p>
        </w:tc>
        <w:tc>
          <w:tcPr>
            <w:tcW w:w="1200" w:type="dxa"/>
            <w:tcBorders>
              <w:top w:val="nil"/>
              <w:left w:val="nil"/>
              <w:bottom w:val="single" w:sz="4" w:space="0" w:color="auto"/>
              <w:right w:val="single" w:sz="4" w:space="0" w:color="auto"/>
            </w:tcBorders>
            <w:shd w:val="clear" w:color="auto" w:fill="auto"/>
            <w:vAlign w:val="center"/>
            <w:hideMark/>
          </w:tcPr>
          <w:p w14:paraId="4AEB0972"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0,2</w:t>
            </w:r>
          </w:p>
        </w:tc>
        <w:tc>
          <w:tcPr>
            <w:tcW w:w="721" w:type="dxa"/>
            <w:tcBorders>
              <w:top w:val="nil"/>
              <w:left w:val="nil"/>
              <w:bottom w:val="single" w:sz="4" w:space="0" w:color="auto"/>
              <w:right w:val="single" w:sz="4" w:space="0" w:color="auto"/>
            </w:tcBorders>
            <w:shd w:val="clear" w:color="auto" w:fill="auto"/>
            <w:vAlign w:val="center"/>
            <w:hideMark/>
          </w:tcPr>
          <w:p w14:paraId="35D6421E"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6,0</w:t>
            </w:r>
          </w:p>
        </w:tc>
        <w:tc>
          <w:tcPr>
            <w:tcW w:w="721" w:type="dxa"/>
            <w:tcBorders>
              <w:top w:val="nil"/>
              <w:left w:val="nil"/>
              <w:bottom w:val="single" w:sz="4" w:space="0" w:color="auto"/>
              <w:right w:val="single" w:sz="4" w:space="0" w:color="auto"/>
            </w:tcBorders>
            <w:shd w:val="clear" w:color="auto" w:fill="auto"/>
            <w:vAlign w:val="center"/>
            <w:hideMark/>
          </w:tcPr>
          <w:p w14:paraId="77B33B5B"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41,2</w:t>
            </w:r>
          </w:p>
        </w:tc>
        <w:tc>
          <w:tcPr>
            <w:tcW w:w="698" w:type="dxa"/>
            <w:tcBorders>
              <w:top w:val="nil"/>
              <w:left w:val="nil"/>
              <w:bottom w:val="single" w:sz="4" w:space="0" w:color="auto"/>
              <w:right w:val="single" w:sz="4" w:space="0" w:color="auto"/>
            </w:tcBorders>
            <w:shd w:val="clear" w:color="auto" w:fill="auto"/>
            <w:vAlign w:val="center"/>
            <w:hideMark/>
          </w:tcPr>
          <w:p w14:paraId="31F916AF"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1,6</w:t>
            </w:r>
          </w:p>
        </w:tc>
        <w:tc>
          <w:tcPr>
            <w:tcW w:w="765" w:type="dxa"/>
            <w:tcBorders>
              <w:top w:val="nil"/>
              <w:left w:val="nil"/>
              <w:bottom w:val="single" w:sz="4" w:space="0" w:color="auto"/>
              <w:right w:val="single" w:sz="4" w:space="0" w:color="auto"/>
            </w:tcBorders>
            <w:shd w:val="clear" w:color="auto" w:fill="auto"/>
            <w:vAlign w:val="center"/>
            <w:hideMark/>
          </w:tcPr>
          <w:p w14:paraId="3BE7FE88"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48,8</w:t>
            </w:r>
          </w:p>
        </w:tc>
        <w:tc>
          <w:tcPr>
            <w:tcW w:w="970" w:type="dxa"/>
            <w:tcBorders>
              <w:top w:val="nil"/>
              <w:left w:val="nil"/>
              <w:bottom w:val="single" w:sz="4" w:space="0" w:color="auto"/>
              <w:right w:val="single" w:sz="4" w:space="0" w:color="auto"/>
            </w:tcBorders>
            <w:shd w:val="clear" w:color="auto" w:fill="auto"/>
            <w:vAlign w:val="center"/>
            <w:hideMark/>
          </w:tcPr>
          <w:p w14:paraId="4E1C81C5" w14:textId="77777777" w:rsidR="00F00781" w:rsidRPr="00F00781" w:rsidRDefault="00F00781" w:rsidP="00F00781">
            <w:pPr>
              <w:rPr>
                <w:rFonts w:ascii="Arial Narrow" w:hAnsi="Arial Narrow" w:cs="Calibri"/>
                <w:sz w:val="14"/>
                <w:szCs w:val="14"/>
              </w:rPr>
            </w:pPr>
            <w:r w:rsidRPr="00F00781">
              <w:rPr>
                <w:rFonts w:ascii="Arial Narrow" w:hAnsi="Arial Narrow" w:cs="Calibri"/>
                <w:sz w:val="14"/>
                <w:szCs w:val="14"/>
              </w:rPr>
              <w:t> </w:t>
            </w:r>
          </w:p>
        </w:tc>
        <w:tc>
          <w:tcPr>
            <w:tcW w:w="602" w:type="dxa"/>
            <w:tcBorders>
              <w:top w:val="nil"/>
              <w:left w:val="nil"/>
              <w:bottom w:val="single" w:sz="4" w:space="0" w:color="auto"/>
              <w:right w:val="single" w:sz="4" w:space="0" w:color="auto"/>
            </w:tcBorders>
            <w:shd w:val="clear" w:color="auto" w:fill="auto"/>
            <w:vAlign w:val="center"/>
            <w:hideMark/>
          </w:tcPr>
          <w:p w14:paraId="36AB3EA7"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5,7</w:t>
            </w:r>
          </w:p>
        </w:tc>
        <w:tc>
          <w:tcPr>
            <w:tcW w:w="697" w:type="dxa"/>
            <w:tcBorders>
              <w:top w:val="nil"/>
              <w:left w:val="nil"/>
              <w:bottom w:val="single" w:sz="4" w:space="0" w:color="auto"/>
              <w:right w:val="single" w:sz="4" w:space="0" w:color="auto"/>
            </w:tcBorders>
            <w:shd w:val="clear" w:color="auto" w:fill="auto"/>
            <w:vAlign w:val="center"/>
            <w:hideMark/>
          </w:tcPr>
          <w:p w14:paraId="628F6F92"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-5,7</w:t>
            </w:r>
          </w:p>
        </w:tc>
        <w:tc>
          <w:tcPr>
            <w:tcW w:w="869" w:type="dxa"/>
            <w:tcBorders>
              <w:top w:val="nil"/>
              <w:left w:val="nil"/>
              <w:bottom w:val="single" w:sz="4" w:space="0" w:color="auto"/>
              <w:right w:val="single" w:sz="4" w:space="0" w:color="auto"/>
            </w:tcBorders>
            <w:shd w:val="clear" w:color="auto" w:fill="auto"/>
            <w:vAlign w:val="center"/>
            <w:hideMark/>
          </w:tcPr>
          <w:p w14:paraId="33B82B40"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43,5</w:t>
            </w:r>
          </w:p>
        </w:tc>
      </w:tr>
      <w:tr w:rsidR="00F00781" w:rsidRPr="00F00781" w14:paraId="4383AB69" w14:textId="77777777" w:rsidTr="00E01BBF">
        <w:trPr>
          <w:trHeight w:val="196"/>
        </w:trPr>
        <w:tc>
          <w:tcPr>
            <w:tcW w:w="632" w:type="dxa"/>
            <w:tcBorders>
              <w:top w:val="nil"/>
              <w:left w:val="single" w:sz="4" w:space="0" w:color="auto"/>
              <w:bottom w:val="single" w:sz="4" w:space="0" w:color="auto"/>
              <w:right w:val="single" w:sz="4" w:space="0" w:color="auto"/>
            </w:tcBorders>
            <w:shd w:val="clear" w:color="auto" w:fill="auto"/>
            <w:vAlign w:val="center"/>
            <w:hideMark/>
          </w:tcPr>
          <w:p w14:paraId="6F47B4AC" w14:textId="77777777" w:rsidR="00F00781" w:rsidRPr="00F00781" w:rsidRDefault="00F00781" w:rsidP="00F00781">
            <w:pPr>
              <w:rPr>
                <w:rFonts w:ascii="Arial Narrow" w:hAnsi="Arial Narrow" w:cs="Calibri"/>
                <w:sz w:val="14"/>
                <w:szCs w:val="14"/>
              </w:rPr>
            </w:pPr>
            <w:r w:rsidRPr="00F00781">
              <w:rPr>
                <w:rFonts w:ascii="Arial Narrow" w:hAnsi="Arial Narrow" w:cs="Calibri"/>
                <w:sz w:val="14"/>
                <w:szCs w:val="14"/>
              </w:rPr>
              <w:t xml:space="preserve"> 01.2</w:t>
            </w:r>
          </w:p>
        </w:tc>
        <w:tc>
          <w:tcPr>
            <w:tcW w:w="1671" w:type="dxa"/>
            <w:tcBorders>
              <w:top w:val="nil"/>
              <w:left w:val="nil"/>
              <w:bottom w:val="single" w:sz="4" w:space="0" w:color="auto"/>
              <w:right w:val="single" w:sz="4" w:space="0" w:color="auto"/>
            </w:tcBorders>
            <w:shd w:val="clear" w:color="auto" w:fill="auto"/>
            <w:vAlign w:val="center"/>
            <w:hideMark/>
          </w:tcPr>
          <w:p w14:paraId="2CEB187B" w14:textId="77777777" w:rsidR="00F00781" w:rsidRPr="00F00781" w:rsidRDefault="00F00781" w:rsidP="00F00781">
            <w:pPr>
              <w:ind w:firstLineChars="100" w:firstLine="140"/>
              <w:rPr>
                <w:rFonts w:ascii="Arial Narrow" w:hAnsi="Arial Narrow" w:cs="Calibri"/>
                <w:sz w:val="14"/>
                <w:szCs w:val="14"/>
              </w:rPr>
            </w:pPr>
            <w:r w:rsidRPr="00F00781">
              <w:rPr>
                <w:rFonts w:ascii="Arial Narrow" w:hAnsi="Arial Narrow" w:cs="Calibri"/>
                <w:sz w:val="14"/>
                <w:szCs w:val="14"/>
              </w:rPr>
              <w:t>Ръж</w:t>
            </w:r>
          </w:p>
        </w:tc>
        <w:tc>
          <w:tcPr>
            <w:tcW w:w="773" w:type="dxa"/>
            <w:tcBorders>
              <w:top w:val="nil"/>
              <w:left w:val="nil"/>
              <w:bottom w:val="single" w:sz="4" w:space="0" w:color="auto"/>
              <w:right w:val="single" w:sz="4" w:space="0" w:color="auto"/>
            </w:tcBorders>
            <w:shd w:val="clear" w:color="auto" w:fill="auto"/>
            <w:vAlign w:val="center"/>
            <w:hideMark/>
          </w:tcPr>
          <w:p w14:paraId="5216F309"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5,0</w:t>
            </w:r>
          </w:p>
        </w:tc>
        <w:tc>
          <w:tcPr>
            <w:tcW w:w="582" w:type="dxa"/>
            <w:tcBorders>
              <w:top w:val="nil"/>
              <w:left w:val="nil"/>
              <w:bottom w:val="single" w:sz="4" w:space="0" w:color="auto"/>
              <w:right w:val="single" w:sz="4" w:space="0" w:color="auto"/>
            </w:tcBorders>
            <w:shd w:val="clear" w:color="auto" w:fill="auto"/>
            <w:vAlign w:val="center"/>
            <w:hideMark/>
          </w:tcPr>
          <w:p w14:paraId="55767DA1"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0,2</w:t>
            </w:r>
          </w:p>
        </w:tc>
        <w:tc>
          <w:tcPr>
            <w:tcW w:w="681" w:type="dxa"/>
            <w:tcBorders>
              <w:top w:val="nil"/>
              <w:left w:val="nil"/>
              <w:bottom w:val="single" w:sz="4" w:space="0" w:color="auto"/>
              <w:right w:val="single" w:sz="4" w:space="0" w:color="auto"/>
            </w:tcBorders>
            <w:shd w:val="clear" w:color="auto" w:fill="auto"/>
            <w:vAlign w:val="center"/>
            <w:hideMark/>
          </w:tcPr>
          <w:p w14:paraId="3DBE6FC4"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3,0</w:t>
            </w:r>
          </w:p>
        </w:tc>
        <w:tc>
          <w:tcPr>
            <w:tcW w:w="789" w:type="dxa"/>
            <w:tcBorders>
              <w:top w:val="nil"/>
              <w:left w:val="nil"/>
              <w:bottom w:val="single" w:sz="4" w:space="0" w:color="auto"/>
              <w:right w:val="single" w:sz="4" w:space="0" w:color="auto"/>
            </w:tcBorders>
            <w:shd w:val="clear" w:color="auto" w:fill="auto"/>
            <w:vAlign w:val="center"/>
            <w:hideMark/>
          </w:tcPr>
          <w:p w14:paraId="4DD289B8"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0,6</w:t>
            </w:r>
          </w:p>
        </w:tc>
        <w:tc>
          <w:tcPr>
            <w:tcW w:w="693" w:type="dxa"/>
            <w:tcBorders>
              <w:top w:val="nil"/>
              <w:left w:val="nil"/>
              <w:bottom w:val="single" w:sz="4" w:space="0" w:color="auto"/>
              <w:right w:val="single" w:sz="4" w:space="0" w:color="auto"/>
            </w:tcBorders>
            <w:shd w:val="clear" w:color="auto" w:fill="auto"/>
            <w:vAlign w:val="center"/>
            <w:hideMark/>
          </w:tcPr>
          <w:p w14:paraId="20FA37AE"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1,6</w:t>
            </w:r>
          </w:p>
        </w:tc>
        <w:tc>
          <w:tcPr>
            <w:tcW w:w="537" w:type="dxa"/>
            <w:tcBorders>
              <w:top w:val="nil"/>
              <w:left w:val="nil"/>
              <w:bottom w:val="single" w:sz="4" w:space="0" w:color="auto"/>
              <w:right w:val="single" w:sz="4" w:space="0" w:color="auto"/>
            </w:tcBorders>
            <w:shd w:val="clear" w:color="auto" w:fill="auto"/>
            <w:vAlign w:val="center"/>
            <w:hideMark/>
          </w:tcPr>
          <w:p w14:paraId="3A36CDE7" w14:textId="77777777" w:rsidR="00F00781" w:rsidRPr="00F00781" w:rsidRDefault="00F00781" w:rsidP="00F00781">
            <w:pPr>
              <w:rPr>
                <w:rFonts w:ascii="Arial Narrow" w:hAnsi="Arial Narrow" w:cs="Calibri"/>
                <w:sz w:val="14"/>
                <w:szCs w:val="14"/>
              </w:rPr>
            </w:pPr>
            <w:r w:rsidRPr="00F00781">
              <w:rPr>
                <w:rFonts w:ascii="Arial Narrow" w:hAnsi="Arial Narrow" w:cs="Calibri"/>
                <w:sz w:val="14"/>
                <w:szCs w:val="14"/>
              </w:rPr>
              <w:t> </w:t>
            </w:r>
          </w:p>
        </w:tc>
        <w:tc>
          <w:tcPr>
            <w:tcW w:w="1143" w:type="dxa"/>
            <w:tcBorders>
              <w:top w:val="nil"/>
              <w:left w:val="nil"/>
              <w:bottom w:val="single" w:sz="4" w:space="0" w:color="auto"/>
              <w:right w:val="single" w:sz="4" w:space="0" w:color="auto"/>
            </w:tcBorders>
            <w:shd w:val="clear" w:color="auto" w:fill="auto"/>
            <w:vAlign w:val="center"/>
            <w:hideMark/>
          </w:tcPr>
          <w:p w14:paraId="6385D987" w14:textId="77777777" w:rsidR="00F00781" w:rsidRPr="00F00781" w:rsidRDefault="00F00781" w:rsidP="00F00781">
            <w:pPr>
              <w:rPr>
                <w:rFonts w:ascii="Arial Narrow" w:hAnsi="Arial Narrow" w:cs="Calibri"/>
                <w:sz w:val="14"/>
                <w:szCs w:val="14"/>
              </w:rPr>
            </w:pPr>
            <w:r w:rsidRPr="00F00781">
              <w:rPr>
                <w:rFonts w:ascii="Arial Narrow" w:hAnsi="Arial Narrow" w:cs="Calibri"/>
                <w:sz w:val="14"/>
                <w:szCs w:val="14"/>
              </w:rPr>
              <w:t> </w:t>
            </w:r>
          </w:p>
        </w:tc>
        <w:tc>
          <w:tcPr>
            <w:tcW w:w="1200" w:type="dxa"/>
            <w:tcBorders>
              <w:top w:val="nil"/>
              <w:left w:val="nil"/>
              <w:bottom w:val="single" w:sz="4" w:space="0" w:color="auto"/>
              <w:right w:val="single" w:sz="4" w:space="0" w:color="auto"/>
            </w:tcBorders>
            <w:shd w:val="clear" w:color="auto" w:fill="auto"/>
            <w:vAlign w:val="center"/>
            <w:hideMark/>
          </w:tcPr>
          <w:p w14:paraId="20F6FC3E" w14:textId="77777777" w:rsidR="00F00781" w:rsidRPr="00F00781" w:rsidRDefault="00F00781" w:rsidP="00F00781">
            <w:pPr>
              <w:rPr>
                <w:rFonts w:ascii="Arial Narrow" w:hAnsi="Arial Narrow" w:cs="Calibri"/>
                <w:sz w:val="14"/>
                <w:szCs w:val="14"/>
              </w:rPr>
            </w:pPr>
            <w:r w:rsidRPr="00F00781">
              <w:rPr>
                <w:rFonts w:ascii="Arial Narrow" w:hAnsi="Arial Narrow" w:cs="Calibri"/>
                <w:sz w:val="14"/>
                <w:szCs w:val="14"/>
              </w:rPr>
              <w:t> </w:t>
            </w:r>
          </w:p>
        </w:tc>
        <w:tc>
          <w:tcPr>
            <w:tcW w:w="721" w:type="dxa"/>
            <w:tcBorders>
              <w:top w:val="nil"/>
              <w:left w:val="nil"/>
              <w:bottom w:val="single" w:sz="4" w:space="0" w:color="auto"/>
              <w:right w:val="single" w:sz="4" w:space="0" w:color="auto"/>
            </w:tcBorders>
            <w:shd w:val="clear" w:color="auto" w:fill="auto"/>
            <w:vAlign w:val="center"/>
            <w:hideMark/>
          </w:tcPr>
          <w:p w14:paraId="3E379517"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1,0</w:t>
            </w:r>
          </w:p>
        </w:tc>
        <w:tc>
          <w:tcPr>
            <w:tcW w:w="721" w:type="dxa"/>
            <w:tcBorders>
              <w:top w:val="nil"/>
              <w:left w:val="nil"/>
              <w:bottom w:val="single" w:sz="4" w:space="0" w:color="auto"/>
              <w:right w:val="single" w:sz="4" w:space="0" w:color="auto"/>
            </w:tcBorders>
            <w:shd w:val="clear" w:color="auto" w:fill="auto"/>
            <w:vAlign w:val="center"/>
            <w:hideMark/>
          </w:tcPr>
          <w:p w14:paraId="755F6087"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2,3</w:t>
            </w:r>
          </w:p>
        </w:tc>
        <w:tc>
          <w:tcPr>
            <w:tcW w:w="698" w:type="dxa"/>
            <w:tcBorders>
              <w:top w:val="nil"/>
              <w:left w:val="nil"/>
              <w:bottom w:val="single" w:sz="4" w:space="0" w:color="auto"/>
              <w:right w:val="single" w:sz="4" w:space="0" w:color="auto"/>
            </w:tcBorders>
            <w:shd w:val="clear" w:color="auto" w:fill="auto"/>
            <w:vAlign w:val="center"/>
            <w:hideMark/>
          </w:tcPr>
          <w:p w14:paraId="67071EB1" w14:textId="77777777" w:rsidR="00F00781" w:rsidRPr="00F00781" w:rsidRDefault="00F00781" w:rsidP="00F00781">
            <w:pPr>
              <w:rPr>
                <w:rFonts w:ascii="Arial Narrow" w:hAnsi="Arial Narrow" w:cs="Calibri"/>
                <w:sz w:val="14"/>
                <w:szCs w:val="14"/>
              </w:rPr>
            </w:pPr>
            <w:r w:rsidRPr="00F00781">
              <w:rPr>
                <w:rFonts w:ascii="Arial Narrow" w:hAnsi="Arial Narrow" w:cs="Calibri"/>
                <w:sz w:val="14"/>
                <w:szCs w:val="14"/>
              </w:rPr>
              <w:t> </w:t>
            </w:r>
          </w:p>
        </w:tc>
        <w:tc>
          <w:tcPr>
            <w:tcW w:w="765" w:type="dxa"/>
            <w:tcBorders>
              <w:top w:val="nil"/>
              <w:left w:val="nil"/>
              <w:bottom w:val="single" w:sz="4" w:space="0" w:color="auto"/>
              <w:right w:val="single" w:sz="4" w:space="0" w:color="auto"/>
            </w:tcBorders>
            <w:shd w:val="clear" w:color="auto" w:fill="auto"/>
            <w:vAlign w:val="center"/>
            <w:hideMark/>
          </w:tcPr>
          <w:p w14:paraId="17314BB0"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3,3</w:t>
            </w:r>
          </w:p>
        </w:tc>
        <w:tc>
          <w:tcPr>
            <w:tcW w:w="970" w:type="dxa"/>
            <w:tcBorders>
              <w:top w:val="nil"/>
              <w:left w:val="nil"/>
              <w:bottom w:val="single" w:sz="4" w:space="0" w:color="auto"/>
              <w:right w:val="single" w:sz="4" w:space="0" w:color="auto"/>
            </w:tcBorders>
            <w:shd w:val="clear" w:color="auto" w:fill="auto"/>
            <w:vAlign w:val="center"/>
            <w:hideMark/>
          </w:tcPr>
          <w:p w14:paraId="59315B2E" w14:textId="77777777" w:rsidR="00F00781" w:rsidRPr="00F00781" w:rsidRDefault="00F00781" w:rsidP="00F00781">
            <w:pPr>
              <w:rPr>
                <w:rFonts w:ascii="Arial Narrow" w:hAnsi="Arial Narrow" w:cs="Calibri"/>
                <w:sz w:val="14"/>
                <w:szCs w:val="14"/>
              </w:rPr>
            </w:pPr>
            <w:r w:rsidRPr="00F00781">
              <w:rPr>
                <w:rFonts w:ascii="Arial Narrow" w:hAnsi="Arial Narrow" w:cs="Calibri"/>
                <w:sz w:val="14"/>
                <w:szCs w:val="14"/>
              </w:rPr>
              <w:t> </w:t>
            </w:r>
          </w:p>
        </w:tc>
        <w:tc>
          <w:tcPr>
            <w:tcW w:w="602" w:type="dxa"/>
            <w:tcBorders>
              <w:top w:val="nil"/>
              <w:left w:val="nil"/>
              <w:bottom w:val="single" w:sz="4" w:space="0" w:color="auto"/>
              <w:right w:val="single" w:sz="4" w:space="0" w:color="auto"/>
            </w:tcBorders>
            <w:shd w:val="clear" w:color="auto" w:fill="auto"/>
            <w:vAlign w:val="center"/>
            <w:hideMark/>
          </w:tcPr>
          <w:p w14:paraId="5583CF0C"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2,3</w:t>
            </w:r>
          </w:p>
        </w:tc>
        <w:tc>
          <w:tcPr>
            <w:tcW w:w="697" w:type="dxa"/>
            <w:tcBorders>
              <w:top w:val="nil"/>
              <w:left w:val="nil"/>
              <w:bottom w:val="single" w:sz="4" w:space="0" w:color="auto"/>
              <w:right w:val="single" w:sz="4" w:space="0" w:color="auto"/>
            </w:tcBorders>
            <w:shd w:val="clear" w:color="auto" w:fill="auto"/>
            <w:vAlign w:val="center"/>
            <w:hideMark/>
          </w:tcPr>
          <w:p w14:paraId="3CAAE94F"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-0,7</w:t>
            </w:r>
          </w:p>
        </w:tc>
        <w:tc>
          <w:tcPr>
            <w:tcW w:w="869" w:type="dxa"/>
            <w:tcBorders>
              <w:top w:val="nil"/>
              <w:left w:val="nil"/>
              <w:bottom w:val="single" w:sz="4" w:space="0" w:color="auto"/>
              <w:right w:val="single" w:sz="4" w:space="0" w:color="auto"/>
            </w:tcBorders>
            <w:shd w:val="clear" w:color="auto" w:fill="auto"/>
            <w:vAlign w:val="center"/>
            <w:hideMark/>
          </w:tcPr>
          <w:p w14:paraId="03C54F66"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4,2</w:t>
            </w:r>
          </w:p>
        </w:tc>
      </w:tr>
      <w:tr w:rsidR="00F00781" w:rsidRPr="00F00781" w14:paraId="417BF50E" w14:textId="77777777" w:rsidTr="00E01BBF">
        <w:trPr>
          <w:trHeight w:val="196"/>
        </w:trPr>
        <w:tc>
          <w:tcPr>
            <w:tcW w:w="632" w:type="dxa"/>
            <w:tcBorders>
              <w:top w:val="nil"/>
              <w:left w:val="single" w:sz="4" w:space="0" w:color="auto"/>
              <w:bottom w:val="single" w:sz="4" w:space="0" w:color="auto"/>
              <w:right w:val="single" w:sz="4" w:space="0" w:color="auto"/>
            </w:tcBorders>
            <w:shd w:val="clear" w:color="auto" w:fill="auto"/>
            <w:vAlign w:val="center"/>
            <w:hideMark/>
          </w:tcPr>
          <w:p w14:paraId="2D53AD31" w14:textId="77777777" w:rsidR="00F00781" w:rsidRPr="00F00781" w:rsidRDefault="00F00781" w:rsidP="00F00781">
            <w:pPr>
              <w:rPr>
                <w:rFonts w:ascii="Arial Narrow" w:hAnsi="Arial Narrow" w:cs="Calibri"/>
                <w:sz w:val="14"/>
                <w:szCs w:val="14"/>
              </w:rPr>
            </w:pPr>
            <w:r w:rsidRPr="00F00781">
              <w:rPr>
                <w:rFonts w:ascii="Arial Narrow" w:hAnsi="Arial Narrow" w:cs="Calibri"/>
                <w:sz w:val="14"/>
                <w:szCs w:val="14"/>
              </w:rPr>
              <w:t xml:space="preserve"> 01.3</w:t>
            </w:r>
          </w:p>
        </w:tc>
        <w:tc>
          <w:tcPr>
            <w:tcW w:w="1671" w:type="dxa"/>
            <w:tcBorders>
              <w:top w:val="nil"/>
              <w:left w:val="nil"/>
              <w:bottom w:val="single" w:sz="4" w:space="0" w:color="auto"/>
              <w:right w:val="single" w:sz="4" w:space="0" w:color="auto"/>
            </w:tcBorders>
            <w:shd w:val="clear" w:color="auto" w:fill="auto"/>
            <w:vAlign w:val="center"/>
            <w:hideMark/>
          </w:tcPr>
          <w:p w14:paraId="7E2806AA" w14:textId="77777777" w:rsidR="00F00781" w:rsidRPr="00F00781" w:rsidRDefault="00F00781" w:rsidP="00F00781">
            <w:pPr>
              <w:ind w:firstLineChars="100" w:firstLine="140"/>
              <w:rPr>
                <w:rFonts w:ascii="Arial Narrow" w:hAnsi="Arial Narrow" w:cs="Calibri"/>
                <w:sz w:val="14"/>
                <w:szCs w:val="14"/>
              </w:rPr>
            </w:pPr>
            <w:r w:rsidRPr="00F00781">
              <w:rPr>
                <w:rFonts w:ascii="Arial Narrow" w:hAnsi="Arial Narrow" w:cs="Calibri"/>
                <w:sz w:val="14"/>
                <w:szCs w:val="14"/>
              </w:rPr>
              <w:t>Ечемик</w:t>
            </w:r>
          </w:p>
        </w:tc>
        <w:tc>
          <w:tcPr>
            <w:tcW w:w="773" w:type="dxa"/>
            <w:tcBorders>
              <w:top w:val="nil"/>
              <w:left w:val="nil"/>
              <w:bottom w:val="single" w:sz="4" w:space="0" w:color="auto"/>
              <w:right w:val="single" w:sz="4" w:space="0" w:color="auto"/>
            </w:tcBorders>
            <w:shd w:val="clear" w:color="auto" w:fill="auto"/>
            <w:vAlign w:val="center"/>
            <w:hideMark/>
          </w:tcPr>
          <w:p w14:paraId="6094AE1A"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337,8</w:t>
            </w:r>
          </w:p>
        </w:tc>
        <w:tc>
          <w:tcPr>
            <w:tcW w:w="582" w:type="dxa"/>
            <w:tcBorders>
              <w:top w:val="nil"/>
              <w:left w:val="nil"/>
              <w:bottom w:val="single" w:sz="4" w:space="0" w:color="auto"/>
              <w:right w:val="single" w:sz="4" w:space="0" w:color="auto"/>
            </w:tcBorders>
            <w:shd w:val="clear" w:color="auto" w:fill="auto"/>
            <w:vAlign w:val="center"/>
            <w:hideMark/>
          </w:tcPr>
          <w:p w14:paraId="42E80F82"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0,3</w:t>
            </w:r>
          </w:p>
        </w:tc>
        <w:tc>
          <w:tcPr>
            <w:tcW w:w="681" w:type="dxa"/>
            <w:tcBorders>
              <w:top w:val="nil"/>
              <w:left w:val="nil"/>
              <w:bottom w:val="single" w:sz="4" w:space="0" w:color="auto"/>
              <w:right w:val="single" w:sz="4" w:space="0" w:color="auto"/>
            </w:tcBorders>
            <w:shd w:val="clear" w:color="auto" w:fill="auto"/>
            <w:vAlign w:val="center"/>
            <w:hideMark/>
          </w:tcPr>
          <w:p w14:paraId="5BA7D5ED"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41,0</w:t>
            </w:r>
          </w:p>
        </w:tc>
        <w:tc>
          <w:tcPr>
            <w:tcW w:w="789" w:type="dxa"/>
            <w:tcBorders>
              <w:top w:val="nil"/>
              <w:left w:val="nil"/>
              <w:bottom w:val="single" w:sz="4" w:space="0" w:color="auto"/>
              <w:right w:val="single" w:sz="4" w:space="0" w:color="auto"/>
            </w:tcBorders>
            <w:shd w:val="clear" w:color="auto" w:fill="auto"/>
            <w:vAlign w:val="center"/>
            <w:hideMark/>
          </w:tcPr>
          <w:p w14:paraId="50C6CDEC"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8,8</w:t>
            </w:r>
          </w:p>
        </w:tc>
        <w:tc>
          <w:tcPr>
            <w:tcW w:w="693" w:type="dxa"/>
            <w:tcBorders>
              <w:top w:val="nil"/>
              <w:left w:val="nil"/>
              <w:bottom w:val="single" w:sz="4" w:space="0" w:color="auto"/>
              <w:right w:val="single" w:sz="4" w:space="0" w:color="auto"/>
            </w:tcBorders>
            <w:shd w:val="clear" w:color="auto" w:fill="auto"/>
            <w:vAlign w:val="center"/>
            <w:hideMark/>
          </w:tcPr>
          <w:p w14:paraId="75D6B4FE"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10,6</w:t>
            </w:r>
          </w:p>
        </w:tc>
        <w:tc>
          <w:tcPr>
            <w:tcW w:w="537" w:type="dxa"/>
            <w:tcBorders>
              <w:top w:val="nil"/>
              <w:left w:val="nil"/>
              <w:bottom w:val="single" w:sz="4" w:space="0" w:color="auto"/>
              <w:right w:val="single" w:sz="4" w:space="0" w:color="auto"/>
            </w:tcBorders>
            <w:shd w:val="clear" w:color="auto" w:fill="auto"/>
            <w:vAlign w:val="center"/>
            <w:hideMark/>
          </w:tcPr>
          <w:p w14:paraId="48EA6172"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0,5</w:t>
            </w:r>
          </w:p>
        </w:tc>
        <w:tc>
          <w:tcPr>
            <w:tcW w:w="1143" w:type="dxa"/>
            <w:tcBorders>
              <w:top w:val="nil"/>
              <w:left w:val="nil"/>
              <w:bottom w:val="single" w:sz="4" w:space="0" w:color="auto"/>
              <w:right w:val="single" w:sz="4" w:space="0" w:color="auto"/>
            </w:tcBorders>
            <w:shd w:val="clear" w:color="auto" w:fill="auto"/>
            <w:vAlign w:val="center"/>
            <w:hideMark/>
          </w:tcPr>
          <w:p w14:paraId="62A91EEA"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0,7</w:t>
            </w:r>
          </w:p>
        </w:tc>
        <w:tc>
          <w:tcPr>
            <w:tcW w:w="1200" w:type="dxa"/>
            <w:tcBorders>
              <w:top w:val="nil"/>
              <w:left w:val="nil"/>
              <w:bottom w:val="single" w:sz="4" w:space="0" w:color="auto"/>
              <w:right w:val="single" w:sz="4" w:space="0" w:color="auto"/>
            </w:tcBorders>
            <w:shd w:val="clear" w:color="auto" w:fill="auto"/>
            <w:vAlign w:val="center"/>
            <w:hideMark/>
          </w:tcPr>
          <w:p w14:paraId="0D13E24F"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0,9</w:t>
            </w:r>
          </w:p>
        </w:tc>
        <w:tc>
          <w:tcPr>
            <w:tcW w:w="721" w:type="dxa"/>
            <w:tcBorders>
              <w:top w:val="nil"/>
              <w:left w:val="nil"/>
              <w:bottom w:val="single" w:sz="4" w:space="0" w:color="auto"/>
              <w:right w:val="single" w:sz="4" w:space="0" w:color="auto"/>
            </w:tcBorders>
            <w:shd w:val="clear" w:color="auto" w:fill="auto"/>
            <w:vAlign w:val="center"/>
            <w:hideMark/>
          </w:tcPr>
          <w:p w14:paraId="4EDDA85F"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41,0</w:t>
            </w:r>
          </w:p>
        </w:tc>
        <w:tc>
          <w:tcPr>
            <w:tcW w:w="721" w:type="dxa"/>
            <w:tcBorders>
              <w:top w:val="nil"/>
              <w:left w:val="nil"/>
              <w:bottom w:val="single" w:sz="4" w:space="0" w:color="auto"/>
              <w:right w:val="single" w:sz="4" w:space="0" w:color="auto"/>
            </w:tcBorders>
            <w:shd w:val="clear" w:color="auto" w:fill="auto"/>
            <w:vAlign w:val="center"/>
            <w:hideMark/>
          </w:tcPr>
          <w:p w14:paraId="28911CC7"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277,1</w:t>
            </w:r>
          </w:p>
        </w:tc>
        <w:tc>
          <w:tcPr>
            <w:tcW w:w="698" w:type="dxa"/>
            <w:tcBorders>
              <w:top w:val="nil"/>
              <w:left w:val="nil"/>
              <w:bottom w:val="single" w:sz="4" w:space="0" w:color="auto"/>
              <w:right w:val="single" w:sz="4" w:space="0" w:color="auto"/>
            </w:tcBorders>
            <w:shd w:val="clear" w:color="auto" w:fill="auto"/>
            <w:vAlign w:val="center"/>
            <w:hideMark/>
          </w:tcPr>
          <w:p w14:paraId="6209D715"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11,9</w:t>
            </w:r>
          </w:p>
        </w:tc>
        <w:tc>
          <w:tcPr>
            <w:tcW w:w="765" w:type="dxa"/>
            <w:tcBorders>
              <w:top w:val="nil"/>
              <w:left w:val="nil"/>
              <w:bottom w:val="single" w:sz="4" w:space="0" w:color="auto"/>
              <w:right w:val="single" w:sz="4" w:space="0" w:color="auto"/>
            </w:tcBorders>
            <w:shd w:val="clear" w:color="auto" w:fill="auto"/>
            <w:vAlign w:val="center"/>
            <w:hideMark/>
          </w:tcPr>
          <w:p w14:paraId="2E8D23D6"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330,0</w:t>
            </w:r>
          </w:p>
        </w:tc>
        <w:tc>
          <w:tcPr>
            <w:tcW w:w="970" w:type="dxa"/>
            <w:tcBorders>
              <w:top w:val="nil"/>
              <w:left w:val="nil"/>
              <w:bottom w:val="single" w:sz="4" w:space="0" w:color="auto"/>
              <w:right w:val="single" w:sz="4" w:space="0" w:color="auto"/>
            </w:tcBorders>
            <w:shd w:val="clear" w:color="auto" w:fill="auto"/>
            <w:vAlign w:val="center"/>
            <w:hideMark/>
          </w:tcPr>
          <w:p w14:paraId="77A48F19" w14:textId="77777777" w:rsidR="00F00781" w:rsidRPr="00F00781" w:rsidRDefault="00F00781" w:rsidP="00F00781">
            <w:pPr>
              <w:rPr>
                <w:rFonts w:ascii="Arial Narrow" w:hAnsi="Arial Narrow" w:cs="Calibri"/>
                <w:sz w:val="14"/>
                <w:szCs w:val="14"/>
              </w:rPr>
            </w:pPr>
            <w:r w:rsidRPr="00F00781">
              <w:rPr>
                <w:rFonts w:ascii="Arial Narrow" w:hAnsi="Arial Narrow" w:cs="Calibri"/>
                <w:sz w:val="14"/>
                <w:szCs w:val="14"/>
              </w:rPr>
              <w:t> </w:t>
            </w:r>
          </w:p>
        </w:tc>
        <w:tc>
          <w:tcPr>
            <w:tcW w:w="602" w:type="dxa"/>
            <w:tcBorders>
              <w:top w:val="nil"/>
              <w:left w:val="nil"/>
              <w:bottom w:val="single" w:sz="4" w:space="0" w:color="auto"/>
              <w:right w:val="single" w:sz="4" w:space="0" w:color="auto"/>
            </w:tcBorders>
            <w:shd w:val="clear" w:color="auto" w:fill="auto"/>
            <w:vAlign w:val="center"/>
            <w:hideMark/>
          </w:tcPr>
          <w:p w14:paraId="7F12A16C"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27,0</w:t>
            </w:r>
          </w:p>
        </w:tc>
        <w:tc>
          <w:tcPr>
            <w:tcW w:w="697" w:type="dxa"/>
            <w:tcBorders>
              <w:top w:val="nil"/>
              <w:left w:val="nil"/>
              <w:bottom w:val="single" w:sz="4" w:space="0" w:color="auto"/>
              <w:right w:val="single" w:sz="4" w:space="0" w:color="auto"/>
            </w:tcBorders>
            <w:shd w:val="clear" w:color="auto" w:fill="auto"/>
            <w:vAlign w:val="center"/>
            <w:hideMark/>
          </w:tcPr>
          <w:p w14:paraId="08C7A971"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-14,0</w:t>
            </w:r>
          </w:p>
        </w:tc>
        <w:tc>
          <w:tcPr>
            <w:tcW w:w="869" w:type="dxa"/>
            <w:tcBorders>
              <w:top w:val="nil"/>
              <w:left w:val="nil"/>
              <w:bottom w:val="single" w:sz="4" w:space="0" w:color="auto"/>
              <w:right w:val="single" w:sz="4" w:space="0" w:color="auto"/>
            </w:tcBorders>
            <w:shd w:val="clear" w:color="auto" w:fill="auto"/>
            <w:vAlign w:val="center"/>
            <w:hideMark/>
          </w:tcPr>
          <w:p w14:paraId="6EBC1B9B"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328,2</w:t>
            </w:r>
          </w:p>
        </w:tc>
      </w:tr>
      <w:tr w:rsidR="00F00781" w:rsidRPr="00F00781" w14:paraId="4BB9E2B8" w14:textId="77777777" w:rsidTr="00E01BBF">
        <w:trPr>
          <w:trHeight w:val="196"/>
        </w:trPr>
        <w:tc>
          <w:tcPr>
            <w:tcW w:w="632" w:type="dxa"/>
            <w:tcBorders>
              <w:top w:val="nil"/>
              <w:left w:val="single" w:sz="4" w:space="0" w:color="auto"/>
              <w:bottom w:val="single" w:sz="4" w:space="0" w:color="auto"/>
              <w:right w:val="single" w:sz="4" w:space="0" w:color="auto"/>
            </w:tcBorders>
            <w:shd w:val="clear" w:color="auto" w:fill="auto"/>
            <w:vAlign w:val="center"/>
            <w:hideMark/>
          </w:tcPr>
          <w:p w14:paraId="4B74FBB8" w14:textId="77777777" w:rsidR="00F00781" w:rsidRPr="00F00781" w:rsidRDefault="00F00781" w:rsidP="00F00781">
            <w:pPr>
              <w:rPr>
                <w:rFonts w:ascii="Arial Narrow" w:hAnsi="Arial Narrow" w:cs="Calibri"/>
                <w:sz w:val="14"/>
                <w:szCs w:val="14"/>
              </w:rPr>
            </w:pPr>
            <w:r w:rsidRPr="00F00781">
              <w:rPr>
                <w:rFonts w:ascii="Arial Narrow" w:hAnsi="Arial Narrow" w:cs="Calibri"/>
                <w:sz w:val="14"/>
                <w:szCs w:val="14"/>
              </w:rPr>
              <w:t xml:space="preserve"> 01.4</w:t>
            </w:r>
          </w:p>
        </w:tc>
        <w:tc>
          <w:tcPr>
            <w:tcW w:w="1671" w:type="dxa"/>
            <w:tcBorders>
              <w:top w:val="nil"/>
              <w:left w:val="nil"/>
              <w:bottom w:val="single" w:sz="4" w:space="0" w:color="auto"/>
              <w:right w:val="single" w:sz="4" w:space="0" w:color="auto"/>
            </w:tcBorders>
            <w:shd w:val="clear" w:color="auto" w:fill="auto"/>
            <w:vAlign w:val="center"/>
            <w:hideMark/>
          </w:tcPr>
          <w:p w14:paraId="61E98F51" w14:textId="77777777" w:rsidR="00F00781" w:rsidRPr="00F00781" w:rsidRDefault="00F00781" w:rsidP="00F00781">
            <w:pPr>
              <w:ind w:firstLineChars="100" w:firstLine="140"/>
              <w:rPr>
                <w:rFonts w:ascii="Arial Narrow" w:hAnsi="Arial Narrow" w:cs="Calibri"/>
                <w:sz w:val="14"/>
                <w:szCs w:val="14"/>
              </w:rPr>
            </w:pPr>
            <w:r w:rsidRPr="00F00781">
              <w:rPr>
                <w:rFonts w:ascii="Arial Narrow" w:hAnsi="Arial Narrow" w:cs="Calibri"/>
                <w:sz w:val="14"/>
                <w:szCs w:val="14"/>
              </w:rPr>
              <w:t>Овес и зърнени смески</w:t>
            </w:r>
          </w:p>
        </w:tc>
        <w:tc>
          <w:tcPr>
            <w:tcW w:w="773" w:type="dxa"/>
            <w:tcBorders>
              <w:top w:val="nil"/>
              <w:left w:val="nil"/>
              <w:bottom w:val="single" w:sz="4" w:space="0" w:color="auto"/>
              <w:right w:val="single" w:sz="4" w:space="0" w:color="auto"/>
            </w:tcBorders>
            <w:shd w:val="clear" w:color="auto" w:fill="auto"/>
            <w:vAlign w:val="center"/>
            <w:hideMark/>
          </w:tcPr>
          <w:p w14:paraId="582C0F95"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19,6</w:t>
            </w:r>
          </w:p>
        </w:tc>
        <w:tc>
          <w:tcPr>
            <w:tcW w:w="582" w:type="dxa"/>
            <w:tcBorders>
              <w:top w:val="nil"/>
              <w:left w:val="nil"/>
              <w:bottom w:val="single" w:sz="4" w:space="0" w:color="auto"/>
              <w:right w:val="single" w:sz="4" w:space="0" w:color="auto"/>
            </w:tcBorders>
            <w:shd w:val="clear" w:color="auto" w:fill="auto"/>
            <w:vAlign w:val="center"/>
            <w:hideMark/>
          </w:tcPr>
          <w:p w14:paraId="2D5EBC51" w14:textId="77777777" w:rsidR="00F00781" w:rsidRPr="00F00781" w:rsidRDefault="00F00781" w:rsidP="00F00781">
            <w:pPr>
              <w:rPr>
                <w:rFonts w:ascii="Arial Narrow" w:hAnsi="Arial Narrow" w:cs="Calibri"/>
                <w:sz w:val="14"/>
                <w:szCs w:val="14"/>
              </w:rPr>
            </w:pPr>
            <w:r w:rsidRPr="00F00781">
              <w:rPr>
                <w:rFonts w:ascii="Arial Narrow" w:hAnsi="Arial Narrow" w:cs="Calibri"/>
                <w:sz w:val="14"/>
                <w:szCs w:val="14"/>
              </w:rPr>
              <w:t> </w:t>
            </w:r>
          </w:p>
        </w:tc>
        <w:tc>
          <w:tcPr>
            <w:tcW w:w="681" w:type="dxa"/>
            <w:tcBorders>
              <w:top w:val="nil"/>
              <w:left w:val="nil"/>
              <w:bottom w:val="single" w:sz="4" w:space="0" w:color="auto"/>
              <w:right w:val="single" w:sz="4" w:space="0" w:color="auto"/>
            </w:tcBorders>
            <w:shd w:val="clear" w:color="auto" w:fill="auto"/>
            <w:vAlign w:val="center"/>
            <w:hideMark/>
          </w:tcPr>
          <w:p w14:paraId="266B4C90"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7,4</w:t>
            </w:r>
          </w:p>
        </w:tc>
        <w:tc>
          <w:tcPr>
            <w:tcW w:w="789" w:type="dxa"/>
            <w:tcBorders>
              <w:top w:val="nil"/>
              <w:left w:val="nil"/>
              <w:bottom w:val="single" w:sz="4" w:space="0" w:color="auto"/>
              <w:right w:val="single" w:sz="4" w:space="0" w:color="auto"/>
            </w:tcBorders>
            <w:shd w:val="clear" w:color="auto" w:fill="auto"/>
            <w:vAlign w:val="center"/>
            <w:hideMark/>
          </w:tcPr>
          <w:p w14:paraId="7D6501AE"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1,0</w:t>
            </w:r>
          </w:p>
        </w:tc>
        <w:tc>
          <w:tcPr>
            <w:tcW w:w="693" w:type="dxa"/>
            <w:tcBorders>
              <w:top w:val="nil"/>
              <w:left w:val="nil"/>
              <w:bottom w:val="single" w:sz="4" w:space="0" w:color="auto"/>
              <w:right w:val="single" w:sz="4" w:space="0" w:color="auto"/>
            </w:tcBorders>
            <w:shd w:val="clear" w:color="auto" w:fill="auto"/>
            <w:vAlign w:val="center"/>
            <w:hideMark/>
          </w:tcPr>
          <w:p w14:paraId="26FE7A75"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1,0</w:t>
            </w:r>
          </w:p>
        </w:tc>
        <w:tc>
          <w:tcPr>
            <w:tcW w:w="537" w:type="dxa"/>
            <w:tcBorders>
              <w:top w:val="nil"/>
              <w:left w:val="nil"/>
              <w:bottom w:val="single" w:sz="4" w:space="0" w:color="auto"/>
              <w:right w:val="single" w:sz="4" w:space="0" w:color="auto"/>
            </w:tcBorders>
            <w:shd w:val="clear" w:color="auto" w:fill="auto"/>
            <w:vAlign w:val="center"/>
            <w:hideMark/>
          </w:tcPr>
          <w:p w14:paraId="0BAC92EE"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0,1</w:t>
            </w:r>
          </w:p>
        </w:tc>
        <w:tc>
          <w:tcPr>
            <w:tcW w:w="1143" w:type="dxa"/>
            <w:tcBorders>
              <w:top w:val="nil"/>
              <w:left w:val="nil"/>
              <w:bottom w:val="single" w:sz="4" w:space="0" w:color="auto"/>
              <w:right w:val="single" w:sz="4" w:space="0" w:color="auto"/>
            </w:tcBorders>
            <w:shd w:val="clear" w:color="auto" w:fill="auto"/>
            <w:vAlign w:val="center"/>
            <w:hideMark/>
          </w:tcPr>
          <w:p w14:paraId="768D5F51"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0,4</w:t>
            </w:r>
          </w:p>
        </w:tc>
        <w:tc>
          <w:tcPr>
            <w:tcW w:w="1200" w:type="dxa"/>
            <w:tcBorders>
              <w:top w:val="nil"/>
              <w:left w:val="nil"/>
              <w:bottom w:val="single" w:sz="4" w:space="0" w:color="auto"/>
              <w:right w:val="single" w:sz="4" w:space="0" w:color="auto"/>
            </w:tcBorders>
            <w:shd w:val="clear" w:color="auto" w:fill="auto"/>
            <w:vAlign w:val="center"/>
            <w:hideMark/>
          </w:tcPr>
          <w:p w14:paraId="288EA2BC"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0,1</w:t>
            </w:r>
          </w:p>
        </w:tc>
        <w:tc>
          <w:tcPr>
            <w:tcW w:w="721" w:type="dxa"/>
            <w:tcBorders>
              <w:top w:val="nil"/>
              <w:left w:val="nil"/>
              <w:bottom w:val="single" w:sz="4" w:space="0" w:color="auto"/>
              <w:right w:val="single" w:sz="4" w:space="0" w:color="auto"/>
            </w:tcBorders>
            <w:shd w:val="clear" w:color="auto" w:fill="auto"/>
            <w:vAlign w:val="center"/>
            <w:hideMark/>
          </w:tcPr>
          <w:p w14:paraId="0305C6F7"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4,3</w:t>
            </w:r>
          </w:p>
        </w:tc>
        <w:tc>
          <w:tcPr>
            <w:tcW w:w="721" w:type="dxa"/>
            <w:tcBorders>
              <w:top w:val="nil"/>
              <w:left w:val="nil"/>
              <w:bottom w:val="single" w:sz="4" w:space="0" w:color="auto"/>
              <w:right w:val="single" w:sz="4" w:space="0" w:color="auto"/>
            </w:tcBorders>
            <w:shd w:val="clear" w:color="auto" w:fill="auto"/>
            <w:vAlign w:val="center"/>
            <w:hideMark/>
          </w:tcPr>
          <w:p w14:paraId="0FAE9BD8"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8,7</w:t>
            </w:r>
          </w:p>
        </w:tc>
        <w:tc>
          <w:tcPr>
            <w:tcW w:w="698" w:type="dxa"/>
            <w:tcBorders>
              <w:top w:val="nil"/>
              <w:left w:val="nil"/>
              <w:bottom w:val="single" w:sz="4" w:space="0" w:color="auto"/>
              <w:right w:val="single" w:sz="4" w:space="0" w:color="auto"/>
            </w:tcBorders>
            <w:shd w:val="clear" w:color="auto" w:fill="auto"/>
            <w:vAlign w:val="center"/>
            <w:hideMark/>
          </w:tcPr>
          <w:p w14:paraId="389D6418"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0,2</w:t>
            </w:r>
          </w:p>
        </w:tc>
        <w:tc>
          <w:tcPr>
            <w:tcW w:w="765" w:type="dxa"/>
            <w:tcBorders>
              <w:top w:val="nil"/>
              <w:left w:val="nil"/>
              <w:bottom w:val="single" w:sz="4" w:space="0" w:color="auto"/>
              <w:right w:val="single" w:sz="4" w:space="0" w:color="auto"/>
            </w:tcBorders>
            <w:shd w:val="clear" w:color="auto" w:fill="auto"/>
            <w:vAlign w:val="center"/>
            <w:hideMark/>
          </w:tcPr>
          <w:p w14:paraId="0915C729"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13,2</w:t>
            </w:r>
          </w:p>
        </w:tc>
        <w:tc>
          <w:tcPr>
            <w:tcW w:w="970" w:type="dxa"/>
            <w:tcBorders>
              <w:top w:val="nil"/>
              <w:left w:val="nil"/>
              <w:bottom w:val="single" w:sz="4" w:space="0" w:color="auto"/>
              <w:right w:val="single" w:sz="4" w:space="0" w:color="auto"/>
            </w:tcBorders>
            <w:shd w:val="clear" w:color="auto" w:fill="auto"/>
            <w:vAlign w:val="center"/>
            <w:hideMark/>
          </w:tcPr>
          <w:p w14:paraId="23862C97" w14:textId="77777777" w:rsidR="00F00781" w:rsidRPr="00F00781" w:rsidRDefault="00F00781" w:rsidP="00F00781">
            <w:pPr>
              <w:rPr>
                <w:rFonts w:ascii="Arial Narrow" w:hAnsi="Arial Narrow" w:cs="Calibri"/>
                <w:sz w:val="14"/>
                <w:szCs w:val="14"/>
              </w:rPr>
            </w:pPr>
            <w:r w:rsidRPr="00F00781">
              <w:rPr>
                <w:rFonts w:ascii="Arial Narrow" w:hAnsi="Arial Narrow" w:cs="Calibri"/>
                <w:sz w:val="14"/>
                <w:szCs w:val="14"/>
              </w:rPr>
              <w:t> </w:t>
            </w:r>
          </w:p>
        </w:tc>
        <w:tc>
          <w:tcPr>
            <w:tcW w:w="602" w:type="dxa"/>
            <w:tcBorders>
              <w:top w:val="nil"/>
              <w:left w:val="nil"/>
              <w:bottom w:val="single" w:sz="4" w:space="0" w:color="auto"/>
              <w:right w:val="single" w:sz="4" w:space="0" w:color="auto"/>
            </w:tcBorders>
            <w:shd w:val="clear" w:color="auto" w:fill="auto"/>
            <w:vAlign w:val="center"/>
            <w:hideMark/>
          </w:tcPr>
          <w:p w14:paraId="6D695546"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11,2</w:t>
            </w:r>
          </w:p>
        </w:tc>
        <w:tc>
          <w:tcPr>
            <w:tcW w:w="697" w:type="dxa"/>
            <w:tcBorders>
              <w:top w:val="nil"/>
              <w:left w:val="nil"/>
              <w:bottom w:val="single" w:sz="4" w:space="0" w:color="auto"/>
              <w:right w:val="single" w:sz="4" w:space="0" w:color="auto"/>
            </w:tcBorders>
            <w:shd w:val="clear" w:color="auto" w:fill="auto"/>
            <w:vAlign w:val="center"/>
            <w:hideMark/>
          </w:tcPr>
          <w:p w14:paraId="7CF95603"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3,8</w:t>
            </w:r>
          </w:p>
        </w:tc>
        <w:tc>
          <w:tcPr>
            <w:tcW w:w="869" w:type="dxa"/>
            <w:tcBorders>
              <w:top w:val="nil"/>
              <w:left w:val="nil"/>
              <w:bottom w:val="single" w:sz="4" w:space="0" w:color="auto"/>
              <w:right w:val="single" w:sz="4" w:space="0" w:color="auto"/>
            </w:tcBorders>
            <w:shd w:val="clear" w:color="auto" w:fill="auto"/>
            <w:vAlign w:val="center"/>
            <w:hideMark/>
          </w:tcPr>
          <w:p w14:paraId="0465AD66"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18,5</w:t>
            </w:r>
          </w:p>
        </w:tc>
      </w:tr>
      <w:tr w:rsidR="00F00781" w:rsidRPr="00F00781" w14:paraId="0B4DA627" w14:textId="77777777" w:rsidTr="00E01BBF">
        <w:trPr>
          <w:trHeight w:val="196"/>
        </w:trPr>
        <w:tc>
          <w:tcPr>
            <w:tcW w:w="632" w:type="dxa"/>
            <w:tcBorders>
              <w:top w:val="nil"/>
              <w:left w:val="single" w:sz="4" w:space="0" w:color="auto"/>
              <w:bottom w:val="single" w:sz="4" w:space="0" w:color="auto"/>
              <w:right w:val="single" w:sz="4" w:space="0" w:color="auto"/>
            </w:tcBorders>
            <w:shd w:val="clear" w:color="auto" w:fill="auto"/>
            <w:vAlign w:val="center"/>
            <w:hideMark/>
          </w:tcPr>
          <w:p w14:paraId="353B7D51" w14:textId="77777777" w:rsidR="00F00781" w:rsidRPr="00F00781" w:rsidRDefault="00F00781" w:rsidP="00F00781">
            <w:pPr>
              <w:rPr>
                <w:rFonts w:ascii="Arial Narrow" w:hAnsi="Arial Narrow" w:cs="Calibri"/>
                <w:sz w:val="14"/>
                <w:szCs w:val="14"/>
              </w:rPr>
            </w:pPr>
            <w:r w:rsidRPr="00F00781">
              <w:rPr>
                <w:rFonts w:ascii="Arial Narrow" w:hAnsi="Arial Narrow" w:cs="Calibri"/>
                <w:sz w:val="14"/>
                <w:szCs w:val="14"/>
              </w:rPr>
              <w:t xml:space="preserve"> 01.5</w:t>
            </w:r>
          </w:p>
        </w:tc>
        <w:tc>
          <w:tcPr>
            <w:tcW w:w="1671" w:type="dxa"/>
            <w:tcBorders>
              <w:top w:val="nil"/>
              <w:left w:val="nil"/>
              <w:bottom w:val="single" w:sz="4" w:space="0" w:color="auto"/>
              <w:right w:val="single" w:sz="4" w:space="0" w:color="auto"/>
            </w:tcBorders>
            <w:shd w:val="clear" w:color="auto" w:fill="auto"/>
            <w:vAlign w:val="center"/>
            <w:hideMark/>
          </w:tcPr>
          <w:p w14:paraId="46436969" w14:textId="77777777" w:rsidR="00F00781" w:rsidRPr="00F00781" w:rsidRDefault="00F00781" w:rsidP="00F00781">
            <w:pPr>
              <w:ind w:firstLineChars="100" w:firstLine="140"/>
              <w:rPr>
                <w:rFonts w:ascii="Arial Narrow" w:hAnsi="Arial Narrow" w:cs="Calibri"/>
                <w:sz w:val="14"/>
                <w:szCs w:val="14"/>
              </w:rPr>
            </w:pPr>
            <w:r w:rsidRPr="00F00781">
              <w:rPr>
                <w:rFonts w:ascii="Arial Narrow" w:hAnsi="Arial Narrow" w:cs="Calibri"/>
                <w:sz w:val="14"/>
                <w:szCs w:val="14"/>
              </w:rPr>
              <w:t>Царевица за зърно</w:t>
            </w:r>
          </w:p>
        </w:tc>
        <w:tc>
          <w:tcPr>
            <w:tcW w:w="773" w:type="dxa"/>
            <w:tcBorders>
              <w:top w:val="nil"/>
              <w:left w:val="nil"/>
              <w:bottom w:val="single" w:sz="4" w:space="0" w:color="auto"/>
              <w:right w:val="single" w:sz="4" w:space="0" w:color="auto"/>
            </w:tcBorders>
            <w:shd w:val="clear" w:color="auto" w:fill="auto"/>
            <w:vAlign w:val="center"/>
            <w:hideMark/>
          </w:tcPr>
          <w:p w14:paraId="232FCAF2"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565,9</w:t>
            </w:r>
          </w:p>
        </w:tc>
        <w:tc>
          <w:tcPr>
            <w:tcW w:w="582" w:type="dxa"/>
            <w:tcBorders>
              <w:top w:val="nil"/>
              <w:left w:val="nil"/>
              <w:bottom w:val="single" w:sz="4" w:space="0" w:color="auto"/>
              <w:right w:val="single" w:sz="4" w:space="0" w:color="auto"/>
            </w:tcBorders>
            <w:shd w:val="clear" w:color="auto" w:fill="auto"/>
            <w:vAlign w:val="center"/>
            <w:hideMark/>
          </w:tcPr>
          <w:p w14:paraId="7B896BAB"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0,5</w:t>
            </w:r>
          </w:p>
        </w:tc>
        <w:tc>
          <w:tcPr>
            <w:tcW w:w="681" w:type="dxa"/>
            <w:tcBorders>
              <w:top w:val="nil"/>
              <w:left w:val="nil"/>
              <w:bottom w:val="single" w:sz="4" w:space="0" w:color="auto"/>
              <w:right w:val="single" w:sz="4" w:space="0" w:color="auto"/>
            </w:tcBorders>
            <w:shd w:val="clear" w:color="auto" w:fill="auto"/>
            <w:vAlign w:val="center"/>
            <w:hideMark/>
          </w:tcPr>
          <w:p w14:paraId="61F48371"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445,5</w:t>
            </w:r>
          </w:p>
        </w:tc>
        <w:tc>
          <w:tcPr>
            <w:tcW w:w="789" w:type="dxa"/>
            <w:tcBorders>
              <w:top w:val="nil"/>
              <w:left w:val="nil"/>
              <w:bottom w:val="single" w:sz="4" w:space="0" w:color="auto"/>
              <w:right w:val="single" w:sz="4" w:space="0" w:color="auto"/>
            </w:tcBorders>
            <w:shd w:val="clear" w:color="auto" w:fill="auto"/>
            <w:vAlign w:val="center"/>
            <w:hideMark/>
          </w:tcPr>
          <w:p w14:paraId="7C637DDC"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0,9</w:t>
            </w:r>
          </w:p>
        </w:tc>
        <w:tc>
          <w:tcPr>
            <w:tcW w:w="693" w:type="dxa"/>
            <w:tcBorders>
              <w:top w:val="nil"/>
              <w:left w:val="nil"/>
              <w:bottom w:val="single" w:sz="4" w:space="0" w:color="auto"/>
              <w:right w:val="single" w:sz="4" w:space="0" w:color="auto"/>
            </w:tcBorders>
            <w:shd w:val="clear" w:color="auto" w:fill="auto"/>
            <w:vAlign w:val="center"/>
            <w:hideMark/>
          </w:tcPr>
          <w:p w14:paraId="0FE04BC6"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19,6</w:t>
            </w:r>
          </w:p>
        </w:tc>
        <w:tc>
          <w:tcPr>
            <w:tcW w:w="537" w:type="dxa"/>
            <w:tcBorders>
              <w:top w:val="nil"/>
              <w:left w:val="nil"/>
              <w:bottom w:val="single" w:sz="4" w:space="0" w:color="auto"/>
              <w:right w:val="single" w:sz="4" w:space="0" w:color="auto"/>
            </w:tcBorders>
            <w:shd w:val="clear" w:color="auto" w:fill="auto"/>
            <w:vAlign w:val="center"/>
            <w:hideMark/>
          </w:tcPr>
          <w:p w14:paraId="2AC79F4E"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0,9</w:t>
            </w:r>
          </w:p>
        </w:tc>
        <w:tc>
          <w:tcPr>
            <w:tcW w:w="1143" w:type="dxa"/>
            <w:tcBorders>
              <w:top w:val="nil"/>
              <w:left w:val="nil"/>
              <w:bottom w:val="single" w:sz="4" w:space="0" w:color="auto"/>
              <w:right w:val="single" w:sz="4" w:space="0" w:color="auto"/>
            </w:tcBorders>
            <w:shd w:val="clear" w:color="auto" w:fill="auto"/>
            <w:vAlign w:val="center"/>
            <w:hideMark/>
          </w:tcPr>
          <w:p w14:paraId="47374BE7"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1,5</w:t>
            </w:r>
          </w:p>
        </w:tc>
        <w:tc>
          <w:tcPr>
            <w:tcW w:w="1200" w:type="dxa"/>
            <w:tcBorders>
              <w:top w:val="nil"/>
              <w:left w:val="nil"/>
              <w:bottom w:val="single" w:sz="4" w:space="0" w:color="auto"/>
              <w:right w:val="single" w:sz="4" w:space="0" w:color="auto"/>
            </w:tcBorders>
            <w:shd w:val="clear" w:color="auto" w:fill="auto"/>
            <w:vAlign w:val="center"/>
            <w:hideMark/>
          </w:tcPr>
          <w:p w14:paraId="2F67AB38"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1,0</w:t>
            </w:r>
          </w:p>
        </w:tc>
        <w:tc>
          <w:tcPr>
            <w:tcW w:w="721" w:type="dxa"/>
            <w:tcBorders>
              <w:top w:val="nil"/>
              <w:left w:val="nil"/>
              <w:bottom w:val="single" w:sz="4" w:space="0" w:color="auto"/>
              <w:right w:val="single" w:sz="4" w:space="0" w:color="auto"/>
            </w:tcBorders>
            <w:shd w:val="clear" w:color="auto" w:fill="auto"/>
            <w:vAlign w:val="center"/>
            <w:hideMark/>
          </w:tcPr>
          <w:p w14:paraId="37205611"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125,7</w:t>
            </w:r>
          </w:p>
        </w:tc>
        <w:tc>
          <w:tcPr>
            <w:tcW w:w="721" w:type="dxa"/>
            <w:tcBorders>
              <w:top w:val="nil"/>
              <w:left w:val="nil"/>
              <w:bottom w:val="single" w:sz="4" w:space="0" w:color="auto"/>
              <w:right w:val="single" w:sz="4" w:space="0" w:color="auto"/>
            </w:tcBorders>
            <w:shd w:val="clear" w:color="auto" w:fill="auto"/>
            <w:vAlign w:val="center"/>
            <w:hideMark/>
          </w:tcPr>
          <w:p w14:paraId="6E929208"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541,4</w:t>
            </w:r>
          </w:p>
        </w:tc>
        <w:tc>
          <w:tcPr>
            <w:tcW w:w="698" w:type="dxa"/>
            <w:tcBorders>
              <w:top w:val="nil"/>
              <w:left w:val="nil"/>
              <w:bottom w:val="single" w:sz="4" w:space="0" w:color="auto"/>
              <w:right w:val="single" w:sz="4" w:space="0" w:color="auto"/>
            </w:tcBorders>
            <w:shd w:val="clear" w:color="auto" w:fill="auto"/>
            <w:vAlign w:val="center"/>
            <w:hideMark/>
          </w:tcPr>
          <w:p w14:paraId="07F91E2B"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17,5</w:t>
            </w:r>
          </w:p>
        </w:tc>
        <w:tc>
          <w:tcPr>
            <w:tcW w:w="765" w:type="dxa"/>
            <w:tcBorders>
              <w:top w:val="nil"/>
              <w:left w:val="nil"/>
              <w:bottom w:val="single" w:sz="4" w:space="0" w:color="auto"/>
              <w:right w:val="single" w:sz="4" w:space="0" w:color="auto"/>
            </w:tcBorders>
            <w:shd w:val="clear" w:color="auto" w:fill="auto"/>
            <w:vAlign w:val="center"/>
            <w:hideMark/>
          </w:tcPr>
          <w:p w14:paraId="7B070267"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684,6</w:t>
            </w:r>
          </w:p>
        </w:tc>
        <w:tc>
          <w:tcPr>
            <w:tcW w:w="970" w:type="dxa"/>
            <w:tcBorders>
              <w:top w:val="nil"/>
              <w:left w:val="nil"/>
              <w:bottom w:val="single" w:sz="4" w:space="0" w:color="auto"/>
              <w:right w:val="single" w:sz="4" w:space="0" w:color="auto"/>
            </w:tcBorders>
            <w:shd w:val="clear" w:color="auto" w:fill="auto"/>
            <w:vAlign w:val="center"/>
            <w:hideMark/>
          </w:tcPr>
          <w:p w14:paraId="56F41EC1" w14:textId="77777777" w:rsidR="00F00781" w:rsidRPr="00F00781" w:rsidRDefault="00F00781" w:rsidP="00F00781">
            <w:pPr>
              <w:rPr>
                <w:rFonts w:ascii="Arial Narrow" w:hAnsi="Arial Narrow" w:cs="Calibri"/>
                <w:sz w:val="14"/>
                <w:szCs w:val="14"/>
              </w:rPr>
            </w:pPr>
            <w:r w:rsidRPr="00F00781">
              <w:rPr>
                <w:rFonts w:ascii="Arial Narrow" w:hAnsi="Arial Narrow" w:cs="Calibri"/>
                <w:sz w:val="14"/>
                <w:szCs w:val="14"/>
              </w:rPr>
              <w:t> </w:t>
            </w:r>
          </w:p>
        </w:tc>
        <w:tc>
          <w:tcPr>
            <w:tcW w:w="602" w:type="dxa"/>
            <w:tcBorders>
              <w:top w:val="nil"/>
              <w:left w:val="nil"/>
              <w:bottom w:val="single" w:sz="4" w:space="0" w:color="auto"/>
              <w:right w:val="single" w:sz="4" w:space="0" w:color="auto"/>
            </w:tcBorders>
            <w:shd w:val="clear" w:color="auto" w:fill="auto"/>
            <w:vAlign w:val="center"/>
            <w:hideMark/>
          </w:tcPr>
          <w:p w14:paraId="6E4CBD55"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302,4</w:t>
            </w:r>
          </w:p>
        </w:tc>
        <w:tc>
          <w:tcPr>
            <w:tcW w:w="697" w:type="dxa"/>
            <w:tcBorders>
              <w:top w:val="nil"/>
              <w:left w:val="nil"/>
              <w:bottom w:val="single" w:sz="4" w:space="0" w:color="auto"/>
              <w:right w:val="single" w:sz="4" w:space="0" w:color="auto"/>
            </w:tcBorders>
            <w:shd w:val="clear" w:color="auto" w:fill="auto"/>
            <w:vAlign w:val="center"/>
            <w:hideMark/>
          </w:tcPr>
          <w:p w14:paraId="11086350"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-143,1</w:t>
            </w:r>
          </w:p>
        </w:tc>
        <w:tc>
          <w:tcPr>
            <w:tcW w:w="869" w:type="dxa"/>
            <w:tcBorders>
              <w:top w:val="nil"/>
              <w:left w:val="nil"/>
              <w:bottom w:val="single" w:sz="4" w:space="0" w:color="auto"/>
              <w:right w:val="single" w:sz="4" w:space="0" w:color="auto"/>
            </w:tcBorders>
            <w:shd w:val="clear" w:color="auto" w:fill="auto"/>
            <w:vAlign w:val="center"/>
            <w:hideMark/>
          </w:tcPr>
          <w:p w14:paraId="09D6AA3D"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563,6</w:t>
            </w:r>
          </w:p>
        </w:tc>
      </w:tr>
      <w:tr w:rsidR="00F00781" w:rsidRPr="00F00781" w14:paraId="406842E3" w14:textId="77777777" w:rsidTr="00E01BBF">
        <w:trPr>
          <w:trHeight w:val="196"/>
        </w:trPr>
        <w:tc>
          <w:tcPr>
            <w:tcW w:w="632" w:type="dxa"/>
            <w:tcBorders>
              <w:top w:val="nil"/>
              <w:left w:val="single" w:sz="4" w:space="0" w:color="auto"/>
              <w:bottom w:val="single" w:sz="4" w:space="0" w:color="auto"/>
              <w:right w:val="single" w:sz="4" w:space="0" w:color="auto"/>
            </w:tcBorders>
            <w:shd w:val="clear" w:color="auto" w:fill="auto"/>
            <w:vAlign w:val="center"/>
            <w:hideMark/>
          </w:tcPr>
          <w:p w14:paraId="3CEBDE4A" w14:textId="77777777" w:rsidR="00F00781" w:rsidRPr="00F00781" w:rsidRDefault="00F00781" w:rsidP="00F00781">
            <w:pPr>
              <w:rPr>
                <w:rFonts w:ascii="Arial Narrow" w:hAnsi="Arial Narrow" w:cs="Calibri"/>
                <w:sz w:val="14"/>
                <w:szCs w:val="14"/>
              </w:rPr>
            </w:pPr>
            <w:r w:rsidRPr="00F00781">
              <w:rPr>
                <w:rFonts w:ascii="Arial Narrow" w:hAnsi="Arial Narrow" w:cs="Calibri"/>
                <w:sz w:val="14"/>
                <w:szCs w:val="14"/>
              </w:rPr>
              <w:t xml:space="preserve"> 01.6</w:t>
            </w:r>
          </w:p>
        </w:tc>
        <w:tc>
          <w:tcPr>
            <w:tcW w:w="1671" w:type="dxa"/>
            <w:tcBorders>
              <w:top w:val="nil"/>
              <w:left w:val="nil"/>
              <w:bottom w:val="single" w:sz="4" w:space="0" w:color="auto"/>
              <w:right w:val="single" w:sz="4" w:space="0" w:color="auto"/>
            </w:tcBorders>
            <w:shd w:val="clear" w:color="auto" w:fill="auto"/>
            <w:vAlign w:val="center"/>
            <w:hideMark/>
          </w:tcPr>
          <w:p w14:paraId="3FBB9898" w14:textId="77777777" w:rsidR="00F00781" w:rsidRPr="00F00781" w:rsidRDefault="00F00781" w:rsidP="00F00781">
            <w:pPr>
              <w:ind w:firstLineChars="100" w:firstLine="140"/>
              <w:rPr>
                <w:rFonts w:ascii="Arial Narrow" w:hAnsi="Arial Narrow" w:cs="Calibri"/>
                <w:sz w:val="14"/>
                <w:szCs w:val="14"/>
              </w:rPr>
            </w:pPr>
            <w:r w:rsidRPr="00F00781">
              <w:rPr>
                <w:rFonts w:ascii="Arial Narrow" w:hAnsi="Arial Narrow" w:cs="Calibri"/>
                <w:sz w:val="14"/>
                <w:szCs w:val="14"/>
              </w:rPr>
              <w:t>Ориз</w:t>
            </w:r>
          </w:p>
        </w:tc>
        <w:tc>
          <w:tcPr>
            <w:tcW w:w="773" w:type="dxa"/>
            <w:tcBorders>
              <w:top w:val="nil"/>
              <w:left w:val="nil"/>
              <w:bottom w:val="single" w:sz="4" w:space="0" w:color="auto"/>
              <w:right w:val="single" w:sz="4" w:space="0" w:color="auto"/>
            </w:tcBorders>
            <w:shd w:val="clear" w:color="auto" w:fill="auto"/>
            <w:vAlign w:val="center"/>
            <w:hideMark/>
          </w:tcPr>
          <w:p w14:paraId="1AD9E5A6"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73,1</w:t>
            </w:r>
          </w:p>
        </w:tc>
        <w:tc>
          <w:tcPr>
            <w:tcW w:w="582" w:type="dxa"/>
            <w:tcBorders>
              <w:top w:val="nil"/>
              <w:left w:val="nil"/>
              <w:bottom w:val="single" w:sz="4" w:space="0" w:color="auto"/>
              <w:right w:val="single" w:sz="4" w:space="0" w:color="auto"/>
            </w:tcBorders>
            <w:shd w:val="clear" w:color="auto" w:fill="auto"/>
            <w:vAlign w:val="center"/>
            <w:hideMark/>
          </w:tcPr>
          <w:p w14:paraId="344BD065" w14:textId="77777777" w:rsidR="00F00781" w:rsidRPr="00F00781" w:rsidRDefault="00F00781" w:rsidP="00F00781">
            <w:pPr>
              <w:rPr>
                <w:rFonts w:ascii="Arial Narrow" w:hAnsi="Arial Narrow" w:cs="Calibri"/>
                <w:sz w:val="14"/>
                <w:szCs w:val="14"/>
              </w:rPr>
            </w:pPr>
            <w:r w:rsidRPr="00F00781">
              <w:rPr>
                <w:rFonts w:ascii="Arial Narrow" w:hAnsi="Arial Narrow" w:cs="Calibri"/>
                <w:sz w:val="14"/>
                <w:szCs w:val="14"/>
              </w:rPr>
              <w:t> </w:t>
            </w:r>
          </w:p>
        </w:tc>
        <w:tc>
          <w:tcPr>
            <w:tcW w:w="681" w:type="dxa"/>
            <w:tcBorders>
              <w:top w:val="nil"/>
              <w:left w:val="nil"/>
              <w:bottom w:val="single" w:sz="4" w:space="0" w:color="auto"/>
              <w:right w:val="single" w:sz="4" w:space="0" w:color="auto"/>
            </w:tcBorders>
            <w:shd w:val="clear" w:color="auto" w:fill="auto"/>
            <w:vAlign w:val="center"/>
            <w:hideMark/>
          </w:tcPr>
          <w:p w14:paraId="5B868A48"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47,5</w:t>
            </w:r>
          </w:p>
        </w:tc>
        <w:tc>
          <w:tcPr>
            <w:tcW w:w="789" w:type="dxa"/>
            <w:tcBorders>
              <w:top w:val="nil"/>
              <w:left w:val="nil"/>
              <w:bottom w:val="single" w:sz="4" w:space="0" w:color="auto"/>
              <w:right w:val="single" w:sz="4" w:space="0" w:color="auto"/>
            </w:tcBorders>
            <w:shd w:val="clear" w:color="auto" w:fill="auto"/>
            <w:vAlign w:val="center"/>
            <w:hideMark/>
          </w:tcPr>
          <w:p w14:paraId="5373D2F5"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1,6</w:t>
            </w:r>
          </w:p>
        </w:tc>
        <w:tc>
          <w:tcPr>
            <w:tcW w:w="693" w:type="dxa"/>
            <w:tcBorders>
              <w:top w:val="nil"/>
              <w:left w:val="nil"/>
              <w:bottom w:val="single" w:sz="4" w:space="0" w:color="auto"/>
              <w:right w:val="single" w:sz="4" w:space="0" w:color="auto"/>
            </w:tcBorders>
            <w:shd w:val="clear" w:color="auto" w:fill="auto"/>
            <w:vAlign w:val="center"/>
            <w:hideMark/>
          </w:tcPr>
          <w:p w14:paraId="1D70E2F0" w14:textId="77777777" w:rsidR="00F00781" w:rsidRPr="00F00781" w:rsidRDefault="00F00781" w:rsidP="00F00781">
            <w:pPr>
              <w:rPr>
                <w:rFonts w:ascii="Arial Narrow" w:hAnsi="Arial Narrow" w:cs="Calibri"/>
                <w:sz w:val="14"/>
                <w:szCs w:val="14"/>
              </w:rPr>
            </w:pPr>
            <w:r w:rsidRPr="00F00781">
              <w:rPr>
                <w:rFonts w:ascii="Arial Narrow" w:hAnsi="Arial Narrow" w:cs="Calibri"/>
                <w:sz w:val="14"/>
                <w:szCs w:val="14"/>
              </w:rPr>
              <w:t> </w:t>
            </w:r>
          </w:p>
        </w:tc>
        <w:tc>
          <w:tcPr>
            <w:tcW w:w="537" w:type="dxa"/>
            <w:tcBorders>
              <w:top w:val="nil"/>
              <w:left w:val="nil"/>
              <w:bottom w:val="single" w:sz="4" w:space="0" w:color="auto"/>
              <w:right w:val="single" w:sz="4" w:space="0" w:color="auto"/>
            </w:tcBorders>
            <w:shd w:val="clear" w:color="auto" w:fill="auto"/>
            <w:vAlign w:val="center"/>
            <w:hideMark/>
          </w:tcPr>
          <w:p w14:paraId="0EBED42D"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3,9</w:t>
            </w:r>
          </w:p>
        </w:tc>
        <w:tc>
          <w:tcPr>
            <w:tcW w:w="1143" w:type="dxa"/>
            <w:tcBorders>
              <w:top w:val="nil"/>
              <w:left w:val="nil"/>
              <w:bottom w:val="single" w:sz="4" w:space="0" w:color="auto"/>
              <w:right w:val="single" w:sz="4" w:space="0" w:color="auto"/>
            </w:tcBorders>
            <w:shd w:val="clear" w:color="auto" w:fill="auto"/>
            <w:vAlign w:val="center"/>
            <w:hideMark/>
          </w:tcPr>
          <w:p w14:paraId="49DE84A9"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5,1</w:t>
            </w:r>
          </w:p>
        </w:tc>
        <w:tc>
          <w:tcPr>
            <w:tcW w:w="1200" w:type="dxa"/>
            <w:tcBorders>
              <w:top w:val="nil"/>
              <w:left w:val="nil"/>
              <w:bottom w:val="single" w:sz="4" w:space="0" w:color="auto"/>
              <w:right w:val="single" w:sz="4" w:space="0" w:color="auto"/>
            </w:tcBorders>
            <w:shd w:val="clear" w:color="auto" w:fill="auto"/>
            <w:vAlign w:val="center"/>
            <w:hideMark/>
          </w:tcPr>
          <w:p w14:paraId="789417B7"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0,6</w:t>
            </w:r>
          </w:p>
        </w:tc>
        <w:tc>
          <w:tcPr>
            <w:tcW w:w="721" w:type="dxa"/>
            <w:tcBorders>
              <w:top w:val="nil"/>
              <w:left w:val="nil"/>
              <w:bottom w:val="single" w:sz="4" w:space="0" w:color="auto"/>
              <w:right w:val="single" w:sz="4" w:space="0" w:color="auto"/>
            </w:tcBorders>
            <w:shd w:val="clear" w:color="auto" w:fill="auto"/>
            <w:vAlign w:val="center"/>
            <w:hideMark/>
          </w:tcPr>
          <w:p w14:paraId="645EBCE4"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0,4</w:t>
            </w:r>
          </w:p>
        </w:tc>
        <w:tc>
          <w:tcPr>
            <w:tcW w:w="721" w:type="dxa"/>
            <w:tcBorders>
              <w:top w:val="nil"/>
              <w:left w:val="nil"/>
              <w:bottom w:val="single" w:sz="4" w:space="0" w:color="auto"/>
              <w:right w:val="single" w:sz="4" w:space="0" w:color="auto"/>
            </w:tcBorders>
            <w:shd w:val="clear" w:color="auto" w:fill="auto"/>
            <w:vAlign w:val="center"/>
            <w:hideMark/>
          </w:tcPr>
          <w:p w14:paraId="218168F2"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38,7</w:t>
            </w:r>
          </w:p>
        </w:tc>
        <w:tc>
          <w:tcPr>
            <w:tcW w:w="698" w:type="dxa"/>
            <w:tcBorders>
              <w:top w:val="nil"/>
              <w:left w:val="nil"/>
              <w:bottom w:val="single" w:sz="4" w:space="0" w:color="auto"/>
              <w:right w:val="single" w:sz="4" w:space="0" w:color="auto"/>
            </w:tcBorders>
            <w:shd w:val="clear" w:color="auto" w:fill="auto"/>
            <w:vAlign w:val="center"/>
            <w:hideMark/>
          </w:tcPr>
          <w:p w14:paraId="7CA3D7E3"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3,2</w:t>
            </w:r>
          </w:p>
        </w:tc>
        <w:tc>
          <w:tcPr>
            <w:tcW w:w="765" w:type="dxa"/>
            <w:tcBorders>
              <w:top w:val="nil"/>
              <w:left w:val="nil"/>
              <w:bottom w:val="single" w:sz="4" w:space="0" w:color="auto"/>
              <w:right w:val="single" w:sz="4" w:space="0" w:color="auto"/>
            </w:tcBorders>
            <w:shd w:val="clear" w:color="auto" w:fill="auto"/>
            <w:vAlign w:val="center"/>
            <w:hideMark/>
          </w:tcPr>
          <w:p w14:paraId="349E26B6"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42,2</w:t>
            </w:r>
          </w:p>
        </w:tc>
        <w:tc>
          <w:tcPr>
            <w:tcW w:w="970" w:type="dxa"/>
            <w:tcBorders>
              <w:top w:val="nil"/>
              <w:left w:val="nil"/>
              <w:bottom w:val="single" w:sz="4" w:space="0" w:color="auto"/>
              <w:right w:val="single" w:sz="4" w:space="0" w:color="auto"/>
            </w:tcBorders>
            <w:shd w:val="clear" w:color="auto" w:fill="auto"/>
            <w:vAlign w:val="center"/>
            <w:hideMark/>
          </w:tcPr>
          <w:p w14:paraId="323FE8B6" w14:textId="77777777" w:rsidR="00F00781" w:rsidRPr="00F00781" w:rsidRDefault="00F00781" w:rsidP="00F00781">
            <w:pPr>
              <w:rPr>
                <w:rFonts w:ascii="Arial Narrow" w:hAnsi="Arial Narrow" w:cs="Calibri"/>
                <w:sz w:val="14"/>
                <w:szCs w:val="14"/>
              </w:rPr>
            </w:pPr>
            <w:r w:rsidRPr="00F00781">
              <w:rPr>
                <w:rFonts w:ascii="Arial Narrow" w:hAnsi="Arial Narrow" w:cs="Calibri"/>
                <w:sz w:val="14"/>
                <w:szCs w:val="14"/>
              </w:rPr>
              <w:t> </w:t>
            </w:r>
          </w:p>
        </w:tc>
        <w:tc>
          <w:tcPr>
            <w:tcW w:w="602" w:type="dxa"/>
            <w:tcBorders>
              <w:top w:val="nil"/>
              <w:left w:val="nil"/>
              <w:bottom w:val="single" w:sz="4" w:space="0" w:color="auto"/>
              <w:right w:val="single" w:sz="4" w:space="0" w:color="auto"/>
            </w:tcBorders>
            <w:shd w:val="clear" w:color="auto" w:fill="auto"/>
            <w:vAlign w:val="center"/>
            <w:hideMark/>
          </w:tcPr>
          <w:p w14:paraId="58CF6ABA"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67,2</w:t>
            </w:r>
          </w:p>
        </w:tc>
        <w:tc>
          <w:tcPr>
            <w:tcW w:w="697" w:type="dxa"/>
            <w:tcBorders>
              <w:top w:val="nil"/>
              <w:left w:val="nil"/>
              <w:bottom w:val="single" w:sz="4" w:space="0" w:color="auto"/>
              <w:right w:val="single" w:sz="4" w:space="0" w:color="auto"/>
            </w:tcBorders>
            <w:shd w:val="clear" w:color="auto" w:fill="auto"/>
            <w:vAlign w:val="center"/>
            <w:hideMark/>
          </w:tcPr>
          <w:p w14:paraId="283E4EE4"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19,7</w:t>
            </w:r>
          </w:p>
        </w:tc>
        <w:tc>
          <w:tcPr>
            <w:tcW w:w="869" w:type="dxa"/>
            <w:tcBorders>
              <w:top w:val="nil"/>
              <w:left w:val="nil"/>
              <w:bottom w:val="single" w:sz="4" w:space="0" w:color="auto"/>
              <w:right w:val="single" w:sz="4" w:space="0" w:color="auto"/>
            </w:tcBorders>
            <w:shd w:val="clear" w:color="auto" w:fill="auto"/>
            <w:vAlign w:val="center"/>
            <w:hideMark/>
          </w:tcPr>
          <w:p w14:paraId="79655B30"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67,6</w:t>
            </w:r>
          </w:p>
        </w:tc>
      </w:tr>
      <w:tr w:rsidR="00F00781" w:rsidRPr="00F00781" w14:paraId="125DD15D" w14:textId="77777777" w:rsidTr="00E01BBF">
        <w:trPr>
          <w:trHeight w:val="196"/>
        </w:trPr>
        <w:tc>
          <w:tcPr>
            <w:tcW w:w="632" w:type="dxa"/>
            <w:tcBorders>
              <w:top w:val="nil"/>
              <w:left w:val="single" w:sz="4" w:space="0" w:color="auto"/>
              <w:bottom w:val="single" w:sz="4" w:space="0" w:color="auto"/>
              <w:right w:val="single" w:sz="4" w:space="0" w:color="auto"/>
            </w:tcBorders>
            <w:shd w:val="clear" w:color="auto" w:fill="auto"/>
            <w:vAlign w:val="center"/>
            <w:hideMark/>
          </w:tcPr>
          <w:p w14:paraId="7ADAE171" w14:textId="77777777" w:rsidR="00F00781" w:rsidRPr="00F00781" w:rsidRDefault="00F00781" w:rsidP="00F00781">
            <w:pPr>
              <w:rPr>
                <w:rFonts w:ascii="Arial Narrow" w:hAnsi="Arial Narrow" w:cs="Calibri"/>
                <w:sz w:val="14"/>
                <w:szCs w:val="14"/>
              </w:rPr>
            </w:pPr>
            <w:r w:rsidRPr="00F00781">
              <w:rPr>
                <w:rFonts w:ascii="Arial Narrow" w:hAnsi="Arial Narrow" w:cs="Calibri"/>
                <w:sz w:val="14"/>
                <w:szCs w:val="14"/>
              </w:rPr>
              <w:t xml:space="preserve"> 01.7</w:t>
            </w:r>
          </w:p>
        </w:tc>
        <w:tc>
          <w:tcPr>
            <w:tcW w:w="1671" w:type="dxa"/>
            <w:tcBorders>
              <w:top w:val="nil"/>
              <w:left w:val="nil"/>
              <w:bottom w:val="single" w:sz="4" w:space="0" w:color="auto"/>
              <w:right w:val="single" w:sz="4" w:space="0" w:color="auto"/>
            </w:tcBorders>
            <w:shd w:val="clear" w:color="auto" w:fill="auto"/>
            <w:vAlign w:val="center"/>
            <w:hideMark/>
          </w:tcPr>
          <w:p w14:paraId="3A07AA3B" w14:textId="77777777" w:rsidR="00F00781" w:rsidRPr="00F00781" w:rsidRDefault="00F00781" w:rsidP="00F00781">
            <w:pPr>
              <w:ind w:firstLineChars="100" w:firstLine="140"/>
              <w:rPr>
                <w:rFonts w:ascii="Arial Narrow" w:hAnsi="Arial Narrow" w:cs="Calibri"/>
                <w:sz w:val="14"/>
                <w:szCs w:val="14"/>
              </w:rPr>
            </w:pPr>
            <w:r w:rsidRPr="00F00781">
              <w:rPr>
                <w:rFonts w:ascii="Arial Narrow" w:hAnsi="Arial Narrow" w:cs="Calibri"/>
                <w:sz w:val="14"/>
                <w:szCs w:val="14"/>
              </w:rPr>
              <w:t>Други зърнени</w:t>
            </w:r>
          </w:p>
        </w:tc>
        <w:tc>
          <w:tcPr>
            <w:tcW w:w="773" w:type="dxa"/>
            <w:tcBorders>
              <w:top w:val="nil"/>
              <w:left w:val="nil"/>
              <w:bottom w:val="single" w:sz="4" w:space="0" w:color="auto"/>
              <w:right w:val="single" w:sz="4" w:space="0" w:color="auto"/>
            </w:tcBorders>
            <w:shd w:val="clear" w:color="auto" w:fill="auto"/>
            <w:vAlign w:val="center"/>
            <w:hideMark/>
          </w:tcPr>
          <w:p w14:paraId="531A6EC7"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30,5</w:t>
            </w:r>
          </w:p>
        </w:tc>
        <w:tc>
          <w:tcPr>
            <w:tcW w:w="582" w:type="dxa"/>
            <w:tcBorders>
              <w:top w:val="nil"/>
              <w:left w:val="nil"/>
              <w:bottom w:val="single" w:sz="4" w:space="0" w:color="auto"/>
              <w:right w:val="single" w:sz="4" w:space="0" w:color="auto"/>
            </w:tcBorders>
            <w:shd w:val="clear" w:color="auto" w:fill="auto"/>
            <w:vAlign w:val="center"/>
            <w:hideMark/>
          </w:tcPr>
          <w:p w14:paraId="38189DDD" w14:textId="77777777" w:rsidR="00F00781" w:rsidRPr="00F00781" w:rsidRDefault="00F00781" w:rsidP="00F00781">
            <w:pPr>
              <w:rPr>
                <w:rFonts w:ascii="Arial Narrow" w:hAnsi="Arial Narrow" w:cs="Calibri"/>
                <w:sz w:val="14"/>
                <w:szCs w:val="14"/>
              </w:rPr>
            </w:pPr>
            <w:r w:rsidRPr="00F00781">
              <w:rPr>
                <w:rFonts w:ascii="Arial Narrow" w:hAnsi="Arial Narrow" w:cs="Calibri"/>
                <w:sz w:val="14"/>
                <w:szCs w:val="14"/>
              </w:rPr>
              <w:t> </w:t>
            </w:r>
          </w:p>
        </w:tc>
        <w:tc>
          <w:tcPr>
            <w:tcW w:w="681" w:type="dxa"/>
            <w:tcBorders>
              <w:top w:val="nil"/>
              <w:left w:val="nil"/>
              <w:bottom w:val="single" w:sz="4" w:space="0" w:color="auto"/>
              <w:right w:val="single" w:sz="4" w:space="0" w:color="auto"/>
            </w:tcBorders>
            <w:shd w:val="clear" w:color="auto" w:fill="auto"/>
            <w:vAlign w:val="center"/>
            <w:hideMark/>
          </w:tcPr>
          <w:p w14:paraId="236CEB66"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19,9</w:t>
            </w:r>
          </w:p>
        </w:tc>
        <w:tc>
          <w:tcPr>
            <w:tcW w:w="789" w:type="dxa"/>
            <w:tcBorders>
              <w:top w:val="nil"/>
              <w:left w:val="nil"/>
              <w:bottom w:val="single" w:sz="4" w:space="0" w:color="auto"/>
              <w:right w:val="single" w:sz="4" w:space="0" w:color="auto"/>
            </w:tcBorders>
            <w:shd w:val="clear" w:color="auto" w:fill="auto"/>
            <w:vAlign w:val="center"/>
            <w:hideMark/>
          </w:tcPr>
          <w:p w14:paraId="248F5FCE"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1,0</w:t>
            </w:r>
          </w:p>
        </w:tc>
        <w:tc>
          <w:tcPr>
            <w:tcW w:w="693" w:type="dxa"/>
            <w:tcBorders>
              <w:top w:val="nil"/>
              <w:left w:val="nil"/>
              <w:bottom w:val="single" w:sz="4" w:space="0" w:color="auto"/>
              <w:right w:val="single" w:sz="4" w:space="0" w:color="auto"/>
            </w:tcBorders>
            <w:shd w:val="clear" w:color="auto" w:fill="auto"/>
            <w:vAlign w:val="center"/>
            <w:hideMark/>
          </w:tcPr>
          <w:p w14:paraId="2B5B1AB5"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6,6</w:t>
            </w:r>
          </w:p>
        </w:tc>
        <w:tc>
          <w:tcPr>
            <w:tcW w:w="537" w:type="dxa"/>
            <w:tcBorders>
              <w:top w:val="nil"/>
              <w:left w:val="nil"/>
              <w:bottom w:val="single" w:sz="4" w:space="0" w:color="auto"/>
              <w:right w:val="single" w:sz="4" w:space="0" w:color="auto"/>
            </w:tcBorders>
            <w:shd w:val="clear" w:color="auto" w:fill="auto"/>
            <w:vAlign w:val="center"/>
            <w:hideMark/>
          </w:tcPr>
          <w:p w14:paraId="611C666C"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0,1</w:t>
            </w:r>
          </w:p>
        </w:tc>
        <w:tc>
          <w:tcPr>
            <w:tcW w:w="1143" w:type="dxa"/>
            <w:tcBorders>
              <w:top w:val="nil"/>
              <w:left w:val="nil"/>
              <w:bottom w:val="single" w:sz="4" w:space="0" w:color="auto"/>
              <w:right w:val="single" w:sz="4" w:space="0" w:color="auto"/>
            </w:tcBorders>
            <w:shd w:val="clear" w:color="auto" w:fill="auto"/>
            <w:vAlign w:val="center"/>
            <w:hideMark/>
          </w:tcPr>
          <w:p w14:paraId="199220D1"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0,4</w:t>
            </w:r>
          </w:p>
        </w:tc>
        <w:tc>
          <w:tcPr>
            <w:tcW w:w="1200" w:type="dxa"/>
            <w:tcBorders>
              <w:top w:val="nil"/>
              <w:left w:val="nil"/>
              <w:bottom w:val="single" w:sz="4" w:space="0" w:color="auto"/>
              <w:right w:val="single" w:sz="4" w:space="0" w:color="auto"/>
            </w:tcBorders>
            <w:shd w:val="clear" w:color="auto" w:fill="auto"/>
            <w:vAlign w:val="center"/>
            <w:hideMark/>
          </w:tcPr>
          <w:p w14:paraId="1601B4C4"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0,8</w:t>
            </w:r>
          </w:p>
        </w:tc>
        <w:tc>
          <w:tcPr>
            <w:tcW w:w="721" w:type="dxa"/>
            <w:tcBorders>
              <w:top w:val="nil"/>
              <w:left w:val="nil"/>
              <w:bottom w:val="single" w:sz="4" w:space="0" w:color="auto"/>
              <w:right w:val="single" w:sz="4" w:space="0" w:color="auto"/>
            </w:tcBorders>
            <w:shd w:val="clear" w:color="auto" w:fill="auto"/>
            <w:vAlign w:val="center"/>
            <w:hideMark/>
          </w:tcPr>
          <w:p w14:paraId="5A807794"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6,5</w:t>
            </w:r>
          </w:p>
        </w:tc>
        <w:tc>
          <w:tcPr>
            <w:tcW w:w="721" w:type="dxa"/>
            <w:tcBorders>
              <w:top w:val="nil"/>
              <w:left w:val="nil"/>
              <w:bottom w:val="single" w:sz="4" w:space="0" w:color="auto"/>
              <w:right w:val="single" w:sz="4" w:space="0" w:color="auto"/>
            </w:tcBorders>
            <w:shd w:val="clear" w:color="auto" w:fill="auto"/>
            <w:vAlign w:val="center"/>
            <w:hideMark/>
          </w:tcPr>
          <w:p w14:paraId="0D784156"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23,1</w:t>
            </w:r>
          </w:p>
        </w:tc>
        <w:tc>
          <w:tcPr>
            <w:tcW w:w="698" w:type="dxa"/>
            <w:tcBorders>
              <w:top w:val="nil"/>
              <w:left w:val="nil"/>
              <w:bottom w:val="single" w:sz="4" w:space="0" w:color="auto"/>
              <w:right w:val="single" w:sz="4" w:space="0" w:color="auto"/>
            </w:tcBorders>
            <w:shd w:val="clear" w:color="auto" w:fill="auto"/>
            <w:vAlign w:val="center"/>
            <w:hideMark/>
          </w:tcPr>
          <w:p w14:paraId="596F282E" w14:textId="77777777" w:rsidR="00F00781" w:rsidRPr="00F00781" w:rsidRDefault="00F00781" w:rsidP="00F00781">
            <w:pPr>
              <w:rPr>
                <w:rFonts w:ascii="Arial Narrow" w:hAnsi="Arial Narrow" w:cs="Calibri"/>
                <w:sz w:val="14"/>
                <w:szCs w:val="14"/>
              </w:rPr>
            </w:pPr>
            <w:r w:rsidRPr="00F00781">
              <w:rPr>
                <w:rFonts w:ascii="Arial Narrow" w:hAnsi="Arial Narrow" w:cs="Calibri"/>
                <w:sz w:val="14"/>
                <w:szCs w:val="14"/>
              </w:rPr>
              <w:t> </w:t>
            </w:r>
          </w:p>
        </w:tc>
        <w:tc>
          <w:tcPr>
            <w:tcW w:w="765" w:type="dxa"/>
            <w:tcBorders>
              <w:top w:val="nil"/>
              <w:left w:val="nil"/>
              <w:bottom w:val="single" w:sz="4" w:space="0" w:color="auto"/>
              <w:right w:val="single" w:sz="4" w:space="0" w:color="auto"/>
            </w:tcBorders>
            <w:shd w:val="clear" w:color="auto" w:fill="auto"/>
            <w:vAlign w:val="center"/>
            <w:hideMark/>
          </w:tcPr>
          <w:p w14:paraId="18653F6F"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29,5</w:t>
            </w:r>
          </w:p>
        </w:tc>
        <w:tc>
          <w:tcPr>
            <w:tcW w:w="970" w:type="dxa"/>
            <w:tcBorders>
              <w:top w:val="nil"/>
              <w:left w:val="nil"/>
              <w:bottom w:val="single" w:sz="4" w:space="0" w:color="auto"/>
              <w:right w:val="single" w:sz="4" w:space="0" w:color="auto"/>
            </w:tcBorders>
            <w:shd w:val="clear" w:color="auto" w:fill="auto"/>
            <w:vAlign w:val="center"/>
            <w:hideMark/>
          </w:tcPr>
          <w:p w14:paraId="7F3F4D2D" w14:textId="77777777" w:rsidR="00F00781" w:rsidRPr="00F00781" w:rsidRDefault="00F00781" w:rsidP="00F00781">
            <w:pPr>
              <w:rPr>
                <w:rFonts w:ascii="Arial Narrow" w:hAnsi="Arial Narrow" w:cs="Calibri"/>
                <w:sz w:val="14"/>
                <w:szCs w:val="14"/>
              </w:rPr>
            </w:pPr>
            <w:r w:rsidRPr="00F00781">
              <w:rPr>
                <w:rFonts w:ascii="Arial Narrow" w:hAnsi="Arial Narrow" w:cs="Calibri"/>
                <w:sz w:val="14"/>
                <w:szCs w:val="14"/>
              </w:rPr>
              <w:t> </w:t>
            </w:r>
          </w:p>
        </w:tc>
        <w:tc>
          <w:tcPr>
            <w:tcW w:w="602" w:type="dxa"/>
            <w:tcBorders>
              <w:top w:val="nil"/>
              <w:left w:val="nil"/>
              <w:bottom w:val="single" w:sz="4" w:space="0" w:color="auto"/>
              <w:right w:val="single" w:sz="4" w:space="0" w:color="auto"/>
            </w:tcBorders>
            <w:shd w:val="clear" w:color="auto" w:fill="auto"/>
            <w:vAlign w:val="center"/>
            <w:hideMark/>
          </w:tcPr>
          <w:p w14:paraId="3A80BEF8"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12,0</w:t>
            </w:r>
          </w:p>
        </w:tc>
        <w:tc>
          <w:tcPr>
            <w:tcW w:w="697" w:type="dxa"/>
            <w:tcBorders>
              <w:top w:val="nil"/>
              <w:left w:val="nil"/>
              <w:bottom w:val="single" w:sz="4" w:space="0" w:color="auto"/>
              <w:right w:val="single" w:sz="4" w:space="0" w:color="auto"/>
            </w:tcBorders>
            <w:shd w:val="clear" w:color="auto" w:fill="auto"/>
            <w:vAlign w:val="center"/>
            <w:hideMark/>
          </w:tcPr>
          <w:p w14:paraId="782B013D"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-7,9</w:t>
            </w:r>
          </w:p>
        </w:tc>
        <w:tc>
          <w:tcPr>
            <w:tcW w:w="869" w:type="dxa"/>
            <w:tcBorders>
              <w:top w:val="nil"/>
              <w:left w:val="nil"/>
              <w:bottom w:val="single" w:sz="4" w:space="0" w:color="auto"/>
              <w:right w:val="single" w:sz="4" w:space="0" w:color="auto"/>
            </w:tcBorders>
            <w:shd w:val="clear" w:color="auto" w:fill="auto"/>
            <w:vAlign w:val="center"/>
            <w:hideMark/>
          </w:tcPr>
          <w:p w14:paraId="24DB7680"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29,4</w:t>
            </w:r>
          </w:p>
        </w:tc>
      </w:tr>
      <w:tr w:rsidR="00F00781" w:rsidRPr="00F00781" w14:paraId="7AC22F1D" w14:textId="77777777" w:rsidTr="00E01BBF">
        <w:trPr>
          <w:trHeight w:val="196"/>
        </w:trPr>
        <w:tc>
          <w:tcPr>
            <w:tcW w:w="632" w:type="dxa"/>
            <w:tcBorders>
              <w:top w:val="nil"/>
              <w:left w:val="single" w:sz="4" w:space="0" w:color="auto"/>
              <w:bottom w:val="single" w:sz="4" w:space="0" w:color="auto"/>
              <w:right w:val="single" w:sz="4" w:space="0" w:color="auto"/>
            </w:tcBorders>
            <w:shd w:val="clear" w:color="auto" w:fill="auto"/>
            <w:vAlign w:val="center"/>
            <w:hideMark/>
          </w:tcPr>
          <w:p w14:paraId="34358D7D" w14:textId="77777777" w:rsidR="00F00781" w:rsidRPr="00F00781" w:rsidRDefault="00F00781" w:rsidP="00F00781">
            <w:pPr>
              <w:rPr>
                <w:rFonts w:ascii="Arial Narrow" w:hAnsi="Arial Narrow" w:cs="Calibri"/>
                <w:sz w:val="14"/>
                <w:szCs w:val="14"/>
              </w:rPr>
            </w:pPr>
            <w:r w:rsidRPr="00F00781">
              <w:rPr>
                <w:rFonts w:ascii="Arial Narrow" w:hAnsi="Arial Narrow" w:cs="Calibri"/>
                <w:sz w:val="14"/>
                <w:szCs w:val="14"/>
              </w:rPr>
              <w:t xml:space="preserve"> 02</w:t>
            </w:r>
          </w:p>
        </w:tc>
        <w:tc>
          <w:tcPr>
            <w:tcW w:w="1671" w:type="dxa"/>
            <w:tcBorders>
              <w:top w:val="nil"/>
              <w:left w:val="nil"/>
              <w:bottom w:val="single" w:sz="4" w:space="0" w:color="auto"/>
              <w:right w:val="single" w:sz="4" w:space="0" w:color="auto"/>
            </w:tcBorders>
            <w:shd w:val="clear" w:color="auto" w:fill="auto"/>
            <w:vAlign w:val="center"/>
            <w:hideMark/>
          </w:tcPr>
          <w:p w14:paraId="0581D0CD" w14:textId="77777777" w:rsidR="00F00781" w:rsidRPr="00F00781" w:rsidRDefault="00F00781" w:rsidP="00F00781">
            <w:pPr>
              <w:rPr>
                <w:rFonts w:ascii="Arial Narrow" w:hAnsi="Arial Narrow" w:cs="Calibri"/>
                <w:sz w:val="14"/>
                <w:szCs w:val="14"/>
              </w:rPr>
            </w:pPr>
            <w:r w:rsidRPr="00F00781">
              <w:rPr>
                <w:rFonts w:ascii="Arial Narrow" w:hAnsi="Arial Narrow" w:cs="Calibri"/>
                <w:sz w:val="14"/>
                <w:szCs w:val="14"/>
              </w:rPr>
              <w:t>Технически култури</w:t>
            </w:r>
          </w:p>
        </w:tc>
        <w:tc>
          <w:tcPr>
            <w:tcW w:w="773" w:type="dxa"/>
            <w:tcBorders>
              <w:top w:val="nil"/>
              <w:left w:val="nil"/>
              <w:bottom w:val="single" w:sz="4" w:space="0" w:color="auto"/>
              <w:right w:val="single" w:sz="4" w:space="0" w:color="auto"/>
            </w:tcBorders>
            <w:shd w:val="clear" w:color="auto" w:fill="auto"/>
            <w:vAlign w:val="center"/>
            <w:hideMark/>
          </w:tcPr>
          <w:p w14:paraId="6033FA86"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1 733,0</w:t>
            </w:r>
          </w:p>
        </w:tc>
        <w:tc>
          <w:tcPr>
            <w:tcW w:w="582" w:type="dxa"/>
            <w:tcBorders>
              <w:top w:val="nil"/>
              <w:left w:val="nil"/>
              <w:bottom w:val="single" w:sz="4" w:space="0" w:color="auto"/>
              <w:right w:val="single" w:sz="4" w:space="0" w:color="auto"/>
            </w:tcBorders>
            <w:shd w:val="clear" w:color="auto" w:fill="auto"/>
            <w:vAlign w:val="center"/>
            <w:hideMark/>
          </w:tcPr>
          <w:p w14:paraId="451ECD68"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2,0</w:t>
            </w:r>
          </w:p>
        </w:tc>
        <w:tc>
          <w:tcPr>
            <w:tcW w:w="681" w:type="dxa"/>
            <w:tcBorders>
              <w:top w:val="nil"/>
              <w:left w:val="nil"/>
              <w:bottom w:val="single" w:sz="4" w:space="0" w:color="auto"/>
              <w:right w:val="single" w:sz="4" w:space="0" w:color="auto"/>
            </w:tcBorders>
            <w:shd w:val="clear" w:color="auto" w:fill="auto"/>
            <w:vAlign w:val="center"/>
            <w:hideMark/>
          </w:tcPr>
          <w:p w14:paraId="49BAE9BE"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643,0</w:t>
            </w:r>
          </w:p>
        </w:tc>
        <w:tc>
          <w:tcPr>
            <w:tcW w:w="789" w:type="dxa"/>
            <w:tcBorders>
              <w:top w:val="nil"/>
              <w:left w:val="nil"/>
              <w:bottom w:val="single" w:sz="4" w:space="0" w:color="auto"/>
              <w:right w:val="single" w:sz="4" w:space="0" w:color="auto"/>
            </w:tcBorders>
            <w:shd w:val="clear" w:color="auto" w:fill="auto"/>
            <w:vAlign w:val="center"/>
            <w:hideMark/>
          </w:tcPr>
          <w:p w14:paraId="22A60B7F"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5,1</w:t>
            </w:r>
          </w:p>
        </w:tc>
        <w:tc>
          <w:tcPr>
            <w:tcW w:w="693" w:type="dxa"/>
            <w:tcBorders>
              <w:top w:val="nil"/>
              <w:left w:val="nil"/>
              <w:bottom w:val="single" w:sz="4" w:space="0" w:color="auto"/>
              <w:right w:val="single" w:sz="4" w:space="0" w:color="auto"/>
            </w:tcBorders>
            <w:shd w:val="clear" w:color="auto" w:fill="auto"/>
            <w:vAlign w:val="center"/>
            <w:hideMark/>
          </w:tcPr>
          <w:p w14:paraId="5713C913"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6,8</w:t>
            </w:r>
          </w:p>
        </w:tc>
        <w:tc>
          <w:tcPr>
            <w:tcW w:w="537" w:type="dxa"/>
            <w:tcBorders>
              <w:top w:val="nil"/>
              <w:left w:val="nil"/>
              <w:bottom w:val="single" w:sz="4" w:space="0" w:color="auto"/>
              <w:right w:val="single" w:sz="4" w:space="0" w:color="auto"/>
            </w:tcBorders>
            <w:shd w:val="clear" w:color="auto" w:fill="auto"/>
            <w:vAlign w:val="center"/>
            <w:hideMark/>
          </w:tcPr>
          <w:p w14:paraId="2D15B1C0"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2,7</w:t>
            </w:r>
          </w:p>
        </w:tc>
        <w:tc>
          <w:tcPr>
            <w:tcW w:w="1143" w:type="dxa"/>
            <w:tcBorders>
              <w:top w:val="nil"/>
              <w:left w:val="nil"/>
              <w:bottom w:val="single" w:sz="4" w:space="0" w:color="auto"/>
              <w:right w:val="single" w:sz="4" w:space="0" w:color="auto"/>
            </w:tcBorders>
            <w:shd w:val="clear" w:color="auto" w:fill="auto"/>
            <w:vAlign w:val="center"/>
            <w:hideMark/>
          </w:tcPr>
          <w:p w14:paraId="3450D00B"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21,1</w:t>
            </w:r>
          </w:p>
        </w:tc>
        <w:tc>
          <w:tcPr>
            <w:tcW w:w="1200" w:type="dxa"/>
            <w:tcBorders>
              <w:top w:val="nil"/>
              <w:left w:val="nil"/>
              <w:bottom w:val="single" w:sz="4" w:space="0" w:color="auto"/>
              <w:right w:val="single" w:sz="4" w:space="0" w:color="auto"/>
            </w:tcBorders>
            <w:shd w:val="clear" w:color="auto" w:fill="auto"/>
            <w:vAlign w:val="center"/>
            <w:hideMark/>
          </w:tcPr>
          <w:p w14:paraId="1B49FFCE"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10,7</w:t>
            </w:r>
          </w:p>
        </w:tc>
        <w:tc>
          <w:tcPr>
            <w:tcW w:w="721" w:type="dxa"/>
            <w:tcBorders>
              <w:top w:val="nil"/>
              <w:left w:val="nil"/>
              <w:bottom w:val="single" w:sz="4" w:space="0" w:color="auto"/>
              <w:right w:val="single" w:sz="4" w:space="0" w:color="auto"/>
            </w:tcBorders>
            <w:shd w:val="clear" w:color="auto" w:fill="auto"/>
            <w:vAlign w:val="center"/>
            <w:hideMark/>
          </w:tcPr>
          <w:p w14:paraId="00E73218"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181,4</w:t>
            </w:r>
          </w:p>
        </w:tc>
        <w:tc>
          <w:tcPr>
            <w:tcW w:w="721" w:type="dxa"/>
            <w:tcBorders>
              <w:top w:val="nil"/>
              <w:left w:val="nil"/>
              <w:bottom w:val="single" w:sz="4" w:space="0" w:color="auto"/>
              <w:right w:val="single" w:sz="4" w:space="0" w:color="auto"/>
            </w:tcBorders>
            <w:shd w:val="clear" w:color="auto" w:fill="auto"/>
            <w:vAlign w:val="center"/>
            <w:hideMark/>
          </w:tcPr>
          <w:p w14:paraId="4079754C"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1 613,7</w:t>
            </w:r>
          </w:p>
        </w:tc>
        <w:tc>
          <w:tcPr>
            <w:tcW w:w="698" w:type="dxa"/>
            <w:tcBorders>
              <w:top w:val="nil"/>
              <w:left w:val="nil"/>
              <w:bottom w:val="single" w:sz="4" w:space="0" w:color="auto"/>
              <w:right w:val="single" w:sz="4" w:space="0" w:color="auto"/>
            </w:tcBorders>
            <w:shd w:val="clear" w:color="auto" w:fill="auto"/>
            <w:vAlign w:val="center"/>
            <w:hideMark/>
          </w:tcPr>
          <w:p w14:paraId="0E95AF64"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1,3</w:t>
            </w:r>
          </w:p>
        </w:tc>
        <w:tc>
          <w:tcPr>
            <w:tcW w:w="765" w:type="dxa"/>
            <w:tcBorders>
              <w:top w:val="nil"/>
              <w:left w:val="nil"/>
              <w:bottom w:val="single" w:sz="4" w:space="0" w:color="auto"/>
              <w:right w:val="single" w:sz="4" w:space="0" w:color="auto"/>
            </w:tcBorders>
            <w:shd w:val="clear" w:color="auto" w:fill="auto"/>
            <w:vAlign w:val="center"/>
            <w:hideMark/>
          </w:tcPr>
          <w:p w14:paraId="1F7658E9"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1 796,5</w:t>
            </w:r>
          </w:p>
        </w:tc>
        <w:tc>
          <w:tcPr>
            <w:tcW w:w="970" w:type="dxa"/>
            <w:tcBorders>
              <w:top w:val="nil"/>
              <w:left w:val="nil"/>
              <w:bottom w:val="single" w:sz="4" w:space="0" w:color="auto"/>
              <w:right w:val="single" w:sz="4" w:space="0" w:color="auto"/>
            </w:tcBorders>
            <w:shd w:val="clear" w:color="auto" w:fill="auto"/>
            <w:vAlign w:val="center"/>
            <w:hideMark/>
          </w:tcPr>
          <w:p w14:paraId="1A3DA45C" w14:textId="77777777" w:rsidR="00F00781" w:rsidRPr="00F00781" w:rsidRDefault="00F00781" w:rsidP="00F00781">
            <w:pPr>
              <w:rPr>
                <w:rFonts w:ascii="Arial Narrow" w:hAnsi="Arial Narrow" w:cs="Calibri"/>
                <w:sz w:val="14"/>
                <w:szCs w:val="14"/>
              </w:rPr>
            </w:pPr>
            <w:r w:rsidRPr="00F00781">
              <w:rPr>
                <w:rFonts w:ascii="Arial Narrow" w:hAnsi="Arial Narrow" w:cs="Calibri"/>
                <w:sz w:val="14"/>
                <w:szCs w:val="14"/>
              </w:rPr>
              <w:t> </w:t>
            </w:r>
          </w:p>
        </w:tc>
        <w:tc>
          <w:tcPr>
            <w:tcW w:w="602" w:type="dxa"/>
            <w:tcBorders>
              <w:top w:val="nil"/>
              <w:left w:val="nil"/>
              <w:bottom w:val="single" w:sz="4" w:space="0" w:color="auto"/>
              <w:right w:val="single" w:sz="4" w:space="0" w:color="auto"/>
            </w:tcBorders>
            <w:shd w:val="clear" w:color="auto" w:fill="auto"/>
            <w:vAlign w:val="center"/>
            <w:hideMark/>
          </w:tcPr>
          <w:p w14:paraId="49D71C5D"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531,1</w:t>
            </w:r>
          </w:p>
        </w:tc>
        <w:tc>
          <w:tcPr>
            <w:tcW w:w="697" w:type="dxa"/>
            <w:tcBorders>
              <w:top w:val="nil"/>
              <w:left w:val="nil"/>
              <w:bottom w:val="single" w:sz="4" w:space="0" w:color="auto"/>
              <w:right w:val="single" w:sz="4" w:space="0" w:color="auto"/>
            </w:tcBorders>
            <w:shd w:val="clear" w:color="auto" w:fill="auto"/>
            <w:vAlign w:val="center"/>
            <w:hideMark/>
          </w:tcPr>
          <w:p w14:paraId="5C67E570"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-111,8</w:t>
            </w:r>
          </w:p>
        </w:tc>
        <w:tc>
          <w:tcPr>
            <w:tcW w:w="869" w:type="dxa"/>
            <w:tcBorders>
              <w:top w:val="nil"/>
              <w:left w:val="nil"/>
              <w:bottom w:val="single" w:sz="4" w:space="0" w:color="auto"/>
              <w:right w:val="single" w:sz="4" w:space="0" w:color="auto"/>
            </w:tcBorders>
            <w:shd w:val="clear" w:color="auto" w:fill="auto"/>
            <w:vAlign w:val="center"/>
            <w:hideMark/>
          </w:tcPr>
          <w:p w14:paraId="18D9E8BC"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1 723,2</w:t>
            </w:r>
          </w:p>
        </w:tc>
      </w:tr>
      <w:tr w:rsidR="00F00781" w:rsidRPr="00F00781" w14:paraId="06632B16" w14:textId="77777777" w:rsidTr="00E01BBF">
        <w:trPr>
          <w:trHeight w:val="196"/>
        </w:trPr>
        <w:tc>
          <w:tcPr>
            <w:tcW w:w="632" w:type="dxa"/>
            <w:tcBorders>
              <w:top w:val="nil"/>
              <w:left w:val="single" w:sz="4" w:space="0" w:color="auto"/>
              <w:bottom w:val="single" w:sz="4" w:space="0" w:color="auto"/>
              <w:right w:val="single" w:sz="4" w:space="0" w:color="auto"/>
            </w:tcBorders>
            <w:shd w:val="clear" w:color="auto" w:fill="auto"/>
            <w:vAlign w:val="center"/>
            <w:hideMark/>
          </w:tcPr>
          <w:p w14:paraId="06965BEE" w14:textId="77777777" w:rsidR="00F00781" w:rsidRPr="00F00781" w:rsidRDefault="00F00781" w:rsidP="00F00781">
            <w:pPr>
              <w:rPr>
                <w:rFonts w:ascii="Arial Narrow" w:hAnsi="Arial Narrow" w:cs="Calibri"/>
                <w:sz w:val="14"/>
                <w:szCs w:val="14"/>
              </w:rPr>
            </w:pPr>
            <w:r w:rsidRPr="00F00781">
              <w:rPr>
                <w:rFonts w:ascii="Arial Narrow" w:hAnsi="Arial Narrow" w:cs="Calibri"/>
                <w:sz w:val="14"/>
                <w:szCs w:val="14"/>
              </w:rPr>
              <w:t xml:space="preserve"> 02.1</w:t>
            </w:r>
          </w:p>
        </w:tc>
        <w:tc>
          <w:tcPr>
            <w:tcW w:w="1671" w:type="dxa"/>
            <w:tcBorders>
              <w:top w:val="nil"/>
              <w:left w:val="nil"/>
              <w:bottom w:val="single" w:sz="4" w:space="0" w:color="auto"/>
              <w:right w:val="single" w:sz="4" w:space="0" w:color="auto"/>
            </w:tcBorders>
            <w:shd w:val="clear" w:color="auto" w:fill="auto"/>
            <w:vAlign w:val="center"/>
            <w:hideMark/>
          </w:tcPr>
          <w:p w14:paraId="51517E9E" w14:textId="77777777" w:rsidR="00F00781" w:rsidRPr="00F00781" w:rsidRDefault="00F00781" w:rsidP="00F00781">
            <w:pPr>
              <w:ind w:firstLineChars="100" w:firstLine="140"/>
              <w:rPr>
                <w:rFonts w:ascii="Arial Narrow" w:hAnsi="Arial Narrow" w:cs="Calibri"/>
                <w:sz w:val="14"/>
                <w:szCs w:val="14"/>
              </w:rPr>
            </w:pPr>
            <w:r w:rsidRPr="00F00781">
              <w:rPr>
                <w:rFonts w:ascii="Arial Narrow" w:hAnsi="Arial Narrow" w:cs="Calibri"/>
                <w:sz w:val="14"/>
                <w:szCs w:val="14"/>
              </w:rPr>
              <w:t>Маслодайни семена</w:t>
            </w:r>
          </w:p>
        </w:tc>
        <w:tc>
          <w:tcPr>
            <w:tcW w:w="773" w:type="dxa"/>
            <w:tcBorders>
              <w:top w:val="nil"/>
              <w:left w:val="nil"/>
              <w:bottom w:val="single" w:sz="4" w:space="0" w:color="auto"/>
              <w:right w:val="single" w:sz="4" w:space="0" w:color="auto"/>
            </w:tcBorders>
            <w:shd w:val="clear" w:color="auto" w:fill="auto"/>
            <w:vAlign w:val="center"/>
            <w:hideMark/>
          </w:tcPr>
          <w:p w14:paraId="3E736657"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1 552,2</w:t>
            </w:r>
          </w:p>
        </w:tc>
        <w:tc>
          <w:tcPr>
            <w:tcW w:w="582" w:type="dxa"/>
            <w:tcBorders>
              <w:top w:val="nil"/>
              <w:left w:val="nil"/>
              <w:bottom w:val="single" w:sz="4" w:space="0" w:color="auto"/>
              <w:right w:val="single" w:sz="4" w:space="0" w:color="auto"/>
            </w:tcBorders>
            <w:shd w:val="clear" w:color="auto" w:fill="auto"/>
            <w:vAlign w:val="center"/>
            <w:hideMark/>
          </w:tcPr>
          <w:p w14:paraId="6C29E381"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1,4</w:t>
            </w:r>
          </w:p>
        </w:tc>
        <w:tc>
          <w:tcPr>
            <w:tcW w:w="681" w:type="dxa"/>
            <w:tcBorders>
              <w:top w:val="nil"/>
              <w:left w:val="nil"/>
              <w:bottom w:val="single" w:sz="4" w:space="0" w:color="auto"/>
              <w:right w:val="single" w:sz="4" w:space="0" w:color="auto"/>
            </w:tcBorders>
            <w:shd w:val="clear" w:color="auto" w:fill="auto"/>
            <w:vAlign w:val="center"/>
            <w:hideMark/>
          </w:tcPr>
          <w:p w14:paraId="1E09CC25"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588,1</w:t>
            </w:r>
          </w:p>
        </w:tc>
        <w:tc>
          <w:tcPr>
            <w:tcW w:w="789" w:type="dxa"/>
            <w:tcBorders>
              <w:top w:val="nil"/>
              <w:left w:val="nil"/>
              <w:bottom w:val="single" w:sz="4" w:space="0" w:color="auto"/>
              <w:right w:val="single" w:sz="4" w:space="0" w:color="auto"/>
            </w:tcBorders>
            <w:shd w:val="clear" w:color="auto" w:fill="auto"/>
            <w:vAlign w:val="center"/>
            <w:hideMark/>
          </w:tcPr>
          <w:p w14:paraId="78E959B7"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1,9</w:t>
            </w:r>
          </w:p>
        </w:tc>
        <w:tc>
          <w:tcPr>
            <w:tcW w:w="693" w:type="dxa"/>
            <w:tcBorders>
              <w:top w:val="nil"/>
              <w:left w:val="nil"/>
              <w:bottom w:val="single" w:sz="4" w:space="0" w:color="auto"/>
              <w:right w:val="single" w:sz="4" w:space="0" w:color="auto"/>
            </w:tcBorders>
            <w:shd w:val="clear" w:color="auto" w:fill="auto"/>
            <w:vAlign w:val="center"/>
            <w:hideMark/>
          </w:tcPr>
          <w:p w14:paraId="2B23BD1D"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3,6</w:t>
            </w:r>
          </w:p>
        </w:tc>
        <w:tc>
          <w:tcPr>
            <w:tcW w:w="537" w:type="dxa"/>
            <w:tcBorders>
              <w:top w:val="nil"/>
              <w:left w:val="nil"/>
              <w:bottom w:val="single" w:sz="4" w:space="0" w:color="auto"/>
              <w:right w:val="single" w:sz="4" w:space="0" w:color="auto"/>
            </w:tcBorders>
            <w:shd w:val="clear" w:color="auto" w:fill="auto"/>
            <w:vAlign w:val="center"/>
            <w:hideMark/>
          </w:tcPr>
          <w:p w14:paraId="151AD04A"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1,0</w:t>
            </w:r>
          </w:p>
        </w:tc>
        <w:tc>
          <w:tcPr>
            <w:tcW w:w="1143" w:type="dxa"/>
            <w:tcBorders>
              <w:top w:val="nil"/>
              <w:left w:val="nil"/>
              <w:bottom w:val="single" w:sz="4" w:space="0" w:color="auto"/>
              <w:right w:val="single" w:sz="4" w:space="0" w:color="auto"/>
            </w:tcBorders>
            <w:shd w:val="clear" w:color="auto" w:fill="auto"/>
            <w:vAlign w:val="center"/>
            <w:hideMark/>
          </w:tcPr>
          <w:p w14:paraId="40B556B0"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0,4</w:t>
            </w:r>
          </w:p>
        </w:tc>
        <w:tc>
          <w:tcPr>
            <w:tcW w:w="1200" w:type="dxa"/>
            <w:tcBorders>
              <w:top w:val="nil"/>
              <w:left w:val="nil"/>
              <w:bottom w:val="single" w:sz="4" w:space="0" w:color="auto"/>
              <w:right w:val="single" w:sz="4" w:space="0" w:color="auto"/>
            </w:tcBorders>
            <w:shd w:val="clear" w:color="auto" w:fill="auto"/>
            <w:vAlign w:val="center"/>
            <w:hideMark/>
          </w:tcPr>
          <w:p w14:paraId="07CB736F"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3,5</w:t>
            </w:r>
          </w:p>
        </w:tc>
        <w:tc>
          <w:tcPr>
            <w:tcW w:w="721" w:type="dxa"/>
            <w:tcBorders>
              <w:top w:val="nil"/>
              <w:left w:val="nil"/>
              <w:bottom w:val="single" w:sz="4" w:space="0" w:color="auto"/>
              <w:right w:val="single" w:sz="4" w:space="0" w:color="auto"/>
            </w:tcBorders>
            <w:shd w:val="clear" w:color="auto" w:fill="auto"/>
            <w:vAlign w:val="center"/>
            <w:hideMark/>
          </w:tcPr>
          <w:p w14:paraId="23182678"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153,4</w:t>
            </w:r>
          </w:p>
        </w:tc>
        <w:tc>
          <w:tcPr>
            <w:tcW w:w="721" w:type="dxa"/>
            <w:tcBorders>
              <w:top w:val="nil"/>
              <w:left w:val="nil"/>
              <w:bottom w:val="single" w:sz="4" w:space="0" w:color="auto"/>
              <w:right w:val="single" w:sz="4" w:space="0" w:color="auto"/>
            </w:tcBorders>
            <w:shd w:val="clear" w:color="auto" w:fill="auto"/>
            <w:vAlign w:val="center"/>
            <w:hideMark/>
          </w:tcPr>
          <w:p w14:paraId="70888575"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1 483,9</w:t>
            </w:r>
          </w:p>
        </w:tc>
        <w:tc>
          <w:tcPr>
            <w:tcW w:w="698" w:type="dxa"/>
            <w:tcBorders>
              <w:top w:val="nil"/>
              <w:left w:val="nil"/>
              <w:bottom w:val="single" w:sz="4" w:space="0" w:color="auto"/>
              <w:right w:val="single" w:sz="4" w:space="0" w:color="auto"/>
            </w:tcBorders>
            <w:shd w:val="clear" w:color="auto" w:fill="auto"/>
            <w:vAlign w:val="center"/>
            <w:hideMark/>
          </w:tcPr>
          <w:p w14:paraId="4074DEBA"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0,9</w:t>
            </w:r>
          </w:p>
        </w:tc>
        <w:tc>
          <w:tcPr>
            <w:tcW w:w="765" w:type="dxa"/>
            <w:tcBorders>
              <w:top w:val="nil"/>
              <w:left w:val="nil"/>
              <w:bottom w:val="single" w:sz="4" w:space="0" w:color="auto"/>
              <w:right w:val="single" w:sz="4" w:space="0" w:color="auto"/>
            </w:tcBorders>
            <w:shd w:val="clear" w:color="auto" w:fill="auto"/>
            <w:vAlign w:val="center"/>
            <w:hideMark/>
          </w:tcPr>
          <w:p w14:paraId="5E915DE9"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1 638,2</w:t>
            </w:r>
          </w:p>
        </w:tc>
        <w:tc>
          <w:tcPr>
            <w:tcW w:w="970" w:type="dxa"/>
            <w:tcBorders>
              <w:top w:val="nil"/>
              <w:left w:val="nil"/>
              <w:bottom w:val="single" w:sz="4" w:space="0" w:color="auto"/>
              <w:right w:val="single" w:sz="4" w:space="0" w:color="auto"/>
            </w:tcBorders>
            <w:shd w:val="clear" w:color="auto" w:fill="auto"/>
            <w:vAlign w:val="center"/>
            <w:hideMark/>
          </w:tcPr>
          <w:p w14:paraId="09CC9368" w14:textId="77777777" w:rsidR="00F00781" w:rsidRPr="00F00781" w:rsidRDefault="00F00781" w:rsidP="00F00781">
            <w:pPr>
              <w:rPr>
                <w:rFonts w:ascii="Arial Narrow" w:hAnsi="Arial Narrow" w:cs="Calibri"/>
                <w:sz w:val="14"/>
                <w:szCs w:val="14"/>
              </w:rPr>
            </w:pPr>
            <w:r w:rsidRPr="00F00781">
              <w:rPr>
                <w:rFonts w:ascii="Arial Narrow" w:hAnsi="Arial Narrow" w:cs="Calibri"/>
                <w:sz w:val="14"/>
                <w:szCs w:val="14"/>
              </w:rPr>
              <w:t> </w:t>
            </w:r>
          </w:p>
        </w:tc>
        <w:tc>
          <w:tcPr>
            <w:tcW w:w="602" w:type="dxa"/>
            <w:tcBorders>
              <w:top w:val="nil"/>
              <w:left w:val="nil"/>
              <w:bottom w:val="single" w:sz="4" w:space="0" w:color="auto"/>
              <w:right w:val="single" w:sz="4" w:space="0" w:color="auto"/>
            </w:tcBorders>
            <w:shd w:val="clear" w:color="auto" w:fill="auto"/>
            <w:vAlign w:val="center"/>
            <w:hideMark/>
          </w:tcPr>
          <w:p w14:paraId="083FB581"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490,3</w:t>
            </w:r>
          </w:p>
        </w:tc>
        <w:tc>
          <w:tcPr>
            <w:tcW w:w="697" w:type="dxa"/>
            <w:tcBorders>
              <w:top w:val="nil"/>
              <w:left w:val="nil"/>
              <w:bottom w:val="single" w:sz="4" w:space="0" w:color="auto"/>
              <w:right w:val="single" w:sz="4" w:space="0" w:color="auto"/>
            </w:tcBorders>
            <w:shd w:val="clear" w:color="auto" w:fill="auto"/>
            <w:vAlign w:val="center"/>
            <w:hideMark/>
          </w:tcPr>
          <w:p w14:paraId="0F22DC99"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-97,7</w:t>
            </w:r>
          </w:p>
        </w:tc>
        <w:tc>
          <w:tcPr>
            <w:tcW w:w="869" w:type="dxa"/>
            <w:tcBorders>
              <w:top w:val="nil"/>
              <w:left w:val="nil"/>
              <w:bottom w:val="single" w:sz="4" w:space="0" w:color="auto"/>
              <w:right w:val="single" w:sz="4" w:space="0" w:color="auto"/>
            </w:tcBorders>
            <w:shd w:val="clear" w:color="auto" w:fill="auto"/>
            <w:vAlign w:val="center"/>
            <w:hideMark/>
          </w:tcPr>
          <w:p w14:paraId="47759F0A"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1 547,9</w:t>
            </w:r>
          </w:p>
        </w:tc>
      </w:tr>
      <w:tr w:rsidR="00F00781" w:rsidRPr="00F00781" w14:paraId="765F9555" w14:textId="77777777" w:rsidTr="00E01BBF">
        <w:trPr>
          <w:trHeight w:val="196"/>
        </w:trPr>
        <w:tc>
          <w:tcPr>
            <w:tcW w:w="632" w:type="dxa"/>
            <w:tcBorders>
              <w:top w:val="nil"/>
              <w:left w:val="single" w:sz="4" w:space="0" w:color="auto"/>
              <w:bottom w:val="single" w:sz="4" w:space="0" w:color="auto"/>
              <w:right w:val="single" w:sz="4" w:space="0" w:color="auto"/>
            </w:tcBorders>
            <w:shd w:val="clear" w:color="auto" w:fill="auto"/>
            <w:vAlign w:val="center"/>
            <w:hideMark/>
          </w:tcPr>
          <w:p w14:paraId="2578A66A" w14:textId="77777777" w:rsidR="00F00781" w:rsidRPr="00F00781" w:rsidRDefault="00F00781" w:rsidP="00F00781">
            <w:pPr>
              <w:rPr>
                <w:rFonts w:ascii="Arial Narrow" w:hAnsi="Arial Narrow" w:cs="Calibri"/>
                <w:sz w:val="14"/>
                <w:szCs w:val="14"/>
              </w:rPr>
            </w:pPr>
            <w:r w:rsidRPr="00F00781">
              <w:rPr>
                <w:rFonts w:ascii="Arial Narrow" w:hAnsi="Arial Narrow" w:cs="Calibri"/>
                <w:sz w:val="14"/>
                <w:szCs w:val="14"/>
              </w:rPr>
              <w:t xml:space="preserve"> 02.1/1</w:t>
            </w:r>
          </w:p>
        </w:tc>
        <w:tc>
          <w:tcPr>
            <w:tcW w:w="1671" w:type="dxa"/>
            <w:tcBorders>
              <w:top w:val="nil"/>
              <w:left w:val="nil"/>
              <w:bottom w:val="single" w:sz="4" w:space="0" w:color="auto"/>
              <w:right w:val="single" w:sz="4" w:space="0" w:color="auto"/>
            </w:tcBorders>
            <w:shd w:val="clear" w:color="auto" w:fill="auto"/>
            <w:vAlign w:val="center"/>
            <w:hideMark/>
          </w:tcPr>
          <w:p w14:paraId="2094E58F" w14:textId="77777777" w:rsidR="00F00781" w:rsidRPr="00F00781" w:rsidRDefault="00F00781" w:rsidP="00F00781">
            <w:pPr>
              <w:ind w:firstLineChars="200" w:firstLine="280"/>
              <w:rPr>
                <w:rFonts w:ascii="Arial Narrow" w:hAnsi="Arial Narrow" w:cs="Calibri"/>
                <w:sz w:val="14"/>
                <w:szCs w:val="14"/>
              </w:rPr>
            </w:pPr>
            <w:r w:rsidRPr="00F00781">
              <w:rPr>
                <w:rFonts w:ascii="Arial Narrow" w:hAnsi="Arial Narrow" w:cs="Calibri"/>
                <w:sz w:val="14"/>
                <w:szCs w:val="14"/>
              </w:rPr>
              <w:t>Рапица и репица</w:t>
            </w:r>
          </w:p>
        </w:tc>
        <w:tc>
          <w:tcPr>
            <w:tcW w:w="773" w:type="dxa"/>
            <w:tcBorders>
              <w:top w:val="nil"/>
              <w:left w:val="nil"/>
              <w:bottom w:val="single" w:sz="4" w:space="0" w:color="auto"/>
              <w:right w:val="single" w:sz="4" w:space="0" w:color="auto"/>
            </w:tcBorders>
            <w:shd w:val="clear" w:color="auto" w:fill="auto"/>
            <w:vAlign w:val="center"/>
            <w:hideMark/>
          </w:tcPr>
          <w:p w14:paraId="0B376982"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136,0</w:t>
            </w:r>
          </w:p>
        </w:tc>
        <w:tc>
          <w:tcPr>
            <w:tcW w:w="582" w:type="dxa"/>
            <w:tcBorders>
              <w:top w:val="nil"/>
              <w:left w:val="nil"/>
              <w:bottom w:val="single" w:sz="4" w:space="0" w:color="auto"/>
              <w:right w:val="single" w:sz="4" w:space="0" w:color="auto"/>
            </w:tcBorders>
            <w:shd w:val="clear" w:color="auto" w:fill="auto"/>
            <w:vAlign w:val="center"/>
            <w:hideMark/>
          </w:tcPr>
          <w:p w14:paraId="67D7496F" w14:textId="77777777" w:rsidR="00F00781" w:rsidRPr="00F00781" w:rsidRDefault="00F00781" w:rsidP="00F00781">
            <w:pPr>
              <w:rPr>
                <w:rFonts w:ascii="Arial Narrow" w:hAnsi="Arial Narrow" w:cs="Calibri"/>
                <w:sz w:val="14"/>
                <w:szCs w:val="14"/>
              </w:rPr>
            </w:pPr>
            <w:r w:rsidRPr="00F00781">
              <w:rPr>
                <w:rFonts w:ascii="Arial Narrow" w:hAnsi="Arial Narrow" w:cs="Calibri"/>
                <w:sz w:val="14"/>
                <w:szCs w:val="14"/>
              </w:rPr>
              <w:t> </w:t>
            </w:r>
          </w:p>
        </w:tc>
        <w:tc>
          <w:tcPr>
            <w:tcW w:w="681" w:type="dxa"/>
            <w:tcBorders>
              <w:top w:val="nil"/>
              <w:left w:val="nil"/>
              <w:bottom w:val="single" w:sz="4" w:space="0" w:color="auto"/>
              <w:right w:val="single" w:sz="4" w:space="0" w:color="auto"/>
            </w:tcBorders>
            <w:shd w:val="clear" w:color="auto" w:fill="auto"/>
            <w:vAlign w:val="center"/>
            <w:hideMark/>
          </w:tcPr>
          <w:p w14:paraId="492923C8"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8,6</w:t>
            </w:r>
          </w:p>
        </w:tc>
        <w:tc>
          <w:tcPr>
            <w:tcW w:w="789" w:type="dxa"/>
            <w:tcBorders>
              <w:top w:val="nil"/>
              <w:left w:val="nil"/>
              <w:bottom w:val="single" w:sz="4" w:space="0" w:color="auto"/>
              <w:right w:val="single" w:sz="4" w:space="0" w:color="auto"/>
            </w:tcBorders>
            <w:shd w:val="clear" w:color="auto" w:fill="auto"/>
            <w:vAlign w:val="center"/>
            <w:hideMark/>
          </w:tcPr>
          <w:p w14:paraId="4A4E7E2E"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0,3</w:t>
            </w:r>
          </w:p>
        </w:tc>
        <w:tc>
          <w:tcPr>
            <w:tcW w:w="693" w:type="dxa"/>
            <w:tcBorders>
              <w:top w:val="nil"/>
              <w:left w:val="nil"/>
              <w:bottom w:val="single" w:sz="4" w:space="0" w:color="auto"/>
              <w:right w:val="single" w:sz="4" w:space="0" w:color="auto"/>
            </w:tcBorders>
            <w:shd w:val="clear" w:color="auto" w:fill="auto"/>
            <w:vAlign w:val="center"/>
            <w:hideMark/>
          </w:tcPr>
          <w:p w14:paraId="404B9256" w14:textId="77777777" w:rsidR="00F00781" w:rsidRPr="00F00781" w:rsidRDefault="00F00781" w:rsidP="00F00781">
            <w:pPr>
              <w:rPr>
                <w:rFonts w:ascii="Arial Narrow" w:hAnsi="Arial Narrow" w:cs="Calibri"/>
                <w:sz w:val="14"/>
                <w:szCs w:val="14"/>
              </w:rPr>
            </w:pPr>
            <w:r w:rsidRPr="00F00781">
              <w:rPr>
                <w:rFonts w:ascii="Arial Narrow" w:hAnsi="Arial Narrow" w:cs="Calibri"/>
                <w:sz w:val="14"/>
                <w:szCs w:val="14"/>
              </w:rPr>
              <w:t> </w:t>
            </w:r>
          </w:p>
        </w:tc>
        <w:tc>
          <w:tcPr>
            <w:tcW w:w="537" w:type="dxa"/>
            <w:tcBorders>
              <w:top w:val="nil"/>
              <w:left w:val="nil"/>
              <w:bottom w:val="single" w:sz="4" w:space="0" w:color="auto"/>
              <w:right w:val="single" w:sz="4" w:space="0" w:color="auto"/>
            </w:tcBorders>
            <w:shd w:val="clear" w:color="auto" w:fill="auto"/>
            <w:vAlign w:val="center"/>
            <w:hideMark/>
          </w:tcPr>
          <w:p w14:paraId="2E39CF1A"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0,1</w:t>
            </w:r>
          </w:p>
        </w:tc>
        <w:tc>
          <w:tcPr>
            <w:tcW w:w="1143" w:type="dxa"/>
            <w:tcBorders>
              <w:top w:val="nil"/>
              <w:left w:val="nil"/>
              <w:bottom w:val="single" w:sz="4" w:space="0" w:color="auto"/>
              <w:right w:val="single" w:sz="4" w:space="0" w:color="auto"/>
            </w:tcBorders>
            <w:shd w:val="clear" w:color="auto" w:fill="auto"/>
            <w:vAlign w:val="center"/>
            <w:hideMark/>
          </w:tcPr>
          <w:p w14:paraId="7ACAD476" w14:textId="77777777" w:rsidR="00F00781" w:rsidRPr="00F00781" w:rsidRDefault="00F00781" w:rsidP="00F00781">
            <w:pPr>
              <w:rPr>
                <w:rFonts w:ascii="Arial Narrow" w:hAnsi="Arial Narrow" w:cs="Calibri"/>
                <w:sz w:val="14"/>
                <w:szCs w:val="14"/>
              </w:rPr>
            </w:pPr>
            <w:r w:rsidRPr="00F00781">
              <w:rPr>
                <w:rFonts w:ascii="Arial Narrow" w:hAnsi="Arial Narrow" w:cs="Calibri"/>
                <w:sz w:val="14"/>
                <w:szCs w:val="14"/>
              </w:rPr>
              <w:t> </w:t>
            </w:r>
          </w:p>
        </w:tc>
        <w:tc>
          <w:tcPr>
            <w:tcW w:w="1200" w:type="dxa"/>
            <w:tcBorders>
              <w:top w:val="nil"/>
              <w:left w:val="nil"/>
              <w:bottom w:val="single" w:sz="4" w:space="0" w:color="auto"/>
              <w:right w:val="single" w:sz="4" w:space="0" w:color="auto"/>
            </w:tcBorders>
            <w:shd w:val="clear" w:color="auto" w:fill="auto"/>
            <w:vAlign w:val="center"/>
            <w:hideMark/>
          </w:tcPr>
          <w:p w14:paraId="52459FAA" w14:textId="77777777" w:rsidR="00F00781" w:rsidRPr="00F00781" w:rsidRDefault="00F00781" w:rsidP="00F00781">
            <w:pPr>
              <w:rPr>
                <w:rFonts w:ascii="Arial Narrow" w:hAnsi="Arial Narrow" w:cs="Calibri"/>
                <w:sz w:val="14"/>
                <w:szCs w:val="14"/>
              </w:rPr>
            </w:pPr>
            <w:r w:rsidRPr="00F00781">
              <w:rPr>
                <w:rFonts w:ascii="Arial Narrow" w:hAnsi="Arial Narrow" w:cs="Calibri"/>
                <w:sz w:val="14"/>
                <w:szCs w:val="14"/>
              </w:rPr>
              <w:t> </w:t>
            </w:r>
          </w:p>
        </w:tc>
        <w:tc>
          <w:tcPr>
            <w:tcW w:w="721" w:type="dxa"/>
            <w:tcBorders>
              <w:top w:val="nil"/>
              <w:left w:val="nil"/>
              <w:bottom w:val="single" w:sz="4" w:space="0" w:color="auto"/>
              <w:right w:val="single" w:sz="4" w:space="0" w:color="auto"/>
            </w:tcBorders>
            <w:shd w:val="clear" w:color="auto" w:fill="auto"/>
            <w:vAlign w:val="center"/>
            <w:hideMark/>
          </w:tcPr>
          <w:p w14:paraId="540B0CB5"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17,4</w:t>
            </w:r>
          </w:p>
        </w:tc>
        <w:tc>
          <w:tcPr>
            <w:tcW w:w="721" w:type="dxa"/>
            <w:tcBorders>
              <w:top w:val="nil"/>
              <w:left w:val="nil"/>
              <w:bottom w:val="single" w:sz="4" w:space="0" w:color="auto"/>
              <w:right w:val="single" w:sz="4" w:space="0" w:color="auto"/>
            </w:tcBorders>
            <w:shd w:val="clear" w:color="auto" w:fill="auto"/>
            <w:vAlign w:val="center"/>
            <w:hideMark/>
          </w:tcPr>
          <w:p w14:paraId="46F34E53"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119,4</w:t>
            </w:r>
          </w:p>
        </w:tc>
        <w:tc>
          <w:tcPr>
            <w:tcW w:w="698" w:type="dxa"/>
            <w:tcBorders>
              <w:top w:val="nil"/>
              <w:left w:val="nil"/>
              <w:bottom w:val="single" w:sz="4" w:space="0" w:color="auto"/>
              <w:right w:val="single" w:sz="4" w:space="0" w:color="auto"/>
            </w:tcBorders>
            <w:shd w:val="clear" w:color="auto" w:fill="auto"/>
            <w:vAlign w:val="center"/>
            <w:hideMark/>
          </w:tcPr>
          <w:p w14:paraId="7F10A66F"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0,1</w:t>
            </w:r>
          </w:p>
        </w:tc>
        <w:tc>
          <w:tcPr>
            <w:tcW w:w="765" w:type="dxa"/>
            <w:tcBorders>
              <w:top w:val="nil"/>
              <w:left w:val="nil"/>
              <w:bottom w:val="single" w:sz="4" w:space="0" w:color="auto"/>
              <w:right w:val="single" w:sz="4" w:space="0" w:color="auto"/>
            </w:tcBorders>
            <w:shd w:val="clear" w:color="auto" w:fill="auto"/>
            <w:vAlign w:val="center"/>
            <w:hideMark/>
          </w:tcPr>
          <w:p w14:paraId="3CCDD9D3"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136,9</w:t>
            </w:r>
          </w:p>
        </w:tc>
        <w:tc>
          <w:tcPr>
            <w:tcW w:w="970" w:type="dxa"/>
            <w:tcBorders>
              <w:top w:val="nil"/>
              <w:left w:val="nil"/>
              <w:bottom w:val="single" w:sz="4" w:space="0" w:color="auto"/>
              <w:right w:val="single" w:sz="4" w:space="0" w:color="auto"/>
            </w:tcBorders>
            <w:shd w:val="clear" w:color="auto" w:fill="auto"/>
            <w:vAlign w:val="center"/>
            <w:hideMark/>
          </w:tcPr>
          <w:p w14:paraId="402A43E7" w14:textId="77777777" w:rsidR="00F00781" w:rsidRPr="00F00781" w:rsidRDefault="00F00781" w:rsidP="00F00781">
            <w:pPr>
              <w:rPr>
                <w:rFonts w:ascii="Arial Narrow" w:hAnsi="Arial Narrow" w:cs="Calibri"/>
                <w:sz w:val="14"/>
                <w:szCs w:val="14"/>
              </w:rPr>
            </w:pPr>
            <w:r w:rsidRPr="00F00781">
              <w:rPr>
                <w:rFonts w:ascii="Arial Narrow" w:hAnsi="Arial Narrow" w:cs="Calibri"/>
                <w:sz w:val="14"/>
                <w:szCs w:val="14"/>
              </w:rPr>
              <w:t> </w:t>
            </w:r>
          </w:p>
        </w:tc>
        <w:tc>
          <w:tcPr>
            <w:tcW w:w="602" w:type="dxa"/>
            <w:tcBorders>
              <w:top w:val="nil"/>
              <w:left w:val="nil"/>
              <w:bottom w:val="single" w:sz="4" w:space="0" w:color="auto"/>
              <w:right w:val="single" w:sz="4" w:space="0" w:color="auto"/>
            </w:tcBorders>
            <w:shd w:val="clear" w:color="auto" w:fill="auto"/>
            <w:vAlign w:val="center"/>
            <w:hideMark/>
          </w:tcPr>
          <w:p w14:paraId="307BBD00"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7,3</w:t>
            </w:r>
          </w:p>
        </w:tc>
        <w:tc>
          <w:tcPr>
            <w:tcW w:w="697" w:type="dxa"/>
            <w:tcBorders>
              <w:top w:val="nil"/>
              <w:left w:val="nil"/>
              <w:bottom w:val="single" w:sz="4" w:space="0" w:color="auto"/>
              <w:right w:val="single" w:sz="4" w:space="0" w:color="auto"/>
            </w:tcBorders>
            <w:shd w:val="clear" w:color="auto" w:fill="auto"/>
            <w:vAlign w:val="center"/>
            <w:hideMark/>
          </w:tcPr>
          <w:p w14:paraId="160E78CD"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-1,3</w:t>
            </w:r>
          </w:p>
        </w:tc>
        <w:tc>
          <w:tcPr>
            <w:tcW w:w="869" w:type="dxa"/>
            <w:tcBorders>
              <w:top w:val="nil"/>
              <w:left w:val="nil"/>
              <w:bottom w:val="single" w:sz="4" w:space="0" w:color="auto"/>
              <w:right w:val="single" w:sz="4" w:space="0" w:color="auto"/>
            </w:tcBorders>
            <w:shd w:val="clear" w:color="auto" w:fill="auto"/>
            <w:vAlign w:val="center"/>
            <w:hideMark/>
          </w:tcPr>
          <w:p w14:paraId="443D151B"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135,6</w:t>
            </w:r>
          </w:p>
        </w:tc>
      </w:tr>
      <w:tr w:rsidR="00F00781" w:rsidRPr="00F00781" w14:paraId="583618E2" w14:textId="77777777" w:rsidTr="00E01BBF">
        <w:trPr>
          <w:trHeight w:val="196"/>
        </w:trPr>
        <w:tc>
          <w:tcPr>
            <w:tcW w:w="632" w:type="dxa"/>
            <w:tcBorders>
              <w:top w:val="nil"/>
              <w:left w:val="single" w:sz="4" w:space="0" w:color="auto"/>
              <w:bottom w:val="single" w:sz="4" w:space="0" w:color="auto"/>
              <w:right w:val="single" w:sz="4" w:space="0" w:color="auto"/>
            </w:tcBorders>
            <w:shd w:val="clear" w:color="auto" w:fill="auto"/>
            <w:vAlign w:val="center"/>
            <w:hideMark/>
          </w:tcPr>
          <w:p w14:paraId="4BF0C6A1" w14:textId="77777777" w:rsidR="00F00781" w:rsidRPr="00F00781" w:rsidRDefault="00F00781" w:rsidP="00F00781">
            <w:pPr>
              <w:rPr>
                <w:rFonts w:ascii="Arial Narrow" w:hAnsi="Arial Narrow" w:cs="Calibri"/>
                <w:sz w:val="14"/>
                <w:szCs w:val="14"/>
              </w:rPr>
            </w:pPr>
            <w:r w:rsidRPr="00F00781">
              <w:rPr>
                <w:rFonts w:ascii="Arial Narrow" w:hAnsi="Arial Narrow" w:cs="Calibri"/>
                <w:sz w:val="14"/>
                <w:szCs w:val="14"/>
              </w:rPr>
              <w:t xml:space="preserve"> 02.1/2</w:t>
            </w:r>
          </w:p>
        </w:tc>
        <w:tc>
          <w:tcPr>
            <w:tcW w:w="1671" w:type="dxa"/>
            <w:tcBorders>
              <w:top w:val="nil"/>
              <w:left w:val="nil"/>
              <w:bottom w:val="single" w:sz="4" w:space="0" w:color="auto"/>
              <w:right w:val="single" w:sz="4" w:space="0" w:color="auto"/>
            </w:tcBorders>
            <w:shd w:val="clear" w:color="auto" w:fill="auto"/>
            <w:vAlign w:val="center"/>
            <w:hideMark/>
          </w:tcPr>
          <w:p w14:paraId="6F00E5ED" w14:textId="77777777" w:rsidR="00F00781" w:rsidRPr="00F00781" w:rsidRDefault="00F00781" w:rsidP="00F00781">
            <w:pPr>
              <w:ind w:firstLineChars="200" w:firstLine="280"/>
              <w:rPr>
                <w:rFonts w:ascii="Arial Narrow" w:hAnsi="Arial Narrow" w:cs="Calibri"/>
                <w:sz w:val="14"/>
                <w:szCs w:val="14"/>
              </w:rPr>
            </w:pPr>
            <w:r w:rsidRPr="00F00781">
              <w:rPr>
                <w:rFonts w:ascii="Arial Narrow" w:hAnsi="Arial Narrow" w:cs="Calibri"/>
                <w:sz w:val="14"/>
                <w:szCs w:val="14"/>
              </w:rPr>
              <w:t>Слънчоглед</w:t>
            </w:r>
          </w:p>
        </w:tc>
        <w:tc>
          <w:tcPr>
            <w:tcW w:w="773" w:type="dxa"/>
            <w:tcBorders>
              <w:top w:val="nil"/>
              <w:left w:val="nil"/>
              <w:bottom w:val="single" w:sz="4" w:space="0" w:color="auto"/>
              <w:right w:val="single" w:sz="4" w:space="0" w:color="auto"/>
            </w:tcBorders>
            <w:shd w:val="clear" w:color="auto" w:fill="auto"/>
            <w:vAlign w:val="center"/>
            <w:hideMark/>
          </w:tcPr>
          <w:p w14:paraId="1081B454"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1 405,5</w:t>
            </w:r>
          </w:p>
        </w:tc>
        <w:tc>
          <w:tcPr>
            <w:tcW w:w="582" w:type="dxa"/>
            <w:tcBorders>
              <w:top w:val="nil"/>
              <w:left w:val="nil"/>
              <w:bottom w:val="single" w:sz="4" w:space="0" w:color="auto"/>
              <w:right w:val="single" w:sz="4" w:space="0" w:color="auto"/>
            </w:tcBorders>
            <w:shd w:val="clear" w:color="auto" w:fill="auto"/>
            <w:vAlign w:val="center"/>
            <w:hideMark/>
          </w:tcPr>
          <w:p w14:paraId="5AEFBE79"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1,4</w:t>
            </w:r>
          </w:p>
        </w:tc>
        <w:tc>
          <w:tcPr>
            <w:tcW w:w="681" w:type="dxa"/>
            <w:tcBorders>
              <w:top w:val="nil"/>
              <w:left w:val="nil"/>
              <w:bottom w:val="single" w:sz="4" w:space="0" w:color="auto"/>
              <w:right w:val="single" w:sz="4" w:space="0" w:color="auto"/>
            </w:tcBorders>
            <w:shd w:val="clear" w:color="auto" w:fill="auto"/>
            <w:vAlign w:val="center"/>
            <w:hideMark/>
          </w:tcPr>
          <w:p w14:paraId="3A6B1E7F"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571,8</w:t>
            </w:r>
          </w:p>
        </w:tc>
        <w:tc>
          <w:tcPr>
            <w:tcW w:w="789" w:type="dxa"/>
            <w:tcBorders>
              <w:top w:val="nil"/>
              <w:left w:val="nil"/>
              <w:bottom w:val="single" w:sz="4" w:space="0" w:color="auto"/>
              <w:right w:val="single" w:sz="4" w:space="0" w:color="auto"/>
            </w:tcBorders>
            <w:shd w:val="clear" w:color="auto" w:fill="auto"/>
            <w:vAlign w:val="center"/>
            <w:hideMark/>
          </w:tcPr>
          <w:p w14:paraId="3A7DAF40"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1,4</w:t>
            </w:r>
          </w:p>
        </w:tc>
        <w:tc>
          <w:tcPr>
            <w:tcW w:w="693" w:type="dxa"/>
            <w:tcBorders>
              <w:top w:val="nil"/>
              <w:left w:val="nil"/>
              <w:bottom w:val="single" w:sz="4" w:space="0" w:color="auto"/>
              <w:right w:val="single" w:sz="4" w:space="0" w:color="auto"/>
            </w:tcBorders>
            <w:shd w:val="clear" w:color="auto" w:fill="auto"/>
            <w:vAlign w:val="center"/>
            <w:hideMark/>
          </w:tcPr>
          <w:p w14:paraId="02B8FE2C"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3,5</w:t>
            </w:r>
          </w:p>
        </w:tc>
        <w:tc>
          <w:tcPr>
            <w:tcW w:w="537" w:type="dxa"/>
            <w:tcBorders>
              <w:top w:val="nil"/>
              <w:left w:val="nil"/>
              <w:bottom w:val="single" w:sz="4" w:space="0" w:color="auto"/>
              <w:right w:val="single" w:sz="4" w:space="0" w:color="auto"/>
            </w:tcBorders>
            <w:shd w:val="clear" w:color="auto" w:fill="auto"/>
            <w:vAlign w:val="center"/>
            <w:hideMark/>
          </w:tcPr>
          <w:p w14:paraId="0DFBA23F"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0,7</w:t>
            </w:r>
          </w:p>
        </w:tc>
        <w:tc>
          <w:tcPr>
            <w:tcW w:w="1143" w:type="dxa"/>
            <w:tcBorders>
              <w:top w:val="nil"/>
              <w:left w:val="nil"/>
              <w:bottom w:val="single" w:sz="4" w:space="0" w:color="auto"/>
              <w:right w:val="single" w:sz="4" w:space="0" w:color="auto"/>
            </w:tcBorders>
            <w:shd w:val="clear" w:color="auto" w:fill="auto"/>
            <w:vAlign w:val="center"/>
            <w:hideMark/>
          </w:tcPr>
          <w:p w14:paraId="098C1093"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0,4</w:t>
            </w:r>
          </w:p>
        </w:tc>
        <w:tc>
          <w:tcPr>
            <w:tcW w:w="1200" w:type="dxa"/>
            <w:tcBorders>
              <w:top w:val="nil"/>
              <w:left w:val="nil"/>
              <w:bottom w:val="single" w:sz="4" w:space="0" w:color="auto"/>
              <w:right w:val="single" w:sz="4" w:space="0" w:color="auto"/>
            </w:tcBorders>
            <w:shd w:val="clear" w:color="auto" w:fill="auto"/>
            <w:vAlign w:val="center"/>
            <w:hideMark/>
          </w:tcPr>
          <w:p w14:paraId="5D649F08"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3,5</w:t>
            </w:r>
          </w:p>
        </w:tc>
        <w:tc>
          <w:tcPr>
            <w:tcW w:w="721" w:type="dxa"/>
            <w:tcBorders>
              <w:top w:val="nil"/>
              <w:left w:val="nil"/>
              <w:bottom w:val="single" w:sz="4" w:space="0" w:color="auto"/>
              <w:right w:val="single" w:sz="4" w:space="0" w:color="auto"/>
            </w:tcBorders>
            <w:shd w:val="clear" w:color="auto" w:fill="auto"/>
            <w:vAlign w:val="center"/>
            <w:hideMark/>
          </w:tcPr>
          <w:p w14:paraId="7835E89E"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136,0</w:t>
            </w:r>
          </w:p>
        </w:tc>
        <w:tc>
          <w:tcPr>
            <w:tcW w:w="721" w:type="dxa"/>
            <w:tcBorders>
              <w:top w:val="nil"/>
              <w:left w:val="nil"/>
              <w:bottom w:val="single" w:sz="4" w:space="0" w:color="auto"/>
              <w:right w:val="single" w:sz="4" w:space="0" w:color="auto"/>
            </w:tcBorders>
            <w:shd w:val="clear" w:color="auto" w:fill="auto"/>
            <w:vAlign w:val="center"/>
            <w:hideMark/>
          </w:tcPr>
          <w:p w14:paraId="4729F91F"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1 354,2</w:t>
            </w:r>
          </w:p>
        </w:tc>
        <w:tc>
          <w:tcPr>
            <w:tcW w:w="698" w:type="dxa"/>
            <w:tcBorders>
              <w:top w:val="nil"/>
              <w:left w:val="nil"/>
              <w:bottom w:val="single" w:sz="4" w:space="0" w:color="auto"/>
              <w:right w:val="single" w:sz="4" w:space="0" w:color="auto"/>
            </w:tcBorders>
            <w:shd w:val="clear" w:color="auto" w:fill="auto"/>
            <w:vAlign w:val="center"/>
            <w:hideMark/>
          </w:tcPr>
          <w:p w14:paraId="304700B1"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0,5</w:t>
            </w:r>
          </w:p>
        </w:tc>
        <w:tc>
          <w:tcPr>
            <w:tcW w:w="765" w:type="dxa"/>
            <w:tcBorders>
              <w:top w:val="nil"/>
              <w:left w:val="nil"/>
              <w:bottom w:val="single" w:sz="4" w:space="0" w:color="auto"/>
              <w:right w:val="single" w:sz="4" w:space="0" w:color="auto"/>
            </w:tcBorders>
            <w:shd w:val="clear" w:color="auto" w:fill="auto"/>
            <w:vAlign w:val="center"/>
            <w:hideMark/>
          </w:tcPr>
          <w:p w14:paraId="2EF24564"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1 490,7</w:t>
            </w:r>
          </w:p>
        </w:tc>
        <w:tc>
          <w:tcPr>
            <w:tcW w:w="970" w:type="dxa"/>
            <w:tcBorders>
              <w:top w:val="nil"/>
              <w:left w:val="nil"/>
              <w:bottom w:val="single" w:sz="4" w:space="0" w:color="auto"/>
              <w:right w:val="single" w:sz="4" w:space="0" w:color="auto"/>
            </w:tcBorders>
            <w:shd w:val="clear" w:color="auto" w:fill="auto"/>
            <w:vAlign w:val="center"/>
            <w:hideMark/>
          </w:tcPr>
          <w:p w14:paraId="1F5CE4EC" w14:textId="77777777" w:rsidR="00F00781" w:rsidRPr="00F00781" w:rsidRDefault="00F00781" w:rsidP="00F00781">
            <w:pPr>
              <w:rPr>
                <w:rFonts w:ascii="Arial Narrow" w:hAnsi="Arial Narrow" w:cs="Calibri"/>
                <w:sz w:val="14"/>
                <w:szCs w:val="14"/>
              </w:rPr>
            </w:pPr>
            <w:r w:rsidRPr="00F00781">
              <w:rPr>
                <w:rFonts w:ascii="Arial Narrow" w:hAnsi="Arial Narrow" w:cs="Calibri"/>
                <w:sz w:val="14"/>
                <w:szCs w:val="14"/>
              </w:rPr>
              <w:t> </w:t>
            </w:r>
          </w:p>
        </w:tc>
        <w:tc>
          <w:tcPr>
            <w:tcW w:w="602" w:type="dxa"/>
            <w:tcBorders>
              <w:top w:val="nil"/>
              <w:left w:val="nil"/>
              <w:bottom w:val="single" w:sz="4" w:space="0" w:color="auto"/>
              <w:right w:val="single" w:sz="4" w:space="0" w:color="auto"/>
            </w:tcBorders>
            <w:shd w:val="clear" w:color="auto" w:fill="auto"/>
            <w:vAlign w:val="center"/>
            <w:hideMark/>
          </w:tcPr>
          <w:p w14:paraId="49C6F22C"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475,7</w:t>
            </w:r>
          </w:p>
        </w:tc>
        <w:tc>
          <w:tcPr>
            <w:tcW w:w="697" w:type="dxa"/>
            <w:tcBorders>
              <w:top w:val="nil"/>
              <w:left w:val="nil"/>
              <w:bottom w:val="single" w:sz="4" w:space="0" w:color="auto"/>
              <w:right w:val="single" w:sz="4" w:space="0" w:color="auto"/>
            </w:tcBorders>
            <w:shd w:val="clear" w:color="auto" w:fill="auto"/>
            <w:vAlign w:val="center"/>
            <w:hideMark/>
          </w:tcPr>
          <w:p w14:paraId="704563EA"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-96,1</w:t>
            </w:r>
          </w:p>
        </w:tc>
        <w:tc>
          <w:tcPr>
            <w:tcW w:w="869" w:type="dxa"/>
            <w:tcBorders>
              <w:top w:val="nil"/>
              <w:left w:val="nil"/>
              <w:bottom w:val="single" w:sz="4" w:space="0" w:color="auto"/>
              <w:right w:val="single" w:sz="4" w:space="0" w:color="auto"/>
            </w:tcBorders>
            <w:shd w:val="clear" w:color="auto" w:fill="auto"/>
            <w:vAlign w:val="center"/>
            <w:hideMark/>
          </w:tcPr>
          <w:p w14:paraId="3116F15C"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1 402,0</w:t>
            </w:r>
          </w:p>
        </w:tc>
      </w:tr>
      <w:tr w:rsidR="00F00781" w:rsidRPr="00F00781" w14:paraId="4BF5CEFF" w14:textId="77777777" w:rsidTr="00E01BBF">
        <w:trPr>
          <w:trHeight w:val="196"/>
        </w:trPr>
        <w:tc>
          <w:tcPr>
            <w:tcW w:w="632" w:type="dxa"/>
            <w:tcBorders>
              <w:top w:val="nil"/>
              <w:left w:val="single" w:sz="4" w:space="0" w:color="auto"/>
              <w:bottom w:val="single" w:sz="4" w:space="0" w:color="auto"/>
              <w:right w:val="single" w:sz="4" w:space="0" w:color="auto"/>
            </w:tcBorders>
            <w:shd w:val="clear" w:color="auto" w:fill="auto"/>
            <w:vAlign w:val="center"/>
            <w:hideMark/>
          </w:tcPr>
          <w:p w14:paraId="2E65745D" w14:textId="77777777" w:rsidR="00F00781" w:rsidRPr="00F00781" w:rsidRDefault="00F00781" w:rsidP="00F00781">
            <w:pPr>
              <w:rPr>
                <w:rFonts w:ascii="Arial Narrow" w:hAnsi="Arial Narrow" w:cs="Calibri"/>
                <w:sz w:val="14"/>
                <w:szCs w:val="14"/>
              </w:rPr>
            </w:pPr>
            <w:r w:rsidRPr="00F00781">
              <w:rPr>
                <w:rFonts w:ascii="Arial Narrow" w:hAnsi="Arial Narrow" w:cs="Calibri"/>
                <w:sz w:val="14"/>
                <w:szCs w:val="14"/>
              </w:rPr>
              <w:t xml:space="preserve"> 02.1/3</w:t>
            </w:r>
          </w:p>
        </w:tc>
        <w:tc>
          <w:tcPr>
            <w:tcW w:w="1671" w:type="dxa"/>
            <w:tcBorders>
              <w:top w:val="nil"/>
              <w:left w:val="nil"/>
              <w:bottom w:val="single" w:sz="4" w:space="0" w:color="auto"/>
              <w:right w:val="single" w:sz="4" w:space="0" w:color="auto"/>
            </w:tcBorders>
            <w:shd w:val="clear" w:color="auto" w:fill="auto"/>
            <w:vAlign w:val="center"/>
            <w:hideMark/>
          </w:tcPr>
          <w:p w14:paraId="052DDA99" w14:textId="77777777" w:rsidR="00F00781" w:rsidRPr="00F00781" w:rsidRDefault="00F00781" w:rsidP="00F00781">
            <w:pPr>
              <w:ind w:firstLineChars="200" w:firstLine="280"/>
              <w:rPr>
                <w:rFonts w:ascii="Arial Narrow" w:hAnsi="Arial Narrow" w:cs="Calibri"/>
                <w:sz w:val="14"/>
                <w:szCs w:val="14"/>
              </w:rPr>
            </w:pPr>
            <w:r w:rsidRPr="00F00781">
              <w:rPr>
                <w:rFonts w:ascii="Arial Narrow" w:hAnsi="Arial Narrow" w:cs="Calibri"/>
                <w:sz w:val="14"/>
                <w:szCs w:val="14"/>
              </w:rPr>
              <w:t>Соя</w:t>
            </w:r>
          </w:p>
        </w:tc>
        <w:tc>
          <w:tcPr>
            <w:tcW w:w="773" w:type="dxa"/>
            <w:tcBorders>
              <w:top w:val="nil"/>
              <w:left w:val="nil"/>
              <w:bottom w:val="single" w:sz="4" w:space="0" w:color="auto"/>
              <w:right w:val="single" w:sz="4" w:space="0" w:color="auto"/>
            </w:tcBorders>
            <w:shd w:val="clear" w:color="auto" w:fill="auto"/>
            <w:vAlign w:val="center"/>
            <w:hideMark/>
          </w:tcPr>
          <w:p w14:paraId="4B27C5A5"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0,6</w:t>
            </w:r>
          </w:p>
        </w:tc>
        <w:tc>
          <w:tcPr>
            <w:tcW w:w="582" w:type="dxa"/>
            <w:tcBorders>
              <w:top w:val="nil"/>
              <w:left w:val="nil"/>
              <w:bottom w:val="single" w:sz="4" w:space="0" w:color="auto"/>
              <w:right w:val="single" w:sz="4" w:space="0" w:color="auto"/>
            </w:tcBorders>
            <w:shd w:val="clear" w:color="auto" w:fill="auto"/>
            <w:vAlign w:val="center"/>
            <w:hideMark/>
          </w:tcPr>
          <w:p w14:paraId="4FD62F45" w14:textId="77777777" w:rsidR="00F00781" w:rsidRPr="00F00781" w:rsidRDefault="00F00781" w:rsidP="00F00781">
            <w:pPr>
              <w:rPr>
                <w:rFonts w:ascii="Arial Narrow" w:hAnsi="Arial Narrow" w:cs="Calibri"/>
                <w:sz w:val="14"/>
                <w:szCs w:val="14"/>
              </w:rPr>
            </w:pPr>
            <w:r w:rsidRPr="00F00781">
              <w:rPr>
                <w:rFonts w:ascii="Arial Narrow" w:hAnsi="Arial Narrow" w:cs="Calibri"/>
                <w:sz w:val="14"/>
                <w:szCs w:val="14"/>
              </w:rPr>
              <w:t> </w:t>
            </w:r>
          </w:p>
        </w:tc>
        <w:tc>
          <w:tcPr>
            <w:tcW w:w="681" w:type="dxa"/>
            <w:tcBorders>
              <w:top w:val="nil"/>
              <w:left w:val="nil"/>
              <w:bottom w:val="single" w:sz="4" w:space="0" w:color="auto"/>
              <w:right w:val="single" w:sz="4" w:space="0" w:color="auto"/>
            </w:tcBorders>
            <w:shd w:val="clear" w:color="auto" w:fill="auto"/>
            <w:vAlign w:val="center"/>
            <w:hideMark/>
          </w:tcPr>
          <w:p w14:paraId="66E04C38"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4,4</w:t>
            </w:r>
          </w:p>
        </w:tc>
        <w:tc>
          <w:tcPr>
            <w:tcW w:w="789" w:type="dxa"/>
            <w:tcBorders>
              <w:top w:val="nil"/>
              <w:left w:val="nil"/>
              <w:bottom w:val="single" w:sz="4" w:space="0" w:color="auto"/>
              <w:right w:val="single" w:sz="4" w:space="0" w:color="auto"/>
            </w:tcBorders>
            <w:shd w:val="clear" w:color="auto" w:fill="auto"/>
            <w:vAlign w:val="center"/>
            <w:hideMark/>
          </w:tcPr>
          <w:p w14:paraId="45D8FE99"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0,1</w:t>
            </w:r>
          </w:p>
        </w:tc>
        <w:tc>
          <w:tcPr>
            <w:tcW w:w="693" w:type="dxa"/>
            <w:tcBorders>
              <w:top w:val="nil"/>
              <w:left w:val="nil"/>
              <w:bottom w:val="single" w:sz="4" w:space="0" w:color="auto"/>
              <w:right w:val="single" w:sz="4" w:space="0" w:color="auto"/>
            </w:tcBorders>
            <w:shd w:val="clear" w:color="auto" w:fill="auto"/>
            <w:vAlign w:val="center"/>
            <w:hideMark/>
          </w:tcPr>
          <w:p w14:paraId="30AC0FE5"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0,1</w:t>
            </w:r>
          </w:p>
        </w:tc>
        <w:tc>
          <w:tcPr>
            <w:tcW w:w="537" w:type="dxa"/>
            <w:tcBorders>
              <w:top w:val="nil"/>
              <w:left w:val="nil"/>
              <w:bottom w:val="single" w:sz="4" w:space="0" w:color="auto"/>
              <w:right w:val="single" w:sz="4" w:space="0" w:color="auto"/>
            </w:tcBorders>
            <w:shd w:val="clear" w:color="auto" w:fill="auto"/>
            <w:vAlign w:val="center"/>
            <w:hideMark/>
          </w:tcPr>
          <w:p w14:paraId="53EA95A3" w14:textId="77777777" w:rsidR="00F00781" w:rsidRPr="00F00781" w:rsidRDefault="00F00781" w:rsidP="00F00781">
            <w:pPr>
              <w:rPr>
                <w:rFonts w:ascii="Arial Narrow" w:hAnsi="Arial Narrow" w:cs="Calibri"/>
                <w:sz w:val="14"/>
                <w:szCs w:val="14"/>
              </w:rPr>
            </w:pPr>
            <w:r w:rsidRPr="00F00781">
              <w:rPr>
                <w:rFonts w:ascii="Arial Narrow" w:hAnsi="Arial Narrow" w:cs="Calibri"/>
                <w:sz w:val="14"/>
                <w:szCs w:val="14"/>
              </w:rPr>
              <w:t> </w:t>
            </w:r>
          </w:p>
        </w:tc>
        <w:tc>
          <w:tcPr>
            <w:tcW w:w="1143" w:type="dxa"/>
            <w:tcBorders>
              <w:top w:val="nil"/>
              <w:left w:val="nil"/>
              <w:bottom w:val="single" w:sz="4" w:space="0" w:color="auto"/>
              <w:right w:val="single" w:sz="4" w:space="0" w:color="auto"/>
            </w:tcBorders>
            <w:shd w:val="clear" w:color="auto" w:fill="auto"/>
            <w:vAlign w:val="center"/>
            <w:hideMark/>
          </w:tcPr>
          <w:p w14:paraId="697B790F" w14:textId="77777777" w:rsidR="00F00781" w:rsidRPr="00F00781" w:rsidRDefault="00F00781" w:rsidP="00F00781">
            <w:pPr>
              <w:rPr>
                <w:rFonts w:ascii="Arial Narrow" w:hAnsi="Arial Narrow" w:cs="Calibri"/>
                <w:sz w:val="14"/>
                <w:szCs w:val="14"/>
              </w:rPr>
            </w:pPr>
            <w:r w:rsidRPr="00F00781">
              <w:rPr>
                <w:rFonts w:ascii="Arial Narrow" w:hAnsi="Arial Narrow" w:cs="Calibri"/>
                <w:sz w:val="14"/>
                <w:szCs w:val="14"/>
              </w:rPr>
              <w:t> </w:t>
            </w:r>
          </w:p>
        </w:tc>
        <w:tc>
          <w:tcPr>
            <w:tcW w:w="1200" w:type="dxa"/>
            <w:tcBorders>
              <w:top w:val="nil"/>
              <w:left w:val="nil"/>
              <w:bottom w:val="single" w:sz="4" w:space="0" w:color="auto"/>
              <w:right w:val="single" w:sz="4" w:space="0" w:color="auto"/>
            </w:tcBorders>
            <w:shd w:val="clear" w:color="auto" w:fill="auto"/>
            <w:vAlign w:val="center"/>
            <w:hideMark/>
          </w:tcPr>
          <w:p w14:paraId="40E03567" w14:textId="77777777" w:rsidR="00F00781" w:rsidRPr="00F00781" w:rsidRDefault="00F00781" w:rsidP="00F00781">
            <w:pPr>
              <w:rPr>
                <w:rFonts w:ascii="Arial Narrow" w:hAnsi="Arial Narrow" w:cs="Calibri"/>
                <w:sz w:val="14"/>
                <w:szCs w:val="14"/>
              </w:rPr>
            </w:pPr>
            <w:r w:rsidRPr="00F00781">
              <w:rPr>
                <w:rFonts w:ascii="Arial Narrow" w:hAnsi="Arial Narrow" w:cs="Calibri"/>
                <w:sz w:val="14"/>
                <w:szCs w:val="14"/>
              </w:rPr>
              <w:t> </w:t>
            </w:r>
          </w:p>
        </w:tc>
        <w:tc>
          <w:tcPr>
            <w:tcW w:w="721" w:type="dxa"/>
            <w:tcBorders>
              <w:top w:val="nil"/>
              <w:left w:val="nil"/>
              <w:bottom w:val="single" w:sz="4" w:space="0" w:color="auto"/>
              <w:right w:val="single" w:sz="4" w:space="0" w:color="auto"/>
            </w:tcBorders>
            <w:shd w:val="clear" w:color="auto" w:fill="auto"/>
            <w:vAlign w:val="center"/>
            <w:hideMark/>
          </w:tcPr>
          <w:p w14:paraId="746D7B0B" w14:textId="77777777" w:rsidR="00F00781" w:rsidRPr="00F00781" w:rsidRDefault="00F00781" w:rsidP="00F00781">
            <w:pPr>
              <w:rPr>
                <w:rFonts w:ascii="Arial Narrow" w:hAnsi="Arial Narrow" w:cs="Calibri"/>
                <w:sz w:val="14"/>
                <w:szCs w:val="14"/>
              </w:rPr>
            </w:pPr>
            <w:r w:rsidRPr="00F00781">
              <w:rPr>
                <w:rFonts w:ascii="Arial Narrow" w:hAnsi="Arial Narrow" w:cs="Calibri"/>
                <w:sz w:val="14"/>
                <w:szCs w:val="14"/>
              </w:rPr>
              <w:t> </w:t>
            </w:r>
          </w:p>
        </w:tc>
        <w:tc>
          <w:tcPr>
            <w:tcW w:w="721" w:type="dxa"/>
            <w:tcBorders>
              <w:top w:val="nil"/>
              <w:left w:val="nil"/>
              <w:bottom w:val="single" w:sz="4" w:space="0" w:color="auto"/>
              <w:right w:val="single" w:sz="4" w:space="0" w:color="auto"/>
            </w:tcBorders>
            <w:shd w:val="clear" w:color="auto" w:fill="auto"/>
            <w:vAlign w:val="center"/>
            <w:hideMark/>
          </w:tcPr>
          <w:p w14:paraId="271651E7"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1,8</w:t>
            </w:r>
          </w:p>
        </w:tc>
        <w:tc>
          <w:tcPr>
            <w:tcW w:w="698" w:type="dxa"/>
            <w:tcBorders>
              <w:top w:val="nil"/>
              <w:left w:val="nil"/>
              <w:bottom w:val="single" w:sz="4" w:space="0" w:color="auto"/>
              <w:right w:val="single" w:sz="4" w:space="0" w:color="auto"/>
            </w:tcBorders>
            <w:shd w:val="clear" w:color="auto" w:fill="auto"/>
            <w:vAlign w:val="center"/>
            <w:hideMark/>
          </w:tcPr>
          <w:p w14:paraId="1E50DCF8" w14:textId="77777777" w:rsidR="00F00781" w:rsidRPr="00F00781" w:rsidRDefault="00F00781" w:rsidP="00F00781">
            <w:pPr>
              <w:rPr>
                <w:rFonts w:ascii="Arial Narrow" w:hAnsi="Arial Narrow" w:cs="Calibri"/>
                <w:sz w:val="14"/>
                <w:szCs w:val="14"/>
              </w:rPr>
            </w:pPr>
            <w:r w:rsidRPr="00F00781">
              <w:rPr>
                <w:rFonts w:ascii="Arial Narrow" w:hAnsi="Arial Narrow" w:cs="Calibri"/>
                <w:sz w:val="14"/>
                <w:szCs w:val="14"/>
              </w:rPr>
              <w:t> </w:t>
            </w:r>
          </w:p>
        </w:tc>
        <w:tc>
          <w:tcPr>
            <w:tcW w:w="765" w:type="dxa"/>
            <w:tcBorders>
              <w:top w:val="nil"/>
              <w:left w:val="nil"/>
              <w:bottom w:val="single" w:sz="4" w:space="0" w:color="auto"/>
              <w:right w:val="single" w:sz="4" w:space="0" w:color="auto"/>
            </w:tcBorders>
            <w:shd w:val="clear" w:color="auto" w:fill="auto"/>
            <w:vAlign w:val="center"/>
            <w:hideMark/>
          </w:tcPr>
          <w:p w14:paraId="1F39C59A"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1,9</w:t>
            </w:r>
          </w:p>
        </w:tc>
        <w:tc>
          <w:tcPr>
            <w:tcW w:w="970" w:type="dxa"/>
            <w:tcBorders>
              <w:top w:val="nil"/>
              <w:left w:val="nil"/>
              <w:bottom w:val="single" w:sz="4" w:space="0" w:color="auto"/>
              <w:right w:val="single" w:sz="4" w:space="0" w:color="auto"/>
            </w:tcBorders>
            <w:shd w:val="clear" w:color="auto" w:fill="auto"/>
            <w:vAlign w:val="center"/>
            <w:hideMark/>
          </w:tcPr>
          <w:p w14:paraId="065E5E92" w14:textId="77777777" w:rsidR="00F00781" w:rsidRPr="00F00781" w:rsidRDefault="00F00781" w:rsidP="00F00781">
            <w:pPr>
              <w:rPr>
                <w:rFonts w:ascii="Arial Narrow" w:hAnsi="Arial Narrow" w:cs="Calibri"/>
                <w:sz w:val="14"/>
                <w:szCs w:val="14"/>
              </w:rPr>
            </w:pPr>
            <w:r w:rsidRPr="00F00781">
              <w:rPr>
                <w:rFonts w:ascii="Arial Narrow" w:hAnsi="Arial Narrow" w:cs="Calibri"/>
                <w:sz w:val="14"/>
                <w:szCs w:val="14"/>
              </w:rPr>
              <w:t> </w:t>
            </w:r>
          </w:p>
        </w:tc>
        <w:tc>
          <w:tcPr>
            <w:tcW w:w="602" w:type="dxa"/>
            <w:tcBorders>
              <w:top w:val="nil"/>
              <w:left w:val="nil"/>
              <w:bottom w:val="single" w:sz="4" w:space="0" w:color="auto"/>
              <w:right w:val="single" w:sz="4" w:space="0" w:color="auto"/>
            </w:tcBorders>
            <w:shd w:val="clear" w:color="auto" w:fill="auto"/>
            <w:vAlign w:val="center"/>
            <w:hideMark/>
          </w:tcPr>
          <w:p w14:paraId="6D5EAE4D"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2,9</w:t>
            </w:r>
          </w:p>
        </w:tc>
        <w:tc>
          <w:tcPr>
            <w:tcW w:w="697" w:type="dxa"/>
            <w:tcBorders>
              <w:top w:val="nil"/>
              <w:left w:val="nil"/>
              <w:bottom w:val="single" w:sz="4" w:space="0" w:color="auto"/>
              <w:right w:val="single" w:sz="4" w:space="0" w:color="auto"/>
            </w:tcBorders>
            <w:shd w:val="clear" w:color="auto" w:fill="auto"/>
            <w:vAlign w:val="center"/>
            <w:hideMark/>
          </w:tcPr>
          <w:p w14:paraId="6451A0B4"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-1,4</w:t>
            </w:r>
          </w:p>
        </w:tc>
        <w:tc>
          <w:tcPr>
            <w:tcW w:w="869" w:type="dxa"/>
            <w:tcBorders>
              <w:top w:val="nil"/>
              <w:left w:val="nil"/>
              <w:bottom w:val="single" w:sz="4" w:space="0" w:color="auto"/>
              <w:right w:val="single" w:sz="4" w:space="0" w:color="auto"/>
            </w:tcBorders>
            <w:shd w:val="clear" w:color="auto" w:fill="auto"/>
            <w:vAlign w:val="center"/>
            <w:hideMark/>
          </w:tcPr>
          <w:p w14:paraId="2A8F066A"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0,5</w:t>
            </w:r>
          </w:p>
        </w:tc>
      </w:tr>
      <w:tr w:rsidR="00F00781" w:rsidRPr="00F00781" w14:paraId="58BD1853" w14:textId="77777777" w:rsidTr="00E01BBF">
        <w:trPr>
          <w:trHeight w:val="196"/>
        </w:trPr>
        <w:tc>
          <w:tcPr>
            <w:tcW w:w="632" w:type="dxa"/>
            <w:tcBorders>
              <w:top w:val="nil"/>
              <w:left w:val="single" w:sz="4" w:space="0" w:color="auto"/>
              <w:bottom w:val="single" w:sz="4" w:space="0" w:color="auto"/>
              <w:right w:val="single" w:sz="4" w:space="0" w:color="auto"/>
            </w:tcBorders>
            <w:shd w:val="clear" w:color="auto" w:fill="auto"/>
            <w:vAlign w:val="center"/>
            <w:hideMark/>
          </w:tcPr>
          <w:p w14:paraId="3012F936" w14:textId="77777777" w:rsidR="00F00781" w:rsidRPr="00F00781" w:rsidRDefault="00F00781" w:rsidP="00F00781">
            <w:pPr>
              <w:rPr>
                <w:rFonts w:ascii="Arial Narrow" w:hAnsi="Arial Narrow" w:cs="Calibri"/>
                <w:sz w:val="14"/>
                <w:szCs w:val="14"/>
              </w:rPr>
            </w:pPr>
            <w:r w:rsidRPr="00F00781">
              <w:rPr>
                <w:rFonts w:ascii="Arial Narrow" w:hAnsi="Arial Narrow" w:cs="Calibri"/>
                <w:sz w:val="14"/>
                <w:szCs w:val="14"/>
              </w:rPr>
              <w:t xml:space="preserve"> 02.1/4</w:t>
            </w:r>
          </w:p>
        </w:tc>
        <w:tc>
          <w:tcPr>
            <w:tcW w:w="1671" w:type="dxa"/>
            <w:tcBorders>
              <w:top w:val="nil"/>
              <w:left w:val="nil"/>
              <w:bottom w:val="single" w:sz="4" w:space="0" w:color="auto"/>
              <w:right w:val="single" w:sz="4" w:space="0" w:color="auto"/>
            </w:tcBorders>
            <w:shd w:val="clear" w:color="auto" w:fill="auto"/>
            <w:vAlign w:val="center"/>
            <w:hideMark/>
          </w:tcPr>
          <w:p w14:paraId="62EF47A9" w14:textId="77777777" w:rsidR="00F00781" w:rsidRPr="00CD44F3" w:rsidRDefault="00F00781" w:rsidP="00F00781">
            <w:pPr>
              <w:ind w:firstLineChars="200" w:firstLine="280"/>
              <w:rPr>
                <w:rFonts w:ascii="Arial Narrow" w:hAnsi="Arial Narrow" w:cs="Calibri"/>
                <w:sz w:val="14"/>
                <w:szCs w:val="14"/>
                <w:lang w:val="bg-BG"/>
              </w:rPr>
            </w:pPr>
            <w:r w:rsidRPr="00F00781">
              <w:rPr>
                <w:rFonts w:ascii="Arial Narrow" w:hAnsi="Arial Narrow" w:cs="Calibri"/>
                <w:sz w:val="14"/>
                <w:szCs w:val="14"/>
              </w:rPr>
              <w:t>Други маслодайни</w:t>
            </w:r>
            <w:r w:rsidR="004916C6">
              <w:rPr>
                <w:rFonts w:ascii="Arial Narrow" w:hAnsi="Arial Narrow" w:cs="Calibri"/>
                <w:sz w:val="14"/>
                <w:szCs w:val="14"/>
                <w:lang w:val="bg-BG"/>
              </w:rPr>
              <w:t xml:space="preserve"> култури</w:t>
            </w:r>
          </w:p>
        </w:tc>
        <w:tc>
          <w:tcPr>
            <w:tcW w:w="773" w:type="dxa"/>
            <w:tcBorders>
              <w:top w:val="nil"/>
              <w:left w:val="nil"/>
              <w:bottom w:val="single" w:sz="4" w:space="0" w:color="auto"/>
              <w:right w:val="single" w:sz="4" w:space="0" w:color="auto"/>
            </w:tcBorders>
            <w:shd w:val="clear" w:color="auto" w:fill="auto"/>
            <w:vAlign w:val="center"/>
            <w:hideMark/>
          </w:tcPr>
          <w:p w14:paraId="109CFD55"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10,1</w:t>
            </w:r>
          </w:p>
        </w:tc>
        <w:tc>
          <w:tcPr>
            <w:tcW w:w="582" w:type="dxa"/>
            <w:tcBorders>
              <w:top w:val="nil"/>
              <w:left w:val="nil"/>
              <w:bottom w:val="single" w:sz="4" w:space="0" w:color="auto"/>
              <w:right w:val="single" w:sz="4" w:space="0" w:color="auto"/>
            </w:tcBorders>
            <w:shd w:val="clear" w:color="auto" w:fill="auto"/>
            <w:vAlign w:val="center"/>
            <w:hideMark/>
          </w:tcPr>
          <w:p w14:paraId="71AF5EAC" w14:textId="77777777" w:rsidR="00F00781" w:rsidRPr="00F00781" w:rsidRDefault="00F00781" w:rsidP="00F00781">
            <w:pPr>
              <w:rPr>
                <w:rFonts w:ascii="Arial Narrow" w:hAnsi="Arial Narrow" w:cs="Calibri"/>
                <w:sz w:val="14"/>
                <w:szCs w:val="14"/>
              </w:rPr>
            </w:pPr>
            <w:r w:rsidRPr="00F00781">
              <w:rPr>
                <w:rFonts w:ascii="Arial Narrow" w:hAnsi="Arial Narrow" w:cs="Calibri"/>
                <w:sz w:val="14"/>
                <w:szCs w:val="14"/>
              </w:rPr>
              <w:t> </w:t>
            </w:r>
          </w:p>
        </w:tc>
        <w:tc>
          <w:tcPr>
            <w:tcW w:w="681" w:type="dxa"/>
            <w:tcBorders>
              <w:top w:val="nil"/>
              <w:left w:val="nil"/>
              <w:bottom w:val="single" w:sz="4" w:space="0" w:color="auto"/>
              <w:right w:val="single" w:sz="4" w:space="0" w:color="auto"/>
            </w:tcBorders>
            <w:shd w:val="clear" w:color="auto" w:fill="auto"/>
            <w:vAlign w:val="center"/>
            <w:hideMark/>
          </w:tcPr>
          <w:p w14:paraId="6FCFE08C"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3,3</w:t>
            </w:r>
          </w:p>
        </w:tc>
        <w:tc>
          <w:tcPr>
            <w:tcW w:w="789" w:type="dxa"/>
            <w:tcBorders>
              <w:top w:val="nil"/>
              <w:left w:val="nil"/>
              <w:bottom w:val="single" w:sz="4" w:space="0" w:color="auto"/>
              <w:right w:val="single" w:sz="4" w:space="0" w:color="auto"/>
            </w:tcBorders>
            <w:shd w:val="clear" w:color="auto" w:fill="auto"/>
            <w:vAlign w:val="center"/>
            <w:hideMark/>
          </w:tcPr>
          <w:p w14:paraId="14E642A3"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0,1</w:t>
            </w:r>
          </w:p>
        </w:tc>
        <w:tc>
          <w:tcPr>
            <w:tcW w:w="693" w:type="dxa"/>
            <w:tcBorders>
              <w:top w:val="nil"/>
              <w:left w:val="nil"/>
              <w:bottom w:val="single" w:sz="4" w:space="0" w:color="auto"/>
              <w:right w:val="single" w:sz="4" w:space="0" w:color="auto"/>
            </w:tcBorders>
            <w:shd w:val="clear" w:color="auto" w:fill="auto"/>
            <w:vAlign w:val="center"/>
            <w:hideMark/>
          </w:tcPr>
          <w:p w14:paraId="609730B8" w14:textId="77777777" w:rsidR="00F00781" w:rsidRPr="00F00781" w:rsidRDefault="00F00781" w:rsidP="00F00781">
            <w:pPr>
              <w:rPr>
                <w:rFonts w:ascii="Arial Narrow" w:hAnsi="Arial Narrow" w:cs="Calibri"/>
                <w:sz w:val="14"/>
                <w:szCs w:val="14"/>
              </w:rPr>
            </w:pPr>
            <w:r w:rsidRPr="00F00781">
              <w:rPr>
                <w:rFonts w:ascii="Arial Narrow" w:hAnsi="Arial Narrow" w:cs="Calibri"/>
                <w:sz w:val="14"/>
                <w:szCs w:val="14"/>
              </w:rPr>
              <w:t> </w:t>
            </w:r>
          </w:p>
        </w:tc>
        <w:tc>
          <w:tcPr>
            <w:tcW w:w="537" w:type="dxa"/>
            <w:tcBorders>
              <w:top w:val="nil"/>
              <w:left w:val="nil"/>
              <w:bottom w:val="single" w:sz="4" w:space="0" w:color="auto"/>
              <w:right w:val="single" w:sz="4" w:space="0" w:color="auto"/>
            </w:tcBorders>
            <w:shd w:val="clear" w:color="auto" w:fill="auto"/>
            <w:vAlign w:val="center"/>
            <w:hideMark/>
          </w:tcPr>
          <w:p w14:paraId="2334E3F4"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0,2</w:t>
            </w:r>
          </w:p>
        </w:tc>
        <w:tc>
          <w:tcPr>
            <w:tcW w:w="1143" w:type="dxa"/>
            <w:tcBorders>
              <w:top w:val="nil"/>
              <w:left w:val="nil"/>
              <w:bottom w:val="single" w:sz="4" w:space="0" w:color="auto"/>
              <w:right w:val="single" w:sz="4" w:space="0" w:color="auto"/>
            </w:tcBorders>
            <w:shd w:val="clear" w:color="auto" w:fill="auto"/>
            <w:vAlign w:val="center"/>
            <w:hideMark/>
          </w:tcPr>
          <w:p w14:paraId="3F19CAB4" w14:textId="77777777" w:rsidR="00F00781" w:rsidRPr="00F00781" w:rsidRDefault="00F00781" w:rsidP="00F00781">
            <w:pPr>
              <w:rPr>
                <w:rFonts w:ascii="Arial Narrow" w:hAnsi="Arial Narrow" w:cs="Calibri"/>
                <w:sz w:val="14"/>
                <w:szCs w:val="14"/>
              </w:rPr>
            </w:pPr>
            <w:r w:rsidRPr="00F00781">
              <w:rPr>
                <w:rFonts w:ascii="Arial Narrow" w:hAnsi="Arial Narrow" w:cs="Calibri"/>
                <w:sz w:val="14"/>
                <w:szCs w:val="14"/>
              </w:rPr>
              <w:t> </w:t>
            </w:r>
          </w:p>
        </w:tc>
        <w:tc>
          <w:tcPr>
            <w:tcW w:w="1200" w:type="dxa"/>
            <w:tcBorders>
              <w:top w:val="nil"/>
              <w:left w:val="nil"/>
              <w:bottom w:val="single" w:sz="4" w:space="0" w:color="auto"/>
              <w:right w:val="single" w:sz="4" w:space="0" w:color="auto"/>
            </w:tcBorders>
            <w:shd w:val="clear" w:color="auto" w:fill="auto"/>
            <w:vAlign w:val="center"/>
            <w:hideMark/>
          </w:tcPr>
          <w:p w14:paraId="5B8224AB" w14:textId="77777777" w:rsidR="00F00781" w:rsidRPr="00F00781" w:rsidRDefault="00F00781" w:rsidP="00F00781">
            <w:pPr>
              <w:rPr>
                <w:rFonts w:ascii="Arial Narrow" w:hAnsi="Arial Narrow" w:cs="Calibri"/>
                <w:sz w:val="14"/>
                <w:szCs w:val="14"/>
              </w:rPr>
            </w:pPr>
            <w:r w:rsidRPr="00F00781">
              <w:rPr>
                <w:rFonts w:ascii="Arial Narrow" w:hAnsi="Arial Narrow" w:cs="Calibri"/>
                <w:sz w:val="14"/>
                <w:szCs w:val="14"/>
              </w:rPr>
              <w:t> </w:t>
            </w:r>
          </w:p>
        </w:tc>
        <w:tc>
          <w:tcPr>
            <w:tcW w:w="721" w:type="dxa"/>
            <w:tcBorders>
              <w:top w:val="nil"/>
              <w:left w:val="nil"/>
              <w:bottom w:val="single" w:sz="4" w:space="0" w:color="auto"/>
              <w:right w:val="single" w:sz="4" w:space="0" w:color="auto"/>
            </w:tcBorders>
            <w:shd w:val="clear" w:color="auto" w:fill="auto"/>
            <w:vAlign w:val="center"/>
            <w:hideMark/>
          </w:tcPr>
          <w:p w14:paraId="2AC5A6B0" w14:textId="77777777" w:rsidR="00F00781" w:rsidRPr="00F00781" w:rsidRDefault="00F00781" w:rsidP="00F00781">
            <w:pPr>
              <w:rPr>
                <w:rFonts w:ascii="Arial Narrow" w:hAnsi="Arial Narrow" w:cs="Calibri"/>
                <w:sz w:val="14"/>
                <w:szCs w:val="14"/>
              </w:rPr>
            </w:pPr>
            <w:r w:rsidRPr="00F00781">
              <w:rPr>
                <w:rFonts w:ascii="Arial Narrow" w:hAnsi="Arial Narrow" w:cs="Calibri"/>
                <w:sz w:val="14"/>
                <w:szCs w:val="14"/>
              </w:rPr>
              <w:t> </w:t>
            </w:r>
          </w:p>
        </w:tc>
        <w:tc>
          <w:tcPr>
            <w:tcW w:w="721" w:type="dxa"/>
            <w:tcBorders>
              <w:top w:val="nil"/>
              <w:left w:val="nil"/>
              <w:bottom w:val="single" w:sz="4" w:space="0" w:color="auto"/>
              <w:right w:val="single" w:sz="4" w:space="0" w:color="auto"/>
            </w:tcBorders>
            <w:shd w:val="clear" w:color="auto" w:fill="auto"/>
            <w:vAlign w:val="center"/>
            <w:hideMark/>
          </w:tcPr>
          <w:p w14:paraId="7B987D5C"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8,3</w:t>
            </w:r>
          </w:p>
        </w:tc>
        <w:tc>
          <w:tcPr>
            <w:tcW w:w="698" w:type="dxa"/>
            <w:tcBorders>
              <w:top w:val="nil"/>
              <w:left w:val="nil"/>
              <w:bottom w:val="single" w:sz="4" w:space="0" w:color="auto"/>
              <w:right w:val="single" w:sz="4" w:space="0" w:color="auto"/>
            </w:tcBorders>
            <w:shd w:val="clear" w:color="auto" w:fill="auto"/>
            <w:vAlign w:val="center"/>
            <w:hideMark/>
          </w:tcPr>
          <w:p w14:paraId="240E20F1"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0,3</w:t>
            </w:r>
          </w:p>
        </w:tc>
        <w:tc>
          <w:tcPr>
            <w:tcW w:w="765" w:type="dxa"/>
            <w:tcBorders>
              <w:top w:val="nil"/>
              <w:left w:val="nil"/>
              <w:bottom w:val="single" w:sz="4" w:space="0" w:color="auto"/>
              <w:right w:val="single" w:sz="4" w:space="0" w:color="auto"/>
            </w:tcBorders>
            <w:shd w:val="clear" w:color="auto" w:fill="auto"/>
            <w:vAlign w:val="center"/>
            <w:hideMark/>
          </w:tcPr>
          <w:p w14:paraId="4D129464"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8,7</w:t>
            </w:r>
          </w:p>
        </w:tc>
        <w:tc>
          <w:tcPr>
            <w:tcW w:w="970" w:type="dxa"/>
            <w:tcBorders>
              <w:top w:val="nil"/>
              <w:left w:val="nil"/>
              <w:bottom w:val="single" w:sz="4" w:space="0" w:color="auto"/>
              <w:right w:val="single" w:sz="4" w:space="0" w:color="auto"/>
            </w:tcBorders>
            <w:shd w:val="clear" w:color="auto" w:fill="auto"/>
            <w:vAlign w:val="center"/>
            <w:hideMark/>
          </w:tcPr>
          <w:p w14:paraId="5CD3AE2C" w14:textId="77777777" w:rsidR="00F00781" w:rsidRPr="00F00781" w:rsidRDefault="00F00781" w:rsidP="00F00781">
            <w:pPr>
              <w:rPr>
                <w:rFonts w:ascii="Arial Narrow" w:hAnsi="Arial Narrow" w:cs="Calibri"/>
                <w:sz w:val="14"/>
                <w:szCs w:val="14"/>
              </w:rPr>
            </w:pPr>
            <w:r w:rsidRPr="00F00781">
              <w:rPr>
                <w:rFonts w:ascii="Arial Narrow" w:hAnsi="Arial Narrow" w:cs="Calibri"/>
                <w:sz w:val="14"/>
                <w:szCs w:val="14"/>
              </w:rPr>
              <w:t> </w:t>
            </w:r>
          </w:p>
        </w:tc>
        <w:tc>
          <w:tcPr>
            <w:tcW w:w="602" w:type="dxa"/>
            <w:tcBorders>
              <w:top w:val="nil"/>
              <w:left w:val="nil"/>
              <w:bottom w:val="single" w:sz="4" w:space="0" w:color="auto"/>
              <w:right w:val="single" w:sz="4" w:space="0" w:color="auto"/>
            </w:tcBorders>
            <w:shd w:val="clear" w:color="auto" w:fill="auto"/>
            <w:vAlign w:val="center"/>
            <w:hideMark/>
          </w:tcPr>
          <w:p w14:paraId="3FCDB2C3"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4,4</w:t>
            </w:r>
          </w:p>
        </w:tc>
        <w:tc>
          <w:tcPr>
            <w:tcW w:w="697" w:type="dxa"/>
            <w:tcBorders>
              <w:top w:val="nil"/>
              <w:left w:val="nil"/>
              <w:bottom w:val="single" w:sz="4" w:space="0" w:color="auto"/>
              <w:right w:val="single" w:sz="4" w:space="0" w:color="auto"/>
            </w:tcBorders>
            <w:shd w:val="clear" w:color="auto" w:fill="auto"/>
            <w:vAlign w:val="center"/>
            <w:hideMark/>
          </w:tcPr>
          <w:p w14:paraId="514FC871"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1,1</w:t>
            </w:r>
          </w:p>
        </w:tc>
        <w:tc>
          <w:tcPr>
            <w:tcW w:w="869" w:type="dxa"/>
            <w:tcBorders>
              <w:top w:val="nil"/>
              <w:left w:val="nil"/>
              <w:bottom w:val="single" w:sz="4" w:space="0" w:color="auto"/>
              <w:right w:val="single" w:sz="4" w:space="0" w:color="auto"/>
            </w:tcBorders>
            <w:shd w:val="clear" w:color="auto" w:fill="auto"/>
            <w:vAlign w:val="center"/>
            <w:hideMark/>
          </w:tcPr>
          <w:p w14:paraId="7CC97C93"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9,8</w:t>
            </w:r>
          </w:p>
        </w:tc>
      </w:tr>
      <w:tr w:rsidR="00F00781" w:rsidRPr="00F00781" w14:paraId="2F7E6AC2" w14:textId="77777777" w:rsidTr="00E01BBF">
        <w:trPr>
          <w:trHeight w:val="196"/>
        </w:trPr>
        <w:tc>
          <w:tcPr>
            <w:tcW w:w="632" w:type="dxa"/>
            <w:tcBorders>
              <w:top w:val="nil"/>
              <w:left w:val="single" w:sz="4" w:space="0" w:color="auto"/>
              <w:bottom w:val="single" w:sz="4" w:space="0" w:color="auto"/>
              <w:right w:val="single" w:sz="4" w:space="0" w:color="auto"/>
            </w:tcBorders>
            <w:shd w:val="clear" w:color="auto" w:fill="auto"/>
            <w:vAlign w:val="center"/>
            <w:hideMark/>
          </w:tcPr>
          <w:p w14:paraId="695B0AFB" w14:textId="77777777" w:rsidR="00F00781" w:rsidRPr="00F00781" w:rsidRDefault="00F00781" w:rsidP="00F00781">
            <w:pPr>
              <w:rPr>
                <w:rFonts w:ascii="Arial Narrow" w:hAnsi="Arial Narrow" w:cs="Calibri"/>
                <w:sz w:val="14"/>
                <w:szCs w:val="14"/>
              </w:rPr>
            </w:pPr>
            <w:r w:rsidRPr="00F00781">
              <w:rPr>
                <w:rFonts w:ascii="Arial Narrow" w:hAnsi="Arial Narrow" w:cs="Calibri"/>
                <w:sz w:val="14"/>
                <w:szCs w:val="14"/>
              </w:rPr>
              <w:t xml:space="preserve"> 02.2</w:t>
            </w:r>
          </w:p>
        </w:tc>
        <w:tc>
          <w:tcPr>
            <w:tcW w:w="1671" w:type="dxa"/>
            <w:tcBorders>
              <w:top w:val="nil"/>
              <w:left w:val="nil"/>
              <w:bottom w:val="single" w:sz="4" w:space="0" w:color="auto"/>
              <w:right w:val="single" w:sz="4" w:space="0" w:color="auto"/>
            </w:tcBorders>
            <w:shd w:val="clear" w:color="auto" w:fill="auto"/>
            <w:vAlign w:val="center"/>
            <w:hideMark/>
          </w:tcPr>
          <w:p w14:paraId="64C12F6D" w14:textId="77777777" w:rsidR="00F00781" w:rsidRPr="00F00781" w:rsidRDefault="00F00781" w:rsidP="00F00781">
            <w:pPr>
              <w:ind w:firstLineChars="100" w:firstLine="140"/>
              <w:rPr>
                <w:rFonts w:ascii="Arial Narrow" w:hAnsi="Arial Narrow" w:cs="Calibri"/>
                <w:sz w:val="14"/>
                <w:szCs w:val="14"/>
              </w:rPr>
            </w:pPr>
            <w:r w:rsidRPr="00F00781">
              <w:rPr>
                <w:rFonts w:ascii="Arial Narrow" w:hAnsi="Arial Narrow" w:cs="Calibri"/>
                <w:sz w:val="14"/>
                <w:szCs w:val="14"/>
              </w:rPr>
              <w:t>Протеинодайни култури</w:t>
            </w:r>
          </w:p>
        </w:tc>
        <w:tc>
          <w:tcPr>
            <w:tcW w:w="773" w:type="dxa"/>
            <w:tcBorders>
              <w:top w:val="nil"/>
              <w:left w:val="nil"/>
              <w:bottom w:val="single" w:sz="4" w:space="0" w:color="auto"/>
              <w:right w:val="single" w:sz="4" w:space="0" w:color="auto"/>
            </w:tcBorders>
            <w:shd w:val="clear" w:color="auto" w:fill="auto"/>
            <w:vAlign w:val="center"/>
            <w:hideMark/>
          </w:tcPr>
          <w:p w14:paraId="6245462E"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38,4</w:t>
            </w:r>
          </w:p>
        </w:tc>
        <w:tc>
          <w:tcPr>
            <w:tcW w:w="582" w:type="dxa"/>
            <w:tcBorders>
              <w:top w:val="nil"/>
              <w:left w:val="nil"/>
              <w:bottom w:val="single" w:sz="4" w:space="0" w:color="auto"/>
              <w:right w:val="single" w:sz="4" w:space="0" w:color="auto"/>
            </w:tcBorders>
            <w:shd w:val="clear" w:color="auto" w:fill="auto"/>
            <w:vAlign w:val="center"/>
            <w:hideMark/>
          </w:tcPr>
          <w:p w14:paraId="16A24DE5"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0,5</w:t>
            </w:r>
          </w:p>
        </w:tc>
        <w:tc>
          <w:tcPr>
            <w:tcW w:w="681" w:type="dxa"/>
            <w:tcBorders>
              <w:top w:val="nil"/>
              <w:left w:val="nil"/>
              <w:bottom w:val="single" w:sz="4" w:space="0" w:color="auto"/>
              <w:right w:val="single" w:sz="4" w:space="0" w:color="auto"/>
            </w:tcBorders>
            <w:shd w:val="clear" w:color="auto" w:fill="auto"/>
            <w:vAlign w:val="center"/>
            <w:hideMark/>
          </w:tcPr>
          <w:p w14:paraId="6B931558"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14,6</w:t>
            </w:r>
          </w:p>
        </w:tc>
        <w:tc>
          <w:tcPr>
            <w:tcW w:w="789" w:type="dxa"/>
            <w:tcBorders>
              <w:top w:val="nil"/>
              <w:left w:val="nil"/>
              <w:bottom w:val="single" w:sz="4" w:space="0" w:color="auto"/>
              <w:right w:val="single" w:sz="4" w:space="0" w:color="auto"/>
            </w:tcBorders>
            <w:shd w:val="clear" w:color="auto" w:fill="auto"/>
            <w:vAlign w:val="center"/>
            <w:hideMark/>
          </w:tcPr>
          <w:p w14:paraId="04A6B1EE"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2,6</w:t>
            </w:r>
          </w:p>
        </w:tc>
        <w:tc>
          <w:tcPr>
            <w:tcW w:w="693" w:type="dxa"/>
            <w:tcBorders>
              <w:top w:val="nil"/>
              <w:left w:val="nil"/>
              <w:bottom w:val="single" w:sz="4" w:space="0" w:color="auto"/>
              <w:right w:val="single" w:sz="4" w:space="0" w:color="auto"/>
            </w:tcBorders>
            <w:shd w:val="clear" w:color="auto" w:fill="auto"/>
            <w:vAlign w:val="center"/>
            <w:hideMark/>
          </w:tcPr>
          <w:p w14:paraId="0A04ACBD"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3,1</w:t>
            </w:r>
          </w:p>
        </w:tc>
        <w:tc>
          <w:tcPr>
            <w:tcW w:w="537" w:type="dxa"/>
            <w:tcBorders>
              <w:top w:val="nil"/>
              <w:left w:val="nil"/>
              <w:bottom w:val="single" w:sz="4" w:space="0" w:color="auto"/>
              <w:right w:val="single" w:sz="4" w:space="0" w:color="auto"/>
            </w:tcBorders>
            <w:shd w:val="clear" w:color="auto" w:fill="auto"/>
            <w:vAlign w:val="center"/>
            <w:hideMark/>
          </w:tcPr>
          <w:p w14:paraId="706387C1"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0,3</w:t>
            </w:r>
          </w:p>
        </w:tc>
        <w:tc>
          <w:tcPr>
            <w:tcW w:w="1143" w:type="dxa"/>
            <w:tcBorders>
              <w:top w:val="nil"/>
              <w:left w:val="nil"/>
              <w:bottom w:val="single" w:sz="4" w:space="0" w:color="auto"/>
              <w:right w:val="single" w:sz="4" w:space="0" w:color="auto"/>
            </w:tcBorders>
            <w:shd w:val="clear" w:color="auto" w:fill="auto"/>
            <w:vAlign w:val="center"/>
            <w:hideMark/>
          </w:tcPr>
          <w:p w14:paraId="355BE0B0" w14:textId="77777777" w:rsidR="00F00781" w:rsidRPr="00F00781" w:rsidRDefault="00F00781" w:rsidP="00F00781">
            <w:pPr>
              <w:rPr>
                <w:rFonts w:ascii="Arial Narrow" w:hAnsi="Arial Narrow" w:cs="Calibri"/>
                <w:sz w:val="14"/>
                <w:szCs w:val="14"/>
              </w:rPr>
            </w:pPr>
            <w:r w:rsidRPr="00F00781">
              <w:rPr>
                <w:rFonts w:ascii="Arial Narrow" w:hAnsi="Arial Narrow" w:cs="Calibri"/>
                <w:sz w:val="14"/>
                <w:szCs w:val="14"/>
              </w:rPr>
              <w:t> </w:t>
            </w:r>
          </w:p>
        </w:tc>
        <w:tc>
          <w:tcPr>
            <w:tcW w:w="1200" w:type="dxa"/>
            <w:tcBorders>
              <w:top w:val="nil"/>
              <w:left w:val="nil"/>
              <w:bottom w:val="single" w:sz="4" w:space="0" w:color="auto"/>
              <w:right w:val="single" w:sz="4" w:space="0" w:color="auto"/>
            </w:tcBorders>
            <w:shd w:val="clear" w:color="auto" w:fill="auto"/>
            <w:vAlign w:val="center"/>
            <w:hideMark/>
          </w:tcPr>
          <w:p w14:paraId="20C7973B"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0,1</w:t>
            </w:r>
          </w:p>
        </w:tc>
        <w:tc>
          <w:tcPr>
            <w:tcW w:w="721" w:type="dxa"/>
            <w:tcBorders>
              <w:top w:val="nil"/>
              <w:left w:val="nil"/>
              <w:bottom w:val="single" w:sz="4" w:space="0" w:color="auto"/>
              <w:right w:val="single" w:sz="4" w:space="0" w:color="auto"/>
            </w:tcBorders>
            <w:shd w:val="clear" w:color="auto" w:fill="auto"/>
            <w:vAlign w:val="center"/>
            <w:hideMark/>
          </w:tcPr>
          <w:p w14:paraId="24017D5D"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3,0</w:t>
            </w:r>
          </w:p>
        </w:tc>
        <w:tc>
          <w:tcPr>
            <w:tcW w:w="721" w:type="dxa"/>
            <w:tcBorders>
              <w:top w:val="nil"/>
              <w:left w:val="nil"/>
              <w:bottom w:val="single" w:sz="4" w:space="0" w:color="auto"/>
              <w:right w:val="single" w:sz="4" w:space="0" w:color="auto"/>
            </w:tcBorders>
            <w:shd w:val="clear" w:color="auto" w:fill="auto"/>
            <w:vAlign w:val="center"/>
            <w:hideMark/>
          </w:tcPr>
          <w:p w14:paraId="683324D6"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24,7</w:t>
            </w:r>
          </w:p>
        </w:tc>
        <w:tc>
          <w:tcPr>
            <w:tcW w:w="698" w:type="dxa"/>
            <w:tcBorders>
              <w:top w:val="nil"/>
              <w:left w:val="nil"/>
              <w:bottom w:val="single" w:sz="4" w:space="0" w:color="auto"/>
              <w:right w:val="single" w:sz="4" w:space="0" w:color="auto"/>
            </w:tcBorders>
            <w:shd w:val="clear" w:color="auto" w:fill="auto"/>
            <w:vAlign w:val="center"/>
            <w:hideMark/>
          </w:tcPr>
          <w:p w14:paraId="0D190D99"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0,1</w:t>
            </w:r>
          </w:p>
        </w:tc>
        <w:tc>
          <w:tcPr>
            <w:tcW w:w="765" w:type="dxa"/>
            <w:tcBorders>
              <w:top w:val="nil"/>
              <w:left w:val="nil"/>
              <w:bottom w:val="single" w:sz="4" w:space="0" w:color="auto"/>
              <w:right w:val="single" w:sz="4" w:space="0" w:color="auto"/>
            </w:tcBorders>
            <w:shd w:val="clear" w:color="auto" w:fill="auto"/>
            <w:vAlign w:val="center"/>
            <w:hideMark/>
          </w:tcPr>
          <w:p w14:paraId="152B509F"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27,8</w:t>
            </w:r>
          </w:p>
        </w:tc>
        <w:tc>
          <w:tcPr>
            <w:tcW w:w="970" w:type="dxa"/>
            <w:tcBorders>
              <w:top w:val="nil"/>
              <w:left w:val="nil"/>
              <w:bottom w:val="single" w:sz="4" w:space="0" w:color="auto"/>
              <w:right w:val="single" w:sz="4" w:space="0" w:color="auto"/>
            </w:tcBorders>
            <w:shd w:val="clear" w:color="auto" w:fill="auto"/>
            <w:vAlign w:val="center"/>
            <w:hideMark/>
          </w:tcPr>
          <w:p w14:paraId="39C0936B" w14:textId="77777777" w:rsidR="00F00781" w:rsidRPr="00F00781" w:rsidRDefault="00F00781" w:rsidP="00F00781">
            <w:pPr>
              <w:rPr>
                <w:rFonts w:ascii="Arial Narrow" w:hAnsi="Arial Narrow" w:cs="Calibri"/>
                <w:sz w:val="14"/>
                <w:szCs w:val="14"/>
              </w:rPr>
            </w:pPr>
            <w:r w:rsidRPr="00F00781">
              <w:rPr>
                <w:rFonts w:ascii="Arial Narrow" w:hAnsi="Arial Narrow" w:cs="Calibri"/>
                <w:sz w:val="14"/>
                <w:szCs w:val="14"/>
              </w:rPr>
              <w:t> </w:t>
            </w:r>
          </w:p>
        </w:tc>
        <w:tc>
          <w:tcPr>
            <w:tcW w:w="602" w:type="dxa"/>
            <w:tcBorders>
              <w:top w:val="nil"/>
              <w:left w:val="nil"/>
              <w:bottom w:val="single" w:sz="4" w:space="0" w:color="auto"/>
              <w:right w:val="single" w:sz="4" w:space="0" w:color="auto"/>
            </w:tcBorders>
            <w:shd w:val="clear" w:color="auto" w:fill="auto"/>
            <w:vAlign w:val="center"/>
            <w:hideMark/>
          </w:tcPr>
          <w:p w14:paraId="2BE4376E"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18,6</w:t>
            </w:r>
          </w:p>
        </w:tc>
        <w:tc>
          <w:tcPr>
            <w:tcW w:w="697" w:type="dxa"/>
            <w:tcBorders>
              <w:top w:val="nil"/>
              <w:left w:val="nil"/>
              <w:bottom w:val="single" w:sz="4" w:space="0" w:color="auto"/>
              <w:right w:val="single" w:sz="4" w:space="0" w:color="auto"/>
            </w:tcBorders>
            <w:shd w:val="clear" w:color="auto" w:fill="auto"/>
            <w:vAlign w:val="center"/>
            <w:hideMark/>
          </w:tcPr>
          <w:p w14:paraId="6D2F3C58"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4,0</w:t>
            </w:r>
          </w:p>
        </w:tc>
        <w:tc>
          <w:tcPr>
            <w:tcW w:w="869" w:type="dxa"/>
            <w:tcBorders>
              <w:top w:val="nil"/>
              <w:left w:val="nil"/>
              <w:bottom w:val="single" w:sz="4" w:space="0" w:color="auto"/>
              <w:right w:val="single" w:sz="4" w:space="0" w:color="auto"/>
            </w:tcBorders>
            <w:shd w:val="clear" w:color="auto" w:fill="auto"/>
            <w:vAlign w:val="center"/>
            <w:hideMark/>
          </w:tcPr>
          <w:p w14:paraId="482ADD73"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35,0</w:t>
            </w:r>
          </w:p>
        </w:tc>
      </w:tr>
      <w:tr w:rsidR="00F00781" w:rsidRPr="00F00781" w14:paraId="3A60F89B" w14:textId="77777777" w:rsidTr="00E01BBF">
        <w:trPr>
          <w:trHeight w:val="196"/>
        </w:trPr>
        <w:tc>
          <w:tcPr>
            <w:tcW w:w="632" w:type="dxa"/>
            <w:tcBorders>
              <w:top w:val="nil"/>
              <w:left w:val="single" w:sz="4" w:space="0" w:color="auto"/>
              <w:bottom w:val="single" w:sz="4" w:space="0" w:color="auto"/>
              <w:right w:val="single" w:sz="4" w:space="0" w:color="auto"/>
            </w:tcBorders>
            <w:shd w:val="clear" w:color="auto" w:fill="auto"/>
            <w:vAlign w:val="center"/>
            <w:hideMark/>
          </w:tcPr>
          <w:p w14:paraId="1FD2501F" w14:textId="77777777" w:rsidR="00F00781" w:rsidRPr="00F00781" w:rsidRDefault="00F00781" w:rsidP="00F00781">
            <w:pPr>
              <w:rPr>
                <w:rFonts w:ascii="Arial Narrow" w:hAnsi="Arial Narrow" w:cs="Calibri"/>
                <w:sz w:val="14"/>
                <w:szCs w:val="14"/>
              </w:rPr>
            </w:pPr>
            <w:r w:rsidRPr="00F00781">
              <w:rPr>
                <w:rFonts w:ascii="Arial Narrow" w:hAnsi="Arial Narrow" w:cs="Calibri"/>
                <w:sz w:val="14"/>
                <w:szCs w:val="14"/>
              </w:rPr>
              <w:t xml:space="preserve"> 02.3</w:t>
            </w:r>
          </w:p>
        </w:tc>
        <w:tc>
          <w:tcPr>
            <w:tcW w:w="1671" w:type="dxa"/>
            <w:tcBorders>
              <w:top w:val="nil"/>
              <w:left w:val="nil"/>
              <w:bottom w:val="single" w:sz="4" w:space="0" w:color="auto"/>
              <w:right w:val="single" w:sz="4" w:space="0" w:color="auto"/>
            </w:tcBorders>
            <w:shd w:val="clear" w:color="auto" w:fill="auto"/>
            <w:vAlign w:val="center"/>
            <w:hideMark/>
          </w:tcPr>
          <w:p w14:paraId="62587F37" w14:textId="77777777" w:rsidR="00F00781" w:rsidRPr="00F00781" w:rsidRDefault="00F00781" w:rsidP="00F00781">
            <w:pPr>
              <w:ind w:firstLineChars="100" w:firstLine="140"/>
              <w:rPr>
                <w:rFonts w:ascii="Arial Narrow" w:hAnsi="Arial Narrow" w:cs="Calibri"/>
                <w:sz w:val="14"/>
                <w:szCs w:val="14"/>
              </w:rPr>
            </w:pPr>
            <w:r w:rsidRPr="00F00781">
              <w:rPr>
                <w:rFonts w:ascii="Arial Narrow" w:hAnsi="Arial Narrow" w:cs="Calibri"/>
                <w:sz w:val="14"/>
                <w:szCs w:val="14"/>
              </w:rPr>
              <w:t>Тютюн</w:t>
            </w:r>
          </w:p>
        </w:tc>
        <w:tc>
          <w:tcPr>
            <w:tcW w:w="773" w:type="dxa"/>
            <w:tcBorders>
              <w:top w:val="nil"/>
              <w:left w:val="nil"/>
              <w:bottom w:val="single" w:sz="4" w:space="0" w:color="auto"/>
              <w:right w:val="single" w:sz="4" w:space="0" w:color="auto"/>
            </w:tcBorders>
            <w:shd w:val="clear" w:color="auto" w:fill="auto"/>
            <w:vAlign w:val="center"/>
            <w:hideMark/>
          </w:tcPr>
          <w:p w14:paraId="78154588"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34,8</w:t>
            </w:r>
          </w:p>
        </w:tc>
        <w:tc>
          <w:tcPr>
            <w:tcW w:w="582" w:type="dxa"/>
            <w:tcBorders>
              <w:top w:val="nil"/>
              <w:left w:val="nil"/>
              <w:bottom w:val="single" w:sz="4" w:space="0" w:color="auto"/>
              <w:right w:val="single" w:sz="4" w:space="0" w:color="auto"/>
            </w:tcBorders>
            <w:shd w:val="clear" w:color="auto" w:fill="auto"/>
            <w:vAlign w:val="center"/>
            <w:hideMark/>
          </w:tcPr>
          <w:p w14:paraId="63196977" w14:textId="77777777" w:rsidR="00F00781" w:rsidRPr="00F00781" w:rsidRDefault="00F00781" w:rsidP="00F00781">
            <w:pPr>
              <w:rPr>
                <w:rFonts w:ascii="Arial Narrow" w:hAnsi="Arial Narrow" w:cs="Calibri"/>
                <w:sz w:val="14"/>
                <w:szCs w:val="14"/>
              </w:rPr>
            </w:pPr>
            <w:r w:rsidRPr="00F00781">
              <w:rPr>
                <w:rFonts w:ascii="Arial Narrow" w:hAnsi="Arial Narrow" w:cs="Calibri"/>
                <w:sz w:val="14"/>
                <w:szCs w:val="14"/>
              </w:rPr>
              <w:t> </w:t>
            </w:r>
          </w:p>
        </w:tc>
        <w:tc>
          <w:tcPr>
            <w:tcW w:w="681" w:type="dxa"/>
            <w:tcBorders>
              <w:top w:val="nil"/>
              <w:left w:val="nil"/>
              <w:bottom w:val="single" w:sz="4" w:space="0" w:color="auto"/>
              <w:right w:val="single" w:sz="4" w:space="0" w:color="auto"/>
            </w:tcBorders>
            <w:shd w:val="clear" w:color="auto" w:fill="auto"/>
            <w:vAlign w:val="center"/>
            <w:hideMark/>
          </w:tcPr>
          <w:p w14:paraId="60EFEC32"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17,7</w:t>
            </w:r>
          </w:p>
        </w:tc>
        <w:tc>
          <w:tcPr>
            <w:tcW w:w="789" w:type="dxa"/>
            <w:tcBorders>
              <w:top w:val="nil"/>
              <w:left w:val="nil"/>
              <w:bottom w:val="single" w:sz="4" w:space="0" w:color="auto"/>
              <w:right w:val="single" w:sz="4" w:space="0" w:color="auto"/>
            </w:tcBorders>
            <w:shd w:val="clear" w:color="auto" w:fill="auto"/>
            <w:vAlign w:val="center"/>
            <w:hideMark/>
          </w:tcPr>
          <w:p w14:paraId="6F451E91" w14:textId="77777777" w:rsidR="00F00781" w:rsidRPr="00F00781" w:rsidRDefault="00F00781" w:rsidP="00F00781">
            <w:pPr>
              <w:rPr>
                <w:rFonts w:ascii="Arial Narrow" w:hAnsi="Arial Narrow" w:cs="Calibri"/>
                <w:sz w:val="14"/>
                <w:szCs w:val="14"/>
              </w:rPr>
            </w:pPr>
            <w:r w:rsidRPr="00F00781">
              <w:rPr>
                <w:rFonts w:ascii="Arial Narrow" w:hAnsi="Arial Narrow" w:cs="Calibri"/>
                <w:sz w:val="14"/>
                <w:szCs w:val="14"/>
              </w:rPr>
              <w:t> </w:t>
            </w:r>
          </w:p>
        </w:tc>
        <w:tc>
          <w:tcPr>
            <w:tcW w:w="693" w:type="dxa"/>
            <w:tcBorders>
              <w:top w:val="nil"/>
              <w:left w:val="nil"/>
              <w:bottom w:val="single" w:sz="4" w:space="0" w:color="auto"/>
              <w:right w:val="single" w:sz="4" w:space="0" w:color="auto"/>
            </w:tcBorders>
            <w:shd w:val="clear" w:color="auto" w:fill="auto"/>
            <w:vAlign w:val="center"/>
            <w:hideMark/>
          </w:tcPr>
          <w:p w14:paraId="49B289CD" w14:textId="77777777" w:rsidR="00F00781" w:rsidRPr="00F00781" w:rsidRDefault="00F00781" w:rsidP="00F00781">
            <w:pPr>
              <w:rPr>
                <w:rFonts w:ascii="Arial Narrow" w:hAnsi="Arial Narrow" w:cs="Calibri"/>
                <w:sz w:val="14"/>
                <w:szCs w:val="14"/>
              </w:rPr>
            </w:pPr>
            <w:r w:rsidRPr="00F00781">
              <w:rPr>
                <w:rFonts w:ascii="Arial Narrow" w:hAnsi="Arial Narrow" w:cs="Calibri"/>
                <w:sz w:val="14"/>
                <w:szCs w:val="14"/>
              </w:rPr>
              <w:t> </w:t>
            </w:r>
          </w:p>
        </w:tc>
        <w:tc>
          <w:tcPr>
            <w:tcW w:w="537" w:type="dxa"/>
            <w:tcBorders>
              <w:top w:val="nil"/>
              <w:left w:val="nil"/>
              <w:bottom w:val="single" w:sz="4" w:space="0" w:color="auto"/>
              <w:right w:val="single" w:sz="4" w:space="0" w:color="auto"/>
            </w:tcBorders>
            <w:shd w:val="clear" w:color="auto" w:fill="auto"/>
            <w:vAlign w:val="center"/>
            <w:hideMark/>
          </w:tcPr>
          <w:p w14:paraId="615D5151" w14:textId="77777777" w:rsidR="00F00781" w:rsidRPr="00F00781" w:rsidRDefault="00F00781" w:rsidP="00F00781">
            <w:pPr>
              <w:rPr>
                <w:rFonts w:ascii="Arial Narrow" w:hAnsi="Arial Narrow" w:cs="Calibri"/>
                <w:sz w:val="14"/>
                <w:szCs w:val="14"/>
              </w:rPr>
            </w:pPr>
            <w:r w:rsidRPr="00F00781">
              <w:rPr>
                <w:rFonts w:ascii="Arial Narrow" w:hAnsi="Arial Narrow" w:cs="Calibri"/>
                <w:sz w:val="14"/>
                <w:szCs w:val="14"/>
              </w:rPr>
              <w:t> </w:t>
            </w:r>
          </w:p>
        </w:tc>
        <w:tc>
          <w:tcPr>
            <w:tcW w:w="1143" w:type="dxa"/>
            <w:tcBorders>
              <w:top w:val="nil"/>
              <w:left w:val="nil"/>
              <w:bottom w:val="single" w:sz="4" w:space="0" w:color="auto"/>
              <w:right w:val="single" w:sz="4" w:space="0" w:color="auto"/>
            </w:tcBorders>
            <w:shd w:val="clear" w:color="auto" w:fill="auto"/>
            <w:vAlign w:val="center"/>
            <w:hideMark/>
          </w:tcPr>
          <w:p w14:paraId="54057414"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1,5</w:t>
            </w:r>
          </w:p>
        </w:tc>
        <w:tc>
          <w:tcPr>
            <w:tcW w:w="1200" w:type="dxa"/>
            <w:tcBorders>
              <w:top w:val="nil"/>
              <w:left w:val="nil"/>
              <w:bottom w:val="single" w:sz="4" w:space="0" w:color="auto"/>
              <w:right w:val="single" w:sz="4" w:space="0" w:color="auto"/>
            </w:tcBorders>
            <w:shd w:val="clear" w:color="auto" w:fill="auto"/>
            <w:vAlign w:val="center"/>
            <w:hideMark/>
          </w:tcPr>
          <w:p w14:paraId="7043136E"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4,5</w:t>
            </w:r>
          </w:p>
        </w:tc>
        <w:tc>
          <w:tcPr>
            <w:tcW w:w="721" w:type="dxa"/>
            <w:tcBorders>
              <w:top w:val="nil"/>
              <w:left w:val="nil"/>
              <w:bottom w:val="single" w:sz="4" w:space="0" w:color="auto"/>
              <w:right w:val="single" w:sz="4" w:space="0" w:color="auto"/>
            </w:tcBorders>
            <w:shd w:val="clear" w:color="auto" w:fill="auto"/>
            <w:vAlign w:val="center"/>
            <w:hideMark/>
          </w:tcPr>
          <w:p w14:paraId="584D5FF1"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16,9</w:t>
            </w:r>
          </w:p>
        </w:tc>
        <w:tc>
          <w:tcPr>
            <w:tcW w:w="721" w:type="dxa"/>
            <w:tcBorders>
              <w:top w:val="nil"/>
              <w:left w:val="nil"/>
              <w:bottom w:val="single" w:sz="4" w:space="0" w:color="auto"/>
              <w:right w:val="single" w:sz="4" w:space="0" w:color="auto"/>
            </w:tcBorders>
            <w:shd w:val="clear" w:color="auto" w:fill="auto"/>
            <w:vAlign w:val="center"/>
            <w:hideMark/>
          </w:tcPr>
          <w:p w14:paraId="2B66797E"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19,8</w:t>
            </w:r>
          </w:p>
        </w:tc>
        <w:tc>
          <w:tcPr>
            <w:tcW w:w="698" w:type="dxa"/>
            <w:tcBorders>
              <w:top w:val="nil"/>
              <w:left w:val="nil"/>
              <w:bottom w:val="single" w:sz="4" w:space="0" w:color="auto"/>
              <w:right w:val="single" w:sz="4" w:space="0" w:color="auto"/>
            </w:tcBorders>
            <w:shd w:val="clear" w:color="auto" w:fill="auto"/>
            <w:vAlign w:val="center"/>
            <w:hideMark/>
          </w:tcPr>
          <w:p w14:paraId="154FA18E" w14:textId="77777777" w:rsidR="00F00781" w:rsidRPr="00F00781" w:rsidRDefault="00F00781" w:rsidP="00F00781">
            <w:pPr>
              <w:rPr>
                <w:rFonts w:ascii="Arial Narrow" w:hAnsi="Arial Narrow" w:cs="Calibri"/>
                <w:sz w:val="14"/>
                <w:szCs w:val="14"/>
              </w:rPr>
            </w:pPr>
            <w:r w:rsidRPr="00F00781">
              <w:rPr>
                <w:rFonts w:ascii="Arial Narrow" w:hAnsi="Arial Narrow" w:cs="Calibri"/>
                <w:sz w:val="14"/>
                <w:szCs w:val="14"/>
              </w:rPr>
              <w:t> </w:t>
            </w:r>
          </w:p>
        </w:tc>
        <w:tc>
          <w:tcPr>
            <w:tcW w:w="765" w:type="dxa"/>
            <w:tcBorders>
              <w:top w:val="nil"/>
              <w:left w:val="nil"/>
              <w:bottom w:val="single" w:sz="4" w:space="0" w:color="auto"/>
              <w:right w:val="single" w:sz="4" w:space="0" w:color="auto"/>
            </w:tcBorders>
            <w:shd w:val="clear" w:color="auto" w:fill="auto"/>
            <w:vAlign w:val="center"/>
            <w:hideMark/>
          </w:tcPr>
          <w:p w14:paraId="2AF582B4"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36,8</w:t>
            </w:r>
          </w:p>
        </w:tc>
        <w:tc>
          <w:tcPr>
            <w:tcW w:w="970" w:type="dxa"/>
            <w:tcBorders>
              <w:top w:val="nil"/>
              <w:left w:val="nil"/>
              <w:bottom w:val="single" w:sz="4" w:space="0" w:color="auto"/>
              <w:right w:val="single" w:sz="4" w:space="0" w:color="auto"/>
            </w:tcBorders>
            <w:shd w:val="clear" w:color="auto" w:fill="auto"/>
            <w:vAlign w:val="center"/>
            <w:hideMark/>
          </w:tcPr>
          <w:p w14:paraId="27A3FD1F" w14:textId="77777777" w:rsidR="00F00781" w:rsidRPr="00F00781" w:rsidRDefault="00F00781" w:rsidP="00F00781">
            <w:pPr>
              <w:rPr>
                <w:rFonts w:ascii="Arial Narrow" w:hAnsi="Arial Narrow" w:cs="Calibri"/>
                <w:sz w:val="14"/>
                <w:szCs w:val="14"/>
              </w:rPr>
            </w:pPr>
            <w:r w:rsidRPr="00F00781">
              <w:rPr>
                <w:rFonts w:ascii="Arial Narrow" w:hAnsi="Arial Narrow" w:cs="Calibri"/>
                <w:sz w:val="14"/>
                <w:szCs w:val="14"/>
              </w:rPr>
              <w:t> </w:t>
            </w:r>
          </w:p>
        </w:tc>
        <w:tc>
          <w:tcPr>
            <w:tcW w:w="602" w:type="dxa"/>
            <w:tcBorders>
              <w:top w:val="nil"/>
              <w:left w:val="nil"/>
              <w:bottom w:val="single" w:sz="4" w:space="0" w:color="auto"/>
              <w:right w:val="single" w:sz="4" w:space="0" w:color="auto"/>
            </w:tcBorders>
            <w:shd w:val="clear" w:color="auto" w:fill="auto"/>
            <w:vAlign w:val="center"/>
            <w:hideMark/>
          </w:tcPr>
          <w:p w14:paraId="59325DE9"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9,7</w:t>
            </w:r>
          </w:p>
        </w:tc>
        <w:tc>
          <w:tcPr>
            <w:tcW w:w="697" w:type="dxa"/>
            <w:tcBorders>
              <w:top w:val="nil"/>
              <w:left w:val="nil"/>
              <w:bottom w:val="single" w:sz="4" w:space="0" w:color="auto"/>
              <w:right w:val="single" w:sz="4" w:space="0" w:color="auto"/>
            </w:tcBorders>
            <w:shd w:val="clear" w:color="auto" w:fill="auto"/>
            <w:vAlign w:val="center"/>
            <w:hideMark/>
          </w:tcPr>
          <w:p w14:paraId="7C4990B4"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-8,0</w:t>
            </w:r>
          </w:p>
        </w:tc>
        <w:tc>
          <w:tcPr>
            <w:tcW w:w="869" w:type="dxa"/>
            <w:tcBorders>
              <w:top w:val="nil"/>
              <w:left w:val="nil"/>
              <w:bottom w:val="single" w:sz="4" w:space="0" w:color="auto"/>
              <w:right w:val="single" w:sz="4" w:space="0" w:color="auto"/>
            </w:tcBorders>
            <w:shd w:val="clear" w:color="auto" w:fill="auto"/>
            <w:vAlign w:val="center"/>
            <w:hideMark/>
          </w:tcPr>
          <w:p w14:paraId="2D413A29"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34,8</w:t>
            </w:r>
          </w:p>
        </w:tc>
      </w:tr>
      <w:tr w:rsidR="00F00781" w:rsidRPr="00F00781" w14:paraId="43146AA7" w14:textId="77777777" w:rsidTr="00E01BBF">
        <w:trPr>
          <w:trHeight w:val="196"/>
        </w:trPr>
        <w:tc>
          <w:tcPr>
            <w:tcW w:w="632" w:type="dxa"/>
            <w:tcBorders>
              <w:top w:val="nil"/>
              <w:left w:val="single" w:sz="4" w:space="0" w:color="auto"/>
              <w:bottom w:val="single" w:sz="4" w:space="0" w:color="auto"/>
              <w:right w:val="single" w:sz="4" w:space="0" w:color="auto"/>
            </w:tcBorders>
            <w:shd w:val="clear" w:color="auto" w:fill="auto"/>
            <w:vAlign w:val="center"/>
            <w:hideMark/>
          </w:tcPr>
          <w:p w14:paraId="352E379D" w14:textId="77777777" w:rsidR="00F00781" w:rsidRPr="00F00781" w:rsidRDefault="00F00781" w:rsidP="00F00781">
            <w:pPr>
              <w:rPr>
                <w:rFonts w:ascii="Arial Narrow" w:hAnsi="Arial Narrow" w:cs="Calibri"/>
                <w:sz w:val="14"/>
                <w:szCs w:val="14"/>
              </w:rPr>
            </w:pPr>
            <w:r w:rsidRPr="00F00781">
              <w:rPr>
                <w:rFonts w:ascii="Arial Narrow" w:hAnsi="Arial Narrow" w:cs="Calibri"/>
                <w:sz w:val="14"/>
                <w:szCs w:val="14"/>
              </w:rPr>
              <w:t xml:space="preserve"> 02.4</w:t>
            </w:r>
          </w:p>
        </w:tc>
        <w:tc>
          <w:tcPr>
            <w:tcW w:w="1671" w:type="dxa"/>
            <w:tcBorders>
              <w:top w:val="nil"/>
              <w:left w:val="nil"/>
              <w:bottom w:val="single" w:sz="4" w:space="0" w:color="auto"/>
              <w:right w:val="single" w:sz="4" w:space="0" w:color="auto"/>
            </w:tcBorders>
            <w:shd w:val="clear" w:color="auto" w:fill="auto"/>
            <w:vAlign w:val="center"/>
            <w:hideMark/>
          </w:tcPr>
          <w:p w14:paraId="49184BB0" w14:textId="77777777" w:rsidR="00F00781" w:rsidRPr="00F00781" w:rsidRDefault="00F00781" w:rsidP="00F00781">
            <w:pPr>
              <w:ind w:firstLineChars="100" w:firstLine="140"/>
              <w:rPr>
                <w:rFonts w:ascii="Arial Narrow" w:hAnsi="Arial Narrow" w:cs="Calibri"/>
                <w:sz w:val="14"/>
                <w:szCs w:val="14"/>
              </w:rPr>
            </w:pPr>
            <w:r w:rsidRPr="00F00781">
              <w:rPr>
                <w:rFonts w:ascii="Arial Narrow" w:hAnsi="Arial Narrow" w:cs="Calibri"/>
                <w:sz w:val="14"/>
                <w:szCs w:val="14"/>
              </w:rPr>
              <w:t>Захарно цвекло</w:t>
            </w:r>
          </w:p>
        </w:tc>
        <w:tc>
          <w:tcPr>
            <w:tcW w:w="773" w:type="dxa"/>
            <w:tcBorders>
              <w:top w:val="nil"/>
              <w:left w:val="nil"/>
              <w:bottom w:val="single" w:sz="4" w:space="0" w:color="auto"/>
              <w:right w:val="single" w:sz="4" w:space="0" w:color="auto"/>
            </w:tcBorders>
            <w:shd w:val="clear" w:color="auto" w:fill="auto"/>
            <w:vAlign w:val="center"/>
            <w:hideMark/>
          </w:tcPr>
          <w:p w14:paraId="441C8DFB"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 </w:t>
            </w:r>
          </w:p>
        </w:tc>
        <w:tc>
          <w:tcPr>
            <w:tcW w:w="582" w:type="dxa"/>
            <w:tcBorders>
              <w:top w:val="nil"/>
              <w:left w:val="nil"/>
              <w:bottom w:val="single" w:sz="4" w:space="0" w:color="auto"/>
              <w:right w:val="single" w:sz="4" w:space="0" w:color="auto"/>
            </w:tcBorders>
            <w:shd w:val="clear" w:color="auto" w:fill="auto"/>
            <w:vAlign w:val="center"/>
            <w:hideMark/>
          </w:tcPr>
          <w:p w14:paraId="167FB75E"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 </w:t>
            </w:r>
          </w:p>
        </w:tc>
        <w:tc>
          <w:tcPr>
            <w:tcW w:w="681" w:type="dxa"/>
            <w:tcBorders>
              <w:top w:val="nil"/>
              <w:left w:val="nil"/>
              <w:bottom w:val="single" w:sz="4" w:space="0" w:color="auto"/>
              <w:right w:val="single" w:sz="4" w:space="0" w:color="auto"/>
            </w:tcBorders>
            <w:shd w:val="clear" w:color="auto" w:fill="auto"/>
            <w:vAlign w:val="center"/>
            <w:hideMark/>
          </w:tcPr>
          <w:p w14:paraId="3CAA5B2E"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 </w:t>
            </w:r>
          </w:p>
        </w:tc>
        <w:tc>
          <w:tcPr>
            <w:tcW w:w="789" w:type="dxa"/>
            <w:tcBorders>
              <w:top w:val="nil"/>
              <w:left w:val="nil"/>
              <w:bottom w:val="single" w:sz="4" w:space="0" w:color="auto"/>
              <w:right w:val="single" w:sz="4" w:space="0" w:color="auto"/>
            </w:tcBorders>
            <w:shd w:val="clear" w:color="auto" w:fill="auto"/>
            <w:vAlign w:val="center"/>
            <w:hideMark/>
          </w:tcPr>
          <w:p w14:paraId="6E78B8DE"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 </w:t>
            </w:r>
          </w:p>
        </w:tc>
        <w:tc>
          <w:tcPr>
            <w:tcW w:w="693" w:type="dxa"/>
            <w:tcBorders>
              <w:top w:val="nil"/>
              <w:left w:val="nil"/>
              <w:bottom w:val="single" w:sz="4" w:space="0" w:color="auto"/>
              <w:right w:val="single" w:sz="4" w:space="0" w:color="auto"/>
            </w:tcBorders>
            <w:shd w:val="clear" w:color="auto" w:fill="auto"/>
            <w:vAlign w:val="center"/>
            <w:hideMark/>
          </w:tcPr>
          <w:p w14:paraId="28590F97"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 </w:t>
            </w:r>
          </w:p>
        </w:tc>
        <w:tc>
          <w:tcPr>
            <w:tcW w:w="537" w:type="dxa"/>
            <w:tcBorders>
              <w:top w:val="nil"/>
              <w:left w:val="nil"/>
              <w:bottom w:val="single" w:sz="4" w:space="0" w:color="auto"/>
              <w:right w:val="single" w:sz="4" w:space="0" w:color="auto"/>
            </w:tcBorders>
            <w:shd w:val="clear" w:color="auto" w:fill="auto"/>
            <w:vAlign w:val="center"/>
            <w:hideMark/>
          </w:tcPr>
          <w:p w14:paraId="7BB7DFE8"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 </w:t>
            </w:r>
          </w:p>
        </w:tc>
        <w:tc>
          <w:tcPr>
            <w:tcW w:w="1143" w:type="dxa"/>
            <w:tcBorders>
              <w:top w:val="nil"/>
              <w:left w:val="nil"/>
              <w:bottom w:val="single" w:sz="4" w:space="0" w:color="auto"/>
              <w:right w:val="single" w:sz="4" w:space="0" w:color="auto"/>
            </w:tcBorders>
            <w:shd w:val="clear" w:color="auto" w:fill="auto"/>
            <w:vAlign w:val="center"/>
            <w:hideMark/>
          </w:tcPr>
          <w:p w14:paraId="5815AF21"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 </w:t>
            </w:r>
          </w:p>
        </w:tc>
        <w:tc>
          <w:tcPr>
            <w:tcW w:w="1200" w:type="dxa"/>
            <w:tcBorders>
              <w:top w:val="nil"/>
              <w:left w:val="nil"/>
              <w:bottom w:val="single" w:sz="4" w:space="0" w:color="auto"/>
              <w:right w:val="single" w:sz="4" w:space="0" w:color="auto"/>
            </w:tcBorders>
            <w:shd w:val="clear" w:color="auto" w:fill="auto"/>
            <w:vAlign w:val="center"/>
            <w:hideMark/>
          </w:tcPr>
          <w:p w14:paraId="52EC7BE6"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 </w:t>
            </w:r>
          </w:p>
        </w:tc>
        <w:tc>
          <w:tcPr>
            <w:tcW w:w="721" w:type="dxa"/>
            <w:tcBorders>
              <w:top w:val="nil"/>
              <w:left w:val="nil"/>
              <w:bottom w:val="single" w:sz="4" w:space="0" w:color="auto"/>
              <w:right w:val="single" w:sz="4" w:space="0" w:color="auto"/>
            </w:tcBorders>
            <w:shd w:val="clear" w:color="auto" w:fill="auto"/>
            <w:vAlign w:val="center"/>
            <w:hideMark/>
          </w:tcPr>
          <w:p w14:paraId="555A0A82"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 </w:t>
            </w:r>
          </w:p>
        </w:tc>
        <w:tc>
          <w:tcPr>
            <w:tcW w:w="721" w:type="dxa"/>
            <w:tcBorders>
              <w:top w:val="nil"/>
              <w:left w:val="nil"/>
              <w:bottom w:val="single" w:sz="4" w:space="0" w:color="auto"/>
              <w:right w:val="single" w:sz="4" w:space="0" w:color="auto"/>
            </w:tcBorders>
            <w:shd w:val="clear" w:color="auto" w:fill="auto"/>
            <w:vAlign w:val="center"/>
            <w:hideMark/>
          </w:tcPr>
          <w:p w14:paraId="7A5202E7"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 </w:t>
            </w:r>
          </w:p>
        </w:tc>
        <w:tc>
          <w:tcPr>
            <w:tcW w:w="698" w:type="dxa"/>
            <w:tcBorders>
              <w:top w:val="nil"/>
              <w:left w:val="nil"/>
              <w:bottom w:val="single" w:sz="4" w:space="0" w:color="auto"/>
              <w:right w:val="single" w:sz="4" w:space="0" w:color="auto"/>
            </w:tcBorders>
            <w:shd w:val="clear" w:color="auto" w:fill="auto"/>
            <w:vAlign w:val="center"/>
            <w:hideMark/>
          </w:tcPr>
          <w:p w14:paraId="3746446A"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 </w:t>
            </w:r>
          </w:p>
        </w:tc>
        <w:tc>
          <w:tcPr>
            <w:tcW w:w="765" w:type="dxa"/>
            <w:tcBorders>
              <w:top w:val="nil"/>
              <w:left w:val="nil"/>
              <w:bottom w:val="single" w:sz="4" w:space="0" w:color="auto"/>
              <w:right w:val="single" w:sz="4" w:space="0" w:color="auto"/>
            </w:tcBorders>
            <w:shd w:val="clear" w:color="auto" w:fill="auto"/>
            <w:vAlign w:val="center"/>
            <w:hideMark/>
          </w:tcPr>
          <w:p w14:paraId="1DBB70F3"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 </w:t>
            </w:r>
          </w:p>
        </w:tc>
        <w:tc>
          <w:tcPr>
            <w:tcW w:w="970" w:type="dxa"/>
            <w:tcBorders>
              <w:top w:val="nil"/>
              <w:left w:val="nil"/>
              <w:bottom w:val="single" w:sz="4" w:space="0" w:color="auto"/>
              <w:right w:val="single" w:sz="4" w:space="0" w:color="auto"/>
            </w:tcBorders>
            <w:shd w:val="clear" w:color="auto" w:fill="auto"/>
            <w:vAlign w:val="center"/>
            <w:hideMark/>
          </w:tcPr>
          <w:p w14:paraId="3AE8D6F8"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 </w:t>
            </w:r>
          </w:p>
        </w:tc>
        <w:tc>
          <w:tcPr>
            <w:tcW w:w="602" w:type="dxa"/>
            <w:tcBorders>
              <w:top w:val="nil"/>
              <w:left w:val="nil"/>
              <w:bottom w:val="single" w:sz="4" w:space="0" w:color="auto"/>
              <w:right w:val="single" w:sz="4" w:space="0" w:color="auto"/>
            </w:tcBorders>
            <w:shd w:val="clear" w:color="auto" w:fill="auto"/>
            <w:vAlign w:val="center"/>
            <w:hideMark/>
          </w:tcPr>
          <w:p w14:paraId="118BC6E2"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 </w:t>
            </w:r>
          </w:p>
        </w:tc>
        <w:tc>
          <w:tcPr>
            <w:tcW w:w="697" w:type="dxa"/>
            <w:tcBorders>
              <w:top w:val="nil"/>
              <w:left w:val="nil"/>
              <w:bottom w:val="single" w:sz="4" w:space="0" w:color="auto"/>
              <w:right w:val="single" w:sz="4" w:space="0" w:color="auto"/>
            </w:tcBorders>
            <w:shd w:val="clear" w:color="auto" w:fill="auto"/>
            <w:vAlign w:val="center"/>
            <w:hideMark/>
          </w:tcPr>
          <w:p w14:paraId="3A5976F6"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 </w:t>
            </w:r>
          </w:p>
        </w:tc>
        <w:tc>
          <w:tcPr>
            <w:tcW w:w="869" w:type="dxa"/>
            <w:tcBorders>
              <w:top w:val="nil"/>
              <w:left w:val="nil"/>
              <w:bottom w:val="single" w:sz="4" w:space="0" w:color="auto"/>
              <w:right w:val="single" w:sz="4" w:space="0" w:color="auto"/>
            </w:tcBorders>
            <w:shd w:val="clear" w:color="auto" w:fill="auto"/>
            <w:vAlign w:val="center"/>
            <w:hideMark/>
          </w:tcPr>
          <w:p w14:paraId="15359150"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 </w:t>
            </w:r>
          </w:p>
        </w:tc>
      </w:tr>
      <w:tr w:rsidR="00F00781" w:rsidRPr="00F00781" w14:paraId="6E186B39" w14:textId="77777777" w:rsidTr="00E01BBF">
        <w:trPr>
          <w:trHeight w:val="196"/>
        </w:trPr>
        <w:tc>
          <w:tcPr>
            <w:tcW w:w="632" w:type="dxa"/>
            <w:tcBorders>
              <w:top w:val="nil"/>
              <w:left w:val="single" w:sz="4" w:space="0" w:color="auto"/>
              <w:bottom w:val="single" w:sz="4" w:space="0" w:color="auto"/>
              <w:right w:val="single" w:sz="4" w:space="0" w:color="auto"/>
            </w:tcBorders>
            <w:shd w:val="clear" w:color="auto" w:fill="auto"/>
            <w:vAlign w:val="center"/>
            <w:hideMark/>
          </w:tcPr>
          <w:p w14:paraId="014C522D" w14:textId="77777777" w:rsidR="00F00781" w:rsidRPr="00F00781" w:rsidRDefault="00F00781" w:rsidP="00F00781">
            <w:pPr>
              <w:rPr>
                <w:rFonts w:ascii="Arial Narrow" w:hAnsi="Arial Narrow" w:cs="Calibri"/>
                <w:sz w:val="14"/>
                <w:szCs w:val="14"/>
              </w:rPr>
            </w:pPr>
            <w:r w:rsidRPr="00F00781">
              <w:rPr>
                <w:rFonts w:ascii="Arial Narrow" w:hAnsi="Arial Narrow" w:cs="Calibri"/>
                <w:sz w:val="14"/>
                <w:szCs w:val="14"/>
              </w:rPr>
              <w:t xml:space="preserve"> 02.5</w:t>
            </w:r>
          </w:p>
        </w:tc>
        <w:tc>
          <w:tcPr>
            <w:tcW w:w="1671" w:type="dxa"/>
            <w:tcBorders>
              <w:top w:val="nil"/>
              <w:left w:val="nil"/>
              <w:bottom w:val="single" w:sz="4" w:space="0" w:color="auto"/>
              <w:right w:val="single" w:sz="4" w:space="0" w:color="auto"/>
            </w:tcBorders>
            <w:shd w:val="clear" w:color="auto" w:fill="auto"/>
            <w:vAlign w:val="center"/>
            <w:hideMark/>
          </w:tcPr>
          <w:p w14:paraId="67F94317" w14:textId="77777777" w:rsidR="00F00781" w:rsidRPr="00F00781" w:rsidRDefault="00F00781" w:rsidP="00F00781">
            <w:pPr>
              <w:ind w:firstLineChars="100" w:firstLine="140"/>
              <w:rPr>
                <w:rFonts w:ascii="Arial Narrow" w:hAnsi="Arial Narrow" w:cs="Calibri"/>
                <w:sz w:val="14"/>
                <w:szCs w:val="14"/>
              </w:rPr>
            </w:pPr>
            <w:r w:rsidRPr="00F00781">
              <w:rPr>
                <w:rFonts w:ascii="Arial Narrow" w:hAnsi="Arial Narrow" w:cs="Calibri"/>
                <w:sz w:val="14"/>
                <w:szCs w:val="14"/>
              </w:rPr>
              <w:t xml:space="preserve">Други технически </w:t>
            </w:r>
          </w:p>
        </w:tc>
        <w:tc>
          <w:tcPr>
            <w:tcW w:w="773" w:type="dxa"/>
            <w:tcBorders>
              <w:top w:val="nil"/>
              <w:left w:val="nil"/>
              <w:bottom w:val="single" w:sz="4" w:space="0" w:color="auto"/>
              <w:right w:val="single" w:sz="4" w:space="0" w:color="auto"/>
            </w:tcBorders>
            <w:shd w:val="clear" w:color="auto" w:fill="auto"/>
            <w:vAlign w:val="center"/>
            <w:hideMark/>
          </w:tcPr>
          <w:p w14:paraId="608FB2C7"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107,6</w:t>
            </w:r>
          </w:p>
        </w:tc>
        <w:tc>
          <w:tcPr>
            <w:tcW w:w="582" w:type="dxa"/>
            <w:tcBorders>
              <w:top w:val="nil"/>
              <w:left w:val="nil"/>
              <w:bottom w:val="single" w:sz="4" w:space="0" w:color="auto"/>
              <w:right w:val="single" w:sz="4" w:space="0" w:color="auto"/>
            </w:tcBorders>
            <w:shd w:val="clear" w:color="auto" w:fill="auto"/>
            <w:vAlign w:val="center"/>
            <w:hideMark/>
          </w:tcPr>
          <w:p w14:paraId="03CA7767"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0,1</w:t>
            </w:r>
          </w:p>
        </w:tc>
        <w:tc>
          <w:tcPr>
            <w:tcW w:w="681" w:type="dxa"/>
            <w:tcBorders>
              <w:top w:val="nil"/>
              <w:left w:val="nil"/>
              <w:bottom w:val="single" w:sz="4" w:space="0" w:color="auto"/>
              <w:right w:val="single" w:sz="4" w:space="0" w:color="auto"/>
            </w:tcBorders>
            <w:shd w:val="clear" w:color="auto" w:fill="auto"/>
            <w:vAlign w:val="center"/>
            <w:hideMark/>
          </w:tcPr>
          <w:p w14:paraId="09536E9B"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22,6</w:t>
            </w:r>
          </w:p>
        </w:tc>
        <w:tc>
          <w:tcPr>
            <w:tcW w:w="789" w:type="dxa"/>
            <w:tcBorders>
              <w:top w:val="nil"/>
              <w:left w:val="nil"/>
              <w:bottom w:val="single" w:sz="4" w:space="0" w:color="auto"/>
              <w:right w:val="single" w:sz="4" w:space="0" w:color="auto"/>
            </w:tcBorders>
            <w:shd w:val="clear" w:color="auto" w:fill="auto"/>
            <w:vAlign w:val="center"/>
            <w:hideMark/>
          </w:tcPr>
          <w:p w14:paraId="60C6EF06"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0,6</w:t>
            </w:r>
          </w:p>
        </w:tc>
        <w:tc>
          <w:tcPr>
            <w:tcW w:w="693" w:type="dxa"/>
            <w:tcBorders>
              <w:top w:val="nil"/>
              <w:left w:val="nil"/>
              <w:bottom w:val="single" w:sz="4" w:space="0" w:color="auto"/>
              <w:right w:val="single" w:sz="4" w:space="0" w:color="auto"/>
            </w:tcBorders>
            <w:shd w:val="clear" w:color="auto" w:fill="auto"/>
            <w:vAlign w:val="center"/>
            <w:hideMark/>
          </w:tcPr>
          <w:p w14:paraId="4ACC944B"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0,1</w:t>
            </w:r>
          </w:p>
        </w:tc>
        <w:tc>
          <w:tcPr>
            <w:tcW w:w="537" w:type="dxa"/>
            <w:tcBorders>
              <w:top w:val="nil"/>
              <w:left w:val="nil"/>
              <w:bottom w:val="single" w:sz="4" w:space="0" w:color="auto"/>
              <w:right w:val="single" w:sz="4" w:space="0" w:color="auto"/>
            </w:tcBorders>
            <w:shd w:val="clear" w:color="auto" w:fill="auto"/>
            <w:vAlign w:val="center"/>
            <w:hideMark/>
          </w:tcPr>
          <w:p w14:paraId="2561D64B"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1,4</w:t>
            </w:r>
          </w:p>
        </w:tc>
        <w:tc>
          <w:tcPr>
            <w:tcW w:w="1143" w:type="dxa"/>
            <w:tcBorders>
              <w:top w:val="nil"/>
              <w:left w:val="nil"/>
              <w:bottom w:val="single" w:sz="4" w:space="0" w:color="auto"/>
              <w:right w:val="single" w:sz="4" w:space="0" w:color="auto"/>
            </w:tcBorders>
            <w:shd w:val="clear" w:color="auto" w:fill="auto"/>
            <w:vAlign w:val="center"/>
            <w:hideMark/>
          </w:tcPr>
          <w:p w14:paraId="3566B4F1"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19,2</w:t>
            </w:r>
          </w:p>
        </w:tc>
        <w:tc>
          <w:tcPr>
            <w:tcW w:w="1200" w:type="dxa"/>
            <w:tcBorders>
              <w:top w:val="nil"/>
              <w:left w:val="nil"/>
              <w:bottom w:val="single" w:sz="4" w:space="0" w:color="auto"/>
              <w:right w:val="single" w:sz="4" w:space="0" w:color="auto"/>
            </w:tcBorders>
            <w:shd w:val="clear" w:color="auto" w:fill="auto"/>
            <w:vAlign w:val="center"/>
            <w:hideMark/>
          </w:tcPr>
          <w:p w14:paraId="40385625"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2,6</w:t>
            </w:r>
          </w:p>
        </w:tc>
        <w:tc>
          <w:tcPr>
            <w:tcW w:w="721" w:type="dxa"/>
            <w:tcBorders>
              <w:top w:val="nil"/>
              <w:left w:val="nil"/>
              <w:bottom w:val="single" w:sz="4" w:space="0" w:color="auto"/>
              <w:right w:val="single" w:sz="4" w:space="0" w:color="auto"/>
            </w:tcBorders>
            <w:shd w:val="clear" w:color="auto" w:fill="auto"/>
            <w:vAlign w:val="center"/>
            <w:hideMark/>
          </w:tcPr>
          <w:p w14:paraId="4C4DA60D"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8,1</w:t>
            </w:r>
          </w:p>
        </w:tc>
        <w:tc>
          <w:tcPr>
            <w:tcW w:w="721" w:type="dxa"/>
            <w:tcBorders>
              <w:top w:val="nil"/>
              <w:left w:val="nil"/>
              <w:bottom w:val="single" w:sz="4" w:space="0" w:color="auto"/>
              <w:right w:val="single" w:sz="4" w:space="0" w:color="auto"/>
            </w:tcBorders>
            <w:shd w:val="clear" w:color="auto" w:fill="auto"/>
            <w:vAlign w:val="center"/>
            <w:hideMark/>
          </w:tcPr>
          <w:p w14:paraId="59E82E0B"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85,3</w:t>
            </w:r>
          </w:p>
        </w:tc>
        <w:tc>
          <w:tcPr>
            <w:tcW w:w="698" w:type="dxa"/>
            <w:tcBorders>
              <w:top w:val="nil"/>
              <w:left w:val="nil"/>
              <w:bottom w:val="single" w:sz="4" w:space="0" w:color="auto"/>
              <w:right w:val="single" w:sz="4" w:space="0" w:color="auto"/>
            </w:tcBorders>
            <w:shd w:val="clear" w:color="auto" w:fill="auto"/>
            <w:vAlign w:val="center"/>
            <w:hideMark/>
          </w:tcPr>
          <w:p w14:paraId="3B3B365C"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0,3</w:t>
            </w:r>
          </w:p>
        </w:tc>
        <w:tc>
          <w:tcPr>
            <w:tcW w:w="765" w:type="dxa"/>
            <w:tcBorders>
              <w:top w:val="nil"/>
              <w:left w:val="nil"/>
              <w:bottom w:val="single" w:sz="4" w:space="0" w:color="auto"/>
              <w:right w:val="single" w:sz="4" w:space="0" w:color="auto"/>
            </w:tcBorders>
            <w:shd w:val="clear" w:color="auto" w:fill="auto"/>
            <w:vAlign w:val="center"/>
            <w:hideMark/>
          </w:tcPr>
          <w:p w14:paraId="69A14382"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93,7</w:t>
            </w:r>
          </w:p>
        </w:tc>
        <w:tc>
          <w:tcPr>
            <w:tcW w:w="970" w:type="dxa"/>
            <w:tcBorders>
              <w:top w:val="nil"/>
              <w:left w:val="nil"/>
              <w:bottom w:val="single" w:sz="4" w:space="0" w:color="auto"/>
              <w:right w:val="single" w:sz="4" w:space="0" w:color="auto"/>
            </w:tcBorders>
            <w:shd w:val="clear" w:color="auto" w:fill="auto"/>
            <w:vAlign w:val="center"/>
            <w:hideMark/>
          </w:tcPr>
          <w:p w14:paraId="6AA7B521" w14:textId="77777777" w:rsidR="00F00781" w:rsidRPr="00F00781" w:rsidRDefault="00F00781" w:rsidP="00F00781">
            <w:pPr>
              <w:rPr>
                <w:rFonts w:ascii="Arial Narrow" w:hAnsi="Arial Narrow" w:cs="Calibri"/>
                <w:sz w:val="14"/>
                <w:szCs w:val="14"/>
              </w:rPr>
            </w:pPr>
            <w:r w:rsidRPr="00F00781">
              <w:rPr>
                <w:rFonts w:ascii="Arial Narrow" w:hAnsi="Arial Narrow" w:cs="Calibri"/>
                <w:sz w:val="14"/>
                <w:szCs w:val="14"/>
              </w:rPr>
              <w:t> </w:t>
            </w:r>
          </w:p>
        </w:tc>
        <w:tc>
          <w:tcPr>
            <w:tcW w:w="602" w:type="dxa"/>
            <w:tcBorders>
              <w:top w:val="nil"/>
              <w:left w:val="nil"/>
              <w:bottom w:val="single" w:sz="4" w:space="0" w:color="auto"/>
              <w:right w:val="single" w:sz="4" w:space="0" w:color="auto"/>
            </w:tcBorders>
            <w:shd w:val="clear" w:color="auto" w:fill="auto"/>
            <w:vAlign w:val="center"/>
            <w:hideMark/>
          </w:tcPr>
          <w:p w14:paraId="3EDCAA33"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12,5</w:t>
            </w:r>
          </w:p>
        </w:tc>
        <w:tc>
          <w:tcPr>
            <w:tcW w:w="697" w:type="dxa"/>
            <w:tcBorders>
              <w:top w:val="nil"/>
              <w:left w:val="nil"/>
              <w:bottom w:val="single" w:sz="4" w:space="0" w:color="auto"/>
              <w:right w:val="single" w:sz="4" w:space="0" w:color="auto"/>
            </w:tcBorders>
            <w:shd w:val="clear" w:color="auto" w:fill="auto"/>
            <w:vAlign w:val="center"/>
            <w:hideMark/>
          </w:tcPr>
          <w:p w14:paraId="327A3FFE"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-10,1</w:t>
            </w:r>
          </w:p>
        </w:tc>
        <w:tc>
          <w:tcPr>
            <w:tcW w:w="869" w:type="dxa"/>
            <w:tcBorders>
              <w:top w:val="nil"/>
              <w:left w:val="nil"/>
              <w:bottom w:val="single" w:sz="4" w:space="0" w:color="auto"/>
              <w:right w:val="single" w:sz="4" w:space="0" w:color="auto"/>
            </w:tcBorders>
            <w:shd w:val="clear" w:color="auto" w:fill="auto"/>
            <w:vAlign w:val="center"/>
            <w:hideMark/>
          </w:tcPr>
          <w:p w14:paraId="16F5C878"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105,5</w:t>
            </w:r>
          </w:p>
        </w:tc>
      </w:tr>
      <w:tr w:rsidR="00F00781" w:rsidRPr="00F00781" w14:paraId="714D584B" w14:textId="77777777" w:rsidTr="00E01BBF">
        <w:trPr>
          <w:trHeight w:val="196"/>
        </w:trPr>
        <w:tc>
          <w:tcPr>
            <w:tcW w:w="632" w:type="dxa"/>
            <w:tcBorders>
              <w:top w:val="nil"/>
              <w:left w:val="single" w:sz="4" w:space="0" w:color="auto"/>
              <w:bottom w:val="single" w:sz="4" w:space="0" w:color="auto"/>
              <w:right w:val="single" w:sz="4" w:space="0" w:color="auto"/>
            </w:tcBorders>
            <w:shd w:val="clear" w:color="auto" w:fill="auto"/>
            <w:vAlign w:val="center"/>
            <w:hideMark/>
          </w:tcPr>
          <w:p w14:paraId="39D65C6C" w14:textId="77777777" w:rsidR="00F00781" w:rsidRPr="00F00781" w:rsidRDefault="00F00781" w:rsidP="00F00781">
            <w:pPr>
              <w:rPr>
                <w:rFonts w:ascii="Arial Narrow" w:hAnsi="Arial Narrow" w:cs="Calibri"/>
                <w:sz w:val="14"/>
                <w:szCs w:val="14"/>
              </w:rPr>
            </w:pPr>
            <w:r w:rsidRPr="00F00781">
              <w:rPr>
                <w:rFonts w:ascii="Arial Narrow" w:hAnsi="Arial Narrow" w:cs="Calibri"/>
                <w:sz w:val="14"/>
                <w:szCs w:val="14"/>
              </w:rPr>
              <w:t xml:space="preserve"> 02.5/1</w:t>
            </w:r>
          </w:p>
        </w:tc>
        <w:tc>
          <w:tcPr>
            <w:tcW w:w="1671" w:type="dxa"/>
            <w:tcBorders>
              <w:top w:val="nil"/>
              <w:left w:val="nil"/>
              <w:bottom w:val="single" w:sz="4" w:space="0" w:color="auto"/>
              <w:right w:val="single" w:sz="4" w:space="0" w:color="auto"/>
            </w:tcBorders>
            <w:shd w:val="clear" w:color="auto" w:fill="auto"/>
            <w:vAlign w:val="center"/>
            <w:hideMark/>
          </w:tcPr>
          <w:p w14:paraId="6FA478AB" w14:textId="77777777" w:rsidR="00F00781" w:rsidRPr="00F00781" w:rsidRDefault="00F00781" w:rsidP="00F00781">
            <w:pPr>
              <w:ind w:firstLineChars="200" w:firstLine="280"/>
              <w:rPr>
                <w:rFonts w:ascii="Arial Narrow" w:hAnsi="Arial Narrow" w:cs="Calibri"/>
                <w:sz w:val="14"/>
                <w:szCs w:val="14"/>
              </w:rPr>
            </w:pPr>
            <w:r w:rsidRPr="00F00781">
              <w:rPr>
                <w:rFonts w:ascii="Arial Narrow" w:hAnsi="Arial Narrow" w:cs="Calibri"/>
                <w:sz w:val="14"/>
                <w:szCs w:val="14"/>
              </w:rPr>
              <w:t>Влакнодайни култури</w:t>
            </w:r>
          </w:p>
        </w:tc>
        <w:tc>
          <w:tcPr>
            <w:tcW w:w="773" w:type="dxa"/>
            <w:tcBorders>
              <w:top w:val="nil"/>
              <w:left w:val="nil"/>
              <w:bottom w:val="single" w:sz="4" w:space="0" w:color="auto"/>
              <w:right w:val="single" w:sz="4" w:space="0" w:color="auto"/>
            </w:tcBorders>
            <w:shd w:val="clear" w:color="auto" w:fill="auto"/>
            <w:vAlign w:val="center"/>
            <w:hideMark/>
          </w:tcPr>
          <w:p w14:paraId="13B6255F"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1,4</w:t>
            </w:r>
          </w:p>
        </w:tc>
        <w:tc>
          <w:tcPr>
            <w:tcW w:w="582" w:type="dxa"/>
            <w:tcBorders>
              <w:top w:val="nil"/>
              <w:left w:val="nil"/>
              <w:bottom w:val="single" w:sz="4" w:space="0" w:color="auto"/>
              <w:right w:val="single" w:sz="4" w:space="0" w:color="auto"/>
            </w:tcBorders>
            <w:shd w:val="clear" w:color="auto" w:fill="auto"/>
            <w:vAlign w:val="center"/>
            <w:hideMark/>
          </w:tcPr>
          <w:p w14:paraId="4DC45AB1"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 </w:t>
            </w:r>
          </w:p>
        </w:tc>
        <w:tc>
          <w:tcPr>
            <w:tcW w:w="681" w:type="dxa"/>
            <w:tcBorders>
              <w:top w:val="nil"/>
              <w:left w:val="nil"/>
              <w:bottom w:val="single" w:sz="4" w:space="0" w:color="auto"/>
              <w:right w:val="single" w:sz="4" w:space="0" w:color="auto"/>
            </w:tcBorders>
            <w:shd w:val="clear" w:color="auto" w:fill="auto"/>
            <w:vAlign w:val="center"/>
            <w:hideMark/>
          </w:tcPr>
          <w:p w14:paraId="00D82673"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 </w:t>
            </w:r>
          </w:p>
        </w:tc>
        <w:tc>
          <w:tcPr>
            <w:tcW w:w="789" w:type="dxa"/>
            <w:tcBorders>
              <w:top w:val="nil"/>
              <w:left w:val="nil"/>
              <w:bottom w:val="single" w:sz="4" w:space="0" w:color="auto"/>
              <w:right w:val="single" w:sz="4" w:space="0" w:color="auto"/>
            </w:tcBorders>
            <w:shd w:val="clear" w:color="auto" w:fill="auto"/>
            <w:vAlign w:val="center"/>
            <w:hideMark/>
          </w:tcPr>
          <w:p w14:paraId="7F47BDB3"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 </w:t>
            </w:r>
          </w:p>
        </w:tc>
        <w:tc>
          <w:tcPr>
            <w:tcW w:w="693" w:type="dxa"/>
            <w:tcBorders>
              <w:top w:val="nil"/>
              <w:left w:val="nil"/>
              <w:bottom w:val="single" w:sz="4" w:space="0" w:color="auto"/>
              <w:right w:val="single" w:sz="4" w:space="0" w:color="auto"/>
            </w:tcBorders>
            <w:shd w:val="clear" w:color="auto" w:fill="auto"/>
            <w:vAlign w:val="center"/>
            <w:hideMark/>
          </w:tcPr>
          <w:p w14:paraId="7E457782"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 </w:t>
            </w:r>
          </w:p>
        </w:tc>
        <w:tc>
          <w:tcPr>
            <w:tcW w:w="537" w:type="dxa"/>
            <w:tcBorders>
              <w:top w:val="nil"/>
              <w:left w:val="nil"/>
              <w:bottom w:val="single" w:sz="4" w:space="0" w:color="auto"/>
              <w:right w:val="single" w:sz="4" w:space="0" w:color="auto"/>
            </w:tcBorders>
            <w:shd w:val="clear" w:color="auto" w:fill="auto"/>
            <w:vAlign w:val="center"/>
            <w:hideMark/>
          </w:tcPr>
          <w:p w14:paraId="4A06A8CB"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 </w:t>
            </w:r>
          </w:p>
        </w:tc>
        <w:tc>
          <w:tcPr>
            <w:tcW w:w="1143" w:type="dxa"/>
            <w:tcBorders>
              <w:top w:val="nil"/>
              <w:left w:val="nil"/>
              <w:bottom w:val="single" w:sz="4" w:space="0" w:color="auto"/>
              <w:right w:val="single" w:sz="4" w:space="0" w:color="auto"/>
            </w:tcBorders>
            <w:shd w:val="clear" w:color="auto" w:fill="auto"/>
            <w:vAlign w:val="center"/>
            <w:hideMark/>
          </w:tcPr>
          <w:p w14:paraId="7C86433E"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 </w:t>
            </w:r>
          </w:p>
        </w:tc>
        <w:tc>
          <w:tcPr>
            <w:tcW w:w="1200" w:type="dxa"/>
            <w:tcBorders>
              <w:top w:val="nil"/>
              <w:left w:val="nil"/>
              <w:bottom w:val="single" w:sz="4" w:space="0" w:color="auto"/>
              <w:right w:val="single" w:sz="4" w:space="0" w:color="auto"/>
            </w:tcBorders>
            <w:shd w:val="clear" w:color="auto" w:fill="auto"/>
            <w:vAlign w:val="center"/>
            <w:hideMark/>
          </w:tcPr>
          <w:p w14:paraId="45CE9703"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 </w:t>
            </w:r>
          </w:p>
        </w:tc>
        <w:tc>
          <w:tcPr>
            <w:tcW w:w="721" w:type="dxa"/>
            <w:tcBorders>
              <w:top w:val="nil"/>
              <w:left w:val="nil"/>
              <w:bottom w:val="single" w:sz="4" w:space="0" w:color="auto"/>
              <w:right w:val="single" w:sz="4" w:space="0" w:color="auto"/>
            </w:tcBorders>
            <w:shd w:val="clear" w:color="auto" w:fill="auto"/>
            <w:vAlign w:val="center"/>
            <w:hideMark/>
          </w:tcPr>
          <w:p w14:paraId="218420BD"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0,1</w:t>
            </w:r>
          </w:p>
        </w:tc>
        <w:tc>
          <w:tcPr>
            <w:tcW w:w="721" w:type="dxa"/>
            <w:tcBorders>
              <w:top w:val="nil"/>
              <w:left w:val="nil"/>
              <w:bottom w:val="single" w:sz="4" w:space="0" w:color="auto"/>
              <w:right w:val="single" w:sz="4" w:space="0" w:color="auto"/>
            </w:tcBorders>
            <w:shd w:val="clear" w:color="auto" w:fill="auto"/>
            <w:vAlign w:val="center"/>
            <w:hideMark/>
          </w:tcPr>
          <w:p w14:paraId="64E8B38C"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1,0</w:t>
            </w:r>
          </w:p>
        </w:tc>
        <w:tc>
          <w:tcPr>
            <w:tcW w:w="698" w:type="dxa"/>
            <w:tcBorders>
              <w:top w:val="nil"/>
              <w:left w:val="nil"/>
              <w:bottom w:val="single" w:sz="4" w:space="0" w:color="auto"/>
              <w:right w:val="single" w:sz="4" w:space="0" w:color="auto"/>
            </w:tcBorders>
            <w:shd w:val="clear" w:color="auto" w:fill="auto"/>
            <w:vAlign w:val="center"/>
            <w:hideMark/>
          </w:tcPr>
          <w:p w14:paraId="4E3CE73D"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0,3</w:t>
            </w:r>
          </w:p>
        </w:tc>
        <w:tc>
          <w:tcPr>
            <w:tcW w:w="765" w:type="dxa"/>
            <w:tcBorders>
              <w:top w:val="nil"/>
              <w:left w:val="nil"/>
              <w:bottom w:val="single" w:sz="4" w:space="0" w:color="auto"/>
              <w:right w:val="single" w:sz="4" w:space="0" w:color="auto"/>
            </w:tcBorders>
            <w:shd w:val="clear" w:color="auto" w:fill="auto"/>
            <w:vAlign w:val="center"/>
            <w:hideMark/>
          </w:tcPr>
          <w:p w14:paraId="117FDFC9"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1,4</w:t>
            </w:r>
          </w:p>
        </w:tc>
        <w:tc>
          <w:tcPr>
            <w:tcW w:w="970" w:type="dxa"/>
            <w:tcBorders>
              <w:top w:val="nil"/>
              <w:left w:val="nil"/>
              <w:bottom w:val="single" w:sz="4" w:space="0" w:color="auto"/>
              <w:right w:val="single" w:sz="4" w:space="0" w:color="auto"/>
            </w:tcBorders>
            <w:shd w:val="clear" w:color="auto" w:fill="auto"/>
            <w:vAlign w:val="center"/>
            <w:hideMark/>
          </w:tcPr>
          <w:p w14:paraId="71B8E694"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 </w:t>
            </w:r>
          </w:p>
        </w:tc>
        <w:tc>
          <w:tcPr>
            <w:tcW w:w="602" w:type="dxa"/>
            <w:tcBorders>
              <w:top w:val="nil"/>
              <w:left w:val="nil"/>
              <w:bottom w:val="single" w:sz="4" w:space="0" w:color="auto"/>
              <w:right w:val="single" w:sz="4" w:space="0" w:color="auto"/>
            </w:tcBorders>
            <w:shd w:val="clear" w:color="auto" w:fill="auto"/>
            <w:vAlign w:val="center"/>
            <w:hideMark/>
          </w:tcPr>
          <w:p w14:paraId="5D729D52"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 </w:t>
            </w:r>
          </w:p>
        </w:tc>
        <w:tc>
          <w:tcPr>
            <w:tcW w:w="697" w:type="dxa"/>
            <w:tcBorders>
              <w:top w:val="nil"/>
              <w:left w:val="nil"/>
              <w:bottom w:val="single" w:sz="4" w:space="0" w:color="auto"/>
              <w:right w:val="single" w:sz="4" w:space="0" w:color="auto"/>
            </w:tcBorders>
            <w:shd w:val="clear" w:color="auto" w:fill="auto"/>
            <w:vAlign w:val="center"/>
            <w:hideMark/>
          </w:tcPr>
          <w:p w14:paraId="110A3FD0"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 </w:t>
            </w:r>
          </w:p>
        </w:tc>
        <w:tc>
          <w:tcPr>
            <w:tcW w:w="869" w:type="dxa"/>
            <w:tcBorders>
              <w:top w:val="nil"/>
              <w:left w:val="nil"/>
              <w:bottom w:val="single" w:sz="4" w:space="0" w:color="auto"/>
              <w:right w:val="single" w:sz="4" w:space="0" w:color="auto"/>
            </w:tcBorders>
            <w:shd w:val="clear" w:color="auto" w:fill="auto"/>
            <w:vAlign w:val="center"/>
            <w:hideMark/>
          </w:tcPr>
          <w:p w14:paraId="513ECD0D"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1,4</w:t>
            </w:r>
          </w:p>
        </w:tc>
      </w:tr>
      <w:tr w:rsidR="00F00781" w:rsidRPr="00F00781" w14:paraId="30E5780E" w14:textId="77777777" w:rsidTr="00E01BBF">
        <w:trPr>
          <w:trHeight w:val="196"/>
        </w:trPr>
        <w:tc>
          <w:tcPr>
            <w:tcW w:w="632" w:type="dxa"/>
            <w:tcBorders>
              <w:top w:val="nil"/>
              <w:left w:val="single" w:sz="4" w:space="0" w:color="auto"/>
              <w:bottom w:val="single" w:sz="4" w:space="0" w:color="auto"/>
              <w:right w:val="single" w:sz="4" w:space="0" w:color="auto"/>
            </w:tcBorders>
            <w:shd w:val="clear" w:color="auto" w:fill="auto"/>
            <w:vAlign w:val="center"/>
            <w:hideMark/>
          </w:tcPr>
          <w:p w14:paraId="3F4116A7" w14:textId="77777777" w:rsidR="00F00781" w:rsidRPr="00F00781" w:rsidRDefault="00F00781" w:rsidP="00F00781">
            <w:pPr>
              <w:rPr>
                <w:rFonts w:ascii="Arial Narrow" w:hAnsi="Arial Narrow" w:cs="Calibri"/>
                <w:sz w:val="14"/>
                <w:szCs w:val="14"/>
              </w:rPr>
            </w:pPr>
            <w:r w:rsidRPr="00F00781">
              <w:rPr>
                <w:rFonts w:ascii="Arial Narrow" w:hAnsi="Arial Narrow" w:cs="Calibri"/>
                <w:sz w:val="14"/>
                <w:szCs w:val="14"/>
              </w:rPr>
              <w:t xml:space="preserve"> 02.5/2</w:t>
            </w:r>
          </w:p>
        </w:tc>
        <w:tc>
          <w:tcPr>
            <w:tcW w:w="1671" w:type="dxa"/>
            <w:tcBorders>
              <w:top w:val="nil"/>
              <w:left w:val="nil"/>
              <w:bottom w:val="single" w:sz="4" w:space="0" w:color="auto"/>
              <w:right w:val="single" w:sz="4" w:space="0" w:color="auto"/>
            </w:tcBorders>
            <w:shd w:val="clear" w:color="auto" w:fill="auto"/>
            <w:vAlign w:val="center"/>
            <w:hideMark/>
          </w:tcPr>
          <w:p w14:paraId="3F0EE39A" w14:textId="77777777" w:rsidR="00F00781" w:rsidRPr="00F00781" w:rsidRDefault="00F00781" w:rsidP="00F00781">
            <w:pPr>
              <w:ind w:firstLineChars="200" w:firstLine="280"/>
              <w:rPr>
                <w:rFonts w:ascii="Arial Narrow" w:hAnsi="Arial Narrow" w:cs="Calibri"/>
                <w:sz w:val="14"/>
                <w:szCs w:val="14"/>
              </w:rPr>
            </w:pPr>
            <w:r w:rsidRPr="00F00781">
              <w:rPr>
                <w:rFonts w:ascii="Arial Narrow" w:hAnsi="Arial Narrow" w:cs="Calibri"/>
                <w:sz w:val="14"/>
                <w:szCs w:val="14"/>
              </w:rPr>
              <w:t>Хмел</w:t>
            </w:r>
          </w:p>
        </w:tc>
        <w:tc>
          <w:tcPr>
            <w:tcW w:w="773" w:type="dxa"/>
            <w:tcBorders>
              <w:top w:val="nil"/>
              <w:left w:val="nil"/>
              <w:bottom w:val="single" w:sz="4" w:space="0" w:color="auto"/>
              <w:right w:val="single" w:sz="4" w:space="0" w:color="auto"/>
            </w:tcBorders>
            <w:shd w:val="clear" w:color="auto" w:fill="auto"/>
            <w:vAlign w:val="center"/>
            <w:hideMark/>
          </w:tcPr>
          <w:p w14:paraId="393E6A1B"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1,0</w:t>
            </w:r>
          </w:p>
        </w:tc>
        <w:tc>
          <w:tcPr>
            <w:tcW w:w="582" w:type="dxa"/>
            <w:tcBorders>
              <w:top w:val="nil"/>
              <w:left w:val="nil"/>
              <w:bottom w:val="single" w:sz="4" w:space="0" w:color="auto"/>
              <w:right w:val="single" w:sz="4" w:space="0" w:color="auto"/>
            </w:tcBorders>
            <w:shd w:val="clear" w:color="auto" w:fill="auto"/>
            <w:vAlign w:val="center"/>
            <w:hideMark/>
          </w:tcPr>
          <w:p w14:paraId="2A795B83" w14:textId="77777777" w:rsidR="00F00781" w:rsidRPr="00F00781" w:rsidRDefault="00F00781" w:rsidP="00F00781">
            <w:pPr>
              <w:rPr>
                <w:rFonts w:ascii="Arial Narrow" w:hAnsi="Arial Narrow" w:cs="Calibri"/>
                <w:sz w:val="14"/>
                <w:szCs w:val="14"/>
              </w:rPr>
            </w:pPr>
            <w:r w:rsidRPr="00F00781">
              <w:rPr>
                <w:rFonts w:ascii="Arial Narrow" w:hAnsi="Arial Narrow" w:cs="Calibri"/>
                <w:sz w:val="14"/>
                <w:szCs w:val="14"/>
              </w:rPr>
              <w:t> </w:t>
            </w:r>
          </w:p>
        </w:tc>
        <w:tc>
          <w:tcPr>
            <w:tcW w:w="681" w:type="dxa"/>
            <w:tcBorders>
              <w:top w:val="nil"/>
              <w:left w:val="nil"/>
              <w:bottom w:val="single" w:sz="4" w:space="0" w:color="auto"/>
              <w:right w:val="single" w:sz="4" w:space="0" w:color="auto"/>
            </w:tcBorders>
            <w:shd w:val="clear" w:color="auto" w:fill="auto"/>
            <w:vAlign w:val="center"/>
            <w:hideMark/>
          </w:tcPr>
          <w:p w14:paraId="0CB871EE"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1,0</w:t>
            </w:r>
          </w:p>
        </w:tc>
        <w:tc>
          <w:tcPr>
            <w:tcW w:w="789" w:type="dxa"/>
            <w:tcBorders>
              <w:top w:val="nil"/>
              <w:left w:val="nil"/>
              <w:bottom w:val="single" w:sz="4" w:space="0" w:color="auto"/>
              <w:right w:val="single" w:sz="4" w:space="0" w:color="auto"/>
            </w:tcBorders>
            <w:shd w:val="clear" w:color="auto" w:fill="auto"/>
            <w:vAlign w:val="center"/>
            <w:hideMark/>
          </w:tcPr>
          <w:p w14:paraId="1AF779ED" w14:textId="77777777" w:rsidR="00F00781" w:rsidRPr="00F00781" w:rsidRDefault="00F00781" w:rsidP="00F00781">
            <w:pPr>
              <w:rPr>
                <w:rFonts w:ascii="Arial Narrow" w:hAnsi="Arial Narrow" w:cs="Calibri"/>
                <w:sz w:val="14"/>
                <w:szCs w:val="14"/>
              </w:rPr>
            </w:pPr>
            <w:r w:rsidRPr="00F00781">
              <w:rPr>
                <w:rFonts w:ascii="Arial Narrow" w:hAnsi="Arial Narrow" w:cs="Calibri"/>
                <w:sz w:val="14"/>
                <w:szCs w:val="14"/>
              </w:rPr>
              <w:t> </w:t>
            </w:r>
          </w:p>
        </w:tc>
        <w:tc>
          <w:tcPr>
            <w:tcW w:w="693" w:type="dxa"/>
            <w:tcBorders>
              <w:top w:val="nil"/>
              <w:left w:val="nil"/>
              <w:bottom w:val="single" w:sz="4" w:space="0" w:color="auto"/>
              <w:right w:val="single" w:sz="4" w:space="0" w:color="auto"/>
            </w:tcBorders>
            <w:shd w:val="clear" w:color="auto" w:fill="auto"/>
            <w:vAlign w:val="center"/>
            <w:hideMark/>
          </w:tcPr>
          <w:p w14:paraId="230D30FF" w14:textId="77777777" w:rsidR="00F00781" w:rsidRPr="00F00781" w:rsidRDefault="00F00781" w:rsidP="00F00781">
            <w:pPr>
              <w:rPr>
                <w:rFonts w:ascii="Arial Narrow" w:hAnsi="Arial Narrow" w:cs="Calibri"/>
                <w:sz w:val="14"/>
                <w:szCs w:val="14"/>
              </w:rPr>
            </w:pPr>
            <w:r w:rsidRPr="00F00781">
              <w:rPr>
                <w:rFonts w:ascii="Arial Narrow" w:hAnsi="Arial Narrow" w:cs="Calibri"/>
                <w:sz w:val="14"/>
                <w:szCs w:val="14"/>
              </w:rPr>
              <w:t> </w:t>
            </w:r>
          </w:p>
        </w:tc>
        <w:tc>
          <w:tcPr>
            <w:tcW w:w="537" w:type="dxa"/>
            <w:tcBorders>
              <w:top w:val="nil"/>
              <w:left w:val="nil"/>
              <w:bottom w:val="single" w:sz="4" w:space="0" w:color="auto"/>
              <w:right w:val="single" w:sz="4" w:space="0" w:color="auto"/>
            </w:tcBorders>
            <w:shd w:val="clear" w:color="auto" w:fill="auto"/>
            <w:vAlign w:val="center"/>
            <w:hideMark/>
          </w:tcPr>
          <w:p w14:paraId="4C1D6D72" w14:textId="77777777" w:rsidR="00F00781" w:rsidRPr="00F00781" w:rsidRDefault="00F00781" w:rsidP="00F00781">
            <w:pPr>
              <w:rPr>
                <w:rFonts w:ascii="Arial Narrow" w:hAnsi="Arial Narrow" w:cs="Calibri"/>
                <w:sz w:val="14"/>
                <w:szCs w:val="14"/>
              </w:rPr>
            </w:pPr>
            <w:r w:rsidRPr="00F00781">
              <w:rPr>
                <w:rFonts w:ascii="Arial Narrow" w:hAnsi="Arial Narrow" w:cs="Calibri"/>
                <w:sz w:val="14"/>
                <w:szCs w:val="14"/>
              </w:rPr>
              <w:t> </w:t>
            </w:r>
          </w:p>
        </w:tc>
        <w:tc>
          <w:tcPr>
            <w:tcW w:w="1143" w:type="dxa"/>
            <w:tcBorders>
              <w:top w:val="nil"/>
              <w:left w:val="nil"/>
              <w:bottom w:val="single" w:sz="4" w:space="0" w:color="auto"/>
              <w:right w:val="single" w:sz="4" w:space="0" w:color="auto"/>
            </w:tcBorders>
            <w:shd w:val="clear" w:color="auto" w:fill="auto"/>
            <w:vAlign w:val="center"/>
            <w:hideMark/>
          </w:tcPr>
          <w:p w14:paraId="1FFC7AD8" w14:textId="77777777" w:rsidR="00F00781" w:rsidRPr="00F00781" w:rsidRDefault="00F00781" w:rsidP="00F00781">
            <w:pPr>
              <w:rPr>
                <w:rFonts w:ascii="Arial Narrow" w:hAnsi="Arial Narrow" w:cs="Calibri"/>
                <w:sz w:val="14"/>
                <w:szCs w:val="14"/>
              </w:rPr>
            </w:pPr>
            <w:r w:rsidRPr="00F00781">
              <w:rPr>
                <w:rFonts w:ascii="Arial Narrow" w:hAnsi="Arial Narrow" w:cs="Calibri"/>
                <w:sz w:val="14"/>
                <w:szCs w:val="14"/>
              </w:rPr>
              <w:t> </w:t>
            </w:r>
          </w:p>
        </w:tc>
        <w:tc>
          <w:tcPr>
            <w:tcW w:w="1200" w:type="dxa"/>
            <w:tcBorders>
              <w:top w:val="nil"/>
              <w:left w:val="nil"/>
              <w:bottom w:val="single" w:sz="4" w:space="0" w:color="auto"/>
              <w:right w:val="single" w:sz="4" w:space="0" w:color="auto"/>
            </w:tcBorders>
            <w:shd w:val="clear" w:color="auto" w:fill="auto"/>
            <w:vAlign w:val="center"/>
            <w:hideMark/>
          </w:tcPr>
          <w:p w14:paraId="34016E6F" w14:textId="77777777" w:rsidR="00F00781" w:rsidRPr="00F00781" w:rsidRDefault="00F00781" w:rsidP="00F00781">
            <w:pPr>
              <w:rPr>
                <w:rFonts w:ascii="Arial Narrow" w:hAnsi="Arial Narrow" w:cs="Calibri"/>
                <w:sz w:val="14"/>
                <w:szCs w:val="14"/>
              </w:rPr>
            </w:pPr>
            <w:r w:rsidRPr="00F00781">
              <w:rPr>
                <w:rFonts w:ascii="Arial Narrow" w:hAnsi="Arial Narrow" w:cs="Calibri"/>
                <w:sz w:val="14"/>
                <w:szCs w:val="14"/>
              </w:rPr>
              <w:t> </w:t>
            </w:r>
          </w:p>
        </w:tc>
        <w:tc>
          <w:tcPr>
            <w:tcW w:w="721" w:type="dxa"/>
            <w:tcBorders>
              <w:top w:val="nil"/>
              <w:left w:val="nil"/>
              <w:bottom w:val="single" w:sz="4" w:space="0" w:color="auto"/>
              <w:right w:val="single" w:sz="4" w:space="0" w:color="auto"/>
            </w:tcBorders>
            <w:shd w:val="clear" w:color="auto" w:fill="auto"/>
            <w:vAlign w:val="center"/>
            <w:hideMark/>
          </w:tcPr>
          <w:p w14:paraId="35F67A7B" w14:textId="77777777" w:rsidR="00F00781" w:rsidRPr="00F00781" w:rsidRDefault="00F00781" w:rsidP="00F00781">
            <w:pPr>
              <w:rPr>
                <w:rFonts w:ascii="Arial Narrow" w:hAnsi="Arial Narrow" w:cs="Calibri"/>
                <w:sz w:val="14"/>
                <w:szCs w:val="14"/>
              </w:rPr>
            </w:pPr>
            <w:r w:rsidRPr="00F00781">
              <w:rPr>
                <w:rFonts w:ascii="Arial Narrow" w:hAnsi="Arial Narrow" w:cs="Calibri"/>
                <w:sz w:val="14"/>
                <w:szCs w:val="14"/>
              </w:rPr>
              <w:t> </w:t>
            </w:r>
          </w:p>
        </w:tc>
        <w:tc>
          <w:tcPr>
            <w:tcW w:w="721" w:type="dxa"/>
            <w:tcBorders>
              <w:top w:val="nil"/>
              <w:left w:val="nil"/>
              <w:bottom w:val="single" w:sz="4" w:space="0" w:color="auto"/>
              <w:right w:val="single" w:sz="4" w:space="0" w:color="auto"/>
            </w:tcBorders>
            <w:shd w:val="clear" w:color="auto" w:fill="auto"/>
            <w:vAlign w:val="center"/>
            <w:hideMark/>
          </w:tcPr>
          <w:p w14:paraId="4BC59893"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1,6</w:t>
            </w:r>
          </w:p>
        </w:tc>
        <w:tc>
          <w:tcPr>
            <w:tcW w:w="698" w:type="dxa"/>
            <w:tcBorders>
              <w:top w:val="nil"/>
              <w:left w:val="nil"/>
              <w:bottom w:val="single" w:sz="4" w:space="0" w:color="auto"/>
              <w:right w:val="single" w:sz="4" w:space="0" w:color="auto"/>
            </w:tcBorders>
            <w:shd w:val="clear" w:color="auto" w:fill="auto"/>
            <w:vAlign w:val="center"/>
            <w:hideMark/>
          </w:tcPr>
          <w:p w14:paraId="767B1BB6" w14:textId="77777777" w:rsidR="00F00781" w:rsidRPr="00F00781" w:rsidRDefault="00F00781" w:rsidP="00F00781">
            <w:pPr>
              <w:rPr>
                <w:rFonts w:ascii="Arial Narrow" w:hAnsi="Arial Narrow" w:cs="Calibri"/>
                <w:sz w:val="14"/>
                <w:szCs w:val="14"/>
              </w:rPr>
            </w:pPr>
            <w:r w:rsidRPr="00F00781">
              <w:rPr>
                <w:rFonts w:ascii="Arial Narrow" w:hAnsi="Arial Narrow" w:cs="Calibri"/>
                <w:sz w:val="14"/>
                <w:szCs w:val="14"/>
              </w:rPr>
              <w:t> </w:t>
            </w:r>
          </w:p>
        </w:tc>
        <w:tc>
          <w:tcPr>
            <w:tcW w:w="765" w:type="dxa"/>
            <w:tcBorders>
              <w:top w:val="nil"/>
              <w:left w:val="nil"/>
              <w:bottom w:val="single" w:sz="4" w:space="0" w:color="auto"/>
              <w:right w:val="single" w:sz="4" w:space="0" w:color="auto"/>
            </w:tcBorders>
            <w:shd w:val="clear" w:color="auto" w:fill="auto"/>
            <w:vAlign w:val="center"/>
            <w:hideMark/>
          </w:tcPr>
          <w:p w14:paraId="6BE30CED"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1,6</w:t>
            </w:r>
          </w:p>
        </w:tc>
        <w:tc>
          <w:tcPr>
            <w:tcW w:w="970" w:type="dxa"/>
            <w:tcBorders>
              <w:top w:val="nil"/>
              <w:left w:val="nil"/>
              <w:bottom w:val="single" w:sz="4" w:space="0" w:color="auto"/>
              <w:right w:val="single" w:sz="4" w:space="0" w:color="auto"/>
            </w:tcBorders>
            <w:shd w:val="clear" w:color="auto" w:fill="auto"/>
            <w:vAlign w:val="center"/>
            <w:hideMark/>
          </w:tcPr>
          <w:p w14:paraId="0073CB06" w14:textId="77777777" w:rsidR="00F00781" w:rsidRPr="00F00781" w:rsidRDefault="00F00781" w:rsidP="00F00781">
            <w:pPr>
              <w:rPr>
                <w:rFonts w:ascii="Arial Narrow" w:hAnsi="Arial Narrow" w:cs="Calibri"/>
                <w:sz w:val="14"/>
                <w:szCs w:val="14"/>
              </w:rPr>
            </w:pPr>
            <w:r w:rsidRPr="00F00781">
              <w:rPr>
                <w:rFonts w:ascii="Arial Narrow" w:hAnsi="Arial Narrow" w:cs="Calibri"/>
                <w:sz w:val="14"/>
                <w:szCs w:val="14"/>
              </w:rPr>
              <w:t> </w:t>
            </w:r>
          </w:p>
        </w:tc>
        <w:tc>
          <w:tcPr>
            <w:tcW w:w="602" w:type="dxa"/>
            <w:tcBorders>
              <w:top w:val="nil"/>
              <w:left w:val="nil"/>
              <w:bottom w:val="single" w:sz="4" w:space="0" w:color="auto"/>
              <w:right w:val="single" w:sz="4" w:space="0" w:color="auto"/>
            </w:tcBorders>
            <w:shd w:val="clear" w:color="auto" w:fill="auto"/>
            <w:vAlign w:val="center"/>
            <w:hideMark/>
          </w:tcPr>
          <w:p w14:paraId="75406072"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0,4</w:t>
            </w:r>
          </w:p>
        </w:tc>
        <w:tc>
          <w:tcPr>
            <w:tcW w:w="697" w:type="dxa"/>
            <w:tcBorders>
              <w:top w:val="nil"/>
              <w:left w:val="nil"/>
              <w:bottom w:val="single" w:sz="4" w:space="0" w:color="auto"/>
              <w:right w:val="single" w:sz="4" w:space="0" w:color="auto"/>
            </w:tcBorders>
            <w:shd w:val="clear" w:color="auto" w:fill="auto"/>
            <w:vAlign w:val="center"/>
            <w:hideMark/>
          </w:tcPr>
          <w:p w14:paraId="41C0E941"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-0,6</w:t>
            </w:r>
          </w:p>
        </w:tc>
        <w:tc>
          <w:tcPr>
            <w:tcW w:w="869" w:type="dxa"/>
            <w:tcBorders>
              <w:top w:val="nil"/>
              <w:left w:val="nil"/>
              <w:bottom w:val="single" w:sz="4" w:space="0" w:color="auto"/>
              <w:right w:val="single" w:sz="4" w:space="0" w:color="auto"/>
            </w:tcBorders>
            <w:shd w:val="clear" w:color="auto" w:fill="auto"/>
            <w:vAlign w:val="center"/>
            <w:hideMark/>
          </w:tcPr>
          <w:p w14:paraId="20C140F3"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1,0</w:t>
            </w:r>
          </w:p>
        </w:tc>
      </w:tr>
      <w:tr w:rsidR="00F00781" w:rsidRPr="00F00781" w14:paraId="4BAE8C6B" w14:textId="77777777" w:rsidTr="00E01BBF">
        <w:trPr>
          <w:trHeight w:val="196"/>
        </w:trPr>
        <w:tc>
          <w:tcPr>
            <w:tcW w:w="632" w:type="dxa"/>
            <w:tcBorders>
              <w:top w:val="nil"/>
              <w:left w:val="single" w:sz="4" w:space="0" w:color="auto"/>
              <w:bottom w:val="single" w:sz="4" w:space="0" w:color="auto"/>
              <w:right w:val="single" w:sz="4" w:space="0" w:color="auto"/>
            </w:tcBorders>
            <w:shd w:val="clear" w:color="auto" w:fill="auto"/>
            <w:vAlign w:val="center"/>
            <w:hideMark/>
          </w:tcPr>
          <w:p w14:paraId="6E3B7964" w14:textId="77777777" w:rsidR="00F00781" w:rsidRPr="00F00781" w:rsidRDefault="00F00781" w:rsidP="00F00781">
            <w:pPr>
              <w:rPr>
                <w:rFonts w:ascii="Arial Narrow" w:hAnsi="Arial Narrow" w:cs="Calibri"/>
                <w:sz w:val="14"/>
                <w:szCs w:val="14"/>
              </w:rPr>
            </w:pPr>
            <w:r w:rsidRPr="00F00781">
              <w:rPr>
                <w:rFonts w:ascii="Arial Narrow" w:hAnsi="Arial Narrow" w:cs="Calibri"/>
                <w:sz w:val="14"/>
                <w:szCs w:val="14"/>
              </w:rPr>
              <w:t xml:space="preserve"> 02.5/3</w:t>
            </w:r>
          </w:p>
        </w:tc>
        <w:tc>
          <w:tcPr>
            <w:tcW w:w="1671" w:type="dxa"/>
            <w:tcBorders>
              <w:top w:val="nil"/>
              <w:left w:val="nil"/>
              <w:bottom w:val="single" w:sz="4" w:space="0" w:color="auto"/>
              <w:right w:val="single" w:sz="4" w:space="0" w:color="auto"/>
            </w:tcBorders>
            <w:shd w:val="clear" w:color="auto" w:fill="auto"/>
            <w:vAlign w:val="center"/>
            <w:hideMark/>
          </w:tcPr>
          <w:p w14:paraId="7AACD607" w14:textId="77777777" w:rsidR="00F00781" w:rsidRPr="00CD44F3" w:rsidRDefault="00F00781" w:rsidP="00F00781">
            <w:pPr>
              <w:ind w:firstLineChars="200" w:firstLine="280"/>
              <w:rPr>
                <w:rFonts w:ascii="Arial Narrow" w:hAnsi="Arial Narrow" w:cs="Calibri"/>
                <w:sz w:val="14"/>
                <w:szCs w:val="14"/>
                <w:lang w:val="bg-BG"/>
              </w:rPr>
            </w:pPr>
            <w:r w:rsidRPr="00F00781">
              <w:rPr>
                <w:rFonts w:ascii="Arial Narrow" w:hAnsi="Arial Narrow" w:cs="Calibri"/>
                <w:sz w:val="14"/>
                <w:szCs w:val="14"/>
              </w:rPr>
              <w:t xml:space="preserve">Други технически </w:t>
            </w:r>
            <w:r w:rsidR="004916C6">
              <w:rPr>
                <w:rFonts w:ascii="Arial Narrow" w:hAnsi="Arial Narrow" w:cs="Calibri"/>
                <w:sz w:val="14"/>
                <w:szCs w:val="14"/>
                <w:lang w:val="bg-BG"/>
              </w:rPr>
              <w:t>култури</w:t>
            </w:r>
          </w:p>
        </w:tc>
        <w:tc>
          <w:tcPr>
            <w:tcW w:w="773" w:type="dxa"/>
            <w:tcBorders>
              <w:top w:val="nil"/>
              <w:left w:val="nil"/>
              <w:bottom w:val="single" w:sz="4" w:space="0" w:color="auto"/>
              <w:right w:val="single" w:sz="4" w:space="0" w:color="auto"/>
            </w:tcBorders>
            <w:shd w:val="clear" w:color="auto" w:fill="auto"/>
            <w:vAlign w:val="center"/>
            <w:hideMark/>
          </w:tcPr>
          <w:p w14:paraId="539BCF8A"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105,2</w:t>
            </w:r>
          </w:p>
        </w:tc>
        <w:tc>
          <w:tcPr>
            <w:tcW w:w="582" w:type="dxa"/>
            <w:tcBorders>
              <w:top w:val="nil"/>
              <w:left w:val="nil"/>
              <w:bottom w:val="single" w:sz="4" w:space="0" w:color="auto"/>
              <w:right w:val="single" w:sz="4" w:space="0" w:color="auto"/>
            </w:tcBorders>
            <w:shd w:val="clear" w:color="auto" w:fill="auto"/>
            <w:vAlign w:val="center"/>
            <w:hideMark/>
          </w:tcPr>
          <w:p w14:paraId="1B75CADC"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0,1</w:t>
            </w:r>
          </w:p>
        </w:tc>
        <w:tc>
          <w:tcPr>
            <w:tcW w:w="681" w:type="dxa"/>
            <w:tcBorders>
              <w:top w:val="nil"/>
              <w:left w:val="nil"/>
              <w:bottom w:val="single" w:sz="4" w:space="0" w:color="auto"/>
              <w:right w:val="single" w:sz="4" w:space="0" w:color="auto"/>
            </w:tcBorders>
            <w:shd w:val="clear" w:color="auto" w:fill="auto"/>
            <w:vAlign w:val="center"/>
            <w:hideMark/>
          </w:tcPr>
          <w:p w14:paraId="10F418B7"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21,6</w:t>
            </w:r>
          </w:p>
        </w:tc>
        <w:tc>
          <w:tcPr>
            <w:tcW w:w="789" w:type="dxa"/>
            <w:tcBorders>
              <w:top w:val="nil"/>
              <w:left w:val="nil"/>
              <w:bottom w:val="single" w:sz="4" w:space="0" w:color="auto"/>
              <w:right w:val="single" w:sz="4" w:space="0" w:color="auto"/>
            </w:tcBorders>
            <w:shd w:val="clear" w:color="auto" w:fill="auto"/>
            <w:vAlign w:val="center"/>
            <w:hideMark/>
          </w:tcPr>
          <w:p w14:paraId="7F64E032"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0,6</w:t>
            </w:r>
          </w:p>
        </w:tc>
        <w:tc>
          <w:tcPr>
            <w:tcW w:w="693" w:type="dxa"/>
            <w:tcBorders>
              <w:top w:val="nil"/>
              <w:left w:val="nil"/>
              <w:bottom w:val="single" w:sz="4" w:space="0" w:color="auto"/>
              <w:right w:val="single" w:sz="4" w:space="0" w:color="auto"/>
            </w:tcBorders>
            <w:shd w:val="clear" w:color="auto" w:fill="auto"/>
            <w:vAlign w:val="center"/>
            <w:hideMark/>
          </w:tcPr>
          <w:p w14:paraId="5BF9D573"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0,1</w:t>
            </w:r>
          </w:p>
        </w:tc>
        <w:tc>
          <w:tcPr>
            <w:tcW w:w="537" w:type="dxa"/>
            <w:tcBorders>
              <w:top w:val="nil"/>
              <w:left w:val="nil"/>
              <w:bottom w:val="single" w:sz="4" w:space="0" w:color="auto"/>
              <w:right w:val="single" w:sz="4" w:space="0" w:color="auto"/>
            </w:tcBorders>
            <w:shd w:val="clear" w:color="auto" w:fill="auto"/>
            <w:vAlign w:val="center"/>
            <w:hideMark/>
          </w:tcPr>
          <w:p w14:paraId="1A7E7D36"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1,4</w:t>
            </w:r>
          </w:p>
        </w:tc>
        <w:tc>
          <w:tcPr>
            <w:tcW w:w="1143" w:type="dxa"/>
            <w:tcBorders>
              <w:top w:val="nil"/>
              <w:left w:val="nil"/>
              <w:bottom w:val="single" w:sz="4" w:space="0" w:color="auto"/>
              <w:right w:val="single" w:sz="4" w:space="0" w:color="auto"/>
            </w:tcBorders>
            <w:shd w:val="clear" w:color="auto" w:fill="auto"/>
            <w:vAlign w:val="center"/>
            <w:hideMark/>
          </w:tcPr>
          <w:p w14:paraId="019651B2"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19,2</w:t>
            </w:r>
          </w:p>
        </w:tc>
        <w:tc>
          <w:tcPr>
            <w:tcW w:w="1200" w:type="dxa"/>
            <w:tcBorders>
              <w:top w:val="nil"/>
              <w:left w:val="nil"/>
              <w:bottom w:val="single" w:sz="4" w:space="0" w:color="auto"/>
              <w:right w:val="single" w:sz="4" w:space="0" w:color="auto"/>
            </w:tcBorders>
            <w:shd w:val="clear" w:color="auto" w:fill="auto"/>
            <w:vAlign w:val="center"/>
            <w:hideMark/>
          </w:tcPr>
          <w:p w14:paraId="7EC8BB4E"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2,6</w:t>
            </w:r>
          </w:p>
        </w:tc>
        <w:tc>
          <w:tcPr>
            <w:tcW w:w="721" w:type="dxa"/>
            <w:tcBorders>
              <w:top w:val="nil"/>
              <w:left w:val="nil"/>
              <w:bottom w:val="single" w:sz="4" w:space="0" w:color="auto"/>
              <w:right w:val="single" w:sz="4" w:space="0" w:color="auto"/>
            </w:tcBorders>
            <w:shd w:val="clear" w:color="auto" w:fill="auto"/>
            <w:vAlign w:val="center"/>
            <w:hideMark/>
          </w:tcPr>
          <w:p w14:paraId="75C68E87"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8,0</w:t>
            </w:r>
          </w:p>
        </w:tc>
        <w:tc>
          <w:tcPr>
            <w:tcW w:w="721" w:type="dxa"/>
            <w:tcBorders>
              <w:top w:val="nil"/>
              <w:left w:val="nil"/>
              <w:bottom w:val="single" w:sz="4" w:space="0" w:color="auto"/>
              <w:right w:val="single" w:sz="4" w:space="0" w:color="auto"/>
            </w:tcBorders>
            <w:shd w:val="clear" w:color="auto" w:fill="auto"/>
            <w:vAlign w:val="center"/>
            <w:hideMark/>
          </w:tcPr>
          <w:p w14:paraId="5D56CBB3"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82,7</w:t>
            </w:r>
          </w:p>
        </w:tc>
        <w:tc>
          <w:tcPr>
            <w:tcW w:w="698" w:type="dxa"/>
            <w:tcBorders>
              <w:top w:val="nil"/>
              <w:left w:val="nil"/>
              <w:bottom w:val="single" w:sz="4" w:space="0" w:color="auto"/>
              <w:right w:val="single" w:sz="4" w:space="0" w:color="auto"/>
            </w:tcBorders>
            <w:shd w:val="clear" w:color="auto" w:fill="auto"/>
            <w:vAlign w:val="center"/>
            <w:hideMark/>
          </w:tcPr>
          <w:p w14:paraId="65D17934" w14:textId="77777777" w:rsidR="00F00781" w:rsidRPr="00F00781" w:rsidRDefault="00F00781" w:rsidP="00F00781">
            <w:pPr>
              <w:rPr>
                <w:rFonts w:ascii="Arial Narrow" w:hAnsi="Arial Narrow" w:cs="Calibri"/>
                <w:sz w:val="14"/>
                <w:szCs w:val="14"/>
              </w:rPr>
            </w:pPr>
            <w:r w:rsidRPr="00F00781">
              <w:rPr>
                <w:rFonts w:ascii="Arial Narrow" w:hAnsi="Arial Narrow" w:cs="Calibri"/>
                <w:sz w:val="14"/>
                <w:szCs w:val="14"/>
              </w:rPr>
              <w:t> </w:t>
            </w:r>
          </w:p>
        </w:tc>
        <w:tc>
          <w:tcPr>
            <w:tcW w:w="765" w:type="dxa"/>
            <w:tcBorders>
              <w:top w:val="nil"/>
              <w:left w:val="nil"/>
              <w:bottom w:val="single" w:sz="4" w:space="0" w:color="auto"/>
              <w:right w:val="single" w:sz="4" w:space="0" w:color="auto"/>
            </w:tcBorders>
            <w:shd w:val="clear" w:color="auto" w:fill="auto"/>
            <w:vAlign w:val="center"/>
            <w:hideMark/>
          </w:tcPr>
          <w:p w14:paraId="30239E4D"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90,7</w:t>
            </w:r>
          </w:p>
        </w:tc>
        <w:tc>
          <w:tcPr>
            <w:tcW w:w="970" w:type="dxa"/>
            <w:tcBorders>
              <w:top w:val="nil"/>
              <w:left w:val="nil"/>
              <w:bottom w:val="single" w:sz="4" w:space="0" w:color="auto"/>
              <w:right w:val="single" w:sz="4" w:space="0" w:color="auto"/>
            </w:tcBorders>
            <w:shd w:val="clear" w:color="auto" w:fill="auto"/>
            <w:vAlign w:val="center"/>
            <w:hideMark/>
          </w:tcPr>
          <w:p w14:paraId="617CC4B7" w14:textId="77777777" w:rsidR="00F00781" w:rsidRPr="00F00781" w:rsidRDefault="00F00781" w:rsidP="00F00781">
            <w:pPr>
              <w:rPr>
                <w:rFonts w:ascii="Arial Narrow" w:hAnsi="Arial Narrow" w:cs="Calibri"/>
                <w:sz w:val="14"/>
                <w:szCs w:val="14"/>
              </w:rPr>
            </w:pPr>
            <w:r w:rsidRPr="00F00781">
              <w:rPr>
                <w:rFonts w:ascii="Arial Narrow" w:hAnsi="Arial Narrow" w:cs="Calibri"/>
                <w:sz w:val="14"/>
                <w:szCs w:val="14"/>
              </w:rPr>
              <w:t> </w:t>
            </w:r>
          </w:p>
        </w:tc>
        <w:tc>
          <w:tcPr>
            <w:tcW w:w="602" w:type="dxa"/>
            <w:tcBorders>
              <w:top w:val="nil"/>
              <w:left w:val="nil"/>
              <w:bottom w:val="single" w:sz="4" w:space="0" w:color="auto"/>
              <w:right w:val="single" w:sz="4" w:space="0" w:color="auto"/>
            </w:tcBorders>
            <w:shd w:val="clear" w:color="auto" w:fill="auto"/>
            <w:vAlign w:val="center"/>
            <w:hideMark/>
          </w:tcPr>
          <w:p w14:paraId="0A938B08"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12,1</w:t>
            </w:r>
          </w:p>
        </w:tc>
        <w:tc>
          <w:tcPr>
            <w:tcW w:w="697" w:type="dxa"/>
            <w:tcBorders>
              <w:top w:val="nil"/>
              <w:left w:val="nil"/>
              <w:bottom w:val="single" w:sz="4" w:space="0" w:color="auto"/>
              <w:right w:val="single" w:sz="4" w:space="0" w:color="auto"/>
            </w:tcBorders>
            <w:shd w:val="clear" w:color="auto" w:fill="auto"/>
            <w:vAlign w:val="center"/>
            <w:hideMark/>
          </w:tcPr>
          <w:p w14:paraId="5949709F"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-9,5</w:t>
            </w:r>
          </w:p>
        </w:tc>
        <w:tc>
          <w:tcPr>
            <w:tcW w:w="869" w:type="dxa"/>
            <w:tcBorders>
              <w:top w:val="nil"/>
              <w:left w:val="nil"/>
              <w:bottom w:val="single" w:sz="4" w:space="0" w:color="auto"/>
              <w:right w:val="single" w:sz="4" w:space="0" w:color="auto"/>
            </w:tcBorders>
            <w:shd w:val="clear" w:color="auto" w:fill="auto"/>
            <w:vAlign w:val="center"/>
            <w:hideMark/>
          </w:tcPr>
          <w:p w14:paraId="71725EDF"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103,1</w:t>
            </w:r>
          </w:p>
        </w:tc>
      </w:tr>
      <w:tr w:rsidR="00F00781" w:rsidRPr="00F00781" w14:paraId="70410633" w14:textId="77777777" w:rsidTr="00E01BBF">
        <w:trPr>
          <w:trHeight w:val="196"/>
        </w:trPr>
        <w:tc>
          <w:tcPr>
            <w:tcW w:w="632" w:type="dxa"/>
            <w:tcBorders>
              <w:top w:val="nil"/>
              <w:left w:val="single" w:sz="4" w:space="0" w:color="auto"/>
              <w:bottom w:val="single" w:sz="4" w:space="0" w:color="auto"/>
              <w:right w:val="single" w:sz="4" w:space="0" w:color="auto"/>
            </w:tcBorders>
            <w:shd w:val="clear" w:color="auto" w:fill="auto"/>
            <w:vAlign w:val="center"/>
            <w:hideMark/>
          </w:tcPr>
          <w:p w14:paraId="024DC502" w14:textId="77777777" w:rsidR="00F00781" w:rsidRPr="00F00781" w:rsidRDefault="00F00781" w:rsidP="00F00781">
            <w:pPr>
              <w:rPr>
                <w:rFonts w:ascii="Arial Narrow" w:hAnsi="Arial Narrow" w:cs="Calibri"/>
                <w:sz w:val="14"/>
                <w:szCs w:val="14"/>
              </w:rPr>
            </w:pPr>
            <w:r w:rsidRPr="00F00781">
              <w:rPr>
                <w:rFonts w:ascii="Arial Narrow" w:hAnsi="Arial Narrow" w:cs="Calibri"/>
                <w:sz w:val="14"/>
                <w:szCs w:val="14"/>
              </w:rPr>
              <w:t xml:space="preserve"> 03</w:t>
            </w:r>
          </w:p>
        </w:tc>
        <w:tc>
          <w:tcPr>
            <w:tcW w:w="1671" w:type="dxa"/>
            <w:tcBorders>
              <w:top w:val="nil"/>
              <w:left w:val="nil"/>
              <w:bottom w:val="single" w:sz="4" w:space="0" w:color="auto"/>
              <w:right w:val="single" w:sz="4" w:space="0" w:color="auto"/>
            </w:tcBorders>
            <w:shd w:val="clear" w:color="auto" w:fill="auto"/>
            <w:vAlign w:val="center"/>
            <w:hideMark/>
          </w:tcPr>
          <w:p w14:paraId="7C8B92EC" w14:textId="77777777" w:rsidR="00F00781" w:rsidRPr="00F00781" w:rsidRDefault="00F00781" w:rsidP="00F00781">
            <w:pPr>
              <w:ind w:firstLineChars="100" w:firstLine="140"/>
              <w:rPr>
                <w:rFonts w:ascii="Arial Narrow" w:hAnsi="Arial Narrow" w:cs="Calibri"/>
                <w:sz w:val="14"/>
                <w:szCs w:val="14"/>
              </w:rPr>
            </w:pPr>
            <w:r w:rsidRPr="00F00781">
              <w:rPr>
                <w:rFonts w:ascii="Arial Narrow" w:hAnsi="Arial Narrow" w:cs="Calibri"/>
                <w:sz w:val="14"/>
                <w:szCs w:val="14"/>
              </w:rPr>
              <w:t>Фуражни култури</w:t>
            </w:r>
          </w:p>
        </w:tc>
        <w:tc>
          <w:tcPr>
            <w:tcW w:w="773" w:type="dxa"/>
            <w:tcBorders>
              <w:top w:val="nil"/>
              <w:left w:val="nil"/>
              <w:bottom w:val="single" w:sz="4" w:space="0" w:color="auto"/>
              <w:right w:val="single" w:sz="4" w:space="0" w:color="auto"/>
            </w:tcBorders>
            <w:shd w:val="clear" w:color="auto" w:fill="auto"/>
            <w:vAlign w:val="center"/>
            <w:hideMark/>
          </w:tcPr>
          <w:p w14:paraId="11906698"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205,3</w:t>
            </w:r>
          </w:p>
        </w:tc>
        <w:tc>
          <w:tcPr>
            <w:tcW w:w="582" w:type="dxa"/>
            <w:tcBorders>
              <w:top w:val="nil"/>
              <w:left w:val="nil"/>
              <w:bottom w:val="single" w:sz="4" w:space="0" w:color="auto"/>
              <w:right w:val="single" w:sz="4" w:space="0" w:color="auto"/>
            </w:tcBorders>
            <w:shd w:val="clear" w:color="auto" w:fill="auto"/>
            <w:vAlign w:val="center"/>
            <w:hideMark/>
          </w:tcPr>
          <w:p w14:paraId="6BBC8D30"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0,2</w:t>
            </w:r>
          </w:p>
        </w:tc>
        <w:tc>
          <w:tcPr>
            <w:tcW w:w="681" w:type="dxa"/>
            <w:tcBorders>
              <w:top w:val="nil"/>
              <w:left w:val="nil"/>
              <w:bottom w:val="single" w:sz="4" w:space="0" w:color="auto"/>
              <w:right w:val="single" w:sz="4" w:space="0" w:color="auto"/>
            </w:tcBorders>
            <w:shd w:val="clear" w:color="auto" w:fill="auto"/>
            <w:vAlign w:val="center"/>
            <w:hideMark/>
          </w:tcPr>
          <w:p w14:paraId="3B815E94"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90,8</w:t>
            </w:r>
          </w:p>
        </w:tc>
        <w:tc>
          <w:tcPr>
            <w:tcW w:w="789" w:type="dxa"/>
            <w:tcBorders>
              <w:top w:val="nil"/>
              <w:left w:val="nil"/>
              <w:bottom w:val="single" w:sz="4" w:space="0" w:color="auto"/>
              <w:right w:val="single" w:sz="4" w:space="0" w:color="auto"/>
            </w:tcBorders>
            <w:shd w:val="clear" w:color="auto" w:fill="auto"/>
            <w:vAlign w:val="center"/>
            <w:hideMark/>
          </w:tcPr>
          <w:p w14:paraId="6D161C38"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0,7</w:t>
            </w:r>
          </w:p>
        </w:tc>
        <w:tc>
          <w:tcPr>
            <w:tcW w:w="693" w:type="dxa"/>
            <w:tcBorders>
              <w:top w:val="nil"/>
              <w:left w:val="nil"/>
              <w:bottom w:val="single" w:sz="4" w:space="0" w:color="auto"/>
              <w:right w:val="single" w:sz="4" w:space="0" w:color="auto"/>
            </w:tcBorders>
            <w:shd w:val="clear" w:color="auto" w:fill="auto"/>
            <w:vAlign w:val="center"/>
            <w:hideMark/>
          </w:tcPr>
          <w:p w14:paraId="044582FD"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101,3</w:t>
            </w:r>
          </w:p>
        </w:tc>
        <w:tc>
          <w:tcPr>
            <w:tcW w:w="537" w:type="dxa"/>
            <w:tcBorders>
              <w:top w:val="nil"/>
              <w:left w:val="nil"/>
              <w:bottom w:val="single" w:sz="4" w:space="0" w:color="auto"/>
              <w:right w:val="single" w:sz="4" w:space="0" w:color="auto"/>
            </w:tcBorders>
            <w:shd w:val="clear" w:color="auto" w:fill="auto"/>
            <w:vAlign w:val="center"/>
            <w:hideMark/>
          </w:tcPr>
          <w:p w14:paraId="79BED416"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5,6</w:t>
            </w:r>
          </w:p>
        </w:tc>
        <w:tc>
          <w:tcPr>
            <w:tcW w:w="1143" w:type="dxa"/>
            <w:tcBorders>
              <w:top w:val="nil"/>
              <w:left w:val="nil"/>
              <w:bottom w:val="single" w:sz="4" w:space="0" w:color="auto"/>
              <w:right w:val="single" w:sz="4" w:space="0" w:color="auto"/>
            </w:tcBorders>
            <w:shd w:val="clear" w:color="auto" w:fill="auto"/>
            <w:vAlign w:val="center"/>
            <w:hideMark/>
          </w:tcPr>
          <w:p w14:paraId="28DB4854"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5,3</w:t>
            </w:r>
          </w:p>
        </w:tc>
        <w:tc>
          <w:tcPr>
            <w:tcW w:w="1200" w:type="dxa"/>
            <w:tcBorders>
              <w:top w:val="nil"/>
              <w:left w:val="nil"/>
              <w:bottom w:val="single" w:sz="4" w:space="0" w:color="auto"/>
              <w:right w:val="single" w:sz="4" w:space="0" w:color="auto"/>
            </w:tcBorders>
            <w:shd w:val="clear" w:color="auto" w:fill="auto"/>
            <w:vAlign w:val="center"/>
            <w:hideMark/>
          </w:tcPr>
          <w:p w14:paraId="7F728D90"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0,1</w:t>
            </w:r>
          </w:p>
        </w:tc>
        <w:tc>
          <w:tcPr>
            <w:tcW w:w="721" w:type="dxa"/>
            <w:tcBorders>
              <w:top w:val="nil"/>
              <w:left w:val="nil"/>
              <w:bottom w:val="single" w:sz="4" w:space="0" w:color="auto"/>
              <w:right w:val="single" w:sz="4" w:space="0" w:color="auto"/>
            </w:tcBorders>
            <w:shd w:val="clear" w:color="auto" w:fill="auto"/>
            <w:vAlign w:val="center"/>
            <w:hideMark/>
          </w:tcPr>
          <w:p w14:paraId="68ADBF5A"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28,6</w:t>
            </w:r>
          </w:p>
        </w:tc>
        <w:tc>
          <w:tcPr>
            <w:tcW w:w="721" w:type="dxa"/>
            <w:tcBorders>
              <w:top w:val="nil"/>
              <w:left w:val="nil"/>
              <w:bottom w:val="single" w:sz="4" w:space="0" w:color="auto"/>
              <w:right w:val="single" w:sz="4" w:space="0" w:color="auto"/>
            </w:tcBorders>
            <w:shd w:val="clear" w:color="auto" w:fill="auto"/>
            <w:vAlign w:val="center"/>
            <w:hideMark/>
          </w:tcPr>
          <w:p w14:paraId="6C92CB37"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73,4</w:t>
            </w:r>
          </w:p>
        </w:tc>
        <w:tc>
          <w:tcPr>
            <w:tcW w:w="698" w:type="dxa"/>
            <w:tcBorders>
              <w:top w:val="nil"/>
              <w:left w:val="nil"/>
              <w:bottom w:val="single" w:sz="4" w:space="0" w:color="auto"/>
              <w:right w:val="single" w:sz="4" w:space="0" w:color="auto"/>
            </w:tcBorders>
            <w:shd w:val="clear" w:color="auto" w:fill="auto"/>
            <w:vAlign w:val="center"/>
            <w:hideMark/>
          </w:tcPr>
          <w:p w14:paraId="568AEFEB" w14:textId="77777777" w:rsidR="00F00781" w:rsidRPr="00F00781" w:rsidRDefault="00F00781" w:rsidP="00F00781">
            <w:pPr>
              <w:rPr>
                <w:rFonts w:ascii="Arial Narrow" w:hAnsi="Arial Narrow" w:cs="Calibri"/>
                <w:sz w:val="14"/>
                <w:szCs w:val="14"/>
              </w:rPr>
            </w:pPr>
            <w:r w:rsidRPr="00F00781">
              <w:rPr>
                <w:rFonts w:ascii="Arial Narrow" w:hAnsi="Arial Narrow" w:cs="Calibri"/>
                <w:sz w:val="14"/>
                <w:szCs w:val="14"/>
              </w:rPr>
              <w:t> </w:t>
            </w:r>
          </w:p>
        </w:tc>
        <w:tc>
          <w:tcPr>
            <w:tcW w:w="765" w:type="dxa"/>
            <w:tcBorders>
              <w:top w:val="nil"/>
              <w:left w:val="nil"/>
              <w:bottom w:val="single" w:sz="4" w:space="0" w:color="auto"/>
              <w:right w:val="single" w:sz="4" w:space="0" w:color="auto"/>
            </w:tcBorders>
            <w:shd w:val="clear" w:color="auto" w:fill="auto"/>
            <w:vAlign w:val="center"/>
            <w:hideMark/>
          </w:tcPr>
          <w:p w14:paraId="2B22FCCA"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102,0</w:t>
            </w:r>
          </w:p>
        </w:tc>
        <w:tc>
          <w:tcPr>
            <w:tcW w:w="970" w:type="dxa"/>
            <w:tcBorders>
              <w:top w:val="nil"/>
              <w:left w:val="nil"/>
              <w:bottom w:val="single" w:sz="4" w:space="0" w:color="auto"/>
              <w:right w:val="single" w:sz="4" w:space="0" w:color="auto"/>
            </w:tcBorders>
            <w:shd w:val="clear" w:color="auto" w:fill="auto"/>
            <w:vAlign w:val="center"/>
            <w:hideMark/>
          </w:tcPr>
          <w:p w14:paraId="784892DE" w14:textId="77777777" w:rsidR="00F00781" w:rsidRPr="00F00781" w:rsidRDefault="00F00781" w:rsidP="00F00781">
            <w:pPr>
              <w:rPr>
                <w:rFonts w:ascii="Arial Narrow" w:hAnsi="Arial Narrow" w:cs="Calibri"/>
                <w:sz w:val="14"/>
                <w:szCs w:val="14"/>
              </w:rPr>
            </w:pPr>
            <w:r w:rsidRPr="00F00781">
              <w:rPr>
                <w:rFonts w:ascii="Arial Narrow" w:hAnsi="Arial Narrow" w:cs="Calibri"/>
                <w:sz w:val="14"/>
                <w:szCs w:val="14"/>
              </w:rPr>
              <w:t> </w:t>
            </w:r>
          </w:p>
        </w:tc>
        <w:tc>
          <w:tcPr>
            <w:tcW w:w="602" w:type="dxa"/>
            <w:tcBorders>
              <w:top w:val="nil"/>
              <w:left w:val="nil"/>
              <w:bottom w:val="single" w:sz="4" w:space="0" w:color="auto"/>
              <w:right w:val="single" w:sz="4" w:space="0" w:color="auto"/>
            </w:tcBorders>
            <w:shd w:val="clear" w:color="auto" w:fill="auto"/>
            <w:vAlign w:val="center"/>
            <w:hideMark/>
          </w:tcPr>
          <w:p w14:paraId="1337456A"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80,9</w:t>
            </w:r>
          </w:p>
        </w:tc>
        <w:tc>
          <w:tcPr>
            <w:tcW w:w="697" w:type="dxa"/>
            <w:tcBorders>
              <w:top w:val="nil"/>
              <w:left w:val="nil"/>
              <w:bottom w:val="single" w:sz="4" w:space="0" w:color="auto"/>
              <w:right w:val="single" w:sz="4" w:space="0" w:color="auto"/>
            </w:tcBorders>
            <w:shd w:val="clear" w:color="auto" w:fill="auto"/>
            <w:vAlign w:val="center"/>
            <w:hideMark/>
          </w:tcPr>
          <w:p w14:paraId="4A6EA33D"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-9,8</w:t>
            </w:r>
          </w:p>
        </w:tc>
        <w:tc>
          <w:tcPr>
            <w:tcW w:w="869" w:type="dxa"/>
            <w:tcBorders>
              <w:top w:val="nil"/>
              <w:left w:val="nil"/>
              <w:bottom w:val="single" w:sz="4" w:space="0" w:color="auto"/>
              <w:right w:val="single" w:sz="4" w:space="0" w:color="auto"/>
            </w:tcBorders>
            <w:shd w:val="clear" w:color="auto" w:fill="auto"/>
            <w:vAlign w:val="center"/>
            <w:hideMark/>
          </w:tcPr>
          <w:p w14:paraId="117929B0"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198,8</w:t>
            </w:r>
          </w:p>
        </w:tc>
      </w:tr>
      <w:tr w:rsidR="00F00781" w:rsidRPr="00F00781" w14:paraId="0C603223" w14:textId="77777777" w:rsidTr="00E01BBF">
        <w:trPr>
          <w:trHeight w:val="196"/>
        </w:trPr>
        <w:tc>
          <w:tcPr>
            <w:tcW w:w="632" w:type="dxa"/>
            <w:tcBorders>
              <w:top w:val="nil"/>
              <w:left w:val="single" w:sz="4" w:space="0" w:color="auto"/>
              <w:bottom w:val="single" w:sz="4" w:space="0" w:color="auto"/>
              <w:right w:val="single" w:sz="4" w:space="0" w:color="auto"/>
            </w:tcBorders>
            <w:shd w:val="clear" w:color="auto" w:fill="auto"/>
            <w:vAlign w:val="center"/>
            <w:hideMark/>
          </w:tcPr>
          <w:p w14:paraId="0997B463" w14:textId="77777777" w:rsidR="00F00781" w:rsidRPr="00F00781" w:rsidRDefault="00F00781" w:rsidP="00F00781">
            <w:pPr>
              <w:rPr>
                <w:rFonts w:ascii="Arial Narrow" w:hAnsi="Arial Narrow" w:cs="Calibri"/>
                <w:sz w:val="14"/>
                <w:szCs w:val="14"/>
              </w:rPr>
            </w:pPr>
            <w:r w:rsidRPr="00F00781">
              <w:rPr>
                <w:rFonts w:ascii="Arial Narrow" w:hAnsi="Arial Narrow" w:cs="Calibri"/>
                <w:sz w:val="14"/>
                <w:szCs w:val="14"/>
              </w:rPr>
              <w:t xml:space="preserve"> 03.1</w:t>
            </w:r>
          </w:p>
        </w:tc>
        <w:tc>
          <w:tcPr>
            <w:tcW w:w="1671" w:type="dxa"/>
            <w:tcBorders>
              <w:top w:val="nil"/>
              <w:left w:val="nil"/>
              <w:bottom w:val="single" w:sz="4" w:space="0" w:color="auto"/>
              <w:right w:val="single" w:sz="4" w:space="0" w:color="auto"/>
            </w:tcBorders>
            <w:shd w:val="clear" w:color="auto" w:fill="auto"/>
            <w:vAlign w:val="center"/>
            <w:hideMark/>
          </w:tcPr>
          <w:p w14:paraId="1BEFF623" w14:textId="77777777" w:rsidR="00F00781" w:rsidRPr="00F00781" w:rsidRDefault="00F00781" w:rsidP="00F00781">
            <w:pPr>
              <w:ind w:firstLineChars="200" w:firstLine="280"/>
              <w:rPr>
                <w:rFonts w:ascii="Arial Narrow" w:hAnsi="Arial Narrow" w:cs="Calibri"/>
                <w:sz w:val="14"/>
                <w:szCs w:val="14"/>
              </w:rPr>
            </w:pPr>
            <w:r w:rsidRPr="00F00781">
              <w:rPr>
                <w:rFonts w:ascii="Arial Narrow" w:hAnsi="Arial Narrow" w:cs="Calibri"/>
                <w:sz w:val="14"/>
                <w:szCs w:val="14"/>
              </w:rPr>
              <w:t>Царевица за силаж</w:t>
            </w:r>
          </w:p>
        </w:tc>
        <w:tc>
          <w:tcPr>
            <w:tcW w:w="773" w:type="dxa"/>
            <w:tcBorders>
              <w:top w:val="nil"/>
              <w:left w:val="nil"/>
              <w:bottom w:val="single" w:sz="4" w:space="0" w:color="auto"/>
              <w:right w:val="single" w:sz="4" w:space="0" w:color="auto"/>
            </w:tcBorders>
            <w:shd w:val="clear" w:color="auto" w:fill="auto"/>
            <w:vAlign w:val="center"/>
            <w:hideMark/>
          </w:tcPr>
          <w:p w14:paraId="5FC24AB8"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59,0</w:t>
            </w:r>
          </w:p>
        </w:tc>
        <w:tc>
          <w:tcPr>
            <w:tcW w:w="582" w:type="dxa"/>
            <w:tcBorders>
              <w:top w:val="nil"/>
              <w:left w:val="nil"/>
              <w:bottom w:val="single" w:sz="4" w:space="0" w:color="auto"/>
              <w:right w:val="single" w:sz="4" w:space="0" w:color="auto"/>
            </w:tcBorders>
            <w:shd w:val="clear" w:color="auto" w:fill="auto"/>
            <w:vAlign w:val="center"/>
            <w:hideMark/>
          </w:tcPr>
          <w:p w14:paraId="3BB962EA"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0,1</w:t>
            </w:r>
          </w:p>
        </w:tc>
        <w:tc>
          <w:tcPr>
            <w:tcW w:w="681" w:type="dxa"/>
            <w:tcBorders>
              <w:top w:val="nil"/>
              <w:left w:val="nil"/>
              <w:bottom w:val="single" w:sz="4" w:space="0" w:color="auto"/>
              <w:right w:val="single" w:sz="4" w:space="0" w:color="auto"/>
            </w:tcBorders>
            <w:shd w:val="clear" w:color="auto" w:fill="auto"/>
            <w:vAlign w:val="center"/>
            <w:hideMark/>
          </w:tcPr>
          <w:p w14:paraId="52147E54"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24,1</w:t>
            </w:r>
          </w:p>
        </w:tc>
        <w:tc>
          <w:tcPr>
            <w:tcW w:w="789" w:type="dxa"/>
            <w:tcBorders>
              <w:top w:val="nil"/>
              <w:left w:val="nil"/>
              <w:bottom w:val="single" w:sz="4" w:space="0" w:color="auto"/>
              <w:right w:val="single" w:sz="4" w:space="0" w:color="auto"/>
            </w:tcBorders>
            <w:shd w:val="clear" w:color="auto" w:fill="auto"/>
            <w:vAlign w:val="center"/>
            <w:hideMark/>
          </w:tcPr>
          <w:p w14:paraId="773F35C1" w14:textId="77777777" w:rsidR="00F00781" w:rsidRPr="00F00781" w:rsidRDefault="00F00781" w:rsidP="00F00781">
            <w:pPr>
              <w:rPr>
                <w:rFonts w:ascii="Arial Narrow" w:hAnsi="Arial Narrow" w:cs="Calibri"/>
                <w:sz w:val="14"/>
                <w:szCs w:val="14"/>
              </w:rPr>
            </w:pPr>
            <w:r w:rsidRPr="00F00781">
              <w:rPr>
                <w:rFonts w:ascii="Arial Narrow" w:hAnsi="Arial Narrow" w:cs="Calibri"/>
                <w:sz w:val="14"/>
                <w:szCs w:val="14"/>
              </w:rPr>
              <w:t> </w:t>
            </w:r>
          </w:p>
        </w:tc>
        <w:tc>
          <w:tcPr>
            <w:tcW w:w="693" w:type="dxa"/>
            <w:tcBorders>
              <w:top w:val="nil"/>
              <w:left w:val="nil"/>
              <w:bottom w:val="single" w:sz="4" w:space="0" w:color="auto"/>
              <w:right w:val="single" w:sz="4" w:space="0" w:color="auto"/>
            </w:tcBorders>
            <w:shd w:val="clear" w:color="auto" w:fill="auto"/>
            <w:vAlign w:val="center"/>
            <w:hideMark/>
          </w:tcPr>
          <w:p w14:paraId="4EFE13C4"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27,5</w:t>
            </w:r>
          </w:p>
        </w:tc>
        <w:tc>
          <w:tcPr>
            <w:tcW w:w="537" w:type="dxa"/>
            <w:tcBorders>
              <w:top w:val="nil"/>
              <w:left w:val="nil"/>
              <w:bottom w:val="single" w:sz="4" w:space="0" w:color="auto"/>
              <w:right w:val="single" w:sz="4" w:space="0" w:color="auto"/>
            </w:tcBorders>
            <w:shd w:val="clear" w:color="auto" w:fill="auto"/>
            <w:vAlign w:val="center"/>
            <w:hideMark/>
          </w:tcPr>
          <w:p w14:paraId="04491A5A"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1,5</w:t>
            </w:r>
          </w:p>
        </w:tc>
        <w:tc>
          <w:tcPr>
            <w:tcW w:w="1143" w:type="dxa"/>
            <w:tcBorders>
              <w:top w:val="nil"/>
              <w:left w:val="nil"/>
              <w:bottom w:val="single" w:sz="4" w:space="0" w:color="auto"/>
              <w:right w:val="single" w:sz="4" w:space="0" w:color="auto"/>
            </w:tcBorders>
            <w:shd w:val="clear" w:color="auto" w:fill="auto"/>
            <w:vAlign w:val="center"/>
            <w:hideMark/>
          </w:tcPr>
          <w:p w14:paraId="0384A180"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2,0</w:t>
            </w:r>
          </w:p>
        </w:tc>
        <w:tc>
          <w:tcPr>
            <w:tcW w:w="1200" w:type="dxa"/>
            <w:tcBorders>
              <w:top w:val="nil"/>
              <w:left w:val="nil"/>
              <w:bottom w:val="single" w:sz="4" w:space="0" w:color="auto"/>
              <w:right w:val="single" w:sz="4" w:space="0" w:color="auto"/>
            </w:tcBorders>
            <w:shd w:val="clear" w:color="auto" w:fill="auto"/>
            <w:vAlign w:val="center"/>
            <w:hideMark/>
          </w:tcPr>
          <w:p w14:paraId="123464D3" w14:textId="77777777" w:rsidR="00F00781" w:rsidRPr="00F00781" w:rsidRDefault="00F00781" w:rsidP="00F00781">
            <w:pPr>
              <w:rPr>
                <w:rFonts w:ascii="Arial Narrow" w:hAnsi="Arial Narrow" w:cs="Calibri"/>
                <w:sz w:val="14"/>
                <w:szCs w:val="14"/>
              </w:rPr>
            </w:pPr>
            <w:r w:rsidRPr="00F00781">
              <w:rPr>
                <w:rFonts w:ascii="Arial Narrow" w:hAnsi="Arial Narrow" w:cs="Calibri"/>
                <w:sz w:val="14"/>
                <w:szCs w:val="14"/>
              </w:rPr>
              <w:t> </w:t>
            </w:r>
          </w:p>
        </w:tc>
        <w:tc>
          <w:tcPr>
            <w:tcW w:w="721" w:type="dxa"/>
            <w:tcBorders>
              <w:top w:val="nil"/>
              <w:left w:val="nil"/>
              <w:bottom w:val="single" w:sz="4" w:space="0" w:color="auto"/>
              <w:right w:val="single" w:sz="4" w:space="0" w:color="auto"/>
            </w:tcBorders>
            <w:shd w:val="clear" w:color="auto" w:fill="auto"/>
            <w:vAlign w:val="center"/>
            <w:hideMark/>
          </w:tcPr>
          <w:p w14:paraId="7F0CA467"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10,4</w:t>
            </w:r>
          </w:p>
        </w:tc>
        <w:tc>
          <w:tcPr>
            <w:tcW w:w="721" w:type="dxa"/>
            <w:tcBorders>
              <w:top w:val="nil"/>
              <w:left w:val="nil"/>
              <w:bottom w:val="single" w:sz="4" w:space="0" w:color="auto"/>
              <w:right w:val="single" w:sz="4" w:space="0" w:color="auto"/>
            </w:tcBorders>
            <w:shd w:val="clear" w:color="auto" w:fill="auto"/>
            <w:vAlign w:val="center"/>
            <w:hideMark/>
          </w:tcPr>
          <w:p w14:paraId="230BF4A3"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13,0</w:t>
            </w:r>
          </w:p>
        </w:tc>
        <w:tc>
          <w:tcPr>
            <w:tcW w:w="698" w:type="dxa"/>
            <w:tcBorders>
              <w:top w:val="nil"/>
              <w:left w:val="nil"/>
              <w:bottom w:val="single" w:sz="4" w:space="0" w:color="auto"/>
              <w:right w:val="single" w:sz="4" w:space="0" w:color="auto"/>
            </w:tcBorders>
            <w:shd w:val="clear" w:color="auto" w:fill="auto"/>
            <w:vAlign w:val="center"/>
            <w:hideMark/>
          </w:tcPr>
          <w:p w14:paraId="1CB4D660" w14:textId="77777777" w:rsidR="00F00781" w:rsidRPr="00F00781" w:rsidRDefault="00F00781" w:rsidP="00F00781">
            <w:pPr>
              <w:rPr>
                <w:rFonts w:ascii="Arial Narrow" w:hAnsi="Arial Narrow" w:cs="Calibri"/>
                <w:sz w:val="14"/>
                <w:szCs w:val="14"/>
              </w:rPr>
            </w:pPr>
            <w:r w:rsidRPr="00F00781">
              <w:rPr>
                <w:rFonts w:ascii="Arial Narrow" w:hAnsi="Arial Narrow" w:cs="Calibri"/>
                <w:sz w:val="14"/>
                <w:szCs w:val="14"/>
              </w:rPr>
              <w:t> </w:t>
            </w:r>
          </w:p>
        </w:tc>
        <w:tc>
          <w:tcPr>
            <w:tcW w:w="765" w:type="dxa"/>
            <w:tcBorders>
              <w:top w:val="nil"/>
              <w:left w:val="nil"/>
              <w:bottom w:val="single" w:sz="4" w:space="0" w:color="auto"/>
              <w:right w:val="single" w:sz="4" w:space="0" w:color="auto"/>
            </w:tcBorders>
            <w:shd w:val="clear" w:color="auto" w:fill="auto"/>
            <w:vAlign w:val="center"/>
            <w:hideMark/>
          </w:tcPr>
          <w:p w14:paraId="6090ED73"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23,4</w:t>
            </w:r>
          </w:p>
        </w:tc>
        <w:tc>
          <w:tcPr>
            <w:tcW w:w="970" w:type="dxa"/>
            <w:tcBorders>
              <w:top w:val="nil"/>
              <w:left w:val="nil"/>
              <w:bottom w:val="single" w:sz="4" w:space="0" w:color="auto"/>
              <w:right w:val="single" w:sz="4" w:space="0" w:color="auto"/>
            </w:tcBorders>
            <w:shd w:val="clear" w:color="auto" w:fill="auto"/>
            <w:vAlign w:val="center"/>
            <w:hideMark/>
          </w:tcPr>
          <w:p w14:paraId="32F2470B" w14:textId="77777777" w:rsidR="00F00781" w:rsidRPr="00F00781" w:rsidRDefault="00F00781" w:rsidP="00F00781">
            <w:pPr>
              <w:rPr>
                <w:rFonts w:ascii="Arial Narrow" w:hAnsi="Arial Narrow" w:cs="Calibri"/>
                <w:sz w:val="14"/>
                <w:szCs w:val="14"/>
              </w:rPr>
            </w:pPr>
            <w:r w:rsidRPr="00F00781">
              <w:rPr>
                <w:rFonts w:ascii="Arial Narrow" w:hAnsi="Arial Narrow" w:cs="Calibri"/>
                <w:sz w:val="14"/>
                <w:szCs w:val="14"/>
              </w:rPr>
              <w:t> </w:t>
            </w:r>
          </w:p>
        </w:tc>
        <w:tc>
          <w:tcPr>
            <w:tcW w:w="602" w:type="dxa"/>
            <w:tcBorders>
              <w:top w:val="nil"/>
              <w:left w:val="nil"/>
              <w:bottom w:val="single" w:sz="4" w:space="0" w:color="auto"/>
              <w:right w:val="single" w:sz="4" w:space="0" w:color="auto"/>
            </w:tcBorders>
            <w:shd w:val="clear" w:color="auto" w:fill="auto"/>
            <w:vAlign w:val="center"/>
            <w:hideMark/>
          </w:tcPr>
          <w:p w14:paraId="139C4AEA"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28,6</w:t>
            </w:r>
          </w:p>
        </w:tc>
        <w:tc>
          <w:tcPr>
            <w:tcW w:w="697" w:type="dxa"/>
            <w:tcBorders>
              <w:top w:val="nil"/>
              <w:left w:val="nil"/>
              <w:bottom w:val="single" w:sz="4" w:space="0" w:color="auto"/>
              <w:right w:val="single" w:sz="4" w:space="0" w:color="auto"/>
            </w:tcBorders>
            <w:shd w:val="clear" w:color="auto" w:fill="auto"/>
            <w:vAlign w:val="center"/>
            <w:hideMark/>
          </w:tcPr>
          <w:p w14:paraId="6DF2A548"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4,6</w:t>
            </w:r>
          </w:p>
        </w:tc>
        <w:tc>
          <w:tcPr>
            <w:tcW w:w="869" w:type="dxa"/>
            <w:tcBorders>
              <w:top w:val="nil"/>
              <w:left w:val="nil"/>
              <w:bottom w:val="single" w:sz="4" w:space="0" w:color="auto"/>
              <w:right w:val="single" w:sz="4" w:space="0" w:color="auto"/>
            </w:tcBorders>
            <w:shd w:val="clear" w:color="auto" w:fill="auto"/>
            <w:vAlign w:val="center"/>
            <w:hideMark/>
          </w:tcPr>
          <w:p w14:paraId="10BBB6CB"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57,4</w:t>
            </w:r>
          </w:p>
        </w:tc>
      </w:tr>
      <w:tr w:rsidR="00F00781" w:rsidRPr="00F00781" w14:paraId="1F842E92" w14:textId="77777777" w:rsidTr="00E01BBF">
        <w:trPr>
          <w:trHeight w:val="196"/>
        </w:trPr>
        <w:tc>
          <w:tcPr>
            <w:tcW w:w="632" w:type="dxa"/>
            <w:tcBorders>
              <w:top w:val="nil"/>
              <w:left w:val="single" w:sz="4" w:space="0" w:color="auto"/>
              <w:bottom w:val="single" w:sz="4" w:space="0" w:color="auto"/>
              <w:right w:val="single" w:sz="4" w:space="0" w:color="auto"/>
            </w:tcBorders>
            <w:shd w:val="clear" w:color="auto" w:fill="auto"/>
            <w:vAlign w:val="center"/>
            <w:hideMark/>
          </w:tcPr>
          <w:p w14:paraId="61701884" w14:textId="77777777" w:rsidR="00F00781" w:rsidRPr="00F00781" w:rsidRDefault="00F00781" w:rsidP="00F00781">
            <w:pPr>
              <w:rPr>
                <w:rFonts w:ascii="Arial Narrow" w:hAnsi="Arial Narrow" w:cs="Calibri"/>
                <w:sz w:val="14"/>
                <w:szCs w:val="14"/>
              </w:rPr>
            </w:pPr>
            <w:r w:rsidRPr="00F00781">
              <w:rPr>
                <w:rFonts w:ascii="Arial Narrow" w:hAnsi="Arial Narrow" w:cs="Calibri"/>
                <w:sz w:val="14"/>
                <w:szCs w:val="14"/>
              </w:rPr>
              <w:t xml:space="preserve"> 03.2</w:t>
            </w:r>
          </w:p>
        </w:tc>
        <w:tc>
          <w:tcPr>
            <w:tcW w:w="1671" w:type="dxa"/>
            <w:tcBorders>
              <w:top w:val="nil"/>
              <w:left w:val="nil"/>
              <w:bottom w:val="single" w:sz="4" w:space="0" w:color="auto"/>
              <w:right w:val="single" w:sz="4" w:space="0" w:color="auto"/>
            </w:tcBorders>
            <w:shd w:val="clear" w:color="auto" w:fill="auto"/>
            <w:vAlign w:val="center"/>
            <w:hideMark/>
          </w:tcPr>
          <w:p w14:paraId="24697BD0" w14:textId="77777777" w:rsidR="00F00781" w:rsidRPr="00F00781" w:rsidRDefault="00F00781" w:rsidP="00F00781">
            <w:pPr>
              <w:ind w:firstLineChars="200" w:firstLine="280"/>
              <w:rPr>
                <w:rFonts w:ascii="Arial Narrow" w:hAnsi="Arial Narrow" w:cs="Calibri"/>
                <w:sz w:val="14"/>
                <w:szCs w:val="14"/>
              </w:rPr>
            </w:pPr>
            <w:r w:rsidRPr="00F00781">
              <w:rPr>
                <w:rFonts w:ascii="Arial Narrow" w:hAnsi="Arial Narrow" w:cs="Calibri"/>
                <w:sz w:val="14"/>
                <w:szCs w:val="14"/>
              </w:rPr>
              <w:t>Кореноплодни фуражи</w:t>
            </w:r>
          </w:p>
        </w:tc>
        <w:tc>
          <w:tcPr>
            <w:tcW w:w="773" w:type="dxa"/>
            <w:tcBorders>
              <w:top w:val="nil"/>
              <w:left w:val="nil"/>
              <w:bottom w:val="single" w:sz="4" w:space="0" w:color="auto"/>
              <w:right w:val="single" w:sz="4" w:space="0" w:color="auto"/>
            </w:tcBorders>
            <w:shd w:val="clear" w:color="auto" w:fill="auto"/>
            <w:vAlign w:val="center"/>
            <w:hideMark/>
          </w:tcPr>
          <w:p w14:paraId="7DBF97B3" w14:textId="77777777" w:rsidR="00F00781" w:rsidRPr="00F00781" w:rsidRDefault="00F00781" w:rsidP="00F00781">
            <w:pPr>
              <w:rPr>
                <w:rFonts w:ascii="Arial Narrow" w:hAnsi="Arial Narrow" w:cs="Calibri"/>
                <w:sz w:val="14"/>
                <w:szCs w:val="14"/>
              </w:rPr>
            </w:pPr>
            <w:r w:rsidRPr="00F00781">
              <w:rPr>
                <w:rFonts w:ascii="Arial Narrow" w:hAnsi="Arial Narrow" w:cs="Calibri"/>
                <w:sz w:val="14"/>
                <w:szCs w:val="14"/>
              </w:rPr>
              <w:t> </w:t>
            </w:r>
          </w:p>
        </w:tc>
        <w:tc>
          <w:tcPr>
            <w:tcW w:w="582" w:type="dxa"/>
            <w:tcBorders>
              <w:top w:val="nil"/>
              <w:left w:val="nil"/>
              <w:bottom w:val="single" w:sz="4" w:space="0" w:color="auto"/>
              <w:right w:val="single" w:sz="4" w:space="0" w:color="auto"/>
            </w:tcBorders>
            <w:shd w:val="clear" w:color="auto" w:fill="auto"/>
            <w:vAlign w:val="center"/>
            <w:hideMark/>
          </w:tcPr>
          <w:p w14:paraId="3A2BB69F" w14:textId="77777777" w:rsidR="00F00781" w:rsidRPr="00F00781" w:rsidRDefault="00F00781" w:rsidP="00F00781">
            <w:pPr>
              <w:rPr>
                <w:rFonts w:ascii="Arial Narrow" w:hAnsi="Arial Narrow" w:cs="Calibri"/>
                <w:sz w:val="14"/>
                <w:szCs w:val="14"/>
              </w:rPr>
            </w:pPr>
            <w:r w:rsidRPr="00F00781">
              <w:rPr>
                <w:rFonts w:ascii="Arial Narrow" w:hAnsi="Arial Narrow" w:cs="Calibri"/>
                <w:sz w:val="14"/>
                <w:szCs w:val="14"/>
              </w:rPr>
              <w:t> </w:t>
            </w:r>
          </w:p>
        </w:tc>
        <w:tc>
          <w:tcPr>
            <w:tcW w:w="681" w:type="dxa"/>
            <w:tcBorders>
              <w:top w:val="nil"/>
              <w:left w:val="nil"/>
              <w:bottom w:val="single" w:sz="4" w:space="0" w:color="auto"/>
              <w:right w:val="single" w:sz="4" w:space="0" w:color="auto"/>
            </w:tcBorders>
            <w:shd w:val="clear" w:color="auto" w:fill="auto"/>
            <w:vAlign w:val="center"/>
            <w:hideMark/>
          </w:tcPr>
          <w:p w14:paraId="3A09D0B2" w14:textId="77777777" w:rsidR="00F00781" w:rsidRPr="00F00781" w:rsidRDefault="00F00781" w:rsidP="00F00781">
            <w:pPr>
              <w:rPr>
                <w:rFonts w:ascii="Arial Narrow" w:hAnsi="Arial Narrow" w:cs="Calibri"/>
                <w:sz w:val="14"/>
                <w:szCs w:val="14"/>
              </w:rPr>
            </w:pPr>
            <w:r w:rsidRPr="00F00781">
              <w:rPr>
                <w:rFonts w:ascii="Arial Narrow" w:hAnsi="Arial Narrow" w:cs="Calibri"/>
                <w:sz w:val="14"/>
                <w:szCs w:val="14"/>
              </w:rPr>
              <w:t> </w:t>
            </w:r>
          </w:p>
        </w:tc>
        <w:tc>
          <w:tcPr>
            <w:tcW w:w="789" w:type="dxa"/>
            <w:tcBorders>
              <w:top w:val="nil"/>
              <w:left w:val="nil"/>
              <w:bottom w:val="single" w:sz="4" w:space="0" w:color="auto"/>
              <w:right w:val="single" w:sz="4" w:space="0" w:color="auto"/>
            </w:tcBorders>
            <w:shd w:val="clear" w:color="auto" w:fill="auto"/>
            <w:vAlign w:val="center"/>
            <w:hideMark/>
          </w:tcPr>
          <w:p w14:paraId="25981BD3" w14:textId="77777777" w:rsidR="00F00781" w:rsidRPr="00F00781" w:rsidRDefault="00F00781" w:rsidP="00F00781">
            <w:pPr>
              <w:rPr>
                <w:rFonts w:ascii="Arial Narrow" w:hAnsi="Arial Narrow" w:cs="Calibri"/>
                <w:sz w:val="14"/>
                <w:szCs w:val="14"/>
              </w:rPr>
            </w:pPr>
            <w:r w:rsidRPr="00F00781">
              <w:rPr>
                <w:rFonts w:ascii="Arial Narrow" w:hAnsi="Arial Narrow" w:cs="Calibri"/>
                <w:sz w:val="14"/>
                <w:szCs w:val="14"/>
              </w:rPr>
              <w:t> </w:t>
            </w:r>
          </w:p>
        </w:tc>
        <w:tc>
          <w:tcPr>
            <w:tcW w:w="693" w:type="dxa"/>
            <w:tcBorders>
              <w:top w:val="nil"/>
              <w:left w:val="nil"/>
              <w:bottom w:val="single" w:sz="4" w:space="0" w:color="auto"/>
              <w:right w:val="single" w:sz="4" w:space="0" w:color="auto"/>
            </w:tcBorders>
            <w:shd w:val="clear" w:color="auto" w:fill="auto"/>
            <w:vAlign w:val="center"/>
            <w:hideMark/>
          </w:tcPr>
          <w:p w14:paraId="57703B5A" w14:textId="77777777" w:rsidR="00F00781" w:rsidRPr="00F00781" w:rsidRDefault="00F00781" w:rsidP="00F00781">
            <w:pPr>
              <w:rPr>
                <w:rFonts w:ascii="Arial Narrow" w:hAnsi="Arial Narrow" w:cs="Calibri"/>
                <w:sz w:val="14"/>
                <w:szCs w:val="14"/>
              </w:rPr>
            </w:pPr>
            <w:r w:rsidRPr="00F00781">
              <w:rPr>
                <w:rFonts w:ascii="Arial Narrow" w:hAnsi="Arial Narrow" w:cs="Calibri"/>
                <w:sz w:val="14"/>
                <w:szCs w:val="14"/>
              </w:rPr>
              <w:t> </w:t>
            </w:r>
          </w:p>
        </w:tc>
        <w:tc>
          <w:tcPr>
            <w:tcW w:w="537" w:type="dxa"/>
            <w:tcBorders>
              <w:top w:val="nil"/>
              <w:left w:val="nil"/>
              <w:bottom w:val="single" w:sz="4" w:space="0" w:color="auto"/>
              <w:right w:val="single" w:sz="4" w:space="0" w:color="auto"/>
            </w:tcBorders>
            <w:shd w:val="clear" w:color="auto" w:fill="auto"/>
            <w:vAlign w:val="center"/>
            <w:hideMark/>
          </w:tcPr>
          <w:p w14:paraId="07A1D366" w14:textId="77777777" w:rsidR="00F00781" w:rsidRPr="00F00781" w:rsidRDefault="00F00781" w:rsidP="00F00781">
            <w:pPr>
              <w:rPr>
                <w:rFonts w:ascii="Arial Narrow" w:hAnsi="Arial Narrow" w:cs="Calibri"/>
                <w:sz w:val="14"/>
                <w:szCs w:val="14"/>
              </w:rPr>
            </w:pPr>
            <w:r w:rsidRPr="00F00781">
              <w:rPr>
                <w:rFonts w:ascii="Arial Narrow" w:hAnsi="Arial Narrow" w:cs="Calibri"/>
                <w:sz w:val="14"/>
                <w:szCs w:val="14"/>
              </w:rPr>
              <w:t> </w:t>
            </w:r>
          </w:p>
        </w:tc>
        <w:tc>
          <w:tcPr>
            <w:tcW w:w="1143" w:type="dxa"/>
            <w:tcBorders>
              <w:top w:val="nil"/>
              <w:left w:val="nil"/>
              <w:bottom w:val="single" w:sz="4" w:space="0" w:color="auto"/>
              <w:right w:val="single" w:sz="4" w:space="0" w:color="auto"/>
            </w:tcBorders>
            <w:shd w:val="clear" w:color="auto" w:fill="auto"/>
            <w:vAlign w:val="center"/>
            <w:hideMark/>
          </w:tcPr>
          <w:p w14:paraId="6637B284" w14:textId="77777777" w:rsidR="00F00781" w:rsidRPr="00F00781" w:rsidRDefault="00F00781" w:rsidP="00F00781">
            <w:pPr>
              <w:rPr>
                <w:rFonts w:ascii="Arial Narrow" w:hAnsi="Arial Narrow" w:cs="Calibri"/>
                <w:sz w:val="14"/>
                <w:szCs w:val="14"/>
              </w:rPr>
            </w:pPr>
            <w:r w:rsidRPr="00F00781">
              <w:rPr>
                <w:rFonts w:ascii="Arial Narrow" w:hAnsi="Arial Narrow" w:cs="Calibri"/>
                <w:sz w:val="14"/>
                <w:szCs w:val="14"/>
              </w:rPr>
              <w:t> </w:t>
            </w:r>
          </w:p>
        </w:tc>
        <w:tc>
          <w:tcPr>
            <w:tcW w:w="1200" w:type="dxa"/>
            <w:tcBorders>
              <w:top w:val="nil"/>
              <w:left w:val="nil"/>
              <w:bottom w:val="single" w:sz="4" w:space="0" w:color="auto"/>
              <w:right w:val="single" w:sz="4" w:space="0" w:color="auto"/>
            </w:tcBorders>
            <w:shd w:val="clear" w:color="auto" w:fill="auto"/>
            <w:vAlign w:val="center"/>
            <w:hideMark/>
          </w:tcPr>
          <w:p w14:paraId="01C85038" w14:textId="77777777" w:rsidR="00F00781" w:rsidRPr="00F00781" w:rsidRDefault="00F00781" w:rsidP="00F00781">
            <w:pPr>
              <w:rPr>
                <w:rFonts w:ascii="Arial Narrow" w:hAnsi="Arial Narrow" w:cs="Calibri"/>
                <w:sz w:val="14"/>
                <w:szCs w:val="14"/>
              </w:rPr>
            </w:pPr>
            <w:r w:rsidRPr="00F00781">
              <w:rPr>
                <w:rFonts w:ascii="Arial Narrow" w:hAnsi="Arial Narrow" w:cs="Calibri"/>
                <w:sz w:val="14"/>
                <w:szCs w:val="14"/>
              </w:rPr>
              <w:t> </w:t>
            </w:r>
          </w:p>
        </w:tc>
        <w:tc>
          <w:tcPr>
            <w:tcW w:w="721" w:type="dxa"/>
            <w:tcBorders>
              <w:top w:val="nil"/>
              <w:left w:val="nil"/>
              <w:bottom w:val="single" w:sz="4" w:space="0" w:color="auto"/>
              <w:right w:val="single" w:sz="4" w:space="0" w:color="auto"/>
            </w:tcBorders>
            <w:shd w:val="clear" w:color="auto" w:fill="auto"/>
            <w:vAlign w:val="center"/>
            <w:hideMark/>
          </w:tcPr>
          <w:p w14:paraId="7CBA14C9" w14:textId="77777777" w:rsidR="00F00781" w:rsidRPr="00F00781" w:rsidRDefault="00F00781" w:rsidP="00F00781">
            <w:pPr>
              <w:rPr>
                <w:rFonts w:ascii="Arial Narrow" w:hAnsi="Arial Narrow" w:cs="Calibri"/>
                <w:sz w:val="14"/>
                <w:szCs w:val="14"/>
              </w:rPr>
            </w:pPr>
            <w:r w:rsidRPr="00F00781">
              <w:rPr>
                <w:rFonts w:ascii="Arial Narrow" w:hAnsi="Arial Narrow" w:cs="Calibri"/>
                <w:sz w:val="14"/>
                <w:szCs w:val="14"/>
              </w:rPr>
              <w:t> </w:t>
            </w:r>
          </w:p>
        </w:tc>
        <w:tc>
          <w:tcPr>
            <w:tcW w:w="721" w:type="dxa"/>
            <w:tcBorders>
              <w:top w:val="nil"/>
              <w:left w:val="nil"/>
              <w:bottom w:val="single" w:sz="4" w:space="0" w:color="auto"/>
              <w:right w:val="single" w:sz="4" w:space="0" w:color="auto"/>
            </w:tcBorders>
            <w:shd w:val="clear" w:color="auto" w:fill="auto"/>
            <w:vAlign w:val="center"/>
            <w:hideMark/>
          </w:tcPr>
          <w:p w14:paraId="09BC55D1" w14:textId="77777777" w:rsidR="00F00781" w:rsidRPr="00F00781" w:rsidRDefault="00F00781" w:rsidP="00F00781">
            <w:pPr>
              <w:rPr>
                <w:rFonts w:ascii="Arial Narrow" w:hAnsi="Arial Narrow" w:cs="Calibri"/>
                <w:sz w:val="14"/>
                <w:szCs w:val="14"/>
              </w:rPr>
            </w:pPr>
            <w:r w:rsidRPr="00F00781">
              <w:rPr>
                <w:rFonts w:ascii="Arial Narrow" w:hAnsi="Arial Narrow" w:cs="Calibri"/>
                <w:sz w:val="14"/>
                <w:szCs w:val="14"/>
              </w:rPr>
              <w:t> </w:t>
            </w:r>
          </w:p>
        </w:tc>
        <w:tc>
          <w:tcPr>
            <w:tcW w:w="698" w:type="dxa"/>
            <w:tcBorders>
              <w:top w:val="nil"/>
              <w:left w:val="nil"/>
              <w:bottom w:val="single" w:sz="4" w:space="0" w:color="auto"/>
              <w:right w:val="single" w:sz="4" w:space="0" w:color="auto"/>
            </w:tcBorders>
            <w:shd w:val="clear" w:color="auto" w:fill="auto"/>
            <w:vAlign w:val="center"/>
            <w:hideMark/>
          </w:tcPr>
          <w:p w14:paraId="1934E19C" w14:textId="77777777" w:rsidR="00F00781" w:rsidRPr="00F00781" w:rsidRDefault="00F00781" w:rsidP="00F00781">
            <w:pPr>
              <w:rPr>
                <w:rFonts w:ascii="Arial Narrow" w:hAnsi="Arial Narrow" w:cs="Calibri"/>
                <w:sz w:val="14"/>
                <w:szCs w:val="14"/>
              </w:rPr>
            </w:pPr>
            <w:r w:rsidRPr="00F00781">
              <w:rPr>
                <w:rFonts w:ascii="Arial Narrow" w:hAnsi="Arial Narrow" w:cs="Calibri"/>
                <w:sz w:val="14"/>
                <w:szCs w:val="14"/>
              </w:rPr>
              <w:t> </w:t>
            </w:r>
          </w:p>
        </w:tc>
        <w:tc>
          <w:tcPr>
            <w:tcW w:w="765" w:type="dxa"/>
            <w:tcBorders>
              <w:top w:val="nil"/>
              <w:left w:val="nil"/>
              <w:bottom w:val="single" w:sz="4" w:space="0" w:color="auto"/>
              <w:right w:val="single" w:sz="4" w:space="0" w:color="auto"/>
            </w:tcBorders>
            <w:shd w:val="clear" w:color="auto" w:fill="auto"/>
            <w:vAlign w:val="center"/>
            <w:hideMark/>
          </w:tcPr>
          <w:p w14:paraId="1CBFD75F" w14:textId="77777777" w:rsidR="00F00781" w:rsidRPr="00F00781" w:rsidRDefault="00F00781" w:rsidP="00F00781">
            <w:pPr>
              <w:rPr>
                <w:rFonts w:ascii="Arial Narrow" w:hAnsi="Arial Narrow" w:cs="Calibri"/>
                <w:sz w:val="14"/>
                <w:szCs w:val="14"/>
              </w:rPr>
            </w:pPr>
            <w:r w:rsidRPr="00F00781">
              <w:rPr>
                <w:rFonts w:ascii="Arial Narrow" w:hAnsi="Arial Narrow" w:cs="Calibri"/>
                <w:sz w:val="14"/>
                <w:szCs w:val="14"/>
              </w:rPr>
              <w:t> </w:t>
            </w:r>
          </w:p>
        </w:tc>
        <w:tc>
          <w:tcPr>
            <w:tcW w:w="970" w:type="dxa"/>
            <w:tcBorders>
              <w:top w:val="nil"/>
              <w:left w:val="nil"/>
              <w:bottom w:val="single" w:sz="4" w:space="0" w:color="auto"/>
              <w:right w:val="single" w:sz="4" w:space="0" w:color="auto"/>
            </w:tcBorders>
            <w:shd w:val="clear" w:color="auto" w:fill="auto"/>
            <w:vAlign w:val="center"/>
            <w:hideMark/>
          </w:tcPr>
          <w:p w14:paraId="06B605BF" w14:textId="77777777" w:rsidR="00F00781" w:rsidRPr="00F00781" w:rsidRDefault="00F00781" w:rsidP="00F00781">
            <w:pPr>
              <w:rPr>
                <w:rFonts w:ascii="Arial Narrow" w:hAnsi="Arial Narrow" w:cs="Calibri"/>
                <w:sz w:val="14"/>
                <w:szCs w:val="14"/>
              </w:rPr>
            </w:pPr>
            <w:r w:rsidRPr="00F00781">
              <w:rPr>
                <w:rFonts w:ascii="Arial Narrow" w:hAnsi="Arial Narrow" w:cs="Calibri"/>
                <w:sz w:val="14"/>
                <w:szCs w:val="14"/>
              </w:rPr>
              <w:t> </w:t>
            </w:r>
          </w:p>
        </w:tc>
        <w:tc>
          <w:tcPr>
            <w:tcW w:w="602" w:type="dxa"/>
            <w:tcBorders>
              <w:top w:val="nil"/>
              <w:left w:val="nil"/>
              <w:bottom w:val="single" w:sz="4" w:space="0" w:color="auto"/>
              <w:right w:val="single" w:sz="4" w:space="0" w:color="auto"/>
            </w:tcBorders>
            <w:shd w:val="clear" w:color="auto" w:fill="auto"/>
            <w:vAlign w:val="center"/>
            <w:hideMark/>
          </w:tcPr>
          <w:p w14:paraId="100726A3" w14:textId="77777777" w:rsidR="00F00781" w:rsidRPr="00F00781" w:rsidRDefault="00F00781" w:rsidP="00F00781">
            <w:pPr>
              <w:rPr>
                <w:rFonts w:ascii="Arial Narrow" w:hAnsi="Arial Narrow" w:cs="Calibri"/>
                <w:sz w:val="14"/>
                <w:szCs w:val="14"/>
              </w:rPr>
            </w:pPr>
            <w:r w:rsidRPr="00F00781">
              <w:rPr>
                <w:rFonts w:ascii="Arial Narrow" w:hAnsi="Arial Narrow" w:cs="Calibri"/>
                <w:sz w:val="14"/>
                <w:szCs w:val="14"/>
              </w:rPr>
              <w:t> </w:t>
            </w:r>
          </w:p>
        </w:tc>
        <w:tc>
          <w:tcPr>
            <w:tcW w:w="697" w:type="dxa"/>
            <w:tcBorders>
              <w:top w:val="nil"/>
              <w:left w:val="nil"/>
              <w:bottom w:val="single" w:sz="4" w:space="0" w:color="auto"/>
              <w:right w:val="single" w:sz="4" w:space="0" w:color="auto"/>
            </w:tcBorders>
            <w:shd w:val="clear" w:color="auto" w:fill="auto"/>
            <w:vAlign w:val="center"/>
            <w:hideMark/>
          </w:tcPr>
          <w:p w14:paraId="7D62022B" w14:textId="77777777" w:rsidR="00F00781" w:rsidRPr="00F00781" w:rsidRDefault="00F00781" w:rsidP="00F00781">
            <w:pPr>
              <w:rPr>
                <w:rFonts w:ascii="Arial Narrow" w:hAnsi="Arial Narrow" w:cs="Calibri"/>
                <w:sz w:val="14"/>
                <w:szCs w:val="14"/>
              </w:rPr>
            </w:pPr>
            <w:r w:rsidRPr="00F00781">
              <w:rPr>
                <w:rFonts w:ascii="Arial Narrow" w:hAnsi="Arial Narrow" w:cs="Calibri"/>
                <w:sz w:val="14"/>
                <w:szCs w:val="14"/>
              </w:rPr>
              <w:t> </w:t>
            </w:r>
          </w:p>
        </w:tc>
        <w:tc>
          <w:tcPr>
            <w:tcW w:w="869" w:type="dxa"/>
            <w:tcBorders>
              <w:top w:val="nil"/>
              <w:left w:val="nil"/>
              <w:bottom w:val="single" w:sz="4" w:space="0" w:color="auto"/>
              <w:right w:val="single" w:sz="4" w:space="0" w:color="auto"/>
            </w:tcBorders>
            <w:shd w:val="clear" w:color="auto" w:fill="auto"/>
            <w:vAlign w:val="center"/>
            <w:hideMark/>
          </w:tcPr>
          <w:p w14:paraId="33FA2C59" w14:textId="77777777" w:rsidR="00F00781" w:rsidRPr="00F00781" w:rsidRDefault="00F00781" w:rsidP="00F00781">
            <w:pPr>
              <w:rPr>
                <w:rFonts w:ascii="Arial Narrow" w:hAnsi="Arial Narrow" w:cs="Calibri"/>
                <w:sz w:val="14"/>
                <w:szCs w:val="14"/>
              </w:rPr>
            </w:pPr>
            <w:r w:rsidRPr="00F00781">
              <w:rPr>
                <w:rFonts w:ascii="Arial Narrow" w:hAnsi="Arial Narrow" w:cs="Calibri"/>
                <w:sz w:val="14"/>
                <w:szCs w:val="14"/>
              </w:rPr>
              <w:t> </w:t>
            </w:r>
          </w:p>
        </w:tc>
      </w:tr>
      <w:tr w:rsidR="00F00781" w:rsidRPr="00F00781" w14:paraId="06821584" w14:textId="77777777" w:rsidTr="00E01BBF">
        <w:trPr>
          <w:trHeight w:val="196"/>
        </w:trPr>
        <w:tc>
          <w:tcPr>
            <w:tcW w:w="632" w:type="dxa"/>
            <w:tcBorders>
              <w:top w:val="nil"/>
              <w:left w:val="single" w:sz="4" w:space="0" w:color="auto"/>
              <w:bottom w:val="single" w:sz="4" w:space="0" w:color="auto"/>
              <w:right w:val="single" w:sz="4" w:space="0" w:color="auto"/>
            </w:tcBorders>
            <w:shd w:val="clear" w:color="auto" w:fill="auto"/>
            <w:vAlign w:val="center"/>
            <w:hideMark/>
          </w:tcPr>
          <w:p w14:paraId="2CFB6185" w14:textId="77777777" w:rsidR="00F00781" w:rsidRPr="00F00781" w:rsidRDefault="00F00781" w:rsidP="00F00781">
            <w:pPr>
              <w:rPr>
                <w:rFonts w:ascii="Arial Narrow" w:hAnsi="Arial Narrow" w:cs="Calibri"/>
                <w:sz w:val="14"/>
                <w:szCs w:val="14"/>
              </w:rPr>
            </w:pPr>
            <w:r w:rsidRPr="00F00781">
              <w:rPr>
                <w:rFonts w:ascii="Arial Narrow" w:hAnsi="Arial Narrow" w:cs="Calibri"/>
                <w:sz w:val="14"/>
                <w:szCs w:val="14"/>
              </w:rPr>
              <w:t xml:space="preserve"> 03.3</w:t>
            </w:r>
          </w:p>
        </w:tc>
        <w:tc>
          <w:tcPr>
            <w:tcW w:w="1671" w:type="dxa"/>
            <w:tcBorders>
              <w:top w:val="nil"/>
              <w:left w:val="nil"/>
              <w:bottom w:val="single" w:sz="4" w:space="0" w:color="auto"/>
              <w:right w:val="single" w:sz="4" w:space="0" w:color="auto"/>
            </w:tcBorders>
            <w:shd w:val="clear" w:color="auto" w:fill="auto"/>
            <w:vAlign w:val="center"/>
            <w:hideMark/>
          </w:tcPr>
          <w:p w14:paraId="42D8F3EC" w14:textId="77777777" w:rsidR="00F00781" w:rsidRPr="00CD44F3" w:rsidRDefault="00F00781" w:rsidP="00F00781">
            <w:pPr>
              <w:ind w:firstLineChars="200" w:firstLine="280"/>
              <w:rPr>
                <w:rFonts w:ascii="Arial Narrow" w:hAnsi="Arial Narrow" w:cs="Calibri"/>
                <w:sz w:val="14"/>
                <w:szCs w:val="14"/>
                <w:lang w:val="bg-BG"/>
              </w:rPr>
            </w:pPr>
            <w:r w:rsidRPr="00F00781">
              <w:rPr>
                <w:rFonts w:ascii="Arial Narrow" w:hAnsi="Arial Narrow" w:cs="Calibri"/>
                <w:sz w:val="14"/>
                <w:szCs w:val="14"/>
              </w:rPr>
              <w:t>Други фуражни</w:t>
            </w:r>
            <w:r w:rsidR="004916C6">
              <w:rPr>
                <w:rFonts w:ascii="Arial Narrow" w:hAnsi="Arial Narrow" w:cs="Calibri"/>
                <w:sz w:val="14"/>
                <w:szCs w:val="14"/>
                <w:lang w:val="bg-BG"/>
              </w:rPr>
              <w:t xml:space="preserve"> култури</w:t>
            </w:r>
          </w:p>
        </w:tc>
        <w:tc>
          <w:tcPr>
            <w:tcW w:w="773" w:type="dxa"/>
            <w:tcBorders>
              <w:top w:val="nil"/>
              <w:left w:val="nil"/>
              <w:bottom w:val="single" w:sz="4" w:space="0" w:color="auto"/>
              <w:right w:val="single" w:sz="4" w:space="0" w:color="auto"/>
            </w:tcBorders>
            <w:shd w:val="clear" w:color="auto" w:fill="auto"/>
            <w:vAlign w:val="center"/>
            <w:hideMark/>
          </w:tcPr>
          <w:p w14:paraId="18127EF3"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146,3</w:t>
            </w:r>
          </w:p>
        </w:tc>
        <w:tc>
          <w:tcPr>
            <w:tcW w:w="582" w:type="dxa"/>
            <w:tcBorders>
              <w:top w:val="nil"/>
              <w:left w:val="nil"/>
              <w:bottom w:val="single" w:sz="4" w:space="0" w:color="auto"/>
              <w:right w:val="single" w:sz="4" w:space="0" w:color="auto"/>
            </w:tcBorders>
            <w:shd w:val="clear" w:color="auto" w:fill="auto"/>
            <w:vAlign w:val="center"/>
            <w:hideMark/>
          </w:tcPr>
          <w:p w14:paraId="189CFE6E"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0,1</w:t>
            </w:r>
          </w:p>
        </w:tc>
        <w:tc>
          <w:tcPr>
            <w:tcW w:w="681" w:type="dxa"/>
            <w:tcBorders>
              <w:top w:val="nil"/>
              <w:left w:val="nil"/>
              <w:bottom w:val="single" w:sz="4" w:space="0" w:color="auto"/>
              <w:right w:val="single" w:sz="4" w:space="0" w:color="auto"/>
            </w:tcBorders>
            <w:shd w:val="clear" w:color="auto" w:fill="auto"/>
            <w:vAlign w:val="center"/>
            <w:hideMark/>
          </w:tcPr>
          <w:p w14:paraId="59D986BE"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66,7</w:t>
            </w:r>
          </w:p>
        </w:tc>
        <w:tc>
          <w:tcPr>
            <w:tcW w:w="789" w:type="dxa"/>
            <w:tcBorders>
              <w:top w:val="nil"/>
              <w:left w:val="nil"/>
              <w:bottom w:val="single" w:sz="4" w:space="0" w:color="auto"/>
              <w:right w:val="single" w:sz="4" w:space="0" w:color="auto"/>
            </w:tcBorders>
            <w:shd w:val="clear" w:color="auto" w:fill="auto"/>
            <w:vAlign w:val="center"/>
            <w:hideMark/>
          </w:tcPr>
          <w:p w14:paraId="09131D7D"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0,7</w:t>
            </w:r>
          </w:p>
        </w:tc>
        <w:tc>
          <w:tcPr>
            <w:tcW w:w="693" w:type="dxa"/>
            <w:tcBorders>
              <w:top w:val="nil"/>
              <w:left w:val="nil"/>
              <w:bottom w:val="single" w:sz="4" w:space="0" w:color="auto"/>
              <w:right w:val="single" w:sz="4" w:space="0" w:color="auto"/>
            </w:tcBorders>
            <w:shd w:val="clear" w:color="auto" w:fill="auto"/>
            <w:vAlign w:val="center"/>
            <w:hideMark/>
          </w:tcPr>
          <w:p w14:paraId="3D5EFE8E"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73,8</w:t>
            </w:r>
          </w:p>
        </w:tc>
        <w:tc>
          <w:tcPr>
            <w:tcW w:w="537" w:type="dxa"/>
            <w:tcBorders>
              <w:top w:val="nil"/>
              <w:left w:val="nil"/>
              <w:bottom w:val="single" w:sz="4" w:space="0" w:color="auto"/>
              <w:right w:val="single" w:sz="4" w:space="0" w:color="auto"/>
            </w:tcBorders>
            <w:shd w:val="clear" w:color="auto" w:fill="auto"/>
            <w:vAlign w:val="center"/>
            <w:hideMark/>
          </w:tcPr>
          <w:p w14:paraId="005865A2"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4,1</w:t>
            </w:r>
          </w:p>
        </w:tc>
        <w:tc>
          <w:tcPr>
            <w:tcW w:w="1143" w:type="dxa"/>
            <w:tcBorders>
              <w:top w:val="nil"/>
              <w:left w:val="nil"/>
              <w:bottom w:val="single" w:sz="4" w:space="0" w:color="auto"/>
              <w:right w:val="single" w:sz="4" w:space="0" w:color="auto"/>
            </w:tcBorders>
            <w:shd w:val="clear" w:color="auto" w:fill="auto"/>
            <w:vAlign w:val="center"/>
            <w:hideMark/>
          </w:tcPr>
          <w:p w14:paraId="5A3F955F"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3,3</w:t>
            </w:r>
          </w:p>
        </w:tc>
        <w:tc>
          <w:tcPr>
            <w:tcW w:w="1200" w:type="dxa"/>
            <w:tcBorders>
              <w:top w:val="nil"/>
              <w:left w:val="nil"/>
              <w:bottom w:val="single" w:sz="4" w:space="0" w:color="auto"/>
              <w:right w:val="single" w:sz="4" w:space="0" w:color="auto"/>
            </w:tcBorders>
            <w:shd w:val="clear" w:color="auto" w:fill="auto"/>
            <w:vAlign w:val="center"/>
            <w:hideMark/>
          </w:tcPr>
          <w:p w14:paraId="54524D15"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0,1</w:t>
            </w:r>
          </w:p>
        </w:tc>
        <w:tc>
          <w:tcPr>
            <w:tcW w:w="721" w:type="dxa"/>
            <w:tcBorders>
              <w:top w:val="nil"/>
              <w:left w:val="nil"/>
              <w:bottom w:val="single" w:sz="4" w:space="0" w:color="auto"/>
              <w:right w:val="single" w:sz="4" w:space="0" w:color="auto"/>
            </w:tcBorders>
            <w:shd w:val="clear" w:color="auto" w:fill="auto"/>
            <w:vAlign w:val="center"/>
            <w:hideMark/>
          </w:tcPr>
          <w:p w14:paraId="7463F23F"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18,2</w:t>
            </w:r>
          </w:p>
        </w:tc>
        <w:tc>
          <w:tcPr>
            <w:tcW w:w="721" w:type="dxa"/>
            <w:tcBorders>
              <w:top w:val="nil"/>
              <w:left w:val="nil"/>
              <w:bottom w:val="single" w:sz="4" w:space="0" w:color="auto"/>
              <w:right w:val="single" w:sz="4" w:space="0" w:color="auto"/>
            </w:tcBorders>
            <w:shd w:val="clear" w:color="auto" w:fill="auto"/>
            <w:vAlign w:val="center"/>
            <w:hideMark/>
          </w:tcPr>
          <w:p w14:paraId="39515000"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60,4</w:t>
            </w:r>
          </w:p>
        </w:tc>
        <w:tc>
          <w:tcPr>
            <w:tcW w:w="698" w:type="dxa"/>
            <w:tcBorders>
              <w:top w:val="nil"/>
              <w:left w:val="nil"/>
              <w:bottom w:val="single" w:sz="4" w:space="0" w:color="auto"/>
              <w:right w:val="single" w:sz="4" w:space="0" w:color="auto"/>
            </w:tcBorders>
            <w:shd w:val="clear" w:color="auto" w:fill="auto"/>
            <w:vAlign w:val="center"/>
            <w:hideMark/>
          </w:tcPr>
          <w:p w14:paraId="7F76E63D" w14:textId="77777777" w:rsidR="00F00781" w:rsidRPr="00F00781" w:rsidRDefault="00F00781" w:rsidP="00F00781">
            <w:pPr>
              <w:rPr>
                <w:rFonts w:ascii="Arial Narrow" w:hAnsi="Arial Narrow" w:cs="Calibri"/>
                <w:sz w:val="14"/>
                <w:szCs w:val="14"/>
              </w:rPr>
            </w:pPr>
            <w:r w:rsidRPr="00F00781">
              <w:rPr>
                <w:rFonts w:ascii="Arial Narrow" w:hAnsi="Arial Narrow" w:cs="Calibri"/>
                <w:sz w:val="14"/>
                <w:szCs w:val="14"/>
              </w:rPr>
              <w:t> </w:t>
            </w:r>
          </w:p>
        </w:tc>
        <w:tc>
          <w:tcPr>
            <w:tcW w:w="765" w:type="dxa"/>
            <w:tcBorders>
              <w:top w:val="nil"/>
              <w:left w:val="nil"/>
              <w:bottom w:val="single" w:sz="4" w:space="0" w:color="auto"/>
              <w:right w:val="single" w:sz="4" w:space="0" w:color="auto"/>
            </w:tcBorders>
            <w:shd w:val="clear" w:color="auto" w:fill="auto"/>
            <w:vAlign w:val="center"/>
            <w:hideMark/>
          </w:tcPr>
          <w:p w14:paraId="0F6BB4FD"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78,6</w:t>
            </w:r>
          </w:p>
        </w:tc>
        <w:tc>
          <w:tcPr>
            <w:tcW w:w="970" w:type="dxa"/>
            <w:tcBorders>
              <w:top w:val="nil"/>
              <w:left w:val="nil"/>
              <w:bottom w:val="single" w:sz="4" w:space="0" w:color="auto"/>
              <w:right w:val="single" w:sz="4" w:space="0" w:color="auto"/>
            </w:tcBorders>
            <w:shd w:val="clear" w:color="auto" w:fill="auto"/>
            <w:vAlign w:val="center"/>
            <w:hideMark/>
          </w:tcPr>
          <w:p w14:paraId="320B0715" w14:textId="77777777" w:rsidR="00F00781" w:rsidRPr="00F00781" w:rsidRDefault="00F00781" w:rsidP="00F00781">
            <w:pPr>
              <w:rPr>
                <w:rFonts w:ascii="Arial Narrow" w:hAnsi="Arial Narrow" w:cs="Calibri"/>
                <w:sz w:val="14"/>
                <w:szCs w:val="14"/>
              </w:rPr>
            </w:pPr>
            <w:r w:rsidRPr="00F00781">
              <w:rPr>
                <w:rFonts w:ascii="Arial Narrow" w:hAnsi="Arial Narrow" w:cs="Calibri"/>
                <w:sz w:val="14"/>
                <w:szCs w:val="14"/>
              </w:rPr>
              <w:t> </w:t>
            </w:r>
          </w:p>
        </w:tc>
        <w:tc>
          <w:tcPr>
            <w:tcW w:w="602" w:type="dxa"/>
            <w:tcBorders>
              <w:top w:val="nil"/>
              <w:left w:val="nil"/>
              <w:bottom w:val="single" w:sz="4" w:space="0" w:color="auto"/>
              <w:right w:val="single" w:sz="4" w:space="0" w:color="auto"/>
            </w:tcBorders>
            <w:shd w:val="clear" w:color="auto" w:fill="auto"/>
            <w:vAlign w:val="center"/>
            <w:hideMark/>
          </w:tcPr>
          <w:p w14:paraId="6C1B7ACE"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52,3</w:t>
            </w:r>
          </w:p>
        </w:tc>
        <w:tc>
          <w:tcPr>
            <w:tcW w:w="697" w:type="dxa"/>
            <w:tcBorders>
              <w:top w:val="nil"/>
              <w:left w:val="nil"/>
              <w:bottom w:val="single" w:sz="4" w:space="0" w:color="auto"/>
              <w:right w:val="single" w:sz="4" w:space="0" w:color="auto"/>
            </w:tcBorders>
            <w:shd w:val="clear" w:color="auto" w:fill="auto"/>
            <w:vAlign w:val="center"/>
            <w:hideMark/>
          </w:tcPr>
          <w:p w14:paraId="75432A4B"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-14,4</w:t>
            </w:r>
          </w:p>
        </w:tc>
        <w:tc>
          <w:tcPr>
            <w:tcW w:w="869" w:type="dxa"/>
            <w:tcBorders>
              <w:top w:val="nil"/>
              <w:left w:val="nil"/>
              <w:bottom w:val="single" w:sz="4" w:space="0" w:color="auto"/>
              <w:right w:val="single" w:sz="4" w:space="0" w:color="auto"/>
            </w:tcBorders>
            <w:shd w:val="clear" w:color="auto" w:fill="auto"/>
            <w:vAlign w:val="center"/>
            <w:hideMark/>
          </w:tcPr>
          <w:p w14:paraId="2CBA6A05"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141,4</w:t>
            </w:r>
          </w:p>
        </w:tc>
      </w:tr>
      <w:tr w:rsidR="00F00781" w:rsidRPr="00F00781" w14:paraId="40A4FC28" w14:textId="77777777" w:rsidTr="00E01BBF">
        <w:trPr>
          <w:trHeight w:val="196"/>
        </w:trPr>
        <w:tc>
          <w:tcPr>
            <w:tcW w:w="632" w:type="dxa"/>
            <w:tcBorders>
              <w:top w:val="nil"/>
              <w:left w:val="single" w:sz="4" w:space="0" w:color="auto"/>
              <w:bottom w:val="single" w:sz="4" w:space="0" w:color="auto"/>
              <w:right w:val="single" w:sz="4" w:space="0" w:color="auto"/>
            </w:tcBorders>
            <w:shd w:val="clear" w:color="auto" w:fill="auto"/>
            <w:vAlign w:val="center"/>
            <w:hideMark/>
          </w:tcPr>
          <w:p w14:paraId="4780184F" w14:textId="77777777" w:rsidR="00F00781" w:rsidRPr="00F00781" w:rsidRDefault="00F00781" w:rsidP="00F00781">
            <w:pPr>
              <w:rPr>
                <w:rFonts w:ascii="Arial Narrow" w:hAnsi="Arial Narrow" w:cs="Calibri"/>
                <w:sz w:val="14"/>
                <w:szCs w:val="14"/>
              </w:rPr>
            </w:pPr>
            <w:r w:rsidRPr="00F00781">
              <w:rPr>
                <w:rFonts w:ascii="Arial Narrow" w:hAnsi="Arial Narrow" w:cs="Calibri"/>
                <w:sz w:val="14"/>
                <w:szCs w:val="14"/>
              </w:rPr>
              <w:t xml:space="preserve"> 04</w:t>
            </w:r>
          </w:p>
        </w:tc>
        <w:tc>
          <w:tcPr>
            <w:tcW w:w="1671" w:type="dxa"/>
            <w:tcBorders>
              <w:top w:val="nil"/>
              <w:left w:val="nil"/>
              <w:bottom w:val="single" w:sz="4" w:space="0" w:color="auto"/>
              <w:right w:val="single" w:sz="4" w:space="0" w:color="auto"/>
            </w:tcBorders>
            <w:shd w:val="clear" w:color="auto" w:fill="auto"/>
            <w:vAlign w:val="center"/>
            <w:hideMark/>
          </w:tcPr>
          <w:p w14:paraId="183160C0" w14:textId="77777777" w:rsidR="00F00781" w:rsidRPr="00F00781" w:rsidRDefault="00F00781" w:rsidP="00F00781">
            <w:pPr>
              <w:rPr>
                <w:rFonts w:ascii="Arial Narrow" w:hAnsi="Arial Narrow" w:cs="Calibri"/>
                <w:sz w:val="14"/>
                <w:szCs w:val="14"/>
              </w:rPr>
            </w:pPr>
            <w:r w:rsidRPr="00F00781">
              <w:rPr>
                <w:rFonts w:ascii="Arial Narrow" w:hAnsi="Arial Narrow" w:cs="Calibri"/>
                <w:sz w:val="14"/>
                <w:szCs w:val="14"/>
              </w:rPr>
              <w:t>Зеленчуци</w:t>
            </w:r>
          </w:p>
        </w:tc>
        <w:tc>
          <w:tcPr>
            <w:tcW w:w="773" w:type="dxa"/>
            <w:tcBorders>
              <w:top w:val="nil"/>
              <w:left w:val="nil"/>
              <w:bottom w:val="single" w:sz="4" w:space="0" w:color="auto"/>
              <w:right w:val="single" w:sz="4" w:space="0" w:color="auto"/>
            </w:tcBorders>
            <w:shd w:val="clear" w:color="auto" w:fill="auto"/>
            <w:vAlign w:val="center"/>
            <w:hideMark/>
          </w:tcPr>
          <w:p w14:paraId="39595541"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529,4</w:t>
            </w:r>
          </w:p>
        </w:tc>
        <w:tc>
          <w:tcPr>
            <w:tcW w:w="582" w:type="dxa"/>
            <w:tcBorders>
              <w:top w:val="nil"/>
              <w:left w:val="nil"/>
              <w:bottom w:val="single" w:sz="4" w:space="0" w:color="auto"/>
              <w:right w:val="single" w:sz="4" w:space="0" w:color="auto"/>
            </w:tcBorders>
            <w:shd w:val="clear" w:color="auto" w:fill="auto"/>
            <w:vAlign w:val="center"/>
            <w:hideMark/>
          </w:tcPr>
          <w:p w14:paraId="33287E99"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0,3</w:t>
            </w:r>
          </w:p>
        </w:tc>
        <w:tc>
          <w:tcPr>
            <w:tcW w:w="681" w:type="dxa"/>
            <w:tcBorders>
              <w:top w:val="nil"/>
              <w:left w:val="nil"/>
              <w:bottom w:val="single" w:sz="4" w:space="0" w:color="auto"/>
              <w:right w:val="single" w:sz="4" w:space="0" w:color="auto"/>
            </w:tcBorders>
            <w:shd w:val="clear" w:color="auto" w:fill="auto"/>
            <w:vAlign w:val="center"/>
            <w:hideMark/>
          </w:tcPr>
          <w:p w14:paraId="338D8135"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18,5</w:t>
            </w:r>
          </w:p>
        </w:tc>
        <w:tc>
          <w:tcPr>
            <w:tcW w:w="789" w:type="dxa"/>
            <w:tcBorders>
              <w:top w:val="nil"/>
              <w:left w:val="nil"/>
              <w:bottom w:val="single" w:sz="4" w:space="0" w:color="auto"/>
              <w:right w:val="single" w:sz="4" w:space="0" w:color="auto"/>
            </w:tcBorders>
            <w:shd w:val="clear" w:color="auto" w:fill="auto"/>
            <w:vAlign w:val="center"/>
            <w:hideMark/>
          </w:tcPr>
          <w:p w14:paraId="56A2AEFC"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0,4</w:t>
            </w:r>
          </w:p>
        </w:tc>
        <w:tc>
          <w:tcPr>
            <w:tcW w:w="693" w:type="dxa"/>
            <w:tcBorders>
              <w:top w:val="nil"/>
              <w:left w:val="nil"/>
              <w:bottom w:val="single" w:sz="4" w:space="0" w:color="auto"/>
              <w:right w:val="single" w:sz="4" w:space="0" w:color="auto"/>
            </w:tcBorders>
            <w:shd w:val="clear" w:color="auto" w:fill="auto"/>
            <w:vAlign w:val="center"/>
            <w:hideMark/>
          </w:tcPr>
          <w:p w14:paraId="3A1FE67E"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1,5</w:t>
            </w:r>
          </w:p>
        </w:tc>
        <w:tc>
          <w:tcPr>
            <w:tcW w:w="537" w:type="dxa"/>
            <w:tcBorders>
              <w:top w:val="nil"/>
              <w:left w:val="nil"/>
              <w:bottom w:val="single" w:sz="4" w:space="0" w:color="auto"/>
              <w:right w:val="single" w:sz="4" w:space="0" w:color="auto"/>
            </w:tcBorders>
            <w:shd w:val="clear" w:color="auto" w:fill="auto"/>
            <w:vAlign w:val="center"/>
            <w:hideMark/>
          </w:tcPr>
          <w:p w14:paraId="74DA4DA8"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1,5</w:t>
            </w:r>
          </w:p>
        </w:tc>
        <w:tc>
          <w:tcPr>
            <w:tcW w:w="1143" w:type="dxa"/>
            <w:tcBorders>
              <w:top w:val="nil"/>
              <w:left w:val="nil"/>
              <w:bottom w:val="single" w:sz="4" w:space="0" w:color="auto"/>
              <w:right w:val="single" w:sz="4" w:space="0" w:color="auto"/>
            </w:tcBorders>
            <w:shd w:val="clear" w:color="auto" w:fill="auto"/>
            <w:vAlign w:val="center"/>
            <w:hideMark/>
          </w:tcPr>
          <w:p w14:paraId="75E216B8"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1,9</w:t>
            </w:r>
          </w:p>
        </w:tc>
        <w:tc>
          <w:tcPr>
            <w:tcW w:w="1200" w:type="dxa"/>
            <w:tcBorders>
              <w:top w:val="nil"/>
              <w:left w:val="nil"/>
              <w:bottom w:val="single" w:sz="4" w:space="0" w:color="auto"/>
              <w:right w:val="single" w:sz="4" w:space="0" w:color="auto"/>
            </w:tcBorders>
            <w:shd w:val="clear" w:color="auto" w:fill="auto"/>
            <w:vAlign w:val="center"/>
            <w:hideMark/>
          </w:tcPr>
          <w:p w14:paraId="7D8E983C"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0,5</w:t>
            </w:r>
          </w:p>
        </w:tc>
        <w:tc>
          <w:tcPr>
            <w:tcW w:w="721" w:type="dxa"/>
            <w:tcBorders>
              <w:top w:val="nil"/>
              <w:left w:val="nil"/>
              <w:bottom w:val="single" w:sz="4" w:space="0" w:color="auto"/>
              <w:right w:val="single" w:sz="4" w:space="0" w:color="auto"/>
            </w:tcBorders>
            <w:shd w:val="clear" w:color="auto" w:fill="auto"/>
            <w:vAlign w:val="center"/>
            <w:hideMark/>
          </w:tcPr>
          <w:p w14:paraId="62733EB0"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70,2</w:t>
            </w:r>
          </w:p>
        </w:tc>
        <w:tc>
          <w:tcPr>
            <w:tcW w:w="721" w:type="dxa"/>
            <w:tcBorders>
              <w:top w:val="nil"/>
              <w:left w:val="nil"/>
              <w:bottom w:val="single" w:sz="4" w:space="0" w:color="auto"/>
              <w:right w:val="single" w:sz="4" w:space="0" w:color="auto"/>
            </w:tcBorders>
            <w:shd w:val="clear" w:color="auto" w:fill="auto"/>
            <w:vAlign w:val="center"/>
            <w:hideMark/>
          </w:tcPr>
          <w:p w14:paraId="7A38E0BE"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385,3</w:t>
            </w:r>
          </w:p>
        </w:tc>
        <w:tc>
          <w:tcPr>
            <w:tcW w:w="698" w:type="dxa"/>
            <w:tcBorders>
              <w:top w:val="nil"/>
              <w:left w:val="nil"/>
              <w:bottom w:val="single" w:sz="4" w:space="0" w:color="auto"/>
              <w:right w:val="single" w:sz="4" w:space="0" w:color="auto"/>
            </w:tcBorders>
            <w:shd w:val="clear" w:color="auto" w:fill="auto"/>
            <w:vAlign w:val="center"/>
            <w:hideMark/>
          </w:tcPr>
          <w:p w14:paraId="7312CE0F"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10,7</w:t>
            </w:r>
          </w:p>
        </w:tc>
        <w:tc>
          <w:tcPr>
            <w:tcW w:w="765" w:type="dxa"/>
            <w:tcBorders>
              <w:top w:val="nil"/>
              <w:left w:val="nil"/>
              <w:bottom w:val="single" w:sz="4" w:space="0" w:color="auto"/>
              <w:right w:val="single" w:sz="4" w:space="0" w:color="auto"/>
            </w:tcBorders>
            <w:shd w:val="clear" w:color="auto" w:fill="auto"/>
            <w:vAlign w:val="center"/>
            <w:hideMark/>
          </w:tcPr>
          <w:p w14:paraId="33780B2A"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466,2</w:t>
            </w:r>
          </w:p>
        </w:tc>
        <w:tc>
          <w:tcPr>
            <w:tcW w:w="970" w:type="dxa"/>
            <w:tcBorders>
              <w:top w:val="nil"/>
              <w:left w:val="nil"/>
              <w:bottom w:val="single" w:sz="4" w:space="0" w:color="auto"/>
              <w:right w:val="single" w:sz="4" w:space="0" w:color="auto"/>
            </w:tcBorders>
            <w:shd w:val="clear" w:color="auto" w:fill="auto"/>
            <w:vAlign w:val="center"/>
            <w:hideMark/>
          </w:tcPr>
          <w:p w14:paraId="1F510B86"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59,5</w:t>
            </w:r>
          </w:p>
        </w:tc>
        <w:tc>
          <w:tcPr>
            <w:tcW w:w="602" w:type="dxa"/>
            <w:tcBorders>
              <w:top w:val="nil"/>
              <w:left w:val="nil"/>
              <w:bottom w:val="single" w:sz="4" w:space="0" w:color="auto"/>
              <w:right w:val="single" w:sz="4" w:space="0" w:color="auto"/>
            </w:tcBorders>
            <w:shd w:val="clear" w:color="auto" w:fill="auto"/>
            <w:vAlign w:val="center"/>
            <w:hideMark/>
          </w:tcPr>
          <w:p w14:paraId="0333CF2D"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16,1</w:t>
            </w:r>
          </w:p>
        </w:tc>
        <w:tc>
          <w:tcPr>
            <w:tcW w:w="697" w:type="dxa"/>
            <w:tcBorders>
              <w:top w:val="nil"/>
              <w:left w:val="nil"/>
              <w:bottom w:val="single" w:sz="4" w:space="0" w:color="auto"/>
              <w:right w:val="single" w:sz="4" w:space="0" w:color="auto"/>
            </w:tcBorders>
            <w:shd w:val="clear" w:color="auto" w:fill="auto"/>
            <w:vAlign w:val="center"/>
            <w:hideMark/>
          </w:tcPr>
          <w:p w14:paraId="759FAD5D"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-2,5</w:t>
            </w:r>
          </w:p>
        </w:tc>
        <w:tc>
          <w:tcPr>
            <w:tcW w:w="869" w:type="dxa"/>
            <w:tcBorders>
              <w:top w:val="nil"/>
              <w:left w:val="nil"/>
              <w:bottom w:val="single" w:sz="4" w:space="0" w:color="auto"/>
              <w:right w:val="single" w:sz="4" w:space="0" w:color="auto"/>
            </w:tcBorders>
            <w:shd w:val="clear" w:color="auto" w:fill="auto"/>
            <w:vAlign w:val="center"/>
            <w:hideMark/>
          </w:tcPr>
          <w:p w14:paraId="09CAB596"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527,2</w:t>
            </w:r>
          </w:p>
        </w:tc>
      </w:tr>
      <w:tr w:rsidR="00F00781" w:rsidRPr="00F00781" w14:paraId="11CB2D08" w14:textId="77777777" w:rsidTr="00E01BBF">
        <w:trPr>
          <w:trHeight w:val="196"/>
        </w:trPr>
        <w:tc>
          <w:tcPr>
            <w:tcW w:w="632" w:type="dxa"/>
            <w:tcBorders>
              <w:top w:val="nil"/>
              <w:left w:val="single" w:sz="4" w:space="0" w:color="auto"/>
              <w:bottom w:val="single" w:sz="4" w:space="0" w:color="auto"/>
              <w:right w:val="single" w:sz="4" w:space="0" w:color="auto"/>
            </w:tcBorders>
            <w:shd w:val="clear" w:color="auto" w:fill="auto"/>
            <w:vAlign w:val="center"/>
            <w:hideMark/>
          </w:tcPr>
          <w:p w14:paraId="146A5B02" w14:textId="77777777" w:rsidR="00F00781" w:rsidRPr="00F00781" w:rsidRDefault="00F00781" w:rsidP="00F00781">
            <w:pPr>
              <w:rPr>
                <w:rFonts w:ascii="Arial Narrow" w:hAnsi="Arial Narrow" w:cs="Calibri"/>
                <w:sz w:val="14"/>
                <w:szCs w:val="14"/>
              </w:rPr>
            </w:pPr>
            <w:r w:rsidRPr="00F00781">
              <w:rPr>
                <w:rFonts w:ascii="Arial Narrow" w:hAnsi="Arial Narrow" w:cs="Calibri"/>
                <w:sz w:val="14"/>
                <w:szCs w:val="14"/>
              </w:rPr>
              <w:t xml:space="preserve"> 04.1</w:t>
            </w:r>
          </w:p>
        </w:tc>
        <w:tc>
          <w:tcPr>
            <w:tcW w:w="1671" w:type="dxa"/>
            <w:tcBorders>
              <w:top w:val="nil"/>
              <w:left w:val="nil"/>
              <w:bottom w:val="single" w:sz="4" w:space="0" w:color="auto"/>
              <w:right w:val="single" w:sz="4" w:space="0" w:color="auto"/>
            </w:tcBorders>
            <w:shd w:val="clear" w:color="auto" w:fill="auto"/>
            <w:vAlign w:val="center"/>
            <w:hideMark/>
          </w:tcPr>
          <w:p w14:paraId="4F321259" w14:textId="77777777" w:rsidR="00F00781" w:rsidRPr="00F00781" w:rsidRDefault="00F00781" w:rsidP="00F00781">
            <w:pPr>
              <w:ind w:firstLineChars="100" w:firstLine="140"/>
              <w:rPr>
                <w:rFonts w:ascii="Arial Narrow" w:hAnsi="Arial Narrow" w:cs="Calibri"/>
                <w:sz w:val="14"/>
                <w:szCs w:val="14"/>
              </w:rPr>
            </w:pPr>
            <w:r w:rsidRPr="00F00781">
              <w:rPr>
                <w:rFonts w:ascii="Arial Narrow" w:hAnsi="Arial Narrow" w:cs="Calibri"/>
                <w:sz w:val="14"/>
                <w:szCs w:val="14"/>
              </w:rPr>
              <w:t>Пресни зеленчуци</w:t>
            </w:r>
          </w:p>
        </w:tc>
        <w:tc>
          <w:tcPr>
            <w:tcW w:w="773" w:type="dxa"/>
            <w:tcBorders>
              <w:top w:val="nil"/>
              <w:left w:val="nil"/>
              <w:bottom w:val="single" w:sz="4" w:space="0" w:color="auto"/>
              <w:right w:val="single" w:sz="4" w:space="0" w:color="auto"/>
            </w:tcBorders>
            <w:shd w:val="clear" w:color="auto" w:fill="auto"/>
            <w:vAlign w:val="center"/>
            <w:hideMark/>
          </w:tcPr>
          <w:p w14:paraId="4EF6CA21"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439,6</w:t>
            </w:r>
          </w:p>
        </w:tc>
        <w:tc>
          <w:tcPr>
            <w:tcW w:w="582" w:type="dxa"/>
            <w:tcBorders>
              <w:top w:val="nil"/>
              <w:left w:val="nil"/>
              <w:bottom w:val="single" w:sz="4" w:space="0" w:color="auto"/>
              <w:right w:val="single" w:sz="4" w:space="0" w:color="auto"/>
            </w:tcBorders>
            <w:shd w:val="clear" w:color="auto" w:fill="auto"/>
            <w:vAlign w:val="center"/>
            <w:hideMark/>
          </w:tcPr>
          <w:p w14:paraId="6CB5401B"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0,1</w:t>
            </w:r>
          </w:p>
        </w:tc>
        <w:tc>
          <w:tcPr>
            <w:tcW w:w="681" w:type="dxa"/>
            <w:tcBorders>
              <w:top w:val="nil"/>
              <w:left w:val="nil"/>
              <w:bottom w:val="single" w:sz="4" w:space="0" w:color="auto"/>
              <w:right w:val="single" w:sz="4" w:space="0" w:color="auto"/>
            </w:tcBorders>
            <w:shd w:val="clear" w:color="auto" w:fill="auto"/>
            <w:vAlign w:val="center"/>
            <w:hideMark/>
          </w:tcPr>
          <w:p w14:paraId="00695023"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3,8</w:t>
            </w:r>
          </w:p>
        </w:tc>
        <w:tc>
          <w:tcPr>
            <w:tcW w:w="789" w:type="dxa"/>
            <w:tcBorders>
              <w:top w:val="nil"/>
              <w:left w:val="nil"/>
              <w:bottom w:val="single" w:sz="4" w:space="0" w:color="auto"/>
              <w:right w:val="single" w:sz="4" w:space="0" w:color="auto"/>
            </w:tcBorders>
            <w:shd w:val="clear" w:color="auto" w:fill="auto"/>
            <w:vAlign w:val="center"/>
            <w:hideMark/>
          </w:tcPr>
          <w:p w14:paraId="6333F9CC"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0,4</w:t>
            </w:r>
          </w:p>
        </w:tc>
        <w:tc>
          <w:tcPr>
            <w:tcW w:w="693" w:type="dxa"/>
            <w:tcBorders>
              <w:top w:val="nil"/>
              <w:left w:val="nil"/>
              <w:bottom w:val="single" w:sz="4" w:space="0" w:color="auto"/>
              <w:right w:val="single" w:sz="4" w:space="0" w:color="auto"/>
            </w:tcBorders>
            <w:shd w:val="clear" w:color="auto" w:fill="auto"/>
            <w:vAlign w:val="center"/>
            <w:hideMark/>
          </w:tcPr>
          <w:p w14:paraId="5C02F1F5"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0,4</w:t>
            </w:r>
          </w:p>
        </w:tc>
        <w:tc>
          <w:tcPr>
            <w:tcW w:w="537" w:type="dxa"/>
            <w:tcBorders>
              <w:top w:val="nil"/>
              <w:left w:val="nil"/>
              <w:bottom w:val="single" w:sz="4" w:space="0" w:color="auto"/>
              <w:right w:val="single" w:sz="4" w:space="0" w:color="auto"/>
            </w:tcBorders>
            <w:shd w:val="clear" w:color="auto" w:fill="auto"/>
            <w:vAlign w:val="center"/>
            <w:hideMark/>
          </w:tcPr>
          <w:p w14:paraId="78092CFA" w14:textId="77777777" w:rsidR="00F00781" w:rsidRPr="00F00781" w:rsidRDefault="00F00781" w:rsidP="00F00781">
            <w:pPr>
              <w:rPr>
                <w:rFonts w:ascii="Arial Narrow" w:hAnsi="Arial Narrow" w:cs="Calibri"/>
                <w:sz w:val="14"/>
                <w:szCs w:val="14"/>
              </w:rPr>
            </w:pPr>
            <w:r w:rsidRPr="00F00781">
              <w:rPr>
                <w:rFonts w:ascii="Arial Narrow" w:hAnsi="Arial Narrow" w:cs="Calibri"/>
                <w:sz w:val="14"/>
                <w:szCs w:val="14"/>
              </w:rPr>
              <w:t> </w:t>
            </w:r>
          </w:p>
        </w:tc>
        <w:tc>
          <w:tcPr>
            <w:tcW w:w="1143" w:type="dxa"/>
            <w:tcBorders>
              <w:top w:val="nil"/>
              <w:left w:val="nil"/>
              <w:bottom w:val="single" w:sz="4" w:space="0" w:color="auto"/>
              <w:right w:val="single" w:sz="4" w:space="0" w:color="auto"/>
            </w:tcBorders>
            <w:shd w:val="clear" w:color="auto" w:fill="auto"/>
            <w:vAlign w:val="center"/>
            <w:hideMark/>
          </w:tcPr>
          <w:p w14:paraId="130F5F05"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1,9</w:t>
            </w:r>
          </w:p>
        </w:tc>
        <w:tc>
          <w:tcPr>
            <w:tcW w:w="1200" w:type="dxa"/>
            <w:tcBorders>
              <w:top w:val="nil"/>
              <w:left w:val="nil"/>
              <w:bottom w:val="single" w:sz="4" w:space="0" w:color="auto"/>
              <w:right w:val="single" w:sz="4" w:space="0" w:color="auto"/>
            </w:tcBorders>
            <w:shd w:val="clear" w:color="auto" w:fill="auto"/>
            <w:vAlign w:val="center"/>
            <w:hideMark/>
          </w:tcPr>
          <w:p w14:paraId="4FBD0162"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0,1</w:t>
            </w:r>
          </w:p>
        </w:tc>
        <w:tc>
          <w:tcPr>
            <w:tcW w:w="721" w:type="dxa"/>
            <w:tcBorders>
              <w:top w:val="nil"/>
              <w:left w:val="nil"/>
              <w:bottom w:val="single" w:sz="4" w:space="0" w:color="auto"/>
              <w:right w:val="single" w:sz="4" w:space="0" w:color="auto"/>
            </w:tcBorders>
            <w:shd w:val="clear" w:color="auto" w:fill="auto"/>
            <w:vAlign w:val="center"/>
            <w:hideMark/>
          </w:tcPr>
          <w:p w14:paraId="20EAD9C8"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64,4</w:t>
            </w:r>
          </w:p>
        </w:tc>
        <w:tc>
          <w:tcPr>
            <w:tcW w:w="721" w:type="dxa"/>
            <w:tcBorders>
              <w:top w:val="nil"/>
              <w:left w:val="nil"/>
              <w:bottom w:val="single" w:sz="4" w:space="0" w:color="auto"/>
              <w:right w:val="single" w:sz="4" w:space="0" w:color="auto"/>
            </w:tcBorders>
            <w:shd w:val="clear" w:color="auto" w:fill="auto"/>
            <w:vAlign w:val="center"/>
            <w:hideMark/>
          </w:tcPr>
          <w:p w14:paraId="6CB18494"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369,2</w:t>
            </w:r>
          </w:p>
        </w:tc>
        <w:tc>
          <w:tcPr>
            <w:tcW w:w="698" w:type="dxa"/>
            <w:tcBorders>
              <w:top w:val="nil"/>
              <w:left w:val="nil"/>
              <w:bottom w:val="single" w:sz="4" w:space="0" w:color="auto"/>
              <w:right w:val="single" w:sz="4" w:space="0" w:color="auto"/>
            </w:tcBorders>
            <w:shd w:val="clear" w:color="auto" w:fill="auto"/>
            <w:vAlign w:val="center"/>
            <w:hideMark/>
          </w:tcPr>
          <w:p w14:paraId="71380112"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4,1</w:t>
            </w:r>
          </w:p>
        </w:tc>
        <w:tc>
          <w:tcPr>
            <w:tcW w:w="765" w:type="dxa"/>
            <w:tcBorders>
              <w:top w:val="nil"/>
              <w:left w:val="nil"/>
              <w:bottom w:val="single" w:sz="4" w:space="0" w:color="auto"/>
              <w:right w:val="single" w:sz="4" w:space="0" w:color="auto"/>
            </w:tcBorders>
            <w:shd w:val="clear" w:color="auto" w:fill="auto"/>
            <w:vAlign w:val="center"/>
            <w:hideMark/>
          </w:tcPr>
          <w:p w14:paraId="0C8E118B"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437,7</w:t>
            </w:r>
          </w:p>
        </w:tc>
        <w:tc>
          <w:tcPr>
            <w:tcW w:w="970" w:type="dxa"/>
            <w:tcBorders>
              <w:top w:val="nil"/>
              <w:left w:val="nil"/>
              <w:bottom w:val="single" w:sz="4" w:space="0" w:color="auto"/>
              <w:right w:val="single" w:sz="4" w:space="0" w:color="auto"/>
            </w:tcBorders>
            <w:shd w:val="clear" w:color="auto" w:fill="auto"/>
            <w:vAlign w:val="center"/>
            <w:hideMark/>
          </w:tcPr>
          <w:p w14:paraId="4143BAAB" w14:textId="77777777" w:rsidR="00F00781" w:rsidRPr="00F00781" w:rsidRDefault="00F00781" w:rsidP="00F00781">
            <w:pPr>
              <w:rPr>
                <w:rFonts w:ascii="Arial Narrow" w:hAnsi="Arial Narrow" w:cs="Calibri"/>
                <w:sz w:val="14"/>
                <w:szCs w:val="14"/>
              </w:rPr>
            </w:pPr>
            <w:r w:rsidRPr="00F00781">
              <w:rPr>
                <w:rFonts w:ascii="Arial Narrow" w:hAnsi="Arial Narrow" w:cs="Calibri"/>
                <w:sz w:val="14"/>
                <w:szCs w:val="14"/>
              </w:rPr>
              <w:t> </w:t>
            </w:r>
          </w:p>
        </w:tc>
        <w:tc>
          <w:tcPr>
            <w:tcW w:w="602" w:type="dxa"/>
            <w:tcBorders>
              <w:top w:val="nil"/>
              <w:left w:val="nil"/>
              <w:bottom w:val="single" w:sz="4" w:space="0" w:color="auto"/>
              <w:right w:val="single" w:sz="4" w:space="0" w:color="auto"/>
            </w:tcBorders>
            <w:shd w:val="clear" w:color="auto" w:fill="auto"/>
            <w:vAlign w:val="center"/>
            <w:hideMark/>
          </w:tcPr>
          <w:p w14:paraId="5E5CFC4C"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2,8</w:t>
            </w:r>
          </w:p>
        </w:tc>
        <w:tc>
          <w:tcPr>
            <w:tcW w:w="697" w:type="dxa"/>
            <w:tcBorders>
              <w:top w:val="nil"/>
              <w:left w:val="nil"/>
              <w:bottom w:val="single" w:sz="4" w:space="0" w:color="auto"/>
              <w:right w:val="single" w:sz="4" w:space="0" w:color="auto"/>
            </w:tcBorders>
            <w:shd w:val="clear" w:color="auto" w:fill="auto"/>
            <w:vAlign w:val="center"/>
            <w:hideMark/>
          </w:tcPr>
          <w:p w14:paraId="3047E912"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-1,0</w:t>
            </w:r>
          </w:p>
        </w:tc>
        <w:tc>
          <w:tcPr>
            <w:tcW w:w="869" w:type="dxa"/>
            <w:tcBorders>
              <w:top w:val="nil"/>
              <w:left w:val="nil"/>
              <w:bottom w:val="single" w:sz="4" w:space="0" w:color="auto"/>
              <w:right w:val="single" w:sz="4" w:space="0" w:color="auto"/>
            </w:tcBorders>
            <w:shd w:val="clear" w:color="auto" w:fill="auto"/>
            <w:vAlign w:val="center"/>
            <w:hideMark/>
          </w:tcPr>
          <w:p w14:paraId="51C51BDF"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439,1</w:t>
            </w:r>
          </w:p>
        </w:tc>
      </w:tr>
      <w:tr w:rsidR="00F00781" w:rsidRPr="00F00781" w14:paraId="27480274" w14:textId="77777777" w:rsidTr="00E01BBF">
        <w:trPr>
          <w:trHeight w:val="196"/>
        </w:trPr>
        <w:tc>
          <w:tcPr>
            <w:tcW w:w="632" w:type="dxa"/>
            <w:tcBorders>
              <w:top w:val="nil"/>
              <w:left w:val="single" w:sz="4" w:space="0" w:color="auto"/>
              <w:bottom w:val="single" w:sz="4" w:space="0" w:color="auto"/>
              <w:right w:val="single" w:sz="4" w:space="0" w:color="auto"/>
            </w:tcBorders>
            <w:shd w:val="clear" w:color="auto" w:fill="auto"/>
            <w:vAlign w:val="center"/>
            <w:hideMark/>
          </w:tcPr>
          <w:p w14:paraId="3A8B386A" w14:textId="77777777" w:rsidR="00F00781" w:rsidRPr="00F00781" w:rsidRDefault="00F00781" w:rsidP="00F00781">
            <w:pPr>
              <w:rPr>
                <w:rFonts w:ascii="Arial Narrow" w:hAnsi="Arial Narrow" w:cs="Calibri"/>
                <w:sz w:val="14"/>
                <w:szCs w:val="14"/>
              </w:rPr>
            </w:pPr>
            <w:r w:rsidRPr="00F00781">
              <w:rPr>
                <w:rFonts w:ascii="Arial Narrow" w:hAnsi="Arial Narrow" w:cs="Calibri"/>
                <w:sz w:val="14"/>
                <w:szCs w:val="14"/>
              </w:rPr>
              <w:t xml:space="preserve"> 04.1/2</w:t>
            </w:r>
          </w:p>
        </w:tc>
        <w:tc>
          <w:tcPr>
            <w:tcW w:w="1671" w:type="dxa"/>
            <w:tcBorders>
              <w:top w:val="nil"/>
              <w:left w:val="nil"/>
              <w:bottom w:val="single" w:sz="4" w:space="0" w:color="auto"/>
              <w:right w:val="single" w:sz="4" w:space="0" w:color="auto"/>
            </w:tcBorders>
            <w:shd w:val="clear" w:color="auto" w:fill="auto"/>
            <w:vAlign w:val="center"/>
            <w:hideMark/>
          </w:tcPr>
          <w:p w14:paraId="0A00104E" w14:textId="77777777" w:rsidR="00F00781" w:rsidRPr="00F00781" w:rsidRDefault="00F00781" w:rsidP="00F00781">
            <w:pPr>
              <w:ind w:firstLineChars="200" w:firstLine="280"/>
              <w:rPr>
                <w:rFonts w:ascii="Arial Narrow" w:hAnsi="Arial Narrow" w:cs="Calibri"/>
                <w:sz w:val="14"/>
                <w:szCs w:val="14"/>
              </w:rPr>
            </w:pPr>
            <w:r w:rsidRPr="00F00781">
              <w:rPr>
                <w:rFonts w:ascii="Arial Narrow" w:hAnsi="Arial Narrow" w:cs="Calibri"/>
                <w:sz w:val="14"/>
                <w:szCs w:val="14"/>
              </w:rPr>
              <w:t>Домати</w:t>
            </w:r>
          </w:p>
        </w:tc>
        <w:tc>
          <w:tcPr>
            <w:tcW w:w="773" w:type="dxa"/>
            <w:tcBorders>
              <w:top w:val="nil"/>
              <w:left w:val="nil"/>
              <w:bottom w:val="single" w:sz="4" w:space="0" w:color="auto"/>
              <w:right w:val="single" w:sz="4" w:space="0" w:color="auto"/>
            </w:tcBorders>
            <w:shd w:val="clear" w:color="auto" w:fill="auto"/>
            <w:vAlign w:val="center"/>
            <w:hideMark/>
          </w:tcPr>
          <w:p w14:paraId="3F7E32FD"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130,6</w:t>
            </w:r>
          </w:p>
        </w:tc>
        <w:tc>
          <w:tcPr>
            <w:tcW w:w="582" w:type="dxa"/>
            <w:tcBorders>
              <w:top w:val="nil"/>
              <w:left w:val="nil"/>
              <w:bottom w:val="single" w:sz="4" w:space="0" w:color="auto"/>
              <w:right w:val="single" w:sz="4" w:space="0" w:color="auto"/>
            </w:tcBorders>
            <w:shd w:val="clear" w:color="auto" w:fill="auto"/>
            <w:vAlign w:val="center"/>
            <w:hideMark/>
          </w:tcPr>
          <w:p w14:paraId="6776E5A8" w14:textId="77777777" w:rsidR="00F00781" w:rsidRPr="00F00781" w:rsidRDefault="00F00781" w:rsidP="00F00781">
            <w:pPr>
              <w:rPr>
                <w:rFonts w:ascii="Arial Narrow" w:hAnsi="Arial Narrow" w:cs="Calibri"/>
                <w:sz w:val="14"/>
                <w:szCs w:val="14"/>
              </w:rPr>
            </w:pPr>
            <w:r w:rsidRPr="00F00781">
              <w:rPr>
                <w:rFonts w:ascii="Arial Narrow" w:hAnsi="Arial Narrow" w:cs="Calibri"/>
                <w:sz w:val="14"/>
                <w:szCs w:val="14"/>
              </w:rPr>
              <w:t> </w:t>
            </w:r>
          </w:p>
        </w:tc>
        <w:tc>
          <w:tcPr>
            <w:tcW w:w="681" w:type="dxa"/>
            <w:tcBorders>
              <w:top w:val="nil"/>
              <w:left w:val="nil"/>
              <w:bottom w:val="single" w:sz="4" w:space="0" w:color="auto"/>
              <w:right w:val="single" w:sz="4" w:space="0" w:color="auto"/>
            </w:tcBorders>
            <w:shd w:val="clear" w:color="auto" w:fill="auto"/>
            <w:vAlign w:val="center"/>
            <w:hideMark/>
          </w:tcPr>
          <w:p w14:paraId="57553E63" w14:textId="77777777" w:rsidR="00F00781" w:rsidRPr="00F00781" w:rsidRDefault="00F00781" w:rsidP="00F00781">
            <w:pPr>
              <w:rPr>
                <w:rFonts w:ascii="Arial Narrow" w:hAnsi="Arial Narrow" w:cs="Calibri"/>
                <w:sz w:val="14"/>
                <w:szCs w:val="14"/>
              </w:rPr>
            </w:pPr>
            <w:r w:rsidRPr="00F00781">
              <w:rPr>
                <w:rFonts w:ascii="Arial Narrow" w:hAnsi="Arial Narrow" w:cs="Calibri"/>
                <w:sz w:val="14"/>
                <w:szCs w:val="14"/>
              </w:rPr>
              <w:t> </w:t>
            </w:r>
          </w:p>
        </w:tc>
        <w:tc>
          <w:tcPr>
            <w:tcW w:w="789" w:type="dxa"/>
            <w:tcBorders>
              <w:top w:val="nil"/>
              <w:left w:val="nil"/>
              <w:bottom w:val="single" w:sz="4" w:space="0" w:color="auto"/>
              <w:right w:val="single" w:sz="4" w:space="0" w:color="auto"/>
            </w:tcBorders>
            <w:shd w:val="clear" w:color="auto" w:fill="auto"/>
            <w:vAlign w:val="center"/>
            <w:hideMark/>
          </w:tcPr>
          <w:p w14:paraId="7C474C6E" w14:textId="77777777" w:rsidR="00F00781" w:rsidRPr="00F00781" w:rsidRDefault="00F00781" w:rsidP="00F00781">
            <w:pPr>
              <w:rPr>
                <w:rFonts w:ascii="Arial Narrow" w:hAnsi="Arial Narrow" w:cs="Calibri"/>
                <w:sz w:val="14"/>
                <w:szCs w:val="14"/>
              </w:rPr>
            </w:pPr>
            <w:r w:rsidRPr="00F00781">
              <w:rPr>
                <w:rFonts w:ascii="Arial Narrow" w:hAnsi="Arial Narrow" w:cs="Calibri"/>
                <w:sz w:val="14"/>
                <w:szCs w:val="14"/>
              </w:rPr>
              <w:t> </w:t>
            </w:r>
          </w:p>
        </w:tc>
        <w:tc>
          <w:tcPr>
            <w:tcW w:w="693" w:type="dxa"/>
            <w:tcBorders>
              <w:top w:val="nil"/>
              <w:left w:val="nil"/>
              <w:bottom w:val="single" w:sz="4" w:space="0" w:color="auto"/>
              <w:right w:val="single" w:sz="4" w:space="0" w:color="auto"/>
            </w:tcBorders>
            <w:shd w:val="clear" w:color="auto" w:fill="auto"/>
            <w:vAlign w:val="center"/>
            <w:hideMark/>
          </w:tcPr>
          <w:p w14:paraId="564C0A73" w14:textId="77777777" w:rsidR="00F00781" w:rsidRPr="00F00781" w:rsidRDefault="00F00781" w:rsidP="00F00781">
            <w:pPr>
              <w:rPr>
                <w:rFonts w:ascii="Arial Narrow" w:hAnsi="Arial Narrow" w:cs="Calibri"/>
                <w:sz w:val="14"/>
                <w:szCs w:val="14"/>
              </w:rPr>
            </w:pPr>
            <w:r w:rsidRPr="00F00781">
              <w:rPr>
                <w:rFonts w:ascii="Arial Narrow" w:hAnsi="Arial Narrow" w:cs="Calibri"/>
                <w:sz w:val="14"/>
                <w:szCs w:val="14"/>
              </w:rPr>
              <w:t> </w:t>
            </w:r>
          </w:p>
        </w:tc>
        <w:tc>
          <w:tcPr>
            <w:tcW w:w="537" w:type="dxa"/>
            <w:tcBorders>
              <w:top w:val="nil"/>
              <w:left w:val="nil"/>
              <w:bottom w:val="single" w:sz="4" w:space="0" w:color="auto"/>
              <w:right w:val="single" w:sz="4" w:space="0" w:color="auto"/>
            </w:tcBorders>
            <w:shd w:val="clear" w:color="auto" w:fill="auto"/>
            <w:vAlign w:val="center"/>
            <w:hideMark/>
          </w:tcPr>
          <w:p w14:paraId="3E39CC99" w14:textId="77777777" w:rsidR="00F00781" w:rsidRPr="00F00781" w:rsidRDefault="00F00781" w:rsidP="00F00781">
            <w:pPr>
              <w:rPr>
                <w:rFonts w:ascii="Arial Narrow" w:hAnsi="Arial Narrow" w:cs="Calibri"/>
                <w:sz w:val="14"/>
                <w:szCs w:val="14"/>
              </w:rPr>
            </w:pPr>
            <w:r w:rsidRPr="00F00781">
              <w:rPr>
                <w:rFonts w:ascii="Arial Narrow" w:hAnsi="Arial Narrow" w:cs="Calibri"/>
                <w:sz w:val="14"/>
                <w:szCs w:val="14"/>
              </w:rPr>
              <w:t> </w:t>
            </w:r>
          </w:p>
        </w:tc>
        <w:tc>
          <w:tcPr>
            <w:tcW w:w="1143" w:type="dxa"/>
            <w:tcBorders>
              <w:top w:val="nil"/>
              <w:left w:val="nil"/>
              <w:bottom w:val="single" w:sz="4" w:space="0" w:color="auto"/>
              <w:right w:val="single" w:sz="4" w:space="0" w:color="auto"/>
            </w:tcBorders>
            <w:shd w:val="clear" w:color="auto" w:fill="auto"/>
            <w:vAlign w:val="center"/>
            <w:hideMark/>
          </w:tcPr>
          <w:p w14:paraId="4A6AD5DC"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0,1</w:t>
            </w:r>
          </w:p>
        </w:tc>
        <w:tc>
          <w:tcPr>
            <w:tcW w:w="1200" w:type="dxa"/>
            <w:tcBorders>
              <w:top w:val="nil"/>
              <w:left w:val="nil"/>
              <w:bottom w:val="single" w:sz="4" w:space="0" w:color="auto"/>
              <w:right w:val="single" w:sz="4" w:space="0" w:color="auto"/>
            </w:tcBorders>
            <w:shd w:val="clear" w:color="auto" w:fill="auto"/>
            <w:vAlign w:val="center"/>
            <w:hideMark/>
          </w:tcPr>
          <w:p w14:paraId="7F9B2F50" w14:textId="77777777" w:rsidR="00F00781" w:rsidRPr="00F00781" w:rsidRDefault="00F00781" w:rsidP="00F00781">
            <w:pPr>
              <w:rPr>
                <w:rFonts w:ascii="Arial Narrow" w:hAnsi="Arial Narrow" w:cs="Calibri"/>
                <w:sz w:val="14"/>
                <w:szCs w:val="14"/>
              </w:rPr>
            </w:pPr>
            <w:r w:rsidRPr="00F00781">
              <w:rPr>
                <w:rFonts w:ascii="Arial Narrow" w:hAnsi="Arial Narrow" w:cs="Calibri"/>
                <w:sz w:val="14"/>
                <w:szCs w:val="14"/>
              </w:rPr>
              <w:t> </w:t>
            </w:r>
          </w:p>
        </w:tc>
        <w:tc>
          <w:tcPr>
            <w:tcW w:w="721" w:type="dxa"/>
            <w:tcBorders>
              <w:top w:val="nil"/>
              <w:left w:val="nil"/>
              <w:bottom w:val="single" w:sz="4" w:space="0" w:color="auto"/>
              <w:right w:val="single" w:sz="4" w:space="0" w:color="auto"/>
            </w:tcBorders>
            <w:shd w:val="clear" w:color="auto" w:fill="auto"/>
            <w:vAlign w:val="center"/>
            <w:hideMark/>
          </w:tcPr>
          <w:p w14:paraId="7F72FA75"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12,2</w:t>
            </w:r>
          </w:p>
        </w:tc>
        <w:tc>
          <w:tcPr>
            <w:tcW w:w="721" w:type="dxa"/>
            <w:tcBorders>
              <w:top w:val="nil"/>
              <w:left w:val="nil"/>
              <w:bottom w:val="single" w:sz="4" w:space="0" w:color="auto"/>
              <w:right w:val="single" w:sz="4" w:space="0" w:color="auto"/>
            </w:tcBorders>
            <w:shd w:val="clear" w:color="auto" w:fill="auto"/>
            <w:vAlign w:val="center"/>
            <w:hideMark/>
          </w:tcPr>
          <w:p w14:paraId="78FF5801"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118,3</w:t>
            </w:r>
          </w:p>
        </w:tc>
        <w:tc>
          <w:tcPr>
            <w:tcW w:w="698" w:type="dxa"/>
            <w:tcBorders>
              <w:top w:val="nil"/>
              <w:left w:val="nil"/>
              <w:bottom w:val="single" w:sz="4" w:space="0" w:color="auto"/>
              <w:right w:val="single" w:sz="4" w:space="0" w:color="auto"/>
            </w:tcBorders>
            <w:shd w:val="clear" w:color="auto" w:fill="auto"/>
            <w:vAlign w:val="center"/>
            <w:hideMark/>
          </w:tcPr>
          <w:p w14:paraId="76E02827" w14:textId="77777777" w:rsidR="00F00781" w:rsidRPr="00F00781" w:rsidRDefault="00F00781" w:rsidP="00F00781">
            <w:pPr>
              <w:rPr>
                <w:rFonts w:ascii="Arial Narrow" w:hAnsi="Arial Narrow" w:cs="Calibri"/>
                <w:sz w:val="14"/>
                <w:szCs w:val="14"/>
              </w:rPr>
            </w:pPr>
            <w:r w:rsidRPr="00F00781">
              <w:rPr>
                <w:rFonts w:ascii="Arial Narrow" w:hAnsi="Arial Narrow" w:cs="Calibri"/>
                <w:sz w:val="14"/>
                <w:szCs w:val="14"/>
              </w:rPr>
              <w:t> </w:t>
            </w:r>
          </w:p>
        </w:tc>
        <w:tc>
          <w:tcPr>
            <w:tcW w:w="765" w:type="dxa"/>
            <w:tcBorders>
              <w:top w:val="nil"/>
              <w:left w:val="nil"/>
              <w:bottom w:val="single" w:sz="4" w:space="0" w:color="auto"/>
              <w:right w:val="single" w:sz="4" w:space="0" w:color="auto"/>
            </w:tcBorders>
            <w:shd w:val="clear" w:color="auto" w:fill="auto"/>
            <w:vAlign w:val="center"/>
            <w:hideMark/>
          </w:tcPr>
          <w:p w14:paraId="107161DF"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130,5</w:t>
            </w:r>
          </w:p>
        </w:tc>
        <w:tc>
          <w:tcPr>
            <w:tcW w:w="970" w:type="dxa"/>
            <w:tcBorders>
              <w:top w:val="nil"/>
              <w:left w:val="nil"/>
              <w:bottom w:val="single" w:sz="4" w:space="0" w:color="auto"/>
              <w:right w:val="single" w:sz="4" w:space="0" w:color="auto"/>
            </w:tcBorders>
            <w:shd w:val="clear" w:color="auto" w:fill="auto"/>
            <w:vAlign w:val="center"/>
            <w:hideMark/>
          </w:tcPr>
          <w:p w14:paraId="68C46BAB" w14:textId="77777777" w:rsidR="00F00781" w:rsidRPr="00F00781" w:rsidRDefault="00F00781" w:rsidP="00F00781">
            <w:pPr>
              <w:rPr>
                <w:rFonts w:ascii="Arial Narrow" w:hAnsi="Arial Narrow" w:cs="Calibri"/>
                <w:sz w:val="14"/>
                <w:szCs w:val="14"/>
              </w:rPr>
            </w:pPr>
            <w:r w:rsidRPr="00F00781">
              <w:rPr>
                <w:rFonts w:ascii="Arial Narrow" w:hAnsi="Arial Narrow" w:cs="Calibri"/>
                <w:sz w:val="14"/>
                <w:szCs w:val="14"/>
              </w:rPr>
              <w:t> </w:t>
            </w:r>
          </w:p>
        </w:tc>
        <w:tc>
          <w:tcPr>
            <w:tcW w:w="602" w:type="dxa"/>
            <w:tcBorders>
              <w:top w:val="nil"/>
              <w:left w:val="nil"/>
              <w:bottom w:val="single" w:sz="4" w:space="0" w:color="auto"/>
              <w:right w:val="single" w:sz="4" w:space="0" w:color="auto"/>
            </w:tcBorders>
            <w:shd w:val="clear" w:color="auto" w:fill="auto"/>
            <w:vAlign w:val="center"/>
            <w:hideMark/>
          </w:tcPr>
          <w:p w14:paraId="52638026" w14:textId="77777777" w:rsidR="00F00781" w:rsidRPr="00F00781" w:rsidRDefault="00F00781" w:rsidP="00F00781">
            <w:pPr>
              <w:rPr>
                <w:rFonts w:ascii="Arial Narrow" w:hAnsi="Arial Narrow" w:cs="Calibri"/>
                <w:sz w:val="14"/>
                <w:szCs w:val="14"/>
              </w:rPr>
            </w:pPr>
            <w:r w:rsidRPr="00F00781">
              <w:rPr>
                <w:rFonts w:ascii="Arial Narrow" w:hAnsi="Arial Narrow" w:cs="Calibri"/>
                <w:sz w:val="14"/>
                <w:szCs w:val="14"/>
              </w:rPr>
              <w:t> </w:t>
            </w:r>
          </w:p>
        </w:tc>
        <w:tc>
          <w:tcPr>
            <w:tcW w:w="697" w:type="dxa"/>
            <w:tcBorders>
              <w:top w:val="nil"/>
              <w:left w:val="nil"/>
              <w:bottom w:val="single" w:sz="4" w:space="0" w:color="auto"/>
              <w:right w:val="single" w:sz="4" w:space="0" w:color="auto"/>
            </w:tcBorders>
            <w:shd w:val="clear" w:color="auto" w:fill="auto"/>
            <w:vAlign w:val="center"/>
            <w:hideMark/>
          </w:tcPr>
          <w:p w14:paraId="4E380367" w14:textId="77777777" w:rsidR="00F00781" w:rsidRPr="00F00781" w:rsidRDefault="00F00781" w:rsidP="00F00781">
            <w:pPr>
              <w:rPr>
                <w:rFonts w:ascii="Arial Narrow" w:hAnsi="Arial Narrow" w:cs="Calibri"/>
                <w:sz w:val="14"/>
                <w:szCs w:val="14"/>
              </w:rPr>
            </w:pPr>
            <w:r w:rsidRPr="00F00781">
              <w:rPr>
                <w:rFonts w:ascii="Arial Narrow" w:hAnsi="Arial Narrow" w:cs="Calibri"/>
                <w:sz w:val="14"/>
                <w:szCs w:val="14"/>
              </w:rPr>
              <w:t> </w:t>
            </w:r>
          </w:p>
        </w:tc>
        <w:tc>
          <w:tcPr>
            <w:tcW w:w="869" w:type="dxa"/>
            <w:tcBorders>
              <w:top w:val="nil"/>
              <w:left w:val="nil"/>
              <w:bottom w:val="single" w:sz="4" w:space="0" w:color="auto"/>
              <w:right w:val="single" w:sz="4" w:space="0" w:color="auto"/>
            </w:tcBorders>
            <w:shd w:val="clear" w:color="auto" w:fill="auto"/>
            <w:vAlign w:val="center"/>
            <w:hideMark/>
          </w:tcPr>
          <w:p w14:paraId="55E758D7"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130,6</w:t>
            </w:r>
          </w:p>
        </w:tc>
      </w:tr>
      <w:tr w:rsidR="00F00781" w:rsidRPr="00F00781" w14:paraId="7907452F" w14:textId="77777777" w:rsidTr="00E01BBF">
        <w:trPr>
          <w:trHeight w:val="196"/>
        </w:trPr>
        <w:tc>
          <w:tcPr>
            <w:tcW w:w="632" w:type="dxa"/>
            <w:tcBorders>
              <w:top w:val="nil"/>
              <w:left w:val="single" w:sz="4" w:space="0" w:color="auto"/>
              <w:bottom w:val="single" w:sz="4" w:space="0" w:color="auto"/>
              <w:right w:val="single" w:sz="4" w:space="0" w:color="auto"/>
            </w:tcBorders>
            <w:shd w:val="clear" w:color="auto" w:fill="auto"/>
            <w:vAlign w:val="center"/>
            <w:hideMark/>
          </w:tcPr>
          <w:p w14:paraId="1092E786" w14:textId="77777777" w:rsidR="00F00781" w:rsidRPr="00F00781" w:rsidRDefault="00F00781" w:rsidP="00F00781">
            <w:pPr>
              <w:rPr>
                <w:rFonts w:ascii="Arial Narrow" w:hAnsi="Arial Narrow" w:cs="Calibri"/>
                <w:sz w:val="14"/>
                <w:szCs w:val="14"/>
              </w:rPr>
            </w:pPr>
            <w:r w:rsidRPr="00F00781">
              <w:rPr>
                <w:rFonts w:ascii="Arial Narrow" w:hAnsi="Arial Narrow" w:cs="Calibri"/>
                <w:sz w:val="14"/>
                <w:szCs w:val="14"/>
              </w:rPr>
              <w:t xml:space="preserve"> 04.1/3</w:t>
            </w:r>
          </w:p>
        </w:tc>
        <w:tc>
          <w:tcPr>
            <w:tcW w:w="1671" w:type="dxa"/>
            <w:tcBorders>
              <w:top w:val="nil"/>
              <w:left w:val="nil"/>
              <w:bottom w:val="single" w:sz="4" w:space="0" w:color="auto"/>
              <w:right w:val="single" w:sz="4" w:space="0" w:color="auto"/>
            </w:tcBorders>
            <w:shd w:val="clear" w:color="auto" w:fill="auto"/>
            <w:vAlign w:val="center"/>
            <w:hideMark/>
          </w:tcPr>
          <w:p w14:paraId="6EC8A8D0" w14:textId="77777777" w:rsidR="00F00781" w:rsidRPr="00F00781" w:rsidRDefault="00F00781" w:rsidP="00F00781">
            <w:pPr>
              <w:ind w:firstLineChars="200" w:firstLine="280"/>
              <w:rPr>
                <w:rFonts w:ascii="Arial Narrow" w:hAnsi="Arial Narrow" w:cs="Calibri"/>
                <w:sz w:val="14"/>
                <w:szCs w:val="14"/>
              </w:rPr>
            </w:pPr>
            <w:r w:rsidRPr="00F00781">
              <w:rPr>
                <w:rFonts w:ascii="Arial Narrow" w:hAnsi="Arial Narrow" w:cs="Calibri"/>
                <w:sz w:val="14"/>
                <w:szCs w:val="14"/>
              </w:rPr>
              <w:t>Други пресни зеленчуци</w:t>
            </w:r>
          </w:p>
        </w:tc>
        <w:tc>
          <w:tcPr>
            <w:tcW w:w="773" w:type="dxa"/>
            <w:tcBorders>
              <w:top w:val="nil"/>
              <w:left w:val="nil"/>
              <w:bottom w:val="single" w:sz="4" w:space="0" w:color="auto"/>
              <w:right w:val="single" w:sz="4" w:space="0" w:color="auto"/>
            </w:tcBorders>
            <w:shd w:val="clear" w:color="auto" w:fill="auto"/>
            <w:vAlign w:val="center"/>
            <w:hideMark/>
          </w:tcPr>
          <w:p w14:paraId="2301290D"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309,0</w:t>
            </w:r>
          </w:p>
        </w:tc>
        <w:tc>
          <w:tcPr>
            <w:tcW w:w="582" w:type="dxa"/>
            <w:tcBorders>
              <w:top w:val="nil"/>
              <w:left w:val="nil"/>
              <w:bottom w:val="single" w:sz="4" w:space="0" w:color="auto"/>
              <w:right w:val="single" w:sz="4" w:space="0" w:color="auto"/>
            </w:tcBorders>
            <w:shd w:val="clear" w:color="auto" w:fill="auto"/>
            <w:vAlign w:val="center"/>
            <w:hideMark/>
          </w:tcPr>
          <w:p w14:paraId="7E90AA5D"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0,1</w:t>
            </w:r>
          </w:p>
        </w:tc>
        <w:tc>
          <w:tcPr>
            <w:tcW w:w="681" w:type="dxa"/>
            <w:tcBorders>
              <w:top w:val="nil"/>
              <w:left w:val="nil"/>
              <w:bottom w:val="single" w:sz="4" w:space="0" w:color="auto"/>
              <w:right w:val="single" w:sz="4" w:space="0" w:color="auto"/>
            </w:tcBorders>
            <w:shd w:val="clear" w:color="auto" w:fill="auto"/>
            <w:vAlign w:val="center"/>
            <w:hideMark/>
          </w:tcPr>
          <w:p w14:paraId="0EE4BF67"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3,8</w:t>
            </w:r>
          </w:p>
        </w:tc>
        <w:tc>
          <w:tcPr>
            <w:tcW w:w="789" w:type="dxa"/>
            <w:tcBorders>
              <w:top w:val="nil"/>
              <w:left w:val="nil"/>
              <w:bottom w:val="single" w:sz="4" w:space="0" w:color="auto"/>
              <w:right w:val="single" w:sz="4" w:space="0" w:color="auto"/>
            </w:tcBorders>
            <w:shd w:val="clear" w:color="auto" w:fill="auto"/>
            <w:vAlign w:val="center"/>
            <w:hideMark/>
          </w:tcPr>
          <w:p w14:paraId="788F9194"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0,4</w:t>
            </w:r>
          </w:p>
        </w:tc>
        <w:tc>
          <w:tcPr>
            <w:tcW w:w="693" w:type="dxa"/>
            <w:tcBorders>
              <w:top w:val="nil"/>
              <w:left w:val="nil"/>
              <w:bottom w:val="single" w:sz="4" w:space="0" w:color="auto"/>
              <w:right w:val="single" w:sz="4" w:space="0" w:color="auto"/>
            </w:tcBorders>
            <w:shd w:val="clear" w:color="auto" w:fill="auto"/>
            <w:vAlign w:val="center"/>
            <w:hideMark/>
          </w:tcPr>
          <w:p w14:paraId="36D0DFB0"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0,4</w:t>
            </w:r>
          </w:p>
        </w:tc>
        <w:tc>
          <w:tcPr>
            <w:tcW w:w="537" w:type="dxa"/>
            <w:tcBorders>
              <w:top w:val="nil"/>
              <w:left w:val="nil"/>
              <w:bottom w:val="single" w:sz="4" w:space="0" w:color="auto"/>
              <w:right w:val="single" w:sz="4" w:space="0" w:color="auto"/>
            </w:tcBorders>
            <w:shd w:val="clear" w:color="auto" w:fill="auto"/>
            <w:vAlign w:val="center"/>
            <w:hideMark/>
          </w:tcPr>
          <w:p w14:paraId="062245C6" w14:textId="77777777" w:rsidR="00F00781" w:rsidRPr="00F00781" w:rsidRDefault="00F00781" w:rsidP="00F00781">
            <w:pPr>
              <w:rPr>
                <w:rFonts w:ascii="Arial Narrow" w:hAnsi="Arial Narrow" w:cs="Calibri"/>
                <w:sz w:val="14"/>
                <w:szCs w:val="14"/>
              </w:rPr>
            </w:pPr>
            <w:r w:rsidRPr="00F00781">
              <w:rPr>
                <w:rFonts w:ascii="Arial Narrow" w:hAnsi="Arial Narrow" w:cs="Calibri"/>
                <w:sz w:val="14"/>
                <w:szCs w:val="14"/>
              </w:rPr>
              <w:t> </w:t>
            </w:r>
          </w:p>
        </w:tc>
        <w:tc>
          <w:tcPr>
            <w:tcW w:w="1143" w:type="dxa"/>
            <w:tcBorders>
              <w:top w:val="nil"/>
              <w:left w:val="nil"/>
              <w:bottom w:val="single" w:sz="4" w:space="0" w:color="auto"/>
              <w:right w:val="single" w:sz="4" w:space="0" w:color="auto"/>
            </w:tcBorders>
            <w:shd w:val="clear" w:color="auto" w:fill="auto"/>
            <w:vAlign w:val="center"/>
            <w:hideMark/>
          </w:tcPr>
          <w:p w14:paraId="6BDB6071"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1,8</w:t>
            </w:r>
          </w:p>
        </w:tc>
        <w:tc>
          <w:tcPr>
            <w:tcW w:w="1200" w:type="dxa"/>
            <w:tcBorders>
              <w:top w:val="nil"/>
              <w:left w:val="nil"/>
              <w:bottom w:val="single" w:sz="4" w:space="0" w:color="auto"/>
              <w:right w:val="single" w:sz="4" w:space="0" w:color="auto"/>
            </w:tcBorders>
            <w:shd w:val="clear" w:color="auto" w:fill="auto"/>
            <w:vAlign w:val="center"/>
            <w:hideMark/>
          </w:tcPr>
          <w:p w14:paraId="5A0FD300"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0,1</w:t>
            </w:r>
          </w:p>
        </w:tc>
        <w:tc>
          <w:tcPr>
            <w:tcW w:w="721" w:type="dxa"/>
            <w:tcBorders>
              <w:top w:val="nil"/>
              <w:left w:val="nil"/>
              <w:bottom w:val="single" w:sz="4" w:space="0" w:color="auto"/>
              <w:right w:val="single" w:sz="4" w:space="0" w:color="auto"/>
            </w:tcBorders>
            <w:shd w:val="clear" w:color="auto" w:fill="auto"/>
            <w:vAlign w:val="center"/>
            <w:hideMark/>
          </w:tcPr>
          <w:p w14:paraId="2C1E7BE5"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52,2</w:t>
            </w:r>
          </w:p>
        </w:tc>
        <w:tc>
          <w:tcPr>
            <w:tcW w:w="721" w:type="dxa"/>
            <w:tcBorders>
              <w:top w:val="nil"/>
              <w:left w:val="nil"/>
              <w:bottom w:val="single" w:sz="4" w:space="0" w:color="auto"/>
              <w:right w:val="single" w:sz="4" w:space="0" w:color="auto"/>
            </w:tcBorders>
            <w:shd w:val="clear" w:color="auto" w:fill="auto"/>
            <w:vAlign w:val="center"/>
            <w:hideMark/>
          </w:tcPr>
          <w:p w14:paraId="2883D251"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250,9</w:t>
            </w:r>
          </w:p>
        </w:tc>
        <w:tc>
          <w:tcPr>
            <w:tcW w:w="698" w:type="dxa"/>
            <w:tcBorders>
              <w:top w:val="nil"/>
              <w:left w:val="nil"/>
              <w:bottom w:val="single" w:sz="4" w:space="0" w:color="auto"/>
              <w:right w:val="single" w:sz="4" w:space="0" w:color="auto"/>
            </w:tcBorders>
            <w:shd w:val="clear" w:color="auto" w:fill="auto"/>
            <w:vAlign w:val="center"/>
            <w:hideMark/>
          </w:tcPr>
          <w:p w14:paraId="642823E6"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4,1</w:t>
            </w:r>
          </w:p>
        </w:tc>
        <w:tc>
          <w:tcPr>
            <w:tcW w:w="765" w:type="dxa"/>
            <w:tcBorders>
              <w:top w:val="nil"/>
              <w:left w:val="nil"/>
              <w:bottom w:val="single" w:sz="4" w:space="0" w:color="auto"/>
              <w:right w:val="single" w:sz="4" w:space="0" w:color="auto"/>
            </w:tcBorders>
            <w:shd w:val="clear" w:color="auto" w:fill="auto"/>
            <w:vAlign w:val="center"/>
            <w:hideMark/>
          </w:tcPr>
          <w:p w14:paraId="72F60A6A"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307,2</w:t>
            </w:r>
          </w:p>
        </w:tc>
        <w:tc>
          <w:tcPr>
            <w:tcW w:w="970" w:type="dxa"/>
            <w:tcBorders>
              <w:top w:val="nil"/>
              <w:left w:val="nil"/>
              <w:bottom w:val="single" w:sz="4" w:space="0" w:color="auto"/>
              <w:right w:val="single" w:sz="4" w:space="0" w:color="auto"/>
            </w:tcBorders>
            <w:shd w:val="clear" w:color="auto" w:fill="auto"/>
            <w:vAlign w:val="center"/>
            <w:hideMark/>
          </w:tcPr>
          <w:p w14:paraId="63FA78DF" w14:textId="77777777" w:rsidR="00F00781" w:rsidRPr="00F00781" w:rsidRDefault="00F00781" w:rsidP="00F00781">
            <w:pPr>
              <w:rPr>
                <w:rFonts w:ascii="Arial Narrow" w:hAnsi="Arial Narrow" w:cs="Calibri"/>
                <w:sz w:val="14"/>
                <w:szCs w:val="14"/>
              </w:rPr>
            </w:pPr>
            <w:r w:rsidRPr="00F00781">
              <w:rPr>
                <w:rFonts w:ascii="Arial Narrow" w:hAnsi="Arial Narrow" w:cs="Calibri"/>
                <w:sz w:val="14"/>
                <w:szCs w:val="14"/>
              </w:rPr>
              <w:t> </w:t>
            </w:r>
          </w:p>
        </w:tc>
        <w:tc>
          <w:tcPr>
            <w:tcW w:w="602" w:type="dxa"/>
            <w:tcBorders>
              <w:top w:val="nil"/>
              <w:left w:val="nil"/>
              <w:bottom w:val="single" w:sz="4" w:space="0" w:color="auto"/>
              <w:right w:val="single" w:sz="4" w:space="0" w:color="auto"/>
            </w:tcBorders>
            <w:shd w:val="clear" w:color="auto" w:fill="auto"/>
            <w:vAlign w:val="center"/>
            <w:hideMark/>
          </w:tcPr>
          <w:p w14:paraId="1AFBE04D"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2,8</w:t>
            </w:r>
          </w:p>
        </w:tc>
        <w:tc>
          <w:tcPr>
            <w:tcW w:w="697" w:type="dxa"/>
            <w:tcBorders>
              <w:top w:val="nil"/>
              <w:left w:val="nil"/>
              <w:bottom w:val="single" w:sz="4" w:space="0" w:color="auto"/>
              <w:right w:val="single" w:sz="4" w:space="0" w:color="auto"/>
            </w:tcBorders>
            <w:shd w:val="clear" w:color="auto" w:fill="auto"/>
            <w:vAlign w:val="center"/>
            <w:hideMark/>
          </w:tcPr>
          <w:p w14:paraId="4BD8A2EB"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-1,0</w:t>
            </w:r>
          </w:p>
        </w:tc>
        <w:tc>
          <w:tcPr>
            <w:tcW w:w="869" w:type="dxa"/>
            <w:tcBorders>
              <w:top w:val="nil"/>
              <w:left w:val="nil"/>
              <w:bottom w:val="single" w:sz="4" w:space="0" w:color="auto"/>
              <w:right w:val="single" w:sz="4" w:space="0" w:color="auto"/>
            </w:tcBorders>
            <w:shd w:val="clear" w:color="auto" w:fill="auto"/>
            <w:vAlign w:val="center"/>
            <w:hideMark/>
          </w:tcPr>
          <w:p w14:paraId="50EEED02"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308,5</w:t>
            </w:r>
          </w:p>
        </w:tc>
      </w:tr>
      <w:tr w:rsidR="00F00781" w:rsidRPr="00F00781" w14:paraId="0527BCA7" w14:textId="77777777" w:rsidTr="00E01BBF">
        <w:trPr>
          <w:trHeight w:val="196"/>
        </w:trPr>
        <w:tc>
          <w:tcPr>
            <w:tcW w:w="632" w:type="dxa"/>
            <w:tcBorders>
              <w:top w:val="nil"/>
              <w:left w:val="single" w:sz="4" w:space="0" w:color="auto"/>
              <w:bottom w:val="single" w:sz="4" w:space="0" w:color="auto"/>
              <w:right w:val="single" w:sz="4" w:space="0" w:color="auto"/>
            </w:tcBorders>
            <w:shd w:val="clear" w:color="auto" w:fill="auto"/>
            <w:vAlign w:val="center"/>
            <w:hideMark/>
          </w:tcPr>
          <w:p w14:paraId="26F605A6" w14:textId="77777777" w:rsidR="00F00781" w:rsidRPr="00F00781" w:rsidRDefault="00F00781" w:rsidP="00F00781">
            <w:pPr>
              <w:rPr>
                <w:rFonts w:ascii="Arial Narrow" w:hAnsi="Arial Narrow" w:cs="Calibri"/>
                <w:sz w:val="14"/>
                <w:szCs w:val="14"/>
              </w:rPr>
            </w:pPr>
            <w:r w:rsidRPr="00F00781">
              <w:rPr>
                <w:rFonts w:ascii="Arial Narrow" w:hAnsi="Arial Narrow" w:cs="Calibri"/>
                <w:sz w:val="14"/>
                <w:szCs w:val="14"/>
              </w:rPr>
              <w:t xml:space="preserve"> 04.2</w:t>
            </w:r>
          </w:p>
        </w:tc>
        <w:tc>
          <w:tcPr>
            <w:tcW w:w="1671" w:type="dxa"/>
            <w:tcBorders>
              <w:top w:val="nil"/>
              <w:left w:val="nil"/>
              <w:bottom w:val="single" w:sz="4" w:space="0" w:color="auto"/>
              <w:right w:val="single" w:sz="4" w:space="0" w:color="auto"/>
            </w:tcBorders>
            <w:shd w:val="clear" w:color="auto" w:fill="auto"/>
            <w:vAlign w:val="center"/>
            <w:hideMark/>
          </w:tcPr>
          <w:p w14:paraId="47438899" w14:textId="77777777" w:rsidR="00F00781" w:rsidRPr="00F00781" w:rsidRDefault="004916C6" w:rsidP="00F00781">
            <w:pPr>
              <w:ind w:firstLineChars="100" w:firstLine="140"/>
              <w:rPr>
                <w:rFonts w:ascii="Arial Narrow" w:hAnsi="Arial Narrow" w:cs="Calibri"/>
                <w:sz w:val="14"/>
                <w:szCs w:val="14"/>
              </w:rPr>
            </w:pPr>
            <w:r>
              <w:rPr>
                <w:rFonts w:ascii="Arial Narrow" w:hAnsi="Arial Narrow" w:cs="Calibri"/>
                <w:sz w:val="14"/>
                <w:szCs w:val="14"/>
                <w:lang w:val="bg-BG"/>
              </w:rPr>
              <w:t>Разсадници и ц</w:t>
            </w:r>
            <w:r w:rsidRPr="00F00781">
              <w:rPr>
                <w:rFonts w:ascii="Arial Narrow" w:hAnsi="Arial Narrow" w:cs="Calibri"/>
                <w:sz w:val="14"/>
                <w:szCs w:val="14"/>
              </w:rPr>
              <w:t>ветя</w:t>
            </w:r>
          </w:p>
        </w:tc>
        <w:tc>
          <w:tcPr>
            <w:tcW w:w="773" w:type="dxa"/>
            <w:tcBorders>
              <w:top w:val="nil"/>
              <w:left w:val="nil"/>
              <w:bottom w:val="single" w:sz="4" w:space="0" w:color="auto"/>
              <w:right w:val="single" w:sz="4" w:space="0" w:color="auto"/>
            </w:tcBorders>
            <w:shd w:val="clear" w:color="auto" w:fill="auto"/>
            <w:vAlign w:val="center"/>
            <w:hideMark/>
          </w:tcPr>
          <w:p w14:paraId="04DC2084"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89,8</w:t>
            </w:r>
          </w:p>
        </w:tc>
        <w:tc>
          <w:tcPr>
            <w:tcW w:w="582" w:type="dxa"/>
            <w:tcBorders>
              <w:top w:val="nil"/>
              <w:left w:val="nil"/>
              <w:bottom w:val="single" w:sz="4" w:space="0" w:color="auto"/>
              <w:right w:val="single" w:sz="4" w:space="0" w:color="auto"/>
            </w:tcBorders>
            <w:shd w:val="clear" w:color="auto" w:fill="auto"/>
            <w:vAlign w:val="center"/>
            <w:hideMark/>
          </w:tcPr>
          <w:p w14:paraId="0BD80DA5"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0,2</w:t>
            </w:r>
          </w:p>
        </w:tc>
        <w:tc>
          <w:tcPr>
            <w:tcW w:w="681" w:type="dxa"/>
            <w:tcBorders>
              <w:top w:val="nil"/>
              <w:left w:val="nil"/>
              <w:bottom w:val="single" w:sz="4" w:space="0" w:color="auto"/>
              <w:right w:val="single" w:sz="4" w:space="0" w:color="auto"/>
            </w:tcBorders>
            <w:shd w:val="clear" w:color="auto" w:fill="auto"/>
            <w:vAlign w:val="center"/>
            <w:hideMark/>
          </w:tcPr>
          <w:p w14:paraId="7A90346D"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14,7</w:t>
            </w:r>
          </w:p>
        </w:tc>
        <w:tc>
          <w:tcPr>
            <w:tcW w:w="789" w:type="dxa"/>
            <w:tcBorders>
              <w:top w:val="nil"/>
              <w:left w:val="nil"/>
              <w:bottom w:val="single" w:sz="4" w:space="0" w:color="auto"/>
              <w:right w:val="single" w:sz="4" w:space="0" w:color="auto"/>
            </w:tcBorders>
            <w:shd w:val="clear" w:color="auto" w:fill="auto"/>
            <w:vAlign w:val="center"/>
            <w:hideMark/>
          </w:tcPr>
          <w:p w14:paraId="0938305D" w14:textId="77777777" w:rsidR="00F00781" w:rsidRPr="00F00781" w:rsidRDefault="00F00781" w:rsidP="00F00781">
            <w:pPr>
              <w:rPr>
                <w:rFonts w:ascii="Arial Narrow" w:hAnsi="Arial Narrow" w:cs="Calibri"/>
                <w:sz w:val="14"/>
                <w:szCs w:val="14"/>
              </w:rPr>
            </w:pPr>
            <w:r w:rsidRPr="00F00781">
              <w:rPr>
                <w:rFonts w:ascii="Arial Narrow" w:hAnsi="Arial Narrow" w:cs="Calibri"/>
                <w:sz w:val="14"/>
                <w:szCs w:val="14"/>
              </w:rPr>
              <w:t> </w:t>
            </w:r>
          </w:p>
        </w:tc>
        <w:tc>
          <w:tcPr>
            <w:tcW w:w="693" w:type="dxa"/>
            <w:tcBorders>
              <w:top w:val="nil"/>
              <w:left w:val="nil"/>
              <w:bottom w:val="single" w:sz="4" w:space="0" w:color="auto"/>
              <w:right w:val="single" w:sz="4" w:space="0" w:color="auto"/>
            </w:tcBorders>
            <w:shd w:val="clear" w:color="auto" w:fill="auto"/>
            <w:vAlign w:val="center"/>
            <w:hideMark/>
          </w:tcPr>
          <w:p w14:paraId="4BA40F84"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1,1</w:t>
            </w:r>
          </w:p>
        </w:tc>
        <w:tc>
          <w:tcPr>
            <w:tcW w:w="537" w:type="dxa"/>
            <w:tcBorders>
              <w:top w:val="nil"/>
              <w:left w:val="nil"/>
              <w:bottom w:val="single" w:sz="4" w:space="0" w:color="auto"/>
              <w:right w:val="single" w:sz="4" w:space="0" w:color="auto"/>
            </w:tcBorders>
            <w:shd w:val="clear" w:color="auto" w:fill="auto"/>
            <w:vAlign w:val="center"/>
            <w:hideMark/>
          </w:tcPr>
          <w:p w14:paraId="6FF4097A"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1,5</w:t>
            </w:r>
          </w:p>
        </w:tc>
        <w:tc>
          <w:tcPr>
            <w:tcW w:w="1143" w:type="dxa"/>
            <w:tcBorders>
              <w:top w:val="nil"/>
              <w:left w:val="nil"/>
              <w:bottom w:val="single" w:sz="4" w:space="0" w:color="auto"/>
              <w:right w:val="single" w:sz="4" w:space="0" w:color="auto"/>
            </w:tcBorders>
            <w:shd w:val="clear" w:color="auto" w:fill="auto"/>
            <w:vAlign w:val="center"/>
            <w:hideMark/>
          </w:tcPr>
          <w:p w14:paraId="001C74F3" w14:textId="77777777" w:rsidR="00F00781" w:rsidRPr="00F00781" w:rsidRDefault="00F00781" w:rsidP="00F00781">
            <w:pPr>
              <w:rPr>
                <w:rFonts w:ascii="Arial Narrow" w:hAnsi="Arial Narrow" w:cs="Calibri"/>
                <w:sz w:val="14"/>
                <w:szCs w:val="14"/>
              </w:rPr>
            </w:pPr>
            <w:r w:rsidRPr="00F00781">
              <w:rPr>
                <w:rFonts w:ascii="Arial Narrow" w:hAnsi="Arial Narrow" w:cs="Calibri"/>
                <w:sz w:val="14"/>
                <w:szCs w:val="14"/>
              </w:rPr>
              <w:t> </w:t>
            </w:r>
          </w:p>
        </w:tc>
        <w:tc>
          <w:tcPr>
            <w:tcW w:w="1200" w:type="dxa"/>
            <w:tcBorders>
              <w:top w:val="nil"/>
              <w:left w:val="nil"/>
              <w:bottom w:val="single" w:sz="4" w:space="0" w:color="auto"/>
              <w:right w:val="single" w:sz="4" w:space="0" w:color="auto"/>
            </w:tcBorders>
            <w:shd w:val="clear" w:color="auto" w:fill="auto"/>
            <w:vAlign w:val="center"/>
            <w:hideMark/>
          </w:tcPr>
          <w:p w14:paraId="5EBF49D8"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0,4</w:t>
            </w:r>
          </w:p>
        </w:tc>
        <w:tc>
          <w:tcPr>
            <w:tcW w:w="721" w:type="dxa"/>
            <w:tcBorders>
              <w:top w:val="nil"/>
              <w:left w:val="nil"/>
              <w:bottom w:val="single" w:sz="4" w:space="0" w:color="auto"/>
              <w:right w:val="single" w:sz="4" w:space="0" w:color="auto"/>
            </w:tcBorders>
            <w:shd w:val="clear" w:color="auto" w:fill="auto"/>
            <w:vAlign w:val="center"/>
            <w:hideMark/>
          </w:tcPr>
          <w:p w14:paraId="6B80CCD1"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5,8</w:t>
            </w:r>
          </w:p>
        </w:tc>
        <w:tc>
          <w:tcPr>
            <w:tcW w:w="721" w:type="dxa"/>
            <w:tcBorders>
              <w:top w:val="nil"/>
              <w:left w:val="nil"/>
              <w:bottom w:val="single" w:sz="4" w:space="0" w:color="auto"/>
              <w:right w:val="single" w:sz="4" w:space="0" w:color="auto"/>
            </w:tcBorders>
            <w:shd w:val="clear" w:color="auto" w:fill="auto"/>
            <w:vAlign w:val="center"/>
            <w:hideMark/>
          </w:tcPr>
          <w:p w14:paraId="473E64FD"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16,1</w:t>
            </w:r>
          </w:p>
        </w:tc>
        <w:tc>
          <w:tcPr>
            <w:tcW w:w="698" w:type="dxa"/>
            <w:tcBorders>
              <w:top w:val="nil"/>
              <w:left w:val="nil"/>
              <w:bottom w:val="single" w:sz="4" w:space="0" w:color="auto"/>
              <w:right w:val="single" w:sz="4" w:space="0" w:color="auto"/>
            </w:tcBorders>
            <w:shd w:val="clear" w:color="auto" w:fill="auto"/>
            <w:vAlign w:val="center"/>
            <w:hideMark/>
          </w:tcPr>
          <w:p w14:paraId="3FB50983"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6,6</w:t>
            </w:r>
          </w:p>
        </w:tc>
        <w:tc>
          <w:tcPr>
            <w:tcW w:w="765" w:type="dxa"/>
            <w:tcBorders>
              <w:top w:val="nil"/>
              <w:left w:val="nil"/>
              <w:bottom w:val="single" w:sz="4" w:space="0" w:color="auto"/>
              <w:right w:val="single" w:sz="4" w:space="0" w:color="auto"/>
            </w:tcBorders>
            <w:shd w:val="clear" w:color="auto" w:fill="auto"/>
            <w:vAlign w:val="center"/>
            <w:hideMark/>
          </w:tcPr>
          <w:p w14:paraId="1F3ACAFF"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28,5</w:t>
            </w:r>
          </w:p>
        </w:tc>
        <w:tc>
          <w:tcPr>
            <w:tcW w:w="970" w:type="dxa"/>
            <w:tcBorders>
              <w:top w:val="nil"/>
              <w:left w:val="nil"/>
              <w:bottom w:val="single" w:sz="4" w:space="0" w:color="auto"/>
              <w:right w:val="single" w:sz="4" w:space="0" w:color="auto"/>
            </w:tcBorders>
            <w:shd w:val="clear" w:color="auto" w:fill="auto"/>
            <w:vAlign w:val="center"/>
            <w:hideMark/>
          </w:tcPr>
          <w:p w14:paraId="2D8A5B66"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59,5</w:t>
            </w:r>
          </w:p>
        </w:tc>
        <w:tc>
          <w:tcPr>
            <w:tcW w:w="602" w:type="dxa"/>
            <w:tcBorders>
              <w:top w:val="nil"/>
              <w:left w:val="nil"/>
              <w:bottom w:val="single" w:sz="4" w:space="0" w:color="auto"/>
              <w:right w:val="single" w:sz="4" w:space="0" w:color="auto"/>
            </w:tcBorders>
            <w:shd w:val="clear" w:color="auto" w:fill="auto"/>
            <w:vAlign w:val="center"/>
            <w:hideMark/>
          </w:tcPr>
          <w:p w14:paraId="2FE12BD3"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13,3</w:t>
            </w:r>
          </w:p>
        </w:tc>
        <w:tc>
          <w:tcPr>
            <w:tcW w:w="697" w:type="dxa"/>
            <w:tcBorders>
              <w:top w:val="nil"/>
              <w:left w:val="nil"/>
              <w:bottom w:val="single" w:sz="4" w:space="0" w:color="auto"/>
              <w:right w:val="single" w:sz="4" w:space="0" w:color="auto"/>
            </w:tcBorders>
            <w:shd w:val="clear" w:color="auto" w:fill="auto"/>
            <w:vAlign w:val="center"/>
            <w:hideMark/>
          </w:tcPr>
          <w:p w14:paraId="6C5B1A56"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-1,5</w:t>
            </w:r>
          </w:p>
        </w:tc>
        <w:tc>
          <w:tcPr>
            <w:tcW w:w="869" w:type="dxa"/>
            <w:tcBorders>
              <w:top w:val="nil"/>
              <w:left w:val="nil"/>
              <w:bottom w:val="single" w:sz="4" w:space="0" w:color="auto"/>
              <w:right w:val="single" w:sz="4" w:space="0" w:color="auto"/>
            </w:tcBorders>
            <w:shd w:val="clear" w:color="auto" w:fill="auto"/>
            <w:vAlign w:val="center"/>
            <w:hideMark/>
          </w:tcPr>
          <w:p w14:paraId="7E0E4987"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88,1</w:t>
            </w:r>
          </w:p>
        </w:tc>
      </w:tr>
      <w:tr w:rsidR="00F00781" w:rsidRPr="00F00781" w14:paraId="5E019FD6" w14:textId="77777777" w:rsidTr="00E01BBF">
        <w:trPr>
          <w:trHeight w:val="196"/>
        </w:trPr>
        <w:tc>
          <w:tcPr>
            <w:tcW w:w="632" w:type="dxa"/>
            <w:tcBorders>
              <w:top w:val="nil"/>
              <w:left w:val="single" w:sz="4" w:space="0" w:color="auto"/>
              <w:bottom w:val="single" w:sz="4" w:space="0" w:color="auto"/>
              <w:right w:val="single" w:sz="4" w:space="0" w:color="auto"/>
            </w:tcBorders>
            <w:shd w:val="clear" w:color="auto" w:fill="auto"/>
            <w:vAlign w:val="center"/>
            <w:hideMark/>
          </w:tcPr>
          <w:p w14:paraId="607D08D7" w14:textId="77777777" w:rsidR="00F00781" w:rsidRPr="00F00781" w:rsidRDefault="00F00781" w:rsidP="00F00781">
            <w:pPr>
              <w:rPr>
                <w:rFonts w:ascii="Arial Narrow" w:hAnsi="Arial Narrow" w:cs="Calibri"/>
                <w:sz w:val="14"/>
                <w:szCs w:val="14"/>
              </w:rPr>
            </w:pPr>
            <w:r w:rsidRPr="00F00781">
              <w:rPr>
                <w:rFonts w:ascii="Arial Narrow" w:hAnsi="Arial Narrow" w:cs="Calibri"/>
                <w:sz w:val="14"/>
                <w:szCs w:val="14"/>
              </w:rPr>
              <w:t xml:space="preserve"> 04.2/1</w:t>
            </w:r>
          </w:p>
        </w:tc>
        <w:tc>
          <w:tcPr>
            <w:tcW w:w="1671" w:type="dxa"/>
            <w:tcBorders>
              <w:top w:val="nil"/>
              <w:left w:val="nil"/>
              <w:bottom w:val="single" w:sz="4" w:space="0" w:color="auto"/>
              <w:right w:val="single" w:sz="4" w:space="0" w:color="auto"/>
            </w:tcBorders>
            <w:shd w:val="clear" w:color="auto" w:fill="auto"/>
            <w:vAlign w:val="center"/>
            <w:hideMark/>
          </w:tcPr>
          <w:p w14:paraId="37C90675" w14:textId="77777777" w:rsidR="00F00781" w:rsidRPr="00F00781" w:rsidRDefault="00F00781" w:rsidP="00F00781">
            <w:pPr>
              <w:ind w:firstLineChars="200" w:firstLine="280"/>
              <w:rPr>
                <w:rFonts w:ascii="Arial Narrow" w:hAnsi="Arial Narrow" w:cs="Calibri"/>
                <w:sz w:val="14"/>
                <w:szCs w:val="14"/>
              </w:rPr>
            </w:pPr>
            <w:r w:rsidRPr="00F00781">
              <w:rPr>
                <w:rFonts w:ascii="Arial Narrow" w:hAnsi="Arial Narrow" w:cs="Calibri"/>
                <w:sz w:val="14"/>
                <w:szCs w:val="14"/>
              </w:rPr>
              <w:t>Разсадници</w:t>
            </w:r>
          </w:p>
        </w:tc>
        <w:tc>
          <w:tcPr>
            <w:tcW w:w="773" w:type="dxa"/>
            <w:tcBorders>
              <w:top w:val="nil"/>
              <w:left w:val="nil"/>
              <w:bottom w:val="single" w:sz="4" w:space="0" w:color="auto"/>
              <w:right w:val="single" w:sz="4" w:space="0" w:color="auto"/>
            </w:tcBorders>
            <w:shd w:val="clear" w:color="auto" w:fill="auto"/>
            <w:vAlign w:val="center"/>
            <w:hideMark/>
          </w:tcPr>
          <w:p w14:paraId="360994FD"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16,8</w:t>
            </w:r>
          </w:p>
        </w:tc>
        <w:tc>
          <w:tcPr>
            <w:tcW w:w="582" w:type="dxa"/>
            <w:tcBorders>
              <w:top w:val="nil"/>
              <w:left w:val="nil"/>
              <w:bottom w:val="single" w:sz="4" w:space="0" w:color="auto"/>
              <w:right w:val="single" w:sz="4" w:space="0" w:color="auto"/>
            </w:tcBorders>
            <w:shd w:val="clear" w:color="auto" w:fill="auto"/>
            <w:vAlign w:val="center"/>
            <w:hideMark/>
          </w:tcPr>
          <w:p w14:paraId="28A589A0"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0,2</w:t>
            </w:r>
          </w:p>
        </w:tc>
        <w:tc>
          <w:tcPr>
            <w:tcW w:w="681" w:type="dxa"/>
            <w:tcBorders>
              <w:top w:val="nil"/>
              <w:left w:val="nil"/>
              <w:bottom w:val="single" w:sz="4" w:space="0" w:color="auto"/>
              <w:right w:val="single" w:sz="4" w:space="0" w:color="auto"/>
            </w:tcBorders>
            <w:shd w:val="clear" w:color="auto" w:fill="auto"/>
            <w:vAlign w:val="center"/>
            <w:hideMark/>
          </w:tcPr>
          <w:p w14:paraId="719D7F30"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7,4</w:t>
            </w:r>
          </w:p>
        </w:tc>
        <w:tc>
          <w:tcPr>
            <w:tcW w:w="789" w:type="dxa"/>
            <w:tcBorders>
              <w:top w:val="nil"/>
              <w:left w:val="nil"/>
              <w:bottom w:val="single" w:sz="4" w:space="0" w:color="auto"/>
              <w:right w:val="single" w:sz="4" w:space="0" w:color="auto"/>
            </w:tcBorders>
            <w:shd w:val="clear" w:color="auto" w:fill="auto"/>
            <w:vAlign w:val="center"/>
            <w:hideMark/>
          </w:tcPr>
          <w:p w14:paraId="422539E4" w14:textId="77777777" w:rsidR="00F00781" w:rsidRPr="00F00781" w:rsidRDefault="00F00781" w:rsidP="00F00781">
            <w:pPr>
              <w:rPr>
                <w:rFonts w:ascii="Arial Narrow" w:hAnsi="Arial Narrow" w:cs="Calibri"/>
                <w:sz w:val="14"/>
                <w:szCs w:val="14"/>
              </w:rPr>
            </w:pPr>
            <w:r w:rsidRPr="00F00781">
              <w:rPr>
                <w:rFonts w:ascii="Arial Narrow" w:hAnsi="Arial Narrow" w:cs="Calibri"/>
                <w:sz w:val="14"/>
                <w:szCs w:val="14"/>
              </w:rPr>
              <w:t> </w:t>
            </w:r>
          </w:p>
        </w:tc>
        <w:tc>
          <w:tcPr>
            <w:tcW w:w="693" w:type="dxa"/>
            <w:tcBorders>
              <w:top w:val="nil"/>
              <w:left w:val="nil"/>
              <w:bottom w:val="single" w:sz="4" w:space="0" w:color="auto"/>
              <w:right w:val="single" w:sz="4" w:space="0" w:color="auto"/>
            </w:tcBorders>
            <w:shd w:val="clear" w:color="auto" w:fill="auto"/>
            <w:vAlign w:val="center"/>
            <w:hideMark/>
          </w:tcPr>
          <w:p w14:paraId="292AB792" w14:textId="77777777" w:rsidR="00F00781" w:rsidRPr="00F00781" w:rsidRDefault="00F00781" w:rsidP="00F00781">
            <w:pPr>
              <w:rPr>
                <w:rFonts w:ascii="Arial Narrow" w:hAnsi="Arial Narrow" w:cs="Calibri"/>
                <w:sz w:val="14"/>
                <w:szCs w:val="14"/>
              </w:rPr>
            </w:pPr>
            <w:r w:rsidRPr="00F00781">
              <w:rPr>
                <w:rFonts w:ascii="Arial Narrow" w:hAnsi="Arial Narrow" w:cs="Calibri"/>
                <w:sz w:val="14"/>
                <w:szCs w:val="14"/>
              </w:rPr>
              <w:t> </w:t>
            </w:r>
          </w:p>
        </w:tc>
        <w:tc>
          <w:tcPr>
            <w:tcW w:w="537" w:type="dxa"/>
            <w:tcBorders>
              <w:top w:val="nil"/>
              <w:left w:val="nil"/>
              <w:bottom w:val="single" w:sz="4" w:space="0" w:color="auto"/>
              <w:right w:val="single" w:sz="4" w:space="0" w:color="auto"/>
            </w:tcBorders>
            <w:shd w:val="clear" w:color="auto" w:fill="auto"/>
            <w:vAlign w:val="center"/>
            <w:hideMark/>
          </w:tcPr>
          <w:p w14:paraId="66D12A69"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1,5</w:t>
            </w:r>
          </w:p>
        </w:tc>
        <w:tc>
          <w:tcPr>
            <w:tcW w:w="1143" w:type="dxa"/>
            <w:tcBorders>
              <w:top w:val="nil"/>
              <w:left w:val="nil"/>
              <w:bottom w:val="single" w:sz="4" w:space="0" w:color="auto"/>
              <w:right w:val="single" w:sz="4" w:space="0" w:color="auto"/>
            </w:tcBorders>
            <w:shd w:val="clear" w:color="auto" w:fill="auto"/>
            <w:vAlign w:val="center"/>
            <w:hideMark/>
          </w:tcPr>
          <w:p w14:paraId="0154FE33" w14:textId="77777777" w:rsidR="00F00781" w:rsidRPr="00F00781" w:rsidRDefault="00F00781" w:rsidP="00F00781">
            <w:pPr>
              <w:rPr>
                <w:rFonts w:ascii="Arial Narrow" w:hAnsi="Arial Narrow" w:cs="Calibri"/>
                <w:sz w:val="14"/>
                <w:szCs w:val="14"/>
              </w:rPr>
            </w:pPr>
            <w:r w:rsidRPr="00F00781">
              <w:rPr>
                <w:rFonts w:ascii="Arial Narrow" w:hAnsi="Arial Narrow" w:cs="Calibri"/>
                <w:sz w:val="14"/>
                <w:szCs w:val="14"/>
              </w:rPr>
              <w:t> </w:t>
            </w:r>
          </w:p>
        </w:tc>
        <w:tc>
          <w:tcPr>
            <w:tcW w:w="1200" w:type="dxa"/>
            <w:tcBorders>
              <w:top w:val="nil"/>
              <w:left w:val="nil"/>
              <w:bottom w:val="single" w:sz="4" w:space="0" w:color="auto"/>
              <w:right w:val="single" w:sz="4" w:space="0" w:color="auto"/>
            </w:tcBorders>
            <w:shd w:val="clear" w:color="auto" w:fill="auto"/>
            <w:vAlign w:val="center"/>
            <w:hideMark/>
          </w:tcPr>
          <w:p w14:paraId="34A8AE43"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0,3</w:t>
            </w:r>
          </w:p>
        </w:tc>
        <w:tc>
          <w:tcPr>
            <w:tcW w:w="721" w:type="dxa"/>
            <w:tcBorders>
              <w:top w:val="nil"/>
              <w:left w:val="nil"/>
              <w:bottom w:val="single" w:sz="4" w:space="0" w:color="auto"/>
              <w:right w:val="single" w:sz="4" w:space="0" w:color="auto"/>
            </w:tcBorders>
            <w:shd w:val="clear" w:color="auto" w:fill="auto"/>
            <w:vAlign w:val="center"/>
            <w:hideMark/>
          </w:tcPr>
          <w:p w14:paraId="463221F9"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5,8</w:t>
            </w:r>
          </w:p>
        </w:tc>
        <w:tc>
          <w:tcPr>
            <w:tcW w:w="721" w:type="dxa"/>
            <w:tcBorders>
              <w:top w:val="nil"/>
              <w:left w:val="nil"/>
              <w:bottom w:val="single" w:sz="4" w:space="0" w:color="auto"/>
              <w:right w:val="single" w:sz="4" w:space="0" w:color="auto"/>
            </w:tcBorders>
            <w:shd w:val="clear" w:color="auto" w:fill="auto"/>
            <w:vAlign w:val="center"/>
            <w:hideMark/>
          </w:tcPr>
          <w:p w14:paraId="0C4E2670"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7,1</w:t>
            </w:r>
          </w:p>
        </w:tc>
        <w:tc>
          <w:tcPr>
            <w:tcW w:w="698" w:type="dxa"/>
            <w:tcBorders>
              <w:top w:val="nil"/>
              <w:left w:val="nil"/>
              <w:bottom w:val="single" w:sz="4" w:space="0" w:color="auto"/>
              <w:right w:val="single" w:sz="4" w:space="0" w:color="auto"/>
            </w:tcBorders>
            <w:shd w:val="clear" w:color="auto" w:fill="auto"/>
            <w:vAlign w:val="center"/>
            <w:hideMark/>
          </w:tcPr>
          <w:p w14:paraId="2D2551BC"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5,2</w:t>
            </w:r>
          </w:p>
        </w:tc>
        <w:tc>
          <w:tcPr>
            <w:tcW w:w="765" w:type="dxa"/>
            <w:tcBorders>
              <w:top w:val="nil"/>
              <w:left w:val="nil"/>
              <w:bottom w:val="single" w:sz="4" w:space="0" w:color="auto"/>
              <w:right w:val="single" w:sz="4" w:space="0" w:color="auto"/>
            </w:tcBorders>
            <w:shd w:val="clear" w:color="auto" w:fill="auto"/>
            <w:vAlign w:val="center"/>
            <w:hideMark/>
          </w:tcPr>
          <w:p w14:paraId="0BBD51DF"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18,1</w:t>
            </w:r>
          </w:p>
        </w:tc>
        <w:tc>
          <w:tcPr>
            <w:tcW w:w="970" w:type="dxa"/>
            <w:tcBorders>
              <w:top w:val="nil"/>
              <w:left w:val="nil"/>
              <w:bottom w:val="single" w:sz="4" w:space="0" w:color="auto"/>
              <w:right w:val="single" w:sz="4" w:space="0" w:color="auto"/>
            </w:tcBorders>
            <w:shd w:val="clear" w:color="auto" w:fill="auto"/>
            <w:vAlign w:val="center"/>
            <w:hideMark/>
          </w:tcPr>
          <w:p w14:paraId="78FA90CE" w14:textId="77777777" w:rsidR="00F00781" w:rsidRPr="00F00781" w:rsidRDefault="00F00781" w:rsidP="00F00781">
            <w:pPr>
              <w:rPr>
                <w:rFonts w:ascii="Arial Narrow" w:hAnsi="Arial Narrow" w:cs="Calibri"/>
                <w:sz w:val="14"/>
                <w:szCs w:val="14"/>
              </w:rPr>
            </w:pPr>
            <w:r w:rsidRPr="00F00781">
              <w:rPr>
                <w:rFonts w:ascii="Arial Narrow" w:hAnsi="Arial Narrow" w:cs="Calibri"/>
                <w:sz w:val="14"/>
                <w:szCs w:val="14"/>
              </w:rPr>
              <w:t> </w:t>
            </w:r>
          </w:p>
        </w:tc>
        <w:tc>
          <w:tcPr>
            <w:tcW w:w="602" w:type="dxa"/>
            <w:tcBorders>
              <w:top w:val="nil"/>
              <w:left w:val="nil"/>
              <w:bottom w:val="single" w:sz="4" w:space="0" w:color="auto"/>
              <w:right w:val="single" w:sz="4" w:space="0" w:color="auto"/>
            </w:tcBorders>
            <w:shd w:val="clear" w:color="auto" w:fill="auto"/>
            <w:vAlign w:val="center"/>
            <w:hideMark/>
          </w:tcPr>
          <w:p w14:paraId="3F9222E6"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4,1</w:t>
            </w:r>
          </w:p>
        </w:tc>
        <w:tc>
          <w:tcPr>
            <w:tcW w:w="697" w:type="dxa"/>
            <w:tcBorders>
              <w:top w:val="nil"/>
              <w:left w:val="nil"/>
              <w:bottom w:val="single" w:sz="4" w:space="0" w:color="auto"/>
              <w:right w:val="single" w:sz="4" w:space="0" w:color="auto"/>
            </w:tcBorders>
            <w:shd w:val="clear" w:color="auto" w:fill="auto"/>
            <w:vAlign w:val="center"/>
            <w:hideMark/>
          </w:tcPr>
          <w:p w14:paraId="6451B954"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-3,3</w:t>
            </w:r>
          </w:p>
        </w:tc>
        <w:tc>
          <w:tcPr>
            <w:tcW w:w="869" w:type="dxa"/>
            <w:tcBorders>
              <w:top w:val="nil"/>
              <w:left w:val="nil"/>
              <w:bottom w:val="single" w:sz="4" w:space="0" w:color="auto"/>
              <w:right w:val="single" w:sz="4" w:space="0" w:color="auto"/>
            </w:tcBorders>
            <w:shd w:val="clear" w:color="auto" w:fill="auto"/>
            <w:vAlign w:val="center"/>
            <w:hideMark/>
          </w:tcPr>
          <w:p w14:paraId="2E3FBB4F"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15,1</w:t>
            </w:r>
          </w:p>
        </w:tc>
      </w:tr>
      <w:tr w:rsidR="00F00781" w:rsidRPr="00F00781" w14:paraId="1DA8C0C6" w14:textId="77777777" w:rsidTr="00E01BBF">
        <w:trPr>
          <w:trHeight w:val="192"/>
        </w:trPr>
        <w:tc>
          <w:tcPr>
            <w:tcW w:w="632" w:type="dxa"/>
            <w:tcBorders>
              <w:top w:val="nil"/>
              <w:left w:val="single" w:sz="4" w:space="0" w:color="auto"/>
              <w:bottom w:val="single" w:sz="4" w:space="0" w:color="auto"/>
              <w:right w:val="single" w:sz="4" w:space="0" w:color="auto"/>
            </w:tcBorders>
            <w:shd w:val="clear" w:color="auto" w:fill="auto"/>
            <w:vAlign w:val="center"/>
            <w:hideMark/>
          </w:tcPr>
          <w:p w14:paraId="7F5DC249" w14:textId="77777777" w:rsidR="00F00781" w:rsidRPr="00F00781" w:rsidRDefault="00F00781" w:rsidP="00F00781">
            <w:pPr>
              <w:rPr>
                <w:rFonts w:ascii="Arial Narrow" w:hAnsi="Arial Narrow" w:cs="Calibri"/>
                <w:sz w:val="14"/>
                <w:szCs w:val="14"/>
              </w:rPr>
            </w:pPr>
            <w:r w:rsidRPr="00F00781">
              <w:rPr>
                <w:rFonts w:ascii="Arial Narrow" w:hAnsi="Arial Narrow" w:cs="Calibri"/>
                <w:sz w:val="14"/>
                <w:szCs w:val="14"/>
              </w:rPr>
              <w:t xml:space="preserve"> 04.2/2</w:t>
            </w:r>
          </w:p>
        </w:tc>
        <w:tc>
          <w:tcPr>
            <w:tcW w:w="1671" w:type="dxa"/>
            <w:tcBorders>
              <w:top w:val="nil"/>
              <w:left w:val="nil"/>
              <w:bottom w:val="single" w:sz="4" w:space="0" w:color="auto"/>
              <w:right w:val="single" w:sz="4" w:space="0" w:color="auto"/>
            </w:tcBorders>
            <w:shd w:val="clear" w:color="auto" w:fill="auto"/>
            <w:vAlign w:val="center"/>
            <w:hideMark/>
          </w:tcPr>
          <w:p w14:paraId="4AF359CA" w14:textId="77777777" w:rsidR="00F00781" w:rsidRPr="00F00781" w:rsidRDefault="00F00781" w:rsidP="00F00781">
            <w:pPr>
              <w:ind w:firstLineChars="200" w:firstLine="280"/>
              <w:rPr>
                <w:rFonts w:ascii="Arial Narrow" w:hAnsi="Arial Narrow" w:cs="Calibri"/>
                <w:sz w:val="14"/>
                <w:szCs w:val="14"/>
              </w:rPr>
            </w:pPr>
            <w:r w:rsidRPr="00F00781">
              <w:rPr>
                <w:rFonts w:ascii="Arial Narrow" w:hAnsi="Arial Narrow" w:cs="Calibri"/>
                <w:sz w:val="14"/>
                <w:szCs w:val="14"/>
              </w:rPr>
              <w:t>Декоративни растения, вкл.коледни дръвчета</w:t>
            </w:r>
          </w:p>
        </w:tc>
        <w:tc>
          <w:tcPr>
            <w:tcW w:w="773" w:type="dxa"/>
            <w:tcBorders>
              <w:top w:val="nil"/>
              <w:left w:val="nil"/>
              <w:bottom w:val="single" w:sz="4" w:space="0" w:color="auto"/>
              <w:right w:val="single" w:sz="4" w:space="0" w:color="auto"/>
            </w:tcBorders>
            <w:shd w:val="clear" w:color="auto" w:fill="auto"/>
            <w:vAlign w:val="center"/>
            <w:hideMark/>
          </w:tcPr>
          <w:p w14:paraId="74C86A2E"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13,5</w:t>
            </w:r>
          </w:p>
        </w:tc>
        <w:tc>
          <w:tcPr>
            <w:tcW w:w="582" w:type="dxa"/>
            <w:tcBorders>
              <w:top w:val="nil"/>
              <w:left w:val="nil"/>
              <w:bottom w:val="single" w:sz="4" w:space="0" w:color="auto"/>
              <w:right w:val="single" w:sz="4" w:space="0" w:color="auto"/>
            </w:tcBorders>
            <w:shd w:val="clear" w:color="auto" w:fill="auto"/>
            <w:vAlign w:val="center"/>
            <w:hideMark/>
          </w:tcPr>
          <w:p w14:paraId="479E51B5" w14:textId="77777777" w:rsidR="00F00781" w:rsidRPr="00F00781" w:rsidRDefault="00F00781" w:rsidP="00F00781">
            <w:pPr>
              <w:rPr>
                <w:rFonts w:ascii="Arial Narrow" w:hAnsi="Arial Narrow" w:cs="Calibri"/>
                <w:sz w:val="14"/>
                <w:szCs w:val="14"/>
              </w:rPr>
            </w:pPr>
            <w:r w:rsidRPr="00F00781">
              <w:rPr>
                <w:rFonts w:ascii="Arial Narrow" w:hAnsi="Arial Narrow" w:cs="Calibri"/>
                <w:sz w:val="14"/>
                <w:szCs w:val="14"/>
              </w:rPr>
              <w:t> </w:t>
            </w:r>
          </w:p>
        </w:tc>
        <w:tc>
          <w:tcPr>
            <w:tcW w:w="681" w:type="dxa"/>
            <w:tcBorders>
              <w:top w:val="nil"/>
              <w:left w:val="nil"/>
              <w:bottom w:val="single" w:sz="4" w:space="0" w:color="auto"/>
              <w:right w:val="single" w:sz="4" w:space="0" w:color="auto"/>
            </w:tcBorders>
            <w:shd w:val="clear" w:color="auto" w:fill="auto"/>
            <w:vAlign w:val="center"/>
            <w:hideMark/>
          </w:tcPr>
          <w:p w14:paraId="1FB17548"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7,3</w:t>
            </w:r>
          </w:p>
        </w:tc>
        <w:tc>
          <w:tcPr>
            <w:tcW w:w="789" w:type="dxa"/>
            <w:tcBorders>
              <w:top w:val="nil"/>
              <w:left w:val="nil"/>
              <w:bottom w:val="single" w:sz="4" w:space="0" w:color="auto"/>
              <w:right w:val="single" w:sz="4" w:space="0" w:color="auto"/>
            </w:tcBorders>
            <w:shd w:val="clear" w:color="auto" w:fill="auto"/>
            <w:vAlign w:val="center"/>
            <w:hideMark/>
          </w:tcPr>
          <w:p w14:paraId="75ED0D8A" w14:textId="77777777" w:rsidR="00F00781" w:rsidRPr="00F00781" w:rsidRDefault="00F00781" w:rsidP="00F00781">
            <w:pPr>
              <w:rPr>
                <w:rFonts w:ascii="Arial Narrow" w:hAnsi="Arial Narrow" w:cs="Calibri"/>
                <w:sz w:val="14"/>
                <w:szCs w:val="14"/>
              </w:rPr>
            </w:pPr>
            <w:r w:rsidRPr="00F00781">
              <w:rPr>
                <w:rFonts w:ascii="Arial Narrow" w:hAnsi="Arial Narrow" w:cs="Calibri"/>
                <w:sz w:val="14"/>
                <w:szCs w:val="14"/>
              </w:rPr>
              <w:t> </w:t>
            </w:r>
          </w:p>
        </w:tc>
        <w:tc>
          <w:tcPr>
            <w:tcW w:w="693" w:type="dxa"/>
            <w:tcBorders>
              <w:top w:val="nil"/>
              <w:left w:val="nil"/>
              <w:bottom w:val="single" w:sz="4" w:space="0" w:color="auto"/>
              <w:right w:val="single" w:sz="4" w:space="0" w:color="auto"/>
            </w:tcBorders>
            <w:shd w:val="clear" w:color="auto" w:fill="auto"/>
            <w:vAlign w:val="center"/>
            <w:hideMark/>
          </w:tcPr>
          <w:p w14:paraId="222D64CA"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1,1</w:t>
            </w:r>
          </w:p>
        </w:tc>
        <w:tc>
          <w:tcPr>
            <w:tcW w:w="537" w:type="dxa"/>
            <w:tcBorders>
              <w:top w:val="nil"/>
              <w:left w:val="nil"/>
              <w:bottom w:val="single" w:sz="4" w:space="0" w:color="auto"/>
              <w:right w:val="single" w:sz="4" w:space="0" w:color="auto"/>
            </w:tcBorders>
            <w:shd w:val="clear" w:color="auto" w:fill="auto"/>
            <w:vAlign w:val="center"/>
            <w:hideMark/>
          </w:tcPr>
          <w:p w14:paraId="42806463" w14:textId="77777777" w:rsidR="00F00781" w:rsidRPr="00F00781" w:rsidRDefault="00F00781" w:rsidP="00F00781">
            <w:pPr>
              <w:rPr>
                <w:rFonts w:ascii="Arial Narrow" w:hAnsi="Arial Narrow" w:cs="Calibri"/>
                <w:sz w:val="14"/>
                <w:szCs w:val="14"/>
              </w:rPr>
            </w:pPr>
            <w:r w:rsidRPr="00F00781">
              <w:rPr>
                <w:rFonts w:ascii="Arial Narrow" w:hAnsi="Arial Narrow" w:cs="Calibri"/>
                <w:sz w:val="14"/>
                <w:szCs w:val="14"/>
              </w:rPr>
              <w:t> </w:t>
            </w:r>
          </w:p>
        </w:tc>
        <w:tc>
          <w:tcPr>
            <w:tcW w:w="1143" w:type="dxa"/>
            <w:tcBorders>
              <w:top w:val="nil"/>
              <w:left w:val="nil"/>
              <w:bottom w:val="single" w:sz="4" w:space="0" w:color="auto"/>
              <w:right w:val="single" w:sz="4" w:space="0" w:color="auto"/>
            </w:tcBorders>
            <w:shd w:val="clear" w:color="auto" w:fill="auto"/>
            <w:vAlign w:val="center"/>
            <w:hideMark/>
          </w:tcPr>
          <w:p w14:paraId="5297FCFC" w14:textId="77777777" w:rsidR="00F00781" w:rsidRPr="00F00781" w:rsidRDefault="00F00781" w:rsidP="00F00781">
            <w:pPr>
              <w:rPr>
                <w:rFonts w:ascii="Arial Narrow" w:hAnsi="Arial Narrow" w:cs="Calibri"/>
                <w:sz w:val="14"/>
                <w:szCs w:val="14"/>
              </w:rPr>
            </w:pPr>
            <w:r w:rsidRPr="00F00781">
              <w:rPr>
                <w:rFonts w:ascii="Arial Narrow" w:hAnsi="Arial Narrow" w:cs="Calibri"/>
                <w:sz w:val="14"/>
                <w:szCs w:val="14"/>
              </w:rPr>
              <w:t> </w:t>
            </w:r>
          </w:p>
        </w:tc>
        <w:tc>
          <w:tcPr>
            <w:tcW w:w="1200" w:type="dxa"/>
            <w:tcBorders>
              <w:top w:val="nil"/>
              <w:left w:val="nil"/>
              <w:bottom w:val="single" w:sz="4" w:space="0" w:color="auto"/>
              <w:right w:val="single" w:sz="4" w:space="0" w:color="auto"/>
            </w:tcBorders>
            <w:shd w:val="clear" w:color="auto" w:fill="auto"/>
            <w:vAlign w:val="center"/>
            <w:hideMark/>
          </w:tcPr>
          <w:p w14:paraId="2BD13347" w14:textId="77777777" w:rsidR="00F00781" w:rsidRPr="00F00781" w:rsidRDefault="00F00781" w:rsidP="00F00781">
            <w:pPr>
              <w:rPr>
                <w:rFonts w:ascii="Arial Narrow" w:hAnsi="Arial Narrow" w:cs="Calibri"/>
                <w:sz w:val="14"/>
                <w:szCs w:val="14"/>
              </w:rPr>
            </w:pPr>
            <w:r w:rsidRPr="00F00781">
              <w:rPr>
                <w:rFonts w:ascii="Arial Narrow" w:hAnsi="Arial Narrow" w:cs="Calibri"/>
                <w:sz w:val="14"/>
                <w:szCs w:val="14"/>
              </w:rPr>
              <w:t> </w:t>
            </w:r>
          </w:p>
        </w:tc>
        <w:tc>
          <w:tcPr>
            <w:tcW w:w="721" w:type="dxa"/>
            <w:tcBorders>
              <w:top w:val="nil"/>
              <w:left w:val="nil"/>
              <w:bottom w:val="single" w:sz="4" w:space="0" w:color="auto"/>
              <w:right w:val="single" w:sz="4" w:space="0" w:color="auto"/>
            </w:tcBorders>
            <w:shd w:val="clear" w:color="auto" w:fill="auto"/>
            <w:vAlign w:val="center"/>
            <w:hideMark/>
          </w:tcPr>
          <w:p w14:paraId="13A8FB92" w14:textId="77777777" w:rsidR="00F00781" w:rsidRPr="00F00781" w:rsidRDefault="00F00781" w:rsidP="00F00781">
            <w:pPr>
              <w:rPr>
                <w:rFonts w:ascii="Arial Narrow" w:hAnsi="Arial Narrow" w:cs="Calibri"/>
                <w:sz w:val="14"/>
                <w:szCs w:val="14"/>
              </w:rPr>
            </w:pPr>
            <w:r w:rsidRPr="00F00781">
              <w:rPr>
                <w:rFonts w:ascii="Arial Narrow" w:hAnsi="Arial Narrow" w:cs="Calibri"/>
                <w:sz w:val="14"/>
                <w:szCs w:val="14"/>
              </w:rPr>
              <w:t> </w:t>
            </w:r>
          </w:p>
        </w:tc>
        <w:tc>
          <w:tcPr>
            <w:tcW w:w="721" w:type="dxa"/>
            <w:tcBorders>
              <w:top w:val="nil"/>
              <w:left w:val="nil"/>
              <w:bottom w:val="single" w:sz="4" w:space="0" w:color="auto"/>
              <w:right w:val="single" w:sz="4" w:space="0" w:color="auto"/>
            </w:tcBorders>
            <w:shd w:val="clear" w:color="auto" w:fill="auto"/>
            <w:vAlign w:val="center"/>
            <w:hideMark/>
          </w:tcPr>
          <w:p w14:paraId="54C7BC2C"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9,0</w:t>
            </w:r>
          </w:p>
        </w:tc>
        <w:tc>
          <w:tcPr>
            <w:tcW w:w="698" w:type="dxa"/>
            <w:tcBorders>
              <w:top w:val="nil"/>
              <w:left w:val="nil"/>
              <w:bottom w:val="single" w:sz="4" w:space="0" w:color="auto"/>
              <w:right w:val="single" w:sz="4" w:space="0" w:color="auto"/>
            </w:tcBorders>
            <w:shd w:val="clear" w:color="auto" w:fill="auto"/>
            <w:vAlign w:val="center"/>
            <w:hideMark/>
          </w:tcPr>
          <w:p w14:paraId="0D8ABD4D"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1,4</w:t>
            </w:r>
          </w:p>
        </w:tc>
        <w:tc>
          <w:tcPr>
            <w:tcW w:w="765" w:type="dxa"/>
            <w:tcBorders>
              <w:top w:val="nil"/>
              <w:left w:val="nil"/>
              <w:bottom w:val="single" w:sz="4" w:space="0" w:color="auto"/>
              <w:right w:val="single" w:sz="4" w:space="0" w:color="auto"/>
            </w:tcBorders>
            <w:shd w:val="clear" w:color="auto" w:fill="auto"/>
            <w:vAlign w:val="center"/>
            <w:hideMark/>
          </w:tcPr>
          <w:p w14:paraId="1E8CFA3B"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10,5</w:t>
            </w:r>
          </w:p>
        </w:tc>
        <w:tc>
          <w:tcPr>
            <w:tcW w:w="970" w:type="dxa"/>
            <w:tcBorders>
              <w:top w:val="nil"/>
              <w:left w:val="nil"/>
              <w:bottom w:val="single" w:sz="4" w:space="0" w:color="auto"/>
              <w:right w:val="single" w:sz="4" w:space="0" w:color="auto"/>
            </w:tcBorders>
            <w:shd w:val="clear" w:color="auto" w:fill="auto"/>
            <w:vAlign w:val="center"/>
            <w:hideMark/>
          </w:tcPr>
          <w:p w14:paraId="2168794F" w14:textId="77777777" w:rsidR="00F00781" w:rsidRPr="00F00781" w:rsidRDefault="00F00781" w:rsidP="00F00781">
            <w:pPr>
              <w:rPr>
                <w:rFonts w:ascii="Arial Narrow" w:hAnsi="Arial Narrow" w:cs="Calibri"/>
                <w:sz w:val="14"/>
                <w:szCs w:val="14"/>
              </w:rPr>
            </w:pPr>
            <w:r w:rsidRPr="00F00781">
              <w:rPr>
                <w:rFonts w:ascii="Arial Narrow" w:hAnsi="Arial Narrow" w:cs="Calibri"/>
                <w:sz w:val="14"/>
                <w:szCs w:val="14"/>
              </w:rPr>
              <w:t> </w:t>
            </w:r>
          </w:p>
        </w:tc>
        <w:tc>
          <w:tcPr>
            <w:tcW w:w="602" w:type="dxa"/>
            <w:tcBorders>
              <w:top w:val="nil"/>
              <w:left w:val="nil"/>
              <w:bottom w:val="single" w:sz="4" w:space="0" w:color="auto"/>
              <w:right w:val="single" w:sz="4" w:space="0" w:color="auto"/>
            </w:tcBorders>
            <w:shd w:val="clear" w:color="auto" w:fill="auto"/>
            <w:vAlign w:val="center"/>
            <w:hideMark/>
          </w:tcPr>
          <w:p w14:paraId="4002974D"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9,2</w:t>
            </w:r>
          </w:p>
        </w:tc>
        <w:tc>
          <w:tcPr>
            <w:tcW w:w="697" w:type="dxa"/>
            <w:tcBorders>
              <w:top w:val="nil"/>
              <w:left w:val="nil"/>
              <w:bottom w:val="single" w:sz="4" w:space="0" w:color="auto"/>
              <w:right w:val="single" w:sz="4" w:space="0" w:color="auto"/>
            </w:tcBorders>
            <w:shd w:val="clear" w:color="auto" w:fill="auto"/>
            <w:vAlign w:val="center"/>
            <w:hideMark/>
          </w:tcPr>
          <w:p w14:paraId="3E734961"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1,8</w:t>
            </w:r>
          </w:p>
        </w:tc>
        <w:tc>
          <w:tcPr>
            <w:tcW w:w="869" w:type="dxa"/>
            <w:tcBorders>
              <w:top w:val="nil"/>
              <w:left w:val="nil"/>
              <w:bottom w:val="single" w:sz="4" w:space="0" w:color="auto"/>
              <w:right w:val="single" w:sz="4" w:space="0" w:color="auto"/>
            </w:tcBorders>
            <w:shd w:val="clear" w:color="auto" w:fill="auto"/>
            <w:vAlign w:val="center"/>
            <w:hideMark/>
          </w:tcPr>
          <w:p w14:paraId="67D2D0FF"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13,5</w:t>
            </w:r>
          </w:p>
        </w:tc>
      </w:tr>
      <w:tr w:rsidR="00F00781" w:rsidRPr="00F00781" w14:paraId="45F9D595" w14:textId="77777777" w:rsidTr="00E01BBF">
        <w:trPr>
          <w:trHeight w:val="196"/>
        </w:trPr>
        <w:tc>
          <w:tcPr>
            <w:tcW w:w="632" w:type="dxa"/>
            <w:tcBorders>
              <w:top w:val="nil"/>
              <w:left w:val="single" w:sz="4" w:space="0" w:color="auto"/>
              <w:bottom w:val="single" w:sz="4" w:space="0" w:color="auto"/>
              <w:right w:val="single" w:sz="4" w:space="0" w:color="auto"/>
            </w:tcBorders>
            <w:shd w:val="clear" w:color="auto" w:fill="auto"/>
            <w:vAlign w:val="center"/>
            <w:hideMark/>
          </w:tcPr>
          <w:p w14:paraId="6DF82240" w14:textId="77777777" w:rsidR="00F00781" w:rsidRPr="00F00781" w:rsidRDefault="00F00781" w:rsidP="00F00781">
            <w:pPr>
              <w:rPr>
                <w:rFonts w:ascii="Arial Narrow" w:hAnsi="Arial Narrow" w:cs="Calibri"/>
                <w:sz w:val="14"/>
                <w:szCs w:val="14"/>
              </w:rPr>
            </w:pPr>
            <w:r w:rsidRPr="00F00781">
              <w:rPr>
                <w:rFonts w:ascii="Arial Narrow" w:hAnsi="Arial Narrow" w:cs="Calibri"/>
                <w:sz w:val="14"/>
                <w:szCs w:val="14"/>
              </w:rPr>
              <w:t xml:space="preserve"> 04.2/3</w:t>
            </w:r>
          </w:p>
        </w:tc>
        <w:tc>
          <w:tcPr>
            <w:tcW w:w="1671" w:type="dxa"/>
            <w:tcBorders>
              <w:top w:val="nil"/>
              <w:left w:val="nil"/>
              <w:bottom w:val="single" w:sz="4" w:space="0" w:color="auto"/>
              <w:right w:val="single" w:sz="4" w:space="0" w:color="auto"/>
            </w:tcBorders>
            <w:shd w:val="clear" w:color="auto" w:fill="auto"/>
            <w:vAlign w:val="center"/>
            <w:hideMark/>
          </w:tcPr>
          <w:p w14:paraId="6346E589" w14:textId="77777777" w:rsidR="00F00781" w:rsidRPr="00F00781" w:rsidRDefault="00F00781" w:rsidP="00F00781">
            <w:pPr>
              <w:ind w:firstLineChars="200" w:firstLine="280"/>
              <w:rPr>
                <w:rFonts w:ascii="Arial Narrow" w:hAnsi="Arial Narrow" w:cs="Calibri"/>
                <w:sz w:val="14"/>
                <w:szCs w:val="14"/>
              </w:rPr>
            </w:pPr>
            <w:r w:rsidRPr="00F00781">
              <w:rPr>
                <w:rFonts w:ascii="Arial Narrow" w:hAnsi="Arial Narrow" w:cs="Calibri"/>
                <w:sz w:val="14"/>
                <w:szCs w:val="14"/>
              </w:rPr>
              <w:t>Създаване и отглеждане</w:t>
            </w:r>
          </w:p>
        </w:tc>
        <w:tc>
          <w:tcPr>
            <w:tcW w:w="773" w:type="dxa"/>
            <w:tcBorders>
              <w:top w:val="nil"/>
              <w:left w:val="nil"/>
              <w:bottom w:val="single" w:sz="4" w:space="0" w:color="auto"/>
              <w:right w:val="single" w:sz="4" w:space="0" w:color="auto"/>
            </w:tcBorders>
            <w:shd w:val="clear" w:color="auto" w:fill="auto"/>
            <w:vAlign w:val="center"/>
            <w:hideMark/>
          </w:tcPr>
          <w:p w14:paraId="31E0B560"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59,5</w:t>
            </w:r>
          </w:p>
        </w:tc>
        <w:tc>
          <w:tcPr>
            <w:tcW w:w="582" w:type="dxa"/>
            <w:tcBorders>
              <w:top w:val="nil"/>
              <w:left w:val="nil"/>
              <w:bottom w:val="single" w:sz="4" w:space="0" w:color="auto"/>
              <w:right w:val="single" w:sz="4" w:space="0" w:color="auto"/>
            </w:tcBorders>
            <w:shd w:val="clear" w:color="auto" w:fill="auto"/>
            <w:vAlign w:val="center"/>
            <w:hideMark/>
          </w:tcPr>
          <w:p w14:paraId="149B0057"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 </w:t>
            </w:r>
          </w:p>
        </w:tc>
        <w:tc>
          <w:tcPr>
            <w:tcW w:w="681" w:type="dxa"/>
            <w:tcBorders>
              <w:top w:val="nil"/>
              <w:left w:val="nil"/>
              <w:bottom w:val="single" w:sz="4" w:space="0" w:color="auto"/>
              <w:right w:val="single" w:sz="4" w:space="0" w:color="auto"/>
            </w:tcBorders>
            <w:shd w:val="clear" w:color="auto" w:fill="auto"/>
            <w:vAlign w:val="center"/>
            <w:hideMark/>
          </w:tcPr>
          <w:p w14:paraId="1968C2A1"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 </w:t>
            </w:r>
          </w:p>
        </w:tc>
        <w:tc>
          <w:tcPr>
            <w:tcW w:w="789" w:type="dxa"/>
            <w:tcBorders>
              <w:top w:val="nil"/>
              <w:left w:val="nil"/>
              <w:bottom w:val="single" w:sz="4" w:space="0" w:color="auto"/>
              <w:right w:val="single" w:sz="4" w:space="0" w:color="auto"/>
            </w:tcBorders>
            <w:shd w:val="clear" w:color="auto" w:fill="auto"/>
            <w:vAlign w:val="center"/>
            <w:hideMark/>
          </w:tcPr>
          <w:p w14:paraId="62FF56BB"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 </w:t>
            </w:r>
          </w:p>
        </w:tc>
        <w:tc>
          <w:tcPr>
            <w:tcW w:w="693" w:type="dxa"/>
            <w:tcBorders>
              <w:top w:val="nil"/>
              <w:left w:val="nil"/>
              <w:bottom w:val="single" w:sz="4" w:space="0" w:color="auto"/>
              <w:right w:val="single" w:sz="4" w:space="0" w:color="auto"/>
            </w:tcBorders>
            <w:shd w:val="clear" w:color="auto" w:fill="auto"/>
            <w:vAlign w:val="center"/>
            <w:hideMark/>
          </w:tcPr>
          <w:p w14:paraId="78AF1F45"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 </w:t>
            </w:r>
          </w:p>
        </w:tc>
        <w:tc>
          <w:tcPr>
            <w:tcW w:w="537" w:type="dxa"/>
            <w:tcBorders>
              <w:top w:val="nil"/>
              <w:left w:val="nil"/>
              <w:bottom w:val="single" w:sz="4" w:space="0" w:color="auto"/>
              <w:right w:val="single" w:sz="4" w:space="0" w:color="auto"/>
            </w:tcBorders>
            <w:shd w:val="clear" w:color="auto" w:fill="auto"/>
            <w:vAlign w:val="center"/>
            <w:hideMark/>
          </w:tcPr>
          <w:p w14:paraId="714F8403"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 </w:t>
            </w:r>
          </w:p>
        </w:tc>
        <w:tc>
          <w:tcPr>
            <w:tcW w:w="1143" w:type="dxa"/>
            <w:tcBorders>
              <w:top w:val="nil"/>
              <w:left w:val="nil"/>
              <w:bottom w:val="single" w:sz="4" w:space="0" w:color="auto"/>
              <w:right w:val="single" w:sz="4" w:space="0" w:color="auto"/>
            </w:tcBorders>
            <w:shd w:val="clear" w:color="auto" w:fill="auto"/>
            <w:vAlign w:val="center"/>
            <w:hideMark/>
          </w:tcPr>
          <w:p w14:paraId="1288614D"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 </w:t>
            </w:r>
          </w:p>
        </w:tc>
        <w:tc>
          <w:tcPr>
            <w:tcW w:w="1200" w:type="dxa"/>
            <w:tcBorders>
              <w:top w:val="nil"/>
              <w:left w:val="nil"/>
              <w:bottom w:val="single" w:sz="4" w:space="0" w:color="auto"/>
              <w:right w:val="single" w:sz="4" w:space="0" w:color="auto"/>
            </w:tcBorders>
            <w:shd w:val="clear" w:color="auto" w:fill="auto"/>
            <w:vAlign w:val="center"/>
            <w:hideMark/>
          </w:tcPr>
          <w:p w14:paraId="15098458"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 </w:t>
            </w:r>
          </w:p>
        </w:tc>
        <w:tc>
          <w:tcPr>
            <w:tcW w:w="721" w:type="dxa"/>
            <w:tcBorders>
              <w:top w:val="nil"/>
              <w:left w:val="nil"/>
              <w:bottom w:val="single" w:sz="4" w:space="0" w:color="auto"/>
              <w:right w:val="single" w:sz="4" w:space="0" w:color="auto"/>
            </w:tcBorders>
            <w:shd w:val="clear" w:color="auto" w:fill="auto"/>
            <w:vAlign w:val="center"/>
            <w:hideMark/>
          </w:tcPr>
          <w:p w14:paraId="2926CE61"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 </w:t>
            </w:r>
          </w:p>
        </w:tc>
        <w:tc>
          <w:tcPr>
            <w:tcW w:w="721" w:type="dxa"/>
            <w:tcBorders>
              <w:top w:val="nil"/>
              <w:left w:val="nil"/>
              <w:bottom w:val="single" w:sz="4" w:space="0" w:color="auto"/>
              <w:right w:val="single" w:sz="4" w:space="0" w:color="auto"/>
            </w:tcBorders>
            <w:shd w:val="clear" w:color="auto" w:fill="auto"/>
            <w:vAlign w:val="center"/>
            <w:hideMark/>
          </w:tcPr>
          <w:p w14:paraId="50C831BC"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 </w:t>
            </w:r>
          </w:p>
        </w:tc>
        <w:tc>
          <w:tcPr>
            <w:tcW w:w="698" w:type="dxa"/>
            <w:tcBorders>
              <w:top w:val="nil"/>
              <w:left w:val="nil"/>
              <w:bottom w:val="single" w:sz="4" w:space="0" w:color="auto"/>
              <w:right w:val="single" w:sz="4" w:space="0" w:color="auto"/>
            </w:tcBorders>
            <w:shd w:val="clear" w:color="auto" w:fill="auto"/>
            <w:vAlign w:val="center"/>
            <w:hideMark/>
          </w:tcPr>
          <w:p w14:paraId="2B28D29D"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 </w:t>
            </w:r>
          </w:p>
        </w:tc>
        <w:tc>
          <w:tcPr>
            <w:tcW w:w="765" w:type="dxa"/>
            <w:tcBorders>
              <w:top w:val="nil"/>
              <w:left w:val="nil"/>
              <w:bottom w:val="single" w:sz="4" w:space="0" w:color="auto"/>
              <w:right w:val="single" w:sz="4" w:space="0" w:color="auto"/>
            </w:tcBorders>
            <w:shd w:val="clear" w:color="auto" w:fill="auto"/>
            <w:vAlign w:val="center"/>
            <w:hideMark/>
          </w:tcPr>
          <w:p w14:paraId="5824984A"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 </w:t>
            </w:r>
          </w:p>
        </w:tc>
        <w:tc>
          <w:tcPr>
            <w:tcW w:w="970" w:type="dxa"/>
            <w:tcBorders>
              <w:top w:val="nil"/>
              <w:left w:val="nil"/>
              <w:bottom w:val="single" w:sz="4" w:space="0" w:color="auto"/>
              <w:right w:val="single" w:sz="4" w:space="0" w:color="auto"/>
            </w:tcBorders>
            <w:shd w:val="clear" w:color="auto" w:fill="auto"/>
            <w:vAlign w:val="center"/>
            <w:hideMark/>
          </w:tcPr>
          <w:p w14:paraId="0EF3451F"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59,5</w:t>
            </w:r>
          </w:p>
        </w:tc>
        <w:tc>
          <w:tcPr>
            <w:tcW w:w="602" w:type="dxa"/>
            <w:tcBorders>
              <w:top w:val="nil"/>
              <w:left w:val="nil"/>
              <w:bottom w:val="single" w:sz="4" w:space="0" w:color="auto"/>
              <w:right w:val="single" w:sz="4" w:space="0" w:color="auto"/>
            </w:tcBorders>
            <w:shd w:val="clear" w:color="auto" w:fill="auto"/>
            <w:vAlign w:val="center"/>
            <w:hideMark/>
          </w:tcPr>
          <w:p w14:paraId="25AF81DE"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 </w:t>
            </w:r>
          </w:p>
        </w:tc>
        <w:tc>
          <w:tcPr>
            <w:tcW w:w="697" w:type="dxa"/>
            <w:tcBorders>
              <w:top w:val="nil"/>
              <w:left w:val="nil"/>
              <w:bottom w:val="single" w:sz="4" w:space="0" w:color="auto"/>
              <w:right w:val="single" w:sz="4" w:space="0" w:color="auto"/>
            </w:tcBorders>
            <w:shd w:val="clear" w:color="auto" w:fill="auto"/>
            <w:vAlign w:val="center"/>
            <w:hideMark/>
          </w:tcPr>
          <w:p w14:paraId="5915DFB0"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 </w:t>
            </w:r>
          </w:p>
        </w:tc>
        <w:tc>
          <w:tcPr>
            <w:tcW w:w="869" w:type="dxa"/>
            <w:tcBorders>
              <w:top w:val="nil"/>
              <w:left w:val="nil"/>
              <w:bottom w:val="single" w:sz="4" w:space="0" w:color="auto"/>
              <w:right w:val="single" w:sz="4" w:space="0" w:color="auto"/>
            </w:tcBorders>
            <w:shd w:val="clear" w:color="auto" w:fill="auto"/>
            <w:vAlign w:val="center"/>
            <w:hideMark/>
          </w:tcPr>
          <w:p w14:paraId="37334C10"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59,5</w:t>
            </w:r>
          </w:p>
        </w:tc>
      </w:tr>
      <w:tr w:rsidR="00F00781" w:rsidRPr="00F00781" w14:paraId="3C23AC78" w14:textId="77777777" w:rsidTr="00E01BBF">
        <w:trPr>
          <w:trHeight w:val="196"/>
        </w:trPr>
        <w:tc>
          <w:tcPr>
            <w:tcW w:w="632" w:type="dxa"/>
            <w:tcBorders>
              <w:top w:val="nil"/>
              <w:left w:val="single" w:sz="4" w:space="0" w:color="auto"/>
              <w:bottom w:val="single" w:sz="4" w:space="0" w:color="auto"/>
              <w:right w:val="single" w:sz="4" w:space="0" w:color="auto"/>
            </w:tcBorders>
            <w:shd w:val="clear" w:color="auto" w:fill="auto"/>
            <w:vAlign w:val="center"/>
            <w:hideMark/>
          </w:tcPr>
          <w:p w14:paraId="1C8391D1" w14:textId="77777777" w:rsidR="00F00781" w:rsidRPr="00F00781" w:rsidRDefault="00F00781" w:rsidP="00F00781">
            <w:pPr>
              <w:rPr>
                <w:rFonts w:ascii="Arial Narrow" w:hAnsi="Arial Narrow" w:cs="Calibri"/>
                <w:sz w:val="14"/>
                <w:szCs w:val="14"/>
              </w:rPr>
            </w:pPr>
            <w:r w:rsidRPr="00F00781">
              <w:rPr>
                <w:rFonts w:ascii="Arial Narrow" w:hAnsi="Arial Narrow" w:cs="Calibri"/>
                <w:sz w:val="14"/>
                <w:szCs w:val="14"/>
              </w:rPr>
              <w:t xml:space="preserve"> 05</w:t>
            </w:r>
          </w:p>
        </w:tc>
        <w:tc>
          <w:tcPr>
            <w:tcW w:w="1671" w:type="dxa"/>
            <w:tcBorders>
              <w:top w:val="nil"/>
              <w:left w:val="nil"/>
              <w:bottom w:val="single" w:sz="4" w:space="0" w:color="auto"/>
              <w:right w:val="single" w:sz="4" w:space="0" w:color="auto"/>
            </w:tcBorders>
            <w:shd w:val="clear" w:color="auto" w:fill="auto"/>
            <w:vAlign w:val="center"/>
            <w:hideMark/>
          </w:tcPr>
          <w:p w14:paraId="7E7DCCD9" w14:textId="77777777" w:rsidR="00F00781" w:rsidRPr="00F00781" w:rsidRDefault="00F00781" w:rsidP="00F00781">
            <w:pPr>
              <w:rPr>
                <w:rFonts w:ascii="Arial Narrow" w:hAnsi="Arial Narrow" w:cs="Calibri"/>
                <w:sz w:val="14"/>
                <w:szCs w:val="14"/>
              </w:rPr>
            </w:pPr>
            <w:r w:rsidRPr="00F00781">
              <w:rPr>
                <w:rFonts w:ascii="Arial Narrow" w:hAnsi="Arial Narrow" w:cs="Calibri"/>
                <w:sz w:val="14"/>
                <w:szCs w:val="14"/>
              </w:rPr>
              <w:t>Картофи</w:t>
            </w:r>
          </w:p>
        </w:tc>
        <w:tc>
          <w:tcPr>
            <w:tcW w:w="773" w:type="dxa"/>
            <w:tcBorders>
              <w:top w:val="nil"/>
              <w:left w:val="nil"/>
              <w:bottom w:val="single" w:sz="4" w:space="0" w:color="auto"/>
              <w:right w:val="single" w:sz="4" w:space="0" w:color="auto"/>
            </w:tcBorders>
            <w:shd w:val="clear" w:color="auto" w:fill="auto"/>
            <w:vAlign w:val="center"/>
            <w:hideMark/>
          </w:tcPr>
          <w:p w14:paraId="3B289D70"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75,7</w:t>
            </w:r>
          </w:p>
        </w:tc>
        <w:tc>
          <w:tcPr>
            <w:tcW w:w="582" w:type="dxa"/>
            <w:tcBorders>
              <w:top w:val="nil"/>
              <w:left w:val="nil"/>
              <w:bottom w:val="single" w:sz="4" w:space="0" w:color="auto"/>
              <w:right w:val="single" w:sz="4" w:space="0" w:color="auto"/>
            </w:tcBorders>
            <w:shd w:val="clear" w:color="auto" w:fill="auto"/>
            <w:vAlign w:val="center"/>
            <w:hideMark/>
          </w:tcPr>
          <w:p w14:paraId="202CAE3A" w14:textId="77777777" w:rsidR="00F00781" w:rsidRPr="00F00781" w:rsidRDefault="00F00781" w:rsidP="00F00781">
            <w:pPr>
              <w:rPr>
                <w:rFonts w:ascii="Arial Narrow" w:hAnsi="Arial Narrow" w:cs="Calibri"/>
                <w:sz w:val="14"/>
                <w:szCs w:val="14"/>
              </w:rPr>
            </w:pPr>
            <w:r w:rsidRPr="00F00781">
              <w:rPr>
                <w:rFonts w:ascii="Arial Narrow" w:hAnsi="Arial Narrow" w:cs="Calibri"/>
                <w:sz w:val="14"/>
                <w:szCs w:val="14"/>
              </w:rPr>
              <w:t> </w:t>
            </w:r>
          </w:p>
        </w:tc>
        <w:tc>
          <w:tcPr>
            <w:tcW w:w="681" w:type="dxa"/>
            <w:tcBorders>
              <w:top w:val="nil"/>
              <w:left w:val="nil"/>
              <w:bottom w:val="single" w:sz="4" w:space="0" w:color="auto"/>
              <w:right w:val="single" w:sz="4" w:space="0" w:color="auto"/>
            </w:tcBorders>
            <w:shd w:val="clear" w:color="auto" w:fill="auto"/>
            <w:vAlign w:val="center"/>
            <w:hideMark/>
          </w:tcPr>
          <w:p w14:paraId="6D24A70F"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15,6</w:t>
            </w:r>
          </w:p>
        </w:tc>
        <w:tc>
          <w:tcPr>
            <w:tcW w:w="789" w:type="dxa"/>
            <w:tcBorders>
              <w:top w:val="nil"/>
              <w:left w:val="nil"/>
              <w:bottom w:val="single" w:sz="4" w:space="0" w:color="auto"/>
              <w:right w:val="single" w:sz="4" w:space="0" w:color="auto"/>
            </w:tcBorders>
            <w:shd w:val="clear" w:color="auto" w:fill="auto"/>
            <w:vAlign w:val="center"/>
            <w:hideMark/>
          </w:tcPr>
          <w:p w14:paraId="3229C8EF"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1,2</w:t>
            </w:r>
          </w:p>
        </w:tc>
        <w:tc>
          <w:tcPr>
            <w:tcW w:w="693" w:type="dxa"/>
            <w:tcBorders>
              <w:top w:val="nil"/>
              <w:left w:val="nil"/>
              <w:bottom w:val="single" w:sz="4" w:space="0" w:color="auto"/>
              <w:right w:val="single" w:sz="4" w:space="0" w:color="auto"/>
            </w:tcBorders>
            <w:shd w:val="clear" w:color="auto" w:fill="auto"/>
            <w:vAlign w:val="center"/>
            <w:hideMark/>
          </w:tcPr>
          <w:p w14:paraId="080E549D" w14:textId="77777777" w:rsidR="00F00781" w:rsidRPr="00F00781" w:rsidRDefault="00F00781" w:rsidP="00F00781">
            <w:pPr>
              <w:rPr>
                <w:rFonts w:ascii="Arial Narrow" w:hAnsi="Arial Narrow" w:cs="Calibri"/>
                <w:sz w:val="14"/>
                <w:szCs w:val="14"/>
              </w:rPr>
            </w:pPr>
            <w:r w:rsidRPr="00F00781">
              <w:rPr>
                <w:rFonts w:ascii="Arial Narrow" w:hAnsi="Arial Narrow" w:cs="Calibri"/>
                <w:sz w:val="14"/>
                <w:szCs w:val="14"/>
              </w:rPr>
              <w:t> </w:t>
            </w:r>
          </w:p>
        </w:tc>
        <w:tc>
          <w:tcPr>
            <w:tcW w:w="537" w:type="dxa"/>
            <w:tcBorders>
              <w:top w:val="nil"/>
              <w:left w:val="nil"/>
              <w:bottom w:val="single" w:sz="4" w:space="0" w:color="auto"/>
              <w:right w:val="single" w:sz="4" w:space="0" w:color="auto"/>
            </w:tcBorders>
            <w:shd w:val="clear" w:color="auto" w:fill="auto"/>
            <w:vAlign w:val="center"/>
            <w:hideMark/>
          </w:tcPr>
          <w:p w14:paraId="28D0D212" w14:textId="77777777" w:rsidR="00F00781" w:rsidRPr="00F00781" w:rsidRDefault="00F00781" w:rsidP="00F00781">
            <w:pPr>
              <w:rPr>
                <w:rFonts w:ascii="Arial Narrow" w:hAnsi="Arial Narrow" w:cs="Calibri"/>
                <w:sz w:val="14"/>
                <w:szCs w:val="14"/>
              </w:rPr>
            </w:pPr>
            <w:r w:rsidRPr="00F00781">
              <w:rPr>
                <w:rFonts w:ascii="Arial Narrow" w:hAnsi="Arial Narrow" w:cs="Calibri"/>
                <w:sz w:val="14"/>
                <w:szCs w:val="14"/>
              </w:rPr>
              <w:t> </w:t>
            </w:r>
          </w:p>
        </w:tc>
        <w:tc>
          <w:tcPr>
            <w:tcW w:w="1143" w:type="dxa"/>
            <w:tcBorders>
              <w:top w:val="nil"/>
              <w:left w:val="nil"/>
              <w:bottom w:val="single" w:sz="4" w:space="0" w:color="auto"/>
              <w:right w:val="single" w:sz="4" w:space="0" w:color="auto"/>
            </w:tcBorders>
            <w:shd w:val="clear" w:color="auto" w:fill="auto"/>
            <w:vAlign w:val="center"/>
            <w:hideMark/>
          </w:tcPr>
          <w:p w14:paraId="6E17B781" w14:textId="77777777" w:rsidR="00F00781" w:rsidRPr="00F00781" w:rsidRDefault="00F00781" w:rsidP="00F00781">
            <w:pPr>
              <w:rPr>
                <w:rFonts w:ascii="Arial Narrow" w:hAnsi="Arial Narrow" w:cs="Calibri"/>
                <w:sz w:val="14"/>
                <w:szCs w:val="14"/>
              </w:rPr>
            </w:pPr>
            <w:r w:rsidRPr="00F00781">
              <w:rPr>
                <w:rFonts w:ascii="Arial Narrow" w:hAnsi="Arial Narrow" w:cs="Calibri"/>
                <w:sz w:val="14"/>
                <w:szCs w:val="14"/>
              </w:rPr>
              <w:t> </w:t>
            </w:r>
          </w:p>
        </w:tc>
        <w:tc>
          <w:tcPr>
            <w:tcW w:w="1200" w:type="dxa"/>
            <w:tcBorders>
              <w:top w:val="nil"/>
              <w:left w:val="nil"/>
              <w:bottom w:val="single" w:sz="4" w:space="0" w:color="auto"/>
              <w:right w:val="single" w:sz="4" w:space="0" w:color="auto"/>
            </w:tcBorders>
            <w:shd w:val="clear" w:color="auto" w:fill="auto"/>
            <w:vAlign w:val="center"/>
            <w:hideMark/>
          </w:tcPr>
          <w:p w14:paraId="1EE7CE32"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0,4</w:t>
            </w:r>
          </w:p>
        </w:tc>
        <w:tc>
          <w:tcPr>
            <w:tcW w:w="721" w:type="dxa"/>
            <w:tcBorders>
              <w:top w:val="nil"/>
              <w:left w:val="nil"/>
              <w:bottom w:val="single" w:sz="4" w:space="0" w:color="auto"/>
              <w:right w:val="single" w:sz="4" w:space="0" w:color="auto"/>
            </w:tcBorders>
            <w:shd w:val="clear" w:color="auto" w:fill="auto"/>
            <w:vAlign w:val="center"/>
            <w:hideMark/>
          </w:tcPr>
          <w:p w14:paraId="3DDE113B"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23,2</w:t>
            </w:r>
          </w:p>
        </w:tc>
        <w:tc>
          <w:tcPr>
            <w:tcW w:w="721" w:type="dxa"/>
            <w:tcBorders>
              <w:top w:val="nil"/>
              <w:left w:val="nil"/>
              <w:bottom w:val="single" w:sz="4" w:space="0" w:color="auto"/>
              <w:right w:val="single" w:sz="4" w:space="0" w:color="auto"/>
            </w:tcBorders>
            <w:shd w:val="clear" w:color="auto" w:fill="auto"/>
            <w:vAlign w:val="center"/>
            <w:hideMark/>
          </w:tcPr>
          <w:p w14:paraId="0B47DFB3"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49,2</w:t>
            </w:r>
          </w:p>
        </w:tc>
        <w:tc>
          <w:tcPr>
            <w:tcW w:w="698" w:type="dxa"/>
            <w:tcBorders>
              <w:top w:val="nil"/>
              <w:left w:val="nil"/>
              <w:bottom w:val="single" w:sz="4" w:space="0" w:color="auto"/>
              <w:right w:val="single" w:sz="4" w:space="0" w:color="auto"/>
            </w:tcBorders>
            <w:shd w:val="clear" w:color="auto" w:fill="auto"/>
            <w:vAlign w:val="center"/>
            <w:hideMark/>
          </w:tcPr>
          <w:p w14:paraId="5F5D92A5"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2,7</w:t>
            </w:r>
          </w:p>
        </w:tc>
        <w:tc>
          <w:tcPr>
            <w:tcW w:w="765" w:type="dxa"/>
            <w:tcBorders>
              <w:top w:val="nil"/>
              <w:left w:val="nil"/>
              <w:bottom w:val="single" w:sz="4" w:space="0" w:color="auto"/>
              <w:right w:val="single" w:sz="4" w:space="0" w:color="auto"/>
            </w:tcBorders>
            <w:shd w:val="clear" w:color="auto" w:fill="auto"/>
            <w:vAlign w:val="center"/>
            <w:hideMark/>
          </w:tcPr>
          <w:p w14:paraId="23CF9BC2"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75,1</w:t>
            </w:r>
          </w:p>
        </w:tc>
        <w:tc>
          <w:tcPr>
            <w:tcW w:w="970" w:type="dxa"/>
            <w:tcBorders>
              <w:top w:val="nil"/>
              <w:left w:val="nil"/>
              <w:bottom w:val="single" w:sz="4" w:space="0" w:color="auto"/>
              <w:right w:val="single" w:sz="4" w:space="0" w:color="auto"/>
            </w:tcBorders>
            <w:shd w:val="clear" w:color="auto" w:fill="auto"/>
            <w:vAlign w:val="center"/>
            <w:hideMark/>
          </w:tcPr>
          <w:p w14:paraId="6E9736D1" w14:textId="77777777" w:rsidR="00F00781" w:rsidRPr="00F00781" w:rsidRDefault="00F00781" w:rsidP="00F00781">
            <w:pPr>
              <w:rPr>
                <w:rFonts w:ascii="Arial Narrow" w:hAnsi="Arial Narrow" w:cs="Calibri"/>
                <w:sz w:val="14"/>
                <w:szCs w:val="14"/>
              </w:rPr>
            </w:pPr>
            <w:r w:rsidRPr="00F00781">
              <w:rPr>
                <w:rFonts w:ascii="Arial Narrow" w:hAnsi="Arial Narrow" w:cs="Calibri"/>
                <w:sz w:val="14"/>
                <w:szCs w:val="14"/>
              </w:rPr>
              <w:t> </w:t>
            </w:r>
          </w:p>
        </w:tc>
        <w:tc>
          <w:tcPr>
            <w:tcW w:w="602" w:type="dxa"/>
            <w:tcBorders>
              <w:top w:val="nil"/>
              <w:left w:val="nil"/>
              <w:bottom w:val="single" w:sz="4" w:space="0" w:color="auto"/>
              <w:right w:val="single" w:sz="4" w:space="0" w:color="auto"/>
            </w:tcBorders>
            <w:shd w:val="clear" w:color="auto" w:fill="auto"/>
            <w:vAlign w:val="center"/>
            <w:hideMark/>
          </w:tcPr>
          <w:p w14:paraId="3A1EEBDC"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14,6</w:t>
            </w:r>
          </w:p>
        </w:tc>
        <w:tc>
          <w:tcPr>
            <w:tcW w:w="697" w:type="dxa"/>
            <w:tcBorders>
              <w:top w:val="nil"/>
              <w:left w:val="nil"/>
              <w:bottom w:val="single" w:sz="4" w:space="0" w:color="auto"/>
              <w:right w:val="single" w:sz="4" w:space="0" w:color="auto"/>
            </w:tcBorders>
            <w:shd w:val="clear" w:color="auto" w:fill="auto"/>
            <w:vAlign w:val="center"/>
            <w:hideMark/>
          </w:tcPr>
          <w:p w14:paraId="4F4B1B2E"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-1,1</w:t>
            </w:r>
          </w:p>
        </w:tc>
        <w:tc>
          <w:tcPr>
            <w:tcW w:w="869" w:type="dxa"/>
            <w:tcBorders>
              <w:top w:val="nil"/>
              <w:left w:val="nil"/>
              <w:bottom w:val="single" w:sz="4" w:space="0" w:color="auto"/>
              <w:right w:val="single" w:sz="4" w:space="0" w:color="auto"/>
            </w:tcBorders>
            <w:shd w:val="clear" w:color="auto" w:fill="auto"/>
            <w:vAlign w:val="center"/>
            <w:hideMark/>
          </w:tcPr>
          <w:p w14:paraId="0F5E9FC3"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74,5</w:t>
            </w:r>
          </w:p>
        </w:tc>
      </w:tr>
      <w:tr w:rsidR="00F00781" w:rsidRPr="00F00781" w14:paraId="40C89F8A" w14:textId="77777777" w:rsidTr="00E01BBF">
        <w:trPr>
          <w:trHeight w:val="196"/>
        </w:trPr>
        <w:tc>
          <w:tcPr>
            <w:tcW w:w="632" w:type="dxa"/>
            <w:tcBorders>
              <w:top w:val="nil"/>
              <w:left w:val="single" w:sz="4" w:space="0" w:color="auto"/>
              <w:bottom w:val="single" w:sz="4" w:space="0" w:color="auto"/>
              <w:right w:val="single" w:sz="4" w:space="0" w:color="auto"/>
            </w:tcBorders>
            <w:shd w:val="clear" w:color="auto" w:fill="auto"/>
            <w:vAlign w:val="center"/>
            <w:hideMark/>
          </w:tcPr>
          <w:p w14:paraId="3F9C4D03" w14:textId="77777777" w:rsidR="00F00781" w:rsidRPr="00F00781" w:rsidRDefault="00F00781" w:rsidP="00F00781">
            <w:pPr>
              <w:rPr>
                <w:rFonts w:ascii="Arial Narrow" w:hAnsi="Arial Narrow" w:cs="Calibri"/>
                <w:sz w:val="14"/>
                <w:szCs w:val="14"/>
              </w:rPr>
            </w:pPr>
            <w:r w:rsidRPr="00F00781">
              <w:rPr>
                <w:rFonts w:ascii="Arial Narrow" w:hAnsi="Arial Narrow" w:cs="Calibri"/>
                <w:sz w:val="14"/>
                <w:szCs w:val="14"/>
              </w:rPr>
              <w:t xml:space="preserve"> 06</w:t>
            </w:r>
          </w:p>
        </w:tc>
        <w:tc>
          <w:tcPr>
            <w:tcW w:w="1671" w:type="dxa"/>
            <w:tcBorders>
              <w:top w:val="nil"/>
              <w:left w:val="nil"/>
              <w:bottom w:val="single" w:sz="4" w:space="0" w:color="auto"/>
              <w:right w:val="single" w:sz="4" w:space="0" w:color="auto"/>
            </w:tcBorders>
            <w:shd w:val="clear" w:color="auto" w:fill="auto"/>
            <w:vAlign w:val="center"/>
            <w:hideMark/>
          </w:tcPr>
          <w:p w14:paraId="6A4348A0" w14:textId="77777777" w:rsidR="00F00781" w:rsidRPr="00F00781" w:rsidRDefault="00F00781" w:rsidP="00F00781">
            <w:pPr>
              <w:rPr>
                <w:rFonts w:ascii="Arial Narrow" w:hAnsi="Arial Narrow" w:cs="Calibri"/>
                <w:sz w:val="14"/>
                <w:szCs w:val="14"/>
              </w:rPr>
            </w:pPr>
            <w:r w:rsidRPr="00F00781">
              <w:rPr>
                <w:rFonts w:ascii="Arial Narrow" w:hAnsi="Arial Narrow" w:cs="Calibri"/>
                <w:sz w:val="14"/>
                <w:szCs w:val="14"/>
              </w:rPr>
              <w:t>Плодове</w:t>
            </w:r>
          </w:p>
        </w:tc>
        <w:tc>
          <w:tcPr>
            <w:tcW w:w="773" w:type="dxa"/>
            <w:tcBorders>
              <w:top w:val="nil"/>
              <w:left w:val="nil"/>
              <w:bottom w:val="single" w:sz="4" w:space="0" w:color="auto"/>
              <w:right w:val="single" w:sz="4" w:space="0" w:color="auto"/>
            </w:tcBorders>
            <w:shd w:val="clear" w:color="auto" w:fill="auto"/>
            <w:vAlign w:val="center"/>
            <w:hideMark/>
          </w:tcPr>
          <w:p w14:paraId="3246087A"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343,9</w:t>
            </w:r>
          </w:p>
        </w:tc>
        <w:tc>
          <w:tcPr>
            <w:tcW w:w="582" w:type="dxa"/>
            <w:tcBorders>
              <w:top w:val="nil"/>
              <w:left w:val="nil"/>
              <w:bottom w:val="single" w:sz="4" w:space="0" w:color="auto"/>
              <w:right w:val="single" w:sz="4" w:space="0" w:color="auto"/>
            </w:tcBorders>
            <w:shd w:val="clear" w:color="auto" w:fill="auto"/>
            <w:vAlign w:val="center"/>
            <w:hideMark/>
          </w:tcPr>
          <w:p w14:paraId="43C00ECE"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0,1</w:t>
            </w:r>
          </w:p>
        </w:tc>
        <w:tc>
          <w:tcPr>
            <w:tcW w:w="681" w:type="dxa"/>
            <w:tcBorders>
              <w:top w:val="nil"/>
              <w:left w:val="nil"/>
              <w:bottom w:val="single" w:sz="4" w:space="0" w:color="auto"/>
              <w:right w:val="single" w:sz="4" w:space="0" w:color="auto"/>
            </w:tcBorders>
            <w:shd w:val="clear" w:color="auto" w:fill="auto"/>
            <w:vAlign w:val="center"/>
            <w:hideMark/>
          </w:tcPr>
          <w:p w14:paraId="3A04D08D"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7,9</w:t>
            </w:r>
          </w:p>
        </w:tc>
        <w:tc>
          <w:tcPr>
            <w:tcW w:w="789" w:type="dxa"/>
            <w:tcBorders>
              <w:top w:val="nil"/>
              <w:left w:val="nil"/>
              <w:bottom w:val="single" w:sz="4" w:space="0" w:color="auto"/>
              <w:right w:val="single" w:sz="4" w:space="0" w:color="auto"/>
            </w:tcBorders>
            <w:shd w:val="clear" w:color="auto" w:fill="auto"/>
            <w:vAlign w:val="center"/>
            <w:hideMark/>
          </w:tcPr>
          <w:p w14:paraId="65C17149" w14:textId="77777777" w:rsidR="00F00781" w:rsidRPr="00F00781" w:rsidRDefault="00F00781" w:rsidP="00F00781">
            <w:pPr>
              <w:rPr>
                <w:rFonts w:ascii="Arial Narrow" w:hAnsi="Arial Narrow" w:cs="Calibri"/>
                <w:sz w:val="14"/>
                <w:szCs w:val="14"/>
              </w:rPr>
            </w:pPr>
            <w:r w:rsidRPr="00F00781">
              <w:rPr>
                <w:rFonts w:ascii="Arial Narrow" w:hAnsi="Arial Narrow" w:cs="Calibri"/>
                <w:sz w:val="14"/>
                <w:szCs w:val="14"/>
              </w:rPr>
              <w:t> </w:t>
            </w:r>
          </w:p>
        </w:tc>
        <w:tc>
          <w:tcPr>
            <w:tcW w:w="693" w:type="dxa"/>
            <w:tcBorders>
              <w:top w:val="nil"/>
              <w:left w:val="nil"/>
              <w:bottom w:val="single" w:sz="4" w:space="0" w:color="auto"/>
              <w:right w:val="single" w:sz="4" w:space="0" w:color="auto"/>
            </w:tcBorders>
            <w:shd w:val="clear" w:color="auto" w:fill="auto"/>
            <w:vAlign w:val="center"/>
            <w:hideMark/>
          </w:tcPr>
          <w:p w14:paraId="4923E2F9" w14:textId="77777777" w:rsidR="00F00781" w:rsidRPr="00F00781" w:rsidRDefault="00F00781" w:rsidP="00F00781">
            <w:pPr>
              <w:rPr>
                <w:rFonts w:ascii="Arial Narrow" w:hAnsi="Arial Narrow" w:cs="Calibri"/>
                <w:sz w:val="14"/>
                <w:szCs w:val="14"/>
              </w:rPr>
            </w:pPr>
            <w:r w:rsidRPr="00F00781">
              <w:rPr>
                <w:rFonts w:ascii="Arial Narrow" w:hAnsi="Arial Narrow" w:cs="Calibri"/>
                <w:sz w:val="14"/>
                <w:szCs w:val="14"/>
              </w:rPr>
              <w:t> </w:t>
            </w:r>
          </w:p>
        </w:tc>
        <w:tc>
          <w:tcPr>
            <w:tcW w:w="537" w:type="dxa"/>
            <w:tcBorders>
              <w:top w:val="nil"/>
              <w:left w:val="nil"/>
              <w:bottom w:val="single" w:sz="4" w:space="0" w:color="auto"/>
              <w:right w:val="single" w:sz="4" w:space="0" w:color="auto"/>
            </w:tcBorders>
            <w:shd w:val="clear" w:color="auto" w:fill="auto"/>
            <w:vAlign w:val="center"/>
            <w:hideMark/>
          </w:tcPr>
          <w:p w14:paraId="00C7420D"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0,6</w:t>
            </w:r>
          </w:p>
        </w:tc>
        <w:tc>
          <w:tcPr>
            <w:tcW w:w="1143" w:type="dxa"/>
            <w:tcBorders>
              <w:top w:val="nil"/>
              <w:left w:val="nil"/>
              <w:bottom w:val="single" w:sz="4" w:space="0" w:color="auto"/>
              <w:right w:val="single" w:sz="4" w:space="0" w:color="auto"/>
            </w:tcBorders>
            <w:shd w:val="clear" w:color="auto" w:fill="auto"/>
            <w:vAlign w:val="center"/>
            <w:hideMark/>
          </w:tcPr>
          <w:p w14:paraId="773DAD28"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20,4</w:t>
            </w:r>
          </w:p>
        </w:tc>
        <w:tc>
          <w:tcPr>
            <w:tcW w:w="1200" w:type="dxa"/>
            <w:tcBorders>
              <w:top w:val="nil"/>
              <w:left w:val="nil"/>
              <w:bottom w:val="single" w:sz="4" w:space="0" w:color="auto"/>
              <w:right w:val="single" w:sz="4" w:space="0" w:color="auto"/>
            </w:tcBorders>
            <w:shd w:val="clear" w:color="auto" w:fill="auto"/>
            <w:vAlign w:val="center"/>
            <w:hideMark/>
          </w:tcPr>
          <w:p w14:paraId="1428DFD4"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2,2</w:t>
            </w:r>
          </w:p>
        </w:tc>
        <w:tc>
          <w:tcPr>
            <w:tcW w:w="721" w:type="dxa"/>
            <w:tcBorders>
              <w:top w:val="nil"/>
              <w:left w:val="nil"/>
              <w:bottom w:val="single" w:sz="4" w:space="0" w:color="auto"/>
              <w:right w:val="single" w:sz="4" w:space="0" w:color="auto"/>
            </w:tcBorders>
            <w:shd w:val="clear" w:color="auto" w:fill="auto"/>
            <w:vAlign w:val="center"/>
            <w:hideMark/>
          </w:tcPr>
          <w:p w14:paraId="7F1F969D"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40,5</w:t>
            </w:r>
          </w:p>
        </w:tc>
        <w:tc>
          <w:tcPr>
            <w:tcW w:w="721" w:type="dxa"/>
            <w:tcBorders>
              <w:top w:val="nil"/>
              <w:left w:val="nil"/>
              <w:bottom w:val="single" w:sz="4" w:space="0" w:color="auto"/>
              <w:right w:val="single" w:sz="4" w:space="0" w:color="auto"/>
            </w:tcBorders>
            <w:shd w:val="clear" w:color="auto" w:fill="auto"/>
            <w:vAlign w:val="center"/>
            <w:hideMark/>
          </w:tcPr>
          <w:p w14:paraId="79E1F3A0"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257,2</w:t>
            </w:r>
          </w:p>
        </w:tc>
        <w:tc>
          <w:tcPr>
            <w:tcW w:w="698" w:type="dxa"/>
            <w:tcBorders>
              <w:top w:val="nil"/>
              <w:left w:val="nil"/>
              <w:bottom w:val="single" w:sz="4" w:space="0" w:color="auto"/>
              <w:right w:val="single" w:sz="4" w:space="0" w:color="auto"/>
            </w:tcBorders>
            <w:shd w:val="clear" w:color="auto" w:fill="auto"/>
            <w:vAlign w:val="center"/>
            <w:hideMark/>
          </w:tcPr>
          <w:p w14:paraId="6C4C4539"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14,4</w:t>
            </w:r>
          </w:p>
        </w:tc>
        <w:tc>
          <w:tcPr>
            <w:tcW w:w="765" w:type="dxa"/>
            <w:tcBorders>
              <w:top w:val="nil"/>
              <w:left w:val="nil"/>
              <w:bottom w:val="single" w:sz="4" w:space="0" w:color="auto"/>
              <w:right w:val="single" w:sz="4" w:space="0" w:color="auto"/>
            </w:tcBorders>
            <w:shd w:val="clear" w:color="auto" w:fill="auto"/>
            <w:vAlign w:val="center"/>
            <w:hideMark/>
          </w:tcPr>
          <w:p w14:paraId="45087E8A"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311,8</w:t>
            </w:r>
          </w:p>
        </w:tc>
        <w:tc>
          <w:tcPr>
            <w:tcW w:w="970" w:type="dxa"/>
            <w:tcBorders>
              <w:top w:val="nil"/>
              <w:left w:val="nil"/>
              <w:bottom w:val="single" w:sz="4" w:space="0" w:color="auto"/>
              <w:right w:val="single" w:sz="4" w:space="0" w:color="auto"/>
            </w:tcBorders>
            <w:shd w:val="clear" w:color="auto" w:fill="auto"/>
            <w:vAlign w:val="center"/>
            <w:hideMark/>
          </w:tcPr>
          <w:p w14:paraId="71EB3E16" w14:textId="77777777" w:rsidR="00F00781" w:rsidRPr="00F00781" w:rsidRDefault="00F00781" w:rsidP="00F00781">
            <w:pPr>
              <w:rPr>
                <w:rFonts w:ascii="Arial Narrow" w:hAnsi="Arial Narrow" w:cs="Calibri"/>
                <w:sz w:val="14"/>
                <w:szCs w:val="14"/>
              </w:rPr>
            </w:pPr>
            <w:r w:rsidRPr="00F00781">
              <w:rPr>
                <w:rFonts w:ascii="Arial Narrow" w:hAnsi="Arial Narrow" w:cs="Calibri"/>
                <w:sz w:val="14"/>
                <w:szCs w:val="14"/>
              </w:rPr>
              <w:t> </w:t>
            </w:r>
          </w:p>
        </w:tc>
        <w:tc>
          <w:tcPr>
            <w:tcW w:w="602" w:type="dxa"/>
            <w:tcBorders>
              <w:top w:val="nil"/>
              <w:left w:val="nil"/>
              <w:bottom w:val="single" w:sz="4" w:space="0" w:color="auto"/>
              <w:right w:val="single" w:sz="4" w:space="0" w:color="auto"/>
            </w:tcBorders>
            <w:shd w:val="clear" w:color="auto" w:fill="auto"/>
            <w:vAlign w:val="center"/>
            <w:hideMark/>
          </w:tcPr>
          <w:p w14:paraId="68B9B68B"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16,7</w:t>
            </w:r>
          </w:p>
        </w:tc>
        <w:tc>
          <w:tcPr>
            <w:tcW w:w="697" w:type="dxa"/>
            <w:tcBorders>
              <w:top w:val="nil"/>
              <w:left w:val="nil"/>
              <w:bottom w:val="single" w:sz="4" w:space="0" w:color="auto"/>
              <w:right w:val="single" w:sz="4" w:space="0" w:color="auto"/>
            </w:tcBorders>
            <w:shd w:val="clear" w:color="auto" w:fill="auto"/>
            <w:vAlign w:val="center"/>
            <w:hideMark/>
          </w:tcPr>
          <w:p w14:paraId="379CE9B5"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8,8</w:t>
            </w:r>
          </w:p>
        </w:tc>
        <w:tc>
          <w:tcPr>
            <w:tcW w:w="869" w:type="dxa"/>
            <w:tcBorders>
              <w:top w:val="nil"/>
              <w:left w:val="nil"/>
              <w:bottom w:val="single" w:sz="4" w:space="0" w:color="auto"/>
              <w:right w:val="single" w:sz="4" w:space="0" w:color="auto"/>
            </w:tcBorders>
            <w:shd w:val="clear" w:color="auto" w:fill="auto"/>
            <w:vAlign w:val="center"/>
            <w:hideMark/>
          </w:tcPr>
          <w:p w14:paraId="19BE9E39"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343,2</w:t>
            </w:r>
          </w:p>
        </w:tc>
      </w:tr>
      <w:tr w:rsidR="00F00781" w:rsidRPr="00F00781" w14:paraId="4E370A9B" w14:textId="77777777" w:rsidTr="00E01BBF">
        <w:trPr>
          <w:trHeight w:val="196"/>
        </w:trPr>
        <w:tc>
          <w:tcPr>
            <w:tcW w:w="632" w:type="dxa"/>
            <w:tcBorders>
              <w:top w:val="nil"/>
              <w:left w:val="single" w:sz="4" w:space="0" w:color="auto"/>
              <w:bottom w:val="single" w:sz="4" w:space="0" w:color="auto"/>
              <w:right w:val="single" w:sz="4" w:space="0" w:color="auto"/>
            </w:tcBorders>
            <w:shd w:val="clear" w:color="auto" w:fill="auto"/>
            <w:vAlign w:val="center"/>
            <w:hideMark/>
          </w:tcPr>
          <w:p w14:paraId="6B9D38C3" w14:textId="77777777" w:rsidR="00F00781" w:rsidRPr="00F00781" w:rsidRDefault="00F00781" w:rsidP="00F00781">
            <w:pPr>
              <w:rPr>
                <w:rFonts w:ascii="Arial Narrow" w:hAnsi="Arial Narrow" w:cs="Calibri"/>
                <w:sz w:val="14"/>
                <w:szCs w:val="14"/>
              </w:rPr>
            </w:pPr>
            <w:r w:rsidRPr="00F00781">
              <w:rPr>
                <w:rFonts w:ascii="Arial Narrow" w:hAnsi="Arial Narrow" w:cs="Calibri"/>
                <w:sz w:val="14"/>
                <w:szCs w:val="14"/>
              </w:rPr>
              <w:t xml:space="preserve"> 06.1</w:t>
            </w:r>
          </w:p>
        </w:tc>
        <w:tc>
          <w:tcPr>
            <w:tcW w:w="1671" w:type="dxa"/>
            <w:tcBorders>
              <w:top w:val="nil"/>
              <w:left w:val="nil"/>
              <w:bottom w:val="single" w:sz="4" w:space="0" w:color="auto"/>
              <w:right w:val="single" w:sz="4" w:space="0" w:color="auto"/>
            </w:tcBorders>
            <w:shd w:val="clear" w:color="auto" w:fill="auto"/>
            <w:vAlign w:val="center"/>
            <w:hideMark/>
          </w:tcPr>
          <w:p w14:paraId="0997838F" w14:textId="77777777" w:rsidR="00F00781" w:rsidRPr="00F00781" w:rsidRDefault="00F00781" w:rsidP="00F00781">
            <w:pPr>
              <w:ind w:firstLineChars="100" w:firstLine="140"/>
              <w:rPr>
                <w:rFonts w:ascii="Arial Narrow" w:hAnsi="Arial Narrow" w:cs="Calibri"/>
                <w:sz w:val="14"/>
                <w:szCs w:val="14"/>
              </w:rPr>
            </w:pPr>
            <w:r w:rsidRPr="00F00781">
              <w:rPr>
                <w:rFonts w:ascii="Arial Narrow" w:hAnsi="Arial Narrow" w:cs="Calibri"/>
                <w:sz w:val="14"/>
                <w:szCs w:val="14"/>
              </w:rPr>
              <w:t>Пресни плодове</w:t>
            </w:r>
          </w:p>
        </w:tc>
        <w:tc>
          <w:tcPr>
            <w:tcW w:w="773" w:type="dxa"/>
            <w:tcBorders>
              <w:top w:val="nil"/>
              <w:left w:val="nil"/>
              <w:bottom w:val="single" w:sz="4" w:space="0" w:color="auto"/>
              <w:right w:val="single" w:sz="4" w:space="0" w:color="auto"/>
            </w:tcBorders>
            <w:shd w:val="clear" w:color="auto" w:fill="auto"/>
            <w:vAlign w:val="center"/>
            <w:hideMark/>
          </w:tcPr>
          <w:p w14:paraId="149EBC06"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236,1</w:t>
            </w:r>
          </w:p>
        </w:tc>
        <w:tc>
          <w:tcPr>
            <w:tcW w:w="582" w:type="dxa"/>
            <w:tcBorders>
              <w:top w:val="nil"/>
              <w:left w:val="nil"/>
              <w:bottom w:val="single" w:sz="4" w:space="0" w:color="auto"/>
              <w:right w:val="single" w:sz="4" w:space="0" w:color="auto"/>
            </w:tcBorders>
            <w:shd w:val="clear" w:color="auto" w:fill="auto"/>
            <w:vAlign w:val="center"/>
            <w:hideMark/>
          </w:tcPr>
          <w:p w14:paraId="289FF910" w14:textId="77777777" w:rsidR="00F00781" w:rsidRPr="00F00781" w:rsidRDefault="00F00781" w:rsidP="00F00781">
            <w:pPr>
              <w:rPr>
                <w:rFonts w:ascii="Arial Narrow" w:hAnsi="Arial Narrow" w:cs="Calibri"/>
                <w:sz w:val="14"/>
                <w:szCs w:val="14"/>
              </w:rPr>
            </w:pPr>
            <w:r w:rsidRPr="00F00781">
              <w:rPr>
                <w:rFonts w:ascii="Arial Narrow" w:hAnsi="Arial Narrow" w:cs="Calibri"/>
                <w:sz w:val="14"/>
                <w:szCs w:val="14"/>
              </w:rPr>
              <w:t> </w:t>
            </w:r>
          </w:p>
        </w:tc>
        <w:tc>
          <w:tcPr>
            <w:tcW w:w="681" w:type="dxa"/>
            <w:tcBorders>
              <w:top w:val="nil"/>
              <w:left w:val="nil"/>
              <w:bottom w:val="single" w:sz="4" w:space="0" w:color="auto"/>
              <w:right w:val="single" w:sz="4" w:space="0" w:color="auto"/>
            </w:tcBorders>
            <w:shd w:val="clear" w:color="auto" w:fill="auto"/>
            <w:vAlign w:val="center"/>
            <w:hideMark/>
          </w:tcPr>
          <w:p w14:paraId="1C22AE36"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7,9</w:t>
            </w:r>
          </w:p>
        </w:tc>
        <w:tc>
          <w:tcPr>
            <w:tcW w:w="789" w:type="dxa"/>
            <w:tcBorders>
              <w:top w:val="nil"/>
              <w:left w:val="nil"/>
              <w:bottom w:val="single" w:sz="4" w:space="0" w:color="auto"/>
              <w:right w:val="single" w:sz="4" w:space="0" w:color="auto"/>
            </w:tcBorders>
            <w:shd w:val="clear" w:color="auto" w:fill="auto"/>
            <w:vAlign w:val="center"/>
            <w:hideMark/>
          </w:tcPr>
          <w:p w14:paraId="79820775" w14:textId="77777777" w:rsidR="00F00781" w:rsidRPr="00F00781" w:rsidRDefault="00F00781" w:rsidP="00F00781">
            <w:pPr>
              <w:rPr>
                <w:rFonts w:ascii="Arial Narrow" w:hAnsi="Arial Narrow" w:cs="Calibri"/>
                <w:sz w:val="14"/>
                <w:szCs w:val="14"/>
              </w:rPr>
            </w:pPr>
            <w:r w:rsidRPr="00F00781">
              <w:rPr>
                <w:rFonts w:ascii="Arial Narrow" w:hAnsi="Arial Narrow" w:cs="Calibri"/>
                <w:sz w:val="14"/>
                <w:szCs w:val="14"/>
              </w:rPr>
              <w:t> </w:t>
            </w:r>
          </w:p>
        </w:tc>
        <w:tc>
          <w:tcPr>
            <w:tcW w:w="693" w:type="dxa"/>
            <w:tcBorders>
              <w:top w:val="nil"/>
              <w:left w:val="nil"/>
              <w:bottom w:val="single" w:sz="4" w:space="0" w:color="auto"/>
              <w:right w:val="single" w:sz="4" w:space="0" w:color="auto"/>
            </w:tcBorders>
            <w:shd w:val="clear" w:color="auto" w:fill="auto"/>
            <w:vAlign w:val="center"/>
            <w:hideMark/>
          </w:tcPr>
          <w:p w14:paraId="0C651C67" w14:textId="77777777" w:rsidR="00F00781" w:rsidRPr="00F00781" w:rsidRDefault="00F00781" w:rsidP="00F00781">
            <w:pPr>
              <w:rPr>
                <w:rFonts w:ascii="Arial Narrow" w:hAnsi="Arial Narrow" w:cs="Calibri"/>
                <w:sz w:val="14"/>
                <w:szCs w:val="14"/>
              </w:rPr>
            </w:pPr>
            <w:r w:rsidRPr="00F00781">
              <w:rPr>
                <w:rFonts w:ascii="Arial Narrow" w:hAnsi="Arial Narrow" w:cs="Calibri"/>
                <w:sz w:val="14"/>
                <w:szCs w:val="14"/>
              </w:rPr>
              <w:t> </w:t>
            </w:r>
          </w:p>
        </w:tc>
        <w:tc>
          <w:tcPr>
            <w:tcW w:w="537" w:type="dxa"/>
            <w:tcBorders>
              <w:top w:val="nil"/>
              <w:left w:val="nil"/>
              <w:bottom w:val="single" w:sz="4" w:space="0" w:color="auto"/>
              <w:right w:val="single" w:sz="4" w:space="0" w:color="auto"/>
            </w:tcBorders>
            <w:shd w:val="clear" w:color="auto" w:fill="auto"/>
            <w:vAlign w:val="center"/>
            <w:hideMark/>
          </w:tcPr>
          <w:p w14:paraId="1DFF4980"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0,4</w:t>
            </w:r>
          </w:p>
        </w:tc>
        <w:tc>
          <w:tcPr>
            <w:tcW w:w="1143" w:type="dxa"/>
            <w:tcBorders>
              <w:top w:val="nil"/>
              <w:left w:val="nil"/>
              <w:bottom w:val="single" w:sz="4" w:space="0" w:color="auto"/>
              <w:right w:val="single" w:sz="4" w:space="0" w:color="auto"/>
            </w:tcBorders>
            <w:shd w:val="clear" w:color="auto" w:fill="auto"/>
            <w:vAlign w:val="center"/>
            <w:hideMark/>
          </w:tcPr>
          <w:p w14:paraId="65B3822C"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6,2</w:t>
            </w:r>
          </w:p>
        </w:tc>
        <w:tc>
          <w:tcPr>
            <w:tcW w:w="1200" w:type="dxa"/>
            <w:tcBorders>
              <w:top w:val="nil"/>
              <w:left w:val="nil"/>
              <w:bottom w:val="single" w:sz="4" w:space="0" w:color="auto"/>
              <w:right w:val="single" w:sz="4" w:space="0" w:color="auto"/>
            </w:tcBorders>
            <w:shd w:val="clear" w:color="auto" w:fill="auto"/>
            <w:vAlign w:val="center"/>
            <w:hideMark/>
          </w:tcPr>
          <w:p w14:paraId="3295C78C"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0,6</w:t>
            </w:r>
          </w:p>
        </w:tc>
        <w:tc>
          <w:tcPr>
            <w:tcW w:w="721" w:type="dxa"/>
            <w:tcBorders>
              <w:top w:val="nil"/>
              <w:left w:val="nil"/>
              <w:bottom w:val="single" w:sz="4" w:space="0" w:color="auto"/>
              <w:right w:val="single" w:sz="4" w:space="0" w:color="auto"/>
            </w:tcBorders>
            <w:shd w:val="clear" w:color="auto" w:fill="auto"/>
            <w:vAlign w:val="center"/>
            <w:hideMark/>
          </w:tcPr>
          <w:p w14:paraId="37151F79"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26,4</w:t>
            </w:r>
          </w:p>
        </w:tc>
        <w:tc>
          <w:tcPr>
            <w:tcW w:w="721" w:type="dxa"/>
            <w:tcBorders>
              <w:top w:val="nil"/>
              <w:left w:val="nil"/>
              <w:bottom w:val="single" w:sz="4" w:space="0" w:color="auto"/>
              <w:right w:val="single" w:sz="4" w:space="0" w:color="auto"/>
            </w:tcBorders>
            <w:shd w:val="clear" w:color="auto" w:fill="auto"/>
            <w:vAlign w:val="center"/>
            <w:hideMark/>
          </w:tcPr>
          <w:p w14:paraId="40654816"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179,8</w:t>
            </w:r>
          </w:p>
        </w:tc>
        <w:tc>
          <w:tcPr>
            <w:tcW w:w="698" w:type="dxa"/>
            <w:tcBorders>
              <w:top w:val="nil"/>
              <w:left w:val="nil"/>
              <w:bottom w:val="single" w:sz="4" w:space="0" w:color="auto"/>
              <w:right w:val="single" w:sz="4" w:space="0" w:color="auto"/>
            </w:tcBorders>
            <w:shd w:val="clear" w:color="auto" w:fill="auto"/>
            <w:vAlign w:val="center"/>
            <w:hideMark/>
          </w:tcPr>
          <w:p w14:paraId="088B59C0"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14,0</w:t>
            </w:r>
          </w:p>
        </w:tc>
        <w:tc>
          <w:tcPr>
            <w:tcW w:w="765" w:type="dxa"/>
            <w:tcBorders>
              <w:top w:val="nil"/>
              <w:left w:val="nil"/>
              <w:bottom w:val="single" w:sz="4" w:space="0" w:color="auto"/>
              <w:right w:val="single" w:sz="4" w:space="0" w:color="auto"/>
            </w:tcBorders>
            <w:shd w:val="clear" w:color="auto" w:fill="auto"/>
            <w:vAlign w:val="center"/>
            <w:hideMark/>
          </w:tcPr>
          <w:p w14:paraId="64FEC17C"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220,1</w:t>
            </w:r>
          </w:p>
        </w:tc>
        <w:tc>
          <w:tcPr>
            <w:tcW w:w="970" w:type="dxa"/>
            <w:tcBorders>
              <w:top w:val="nil"/>
              <w:left w:val="nil"/>
              <w:bottom w:val="single" w:sz="4" w:space="0" w:color="auto"/>
              <w:right w:val="single" w:sz="4" w:space="0" w:color="auto"/>
            </w:tcBorders>
            <w:shd w:val="clear" w:color="auto" w:fill="auto"/>
            <w:vAlign w:val="center"/>
            <w:hideMark/>
          </w:tcPr>
          <w:p w14:paraId="1C51AEBB" w14:textId="77777777" w:rsidR="00F00781" w:rsidRPr="00F00781" w:rsidRDefault="00F00781" w:rsidP="00F00781">
            <w:pPr>
              <w:rPr>
                <w:rFonts w:ascii="Arial Narrow" w:hAnsi="Arial Narrow" w:cs="Calibri"/>
                <w:sz w:val="14"/>
                <w:szCs w:val="14"/>
              </w:rPr>
            </w:pPr>
            <w:r w:rsidRPr="00F00781">
              <w:rPr>
                <w:rFonts w:ascii="Arial Narrow" w:hAnsi="Arial Narrow" w:cs="Calibri"/>
                <w:sz w:val="14"/>
                <w:szCs w:val="14"/>
              </w:rPr>
              <w:t> </w:t>
            </w:r>
          </w:p>
        </w:tc>
        <w:tc>
          <w:tcPr>
            <w:tcW w:w="602" w:type="dxa"/>
            <w:tcBorders>
              <w:top w:val="nil"/>
              <w:left w:val="nil"/>
              <w:bottom w:val="single" w:sz="4" w:space="0" w:color="auto"/>
              <w:right w:val="single" w:sz="4" w:space="0" w:color="auto"/>
            </w:tcBorders>
            <w:shd w:val="clear" w:color="auto" w:fill="auto"/>
            <w:vAlign w:val="center"/>
            <w:hideMark/>
          </w:tcPr>
          <w:p w14:paraId="04A8F901"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16,7</w:t>
            </w:r>
          </w:p>
        </w:tc>
        <w:tc>
          <w:tcPr>
            <w:tcW w:w="697" w:type="dxa"/>
            <w:tcBorders>
              <w:top w:val="nil"/>
              <w:left w:val="nil"/>
              <w:bottom w:val="single" w:sz="4" w:space="0" w:color="auto"/>
              <w:right w:val="single" w:sz="4" w:space="0" w:color="auto"/>
            </w:tcBorders>
            <w:shd w:val="clear" w:color="auto" w:fill="auto"/>
            <w:vAlign w:val="center"/>
            <w:hideMark/>
          </w:tcPr>
          <w:p w14:paraId="61655043"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8,8</w:t>
            </w:r>
          </w:p>
        </w:tc>
        <w:tc>
          <w:tcPr>
            <w:tcW w:w="869" w:type="dxa"/>
            <w:tcBorders>
              <w:top w:val="nil"/>
              <w:left w:val="nil"/>
              <w:bottom w:val="single" w:sz="4" w:space="0" w:color="auto"/>
              <w:right w:val="single" w:sz="4" w:space="0" w:color="auto"/>
            </w:tcBorders>
            <w:shd w:val="clear" w:color="auto" w:fill="auto"/>
            <w:vAlign w:val="center"/>
            <w:hideMark/>
          </w:tcPr>
          <w:p w14:paraId="06C4FD53"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235,7</w:t>
            </w:r>
          </w:p>
        </w:tc>
      </w:tr>
      <w:tr w:rsidR="00F00781" w:rsidRPr="00F00781" w14:paraId="41721825" w14:textId="77777777" w:rsidTr="00E01BBF">
        <w:trPr>
          <w:trHeight w:val="196"/>
        </w:trPr>
        <w:tc>
          <w:tcPr>
            <w:tcW w:w="632" w:type="dxa"/>
            <w:tcBorders>
              <w:top w:val="nil"/>
              <w:left w:val="single" w:sz="4" w:space="0" w:color="auto"/>
              <w:bottom w:val="single" w:sz="4" w:space="0" w:color="auto"/>
              <w:right w:val="single" w:sz="4" w:space="0" w:color="auto"/>
            </w:tcBorders>
            <w:shd w:val="clear" w:color="auto" w:fill="auto"/>
            <w:vAlign w:val="center"/>
            <w:hideMark/>
          </w:tcPr>
          <w:p w14:paraId="309EB1A7" w14:textId="77777777" w:rsidR="00F00781" w:rsidRPr="00F00781" w:rsidRDefault="00F00781" w:rsidP="00F00781">
            <w:pPr>
              <w:rPr>
                <w:rFonts w:ascii="Arial Narrow" w:hAnsi="Arial Narrow" w:cs="Calibri"/>
                <w:sz w:val="14"/>
                <w:szCs w:val="14"/>
              </w:rPr>
            </w:pPr>
            <w:r w:rsidRPr="00F00781">
              <w:rPr>
                <w:rFonts w:ascii="Arial Narrow" w:hAnsi="Arial Narrow" w:cs="Calibri"/>
                <w:sz w:val="14"/>
                <w:szCs w:val="14"/>
              </w:rPr>
              <w:lastRenderedPageBreak/>
              <w:t xml:space="preserve"> 06.1/1</w:t>
            </w:r>
          </w:p>
        </w:tc>
        <w:tc>
          <w:tcPr>
            <w:tcW w:w="1671" w:type="dxa"/>
            <w:tcBorders>
              <w:top w:val="nil"/>
              <w:left w:val="nil"/>
              <w:bottom w:val="single" w:sz="4" w:space="0" w:color="auto"/>
              <w:right w:val="single" w:sz="4" w:space="0" w:color="auto"/>
            </w:tcBorders>
            <w:shd w:val="clear" w:color="auto" w:fill="auto"/>
            <w:vAlign w:val="center"/>
            <w:hideMark/>
          </w:tcPr>
          <w:p w14:paraId="5312293C" w14:textId="77777777" w:rsidR="00F00781" w:rsidRPr="00F00781" w:rsidRDefault="00F00781" w:rsidP="00F00781">
            <w:pPr>
              <w:ind w:firstLineChars="200" w:firstLine="280"/>
              <w:rPr>
                <w:rFonts w:ascii="Arial Narrow" w:hAnsi="Arial Narrow" w:cs="Calibri"/>
                <w:sz w:val="14"/>
                <w:szCs w:val="14"/>
              </w:rPr>
            </w:pPr>
            <w:r w:rsidRPr="00F00781">
              <w:rPr>
                <w:rFonts w:ascii="Arial Narrow" w:hAnsi="Arial Narrow" w:cs="Calibri"/>
                <w:sz w:val="14"/>
                <w:szCs w:val="14"/>
              </w:rPr>
              <w:t>Ябълки</w:t>
            </w:r>
          </w:p>
        </w:tc>
        <w:tc>
          <w:tcPr>
            <w:tcW w:w="773" w:type="dxa"/>
            <w:tcBorders>
              <w:top w:val="nil"/>
              <w:left w:val="nil"/>
              <w:bottom w:val="single" w:sz="4" w:space="0" w:color="auto"/>
              <w:right w:val="single" w:sz="4" w:space="0" w:color="auto"/>
            </w:tcBorders>
            <w:shd w:val="clear" w:color="auto" w:fill="auto"/>
            <w:vAlign w:val="center"/>
            <w:hideMark/>
          </w:tcPr>
          <w:p w14:paraId="7AC4CD44"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23,5</w:t>
            </w:r>
          </w:p>
        </w:tc>
        <w:tc>
          <w:tcPr>
            <w:tcW w:w="582" w:type="dxa"/>
            <w:tcBorders>
              <w:top w:val="nil"/>
              <w:left w:val="nil"/>
              <w:bottom w:val="single" w:sz="4" w:space="0" w:color="auto"/>
              <w:right w:val="single" w:sz="4" w:space="0" w:color="auto"/>
            </w:tcBorders>
            <w:shd w:val="clear" w:color="auto" w:fill="auto"/>
            <w:vAlign w:val="center"/>
            <w:hideMark/>
          </w:tcPr>
          <w:p w14:paraId="6B03AE2D" w14:textId="77777777" w:rsidR="00F00781" w:rsidRPr="00F00781" w:rsidRDefault="00F00781" w:rsidP="00F00781">
            <w:pPr>
              <w:rPr>
                <w:rFonts w:ascii="Arial Narrow" w:hAnsi="Arial Narrow" w:cs="Calibri"/>
                <w:sz w:val="14"/>
                <w:szCs w:val="14"/>
              </w:rPr>
            </w:pPr>
            <w:r w:rsidRPr="00F00781">
              <w:rPr>
                <w:rFonts w:ascii="Arial Narrow" w:hAnsi="Arial Narrow" w:cs="Calibri"/>
                <w:sz w:val="14"/>
                <w:szCs w:val="14"/>
              </w:rPr>
              <w:t> </w:t>
            </w:r>
          </w:p>
        </w:tc>
        <w:tc>
          <w:tcPr>
            <w:tcW w:w="681" w:type="dxa"/>
            <w:tcBorders>
              <w:top w:val="nil"/>
              <w:left w:val="nil"/>
              <w:bottom w:val="single" w:sz="4" w:space="0" w:color="auto"/>
              <w:right w:val="single" w:sz="4" w:space="0" w:color="auto"/>
            </w:tcBorders>
            <w:shd w:val="clear" w:color="auto" w:fill="auto"/>
            <w:vAlign w:val="center"/>
            <w:hideMark/>
          </w:tcPr>
          <w:p w14:paraId="073DD396"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3,4</w:t>
            </w:r>
          </w:p>
        </w:tc>
        <w:tc>
          <w:tcPr>
            <w:tcW w:w="789" w:type="dxa"/>
            <w:tcBorders>
              <w:top w:val="nil"/>
              <w:left w:val="nil"/>
              <w:bottom w:val="single" w:sz="4" w:space="0" w:color="auto"/>
              <w:right w:val="single" w:sz="4" w:space="0" w:color="auto"/>
            </w:tcBorders>
            <w:shd w:val="clear" w:color="auto" w:fill="auto"/>
            <w:vAlign w:val="center"/>
            <w:hideMark/>
          </w:tcPr>
          <w:p w14:paraId="69EACFDF" w14:textId="77777777" w:rsidR="00F00781" w:rsidRPr="00F00781" w:rsidRDefault="00F00781" w:rsidP="00F00781">
            <w:pPr>
              <w:rPr>
                <w:rFonts w:ascii="Arial Narrow" w:hAnsi="Arial Narrow" w:cs="Calibri"/>
                <w:sz w:val="14"/>
                <w:szCs w:val="14"/>
              </w:rPr>
            </w:pPr>
            <w:r w:rsidRPr="00F00781">
              <w:rPr>
                <w:rFonts w:ascii="Arial Narrow" w:hAnsi="Arial Narrow" w:cs="Calibri"/>
                <w:sz w:val="14"/>
                <w:szCs w:val="14"/>
              </w:rPr>
              <w:t> </w:t>
            </w:r>
          </w:p>
        </w:tc>
        <w:tc>
          <w:tcPr>
            <w:tcW w:w="693" w:type="dxa"/>
            <w:tcBorders>
              <w:top w:val="nil"/>
              <w:left w:val="nil"/>
              <w:bottom w:val="single" w:sz="4" w:space="0" w:color="auto"/>
              <w:right w:val="single" w:sz="4" w:space="0" w:color="auto"/>
            </w:tcBorders>
            <w:shd w:val="clear" w:color="auto" w:fill="auto"/>
            <w:vAlign w:val="center"/>
            <w:hideMark/>
          </w:tcPr>
          <w:p w14:paraId="7035888F" w14:textId="77777777" w:rsidR="00F00781" w:rsidRPr="00F00781" w:rsidRDefault="00F00781" w:rsidP="00F00781">
            <w:pPr>
              <w:rPr>
                <w:rFonts w:ascii="Arial Narrow" w:hAnsi="Arial Narrow" w:cs="Calibri"/>
                <w:sz w:val="14"/>
                <w:szCs w:val="14"/>
              </w:rPr>
            </w:pPr>
            <w:r w:rsidRPr="00F00781">
              <w:rPr>
                <w:rFonts w:ascii="Arial Narrow" w:hAnsi="Arial Narrow" w:cs="Calibri"/>
                <w:sz w:val="14"/>
                <w:szCs w:val="14"/>
              </w:rPr>
              <w:t> </w:t>
            </w:r>
          </w:p>
        </w:tc>
        <w:tc>
          <w:tcPr>
            <w:tcW w:w="537" w:type="dxa"/>
            <w:tcBorders>
              <w:top w:val="nil"/>
              <w:left w:val="nil"/>
              <w:bottom w:val="single" w:sz="4" w:space="0" w:color="auto"/>
              <w:right w:val="single" w:sz="4" w:space="0" w:color="auto"/>
            </w:tcBorders>
            <w:shd w:val="clear" w:color="auto" w:fill="auto"/>
            <w:vAlign w:val="center"/>
            <w:hideMark/>
          </w:tcPr>
          <w:p w14:paraId="50C4BB07"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0,3</w:t>
            </w:r>
          </w:p>
        </w:tc>
        <w:tc>
          <w:tcPr>
            <w:tcW w:w="1143" w:type="dxa"/>
            <w:tcBorders>
              <w:top w:val="nil"/>
              <w:left w:val="nil"/>
              <w:bottom w:val="single" w:sz="4" w:space="0" w:color="auto"/>
              <w:right w:val="single" w:sz="4" w:space="0" w:color="auto"/>
            </w:tcBorders>
            <w:shd w:val="clear" w:color="auto" w:fill="auto"/>
            <w:vAlign w:val="center"/>
            <w:hideMark/>
          </w:tcPr>
          <w:p w14:paraId="2647D6BC"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1,8</w:t>
            </w:r>
          </w:p>
        </w:tc>
        <w:tc>
          <w:tcPr>
            <w:tcW w:w="1200" w:type="dxa"/>
            <w:tcBorders>
              <w:top w:val="nil"/>
              <w:left w:val="nil"/>
              <w:bottom w:val="single" w:sz="4" w:space="0" w:color="auto"/>
              <w:right w:val="single" w:sz="4" w:space="0" w:color="auto"/>
            </w:tcBorders>
            <w:shd w:val="clear" w:color="auto" w:fill="auto"/>
            <w:vAlign w:val="center"/>
            <w:hideMark/>
          </w:tcPr>
          <w:p w14:paraId="2D059FF2"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0,4</w:t>
            </w:r>
          </w:p>
        </w:tc>
        <w:tc>
          <w:tcPr>
            <w:tcW w:w="721" w:type="dxa"/>
            <w:tcBorders>
              <w:top w:val="nil"/>
              <w:left w:val="nil"/>
              <w:bottom w:val="single" w:sz="4" w:space="0" w:color="auto"/>
              <w:right w:val="single" w:sz="4" w:space="0" w:color="auto"/>
            </w:tcBorders>
            <w:shd w:val="clear" w:color="auto" w:fill="auto"/>
            <w:vAlign w:val="center"/>
            <w:hideMark/>
          </w:tcPr>
          <w:p w14:paraId="4BD5E2DA"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2,0</w:t>
            </w:r>
          </w:p>
        </w:tc>
        <w:tc>
          <w:tcPr>
            <w:tcW w:w="721" w:type="dxa"/>
            <w:tcBorders>
              <w:top w:val="nil"/>
              <w:left w:val="nil"/>
              <w:bottom w:val="single" w:sz="4" w:space="0" w:color="auto"/>
              <w:right w:val="single" w:sz="4" w:space="0" w:color="auto"/>
            </w:tcBorders>
            <w:shd w:val="clear" w:color="auto" w:fill="auto"/>
            <w:vAlign w:val="center"/>
            <w:hideMark/>
          </w:tcPr>
          <w:p w14:paraId="676C9A29"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17,2</w:t>
            </w:r>
          </w:p>
        </w:tc>
        <w:tc>
          <w:tcPr>
            <w:tcW w:w="698" w:type="dxa"/>
            <w:tcBorders>
              <w:top w:val="nil"/>
              <w:left w:val="nil"/>
              <w:bottom w:val="single" w:sz="4" w:space="0" w:color="auto"/>
              <w:right w:val="single" w:sz="4" w:space="0" w:color="auto"/>
            </w:tcBorders>
            <w:shd w:val="clear" w:color="auto" w:fill="auto"/>
            <w:vAlign w:val="center"/>
            <w:hideMark/>
          </w:tcPr>
          <w:p w14:paraId="4C631659"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0,6</w:t>
            </w:r>
          </w:p>
        </w:tc>
        <w:tc>
          <w:tcPr>
            <w:tcW w:w="765" w:type="dxa"/>
            <w:tcBorders>
              <w:top w:val="nil"/>
              <w:left w:val="nil"/>
              <w:bottom w:val="single" w:sz="4" w:space="0" w:color="auto"/>
              <w:right w:val="single" w:sz="4" w:space="0" w:color="auto"/>
            </w:tcBorders>
            <w:shd w:val="clear" w:color="auto" w:fill="auto"/>
            <w:vAlign w:val="center"/>
            <w:hideMark/>
          </w:tcPr>
          <w:p w14:paraId="105D2D0D"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19,7</w:t>
            </w:r>
          </w:p>
        </w:tc>
        <w:tc>
          <w:tcPr>
            <w:tcW w:w="970" w:type="dxa"/>
            <w:tcBorders>
              <w:top w:val="nil"/>
              <w:left w:val="nil"/>
              <w:bottom w:val="single" w:sz="4" w:space="0" w:color="auto"/>
              <w:right w:val="single" w:sz="4" w:space="0" w:color="auto"/>
            </w:tcBorders>
            <w:shd w:val="clear" w:color="auto" w:fill="auto"/>
            <w:vAlign w:val="center"/>
            <w:hideMark/>
          </w:tcPr>
          <w:p w14:paraId="61960198" w14:textId="77777777" w:rsidR="00F00781" w:rsidRPr="00F00781" w:rsidRDefault="00F00781" w:rsidP="00F00781">
            <w:pPr>
              <w:rPr>
                <w:rFonts w:ascii="Arial Narrow" w:hAnsi="Arial Narrow" w:cs="Calibri"/>
                <w:sz w:val="14"/>
                <w:szCs w:val="14"/>
              </w:rPr>
            </w:pPr>
            <w:r w:rsidRPr="00F00781">
              <w:rPr>
                <w:rFonts w:ascii="Arial Narrow" w:hAnsi="Arial Narrow" w:cs="Calibri"/>
                <w:sz w:val="14"/>
                <w:szCs w:val="14"/>
              </w:rPr>
              <w:t> </w:t>
            </w:r>
          </w:p>
        </w:tc>
        <w:tc>
          <w:tcPr>
            <w:tcW w:w="602" w:type="dxa"/>
            <w:tcBorders>
              <w:top w:val="nil"/>
              <w:left w:val="nil"/>
              <w:bottom w:val="single" w:sz="4" w:space="0" w:color="auto"/>
              <w:right w:val="single" w:sz="4" w:space="0" w:color="auto"/>
            </w:tcBorders>
            <w:shd w:val="clear" w:color="auto" w:fill="auto"/>
            <w:vAlign w:val="center"/>
            <w:hideMark/>
          </w:tcPr>
          <w:p w14:paraId="52C8150F"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4,7</w:t>
            </w:r>
          </w:p>
        </w:tc>
        <w:tc>
          <w:tcPr>
            <w:tcW w:w="697" w:type="dxa"/>
            <w:tcBorders>
              <w:top w:val="nil"/>
              <w:left w:val="nil"/>
              <w:bottom w:val="single" w:sz="4" w:space="0" w:color="auto"/>
              <w:right w:val="single" w:sz="4" w:space="0" w:color="auto"/>
            </w:tcBorders>
            <w:shd w:val="clear" w:color="auto" w:fill="auto"/>
            <w:vAlign w:val="center"/>
            <w:hideMark/>
          </w:tcPr>
          <w:p w14:paraId="60DCCF6B"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1,2</w:t>
            </w:r>
          </w:p>
        </w:tc>
        <w:tc>
          <w:tcPr>
            <w:tcW w:w="869" w:type="dxa"/>
            <w:tcBorders>
              <w:top w:val="nil"/>
              <w:left w:val="nil"/>
              <w:bottom w:val="single" w:sz="4" w:space="0" w:color="auto"/>
              <w:right w:val="single" w:sz="4" w:space="0" w:color="auto"/>
            </w:tcBorders>
            <w:shd w:val="clear" w:color="auto" w:fill="auto"/>
            <w:vAlign w:val="center"/>
            <w:hideMark/>
          </w:tcPr>
          <w:p w14:paraId="120E1616"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23,2</w:t>
            </w:r>
          </w:p>
        </w:tc>
      </w:tr>
      <w:tr w:rsidR="00F00781" w:rsidRPr="00F00781" w14:paraId="36A400CE" w14:textId="77777777" w:rsidTr="00E01BBF">
        <w:trPr>
          <w:trHeight w:val="196"/>
        </w:trPr>
        <w:tc>
          <w:tcPr>
            <w:tcW w:w="632" w:type="dxa"/>
            <w:tcBorders>
              <w:top w:val="nil"/>
              <w:left w:val="single" w:sz="4" w:space="0" w:color="auto"/>
              <w:bottom w:val="single" w:sz="4" w:space="0" w:color="auto"/>
              <w:right w:val="single" w:sz="4" w:space="0" w:color="auto"/>
            </w:tcBorders>
            <w:shd w:val="clear" w:color="auto" w:fill="auto"/>
            <w:vAlign w:val="center"/>
            <w:hideMark/>
          </w:tcPr>
          <w:p w14:paraId="5115083A" w14:textId="77777777" w:rsidR="00F00781" w:rsidRPr="00F00781" w:rsidRDefault="00F00781" w:rsidP="00F00781">
            <w:pPr>
              <w:rPr>
                <w:rFonts w:ascii="Arial Narrow" w:hAnsi="Arial Narrow" w:cs="Calibri"/>
                <w:sz w:val="14"/>
                <w:szCs w:val="14"/>
              </w:rPr>
            </w:pPr>
            <w:r w:rsidRPr="00F00781">
              <w:rPr>
                <w:rFonts w:ascii="Arial Narrow" w:hAnsi="Arial Narrow" w:cs="Calibri"/>
                <w:sz w:val="14"/>
                <w:szCs w:val="14"/>
              </w:rPr>
              <w:t xml:space="preserve"> 06.1/2</w:t>
            </w:r>
          </w:p>
        </w:tc>
        <w:tc>
          <w:tcPr>
            <w:tcW w:w="1671" w:type="dxa"/>
            <w:tcBorders>
              <w:top w:val="nil"/>
              <w:left w:val="nil"/>
              <w:bottom w:val="single" w:sz="4" w:space="0" w:color="auto"/>
              <w:right w:val="single" w:sz="4" w:space="0" w:color="auto"/>
            </w:tcBorders>
            <w:shd w:val="clear" w:color="auto" w:fill="auto"/>
            <w:vAlign w:val="center"/>
            <w:hideMark/>
          </w:tcPr>
          <w:p w14:paraId="2EE9692C" w14:textId="77777777" w:rsidR="00F00781" w:rsidRPr="00F00781" w:rsidRDefault="00F00781" w:rsidP="00F00781">
            <w:pPr>
              <w:ind w:firstLineChars="200" w:firstLine="280"/>
              <w:rPr>
                <w:rFonts w:ascii="Arial Narrow" w:hAnsi="Arial Narrow" w:cs="Calibri"/>
                <w:sz w:val="14"/>
                <w:szCs w:val="14"/>
              </w:rPr>
            </w:pPr>
            <w:r w:rsidRPr="00F00781">
              <w:rPr>
                <w:rFonts w:ascii="Arial Narrow" w:hAnsi="Arial Narrow" w:cs="Calibri"/>
                <w:sz w:val="14"/>
                <w:szCs w:val="14"/>
              </w:rPr>
              <w:t>Круши</w:t>
            </w:r>
          </w:p>
        </w:tc>
        <w:tc>
          <w:tcPr>
            <w:tcW w:w="773" w:type="dxa"/>
            <w:tcBorders>
              <w:top w:val="nil"/>
              <w:left w:val="nil"/>
              <w:bottom w:val="single" w:sz="4" w:space="0" w:color="auto"/>
              <w:right w:val="single" w:sz="4" w:space="0" w:color="auto"/>
            </w:tcBorders>
            <w:shd w:val="clear" w:color="auto" w:fill="auto"/>
            <w:vAlign w:val="center"/>
            <w:hideMark/>
          </w:tcPr>
          <w:p w14:paraId="4B747721"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2,5</w:t>
            </w:r>
          </w:p>
        </w:tc>
        <w:tc>
          <w:tcPr>
            <w:tcW w:w="582" w:type="dxa"/>
            <w:tcBorders>
              <w:top w:val="nil"/>
              <w:left w:val="nil"/>
              <w:bottom w:val="single" w:sz="4" w:space="0" w:color="auto"/>
              <w:right w:val="single" w:sz="4" w:space="0" w:color="auto"/>
            </w:tcBorders>
            <w:shd w:val="clear" w:color="auto" w:fill="auto"/>
            <w:vAlign w:val="center"/>
            <w:hideMark/>
          </w:tcPr>
          <w:p w14:paraId="4E0B0507" w14:textId="77777777" w:rsidR="00F00781" w:rsidRPr="00F00781" w:rsidRDefault="00F00781" w:rsidP="00F00781">
            <w:pPr>
              <w:rPr>
                <w:rFonts w:ascii="Arial Narrow" w:hAnsi="Arial Narrow" w:cs="Calibri"/>
                <w:sz w:val="14"/>
                <w:szCs w:val="14"/>
              </w:rPr>
            </w:pPr>
            <w:r w:rsidRPr="00F00781">
              <w:rPr>
                <w:rFonts w:ascii="Arial Narrow" w:hAnsi="Arial Narrow" w:cs="Calibri"/>
                <w:sz w:val="14"/>
                <w:szCs w:val="14"/>
              </w:rPr>
              <w:t> </w:t>
            </w:r>
          </w:p>
        </w:tc>
        <w:tc>
          <w:tcPr>
            <w:tcW w:w="681" w:type="dxa"/>
            <w:tcBorders>
              <w:top w:val="nil"/>
              <w:left w:val="nil"/>
              <w:bottom w:val="single" w:sz="4" w:space="0" w:color="auto"/>
              <w:right w:val="single" w:sz="4" w:space="0" w:color="auto"/>
            </w:tcBorders>
            <w:shd w:val="clear" w:color="auto" w:fill="auto"/>
            <w:vAlign w:val="center"/>
            <w:hideMark/>
          </w:tcPr>
          <w:p w14:paraId="17CCC7CB"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0,3</w:t>
            </w:r>
          </w:p>
        </w:tc>
        <w:tc>
          <w:tcPr>
            <w:tcW w:w="789" w:type="dxa"/>
            <w:tcBorders>
              <w:top w:val="nil"/>
              <w:left w:val="nil"/>
              <w:bottom w:val="single" w:sz="4" w:space="0" w:color="auto"/>
              <w:right w:val="single" w:sz="4" w:space="0" w:color="auto"/>
            </w:tcBorders>
            <w:shd w:val="clear" w:color="auto" w:fill="auto"/>
            <w:vAlign w:val="center"/>
            <w:hideMark/>
          </w:tcPr>
          <w:p w14:paraId="26197FF4" w14:textId="77777777" w:rsidR="00F00781" w:rsidRPr="00F00781" w:rsidRDefault="00F00781" w:rsidP="00F00781">
            <w:pPr>
              <w:rPr>
                <w:rFonts w:ascii="Arial Narrow" w:hAnsi="Arial Narrow" w:cs="Calibri"/>
                <w:sz w:val="14"/>
                <w:szCs w:val="14"/>
              </w:rPr>
            </w:pPr>
            <w:r w:rsidRPr="00F00781">
              <w:rPr>
                <w:rFonts w:ascii="Arial Narrow" w:hAnsi="Arial Narrow" w:cs="Calibri"/>
                <w:sz w:val="14"/>
                <w:szCs w:val="14"/>
              </w:rPr>
              <w:t> </w:t>
            </w:r>
          </w:p>
        </w:tc>
        <w:tc>
          <w:tcPr>
            <w:tcW w:w="693" w:type="dxa"/>
            <w:tcBorders>
              <w:top w:val="nil"/>
              <w:left w:val="nil"/>
              <w:bottom w:val="single" w:sz="4" w:space="0" w:color="auto"/>
              <w:right w:val="single" w:sz="4" w:space="0" w:color="auto"/>
            </w:tcBorders>
            <w:shd w:val="clear" w:color="auto" w:fill="auto"/>
            <w:vAlign w:val="center"/>
            <w:hideMark/>
          </w:tcPr>
          <w:p w14:paraId="3B4E78E0" w14:textId="77777777" w:rsidR="00F00781" w:rsidRPr="00F00781" w:rsidRDefault="00F00781" w:rsidP="00F00781">
            <w:pPr>
              <w:rPr>
                <w:rFonts w:ascii="Arial Narrow" w:hAnsi="Arial Narrow" w:cs="Calibri"/>
                <w:sz w:val="14"/>
                <w:szCs w:val="14"/>
              </w:rPr>
            </w:pPr>
            <w:r w:rsidRPr="00F00781">
              <w:rPr>
                <w:rFonts w:ascii="Arial Narrow" w:hAnsi="Arial Narrow" w:cs="Calibri"/>
                <w:sz w:val="14"/>
                <w:szCs w:val="14"/>
              </w:rPr>
              <w:t> </w:t>
            </w:r>
          </w:p>
        </w:tc>
        <w:tc>
          <w:tcPr>
            <w:tcW w:w="537" w:type="dxa"/>
            <w:tcBorders>
              <w:top w:val="nil"/>
              <w:left w:val="nil"/>
              <w:bottom w:val="single" w:sz="4" w:space="0" w:color="auto"/>
              <w:right w:val="single" w:sz="4" w:space="0" w:color="auto"/>
            </w:tcBorders>
            <w:shd w:val="clear" w:color="auto" w:fill="auto"/>
            <w:vAlign w:val="center"/>
            <w:hideMark/>
          </w:tcPr>
          <w:p w14:paraId="4C7FFCEB" w14:textId="77777777" w:rsidR="00F00781" w:rsidRPr="00F00781" w:rsidRDefault="00F00781" w:rsidP="00F00781">
            <w:pPr>
              <w:rPr>
                <w:rFonts w:ascii="Arial Narrow" w:hAnsi="Arial Narrow" w:cs="Calibri"/>
                <w:sz w:val="14"/>
                <w:szCs w:val="14"/>
              </w:rPr>
            </w:pPr>
            <w:r w:rsidRPr="00F00781">
              <w:rPr>
                <w:rFonts w:ascii="Arial Narrow" w:hAnsi="Arial Narrow" w:cs="Calibri"/>
                <w:sz w:val="14"/>
                <w:szCs w:val="14"/>
              </w:rPr>
              <w:t> </w:t>
            </w:r>
          </w:p>
        </w:tc>
        <w:tc>
          <w:tcPr>
            <w:tcW w:w="1143" w:type="dxa"/>
            <w:tcBorders>
              <w:top w:val="nil"/>
              <w:left w:val="nil"/>
              <w:bottom w:val="single" w:sz="4" w:space="0" w:color="auto"/>
              <w:right w:val="single" w:sz="4" w:space="0" w:color="auto"/>
            </w:tcBorders>
            <w:shd w:val="clear" w:color="auto" w:fill="auto"/>
            <w:vAlign w:val="center"/>
            <w:hideMark/>
          </w:tcPr>
          <w:p w14:paraId="6516B184"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0,1</w:t>
            </w:r>
          </w:p>
        </w:tc>
        <w:tc>
          <w:tcPr>
            <w:tcW w:w="1200" w:type="dxa"/>
            <w:tcBorders>
              <w:top w:val="nil"/>
              <w:left w:val="nil"/>
              <w:bottom w:val="single" w:sz="4" w:space="0" w:color="auto"/>
              <w:right w:val="single" w:sz="4" w:space="0" w:color="auto"/>
            </w:tcBorders>
            <w:shd w:val="clear" w:color="auto" w:fill="auto"/>
            <w:vAlign w:val="center"/>
            <w:hideMark/>
          </w:tcPr>
          <w:p w14:paraId="32A4EF3E"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0,1</w:t>
            </w:r>
          </w:p>
        </w:tc>
        <w:tc>
          <w:tcPr>
            <w:tcW w:w="721" w:type="dxa"/>
            <w:tcBorders>
              <w:top w:val="nil"/>
              <w:left w:val="nil"/>
              <w:bottom w:val="single" w:sz="4" w:space="0" w:color="auto"/>
              <w:right w:val="single" w:sz="4" w:space="0" w:color="auto"/>
            </w:tcBorders>
            <w:shd w:val="clear" w:color="auto" w:fill="auto"/>
            <w:vAlign w:val="center"/>
            <w:hideMark/>
          </w:tcPr>
          <w:p w14:paraId="7C7AF2A3"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0,4</w:t>
            </w:r>
          </w:p>
        </w:tc>
        <w:tc>
          <w:tcPr>
            <w:tcW w:w="721" w:type="dxa"/>
            <w:tcBorders>
              <w:top w:val="nil"/>
              <w:left w:val="nil"/>
              <w:bottom w:val="single" w:sz="4" w:space="0" w:color="auto"/>
              <w:right w:val="single" w:sz="4" w:space="0" w:color="auto"/>
            </w:tcBorders>
            <w:shd w:val="clear" w:color="auto" w:fill="auto"/>
            <w:vAlign w:val="center"/>
            <w:hideMark/>
          </w:tcPr>
          <w:p w14:paraId="13BB649C"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1,8</w:t>
            </w:r>
          </w:p>
        </w:tc>
        <w:tc>
          <w:tcPr>
            <w:tcW w:w="698" w:type="dxa"/>
            <w:tcBorders>
              <w:top w:val="nil"/>
              <w:left w:val="nil"/>
              <w:bottom w:val="single" w:sz="4" w:space="0" w:color="auto"/>
              <w:right w:val="single" w:sz="4" w:space="0" w:color="auto"/>
            </w:tcBorders>
            <w:shd w:val="clear" w:color="auto" w:fill="auto"/>
            <w:vAlign w:val="center"/>
            <w:hideMark/>
          </w:tcPr>
          <w:p w14:paraId="170F5EDC"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0,4</w:t>
            </w:r>
          </w:p>
        </w:tc>
        <w:tc>
          <w:tcPr>
            <w:tcW w:w="765" w:type="dxa"/>
            <w:tcBorders>
              <w:top w:val="nil"/>
              <w:left w:val="nil"/>
              <w:bottom w:val="single" w:sz="4" w:space="0" w:color="auto"/>
              <w:right w:val="single" w:sz="4" w:space="0" w:color="auto"/>
            </w:tcBorders>
            <w:shd w:val="clear" w:color="auto" w:fill="auto"/>
            <w:vAlign w:val="center"/>
            <w:hideMark/>
          </w:tcPr>
          <w:p w14:paraId="43B6DB83"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2,6</w:t>
            </w:r>
          </w:p>
        </w:tc>
        <w:tc>
          <w:tcPr>
            <w:tcW w:w="970" w:type="dxa"/>
            <w:tcBorders>
              <w:top w:val="nil"/>
              <w:left w:val="nil"/>
              <w:bottom w:val="single" w:sz="4" w:space="0" w:color="auto"/>
              <w:right w:val="single" w:sz="4" w:space="0" w:color="auto"/>
            </w:tcBorders>
            <w:shd w:val="clear" w:color="auto" w:fill="auto"/>
            <w:vAlign w:val="center"/>
            <w:hideMark/>
          </w:tcPr>
          <w:p w14:paraId="59101644" w14:textId="77777777" w:rsidR="00F00781" w:rsidRPr="00F00781" w:rsidRDefault="00F00781" w:rsidP="00F00781">
            <w:pPr>
              <w:rPr>
                <w:rFonts w:ascii="Arial Narrow" w:hAnsi="Arial Narrow" w:cs="Calibri"/>
                <w:sz w:val="14"/>
                <w:szCs w:val="14"/>
              </w:rPr>
            </w:pPr>
            <w:r w:rsidRPr="00F00781">
              <w:rPr>
                <w:rFonts w:ascii="Arial Narrow" w:hAnsi="Arial Narrow" w:cs="Calibri"/>
                <w:sz w:val="14"/>
                <w:szCs w:val="14"/>
              </w:rPr>
              <w:t> </w:t>
            </w:r>
          </w:p>
        </w:tc>
        <w:tc>
          <w:tcPr>
            <w:tcW w:w="602" w:type="dxa"/>
            <w:tcBorders>
              <w:top w:val="nil"/>
              <w:left w:val="nil"/>
              <w:bottom w:val="single" w:sz="4" w:space="0" w:color="auto"/>
              <w:right w:val="single" w:sz="4" w:space="0" w:color="auto"/>
            </w:tcBorders>
            <w:shd w:val="clear" w:color="auto" w:fill="auto"/>
            <w:vAlign w:val="center"/>
            <w:hideMark/>
          </w:tcPr>
          <w:p w14:paraId="59331B33" w14:textId="77777777" w:rsidR="00F00781" w:rsidRPr="00F00781" w:rsidRDefault="00F00781" w:rsidP="00F00781">
            <w:pPr>
              <w:rPr>
                <w:rFonts w:ascii="Arial Narrow" w:hAnsi="Arial Narrow" w:cs="Calibri"/>
                <w:sz w:val="14"/>
                <w:szCs w:val="14"/>
              </w:rPr>
            </w:pPr>
            <w:r w:rsidRPr="00F00781">
              <w:rPr>
                <w:rFonts w:ascii="Arial Narrow" w:hAnsi="Arial Narrow" w:cs="Calibri"/>
                <w:sz w:val="14"/>
                <w:szCs w:val="14"/>
              </w:rPr>
              <w:t> </w:t>
            </w:r>
          </w:p>
        </w:tc>
        <w:tc>
          <w:tcPr>
            <w:tcW w:w="697" w:type="dxa"/>
            <w:tcBorders>
              <w:top w:val="nil"/>
              <w:left w:val="nil"/>
              <w:bottom w:val="single" w:sz="4" w:space="0" w:color="auto"/>
              <w:right w:val="single" w:sz="4" w:space="0" w:color="auto"/>
            </w:tcBorders>
            <w:shd w:val="clear" w:color="auto" w:fill="auto"/>
            <w:vAlign w:val="center"/>
            <w:hideMark/>
          </w:tcPr>
          <w:p w14:paraId="18A74DF8"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-0,2</w:t>
            </w:r>
          </w:p>
        </w:tc>
        <w:tc>
          <w:tcPr>
            <w:tcW w:w="869" w:type="dxa"/>
            <w:tcBorders>
              <w:top w:val="nil"/>
              <w:left w:val="nil"/>
              <w:bottom w:val="single" w:sz="4" w:space="0" w:color="auto"/>
              <w:right w:val="single" w:sz="4" w:space="0" w:color="auto"/>
            </w:tcBorders>
            <w:shd w:val="clear" w:color="auto" w:fill="auto"/>
            <w:vAlign w:val="center"/>
            <w:hideMark/>
          </w:tcPr>
          <w:p w14:paraId="6566DFC9"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2,5</w:t>
            </w:r>
          </w:p>
        </w:tc>
      </w:tr>
      <w:tr w:rsidR="00F00781" w:rsidRPr="00F00781" w14:paraId="427F1C31" w14:textId="77777777" w:rsidTr="00E01BBF">
        <w:trPr>
          <w:trHeight w:val="196"/>
        </w:trPr>
        <w:tc>
          <w:tcPr>
            <w:tcW w:w="632" w:type="dxa"/>
            <w:tcBorders>
              <w:top w:val="nil"/>
              <w:left w:val="single" w:sz="4" w:space="0" w:color="auto"/>
              <w:bottom w:val="single" w:sz="4" w:space="0" w:color="auto"/>
              <w:right w:val="single" w:sz="4" w:space="0" w:color="auto"/>
            </w:tcBorders>
            <w:shd w:val="clear" w:color="auto" w:fill="auto"/>
            <w:vAlign w:val="center"/>
            <w:hideMark/>
          </w:tcPr>
          <w:p w14:paraId="4CBFB00F" w14:textId="77777777" w:rsidR="00F00781" w:rsidRPr="00F00781" w:rsidRDefault="00F00781" w:rsidP="00F00781">
            <w:pPr>
              <w:rPr>
                <w:rFonts w:ascii="Arial Narrow" w:hAnsi="Arial Narrow" w:cs="Calibri"/>
                <w:sz w:val="14"/>
                <w:szCs w:val="14"/>
              </w:rPr>
            </w:pPr>
            <w:r w:rsidRPr="00F00781">
              <w:rPr>
                <w:rFonts w:ascii="Arial Narrow" w:hAnsi="Arial Narrow" w:cs="Calibri"/>
                <w:sz w:val="14"/>
                <w:szCs w:val="14"/>
              </w:rPr>
              <w:t xml:space="preserve"> 06.1/3</w:t>
            </w:r>
          </w:p>
        </w:tc>
        <w:tc>
          <w:tcPr>
            <w:tcW w:w="1671" w:type="dxa"/>
            <w:tcBorders>
              <w:top w:val="nil"/>
              <w:left w:val="nil"/>
              <w:bottom w:val="single" w:sz="4" w:space="0" w:color="auto"/>
              <w:right w:val="single" w:sz="4" w:space="0" w:color="auto"/>
            </w:tcBorders>
            <w:shd w:val="clear" w:color="auto" w:fill="auto"/>
            <w:vAlign w:val="center"/>
            <w:hideMark/>
          </w:tcPr>
          <w:p w14:paraId="70D20564" w14:textId="77777777" w:rsidR="00F00781" w:rsidRPr="00F00781" w:rsidRDefault="00F00781" w:rsidP="00F00781">
            <w:pPr>
              <w:ind w:firstLineChars="200" w:firstLine="280"/>
              <w:rPr>
                <w:rFonts w:ascii="Arial Narrow" w:hAnsi="Arial Narrow" w:cs="Calibri"/>
                <w:sz w:val="14"/>
                <w:szCs w:val="14"/>
              </w:rPr>
            </w:pPr>
            <w:r w:rsidRPr="00F00781">
              <w:rPr>
                <w:rFonts w:ascii="Arial Narrow" w:hAnsi="Arial Narrow" w:cs="Calibri"/>
                <w:sz w:val="14"/>
                <w:szCs w:val="14"/>
              </w:rPr>
              <w:t>Праскови</w:t>
            </w:r>
          </w:p>
        </w:tc>
        <w:tc>
          <w:tcPr>
            <w:tcW w:w="773" w:type="dxa"/>
            <w:tcBorders>
              <w:top w:val="nil"/>
              <w:left w:val="nil"/>
              <w:bottom w:val="single" w:sz="4" w:space="0" w:color="auto"/>
              <w:right w:val="single" w:sz="4" w:space="0" w:color="auto"/>
            </w:tcBorders>
            <w:shd w:val="clear" w:color="auto" w:fill="auto"/>
            <w:vAlign w:val="center"/>
            <w:hideMark/>
          </w:tcPr>
          <w:p w14:paraId="4425B448"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17,0</w:t>
            </w:r>
          </w:p>
        </w:tc>
        <w:tc>
          <w:tcPr>
            <w:tcW w:w="582" w:type="dxa"/>
            <w:tcBorders>
              <w:top w:val="nil"/>
              <w:left w:val="nil"/>
              <w:bottom w:val="single" w:sz="4" w:space="0" w:color="auto"/>
              <w:right w:val="single" w:sz="4" w:space="0" w:color="auto"/>
            </w:tcBorders>
            <w:shd w:val="clear" w:color="auto" w:fill="auto"/>
            <w:vAlign w:val="center"/>
            <w:hideMark/>
          </w:tcPr>
          <w:p w14:paraId="7581F7CF" w14:textId="77777777" w:rsidR="00F00781" w:rsidRPr="00F00781" w:rsidRDefault="00F00781" w:rsidP="00F00781">
            <w:pPr>
              <w:rPr>
                <w:rFonts w:ascii="Arial Narrow" w:hAnsi="Arial Narrow" w:cs="Calibri"/>
                <w:sz w:val="14"/>
                <w:szCs w:val="14"/>
              </w:rPr>
            </w:pPr>
            <w:r w:rsidRPr="00F00781">
              <w:rPr>
                <w:rFonts w:ascii="Arial Narrow" w:hAnsi="Arial Narrow" w:cs="Calibri"/>
                <w:sz w:val="14"/>
                <w:szCs w:val="14"/>
              </w:rPr>
              <w:t> </w:t>
            </w:r>
          </w:p>
        </w:tc>
        <w:tc>
          <w:tcPr>
            <w:tcW w:w="681" w:type="dxa"/>
            <w:tcBorders>
              <w:top w:val="nil"/>
              <w:left w:val="nil"/>
              <w:bottom w:val="single" w:sz="4" w:space="0" w:color="auto"/>
              <w:right w:val="single" w:sz="4" w:space="0" w:color="auto"/>
            </w:tcBorders>
            <w:shd w:val="clear" w:color="auto" w:fill="auto"/>
            <w:vAlign w:val="center"/>
            <w:hideMark/>
          </w:tcPr>
          <w:p w14:paraId="160CAF3F" w14:textId="77777777" w:rsidR="00F00781" w:rsidRPr="00F00781" w:rsidRDefault="00F00781" w:rsidP="00F00781">
            <w:pPr>
              <w:rPr>
                <w:rFonts w:ascii="Arial Narrow" w:hAnsi="Arial Narrow" w:cs="Calibri"/>
                <w:sz w:val="14"/>
                <w:szCs w:val="14"/>
              </w:rPr>
            </w:pPr>
            <w:r w:rsidRPr="00F00781">
              <w:rPr>
                <w:rFonts w:ascii="Arial Narrow" w:hAnsi="Arial Narrow" w:cs="Calibri"/>
                <w:sz w:val="14"/>
                <w:szCs w:val="14"/>
              </w:rPr>
              <w:t> </w:t>
            </w:r>
          </w:p>
        </w:tc>
        <w:tc>
          <w:tcPr>
            <w:tcW w:w="789" w:type="dxa"/>
            <w:tcBorders>
              <w:top w:val="nil"/>
              <w:left w:val="nil"/>
              <w:bottom w:val="single" w:sz="4" w:space="0" w:color="auto"/>
              <w:right w:val="single" w:sz="4" w:space="0" w:color="auto"/>
            </w:tcBorders>
            <w:shd w:val="clear" w:color="auto" w:fill="auto"/>
            <w:vAlign w:val="center"/>
            <w:hideMark/>
          </w:tcPr>
          <w:p w14:paraId="7FABBEDA" w14:textId="77777777" w:rsidR="00F00781" w:rsidRPr="00F00781" w:rsidRDefault="00F00781" w:rsidP="00F00781">
            <w:pPr>
              <w:rPr>
                <w:rFonts w:ascii="Arial Narrow" w:hAnsi="Arial Narrow" w:cs="Calibri"/>
                <w:sz w:val="14"/>
                <w:szCs w:val="14"/>
              </w:rPr>
            </w:pPr>
            <w:r w:rsidRPr="00F00781">
              <w:rPr>
                <w:rFonts w:ascii="Arial Narrow" w:hAnsi="Arial Narrow" w:cs="Calibri"/>
                <w:sz w:val="14"/>
                <w:szCs w:val="14"/>
              </w:rPr>
              <w:t> </w:t>
            </w:r>
          </w:p>
        </w:tc>
        <w:tc>
          <w:tcPr>
            <w:tcW w:w="693" w:type="dxa"/>
            <w:tcBorders>
              <w:top w:val="nil"/>
              <w:left w:val="nil"/>
              <w:bottom w:val="single" w:sz="4" w:space="0" w:color="auto"/>
              <w:right w:val="single" w:sz="4" w:space="0" w:color="auto"/>
            </w:tcBorders>
            <w:shd w:val="clear" w:color="auto" w:fill="auto"/>
            <w:vAlign w:val="center"/>
            <w:hideMark/>
          </w:tcPr>
          <w:p w14:paraId="7AC5AF85" w14:textId="77777777" w:rsidR="00F00781" w:rsidRPr="00F00781" w:rsidRDefault="00F00781" w:rsidP="00F00781">
            <w:pPr>
              <w:rPr>
                <w:rFonts w:ascii="Arial Narrow" w:hAnsi="Arial Narrow" w:cs="Calibri"/>
                <w:sz w:val="14"/>
                <w:szCs w:val="14"/>
              </w:rPr>
            </w:pPr>
            <w:r w:rsidRPr="00F00781">
              <w:rPr>
                <w:rFonts w:ascii="Arial Narrow" w:hAnsi="Arial Narrow" w:cs="Calibri"/>
                <w:sz w:val="14"/>
                <w:szCs w:val="14"/>
              </w:rPr>
              <w:t> </w:t>
            </w:r>
          </w:p>
        </w:tc>
        <w:tc>
          <w:tcPr>
            <w:tcW w:w="537" w:type="dxa"/>
            <w:tcBorders>
              <w:top w:val="nil"/>
              <w:left w:val="nil"/>
              <w:bottom w:val="single" w:sz="4" w:space="0" w:color="auto"/>
              <w:right w:val="single" w:sz="4" w:space="0" w:color="auto"/>
            </w:tcBorders>
            <w:shd w:val="clear" w:color="auto" w:fill="auto"/>
            <w:vAlign w:val="center"/>
            <w:hideMark/>
          </w:tcPr>
          <w:p w14:paraId="0CEB8B1D" w14:textId="77777777" w:rsidR="00F00781" w:rsidRPr="00F00781" w:rsidRDefault="00F00781" w:rsidP="00F00781">
            <w:pPr>
              <w:rPr>
                <w:rFonts w:ascii="Arial Narrow" w:hAnsi="Arial Narrow" w:cs="Calibri"/>
                <w:sz w:val="14"/>
                <w:szCs w:val="14"/>
              </w:rPr>
            </w:pPr>
            <w:r w:rsidRPr="00F00781">
              <w:rPr>
                <w:rFonts w:ascii="Arial Narrow" w:hAnsi="Arial Narrow" w:cs="Calibri"/>
                <w:sz w:val="14"/>
                <w:szCs w:val="14"/>
              </w:rPr>
              <w:t> </w:t>
            </w:r>
          </w:p>
        </w:tc>
        <w:tc>
          <w:tcPr>
            <w:tcW w:w="1143" w:type="dxa"/>
            <w:tcBorders>
              <w:top w:val="nil"/>
              <w:left w:val="nil"/>
              <w:bottom w:val="single" w:sz="4" w:space="0" w:color="auto"/>
              <w:right w:val="single" w:sz="4" w:space="0" w:color="auto"/>
            </w:tcBorders>
            <w:shd w:val="clear" w:color="auto" w:fill="auto"/>
            <w:vAlign w:val="center"/>
            <w:hideMark/>
          </w:tcPr>
          <w:p w14:paraId="43448C82" w14:textId="77777777" w:rsidR="00F00781" w:rsidRPr="00F00781" w:rsidRDefault="00F00781" w:rsidP="00F00781">
            <w:pPr>
              <w:rPr>
                <w:rFonts w:ascii="Arial Narrow" w:hAnsi="Arial Narrow" w:cs="Calibri"/>
                <w:sz w:val="14"/>
                <w:szCs w:val="14"/>
              </w:rPr>
            </w:pPr>
            <w:r w:rsidRPr="00F00781">
              <w:rPr>
                <w:rFonts w:ascii="Arial Narrow" w:hAnsi="Arial Narrow" w:cs="Calibri"/>
                <w:sz w:val="14"/>
                <w:szCs w:val="14"/>
              </w:rPr>
              <w:t> </w:t>
            </w:r>
          </w:p>
        </w:tc>
        <w:tc>
          <w:tcPr>
            <w:tcW w:w="1200" w:type="dxa"/>
            <w:tcBorders>
              <w:top w:val="nil"/>
              <w:left w:val="nil"/>
              <w:bottom w:val="single" w:sz="4" w:space="0" w:color="auto"/>
              <w:right w:val="single" w:sz="4" w:space="0" w:color="auto"/>
            </w:tcBorders>
            <w:shd w:val="clear" w:color="auto" w:fill="auto"/>
            <w:vAlign w:val="center"/>
            <w:hideMark/>
          </w:tcPr>
          <w:p w14:paraId="37CF412D" w14:textId="77777777" w:rsidR="00F00781" w:rsidRPr="00F00781" w:rsidRDefault="00F00781" w:rsidP="00F00781">
            <w:pPr>
              <w:rPr>
                <w:rFonts w:ascii="Arial Narrow" w:hAnsi="Arial Narrow" w:cs="Calibri"/>
                <w:sz w:val="14"/>
                <w:szCs w:val="14"/>
              </w:rPr>
            </w:pPr>
            <w:r w:rsidRPr="00F00781">
              <w:rPr>
                <w:rFonts w:ascii="Arial Narrow" w:hAnsi="Arial Narrow" w:cs="Calibri"/>
                <w:sz w:val="14"/>
                <w:szCs w:val="14"/>
              </w:rPr>
              <w:t> </w:t>
            </w:r>
          </w:p>
        </w:tc>
        <w:tc>
          <w:tcPr>
            <w:tcW w:w="721" w:type="dxa"/>
            <w:tcBorders>
              <w:top w:val="nil"/>
              <w:left w:val="nil"/>
              <w:bottom w:val="single" w:sz="4" w:space="0" w:color="auto"/>
              <w:right w:val="single" w:sz="4" w:space="0" w:color="auto"/>
            </w:tcBorders>
            <w:shd w:val="clear" w:color="auto" w:fill="auto"/>
            <w:vAlign w:val="center"/>
            <w:hideMark/>
          </w:tcPr>
          <w:p w14:paraId="25042F0B"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0,1</w:t>
            </w:r>
          </w:p>
        </w:tc>
        <w:tc>
          <w:tcPr>
            <w:tcW w:w="721" w:type="dxa"/>
            <w:tcBorders>
              <w:top w:val="nil"/>
              <w:left w:val="nil"/>
              <w:bottom w:val="single" w:sz="4" w:space="0" w:color="auto"/>
              <w:right w:val="single" w:sz="4" w:space="0" w:color="auto"/>
            </w:tcBorders>
            <w:shd w:val="clear" w:color="auto" w:fill="auto"/>
            <w:vAlign w:val="center"/>
            <w:hideMark/>
          </w:tcPr>
          <w:p w14:paraId="2C8D8EB7"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16,6</w:t>
            </w:r>
          </w:p>
        </w:tc>
        <w:tc>
          <w:tcPr>
            <w:tcW w:w="698" w:type="dxa"/>
            <w:tcBorders>
              <w:top w:val="nil"/>
              <w:left w:val="nil"/>
              <w:bottom w:val="single" w:sz="4" w:space="0" w:color="auto"/>
              <w:right w:val="single" w:sz="4" w:space="0" w:color="auto"/>
            </w:tcBorders>
            <w:shd w:val="clear" w:color="auto" w:fill="auto"/>
            <w:vAlign w:val="center"/>
            <w:hideMark/>
          </w:tcPr>
          <w:p w14:paraId="4DA8D487"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0,3</w:t>
            </w:r>
          </w:p>
        </w:tc>
        <w:tc>
          <w:tcPr>
            <w:tcW w:w="765" w:type="dxa"/>
            <w:tcBorders>
              <w:top w:val="nil"/>
              <w:left w:val="nil"/>
              <w:bottom w:val="single" w:sz="4" w:space="0" w:color="auto"/>
              <w:right w:val="single" w:sz="4" w:space="0" w:color="auto"/>
            </w:tcBorders>
            <w:shd w:val="clear" w:color="auto" w:fill="auto"/>
            <w:vAlign w:val="center"/>
            <w:hideMark/>
          </w:tcPr>
          <w:p w14:paraId="60EE14E9"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17,0</w:t>
            </w:r>
          </w:p>
        </w:tc>
        <w:tc>
          <w:tcPr>
            <w:tcW w:w="970" w:type="dxa"/>
            <w:tcBorders>
              <w:top w:val="nil"/>
              <w:left w:val="nil"/>
              <w:bottom w:val="single" w:sz="4" w:space="0" w:color="auto"/>
              <w:right w:val="single" w:sz="4" w:space="0" w:color="auto"/>
            </w:tcBorders>
            <w:shd w:val="clear" w:color="auto" w:fill="auto"/>
            <w:vAlign w:val="center"/>
            <w:hideMark/>
          </w:tcPr>
          <w:p w14:paraId="28A50EA1" w14:textId="77777777" w:rsidR="00F00781" w:rsidRPr="00F00781" w:rsidRDefault="00F00781" w:rsidP="00F00781">
            <w:pPr>
              <w:rPr>
                <w:rFonts w:ascii="Arial Narrow" w:hAnsi="Arial Narrow" w:cs="Calibri"/>
                <w:sz w:val="14"/>
                <w:szCs w:val="14"/>
              </w:rPr>
            </w:pPr>
            <w:r w:rsidRPr="00F00781">
              <w:rPr>
                <w:rFonts w:ascii="Arial Narrow" w:hAnsi="Arial Narrow" w:cs="Calibri"/>
                <w:sz w:val="14"/>
                <w:szCs w:val="14"/>
              </w:rPr>
              <w:t> </w:t>
            </w:r>
          </w:p>
        </w:tc>
        <w:tc>
          <w:tcPr>
            <w:tcW w:w="602" w:type="dxa"/>
            <w:tcBorders>
              <w:top w:val="nil"/>
              <w:left w:val="nil"/>
              <w:bottom w:val="single" w:sz="4" w:space="0" w:color="auto"/>
              <w:right w:val="single" w:sz="4" w:space="0" w:color="auto"/>
            </w:tcBorders>
            <w:shd w:val="clear" w:color="auto" w:fill="auto"/>
            <w:vAlign w:val="center"/>
            <w:hideMark/>
          </w:tcPr>
          <w:p w14:paraId="5F2F041D" w14:textId="77777777" w:rsidR="00F00781" w:rsidRPr="00F00781" w:rsidRDefault="00F00781" w:rsidP="00F00781">
            <w:pPr>
              <w:rPr>
                <w:rFonts w:ascii="Arial Narrow" w:hAnsi="Arial Narrow" w:cs="Calibri"/>
                <w:sz w:val="14"/>
                <w:szCs w:val="14"/>
              </w:rPr>
            </w:pPr>
            <w:r w:rsidRPr="00F00781">
              <w:rPr>
                <w:rFonts w:ascii="Arial Narrow" w:hAnsi="Arial Narrow" w:cs="Calibri"/>
                <w:sz w:val="14"/>
                <w:szCs w:val="14"/>
              </w:rPr>
              <w:t> </w:t>
            </w:r>
          </w:p>
        </w:tc>
        <w:tc>
          <w:tcPr>
            <w:tcW w:w="697" w:type="dxa"/>
            <w:tcBorders>
              <w:top w:val="nil"/>
              <w:left w:val="nil"/>
              <w:bottom w:val="single" w:sz="4" w:space="0" w:color="auto"/>
              <w:right w:val="single" w:sz="4" w:space="0" w:color="auto"/>
            </w:tcBorders>
            <w:shd w:val="clear" w:color="auto" w:fill="auto"/>
            <w:vAlign w:val="center"/>
            <w:hideMark/>
          </w:tcPr>
          <w:p w14:paraId="29BDAD45" w14:textId="77777777" w:rsidR="00F00781" w:rsidRPr="00F00781" w:rsidRDefault="00F00781" w:rsidP="00F00781">
            <w:pPr>
              <w:rPr>
                <w:rFonts w:ascii="Arial Narrow" w:hAnsi="Arial Narrow" w:cs="Calibri"/>
                <w:sz w:val="14"/>
                <w:szCs w:val="14"/>
              </w:rPr>
            </w:pPr>
            <w:r w:rsidRPr="00F00781">
              <w:rPr>
                <w:rFonts w:ascii="Arial Narrow" w:hAnsi="Arial Narrow" w:cs="Calibri"/>
                <w:sz w:val="14"/>
                <w:szCs w:val="14"/>
              </w:rPr>
              <w:t> </w:t>
            </w:r>
          </w:p>
        </w:tc>
        <w:tc>
          <w:tcPr>
            <w:tcW w:w="869" w:type="dxa"/>
            <w:tcBorders>
              <w:top w:val="nil"/>
              <w:left w:val="nil"/>
              <w:bottom w:val="single" w:sz="4" w:space="0" w:color="auto"/>
              <w:right w:val="single" w:sz="4" w:space="0" w:color="auto"/>
            </w:tcBorders>
            <w:shd w:val="clear" w:color="auto" w:fill="auto"/>
            <w:vAlign w:val="center"/>
            <w:hideMark/>
          </w:tcPr>
          <w:p w14:paraId="6CACF6A5"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17,0</w:t>
            </w:r>
          </w:p>
        </w:tc>
      </w:tr>
      <w:tr w:rsidR="00F00781" w:rsidRPr="00F00781" w14:paraId="195379D9" w14:textId="77777777" w:rsidTr="00E01BBF">
        <w:trPr>
          <w:trHeight w:val="196"/>
        </w:trPr>
        <w:tc>
          <w:tcPr>
            <w:tcW w:w="632" w:type="dxa"/>
            <w:tcBorders>
              <w:top w:val="nil"/>
              <w:left w:val="single" w:sz="4" w:space="0" w:color="auto"/>
              <w:bottom w:val="single" w:sz="4" w:space="0" w:color="auto"/>
              <w:right w:val="single" w:sz="4" w:space="0" w:color="auto"/>
            </w:tcBorders>
            <w:shd w:val="clear" w:color="auto" w:fill="auto"/>
            <w:vAlign w:val="center"/>
            <w:hideMark/>
          </w:tcPr>
          <w:p w14:paraId="21694E35" w14:textId="77777777" w:rsidR="00F00781" w:rsidRPr="00F00781" w:rsidRDefault="00F00781" w:rsidP="00F00781">
            <w:pPr>
              <w:rPr>
                <w:rFonts w:ascii="Arial Narrow" w:hAnsi="Arial Narrow" w:cs="Calibri"/>
                <w:sz w:val="14"/>
                <w:szCs w:val="14"/>
              </w:rPr>
            </w:pPr>
            <w:r w:rsidRPr="00F00781">
              <w:rPr>
                <w:rFonts w:ascii="Arial Narrow" w:hAnsi="Arial Narrow" w:cs="Calibri"/>
                <w:sz w:val="14"/>
                <w:szCs w:val="14"/>
              </w:rPr>
              <w:t xml:space="preserve"> 06.1/4</w:t>
            </w:r>
          </w:p>
        </w:tc>
        <w:tc>
          <w:tcPr>
            <w:tcW w:w="1671" w:type="dxa"/>
            <w:tcBorders>
              <w:top w:val="nil"/>
              <w:left w:val="nil"/>
              <w:bottom w:val="single" w:sz="4" w:space="0" w:color="auto"/>
              <w:right w:val="single" w:sz="4" w:space="0" w:color="auto"/>
            </w:tcBorders>
            <w:shd w:val="clear" w:color="auto" w:fill="auto"/>
            <w:vAlign w:val="center"/>
            <w:hideMark/>
          </w:tcPr>
          <w:p w14:paraId="5FEA08E4" w14:textId="77777777" w:rsidR="00F00781" w:rsidRPr="00F00781" w:rsidRDefault="00F00781" w:rsidP="00F00781">
            <w:pPr>
              <w:ind w:firstLineChars="200" w:firstLine="280"/>
              <w:rPr>
                <w:rFonts w:ascii="Arial Narrow" w:hAnsi="Arial Narrow" w:cs="Calibri"/>
                <w:sz w:val="14"/>
                <w:szCs w:val="14"/>
              </w:rPr>
            </w:pPr>
            <w:r w:rsidRPr="00F00781">
              <w:rPr>
                <w:rFonts w:ascii="Arial Narrow" w:hAnsi="Arial Narrow" w:cs="Calibri"/>
                <w:sz w:val="14"/>
                <w:szCs w:val="14"/>
              </w:rPr>
              <w:t>Други пресни плодове</w:t>
            </w:r>
          </w:p>
        </w:tc>
        <w:tc>
          <w:tcPr>
            <w:tcW w:w="773" w:type="dxa"/>
            <w:tcBorders>
              <w:top w:val="nil"/>
              <w:left w:val="nil"/>
              <w:bottom w:val="single" w:sz="4" w:space="0" w:color="auto"/>
              <w:right w:val="single" w:sz="4" w:space="0" w:color="auto"/>
            </w:tcBorders>
            <w:shd w:val="clear" w:color="auto" w:fill="auto"/>
            <w:vAlign w:val="center"/>
            <w:hideMark/>
          </w:tcPr>
          <w:p w14:paraId="3063F12A"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193,1</w:t>
            </w:r>
          </w:p>
        </w:tc>
        <w:tc>
          <w:tcPr>
            <w:tcW w:w="582" w:type="dxa"/>
            <w:tcBorders>
              <w:top w:val="nil"/>
              <w:left w:val="nil"/>
              <w:bottom w:val="single" w:sz="4" w:space="0" w:color="auto"/>
              <w:right w:val="single" w:sz="4" w:space="0" w:color="auto"/>
            </w:tcBorders>
            <w:shd w:val="clear" w:color="auto" w:fill="auto"/>
            <w:vAlign w:val="center"/>
            <w:hideMark/>
          </w:tcPr>
          <w:p w14:paraId="0527A60A" w14:textId="77777777" w:rsidR="00F00781" w:rsidRPr="00F00781" w:rsidRDefault="00F00781" w:rsidP="00F00781">
            <w:pPr>
              <w:rPr>
                <w:rFonts w:ascii="Arial Narrow" w:hAnsi="Arial Narrow" w:cs="Calibri"/>
                <w:sz w:val="14"/>
                <w:szCs w:val="14"/>
              </w:rPr>
            </w:pPr>
            <w:r w:rsidRPr="00F00781">
              <w:rPr>
                <w:rFonts w:ascii="Arial Narrow" w:hAnsi="Arial Narrow" w:cs="Calibri"/>
                <w:sz w:val="14"/>
                <w:szCs w:val="14"/>
              </w:rPr>
              <w:t> </w:t>
            </w:r>
          </w:p>
        </w:tc>
        <w:tc>
          <w:tcPr>
            <w:tcW w:w="681" w:type="dxa"/>
            <w:tcBorders>
              <w:top w:val="nil"/>
              <w:left w:val="nil"/>
              <w:bottom w:val="single" w:sz="4" w:space="0" w:color="auto"/>
              <w:right w:val="single" w:sz="4" w:space="0" w:color="auto"/>
            </w:tcBorders>
            <w:shd w:val="clear" w:color="auto" w:fill="auto"/>
            <w:vAlign w:val="center"/>
            <w:hideMark/>
          </w:tcPr>
          <w:p w14:paraId="5D196F93"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4,2</w:t>
            </w:r>
          </w:p>
        </w:tc>
        <w:tc>
          <w:tcPr>
            <w:tcW w:w="789" w:type="dxa"/>
            <w:tcBorders>
              <w:top w:val="nil"/>
              <w:left w:val="nil"/>
              <w:bottom w:val="single" w:sz="4" w:space="0" w:color="auto"/>
              <w:right w:val="single" w:sz="4" w:space="0" w:color="auto"/>
            </w:tcBorders>
            <w:shd w:val="clear" w:color="auto" w:fill="auto"/>
            <w:vAlign w:val="center"/>
            <w:hideMark/>
          </w:tcPr>
          <w:p w14:paraId="33DA3F1B" w14:textId="77777777" w:rsidR="00F00781" w:rsidRPr="00F00781" w:rsidRDefault="00F00781" w:rsidP="00F00781">
            <w:pPr>
              <w:rPr>
                <w:rFonts w:ascii="Arial Narrow" w:hAnsi="Arial Narrow" w:cs="Calibri"/>
                <w:sz w:val="14"/>
                <w:szCs w:val="14"/>
              </w:rPr>
            </w:pPr>
            <w:r w:rsidRPr="00F00781">
              <w:rPr>
                <w:rFonts w:ascii="Arial Narrow" w:hAnsi="Arial Narrow" w:cs="Calibri"/>
                <w:sz w:val="14"/>
                <w:szCs w:val="14"/>
              </w:rPr>
              <w:t> </w:t>
            </w:r>
          </w:p>
        </w:tc>
        <w:tc>
          <w:tcPr>
            <w:tcW w:w="693" w:type="dxa"/>
            <w:tcBorders>
              <w:top w:val="nil"/>
              <w:left w:val="nil"/>
              <w:bottom w:val="single" w:sz="4" w:space="0" w:color="auto"/>
              <w:right w:val="single" w:sz="4" w:space="0" w:color="auto"/>
            </w:tcBorders>
            <w:shd w:val="clear" w:color="auto" w:fill="auto"/>
            <w:vAlign w:val="center"/>
            <w:hideMark/>
          </w:tcPr>
          <w:p w14:paraId="56B3CD71" w14:textId="77777777" w:rsidR="00F00781" w:rsidRPr="00F00781" w:rsidRDefault="00F00781" w:rsidP="00F00781">
            <w:pPr>
              <w:rPr>
                <w:rFonts w:ascii="Arial Narrow" w:hAnsi="Arial Narrow" w:cs="Calibri"/>
                <w:sz w:val="14"/>
                <w:szCs w:val="14"/>
              </w:rPr>
            </w:pPr>
            <w:r w:rsidRPr="00F00781">
              <w:rPr>
                <w:rFonts w:ascii="Arial Narrow" w:hAnsi="Arial Narrow" w:cs="Calibri"/>
                <w:sz w:val="14"/>
                <w:szCs w:val="14"/>
              </w:rPr>
              <w:t> </w:t>
            </w:r>
          </w:p>
        </w:tc>
        <w:tc>
          <w:tcPr>
            <w:tcW w:w="537" w:type="dxa"/>
            <w:tcBorders>
              <w:top w:val="nil"/>
              <w:left w:val="nil"/>
              <w:bottom w:val="single" w:sz="4" w:space="0" w:color="auto"/>
              <w:right w:val="single" w:sz="4" w:space="0" w:color="auto"/>
            </w:tcBorders>
            <w:shd w:val="clear" w:color="auto" w:fill="auto"/>
            <w:vAlign w:val="center"/>
            <w:hideMark/>
          </w:tcPr>
          <w:p w14:paraId="4ADD51B3"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0,1</w:t>
            </w:r>
          </w:p>
        </w:tc>
        <w:tc>
          <w:tcPr>
            <w:tcW w:w="1143" w:type="dxa"/>
            <w:tcBorders>
              <w:top w:val="nil"/>
              <w:left w:val="nil"/>
              <w:bottom w:val="single" w:sz="4" w:space="0" w:color="auto"/>
              <w:right w:val="single" w:sz="4" w:space="0" w:color="auto"/>
            </w:tcBorders>
            <w:shd w:val="clear" w:color="auto" w:fill="auto"/>
            <w:vAlign w:val="center"/>
            <w:hideMark/>
          </w:tcPr>
          <w:p w14:paraId="27941E37"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4,3</w:t>
            </w:r>
          </w:p>
        </w:tc>
        <w:tc>
          <w:tcPr>
            <w:tcW w:w="1200" w:type="dxa"/>
            <w:tcBorders>
              <w:top w:val="nil"/>
              <w:left w:val="nil"/>
              <w:bottom w:val="single" w:sz="4" w:space="0" w:color="auto"/>
              <w:right w:val="single" w:sz="4" w:space="0" w:color="auto"/>
            </w:tcBorders>
            <w:shd w:val="clear" w:color="auto" w:fill="auto"/>
            <w:vAlign w:val="center"/>
            <w:hideMark/>
          </w:tcPr>
          <w:p w14:paraId="7857E3D1"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0,1</w:t>
            </w:r>
          </w:p>
        </w:tc>
        <w:tc>
          <w:tcPr>
            <w:tcW w:w="721" w:type="dxa"/>
            <w:tcBorders>
              <w:top w:val="nil"/>
              <w:left w:val="nil"/>
              <w:bottom w:val="single" w:sz="4" w:space="0" w:color="auto"/>
              <w:right w:val="single" w:sz="4" w:space="0" w:color="auto"/>
            </w:tcBorders>
            <w:shd w:val="clear" w:color="auto" w:fill="auto"/>
            <w:vAlign w:val="center"/>
            <w:hideMark/>
          </w:tcPr>
          <w:p w14:paraId="5ECBBFD6"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23,9</w:t>
            </w:r>
          </w:p>
        </w:tc>
        <w:tc>
          <w:tcPr>
            <w:tcW w:w="721" w:type="dxa"/>
            <w:tcBorders>
              <w:top w:val="nil"/>
              <w:left w:val="nil"/>
              <w:bottom w:val="single" w:sz="4" w:space="0" w:color="auto"/>
              <w:right w:val="single" w:sz="4" w:space="0" w:color="auto"/>
            </w:tcBorders>
            <w:shd w:val="clear" w:color="auto" w:fill="auto"/>
            <w:vAlign w:val="center"/>
            <w:hideMark/>
          </w:tcPr>
          <w:p w14:paraId="498B58C5"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144,2</w:t>
            </w:r>
          </w:p>
        </w:tc>
        <w:tc>
          <w:tcPr>
            <w:tcW w:w="698" w:type="dxa"/>
            <w:tcBorders>
              <w:top w:val="nil"/>
              <w:left w:val="nil"/>
              <w:bottom w:val="single" w:sz="4" w:space="0" w:color="auto"/>
              <w:right w:val="single" w:sz="4" w:space="0" w:color="auto"/>
            </w:tcBorders>
            <w:shd w:val="clear" w:color="auto" w:fill="auto"/>
            <w:vAlign w:val="center"/>
            <w:hideMark/>
          </w:tcPr>
          <w:p w14:paraId="01D96A37"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12,7</w:t>
            </w:r>
          </w:p>
        </w:tc>
        <w:tc>
          <w:tcPr>
            <w:tcW w:w="765" w:type="dxa"/>
            <w:tcBorders>
              <w:top w:val="nil"/>
              <w:left w:val="nil"/>
              <w:bottom w:val="single" w:sz="4" w:space="0" w:color="auto"/>
              <w:right w:val="single" w:sz="4" w:space="0" w:color="auto"/>
            </w:tcBorders>
            <w:shd w:val="clear" w:color="auto" w:fill="auto"/>
            <w:vAlign w:val="center"/>
            <w:hideMark/>
          </w:tcPr>
          <w:p w14:paraId="0CCC81FF"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180,8</w:t>
            </w:r>
          </w:p>
        </w:tc>
        <w:tc>
          <w:tcPr>
            <w:tcW w:w="970" w:type="dxa"/>
            <w:tcBorders>
              <w:top w:val="nil"/>
              <w:left w:val="nil"/>
              <w:bottom w:val="single" w:sz="4" w:space="0" w:color="auto"/>
              <w:right w:val="single" w:sz="4" w:space="0" w:color="auto"/>
            </w:tcBorders>
            <w:shd w:val="clear" w:color="auto" w:fill="auto"/>
            <w:vAlign w:val="center"/>
            <w:hideMark/>
          </w:tcPr>
          <w:p w14:paraId="1CA3C817" w14:textId="77777777" w:rsidR="00F00781" w:rsidRPr="00F00781" w:rsidRDefault="00F00781" w:rsidP="00F00781">
            <w:pPr>
              <w:rPr>
                <w:rFonts w:ascii="Arial Narrow" w:hAnsi="Arial Narrow" w:cs="Calibri"/>
                <w:sz w:val="14"/>
                <w:szCs w:val="14"/>
              </w:rPr>
            </w:pPr>
            <w:r w:rsidRPr="00F00781">
              <w:rPr>
                <w:rFonts w:ascii="Arial Narrow" w:hAnsi="Arial Narrow" w:cs="Calibri"/>
                <w:sz w:val="14"/>
                <w:szCs w:val="14"/>
              </w:rPr>
              <w:t> </w:t>
            </w:r>
          </w:p>
        </w:tc>
        <w:tc>
          <w:tcPr>
            <w:tcW w:w="602" w:type="dxa"/>
            <w:tcBorders>
              <w:top w:val="nil"/>
              <w:left w:val="nil"/>
              <w:bottom w:val="single" w:sz="4" w:space="0" w:color="auto"/>
              <w:right w:val="single" w:sz="4" w:space="0" w:color="auto"/>
            </w:tcBorders>
            <w:shd w:val="clear" w:color="auto" w:fill="auto"/>
            <w:vAlign w:val="center"/>
            <w:hideMark/>
          </w:tcPr>
          <w:p w14:paraId="523FEA85"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12,0</w:t>
            </w:r>
          </w:p>
        </w:tc>
        <w:tc>
          <w:tcPr>
            <w:tcW w:w="697" w:type="dxa"/>
            <w:tcBorders>
              <w:top w:val="nil"/>
              <w:left w:val="nil"/>
              <w:bottom w:val="single" w:sz="4" w:space="0" w:color="auto"/>
              <w:right w:val="single" w:sz="4" w:space="0" w:color="auto"/>
            </w:tcBorders>
            <w:shd w:val="clear" w:color="auto" w:fill="auto"/>
            <w:vAlign w:val="center"/>
            <w:hideMark/>
          </w:tcPr>
          <w:p w14:paraId="7914C88B"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7,8</w:t>
            </w:r>
          </w:p>
        </w:tc>
        <w:tc>
          <w:tcPr>
            <w:tcW w:w="869" w:type="dxa"/>
            <w:tcBorders>
              <w:top w:val="nil"/>
              <w:left w:val="nil"/>
              <w:bottom w:val="single" w:sz="4" w:space="0" w:color="auto"/>
              <w:right w:val="single" w:sz="4" w:space="0" w:color="auto"/>
            </w:tcBorders>
            <w:shd w:val="clear" w:color="auto" w:fill="auto"/>
            <w:vAlign w:val="center"/>
            <w:hideMark/>
          </w:tcPr>
          <w:p w14:paraId="2D5E64F3"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193,0</w:t>
            </w:r>
          </w:p>
        </w:tc>
      </w:tr>
      <w:tr w:rsidR="00F00781" w:rsidRPr="00F00781" w14:paraId="2465C12E" w14:textId="77777777" w:rsidTr="00E01BBF">
        <w:trPr>
          <w:trHeight w:val="196"/>
        </w:trPr>
        <w:tc>
          <w:tcPr>
            <w:tcW w:w="632" w:type="dxa"/>
            <w:tcBorders>
              <w:top w:val="nil"/>
              <w:left w:val="single" w:sz="4" w:space="0" w:color="auto"/>
              <w:bottom w:val="single" w:sz="4" w:space="0" w:color="auto"/>
              <w:right w:val="single" w:sz="4" w:space="0" w:color="auto"/>
            </w:tcBorders>
            <w:shd w:val="clear" w:color="auto" w:fill="auto"/>
            <w:vAlign w:val="center"/>
            <w:hideMark/>
          </w:tcPr>
          <w:p w14:paraId="32763CD2" w14:textId="77777777" w:rsidR="00F00781" w:rsidRPr="00F00781" w:rsidRDefault="00F00781" w:rsidP="00F00781">
            <w:pPr>
              <w:rPr>
                <w:rFonts w:ascii="Arial Narrow" w:hAnsi="Arial Narrow" w:cs="Calibri"/>
                <w:sz w:val="14"/>
                <w:szCs w:val="14"/>
              </w:rPr>
            </w:pPr>
            <w:r w:rsidRPr="00F00781">
              <w:rPr>
                <w:rFonts w:ascii="Arial Narrow" w:hAnsi="Arial Narrow" w:cs="Calibri"/>
                <w:sz w:val="14"/>
                <w:szCs w:val="14"/>
              </w:rPr>
              <w:t xml:space="preserve"> 06.4</w:t>
            </w:r>
          </w:p>
        </w:tc>
        <w:tc>
          <w:tcPr>
            <w:tcW w:w="1671" w:type="dxa"/>
            <w:tcBorders>
              <w:top w:val="nil"/>
              <w:left w:val="nil"/>
              <w:bottom w:val="single" w:sz="4" w:space="0" w:color="auto"/>
              <w:right w:val="single" w:sz="4" w:space="0" w:color="auto"/>
            </w:tcBorders>
            <w:shd w:val="clear" w:color="auto" w:fill="auto"/>
            <w:vAlign w:val="center"/>
            <w:hideMark/>
          </w:tcPr>
          <w:p w14:paraId="7D080699" w14:textId="77777777" w:rsidR="00F00781" w:rsidRPr="00F00781" w:rsidRDefault="00F00781" w:rsidP="00F00781">
            <w:pPr>
              <w:ind w:firstLineChars="100" w:firstLine="140"/>
              <w:rPr>
                <w:rFonts w:ascii="Arial Narrow" w:hAnsi="Arial Narrow" w:cs="Calibri"/>
                <w:sz w:val="14"/>
                <w:szCs w:val="14"/>
              </w:rPr>
            </w:pPr>
            <w:r w:rsidRPr="00F00781">
              <w:rPr>
                <w:rFonts w:ascii="Arial Narrow" w:hAnsi="Arial Narrow" w:cs="Calibri"/>
                <w:sz w:val="14"/>
                <w:szCs w:val="14"/>
              </w:rPr>
              <w:t>Грозде-всичко</w:t>
            </w:r>
          </w:p>
        </w:tc>
        <w:tc>
          <w:tcPr>
            <w:tcW w:w="773" w:type="dxa"/>
            <w:tcBorders>
              <w:top w:val="nil"/>
              <w:left w:val="nil"/>
              <w:bottom w:val="single" w:sz="4" w:space="0" w:color="auto"/>
              <w:right w:val="single" w:sz="4" w:space="0" w:color="auto"/>
            </w:tcBorders>
            <w:shd w:val="clear" w:color="auto" w:fill="auto"/>
            <w:vAlign w:val="center"/>
            <w:hideMark/>
          </w:tcPr>
          <w:p w14:paraId="37F21245"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107,8</w:t>
            </w:r>
          </w:p>
        </w:tc>
        <w:tc>
          <w:tcPr>
            <w:tcW w:w="582" w:type="dxa"/>
            <w:tcBorders>
              <w:top w:val="nil"/>
              <w:left w:val="nil"/>
              <w:bottom w:val="single" w:sz="4" w:space="0" w:color="auto"/>
              <w:right w:val="single" w:sz="4" w:space="0" w:color="auto"/>
            </w:tcBorders>
            <w:shd w:val="clear" w:color="auto" w:fill="auto"/>
            <w:vAlign w:val="center"/>
            <w:hideMark/>
          </w:tcPr>
          <w:p w14:paraId="5CB3B01D"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0,1</w:t>
            </w:r>
          </w:p>
        </w:tc>
        <w:tc>
          <w:tcPr>
            <w:tcW w:w="681" w:type="dxa"/>
            <w:tcBorders>
              <w:top w:val="nil"/>
              <w:left w:val="nil"/>
              <w:bottom w:val="single" w:sz="4" w:space="0" w:color="auto"/>
              <w:right w:val="single" w:sz="4" w:space="0" w:color="auto"/>
            </w:tcBorders>
            <w:shd w:val="clear" w:color="auto" w:fill="auto"/>
            <w:vAlign w:val="center"/>
            <w:hideMark/>
          </w:tcPr>
          <w:p w14:paraId="74783A93" w14:textId="77777777" w:rsidR="00F00781" w:rsidRPr="00F00781" w:rsidRDefault="00F00781" w:rsidP="00F00781">
            <w:pPr>
              <w:rPr>
                <w:rFonts w:ascii="Arial Narrow" w:hAnsi="Arial Narrow" w:cs="Calibri"/>
                <w:sz w:val="14"/>
                <w:szCs w:val="14"/>
              </w:rPr>
            </w:pPr>
            <w:r w:rsidRPr="00F00781">
              <w:rPr>
                <w:rFonts w:ascii="Arial Narrow" w:hAnsi="Arial Narrow" w:cs="Calibri"/>
                <w:sz w:val="14"/>
                <w:szCs w:val="14"/>
              </w:rPr>
              <w:t> </w:t>
            </w:r>
          </w:p>
        </w:tc>
        <w:tc>
          <w:tcPr>
            <w:tcW w:w="789" w:type="dxa"/>
            <w:tcBorders>
              <w:top w:val="nil"/>
              <w:left w:val="nil"/>
              <w:bottom w:val="single" w:sz="4" w:space="0" w:color="auto"/>
              <w:right w:val="single" w:sz="4" w:space="0" w:color="auto"/>
            </w:tcBorders>
            <w:shd w:val="clear" w:color="auto" w:fill="auto"/>
            <w:vAlign w:val="center"/>
            <w:hideMark/>
          </w:tcPr>
          <w:p w14:paraId="436C04C6" w14:textId="77777777" w:rsidR="00F00781" w:rsidRPr="00F00781" w:rsidRDefault="00F00781" w:rsidP="00F00781">
            <w:pPr>
              <w:rPr>
                <w:rFonts w:ascii="Arial Narrow" w:hAnsi="Arial Narrow" w:cs="Calibri"/>
                <w:sz w:val="14"/>
                <w:szCs w:val="14"/>
              </w:rPr>
            </w:pPr>
            <w:r w:rsidRPr="00F00781">
              <w:rPr>
                <w:rFonts w:ascii="Arial Narrow" w:hAnsi="Arial Narrow" w:cs="Calibri"/>
                <w:sz w:val="14"/>
                <w:szCs w:val="14"/>
              </w:rPr>
              <w:t> </w:t>
            </w:r>
          </w:p>
        </w:tc>
        <w:tc>
          <w:tcPr>
            <w:tcW w:w="693" w:type="dxa"/>
            <w:tcBorders>
              <w:top w:val="nil"/>
              <w:left w:val="nil"/>
              <w:bottom w:val="single" w:sz="4" w:space="0" w:color="auto"/>
              <w:right w:val="single" w:sz="4" w:space="0" w:color="auto"/>
            </w:tcBorders>
            <w:shd w:val="clear" w:color="auto" w:fill="auto"/>
            <w:vAlign w:val="center"/>
            <w:hideMark/>
          </w:tcPr>
          <w:p w14:paraId="22000503" w14:textId="77777777" w:rsidR="00F00781" w:rsidRPr="00F00781" w:rsidRDefault="00F00781" w:rsidP="00F00781">
            <w:pPr>
              <w:rPr>
                <w:rFonts w:ascii="Arial Narrow" w:hAnsi="Arial Narrow" w:cs="Calibri"/>
                <w:sz w:val="14"/>
                <w:szCs w:val="14"/>
              </w:rPr>
            </w:pPr>
            <w:r w:rsidRPr="00F00781">
              <w:rPr>
                <w:rFonts w:ascii="Arial Narrow" w:hAnsi="Arial Narrow" w:cs="Calibri"/>
                <w:sz w:val="14"/>
                <w:szCs w:val="14"/>
              </w:rPr>
              <w:t> </w:t>
            </w:r>
          </w:p>
        </w:tc>
        <w:tc>
          <w:tcPr>
            <w:tcW w:w="537" w:type="dxa"/>
            <w:tcBorders>
              <w:top w:val="nil"/>
              <w:left w:val="nil"/>
              <w:bottom w:val="single" w:sz="4" w:space="0" w:color="auto"/>
              <w:right w:val="single" w:sz="4" w:space="0" w:color="auto"/>
            </w:tcBorders>
            <w:shd w:val="clear" w:color="auto" w:fill="auto"/>
            <w:vAlign w:val="center"/>
            <w:hideMark/>
          </w:tcPr>
          <w:p w14:paraId="75CCF8D6"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0,2</w:t>
            </w:r>
          </w:p>
        </w:tc>
        <w:tc>
          <w:tcPr>
            <w:tcW w:w="1143" w:type="dxa"/>
            <w:tcBorders>
              <w:top w:val="nil"/>
              <w:left w:val="nil"/>
              <w:bottom w:val="single" w:sz="4" w:space="0" w:color="auto"/>
              <w:right w:val="single" w:sz="4" w:space="0" w:color="auto"/>
            </w:tcBorders>
            <w:shd w:val="clear" w:color="auto" w:fill="auto"/>
            <w:vAlign w:val="center"/>
            <w:hideMark/>
          </w:tcPr>
          <w:p w14:paraId="53732526"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14,2</w:t>
            </w:r>
          </w:p>
        </w:tc>
        <w:tc>
          <w:tcPr>
            <w:tcW w:w="1200" w:type="dxa"/>
            <w:tcBorders>
              <w:top w:val="nil"/>
              <w:left w:val="nil"/>
              <w:bottom w:val="single" w:sz="4" w:space="0" w:color="auto"/>
              <w:right w:val="single" w:sz="4" w:space="0" w:color="auto"/>
            </w:tcBorders>
            <w:shd w:val="clear" w:color="auto" w:fill="auto"/>
            <w:vAlign w:val="center"/>
            <w:hideMark/>
          </w:tcPr>
          <w:p w14:paraId="036502F1"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1,6</w:t>
            </w:r>
          </w:p>
        </w:tc>
        <w:tc>
          <w:tcPr>
            <w:tcW w:w="721" w:type="dxa"/>
            <w:tcBorders>
              <w:top w:val="nil"/>
              <w:left w:val="nil"/>
              <w:bottom w:val="single" w:sz="4" w:space="0" w:color="auto"/>
              <w:right w:val="single" w:sz="4" w:space="0" w:color="auto"/>
            </w:tcBorders>
            <w:shd w:val="clear" w:color="auto" w:fill="auto"/>
            <w:vAlign w:val="center"/>
            <w:hideMark/>
          </w:tcPr>
          <w:p w14:paraId="552E8CC0"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14,1</w:t>
            </w:r>
          </w:p>
        </w:tc>
        <w:tc>
          <w:tcPr>
            <w:tcW w:w="721" w:type="dxa"/>
            <w:tcBorders>
              <w:top w:val="nil"/>
              <w:left w:val="nil"/>
              <w:bottom w:val="single" w:sz="4" w:space="0" w:color="auto"/>
              <w:right w:val="single" w:sz="4" w:space="0" w:color="auto"/>
            </w:tcBorders>
            <w:shd w:val="clear" w:color="auto" w:fill="auto"/>
            <w:vAlign w:val="center"/>
            <w:hideMark/>
          </w:tcPr>
          <w:p w14:paraId="75DA7A3D"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77,4</w:t>
            </w:r>
          </w:p>
        </w:tc>
        <w:tc>
          <w:tcPr>
            <w:tcW w:w="698" w:type="dxa"/>
            <w:tcBorders>
              <w:top w:val="nil"/>
              <w:left w:val="nil"/>
              <w:bottom w:val="single" w:sz="4" w:space="0" w:color="auto"/>
              <w:right w:val="single" w:sz="4" w:space="0" w:color="auto"/>
            </w:tcBorders>
            <w:shd w:val="clear" w:color="auto" w:fill="auto"/>
            <w:vAlign w:val="center"/>
            <w:hideMark/>
          </w:tcPr>
          <w:p w14:paraId="599063DB"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0,4</w:t>
            </w:r>
          </w:p>
        </w:tc>
        <w:tc>
          <w:tcPr>
            <w:tcW w:w="765" w:type="dxa"/>
            <w:tcBorders>
              <w:top w:val="nil"/>
              <w:left w:val="nil"/>
              <w:bottom w:val="single" w:sz="4" w:space="0" w:color="auto"/>
              <w:right w:val="single" w:sz="4" w:space="0" w:color="auto"/>
            </w:tcBorders>
            <w:shd w:val="clear" w:color="auto" w:fill="auto"/>
            <w:vAlign w:val="center"/>
            <w:hideMark/>
          </w:tcPr>
          <w:p w14:paraId="13539F67"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91,7</w:t>
            </w:r>
          </w:p>
        </w:tc>
        <w:tc>
          <w:tcPr>
            <w:tcW w:w="970" w:type="dxa"/>
            <w:tcBorders>
              <w:top w:val="nil"/>
              <w:left w:val="nil"/>
              <w:bottom w:val="single" w:sz="4" w:space="0" w:color="auto"/>
              <w:right w:val="single" w:sz="4" w:space="0" w:color="auto"/>
            </w:tcBorders>
            <w:shd w:val="clear" w:color="auto" w:fill="auto"/>
            <w:vAlign w:val="center"/>
            <w:hideMark/>
          </w:tcPr>
          <w:p w14:paraId="0A16F9E7" w14:textId="77777777" w:rsidR="00F00781" w:rsidRPr="00F00781" w:rsidRDefault="00F00781" w:rsidP="00F00781">
            <w:pPr>
              <w:rPr>
                <w:rFonts w:ascii="Arial Narrow" w:hAnsi="Arial Narrow" w:cs="Calibri"/>
                <w:sz w:val="14"/>
                <w:szCs w:val="14"/>
              </w:rPr>
            </w:pPr>
            <w:r w:rsidRPr="00F00781">
              <w:rPr>
                <w:rFonts w:ascii="Arial Narrow" w:hAnsi="Arial Narrow" w:cs="Calibri"/>
                <w:sz w:val="14"/>
                <w:szCs w:val="14"/>
              </w:rPr>
              <w:t> </w:t>
            </w:r>
          </w:p>
        </w:tc>
        <w:tc>
          <w:tcPr>
            <w:tcW w:w="602" w:type="dxa"/>
            <w:tcBorders>
              <w:top w:val="nil"/>
              <w:left w:val="nil"/>
              <w:bottom w:val="single" w:sz="4" w:space="0" w:color="auto"/>
              <w:right w:val="single" w:sz="4" w:space="0" w:color="auto"/>
            </w:tcBorders>
            <w:shd w:val="clear" w:color="auto" w:fill="auto"/>
            <w:vAlign w:val="center"/>
            <w:hideMark/>
          </w:tcPr>
          <w:p w14:paraId="2E7DD156" w14:textId="77777777" w:rsidR="00F00781" w:rsidRPr="00F00781" w:rsidRDefault="00F00781" w:rsidP="00F00781">
            <w:pPr>
              <w:rPr>
                <w:rFonts w:ascii="Arial Narrow" w:hAnsi="Arial Narrow" w:cs="Calibri"/>
                <w:sz w:val="14"/>
                <w:szCs w:val="14"/>
              </w:rPr>
            </w:pPr>
            <w:r w:rsidRPr="00F00781">
              <w:rPr>
                <w:rFonts w:ascii="Arial Narrow" w:hAnsi="Arial Narrow" w:cs="Calibri"/>
                <w:sz w:val="14"/>
                <w:szCs w:val="14"/>
              </w:rPr>
              <w:t> </w:t>
            </w:r>
          </w:p>
        </w:tc>
        <w:tc>
          <w:tcPr>
            <w:tcW w:w="697" w:type="dxa"/>
            <w:tcBorders>
              <w:top w:val="nil"/>
              <w:left w:val="nil"/>
              <w:bottom w:val="single" w:sz="4" w:space="0" w:color="auto"/>
              <w:right w:val="single" w:sz="4" w:space="0" w:color="auto"/>
            </w:tcBorders>
            <w:shd w:val="clear" w:color="auto" w:fill="auto"/>
            <w:vAlign w:val="center"/>
            <w:hideMark/>
          </w:tcPr>
          <w:p w14:paraId="2BD48F7C" w14:textId="77777777" w:rsidR="00F00781" w:rsidRPr="00F00781" w:rsidRDefault="00F00781" w:rsidP="00F00781">
            <w:pPr>
              <w:rPr>
                <w:rFonts w:ascii="Arial Narrow" w:hAnsi="Arial Narrow" w:cs="Calibri"/>
                <w:sz w:val="14"/>
                <w:szCs w:val="14"/>
              </w:rPr>
            </w:pPr>
            <w:r w:rsidRPr="00F00781">
              <w:rPr>
                <w:rFonts w:ascii="Arial Narrow" w:hAnsi="Arial Narrow" w:cs="Calibri"/>
                <w:sz w:val="14"/>
                <w:szCs w:val="14"/>
              </w:rPr>
              <w:t> </w:t>
            </w:r>
          </w:p>
        </w:tc>
        <w:tc>
          <w:tcPr>
            <w:tcW w:w="869" w:type="dxa"/>
            <w:tcBorders>
              <w:top w:val="nil"/>
              <w:left w:val="nil"/>
              <w:bottom w:val="single" w:sz="4" w:space="0" w:color="auto"/>
              <w:right w:val="single" w:sz="4" w:space="0" w:color="auto"/>
            </w:tcBorders>
            <w:shd w:val="clear" w:color="auto" w:fill="auto"/>
            <w:vAlign w:val="center"/>
            <w:hideMark/>
          </w:tcPr>
          <w:p w14:paraId="14914737"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107,5</w:t>
            </w:r>
          </w:p>
        </w:tc>
      </w:tr>
      <w:tr w:rsidR="00F00781" w:rsidRPr="00F00781" w14:paraId="22EFEE9A" w14:textId="77777777" w:rsidTr="00E01BBF">
        <w:trPr>
          <w:trHeight w:val="196"/>
        </w:trPr>
        <w:tc>
          <w:tcPr>
            <w:tcW w:w="632" w:type="dxa"/>
            <w:tcBorders>
              <w:top w:val="nil"/>
              <w:left w:val="single" w:sz="4" w:space="0" w:color="auto"/>
              <w:bottom w:val="single" w:sz="4" w:space="0" w:color="auto"/>
              <w:right w:val="single" w:sz="4" w:space="0" w:color="auto"/>
            </w:tcBorders>
            <w:shd w:val="clear" w:color="auto" w:fill="auto"/>
            <w:vAlign w:val="center"/>
            <w:hideMark/>
          </w:tcPr>
          <w:p w14:paraId="6EB0BE07" w14:textId="77777777" w:rsidR="00F00781" w:rsidRPr="00F00781" w:rsidRDefault="00F00781" w:rsidP="00F00781">
            <w:pPr>
              <w:rPr>
                <w:rFonts w:ascii="Arial Narrow" w:hAnsi="Arial Narrow" w:cs="Calibri"/>
                <w:sz w:val="14"/>
                <w:szCs w:val="14"/>
              </w:rPr>
            </w:pPr>
            <w:r w:rsidRPr="00F00781">
              <w:rPr>
                <w:rFonts w:ascii="Arial Narrow" w:hAnsi="Arial Narrow" w:cs="Calibri"/>
                <w:sz w:val="14"/>
                <w:szCs w:val="14"/>
              </w:rPr>
              <w:t xml:space="preserve"> 06.4/1</w:t>
            </w:r>
          </w:p>
        </w:tc>
        <w:tc>
          <w:tcPr>
            <w:tcW w:w="1671" w:type="dxa"/>
            <w:tcBorders>
              <w:top w:val="nil"/>
              <w:left w:val="nil"/>
              <w:bottom w:val="single" w:sz="4" w:space="0" w:color="auto"/>
              <w:right w:val="single" w:sz="4" w:space="0" w:color="auto"/>
            </w:tcBorders>
            <w:shd w:val="clear" w:color="auto" w:fill="auto"/>
            <w:vAlign w:val="center"/>
            <w:hideMark/>
          </w:tcPr>
          <w:p w14:paraId="0D76F4DA" w14:textId="77777777" w:rsidR="00F00781" w:rsidRPr="00F00781" w:rsidRDefault="00F00781" w:rsidP="00F00781">
            <w:pPr>
              <w:ind w:firstLineChars="200" w:firstLine="280"/>
              <w:rPr>
                <w:rFonts w:ascii="Arial Narrow" w:hAnsi="Arial Narrow" w:cs="Calibri"/>
                <w:sz w:val="14"/>
                <w:szCs w:val="14"/>
              </w:rPr>
            </w:pPr>
            <w:r w:rsidRPr="00F00781">
              <w:rPr>
                <w:rFonts w:ascii="Arial Narrow" w:hAnsi="Arial Narrow" w:cs="Calibri"/>
                <w:sz w:val="14"/>
                <w:szCs w:val="14"/>
              </w:rPr>
              <w:t>Дес</w:t>
            </w:r>
            <w:r w:rsidR="008E26A1">
              <w:rPr>
                <w:rFonts w:ascii="Arial Narrow" w:hAnsi="Arial Narrow" w:cs="Calibri"/>
                <w:sz w:val="14"/>
                <w:szCs w:val="14"/>
                <w:lang w:val="bg-BG"/>
              </w:rPr>
              <w:t>е</w:t>
            </w:r>
            <w:r w:rsidRPr="00F00781">
              <w:rPr>
                <w:rFonts w:ascii="Arial Narrow" w:hAnsi="Arial Narrow" w:cs="Calibri"/>
                <w:sz w:val="14"/>
                <w:szCs w:val="14"/>
              </w:rPr>
              <w:t>ртно грозде</w:t>
            </w:r>
          </w:p>
        </w:tc>
        <w:tc>
          <w:tcPr>
            <w:tcW w:w="773" w:type="dxa"/>
            <w:tcBorders>
              <w:top w:val="nil"/>
              <w:left w:val="nil"/>
              <w:bottom w:val="single" w:sz="4" w:space="0" w:color="auto"/>
              <w:right w:val="single" w:sz="4" w:space="0" w:color="auto"/>
            </w:tcBorders>
            <w:shd w:val="clear" w:color="auto" w:fill="auto"/>
            <w:vAlign w:val="center"/>
            <w:hideMark/>
          </w:tcPr>
          <w:p w14:paraId="279C0EA9"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12,8</w:t>
            </w:r>
          </w:p>
        </w:tc>
        <w:tc>
          <w:tcPr>
            <w:tcW w:w="582" w:type="dxa"/>
            <w:tcBorders>
              <w:top w:val="nil"/>
              <w:left w:val="nil"/>
              <w:bottom w:val="single" w:sz="4" w:space="0" w:color="auto"/>
              <w:right w:val="single" w:sz="4" w:space="0" w:color="auto"/>
            </w:tcBorders>
            <w:shd w:val="clear" w:color="auto" w:fill="auto"/>
            <w:vAlign w:val="center"/>
            <w:hideMark/>
          </w:tcPr>
          <w:p w14:paraId="28EB3D77" w14:textId="77777777" w:rsidR="00F00781" w:rsidRPr="00F00781" w:rsidRDefault="00F00781" w:rsidP="00F00781">
            <w:pPr>
              <w:rPr>
                <w:rFonts w:ascii="Arial Narrow" w:hAnsi="Arial Narrow" w:cs="Calibri"/>
                <w:sz w:val="14"/>
                <w:szCs w:val="14"/>
              </w:rPr>
            </w:pPr>
            <w:r w:rsidRPr="00F00781">
              <w:rPr>
                <w:rFonts w:ascii="Arial Narrow" w:hAnsi="Arial Narrow" w:cs="Calibri"/>
                <w:sz w:val="14"/>
                <w:szCs w:val="14"/>
              </w:rPr>
              <w:t> </w:t>
            </w:r>
          </w:p>
        </w:tc>
        <w:tc>
          <w:tcPr>
            <w:tcW w:w="681" w:type="dxa"/>
            <w:tcBorders>
              <w:top w:val="nil"/>
              <w:left w:val="nil"/>
              <w:bottom w:val="single" w:sz="4" w:space="0" w:color="auto"/>
              <w:right w:val="single" w:sz="4" w:space="0" w:color="auto"/>
            </w:tcBorders>
            <w:shd w:val="clear" w:color="auto" w:fill="auto"/>
            <w:vAlign w:val="center"/>
            <w:hideMark/>
          </w:tcPr>
          <w:p w14:paraId="63A1D06D" w14:textId="77777777" w:rsidR="00F00781" w:rsidRPr="00F00781" w:rsidRDefault="00F00781" w:rsidP="00F00781">
            <w:pPr>
              <w:rPr>
                <w:rFonts w:ascii="Arial Narrow" w:hAnsi="Arial Narrow" w:cs="Calibri"/>
                <w:sz w:val="14"/>
                <w:szCs w:val="14"/>
              </w:rPr>
            </w:pPr>
            <w:r w:rsidRPr="00F00781">
              <w:rPr>
                <w:rFonts w:ascii="Arial Narrow" w:hAnsi="Arial Narrow" w:cs="Calibri"/>
                <w:sz w:val="14"/>
                <w:szCs w:val="14"/>
              </w:rPr>
              <w:t> </w:t>
            </w:r>
          </w:p>
        </w:tc>
        <w:tc>
          <w:tcPr>
            <w:tcW w:w="789" w:type="dxa"/>
            <w:tcBorders>
              <w:top w:val="nil"/>
              <w:left w:val="nil"/>
              <w:bottom w:val="single" w:sz="4" w:space="0" w:color="auto"/>
              <w:right w:val="single" w:sz="4" w:space="0" w:color="auto"/>
            </w:tcBorders>
            <w:shd w:val="clear" w:color="auto" w:fill="auto"/>
            <w:vAlign w:val="center"/>
            <w:hideMark/>
          </w:tcPr>
          <w:p w14:paraId="51C5C967" w14:textId="77777777" w:rsidR="00F00781" w:rsidRPr="00F00781" w:rsidRDefault="00F00781" w:rsidP="00F00781">
            <w:pPr>
              <w:rPr>
                <w:rFonts w:ascii="Arial Narrow" w:hAnsi="Arial Narrow" w:cs="Calibri"/>
                <w:sz w:val="14"/>
                <w:szCs w:val="14"/>
              </w:rPr>
            </w:pPr>
            <w:r w:rsidRPr="00F00781">
              <w:rPr>
                <w:rFonts w:ascii="Arial Narrow" w:hAnsi="Arial Narrow" w:cs="Calibri"/>
                <w:sz w:val="14"/>
                <w:szCs w:val="14"/>
              </w:rPr>
              <w:t> </w:t>
            </w:r>
          </w:p>
        </w:tc>
        <w:tc>
          <w:tcPr>
            <w:tcW w:w="693" w:type="dxa"/>
            <w:tcBorders>
              <w:top w:val="nil"/>
              <w:left w:val="nil"/>
              <w:bottom w:val="single" w:sz="4" w:space="0" w:color="auto"/>
              <w:right w:val="single" w:sz="4" w:space="0" w:color="auto"/>
            </w:tcBorders>
            <w:shd w:val="clear" w:color="auto" w:fill="auto"/>
            <w:vAlign w:val="center"/>
            <w:hideMark/>
          </w:tcPr>
          <w:p w14:paraId="2BCC4C29" w14:textId="77777777" w:rsidR="00F00781" w:rsidRPr="00F00781" w:rsidRDefault="00F00781" w:rsidP="00F00781">
            <w:pPr>
              <w:rPr>
                <w:rFonts w:ascii="Arial Narrow" w:hAnsi="Arial Narrow" w:cs="Calibri"/>
                <w:sz w:val="14"/>
                <w:szCs w:val="14"/>
              </w:rPr>
            </w:pPr>
            <w:r w:rsidRPr="00F00781">
              <w:rPr>
                <w:rFonts w:ascii="Arial Narrow" w:hAnsi="Arial Narrow" w:cs="Calibri"/>
                <w:sz w:val="14"/>
                <w:szCs w:val="14"/>
              </w:rPr>
              <w:t> </w:t>
            </w:r>
          </w:p>
        </w:tc>
        <w:tc>
          <w:tcPr>
            <w:tcW w:w="537" w:type="dxa"/>
            <w:tcBorders>
              <w:top w:val="nil"/>
              <w:left w:val="nil"/>
              <w:bottom w:val="single" w:sz="4" w:space="0" w:color="auto"/>
              <w:right w:val="single" w:sz="4" w:space="0" w:color="auto"/>
            </w:tcBorders>
            <w:shd w:val="clear" w:color="auto" w:fill="auto"/>
            <w:vAlign w:val="center"/>
            <w:hideMark/>
          </w:tcPr>
          <w:p w14:paraId="57928F45" w14:textId="77777777" w:rsidR="00F00781" w:rsidRPr="00F00781" w:rsidRDefault="00F00781" w:rsidP="00F00781">
            <w:pPr>
              <w:rPr>
                <w:rFonts w:ascii="Arial Narrow" w:hAnsi="Arial Narrow" w:cs="Calibri"/>
                <w:sz w:val="14"/>
                <w:szCs w:val="14"/>
              </w:rPr>
            </w:pPr>
            <w:r w:rsidRPr="00F00781">
              <w:rPr>
                <w:rFonts w:ascii="Arial Narrow" w:hAnsi="Arial Narrow" w:cs="Calibri"/>
                <w:sz w:val="14"/>
                <w:szCs w:val="14"/>
              </w:rPr>
              <w:t> </w:t>
            </w:r>
          </w:p>
        </w:tc>
        <w:tc>
          <w:tcPr>
            <w:tcW w:w="1143" w:type="dxa"/>
            <w:tcBorders>
              <w:top w:val="nil"/>
              <w:left w:val="nil"/>
              <w:bottom w:val="single" w:sz="4" w:space="0" w:color="auto"/>
              <w:right w:val="single" w:sz="4" w:space="0" w:color="auto"/>
            </w:tcBorders>
            <w:shd w:val="clear" w:color="auto" w:fill="auto"/>
            <w:vAlign w:val="center"/>
            <w:hideMark/>
          </w:tcPr>
          <w:p w14:paraId="2C8F23C2"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0,1</w:t>
            </w:r>
          </w:p>
        </w:tc>
        <w:tc>
          <w:tcPr>
            <w:tcW w:w="1200" w:type="dxa"/>
            <w:tcBorders>
              <w:top w:val="nil"/>
              <w:left w:val="nil"/>
              <w:bottom w:val="single" w:sz="4" w:space="0" w:color="auto"/>
              <w:right w:val="single" w:sz="4" w:space="0" w:color="auto"/>
            </w:tcBorders>
            <w:shd w:val="clear" w:color="auto" w:fill="auto"/>
            <w:vAlign w:val="center"/>
            <w:hideMark/>
          </w:tcPr>
          <w:p w14:paraId="0A5B8D37" w14:textId="77777777" w:rsidR="00F00781" w:rsidRPr="00F00781" w:rsidRDefault="00F00781" w:rsidP="00F00781">
            <w:pPr>
              <w:rPr>
                <w:rFonts w:ascii="Arial Narrow" w:hAnsi="Arial Narrow" w:cs="Calibri"/>
                <w:sz w:val="14"/>
                <w:szCs w:val="14"/>
              </w:rPr>
            </w:pPr>
            <w:r w:rsidRPr="00F00781">
              <w:rPr>
                <w:rFonts w:ascii="Arial Narrow" w:hAnsi="Arial Narrow" w:cs="Calibri"/>
                <w:sz w:val="14"/>
                <w:szCs w:val="14"/>
              </w:rPr>
              <w:t> </w:t>
            </w:r>
          </w:p>
        </w:tc>
        <w:tc>
          <w:tcPr>
            <w:tcW w:w="721" w:type="dxa"/>
            <w:tcBorders>
              <w:top w:val="nil"/>
              <w:left w:val="nil"/>
              <w:bottom w:val="single" w:sz="4" w:space="0" w:color="auto"/>
              <w:right w:val="single" w:sz="4" w:space="0" w:color="auto"/>
            </w:tcBorders>
            <w:shd w:val="clear" w:color="auto" w:fill="auto"/>
            <w:vAlign w:val="center"/>
            <w:hideMark/>
          </w:tcPr>
          <w:p w14:paraId="7545323F"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0,6</w:t>
            </w:r>
          </w:p>
        </w:tc>
        <w:tc>
          <w:tcPr>
            <w:tcW w:w="721" w:type="dxa"/>
            <w:tcBorders>
              <w:top w:val="nil"/>
              <w:left w:val="nil"/>
              <w:bottom w:val="single" w:sz="4" w:space="0" w:color="auto"/>
              <w:right w:val="single" w:sz="4" w:space="0" w:color="auto"/>
            </w:tcBorders>
            <w:shd w:val="clear" w:color="auto" w:fill="auto"/>
            <w:vAlign w:val="center"/>
            <w:hideMark/>
          </w:tcPr>
          <w:p w14:paraId="7AA58EB9"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12,1</w:t>
            </w:r>
          </w:p>
        </w:tc>
        <w:tc>
          <w:tcPr>
            <w:tcW w:w="698" w:type="dxa"/>
            <w:tcBorders>
              <w:top w:val="nil"/>
              <w:left w:val="nil"/>
              <w:bottom w:val="single" w:sz="4" w:space="0" w:color="auto"/>
              <w:right w:val="single" w:sz="4" w:space="0" w:color="auto"/>
            </w:tcBorders>
            <w:shd w:val="clear" w:color="auto" w:fill="auto"/>
            <w:vAlign w:val="center"/>
            <w:hideMark/>
          </w:tcPr>
          <w:p w14:paraId="3C614884"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0,1</w:t>
            </w:r>
          </w:p>
        </w:tc>
        <w:tc>
          <w:tcPr>
            <w:tcW w:w="765" w:type="dxa"/>
            <w:tcBorders>
              <w:top w:val="nil"/>
              <w:left w:val="nil"/>
              <w:bottom w:val="single" w:sz="4" w:space="0" w:color="auto"/>
              <w:right w:val="single" w:sz="4" w:space="0" w:color="auto"/>
            </w:tcBorders>
            <w:shd w:val="clear" w:color="auto" w:fill="auto"/>
            <w:vAlign w:val="center"/>
            <w:hideMark/>
          </w:tcPr>
          <w:p w14:paraId="7B27CCC9"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12,7</w:t>
            </w:r>
          </w:p>
        </w:tc>
        <w:tc>
          <w:tcPr>
            <w:tcW w:w="970" w:type="dxa"/>
            <w:tcBorders>
              <w:top w:val="nil"/>
              <w:left w:val="nil"/>
              <w:bottom w:val="single" w:sz="4" w:space="0" w:color="auto"/>
              <w:right w:val="single" w:sz="4" w:space="0" w:color="auto"/>
            </w:tcBorders>
            <w:shd w:val="clear" w:color="auto" w:fill="auto"/>
            <w:vAlign w:val="center"/>
            <w:hideMark/>
          </w:tcPr>
          <w:p w14:paraId="40E83D3F" w14:textId="77777777" w:rsidR="00F00781" w:rsidRPr="00F00781" w:rsidRDefault="00F00781" w:rsidP="00F00781">
            <w:pPr>
              <w:rPr>
                <w:rFonts w:ascii="Arial Narrow" w:hAnsi="Arial Narrow" w:cs="Calibri"/>
                <w:sz w:val="14"/>
                <w:szCs w:val="14"/>
              </w:rPr>
            </w:pPr>
            <w:r w:rsidRPr="00F00781">
              <w:rPr>
                <w:rFonts w:ascii="Arial Narrow" w:hAnsi="Arial Narrow" w:cs="Calibri"/>
                <w:sz w:val="14"/>
                <w:szCs w:val="14"/>
              </w:rPr>
              <w:t> </w:t>
            </w:r>
          </w:p>
        </w:tc>
        <w:tc>
          <w:tcPr>
            <w:tcW w:w="602" w:type="dxa"/>
            <w:tcBorders>
              <w:top w:val="nil"/>
              <w:left w:val="nil"/>
              <w:bottom w:val="single" w:sz="4" w:space="0" w:color="auto"/>
              <w:right w:val="single" w:sz="4" w:space="0" w:color="auto"/>
            </w:tcBorders>
            <w:shd w:val="clear" w:color="auto" w:fill="auto"/>
            <w:vAlign w:val="center"/>
            <w:hideMark/>
          </w:tcPr>
          <w:p w14:paraId="2882680A" w14:textId="77777777" w:rsidR="00F00781" w:rsidRPr="00F00781" w:rsidRDefault="00F00781" w:rsidP="00F00781">
            <w:pPr>
              <w:rPr>
                <w:rFonts w:ascii="Arial Narrow" w:hAnsi="Arial Narrow" w:cs="Calibri"/>
                <w:sz w:val="14"/>
                <w:szCs w:val="14"/>
              </w:rPr>
            </w:pPr>
            <w:r w:rsidRPr="00F00781">
              <w:rPr>
                <w:rFonts w:ascii="Arial Narrow" w:hAnsi="Arial Narrow" w:cs="Calibri"/>
                <w:sz w:val="14"/>
                <w:szCs w:val="14"/>
              </w:rPr>
              <w:t> </w:t>
            </w:r>
          </w:p>
        </w:tc>
        <w:tc>
          <w:tcPr>
            <w:tcW w:w="697" w:type="dxa"/>
            <w:tcBorders>
              <w:top w:val="nil"/>
              <w:left w:val="nil"/>
              <w:bottom w:val="single" w:sz="4" w:space="0" w:color="auto"/>
              <w:right w:val="single" w:sz="4" w:space="0" w:color="auto"/>
            </w:tcBorders>
            <w:shd w:val="clear" w:color="auto" w:fill="auto"/>
            <w:vAlign w:val="center"/>
            <w:hideMark/>
          </w:tcPr>
          <w:p w14:paraId="2DDE0C6B" w14:textId="77777777" w:rsidR="00F00781" w:rsidRPr="00F00781" w:rsidRDefault="00F00781" w:rsidP="00F00781">
            <w:pPr>
              <w:rPr>
                <w:rFonts w:ascii="Arial Narrow" w:hAnsi="Arial Narrow" w:cs="Calibri"/>
                <w:sz w:val="14"/>
                <w:szCs w:val="14"/>
              </w:rPr>
            </w:pPr>
            <w:r w:rsidRPr="00F00781">
              <w:rPr>
                <w:rFonts w:ascii="Arial Narrow" w:hAnsi="Arial Narrow" w:cs="Calibri"/>
                <w:sz w:val="14"/>
                <w:szCs w:val="14"/>
              </w:rPr>
              <w:t> </w:t>
            </w:r>
          </w:p>
        </w:tc>
        <w:tc>
          <w:tcPr>
            <w:tcW w:w="869" w:type="dxa"/>
            <w:tcBorders>
              <w:top w:val="nil"/>
              <w:left w:val="nil"/>
              <w:bottom w:val="single" w:sz="4" w:space="0" w:color="auto"/>
              <w:right w:val="single" w:sz="4" w:space="0" w:color="auto"/>
            </w:tcBorders>
            <w:shd w:val="clear" w:color="auto" w:fill="auto"/>
            <w:vAlign w:val="center"/>
            <w:hideMark/>
          </w:tcPr>
          <w:p w14:paraId="3A8F34F8"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12,8</w:t>
            </w:r>
          </w:p>
        </w:tc>
      </w:tr>
      <w:tr w:rsidR="00F00781" w:rsidRPr="00F00781" w14:paraId="53FC3AAF" w14:textId="77777777" w:rsidTr="00E01BBF">
        <w:trPr>
          <w:trHeight w:val="196"/>
        </w:trPr>
        <w:tc>
          <w:tcPr>
            <w:tcW w:w="632" w:type="dxa"/>
            <w:tcBorders>
              <w:top w:val="nil"/>
              <w:left w:val="single" w:sz="4" w:space="0" w:color="auto"/>
              <w:bottom w:val="single" w:sz="4" w:space="0" w:color="auto"/>
              <w:right w:val="single" w:sz="4" w:space="0" w:color="auto"/>
            </w:tcBorders>
            <w:shd w:val="clear" w:color="auto" w:fill="auto"/>
            <w:vAlign w:val="center"/>
            <w:hideMark/>
          </w:tcPr>
          <w:p w14:paraId="69A161FC" w14:textId="77777777" w:rsidR="00F00781" w:rsidRPr="00F00781" w:rsidRDefault="00F00781" w:rsidP="00F00781">
            <w:pPr>
              <w:rPr>
                <w:rFonts w:ascii="Arial Narrow" w:hAnsi="Arial Narrow" w:cs="Calibri"/>
                <w:sz w:val="14"/>
                <w:szCs w:val="14"/>
              </w:rPr>
            </w:pPr>
            <w:r w:rsidRPr="00F00781">
              <w:rPr>
                <w:rFonts w:ascii="Arial Narrow" w:hAnsi="Arial Narrow" w:cs="Calibri"/>
                <w:sz w:val="14"/>
                <w:szCs w:val="14"/>
              </w:rPr>
              <w:t xml:space="preserve"> 06.4/2</w:t>
            </w:r>
          </w:p>
        </w:tc>
        <w:tc>
          <w:tcPr>
            <w:tcW w:w="1671" w:type="dxa"/>
            <w:tcBorders>
              <w:top w:val="nil"/>
              <w:left w:val="nil"/>
              <w:bottom w:val="single" w:sz="4" w:space="0" w:color="auto"/>
              <w:right w:val="single" w:sz="4" w:space="0" w:color="auto"/>
            </w:tcBorders>
            <w:shd w:val="clear" w:color="auto" w:fill="auto"/>
            <w:vAlign w:val="center"/>
            <w:hideMark/>
          </w:tcPr>
          <w:p w14:paraId="6F38EACB" w14:textId="77777777" w:rsidR="00F00781" w:rsidRPr="00F00781" w:rsidRDefault="00F00781" w:rsidP="00F00781">
            <w:pPr>
              <w:ind w:firstLineChars="200" w:firstLine="280"/>
              <w:rPr>
                <w:rFonts w:ascii="Arial Narrow" w:hAnsi="Arial Narrow" w:cs="Calibri"/>
                <w:sz w:val="14"/>
                <w:szCs w:val="14"/>
              </w:rPr>
            </w:pPr>
            <w:r w:rsidRPr="00F00781">
              <w:rPr>
                <w:rFonts w:ascii="Arial Narrow" w:hAnsi="Arial Narrow" w:cs="Calibri"/>
                <w:sz w:val="14"/>
                <w:szCs w:val="14"/>
              </w:rPr>
              <w:t>Друго грозде</w:t>
            </w:r>
          </w:p>
        </w:tc>
        <w:tc>
          <w:tcPr>
            <w:tcW w:w="773" w:type="dxa"/>
            <w:tcBorders>
              <w:top w:val="nil"/>
              <w:left w:val="nil"/>
              <w:bottom w:val="single" w:sz="4" w:space="0" w:color="auto"/>
              <w:right w:val="single" w:sz="4" w:space="0" w:color="auto"/>
            </w:tcBorders>
            <w:shd w:val="clear" w:color="auto" w:fill="auto"/>
            <w:vAlign w:val="center"/>
            <w:hideMark/>
          </w:tcPr>
          <w:p w14:paraId="75945D50"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95,0</w:t>
            </w:r>
          </w:p>
        </w:tc>
        <w:tc>
          <w:tcPr>
            <w:tcW w:w="582" w:type="dxa"/>
            <w:tcBorders>
              <w:top w:val="nil"/>
              <w:left w:val="nil"/>
              <w:bottom w:val="single" w:sz="4" w:space="0" w:color="auto"/>
              <w:right w:val="single" w:sz="4" w:space="0" w:color="auto"/>
            </w:tcBorders>
            <w:shd w:val="clear" w:color="auto" w:fill="auto"/>
            <w:vAlign w:val="center"/>
            <w:hideMark/>
          </w:tcPr>
          <w:p w14:paraId="57CCB1BC"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0,1</w:t>
            </w:r>
          </w:p>
        </w:tc>
        <w:tc>
          <w:tcPr>
            <w:tcW w:w="681" w:type="dxa"/>
            <w:tcBorders>
              <w:top w:val="nil"/>
              <w:left w:val="nil"/>
              <w:bottom w:val="single" w:sz="4" w:space="0" w:color="auto"/>
              <w:right w:val="single" w:sz="4" w:space="0" w:color="auto"/>
            </w:tcBorders>
            <w:shd w:val="clear" w:color="auto" w:fill="auto"/>
            <w:vAlign w:val="center"/>
            <w:hideMark/>
          </w:tcPr>
          <w:p w14:paraId="62CB53E2" w14:textId="77777777" w:rsidR="00F00781" w:rsidRPr="00F00781" w:rsidRDefault="00F00781" w:rsidP="00F00781">
            <w:pPr>
              <w:rPr>
                <w:rFonts w:ascii="Arial Narrow" w:hAnsi="Arial Narrow" w:cs="Calibri"/>
                <w:sz w:val="14"/>
                <w:szCs w:val="14"/>
              </w:rPr>
            </w:pPr>
            <w:r w:rsidRPr="00F00781">
              <w:rPr>
                <w:rFonts w:ascii="Arial Narrow" w:hAnsi="Arial Narrow" w:cs="Calibri"/>
                <w:sz w:val="14"/>
                <w:szCs w:val="14"/>
              </w:rPr>
              <w:t> </w:t>
            </w:r>
          </w:p>
        </w:tc>
        <w:tc>
          <w:tcPr>
            <w:tcW w:w="789" w:type="dxa"/>
            <w:tcBorders>
              <w:top w:val="nil"/>
              <w:left w:val="nil"/>
              <w:bottom w:val="single" w:sz="4" w:space="0" w:color="auto"/>
              <w:right w:val="single" w:sz="4" w:space="0" w:color="auto"/>
            </w:tcBorders>
            <w:shd w:val="clear" w:color="auto" w:fill="auto"/>
            <w:vAlign w:val="center"/>
            <w:hideMark/>
          </w:tcPr>
          <w:p w14:paraId="2D5DF618" w14:textId="77777777" w:rsidR="00F00781" w:rsidRPr="00F00781" w:rsidRDefault="00F00781" w:rsidP="00F00781">
            <w:pPr>
              <w:rPr>
                <w:rFonts w:ascii="Arial Narrow" w:hAnsi="Arial Narrow" w:cs="Calibri"/>
                <w:sz w:val="14"/>
                <w:szCs w:val="14"/>
              </w:rPr>
            </w:pPr>
            <w:r w:rsidRPr="00F00781">
              <w:rPr>
                <w:rFonts w:ascii="Arial Narrow" w:hAnsi="Arial Narrow" w:cs="Calibri"/>
                <w:sz w:val="14"/>
                <w:szCs w:val="14"/>
              </w:rPr>
              <w:t> </w:t>
            </w:r>
          </w:p>
        </w:tc>
        <w:tc>
          <w:tcPr>
            <w:tcW w:w="693" w:type="dxa"/>
            <w:tcBorders>
              <w:top w:val="nil"/>
              <w:left w:val="nil"/>
              <w:bottom w:val="single" w:sz="4" w:space="0" w:color="auto"/>
              <w:right w:val="single" w:sz="4" w:space="0" w:color="auto"/>
            </w:tcBorders>
            <w:shd w:val="clear" w:color="auto" w:fill="auto"/>
            <w:vAlign w:val="center"/>
            <w:hideMark/>
          </w:tcPr>
          <w:p w14:paraId="08B6CD44" w14:textId="77777777" w:rsidR="00F00781" w:rsidRPr="00F00781" w:rsidRDefault="00F00781" w:rsidP="00F00781">
            <w:pPr>
              <w:rPr>
                <w:rFonts w:ascii="Arial Narrow" w:hAnsi="Arial Narrow" w:cs="Calibri"/>
                <w:sz w:val="14"/>
                <w:szCs w:val="14"/>
              </w:rPr>
            </w:pPr>
            <w:r w:rsidRPr="00F00781">
              <w:rPr>
                <w:rFonts w:ascii="Arial Narrow" w:hAnsi="Arial Narrow" w:cs="Calibri"/>
                <w:sz w:val="14"/>
                <w:szCs w:val="14"/>
              </w:rPr>
              <w:t> </w:t>
            </w:r>
          </w:p>
        </w:tc>
        <w:tc>
          <w:tcPr>
            <w:tcW w:w="537" w:type="dxa"/>
            <w:tcBorders>
              <w:top w:val="nil"/>
              <w:left w:val="nil"/>
              <w:bottom w:val="single" w:sz="4" w:space="0" w:color="auto"/>
              <w:right w:val="single" w:sz="4" w:space="0" w:color="auto"/>
            </w:tcBorders>
            <w:shd w:val="clear" w:color="auto" w:fill="auto"/>
            <w:vAlign w:val="center"/>
            <w:hideMark/>
          </w:tcPr>
          <w:p w14:paraId="67ED554F"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0,2</w:t>
            </w:r>
          </w:p>
        </w:tc>
        <w:tc>
          <w:tcPr>
            <w:tcW w:w="1143" w:type="dxa"/>
            <w:tcBorders>
              <w:top w:val="nil"/>
              <w:left w:val="nil"/>
              <w:bottom w:val="single" w:sz="4" w:space="0" w:color="auto"/>
              <w:right w:val="single" w:sz="4" w:space="0" w:color="auto"/>
            </w:tcBorders>
            <w:shd w:val="clear" w:color="auto" w:fill="auto"/>
            <w:vAlign w:val="center"/>
            <w:hideMark/>
          </w:tcPr>
          <w:p w14:paraId="16EEACF7"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14,1</w:t>
            </w:r>
          </w:p>
        </w:tc>
        <w:tc>
          <w:tcPr>
            <w:tcW w:w="1200" w:type="dxa"/>
            <w:tcBorders>
              <w:top w:val="nil"/>
              <w:left w:val="nil"/>
              <w:bottom w:val="single" w:sz="4" w:space="0" w:color="auto"/>
              <w:right w:val="single" w:sz="4" w:space="0" w:color="auto"/>
            </w:tcBorders>
            <w:shd w:val="clear" w:color="auto" w:fill="auto"/>
            <w:vAlign w:val="center"/>
            <w:hideMark/>
          </w:tcPr>
          <w:p w14:paraId="5D6E3D78"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1,6</w:t>
            </w:r>
          </w:p>
        </w:tc>
        <w:tc>
          <w:tcPr>
            <w:tcW w:w="721" w:type="dxa"/>
            <w:tcBorders>
              <w:top w:val="nil"/>
              <w:left w:val="nil"/>
              <w:bottom w:val="single" w:sz="4" w:space="0" w:color="auto"/>
              <w:right w:val="single" w:sz="4" w:space="0" w:color="auto"/>
            </w:tcBorders>
            <w:shd w:val="clear" w:color="auto" w:fill="auto"/>
            <w:vAlign w:val="center"/>
            <w:hideMark/>
          </w:tcPr>
          <w:p w14:paraId="69391835"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13,5</w:t>
            </w:r>
          </w:p>
        </w:tc>
        <w:tc>
          <w:tcPr>
            <w:tcW w:w="721" w:type="dxa"/>
            <w:tcBorders>
              <w:top w:val="nil"/>
              <w:left w:val="nil"/>
              <w:bottom w:val="single" w:sz="4" w:space="0" w:color="auto"/>
              <w:right w:val="single" w:sz="4" w:space="0" w:color="auto"/>
            </w:tcBorders>
            <w:shd w:val="clear" w:color="auto" w:fill="auto"/>
            <w:vAlign w:val="center"/>
            <w:hideMark/>
          </w:tcPr>
          <w:p w14:paraId="4E628D82"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65,3</w:t>
            </w:r>
          </w:p>
        </w:tc>
        <w:tc>
          <w:tcPr>
            <w:tcW w:w="698" w:type="dxa"/>
            <w:tcBorders>
              <w:top w:val="nil"/>
              <w:left w:val="nil"/>
              <w:bottom w:val="single" w:sz="4" w:space="0" w:color="auto"/>
              <w:right w:val="single" w:sz="4" w:space="0" w:color="auto"/>
            </w:tcBorders>
            <w:shd w:val="clear" w:color="auto" w:fill="auto"/>
            <w:vAlign w:val="center"/>
            <w:hideMark/>
          </w:tcPr>
          <w:p w14:paraId="35DB8F6A"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0,3</w:t>
            </w:r>
          </w:p>
        </w:tc>
        <w:tc>
          <w:tcPr>
            <w:tcW w:w="765" w:type="dxa"/>
            <w:tcBorders>
              <w:top w:val="nil"/>
              <w:left w:val="nil"/>
              <w:bottom w:val="single" w:sz="4" w:space="0" w:color="auto"/>
              <w:right w:val="single" w:sz="4" w:space="0" w:color="auto"/>
            </w:tcBorders>
            <w:shd w:val="clear" w:color="auto" w:fill="auto"/>
            <w:vAlign w:val="center"/>
            <w:hideMark/>
          </w:tcPr>
          <w:p w14:paraId="4319B185"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79,0</w:t>
            </w:r>
          </w:p>
        </w:tc>
        <w:tc>
          <w:tcPr>
            <w:tcW w:w="970" w:type="dxa"/>
            <w:tcBorders>
              <w:top w:val="nil"/>
              <w:left w:val="nil"/>
              <w:bottom w:val="single" w:sz="4" w:space="0" w:color="auto"/>
              <w:right w:val="single" w:sz="4" w:space="0" w:color="auto"/>
            </w:tcBorders>
            <w:shd w:val="clear" w:color="auto" w:fill="auto"/>
            <w:vAlign w:val="center"/>
            <w:hideMark/>
          </w:tcPr>
          <w:p w14:paraId="4BBC1741" w14:textId="77777777" w:rsidR="00F00781" w:rsidRPr="00F00781" w:rsidRDefault="00F00781" w:rsidP="00F00781">
            <w:pPr>
              <w:rPr>
                <w:rFonts w:ascii="Arial Narrow" w:hAnsi="Arial Narrow" w:cs="Calibri"/>
                <w:sz w:val="14"/>
                <w:szCs w:val="14"/>
              </w:rPr>
            </w:pPr>
            <w:r w:rsidRPr="00F00781">
              <w:rPr>
                <w:rFonts w:ascii="Arial Narrow" w:hAnsi="Arial Narrow" w:cs="Calibri"/>
                <w:sz w:val="14"/>
                <w:szCs w:val="14"/>
              </w:rPr>
              <w:t> </w:t>
            </w:r>
          </w:p>
        </w:tc>
        <w:tc>
          <w:tcPr>
            <w:tcW w:w="602" w:type="dxa"/>
            <w:tcBorders>
              <w:top w:val="nil"/>
              <w:left w:val="nil"/>
              <w:bottom w:val="single" w:sz="4" w:space="0" w:color="auto"/>
              <w:right w:val="single" w:sz="4" w:space="0" w:color="auto"/>
            </w:tcBorders>
            <w:shd w:val="clear" w:color="auto" w:fill="auto"/>
            <w:vAlign w:val="center"/>
            <w:hideMark/>
          </w:tcPr>
          <w:p w14:paraId="09D4ED96" w14:textId="77777777" w:rsidR="00F00781" w:rsidRPr="00F00781" w:rsidRDefault="00F00781" w:rsidP="00F00781">
            <w:pPr>
              <w:rPr>
                <w:rFonts w:ascii="Arial Narrow" w:hAnsi="Arial Narrow" w:cs="Calibri"/>
                <w:sz w:val="14"/>
                <w:szCs w:val="14"/>
              </w:rPr>
            </w:pPr>
            <w:r w:rsidRPr="00F00781">
              <w:rPr>
                <w:rFonts w:ascii="Arial Narrow" w:hAnsi="Arial Narrow" w:cs="Calibri"/>
                <w:sz w:val="14"/>
                <w:szCs w:val="14"/>
              </w:rPr>
              <w:t> </w:t>
            </w:r>
          </w:p>
        </w:tc>
        <w:tc>
          <w:tcPr>
            <w:tcW w:w="697" w:type="dxa"/>
            <w:tcBorders>
              <w:top w:val="nil"/>
              <w:left w:val="nil"/>
              <w:bottom w:val="single" w:sz="4" w:space="0" w:color="auto"/>
              <w:right w:val="single" w:sz="4" w:space="0" w:color="auto"/>
            </w:tcBorders>
            <w:shd w:val="clear" w:color="auto" w:fill="auto"/>
            <w:vAlign w:val="center"/>
            <w:hideMark/>
          </w:tcPr>
          <w:p w14:paraId="48AB4638" w14:textId="77777777" w:rsidR="00F00781" w:rsidRPr="00F00781" w:rsidRDefault="00F00781" w:rsidP="00F00781">
            <w:pPr>
              <w:rPr>
                <w:rFonts w:ascii="Arial Narrow" w:hAnsi="Arial Narrow" w:cs="Calibri"/>
                <w:sz w:val="14"/>
                <w:szCs w:val="14"/>
              </w:rPr>
            </w:pPr>
            <w:r w:rsidRPr="00F00781">
              <w:rPr>
                <w:rFonts w:ascii="Arial Narrow" w:hAnsi="Arial Narrow" w:cs="Calibri"/>
                <w:sz w:val="14"/>
                <w:szCs w:val="14"/>
              </w:rPr>
              <w:t> </w:t>
            </w:r>
          </w:p>
        </w:tc>
        <w:tc>
          <w:tcPr>
            <w:tcW w:w="869" w:type="dxa"/>
            <w:tcBorders>
              <w:top w:val="nil"/>
              <w:left w:val="nil"/>
              <w:bottom w:val="single" w:sz="4" w:space="0" w:color="auto"/>
              <w:right w:val="single" w:sz="4" w:space="0" w:color="auto"/>
            </w:tcBorders>
            <w:shd w:val="clear" w:color="auto" w:fill="auto"/>
            <w:vAlign w:val="center"/>
            <w:hideMark/>
          </w:tcPr>
          <w:p w14:paraId="6DB1AB0E"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94,7</w:t>
            </w:r>
          </w:p>
        </w:tc>
      </w:tr>
      <w:tr w:rsidR="00F00781" w:rsidRPr="00F00781" w14:paraId="65B25FBE" w14:textId="77777777" w:rsidTr="00E01BBF">
        <w:trPr>
          <w:trHeight w:val="196"/>
        </w:trPr>
        <w:tc>
          <w:tcPr>
            <w:tcW w:w="632" w:type="dxa"/>
            <w:tcBorders>
              <w:top w:val="nil"/>
              <w:left w:val="single" w:sz="4" w:space="0" w:color="auto"/>
              <w:bottom w:val="single" w:sz="4" w:space="0" w:color="auto"/>
              <w:right w:val="single" w:sz="4" w:space="0" w:color="auto"/>
            </w:tcBorders>
            <w:shd w:val="clear" w:color="auto" w:fill="auto"/>
            <w:vAlign w:val="center"/>
            <w:hideMark/>
          </w:tcPr>
          <w:p w14:paraId="0E643C7F" w14:textId="77777777" w:rsidR="00F00781" w:rsidRPr="00F00781" w:rsidRDefault="00F00781" w:rsidP="00F00781">
            <w:pPr>
              <w:rPr>
                <w:rFonts w:ascii="Arial Narrow" w:hAnsi="Arial Narrow" w:cs="Calibri"/>
                <w:sz w:val="14"/>
                <w:szCs w:val="14"/>
              </w:rPr>
            </w:pPr>
            <w:r w:rsidRPr="00F00781">
              <w:rPr>
                <w:rFonts w:ascii="Arial Narrow" w:hAnsi="Arial Narrow" w:cs="Calibri"/>
                <w:sz w:val="14"/>
                <w:szCs w:val="14"/>
              </w:rPr>
              <w:t xml:space="preserve"> 07</w:t>
            </w:r>
          </w:p>
        </w:tc>
        <w:tc>
          <w:tcPr>
            <w:tcW w:w="1671" w:type="dxa"/>
            <w:tcBorders>
              <w:top w:val="nil"/>
              <w:left w:val="nil"/>
              <w:bottom w:val="single" w:sz="4" w:space="0" w:color="auto"/>
              <w:right w:val="single" w:sz="4" w:space="0" w:color="auto"/>
            </w:tcBorders>
            <w:shd w:val="clear" w:color="auto" w:fill="auto"/>
            <w:vAlign w:val="center"/>
            <w:hideMark/>
          </w:tcPr>
          <w:p w14:paraId="36717D59" w14:textId="77777777" w:rsidR="00F00781" w:rsidRPr="00F00781" w:rsidRDefault="00F00781" w:rsidP="00F00781">
            <w:pPr>
              <w:rPr>
                <w:rFonts w:ascii="Arial Narrow" w:hAnsi="Arial Narrow" w:cs="Calibri"/>
                <w:sz w:val="14"/>
                <w:szCs w:val="14"/>
              </w:rPr>
            </w:pPr>
            <w:r w:rsidRPr="00F00781">
              <w:rPr>
                <w:rFonts w:ascii="Arial Narrow" w:hAnsi="Arial Narrow" w:cs="Calibri"/>
                <w:sz w:val="14"/>
                <w:szCs w:val="14"/>
              </w:rPr>
              <w:t>Вино</w:t>
            </w:r>
          </w:p>
        </w:tc>
        <w:tc>
          <w:tcPr>
            <w:tcW w:w="773" w:type="dxa"/>
            <w:tcBorders>
              <w:top w:val="nil"/>
              <w:left w:val="nil"/>
              <w:bottom w:val="single" w:sz="4" w:space="0" w:color="auto"/>
              <w:right w:val="single" w:sz="4" w:space="0" w:color="auto"/>
            </w:tcBorders>
            <w:shd w:val="clear" w:color="auto" w:fill="auto"/>
            <w:vAlign w:val="center"/>
            <w:hideMark/>
          </w:tcPr>
          <w:p w14:paraId="3AE2956D"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 </w:t>
            </w:r>
          </w:p>
        </w:tc>
        <w:tc>
          <w:tcPr>
            <w:tcW w:w="582" w:type="dxa"/>
            <w:tcBorders>
              <w:top w:val="nil"/>
              <w:left w:val="nil"/>
              <w:bottom w:val="single" w:sz="4" w:space="0" w:color="auto"/>
              <w:right w:val="single" w:sz="4" w:space="0" w:color="auto"/>
            </w:tcBorders>
            <w:shd w:val="clear" w:color="auto" w:fill="auto"/>
            <w:vAlign w:val="center"/>
            <w:hideMark/>
          </w:tcPr>
          <w:p w14:paraId="218B4520"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 </w:t>
            </w:r>
          </w:p>
        </w:tc>
        <w:tc>
          <w:tcPr>
            <w:tcW w:w="681" w:type="dxa"/>
            <w:tcBorders>
              <w:top w:val="nil"/>
              <w:left w:val="nil"/>
              <w:bottom w:val="single" w:sz="4" w:space="0" w:color="auto"/>
              <w:right w:val="single" w:sz="4" w:space="0" w:color="auto"/>
            </w:tcBorders>
            <w:shd w:val="clear" w:color="auto" w:fill="auto"/>
            <w:vAlign w:val="center"/>
            <w:hideMark/>
          </w:tcPr>
          <w:p w14:paraId="76E79DE2"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 </w:t>
            </w:r>
          </w:p>
        </w:tc>
        <w:tc>
          <w:tcPr>
            <w:tcW w:w="789" w:type="dxa"/>
            <w:tcBorders>
              <w:top w:val="nil"/>
              <w:left w:val="nil"/>
              <w:bottom w:val="single" w:sz="4" w:space="0" w:color="auto"/>
              <w:right w:val="single" w:sz="4" w:space="0" w:color="auto"/>
            </w:tcBorders>
            <w:shd w:val="clear" w:color="auto" w:fill="auto"/>
            <w:vAlign w:val="center"/>
            <w:hideMark/>
          </w:tcPr>
          <w:p w14:paraId="2EA0EF53"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 </w:t>
            </w:r>
          </w:p>
        </w:tc>
        <w:tc>
          <w:tcPr>
            <w:tcW w:w="693" w:type="dxa"/>
            <w:tcBorders>
              <w:top w:val="nil"/>
              <w:left w:val="nil"/>
              <w:bottom w:val="single" w:sz="4" w:space="0" w:color="auto"/>
              <w:right w:val="single" w:sz="4" w:space="0" w:color="auto"/>
            </w:tcBorders>
            <w:shd w:val="clear" w:color="auto" w:fill="auto"/>
            <w:vAlign w:val="center"/>
            <w:hideMark/>
          </w:tcPr>
          <w:p w14:paraId="6F09FF51"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 </w:t>
            </w:r>
          </w:p>
        </w:tc>
        <w:tc>
          <w:tcPr>
            <w:tcW w:w="537" w:type="dxa"/>
            <w:tcBorders>
              <w:top w:val="nil"/>
              <w:left w:val="nil"/>
              <w:bottom w:val="single" w:sz="4" w:space="0" w:color="auto"/>
              <w:right w:val="single" w:sz="4" w:space="0" w:color="auto"/>
            </w:tcBorders>
            <w:shd w:val="clear" w:color="auto" w:fill="auto"/>
            <w:vAlign w:val="center"/>
            <w:hideMark/>
          </w:tcPr>
          <w:p w14:paraId="6D94C128"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 </w:t>
            </w:r>
          </w:p>
        </w:tc>
        <w:tc>
          <w:tcPr>
            <w:tcW w:w="1143" w:type="dxa"/>
            <w:tcBorders>
              <w:top w:val="nil"/>
              <w:left w:val="nil"/>
              <w:bottom w:val="single" w:sz="4" w:space="0" w:color="auto"/>
              <w:right w:val="single" w:sz="4" w:space="0" w:color="auto"/>
            </w:tcBorders>
            <w:shd w:val="clear" w:color="auto" w:fill="auto"/>
            <w:vAlign w:val="center"/>
            <w:hideMark/>
          </w:tcPr>
          <w:p w14:paraId="7EC309BF"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 </w:t>
            </w:r>
          </w:p>
        </w:tc>
        <w:tc>
          <w:tcPr>
            <w:tcW w:w="1200" w:type="dxa"/>
            <w:tcBorders>
              <w:top w:val="nil"/>
              <w:left w:val="nil"/>
              <w:bottom w:val="single" w:sz="4" w:space="0" w:color="auto"/>
              <w:right w:val="single" w:sz="4" w:space="0" w:color="auto"/>
            </w:tcBorders>
            <w:shd w:val="clear" w:color="auto" w:fill="auto"/>
            <w:vAlign w:val="center"/>
            <w:hideMark/>
          </w:tcPr>
          <w:p w14:paraId="1B59EC16"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 </w:t>
            </w:r>
          </w:p>
        </w:tc>
        <w:tc>
          <w:tcPr>
            <w:tcW w:w="721" w:type="dxa"/>
            <w:tcBorders>
              <w:top w:val="nil"/>
              <w:left w:val="nil"/>
              <w:bottom w:val="single" w:sz="4" w:space="0" w:color="auto"/>
              <w:right w:val="single" w:sz="4" w:space="0" w:color="auto"/>
            </w:tcBorders>
            <w:shd w:val="clear" w:color="auto" w:fill="auto"/>
            <w:vAlign w:val="center"/>
            <w:hideMark/>
          </w:tcPr>
          <w:p w14:paraId="63C2B9AB"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 </w:t>
            </w:r>
          </w:p>
        </w:tc>
        <w:tc>
          <w:tcPr>
            <w:tcW w:w="721" w:type="dxa"/>
            <w:tcBorders>
              <w:top w:val="nil"/>
              <w:left w:val="nil"/>
              <w:bottom w:val="single" w:sz="4" w:space="0" w:color="auto"/>
              <w:right w:val="single" w:sz="4" w:space="0" w:color="auto"/>
            </w:tcBorders>
            <w:shd w:val="clear" w:color="auto" w:fill="auto"/>
            <w:vAlign w:val="center"/>
            <w:hideMark/>
          </w:tcPr>
          <w:p w14:paraId="4059BF5F"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 </w:t>
            </w:r>
          </w:p>
        </w:tc>
        <w:tc>
          <w:tcPr>
            <w:tcW w:w="698" w:type="dxa"/>
            <w:tcBorders>
              <w:top w:val="nil"/>
              <w:left w:val="nil"/>
              <w:bottom w:val="single" w:sz="4" w:space="0" w:color="auto"/>
              <w:right w:val="single" w:sz="4" w:space="0" w:color="auto"/>
            </w:tcBorders>
            <w:shd w:val="clear" w:color="auto" w:fill="auto"/>
            <w:vAlign w:val="center"/>
            <w:hideMark/>
          </w:tcPr>
          <w:p w14:paraId="4E0F68B7"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 </w:t>
            </w:r>
          </w:p>
        </w:tc>
        <w:tc>
          <w:tcPr>
            <w:tcW w:w="765" w:type="dxa"/>
            <w:tcBorders>
              <w:top w:val="nil"/>
              <w:left w:val="nil"/>
              <w:bottom w:val="single" w:sz="4" w:space="0" w:color="auto"/>
              <w:right w:val="single" w:sz="4" w:space="0" w:color="auto"/>
            </w:tcBorders>
            <w:shd w:val="clear" w:color="auto" w:fill="auto"/>
            <w:vAlign w:val="center"/>
            <w:hideMark/>
          </w:tcPr>
          <w:p w14:paraId="40312014"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 </w:t>
            </w:r>
          </w:p>
        </w:tc>
        <w:tc>
          <w:tcPr>
            <w:tcW w:w="970" w:type="dxa"/>
            <w:tcBorders>
              <w:top w:val="nil"/>
              <w:left w:val="nil"/>
              <w:bottom w:val="single" w:sz="4" w:space="0" w:color="auto"/>
              <w:right w:val="single" w:sz="4" w:space="0" w:color="auto"/>
            </w:tcBorders>
            <w:shd w:val="clear" w:color="auto" w:fill="auto"/>
            <w:vAlign w:val="center"/>
            <w:hideMark/>
          </w:tcPr>
          <w:p w14:paraId="37A872D0"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 </w:t>
            </w:r>
          </w:p>
        </w:tc>
        <w:tc>
          <w:tcPr>
            <w:tcW w:w="602" w:type="dxa"/>
            <w:tcBorders>
              <w:top w:val="nil"/>
              <w:left w:val="nil"/>
              <w:bottom w:val="single" w:sz="4" w:space="0" w:color="auto"/>
              <w:right w:val="single" w:sz="4" w:space="0" w:color="auto"/>
            </w:tcBorders>
            <w:shd w:val="clear" w:color="auto" w:fill="auto"/>
            <w:vAlign w:val="center"/>
            <w:hideMark/>
          </w:tcPr>
          <w:p w14:paraId="54495D58"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 </w:t>
            </w:r>
          </w:p>
        </w:tc>
        <w:tc>
          <w:tcPr>
            <w:tcW w:w="697" w:type="dxa"/>
            <w:tcBorders>
              <w:top w:val="nil"/>
              <w:left w:val="nil"/>
              <w:bottom w:val="single" w:sz="4" w:space="0" w:color="auto"/>
              <w:right w:val="single" w:sz="4" w:space="0" w:color="auto"/>
            </w:tcBorders>
            <w:shd w:val="clear" w:color="auto" w:fill="auto"/>
            <w:vAlign w:val="center"/>
            <w:hideMark/>
          </w:tcPr>
          <w:p w14:paraId="1D8ED343"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 </w:t>
            </w:r>
          </w:p>
        </w:tc>
        <w:tc>
          <w:tcPr>
            <w:tcW w:w="869" w:type="dxa"/>
            <w:tcBorders>
              <w:top w:val="nil"/>
              <w:left w:val="nil"/>
              <w:bottom w:val="single" w:sz="4" w:space="0" w:color="auto"/>
              <w:right w:val="single" w:sz="4" w:space="0" w:color="auto"/>
            </w:tcBorders>
            <w:shd w:val="clear" w:color="auto" w:fill="auto"/>
            <w:vAlign w:val="center"/>
            <w:hideMark/>
          </w:tcPr>
          <w:p w14:paraId="0B4B6019"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 </w:t>
            </w:r>
          </w:p>
        </w:tc>
      </w:tr>
      <w:tr w:rsidR="00F00781" w:rsidRPr="00F00781" w14:paraId="3901D381" w14:textId="77777777" w:rsidTr="00E01BBF">
        <w:trPr>
          <w:trHeight w:val="196"/>
        </w:trPr>
        <w:tc>
          <w:tcPr>
            <w:tcW w:w="632" w:type="dxa"/>
            <w:tcBorders>
              <w:top w:val="nil"/>
              <w:left w:val="single" w:sz="4" w:space="0" w:color="auto"/>
              <w:bottom w:val="single" w:sz="4" w:space="0" w:color="auto"/>
              <w:right w:val="single" w:sz="4" w:space="0" w:color="auto"/>
            </w:tcBorders>
            <w:shd w:val="clear" w:color="auto" w:fill="auto"/>
            <w:vAlign w:val="center"/>
            <w:hideMark/>
          </w:tcPr>
          <w:p w14:paraId="070FF2DD" w14:textId="77777777" w:rsidR="00F00781" w:rsidRPr="00F00781" w:rsidRDefault="00F00781" w:rsidP="00F00781">
            <w:pPr>
              <w:rPr>
                <w:rFonts w:ascii="Arial Narrow" w:hAnsi="Arial Narrow" w:cs="Calibri"/>
                <w:sz w:val="14"/>
                <w:szCs w:val="14"/>
              </w:rPr>
            </w:pPr>
            <w:r w:rsidRPr="00F00781">
              <w:rPr>
                <w:rFonts w:ascii="Arial Narrow" w:hAnsi="Arial Narrow" w:cs="Calibri"/>
                <w:sz w:val="14"/>
                <w:szCs w:val="14"/>
              </w:rPr>
              <w:t xml:space="preserve"> 07.1</w:t>
            </w:r>
          </w:p>
        </w:tc>
        <w:tc>
          <w:tcPr>
            <w:tcW w:w="1671" w:type="dxa"/>
            <w:tcBorders>
              <w:top w:val="nil"/>
              <w:left w:val="nil"/>
              <w:bottom w:val="single" w:sz="4" w:space="0" w:color="auto"/>
              <w:right w:val="single" w:sz="4" w:space="0" w:color="auto"/>
            </w:tcBorders>
            <w:shd w:val="clear" w:color="auto" w:fill="auto"/>
            <w:vAlign w:val="center"/>
            <w:hideMark/>
          </w:tcPr>
          <w:p w14:paraId="09E4BEE9" w14:textId="77777777" w:rsidR="00F00781" w:rsidRPr="00F00781" w:rsidRDefault="00F00781" w:rsidP="00F00781">
            <w:pPr>
              <w:ind w:firstLineChars="100" w:firstLine="140"/>
              <w:rPr>
                <w:rFonts w:ascii="Arial Narrow" w:hAnsi="Arial Narrow" w:cs="Calibri"/>
                <w:sz w:val="14"/>
                <w:szCs w:val="14"/>
              </w:rPr>
            </w:pPr>
            <w:r w:rsidRPr="00F00781">
              <w:rPr>
                <w:rFonts w:ascii="Arial Narrow" w:hAnsi="Arial Narrow" w:cs="Calibri"/>
                <w:sz w:val="14"/>
                <w:szCs w:val="14"/>
              </w:rPr>
              <w:t>Трапезно вино</w:t>
            </w:r>
          </w:p>
        </w:tc>
        <w:tc>
          <w:tcPr>
            <w:tcW w:w="773" w:type="dxa"/>
            <w:tcBorders>
              <w:top w:val="nil"/>
              <w:left w:val="nil"/>
              <w:bottom w:val="single" w:sz="4" w:space="0" w:color="auto"/>
              <w:right w:val="single" w:sz="4" w:space="0" w:color="auto"/>
            </w:tcBorders>
            <w:shd w:val="clear" w:color="auto" w:fill="auto"/>
            <w:vAlign w:val="center"/>
            <w:hideMark/>
          </w:tcPr>
          <w:p w14:paraId="277CB415"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 </w:t>
            </w:r>
          </w:p>
        </w:tc>
        <w:tc>
          <w:tcPr>
            <w:tcW w:w="582" w:type="dxa"/>
            <w:tcBorders>
              <w:top w:val="nil"/>
              <w:left w:val="nil"/>
              <w:bottom w:val="single" w:sz="4" w:space="0" w:color="auto"/>
              <w:right w:val="single" w:sz="4" w:space="0" w:color="auto"/>
            </w:tcBorders>
            <w:shd w:val="clear" w:color="auto" w:fill="auto"/>
            <w:vAlign w:val="center"/>
            <w:hideMark/>
          </w:tcPr>
          <w:p w14:paraId="76154F62"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 </w:t>
            </w:r>
          </w:p>
        </w:tc>
        <w:tc>
          <w:tcPr>
            <w:tcW w:w="681" w:type="dxa"/>
            <w:tcBorders>
              <w:top w:val="nil"/>
              <w:left w:val="nil"/>
              <w:bottom w:val="single" w:sz="4" w:space="0" w:color="auto"/>
              <w:right w:val="single" w:sz="4" w:space="0" w:color="auto"/>
            </w:tcBorders>
            <w:shd w:val="clear" w:color="auto" w:fill="auto"/>
            <w:vAlign w:val="center"/>
            <w:hideMark/>
          </w:tcPr>
          <w:p w14:paraId="2A9366ED"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 </w:t>
            </w:r>
          </w:p>
        </w:tc>
        <w:tc>
          <w:tcPr>
            <w:tcW w:w="789" w:type="dxa"/>
            <w:tcBorders>
              <w:top w:val="nil"/>
              <w:left w:val="nil"/>
              <w:bottom w:val="single" w:sz="4" w:space="0" w:color="auto"/>
              <w:right w:val="single" w:sz="4" w:space="0" w:color="auto"/>
            </w:tcBorders>
            <w:shd w:val="clear" w:color="auto" w:fill="auto"/>
            <w:vAlign w:val="center"/>
            <w:hideMark/>
          </w:tcPr>
          <w:p w14:paraId="73E0638B"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 </w:t>
            </w:r>
          </w:p>
        </w:tc>
        <w:tc>
          <w:tcPr>
            <w:tcW w:w="693" w:type="dxa"/>
            <w:tcBorders>
              <w:top w:val="nil"/>
              <w:left w:val="nil"/>
              <w:bottom w:val="single" w:sz="4" w:space="0" w:color="auto"/>
              <w:right w:val="single" w:sz="4" w:space="0" w:color="auto"/>
            </w:tcBorders>
            <w:shd w:val="clear" w:color="auto" w:fill="auto"/>
            <w:vAlign w:val="center"/>
            <w:hideMark/>
          </w:tcPr>
          <w:p w14:paraId="0257B659"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 </w:t>
            </w:r>
          </w:p>
        </w:tc>
        <w:tc>
          <w:tcPr>
            <w:tcW w:w="537" w:type="dxa"/>
            <w:tcBorders>
              <w:top w:val="nil"/>
              <w:left w:val="nil"/>
              <w:bottom w:val="single" w:sz="4" w:space="0" w:color="auto"/>
              <w:right w:val="single" w:sz="4" w:space="0" w:color="auto"/>
            </w:tcBorders>
            <w:shd w:val="clear" w:color="auto" w:fill="auto"/>
            <w:vAlign w:val="center"/>
            <w:hideMark/>
          </w:tcPr>
          <w:p w14:paraId="79FB28B4"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 </w:t>
            </w:r>
          </w:p>
        </w:tc>
        <w:tc>
          <w:tcPr>
            <w:tcW w:w="1143" w:type="dxa"/>
            <w:tcBorders>
              <w:top w:val="nil"/>
              <w:left w:val="nil"/>
              <w:bottom w:val="single" w:sz="4" w:space="0" w:color="auto"/>
              <w:right w:val="single" w:sz="4" w:space="0" w:color="auto"/>
            </w:tcBorders>
            <w:shd w:val="clear" w:color="auto" w:fill="auto"/>
            <w:vAlign w:val="center"/>
            <w:hideMark/>
          </w:tcPr>
          <w:p w14:paraId="33558053"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 </w:t>
            </w:r>
          </w:p>
        </w:tc>
        <w:tc>
          <w:tcPr>
            <w:tcW w:w="1200" w:type="dxa"/>
            <w:tcBorders>
              <w:top w:val="nil"/>
              <w:left w:val="nil"/>
              <w:bottom w:val="single" w:sz="4" w:space="0" w:color="auto"/>
              <w:right w:val="single" w:sz="4" w:space="0" w:color="auto"/>
            </w:tcBorders>
            <w:shd w:val="clear" w:color="auto" w:fill="auto"/>
            <w:vAlign w:val="center"/>
            <w:hideMark/>
          </w:tcPr>
          <w:p w14:paraId="7228AF2A"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 </w:t>
            </w:r>
          </w:p>
        </w:tc>
        <w:tc>
          <w:tcPr>
            <w:tcW w:w="721" w:type="dxa"/>
            <w:tcBorders>
              <w:top w:val="nil"/>
              <w:left w:val="nil"/>
              <w:bottom w:val="single" w:sz="4" w:space="0" w:color="auto"/>
              <w:right w:val="single" w:sz="4" w:space="0" w:color="auto"/>
            </w:tcBorders>
            <w:shd w:val="clear" w:color="auto" w:fill="auto"/>
            <w:vAlign w:val="center"/>
            <w:hideMark/>
          </w:tcPr>
          <w:p w14:paraId="1DD4D53F"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 </w:t>
            </w:r>
          </w:p>
        </w:tc>
        <w:tc>
          <w:tcPr>
            <w:tcW w:w="721" w:type="dxa"/>
            <w:tcBorders>
              <w:top w:val="nil"/>
              <w:left w:val="nil"/>
              <w:bottom w:val="single" w:sz="4" w:space="0" w:color="auto"/>
              <w:right w:val="single" w:sz="4" w:space="0" w:color="auto"/>
            </w:tcBorders>
            <w:shd w:val="clear" w:color="auto" w:fill="auto"/>
            <w:vAlign w:val="center"/>
            <w:hideMark/>
          </w:tcPr>
          <w:p w14:paraId="09059673"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 </w:t>
            </w:r>
          </w:p>
        </w:tc>
        <w:tc>
          <w:tcPr>
            <w:tcW w:w="698" w:type="dxa"/>
            <w:tcBorders>
              <w:top w:val="nil"/>
              <w:left w:val="nil"/>
              <w:bottom w:val="single" w:sz="4" w:space="0" w:color="auto"/>
              <w:right w:val="single" w:sz="4" w:space="0" w:color="auto"/>
            </w:tcBorders>
            <w:shd w:val="clear" w:color="auto" w:fill="auto"/>
            <w:vAlign w:val="center"/>
            <w:hideMark/>
          </w:tcPr>
          <w:p w14:paraId="366974F9"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 </w:t>
            </w:r>
          </w:p>
        </w:tc>
        <w:tc>
          <w:tcPr>
            <w:tcW w:w="765" w:type="dxa"/>
            <w:tcBorders>
              <w:top w:val="nil"/>
              <w:left w:val="nil"/>
              <w:bottom w:val="single" w:sz="4" w:space="0" w:color="auto"/>
              <w:right w:val="single" w:sz="4" w:space="0" w:color="auto"/>
            </w:tcBorders>
            <w:shd w:val="clear" w:color="auto" w:fill="auto"/>
            <w:vAlign w:val="center"/>
            <w:hideMark/>
          </w:tcPr>
          <w:p w14:paraId="06B93AF8"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 </w:t>
            </w:r>
          </w:p>
        </w:tc>
        <w:tc>
          <w:tcPr>
            <w:tcW w:w="970" w:type="dxa"/>
            <w:tcBorders>
              <w:top w:val="nil"/>
              <w:left w:val="nil"/>
              <w:bottom w:val="single" w:sz="4" w:space="0" w:color="auto"/>
              <w:right w:val="single" w:sz="4" w:space="0" w:color="auto"/>
            </w:tcBorders>
            <w:shd w:val="clear" w:color="auto" w:fill="auto"/>
            <w:vAlign w:val="center"/>
            <w:hideMark/>
          </w:tcPr>
          <w:p w14:paraId="0B17ECA7"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 </w:t>
            </w:r>
          </w:p>
        </w:tc>
        <w:tc>
          <w:tcPr>
            <w:tcW w:w="602" w:type="dxa"/>
            <w:tcBorders>
              <w:top w:val="nil"/>
              <w:left w:val="nil"/>
              <w:bottom w:val="single" w:sz="4" w:space="0" w:color="auto"/>
              <w:right w:val="single" w:sz="4" w:space="0" w:color="auto"/>
            </w:tcBorders>
            <w:shd w:val="clear" w:color="auto" w:fill="auto"/>
            <w:vAlign w:val="center"/>
            <w:hideMark/>
          </w:tcPr>
          <w:p w14:paraId="2FDE6AC2"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 </w:t>
            </w:r>
          </w:p>
        </w:tc>
        <w:tc>
          <w:tcPr>
            <w:tcW w:w="697" w:type="dxa"/>
            <w:tcBorders>
              <w:top w:val="nil"/>
              <w:left w:val="nil"/>
              <w:bottom w:val="single" w:sz="4" w:space="0" w:color="auto"/>
              <w:right w:val="single" w:sz="4" w:space="0" w:color="auto"/>
            </w:tcBorders>
            <w:shd w:val="clear" w:color="auto" w:fill="auto"/>
            <w:vAlign w:val="center"/>
            <w:hideMark/>
          </w:tcPr>
          <w:p w14:paraId="02B24EC6"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 </w:t>
            </w:r>
          </w:p>
        </w:tc>
        <w:tc>
          <w:tcPr>
            <w:tcW w:w="869" w:type="dxa"/>
            <w:tcBorders>
              <w:top w:val="nil"/>
              <w:left w:val="nil"/>
              <w:bottom w:val="single" w:sz="4" w:space="0" w:color="auto"/>
              <w:right w:val="single" w:sz="4" w:space="0" w:color="auto"/>
            </w:tcBorders>
            <w:shd w:val="clear" w:color="auto" w:fill="auto"/>
            <w:vAlign w:val="center"/>
            <w:hideMark/>
          </w:tcPr>
          <w:p w14:paraId="0D84C18C"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 </w:t>
            </w:r>
          </w:p>
        </w:tc>
      </w:tr>
      <w:tr w:rsidR="00F00781" w:rsidRPr="00F00781" w14:paraId="0E90C309" w14:textId="77777777" w:rsidTr="00E01BBF">
        <w:trPr>
          <w:trHeight w:val="264"/>
        </w:trPr>
        <w:tc>
          <w:tcPr>
            <w:tcW w:w="632" w:type="dxa"/>
            <w:tcBorders>
              <w:top w:val="nil"/>
              <w:left w:val="single" w:sz="4" w:space="0" w:color="auto"/>
              <w:bottom w:val="single" w:sz="4" w:space="0" w:color="auto"/>
              <w:right w:val="single" w:sz="4" w:space="0" w:color="auto"/>
            </w:tcBorders>
            <w:shd w:val="clear" w:color="auto" w:fill="auto"/>
            <w:vAlign w:val="center"/>
            <w:hideMark/>
          </w:tcPr>
          <w:p w14:paraId="161BDCD3" w14:textId="77777777" w:rsidR="00F00781" w:rsidRPr="00F00781" w:rsidRDefault="00F00781" w:rsidP="00F00781">
            <w:pPr>
              <w:rPr>
                <w:rFonts w:ascii="Arial Narrow" w:hAnsi="Arial Narrow" w:cs="Calibri"/>
                <w:sz w:val="14"/>
                <w:szCs w:val="14"/>
              </w:rPr>
            </w:pPr>
            <w:r w:rsidRPr="00F00781">
              <w:rPr>
                <w:rFonts w:ascii="Arial Narrow" w:hAnsi="Arial Narrow" w:cs="Calibri"/>
                <w:sz w:val="14"/>
                <w:szCs w:val="14"/>
              </w:rPr>
              <w:t xml:space="preserve"> 09</w:t>
            </w:r>
          </w:p>
        </w:tc>
        <w:tc>
          <w:tcPr>
            <w:tcW w:w="1671" w:type="dxa"/>
            <w:tcBorders>
              <w:top w:val="nil"/>
              <w:left w:val="nil"/>
              <w:bottom w:val="single" w:sz="4" w:space="0" w:color="auto"/>
              <w:right w:val="single" w:sz="4" w:space="0" w:color="auto"/>
            </w:tcBorders>
            <w:shd w:val="clear" w:color="auto" w:fill="auto"/>
            <w:vAlign w:val="center"/>
            <w:hideMark/>
          </w:tcPr>
          <w:p w14:paraId="45F33FC7" w14:textId="77777777" w:rsidR="00F00781" w:rsidRPr="00F00781" w:rsidRDefault="00F00781" w:rsidP="00F00781">
            <w:pPr>
              <w:rPr>
                <w:rFonts w:ascii="Arial Narrow" w:hAnsi="Arial Narrow" w:cs="Calibri"/>
                <w:sz w:val="14"/>
                <w:szCs w:val="14"/>
              </w:rPr>
            </w:pPr>
            <w:r w:rsidRPr="00F00781">
              <w:rPr>
                <w:rFonts w:ascii="Arial Narrow" w:hAnsi="Arial Narrow" w:cs="Calibri"/>
                <w:sz w:val="14"/>
                <w:szCs w:val="14"/>
              </w:rPr>
              <w:t>Други растениевъдни култури</w:t>
            </w:r>
          </w:p>
        </w:tc>
        <w:tc>
          <w:tcPr>
            <w:tcW w:w="773" w:type="dxa"/>
            <w:tcBorders>
              <w:top w:val="nil"/>
              <w:left w:val="nil"/>
              <w:bottom w:val="single" w:sz="4" w:space="0" w:color="auto"/>
              <w:right w:val="single" w:sz="4" w:space="0" w:color="auto"/>
            </w:tcBorders>
            <w:shd w:val="clear" w:color="auto" w:fill="auto"/>
            <w:vAlign w:val="center"/>
            <w:hideMark/>
          </w:tcPr>
          <w:p w14:paraId="1FE286D1"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56,4</w:t>
            </w:r>
          </w:p>
        </w:tc>
        <w:tc>
          <w:tcPr>
            <w:tcW w:w="582" w:type="dxa"/>
            <w:tcBorders>
              <w:top w:val="nil"/>
              <w:left w:val="nil"/>
              <w:bottom w:val="single" w:sz="4" w:space="0" w:color="auto"/>
              <w:right w:val="single" w:sz="4" w:space="0" w:color="auto"/>
            </w:tcBorders>
            <w:shd w:val="clear" w:color="auto" w:fill="auto"/>
            <w:vAlign w:val="center"/>
            <w:hideMark/>
          </w:tcPr>
          <w:p w14:paraId="505ACB61" w14:textId="77777777" w:rsidR="00F00781" w:rsidRPr="00F00781" w:rsidRDefault="00F00781" w:rsidP="00F00781">
            <w:pPr>
              <w:rPr>
                <w:rFonts w:ascii="Arial Narrow" w:hAnsi="Arial Narrow" w:cs="Calibri"/>
                <w:sz w:val="14"/>
                <w:szCs w:val="14"/>
              </w:rPr>
            </w:pPr>
            <w:r w:rsidRPr="00F00781">
              <w:rPr>
                <w:rFonts w:ascii="Arial Narrow" w:hAnsi="Arial Narrow" w:cs="Calibri"/>
                <w:sz w:val="14"/>
                <w:szCs w:val="14"/>
              </w:rPr>
              <w:t> </w:t>
            </w:r>
          </w:p>
        </w:tc>
        <w:tc>
          <w:tcPr>
            <w:tcW w:w="681" w:type="dxa"/>
            <w:tcBorders>
              <w:top w:val="nil"/>
              <w:left w:val="nil"/>
              <w:bottom w:val="single" w:sz="4" w:space="0" w:color="auto"/>
              <w:right w:val="single" w:sz="4" w:space="0" w:color="auto"/>
            </w:tcBorders>
            <w:shd w:val="clear" w:color="auto" w:fill="auto"/>
            <w:vAlign w:val="center"/>
            <w:hideMark/>
          </w:tcPr>
          <w:p w14:paraId="46391EB5"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14,5</w:t>
            </w:r>
          </w:p>
        </w:tc>
        <w:tc>
          <w:tcPr>
            <w:tcW w:w="789" w:type="dxa"/>
            <w:tcBorders>
              <w:top w:val="nil"/>
              <w:left w:val="nil"/>
              <w:bottom w:val="single" w:sz="4" w:space="0" w:color="auto"/>
              <w:right w:val="single" w:sz="4" w:space="0" w:color="auto"/>
            </w:tcBorders>
            <w:shd w:val="clear" w:color="auto" w:fill="auto"/>
            <w:vAlign w:val="center"/>
            <w:hideMark/>
          </w:tcPr>
          <w:p w14:paraId="185BD0C3"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3,4</w:t>
            </w:r>
          </w:p>
        </w:tc>
        <w:tc>
          <w:tcPr>
            <w:tcW w:w="693" w:type="dxa"/>
            <w:tcBorders>
              <w:top w:val="nil"/>
              <w:left w:val="nil"/>
              <w:bottom w:val="single" w:sz="4" w:space="0" w:color="auto"/>
              <w:right w:val="single" w:sz="4" w:space="0" w:color="auto"/>
            </w:tcBorders>
            <w:shd w:val="clear" w:color="auto" w:fill="auto"/>
            <w:vAlign w:val="center"/>
            <w:hideMark/>
          </w:tcPr>
          <w:p w14:paraId="15647580" w14:textId="77777777" w:rsidR="00F00781" w:rsidRPr="00F00781" w:rsidRDefault="00F00781" w:rsidP="00F00781">
            <w:pPr>
              <w:rPr>
                <w:rFonts w:ascii="Arial Narrow" w:hAnsi="Arial Narrow" w:cs="Calibri"/>
                <w:sz w:val="14"/>
                <w:szCs w:val="14"/>
              </w:rPr>
            </w:pPr>
            <w:r w:rsidRPr="00F00781">
              <w:rPr>
                <w:rFonts w:ascii="Arial Narrow" w:hAnsi="Arial Narrow" w:cs="Calibri"/>
                <w:sz w:val="14"/>
                <w:szCs w:val="14"/>
              </w:rPr>
              <w:t> </w:t>
            </w:r>
          </w:p>
        </w:tc>
        <w:tc>
          <w:tcPr>
            <w:tcW w:w="537" w:type="dxa"/>
            <w:tcBorders>
              <w:top w:val="nil"/>
              <w:left w:val="nil"/>
              <w:bottom w:val="single" w:sz="4" w:space="0" w:color="auto"/>
              <w:right w:val="single" w:sz="4" w:space="0" w:color="auto"/>
            </w:tcBorders>
            <w:shd w:val="clear" w:color="auto" w:fill="auto"/>
            <w:vAlign w:val="center"/>
            <w:hideMark/>
          </w:tcPr>
          <w:p w14:paraId="49FC6CDE" w14:textId="77777777" w:rsidR="00F00781" w:rsidRPr="00F00781" w:rsidRDefault="00F00781" w:rsidP="00F00781">
            <w:pPr>
              <w:rPr>
                <w:rFonts w:ascii="Arial Narrow" w:hAnsi="Arial Narrow" w:cs="Calibri"/>
                <w:sz w:val="14"/>
                <w:szCs w:val="14"/>
              </w:rPr>
            </w:pPr>
            <w:r w:rsidRPr="00F00781">
              <w:rPr>
                <w:rFonts w:ascii="Arial Narrow" w:hAnsi="Arial Narrow" w:cs="Calibri"/>
                <w:sz w:val="14"/>
                <w:szCs w:val="14"/>
              </w:rPr>
              <w:t> </w:t>
            </w:r>
          </w:p>
        </w:tc>
        <w:tc>
          <w:tcPr>
            <w:tcW w:w="1143" w:type="dxa"/>
            <w:tcBorders>
              <w:top w:val="nil"/>
              <w:left w:val="nil"/>
              <w:bottom w:val="single" w:sz="4" w:space="0" w:color="auto"/>
              <w:right w:val="single" w:sz="4" w:space="0" w:color="auto"/>
            </w:tcBorders>
            <w:shd w:val="clear" w:color="auto" w:fill="auto"/>
            <w:vAlign w:val="center"/>
            <w:hideMark/>
          </w:tcPr>
          <w:p w14:paraId="73E9516B" w14:textId="77777777" w:rsidR="00F00781" w:rsidRPr="00F00781" w:rsidRDefault="00F00781" w:rsidP="00F00781">
            <w:pPr>
              <w:rPr>
                <w:rFonts w:ascii="Arial Narrow" w:hAnsi="Arial Narrow" w:cs="Calibri"/>
                <w:sz w:val="14"/>
                <w:szCs w:val="14"/>
              </w:rPr>
            </w:pPr>
            <w:r w:rsidRPr="00F00781">
              <w:rPr>
                <w:rFonts w:ascii="Arial Narrow" w:hAnsi="Arial Narrow" w:cs="Calibri"/>
                <w:sz w:val="14"/>
                <w:szCs w:val="14"/>
              </w:rPr>
              <w:t> </w:t>
            </w:r>
          </w:p>
        </w:tc>
        <w:tc>
          <w:tcPr>
            <w:tcW w:w="1200" w:type="dxa"/>
            <w:tcBorders>
              <w:top w:val="nil"/>
              <w:left w:val="nil"/>
              <w:bottom w:val="single" w:sz="4" w:space="0" w:color="auto"/>
              <w:right w:val="single" w:sz="4" w:space="0" w:color="auto"/>
            </w:tcBorders>
            <w:shd w:val="clear" w:color="auto" w:fill="auto"/>
            <w:vAlign w:val="center"/>
            <w:hideMark/>
          </w:tcPr>
          <w:p w14:paraId="58E56EBB"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0,4</w:t>
            </w:r>
          </w:p>
        </w:tc>
        <w:tc>
          <w:tcPr>
            <w:tcW w:w="721" w:type="dxa"/>
            <w:tcBorders>
              <w:top w:val="nil"/>
              <w:left w:val="nil"/>
              <w:bottom w:val="single" w:sz="4" w:space="0" w:color="auto"/>
              <w:right w:val="single" w:sz="4" w:space="0" w:color="auto"/>
            </w:tcBorders>
            <w:shd w:val="clear" w:color="auto" w:fill="auto"/>
            <w:vAlign w:val="center"/>
            <w:hideMark/>
          </w:tcPr>
          <w:p w14:paraId="74D5D552"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10,1</w:t>
            </w:r>
          </w:p>
        </w:tc>
        <w:tc>
          <w:tcPr>
            <w:tcW w:w="721" w:type="dxa"/>
            <w:tcBorders>
              <w:top w:val="nil"/>
              <w:left w:val="nil"/>
              <w:bottom w:val="single" w:sz="4" w:space="0" w:color="auto"/>
              <w:right w:val="single" w:sz="4" w:space="0" w:color="auto"/>
            </w:tcBorders>
            <w:shd w:val="clear" w:color="auto" w:fill="auto"/>
            <w:vAlign w:val="center"/>
            <w:hideMark/>
          </w:tcPr>
          <w:p w14:paraId="4A659F61"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43,2</w:t>
            </w:r>
          </w:p>
        </w:tc>
        <w:tc>
          <w:tcPr>
            <w:tcW w:w="698" w:type="dxa"/>
            <w:tcBorders>
              <w:top w:val="nil"/>
              <w:left w:val="nil"/>
              <w:bottom w:val="single" w:sz="4" w:space="0" w:color="auto"/>
              <w:right w:val="single" w:sz="4" w:space="0" w:color="auto"/>
            </w:tcBorders>
            <w:shd w:val="clear" w:color="auto" w:fill="auto"/>
            <w:vAlign w:val="center"/>
            <w:hideMark/>
          </w:tcPr>
          <w:p w14:paraId="37A017FE"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0,1</w:t>
            </w:r>
          </w:p>
        </w:tc>
        <w:tc>
          <w:tcPr>
            <w:tcW w:w="765" w:type="dxa"/>
            <w:tcBorders>
              <w:top w:val="nil"/>
              <w:left w:val="nil"/>
              <w:bottom w:val="single" w:sz="4" w:space="0" w:color="auto"/>
              <w:right w:val="single" w:sz="4" w:space="0" w:color="auto"/>
            </w:tcBorders>
            <w:shd w:val="clear" w:color="auto" w:fill="auto"/>
            <w:vAlign w:val="center"/>
            <w:hideMark/>
          </w:tcPr>
          <w:p w14:paraId="13C53741"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53,4</w:t>
            </w:r>
          </w:p>
        </w:tc>
        <w:tc>
          <w:tcPr>
            <w:tcW w:w="970" w:type="dxa"/>
            <w:tcBorders>
              <w:top w:val="nil"/>
              <w:left w:val="nil"/>
              <w:bottom w:val="single" w:sz="4" w:space="0" w:color="auto"/>
              <w:right w:val="single" w:sz="4" w:space="0" w:color="auto"/>
            </w:tcBorders>
            <w:shd w:val="clear" w:color="auto" w:fill="auto"/>
            <w:vAlign w:val="center"/>
            <w:hideMark/>
          </w:tcPr>
          <w:p w14:paraId="0FE57323" w14:textId="77777777" w:rsidR="00F00781" w:rsidRPr="00F00781" w:rsidRDefault="00F00781" w:rsidP="00F00781">
            <w:pPr>
              <w:rPr>
                <w:rFonts w:ascii="Arial Narrow" w:hAnsi="Arial Narrow" w:cs="Calibri"/>
                <w:sz w:val="14"/>
                <w:szCs w:val="14"/>
              </w:rPr>
            </w:pPr>
            <w:r w:rsidRPr="00F00781">
              <w:rPr>
                <w:rFonts w:ascii="Arial Narrow" w:hAnsi="Arial Narrow" w:cs="Calibri"/>
                <w:sz w:val="14"/>
                <w:szCs w:val="14"/>
              </w:rPr>
              <w:t> </w:t>
            </w:r>
          </w:p>
        </w:tc>
        <w:tc>
          <w:tcPr>
            <w:tcW w:w="602" w:type="dxa"/>
            <w:tcBorders>
              <w:top w:val="nil"/>
              <w:left w:val="nil"/>
              <w:bottom w:val="single" w:sz="4" w:space="0" w:color="auto"/>
              <w:right w:val="single" w:sz="4" w:space="0" w:color="auto"/>
            </w:tcBorders>
            <w:shd w:val="clear" w:color="auto" w:fill="auto"/>
            <w:vAlign w:val="center"/>
            <w:hideMark/>
          </w:tcPr>
          <w:p w14:paraId="707EB3DE"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13,7</w:t>
            </w:r>
          </w:p>
        </w:tc>
        <w:tc>
          <w:tcPr>
            <w:tcW w:w="697" w:type="dxa"/>
            <w:tcBorders>
              <w:top w:val="nil"/>
              <w:left w:val="nil"/>
              <w:bottom w:val="single" w:sz="4" w:space="0" w:color="auto"/>
              <w:right w:val="single" w:sz="4" w:space="0" w:color="auto"/>
            </w:tcBorders>
            <w:shd w:val="clear" w:color="auto" w:fill="auto"/>
            <w:vAlign w:val="center"/>
            <w:hideMark/>
          </w:tcPr>
          <w:p w14:paraId="47C747A8"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-0,8</w:t>
            </w:r>
          </w:p>
        </w:tc>
        <w:tc>
          <w:tcPr>
            <w:tcW w:w="869" w:type="dxa"/>
            <w:tcBorders>
              <w:top w:val="nil"/>
              <w:left w:val="nil"/>
              <w:bottom w:val="single" w:sz="4" w:space="0" w:color="auto"/>
              <w:right w:val="single" w:sz="4" w:space="0" w:color="auto"/>
            </w:tcBorders>
            <w:shd w:val="clear" w:color="auto" w:fill="auto"/>
            <w:vAlign w:val="center"/>
            <w:hideMark/>
          </w:tcPr>
          <w:p w14:paraId="4314C32F"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53,0</w:t>
            </w:r>
          </w:p>
        </w:tc>
      </w:tr>
      <w:tr w:rsidR="00F00781" w:rsidRPr="00F00781" w14:paraId="0B554C30" w14:textId="77777777" w:rsidTr="00E01BBF">
        <w:trPr>
          <w:trHeight w:val="196"/>
        </w:trPr>
        <w:tc>
          <w:tcPr>
            <w:tcW w:w="632" w:type="dxa"/>
            <w:tcBorders>
              <w:top w:val="nil"/>
              <w:left w:val="single" w:sz="4" w:space="0" w:color="auto"/>
              <w:bottom w:val="single" w:sz="4" w:space="0" w:color="auto"/>
              <w:right w:val="single" w:sz="4" w:space="0" w:color="auto"/>
            </w:tcBorders>
            <w:shd w:val="clear" w:color="auto" w:fill="auto"/>
            <w:vAlign w:val="center"/>
            <w:hideMark/>
          </w:tcPr>
          <w:p w14:paraId="6296E564" w14:textId="77777777" w:rsidR="00F00781" w:rsidRPr="00F00781" w:rsidRDefault="00F00781" w:rsidP="00F00781">
            <w:pPr>
              <w:rPr>
                <w:rFonts w:ascii="Arial Narrow" w:hAnsi="Arial Narrow" w:cs="Calibri"/>
                <w:sz w:val="14"/>
                <w:szCs w:val="14"/>
              </w:rPr>
            </w:pPr>
            <w:r w:rsidRPr="00F00781">
              <w:rPr>
                <w:rFonts w:ascii="Arial Narrow" w:hAnsi="Arial Narrow" w:cs="Calibri"/>
                <w:sz w:val="14"/>
                <w:szCs w:val="14"/>
              </w:rPr>
              <w:t xml:space="preserve"> 09.2</w:t>
            </w:r>
          </w:p>
        </w:tc>
        <w:tc>
          <w:tcPr>
            <w:tcW w:w="1671" w:type="dxa"/>
            <w:tcBorders>
              <w:top w:val="nil"/>
              <w:left w:val="nil"/>
              <w:bottom w:val="single" w:sz="4" w:space="0" w:color="auto"/>
              <w:right w:val="single" w:sz="4" w:space="0" w:color="auto"/>
            </w:tcBorders>
            <w:shd w:val="clear" w:color="auto" w:fill="auto"/>
            <w:vAlign w:val="center"/>
            <w:hideMark/>
          </w:tcPr>
          <w:p w14:paraId="51EB2536" w14:textId="77777777" w:rsidR="00F00781" w:rsidRPr="00F00781" w:rsidRDefault="00F00781" w:rsidP="00F00781">
            <w:pPr>
              <w:ind w:firstLineChars="100" w:firstLine="140"/>
              <w:rPr>
                <w:rFonts w:ascii="Arial Narrow" w:hAnsi="Arial Narrow" w:cs="Calibri"/>
                <w:sz w:val="14"/>
                <w:szCs w:val="14"/>
              </w:rPr>
            </w:pPr>
            <w:r w:rsidRPr="00F00781">
              <w:rPr>
                <w:rFonts w:ascii="Arial Narrow" w:hAnsi="Arial Narrow" w:cs="Calibri"/>
                <w:sz w:val="14"/>
                <w:szCs w:val="14"/>
              </w:rPr>
              <w:t>Семена</w:t>
            </w:r>
          </w:p>
        </w:tc>
        <w:tc>
          <w:tcPr>
            <w:tcW w:w="773" w:type="dxa"/>
            <w:tcBorders>
              <w:top w:val="nil"/>
              <w:left w:val="nil"/>
              <w:bottom w:val="single" w:sz="4" w:space="0" w:color="auto"/>
              <w:right w:val="single" w:sz="4" w:space="0" w:color="auto"/>
            </w:tcBorders>
            <w:shd w:val="clear" w:color="auto" w:fill="auto"/>
            <w:vAlign w:val="center"/>
            <w:hideMark/>
          </w:tcPr>
          <w:p w14:paraId="44FF7A6F"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56,4</w:t>
            </w:r>
          </w:p>
        </w:tc>
        <w:tc>
          <w:tcPr>
            <w:tcW w:w="582" w:type="dxa"/>
            <w:tcBorders>
              <w:top w:val="nil"/>
              <w:left w:val="nil"/>
              <w:bottom w:val="single" w:sz="4" w:space="0" w:color="auto"/>
              <w:right w:val="single" w:sz="4" w:space="0" w:color="auto"/>
            </w:tcBorders>
            <w:shd w:val="clear" w:color="auto" w:fill="auto"/>
            <w:vAlign w:val="center"/>
            <w:hideMark/>
          </w:tcPr>
          <w:p w14:paraId="1808CACB" w14:textId="77777777" w:rsidR="00F00781" w:rsidRPr="00F00781" w:rsidRDefault="00F00781" w:rsidP="00F00781">
            <w:pPr>
              <w:rPr>
                <w:rFonts w:ascii="Arial Narrow" w:hAnsi="Arial Narrow" w:cs="Calibri"/>
                <w:sz w:val="14"/>
                <w:szCs w:val="14"/>
              </w:rPr>
            </w:pPr>
            <w:r w:rsidRPr="00F00781">
              <w:rPr>
                <w:rFonts w:ascii="Arial Narrow" w:hAnsi="Arial Narrow" w:cs="Calibri"/>
                <w:sz w:val="14"/>
                <w:szCs w:val="14"/>
              </w:rPr>
              <w:t> </w:t>
            </w:r>
          </w:p>
        </w:tc>
        <w:tc>
          <w:tcPr>
            <w:tcW w:w="681" w:type="dxa"/>
            <w:tcBorders>
              <w:top w:val="nil"/>
              <w:left w:val="nil"/>
              <w:bottom w:val="single" w:sz="4" w:space="0" w:color="auto"/>
              <w:right w:val="single" w:sz="4" w:space="0" w:color="auto"/>
            </w:tcBorders>
            <w:shd w:val="clear" w:color="auto" w:fill="auto"/>
            <w:vAlign w:val="center"/>
            <w:hideMark/>
          </w:tcPr>
          <w:p w14:paraId="245898C0"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14,5</w:t>
            </w:r>
          </w:p>
        </w:tc>
        <w:tc>
          <w:tcPr>
            <w:tcW w:w="789" w:type="dxa"/>
            <w:tcBorders>
              <w:top w:val="nil"/>
              <w:left w:val="nil"/>
              <w:bottom w:val="single" w:sz="4" w:space="0" w:color="auto"/>
              <w:right w:val="single" w:sz="4" w:space="0" w:color="auto"/>
            </w:tcBorders>
            <w:shd w:val="clear" w:color="auto" w:fill="auto"/>
            <w:vAlign w:val="center"/>
            <w:hideMark/>
          </w:tcPr>
          <w:p w14:paraId="75E8D0C5"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3,4</w:t>
            </w:r>
          </w:p>
        </w:tc>
        <w:tc>
          <w:tcPr>
            <w:tcW w:w="693" w:type="dxa"/>
            <w:tcBorders>
              <w:top w:val="nil"/>
              <w:left w:val="nil"/>
              <w:bottom w:val="single" w:sz="4" w:space="0" w:color="auto"/>
              <w:right w:val="single" w:sz="4" w:space="0" w:color="auto"/>
            </w:tcBorders>
            <w:shd w:val="clear" w:color="auto" w:fill="auto"/>
            <w:vAlign w:val="center"/>
            <w:hideMark/>
          </w:tcPr>
          <w:p w14:paraId="7F9DF94B" w14:textId="77777777" w:rsidR="00F00781" w:rsidRPr="00F00781" w:rsidRDefault="00F00781" w:rsidP="00F00781">
            <w:pPr>
              <w:rPr>
                <w:rFonts w:ascii="Arial Narrow" w:hAnsi="Arial Narrow" w:cs="Calibri"/>
                <w:sz w:val="14"/>
                <w:szCs w:val="14"/>
              </w:rPr>
            </w:pPr>
            <w:r w:rsidRPr="00F00781">
              <w:rPr>
                <w:rFonts w:ascii="Arial Narrow" w:hAnsi="Arial Narrow" w:cs="Calibri"/>
                <w:sz w:val="14"/>
                <w:szCs w:val="14"/>
              </w:rPr>
              <w:t> </w:t>
            </w:r>
          </w:p>
        </w:tc>
        <w:tc>
          <w:tcPr>
            <w:tcW w:w="537" w:type="dxa"/>
            <w:tcBorders>
              <w:top w:val="nil"/>
              <w:left w:val="nil"/>
              <w:bottom w:val="single" w:sz="4" w:space="0" w:color="auto"/>
              <w:right w:val="single" w:sz="4" w:space="0" w:color="auto"/>
            </w:tcBorders>
            <w:shd w:val="clear" w:color="auto" w:fill="auto"/>
            <w:vAlign w:val="center"/>
            <w:hideMark/>
          </w:tcPr>
          <w:p w14:paraId="6A71A974" w14:textId="77777777" w:rsidR="00F00781" w:rsidRPr="00F00781" w:rsidRDefault="00F00781" w:rsidP="00F00781">
            <w:pPr>
              <w:rPr>
                <w:rFonts w:ascii="Arial Narrow" w:hAnsi="Arial Narrow" w:cs="Calibri"/>
                <w:sz w:val="14"/>
                <w:szCs w:val="14"/>
              </w:rPr>
            </w:pPr>
            <w:r w:rsidRPr="00F00781">
              <w:rPr>
                <w:rFonts w:ascii="Arial Narrow" w:hAnsi="Arial Narrow" w:cs="Calibri"/>
                <w:sz w:val="14"/>
                <w:szCs w:val="14"/>
              </w:rPr>
              <w:t> </w:t>
            </w:r>
          </w:p>
        </w:tc>
        <w:tc>
          <w:tcPr>
            <w:tcW w:w="1143" w:type="dxa"/>
            <w:tcBorders>
              <w:top w:val="nil"/>
              <w:left w:val="nil"/>
              <w:bottom w:val="single" w:sz="4" w:space="0" w:color="auto"/>
              <w:right w:val="single" w:sz="4" w:space="0" w:color="auto"/>
            </w:tcBorders>
            <w:shd w:val="clear" w:color="auto" w:fill="auto"/>
            <w:vAlign w:val="center"/>
            <w:hideMark/>
          </w:tcPr>
          <w:p w14:paraId="257EC70C" w14:textId="77777777" w:rsidR="00F00781" w:rsidRPr="00F00781" w:rsidRDefault="00F00781" w:rsidP="00F00781">
            <w:pPr>
              <w:rPr>
                <w:rFonts w:ascii="Arial Narrow" w:hAnsi="Arial Narrow" w:cs="Calibri"/>
                <w:sz w:val="14"/>
                <w:szCs w:val="14"/>
              </w:rPr>
            </w:pPr>
            <w:r w:rsidRPr="00F00781">
              <w:rPr>
                <w:rFonts w:ascii="Arial Narrow" w:hAnsi="Arial Narrow" w:cs="Calibri"/>
                <w:sz w:val="14"/>
                <w:szCs w:val="14"/>
              </w:rPr>
              <w:t> </w:t>
            </w:r>
          </w:p>
        </w:tc>
        <w:tc>
          <w:tcPr>
            <w:tcW w:w="1200" w:type="dxa"/>
            <w:tcBorders>
              <w:top w:val="nil"/>
              <w:left w:val="nil"/>
              <w:bottom w:val="single" w:sz="4" w:space="0" w:color="auto"/>
              <w:right w:val="single" w:sz="4" w:space="0" w:color="auto"/>
            </w:tcBorders>
            <w:shd w:val="clear" w:color="auto" w:fill="auto"/>
            <w:vAlign w:val="center"/>
            <w:hideMark/>
          </w:tcPr>
          <w:p w14:paraId="0BA6CD29"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0,4</w:t>
            </w:r>
          </w:p>
        </w:tc>
        <w:tc>
          <w:tcPr>
            <w:tcW w:w="721" w:type="dxa"/>
            <w:tcBorders>
              <w:top w:val="nil"/>
              <w:left w:val="nil"/>
              <w:bottom w:val="single" w:sz="4" w:space="0" w:color="auto"/>
              <w:right w:val="single" w:sz="4" w:space="0" w:color="auto"/>
            </w:tcBorders>
            <w:shd w:val="clear" w:color="auto" w:fill="auto"/>
            <w:vAlign w:val="center"/>
            <w:hideMark/>
          </w:tcPr>
          <w:p w14:paraId="19196168"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10,1</w:t>
            </w:r>
          </w:p>
        </w:tc>
        <w:tc>
          <w:tcPr>
            <w:tcW w:w="721" w:type="dxa"/>
            <w:tcBorders>
              <w:top w:val="nil"/>
              <w:left w:val="nil"/>
              <w:bottom w:val="single" w:sz="4" w:space="0" w:color="auto"/>
              <w:right w:val="single" w:sz="4" w:space="0" w:color="auto"/>
            </w:tcBorders>
            <w:shd w:val="clear" w:color="auto" w:fill="auto"/>
            <w:vAlign w:val="center"/>
            <w:hideMark/>
          </w:tcPr>
          <w:p w14:paraId="7DBA9F81"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43,2</w:t>
            </w:r>
          </w:p>
        </w:tc>
        <w:tc>
          <w:tcPr>
            <w:tcW w:w="698" w:type="dxa"/>
            <w:tcBorders>
              <w:top w:val="nil"/>
              <w:left w:val="nil"/>
              <w:bottom w:val="single" w:sz="4" w:space="0" w:color="auto"/>
              <w:right w:val="single" w:sz="4" w:space="0" w:color="auto"/>
            </w:tcBorders>
            <w:shd w:val="clear" w:color="auto" w:fill="auto"/>
            <w:vAlign w:val="center"/>
            <w:hideMark/>
          </w:tcPr>
          <w:p w14:paraId="7B861810"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0,1</w:t>
            </w:r>
          </w:p>
        </w:tc>
        <w:tc>
          <w:tcPr>
            <w:tcW w:w="765" w:type="dxa"/>
            <w:tcBorders>
              <w:top w:val="nil"/>
              <w:left w:val="nil"/>
              <w:bottom w:val="single" w:sz="4" w:space="0" w:color="auto"/>
              <w:right w:val="single" w:sz="4" w:space="0" w:color="auto"/>
            </w:tcBorders>
            <w:shd w:val="clear" w:color="auto" w:fill="auto"/>
            <w:vAlign w:val="center"/>
            <w:hideMark/>
          </w:tcPr>
          <w:p w14:paraId="625615EC"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53,4</w:t>
            </w:r>
          </w:p>
        </w:tc>
        <w:tc>
          <w:tcPr>
            <w:tcW w:w="970" w:type="dxa"/>
            <w:tcBorders>
              <w:top w:val="nil"/>
              <w:left w:val="nil"/>
              <w:bottom w:val="single" w:sz="4" w:space="0" w:color="auto"/>
              <w:right w:val="single" w:sz="4" w:space="0" w:color="auto"/>
            </w:tcBorders>
            <w:shd w:val="clear" w:color="auto" w:fill="auto"/>
            <w:vAlign w:val="center"/>
            <w:hideMark/>
          </w:tcPr>
          <w:p w14:paraId="1B93DF2B" w14:textId="77777777" w:rsidR="00F00781" w:rsidRPr="00F00781" w:rsidRDefault="00F00781" w:rsidP="00F00781">
            <w:pPr>
              <w:rPr>
                <w:rFonts w:ascii="Arial Narrow" w:hAnsi="Arial Narrow" w:cs="Calibri"/>
                <w:sz w:val="14"/>
                <w:szCs w:val="14"/>
              </w:rPr>
            </w:pPr>
            <w:r w:rsidRPr="00F00781">
              <w:rPr>
                <w:rFonts w:ascii="Arial Narrow" w:hAnsi="Arial Narrow" w:cs="Calibri"/>
                <w:sz w:val="14"/>
                <w:szCs w:val="14"/>
              </w:rPr>
              <w:t> </w:t>
            </w:r>
          </w:p>
        </w:tc>
        <w:tc>
          <w:tcPr>
            <w:tcW w:w="602" w:type="dxa"/>
            <w:tcBorders>
              <w:top w:val="nil"/>
              <w:left w:val="nil"/>
              <w:bottom w:val="single" w:sz="4" w:space="0" w:color="auto"/>
              <w:right w:val="single" w:sz="4" w:space="0" w:color="auto"/>
            </w:tcBorders>
            <w:shd w:val="clear" w:color="auto" w:fill="auto"/>
            <w:vAlign w:val="center"/>
            <w:hideMark/>
          </w:tcPr>
          <w:p w14:paraId="12E545B2"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13,7</w:t>
            </w:r>
          </w:p>
        </w:tc>
        <w:tc>
          <w:tcPr>
            <w:tcW w:w="697" w:type="dxa"/>
            <w:tcBorders>
              <w:top w:val="nil"/>
              <w:left w:val="nil"/>
              <w:bottom w:val="single" w:sz="4" w:space="0" w:color="auto"/>
              <w:right w:val="single" w:sz="4" w:space="0" w:color="auto"/>
            </w:tcBorders>
            <w:shd w:val="clear" w:color="auto" w:fill="auto"/>
            <w:vAlign w:val="center"/>
            <w:hideMark/>
          </w:tcPr>
          <w:p w14:paraId="00AF85AD"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-0,8</w:t>
            </w:r>
          </w:p>
        </w:tc>
        <w:tc>
          <w:tcPr>
            <w:tcW w:w="869" w:type="dxa"/>
            <w:tcBorders>
              <w:top w:val="nil"/>
              <w:left w:val="nil"/>
              <w:bottom w:val="single" w:sz="4" w:space="0" w:color="auto"/>
              <w:right w:val="single" w:sz="4" w:space="0" w:color="auto"/>
            </w:tcBorders>
            <w:shd w:val="clear" w:color="auto" w:fill="auto"/>
            <w:vAlign w:val="center"/>
            <w:hideMark/>
          </w:tcPr>
          <w:p w14:paraId="68A7E050"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53,0</w:t>
            </w:r>
          </w:p>
        </w:tc>
      </w:tr>
      <w:tr w:rsidR="00F00781" w:rsidRPr="00F00781" w14:paraId="5E00E37B" w14:textId="77777777" w:rsidTr="00E01BBF">
        <w:trPr>
          <w:trHeight w:val="196"/>
        </w:trPr>
        <w:tc>
          <w:tcPr>
            <w:tcW w:w="632" w:type="dxa"/>
            <w:tcBorders>
              <w:top w:val="nil"/>
              <w:left w:val="single" w:sz="4" w:space="0" w:color="auto"/>
              <w:bottom w:val="single" w:sz="4" w:space="0" w:color="auto"/>
              <w:right w:val="single" w:sz="4" w:space="0" w:color="auto"/>
            </w:tcBorders>
            <w:shd w:val="clear" w:color="auto" w:fill="auto"/>
            <w:vAlign w:val="center"/>
            <w:hideMark/>
          </w:tcPr>
          <w:p w14:paraId="62587453" w14:textId="77777777" w:rsidR="00F00781" w:rsidRPr="00F00781" w:rsidRDefault="00F00781" w:rsidP="00F00781">
            <w:pPr>
              <w:rPr>
                <w:rFonts w:ascii="Arial Narrow" w:hAnsi="Arial Narrow" w:cs="Calibri"/>
                <w:sz w:val="14"/>
                <w:szCs w:val="14"/>
              </w:rPr>
            </w:pPr>
            <w:r w:rsidRPr="00F00781">
              <w:rPr>
                <w:rFonts w:ascii="Arial Narrow" w:hAnsi="Arial Narrow" w:cs="Calibri"/>
                <w:sz w:val="14"/>
                <w:szCs w:val="14"/>
              </w:rPr>
              <w:t xml:space="preserve"> 09.3</w:t>
            </w:r>
          </w:p>
        </w:tc>
        <w:tc>
          <w:tcPr>
            <w:tcW w:w="1671" w:type="dxa"/>
            <w:tcBorders>
              <w:top w:val="nil"/>
              <w:left w:val="nil"/>
              <w:bottom w:val="single" w:sz="4" w:space="0" w:color="auto"/>
              <w:right w:val="single" w:sz="4" w:space="0" w:color="auto"/>
            </w:tcBorders>
            <w:shd w:val="clear" w:color="auto" w:fill="auto"/>
            <w:vAlign w:val="center"/>
            <w:hideMark/>
          </w:tcPr>
          <w:p w14:paraId="76737867" w14:textId="77777777" w:rsidR="00F00781" w:rsidRPr="00F00781" w:rsidRDefault="00F00781" w:rsidP="00F00781">
            <w:pPr>
              <w:ind w:firstLineChars="100" w:firstLine="140"/>
              <w:rPr>
                <w:rFonts w:ascii="Arial Narrow" w:hAnsi="Arial Narrow" w:cs="Calibri"/>
                <w:sz w:val="14"/>
                <w:szCs w:val="14"/>
              </w:rPr>
            </w:pPr>
            <w:r w:rsidRPr="00F00781">
              <w:rPr>
                <w:rFonts w:ascii="Arial Narrow" w:hAnsi="Arial Narrow" w:cs="Calibri"/>
                <w:sz w:val="14"/>
                <w:szCs w:val="14"/>
              </w:rPr>
              <w:t>Други растениевъдни продукти</w:t>
            </w:r>
          </w:p>
        </w:tc>
        <w:tc>
          <w:tcPr>
            <w:tcW w:w="773" w:type="dxa"/>
            <w:tcBorders>
              <w:top w:val="nil"/>
              <w:left w:val="nil"/>
              <w:bottom w:val="single" w:sz="4" w:space="0" w:color="auto"/>
              <w:right w:val="single" w:sz="4" w:space="0" w:color="auto"/>
            </w:tcBorders>
            <w:shd w:val="clear" w:color="auto" w:fill="auto"/>
            <w:vAlign w:val="center"/>
            <w:hideMark/>
          </w:tcPr>
          <w:p w14:paraId="46DF08F8" w14:textId="77777777" w:rsidR="00F00781" w:rsidRPr="00F00781" w:rsidRDefault="00F00781" w:rsidP="00F00781">
            <w:pPr>
              <w:rPr>
                <w:rFonts w:ascii="Arial Narrow" w:hAnsi="Arial Narrow" w:cs="Calibri"/>
                <w:sz w:val="14"/>
                <w:szCs w:val="14"/>
              </w:rPr>
            </w:pPr>
            <w:r w:rsidRPr="00F00781">
              <w:rPr>
                <w:rFonts w:ascii="Arial Narrow" w:hAnsi="Arial Narrow" w:cs="Calibri"/>
                <w:sz w:val="14"/>
                <w:szCs w:val="14"/>
              </w:rPr>
              <w:t> </w:t>
            </w:r>
          </w:p>
        </w:tc>
        <w:tc>
          <w:tcPr>
            <w:tcW w:w="582" w:type="dxa"/>
            <w:tcBorders>
              <w:top w:val="nil"/>
              <w:left w:val="nil"/>
              <w:bottom w:val="single" w:sz="4" w:space="0" w:color="auto"/>
              <w:right w:val="single" w:sz="4" w:space="0" w:color="auto"/>
            </w:tcBorders>
            <w:shd w:val="clear" w:color="auto" w:fill="auto"/>
            <w:vAlign w:val="center"/>
            <w:hideMark/>
          </w:tcPr>
          <w:p w14:paraId="7567EE2D" w14:textId="77777777" w:rsidR="00F00781" w:rsidRPr="00F00781" w:rsidRDefault="00F00781" w:rsidP="00F00781">
            <w:pPr>
              <w:rPr>
                <w:rFonts w:ascii="Arial Narrow" w:hAnsi="Arial Narrow" w:cs="Calibri"/>
                <w:sz w:val="14"/>
                <w:szCs w:val="14"/>
              </w:rPr>
            </w:pPr>
            <w:r w:rsidRPr="00F00781">
              <w:rPr>
                <w:rFonts w:ascii="Arial Narrow" w:hAnsi="Arial Narrow" w:cs="Calibri"/>
                <w:sz w:val="14"/>
                <w:szCs w:val="14"/>
              </w:rPr>
              <w:t> </w:t>
            </w:r>
          </w:p>
        </w:tc>
        <w:tc>
          <w:tcPr>
            <w:tcW w:w="681" w:type="dxa"/>
            <w:tcBorders>
              <w:top w:val="nil"/>
              <w:left w:val="nil"/>
              <w:bottom w:val="single" w:sz="4" w:space="0" w:color="auto"/>
              <w:right w:val="single" w:sz="4" w:space="0" w:color="auto"/>
            </w:tcBorders>
            <w:shd w:val="clear" w:color="auto" w:fill="auto"/>
            <w:vAlign w:val="center"/>
            <w:hideMark/>
          </w:tcPr>
          <w:p w14:paraId="2F293D9E" w14:textId="77777777" w:rsidR="00F00781" w:rsidRPr="00F00781" w:rsidRDefault="00F00781" w:rsidP="00F00781">
            <w:pPr>
              <w:rPr>
                <w:rFonts w:ascii="Arial Narrow" w:hAnsi="Arial Narrow" w:cs="Calibri"/>
                <w:sz w:val="14"/>
                <w:szCs w:val="14"/>
              </w:rPr>
            </w:pPr>
            <w:r w:rsidRPr="00F00781">
              <w:rPr>
                <w:rFonts w:ascii="Arial Narrow" w:hAnsi="Arial Narrow" w:cs="Calibri"/>
                <w:sz w:val="14"/>
                <w:szCs w:val="14"/>
              </w:rPr>
              <w:t> </w:t>
            </w:r>
          </w:p>
        </w:tc>
        <w:tc>
          <w:tcPr>
            <w:tcW w:w="789" w:type="dxa"/>
            <w:tcBorders>
              <w:top w:val="nil"/>
              <w:left w:val="nil"/>
              <w:bottom w:val="single" w:sz="4" w:space="0" w:color="auto"/>
              <w:right w:val="single" w:sz="4" w:space="0" w:color="auto"/>
            </w:tcBorders>
            <w:shd w:val="clear" w:color="auto" w:fill="auto"/>
            <w:vAlign w:val="center"/>
            <w:hideMark/>
          </w:tcPr>
          <w:p w14:paraId="5C2DA73F" w14:textId="77777777" w:rsidR="00F00781" w:rsidRPr="00F00781" w:rsidRDefault="00F00781" w:rsidP="00F00781">
            <w:pPr>
              <w:rPr>
                <w:rFonts w:ascii="Arial Narrow" w:hAnsi="Arial Narrow" w:cs="Calibri"/>
                <w:sz w:val="14"/>
                <w:szCs w:val="14"/>
              </w:rPr>
            </w:pPr>
            <w:r w:rsidRPr="00F00781">
              <w:rPr>
                <w:rFonts w:ascii="Arial Narrow" w:hAnsi="Arial Narrow" w:cs="Calibri"/>
                <w:sz w:val="14"/>
                <w:szCs w:val="14"/>
              </w:rPr>
              <w:t> </w:t>
            </w:r>
          </w:p>
        </w:tc>
        <w:tc>
          <w:tcPr>
            <w:tcW w:w="693" w:type="dxa"/>
            <w:tcBorders>
              <w:top w:val="nil"/>
              <w:left w:val="nil"/>
              <w:bottom w:val="single" w:sz="4" w:space="0" w:color="auto"/>
              <w:right w:val="single" w:sz="4" w:space="0" w:color="auto"/>
            </w:tcBorders>
            <w:shd w:val="clear" w:color="auto" w:fill="auto"/>
            <w:vAlign w:val="center"/>
            <w:hideMark/>
          </w:tcPr>
          <w:p w14:paraId="5E75F559" w14:textId="77777777" w:rsidR="00F00781" w:rsidRPr="00F00781" w:rsidRDefault="00F00781" w:rsidP="00F00781">
            <w:pPr>
              <w:rPr>
                <w:rFonts w:ascii="Arial Narrow" w:hAnsi="Arial Narrow" w:cs="Calibri"/>
                <w:sz w:val="14"/>
                <w:szCs w:val="14"/>
              </w:rPr>
            </w:pPr>
            <w:r w:rsidRPr="00F00781">
              <w:rPr>
                <w:rFonts w:ascii="Arial Narrow" w:hAnsi="Arial Narrow" w:cs="Calibri"/>
                <w:sz w:val="14"/>
                <w:szCs w:val="14"/>
              </w:rPr>
              <w:t> </w:t>
            </w:r>
          </w:p>
        </w:tc>
        <w:tc>
          <w:tcPr>
            <w:tcW w:w="537" w:type="dxa"/>
            <w:tcBorders>
              <w:top w:val="nil"/>
              <w:left w:val="nil"/>
              <w:bottom w:val="single" w:sz="4" w:space="0" w:color="auto"/>
              <w:right w:val="single" w:sz="4" w:space="0" w:color="auto"/>
            </w:tcBorders>
            <w:shd w:val="clear" w:color="auto" w:fill="auto"/>
            <w:vAlign w:val="center"/>
            <w:hideMark/>
          </w:tcPr>
          <w:p w14:paraId="6E5252E3" w14:textId="77777777" w:rsidR="00F00781" w:rsidRPr="00F00781" w:rsidRDefault="00F00781" w:rsidP="00F00781">
            <w:pPr>
              <w:rPr>
                <w:rFonts w:ascii="Arial Narrow" w:hAnsi="Arial Narrow" w:cs="Calibri"/>
                <w:sz w:val="14"/>
                <w:szCs w:val="14"/>
              </w:rPr>
            </w:pPr>
            <w:r w:rsidRPr="00F00781">
              <w:rPr>
                <w:rFonts w:ascii="Arial Narrow" w:hAnsi="Arial Narrow" w:cs="Calibri"/>
                <w:sz w:val="14"/>
                <w:szCs w:val="14"/>
              </w:rPr>
              <w:t> </w:t>
            </w:r>
          </w:p>
        </w:tc>
        <w:tc>
          <w:tcPr>
            <w:tcW w:w="1143" w:type="dxa"/>
            <w:tcBorders>
              <w:top w:val="nil"/>
              <w:left w:val="nil"/>
              <w:bottom w:val="single" w:sz="4" w:space="0" w:color="auto"/>
              <w:right w:val="single" w:sz="4" w:space="0" w:color="auto"/>
            </w:tcBorders>
            <w:shd w:val="clear" w:color="auto" w:fill="auto"/>
            <w:vAlign w:val="center"/>
            <w:hideMark/>
          </w:tcPr>
          <w:p w14:paraId="6742BC75" w14:textId="77777777" w:rsidR="00F00781" w:rsidRPr="00F00781" w:rsidRDefault="00F00781" w:rsidP="00F00781">
            <w:pPr>
              <w:rPr>
                <w:rFonts w:ascii="Arial Narrow" w:hAnsi="Arial Narrow" w:cs="Calibri"/>
                <w:sz w:val="14"/>
                <w:szCs w:val="14"/>
              </w:rPr>
            </w:pPr>
            <w:r w:rsidRPr="00F00781">
              <w:rPr>
                <w:rFonts w:ascii="Arial Narrow" w:hAnsi="Arial Narrow" w:cs="Calibri"/>
                <w:sz w:val="14"/>
                <w:szCs w:val="14"/>
              </w:rPr>
              <w:t> </w:t>
            </w:r>
          </w:p>
        </w:tc>
        <w:tc>
          <w:tcPr>
            <w:tcW w:w="1200" w:type="dxa"/>
            <w:tcBorders>
              <w:top w:val="nil"/>
              <w:left w:val="nil"/>
              <w:bottom w:val="single" w:sz="4" w:space="0" w:color="auto"/>
              <w:right w:val="single" w:sz="4" w:space="0" w:color="auto"/>
            </w:tcBorders>
            <w:shd w:val="clear" w:color="auto" w:fill="auto"/>
            <w:vAlign w:val="center"/>
            <w:hideMark/>
          </w:tcPr>
          <w:p w14:paraId="0644C739" w14:textId="77777777" w:rsidR="00F00781" w:rsidRPr="00F00781" w:rsidRDefault="00F00781" w:rsidP="00F00781">
            <w:pPr>
              <w:rPr>
                <w:rFonts w:ascii="Arial Narrow" w:hAnsi="Arial Narrow" w:cs="Calibri"/>
                <w:sz w:val="14"/>
                <w:szCs w:val="14"/>
              </w:rPr>
            </w:pPr>
            <w:r w:rsidRPr="00F00781">
              <w:rPr>
                <w:rFonts w:ascii="Arial Narrow" w:hAnsi="Arial Narrow" w:cs="Calibri"/>
                <w:sz w:val="14"/>
                <w:szCs w:val="14"/>
              </w:rPr>
              <w:t> </w:t>
            </w:r>
          </w:p>
        </w:tc>
        <w:tc>
          <w:tcPr>
            <w:tcW w:w="721" w:type="dxa"/>
            <w:tcBorders>
              <w:top w:val="nil"/>
              <w:left w:val="nil"/>
              <w:bottom w:val="single" w:sz="4" w:space="0" w:color="auto"/>
              <w:right w:val="single" w:sz="4" w:space="0" w:color="auto"/>
            </w:tcBorders>
            <w:shd w:val="clear" w:color="auto" w:fill="auto"/>
            <w:vAlign w:val="center"/>
            <w:hideMark/>
          </w:tcPr>
          <w:p w14:paraId="179B8CB5" w14:textId="77777777" w:rsidR="00F00781" w:rsidRPr="00F00781" w:rsidRDefault="00F00781" w:rsidP="00F00781">
            <w:pPr>
              <w:rPr>
                <w:rFonts w:ascii="Arial Narrow" w:hAnsi="Arial Narrow" w:cs="Calibri"/>
                <w:sz w:val="14"/>
                <w:szCs w:val="14"/>
              </w:rPr>
            </w:pPr>
            <w:r w:rsidRPr="00F00781">
              <w:rPr>
                <w:rFonts w:ascii="Arial Narrow" w:hAnsi="Arial Narrow" w:cs="Calibri"/>
                <w:sz w:val="14"/>
                <w:szCs w:val="14"/>
              </w:rPr>
              <w:t> </w:t>
            </w:r>
          </w:p>
        </w:tc>
        <w:tc>
          <w:tcPr>
            <w:tcW w:w="721" w:type="dxa"/>
            <w:tcBorders>
              <w:top w:val="nil"/>
              <w:left w:val="nil"/>
              <w:bottom w:val="single" w:sz="4" w:space="0" w:color="auto"/>
              <w:right w:val="single" w:sz="4" w:space="0" w:color="auto"/>
            </w:tcBorders>
            <w:shd w:val="clear" w:color="auto" w:fill="auto"/>
            <w:vAlign w:val="center"/>
            <w:hideMark/>
          </w:tcPr>
          <w:p w14:paraId="4571BBAB" w14:textId="77777777" w:rsidR="00F00781" w:rsidRPr="00F00781" w:rsidRDefault="00F00781" w:rsidP="00F00781">
            <w:pPr>
              <w:rPr>
                <w:rFonts w:ascii="Arial Narrow" w:hAnsi="Arial Narrow" w:cs="Calibri"/>
                <w:sz w:val="14"/>
                <w:szCs w:val="14"/>
              </w:rPr>
            </w:pPr>
            <w:r w:rsidRPr="00F00781">
              <w:rPr>
                <w:rFonts w:ascii="Arial Narrow" w:hAnsi="Arial Narrow" w:cs="Calibri"/>
                <w:sz w:val="14"/>
                <w:szCs w:val="14"/>
              </w:rPr>
              <w:t> </w:t>
            </w:r>
          </w:p>
        </w:tc>
        <w:tc>
          <w:tcPr>
            <w:tcW w:w="698" w:type="dxa"/>
            <w:tcBorders>
              <w:top w:val="nil"/>
              <w:left w:val="nil"/>
              <w:bottom w:val="single" w:sz="4" w:space="0" w:color="auto"/>
              <w:right w:val="single" w:sz="4" w:space="0" w:color="auto"/>
            </w:tcBorders>
            <w:shd w:val="clear" w:color="auto" w:fill="auto"/>
            <w:vAlign w:val="center"/>
            <w:hideMark/>
          </w:tcPr>
          <w:p w14:paraId="373966A3" w14:textId="77777777" w:rsidR="00F00781" w:rsidRPr="00F00781" w:rsidRDefault="00F00781" w:rsidP="00F00781">
            <w:pPr>
              <w:rPr>
                <w:rFonts w:ascii="Arial Narrow" w:hAnsi="Arial Narrow" w:cs="Calibri"/>
                <w:sz w:val="14"/>
                <w:szCs w:val="14"/>
              </w:rPr>
            </w:pPr>
            <w:r w:rsidRPr="00F00781">
              <w:rPr>
                <w:rFonts w:ascii="Arial Narrow" w:hAnsi="Arial Narrow" w:cs="Calibri"/>
                <w:sz w:val="14"/>
                <w:szCs w:val="14"/>
              </w:rPr>
              <w:t> </w:t>
            </w:r>
          </w:p>
        </w:tc>
        <w:tc>
          <w:tcPr>
            <w:tcW w:w="765" w:type="dxa"/>
            <w:tcBorders>
              <w:top w:val="nil"/>
              <w:left w:val="nil"/>
              <w:bottom w:val="single" w:sz="4" w:space="0" w:color="auto"/>
              <w:right w:val="single" w:sz="4" w:space="0" w:color="auto"/>
            </w:tcBorders>
            <w:shd w:val="clear" w:color="auto" w:fill="auto"/>
            <w:vAlign w:val="center"/>
            <w:hideMark/>
          </w:tcPr>
          <w:p w14:paraId="30235B0D" w14:textId="77777777" w:rsidR="00F00781" w:rsidRPr="00F00781" w:rsidRDefault="00F00781" w:rsidP="00F00781">
            <w:pPr>
              <w:rPr>
                <w:rFonts w:ascii="Arial Narrow" w:hAnsi="Arial Narrow" w:cs="Calibri"/>
                <w:sz w:val="14"/>
                <w:szCs w:val="14"/>
              </w:rPr>
            </w:pPr>
            <w:r w:rsidRPr="00F00781">
              <w:rPr>
                <w:rFonts w:ascii="Arial Narrow" w:hAnsi="Arial Narrow" w:cs="Calibri"/>
                <w:sz w:val="14"/>
                <w:szCs w:val="14"/>
              </w:rPr>
              <w:t> </w:t>
            </w:r>
          </w:p>
        </w:tc>
        <w:tc>
          <w:tcPr>
            <w:tcW w:w="970" w:type="dxa"/>
            <w:tcBorders>
              <w:top w:val="nil"/>
              <w:left w:val="nil"/>
              <w:bottom w:val="single" w:sz="4" w:space="0" w:color="auto"/>
              <w:right w:val="single" w:sz="4" w:space="0" w:color="auto"/>
            </w:tcBorders>
            <w:shd w:val="clear" w:color="auto" w:fill="auto"/>
            <w:vAlign w:val="center"/>
            <w:hideMark/>
          </w:tcPr>
          <w:p w14:paraId="5768C169" w14:textId="77777777" w:rsidR="00F00781" w:rsidRPr="00F00781" w:rsidRDefault="00F00781" w:rsidP="00F00781">
            <w:pPr>
              <w:rPr>
                <w:rFonts w:ascii="Arial Narrow" w:hAnsi="Arial Narrow" w:cs="Calibri"/>
                <w:sz w:val="14"/>
                <w:szCs w:val="14"/>
              </w:rPr>
            </w:pPr>
            <w:r w:rsidRPr="00F00781">
              <w:rPr>
                <w:rFonts w:ascii="Arial Narrow" w:hAnsi="Arial Narrow" w:cs="Calibri"/>
                <w:sz w:val="14"/>
                <w:szCs w:val="14"/>
              </w:rPr>
              <w:t> </w:t>
            </w:r>
          </w:p>
        </w:tc>
        <w:tc>
          <w:tcPr>
            <w:tcW w:w="602" w:type="dxa"/>
            <w:tcBorders>
              <w:top w:val="nil"/>
              <w:left w:val="nil"/>
              <w:bottom w:val="single" w:sz="4" w:space="0" w:color="auto"/>
              <w:right w:val="single" w:sz="4" w:space="0" w:color="auto"/>
            </w:tcBorders>
            <w:shd w:val="clear" w:color="auto" w:fill="auto"/>
            <w:vAlign w:val="center"/>
            <w:hideMark/>
          </w:tcPr>
          <w:p w14:paraId="68D0C21E" w14:textId="77777777" w:rsidR="00F00781" w:rsidRPr="00F00781" w:rsidRDefault="00F00781" w:rsidP="00F00781">
            <w:pPr>
              <w:rPr>
                <w:rFonts w:ascii="Arial Narrow" w:hAnsi="Arial Narrow" w:cs="Calibri"/>
                <w:sz w:val="14"/>
                <w:szCs w:val="14"/>
              </w:rPr>
            </w:pPr>
            <w:r w:rsidRPr="00F00781">
              <w:rPr>
                <w:rFonts w:ascii="Arial Narrow" w:hAnsi="Arial Narrow" w:cs="Calibri"/>
                <w:sz w:val="14"/>
                <w:szCs w:val="14"/>
              </w:rPr>
              <w:t> </w:t>
            </w:r>
          </w:p>
        </w:tc>
        <w:tc>
          <w:tcPr>
            <w:tcW w:w="697" w:type="dxa"/>
            <w:tcBorders>
              <w:top w:val="nil"/>
              <w:left w:val="nil"/>
              <w:bottom w:val="single" w:sz="4" w:space="0" w:color="auto"/>
              <w:right w:val="single" w:sz="4" w:space="0" w:color="auto"/>
            </w:tcBorders>
            <w:shd w:val="clear" w:color="auto" w:fill="auto"/>
            <w:vAlign w:val="center"/>
            <w:hideMark/>
          </w:tcPr>
          <w:p w14:paraId="2BB3E519" w14:textId="77777777" w:rsidR="00F00781" w:rsidRPr="00F00781" w:rsidRDefault="00F00781" w:rsidP="00F00781">
            <w:pPr>
              <w:rPr>
                <w:rFonts w:ascii="Arial Narrow" w:hAnsi="Arial Narrow" w:cs="Calibri"/>
                <w:sz w:val="14"/>
                <w:szCs w:val="14"/>
              </w:rPr>
            </w:pPr>
            <w:r w:rsidRPr="00F00781">
              <w:rPr>
                <w:rFonts w:ascii="Arial Narrow" w:hAnsi="Arial Narrow" w:cs="Calibri"/>
                <w:sz w:val="14"/>
                <w:szCs w:val="14"/>
              </w:rPr>
              <w:t> </w:t>
            </w:r>
          </w:p>
        </w:tc>
        <w:tc>
          <w:tcPr>
            <w:tcW w:w="869" w:type="dxa"/>
            <w:tcBorders>
              <w:top w:val="nil"/>
              <w:left w:val="nil"/>
              <w:bottom w:val="single" w:sz="4" w:space="0" w:color="auto"/>
              <w:right w:val="single" w:sz="4" w:space="0" w:color="auto"/>
            </w:tcBorders>
            <w:shd w:val="clear" w:color="auto" w:fill="auto"/>
            <w:vAlign w:val="center"/>
            <w:hideMark/>
          </w:tcPr>
          <w:p w14:paraId="2F68AEA6" w14:textId="77777777" w:rsidR="00F00781" w:rsidRPr="00F00781" w:rsidRDefault="00F00781" w:rsidP="00F00781">
            <w:pPr>
              <w:rPr>
                <w:rFonts w:ascii="Arial Narrow" w:hAnsi="Arial Narrow" w:cs="Calibri"/>
                <w:sz w:val="14"/>
                <w:szCs w:val="14"/>
              </w:rPr>
            </w:pPr>
            <w:r w:rsidRPr="00F00781">
              <w:rPr>
                <w:rFonts w:ascii="Arial Narrow" w:hAnsi="Arial Narrow" w:cs="Calibri"/>
                <w:sz w:val="14"/>
                <w:szCs w:val="14"/>
              </w:rPr>
              <w:t> </w:t>
            </w:r>
          </w:p>
        </w:tc>
      </w:tr>
      <w:tr w:rsidR="00F00781" w:rsidRPr="00F00781" w14:paraId="30028068" w14:textId="77777777" w:rsidTr="00E01BBF">
        <w:trPr>
          <w:trHeight w:val="196"/>
        </w:trPr>
        <w:tc>
          <w:tcPr>
            <w:tcW w:w="632" w:type="dxa"/>
            <w:tcBorders>
              <w:top w:val="nil"/>
              <w:left w:val="single" w:sz="4" w:space="0" w:color="auto"/>
              <w:bottom w:val="single" w:sz="4" w:space="0" w:color="auto"/>
              <w:right w:val="single" w:sz="4" w:space="0" w:color="auto"/>
            </w:tcBorders>
            <w:shd w:val="clear" w:color="auto" w:fill="auto"/>
            <w:vAlign w:val="center"/>
            <w:hideMark/>
          </w:tcPr>
          <w:p w14:paraId="6323C2F8" w14:textId="77777777" w:rsidR="00F00781" w:rsidRPr="00F00781" w:rsidRDefault="00F00781" w:rsidP="00F00781">
            <w:pPr>
              <w:rPr>
                <w:rFonts w:ascii="Arial Narrow" w:hAnsi="Arial Narrow" w:cs="Calibri"/>
                <w:b/>
                <w:bCs/>
                <w:sz w:val="14"/>
                <w:szCs w:val="14"/>
              </w:rPr>
            </w:pPr>
            <w:r w:rsidRPr="00F00781">
              <w:rPr>
                <w:rFonts w:ascii="Arial Narrow" w:hAnsi="Arial Narrow" w:cs="Calibri"/>
                <w:b/>
                <w:bCs/>
                <w:sz w:val="14"/>
                <w:szCs w:val="14"/>
              </w:rPr>
              <w:t xml:space="preserve"> 10</w:t>
            </w:r>
          </w:p>
        </w:tc>
        <w:tc>
          <w:tcPr>
            <w:tcW w:w="1671" w:type="dxa"/>
            <w:tcBorders>
              <w:top w:val="nil"/>
              <w:left w:val="nil"/>
              <w:bottom w:val="single" w:sz="4" w:space="0" w:color="auto"/>
              <w:right w:val="single" w:sz="4" w:space="0" w:color="auto"/>
            </w:tcBorders>
            <w:shd w:val="clear" w:color="auto" w:fill="auto"/>
            <w:vAlign w:val="center"/>
            <w:hideMark/>
          </w:tcPr>
          <w:p w14:paraId="6DFB8366" w14:textId="77777777" w:rsidR="00F00781" w:rsidRPr="00F00781" w:rsidRDefault="00F00781" w:rsidP="00F00781">
            <w:pPr>
              <w:rPr>
                <w:rFonts w:ascii="Arial Narrow" w:hAnsi="Arial Narrow" w:cs="Calibri"/>
                <w:b/>
                <w:bCs/>
                <w:sz w:val="14"/>
                <w:szCs w:val="14"/>
              </w:rPr>
            </w:pPr>
            <w:r w:rsidRPr="00F00781">
              <w:rPr>
                <w:rFonts w:ascii="Arial Narrow" w:hAnsi="Arial Narrow" w:cs="Calibri"/>
                <w:b/>
                <w:bCs/>
                <w:sz w:val="14"/>
                <w:szCs w:val="14"/>
              </w:rPr>
              <w:t>Продукция от растениевъдството (от 01 до 09)</w:t>
            </w:r>
          </w:p>
        </w:tc>
        <w:tc>
          <w:tcPr>
            <w:tcW w:w="773" w:type="dxa"/>
            <w:tcBorders>
              <w:top w:val="nil"/>
              <w:left w:val="nil"/>
              <w:bottom w:val="single" w:sz="4" w:space="0" w:color="auto"/>
              <w:right w:val="single" w:sz="4" w:space="0" w:color="auto"/>
            </w:tcBorders>
            <w:shd w:val="clear" w:color="000000" w:fill="FFFFFF"/>
            <w:vAlign w:val="center"/>
            <w:hideMark/>
          </w:tcPr>
          <w:p w14:paraId="64ECE20E" w14:textId="77777777" w:rsidR="00F00781" w:rsidRPr="00F00781" w:rsidRDefault="00F00781" w:rsidP="00F00781">
            <w:pPr>
              <w:jc w:val="right"/>
              <w:rPr>
                <w:rFonts w:ascii="Arial Narrow" w:hAnsi="Arial Narrow" w:cs="Calibri"/>
                <w:b/>
                <w:bCs/>
                <w:sz w:val="14"/>
                <w:szCs w:val="14"/>
              </w:rPr>
            </w:pPr>
            <w:r w:rsidRPr="00F00781">
              <w:rPr>
                <w:rFonts w:ascii="Arial Narrow" w:hAnsi="Arial Narrow" w:cs="Calibri"/>
                <w:b/>
                <w:bCs/>
                <w:sz w:val="14"/>
                <w:szCs w:val="14"/>
              </w:rPr>
              <w:t>6 456,7</w:t>
            </w:r>
          </w:p>
        </w:tc>
        <w:tc>
          <w:tcPr>
            <w:tcW w:w="582" w:type="dxa"/>
            <w:tcBorders>
              <w:top w:val="nil"/>
              <w:left w:val="nil"/>
              <w:bottom w:val="single" w:sz="4" w:space="0" w:color="auto"/>
              <w:right w:val="single" w:sz="4" w:space="0" w:color="auto"/>
            </w:tcBorders>
            <w:shd w:val="clear" w:color="000000" w:fill="FFFFFF"/>
            <w:vAlign w:val="center"/>
            <w:hideMark/>
          </w:tcPr>
          <w:p w14:paraId="6EA9129E" w14:textId="77777777" w:rsidR="00F00781" w:rsidRPr="00F00781" w:rsidRDefault="00F00781" w:rsidP="00F00781">
            <w:pPr>
              <w:jc w:val="right"/>
              <w:rPr>
                <w:rFonts w:ascii="Arial Narrow" w:hAnsi="Arial Narrow" w:cs="Calibri"/>
                <w:b/>
                <w:bCs/>
                <w:sz w:val="14"/>
                <w:szCs w:val="14"/>
              </w:rPr>
            </w:pPr>
            <w:r w:rsidRPr="00F00781">
              <w:rPr>
                <w:rFonts w:ascii="Arial Narrow" w:hAnsi="Arial Narrow" w:cs="Calibri"/>
                <w:b/>
                <w:bCs/>
                <w:sz w:val="14"/>
                <w:szCs w:val="14"/>
              </w:rPr>
              <w:t>4,6</w:t>
            </w:r>
          </w:p>
        </w:tc>
        <w:tc>
          <w:tcPr>
            <w:tcW w:w="681" w:type="dxa"/>
            <w:tcBorders>
              <w:top w:val="nil"/>
              <w:left w:val="nil"/>
              <w:bottom w:val="single" w:sz="4" w:space="0" w:color="auto"/>
              <w:right w:val="single" w:sz="4" w:space="0" w:color="auto"/>
            </w:tcBorders>
            <w:shd w:val="clear" w:color="000000" w:fill="FFFFFF"/>
            <w:vAlign w:val="center"/>
            <w:hideMark/>
          </w:tcPr>
          <w:p w14:paraId="673C27F0" w14:textId="77777777" w:rsidR="00F00781" w:rsidRPr="00F00781" w:rsidRDefault="00F00781" w:rsidP="00F00781">
            <w:pPr>
              <w:jc w:val="right"/>
              <w:rPr>
                <w:rFonts w:ascii="Arial Narrow" w:hAnsi="Arial Narrow" w:cs="Calibri"/>
                <w:b/>
                <w:bCs/>
                <w:sz w:val="14"/>
                <w:szCs w:val="14"/>
              </w:rPr>
            </w:pPr>
            <w:r w:rsidRPr="00F00781">
              <w:rPr>
                <w:rFonts w:ascii="Arial Narrow" w:hAnsi="Arial Narrow" w:cs="Calibri"/>
                <w:b/>
                <w:bCs/>
                <w:sz w:val="14"/>
                <w:szCs w:val="14"/>
              </w:rPr>
              <w:t>2 187,9</w:t>
            </w:r>
          </w:p>
        </w:tc>
        <w:tc>
          <w:tcPr>
            <w:tcW w:w="789" w:type="dxa"/>
            <w:tcBorders>
              <w:top w:val="nil"/>
              <w:left w:val="nil"/>
              <w:bottom w:val="single" w:sz="4" w:space="0" w:color="auto"/>
              <w:right w:val="single" w:sz="4" w:space="0" w:color="auto"/>
            </w:tcBorders>
            <w:shd w:val="clear" w:color="000000" w:fill="FFFFFF"/>
            <w:vAlign w:val="center"/>
            <w:hideMark/>
          </w:tcPr>
          <w:p w14:paraId="09D51BCD" w14:textId="77777777" w:rsidR="00F00781" w:rsidRPr="00F00781" w:rsidRDefault="00F00781" w:rsidP="00F00781">
            <w:pPr>
              <w:jc w:val="right"/>
              <w:rPr>
                <w:rFonts w:ascii="Arial Narrow" w:hAnsi="Arial Narrow" w:cs="Calibri"/>
                <w:b/>
                <w:bCs/>
                <w:sz w:val="14"/>
                <w:szCs w:val="14"/>
              </w:rPr>
            </w:pPr>
            <w:r w:rsidRPr="00F00781">
              <w:rPr>
                <w:rFonts w:ascii="Arial Narrow" w:hAnsi="Arial Narrow" w:cs="Calibri"/>
                <w:b/>
                <w:bCs/>
                <w:sz w:val="14"/>
                <w:szCs w:val="14"/>
              </w:rPr>
              <w:t>104,1</w:t>
            </w:r>
          </w:p>
        </w:tc>
        <w:tc>
          <w:tcPr>
            <w:tcW w:w="693" w:type="dxa"/>
            <w:tcBorders>
              <w:top w:val="nil"/>
              <w:left w:val="nil"/>
              <w:bottom w:val="single" w:sz="4" w:space="0" w:color="auto"/>
              <w:right w:val="single" w:sz="4" w:space="0" w:color="auto"/>
            </w:tcBorders>
            <w:shd w:val="clear" w:color="000000" w:fill="FFFFFF"/>
            <w:vAlign w:val="center"/>
            <w:hideMark/>
          </w:tcPr>
          <w:p w14:paraId="4F983361" w14:textId="77777777" w:rsidR="00F00781" w:rsidRPr="00F00781" w:rsidRDefault="00F00781" w:rsidP="00F00781">
            <w:pPr>
              <w:jc w:val="right"/>
              <w:rPr>
                <w:rFonts w:ascii="Arial Narrow" w:hAnsi="Arial Narrow" w:cs="Calibri"/>
                <w:b/>
                <w:bCs/>
                <w:sz w:val="14"/>
                <w:szCs w:val="14"/>
              </w:rPr>
            </w:pPr>
            <w:r w:rsidRPr="00F00781">
              <w:rPr>
                <w:rFonts w:ascii="Arial Narrow" w:hAnsi="Arial Narrow" w:cs="Calibri"/>
                <w:b/>
                <w:bCs/>
                <w:sz w:val="14"/>
                <w:szCs w:val="14"/>
              </w:rPr>
              <w:t>171,6</w:t>
            </w:r>
          </w:p>
        </w:tc>
        <w:tc>
          <w:tcPr>
            <w:tcW w:w="537" w:type="dxa"/>
            <w:tcBorders>
              <w:top w:val="nil"/>
              <w:left w:val="nil"/>
              <w:bottom w:val="single" w:sz="4" w:space="0" w:color="auto"/>
              <w:right w:val="single" w:sz="4" w:space="0" w:color="auto"/>
            </w:tcBorders>
            <w:shd w:val="clear" w:color="000000" w:fill="FFFFFF"/>
            <w:vAlign w:val="center"/>
            <w:hideMark/>
          </w:tcPr>
          <w:p w14:paraId="1CF7FB03" w14:textId="77777777" w:rsidR="00F00781" w:rsidRPr="00F00781" w:rsidRDefault="00F00781" w:rsidP="00F00781">
            <w:pPr>
              <w:jc w:val="right"/>
              <w:rPr>
                <w:rFonts w:ascii="Arial Narrow" w:hAnsi="Arial Narrow" w:cs="Calibri"/>
                <w:b/>
                <w:bCs/>
                <w:sz w:val="14"/>
                <w:szCs w:val="14"/>
              </w:rPr>
            </w:pPr>
            <w:r w:rsidRPr="00F00781">
              <w:rPr>
                <w:rFonts w:ascii="Arial Narrow" w:hAnsi="Arial Narrow" w:cs="Calibri"/>
                <w:b/>
                <w:bCs/>
                <w:sz w:val="14"/>
                <w:szCs w:val="14"/>
              </w:rPr>
              <w:t>16,6</w:t>
            </w:r>
          </w:p>
        </w:tc>
        <w:tc>
          <w:tcPr>
            <w:tcW w:w="1143" w:type="dxa"/>
            <w:tcBorders>
              <w:top w:val="nil"/>
              <w:left w:val="nil"/>
              <w:bottom w:val="single" w:sz="4" w:space="0" w:color="auto"/>
              <w:right w:val="single" w:sz="4" w:space="0" w:color="auto"/>
            </w:tcBorders>
            <w:shd w:val="clear" w:color="000000" w:fill="FFFFFF"/>
            <w:vAlign w:val="center"/>
            <w:hideMark/>
          </w:tcPr>
          <w:p w14:paraId="706575B5" w14:textId="77777777" w:rsidR="00F00781" w:rsidRPr="00F00781" w:rsidRDefault="00F00781" w:rsidP="00F00781">
            <w:pPr>
              <w:jc w:val="right"/>
              <w:rPr>
                <w:rFonts w:ascii="Arial Narrow" w:hAnsi="Arial Narrow" w:cs="Calibri"/>
                <w:b/>
                <w:bCs/>
                <w:sz w:val="14"/>
                <w:szCs w:val="14"/>
              </w:rPr>
            </w:pPr>
            <w:r w:rsidRPr="00F00781">
              <w:rPr>
                <w:rFonts w:ascii="Arial Narrow" w:hAnsi="Arial Narrow" w:cs="Calibri"/>
                <w:b/>
                <w:bCs/>
                <w:sz w:val="14"/>
                <w:szCs w:val="14"/>
              </w:rPr>
              <w:t>57,7</w:t>
            </w:r>
          </w:p>
        </w:tc>
        <w:tc>
          <w:tcPr>
            <w:tcW w:w="1200" w:type="dxa"/>
            <w:tcBorders>
              <w:top w:val="nil"/>
              <w:left w:val="nil"/>
              <w:bottom w:val="single" w:sz="4" w:space="0" w:color="auto"/>
              <w:right w:val="single" w:sz="4" w:space="0" w:color="auto"/>
            </w:tcBorders>
            <w:shd w:val="clear" w:color="000000" w:fill="FFFFFF"/>
            <w:vAlign w:val="center"/>
            <w:hideMark/>
          </w:tcPr>
          <w:p w14:paraId="7F6195DD" w14:textId="77777777" w:rsidR="00F00781" w:rsidRPr="00F00781" w:rsidRDefault="00F00781" w:rsidP="00F00781">
            <w:pPr>
              <w:jc w:val="right"/>
              <w:rPr>
                <w:rFonts w:ascii="Arial Narrow" w:hAnsi="Arial Narrow" w:cs="Calibri"/>
                <w:b/>
                <w:bCs/>
                <w:sz w:val="14"/>
                <w:szCs w:val="14"/>
              </w:rPr>
            </w:pPr>
            <w:r w:rsidRPr="00F00781">
              <w:rPr>
                <w:rFonts w:ascii="Arial Narrow" w:hAnsi="Arial Narrow" w:cs="Calibri"/>
                <w:b/>
                <w:bCs/>
                <w:sz w:val="14"/>
                <w:szCs w:val="14"/>
              </w:rPr>
              <w:t>21,7</w:t>
            </w:r>
          </w:p>
        </w:tc>
        <w:tc>
          <w:tcPr>
            <w:tcW w:w="721" w:type="dxa"/>
            <w:tcBorders>
              <w:top w:val="nil"/>
              <w:left w:val="nil"/>
              <w:bottom w:val="single" w:sz="4" w:space="0" w:color="auto"/>
              <w:right w:val="single" w:sz="4" w:space="0" w:color="auto"/>
            </w:tcBorders>
            <w:shd w:val="clear" w:color="000000" w:fill="FFFFFF"/>
            <w:vAlign w:val="center"/>
            <w:hideMark/>
          </w:tcPr>
          <w:p w14:paraId="5DBF3BE4" w14:textId="77777777" w:rsidR="00F00781" w:rsidRPr="00F00781" w:rsidRDefault="00F00781" w:rsidP="00F00781">
            <w:pPr>
              <w:jc w:val="right"/>
              <w:rPr>
                <w:rFonts w:ascii="Arial Narrow" w:hAnsi="Arial Narrow" w:cs="Calibri"/>
                <w:b/>
                <w:bCs/>
                <w:sz w:val="14"/>
                <w:szCs w:val="14"/>
              </w:rPr>
            </w:pPr>
            <w:r w:rsidRPr="00F00781">
              <w:rPr>
                <w:rFonts w:ascii="Arial Narrow" w:hAnsi="Arial Narrow" w:cs="Calibri"/>
                <w:b/>
                <w:bCs/>
                <w:sz w:val="14"/>
                <w:szCs w:val="14"/>
              </w:rPr>
              <w:t>585,3</w:t>
            </w:r>
          </w:p>
        </w:tc>
        <w:tc>
          <w:tcPr>
            <w:tcW w:w="721" w:type="dxa"/>
            <w:tcBorders>
              <w:top w:val="nil"/>
              <w:left w:val="nil"/>
              <w:bottom w:val="single" w:sz="4" w:space="0" w:color="auto"/>
              <w:right w:val="single" w:sz="4" w:space="0" w:color="auto"/>
            </w:tcBorders>
            <w:shd w:val="clear" w:color="000000" w:fill="FFFFFF"/>
            <w:vAlign w:val="center"/>
            <w:hideMark/>
          </w:tcPr>
          <w:p w14:paraId="0C69765E" w14:textId="77777777" w:rsidR="00F00781" w:rsidRPr="00F00781" w:rsidRDefault="00F00781" w:rsidP="00F00781">
            <w:pPr>
              <w:jc w:val="right"/>
              <w:rPr>
                <w:rFonts w:ascii="Arial Narrow" w:hAnsi="Arial Narrow" w:cs="Calibri"/>
                <w:b/>
                <w:bCs/>
                <w:sz w:val="14"/>
                <w:szCs w:val="14"/>
              </w:rPr>
            </w:pPr>
            <w:r w:rsidRPr="00F00781">
              <w:rPr>
                <w:rFonts w:ascii="Arial Narrow" w:hAnsi="Arial Narrow" w:cs="Calibri"/>
                <w:b/>
                <w:bCs/>
                <w:sz w:val="14"/>
                <w:szCs w:val="14"/>
              </w:rPr>
              <w:t>5 784,0</w:t>
            </w:r>
          </w:p>
        </w:tc>
        <w:tc>
          <w:tcPr>
            <w:tcW w:w="698" w:type="dxa"/>
            <w:tcBorders>
              <w:top w:val="nil"/>
              <w:left w:val="nil"/>
              <w:bottom w:val="single" w:sz="4" w:space="0" w:color="auto"/>
              <w:right w:val="single" w:sz="4" w:space="0" w:color="auto"/>
            </w:tcBorders>
            <w:shd w:val="clear" w:color="000000" w:fill="FFFFFF"/>
            <w:vAlign w:val="center"/>
            <w:hideMark/>
          </w:tcPr>
          <w:p w14:paraId="44EEB423" w14:textId="77777777" w:rsidR="00F00781" w:rsidRPr="00F00781" w:rsidRDefault="00F00781" w:rsidP="00F00781">
            <w:pPr>
              <w:jc w:val="right"/>
              <w:rPr>
                <w:rFonts w:ascii="Arial Narrow" w:hAnsi="Arial Narrow" w:cs="Calibri"/>
                <w:b/>
                <w:bCs/>
                <w:sz w:val="14"/>
                <w:szCs w:val="14"/>
              </w:rPr>
            </w:pPr>
            <w:r w:rsidRPr="00F00781">
              <w:rPr>
                <w:rFonts w:ascii="Arial Narrow" w:hAnsi="Arial Narrow" w:cs="Calibri"/>
                <w:b/>
                <w:bCs/>
                <w:sz w:val="14"/>
                <w:szCs w:val="14"/>
              </w:rPr>
              <w:t>81,4</w:t>
            </w:r>
          </w:p>
        </w:tc>
        <w:tc>
          <w:tcPr>
            <w:tcW w:w="765" w:type="dxa"/>
            <w:tcBorders>
              <w:top w:val="nil"/>
              <w:left w:val="nil"/>
              <w:bottom w:val="single" w:sz="4" w:space="0" w:color="auto"/>
              <w:right w:val="single" w:sz="4" w:space="0" w:color="auto"/>
            </w:tcBorders>
            <w:shd w:val="clear" w:color="000000" w:fill="FFFFFF"/>
            <w:vAlign w:val="center"/>
            <w:hideMark/>
          </w:tcPr>
          <w:p w14:paraId="14818134" w14:textId="77777777" w:rsidR="00F00781" w:rsidRPr="00F00781" w:rsidRDefault="00F00781" w:rsidP="00F00781">
            <w:pPr>
              <w:jc w:val="right"/>
              <w:rPr>
                <w:rFonts w:ascii="Arial Narrow" w:hAnsi="Arial Narrow" w:cs="Calibri"/>
                <w:b/>
                <w:bCs/>
                <w:sz w:val="14"/>
                <w:szCs w:val="14"/>
              </w:rPr>
            </w:pPr>
            <w:r w:rsidRPr="00F00781">
              <w:rPr>
                <w:rFonts w:ascii="Arial Narrow" w:hAnsi="Arial Narrow" w:cs="Calibri"/>
                <w:b/>
                <w:bCs/>
                <w:sz w:val="14"/>
                <w:szCs w:val="14"/>
              </w:rPr>
              <w:t>6 450,3</w:t>
            </w:r>
          </w:p>
        </w:tc>
        <w:tc>
          <w:tcPr>
            <w:tcW w:w="970" w:type="dxa"/>
            <w:tcBorders>
              <w:top w:val="nil"/>
              <w:left w:val="nil"/>
              <w:bottom w:val="single" w:sz="4" w:space="0" w:color="auto"/>
              <w:right w:val="single" w:sz="4" w:space="0" w:color="auto"/>
            </w:tcBorders>
            <w:shd w:val="clear" w:color="000000" w:fill="FFFFFF"/>
            <w:vAlign w:val="center"/>
            <w:hideMark/>
          </w:tcPr>
          <w:p w14:paraId="47465D3D" w14:textId="77777777" w:rsidR="00F00781" w:rsidRPr="00F00781" w:rsidRDefault="00F00781" w:rsidP="00F00781">
            <w:pPr>
              <w:jc w:val="right"/>
              <w:rPr>
                <w:rFonts w:ascii="Arial Narrow" w:hAnsi="Arial Narrow" w:cs="Calibri"/>
                <w:b/>
                <w:bCs/>
                <w:sz w:val="14"/>
                <w:szCs w:val="14"/>
              </w:rPr>
            </w:pPr>
            <w:r w:rsidRPr="00F00781">
              <w:rPr>
                <w:rFonts w:ascii="Arial Narrow" w:hAnsi="Arial Narrow" w:cs="Calibri"/>
                <w:b/>
                <w:bCs/>
                <w:sz w:val="14"/>
                <w:szCs w:val="14"/>
              </w:rPr>
              <w:t>59,5</w:t>
            </w:r>
          </w:p>
        </w:tc>
        <w:tc>
          <w:tcPr>
            <w:tcW w:w="602" w:type="dxa"/>
            <w:tcBorders>
              <w:top w:val="nil"/>
              <w:left w:val="nil"/>
              <w:bottom w:val="single" w:sz="4" w:space="0" w:color="auto"/>
              <w:right w:val="single" w:sz="4" w:space="0" w:color="auto"/>
            </w:tcBorders>
            <w:shd w:val="clear" w:color="000000" w:fill="FFFFFF"/>
            <w:vAlign w:val="center"/>
            <w:hideMark/>
          </w:tcPr>
          <w:p w14:paraId="7173D396" w14:textId="77777777" w:rsidR="00F00781" w:rsidRPr="00F00781" w:rsidRDefault="00F00781" w:rsidP="00F00781">
            <w:pPr>
              <w:jc w:val="right"/>
              <w:rPr>
                <w:rFonts w:ascii="Arial Narrow" w:hAnsi="Arial Narrow" w:cs="Calibri"/>
                <w:b/>
                <w:bCs/>
                <w:sz w:val="14"/>
                <w:szCs w:val="14"/>
              </w:rPr>
            </w:pPr>
            <w:r w:rsidRPr="00F00781">
              <w:rPr>
                <w:rFonts w:ascii="Arial Narrow" w:hAnsi="Arial Narrow" w:cs="Calibri"/>
                <w:b/>
                <w:bCs/>
                <w:sz w:val="14"/>
                <w:szCs w:val="14"/>
              </w:rPr>
              <w:t>1 758,5</w:t>
            </w:r>
          </w:p>
        </w:tc>
        <w:tc>
          <w:tcPr>
            <w:tcW w:w="697" w:type="dxa"/>
            <w:tcBorders>
              <w:top w:val="nil"/>
              <w:left w:val="nil"/>
              <w:bottom w:val="single" w:sz="4" w:space="0" w:color="auto"/>
              <w:right w:val="single" w:sz="4" w:space="0" w:color="auto"/>
            </w:tcBorders>
            <w:shd w:val="clear" w:color="000000" w:fill="FFFFFF"/>
            <w:vAlign w:val="center"/>
            <w:hideMark/>
          </w:tcPr>
          <w:p w14:paraId="038906F3" w14:textId="77777777" w:rsidR="00F00781" w:rsidRPr="00F00781" w:rsidRDefault="00F00781" w:rsidP="00F00781">
            <w:pPr>
              <w:jc w:val="right"/>
              <w:rPr>
                <w:rFonts w:ascii="Arial Narrow" w:hAnsi="Arial Narrow" w:cs="Calibri"/>
                <w:b/>
                <w:bCs/>
                <w:sz w:val="14"/>
                <w:szCs w:val="14"/>
              </w:rPr>
            </w:pPr>
            <w:r w:rsidRPr="00F00781">
              <w:rPr>
                <w:rFonts w:ascii="Arial Narrow" w:hAnsi="Arial Narrow" w:cs="Calibri"/>
                <w:b/>
                <w:bCs/>
                <w:sz w:val="14"/>
                <w:szCs w:val="14"/>
              </w:rPr>
              <w:t>-429,3</w:t>
            </w:r>
          </w:p>
        </w:tc>
        <w:tc>
          <w:tcPr>
            <w:tcW w:w="869" w:type="dxa"/>
            <w:tcBorders>
              <w:top w:val="nil"/>
              <w:left w:val="nil"/>
              <w:bottom w:val="single" w:sz="4" w:space="0" w:color="auto"/>
              <w:right w:val="single" w:sz="4" w:space="0" w:color="auto"/>
            </w:tcBorders>
            <w:shd w:val="clear" w:color="000000" w:fill="FFFFFF"/>
            <w:vAlign w:val="center"/>
            <w:hideMark/>
          </w:tcPr>
          <w:p w14:paraId="3ADC49A8" w14:textId="77777777" w:rsidR="00F00781" w:rsidRPr="00F00781" w:rsidRDefault="00F00781" w:rsidP="00F00781">
            <w:pPr>
              <w:jc w:val="right"/>
              <w:rPr>
                <w:rFonts w:ascii="Arial Narrow" w:hAnsi="Arial Narrow" w:cs="Calibri"/>
                <w:b/>
                <w:bCs/>
                <w:sz w:val="14"/>
                <w:szCs w:val="14"/>
              </w:rPr>
            </w:pPr>
            <w:r w:rsidRPr="00F00781">
              <w:rPr>
                <w:rFonts w:ascii="Arial Narrow" w:hAnsi="Arial Narrow" w:cs="Calibri"/>
                <w:b/>
                <w:bCs/>
                <w:sz w:val="14"/>
                <w:szCs w:val="14"/>
              </w:rPr>
              <w:t>6 331,4</w:t>
            </w:r>
          </w:p>
        </w:tc>
      </w:tr>
      <w:tr w:rsidR="00F00781" w:rsidRPr="00F00781" w14:paraId="027CEE86" w14:textId="77777777" w:rsidTr="00E01BBF">
        <w:trPr>
          <w:trHeight w:val="196"/>
        </w:trPr>
        <w:tc>
          <w:tcPr>
            <w:tcW w:w="632" w:type="dxa"/>
            <w:tcBorders>
              <w:top w:val="nil"/>
              <w:left w:val="single" w:sz="4" w:space="0" w:color="auto"/>
              <w:bottom w:val="single" w:sz="4" w:space="0" w:color="auto"/>
              <w:right w:val="single" w:sz="4" w:space="0" w:color="auto"/>
            </w:tcBorders>
            <w:shd w:val="clear" w:color="auto" w:fill="auto"/>
            <w:vAlign w:val="center"/>
            <w:hideMark/>
          </w:tcPr>
          <w:p w14:paraId="6B04EF78" w14:textId="77777777" w:rsidR="00F00781" w:rsidRPr="00F00781" w:rsidRDefault="00F00781" w:rsidP="00F00781">
            <w:pPr>
              <w:rPr>
                <w:rFonts w:ascii="Arial Narrow" w:hAnsi="Arial Narrow" w:cs="Calibri"/>
                <w:sz w:val="14"/>
                <w:szCs w:val="14"/>
              </w:rPr>
            </w:pPr>
            <w:r w:rsidRPr="00F00781">
              <w:rPr>
                <w:rFonts w:ascii="Arial Narrow" w:hAnsi="Arial Narrow" w:cs="Calibri"/>
                <w:sz w:val="14"/>
                <w:szCs w:val="14"/>
              </w:rPr>
              <w:t xml:space="preserve"> 11</w:t>
            </w:r>
          </w:p>
        </w:tc>
        <w:tc>
          <w:tcPr>
            <w:tcW w:w="1671" w:type="dxa"/>
            <w:tcBorders>
              <w:top w:val="nil"/>
              <w:left w:val="nil"/>
              <w:bottom w:val="single" w:sz="4" w:space="0" w:color="auto"/>
              <w:right w:val="single" w:sz="4" w:space="0" w:color="auto"/>
            </w:tcBorders>
            <w:shd w:val="clear" w:color="auto" w:fill="auto"/>
            <w:vAlign w:val="center"/>
            <w:hideMark/>
          </w:tcPr>
          <w:p w14:paraId="3763B8B1" w14:textId="77777777" w:rsidR="00F00781" w:rsidRPr="00F00781" w:rsidRDefault="00F00781" w:rsidP="00F00781">
            <w:pPr>
              <w:rPr>
                <w:rFonts w:ascii="Arial Narrow" w:hAnsi="Arial Narrow" w:cs="Calibri"/>
                <w:sz w:val="14"/>
                <w:szCs w:val="14"/>
              </w:rPr>
            </w:pPr>
            <w:r w:rsidRPr="00F00781">
              <w:rPr>
                <w:rFonts w:ascii="Arial Narrow" w:hAnsi="Arial Narrow" w:cs="Calibri"/>
                <w:sz w:val="14"/>
                <w:szCs w:val="14"/>
              </w:rPr>
              <w:t>Селскостопански животни</w:t>
            </w:r>
          </w:p>
        </w:tc>
        <w:tc>
          <w:tcPr>
            <w:tcW w:w="773" w:type="dxa"/>
            <w:tcBorders>
              <w:top w:val="nil"/>
              <w:left w:val="nil"/>
              <w:bottom w:val="single" w:sz="4" w:space="0" w:color="auto"/>
              <w:right w:val="single" w:sz="4" w:space="0" w:color="auto"/>
            </w:tcBorders>
            <w:shd w:val="clear" w:color="auto" w:fill="auto"/>
            <w:vAlign w:val="center"/>
            <w:hideMark/>
          </w:tcPr>
          <w:p w14:paraId="07B13FF0"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1 243,5</w:t>
            </w:r>
          </w:p>
        </w:tc>
        <w:tc>
          <w:tcPr>
            <w:tcW w:w="582" w:type="dxa"/>
            <w:tcBorders>
              <w:top w:val="nil"/>
              <w:left w:val="nil"/>
              <w:bottom w:val="single" w:sz="4" w:space="0" w:color="auto"/>
              <w:right w:val="single" w:sz="4" w:space="0" w:color="auto"/>
            </w:tcBorders>
            <w:shd w:val="clear" w:color="auto" w:fill="auto"/>
            <w:vAlign w:val="center"/>
            <w:hideMark/>
          </w:tcPr>
          <w:p w14:paraId="35EE814D" w14:textId="77777777" w:rsidR="00F00781" w:rsidRPr="00F00781" w:rsidRDefault="00F00781" w:rsidP="00F00781">
            <w:pPr>
              <w:rPr>
                <w:rFonts w:ascii="Arial Narrow" w:hAnsi="Arial Narrow" w:cs="Calibri"/>
                <w:sz w:val="14"/>
                <w:szCs w:val="14"/>
              </w:rPr>
            </w:pPr>
            <w:r w:rsidRPr="00F00781">
              <w:rPr>
                <w:rFonts w:ascii="Arial Narrow" w:hAnsi="Arial Narrow" w:cs="Calibri"/>
                <w:sz w:val="14"/>
                <w:szCs w:val="14"/>
              </w:rPr>
              <w:t> </w:t>
            </w:r>
          </w:p>
        </w:tc>
        <w:tc>
          <w:tcPr>
            <w:tcW w:w="681" w:type="dxa"/>
            <w:tcBorders>
              <w:top w:val="nil"/>
              <w:left w:val="nil"/>
              <w:bottom w:val="single" w:sz="4" w:space="0" w:color="auto"/>
              <w:right w:val="single" w:sz="4" w:space="0" w:color="auto"/>
            </w:tcBorders>
            <w:shd w:val="clear" w:color="auto" w:fill="auto"/>
            <w:vAlign w:val="center"/>
            <w:hideMark/>
          </w:tcPr>
          <w:p w14:paraId="19E339C5"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427,8</w:t>
            </w:r>
          </w:p>
        </w:tc>
        <w:tc>
          <w:tcPr>
            <w:tcW w:w="789" w:type="dxa"/>
            <w:tcBorders>
              <w:top w:val="nil"/>
              <w:left w:val="nil"/>
              <w:bottom w:val="single" w:sz="4" w:space="0" w:color="auto"/>
              <w:right w:val="single" w:sz="4" w:space="0" w:color="auto"/>
            </w:tcBorders>
            <w:shd w:val="clear" w:color="auto" w:fill="auto"/>
            <w:vAlign w:val="center"/>
            <w:hideMark/>
          </w:tcPr>
          <w:p w14:paraId="3D2C0964" w14:textId="77777777" w:rsidR="00F00781" w:rsidRPr="00F00781" w:rsidRDefault="00F00781" w:rsidP="00F00781">
            <w:pPr>
              <w:rPr>
                <w:rFonts w:ascii="Arial Narrow" w:hAnsi="Arial Narrow" w:cs="Calibri"/>
                <w:sz w:val="14"/>
                <w:szCs w:val="14"/>
              </w:rPr>
            </w:pPr>
            <w:r w:rsidRPr="00F00781">
              <w:rPr>
                <w:rFonts w:ascii="Arial Narrow" w:hAnsi="Arial Narrow" w:cs="Calibri"/>
                <w:sz w:val="14"/>
                <w:szCs w:val="14"/>
              </w:rPr>
              <w:t> </w:t>
            </w:r>
          </w:p>
        </w:tc>
        <w:tc>
          <w:tcPr>
            <w:tcW w:w="693" w:type="dxa"/>
            <w:tcBorders>
              <w:top w:val="nil"/>
              <w:left w:val="nil"/>
              <w:bottom w:val="single" w:sz="4" w:space="0" w:color="auto"/>
              <w:right w:val="single" w:sz="4" w:space="0" w:color="auto"/>
            </w:tcBorders>
            <w:shd w:val="clear" w:color="auto" w:fill="auto"/>
            <w:vAlign w:val="center"/>
            <w:hideMark/>
          </w:tcPr>
          <w:p w14:paraId="5D711E76" w14:textId="77777777" w:rsidR="00F00781" w:rsidRPr="00F00781" w:rsidRDefault="00F00781" w:rsidP="00F00781">
            <w:pPr>
              <w:rPr>
                <w:rFonts w:ascii="Arial Narrow" w:hAnsi="Arial Narrow" w:cs="Calibri"/>
                <w:sz w:val="14"/>
                <w:szCs w:val="14"/>
              </w:rPr>
            </w:pPr>
            <w:r w:rsidRPr="00F00781">
              <w:rPr>
                <w:rFonts w:ascii="Arial Narrow" w:hAnsi="Arial Narrow" w:cs="Calibri"/>
                <w:sz w:val="14"/>
                <w:szCs w:val="14"/>
              </w:rPr>
              <w:t> </w:t>
            </w:r>
          </w:p>
        </w:tc>
        <w:tc>
          <w:tcPr>
            <w:tcW w:w="537" w:type="dxa"/>
            <w:tcBorders>
              <w:top w:val="nil"/>
              <w:left w:val="nil"/>
              <w:bottom w:val="single" w:sz="4" w:space="0" w:color="auto"/>
              <w:right w:val="single" w:sz="4" w:space="0" w:color="auto"/>
            </w:tcBorders>
            <w:shd w:val="clear" w:color="auto" w:fill="auto"/>
            <w:vAlign w:val="center"/>
            <w:hideMark/>
          </w:tcPr>
          <w:p w14:paraId="57AA8C9A" w14:textId="77777777" w:rsidR="00F00781" w:rsidRPr="00F00781" w:rsidRDefault="00F00781" w:rsidP="00F00781">
            <w:pPr>
              <w:rPr>
                <w:rFonts w:ascii="Arial Narrow" w:hAnsi="Arial Narrow" w:cs="Calibri"/>
                <w:sz w:val="14"/>
                <w:szCs w:val="14"/>
              </w:rPr>
            </w:pPr>
            <w:r w:rsidRPr="00F00781">
              <w:rPr>
                <w:rFonts w:ascii="Arial Narrow" w:hAnsi="Arial Narrow" w:cs="Calibri"/>
                <w:sz w:val="14"/>
                <w:szCs w:val="14"/>
              </w:rPr>
              <w:t> </w:t>
            </w:r>
          </w:p>
        </w:tc>
        <w:tc>
          <w:tcPr>
            <w:tcW w:w="1143" w:type="dxa"/>
            <w:tcBorders>
              <w:top w:val="nil"/>
              <w:left w:val="nil"/>
              <w:bottom w:val="single" w:sz="4" w:space="0" w:color="auto"/>
              <w:right w:val="single" w:sz="4" w:space="0" w:color="auto"/>
            </w:tcBorders>
            <w:shd w:val="clear" w:color="auto" w:fill="auto"/>
            <w:vAlign w:val="center"/>
            <w:hideMark/>
          </w:tcPr>
          <w:p w14:paraId="44E0D3D3"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34,4</w:t>
            </w:r>
          </w:p>
        </w:tc>
        <w:tc>
          <w:tcPr>
            <w:tcW w:w="1200" w:type="dxa"/>
            <w:tcBorders>
              <w:top w:val="nil"/>
              <w:left w:val="nil"/>
              <w:bottom w:val="single" w:sz="4" w:space="0" w:color="auto"/>
              <w:right w:val="single" w:sz="4" w:space="0" w:color="auto"/>
            </w:tcBorders>
            <w:shd w:val="clear" w:color="auto" w:fill="auto"/>
            <w:vAlign w:val="center"/>
            <w:hideMark/>
          </w:tcPr>
          <w:p w14:paraId="002B245E" w14:textId="77777777" w:rsidR="00F00781" w:rsidRPr="00F00781" w:rsidRDefault="00F00781" w:rsidP="00F00781">
            <w:pPr>
              <w:rPr>
                <w:rFonts w:ascii="Arial Narrow" w:hAnsi="Arial Narrow" w:cs="Calibri"/>
                <w:sz w:val="14"/>
                <w:szCs w:val="14"/>
              </w:rPr>
            </w:pPr>
            <w:r w:rsidRPr="00F00781">
              <w:rPr>
                <w:rFonts w:ascii="Arial Narrow" w:hAnsi="Arial Narrow" w:cs="Calibri"/>
                <w:sz w:val="14"/>
                <w:szCs w:val="14"/>
              </w:rPr>
              <w:t> </w:t>
            </w:r>
          </w:p>
        </w:tc>
        <w:tc>
          <w:tcPr>
            <w:tcW w:w="721" w:type="dxa"/>
            <w:tcBorders>
              <w:top w:val="nil"/>
              <w:left w:val="nil"/>
              <w:bottom w:val="single" w:sz="4" w:space="0" w:color="auto"/>
              <w:right w:val="single" w:sz="4" w:space="0" w:color="auto"/>
            </w:tcBorders>
            <w:shd w:val="clear" w:color="auto" w:fill="auto"/>
            <w:vAlign w:val="center"/>
            <w:hideMark/>
          </w:tcPr>
          <w:p w14:paraId="121ECE0B" w14:textId="77777777" w:rsidR="00F00781" w:rsidRPr="00F00781" w:rsidRDefault="00F00781" w:rsidP="00F00781">
            <w:pPr>
              <w:rPr>
                <w:rFonts w:ascii="Arial Narrow" w:hAnsi="Arial Narrow" w:cs="Calibri"/>
                <w:sz w:val="14"/>
                <w:szCs w:val="14"/>
              </w:rPr>
            </w:pPr>
            <w:r w:rsidRPr="00F00781">
              <w:rPr>
                <w:rFonts w:ascii="Arial Narrow" w:hAnsi="Arial Narrow" w:cs="Calibri"/>
                <w:sz w:val="14"/>
                <w:szCs w:val="14"/>
              </w:rPr>
              <w:t> </w:t>
            </w:r>
          </w:p>
        </w:tc>
        <w:tc>
          <w:tcPr>
            <w:tcW w:w="721" w:type="dxa"/>
            <w:tcBorders>
              <w:top w:val="nil"/>
              <w:left w:val="nil"/>
              <w:bottom w:val="single" w:sz="4" w:space="0" w:color="auto"/>
              <w:right w:val="single" w:sz="4" w:space="0" w:color="auto"/>
            </w:tcBorders>
            <w:shd w:val="clear" w:color="auto" w:fill="auto"/>
            <w:vAlign w:val="center"/>
            <w:hideMark/>
          </w:tcPr>
          <w:p w14:paraId="42D32FB3"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1 081,1</w:t>
            </w:r>
          </w:p>
        </w:tc>
        <w:tc>
          <w:tcPr>
            <w:tcW w:w="698" w:type="dxa"/>
            <w:tcBorders>
              <w:top w:val="nil"/>
              <w:left w:val="nil"/>
              <w:bottom w:val="single" w:sz="4" w:space="0" w:color="auto"/>
              <w:right w:val="single" w:sz="4" w:space="0" w:color="auto"/>
            </w:tcBorders>
            <w:shd w:val="clear" w:color="auto" w:fill="auto"/>
            <w:vAlign w:val="center"/>
            <w:hideMark/>
          </w:tcPr>
          <w:p w14:paraId="3AD9B49C"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38,2</w:t>
            </w:r>
          </w:p>
        </w:tc>
        <w:tc>
          <w:tcPr>
            <w:tcW w:w="765" w:type="dxa"/>
            <w:tcBorders>
              <w:top w:val="nil"/>
              <w:left w:val="nil"/>
              <w:bottom w:val="single" w:sz="4" w:space="0" w:color="auto"/>
              <w:right w:val="single" w:sz="4" w:space="0" w:color="auto"/>
            </w:tcBorders>
            <w:shd w:val="clear" w:color="auto" w:fill="auto"/>
            <w:vAlign w:val="center"/>
            <w:hideMark/>
          </w:tcPr>
          <w:p w14:paraId="4CF294C5"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1 119,3</w:t>
            </w:r>
          </w:p>
        </w:tc>
        <w:tc>
          <w:tcPr>
            <w:tcW w:w="970" w:type="dxa"/>
            <w:tcBorders>
              <w:top w:val="nil"/>
              <w:left w:val="nil"/>
              <w:bottom w:val="single" w:sz="4" w:space="0" w:color="auto"/>
              <w:right w:val="single" w:sz="4" w:space="0" w:color="auto"/>
            </w:tcBorders>
            <w:shd w:val="clear" w:color="auto" w:fill="auto"/>
            <w:vAlign w:val="center"/>
            <w:hideMark/>
          </w:tcPr>
          <w:p w14:paraId="11422A14"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94,5</w:t>
            </w:r>
          </w:p>
        </w:tc>
        <w:tc>
          <w:tcPr>
            <w:tcW w:w="602" w:type="dxa"/>
            <w:tcBorders>
              <w:top w:val="nil"/>
              <w:left w:val="nil"/>
              <w:bottom w:val="single" w:sz="4" w:space="0" w:color="auto"/>
              <w:right w:val="single" w:sz="4" w:space="0" w:color="auto"/>
            </w:tcBorders>
            <w:shd w:val="clear" w:color="auto" w:fill="auto"/>
            <w:vAlign w:val="center"/>
            <w:hideMark/>
          </w:tcPr>
          <w:p w14:paraId="3254F2F2"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423,1</w:t>
            </w:r>
          </w:p>
        </w:tc>
        <w:tc>
          <w:tcPr>
            <w:tcW w:w="697" w:type="dxa"/>
            <w:tcBorders>
              <w:top w:val="nil"/>
              <w:left w:val="nil"/>
              <w:bottom w:val="single" w:sz="4" w:space="0" w:color="auto"/>
              <w:right w:val="single" w:sz="4" w:space="0" w:color="auto"/>
            </w:tcBorders>
            <w:shd w:val="clear" w:color="auto" w:fill="auto"/>
            <w:vAlign w:val="center"/>
            <w:hideMark/>
          </w:tcPr>
          <w:p w14:paraId="7FF8F1CC"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-4,5</w:t>
            </w:r>
          </w:p>
        </w:tc>
        <w:tc>
          <w:tcPr>
            <w:tcW w:w="869" w:type="dxa"/>
            <w:tcBorders>
              <w:top w:val="nil"/>
              <w:left w:val="nil"/>
              <w:bottom w:val="single" w:sz="4" w:space="0" w:color="auto"/>
              <w:right w:val="single" w:sz="4" w:space="0" w:color="auto"/>
            </w:tcBorders>
            <w:shd w:val="clear" w:color="auto" w:fill="auto"/>
            <w:vAlign w:val="center"/>
            <w:hideMark/>
          </w:tcPr>
          <w:p w14:paraId="0C610EAE"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1 243,5</w:t>
            </w:r>
          </w:p>
        </w:tc>
      </w:tr>
      <w:tr w:rsidR="00F00781" w:rsidRPr="00F00781" w14:paraId="1B07B96E" w14:textId="77777777" w:rsidTr="00E01BBF">
        <w:trPr>
          <w:trHeight w:val="196"/>
        </w:trPr>
        <w:tc>
          <w:tcPr>
            <w:tcW w:w="632" w:type="dxa"/>
            <w:tcBorders>
              <w:top w:val="nil"/>
              <w:left w:val="single" w:sz="4" w:space="0" w:color="auto"/>
              <w:bottom w:val="single" w:sz="4" w:space="0" w:color="auto"/>
              <w:right w:val="single" w:sz="4" w:space="0" w:color="auto"/>
            </w:tcBorders>
            <w:shd w:val="clear" w:color="auto" w:fill="auto"/>
            <w:vAlign w:val="center"/>
            <w:hideMark/>
          </w:tcPr>
          <w:p w14:paraId="0DD73ED5" w14:textId="77777777" w:rsidR="00F00781" w:rsidRPr="00F00781" w:rsidRDefault="00F00781" w:rsidP="00F00781">
            <w:pPr>
              <w:rPr>
                <w:rFonts w:ascii="Arial Narrow" w:hAnsi="Arial Narrow" w:cs="Calibri"/>
                <w:sz w:val="14"/>
                <w:szCs w:val="14"/>
              </w:rPr>
            </w:pPr>
            <w:r w:rsidRPr="00F00781">
              <w:rPr>
                <w:rFonts w:ascii="Arial Narrow" w:hAnsi="Arial Narrow" w:cs="Calibri"/>
                <w:sz w:val="14"/>
                <w:szCs w:val="14"/>
              </w:rPr>
              <w:t xml:space="preserve"> 11.1</w:t>
            </w:r>
          </w:p>
        </w:tc>
        <w:tc>
          <w:tcPr>
            <w:tcW w:w="1671" w:type="dxa"/>
            <w:tcBorders>
              <w:top w:val="nil"/>
              <w:left w:val="nil"/>
              <w:bottom w:val="single" w:sz="4" w:space="0" w:color="auto"/>
              <w:right w:val="single" w:sz="4" w:space="0" w:color="auto"/>
            </w:tcBorders>
            <w:shd w:val="clear" w:color="auto" w:fill="auto"/>
            <w:vAlign w:val="center"/>
            <w:hideMark/>
          </w:tcPr>
          <w:p w14:paraId="1592350B" w14:textId="77777777" w:rsidR="00F00781" w:rsidRPr="00F00781" w:rsidRDefault="00F00781" w:rsidP="00F00781">
            <w:pPr>
              <w:ind w:firstLineChars="100" w:firstLine="140"/>
              <w:rPr>
                <w:rFonts w:ascii="Arial Narrow" w:hAnsi="Arial Narrow" w:cs="Calibri"/>
                <w:sz w:val="14"/>
                <w:szCs w:val="14"/>
              </w:rPr>
            </w:pPr>
            <w:r w:rsidRPr="00F00781">
              <w:rPr>
                <w:rFonts w:ascii="Arial Narrow" w:hAnsi="Arial Narrow" w:cs="Calibri"/>
                <w:sz w:val="14"/>
                <w:szCs w:val="14"/>
              </w:rPr>
              <w:t>Едър рогат добитък</w:t>
            </w:r>
          </w:p>
        </w:tc>
        <w:tc>
          <w:tcPr>
            <w:tcW w:w="773" w:type="dxa"/>
            <w:tcBorders>
              <w:top w:val="nil"/>
              <w:left w:val="nil"/>
              <w:bottom w:val="single" w:sz="4" w:space="0" w:color="auto"/>
              <w:right w:val="single" w:sz="4" w:space="0" w:color="auto"/>
            </w:tcBorders>
            <w:shd w:val="clear" w:color="auto" w:fill="auto"/>
            <w:vAlign w:val="center"/>
            <w:hideMark/>
          </w:tcPr>
          <w:p w14:paraId="2509B24D"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190,8</w:t>
            </w:r>
          </w:p>
        </w:tc>
        <w:tc>
          <w:tcPr>
            <w:tcW w:w="582" w:type="dxa"/>
            <w:tcBorders>
              <w:top w:val="nil"/>
              <w:left w:val="nil"/>
              <w:bottom w:val="single" w:sz="4" w:space="0" w:color="auto"/>
              <w:right w:val="single" w:sz="4" w:space="0" w:color="auto"/>
            </w:tcBorders>
            <w:shd w:val="clear" w:color="auto" w:fill="auto"/>
            <w:vAlign w:val="center"/>
            <w:hideMark/>
          </w:tcPr>
          <w:p w14:paraId="0009FC82" w14:textId="77777777" w:rsidR="00F00781" w:rsidRPr="00F00781" w:rsidRDefault="00F00781" w:rsidP="00F00781">
            <w:pPr>
              <w:rPr>
                <w:rFonts w:ascii="Arial Narrow" w:hAnsi="Arial Narrow" w:cs="Calibri"/>
                <w:sz w:val="14"/>
                <w:szCs w:val="14"/>
              </w:rPr>
            </w:pPr>
            <w:r w:rsidRPr="00F00781">
              <w:rPr>
                <w:rFonts w:ascii="Arial Narrow" w:hAnsi="Arial Narrow" w:cs="Calibri"/>
                <w:sz w:val="14"/>
                <w:szCs w:val="14"/>
              </w:rPr>
              <w:t> </w:t>
            </w:r>
          </w:p>
        </w:tc>
        <w:tc>
          <w:tcPr>
            <w:tcW w:w="681" w:type="dxa"/>
            <w:tcBorders>
              <w:top w:val="nil"/>
              <w:left w:val="nil"/>
              <w:bottom w:val="single" w:sz="4" w:space="0" w:color="auto"/>
              <w:right w:val="single" w:sz="4" w:space="0" w:color="auto"/>
            </w:tcBorders>
            <w:shd w:val="clear" w:color="auto" w:fill="auto"/>
            <w:vAlign w:val="center"/>
            <w:hideMark/>
          </w:tcPr>
          <w:p w14:paraId="1A28B41C"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257,3</w:t>
            </w:r>
          </w:p>
        </w:tc>
        <w:tc>
          <w:tcPr>
            <w:tcW w:w="789" w:type="dxa"/>
            <w:tcBorders>
              <w:top w:val="nil"/>
              <w:left w:val="nil"/>
              <w:bottom w:val="single" w:sz="4" w:space="0" w:color="auto"/>
              <w:right w:val="single" w:sz="4" w:space="0" w:color="auto"/>
            </w:tcBorders>
            <w:shd w:val="clear" w:color="auto" w:fill="auto"/>
            <w:vAlign w:val="center"/>
            <w:hideMark/>
          </w:tcPr>
          <w:p w14:paraId="26926872" w14:textId="77777777" w:rsidR="00F00781" w:rsidRPr="00F00781" w:rsidRDefault="00F00781" w:rsidP="00F00781">
            <w:pPr>
              <w:rPr>
                <w:rFonts w:ascii="Arial Narrow" w:hAnsi="Arial Narrow" w:cs="Calibri"/>
                <w:sz w:val="14"/>
                <w:szCs w:val="14"/>
              </w:rPr>
            </w:pPr>
            <w:r w:rsidRPr="00F00781">
              <w:rPr>
                <w:rFonts w:ascii="Arial Narrow" w:hAnsi="Arial Narrow" w:cs="Calibri"/>
                <w:sz w:val="14"/>
                <w:szCs w:val="14"/>
              </w:rPr>
              <w:t> </w:t>
            </w:r>
          </w:p>
        </w:tc>
        <w:tc>
          <w:tcPr>
            <w:tcW w:w="693" w:type="dxa"/>
            <w:tcBorders>
              <w:top w:val="nil"/>
              <w:left w:val="nil"/>
              <w:bottom w:val="single" w:sz="4" w:space="0" w:color="auto"/>
              <w:right w:val="single" w:sz="4" w:space="0" w:color="auto"/>
            </w:tcBorders>
            <w:shd w:val="clear" w:color="auto" w:fill="auto"/>
            <w:vAlign w:val="center"/>
            <w:hideMark/>
          </w:tcPr>
          <w:p w14:paraId="59BDAF7A" w14:textId="77777777" w:rsidR="00F00781" w:rsidRPr="00F00781" w:rsidRDefault="00F00781" w:rsidP="00F00781">
            <w:pPr>
              <w:rPr>
                <w:rFonts w:ascii="Arial Narrow" w:hAnsi="Arial Narrow" w:cs="Calibri"/>
                <w:sz w:val="14"/>
                <w:szCs w:val="14"/>
              </w:rPr>
            </w:pPr>
            <w:r w:rsidRPr="00F00781">
              <w:rPr>
                <w:rFonts w:ascii="Arial Narrow" w:hAnsi="Arial Narrow" w:cs="Calibri"/>
                <w:sz w:val="14"/>
                <w:szCs w:val="14"/>
              </w:rPr>
              <w:t> </w:t>
            </w:r>
          </w:p>
        </w:tc>
        <w:tc>
          <w:tcPr>
            <w:tcW w:w="537" w:type="dxa"/>
            <w:tcBorders>
              <w:top w:val="nil"/>
              <w:left w:val="nil"/>
              <w:bottom w:val="single" w:sz="4" w:space="0" w:color="auto"/>
              <w:right w:val="single" w:sz="4" w:space="0" w:color="auto"/>
            </w:tcBorders>
            <w:shd w:val="clear" w:color="auto" w:fill="auto"/>
            <w:vAlign w:val="center"/>
            <w:hideMark/>
          </w:tcPr>
          <w:p w14:paraId="5D01CFAF" w14:textId="77777777" w:rsidR="00F00781" w:rsidRPr="00F00781" w:rsidRDefault="00F00781" w:rsidP="00F00781">
            <w:pPr>
              <w:rPr>
                <w:rFonts w:ascii="Arial Narrow" w:hAnsi="Arial Narrow" w:cs="Calibri"/>
                <w:sz w:val="14"/>
                <w:szCs w:val="14"/>
              </w:rPr>
            </w:pPr>
            <w:r w:rsidRPr="00F00781">
              <w:rPr>
                <w:rFonts w:ascii="Arial Narrow" w:hAnsi="Arial Narrow" w:cs="Calibri"/>
                <w:sz w:val="14"/>
                <w:szCs w:val="14"/>
              </w:rPr>
              <w:t> </w:t>
            </w:r>
          </w:p>
        </w:tc>
        <w:tc>
          <w:tcPr>
            <w:tcW w:w="1143" w:type="dxa"/>
            <w:tcBorders>
              <w:top w:val="nil"/>
              <w:left w:val="nil"/>
              <w:bottom w:val="single" w:sz="4" w:space="0" w:color="auto"/>
              <w:right w:val="single" w:sz="4" w:space="0" w:color="auto"/>
            </w:tcBorders>
            <w:shd w:val="clear" w:color="auto" w:fill="auto"/>
            <w:vAlign w:val="center"/>
            <w:hideMark/>
          </w:tcPr>
          <w:p w14:paraId="298949C9"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2,7</w:t>
            </w:r>
          </w:p>
        </w:tc>
        <w:tc>
          <w:tcPr>
            <w:tcW w:w="1200" w:type="dxa"/>
            <w:tcBorders>
              <w:top w:val="nil"/>
              <w:left w:val="nil"/>
              <w:bottom w:val="single" w:sz="4" w:space="0" w:color="auto"/>
              <w:right w:val="single" w:sz="4" w:space="0" w:color="auto"/>
            </w:tcBorders>
            <w:shd w:val="clear" w:color="auto" w:fill="auto"/>
            <w:vAlign w:val="center"/>
            <w:hideMark/>
          </w:tcPr>
          <w:p w14:paraId="12E07C5D" w14:textId="77777777" w:rsidR="00F00781" w:rsidRPr="00F00781" w:rsidRDefault="00F00781" w:rsidP="00F00781">
            <w:pPr>
              <w:rPr>
                <w:rFonts w:ascii="Arial Narrow" w:hAnsi="Arial Narrow" w:cs="Calibri"/>
                <w:sz w:val="14"/>
                <w:szCs w:val="14"/>
              </w:rPr>
            </w:pPr>
            <w:r w:rsidRPr="00F00781">
              <w:rPr>
                <w:rFonts w:ascii="Arial Narrow" w:hAnsi="Arial Narrow" w:cs="Calibri"/>
                <w:sz w:val="14"/>
                <w:szCs w:val="14"/>
              </w:rPr>
              <w:t> </w:t>
            </w:r>
          </w:p>
        </w:tc>
        <w:tc>
          <w:tcPr>
            <w:tcW w:w="721" w:type="dxa"/>
            <w:tcBorders>
              <w:top w:val="nil"/>
              <w:left w:val="nil"/>
              <w:bottom w:val="single" w:sz="4" w:space="0" w:color="auto"/>
              <w:right w:val="single" w:sz="4" w:space="0" w:color="auto"/>
            </w:tcBorders>
            <w:shd w:val="clear" w:color="auto" w:fill="auto"/>
            <w:vAlign w:val="center"/>
            <w:hideMark/>
          </w:tcPr>
          <w:p w14:paraId="490FB52E" w14:textId="77777777" w:rsidR="00F00781" w:rsidRPr="00F00781" w:rsidRDefault="00F00781" w:rsidP="00F00781">
            <w:pPr>
              <w:rPr>
                <w:rFonts w:ascii="Arial Narrow" w:hAnsi="Arial Narrow" w:cs="Calibri"/>
                <w:sz w:val="14"/>
                <w:szCs w:val="14"/>
              </w:rPr>
            </w:pPr>
            <w:r w:rsidRPr="00F00781">
              <w:rPr>
                <w:rFonts w:ascii="Arial Narrow" w:hAnsi="Arial Narrow" w:cs="Calibri"/>
                <w:sz w:val="14"/>
                <w:szCs w:val="14"/>
              </w:rPr>
              <w:t> </w:t>
            </w:r>
          </w:p>
        </w:tc>
        <w:tc>
          <w:tcPr>
            <w:tcW w:w="721" w:type="dxa"/>
            <w:tcBorders>
              <w:top w:val="nil"/>
              <w:left w:val="nil"/>
              <w:bottom w:val="single" w:sz="4" w:space="0" w:color="auto"/>
              <w:right w:val="single" w:sz="4" w:space="0" w:color="auto"/>
            </w:tcBorders>
            <w:shd w:val="clear" w:color="auto" w:fill="auto"/>
            <w:vAlign w:val="center"/>
            <w:hideMark/>
          </w:tcPr>
          <w:p w14:paraId="7AA684CB"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119,7</w:t>
            </w:r>
          </w:p>
        </w:tc>
        <w:tc>
          <w:tcPr>
            <w:tcW w:w="698" w:type="dxa"/>
            <w:tcBorders>
              <w:top w:val="nil"/>
              <w:left w:val="nil"/>
              <w:bottom w:val="single" w:sz="4" w:space="0" w:color="auto"/>
              <w:right w:val="single" w:sz="4" w:space="0" w:color="auto"/>
            </w:tcBorders>
            <w:shd w:val="clear" w:color="auto" w:fill="auto"/>
            <w:vAlign w:val="center"/>
            <w:hideMark/>
          </w:tcPr>
          <w:p w14:paraId="61414CD7" w14:textId="77777777" w:rsidR="00F00781" w:rsidRPr="00F00781" w:rsidRDefault="00F00781" w:rsidP="00F00781">
            <w:pPr>
              <w:rPr>
                <w:rFonts w:ascii="Arial Narrow" w:hAnsi="Arial Narrow" w:cs="Calibri"/>
                <w:sz w:val="14"/>
                <w:szCs w:val="14"/>
              </w:rPr>
            </w:pPr>
            <w:r w:rsidRPr="00F00781">
              <w:rPr>
                <w:rFonts w:ascii="Arial Narrow" w:hAnsi="Arial Narrow" w:cs="Calibri"/>
                <w:sz w:val="14"/>
                <w:szCs w:val="14"/>
              </w:rPr>
              <w:t> </w:t>
            </w:r>
          </w:p>
        </w:tc>
        <w:tc>
          <w:tcPr>
            <w:tcW w:w="765" w:type="dxa"/>
            <w:tcBorders>
              <w:top w:val="nil"/>
              <w:left w:val="nil"/>
              <w:bottom w:val="single" w:sz="4" w:space="0" w:color="auto"/>
              <w:right w:val="single" w:sz="4" w:space="0" w:color="auto"/>
            </w:tcBorders>
            <w:shd w:val="clear" w:color="auto" w:fill="auto"/>
            <w:vAlign w:val="center"/>
            <w:hideMark/>
          </w:tcPr>
          <w:p w14:paraId="212DBFEE"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119,7</w:t>
            </w:r>
          </w:p>
        </w:tc>
        <w:tc>
          <w:tcPr>
            <w:tcW w:w="970" w:type="dxa"/>
            <w:tcBorders>
              <w:top w:val="nil"/>
              <w:left w:val="nil"/>
              <w:bottom w:val="single" w:sz="4" w:space="0" w:color="auto"/>
              <w:right w:val="single" w:sz="4" w:space="0" w:color="auto"/>
            </w:tcBorders>
            <w:shd w:val="clear" w:color="auto" w:fill="auto"/>
            <w:vAlign w:val="center"/>
            <w:hideMark/>
          </w:tcPr>
          <w:p w14:paraId="7328CF8B"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65,8</w:t>
            </w:r>
          </w:p>
        </w:tc>
        <w:tc>
          <w:tcPr>
            <w:tcW w:w="602" w:type="dxa"/>
            <w:tcBorders>
              <w:top w:val="nil"/>
              <w:left w:val="nil"/>
              <w:bottom w:val="single" w:sz="4" w:space="0" w:color="auto"/>
              <w:right w:val="single" w:sz="4" w:space="0" w:color="auto"/>
            </w:tcBorders>
            <w:shd w:val="clear" w:color="auto" w:fill="auto"/>
            <w:vAlign w:val="center"/>
            <w:hideMark/>
          </w:tcPr>
          <w:p w14:paraId="7FAF0FA3"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259,9</w:t>
            </w:r>
          </w:p>
        </w:tc>
        <w:tc>
          <w:tcPr>
            <w:tcW w:w="697" w:type="dxa"/>
            <w:tcBorders>
              <w:top w:val="nil"/>
              <w:left w:val="nil"/>
              <w:bottom w:val="single" w:sz="4" w:space="0" w:color="auto"/>
              <w:right w:val="single" w:sz="4" w:space="0" w:color="auto"/>
            </w:tcBorders>
            <w:shd w:val="clear" w:color="auto" w:fill="auto"/>
            <w:vAlign w:val="center"/>
            <w:hideMark/>
          </w:tcPr>
          <w:p w14:paraId="79F7E210"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2,7</w:t>
            </w:r>
          </w:p>
        </w:tc>
        <w:tc>
          <w:tcPr>
            <w:tcW w:w="869" w:type="dxa"/>
            <w:tcBorders>
              <w:top w:val="nil"/>
              <w:left w:val="nil"/>
              <w:bottom w:val="single" w:sz="4" w:space="0" w:color="auto"/>
              <w:right w:val="single" w:sz="4" w:space="0" w:color="auto"/>
            </w:tcBorders>
            <w:shd w:val="clear" w:color="auto" w:fill="auto"/>
            <w:vAlign w:val="center"/>
            <w:hideMark/>
          </w:tcPr>
          <w:p w14:paraId="35A877C6"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190,8</w:t>
            </w:r>
          </w:p>
        </w:tc>
      </w:tr>
      <w:tr w:rsidR="00F00781" w:rsidRPr="00F00781" w14:paraId="2DE9D245" w14:textId="77777777" w:rsidTr="00E01BBF">
        <w:trPr>
          <w:trHeight w:val="196"/>
        </w:trPr>
        <w:tc>
          <w:tcPr>
            <w:tcW w:w="632" w:type="dxa"/>
            <w:tcBorders>
              <w:top w:val="nil"/>
              <w:left w:val="single" w:sz="4" w:space="0" w:color="auto"/>
              <w:bottom w:val="single" w:sz="4" w:space="0" w:color="auto"/>
              <w:right w:val="single" w:sz="4" w:space="0" w:color="auto"/>
            </w:tcBorders>
            <w:shd w:val="clear" w:color="auto" w:fill="auto"/>
            <w:vAlign w:val="center"/>
            <w:hideMark/>
          </w:tcPr>
          <w:p w14:paraId="126163EA" w14:textId="77777777" w:rsidR="00F00781" w:rsidRPr="00F00781" w:rsidRDefault="00F00781" w:rsidP="00F00781">
            <w:pPr>
              <w:rPr>
                <w:rFonts w:ascii="Arial Narrow" w:hAnsi="Arial Narrow" w:cs="Calibri"/>
                <w:sz w:val="14"/>
                <w:szCs w:val="14"/>
              </w:rPr>
            </w:pPr>
            <w:r w:rsidRPr="00F00781">
              <w:rPr>
                <w:rFonts w:ascii="Arial Narrow" w:hAnsi="Arial Narrow" w:cs="Calibri"/>
                <w:sz w:val="14"/>
                <w:szCs w:val="14"/>
              </w:rPr>
              <w:t xml:space="preserve"> 11.2</w:t>
            </w:r>
          </w:p>
        </w:tc>
        <w:tc>
          <w:tcPr>
            <w:tcW w:w="1671" w:type="dxa"/>
            <w:tcBorders>
              <w:top w:val="nil"/>
              <w:left w:val="nil"/>
              <w:bottom w:val="single" w:sz="4" w:space="0" w:color="auto"/>
              <w:right w:val="single" w:sz="4" w:space="0" w:color="auto"/>
            </w:tcBorders>
            <w:shd w:val="clear" w:color="auto" w:fill="auto"/>
            <w:vAlign w:val="center"/>
            <w:hideMark/>
          </w:tcPr>
          <w:p w14:paraId="3D42CF44" w14:textId="77777777" w:rsidR="00F00781" w:rsidRPr="00F00781" w:rsidRDefault="00F00781" w:rsidP="00F00781">
            <w:pPr>
              <w:ind w:firstLineChars="100" w:firstLine="140"/>
              <w:rPr>
                <w:rFonts w:ascii="Arial Narrow" w:hAnsi="Arial Narrow" w:cs="Calibri"/>
                <w:sz w:val="14"/>
                <w:szCs w:val="14"/>
              </w:rPr>
            </w:pPr>
            <w:r w:rsidRPr="00F00781">
              <w:rPr>
                <w:rFonts w:ascii="Arial Narrow" w:hAnsi="Arial Narrow" w:cs="Calibri"/>
                <w:sz w:val="14"/>
                <w:szCs w:val="14"/>
              </w:rPr>
              <w:t>Свине</w:t>
            </w:r>
          </w:p>
        </w:tc>
        <w:tc>
          <w:tcPr>
            <w:tcW w:w="773" w:type="dxa"/>
            <w:tcBorders>
              <w:top w:val="nil"/>
              <w:left w:val="nil"/>
              <w:bottom w:val="single" w:sz="4" w:space="0" w:color="auto"/>
              <w:right w:val="single" w:sz="4" w:space="0" w:color="auto"/>
            </w:tcBorders>
            <w:shd w:val="clear" w:color="auto" w:fill="auto"/>
            <w:vAlign w:val="center"/>
            <w:hideMark/>
          </w:tcPr>
          <w:p w14:paraId="47163394"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478,8</w:t>
            </w:r>
          </w:p>
        </w:tc>
        <w:tc>
          <w:tcPr>
            <w:tcW w:w="582" w:type="dxa"/>
            <w:tcBorders>
              <w:top w:val="nil"/>
              <w:left w:val="nil"/>
              <w:bottom w:val="single" w:sz="4" w:space="0" w:color="auto"/>
              <w:right w:val="single" w:sz="4" w:space="0" w:color="auto"/>
            </w:tcBorders>
            <w:shd w:val="clear" w:color="auto" w:fill="auto"/>
            <w:vAlign w:val="center"/>
            <w:hideMark/>
          </w:tcPr>
          <w:p w14:paraId="39C5805E" w14:textId="77777777" w:rsidR="00F00781" w:rsidRPr="00F00781" w:rsidRDefault="00F00781" w:rsidP="00F00781">
            <w:pPr>
              <w:rPr>
                <w:rFonts w:ascii="Arial Narrow" w:hAnsi="Arial Narrow" w:cs="Calibri"/>
                <w:sz w:val="14"/>
                <w:szCs w:val="14"/>
              </w:rPr>
            </w:pPr>
            <w:r w:rsidRPr="00F00781">
              <w:rPr>
                <w:rFonts w:ascii="Arial Narrow" w:hAnsi="Arial Narrow" w:cs="Calibri"/>
                <w:sz w:val="14"/>
                <w:szCs w:val="14"/>
              </w:rPr>
              <w:t> </w:t>
            </w:r>
          </w:p>
        </w:tc>
        <w:tc>
          <w:tcPr>
            <w:tcW w:w="681" w:type="dxa"/>
            <w:tcBorders>
              <w:top w:val="nil"/>
              <w:left w:val="nil"/>
              <w:bottom w:val="single" w:sz="4" w:space="0" w:color="auto"/>
              <w:right w:val="single" w:sz="4" w:space="0" w:color="auto"/>
            </w:tcBorders>
            <w:shd w:val="clear" w:color="auto" w:fill="auto"/>
            <w:vAlign w:val="center"/>
            <w:hideMark/>
          </w:tcPr>
          <w:p w14:paraId="68DA7A8D"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46,4</w:t>
            </w:r>
          </w:p>
        </w:tc>
        <w:tc>
          <w:tcPr>
            <w:tcW w:w="789" w:type="dxa"/>
            <w:tcBorders>
              <w:top w:val="nil"/>
              <w:left w:val="nil"/>
              <w:bottom w:val="single" w:sz="4" w:space="0" w:color="auto"/>
              <w:right w:val="single" w:sz="4" w:space="0" w:color="auto"/>
            </w:tcBorders>
            <w:shd w:val="clear" w:color="auto" w:fill="auto"/>
            <w:vAlign w:val="center"/>
            <w:hideMark/>
          </w:tcPr>
          <w:p w14:paraId="209C5C59" w14:textId="77777777" w:rsidR="00F00781" w:rsidRPr="00F00781" w:rsidRDefault="00F00781" w:rsidP="00F00781">
            <w:pPr>
              <w:rPr>
                <w:rFonts w:ascii="Arial Narrow" w:hAnsi="Arial Narrow" w:cs="Calibri"/>
                <w:sz w:val="14"/>
                <w:szCs w:val="14"/>
              </w:rPr>
            </w:pPr>
            <w:r w:rsidRPr="00F00781">
              <w:rPr>
                <w:rFonts w:ascii="Arial Narrow" w:hAnsi="Arial Narrow" w:cs="Calibri"/>
                <w:sz w:val="14"/>
                <w:szCs w:val="14"/>
              </w:rPr>
              <w:t> </w:t>
            </w:r>
          </w:p>
        </w:tc>
        <w:tc>
          <w:tcPr>
            <w:tcW w:w="693" w:type="dxa"/>
            <w:tcBorders>
              <w:top w:val="nil"/>
              <w:left w:val="nil"/>
              <w:bottom w:val="single" w:sz="4" w:space="0" w:color="auto"/>
              <w:right w:val="single" w:sz="4" w:space="0" w:color="auto"/>
            </w:tcBorders>
            <w:shd w:val="clear" w:color="auto" w:fill="auto"/>
            <w:vAlign w:val="center"/>
            <w:hideMark/>
          </w:tcPr>
          <w:p w14:paraId="298F961B" w14:textId="77777777" w:rsidR="00F00781" w:rsidRPr="00F00781" w:rsidRDefault="00F00781" w:rsidP="00F00781">
            <w:pPr>
              <w:rPr>
                <w:rFonts w:ascii="Arial Narrow" w:hAnsi="Arial Narrow" w:cs="Calibri"/>
                <w:sz w:val="14"/>
                <w:szCs w:val="14"/>
              </w:rPr>
            </w:pPr>
            <w:r w:rsidRPr="00F00781">
              <w:rPr>
                <w:rFonts w:ascii="Arial Narrow" w:hAnsi="Arial Narrow" w:cs="Calibri"/>
                <w:sz w:val="14"/>
                <w:szCs w:val="14"/>
              </w:rPr>
              <w:t> </w:t>
            </w:r>
          </w:p>
        </w:tc>
        <w:tc>
          <w:tcPr>
            <w:tcW w:w="537" w:type="dxa"/>
            <w:tcBorders>
              <w:top w:val="nil"/>
              <w:left w:val="nil"/>
              <w:bottom w:val="single" w:sz="4" w:space="0" w:color="auto"/>
              <w:right w:val="single" w:sz="4" w:space="0" w:color="auto"/>
            </w:tcBorders>
            <w:shd w:val="clear" w:color="auto" w:fill="auto"/>
            <w:vAlign w:val="center"/>
            <w:hideMark/>
          </w:tcPr>
          <w:p w14:paraId="047E4023" w14:textId="77777777" w:rsidR="00F00781" w:rsidRPr="00F00781" w:rsidRDefault="00F00781" w:rsidP="00F00781">
            <w:pPr>
              <w:rPr>
                <w:rFonts w:ascii="Arial Narrow" w:hAnsi="Arial Narrow" w:cs="Calibri"/>
                <w:sz w:val="14"/>
                <w:szCs w:val="14"/>
              </w:rPr>
            </w:pPr>
            <w:r w:rsidRPr="00F00781">
              <w:rPr>
                <w:rFonts w:ascii="Arial Narrow" w:hAnsi="Arial Narrow" w:cs="Calibri"/>
                <w:sz w:val="14"/>
                <w:szCs w:val="14"/>
              </w:rPr>
              <w:t> </w:t>
            </w:r>
          </w:p>
        </w:tc>
        <w:tc>
          <w:tcPr>
            <w:tcW w:w="1143" w:type="dxa"/>
            <w:tcBorders>
              <w:top w:val="nil"/>
              <w:left w:val="nil"/>
              <w:bottom w:val="single" w:sz="4" w:space="0" w:color="auto"/>
              <w:right w:val="single" w:sz="4" w:space="0" w:color="auto"/>
            </w:tcBorders>
            <w:shd w:val="clear" w:color="auto" w:fill="auto"/>
            <w:vAlign w:val="center"/>
            <w:hideMark/>
          </w:tcPr>
          <w:p w14:paraId="7A6F2646"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19,6</w:t>
            </w:r>
          </w:p>
        </w:tc>
        <w:tc>
          <w:tcPr>
            <w:tcW w:w="1200" w:type="dxa"/>
            <w:tcBorders>
              <w:top w:val="nil"/>
              <w:left w:val="nil"/>
              <w:bottom w:val="single" w:sz="4" w:space="0" w:color="auto"/>
              <w:right w:val="single" w:sz="4" w:space="0" w:color="auto"/>
            </w:tcBorders>
            <w:shd w:val="clear" w:color="auto" w:fill="auto"/>
            <w:vAlign w:val="center"/>
            <w:hideMark/>
          </w:tcPr>
          <w:p w14:paraId="151C480A" w14:textId="77777777" w:rsidR="00F00781" w:rsidRPr="00F00781" w:rsidRDefault="00F00781" w:rsidP="00F00781">
            <w:pPr>
              <w:rPr>
                <w:rFonts w:ascii="Arial Narrow" w:hAnsi="Arial Narrow" w:cs="Calibri"/>
                <w:sz w:val="14"/>
                <w:szCs w:val="14"/>
              </w:rPr>
            </w:pPr>
            <w:r w:rsidRPr="00F00781">
              <w:rPr>
                <w:rFonts w:ascii="Arial Narrow" w:hAnsi="Arial Narrow" w:cs="Calibri"/>
                <w:sz w:val="14"/>
                <w:szCs w:val="14"/>
              </w:rPr>
              <w:t> </w:t>
            </w:r>
          </w:p>
        </w:tc>
        <w:tc>
          <w:tcPr>
            <w:tcW w:w="721" w:type="dxa"/>
            <w:tcBorders>
              <w:top w:val="nil"/>
              <w:left w:val="nil"/>
              <w:bottom w:val="single" w:sz="4" w:space="0" w:color="auto"/>
              <w:right w:val="single" w:sz="4" w:space="0" w:color="auto"/>
            </w:tcBorders>
            <w:shd w:val="clear" w:color="auto" w:fill="auto"/>
            <w:vAlign w:val="center"/>
            <w:hideMark/>
          </w:tcPr>
          <w:p w14:paraId="79045DCE" w14:textId="77777777" w:rsidR="00F00781" w:rsidRPr="00F00781" w:rsidRDefault="00F00781" w:rsidP="00F00781">
            <w:pPr>
              <w:rPr>
                <w:rFonts w:ascii="Arial Narrow" w:hAnsi="Arial Narrow" w:cs="Calibri"/>
                <w:sz w:val="14"/>
                <w:szCs w:val="14"/>
              </w:rPr>
            </w:pPr>
            <w:r w:rsidRPr="00F00781">
              <w:rPr>
                <w:rFonts w:ascii="Arial Narrow" w:hAnsi="Arial Narrow" w:cs="Calibri"/>
                <w:sz w:val="14"/>
                <w:szCs w:val="14"/>
              </w:rPr>
              <w:t> </w:t>
            </w:r>
          </w:p>
        </w:tc>
        <w:tc>
          <w:tcPr>
            <w:tcW w:w="721" w:type="dxa"/>
            <w:tcBorders>
              <w:top w:val="nil"/>
              <w:left w:val="nil"/>
              <w:bottom w:val="single" w:sz="4" w:space="0" w:color="auto"/>
              <w:right w:val="single" w:sz="4" w:space="0" w:color="auto"/>
            </w:tcBorders>
            <w:shd w:val="clear" w:color="auto" w:fill="auto"/>
            <w:vAlign w:val="center"/>
            <w:hideMark/>
          </w:tcPr>
          <w:p w14:paraId="378F8E30"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412,1</w:t>
            </w:r>
          </w:p>
        </w:tc>
        <w:tc>
          <w:tcPr>
            <w:tcW w:w="698" w:type="dxa"/>
            <w:tcBorders>
              <w:top w:val="nil"/>
              <w:left w:val="nil"/>
              <w:bottom w:val="single" w:sz="4" w:space="0" w:color="auto"/>
              <w:right w:val="single" w:sz="4" w:space="0" w:color="auto"/>
            </w:tcBorders>
            <w:shd w:val="clear" w:color="auto" w:fill="auto"/>
            <w:vAlign w:val="center"/>
            <w:hideMark/>
          </w:tcPr>
          <w:p w14:paraId="194EA613"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38,2</w:t>
            </w:r>
          </w:p>
        </w:tc>
        <w:tc>
          <w:tcPr>
            <w:tcW w:w="765" w:type="dxa"/>
            <w:tcBorders>
              <w:top w:val="nil"/>
              <w:left w:val="nil"/>
              <w:bottom w:val="single" w:sz="4" w:space="0" w:color="auto"/>
              <w:right w:val="single" w:sz="4" w:space="0" w:color="auto"/>
            </w:tcBorders>
            <w:shd w:val="clear" w:color="auto" w:fill="auto"/>
            <w:vAlign w:val="center"/>
            <w:hideMark/>
          </w:tcPr>
          <w:p w14:paraId="7945EA2F"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450,3</w:t>
            </w:r>
          </w:p>
        </w:tc>
        <w:tc>
          <w:tcPr>
            <w:tcW w:w="970" w:type="dxa"/>
            <w:tcBorders>
              <w:top w:val="nil"/>
              <w:left w:val="nil"/>
              <w:bottom w:val="single" w:sz="4" w:space="0" w:color="auto"/>
              <w:right w:val="single" w:sz="4" w:space="0" w:color="auto"/>
            </w:tcBorders>
            <w:shd w:val="clear" w:color="auto" w:fill="auto"/>
            <w:vAlign w:val="center"/>
            <w:hideMark/>
          </w:tcPr>
          <w:p w14:paraId="0A3611A0"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5,1</w:t>
            </w:r>
          </w:p>
        </w:tc>
        <w:tc>
          <w:tcPr>
            <w:tcW w:w="602" w:type="dxa"/>
            <w:tcBorders>
              <w:top w:val="nil"/>
              <w:left w:val="nil"/>
              <w:bottom w:val="single" w:sz="4" w:space="0" w:color="auto"/>
              <w:right w:val="single" w:sz="4" w:space="0" w:color="auto"/>
            </w:tcBorders>
            <w:shd w:val="clear" w:color="auto" w:fill="auto"/>
            <w:vAlign w:val="center"/>
            <w:hideMark/>
          </w:tcPr>
          <w:p w14:paraId="574EE70A"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50,2</w:t>
            </w:r>
          </w:p>
        </w:tc>
        <w:tc>
          <w:tcPr>
            <w:tcW w:w="697" w:type="dxa"/>
            <w:tcBorders>
              <w:top w:val="nil"/>
              <w:left w:val="nil"/>
              <w:bottom w:val="single" w:sz="4" w:space="0" w:color="auto"/>
              <w:right w:val="single" w:sz="4" w:space="0" w:color="auto"/>
            </w:tcBorders>
            <w:shd w:val="clear" w:color="auto" w:fill="auto"/>
            <w:vAlign w:val="center"/>
            <w:hideMark/>
          </w:tcPr>
          <w:p w14:paraId="09024227"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3,8</w:t>
            </w:r>
          </w:p>
        </w:tc>
        <w:tc>
          <w:tcPr>
            <w:tcW w:w="869" w:type="dxa"/>
            <w:tcBorders>
              <w:top w:val="nil"/>
              <w:left w:val="nil"/>
              <w:bottom w:val="single" w:sz="4" w:space="0" w:color="auto"/>
              <w:right w:val="single" w:sz="4" w:space="0" w:color="auto"/>
            </w:tcBorders>
            <w:shd w:val="clear" w:color="auto" w:fill="auto"/>
            <w:vAlign w:val="center"/>
            <w:hideMark/>
          </w:tcPr>
          <w:p w14:paraId="36B08BA4"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478,8</w:t>
            </w:r>
          </w:p>
        </w:tc>
      </w:tr>
      <w:tr w:rsidR="00F00781" w:rsidRPr="00F00781" w14:paraId="5E741369" w14:textId="77777777" w:rsidTr="00E01BBF">
        <w:trPr>
          <w:trHeight w:val="196"/>
        </w:trPr>
        <w:tc>
          <w:tcPr>
            <w:tcW w:w="632" w:type="dxa"/>
            <w:tcBorders>
              <w:top w:val="nil"/>
              <w:left w:val="single" w:sz="4" w:space="0" w:color="auto"/>
              <w:bottom w:val="single" w:sz="4" w:space="0" w:color="auto"/>
              <w:right w:val="single" w:sz="4" w:space="0" w:color="auto"/>
            </w:tcBorders>
            <w:shd w:val="clear" w:color="auto" w:fill="auto"/>
            <w:vAlign w:val="center"/>
            <w:hideMark/>
          </w:tcPr>
          <w:p w14:paraId="7E3463AD" w14:textId="77777777" w:rsidR="00F00781" w:rsidRPr="00F00781" w:rsidRDefault="00F00781" w:rsidP="00F00781">
            <w:pPr>
              <w:rPr>
                <w:rFonts w:ascii="Arial Narrow" w:hAnsi="Arial Narrow" w:cs="Calibri"/>
                <w:sz w:val="14"/>
                <w:szCs w:val="14"/>
              </w:rPr>
            </w:pPr>
            <w:r w:rsidRPr="00F00781">
              <w:rPr>
                <w:rFonts w:ascii="Arial Narrow" w:hAnsi="Arial Narrow" w:cs="Calibri"/>
                <w:sz w:val="14"/>
                <w:szCs w:val="14"/>
              </w:rPr>
              <w:t xml:space="preserve"> 11.3</w:t>
            </w:r>
          </w:p>
        </w:tc>
        <w:tc>
          <w:tcPr>
            <w:tcW w:w="1671" w:type="dxa"/>
            <w:tcBorders>
              <w:top w:val="nil"/>
              <w:left w:val="nil"/>
              <w:bottom w:val="single" w:sz="4" w:space="0" w:color="auto"/>
              <w:right w:val="single" w:sz="4" w:space="0" w:color="auto"/>
            </w:tcBorders>
            <w:shd w:val="clear" w:color="auto" w:fill="auto"/>
            <w:vAlign w:val="center"/>
            <w:hideMark/>
          </w:tcPr>
          <w:p w14:paraId="3AE0D00B" w14:textId="77777777" w:rsidR="00F00781" w:rsidRPr="00F00781" w:rsidRDefault="00F00781" w:rsidP="00F00781">
            <w:pPr>
              <w:ind w:firstLineChars="100" w:firstLine="140"/>
              <w:rPr>
                <w:rFonts w:ascii="Arial Narrow" w:hAnsi="Arial Narrow" w:cs="Calibri"/>
                <w:sz w:val="14"/>
                <w:szCs w:val="14"/>
              </w:rPr>
            </w:pPr>
            <w:r w:rsidRPr="00F00781">
              <w:rPr>
                <w:rFonts w:ascii="Arial Narrow" w:hAnsi="Arial Narrow" w:cs="Calibri"/>
                <w:sz w:val="14"/>
                <w:szCs w:val="14"/>
              </w:rPr>
              <w:t>Коне</w:t>
            </w:r>
          </w:p>
        </w:tc>
        <w:tc>
          <w:tcPr>
            <w:tcW w:w="773" w:type="dxa"/>
            <w:tcBorders>
              <w:top w:val="nil"/>
              <w:left w:val="nil"/>
              <w:bottom w:val="single" w:sz="4" w:space="0" w:color="auto"/>
              <w:right w:val="single" w:sz="4" w:space="0" w:color="auto"/>
            </w:tcBorders>
            <w:shd w:val="clear" w:color="auto" w:fill="auto"/>
            <w:vAlign w:val="center"/>
            <w:hideMark/>
          </w:tcPr>
          <w:p w14:paraId="5D9A1AEC" w14:textId="77777777" w:rsidR="00F00781" w:rsidRPr="00F00781" w:rsidRDefault="00F00781" w:rsidP="00F00781">
            <w:pPr>
              <w:rPr>
                <w:rFonts w:ascii="Arial Narrow" w:hAnsi="Arial Narrow" w:cs="Calibri"/>
                <w:sz w:val="14"/>
                <w:szCs w:val="14"/>
              </w:rPr>
            </w:pPr>
            <w:r w:rsidRPr="00F00781">
              <w:rPr>
                <w:rFonts w:ascii="Arial Narrow" w:hAnsi="Arial Narrow" w:cs="Calibri"/>
                <w:sz w:val="14"/>
                <w:szCs w:val="14"/>
              </w:rPr>
              <w:t> </w:t>
            </w:r>
          </w:p>
        </w:tc>
        <w:tc>
          <w:tcPr>
            <w:tcW w:w="582" w:type="dxa"/>
            <w:tcBorders>
              <w:top w:val="nil"/>
              <w:left w:val="nil"/>
              <w:bottom w:val="single" w:sz="4" w:space="0" w:color="auto"/>
              <w:right w:val="single" w:sz="4" w:space="0" w:color="auto"/>
            </w:tcBorders>
            <w:shd w:val="clear" w:color="auto" w:fill="auto"/>
            <w:vAlign w:val="center"/>
            <w:hideMark/>
          </w:tcPr>
          <w:p w14:paraId="7C07C345" w14:textId="77777777" w:rsidR="00F00781" w:rsidRPr="00F00781" w:rsidRDefault="00F00781" w:rsidP="00F00781">
            <w:pPr>
              <w:rPr>
                <w:rFonts w:ascii="Arial Narrow" w:hAnsi="Arial Narrow" w:cs="Calibri"/>
                <w:sz w:val="14"/>
                <w:szCs w:val="14"/>
              </w:rPr>
            </w:pPr>
            <w:r w:rsidRPr="00F00781">
              <w:rPr>
                <w:rFonts w:ascii="Arial Narrow" w:hAnsi="Arial Narrow" w:cs="Calibri"/>
                <w:sz w:val="14"/>
                <w:szCs w:val="14"/>
              </w:rPr>
              <w:t> </w:t>
            </w:r>
          </w:p>
        </w:tc>
        <w:tc>
          <w:tcPr>
            <w:tcW w:w="681" w:type="dxa"/>
            <w:tcBorders>
              <w:top w:val="nil"/>
              <w:left w:val="nil"/>
              <w:bottom w:val="single" w:sz="4" w:space="0" w:color="auto"/>
              <w:right w:val="single" w:sz="4" w:space="0" w:color="auto"/>
            </w:tcBorders>
            <w:shd w:val="clear" w:color="auto" w:fill="auto"/>
            <w:vAlign w:val="center"/>
            <w:hideMark/>
          </w:tcPr>
          <w:p w14:paraId="50DB31B7" w14:textId="77777777" w:rsidR="00F00781" w:rsidRPr="00F00781" w:rsidRDefault="00F00781" w:rsidP="00F00781">
            <w:pPr>
              <w:rPr>
                <w:rFonts w:ascii="Arial Narrow" w:hAnsi="Arial Narrow" w:cs="Calibri"/>
                <w:sz w:val="14"/>
                <w:szCs w:val="14"/>
              </w:rPr>
            </w:pPr>
            <w:r w:rsidRPr="00F00781">
              <w:rPr>
                <w:rFonts w:ascii="Arial Narrow" w:hAnsi="Arial Narrow" w:cs="Calibri"/>
                <w:sz w:val="14"/>
                <w:szCs w:val="14"/>
              </w:rPr>
              <w:t> </w:t>
            </w:r>
          </w:p>
        </w:tc>
        <w:tc>
          <w:tcPr>
            <w:tcW w:w="789" w:type="dxa"/>
            <w:tcBorders>
              <w:top w:val="nil"/>
              <w:left w:val="nil"/>
              <w:bottom w:val="single" w:sz="4" w:space="0" w:color="auto"/>
              <w:right w:val="single" w:sz="4" w:space="0" w:color="auto"/>
            </w:tcBorders>
            <w:shd w:val="clear" w:color="auto" w:fill="auto"/>
            <w:vAlign w:val="center"/>
            <w:hideMark/>
          </w:tcPr>
          <w:p w14:paraId="040F18DE" w14:textId="77777777" w:rsidR="00F00781" w:rsidRPr="00F00781" w:rsidRDefault="00F00781" w:rsidP="00F00781">
            <w:pPr>
              <w:rPr>
                <w:rFonts w:ascii="Arial Narrow" w:hAnsi="Arial Narrow" w:cs="Calibri"/>
                <w:sz w:val="14"/>
                <w:szCs w:val="14"/>
              </w:rPr>
            </w:pPr>
            <w:r w:rsidRPr="00F00781">
              <w:rPr>
                <w:rFonts w:ascii="Arial Narrow" w:hAnsi="Arial Narrow" w:cs="Calibri"/>
                <w:sz w:val="14"/>
                <w:szCs w:val="14"/>
              </w:rPr>
              <w:t> </w:t>
            </w:r>
          </w:p>
        </w:tc>
        <w:tc>
          <w:tcPr>
            <w:tcW w:w="693" w:type="dxa"/>
            <w:tcBorders>
              <w:top w:val="nil"/>
              <w:left w:val="nil"/>
              <w:bottom w:val="single" w:sz="4" w:space="0" w:color="auto"/>
              <w:right w:val="single" w:sz="4" w:space="0" w:color="auto"/>
            </w:tcBorders>
            <w:shd w:val="clear" w:color="auto" w:fill="auto"/>
            <w:vAlign w:val="center"/>
            <w:hideMark/>
          </w:tcPr>
          <w:p w14:paraId="5239B8E4" w14:textId="77777777" w:rsidR="00F00781" w:rsidRPr="00F00781" w:rsidRDefault="00F00781" w:rsidP="00F00781">
            <w:pPr>
              <w:rPr>
                <w:rFonts w:ascii="Arial Narrow" w:hAnsi="Arial Narrow" w:cs="Calibri"/>
                <w:sz w:val="14"/>
                <w:szCs w:val="14"/>
              </w:rPr>
            </w:pPr>
            <w:r w:rsidRPr="00F00781">
              <w:rPr>
                <w:rFonts w:ascii="Arial Narrow" w:hAnsi="Arial Narrow" w:cs="Calibri"/>
                <w:sz w:val="14"/>
                <w:szCs w:val="14"/>
              </w:rPr>
              <w:t> </w:t>
            </w:r>
          </w:p>
        </w:tc>
        <w:tc>
          <w:tcPr>
            <w:tcW w:w="537" w:type="dxa"/>
            <w:tcBorders>
              <w:top w:val="nil"/>
              <w:left w:val="nil"/>
              <w:bottom w:val="single" w:sz="4" w:space="0" w:color="auto"/>
              <w:right w:val="single" w:sz="4" w:space="0" w:color="auto"/>
            </w:tcBorders>
            <w:shd w:val="clear" w:color="auto" w:fill="auto"/>
            <w:vAlign w:val="center"/>
            <w:hideMark/>
          </w:tcPr>
          <w:p w14:paraId="0B76DE2B" w14:textId="77777777" w:rsidR="00F00781" w:rsidRPr="00F00781" w:rsidRDefault="00F00781" w:rsidP="00F00781">
            <w:pPr>
              <w:rPr>
                <w:rFonts w:ascii="Arial Narrow" w:hAnsi="Arial Narrow" w:cs="Calibri"/>
                <w:sz w:val="14"/>
                <w:szCs w:val="14"/>
              </w:rPr>
            </w:pPr>
            <w:r w:rsidRPr="00F00781">
              <w:rPr>
                <w:rFonts w:ascii="Arial Narrow" w:hAnsi="Arial Narrow" w:cs="Calibri"/>
                <w:sz w:val="14"/>
                <w:szCs w:val="14"/>
              </w:rPr>
              <w:t> </w:t>
            </w:r>
          </w:p>
        </w:tc>
        <w:tc>
          <w:tcPr>
            <w:tcW w:w="1143" w:type="dxa"/>
            <w:tcBorders>
              <w:top w:val="nil"/>
              <w:left w:val="nil"/>
              <w:bottom w:val="single" w:sz="4" w:space="0" w:color="auto"/>
              <w:right w:val="single" w:sz="4" w:space="0" w:color="auto"/>
            </w:tcBorders>
            <w:shd w:val="clear" w:color="auto" w:fill="auto"/>
            <w:vAlign w:val="center"/>
            <w:hideMark/>
          </w:tcPr>
          <w:p w14:paraId="6A35DB34" w14:textId="77777777" w:rsidR="00F00781" w:rsidRPr="00F00781" w:rsidRDefault="00F00781" w:rsidP="00F00781">
            <w:pPr>
              <w:rPr>
                <w:rFonts w:ascii="Arial Narrow" w:hAnsi="Arial Narrow" w:cs="Calibri"/>
                <w:sz w:val="14"/>
                <w:szCs w:val="14"/>
              </w:rPr>
            </w:pPr>
            <w:r w:rsidRPr="00F00781">
              <w:rPr>
                <w:rFonts w:ascii="Arial Narrow" w:hAnsi="Arial Narrow" w:cs="Calibri"/>
                <w:sz w:val="14"/>
                <w:szCs w:val="14"/>
              </w:rPr>
              <w:t> </w:t>
            </w:r>
          </w:p>
        </w:tc>
        <w:tc>
          <w:tcPr>
            <w:tcW w:w="1200" w:type="dxa"/>
            <w:tcBorders>
              <w:top w:val="nil"/>
              <w:left w:val="nil"/>
              <w:bottom w:val="single" w:sz="4" w:space="0" w:color="auto"/>
              <w:right w:val="single" w:sz="4" w:space="0" w:color="auto"/>
            </w:tcBorders>
            <w:shd w:val="clear" w:color="auto" w:fill="auto"/>
            <w:vAlign w:val="center"/>
            <w:hideMark/>
          </w:tcPr>
          <w:p w14:paraId="2F2753F3" w14:textId="77777777" w:rsidR="00F00781" w:rsidRPr="00F00781" w:rsidRDefault="00F00781" w:rsidP="00F00781">
            <w:pPr>
              <w:rPr>
                <w:rFonts w:ascii="Arial Narrow" w:hAnsi="Arial Narrow" w:cs="Calibri"/>
                <w:sz w:val="14"/>
                <w:szCs w:val="14"/>
              </w:rPr>
            </w:pPr>
            <w:r w:rsidRPr="00F00781">
              <w:rPr>
                <w:rFonts w:ascii="Arial Narrow" w:hAnsi="Arial Narrow" w:cs="Calibri"/>
                <w:sz w:val="14"/>
                <w:szCs w:val="14"/>
              </w:rPr>
              <w:t> </w:t>
            </w:r>
          </w:p>
        </w:tc>
        <w:tc>
          <w:tcPr>
            <w:tcW w:w="721" w:type="dxa"/>
            <w:tcBorders>
              <w:top w:val="nil"/>
              <w:left w:val="nil"/>
              <w:bottom w:val="single" w:sz="4" w:space="0" w:color="auto"/>
              <w:right w:val="single" w:sz="4" w:space="0" w:color="auto"/>
            </w:tcBorders>
            <w:shd w:val="clear" w:color="auto" w:fill="auto"/>
            <w:vAlign w:val="center"/>
            <w:hideMark/>
          </w:tcPr>
          <w:p w14:paraId="12CC6700" w14:textId="77777777" w:rsidR="00F00781" w:rsidRPr="00F00781" w:rsidRDefault="00F00781" w:rsidP="00F00781">
            <w:pPr>
              <w:rPr>
                <w:rFonts w:ascii="Arial Narrow" w:hAnsi="Arial Narrow" w:cs="Calibri"/>
                <w:sz w:val="14"/>
                <w:szCs w:val="14"/>
              </w:rPr>
            </w:pPr>
            <w:r w:rsidRPr="00F00781">
              <w:rPr>
                <w:rFonts w:ascii="Arial Narrow" w:hAnsi="Arial Narrow" w:cs="Calibri"/>
                <w:sz w:val="14"/>
                <w:szCs w:val="14"/>
              </w:rPr>
              <w:t> </w:t>
            </w:r>
          </w:p>
        </w:tc>
        <w:tc>
          <w:tcPr>
            <w:tcW w:w="721" w:type="dxa"/>
            <w:tcBorders>
              <w:top w:val="nil"/>
              <w:left w:val="nil"/>
              <w:bottom w:val="single" w:sz="4" w:space="0" w:color="auto"/>
              <w:right w:val="single" w:sz="4" w:space="0" w:color="auto"/>
            </w:tcBorders>
            <w:shd w:val="clear" w:color="auto" w:fill="auto"/>
            <w:vAlign w:val="center"/>
            <w:hideMark/>
          </w:tcPr>
          <w:p w14:paraId="469816AF" w14:textId="77777777" w:rsidR="00F00781" w:rsidRPr="00F00781" w:rsidRDefault="00F00781" w:rsidP="00F00781">
            <w:pPr>
              <w:rPr>
                <w:rFonts w:ascii="Arial Narrow" w:hAnsi="Arial Narrow" w:cs="Calibri"/>
                <w:sz w:val="14"/>
                <w:szCs w:val="14"/>
              </w:rPr>
            </w:pPr>
            <w:r w:rsidRPr="00F00781">
              <w:rPr>
                <w:rFonts w:ascii="Arial Narrow" w:hAnsi="Arial Narrow" w:cs="Calibri"/>
                <w:sz w:val="14"/>
                <w:szCs w:val="14"/>
              </w:rPr>
              <w:t> </w:t>
            </w:r>
          </w:p>
        </w:tc>
        <w:tc>
          <w:tcPr>
            <w:tcW w:w="698" w:type="dxa"/>
            <w:tcBorders>
              <w:top w:val="nil"/>
              <w:left w:val="nil"/>
              <w:bottom w:val="single" w:sz="4" w:space="0" w:color="auto"/>
              <w:right w:val="single" w:sz="4" w:space="0" w:color="auto"/>
            </w:tcBorders>
            <w:shd w:val="clear" w:color="auto" w:fill="auto"/>
            <w:vAlign w:val="center"/>
            <w:hideMark/>
          </w:tcPr>
          <w:p w14:paraId="53AB0D71" w14:textId="77777777" w:rsidR="00F00781" w:rsidRPr="00F00781" w:rsidRDefault="00F00781" w:rsidP="00F00781">
            <w:pPr>
              <w:rPr>
                <w:rFonts w:ascii="Arial Narrow" w:hAnsi="Arial Narrow" w:cs="Calibri"/>
                <w:sz w:val="14"/>
                <w:szCs w:val="14"/>
              </w:rPr>
            </w:pPr>
            <w:r w:rsidRPr="00F00781">
              <w:rPr>
                <w:rFonts w:ascii="Arial Narrow" w:hAnsi="Arial Narrow" w:cs="Calibri"/>
                <w:sz w:val="14"/>
                <w:szCs w:val="14"/>
              </w:rPr>
              <w:t> </w:t>
            </w:r>
          </w:p>
        </w:tc>
        <w:tc>
          <w:tcPr>
            <w:tcW w:w="765" w:type="dxa"/>
            <w:tcBorders>
              <w:top w:val="nil"/>
              <w:left w:val="nil"/>
              <w:bottom w:val="single" w:sz="4" w:space="0" w:color="auto"/>
              <w:right w:val="single" w:sz="4" w:space="0" w:color="auto"/>
            </w:tcBorders>
            <w:shd w:val="clear" w:color="auto" w:fill="auto"/>
            <w:vAlign w:val="center"/>
            <w:hideMark/>
          </w:tcPr>
          <w:p w14:paraId="642F8808" w14:textId="77777777" w:rsidR="00F00781" w:rsidRPr="00F00781" w:rsidRDefault="00F00781" w:rsidP="00F00781">
            <w:pPr>
              <w:rPr>
                <w:rFonts w:ascii="Arial Narrow" w:hAnsi="Arial Narrow" w:cs="Calibri"/>
                <w:sz w:val="14"/>
                <w:szCs w:val="14"/>
              </w:rPr>
            </w:pPr>
            <w:r w:rsidRPr="00F00781">
              <w:rPr>
                <w:rFonts w:ascii="Arial Narrow" w:hAnsi="Arial Narrow" w:cs="Calibri"/>
                <w:sz w:val="14"/>
                <w:szCs w:val="14"/>
              </w:rPr>
              <w:t> </w:t>
            </w:r>
          </w:p>
        </w:tc>
        <w:tc>
          <w:tcPr>
            <w:tcW w:w="970" w:type="dxa"/>
            <w:tcBorders>
              <w:top w:val="nil"/>
              <w:left w:val="nil"/>
              <w:bottom w:val="single" w:sz="4" w:space="0" w:color="auto"/>
              <w:right w:val="single" w:sz="4" w:space="0" w:color="auto"/>
            </w:tcBorders>
            <w:shd w:val="clear" w:color="auto" w:fill="auto"/>
            <w:vAlign w:val="center"/>
            <w:hideMark/>
          </w:tcPr>
          <w:p w14:paraId="0E828EE6" w14:textId="77777777" w:rsidR="00F00781" w:rsidRPr="00F00781" w:rsidRDefault="00F00781" w:rsidP="00F00781">
            <w:pPr>
              <w:rPr>
                <w:rFonts w:ascii="Arial Narrow" w:hAnsi="Arial Narrow" w:cs="Calibri"/>
                <w:sz w:val="14"/>
                <w:szCs w:val="14"/>
              </w:rPr>
            </w:pPr>
            <w:r w:rsidRPr="00F00781">
              <w:rPr>
                <w:rFonts w:ascii="Arial Narrow" w:hAnsi="Arial Narrow" w:cs="Calibri"/>
                <w:sz w:val="14"/>
                <w:szCs w:val="14"/>
              </w:rPr>
              <w:t> </w:t>
            </w:r>
          </w:p>
        </w:tc>
        <w:tc>
          <w:tcPr>
            <w:tcW w:w="602" w:type="dxa"/>
            <w:tcBorders>
              <w:top w:val="nil"/>
              <w:left w:val="nil"/>
              <w:bottom w:val="single" w:sz="4" w:space="0" w:color="auto"/>
              <w:right w:val="single" w:sz="4" w:space="0" w:color="auto"/>
            </w:tcBorders>
            <w:shd w:val="clear" w:color="auto" w:fill="auto"/>
            <w:vAlign w:val="center"/>
            <w:hideMark/>
          </w:tcPr>
          <w:p w14:paraId="41B0C7ED" w14:textId="77777777" w:rsidR="00F00781" w:rsidRPr="00F00781" w:rsidRDefault="00F00781" w:rsidP="00F00781">
            <w:pPr>
              <w:rPr>
                <w:rFonts w:ascii="Arial Narrow" w:hAnsi="Arial Narrow" w:cs="Calibri"/>
                <w:sz w:val="14"/>
                <w:szCs w:val="14"/>
              </w:rPr>
            </w:pPr>
            <w:r w:rsidRPr="00F00781">
              <w:rPr>
                <w:rFonts w:ascii="Arial Narrow" w:hAnsi="Arial Narrow" w:cs="Calibri"/>
                <w:sz w:val="14"/>
                <w:szCs w:val="14"/>
              </w:rPr>
              <w:t> </w:t>
            </w:r>
          </w:p>
        </w:tc>
        <w:tc>
          <w:tcPr>
            <w:tcW w:w="697" w:type="dxa"/>
            <w:tcBorders>
              <w:top w:val="nil"/>
              <w:left w:val="nil"/>
              <w:bottom w:val="single" w:sz="4" w:space="0" w:color="auto"/>
              <w:right w:val="single" w:sz="4" w:space="0" w:color="auto"/>
            </w:tcBorders>
            <w:shd w:val="clear" w:color="auto" w:fill="auto"/>
            <w:vAlign w:val="center"/>
            <w:hideMark/>
          </w:tcPr>
          <w:p w14:paraId="35F295AE" w14:textId="77777777" w:rsidR="00F00781" w:rsidRPr="00F00781" w:rsidRDefault="00F00781" w:rsidP="00F00781">
            <w:pPr>
              <w:rPr>
                <w:rFonts w:ascii="Arial Narrow" w:hAnsi="Arial Narrow" w:cs="Calibri"/>
                <w:sz w:val="14"/>
                <w:szCs w:val="14"/>
              </w:rPr>
            </w:pPr>
            <w:r w:rsidRPr="00F00781">
              <w:rPr>
                <w:rFonts w:ascii="Arial Narrow" w:hAnsi="Arial Narrow" w:cs="Calibri"/>
                <w:sz w:val="14"/>
                <w:szCs w:val="14"/>
              </w:rPr>
              <w:t> </w:t>
            </w:r>
          </w:p>
        </w:tc>
        <w:tc>
          <w:tcPr>
            <w:tcW w:w="869" w:type="dxa"/>
            <w:tcBorders>
              <w:top w:val="nil"/>
              <w:left w:val="nil"/>
              <w:bottom w:val="single" w:sz="4" w:space="0" w:color="auto"/>
              <w:right w:val="single" w:sz="4" w:space="0" w:color="auto"/>
            </w:tcBorders>
            <w:shd w:val="clear" w:color="auto" w:fill="auto"/>
            <w:vAlign w:val="center"/>
            <w:hideMark/>
          </w:tcPr>
          <w:p w14:paraId="36651219" w14:textId="77777777" w:rsidR="00F00781" w:rsidRPr="00F00781" w:rsidRDefault="00F00781" w:rsidP="00F00781">
            <w:pPr>
              <w:rPr>
                <w:rFonts w:ascii="Arial Narrow" w:hAnsi="Arial Narrow" w:cs="Calibri"/>
                <w:sz w:val="14"/>
                <w:szCs w:val="14"/>
              </w:rPr>
            </w:pPr>
            <w:r w:rsidRPr="00F00781">
              <w:rPr>
                <w:rFonts w:ascii="Arial Narrow" w:hAnsi="Arial Narrow" w:cs="Calibri"/>
                <w:sz w:val="14"/>
                <w:szCs w:val="14"/>
              </w:rPr>
              <w:t> </w:t>
            </w:r>
          </w:p>
        </w:tc>
      </w:tr>
      <w:tr w:rsidR="00F00781" w:rsidRPr="00F00781" w14:paraId="124BC23B" w14:textId="77777777" w:rsidTr="00E01BBF">
        <w:trPr>
          <w:trHeight w:val="196"/>
        </w:trPr>
        <w:tc>
          <w:tcPr>
            <w:tcW w:w="632" w:type="dxa"/>
            <w:tcBorders>
              <w:top w:val="nil"/>
              <w:left w:val="single" w:sz="4" w:space="0" w:color="auto"/>
              <w:bottom w:val="single" w:sz="4" w:space="0" w:color="auto"/>
              <w:right w:val="single" w:sz="4" w:space="0" w:color="auto"/>
            </w:tcBorders>
            <w:shd w:val="clear" w:color="auto" w:fill="auto"/>
            <w:vAlign w:val="center"/>
            <w:hideMark/>
          </w:tcPr>
          <w:p w14:paraId="2619842E" w14:textId="77777777" w:rsidR="00F00781" w:rsidRPr="00F00781" w:rsidRDefault="00F00781" w:rsidP="00F00781">
            <w:pPr>
              <w:rPr>
                <w:rFonts w:ascii="Arial Narrow" w:hAnsi="Arial Narrow" w:cs="Calibri"/>
                <w:sz w:val="14"/>
                <w:szCs w:val="14"/>
              </w:rPr>
            </w:pPr>
            <w:r w:rsidRPr="00F00781">
              <w:rPr>
                <w:rFonts w:ascii="Arial Narrow" w:hAnsi="Arial Narrow" w:cs="Calibri"/>
                <w:sz w:val="14"/>
                <w:szCs w:val="14"/>
              </w:rPr>
              <w:t xml:space="preserve"> 11.4</w:t>
            </w:r>
          </w:p>
        </w:tc>
        <w:tc>
          <w:tcPr>
            <w:tcW w:w="1671" w:type="dxa"/>
            <w:tcBorders>
              <w:top w:val="nil"/>
              <w:left w:val="nil"/>
              <w:bottom w:val="single" w:sz="4" w:space="0" w:color="auto"/>
              <w:right w:val="single" w:sz="4" w:space="0" w:color="auto"/>
            </w:tcBorders>
            <w:shd w:val="clear" w:color="auto" w:fill="auto"/>
            <w:vAlign w:val="center"/>
            <w:hideMark/>
          </w:tcPr>
          <w:p w14:paraId="3BF094CE" w14:textId="77777777" w:rsidR="00F00781" w:rsidRPr="00F00781" w:rsidRDefault="00F00781" w:rsidP="00F00781">
            <w:pPr>
              <w:ind w:firstLineChars="100" w:firstLine="140"/>
              <w:rPr>
                <w:rFonts w:ascii="Arial Narrow" w:hAnsi="Arial Narrow" w:cs="Calibri"/>
                <w:sz w:val="14"/>
                <w:szCs w:val="14"/>
              </w:rPr>
            </w:pPr>
            <w:r w:rsidRPr="00F00781">
              <w:rPr>
                <w:rFonts w:ascii="Arial Narrow" w:hAnsi="Arial Narrow" w:cs="Calibri"/>
                <w:sz w:val="14"/>
                <w:szCs w:val="14"/>
              </w:rPr>
              <w:t>Овце и кози</w:t>
            </w:r>
          </w:p>
        </w:tc>
        <w:tc>
          <w:tcPr>
            <w:tcW w:w="773" w:type="dxa"/>
            <w:tcBorders>
              <w:top w:val="nil"/>
              <w:left w:val="nil"/>
              <w:bottom w:val="single" w:sz="4" w:space="0" w:color="auto"/>
              <w:right w:val="single" w:sz="4" w:space="0" w:color="auto"/>
            </w:tcBorders>
            <w:shd w:val="clear" w:color="auto" w:fill="auto"/>
            <w:vAlign w:val="center"/>
            <w:hideMark/>
          </w:tcPr>
          <w:p w14:paraId="1789703D"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168,5</w:t>
            </w:r>
          </w:p>
        </w:tc>
        <w:tc>
          <w:tcPr>
            <w:tcW w:w="582" w:type="dxa"/>
            <w:tcBorders>
              <w:top w:val="nil"/>
              <w:left w:val="nil"/>
              <w:bottom w:val="single" w:sz="4" w:space="0" w:color="auto"/>
              <w:right w:val="single" w:sz="4" w:space="0" w:color="auto"/>
            </w:tcBorders>
            <w:shd w:val="clear" w:color="auto" w:fill="auto"/>
            <w:vAlign w:val="center"/>
            <w:hideMark/>
          </w:tcPr>
          <w:p w14:paraId="0EA39FFE" w14:textId="77777777" w:rsidR="00F00781" w:rsidRPr="00F00781" w:rsidRDefault="00F00781" w:rsidP="00F00781">
            <w:pPr>
              <w:rPr>
                <w:rFonts w:ascii="Arial Narrow" w:hAnsi="Arial Narrow" w:cs="Calibri"/>
                <w:sz w:val="14"/>
                <w:szCs w:val="14"/>
              </w:rPr>
            </w:pPr>
            <w:r w:rsidRPr="00F00781">
              <w:rPr>
                <w:rFonts w:ascii="Arial Narrow" w:hAnsi="Arial Narrow" w:cs="Calibri"/>
                <w:sz w:val="14"/>
                <w:szCs w:val="14"/>
              </w:rPr>
              <w:t> </w:t>
            </w:r>
          </w:p>
        </w:tc>
        <w:tc>
          <w:tcPr>
            <w:tcW w:w="681" w:type="dxa"/>
            <w:tcBorders>
              <w:top w:val="nil"/>
              <w:left w:val="nil"/>
              <w:bottom w:val="single" w:sz="4" w:space="0" w:color="auto"/>
              <w:right w:val="single" w:sz="4" w:space="0" w:color="auto"/>
            </w:tcBorders>
            <w:shd w:val="clear" w:color="auto" w:fill="auto"/>
            <w:vAlign w:val="center"/>
            <w:hideMark/>
          </w:tcPr>
          <w:p w14:paraId="363D7FDB"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58,2</w:t>
            </w:r>
          </w:p>
        </w:tc>
        <w:tc>
          <w:tcPr>
            <w:tcW w:w="789" w:type="dxa"/>
            <w:tcBorders>
              <w:top w:val="nil"/>
              <w:left w:val="nil"/>
              <w:bottom w:val="single" w:sz="4" w:space="0" w:color="auto"/>
              <w:right w:val="single" w:sz="4" w:space="0" w:color="auto"/>
            </w:tcBorders>
            <w:shd w:val="clear" w:color="auto" w:fill="auto"/>
            <w:vAlign w:val="center"/>
            <w:hideMark/>
          </w:tcPr>
          <w:p w14:paraId="705ED151" w14:textId="77777777" w:rsidR="00F00781" w:rsidRPr="00F00781" w:rsidRDefault="00F00781" w:rsidP="00F00781">
            <w:pPr>
              <w:rPr>
                <w:rFonts w:ascii="Arial Narrow" w:hAnsi="Arial Narrow" w:cs="Calibri"/>
                <w:sz w:val="14"/>
                <w:szCs w:val="14"/>
              </w:rPr>
            </w:pPr>
            <w:r w:rsidRPr="00F00781">
              <w:rPr>
                <w:rFonts w:ascii="Arial Narrow" w:hAnsi="Arial Narrow" w:cs="Calibri"/>
                <w:sz w:val="14"/>
                <w:szCs w:val="14"/>
              </w:rPr>
              <w:t> </w:t>
            </w:r>
          </w:p>
        </w:tc>
        <w:tc>
          <w:tcPr>
            <w:tcW w:w="693" w:type="dxa"/>
            <w:tcBorders>
              <w:top w:val="nil"/>
              <w:left w:val="nil"/>
              <w:bottom w:val="single" w:sz="4" w:space="0" w:color="auto"/>
              <w:right w:val="single" w:sz="4" w:space="0" w:color="auto"/>
            </w:tcBorders>
            <w:shd w:val="clear" w:color="auto" w:fill="auto"/>
            <w:vAlign w:val="center"/>
            <w:hideMark/>
          </w:tcPr>
          <w:p w14:paraId="00910BB0" w14:textId="77777777" w:rsidR="00F00781" w:rsidRPr="00F00781" w:rsidRDefault="00F00781" w:rsidP="00F00781">
            <w:pPr>
              <w:rPr>
                <w:rFonts w:ascii="Arial Narrow" w:hAnsi="Arial Narrow" w:cs="Calibri"/>
                <w:sz w:val="14"/>
                <w:szCs w:val="14"/>
              </w:rPr>
            </w:pPr>
            <w:r w:rsidRPr="00F00781">
              <w:rPr>
                <w:rFonts w:ascii="Arial Narrow" w:hAnsi="Arial Narrow" w:cs="Calibri"/>
                <w:sz w:val="14"/>
                <w:szCs w:val="14"/>
              </w:rPr>
              <w:t> </w:t>
            </w:r>
          </w:p>
        </w:tc>
        <w:tc>
          <w:tcPr>
            <w:tcW w:w="537" w:type="dxa"/>
            <w:tcBorders>
              <w:top w:val="nil"/>
              <w:left w:val="nil"/>
              <w:bottom w:val="single" w:sz="4" w:space="0" w:color="auto"/>
              <w:right w:val="single" w:sz="4" w:space="0" w:color="auto"/>
            </w:tcBorders>
            <w:shd w:val="clear" w:color="auto" w:fill="auto"/>
            <w:vAlign w:val="center"/>
            <w:hideMark/>
          </w:tcPr>
          <w:p w14:paraId="577A0AC5" w14:textId="77777777" w:rsidR="00F00781" w:rsidRPr="00F00781" w:rsidRDefault="00F00781" w:rsidP="00F00781">
            <w:pPr>
              <w:rPr>
                <w:rFonts w:ascii="Arial Narrow" w:hAnsi="Arial Narrow" w:cs="Calibri"/>
                <w:sz w:val="14"/>
                <w:szCs w:val="14"/>
              </w:rPr>
            </w:pPr>
            <w:r w:rsidRPr="00F00781">
              <w:rPr>
                <w:rFonts w:ascii="Arial Narrow" w:hAnsi="Arial Narrow" w:cs="Calibri"/>
                <w:sz w:val="14"/>
                <w:szCs w:val="14"/>
              </w:rPr>
              <w:t> </w:t>
            </w:r>
          </w:p>
        </w:tc>
        <w:tc>
          <w:tcPr>
            <w:tcW w:w="1143" w:type="dxa"/>
            <w:tcBorders>
              <w:top w:val="nil"/>
              <w:left w:val="nil"/>
              <w:bottom w:val="single" w:sz="4" w:space="0" w:color="auto"/>
              <w:right w:val="single" w:sz="4" w:space="0" w:color="auto"/>
            </w:tcBorders>
            <w:shd w:val="clear" w:color="auto" w:fill="auto"/>
            <w:vAlign w:val="center"/>
            <w:hideMark/>
          </w:tcPr>
          <w:p w14:paraId="7FFC0B5E"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8,0</w:t>
            </w:r>
          </w:p>
        </w:tc>
        <w:tc>
          <w:tcPr>
            <w:tcW w:w="1200" w:type="dxa"/>
            <w:tcBorders>
              <w:top w:val="nil"/>
              <w:left w:val="nil"/>
              <w:bottom w:val="single" w:sz="4" w:space="0" w:color="auto"/>
              <w:right w:val="single" w:sz="4" w:space="0" w:color="auto"/>
            </w:tcBorders>
            <w:shd w:val="clear" w:color="auto" w:fill="auto"/>
            <w:vAlign w:val="center"/>
            <w:hideMark/>
          </w:tcPr>
          <w:p w14:paraId="034D1EB9" w14:textId="77777777" w:rsidR="00F00781" w:rsidRPr="00F00781" w:rsidRDefault="00F00781" w:rsidP="00F00781">
            <w:pPr>
              <w:rPr>
                <w:rFonts w:ascii="Arial Narrow" w:hAnsi="Arial Narrow" w:cs="Calibri"/>
                <w:sz w:val="14"/>
                <w:szCs w:val="14"/>
              </w:rPr>
            </w:pPr>
            <w:r w:rsidRPr="00F00781">
              <w:rPr>
                <w:rFonts w:ascii="Arial Narrow" w:hAnsi="Arial Narrow" w:cs="Calibri"/>
                <w:sz w:val="14"/>
                <w:szCs w:val="14"/>
              </w:rPr>
              <w:t> </w:t>
            </w:r>
          </w:p>
        </w:tc>
        <w:tc>
          <w:tcPr>
            <w:tcW w:w="721" w:type="dxa"/>
            <w:tcBorders>
              <w:top w:val="nil"/>
              <w:left w:val="nil"/>
              <w:bottom w:val="single" w:sz="4" w:space="0" w:color="auto"/>
              <w:right w:val="single" w:sz="4" w:space="0" w:color="auto"/>
            </w:tcBorders>
            <w:shd w:val="clear" w:color="auto" w:fill="auto"/>
            <w:vAlign w:val="center"/>
            <w:hideMark/>
          </w:tcPr>
          <w:p w14:paraId="40A03F34" w14:textId="77777777" w:rsidR="00F00781" w:rsidRPr="00F00781" w:rsidRDefault="00F00781" w:rsidP="00F00781">
            <w:pPr>
              <w:rPr>
                <w:rFonts w:ascii="Arial Narrow" w:hAnsi="Arial Narrow" w:cs="Calibri"/>
                <w:sz w:val="14"/>
                <w:szCs w:val="14"/>
              </w:rPr>
            </w:pPr>
            <w:r w:rsidRPr="00F00781">
              <w:rPr>
                <w:rFonts w:ascii="Arial Narrow" w:hAnsi="Arial Narrow" w:cs="Calibri"/>
                <w:sz w:val="14"/>
                <w:szCs w:val="14"/>
              </w:rPr>
              <w:t> </w:t>
            </w:r>
          </w:p>
        </w:tc>
        <w:tc>
          <w:tcPr>
            <w:tcW w:w="721" w:type="dxa"/>
            <w:tcBorders>
              <w:top w:val="nil"/>
              <w:left w:val="nil"/>
              <w:bottom w:val="single" w:sz="4" w:space="0" w:color="auto"/>
              <w:right w:val="single" w:sz="4" w:space="0" w:color="auto"/>
            </w:tcBorders>
            <w:shd w:val="clear" w:color="auto" w:fill="auto"/>
            <w:vAlign w:val="center"/>
            <w:hideMark/>
          </w:tcPr>
          <w:p w14:paraId="5EA576DF"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143,3</w:t>
            </w:r>
          </w:p>
        </w:tc>
        <w:tc>
          <w:tcPr>
            <w:tcW w:w="698" w:type="dxa"/>
            <w:tcBorders>
              <w:top w:val="nil"/>
              <w:left w:val="nil"/>
              <w:bottom w:val="single" w:sz="4" w:space="0" w:color="auto"/>
              <w:right w:val="single" w:sz="4" w:space="0" w:color="auto"/>
            </w:tcBorders>
            <w:shd w:val="clear" w:color="auto" w:fill="auto"/>
            <w:vAlign w:val="center"/>
            <w:hideMark/>
          </w:tcPr>
          <w:p w14:paraId="0CCE36B6" w14:textId="77777777" w:rsidR="00F00781" w:rsidRPr="00F00781" w:rsidRDefault="00F00781" w:rsidP="00F00781">
            <w:pPr>
              <w:rPr>
                <w:rFonts w:ascii="Arial Narrow" w:hAnsi="Arial Narrow" w:cs="Calibri"/>
                <w:sz w:val="14"/>
                <w:szCs w:val="14"/>
              </w:rPr>
            </w:pPr>
            <w:r w:rsidRPr="00F00781">
              <w:rPr>
                <w:rFonts w:ascii="Arial Narrow" w:hAnsi="Arial Narrow" w:cs="Calibri"/>
                <w:sz w:val="14"/>
                <w:szCs w:val="14"/>
              </w:rPr>
              <w:t> </w:t>
            </w:r>
          </w:p>
        </w:tc>
        <w:tc>
          <w:tcPr>
            <w:tcW w:w="765" w:type="dxa"/>
            <w:tcBorders>
              <w:top w:val="nil"/>
              <w:left w:val="nil"/>
              <w:bottom w:val="single" w:sz="4" w:space="0" w:color="auto"/>
              <w:right w:val="single" w:sz="4" w:space="0" w:color="auto"/>
            </w:tcBorders>
            <w:shd w:val="clear" w:color="auto" w:fill="auto"/>
            <w:vAlign w:val="center"/>
            <w:hideMark/>
          </w:tcPr>
          <w:p w14:paraId="5E159498"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143,3</w:t>
            </w:r>
          </w:p>
        </w:tc>
        <w:tc>
          <w:tcPr>
            <w:tcW w:w="970" w:type="dxa"/>
            <w:tcBorders>
              <w:top w:val="nil"/>
              <w:left w:val="nil"/>
              <w:bottom w:val="single" w:sz="4" w:space="0" w:color="auto"/>
              <w:right w:val="single" w:sz="4" w:space="0" w:color="auto"/>
            </w:tcBorders>
            <w:shd w:val="clear" w:color="auto" w:fill="auto"/>
            <w:vAlign w:val="center"/>
            <w:hideMark/>
          </w:tcPr>
          <w:p w14:paraId="7CF2790F"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23,6</w:t>
            </w:r>
          </w:p>
        </w:tc>
        <w:tc>
          <w:tcPr>
            <w:tcW w:w="602" w:type="dxa"/>
            <w:tcBorders>
              <w:top w:val="nil"/>
              <w:left w:val="nil"/>
              <w:bottom w:val="single" w:sz="4" w:space="0" w:color="auto"/>
              <w:right w:val="single" w:sz="4" w:space="0" w:color="auto"/>
            </w:tcBorders>
            <w:shd w:val="clear" w:color="auto" w:fill="auto"/>
            <w:vAlign w:val="center"/>
            <w:hideMark/>
          </w:tcPr>
          <w:p w14:paraId="7D1B3F96"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51,8</w:t>
            </w:r>
          </w:p>
        </w:tc>
        <w:tc>
          <w:tcPr>
            <w:tcW w:w="697" w:type="dxa"/>
            <w:tcBorders>
              <w:top w:val="nil"/>
              <w:left w:val="nil"/>
              <w:bottom w:val="single" w:sz="4" w:space="0" w:color="auto"/>
              <w:right w:val="single" w:sz="4" w:space="0" w:color="auto"/>
            </w:tcBorders>
            <w:shd w:val="clear" w:color="auto" w:fill="auto"/>
            <w:vAlign w:val="center"/>
            <w:hideMark/>
          </w:tcPr>
          <w:p w14:paraId="19636989"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-6,4</w:t>
            </w:r>
          </w:p>
        </w:tc>
        <w:tc>
          <w:tcPr>
            <w:tcW w:w="869" w:type="dxa"/>
            <w:tcBorders>
              <w:top w:val="nil"/>
              <w:left w:val="nil"/>
              <w:bottom w:val="single" w:sz="4" w:space="0" w:color="auto"/>
              <w:right w:val="single" w:sz="4" w:space="0" w:color="auto"/>
            </w:tcBorders>
            <w:shd w:val="clear" w:color="auto" w:fill="auto"/>
            <w:vAlign w:val="center"/>
            <w:hideMark/>
          </w:tcPr>
          <w:p w14:paraId="15D472FB"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168,5</w:t>
            </w:r>
          </w:p>
        </w:tc>
      </w:tr>
      <w:tr w:rsidR="00F00781" w:rsidRPr="00F00781" w14:paraId="2FCD1A30" w14:textId="77777777" w:rsidTr="00E01BBF">
        <w:trPr>
          <w:trHeight w:val="196"/>
        </w:trPr>
        <w:tc>
          <w:tcPr>
            <w:tcW w:w="632" w:type="dxa"/>
            <w:tcBorders>
              <w:top w:val="nil"/>
              <w:left w:val="single" w:sz="4" w:space="0" w:color="auto"/>
              <w:bottom w:val="single" w:sz="4" w:space="0" w:color="auto"/>
              <w:right w:val="single" w:sz="4" w:space="0" w:color="auto"/>
            </w:tcBorders>
            <w:shd w:val="clear" w:color="auto" w:fill="auto"/>
            <w:vAlign w:val="center"/>
            <w:hideMark/>
          </w:tcPr>
          <w:p w14:paraId="7F670A00" w14:textId="77777777" w:rsidR="00F00781" w:rsidRPr="00F00781" w:rsidRDefault="00F00781" w:rsidP="00F00781">
            <w:pPr>
              <w:rPr>
                <w:rFonts w:ascii="Arial Narrow" w:hAnsi="Arial Narrow" w:cs="Calibri"/>
                <w:sz w:val="14"/>
                <w:szCs w:val="14"/>
              </w:rPr>
            </w:pPr>
            <w:r w:rsidRPr="00F00781">
              <w:rPr>
                <w:rFonts w:ascii="Arial Narrow" w:hAnsi="Arial Narrow" w:cs="Calibri"/>
                <w:sz w:val="14"/>
                <w:szCs w:val="14"/>
              </w:rPr>
              <w:t xml:space="preserve"> 11.5</w:t>
            </w:r>
          </w:p>
        </w:tc>
        <w:tc>
          <w:tcPr>
            <w:tcW w:w="1671" w:type="dxa"/>
            <w:tcBorders>
              <w:top w:val="nil"/>
              <w:left w:val="nil"/>
              <w:bottom w:val="single" w:sz="4" w:space="0" w:color="auto"/>
              <w:right w:val="single" w:sz="4" w:space="0" w:color="auto"/>
            </w:tcBorders>
            <w:shd w:val="clear" w:color="auto" w:fill="auto"/>
            <w:vAlign w:val="center"/>
            <w:hideMark/>
          </w:tcPr>
          <w:p w14:paraId="2EF7A786" w14:textId="77777777" w:rsidR="00F00781" w:rsidRPr="00F00781" w:rsidRDefault="00F00781" w:rsidP="00F00781">
            <w:pPr>
              <w:ind w:firstLineChars="100" w:firstLine="140"/>
              <w:rPr>
                <w:rFonts w:ascii="Arial Narrow" w:hAnsi="Arial Narrow" w:cs="Calibri"/>
                <w:sz w:val="14"/>
                <w:szCs w:val="14"/>
              </w:rPr>
            </w:pPr>
            <w:r w:rsidRPr="00F00781">
              <w:rPr>
                <w:rFonts w:ascii="Arial Narrow" w:hAnsi="Arial Narrow" w:cs="Calibri"/>
                <w:sz w:val="14"/>
                <w:szCs w:val="14"/>
              </w:rPr>
              <w:t>Птици</w:t>
            </w:r>
          </w:p>
        </w:tc>
        <w:tc>
          <w:tcPr>
            <w:tcW w:w="773" w:type="dxa"/>
            <w:tcBorders>
              <w:top w:val="nil"/>
              <w:left w:val="nil"/>
              <w:bottom w:val="single" w:sz="4" w:space="0" w:color="auto"/>
              <w:right w:val="single" w:sz="4" w:space="0" w:color="auto"/>
            </w:tcBorders>
            <w:shd w:val="clear" w:color="auto" w:fill="auto"/>
            <w:vAlign w:val="center"/>
            <w:hideMark/>
          </w:tcPr>
          <w:p w14:paraId="6DE28D87"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405,4</w:t>
            </w:r>
          </w:p>
        </w:tc>
        <w:tc>
          <w:tcPr>
            <w:tcW w:w="582" w:type="dxa"/>
            <w:tcBorders>
              <w:top w:val="nil"/>
              <w:left w:val="nil"/>
              <w:bottom w:val="single" w:sz="4" w:space="0" w:color="auto"/>
              <w:right w:val="single" w:sz="4" w:space="0" w:color="auto"/>
            </w:tcBorders>
            <w:shd w:val="clear" w:color="auto" w:fill="auto"/>
            <w:vAlign w:val="center"/>
            <w:hideMark/>
          </w:tcPr>
          <w:p w14:paraId="275C69AF" w14:textId="77777777" w:rsidR="00F00781" w:rsidRPr="00F00781" w:rsidRDefault="00F00781" w:rsidP="00F00781">
            <w:pPr>
              <w:rPr>
                <w:rFonts w:ascii="Arial Narrow" w:hAnsi="Arial Narrow" w:cs="Calibri"/>
                <w:sz w:val="14"/>
                <w:szCs w:val="14"/>
              </w:rPr>
            </w:pPr>
            <w:r w:rsidRPr="00F00781">
              <w:rPr>
                <w:rFonts w:ascii="Arial Narrow" w:hAnsi="Arial Narrow" w:cs="Calibri"/>
                <w:sz w:val="14"/>
                <w:szCs w:val="14"/>
              </w:rPr>
              <w:t> </w:t>
            </w:r>
          </w:p>
        </w:tc>
        <w:tc>
          <w:tcPr>
            <w:tcW w:w="681" w:type="dxa"/>
            <w:tcBorders>
              <w:top w:val="nil"/>
              <w:left w:val="nil"/>
              <w:bottom w:val="single" w:sz="4" w:space="0" w:color="auto"/>
              <w:right w:val="single" w:sz="4" w:space="0" w:color="auto"/>
            </w:tcBorders>
            <w:shd w:val="clear" w:color="auto" w:fill="auto"/>
            <w:vAlign w:val="center"/>
            <w:hideMark/>
          </w:tcPr>
          <w:p w14:paraId="1F4F18F2"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65,9</w:t>
            </w:r>
          </w:p>
        </w:tc>
        <w:tc>
          <w:tcPr>
            <w:tcW w:w="789" w:type="dxa"/>
            <w:tcBorders>
              <w:top w:val="nil"/>
              <w:left w:val="nil"/>
              <w:bottom w:val="single" w:sz="4" w:space="0" w:color="auto"/>
              <w:right w:val="single" w:sz="4" w:space="0" w:color="auto"/>
            </w:tcBorders>
            <w:shd w:val="clear" w:color="auto" w:fill="auto"/>
            <w:vAlign w:val="center"/>
            <w:hideMark/>
          </w:tcPr>
          <w:p w14:paraId="387CC27F" w14:textId="77777777" w:rsidR="00F00781" w:rsidRPr="00F00781" w:rsidRDefault="00F00781" w:rsidP="00F00781">
            <w:pPr>
              <w:rPr>
                <w:rFonts w:ascii="Arial Narrow" w:hAnsi="Arial Narrow" w:cs="Calibri"/>
                <w:sz w:val="14"/>
                <w:szCs w:val="14"/>
              </w:rPr>
            </w:pPr>
            <w:r w:rsidRPr="00F00781">
              <w:rPr>
                <w:rFonts w:ascii="Arial Narrow" w:hAnsi="Arial Narrow" w:cs="Calibri"/>
                <w:sz w:val="14"/>
                <w:szCs w:val="14"/>
              </w:rPr>
              <w:t> </w:t>
            </w:r>
          </w:p>
        </w:tc>
        <w:tc>
          <w:tcPr>
            <w:tcW w:w="693" w:type="dxa"/>
            <w:tcBorders>
              <w:top w:val="nil"/>
              <w:left w:val="nil"/>
              <w:bottom w:val="single" w:sz="4" w:space="0" w:color="auto"/>
              <w:right w:val="single" w:sz="4" w:space="0" w:color="auto"/>
            </w:tcBorders>
            <w:shd w:val="clear" w:color="auto" w:fill="auto"/>
            <w:vAlign w:val="center"/>
            <w:hideMark/>
          </w:tcPr>
          <w:p w14:paraId="253E6006" w14:textId="77777777" w:rsidR="00F00781" w:rsidRPr="00F00781" w:rsidRDefault="00F00781" w:rsidP="00F00781">
            <w:pPr>
              <w:rPr>
                <w:rFonts w:ascii="Arial Narrow" w:hAnsi="Arial Narrow" w:cs="Calibri"/>
                <w:sz w:val="14"/>
                <w:szCs w:val="14"/>
              </w:rPr>
            </w:pPr>
            <w:r w:rsidRPr="00F00781">
              <w:rPr>
                <w:rFonts w:ascii="Arial Narrow" w:hAnsi="Arial Narrow" w:cs="Calibri"/>
                <w:sz w:val="14"/>
                <w:szCs w:val="14"/>
              </w:rPr>
              <w:t> </w:t>
            </w:r>
          </w:p>
        </w:tc>
        <w:tc>
          <w:tcPr>
            <w:tcW w:w="537" w:type="dxa"/>
            <w:tcBorders>
              <w:top w:val="nil"/>
              <w:left w:val="nil"/>
              <w:bottom w:val="single" w:sz="4" w:space="0" w:color="auto"/>
              <w:right w:val="single" w:sz="4" w:space="0" w:color="auto"/>
            </w:tcBorders>
            <w:shd w:val="clear" w:color="auto" w:fill="auto"/>
            <w:vAlign w:val="center"/>
            <w:hideMark/>
          </w:tcPr>
          <w:p w14:paraId="64F69082" w14:textId="77777777" w:rsidR="00F00781" w:rsidRPr="00F00781" w:rsidRDefault="00F00781" w:rsidP="00F00781">
            <w:pPr>
              <w:rPr>
                <w:rFonts w:ascii="Arial Narrow" w:hAnsi="Arial Narrow" w:cs="Calibri"/>
                <w:sz w:val="14"/>
                <w:szCs w:val="14"/>
              </w:rPr>
            </w:pPr>
            <w:r w:rsidRPr="00F00781">
              <w:rPr>
                <w:rFonts w:ascii="Arial Narrow" w:hAnsi="Arial Narrow" w:cs="Calibri"/>
                <w:sz w:val="14"/>
                <w:szCs w:val="14"/>
              </w:rPr>
              <w:t> </w:t>
            </w:r>
          </w:p>
        </w:tc>
        <w:tc>
          <w:tcPr>
            <w:tcW w:w="1143" w:type="dxa"/>
            <w:tcBorders>
              <w:top w:val="nil"/>
              <w:left w:val="nil"/>
              <w:bottom w:val="single" w:sz="4" w:space="0" w:color="auto"/>
              <w:right w:val="single" w:sz="4" w:space="0" w:color="auto"/>
            </w:tcBorders>
            <w:shd w:val="clear" w:color="auto" w:fill="auto"/>
            <w:vAlign w:val="center"/>
            <w:hideMark/>
          </w:tcPr>
          <w:p w14:paraId="6212AC42"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4,1</w:t>
            </w:r>
          </w:p>
        </w:tc>
        <w:tc>
          <w:tcPr>
            <w:tcW w:w="1200" w:type="dxa"/>
            <w:tcBorders>
              <w:top w:val="nil"/>
              <w:left w:val="nil"/>
              <w:bottom w:val="single" w:sz="4" w:space="0" w:color="auto"/>
              <w:right w:val="single" w:sz="4" w:space="0" w:color="auto"/>
            </w:tcBorders>
            <w:shd w:val="clear" w:color="auto" w:fill="auto"/>
            <w:vAlign w:val="center"/>
            <w:hideMark/>
          </w:tcPr>
          <w:p w14:paraId="01674270" w14:textId="77777777" w:rsidR="00F00781" w:rsidRPr="00F00781" w:rsidRDefault="00F00781" w:rsidP="00F00781">
            <w:pPr>
              <w:rPr>
                <w:rFonts w:ascii="Arial Narrow" w:hAnsi="Arial Narrow" w:cs="Calibri"/>
                <w:sz w:val="14"/>
                <w:szCs w:val="14"/>
              </w:rPr>
            </w:pPr>
            <w:r w:rsidRPr="00F00781">
              <w:rPr>
                <w:rFonts w:ascii="Arial Narrow" w:hAnsi="Arial Narrow" w:cs="Calibri"/>
                <w:sz w:val="14"/>
                <w:szCs w:val="14"/>
              </w:rPr>
              <w:t> </w:t>
            </w:r>
          </w:p>
        </w:tc>
        <w:tc>
          <w:tcPr>
            <w:tcW w:w="721" w:type="dxa"/>
            <w:tcBorders>
              <w:top w:val="nil"/>
              <w:left w:val="nil"/>
              <w:bottom w:val="single" w:sz="4" w:space="0" w:color="auto"/>
              <w:right w:val="single" w:sz="4" w:space="0" w:color="auto"/>
            </w:tcBorders>
            <w:shd w:val="clear" w:color="auto" w:fill="auto"/>
            <w:vAlign w:val="center"/>
            <w:hideMark/>
          </w:tcPr>
          <w:p w14:paraId="716C69B9" w14:textId="77777777" w:rsidR="00F00781" w:rsidRPr="00F00781" w:rsidRDefault="00F00781" w:rsidP="00F00781">
            <w:pPr>
              <w:rPr>
                <w:rFonts w:ascii="Arial Narrow" w:hAnsi="Arial Narrow" w:cs="Calibri"/>
                <w:sz w:val="14"/>
                <w:szCs w:val="14"/>
              </w:rPr>
            </w:pPr>
            <w:r w:rsidRPr="00F00781">
              <w:rPr>
                <w:rFonts w:ascii="Arial Narrow" w:hAnsi="Arial Narrow" w:cs="Calibri"/>
                <w:sz w:val="14"/>
                <w:szCs w:val="14"/>
              </w:rPr>
              <w:t> </w:t>
            </w:r>
          </w:p>
        </w:tc>
        <w:tc>
          <w:tcPr>
            <w:tcW w:w="721" w:type="dxa"/>
            <w:tcBorders>
              <w:top w:val="nil"/>
              <w:left w:val="nil"/>
              <w:bottom w:val="single" w:sz="4" w:space="0" w:color="auto"/>
              <w:right w:val="single" w:sz="4" w:space="0" w:color="auto"/>
            </w:tcBorders>
            <w:shd w:val="clear" w:color="auto" w:fill="auto"/>
            <w:vAlign w:val="center"/>
            <w:hideMark/>
          </w:tcPr>
          <w:p w14:paraId="6720D066"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406,0</w:t>
            </w:r>
          </w:p>
        </w:tc>
        <w:tc>
          <w:tcPr>
            <w:tcW w:w="698" w:type="dxa"/>
            <w:tcBorders>
              <w:top w:val="nil"/>
              <w:left w:val="nil"/>
              <w:bottom w:val="single" w:sz="4" w:space="0" w:color="auto"/>
              <w:right w:val="single" w:sz="4" w:space="0" w:color="auto"/>
            </w:tcBorders>
            <w:shd w:val="clear" w:color="auto" w:fill="auto"/>
            <w:vAlign w:val="center"/>
            <w:hideMark/>
          </w:tcPr>
          <w:p w14:paraId="70E7B789" w14:textId="77777777" w:rsidR="00F00781" w:rsidRPr="00F00781" w:rsidRDefault="00F00781" w:rsidP="00F00781">
            <w:pPr>
              <w:rPr>
                <w:rFonts w:ascii="Arial Narrow" w:hAnsi="Arial Narrow" w:cs="Calibri"/>
                <w:sz w:val="14"/>
                <w:szCs w:val="14"/>
              </w:rPr>
            </w:pPr>
            <w:r w:rsidRPr="00F00781">
              <w:rPr>
                <w:rFonts w:ascii="Arial Narrow" w:hAnsi="Arial Narrow" w:cs="Calibri"/>
                <w:sz w:val="14"/>
                <w:szCs w:val="14"/>
              </w:rPr>
              <w:t> </w:t>
            </w:r>
          </w:p>
        </w:tc>
        <w:tc>
          <w:tcPr>
            <w:tcW w:w="765" w:type="dxa"/>
            <w:tcBorders>
              <w:top w:val="nil"/>
              <w:left w:val="nil"/>
              <w:bottom w:val="single" w:sz="4" w:space="0" w:color="auto"/>
              <w:right w:val="single" w:sz="4" w:space="0" w:color="auto"/>
            </w:tcBorders>
            <w:shd w:val="clear" w:color="auto" w:fill="auto"/>
            <w:vAlign w:val="center"/>
            <w:hideMark/>
          </w:tcPr>
          <w:p w14:paraId="047904D9"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406,0</w:t>
            </w:r>
          </w:p>
        </w:tc>
        <w:tc>
          <w:tcPr>
            <w:tcW w:w="970" w:type="dxa"/>
            <w:tcBorders>
              <w:top w:val="nil"/>
              <w:left w:val="nil"/>
              <w:bottom w:val="single" w:sz="4" w:space="0" w:color="auto"/>
              <w:right w:val="single" w:sz="4" w:space="0" w:color="auto"/>
            </w:tcBorders>
            <w:shd w:val="clear" w:color="auto" w:fill="auto"/>
            <w:vAlign w:val="center"/>
            <w:hideMark/>
          </w:tcPr>
          <w:p w14:paraId="31BBB8E6" w14:textId="77777777" w:rsidR="00F00781" w:rsidRPr="00F00781" w:rsidRDefault="00F00781" w:rsidP="00F00781">
            <w:pPr>
              <w:rPr>
                <w:rFonts w:ascii="Arial Narrow" w:hAnsi="Arial Narrow" w:cs="Calibri"/>
                <w:sz w:val="14"/>
                <w:szCs w:val="14"/>
              </w:rPr>
            </w:pPr>
            <w:r w:rsidRPr="00F00781">
              <w:rPr>
                <w:rFonts w:ascii="Arial Narrow" w:hAnsi="Arial Narrow" w:cs="Calibri"/>
                <w:sz w:val="14"/>
                <w:szCs w:val="14"/>
              </w:rPr>
              <w:t> </w:t>
            </w:r>
          </w:p>
        </w:tc>
        <w:tc>
          <w:tcPr>
            <w:tcW w:w="602" w:type="dxa"/>
            <w:tcBorders>
              <w:top w:val="nil"/>
              <w:left w:val="nil"/>
              <w:bottom w:val="single" w:sz="4" w:space="0" w:color="auto"/>
              <w:right w:val="single" w:sz="4" w:space="0" w:color="auto"/>
            </w:tcBorders>
            <w:shd w:val="clear" w:color="auto" w:fill="auto"/>
            <w:vAlign w:val="center"/>
            <w:hideMark/>
          </w:tcPr>
          <w:p w14:paraId="09B10EA6"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61,2</w:t>
            </w:r>
          </w:p>
        </w:tc>
        <w:tc>
          <w:tcPr>
            <w:tcW w:w="697" w:type="dxa"/>
            <w:tcBorders>
              <w:top w:val="nil"/>
              <w:left w:val="nil"/>
              <w:bottom w:val="single" w:sz="4" w:space="0" w:color="auto"/>
              <w:right w:val="single" w:sz="4" w:space="0" w:color="auto"/>
            </w:tcBorders>
            <w:shd w:val="clear" w:color="auto" w:fill="auto"/>
            <w:vAlign w:val="center"/>
            <w:hideMark/>
          </w:tcPr>
          <w:p w14:paraId="688BA788"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-4,6</w:t>
            </w:r>
          </w:p>
        </w:tc>
        <w:tc>
          <w:tcPr>
            <w:tcW w:w="869" w:type="dxa"/>
            <w:tcBorders>
              <w:top w:val="nil"/>
              <w:left w:val="nil"/>
              <w:bottom w:val="single" w:sz="4" w:space="0" w:color="auto"/>
              <w:right w:val="single" w:sz="4" w:space="0" w:color="auto"/>
            </w:tcBorders>
            <w:shd w:val="clear" w:color="auto" w:fill="auto"/>
            <w:vAlign w:val="center"/>
            <w:hideMark/>
          </w:tcPr>
          <w:p w14:paraId="50A6F335"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405,4</w:t>
            </w:r>
          </w:p>
        </w:tc>
      </w:tr>
      <w:tr w:rsidR="00F00781" w:rsidRPr="00F00781" w14:paraId="0E12EA36" w14:textId="77777777" w:rsidTr="00E01BBF">
        <w:trPr>
          <w:trHeight w:val="196"/>
        </w:trPr>
        <w:tc>
          <w:tcPr>
            <w:tcW w:w="632" w:type="dxa"/>
            <w:tcBorders>
              <w:top w:val="nil"/>
              <w:left w:val="single" w:sz="4" w:space="0" w:color="auto"/>
              <w:bottom w:val="single" w:sz="4" w:space="0" w:color="auto"/>
              <w:right w:val="single" w:sz="4" w:space="0" w:color="auto"/>
            </w:tcBorders>
            <w:shd w:val="clear" w:color="auto" w:fill="auto"/>
            <w:vAlign w:val="center"/>
            <w:hideMark/>
          </w:tcPr>
          <w:p w14:paraId="6A72666C" w14:textId="77777777" w:rsidR="00F00781" w:rsidRPr="00F00781" w:rsidRDefault="00F00781" w:rsidP="00F00781">
            <w:pPr>
              <w:rPr>
                <w:rFonts w:ascii="Arial Narrow" w:hAnsi="Arial Narrow" w:cs="Calibri"/>
                <w:sz w:val="14"/>
                <w:szCs w:val="14"/>
              </w:rPr>
            </w:pPr>
            <w:r w:rsidRPr="00F00781">
              <w:rPr>
                <w:rFonts w:ascii="Arial Narrow" w:hAnsi="Arial Narrow" w:cs="Calibri"/>
                <w:sz w:val="14"/>
                <w:szCs w:val="14"/>
              </w:rPr>
              <w:t xml:space="preserve"> 11.6</w:t>
            </w:r>
          </w:p>
        </w:tc>
        <w:tc>
          <w:tcPr>
            <w:tcW w:w="1671" w:type="dxa"/>
            <w:tcBorders>
              <w:top w:val="nil"/>
              <w:left w:val="nil"/>
              <w:bottom w:val="single" w:sz="4" w:space="0" w:color="auto"/>
              <w:right w:val="single" w:sz="4" w:space="0" w:color="auto"/>
            </w:tcBorders>
            <w:shd w:val="clear" w:color="auto" w:fill="auto"/>
            <w:vAlign w:val="center"/>
            <w:hideMark/>
          </w:tcPr>
          <w:p w14:paraId="41D025E9" w14:textId="77777777" w:rsidR="00F00781" w:rsidRPr="00F00781" w:rsidRDefault="00F00781" w:rsidP="00F00781">
            <w:pPr>
              <w:ind w:firstLineChars="100" w:firstLine="140"/>
              <w:rPr>
                <w:rFonts w:ascii="Arial Narrow" w:hAnsi="Arial Narrow" w:cs="Calibri"/>
                <w:sz w:val="14"/>
                <w:szCs w:val="14"/>
              </w:rPr>
            </w:pPr>
            <w:r w:rsidRPr="00F00781">
              <w:rPr>
                <w:rFonts w:ascii="Arial Narrow" w:hAnsi="Arial Narrow" w:cs="Calibri"/>
                <w:sz w:val="14"/>
                <w:szCs w:val="14"/>
              </w:rPr>
              <w:t>Други животни</w:t>
            </w:r>
          </w:p>
        </w:tc>
        <w:tc>
          <w:tcPr>
            <w:tcW w:w="773" w:type="dxa"/>
            <w:tcBorders>
              <w:top w:val="nil"/>
              <w:left w:val="nil"/>
              <w:bottom w:val="single" w:sz="4" w:space="0" w:color="auto"/>
              <w:right w:val="single" w:sz="4" w:space="0" w:color="auto"/>
            </w:tcBorders>
            <w:shd w:val="clear" w:color="auto" w:fill="auto"/>
            <w:vAlign w:val="center"/>
            <w:hideMark/>
          </w:tcPr>
          <w:p w14:paraId="694B2BF7" w14:textId="77777777" w:rsidR="00F00781" w:rsidRPr="00F00781" w:rsidRDefault="00F00781" w:rsidP="00F00781">
            <w:pPr>
              <w:rPr>
                <w:rFonts w:ascii="Arial Narrow" w:hAnsi="Arial Narrow" w:cs="Calibri"/>
                <w:sz w:val="14"/>
                <w:szCs w:val="14"/>
              </w:rPr>
            </w:pPr>
            <w:r w:rsidRPr="00F00781">
              <w:rPr>
                <w:rFonts w:ascii="Arial Narrow" w:hAnsi="Arial Narrow" w:cs="Calibri"/>
                <w:sz w:val="14"/>
                <w:szCs w:val="14"/>
              </w:rPr>
              <w:t> </w:t>
            </w:r>
          </w:p>
        </w:tc>
        <w:tc>
          <w:tcPr>
            <w:tcW w:w="582" w:type="dxa"/>
            <w:tcBorders>
              <w:top w:val="nil"/>
              <w:left w:val="nil"/>
              <w:bottom w:val="single" w:sz="4" w:space="0" w:color="auto"/>
              <w:right w:val="single" w:sz="4" w:space="0" w:color="auto"/>
            </w:tcBorders>
            <w:shd w:val="clear" w:color="auto" w:fill="auto"/>
            <w:vAlign w:val="center"/>
            <w:hideMark/>
          </w:tcPr>
          <w:p w14:paraId="03E29826" w14:textId="77777777" w:rsidR="00F00781" w:rsidRPr="00F00781" w:rsidRDefault="00F00781" w:rsidP="00F00781">
            <w:pPr>
              <w:rPr>
                <w:rFonts w:ascii="Arial Narrow" w:hAnsi="Arial Narrow" w:cs="Calibri"/>
                <w:sz w:val="14"/>
                <w:szCs w:val="14"/>
              </w:rPr>
            </w:pPr>
            <w:r w:rsidRPr="00F00781">
              <w:rPr>
                <w:rFonts w:ascii="Arial Narrow" w:hAnsi="Arial Narrow" w:cs="Calibri"/>
                <w:sz w:val="14"/>
                <w:szCs w:val="14"/>
              </w:rPr>
              <w:t> </w:t>
            </w:r>
          </w:p>
        </w:tc>
        <w:tc>
          <w:tcPr>
            <w:tcW w:w="681" w:type="dxa"/>
            <w:tcBorders>
              <w:top w:val="nil"/>
              <w:left w:val="nil"/>
              <w:bottom w:val="single" w:sz="4" w:space="0" w:color="auto"/>
              <w:right w:val="single" w:sz="4" w:space="0" w:color="auto"/>
            </w:tcBorders>
            <w:shd w:val="clear" w:color="auto" w:fill="auto"/>
            <w:vAlign w:val="center"/>
            <w:hideMark/>
          </w:tcPr>
          <w:p w14:paraId="26F38F1F" w14:textId="77777777" w:rsidR="00F00781" w:rsidRPr="00F00781" w:rsidRDefault="00F00781" w:rsidP="00F00781">
            <w:pPr>
              <w:rPr>
                <w:rFonts w:ascii="Arial Narrow" w:hAnsi="Arial Narrow" w:cs="Calibri"/>
                <w:sz w:val="14"/>
                <w:szCs w:val="14"/>
              </w:rPr>
            </w:pPr>
            <w:r w:rsidRPr="00F00781">
              <w:rPr>
                <w:rFonts w:ascii="Arial Narrow" w:hAnsi="Arial Narrow" w:cs="Calibri"/>
                <w:sz w:val="14"/>
                <w:szCs w:val="14"/>
              </w:rPr>
              <w:t> </w:t>
            </w:r>
          </w:p>
        </w:tc>
        <w:tc>
          <w:tcPr>
            <w:tcW w:w="789" w:type="dxa"/>
            <w:tcBorders>
              <w:top w:val="nil"/>
              <w:left w:val="nil"/>
              <w:bottom w:val="single" w:sz="4" w:space="0" w:color="auto"/>
              <w:right w:val="single" w:sz="4" w:space="0" w:color="auto"/>
            </w:tcBorders>
            <w:shd w:val="clear" w:color="auto" w:fill="auto"/>
            <w:vAlign w:val="center"/>
            <w:hideMark/>
          </w:tcPr>
          <w:p w14:paraId="68C65D45" w14:textId="77777777" w:rsidR="00F00781" w:rsidRPr="00F00781" w:rsidRDefault="00F00781" w:rsidP="00F00781">
            <w:pPr>
              <w:rPr>
                <w:rFonts w:ascii="Arial Narrow" w:hAnsi="Arial Narrow" w:cs="Calibri"/>
                <w:sz w:val="14"/>
                <w:szCs w:val="14"/>
              </w:rPr>
            </w:pPr>
            <w:r w:rsidRPr="00F00781">
              <w:rPr>
                <w:rFonts w:ascii="Arial Narrow" w:hAnsi="Arial Narrow" w:cs="Calibri"/>
                <w:sz w:val="14"/>
                <w:szCs w:val="14"/>
              </w:rPr>
              <w:t> </w:t>
            </w:r>
          </w:p>
        </w:tc>
        <w:tc>
          <w:tcPr>
            <w:tcW w:w="693" w:type="dxa"/>
            <w:tcBorders>
              <w:top w:val="nil"/>
              <w:left w:val="nil"/>
              <w:bottom w:val="single" w:sz="4" w:space="0" w:color="auto"/>
              <w:right w:val="single" w:sz="4" w:space="0" w:color="auto"/>
            </w:tcBorders>
            <w:shd w:val="clear" w:color="auto" w:fill="auto"/>
            <w:vAlign w:val="center"/>
            <w:hideMark/>
          </w:tcPr>
          <w:p w14:paraId="1CF50512" w14:textId="77777777" w:rsidR="00F00781" w:rsidRPr="00F00781" w:rsidRDefault="00F00781" w:rsidP="00F00781">
            <w:pPr>
              <w:rPr>
                <w:rFonts w:ascii="Arial Narrow" w:hAnsi="Arial Narrow" w:cs="Calibri"/>
                <w:sz w:val="14"/>
                <w:szCs w:val="14"/>
              </w:rPr>
            </w:pPr>
            <w:r w:rsidRPr="00F00781">
              <w:rPr>
                <w:rFonts w:ascii="Arial Narrow" w:hAnsi="Arial Narrow" w:cs="Calibri"/>
                <w:sz w:val="14"/>
                <w:szCs w:val="14"/>
              </w:rPr>
              <w:t> </w:t>
            </w:r>
          </w:p>
        </w:tc>
        <w:tc>
          <w:tcPr>
            <w:tcW w:w="537" w:type="dxa"/>
            <w:tcBorders>
              <w:top w:val="nil"/>
              <w:left w:val="nil"/>
              <w:bottom w:val="single" w:sz="4" w:space="0" w:color="auto"/>
              <w:right w:val="single" w:sz="4" w:space="0" w:color="auto"/>
            </w:tcBorders>
            <w:shd w:val="clear" w:color="auto" w:fill="auto"/>
            <w:vAlign w:val="center"/>
            <w:hideMark/>
          </w:tcPr>
          <w:p w14:paraId="7ED057AE" w14:textId="77777777" w:rsidR="00F00781" w:rsidRPr="00F00781" w:rsidRDefault="00F00781" w:rsidP="00F00781">
            <w:pPr>
              <w:rPr>
                <w:rFonts w:ascii="Arial Narrow" w:hAnsi="Arial Narrow" w:cs="Calibri"/>
                <w:sz w:val="14"/>
                <w:szCs w:val="14"/>
              </w:rPr>
            </w:pPr>
            <w:r w:rsidRPr="00F00781">
              <w:rPr>
                <w:rFonts w:ascii="Arial Narrow" w:hAnsi="Arial Narrow" w:cs="Calibri"/>
                <w:sz w:val="14"/>
                <w:szCs w:val="14"/>
              </w:rPr>
              <w:t> </w:t>
            </w:r>
          </w:p>
        </w:tc>
        <w:tc>
          <w:tcPr>
            <w:tcW w:w="1143" w:type="dxa"/>
            <w:tcBorders>
              <w:top w:val="nil"/>
              <w:left w:val="nil"/>
              <w:bottom w:val="single" w:sz="4" w:space="0" w:color="auto"/>
              <w:right w:val="single" w:sz="4" w:space="0" w:color="auto"/>
            </w:tcBorders>
            <w:shd w:val="clear" w:color="auto" w:fill="auto"/>
            <w:vAlign w:val="center"/>
            <w:hideMark/>
          </w:tcPr>
          <w:p w14:paraId="19C0ADBE" w14:textId="77777777" w:rsidR="00F00781" w:rsidRPr="00F00781" w:rsidRDefault="00F00781" w:rsidP="00F00781">
            <w:pPr>
              <w:rPr>
                <w:rFonts w:ascii="Arial Narrow" w:hAnsi="Arial Narrow" w:cs="Calibri"/>
                <w:sz w:val="14"/>
                <w:szCs w:val="14"/>
              </w:rPr>
            </w:pPr>
            <w:r w:rsidRPr="00F00781">
              <w:rPr>
                <w:rFonts w:ascii="Arial Narrow" w:hAnsi="Arial Narrow" w:cs="Calibri"/>
                <w:sz w:val="14"/>
                <w:szCs w:val="14"/>
              </w:rPr>
              <w:t> </w:t>
            </w:r>
          </w:p>
        </w:tc>
        <w:tc>
          <w:tcPr>
            <w:tcW w:w="1200" w:type="dxa"/>
            <w:tcBorders>
              <w:top w:val="nil"/>
              <w:left w:val="nil"/>
              <w:bottom w:val="single" w:sz="4" w:space="0" w:color="auto"/>
              <w:right w:val="single" w:sz="4" w:space="0" w:color="auto"/>
            </w:tcBorders>
            <w:shd w:val="clear" w:color="auto" w:fill="auto"/>
            <w:vAlign w:val="center"/>
            <w:hideMark/>
          </w:tcPr>
          <w:p w14:paraId="0FD60B7F" w14:textId="77777777" w:rsidR="00F00781" w:rsidRPr="00F00781" w:rsidRDefault="00F00781" w:rsidP="00F00781">
            <w:pPr>
              <w:rPr>
                <w:rFonts w:ascii="Arial Narrow" w:hAnsi="Arial Narrow" w:cs="Calibri"/>
                <w:sz w:val="14"/>
                <w:szCs w:val="14"/>
              </w:rPr>
            </w:pPr>
            <w:r w:rsidRPr="00F00781">
              <w:rPr>
                <w:rFonts w:ascii="Arial Narrow" w:hAnsi="Arial Narrow" w:cs="Calibri"/>
                <w:sz w:val="14"/>
                <w:szCs w:val="14"/>
              </w:rPr>
              <w:t> </w:t>
            </w:r>
          </w:p>
        </w:tc>
        <w:tc>
          <w:tcPr>
            <w:tcW w:w="721" w:type="dxa"/>
            <w:tcBorders>
              <w:top w:val="nil"/>
              <w:left w:val="nil"/>
              <w:bottom w:val="single" w:sz="4" w:space="0" w:color="auto"/>
              <w:right w:val="single" w:sz="4" w:space="0" w:color="auto"/>
            </w:tcBorders>
            <w:shd w:val="clear" w:color="auto" w:fill="auto"/>
            <w:vAlign w:val="center"/>
            <w:hideMark/>
          </w:tcPr>
          <w:p w14:paraId="2183C6D4" w14:textId="77777777" w:rsidR="00F00781" w:rsidRPr="00F00781" w:rsidRDefault="00F00781" w:rsidP="00F00781">
            <w:pPr>
              <w:rPr>
                <w:rFonts w:ascii="Arial Narrow" w:hAnsi="Arial Narrow" w:cs="Calibri"/>
                <w:sz w:val="14"/>
                <w:szCs w:val="14"/>
              </w:rPr>
            </w:pPr>
            <w:r w:rsidRPr="00F00781">
              <w:rPr>
                <w:rFonts w:ascii="Arial Narrow" w:hAnsi="Arial Narrow" w:cs="Calibri"/>
                <w:sz w:val="14"/>
                <w:szCs w:val="14"/>
              </w:rPr>
              <w:t> </w:t>
            </w:r>
          </w:p>
        </w:tc>
        <w:tc>
          <w:tcPr>
            <w:tcW w:w="721" w:type="dxa"/>
            <w:tcBorders>
              <w:top w:val="nil"/>
              <w:left w:val="nil"/>
              <w:bottom w:val="single" w:sz="4" w:space="0" w:color="auto"/>
              <w:right w:val="single" w:sz="4" w:space="0" w:color="auto"/>
            </w:tcBorders>
            <w:shd w:val="clear" w:color="auto" w:fill="auto"/>
            <w:vAlign w:val="center"/>
            <w:hideMark/>
          </w:tcPr>
          <w:p w14:paraId="576F75A0" w14:textId="77777777" w:rsidR="00F00781" w:rsidRPr="00F00781" w:rsidRDefault="00F00781" w:rsidP="00F00781">
            <w:pPr>
              <w:rPr>
                <w:rFonts w:ascii="Arial Narrow" w:hAnsi="Arial Narrow" w:cs="Calibri"/>
                <w:sz w:val="14"/>
                <w:szCs w:val="14"/>
              </w:rPr>
            </w:pPr>
            <w:r w:rsidRPr="00F00781">
              <w:rPr>
                <w:rFonts w:ascii="Arial Narrow" w:hAnsi="Arial Narrow" w:cs="Calibri"/>
                <w:sz w:val="14"/>
                <w:szCs w:val="14"/>
              </w:rPr>
              <w:t> </w:t>
            </w:r>
          </w:p>
        </w:tc>
        <w:tc>
          <w:tcPr>
            <w:tcW w:w="698" w:type="dxa"/>
            <w:tcBorders>
              <w:top w:val="nil"/>
              <w:left w:val="nil"/>
              <w:bottom w:val="single" w:sz="4" w:space="0" w:color="auto"/>
              <w:right w:val="single" w:sz="4" w:space="0" w:color="auto"/>
            </w:tcBorders>
            <w:shd w:val="clear" w:color="auto" w:fill="auto"/>
            <w:vAlign w:val="center"/>
            <w:hideMark/>
          </w:tcPr>
          <w:p w14:paraId="6A006752" w14:textId="77777777" w:rsidR="00F00781" w:rsidRPr="00F00781" w:rsidRDefault="00F00781" w:rsidP="00F00781">
            <w:pPr>
              <w:rPr>
                <w:rFonts w:ascii="Arial Narrow" w:hAnsi="Arial Narrow" w:cs="Calibri"/>
                <w:sz w:val="14"/>
                <w:szCs w:val="14"/>
              </w:rPr>
            </w:pPr>
            <w:r w:rsidRPr="00F00781">
              <w:rPr>
                <w:rFonts w:ascii="Arial Narrow" w:hAnsi="Arial Narrow" w:cs="Calibri"/>
                <w:sz w:val="14"/>
                <w:szCs w:val="14"/>
              </w:rPr>
              <w:t> </w:t>
            </w:r>
          </w:p>
        </w:tc>
        <w:tc>
          <w:tcPr>
            <w:tcW w:w="765" w:type="dxa"/>
            <w:tcBorders>
              <w:top w:val="nil"/>
              <w:left w:val="nil"/>
              <w:bottom w:val="single" w:sz="4" w:space="0" w:color="auto"/>
              <w:right w:val="single" w:sz="4" w:space="0" w:color="auto"/>
            </w:tcBorders>
            <w:shd w:val="clear" w:color="auto" w:fill="auto"/>
            <w:vAlign w:val="center"/>
            <w:hideMark/>
          </w:tcPr>
          <w:p w14:paraId="2C8899B8" w14:textId="77777777" w:rsidR="00F00781" w:rsidRPr="00F00781" w:rsidRDefault="00F00781" w:rsidP="00F00781">
            <w:pPr>
              <w:rPr>
                <w:rFonts w:ascii="Arial Narrow" w:hAnsi="Arial Narrow" w:cs="Calibri"/>
                <w:sz w:val="14"/>
                <w:szCs w:val="14"/>
              </w:rPr>
            </w:pPr>
            <w:r w:rsidRPr="00F00781">
              <w:rPr>
                <w:rFonts w:ascii="Arial Narrow" w:hAnsi="Arial Narrow" w:cs="Calibri"/>
                <w:sz w:val="14"/>
                <w:szCs w:val="14"/>
              </w:rPr>
              <w:t> </w:t>
            </w:r>
          </w:p>
        </w:tc>
        <w:tc>
          <w:tcPr>
            <w:tcW w:w="970" w:type="dxa"/>
            <w:tcBorders>
              <w:top w:val="nil"/>
              <w:left w:val="nil"/>
              <w:bottom w:val="single" w:sz="4" w:space="0" w:color="auto"/>
              <w:right w:val="single" w:sz="4" w:space="0" w:color="auto"/>
            </w:tcBorders>
            <w:shd w:val="clear" w:color="auto" w:fill="auto"/>
            <w:vAlign w:val="center"/>
            <w:hideMark/>
          </w:tcPr>
          <w:p w14:paraId="0F7DF506" w14:textId="77777777" w:rsidR="00F00781" w:rsidRPr="00F00781" w:rsidRDefault="00F00781" w:rsidP="00F00781">
            <w:pPr>
              <w:rPr>
                <w:rFonts w:ascii="Arial Narrow" w:hAnsi="Arial Narrow" w:cs="Calibri"/>
                <w:sz w:val="14"/>
                <w:szCs w:val="14"/>
              </w:rPr>
            </w:pPr>
            <w:r w:rsidRPr="00F00781">
              <w:rPr>
                <w:rFonts w:ascii="Arial Narrow" w:hAnsi="Arial Narrow" w:cs="Calibri"/>
                <w:sz w:val="14"/>
                <w:szCs w:val="14"/>
              </w:rPr>
              <w:t> </w:t>
            </w:r>
          </w:p>
        </w:tc>
        <w:tc>
          <w:tcPr>
            <w:tcW w:w="602" w:type="dxa"/>
            <w:tcBorders>
              <w:top w:val="nil"/>
              <w:left w:val="nil"/>
              <w:bottom w:val="single" w:sz="4" w:space="0" w:color="auto"/>
              <w:right w:val="single" w:sz="4" w:space="0" w:color="auto"/>
            </w:tcBorders>
            <w:shd w:val="clear" w:color="auto" w:fill="auto"/>
            <w:vAlign w:val="center"/>
            <w:hideMark/>
          </w:tcPr>
          <w:p w14:paraId="6E2D9E1A" w14:textId="77777777" w:rsidR="00F00781" w:rsidRPr="00F00781" w:rsidRDefault="00F00781" w:rsidP="00F00781">
            <w:pPr>
              <w:rPr>
                <w:rFonts w:ascii="Arial Narrow" w:hAnsi="Arial Narrow" w:cs="Calibri"/>
                <w:sz w:val="14"/>
                <w:szCs w:val="14"/>
              </w:rPr>
            </w:pPr>
            <w:r w:rsidRPr="00F00781">
              <w:rPr>
                <w:rFonts w:ascii="Arial Narrow" w:hAnsi="Arial Narrow" w:cs="Calibri"/>
                <w:sz w:val="14"/>
                <w:szCs w:val="14"/>
              </w:rPr>
              <w:t> </w:t>
            </w:r>
          </w:p>
        </w:tc>
        <w:tc>
          <w:tcPr>
            <w:tcW w:w="697" w:type="dxa"/>
            <w:tcBorders>
              <w:top w:val="nil"/>
              <w:left w:val="nil"/>
              <w:bottom w:val="single" w:sz="4" w:space="0" w:color="auto"/>
              <w:right w:val="single" w:sz="4" w:space="0" w:color="auto"/>
            </w:tcBorders>
            <w:shd w:val="clear" w:color="auto" w:fill="auto"/>
            <w:vAlign w:val="center"/>
            <w:hideMark/>
          </w:tcPr>
          <w:p w14:paraId="67172AC1" w14:textId="77777777" w:rsidR="00F00781" w:rsidRPr="00F00781" w:rsidRDefault="00F00781" w:rsidP="00F00781">
            <w:pPr>
              <w:rPr>
                <w:rFonts w:ascii="Arial Narrow" w:hAnsi="Arial Narrow" w:cs="Calibri"/>
                <w:sz w:val="14"/>
                <w:szCs w:val="14"/>
              </w:rPr>
            </w:pPr>
            <w:r w:rsidRPr="00F00781">
              <w:rPr>
                <w:rFonts w:ascii="Arial Narrow" w:hAnsi="Arial Narrow" w:cs="Calibri"/>
                <w:sz w:val="14"/>
                <w:szCs w:val="14"/>
              </w:rPr>
              <w:t> </w:t>
            </w:r>
          </w:p>
        </w:tc>
        <w:tc>
          <w:tcPr>
            <w:tcW w:w="869" w:type="dxa"/>
            <w:tcBorders>
              <w:top w:val="nil"/>
              <w:left w:val="nil"/>
              <w:bottom w:val="single" w:sz="4" w:space="0" w:color="auto"/>
              <w:right w:val="single" w:sz="4" w:space="0" w:color="auto"/>
            </w:tcBorders>
            <w:shd w:val="clear" w:color="auto" w:fill="auto"/>
            <w:vAlign w:val="center"/>
            <w:hideMark/>
          </w:tcPr>
          <w:p w14:paraId="7ED009BF" w14:textId="77777777" w:rsidR="00F00781" w:rsidRPr="00F00781" w:rsidRDefault="00F00781" w:rsidP="00F00781">
            <w:pPr>
              <w:rPr>
                <w:rFonts w:ascii="Arial Narrow" w:hAnsi="Arial Narrow" w:cs="Calibri"/>
                <w:sz w:val="14"/>
                <w:szCs w:val="14"/>
              </w:rPr>
            </w:pPr>
            <w:r w:rsidRPr="00F00781">
              <w:rPr>
                <w:rFonts w:ascii="Arial Narrow" w:hAnsi="Arial Narrow" w:cs="Calibri"/>
                <w:sz w:val="14"/>
                <w:szCs w:val="14"/>
              </w:rPr>
              <w:t> </w:t>
            </w:r>
          </w:p>
        </w:tc>
      </w:tr>
      <w:tr w:rsidR="00F00781" w:rsidRPr="00F00781" w14:paraId="0411E84B" w14:textId="77777777" w:rsidTr="00E01BBF">
        <w:trPr>
          <w:trHeight w:val="196"/>
        </w:trPr>
        <w:tc>
          <w:tcPr>
            <w:tcW w:w="632" w:type="dxa"/>
            <w:tcBorders>
              <w:top w:val="nil"/>
              <w:left w:val="single" w:sz="4" w:space="0" w:color="auto"/>
              <w:bottom w:val="single" w:sz="4" w:space="0" w:color="auto"/>
              <w:right w:val="single" w:sz="4" w:space="0" w:color="auto"/>
            </w:tcBorders>
            <w:shd w:val="clear" w:color="auto" w:fill="auto"/>
            <w:vAlign w:val="center"/>
            <w:hideMark/>
          </w:tcPr>
          <w:p w14:paraId="06AFDCFB" w14:textId="77777777" w:rsidR="00F00781" w:rsidRPr="00F00781" w:rsidRDefault="00F00781" w:rsidP="00F00781">
            <w:pPr>
              <w:rPr>
                <w:rFonts w:ascii="Arial Narrow" w:hAnsi="Arial Narrow" w:cs="Calibri"/>
                <w:sz w:val="14"/>
                <w:szCs w:val="14"/>
              </w:rPr>
            </w:pPr>
            <w:r w:rsidRPr="00F00781">
              <w:rPr>
                <w:rFonts w:ascii="Arial Narrow" w:hAnsi="Arial Narrow" w:cs="Calibri"/>
                <w:sz w:val="14"/>
                <w:szCs w:val="14"/>
              </w:rPr>
              <w:t xml:space="preserve"> 12</w:t>
            </w:r>
          </w:p>
        </w:tc>
        <w:tc>
          <w:tcPr>
            <w:tcW w:w="1671" w:type="dxa"/>
            <w:tcBorders>
              <w:top w:val="nil"/>
              <w:left w:val="nil"/>
              <w:bottom w:val="single" w:sz="4" w:space="0" w:color="auto"/>
              <w:right w:val="single" w:sz="4" w:space="0" w:color="auto"/>
            </w:tcBorders>
            <w:shd w:val="clear" w:color="auto" w:fill="auto"/>
            <w:vAlign w:val="center"/>
            <w:hideMark/>
          </w:tcPr>
          <w:p w14:paraId="23BD47FA" w14:textId="77777777" w:rsidR="00F00781" w:rsidRPr="00F00781" w:rsidRDefault="00F00781" w:rsidP="00F00781">
            <w:pPr>
              <w:rPr>
                <w:rFonts w:ascii="Arial Narrow" w:hAnsi="Arial Narrow" w:cs="Calibri"/>
                <w:sz w:val="14"/>
                <w:szCs w:val="14"/>
              </w:rPr>
            </w:pPr>
            <w:r w:rsidRPr="00F00781">
              <w:rPr>
                <w:rFonts w:ascii="Arial Narrow" w:hAnsi="Arial Narrow" w:cs="Calibri"/>
                <w:sz w:val="14"/>
                <w:szCs w:val="14"/>
              </w:rPr>
              <w:t>Продукти от животновъдството</w:t>
            </w:r>
          </w:p>
        </w:tc>
        <w:tc>
          <w:tcPr>
            <w:tcW w:w="773" w:type="dxa"/>
            <w:tcBorders>
              <w:top w:val="nil"/>
              <w:left w:val="nil"/>
              <w:bottom w:val="single" w:sz="4" w:space="0" w:color="auto"/>
              <w:right w:val="single" w:sz="4" w:space="0" w:color="auto"/>
            </w:tcBorders>
            <w:shd w:val="clear" w:color="auto" w:fill="auto"/>
            <w:vAlign w:val="center"/>
            <w:hideMark/>
          </w:tcPr>
          <w:p w14:paraId="2F7EFD8A"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1 097,8</w:t>
            </w:r>
          </w:p>
        </w:tc>
        <w:tc>
          <w:tcPr>
            <w:tcW w:w="582" w:type="dxa"/>
            <w:tcBorders>
              <w:top w:val="nil"/>
              <w:left w:val="nil"/>
              <w:bottom w:val="single" w:sz="4" w:space="0" w:color="auto"/>
              <w:right w:val="single" w:sz="4" w:space="0" w:color="auto"/>
            </w:tcBorders>
            <w:shd w:val="clear" w:color="auto" w:fill="auto"/>
            <w:vAlign w:val="center"/>
            <w:hideMark/>
          </w:tcPr>
          <w:p w14:paraId="35D1680E" w14:textId="77777777" w:rsidR="00F00781" w:rsidRPr="00F00781" w:rsidRDefault="00F00781" w:rsidP="00F00781">
            <w:pPr>
              <w:rPr>
                <w:rFonts w:ascii="Arial Narrow" w:hAnsi="Arial Narrow" w:cs="Calibri"/>
                <w:sz w:val="14"/>
                <w:szCs w:val="14"/>
              </w:rPr>
            </w:pPr>
            <w:r w:rsidRPr="00F00781">
              <w:rPr>
                <w:rFonts w:ascii="Arial Narrow" w:hAnsi="Arial Narrow" w:cs="Calibri"/>
                <w:sz w:val="14"/>
                <w:szCs w:val="14"/>
              </w:rPr>
              <w:t> </w:t>
            </w:r>
          </w:p>
        </w:tc>
        <w:tc>
          <w:tcPr>
            <w:tcW w:w="681" w:type="dxa"/>
            <w:tcBorders>
              <w:top w:val="nil"/>
              <w:left w:val="nil"/>
              <w:bottom w:val="single" w:sz="4" w:space="0" w:color="auto"/>
              <w:right w:val="single" w:sz="4" w:space="0" w:color="auto"/>
            </w:tcBorders>
            <w:shd w:val="clear" w:color="auto" w:fill="auto"/>
            <w:vAlign w:val="center"/>
            <w:hideMark/>
          </w:tcPr>
          <w:p w14:paraId="3D91C185"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124,0</w:t>
            </w:r>
          </w:p>
        </w:tc>
        <w:tc>
          <w:tcPr>
            <w:tcW w:w="789" w:type="dxa"/>
            <w:tcBorders>
              <w:top w:val="nil"/>
              <w:left w:val="nil"/>
              <w:bottom w:val="single" w:sz="4" w:space="0" w:color="auto"/>
              <w:right w:val="single" w:sz="4" w:space="0" w:color="auto"/>
            </w:tcBorders>
            <w:shd w:val="clear" w:color="auto" w:fill="auto"/>
            <w:vAlign w:val="center"/>
            <w:hideMark/>
          </w:tcPr>
          <w:p w14:paraId="1BB9DC64" w14:textId="77777777" w:rsidR="00F00781" w:rsidRPr="00F00781" w:rsidRDefault="00F00781" w:rsidP="00F00781">
            <w:pPr>
              <w:rPr>
                <w:rFonts w:ascii="Arial Narrow" w:hAnsi="Arial Narrow" w:cs="Calibri"/>
                <w:sz w:val="14"/>
                <w:szCs w:val="14"/>
              </w:rPr>
            </w:pPr>
            <w:r w:rsidRPr="00F00781">
              <w:rPr>
                <w:rFonts w:ascii="Arial Narrow" w:hAnsi="Arial Narrow" w:cs="Calibri"/>
                <w:sz w:val="14"/>
                <w:szCs w:val="14"/>
              </w:rPr>
              <w:t> </w:t>
            </w:r>
          </w:p>
        </w:tc>
        <w:tc>
          <w:tcPr>
            <w:tcW w:w="693" w:type="dxa"/>
            <w:tcBorders>
              <w:top w:val="nil"/>
              <w:left w:val="nil"/>
              <w:bottom w:val="single" w:sz="4" w:space="0" w:color="auto"/>
              <w:right w:val="single" w:sz="4" w:space="0" w:color="auto"/>
            </w:tcBorders>
            <w:shd w:val="clear" w:color="auto" w:fill="auto"/>
            <w:vAlign w:val="center"/>
            <w:hideMark/>
          </w:tcPr>
          <w:p w14:paraId="4448B056"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25,3</w:t>
            </w:r>
          </w:p>
        </w:tc>
        <w:tc>
          <w:tcPr>
            <w:tcW w:w="537" w:type="dxa"/>
            <w:tcBorders>
              <w:top w:val="nil"/>
              <w:left w:val="nil"/>
              <w:bottom w:val="single" w:sz="4" w:space="0" w:color="auto"/>
              <w:right w:val="single" w:sz="4" w:space="0" w:color="auto"/>
            </w:tcBorders>
            <w:shd w:val="clear" w:color="auto" w:fill="auto"/>
            <w:vAlign w:val="center"/>
            <w:hideMark/>
          </w:tcPr>
          <w:p w14:paraId="33A19C13"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44,7</w:t>
            </w:r>
          </w:p>
        </w:tc>
        <w:tc>
          <w:tcPr>
            <w:tcW w:w="1143" w:type="dxa"/>
            <w:tcBorders>
              <w:top w:val="nil"/>
              <w:left w:val="nil"/>
              <w:bottom w:val="single" w:sz="4" w:space="0" w:color="auto"/>
              <w:right w:val="single" w:sz="4" w:space="0" w:color="auto"/>
            </w:tcBorders>
            <w:shd w:val="clear" w:color="auto" w:fill="auto"/>
            <w:vAlign w:val="center"/>
            <w:hideMark/>
          </w:tcPr>
          <w:p w14:paraId="59ED4DA8"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29,5</w:t>
            </w:r>
          </w:p>
        </w:tc>
        <w:tc>
          <w:tcPr>
            <w:tcW w:w="1200" w:type="dxa"/>
            <w:tcBorders>
              <w:top w:val="nil"/>
              <w:left w:val="nil"/>
              <w:bottom w:val="single" w:sz="4" w:space="0" w:color="auto"/>
              <w:right w:val="single" w:sz="4" w:space="0" w:color="auto"/>
            </w:tcBorders>
            <w:shd w:val="clear" w:color="auto" w:fill="auto"/>
            <w:vAlign w:val="center"/>
            <w:hideMark/>
          </w:tcPr>
          <w:p w14:paraId="7FC90E2E"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20,2</w:t>
            </w:r>
          </w:p>
        </w:tc>
        <w:tc>
          <w:tcPr>
            <w:tcW w:w="721" w:type="dxa"/>
            <w:tcBorders>
              <w:top w:val="nil"/>
              <w:left w:val="nil"/>
              <w:bottom w:val="single" w:sz="4" w:space="0" w:color="auto"/>
              <w:right w:val="single" w:sz="4" w:space="0" w:color="auto"/>
            </w:tcBorders>
            <w:shd w:val="clear" w:color="auto" w:fill="auto"/>
            <w:vAlign w:val="center"/>
            <w:hideMark/>
          </w:tcPr>
          <w:p w14:paraId="5F31E6FB"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103,9</w:t>
            </w:r>
          </w:p>
        </w:tc>
        <w:tc>
          <w:tcPr>
            <w:tcW w:w="721" w:type="dxa"/>
            <w:tcBorders>
              <w:top w:val="nil"/>
              <w:left w:val="nil"/>
              <w:bottom w:val="single" w:sz="4" w:space="0" w:color="auto"/>
              <w:right w:val="single" w:sz="4" w:space="0" w:color="auto"/>
            </w:tcBorders>
            <w:shd w:val="clear" w:color="auto" w:fill="auto"/>
            <w:vAlign w:val="center"/>
            <w:hideMark/>
          </w:tcPr>
          <w:p w14:paraId="18771728"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910,5</w:t>
            </w:r>
          </w:p>
        </w:tc>
        <w:tc>
          <w:tcPr>
            <w:tcW w:w="698" w:type="dxa"/>
            <w:tcBorders>
              <w:top w:val="nil"/>
              <w:left w:val="nil"/>
              <w:bottom w:val="single" w:sz="4" w:space="0" w:color="auto"/>
              <w:right w:val="single" w:sz="4" w:space="0" w:color="auto"/>
            </w:tcBorders>
            <w:shd w:val="clear" w:color="auto" w:fill="auto"/>
            <w:vAlign w:val="center"/>
            <w:hideMark/>
          </w:tcPr>
          <w:p w14:paraId="2BC0298E"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47,2</w:t>
            </w:r>
          </w:p>
        </w:tc>
        <w:tc>
          <w:tcPr>
            <w:tcW w:w="765" w:type="dxa"/>
            <w:tcBorders>
              <w:top w:val="nil"/>
              <w:left w:val="nil"/>
              <w:bottom w:val="single" w:sz="4" w:space="0" w:color="auto"/>
              <w:right w:val="single" w:sz="4" w:space="0" w:color="auto"/>
            </w:tcBorders>
            <w:shd w:val="clear" w:color="auto" w:fill="auto"/>
            <w:vAlign w:val="center"/>
            <w:hideMark/>
          </w:tcPr>
          <w:p w14:paraId="06070621"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1 061,7</w:t>
            </w:r>
          </w:p>
        </w:tc>
        <w:tc>
          <w:tcPr>
            <w:tcW w:w="970" w:type="dxa"/>
            <w:tcBorders>
              <w:top w:val="nil"/>
              <w:left w:val="nil"/>
              <w:bottom w:val="single" w:sz="4" w:space="0" w:color="auto"/>
              <w:right w:val="single" w:sz="4" w:space="0" w:color="auto"/>
            </w:tcBorders>
            <w:shd w:val="clear" w:color="auto" w:fill="auto"/>
            <w:vAlign w:val="center"/>
            <w:hideMark/>
          </w:tcPr>
          <w:p w14:paraId="5682D5C9" w14:textId="77777777" w:rsidR="00F00781" w:rsidRPr="00F00781" w:rsidRDefault="00F00781" w:rsidP="00F00781">
            <w:pPr>
              <w:rPr>
                <w:rFonts w:ascii="Arial Narrow" w:hAnsi="Arial Narrow" w:cs="Calibri"/>
                <w:sz w:val="14"/>
                <w:szCs w:val="14"/>
              </w:rPr>
            </w:pPr>
            <w:r w:rsidRPr="00F00781">
              <w:rPr>
                <w:rFonts w:ascii="Arial Narrow" w:hAnsi="Arial Narrow" w:cs="Calibri"/>
                <w:sz w:val="14"/>
                <w:szCs w:val="14"/>
              </w:rPr>
              <w:t> </w:t>
            </w:r>
          </w:p>
        </w:tc>
        <w:tc>
          <w:tcPr>
            <w:tcW w:w="602" w:type="dxa"/>
            <w:tcBorders>
              <w:top w:val="nil"/>
              <w:left w:val="nil"/>
              <w:bottom w:val="single" w:sz="4" w:space="0" w:color="auto"/>
              <w:right w:val="single" w:sz="4" w:space="0" w:color="auto"/>
            </w:tcBorders>
            <w:shd w:val="clear" w:color="auto" w:fill="auto"/>
            <w:vAlign w:val="center"/>
            <w:hideMark/>
          </w:tcPr>
          <w:p w14:paraId="745069E4"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40,4</w:t>
            </w:r>
          </w:p>
        </w:tc>
        <w:tc>
          <w:tcPr>
            <w:tcW w:w="697" w:type="dxa"/>
            <w:tcBorders>
              <w:top w:val="nil"/>
              <w:left w:val="nil"/>
              <w:bottom w:val="single" w:sz="4" w:space="0" w:color="auto"/>
              <w:right w:val="single" w:sz="4" w:space="0" w:color="auto"/>
            </w:tcBorders>
            <w:shd w:val="clear" w:color="auto" w:fill="auto"/>
            <w:vAlign w:val="center"/>
            <w:hideMark/>
          </w:tcPr>
          <w:p w14:paraId="4BFB42EB"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-83,7</w:t>
            </w:r>
          </w:p>
        </w:tc>
        <w:tc>
          <w:tcPr>
            <w:tcW w:w="869" w:type="dxa"/>
            <w:tcBorders>
              <w:top w:val="nil"/>
              <w:left w:val="nil"/>
              <w:bottom w:val="single" w:sz="4" w:space="0" w:color="auto"/>
              <w:right w:val="single" w:sz="4" w:space="0" w:color="auto"/>
            </w:tcBorders>
            <w:shd w:val="clear" w:color="auto" w:fill="auto"/>
            <w:vAlign w:val="center"/>
            <w:hideMark/>
          </w:tcPr>
          <w:p w14:paraId="01430B37"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1 027,8</w:t>
            </w:r>
          </w:p>
        </w:tc>
      </w:tr>
      <w:tr w:rsidR="00F00781" w:rsidRPr="00F00781" w14:paraId="1C4A7492" w14:textId="77777777" w:rsidTr="00E01BBF">
        <w:trPr>
          <w:trHeight w:val="196"/>
        </w:trPr>
        <w:tc>
          <w:tcPr>
            <w:tcW w:w="632" w:type="dxa"/>
            <w:tcBorders>
              <w:top w:val="nil"/>
              <w:left w:val="single" w:sz="4" w:space="0" w:color="auto"/>
              <w:bottom w:val="single" w:sz="4" w:space="0" w:color="auto"/>
              <w:right w:val="single" w:sz="4" w:space="0" w:color="auto"/>
            </w:tcBorders>
            <w:shd w:val="clear" w:color="auto" w:fill="auto"/>
            <w:vAlign w:val="center"/>
            <w:hideMark/>
          </w:tcPr>
          <w:p w14:paraId="3E093846" w14:textId="77777777" w:rsidR="00F00781" w:rsidRPr="00F00781" w:rsidRDefault="00F00781" w:rsidP="00F00781">
            <w:pPr>
              <w:rPr>
                <w:rFonts w:ascii="Arial Narrow" w:hAnsi="Arial Narrow" w:cs="Calibri"/>
                <w:sz w:val="14"/>
                <w:szCs w:val="14"/>
              </w:rPr>
            </w:pPr>
            <w:r w:rsidRPr="00F00781">
              <w:rPr>
                <w:rFonts w:ascii="Arial Narrow" w:hAnsi="Arial Narrow" w:cs="Calibri"/>
                <w:sz w:val="14"/>
                <w:szCs w:val="14"/>
              </w:rPr>
              <w:t xml:space="preserve"> 12.1</w:t>
            </w:r>
          </w:p>
        </w:tc>
        <w:tc>
          <w:tcPr>
            <w:tcW w:w="1671" w:type="dxa"/>
            <w:tcBorders>
              <w:top w:val="nil"/>
              <w:left w:val="nil"/>
              <w:bottom w:val="single" w:sz="4" w:space="0" w:color="auto"/>
              <w:right w:val="single" w:sz="4" w:space="0" w:color="auto"/>
            </w:tcBorders>
            <w:shd w:val="clear" w:color="auto" w:fill="auto"/>
            <w:vAlign w:val="center"/>
            <w:hideMark/>
          </w:tcPr>
          <w:p w14:paraId="02C0AF28" w14:textId="77777777" w:rsidR="00F00781" w:rsidRPr="00F00781" w:rsidRDefault="00F00781" w:rsidP="00F00781">
            <w:pPr>
              <w:ind w:firstLineChars="100" w:firstLine="140"/>
              <w:rPr>
                <w:rFonts w:ascii="Arial Narrow" w:hAnsi="Arial Narrow" w:cs="Calibri"/>
                <w:sz w:val="14"/>
                <w:szCs w:val="14"/>
              </w:rPr>
            </w:pPr>
            <w:r w:rsidRPr="00F00781">
              <w:rPr>
                <w:rFonts w:ascii="Arial Narrow" w:hAnsi="Arial Narrow" w:cs="Calibri"/>
                <w:sz w:val="14"/>
                <w:szCs w:val="14"/>
              </w:rPr>
              <w:t>Мляко</w:t>
            </w:r>
          </w:p>
        </w:tc>
        <w:tc>
          <w:tcPr>
            <w:tcW w:w="773" w:type="dxa"/>
            <w:tcBorders>
              <w:top w:val="nil"/>
              <w:left w:val="nil"/>
              <w:bottom w:val="single" w:sz="4" w:space="0" w:color="auto"/>
              <w:right w:val="single" w:sz="4" w:space="0" w:color="auto"/>
            </w:tcBorders>
            <w:shd w:val="clear" w:color="auto" w:fill="auto"/>
            <w:vAlign w:val="center"/>
            <w:hideMark/>
          </w:tcPr>
          <w:p w14:paraId="350C3DF7"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693,0</w:t>
            </w:r>
          </w:p>
        </w:tc>
        <w:tc>
          <w:tcPr>
            <w:tcW w:w="582" w:type="dxa"/>
            <w:tcBorders>
              <w:top w:val="nil"/>
              <w:left w:val="nil"/>
              <w:bottom w:val="single" w:sz="4" w:space="0" w:color="auto"/>
              <w:right w:val="single" w:sz="4" w:space="0" w:color="auto"/>
            </w:tcBorders>
            <w:shd w:val="clear" w:color="auto" w:fill="auto"/>
            <w:vAlign w:val="center"/>
            <w:hideMark/>
          </w:tcPr>
          <w:p w14:paraId="31B1FB8F" w14:textId="77777777" w:rsidR="00F00781" w:rsidRPr="00F00781" w:rsidRDefault="00F00781" w:rsidP="00F00781">
            <w:pPr>
              <w:rPr>
                <w:rFonts w:ascii="Arial Narrow" w:hAnsi="Arial Narrow" w:cs="Calibri"/>
                <w:sz w:val="14"/>
                <w:szCs w:val="14"/>
              </w:rPr>
            </w:pPr>
            <w:r w:rsidRPr="00F00781">
              <w:rPr>
                <w:rFonts w:ascii="Arial Narrow" w:hAnsi="Arial Narrow" w:cs="Calibri"/>
                <w:sz w:val="14"/>
                <w:szCs w:val="14"/>
              </w:rPr>
              <w:t> </w:t>
            </w:r>
          </w:p>
        </w:tc>
        <w:tc>
          <w:tcPr>
            <w:tcW w:w="681" w:type="dxa"/>
            <w:tcBorders>
              <w:top w:val="nil"/>
              <w:left w:val="nil"/>
              <w:bottom w:val="single" w:sz="4" w:space="0" w:color="auto"/>
              <w:right w:val="single" w:sz="4" w:space="0" w:color="auto"/>
            </w:tcBorders>
            <w:shd w:val="clear" w:color="auto" w:fill="auto"/>
            <w:vAlign w:val="center"/>
            <w:hideMark/>
          </w:tcPr>
          <w:p w14:paraId="140C6ABA" w14:textId="77777777" w:rsidR="00F00781" w:rsidRPr="00F00781" w:rsidRDefault="00F00781" w:rsidP="00F00781">
            <w:pPr>
              <w:rPr>
                <w:rFonts w:ascii="Arial Narrow" w:hAnsi="Arial Narrow" w:cs="Calibri"/>
                <w:sz w:val="14"/>
                <w:szCs w:val="14"/>
              </w:rPr>
            </w:pPr>
            <w:r w:rsidRPr="00F00781">
              <w:rPr>
                <w:rFonts w:ascii="Arial Narrow" w:hAnsi="Arial Narrow" w:cs="Calibri"/>
                <w:sz w:val="14"/>
                <w:szCs w:val="14"/>
              </w:rPr>
              <w:t> </w:t>
            </w:r>
          </w:p>
        </w:tc>
        <w:tc>
          <w:tcPr>
            <w:tcW w:w="789" w:type="dxa"/>
            <w:tcBorders>
              <w:top w:val="nil"/>
              <w:left w:val="nil"/>
              <w:bottom w:val="single" w:sz="4" w:space="0" w:color="auto"/>
              <w:right w:val="single" w:sz="4" w:space="0" w:color="auto"/>
            </w:tcBorders>
            <w:shd w:val="clear" w:color="auto" w:fill="auto"/>
            <w:vAlign w:val="center"/>
            <w:hideMark/>
          </w:tcPr>
          <w:p w14:paraId="3B6729E0" w14:textId="77777777" w:rsidR="00F00781" w:rsidRPr="00F00781" w:rsidRDefault="00F00781" w:rsidP="00F00781">
            <w:pPr>
              <w:rPr>
                <w:rFonts w:ascii="Arial Narrow" w:hAnsi="Arial Narrow" w:cs="Calibri"/>
                <w:sz w:val="14"/>
                <w:szCs w:val="14"/>
              </w:rPr>
            </w:pPr>
            <w:r w:rsidRPr="00F00781">
              <w:rPr>
                <w:rFonts w:ascii="Arial Narrow" w:hAnsi="Arial Narrow" w:cs="Calibri"/>
                <w:sz w:val="14"/>
                <w:szCs w:val="14"/>
              </w:rPr>
              <w:t> </w:t>
            </w:r>
          </w:p>
        </w:tc>
        <w:tc>
          <w:tcPr>
            <w:tcW w:w="693" w:type="dxa"/>
            <w:tcBorders>
              <w:top w:val="nil"/>
              <w:left w:val="nil"/>
              <w:bottom w:val="single" w:sz="4" w:space="0" w:color="auto"/>
              <w:right w:val="single" w:sz="4" w:space="0" w:color="auto"/>
            </w:tcBorders>
            <w:shd w:val="clear" w:color="auto" w:fill="auto"/>
            <w:vAlign w:val="center"/>
            <w:hideMark/>
          </w:tcPr>
          <w:p w14:paraId="7FBE5B13"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22,2</w:t>
            </w:r>
          </w:p>
        </w:tc>
        <w:tc>
          <w:tcPr>
            <w:tcW w:w="537" w:type="dxa"/>
            <w:tcBorders>
              <w:top w:val="nil"/>
              <w:left w:val="nil"/>
              <w:bottom w:val="single" w:sz="4" w:space="0" w:color="auto"/>
              <w:right w:val="single" w:sz="4" w:space="0" w:color="auto"/>
            </w:tcBorders>
            <w:shd w:val="clear" w:color="auto" w:fill="auto"/>
            <w:vAlign w:val="center"/>
            <w:hideMark/>
          </w:tcPr>
          <w:p w14:paraId="44B8ECE6" w14:textId="77777777" w:rsidR="00F00781" w:rsidRPr="00F00781" w:rsidRDefault="00F00781" w:rsidP="00F00781">
            <w:pPr>
              <w:rPr>
                <w:rFonts w:ascii="Arial Narrow" w:hAnsi="Arial Narrow" w:cs="Calibri"/>
                <w:sz w:val="14"/>
                <w:szCs w:val="14"/>
              </w:rPr>
            </w:pPr>
            <w:r w:rsidRPr="00F00781">
              <w:rPr>
                <w:rFonts w:ascii="Arial Narrow" w:hAnsi="Arial Narrow" w:cs="Calibri"/>
                <w:sz w:val="14"/>
                <w:szCs w:val="14"/>
              </w:rPr>
              <w:t> </w:t>
            </w:r>
          </w:p>
        </w:tc>
        <w:tc>
          <w:tcPr>
            <w:tcW w:w="1143" w:type="dxa"/>
            <w:tcBorders>
              <w:top w:val="nil"/>
              <w:left w:val="nil"/>
              <w:bottom w:val="single" w:sz="4" w:space="0" w:color="auto"/>
              <w:right w:val="single" w:sz="4" w:space="0" w:color="auto"/>
            </w:tcBorders>
            <w:shd w:val="clear" w:color="auto" w:fill="auto"/>
            <w:vAlign w:val="center"/>
            <w:hideMark/>
          </w:tcPr>
          <w:p w14:paraId="05651D48"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27,3</w:t>
            </w:r>
          </w:p>
        </w:tc>
        <w:tc>
          <w:tcPr>
            <w:tcW w:w="1200" w:type="dxa"/>
            <w:tcBorders>
              <w:top w:val="nil"/>
              <w:left w:val="nil"/>
              <w:bottom w:val="single" w:sz="4" w:space="0" w:color="auto"/>
              <w:right w:val="single" w:sz="4" w:space="0" w:color="auto"/>
            </w:tcBorders>
            <w:shd w:val="clear" w:color="auto" w:fill="auto"/>
            <w:vAlign w:val="center"/>
            <w:hideMark/>
          </w:tcPr>
          <w:p w14:paraId="132111F3"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5,4</w:t>
            </w:r>
          </w:p>
        </w:tc>
        <w:tc>
          <w:tcPr>
            <w:tcW w:w="721" w:type="dxa"/>
            <w:tcBorders>
              <w:top w:val="nil"/>
              <w:left w:val="nil"/>
              <w:bottom w:val="single" w:sz="4" w:space="0" w:color="auto"/>
              <w:right w:val="single" w:sz="4" w:space="0" w:color="auto"/>
            </w:tcBorders>
            <w:shd w:val="clear" w:color="auto" w:fill="auto"/>
            <w:vAlign w:val="center"/>
            <w:hideMark/>
          </w:tcPr>
          <w:p w14:paraId="76BA52FE"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43,4</w:t>
            </w:r>
          </w:p>
        </w:tc>
        <w:tc>
          <w:tcPr>
            <w:tcW w:w="721" w:type="dxa"/>
            <w:tcBorders>
              <w:top w:val="nil"/>
              <w:left w:val="nil"/>
              <w:bottom w:val="single" w:sz="4" w:space="0" w:color="auto"/>
              <w:right w:val="single" w:sz="4" w:space="0" w:color="auto"/>
            </w:tcBorders>
            <w:shd w:val="clear" w:color="auto" w:fill="auto"/>
            <w:vAlign w:val="center"/>
            <w:hideMark/>
          </w:tcPr>
          <w:p w14:paraId="650ED18F"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594,7</w:t>
            </w:r>
          </w:p>
        </w:tc>
        <w:tc>
          <w:tcPr>
            <w:tcW w:w="698" w:type="dxa"/>
            <w:tcBorders>
              <w:top w:val="nil"/>
              <w:left w:val="nil"/>
              <w:bottom w:val="single" w:sz="4" w:space="0" w:color="auto"/>
              <w:right w:val="single" w:sz="4" w:space="0" w:color="auto"/>
            </w:tcBorders>
            <w:shd w:val="clear" w:color="auto" w:fill="auto"/>
            <w:vAlign w:val="center"/>
            <w:hideMark/>
          </w:tcPr>
          <w:p w14:paraId="048A3B63" w14:textId="77777777" w:rsidR="00F00781" w:rsidRPr="00F00781" w:rsidRDefault="00F00781" w:rsidP="00F00781">
            <w:pPr>
              <w:rPr>
                <w:rFonts w:ascii="Arial Narrow" w:hAnsi="Arial Narrow" w:cs="Calibri"/>
                <w:sz w:val="14"/>
                <w:szCs w:val="14"/>
              </w:rPr>
            </w:pPr>
            <w:r w:rsidRPr="00F00781">
              <w:rPr>
                <w:rFonts w:ascii="Arial Narrow" w:hAnsi="Arial Narrow" w:cs="Calibri"/>
                <w:sz w:val="14"/>
                <w:szCs w:val="14"/>
              </w:rPr>
              <w:t> </w:t>
            </w:r>
          </w:p>
        </w:tc>
        <w:tc>
          <w:tcPr>
            <w:tcW w:w="765" w:type="dxa"/>
            <w:tcBorders>
              <w:top w:val="nil"/>
              <w:left w:val="nil"/>
              <w:bottom w:val="single" w:sz="4" w:space="0" w:color="auto"/>
              <w:right w:val="single" w:sz="4" w:space="0" w:color="auto"/>
            </w:tcBorders>
            <w:shd w:val="clear" w:color="auto" w:fill="auto"/>
            <w:vAlign w:val="center"/>
            <w:hideMark/>
          </w:tcPr>
          <w:p w14:paraId="4614EFAD"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638,1</w:t>
            </w:r>
          </w:p>
        </w:tc>
        <w:tc>
          <w:tcPr>
            <w:tcW w:w="970" w:type="dxa"/>
            <w:tcBorders>
              <w:top w:val="nil"/>
              <w:left w:val="nil"/>
              <w:bottom w:val="single" w:sz="4" w:space="0" w:color="auto"/>
              <w:right w:val="single" w:sz="4" w:space="0" w:color="auto"/>
            </w:tcBorders>
            <w:shd w:val="clear" w:color="auto" w:fill="auto"/>
            <w:vAlign w:val="center"/>
            <w:hideMark/>
          </w:tcPr>
          <w:p w14:paraId="2C3B87DB" w14:textId="77777777" w:rsidR="00F00781" w:rsidRPr="00F00781" w:rsidRDefault="00F00781" w:rsidP="00F00781">
            <w:pPr>
              <w:rPr>
                <w:rFonts w:ascii="Arial Narrow" w:hAnsi="Arial Narrow" w:cs="Calibri"/>
                <w:sz w:val="14"/>
                <w:szCs w:val="14"/>
              </w:rPr>
            </w:pPr>
            <w:r w:rsidRPr="00F00781">
              <w:rPr>
                <w:rFonts w:ascii="Arial Narrow" w:hAnsi="Arial Narrow" w:cs="Calibri"/>
                <w:sz w:val="14"/>
                <w:szCs w:val="14"/>
              </w:rPr>
              <w:t> </w:t>
            </w:r>
          </w:p>
        </w:tc>
        <w:tc>
          <w:tcPr>
            <w:tcW w:w="602" w:type="dxa"/>
            <w:tcBorders>
              <w:top w:val="nil"/>
              <w:left w:val="nil"/>
              <w:bottom w:val="single" w:sz="4" w:space="0" w:color="auto"/>
              <w:right w:val="single" w:sz="4" w:space="0" w:color="auto"/>
            </w:tcBorders>
            <w:shd w:val="clear" w:color="auto" w:fill="auto"/>
            <w:vAlign w:val="center"/>
            <w:hideMark/>
          </w:tcPr>
          <w:p w14:paraId="02D7A565" w14:textId="77777777" w:rsidR="00F00781" w:rsidRPr="00F00781" w:rsidRDefault="00F00781" w:rsidP="00F00781">
            <w:pPr>
              <w:rPr>
                <w:rFonts w:ascii="Arial Narrow" w:hAnsi="Arial Narrow" w:cs="Calibri"/>
                <w:sz w:val="14"/>
                <w:szCs w:val="14"/>
              </w:rPr>
            </w:pPr>
            <w:r w:rsidRPr="00F00781">
              <w:rPr>
                <w:rFonts w:ascii="Arial Narrow" w:hAnsi="Arial Narrow" w:cs="Calibri"/>
                <w:sz w:val="14"/>
                <w:szCs w:val="14"/>
              </w:rPr>
              <w:t> </w:t>
            </w:r>
          </w:p>
        </w:tc>
        <w:tc>
          <w:tcPr>
            <w:tcW w:w="697" w:type="dxa"/>
            <w:tcBorders>
              <w:top w:val="nil"/>
              <w:left w:val="nil"/>
              <w:bottom w:val="single" w:sz="4" w:space="0" w:color="auto"/>
              <w:right w:val="single" w:sz="4" w:space="0" w:color="auto"/>
            </w:tcBorders>
            <w:shd w:val="clear" w:color="auto" w:fill="auto"/>
            <w:vAlign w:val="center"/>
            <w:hideMark/>
          </w:tcPr>
          <w:p w14:paraId="25F0B616" w14:textId="77777777" w:rsidR="00F00781" w:rsidRPr="00F00781" w:rsidRDefault="00F00781" w:rsidP="00F00781">
            <w:pPr>
              <w:rPr>
                <w:rFonts w:ascii="Arial Narrow" w:hAnsi="Arial Narrow" w:cs="Calibri"/>
                <w:sz w:val="14"/>
                <w:szCs w:val="14"/>
              </w:rPr>
            </w:pPr>
            <w:r w:rsidRPr="00F00781">
              <w:rPr>
                <w:rFonts w:ascii="Arial Narrow" w:hAnsi="Arial Narrow" w:cs="Calibri"/>
                <w:sz w:val="14"/>
                <w:szCs w:val="14"/>
              </w:rPr>
              <w:t> </w:t>
            </w:r>
          </w:p>
        </w:tc>
        <w:tc>
          <w:tcPr>
            <w:tcW w:w="869" w:type="dxa"/>
            <w:tcBorders>
              <w:top w:val="nil"/>
              <w:left w:val="nil"/>
              <w:bottom w:val="single" w:sz="4" w:space="0" w:color="auto"/>
              <w:right w:val="single" w:sz="4" w:space="0" w:color="auto"/>
            </w:tcBorders>
            <w:shd w:val="clear" w:color="auto" w:fill="auto"/>
            <w:vAlign w:val="center"/>
            <w:hideMark/>
          </w:tcPr>
          <w:p w14:paraId="1E862BC9"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670,8</w:t>
            </w:r>
          </w:p>
        </w:tc>
      </w:tr>
      <w:tr w:rsidR="00F00781" w:rsidRPr="00F00781" w14:paraId="0BC6FCB3" w14:textId="77777777" w:rsidTr="00E01BBF">
        <w:trPr>
          <w:trHeight w:val="196"/>
        </w:trPr>
        <w:tc>
          <w:tcPr>
            <w:tcW w:w="632" w:type="dxa"/>
            <w:tcBorders>
              <w:top w:val="nil"/>
              <w:left w:val="single" w:sz="4" w:space="0" w:color="auto"/>
              <w:bottom w:val="single" w:sz="4" w:space="0" w:color="auto"/>
              <w:right w:val="single" w:sz="4" w:space="0" w:color="auto"/>
            </w:tcBorders>
            <w:shd w:val="clear" w:color="auto" w:fill="auto"/>
            <w:vAlign w:val="center"/>
            <w:hideMark/>
          </w:tcPr>
          <w:p w14:paraId="6F66C181" w14:textId="77777777" w:rsidR="00F00781" w:rsidRPr="00F00781" w:rsidRDefault="00F00781" w:rsidP="00F00781">
            <w:pPr>
              <w:rPr>
                <w:rFonts w:ascii="Arial Narrow" w:hAnsi="Arial Narrow" w:cs="Calibri"/>
                <w:sz w:val="14"/>
                <w:szCs w:val="14"/>
              </w:rPr>
            </w:pPr>
            <w:r w:rsidRPr="00F00781">
              <w:rPr>
                <w:rFonts w:ascii="Arial Narrow" w:hAnsi="Arial Narrow" w:cs="Calibri"/>
                <w:sz w:val="14"/>
                <w:szCs w:val="14"/>
              </w:rPr>
              <w:t xml:space="preserve"> 12.2</w:t>
            </w:r>
          </w:p>
        </w:tc>
        <w:tc>
          <w:tcPr>
            <w:tcW w:w="1671" w:type="dxa"/>
            <w:tcBorders>
              <w:top w:val="nil"/>
              <w:left w:val="nil"/>
              <w:bottom w:val="single" w:sz="4" w:space="0" w:color="auto"/>
              <w:right w:val="single" w:sz="4" w:space="0" w:color="auto"/>
            </w:tcBorders>
            <w:shd w:val="clear" w:color="auto" w:fill="auto"/>
            <w:vAlign w:val="center"/>
            <w:hideMark/>
          </w:tcPr>
          <w:p w14:paraId="541A621B" w14:textId="77777777" w:rsidR="00F00781" w:rsidRPr="00F00781" w:rsidRDefault="00F00781" w:rsidP="00F00781">
            <w:pPr>
              <w:ind w:firstLineChars="100" w:firstLine="140"/>
              <w:rPr>
                <w:rFonts w:ascii="Arial Narrow" w:hAnsi="Arial Narrow" w:cs="Calibri"/>
                <w:sz w:val="14"/>
                <w:szCs w:val="14"/>
              </w:rPr>
            </w:pPr>
            <w:r w:rsidRPr="00F00781">
              <w:rPr>
                <w:rFonts w:ascii="Arial Narrow" w:hAnsi="Arial Narrow" w:cs="Calibri"/>
                <w:sz w:val="14"/>
                <w:szCs w:val="14"/>
              </w:rPr>
              <w:t>Яйца</w:t>
            </w:r>
          </w:p>
        </w:tc>
        <w:tc>
          <w:tcPr>
            <w:tcW w:w="773" w:type="dxa"/>
            <w:tcBorders>
              <w:top w:val="nil"/>
              <w:left w:val="nil"/>
              <w:bottom w:val="single" w:sz="4" w:space="0" w:color="auto"/>
              <w:right w:val="single" w:sz="4" w:space="0" w:color="auto"/>
            </w:tcBorders>
            <w:shd w:val="clear" w:color="auto" w:fill="auto"/>
            <w:vAlign w:val="center"/>
            <w:hideMark/>
          </w:tcPr>
          <w:p w14:paraId="1332838C"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303,4</w:t>
            </w:r>
          </w:p>
        </w:tc>
        <w:tc>
          <w:tcPr>
            <w:tcW w:w="582" w:type="dxa"/>
            <w:tcBorders>
              <w:top w:val="nil"/>
              <w:left w:val="nil"/>
              <w:bottom w:val="single" w:sz="4" w:space="0" w:color="auto"/>
              <w:right w:val="single" w:sz="4" w:space="0" w:color="auto"/>
            </w:tcBorders>
            <w:shd w:val="clear" w:color="auto" w:fill="auto"/>
            <w:vAlign w:val="center"/>
            <w:hideMark/>
          </w:tcPr>
          <w:p w14:paraId="13ED4E41" w14:textId="77777777" w:rsidR="00F00781" w:rsidRPr="00F00781" w:rsidRDefault="00F00781" w:rsidP="00F00781">
            <w:pPr>
              <w:rPr>
                <w:rFonts w:ascii="Arial Narrow" w:hAnsi="Arial Narrow" w:cs="Calibri"/>
                <w:sz w:val="14"/>
                <w:szCs w:val="14"/>
              </w:rPr>
            </w:pPr>
            <w:r w:rsidRPr="00F00781">
              <w:rPr>
                <w:rFonts w:ascii="Arial Narrow" w:hAnsi="Arial Narrow" w:cs="Calibri"/>
                <w:sz w:val="14"/>
                <w:szCs w:val="14"/>
              </w:rPr>
              <w:t> </w:t>
            </w:r>
          </w:p>
        </w:tc>
        <w:tc>
          <w:tcPr>
            <w:tcW w:w="681" w:type="dxa"/>
            <w:tcBorders>
              <w:top w:val="nil"/>
              <w:left w:val="nil"/>
              <w:bottom w:val="single" w:sz="4" w:space="0" w:color="auto"/>
              <w:right w:val="single" w:sz="4" w:space="0" w:color="auto"/>
            </w:tcBorders>
            <w:shd w:val="clear" w:color="auto" w:fill="auto"/>
            <w:vAlign w:val="center"/>
            <w:hideMark/>
          </w:tcPr>
          <w:p w14:paraId="11DFD687"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7,9</w:t>
            </w:r>
          </w:p>
        </w:tc>
        <w:tc>
          <w:tcPr>
            <w:tcW w:w="789" w:type="dxa"/>
            <w:tcBorders>
              <w:top w:val="nil"/>
              <w:left w:val="nil"/>
              <w:bottom w:val="single" w:sz="4" w:space="0" w:color="auto"/>
              <w:right w:val="single" w:sz="4" w:space="0" w:color="auto"/>
            </w:tcBorders>
            <w:shd w:val="clear" w:color="auto" w:fill="auto"/>
            <w:vAlign w:val="center"/>
            <w:hideMark/>
          </w:tcPr>
          <w:p w14:paraId="5335B463" w14:textId="77777777" w:rsidR="00F00781" w:rsidRPr="00F00781" w:rsidRDefault="00F00781" w:rsidP="00F00781">
            <w:pPr>
              <w:rPr>
                <w:rFonts w:ascii="Arial Narrow" w:hAnsi="Arial Narrow" w:cs="Calibri"/>
                <w:sz w:val="14"/>
                <w:szCs w:val="14"/>
              </w:rPr>
            </w:pPr>
            <w:r w:rsidRPr="00F00781">
              <w:rPr>
                <w:rFonts w:ascii="Arial Narrow" w:hAnsi="Arial Narrow" w:cs="Calibri"/>
                <w:sz w:val="14"/>
                <w:szCs w:val="14"/>
              </w:rPr>
              <w:t> </w:t>
            </w:r>
          </w:p>
        </w:tc>
        <w:tc>
          <w:tcPr>
            <w:tcW w:w="693" w:type="dxa"/>
            <w:tcBorders>
              <w:top w:val="nil"/>
              <w:left w:val="nil"/>
              <w:bottom w:val="single" w:sz="4" w:space="0" w:color="auto"/>
              <w:right w:val="single" w:sz="4" w:space="0" w:color="auto"/>
            </w:tcBorders>
            <w:shd w:val="clear" w:color="auto" w:fill="auto"/>
            <w:vAlign w:val="center"/>
            <w:hideMark/>
          </w:tcPr>
          <w:p w14:paraId="4E560E69" w14:textId="77777777" w:rsidR="00F00781" w:rsidRPr="00F00781" w:rsidRDefault="00F00781" w:rsidP="00F00781">
            <w:pPr>
              <w:rPr>
                <w:rFonts w:ascii="Arial Narrow" w:hAnsi="Arial Narrow" w:cs="Calibri"/>
                <w:sz w:val="14"/>
                <w:szCs w:val="14"/>
              </w:rPr>
            </w:pPr>
            <w:r w:rsidRPr="00F00781">
              <w:rPr>
                <w:rFonts w:ascii="Arial Narrow" w:hAnsi="Arial Narrow" w:cs="Calibri"/>
                <w:sz w:val="14"/>
                <w:szCs w:val="14"/>
              </w:rPr>
              <w:t> </w:t>
            </w:r>
          </w:p>
        </w:tc>
        <w:tc>
          <w:tcPr>
            <w:tcW w:w="537" w:type="dxa"/>
            <w:tcBorders>
              <w:top w:val="nil"/>
              <w:left w:val="nil"/>
              <w:bottom w:val="single" w:sz="4" w:space="0" w:color="auto"/>
              <w:right w:val="single" w:sz="4" w:space="0" w:color="auto"/>
            </w:tcBorders>
            <w:shd w:val="clear" w:color="auto" w:fill="auto"/>
            <w:vAlign w:val="center"/>
            <w:hideMark/>
          </w:tcPr>
          <w:p w14:paraId="5673A0D1"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26,7</w:t>
            </w:r>
          </w:p>
        </w:tc>
        <w:tc>
          <w:tcPr>
            <w:tcW w:w="1143" w:type="dxa"/>
            <w:tcBorders>
              <w:top w:val="nil"/>
              <w:left w:val="nil"/>
              <w:bottom w:val="single" w:sz="4" w:space="0" w:color="auto"/>
              <w:right w:val="single" w:sz="4" w:space="0" w:color="auto"/>
            </w:tcBorders>
            <w:shd w:val="clear" w:color="auto" w:fill="auto"/>
            <w:vAlign w:val="center"/>
            <w:hideMark/>
          </w:tcPr>
          <w:p w14:paraId="2CED677D"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1,8</w:t>
            </w:r>
          </w:p>
        </w:tc>
        <w:tc>
          <w:tcPr>
            <w:tcW w:w="1200" w:type="dxa"/>
            <w:tcBorders>
              <w:top w:val="nil"/>
              <w:left w:val="nil"/>
              <w:bottom w:val="single" w:sz="4" w:space="0" w:color="auto"/>
              <w:right w:val="single" w:sz="4" w:space="0" w:color="auto"/>
            </w:tcBorders>
            <w:shd w:val="clear" w:color="auto" w:fill="auto"/>
            <w:vAlign w:val="center"/>
            <w:hideMark/>
          </w:tcPr>
          <w:p w14:paraId="2AA80007"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7,6</w:t>
            </w:r>
          </w:p>
        </w:tc>
        <w:tc>
          <w:tcPr>
            <w:tcW w:w="721" w:type="dxa"/>
            <w:tcBorders>
              <w:top w:val="nil"/>
              <w:left w:val="nil"/>
              <w:bottom w:val="single" w:sz="4" w:space="0" w:color="auto"/>
              <w:right w:val="single" w:sz="4" w:space="0" w:color="auto"/>
            </w:tcBorders>
            <w:shd w:val="clear" w:color="auto" w:fill="auto"/>
            <w:vAlign w:val="center"/>
            <w:hideMark/>
          </w:tcPr>
          <w:p w14:paraId="0A15C950"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38,1</w:t>
            </w:r>
          </w:p>
        </w:tc>
        <w:tc>
          <w:tcPr>
            <w:tcW w:w="721" w:type="dxa"/>
            <w:tcBorders>
              <w:top w:val="nil"/>
              <w:left w:val="nil"/>
              <w:bottom w:val="single" w:sz="4" w:space="0" w:color="auto"/>
              <w:right w:val="single" w:sz="4" w:space="0" w:color="auto"/>
            </w:tcBorders>
            <w:shd w:val="clear" w:color="auto" w:fill="auto"/>
            <w:vAlign w:val="center"/>
            <w:hideMark/>
          </w:tcPr>
          <w:p w14:paraId="00D8C175"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182,4</w:t>
            </w:r>
          </w:p>
        </w:tc>
        <w:tc>
          <w:tcPr>
            <w:tcW w:w="698" w:type="dxa"/>
            <w:tcBorders>
              <w:top w:val="nil"/>
              <w:left w:val="nil"/>
              <w:bottom w:val="single" w:sz="4" w:space="0" w:color="auto"/>
              <w:right w:val="single" w:sz="4" w:space="0" w:color="auto"/>
            </w:tcBorders>
            <w:shd w:val="clear" w:color="auto" w:fill="auto"/>
            <w:vAlign w:val="center"/>
            <w:hideMark/>
          </w:tcPr>
          <w:p w14:paraId="16824C3F"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47,2</w:t>
            </w:r>
          </w:p>
        </w:tc>
        <w:tc>
          <w:tcPr>
            <w:tcW w:w="765" w:type="dxa"/>
            <w:tcBorders>
              <w:top w:val="nil"/>
              <w:left w:val="nil"/>
              <w:bottom w:val="single" w:sz="4" w:space="0" w:color="auto"/>
              <w:right w:val="single" w:sz="4" w:space="0" w:color="auto"/>
            </w:tcBorders>
            <w:shd w:val="clear" w:color="auto" w:fill="auto"/>
            <w:vAlign w:val="center"/>
            <w:hideMark/>
          </w:tcPr>
          <w:p w14:paraId="1FB3BCD8"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267,8</w:t>
            </w:r>
          </w:p>
        </w:tc>
        <w:tc>
          <w:tcPr>
            <w:tcW w:w="970" w:type="dxa"/>
            <w:tcBorders>
              <w:top w:val="nil"/>
              <w:left w:val="nil"/>
              <w:bottom w:val="single" w:sz="4" w:space="0" w:color="auto"/>
              <w:right w:val="single" w:sz="4" w:space="0" w:color="auto"/>
            </w:tcBorders>
            <w:shd w:val="clear" w:color="auto" w:fill="auto"/>
            <w:vAlign w:val="center"/>
            <w:hideMark/>
          </w:tcPr>
          <w:p w14:paraId="4D607309" w14:textId="77777777" w:rsidR="00F00781" w:rsidRPr="00F00781" w:rsidRDefault="00F00781" w:rsidP="00F00781">
            <w:pPr>
              <w:rPr>
                <w:rFonts w:ascii="Arial Narrow" w:hAnsi="Arial Narrow" w:cs="Calibri"/>
                <w:sz w:val="14"/>
                <w:szCs w:val="14"/>
              </w:rPr>
            </w:pPr>
            <w:r w:rsidRPr="00F00781">
              <w:rPr>
                <w:rFonts w:ascii="Arial Narrow" w:hAnsi="Arial Narrow" w:cs="Calibri"/>
                <w:sz w:val="14"/>
                <w:szCs w:val="14"/>
              </w:rPr>
              <w:t> </w:t>
            </w:r>
          </w:p>
        </w:tc>
        <w:tc>
          <w:tcPr>
            <w:tcW w:w="602" w:type="dxa"/>
            <w:tcBorders>
              <w:top w:val="nil"/>
              <w:left w:val="nil"/>
              <w:bottom w:val="single" w:sz="4" w:space="0" w:color="auto"/>
              <w:right w:val="single" w:sz="4" w:space="0" w:color="auto"/>
            </w:tcBorders>
            <w:shd w:val="clear" w:color="auto" w:fill="auto"/>
            <w:vAlign w:val="center"/>
            <w:hideMark/>
          </w:tcPr>
          <w:p w14:paraId="082A0A2F"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7,4</w:t>
            </w:r>
          </w:p>
        </w:tc>
        <w:tc>
          <w:tcPr>
            <w:tcW w:w="697" w:type="dxa"/>
            <w:tcBorders>
              <w:top w:val="nil"/>
              <w:left w:val="nil"/>
              <w:bottom w:val="single" w:sz="4" w:space="0" w:color="auto"/>
              <w:right w:val="single" w:sz="4" w:space="0" w:color="auto"/>
            </w:tcBorders>
            <w:shd w:val="clear" w:color="auto" w:fill="auto"/>
            <w:vAlign w:val="center"/>
            <w:hideMark/>
          </w:tcPr>
          <w:p w14:paraId="4FD56A11"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-0,6</w:t>
            </w:r>
          </w:p>
        </w:tc>
        <w:tc>
          <w:tcPr>
            <w:tcW w:w="869" w:type="dxa"/>
            <w:tcBorders>
              <w:top w:val="nil"/>
              <w:left w:val="nil"/>
              <w:bottom w:val="single" w:sz="4" w:space="0" w:color="auto"/>
              <w:right w:val="single" w:sz="4" w:space="0" w:color="auto"/>
            </w:tcBorders>
            <w:shd w:val="clear" w:color="auto" w:fill="auto"/>
            <w:vAlign w:val="center"/>
            <w:hideMark/>
          </w:tcPr>
          <w:p w14:paraId="4952E278"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276,7</w:t>
            </w:r>
          </w:p>
        </w:tc>
      </w:tr>
      <w:tr w:rsidR="00F00781" w:rsidRPr="00F00781" w14:paraId="55E910E6" w14:textId="77777777" w:rsidTr="00E01BBF">
        <w:trPr>
          <w:trHeight w:val="196"/>
        </w:trPr>
        <w:tc>
          <w:tcPr>
            <w:tcW w:w="632" w:type="dxa"/>
            <w:tcBorders>
              <w:top w:val="nil"/>
              <w:left w:val="single" w:sz="4" w:space="0" w:color="auto"/>
              <w:bottom w:val="single" w:sz="4" w:space="0" w:color="auto"/>
              <w:right w:val="single" w:sz="4" w:space="0" w:color="auto"/>
            </w:tcBorders>
            <w:shd w:val="clear" w:color="auto" w:fill="auto"/>
            <w:vAlign w:val="center"/>
            <w:hideMark/>
          </w:tcPr>
          <w:p w14:paraId="6BD9101A" w14:textId="77777777" w:rsidR="00F00781" w:rsidRPr="00F00781" w:rsidRDefault="00F00781" w:rsidP="00F00781">
            <w:pPr>
              <w:rPr>
                <w:rFonts w:ascii="Arial Narrow" w:hAnsi="Arial Narrow" w:cs="Calibri"/>
                <w:sz w:val="14"/>
                <w:szCs w:val="14"/>
              </w:rPr>
            </w:pPr>
            <w:r w:rsidRPr="00F00781">
              <w:rPr>
                <w:rFonts w:ascii="Arial Narrow" w:hAnsi="Arial Narrow" w:cs="Calibri"/>
                <w:sz w:val="14"/>
                <w:szCs w:val="14"/>
              </w:rPr>
              <w:t xml:space="preserve"> 12.3</w:t>
            </w:r>
          </w:p>
        </w:tc>
        <w:tc>
          <w:tcPr>
            <w:tcW w:w="1671" w:type="dxa"/>
            <w:tcBorders>
              <w:top w:val="nil"/>
              <w:left w:val="nil"/>
              <w:bottom w:val="single" w:sz="4" w:space="0" w:color="auto"/>
              <w:right w:val="single" w:sz="4" w:space="0" w:color="auto"/>
            </w:tcBorders>
            <w:shd w:val="clear" w:color="auto" w:fill="auto"/>
            <w:vAlign w:val="center"/>
            <w:hideMark/>
          </w:tcPr>
          <w:p w14:paraId="014BB4AD" w14:textId="77777777" w:rsidR="00F00781" w:rsidRPr="00F00781" w:rsidRDefault="00F00781" w:rsidP="00F00781">
            <w:pPr>
              <w:ind w:firstLineChars="100" w:firstLine="140"/>
              <w:rPr>
                <w:rFonts w:ascii="Arial Narrow" w:hAnsi="Arial Narrow" w:cs="Calibri"/>
                <w:sz w:val="14"/>
                <w:szCs w:val="14"/>
              </w:rPr>
            </w:pPr>
            <w:r w:rsidRPr="00F00781">
              <w:rPr>
                <w:rFonts w:ascii="Arial Narrow" w:hAnsi="Arial Narrow" w:cs="Calibri"/>
                <w:sz w:val="14"/>
                <w:szCs w:val="14"/>
              </w:rPr>
              <w:t>Други продукти от животновъдството</w:t>
            </w:r>
          </w:p>
        </w:tc>
        <w:tc>
          <w:tcPr>
            <w:tcW w:w="773" w:type="dxa"/>
            <w:tcBorders>
              <w:top w:val="nil"/>
              <w:left w:val="nil"/>
              <w:bottom w:val="single" w:sz="4" w:space="0" w:color="auto"/>
              <w:right w:val="single" w:sz="4" w:space="0" w:color="auto"/>
            </w:tcBorders>
            <w:shd w:val="clear" w:color="auto" w:fill="auto"/>
            <w:vAlign w:val="center"/>
            <w:hideMark/>
          </w:tcPr>
          <w:p w14:paraId="505F14CF"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101,4</w:t>
            </w:r>
          </w:p>
        </w:tc>
        <w:tc>
          <w:tcPr>
            <w:tcW w:w="582" w:type="dxa"/>
            <w:tcBorders>
              <w:top w:val="nil"/>
              <w:left w:val="nil"/>
              <w:bottom w:val="single" w:sz="4" w:space="0" w:color="auto"/>
              <w:right w:val="single" w:sz="4" w:space="0" w:color="auto"/>
            </w:tcBorders>
            <w:shd w:val="clear" w:color="auto" w:fill="auto"/>
            <w:vAlign w:val="center"/>
            <w:hideMark/>
          </w:tcPr>
          <w:p w14:paraId="6AAE195F" w14:textId="77777777" w:rsidR="00F00781" w:rsidRPr="00F00781" w:rsidRDefault="00F00781" w:rsidP="00F00781">
            <w:pPr>
              <w:rPr>
                <w:rFonts w:ascii="Arial Narrow" w:hAnsi="Arial Narrow" w:cs="Calibri"/>
                <w:sz w:val="14"/>
                <w:szCs w:val="14"/>
              </w:rPr>
            </w:pPr>
            <w:r w:rsidRPr="00F00781">
              <w:rPr>
                <w:rFonts w:ascii="Arial Narrow" w:hAnsi="Arial Narrow" w:cs="Calibri"/>
                <w:sz w:val="14"/>
                <w:szCs w:val="14"/>
              </w:rPr>
              <w:t> </w:t>
            </w:r>
          </w:p>
        </w:tc>
        <w:tc>
          <w:tcPr>
            <w:tcW w:w="681" w:type="dxa"/>
            <w:tcBorders>
              <w:top w:val="nil"/>
              <w:left w:val="nil"/>
              <w:bottom w:val="single" w:sz="4" w:space="0" w:color="auto"/>
              <w:right w:val="single" w:sz="4" w:space="0" w:color="auto"/>
            </w:tcBorders>
            <w:shd w:val="clear" w:color="auto" w:fill="auto"/>
            <w:vAlign w:val="center"/>
            <w:hideMark/>
          </w:tcPr>
          <w:p w14:paraId="34104474"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116,1</w:t>
            </w:r>
          </w:p>
        </w:tc>
        <w:tc>
          <w:tcPr>
            <w:tcW w:w="789" w:type="dxa"/>
            <w:tcBorders>
              <w:top w:val="nil"/>
              <w:left w:val="nil"/>
              <w:bottom w:val="single" w:sz="4" w:space="0" w:color="auto"/>
              <w:right w:val="single" w:sz="4" w:space="0" w:color="auto"/>
            </w:tcBorders>
            <w:shd w:val="clear" w:color="auto" w:fill="auto"/>
            <w:vAlign w:val="center"/>
            <w:hideMark/>
          </w:tcPr>
          <w:p w14:paraId="6F1EE20A" w14:textId="77777777" w:rsidR="00F00781" w:rsidRPr="00F00781" w:rsidRDefault="00F00781" w:rsidP="00F00781">
            <w:pPr>
              <w:rPr>
                <w:rFonts w:ascii="Arial Narrow" w:hAnsi="Arial Narrow" w:cs="Calibri"/>
                <w:sz w:val="14"/>
                <w:szCs w:val="14"/>
              </w:rPr>
            </w:pPr>
            <w:r w:rsidRPr="00F00781">
              <w:rPr>
                <w:rFonts w:ascii="Arial Narrow" w:hAnsi="Arial Narrow" w:cs="Calibri"/>
                <w:sz w:val="14"/>
                <w:szCs w:val="14"/>
              </w:rPr>
              <w:t> </w:t>
            </w:r>
          </w:p>
        </w:tc>
        <w:tc>
          <w:tcPr>
            <w:tcW w:w="693" w:type="dxa"/>
            <w:tcBorders>
              <w:top w:val="nil"/>
              <w:left w:val="nil"/>
              <w:bottom w:val="single" w:sz="4" w:space="0" w:color="auto"/>
              <w:right w:val="single" w:sz="4" w:space="0" w:color="auto"/>
            </w:tcBorders>
            <w:shd w:val="clear" w:color="auto" w:fill="auto"/>
            <w:vAlign w:val="center"/>
            <w:hideMark/>
          </w:tcPr>
          <w:p w14:paraId="0ED299EA"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3,1</w:t>
            </w:r>
          </w:p>
        </w:tc>
        <w:tc>
          <w:tcPr>
            <w:tcW w:w="537" w:type="dxa"/>
            <w:tcBorders>
              <w:top w:val="nil"/>
              <w:left w:val="nil"/>
              <w:bottom w:val="single" w:sz="4" w:space="0" w:color="auto"/>
              <w:right w:val="single" w:sz="4" w:space="0" w:color="auto"/>
            </w:tcBorders>
            <w:shd w:val="clear" w:color="auto" w:fill="auto"/>
            <w:vAlign w:val="center"/>
            <w:hideMark/>
          </w:tcPr>
          <w:p w14:paraId="40675849"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18,0</w:t>
            </w:r>
          </w:p>
        </w:tc>
        <w:tc>
          <w:tcPr>
            <w:tcW w:w="1143" w:type="dxa"/>
            <w:tcBorders>
              <w:top w:val="nil"/>
              <w:left w:val="nil"/>
              <w:bottom w:val="single" w:sz="4" w:space="0" w:color="auto"/>
              <w:right w:val="single" w:sz="4" w:space="0" w:color="auto"/>
            </w:tcBorders>
            <w:shd w:val="clear" w:color="auto" w:fill="auto"/>
            <w:vAlign w:val="center"/>
            <w:hideMark/>
          </w:tcPr>
          <w:p w14:paraId="57B2BDC9"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0,4</w:t>
            </w:r>
          </w:p>
        </w:tc>
        <w:tc>
          <w:tcPr>
            <w:tcW w:w="1200" w:type="dxa"/>
            <w:tcBorders>
              <w:top w:val="nil"/>
              <w:left w:val="nil"/>
              <w:bottom w:val="single" w:sz="4" w:space="0" w:color="auto"/>
              <w:right w:val="single" w:sz="4" w:space="0" w:color="auto"/>
            </w:tcBorders>
            <w:shd w:val="clear" w:color="auto" w:fill="auto"/>
            <w:vAlign w:val="center"/>
            <w:hideMark/>
          </w:tcPr>
          <w:p w14:paraId="7F27BCFB"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7,2</w:t>
            </w:r>
          </w:p>
        </w:tc>
        <w:tc>
          <w:tcPr>
            <w:tcW w:w="721" w:type="dxa"/>
            <w:tcBorders>
              <w:top w:val="nil"/>
              <w:left w:val="nil"/>
              <w:bottom w:val="single" w:sz="4" w:space="0" w:color="auto"/>
              <w:right w:val="single" w:sz="4" w:space="0" w:color="auto"/>
            </w:tcBorders>
            <w:shd w:val="clear" w:color="auto" w:fill="auto"/>
            <w:vAlign w:val="center"/>
            <w:hideMark/>
          </w:tcPr>
          <w:p w14:paraId="3289D7C7"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22,4</w:t>
            </w:r>
          </w:p>
        </w:tc>
        <w:tc>
          <w:tcPr>
            <w:tcW w:w="721" w:type="dxa"/>
            <w:tcBorders>
              <w:top w:val="nil"/>
              <w:left w:val="nil"/>
              <w:bottom w:val="single" w:sz="4" w:space="0" w:color="auto"/>
              <w:right w:val="single" w:sz="4" w:space="0" w:color="auto"/>
            </w:tcBorders>
            <w:shd w:val="clear" w:color="auto" w:fill="auto"/>
            <w:vAlign w:val="center"/>
            <w:hideMark/>
          </w:tcPr>
          <w:p w14:paraId="6D27CB07"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133,4</w:t>
            </w:r>
          </w:p>
        </w:tc>
        <w:tc>
          <w:tcPr>
            <w:tcW w:w="698" w:type="dxa"/>
            <w:tcBorders>
              <w:top w:val="nil"/>
              <w:left w:val="nil"/>
              <w:bottom w:val="single" w:sz="4" w:space="0" w:color="auto"/>
              <w:right w:val="single" w:sz="4" w:space="0" w:color="auto"/>
            </w:tcBorders>
            <w:shd w:val="clear" w:color="auto" w:fill="auto"/>
            <w:vAlign w:val="center"/>
            <w:hideMark/>
          </w:tcPr>
          <w:p w14:paraId="2AA4AE4D" w14:textId="77777777" w:rsidR="00F00781" w:rsidRPr="00F00781" w:rsidRDefault="00F00781" w:rsidP="00F00781">
            <w:pPr>
              <w:rPr>
                <w:rFonts w:ascii="Arial Narrow" w:hAnsi="Arial Narrow" w:cs="Calibri"/>
                <w:sz w:val="14"/>
                <w:szCs w:val="14"/>
              </w:rPr>
            </w:pPr>
            <w:r w:rsidRPr="00F00781">
              <w:rPr>
                <w:rFonts w:ascii="Arial Narrow" w:hAnsi="Arial Narrow" w:cs="Calibri"/>
                <w:sz w:val="14"/>
                <w:szCs w:val="14"/>
              </w:rPr>
              <w:t> </w:t>
            </w:r>
          </w:p>
        </w:tc>
        <w:tc>
          <w:tcPr>
            <w:tcW w:w="765" w:type="dxa"/>
            <w:tcBorders>
              <w:top w:val="nil"/>
              <w:left w:val="nil"/>
              <w:bottom w:val="single" w:sz="4" w:space="0" w:color="auto"/>
              <w:right w:val="single" w:sz="4" w:space="0" w:color="auto"/>
            </w:tcBorders>
            <w:shd w:val="clear" w:color="auto" w:fill="auto"/>
            <w:vAlign w:val="center"/>
            <w:hideMark/>
          </w:tcPr>
          <w:p w14:paraId="0ABF8309"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155,8</w:t>
            </w:r>
          </w:p>
        </w:tc>
        <w:tc>
          <w:tcPr>
            <w:tcW w:w="970" w:type="dxa"/>
            <w:tcBorders>
              <w:top w:val="nil"/>
              <w:left w:val="nil"/>
              <w:bottom w:val="single" w:sz="4" w:space="0" w:color="auto"/>
              <w:right w:val="single" w:sz="4" w:space="0" w:color="auto"/>
            </w:tcBorders>
            <w:shd w:val="clear" w:color="auto" w:fill="auto"/>
            <w:vAlign w:val="center"/>
            <w:hideMark/>
          </w:tcPr>
          <w:p w14:paraId="7012B98C" w14:textId="77777777" w:rsidR="00F00781" w:rsidRPr="00F00781" w:rsidRDefault="00F00781" w:rsidP="00F00781">
            <w:pPr>
              <w:rPr>
                <w:rFonts w:ascii="Arial Narrow" w:hAnsi="Arial Narrow" w:cs="Calibri"/>
                <w:sz w:val="14"/>
                <w:szCs w:val="14"/>
              </w:rPr>
            </w:pPr>
            <w:r w:rsidRPr="00F00781">
              <w:rPr>
                <w:rFonts w:ascii="Arial Narrow" w:hAnsi="Arial Narrow" w:cs="Calibri"/>
                <w:sz w:val="14"/>
                <w:szCs w:val="14"/>
              </w:rPr>
              <w:t> </w:t>
            </w:r>
          </w:p>
        </w:tc>
        <w:tc>
          <w:tcPr>
            <w:tcW w:w="602" w:type="dxa"/>
            <w:tcBorders>
              <w:top w:val="nil"/>
              <w:left w:val="nil"/>
              <w:bottom w:val="single" w:sz="4" w:space="0" w:color="auto"/>
              <w:right w:val="single" w:sz="4" w:space="0" w:color="auto"/>
            </w:tcBorders>
            <w:shd w:val="clear" w:color="auto" w:fill="auto"/>
            <w:vAlign w:val="center"/>
            <w:hideMark/>
          </w:tcPr>
          <w:p w14:paraId="1965226D"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33,0</w:t>
            </w:r>
          </w:p>
        </w:tc>
        <w:tc>
          <w:tcPr>
            <w:tcW w:w="697" w:type="dxa"/>
            <w:tcBorders>
              <w:top w:val="nil"/>
              <w:left w:val="nil"/>
              <w:bottom w:val="single" w:sz="4" w:space="0" w:color="auto"/>
              <w:right w:val="single" w:sz="4" w:space="0" w:color="auto"/>
            </w:tcBorders>
            <w:shd w:val="clear" w:color="auto" w:fill="auto"/>
            <w:vAlign w:val="center"/>
            <w:hideMark/>
          </w:tcPr>
          <w:p w14:paraId="57E67F18"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-83,1</w:t>
            </w:r>
          </w:p>
        </w:tc>
        <w:tc>
          <w:tcPr>
            <w:tcW w:w="869" w:type="dxa"/>
            <w:tcBorders>
              <w:top w:val="nil"/>
              <w:left w:val="nil"/>
              <w:bottom w:val="single" w:sz="4" w:space="0" w:color="auto"/>
              <w:right w:val="single" w:sz="4" w:space="0" w:color="auto"/>
            </w:tcBorders>
            <w:shd w:val="clear" w:color="auto" w:fill="auto"/>
            <w:vAlign w:val="center"/>
            <w:hideMark/>
          </w:tcPr>
          <w:p w14:paraId="40A6B135"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80,3</w:t>
            </w:r>
          </w:p>
        </w:tc>
      </w:tr>
      <w:tr w:rsidR="00F00781" w:rsidRPr="00F00781" w14:paraId="026309F5" w14:textId="77777777" w:rsidTr="00E01BBF">
        <w:trPr>
          <w:trHeight w:val="196"/>
        </w:trPr>
        <w:tc>
          <w:tcPr>
            <w:tcW w:w="632" w:type="dxa"/>
            <w:tcBorders>
              <w:top w:val="nil"/>
              <w:left w:val="single" w:sz="4" w:space="0" w:color="auto"/>
              <w:bottom w:val="single" w:sz="4" w:space="0" w:color="auto"/>
              <w:right w:val="single" w:sz="4" w:space="0" w:color="auto"/>
            </w:tcBorders>
            <w:shd w:val="clear" w:color="auto" w:fill="auto"/>
            <w:vAlign w:val="center"/>
            <w:hideMark/>
          </w:tcPr>
          <w:p w14:paraId="693A2ECE" w14:textId="77777777" w:rsidR="00F00781" w:rsidRPr="00F00781" w:rsidRDefault="00F00781" w:rsidP="00F00781">
            <w:pPr>
              <w:rPr>
                <w:rFonts w:ascii="Arial Narrow" w:hAnsi="Arial Narrow" w:cs="Calibri"/>
                <w:sz w:val="14"/>
                <w:szCs w:val="14"/>
              </w:rPr>
            </w:pPr>
            <w:r w:rsidRPr="00F00781">
              <w:rPr>
                <w:rFonts w:ascii="Arial Narrow" w:hAnsi="Arial Narrow" w:cs="Calibri"/>
                <w:sz w:val="14"/>
                <w:szCs w:val="14"/>
              </w:rPr>
              <w:t xml:space="preserve"> 12.3/1</w:t>
            </w:r>
          </w:p>
        </w:tc>
        <w:tc>
          <w:tcPr>
            <w:tcW w:w="1671" w:type="dxa"/>
            <w:tcBorders>
              <w:top w:val="nil"/>
              <w:left w:val="nil"/>
              <w:bottom w:val="single" w:sz="4" w:space="0" w:color="auto"/>
              <w:right w:val="single" w:sz="4" w:space="0" w:color="auto"/>
            </w:tcBorders>
            <w:shd w:val="clear" w:color="auto" w:fill="auto"/>
            <w:vAlign w:val="center"/>
            <w:hideMark/>
          </w:tcPr>
          <w:p w14:paraId="78227A36" w14:textId="77777777" w:rsidR="00F00781" w:rsidRPr="00F00781" w:rsidRDefault="00F00781" w:rsidP="00F00781">
            <w:pPr>
              <w:ind w:firstLineChars="200" w:firstLine="280"/>
              <w:rPr>
                <w:rFonts w:ascii="Arial Narrow" w:hAnsi="Arial Narrow" w:cs="Calibri"/>
                <w:sz w:val="14"/>
                <w:szCs w:val="14"/>
              </w:rPr>
            </w:pPr>
            <w:r w:rsidRPr="00F00781">
              <w:rPr>
                <w:rFonts w:ascii="Arial Narrow" w:hAnsi="Arial Narrow" w:cs="Calibri"/>
                <w:sz w:val="14"/>
                <w:szCs w:val="14"/>
              </w:rPr>
              <w:t>Непрана вълна</w:t>
            </w:r>
          </w:p>
        </w:tc>
        <w:tc>
          <w:tcPr>
            <w:tcW w:w="773" w:type="dxa"/>
            <w:tcBorders>
              <w:top w:val="nil"/>
              <w:left w:val="nil"/>
              <w:bottom w:val="single" w:sz="4" w:space="0" w:color="auto"/>
              <w:right w:val="single" w:sz="4" w:space="0" w:color="auto"/>
            </w:tcBorders>
            <w:shd w:val="clear" w:color="auto" w:fill="auto"/>
            <w:vAlign w:val="center"/>
            <w:hideMark/>
          </w:tcPr>
          <w:p w14:paraId="5DB7609A"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1,3</w:t>
            </w:r>
          </w:p>
        </w:tc>
        <w:tc>
          <w:tcPr>
            <w:tcW w:w="582" w:type="dxa"/>
            <w:tcBorders>
              <w:top w:val="nil"/>
              <w:left w:val="nil"/>
              <w:bottom w:val="single" w:sz="4" w:space="0" w:color="auto"/>
              <w:right w:val="single" w:sz="4" w:space="0" w:color="auto"/>
            </w:tcBorders>
            <w:shd w:val="clear" w:color="auto" w:fill="auto"/>
            <w:vAlign w:val="center"/>
            <w:hideMark/>
          </w:tcPr>
          <w:p w14:paraId="5F01DEDE" w14:textId="77777777" w:rsidR="00F00781" w:rsidRPr="00F00781" w:rsidRDefault="00F00781" w:rsidP="00F00781">
            <w:pPr>
              <w:rPr>
                <w:rFonts w:ascii="Arial Narrow" w:hAnsi="Arial Narrow" w:cs="Calibri"/>
                <w:sz w:val="14"/>
                <w:szCs w:val="14"/>
              </w:rPr>
            </w:pPr>
            <w:r w:rsidRPr="00F00781">
              <w:rPr>
                <w:rFonts w:ascii="Arial Narrow" w:hAnsi="Arial Narrow" w:cs="Calibri"/>
                <w:sz w:val="14"/>
                <w:szCs w:val="14"/>
              </w:rPr>
              <w:t> </w:t>
            </w:r>
          </w:p>
        </w:tc>
        <w:tc>
          <w:tcPr>
            <w:tcW w:w="681" w:type="dxa"/>
            <w:tcBorders>
              <w:top w:val="nil"/>
              <w:left w:val="nil"/>
              <w:bottom w:val="single" w:sz="4" w:space="0" w:color="auto"/>
              <w:right w:val="single" w:sz="4" w:space="0" w:color="auto"/>
            </w:tcBorders>
            <w:shd w:val="clear" w:color="auto" w:fill="auto"/>
            <w:vAlign w:val="center"/>
            <w:hideMark/>
          </w:tcPr>
          <w:p w14:paraId="65CFCC34" w14:textId="77777777" w:rsidR="00F00781" w:rsidRPr="00F00781" w:rsidRDefault="00F00781" w:rsidP="00F00781">
            <w:pPr>
              <w:rPr>
                <w:rFonts w:ascii="Arial Narrow" w:hAnsi="Arial Narrow" w:cs="Calibri"/>
                <w:sz w:val="14"/>
                <w:szCs w:val="14"/>
              </w:rPr>
            </w:pPr>
            <w:r w:rsidRPr="00F00781">
              <w:rPr>
                <w:rFonts w:ascii="Arial Narrow" w:hAnsi="Arial Narrow" w:cs="Calibri"/>
                <w:sz w:val="14"/>
                <w:szCs w:val="14"/>
              </w:rPr>
              <w:t> </w:t>
            </w:r>
          </w:p>
        </w:tc>
        <w:tc>
          <w:tcPr>
            <w:tcW w:w="789" w:type="dxa"/>
            <w:tcBorders>
              <w:top w:val="nil"/>
              <w:left w:val="nil"/>
              <w:bottom w:val="single" w:sz="4" w:space="0" w:color="auto"/>
              <w:right w:val="single" w:sz="4" w:space="0" w:color="auto"/>
            </w:tcBorders>
            <w:shd w:val="clear" w:color="auto" w:fill="auto"/>
            <w:vAlign w:val="center"/>
            <w:hideMark/>
          </w:tcPr>
          <w:p w14:paraId="6FD9D3C2" w14:textId="77777777" w:rsidR="00F00781" w:rsidRPr="00F00781" w:rsidRDefault="00F00781" w:rsidP="00F00781">
            <w:pPr>
              <w:rPr>
                <w:rFonts w:ascii="Arial Narrow" w:hAnsi="Arial Narrow" w:cs="Calibri"/>
                <w:sz w:val="14"/>
                <w:szCs w:val="14"/>
              </w:rPr>
            </w:pPr>
            <w:r w:rsidRPr="00F00781">
              <w:rPr>
                <w:rFonts w:ascii="Arial Narrow" w:hAnsi="Arial Narrow" w:cs="Calibri"/>
                <w:sz w:val="14"/>
                <w:szCs w:val="14"/>
              </w:rPr>
              <w:t> </w:t>
            </w:r>
          </w:p>
        </w:tc>
        <w:tc>
          <w:tcPr>
            <w:tcW w:w="693" w:type="dxa"/>
            <w:tcBorders>
              <w:top w:val="nil"/>
              <w:left w:val="nil"/>
              <w:bottom w:val="single" w:sz="4" w:space="0" w:color="auto"/>
              <w:right w:val="single" w:sz="4" w:space="0" w:color="auto"/>
            </w:tcBorders>
            <w:shd w:val="clear" w:color="auto" w:fill="auto"/>
            <w:vAlign w:val="center"/>
            <w:hideMark/>
          </w:tcPr>
          <w:p w14:paraId="129DB6C2" w14:textId="77777777" w:rsidR="00F00781" w:rsidRPr="00F00781" w:rsidRDefault="00F00781" w:rsidP="00F00781">
            <w:pPr>
              <w:rPr>
                <w:rFonts w:ascii="Arial Narrow" w:hAnsi="Arial Narrow" w:cs="Calibri"/>
                <w:sz w:val="14"/>
                <w:szCs w:val="14"/>
              </w:rPr>
            </w:pPr>
            <w:r w:rsidRPr="00F00781">
              <w:rPr>
                <w:rFonts w:ascii="Arial Narrow" w:hAnsi="Arial Narrow" w:cs="Calibri"/>
                <w:sz w:val="14"/>
                <w:szCs w:val="14"/>
              </w:rPr>
              <w:t> </w:t>
            </w:r>
          </w:p>
        </w:tc>
        <w:tc>
          <w:tcPr>
            <w:tcW w:w="537" w:type="dxa"/>
            <w:tcBorders>
              <w:top w:val="nil"/>
              <w:left w:val="nil"/>
              <w:bottom w:val="single" w:sz="4" w:space="0" w:color="auto"/>
              <w:right w:val="single" w:sz="4" w:space="0" w:color="auto"/>
            </w:tcBorders>
            <w:shd w:val="clear" w:color="auto" w:fill="auto"/>
            <w:vAlign w:val="center"/>
            <w:hideMark/>
          </w:tcPr>
          <w:p w14:paraId="4778FEED" w14:textId="77777777" w:rsidR="00F00781" w:rsidRPr="00F00781" w:rsidRDefault="00F00781" w:rsidP="00F00781">
            <w:pPr>
              <w:rPr>
                <w:rFonts w:ascii="Arial Narrow" w:hAnsi="Arial Narrow" w:cs="Calibri"/>
                <w:sz w:val="14"/>
                <w:szCs w:val="14"/>
              </w:rPr>
            </w:pPr>
            <w:r w:rsidRPr="00F00781">
              <w:rPr>
                <w:rFonts w:ascii="Arial Narrow" w:hAnsi="Arial Narrow" w:cs="Calibri"/>
                <w:sz w:val="14"/>
                <w:szCs w:val="14"/>
              </w:rPr>
              <w:t> </w:t>
            </w:r>
          </w:p>
        </w:tc>
        <w:tc>
          <w:tcPr>
            <w:tcW w:w="1143" w:type="dxa"/>
            <w:tcBorders>
              <w:top w:val="nil"/>
              <w:left w:val="nil"/>
              <w:bottom w:val="single" w:sz="4" w:space="0" w:color="auto"/>
              <w:right w:val="single" w:sz="4" w:space="0" w:color="auto"/>
            </w:tcBorders>
            <w:shd w:val="clear" w:color="auto" w:fill="auto"/>
            <w:vAlign w:val="center"/>
            <w:hideMark/>
          </w:tcPr>
          <w:p w14:paraId="07D8AAC2" w14:textId="77777777" w:rsidR="00F00781" w:rsidRPr="00F00781" w:rsidRDefault="00F00781" w:rsidP="00F00781">
            <w:pPr>
              <w:rPr>
                <w:rFonts w:ascii="Arial Narrow" w:hAnsi="Arial Narrow" w:cs="Calibri"/>
                <w:sz w:val="14"/>
                <w:szCs w:val="14"/>
              </w:rPr>
            </w:pPr>
            <w:r w:rsidRPr="00F00781">
              <w:rPr>
                <w:rFonts w:ascii="Arial Narrow" w:hAnsi="Arial Narrow" w:cs="Calibri"/>
                <w:sz w:val="14"/>
                <w:szCs w:val="14"/>
              </w:rPr>
              <w:t> </w:t>
            </w:r>
          </w:p>
        </w:tc>
        <w:tc>
          <w:tcPr>
            <w:tcW w:w="1200" w:type="dxa"/>
            <w:tcBorders>
              <w:top w:val="nil"/>
              <w:left w:val="nil"/>
              <w:bottom w:val="single" w:sz="4" w:space="0" w:color="auto"/>
              <w:right w:val="single" w:sz="4" w:space="0" w:color="auto"/>
            </w:tcBorders>
            <w:shd w:val="clear" w:color="auto" w:fill="auto"/>
            <w:vAlign w:val="center"/>
            <w:hideMark/>
          </w:tcPr>
          <w:p w14:paraId="1E1B9418" w14:textId="77777777" w:rsidR="00F00781" w:rsidRPr="00F00781" w:rsidRDefault="00F00781" w:rsidP="00F00781">
            <w:pPr>
              <w:rPr>
                <w:rFonts w:ascii="Arial Narrow" w:hAnsi="Arial Narrow" w:cs="Calibri"/>
                <w:sz w:val="14"/>
                <w:szCs w:val="14"/>
              </w:rPr>
            </w:pPr>
            <w:r w:rsidRPr="00F00781">
              <w:rPr>
                <w:rFonts w:ascii="Arial Narrow" w:hAnsi="Arial Narrow" w:cs="Calibri"/>
                <w:sz w:val="14"/>
                <w:szCs w:val="14"/>
              </w:rPr>
              <w:t> </w:t>
            </w:r>
          </w:p>
        </w:tc>
        <w:tc>
          <w:tcPr>
            <w:tcW w:w="721" w:type="dxa"/>
            <w:tcBorders>
              <w:top w:val="nil"/>
              <w:left w:val="nil"/>
              <w:bottom w:val="single" w:sz="4" w:space="0" w:color="auto"/>
              <w:right w:val="single" w:sz="4" w:space="0" w:color="auto"/>
            </w:tcBorders>
            <w:shd w:val="clear" w:color="auto" w:fill="auto"/>
            <w:vAlign w:val="center"/>
            <w:hideMark/>
          </w:tcPr>
          <w:p w14:paraId="230D185D"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0,2</w:t>
            </w:r>
          </w:p>
        </w:tc>
        <w:tc>
          <w:tcPr>
            <w:tcW w:w="721" w:type="dxa"/>
            <w:tcBorders>
              <w:top w:val="nil"/>
              <w:left w:val="nil"/>
              <w:bottom w:val="single" w:sz="4" w:space="0" w:color="auto"/>
              <w:right w:val="single" w:sz="4" w:space="0" w:color="auto"/>
            </w:tcBorders>
            <w:shd w:val="clear" w:color="auto" w:fill="auto"/>
            <w:vAlign w:val="center"/>
            <w:hideMark/>
          </w:tcPr>
          <w:p w14:paraId="486C71BD"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1,1</w:t>
            </w:r>
          </w:p>
        </w:tc>
        <w:tc>
          <w:tcPr>
            <w:tcW w:w="698" w:type="dxa"/>
            <w:tcBorders>
              <w:top w:val="nil"/>
              <w:left w:val="nil"/>
              <w:bottom w:val="single" w:sz="4" w:space="0" w:color="auto"/>
              <w:right w:val="single" w:sz="4" w:space="0" w:color="auto"/>
            </w:tcBorders>
            <w:shd w:val="clear" w:color="auto" w:fill="auto"/>
            <w:vAlign w:val="center"/>
            <w:hideMark/>
          </w:tcPr>
          <w:p w14:paraId="03544438" w14:textId="77777777" w:rsidR="00F00781" w:rsidRPr="00F00781" w:rsidRDefault="00F00781" w:rsidP="00F00781">
            <w:pPr>
              <w:rPr>
                <w:rFonts w:ascii="Arial Narrow" w:hAnsi="Arial Narrow" w:cs="Calibri"/>
                <w:sz w:val="14"/>
                <w:szCs w:val="14"/>
              </w:rPr>
            </w:pPr>
            <w:r w:rsidRPr="00F00781">
              <w:rPr>
                <w:rFonts w:ascii="Arial Narrow" w:hAnsi="Arial Narrow" w:cs="Calibri"/>
                <w:sz w:val="14"/>
                <w:szCs w:val="14"/>
              </w:rPr>
              <w:t> </w:t>
            </w:r>
          </w:p>
        </w:tc>
        <w:tc>
          <w:tcPr>
            <w:tcW w:w="765" w:type="dxa"/>
            <w:tcBorders>
              <w:top w:val="nil"/>
              <w:left w:val="nil"/>
              <w:bottom w:val="single" w:sz="4" w:space="0" w:color="auto"/>
              <w:right w:val="single" w:sz="4" w:space="0" w:color="auto"/>
            </w:tcBorders>
            <w:shd w:val="clear" w:color="auto" w:fill="auto"/>
            <w:vAlign w:val="center"/>
            <w:hideMark/>
          </w:tcPr>
          <w:p w14:paraId="52C9C2AD"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1,3</w:t>
            </w:r>
          </w:p>
        </w:tc>
        <w:tc>
          <w:tcPr>
            <w:tcW w:w="970" w:type="dxa"/>
            <w:tcBorders>
              <w:top w:val="nil"/>
              <w:left w:val="nil"/>
              <w:bottom w:val="single" w:sz="4" w:space="0" w:color="auto"/>
              <w:right w:val="single" w:sz="4" w:space="0" w:color="auto"/>
            </w:tcBorders>
            <w:shd w:val="clear" w:color="auto" w:fill="auto"/>
            <w:vAlign w:val="center"/>
            <w:hideMark/>
          </w:tcPr>
          <w:p w14:paraId="213E58BE" w14:textId="77777777" w:rsidR="00F00781" w:rsidRPr="00F00781" w:rsidRDefault="00F00781" w:rsidP="00F00781">
            <w:pPr>
              <w:rPr>
                <w:rFonts w:ascii="Arial Narrow" w:hAnsi="Arial Narrow" w:cs="Calibri"/>
                <w:sz w:val="14"/>
                <w:szCs w:val="14"/>
              </w:rPr>
            </w:pPr>
            <w:r w:rsidRPr="00F00781">
              <w:rPr>
                <w:rFonts w:ascii="Arial Narrow" w:hAnsi="Arial Narrow" w:cs="Calibri"/>
                <w:sz w:val="14"/>
                <w:szCs w:val="14"/>
              </w:rPr>
              <w:t> </w:t>
            </w:r>
          </w:p>
        </w:tc>
        <w:tc>
          <w:tcPr>
            <w:tcW w:w="602" w:type="dxa"/>
            <w:tcBorders>
              <w:top w:val="nil"/>
              <w:left w:val="nil"/>
              <w:bottom w:val="single" w:sz="4" w:space="0" w:color="auto"/>
              <w:right w:val="single" w:sz="4" w:space="0" w:color="auto"/>
            </w:tcBorders>
            <w:shd w:val="clear" w:color="auto" w:fill="auto"/>
            <w:vAlign w:val="center"/>
            <w:hideMark/>
          </w:tcPr>
          <w:p w14:paraId="6FDF3F19" w14:textId="77777777" w:rsidR="00F00781" w:rsidRPr="00F00781" w:rsidRDefault="00F00781" w:rsidP="00F00781">
            <w:pPr>
              <w:rPr>
                <w:rFonts w:ascii="Arial Narrow" w:hAnsi="Arial Narrow" w:cs="Calibri"/>
                <w:sz w:val="14"/>
                <w:szCs w:val="14"/>
              </w:rPr>
            </w:pPr>
            <w:r w:rsidRPr="00F00781">
              <w:rPr>
                <w:rFonts w:ascii="Arial Narrow" w:hAnsi="Arial Narrow" w:cs="Calibri"/>
                <w:sz w:val="14"/>
                <w:szCs w:val="14"/>
              </w:rPr>
              <w:t> </w:t>
            </w:r>
          </w:p>
        </w:tc>
        <w:tc>
          <w:tcPr>
            <w:tcW w:w="697" w:type="dxa"/>
            <w:tcBorders>
              <w:top w:val="nil"/>
              <w:left w:val="nil"/>
              <w:bottom w:val="single" w:sz="4" w:space="0" w:color="auto"/>
              <w:right w:val="single" w:sz="4" w:space="0" w:color="auto"/>
            </w:tcBorders>
            <w:shd w:val="clear" w:color="auto" w:fill="auto"/>
            <w:vAlign w:val="center"/>
            <w:hideMark/>
          </w:tcPr>
          <w:p w14:paraId="62848642" w14:textId="77777777" w:rsidR="00F00781" w:rsidRPr="00F00781" w:rsidRDefault="00F00781" w:rsidP="00F00781">
            <w:pPr>
              <w:rPr>
                <w:rFonts w:ascii="Arial Narrow" w:hAnsi="Arial Narrow" w:cs="Calibri"/>
                <w:sz w:val="14"/>
                <w:szCs w:val="14"/>
              </w:rPr>
            </w:pPr>
            <w:r w:rsidRPr="00F00781">
              <w:rPr>
                <w:rFonts w:ascii="Arial Narrow" w:hAnsi="Arial Narrow" w:cs="Calibri"/>
                <w:sz w:val="14"/>
                <w:szCs w:val="14"/>
              </w:rPr>
              <w:t> </w:t>
            </w:r>
          </w:p>
        </w:tc>
        <w:tc>
          <w:tcPr>
            <w:tcW w:w="869" w:type="dxa"/>
            <w:tcBorders>
              <w:top w:val="nil"/>
              <w:left w:val="nil"/>
              <w:bottom w:val="single" w:sz="4" w:space="0" w:color="auto"/>
              <w:right w:val="single" w:sz="4" w:space="0" w:color="auto"/>
            </w:tcBorders>
            <w:shd w:val="clear" w:color="auto" w:fill="auto"/>
            <w:vAlign w:val="center"/>
            <w:hideMark/>
          </w:tcPr>
          <w:p w14:paraId="111F8CA3"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1,3</w:t>
            </w:r>
          </w:p>
        </w:tc>
      </w:tr>
      <w:tr w:rsidR="00F00781" w:rsidRPr="00F00781" w14:paraId="05495DDE" w14:textId="77777777" w:rsidTr="00E01BBF">
        <w:trPr>
          <w:trHeight w:val="196"/>
        </w:trPr>
        <w:tc>
          <w:tcPr>
            <w:tcW w:w="632" w:type="dxa"/>
            <w:tcBorders>
              <w:top w:val="nil"/>
              <w:left w:val="single" w:sz="4" w:space="0" w:color="auto"/>
              <w:bottom w:val="single" w:sz="4" w:space="0" w:color="auto"/>
              <w:right w:val="single" w:sz="4" w:space="0" w:color="auto"/>
            </w:tcBorders>
            <w:shd w:val="clear" w:color="auto" w:fill="auto"/>
            <w:vAlign w:val="center"/>
            <w:hideMark/>
          </w:tcPr>
          <w:p w14:paraId="2C81AD15" w14:textId="77777777" w:rsidR="00F00781" w:rsidRPr="00F00781" w:rsidRDefault="00F00781" w:rsidP="00F00781">
            <w:pPr>
              <w:rPr>
                <w:rFonts w:ascii="Arial Narrow" w:hAnsi="Arial Narrow" w:cs="Calibri"/>
                <w:sz w:val="14"/>
                <w:szCs w:val="14"/>
              </w:rPr>
            </w:pPr>
            <w:r w:rsidRPr="00F00781">
              <w:rPr>
                <w:rFonts w:ascii="Arial Narrow" w:hAnsi="Arial Narrow" w:cs="Calibri"/>
                <w:sz w:val="14"/>
                <w:szCs w:val="14"/>
              </w:rPr>
              <w:t xml:space="preserve"> 12.3/2</w:t>
            </w:r>
          </w:p>
        </w:tc>
        <w:tc>
          <w:tcPr>
            <w:tcW w:w="1671" w:type="dxa"/>
            <w:tcBorders>
              <w:top w:val="nil"/>
              <w:left w:val="nil"/>
              <w:bottom w:val="single" w:sz="4" w:space="0" w:color="auto"/>
              <w:right w:val="single" w:sz="4" w:space="0" w:color="auto"/>
            </w:tcBorders>
            <w:shd w:val="clear" w:color="auto" w:fill="auto"/>
            <w:vAlign w:val="center"/>
            <w:hideMark/>
          </w:tcPr>
          <w:p w14:paraId="05D9D780" w14:textId="77777777" w:rsidR="00F00781" w:rsidRPr="00F00781" w:rsidRDefault="00F00781" w:rsidP="00F00781">
            <w:pPr>
              <w:ind w:firstLineChars="200" w:firstLine="280"/>
              <w:rPr>
                <w:rFonts w:ascii="Arial Narrow" w:hAnsi="Arial Narrow" w:cs="Calibri"/>
                <w:sz w:val="14"/>
                <w:szCs w:val="14"/>
              </w:rPr>
            </w:pPr>
            <w:r w:rsidRPr="00F00781">
              <w:rPr>
                <w:rFonts w:ascii="Arial Narrow" w:hAnsi="Arial Narrow" w:cs="Calibri"/>
                <w:sz w:val="14"/>
                <w:szCs w:val="14"/>
              </w:rPr>
              <w:t>Копринени пашкули</w:t>
            </w:r>
          </w:p>
        </w:tc>
        <w:tc>
          <w:tcPr>
            <w:tcW w:w="773" w:type="dxa"/>
            <w:tcBorders>
              <w:top w:val="nil"/>
              <w:left w:val="nil"/>
              <w:bottom w:val="single" w:sz="4" w:space="0" w:color="auto"/>
              <w:right w:val="single" w:sz="4" w:space="0" w:color="auto"/>
            </w:tcBorders>
            <w:shd w:val="clear" w:color="auto" w:fill="auto"/>
            <w:vAlign w:val="center"/>
            <w:hideMark/>
          </w:tcPr>
          <w:p w14:paraId="112CFDF4"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 </w:t>
            </w:r>
          </w:p>
        </w:tc>
        <w:tc>
          <w:tcPr>
            <w:tcW w:w="582" w:type="dxa"/>
            <w:tcBorders>
              <w:top w:val="nil"/>
              <w:left w:val="nil"/>
              <w:bottom w:val="single" w:sz="4" w:space="0" w:color="auto"/>
              <w:right w:val="single" w:sz="4" w:space="0" w:color="auto"/>
            </w:tcBorders>
            <w:shd w:val="clear" w:color="auto" w:fill="auto"/>
            <w:vAlign w:val="center"/>
            <w:hideMark/>
          </w:tcPr>
          <w:p w14:paraId="061732D1"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 </w:t>
            </w:r>
          </w:p>
        </w:tc>
        <w:tc>
          <w:tcPr>
            <w:tcW w:w="681" w:type="dxa"/>
            <w:tcBorders>
              <w:top w:val="nil"/>
              <w:left w:val="nil"/>
              <w:bottom w:val="single" w:sz="4" w:space="0" w:color="auto"/>
              <w:right w:val="single" w:sz="4" w:space="0" w:color="auto"/>
            </w:tcBorders>
            <w:shd w:val="clear" w:color="auto" w:fill="auto"/>
            <w:vAlign w:val="center"/>
            <w:hideMark/>
          </w:tcPr>
          <w:p w14:paraId="43051FBE"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 </w:t>
            </w:r>
          </w:p>
        </w:tc>
        <w:tc>
          <w:tcPr>
            <w:tcW w:w="789" w:type="dxa"/>
            <w:tcBorders>
              <w:top w:val="nil"/>
              <w:left w:val="nil"/>
              <w:bottom w:val="single" w:sz="4" w:space="0" w:color="auto"/>
              <w:right w:val="single" w:sz="4" w:space="0" w:color="auto"/>
            </w:tcBorders>
            <w:shd w:val="clear" w:color="auto" w:fill="auto"/>
            <w:vAlign w:val="center"/>
            <w:hideMark/>
          </w:tcPr>
          <w:p w14:paraId="369F8F1F"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 </w:t>
            </w:r>
          </w:p>
        </w:tc>
        <w:tc>
          <w:tcPr>
            <w:tcW w:w="693" w:type="dxa"/>
            <w:tcBorders>
              <w:top w:val="nil"/>
              <w:left w:val="nil"/>
              <w:bottom w:val="single" w:sz="4" w:space="0" w:color="auto"/>
              <w:right w:val="single" w:sz="4" w:space="0" w:color="auto"/>
            </w:tcBorders>
            <w:shd w:val="clear" w:color="auto" w:fill="auto"/>
            <w:vAlign w:val="center"/>
            <w:hideMark/>
          </w:tcPr>
          <w:p w14:paraId="22425C99"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 </w:t>
            </w:r>
          </w:p>
        </w:tc>
        <w:tc>
          <w:tcPr>
            <w:tcW w:w="537" w:type="dxa"/>
            <w:tcBorders>
              <w:top w:val="nil"/>
              <w:left w:val="nil"/>
              <w:bottom w:val="single" w:sz="4" w:space="0" w:color="auto"/>
              <w:right w:val="single" w:sz="4" w:space="0" w:color="auto"/>
            </w:tcBorders>
            <w:shd w:val="clear" w:color="auto" w:fill="auto"/>
            <w:vAlign w:val="center"/>
            <w:hideMark/>
          </w:tcPr>
          <w:p w14:paraId="66E7263B"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 </w:t>
            </w:r>
          </w:p>
        </w:tc>
        <w:tc>
          <w:tcPr>
            <w:tcW w:w="1143" w:type="dxa"/>
            <w:tcBorders>
              <w:top w:val="nil"/>
              <w:left w:val="nil"/>
              <w:bottom w:val="single" w:sz="4" w:space="0" w:color="auto"/>
              <w:right w:val="single" w:sz="4" w:space="0" w:color="auto"/>
            </w:tcBorders>
            <w:shd w:val="clear" w:color="auto" w:fill="auto"/>
            <w:vAlign w:val="center"/>
            <w:hideMark/>
          </w:tcPr>
          <w:p w14:paraId="4CB29EAB"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 </w:t>
            </w:r>
          </w:p>
        </w:tc>
        <w:tc>
          <w:tcPr>
            <w:tcW w:w="1200" w:type="dxa"/>
            <w:tcBorders>
              <w:top w:val="nil"/>
              <w:left w:val="nil"/>
              <w:bottom w:val="single" w:sz="4" w:space="0" w:color="auto"/>
              <w:right w:val="single" w:sz="4" w:space="0" w:color="auto"/>
            </w:tcBorders>
            <w:shd w:val="clear" w:color="auto" w:fill="auto"/>
            <w:vAlign w:val="center"/>
            <w:hideMark/>
          </w:tcPr>
          <w:p w14:paraId="7B7DDBE9"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 </w:t>
            </w:r>
          </w:p>
        </w:tc>
        <w:tc>
          <w:tcPr>
            <w:tcW w:w="721" w:type="dxa"/>
            <w:tcBorders>
              <w:top w:val="nil"/>
              <w:left w:val="nil"/>
              <w:bottom w:val="single" w:sz="4" w:space="0" w:color="auto"/>
              <w:right w:val="single" w:sz="4" w:space="0" w:color="auto"/>
            </w:tcBorders>
            <w:shd w:val="clear" w:color="auto" w:fill="auto"/>
            <w:vAlign w:val="center"/>
            <w:hideMark/>
          </w:tcPr>
          <w:p w14:paraId="266A7906"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 </w:t>
            </w:r>
          </w:p>
        </w:tc>
        <w:tc>
          <w:tcPr>
            <w:tcW w:w="721" w:type="dxa"/>
            <w:tcBorders>
              <w:top w:val="nil"/>
              <w:left w:val="nil"/>
              <w:bottom w:val="single" w:sz="4" w:space="0" w:color="auto"/>
              <w:right w:val="single" w:sz="4" w:space="0" w:color="auto"/>
            </w:tcBorders>
            <w:shd w:val="clear" w:color="auto" w:fill="auto"/>
            <w:vAlign w:val="center"/>
            <w:hideMark/>
          </w:tcPr>
          <w:p w14:paraId="5DB1ACED"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 </w:t>
            </w:r>
          </w:p>
        </w:tc>
        <w:tc>
          <w:tcPr>
            <w:tcW w:w="698" w:type="dxa"/>
            <w:tcBorders>
              <w:top w:val="nil"/>
              <w:left w:val="nil"/>
              <w:bottom w:val="single" w:sz="4" w:space="0" w:color="auto"/>
              <w:right w:val="single" w:sz="4" w:space="0" w:color="auto"/>
            </w:tcBorders>
            <w:shd w:val="clear" w:color="auto" w:fill="auto"/>
            <w:vAlign w:val="center"/>
            <w:hideMark/>
          </w:tcPr>
          <w:p w14:paraId="0443E076"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 </w:t>
            </w:r>
          </w:p>
        </w:tc>
        <w:tc>
          <w:tcPr>
            <w:tcW w:w="765" w:type="dxa"/>
            <w:tcBorders>
              <w:top w:val="nil"/>
              <w:left w:val="nil"/>
              <w:bottom w:val="single" w:sz="4" w:space="0" w:color="auto"/>
              <w:right w:val="single" w:sz="4" w:space="0" w:color="auto"/>
            </w:tcBorders>
            <w:shd w:val="clear" w:color="auto" w:fill="auto"/>
            <w:vAlign w:val="center"/>
            <w:hideMark/>
          </w:tcPr>
          <w:p w14:paraId="3B06B29C"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 </w:t>
            </w:r>
          </w:p>
        </w:tc>
        <w:tc>
          <w:tcPr>
            <w:tcW w:w="970" w:type="dxa"/>
            <w:tcBorders>
              <w:top w:val="nil"/>
              <w:left w:val="nil"/>
              <w:bottom w:val="single" w:sz="4" w:space="0" w:color="auto"/>
              <w:right w:val="single" w:sz="4" w:space="0" w:color="auto"/>
            </w:tcBorders>
            <w:shd w:val="clear" w:color="auto" w:fill="auto"/>
            <w:vAlign w:val="center"/>
            <w:hideMark/>
          </w:tcPr>
          <w:p w14:paraId="0AFED6CD"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 </w:t>
            </w:r>
          </w:p>
        </w:tc>
        <w:tc>
          <w:tcPr>
            <w:tcW w:w="602" w:type="dxa"/>
            <w:tcBorders>
              <w:top w:val="nil"/>
              <w:left w:val="nil"/>
              <w:bottom w:val="single" w:sz="4" w:space="0" w:color="auto"/>
              <w:right w:val="single" w:sz="4" w:space="0" w:color="auto"/>
            </w:tcBorders>
            <w:shd w:val="clear" w:color="auto" w:fill="auto"/>
            <w:vAlign w:val="center"/>
            <w:hideMark/>
          </w:tcPr>
          <w:p w14:paraId="6D833EED"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 </w:t>
            </w:r>
          </w:p>
        </w:tc>
        <w:tc>
          <w:tcPr>
            <w:tcW w:w="697" w:type="dxa"/>
            <w:tcBorders>
              <w:top w:val="nil"/>
              <w:left w:val="nil"/>
              <w:bottom w:val="single" w:sz="4" w:space="0" w:color="auto"/>
              <w:right w:val="single" w:sz="4" w:space="0" w:color="auto"/>
            </w:tcBorders>
            <w:shd w:val="clear" w:color="auto" w:fill="auto"/>
            <w:vAlign w:val="center"/>
            <w:hideMark/>
          </w:tcPr>
          <w:p w14:paraId="5F11FCBD"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 </w:t>
            </w:r>
          </w:p>
        </w:tc>
        <w:tc>
          <w:tcPr>
            <w:tcW w:w="869" w:type="dxa"/>
            <w:tcBorders>
              <w:top w:val="nil"/>
              <w:left w:val="nil"/>
              <w:bottom w:val="single" w:sz="4" w:space="0" w:color="auto"/>
              <w:right w:val="single" w:sz="4" w:space="0" w:color="auto"/>
            </w:tcBorders>
            <w:shd w:val="clear" w:color="auto" w:fill="auto"/>
            <w:vAlign w:val="center"/>
            <w:hideMark/>
          </w:tcPr>
          <w:p w14:paraId="5019B534"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 </w:t>
            </w:r>
          </w:p>
        </w:tc>
      </w:tr>
      <w:tr w:rsidR="00F00781" w:rsidRPr="00F00781" w14:paraId="6C556973" w14:textId="77777777" w:rsidTr="00E01BBF">
        <w:trPr>
          <w:trHeight w:val="196"/>
        </w:trPr>
        <w:tc>
          <w:tcPr>
            <w:tcW w:w="632" w:type="dxa"/>
            <w:tcBorders>
              <w:top w:val="nil"/>
              <w:left w:val="single" w:sz="4" w:space="0" w:color="auto"/>
              <w:bottom w:val="single" w:sz="4" w:space="0" w:color="auto"/>
              <w:right w:val="single" w:sz="4" w:space="0" w:color="auto"/>
            </w:tcBorders>
            <w:shd w:val="clear" w:color="auto" w:fill="auto"/>
            <w:vAlign w:val="center"/>
            <w:hideMark/>
          </w:tcPr>
          <w:p w14:paraId="6AA2B62F" w14:textId="77777777" w:rsidR="00F00781" w:rsidRPr="00F00781" w:rsidRDefault="00F00781" w:rsidP="00F00781">
            <w:pPr>
              <w:rPr>
                <w:rFonts w:ascii="Arial Narrow" w:hAnsi="Arial Narrow" w:cs="Calibri"/>
                <w:sz w:val="14"/>
                <w:szCs w:val="14"/>
              </w:rPr>
            </w:pPr>
            <w:r w:rsidRPr="00F00781">
              <w:rPr>
                <w:rFonts w:ascii="Arial Narrow" w:hAnsi="Arial Narrow" w:cs="Calibri"/>
                <w:sz w:val="14"/>
                <w:szCs w:val="14"/>
              </w:rPr>
              <w:t xml:space="preserve"> 12.3/3</w:t>
            </w:r>
          </w:p>
        </w:tc>
        <w:tc>
          <w:tcPr>
            <w:tcW w:w="1671" w:type="dxa"/>
            <w:tcBorders>
              <w:top w:val="nil"/>
              <w:left w:val="nil"/>
              <w:bottom w:val="single" w:sz="4" w:space="0" w:color="auto"/>
              <w:right w:val="single" w:sz="4" w:space="0" w:color="auto"/>
            </w:tcBorders>
            <w:shd w:val="clear" w:color="auto" w:fill="auto"/>
            <w:vAlign w:val="center"/>
            <w:hideMark/>
          </w:tcPr>
          <w:p w14:paraId="7F340D2D" w14:textId="77777777" w:rsidR="00F00781" w:rsidRPr="00F00781" w:rsidRDefault="00F00781" w:rsidP="00F00781">
            <w:pPr>
              <w:ind w:firstLineChars="200" w:firstLine="280"/>
              <w:rPr>
                <w:rFonts w:ascii="Arial Narrow" w:hAnsi="Arial Narrow" w:cs="Calibri"/>
                <w:sz w:val="14"/>
                <w:szCs w:val="14"/>
              </w:rPr>
            </w:pPr>
            <w:r w:rsidRPr="00F00781">
              <w:rPr>
                <w:rFonts w:ascii="Arial Narrow" w:hAnsi="Arial Narrow" w:cs="Calibri"/>
                <w:sz w:val="14"/>
                <w:szCs w:val="14"/>
              </w:rPr>
              <w:t>Други продукти от животновъдството</w:t>
            </w:r>
          </w:p>
        </w:tc>
        <w:tc>
          <w:tcPr>
            <w:tcW w:w="773" w:type="dxa"/>
            <w:tcBorders>
              <w:top w:val="nil"/>
              <w:left w:val="nil"/>
              <w:bottom w:val="single" w:sz="4" w:space="0" w:color="auto"/>
              <w:right w:val="single" w:sz="4" w:space="0" w:color="auto"/>
            </w:tcBorders>
            <w:shd w:val="clear" w:color="auto" w:fill="auto"/>
            <w:vAlign w:val="center"/>
            <w:hideMark/>
          </w:tcPr>
          <w:p w14:paraId="0AEA6AF7"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100,1</w:t>
            </w:r>
          </w:p>
        </w:tc>
        <w:tc>
          <w:tcPr>
            <w:tcW w:w="582" w:type="dxa"/>
            <w:tcBorders>
              <w:top w:val="nil"/>
              <w:left w:val="nil"/>
              <w:bottom w:val="single" w:sz="4" w:space="0" w:color="auto"/>
              <w:right w:val="single" w:sz="4" w:space="0" w:color="auto"/>
            </w:tcBorders>
            <w:shd w:val="clear" w:color="auto" w:fill="auto"/>
            <w:vAlign w:val="center"/>
            <w:hideMark/>
          </w:tcPr>
          <w:p w14:paraId="5E1643B2" w14:textId="77777777" w:rsidR="00F00781" w:rsidRPr="00F00781" w:rsidRDefault="00F00781" w:rsidP="00F00781">
            <w:pPr>
              <w:rPr>
                <w:rFonts w:ascii="Arial Narrow" w:hAnsi="Arial Narrow" w:cs="Calibri"/>
                <w:sz w:val="14"/>
                <w:szCs w:val="14"/>
              </w:rPr>
            </w:pPr>
            <w:r w:rsidRPr="00F00781">
              <w:rPr>
                <w:rFonts w:ascii="Arial Narrow" w:hAnsi="Arial Narrow" w:cs="Calibri"/>
                <w:sz w:val="14"/>
                <w:szCs w:val="14"/>
              </w:rPr>
              <w:t> </w:t>
            </w:r>
          </w:p>
        </w:tc>
        <w:tc>
          <w:tcPr>
            <w:tcW w:w="681" w:type="dxa"/>
            <w:tcBorders>
              <w:top w:val="nil"/>
              <w:left w:val="nil"/>
              <w:bottom w:val="single" w:sz="4" w:space="0" w:color="auto"/>
              <w:right w:val="single" w:sz="4" w:space="0" w:color="auto"/>
            </w:tcBorders>
            <w:shd w:val="clear" w:color="auto" w:fill="auto"/>
            <w:vAlign w:val="center"/>
            <w:hideMark/>
          </w:tcPr>
          <w:p w14:paraId="172FE5D3"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116,1</w:t>
            </w:r>
          </w:p>
        </w:tc>
        <w:tc>
          <w:tcPr>
            <w:tcW w:w="789" w:type="dxa"/>
            <w:tcBorders>
              <w:top w:val="nil"/>
              <w:left w:val="nil"/>
              <w:bottom w:val="single" w:sz="4" w:space="0" w:color="auto"/>
              <w:right w:val="single" w:sz="4" w:space="0" w:color="auto"/>
            </w:tcBorders>
            <w:shd w:val="clear" w:color="auto" w:fill="auto"/>
            <w:vAlign w:val="center"/>
            <w:hideMark/>
          </w:tcPr>
          <w:p w14:paraId="2390812F" w14:textId="77777777" w:rsidR="00F00781" w:rsidRPr="00F00781" w:rsidRDefault="00F00781" w:rsidP="00F00781">
            <w:pPr>
              <w:rPr>
                <w:rFonts w:ascii="Arial Narrow" w:hAnsi="Arial Narrow" w:cs="Calibri"/>
                <w:sz w:val="14"/>
                <w:szCs w:val="14"/>
              </w:rPr>
            </w:pPr>
            <w:r w:rsidRPr="00F00781">
              <w:rPr>
                <w:rFonts w:ascii="Arial Narrow" w:hAnsi="Arial Narrow" w:cs="Calibri"/>
                <w:sz w:val="14"/>
                <w:szCs w:val="14"/>
              </w:rPr>
              <w:t> </w:t>
            </w:r>
          </w:p>
        </w:tc>
        <w:tc>
          <w:tcPr>
            <w:tcW w:w="693" w:type="dxa"/>
            <w:tcBorders>
              <w:top w:val="nil"/>
              <w:left w:val="nil"/>
              <w:bottom w:val="single" w:sz="4" w:space="0" w:color="auto"/>
              <w:right w:val="single" w:sz="4" w:space="0" w:color="auto"/>
            </w:tcBorders>
            <w:shd w:val="clear" w:color="auto" w:fill="auto"/>
            <w:vAlign w:val="center"/>
            <w:hideMark/>
          </w:tcPr>
          <w:p w14:paraId="79B89E05"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3,1</w:t>
            </w:r>
          </w:p>
        </w:tc>
        <w:tc>
          <w:tcPr>
            <w:tcW w:w="537" w:type="dxa"/>
            <w:tcBorders>
              <w:top w:val="nil"/>
              <w:left w:val="nil"/>
              <w:bottom w:val="single" w:sz="4" w:space="0" w:color="auto"/>
              <w:right w:val="single" w:sz="4" w:space="0" w:color="auto"/>
            </w:tcBorders>
            <w:shd w:val="clear" w:color="auto" w:fill="auto"/>
            <w:vAlign w:val="center"/>
            <w:hideMark/>
          </w:tcPr>
          <w:p w14:paraId="3A931DA1"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18,0</w:t>
            </w:r>
          </w:p>
        </w:tc>
        <w:tc>
          <w:tcPr>
            <w:tcW w:w="1143" w:type="dxa"/>
            <w:tcBorders>
              <w:top w:val="nil"/>
              <w:left w:val="nil"/>
              <w:bottom w:val="single" w:sz="4" w:space="0" w:color="auto"/>
              <w:right w:val="single" w:sz="4" w:space="0" w:color="auto"/>
            </w:tcBorders>
            <w:shd w:val="clear" w:color="auto" w:fill="auto"/>
            <w:vAlign w:val="center"/>
            <w:hideMark/>
          </w:tcPr>
          <w:p w14:paraId="38E46E0C"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0,4</w:t>
            </w:r>
          </w:p>
        </w:tc>
        <w:tc>
          <w:tcPr>
            <w:tcW w:w="1200" w:type="dxa"/>
            <w:tcBorders>
              <w:top w:val="nil"/>
              <w:left w:val="nil"/>
              <w:bottom w:val="single" w:sz="4" w:space="0" w:color="auto"/>
              <w:right w:val="single" w:sz="4" w:space="0" w:color="auto"/>
            </w:tcBorders>
            <w:shd w:val="clear" w:color="auto" w:fill="auto"/>
            <w:vAlign w:val="center"/>
            <w:hideMark/>
          </w:tcPr>
          <w:p w14:paraId="2E5EA3EB"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7,2</w:t>
            </w:r>
          </w:p>
        </w:tc>
        <w:tc>
          <w:tcPr>
            <w:tcW w:w="721" w:type="dxa"/>
            <w:tcBorders>
              <w:top w:val="nil"/>
              <w:left w:val="nil"/>
              <w:bottom w:val="single" w:sz="4" w:space="0" w:color="auto"/>
              <w:right w:val="single" w:sz="4" w:space="0" w:color="auto"/>
            </w:tcBorders>
            <w:shd w:val="clear" w:color="auto" w:fill="auto"/>
            <w:vAlign w:val="center"/>
            <w:hideMark/>
          </w:tcPr>
          <w:p w14:paraId="7FC334E0"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22,2</w:t>
            </w:r>
          </w:p>
        </w:tc>
        <w:tc>
          <w:tcPr>
            <w:tcW w:w="721" w:type="dxa"/>
            <w:tcBorders>
              <w:top w:val="nil"/>
              <w:left w:val="nil"/>
              <w:bottom w:val="single" w:sz="4" w:space="0" w:color="auto"/>
              <w:right w:val="single" w:sz="4" w:space="0" w:color="auto"/>
            </w:tcBorders>
            <w:shd w:val="clear" w:color="auto" w:fill="auto"/>
            <w:vAlign w:val="center"/>
            <w:hideMark/>
          </w:tcPr>
          <w:p w14:paraId="7ED072A7"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132,2</w:t>
            </w:r>
          </w:p>
        </w:tc>
        <w:tc>
          <w:tcPr>
            <w:tcW w:w="698" w:type="dxa"/>
            <w:tcBorders>
              <w:top w:val="nil"/>
              <w:left w:val="nil"/>
              <w:bottom w:val="single" w:sz="4" w:space="0" w:color="auto"/>
              <w:right w:val="single" w:sz="4" w:space="0" w:color="auto"/>
            </w:tcBorders>
            <w:shd w:val="clear" w:color="auto" w:fill="auto"/>
            <w:vAlign w:val="center"/>
            <w:hideMark/>
          </w:tcPr>
          <w:p w14:paraId="1DCB657C" w14:textId="77777777" w:rsidR="00F00781" w:rsidRPr="00F00781" w:rsidRDefault="00F00781" w:rsidP="00F00781">
            <w:pPr>
              <w:rPr>
                <w:rFonts w:ascii="Arial Narrow" w:hAnsi="Arial Narrow" w:cs="Calibri"/>
                <w:sz w:val="14"/>
                <w:szCs w:val="14"/>
              </w:rPr>
            </w:pPr>
            <w:r w:rsidRPr="00F00781">
              <w:rPr>
                <w:rFonts w:ascii="Arial Narrow" w:hAnsi="Arial Narrow" w:cs="Calibri"/>
                <w:sz w:val="14"/>
                <w:szCs w:val="14"/>
              </w:rPr>
              <w:t> </w:t>
            </w:r>
          </w:p>
        </w:tc>
        <w:tc>
          <w:tcPr>
            <w:tcW w:w="765" w:type="dxa"/>
            <w:tcBorders>
              <w:top w:val="nil"/>
              <w:left w:val="nil"/>
              <w:bottom w:val="single" w:sz="4" w:space="0" w:color="auto"/>
              <w:right w:val="single" w:sz="4" w:space="0" w:color="auto"/>
            </w:tcBorders>
            <w:shd w:val="clear" w:color="auto" w:fill="auto"/>
            <w:vAlign w:val="center"/>
            <w:hideMark/>
          </w:tcPr>
          <w:p w14:paraId="1F01006B"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154,5</w:t>
            </w:r>
          </w:p>
        </w:tc>
        <w:tc>
          <w:tcPr>
            <w:tcW w:w="970" w:type="dxa"/>
            <w:tcBorders>
              <w:top w:val="nil"/>
              <w:left w:val="nil"/>
              <w:bottom w:val="single" w:sz="4" w:space="0" w:color="auto"/>
              <w:right w:val="single" w:sz="4" w:space="0" w:color="auto"/>
            </w:tcBorders>
            <w:shd w:val="clear" w:color="auto" w:fill="auto"/>
            <w:vAlign w:val="center"/>
            <w:hideMark/>
          </w:tcPr>
          <w:p w14:paraId="0479CF75" w14:textId="77777777" w:rsidR="00F00781" w:rsidRPr="00F00781" w:rsidRDefault="00F00781" w:rsidP="00F00781">
            <w:pPr>
              <w:rPr>
                <w:rFonts w:ascii="Arial Narrow" w:hAnsi="Arial Narrow" w:cs="Calibri"/>
                <w:sz w:val="14"/>
                <w:szCs w:val="14"/>
              </w:rPr>
            </w:pPr>
            <w:r w:rsidRPr="00F00781">
              <w:rPr>
                <w:rFonts w:ascii="Arial Narrow" w:hAnsi="Arial Narrow" w:cs="Calibri"/>
                <w:sz w:val="14"/>
                <w:szCs w:val="14"/>
              </w:rPr>
              <w:t> </w:t>
            </w:r>
          </w:p>
        </w:tc>
        <w:tc>
          <w:tcPr>
            <w:tcW w:w="602" w:type="dxa"/>
            <w:tcBorders>
              <w:top w:val="nil"/>
              <w:left w:val="nil"/>
              <w:bottom w:val="single" w:sz="4" w:space="0" w:color="auto"/>
              <w:right w:val="single" w:sz="4" w:space="0" w:color="auto"/>
            </w:tcBorders>
            <w:shd w:val="clear" w:color="auto" w:fill="auto"/>
            <w:vAlign w:val="center"/>
            <w:hideMark/>
          </w:tcPr>
          <w:p w14:paraId="50187306"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33,0</w:t>
            </w:r>
          </w:p>
        </w:tc>
        <w:tc>
          <w:tcPr>
            <w:tcW w:w="697" w:type="dxa"/>
            <w:tcBorders>
              <w:top w:val="nil"/>
              <w:left w:val="nil"/>
              <w:bottom w:val="single" w:sz="4" w:space="0" w:color="auto"/>
              <w:right w:val="single" w:sz="4" w:space="0" w:color="auto"/>
            </w:tcBorders>
            <w:shd w:val="clear" w:color="auto" w:fill="auto"/>
            <w:vAlign w:val="center"/>
            <w:hideMark/>
          </w:tcPr>
          <w:p w14:paraId="55019DDF"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-83,1</w:t>
            </w:r>
          </w:p>
        </w:tc>
        <w:tc>
          <w:tcPr>
            <w:tcW w:w="869" w:type="dxa"/>
            <w:tcBorders>
              <w:top w:val="nil"/>
              <w:left w:val="nil"/>
              <w:bottom w:val="single" w:sz="4" w:space="0" w:color="auto"/>
              <w:right w:val="single" w:sz="4" w:space="0" w:color="auto"/>
            </w:tcBorders>
            <w:shd w:val="clear" w:color="auto" w:fill="auto"/>
            <w:vAlign w:val="center"/>
            <w:hideMark/>
          </w:tcPr>
          <w:p w14:paraId="3A12550B"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79,0</w:t>
            </w:r>
          </w:p>
        </w:tc>
      </w:tr>
      <w:tr w:rsidR="00F00781" w:rsidRPr="00F00781" w14:paraId="1A697DCD" w14:textId="77777777" w:rsidTr="00E01BBF">
        <w:trPr>
          <w:trHeight w:val="516"/>
        </w:trPr>
        <w:tc>
          <w:tcPr>
            <w:tcW w:w="632" w:type="dxa"/>
            <w:tcBorders>
              <w:top w:val="nil"/>
              <w:left w:val="single" w:sz="4" w:space="0" w:color="auto"/>
              <w:bottom w:val="single" w:sz="4" w:space="0" w:color="auto"/>
              <w:right w:val="single" w:sz="4" w:space="0" w:color="auto"/>
            </w:tcBorders>
            <w:shd w:val="clear" w:color="auto" w:fill="auto"/>
            <w:vAlign w:val="center"/>
            <w:hideMark/>
          </w:tcPr>
          <w:p w14:paraId="23BB548B" w14:textId="77777777" w:rsidR="00F00781" w:rsidRPr="00F00781" w:rsidRDefault="00F00781" w:rsidP="00F00781">
            <w:pPr>
              <w:rPr>
                <w:rFonts w:ascii="Arial Narrow" w:hAnsi="Arial Narrow" w:cs="Calibri"/>
                <w:b/>
                <w:bCs/>
                <w:sz w:val="14"/>
                <w:szCs w:val="14"/>
              </w:rPr>
            </w:pPr>
            <w:r w:rsidRPr="00F00781">
              <w:rPr>
                <w:rFonts w:ascii="Arial Narrow" w:hAnsi="Arial Narrow" w:cs="Calibri"/>
                <w:b/>
                <w:bCs/>
                <w:sz w:val="14"/>
                <w:szCs w:val="14"/>
              </w:rPr>
              <w:t xml:space="preserve"> 13</w:t>
            </w:r>
          </w:p>
        </w:tc>
        <w:tc>
          <w:tcPr>
            <w:tcW w:w="1671" w:type="dxa"/>
            <w:tcBorders>
              <w:top w:val="nil"/>
              <w:left w:val="nil"/>
              <w:bottom w:val="single" w:sz="4" w:space="0" w:color="auto"/>
              <w:right w:val="single" w:sz="4" w:space="0" w:color="auto"/>
            </w:tcBorders>
            <w:shd w:val="clear" w:color="auto" w:fill="auto"/>
            <w:vAlign w:val="center"/>
            <w:hideMark/>
          </w:tcPr>
          <w:p w14:paraId="64A72466" w14:textId="77777777" w:rsidR="00F00781" w:rsidRPr="00F00781" w:rsidRDefault="00F00781" w:rsidP="00F00781">
            <w:pPr>
              <w:rPr>
                <w:rFonts w:ascii="Arial Narrow" w:hAnsi="Arial Narrow" w:cs="Calibri"/>
                <w:b/>
                <w:bCs/>
                <w:sz w:val="14"/>
                <w:szCs w:val="14"/>
              </w:rPr>
            </w:pPr>
            <w:r w:rsidRPr="00F00781">
              <w:rPr>
                <w:rFonts w:ascii="Arial Narrow" w:hAnsi="Arial Narrow" w:cs="Calibri"/>
                <w:b/>
                <w:bCs/>
                <w:sz w:val="14"/>
                <w:szCs w:val="14"/>
              </w:rPr>
              <w:t>Продукция от животновъдството (11+12)</w:t>
            </w:r>
          </w:p>
        </w:tc>
        <w:tc>
          <w:tcPr>
            <w:tcW w:w="773" w:type="dxa"/>
            <w:tcBorders>
              <w:top w:val="nil"/>
              <w:left w:val="nil"/>
              <w:bottom w:val="single" w:sz="4" w:space="0" w:color="auto"/>
              <w:right w:val="single" w:sz="4" w:space="0" w:color="auto"/>
            </w:tcBorders>
            <w:shd w:val="clear" w:color="auto" w:fill="auto"/>
            <w:vAlign w:val="center"/>
            <w:hideMark/>
          </w:tcPr>
          <w:p w14:paraId="7B2C36F7" w14:textId="77777777" w:rsidR="00F00781" w:rsidRPr="00F00781" w:rsidRDefault="00F00781" w:rsidP="00F00781">
            <w:pPr>
              <w:jc w:val="right"/>
              <w:rPr>
                <w:rFonts w:ascii="Arial Narrow" w:hAnsi="Arial Narrow" w:cs="Calibri"/>
                <w:b/>
                <w:bCs/>
                <w:sz w:val="14"/>
                <w:szCs w:val="14"/>
              </w:rPr>
            </w:pPr>
            <w:r w:rsidRPr="00F00781">
              <w:rPr>
                <w:rFonts w:ascii="Arial Narrow" w:hAnsi="Arial Narrow" w:cs="Calibri"/>
                <w:b/>
                <w:bCs/>
                <w:sz w:val="14"/>
                <w:szCs w:val="14"/>
              </w:rPr>
              <w:t>2 341,3</w:t>
            </w:r>
          </w:p>
        </w:tc>
        <w:tc>
          <w:tcPr>
            <w:tcW w:w="582" w:type="dxa"/>
            <w:tcBorders>
              <w:top w:val="nil"/>
              <w:left w:val="nil"/>
              <w:bottom w:val="single" w:sz="4" w:space="0" w:color="auto"/>
              <w:right w:val="single" w:sz="4" w:space="0" w:color="auto"/>
            </w:tcBorders>
            <w:shd w:val="clear" w:color="auto" w:fill="auto"/>
            <w:vAlign w:val="center"/>
            <w:hideMark/>
          </w:tcPr>
          <w:p w14:paraId="6A45A0BB" w14:textId="77777777" w:rsidR="00F00781" w:rsidRPr="00F00781" w:rsidRDefault="00F00781" w:rsidP="00F00781">
            <w:pPr>
              <w:rPr>
                <w:rFonts w:ascii="Arial Narrow" w:hAnsi="Arial Narrow" w:cs="Calibri"/>
                <w:b/>
                <w:bCs/>
                <w:sz w:val="14"/>
                <w:szCs w:val="14"/>
              </w:rPr>
            </w:pPr>
            <w:r w:rsidRPr="00F00781">
              <w:rPr>
                <w:rFonts w:ascii="Arial Narrow" w:hAnsi="Arial Narrow" w:cs="Calibri"/>
                <w:b/>
                <w:bCs/>
                <w:sz w:val="14"/>
                <w:szCs w:val="14"/>
              </w:rPr>
              <w:t> </w:t>
            </w:r>
          </w:p>
        </w:tc>
        <w:tc>
          <w:tcPr>
            <w:tcW w:w="681" w:type="dxa"/>
            <w:tcBorders>
              <w:top w:val="nil"/>
              <w:left w:val="nil"/>
              <w:bottom w:val="single" w:sz="4" w:space="0" w:color="auto"/>
              <w:right w:val="single" w:sz="4" w:space="0" w:color="auto"/>
            </w:tcBorders>
            <w:shd w:val="clear" w:color="auto" w:fill="auto"/>
            <w:vAlign w:val="center"/>
            <w:hideMark/>
          </w:tcPr>
          <w:p w14:paraId="0C3421A5" w14:textId="77777777" w:rsidR="00F00781" w:rsidRPr="00F00781" w:rsidRDefault="00F00781" w:rsidP="00F00781">
            <w:pPr>
              <w:jc w:val="right"/>
              <w:rPr>
                <w:rFonts w:ascii="Arial Narrow" w:hAnsi="Arial Narrow" w:cs="Calibri"/>
                <w:b/>
                <w:bCs/>
                <w:sz w:val="14"/>
                <w:szCs w:val="14"/>
              </w:rPr>
            </w:pPr>
            <w:r w:rsidRPr="00F00781">
              <w:rPr>
                <w:rFonts w:ascii="Arial Narrow" w:hAnsi="Arial Narrow" w:cs="Calibri"/>
                <w:b/>
                <w:bCs/>
                <w:sz w:val="14"/>
                <w:szCs w:val="14"/>
              </w:rPr>
              <w:t>551,8</w:t>
            </w:r>
          </w:p>
        </w:tc>
        <w:tc>
          <w:tcPr>
            <w:tcW w:w="789" w:type="dxa"/>
            <w:tcBorders>
              <w:top w:val="nil"/>
              <w:left w:val="nil"/>
              <w:bottom w:val="single" w:sz="4" w:space="0" w:color="auto"/>
              <w:right w:val="single" w:sz="4" w:space="0" w:color="auto"/>
            </w:tcBorders>
            <w:shd w:val="clear" w:color="auto" w:fill="auto"/>
            <w:vAlign w:val="center"/>
            <w:hideMark/>
          </w:tcPr>
          <w:p w14:paraId="46FB6625" w14:textId="77777777" w:rsidR="00F00781" w:rsidRPr="00F00781" w:rsidRDefault="00F00781" w:rsidP="00F00781">
            <w:pPr>
              <w:rPr>
                <w:rFonts w:ascii="Arial Narrow" w:hAnsi="Arial Narrow" w:cs="Calibri"/>
                <w:b/>
                <w:bCs/>
                <w:sz w:val="14"/>
                <w:szCs w:val="14"/>
              </w:rPr>
            </w:pPr>
            <w:r w:rsidRPr="00F00781">
              <w:rPr>
                <w:rFonts w:ascii="Arial Narrow" w:hAnsi="Arial Narrow" w:cs="Calibri"/>
                <w:b/>
                <w:bCs/>
                <w:sz w:val="14"/>
                <w:szCs w:val="14"/>
              </w:rPr>
              <w:t> </w:t>
            </w:r>
          </w:p>
        </w:tc>
        <w:tc>
          <w:tcPr>
            <w:tcW w:w="693" w:type="dxa"/>
            <w:tcBorders>
              <w:top w:val="nil"/>
              <w:left w:val="nil"/>
              <w:bottom w:val="single" w:sz="4" w:space="0" w:color="auto"/>
              <w:right w:val="single" w:sz="4" w:space="0" w:color="auto"/>
            </w:tcBorders>
            <w:shd w:val="clear" w:color="auto" w:fill="auto"/>
            <w:vAlign w:val="center"/>
            <w:hideMark/>
          </w:tcPr>
          <w:p w14:paraId="358A83EA" w14:textId="77777777" w:rsidR="00F00781" w:rsidRPr="00F00781" w:rsidRDefault="00F00781" w:rsidP="00F00781">
            <w:pPr>
              <w:jc w:val="right"/>
              <w:rPr>
                <w:rFonts w:ascii="Arial Narrow" w:hAnsi="Arial Narrow" w:cs="Calibri"/>
                <w:b/>
                <w:bCs/>
                <w:sz w:val="14"/>
                <w:szCs w:val="14"/>
              </w:rPr>
            </w:pPr>
            <w:r w:rsidRPr="00F00781">
              <w:rPr>
                <w:rFonts w:ascii="Arial Narrow" w:hAnsi="Arial Narrow" w:cs="Calibri"/>
                <w:b/>
                <w:bCs/>
                <w:sz w:val="14"/>
                <w:szCs w:val="14"/>
              </w:rPr>
              <w:t>25,3</w:t>
            </w:r>
          </w:p>
        </w:tc>
        <w:tc>
          <w:tcPr>
            <w:tcW w:w="537" w:type="dxa"/>
            <w:tcBorders>
              <w:top w:val="nil"/>
              <w:left w:val="nil"/>
              <w:bottom w:val="single" w:sz="4" w:space="0" w:color="auto"/>
              <w:right w:val="single" w:sz="4" w:space="0" w:color="auto"/>
            </w:tcBorders>
            <w:shd w:val="clear" w:color="auto" w:fill="auto"/>
            <w:vAlign w:val="center"/>
            <w:hideMark/>
          </w:tcPr>
          <w:p w14:paraId="1DF3861F" w14:textId="77777777" w:rsidR="00F00781" w:rsidRPr="00F00781" w:rsidRDefault="00F00781" w:rsidP="00F00781">
            <w:pPr>
              <w:jc w:val="right"/>
              <w:rPr>
                <w:rFonts w:ascii="Arial Narrow" w:hAnsi="Arial Narrow" w:cs="Calibri"/>
                <w:b/>
                <w:bCs/>
                <w:sz w:val="14"/>
                <w:szCs w:val="14"/>
              </w:rPr>
            </w:pPr>
            <w:r w:rsidRPr="00F00781">
              <w:rPr>
                <w:rFonts w:ascii="Arial Narrow" w:hAnsi="Arial Narrow" w:cs="Calibri"/>
                <w:b/>
                <w:bCs/>
                <w:sz w:val="14"/>
                <w:szCs w:val="14"/>
              </w:rPr>
              <w:t>44,7</w:t>
            </w:r>
          </w:p>
        </w:tc>
        <w:tc>
          <w:tcPr>
            <w:tcW w:w="1143" w:type="dxa"/>
            <w:tcBorders>
              <w:top w:val="nil"/>
              <w:left w:val="nil"/>
              <w:bottom w:val="single" w:sz="4" w:space="0" w:color="auto"/>
              <w:right w:val="single" w:sz="4" w:space="0" w:color="auto"/>
            </w:tcBorders>
            <w:shd w:val="clear" w:color="auto" w:fill="auto"/>
            <w:vAlign w:val="center"/>
            <w:hideMark/>
          </w:tcPr>
          <w:p w14:paraId="226D0C22" w14:textId="77777777" w:rsidR="00F00781" w:rsidRPr="00F00781" w:rsidRDefault="00F00781" w:rsidP="00F00781">
            <w:pPr>
              <w:jc w:val="right"/>
              <w:rPr>
                <w:rFonts w:ascii="Arial Narrow" w:hAnsi="Arial Narrow" w:cs="Calibri"/>
                <w:b/>
                <w:bCs/>
                <w:sz w:val="14"/>
                <w:szCs w:val="14"/>
              </w:rPr>
            </w:pPr>
            <w:r w:rsidRPr="00F00781">
              <w:rPr>
                <w:rFonts w:ascii="Arial Narrow" w:hAnsi="Arial Narrow" w:cs="Calibri"/>
                <w:b/>
                <w:bCs/>
                <w:sz w:val="14"/>
                <w:szCs w:val="14"/>
              </w:rPr>
              <w:t>63,9</w:t>
            </w:r>
          </w:p>
        </w:tc>
        <w:tc>
          <w:tcPr>
            <w:tcW w:w="1200" w:type="dxa"/>
            <w:tcBorders>
              <w:top w:val="nil"/>
              <w:left w:val="nil"/>
              <w:bottom w:val="single" w:sz="4" w:space="0" w:color="auto"/>
              <w:right w:val="single" w:sz="4" w:space="0" w:color="auto"/>
            </w:tcBorders>
            <w:shd w:val="clear" w:color="auto" w:fill="auto"/>
            <w:vAlign w:val="center"/>
            <w:hideMark/>
          </w:tcPr>
          <w:p w14:paraId="4C774905" w14:textId="77777777" w:rsidR="00F00781" w:rsidRPr="00F00781" w:rsidRDefault="00F00781" w:rsidP="00F00781">
            <w:pPr>
              <w:jc w:val="right"/>
              <w:rPr>
                <w:rFonts w:ascii="Arial Narrow" w:hAnsi="Arial Narrow" w:cs="Calibri"/>
                <w:b/>
                <w:bCs/>
                <w:sz w:val="14"/>
                <w:szCs w:val="14"/>
              </w:rPr>
            </w:pPr>
            <w:r w:rsidRPr="00F00781">
              <w:rPr>
                <w:rFonts w:ascii="Arial Narrow" w:hAnsi="Arial Narrow" w:cs="Calibri"/>
                <w:b/>
                <w:bCs/>
                <w:sz w:val="14"/>
                <w:szCs w:val="14"/>
              </w:rPr>
              <w:t>20,2</w:t>
            </w:r>
          </w:p>
        </w:tc>
        <w:tc>
          <w:tcPr>
            <w:tcW w:w="721" w:type="dxa"/>
            <w:tcBorders>
              <w:top w:val="nil"/>
              <w:left w:val="nil"/>
              <w:bottom w:val="single" w:sz="4" w:space="0" w:color="auto"/>
              <w:right w:val="single" w:sz="4" w:space="0" w:color="auto"/>
            </w:tcBorders>
            <w:shd w:val="clear" w:color="auto" w:fill="auto"/>
            <w:vAlign w:val="center"/>
            <w:hideMark/>
          </w:tcPr>
          <w:p w14:paraId="17392866" w14:textId="77777777" w:rsidR="00F00781" w:rsidRPr="00F00781" w:rsidRDefault="00F00781" w:rsidP="00F00781">
            <w:pPr>
              <w:jc w:val="right"/>
              <w:rPr>
                <w:rFonts w:ascii="Arial Narrow" w:hAnsi="Arial Narrow" w:cs="Calibri"/>
                <w:b/>
                <w:bCs/>
                <w:sz w:val="14"/>
                <w:szCs w:val="14"/>
              </w:rPr>
            </w:pPr>
            <w:r w:rsidRPr="00F00781">
              <w:rPr>
                <w:rFonts w:ascii="Arial Narrow" w:hAnsi="Arial Narrow" w:cs="Calibri"/>
                <w:b/>
                <w:bCs/>
                <w:sz w:val="14"/>
                <w:szCs w:val="14"/>
              </w:rPr>
              <w:t>103,9</w:t>
            </w:r>
          </w:p>
        </w:tc>
        <w:tc>
          <w:tcPr>
            <w:tcW w:w="721" w:type="dxa"/>
            <w:tcBorders>
              <w:top w:val="nil"/>
              <w:left w:val="nil"/>
              <w:bottom w:val="single" w:sz="4" w:space="0" w:color="auto"/>
              <w:right w:val="single" w:sz="4" w:space="0" w:color="auto"/>
            </w:tcBorders>
            <w:shd w:val="clear" w:color="000000" w:fill="FFFFFF"/>
            <w:vAlign w:val="center"/>
            <w:hideMark/>
          </w:tcPr>
          <w:p w14:paraId="06CF93E5" w14:textId="77777777" w:rsidR="00F00781" w:rsidRPr="00F00781" w:rsidRDefault="00F00781" w:rsidP="00F00781">
            <w:pPr>
              <w:jc w:val="right"/>
              <w:rPr>
                <w:rFonts w:ascii="Arial Narrow" w:hAnsi="Arial Narrow" w:cs="Calibri"/>
                <w:b/>
                <w:bCs/>
                <w:sz w:val="14"/>
                <w:szCs w:val="14"/>
              </w:rPr>
            </w:pPr>
            <w:r w:rsidRPr="00F00781">
              <w:rPr>
                <w:rFonts w:ascii="Arial Narrow" w:hAnsi="Arial Narrow" w:cs="Calibri"/>
                <w:b/>
                <w:bCs/>
                <w:sz w:val="14"/>
                <w:szCs w:val="14"/>
              </w:rPr>
              <w:t>1 991,6</w:t>
            </w:r>
          </w:p>
        </w:tc>
        <w:tc>
          <w:tcPr>
            <w:tcW w:w="698" w:type="dxa"/>
            <w:tcBorders>
              <w:top w:val="nil"/>
              <w:left w:val="nil"/>
              <w:bottom w:val="single" w:sz="4" w:space="0" w:color="auto"/>
              <w:right w:val="single" w:sz="4" w:space="0" w:color="auto"/>
            </w:tcBorders>
            <w:shd w:val="clear" w:color="000000" w:fill="FFFFFF"/>
            <w:vAlign w:val="center"/>
            <w:hideMark/>
          </w:tcPr>
          <w:p w14:paraId="64696C90" w14:textId="77777777" w:rsidR="00F00781" w:rsidRPr="00F00781" w:rsidRDefault="00F00781" w:rsidP="00F00781">
            <w:pPr>
              <w:jc w:val="right"/>
              <w:rPr>
                <w:rFonts w:ascii="Arial Narrow" w:hAnsi="Arial Narrow" w:cs="Calibri"/>
                <w:b/>
                <w:bCs/>
                <w:sz w:val="14"/>
                <w:szCs w:val="14"/>
              </w:rPr>
            </w:pPr>
            <w:r w:rsidRPr="00F00781">
              <w:rPr>
                <w:rFonts w:ascii="Arial Narrow" w:hAnsi="Arial Narrow" w:cs="Calibri"/>
                <w:b/>
                <w:bCs/>
                <w:sz w:val="14"/>
                <w:szCs w:val="14"/>
              </w:rPr>
              <w:t>85,4</w:t>
            </w:r>
          </w:p>
        </w:tc>
        <w:tc>
          <w:tcPr>
            <w:tcW w:w="765" w:type="dxa"/>
            <w:tcBorders>
              <w:top w:val="nil"/>
              <w:left w:val="nil"/>
              <w:bottom w:val="single" w:sz="4" w:space="0" w:color="auto"/>
              <w:right w:val="single" w:sz="4" w:space="0" w:color="auto"/>
            </w:tcBorders>
            <w:shd w:val="clear" w:color="000000" w:fill="FFFFFF"/>
            <w:vAlign w:val="center"/>
            <w:hideMark/>
          </w:tcPr>
          <w:p w14:paraId="3B76CF3E" w14:textId="77777777" w:rsidR="00F00781" w:rsidRPr="00F00781" w:rsidRDefault="00F00781" w:rsidP="00F00781">
            <w:pPr>
              <w:jc w:val="right"/>
              <w:rPr>
                <w:rFonts w:ascii="Arial Narrow" w:hAnsi="Arial Narrow" w:cs="Calibri"/>
                <w:b/>
                <w:bCs/>
                <w:sz w:val="14"/>
                <w:szCs w:val="14"/>
              </w:rPr>
            </w:pPr>
            <w:r w:rsidRPr="00F00781">
              <w:rPr>
                <w:rFonts w:ascii="Arial Narrow" w:hAnsi="Arial Narrow" w:cs="Calibri"/>
                <w:b/>
                <w:bCs/>
                <w:sz w:val="14"/>
                <w:szCs w:val="14"/>
              </w:rPr>
              <w:t>2 181,0</w:t>
            </w:r>
          </w:p>
        </w:tc>
        <w:tc>
          <w:tcPr>
            <w:tcW w:w="970" w:type="dxa"/>
            <w:tcBorders>
              <w:top w:val="nil"/>
              <w:left w:val="nil"/>
              <w:bottom w:val="single" w:sz="4" w:space="0" w:color="auto"/>
              <w:right w:val="single" w:sz="4" w:space="0" w:color="auto"/>
            </w:tcBorders>
            <w:shd w:val="clear" w:color="auto" w:fill="auto"/>
            <w:vAlign w:val="center"/>
            <w:hideMark/>
          </w:tcPr>
          <w:p w14:paraId="57F94BD3" w14:textId="77777777" w:rsidR="00F00781" w:rsidRPr="00F00781" w:rsidRDefault="00F00781" w:rsidP="00F00781">
            <w:pPr>
              <w:jc w:val="right"/>
              <w:rPr>
                <w:rFonts w:ascii="Arial Narrow" w:hAnsi="Arial Narrow" w:cs="Calibri"/>
                <w:b/>
                <w:bCs/>
                <w:sz w:val="14"/>
                <w:szCs w:val="14"/>
              </w:rPr>
            </w:pPr>
            <w:r w:rsidRPr="00F00781">
              <w:rPr>
                <w:rFonts w:ascii="Arial Narrow" w:hAnsi="Arial Narrow" w:cs="Calibri"/>
                <w:b/>
                <w:bCs/>
                <w:sz w:val="14"/>
                <w:szCs w:val="14"/>
              </w:rPr>
              <w:t>94,5</w:t>
            </w:r>
          </w:p>
        </w:tc>
        <w:tc>
          <w:tcPr>
            <w:tcW w:w="602" w:type="dxa"/>
            <w:tcBorders>
              <w:top w:val="nil"/>
              <w:left w:val="nil"/>
              <w:bottom w:val="single" w:sz="4" w:space="0" w:color="auto"/>
              <w:right w:val="single" w:sz="4" w:space="0" w:color="auto"/>
            </w:tcBorders>
            <w:shd w:val="clear" w:color="auto" w:fill="auto"/>
            <w:vAlign w:val="center"/>
            <w:hideMark/>
          </w:tcPr>
          <w:p w14:paraId="11DEB060" w14:textId="77777777" w:rsidR="00F00781" w:rsidRPr="00F00781" w:rsidRDefault="00F00781" w:rsidP="00F00781">
            <w:pPr>
              <w:jc w:val="right"/>
              <w:rPr>
                <w:rFonts w:ascii="Arial Narrow" w:hAnsi="Arial Narrow" w:cs="Calibri"/>
                <w:b/>
                <w:bCs/>
                <w:sz w:val="14"/>
                <w:szCs w:val="14"/>
              </w:rPr>
            </w:pPr>
            <w:r w:rsidRPr="00F00781">
              <w:rPr>
                <w:rFonts w:ascii="Arial Narrow" w:hAnsi="Arial Narrow" w:cs="Calibri"/>
                <w:b/>
                <w:bCs/>
                <w:sz w:val="14"/>
                <w:szCs w:val="14"/>
              </w:rPr>
              <w:t>463,5</w:t>
            </w:r>
          </w:p>
        </w:tc>
        <w:tc>
          <w:tcPr>
            <w:tcW w:w="697" w:type="dxa"/>
            <w:tcBorders>
              <w:top w:val="nil"/>
              <w:left w:val="nil"/>
              <w:bottom w:val="single" w:sz="4" w:space="0" w:color="auto"/>
              <w:right w:val="single" w:sz="4" w:space="0" w:color="auto"/>
            </w:tcBorders>
            <w:shd w:val="clear" w:color="auto" w:fill="auto"/>
            <w:vAlign w:val="center"/>
            <w:hideMark/>
          </w:tcPr>
          <w:p w14:paraId="27211ABC" w14:textId="77777777" w:rsidR="00F00781" w:rsidRPr="00F00781" w:rsidRDefault="00F00781" w:rsidP="00F00781">
            <w:pPr>
              <w:jc w:val="right"/>
              <w:rPr>
                <w:rFonts w:ascii="Arial Narrow" w:hAnsi="Arial Narrow" w:cs="Calibri"/>
                <w:b/>
                <w:bCs/>
                <w:sz w:val="14"/>
                <w:szCs w:val="14"/>
              </w:rPr>
            </w:pPr>
            <w:r w:rsidRPr="00F00781">
              <w:rPr>
                <w:rFonts w:ascii="Arial Narrow" w:hAnsi="Arial Narrow" w:cs="Calibri"/>
                <w:b/>
                <w:bCs/>
                <w:sz w:val="14"/>
                <w:szCs w:val="14"/>
              </w:rPr>
              <w:t>-88,2</w:t>
            </w:r>
          </w:p>
        </w:tc>
        <w:tc>
          <w:tcPr>
            <w:tcW w:w="869" w:type="dxa"/>
            <w:tcBorders>
              <w:top w:val="nil"/>
              <w:left w:val="nil"/>
              <w:bottom w:val="single" w:sz="4" w:space="0" w:color="auto"/>
              <w:right w:val="single" w:sz="4" w:space="0" w:color="auto"/>
            </w:tcBorders>
            <w:shd w:val="clear" w:color="auto" w:fill="auto"/>
            <w:vAlign w:val="center"/>
            <w:hideMark/>
          </w:tcPr>
          <w:p w14:paraId="3C0B5931" w14:textId="77777777" w:rsidR="00F00781" w:rsidRPr="00F00781" w:rsidRDefault="00F00781" w:rsidP="00F00781">
            <w:pPr>
              <w:jc w:val="right"/>
              <w:rPr>
                <w:rFonts w:ascii="Arial Narrow" w:hAnsi="Arial Narrow" w:cs="Calibri"/>
                <w:b/>
                <w:bCs/>
                <w:sz w:val="14"/>
                <w:szCs w:val="14"/>
              </w:rPr>
            </w:pPr>
            <w:r w:rsidRPr="00F00781">
              <w:rPr>
                <w:rFonts w:ascii="Arial Narrow" w:hAnsi="Arial Narrow" w:cs="Calibri"/>
                <w:b/>
                <w:bCs/>
                <w:sz w:val="14"/>
                <w:szCs w:val="14"/>
              </w:rPr>
              <w:t>2 271,3</w:t>
            </w:r>
          </w:p>
        </w:tc>
      </w:tr>
      <w:tr w:rsidR="00F00781" w:rsidRPr="00F00781" w14:paraId="342FE741" w14:textId="77777777" w:rsidTr="00E01BBF">
        <w:trPr>
          <w:trHeight w:val="196"/>
        </w:trPr>
        <w:tc>
          <w:tcPr>
            <w:tcW w:w="632" w:type="dxa"/>
            <w:tcBorders>
              <w:top w:val="nil"/>
              <w:left w:val="single" w:sz="4" w:space="0" w:color="auto"/>
              <w:bottom w:val="single" w:sz="4" w:space="0" w:color="auto"/>
              <w:right w:val="single" w:sz="4" w:space="0" w:color="auto"/>
            </w:tcBorders>
            <w:shd w:val="clear" w:color="000000" w:fill="FFFFFF"/>
            <w:vAlign w:val="center"/>
            <w:hideMark/>
          </w:tcPr>
          <w:p w14:paraId="5C0BE282" w14:textId="77777777" w:rsidR="00F00781" w:rsidRPr="00F00781" w:rsidRDefault="00F00781" w:rsidP="00F00781">
            <w:pPr>
              <w:rPr>
                <w:rFonts w:ascii="Arial Narrow" w:hAnsi="Arial Narrow" w:cs="Calibri"/>
                <w:b/>
                <w:bCs/>
                <w:sz w:val="14"/>
                <w:szCs w:val="14"/>
              </w:rPr>
            </w:pPr>
            <w:r w:rsidRPr="00F00781">
              <w:rPr>
                <w:rFonts w:ascii="Arial Narrow" w:hAnsi="Arial Narrow" w:cs="Calibri"/>
                <w:b/>
                <w:bCs/>
                <w:sz w:val="14"/>
                <w:szCs w:val="14"/>
              </w:rPr>
              <w:t xml:space="preserve"> 14</w:t>
            </w:r>
          </w:p>
        </w:tc>
        <w:tc>
          <w:tcPr>
            <w:tcW w:w="1671" w:type="dxa"/>
            <w:tcBorders>
              <w:top w:val="nil"/>
              <w:left w:val="nil"/>
              <w:bottom w:val="single" w:sz="4" w:space="0" w:color="auto"/>
              <w:right w:val="single" w:sz="4" w:space="0" w:color="auto"/>
            </w:tcBorders>
            <w:shd w:val="clear" w:color="auto" w:fill="auto"/>
            <w:vAlign w:val="center"/>
            <w:hideMark/>
          </w:tcPr>
          <w:p w14:paraId="4EFD888A" w14:textId="77777777" w:rsidR="00F00781" w:rsidRPr="00F00781" w:rsidRDefault="00F00781" w:rsidP="00F00781">
            <w:pPr>
              <w:rPr>
                <w:rFonts w:ascii="Arial Narrow" w:hAnsi="Arial Narrow" w:cs="Calibri"/>
                <w:b/>
                <w:bCs/>
                <w:sz w:val="14"/>
                <w:szCs w:val="14"/>
              </w:rPr>
            </w:pPr>
            <w:r w:rsidRPr="00F00781">
              <w:rPr>
                <w:rFonts w:ascii="Arial Narrow" w:hAnsi="Arial Narrow" w:cs="Calibri"/>
                <w:b/>
                <w:bCs/>
                <w:sz w:val="14"/>
                <w:szCs w:val="14"/>
              </w:rPr>
              <w:t>Продукция на селскостопански стоки (10+13)</w:t>
            </w:r>
          </w:p>
        </w:tc>
        <w:tc>
          <w:tcPr>
            <w:tcW w:w="773" w:type="dxa"/>
            <w:tcBorders>
              <w:top w:val="nil"/>
              <w:left w:val="nil"/>
              <w:bottom w:val="single" w:sz="4" w:space="0" w:color="auto"/>
              <w:right w:val="single" w:sz="4" w:space="0" w:color="auto"/>
            </w:tcBorders>
            <w:shd w:val="clear" w:color="auto" w:fill="auto"/>
            <w:vAlign w:val="center"/>
            <w:hideMark/>
          </w:tcPr>
          <w:p w14:paraId="6F6C04E0" w14:textId="77777777" w:rsidR="00F00781" w:rsidRPr="00F00781" w:rsidRDefault="00F00781" w:rsidP="00F00781">
            <w:pPr>
              <w:jc w:val="right"/>
              <w:rPr>
                <w:rFonts w:ascii="Arial Narrow" w:hAnsi="Arial Narrow" w:cs="Calibri"/>
                <w:b/>
                <w:bCs/>
                <w:sz w:val="14"/>
                <w:szCs w:val="14"/>
              </w:rPr>
            </w:pPr>
            <w:r w:rsidRPr="00F00781">
              <w:rPr>
                <w:rFonts w:ascii="Arial Narrow" w:hAnsi="Arial Narrow" w:cs="Calibri"/>
                <w:b/>
                <w:bCs/>
                <w:sz w:val="14"/>
                <w:szCs w:val="14"/>
              </w:rPr>
              <w:t>8 798,0</w:t>
            </w:r>
          </w:p>
        </w:tc>
        <w:tc>
          <w:tcPr>
            <w:tcW w:w="582" w:type="dxa"/>
            <w:tcBorders>
              <w:top w:val="nil"/>
              <w:left w:val="nil"/>
              <w:bottom w:val="single" w:sz="4" w:space="0" w:color="auto"/>
              <w:right w:val="single" w:sz="4" w:space="0" w:color="auto"/>
            </w:tcBorders>
            <w:shd w:val="clear" w:color="auto" w:fill="auto"/>
            <w:vAlign w:val="center"/>
            <w:hideMark/>
          </w:tcPr>
          <w:p w14:paraId="1E03F10D" w14:textId="77777777" w:rsidR="00F00781" w:rsidRPr="00F00781" w:rsidRDefault="00F00781" w:rsidP="00F00781">
            <w:pPr>
              <w:jc w:val="right"/>
              <w:rPr>
                <w:rFonts w:ascii="Arial Narrow" w:hAnsi="Arial Narrow" w:cs="Calibri"/>
                <w:b/>
                <w:bCs/>
                <w:sz w:val="14"/>
                <w:szCs w:val="14"/>
              </w:rPr>
            </w:pPr>
            <w:r w:rsidRPr="00F00781">
              <w:rPr>
                <w:rFonts w:ascii="Arial Narrow" w:hAnsi="Arial Narrow" w:cs="Calibri"/>
                <w:b/>
                <w:bCs/>
                <w:sz w:val="14"/>
                <w:szCs w:val="14"/>
              </w:rPr>
              <w:t>4,6</w:t>
            </w:r>
          </w:p>
        </w:tc>
        <w:tc>
          <w:tcPr>
            <w:tcW w:w="681" w:type="dxa"/>
            <w:tcBorders>
              <w:top w:val="nil"/>
              <w:left w:val="nil"/>
              <w:bottom w:val="single" w:sz="4" w:space="0" w:color="auto"/>
              <w:right w:val="single" w:sz="4" w:space="0" w:color="auto"/>
            </w:tcBorders>
            <w:shd w:val="clear" w:color="auto" w:fill="auto"/>
            <w:vAlign w:val="center"/>
            <w:hideMark/>
          </w:tcPr>
          <w:p w14:paraId="184333F3" w14:textId="77777777" w:rsidR="00F00781" w:rsidRPr="00F00781" w:rsidRDefault="00F00781" w:rsidP="00F00781">
            <w:pPr>
              <w:jc w:val="right"/>
              <w:rPr>
                <w:rFonts w:ascii="Arial Narrow" w:hAnsi="Arial Narrow" w:cs="Calibri"/>
                <w:b/>
                <w:bCs/>
                <w:sz w:val="14"/>
                <w:szCs w:val="14"/>
              </w:rPr>
            </w:pPr>
            <w:r w:rsidRPr="00F00781">
              <w:rPr>
                <w:rFonts w:ascii="Arial Narrow" w:hAnsi="Arial Narrow" w:cs="Calibri"/>
                <w:b/>
                <w:bCs/>
                <w:sz w:val="14"/>
                <w:szCs w:val="14"/>
              </w:rPr>
              <w:t>2 739,7</w:t>
            </w:r>
          </w:p>
        </w:tc>
        <w:tc>
          <w:tcPr>
            <w:tcW w:w="789" w:type="dxa"/>
            <w:tcBorders>
              <w:top w:val="nil"/>
              <w:left w:val="nil"/>
              <w:bottom w:val="single" w:sz="4" w:space="0" w:color="auto"/>
              <w:right w:val="single" w:sz="4" w:space="0" w:color="auto"/>
            </w:tcBorders>
            <w:shd w:val="clear" w:color="000000" w:fill="FFFFFF"/>
            <w:vAlign w:val="center"/>
            <w:hideMark/>
          </w:tcPr>
          <w:p w14:paraId="652CBBE7" w14:textId="77777777" w:rsidR="00F00781" w:rsidRPr="00F00781" w:rsidRDefault="00F00781" w:rsidP="00F00781">
            <w:pPr>
              <w:jc w:val="right"/>
              <w:rPr>
                <w:rFonts w:ascii="Arial Narrow" w:hAnsi="Arial Narrow" w:cs="Calibri"/>
                <w:b/>
                <w:bCs/>
                <w:sz w:val="14"/>
                <w:szCs w:val="14"/>
              </w:rPr>
            </w:pPr>
            <w:r w:rsidRPr="00F00781">
              <w:rPr>
                <w:rFonts w:ascii="Arial Narrow" w:hAnsi="Arial Narrow" w:cs="Calibri"/>
                <w:b/>
                <w:bCs/>
                <w:sz w:val="14"/>
                <w:szCs w:val="14"/>
              </w:rPr>
              <w:t>104,1</w:t>
            </w:r>
          </w:p>
        </w:tc>
        <w:tc>
          <w:tcPr>
            <w:tcW w:w="693" w:type="dxa"/>
            <w:tcBorders>
              <w:top w:val="nil"/>
              <w:left w:val="nil"/>
              <w:bottom w:val="single" w:sz="4" w:space="0" w:color="auto"/>
              <w:right w:val="single" w:sz="4" w:space="0" w:color="auto"/>
            </w:tcBorders>
            <w:shd w:val="clear" w:color="000000" w:fill="FFFFFF"/>
            <w:vAlign w:val="center"/>
            <w:hideMark/>
          </w:tcPr>
          <w:p w14:paraId="003189D4" w14:textId="77777777" w:rsidR="00F00781" w:rsidRPr="00F00781" w:rsidRDefault="00F00781" w:rsidP="00F00781">
            <w:pPr>
              <w:jc w:val="right"/>
              <w:rPr>
                <w:rFonts w:ascii="Arial Narrow" w:hAnsi="Arial Narrow" w:cs="Calibri"/>
                <w:b/>
                <w:bCs/>
                <w:sz w:val="14"/>
                <w:szCs w:val="14"/>
              </w:rPr>
            </w:pPr>
            <w:r w:rsidRPr="00F00781">
              <w:rPr>
                <w:rFonts w:ascii="Arial Narrow" w:hAnsi="Arial Narrow" w:cs="Calibri"/>
                <w:b/>
                <w:bCs/>
                <w:sz w:val="14"/>
                <w:szCs w:val="14"/>
              </w:rPr>
              <w:t>196,9</w:t>
            </w:r>
          </w:p>
        </w:tc>
        <w:tc>
          <w:tcPr>
            <w:tcW w:w="537" w:type="dxa"/>
            <w:tcBorders>
              <w:top w:val="nil"/>
              <w:left w:val="nil"/>
              <w:bottom w:val="single" w:sz="4" w:space="0" w:color="auto"/>
              <w:right w:val="single" w:sz="4" w:space="0" w:color="auto"/>
            </w:tcBorders>
            <w:shd w:val="clear" w:color="000000" w:fill="FFFFFF"/>
            <w:vAlign w:val="center"/>
            <w:hideMark/>
          </w:tcPr>
          <w:p w14:paraId="078135A1" w14:textId="77777777" w:rsidR="00F00781" w:rsidRPr="00F00781" w:rsidRDefault="00F00781" w:rsidP="00F00781">
            <w:pPr>
              <w:jc w:val="right"/>
              <w:rPr>
                <w:rFonts w:ascii="Arial Narrow" w:hAnsi="Arial Narrow" w:cs="Calibri"/>
                <w:b/>
                <w:bCs/>
                <w:sz w:val="14"/>
                <w:szCs w:val="14"/>
              </w:rPr>
            </w:pPr>
            <w:r w:rsidRPr="00F00781">
              <w:rPr>
                <w:rFonts w:ascii="Arial Narrow" w:hAnsi="Arial Narrow" w:cs="Calibri"/>
                <w:b/>
                <w:bCs/>
                <w:sz w:val="14"/>
                <w:szCs w:val="14"/>
              </w:rPr>
              <w:t>61,3</w:t>
            </w:r>
          </w:p>
        </w:tc>
        <w:tc>
          <w:tcPr>
            <w:tcW w:w="1143" w:type="dxa"/>
            <w:tcBorders>
              <w:top w:val="nil"/>
              <w:left w:val="nil"/>
              <w:bottom w:val="single" w:sz="4" w:space="0" w:color="auto"/>
              <w:right w:val="single" w:sz="4" w:space="0" w:color="auto"/>
            </w:tcBorders>
            <w:shd w:val="clear" w:color="auto" w:fill="auto"/>
            <w:vAlign w:val="center"/>
            <w:hideMark/>
          </w:tcPr>
          <w:p w14:paraId="02F30A08" w14:textId="77777777" w:rsidR="00F00781" w:rsidRPr="00F00781" w:rsidRDefault="00F00781" w:rsidP="00F00781">
            <w:pPr>
              <w:jc w:val="right"/>
              <w:rPr>
                <w:rFonts w:ascii="Arial Narrow" w:hAnsi="Arial Narrow" w:cs="Calibri"/>
                <w:b/>
                <w:bCs/>
                <w:sz w:val="14"/>
                <w:szCs w:val="14"/>
              </w:rPr>
            </w:pPr>
            <w:r w:rsidRPr="00F00781">
              <w:rPr>
                <w:rFonts w:ascii="Arial Narrow" w:hAnsi="Arial Narrow" w:cs="Calibri"/>
                <w:b/>
                <w:bCs/>
                <w:sz w:val="14"/>
                <w:szCs w:val="14"/>
              </w:rPr>
              <w:t>121,6</w:t>
            </w:r>
          </w:p>
        </w:tc>
        <w:tc>
          <w:tcPr>
            <w:tcW w:w="1200" w:type="dxa"/>
            <w:tcBorders>
              <w:top w:val="nil"/>
              <w:left w:val="nil"/>
              <w:bottom w:val="single" w:sz="4" w:space="0" w:color="auto"/>
              <w:right w:val="single" w:sz="4" w:space="0" w:color="auto"/>
            </w:tcBorders>
            <w:shd w:val="clear" w:color="auto" w:fill="auto"/>
            <w:vAlign w:val="center"/>
            <w:hideMark/>
          </w:tcPr>
          <w:p w14:paraId="40D47AA9" w14:textId="77777777" w:rsidR="00F00781" w:rsidRPr="00F00781" w:rsidRDefault="00F00781" w:rsidP="00F00781">
            <w:pPr>
              <w:jc w:val="right"/>
              <w:rPr>
                <w:rFonts w:ascii="Arial Narrow" w:hAnsi="Arial Narrow" w:cs="Calibri"/>
                <w:b/>
                <w:bCs/>
                <w:sz w:val="14"/>
                <w:szCs w:val="14"/>
              </w:rPr>
            </w:pPr>
            <w:r w:rsidRPr="00F00781">
              <w:rPr>
                <w:rFonts w:ascii="Arial Narrow" w:hAnsi="Arial Narrow" w:cs="Calibri"/>
                <w:b/>
                <w:bCs/>
                <w:sz w:val="14"/>
                <w:szCs w:val="14"/>
              </w:rPr>
              <w:t>41,9</w:t>
            </w:r>
          </w:p>
        </w:tc>
        <w:tc>
          <w:tcPr>
            <w:tcW w:w="721" w:type="dxa"/>
            <w:tcBorders>
              <w:top w:val="nil"/>
              <w:left w:val="nil"/>
              <w:bottom w:val="single" w:sz="4" w:space="0" w:color="auto"/>
              <w:right w:val="single" w:sz="4" w:space="0" w:color="auto"/>
            </w:tcBorders>
            <w:shd w:val="clear" w:color="auto" w:fill="auto"/>
            <w:vAlign w:val="center"/>
            <w:hideMark/>
          </w:tcPr>
          <w:p w14:paraId="327284F6" w14:textId="77777777" w:rsidR="00F00781" w:rsidRPr="00F00781" w:rsidRDefault="00F00781" w:rsidP="00F00781">
            <w:pPr>
              <w:jc w:val="right"/>
              <w:rPr>
                <w:rFonts w:ascii="Arial Narrow" w:hAnsi="Arial Narrow" w:cs="Calibri"/>
                <w:b/>
                <w:bCs/>
                <w:sz w:val="14"/>
                <w:szCs w:val="14"/>
              </w:rPr>
            </w:pPr>
            <w:r w:rsidRPr="00F00781">
              <w:rPr>
                <w:rFonts w:ascii="Arial Narrow" w:hAnsi="Arial Narrow" w:cs="Calibri"/>
                <w:b/>
                <w:bCs/>
                <w:sz w:val="14"/>
                <w:szCs w:val="14"/>
              </w:rPr>
              <w:t>689,2</w:t>
            </w:r>
          </w:p>
        </w:tc>
        <w:tc>
          <w:tcPr>
            <w:tcW w:w="721" w:type="dxa"/>
            <w:tcBorders>
              <w:top w:val="nil"/>
              <w:left w:val="nil"/>
              <w:bottom w:val="single" w:sz="4" w:space="0" w:color="auto"/>
              <w:right w:val="single" w:sz="4" w:space="0" w:color="auto"/>
            </w:tcBorders>
            <w:shd w:val="clear" w:color="000000" w:fill="FFFFFF"/>
            <w:vAlign w:val="center"/>
            <w:hideMark/>
          </w:tcPr>
          <w:p w14:paraId="6E63939A" w14:textId="77777777" w:rsidR="00F00781" w:rsidRPr="00F00781" w:rsidRDefault="00F00781" w:rsidP="00F00781">
            <w:pPr>
              <w:jc w:val="right"/>
              <w:rPr>
                <w:rFonts w:ascii="Arial Narrow" w:hAnsi="Arial Narrow" w:cs="Calibri"/>
                <w:b/>
                <w:bCs/>
                <w:sz w:val="14"/>
                <w:szCs w:val="14"/>
              </w:rPr>
            </w:pPr>
            <w:r w:rsidRPr="00F00781">
              <w:rPr>
                <w:rFonts w:ascii="Arial Narrow" w:hAnsi="Arial Narrow" w:cs="Calibri"/>
                <w:b/>
                <w:bCs/>
                <w:sz w:val="14"/>
                <w:szCs w:val="14"/>
              </w:rPr>
              <w:t>7 775,6</w:t>
            </w:r>
          </w:p>
        </w:tc>
        <w:tc>
          <w:tcPr>
            <w:tcW w:w="698" w:type="dxa"/>
            <w:tcBorders>
              <w:top w:val="nil"/>
              <w:left w:val="nil"/>
              <w:bottom w:val="single" w:sz="4" w:space="0" w:color="auto"/>
              <w:right w:val="single" w:sz="4" w:space="0" w:color="auto"/>
            </w:tcBorders>
            <w:shd w:val="clear" w:color="000000" w:fill="FFFFFF"/>
            <w:vAlign w:val="center"/>
            <w:hideMark/>
          </w:tcPr>
          <w:p w14:paraId="7D226AA9" w14:textId="77777777" w:rsidR="00F00781" w:rsidRPr="00F00781" w:rsidRDefault="00F00781" w:rsidP="00F00781">
            <w:pPr>
              <w:jc w:val="right"/>
              <w:rPr>
                <w:rFonts w:ascii="Arial Narrow" w:hAnsi="Arial Narrow" w:cs="Calibri"/>
                <w:b/>
                <w:bCs/>
                <w:sz w:val="14"/>
                <w:szCs w:val="14"/>
              </w:rPr>
            </w:pPr>
            <w:r w:rsidRPr="00F00781">
              <w:rPr>
                <w:rFonts w:ascii="Arial Narrow" w:hAnsi="Arial Narrow" w:cs="Calibri"/>
                <w:b/>
                <w:bCs/>
                <w:sz w:val="14"/>
                <w:szCs w:val="14"/>
              </w:rPr>
              <w:t>166,8</w:t>
            </w:r>
          </w:p>
        </w:tc>
        <w:tc>
          <w:tcPr>
            <w:tcW w:w="765" w:type="dxa"/>
            <w:tcBorders>
              <w:top w:val="nil"/>
              <w:left w:val="nil"/>
              <w:bottom w:val="single" w:sz="4" w:space="0" w:color="auto"/>
              <w:right w:val="single" w:sz="4" w:space="0" w:color="auto"/>
            </w:tcBorders>
            <w:shd w:val="clear" w:color="000000" w:fill="FFFFFF"/>
            <w:vAlign w:val="center"/>
            <w:hideMark/>
          </w:tcPr>
          <w:p w14:paraId="2C62CF01" w14:textId="77777777" w:rsidR="00F00781" w:rsidRPr="00F00781" w:rsidRDefault="00F00781" w:rsidP="00F00781">
            <w:pPr>
              <w:jc w:val="right"/>
              <w:rPr>
                <w:rFonts w:ascii="Arial Narrow" w:hAnsi="Arial Narrow" w:cs="Calibri"/>
                <w:b/>
                <w:bCs/>
                <w:sz w:val="14"/>
                <w:szCs w:val="14"/>
              </w:rPr>
            </w:pPr>
            <w:r w:rsidRPr="00F00781">
              <w:rPr>
                <w:rFonts w:ascii="Arial Narrow" w:hAnsi="Arial Narrow" w:cs="Calibri"/>
                <w:b/>
                <w:bCs/>
                <w:sz w:val="14"/>
                <w:szCs w:val="14"/>
              </w:rPr>
              <w:t>8 631,3</w:t>
            </w:r>
          </w:p>
        </w:tc>
        <w:tc>
          <w:tcPr>
            <w:tcW w:w="970" w:type="dxa"/>
            <w:tcBorders>
              <w:top w:val="nil"/>
              <w:left w:val="nil"/>
              <w:bottom w:val="single" w:sz="4" w:space="0" w:color="auto"/>
              <w:right w:val="single" w:sz="4" w:space="0" w:color="auto"/>
            </w:tcBorders>
            <w:shd w:val="clear" w:color="auto" w:fill="auto"/>
            <w:vAlign w:val="center"/>
            <w:hideMark/>
          </w:tcPr>
          <w:p w14:paraId="65AC2BB5" w14:textId="77777777" w:rsidR="00F00781" w:rsidRPr="00F00781" w:rsidRDefault="00F00781" w:rsidP="00F00781">
            <w:pPr>
              <w:jc w:val="right"/>
              <w:rPr>
                <w:rFonts w:ascii="Arial Narrow" w:hAnsi="Arial Narrow" w:cs="Calibri"/>
                <w:b/>
                <w:bCs/>
                <w:sz w:val="14"/>
                <w:szCs w:val="14"/>
              </w:rPr>
            </w:pPr>
            <w:r w:rsidRPr="00F00781">
              <w:rPr>
                <w:rFonts w:ascii="Arial Narrow" w:hAnsi="Arial Narrow" w:cs="Calibri"/>
                <w:b/>
                <w:bCs/>
                <w:sz w:val="14"/>
                <w:szCs w:val="14"/>
              </w:rPr>
              <w:t>154,0</w:t>
            </w:r>
          </w:p>
        </w:tc>
        <w:tc>
          <w:tcPr>
            <w:tcW w:w="602" w:type="dxa"/>
            <w:tcBorders>
              <w:top w:val="nil"/>
              <w:left w:val="nil"/>
              <w:bottom w:val="single" w:sz="4" w:space="0" w:color="auto"/>
              <w:right w:val="single" w:sz="4" w:space="0" w:color="auto"/>
            </w:tcBorders>
            <w:shd w:val="clear" w:color="auto" w:fill="auto"/>
            <w:vAlign w:val="center"/>
            <w:hideMark/>
          </w:tcPr>
          <w:p w14:paraId="1915B07F" w14:textId="77777777" w:rsidR="00F00781" w:rsidRPr="00F00781" w:rsidRDefault="00F00781" w:rsidP="00F00781">
            <w:pPr>
              <w:jc w:val="right"/>
              <w:rPr>
                <w:rFonts w:ascii="Arial Narrow" w:hAnsi="Arial Narrow" w:cs="Calibri"/>
                <w:b/>
                <w:bCs/>
                <w:sz w:val="14"/>
                <w:szCs w:val="14"/>
              </w:rPr>
            </w:pPr>
            <w:r w:rsidRPr="00F00781">
              <w:rPr>
                <w:rFonts w:ascii="Arial Narrow" w:hAnsi="Arial Narrow" w:cs="Calibri"/>
                <w:b/>
                <w:bCs/>
                <w:sz w:val="14"/>
                <w:szCs w:val="14"/>
              </w:rPr>
              <w:t>2 222,0</w:t>
            </w:r>
          </w:p>
        </w:tc>
        <w:tc>
          <w:tcPr>
            <w:tcW w:w="697" w:type="dxa"/>
            <w:tcBorders>
              <w:top w:val="nil"/>
              <w:left w:val="nil"/>
              <w:bottom w:val="single" w:sz="4" w:space="0" w:color="auto"/>
              <w:right w:val="single" w:sz="4" w:space="0" w:color="auto"/>
            </w:tcBorders>
            <w:shd w:val="clear" w:color="auto" w:fill="auto"/>
            <w:vAlign w:val="center"/>
            <w:hideMark/>
          </w:tcPr>
          <w:p w14:paraId="7020C7A2" w14:textId="77777777" w:rsidR="00F00781" w:rsidRPr="00F00781" w:rsidRDefault="00F00781" w:rsidP="00F00781">
            <w:pPr>
              <w:jc w:val="right"/>
              <w:rPr>
                <w:rFonts w:ascii="Arial Narrow" w:hAnsi="Arial Narrow" w:cs="Calibri"/>
                <w:b/>
                <w:bCs/>
                <w:sz w:val="14"/>
                <w:szCs w:val="14"/>
              </w:rPr>
            </w:pPr>
            <w:r w:rsidRPr="00F00781">
              <w:rPr>
                <w:rFonts w:ascii="Arial Narrow" w:hAnsi="Arial Narrow" w:cs="Calibri"/>
                <w:b/>
                <w:bCs/>
                <w:sz w:val="14"/>
                <w:szCs w:val="14"/>
              </w:rPr>
              <w:t>-517,5</w:t>
            </w:r>
          </w:p>
        </w:tc>
        <w:tc>
          <w:tcPr>
            <w:tcW w:w="869" w:type="dxa"/>
            <w:tcBorders>
              <w:top w:val="nil"/>
              <w:left w:val="nil"/>
              <w:bottom w:val="single" w:sz="4" w:space="0" w:color="auto"/>
              <w:right w:val="single" w:sz="4" w:space="0" w:color="auto"/>
            </w:tcBorders>
            <w:shd w:val="clear" w:color="auto" w:fill="auto"/>
            <w:vAlign w:val="center"/>
            <w:hideMark/>
          </w:tcPr>
          <w:p w14:paraId="34978757" w14:textId="77777777" w:rsidR="00F00781" w:rsidRPr="00F00781" w:rsidRDefault="00F00781" w:rsidP="00F00781">
            <w:pPr>
              <w:jc w:val="right"/>
              <w:rPr>
                <w:rFonts w:ascii="Arial Narrow" w:hAnsi="Arial Narrow" w:cs="Calibri"/>
                <w:b/>
                <w:bCs/>
                <w:sz w:val="14"/>
                <w:szCs w:val="14"/>
              </w:rPr>
            </w:pPr>
            <w:r w:rsidRPr="00F00781">
              <w:rPr>
                <w:rFonts w:ascii="Arial Narrow" w:hAnsi="Arial Narrow" w:cs="Calibri"/>
                <w:b/>
                <w:bCs/>
                <w:sz w:val="14"/>
                <w:szCs w:val="14"/>
              </w:rPr>
              <w:t>8 602,7</w:t>
            </w:r>
          </w:p>
        </w:tc>
      </w:tr>
      <w:tr w:rsidR="00F00781" w:rsidRPr="00F00781" w14:paraId="5F46EC69" w14:textId="77777777" w:rsidTr="00E01BBF">
        <w:trPr>
          <w:trHeight w:val="438"/>
        </w:trPr>
        <w:tc>
          <w:tcPr>
            <w:tcW w:w="632" w:type="dxa"/>
            <w:tcBorders>
              <w:top w:val="nil"/>
              <w:left w:val="single" w:sz="4" w:space="0" w:color="auto"/>
              <w:bottom w:val="single" w:sz="4" w:space="0" w:color="auto"/>
              <w:right w:val="single" w:sz="4" w:space="0" w:color="auto"/>
            </w:tcBorders>
            <w:shd w:val="clear" w:color="000000" w:fill="FFFFFF"/>
            <w:vAlign w:val="center"/>
            <w:hideMark/>
          </w:tcPr>
          <w:p w14:paraId="2CC76981" w14:textId="77777777" w:rsidR="00F00781" w:rsidRPr="00F00781" w:rsidRDefault="00F00781" w:rsidP="00F00781">
            <w:pPr>
              <w:rPr>
                <w:rFonts w:ascii="Arial Narrow" w:hAnsi="Arial Narrow" w:cs="Calibri"/>
                <w:b/>
                <w:bCs/>
                <w:sz w:val="14"/>
                <w:szCs w:val="14"/>
              </w:rPr>
            </w:pPr>
            <w:r w:rsidRPr="00F00781">
              <w:rPr>
                <w:rFonts w:ascii="Arial Narrow" w:hAnsi="Arial Narrow" w:cs="Calibri"/>
                <w:b/>
                <w:bCs/>
                <w:sz w:val="14"/>
                <w:szCs w:val="14"/>
              </w:rPr>
              <w:t xml:space="preserve"> 15</w:t>
            </w:r>
          </w:p>
        </w:tc>
        <w:tc>
          <w:tcPr>
            <w:tcW w:w="1671" w:type="dxa"/>
            <w:tcBorders>
              <w:top w:val="nil"/>
              <w:left w:val="nil"/>
              <w:bottom w:val="single" w:sz="4" w:space="0" w:color="auto"/>
              <w:right w:val="single" w:sz="4" w:space="0" w:color="auto"/>
            </w:tcBorders>
            <w:shd w:val="clear" w:color="auto" w:fill="auto"/>
            <w:vAlign w:val="center"/>
            <w:hideMark/>
          </w:tcPr>
          <w:p w14:paraId="792738E0" w14:textId="77777777" w:rsidR="00F00781" w:rsidRPr="00F00781" w:rsidRDefault="00F00781" w:rsidP="00F00781">
            <w:pPr>
              <w:rPr>
                <w:rFonts w:ascii="Arial Narrow" w:hAnsi="Arial Narrow" w:cs="Calibri"/>
                <w:b/>
                <w:bCs/>
                <w:sz w:val="14"/>
                <w:szCs w:val="14"/>
              </w:rPr>
            </w:pPr>
            <w:r w:rsidRPr="00F00781">
              <w:rPr>
                <w:rFonts w:ascii="Arial Narrow" w:hAnsi="Arial Narrow" w:cs="Calibri"/>
                <w:b/>
                <w:bCs/>
                <w:sz w:val="14"/>
                <w:szCs w:val="14"/>
              </w:rPr>
              <w:t>Продукция на селскостопански услуги</w:t>
            </w:r>
          </w:p>
        </w:tc>
        <w:tc>
          <w:tcPr>
            <w:tcW w:w="773" w:type="dxa"/>
            <w:tcBorders>
              <w:top w:val="nil"/>
              <w:left w:val="nil"/>
              <w:bottom w:val="single" w:sz="4" w:space="0" w:color="auto"/>
              <w:right w:val="single" w:sz="4" w:space="0" w:color="auto"/>
            </w:tcBorders>
            <w:shd w:val="clear" w:color="auto" w:fill="auto"/>
            <w:vAlign w:val="center"/>
            <w:hideMark/>
          </w:tcPr>
          <w:p w14:paraId="70BDE05C" w14:textId="77777777" w:rsidR="00F00781" w:rsidRPr="00F00781" w:rsidRDefault="00F00781" w:rsidP="00F00781">
            <w:pPr>
              <w:jc w:val="right"/>
              <w:rPr>
                <w:rFonts w:ascii="Arial Narrow" w:hAnsi="Arial Narrow" w:cs="Calibri"/>
                <w:b/>
                <w:bCs/>
                <w:sz w:val="14"/>
                <w:szCs w:val="14"/>
              </w:rPr>
            </w:pPr>
            <w:r w:rsidRPr="00F00781">
              <w:rPr>
                <w:rFonts w:ascii="Arial Narrow" w:hAnsi="Arial Narrow" w:cs="Calibri"/>
                <w:b/>
                <w:bCs/>
                <w:sz w:val="14"/>
                <w:szCs w:val="14"/>
              </w:rPr>
              <w:t>547,8</w:t>
            </w:r>
          </w:p>
        </w:tc>
        <w:tc>
          <w:tcPr>
            <w:tcW w:w="582" w:type="dxa"/>
            <w:tcBorders>
              <w:top w:val="nil"/>
              <w:left w:val="nil"/>
              <w:bottom w:val="single" w:sz="4" w:space="0" w:color="auto"/>
              <w:right w:val="single" w:sz="4" w:space="0" w:color="auto"/>
            </w:tcBorders>
            <w:shd w:val="clear" w:color="auto" w:fill="auto"/>
            <w:vAlign w:val="center"/>
            <w:hideMark/>
          </w:tcPr>
          <w:p w14:paraId="3F551458" w14:textId="77777777" w:rsidR="00F00781" w:rsidRPr="00F00781" w:rsidRDefault="00F00781" w:rsidP="00F00781">
            <w:pPr>
              <w:rPr>
                <w:rFonts w:ascii="Arial Narrow" w:hAnsi="Arial Narrow" w:cs="Calibri"/>
                <w:b/>
                <w:bCs/>
                <w:sz w:val="14"/>
                <w:szCs w:val="14"/>
              </w:rPr>
            </w:pPr>
            <w:r w:rsidRPr="00F00781">
              <w:rPr>
                <w:rFonts w:ascii="Arial Narrow" w:hAnsi="Arial Narrow" w:cs="Calibri"/>
                <w:b/>
                <w:bCs/>
                <w:sz w:val="14"/>
                <w:szCs w:val="14"/>
              </w:rPr>
              <w:t> </w:t>
            </w:r>
          </w:p>
        </w:tc>
        <w:tc>
          <w:tcPr>
            <w:tcW w:w="681" w:type="dxa"/>
            <w:tcBorders>
              <w:top w:val="nil"/>
              <w:left w:val="nil"/>
              <w:bottom w:val="single" w:sz="4" w:space="0" w:color="auto"/>
              <w:right w:val="single" w:sz="4" w:space="0" w:color="auto"/>
            </w:tcBorders>
            <w:shd w:val="clear" w:color="auto" w:fill="auto"/>
            <w:vAlign w:val="center"/>
            <w:hideMark/>
          </w:tcPr>
          <w:p w14:paraId="3DFA559A" w14:textId="77777777" w:rsidR="00F00781" w:rsidRPr="00F00781" w:rsidRDefault="00F00781" w:rsidP="00F00781">
            <w:pPr>
              <w:rPr>
                <w:rFonts w:ascii="Arial Narrow" w:hAnsi="Arial Narrow" w:cs="Calibri"/>
                <w:b/>
                <w:bCs/>
                <w:sz w:val="14"/>
                <w:szCs w:val="14"/>
              </w:rPr>
            </w:pPr>
            <w:r w:rsidRPr="00F00781">
              <w:rPr>
                <w:rFonts w:ascii="Arial Narrow" w:hAnsi="Arial Narrow" w:cs="Calibri"/>
                <w:b/>
                <w:bCs/>
                <w:sz w:val="14"/>
                <w:szCs w:val="14"/>
              </w:rPr>
              <w:t> </w:t>
            </w:r>
          </w:p>
        </w:tc>
        <w:tc>
          <w:tcPr>
            <w:tcW w:w="789" w:type="dxa"/>
            <w:tcBorders>
              <w:top w:val="nil"/>
              <w:left w:val="nil"/>
              <w:bottom w:val="single" w:sz="4" w:space="0" w:color="auto"/>
              <w:right w:val="single" w:sz="4" w:space="0" w:color="auto"/>
            </w:tcBorders>
            <w:shd w:val="clear" w:color="auto" w:fill="auto"/>
            <w:vAlign w:val="center"/>
            <w:hideMark/>
          </w:tcPr>
          <w:p w14:paraId="47B2C26C" w14:textId="77777777" w:rsidR="00F00781" w:rsidRPr="00F00781" w:rsidRDefault="00F00781" w:rsidP="00F00781">
            <w:pPr>
              <w:rPr>
                <w:rFonts w:ascii="Arial Narrow" w:hAnsi="Arial Narrow" w:cs="Calibri"/>
                <w:b/>
                <w:bCs/>
                <w:sz w:val="14"/>
                <w:szCs w:val="14"/>
              </w:rPr>
            </w:pPr>
            <w:r w:rsidRPr="00F00781">
              <w:rPr>
                <w:rFonts w:ascii="Arial Narrow" w:hAnsi="Arial Narrow" w:cs="Calibri"/>
                <w:b/>
                <w:bCs/>
                <w:sz w:val="14"/>
                <w:szCs w:val="14"/>
              </w:rPr>
              <w:t> </w:t>
            </w:r>
          </w:p>
        </w:tc>
        <w:tc>
          <w:tcPr>
            <w:tcW w:w="693" w:type="dxa"/>
            <w:tcBorders>
              <w:top w:val="nil"/>
              <w:left w:val="nil"/>
              <w:bottom w:val="single" w:sz="4" w:space="0" w:color="auto"/>
              <w:right w:val="single" w:sz="4" w:space="0" w:color="auto"/>
            </w:tcBorders>
            <w:shd w:val="clear" w:color="auto" w:fill="auto"/>
            <w:vAlign w:val="center"/>
            <w:hideMark/>
          </w:tcPr>
          <w:p w14:paraId="2FD97C08" w14:textId="77777777" w:rsidR="00F00781" w:rsidRPr="00F00781" w:rsidRDefault="00F00781" w:rsidP="00F00781">
            <w:pPr>
              <w:rPr>
                <w:rFonts w:ascii="Arial Narrow" w:hAnsi="Arial Narrow" w:cs="Calibri"/>
                <w:b/>
                <w:bCs/>
                <w:sz w:val="14"/>
                <w:szCs w:val="14"/>
              </w:rPr>
            </w:pPr>
            <w:r w:rsidRPr="00F00781">
              <w:rPr>
                <w:rFonts w:ascii="Arial Narrow" w:hAnsi="Arial Narrow" w:cs="Calibri"/>
                <w:b/>
                <w:bCs/>
                <w:sz w:val="14"/>
                <w:szCs w:val="14"/>
              </w:rPr>
              <w:t> </w:t>
            </w:r>
          </w:p>
        </w:tc>
        <w:tc>
          <w:tcPr>
            <w:tcW w:w="537" w:type="dxa"/>
            <w:tcBorders>
              <w:top w:val="nil"/>
              <w:left w:val="nil"/>
              <w:bottom w:val="single" w:sz="4" w:space="0" w:color="auto"/>
              <w:right w:val="single" w:sz="4" w:space="0" w:color="auto"/>
            </w:tcBorders>
            <w:shd w:val="clear" w:color="auto" w:fill="auto"/>
            <w:vAlign w:val="center"/>
            <w:hideMark/>
          </w:tcPr>
          <w:p w14:paraId="45780DBB" w14:textId="77777777" w:rsidR="00F00781" w:rsidRPr="00F00781" w:rsidRDefault="00F00781" w:rsidP="00F00781">
            <w:pPr>
              <w:rPr>
                <w:rFonts w:ascii="Arial Narrow" w:hAnsi="Arial Narrow" w:cs="Calibri"/>
                <w:b/>
                <w:bCs/>
                <w:sz w:val="14"/>
                <w:szCs w:val="14"/>
              </w:rPr>
            </w:pPr>
            <w:r w:rsidRPr="00F00781">
              <w:rPr>
                <w:rFonts w:ascii="Arial Narrow" w:hAnsi="Arial Narrow" w:cs="Calibri"/>
                <w:b/>
                <w:bCs/>
                <w:sz w:val="14"/>
                <w:szCs w:val="14"/>
              </w:rPr>
              <w:t> </w:t>
            </w:r>
          </w:p>
        </w:tc>
        <w:tc>
          <w:tcPr>
            <w:tcW w:w="1143" w:type="dxa"/>
            <w:tcBorders>
              <w:top w:val="nil"/>
              <w:left w:val="nil"/>
              <w:bottom w:val="single" w:sz="4" w:space="0" w:color="auto"/>
              <w:right w:val="single" w:sz="4" w:space="0" w:color="auto"/>
            </w:tcBorders>
            <w:shd w:val="clear" w:color="auto" w:fill="auto"/>
            <w:vAlign w:val="center"/>
            <w:hideMark/>
          </w:tcPr>
          <w:p w14:paraId="29B39C12" w14:textId="77777777" w:rsidR="00F00781" w:rsidRPr="00F00781" w:rsidRDefault="00F00781" w:rsidP="00F00781">
            <w:pPr>
              <w:rPr>
                <w:rFonts w:ascii="Arial Narrow" w:hAnsi="Arial Narrow" w:cs="Calibri"/>
                <w:b/>
                <w:bCs/>
                <w:sz w:val="14"/>
                <w:szCs w:val="14"/>
              </w:rPr>
            </w:pPr>
            <w:r w:rsidRPr="00F00781">
              <w:rPr>
                <w:rFonts w:ascii="Arial Narrow" w:hAnsi="Arial Narrow" w:cs="Calibri"/>
                <w:b/>
                <w:bCs/>
                <w:sz w:val="14"/>
                <w:szCs w:val="14"/>
              </w:rPr>
              <w:t> </w:t>
            </w:r>
          </w:p>
        </w:tc>
        <w:tc>
          <w:tcPr>
            <w:tcW w:w="1200" w:type="dxa"/>
            <w:tcBorders>
              <w:top w:val="nil"/>
              <w:left w:val="nil"/>
              <w:bottom w:val="single" w:sz="4" w:space="0" w:color="auto"/>
              <w:right w:val="single" w:sz="4" w:space="0" w:color="auto"/>
            </w:tcBorders>
            <w:shd w:val="clear" w:color="auto" w:fill="auto"/>
            <w:vAlign w:val="center"/>
            <w:hideMark/>
          </w:tcPr>
          <w:p w14:paraId="6A772FE9" w14:textId="77777777" w:rsidR="00F00781" w:rsidRPr="00F00781" w:rsidRDefault="00F00781" w:rsidP="00F00781">
            <w:pPr>
              <w:rPr>
                <w:rFonts w:ascii="Arial Narrow" w:hAnsi="Arial Narrow" w:cs="Calibri"/>
                <w:b/>
                <w:bCs/>
                <w:sz w:val="14"/>
                <w:szCs w:val="14"/>
              </w:rPr>
            </w:pPr>
            <w:r w:rsidRPr="00F00781">
              <w:rPr>
                <w:rFonts w:ascii="Arial Narrow" w:hAnsi="Arial Narrow" w:cs="Calibri"/>
                <w:b/>
                <w:bCs/>
                <w:sz w:val="14"/>
                <w:szCs w:val="14"/>
              </w:rPr>
              <w:t> </w:t>
            </w:r>
          </w:p>
        </w:tc>
        <w:tc>
          <w:tcPr>
            <w:tcW w:w="721" w:type="dxa"/>
            <w:tcBorders>
              <w:top w:val="nil"/>
              <w:left w:val="nil"/>
              <w:bottom w:val="single" w:sz="4" w:space="0" w:color="auto"/>
              <w:right w:val="single" w:sz="4" w:space="0" w:color="auto"/>
            </w:tcBorders>
            <w:shd w:val="clear" w:color="auto" w:fill="auto"/>
            <w:vAlign w:val="center"/>
            <w:hideMark/>
          </w:tcPr>
          <w:p w14:paraId="7975E185" w14:textId="77777777" w:rsidR="00F00781" w:rsidRPr="00F00781" w:rsidRDefault="00F00781" w:rsidP="00F00781">
            <w:pPr>
              <w:rPr>
                <w:rFonts w:ascii="Arial Narrow" w:hAnsi="Arial Narrow" w:cs="Calibri"/>
                <w:b/>
                <w:bCs/>
                <w:sz w:val="14"/>
                <w:szCs w:val="14"/>
              </w:rPr>
            </w:pPr>
            <w:r w:rsidRPr="00F00781">
              <w:rPr>
                <w:rFonts w:ascii="Arial Narrow" w:hAnsi="Arial Narrow" w:cs="Calibri"/>
                <w:b/>
                <w:bCs/>
                <w:sz w:val="14"/>
                <w:szCs w:val="14"/>
              </w:rPr>
              <w:t> </w:t>
            </w:r>
          </w:p>
        </w:tc>
        <w:tc>
          <w:tcPr>
            <w:tcW w:w="721" w:type="dxa"/>
            <w:tcBorders>
              <w:top w:val="nil"/>
              <w:left w:val="nil"/>
              <w:bottom w:val="single" w:sz="4" w:space="0" w:color="auto"/>
              <w:right w:val="single" w:sz="4" w:space="0" w:color="auto"/>
            </w:tcBorders>
            <w:shd w:val="clear" w:color="auto" w:fill="auto"/>
            <w:vAlign w:val="center"/>
            <w:hideMark/>
          </w:tcPr>
          <w:p w14:paraId="3A59B064" w14:textId="77777777" w:rsidR="00F00781" w:rsidRPr="00F00781" w:rsidRDefault="00F00781" w:rsidP="00F00781">
            <w:pPr>
              <w:jc w:val="right"/>
              <w:rPr>
                <w:rFonts w:ascii="Arial Narrow" w:hAnsi="Arial Narrow" w:cs="Calibri"/>
                <w:b/>
                <w:bCs/>
                <w:sz w:val="14"/>
                <w:szCs w:val="14"/>
              </w:rPr>
            </w:pPr>
            <w:r w:rsidRPr="00F00781">
              <w:rPr>
                <w:rFonts w:ascii="Arial Narrow" w:hAnsi="Arial Narrow" w:cs="Calibri"/>
                <w:b/>
                <w:bCs/>
                <w:sz w:val="14"/>
                <w:szCs w:val="14"/>
              </w:rPr>
              <w:t>547,8</w:t>
            </w:r>
          </w:p>
        </w:tc>
        <w:tc>
          <w:tcPr>
            <w:tcW w:w="698" w:type="dxa"/>
            <w:tcBorders>
              <w:top w:val="nil"/>
              <w:left w:val="nil"/>
              <w:bottom w:val="single" w:sz="4" w:space="0" w:color="auto"/>
              <w:right w:val="single" w:sz="4" w:space="0" w:color="auto"/>
            </w:tcBorders>
            <w:shd w:val="clear" w:color="auto" w:fill="auto"/>
            <w:vAlign w:val="center"/>
            <w:hideMark/>
          </w:tcPr>
          <w:p w14:paraId="1DD0B696" w14:textId="77777777" w:rsidR="00F00781" w:rsidRPr="00F00781" w:rsidRDefault="00F00781" w:rsidP="00F00781">
            <w:pPr>
              <w:rPr>
                <w:rFonts w:ascii="Arial Narrow" w:hAnsi="Arial Narrow" w:cs="Calibri"/>
                <w:b/>
                <w:bCs/>
                <w:sz w:val="14"/>
                <w:szCs w:val="14"/>
              </w:rPr>
            </w:pPr>
            <w:r w:rsidRPr="00F00781">
              <w:rPr>
                <w:rFonts w:ascii="Arial Narrow" w:hAnsi="Arial Narrow" w:cs="Calibri"/>
                <w:b/>
                <w:bCs/>
                <w:sz w:val="14"/>
                <w:szCs w:val="14"/>
              </w:rPr>
              <w:t> </w:t>
            </w:r>
          </w:p>
        </w:tc>
        <w:tc>
          <w:tcPr>
            <w:tcW w:w="765" w:type="dxa"/>
            <w:tcBorders>
              <w:top w:val="nil"/>
              <w:left w:val="nil"/>
              <w:bottom w:val="single" w:sz="4" w:space="0" w:color="auto"/>
              <w:right w:val="single" w:sz="4" w:space="0" w:color="auto"/>
            </w:tcBorders>
            <w:shd w:val="clear" w:color="auto" w:fill="auto"/>
            <w:vAlign w:val="center"/>
            <w:hideMark/>
          </w:tcPr>
          <w:p w14:paraId="6AF94C31" w14:textId="77777777" w:rsidR="00F00781" w:rsidRPr="00F00781" w:rsidRDefault="00F00781" w:rsidP="00F00781">
            <w:pPr>
              <w:jc w:val="right"/>
              <w:rPr>
                <w:rFonts w:ascii="Arial Narrow" w:hAnsi="Arial Narrow" w:cs="Calibri"/>
                <w:b/>
                <w:bCs/>
                <w:sz w:val="14"/>
                <w:szCs w:val="14"/>
              </w:rPr>
            </w:pPr>
            <w:r w:rsidRPr="00F00781">
              <w:rPr>
                <w:rFonts w:ascii="Arial Narrow" w:hAnsi="Arial Narrow" w:cs="Calibri"/>
                <w:b/>
                <w:bCs/>
                <w:sz w:val="14"/>
                <w:szCs w:val="14"/>
              </w:rPr>
              <w:t>547,8</w:t>
            </w:r>
          </w:p>
        </w:tc>
        <w:tc>
          <w:tcPr>
            <w:tcW w:w="970" w:type="dxa"/>
            <w:tcBorders>
              <w:top w:val="nil"/>
              <w:left w:val="nil"/>
              <w:bottom w:val="single" w:sz="4" w:space="0" w:color="auto"/>
              <w:right w:val="single" w:sz="4" w:space="0" w:color="auto"/>
            </w:tcBorders>
            <w:shd w:val="clear" w:color="auto" w:fill="auto"/>
            <w:vAlign w:val="center"/>
            <w:hideMark/>
          </w:tcPr>
          <w:p w14:paraId="78ECDA60" w14:textId="77777777" w:rsidR="00F00781" w:rsidRPr="00F00781" w:rsidRDefault="00F00781" w:rsidP="00F00781">
            <w:pPr>
              <w:rPr>
                <w:rFonts w:ascii="Arial Narrow" w:hAnsi="Arial Narrow" w:cs="Calibri"/>
                <w:b/>
                <w:bCs/>
                <w:sz w:val="14"/>
                <w:szCs w:val="14"/>
              </w:rPr>
            </w:pPr>
            <w:r w:rsidRPr="00F00781">
              <w:rPr>
                <w:rFonts w:ascii="Arial Narrow" w:hAnsi="Arial Narrow" w:cs="Calibri"/>
                <w:b/>
                <w:bCs/>
                <w:sz w:val="14"/>
                <w:szCs w:val="14"/>
              </w:rPr>
              <w:t> </w:t>
            </w:r>
          </w:p>
        </w:tc>
        <w:tc>
          <w:tcPr>
            <w:tcW w:w="602" w:type="dxa"/>
            <w:tcBorders>
              <w:top w:val="nil"/>
              <w:left w:val="nil"/>
              <w:bottom w:val="single" w:sz="4" w:space="0" w:color="auto"/>
              <w:right w:val="single" w:sz="4" w:space="0" w:color="auto"/>
            </w:tcBorders>
            <w:shd w:val="clear" w:color="auto" w:fill="auto"/>
            <w:vAlign w:val="center"/>
            <w:hideMark/>
          </w:tcPr>
          <w:p w14:paraId="31828857" w14:textId="77777777" w:rsidR="00F00781" w:rsidRPr="00F00781" w:rsidRDefault="00F00781" w:rsidP="00F00781">
            <w:pPr>
              <w:rPr>
                <w:rFonts w:ascii="Arial Narrow" w:hAnsi="Arial Narrow" w:cs="Calibri"/>
                <w:b/>
                <w:bCs/>
                <w:sz w:val="14"/>
                <w:szCs w:val="14"/>
              </w:rPr>
            </w:pPr>
            <w:r w:rsidRPr="00F00781">
              <w:rPr>
                <w:rFonts w:ascii="Arial Narrow" w:hAnsi="Arial Narrow" w:cs="Calibri"/>
                <w:b/>
                <w:bCs/>
                <w:sz w:val="14"/>
                <w:szCs w:val="14"/>
              </w:rPr>
              <w:t> </w:t>
            </w:r>
          </w:p>
        </w:tc>
        <w:tc>
          <w:tcPr>
            <w:tcW w:w="697" w:type="dxa"/>
            <w:tcBorders>
              <w:top w:val="nil"/>
              <w:left w:val="nil"/>
              <w:bottom w:val="single" w:sz="4" w:space="0" w:color="auto"/>
              <w:right w:val="single" w:sz="4" w:space="0" w:color="auto"/>
            </w:tcBorders>
            <w:shd w:val="clear" w:color="auto" w:fill="auto"/>
            <w:vAlign w:val="center"/>
            <w:hideMark/>
          </w:tcPr>
          <w:p w14:paraId="77B547FF" w14:textId="77777777" w:rsidR="00F00781" w:rsidRPr="00F00781" w:rsidRDefault="00F00781" w:rsidP="00F00781">
            <w:pPr>
              <w:rPr>
                <w:rFonts w:ascii="Arial Narrow" w:hAnsi="Arial Narrow" w:cs="Calibri"/>
                <w:b/>
                <w:bCs/>
                <w:sz w:val="14"/>
                <w:szCs w:val="14"/>
              </w:rPr>
            </w:pPr>
            <w:r w:rsidRPr="00F00781">
              <w:rPr>
                <w:rFonts w:ascii="Arial Narrow" w:hAnsi="Arial Narrow" w:cs="Calibri"/>
                <w:b/>
                <w:bCs/>
                <w:sz w:val="14"/>
                <w:szCs w:val="14"/>
              </w:rPr>
              <w:t> </w:t>
            </w:r>
          </w:p>
        </w:tc>
        <w:tc>
          <w:tcPr>
            <w:tcW w:w="869" w:type="dxa"/>
            <w:tcBorders>
              <w:top w:val="nil"/>
              <w:left w:val="nil"/>
              <w:bottom w:val="single" w:sz="4" w:space="0" w:color="auto"/>
              <w:right w:val="single" w:sz="4" w:space="0" w:color="auto"/>
            </w:tcBorders>
            <w:shd w:val="clear" w:color="auto" w:fill="auto"/>
            <w:vAlign w:val="center"/>
            <w:hideMark/>
          </w:tcPr>
          <w:p w14:paraId="0097EC0A" w14:textId="77777777" w:rsidR="00F00781" w:rsidRPr="00F00781" w:rsidRDefault="00F00781" w:rsidP="00F00781">
            <w:pPr>
              <w:jc w:val="right"/>
              <w:rPr>
                <w:rFonts w:ascii="Arial Narrow" w:hAnsi="Arial Narrow" w:cs="Calibri"/>
                <w:b/>
                <w:bCs/>
                <w:sz w:val="14"/>
                <w:szCs w:val="14"/>
              </w:rPr>
            </w:pPr>
            <w:r w:rsidRPr="00F00781">
              <w:rPr>
                <w:rFonts w:ascii="Arial Narrow" w:hAnsi="Arial Narrow" w:cs="Calibri"/>
                <w:b/>
                <w:bCs/>
                <w:sz w:val="14"/>
                <w:szCs w:val="14"/>
              </w:rPr>
              <w:t>547,8</w:t>
            </w:r>
          </w:p>
        </w:tc>
      </w:tr>
      <w:tr w:rsidR="00F00781" w:rsidRPr="00F00781" w14:paraId="09681428" w14:textId="77777777" w:rsidTr="00E01BBF">
        <w:trPr>
          <w:trHeight w:val="426"/>
        </w:trPr>
        <w:tc>
          <w:tcPr>
            <w:tcW w:w="632" w:type="dxa"/>
            <w:tcBorders>
              <w:top w:val="nil"/>
              <w:left w:val="single" w:sz="4" w:space="0" w:color="auto"/>
              <w:bottom w:val="single" w:sz="4" w:space="0" w:color="auto"/>
              <w:right w:val="single" w:sz="4" w:space="0" w:color="auto"/>
            </w:tcBorders>
            <w:shd w:val="clear" w:color="000000" w:fill="FFFFFF"/>
            <w:vAlign w:val="center"/>
            <w:hideMark/>
          </w:tcPr>
          <w:p w14:paraId="3EE85B80" w14:textId="77777777" w:rsidR="00F00781" w:rsidRPr="00F00781" w:rsidRDefault="00F00781" w:rsidP="00F00781">
            <w:pPr>
              <w:rPr>
                <w:rFonts w:ascii="Arial Narrow" w:hAnsi="Arial Narrow" w:cs="Calibri"/>
                <w:b/>
                <w:bCs/>
                <w:sz w:val="14"/>
                <w:szCs w:val="14"/>
              </w:rPr>
            </w:pPr>
            <w:r w:rsidRPr="00F00781">
              <w:rPr>
                <w:rFonts w:ascii="Arial Narrow" w:hAnsi="Arial Narrow" w:cs="Calibri"/>
                <w:b/>
                <w:bCs/>
                <w:sz w:val="14"/>
                <w:szCs w:val="14"/>
              </w:rPr>
              <w:t xml:space="preserve"> 16</w:t>
            </w:r>
          </w:p>
        </w:tc>
        <w:tc>
          <w:tcPr>
            <w:tcW w:w="1671" w:type="dxa"/>
            <w:tcBorders>
              <w:top w:val="nil"/>
              <w:left w:val="nil"/>
              <w:bottom w:val="single" w:sz="4" w:space="0" w:color="auto"/>
              <w:right w:val="single" w:sz="4" w:space="0" w:color="auto"/>
            </w:tcBorders>
            <w:shd w:val="clear" w:color="auto" w:fill="auto"/>
            <w:vAlign w:val="center"/>
            <w:hideMark/>
          </w:tcPr>
          <w:p w14:paraId="730B1D41" w14:textId="77777777" w:rsidR="00F00781" w:rsidRPr="00F00781" w:rsidRDefault="00F00781" w:rsidP="00F00781">
            <w:pPr>
              <w:rPr>
                <w:rFonts w:ascii="Arial Narrow" w:hAnsi="Arial Narrow" w:cs="Calibri"/>
                <w:b/>
                <w:bCs/>
                <w:sz w:val="14"/>
                <w:szCs w:val="14"/>
              </w:rPr>
            </w:pPr>
            <w:r w:rsidRPr="00F00781">
              <w:rPr>
                <w:rFonts w:ascii="Arial Narrow" w:hAnsi="Arial Narrow" w:cs="Calibri"/>
                <w:b/>
                <w:bCs/>
                <w:sz w:val="14"/>
                <w:szCs w:val="14"/>
              </w:rPr>
              <w:t>Продукция от селското стопанство (14+15)</w:t>
            </w:r>
          </w:p>
        </w:tc>
        <w:tc>
          <w:tcPr>
            <w:tcW w:w="773" w:type="dxa"/>
            <w:tcBorders>
              <w:top w:val="nil"/>
              <w:left w:val="nil"/>
              <w:bottom w:val="single" w:sz="4" w:space="0" w:color="auto"/>
              <w:right w:val="single" w:sz="4" w:space="0" w:color="auto"/>
            </w:tcBorders>
            <w:shd w:val="clear" w:color="auto" w:fill="auto"/>
            <w:vAlign w:val="center"/>
            <w:hideMark/>
          </w:tcPr>
          <w:p w14:paraId="0C6E4C10" w14:textId="77777777" w:rsidR="00F00781" w:rsidRPr="00F00781" w:rsidRDefault="00F00781" w:rsidP="00F00781">
            <w:pPr>
              <w:jc w:val="right"/>
              <w:rPr>
                <w:rFonts w:ascii="Arial Narrow" w:hAnsi="Arial Narrow" w:cs="Calibri"/>
                <w:b/>
                <w:bCs/>
                <w:sz w:val="14"/>
                <w:szCs w:val="14"/>
              </w:rPr>
            </w:pPr>
            <w:r w:rsidRPr="00F00781">
              <w:rPr>
                <w:rFonts w:ascii="Arial Narrow" w:hAnsi="Arial Narrow" w:cs="Calibri"/>
                <w:b/>
                <w:bCs/>
                <w:sz w:val="14"/>
                <w:szCs w:val="14"/>
              </w:rPr>
              <w:t>9 345,8</w:t>
            </w:r>
          </w:p>
        </w:tc>
        <w:tc>
          <w:tcPr>
            <w:tcW w:w="582" w:type="dxa"/>
            <w:tcBorders>
              <w:top w:val="nil"/>
              <w:left w:val="nil"/>
              <w:bottom w:val="single" w:sz="4" w:space="0" w:color="auto"/>
              <w:right w:val="single" w:sz="4" w:space="0" w:color="auto"/>
            </w:tcBorders>
            <w:shd w:val="clear" w:color="auto" w:fill="auto"/>
            <w:vAlign w:val="center"/>
            <w:hideMark/>
          </w:tcPr>
          <w:p w14:paraId="7E68C89E" w14:textId="77777777" w:rsidR="00F00781" w:rsidRPr="00F00781" w:rsidRDefault="00F00781" w:rsidP="00F00781">
            <w:pPr>
              <w:jc w:val="right"/>
              <w:rPr>
                <w:rFonts w:ascii="Arial Narrow" w:hAnsi="Arial Narrow" w:cs="Calibri"/>
                <w:b/>
                <w:bCs/>
                <w:sz w:val="14"/>
                <w:szCs w:val="14"/>
              </w:rPr>
            </w:pPr>
            <w:r w:rsidRPr="00F00781">
              <w:rPr>
                <w:rFonts w:ascii="Arial Narrow" w:hAnsi="Arial Narrow" w:cs="Calibri"/>
                <w:b/>
                <w:bCs/>
                <w:sz w:val="14"/>
                <w:szCs w:val="14"/>
              </w:rPr>
              <w:t>4,6</w:t>
            </w:r>
          </w:p>
        </w:tc>
        <w:tc>
          <w:tcPr>
            <w:tcW w:w="681" w:type="dxa"/>
            <w:tcBorders>
              <w:top w:val="nil"/>
              <w:left w:val="nil"/>
              <w:bottom w:val="single" w:sz="4" w:space="0" w:color="auto"/>
              <w:right w:val="single" w:sz="4" w:space="0" w:color="auto"/>
            </w:tcBorders>
            <w:shd w:val="clear" w:color="auto" w:fill="auto"/>
            <w:vAlign w:val="center"/>
            <w:hideMark/>
          </w:tcPr>
          <w:p w14:paraId="14E54831" w14:textId="77777777" w:rsidR="00F00781" w:rsidRPr="00F00781" w:rsidRDefault="00F00781" w:rsidP="00F00781">
            <w:pPr>
              <w:jc w:val="right"/>
              <w:rPr>
                <w:rFonts w:ascii="Arial Narrow" w:hAnsi="Arial Narrow" w:cs="Calibri"/>
                <w:b/>
                <w:bCs/>
                <w:sz w:val="14"/>
                <w:szCs w:val="14"/>
              </w:rPr>
            </w:pPr>
            <w:r w:rsidRPr="00F00781">
              <w:rPr>
                <w:rFonts w:ascii="Arial Narrow" w:hAnsi="Arial Narrow" w:cs="Calibri"/>
                <w:b/>
                <w:bCs/>
                <w:sz w:val="14"/>
                <w:szCs w:val="14"/>
              </w:rPr>
              <w:t>2 739,7</w:t>
            </w:r>
          </w:p>
        </w:tc>
        <w:tc>
          <w:tcPr>
            <w:tcW w:w="789" w:type="dxa"/>
            <w:tcBorders>
              <w:top w:val="nil"/>
              <w:left w:val="nil"/>
              <w:bottom w:val="single" w:sz="4" w:space="0" w:color="auto"/>
              <w:right w:val="single" w:sz="4" w:space="0" w:color="auto"/>
            </w:tcBorders>
            <w:shd w:val="clear" w:color="auto" w:fill="auto"/>
            <w:vAlign w:val="center"/>
            <w:hideMark/>
          </w:tcPr>
          <w:p w14:paraId="3B0F3DC4" w14:textId="77777777" w:rsidR="00F00781" w:rsidRPr="00F00781" w:rsidRDefault="00F00781" w:rsidP="00F00781">
            <w:pPr>
              <w:jc w:val="right"/>
              <w:rPr>
                <w:rFonts w:ascii="Arial Narrow" w:hAnsi="Arial Narrow" w:cs="Calibri"/>
                <w:b/>
                <w:bCs/>
                <w:sz w:val="14"/>
                <w:szCs w:val="14"/>
              </w:rPr>
            </w:pPr>
            <w:r w:rsidRPr="00F00781">
              <w:rPr>
                <w:rFonts w:ascii="Arial Narrow" w:hAnsi="Arial Narrow" w:cs="Calibri"/>
                <w:b/>
                <w:bCs/>
                <w:sz w:val="14"/>
                <w:szCs w:val="14"/>
              </w:rPr>
              <w:t>104,1</w:t>
            </w:r>
          </w:p>
        </w:tc>
        <w:tc>
          <w:tcPr>
            <w:tcW w:w="693" w:type="dxa"/>
            <w:tcBorders>
              <w:top w:val="nil"/>
              <w:left w:val="nil"/>
              <w:bottom w:val="single" w:sz="4" w:space="0" w:color="auto"/>
              <w:right w:val="single" w:sz="4" w:space="0" w:color="auto"/>
            </w:tcBorders>
            <w:shd w:val="clear" w:color="auto" w:fill="auto"/>
            <w:vAlign w:val="center"/>
            <w:hideMark/>
          </w:tcPr>
          <w:p w14:paraId="52C16A5C" w14:textId="77777777" w:rsidR="00F00781" w:rsidRPr="00F00781" w:rsidRDefault="00F00781" w:rsidP="00F00781">
            <w:pPr>
              <w:jc w:val="right"/>
              <w:rPr>
                <w:rFonts w:ascii="Arial Narrow" w:hAnsi="Arial Narrow" w:cs="Calibri"/>
                <w:b/>
                <w:bCs/>
                <w:sz w:val="14"/>
                <w:szCs w:val="14"/>
              </w:rPr>
            </w:pPr>
            <w:r w:rsidRPr="00F00781">
              <w:rPr>
                <w:rFonts w:ascii="Arial Narrow" w:hAnsi="Arial Narrow" w:cs="Calibri"/>
                <w:b/>
                <w:bCs/>
                <w:sz w:val="14"/>
                <w:szCs w:val="14"/>
              </w:rPr>
              <w:t>196,9</w:t>
            </w:r>
          </w:p>
        </w:tc>
        <w:tc>
          <w:tcPr>
            <w:tcW w:w="537" w:type="dxa"/>
            <w:tcBorders>
              <w:top w:val="nil"/>
              <w:left w:val="nil"/>
              <w:bottom w:val="single" w:sz="4" w:space="0" w:color="auto"/>
              <w:right w:val="single" w:sz="4" w:space="0" w:color="auto"/>
            </w:tcBorders>
            <w:shd w:val="clear" w:color="auto" w:fill="auto"/>
            <w:vAlign w:val="center"/>
            <w:hideMark/>
          </w:tcPr>
          <w:p w14:paraId="611A2350" w14:textId="77777777" w:rsidR="00F00781" w:rsidRPr="00F00781" w:rsidRDefault="00F00781" w:rsidP="00F00781">
            <w:pPr>
              <w:jc w:val="right"/>
              <w:rPr>
                <w:rFonts w:ascii="Arial Narrow" w:hAnsi="Arial Narrow" w:cs="Calibri"/>
                <w:b/>
                <w:bCs/>
                <w:sz w:val="14"/>
                <w:szCs w:val="14"/>
              </w:rPr>
            </w:pPr>
            <w:r w:rsidRPr="00F00781">
              <w:rPr>
                <w:rFonts w:ascii="Arial Narrow" w:hAnsi="Arial Narrow" w:cs="Calibri"/>
                <w:b/>
                <w:bCs/>
                <w:sz w:val="14"/>
                <w:szCs w:val="14"/>
              </w:rPr>
              <w:t>61,3</w:t>
            </w:r>
          </w:p>
        </w:tc>
        <w:tc>
          <w:tcPr>
            <w:tcW w:w="1143" w:type="dxa"/>
            <w:tcBorders>
              <w:top w:val="nil"/>
              <w:left w:val="nil"/>
              <w:bottom w:val="single" w:sz="4" w:space="0" w:color="auto"/>
              <w:right w:val="single" w:sz="4" w:space="0" w:color="auto"/>
            </w:tcBorders>
            <w:shd w:val="clear" w:color="auto" w:fill="auto"/>
            <w:vAlign w:val="center"/>
            <w:hideMark/>
          </w:tcPr>
          <w:p w14:paraId="42C99060" w14:textId="77777777" w:rsidR="00F00781" w:rsidRPr="00F00781" w:rsidRDefault="00F00781" w:rsidP="00F00781">
            <w:pPr>
              <w:jc w:val="right"/>
              <w:rPr>
                <w:rFonts w:ascii="Arial Narrow" w:hAnsi="Arial Narrow" w:cs="Calibri"/>
                <w:b/>
                <w:bCs/>
                <w:sz w:val="14"/>
                <w:szCs w:val="14"/>
              </w:rPr>
            </w:pPr>
            <w:r w:rsidRPr="00F00781">
              <w:rPr>
                <w:rFonts w:ascii="Arial Narrow" w:hAnsi="Arial Narrow" w:cs="Calibri"/>
                <w:b/>
                <w:bCs/>
                <w:sz w:val="14"/>
                <w:szCs w:val="14"/>
              </w:rPr>
              <w:t>121,6</w:t>
            </w:r>
          </w:p>
        </w:tc>
        <w:tc>
          <w:tcPr>
            <w:tcW w:w="1200" w:type="dxa"/>
            <w:tcBorders>
              <w:top w:val="nil"/>
              <w:left w:val="nil"/>
              <w:bottom w:val="single" w:sz="4" w:space="0" w:color="auto"/>
              <w:right w:val="single" w:sz="4" w:space="0" w:color="auto"/>
            </w:tcBorders>
            <w:shd w:val="clear" w:color="auto" w:fill="auto"/>
            <w:vAlign w:val="center"/>
            <w:hideMark/>
          </w:tcPr>
          <w:p w14:paraId="49B48452" w14:textId="77777777" w:rsidR="00F00781" w:rsidRPr="00F00781" w:rsidRDefault="00F00781" w:rsidP="00F00781">
            <w:pPr>
              <w:jc w:val="right"/>
              <w:rPr>
                <w:rFonts w:ascii="Arial Narrow" w:hAnsi="Arial Narrow" w:cs="Calibri"/>
                <w:b/>
                <w:bCs/>
                <w:sz w:val="14"/>
                <w:szCs w:val="14"/>
              </w:rPr>
            </w:pPr>
            <w:r w:rsidRPr="00F00781">
              <w:rPr>
                <w:rFonts w:ascii="Arial Narrow" w:hAnsi="Arial Narrow" w:cs="Calibri"/>
                <w:b/>
                <w:bCs/>
                <w:sz w:val="14"/>
                <w:szCs w:val="14"/>
              </w:rPr>
              <w:t>41,9</w:t>
            </w:r>
          </w:p>
        </w:tc>
        <w:tc>
          <w:tcPr>
            <w:tcW w:w="721" w:type="dxa"/>
            <w:tcBorders>
              <w:top w:val="nil"/>
              <w:left w:val="nil"/>
              <w:bottom w:val="single" w:sz="4" w:space="0" w:color="auto"/>
              <w:right w:val="single" w:sz="4" w:space="0" w:color="auto"/>
            </w:tcBorders>
            <w:shd w:val="clear" w:color="auto" w:fill="auto"/>
            <w:vAlign w:val="center"/>
            <w:hideMark/>
          </w:tcPr>
          <w:p w14:paraId="2D4528A3" w14:textId="77777777" w:rsidR="00F00781" w:rsidRPr="00F00781" w:rsidRDefault="00F00781" w:rsidP="00F00781">
            <w:pPr>
              <w:jc w:val="right"/>
              <w:rPr>
                <w:rFonts w:ascii="Arial Narrow" w:hAnsi="Arial Narrow" w:cs="Calibri"/>
                <w:b/>
                <w:bCs/>
                <w:sz w:val="14"/>
                <w:szCs w:val="14"/>
              </w:rPr>
            </w:pPr>
            <w:r w:rsidRPr="00F00781">
              <w:rPr>
                <w:rFonts w:ascii="Arial Narrow" w:hAnsi="Arial Narrow" w:cs="Calibri"/>
                <w:b/>
                <w:bCs/>
                <w:sz w:val="14"/>
                <w:szCs w:val="14"/>
              </w:rPr>
              <w:t>689,2</w:t>
            </w:r>
          </w:p>
        </w:tc>
        <w:tc>
          <w:tcPr>
            <w:tcW w:w="721" w:type="dxa"/>
            <w:tcBorders>
              <w:top w:val="nil"/>
              <w:left w:val="nil"/>
              <w:bottom w:val="single" w:sz="4" w:space="0" w:color="auto"/>
              <w:right w:val="single" w:sz="4" w:space="0" w:color="auto"/>
            </w:tcBorders>
            <w:shd w:val="clear" w:color="auto" w:fill="auto"/>
            <w:vAlign w:val="center"/>
            <w:hideMark/>
          </w:tcPr>
          <w:p w14:paraId="5134CFCD" w14:textId="77777777" w:rsidR="00F00781" w:rsidRPr="00F00781" w:rsidRDefault="00F00781" w:rsidP="00F00781">
            <w:pPr>
              <w:jc w:val="right"/>
              <w:rPr>
                <w:rFonts w:ascii="Arial Narrow" w:hAnsi="Arial Narrow" w:cs="Calibri"/>
                <w:b/>
                <w:bCs/>
                <w:sz w:val="14"/>
                <w:szCs w:val="14"/>
              </w:rPr>
            </w:pPr>
            <w:r w:rsidRPr="00F00781">
              <w:rPr>
                <w:rFonts w:ascii="Arial Narrow" w:hAnsi="Arial Narrow" w:cs="Calibri"/>
                <w:b/>
                <w:bCs/>
                <w:sz w:val="14"/>
                <w:szCs w:val="14"/>
              </w:rPr>
              <w:t>8 323,4</w:t>
            </w:r>
          </w:p>
        </w:tc>
        <w:tc>
          <w:tcPr>
            <w:tcW w:w="698" w:type="dxa"/>
            <w:tcBorders>
              <w:top w:val="nil"/>
              <w:left w:val="nil"/>
              <w:bottom w:val="single" w:sz="4" w:space="0" w:color="auto"/>
              <w:right w:val="single" w:sz="4" w:space="0" w:color="auto"/>
            </w:tcBorders>
            <w:shd w:val="clear" w:color="auto" w:fill="auto"/>
            <w:vAlign w:val="center"/>
            <w:hideMark/>
          </w:tcPr>
          <w:p w14:paraId="7214DC76" w14:textId="77777777" w:rsidR="00F00781" w:rsidRPr="00F00781" w:rsidRDefault="00F00781" w:rsidP="00F00781">
            <w:pPr>
              <w:jc w:val="right"/>
              <w:rPr>
                <w:rFonts w:ascii="Arial Narrow" w:hAnsi="Arial Narrow" w:cs="Calibri"/>
                <w:b/>
                <w:bCs/>
                <w:sz w:val="14"/>
                <w:szCs w:val="14"/>
              </w:rPr>
            </w:pPr>
            <w:r w:rsidRPr="00F00781">
              <w:rPr>
                <w:rFonts w:ascii="Arial Narrow" w:hAnsi="Arial Narrow" w:cs="Calibri"/>
                <w:b/>
                <w:bCs/>
                <w:sz w:val="14"/>
                <w:szCs w:val="14"/>
              </w:rPr>
              <w:t>166,8</w:t>
            </w:r>
          </w:p>
        </w:tc>
        <w:tc>
          <w:tcPr>
            <w:tcW w:w="765" w:type="dxa"/>
            <w:tcBorders>
              <w:top w:val="nil"/>
              <w:left w:val="nil"/>
              <w:bottom w:val="single" w:sz="4" w:space="0" w:color="auto"/>
              <w:right w:val="single" w:sz="4" w:space="0" w:color="auto"/>
            </w:tcBorders>
            <w:shd w:val="clear" w:color="auto" w:fill="auto"/>
            <w:vAlign w:val="center"/>
            <w:hideMark/>
          </w:tcPr>
          <w:p w14:paraId="255A97C6" w14:textId="77777777" w:rsidR="00F00781" w:rsidRPr="00F00781" w:rsidRDefault="00F00781" w:rsidP="00F00781">
            <w:pPr>
              <w:jc w:val="right"/>
              <w:rPr>
                <w:rFonts w:ascii="Arial Narrow" w:hAnsi="Arial Narrow" w:cs="Calibri"/>
                <w:b/>
                <w:bCs/>
                <w:sz w:val="14"/>
                <w:szCs w:val="14"/>
              </w:rPr>
            </w:pPr>
            <w:r w:rsidRPr="00F00781">
              <w:rPr>
                <w:rFonts w:ascii="Arial Narrow" w:hAnsi="Arial Narrow" w:cs="Calibri"/>
                <w:b/>
                <w:bCs/>
                <w:sz w:val="14"/>
                <w:szCs w:val="14"/>
              </w:rPr>
              <w:t>9 179,1</w:t>
            </w:r>
          </w:p>
        </w:tc>
        <w:tc>
          <w:tcPr>
            <w:tcW w:w="970" w:type="dxa"/>
            <w:tcBorders>
              <w:top w:val="nil"/>
              <w:left w:val="nil"/>
              <w:bottom w:val="single" w:sz="4" w:space="0" w:color="auto"/>
              <w:right w:val="single" w:sz="4" w:space="0" w:color="auto"/>
            </w:tcBorders>
            <w:shd w:val="clear" w:color="auto" w:fill="auto"/>
            <w:vAlign w:val="center"/>
            <w:hideMark/>
          </w:tcPr>
          <w:p w14:paraId="1F7D58FA" w14:textId="77777777" w:rsidR="00F00781" w:rsidRPr="00F00781" w:rsidRDefault="00F00781" w:rsidP="00F00781">
            <w:pPr>
              <w:jc w:val="right"/>
              <w:rPr>
                <w:rFonts w:ascii="Arial Narrow" w:hAnsi="Arial Narrow" w:cs="Calibri"/>
                <w:b/>
                <w:bCs/>
                <w:sz w:val="14"/>
                <w:szCs w:val="14"/>
              </w:rPr>
            </w:pPr>
            <w:r w:rsidRPr="00F00781">
              <w:rPr>
                <w:rFonts w:ascii="Arial Narrow" w:hAnsi="Arial Narrow" w:cs="Calibri"/>
                <w:b/>
                <w:bCs/>
                <w:sz w:val="14"/>
                <w:szCs w:val="14"/>
              </w:rPr>
              <w:t>154,0</w:t>
            </w:r>
          </w:p>
        </w:tc>
        <w:tc>
          <w:tcPr>
            <w:tcW w:w="602" w:type="dxa"/>
            <w:tcBorders>
              <w:top w:val="nil"/>
              <w:left w:val="nil"/>
              <w:bottom w:val="single" w:sz="4" w:space="0" w:color="auto"/>
              <w:right w:val="single" w:sz="4" w:space="0" w:color="auto"/>
            </w:tcBorders>
            <w:shd w:val="clear" w:color="auto" w:fill="auto"/>
            <w:vAlign w:val="center"/>
            <w:hideMark/>
          </w:tcPr>
          <w:p w14:paraId="26CB44B1" w14:textId="77777777" w:rsidR="00F00781" w:rsidRPr="00F00781" w:rsidRDefault="00F00781" w:rsidP="00F00781">
            <w:pPr>
              <w:jc w:val="right"/>
              <w:rPr>
                <w:rFonts w:ascii="Arial Narrow" w:hAnsi="Arial Narrow" w:cs="Calibri"/>
                <w:b/>
                <w:bCs/>
                <w:sz w:val="14"/>
                <w:szCs w:val="14"/>
              </w:rPr>
            </w:pPr>
            <w:r w:rsidRPr="00F00781">
              <w:rPr>
                <w:rFonts w:ascii="Arial Narrow" w:hAnsi="Arial Narrow" w:cs="Calibri"/>
                <w:b/>
                <w:bCs/>
                <w:sz w:val="14"/>
                <w:szCs w:val="14"/>
              </w:rPr>
              <w:t>2 222,0</w:t>
            </w:r>
          </w:p>
        </w:tc>
        <w:tc>
          <w:tcPr>
            <w:tcW w:w="697" w:type="dxa"/>
            <w:tcBorders>
              <w:top w:val="nil"/>
              <w:left w:val="nil"/>
              <w:bottom w:val="single" w:sz="4" w:space="0" w:color="auto"/>
              <w:right w:val="single" w:sz="4" w:space="0" w:color="auto"/>
            </w:tcBorders>
            <w:shd w:val="clear" w:color="auto" w:fill="auto"/>
            <w:vAlign w:val="center"/>
            <w:hideMark/>
          </w:tcPr>
          <w:p w14:paraId="5F16F3EB" w14:textId="77777777" w:rsidR="00F00781" w:rsidRPr="00F00781" w:rsidRDefault="00F00781" w:rsidP="00F00781">
            <w:pPr>
              <w:jc w:val="right"/>
              <w:rPr>
                <w:rFonts w:ascii="Arial Narrow" w:hAnsi="Arial Narrow" w:cs="Calibri"/>
                <w:b/>
                <w:bCs/>
                <w:sz w:val="14"/>
                <w:szCs w:val="14"/>
              </w:rPr>
            </w:pPr>
            <w:r w:rsidRPr="00F00781">
              <w:rPr>
                <w:rFonts w:ascii="Arial Narrow" w:hAnsi="Arial Narrow" w:cs="Calibri"/>
                <w:b/>
                <w:bCs/>
                <w:sz w:val="14"/>
                <w:szCs w:val="14"/>
              </w:rPr>
              <w:t>-517,5</w:t>
            </w:r>
          </w:p>
        </w:tc>
        <w:tc>
          <w:tcPr>
            <w:tcW w:w="869" w:type="dxa"/>
            <w:tcBorders>
              <w:top w:val="nil"/>
              <w:left w:val="nil"/>
              <w:bottom w:val="single" w:sz="4" w:space="0" w:color="auto"/>
              <w:right w:val="single" w:sz="4" w:space="0" w:color="auto"/>
            </w:tcBorders>
            <w:shd w:val="clear" w:color="auto" w:fill="auto"/>
            <w:vAlign w:val="center"/>
            <w:hideMark/>
          </w:tcPr>
          <w:p w14:paraId="0E98725D" w14:textId="77777777" w:rsidR="00F00781" w:rsidRPr="00F00781" w:rsidRDefault="00F00781" w:rsidP="00F00781">
            <w:pPr>
              <w:jc w:val="right"/>
              <w:rPr>
                <w:rFonts w:ascii="Arial Narrow" w:hAnsi="Arial Narrow" w:cs="Calibri"/>
                <w:b/>
                <w:bCs/>
                <w:sz w:val="14"/>
                <w:szCs w:val="14"/>
              </w:rPr>
            </w:pPr>
            <w:r w:rsidRPr="00F00781">
              <w:rPr>
                <w:rFonts w:ascii="Arial Narrow" w:hAnsi="Arial Narrow" w:cs="Calibri"/>
                <w:b/>
                <w:bCs/>
                <w:sz w:val="14"/>
                <w:szCs w:val="14"/>
              </w:rPr>
              <w:t>9 150,5</w:t>
            </w:r>
          </w:p>
        </w:tc>
      </w:tr>
      <w:tr w:rsidR="00F00781" w:rsidRPr="00F00781" w14:paraId="69CA2C48" w14:textId="77777777" w:rsidTr="00E01BBF">
        <w:trPr>
          <w:trHeight w:val="542"/>
        </w:trPr>
        <w:tc>
          <w:tcPr>
            <w:tcW w:w="632" w:type="dxa"/>
            <w:tcBorders>
              <w:top w:val="nil"/>
              <w:left w:val="single" w:sz="4" w:space="0" w:color="auto"/>
              <w:bottom w:val="single" w:sz="4" w:space="0" w:color="auto"/>
              <w:right w:val="single" w:sz="4" w:space="0" w:color="auto"/>
            </w:tcBorders>
            <w:shd w:val="clear" w:color="000000" w:fill="FFFFFF"/>
            <w:vAlign w:val="center"/>
            <w:hideMark/>
          </w:tcPr>
          <w:p w14:paraId="78DA091C" w14:textId="77777777" w:rsidR="00F00781" w:rsidRPr="00F00781" w:rsidRDefault="00F00781" w:rsidP="005232AE">
            <w:pPr>
              <w:rPr>
                <w:rFonts w:ascii="Arial Narrow" w:hAnsi="Arial Narrow" w:cs="Calibri"/>
                <w:b/>
                <w:bCs/>
                <w:sz w:val="14"/>
                <w:szCs w:val="14"/>
              </w:rPr>
            </w:pPr>
            <w:r w:rsidRPr="00F00781">
              <w:rPr>
                <w:rFonts w:ascii="Arial Narrow" w:hAnsi="Arial Narrow" w:cs="Calibri"/>
                <w:b/>
                <w:bCs/>
                <w:sz w:val="14"/>
                <w:szCs w:val="14"/>
              </w:rPr>
              <w:lastRenderedPageBreak/>
              <w:t xml:space="preserve"> 17</w:t>
            </w:r>
          </w:p>
        </w:tc>
        <w:tc>
          <w:tcPr>
            <w:tcW w:w="1671" w:type="dxa"/>
            <w:tcBorders>
              <w:top w:val="nil"/>
              <w:left w:val="nil"/>
              <w:bottom w:val="single" w:sz="4" w:space="0" w:color="auto"/>
              <w:right w:val="single" w:sz="4" w:space="0" w:color="auto"/>
            </w:tcBorders>
            <w:shd w:val="clear" w:color="auto" w:fill="auto"/>
            <w:vAlign w:val="center"/>
            <w:hideMark/>
          </w:tcPr>
          <w:p w14:paraId="5F9C7B6B" w14:textId="77777777" w:rsidR="00F00781" w:rsidRPr="00F00781" w:rsidRDefault="00F00781" w:rsidP="00F00781">
            <w:pPr>
              <w:rPr>
                <w:rFonts w:ascii="Arial Narrow" w:hAnsi="Arial Narrow" w:cs="Calibri"/>
                <w:b/>
                <w:bCs/>
                <w:sz w:val="14"/>
                <w:szCs w:val="14"/>
              </w:rPr>
            </w:pPr>
            <w:r w:rsidRPr="00F00781">
              <w:rPr>
                <w:rFonts w:ascii="Arial Narrow" w:hAnsi="Arial Narrow" w:cs="Calibri"/>
                <w:b/>
                <w:bCs/>
                <w:sz w:val="14"/>
                <w:szCs w:val="14"/>
              </w:rPr>
              <w:t>Неселскостопански неотделими второстепенни дейности</w:t>
            </w:r>
          </w:p>
        </w:tc>
        <w:tc>
          <w:tcPr>
            <w:tcW w:w="773" w:type="dxa"/>
            <w:tcBorders>
              <w:top w:val="nil"/>
              <w:left w:val="nil"/>
              <w:bottom w:val="single" w:sz="4" w:space="0" w:color="auto"/>
              <w:right w:val="single" w:sz="4" w:space="0" w:color="auto"/>
            </w:tcBorders>
            <w:shd w:val="clear" w:color="auto" w:fill="auto"/>
            <w:vAlign w:val="center"/>
            <w:hideMark/>
          </w:tcPr>
          <w:p w14:paraId="1137A8A4" w14:textId="77777777" w:rsidR="00F00781" w:rsidRPr="00F00781" w:rsidRDefault="00F00781" w:rsidP="00F00781">
            <w:pPr>
              <w:jc w:val="right"/>
              <w:rPr>
                <w:rFonts w:ascii="Arial Narrow" w:hAnsi="Arial Narrow" w:cs="Calibri"/>
                <w:b/>
                <w:bCs/>
                <w:sz w:val="14"/>
                <w:szCs w:val="14"/>
              </w:rPr>
            </w:pPr>
            <w:r w:rsidRPr="00F00781">
              <w:rPr>
                <w:rFonts w:ascii="Arial Narrow" w:hAnsi="Arial Narrow" w:cs="Calibri"/>
                <w:b/>
                <w:bCs/>
                <w:sz w:val="14"/>
                <w:szCs w:val="14"/>
              </w:rPr>
              <w:t>298,1</w:t>
            </w:r>
          </w:p>
        </w:tc>
        <w:tc>
          <w:tcPr>
            <w:tcW w:w="582" w:type="dxa"/>
            <w:tcBorders>
              <w:top w:val="nil"/>
              <w:left w:val="nil"/>
              <w:bottom w:val="single" w:sz="4" w:space="0" w:color="auto"/>
              <w:right w:val="single" w:sz="4" w:space="0" w:color="auto"/>
            </w:tcBorders>
            <w:shd w:val="clear" w:color="auto" w:fill="auto"/>
            <w:vAlign w:val="center"/>
            <w:hideMark/>
          </w:tcPr>
          <w:p w14:paraId="1F4D5D38" w14:textId="77777777" w:rsidR="00F00781" w:rsidRPr="00F00781" w:rsidRDefault="00F00781" w:rsidP="00F00781">
            <w:pPr>
              <w:rPr>
                <w:rFonts w:ascii="Arial Narrow" w:hAnsi="Arial Narrow" w:cs="Calibri"/>
                <w:b/>
                <w:bCs/>
                <w:sz w:val="14"/>
                <w:szCs w:val="14"/>
              </w:rPr>
            </w:pPr>
            <w:r w:rsidRPr="00F00781">
              <w:rPr>
                <w:rFonts w:ascii="Arial Narrow" w:hAnsi="Arial Narrow" w:cs="Calibri"/>
                <w:b/>
                <w:bCs/>
                <w:sz w:val="14"/>
                <w:szCs w:val="14"/>
              </w:rPr>
              <w:t> </w:t>
            </w:r>
          </w:p>
        </w:tc>
        <w:tc>
          <w:tcPr>
            <w:tcW w:w="681" w:type="dxa"/>
            <w:tcBorders>
              <w:top w:val="nil"/>
              <w:left w:val="nil"/>
              <w:bottom w:val="single" w:sz="4" w:space="0" w:color="auto"/>
              <w:right w:val="single" w:sz="4" w:space="0" w:color="auto"/>
            </w:tcBorders>
            <w:shd w:val="clear" w:color="auto" w:fill="auto"/>
            <w:vAlign w:val="center"/>
            <w:hideMark/>
          </w:tcPr>
          <w:p w14:paraId="75FDE550" w14:textId="77777777" w:rsidR="00F00781" w:rsidRPr="00F00781" w:rsidRDefault="00F00781" w:rsidP="00F00781">
            <w:pPr>
              <w:rPr>
                <w:rFonts w:ascii="Arial Narrow" w:hAnsi="Arial Narrow" w:cs="Calibri"/>
                <w:b/>
                <w:bCs/>
                <w:sz w:val="14"/>
                <w:szCs w:val="14"/>
              </w:rPr>
            </w:pPr>
            <w:r w:rsidRPr="00F00781">
              <w:rPr>
                <w:rFonts w:ascii="Arial Narrow" w:hAnsi="Arial Narrow" w:cs="Calibri"/>
                <w:b/>
                <w:bCs/>
                <w:sz w:val="14"/>
                <w:szCs w:val="14"/>
              </w:rPr>
              <w:t> </w:t>
            </w:r>
          </w:p>
        </w:tc>
        <w:tc>
          <w:tcPr>
            <w:tcW w:w="789" w:type="dxa"/>
            <w:tcBorders>
              <w:top w:val="nil"/>
              <w:left w:val="nil"/>
              <w:bottom w:val="single" w:sz="4" w:space="0" w:color="auto"/>
              <w:right w:val="single" w:sz="4" w:space="0" w:color="auto"/>
            </w:tcBorders>
            <w:shd w:val="clear" w:color="auto" w:fill="auto"/>
            <w:vAlign w:val="center"/>
            <w:hideMark/>
          </w:tcPr>
          <w:p w14:paraId="28532234" w14:textId="77777777" w:rsidR="00F00781" w:rsidRPr="00F00781" w:rsidRDefault="00F00781" w:rsidP="00F00781">
            <w:pPr>
              <w:rPr>
                <w:rFonts w:ascii="Arial Narrow" w:hAnsi="Arial Narrow" w:cs="Calibri"/>
                <w:b/>
                <w:bCs/>
                <w:sz w:val="14"/>
                <w:szCs w:val="14"/>
              </w:rPr>
            </w:pPr>
            <w:r w:rsidRPr="00F00781">
              <w:rPr>
                <w:rFonts w:ascii="Arial Narrow" w:hAnsi="Arial Narrow" w:cs="Calibri"/>
                <w:b/>
                <w:bCs/>
                <w:sz w:val="14"/>
                <w:szCs w:val="14"/>
              </w:rPr>
              <w:t> </w:t>
            </w:r>
          </w:p>
        </w:tc>
        <w:tc>
          <w:tcPr>
            <w:tcW w:w="693" w:type="dxa"/>
            <w:tcBorders>
              <w:top w:val="nil"/>
              <w:left w:val="nil"/>
              <w:bottom w:val="single" w:sz="4" w:space="0" w:color="auto"/>
              <w:right w:val="single" w:sz="4" w:space="0" w:color="auto"/>
            </w:tcBorders>
            <w:shd w:val="clear" w:color="auto" w:fill="auto"/>
            <w:vAlign w:val="center"/>
            <w:hideMark/>
          </w:tcPr>
          <w:p w14:paraId="1853ED59" w14:textId="77777777" w:rsidR="00F00781" w:rsidRPr="00F00781" w:rsidRDefault="00F00781" w:rsidP="00F00781">
            <w:pPr>
              <w:rPr>
                <w:rFonts w:ascii="Arial Narrow" w:hAnsi="Arial Narrow" w:cs="Calibri"/>
                <w:b/>
                <w:bCs/>
                <w:sz w:val="14"/>
                <w:szCs w:val="14"/>
              </w:rPr>
            </w:pPr>
            <w:r w:rsidRPr="00F00781">
              <w:rPr>
                <w:rFonts w:ascii="Arial Narrow" w:hAnsi="Arial Narrow" w:cs="Calibri"/>
                <w:b/>
                <w:bCs/>
                <w:sz w:val="14"/>
                <w:szCs w:val="14"/>
              </w:rPr>
              <w:t> </w:t>
            </w:r>
          </w:p>
        </w:tc>
        <w:tc>
          <w:tcPr>
            <w:tcW w:w="537" w:type="dxa"/>
            <w:tcBorders>
              <w:top w:val="nil"/>
              <w:left w:val="nil"/>
              <w:bottom w:val="single" w:sz="4" w:space="0" w:color="auto"/>
              <w:right w:val="single" w:sz="4" w:space="0" w:color="auto"/>
            </w:tcBorders>
            <w:shd w:val="clear" w:color="auto" w:fill="auto"/>
            <w:vAlign w:val="center"/>
            <w:hideMark/>
          </w:tcPr>
          <w:p w14:paraId="66C53B9B" w14:textId="77777777" w:rsidR="00F00781" w:rsidRPr="00F00781" w:rsidRDefault="00F00781" w:rsidP="00F00781">
            <w:pPr>
              <w:rPr>
                <w:rFonts w:ascii="Arial Narrow" w:hAnsi="Arial Narrow" w:cs="Calibri"/>
                <w:b/>
                <w:bCs/>
                <w:sz w:val="14"/>
                <w:szCs w:val="14"/>
              </w:rPr>
            </w:pPr>
            <w:r w:rsidRPr="00F00781">
              <w:rPr>
                <w:rFonts w:ascii="Arial Narrow" w:hAnsi="Arial Narrow" w:cs="Calibri"/>
                <w:b/>
                <w:bCs/>
                <w:sz w:val="14"/>
                <w:szCs w:val="14"/>
              </w:rPr>
              <w:t> </w:t>
            </w:r>
          </w:p>
        </w:tc>
        <w:tc>
          <w:tcPr>
            <w:tcW w:w="1143" w:type="dxa"/>
            <w:tcBorders>
              <w:top w:val="nil"/>
              <w:left w:val="nil"/>
              <w:bottom w:val="single" w:sz="4" w:space="0" w:color="auto"/>
              <w:right w:val="single" w:sz="4" w:space="0" w:color="auto"/>
            </w:tcBorders>
            <w:shd w:val="clear" w:color="auto" w:fill="auto"/>
            <w:vAlign w:val="center"/>
            <w:hideMark/>
          </w:tcPr>
          <w:p w14:paraId="378CA611" w14:textId="77777777" w:rsidR="00F00781" w:rsidRPr="00F00781" w:rsidRDefault="00F00781" w:rsidP="00F00781">
            <w:pPr>
              <w:rPr>
                <w:rFonts w:ascii="Arial Narrow" w:hAnsi="Arial Narrow" w:cs="Calibri"/>
                <w:b/>
                <w:bCs/>
                <w:sz w:val="14"/>
                <w:szCs w:val="14"/>
              </w:rPr>
            </w:pPr>
            <w:r w:rsidRPr="00F00781">
              <w:rPr>
                <w:rFonts w:ascii="Arial Narrow" w:hAnsi="Arial Narrow" w:cs="Calibri"/>
                <w:b/>
                <w:bCs/>
                <w:sz w:val="14"/>
                <w:szCs w:val="14"/>
              </w:rPr>
              <w:t> </w:t>
            </w:r>
          </w:p>
        </w:tc>
        <w:tc>
          <w:tcPr>
            <w:tcW w:w="1200" w:type="dxa"/>
            <w:tcBorders>
              <w:top w:val="nil"/>
              <w:left w:val="nil"/>
              <w:bottom w:val="single" w:sz="4" w:space="0" w:color="auto"/>
              <w:right w:val="single" w:sz="4" w:space="0" w:color="auto"/>
            </w:tcBorders>
            <w:shd w:val="clear" w:color="auto" w:fill="auto"/>
            <w:vAlign w:val="center"/>
            <w:hideMark/>
          </w:tcPr>
          <w:p w14:paraId="29CB9E36" w14:textId="77777777" w:rsidR="00F00781" w:rsidRPr="00F00781" w:rsidRDefault="00F00781" w:rsidP="00F00781">
            <w:pPr>
              <w:jc w:val="right"/>
              <w:rPr>
                <w:rFonts w:ascii="Arial Narrow" w:hAnsi="Arial Narrow" w:cs="Calibri"/>
                <w:b/>
                <w:bCs/>
                <w:sz w:val="14"/>
                <w:szCs w:val="14"/>
              </w:rPr>
            </w:pPr>
            <w:r w:rsidRPr="00F00781">
              <w:rPr>
                <w:rFonts w:ascii="Arial Narrow" w:hAnsi="Arial Narrow" w:cs="Calibri"/>
                <w:b/>
                <w:bCs/>
                <w:sz w:val="14"/>
                <w:szCs w:val="14"/>
              </w:rPr>
              <w:t>298,1</w:t>
            </w:r>
          </w:p>
        </w:tc>
        <w:tc>
          <w:tcPr>
            <w:tcW w:w="721" w:type="dxa"/>
            <w:tcBorders>
              <w:top w:val="nil"/>
              <w:left w:val="nil"/>
              <w:bottom w:val="single" w:sz="4" w:space="0" w:color="auto"/>
              <w:right w:val="single" w:sz="4" w:space="0" w:color="auto"/>
            </w:tcBorders>
            <w:shd w:val="clear" w:color="auto" w:fill="auto"/>
            <w:vAlign w:val="center"/>
            <w:hideMark/>
          </w:tcPr>
          <w:p w14:paraId="038154C3" w14:textId="77777777" w:rsidR="00F00781" w:rsidRPr="00F00781" w:rsidRDefault="00F00781" w:rsidP="00F00781">
            <w:pPr>
              <w:rPr>
                <w:rFonts w:ascii="Arial Narrow" w:hAnsi="Arial Narrow" w:cs="Calibri"/>
                <w:b/>
                <w:bCs/>
                <w:sz w:val="14"/>
                <w:szCs w:val="14"/>
              </w:rPr>
            </w:pPr>
            <w:r w:rsidRPr="00F00781">
              <w:rPr>
                <w:rFonts w:ascii="Arial Narrow" w:hAnsi="Arial Narrow" w:cs="Calibri"/>
                <w:b/>
                <w:bCs/>
                <w:sz w:val="14"/>
                <w:szCs w:val="14"/>
              </w:rPr>
              <w:t> </w:t>
            </w:r>
          </w:p>
        </w:tc>
        <w:tc>
          <w:tcPr>
            <w:tcW w:w="721" w:type="dxa"/>
            <w:tcBorders>
              <w:top w:val="nil"/>
              <w:left w:val="nil"/>
              <w:bottom w:val="single" w:sz="4" w:space="0" w:color="auto"/>
              <w:right w:val="single" w:sz="4" w:space="0" w:color="auto"/>
            </w:tcBorders>
            <w:shd w:val="clear" w:color="auto" w:fill="auto"/>
            <w:vAlign w:val="center"/>
            <w:hideMark/>
          </w:tcPr>
          <w:p w14:paraId="139D79D6" w14:textId="77777777" w:rsidR="00F00781" w:rsidRPr="00F00781" w:rsidRDefault="00F00781" w:rsidP="00F00781">
            <w:pPr>
              <w:rPr>
                <w:rFonts w:ascii="Arial Narrow" w:hAnsi="Arial Narrow" w:cs="Calibri"/>
                <w:b/>
                <w:bCs/>
                <w:sz w:val="14"/>
                <w:szCs w:val="14"/>
              </w:rPr>
            </w:pPr>
            <w:r w:rsidRPr="00F00781">
              <w:rPr>
                <w:rFonts w:ascii="Arial Narrow" w:hAnsi="Arial Narrow" w:cs="Calibri"/>
                <w:b/>
                <w:bCs/>
                <w:sz w:val="14"/>
                <w:szCs w:val="14"/>
              </w:rPr>
              <w:t> </w:t>
            </w:r>
          </w:p>
        </w:tc>
        <w:tc>
          <w:tcPr>
            <w:tcW w:w="698" w:type="dxa"/>
            <w:tcBorders>
              <w:top w:val="nil"/>
              <w:left w:val="nil"/>
              <w:bottom w:val="single" w:sz="4" w:space="0" w:color="auto"/>
              <w:right w:val="single" w:sz="4" w:space="0" w:color="auto"/>
            </w:tcBorders>
            <w:shd w:val="clear" w:color="auto" w:fill="auto"/>
            <w:vAlign w:val="center"/>
            <w:hideMark/>
          </w:tcPr>
          <w:p w14:paraId="1B57B4AD" w14:textId="77777777" w:rsidR="00F00781" w:rsidRPr="00F00781" w:rsidRDefault="00F00781" w:rsidP="00F00781">
            <w:pPr>
              <w:rPr>
                <w:rFonts w:ascii="Arial Narrow" w:hAnsi="Arial Narrow" w:cs="Calibri"/>
                <w:b/>
                <w:bCs/>
                <w:sz w:val="14"/>
                <w:szCs w:val="14"/>
              </w:rPr>
            </w:pPr>
            <w:r w:rsidRPr="00F00781">
              <w:rPr>
                <w:rFonts w:ascii="Arial Narrow" w:hAnsi="Arial Narrow" w:cs="Calibri"/>
                <w:b/>
                <w:bCs/>
                <w:sz w:val="14"/>
                <w:szCs w:val="14"/>
              </w:rPr>
              <w:t> </w:t>
            </w:r>
          </w:p>
        </w:tc>
        <w:tc>
          <w:tcPr>
            <w:tcW w:w="765" w:type="dxa"/>
            <w:tcBorders>
              <w:top w:val="nil"/>
              <w:left w:val="nil"/>
              <w:bottom w:val="single" w:sz="4" w:space="0" w:color="auto"/>
              <w:right w:val="single" w:sz="4" w:space="0" w:color="auto"/>
            </w:tcBorders>
            <w:shd w:val="clear" w:color="auto" w:fill="auto"/>
            <w:vAlign w:val="center"/>
            <w:hideMark/>
          </w:tcPr>
          <w:p w14:paraId="0EBB1197" w14:textId="77777777" w:rsidR="00F00781" w:rsidRPr="00F00781" w:rsidRDefault="00F00781" w:rsidP="00F00781">
            <w:pPr>
              <w:rPr>
                <w:rFonts w:ascii="Arial Narrow" w:hAnsi="Arial Narrow" w:cs="Calibri"/>
                <w:b/>
                <w:bCs/>
                <w:sz w:val="14"/>
                <w:szCs w:val="14"/>
              </w:rPr>
            </w:pPr>
            <w:r w:rsidRPr="00F00781">
              <w:rPr>
                <w:rFonts w:ascii="Arial Narrow" w:hAnsi="Arial Narrow" w:cs="Calibri"/>
                <w:b/>
                <w:bCs/>
                <w:sz w:val="14"/>
                <w:szCs w:val="14"/>
              </w:rPr>
              <w:t> </w:t>
            </w:r>
          </w:p>
        </w:tc>
        <w:tc>
          <w:tcPr>
            <w:tcW w:w="970" w:type="dxa"/>
            <w:tcBorders>
              <w:top w:val="nil"/>
              <w:left w:val="nil"/>
              <w:bottom w:val="single" w:sz="4" w:space="0" w:color="auto"/>
              <w:right w:val="single" w:sz="4" w:space="0" w:color="auto"/>
            </w:tcBorders>
            <w:shd w:val="clear" w:color="auto" w:fill="auto"/>
            <w:vAlign w:val="center"/>
            <w:hideMark/>
          </w:tcPr>
          <w:p w14:paraId="399E7EEF" w14:textId="77777777" w:rsidR="00F00781" w:rsidRPr="00F00781" w:rsidRDefault="00F00781" w:rsidP="00F00781">
            <w:pPr>
              <w:rPr>
                <w:rFonts w:ascii="Arial Narrow" w:hAnsi="Arial Narrow" w:cs="Calibri"/>
                <w:b/>
                <w:bCs/>
                <w:sz w:val="14"/>
                <w:szCs w:val="14"/>
              </w:rPr>
            </w:pPr>
            <w:r w:rsidRPr="00F00781">
              <w:rPr>
                <w:rFonts w:ascii="Arial Narrow" w:hAnsi="Arial Narrow" w:cs="Calibri"/>
                <w:b/>
                <w:bCs/>
                <w:sz w:val="14"/>
                <w:szCs w:val="14"/>
              </w:rPr>
              <w:t> </w:t>
            </w:r>
          </w:p>
        </w:tc>
        <w:tc>
          <w:tcPr>
            <w:tcW w:w="602" w:type="dxa"/>
            <w:tcBorders>
              <w:top w:val="nil"/>
              <w:left w:val="nil"/>
              <w:bottom w:val="single" w:sz="4" w:space="0" w:color="auto"/>
              <w:right w:val="single" w:sz="4" w:space="0" w:color="auto"/>
            </w:tcBorders>
            <w:shd w:val="clear" w:color="auto" w:fill="auto"/>
            <w:vAlign w:val="center"/>
            <w:hideMark/>
          </w:tcPr>
          <w:p w14:paraId="10786FB1" w14:textId="77777777" w:rsidR="00F00781" w:rsidRPr="00F00781" w:rsidRDefault="00F00781" w:rsidP="00F00781">
            <w:pPr>
              <w:rPr>
                <w:rFonts w:ascii="Arial Narrow" w:hAnsi="Arial Narrow" w:cs="Calibri"/>
                <w:b/>
                <w:bCs/>
                <w:sz w:val="14"/>
                <w:szCs w:val="14"/>
              </w:rPr>
            </w:pPr>
            <w:r w:rsidRPr="00F00781">
              <w:rPr>
                <w:rFonts w:ascii="Arial Narrow" w:hAnsi="Arial Narrow" w:cs="Calibri"/>
                <w:b/>
                <w:bCs/>
                <w:sz w:val="14"/>
                <w:szCs w:val="14"/>
              </w:rPr>
              <w:t> </w:t>
            </w:r>
          </w:p>
        </w:tc>
        <w:tc>
          <w:tcPr>
            <w:tcW w:w="697" w:type="dxa"/>
            <w:tcBorders>
              <w:top w:val="nil"/>
              <w:left w:val="nil"/>
              <w:bottom w:val="single" w:sz="4" w:space="0" w:color="auto"/>
              <w:right w:val="single" w:sz="4" w:space="0" w:color="auto"/>
            </w:tcBorders>
            <w:shd w:val="clear" w:color="auto" w:fill="auto"/>
            <w:vAlign w:val="center"/>
            <w:hideMark/>
          </w:tcPr>
          <w:p w14:paraId="77619D1C" w14:textId="77777777" w:rsidR="00F00781" w:rsidRPr="00F00781" w:rsidRDefault="00F00781" w:rsidP="00F00781">
            <w:pPr>
              <w:rPr>
                <w:rFonts w:ascii="Arial Narrow" w:hAnsi="Arial Narrow" w:cs="Calibri"/>
                <w:b/>
                <w:bCs/>
                <w:sz w:val="14"/>
                <w:szCs w:val="14"/>
              </w:rPr>
            </w:pPr>
            <w:r w:rsidRPr="00F00781">
              <w:rPr>
                <w:rFonts w:ascii="Arial Narrow" w:hAnsi="Arial Narrow" w:cs="Calibri"/>
                <w:b/>
                <w:bCs/>
                <w:sz w:val="14"/>
                <w:szCs w:val="14"/>
              </w:rPr>
              <w:t> </w:t>
            </w:r>
          </w:p>
        </w:tc>
        <w:tc>
          <w:tcPr>
            <w:tcW w:w="869" w:type="dxa"/>
            <w:tcBorders>
              <w:top w:val="nil"/>
              <w:left w:val="nil"/>
              <w:bottom w:val="single" w:sz="4" w:space="0" w:color="auto"/>
              <w:right w:val="single" w:sz="4" w:space="0" w:color="auto"/>
            </w:tcBorders>
            <w:shd w:val="clear" w:color="auto" w:fill="auto"/>
            <w:vAlign w:val="center"/>
            <w:hideMark/>
          </w:tcPr>
          <w:p w14:paraId="76D523C5" w14:textId="77777777" w:rsidR="00F00781" w:rsidRPr="00F00781" w:rsidRDefault="00F00781" w:rsidP="00F00781">
            <w:pPr>
              <w:jc w:val="right"/>
              <w:rPr>
                <w:rFonts w:ascii="Arial Narrow" w:hAnsi="Arial Narrow" w:cs="Calibri"/>
                <w:b/>
                <w:bCs/>
                <w:sz w:val="14"/>
                <w:szCs w:val="14"/>
              </w:rPr>
            </w:pPr>
            <w:r w:rsidRPr="00F00781">
              <w:rPr>
                <w:rFonts w:ascii="Arial Narrow" w:hAnsi="Arial Narrow" w:cs="Calibri"/>
                <w:b/>
                <w:bCs/>
                <w:sz w:val="14"/>
                <w:szCs w:val="14"/>
              </w:rPr>
              <w:t>298,1</w:t>
            </w:r>
          </w:p>
        </w:tc>
      </w:tr>
      <w:tr w:rsidR="00F00781" w:rsidRPr="00F00781" w14:paraId="26120390" w14:textId="77777777" w:rsidTr="00E01BBF">
        <w:trPr>
          <w:trHeight w:val="196"/>
        </w:trPr>
        <w:tc>
          <w:tcPr>
            <w:tcW w:w="632" w:type="dxa"/>
            <w:tcBorders>
              <w:top w:val="nil"/>
              <w:left w:val="single" w:sz="4" w:space="0" w:color="auto"/>
              <w:bottom w:val="single" w:sz="4" w:space="0" w:color="auto"/>
              <w:right w:val="single" w:sz="4" w:space="0" w:color="auto"/>
            </w:tcBorders>
            <w:shd w:val="clear" w:color="auto" w:fill="auto"/>
            <w:vAlign w:val="center"/>
            <w:hideMark/>
          </w:tcPr>
          <w:p w14:paraId="0C11BFC5" w14:textId="77777777" w:rsidR="00F00781" w:rsidRPr="00F00781" w:rsidRDefault="00F00781" w:rsidP="005232AE">
            <w:pPr>
              <w:rPr>
                <w:rFonts w:ascii="Arial Narrow" w:hAnsi="Arial Narrow" w:cs="Calibri"/>
                <w:sz w:val="14"/>
                <w:szCs w:val="14"/>
              </w:rPr>
            </w:pPr>
            <w:r w:rsidRPr="00F00781">
              <w:rPr>
                <w:rFonts w:ascii="Arial Narrow" w:hAnsi="Arial Narrow" w:cs="Calibri"/>
                <w:sz w:val="14"/>
                <w:szCs w:val="14"/>
              </w:rPr>
              <w:t xml:space="preserve"> 17.1</w:t>
            </w:r>
          </w:p>
        </w:tc>
        <w:tc>
          <w:tcPr>
            <w:tcW w:w="1671" w:type="dxa"/>
            <w:tcBorders>
              <w:top w:val="nil"/>
              <w:left w:val="nil"/>
              <w:bottom w:val="single" w:sz="4" w:space="0" w:color="auto"/>
              <w:right w:val="single" w:sz="4" w:space="0" w:color="auto"/>
            </w:tcBorders>
            <w:shd w:val="clear" w:color="auto" w:fill="auto"/>
            <w:vAlign w:val="center"/>
            <w:hideMark/>
          </w:tcPr>
          <w:p w14:paraId="1FF6947A" w14:textId="77777777" w:rsidR="00F00781" w:rsidRPr="00F00781" w:rsidRDefault="00F00781" w:rsidP="00F00781">
            <w:pPr>
              <w:ind w:firstLineChars="100" w:firstLine="140"/>
              <w:rPr>
                <w:rFonts w:ascii="Arial Narrow" w:hAnsi="Arial Narrow" w:cs="Calibri"/>
                <w:sz w:val="14"/>
                <w:szCs w:val="14"/>
              </w:rPr>
            </w:pPr>
            <w:r w:rsidRPr="00F00781">
              <w:rPr>
                <w:rFonts w:ascii="Arial Narrow" w:hAnsi="Arial Narrow" w:cs="Calibri"/>
                <w:sz w:val="14"/>
                <w:szCs w:val="14"/>
              </w:rPr>
              <w:t>Преработка на селскостопански продукти</w:t>
            </w:r>
          </w:p>
        </w:tc>
        <w:tc>
          <w:tcPr>
            <w:tcW w:w="773" w:type="dxa"/>
            <w:tcBorders>
              <w:top w:val="nil"/>
              <w:left w:val="nil"/>
              <w:bottom w:val="single" w:sz="4" w:space="0" w:color="auto"/>
              <w:right w:val="single" w:sz="4" w:space="0" w:color="auto"/>
            </w:tcBorders>
            <w:shd w:val="clear" w:color="auto" w:fill="auto"/>
            <w:vAlign w:val="center"/>
            <w:hideMark/>
          </w:tcPr>
          <w:p w14:paraId="51AAD0BB"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298,1</w:t>
            </w:r>
          </w:p>
        </w:tc>
        <w:tc>
          <w:tcPr>
            <w:tcW w:w="582" w:type="dxa"/>
            <w:tcBorders>
              <w:top w:val="nil"/>
              <w:left w:val="nil"/>
              <w:bottom w:val="single" w:sz="4" w:space="0" w:color="auto"/>
              <w:right w:val="single" w:sz="4" w:space="0" w:color="auto"/>
            </w:tcBorders>
            <w:shd w:val="clear" w:color="auto" w:fill="auto"/>
            <w:vAlign w:val="center"/>
            <w:hideMark/>
          </w:tcPr>
          <w:p w14:paraId="2116698E" w14:textId="77777777" w:rsidR="00F00781" w:rsidRPr="00F00781" w:rsidRDefault="00F00781" w:rsidP="00F00781">
            <w:pPr>
              <w:rPr>
                <w:rFonts w:ascii="Arial Narrow" w:hAnsi="Arial Narrow" w:cs="Calibri"/>
                <w:sz w:val="14"/>
                <w:szCs w:val="14"/>
              </w:rPr>
            </w:pPr>
            <w:r w:rsidRPr="00F00781">
              <w:rPr>
                <w:rFonts w:ascii="Arial Narrow" w:hAnsi="Arial Narrow" w:cs="Calibri"/>
                <w:sz w:val="14"/>
                <w:szCs w:val="14"/>
              </w:rPr>
              <w:t> </w:t>
            </w:r>
          </w:p>
        </w:tc>
        <w:tc>
          <w:tcPr>
            <w:tcW w:w="681" w:type="dxa"/>
            <w:tcBorders>
              <w:top w:val="nil"/>
              <w:left w:val="nil"/>
              <w:bottom w:val="single" w:sz="4" w:space="0" w:color="auto"/>
              <w:right w:val="single" w:sz="4" w:space="0" w:color="auto"/>
            </w:tcBorders>
            <w:shd w:val="clear" w:color="auto" w:fill="auto"/>
            <w:vAlign w:val="center"/>
            <w:hideMark/>
          </w:tcPr>
          <w:p w14:paraId="73DC3B55" w14:textId="77777777" w:rsidR="00F00781" w:rsidRPr="00F00781" w:rsidRDefault="00F00781" w:rsidP="00F00781">
            <w:pPr>
              <w:rPr>
                <w:rFonts w:ascii="Arial Narrow" w:hAnsi="Arial Narrow" w:cs="Calibri"/>
                <w:sz w:val="14"/>
                <w:szCs w:val="14"/>
              </w:rPr>
            </w:pPr>
            <w:r w:rsidRPr="00F00781">
              <w:rPr>
                <w:rFonts w:ascii="Arial Narrow" w:hAnsi="Arial Narrow" w:cs="Calibri"/>
                <w:sz w:val="14"/>
                <w:szCs w:val="14"/>
              </w:rPr>
              <w:t> </w:t>
            </w:r>
          </w:p>
        </w:tc>
        <w:tc>
          <w:tcPr>
            <w:tcW w:w="789" w:type="dxa"/>
            <w:tcBorders>
              <w:top w:val="nil"/>
              <w:left w:val="nil"/>
              <w:bottom w:val="single" w:sz="4" w:space="0" w:color="auto"/>
              <w:right w:val="single" w:sz="4" w:space="0" w:color="auto"/>
            </w:tcBorders>
            <w:shd w:val="clear" w:color="auto" w:fill="auto"/>
            <w:vAlign w:val="center"/>
            <w:hideMark/>
          </w:tcPr>
          <w:p w14:paraId="62DD2868" w14:textId="77777777" w:rsidR="00F00781" w:rsidRPr="00F00781" w:rsidRDefault="00F00781" w:rsidP="00F00781">
            <w:pPr>
              <w:rPr>
                <w:rFonts w:ascii="Arial Narrow" w:hAnsi="Arial Narrow" w:cs="Calibri"/>
                <w:sz w:val="14"/>
                <w:szCs w:val="14"/>
              </w:rPr>
            </w:pPr>
            <w:r w:rsidRPr="00F00781">
              <w:rPr>
                <w:rFonts w:ascii="Arial Narrow" w:hAnsi="Arial Narrow" w:cs="Calibri"/>
                <w:sz w:val="14"/>
                <w:szCs w:val="14"/>
              </w:rPr>
              <w:t> </w:t>
            </w:r>
          </w:p>
        </w:tc>
        <w:tc>
          <w:tcPr>
            <w:tcW w:w="693" w:type="dxa"/>
            <w:tcBorders>
              <w:top w:val="nil"/>
              <w:left w:val="nil"/>
              <w:bottom w:val="single" w:sz="4" w:space="0" w:color="auto"/>
              <w:right w:val="single" w:sz="4" w:space="0" w:color="auto"/>
            </w:tcBorders>
            <w:shd w:val="clear" w:color="auto" w:fill="auto"/>
            <w:vAlign w:val="center"/>
            <w:hideMark/>
          </w:tcPr>
          <w:p w14:paraId="596419C9" w14:textId="77777777" w:rsidR="00F00781" w:rsidRPr="00F00781" w:rsidRDefault="00F00781" w:rsidP="00F00781">
            <w:pPr>
              <w:rPr>
                <w:rFonts w:ascii="Arial Narrow" w:hAnsi="Arial Narrow" w:cs="Calibri"/>
                <w:sz w:val="14"/>
                <w:szCs w:val="14"/>
              </w:rPr>
            </w:pPr>
            <w:r w:rsidRPr="00F00781">
              <w:rPr>
                <w:rFonts w:ascii="Arial Narrow" w:hAnsi="Arial Narrow" w:cs="Calibri"/>
                <w:sz w:val="14"/>
                <w:szCs w:val="14"/>
              </w:rPr>
              <w:t> </w:t>
            </w:r>
          </w:p>
        </w:tc>
        <w:tc>
          <w:tcPr>
            <w:tcW w:w="537" w:type="dxa"/>
            <w:tcBorders>
              <w:top w:val="nil"/>
              <w:left w:val="nil"/>
              <w:bottom w:val="single" w:sz="4" w:space="0" w:color="auto"/>
              <w:right w:val="single" w:sz="4" w:space="0" w:color="auto"/>
            </w:tcBorders>
            <w:shd w:val="clear" w:color="auto" w:fill="auto"/>
            <w:vAlign w:val="center"/>
            <w:hideMark/>
          </w:tcPr>
          <w:p w14:paraId="703E2575" w14:textId="77777777" w:rsidR="00F00781" w:rsidRPr="00F00781" w:rsidRDefault="00F00781" w:rsidP="00F00781">
            <w:pPr>
              <w:rPr>
                <w:rFonts w:ascii="Arial Narrow" w:hAnsi="Arial Narrow" w:cs="Calibri"/>
                <w:sz w:val="14"/>
                <w:szCs w:val="14"/>
              </w:rPr>
            </w:pPr>
            <w:r w:rsidRPr="00F00781">
              <w:rPr>
                <w:rFonts w:ascii="Arial Narrow" w:hAnsi="Arial Narrow" w:cs="Calibri"/>
                <w:sz w:val="14"/>
                <w:szCs w:val="14"/>
              </w:rPr>
              <w:t> </w:t>
            </w:r>
          </w:p>
        </w:tc>
        <w:tc>
          <w:tcPr>
            <w:tcW w:w="1143" w:type="dxa"/>
            <w:tcBorders>
              <w:top w:val="nil"/>
              <w:left w:val="nil"/>
              <w:bottom w:val="single" w:sz="4" w:space="0" w:color="auto"/>
              <w:right w:val="single" w:sz="4" w:space="0" w:color="auto"/>
            </w:tcBorders>
            <w:shd w:val="clear" w:color="auto" w:fill="auto"/>
            <w:vAlign w:val="center"/>
            <w:hideMark/>
          </w:tcPr>
          <w:p w14:paraId="1B2FF9DC" w14:textId="77777777" w:rsidR="00F00781" w:rsidRPr="00F00781" w:rsidRDefault="00F00781" w:rsidP="00F00781">
            <w:pPr>
              <w:rPr>
                <w:rFonts w:ascii="Arial Narrow" w:hAnsi="Arial Narrow" w:cs="Calibri"/>
                <w:sz w:val="14"/>
                <w:szCs w:val="14"/>
              </w:rPr>
            </w:pPr>
            <w:r w:rsidRPr="00F00781">
              <w:rPr>
                <w:rFonts w:ascii="Arial Narrow" w:hAnsi="Arial Narrow" w:cs="Calibri"/>
                <w:sz w:val="14"/>
                <w:szCs w:val="14"/>
              </w:rPr>
              <w:t> </w:t>
            </w:r>
          </w:p>
        </w:tc>
        <w:tc>
          <w:tcPr>
            <w:tcW w:w="1200" w:type="dxa"/>
            <w:tcBorders>
              <w:top w:val="nil"/>
              <w:left w:val="nil"/>
              <w:bottom w:val="single" w:sz="4" w:space="0" w:color="auto"/>
              <w:right w:val="single" w:sz="4" w:space="0" w:color="auto"/>
            </w:tcBorders>
            <w:shd w:val="clear" w:color="auto" w:fill="auto"/>
            <w:vAlign w:val="center"/>
            <w:hideMark/>
          </w:tcPr>
          <w:p w14:paraId="1A91263F"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298,1</w:t>
            </w:r>
          </w:p>
        </w:tc>
        <w:tc>
          <w:tcPr>
            <w:tcW w:w="721" w:type="dxa"/>
            <w:tcBorders>
              <w:top w:val="nil"/>
              <w:left w:val="nil"/>
              <w:bottom w:val="single" w:sz="4" w:space="0" w:color="auto"/>
              <w:right w:val="single" w:sz="4" w:space="0" w:color="auto"/>
            </w:tcBorders>
            <w:shd w:val="clear" w:color="auto" w:fill="auto"/>
            <w:vAlign w:val="center"/>
            <w:hideMark/>
          </w:tcPr>
          <w:p w14:paraId="4D74F0A3" w14:textId="77777777" w:rsidR="00F00781" w:rsidRPr="00F00781" w:rsidRDefault="00F00781" w:rsidP="00F00781">
            <w:pPr>
              <w:rPr>
                <w:rFonts w:ascii="Arial Narrow" w:hAnsi="Arial Narrow" w:cs="Calibri"/>
                <w:sz w:val="14"/>
                <w:szCs w:val="14"/>
              </w:rPr>
            </w:pPr>
            <w:r w:rsidRPr="00F00781">
              <w:rPr>
                <w:rFonts w:ascii="Arial Narrow" w:hAnsi="Arial Narrow" w:cs="Calibri"/>
                <w:sz w:val="14"/>
                <w:szCs w:val="14"/>
              </w:rPr>
              <w:t> </w:t>
            </w:r>
          </w:p>
        </w:tc>
        <w:tc>
          <w:tcPr>
            <w:tcW w:w="721" w:type="dxa"/>
            <w:tcBorders>
              <w:top w:val="nil"/>
              <w:left w:val="nil"/>
              <w:bottom w:val="single" w:sz="4" w:space="0" w:color="auto"/>
              <w:right w:val="single" w:sz="4" w:space="0" w:color="auto"/>
            </w:tcBorders>
            <w:shd w:val="clear" w:color="auto" w:fill="auto"/>
            <w:vAlign w:val="center"/>
            <w:hideMark/>
          </w:tcPr>
          <w:p w14:paraId="1A408E6F" w14:textId="77777777" w:rsidR="00F00781" w:rsidRPr="00F00781" w:rsidRDefault="00F00781" w:rsidP="00F00781">
            <w:pPr>
              <w:rPr>
                <w:rFonts w:ascii="Arial Narrow" w:hAnsi="Arial Narrow" w:cs="Calibri"/>
                <w:sz w:val="14"/>
                <w:szCs w:val="14"/>
              </w:rPr>
            </w:pPr>
            <w:r w:rsidRPr="00F00781">
              <w:rPr>
                <w:rFonts w:ascii="Arial Narrow" w:hAnsi="Arial Narrow" w:cs="Calibri"/>
                <w:sz w:val="14"/>
                <w:szCs w:val="14"/>
              </w:rPr>
              <w:t> </w:t>
            </w:r>
          </w:p>
        </w:tc>
        <w:tc>
          <w:tcPr>
            <w:tcW w:w="698" w:type="dxa"/>
            <w:tcBorders>
              <w:top w:val="nil"/>
              <w:left w:val="nil"/>
              <w:bottom w:val="single" w:sz="4" w:space="0" w:color="auto"/>
              <w:right w:val="single" w:sz="4" w:space="0" w:color="auto"/>
            </w:tcBorders>
            <w:shd w:val="clear" w:color="auto" w:fill="auto"/>
            <w:vAlign w:val="center"/>
            <w:hideMark/>
          </w:tcPr>
          <w:p w14:paraId="39A4FD69" w14:textId="77777777" w:rsidR="00F00781" w:rsidRPr="00F00781" w:rsidRDefault="00F00781" w:rsidP="00F00781">
            <w:pPr>
              <w:rPr>
                <w:rFonts w:ascii="Arial Narrow" w:hAnsi="Arial Narrow" w:cs="Calibri"/>
                <w:sz w:val="14"/>
                <w:szCs w:val="14"/>
              </w:rPr>
            </w:pPr>
            <w:r w:rsidRPr="00F00781">
              <w:rPr>
                <w:rFonts w:ascii="Arial Narrow" w:hAnsi="Arial Narrow" w:cs="Calibri"/>
                <w:sz w:val="14"/>
                <w:szCs w:val="14"/>
              </w:rPr>
              <w:t> </w:t>
            </w:r>
          </w:p>
        </w:tc>
        <w:tc>
          <w:tcPr>
            <w:tcW w:w="765" w:type="dxa"/>
            <w:tcBorders>
              <w:top w:val="nil"/>
              <w:left w:val="nil"/>
              <w:bottom w:val="single" w:sz="4" w:space="0" w:color="auto"/>
              <w:right w:val="single" w:sz="4" w:space="0" w:color="auto"/>
            </w:tcBorders>
            <w:shd w:val="clear" w:color="auto" w:fill="auto"/>
            <w:vAlign w:val="center"/>
            <w:hideMark/>
          </w:tcPr>
          <w:p w14:paraId="099A6AC2" w14:textId="77777777" w:rsidR="00F00781" w:rsidRPr="00F00781" w:rsidRDefault="00F00781" w:rsidP="00F00781">
            <w:pPr>
              <w:rPr>
                <w:rFonts w:ascii="Arial Narrow" w:hAnsi="Arial Narrow" w:cs="Calibri"/>
                <w:sz w:val="14"/>
                <w:szCs w:val="14"/>
              </w:rPr>
            </w:pPr>
            <w:r w:rsidRPr="00F00781">
              <w:rPr>
                <w:rFonts w:ascii="Arial Narrow" w:hAnsi="Arial Narrow" w:cs="Calibri"/>
                <w:sz w:val="14"/>
                <w:szCs w:val="14"/>
              </w:rPr>
              <w:t> </w:t>
            </w:r>
          </w:p>
        </w:tc>
        <w:tc>
          <w:tcPr>
            <w:tcW w:w="970" w:type="dxa"/>
            <w:tcBorders>
              <w:top w:val="nil"/>
              <w:left w:val="nil"/>
              <w:bottom w:val="single" w:sz="4" w:space="0" w:color="auto"/>
              <w:right w:val="single" w:sz="4" w:space="0" w:color="auto"/>
            </w:tcBorders>
            <w:shd w:val="clear" w:color="auto" w:fill="auto"/>
            <w:vAlign w:val="center"/>
            <w:hideMark/>
          </w:tcPr>
          <w:p w14:paraId="03FE3E24" w14:textId="77777777" w:rsidR="00F00781" w:rsidRPr="00F00781" w:rsidRDefault="00F00781" w:rsidP="00F00781">
            <w:pPr>
              <w:rPr>
                <w:rFonts w:ascii="Arial Narrow" w:hAnsi="Arial Narrow" w:cs="Calibri"/>
                <w:sz w:val="14"/>
                <w:szCs w:val="14"/>
              </w:rPr>
            </w:pPr>
            <w:r w:rsidRPr="00F00781">
              <w:rPr>
                <w:rFonts w:ascii="Arial Narrow" w:hAnsi="Arial Narrow" w:cs="Calibri"/>
                <w:sz w:val="14"/>
                <w:szCs w:val="14"/>
              </w:rPr>
              <w:t> </w:t>
            </w:r>
          </w:p>
        </w:tc>
        <w:tc>
          <w:tcPr>
            <w:tcW w:w="602" w:type="dxa"/>
            <w:tcBorders>
              <w:top w:val="nil"/>
              <w:left w:val="nil"/>
              <w:bottom w:val="single" w:sz="4" w:space="0" w:color="auto"/>
              <w:right w:val="single" w:sz="4" w:space="0" w:color="auto"/>
            </w:tcBorders>
            <w:shd w:val="clear" w:color="auto" w:fill="auto"/>
            <w:vAlign w:val="center"/>
            <w:hideMark/>
          </w:tcPr>
          <w:p w14:paraId="4BA29E41" w14:textId="77777777" w:rsidR="00F00781" w:rsidRPr="00F00781" w:rsidRDefault="00F00781" w:rsidP="00F00781">
            <w:pPr>
              <w:rPr>
                <w:rFonts w:ascii="Arial Narrow" w:hAnsi="Arial Narrow" w:cs="Calibri"/>
                <w:sz w:val="14"/>
                <w:szCs w:val="14"/>
              </w:rPr>
            </w:pPr>
            <w:r w:rsidRPr="00F00781">
              <w:rPr>
                <w:rFonts w:ascii="Arial Narrow" w:hAnsi="Arial Narrow" w:cs="Calibri"/>
                <w:sz w:val="14"/>
                <w:szCs w:val="14"/>
              </w:rPr>
              <w:t> </w:t>
            </w:r>
          </w:p>
        </w:tc>
        <w:tc>
          <w:tcPr>
            <w:tcW w:w="697" w:type="dxa"/>
            <w:tcBorders>
              <w:top w:val="nil"/>
              <w:left w:val="nil"/>
              <w:bottom w:val="single" w:sz="4" w:space="0" w:color="auto"/>
              <w:right w:val="single" w:sz="4" w:space="0" w:color="auto"/>
            </w:tcBorders>
            <w:shd w:val="clear" w:color="auto" w:fill="auto"/>
            <w:vAlign w:val="center"/>
            <w:hideMark/>
          </w:tcPr>
          <w:p w14:paraId="389DFFC7" w14:textId="77777777" w:rsidR="00F00781" w:rsidRPr="00F00781" w:rsidRDefault="00F00781" w:rsidP="00F00781">
            <w:pPr>
              <w:rPr>
                <w:rFonts w:ascii="Arial Narrow" w:hAnsi="Arial Narrow" w:cs="Calibri"/>
                <w:sz w:val="14"/>
                <w:szCs w:val="14"/>
              </w:rPr>
            </w:pPr>
            <w:r w:rsidRPr="00F00781">
              <w:rPr>
                <w:rFonts w:ascii="Arial Narrow" w:hAnsi="Arial Narrow" w:cs="Calibri"/>
                <w:sz w:val="14"/>
                <w:szCs w:val="14"/>
              </w:rPr>
              <w:t> </w:t>
            </w:r>
          </w:p>
        </w:tc>
        <w:tc>
          <w:tcPr>
            <w:tcW w:w="869" w:type="dxa"/>
            <w:tcBorders>
              <w:top w:val="nil"/>
              <w:left w:val="nil"/>
              <w:bottom w:val="single" w:sz="4" w:space="0" w:color="auto"/>
              <w:right w:val="single" w:sz="4" w:space="0" w:color="auto"/>
            </w:tcBorders>
            <w:shd w:val="clear" w:color="auto" w:fill="auto"/>
            <w:vAlign w:val="center"/>
            <w:hideMark/>
          </w:tcPr>
          <w:p w14:paraId="206A38CE"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298,1</w:t>
            </w:r>
          </w:p>
        </w:tc>
      </w:tr>
      <w:tr w:rsidR="00F00781" w:rsidRPr="00F00781" w14:paraId="3E9ECE26" w14:textId="77777777" w:rsidTr="00E01BBF">
        <w:trPr>
          <w:trHeight w:val="196"/>
        </w:trPr>
        <w:tc>
          <w:tcPr>
            <w:tcW w:w="632" w:type="dxa"/>
            <w:tcBorders>
              <w:top w:val="nil"/>
              <w:left w:val="single" w:sz="4" w:space="0" w:color="auto"/>
              <w:bottom w:val="single" w:sz="4" w:space="0" w:color="auto"/>
              <w:right w:val="single" w:sz="4" w:space="0" w:color="auto"/>
            </w:tcBorders>
            <w:shd w:val="clear" w:color="auto" w:fill="auto"/>
            <w:vAlign w:val="center"/>
            <w:hideMark/>
          </w:tcPr>
          <w:p w14:paraId="1C1F8527" w14:textId="77777777" w:rsidR="00F00781" w:rsidRPr="00F00781" w:rsidRDefault="00F00781" w:rsidP="005232AE">
            <w:pPr>
              <w:rPr>
                <w:rFonts w:ascii="Arial Narrow" w:hAnsi="Arial Narrow" w:cs="Calibri"/>
                <w:sz w:val="14"/>
                <w:szCs w:val="14"/>
              </w:rPr>
            </w:pPr>
            <w:r w:rsidRPr="00F00781">
              <w:rPr>
                <w:rFonts w:ascii="Arial Narrow" w:hAnsi="Arial Narrow" w:cs="Calibri"/>
                <w:sz w:val="14"/>
                <w:szCs w:val="14"/>
              </w:rPr>
              <w:t xml:space="preserve"> 17.1/1</w:t>
            </w:r>
          </w:p>
        </w:tc>
        <w:tc>
          <w:tcPr>
            <w:tcW w:w="1671" w:type="dxa"/>
            <w:tcBorders>
              <w:top w:val="nil"/>
              <w:left w:val="nil"/>
              <w:bottom w:val="single" w:sz="4" w:space="0" w:color="auto"/>
              <w:right w:val="single" w:sz="4" w:space="0" w:color="auto"/>
            </w:tcBorders>
            <w:shd w:val="clear" w:color="auto" w:fill="auto"/>
            <w:vAlign w:val="center"/>
            <w:hideMark/>
          </w:tcPr>
          <w:p w14:paraId="0043FAD8" w14:textId="77777777" w:rsidR="00F00781" w:rsidRPr="00F00781" w:rsidRDefault="00F00781" w:rsidP="00F00781">
            <w:pPr>
              <w:ind w:firstLineChars="100" w:firstLine="140"/>
              <w:rPr>
                <w:rFonts w:ascii="Arial Narrow" w:hAnsi="Arial Narrow" w:cs="Calibri"/>
                <w:sz w:val="14"/>
                <w:szCs w:val="14"/>
              </w:rPr>
            </w:pPr>
            <w:r w:rsidRPr="00F00781">
              <w:rPr>
                <w:rFonts w:ascii="Arial Narrow" w:hAnsi="Arial Narrow" w:cs="Calibri"/>
                <w:sz w:val="14"/>
                <w:szCs w:val="14"/>
              </w:rPr>
              <w:t>- зърнени</w:t>
            </w:r>
          </w:p>
        </w:tc>
        <w:tc>
          <w:tcPr>
            <w:tcW w:w="773" w:type="dxa"/>
            <w:tcBorders>
              <w:top w:val="nil"/>
              <w:left w:val="nil"/>
              <w:bottom w:val="single" w:sz="4" w:space="0" w:color="auto"/>
              <w:right w:val="single" w:sz="4" w:space="0" w:color="auto"/>
            </w:tcBorders>
            <w:shd w:val="clear" w:color="auto" w:fill="auto"/>
            <w:vAlign w:val="center"/>
            <w:hideMark/>
          </w:tcPr>
          <w:p w14:paraId="4AFAE37F"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15,4</w:t>
            </w:r>
          </w:p>
        </w:tc>
        <w:tc>
          <w:tcPr>
            <w:tcW w:w="582" w:type="dxa"/>
            <w:tcBorders>
              <w:top w:val="nil"/>
              <w:left w:val="nil"/>
              <w:bottom w:val="single" w:sz="4" w:space="0" w:color="auto"/>
              <w:right w:val="single" w:sz="4" w:space="0" w:color="auto"/>
            </w:tcBorders>
            <w:shd w:val="clear" w:color="auto" w:fill="auto"/>
            <w:vAlign w:val="center"/>
            <w:hideMark/>
          </w:tcPr>
          <w:p w14:paraId="15F64D5E" w14:textId="77777777" w:rsidR="00F00781" w:rsidRPr="00F00781" w:rsidRDefault="00F00781" w:rsidP="00F00781">
            <w:pPr>
              <w:rPr>
                <w:rFonts w:ascii="Arial Narrow" w:hAnsi="Arial Narrow" w:cs="Calibri"/>
                <w:sz w:val="14"/>
                <w:szCs w:val="14"/>
              </w:rPr>
            </w:pPr>
            <w:r w:rsidRPr="00F00781">
              <w:rPr>
                <w:rFonts w:ascii="Arial Narrow" w:hAnsi="Arial Narrow" w:cs="Calibri"/>
                <w:sz w:val="14"/>
                <w:szCs w:val="14"/>
              </w:rPr>
              <w:t> </w:t>
            </w:r>
          </w:p>
        </w:tc>
        <w:tc>
          <w:tcPr>
            <w:tcW w:w="681" w:type="dxa"/>
            <w:tcBorders>
              <w:top w:val="nil"/>
              <w:left w:val="nil"/>
              <w:bottom w:val="single" w:sz="4" w:space="0" w:color="auto"/>
              <w:right w:val="single" w:sz="4" w:space="0" w:color="auto"/>
            </w:tcBorders>
            <w:shd w:val="clear" w:color="auto" w:fill="auto"/>
            <w:vAlign w:val="center"/>
            <w:hideMark/>
          </w:tcPr>
          <w:p w14:paraId="2502C2ED" w14:textId="77777777" w:rsidR="00F00781" w:rsidRPr="00F00781" w:rsidRDefault="00F00781" w:rsidP="00F00781">
            <w:pPr>
              <w:rPr>
                <w:rFonts w:ascii="Arial Narrow" w:hAnsi="Arial Narrow" w:cs="Calibri"/>
                <w:sz w:val="14"/>
                <w:szCs w:val="14"/>
              </w:rPr>
            </w:pPr>
            <w:r w:rsidRPr="00F00781">
              <w:rPr>
                <w:rFonts w:ascii="Arial Narrow" w:hAnsi="Arial Narrow" w:cs="Calibri"/>
                <w:sz w:val="14"/>
                <w:szCs w:val="14"/>
              </w:rPr>
              <w:t> </w:t>
            </w:r>
          </w:p>
        </w:tc>
        <w:tc>
          <w:tcPr>
            <w:tcW w:w="789" w:type="dxa"/>
            <w:tcBorders>
              <w:top w:val="nil"/>
              <w:left w:val="nil"/>
              <w:bottom w:val="single" w:sz="4" w:space="0" w:color="auto"/>
              <w:right w:val="single" w:sz="4" w:space="0" w:color="auto"/>
            </w:tcBorders>
            <w:shd w:val="clear" w:color="auto" w:fill="auto"/>
            <w:vAlign w:val="center"/>
            <w:hideMark/>
          </w:tcPr>
          <w:p w14:paraId="75FCC547" w14:textId="77777777" w:rsidR="00F00781" w:rsidRPr="00F00781" w:rsidRDefault="00F00781" w:rsidP="00F00781">
            <w:pPr>
              <w:rPr>
                <w:rFonts w:ascii="Arial Narrow" w:hAnsi="Arial Narrow" w:cs="Calibri"/>
                <w:sz w:val="14"/>
                <w:szCs w:val="14"/>
              </w:rPr>
            </w:pPr>
            <w:r w:rsidRPr="00F00781">
              <w:rPr>
                <w:rFonts w:ascii="Arial Narrow" w:hAnsi="Arial Narrow" w:cs="Calibri"/>
                <w:sz w:val="14"/>
                <w:szCs w:val="14"/>
              </w:rPr>
              <w:t> </w:t>
            </w:r>
          </w:p>
        </w:tc>
        <w:tc>
          <w:tcPr>
            <w:tcW w:w="693" w:type="dxa"/>
            <w:tcBorders>
              <w:top w:val="nil"/>
              <w:left w:val="nil"/>
              <w:bottom w:val="single" w:sz="4" w:space="0" w:color="auto"/>
              <w:right w:val="single" w:sz="4" w:space="0" w:color="auto"/>
            </w:tcBorders>
            <w:shd w:val="clear" w:color="auto" w:fill="auto"/>
            <w:vAlign w:val="center"/>
            <w:hideMark/>
          </w:tcPr>
          <w:p w14:paraId="7D29240F" w14:textId="77777777" w:rsidR="00F00781" w:rsidRPr="00F00781" w:rsidRDefault="00F00781" w:rsidP="00F00781">
            <w:pPr>
              <w:rPr>
                <w:rFonts w:ascii="Arial Narrow" w:hAnsi="Arial Narrow" w:cs="Calibri"/>
                <w:sz w:val="14"/>
                <w:szCs w:val="14"/>
              </w:rPr>
            </w:pPr>
            <w:r w:rsidRPr="00F00781">
              <w:rPr>
                <w:rFonts w:ascii="Arial Narrow" w:hAnsi="Arial Narrow" w:cs="Calibri"/>
                <w:sz w:val="14"/>
                <w:szCs w:val="14"/>
              </w:rPr>
              <w:t> </w:t>
            </w:r>
          </w:p>
        </w:tc>
        <w:tc>
          <w:tcPr>
            <w:tcW w:w="537" w:type="dxa"/>
            <w:tcBorders>
              <w:top w:val="nil"/>
              <w:left w:val="nil"/>
              <w:bottom w:val="single" w:sz="4" w:space="0" w:color="auto"/>
              <w:right w:val="single" w:sz="4" w:space="0" w:color="auto"/>
            </w:tcBorders>
            <w:shd w:val="clear" w:color="auto" w:fill="auto"/>
            <w:vAlign w:val="center"/>
            <w:hideMark/>
          </w:tcPr>
          <w:p w14:paraId="2E59499D" w14:textId="77777777" w:rsidR="00F00781" w:rsidRPr="00F00781" w:rsidRDefault="00F00781" w:rsidP="00F00781">
            <w:pPr>
              <w:rPr>
                <w:rFonts w:ascii="Arial Narrow" w:hAnsi="Arial Narrow" w:cs="Calibri"/>
                <w:sz w:val="14"/>
                <w:szCs w:val="14"/>
              </w:rPr>
            </w:pPr>
            <w:r w:rsidRPr="00F00781">
              <w:rPr>
                <w:rFonts w:ascii="Arial Narrow" w:hAnsi="Arial Narrow" w:cs="Calibri"/>
                <w:sz w:val="14"/>
                <w:szCs w:val="14"/>
              </w:rPr>
              <w:t> </w:t>
            </w:r>
          </w:p>
        </w:tc>
        <w:tc>
          <w:tcPr>
            <w:tcW w:w="1143" w:type="dxa"/>
            <w:tcBorders>
              <w:top w:val="nil"/>
              <w:left w:val="nil"/>
              <w:bottom w:val="single" w:sz="4" w:space="0" w:color="auto"/>
              <w:right w:val="single" w:sz="4" w:space="0" w:color="auto"/>
            </w:tcBorders>
            <w:shd w:val="clear" w:color="auto" w:fill="auto"/>
            <w:vAlign w:val="center"/>
            <w:hideMark/>
          </w:tcPr>
          <w:p w14:paraId="3269D0BF" w14:textId="77777777" w:rsidR="00F00781" w:rsidRPr="00F00781" w:rsidRDefault="00F00781" w:rsidP="00F00781">
            <w:pPr>
              <w:rPr>
                <w:rFonts w:ascii="Arial Narrow" w:hAnsi="Arial Narrow" w:cs="Calibri"/>
                <w:sz w:val="14"/>
                <w:szCs w:val="14"/>
              </w:rPr>
            </w:pPr>
            <w:r w:rsidRPr="00F00781">
              <w:rPr>
                <w:rFonts w:ascii="Arial Narrow" w:hAnsi="Arial Narrow" w:cs="Calibri"/>
                <w:sz w:val="14"/>
                <w:szCs w:val="14"/>
              </w:rPr>
              <w:t> </w:t>
            </w:r>
          </w:p>
        </w:tc>
        <w:tc>
          <w:tcPr>
            <w:tcW w:w="1200" w:type="dxa"/>
            <w:tcBorders>
              <w:top w:val="nil"/>
              <w:left w:val="nil"/>
              <w:bottom w:val="single" w:sz="4" w:space="0" w:color="auto"/>
              <w:right w:val="single" w:sz="4" w:space="0" w:color="auto"/>
            </w:tcBorders>
            <w:shd w:val="clear" w:color="auto" w:fill="auto"/>
            <w:vAlign w:val="center"/>
            <w:hideMark/>
          </w:tcPr>
          <w:p w14:paraId="2079F885"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15,4</w:t>
            </w:r>
          </w:p>
        </w:tc>
        <w:tc>
          <w:tcPr>
            <w:tcW w:w="721" w:type="dxa"/>
            <w:tcBorders>
              <w:top w:val="nil"/>
              <w:left w:val="nil"/>
              <w:bottom w:val="single" w:sz="4" w:space="0" w:color="auto"/>
              <w:right w:val="single" w:sz="4" w:space="0" w:color="auto"/>
            </w:tcBorders>
            <w:shd w:val="clear" w:color="auto" w:fill="auto"/>
            <w:vAlign w:val="center"/>
            <w:hideMark/>
          </w:tcPr>
          <w:p w14:paraId="023FC496" w14:textId="77777777" w:rsidR="00F00781" w:rsidRPr="00F00781" w:rsidRDefault="00F00781" w:rsidP="00F00781">
            <w:pPr>
              <w:rPr>
                <w:rFonts w:ascii="Arial Narrow" w:hAnsi="Arial Narrow" w:cs="Calibri"/>
                <w:sz w:val="14"/>
                <w:szCs w:val="14"/>
              </w:rPr>
            </w:pPr>
            <w:r w:rsidRPr="00F00781">
              <w:rPr>
                <w:rFonts w:ascii="Arial Narrow" w:hAnsi="Arial Narrow" w:cs="Calibri"/>
                <w:sz w:val="14"/>
                <w:szCs w:val="14"/>
              </w:rPr>
              <w:t> </w:t>
            </w:r>
          </w:p>
        </w:tc>
        <w:tc>
          <w:tcPr>
            <w:tcW w:w="721" w:type="dxa"/>
            <w:tcBorders>
              <w:top w:val="nil"/>
              <w:left w:val="nil"/>
              <w:bottom w:val="single" w:sz="4" w:space="0" w:color="auto"/>
              <w:right w:val="single" w:sz="4" w:space="0" w:color="auto"/>
            </w:tcBorders>
            <w:shd w:val="clear" w:color="auto" w:fill="auto"/>
            <w:vAlign w:val="center"/>
            <w:hideMark/>
          </w:tcPr>
          <w:p w14:paraId="63655FCB" w14:textId="77777777" w:rsidR="00F00781" w:rsidRPr="00F00781" w:rsidRDefault="00F00781" w:rsidP="00F00781">
            <w:pPr>
              <w:rPr>
                <w:rFonts w:ascii="Arial Narrow" w:hAnsi="Arial Narrow" w:cs="Calibri"/>
                <w:sz w:val="14"/>
                <w:szCs w:val="14"/>
              </w:rPr>
            </w:pPr>
            <w:r w:rsidRPr="00F00781">
              <w:rPr>
                <w:rFonts w:ascii="Arial Narrow" w:hAnsi="Arial Narrow" w:cs="Calibri"/>
                <w:sz w:val="14"/>
                <w:szCs w:val="14"/>
              </w:rPr>
              <w:t> </w:t>
            </w:r>
          </w:p>
        </w:tc>
        <w:tc>
          <w:tcPr>
            <w:tcW w:w="698" w:type="dxa"/>
            <w:tcBorders>
              <w:top w:val="nil"/>
              <w:left w:val="nil"/>
              <w:bottom w:val="single" w:sz="4" w:space="0" w:color="auto"/>
              <w:right w:val="single" w:sz="4" w:space="0" w:color="auto"/>
            </w:tcBorders>
            <w:shd w:val="clear" w:color="auto" w:fill="auto"/>
            <w:vAlign w:val="center"/>
            <w:hideMark/>
          </w:tcPr>
          <w:p w14:paraId="4318DC85" w14:textId="77777777" w:rsidR="00F00781" w:rsidRPr="00F00781" w:rsidRDefault="00F00781" w:rsidP="00F00781">
            <w:pPr>
              <w:rPr>
                <w:rFonts w:ascii="Arial Narrow" w:hAnsi="Arial Narrow" w:cs="Calibri"/>
                <w:sz w:val="14"/>
                <w:szCs w:val="14"/>
              </w:rPr>
            </w:pPr>
            <w:r w:rsidRPr="00F00781">
              <w:rPr>
                <w:rFonts w:ascii="Arial Narrow" w:hAnsi="Arial Narrow" w:cs="Calibri"/>
                <w:sz w:val="14"/>
                <w:szCs w:val="14"/>
              </w:rPr>
              <w:t> </w:t>
            </w:r>
          </w:p>
        </w:tc>
        <w:tc>
          <w:tcPr>
            <w:tcW w:w="765" w:type="dxa"/>
            <w:tcBorders>
              <w:top w:val="nil"/>
              <w:left w:val="nil"/>
              <w:bottom w:val="single" w:sz="4" w:space="0" w:color="auto"/>
              <w:right w:val="single" w:sz="4" w:space="0" w:color="auto"/>
            </w:tcBorders>
            <w:shd w:val="clear" w:color="auto" w:fill="auto"/>
            <w:vAlign w:val="center"/>
            <w:hideMark/>
          </w:tcPr>
          <w:p w14:paraId="2BD0A8C5" w14:textId="77777777" w:rsidR="00F00781" w:rsidRPr="00F00781" w:rsidRDefault="00F00781" w:rsidP="00F00781">
            <w:pPr>
              <w:rPr>
                <w:rFonts w:ascii="Arial Narrow" w:hAnsi="Arial Narrow" w:cs="Calibri"/>
                <w:sz w:val="14"/>
                <w:szCs w:val="14"/>
              </w:rPr>
            </w:pPr>
            <w:r w:rsidRPr="00F00781">
              <w:rPr>
                <w:rFonts w:ascii="Arial Narrow" w:hAnsi="Arial Narrow" w:cs="Calibri"/>
                <w:sz w:val="14"/>
                <w:szCs w:val="14"/>
              </w:rPr>
              <w:t> </w:t>
            </w:r>
          </w:p>
        </w:tc>
        <w:tc>
          <w:tcPr>
            <w:tcW w:w="970" w:type="dxa"/>
            <w:tcBorders>
              <w:top w:val="nil"/>
              <w:left w:val="nil"/>
              <w:bottom w:val="single" w:sz="4" w:space="0" w:color="auto"/>
              <w:right w:val="single" w:sz="4" w:space="0" w:color="auto"/>
            </w:tcBorders>
            <w:shd w:val="clear" w:color="auto" w:fill="auto"/>
            <w:vAlign w:val="center"/>
            <w:hideMark/>
          </w:tcPr>
          <w:p w14:paraId="7EE747DB" w14:textId="77777777" w:rsidR="00F00781" w:rsidRPr="00F00781" w:rsidRDefault="00F00781" w:rsidP="00F00781">
            <w:pPr>
              <w:rPr>
                <w:rFonts w:ascii="Arial Narrow" w:hAnsi="Arial Narrow" w:cs="Calibri"/>
                <w:sz w:val="14"/>
                <w:szCs w:val="14"/>
              </w:rPr>
            </w:pPr>
            <w:r w:rsidRPr="00F00781">
              <w:rPr>
                <w:rFonts w:ascii="Arial Narrow" w:hAnsi="Arial Narrow" w:cs="Calibri"/>
                <w:sz w:val="14"/>
                <w:szCs w:val="14"/>
              </w:rPr>
              <w:t> </w:t>
            </w:r>
          </w:p>
        </w:tc>
        <w:tc>
          <w:tcPr>
            <w:tcW w:w="602" w:type="dxa"/>
            <w:tcBorders>
              <w:top w:val="nil"/>
              <w:left w:val="nil"/>
              <w:bottom w:val="single" w:sz="4" w:space="0" w:color="auto"/>
              <w:right w:val="single" w:sz="4" w:space="0" w:color="auto"/>
            </w:tcBorders>
            <w:shd w:val="clear" w:color="auto" w:fill="auto"/>
            <w:vAlign w:val="center"/>
            <w:hideMark/>
          </w:tcPr>
          <w:p w14:paraId="09BCA8E7" w14:textId="77777777" w:rsidR="00F00781" w:rsidRPr="00F00781" w:rsidRDefault="00F00781" w:rsidP="00F00781">
            <w:pPr>
              <w:rPr>
                <w:rFonts w:ascii="Arial Narrow" w:hAnsi="Arial Narrow" w:cs="Calibri"/>
                <w:sz w:val="14"/>
                <w:szCs w:val="14"/>
              </w:rPr>
            </w:pPr>
            <w:r w:rsidRPr="00F00781">
              <w:rPr>
                <w:rFonts w:ascii="Arial Narrow" w:hAnsi="Arial Narrow" w:cs="Calibri"/>
                <w:sz w:val="14"/>
                <w:szCs w:val="14"/>
              </w:rPr>
              <w:t> </w:t>
            </w:r>
          </w:p>
        </w:tc>
        <w:tc>
          <w:tcPr>
            <w:tcW w:w="697" w:type="dxa"/>
            <w:tcBorders>
              <w:top w:val="nil"/>
              <w:left w:val="nil"/>
              <w:bottom w:val="single" w:sz="4" w:space="0" w:color="auto"/>
              <w:right w:val="single" w:sz="4" w:space="0" w:color="auto"/>
            </w:tcBorders>
            <w:shd w:val="clear" w:color="auto" w:fill="auto"/>
            <w:vAlign w:val="center"/>
            <w:hideMark/>
          </w:tcPr>
          <w:p w14:paraId="25A861A3" w14:textId="77777777" w:rsidR="00F00781" w:rsidRPr="00F00781" w:rsidRDefault="00F00781" w:rsidP="00F00781">
            <w:pPr>
              <w:rPr>
                <w:rFonts w:ascii="Arial Narrow" w:hAnsi="Arial Narrow" w:cs="Calibri"/>
                <w:sz w:val="14"/>
                <w:szCs w:val="14"/>
              </w:rPr>
            </w:pPr>
            <w:r w:rsidRPr="00F00781">
              <w:rPr>
                <w:rFonts w:ascii="Arial Narrow" w:hAnsi="Arial Narrow" w:cs="Calibri"/>
                <w:sz w:val="14"/>
                <w:szCs w:val="14"/>
              </w:rPr>
              <w:t> </w:t>
            </w:r>
          </w:p>
        </w:tc>
        <w:tc>
          <w:tcPr>
            <w:tcW w:w="869" w:type="dxa"/>
            <w:tcBorders>
              <w:top w:val="nil"/>
              <w:left w:val="nil"/>
              <w:bottom w:val="single" w:sz="4" w:space="0" w:color="auto"/>
              <w:right w:val="single" w:sz="4" w:space="0" w:color="auto"/>
            </w:tcBorders>
            <w:shd w:val="clear" w:color="auto" w:fill="auto"/>
            <w:vAlign w:val="center"/>
            <w:hideMark/>
          </w:tcPr>
          <w:p w14:paraId="47B67B23"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15,4</w:t>
            </w:r>
          </w:p>
        </w:tc>
      </w:tr>
      <w:tr w:rsidR="00F00781" w:rsidRPr="00F00781" w14:paraId="488929B2" w14:textId="77777777" w:rsidTr="00E01BBF">
        <w:trPr>
          <w:trHeight w:val="196"/>
        </w:trPr>
        <w:tc>
          <w:tcPr>
            <w:tcW w:w="632" w:type="dxa"/>
            <w:tcBorders>
              <w:top w:val="nil"/>
              <w:left w:val="single" w:sz="4" w:space="0" w:color="auto"/>
              <w:bottom w:val="single" w:sz="4" w:space="0" w:color="auto"/>
              <w:right w:val="single" w:sz="4" w:space="0" w:color="auto"/>
            </w:tcBorders>
            <w:shd w:val="clear" w:color="auto" w:fill="auto"/>
            <w:vAlign w:val="center"/>
            <w:hideMark/>
          </w:tcPr>
          <w:p w14:paraId="6D5758E0" w14:textId="77777777" w:rsidR="00F00781" w:rsidRPr="00F00781" w:rsidRDefault="00F00781" w:rsidP="005232AE">
            <w:pPr>
              <w:rPr>
                <w:rFonts w:ascii="Arial Narrow" w:hAnsi="Arial Narrow" w:cs="Calibri"/>
                <w:sz w:val="14"/>
                <w:szCs w:val="14"/>
              </w:rPr>
            </w:pPr>
            <w:r w:rsidRPr="00F00781">
              <w:rPr>
                <w:rFonts w:ascii="Arial Narrow" w:hAnsi="Arial Narrow" w:cs="Calibri"/>
                <w:sz w:val="14"/>
                <w:szCs w:val="14"/>
              </w:rPr>
              <w:t xml:space="preserve"> 17.1/2</w:t>
            </w:r>
          </w:p>
        </w:tc>
        <w:tc>
          <w:tcPr>
            <w:tcW w:w="1671" w:type="dxa"/>
            <w:tcBorders>
              <w:top w:val="nil"/>
              <w:left w:val="nil"/>
              <w:bottom w:val="single" w:sz="4" w:space="0" w:color="auto"/>
              <w:right w:val="single" w:sz="4" w:space="0" w:color="auto"/>
            </w:tcBorders>
            <w:shd w:val="clear" w:color="auto" w:fill="auto"/>
            <w:vAlign w:val="center"/>
            <w:hideMark/>
          </w:tcPr>
          <w:p w14:paraId="4AF977BE" w14:textId="77777777" w:rsidR="00F00781" w:rsidRPr="00F00781" w:rsidRDefault="00F00781" w:rsidP="00F00781">
            <w:pPr>
              <w:ind w:firstLineChars="100" w:firstLine="140"/>
              <w:rPr>
                <w:rFonts w:ascii="Arial Narrow" w:hAnsi="Arial Narrow" w:cs="Calibri"/>
                <w:sz w:val="14"/>
                <w:szCs w:val="14"/>
              </w:rPr>
            </w:pPr>
            <w:r w:rsidRPr="00F00781">
              <w:rPr>
                <w:rFonts w:ascii="Arial Narrow" w:hAnsi="Arial Narrow" w:cs="Calibri"/>
                <w:sz w:val="14"/>
                <w:szCs w:val="14"/>
              </w:rPr>
              <w:t>- зеленчуци</w:t>
            </w:r>
          </w:p>
        </w:tc>
        <w:tc>
          <w:tcPr>
            <w:tcW w:w="773" w:type="dxa"/>
            <w:tcBorders>
              <w:top w:val="nil"/>
              <w:left w:val="nil"/>
              <w:bottom w:val="single" w:sz="4" w:space="0" w:color="auto"/>
              <w:right w:val="single" w:sz="4" w:space="0" w:color="auto"/>
            </w:tcBorders>
            <w:shd w:val="clear" w:color="auto" w:fill="auto"/>
            <w:vAlign w:val="center"/>
            <w:hideMark/>
          </w:tcPr>
          <w:p w14:paraId="5F73A34A"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34,6</w:t>
            </w:r>
          </w:p>
        </w:tc>
        <w:tc>
          <w:tcPr>
            <w:tcW w:w="582" w:type="dxa"/>
            <w:tcBorders>
              <w:top w:val="nil"/>
              <w:left w:val="nil"/>
              <w:bottom w:val="single" w:sz="4" w:space="0" w:color="auto"/>
              <w:right w:val="single" w:sz="4" w:space="0" w:color="auto"/>
            </w:tcBorders>
            <w:shd w:val="clear" w:color="auto" w:fill="auto"/>
            <w:vAlign w:val="center"/>
            <w:hideMark/>
          </w:tcPr>
          <w:p w14:paraId="724C43F8" w14:textId="77777777" w:rsidR="00F00781" w:rsidRPr="00F00781" w:rsidRDefault="00F00781" w:rsidP="00F00781">
            <w:pPr>
              <w:rPr>
                <w:rFonts w:ascii="Arial Narrow" w:hAnsi="Arial Narrow" w:cs="Calibri"/>
                <w:sz w:val="14"/>
                <w:szCs w:val="14"/>
              </w:rPr>
            </w:pPr>
            <w:r w:rsidRPr="00F00781">
              <w:rPr>
                <w:rFonts w:ascii="Arial Narrow" w:hAnsi="Arial Narrow" w:cs="Calibri"/>
                <w:sz w:val="14"/>
                <w:szCs w:val="14"/>
              </w:rPr>
              <w:t> </w:t>
            </w:r>
          </w:p>
        </w:tc>
        <w:tc>
          <w:tcPr>
            <w:tcW w:w="681" w:type="dxa"/>
            <w:tcBorders>
              <w:top w:val="nil"/>
              <w:left w:val="nil"/>
              <w:bottom w:val="single" w:sz="4" w:space="0" w:color="auto"/>
              <w:right w:val="single" w:sz="4" w:space="0" w:color="auto"/>
            </w:tcBorders>
            <w:shd w:val="clear" w:color="auto" w:fill="auto"/>
            <w:vAlign w:val="center"/>
            <w:hideMark/>
          </w:tcPr>
          <w:p w14:paraId="72D8651F" w14:textId="77777777" w:rsidR="00F00781" w:rsidRPr="00F00781" w:rsidRDefault="00F00781" w:rsidP="00F00781">
            <w:pPr>
              <w:rPr>
                <w:rFonts w:ascii="Arial Narrow" w:hAnsi="Arial Narrow" w:cs="Calibri"/>
                <w:sz w:val="14"/>
                <w:szCs w:val="14"/>
              </w:rPr>
            </w:pPr>
            <w:r w:rsidRPr="00F00781">
              <w:rPr>
                <w:rFonts w:ascii="Arial Narrow" w:hAnsi="Arial Narrow" w:cs="Calibri"/>
                <w:sz w:val="14"/>
                <w:szCs w:val="14"/>
              </w:rPr>
              <w:t> </w:t>
            </w:r>
          </w:p>
        </w:tc>
        <w:tc>
          <w:tcPr>
            <w:tcW w:w="789" w:type="dxa"/>
            <w:tcBorders>
              <w:top w:val="nil"/>
              <w:left w:val="nil"/>
              <w:bottom w:val="single" w:sz="4" w:space="0" w:color="auto"/>
              <w:right w:val="single" w:sz="4" w:space="0" w:color="auto"/>
            </w:tcBorders>
            <w:shd w:val="clear" w:color="auto" w:fill="auto"/>
            <w:vAlign w:val="center"/>
            <w:hideMark/>
          </w:tcPr>
          <w:p w14:paraId="72AC42FB" w14:textId="77777777" w:rsidR="00F00781" w:rsidRPr="00F00781" w:rsidRDefault="00F00781" w:rsidP="00F00781">
            <w:pPr>
              <w:rPr>
                <w:rFonts w:ascii="Arial Narrow" w:hAnsi="Arial Narrow" w:cs="Calibri"/>
                <w:sz w:val="14"/>
                <w:szCs w:val="14"/>
              </w:rPr>
            </w:pPr>
            <w:r w:rsidRPr="00F00781">
              <w:rPr>
                <w:rFonts w:ascii="Arial Narrow" w:hAnsi="Arial Narrow" w:cs="Calibri"/>
                <w:sz w:val="14"/>
                <w:szCs w:val="14"/>
              </w:rPr>
              <w:t> </w:t>
            </w:r>
          </w:p>
        </w:tc>
        <w:tc>
          <w:tcPr>
            <w:tcW w:w="693" w:type="dxa"/>
            <w:tcBorders>
              <w:top w:val="nil"/>
              <w:left w:val="nil"/>
              <w:bottom w:val="single" w:sz="4" w:space="0" w:color="auto"/>
              <w:right w:val="single" w:sz="4" w:space="0" w:color="auto"/>
            </w:tcBorders>
            <w:shd w:val="clear" w:color="auto" w:fill="auto"/>
            <w:vAlign w:val="center"/>
            <w:hideMark/>
          </w:tcPr>
          <w:p w14:paraId="5592869A" w14:textId="77777777" w:rsidR="00F00781" w:rsidRPr="00F00781" w:rsidRDefault="00F00781" w:rsidP="00F00781">
            <w:pPr>
              <w:rPr>
                <w:rFonts w:ascii="Arial Narrow" w:hAnsi="Arial Narrow" w:cs="Calibri"/>
                <w:sz w:val="14"/>
                <w:szCs w:val="14"/>
              </w:rPr>
            </w:pPr>
            <w:r w:rsidRPr="00F00781">
              <w:rPr>
                <w:rFonts w:ascii="Arial Narrow" w:hAnsi="Arial Narrow" w:cs="Calibri"/>
                <w:sz w:val="14"/>
                <w:szCs w:val="14"/>
              </w:rPr>
              <w:t> </w:t>
            </w:r>
          </w:p>
        </w:tc>
        <w:tc>
          <w:tcPr>
            <w:tcW w:w="537" w:type="dxa"/>
            <w:tcBorders>
              <w:top w:val="nil"/>
              <w:left w:val="nil"/>
              <w:bottom w:val="single" w:sz="4" w:space="0" w:color="auto"/>
              <w:right w:val="single" w:sz="4" w:space="0" w:color="auto"/>
            </w:tcBorders>
            <w:shd w:val="clear" w:color="auto" w:fill="auto"/>
            <w:vAlign w:val="center"/>
            <w:hideMark/>
          </w:tcPr>
          <w:p w14:paraId="71429FAE" w14:textId="77777777" w:rsidR="00F00781" w:rsidRPr="00F00781" w:rsidRDefault="00F00781" w:rsidP="00F00781">
            <w:pPr>
              <w:rPr>
                <w:rFonts w:ascii="Arial Narrow" w:hAnsi="Arial Narrow" w:cs="Calibri"/>
                <w:sz w:val="14"/>
                <w:szCs w:val="14"/>
              </w:rPr>
            </w:pPr>
            <w:r w:rsidRPr="00F00781">
              <w:rPr>
                <w:rFonts w:ascii="Arial Narrow" w:hAnsi="Arial Narrow" w:cs="Calibri"/>
                <w:sz w:val="14"/>
                <w:szCs w:val="14"/>
              </w:rPr>
              <w:t> </w:t>
            </w:r>
          </w:p>
        </w:tc>
        <w:tc>
          <w:tcPr>
            <w:tcW w:w="1143" w:type="dxa"/>
            <w:tcBorders>
              <w:top w:val="nil"/>
              <w:left w:val="nil"/>
              <w:bottom w:val="single" w:sz="4" w:space="0" w:color="auto"/>
              <w:right w:val="single" w:sz="4" w:space="0" w:color="auto"/>
            </w:tcBorders>
            <w:shd w:val="clear" w:color="auto" w:fill="auto"/>
            <w:vAlign w:val="center"/>
            <w:hideMark/>
          </w:tcPr>
          <w:p w14:paraId="23F4B8F8" w14:textId="77777777" w:rsidR="00F00781" w:rsidRPr="00F00781" w:rsidRDefault="00F00781" w:rsidP="00F00781">
            <w:pPr>
              <w:rPr>
                <w:rFonts w:ascii="Arial Narrow" w:hAnsi="Arial Narrow" w:cs="Calibri"/>
                <w:sz w:val="14"/>
                <w:szCs w:val="14"/>
              </w:rPr>
            </w:pPr>
            <w:r w:rsidRPr="00F00781">
              <w:rPr>
                <w:rFonts w:ascii="Arial Narrow" w:hAnsi="Arial Narrow" w:cs="Calibri"/>
                <w:sz w:val="14"/>
                <w:szCs w:val="14"/>
              </w:rPr>
              <w:t> </w:t>
            </w:r>
          </w:p>
        </w:tc>
        <w:tc>
          <w:tcPr>
            <w:tcW w:w="1200" w:type="dxa"/>
            <w:tcBorders>
              <w:top w:val="nil"/>
              <w:left w:val="nil"/>
              <w:bottom w:val="single" w:sz="4" w:space="0" w:color="auto"/>
              <w:right w:val="single" w:sz="4" w:space="0" w:color="auto"/>
            </w:tcBorders>
            <w:shd w:val="clear" w:color="auto" w:fill="auto"/>
            <w:vAlign w:val="center"/>
            <w:hideMark/>
          </w:tcPr>
          <w:p w14:paraId="7E68C527"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34,6</w:t>
            </w:r>
          </w:p>
        </w:tc>
        <w:tc>
          <w:tcPr>
            <w:tcW w:w="721" w:type="dxa"/>
            <w:tcBorders>
              <w:top w:val="nil"/>
              <w:left w:val="nil"/>
              <w:bottom w:val="single" w:sz="4" w:space="0" w:color="auto"/>
              <w:right w:val="single" w:sz="4" w:space="0" w:color="auto"/>
            </w:tcBorders>
            <w:shd w:val="clear" w:color="auto" w:fill="auto"/>
            <w:vAlign w:val="center"/>
            <w:hideMark/>
          </w:tcPr>
          <w:p w14:paraId="146058D0" w14:textId="77777777" w:rsidR="00F00781" w:rsidRPr="00F00781" w:rsidRDefault="00F00781" w:rsidP="00F00781">
            <w:pPr>
              <w:rPr>
                <w:rFonts w:ascii="Arial Narrow" w:hAnsi="Arial Narrow" w:cs="Calibri"/>
                <w:sz w:val="14"/>
                <w:szCs w:val="14"/>
              </w:rPr>
            </w:pPr>
            <w:r w:rsidRPr="00F00781">
              <w:rPr>
                <w:rFonts w:ascii="Arial Narrow" w:hAnsi="Arial Narrow" w:cs="Calibri"/>
                <w:sz w:val="14"/>
                <w:szCs w:val="14"/>
              </w:rPr>
              <w:t> </w:t>
            </w:r>
          </w:p>
        </w:tc>
        <w:tc>
          <w:tcPr>
            <w:tcW w:w="721" w:type="dxa"/>
            <w:tcBorders>
              <w:top w:val="nil"/>
              <w:left w:val="nil"/>
              <w:bottom w:val="single" w:sz="4" w:space="0" w:color="auto"/>
              <w:right w:val="single" w:sz="4" w:space="0" w:color="auto"/>
            </w:tcBorders>
            <w:shd w:val="clear" w:color="auto" w:fill="auto"/>
            <w:vAlign w:val="center"/>
            <w:hideMark/>
          </w:tcPr>
          <w:p w14:paraId="4F3BEFEA" w14:textId="77777777" w:rsidR="00F00781" w:rsidRPr="00F00781" w:rsidRDefault="00F00781" w:rsidP="00F00781">
            <w:pPr>
              <w:rPr>
                <w:rFonts w:ascii="Arial Narrow" w:hAnsi="Arial Narrow" w:cs="Calibri"/>
                <w:sz w:val="14"/>
                <w:szCs w:val="14"/>
              </w:rPr>
            </w:pPr>
            <w:r w:rsidRPr="00F00781">
              <w:rPr>
                <w:rFonts w:ascii="Arial Narrow" w:hAnsi="Arial Narrow" w:cs="Calibri"/>
                <w:sz w:val="14"/>
                <w:szCs w:val="14"/>
              </w:rPr>
              <w:t> </w:t>
            </w:r>
          </w:p>
        </w:tc>
        <w:tc>
          <w:tcPr>
            <w:tcW w:w="698" w:type="dxa"/>
            <w:tcBorders>
              <w:top w:val="nil"/>
              <w:left w:val="nil"/>
              <w:bottom w:val="single" w:sz="4" w:space="0" w:color="auto"/>
              <w:right w:val="single" w:sz="4" w:space="0" w:color="auto"/>
            </w:tcBorders>
            <w:shd w:val="clear" w:color="auto" w:fill="auto"/>
            <w:vAlign w:val="center"/>
            <w:hideMark/>
          </w:tcPr>
          <w:p w14:paraId="496FC15E" w14:textId="77777777" w:rsidR="00F00781" w:rsidRPr="00F00781" w:rsidRDefault="00F00781" w:rsidP="00F00781">
            <w:pPr>
              <w:rPr>
                <w:rFonts w:ascii="Arial Narrow" w:hAnsi="Arial Narrow" w:cs="Calibri"/>
                <w:sz w:val="14"/>
                <w:szCs w:val="14"/>
              </w:rPr>
            </w:pPr>
            <w:r w:rsidRPr="00F00781">
              <w:rPr>
                <w:rFonts w:ascii="Arial Narrow" w:hAnsi="Arial Narrow" w:cs="Calibri"/>
                <w:sz w:val="14"/>
                <w:szCs w:val="14"/>
              </w:rPr>
              <w:t> </w:t>
            </w:r>
          </w:p>
        </w:tc>
        <w:tc>
          <w:tcPr>
            <w:tcW w:w="765" w:type="dxa"/>
            <w:tcBorders>
              <w:top w:val="nil"/>
              <w:left w:val="nil"/>
              <w:bottom w:val="single" w:sz="4" w:space="0" w:color="auto"/>
              <w:right w:val="single" w:sz="4" w:space="0" w:color="auto"/>
            </w:tcBorders>
            <w:shd w:val="clear" w:color="auto" w:fill="auto"/>
            <w:vAlign w:val="center"/>
            <w:hideMark/>
          </w:tcPr>
          <w:p w14:paraId="5F5A196D" w14:textId="77777777" w:rsidR="00F00781" w:rsidRPr="00F00781" w:rsidRDefault="00F00781" w:rsidP="00F00781">
            <w:pPr>
              <w:rPr>
                <w:rFonts w:ascii="Arial Narrow" w:hAnsi="Arial Narrow" w:cs="Calibri"/>
                <w:sz w:val="14"/>
                <w:szCs w:val="14"/>
              </w:rPr>
            </w:pPr>
            <w:r w:rsidRPr="00F00781">
              <w:rPr>
                <w:rFonts w:ascii="Arial Narrow" w:hAnsi="Arial Narrow" w:cs="Calibri"/>
                <w:sz w:val="14"/>
                <w:szCs w:val="14"/>
              </w:rPr>
              <w:t> </w:t>
            </w:r>
          </w:p>
        </w:tc>
        <w:tc>
          <w:tcPr>
            <w:tcW w:w="970" w:type="dxa"/>
            <w:tcBorders>
              <w:top w:val="nil"/>
              <w:left w:val="nil"/>
              <w:bottom w:val="single" w:sz="4" w:space="0" w:color="auto"/>
              <w:right w:val="single" w:sz="4" w:space="0" w:color="auto"/>
            </w:tcBorders>
            <w:shd w:val="clear" w:color="auto" w:fill="auto"/>
            <w:vAlign w:val="center"/>
            <w:hideMark/>
          </w:tcPr>
          <w:p w14:paraId="1E8E421E" w14:textId="77777777" w:rsidR="00F00781" w:rsidRPr="00F00781" w:rsidRDefault="00F00781" w:rsidP="00F00781">
            <w:pPr>
              <w:rPr>
                <w:rFonts w:ascii="Arial Narrow" w:hAnsi="Arial Narrow" w:cs="Calibri"/>
                <w:sz w:val="14"/>
                <w:szCs w:val="14"/>
              </w:rPr>
            </w:pPr>
            <w:r w:rsidRPr="00F00781">
              <w:rPr>
                <w:rFonts w:ascii="Arial Narrow" w:hAnsi="Arial Narrow" w:cs="Calibri"/>
                <w:sz w:val="14"/>
                <w:szCs w:val="14"/>
              </w:rPr>
              <w:t> </w:t>
            </w:r>
          </w:p>
        </w:tc>
        <w:tc>
          <w:tcPr>
            <w:tcW w:w="602" w:type="dxa"/>
            <w:tcBorders>
              <w:top w:val="nil"/>
              <w:left w:val="nil"/>
              <w:bottom w:val="single" w:sz="4" w:space="0" w:color="auto"/>
              <w:right w:val="single" w:sz="4" w:space="0" w:color="auto"/>
            </w:tcBorders>
            <w:shd w:val="clear" w:color="auto" w:fill="auto"/>
            <w:vAlign w:val="center"/>
            <w:hideMark/>
          </w:tcPr>
          <w:p w14:paraId="528B325E" w14:textId="77777777" w:rsidR="00F00781" w:rsidRPr="00F00781" w:rsidRDefault="00F00781" w:rsidP="00F00781">
            <w:pPr>
              <w:rPr>
                <w:rFonts w:ascii="Arial Narrow" w:hAnsi="Arial Narrow" w:cs="Calibri"/>
                <w:sz w:val="14"/>
                <w:szCs w:val="14"/>
              </w:rPr>
            </w:pPr>
            <w:r w:rsidRPr="00F00781">
              <w:rPr>
                <w:rFonts w:ascii="Arial Narrow" w:hAnsi="Arial Narrow" w:cs="Calibri"/>
                <w:sz w:val="14"/>
                <w:szCs w:val="14"/>
              </w:rPr>
              <w:t> </w:t>
            </w:r>
          </w:p>
        </w:tc>
        <w:tc>
          <w:tcPr>
            <w:tcW w:w="697" w:type="dxa"/>
            <w:tcBorders>
              <w:top w:val="nil"/>
              <w:left w:val="nil"/>
              <w:bottom w:val="single" w:sz="4" w:space="0" w:color="auto"/>
              <w:right w:val="single" w:sz="4" w:space="0" w:color="auto"/>
            </w:tcBorders>
            <w:shd w:val="clear" w:color="auto" w:fill="auto"/>
            <w:vAlign w:val="center"/>
            <w:hideMark/>
          </w:tcPr>
          <w:p w14:paraId="41182633" w14:textId="77777777" w:rsidR="00F00781" w:rsidRPr="00F00781" w:rsidRDefault="00F00781" w:rsidP="00F00781">
            <w:pPr>
              <w:rPr>
                <w:rFonts w:ascii="Arial Narrow" w:hAnsi="Arial Narrow" w:cs="Calibri"/>
                <w:sz w:val="14"/>
                <w:szCs w:val="14"/>
              </w:rPr>
            </w:pPr>
            <w:r w:rsidRPr="00F00781">
              <w:rPr>
                <w:rFonts w:ascii="Arial Narrow" w:hAnsi="Arial Narrow" w:cs="Calibri"/>
                <w:sz w:val="14"/>
                <w:szCs w:val="14"/>
              </w:rPr>
              <w:t> </w:t>
            </w:r>
          </w:p>
        </w:tc>
        <w:tc>
          <w:tcPr>
            <w:tcW w:w="869" w:type="dxa"/>
            <w:tcBorders>
              <w:top w:val="nil"/>
              <w:left w:val="nil"/>
              <w:bottom w:val="single" w:sz="4" w:space="0" w:color="auto"/>
              <w:right w:val="single" w:sz="4" w:space="0" w:color="auto"/>
            </w:tcBorders>
            <w:shd w:val="clear" w:color="auto" w:fill="auto"/>
            <w:vAlign w:val="center"/>
            <w:hideMark/>
          </w:tcPr>
          <w:p w14:paraId="567E5B80"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34,6</w:t>
            </w:r>
          </w:p>
        </w:tc>
      </w:tr>
      <w:tr w:rsidR="00F00781" w:rsidRPr="00F00781" w14:paraId="761D4156" w14:textId="77777777" w:rsidTr="00E01BBF">
        <w:trPr>
          <w:trHeight w:val="196"/>
        </w:trPr>
        <w:tc>
          <w:tcPr>
            <w:tcW w:w="632" w:type="dxa"/>
            <w:tcBorders>
              <w:top w:val="nil"/>
              <w:left w:val="single" w:sz="4" w:space="0" w:color="auto"/>
              <w:bottom w:val="single" w:sz="4" w:space="0" w:color="auto"/>
              <w:right w:val="single" w:sz="4" w:space="0" w:color="auto"/>
            </w:tcBorders>
            <w:shd w:val="clear" w:color="auto" w:fill="auto"/>
            <w:vAlign w:val="center"/>
            <w:hideMark/>
          </w:tcPr>
          <w:p w14:paraId="51117697" w14:textId="77777777" w:rsidR="00F00781" w:rsidRPr="00F00781" w:rsidRDefault="00F00781" w:rsidP="005232AE">
            <w:pPr>
              <w:rPr>
                <w:rFonts w:ascii="Arial Narrow" w:hAnsi="Arial Narrow" w:cs="Calibri"/>
                <w:sz w:val="14"/>
                <w:szCs w:val="14"/>
              </w:rPr>
            </w:pPr>
            <w:r w:rsidRPr="00F00781">
              <w:rPr>
                <w:rFonts w:ascii="Arial Narrow" w:hAnsi="Arial Narrow" w:cs="Calibri"/>
                <w:sz w:val="14"/>
                <w:szCs w:val="14"/>
              </w:rPr>
              <w:t xml:space="preserve"> 17.1/3</w:t>
            </w:r>
          </w:p>
        </w:tc>
        <w:tc>
          <w:tcPr>
            <w:tcW w:w="1671" w:type="dxa"/>
            <w:tcBorders>
              <w:top w:val="nil"/>
              <w:left w:val="nil"/>
              <w:bottom w:val="single" w:sz="4" w:space="0" w:color="auto"/>
              <w:right w:val="single" w:sz="4" w:space="0" w:color="auto"/>
            </w:tcBorders>
            <w:shd w:val="clear" w:color="auto" w:fill="auto"/>
            <w:vAlign w:val="center"/>
            <w:hideMark/>
          </w:tcPr>
          <w:p w14:paraId="25FF7266" w14:textId="77777777" w:rsidR="00F00781" w:rsidRPr="00F00781" w:rsidRDefault="00F00781" w:rsidP="00F00781">
            <w:pPr>
              <w:ind w:firstLineChars="100" w:firstLine="140"/>
              <w:rPr>
                <w:rFonts w:ascii="Arial Narrow" w:hAnsi="Arial Narrow" w:cs="Calibri"/>
                <w:sz w:val="14"/>
                <w:szCs w:val="14"/>
              </w:rPr>
            </w:pPr>
            <w:r w:rsidRPr="00F00781">
              <w:rPr>
                <w:rFonts w:ascii="Arial Narrow" w:hAnsi="Arial Narrow" w:cs="Calibri"/>
                <w:sz w:val="14"/>
                <w:szCs w:val="14"/>
              </w:rPr>
              <w:t>- плодове</w:t>
            </w:r>
          </w:p>
        </w:tc>
        <w:tc>
          <w:tcPr>
            <w:tcW w:w="773" w:type="dxa"/>
            <w:tcBorders>
              <w:top w:val="nil"/>
              <w:left w:val="nil"/>
              <w:bottom w:val="single" w:sz="4" w:space="0" w:color="auto"/>
              <w:right w:val="single" w:sz="4" w:space="0" w:color="auto"/>
            </w:tcBorders>
            <w:shd w:val="clear" w:color="auto" w:fill="auto"/>
            <w:vAlign w:val="center"/>
            <w:hideMark/>
          </w:tcPr>
          <w:p w14:paraId="53D469FA"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21,9</w:t>
            </w:r>
          </w:p>
        </w:tc>
        <w:tc>
          <w:tcPr>
            <w:tcW w:w="582" w:type="dxa"/>
            <w:tcBorders>
              <w:top w:val="nil"/>
              <w:left w:val="nil"/>
              <w:bottom w:val="single" w:sz="4" w:space="0" w:color="auto"/>
              <w:right w:val="single" w:sz="4" w:space="0" w:color="auto"/>
            </w:tcBorders>
            <w:shd w:val="clear" w:color="auto" w:fill="auto"/>
            <w:vAlign w:val="center"/>
            <w:hideMark/>
          </w:tcPr>
          <w:p w14:paraId="16F27B22" w14:textId="77777777" w:rsidR="00F00781" w:rsidRPr="00F00781" w:rsidRDefault="00F00781" w:rsidP="00F00781">
            <w:pPr>
              <w:rPr>
                <w:rFonts w:ascii="Arial Narrow" w:hAnsi="Arial Narrow" w:cs="Calibri"/>
                <w:sz w:val="14"/>
                <w:szCs w:val="14"/>
              </w:rPr>
            </w:pPr>
            <w:r w:rsidRPr="00F00781">
              <w:rPr>
                <w:rFonts w:ascii="Arial Narrow" w:hAnsi="Arial Narrow" w:cs="Calibri"/>
                <w:sz w:val="14"/>
                <w:szCs w:val="14"/>
              </w:rPr>
              <w:t> </w:t>
            </w:r>
          </w:p>
        </w:tc>
        <w:tc>
          <w:tcPr>
            <w:tcW w:w="681" w:type="dxa"/>
            <w:tcBorders>
              <w:top w:val="nil"/>
              <w:left w:val="nil"/>
              <w:bottom w:val="single" w:sz="4" w:space="0" w:color="auto"/>
              <w:right w:val="single" w:sz="4" w:space="0" w:color="auto"/>
            </w:tcBorders>
            <w:shd w:val="clear" w:color="auto" w:fill="auto"/>
            <w:vAlign w:val="center"/>
            <w:hideMark/>
          </w:tcPr>
          <w:p w14:paraId="6F6A7C9F" w14:textId="77777777" w:rsidR="00F00781" w:rsidRPr="00F00781" w:rsidRDefault="00F00781" w:rsidP="00F00781">
            <w:pPr>
              <w:rPr>
                <w:rFonts w:ascii="Arial Narrow" w:hAnsi="Arial Narrow" w:cs="Calibri"/>
                <w:sz w:val="14"/>
                <w:szCs w:val="14"/>
              </w:rPr>
            </w:pPr>
            <w:r w:rsidRPr="00F00781">
              <w:rPr>
                <w:rFonts w:ascii="Arial Narrow" w:hAnsi="Arial Narrow" w:cs="Calibri"/>
                <w:sz w:val="14"/>
                <w:szCs w:val="14"/>
              </w:rPr>
              <w:t> </w:t>
            </w:r>
          </w:p>
        </w:tc>
        <w:tc>
          <w:tcPr>
            <w:tcW w:w="789" w:type="dxa"/>
            <w:tcBorders>
              <w:top w:val="nil"/>
              <w:left w:val="nil"/>
              <w:bottom w:val="single" w:sz="4" w:space="0" w:color="auto"/>
              <w:right w:val="single" w:sz="4" w:space="0" w:color="auto"/>
            </w:tcBorders>
            <w:shd w:val="clear" w:color="auto" w:fill="auto"/>
            <w:vAlign w:val="center"/>
            <w:hideMark/>
          </w:tcPr>
          <w:p w14:paraId="633BE595" w14:textId="77777777" w:rsidR="00F00781" w:rsidRPr="00F00781" w:rsidRDefault="00F00781" w:rsidP="00F00781">
            <w:pPr>
              <w:rPr>
                <w:rFonts w:ascii="Arial Narrow" w:hAnsi="Arial Narrow" w:cs="Calibri"/>
                <w:sz w:val="14"/>
                <w:szCs w:val="14"/>
              </w:rPr>
            </w:pPr>
            <w:r w:rsidRPr="00F00781">
              <w:rPr>
                <w:rFonts w:ascii="Arial Narrow" w:hAnsi="Arial Narrow" w:cs="Calibri"/>
                <w:sz w:val="14"/>
                <w:szCs w:val="14"/>
              </w:rPr>
              <w:t> </w:t>
            </w:r>
          </w:p>
        </w:tc>
        <w:tc>
          <w:tcPr>
            <w:tcW w:w="693" w:type="dxa"/>
            <w:tcBorders>
              <w:top w:val="nil"/>
              <w:left w:val="nil"/>
              <w:bottom w:val="single" w:sz="4" w:space="0" w:color="auto"/>
              <w:right w:val="single" w:sz="4" w:space="0" w:color="auto"/>
            </w:tcBorders>
            <w:shd w:val="clear" w:color="auto" w:fill="auto"/>
            <w:vAlign w:val="center"/>
            <w:hideMark/>
          </w:tcPr>
          <w:p w14:paraId="0BE36EDB" w14:textId="77777777" w:rsidR="00F00781" w:rsidRPr="00F00781" w:rsidRDefault="00F00781" w:rsidP="00F00781">
            <w:pPr>
              <w:rPr>
                <w:rFonts w:ascii="Arial Narrow" w:hAnsi="Arial Narrow" w:cs="Calibri"/>
                <w:sz w:val="14"/>
                <w:szCs w:val="14"/>
              </w:rPr>
            </w:pPr>
            <w:r w:rsidRPr="00F00781">
              <w:rPr>
                <w:rFonts w:ascii="Arial Narrow" w:hAnsi="Arial Narrow" w:cs="Calibri"/>
                <w:sz w:val="14"/>
                <w:szCs w:val="14"/>
              </w:rPr>
              <w:t> </w:t>
            </w:r>
          </w:p>
        </w:tc>
        <w:tc>
          <w:tcPr>
            <w:tcW w:w="537" w:type="dxa"/>
            <w:tcBorders>
              <w:top w:val="nil"/>
              <w:left w:val="nil"/>
              <w:bottom w:val="single" w:sz="4" w:space="0" w:color="auto"/>
              <w:right w:val="single" w:sz="4" w:space="0" w:color="auto"/>
            </w:tcBorders>
            <w:shd w:val="clear" w:color="auto" w:fill="auto"/>
            <w:vAlign w:val="center"/>
            <w:hideMark/>
          </w:tcPr>
          <w:p w14:paraId="2F20865A" w14:textId="77777777" w:rsidR="00F00781" w:rsidRPr="00F00781" w:rsidRDefault="00F00781" w:rsidP="00F00781">
            <w:pPr>
              <w:rPr>
                <w:rFonts w:ascii="Arial Narrow" w:hAnsi="Arial Narrow" w:cs="Calibri"/>
                <w:sz w:val="14"/>
                <w:szCs w:val="14"/>
              </w:rPr>
            </w:pPr>
            <w:r w:rsidRPr="00F00781">
              <w:rPr>
                <w:rFonts w:ascii="Arial Narrow" w:hAnsi="Arial Narrow" w:cs="Calibri"/>
                <w:sz w:val="14"/>
                <w:szCs w:val="14"/>
              </w:rPr>
              <w:t> </w:t>
            </w:r>
          </w:p>
        </w:tc>
        <w:tc>
          <w:tcPr>
            <w:tcW w:w="1143" w:type="dxa"/>
            <w:tcBorders>
              <w:top w:val="nil"/>
              <w:left w:val="nil"/>
              <w:bottom w:val="single" w:sz="4" w:space="0" w:color="auto"/>
              <w:right w:val="single" w:sz="4" w:space="0" w:color="auto"/>
            </w:tcBorders>
            <w:shd w:val="clear" w:color="auto" w:fill="auto"/>
            <w:vAlign w:val="center"/>
            <w:hideMark/>
          </w:tcPr>
          <w:p w14:paraId="0DCEE66B" w14:textId="77777777" w:rsidR="00F00781" w:rsidRPr="00F00781" w:rsidRDefault="00F00781" w:rsidP="00F00781">
            <w:pPr>
              <w:rPr>
                <w:rFonts w:ascii="Arial Narrow" w:hAnsi="Arial Narrow" w:cs="Calibri"/>
                <w:sz w:val="14"/>
                <w:szCs w:val="14"/>
              </w:rPr>
            </w:pPr>
            <w:r w:rsidRPr="00F00781">
              <w:rPr>
                <w:rFonts w:ascii="Arial Narrow" w:hAnsi="Arial Narrow" w:cs="Calibri"/>
                <w:sz w:val="14"/>
                <w:szCs w:val="14"/>
              </w:rPr>
              <w:t> </w:t>
            </w:r>
          </w:p>
        </w:tc>
        <w:tc>
          <w:tcPr>
            <w:tcW w:w="1200" w:type="dxa"/>
            <w:tcBorders>
              <w:top w:val="nil"/>
              <w:left w:val="nil"/>
              <w:bottom w:val="single" w:sz="4" w:space="0" w:color="auto"/>
              <w:right w:val="single" w:sz="4" w:space="0" w:color="auto"/>
            </w:tcBorders>
            <w:shd w:val="clear" w:color="auto" w:fill="auto"/>
            <w:vAlign w:val="center"/>
            <w:hideMark/>
          </w:tcPr>
          <w:p w14:paraId="556A416E"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21,9</w:t>
            </w:r>
          </w:p>
        </w:tc>
        <w:tc>
          <w:tcPr>
            <w:tcW w:w="721" w:type="dxa"/>
            <w:tcBorders>
              <w:top w:val="nil"/>
              <w:left w:val="nil"/>
              <w:bottom w:val="single" w:sz="4" w:space="0" w:color="auto"/>
              <w:right w:val="single" w:sz="4" w:space="0" w:color="auto"/>
            </w:tcBorders>
            <w:shd w:val="clear" w:color="auto" w:fill="auto"/>
            <w:vAlign w:val="center"/>
            <w:hideMark/>
          </w:tcPr>
          <w:p w14:paraId="685CF964" w14:textId="77777777" w:rsidR="00F00781" w:rsidRPr="00F00781" w:rsidRDefault="00F00781" w:rsidP="00F00781">
            <w:pPr>
              <w:rPr>
                <w:rFonts w:ascii="Arial Narrow" w:hAnsi="Arial Narrow" w:cs="Calibri"/>
                <w:sz w:val="14"/>
                <w:szCs w:val="14"/>
              </w:rPr>
            </w:pPr>
            <w:r w:rsidRPr="00F00781">
              <w:rPr>
                <w:rFonts w:ascii="Arial Narrow" w:hAnsi="Arial Narrow" w:cs="Calibri"/>
                <w:sz w:val="14"/>
                <w:szCs w:val="14"/>
              </w:rPr>
              <w:t> </w:t>
            </w:r>
          </w:p>
        </w:tc>
        <w:tc>
          <w:tcPr>
            <w:tcW w:w="721" w:type="dxa"/>
            <w:tcBorders>
              <w:top w:val="nil"/>
              <w:left w:val="nil"/>
              <w:bottom w:val="single" w:sz="4" w:space="0" w:color="auto"/>
              <w:right w:val="single" w:sz="4" w:space="0" w:color="auto"/>
            </w:tcBorders>
            <w:shd w:val="clear" w:color="auto" w:fill="auto"/>
            <w:vAlign w:val="center"/>
            <w:hideMark/>
          </w:tcPr>
          <w:p w14:paraId="51D868C3" w14:textId="77777777" w:rsidR="00F00781" w:rsidRPr="00F00781" w:rsidRDefault="00F00781" w:rsidP="00F00781">
            <w:pPr>
              <w:rPr>
                <w:rFonts w:ascii="Arial Narrow" w:hAnsi="Arial Narrow" w:cs="Calibri"/>
                <w:sz w:val="14"/>
                <w:szCs w:val="14"/>
              </w:rPr>
            </w:pPr>
            <w:r w:rsidRPr="00F00781">
              <w:rPr>
                <w:rFonts w:ascii="Arial Narrow" w:hAnsi="Arial Narrow" w:cs="Calibri"/>
                <w:sz w:val="14"/>
                <w:szCs w:val="14"/>
              </w:rPr>
              <w:t> </w:t>
            </w:r>
          </w:p>
        </w:tc>
        <w:tc>
          <w:tcPr>
            <w:tcW w:w="698" w:type="dxa"/>
            <w:tcBorders>
              <w:top w:val="nil"/>
              <w:left w:val="nil"/>
              <w:bottom w:val="single" w:sz="4" w:space="0" w:color="auto"/>
              <w:right w:val="single" w:sz="4" w:space="0" w:color="auto"/>
            </w:tcBorders>
            <w:shd w:val="clear" w:color="auto" w:fill="auto"/>
            <w:vAlign w:val="center"/>
            <w:hideMark/>
          </w:tcPr>
          <w:p w14:paraId="7637EF35" w14:textId="77777777" w:rsidR="00F00781" w:rsidRPr="00F00781" w:rsidRDefault="00F00781" w:rsidP="00F00781">
            <w:pPr>
              <w:rPr>
                <w:rFonts w:ascii="Arial Narrow" w:hAnsi="Arial Narrow" w:cs="Calibri"/>
                <w:sz w:val="14"/>
                <w:szCs w:val="14"/>
              </w:rPr>
            </w:pPr>
            <w:r w:rsidRPr="00F00781">
              <w:rPr>
                <w:rFonts w:ascii="Arial Narrow" w:hAnsi="Arial Narrow" w:cs="Calibri"/>
                <w:sz w:val="14"/>
                <w:szCs w:val="14"/>
              </w:rPr>
              <w:t> </w:t>
            </w:r>
          </w:p>
        </w:tc>
        <w:tc>
          <w:tcPr>
            <w:tcW w:w="765" w:type="dxa"/>
            <w:tcBorders>
              <w:top w:val="nil"/>
              <w:left w:val="nil"/>
              <w:bottom w:val="single" w:sz="4" w:space="0" w:color="auto"/>
              <w:right w:val="single" w:sz="4" w:space="0" w:color="auto"/>
            </w:tcBorders>
            <w:shd w:val="clear" w:color="auto" w:fill="auto"/>
            <w:vAlign w:val="center"/>
            <w:hideMark/>
          </w:tcPr>
          <w:p w14:paraId="5AE0B372" w14:textId="77777777" w:rsidR="00F00781" w:rsidRPr="00F00781" w:rsidRDefault="00F00781" w:rsidP="00F00781">
            <w:pPr>
              <w:rPr>
                <w:rFonts w:ascii="Arial Narrow" w:hAnsi="Arial Narrow" w:cs="Calibri"/>
                <w:sz w:val="14"/>
                <w:szCs w:val="14"/>
              </w:rPr>
            </w:pPr>
            <w:r w:rsidRPr="00F00781">
              <w:rPr>
                <w:rFonts w:ascii="Arial Narrow" w:hAnsi="Arial Narrow" w:cs="Calibri"/>
                <w:sz w:val="14"/>
                <w:szCs w:val="14"/>
              </w:rPr>
              <w:t> </w:t>
            </w:r>
          </w:p>
        </w:tc>
        <w:tc>
          <w:tcPr>
            <w:tcW w:w="970" w:type="dxa"/>
            <w:tcBorders>
              <w:top w:val="nil"/>
              <w:left w:val="nil"/>
              <w:bottom w:val="single" w:sz="4" w:space="0" w:color="auto"/>
              <w:right w:val="single" w:sz="4" w:space="0" w:color="auto"/>
            </w:tcBorders>
            <w:shd w:val="clear" w:color="auto" w:fill="auto"/>
            <w:vAlign w:val="center"/>
            <w:hideMark/>
          </w:tcPr>
          <w:p w14:paraId="79510B88" w14:textId="77777777" w:rsidR="00F00781" w:rsidRPr="00F00781" w:rsidRDefault="00F00781" w:rsidP="00F00781">
            <w:pPr>
              <w:rPr>
                <w:rFonts w:ascii="Arial Narrow" w:hAnsi="Arial Narrow" w:cs="Calibri"/>
                <w:sz w:val="14"/>
                <w:szCs w:val="14"/>
              </w:rPr>
            </w:pPr>
            <w:r w:rsidRPr="00F00781">
              <w:rPr>
                <w:rFonts w:ascii="Arial Narrow" w:hAnsi="Arial Narrow" w:cs="Calibri"/>
                <w:sz w:val="14"/>
                <w:szCs w:val="14"/>
              </w:rPr>
              <w:t> </w:t>
            </w:r>
          </w:p>
        </w:tc>
        <w:tc>
          <w:tcPr>
            <w:tcW w:w="602" w:type="dxa"/>
            <w:tcBorders>
              <w:top w:val="nil"/>
              <w:left w:val="nil"/>
              <w:bottom w:val="single" w:sz="4" w:space="0" w:color="auto"/>
              <w:right w:val="single" w:sz="4" w:space="0" w:color="auto"/>
            </w:tcBorders>
            <w:shd w:val="clear" w:color="auto" w:fill="auto"/>
            <w:vAlign w:val="center"/>
            <w:hideMark/>
          </w:tcPr>
          <w:p w14:paraId="3534488F" w14:textId="77777777" w:rsidR="00F00781" w:rsidRPr="00F00781" w:rsidRDefault="00F00781" w:rsidP="00F00781">
            <w:pPr>
              <w:rPr>
                <w:rFonts w:ascii="Arial Narrow" w:hAnsi="Arial Narrow" w:cs="Calibri"/>
                <w:sz w:val="14"/>
                <w:szCs w:val="14"/>
              </w:rPr>
            </w:pPr>
            <w:r w:rsidRPr="00F00781">
              <w:rPr>
                <w:rFonts w:ascii="Arial Narrow" w:hAnsi="Arial Narrow" w:cs="Calibri"/>
                <w:sz w:val="14"/>
                <w:szCs w:val="14"/>
              </w:rPr>
              <w:t> </w:t>
            </w:r>
          </w:p>
        </w:tc>
        <w:tc>
          <w:tcPr>
            <w:tcW w:w="697" w:type="dxa"/>
            <w:tcBorders>
              <w:top w:val="nil"/>
              <w:left w:val="nil"/>
              <w:bottom w:val="single" w:sz="4" w:space="0" w:color="auto"/>
              <w:right w:val="single" w:sz="4" w:space="0" w:color="auto"/>
            </w:tcBorders>
            <w:shd w:val="clear" w:color="auto" w:fill="auto"/>
            <w:vAlign w:val="center"/>
            <w:hideMark/>
          </w:tcPr>
          <w:p w14:paraId="31D05C02" w14:textId="77777777" w:rsidR="00F00781" w:rsidRPr="00F00781" w:rsidRDefault="00F00781" w:rsidP="00F00781">
            <w:pPr>
              <w:rPr>
                <w:rFonts w:ascii="Arial Narrow" w:hAnsi="Arial Narrow" w:cs="Calibri"/>
                <w:sz w:val="14"/>
                <w:szCs w:val="14"/>
              </w:rPr>
            </w:pPr>
            <w:r w:rsidRPr="00F00781">
              <w:rPr>
                <w:rFonts w:ascii="Arial Narrow" w:hAnsi="Arial Narrow" w:cs="Calibri"/>
                <w:sz w:val="14"/>
                <w:szCs w:val="14"/>
              </w:rPr>
              <w:t> </w:t>
            </w:r>
          </w:p>
        </w:tc>
        <w:tc>
          <w:tcPr>
            <w:tcW w:w="869" w:type="dxa"/>
            <w:tcBorders>
              <w:top w:val="nil"/>
              <w:left w:val="nil"/>
              <w:bottom w:val="single" w:sz="4" w:space="0" w:color="auto"/>
              <w:right w:val="single" w:sz="4" w:space="0" w:color="auto"/>
            </w:tcBorders>
            <w:shd w:val="clear" w:color="auto" w:fill="auto"/>
            <w:vAlign w:val="center"/>
            <w:hideMark/>
          </w:tcPr>
          <w:p w14:paraId="21668C33"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21,9</w:t>
            </w:r>
          </w:p>
        </w:tc>
      </w:tr>
      <w:tr w:rsidR="00F00781" w:rsidRPr="00F00781" w14:paraId="20C3D6D9" w14:textId="77777777" w:rsidTr="00E01BBF">
        <w:trPr>
          <w:trHeight w:val="196"/>
        </w:trPr>
        <w:tc>
          <w:tcPr>
            <w:tcW w:w="632" w:type="dxa"/>
            <w:tcBorders>
              <w:top w:val="nil"/>
              <w:left w:val="single" w:sz="4" w:space="0" w:color="auto"/>
              <w:bottom w:val="single" w:sz="4" w:space="0" w:color="auto"/>
              <w:right w:val="single" w:sz="4" w:space="0" w:color="auto"/>
            </w:tcBorders>
            <w:shd w:val="clear" w:color="auto" w:fill="auto"/>
            <w:vAlign w:val="center"/>
            <w:hideMark/>
          </w:tcPr>
          <w:p w14:paraId="5B608504" w14:textId="77777777" w:rsidR="00F00781" w:rsidRPr="00F00781" w:rsidRDefault="00F00781" w:rsidP="005232AE">
            <w:pPr>
              <w:rPr>
                <w:rFonts w:ascii="Arial Narrow" w:hAnsi="Arial Narrow" w:cs="Calibri"/>
                <w:sz w:val="14"/>
                <w:szCs w:val="14"/>
              </w:rPr>
            </w:pPr>
            <w:r w:rsidRPr="00F00781">
              <w:rPr>
                <w:rFonts w:ascii="Arial Narrow" w:hAnsi="Arial Narrow" w:cs="Calibri"/>
                <w:sz w:val="14"/>
                <w:szCs w:val="14"/>
              </w:rPr>
              <w:t xml:space="preserve"> 17.1/4</w:t>
            </w:r>
          </w:p>
        </w:tc>
        <w:tc>
          <w:tcPr>
            <w:tcW w:w="1671" w:type="dxa"/>
            <w:tcBorders>
              <w:top w:val="nil"/>
              <w:left w:val="nil"/>
              <w:bottom w:val="single" w:sz="4" w:space="0" w:color="auto"/>
              <w:right w:val="single" w:sz="4" w:space="0" w:color="auto"/>
            </w:tcBorders>
            <w:shd w:val="clear" w:color="auto" w:fill="auto"/>
            <w:vAlign w:val="center"/>
            <w:hideMark/>
          </w:tcPr>
          <w:p w14:paraId="20DBBF33" w14:textId="77777777" w:rsidR="00F00781" w:rsidRPr="00F00781" w:rsidRDefault="00F00781" w:rsidP="00F00781">
            <w:pPr>
              <w:ind w:firstLineChars="100" w:firstLine="140"/>
              <w:rPr>
                <w:rFonts w:ascii="Arial Narrow" w:hAnsi="Arial Narrow" w:cs="Calibri"/>
                <w:sz w:val="14"/>
                <w:szCs w:val="14"/>
              </w:rPr>
            </w:pPr>
            <w:r w:rsidRPr="00F00781">
              <w:rPr>
                <w:rFonts w:ascii="Arial Narrow" w:hAnsi="Arial Narrow" w:cs="Calibri"/>
                <w:sz w:val="14"/>
                <w:szCs w:val="14"/>
              </w:rPr>
              <w:t>- вино</w:t>
            </w:r>
          </w:p>
        </w:tc>
        <w:tc>
          <w:tcPr>
            <w:tcW w:w="773" w:type="dxa"/>
            <w:tcBorders>
              <w:top w:val="nil"/>
              <w:left w:val="nil"/>
              <w:bottom w:val="single" w:sz="4" w:space="0" w:color="auto"/>
              <w:right w:val="single" w:sz="4" w:space="0" w:color="auto"/>
            </w:tcBorders>
            <w:shd w:val="clear" w:color="auto" w:fill="auto"/>
            <w:vAlign w:val="center"/>
            <w:hideMark/>
          </w:tcPr>
          <w:p w14:paraId="2942CBB7"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38,5</w:t>
            </w:r>
          </w:p>
        </w:tc>
        <w:tc>
          <w:tcPr>
            <w:tcW w:w="582" w:type="dxa"/>
            <w:tcBorders>
              <w:top w:val="nil"/>
              <w:left w:val="nil"/>
              <w:bottom w:val="single" w:sz="4" w:space="0" w:color="auto"/>
              <w:right w:val="single" w:sz="4" w:space="0" w:color="auto"/>
            </w:tcBorders>
            <w:shd w:val="clear" w:color="auto" w:fill="auto"/>
            <w:vAlign w:val="center"/>
            <w:hideMark/>
          </w:tcPr>
          <w:p w14:paraId="028DEA33" w14:textId="77777777" w:rsidR="00F00781" w:rsidRPr="00F00781" w:rsidRDefault="00F00781" w:rsidP="00F00781">
            <w:pPr>
              <w:rPr>
                <w:rFonts w:ascii="Arial Narrow" w:hAnsi="Arial Narrow" w:cs="Calibri"/>
                <w:sz w:val="14"/>
                <w:szCs w:val="14"/>
              </w:rPr>
            </w:pPr>
            <w:r w:rsidRPr="00F00781">
              <w:rPr>
                <w:rFonts w:ascii="Arial Narrow" w:hAnsi="Arial Narrow" w:cs="Calibri"/>
                <w:sz w:val="14"/>
                <w:szCs w:val="14"/>
              </w:rPr>
              <w:t> </w:t>
            </w:r>
          </w:p>
        </w:tc>
        <w:tc>
          <w:tcPr>
            <w:tcW w:w="681" w:type="dxa"/>
            <w:tcBorders>
              <w:top w:val="nil"/>
              <w:left w:val="nil"/>
              <w:bottom w:val="single" w:sz="4" w:space="0" w:color="auto"/>
              <w:right w:val="single" w:sz="4" w:space="0" w:color="auto"/>
            </w:tcBorders>
            <w:shd w:val="clear" w:color="auto" w:fill="auto"/>
            <w:vAlign w:val="center"/>
            <w:hideMark/>
          </w:tcPr>
          <w:p w14:paraId="195E5B48" w14:textId="77777777" w:rsidR="00F00781" w:rsidRPr="00F00781" w:rsidRDefault="00F00781" w:rsidP="00F00781">
            <w:pPr>
              <w:rPr>
                <w:rFonts w:ascii="Arial Narrow" w:hAnsi="Arial Narrow" w:cs="Calibri"/>
                <w:sz w:val="14"/>
                <w:szCs w:val="14"/>
              </w:rPr>
            </w:pPr>
            <w:r w:rsidRPr="00F00781">
              <w:rPr>
                <w:rFonts w:ascii="Arial Narrow" w:hAnsi="Arial Narrow" w:cs="Calibri"/>
                <w:sz w:val="14"/>
                <w:szCs w:val="14"/>
              </w:rPr>
              <w:t> </w:t>
            </w:r>
          </w:p>
        </w:tc>
        <w:tc>
          <w:tcPr>
            <w:tcW w:w="789" w:type="dxa"/>
            <w:tcBorders>
              <w:top w:val="nil"/>
              <w:left w:val="nil"/>
              <w:bottom w:val="single" w:sz="4" w:space="0" w:color="auto"/>
              <w:right w:val="single" w:sz="4" w:space="0" w:color="auto"/>
            </w:tcBorders>
            <w:shd w:val="clear" w:color="auto" w:fill="auto"/>
            <w:vAlign w:val="center"/>
            <w:hideMark/>
          </w:tcPr>
          <w:p w14:paraId="53E087D7" w14:textId="77777777" w:rsidR="00F00781" w:rsidRPr="00F00781" w:rsidRDefault="00F00781" w:rsidP="00F00781">
            <w:pPr>
              <w:rPr>
                <w:rFonts w:ascii="Arial Narrow" w:hAnsi="Arial Narrow" w:cs="Calibri"/>
                <w:sz w:val="14"/>
                <w:szCs w:val="14"/>
              </w:rPr>
            </w:pPr>
            <w:r w:rsidRPr="00F00781">
              <w:rPr>
                <w:rFonts w:ascii="Arial Narrow" w:hAnsi="Arial Narrow" w:cs="Calibri"/>
                <w:sz w:val="14"/>
                <w:szCs w:val="14"/>
              </w:rPr>
              <w:t> </w:t>
            </w:r>
          </w:p>
        </w:tc>
        <w:tc>
          <w:tcPr>
            <w:tcW w:w="693" w:type="dxa"/>
            <w:tcBorders>
              <w:top w:val="nil"/>
              <w:left w:val="nil"/>
              <w:bottom w:val="single" w:sz="4" w:space="0" w:color="auto"/>
              <w:right w:val="single" w:sz="4" w:space="0" w:color="auto"/>
            </w:tcBorders>
            <w:shd w:val="clear" w:color="auto" w:fill="auto"/>
            <w:vAlign w:val="center"/>
            <w:hideMark/>
          </w:tcPr>
          <w:p w14:paraId="67C813CD" w14:textId="77777777" w:rsidR="00F00781" w:rsidRPr="00F00781" w:rsidRDefault="00F00781" w:rsidP="00F00781">
            <w:pPr>
              <w:rPr>
                <w:rFonts w:ascii="Arial Narrow" w:hAnsi="Arial Narrow" w:cs="Calibri"/>
                <w:sz w:val="14"/>
                <w:szCs w:val="14"/>
              </w:rPr>
            </w:pPr>
            <w:r w:rsidRPr="00F00781">
              <w:rPr>
                <w:rFonts w:ascii="Arial Narrow" w:hAnsi="Arial Narrow" w:cs="Calibri"/>
                <w:sz w:val="14"/>
                <w:szCs w:val="14"/>
              </w:rPr>
              <w:t> </w:t>
            </w:r>
          </w:p>
        </w:tc>
        <w:tc>
          <w:tcPr>
            <w:tcW w:w="537" w:type="dxa"/>
            <w:tcBorders>
              <w:top w:val="nil"/>
              <w:left w:val="nil"/>
              <w:bottom w:val="single" w:sz="4" w:space="0" w:color="auto"/>
              <w:right w:val="single" w:sz="4" w:space="0" w:color="auto"/>
            </w:tcBorders>
            <w:shd w:val="clear" w:color="auto" w:fill="auto"/>
            <w:vAlign w:val="center"/>
            <w:hideMark/>
          </w:tcPr>
          <w:p w14:paraId="01AC915E" w14:textId="77777777" w:rsidR="00F00781" w:rsidRPr="00F00781" w:rsidRDefault="00F00781" w:rsidP="00F00781">
            <w:pPr>
              <w:rPr>
                <w:rFonts w:ascii="Arial Narrow" w:hAnsi="Arial Narrow" w:cs="Calibri"/>
                <w:sz w:val="14"/>
                <w:szCs w:val="14"/>
              </w:rPr>
            </w:pPr>
            <w:r w:rsidRPr="00F00781">
              <w:rPr>
                <w:rFonts w:ascii="Arial Narrow" w:hAnsi="Arial Narrow" w:cs="Calibri"/>
                <w:sz w:val="14"/>
                <w:szCs w:val="14"/>
              </w:rPr>
              <w:t> </w:t>
            </w:r>
          </w:p>
        </w:tc>
        <w:tc>
          <w:tcPr>
            <w:tcW w:w="1143" w:type="dxa"/>
            <w:tcBorders>
              <w:top w:val="nil"/>
              <w:left w:val="nil"/>
              <w:bottom w:val="single" w:sz="4" w:space="0" w:color="auto"/>
              <w:right w:val="single" w:sz="4" w:space="0" w:color="auto"/>
            </w:tcBorders>
            <w:shd w:val="clear" w:color="auto" w:fill="auto"/>
            <w:vAlign w:val="center"/>
            <w:hideMark/>
          </w:tcPr>
          <w:p w14:paraId="54517A38" w14:textId="77777777" w:rsidR="00F00781" w:rsidRPr="00F00781" w:rsidRDefault="00F00781" w:rsidP="00F00781">
            <w:pPr>
              <w:rPr>
                <w:rFonts w:ascii="Arial Narrow" w:hAnsi="Arial Narrow" w:cs="Calibri"/>
                <w:sz w:val="14"/>
                <w:szCs w:val="14"/>
              </w:rPr>
            </w:pPr>
            <w:r w:rsidRPr="00F00781">
              <w:rPr>
                <w:rFonts w:ascii="Arial Narrow" w:hAnsi="Arial Narrow" w:cs="Calibri"/>
                <w:sz w:val="14"/>
                <w:szCs w:val="14"/>
              </w:rPr>
              <w:t> </w:t>
            </w:r>
          </w:p>
        </w:tc>
        <w:tc>
          <w:tcPr>
            <w:tcW w:w="1200" w:type="dxa"/>
            <w:tcBorders>
              <w:top w:val="nil"/>
              <w:left w:val="nil"/>
              <w:bottom w:val="single" w:sz="4" w:space="0" w:color="auto"/>
              <w:right w:val="single" w:sz="4" w:space="0" w:color="auto"/>
            </w:tcBorders>
            <w:shd w:val="clear" w:color="auto" w:fill="auto"/>
            <w:vAlign w:val="center"/>
            <w:hideMark/>
          </w:tcPr>
          <w:p w14:paraId="54CAA397"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38,5</w:t>
            </w:r>
          </w:p>
        </w:tc>
        <w:tc>
          <w:tcPr>
            <w:tcW w:w="721" w:type="dxa"/>
            <w:tcBorders>
              <w:top w:val="nil"/>
              <w:left w:val="nil"/>
              <w:bottom w:val="single" w:sz="4" w:space="0" w:color="auto"/>
              <w:right w:val="single" w:sz="4" w:space="0" w:color="auto"/>
            </w:tcBorders>
            <w:shd w:val="clear" w:color="auto" w:fill="auto"/>
            <w:vAlign w:val="center"/>
            <w:hideMark/>
          </w:tcPr>
          <w:p w14:paraId="7CF2C240" w14:textId="77777777" w:rsidR="00F00781" w:rsidRPr="00F00781" w:rsidRDefault="00F00781" w:rsidP="00F00781">
            <w:pPr>
              <w:rPr>
                <w:rFonts w:ascii="Arial Narrow" w:hAnsi="Arial Narrow" w:cs="Calibri"/>
                <w:sz w:val="14"/>
                <w:szCs w:val="14"/>
              </w:rPr>
            </w:pPr>
            <w:r w:rsidRPr="00F00781">
              <w:rPr>
                <w:rFonts w:ascii="Arial Narrow" w:hAnsi="Arial Narrow" w:cs="Calibri"/>
                <w:sz w:val="14"/>
                <w:szCs w:val="14"/>
              </w:rPr>
              <w:t> </w:t>
            </w:r>
          </w:p>
        </w:tc>
        <w:tc>
          <w:tcPr>
            <w:tcW w:w="721" w:type="dxa"/>
            <w:tcBorders>
              <w:top w:val="nil"/>
              <w:left w:val="nil"/>
              <w:bottom w:val="single" w:sz="4" w:space="0" w:color="auto"/>
              <w:right w:val="single" w:sz="4" w:space="0" w:color="auto"/>
            </w:tcBorders>
            <w:shd w:val="clear" w:color="auto" w:fill="auto"/>
            <w:vAlign w:val="center"/>
            <w:hideMark/>
          </w:tcPr>
          <w:p w14:paraId="08130EC2" w14:textId="77777777" w:rsidR="00F00781" w:rsidRPr="00F00781" w:rsidRDefault="00F00781" w:rsidP="00F00781">
            <w:pPr>
              <w:rPr>
                <w:rFonts w:ascii="Arial Narrow" w:hAnsi="Arial Narrow" w:cs="Calibri"/>
                <w:sz w:val="14"/>
                <w:szCs w:val="14"/>
              </w:rPr>
            </w:pPr>
            <w:r w:rsidRPr="00F00781">
              <w:rPr>
                <w:rFonts w:ascii="Arial Narrow" w:hAnsi="Arial Narrow" w:cs="Calibri"/>
                <w:sz w:val="14"/>
                <w:szCs w:val="14"/>
              </w:rPr>
              <w:t> </w:t>
            </w:r>
          </w:p>
        </w:tc>
        <w:tc>
          <w:tcPr>
            <w:tcW w:w="698" w:type="dxa"/>
            <w:tcBorders>
              <w:top w:val="nil"/>
              <w:left w:val="nil"/>
              <w:bottom w:val="single" w:sz="4" w:space="0" w:color="auto"/>
              <w:right w:val="single" w:sz="4" w:space="0" w:color="auto"/>
            </w:tcBorders>
            <w:shd w:val="clear" w:color="auto" w:fill="auto"/>
            <w:vAlign w:val="center"/>
            <w:hideMark/>
          </w:tcPr>
          <w:p w14:paraId="5E29E58B" w14:textId="77777777" w:rsidR="00F00781" w:rsidRPr="00F00781" w:rsidRDefault="00F00781" w:rsidP="00F00781">
            <w:pPr>
              <w:rPr>
                <w:rFonts w:ascii="Arial Narrow" w:hAnsi="Arial Narrow" w:cs="Calibri"/>
                <w:sz w:val="14"/>
                <w:szCs w:val="14"/>
              </w:rPr>
            </w:pPr>
            <w:r w:rsidRPr="00F00781">
              <w:rPr>
                <w:rFonts w:ascii="Arial Narrow" w:hAnsi="Arial Narrow" w:cs="Calibri"/>
                <w:sz w:val="14"/>
                <w:szCs w:val="14"/>
              </w:rPr>
              <w:t> </w:t>
            </w:r>
          </w:p>
        </w:tc>
        <w:tc>
          <w:tcPr>
            <w:tcW w:w="765" w:type="dxa"/>
            <w:tcBorders>
              <w:top w:val="nil"/>
              <w:left w:val="nil"/>
              <w:bottom w:val="single" w:sz="4" w:space="0" w:color="auto"/>
              <w:right w:val="single" w:sz="4" w:space="0" w:color="auto"/>
            </w:tcBorders>
            <w:shd w:val="clear" w:color="auto" w:fill="auto"/>
            <w:vAlign w:val="center"/>
            <w:hideMark/>
          </w:tcPr>
          <w:p w14:paraId="0857E0C3" w14:textId="77777777" w:rsidR="00F00781" w:rsidRPr="00F00781" w:rsidRDefault="00F00781" w:rsidP="00F00781">
            <w:pPr>
              <w:rPr>
                <w:rFonts w:ascii="Arial Narrow" w:hAnsi="Arial Narrow" w:cs="Calibri"/>
                <w:sz w:val="14"/>
                <w:szCs w:val="14"/>
              </w:rPr>
            </w:pPr>
            <w:r w:rsidRPr="00F00781">
              <w:rPr>
                <w:rFonts w:ascii="Arial Narrow" w:hAnsi="Arial Narrow" w:cs="Calibri"/>
                <w:sz w:val="14"/>
                <w:szCs w:val="14"/>
              </w:rPr>
              <w:t> </w:t>
            </w:r>
          </w:p>
        </w:tc>
        <w:tc>
          <w:tcPr>
            <w:tcW w:w="970" w:type="dxa"/>
            <w:tcBorders>
              <w:top w:val="nil"/>
              <w:left w:val="nil"/>
              <w:bottom w:val="single" w:sz="4" w:space="0" w:color="auto"/>
              <w:right w:val="single" w:sz="4" w:space="0" w:color="auto"/>
            </w:tcBorders>
            <w:shd w:val="clear" w:color="auto" w:fill="auto"/>
            <w:vAlign w:val="center"/>
            <w:hideMark/>
          </w:tcPr>
          <w:p w14:paraId="2E565575" w14:textId="77777777" w:rsidR="00F00781" w:rsidRPr="00F00781" w:rsidRDefault="00F00781" w:rsidP="00F00781">
            <w:pPr>
              <w:rPr>
                <w:rFonts w:ascii="Arial Narrow" w:hAnsi="Arial Narrow" w:cs="Calibri"/>
                <w:sz w:val="14"/>
                <w:szCs w:val="14"/>
              </w:rPr>
            </w:pPr>
            <w:r w:rsidRPr="00F00781">
              <w:rPr>
                <w:rFonts w:ascii="Arial Narrow" w:hAnsi="Arial Narrow" w:cs="Calibri"/>
                <w:sz w:val="14"/>
                <w:szCs w:val="14"/>
              </w:rPr>
              <w:t> </w:t>
            </w:r>
          </w:p>
        </w:tc>
        <w:tc>
          <w:tcPr>
            <w:tcW w:w="602" w:type="dxa"/>
            <w:tcBorders>
              <w:top w:val="nil"/>
              <w:left w:val="nil"/>
              <w:bottom w:val="single" w:sz="4" w:space="0" w:color="auto"/>
              <w:right w:val="single" w:sz="4" w:space="0" w:color="auto"/>
            </w:tcBorders>
            <w:shd w:val="clear" w:color="auto" w:fill="auto"/>
            <w:vAlign w:val="center"/>
            <w:hideMark/>
          </w:tcPr>
          <w:p w14:paraId="41194152" w14:textId="77777777" w:rsidR="00F00781" w:rsidRPr="00F00781" w:rsidRDefault="00F00781" w:rsidP="00F00781">
            <w:pPr>
              <w:rPr>
                <w:rFonts w:ascii="Arial Narrow" w:hAnsi="Arial Narrow" w:cs="Calibri"/>
                <w:sz w:val="14"/>
                <w:szCs w:val="14"/>
              </w:rPr>
            </w:pPr>
            <w:r w:rsidRPr="00F00781">
              <w:rPr>
                <w:rFonts w:ascii="Arial Narrow" w:hAnsi="Arial Narrow" w:cs="Calibri"/>
                <w:sz w:val="14"/>
                <w:szCs w:val="14"/>
              </w:rPr>
              <w:t> </w:t>
            </w:r>
          </w:p>
        </w:tc>
        <w:tc>
          <w:tcPr>
            <w:tcW w:w="697" w:type="dxa"/>
            <w:tcBorders>
              <w:top w:val="nil"/>
              <w:left w:val="nil"/>
              <w:bottom w:val="single" w:sz="4" w:space="0" w:color="auto"/>
              <w:right w:val="single" w:sz="4" w:space="0" w:color="auto"/>
            </w:tcBorders>
            <w:shd w:val="clear" w:color="auto" w:fill="auto"/>
            <w:vAlign w:val="center"/>
            <w:hideMark/>
          </w:tcPr>
          <w:p w14:paraId="00EBBC23" w14:textId="77777777" w:rsidR="00F00781" w:rsidRPr="00F00781" w:rsidRDefault="00F00781" w:rsidP="00F00781">
            <w:pPr>
              <w:rPr>
                <w:rFonts w:ascii="Arial Narrow" w:hAnsi="Arial Narrow" w:cs="Calibri"/>
                <w:sz w:val="14"/>
                <w:szCs w:val="14"/>
              </w:rPr>
            </w:pPr>
            <w:r w:rsidRPr="00F00781">
              <w:rPr>
                <w:rFonts w:ascii="Arial Narrow" w:hAnsi="Arial Narrow" w:cs="Calibri"/>
                <w:sz w:val="14"/>
                <w:szCs w:val="14"/>
              </w:rPr>
              <w:t> </w:t>
            </w:r>
          </w:p>
        </w:tc>
        <w:tc>
          <w:tcPr>
            <w:tcW w:w="869" w:type="dxa"/>
            <w:tcBorders>
              <w:top w:val="nil"/>
              <w:left w:val="nil"/>
              <w:bottom w:val="single" w:sz="4" w:space="0" w:color="auto"/>
              <w:right w:val="single" w:sz="4" w:space="0" w:color="auto"/>
            </w:tcBorders>
            <w:shd w:val="clear" w:color="auto" w:fill="auto"/>
            <w:vAlign w:val="center"/>
            <w:hideMark/>
          </w:tcPr>
          <w:p w14:paraId="6E9D39EB"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38,5</w:t>
            </w:r>
          </w:p>
        </w:tc>
      </w:tr>
      <w:tr w:rsidR="00F00781" w:rsidRPr="00F00781" w14:paraId="5F0BA4E5" w14:textId="77777777" w:rsidTr="00E01BBF">
        <w:trPr>
          <w:trHeight w:val="196"/>
        </w:trPr>
        <w:tc>
          <w:tcPr>
            <w:tcW w:w="632" w:type="dxa"/>
            <w:tcBorders>
              <w:top w:val="nil"/>
              <w:left w:val="single" w:sz="4" w:space="0" w:color="auto"/>
              <w:bottom w:val="single" w:sz="4" w:space="0" w:color="auto"/>
              <w:right w:val="single" w:sz="4" w:space="0" w:color="auto"/>
            </w:tcBorders>
            <w:shd w:val="clear" w:color="auto" w:fill="auto"/>
            <w:vAlign w:val="center"/>
            <w:hideMark/>
          </w:tcPr>
          <w:p w14:paraId="14160632" w14:textId="77777777" w:rsidR="00F00781" w:rsidRPr="00F00781" w:rsidRDefault="00F00781" w:rsidP="005232AE">
            <w:pPr>
              <w:rPr>
                <w:rFonts w:ascii="Arial Narrow" w:hAnsi="Arial Narrow" w:cs="Calibri"/>
                <w:sz w:val="14"/>
                <w:szCs w:val="14"/>
              </w:rPr>
            </w:pPr>
            <w:r w:rsidRPr="00F00781">
              <w:rPr>
                <w:rFonts w:ascii="Arial Narrow" w:hAnsi="Arial Narrow" w:cs="Calibri"/>
                <w:sz w:val="14"/>
                <w:szCs w:val="14"/>
              </w:rPr>
              <w:t xml:space="preserve"> 17.1/5</w:t>
            </w:r>
          </w:p>
        </w:tc>
        <w:tc>
          <w:tcPr>
            <w:tcW w:w="1671" w:type="dxa"/>
            <w:tcBorders>
              <w:top w:val="nil"/>
              <w:left w:val="nil"/>
              <w:bottom w:val="single" w:sz="4" w:space="0" w:color="auto"/>
              <w:right w:val="single" w:sz="4" w:space="0" w:color="auto"/>
            </w:tcBorders>
            <w:shd w:val="clear" w:color="auto" w:fill="auto"/>
            <w:vAlign w:val="center"/>
            <w:hideMark/>
          </w:tcPr>
          <w:p w14:paraId="2BF86AF5" w14:textId="77777777" w:rsidR="00F00781" w:rsidRPr="00F00781" w:rsidRDefault="00F00781" w:rsidP="00F00781">
            <w:pPr>
              <w:ind w:firstLineChars="100" w:firstLine="140"/>
              <w:rPr>
                <w:rFonts w:ascii="Arial Narrow" w:hAnsi="Arial Narrow" w:cs="Calibri"/>
                <w:sz w:val="14"/>
                <w:szCs w:val="14"/>
              </w:rPr>
            </w:pPr>
            <w:r w:rsidRPr="00F00781">
              <w:rPr>
                <w:rFonts w:ascii="Arial Narrow" w:hAnsi="Arial Narrow" w:cs="Calibri"/>
                <w:sz w:val="14"/>
                <w:szCs w:val="14"/>
              </w:rPr>
              <w:t>- животни</w:t>
            </w:r>
          </w:p>
        </w:tc>
        <w:tc>
          <w:tcPr>
            <w:tcW w:w="773" w:type="dxa"/>
            <w:tcBorders>
              <w:top w:val="nil"/>
              <w:left w:val="nil"/>
              <w:bottom w:val="single" w:sz="4" w:space="0" w:color="auto"/>
              <w:right w:val="single" w:sz="4" w:space="0" w:color="auto"/>
            </w:tcBorders>
            <w:shd w:val="clear" w:color="auto" w:fill="auto"/>
            <w:vAlign w:val="center"/>
            <w:hideMark/>
          </w:tcPr>
          <w:p w14:paraId="742BF4B8"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60,4</w:t>
            </w:r>
          </w:p>
        </w:tc>
        <w:tc>
          <w:tcPr>
            <w:tcW w:w="582" w:type="dxa"/>
            <w:tcBorders>
              <w:top w:val="nil"/>
              <w:left w:val="nil"/>
              <w:bottom w:val="single" w:sz="4" w:space="0" w:color="auto"/>
              <w:right w:val="single" w:sz="4" w:space="0" w:color="auto"/>
            </w:tcBorders>
            <w:shd w:val="clear" w:color="auto" w:fill="auto"/>
            <w:vAlign w:val="center"/>
            <w:hideMark/>
          </w:tcPr>
          <w:p w14:paraId="55582E21" w14:textId="77777777" w:rsidR="00F00781" w:rsidRPr="00F00781" w:rsidRDefault="00F00781" w:rsidP="00F00781">
            <w:pPr>
              <w:rPr>
                <w:rFonts w:ascii="Arial Narrow" w:hAnsi="Arial Narrow" w:cs="Calibri"/>
                <w:sz w:val="14"/>
                <w:szCs w:val="14"/>
              </w:rPr>
            </w:pPr>
            <w:r w:rsidRPr="00F00781">
              <w:rPr>
                <w:rFonts w:ascii="Arial Narrow" w:hAnsi="Arial Narrow" w:cs="Calibri"/>
                <w:sz w:val="14"/>
                <w:szCs w:val="14"/>
              </w:rPr>
              <w:t> </w:t>
            </w:r>
          </w:p>
        </w:tc>
        <w:tc>
          <w:tcPr>
            <w:tcW w:w="681" w:type="dxa"/>
            <w:tcBorders>
              <w:top w:val="nil"/>
              <w:left w:val="nil"/>
              <w:bottom w:val="single" w:sz="4" w:space="0" w:color="auto"/>
              <w:right w:val="single" w:sz="4" w:space="0" w:color="auto"/>
            </w:tcBorders>
            <w:shd w:val="clear" w:color="auto" w:fill="auto"/>
            <w:vAlign w:val="center"/>
            <w:hideMark/>
          </w:tcPr>
          <w:p w14:paraId="32EE886C" w14:textId="77777777" w:rsidR="00F00781" w:rsidRPr="00F00781" w:rsidRDefault="00F00781" w:rsidP="00F00781">
            <w:pPr>
              <w:rPr>
                <w:rFonts w:ascii="Arial Narrow" w:hAnsi="Arial Narrow" w:cs="Calibri"/>
                <w:sz w:val="14"/>
                <w:szCs w:val="14"/>
              </w:rPr>
            </w:pPr>
            <w:r w:rsidRPr="00F00781">
              <w:rPr>
                <w:rFonts w:ascii="Arial Narrow" w:hAnsi="Arial Narrow" w:cs="Calibri"/>
                <w:sz w:val="14"/>
                <w:szCs w:val="14"/>
              </w:rPr>
              <w:t> </w:t>
            </w:r>
          </w:p>
        </w:tc>
        <w:tc>
          <w:tcPr>
            <w:tcW w:w="789" w:type="dxa"/>
            <w:tcBorders>
              <w:top w:val="nil"/>
              <w:left w:val="nil"/>
              <w:bottom w:val="single" w:sz="4" w:space="0" w:color="auto"/>
              <w:right w:val="single" w:sz="4" w:space="0" w:color="auto"/>
            </w:tcBorders>
            <w:shd w:val="clear" w:color="auto" w:fill="auto"/>
            <w:vAlign w:val="center"/>
            <w:hideMark/>
          </w:tcPr>
          <w:p w14:paraId="03F46850" w14:textId="77777777" w:rsidR="00F00781" w:rsidRPr="00F00781" w:rsidRDefault="00F00781" w:rsidP="00F00781">
            <w:pPr>
              <w:rPr>
                <w:rFonts w:ascii="Arial Narrow" w:hAnsi="Arial Narrow" w:cs="Calibri"/>
                <w:sz w:val="14"/>
                <w:szCs w:val="14"/>
              </w:rPr>
            </w:pPr>
            <w:r w:rsidRPr="00F00781">
              <w:rPr>
                <w:rFonts w:ascii="Arial Narrow" w:hAnsi="Arial Narrow" w:cs="Calibri"/>
                <w:sz w:val="14"/>
                <w:szCs w:val="14"/>
              </w:rPr>
              <w:t> </w:t>
            </w:r>
          </w:p>
        </w:tc>
        <w:tc>
          <w:tcPr>
            <w:tcW w:w="693" w:type="dxa"/>
            <w:tcBorders>
              <w:top w:val="nil"/>
              <w:left w:val="nil"/>
              <w:bottom w:val="single" w:sz="4" w:space="0" w:color="auto"/>
              <w:right w:val="single" w:sz="4" w:space="0" w:color="auto"/>
            </w:tcBorders>
            <w:shd w:val="clear" w:color="auto" w:fill="auto"/>
            <w:vAlign w:val="center"/>
            <w:hideMark/>
          </w:tcPr>
          <w:p w14:paraId="525266B4" w14:textId="77777777" w:rsidR="00F00781" w:rsidRPr="00F00781" w:rsidRDefault="00F00781" w:rsidP="00F00781">
            <w:pPr>
              <w:rPr>
                <w:rFonts w:ascii="Arial Narrow" w:hAnsi="Arial Narrow" w:cs="Calibri"/>
                <w:sz w:val="14"/>
                <w:szCs w:val="14"/>
              </w:rPr>
            </w:pPr>
            <w:r w:rsidRPr="00F00781">
              <w:rPr>
                <w:rFonts w:ascii="Arial Narrow" w:hAnsi="Arial Narrow" w:cs="Calibri"/>
                <w:sz w:val="14"/>
                <w:szCs w:val="14"/>
              </w:rPr>
              <w:t> </w:t>
            </w:r>
          </w:p>
        </w:tc>
        <w:tc>
          <w:tcPr>
            <w:tcW w:w="537" w:type="dxa"/>
            <w:tcBorders>
              <w:top w:val="nil"/>
              <w:left w:val="nil"/>
              <w:bottom w:val="single" w:sz="4" w:space="0" w:color="auto"/>
              <w:right w:val="single" w:sz="4" w:space="0" w:color="auto"/>
            </w:tcBorders>
            <w:shd w:val="clear" w:color="auto" w:fill="auto"/>
            <w:vAlign w:val="center"/>
            <w:hideMark/>
          </w:tcPr>
          <w:p w14:paraId="3E3AF696" w14:textId="77777777" w:rsidR="00F00781" w:rsidRPr="00F00781" w:rsidRDefault="00F00781" w:rsidP="00F00781">
            <w:pPr>
              <w:rPr>
                <w:rFonts w:ascii="Arial Narrow" w:hAnsi="Arial Narrow" w:cs="Calibri"/>
                <w:sz w:val="14"/>
                <w:szCs w:val="14"/>
              </w:rPr>
            </w:pPr>
            <w:r w:rsidRPr="00F00781">
              <w:rPr>
                <w:rFonts w:ascii="Arial Narrow" w:hAnsi="Arial Narrow" w:cs="Calibri"/>
                <w:sz w:val="14"/>
                <w:szCs w:val="14"/>
              </w:rPr>
              <w:t> </w:t>
            </w:r>
          </w:p>
        </w:tc>
        <w:tc>
          <w:tcPr>
            <w:tcW w:w="1143" w:type="dxa"/>
            <w:tcBorders>
              <w:top w:val="nil"/>
              <w:left w:val="nil"/>
              <w:bottom w:val="single" w:sz="4" w:space="0" w:color="auto"/>
              <w:right w:val="single" w:sz="4" w:space="0" w:color="auto"/>
            </w:tcBorders>
            <w:shd w:val="clear" w:color="auto" w:fill="auto"/>
            <w:vAlign w:val="center"/>
            <w:hideMark/>
          </w:tcPr>
          <w:p w14:paraId="7712A13F" w14:textId="77777777" w:rsidR="00F00781" w:rsidRPr="00F00781" w:rsidRDefault="00F00781" w:rsidP="00F00781">
            <w:pPr>
              <w:rPr>
                <w:rFonts w:ascii="Arial Narrow" w:hAnsi="Arial Narrow" w:cs="Calibri"/>
                <w:sz w:val="14"/>
                <w:szCs w:val="14"/>
              </w:rPr>
            </w:pPr>
            <w:r w:rsidRPr="00F00781">
              <w:rPr>
                <w:rFonts w:ascii="Arial Narrow" w:hAnsi="Arial Narrow" w:cs="Calibri"/>
                <w:sz w:val="14"/>
                <w:szCs w:val="14"/>
              </w:rPr>
              <w:t> </w:t>
            </w:r>
          </w:p>
        </w:tc>
        <w:tc>
          <w:tcPr>
            <w:tcW w:w="1200" w:type="dxa"/>
            <w:tcBorders>
              <w:top w:val="nil"/>
              <w:left w:val="nil"/>
              <w:bottom w:val="single" w:sz="4" w:space="0" w:color="auto"/>
              <w:right w:val="single" w:sz="4" w:space="0" w:color="auto"/>
            </w:tcBorders>
            <w:shd w:val="clear" w:color="auto" w:fill="auto"/>
            <w:vAlign w:val="center"/>
            <w:hideMark/>
          </w:tcPr>
          <w:p w14:paraId="20C0D60A"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60,4</w:t>
            </w:r>
          </w:p>
        </w:tc>
        <w:tc>
          <w:tcPr>
            <w:tcW w:w="721" w:type="dxa"/>
            <w:tcBorders>
              <w:top w:val="nil"/>
              <w:left w:val="nil"/>
              <w:bottom w:val="single" w:sz="4" w:space="0" w:color="auto"/>
              <w:right w:val="single" w:sz="4" w:space="0" w:color="auto"/>
            </w:tcBorders>
            <w:shd w:val="clear" w:color="auto" w:fill="auto"/>
            <w:vAlign w:val="center"/>
            <w:hideMark/>
          </w:tcPr>
          <w:p w14:paraId="20E003B1" w14:textId="77777777" w:rsidR="00F00781" w:rsidRPr="00F00781" w:rsidRDefault="00F00781" w:rsidP="00F00781">
            <w:pPr>
              <w:rPr>
                <w:rFonts w:ascii="Arial Narrow" w:hAnsi="Arial Narrow" w:cs="Calibri"/>
                <w:sz w:val="14"/>
                <w:szCs w:val="14"/>
              </w:rPr>
            </w:pPr>
            <w:r w:rsidRPr="00F00781">
              <w:rPr>
                <w:rFonts w:ascii="Arial Narrow" w:hAnsi="Arial Narrow" w:cs="Calibri"/>
                <w:sz w:val="14"/>
                <w:szCs w:val="14"/>
              </w:rPr>
              <w:t> </w:t>
            </w:r>
          </w:p>
        </w:tc>
        <w:tc>
          <w:tcPr>
            <w:tcW w:w="721" w:type="dxa"/>
            <w:tcBorders>
              <w:top w:val="nil"/>
              <w:left w:val="nil"/>
              <w:bottom w:val="single" w:sz="4" w:space="0" w:color="auto"/>
              <w:right w:val="single" w:sz="4" w:space="0" w:color="auto"/>
            </w:tcBorders>
            <w:shd w:val="clear" w:color="auto" w:fill="auto"/>
            <w:vAlign w:val="center"/>
            <w:hideMark/>
          </w:tcPr>
          <w:p w14:paraId="4CFA70C5" w14:textId="77777777" w:rsidR="00F00781" w:rsidRPr="00F00781" w:rsidRDefault="00F00781" w:rsidP="00F00781">
            <w:pPr>
              <w:rPr>
                <w:rFonts w:ascii="Arial Narrow" w:hAnsi="Arial Narrow" w:cs="Calibri"/>
                <w:sz w:val="14"/>
                <w:szCs w:val="14"/>
              </w:rPr>
            </w:pPr>
            <w:r w:rsidRPr="00F00781">
              <w:rPr>
                <w:rFonts w:ascii="Arial Narrow" w:hAnsi="Arial Narrow" w:cs="Calibri"/>
                <w:sz w:val="14"/>
                <w:szCs w:val="14"/>
              </w:rPr>
              <w:t> </w:t>
            </w:r>
          </w:p>
        </w:tc>
        <w:tc>
          <w:tcPr>
            <w:tcW w:w="698" w:type="dxa"/>
            <w:tcBorders>
              <w:top w:val="nil"/>
              <w:left w:val="nil"/>
              <w:bottom w:val="single" w:sz="4" w:space="0" w:color="auto"/>
              <w:right w:val="single" w:sz="4" w:space="0" w:color="auto"/>
            </w:tcBorders>
            <w:shd w:val="clear" w:color="auto" w:fill="auto"/>
            <w:vAlign w:val="center"/>
            <w:hideMark/>
          </w:tcPr>
          <w:p w14:paraId="3EC51CBE" w14:textId="77777777" w:rsidR="00F00781" w:rsidRPr="00F00781" w:rsidRDefault="00F00781" w:rsidP="00F00781">
            <w:pPr>
              <w:rPr>
                <w:rFonts w:ascii="Arial Narrow" w:hAnsi="Arial Narrow" w:cs="Calibri"/>
                <w:sz w:val="14"/>
                <w:szCs w:val="14"/>
              </w:rPr>
            </w:pPr>
            <w:r w:rsidRPr="00F00781">
              <w:rPr>
                <w:rFonts w:ascii="Arial Narrow" w:hAnsi="Arial Narrow" w:cs="Calibri"/>
                <w:sz w:val="14"/>
                <w:szCs w:val="14"/>
              </w:rPr>
              <w:t> </w:t>
            </w:r>
          </w:p>
        </w:tc>
        <w:tc>
          <w:tcPr>
            <w:tcW w:w="765" w:type="dxa"/>
            <w:tcBorders>
              <w:top w:val="nil"/>
              <w:left w:val="nil"/>
              <w:bottom w:val="single" w:sz="4" w:space="0" w:color="auto"/>
              <w:right w:val="single" w:sz="4" w:space="0" w:color="auto"/>
            </w:tcBorders>
            <w:shd w:val="clear" w:color="auto" w:fill="auto"/>
            <w:vAlign w:val="center"/>
            <w:hideMark/>
          </w:tcPr>
          <w:p w14:paraId="2AEC836F" w14:textId="77777777" w:rsidR="00F00781" w:rsidRPr="00F00781" w:rsidRDefault="00F00781" w:rsidP="00F00781">
            <w:pPr>
              <w:rPr>
                <w:rFonts w:ascii="Arial Narrow" w:hAnsi="Arial Narrow" w:cs="Calibri"/>
                <w:sz w:val="14"/>
                <w:szCs w:val="14"/>
              </w:rPr>
            </w:pPr>
            <w:r w:rsidRPr="00F00781">
              <w:rPr>
                <w:rFonts w:ascii="Arial Narrow" w:hAnsi="Arial Narrow" w:cs="Calibri"/>
                <w:sz w:val="14"/>
                <w:szCs w:val="14"/>
              </w:rPr>
              <w:t> </w:t>
            </w:r>
          </w:p>
        </w:tc>
        <w:tc>
          <w:tcPr>
            <w:tcW w:w="970" w:type="dxa"/>
            <w:tcBorders>
              <w:top w:val="nil"/>
              <w:left w:val="nil"/>
              <w:bottom w:val="single" w:sz="4" w:space="0" w:color="auto"/>
              <w:right w:val="single" w:sz="4" w:space="0" w:color="auto"/>
            </w:tcBorders>
            <w:shd w:val="clear" w:color="auto" w:fill="auto"/>
            <w:vAlign w:val="center"/>
            <w:hideMark/>
          </w:tcPr>
          <w:p w14:paraId="4E7B0E11" w14:textId="77777777" w:rsidR="00F00781" w:rsidRPr="00F00781" w:rsidRDefault="00F00781" w:rsidP="00F00781">
            <w:pPr>
              <w:rPr>
                <w:rFonts w:ascii="Arial Narrow" w:hAnsi="Arial Narrow" w:cs="Calibri"/>
                <w:sz w:val="14"/>
                <w:szCs w:val="14"/>
              </w:rPr>
            </w:pPr>
            <w:r w:rsidRPr="00F00781">
              <w:rPr>
                <w:rFonts w:ascii="Arial Narrow" w:hAnsi="Arial Narrow" w:cs="Calibri"/>
                <w:sz w:val="14"/>
                <w:szCs w:val="14"/>
              </w:rPr>
              <w:t> </w:t>
            </w:r>
          </w:p>
        </w:tc>
        <w:tc>
          <w:tcPr>
            <w:tcW w:w="602" w:type="dxa"/>
            <w:tcBorders>
              <w:top w:val="nil"/>
              <w:left w:val="nil"/>
              <w:bottom w:val="single" w:sz="4" w:space="0" w:color="auto"/>
              <w:right w:val="single" w:sz="4" w:space="0" w:color="auto"/>
            </w:tcBorders>
            <w:shd w:val="clear" w:color="auto" w:fill="auto"/>
            <w:vAlign w:val="center"/>
            <w:hideMark/>
          </w:tcPr>
          <w:p w14:paraId="61D78CB9" w14:textId="77777777" w:rsidR="00F00781" w:rsidRPr="00F00781" w:rsidRDefault="00F00781" w:rsidP="00F00781">
            <w:pPr>
              <w:rPr>
                <w:rFonts w:ascii="Arial Narrow" w:hAnsi="Arial Narrow" w:cs="Calibri"/>
                <w:sz w:val="14"/>
                <w:szCs w:val="14"/>
              </w:rPr>
            </w:pPr>
            <w:r w:rsidRPr="00F00781">
              <w:rPr>
                <w:rFonts w:ascii="Arial Narrow" w:hAnsi="Arial Narrow" w:cs="Calibri"/>
                <w:sz w:val="14"/>
                <w:szCs w:val="14"/>
              </w:rPr>
              <w:t> </w:t>
            </w:r>
          </w:p>
        </w:tc>
        <w:tc>
          <w:tcPr>
            <w:tcW w:w="697" w:type="dxa"/>
            <w:tcBorders>
              <w:top w:val="nil"/>
              <w:left w:val="nil"/>
              <w:bottom w:val="single" w:sz="4" w:space="0" w:color="auto"/>
              <w:right w:val="single" w:sz="4" w:space="0" w:color="auto"/>
            </w:tcBorders>
            <w:shd w:val="clear" w:color="auto" w:fill="auto"/>
            <w:vAlign w:val="center"/>
            <w:hideMark/>
          </w:tcPr>
          <w:p w14:paraId="253E7A4A" w14:textId="77777777" w:rsidR="00F00781" w:rsidRPr="00F00781" w:rsidRDefault="00F00781" w:rsidP="00F00781">
            <w:pPr>
              <w:rPr>
                <w:rFonts w:ascii="Arial Narrow" w:hAnsi="Arial Narrow" w:cs="Calibri"/>
                <w:sz w:val="14"/>
                <w:szCs w:val="14"/>
              </w:rPr>
            </w:pPr>
            <w:r w:rsidRPr="00F00781">
              <w:rPr>
                <w:rFonts w:ascii="Arial Narrow" w:hAnsi="Arial Narrow" w:cs="Calibri"/>
                <w:sz w:val="14"/>
                <w:szCs w:val="14"/>
              </w:rPr>
              <w:t> </w:t>
            </w:r>
          </w:p>
        </w:tc>
        <w:tc>
          <w:tcPr>
            <w:tcW w:w="869" w:type="dxa"/>
            <w:tcBorders>
              <w:top w:val="nil"/>
              <w:left w:val="nil"/>
              <w:bottom w:val="single" w:sz="4" w:space="0" w:color="auto"/>
              <w:right w:val="single" w:sz="4" w:space="0" w:color="auto"/>
            </w:tcBorders>
            <w:shd w:val="clear" w:color="auto" w:fill="auto"/>
            <w:vAlign w:val="center"/>
            <w:hideMark/>
          </w:tcPr>
          <w:p w14:paraId="68E61DA1"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60,4</w:t>
            </w:r>
          </w:p>
        </w:tc>
      </w:tr>
      <w:tr w:rsidR="00F00781" w:rsidRPr="00F00781" w14:paraId="68772423" w14:textId="77777777" w:rsidTr="00E01BBF">
        <w:trPr>
          <w:trHeight w:val="196"/>
        </w:trPr>
        <w:tc>
          <w:tcPr>
            <w:tcW w:w="632" w:type="dxa"/>
            <w:tcBorders>
              <w:top w:val="nil"/>
              <w:left w:val="single" w:sz="4" w:space="0" w:color="auto"/>
              <w:bottom w:val="single" w:sz="4" w:space="0" w:color="auto"/>
              <w:right w:val="single" w:sz="4" w:space="0" w:color="auto"/>
            </w:tcBorders>
            <w:shd w:val="clear" w:color="auto" w:fill="auto"/>
            <w:vAlign w:val="center"/>
            <w:hideMark/>
          </w:tcPr>
          <w:p w14:paraId="5CC1C53F" w14:textId="77777777" w:rsidR="00F00781" w:rsidRPr="00F00781" w:rsidRDefault="00F00781" w:rsidP="005232AE">
            <w:pPr>
              <w:rPr>
                <w:rFonts w:ascii="Arial Narrow" w:hAnsi="Arial Narrow" w:cs="Calibri"/>
                <w:sz w:val="14"/>
                <w:szCs w:val="14"/>
              </w:rPr>
            </w:pPr>
            <w:r w:rsidRPr="00F00781">
              <w:rPr>
                <w:rFonts w:ascii="Arial Narrow" w:hAnsi="Arial Narrow" w:cs="Calibri"/>
                <w:sz w:val="14"/>
                <w:szCs w:val="14"/>
              </w:rPr>
              <w:t xml:space="preserve"> 17.1/6</w:t>
            </w:r>
          </w:p>
        </w:tc>
        <w:tc>
          <w:tcPr>
            <w:tcW w:w="1671" w:type="dxa"/>
            <w:tcBorders>
              <w:top w:val="nil"/>
              <w:left w:val="nil"/>
              <w:bottom w:val="single" w:sz="4" w:space="0" w:color="auto"/>
              <w:right w:val="single" w:sz="4" w:space="0" w:color="auto"/>
            </w:tcBorders>
            <w:shd w:val="clear" w:color="auto" w:fill="auto"/>
            <w:vAlign w:val="center"/>
            <w:hideMark/>
          </w:tcPr>
          <w:p w14:paraId="10B8FCD9" w14:textId="77777777" w:rsidR="00F00781" w:rsidRPr="00F00781" w:rsidRDefault="00F00781" w:rsidP="00F00781">
            <w:pPr>
              <w:ind w:firstLineChars="100" w:firstLine="140"/>
              <w:rPr>
                <w:rFonts w:ascii="Arial Narrow" w:hAnsi="Arial Narrow" w:cs="Calibri"/>
                <w:sz w:val="14"/>
                <w:szCs w:val="14"/>
              </w:rPr>
            </w:pPr>
            <w:r w:rsidRPr="00F00781">
              <w:rPr>
                <w:rFonts w:ascii="Arial Narrow" w:hAnsi="Arial Narrow" w:cs="Calibri"/>
                <w:sz w:val="14"/>
                <w:szCs w:val="14"/>
              </w:rPr>
              <w:t>- животински продукти</w:t>
            </w:r>
          </w:p>
        </w:tc>
        <w:tc>
          <w:tcPr>
            <w:tcW w:w="773" w:type="dxa"/>
            <w:tcBorders>
              <w:top w:val="nil"/>
              <w:left w:val="nil"/>
              <w:bottom w:val="single" w:sz="4" w:space="0" w:color="auto"/>
              <w:right w:val="single" w:sz="4" w:space="0" w:color="auto"/>
            </w:tcBorders>
            <w:shd w:val="clear" w:color="auto" w:fill="auto"/>
            <w:vAlign w:val="center"/>
            <w:hideMark/>
          </w:tcPr>
          <w:p w14:paraId="23C8C715"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121,9</w:t>
            </w:r>
          </w:p>
        </w:tc>
        <w:tc>
          <w:tcPr>
            <w:tcW w:w="582" w:type="dxa"/>
            <w:tcBorders>
              <w:top w:val="nil"/>
              <w:left w:val="nil"/>
              <w:bottom w:val="single" w:sz="4" w:space="0" w:color="auto"/>
              <w:right w:val="single" w:sz="4" w:space="0" w:color="auto"/>
            </w:tcBorders>
            <w:shd w:val="clear" w:color="auto" w:fill="auto"/>
            <w:vAlign w:val="center"/>
            <w:hideMark/>
          </w:tcPr>
          <w:p w14:paraId="688A3795" w14:textId="77777777" w:rsidR="00F00781" w:rsidRPr="00F00781" w:rsidRDefault="00F00781" w:rsidP="00F00781">
            <w:pPr>
              <w:rPr>
                <w:rFonts w:ascii="Arial Narrow" w:hAnsi="Arial Narrow" w:cs="Calibri"/>
                <w:sz w:val="14"/>
                <w:szCs w:val="14"/>
              </w:rPr>
            </w:pPr>
            <w:r w:rsidRPr="00F00781">
              <w:rPr>
                <w:rFonts w:ascii="Arial Narrow" w:hAnsi="Arial Narrow" w:cs="Calibri"/>
                <w:sz w:val="14"/>
                <w:szCs w:val="14"/>
              </w:rPr>
              <w:t> </w:t>
            </w:r>
          </w:p>
        </w:tc>
        <w:tc>
          <w:tcPr>
            <w:tcW w:w="681" w:type="dxa"/>
            <w:tcBorders>
              <w:top w:val="nil"/>
              <w:left w:val="nil"/>
              <w:bottom w:val="single" w:sz="4" w:space="0" w:color="auto"/>
              <w:right w:val="single" w:sz="4" w:space="0" w:color="auto"/>
            </w:tcBorders>
            <w:shd w:val="clear" w:color="auto" w:fill="auto"/>
            <w:vAlign w:val="center"/>
            <w:hideMark/>
          </w:tcPr>
          <w:p w14:paraId="19834FDC" w14:textId="77777777" w:rsidR="00F00781" w:rsidRPr="00F00781" w:rsidRDefault="00F00781" w:rsidP="00F00781">
            <w:pPr>
              <w:rPr>
                <w:rFonts w:ascii="Arial Narrow" w:hAnsi="Arial Narrow" w:cs="Calibri"/>
                <w:sz w:val="14"/>
                <w:szCs w:val="14"/>
              </w:rPr>
            </w:pPr>
            <w:r w:rsidRPr="00F00781">
              <w:rPr>
                <w:rFonts w:ascii="Arial Narrow" w:hAnsi="Arial Narrow" w:cs="Calibri"/>
                <w:sz w:val="14"/>
                <w:szCs w:val="14"/>
              </w:rPr>
              <w:t> </w:t>
            </w:r>
          </w:p>
        </w:tc>
        <w:tc>
          <w:tcPr>
            <w:tcW w:w="789" w:type="dxa"/>
            <w:tcBorders>
              <w:top w:val="nil"/>
              <w:left w:val="nil"/>
              <w:bottom w:val="single" w:sz="4" w:space="0" w:color="auto"/>
              <w:right w:val="single" w:sz="4" w:space="0" w:color="auto"/>
            </w:tcBorders>
            <w:shd w:val="clear" w:color="auto" w:fill="auto"/>
            <w:vAlign w:val="center"/>
            <w:hideMark/>
          </w:tcPr>
          <w:p w14:paraId="5D9B60A5" w14:textId="77777777" w:rsidR="00F00781" w:rsidRPr="00F00781" w:rsidRDefault="00F00781" w:rsidP="00F00781">
            <w:pPr>
              <w:rPr>
                <w:rFonts w:ascii="Arial Narrow" w:hAnsi="Arial Narrow" w:cs="Calibri"/>
                <w:sz w:val="14"/>
                <w:szCs w:val="14"/>
              </w:rPr>
            </w:pPr>
            <w:r w:rsidRPr="00F00781">
              <w:rPr>
                <w:rFonts w:ascii="Arial Narrow" w:hAnsi="Arial Narrow" w:cs="Calibri"/>
                <w:sz w:val="14"/>
                <w:szCs w:val="14"/>
              </w:rPr>
              <w:t> </w:t>
            </w:r>
          </w:p>
        </w:tc>
        <w:tc>
          <w:tcPr>
            <w:tcW w:w="693" w:type="dxa"/>
            <w:tcBorders>
              <w:top w:val="nil"/>
              <w:left w:val="nil"/>
              <w:bottom w:val="single" w:sz="4" w:space="0" w:color="auto"/>
              <w:right w:val="single" w:sz="4" w:space="0" w:color="auto"/>
            </w:tcBorders>
            <w:shd w:val="clear" w:color="auto" w:fill="auto"/>
            <w:vAlign w:val="center"/>
            <w:hideMark/>
          </w:tcPr>
          <w:p w14:paraId="2CD77CD9" w14:textId="77777777" w:rsidR="00F00781" w:rsidRPr="00F00781" w:rsidRDefault="00F00781" w:rsidP="00F00781">
            <w:pPr>
              <w:rPr>
                <w:rFonts w:ascii="Arial Narrow" w:hAnsi="Arial Narrow" w:cs="Calibri"/>
                <w:sz w:val="14"/>
                <w:szCs w:val="14"/>
              </w:rPr>
            </w:pPr>
            <w:r w:rsidRPr="00F00781">
              <w:rPr>
                <w:rFonts w:ascii="Arial Narrow" w:hAnsi="Arial Narrow" w:cs="Calibri"/>
                <w:sz w:val="14"/>
                <w:szCs w:val="14"/>
              </w:rPr>
              <w:t> </w:t>
            </w:r>
          </w:p>
        </w:tc>
        <w:tc>
          <w:tcPr>
            <w:tcW w:w="537" w:type="dxa"/>
            <w:tcBorders>
              <w:top w:val="nil"/>
              <w:left w:val="nil"/>
              <w:bottom w:val="single" w:sz="4" w:space="0" w:color="auto"/>
              <w:right w:val="single" w:sz="4" w:space="0" w:color="auto"/>
            </w:tcBorders>
            <w:shd w:val="clear" w:color="auto" w:fill="auto"/>
            <w:vAlign w:val="center"/>
            <w:hideMark/>
          </w:tcPr>
          <w:p w14:paraId="61DD61AE" w14:textId="77777777" w:rsidR="00F00781" w:rsidRPr="00F00781" w:rsidRDefault="00F00781" w:rsidP="00F00781">
            <w:pPr>
              <w:rPr>
                <w:rFonts w:ascii="Arial Narrow" w:hAnsi="Arial Narrow" w:cs="Calibri"/>
                <w:sz w:val="14"/>
                <w:szCs w:val="14"/>
              </w:rPr>
            </w:pPr>
            <w:r w:rsidRPr="00F00781">
              <w:rPr>
                <w:rFonts w:ascii="Arial Narrow" w:hAnsi="Arial Narrow" w:cs="Calibri"/>
                <w:sz w:val="14"/>
                <w:szCs w:val="14"/>
              </w:rPr>
              <w:t> </w:t>
            </w:r>
          </w:p>
        </w:tc>
        <w:tc>
          <w:tcPr>
            <w:tcW w:w="1143" w:type="dxa"/>
            <w:tcBorders>
              <w:top w:val="nil"/>
              <w:left w:val="nil"/>
              <w:bottom w:val="single" w:sz="4" w:space="0" w:color="auto"/>
              <w:right w:val="single" w:sz="4" w:space="0" w:color="auto"/>
            </w:tcBorders>
            <w:shd w:val="clear" w:color="auto" w:fill="auto"/>
            <w:vAlign w:val="center"/>
            <w:hideMark/>
          </w:tcPr>
          <w:p w14:paraId="04F929AE" w14:textId="77777777" w:rsidR="00F00781" w:rsidRPr="00F00781" w:rsidRDefault="00F00781" w:rsidP="00F00781">
            <w:pPr>
              <w:rPr>
                <w:rFonts w:ascii="Arial Narrow" w:hAnsi="Arial Narrow" w:cs="Calibri"/>
                <w:sz w:val="14"/>
                <w:szCs w:val="14"/>
              </w:rPr>
            </w:pPr>
            <w:r w:rsidRPr="00F00781">
              <w:rPr>
                <w:rFonts w:ascii="Arial Narrow" w:hAnsi="Arial Narrow" w:cs="Calibri"/>
                <w:sz w:val="14"/>
                <w:szCs w:val="14"/>
              </w:rPr>
              <w:t> </w:t>
            </w:r>
          </w:p>
        </w:tc>
        <w:tc>
          <w:tcPr>
            <w:tcW w:w="1200" w:type="dxa"/>
            <w:tcBorders>
              <w:top w:val="nil"/>
              <w:left w:val="nil"/>
              <w:bottom w:val="single" w:sz="4" w:space="0" w:color="auto"/>
              <w:right w:val="single" w:sz="4" w:space="0" w:color="auto"/>
            </w:tcBorders>
            <w:shd w:val="clear" w:color="auto" w:fill="auto"/>
            <w:vAlign w:val="center"/>
            <w:hideMark/>
          </w:tcPr>
          <w:p w14:paraId="65C0A70A"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121,9</w:t>
            </w:r>
          </w:p>
        </w:tc>
        <w:tc>
          <w:tcPr>
            <w:tcW w:w="721" w:type="dxa"/>
            <w:tcBorders>
              <w:top w:val="nil"/>
              <w:left w:val="nil"/>
              <w:bottom w:val="single" w:sz="4" w:space="0" w:color="auto"/>
              <w:right w:val="single" w:sz="4" w:space="0" w:color="auto"/>
            </w:tcBorders>
            <w:shd w:val="clear" w:color="auto" w:fill="auto"/>
            <w:vAlign w:val="center"/>
            <w:hideMark/>
          </w:tcPr>
          <w:p w14:paraId="2AD518A1" w14:textId="77777777" w:rsidR="00F00781" w:rsidRPr="00F00781" w:rsidRDefault="00F00781" w:rsidP="00F00781">
            <w:pPr>
              <w:rPr>
                <w:rFonts w:ascii="Arial Narrow" w:hAnsi="Arial Narrow" w:cs="Calibri"/>
                <w:sz w:val="14"/>
                <w:szCs w:val="14"/>
              </w:rPr>
            </w:pPr>
            <w:r w:rsidRPr="00F00781">
              <w:rPr>
                <w:rFonts w:ascii="Arial Narrow" w:hAnsi="Arial Narrow" w:cs="Calibri"/>
                <w:sz w:val="14"/>
                <w:szCs w:val="14"/>
              </w:rPr>
              <w:t> </w:t>
            </w:r>
          </w:p>
        </w:tc>
        <w:tc>
          <w:tcPr>
            <w:tcW w:w="721" w:type="dxa"/>
            <w:tcBorders>
              <w:top w:val="nil"/>
              <w:left w:val="nil"/>
              <w:bottom w:val="single" w:sz="4" w:space="0" w:color="auto"/>
              <w:right w:val="single" w:sz="4" w:space="0" w:color="auto"/>
            </w:tcBorders>
            <w:shd w:val="clear" w:color="auto" w:fill="auto"/>
            <w:vAlign w:val="center"/>
            <w:hideMark/>
          </w:tcPr>
          <w:p w14:paraId="4C1EA4D7" w14:textId="77777777" w:rsidR="00F00781" w:rsidRPr="00F00781" w:rsidRDefault="00F00781" w:rsidP="00F00781">
            <w:pPr>
              <w:rPr>
                <w:rFonts w:ascii="Arial Narrow" w:hAnsi="Arial Narrow" w:cs="Calibri"/>
                <w:sz w:val="14"/>
                <w:szCs w:val="14"/>
              </w:rPr>
            </w:pPr>
            <w:r w:rsidRPr="00F00781">
              <w:rPr>
                <w:rFonts w:ascii="Arial Narrow" w:hAnsi="Arial Narrow" w:cs="Calibri"/>
                <w:sz w:val="14"/>
                <w:szCs w:val="14"/>
              </w:rPr>
              <w:t> </w:t>
            </w:r>
          </w:p>
        </w:tc>
        <w:tc>
          <w:tcPr>
            <w:tcW w:w="698" w:type="dxa"/>
            <w:tcBorders>
              <w:top w:val="nil"/>
              <w:left w:val="nil"/>
              <w:bottom w:val="single" w:sz="4" w:space="0" w:color="auto"/>
              <w:right w:val="single" w:sz="4" w:space="0" w:color="auto"/>
            </w:tcBorders>
            <w:shd w:val="clear" w:color="auto" w:fill="auto"/>
            <w:vAlign w:val="center"/>
            <w:hideMark/>
          </w:tcPr>
          <w:p w14:paraId="4EA6A977" w14:textId="77777777" w:rsidR="00F00781" w:rsidRPr="00F00781" w:rsidRDefault="00F00781" w:rsidP="00F00781">
            <w:pPr>
              <w:rPr>
                <w:rFonts w:ascii="Arial Narrow" w:hAnsi="Arial Narrow" w:cs="Calibri"/>
                <w:sz w:val="14"/>
                <w:szCs w:val="14"/>
              </w:rPr>
            </w:pPr>
            <w:r w:rsidRPr="00F00781">
              <w:rPr>
                <w:rFonts w:ascii="Arial Narrow" w:hAnsi="Arial Narrow" w:cs="Calibri"/>
                <w:sz w:val="14"/>
                <w:szCs w:val="14"/>
              </w:rPr>
              <w:t> </w:t>
            </w:r>
          </w:p>
        </w:tc>
        <w:tc>
          <w:tcPr>
            <w:tcW w:w="765" w:type="dxa"/>
            <w:tcBorders>
              <w:top w:val="nil"/>
              <w:left w:val="nil"/>
              <w:bottom w:val="single" w:sz="4" w:space="0" w:color="auto"/>
              <w:right w:val="single" w:sz="4" w:space="0" w:color="auto"/>
            </w:tcBorders>
            <w:shd w:val="clear" w:color="auto" w:fill="auto"/>
            <w:vAlign w:val="center"/>
            <w:hideMark/>
          </w:tcPr>
          <w:p w14:paraId="6AC02081" w14:textId="77777777" w:rsidR="00F00781" w:rsidRPr="00F00781" w:rsidRDefault="00F00781" w:rsidP="00F00781">
            <w:pPr>
              <w:rPr>
                <w:rFonts w:ascii="Arial Narrow" w:hAnsi="Arial Narrow" w:cs="Calibri"/>
                <w:sz w:val="14"/>
                <w:szCs w:val="14"/>
              </w:rPr>
            </w:pPr>
            <w:r w:rsidRPr="00F00781">
              <w:rPr>
                <w:rFonts w:ascii="Arial Narrow" w:hAnsi="Arial Narrow" w:cs="Calibri"/>
                <w:sz w:val="14"/>
                <w:szCs w:val="14"/>
              </w:rPr>
              <w:t> </w:t>
            </w:r>
          </w:p>
        </w:tc>
        <w:tc>
          <w:tcPr>
            <w:tcW w:w="970" w:type="dxa"/>
            <w:tcBorders>
              <w:top w:val="nil"/>
              <w:left w:val="nil"/>
              <w:bottom w:val="single" w:sz="4" w:space="0" w:color="auto"/>
              <w:right w:val="single" w:sz="4" w:space="0" w:color="auto"/>
            </w:tcBorders>
            <w:shd w:val="clear" w:color="auto" w:fill="auto"/>
            <w:vAlign w:val="center"/>
            <w:hideMark/>
          </w:tcPr>
          <w:p w14:paraId="67ABF2BE" w14:textId="77777777" w:rsidR="00F00781" w:rsidRPr="00F00781" w:rsidRDefault="00F00781" w:rsidP="00F00781">
            <w:pPr>
              <w:rPr>
                <w:rFonts w:ascii="Arial Narrow" w:hAnsi="Arial Narrow" w:cs="Calibri"/>
                <w:sz w:val="14"/>
                <w:szCs w:val="14"/>
              </w:rPr>
            </w:pPr>
            <w:r w:rsidRPr="00F00781">
              <w:rPr>
                <w:rFonts w:ascii="Arial Narrow" w:hAnsi="Arial Narrow" w:cs="Calibri"/>
                <w:sz w:val="14"/>
                <w:szCs w:val="14"/>
              </w:rPr>
              <w:t> </w:t>
            </w:r>
          </w:p>
        </w:tc>
        <w:tc>
          <w:tcPr>
            <w:tcW w:w="602" w:type="dxa"/>
            <w:tcBorders>
              <w:top w:val="nil"/>
              <w:left w:val="nil"/>
              <w:bottom w:val="single" w:sz="4" w:space="0" w:color="auto"/>
              <w:right w:val="single" w:sz="4" w:space="0" w:color="auto"/>
            </w:tcBorders>
            <w:shd w:val="clear" w:color="auto" w:fill="auto"/>
            <w:vAlign w:val="center"/>
            <w:hideMark/>
          </w:tcPr>
          <w:p w14:paraId="4A8C42DB" w14:textId="77777777" w:rsidR="00F00781" w:rsidRPr="00F00781" w:rsidRDefault="00F00781" w:rsidP="00F00781">
            <w:pPr>
              <w:rPr>
                <w:rFonts w:ascii="Arial Narrow" w:hAnsi="Arial Narrow" w:cs="Calibri"/>
                <w:sz w:val="14"/>
                <w:szCs w:val="14"/>
              </w:rPr>
            </w:pPr>
            <w:r w:rsidRPr="00F00781">
              <w:rPr>
                <w:rFonts w:ascii="Arial Narrow" w:hAnsi="Arial Narrow" w:cs="Calibri"/>
                <w:sz w:val="14"/>
                <w:szCs w:val="14"/>
              </w:rPr>
              <w:t> </w:t>
            </w:r>
          </w:p>
        </w:tc>
        <w:tc>
          <w:tcPr>
            <w:tcW w:w="697" w:type="dxa"/>
            <w:tcBorders>
              <w:top w:val="nil"/>
              <w:left w:val="nil"/>
              <w:bottom w:val="single" w:sz="4" w:space="0" w:color="auto"/>
              <w:right w:val="single" w:sz="4" w:space="0" w:color="auto"/>
            </w:tcBorders>
            <w:shd w:val="clear" w:color="auto" w:fill="auto"/>
            <w:vAlign w:val="center"/>
            <w:hideMark/>
          </w:tcPr>
          <w:p w14:paraId="01EDB19D" w14:textId="77777777" w:rsidR="00F00781" w:rsidRPr="00F00781" w:rsidRDefault="00F00781" w:rsidP="00F00781">
            <w:pPr>
              <w:rPr>
                <w:rFonts w:ascii="Arial Narrow" w:hAnsi="Arial Narrow" w:cs="Calibri"/>
                <w:sz w:val="14"/>
                <w:szCs w:val="14"/>
              </w:rPr>
            </w:pPr>
            <w:r w:rsidRPr="00F00781">
              <w:rPr>
                <w:rFonts w:ascii="Arial Narrow" w:hAnsi="Arial Narrow" w:cs="Calibri"/>
                <w:sz w:val="14"/>
                <w:szCs w:val="14"/>
              </w:rPr>
              <w:t> </w:t>
            </w:r>
          </w:p>
        </w:tc>
        <w:tc>
          <w:tcPr>
            <w:tcW w:w="869" w:type="dxa"/>
            <w:tcBorders>
              <w:top w:val="nil"/>
              <w:left w:val="nil"/>
              <w:bottom w:val="single" w:sz="4" w:space="0" w:color="auto"/>
              <w:right w:val="single" w:sz="4" w:space="0" w:color="auto"/>
            </w:tcBorders>
            <w:shd w:val="clear" w:color="auto" w:fill="auto"/>
            <w:vAlign w:val="center"/>
            <w:hideMark/>
          </w:tcPr>
          <w:p w14:paraId="16C396A6"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121,9</w:t>
            </w:r>
          </w:p>
        </w:tc>
      </w:tr>
      <w:tr w:rsidR="00F00781" w:rsidRPr="00F00781" w14:paraId="33CC0E7F" w14:textId="77777777" w:rsidTr="00E01BBF">
        <w:trPr>
          <w:trHeight w:val="196"/>
        </w:trPr>
        <w:tc>
          <w:tcPr>
            <w:tcW w:w="632" w:type="dxa"/>
            <w:tcBorders>
              <w:top w:val="nil"/>
              <w:left w:val="single" w:sz="4" w:space="0" w:color="auto"/>
              <w:bottom w:val="single" w:sz="4" w:space="0" w:color="auto"/>
              <w:right w:val="single" w:sz="4" w:space="0" w:color="auto"/>
            </w:tcBorders>
            <w:shd w:val="clear" w:color="auto" w:fill="auto"/>
            <w:vAlign w:val="center"/>
            <w:hideMark/>
          </w:tcPr>
          <w:p w14:paraId="3DB24EA6" w14:textId="77777777" w:rsidR="00F00781" w:rsidRPr="00F00781" w:rsidRDefault="005232AE" w:rsidP="005232AE">
            <w:pPr>
              <w:rPr>
                <w:rFonts w:ascii="Arial Narrow" w:hAnsi="Arial Narrow" w:cs="Calibri"/>
                <w:sz w:val="14"/>
                <w:szCs w:val="14"/>
              </w:rPr>
            </w:pPr>
            <w:r>
              <w:rPr>
                <w:rFonts w:ascii="Arial Narrow" w:hAnsi="Arial Narrow" w:cs="Calibri"/>
                <w:sz w:val="14"/>
                <w:szCs w:val="14"/>
                <w:lang w:val="bg-BG"/>
              </w:rPr>
              <w:t>1</w:t>
            </w:r>
            <w:r w:rsidR="00F00781" w:rsidRPr="00F00781">
              <w:rPr>
                <w:rFonts w:ascii="Arial Narrow" w:hAnsi="Arial Narrow" w:cs="Calibri"/>
                <w:sz w:val="14"/>
                <w:szCs w:val="14"/>
              </w:rPr>
              <w:t>7.1/6/1</w:t>
            </w:r>
          </w:p>
        </w:tc>
        <w:tc>
          <w:tcPr>
            <w:tcW w:w="1671" w:type="dxa"/>
            <w:tcBorders>
              <w:top w:val="nil"/>
              <w:left w:val="nil"/>
              <w:bottom w:val="single" w:sz="4" w:space="0" w:color="auto"/>
              <w:right w:val="single" w:sz="4" w:space="0" w:color="auto"/>
            </w:tcBorders>
            <w:shd w:val="clear" w:color="auto" w:fill="auto"/>
            <w:vAlign w:val="center"/>
            <w:hideMark/>
          </w:tcPr>
          <w:p w14:paraId="7C7FFA69" w14:textId="77777777" w:rsidR="00F00781" w:rsidRPr="00F00781" w:rsidRDefault="00F00781" w:rsidP="00F00781">
            <w:pPr>
              <w:ind w:firstLineChars="300" w:firstLine="420"/>
              <w:rPr>
                <w:rFonts w:ascii="Arial Narrow" w:hAnsi="Arial Narrow" w:cs="Calibri"/>
                <w:sz w:val="14"/>
                <w:szCs w:val="14"/>
              </w:rPr>
            </w:pPr>
            <w:r w:rsidRPr="00F00781">
              <w:rPr>
                <w:rFonts w:ascii="Arial Narrow" w:hAnsi="Arial Narrow" w:cs="Calibri"/>
                <w:sz w:val="14"/>
                <w:szCs w:val="14"/>
              </w:rPr>
              <w:t>- мляко</w:t>
            </w:r>
          </w:p>
        </w:tc>
        <w:tc>
          <w:tcPr>
            <w:tcW w:w="773" w:type="dxa"/>
            <w:tcBorders>
              <w:top w:val="nil"/>
              <w:left w:val="nil"/>
              <w:bottom w:val="single" w:sz="4" w:space="0" w:color="auto"/>
              <w:right w:val="single" w:sz="4" w:space="0" w:color="auto"/>
            </w:tcBorders>
            <w:shd w:val="clear" w:color="auto" w:fill="auto"/>
            <w:vAlign w:val="center"/>
            <w:hideMark/>
          </w:tcPr>
          <w:p w14:paraId="54B6929E"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121,9</w:t>
            </w:r>
          </w:p>
        </w:tc>
        <w:tc>
          <w:tcPr>
            <w:tcW w:w="582" w:type="dxa"/>
            <w:tcBorders>
              <w:top w:val="nil"/>
              <w:left w:val="nil"/>
              <w:bottom w:val="single" w:sz="4" w:space="0" w:color="auto"/>
              <w:right w:val="single" w:sz="4" w:space="0" w:color="auto"/>
            </w:tcBorders>
            <w:shd w:val="clear" w:color="auto" w:fill="auto"/>
            <w:vAlign w:val="center"/>
            <w:hideMark/>
          </w:tcPr>
          <w:p w14:paraId="7B2396A1" w14:textId="77777777" w:rsidR="00F00781" w:rsidRPr="00F00781" w:rsidRDefault="00F00781" w:rsidP="00F00781">
            <w:pPr>
              <w:rPr>
                <w:rFonts w:ascii="Arial Narrow" w:hAnsi="Arial Narrow" w:cs="Calibri"/>
                <w:sz w:val="14"/>
                <w:szCs w:val="14"/>
              </w:rPr>
            </w:pPr>
            <w:r w:rsidRPr="00F00781">
              <w:rPr>
                <w:rFonts w:ascii="Arial Narrow" w:hAnsi="Arial Narrow" w:cs="Calibri"/>
                <w:sz w:val="14"/>
                <w:szCs w:val="14"/>
              </w:rPr>
              <w:t> </w:t>
            </w:r>
          </w:p>
        </w:tc>
        <w:tc>
          <w:tcPr>
            <w:tcW w:w="681" w:type="dxa"/>
            <w:tcBorders>
              <w:top w:val="nil"/>
              <w:left w:val="nil"/>
              <w:bottom w:val="single" w:sz="4" w:space="0" w:color="auto"/>
              <w:right w:val="single" w:sz="4" w:space="0" w:color="auto"/>
            </w:tcBorders>
            <w:shd w:val="clear" w:color="auto" w:fill="auto"/>
            <w:vAlign w:val="center"/>
            <w:hideMark/>
          </w:tcPr>
          <w:p w14:paraId="1F569986" w14:textId="77777777" w:rsidR="00F00781" w:rsidRPr="00F00781" w:rsidRDefault="00F00781" w:rsidP="00F00781">
            <w:pPr>
              <w:rPr>
                <w:rFonts w:ascii="Arial Narrow" w:hAnsi="Arial Narrow" w:cs="Calibri"/>
                <w:sz w:val="14"/>
                <w:szCs w:val="14"/>
              </w:rPr>
            </w:pPr>
            <w:r w:rsidRPr="00F00781">
              <w:rPr>
                <w:rFonts w:ascii="Arial Narrow" w:hAnsi="Arial Narrow" w:cs="Calibri"/>
                <w:sz w:val="14"/>
                <w:szCs w:val="14"/>
              </w:rPr>
              <w:t> </w:t>
            </w:r>
          </w:p>
        </w:tc>
        <w:tc>
          <w:tcPr>
            <w:tcW w:w="789" w:type="dxa"/>
            <w:tcBorders>
              <w:top w:val="nil"/>
              <w:left w:val="nil"/>
              <w:bottom w:val="single" w:sz="4" w:space="0" w:color="auto"/>
              <w:right w:val="single" w:sz="4" w:space="0" w:color="auto"/>
            </w:tcBorders>
            <w:shd w:val="clear" w:color="auto" w:fill="auto"/>
            <w:vAlign w:val="center"/>
            <w:hideMark/>
          </w:tcPr>
          <w:p w14:paraId="584C670B" w14:textId="77777777" w:rsidR="00F00781" w:rsidRPr="00F00781" w:rsidRDefault="00F00781" w:rsidP="00F00781">
            <w:pPr>
              <w:rPr>
                <w:rFonts w:ascii="Arial Narrow" w:hAnsi="Arial Narrow" w:cs="Calibri"/>
                <w:sz w:val="14"/>
                <w:szCs w:val="14"/>
              </w:rPr>
            </w:pPr>
            <w:r w:rsidRPr="00F00781">
              <w:rPr>
                <w:rFonts w:ascii="Arial Narrow" w:hAnsi="Arial Narrow" w:cs="Calibri"/>
                <w:sz w:val="14"/>
                <w:szCs w:val="14"/>
              </w:rPr>
              <w:t> </w:t>
            </w:r>
          </w:p>
        </w:tc>
        <w:tc>
          <w:tcPr>
            <w:tcW w:w="693" w:type="dxa"/>
            <w:tcBorders>
              <w:top w:val="nil"/>
              <w:left w:val="nil"/>
              <w:bottom w:val="single" w:sz="4" w:space="0" w:color="auto"/>
              <w:right w:val="single" w:sz="4" w:space="0" w:color="auto"/>
            </w:tcBorders>
            <w:shd w:val="clear" w:color="auto" w:fill="auto"/>
            <w:vAlign w:val="center"/>
            <w:hideMark/>
          </w:tcPr>
          <w:p w14:paraId="061A0823" w14:textId="77777777" w:rsidR="00F00781" w:rsidRPr="00F00781" w:rsidRDefault="00F00781" w:rsidP="00F00781">
            <w:pPr>
              <w:rPr>
                <w:rFonts w:ascii="Arial Narrow" w:hAnsi="Arial Narrow" w:cs="Calibri"/>
                <w:sz w:val="14"/>
                <w:szCs w:val="14"/>
              </w:rPr>
            </w:pPr>
            <w:r w:rsidRPr="00F00781">
              <w:rPr>
                <w:rFonts w:ascii="Arial Narrow" w:hAnsi="Arial Narrow" w:cs="Calibri"/>
                <w:sz w:val="14"/>
                <w:szCs w:val="14"/>
              </w:rPr>
              <w:t> </w:t>
            </w:r>
          </w:p>
        </w:tc>
        <w:tc>
          <w:tcPr>
            <w:tcW w:w="537" w:type="dxa"/>
            <w:tcBorders>
              <w:top w:val="nil"/>
              <w:left w:val="nil"/>
              <w:bottom w:val="single" w:sz="4" w:space="0" w:color="auto"/>
              <w:right w:val="single" w:sz="4" w:space="0" w:color="auto"/>
            </w:tcBorders>
            <w:shd w:val="clear" w:color="auto" w:fill="auto"/>
            <w:vAlign w:val="center"/>
            <w:hideMark/>
          </w:tcPr>
          <w:p w14:paraId="2FB6D2D9" w14:textId="77777777" w:rsidR="00F00781" w:rsidRPr="00F00781" w:rsidRDefault="00F00781" w:rsidP="00F00781">
            <w:pPr>
              <w:rPr>
                <w:rFonts w:ascii="Arial Narrow" w:hAnsi="Arial Narrow" w:cs="Calibri"/>
                <w:sz w:val="14"/>
                <w:szCs w:val="14"/>
              </w:rPr>
            </w:pPr>
            <w:r w:rsidRPr="00F00781">
              <w:rPr>
                <w:rFonts w:ascii="Arial Narrow" w:hAnsi="Arial Narrow" w:cs="Calibri"/>
                <w:sz w:val="14"/>
                <w:szCs w:val="14"/>
              </w:rPr>
              <w:t> </w:t>
            </w:r>
          </w:p>
        </w:tc>
        <w:tc>
          <w:tcPr>
            <w:tcW w:w="1143" w:type="dxa"/>
            <w:tcBorders>
              <w:top w:val="nil"/>
              <w:left w:val="nil"/>
              <w:bottom w:val="single" w:sz="4" w:space="0" w:color="auto"/>
              <w:right w:val="single" w:sz="4" w:space="0" w:color="auto"/>
            </w:tcBorders>
            <w:shd w:val="clear" w:color="auto" w:fill="auto"/>
            <w:vAlign w:val="center"/>
            <w:hideMark/>
          </w:tcPr>
          <w:p w14:paraId="13C3A826" w14:textId="77777777" w:rsidR="00F00781" w:rsidRPr="00F00781" w:rsidRDefault="00F00781" w:rsidP="00F00781">
            <w:pPr>
              <w:rPr>
                <w:rFonts w:ascii="Arial Narrow" w:hAnsi="Arial Narrow" w:cs="Calibri"/>
                <w:sz w:val="14"/>
                <w:szCs w:val="14"/>
              </w:rPr>
            </w:pPr>
            <w:r w:rsidRPr="00F00781">
              <w:rPr>
                <w:rFonts w:ascii="Arial Narrow" w:hAnsi="Arial Narrow" w:cs="Calibri"/>
                <w:sz w:val="14"/>
                <w:szCs w:val="14"/>
              </w:rPr>
              <w:t> </w:t>
            </w:r>
          </w:p>
        </w:tc>
        <w:tc>
          <w:tcPr>
            <w:tcW w:w="1200" w:type="dxa"/>
            <w:tcBorders>
              <w:top w:val="nil"/>
              <w:left w:val="nil"/>
              <w:bottom w:val="single" w:sz="4" w:space="0" w:color="auto"/>
              <w:right w:val="single" w:sz="4" w:space="0" w:color="auto"/>
            </w:tcBorders>
            <w:shd w:val="clear" w:color="auto" w:fill="auto"/>
            <w:vAlign w:val="center"/>
            <w:hideMark/>
          </w:tcPr>
          <w:p w14:paraId="54168110"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121,9</w:t>
            </w:r>
          </w:p>
        </w:tc>
        <w:tc>
          <w:tcPr>
            <w:tcW w:w="721" w:type="dxa"/>
            <w:tcBorders>
              <w:top w:val="nil"/>
              <w:left w:val="nil"/>
              <w:bottom w:val="single" w:sz="4" w:space="0" w:color="auto"/>
              <w:right w:val="single" w:sz="4" w:space="0" w:color="auto"/>
            </w:tcBorders>
            <w:shd w:val="clear" w:color="auto" w:fill="auto"/>
            <w:vAlign w:val="center"/>
            <w:hideMark/>
          </w:tcPr>
          <w:p w14:paraId="7E6212AF" w14:textId="77777777" w:rsidR="00F00781" w:rsidRPr="00F00781" w:rsidRDefault="00F00781" w:rsidP="00F00781">
            <w:pPr>
              <w:rPr>
                <w:rFonts w:ascii="Arial Narrow" w:hAnsi="Arial Narrow" w:cs="Calibri"/>
                <w:sz w:val="14"/>
                <w:szCs w:val="14"/>
              </w:rPr>
            </w:pPr>
            <w:r w:rsidRPr="00F00781">
              <w:rPr>
                <w:rFonts w:ascii="Arial Narrow" w:hAnsi="Arial Narrow" w:cs="Calibri"/>
                <w:sz w:val="14"/>
                <w:szCs w:val="14"/>
              </w:rPr>
              <w:t> </w:t>
            </w:r>
          </w:p>
        </w:tc>
        <w:tc>
          <w:tcPr>
            <w:tcW w:w="721" w:type="dxa"/>
            <w:tcBorders>
              <w:top w:val="nil"/>
              <w:left w:val="nil"/>
              <w:bottom w:val="single" w:sz="4" w:space="0" w:color="auto"/>
              <w:right w:val="single" w:sz="4" w:space="0" w:color="auto"/>
            </w:tcBorders>
            <w:shd w:val="clear" w:color="auto" w:fill="auto"/>
            <w:vAlign w:val="center"/>
            <w:hideMark/>
          </w:tcPr>
          <w:p w14:paraId="1373B58B" w14:textId="77777777" w:rsidR="00F00781" w:rsidRPr="00F00781" w:rsidRDefault="00F00781" w:rsidP="00F00781">
            <w:pPr>
              <w:rPr>
                <w:rFonts w:ascii="Arial Narrow" w:hAnsi="Arial Narrow" w:cs="Calibri"/>
                <w:sz w:val="14"/>
                <w:szCs w:val="14"/>
              </w:rPr>
            </w:pPr>
            <w:r w:rsidRPr="00F00781">
              <w:rPr>
                <w:rFonts w:ascii="Arial Narrow" w:hAnsi="Arial Narrow" w:cs="Calibri"/>
                <w:sz w:val="14"/>
                <w:szCs w:val="14"/>
              </w:rPr>
              <w:t> </w:t>
            </w:r>
          </w:p>
        </w:tc>
        <w:tc>
          <w:tcPr>
            <w:tcW w:w="698" w:type="dxa"/>
            <w:tcBorders>
              <w:top w:val="nil"/>
              <w:left w:val="nil"/>
              <w:bottom w:val="single" w:sz="4" w:space="0" w:color="auto"/>
              <w:right w:val="single" w:sz="4" w:space="0" w:color="auto"/>
            </w:tcBorders>
            <w:shd w:val="clear" w:color="auto" w:fill="auto"/>
            <w:vAlign w:val="center"/>
            <w:hideMark/>
          </w:tcPr>
          <w:p w14:paraId="5908539C" w14:textId="77777777" w:rsidR="00F00781" w:rsidRPr="00F00781" w:rsidRDefault="00F00781" w:rsidP="00F00781">
            <w:pPr>
              <w:rPr>
                <w:rFonts w:ascii="Arial Narrow" w:hAnsi="Arial Narrow" w:cs="Calibri"/>
                <w:sz w:val="14"/>
                <w:szCs w:val="14"/>
              </w:rPr>
            </w:pPr>
            <w:r w:rsidRPr="00F00781">
              <w:rPr>
                <w:rFonts w:ascii="Arial Narrow" w:hAnsi="Arial Narrow" w:cs="Calibri"/>
                <w:sz w:val="14"/>
                <w:szCs w:val="14"/>
              </w:rPr>
              <w:t> </w:t>
            </w:r>
          </w:p>
        </w:tc>
        <w:tc>
          <w:tcPr>
            <w:tcW w:w="765" w:type="dxa"/>
            <w:tcBorders>
              <w:top w:val="nil"/>
              <w:left w:val="nil"/>
              <w:bottom w:val="single" w:sz="4" w:space="0" w:color="auto"/>
              <w:right w:val="single" w:sz="4" w:space="0" w:color="auto"/>
            </w:tcBorders>
            <w:shd w:val="clear" w:color="auto" w:fill="auto"/>
            <w:vAlign w:val="center"/>
            <w:hideMark/>
          </w:tcPr>
          <w:p w14:paraId="2F7C77C4" w14:textId="77777777" w:rsidR="00F00781" w:rsidRPr="00F00781" w:rsidRDefault="00F00781" w:rsidP="00F00781">
            <w:pPr>
              <w:rPr>
                <w:rFonts w:ascii="Arial Narrow" w:hAnsi="Arial Narrow" w:cs="Calibri"/>
                <w:sz w:val="14"/>
                <w:szCs w:val="14"/>
              </w:rPr>
            </w:pPr>
            <w:r w:rsidRPr="00F00781">
              <w:rPr>
                <w:rFonts w:ascii="Arial Narrow" w:hAnsi="Arial Narrow" w:cs="Calibri"/>
                <w:sz w:val="14"/>
                <w:szCs w:val="14"/>
              </w:rPr>
              <w:t> </w:t>
            </w:r>
          </w:p>
        </w:tc>
        <w:tc>
          <w:tcPr>
            <w:tcW w:w="970" w:type="dxa"/>
            <w:tcBorders>
              <w:top w:val="nil"/>
              <w:left w:val="nil"/>
              <w:bottom w:val="single" w:sz="4" w:space="0" w:color="auto"/>
              <w:right w:val="single" w:sz="4" w:space="0" w:color="auto"/>
            </w:tcBorders>
            <w:shd w:val="clear" w:color="auto" w:fill="auto"/>
            <w:vAlign w:val="center"/>
            <w:hideMark/>
          </w:tcPr>
          <w:p w14:paraId="550B69DA" w14:textId="77777777" w:rsidR="00F00781" w:rsidRPr="00F00781" w:rsidRDefault="00F00781" w:rsidP="00F00781">
            <w:pPr>
              <w:rPr>
                <w:rFonts w:ascii="Arial Narrow" w:hAnsi="Arial Narrow" w:cs="Calibri"/>
                <w:sz w:val="14"/>
                <w:szCs w:val="14"/>
              </w:rPr>
            </w:pPr>
            <w:r w:rsidRPr="00F00781">
              <w:rPr>
                <w:rFonts w:ascii="Arial Narrow" w:hAnsi="Arial Narrow" w:cs="Calibri"/>
                <w:sz w:val="14"/>
                <w:szCs w:val="14"/>
              </w:rPr>
              <w:t> </w:t>
            </w:r>
          </w:p>
        </w:tc>
        <w:tc>
          <w:tcPr>
            <w:tcW w:w="602" w:type="dxa"/>
            <w:tcBorders>
              <w:top w:val="nil"/>
              <w:left w:val="nil"/>
              <w:bottom w:val="single" w:sz="4" w:space="0" w:color="auto"/>
              <w:right w:val="single" w:sz="4" w:space="0" w:color="auto"/>
            </w:tcBorders>
            <w:shd w:val="clear" w:color="auto" w:fill="auto"/>
            <w:vAlign w:val="center"/>
            <w:hideMark/>
          </w:tcPr>
          <w:p w14:paraId="31E8AD42" w14:textId="77777777" w:rsidR="00F00781" w:rsidRPr="00F00781" w:rsidRDefault="00F00781" w:rsidP="00F00781">
            <w:pPr>
              <w:rPr>
                <w:rFonts w:ascii="Arial Narrow" w:hAnsi="Arial Narrow" w:cs="Calibri"/>
                <w:sz w:val="14"/>
                <w:szCs w:val="14"/>
              </w:rPr>
            </w:pPr>
            <w:r w:rsidRPr="00F00781">
              <w:rPr>
                <w:rFonts w:ascii="Arial Narrow" w:hAnsi="Arial Narrow" w:cs="Calibri"/>
                <w:sz w:val="14"/>
                <w:szCs w:val="14"/>
              </w:rPr>
              <w:t> </w:t>
            </w:r>
          </w:p>
        </w:tc>
        <w:tc>
          <w:tcPr>
            <w:tcW w:w="697" w:type="dxa"/>
            <w:tcBorders>
              <w:top w:val="nil"/>
              <w:left w:val="nil"/>
              <w:bottom w:val="single" w:sz="4" w:space="0" w:color="auto"/>
              <w:right w:val="single" w:sz="4" w:space="0" w:color="auto"/>
            </w:tcBorders>
            <w:shd w:val="clear" w:color="auto" w:fill="auto"/>
            <w:vAlign w:val="center"/>
            <w:hideMark/>
          </w:tcPr>
          <w:p w14:paraId="464B8761" w14:textId="77777777" w:rsidR="00F00781" w:rsidRPr="00F00781" w:rsidRDefault="00F00781" w:rsidP="00F00781">
            <w:pPr>
              <w:rPr>
                <w:rFonts w:ascii="Arial Narrow" w:hAnsi="Arial Narrow" w:cs="Calibri"/>
                <w:sz w:val="14"/>
                <w:szCs w:val="14"/>
              </w:rPr>
            </w:pPr>
            <w:r w:rsidRPr="00F00781">
              <w:rPr>
                <w:rFonts w:ascii="Arial Narrow" w:hAnsi="Arial Narrow" w:cs="Calibri"/>
                <w:sz w:val="14"/>
                <w:szCs w:val="14"/>
              </w:rPr>
              <w:t> </w:t>
            </w:r>
          </w:p>
        </w:tc>
        <w:tc>
          <w:tcPr>
            <w:tcW w:w="869" w:type="dxa"/>
            <w:tcBorders>
              <w:top w:val="nil"/>
              <w:left w:val="nil"/>
              <w:bottom w:val="single" w:sz="4" w:space="0" w:color="auto"/>
              <w:right w:val="single" w:sz="4" w:space="0" w:color="auto"/>
            </w:tcBorders>
            <w:shd w:val="clear" w:color="auto" w:fill="auto"/>
            <w:vAlign w:val="center"/>
            <w:hideMark/>
          </w:tcPr>
          <w:p w14:paraId="5A957C3D"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121,9</w:t>
            </w:r>
          </w:p>
        </w:tc>
      </w:tr>
      <w:tr w:rsidR="00F00781" w:rsidRPr="00F00781" w14:paraId="5BE5DAA8" w14:textId="77777777" w:rsidTr="00E01BBF">
        <w:trPr>
          <w:trHeight w:val="196"/>
        </w:trPr>
        <w:tc>
          <w:tcPr>
            <w:tcW w:w="632" w:type="dxa"/>
            <w:tcBorders>
              <w:top w:val="nil"/>
              <w:left w:val="single" w:sz="4" w:space="0" w:color="auto"/>
              <w:bottom w:val="single" w:sz="4" w:space="0" w:color="auto"/>
              <w:right w:val="single" w:sz="4" w:space="0" w:color="auto"/>
            </w:tcBorders>
            <w:shd w:val="clear" w:color="auto" w:fill="auto"/>
            <w:vAlign w:val="center"/>
            <w:hideMark/>
          </w:tcPr>
          <w:p w14:paraId="3654EBEA" w14:textId="77777777" w:rsidR="00F00781" w:rsidRPr="00F00781" w:rsidRDefault="00F00781" w:rsidP="005232AE">
            <w:pPr>
              <w:rPr>
                <w:rFonts w:ascii="Arial Narrow" w:hAnsi="Arial Narrow" w:cs="Calibri"/>
                <w:sz w:val="14"/>
                <w:szCs w:val="14"/>
              </w:rPr>
            </w:pPr>
            <w:r w:rsidRPr="00F00781">
              <w:rPr>
                <w:rFonts w:ascii="Arial Narrow" w:hAnsi="Arial Narrow" w:cs="Calibri"/>
                <w:sz w:val="14"/>
                <w:szCs w:val="14"/>
              </w:rPr>
              <w:t xml:space="preserve"> 17.1/7</w:t>
            </w:r>
          </w:p>
        </w:tc>
        <w:tc>
          <w:tcPr>
            <w:tcW w:w="1671" w:type="dxa"/>
            <w:tcBorders>
              <w:top w:val="nil"/>
              <w:left w:val="nil"/>
              <w:bottom w:val="single" w:sz="4" w:space="0" w:color="auto"/>
              <w:right w:val="single" w:sz="4" w:space="0" w:color="auto"/>
            </w:tcBorders>
            <w:shd w:val="clear" w:color="auto" w:fill="auto"/>
            <w:vAlign w:val="center"/>
            <w:hideMark/>
          </w:tcPr>
          <w:p w14:paraId="72EB3850" w14:textId="77777777" w:rsidR="00F00781" w:rsidRPr="00F00781" w:rsidRDefault="00F00781" w:rsidP="00F00781">
            <w:pPr>
              <w:ind w:firstLineChars="300" w:firstLine="420"/>
              <w:rPr>
                <w:rFonts w:ascii="Arial Narrow" w:hAnsi="Arial Narrow" w:cs="Calibri"/>
                <w:sz w:val="14"/>
                <w:szCs w:val="14"/>
              </w:rPr>
            </w:pPr>
            <w:r w:rsidRPr="00F00781">
              <w:rPr>
                <w:rFonts w:ascii="Arial Narrow" w:hAnsi="Arial Narrow" w:cs="Calibri"/>
                <w:sz w:val="14"/>
                <w:szCs w:val="14"/>
              </w:rPr>
              <w:t>- друга</w:t>
            </w:r>
          </w:p>
        </w:tc>
        <w:tc>
          <w:tcPr>
            <w:tcW w:w="773" w:type="dxa"/>
            <w:tcBorders>
              <w:top w:val="nil"/>
              <w:left w:val="nil"/>
              <w:bottom w:val="single" w:sz="4" w:space="0" w:color="auto"/>
              <w:right w:val="single" w:sz="4" w:space="0" w:color="auto"/>
            </w:tcBorders>
            <w:shd w:val="clear" w:color="auto" w:fill="auto"/>
            <w:vAlign w:val="center"/>
            <w:hideMark/>
          </w:tcPr>
          <w:p w14:paraId="44DC39C4"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5,4</w:t>
            </w:r>
          </w:p>
        </w:tc>
        <w:tc>
          <w:tcPr>
            <w:tcW w:w="582" w:type="dxa"/>
            <w:tcBorders>
              <w:top w:val="nil"/>
              <w:left w:val="nil"/>
              <w:bottom w:val="single" w:sz="4" w:space="0" w:color="auto"/>
              <w:right w:val="single" w:sz="4" w:space="0" w:color="auto"/>
            </w:tcBorders>
            <w:shd w:val="clear" w:color="auto" w:fill="auto"/>
            <w:vAlign w:val="center"/>
            <w:hideMark/>
          </w:tcPr>
          <w:p w14:paraId="4FA0F2D6" w14:textId="77777777" w:rsidR="00F00781" w:rsidRPr="00F00781" w:rsidRDefault="00F00781" w:rsidP="00F00781">
            <w:pPr>
              <w:rPr>
                <w:rFonts w:ascii="Arial Narrow" w:hAnsi="Arial Narrow" w:cs="Calibri"/>
                <w:sz w:val="14"/>
                <w:szCs w:val="14"/>
              </w:rPr>
            </w:pPr>
            <w:r w:rsidRPr="00F00781">
              <w:rPr>
                <w:rFonts w:ascii="Arial Narrow" w:hAnsi="Arial Narrow" w:cs="Calibri"/>
                <w:sz w:val="14"/>
                <w:szCs w:val="14"/>
              </w:rPr>
              <w:t> </w:t>
            </w:r>
          </w:p>
        </w:tc>
        <w:tc>
          <w:tcPr>
            <w:tcW w:w="681" w:type="dxa"/>
            <w:tcBorders>
              <w:top w:val="nil"/>
              <w:left w:val="nil"/>
              <w:bottom w:val="single" w:sz="4" w:space="0" w:color="auto"/>
              <w:right w:val="single" w:sz="4" w:space="0" w:color="auto"/>
            </w:tcBorders>
            <w:shd w:val="clear" w:color="auto" w:fill="auto"/>
            <w:vAlign w:val="center"/>
            <w:hideMark/>
          </w:tcPr>
          <w:p w14:paraId="6C90E564" w14:textId="77777777" w:rsidR="00F00781" w:rsidRPr="00F00781" w:rsidRDefault="00F00781" w:rsidP="00F00781">
            <w:pPr>
              <w:rPr>
                <w:rFonts w:ascii="Arial Narrow" w:hAnsi="Arial Narrow" w:cs="Calibri"/>
                <w:sz w:val="14"/>
                <w:szCs w:val="14"/>
              </w:rPr>
            </w:pPr>
            <w:r w:rsidRPr="00F00781">
              <w:rPr>
                <w:rFonts w:ascii="Arial Narrow" w:hAnsi="Arial Narrow" w:cs="Calibri"/>
                <w:sz w:val="14"/>
                <w:szCs w:val="14"/>
              </w:rPr>
              <w:t> </w:t>
            </w:r>
          </w:p>
        </w:tc>
        <w:tc>
          <w:tcPr>
            <w:tcW w:w="789" w:type="dxa"/>
            <w:tcBorders>
              <w:top w:val="nil"/>
              <w:left w:val="nil"/>
              <w:bottom w:val="single" w:sz="4" w:space="0" w:color="auto"/>
              <w:right w:val="single" w:sz="4" w:space="0" w:color="auto"/>
            </w:tcBorders>
            <w:shd w:val="clear" w:color="auto" w:fill="auto"/>
            <w:vAlign w:val="center"/>
            <w:hideMark/>
          </w:tcPr>
          <w:p w14:paraId="0DBD0B84" w14:textId="77777777" w:rsidR="00F00781" w:rsidRPr="00F00781" w:rsidRDefault="00F00781" w:rsidP="00F00781">
            <w:pPr>
              <w:rPr>
                <w:rFonts w:ascii="Arial Narrow" w:hAnsi="Arial Narrow" w:cs="Calibri"/>
                <w:sz w:val="14"/>
                <w:szCs w:val="14"/>
              </w:rPr>
            </w:pPr>
            <w:r w:rsidRPr="00F00781">
              <w:rPr>
                <w:rFonts w:ascii="Arial Narrow" w:hAnsi="Arial Narrow" w:cs="Calibri"/>
                <w:sz w:val="14"/>
                <w:szCs w:val="14"/>
              </w:rPr>
              <w:t> </w:t>
            </w:r>
          </w:p>
        </w:tc>
        <w:tc>
          <w:tcPr>
            <w:tcW w:w="693" w:type="dxa"/>
            <w:tcBorders>
              <w:top w:val="nil"/>
              <w:left w:val="nil"/>
              <w:bottom w:val="single" w:sz="4" w:space="0" w:color="auto"/>
              <w:right w:val="single" w:sz="4" w:space="0" w:color="auto"/>
            </w:tcBorders>
            <w:shd w:val="clear" w:color="auto" w:fill="auto"/>
            <w:vAlign w:val="center"/>
            <w:hideMark/>
          </w:tcPr>
          <w:p w14:paraId="286F86DE" w14:textId="77777777" w:rsidR="00F00781" w:rsidRPr="00F00781" w:rsidRDefault="00F00781" w:rsidP="00F00781">
            <w:pPr>
              <w:rPr>
                <w:rFonts w:ascii="Arial Narrow" w:hAnsi="Arial Narrow" w:cs="Calibri"/>
                <w:sz w:val="14"/>
                <w:szCs w:val="14"/>
              </w:rPr>
            </w:pPr>
            <w:r w:rsidRPr="00F00781">
              <w:rPr>
                <w:rFonts w:ascii="Arial Narrow" w:hAnsi="Arial Narrow" w:cs="Calibri"/>
                <w:sz w:val="14"/>
                <w:szCs w:val="14"/>
              </w:rPr>
              <w:t> </w:t>
            </w:r>
          </w:p>
        </w:tc>
        <w:tc>
          <w:tcPr>
            <w:tcW w:w="537" w:type="dxa"/>
            <w:tcBorders>
              <w:top w:val="nil"/>
              <w:left w:val="nil"/>
              <w:bottom w:val="single" w:sz="4" w:space="0" w:color="auto"/>
              <w:right w:val="single" w:sz="4" w:space="0" w:color="auto"/>
            </w:tcBorders>
            <w:shd w:val="clear" w:color="auto" w:fill="auto"/>
            <w:vAlign w:val="center"/>
            <w:hideMark/>
          </w:tcPr>
          <w:p w14:paraId="5995CA2A" w14:textId="77777777" w:rsidR="00F00781" w:rsidRPr="00F00781" w:rsidRDefault="00F00781" w:rsidP="00F00781">
            <w:pPr>
              <w:rPr>
                <w:rFonts w:ascii="Arial Narrow" w:hAnsi="Arial Narrow" w:cs="Calibri"/>
                <w:sz w:val="14"/>
                <w:szCs w:val="14"/>
              </w:rPr>
            </w:pPr>
            <w:r w:rsidRPr="00F00781">
              <w:rPr>
                <w:rFonts w:ascii="Arial Narrow" w:hAnsi="Arial Narrow" w:cs="Calibri"/>
                <w:sz w:val="14"/>
                <w:szCs w:val="14"/>
              </w:rPr>
              <w:t> </w:t>
            </w:r>
          </w:p>
        </w:tc>
        <w:tc>
          <w:tcPr>
            <w:tcW w:w="1143" w:type="dxa"/>
            <w:tcBorders>
              <w:top w:val="nil"/>
              <w:left w:val="nil"/>
              <w:bottom w:val="single" w:sz="4" w:space="0" w:color="auto"/>
              <w:right w:val="single" w:sz="4" w:space="0" w:color="auto"/>
            </w:tcBorders>
            <w:shd w:val="clear" w:color="auto" w:fill="auto"/>
            <w:vAlign w:val="center"/>
            <w:hideMark/>
          </w:tcPr>
          <w:p w14:paraId="62798D17" w14:textId="77777777" w:rsidR="00F00781" w:rsidRPr="00F00781" w:rsidRDefault="00F00781" w:rsidP="00F00781">
            <w:pPr>
              <w:rPr>
                <w:rFonts w:ascii="Arial Narrow" w:hAnsi="Arial Narrow" w:cs="Calibri"/>
                <w:sz w:val="14"/>
                <w:szCs w:val="14"/>
              </w:rPr>
            </w:pPr>
            <w:r w:rsidRPr="00F00781">
              <w:rPr>
                <w:rFonts w:ascii="Arial Narrow" w:hAnsi="Arial Narrow" w:cs="Calibri"/>
                <w:sz w:val="14"/>
                <w:szCs w:val="14"/>
              </w:rPr>
              <w:t> </w:t>
            </w:r>
          </w:p>
        </w:tc>
        <w:tc>
          <w:tcPr>
            <w:tcW w:w="1200" w:type="dxa"/>
            <w:tcBorders>
              <w:top w:val="nil"/>
              <w:left w:val="nil"/>
              <w:bottom w:val="single" w:sz="4" w:space="0" w:color="auto"/>
              <w:right w:val="single" w:sz="4" w:space="0" w:color="auto"/>
            </w:tcBorders>
            <w:shd w:val="clear" w:color="auto" w:fill="auto"/>
            <w:vAlign w:val="center"/>
            <w:hideMark/>
          </w:tcPr>
          <w:p w14:paraId="6C269168"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5,4</w:t>
            </w:r>
          </w:p>
        </w:tc>
        <w:tc>
          <w:tcPr>
            <w:tcW w:w="721" w:type="dxa"/>
            <w:tcBorders>
              <w:top w:val="nil"/>
              <w:left w:val="nil"/>
              <w:bottom w:val="single" w:sz="4" w:space="0" w:color="auto"/>
              <w:right w:val="single" w:sz="4" w:space="0" w:color="auto"/>
            </w:tcBorders>
            <w:shd w:val="clear" w:color="auto" w:fill="auto"/>
            <w:vAlign w:val="center"/>
            <w:hideMark/>
          </w:tcPr>
          <w:p w14:paraId="1EA52BC2" w14:textId="77777777" w:rsidR="00F00781" w:rsidRPr="00F00781" w:rsidRDefault="00F00781" w:rsidP="00F00781">
            <w:pPr>
              <w:rPr>
                <w:rFonts w:ascii="Arial Narrow" w:hAnsi="Arial Narrow" w:cs="Calibri"/>
                <w:sz w:val="14"/>
                <w:szCs w:val="14"/>
              </w:rPr>
            </w:pPr>
            <w:r w:rsidRPr="00F00781">
              <w:rPr>
                <w:rFonts w:ascii="Arial Narrow" w:hAnsi="Arial Narrow" w:cs="Calibri"/>
                <w:sz w:val="14"/>
                <w:szCs w:val="14"/>
              </w:rPr>
              <w:t> </w:t>
            </w:r>
          </w:p>
        </w:tc>
        <w:tc>
          <w:tcPr>
            <w:tcW w:w="721" w:type="dxa"/>
            <w:tcBorders>
              <w:top w:val="nil"/>
              <w:left w:val="nil"/>
              <w:bottom w:val="single" w:sz="4" w:space="0" w:color="auto"/>
              <w:right w:val="single" w:sz="4" w:space="0" w:color="auto"/>
            </w:tcBorders>
            <w:shd w:val="clear" w:color="auto" w:fill="auto"/>
            <w:vAlign w:val="center"/>
            <w:hideMark/>
          </w:tcPr>
          <w:p w14:paraId="418C7763" w14:textId="77777777" w:rsidR="00F00781" w:rsidRPr="00F00781" w:rsidRDefault="00F00781" w:rsidP="00F00781">
            <w:pPr>
              <w:rPr>
                <w:rFonts w:ascii="Arial Narrow" w:hAnsi="Arial Narrow" w:cs="Calibri"/>
                <w:sz w:val="14"/>
                <w:szCs w:val="14"/>
              </w:rPr>
            </w:pPr>
            <w:r w:rsidRPr="00F00781">
              <w:rPr>
                <w:rFonts w:ascii="Arial Narrow" w:hAnsi="Arial Narrow" w:cs="Calibri"/>
                <w:sz w:val="14"/>
                <w:szCs w:val="14"/>
              </w:rPr>
              <w:t> </w:t>
            </w:r>
          </w:p>
        </w:tc>
        <w:tc>
          <w:tcPr>
            <w:tcW w:w="698" w:type="dxa"/>
            <w:tcBorders>
              <w:top w:val="nil"/>
              <w:left w:val="nil"/>
              <w:bottom w:val="single" w:sz="4" w:space="0" w:color="auto"/>
              <w:right w:val="single" w:sz="4" w:space="0" w:color="auto"/>
            </w:tcBorders>
            <w:shd w:val="clear" w:color="auto" w:fill="auto"/>
            <w:vAlign w:val="center"/>
            <w:hideMark/>
          </w:tcPr>
          <w:p w14:paraId="44CCD680" w14:textId="77777777" w:rsidR="00F00781" w:rsidRPr="00F00781" w:rsidRDefault="00F00781" w:rsidP="00F00781">
            <w:pPr>
              <w:rPr>
                <w:rFonts w:ascii="Arial Narrow" w:hAnsi="Arial Narrow" w:cs="Calibri"/>
                <w:sz w:val="14"/>
                <w:szCs w:val="14"/>
              </w:rPr>
            </w:pPr>
            <w:r w:rsidRPr="00F00781">
              <w:rPr>
                <w:rFonts w:ascii="Arial Narrow" w:hAnsi="Arial Narrow" w:cs="Calibri"/>
                <w:sz w:val="14"/>
                <w:szCs w:val="14"/>
              </w:rPr>
              <w:t> </w:t>
            </w:r>
          </w:p>
        </w:tc>
        <w:tc>
          <w:tcPr>
            <w:tcW w:w="765" w:type="dxa"/>
            <w:tcBorders>
              <w:top w:val="nil"/>
              <w:left w:val="nil"/>
              <w:bottom w:val="single" w:sz="4" w:space="0" w:color="auto"/>
              <w:right w:val="single" w:sz="4" w:space="0" w:color="auto"/>
            </w:tcBorders>
            <w:shd w:val="clear" w:color="auto" w:fill="auto"/>
            <w:vAlign w:val="center"/>
            <w:hideMark/>
          </w:tcPr>
          <w:p w14:paraId="014DB58F" w14:textId="77777777" w:rsidR="00F00781" w:rsidRPr="00F00781" w:rsidRDefault="00F00781" w:rsidP="00F00781">
            <w:pPr>
              <w:rPr>
                <w:rFonts w:ascii="Arial Narrow" w:hAnsi="Arial Narrow" w:cs="Calibri"/>
                <w:sz w:val="14"/>
                <w:szCs w:val="14"/>
              </w:rPr>
            </w:pPr>
            <w:r w:rsidRPr="00F00781">
              <w:rPr>
                <w:rFonts w:ascii="Arial Narrow" w:hAnsi="Arial Narrow" w:cs="Calibri"/>
                <w:sz w:val="14"/>
                <w:szCs w:val="14"/>
              </w:rPr>
              <w:t> </w:t>
            </w:r>
          </w:p>
        </w:tc>
        <w:tc>
          <w:tcPr>
            <w:tcW w:w="970" w:type="dxa"/>
            <w:tcBorders>
              <w:top w:val="nil"/>
              <w:left w:val="nil"/>
              <w:bottom w:val="single" w:sz="4" w:space="0" w:color="auto"/>
              <w:right w:val="single" w:sz="4" w:space="0" w:color="auto"/>
            </w:tcBorders>
            <w:shd w:val="clear" w:color="auto" w:fill="auto"/>
            <w:vAlign w:val="center"/>
            <w:hideMark/>
          </w:tcPr>
          <w:p w14:paraId="1D3AE640" w14:textId="77777777" w:rsidR="00F00781" w:rsidRPr="00F00781" w:rsidRDefault="00F00781" w:rsidP="00F00781">
            <w:pPr>
              <w:rPr>
                <w:rFonts w:ascii="Arial Narrow" w:hAnsi="Arial Narrow" w:cs="Calibri"/>
                <w:sz w:val="14"/>
                <w:szCs w:val="14"/>
              </w:rPr>
            </w:pPr>
            <w:r w:rsidRPr="00F00781">
              <w:rPr>
                <w:rFonts w:ascii="Arial Narrow" w:hAnsi="Arial Narrow" w:cs="Calibri"/>
                <w:sz w:val="14"/>
                <w:szCs w:val="14"/>
              </w:rPr>
              <w:t> </w:t>
            </w:r>
          </w:p>
        </w:tc>
        <w:tc>
          <w:tcPr>
            <w:tcW w:w="602" w:type="dxa"/>
            <w:tcBorders>
              <w:top w:val="nil"/>
              <w:left w:val="nil"/>
              <w:bottom w:val="single" w:sz="4" w:space="0" w:color="auto"/>
              <w:right w:val="single" w:sz="4" w:space="0" w:color="auto"/>
            </w:tcBorders>
            <w:shd w:val="clear" w:color="auto" w:fill="auto"/>
            <w:vAlign w:val="center"/>
            <w:hideMark/>
          </w:tcPr>
          <w:p w14:paraId="779FDAAC" w14:textId="77777777" w:rsidR="00F00781" w:rsidRPr="00F00781" w:rsidRDefault="00F00781" w:rsidP="00F00781">
            <w:pPr>
              <w:rPr>
                <w:rFonts w:ascii="Arial Narrow" w:hAnsi="Arial Narrow" w:cs="Calibri"/>
                <w:sz w:val="14"/>
                <w:szCs w:val="14"/>
              </w:rPr>
            </w:pPr>
            <w:r w:rsidRPr="00F00781">
              <w:rPr>
                <w:rFonts w:ascii="Arial Narrow" w:hAnsi="Arial Narrow" w:cs="Calibri"/>
                <w:sz w:val="14"/>
                <w:szCs w:val="14"/>
              </w:rPr>
              <w:t> </w:t>
            </w:r>
          </w:p>
        </w:tc>
        <w:tc>
          <w:tcPr>
            <w:tcW w:w="697" w:type="dxa"/>
            <w:tcBorders>
              <w:top w:val="nil"/>
              <w:left w:val="nil"/>
              <w:bottom w:val="single" w:sz="4" w:space="0" w:color="auto"/>
              <w:right w:val="single" w:sz="4" w:space="0" w:color="auto"/>
            </w:tcBorders>
            <w:shd w:val="clear" w:color="auto" w:fill="auto"/>
            <w:vAlign w:val="center"/>
            <w:hideMark/>
          </w:tcPr>
          <w:p w14:paraId="4A94F161" w14:textId="77777777" w:rsidR="00F00781" w:rsidRPr="00F00781" w:rsidRDefault="00F00781" w:rsidP="00F00781">
            <w:pPr>
              <w:rPr>
                <w:rFonts w:ascii="Arial Narrow" w:hAnsi="Arial Narrow" w:cs="Calibri"/>
                <w:sz w:val="14"/>
                <w:szCs w:val="14"/>
              </w:rPr>
            </w:pPr>
            <w:r w:rsidRPr="00F00781">
              <w:rPr>
                <w:rFonts w:ascii="Arial Narrow" w:hAnsi="Arial Narrow" w:cs="Calibri"/>
                <w:sz w:val="14"/>
                <w:szCs w:val="14"/>
              </w:rPr>
              <w:t> </w:t>
            </w:r>
          </w:p>
        </w:tc>
        <w:tc>
          <w:tcPr>
            <w:tcW w:w="869" w:type="dxa"/>
            <w:tcBorders>
              <w:top w:val="nil"/>
              <w:left w:val="nil"/>
              <w:bottom w:val="single" w:sz="4" w:space="0" w:color="auto"/>
              <w:right w:val="single" w:sz="4" w:space="0" w:color="auto"/>
            </w:tcBorders>
            <w:shd w:val="clear" w:color="auto" w:fill="auto"/>
            <w:vAlign w:val="center"/>
            <w:hideMark/>
          </w:tcPr>
          <w:p w14:paraId="4EFD0641" w14:textId="77777777" w:rsidR="00F00781" w:rsidRPr="00F00781" w:rsidRDefault="00F00781" w:rsidP="00F00781">
            <w:pPr>
              <w:jc w:val="right"/>
              <w:rPr>
                <w:rFonts w:ascii="Arial Narrow" w:hAnsi="Arial Narrow" w:cs="Calibri"/>
                <w:sz w:val="14"/>
                <w:szCs w:val="14"/>
              </w:rPr>
            </w:pPr>
            <w:r w:rsidRPr="00F00781">
              <w:rPr>
                <w:rFonts w:ascii="Arial Narrow" w:hAnsi="Arial Narrow" w:cs="Calibri"/>
                <w:sz w:val="14"/>
                <w:szCs w:val="14"/>
              </w:rPr>
              <w:t>5,4</w:t>
            </w:r>
          </w:p>
        </w:tc>
      </w:tr>
      <w:tr w:rsidR="00F00781" w:rsidRPr="00F00781" w14:paraId="4ED45FF2" w14:textId="77777777" w:rsidTr="00E01BBF">
        <w:trPr>
          <w:trHeight w:val="380"/>
        </w:trPr>
        <w:tc>
          <w:tcPr>
            <w:tcW w:w="632" w:type="dxa"/>
            <w:tcBorders>
              <w:top w:val="nil"/>
              <w:left w:val="single" w:sz="4" w:space="0" w:color="auto"/>
              <w:bottom w:val="single" w:sz="4" w:space="0" w:color="auto"/>
              <w:right w:val="single" w:sz="4" w:space="0" w:color="auto"/>
            </w:tcBorders>
            <w:shd w:val="clear" w:color="auto" w:fill="auto"/>
            <w:vAlign w:val="center"/>
            <w:hideMark/>
          </w:tcPr>
          <w:p w14:paraId="1C024037" w14:textId="77777777" w:rsidR="00F00781" w:rsidRPr="00F00781" w:rsidRDefault="00F00781" w:rsidP="005232AE">
            <w:pPr>
              <w:rPr>
                <w:rFonts w:ascii="Arial Narrow" w:hAnsi="Arial Narrow" w:cs="Calibri"/>
                <w:sz w:val="14"/>
                <w:szCs w:val="14"/>
              </w:rPr>
            </w:pPr>
            <w:r w:rsidRPr="00F00781">
              <w:rPr>
                <w:rFonts w:ascii="Arial Narrow" w:hAnsi="Arial Narrow" w:cs="Calibri"/>
                <w:sz w:val="14"/>
                <w:szCs w:val="14"/>
              </w:rPr>
              <w:t xml:space="preserve"> 17.2</w:t>
            </w:r>
          </w:p>
        </w:tc>
        <w:tc>
          <w:tcPr>
            <w:tcW w:w="1671" w:type="dxa"/>
            <w:tcBorders>
              <w:top w:val="nil"/>
              <w:left w:val="nil"/>
              <w:bottom w:val="single" w:sz="4" w:space="0" w:color="auto"/>
              <w:right w:val="single" w:sz="4" w:space="0" w:color="auto"/>
            </w:tcBorders>
            <w:shd w:val="clear" w:color="auto" w:fill="auto"/>
            <w:vAlign w:val="center"/>
            <w:hideMark/>
          </w:tcPr>
          <w:p w14:paraId="1D664803" w14:textId="77777777" w:rsidR="00F00781" w:rsidRPr="00F00781" w:rsidRDefault="00F00781" w:rsidP="00F00781">
            <w:pPr>
              <w:ind w:firstLineChars="100" w:firstLine="140"/>
              <w:rPr>
                <w:rFonts w:ascii="Arial Narrow" w:hAnsi="Arial Narrow" w:cs="Calibri"/>
                <w:sz w:val="14"/>
                <w:szCs w:val="14"/>
              </w:rPr>
            </w:pPr>
            <w:r w:rsidRPr="00F00781">
              <w:rPr>
                <w:rFonts w:ascii="Arial Narrow" w:hAnsi="Arial Narrow" w:cs="Calibri"/>
                <w:sz w:val="14"/>
                <w:szCs w:val="14"/>
              </w:rPr>
              <w:t>Други неотделими второстепенни дейности</w:t>
            </w:r>
          </w:p>
        </w:tc>
        <w:tc>
          <w:tcPr>
            <w:tcW w:w="773" w:type="dxa"/>
            <w:tcBorders>
              <w:top w:val="nil"/>
              <w:left w:val="nil"/>
              <w:bottom w:val="single" w:sz="4" w:space="0" w:color="auto"/>
              <w:right w:val="single" w:sz="4" w:space="0" w:color="auto"/>
            </w:tcBorders>
            <w:shd w:val="clear" w:color="auto" w:fill="auto"/>
            <w:vAlign w:val="center"/>
            <w:hideMark/>
          </w:tcPr>
          <w:p w14:paraId="77E5603F" w14:textId="77777777" w:rsidR="00F00781" w:rsidRPr="00F00781" w:rsidRDefault="00F00781" w:rsidP="00F00781">
            <w:pPr>
              <w:rPr>
                <w:rFonts w:ascii="Arial Narrow" w:hAnsi="Arial Narrow" w:cs="Calibri"/>
                <w:sz w:val="14"/>
                <w:szCs w:val="14"/>
              </w:rPr>
            </w:pPr>
            <w:r w:rsidRPr="00F00781">
              <w:rPr>
                <w:rFonts w:ascii="Arial Narrow" w:hAnsi="Arial Narrow" w:cs="Calibri"/>
                <w:sz w:val="14"/>
                <w:szCs w:val="14"/>
              </w:rPr>
              <w:t> </w:t>
            </w:r>
          </w:p>
        </w:tc>
        <w:tc>
          <w:tcPr>
            <w:tcW w:w="582" w:type="dxa"/>
            <w:tcBorders>
              <w:top w:val="nil"/>
              <w:left w:val="nil"/>
              <w:bottom w:val="single" w:sz="4" w:space="0" w:color="auto"/>
              <w:right w:val="single" w:sz="4" w:space="0" w:color="auto"/>
            </w:tcBorders>
            <w:shd w:val="clear" w:color="auto" w:fill="auto"/>
            <w:vAlign w:val="center"/>
            <w:hideMark/>
          </w:tcPr>
          <w:p w14:paraId="35AA43D4" w14:textId="77777777" w:rsidR="00F00781" w:rsidRPr="00F00781" w:rsidRDefault="00F00781" w:rsidP="00F00781">
            <w:pPr>
              <w:rPr>
                <w:rFonts w:ascii="Arial Narrow" w:hAnsi="Arial Narrow" w:cs="Calibri"/>
                <w:sz w:val="14"/>
                <w:szCs w:val="14"/>
              </w:rPr>
            </w:pPr>
            <w:r w:rsidRPr="00F00781">
              <w:rPr>
                <w:rFonts w:ascii="Arial Narrow" w:hAnsi="Arial Narrow" w:cs="Calibri"/>
                <w:sz w:val="14"/>
                <w:szCs w:val="14"/>
              </w:rPr>
              <w:t> </w:t>
            </w:r>
          </w:p>
        </w:tc>
        <w:tc>
          <w:tcPr>
            <w:tcW w:w="681" w:type="dxa"/>
            <w:tcBorders>
              <w:top w:val="nil"/>
              <w:left w:val="nil"/>
              <w:bottom w:val="single" w:sz="4" w:space="0" w:color="auto"/>
              <w:right w:val="single" w:sz="4" w:space="0" w:color="auto"/>
            </w:tcBorders>
            <w:shd w:val="clear" w:color="auto" w:fill="auto"/>
            <w:vAlign w:val="center"/>
            <w:hideMark/>
          </w:tcPr>
          <w:p w14:paraId="5FF8E811" w14:textId="77777777" w:rsidR="00F00781" w:rsidRPr="00F00781" w:rsidRDefault="00F00781" w:rsidP="00F00781">
            <w:pPr>
              <w:rPr>
                <w:rFonts w:ascii="Arial Narrow" w:hAnsi="Arial Narrow" w:cs="Calibri"/>
                <w:sz w:val="14"/>
                <w:szCs w:val="14"/>
              </w:rPr>
            </w:pPr>
            <w:r w:rsidRPr="00F00781">
              <w:rPr>
                <w:rFonts w:ascii="Arial Narrow" w:hAnsi="Arial Narrow" w:cs="Calibri"/>
                <w:sz w:val="14"/>
                <w:szCs w:val="14"/>
              </w:rPr>
              <w:t> </w:t>
            </w:r>
          </w:p>
        </w:tc>
        <w:tc>
          <w:tcPr>
            <w:tcW w:w="789" w:type="dxa"/>
            <w:tcBorders>
              <w:top w:val="nil"/>
              <w:left w:val="nil"/>
              <w:bottom w:val="single" w:sz="4" w:space="0" w:color="auto"/>
              <w:right w:val="single" w:sz="4" w:space="0" w:color="auto"/>
            </w:tcBorders>
            <w:shd w:val="clear" w:color="auto" w:fill="auto"/>
            <w:vAlign w:val="center"/>
            <w:hideMark/>
          </w:tcPr>
          <w:p w14:paraId="6AEBBC06" w14:textId="77777777" w:rsidR="00F00781" w:rsidRPr="00F00781" w:rsidRDefault="00F00781" w:rsidP="00F00781">
            <w:pPr>
              <w:rPr>
                <w:rFonts w:ascii="Arial Narrow" w:hAnsi="Arial Narrow" w:cs="Calibri"/>
                <w:sz w:val="14"/>
                <w:szCs w:val="14"/>
              </w:rPr>
            </w:pPr>
            <w:r w:rsidRPr="00F00781">
              <w:rPr>
                <w:rFonts w:ascii="Arial Narrow" w:hAnsi="Arial Narrow" w:cs="Calibri"/>
                <w:sz w:val="14"/>
                <w:szCs w:val="14"/>
              </w:rPr>
              <w:t> </w:t>
            </w:r>
          </w:p>
        </w:tc>
        <w:tc>
          <w:tcPr>
            <w:tcW w:w="693" w:type="dxa"/>
            <w:tcBorders>
              <w:top w:val="nil"/>
              <w:left w:val="nil"/>
              <w:bottom w:val="single" w:sz="4" w:space="0" w:color="auto"/>
              <w:right w:val="single" w:sz="4" w:space="0" w:color="auto"/>
            </w:tcBorders>
            <w:shd w:val="clear" w:color="auto" w:fill="auto"/>
            <w:vAlign w:val="center"/>
            <w:hideMark/>
          </w:tcPr>
          <w:p w14:paraId="709928F0" w14:textId="77777777" w:rsidR="00F00781" w:rsidRPr="00F00781" w:rsidRDefault="00F00781" w:rsidP="00F00781">
            <w:pPr>
              <w:rPr>
                <w:rFonts w:ascii="Arial Narrow" w:hAnsi="Arial Narrow" w:cs="Calibri"/>
                <w:sz w:val="14"/>
                <w:szCs w:val="14"/>
              </w:rPr>
            </w:pPr>
            <w:r w:rsidRPr="00F00781">
              <w:rPr>
                <w:rFonts w:ascii="Arial Narrow" w:hAnsi="Arial Narrow" w:cs="Calibri"/>
                <w:sz w:val="14"/>
                <w:szCs w:val="14"/>
              </w:rPr>
              <w:t> </w:t>
            </w:r>
          </w:p>
        </w:tc>
        <w:tc>
          <w:tcPr>
            <w:tcW w:w="537" w:type="dxa"/>
            <w:tcBorders>
              <w:top w:val="nil"/>
              <w:left w:val="nil"/>
              <w:bottom w:val="single" w:sz="4" w:space="0" w:color="auto"/>
              <w:right w:val="single" w:sz="4" w:space="0" w:color="auto"/>
            </w:tcBorders>
            <w:shd w:val="clear" w:color="auto" w:fill="auto"/>
            <w:vAlign w:val="center"/>
            <w:hideMark/>
          </w:tcPr>
          <w:p w14:paraId="3EC47BA5" w14:textId="77777777" w:rsidR="00F00781" w:rsidRPr="00F00781" w:rsidRDefault="00F00781" w:rsidP="00F00781">
            <w:pPr>
              <w:rPr>
                <w:rFonts w:ascii="Arial Narrow" w:hAnsi="Arial Narrow" w:cs="Calibri"/>
                <w:sz w:val="14"/>
                <w:szCs w:val="14"/>
              </w:rPr>
            </w:pPr>
            <w:r w:rsidRPr="00F00781">
              <w:rPr>
                <w:rFonts w:ascii="Arial Narrow" w:hAnsi="Arial Narrow" w:cs="Calibri"/>
                <w:sz w:val="14"/>
                <w:szCs w:val="14"/>
              </w:rPr>
              <w:t> </w:t>
            </w:r>
          </w:p>
        </w:tc>
        <w:tc>
          <w:tcPr>
            <w:tcW w:w="1143" w:type="dxa"/>
            <w:tcBorders>
              <w:top w:val="nil"/>
              <w:left w:val="nil"/>
              <w:bottom w:val="single" w:sz="4" w:space="0" w:color="auto"/>
              <w:right w:val="single" w:sz="4" w:space="0" w:color="auto"/>
            </w:tcBorders>
            <w:shd w:val="clear" w:color="auto" w:fill="auto"/>
            <w:vAlign w:val="center"/>
            <w:hideMark/>
          </w:tcPr>
          <w:p w14:paraId="12C8378B" w14:textId="77777777" w:rsidR="00F00781" w:rsidRPr="00F00781" w:rsidRDefault="00F00781" w:rsidP="00F00781">
            <w:pPr>
              <w:rPr>
                <w:rFonts w:ascii="Arial Narrow" w:hAnsi="Arial Narrow" w:cs="Calibri"/>
                <w:sz w:val="14"/>
                <w:szCs w:val="14"/>
              </w:rPr>
            </w:pPr>
            <w:r w:rsidRPr="00F00781">
              <w:rPr>
                <w:rFonts w:ascii="Arial Narrow" w:hAnsi="Arial Narrow" w:cs="Calibri"/>
                <w:sz w:val="14"/>
                <w:szCs w:val="14"/>
              </w:rPr>
              <w:t> </w:t>
            </w:r>
          </w:p>
        </w:tc>
        <w:tc>
          <w:tcPr>
            <w:tcW w:w="1200" w:type="dxa"/>
            <w:tcBorders>
              <w:top w:val="nil"/>
              <w:left w:val="nil"/>
              <w:bottom w:val="single" w:sz="4" w:space="0" w:color="auto"/>
              <w:right w:val="single" w:sz="4" w:space="0" w:color="auto"/>
            </w:tcBorders>
            <w:shd w:val="clear" w:color="auto" w:fill="auto"/>
            <w:vAlign w:val="center"/>
            <w:hideMark/>
          </w:tcPr>
          <w:p w14:paraId="260797BB" w14:textId="77777777" w:rsidR="00F00781" w:rsidRPr="00F00781" w:rsidRDefault="00F00781" w:rsidP="00F00781">
            <w:pPr>
              <w:rPr>
                <w:rFonts w:ascii="Arial Narrow" w:hAnsi="Arial Narrow" w:cs="Calibri"/>
                <w:sz w:val="14"/>
                <w:szCs w:val="14"/>
              </w:rPr>
            </w:pPr>
            <w:r w:rsidRPr="00F00781">
              <w:rPr>
                <w:rFonts w:ascii="Arial Narrow" w:hAnsi="Arial Narrow" w:cs="Calibri"/>
                <w:sz w:val="14"/>
                <w:szCs w:val="14"/>
              </w:rPr>
              <w:t> </w:t>
            </w:r>
          </w:p>
        </w:tc>
        <w:tc>
          <w:tcPr>
            <w:tcW w:w="721" w:type="dxa"/>
            <w:tcBorders>
              <w:top w:val="nil"/>
              <w:left w:val="nil"/>
              <w:bottom w:val="single" w:sz="4" w:space="0" w:color="auto"/>
              <w:right w:val="single" w:sz="4" w:space="0" w:color="auto"/>
            </w:tcBorders>
            <w:shd w:val="clear" w:color="auto" w:fill="auto"/>
            <w:vAlign w:val="center"/>
            <w:hideMark/>
          </w:tcPr>
          <w:p w14:paraId="0C54984F" w14:textId="77777777" w:rsidR="00F00781" w:rsidRPr="00F00781" w:rsidRDefault="00F00781" w:rsidP="00F00781">
            <w:pPr>
              <w:rPr>
                <w:rFonts w:ascii="Arial Narrow" w:hAnsi="Arial Narrow" w:cs="Calibri"/>
                <w:sz w:val="14"/>
                <w:szCs w:val="14"/>
              </w:rPr>
            </w:pPr>
            <w:r w:rsidRPr="00F00781">
              <w:rPr>
                <w:rFonts w:ascii="Arial Narrow" w:hAnsi="Arial Narrow" w:cs="Calibri"/>
                <w:sz w:val="14"/>
                <w:szCs w:val="14"/>
              </w:rPr>
              <w:t> </w:t>
            </w:r>
          </w:p>
        </w:tc>
        <w:tc>
          <w:tcPr>
            <w:tcW w:w="721" w:type="dxa"/>
            <w:tcBorders>
              <w:top w:val="nil"/>
              <w:left w:val="nil"/>
              <w:bottom w:val="single" w:sz="4" w:space="0" w:color="auto"/>
              <w:right w:val="single" w:sz="4" w:space="0" w:color="auto"/>
            </w:tcBorders>
            <w:shd w:val="clear" w:color="auto" w:fill="auto"/>
            <w:vAlign w:val="center"/>
            <w:hideMark/>
          </w:tcPr>
          <w:p w14:paraId="2463CB18" w14:textId="77777777" w:rsidR="00F00781" w:rsidRPr="00F00781" w:rsidRDefault="00F00781" w:rsidP="00F00781">
            <w:pPr>
              <w:rPr>
                <w:rFonts w:ascii="Arial Narrow" w:hAnsi="Arial Narrow" w:cs="Calibri"/>
                <w:sz w:val="14"/>
                <w:szCs w:val="14"/>
              </w:rPr>
            </w:pPr>
            <w:r w:rsidRPr="00F00781">
              <w:rPr>
                <w:rFonts w:ascii="Arial Narrow" w:hAnsi="Arial Narrow" w:cs="Calibri"/>
                <w:sz w:val="14"/>
                <w:szCs w:val="14"/>
              </w:rPr>
              <w:t> </w:t>
            </w:r>
          </w:p>
        </w:tc>
        <w:tc>
          <w:tcPr>
            <w:tcW w:w="698" w:type="dxa"/>
            <w:tcBorders>
              <w:top w:val="nil"/>
              <w:left w:val="nil"/>
              <w:bottom w:val="single" w:sz="4" w:space="0" w:color="auto"/>
              <w:right w:val="single" w:sz="4" w:space="0" w:color="auto"/>
            </w:tcBorders>
            <w:shd w:val="clear" w:color="auto" w:fill="auto"/>
            <w:vAlign w:val="center"/>
            <w:hideMark/>
          </w:tcPr>
          <w:p w14:paraId="23731AA2" w14:textId="77777777" w:rsidR="00F00781" w:rsidRPr="00F00781" w:rsidRDefault="00F00781" w:rsidP="00F00781">
            <w:pPr>
              <w:rPr>
                <w:rFonts w:ascii="Arial Narrow" w:hAnsi="Arial Narrow" w:cs="Calibri"/>
                <w:sz w:val="14"/>
                <w:szCs w:val="14"/>
              </w:rPr>
            </w:pPr>
            <w:r w:rsidRPr="00F00781">
              <w:rPr>
                <w:rFonts w:ascii="Arial Narrow" w:hAnsi="Arial Narrow" w:cs="Calibri"/>
                <w:sz w:val="14"/>
                <w:szCs w:val="14"/>
              </w:rPr>
              <w:t> </w:t>
            </w:r>
          </w:p>
        </w:tc>
        <w:tc>
          <w:tcPr>
            <w:tcW w:w="765" w:type="dxa"/>
            <w:tcBorders>
              <w:top w:val="nil"/>
              <w:left w:val="nil"/>
              <w:bottom w:val="single" w:sz="4" w:space="0" w:color="auto"/>
              <w:right w:val="single" w:sz="4" w:space="0" w:color="auto"/>
            </w:tcBorders>
            <w:shd w:val="clear" w:color="auto" w:fill="auto"/>
            <w:vAlign w:val="center"/>
            <w:hideMark/>
          </w:tcPr>
          <w:p w14:paraId="11D17433" w14:textId="77777777" w:rsidR="00F00781" w:rsidRPr="00F00781" w:rsidRDefault="00F00781" w:rsidP="00F00781">
            <w:pPr>
              <w:rPr>
                <w:rFonts w:ascii="Arial Narrow" w:hAnsi="Arial Narrow" w:cs="Calibri"/>
                <w:sz w:val="14"/>
                <w:szCs w:val="14"/>
              </w:rPr>
            </w:pPr>
            <w:r w:rsidRPr="00F00781">
              <w:rPr>
                <w:rFonts w:ascii="Arial Narrow" w:hAnsi="Arial Narrow" w:cs="Calibri"/>
                <w:sz w:val="14"/>
                <w:szCs w:val="14"/>
              </w:rPr>
              <w:t> </w:t>
            </w:r>
          </w:p>
        </w:tc>
        <w:tc>
          <w:tcPr>
            <w:tcW w:w="970" w:type="dxa"/>
            <w:tcBorders>
              <w:top w:val="nil"/>
              <w:left w:val="nil"/>
              <w:bottom w:val="single" w:sz="4" w:space="0" w:color="auto"/>
              <w:right w:val="single" w:sz="4" w:space="0" w:color="auto"/>
            </w:tcBorders>
            <w:shd w:val="clear" w:color="auto" w:fill="auto"/>
            <w:vAlign w:val="center"/>
            <w:hideMark/>
          </w:tcPr>
          <w:p w14:paraId="2B63769C" w14:textId="77777777" w:rsidR="00F00781" w:rsidRPr="00F00781" w:rsidRDefault="00F00781" w:rsidP="00F00781">
            <w:pPr>
              <w:rPr>
                <w:rFonts w:ascii="Arial Narrow" w:hAnsi="Arial Narrow" w:cs="Calibri"/>
                <w:sz w:val="14"/>
                <w:szCs w:val="14"/>
              </w:rPr>
            </w:pPr>
            <w:r w:rsidRPr="00F00781">
              <w:rPr>
                <w:rFonts w:ascii="Arial Narrow" w:hAnsi="Arial Narrow" w:cs="Calibri"/>
                <w:sz w:val="14"/>
                <w:szCs w:val="14"/>
              </w:rPr>
              <w:t> </w:t>
            </w:r>
          </w:p>
        </w:tc>
        <w:tc>
          <w:tcPr>
            <w:tcW w:w="602" w:type="dxa"/>
            <w:tcBorders>
              <w:top w:val="nil"/>
              <w:left w:val="nil"/>
              <w:bottom w:val="single" w:sz="4" w:space="0" w:color="auto"/>
              <w:right w:val="single" w:sz="4" w:space="0" w:color="auto"/>
            </w:tcBorders>
            <w:shd w:val="clear" w:color="auto" w:fill="auto"/>
            <w:vAlign w:val="center"/>
            <w:hideMark/>
          </w:tcPr>
          <w:p w14:paraId="21CA0D59" w14:textId="77777777" w:rsidR="00F00781" w:rsidRPr="00F00781" w:rsidRDefault="00F00781" w:rsidP="00F00781">
            <w:pPr>
              <w:rPr>
                <w:rFonts w:ascii="Arial Narrow" w:hAnsi="Arial Narrow" w:cs="Calibri"/>
                <w:sz w:val="14"/>
                <w:szCs w:val="14"/>
              </w:rPr>
            </w:pPr>
            <w:r w:rsidRPr="00F00781">
              <w:rPr>
                <w:rFonts w:ascii="Arial Narrow" w:hAnsi="Arial Narrow" w:cs="Calibri"/>
                <w:sz w:val="14"/>
                <w:szCs w:val="14"/>
              </w:rPr>
              <w:t> </w:t>
            </w:r>
          </w:p>
        </w:tc>
        <w:tc>
          <w:tcPr>
            <w:tcW w:w="697" w:type="dxa"/>
            <w:tcBorders>
              <w:top w:val="nil"/>
              <w:left w:val="nil"/>
              <w:bottom w:val="single" w:sz="4" w:space="0" w:color="auto"/>
              <w:right w:val="single" w:sz="4" w:space="0" w:color="auto"/>
            </w:tcBorders>
            <w:shd w:val="clear" w:color="auto" w:fill="auto"/>
            <w:vAlign w:val="center"/>
            <w:hideMark/>
          </w:tcPr>
          <w:p w14:paraId="5F6EDE88" w14:textId="77777777" w:rsidR="00F00781" w:rsidRPr="00F00781" w:rsidRDefault="00F00781" w:rsidP="00F00781">
            <w:pPr>
              <w:rPr>
                <w:rFonts w:ascii="Arial Narrow" w:hAnsi="Arial Narrow" w:cs="Calibri"/>
                <w:sz w:val="14"/>
                <w:szCs w:val="14"/>
              </w:rPr>
            </w:pPr>
            <w:r w:rsidRPr="00F00781">
              <w:rPr>
                <w:rFonts w:ascii="Arial Narrow" w:hAnsi="Arial Narrow" w:cs="Calibri"/>
                <w:sz w:val="14"/>
                <w:szCs w:val="14"/>
              </w:rPr>
              <w:t> </w:t>
            </w:r>
          </w:p>
        </w:tc>
        <w:tc>
          <w:tcPr>
            <w:tcW w:w="869" w:type="dxa"/>
            <w:tcBorders>
              <w:top w:val="nil"/>
              <w:left w:val="nil"/>
              <w:bottom w:val="single" w:sz="4" w:space="0" w:color="auto"/>
              <w:right w:val="single" w:sz="4" w:space="0" w:color="auto"/>
            </w:tcBorders>
            <w:shd w:val="clear" w:color="auto" w:fill="auto"/>
            <w:vAlign w:val="center"/>
            <w:hideMark/>
          </w:tcPr>
          <w:p w14:paraId="3B5BE105" w14:textId="77777777" w:rsidR="00F00781" w:rsidRPr="00F00781" w:rsidRDefault="00F00781" w:rsidP="00F00781">
            <w:pPr>
              <w:rPr>
                <w:rFonts w:ascii="Arial Narrow" w:hAnsi="Arial Narrow" w:cs="Calibri"/>
                <w:sz w:val="14"/>
                <w:szCs w:val="14"/>
              </w:rPr>
            </w:pPr>
            <w:r w:rsidRPr="00F00781">
              <w:rPr>
                <w:rFonts w:ascii="Arial Narrow" w:hAnsi="Arial Narrow" w:cs="Calibri"/>
                <w:sz w:val="14"/>
                <w:szCs w:val="14"/>
              </w:rPr>
              <w:t> </w:t>
            </w:r>
          </w:p>
        </w:tc>
      </w:tr>
      <w:tr w:rsidR="00F00781" w:rsidRPr="00F00781" w14:paraId="28E9D5BE" w14:textId="77777777" w:rsidTr="000B4BE6">
        <w:trPr>
          <w:trHeight w:val="496"/>
        </w:trPr>
        <w:tc>
          <w:tcPr>
            <w:tcW w:w="632" w:type="dxa"/>
            <w:tcBorders>
              <w:top w:val="nil"/>
              <w:left w:val="single" w:sz="4" w:space="0" w:color="auto"/>
              <w:bottom w:val="single" w:sz="4" w:space="0" w:color="auto"/>
              <w:right w:val="single" w:sz="4" w:space="0" w:color="auto"/>
            </w:tcBorders>
            <w:shd w:val="clear" w:color="auto" w:fill="auto"/>
            <w:vAlign w:val="center"/>
            <w:hideMark/>
          </w:tcPr>
          <w:p w14:paraId="4471ACAB" w14:textId="77777777" w:rsidR="00F00781" w:rsidRPr="00F00781" w:rsidRDefault="00F00781" w:rsidP="005232AE">
            <w:pPr>
              <w:rPr>
                <w:rFonts w:ascii="Arial Narrow" w:hAnsi="Arial Narrow" w:cs="Calibri"/>
                <w:b/>
                <w:bCs/>
                <w:sz w:val="14"/>
                <w:szCs w:val="14"/>
              </w:rPr>
            </w:pPr>
            <w:r w:rsidRPr="00F00781">
              <w:rPr>
                <w:rFonts w:ascii="Arial Narrow" w:hAnsi="Arial Narrow" w:cs="Calibri"/>
                <w:b/>
                <w:bCs/>
                <w:sz w:val="14"/>
                <w:szCs w:val="14"/>
              </w:rPr>
              <w:t xml:space="preserve"> 18</w:t>
            </w:r>
          </w:p>
        </w:tc>
        <w:tc>
          <w:tcPr>
            <w:tcW w:w="1671" w:type="dxa"/>
            <w:tcBorders>
              <w:top w:val="nil"/>
              <w:left w:val="nil"/>
              <w:bottom w:val="single" w:sz="4" w:space="0" w:color="auto"/>
              <w:right w:val="single" w:sz="4" w:space="0" w:color="auto"/>
            </w:tcBorders>
            <w:shd w:val="clear" w:color="auto" w:fill="auto"/>
            <w:vAlign w:val="center"/>
            <w:hideMark/>
          </w:tcPr>
          <w:p w14:paraId="57F9E939" w14:textId="77777777" w:rsidR="00F00781" w:rsidRPr="00F00781" w:rsidRDefault="00F00781" w:rsidP="00F00781">
            <w:pPr>
              <w:rPr>
                <w:rFonts w:ascii="Arial Narrow" w:hAnsi="Arial Narrow" w:cs="Calibri"/>
                <w:b/>
                <w:bCs/>
                <w:sz w:val="14"/>
                <w:szCs w:val="14"/>
              </w:rPr>
            </w:pPr>
            <w:r w:rsidRPr="00F00781">
              <w:rPr>
                <w:rFonts w:ascii="Arial Narrow" w:hAnsi="Arial Narrow" w:cs="Calibri"/>
                <w:b/>
                <w:bCs/>
                <w:sz w:val="14"/>
                <w:szCs w:val="14"/>
              </w:rPr>
              <w:t>Продукция от отрасъл 'Селско стопанство' (16+17)</w:t>
            </w:r>
          </w:p>
        </w:tc>
        <w:tc>
          <w:tcPr>
            <w:tcW w:w="773" w:type="dxa"/>
            <w:tcBorders>
              <w:top w:val="nil"/>
              <w:left w:val="nil"/>
              <w:bottom w:val="single" w:sz="4" w:space="0" w:color="auto"/>
              <w:right w:val="single" w:sz="4" w:space="0" w:color="auto"/>
            </w:tcBorders>
            <w:shd w:val="clear" w:color="auto" w:fill="auto"/>
            <w:vAlign w:val="center"/>
            <w:hideMark/>
          </w:tcPr>
          <w:p w14:paraId="29750607" w14:textId="77777777" w:rsidR="00F00781" w:rsidRPr="00F00781" w:rsidRDefault="00F00781" w:rsidP="00F00781">
            <w:pPr>
              <w:jc w:val="right"/>
              <w:rPr>
                <w:rFonts w:ascii="Arial Narrow" w:hAnsi="Arial Narrow" w:cs="Calibri"/>
                <w:b/>
                <w:bCs/>
                <w:sz w:val="14"/>
                <w:szCs w:val="14"/>
              </w:rPr>
            </w:pPr>
            <w:r w:rsidRPr="00F00781">
              <w:rPr>
                <w:rFonts w:ascii="Arial Narrow" w:hAnsi="Arial Narrow" w:cs="Calibri"/>
                <w:b/>
                <w:bCs/>
                <w:sz w:val="14"/>
                <w:szCs w:val="14"/>
              </w:rPr>
              <w:t>9 643,9</w:t>
            </w:r>
          </w:p>
        </w:tc>
        <w:tc>
          <w:tcPr>
            <w:tcW w:w="582" w:type="dxa"/>
            <w:tcBorders>
              <w:top w:val="nil"/>
              <w:left w:val="nil"/>
              <w:bottom w:val="single" w:sz="4" w:space="0" w:color="auto"/>
              <w:right w:val="single" w:sz="4" w:space="0" w:color="auto"/>
            </w:tcBorders>
            <w:shd w:val="clear" w:color="auto" w:fill="auto"/>
            <w:vAlign w:val="center"/>
            <w:hideMark/>
          </w:tcPr>
          <w:p w14:paraId="0974F79D" w14:textId="77777777" w:rsidR="00F00781" w:rsidRPr="00F00781" w:rsidRDefault="00F00781" w:rsidP="00F00781">
            <w:pPr>
              <w:jc w:val="right"/>
              <w:rPr>
                <w:rFonts w:ascii="Arial Narrow" w:hAnsi="Arial Narrow" w:cs="Calibri"/>
                <w:b/>
                <w:bCs/>
                <w:sz w:val="14"/>
                <w:szCs w:val="14"/>
              </w:rPr>
            </w:pPr>
            <w:r w:rsidRPr="00F00781">
              <w:rPr>
                <w:rFonts w:ascii="Arial Narrow" w:hAnsi="Arial Narrow" w:cs="Calibri"/>
                <w:b/>
                <w:bCs/>
                <w:sz w:val="14"/>
                <w:szCs w:val="14"/>
              </w:rPr>
              <w:t>4,6</w:t>
            </w:r>
          </w:p>
        </w:tc>
        <w:tc>
          <w:tcPr>
            <w:tcW w:w="681" w:type="dxa"/>
            <w:tcBorders>
              <w:top w:val="nil"/>
              <w:left w:val="nil"/>
              <w:bottom w:val="single" w:sz="4" w:space="0" w:color="auto"/>
              <w:right w:val="single" w:sz="4" w:space="0" w:color="auto"/>
            </w:tcBorders>
            <w:shd w:val="clear" w:color="auto" w:fill="auto"/>
            <w:vAlign w:val="center"/>
            <w:hideMark/>
          </w:tcPr>
          <w:p w14:paraId="674BF6EF" w14:textId="77777777" w:rsidR="00F00781" w:rsidRPr="00F00781" w:rsidRDefault="00F00781" w:rsidP="00F00781">
            <w:pPr>
              <w:jc w:val="right"/>
              <w:rPr>
                <w:rFonts w:ascii="Arial Narrow" w:hAnsi="Arial Narrow" w:cs="Calibri"/>
                <w:b/>
                <w:bCs/>
                <w:sz w:val="14"/>
                <w:szCs w:val="14"/>
              </w:rPr>
            </w:pPr>
            <w:r w:rsidRPr="00F00781">
              <w:rPr>
                <w:rFonts w:ascii="Arial Narrow" w:hAnsi="Arial Narrow" w:cs="Calibri"/>
                <w:b/>
                <w:bCs/>
                <w:sz w:val="14"/>
                <w:szCs w:val="14"/>
              </w:rPr>
              <w:t>2 739,7</w:t>
            </w:r>
          </w:p>
        </w:tc>
        <w:tc>
          <w:tcPr>
            <w:tcW w:w="789" w:type="dxa"/>
            <w:tcBorders>
              <w:top w:val="nil"/>
              <w:left w:val="nil"/>
              <w:bottom w:val="single" w:sz="4" w:space="0" w:color="auto"/>
              <w:right w:val="single" w:sz="4" w:space="0" w:color="auto"/>
            </w:tcBorders>
            <w:shd w:val="clear" w:color="auto" w:fill="auto"/>
            <w:vAlign w:val="center"/>
            <w:hideMark/>
          </w:tcPr>
          <w:p w14:paraId="684D11CD" w14:textId="77777777" w:rsidR="00F00781" w:rsidRPr="00F00781" w:rsidRDefault="00F00781" w:rsidP="00F00781">
            <w:pPr>
              <w:jc w:val="right"/>
              <w:rPr>
                <w:rFonts w:ascii="Arial Narrow" w:hAnsi="Arial Narrow" w:cs="Calibri"/>
                <w:b/>
                <w:bCs/>
                <w:sz w:val="14"/>
                <w:szCs w:val="14"/>
              </w:rPr>
            </w:pPr>
            <w:r w:rsidRPr="00F00781">
              <w:rPr>
                <w:rFonts w:ascii="Arial Narrow" w:hAnsi="Arial Narrow" w:cs="Calibri"/>
                <w:b/>
                <w:bCs/>
                <w:sz w:val="14"/>
                <w:szCs w:val="14"/>
              </w:rPr>
              <w:t>104,1</w:t>
            </w:r>
          </w:p>
        </w:tc>
        <w:tc>
          <w:tcPr>
            <w:tcW w:w="693" w:type="dxa"/>
            <w:tcBorders>
              <w:top w:val="nil"/>
              <w:left w:val="nil"/>
              <w:bottom w:val="single" w:sz="4" w:space="0" w:color="auto"/>
              <w:right w:val="single" w:sz="4" w:space="0" w:color="auto"/>
            </w:tcBorders>
            <w:shd w:val="clear" w:color="auto" w:fill="auto"/>
            <w:vAlign w:val="center"/>
            <w:hideMark/>
          </w:tcPr>
          <w:p w14:paraId="6FB0E3A6" w14:textId="77777777" w:rsidR="00F00781" w:rsidRPr="00F00781" w:rsidRDefault="00F00781" w:rsidP="00F00781">
            <w:pPr>
              <w:jc w:val="right"/>
              <w:rPr>
                <w:rFonts w:ascii="Arial Narrow" w:hAnsi="Arial Narrow" w:cs="Calibri"/>
                <w:b/>
                <w:bCs/>
                <w:sz w:val="14"/>
                <w:szCs w:val="14"/>
              </w:rPr>
            </w:pPr>
            <w:r w:rsidRPr="00F00781">
              <w:rPr>
                <w:rFonts w:ascii="Arial Narrow" w:hAnsi="Arial Narrow" w:cs="Calibri"/>
                <w:b/>
                <w:bCs/>
                <w:sz w:val="14"/>
                <w:szCs w:val="14"/>
              </w:rPr>
              <w:t>196,9</w:t>
            </w:r>
          </w:p>
        </w:tc>
        <w:tc>
          <w:tcPr>
            <w:tcW w:w="537" w:type="dxa"/>
            <w:tcBorders>
              <w:top w:val="nil"/>
              <w:left w:val="nil"/>
              <w:bottom w:val="single" w:sz="4" w:space="0" w:color="auto"/>
              <w:right w:val="single" w:sz="4" w:space="0" w:color="auto"/>
            </w:tcBorders>
            <w:shd w:val="clear" w:color="auto" w:fill="auto"/>
            <w:vAlign w:val="center"/>
            <w:hideMark/>
          </w:tcPr>
          <w:p w14:paraId="701A5302" w14:textId="77777777" w:rsidR="00F00781" w:rsidRPr="00F00781" w:rsidRDefault="00F00781" w:rsidP="00F00781">
            <w:pPr>
              <w:jc w:val="right"/>
              <w:rPr>
                <w:rFonts w:ascii="Arial Narrow" w:hAnsi="Arial Narrow" w:cs="Calibri"/>
                <w:b/>
                <w:bCs/>
                <w:sz w:val="14"/>
                <w:szCs w:val="14"/>
              </w:rPr>
            </w:pPr>
            <w:r w:rsidRPr="00F00781">
              <w:rPr>
                <w:rFonts w:ascii="Arial Narrow" w:hAnsi="Arial Narrow" w:cs="Calibri"/>
                <w:b/>
                <w:bCs/>
                <w:sz w:val="14"/>
                <w:szCs w:val="14"/>
              </w:rPr>
              <w:t>61,3</w:t>
            </w:r>
          </w:p>
        </w:tc>
        <w:tc>
          <w:tcPr>
            <w:tcW w:w="1143" w:type="dxa"/>
            <w:tcBorders>
              <w:top w:val="nil"/>
              <w:left w:val="nil"/>
              <w:bottom w:val="single" w:sz="4" w:space="0" w:color="auto"/>
              <w:right w:val="single" w:sz="4" w:space="0" w:color="auto"/>
            </w:tcBorders>
            <w:shd w:val="clear" w:color="auto" w:fill="auto"/>
            <w:vAlign w:val="center"/>
            <w:hideMark/>
          </w:tcPr>
          <w:p w14:paraId="3CEF6FBC" w14:textId="77777777" w:rsidR="00F00781" w:rsidRPr="00F00781" w:rsidRDefault="00F00781" w:rsidP="00F00781">
            <w:pPr>
              <w:jc w:val="right"/>
              <w:rPr>
                <w:rFonts w:ascii="Arial Narrow" w:hAnsi="Arial Narrow" w:cs="Calibri"/>
                <w:b/>
                <w:bCs/>
                <w:sz w:val="14"/>
                <w:szCs w:val="14"/>
              </w:rPr>
            </w:pPr>
            <w:r w:rsidRPr="00F00781">
              <w:rPr>
                <w:rFonts w:ascii="Arial Narrow" w:hAnsi="Arial Narrow" w:cs="Calibri"/>
                <w:b/>
                <w:bCs/>
                <w:sz w:val="14"/>
                <w:szCs w:val="14"/>
              </w:rPr>
              <w:t>121,6</w:t>
            </w:r>
          </w:p>
        </w:tc>
        <w:tc>
          <w:tcPr>
            <w:tcW w:w="1200" w:type="dxa"/>
            <w:tcBorders>
              <w:top w:val="nil"/>
              <w:left w:val="nil"/>
              <w:bottom w:val="single" w:sz="4" w:space="0" w:color="auto"/>
              <w:right w:val="single" w:sz="4" w:space="0" w:color="auto"/>
            </w:tcBorders>
            <w:shd w:val="clear" w:color="000000" w:fill="FFFFFF"/>
            <w:vAlign w:val="center"/>
            <w:hideMark/>
          </w:tcPr>
          <w:p w14:paraId="489E4A73" w14:textId="77777777" w:rsidR="00F00781" w:rsidRPr="00F00781" w:rsidRDefault="00F00781" w:rsidP="00F00781">
            <w:pPr>
              <w:jc w:val="right"/>
              <w:rPr>
                <w:rFonts w:ascii="Arial Narrow" w:hAnsi="Arial Narrow" w:cs="Calibri"/>
                <w:b/>
                <w:bCs/>
                <w:sz w:val="14"/>
                <w:szCs w:val="14"/>
              </w:rPr>
            </w:pPr>
            <w:r w:rsidRPr="00F00781">
              <w:rPr>
                <w:rFonts w:ascii="Arial Narrow" w:hAnsi="Arial Narrow" w:cs="Calibri"/>
                <w:b/>
                <w:bCs/>
                <w:sz w:val="14"/>
                <w:szCs w:val="14"/>
              </w:rPr>
              <w:t>340,0</w:t>
            </w:r>
          </w:p>
        </w:tc>
        <w:tc>
          <w:tcPr>
            <w:tcW w:w="721" w:type="dxa"/>
            <w:tcBorders>
              <w:top w:val="nil"/>
              <w:left w:val="nil"/>
              <w:bottom w:val="single" w:sz="4" w:space="0" w:color="auto"/>
              <w:right w:val="single" w:sz="4" w:space="0" w:color="auto"/>
            </w:tcBorders>
            <w:shd w:val="clear" w:color="auto" w:fill="auto"/>
            <w:vAlign w:val="center"/>
            <w:hideMark/>
          </w:tcPr>
          <w:p w14:paraId="7B9AFEBB" w14:textId="77777777" w:rsidR="00F00781" w:rsidRPr="00F00781" w:rsidRDefault="00F00781" w:rsidP="00F00781">
            <w:pPr>
              <w:jc w:val="right"/>
              <w:rPr>
                <w:rFonts w:ascii="Arial Narrow" w:hAnsi="Arial Narrow" w:cs="Calibri"/>
                <w:b/>
                <w:bCs/>
                <w:sz w:val="14"/>
                <w:szCs w:val="14"/>
              </w:rPr>
            </w:pPr>
            <w:r w:rsidRPr="00F00781">
              <w:rPr>
                <w:rFonts w:ascii="Arial Narrow" w:hAnsi="Arial Narrow" w:cs="Calibri"/>
                <w:b/>
                <w:bCs/>
                <w:sz w:val="14"/>
                <w:szCs w:val="14"/>
              </w:rPr>
              <w:t>689,2</w:t>
            </w:r>
          </w:p>
        </w:tc>
        <w:tc>
          <w:tcPr>
            <w:tcW w:w="721" w:type="dxa"/>
            <w:tcBorders>
              <w:top w:val="nil"/>
              <w:left w:val="nil"/>
              <w:bottom w:val="single" w:sz="4" w:space="0" w:color="auto"/>
              <w:right w:val="single" w:sz="4" w:space="0" w:color="auto"/>
            </w:tcBorders>
            <w:shd w:val="clear" w:color="auto" w:fill="auto"/>
            <w:vAlign w:val="center"/>
            <w:hideMark/>
          </w:tcPr>
          <w:p w14:paraId="042B4DCA" w14:textId="77777777" w:rsidR="00F00781" w:rsidRPr="00F00781" w:rsidRDefault="00F00781" w:rsidP="00F00781">
            <w:pPr>
              <w:jc w:val="right"/>
              <w:rPr>
                <w:rFonts w:ascii="Arial Narrow" w:hAnsi="Arial Narrow" w:cs="Calibri"/>
                <w:b/>
                <w:bCs/>
                <w:sz w:val="14"/>
                <w:szCs w:val="14"/>
              </w:rPr>
            </w:pPr>
            <w:r w:rsidRPr="00F00781">
              <w:rPr>
                <w:rFonts w:ascii="Arial Narrow" w:hAnsi="Arial Narrow" w:cs="Calibri"/>
                <w:b/>
                <w:bCs/>
                <w:sz w:val="14"/>
                <w:szCs w:val="14"/>
              </w:rPr>
              <w:t>8 323,4</w:t>
            </w:r>
          </w:p>
        </w:tc>
        <w:tc>
          <w:tcPr>
            <w:tcW w:w="698" w:type="dxa"/>
            <w:tcBorders>
              <w:top w:val="nil"/>
              <w:left w:val="nil"/>
              <w:bottom w:val="single" w:sz="4" w:space="0" w:color="auto"/>
              <w:right w:val="single" w:sz="4" w:space="0" w:color="auto"/>
            </w:tcBorders>
            <w:shd w:val="clear" w:color="auto" w:fill="auto"/>
            <w:vAlign w:val="center"/>
            <w:hideMark/>
          </w:tcPr>
          <w:p w14:paraId="0C53E99F" w14:textId="77777777" w:rsidR="00F00781" w:rsidRPr="00F00781" w:rsidRDefault="00F00781" w:rsidP="00F00781">
            <w:pPr>
              <w:jc w:val="right"/>
              <w:rPr>
                <w:rFonts w:ascii="Arial Narrow" w:hAnsi="Arial Narrow" w:cs="Calibri"/>
                <w:b/>
                <w:bCs/>
                <w:sz w:val="14"/>
                <w:szCs w:val="14"/>
              </w:rPr>
            </w:pPr>
            <w:r w:rsidRPr="00F00781">
              <w:rPr>
                <w:rFonts w:ascii="Arial Narrow" w:hAnsi="Arial Narrow" w:cs="Calibri"/>
                <w:b/>
                <w:bCs/>
                <w:sz w:val="14"/>
                <w:szCs w:val="14"/>
              </w:rPr>
              <w:t>166,8</w:t>
            </w:r>
          </w:p>
        </w:tc>
        <w:tc>
          <w:tcPr>
            <w:tcW w:w="765" w:type="dxa"/>
            <w:tcBorders>
              <w:top w:val="nil"/>
              <w:left w:val="nil"/>
              <w:bottom w:val="single" w:sz="4" w:space="0" w:color="auto"/>
              <w:right w:val="single" w:sz="4" w:space="0" w:color="auto"/>
            </w:tcBorders>
            <w:shd w:val="clear" w:color="auto" w:fill="auto"/>
            <w:vAlign w:val="center"/>
            <w:hideMark/>
          </w:tcPr>
          <w:p w14:paraId="0A3624D3" w14:textId="77777777" w:rsidR="00F00781" w:rsidRPr="00F00781" w:rsidRDefault="00F00781" w:rsidP="00F00781">
            <w:pPr>
              <w:jc w:val="right"/>
              <w:rPr>
                <w:rFonts w:ascii="Arial Narrow" w:hAnsi="Arial Narrow" w:cs="Calibri"/>
                <w:b/>
                <w:bCs/>
                <w:sz w:val="14"/>
                <w:szCs w:val="14"/>
              </w:rPr>
            </w:pPr>
            <w:r w:rsidRPr="00F00781">
              <w:rPr>
                <w:rFonts w:ascii="Arial Narrow" w:hAnsi="Arial Narrow" w:cs="Calibri"/>
                <w:b/>
                <w:bCs/>
                <w:sz w:val="14"/>
                <w:szCs w:val="14"/>
              </w:rPr>
              <w:t>9 179,1</w:t>
            </w:r>
          </w:p>
        </w:tc>
        <w:tc>
          <w:tcPr>
            <w:tcW w:w="970" w:type="dxa"/>
            <w:tcBorders>
              <w:top w:val="nil"/>
              <w:left w:val="nil"/>
              <w:bottom w:val="single" w:sz="4" w:space="0" w:color="auto"/>
              <w:right w:val="single" w:sz="4" w:space="0" w:color="auto"/>
            </w:tcBorders>
            <w:shd w:val="clear" w:color="auto" w:fill="auto"/>
            <w:vAlign w:val="center"/>
            <w:hideMark/>
          </w:tcPr>
          <w:p w14:paraId="5A2F5EA2" w14:textId="77777777" w:rsidR="00F00781" w:rsidRPr="00F00781" w:rsidRDefault="00F00781" w:rsidP="00F00781">
            <w:pPr>
              <w:jc w:val="right"/>
              <w:rPr>
                <w:rFonts w:ascii="Arial Narrow" w:hAnsi="Arial Narrow" w:cs="Calibri"/>
                <w:b/>
                <w:bCs/>
                <w:sz w:val="14"/>
                <w:szCs w:val="14"/>
              </w:rPr>
            </w:pPr>
            <w:r w:rsidRPr="00F00781">
              <w:rPr>
                <w:rFonts w:ascii="Arial Narrow" w:hAnsi="Arial Narrow" w:cs="Calibri"/>
                <w:b/>
                <w:bCs/>
                <w:sz w:val="14"/>
                <w:szCs w:val="14"/>
              </w:rPr>
              <w:t>154,0</w:t>
            </w:r>
          </w:p>
        </w:tc>
        <w:tc>
          <w:tcPr>
            <w:tcW w:w="602" w:type="dxa"/>
            <w:tcBorders>
              <w:top w:val="nil"/>
              <w:left w:val="nil"/>
              <w:bottom w:val="single" w:sz="4" w:space="0" w:color="auto"/>
              <w:right w:val="single" w:sz="4" w:space="0" w:color="auto"/>
            </w:tcBorders>
            <w:shd w:val="clear" w:color="auto" w:fill="auto"/>
            <w:vAlign w:val="center"/>
            <w:hideMark/>
          </w:tcPr>
          <w:p w14:paraId="664E5E97" w14:textId="77777777" w:rsidR="00F00781" w:rsidRPr="00F00781" w:rsidRDefault="00F00781" w:rsidP="00F00781">
            <w:pPr>
              <w:jc w:val="right"/>
              <w:rPr>
                <w:rFonts w:ascii="Arial Narrow" w:hAnsi="Arial Narrow" w:cs="Calibri"/>
                <w:b/>
                <w:bCs/>
                <w:sz w:val="14"/>
                <w:szCs w:val="14"/>
              </w:rPr>
            </w:pPr>
            <w:r w:rsidRPr="00F00781">
              <w:rPr>
                <w:rFonts w:ascii="Arial Narrow" w:hAnsi="Arial Narrow" w:cs="Calibri"/>
                <w:b/>
                <w:bCs/>
                <w:sz w:val="14"/>
                <w:szCs w:val="14"/>
              </w:rPr>
              <w:t>2 222,0</w:t>
            </w:r>
          </w:p>
        </w:tc>
        <w:tc>
          <w:tcPr>
            <w:tcW w:w="697" w:type="dxa"/>
            <w:tcBorders>
              <w:top w:val="nil"/>
              <w:left w:val="nil"/>
              <w:bottom w:val="single" w:sz="4" w:space="0" w:color="auto"/>
              <w:right w:val="single" w:sz="4" w:space="0" w:color="auto"/>
            </w:tcBorders>
            <w:shd w:val="clear" w:color="auto" w:fill="auto"/>
            <w:vAlign w:val="center"/>
            <w:hideMark/>
          </w:tcPr>
          <w:p w14:paraId="678FBCB7" w14:textId="77777777" w:rsidR="00F00781" w:rsidRPr="00F00781" w:rsidRDefault="00F00781" w:rsidP="00F00781">
            <w:pPr>
              <w:jc w:val="right"/>
              <w:rPr>
                <w:rFonts w:ascii="Arial Narrow" w:hAnsi="Arial Narrow" w:cs="Calibri"/>
                <w:b/>
                <w:bCs/>
                <w:sz w:val="14"/>
                <w:szCs w:val="14"/>
              </w:rPr>
            </w:pPr>
            <w:r w:rsidRPr="00F00781">
              <w:rPr>
                <w:rFonts w:ascii="Arial Narrow" w:hAnsi="Arial Narrow" w:cs="Calibri"/>
                <w:b/>
                <w:bCs/>
                <w:sz w:val="14"/>
                <w:szCs w:val="14"/>
              </w:rPr>
              <w:t>-517,5</w:t>
            </w:r>
          </w:p>
        </w:tc>
        <w:tc>
          <w:tcPr>
            <w:tcW w:w="869" w:type="dxa"/>
            <w:tcBorders>
              <w:top w:val="nil"/>
              <w:left w:val="nil"/>
              <w:bottom w:val="single" w:sz="4" w:space="0" w:color="auto"/>
              <w:right w:val="single" w:sz="4" w:space="0" w:color="auto"/>
            </w:tcBorders>
            <w:shd w:val="clear" w:color="auto" w:fill="auto"/>
            <w:vAlign w:val="center"/>
            <w:hideMark/>
          </w:tcPr>
          <w:p w14:paraId="1047ADF9" w14:textId="77777777" w:rsidR="00F00781" w:rsidRPr="00F00781" w:rsidRDefault="00F00781" w:rsidP="00F00781">
            <w:pPr>
              <w:jc w:val="right"/>
              <w:rPr>
                <w:rFonts w:ascii="Arial Narrow" w:hAnsi="Arial Narrow" w:cs="Calibri"/>
                <w:b/>
                <w:bCs/>
                <w:sz w:val="14"/>
                <w:szCs w:val="14"/>
              </w:rPr>
            </w:pPr>
            <w:r w:rsidRPr="00F00781">
              <w:rPr>
                <w:rFonts w:ascii="Arial Narrow" w:hAnsi="Arial Narrow" w:cs="Calibri"/>
                <w:b/>
                <w:bCs/>
                <w:sz w:val="14"/>
                <w:szCs w:val="14"/>
              </w:rPr>
              <w:t>9 448,6</w:t>
            </w:r>
          </w:p>
        </w:tc>
      </w:tr>
    </w:tbl>
    <w:p w14:paraId="2DB99AEA" w14:textId="77777777" w:rsidR="006C5FBA" w:rsidRPr="00C1041D" w:rsidRDefault="00F668A8" w:rsidP="00CD44F3">
      <w:pPr>
        <w:ind w:right="105"/>
        <w:rPr>
          <w:rFonts w:ascii="Arial Narrow" w:hAnsi="Arial Narrow"/>
          <w:sz w:val="18"/>
          <w:szCs w:val="18"/>
        </w:rPr>
      </w:pPr>
      <w:r w:rsidRPr="00C1041D">
        <w:rPr>
          <w:rFonts w:ascii="Arial Narrow" w:hAnsi="Arial Narrow"/>
          <w:i/>
          <w:color w:val="FF0000"/>
          <w:sz w:val="18"/>
          <w:szCs w:val="18"/>
          <w:lang w:val="bg-BG"/>
        </w:rPr>
        <w:t xml:space="preserve">  </w:t>
      </w:r>
      <w:r w:rsidR="0097652C" w:rsidRPr="00C1041D">
        <w:rPr>
          <w:rFonts w:ascii="Arial Narrow" w:hAnsi="Arial Narrow"/>
          <w:i/>
          <w:sz w:val="18"/>
          <w:szCs w:val="18"/>
          <w:lang w:val="bg-BG"/>
        </w:rPr>
        <w:t>Източник:</w:t>
      </w:r>
      <w:r w:rsidR="0097652C" w:rsidRPr="00C1041D">
        <w:rPr>
          <w:rFonts w:ascii="Arial Narrow" w:hAnsi="Arial Narrow"/>
          <w:sz w:val="18"/>
          <w:szCs w:val="18"/>
          <w:lang w:val="bg-BG"/>
        </w:rPr>
        <w:t xml:space="preserve"> НСИ</w:t>
      </w:r>
    </w:p>
    <w:p w14:paraId="4478C206" w14:textId="77777777" w:rsidR="0097652C" w:rsidRPr="00B10684" w:rsidRDefault="0097652C" w:rsidP="00936CB0">
      <w:pPr>
        <w:ind w:right="108"/>
        <w:jc w:val="both"/>
        <w:rPr>
          <w:rFonts w:ascii="Arial Narrow" w:hAnsi="Arial Narrow"/>
          <w:color w:val="FF0000"/>
          <w:sz w:val="18"/>
          <w:szCs w:val="18"/>
          <w:lang w:val="bg-BG"/>
        </w:rPr>
      </w:pPr>
      <w:r w:rsidRPr="00C1041D">
        <w:rPr>
          <w:rFonts w:ascii="Arial Narrow" w:hAnsi="Arial Narrow"/>
          <w:b/>
          <w:sz w:val="18"/>
          <w:szCs w:val="18"/>
          <w:lang w:val="bg-BG"/>
        </w:rPr>
        <w:tab/>
      </w:r>
      <w:r w:rsidRPr="00C1041D">
        <w:rPr>
          <w:rFonts w:ascii="Arial Narrow" w:hAnsi="Arial Narrow"/>
          <w:b/>
          <w:sz w:val="18"/>
          <w:szCs w:val="18"/>
          <w:lang w:val="bg-BG"/>
        </w:rPr>
        <w:tab/>
      </w:r>
      <w:r w:rsidRPr="00C1041D">
        <w:rPr>
          <w:rFonts w:ascii="Arial Narrow" w:hAnsi="Arial Narrow"/>
          <w:b/>
          <w:sz w:val="18"/>
          <w:szCs w:val="18"/>
          <w:lang w:val="bg-BG"/>
        </w:rPr>
        <w:tab/>
      </w:r>
      <w:r w:rsidRPr="00C1041D">
        <w:rPr>
          <w:rFonts w:ascii="Arial Narrow" w:hAnsi="Arial Narrow"/>
          <w:b/>
          <w:sz w:val="18"/>
          <w:szCs w:val="18"/>
          <w:lang w:val="bg-BG"/>
        </w:rPr>
        <w:tab/>
      </w:r>
      <w:r w:rsidRPr="00B10684">
        <w:rPr>
          <w:rFonts w:ascii="Arial Narrow" w:hAnsi="Arial Narrow"/>
          <w:b/>
          <w:color w:val="FF0000"/>
          <w:sz w:val="16"/>
          <w:szCs w:val="18"/>
          <w:lang w:val="bg-BG"/>
        </w:rPr>
        <w:tab/>
      </w:r>
    </w:p>
    <w:p w14:paraId="67B830CD" w14:textId="77777777" w:rsidR="0097652C" w:rsidRPr="00B10684" w:rsidRDefault="0097652C" w:rsidP="00D71371">
      <w:pPr>
        <w:ind w:right="105"/>
        <w:jc w:val="right"/>
        <w:rPr>
          <w:rFonts w:ascii="Arial Narrow" w:hAnsi="Arial Narrow"/>
          <w:b/>
          <w:color w:val="FF0000"/>
          <w:sz w:val="16"/>
          <w:szCs w:val="18"/>
          <w:lang w:val="bg-BG"/>
        </w:rPr>
      </w:pPr>
    </w:p>
    <w:p w14:paraId="20351366" w14:textId="77777777" w:rsidR="0097652C" w:rsidRPr="00B10684" w:rsidRDefault="0097652C" w:rsidP="00D71371">
      <w:pPr>
        <w:ind w:right="105"/>
        <w:jc w:val="right"/>
        <w:rPr>
          <w:rFonts w:ascii="Arial Narrow" w:hAnsi="Arial Narrow"/>
          <w:b/>
          <w:color w:val="FF0000"/>
          <w:sz w:val="16"/>
          <w:szCs w:val="18"/>
          <w:lang w:val="bg-BG"/>
        </w:rPr>
      </w:pPr>
    </w:p>
    <w:p w14:paraId="2F35EB40" w14:textId="77777777" w:rsidR="00B420B4" w:rsidRPr="00B10684" w:rsidRDefault="00B420B4" w:rsidP="00C53060">
      <w:pPr>
        <w:spacing w:after="120"/>
        <w:jc w:val="both"/>
        <w:rPr>
          <w:rFonts w:ascii="Arial Narrow" w:hAnsi="Arial Narrow"/>
          <w:color w:val="FF0000"/>
          <w:lang w:val="bg-BG"/>
        </w:rPr>
        <w:sectPr w:rsidR="00B420B4" w:rsidRPr="00B10684" w:rsidSect="00194313">
          <w:pgSz w:w="15840" w:h="12240" w:orient="landscape"/>
          <w:pgMar w:top="284" w:right="426" w:bottom="426" w:left="567" w:header="720" w:footer="720" w:gutter="0"/>
          <w:cols w:space="720"/>
          <w:titlePg/>
          <w:docGrid w:linePitch="360"/>
        </w:sectPr>
      </w:pPr>
    </w:p>
    <w:p w14:paraId="428EBCC2" w14:textId="77777777" w:rsidR="00012C3E" w:rsidRPr="004A0B2E" w:rsidRDefault="00012C3E" w:rsidP="00012C3E">
      <w:pPr>
        <w:spacing w:after="120"/>
        <w:rPr>
          <w:rFonts w:ascii="Arial Narrow" w:hAnsi="Arial Narrow"/>
          <w:b/>
          <w:sz w:val="18"/>
          <w:szCs w:val="18"/>
          <w:lang w:val="bg-BG"/>
        </w:rPr>
      </w:pPr>
      <w:r w:rsidRPr="004A0B2E">
        <w:rPr>
          <w:rFonts w:ascii="Arial Narrow" w:hAnsi="Arial Narrow"/>
          <w:b/>
          <w:sz w:val="18"/>
          <w:szCs w:val="18"/>
          <w:lang w:val="bg-BG"/>
        </w:rPr>
        <w:lastRenderedPageBreak/>
        <w:t>ПРИЛОЖЕНИЕ 2</w:t>
      </w:r>
      <w:r w:rsidRPr="004A0B2E">
        <w:rPr>
          <w:rFonts w:ascii="Arial Narrow" w:hAnsi="Arial Narrow"/>
          <w:b/>
          <w:sz w:val="18"/>
          <w:szCs w:val="18"/>
          <w:lang w:val="bg-BG"/>
        </w:rPr>
        <w:tab/>
      </w:r>
      <w:r w:rsidRPr="004A0B2E">
        <w:rPr>
          <w:rFonts w:ascii="Arial Narrow" w:hAnsi="Arial Narrow"/>
          <w:b/>
          <w:sz w:val="18"/>
          <w:szCs w:val="18"/>
          <w:lang w:val="bg-BG"/>
        </w:rPr>
        <w:tab/>
      </w:r>
      <w:r w:rsidRPr="004A0B2E">
        <w:rPr>
          <w:rFonts w:ascii="Arial Narrow" w:hAnsi="Arial Narrow"/>
          <w:b/>
          <w:sz w:val="18"/>
          <w:szCs w:val="18"/>
          <w:lang w:val="bg-BG"/>
        </w:rPr>
        <w:tab/>
      </w:r>
      <w:r w:rsidRPr="004A0B2E">
        <w:rPr>
          <w:rFonts w:ascii="Arial Narrow" w:hAnsi="Arial Narrow"/>
          <w:b/>
          <w:sz w:val="18"/>
          <w:szCs w:val="18"/>
          <w:lang w:val="bg-BG"/>
        </w:rPr>
        <w:tab/>
      </w:r>
      <w:r w:rsidRPr="004A0B2E">
        <w:rPr>
          <w:rFonts w:ascii="Arial Narrow" w:hAnsi="Arial Narrow"/>
          <w:b/>
          <w:sz w:val="18"/>
          <w:szCs w:val="18"/>
          <w:lang w:val="bg-BG"/>
        </w:rPr>
        <w:tab/>
      </w:r>
      <w:r w:rsidRPr="004A0B2E">
        <w:rPr>
          <w:rFonts w:ascii="Arial Narrow" w:hAnsi="Arial Narrow"/>
          <w:b/>
          <w:sz w:val="18"/>
          <w:szCs w:val="18"/>
          <w:lang w:val="bg-BG"/>
        </w:rPr>
        <w:tab/>
      </w:r>
    </w:p>
    <w:p w14:paraId="78EC3564" w14:textId="77777777" w:rsidR="00012C3E" w:rsidRPr="004A0B2E" w:rsidRDefault="00012C3E" w:rsidP="00012C3E">
      <w:pPr>
        <w:spacing w:after="120"/>
        <w:jc w:val="both"/>
        <w:rPr>
          <w:rFonts w:ascii="Arial Narrow" w:hAnsi="Arial Narrow"/>
          <w:b/>
          <w:sz w:val="18"/>
          <w:szCs w:val="18"/>
          <w:lang w:val="bg-BG"/>
        </w:rPr>
      </w:pPr>
      <w:r w:rsidRPr="004A0B2E">
        <w:rPr>
          <w:rFonts w:ascii="Arial Narrow" w:hAnsi="Arial Narrow"/>
          <w:b/>
          <w:sz w:val="18"/>
          <w:szCs w:val="18"/>
          <w:lang w:val="bg-BG"/>
        </w:rPr>
        <w:t>СТОЙНОСТ НА БРУТНАТА ПРОДУКЦИЯ И БРУТНА</w:t>
      </w:r>
      <w:r w:rsidR="008E26A1">
        <w:rPr>
          <w:rFonts w:ascii="Arial Narrow" w:hAnsi="Arial Narrow"/>
          <w:b/>
          <w:sz w:val="18"/>
          <w:szCs w:val="18"/>
          <w:lang w:val="bg-BG"/>
        </w:rPr>
        <w:t>ТА</w:t>
      </w:r>
      <w:r w:rsidRPr="004A0B2E">
        <w:rPr>
          <w:rFonts w:ascii="Arial Narrow" w:hAnsi="Arial Narrow"/>
          <w:b/>
          <w:sz w:val="18"/>
          <w:szCs w:val="18"/>
          <w:lang w:val="bg-BG"/>
        </w:rPr>
        <w:t xml:space="preserve"> ДОБАВЕНА СТОЙНОСТ ОТ ОТРАСЪЛ СЕЛСКО СТОПАНСТВО (ПО ЦЕНИ НА ПРОИЗВОДИТЕЛ) ЗА ПЕРИОДА 20</w:t>
      </w:r>
      <w:r w:rsidRPr="004A0B2E">
        <w:rPr>
          <w:rFonts w:ascii="Arial Narrow" w:hAnsi="Arial Narrow"/>
          <w:b/>
          <w:sz w:val="18"/>
          <w:szCs w:val="18"/>
        </w:rPr>
        <w:t>2</w:t>
      </w:r>
      <w:r w:rsidR="00CB5CB2" w:rsidRPr="004A0B2E">
        <w:rPr>
          <w:rFonts w:ascii="Arial Narrow" w:hAnsi="Arial Narrow"/>
          <w:b/>
          <w:sz w:val="18"/>
          <w:szCs w:val="18"/>
          <w:lang w:val="bg-BG"/>
        </w:rPr>
        <w:t>2</w:t>
      </w:r>
      <w:r w:rsidRPr="004A0B2E">
        <w:rPr>
          <w:rFonts w:ascii="Arial Narrow" w:hAnsi="Arial Narrow"/>
          <w:b/>
          <w:sz w:val="18"/>
          <w:szCs w:val="18"/>
          <w:lang w:val="bg-BG"/>
        </w:rPr>
        <w:t xml:space="preserve"> – 202</w:t>
      </w:r>
      <w:r w:rsidR="00CB5CB2" w:rsidRPr="004A0B2E">
        <w:rPr>
          <w:rFonts w:ascii="Arial Narrow" w:hAnsi="Arial Narrow"/>
          <w:b/>
          <w:sz w:val="18"/>
          <w:szCs w:val="18"/>
          <w:lang w:val="bg-BG"/>
        </w:rPr>
        <w:t>4</w:t>
      </w:r>
      <w:r w:rsidRPr="004A0B2E">
        <w:rPr>
          <w:rFonts w:ascii="Arial Narrow" w:hAnsi="Arial Narrow"/>
          <w:b/>
          <w:sz w:val="18"/>
          <w:szCs w:val="18"/>
          <w:lang w:val="bg-BG"/>
        </w:rPr>
        <w:t xml:space="preserve"> Г.</w:t>
      </w:r>
    </w:p>
    <w:p w14:paraId="18C93225" w14:textId="77777777" w:rsidR="008E26A1" w:rsidRPr="004A0B2E" w:rsidRDefault="00012C3E" w:rsidP="008E26A1">
      <w:pPr>
        <w:spacing w:after="120"/>
        <w:jc w:val="right"/>
        <w:rPr>
          <w:rFonts w:ascii="Arial Narrow" w:hAnsi="Arial Narrow"/>
          <w:b/>
          <w:sz w:val="18"/>
          <w:szCs w:val="18"/>
          <w:lang w:val="bg-BG"/>
        </w:rPr>
      </w:pPr>
      <w:r w:rsidRPr="004A0B2E">
        <w:rPr>
          <w:rFonts w:ascii="Arial Narrow" w:hAnsi="Arial Narrow"/>
          <w:b/>
          <w:sz w:val="18"/>
          <w:szCs w:val="18"/>
          <w:lang w:val="bg-BG"/>
        </w:rPr>
        <w:t>(млн. лв.)</w:t>
      </w:r>
    </w:p>
    <w:tbl>
      <w:tblPr>
        <w:tblW w:w="11196" w:type="dxa"/>
        <w:tblInd w:w="-176" w:type="dxa"/>
        <w:tblLook w:val="04A0" w:firstRow="1" w:lastRow="0" w:firstColumn="1" w:lastColumn="0" w:noHBand="0" w:noVBand="1"/>
      </w:tblPr>
      <w:tblGrid>
        <w:gridCol w:w="757"/>
        <w:gridCol w:w="5279"/>
        <w:gridCol w:w="957"/>
        <w:gridCol w:w="1118"/>
        <w:gridCol w:w="957"/>
        <w:gridCol w:w="1256"/>
        <w:gridCol w:w="872"/>
      </w:tblGrid>
      <w:tr w:rsidR="004A0B2E" w:rsidRPr="004A0B2E" w14:paraId="1821CFCB" w14:textId="77777777" w:rsidTr="005A18A5">
        <w:trPr>
          <w:trHeight w:val="554"/>
          <w:tblHeader/>
        </w:trPr>
        <w:tc>
          <w:tcPr>
            <w:tcW w:w="7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956FCF" w14:textId="77777777" w:rsidR="00012C3E" w:rsidRPr="004A0B2E" w:rsidRDefault="00012C3E" w:rsidP="005A18A5">
            <w:pPr>
              <w:jc w:val="center"/>
              <w:rPr>
                <w:rFonts w:ascii="Arial Narrow" w:hAnsi="Arial Narrow" w:cs="Calibri"/>
                <w:b/>
                <w:sz w:val="16"/>
                <w:szCs w:val="16"/>
              </w:rPr>
            </w:pPr>
            <w:r w:rsidRPr="004A0B2E">
              <w:rPr>
                <w:rFonts w:ascii="Arial Narrow" w:hAnsi="Arial Narrow" w:cs="Calibri"/>
                <w:b/>
                <w:sz w:val="16"/>
                <w:szCs w:val="16"/>
              </w:rPr>
              <w:t>Код</w:t>
            </w:r>
          </w:p>
        </w:tc>
        <w:tc>
          <w:tcPr>
            <w:tcW w:w="5279" w:type="dxa"/>
            <w:tcBorders>
              <w:top w:val="single" w:sz="4" w:space="0" w:color="auto"/>
              <w:left w:val="nil"/>
              <w:bottom w:val="single" w:sz="4" w:space="0" w:color="auto"/>
              <w:right w:val="single" w:sz="4" w:space="0" w:color="auto"/>
            </w:tcBorders>
            <w:shd w:val="clear" w:color="auto" w:fill="auto"/>
            <w:noWrap/>
            <w:vAlign w:val="center"/>
            <w:hideMark/>
          </w:tcPr>
          <w:p w14:paraId="74EF4524" w14:textId="77777777" w:rsidR="00012C3E" w:rsidRPr="004A0B2E" w:rsidRDefault="00012C3E" w:rsidP="005A18A5">
            <w:pPr>
              <w:jc w:val="center"/>
              <w:rPr>
                <w:rFonts w:ascii="Arial Narrow" w:hAnsi="Arial Narrow" w:cs="Calibri"/>
                <w:b/>
                <w:bCs/>
                <w:sz w:val="16"/>
                <w:szCs w:val="16"/>
              </w:rPr>
            </w:pPr>
            <w:r w:rsidRPr="004A0B2E">
              <w:rPr>
                <w:rFonts w:ascii="Arial Narrow" w:hAnsi="Arial Narrow" w:cs="Calibri"/>
                <w:b/>
                <w:bCs/>
                <w:sz w:val="16"/>
                <w:szCs w:val="16"/>
              </w:rPr>
              <w:t xml:space="preserve">Продукти </w:t>
            </w:r>
          </w:p>
        </w:tc>
        <w:tc>
          <w:tcPr>
            <w:tcW w:w="957" w:type="dxa"/>
            <w:tcBorders>
              <w:top w:val="single" w:sz="4" w:space="0" w:color="auto"/>
              <w:left w:val="nil"/>
              <w:bottom w:val="single" w:sz="4" w:space="0" w:color="auto"/>
              <w:right w:val="single" w:sz="4" w:space="0" w:color="auto"/>
            </w:tcBorders>
            <w:shd w:val="clear" w:color="auto" w:fill="auto"/>
            <w:vAlign w:val="center"/>
            <w:hideMark/>
          </w:tcPr>
          <w:p w14:paraId="1A3C7A7B" w14:textId="77777777" w:rsidR="00012C3E" w:rsidRPr="004A0B2E" w:rsidRDefault="004A0B2E" w:rsidP="005A18A5">
            <w:pPr>
              <w:jc w:val="center"/>
              <w:rPr>
                <w:rFonts w:ascii="Arial Narrow" w:hAnsi="Arial Narrow" w:cs="Calibri"/>
                <w:b/>
                <w:sz w:val="16"/>
                <w:szCs w:val="16"/>
              </w:rPr>
            </w:pPr>
            <w:r w:rsidRPr="004A0B2E">
              <w:rPr>
                <w:rFonts w:ascii="Arial Narrow" w:hAnsi="Arial Narrow" w:cs="Calibri"/>
                <w:b/>
                <w:sz w:val="16"/>
                <w:szCs w:val="16"/>
              </w:rPr>
              <w:t>2022</w:t>
            </w:r>
          </w:p>
        </w:tc>
        <w:tc>
          <w:tcPr>
            <w:tcW w:w="1118" w:type="dxa"/>
            <w:tcBorders>
              <w:top w:val="single" w:sz="4" w:space="0" w:color="auto"/>
              <w:left w:val="nil"/>
              <w:bottom w:val="single" w:sz="4" w:space="0" w:color="auto"/>
              <w:right w:val="single" w:sz="4" w:space="0" w:color="auto"/>
            </w:tcBorders>
            <w:shd w:val="clear" w:color="auto" w:fill="auto"/>
            <w:vAlign w:val="center"/>
            <w:hideMark/>
          </w:tcPr>
          <w:p w14:paraId="1D3372AA" w14:textId="77777777" w:rsidR="00012C3E" w:rsidRPr="004A0B2E" w:rsidRDefault="00012C3E" w:rsidP="005A18A5">
            <w:pPr>
              <w:jc w:val="center"/>
              <w:rPr>
                <w:rFonts w:ascii="Arial Narrow" w:hAnsi="Arial Narrow" w:cs="Calibri"/>
                <w:b/>
                <w:sz w:val="16"/>
                <w:szCs w:val="16"/>
              </w:rPr>
            </w:pPr>
            <w:r w:rsidRPr="004A0B2E">
              <w:rPr>
                <w:rFonts w:ascii="Arial Narrow" w:hAnsi="Arial Narrow" w:cs="Calibri"/>
                <w:b/>
                <w:sz w:val="16"/>
                <w:szCs w:val="16"/>
              </w:rPr>
              <w:t>Коефициент на изменение</w:t>
            </w:r>
          </w:p>
        </w:tc>
        <w:tc>
          <w:tcPr>
            <w:tcW w:w="957" w:type="dxa"/>
            <w:tcBorders>
              <w:top w:val="single" w:sz="4" w:space="0" w:color="auto"/>
              <w:left w:val="nil"/>
              <w:bottom w:val="single" w:sz="4" w:space="0" w:color="auto"/>
              <w:right w:val="single" w:sz="4" w:space="0" w:color="auto"/>
            </w:tcBorders>
            <w:shd w:val="clear" w:color="auto" w:fill="auto"/>
            <w:vAlign w:val="center"/>
            <w:hideMark/>
          </w:tcPr>
          <w:p w14:paraId="59C29D27" w14:textId="77777777" w:rsidR="00012C3E" w:rsidRPr="004A0B2E" w:rsidRDefault="004A0B2E" w:rsidP="005A18A5">
            <w:pPr>
              <w:jc w:val="center"/>
              <w:rPr>
                <w:rFonts w:ascii="Arial Narrow" w:hAnsi="Arial Narrow" w:cs="Calibri"/>
                <w:b/>
                <w:sz w:val="16"/>
                <w:szCs w:val="16"/>
              </w:rPr>
            </w:pPr>
            <w:r w:rsidRPr="004A0B2E">
              <w:rPr>
                <w:rFonts w:ascii="Arial Narrow" w:hAnsi="Arial Narrow" w:cs="Calibri"/>
                <w:b/>
                <w:sz w:val="16"/>
                <w:szCs w:val="16"/>
              </w:rPr>
              <w:t>2023</w:t>
            </w:r>
          </w:p>
        </w:tc>
        <w:tc>
          <w:tcPr>
            <w:tcW w:w="1256" w:type="dxa"/>
            <w:tcBorders>
              <w:top w:val="single" w:sz="4" w:space="0" w:color="auto"/>
              <w:left w:val="nil"/>
              <w:bottom w:val="single" w:sz="4" w:space="0" w:color="auto"/>
              <w:right w:val="single" w:sz="4" w:space="0" w:color="auto"/>
            </w:tcBorders>
            <w:shd w:val="clear" w:color="auto" w:fill="auto"/>
            <w:vAlign w:val="center"/>
            <w:hideMark/>
          </w:tcPr>
          <w:p w14:paraId="1A13C041" w14:textId="77777777" w:rsidR="00012C3E" w:rsidRPr="004A0B2E" w:rsidRDefault="00012C3E" w:rsidP="005A18A5">
            <w:pPr>
              <w:jc w:val="center"/>
              <w:rPr>
                <w:rFonts w:ascii="Arial Narrow" w:hAnsi="Arial Narrow" w:cs="Calibri"/>
                <w:b/>
                <w:sz w:val="16"/>
                <w:szCs w:val="16"/>
              </w:rPr>
            </w:pPr>
            <w:r w:rsidRPr="004A0B2E">
              <w:rPr>
                <w:rFonts w:ascii="Arial Narrow" w:hAnsi="Arial Narrow" w:cs="Calibri"/>
                <w:b/>
                <w:sz w:val="16"/>
                <w:szCs w:val="16"/>
              </w:rPr>
              <w:t>Коефициент на изменение</w:t>
            </w:r>
          </w:p>
        </w:tc>
        <w:tc>
          <w:tcPr>
            <w:tcW w:w="872" w:type="dxa"/>
            <w:tcBorders>
              <w:top w:val="single" w:sz="4" w:space="0" w:color="auto"/>
              <w:left w:val="nil"/>
              <w:bottom w:val="single" w:sz="4" w:space="0" w:color="auto"/>
              <w:right w:val="single" w:sz="4" w:space="0" w:color="auto"/>
            </w:tcBorders>
            <w:shd w:val="clear" w:color="auto" w:fill="auto"/>
            <w:vAlign w:val="center"/>
            <w:hideMark/>
          </w:tcPr>
          <w:p w14:paraId="02C3445A" w14:textId="77777777" w:rsidR="00012C3E" w:rsidRPr="004A0B2E" w:rsidRDefault="000C5615" w:rsidP="005A18A5">
            <w:pPr>
              <w:jc w:val="center"/>
              <w:rPr>
                <w:rFonts w:ascii="Arial Narrow" w:hAnsi="Arial Narrow" w:cs="Calibri"/>
                <w:b/>
                <w:sz w:val="16"/>
                <w:szCs w:val="16"/>
              </w:rPr>
            </w:pPr>
            <w:r>
              <w:rPr>
                <w:rFonts w:ascii="Arial Narrow" w:hAnsi="Arial Narrow" w:cs="Calibri"/>
                <w:b/>
                <w:sz w:val="16"/>
                <w:szCs w:val="16"/>
              </w:rPr>
              <w:t>2024</w:t>
            </w:r>
          </w:p>
        </w:tc>
      </w:tr>
      <w:tr w:rsidR="004A0B2E" w:rsidRPr="00B10684" w14:paraId="18F34AEA" w14:textId="77777777" w:rsidTr="008F7A9E">
        <w:trPr>
          <w:trHeight w:val="183"/>
        </w:trPr>
        <w:tc>
          <w:tcPr>
            <w:tcW w:w="7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2D60D5" w14:textId="77777777" w:rsidR="004A0B2E" w:rsidRPr="004A0B2E" w:rsidRDefault="004A0B2E" w:rsidP="004A0B2E">
            <w:pPr>
              <w:jc w:val="center"/>
              <w:rPr>
                <w:rFonts w:ascii="Arial Narrow" w:hAnsi="Arial Narrow" w:cs="Arial"/>
                <w:sz w:val="16"/>
                <w:szCs w:val="16"/>
              </w:rPr>
            </w:pPr>
            <w:r w:rsidRPr="004A0B2E">
              <w:rPr>
                <w:rFonts w:ascii="Arial Narrow" w:hAnsi="Arial Narrow" w:cs="Arial"/>
                <w:sz w:val="16"/>
                <w:szCs w:val="16"/>
              </w:rPr>
              <w:t>а</w:t>
            </w:r>
          </w:p>
        </w:tc>
        <w:tc>
          <w:tcPr>
            <w:tcW w:w="5279" w:type="dxa"/>
            <w:tcBorders>
              <w:top w:val="single" w:sz="4" w:space="0" w:color="auto"/>
              <w:left w:val="nil"/>
              <w:bottom w:val="single" w:sz="4" w:space="0" w:color="auto"/>
              <w:right w:val="single" w:sz="4" w:space="0" w:color="auto"/>
            </w:tcBorders>
            <w:shd w:val="clear" w:color="auto" w:fill="auto"/>
            <w:noWrap/>
            <w:vAlign w:val="center"/>
            <w:hideMark/>
          </w:tcPr>
          <w:p w14:paraId="3BE8C42A" w14:textId="77777777" w:rsidR="004A0B2E" w:rsidRPr="004A0B2E" w:rsidRDefault="004A0B2E" w:rsidP="004A0B2E">
            <w:pPr>
              <w:jc w:val="center"/>
              <w:rPr>
                <w:rFonts w:ascii="Arial Narrow" w:hAnsi="Arial Narrow" w:cs="Arial"/>
                <w:sz w:val="16"/>
                <w:szCs w:val="16"/>
              </w:rPr>
            </w:pPr>
            <w:r w:rsidRPr="004A0B2E">
              <w:rPr>
                <w:rFonts w:ascii="Arial Narrow" w:hAnsi="Arial Narrow" w:cs="Arial"/>
                <w:sz w:val="16"/>
                <w:szCs w:val="16"/>
              </w:rPr>
              <w:t>б</w:t>
            </w:r>
          </w:p>
        </w:tc>
        <w:tc>
          <w:tcPr>
            <w:tcW w:w="957" w:type="dxa"/>
            <w:tcBorders>
              <w:top w:val="single" w:sz="4" w:space="0" w:color="auto"/>
              <w:left w:val="nil"/>
              <w:bottom w:val="single" w:sz="4" w:space="0" w:color="auto"/>
              <w:right w:val="single" w:sz="4" w:space="0" w:color="auto"/>
            </w:tcBorders>
            <w:shd w:val="clear" w:color="auto" w:fill="auto"/>
            <w:vAlign w:val="center"/>
            <w:hideMark/>
          </w:tcPr>
          <w:p w14:paraId="6BBA519A" w14:textId="77777777" w:rsidR="004A0B2E" w:rsidRPr="004A0B2E" w:rsidRDefault="004A0B2E" w:rsidP="004A0B2E">
            <w:pPr>
              <w:jc w:val="center"/>
              <w:rPr>
                <w:rFonts w:ascii="Arial Narrow" w:hAnsi="Arial Narrow" w:cs="Arial"/>
                <w:sz w:val="16"/>
                <w:szCs w:val="16"/>
              </w:rPr>
            </w:pPr>
            <w:r w:rsidRPr="004A0B2E">
              <w:rPr>
                <w:rFonts w:ascii="Arial Narrow" w:hAnsi="Arial Narrow" w:cs="Arial"/>
                <w:sz w:val="16"/>
                <w:szCs w:val="16"/>
              </w:rPr>
              <w:t>1</w:t>
            </w:r>
          </w:p>
        </w:tc>
        <w:tc>
          <w:tcPr>
            <w:tcW w:w="1118" w:type="dxa"/>
            <w:tcBorders>
              <w:top w:val="single" w:sz="4" w:space="0" w:color="auto"/>
              <w:left w:val="nil"/>
              <w:bottom w:val="single" w:sz="4" w:space="0" w:color="auto"/>
              <w:right w:val="single" w:sz="4" w:space="0" w:color="auto"/>
            </w:tcBorders>
            <w:shd w:val="clear" w:color="auto" w:fill="auto"/>
            <w:vAlign w:val="center"/>
            <w:hideMark/>
          </w:tcPr>
          <w:p w14:paraId="65D972AF" w14:textId="77777777" w:rsidR="004A0B2E" w:rsidRPr="004A0B2E" w:rsidRDefault="004A0B2E" w:rsidP="004A0B2E">
            <w:pPr>
              <w:jc w:val="center"/>
              <w:rPr>
                <w:rFonts w:ascii="Arial Narrow" w:hAnsi="Arial Narrow" w:cs="Arial"/>
                <w:sz w:val="16"/>
                <w:szCs w:val="16"/>
              </w:rPr>
            </w:pPr>
            <w:r w:rsidRPr="004A0B2E">
              <w:rPr>
                <w:rFonts w:ascii="Arial Narrow" w:hAnsi="Arial Narrow" w:cs="Arial"/>
                <w:sz w:val="16"/>
                <w:szCs w:val="16"/>
              </w:rPr>
              <w:t>2</w:t>
            </w:r>
          </w:p>
        </w:tc>
        <w:tc>
          <w:tcPr>
            <w:tcW w:w="957" w:type="dxa"/>
            <w:tcBorders>
              <w:top w:val="single" w:sz="4" w:space="0" w:color="auto"/>
              <w:left w:val="nil"/>
              <w:bottom w:val="single" w:sz="4" w:space="0" w:color="auto"/>
              <w:right w:val="single" w:sz="4" w:space="0" w:color="auto"/>
            </w:tcBorders>
            <w:shd w:val="clear" w:color="auto" w:fill="auto"/>
            <w:vAlign w:val="center"/>
            <w:hideMark/>
          </w:tcPr>
          <w:p w14:paraId="62119996" w14:textId="77777777" w:rsidR="004A0B2E" w:rsidRPr="004A0B2E" w:rsidRDefault="004A0B2E" w:rsidP="004A0B2E">
            <w:pPr>
              <w:jc w:val="center"/>
              <w:rPr>
                <w:rFonts w:ascii="Arial Narrow" w:hAnsi="Arial Narrow" w:cs="Arial"/>
                <w:sz w:val="16"/>
                <w:szCs w:val="16"/>
              </w:rPr>
            </w:pPr>
            <w:r w:rsidRPr="004A0B2E">
              <w:rPr>
                <w:rFonts w:ascii="Arial Narrow" w:hAnsi="Arial Narrow" w:cs="Arial"/>
                <w:sz w:val="16"/>
                <w:szCs w:val="16"/>
              </w:rPr>
              <w:t>3</w:t>
            </w:r>
          </w:p>
        </w:tc>
        <w:tc>
          <w:tcPr>
            <w:tcW w:w="1256" w:type="dxa"/>
            <w:tcBorders>
              <w:top w:val="single" w:sz="4" w:space="0" w:color="auto"/>
              <w:left w:val="nil"/>
              <w:bottom w:val="single" w:sz="4" w:space="0" w:color="auto"/>
              <w:right w:val="single" w:sz="4" w:space="0" w:color="auto"/>
            </w:tcBorders>
            <w:shd w:val="clear" w:color="auto" w:fill="auto"/>
            <w:vAlign w:val="center"/>
            <w:hideMark/>
          </w:tcPr>
          <w:p w14:paraId="583DEC8D" w14:textId="77777777" w:rsidR="004A0B2E" w:rsidRPr="004A0B2E" w:rsidRDefault="004A0B2E" w:rsidP="004A0B2E">
            <w:pPr>
              <w:jc w:val="center"/>
              <w:rPr>
                <w:rFonts w:ascii="Arial Narrow" w:hAnsi="Arial Narrow" w:cs="Arial"/>
                <w:sz w:val="16"/>
                <w:szCs w:val="16"/>
              </w:rPr>
            </w:pPr>
            <w:r w:rsidRPr="004A0B2E">
              <w:rPr>
                <w:rFonts w:ascii="Arial Narrow" w:hAnsi="Arial Narrow" w:cs="Arial"/>
                <w:sz w:val="16"/>
                <w:szCs w:val="16"/>
              </w:rPr>
              <w:t>4</w:t>
            </w:r>
          </w:p>
        </w:tc>
        <w:tc>
          <w:tcPr>
            <w:tcW w:w="872" w:type="dxa"/>
            <w:tcBorders>
              <w:top w:val="single" w:sz="4" w:space="0" w:color="auto"/>
              <w:left w:val="nil"/>
              <w:bottom w:val="single" w:sz="4" w:space="0" w:color="auto"/>
              <w:right w:val="single" w:sz="4" w:space="0" w:color="auto"/>
            </w:tcBorders>
            <w:shd w:val="clear" w:color="auto" w:fill="auto"/>
            <w:vAlign w:val="center"/>
            <w:hideMark/>
          </w:tcPr>
          <w:p w14:paraId="5AA8CDFD" w14:textId="77777777" w:rsidR="004A0B2E" w:rsidRPr="004A0B2E" w:rsidRDefault="004A0B2E" w:rsidP="004A0B2E">
            <w:pPr>
              <w:jc w:val="center"/>
              <w:rPr>
                <w:rFonts w:ascii="Arial Narrow" w:hAnsi="Arial Narrow" w:cs="Arial"/>
                <w:sz w:val="16"/>
                <w:szCs w:val="16"/>
              </w:rPr>
            </w:pPr>
            <w:r w:rsidRPr="004A0B2E">
              <w:rPr>
                <w:rFonts w:ascii="Arial Narrow" w:hAnsi="Arial Narrow" w:cs="Arial"/>
                <w:sz w:val="16"/>
                <w:szCs w:val="16"/>
              </w:rPr>
              <w:t>5</w:t>
            </w:r>
          </w:p>
        </w:tc>
      </w:tr>
      <w:tr w:rsidR="004A0B2E" w:rsidRPr="00B10684" w14:paraId="3C3C7855" w14:textId="77777777" w:rsidTr="005A18A5">
        <w:trPr>
          <w:trHeight w:val="183"/>
        </w:trPr>
        <w:tc>
          <w:tcPr>
            <w:tcW w:w="757" w:type="dxa"/>
            <w:tcBorders>
              <w:top w:val="nil"/>
              <w:left w:val="single" w:sz="4" w:space="0" w:color="auto"/>
              <w:bottom w:val="single" w:sz="4" w:space="0" w:color="auto"/>
              <w:right w:val="single" w:sz="4" w:space="0" w:color="auto"/>
            </w:tcBorders>
            <w:shd w:val="clear" w:color="auto" w:fill="auto"/>
            <w:noWrap/>
            <w:vAlign w:val="center"/>
            <w:hideMark/>
          </w:tcPr>
          <w:p w14:paraId="488DAAFB" w14:textId="77777777" w:rsidR="004A0B2E" w:rsidRPr="004A0B2E" w:rsidRDefault="004A0B2E" w:rsidP="004A0B2E">
            <w:pPr>
              <w:rPr>
                <w:rFonts w:ascii="Arial Narrow" w:hAnsi="Arial Narrow" w:cs="Calibri"/>
                <w:sz w:val="16"/>
                <w:szCs w:val="16"/>
              </w:rPr>
            </w:pPr>
            <w:r w:rsidRPr="004A0B2E">
              <w:rPr>
                <w:rFonts w:ascii="Arial Narrow" w:hAnsi="Arial Narrow" w:cs="Calibri"/>
                <w:sz w:val="16"/>
                <w:szCs w:val="16"/>
              </w:rPr>
              <w:t xml:space="preserve"> 01</w:t>
            </w:r>
          </w:p>
        </w:tc>
        <w:tc>
          <w:tcPr>
            <w:tcW w:w="5279" w:type="dxa"/>
            <w:tcBorders>
              <w:top w:val="nil"/>
              <w:left w:val="nil"/>
              <w:bottom w:val="single" w:sz="4" w:space="0" w:color="auto"/>
              <w:right w:val="single" w:sz="4" w:space="0" w:color="auto"/>
            </w:tcBorders>
            <w:shd w:val="clear" w:color="auto" w:fill="auto"/>
            <w:vAlign w:val="center"/>
            <w:hideMark/>
          </w:tcPr>
          <w:p w14:paraId="7DE52CF5" w14:textId="77777777" w:rsidR="004A0B2E" w:rsidRPr="004A0B2E" w:rsidRDefault="004A0B2E" w:rsidP="004A0B2E">
            <w:pPr>
              <w:rPr>
                <w:rFonts w:ascii="Arial Narrow" w:hAnsi="Arial Narrow" w:cs="Calibri"/>
                <w:sz w:val="16"/>
                <w:szCs w:val="16"/>
              </w:rPr>
            </w:pPr>
            <w:r w:rsidRPr="004A0B2E">
              <w:rPr>
                <w:rFonts w:ascii="Arial Narrow" w:hAnsi="Arial Narrow" w:cs="Calibri"/>
                <w:sz w:val="16"/>
                <w:szCs w:val="16"/>
              </w:rPr>
              <w:t>Зърнени култури</w:t>
            </w:r>
          </w:p>
        </w:tc>
        <w:tc>
          <w:tcPr>
            <w:tcW w:w="957" w:type="dxa"/>
            <w:tcBorders>
              <w:top w:val="nil"/>
              <w:left w:val="nil"/>
              <w:bottom w:val="single" w:sz="4" w:space="0" w:color="auto"/>
              <w:right w:val="single" w:sz="4" w:space="0" w:color="auto"/>
            </w:tcBorders>
            <w:shd w:val="clear" w:color="auto" w:fill="auto"/>
            <w:vAlign w:val="center"/>
            <w:hideMark/>
          </w:tcPr>
          <w:p w14:paraId="5BFAA1AC" w14:textId="77777777" w:rsidR="004A0B2E" w:rsidRPr="004A0B2E" w:rsidRDefault="004A0B2E" w:rsidP="004A0B2E">
            <w:pPr>
              <w:jc w:val="right"/>
              <w:rPr>
                <w:rFonts w:ascii="Arial Narrow" w:hAnsi="Arial Narrow" w:cs="Calibri"/>
                <w:sz w:val="16"/>
                <w:szCs w:val="16"/>
              </w:rPr>
            </w:pPr>
            <w:r w:rsidRPr="004A0B2E">
              <w:rPr>
                <w:rFonts w:ascii="Arial Narrow" w:hAnsi="Arial Narrow" w:cs="Calibri"/>
                <w:sz w:val="16"/>
                <w:szCs w:val="16"/>
              </w:rPr>
              <w:t>5 644,7</w:t>
            </w:r>
          </w:p>
        </w:tc>
        <w:tc>
          <w:tcPr>
            <w:tcW w:w="1118" w:type="dxa"/>
            <w:tcBorders>
              <w:top w:val="nil"/>
              <w:left w:val="nil"/>
              <w:bottom w:val="single" w:sz="4" w:space="0" w:color="auto"/>
              <w:right w:val="single" w:sz="4" w:space="0" w:color="auto"/>
            </w:tcBorders>
            <w:shd w:val="clear" w:color="auto" w:fill="auto"/>
            <w:vAlign w:val="center"/>
            <w:hideMark/>
          </w:tcPr>
          <w:p w14:paraId="39192844" w14:textId="77777777" w:rsidR="004A0B2E" w:rsidRPr="004A0B2E" w:rsidRDefault="004A0B2E" w:rsidP="004A0B2E">
            <w:pPr>
              <w:jc w:val="right"/>
              <w:rPr>
                <w:rFonts w:ascii="Arial Narrow" w:hAnsi="Arial Narrow" w:cs="Calibri"/>
                <w:sz w:val="16"/>
                <w:szCs w:val="16"/>
              </w:rPr>
            </w:pPr>
            <w:r w:rsidRPr="004A0B2E">
              <w:rPr>
                <w:rFonts w:ascii="Arial Narrow" w:hAnsi="Arial Narrow" w:cs="Calibri"/>
                <w:sz w:val="16"/>
                <w:szCs w:val="16"/>
              </w:rPr>
              <w:t>-25,5</w:t>
            </w:r>
          </w:p>
        </w:tc>
        <w:tc>
          <w:tcPr>
            <w:tcW w:w="957" w:type="dxa"/>
            <w:tcBorders>
              <w:top w:val="nil"/>
              <w:left w:val="nil"/>
              <w:bottom w:val="single" w:sz="4" w:space="0" w:color="auto"/>
              <w:right w:val="single" w:sz="4" w:space="0" w:color="auto"/>
            </w:tcBorders>
            <w:shd w:val="clear" w:color="auto" w:fill="auto"/>
            <w:vAlign w:val="center"/>
            <w:hideMark/>
          </w:tcPr>
          <w:p w14:paraId="152A77F2" w14:textId="77777777" w:rsidR="004A0B2E" w:rsidRPr="004A0B2E" w:rsidRDefault="004A0B2E" w:rsidP="004A0B2E">
            <w:pPr>
              <w:jc w:val="right"/>
              <w:rPr>
                <w:rFonts w:ascii="Arial Narrow" w:hAnsi="Arial Narrow" w:cs="Calibri"/>
                <w:sz w:val="16"/>
                <w:szCs w:val="16"/>
              </w:rPr>
            </w:pPr>
            <w:r w:rsidRPr="004A0B2E">
              <w:rPr>
                <w:rFonts w:ascii="Arial Narrow" w:hAnsi="Arial Narrow" w:cs="Calibri"/>
                <w:sz w:val="16"/>
                <w:szCs w:val="16"/>
              </w:rPr>
              <w:t>4 203,0</w:t>
            </w:r>
          </w:p>
        </w:tc>
        <w:tc>
          <w:tcPr>
            <w:tcW w:w="1256" w:type="dxa"/>
            <w:tcBorders>
              <w:top w:val="nil"/>
              <w:left w:val="nil"/>
              <w:bottom w:val="single" w:sz="4" w:space="0" w:color="auto"/>
              <w:right w:val="single" w:sz="4" w:space="0" w:color="auto"/>
            </w:tcBorders>
            <w:shd w:val="clear" w:color="auto" w:fill="auto"/>
            <w:vAlign w:val="center"/>
            <w:hideMark/>
          </w:tcPr>
          <w:p w14:paraId="19483E15" w14:textId="77777777" w:rsidR="004A0B2E" w:rsidRPr="004A0B2E" w:rsidRDefault="004A0B2E" w:rsidP="004A0B2E">
            <w:pPr>
              <w:jc w:val="right"/>
              <w:rPr>
                <w:rFonts w:ascii="Arial Narrow" w:hAnsi="Arial Narrow" w:cs="Calibri"/>
                <w:sz w:val="16"/>
                <w:szCs w:val="16"/>
              </w:rPr>
            </w:pPr>
            <w:r w:rsidRPr="004A0B2E">
              <w:rPr>
                <w:rFonts w:ascii="Arial Narrow" w:hAnsi="Arial Narrow" w:cs="Calibri"/>
                <w:sz w:val="16"/>
                <w:szCs w:val="16"/>
              </w:rPr>
              <w:t>-16,4</w:t>
            </w:r>
          </w:p>
        </w:tc>
        <w:tc>
          <w:tcPr>
            <w:tcW w:w="872" w:type="dxa"/>
            <w:tcBorders>
              <w:top w:val="nil"/>
              <w:left w:val="nil"/>
              <w:bottom w:val="single" w:sz="4" w:space="0" w:color="auto"/>
              <w:right w:val="single" w:sz="4" w:space="0" w:color="auto"/>
            </w:tcBorders>
            <w:shd w:val="clear" w:color="auto" w:fill="auto"/>
            <w:vAlign w:val="center"/>
            <w:hideMark/>
          </w:tcPr>
          <w:p w14:paraId="038263D4" w14:textId="77777777" w:rsidR="004A0B2E" w:rsidRPr="004A0B2E" w:rsidRDefault="004A0B2E" w:rsidP="004A0B2E">
            <w:pPr>
              <w:jc w:val="right"/>
              <w:rPr>
                <w:rFonts w:ascii="Arial Narrow" w:hAnsi="Arial Narrow" w:cs="Calibri"/>
                <w:sz w:val="16"/>
                <w:szCs w:val="16"/>
              </w:rPr>
            </w:pPr>
            <w:r w:rsidRPr="004A0B2E">
              <w:rPr>
                <w:rFonts w:ascii="Arial Narrow" w:hAnsi="Arial Narrow" w:cs="Calibri"/>
                <w:sz w:val="16"/>
                <w:szCs w:val="16"/>
              </w:rPr>
              <w:t>3 513,0</w:t>
            </w:r>
          </w:p>
        </w:tc>
      </w:tr>
      <w:tr w:rsidR="004A0B2E" w:rsidRPr="00B10684" w14:paraId="562561B7" w14:textId="77777777" w:rsidTr="005A18A5">
        <w:trPr>
          <w:trHeight w:val="183"/>
        </w:trPr>
        <w:tc>
          <w:tcPr>
            <w:tcW w:w="757" w:type="dxa"/>
            <w:tcBorders>
              <w:top w:val="nil"/>
              <w:left w:val="single" w:sz="4" w:space="0" w:color="auto"/>
              <w:bottom w:val="single" w:sz="4" w:space="0" w:color="auto"/>
              <w:right w:val="single" w:sz="4" w:space="0" w:color="auto"/>
            </w:tcBorders>
            <w:shd w:val="clear" w:color="auto" w:fill="auto"/>
            <w:noWrap/>
            <w:vAlign w:val="center"/>
            <w:hideMark/>
          </w:tcPr>
          <w:p w14:paraId="76E1372F" w14:textId="77777777" w:rsidR="004A0B2E" w:rsidRPr="004A0B2E" w:rsidRDefault="004A0B2E" w:rsidP="004A0B2E">
            <w:pPr>
              <w:rPr>
                <w:rFonts w:ascii="Arial Narrow" w:hAnsi="Arial Narrow" w:cs="Calibri"/>
                <w:sz w:val="16"/>
                <w:szCs w:val="16"/>
              </w:rPr>
            </w:pPr>
            <w:r w:rsidRPr="004A0B2E">
              <w:rPr>
                <w:rFonts w:ascii="Arial Narrow" w:hAnsi="Arial Narrow" w:cs="Calibri"/>
                <w:sz w:val="16"/>
                <w:szCs w:val="16"/>
              </w:rPr>
              <w:t xml:space="preserve"> 01.1</w:t>
            </w:r>
          </w:p>
        </w:tc>
        <w:tc>
          <w:tcPr>
            <w:tcW w:w="5279" w:type="dxa"/>
            <w:tcBorders>
              <w:top w:val="nil"/>
              <w:left w:val="nil"/>
              <w:bottom w:val="single" w:sz="4" w:space="0" w:color="auto"/>
              <w:right w:val="single" w:sz="4" w:space="0" w:color="auto"/>
            </w:tcBorders>
            <w:shd w:val="clear" w:color="auto" w:fill="auto"/>
            <w:vAlign w:val="center"/>
            <w:hideMark/>
          </w:tcPr>
          <w:p w14:paraId="390EEBE7" w14:textId="77777777" w:rsidR="004A0B2E" w:rsidRPr="004A0B2E" w:rsidRDefault="004A0B2E" w:rsidP="004A0B2E">
            <w:pPr>
              <w:ind w:firstLineChars="100" w:firstLine="160"/>
              <w:rPr>
                <w:rFonts w:ascii="Arial Narrow" w:hAnsi="Arial Narrow" w:cs="Calibri"/>
                <w:sz w:val="16"/>
                <w:szCs w:val="16"/>
              </w:rPr>
            </w:pPr>
            <w:r w:rsidRPr="004A0B2E">
              <w:rPr>
                <w:rFonts w:ascii="Arial Narrow" w:hAnsi="Arial Narrow" w:cs="Calibri"/>
                <w:sz w:val="16"/>
                <w:szCs w:val="16"/>
              </w:rPr>
              <w:t>Пшеница и лимец</w:t>
            </w:r>
          </w:p>
        </w:tc>
        <w:tc>
          <w:tcPr>
            <w:tcW w:w="957" w:type="dxa"/>
            <w:tcBorders>
              <w:top w:val="nil"/>
              <w:left w:val="nil"/>
              <w:bottom w:val="single" w:sz="4" w:space="0" w:color="auto"/>
              <w:right w:val="single" w:sz="4" w:space="0" w:color="auto"/>
            </w:tcBorders>
            <w:shd w:val="clear" w:color="auto" w:fill="auto"/>
            <w:vAlign w:val="center"/>
            <w:hideMark/>
          </w:tcPr>
          <w:p w14:paraId="0C7CD111" w14:textId="77777777" w:rsidR="004A0B2E" w:rsidRPr="004A0B2E" w:rsidRDefault="004A0B2E" w:rsidP="004A0B2E">
            <w:pPr>
              <w:jc w:val="right"/>
              <w:rPr>
                <w:rFonts w:ascii="Arial Narrow" w:hAnsi="Arial Narrow" w:cs="Calibri"/>
                <w:sz w:val="16"/>
                <w:szCs w:val="16"/>
              </w:rPr>
            </w:pPr>
            <w:r w:rsidRPr="004A0B2E">
              <w:rPr>
                <w:rFonts w:ascii="Arial Narrow" w:hAnsi="Arial Narrow" w:cs="Calibri"/>
                <w:sz w:val="16"/>
                <w:szCs w:val="16"/>
              </w:rPr>
              <w:t>3 785,6</w:t>
            </w:r>
          </w:p>
        </w:tc>
        <w:tc>
          <w:tcPr>
            <w:tcW w:w="1118" w:type="dxa"/>
            <w:tcBorders>
              <w:top w:val="nil"/>
              <w:left w:val="nil"/>
              <w:bottom w:val="single" w:sz="4" w:space="0" w:color="auto"/>
              <w:right w:val="single" w:sz="4" w:space="0" w:color="auto"/>
            </w:tcBorders>
            <w:shd w:val="clear" w:color="auto" w:fill="auto"/>
            <w:vAlign w:val="center"/>
            <w:hideMark/>
          </w:tcPr>
          <w:p w14:paraId="2B6D2BFB" w14:textId="77777777" w:rsidR="004A0B2E" w:rsidRPr="004A0B2E" w:rsidRDefault="004A0B2E" w:rsidP="004A0B2E">
            <w:pPr>
              <w:jc w:val="right"/>
              <w:rPr>
                <w:rFonts w:ascii="Arial Narrow" w:hAnsi="Arial Narrow" w:cs="Calibri"/>
                <w:sz w:val="16"/>
                <w:szCs w:val="16"/>
              </w:rPr>
            </w:pPr>
            <w:r w:rsidRPr="004A0B2E">
              <w:rPr>
                <w:rFonts w:ascii="Arial Narrow" w:hAnsi="Arial Narrow" w:cs="Calibri"/>
                <w:sz w:val="16"/>
                <w:szCs w:val="16"/>
              </w:rPr>
              <w:t>-27,3</w:t>
            </w:r>
          </w:p>
        </w:tc>
        <w:tc>
          <w:tcPr>
            <w:tcW w:w="957" w:type="dxa"/>
            <w:tcBorders>
              <w:top w:val="nil"/>
              <w:left w:val="nil"/>
              <w:bottom w:val="single" w:sz="4" w:space="0" w:color="auto"/>
              <w:right w:val="single" w:sz="4" w:space="0" w:color="auto"/>
            </w:tcBorders>
            <w:shd w:val="clear" w:color="auto" w:fill="auto"/>
            <w:vAlign w:val="center"/>
            <w:hideMark/>
          </w:tcPr>
          <w:p w14:paraId="163CF582" w14:textId="77777777" w:rsidR="004A0B2E" w:rsidRPr="004A0B2E" w:rsidRDefault="004A0B2E" w:rsidP="004A0B2E">
            <w:pPr>
              <w:jc w:val="right"/>
              <w:rPr>
                <w:rFonts w:ascii="Arial Narrow" w:hAnsi="Arial Narrow" w:cs="Calibri"/>
                <w:sz w:val="16"/>
                <w:szCs w:val="16"/>
              </w:rPr>
            </w:pPr>
            <w:r w:rsidRPr="004A0B2E">
              <w:rPr>
                <w:rFonts w:ascii="Arial Narrow" w:hAnsi="Arial Narrow" w:cs="Calibri"/>
                <w:sz w:val="16"/>
                <w:szCs w:val="16"/>
              </w:rPr>
              <w:t>2 751,5</w:t>
            </w:r>
          </w:p>
        </w:tc>
        <w:tc>
          <w:tcPr>
            <w:tcW w:w="1256" w:type="dxa"/>
            <w:tcBorders>
              <w:top w:val="nil"/>
              <w:left w:val="nil"/>
              <w:bottom w:val="single" w:sz="4" w:space="0" w:color="auto"/>
              <w:right w:val="single" w:sz="4" w:space="0" w:color="auto"/>
            </w:tcBorders>
            <w:shd w:val="clear" w:color="auto" w:fill="auto"/>
            <w:vAlign w:val="center"/>
            <w:hideMark/>
          </w:tcPr>
          <w:p w14:paraId="3BA32DFB" w14:textId="77777777" w:rsidR="004A0B2E" w:rsidRPr="004A0B2E" w:rsidRDefault="004A0B2E" w:rsidP="004A0B2E">
            <w:pPr>
              <w:jc w:val="right"/>
              <w:rPr>
                <w:rFonts w:ascii="Arial Narrow" w:hAnsi="Arial Narrow" w:cs="Calibri"/>
                <w:sz w:val="16"/>
                <w:szCs w:val="16"/>
              </w:rPr>
            </w:pPr>
            <w:r w:rsidRPr="004A0B2E">
              <w:rPr>
                <w:rFonts w:ascii="Arial Narrow" w:hAnsi="Arial Narrow" w:cs="Calibri"/>
                <w:sz w:val="16"/>
                <w:szCs w:val="16"/>
              </w:rPr>
              <w:t>-9,8</w:t>
            </w:r>
          </w:p>
        </w:tc>
        <w:tc>
          <w:tcPr>
            <w:tcW w:w="872" w:type="dxa"/>
            <w:tcBorders>
              <w:top w:val="nil"/>
              <w:left w:val="nil"/>
              <w:bottom w:val="single" w:sz="4" w:space="0" w:color="auto"/>
              <w:right w:val="single" w:sz="4" w:space="0" w:color="auto"/>
            </w:tcBorders>
            <w:shd w:val="clear" w:color="auto" w:fill="auto"/>
            <w:vAlign w:val="center"/>
            <w:hideMark/>
          </w:tcPr>
          <w:p w14:paraId="7E27C109" w14:textId="77777777" w:rsidR="004A0B2E" w:rsidRPr="004A0B2E" w:rsidRDefault="004A0B2E" w:rsidP="004A0B2E">
            <w:pPr>
              <w:jc w:val="right"/>
              <w:rPr>
                <w:rFonts w:ascii="Arial Narrow" w:hAnsi="Arial Narrow" w:cs="Calibri"/>
                <w:sz w:val="16"/>
                <w:szCs w:val="16"/>
              </w:rPr>
            </w:pPr>
            <w:r w:rsidRPr="004A0B2E">
              <w:rPr>
                <w:rFonts w:ascii="Arial Narrow" w:hAnsi="Arial Narrow" w:cs="Calibri"/>
                <w:sz w:val="16"/>
                <w:szCs w:val="16"/>
              </w:rPr>
              <w:t>2 481,1</w:t>
            </w:r>
          </w:p>
        </w:tc>
      </w:tr>
      <w:tr w:rsidR="004A0B2E" w:rsidRPr="00B10684" w14:paraId="5908982E" w14:textId="77777777" w:rsidTr="005A18A5">
        <w:trPr>
          <w:trHeight w:val="183"/>
        </w:trPr>
        <w:tc>
          <w:tcPr>
            <w:tcW w:w="757" w:type="dxa"/>
            <w:tcBorders>
              <w:top w:val="nil"/>
              <w:left w:val="single" w:sz="4" w:space="0" w:color="auto"/>
              <w:bottom w:val="single" w:sz="4" w:space="0" w:color="auto"/>
              <w:right w:val="single" w:sz="4" w:space="0" w:color="auto"/>
            </w:tcBorders>
            <w:shd w:val="clear" w:color="auto" w:fill="auto"/>
            <w:noWrap/>
            <w:vAlign w:val="center"/>
            <w:hideMark/>
          </w:tcPr>
          <w:p w14:paraId="73229599" w14:textId="77777777" w:rsidR="004A0B2E" w:rsidRPr="004A0B2E" w:rsidRDefault="004A0B2E" w:rsidP="004A0B2E">
            <w:pPr>
              <w:rPr>
                <w:rFonts w:ascii="Arial Narrow" w:hAnsi="Arial Narrow" w:cs="Calibri"/>
                <w:sz w:val="16"/>
                <w:szCs w:val="16"/>
              </w:rPr>
            </w:pPr>
            <w:r w:rsidRPr="004A0B2E">
              <w:rPr>
                <w:rFonts w:ascii="Arial Narrow" w:hAnsi="Arial Narrow" w:cs="Calibri"/>
                <w:sz w:val="16"/>
                <w:szCs w:val="16"/>
              </w:rPr>
              <w:t xml:space="preserve"> 01.1/1</w:t>
            </w:r>
          </w:p>
        </w:tc>
        <w:tc>
          <w:tcPr>
            <w:tcW w:w="5279" w:type="dxa"/>
            <w:tcBorders>
              <w:top w:val="nil"/>
              <w:left w:val="nil"/>
              <w:bottom w:val="single" w:sz="4" w:space="0" w:color="auto"/>
              <w:right w:val="single" w:sz="4" w:space="0" w:color="auto"/>
            </w:tcBorders>
            <w:shd w:val="clear" w:color="auto" w:fill="auto"/>
            <w:vAlign w:val="center"/>
            <w:hideMark/>
          </w:tcPr>
          <w:p w14:paraId="10D212E9" w14:textId="77777777" w:rsidR="004A0B2E" w:rsidRPr="004A0B2E" w:rsidRDefault="004A0B2E" w:rsidP="004A0B2E">
            <w:pPr>
              <w:ind w:firstLineChars="300" w:firstLine="480"/>
              <w:rPr>
                <w:rFonts w:ascii="Arial Narrow" w:hAnsi="Arial Narrow" w:cs="Calibri"/>
                <w:sz w:val="16"/>
                <w:szCs w:val="16"/>
              </w:rPr>
            </w:pPr>
            <w:r w:rsidRPr="004A0B2E">
              <w:rPr>
                <w:rFonts w:ascii="Arial Narrow" w:hAnsi="Arial Narrow" w:cs="Calibri"/>
                <w:sz w:val="16"/>
                <w:szCs w:val="16"/>
              </w:rPr>
              <w:t>Мека пшеница</w:t>
            </w:r>
          </w:p>
        </w:tc>
        <w:tc>
          <w:tcPr>
            <w:tcW w:w="957" w:type="dxa"/>
            <w:tcBorders>
              <w:top w:val="nil"/>
              <w:left w:val="nil"/>
              <w:bottom w:val="single" w:sz="4" w:space="0" w:color="auto"/>
              <w:right w:val="single" w:sz="4" w:space="0" w:color="auto"/>
            </w:tcBorders>
            <w:shd w:val="clear" w:color="auto" w:fill="auto"/>
            <w:vAlign w:val="center"/>
            <w:hideMark/>
          </w:tcPr>
          <w:p w14:paraId="662C1FBA" w14:textId="77777777" w:rsidR="004A0B2E" w:rsidRPr="004A0B2E" w:rsidRDefault="004A0B2E" w:rsidP="004A0B2E">
            <w:pPr>
              <w:jc w:val="right"/>
              <w:rPr>
                <w:rFonts w:ascii="Arial Narrow" w:hAnsi="Arial Narrow" w:cs="Calibri"/>
                <w:sz w:val="16"/>
                <w:szCs w:val="16"/>
              </w:rPr>
            </w:pPr>
            <w:r w:rsidRPr="004A0B2E">
              <w:rPr>
                <w:rFonts w:ascii="Arial Narrow" w:hAnsi="Arial Narrow" w:cs="Calibri"/>
                <w:sz w:val="16"/>
                <w:szCs w:val="16"/>
              </w:rPr>
              <w:t>3 747,1</w:t>
            </w:r>
          </w:p>
        </w:tc>
        <w:tc>
          <w:tcPr>
            <w:tcW w:w="1118" w:type="dxa"/>
            <w:tcBorders>
              <w:top w:val="nil"/>
              <w:left w:val="nil"/>
              <w:bottom w:val="single" w:sz="4" w:space="0" w:color="auto"/>
              <w:right w:val="single" w:sz="4" w:space="0" w:color="auto"/>
            </w:tcBorders>
            <w:shd w:val="clear" w:color="auto" w:fill="auto"/>
            <w:vAlign w:val="center"/>
            <w:hideMark/>
          </w:tcPr>
          <w:p w14:paraId="45CA0D6B" w14:textId="77777777" w:rsidR="004A0B2E" w:rsidRPr="004A0B2E" w:rsidRDefault="004A0B2E" w:rsidP="004A0B2E">
            <w:pPr>
              <w:jc w:val="right"/>
              <w:rPr>
                <w:rFonts w:ascii="Arial Narrow" w:hAnsi="Arial Narrow" w:cs="Calibri"/>
                <w:sz w:val="16"/>
                <w:szCs w:val="16"/>
              </w:rPr>
            </w:pPr>
            <w:r w:rsidRPr="004A0B2E">
              <w:rPr>
                <w:rFonts w:ascii="Arial Narrow" w:hAnsi="Arial Narrow" w:cs="Calibri"/>
                <w:sz w:val="16"/>
                <w:szCs w:val="16"/>
              </w:rPr>
              <w:t>-27,6</w:t>
            </w:r>
          </w:p>
        </w:tc>
        <w:tc>
          <w:tcPr>
            <w:tcW w:w="957" w:type="dxa"/>
            <w:tcBorders>
              <w:top w:val="nil"/>
              <w:left w:val="nil"/>
              <w:bottom w:val="single" w:sz="4" w:space="0" w:color="auto"/>
              <w:right w:val="single" w:sz="4" w:space="0" w:color="auto"/>
            </w:tcBorders>
            <w:shd w:val="clear" w:color="auto" w:fill="auto"/>
            <w:vAlign w:val="center"/>
            <w:hideMark/>
          </w:tcPr>
          <w:p w14:paraId="73719C75" w14:textId="77777777" w:rsidR="004A0B2E" w:rsidRPr="004A0B2E" w:rsidRDefault="004A0B2E" w:rsidP="004A0B2E">
            <w:pPr>
              <w:jc w:val="right"/>
              <w:rPr>
                <w:rFonts w:ascii="Arial Narrow" w:hAnsi="Arial Narrow" w:cs="Calibri"/>
                <w:sz w:val="16"/>
                <w:szCs w:val="16"/>
              </w:rPr>
            </w:pPr>
            <w:r w:rsidRPr="004A0B2E">
              <w:rPr>
                <w:rFonts w:ascii="Arial Narrow" w:hAnsi="Arial Narrow" w:cs="Calibri"/>
                <w:sz w:val="16"/>
                <w:szCs w:val="16"/>
              </w:rPr>
              <w:t>2 713,4</w:t>
            </w:r>
          </w:p>
        </w:tc>
        <w:tc>
          <w:tcPr>
            <w:tcW w:w="1256" w:type="dxa"/>
            <w:tcBorders>
              <w:top w:val="nil"/>
              <w:left w:val="nil"/>
              <w:bottom w:val="single" w:sz="4" w:space="0" w:color="auto"/>
              <w:right w:val="single" w:sz="4" w:space="0" w:color="auto"/>
            </w:tcBorders>
            <w:shd w:val="clear" w:color="auto" w:fill="auto"/>
            <w:vAlign w:val="center"/>
            <w:hideMark/>
          </w:tcPr>
          <w:p w14:paraId="688C257E" w14:textId="77777777" w:rsidR="004A0B2E" w:rsidRPr="004A0B2E" w:rsidRDefault="004A0B2E" w:rsidP="004A0B2E">
            <w:pPr>
              <w:jc w:val="right"/>
              <w:rPr>
                <w:rFonts w:ascii="Arial Narrow" w:hAnsi="Arial Narrow" w:cs="Calibri"/>
                <w:sz w:val="16"/>
                <w:szCs w:val="16"/>
              </w:rPr>
            </w:pPr>
            <w:r w:rsidRPr="004A0B2E">
              <w:rPr>
                <w:rFonts w:ascii="Arial Narrow" w:hAnsi="Arial Narrow" w:cs="Calibri"/>
                <w:sz w:val="16"/>
                <w:szCs w:val="16"/>
              </w:rPr>
              <w:t>-10,2</w:t>
            </w:r>
          </w:p>
        </w:tc>
        <w:tc>
          <w:tcPr>
            <w:tcW w:w="872" w:type="dxa"/>
            <w:tcBorders>
              <w:top w:val="nil"/>
              <w:left w:val="nil"/>
              <w:bottom w:val="single" w:sz="4" w:space="0" w:color="auto"/>
              <w:right w:val="single" w:sz="4" w:space="0" w:color="auto"/>
            </w:tcBorders>
            <w:shd w:val="clear" w:color="auto" w:fill="auto"/>
            <w:vAlign w:val="center"/>
            <w:hideMark/>
          </w:tcPr>
          <w:p w14:paraId="63874FAD" w14:textId="77777777" w:rsidR="004A0B2E" w:rsidRPr="004A0B2E" w:rsidRDefault="004A0B2E" w:rsidP="004A0B2E">
            <w:pPr>
              <w:jc w:val="right"/>
              <w:rPr>
                <w:rFonts w:ascii="Arial Narrow" w:hAnsi="Arial Narrow" w:cs="Calibri"/>
                <w:sz w:val="16"/>
                <w:szCs w:val="16"/>
              </w:rPr>
            </w:pPr>
            <w:r w:rsidRPr="004A0B2E">
              <w:rPr>
                <w:rFonts w:ascii="Arial Narrow" w:hAnsi="Arial Narrow" w:cs="Calibri"/>
                <w:sz w:val="16"/>
                <w:szCs w:val="16"/>
              </w:rPr>
              <w:t>2 436,3</w:t>
            </w:r>
          </w:p>
        </w:tc>
      </w:tr>
      <w:tr w:rsidR="004A0B2E" w:rsidRPr="00B10684" w14:paraId="7385C43B" w14:textId="77777777" w:rsidTr="005A18A5">
        <w:trPr>
          <w:trHeight w:val="183"/>
        </w:trPr>
        <w:tc>
          <w:tcPr>
            <w:tcW w:w="757" w:type="dxa"/>
            <w:tcBorders>
              <w:top w:val="nil"/>
              <w:left w:val="single" w:sz="4" w:space="0" w:color="auto"/>
              <w:bottom w:val="single" w:sz="4" w:space="0" w:color="auto"/>
              <w:right w:val="single" w:sz="4" w:space="0" w:color="auto"/>
            </w:tcBorders>
            <w:shd w:val="clear" w:color="auto" w:fill="auto"/>
            <w:noWrap/>
            <w:vAlign w:val="center"/>
            <w:hideMark/>
          </w:tcPr>
          <w:p w14:paraId="39C311F9" w14:textId="77777777" w:rsidR="004A0B2E" w:rsidRPr="004A0B2E" w:rsidRDefault="004A0B2E" w:rsidP="004A0B2E">
            <w:pPr>
              <w:rPr>
                <w:rFonts w:ascii="Arial Narrow" w:hAnsi="Arial Narrow" w:cs="Calibri"/>
                <w:sz w:val="16"/>
                <w:szCs w:val="16"/>
              </w:rPr>
            </w:pPr>
            <w:r w:rsidRPr="004A0B2E">
              <w:rPr>
                <w:rFonts w:ascii="Arial Narrow" w:hAnsi="Arial Narrow" w:cs="Calibri"/>
                <w:sz w:val="16"/>
                <w:szCs w:val="16"/>
              </w:rPr>
              <w:t xml:space="preserve"> 01.1/2</w:t>
            </w:r>
          </w:p>
        </w:tc>
        <w:tc>
          <w:tcPr>
            <w:tcW w:w="5279" w:type="dxa"/>
            <w:tcBorders>
              <w:top w:val="nil"/>
              <w:left w:val="nil"/>
              <w:bottom w:val="single" w:sz="4" w:space="0" w:color="auto"/>
              <w:right w:val="single" w:sz="4" w:space="0" w:color="auto"/>
            </w:tcBorders>
            <w:shd w:val="clear" w:color="auto" w:fill="auto"/>
            <w:vAlign w:val="center"/>
            <w:hideMark/>
          </w:tcPr>
          <w:p w14:paraId="0B956191" w14:textId="77777777" w:rsidR="004A0B2E" w:rsidRPr="004A0B2E" w:rsidRDefault="004A0B2E" w:rsidP="004A0B2E">
            <w:pPr>
              <w:ind w:firstLineChars="300" w:firstLine="480"/>
              <w:rPr>
                <w:rFonts w:ascii="Arial Narrow" w:hAnsi="Arial Narrow" w:cs="Calibri"/>
                <w:sz w:val="16"/>
                <w:szCs w:val="16"/>
              </w:rPr>
            </w:pPr>
            <w:r w:rsidRPr="004A0B2E">
              <w:rPr>
                <w:rFonts w:ascii="Arial Narrow" w:hAnsi="Arial Narrow" w:cs="Calibri"/>
                <w:sz w:val="16"/>
                <w:szCs w:val="16"/>
              </w:rPr>
              <w:t>Твърда пшеница</w:t>
            </w:r>
          </w:p>
        </w:tc>
        <w:tc>
          <w:tcPr>
            <w:tcW w:w="957" w:type="dxa"/>
            <w:tcBorders>
              <w:top w:val="nil"/>
              <w:left w:val="nil"/>
              <w:bottom w:val="single" w:sz="4" w:space="0" w:color="auto"/>
              <w:right w:val="single" w:sz="4" w:space="0" w:color="auto"/>
            </w:tcBorders>
            <w:shd w:val="clear" w:color="auto" w:fill="auto"/>
            <w:vAlign w:val="center"/>
            <w:hideMark/>
          </w:tcPr>
          <w:p w14:paraId="7CCC9E8F" w14:textId="77777777" w:rsidR="004A0B2E" w:rsidRPr="004A0B2E" w:rsidRDefault="004A0B2E" w:rsidP="004A0B2E">
            <w:pPr>
              <w:jc w:val="right"/>
              <w:rPr>
                <w:rFonts w:ascii="Arial Narrow" w:hAnsi="Arial Narrow" w:cs="Calibri"/>
                <w:sz w:val="16"/>
                <w:szCs w:val="16"/>
              </w:rPr>
            </w:pPr>
            <w:r w:rsidRPr="004A0B2E">
              <w:rPr>
                <w:rFonts w:ascii="Arial Narrow" w:hAnsi="Arial Narrow" w:cs="Calibri"/>
                <w:sz w:val="16"/>
                <w:szCs w:val="16"/>
              </w:rPr>
              <w:t>38,5</w:t>
            </w:r>
          </w:p>
        </w:tc>
        <w:tc>
          <w:tcPr>
            <w:tcW w:w="1118" w:type="dxa"/>
            <w:tcBorders>
              <w:top w:val="nil"/>
              <w:left w:val="nil"/>
              <w:bottom w:val="single" w:sz="4" w:space="0" w:color="auto"/>
              <w:right w:val="single" w:sz="4" w:space="0" w:color="auto"/>
            </w:tcBorders>
            <w:shd w:val="clear" w:color="auto" w:fill="auto"/>
            <w:vAlign w:val="center"/>
            <w:hideMark/>
          </w:tcPr>
          <w:p w14:paraId="50EBDE91" w14:textId="77777777" w:rsidR="004A0B2E" w:rsidRPr="004A0B2E" w:rsidRDefault="004A0B2E" w:rsidP="004A0B2E">
            <w:pPr>
              <w:jc w:val="right"/>
              <w:rPr>
                <w:rFonts w:ascii="Arial Narrow" w:hAnsi="Arial Narrow" w:cs="Calibri"/>
                <w:sz w:val="16"/>
                <w:szCs w:val="16"/>
              </w:rPr>
            </w:pPr>
            <w:r w:rsidRPr="004A0B2E">
              <w:rPr>
                <w:rFonts w:ascii="Arial Narrow" w:hAnsi="Arial Narrow" w:cs="Calibri"/>
                <w:sz w:val="16"/>
                <w:szCs w:val="16"/>
              </w:rPr>
              <w:t>-1,0</w:t>
            </w:r>
          </w:p>
        </w:tc>
        <w:tc>
          <w:tcPr>
            <w:tcW w:w="957" w:type="dxa"/>
            <w:tcBorders>
              <w:top w:val="nil"/>
              <w:left w:val="nil"/>
              <w:bottom w:val="single" w:sz="4" w:space="0" w:color="auto"/>
              <w:right w:val="single" w:sz="4" w:space="0" w:color="auto"/>
            </w:tcBorders>
            <w:shd w:val="clear" w:color="auto" w:fill="auto"/>
            <w:vAlign w:val="center"/>
            <w:hideMark/>
          </w:tcPr>
          <w:p w14:paraId="03C63C04" w14:textId="77777777" w:rsidR="004A0B2E" w:rsidRPr="004A0B2E" w:rsidRDefault="004A0B2E" w:rsidP="004A0B2E">
            <w:pPr>
              <w:jc w:val="right"/>
              <w:rPr>
                <w:rFonts w:ascii="Arial Narrow" w:hAnsi="Arial Narrow" w:cs="Calibri"/>
                <w:sz w:val="16"/>
                <w:szCs w:val="16"/>
              </w:rPr>
            </w:pPr>
            <w:r w:rsidRPr="004A0B2E">
              <w:rPr>
                <w:rFonts w:ascii="Arial Narrow" w:hAnsi="Arial Narrow" w:cs="Calibri"/>
                <w:sz w:val="16"/>
                <w:szCs w:val="16"/>
              </w:rPr>
              <w:t>38,1</w:t>
            </w:r>
          </w:p>
        </w:tc>
        <w:tc>
          <w:tcPr>
            <w:tcW w:w="1256" w:type="dxa"/>
            <w:tcBorders>
              <w:top w:val="nil"/>
              <w:left w:val="nil"/>
              <w:bottom w:val="single" w:sz="4" w:space="0" w:color="auto"/>
              <w:right w:val="single" w:sz="4" w:space="0" w:color="auto"/>
            </w:tcBorders>
            <w:shd w:val="clear" w:color="auto" w:fill="auto"/>
            <w:vAlign w:val="center"/>
            <w:hideMark/>
          </w:tcPr>
          <w:p w14:paraId="66F92909" w14:textId="77777777" w:rsidR="004A0B2E" w:rsidRPr="004A0B2E" w:rsidRDefault="004A0B2E" w:rsidP="004A0B2E">
            <w:pPr>
              <w:jc w:val="right"/>
              <w:rPr>
                <w:rFonts w:ascii="Arial Narrow" w:hAnsi="Arial Narrow" w:cs="Calibri"/>
                <w:sz w:val="16"/>
                <w:szCs w:val="16"/>
              </w:rPr>
            </w:pPr>
            <w:r w:rsidRPr="004A0B2E">
              <w:rPr>
                <w:rFonts w:ascii="Arial Narrow" w:hAnsi="Arial Narrow" w:cs="Calibri"/>
                <w:sz w:val="16"/>
                <w:szCs w:val="16"/>
              </w:rPr>
              <w:t>17,6</w:t>
            </w:r>
          </w:p>
        </w:tc>
        <w:tc>
          <w:tcPr>
            <w:tcW w:w="872" w:type="dxa"/>
            <w:tcBorders>
              <w:top w:val="nil"/>
              <w:left w:val="nil"/>
              <w:bottom w:val="single" w:sz="4" w:space="0" w:color="auto"/>
              <w:right w:val="single" w:sz="4" w:space="0" w:color="auto"/>
            </w:tcBorders>
            <w:shd w:val="clear" w:color="auto" w:fill="auto"/>
            <w:vAlign w:val="center"/>
            <w:hideMark/>
          </w:tcPr>
          <w:p w14:paraId="7FA83853" w14:textId="77777777" w:rsidR="004A0B2E" w:rsidRPr="004A0B2E" w:rsidRDefault="004A0B2E" w:rsidP="004A0B2E">
            <w:pPr>
              <w:jc w:val="right"/>
              <w:rPr>
                <w:rFonts w:ascii="Arial Narrow" w:hAnsi="Arial Narrow" w:cs="Calibri"/>
                <w:sz w:val="16"/>
                <w:szCs w:val="16"/>
              </w:rPr>
            </w:pPr>
            <w:r w:rsidRPr="004A0B2E">
              <w:rPr>
                <w:rFonts w:ascii="Arial Narrow" w:hAnsi="Arial Narrow" w:cs="Calibri"/>
                <w:sz w:val="16"/>
                <w:szCs w:val="16"/>
              </w:rPr>
              <w:t>44,8</w:t>
            </w:r>
          </w:p>
        </w:tc>
      </w:tr>
      <w:tr w:rsidR="004A0B2E" w:rsidRPr="00B10684" w14:paraId="2A6331D6" w14:textId="77777777" w:rsidTr="005A18A5">
        <w:trPr>
          <w:trHeight w:val="183"/>
        </w:trPr>
        <w:tc>
          <w:tcPr>
            <w:tcW w:w="757" w:type="dxa"/>
            <w:tcBorders>
              <w:top w:val="nil"/>
              <w:left w:val="single" w:sz="4" w:space="0" w:color="auto"/>
              <w:bottom w:val="single" w:sz="4" w:space="0" w:color="auto"/>
              <w:right w:val="single" w:sz="4" w:space="0" w:color="auto"/>
            </w:tcBorders>
            <w:shd w:val="clear" w:color="auto" w:fill="auto"/>
            <w:noWrap/>
            <w:vAlign w:val="center"/>
            <w:hideMark/>
          </w:tcPr>
          <w:p w14:paraId="6DC603D7" w14:textId="77777777" w:rsidR="004A0B2E" w:rsidRPr="004A0B2E" w:rsidRDefault="004A0B2E" w:rsidP="004A0B2E">
            <w:pPr>
              <w:rPr>
                <w:rFonts w:ascii="Arial Narrow" w:hAnsi="Arial Narrow" w:cs="Calibri"/>
                <w:sz w:val="16"/>
                <w:szCs w:val="16"/>
              </w:rPr>
            </w:pPr>
            <w:r w:rsidRPr="004A0B2E">
              <w:rPr>
                <w:rFonts w:ascii="Arial Narrow" w:hAnsi="Arial Narrow" w:cs="Calibri"/>
                <w:sz w:val="16"/>
                <w:szCs w:val="16"/>
              </w:rPr>
              <w:t xml:space="preserve"> 01.2</w:t>
            </w:r>
          </w:p>
        </w:tc>
        <w:tc>
          <w:tcPr>
            <w:tcW w:w="5279" w:type="dxa"/>
            <w:tcBorders>
              <w:top w:val="nil"/>
              <w:left w:val="nil"/>
              <w:bottom w:val="single" w:sz="4" w:space="0" w:color="auto"/>
              <w:right w:val="single" w:sz="4" w:space="0" w:color="auto"/>
            </w:tcBorders>
            <w:shd w:val="clear" w:color="auto" w:fill="auto"/>
            <w:vAlign w:val="center"/>
            <w:hideMark/>
          </w:tcPr>
          <w:p w14:paraId="608E4B69" w14:textId="77777777" w:rsidR="004A0B2E" w:rsidRPr="004A0B2E" w:rsidRDefault="004A0B2E" w:rsidP="004A0B2E">
            <w:pPr>
              <w:ind w:firstLineChars="100" w:firstLine="160"/>
              <w:rPr>
                <w:rFonts w:ascii="Arial Narrow" w:hAnsi="Arial Narrow" w:cs="Calibri"/>
                <w:sz w:val="16"/>
                <w:szCs w:val="16"/>
              </w:rPr>
            </w:pPr>
            <w:r w:rsidRPr="004A0B2E">
              <w:rPr>
                <w:rFonts w:ascii="Arial Narrow" w:hAnsi="Arial Narrow" w:cs="Calibri"/>
                <w:sz w:val="16"/>
                <w:szCs w:val="16"/>
              </w:rPr>
              <w:t>Ръж</w:t>
            </w:r>
          </w:p>
        </w:tc>
        <w:tc>
          <w:tcPr>
            <w:tcW w:w="957" w:type="dxa"/>
            <w:tcBorders>
              <w:top w:val="nil"/>
              <w:left w:val="nil"/>
              <w:bottom w:val="single" w:sz="4" w:space="0" w:color="auto"/>
              <w:right w:val="single" w:sz="4" w:space="0" w:color="auto"/>
            </w:tcBorders>
            <w:shd w:val="clear" w:color="auto" w:fill="auto"/>
            <w:vAlign w:val="center"/>
            <w:hideMark/>
          </w:tcPr>
          <w:p w14:paraId="4DEFE22C" w14:textId="77777777" w:rsidR="004A0B2E" w:rsidRPr="004A0B2E" w:rsidRDefault="004A0B2E" w:rsidP="004A0B2E">
            <w:pPr>
              <w:jc w:val="right"/>
              <w:rPr>
                <w:rFonts w:ascii="Arial Narrow" w:hAnsi="Arial Narrow" w:cs="Calibri"/>
                <w:sz w:val="16"/>
                <w:szCs w:val="16"/>
              </w:rPr>
            </w:pPr>
            <w:r w:rsidRPr="004A0B2E">
              <w:rPr>
                <w:rFonts w:ascii="Arial Narrow" w:hAnsi="Arial Narrow" w:cs="Calibri"/>
                <w:sz w:val="16"/>
                <w:szCs w:val="16"/>
              </w:rPr>
              <w:t>9,9</w:t>
            </w:r>
          </w:p>
        </w:tc>
        <w:tc>
          <w:tcPr>
            <w:tcW w:w="1118" w:type="dxa"/>
            <w:tcBorders>
              <w:top w:val="nil"/>
              <w:left w:val="nil"/>
              <w:bottom w:val="single" w:sz="4" w:space="0" w:color="auto"/>
              <w:right w:val="single" w:sz="4" w:space="0" w:color="auto"/>
            </w:tcBorders>
            <w:shd w:val="clear" w:color="auto" w:fill="auto"/>
            <w:vAlign w:val="center"/>
            <w:hideMark/>
          </w:tcPr>
          <w:p w14:paraId="06C48276" w14:textId="77777777" w:rsidR="004A0B2E" w:rsidRPr="004A0B2E" w:rsidRDefault="004A0B2E" w:rsidP="004A0B2E">
            <w:pPr>
              <w:jc w:val="right"/>
              <w:rPr>
                <w:rFonts w:ascii="Arial Narrow" w:hAnsi="Arial Narrow" w:cs="Calibri"/>
                <w:sz w:val="16"/>
                <w:szCs w:val="16"/>
              </w:rPr>
            </w:pPr>
            <w:r w:rsidRPr="004A0B2E">
              <w:rPr>
                <w:rFonts w:ascii="Arial Narrow" w:hAnsi="Arial Narrow" w:cs="Calibri"/>
                <w:sz w:val="16"/>
                <w:szCs w:val="16"/>
              </w:rPr>
              <w:t>-42,4</w:t>
            </w:r>
          </w:p>
        </w:tc>
        <w:tc>
          <w:tcPr>
            <w:tcW w:w="957" w:type="dxa"/>
            <w:tcBorders>
              <w:top w:val="nil"/>
              <w:left w:val="nil"/>
              <w:bottom w:val="single" w:sz="4" w:space="0" w:color="auto"/>
              <w:right w:val="single" w:sz="4" w:space="0" w:color="auto"/>
            </w:tcBorders>
            <w:shd w:val="clear" w:color="auto" w:fill="auto"/>
            <w:vAlign w:val="center"/>
            <w:hideMark/>
          </w:tcPr>
          <w:p w14:paraId="3BCD9F7E" w14:textId="77777777" w:rsidR="004A0B2E" w:rsidRPr="004A0B2E" w:rsidRDefault="004A0B2E" w:rsidP="004A0B2E">
            <w:pPr>
              <w:jc w:val="right"/>
              <w:rPr>
                <w:rFonts w:ascii="Arial Narrow" w:hAnsi="Arial Narrow" w:cs="Calibri"/>
                <w:sz w:val="16"/>
                <w:szCs w:val="16"/>
              </w:rPr>
            </w:pPr>
            <w:r w:rsidRPr="004A0B2E">
              <w:rPr>
                <w:rFonts w:ascii="Arial Narrow" w:hAnsi="Arial Narrow" w:cs="Calibri"/>
                <w:sz w:val="16"/>
                <w:szCs w:val="16"/>
              </w:rPr>
              <w:t>5,7</w:t>
            </w:r>
          </w:p>
        </w:tc>
        <w:tc>
          <w:tcPr>
            <w:tcW w:w="1256" w:type="dxa"/>
            <w:tcBorders>
              <w:top w:val="nil"/>
              <w:left w:val="nil"/>
              <w:bottom w:val="single" w:sz="4" w:space="0" w:color="auto"/>
              <w:right w:val="single" w:sz="4" w:space="0" w:color="auto"/>
            </w:tcBorders>
            <w:shd w:val="clear" w:color="auto" w:fill="auto"/>
            <w:vAlign w:val="center"/>
            <w:hideMark/>
          </w:tcPr>
          <w:p w14:paraId="5A6C6835" w14:textId="77777777" w:rsidR="004A0B2E" w:rsidRPr="004A0B2E" w:rsidRDefault="004A0B2E" w:rsidP="004A0B2E">
            <w:pPr>
              <w:jc w:val="right"/>
              <w:rPr>
                <w:rFonts w:ascii="Arial Narrow" w:hAnsi="Arial Narrow" w:cs="Calibri"/>
                <w:sz w:val="16"/>
                <w:szCs w:val="16"/>
              </w:rPr>
            </w:pPr>
            <w:r w:rsidRPr="004A0B2E">
              <w:rPr>
                <w:rFonts w:ascii="Arial Narrow" w:hAnsi="Arial Narrow" w:cs="Calibri"/>
                <w:sz w:val="16"/>
                <w:szCs w:val="16"/>
              </w:rPr>
              <w:t>-12,3</w:t>
            </w:r>
          </w:p>
        </w:tc>
        <w:tc>
          <w:tcPr>
            <w:tcW w:w="872" w:type="dxa"/>
            <w:tcBorders>
              <w:top w:val="nil"/>
              <w:left w:val="nil"/>
              <w:bottom w:val="single" w:sz="4" w:space="0" w:color="auto"/>
              <w:right w:val="single" w:sz="4" w:space="0" w:color="auto"/>
            </w:tcBorders>
            <w:shd w:val="clear" w:color="auto" w:fill="auto"/>
            <w:vAlign w:val="center"/>
            <w:hideMark/>
          </w:tcPr>
          <w:p w14:paraId="0BE6A561" w14:textId="77777777" w:rsidR="004A0B2E" w:rsidRPr="004A0B2E" w:rsidRDefault="004A0B2E" w:rsidP="004A0B2E">
            <w:pPr>
              <w:jc w:val="right"/>
              <w:rPr>
                <w:rFonts w:ascii="Arial Narrow" w:hAnsi="Arial Narrow" w:cs="Calibri"/>
                <w:sz w:val="16"/>
                <w:szCs w:val="16"/>
              </w:rPr>
            </w:pPr>
            <w:r w:rsidRPr="004A0B2E">
              <w:rPr>
                <w:rFonts w:ascii="Arial Narrow" w:hAnsi="Arial Narrow" w:cs="Calibri"/>
                <w:sz w:val="16"/>
                <w:szCs w:val="16"/>
              </w:rPr>
              <w:t>5,0</w:t>
            </w:r>
          </w:p>
        </w:tc>
      </w:tr>
      <w:tr w:rsidR="004A0B2E" w:rsidRPr="00B10684" w14:paraId="0E914B66" w14:textId="77777777" w:rsidTr="005A18A5">
        <w:trPr>
          <w:trHeight w:val="183"/>
        </w:trPr>
        <w:tc>
          <w:tcPr>
            <w:tcW w:w="757" w:type="dxa"/>
            <w:tcBorders>
              <w:top w:val="nil"/>
              <w:left w:val="single" w:sz="4" w:space="0" w:color="auto"/>
              <w:bottom w:val="single" w:sz="4" w:space="0" w:color="auto"/>
              <w:right w:val="single" w:sz="4" w:space="0" w:color="auto"/>
            </w:tcBorders>
            <w:shd w:val="clear" w:color="auto" w:fill="auto"/>
            <w:noWrap/>
            <w:vAlign w:val="center"/>
            <w:hideMark/>
          </w:tcPr>
          <w:p w14:paraId="3A7BB00A" w14:textId="77777777" w:rsidR="004A0B2E" w:rsidRPr="004A0B2E" w:rsidRDefault="004A0B2E" w:rsidP="004A0B2E">
            <w:pPr>
              <w:rPr>
                <w:rFonts w:ascii="Arial Narrow" w:hAnsi="Arial Narrow" w:cs="Calibri"/>
                <w:sz w:val="16"/>
                <w:szCs w:val="16"/>
              </w:rPr>
            </w:pPr>
            <w:r w:rsidRPr="004A0B2E">
              <w:rPr>
                <w:rFonts w:ascii="Arial Narrow" w:hAnsi="Arial Narrow" w:cs="Calibri"/>
                <w:sz w:val="16"/>
                <w:szCs w:val="16"/>
              </w:rPr>
              <w:t xml:space="preserve"> 01.3</w:t>
            </w:r>
          </w:p>
        </w:tc>
        <w:tc>
          <w:tcPr>
            <w:tcW w:w="5279" w:type="dxa"/>
            <w:tcBorders>
              <w:top w:val="nil"/>
              <w:left w:val="nil"/>
              <w:bottom w:val="single" w:sz="4" w:space="0" w:color="auto"/>
              <w:right w:val="single" w:sz="4" w:space="0" w:color="auto"/>
            </w:tcBorders>
            <w:shd w:val="clear" w:color="auto" w:fill="auto"/>
            <w:vAlign w:val="center"/>
            <w:hideMark/>
          </w:tcPr>
          <w:p w14:paraId="361D4C8B" w14:textId="77777777" w:rsidR="004A0B2E" w:rsidRPr="004A0B2E" w:rsidRDefault="004A0B2E" w:rsidP="004A0B2E">
            <w:pPr>
              <w:ind w:firstLineChars="100" w:firstLine="160"/>
              <w:rPr>
                <w:rFonts w:ascii="Arial Narrow" w:hAnsi="Arial Narrow" w:cs="Calibri"/>
                <w:sz w:val="16"/>
                <w:szCs w:val="16"/>
              </w:rPr>
            </w:pPr>
            <w:r w:rsidRPr="004A0B2E">
              <w:rPr>
                <w:rFonts w:ascii="Arial Narrow" w:hAnsi="Arial Narrow" w:cs="Calibri"/>
                <w:sz w:val="16"/>
                <w:szCs w:val="16"/>
              </w:rPr>
              <w:t>Ечемик</w:t>
            </w:r>
          </w:p>
        </w:tc>
        <w:tc>
          <w:tcPr>
            <w:tcW w:w="957" w:type="dxa"/>
            <w:tcBorders>
              <w:top w:val="nil"/>
              <w:left w:val="nil"/>
              <w:bottom w:val="single" w:sz="4" w:space="0" w:color="auto"/>
              <w:right w:val="single" w:sz="4" w:space="0" w:color="auto"/>
            </w:tcBorders>
            <w:shd w:val="clear" w:color="auto" w:fill="auto"/>
            <w:vAlign w:val="center"/>
            <w:hideMark/>
          </w:tcPr>
          <w:p w14:paraId="1D0E5354" w14:textId="77777777" w:rsidR="004A0B2E" w:rsidRPr="004A0B2E" w:rsidRDefault="004A0B2E" w:rsidP="004A0B2E">
            <w:pPr>
              <w:jc w:val="right"/>
              <w:rPr>
                <w:rFonts w:ascii="Arial Narrow" w:hAnsi="Arial Narrow" w:cs="Calibri"/>
                <w:sz w:val="16"/>
                <w:szCs w:val="16"/>
              </w:rPr>
            </w:pPr>
            <w:r w:rsidRPr="004A0B2E">
              <w:rPr>
                <w:rFonts w:ascii="Arial Narrow" w:hAnsi="Arial Narrow" w:cs="Calibri"/>
                <w:sz w:val="16"/>
                <w:szCs w:val="16"/>
              </w:rPr>
              <w:t>341,2</w:t>
            </w:r>
          </w:p>
        </w:tc>
        <w:tc>
          <w:tcPr>
            <w:tcW w:w="1118" w:type="dxa"/>
            <w:tcBorders>
              <w:top w:val="nil"/>
              <w:left w:val="nil"/>
              <w:bottom w:val="single" w:sz="4" w:space="0" w:color="auto"/>
              <w:right w:val="single" w:sz="4" w:space="0" w:color="auto"/>
            </w:tcBorders>
            <w:shd w:val="clear" w:color="auto" w:fill="auto"/>
            <w:vAlign w:val="center"/>
            <w:hideMark/>
          </w:tcPr>
          <w:p w14:paraId="499F8765" w14:textId="77777777" w:rsidR="004A0B2E" w:rsidRPr="004A0B2E" w:rsidRDefault="004A0B2E" w:rsidP="004A0B2E">
            <w:pPr>
              <w:jc w:val="right"/>
              <w:rPr>
                <w:rFonts w:ascii="Arial Narrow" w:hAnsi="Arial Narrow" w:cs="Calibri"/>
                <w:sz w:val="16"/>
                <w:szCs w:val="16"/>
              </w:rPr>
            </w:pPr>
            <w:r w:rsidRPr="004A0B2E">
              <w:rPr>
                <w:rFonts w:ascii="Arial Narrow" w:hAnsi="Arial Narrow" w:cs="Calibri"/>
                <w:sz w:val="16"/>
                <w:szCs w:val="16"/>
              </w:rPr>
              <w:t>-14,7</w:t>
            </w:r>
          </w:p>
        </w:tc>
        <w:tc>
          <w:tcPr>
            <w:tcW w:w="957" w:type="dxa"/>
            <w:tcBorders>
              <w:top w:val="nil"/>
              <w:left w:val="nil"/>
              <w:bottom w:val="single" w:sz="4" w:space="0" w:color="auto"/>
              <w:right w:val="single" w:sz="4" w:space="0" w:color="auto"/>
            </w:tcBorders>
            <w:shd w:val="clear" w:color="auto" w:fill="auto"/>
            <w:vAlign w:val="center"/>
            <w:hideMark/>
          </w:tcPr>
          <w:p w14:paraId="081A0B48" w14:textId="77777777" w:rsidR="004A0B2E" w:rsidRPr="004A0B2E" w:rsidRDefault="004A0B2E" w:rsidP="004A0B2E">
            <w:pPr>
              <w:jc w:val="right"/>
              <w:rPr>
                <w:rFonts w:ascii="Arial Narrow" w:hAnsi="Arial Narrow" w:cs="Calibri"/>
                <w:sz w:val="16"/>
                <w:szCs w:val="16"/>
              </w:rPr>
            </w:pPr>
            <w:r w:rsidRPr="004A0B2E">
              <w:rPr>
                <w:rFonts w:ascii="Arial Narrow" w:hAnsi="Arial Narrow" w:cs="Calibri"/>
                <w:sz w:val="16"/>
                <w:szCs w:val="16"/>
              </w:rPr>
              <w:t>291,2</w:t>
            </w:r>
          </w:p>
        </w:tc>
        <w:tc>
          <w:tcPr>
            <w:tcW w:w="1256" w:type="dxa"/>
            <w:tcBorders>
              <w:top w:val="nil"/>
              <w:left w:val="nil"/>
              <w:bottom w:val="single" w:sz="4" w:space="0" w:color="auto"/>
              <w:right w:val="single" w:sz="4" w:space="0" w:color="auto"/>
            </w:tcBorders>
            <w:shd w:val="clear" w:color="auto" w:fill="auto"/>
            <w:vAlign w:val="center"/>
            <w:hideMark/>
          </w:tcPr>
          <w:p w14:paraId="6A2F779C" w14:textId="77777777" w:rsidR="004A0B2E" w:rsidRPr="004A0B2E" w:rsidRDefault="004A0B2E" w:rsidP="004A0B2E">
            <w:pPr>
              <w:jc w:val="right"/>
              <w:rPr>
                <w:rFonts w:ascii="Arial Narrow" w:hAnsi="Arial Narrow" w:cs="Calibri"/>
                <w:sz w:val="16"/>
                <w:szCs w:val="16"/>
              </w:rPr>
            </w:pPr>
            <w:r w:rsidRPr="004A0B2E">
              <w:rPr>
                <w:rFonts w:ascii="Arial Narrow" w:hAnsi="Arial Narrow" w:cs="Calibri"/>
                <w:sz w:val="16"/>
                <w:szCs w:val="16"/>
              </w:rPr>
              <w:t>16,0</w:t>
            </w:r>
          </w:p>
        </w:tc>
        <w:tc>
          <w:tcPr>
            <w:tcW w:w="872" w:type="dxa"/>
            <w:tcBorders>
              <w:top w:val="nil"/>
              <w:left w:val="nil"/>
              <w:bottom w:val="single" w:sz="4" w:space="0" w:color="auto"/>
              <w:right w:val="single" w:sz="4" w:space="0" w:color="auto"/>
            </w:tcBorders>
            <w:shd w:val="clear" w:color="auto" w:fill="auto"/>
            <w:vAlign w:val="center"/>
            <w:hideMark/>
          </w:tcPr>
          <w:p w14:paraId="3A0C8D30" w14:textId="77777777" w:rsidR="004A0B2E" w:rsidRPr="004A0B2E" w:rsidRDefault="004A0B2E" w:rsidP="004A0B2E">
            <w:pPr>
              <w:jc w:val="right"/>
              <w:rPr>
                <w:rFonts w:ascii="Arial Narrow" w:hAnsi="Arial Narrow" w:cs="Calibri"/>
                <w:sz w:val="16"/>
                <w:szCs w:val="16"/>
              </w:rPr>
            </w:pPr>
            <w:r w:rsidRPr="004A0B2E">
              <w:rPr>
                <w:rFonts w:ascii="Arial Narrow" w:hAnsi="Arial Narrow" w:cs="Calibri"/>
                <w:sz w:val="16"/>
                <w:szCs w:val="16"/>
              </w:rPr>
              <w:t>337,8</w:t>
            </w:r>
          </w:p>
        </w:tc>
      </w:tr>
      <w:tr w:rsidR="004A0B2E" w:rsidRPr="00B10684" w14:paraId="0FC38447" w14:textId="77777777" w:rsidTr="005A18A5">
        <w:trPr>
          <w:trHeight w:val="183"/>
        </w:trPr>
        <w:tc>
          <w:tcPr>
            <w:tcW w:w="757" w:type="dxa"/>
            <w:tcBorders>
              <w:top w:val="nil"/>
              <w:left w:val="single" w:sz="4" w:space="0" w:color="auto"/>
              <w:bottom w:val="single" w:sz="4" w:space="0" w:color="auto"/>
              <w:right w:val="single" w:sz="4" w:space="0" w:color="auto"/>
            </w:tcBorders>
            <w:shd w:val="clear" w:color="auto" w:fill="auto"/>
            <w:noWrap/>
            <w:vAlign w:val="center"/>
            <w:hideMark/>
          </w:tcPr>
          <w:p w14:paraId="77063D2D" w14:textId="77777777" w:rsidR="004A0B2E" w:rsidRPr="004A0B2E" w:rsidRDefault="004A0B2E" w:rsidP="004A0B2E">
            <w:pPr>
              <w:rPr>
                <w:rFonts w:ascii="Arial Narrow" w:hAnsi="Arial Narrow" w:cs="Calibri"/>
                <w:sz w:val="16"/>
                <w:szCs w:val="16"/>
              </w:rPr>
            </w:pPr>
            <w:r w:rsidRPr="004A0B2E">
              <w:rPr>
                <w:rFonts w:ascii="Arial Narrow" w:hAnsi="Arial Narrow" w:cs="Calibri"/>
                <w:sz w:val="16"/>
                <w:szCs w:val="16"/>
              </w:rPr>
              <w:t xml:space="preserve"> 01.4</w:t>
            </w:r>
          </w:p>
        </w:tc>
        <w:tc>
          <w:tcPr>
            <w:tcW w:w="5279" w:type="dxa"/>
            <w:tcBorders>
              <w:top w:val="nil"/>
              <w:left w:val="nil"/>
              <w:bottom w:val="single" w:sz="4" w:space="0" w:color="auto"/>
              <w:right w:val="single" w:sz="4" w:space="0" w:color="auto"/>
            </w:tcBorders>
            <w:shd w:val="clear" w:color="auto" w:fill="auto"/>
            <w:vAlign w:val="center"/>
            <w:hideMark/>
          </w:tcPr>
          <w:p w14:paraId="4565DF3C" w14:textId="77777777" w:rsidR="004A0B2E" w:rsidRPr="004A0B2E" w:rsidRDefault="004A0B2E" w:rsidP="004A0B2E">
            <w:pPr>
              <w:ind w:firstLineChars="100" w:firstLine="160"/>
              <w:rPr>
                <w:rFonts w:ascii="Arial Narrow" w:hAnsi="Arial Narrow" w:cs="Calibri"/>
                <w:sz w:val="16"/>
                <w:szCs w:val="16"/>
              </w:rPr>
            </w:pPr>
            <w:r w:rsidRPr="004A0B2E">
              <w:rPr>
                <w:rFonts w:ascii="Arial Narrow" w:hAnsi="Arial Narrow" w:cs="Calibri"/>
                <w:sz w:val="16"/>
                <w:szCs w:val="16"/>
              </w:rPr>
              <w:t>Овес и зърнени смески</w:t>
            </w:r>
          </w:p>
        </w:tc>
        <w:tc>
          <w:tcPr>
            <w:tcW w:w="957" w:type="dxa"/>
            <w:tcBorders>
              <w:top w:val="nil"/>
              <w:left w:val="nil"/>
              <w:bottom w:val="single" w:sz="4" w:space="0" w:color="auto"/>
              <w:right w:val="single" w:sz="4" w:space="0" w:color="auto"/>
            </w:tcBorders>
            <w:shd w:val="clear" w:color="auto" w:fill="auto"/>
            <w:vAlign w:val="center"/>
            <w:hideMark/>
          </w:tcPr>
          <w:p w14:paraId="7031CC3F" w14:textId="77777777" w:rsidR="004A0B2E" w:rsidRPr="004A0B2E" w:rsidRDefault="004A0B2E" w:rsidP="004A0B2E">
            <w:pPr>
              <w:jc w:val="right"/>
              <w:rPr>
                <w:rFonts w:ascii="Arial Narrow" w:hAnsi="Arial Narrow" w:cs="Calibri"/>
                <w:sz w:val="16"/>
                <w:szCs w:val="16"/>
              </w:rPr>
            </w:pPr>
            <w:r w:rsidRPr="004A0B2E">
              <w:rPr>
                <w:rFonts w:ascii="Arial Narrow" w:hAnsi="Arial Narrow" w:cs="Calibri"/>
                <w:sz w:val="16"/>
                <w:szCs w:val="16"/>
              </w:rPr>
              <w:t>13,8</w:t>
            </w:r>
          </w:p>
        </w:tc>
        <w:tc>
          <w:tcPr>
            <w:tcW w:w="1118" w:type="dxa"/>
            <w:tcBorders>
              <w:top w:val="nil"/>
              <w:left w:val="nil"/>
              <w:bottom w:val="single" w:sz="4" w:space="0" w:color="auto"/>
              <w:right w:val="single" w:sz="4" w:space="0" w:color="auto"/>
            </w:tcBorders>
            <w:shd w:val="clear" w:color="auto" w:fill="auto"/>
            <w:vAlign w:val="center"/>
            <w:hideMark/>
          </w:tcPr>
          <w:p w14:paraId="417589B8" w14:textId="77777777" w:rsidR="004A0B2E" w:rsidRPr="004A0B2E" w:rsidRDefault="004A0B2E" w:rsidP="004A0B2E">
            <w:pPr>
              <w:jc w:val="right"/>
              <w:rPr>
                <w:rFonts w:ascii="Arial Narrow" w:hAnsi="Arial Narrow" w:cs="Calibri"/>
                <w:sz w:val="16"/>
                <w:szCs w:val="16"/>
              </w:rPr>
            </w:pPr>
            <w:r w:rsidRPr="004A0B2E">
              <w:rPr>
                <w:rFonts w:ascii="Arial Narrow" w:hAnsi="Arial Narrow" w:cs="Calibri"/>
                <w:sz w:val="16"/>
                <w:szCs w:val="16"/>
              </w:rPr>
              <w:t>-3,6</w:t>
            </w:r>
          </w:p>
        </w:tc>
        <w:tc>
          <w:tcPr>
            <w:tcW w:w="957" w:type="dxa"/>
            <w:tcBorders>
              <w:top w:val="nil"/>
              <w:left w:val="nil"/>
              <w:bottom w:val="single" w:sz="4" w:space="0" w:color="auto"/>
              <w:right w:val="single" w:sz="4" w:space="0" w:color="auto"/>
            </w:tcBorders>
            <w:shd w:val="clear" w:color="auto" w:fill="auto"/>
            <w:vAlign w:val="center"/>
            <w:hideMark/>
          </w:tcPr>
          <w:p w14:paraId="553122FF" w14:textId="77777777" w:rsidR="004A0B2E" w:rsidRPr="004A0B2E" w:rsidRDefault="004A0B2E" w:rsidP="004A0B2E">
            <w:pPr>
              <w:jc w:val="right"/>
              <w:rPr>
                <w:rFonts w:ascii="Arial Narrow" w:hAnsi="Arial Narrow" w:cs="Calibri"/>
                <w:sz w:val="16"/>
                <w:szCs w:val="16"/>
              </w:rPr>
            </w:pPr>
            <w:r w:rsidRPr="004A0B2E">
              <w:rPr>
                <w:rFonts w:ascii="Arial Narrow" w:hAnsi="Arial Narrow" w:cs="Calibri"/>
                <w:sz w:val="16"/>
                <w:szCs w:val="16"/>
              </w:rPr>
              <w:t>13,3</w:t>
            </w:r>
          </w:p>
        </w:tc>
        <w:tc>
          <w:tcPr>
            <w:tcW w:w="1256" w:type="dxa"/>
            <w:tcBorders>
              <w:top w:val="nil"/>
              <w:left w:val="nil"/>
              <w:bottom w:val="single" w:sz="4" w:space="0" w:color="auto"/>
              <w:right w:val="single" w:sz="4" w:space="0" w:color="auto"/>
            </w:tcBorders>
            <w:shd w:val="clear" w:color="auto" w:fill="auto"/>
            <w:vAlign w:val="center"/>
            <w:hideMark/>
          </w:tcPr>
          <w:p w14:paraId="59187198" w14:textId="77777777" w:rsidR="004A0B2E" w:rsidRPr="004A0B2E" w:rsidRDefault="004A0B2E" w:rsidP="004A0B2E">
            <w:pPr>
              <w:jc w:val="right"/>
              <w:rPr>
                <w:rFonts w:ascii="Arial Narrow" w:hAnsi="Arial Narrow" w:cs="Calibri"/>
                <w:sz w:val="16"/>
                <w:szCs w:val="16"/>
              </w:rPr>
            </w:pPr>
            <w:r w:rsidRPr="004A0B2E">
              <w:rPr>
                <w:rFonts w:ascii="Arial Narrow" w:hAnsi="Arial Narrow" w:cs="Calibri"/>
                <w:sz w:val="16"/>
                <w:szCs w:val="16"/>
              </w:rPr>
              <w:t>47,4</w:t>
            </w:r>
          </w:p>
        </w:tc>
        <w:tc>
          <w:tcPr>
            <w:tcW w:w="872" w:type="dxa"/>
            <w:tcBorders>
              <w:top w:val="nil"/>
              <w:left w:val="nil"/>
              <w:bottom w:val="single" w:sz="4" w:space="0" w:color="auto"/>
              <w:right w:val="single" w:sz="4" w:space="0" w:color="auto"/>
            </w:tcBorders>
            <w:shd w:val="clear" w:color="auto" w:fill="auto"/>
            <w:vAlign w:val="center"/>
            <w:hideMark/>
          </w:tcPr>
          <w:p w14:paraId="19CAAFB5" w14:textId="77777777" w:rsidR="004A0B2E" w:rsidRPr="004A0B2E" w:rsidRDefault="004A0B2E" w:rsidP="004A0B2E">
            <w:pPr>
              <w:jc w:val="right"/>
              <w:rPr>
                <w:rFonts w:ascii="Arial Narrow" w:hAnsi="Arial Narrow" w:cs="Calibri"/>
                <w:sz w:val="16"/>
                <w:szCs w:val="16"/>
              </w:rPr>
            </w:pPr>
            <w:r w:rsidRPr="004A0B2E">
              <w:rPr>
                <w:rFonts w:ascii="Arial Narrow" w:hAnsi="Arial Narrow" w:cs="Calibri"/>
                <w:sz w:val="16"/>
                <w:szCs w:val="16"/>
              </w:rPr>
              <w:t>19,6</w:t>
            </w:r>
          </w:p>
        </w:tc>
      </w:tr>
      <w:tr w:rsidR="004A0B2E" w:rsidRPr="00B10684" w14:paraId="7D7D3659" w14:textId="77777777" w:rsidTr="005A18A5">
        <w:trPr>
          <w:trHeight w:val="183"/>
        </w:trPr>
        <w:tc>
          <w:tcPr>
            <w:tcW w:w="757" w:type="dxa"/>
            <w:tcBorders>
              <w:top w:val="nil"/>
              <w:left w:val="single" w:sz="4" w:space="0" w:color="auto"/>
              <w:bottom w:val="single" w:sz="4" w:space="0" w:color="auto"/>
              <w:right w:val="single" w:sz="4" w:space="0" w:color="auto"/>
            </w:tcBorders>
            <w:shd w:val="clear" w:color="auto" w:fill="auto"/>
            <w:noWrap/>
            <w:vAlign w:val="center"/>
            <w:hideMark/>
          </w:tcPr>
          <w:p w14:paraId="5AB6633F" w14:textId="77777777" w:rsidR="004A0B2E" w:rsidRPr="004A0B2E" w:rsidRDefault="004A0B2E" w:rsidP="004A0B2E">
            <w:pPr>
              <w:rPr>
                <w:rFonts w:ascii="Arial Narrow" w:hAnsi="Arial Narrow" w:cs="Calibri"/>
                <w:sz w:val="16"/>
                <w:szCs w:val="16"/>
              </w:rPr>
            </w:pPr>
            <w:r w:rsidRPr="004A0B2E">
              <w:rPr>
                <w:rFonts w:ascii="Arial Narrow" w:hAnsi="Arial Narrow" w:cs="Calibri"/>
                <w:sz w:val="16"/>
                <w:szCs w:val="16"/>
              </w:rPr>
              <w:t xml:space="preserve"> 01.5</w:t>
            </w:r>
          </w:p>
        </w:tc>
        <w:tc>
          <w:tcPr>
            <w:tcW w:w="5279" w:type="dxa"/>
            <w:tcBorders>
              <w:top w:val="nil"/>
              <w:left w:val="nil"/>
              <w:bottom w:val="single" w:sz="4" w:space="0" w:color="auto"/>
              <w:right w:val="single" w:sz="4" w:space="0" w:color="auto"/>
            </w:tcBorders>
            <w:shd w:val="clear" w:color="auto" w:fill="auto"/>
            <w:vAlign w:val="center"/>
            <w:hideMark/>
          </w:tcPr>
          <w:p w14:paraId="220A3E5B" w14:textId="77777777" w:rsidR="004A0B2E" w:rsidRPr="004A0B2E" w:rsidRDefault="004A0B2E" w:rsidP="004A0B2E">
            <w:pPr>
              <w:ind w:firstLineChars="100" w:firstLine="160"/>
              <w:rPr>
                <w:rFonts w:ascii="Arial Narrow" w:hAnsi="Arial Narrow" w:cs="Calibri"/>
                <w:sz w:val="16"/>
                <w:szCs w:val="16"/>
              </w:rPr>
            </w:pPr>
            <w:r w:rsidRPr="004A0B2E">
              <w:rPr>
                <w:rFonts w:ascii="Arial Narrow" w:hAnsi="Arial Narrow" w:cs="Calibri"/>
                <w:sz w:val="16"/>
                <w:szCs w:val="16"/>
              </w:rPr>
              <w:t>Царевица за зърно</w:t>
            </w:r>
          </w:p>
        </w:tc>
        <w:tc>
          <w:tcPr>
            <w:tcW w:w="957" w:type="dxa"/>
            <w:tcBorders>
              <w:top w:val="nil"/>
              <w:left w:val="nil"/>
              <w:bottom w:val="single" w:sz="4" w:space="0" w:color="auto"/>
              <w:right w:val="single" w:sz="4" w:space="0" w:color="auto"/>
            </w:tcBorders>
            <w:shd w:val="clear" w:color="auto" w:fill="auto"/>
            <w:vAlign w:val="center"/>
            <w:hideMark/>
          </w:tcPr>
          <w:p w14:paraId="7E06F40F" w14:textId="77777777" w:rsidR="004A0B2E" w:rsidRPr="004A0B2E" w:rsidRDefault="004A0B2E" w:rsidP="004A0B2E">
            <w:pPr>
              <w:jc w:val="right"/>
              <w:rPr>
                <w:rFonts w:ascii="Arial Narrow" w:hAnsi="Arial Narrow" w:cs="Calibri"/>
                <w:sz w:val="16"/>
                <w:szCs w:val="16"/>
              </w:rPr>
            </w:pPr>
            <w:r w:rsidRPr="004A0B2E">
              <w:rPr>
                <w:rFonts w:ascii="Arial Narrow" w:hAnsi="Arial Narrow" w:cs="Calibri"/>
                <w:sz w:val="16"/>
                <w:szCs w:val="16"/>
              </w:rPr>
              <w:t>1 408,7</w:t>
            </w:r>
          </w:p>
        </w:tc>
        <w:tc>
          <w:tcPr>
            <w:tcW w:w="1118" w:type="dxa"/>
            <w:tcBorders>
              <w:top w:val="nil"/>
              <w:left w:val="nil"/>
              <w:bottom w:val="single" w:sz="4" w:space="0" w:color="auto"/>
              <w:right w:val="single" w:sz="4" w:space="0" w:color="auto"/>
            </w:tcBorders>
            <w:shd w:val="clear" w:color="auto" w:fill="auto"/>
            <w:vAlign w:val="center"/>
            <w:hideMark/>
          </w:tcPr>
          <w:p w14:paraId="6BCDDCD5" w14:textId="77777777" w:rsidR="004A0B2E" w:rsidRPr="004A0B2E" w:rsidRDefault="004A0B2E" w:rsidP="004A0B2E">
            <w:pPr>
              <w:jc w:val="right"/>
              <w:rPr>
                <w:rFonts w:ascii="Arial Narrow" w:hAnsi="Arial Narrow" w:cs="Calibri"/>
                <w:sz w:val="16"/>
                <w:szCs w:val="16"/>
              </w:rPr>
            </w:pPr>
            <w:r w:rsidRPr="004A0B2E">
              <w:rPr>
                <w:rFonts w:ascii="Arial Narrow" w:hAnsi="Arial Narrow" w:cs="Calibri"/>
                <w:sz w:val="16"/>
                <w:szCs w:val="16"/>
              </w:rPr>
              <w:t>-28,6</w:t>
            </w:r>
          </w:p>
        </w:tc>
        <w:tc>
          <w:tcPr>
            <w:tcW w:w="957" w:type="dxa"/>
            <w:tcBorders>
              <w:top w:val="nil"/>
              <w:left w:val="nil"/>
              <w:bottom w:val="single" w:sz="4" w:space="0" w:color="auto"/>
              <w:right w:val="single" w:sz="4" w:space="0" w:color="auto"/>
            </w:tcBorders>
            <w:shd w:val="clear" w:color="auto" w:fill="auto"/>
            <w:vAlign w:val="center"/>
            <w:hideMark/>
          </w:tcPr>
          <w:p w14:paraId="539DBB1C" w14:textId="77777777" w:rsidR="004A0B2E" w:rsidRPr="004A0B2E" w:rsidRDefault="004A0B2E" w:rsidP="004A0B2E">
            <w:pPr>
              <w:jc w:val="right"/>
              <w:rPr>
                <w:rFonts w:ascii="Arial Narrow" w:hAnsi="Arial Narrow" w:cs="Calibri"/>
                <w:sz w:val="16"/>
                <w:szCs w:val="16"/>
              </w:rPr>
            </w:pPr>
            <w:r w:rsidRPr="004A0B2E">
              <w:rPr>
                <w:rFonts w:ascii="Arial Narrow" w:hAnsi="Arial Narrow" w:cs="Calibri"/>
                <w:sz w:val="16"/>
                <w:szCs w:val="16"/>
              </w:rPr>
              <w:t>1 006,4</w:t>
            </w:r>
          </w:p>
        </w:tc>
        <w:tc>
          <w:tcPr>
            <w:tcW w:w="1256" w:type="dxa"/>
            <w:tcBorders>
              <w:top w:val="nil"/>
              <w:left w:val="nil"/>
              <w:bottom w:val="single" w:sz="4" w:space="0" w:color="auto"/>
              <w:right w:val="single" w:sz="4" w:space="0" w:color="auto"/>
            </w:tcBorders>
            <w:shd w:val="clear" w:color="auto" w:fill="auto"/>
            <w:vAlign w:val="center"/>
            <w:hideMark/>
          </w:tcPr>
          <w:p w14:paraId="651FF204" w14:textId="77777777" w:rsidR="004A0B2E" w:rsidRPr="004A0B2E" w:rsidRDefault="004A0B2E" w:rsidP="004A0B2E">
            <w:pPr>
              <w:jc w:val="right"/>
              <w:rPr>
                <w:rFonts w:ascii="Arial Narrow" w:hAnsi="Arial Narrow" w:cs="Calibri"/>
                <w:sz w:val="16"/>
                <w:szCs w:val="16"/>
              </w:rPr>
            </w:pPr>
            <w:r w:rsidRPr="004A0B2E">
              <w:rPr>
                <w:rFonts w:ascii="Arial Narrow" w:hAnsi="Arial Narrow" w:cs="Calibri"/>
                <w:sz w:val="16"/>
                <w:szCs w:val="16"/>
              </w:rPr>
              <w:t>-43,8</w:t>
            </w:r>
          </w:p>
        </w:tc>
        <w:tc>
          <w:tcPr>
            <w:tcW w:w="872" w:type="dxa"/>
            <w:tcBorders>
              <w:top w:val="nil"/>
              <w:left w:val="nil"/>
              <w:bottom w:val="single" w:sz="4" w:space="0" w:color="auto"/>
              <w:right w:val="single" w:sz="4" w:space="0" w:color="auto"/>
            </w:tcBorders>
            <w:shd w:val="clear" w:color="auto" w:fill="auto"/>
            <w:vAlign w:val="center"/>
            <w:hideMark/>
          </w:tcPr>
          <w:p w14:paraId="15948349" w14:textId="77777777" w:rsidR="004A0B2E" w:rsidRPr="004A0B2E" w:rsidRDefault="004A0B2E" w:rsidP="004A0B2E">
            <w:pPr>
              <w:jc w:val="right"/>
              <w:rPr>
                <w:rFonts w:ascii="Arial Narrow" w:hAnsi="Arial Narrow" w:cs="Calibri"/>
                <w:sz w:val="16"/>
                <w:szCs w:val="16"/>
              </w:rPr>
            </w:pPr>
            <w:r w:rsidRPr="004A0B2E">
              <w:rPr>
                <w:rFonts w:ascii="Arial Narrow" w:hAnsi="Arial Narrow" w:cs="Calibri"/>
                <w:sz w:val="16"/>
                <w:szCs w:val="16"/>
              </w:rPr>
              <w:t>565,9</w:t>
            </w:r>
          </w:p>
        </w:tc>
      </w:tr>
      <w:tr w:rsidR="004A0B2E" w:rsidRPr="00B10684" w14:paraId="00BB5F56" w14:textId="77777777" w:rsidTr="005A18A5">
        <w:trPr>
          <w:trHeight w:val="183"/>
        </w:trPr>
        <w:tc>
          <w:tcPr>
            <w:tcW w:w="757" w:type="dxa"/>
            <w:tcBorders>
              <w:top w:val="nil"/>
              <w:left w:val="single" w:sz="4" w:space="0" w:color="auto"/>
              <w:bottom w:val="single" w:sz="4" w:space="0" w:color="auto"/>
              <w:right w:val="single" w:sz="4" w:space="0" w:color="auto"/>
            </w:tcBorders>
            <w:shd w:val="clear" w:color="auto" w:fill="auto"/>
            <w:noWrap/>
            <w:vAlign w:val="center"/>
            <w:hideMark/>
          </w:tcPr>
          <w:p w14:paraId="479AE254" w14:textId="77777777" w:rsidR="004A0B2E" w:rsidRPr="004A0B2E" w:rsidRDefault="004A0B2E" w:rsidP="004A0B2E">
            <w:pPr>
              <w:rPr>
                <w:rFonts w:ascii="Arial Narrow" w:hAnsi="Arial Narrow" w:cs="Calibri"/>
                <w:sz w:val="16"/>
                <w:szCs w:val="16"/>
              </w:rPr>
            </w:pPr>
            <w:r w:rsidRPr="004A0B2E">
              <w:rPr>
                <w:rFonts w:ascii="Arial Narrow" w:hAnsi="Arial Narrow" w:cs="Calibri"/>
                <w:sz w:val="16"/>
                <w:szCs w:val="16"/>
              </w:rPr>
              <w:t xml:space="preserve"> 01.6</w:t>
            </w:r>
          </w:p>
        </w:tc>
        <w:tc>
          <w:tcPr>
            <w:tcW w:w="5279" w:type="dxa"/>
            <w:tcBorders>
              <w:top w:val="nil"/>
              <w:left w:val="nil"/>
              <w:bottom w:val="single" w:sz="4" w:space="0" w:color="auto"/>
              <w:right w:val="single" w:sz="4" w:space="0" w:color="auto"/>
            </w:tcBorders>
            <w:shd w:val="clear" w:color="auto" w:fill="auto"/>
            <w:vAlign w:val="center"/>
            <w:hideMark/>
          </w:tcPr>
          <w:p w14:paraId="1BE97CDF" w14:textId="77777777" w:rsidR="004A0B2E" w:rsidRPr="004A0B2E" w:rsidRDefault="004A0B2E" w:rsidP="004A0B2E">
            <w:pPr>
              <w:ind w:firstLineChars="100" w:firstLine="160"/>
              <w:rPr>
                <w:rFonts w:ascii="Arial Narrow" w:hAnsi="Arial Narrow" w:cs="Calibri"/>
                <w:sz w:val="16"/>
                <w:szCs w:val="16"/>
              </w:rPr>
            </w:pPr>
            <w:r w:rsidRPr="004A0B2E">
              <w:rPr>
                <w:rFonts w:ascii="Arial Narrow" w:hAnsi="Arial Narrow" w:cs="Calibri"/>
                <w:sz w:val="16"/>
                <w:szCs w:val="16"/>
              </w:rPr>
              <w:t>Ориз</w:t>
            </w:r>
          </w:p>
        </w:tc>
        <w:tc>
          <w:tcPr>
            <w:tcW w:w="957" w:type="dxa"/>
            <w:tcBorders>
              <w:top w:val="nil"/>
              <w:left w:val="nil"/>
              <w:bottom w:val="single" w:sz="4" w:space="0" w:color="auto"/>
              <w:right w:val="single" w:sz="4" w:space="0" w:color="auto"/>
            </w:tcBorders>
            <w:shd w:val="clear" w:color="auto" w:fill="auto"/>
            <w:vAlign w:val="center"/>
            <w:hideMark/>
          </w:tcPr>
          <w:p w14:paraId="67682E02" w14:textId="77777777" w:rsidR="004A0B2E" w:rsidRPr="004A0B2E" w:rsidRDefault="004A0B2E" w:rsidP="004A0B2E">
            <w:pPr>
              <w:jc w:val="right"/>
              <w:rPr>
                <w:rFonts w:ascii="Arial Narrow" w:hAnsi="Arial Narrow" w:cs="Calibri"/>
                <w:sz w:val="16"/>
                <w:szCs w:val="16"/>
              </w:rPr>
            </w:pPr>
            <w:r w:rsidRPr="004A0B2E">
              <w:rPr>
                <w:rFonts w:ascii="Arial Narrow" w:hAnsi="Arial Narrow" w:cs="Calibri"/>
                <w:sz w:val="16"/>
                <w:szCs w:val="16"/>
              </w:rPr>
              <w:t>53,0</w:t>
            </w:r>
          </w:p>
        </w:tc>
        <w:tc>
          <w:tcPr>
            <w:tcW w:w="1118" w:type="dxa"/>
            <w:tcBorders>
              <w:top w:val="nil"/>
              <w:left w:val="nil"/>
              <w:bottom w:val="single" w:sz="4" w:space="0" w:color="auto"/>
              <w:right w:val="single" w:sz="4" w:space="0" w:color="auto"/>
            </w:tcBorders>
            <w:shd w:val="clear" w:color="auto" w:fill="auto"/>
            <w:vAlign w:val="center"/>
            <w:hideMark/>
          </w:tcPr>
          <w:p w14:paraId="22B9E901" w14:textId="77777777" w:rsidR="004A0B2E" w:rsidRPr="004A0B2E" w:rsidRDefault="004A0B2E" w:rsidP="004A0B2E">
            <w:pPr>
              <w:jc w:val="right"/>
              <w:rPr>
                <w:rFonts w:ascii="Arial Narrow" w:hAnsi="Arial Narrow" w:cs="Calibri"/>
                <w:sz w:val="16"/>
                <w:szCs w:val="16"/>
              </w:rPr>
            </w:pPr>
            <w:r w:rsidRPr="004A0B2E">
              <w:rPr>
                <w:rFonts w:ascii="Arial Narrow" w:hAnsi="Arial Narrow" w:cs="Calibri"/>
                <w:sz w:val="16"/>
                <w:szCs w:val="16"/>
              </w:rPr>
              <w:t>53,6</w:t>
            </w:r>
          </w:p>
        </w:tc>
        <w:tc>
          <w:tcPr>
            <w:tcW w:w="957" w:type="dxa"/>
            <w:tcBorders>
              <w:top w:val="nil"/>
              <w:left w:val="nil"/>
              <w:bottom w:val="single" w:sz="4" w:space="0" w:color="auto"/>
              <w:right w:val="single" w:sz="4" w:space="0" w:color="auto"/>
            </w:tcBorders>
            <w:shd w:val="clear" w:color="auto" w:fill="auto"/>
            <w:vAlign w:val="center"/>
            <w:hideMark/>
          </w:tcPr>
          <w:p w14:paraId="512CA2E1" w14:textId="77777777" w:rsidR="004A0B2E" w:rsidRPr="004A0B2E" w:rsidRDefault="004A0B2E" w:rsidP="004A0B2E">
            <w:pPr>
              <w:jc w:val="right"/>
              <w:rPr>
                <w:rFonts w:ascii="Arial Narrow" w:hAnsi="Arial Narrow" w:cs="Calibri"/>
                <w:sz w:val="16"/>
                <w:szCs w:val="16"/>
              </w:rPr>
            </w:pPr>
            <w:r w:rsidRPr="004A0B2E">
              <w:rPr>
                <w:rFonts w:ascii="Arial Narrow" w:hAnsi="Arial Narrow" w:cs="Calibri"/>
                <w:sz w:val="16"/>
                <w:szCs w:val="16"/>
              </w:rPr>
              <w:t>81,4</w:t>
            </w:r>
          </w:p>
        </w:tc>
        <w:tc>
          <w:tcPr>
            <w:tcW w:w="1256" w:type="dxa"/>
            <w:tcBorders>
              <w:top w:val="nil"/>
              <w:left w:val="nil"/>
              <w:bottom w:val="single" w:sz="4" w:space="0" w:color="auto"/>
              <w:right w:val="single" w:sz="4" w:space="0" w:color="auto"/>
            </w:tcBorders>
            <w:shd w:val="clear" w:color="auto" w:fill="auto"/>
            <w:vAlign w:val="center"/>
            <w:hideMark/>
          </w:tcPr>
          <w:p w14:paraId="38717193" w14:textId="77777777" w:rsidR="004A0B2E" w:rsidRPr="004A0B2E" w:rsidRDefault="004A0B2E" w:rsidP="004A0B2E">
            <w:pPr>
              <w:jc w:val="right"/>
              <w:rPr>
                <w:rFonts w:ascii="Arial Narrow" w:hAnsi="Arial Narrow" w:cs="Calibri"/>
                <w:sz w:val="16"/>
                <w:szCs w:val="16"/>
              </w:rPr>
            </w:pPr>
            <w:r w:rsidRPr="004A0B2E">
              <w:rPr>
                <w:rFonts w:ascii="Arial Narrow" w:hAnsi="Arial Narrow" w:cs="Calibri"/>
                <w:sz w:val="16"/>
                <w:szCs w:val="16"/>
              </w:rPr>
              <w:t>-10,2</w:t>
            </w:r>
          </w:p>
        </w:tc>
        <w:tc>
          <w:tcPr>
            <w:tcW w:w="872" w:type="dxa"/>
            <w:tcBorders>
              <w:top w:val="nil"/>
              <w:left w:val="nil"/>
              <w:bottom w:val="single" w:sz="4" w:space="0" w:color="auto"/>
              <w:right w:val="single" w:sz="4" w:space="0" w:color="auto"/>
            </w:tcBorders>
            <w:shd w:val="clear" w:color="auto" w:fill="auto"/>
            <w:vAlign w:val="center"/>
            <w:hideMark/>
          </w:tcPr>
          <w:p w14:paraId="731ED417" w14:textId="77777777" w:rsidR="004A0B2E" w:rsidRPr="004A0B2E" w:rsidRDefault="004A0B2E" w:rsidP="004A0B2E">
            <w:pPr>
              <w:jc w:val="right"/>
              <w:rPr>
                <w:rFonts w:ascii="Arial Narrow" w:hAnsi="Arial Narrow" w:cs="Calibri"/>
                <w:sz w:val="16"/>
                <w:szCs w:val="16"/>
              </w:rPr>
            </w:pPr>
            <w:r w:rsidRPr="004A0B2E">
              <w:rPr>
                <w:rFonts w:ascii="Arial Narrow" w:hAnsi="Arial Narrow" w:cs="Calibri"/>
                <w:sz w:val="16"/>
                <w:szCs w:val="16"/>
              </w:rPr>
              <w:t>73,1</w:t>
            </w:r>
          </w:p>
        </w:tc>
      </w:tr>
      <w:tr w:rsidR="004A0B2E" w:rsidRPr="00B10684" w14:paraId="4C928218" w14:textId="77777777" w:rsidTr="005A18A5">
        <w:trPr>
          <w:trHeight w:val="183"/>
        </w:trPr>
        <w:tc>
          <w:tcPr>
            <w:tcW w:w="757" w:type="dxa"/>
            <w:tcBorders>
              <w:top w:val="nil"/>
              <w:left w:val="single" w:sz="4" w:space="0" w:color="auto"/>
              <w:bottom w:val="single" w:sz="4" w:space="0" w:color="auto"/>
              <w:right w:val="single" w:sz="4" w:space="0" w:color="auto"/>
            </w:tcBorders>
            <w:shd w:val="clear" w:color="auto" w:fill="auto"/>
            <w:noWrap/>
            <w:vAlign w:val="center"/>
            <w:hideMark/>
          </w:tcPr>
          <w:p w14:paraId="2F4505CA" w14:textId="77777777" w:rsidR="004A0B2E" w:rsidRPr="004A0B2E" w:rsidRDefault="004A0B2E" w:rsidP="004A0B2E">
            <w:pPr>
              <w:rPr>
                <w:rFonts w:ascii="Arial Narrow" w:hAnsi="Arial Narrow" w:cs="Calibri"/>
                <w:sz w:val="16"/>
                <w:szCs w:val="16"/>
              </w:rPr>
            </w:pPr>
            <w:r w:rsidRPr="004A0B2E">
              <w:rPr>
                <w:rFonts w:ascii="Arial Narrow" w:hAnsi="Arial Narrow" w:cs="Calibri"/>
                <w:sz w:val="16"/>
                <w:szCs w:val="16"/>
              </w:rPr>
              <w:t xml:space="preserve"> 01.7</w:t>
            </w:r>
          </w:p>
        </w:tc>
        <w:tc>
          <w:tcPr>
            <w:tcW w:w="5279" w:type="dxa"/>
            <w:tcBorders>
              <w:top w:val="nil"/>
              <w:left w:val="nil"/>
              <w:bottom w:val="single" w:sz="4" w:space="0" w:color="auto"/>
              <w:right w:val="single" w:sz="4" w:space="0" w:color="auto"/>
            </w:tcBorders>
            <w:shd w:val="clear" w:color="auto" w:fill="auto"/>
            <w:vAlign w:val="center"/>
            <w:hideMark/>
          </w:tcPr>
          <w:p w14:paraId="05FBDBEC" w14:textId="77777777" w:rsidR="004A0B2E" w:rsidRPr="004A0B2E" w:rsidRDefault="004A0B2E" w:rsidP="004A0B2E">
            <w:pPr>
              <w:ind w:firstLineChars="100" w:firstLine="160"/>
              <w:rPr>
                <w:rFonts w:ascii="Arial Narrow" w:hAnsi="Arial Narrow" w:cs="Calibri"/>
                <w:sz w:val="16"/>
                <w:szCs w:val="16"/>
              </w:rPr>
            </w:pPr>
            <w:r w:rsidRPr="004A0B2E">
              <w:rPr>
                <w:rFonts w:ascii="Arial Narrow" w:hAnsi="Arial Narrow" w:cs="Calibri"/>
                <w:sz w:val="16"/>
                <w:szCs w:val="16"/>
              </w:rPr>
              <w:t>Други зърнени</w:t>
            </w:r>
          </w:p>
        </w:tc>
        <w:tc>
          <w:tcPr>
            <w:tcW w:w="957" w:type="dxa"/>
            <w:tcBorders>
              <w:top w:val="nil"/>
              <w:left w:val="nil"/>
              <w:bottom w:val="single" w:sz="4" w:space="0" w:color="auto"/>
              <w:right w:val="single" w:sz="4" w:space="0" w:color="auto"/>
            </w:tcBorders>
            <w:shd w:val="clear" w:color="auto" w:fill="auto"/>
            <w:vAlign w:val="center"/>
            <w:hideMark/>
          </w:tcPr>
          <w:p w14:paraId="2A309AEE" w14:textId="77777777" w:rsidR="004A0B2E" w:rsidRPr="004A0B2E" w:rsidRDefault="004A0B2E" w:rsidP="004A0B2E">
            <w:pPr>
              <w:jc w:val="right"/>
              <w:rPr>
                <w:rFonts w:ascii="Arial Narrow" w:hAnsi="Arial Narrow" w:cs="Calibri"/>
                <w:sz w:val="16"/>
                <w:szCs w:val="16"/>
              </w:rPr>
            </w:pPr>
            <w:r w:rsidRPr="004A0B2E">
              <w:rPr>
                <w:rFonts w:ascii="Arial Narrow" w:hAnsi="Arial Narrow" w:cs="Calibri"/>
                <w:sz w:val="16"/>
                <w:szCs w:val="16"/>
              </w:rPr>
              <w:t>32,5</w:t>
            </w:r>
          </w:p>
        </w:tc>
        <w:tc>
          <w:tcPr>
            <w:tcW w:w="1118" w:type="dxa"/>
            <w:tcBorders>
              <w:top w:val="nil"/>
              <w:left w:val="nil"/>
              <w:bottom w:val="single" w:sz="4" w:space="0" w:color="auto"/>
              <w:right w:val="single" w:sz="4" w:space="0" w:color="auto"/>
            </w:tcBorders>
            <w:shd w:val="clear" w:color="auto" w:fill="auto"/>
            <w:vAlign w:val="center"/>
            <w:hideMark/>
          </w:tcPr>
          <w:p w14:paraId="25B46269" w14:textId="77777777" w:rsidR="004A0B2E" w:rsidRPr="004A0B2E" w:rsidRDefault="004A0B2E" w:rsidP="004A0B2E">
            <w:pPr>
              <w:jc w:val="right"/>
              <w:rPr>
                <w:rFonts w:ascii="Arial Narrow" w:hAnsi="Arial Narrow" w:cs="Calibri"/>
                <w:sz w:val="16"/>
                <w:szCs w:val="16"/>
              </w:rPr>
            </w:pPr>
            <w:r w:rsidRPr="004A0B2E">
              <w:rPr>
                <w:rFonts w:ascii="Arial Narrow" w:hAnsi="Arial Narrow" w:cs="Calibri"/>
                <w:sz w:val="16"/>
                <w:szCs w:val="16"/>
              </w:rPr>
              <w:t>64,6</w:t>
            </w:r>
          </w:p>
        </w:tc>
        <w:tc>
          <w:tcPr>
            <w:tcW w:w="957" w:type="dxa"/>
            <w:tcBorders>
              <w:top w:val="nil"/>
              <w:left w:val="nil"/>
              <w:bottom w:val="single" w:sz="4" w:space="0" w:color="auto"/>
              <w:right w:val="single" w:sz="4" w:space="0" w:color="auto"/>
            </w:tcBorders>
            <w:shd w:val="clear" w:color="auto" w:fill="auto"/>
            <w:vAlign w:val="center"/>
            <w:hideMark/>
          </w:tcPr>
          <w:p w14:paraId="14300BFC" w14:textId="77777777" w:rsidR="004A0B2E" w:rsidRPr="004A0B2E" w:rsidRDefault="004A0B2E" w:rsidP="004A0B2E">
            <w:pPr>
              <w:jc w:val="right"/>
              <w:rPr>
                <w:rFonts w:ascii="Arial Narrow" w:hAnsi="Arial Narrow" w:cs="Calibri"/>
                <w:sz w:val="16"/>
                <w:szCs w:val="16"/>
              </w:rPr>
            </w:pPr>
            <w:r w:rsidRPr="004A0B2E">
              <w:rPr>
                <w:rFonts w:ascii="Arial Narrow" w:hAnsi="Arial Narrow" w:cs="Calibri"/>
                <w:sz w:val="16"/>
                <w:szCs w:val="16"/>
              </w:rPr>
              <w:t>53,5</w:t>
            </w:r>
          </w:p>
        </w:tc>
        <w:tc>
          <w:tcPr>
            <w:tcW w:w="1256" w:type="dxa"/>
            <w:tcBorders>
              <w:top w:val="nil"/>
              <w:left w:val="nil"/>
              <w:bottom w:val="single" w:sz="4" w:space="0" w:color="auto"/>
              <w:right w:val="single" w:sz="4" w:space="0" w:color="auto"/>
            </w:tcBorders>
            <w:shd w:val="clear" w:color="auto" w:fill="auto"/>
            <w:vAlign w:val="center"/>
            <w:hideMark/>
          </w:tcPr>
          <w:p w14:paraId="1248765D" w14:textId="77777777" w:rsidR="004A0B2E" w:rsidRPr="004A0B2E" w:rsidRDefault="004A0B2E" w:rsidP="004A0B2E">
            <w:pPr>
              <w:jc w:val="right"/>
              <w:rPr>
                <w:rFonts w:ascii="Arial Narrow" w:hAnsi="Arial Narrow" w:cs="Calibri"/>
                <w:sz w:val="16"/>
                <w:szCs w:val="16"/>
              </w:rPr>
            </w:pPr>
            <w:r w:rsidRPr="004A0B2E">
              <w:rPr>
                <w:rFonts w:ascii="Arial Narrow" w:hAnsi="Arial Narrow" w:cs="Calibri"/>
                <w:sz w:val="16"/>
                <w:szCs w:val="16"/>
              </w:rPr>
              <w:t>-43,0</w:t>
            </w:r>
          </w:p>
        </w:tc>
        <w:tc>
          <w:tcPr>
            <w:tcW w:w="872" w:type="dxa"/>
            <w:tcBorders>
              <w:top w:val="nil"/>
              <w:left w:val="nil"/>
              <w:bottom w:val="single" w:sz="4" w:space="0" w:color="auto"/>
              <w:right w:val="single" w:sz="4" w:space="0" w:color="auto"/>
            </w:tcBorders>
            <w:shd w:val="clear" w:color="auto" w:fill="auto"/>
            <w:vAlign w:val="center"/>
            <w:hideMark/>
          </w:tcPr>
          <w:p w14:paraId="00F18546" w14:textId="77777777" w:rsidR="004A0B2E" w:rsidRPr="004A0B2E" w:rsidRDefault="004A0B2E" w:rsidP="004A0B2E">
            <w:pPr>
              <w:jc w:val="right"/>
              <w:rPr>
                <w:rFonts w:ascii="Arial Narrow" w:hAnsi="Arial Narrow" w:cs="Calibri"/>
                <w:sz w:val="16"/>
                <w:szCs w:val="16"/>
              </w:rPr>
            </w:pPr>
            <w:r w:rsidRPr="004A0B2E">
              <w:rPr>
                <w:rFonts w:ascii="Arial Narrow" w:hAnsi="Arial Narrow" w:cs="Calibri"/>
                <w:sz w:val="16"/>
                <w:szCs w:val="16"/>
              </w:rPr>
              <w:t>30,5</w:t>
            </w:r>
          </w:p>
        </w:tc>
      </w:tr>
      <w:tr w:rsidR="004A0B2E" w:rsidRPr="00B10684" w14:paraId="7F4E8D67" w14:textId="77777777" w:rsidTr="005A18A5">
        <w:trPr>
          <w:trHeight w:val="183"/>
        </w:trPr>
        <w:tc>
          <w:tcPr>
            <w:tcW w:w="757" w:type="dxa"/>
            <w:tcBorders>
              <w:top w:val="nil"/>
              <w:left w:val="single" w:sz="4" w:space="0" w:color="auto"/>
              <w:bottom w:val="single" w:sz="4" w:space="0" w:color="auto"/>
              <w:right w:val="single" w:sz="4" w:space="0" w:color="auto"/>
            </w:tcBorders>
            <w:shd w:val="clear" w:color="auto" w:fill="auto"/>
            <w:noWrap/>
            <w:vAlign w:val="center"/>
            <w:hideMark/>
          </w:tcPr>
          <w:p w14:paraId="2B95A2A2" w14:textId="77777777" w:rsidR="004A0B2E" w:rsidRPr="004A0B2E" w:rsidRDefault="004A0B2E" w:rsidP="004A0B2E">
            <w:pPr>
              <w:rPr>
                <w:rFonts w:ascii="Arial Narrow" w:hAnsi="Arial Narrow" w:cs="Calibri"/>
                <w:sz w:val="16"/>
                <w:szCs w:val="16"/>
              </w:rPr>
            </w:pPr>
            <w:r w:rsidRPr="004A0B2E">
              <w:rPr>
                <w:rFonts w:ascii="Arial Narrow" w:hAnsi="Arial Narrow" w:cs="Calibri"/>
                <w:sz w:val="16"/>
                <w:szCs w:val="16"/>
              </w:rPr>
              <w:t xml:space="preserve"> 02</w:t>
            </w:r>
          </w:p>
        </w:tc>
        <w:tc>
          <w:tcPr>
            <w:tcW w:w="5279" w:type="dxa"/>
            <w:tcBorders>
              <w:top w:val="nil"/>
              <w:left w:val="nil"/>
              <w:bottom w:val="single" w:sz="4" w:space="0" w:color="auto"/>
              <w:right w:val="single" w:sz="4" w:space="0" w:color="auto"/>
            </w:tcBorders>
            <w:shd w:val="clear" w:color="auto" w:fill="auto"/>
            <w:vAlign w:val="center"/>
            <w:hideMark/>
          </w:tcPr>
          <w:p w14:paraId="268CE843" w14:textId="77777777" w:rsidR="004A0B2E" w:rsidRPr="004A0B2E" w:rsidRDefault="004A0B2E" w:rsidP="004A0B2E">
            <w:pPr>
              <w:rPr>
                <w:rFonts w:ascii="Arial Narrow" w:hAnsi="Arial Narrow" w:cs="Calibri"/>
                <w:sz w:val="16"/>
                <w:szCs w:val="16"/>
              </w:rPr>
            </w:pPr>
            <w:r w:rsidRPr="004A0B2E">
              <w:rPr>
                <w:rFonts w:ascii="Arial Narrow" w:hAnsi="Arial Narrow" w:cs="Calibri"/>
                <w:sz w:val="16"/>
                <w:szCs w:val="16"/>
              </w:rPr>
              <w:t>Технически култури</w:t>
            </w:r>
          </w:p>
        </w:tc>
        <w:tc>
          <w:tcPr>
            <w:tcW w:w="957" w:type="dxa"/>
            <w:tcBorders>
              <w:top w:val="nil"/>
              <w:left w:val="nil"/>
              <w:bottom w:val="single" w:sz="4" w:space="0" w:color="auto"/>
              <w:right w:val="single" w:sz="4" w:space="0" w:color="auto"/>
            </w:tcBorders>
            <w:shd w:val="clear" w:color="auto" w:fill="auto"/>
            <w:vAlign w:val="center"/>
            <w:hideMark/>
          </w:tcPr>
          <w:p w14:paraId="06B709CA" w14:textId="77777777" w:rsidR="004A0B2E" w:rsidRPr="004A0B2E" w:rsidRDefault="004A0B2E" w:rsidP="004A0B2E">
            <w:pPr>
              <w:jc w:val="right"/>
              <w:rPr>
                <w:rFonts w:ascii="Arial Narrow" w:hAnsi="Arial Narrow" w:cs="Calibri"/>
                <w:sz w:val="16"/>
                <w:szCs w:val="16"/>
              </w:rPr>
            </w:pPr>
            <w:r w:rsidRPr="004A0B2E">
              <w:rPr>
                <w:rFonts w:ascii="Arial Narrow" w:hAnsi="Arial Narrow" w:cs="Calibri"/>
                <w:sz w:val="16"/>
                <w:szCs w:val="16"/>
              </w:rPr>
              <w:t>2 974,4</w:t>
            </w:r>
          </w:p>
        </w:tc>
        <w:tc>
          <w:tcPr>
            <w:tcW w:w="1118" w:type="dxa"/>
            <w:tcBorders>
              <w:top w:val="nil"/>
              <w:left w:val="nil"/>
              <w:bottom w:val="single" w:sz="4" w:space="0" w:color="auto"/>
              <w:right w:val="single" w:sz="4" w:space="0" w:color="auto"/>
            </w:tcBorders>
            <w:shd w:val="clear" w:color="auto" w:fill="auto"/>
            <w:vAlign w:val="center"/>
            <w:hideMark/>
          </w:tcPr>
          <w:p w14:paraId="36FF4DBF" w14:textId="77777777" w:rsidR="004A0B2E" w:rsidRPr="004A0B2E" w:rsidRDefault="004A0B2E" w:rsidP="004A0B2E">
            <w:pPr>
              <w:jc w:val="right"/>
              <w:rPr>
                <w:rFonts w:ascii="Arial Narrow" w:hAnsi="Arial Narrow" w:cs="Calibri"/>
                <w:sz w:val="16"/>
                <w:szCs w:val="16"/>
              </w:rPr>
            </w:pPr>
            <w:r w:rsidRPr="004A0B2E">
              <w:rPr>
                <w:rFonts w:ascii="Arial Narrow" w:hAnsi="Arial Narrow" w:cs="Calibri"/>
                <w:sz w:val="16"/>
                <w:szCs w:val="16"/>
              </w:rPr>
              <w:t>-40,7</w:t>
            </w:r>
          </w:p>
        </w:tc>
        <w:tc>
          <w:tcPr>
            <w:tcW w:w="957" w:type="dxa"/>
            <w:tcBorders>
              <w:top w:val="nil"/>
              <w:left w:val="nil"/>
              <w:bottom w:val="single" w:sz="4" w:space="0" w:color="auto"/>
              <w:right w:val="single" w:sz="4" w:space="0" w:color="auto"/>
            </w:tcBorders>
            <w:shd w:val="clear" w:color="auto" w:fill="auto"/>
            <w:vAlign w:val="center"/>
            <w:hideMark/>
          </w:tcPr>
          <w:p w14:paraId="7B56572C" w14:textId="77777777" w:rsidR="004A0B2E" w:rsidRPr="004A0B2E" w:rsidRDefault="004A0B2E" w:rsidP="004A0B2E">
            <w:pPr>
              <w:jc w:val="right"/>
              <w:rPr>
                <w:rFonts w:ascii="Arial Narrow" w:hAnsi="Arial Narrow" w:cs="Calibri"/>
                <w:sz w:val="16"/>
                <w:szCs w:val="16"/>
              </w:rPr>
            </w:pPr>
            <w:r w:rsidRPr="004A0B2E">
              <w:rPr>
                <w:rFonts w:ascii="Arial Narrow" w:hAnsi="Arial Narrow" w:cs="Calibri"/>
                <w:sz w:val="16"/>
                <w:szCs w:val="16"/>
              </w:rPr>
              <w:t>1 763,5</w:t>
            </w:r>
          </w:p>
        </w:tc>
        <w:tc>
          <w:tcPr>
            <w:tcW w:w="1256" w:type="dxa"/>
            <w:tcBorders>
              <w:top w:val="nil"/>
              <w:left w:val="nil"/>
              <w:bottom w:val="single" w:sz="4" w:space="0" w:color="auto"/>
              <w:right w:val="single" w:sz="4" w:space="0" w:color="auto"/>
            </w:tcBorders>
            <w:shd w:val="clear" w:color="auto" w:fill="auto"/>
            <w:vAlign w:val="center"/>
            <w:hideMark/>
          </w:tcPr>
          <w:p w14:paraId="3A5B3B6E" w14:textId="77777777" w:rsidR="004A0B2E" w:rsidRPr="004A0B2E" w:rsidRDefault="004A0B2E" w:rsidP="004A0B2E">
            <w:pPr>
              <w:jc w:val="right"/>
              <w:rPr>
                <w:rFonts w:ascii="Arial Narrow" w:hAnsi="Arial Narrow" w:cs="Calibri"/>
                <w:sz w:val="16"/>
                <w:szCs w:val="16"/>
              </w:rPr>
            </w:pPr>
            <w:r w:rsidRPr="004A0B2E">
              <w:rPr>
                <w:rFonts w:ascii="Arial Narrow" w:hAnsi="Arial Narrow" w:cs="Calibri"/>
                <w:sz w:val="16"/>
                <w:szCs w:val="16"/>
              </w:rPr>
              <w:t>-1,7</w:t>
            </w:r>
          </w:p>
        </w:tc>
        <w:tc>
          <w:tcPr>
            <w:tcW w:w="872" w:type="dxa"/>
            <w:tcBorders>
              <w:top w:val="nil"/>
              <w:left w:val="nil"/>
              <w:bottom w:val="single" w:sz="4" w:space="0" w:color="auto"/>
              <w:right w:val="single" w:sz="4" w:space="0" w:color="auto"/>
            </w:tcBorders>
            <w:shd w:val="clear" w:color="auto" w:fill="auto"/>
            <w:vAlign w:val="center"/>
            <w:hideMark/>
          </w:tcPr>
          <w:p w14:paraId="5903BBF5" w14:textId="77777777" w:rsidR="004A0B2E" w:rsidRPr="004A0B2E" w:rsidRDefault="004A0B2E" w:rsidP="004A0B2E">
            <w:pPr>
              <w:jc w:val="right"/>
              <w:rPr>
                <w:rFonts w:ascii="Arial Narrow" w:hAnsi="Arial Narrow" w:cs="Calibri"/>
                <w:sz w:val="16"/>
                <w:szCs w:val="16"/>
              </w:rPr>
            </w:pPr>
            <w:r w:rsidRPr="004A0B2E">
              <w:rPr>
                <w:rFonts w:ascii="Arial Narrow" w:hAnsi="Arial Narrow" w:cs="Calibri"/>
                <w:sz w:val="16"/>
                <w:szCs w:val="16"/>
              </w:rPr>
              <w:t>1 733,0</w:t>
            </w:r>
          </w:p>
        </w:tc>
      </w:tr>
      <w:tr w:rsidR="004A0B2E" w:rsidRPr="00B10684" w14:paraId="0C6EF51C" w14:textId="77777777" w:rsidTr="005A18A5">
        <w:trPr>
          <w:trHeight w:val="183"/>
        </w:trPr>
        <w:tc>
          <w:tcPr>
            <w:tcW w:w="757" w:type="dxa"/>
            <w:tcBorders>
              <w:top w:val="nil"/>
              <w:left w:val="single" w:sz="4" w:space="0" w:color="auto"/>
              <w:bottom w:val="single" w:sz="4" w:space="0" w:color="auto"/>
              <w:right w:val="single" w:sz="4" w:space="0" w:color="auto"/>
            </w:tcBorders>
            <w:shd w:val="clear" w:color="auto" w:fill="auto"/>
            <w:noWrap/>
            <w:vAlign w:val="center"/>
            <w:hideMark/>
          </w:tcPr>
          <w:p w14:paraId="03939BBD" w14:textId="77777777" w:rsidR="004A0B2E" w:rsidRPr="004A0B2E" w:rsidRDefault="004A0B2E" w:rsidP="004A0B2E">
            <w:pPr>
              <w:rPr>
                <w:rFonts w:ascii="Arial Narrow" w:hAnsi="Arial Narrow" w:cs="Calibri"/>
                <w:sz w:val="16"/>
                <w:szCs w:val="16"/>
              </w:rPr>
            </w:pPr>
            <w:r w:rsidRPr="004A0B2E">
              <w:rPr>
                <w:rFonts w:ascii="Arial Narrow" w:hAnsi="Arial Narrow" w:cs="Calibri"/>
                <w:sz w:val="16"/>
                <w:szCs w:val="16"/>
              </w:rPr>
              <w:t xml:space="preserve"> 02.1</w:t>
            </w:r>
          </w:p>
        </w:tc>
        <w:tc>
          <w:tcPr>
            <w:tcW w:w="5279" w:type="dxa"/>
            <w:tcBorders>
              <w:top w:val="nil"/>
              <w:left w:val="nil"/>
              <w:bottom w:val="single" w:sz="4" w:space="0" w:color="auto"/>
              <w:right w:val="single" w:sz="4" w:space="0" w:color="auto"/>
            </w:tcBorders>
            <w:shd w:val="clear" w:color="auto" w:fill="auto"/>
            <w:vAlign w:val="center"/>
            <w:hideMark/>
          </w:tcPr>
          <w:p w14:paraId="50CA43C0" w14:textId="77777777" w:rsidR="004A0B2E" w:rsidRPr="004A0B2E" w:rsidRDefault="004A0B2E" w:rsidP="004A0B2E">
            <w:pPr>
              <w:ind w:firstLineChars="100" w:firstLine="160"/>
              <w:rPr>
                <w:rFonts w:ascii="Arial Narrow" w:hAnsi="Arial Narrow" w:cs="Calibri"/>
                <w:sz w:val="16"/>
                <w:szCs w:val="16"/>
              </w:rPr>
            </w:pPr>
            <w:r w:rsidRPr="004A0B2E">
              <w:rPr>
                <w:rFonts w:ascii="Arial Narrow" w:hAnsi="Arial Narrow" w:cs="Calibri"/>
                <w:sz w:val="16"/>
                <w:szCs w:val="16"/>
              </w:rPr>
              <w:t>Маслодайни семена</w:t>
            </w:r>
          </w:p>
        </w:tc>
        <w:tc>
          <w:tcPr>
            <w:tcW w:w="957" w:type="dxa"/>
            <w:tcBorders>
              <w:top w:val="nil"/>
              <w:left w:val="nil"/>
              <w:bottom w:val="single" w:sz="4" w:space="0" w:color="auto"/>
              <w:right w:val="single" w:sz="4" w:space="0" w:color="auto"/>
            </w:tcBorders>
            <w:shd w:val="clear" w:color="auto" w:fill="auto"/>
            <w:vAlign w:val="center"/>
            <w:hideMark/>
          </w:tcPr>
          <w:p w14:paraId="7A960F63" w14:textId="77777777" w:rsidR="004A0B2E" w:rsidRPr="004A0B2E" w:rsidRDefault="004A0B2E" w:rsidP="004A0B2E">
            <w:pPr>
              <w:jc w:val="right"/>
              <w:rPr>
                <w:rFonts w:ascii="Arial Narrow" w:hAnsi="Arial Narrow" w:cs="Calibri"/>
                <w:sz w:val="16"/>
                <w:szCs w:val="16"/>
              </w:rPr>
            </w:pPr>
            <w:r w:rsidRPr="004A0B2E">
              <w:rPr>
                <w:rFonts w:ascii="Arial Narrow" w:hAnsi="Arial Narrow" w:cs="Calibri"/>
                <w:sz w:val="16"/>
                <w:szCs w:val="16"/>
              </w:rPr>
              <w:t>2 784,8</w:t>
            </w:r>
          </w:p>
        </w:tc>
        <w:tc>
          <w:tcPr>
            <w:tcW w:w="1118" w:type="dxa"/>
            <w:tcBorders>
              <w:top w:val="nil"/>
              <w:left w:val="nil"/>
              <w:bottom w:val="single" w:sz="4" w:space="0" w:color="auto"/>
              <w:right w:val="single" w:sz="4" w:space="0" w:color="auto"/>
            </w:tcBorders>
            <w:shd w:val="clear" w:color="auto" w:fill="auto"/>
            <w:vAlign w:val="center"/>
            <w:hideMark/>
          </w:tcPr>
          <w:p w14:paraId="69D945B8" w14:textId="77777777" w:rsidR="004A0B2E" w:rsidRPr="004A0B2E" w:rsidRDefault="004A0B2E" w:rsidP="004A0B2E">
            <w:pPr>
              <w:jc w:val="right"/>
              <w:rPr>
                <w:rFonts w:ascii="Arial Narrow" w:hAnsi="Arial Narrow" w:cs="Calibri"/>
                <w:sz w:val="16"/>
                <w:szCs w:val="16"/>
              </w:rPr>
            </w:pPr>
            <w:r w:rsidRPr="004A0B2E">
              <w:rPr>
                <w:rFonts w:ascii="Arial Narrow" w:hAnsi="Arial Narrow" w:cs="Calibri"/>
                <w:sz w:val="16"/>
                <w:szCs w:val="16"/>
              </w:rPr>
              <w:t>-42,7</w:t>
            </w:r>
          </w:p>
        </w:tc>
        <w:tc>
          <w:tcPr>
            <w:tcW w:w="957" w:type="dxa"/>
            <w:tcBorders>
              <w:top w:val="nil"/>
              <w:left w:val="nil"/>
              <w:bottom w:val="single" w:sz="4" w:space="0" w:color="auto"/>
              <w:right w:val="single" w:sz="4" w:space="0" w:color="auto"/>
            </w:tcBorders>
            <w:shd w:val="clear" w:color="auto" w:fill="auto"/>
            <w:vAlign w:val="center"/>
            <w:hideMark/>
          </w:tcPr>
          <w:p w14:paraId="4F548E51" w14:textId="77777777" w:rsidR="004A0B2E" w:rsidRPr="004A0B2E" w:rsidRDefault="004A0B2E" w:rsidP="004A0B2E">
            <w:pPr>
              <w:jc w:val="right"/>
              <w:rPr>
                <w:rFonts w:ascii="Arial Narrow" w:hAnsi="Arial Narrow" w:cs="Calibri"/>
                <w:sz w:val="16"/>
                <w:szCs w:val="16"/>
              </w:rPr>
            </w:pPr>
            <w:r w:rsidRPr="004A0B2E">
              <w:rPr>
                <w:rFonts w:ascii="Arial Narrow" w:hAnsi="Arial Narrow" w:cs="Calibri"/>
                <w:sz w:val="16"/>
                <w:szCs w:val="16"/>
              </w:rPr>
              <w:t>1 594,5</w:t>
            </w:r>
          </w:p>
        </w:tc>
        <w:tc>
          <w:tcPr>
            <w:tcW w:w="1256" w:type="dxa"/>
            <w:tcBorders>
              <w:top w:val="nil"/>
              <w:left w:val="nil"/>
              <w:bottom w:val="single" w:sz="4" w:space="0" w:color="auto"/>
              <w:right w:val="single" w:sz="4" w:space="0" w:color="auto"/>
            </w:tcBorders>
            <w:shd w:val="clear" w:color="auto" w:fill="auto"/>
            <w:vAlign w:val="center"/>
            <w:hideMark/>
          </w:tcPr>
          <w:p w14:paraId="79E49788" w14:textId="77777777" w:rsidR="004A0B2E" w:rsidRPr="004A0B2E" w:rsidRDefault="004A0B2E" w:rsidP="004A0B2E">
            <w:pPr>
              <w:jc w:val="right"/>
              <w:rPr>
                <w:rFonts w:ascii="Arial Narrow" w:hAnsi="Arial Narrow" w:cs="Calibri"/>
                <w:sz w:val="16"/>
                <w:szCs w:val="16"/>
              </w:rPr>
            </w:pPr>
            <w:r w:rsidRPr="004A0B2E">
              <w:rPr>
                <w:rFonts w:ascii="Arial Narrow" w:hAnsi="Arial Narrow" w:cs="Calibri"/>
                <w:sz w:val="16"/>
                <w:szCs w:val="16"/>
              </w:rPr>
              <w:t>-2,7</w:t>
            </w:r>
          </w:p>
        </w:tc>
        <w:tc>
          <w:tcPr>
            <w:tcW w:w="872" w:type="dxa"/>
            <w:tcBorders>
              <w:top w:val="nil"/>
              <w:left w:val="nil"/>
              <w:bottom w:val="single" w:sz="4" w:space="0" w:color="auto"/>
              <w:right w:val="single" w:sz="4" w:space="0" w:color="auto"/>
            </w:tcBorders>
            <w:shd w:val="clear" w:color="auto" w:fill="auto"/>
            <w:vAlign w:val="center"/>
            <w:hideMark/>
          </w:tcPr>
          <w:p w14:paraId="51964201" w14:textId="77777777" w:rsidR="004A0B2E" w:rsidRPr="004A0B2E" w:rsidRDefault="004A0B2E" w:rsidP="004A0B2E">
            <w:pPr>
              <w:jc w:val="right"/>
              <w:rPr>
                <w:rFonts w:ascii="Arial Narrow" w:hAnsi="Arial Narrow" w:cs="Calibri"/>
                <w:sz w:val="16"/>
                <w:szCs w:val="16"/>
              </w:rPr>
            </w:pPr>
            <w:r w:rsidRPr="004A0B2E">
              <w:rPr>
                <w:rFonts w:ascii="Arial Narrow" w:hAnsi="Arial Narrow" w:cs="Calibri"/>
                <w:sz w:val="16"/>
                <w:szCs w:val="16"/>
              </w:rPr>
              <w:t>1 552,2</w:t>
            </w:r>
          </w:p>
        </w:tc>
      </w:tr>
      <w:tr w:rsidR="004A0B2E" w:rsidRPr="00B10684" w14:paraId="0EE5C8A9" w14:textId="77777777" w:rsidTr="005A18A5">
        <w:trPr>
          <w:trHeight w:val="183"/>
        </w:trPr>
        <w:tc>
          <w:tcPr>
            <w:tcW w:w="757" w:type="dxa"/>
            <w:tcBorders>
              <w:top w:val="nil"/>
              <w:left w:val="single" w:sz="4" w:space="0" w:color="auto"/>
              <w:bottom w:val="single" w:sz="4" w:space="0" w:color="auto"/>
              <w:right w:val="single" w:sz="4" w:space="0" w:color="auto"/>
            </w:tcBorders>
            <w:shd w:val="clear" w:color="auto" w:fill="auto"/>
            <w:noWrap/>
            <w:vAlign w:val="center"/>
            <w:hideMark/>
          </w:tcPr>
          <w:p w14:paraId="17BDF75C" w14:textId="77777777" w:rsidR="004A0B2E" w:rsidRPr="004A0B2E" w:rsidRDefault="004A0B2E" w:rsidP="004A0B2E">
            <w:pPr>
              <w:rPr>
                <w:rFonts w:ascii="Arial Narrow" w:hAnsi="Arial Narrow" w:cs="Calibri"/>
                <w:sz w:val="16"/>
                <w:szCs w:val="16"/>
              </w:rPr>
            </w:pPr>
            <w:r w:rsidRPr="004A0B2E">
              <w:rPr>
                <w:rFonts w:ascii="Arial Narrow" w:hAnsi="Arial Narrow" w:cs="Calibri"/>
                <w:sz w:val="16"/>
                <w:szCs w:val="16"/>
              </w:rPr>
              <w:t xml:space="preserve"> 02.1/1</w:t>
            </w:r>
          </w:p>
        </w:tc>
        <w:tc>
          <w:tcPr>
            <w:tcW w:w="5279" w:type="dxa"/>
            <w:tcBorders>
              <w:top w:val="nil"/>
              <w:left w:val="nil"/>
              <w:bottom w:val="single" w:sz="4" w:space="0" w:color="auto"/>
              <w:right w:val="single" w:sz="4" w:space="0" w:color="auto"/>
            </w:tcBorders>
            <w:shd w:val="clear" w:color="auto" w:fill="auto"/>
            <w:vAlign w:val="center"/>
            <w:hideMark/>
          </w:tcPr>
          <w:p w14:paraId="6DC74322" w14:textId="77777777" w:rsidR="004A0B2E" w:rsidRPr="004A0B2E" w:rsidRDefault="004A0B2E" w:rsidP="004A0B2E">
            <w:pPr>
              <w:ind w:firstLineChars="200" w:firstLine="320"/>
              <w:rPr>
                <w:rFonts w:ascii="Arial Narrow" w:hAnsi="Arial Narrow" w:cs="Calibri"/>
                <w:sz w:val="16"/>
                <w:szCs w:val="16"/>
              </w:rPr>
            </w:pPr>
            <w:r w:rsidRPr="004A0B2E">
              <w:rPr>
                <w:rFonts w:ascii="Arial Narrow" w:hAnsi="Arial Narrow" w:cs="Calibri"/>
                <w:sz w:val="16"/>
                <w:szCs w:val="16"/>
              </w:rPr>
              <w:t>Рапица и репица</w:t>
            </w:r>
          </w:p>
        </w:tc>
        <w:tc>
          <w:tcPr>
            <w:tcW w:w="957" w:type="dxa"/>
            <w:tcBorders>
              <w:top w:val="nil"/>
              <w:left w:val="nil"/>
              <w:bottom w:val="single" w:sz="4" w:space="0" w:color="auto"/>
              <w:right w:val="single" w:sz="4" w:space="0" w:color="auto"/>
            </w:tcBorders>
            <w:shd w:val="clear" w:color="auto" w:fill="auto"/>
            <w:vAlign w:val="center"/>
            <w:hideMark/>
          </w:tcPr>
          <w:p w14:paraId="106770D5" w14:textId="77777777" w:rsidR="004A0B2E" w:rsidRPr="004A0B2E" w:rsidRDefault="004A0B2E" w:rsidP="004A0B2E">
            <w:pPr>
              <w:jc w:val="right"/>
              <w:rPr>
                <w:rFonts w:ascii="Arial Narrow" w:hAnsi="Arial Narrow" w:cs="Calibri"/>
                <w:sz w:val="16"/>
                <w:szCs w:val="16"/>
              </w:rPr>
            </w:pPr>
            <w:r w:rsidRPr="004A0B2E">
              <w:rPr>
                <w:rFonts w:ascii="Arial Narrow" w:hAnsi="Arial Narrow" w:cs="Calibri"/>
                <w:sz w:val="16"/>
                <w:szCs w:val="16"/>
              </w:rPr>
              <w:t>340,4</w:t>
            </w:r>
          </w:p>
        </w:tc>
        <w:tc>
          <w:tcPr>
            <w:tcW w:w="1118" w:type="dxa"/>
            <w:tcBorders>
              <w:top w:val="nil"/>
              <w:left w:val="nil"/>
              <w:bottom w:val="single" w:sz="4" w:space="0" w:color="auto"/>
              <w:right w:val="single" w:sz="4" w:space="0" w:color="auto"/>
            </w:tcBorders>
            <w:shd w:val="clear" w:color="auto" w:fill="auto"/>
            <w:vAlign w:val="center"/>
            <w:hideMark/>
          </w:tcPr>
          <w:p w14:paraId="6B604A0F" w14:textId="77777777" w:rsidR="004A0B2E" w:rsidRPr="004A0B2E" w:rsidRDefault="004A0B2E" w:rsidP="004A0B2E">
            <w:pPr>
              <w:jc w:val="right"/>
              <w:rPr>
                <w:rFonts w:ascii="Arial Narrow" w:hAnsi="Arial Narrow" w:cs="Calibri"/>
                <w:sz w:val="16"/>
                <w:szCs w:val="16"/>
              </w:rPr>
            </w:pPr>
            <w:r w:rsidRPr="004A0B2E">
              <w:rPr>
                <w:rFonts w:ascii="Arial Narrow" w:hAnsi="Arial Narrow" w:cs="Calibri"/>
                <w:sz w:val="16"/>
                <w:szCs w:val="16"/>
              </w:rPr>
              <w:t>-53,5</w:t>
            </w:r>
          </w:p>
        </w:tc>
        <w:tc>
          <w:tcPr>
            <w:tcW w:w="957" w:type="dxa"/>
            <w:tcBorders>
              <w:top w:val="nil"/>
              <w:left w:val="nil"/>
              <w:bottom w:val="single" w:sz="4" w:space="0" w:color="auto"/>
              <w:right w:val="single" w:sz="4" w:space="0" w:color="auto"/>
            </w:tcBorders>
            <w:shd w:val="clear" w:color="auto" w:fill="auto"/>
            <w:vAlign w:val="center"/>
            <w:hideMark/>
          </w:tcPr>
          <w:p w14:paraId="68060181" w14:textId="77777777" w:rsidR="004A0B2E" w:rsidRPr="004A0B2E" w:rsidRDefault="004A0B2E" w:rsidP="004A0B2E">
            <w:pPr>
              <w:jc w:val="right"/>
              <w:rPr>
                <w:rFonts w:ascii="Arial Narrow" w:hAnsi="Arial Narrow" w:cs="Calibri"/>
                <w:sz w:val="16"/>
                <w:szCs w:val="16"/>
              </w:rPr>
            </w:pPr>
            <w:r w:rsidRPr="004A0B2E">
              <w:rPr>
                <w:rFonts w:ascii="Arial Narrow" w:hAnsi="Arial Narrow" w:cs="Calibri"/>
                <w:sz w:val="16"/>
                <w:szCs w:val="16"/>
              </w:rPr>
              <w:t>158,3</w:t>
            </w:r>
          </w:p>
        </w:tc>
        <w:tc>
          <w:tcPr>
            <w:tcW w:w="1256" w:type="dxa"/>
            <w:tcBorders>
              <w:top w:val="nil"/>
              <w:left w:val="nil"/>
              <w:bottom w:val="single" w:sz="4" w:space="0" w:color="auto"/>
              <w:right w:val="single" w:sz="4" w:space="0" w:color="auto"/>
            </w:tcBorders>
            <w:shd w:val="clear" w:color="auto" w:fill="auto"/>
            <w:vAlign w:val="center"/>
            <w:hideMark/>
          </w:tcPr>
          <w:p w14:paraId="4974ACF8" w14:textId="77777777" w:rsidR="004A0B2E" w:rsidRPr="004A0B2E" w:rsidRDefault="004A0B2E" w:rsidP="004A0B2E">
            <w:pPr>
              <w:jc w:val="right"/>
              <w:rPr>
                <w:rFonts w:ascii="Arial Narrow" w:hAnsi="Arial Narrow" w:cs="Calibri"/>
                <w:sz w:val="16"/>
                <w:szCs w:val="16"/>
              </w:rPr>
            </w:pPr>
            <w:r w:rsidRPr="004A0B2E">
              <w:rPr>
                <w:rFonts w:ascii="Arial Narrow" w:hAnsi="Arial Narrow" w:cs="Calibri"/>
                <w:sz w:val="16"/>
                <w:szCs w:val="16"/>
              </w:rPr>
              <w:t>-14,1</w:t>
            </w:r>
          </w:p>
        </w:tc>
        <w:tc>
          <w:tcPr>
            <w:tcW w:w="872" w:type="dxa"/>
            <w:tcBorders>
              <w:top w:val="nil"/>
              <w:left w:val="nil"/>
              <w:bottom w:val="single" w:sz="4" w:space="0" w:color="auto"/>
              <w:right w:val="single" w:sz="4" w:space="0" w:color="auto"/>
            </w:tcBorders>
            <w:shd w:val="clear" w:color="auto" w:fill="auto"/>
            <w:vAlign w:val="center"/>
            <w:hideMark/>
          </w:tcPr>
          <w:p w14:paraId="1C1C90A5" w14:textId="77777777" w:rsidR="004A0B2E" w:rsidRPr="004A0B2E" w:rsidRDefault="004A0B2E" w:rsidP="004A0B2E">
            <w:pPr>
              <w:jc w:val="right"/>
              <w:rPr>
                <w:rFonts w:ascii="Arial Narrow" w:hAnsi="Arial Narrow" w:cs="Calibri"/>
                <w:sz w:val="16"/>
                <w:szCs w:val="16"/>
              </w:rPr>
            </w:pPr>
            <w:r w:rsidRPr="004A0B2E">
              <w:rPr>
                <w:rFonts w:ascii="Arial Narrow" w:hAnsi="Arial Narrow" w:cs="Calibri"/>
                <w:sz w:val="16"/>
                <w:szCs w:val="16"/>
              </w:rPr>
              <w:t>136,0</w:t>
            </w:r>
          </w:p>
        </w:tc>
      </w:tr>
      <w:tr w:rsidR="004A0B2E" w:rsidRPr="00B10684" w14:paraId="39FAD264" w14:textId="77777777" w:rsidTr="005A18A5">
        <w:trPr>
          <w:trHeight w:val="183"/>
        </w:trPr>
        <w:tc>
          <w:tcPr>
            <w:tcW w:w="757" w:type="dxa"/>
            <w:tcBorders>
              <w:top w:val="nil"/>
              <w:left w:val="single" w:sz="4" w:space="0" w:color="auto"/>
              <w:bottom w:val="single" w:sz="4" w:space="0" w:color="auto"/>
              <w:right w:val="single" w:sz="4" w:space="0" w:color="auto"/>
            </w:tcBorders>
            <w:shd w:val="clear" w:color="auto" w:fill="auto"/>
            <w:noWrap/>
            <w:vAlign w:val="center"/>
            <w:hideMark/>
          </w:tcPr>
          <w:p w14:paraId="204FB025" w14:textId="77777777" w:rsidR="004A0B2E" w:rsidRPr="004A0B2E" w:rsidRDefault="004A0B2E" w:rsidP="004A0B2E">
            <w:pPr>
              <w:rPr>
                <w:rFonts w:ascii="Arial Narrow" w:hAnsi="Arial Narrow" w:cs="Calibri"/>
                <w:sz w:val="16"/>
                <w:szCs w:val="16"/>
              </w:rPr>
            </w:pPr>
            <w:r w:rsidRPr="004A0B2E">
              <w:rPr>
                <w:rFonts w:ascii="Arial Narrow" w:hAnsi="Arial Narrow" w:cs="Calibri"/>
                <w:sz w:val="16"/>
                <w:szCs w:val="16"/>
              </w:rPr>
              <w:t xml:space="preserve"> 02.1/2</w:t>
            </w:r>
          </w:p>
        </w:tc>
        <w:tc>
          <w:tcPr>
            <w:tcW w:w="5279" w:type="dxa"/>
            <w:tcBorders>
              <w:top w:val="nil"/>
              <w:left w:val="nil"/>
              <w:bottom w:val="single" w:sz="4" w:space="0" w:color="auto"/>
              <w:right w:val="single" w:sz="4" w:space="0" w:color="auto"/>
            </w:tcBorders>
            <w:shd w:val="clear" w:color="auto" w:fill="auto"/>
            <w:vAlign w:val="center"/>
            <w:hideMark/>
          </w:tcPr>
          <w:p w14:paraId="2C25507D" w14:textId="77777777" w:rsidR="004A0B2E" w:rsidRPr="004A0B2E" w:rsidRDefault="004A0B2E" w:rsidP="004A0B2E">
            <w:pPr>
              <w:ind w:firstLineChars="200" w:firstLine="320"/>
              <w:rPr>
                <w:rFonts w:ascii="Arial Narrow" w:hAnsi="Arial Narrow" w:cs="Calibri"/>
                <w:sz w:val="16"/>
                <w:szCs w:val="16"/>
              </w:rPr>
            </w:pPr>
            <w:r w:rsidRPr="004A0B2E">
              <w:rPr>
                <w:rFonts w:ascii="Arial Narrow" w:hAnsi="Arial Narrow" w:cs="Calibri"/>
                <w:sz w:val="16"/>
                <w:szCs w:val="16"/>
              </w:rPr>
              <w:t>Слънчоглед</w:t>
            </w:r>
          </w:p>
        </w:tc>
        <w:tc>
          <w:tcPr>
            <w:tcW w:w="957" w:type="dxa"/>
            <w:tcBorders>
              <w:top w:val="nil"/>
              <w:left w:val="nil"/>
              <w:bottom w:val="single" w:sz="4" w:space="0" w:color="auto"/>
              <w:right w:val="single" w:sz="4" w:space="0" w:color="auto"/>
            </w:tcBorders>
            <w:shd w:val="clear" w:color="auto" w:fill="auto"/>
            <w:vAlign w:val="center"/>
            <w:hideMark/>
          </w:tcPr>
          <w:p w14:paraId="2E8D851B" w14:textId="77777777" w:rsidR="004A0B2E" w:rsidRPr="004A0B2E" w:rsidRDefault="004A0B2E" w:rsidP="004A0B2E">
            <w:pPr>
              <w:jc w:val="right"/>
              <w:rPr>
                <w:rFonts w:ascii="Arial Narrow" w:hAnsi="Arial Narrow" w:cs="Calibri"/>
                <w:sz w:val="16"/>
                <w:szCs w:val="16"/>
              </w:rPr>
            </w:pPr>
            <w:r w:rsidRPr="004A0B2E">
              <w:rPr>
                <w:rFonts w:ascii="Arial Narrow" w:hAnsi="Arial Narrow" w:cs="Calibri"/>
                <w:sz w:val="16"/>
                <w:szCs w:val="16"/>
              </w:rPr>
              <w:t>2 429,0</w:t>
            </w:r>
          </w:p>
        </w:tc>
        <w:tc>
          <w:tcPr>
            <w:tcW w:w="1118" w:type="dxa"/>
            <w:tcBorders>
              <w:top w:val="nil"/>
              <w:left w:val="nil"/>
              <w:bottom w:val="single" w:sz="4" w:space="0" w:color="auto"/>
              <w:right w:val="single" w:sz="4" w:space="0" w:color="auto"/>
            </w:tcBorders>
            <w:shd w:val="clear" w:color="auto" w:fill="auto"/>
            <w:vAlign w:val="center"/>
            <w:hideMark/>
          </w:tcPr>
          <w:p w14:paraId="06383168" w14:textId="77777777" w:rsidR="004A0B2E" w:rsidRPr="004A0B2E" w:rsidRDefault="004A0B2E" w:rsidP="004A0B2E">
            <w:pPr>
              <w:jc w:val="right"/>
              <w:rPr>
                <w:rFonts w:ascii="Arial Narrow" w:hAnsi="Arial Narrow" w:cs="Calibri"/>
                <w:sz w:val="16"/>
                <w:szCs w:val="16"/>
              </w:rPr>
            </w:pPr>
            <w:r w:rsidRPr="004A0B2E">
              <w:rPr>
                <w:rFonts w:ascii="Arial Narrow" w:hAnsi="Arial Narrow" w:cs="Calibri"/>
                <w:sz w:val="16"/>
                <w:szCs w:val="16"/>
              </w:rPr>
              <w:t>-41,5</w:t>
            </w:r>
          </w:p>
        </w:tc>
        <w:tc>
          <w:tcPr>
            <w:tcW w:w="957" w:type="dxa"/>
            <w:tcBorders>
              <w:top w:val="nil"/>
              <w:left w:val="nil"/>
              <w:bottom w:val="single" w:sz="4" w:space="0" w:color="auto"/>
              <w:right w:val="single" w:sz="4" w:space="0" w:color="auto"/>
            </w:tcBorders>
            <w:shd w:val="clear" w:color="auto" w:fill="auto"/>
            <w:vAlign w:val="center"/>
            <w:hideMark/>
          </w:tcPr>
          <w:p w14:paraId="34CC1908" w14:textId="77777777" w:rsidR="004A0B2E" w:rsidRPr="004A0B2E" w:rsidRDefault="004A0B2E" w:rsidP="004A0B2E">
            <w:pPr>
              <w:jc w:val="right"/>
              <w:rPr>
                <w:rFonts w:ascii="Arial Narrow" w:hAnsi="Arial Narrow" w:cs="Calibri"/>
                <w:sz w:val="16"/>
                <w:szCs w:val="16"/>
              </w:rPr>
            </w:pPr>
            <w:r w:rsidRPr="004A0B2E">
              <w:rPr>
                <w:rFonts w:ascii="Arial Narrow" w:hAnsi="Arial Narrow" w:cs="Calibri"/>
                <w:sz w:val="16"/>
                <w:szCs w:val="16"/>
              </w:rPr>
              <w:t>1 420,3</w:t>
            </w:r>
          </w:p>
        </w:tc>
        <w:tc>
          <w:tcPr>
            <w:tcW w:w="1256" w:type="dxa"/>
            <w:tcBorders>
              <w:top w:val="nil"/>
              <w:left w:val="nil"/>
              <w:bottom w:val="single" w:sz="4" w:space="0" w:color="auto"/>
              <w:right w:val="single" w:sz="4" w:space="0" w:color="auto"/>
            </w:tcBorders>
            <w:shd w:val="clear" w:color="auto" w:fill="auto"/>
            <w:vAlign w:val="center"/>
            <w:hideMark/>
          </w:tcPr>
          <w:p w14:paraId="14E90EDE" w14:textId="77777777" w:rsidR="004A0B2E" w:rsidRPr="004A0B2E" w:rsidRDefault="004A0B2E" w:rsidP="004A0B2E">
            <w:pPr>
              <w:jc w:val="right"/>
              <w:rPr>
                <w:rFonts w:ascii="Arial Narrow" w:hAnsi="Arial Narrow" w:cs="Calibri"/>
                <w:sz w:val="16"/>
                <w:szCs w:val="16"/>
              </w:rPr>
            </w:pPr>
            <w:r w:rsidRPr="004A0B2E">
              <w:rPr>
                <w:rFonts w:ascii="Arial Narrow" w:hAnsi="Arial Narrow" w:cs="Calibri"/>
                <w:sz w:val="16"/>
                <w:szCs w:val="16"/>
              </w:rPr>
              <w:t>-1,0</w:t>
            </w:r>
          </w:p>
        </w:tc>
        <w:tc>
          <w:tcPr>
            <w:tcW w:w="872" w:type="dxa"/>
            <w:tcBorders>
              <w:top w:val="nil"/>
              <w:left w:val="nil"/>
              <w:bottom w:val="single" w:sz="4" w:space="0" w:color="auto"/>
              <w:right w:val="single" w:sz="4" w:space="0" w:color="auto"/>
            </w:tcBorders>
            <w:shd w:val="clear" w:color="auto" w:fill="auto"/>
            <w:vAlign w:val="center"/>
            <w:hideMark/>
          </w:tcPr>
          <w:p w14:paraId="4BEC0EA6" w14:textId="77777777" w:rsidR="004A0B2E" w:rsidRPr="004A0B2E" w:rsidRDefault="004A0B2E" w:rsidP="004A0B2E">
            <w:pPr>
              <w:jc w:val="right"/>
              <w:rPr>
                <w:rFonts w:ascii="Arial Narrow" w:hAnsi="Arial Narrow" w:cs="Calibri"/>
                <w:sz w:val="16"/>
                <w:szCs w:val="16"/>
              </w:rPr>
            </w:pPr>
            <w:r w:rsidRPr="004A0B2E">
              <w:rPr>
                <w:rFonts w:ascii="Arial Narrow" w:hAnsi="Arial Narrow" w:cs="Calibri"/>
                <w:sz w:val="16"/>
                <w:szCs w:val="16"/>
              </w:rPr>
              <w:t>1 405,5</w:t>
            </w:r>
          </w:p>
        </w:tc>
      </w:tr>
      <w:tr w:rsidR="004A0B2E" w:rsidRPr="00B10684" w14:paraId="4468805E" w14:textId="77777777" w:rsidTr="005A18A5">
        <w:trPr>
          <w:trHeight w:val="183"/>
        </w:trPr>
        <w:tc>
          <w:tcPr>
            <w:tcW w:w="757" w:type="dxa"/>
            <w:tcBorders>
              <w:top w:val="nil"/>
              <w:left w:val="single" w:sz="4" w:space="0" w:color="auto"/>
              <w:bottom w:val="single" w:sz="4" w:space="0" w:color="auto"/>
              <w:right w:val="single" w:sz="4" w:space="0" w:color="auto"/>
            </w:tcBorders>
            <w:shd w:val="clear" w:color="auto" w:fill="auto"/>
            <w:noWrap/>
            <w:vAlign w:val="center"/>
            <w:hideMark/>
          </w:tcPr>
          <w:p w14:paraId="6666293B" w14:textId="77777777" w:rsidR="004A0B2E" w:rsidRPr="004A0B2E" w:rsidRDefault="004A0B2E" w:rsidP="004A0B2E">
            <w:pPr>
              <w:rPr>
                <w:rFonts w:ascii="Arial Narrow" w:hAnsi="Arial Narrow" w:cs="Calibri"/>
                <w:sz w:val="16"/>
                <w:szCs w:val="16"/>
              </w:rPr>
            </w:pPr>
            <w:r w:rsidRPr="004A0B2E">
              <w:rPr>
                <w:rFonts w:ascii="Arial Narrow" w:hAnsi="Arial Narrow" w:cs="Calibri"/>
                <w:sz w:val="16"/>
                <w:szCs w:val="16"/>
              </w:rPr>
              <w:t xml:space="preserve"> 02.1/3</w:t>
            </w:r>
          </w:p>
        </w:tc>
        <w:tc>
          <w:tcPr>
            <w:tcW w:w="5279" w:type="dxa"/>
            <w:tcBorders>
              <w:top w:val="nil"/>
              <w:left w:val="nil"/>
              <w:bottom w:val="single" w:sz="4" w:space="0" w:color="auto"/>
              <w:right w:val="single" w:sz="4" w:space="0" w:color="auto"/>
            </w:tcBorders>
            <w:shd w:val="clear" w:color="auto" w:fill="auto"/>
            <w:vAlign w:val="center"/>
            <w:hideMark/>
          </w:tcPr>
          <w:p w14:paraId="7848B3A4" w14:textId="77777777" w:rsidR="004A0B2E" w:rsidRPr="004A0B2E" w:rsidRDefault="004A0B2E" w:rsidP="004A0B2E">
            <w:pPr>
              <w:ind w:firstLineChars="200" w:firstLine="320"/>
              <w:rPr>
                <w:rFonts w:ascii="Arial Narrow" w:hAnsi="Arial Narrow" w:cs="Calibri"/>
                <w:sz w:val="16"/>
                <w:szCs w:val="16"/>
              </w:rPr>
            </w:pPr>
            <w:r w:rsidRPr="004A0B2E">
              <w:rPr>
                <w:rFonts w:ascii="Arial Narrow" w:hAnsi="Arial Narrow" w:cs="Calibri"/>
                <w:sz w:val="16"/>
                <w:szCs w:val="16"/>
              </w:rPr>
              <w:t>Соя</w:t>
            </w:r>
          </w:p>
        </w:tc>
        <w:tc>
          <w:tcPr>
            <w:tcW w:w="957" w:type="dxa"/>
            <w:tcBorders>
              <w:top w:val="nil"/>
              <w:left w:val="nil"/>
              <w:bottom w:val="single" w:sz="4" w:space="0" w:color="auto"/>
              <w:right w:val="single" w:sz="4" w:space="0" w:color="auto"/>
            </w:tcBorders>
            <w:shd w:val="clear" w:color="auto" w:fill="auto"/>
            <w:vAlign w:val="center"/>
            <w:hideMark/>
          </w:tcPr>
          <w:p w14:paraId="18209A69" w14:textId="77777777" w:rsidR="004A0B2E" w:rsidRPr="004A0B2E" w:rsidRDefault="004A0B2E" w:rsidP="004A0B2E">
            <w:pPr>
              <w:jc w:val="right"/>
              <w:rPr>
                <w:rFonts w:ascii="Arial Narrow" w:hAnsi="Arial Narrow" w:cs="Calibri"/>
                <w:sz w:val="16"/>
                <w:szCs w:val="16"/>
              </w:rPr>
            </w:pPr>
            <w:r w:rsidRPr="004A0B2E">
              <w:rPr>
                <w:rFonts w:ascii="Arial Narrow" w:hAnsi="Arial Narrow" w:cs="Calibri"/>
                <w:sz w:val="16"/>
                <w:szCs w:val="16"/>
              </w:rPr>
              <w:t>12,9</w:t>
            </w:r>
          </w:p>
        </w:tc>
        <w:tc>
          <w:tcPr>
            <w:tcW w:w="1118" w:type="dxa"/>
            <w:tcBorders>
              <w:top w:val="nil"/>
              <w:left w:val="nil"/>
              <w:bottom w:val="single" w:sz="4" w:space="0" w:color="auto"/>
              <w:right w:val="single" w:sz="4" w:space="0" w:color="auto"/>
            </w:tcBorders>
            <w:shd w:val="clear" w:color="auto" w:fill="auto"/>
            <w:vAlign w:val="center"/>
            <w:hideMark/>
          </w:tcPr>
          <w:p w14:paraId="35D05D20" w14:textId="77777777" w:rsidR="004A0B2E" w:rsidRPr="004A0B2E" w:rsidRDefault="004A0B2E" w:rsidP="004A0B2E">
            <w:pPr>
              <w:jc w:val="right"/>
              <w:rPr>
                <w:rFonts w:ascii="Arial Narrow" w:hAnsi="Arial Narrow" w:cs="Calibri"/>
                <w:sz w:val="16"/>
                <w:szCs w:val="16"/>
              </w:rPr>
            </w:pPr>
            <w:r w:rsidRPr="004A0B2E">
              <w:rPr>
                <w:rFonts w:ascii="Arial Narrow" w:hAnsi="Arial Narrow" w:cs="Calibri"/>
                <w:sz w:val="16"/>
                <w:szCs w:val="16"/>
              </w:rPr>
              <w:t>-51,2</w:t>
            </w:r>
          </w:p>
        </w:tc>
        <w:tc>
          <w:tcPr>
            <w:tcW w:w="957" w:type="dxa"/>
            <w:tcBorders>
              <w:top w:val="nil"/>
              <w:left w:val="nil"/>
              <w:bottom w:val="single" w:sz="4" w:space="0" w:color="auto"/>
              <w:right w:val="single" w:sz="4" w:space="0" w:color="auto"/>
            </w:tcBorders>
            <w:shd w:val="clear" w:color="auto" w:fill="auto"/>
            <w:vAlign w:val="center"/>
            <w:hideMark/>
          </w:tcPr>
          <w:p w14:paraId="15916A32" w14:textId="77777777" w:rsidR="004A0B2E" w:rsidRPr="004A0B2E" w:rsidRDefault="004A0B2E" w:rsidP="004A0B2E">
            <w:pPr>
              <w:jc w:val="right"/>
              <w:rPr>
                <w:rFonts w:ascii="Arial Narrow" w:hAnsi="Arial Narrow" w:cs="Calibri"/>
                <w:sz w:val="16"/>
                <w:szCs w:val="16"/>
              </w:rPr>
            </w:pPr>
            <w:r w:rsidRPr="004A0B2E">
              <w:rPr>
                <w:rFonts w:ascii="Arial Narrow" w:hAnsi="Arial Narrow" w:cs="Calibri"/>
                <w:sz w:val="16"/>
                <w:szCs w:val="16"/>
              </w:rPr>
              <w:t>6,3</w:t>
            </w:r>
          </w:p>
        </w:tc>
        <w:tc>
          <w:tcPr>
            <w:tcW w:w="1256" w:type="dxa"/>
            <w:tcBorders>
              <w:top w:val="nil"/>
              <w:left w:val="nil"/>
              <w:bottom w:val="single" w:sz="4" w:space="0" w:color="auto"/>
              <w:right w:val="single" w:sz="4" w:space="0" w:color="auto"/>
            </w:tcBorders>
            <w:shd w:val="clear" w:color="auto" w:fill="auto"/>
            <w:vAlign w:val="center"/>
            <w:hideMark/>
          </w:tcPr>
          <w:p w14:paraId="06A3C447" w14:textId="77777777" w:rsidR="004A0B2E" w:rsidRPr="004A0B2E" w:rsidRDefault="004A0B2E" w:rsidP="004A0B2E">
            <w:pPr>
              <w:jc w:val="right"/>
              <w:rPr>
                <w:rFonts w:ascii="Arial Narrow" w:hAnsi="Arial Narrow" w:cs="Calibri"/>
                <w:sz w:val="16"/>
                <w:szCs w:val="16"/>
              </w:rPr>
            </w:pPr>
            <w:r w:rsidRPr="004A0B2E">
              <w:rPr>
                <w:rFonts w:ascii="Arial Narrow" w:hAnsi="Arial Narrow" w:cs="Calibri"/>
                <w:sz w:val="16"/>
                <w:szCs w:val="16"/>
              </w:rPr>
              <w:t>-90,5</w:t>
            </w:r>
          </w:p>
        </w:tc>
        <w:tc>
          <w:tcPr>
            <w:tcW w:w="872" w:type="dxa"/>
            <w:tcBorders>
              <w:top w:val="nil"/>
              <w:left w:val="nil"/>
              <w:bottom w:val="single" w:sz="4" w:space="0" w:color="auto"/>
              <w:right w:val="single" w:sz="4" w:space="0" w:color="auto"/>
            </w:tcBorders>
            <w:shd w:val="clear" w:color="auto" w:fill="auto"/>
            <w:vAlign w:val="center"/>
            <w:hideMark/>
          </w:tcPr>
          <w:p w14:paraId="53AD8F8A" w14:textId="77777777" w:rsidR="004A0B2E" w:rsidRPr="004A0B2E" w:rsidRDefault="004A0B2E" w:rsidP="004A0B2E">
            <w:pPr>
              <w:jc w:val="right"/>
              <w:rPr>
                <w:rFonts w:ascii="Arial Narrow" w:hAnsi="Arial Narrow" w:cs="Calibri"/>
                <w:sz w:val="16"/>
                <w:szCs w:val="16"/>
              </w:rPr>
            </w:pPr>
            <w:r w:rsidRPr="004A0B2E">
              <w:rPr>
                <w:rFonts w:ascii="Arial Narrow" w:hAnsi="Arial Narrow" w:cs="Calibri"/>
                <w:sz w:val="16"/>
                <w:szCs w:val="16"/>
              </w:rPr>
              <w:t>0,6</w:t>
            </w:r>
          </w:p>
        </w:tc>
      </w:tr>
      <w:tr w:rsidR="004A0B2E" w:rsidRPr="00B10684" w14:paraId="259A1760" w14:textId="77777777" w:rsidTr="005A18A5">
        <w:trPr>
          <w:trHeight w:val="183"/>
        </w:trPr>
        <w:tc>
          <w:tcPr>
            <w:tcW w:w="757" w:type="dxa"/>
            <w:tcBorders>
              <w:top w:val="nil"/>
              <w:left w:val="single" w:sz="4" w:space="0" w:color="auto"/>
              <w:bottom w:val="single" w:sz="4" w:space="0" w:color="auto"/>
              <w:right w:val="single" w:sz="4" w:space="0" w:color="auto"/>
            </w:tcBorders>
            <w:shd w:val="clear" w:color="auto" w:fill="auto"/>
            <w:noWrap/>
            <w:vAlign w:val="center"/>
            <w:hideMark/>
          </w:tcPr>
          <w:p w14:paraId="78116AD0" w14:textId="77777777" w:rsidR="004A0B2E" w:rsidRPr="004A0B2E" w:rsidRDefault="004A0B2E" w:rsidP="004A0B2E">
            <w:pPr>
              <w:rPr>
                <w:rFonts w:ascii="Arial Narrow" w:hAnsi="Arial Narrow" w:cs="Calibri"/>
                <w:sz w:val="16"/>
                <w:szCs w:val="16"/>
              </w:rPr>
            </w:pPr>
            <w:r w:rsidRPr="004A0B2E">
              <w:rPr>
                <w:rFonts w:ascii="Arial Narrow" w:hAnsi="Arial Narrow" w:cs="Calibri"/>
                <w:sz w:val="16"/>
                <w:szCs w:val="16"/>
              </w:rPr>
              <w:t xml:space="preserve"> 02.1/4</w:t>
            </w:r>
          </w:p>
        </w:tc>
        <w:tc>
          <w:tcPr>
            <w:tcW w:w="5279" w:type="dxa"/>
            <w:tcBorders>
              <w:top w:val="nil"/>
              <w:left w:val="nil"/>
              <w:bottom w:val="single" w:sz="4" w:space="0" w:color="auto"/>
              <w:right w:val="single" w:sz="4" w:space="0" w:color="auto"/>
            </w:tcBorders>
            <w:shd w:val="clear" w:color="auto" w:fill="auto"/>
            <w:vAlign w:val="center"/>
            <w:hideMark/>
          </w:tcPr>
          <w:p w14:paraId="4F3BB781" w14:textId="77777777" w:rsidR="004A0B2E" w:rsidRPr="00CD44F3" w:rsidRDefault="004A0B2E" w:rsidP="004A0B2E">
            <w:pPr>
              <w:ind w:firstLineChars="200" w:firstLine="320"/>
              <w:rPr>
                <w:rFonts w:ascii="Arial Narrow" w:hAnsi="Arial Narrow" w:cs="Calibri"/>
                <w:sz w:val="16"/>
                <w:szCs w:val="16"/>
                <w:lang w:val="bg-BG"/>
              </w:rPr>
            </w:pPr>
            <w:r w:rsidRPr="004A0B2E">
              <w:rPr>
                <w:rFonts w:ascii="Arial Narrow" w:hAnsi="Arial Narrow" w:cs="Calibri"/>
                <w:sz w:val="16"/>
                <w:szCs w:val="16"/>
              </w:rPr>
              <w:t>Други маслодайни</w:t>
            </w:r>
            <w:r w:rsidR="008E26A1">
              <w:rPr>
                <w:rFonts w:ascii="Arial Narrow" w:hAnsi="Arial Narrow" w:cs="Calibri"/>
                <w:sz w:val="16"/>
                <w:szCs w:val="16"/>
                <w:lang w:val="bg-BG"/>
              </w:rPr>
              <w:t xml:space="preserve"> култури</w:t>
            </w:r>
          </w:p>
        </w:tc>
        <w:tc>
          <w:tcPr>
            <w:tcW w:w="957" w:type="dxa"/>
            <w:tcBorders>
              <w:top w:val="nil"/>
              <w:left w:val="nil"/>
              <w:bottom w:val="single" w:sz="4" w:space="0" w:color="auto"/>
              <w:right w:val="single" w:sz="4" w:space="0" w:color="auto"/>
            </w:tcBorders>
            <w:shd w:val="clear" w:color="auto" w:fill="auto"/>
            <w:vAlign w:val="center"/>
            <w:hideMark/>
          </w:tcPr>
          <w:p w14:paraId="40FBB923" w14:textId="77777777" w:rsidR="004A0B2E" w:rsidRPr="004A0B2E" w:rsidRDefault="004A0B2E" w:rsidP="004A0B2E">
            <w:pPr>
              <w:jc w:val="right"/>
              <w:rPr>
                <w:rFonts w:ascii="Arial Narrow" w:hAnsi="Arial Narrow" w:cs="Calibri"/>
                <w:sz w:val="16"/>
                <w:szCs w:val="16"/>
              </w:rPr>
            </w:pPr>
            <w:r w:rsidRPr="004A0B2E">
              <w:rPr>
                <w:rFonts w:ascii="Arial Narrow" w:hAnsi="Arial Narrow" w:cs="Calibri"/>
                <w:sz w:val="16"/>
                <w:szCs w:val="16"/>
              </w:rPr>
              <w:t>2,5</w:t>
            </w:r>
          </w:p>
        </w:tc>
        <w:tc>
          <w:tcPr>
            <w:tcW w:w="1118" w:type="dxa"/>
            <w:tcBorders>
              <w:top w:val="nil"/>
              <w:left w:val="nil"/>
              <w:bottom w:val="single" w:sz="4" w:space="0" w:color="auto"/>
              <w:right w:val="single" w:sz="4" w:space="0" w:color="auto"/>
            </w:tcBorders>
            <w:shd w:val="clear" w:color="auto" w:fill="auto"/>
            <w:vAlign w:val="center"/>
            <w:hideMark/>
          </w:tcPr>
          <w:p w14:paraId="13FA556D" w14:textId="77777777" w:rsidR="004A0B2E" w:rsidRPr="004A0B2E" w:rsidRDefault="004A0B2E" w:rsidP="004A0B2E">
            <w:pPr>
              <w:jc w:val="right"/>
              <w:rPr>
                <w:rFonts w:ascii="Arial Narrow" w:hAnsi="Arial Narrow" w:cs="Calibri"/>
                <w:sz w:val="16"/>
                <w:szCs w:val="16"/>
              </w:rPr>
            </w:pPr>
            <w:r w:rsidRPr="004A0B2E">
              <w:rPr>
                <w:rFonts w:ascii="Arial Narrow" w:hAnsi="Arial Narrow" w:cs="Calibri"/>
                <w:sz w:val="16"/>
                <w:szCs w:val="16"/>
              </w:rPr>
              <w:t>284,0</w:t>
            </w:r>
          </w:p>
        </w:tc>
        <w:tc>
          <w:tcPr>
            <w:tcW w:w="957" w:type="dxa"/>
            <w:tcBorders>
              <w:top w:val="nil"/>
              <w:left w:val="nil"/>
              <w:bottom w:val="single" w:sz="4" w:space="0" w:color="auto"/>
              <w:right w:val="single" w:sz="4" w:space="0" w:color="auto"/>
            </w:tcBorders>
            <w:shd w:val="clear" w:color="auto" w:fill="auto"/>
            <w:vAlign w:val="center"/>
            <w:hideMark/>
          </w:tcPr>
          <w:p w14:paraId="05ABE4AF" w14:textId="77777777" w:rsidR="004A0B2E" w:rsidRPr="004A0B2E" w:rsidRDefault="004A0B2E" w:rsidP="004A0B2E">
            <w:pPr>
              <w:jc w:val="right"/>
              <w:rPr>
                <w:rFonts w:ascii="Arial Narrow" w:hAnsi="Arial Narrow" w:cs="Calibri"/>
                <w:sz w:val="16"/>
                <w:szCs w:val="16"/>
              </w:rPr>
            </w:pPr>
            <w:r w:rsidRPr="004A0B2E">
              <w:rPr>
                <w:rFonts w:ascii="Arial Narrow" w:hAnsi="Arial Narrow" w:cs="Calibri"/>
                <w:sz w:val="16"/>
                <w:szCs w:val="16"/>
              </w:rPr>
              <w:t>9,6</w:t>
            </w:r>
          </w:p>
        </w:tc>
        <w:tc>
          <w:tcPr>
            <w:tcW w:w="1256" w:type="dxa"/>
            <w:tcBorders>
              <w:top w:val="nil"/>
              <w:left w:val="nil"/>
              <w:bottom w:val="single" w:sz="4" w:space="0" w:color="auto"/>
              <w:right w:val="single" w:sz="4" w:space="0" w:color="auto"/>
            </w:tcBorders>
            <w:shd w:val="clear" w:color="auto" w:fill="auto"/>
            <w:vAlign w:val="center"/>
            <w:hideMark/>
          </w:tcPr>
          <w:p w14:paraId="2E70B5E3" w14:textId="77777777" w:rsidR="004A0B2E" w:rsidRPr="004A0B2E" w:rsidRDefault="004A0B2E" w:rsidP="004A0B2E">
            <w:pPr>
              <w:jc w:val="right"/>
              <w:rPr>
                <w:rFonts w:ascii="Arial Narrow" w:hAnsi="Arial Narrow" w:cs="Calibri"/>
                <w:sz w:val="16"/>
                <w:szCs w:val="16"/>
              </w:rPr>
            </w:pPr>
            <w:r w:rsidRPr="004A0B2E">
              <w:rPr>
                <w:rFonts w:ascii="Arial Narrow" w:hAnsi="Arial Narrow" w:cs="Calibri"/>
                <w:sz w:val="16"/>
                <w:szCs w:val="16"/>
              </w:rPr>
              <w:t>5,2</w:t>
            </w:r>
          </w:p>
        </w:tc>
        <w:tc>
          <w:tcPr>
            <w:tcW w:w="872" w:type="dxa"/>
            <w:tcBorders>
              <w:top w:val="nil"/>
              <w:left w:val="nil"/>
              <w:bottom w:val="single" w:sz="4" w:space="0" w:color="auto"/>
              <w:right w:val="single" w:sz="4" w:space="0" w:color="auto"/>
            </w:tcBorders>
            <w:shd w:val="clear" w:color="auto" w:fill="auto"/>
            <w:vAlign w:val="center"/>
            <w:hideMark/>
          </w:tcPr>
          <w:p w14:paraId="34FE94AA" w14:textId="77777777" w:rsidR="004A0B2E" w:rsidRPr="004A0B2E" w:rsidRDefault="004A0B2E" w:rsidP="004A0B2E">
            <w:pPr>
              <w:jc w:val="right"/>
              <w:rPr>
                <w:rFonts w:ascii="Arial Narrow" w:hAnsi="Arial Narrow" w:cs="Calibri"/>
                <w:sz w:val="16"/>
                <w:szCs w:val="16"/>
              </w:rPr>
            </w:pPr>
            <w:r w:rsidRPr="004A0B2E">
              <w:rPr>
                <w:rFonts w:ascii="Arial Narrow" w:hAnsi="Arial Narrow" w:cs="Calibri"/>
                <w:sz w:val="16"/>
                <w:szCs w:val="16"/>
              </w:rPr>
              <w:t>10,1</w:t>
            </w:r>
          </w:p>
        </w:tc>
      </w:tr>
      <w:tr w:rsidR="004A0B2E" w:rsidRPr="00B10684" w14:paraId="1097D9A0" w14:textId="77777777" w:rsidTr="005A18A5">
        <w:trPr>
          <w:trHeight w:val="183"/>
        </w:trPr>
        <w:tc>
          <w:tcPr>
            <w:tcW w:w="757" w:type="dxa"/>
            <w:tcBorders>
              <w:top w:val="nil"/>
              <w:left w:val="single" w:sz="4" w:space="0" w:color="auto"/>
              <w:bottom w:val="single" w:sz="4" w:space="0" w:color="auto"/>
              <w:right w:val="single" w:sz="4" w:space="0" w:color="auto"/>
            </w:tcBorders>
            <w:shd w:val="clear" w:color="auto" w:fill="auto"/>
            <w:noWrap/>
            <w:vAlign w:val="center"/>
            <w:hideMark/>
          </w:tcPr>
          <w:p w14:paraId="237F7AA5" w14:textId="77777777" w:rsidR="004A0B2E" w:rsidRPr="004A0B2E" w:rsidRDefault="004A0B2E" w:rsidP="004A0B2E">
            <w:pPr>
              <w:rPr>
                <w:rFonts w:ascii="Arial Narrow" w:hAnsi="Arial Narrow" w:cs="Calibri"/>
                <w:sz w:val="16"/>
                <w:szCs w:val="16"/>
              </w:rPr>
            </w:pPr>
            <w:r w:rsidRPr="004A0B2E">
              <w:rPr>
                <w:rFonts w:ascii="Arial Narrow" w:hAnsi="Arial Narrow" w:cs="Calibri"/>
                <w:sz w:val="16"/>
                <w:szCs w:val="16"/>
              </w:rPr>
              <w:t xml:space="preserve"> 02.2</w:t>
            </w:r>
          </w:p>
        </w:tc>
        <w:tc>
          <w:tcPr>
            <w:tcW w:w="5279" w:type="dxa"/>
            <w:tcBorders>
              <w:top w:val="nil"/>
              <w:left w:val="nil"/>
              <w:bottom w:val="single" w:sz="4" w:space="0" w:color="auto"/>
              <w:right w:val="single" w:sz="4" w:space="0" w:color="auto"/>
            </w:tcBorders>
            <w:shd w:val="clear" w:color="auto" w:fill="auto"/>
            <w:vAlign w:val="center"/>
            <w:hideMark/>
          </w:tcPr>
          <w:p w14:paraId="6C90CB54" w14:textId="77777777" w:rsidR="004A0B2E" w:rsidRPr="004A0B2E" w:rsidRDefault="004A0B2E" w:rsidP="004A0B2E">
            <w:pPr>
              <w:ind w:firstLineChars="100" w:firstLine="160"/>
              <w:rPr>
                <w:rFonts w:ascii="Arial Narrow" w:hAnsi="Arial Narrow" w:cs="Calibri"/>
                <w:sz w:val="16"/>
                <w:szCs w:val="16"/>
              </w:rPr>
            </w:pPr>
            <w:r w:rsidRPr="004A0B2E">
              <w:rPr>
                <w:rFonts w:ascii="Arial Narrow" w:hAnsi="Arial Narrow" w:cs="Calibri"/>
                <w:sz w:val="16"/>
                <w:szCs w:val="16"/>
              </w:rPr>
              <w:t>Протеинодайни култури</w:t>
            </w:r>
          </w:p>
        </w:tc>
        <w:tc>
          <w:tcPr>
            <w:tcW w:w="957" w:type="dxa"/>
            <w:tcBorders>
              <w:top w:val="nil"/>
              <w:left w:val="nil"/>
              <w:bottom w:val="single" w:sz="4" w:space="0" w:color="auto"/>
              <w:right w:val="single" w:sz="4" w:space="0" w:color="auto"/>
            </w:tcBorders>
            <w:shd w:val="clear" w:color="auto" w:fill="auto"/>
            <w:vAlign w:val="center"/>
            <w:hideMark/>
          </w:tcPr>
          <w:p w14:paraId="09D548FC" w14:textId="77777777" w:rsidR="004A0B2E" w:rsidRPr="004A0B2E" w:rsidRDefault="004A0B2E" w:rsidP="004A0B2E">
            <w:pPr>
              <w:jc w:val="right"/>
              <w:rPr>
                <w:rFonts w:ascii="Arial Narrow" w:hAnsi="Arial Narrow" w:cs="Calibri"/>
                <w:sz w:val="16"/>
                <w:szCs w:val="16"/>
              </w:rPr>
            </w:pPr>
            <w:r w:rsidRPr="004A0B2E">
              <w:rPr>
                <w:rFonts w:ascii="Arial Narrow" w:hAnsi="Arial Narrow" w:cs="Calibri"/>
                <w:sz w:val="16"/>
                <w:szCs w:val="16"/>
              </w:rPr>
              <w:t>28,9</w:t>
            </w:r>
          </w:p>
        </w:tc>
        <w:tc>
          <w:tcPr>
            <w:tcW w:w="1118" w:type="dxa"/>
            <w:tcBorders>
              <w:top w:val="nil"/>
              <w:left w:val="nil"/>
              <w:bottom w:val="single" w:sz="4" w:space="0" w:color="auto"/>
              <w:right w:val="single" w:sz="4" w:space="0" w:color="auto"/>
            </w:tcBorders>
            <w:shd w:val="clear" w:color="auto" w:fill="auto"/>
            <w:vAlign w:val="center"/>
            <w:hideMark/>
          </w:tcPr>
          <w:p w14:paraId="565D9B93" w14:textId="77777777" w:rsidR="004A0B2E" w:rsidRPr="004A0B2E" w:rsidRDefault="004A0B2E" w:rsidP="004A0B2E">
            <w:pPr>
              <w:jc w:val="right"/>
              <w:rPr>
                <w:rFonts w:ascii="Arial Narrow" w:hAnsi="Arial Narrow" w:cs="Calibri"/>
                <w:sz w:val="16"/>
                <w:szCs w:val="16"/>
              </w:rPr>
            </w:pPr>
            <w:r w:rsidRPr="004A0B2E">
              <w:rPr>
                <w:rFonts w:ascii="Arial Narrow" w:hAnsi="Arial Narrow" w:cs="Calibri"/>
                <w:sz w:val="16"/>
                <w:szCs w:val="16"/>
              </w:rPr>
              <w:t>-6,2</w:t>
            </w:r>
          </w:p>
        </w:tc>
        <w:tc>
          <w:tcPr>
            <w:tcW w:w="957" w:type="dxa"/>
            <w:tcBorders>
              <w:top w:val="nil"/>
              <w:left w:val="nil"/>
              <w:bottom w:val="single" w:sz="4" w:space="0" w:color="auto"/>
              <w:right w:val="single" w:sz="4" w:space="0" w:color="auto"/>
            </w:tcBorders>
            <w:shd w:val="clear" w:color="auto" w:fill="auto"/>
            <w:vAlign w:val="center"/>
            <w:hideMark/>
          </w:tcPr>
          <w:p w14:paraId="602640CD" w14:textId="77777777" w:rsidR="004A0B2E" w:rsidRPr="004A0B2E" w:rsidRDefault="004A0B2E" w:rsidP="004A0B2E">
            <w:pPr>
              <w:jc w:val="right"/>
              <w:rPr>
                <w:rFonts w:ascii="Arial Narrow" w:hAnsi="Arial Narrow" w:cs="Calibri"/>
                <w:sz w:val="16"/>
                <w:szCs w:val="16"/>
              </w:rPr>
            </w:pPr>
            <w:r w:rsidRPr="004A0B2E">
              <w:rPr>
                <w:rFonts w:ascii="Arial Narrow" w:hAnsi="Arial Narrow" w:cs="Calibri"/>
                <w:sz w:val="16"/>
                <w:szCs w:val="16"/>
              </w:rPr>
              <w:t>27,1</w:t>
            </w:r>
          </w:p>
        </w:tc>
        <w:tc>
          <w:tcPr>
            <w:tcW w:w="1256" w:type="dxa"/>
            <w:tcBorders>
              <w:top w:val="nil"/>
              <w:left w:val="nil"/>
              <w:bottom w:val="single" w:sz="4" w:space="0" w:color="auto"/>
              <w:right w:val="single" w:sz="4" w:space="0" w:color="auto"/>
            </w:tcBorders>
            <w:shd w:val="clear" w:color="auto" w:fill="auto"/>
            <w:vAlign w:val="center"/>
            <w:hideMark/>
          </w:tcPr>
          <w:p w14:paraId="3690CF9D" w14:textId="77777777" w:rsidR="004A0B2E" w:rsidRPr="004A0B2E" w:rsidRDefault="004A0B2E" w:rsidP="004A0B2E">
            <w:pPr>
              <w:jc w:val="right"/>
              <w:rPr>
                <w:rFonts w:ascii="Arial Narrow" w:hAnsi="Arial Narrow" w:cs="Calibri"/>
                <w:sz w:val="16"/>
                <w:szCs w:val="16"/>
              </w:rPr>
            </w:pPr>
            <w:r w:rsidRPr="004A0B2E">
              <w:rPr>
                <w:rFonts w:ascii="Arial Narrow" w:hAnsi="Arial Narrow" w:cs="Calibri"/>
                <w:sz w:val="16"/>
                <w:szCs w:val="16"/>
              </w:rPr>
              <w:t>41,7</w:t>
            </w:r>
          </w:p>
        </w:tc>
        <w:tc>
          <w:tcPr>
            <w:tcW w:w="872" w:type="dxa"/>
            <w:tcBorders>
              <w:top w:val="nil"/>
              <w:left w:val="nil"/>
              <w:bottom w:val="single" w:sz="4" w:space="0" w:color="auto"/>
              <w:right w:val="single" w:sz="4" w:space="0" w:color="auto"/>
            </w:tcBorders>
            <w:shd w:val="clear" w:color="auto" w:fill="auto"/>
            <w:vAlign w:val="center"/>
            <w:hideMark/>
          </w:tcPr>
          <w:p w14:paraId="6C799D63" w14:textId="77777777" w:rsidR="004A0B2E" w:rsidRPr="004A0B2E" w:rsidRDefault="004A0B2E" w:rsidP="004A0B2E">
            <w:pPr>
              <w:jc w:val="right"/>
              <w:rPr>
                <w:rFonts w:ascii="Arial Narrow" w:hAnsi="Arial Narrow" w:cs="Calibri"/>
                <w:sz w:val="16"/>
                <w:szCs w:val="16"/>
              </w:rPr>
            </w:pPr>
            <w:r w:rsidRPr="004A0B2E">
              <w:rPr>
                <w:rFonts w:ascii="Arial Narrow" w:hAnsi="Arial Narrow" w:cs="Calibri"/>
                <w:sz w:val="16"/>
                <w:szCs w:val="16"/>
              </w:rPr>
              <w:t>38,4</w:t>
            </w:r>
          </w:p>
        </w:tc>
      </w:tr>
      <w:tr w:rsidR="004A0B2E" w:rsidRPr="00B10684" w14:paraId="13A65D98" w14:textId="77777777" w:rsidTr="005A18A5">
        <w:trPr>
          <w:trHeight w:val="183"/>
        </w:trPr>
        <w:tc>
          <w:tcPr>
            <w:tcW w:w="757" w:type="dxa"/>
            <w:tcBorders>
              <w:top w:val="nil"/>
              <w:left w:val="single" w:sz="4" w:space="0" w:color="auto"/>
              <w:bottom w:val="single" w:sz="4" w:space="0" w:color="auto"/>
              <w:right w:val="single" w:sz="4" w:space="0" w:color="auto"/>
            </w:tcBorders>
            <w:shd w:val="clear" w:color="auto" w:fill="auto"/>
            <w:noWrap/>
            <w:vAlign w:val="center"/>
            <w:hideMark/>
          </w:tcPr>
          <w:p w14:paraId="2C848FF1" w14:textId="77777777" w:rsidR="004A0B2E" w:rsidRPr="004A0B2E" w:rsidRDefault="004A0B2E" w:rsidP="004A0B2E">
            <w:pPr>
              <w:rPr>
                <w:rFonts w:ascii="Arial Narrow" w:hAnsi="Arial Narrow" w:cs="Calibri"/>
                <w:sz w:val="16"/>
                <w:szCs w:val="16"/>
              </w:rPr>
            </w:pPr>
            <w:r w:rsidRPr="004A0B2E">
              <w:rPr>
                <w:rFonts w:ascii="Arial Narrow" w:hAnsi="Arial Narrow" w:cs="Calibri"/>
                <w:sz w:val="16"/>
                <w:szCs w:val="16"/>
              </w:rPr>
              <w:t xml:space="preserve"> 02.3</w:t>
            </w:r>
          </w:p>
        </w:tc>
        <w:tc>
          <w:tcPr>
            <w:tcW w:w="5279" w:type="dxa"/>
            <w:tcBorders>
              <w:top w:val="nil"/>
              <w:left w:val="nil"/>
              <w:bottom w:val="single" w:sz="4" w:space="0" w:color="auto"/>
              <w:right w:val="single" w:sz="4" w:space="0" w:color="auto"/>
            </w:tcBorders>
            <w:shd w:val="clear" w:color="auto" w:fill="auto"/>
            <w:vAlign w:val="center"/>
            <w:hideMark/>
          </w:tcPr>
          <w:p w14:paraId="7492C898" w14:textId="77777777" w:rsidR="004A0B2E" w:rsidRPr="004A0B2E" w:rsidRDefault="004A0B2E" w:rsidP="004A0B2E">
            <w:pPr>
              <w:ind w:firstLineChars="100" w:firstLine="160"/>
              <w:rPr>
                <w:rFonts w:ascii="Arial Narrow" w:hAnsi="Arial Narrow" w:cs="Calibri"/>
                <w:sz w:val="16"/>
                <w:szCs w:val="16"/>
              </w:rPr>
            </w:pPr>
            <w:r w:rsidRPr="004A0B2E">
              <w:rPr>
                <w:rFonts w:ascii="Arial Narrow" w:hAnsi="Arial Narrow" w:cs="Calibri"/>
                <w:sz w:val="16"/>
                <w:szCs w:val="16"/>
              </w:rPr>
              <w:t>Тютюн</w:t>
            </w:r>
          </w:p>
        </w:tc>
        <w:tc>
          <w:tcPr>
            <w:tcW w:w="957" w:type="dxa"/>
            <w:tcBorders>
              <w:top w:val="nil"/>
              <w:left w:val="nil"/>
              <w:bottom w:val="single" w:sz="4" w:space="0" w:color="auto"/>
              <w:right w:val="single" w:sz="4" w:space="0" w:color="auto"/>
            </w:tcBorders>
            <w:shd w:val="clear" w:color="auto" w:fill="auto"/>
            <w:vAlign w:val="center"/>
            <w:hideMark/>
          </w:tcPr>
          <w:p w14:paraId="3E266A54" w14:textId="77777777" w:rsidR="004A0B2E" w:rsidRPr="004A0B2E" w:rsidRDefault="004A0B2E" w:rsidP="004A0B2E">
            <w:pPr>
              <w:jc w:val="right"/>
              <w:rPr>
                <w:rFonts w:ascii="Arial Narrow" w:hAnsi="Arial Narrow" w:cs="Calibri"/>
                <w:sz w:val="16"/>
                <w:szCs w:val="16"/>
              </w:rPr>
            </w:pPr>
            <w:r w:rsidRPr="004A0B2E">
              <w:rPr>
                <w:rFonts w:ascii="Arial Narrow" w:hAnsi="Arial Narrow" w:cs="Calibri"/>
                <w:sz w:val="16"/>
                <w:szCs w:val="16"/>
              </w:rPr>
              <w:t>26,2</w:t>
            </w:r>
          </w:p>
        </w:tc>
        <w:tc>
          <w:tcPr>
            <w:tcW w:w="1118" w:type="dxa"/>
            <w:tcBorders>
              <w:top w:val="nil"/>
              <w:left w:val="nil"/>
              <w:bottom w:val="single" w:sz="4" w:space="0" w:color="auto"/>
              <w:right w:val="single" w:sz="4" w:space="0" w:color="auto"/>
            </w:tcBorders>
            <w:shd w:val="clear" w:color="auto" w:fill="auto"/>
            <w:vAlign w:val="center"/>
            <w:hideMark/>
          </w:tcPr>
          <w:p w14:paraId="62C9DCC6" w14:textId="77777777" w:rsidR="004A0B2E" w:rsidRPr="004A0B2E" w:rsidRDefault="004A0B2E" w:rsidP="004A0B2E">
            <w:pPr>
              <w:jc w:val="right"/>
              <w:rPr>
                <w:rFonts w:ascii="Arial Narrow" w:hAnsi="Arial Narrow" w:cs="Calibri"/>
                <w:sz w:val="16"/>
                <w:szCs w:val="16"/>
              </w:rPr>
            </w:pPr>
            <w:r w:rsidRPr="004A0B2E">
              <w:rPr>
                <w:rFonts w:ascii="Arial Narrow" w:hAnsi="Arial Narrow" w:cs="Calibri"/>
                <w:sz w:val="16"/>
                <w:szCs w:val="16"/>
              </w:rPr>
              <w:t>33,2</w:t>
            </w:r>
          </w:p>
        </w:tc>
        <w:tc>
          <w:tcPr>
            <w:tcW w:w="957" w:type="dxa"/>
            <w:tcBorders>
              <w:top w:val="nil"/>
              <w:left w:val="nil"/>
              <w:bottom w:val="single" w:sz="4" w:space="0" w:color="auto"/>
              <w:right w:val="single" w:sz="4" w:space="0" w:color="auto"/>
            </w:tcBorders>
            <w:shd w:val="clear" w:color="auto" w:fill="auto"/>
            <w:vAlign w:val="center"/>
            <w:hideMark/>
          </w:tcPr>
          <w:p w14:paraId="752783F9" w14:textId="77777777" w:rsidR="004A0B2E" w:rsidRPr="004A0B2E" w:rsidRDefault="004A0B2E" w:rsidP="004A0B2E">
            <w:pPr>
              <w:jc w:val="right"/>
              <w:rPr>
                <w:rFonts w:ascii="Arial Narrow" w:hAnsi="Arial Narrow" w:cs="Calibri"/>
                <w:sz w:val="16"/>
                <w:szCs w:val="16"/>
              </w:rPr>
            </w:pPr>
            <w:r w:rsidRPr="004A0B2E">
              <w:rPr>
                <w:rFonts w:ascii="Arial Narrow" w:hAnsi="Arial Narrow" w:cs="Calibri"/>
                <w:sz w:val="16"/>
                <w:szCs w:val="16"/>
              </w:rPr>
              <w:t>34,9</w:t>
            </w:r>
          </w:p>
        </w:tc>
        <w:tc>
          <w:tcPr>
            <w:tcW w:w="1256" w:type="dxa"/>
            <w:tcBorders>
              <w:top w:val="nil"/>
              <w:left w:val="nil"/>
              <w:bottom w:val="single" w:sz="4" w:space="0" w:color="auto"/>
              <w:right w:val="single" w:sz="4" w:space="0" w:color="auto"/>
            </w:tcBorders>
            <w:shd w:val="clear" w:color="auto" w:fill="auto"/>
            <w:vAlign w:val="center"/>
            <w:hideMark/>
          </w:tcPr>
          <w:p w14:paraId="07FEE4D1" w14:textId="77777777" w:rsidR="004A0B2E" w:rsidRPr="004A0B2E" w:rsidRDefault="004A0B2E" w:rsidP="004A0B2E">
            <w:pPr>
              <w:jc w:val="right"/>
              <w:rPr>
                <w:rFonts w:ascii="Arial Narrow" w:hAnsi="Arial Narrow" w:cs="Calibri"/>
                <w:sz w:val="16"/>
                <w:szCs w:val="16"/>
              </w:rPr>
            </w:pPr>
            <w:r w:rsidRPr="004A0B2E">
              <w:rPr>
                <w:rFonts w:ascii="Arial Narrow" w:hAnsi="Arial Narrow" w:cs="Calibri"/>
                <w:sz w:val="16"/>
                <w:szCs w:val="16"/>
              </w:rPr>
              <w:t>-0,3</w:t>
            </w:r>
          </w:p>
        </w:tc>
        <w:tc>
          <w:tcPr>
            <w:tcW w:w="872" w:type="dxa"/>
            <w:tcBorders>
              <w:top w:val="nil"/>
              <w:left w:val="nil"/>
              <w:bottom w:val="single" w:sz="4" w:space="0" w:color="auto"/>
              <w:right w:val="single" w:sz="4" w:space="0" w:color="auto"/>
            </w:tcBorders>
            <w:shd w:val="clear" w:color="auto" w:fill="auto"/>
            <w:vAlign w:val="center"/>
            <w:hideMark/>
          </w:tcPr>
          <w:p w14:paraId="589CD50E" w14:textId="77777777" w:rsidR="004A0B2E" w:rsidRPr="004A0B2E" w:rsidRDefault="004A0B2E" w:rsidP="004A0B2E">
            <w:pPr>
              <w:jc w:val="right"/>
              <w:rPr>
                <w:rFonts w:ascii="Arial Narrow" w:hAnsi="Arial Narrow" w:cs="Calibri"/>
                <w:sz w:val="16"/>
                <w:szCs w:val="16"/>
              </w:rPr>
            </w:pPr>
            <w:r w:rsidRPr="004A0B2E">
              <w:rPr>
                <w:rFonts w:ascii="Arial Narrow" w:hAnsi="Arial Narrow" w:cs="Calibri"/>
                <w:sz w:val="16"/>
                <w:szCs w:val="16"/>
              </w:rPr>
              <w:t>34,8</w:t>
            </w:r>
          </w:p>
        </w:tc>
      </w:tr>
      <w:tr w:rsidR="004A0B2E" w:rsidRPr="00B10684" w14:paraId="5876D635" w14:textId="77777777" w:rsidTr="005A18A5">
        <w:trPr>
          <w:trHeight w:val="183"/>
        </w:trPr>
        <w:tc>
          <w:tcPr>
            <w:tcW w:w="757" w:type="dxa"/>
            <w:tcBorders>
              <w:top w:val="nil"/>
              <w:left w:val="single" w:sz="4" w:space="0" w:color="auto"/>
              <w:bottom w:val="single" w:sz="4" w:space="0" w:color="auto"/>
              <w:right w:val="single" w:sz="4" w:space="0" w:color="auto"/>
            </w:tcBorders>
            <w:shd w:val="clear" w:color="auto" w:fill="auto"/>
            <w:noWrap/>
            <w:vAlign w:val="center"/>
            <w:hideMark/>
          </w:tcPr>
          <w:p w14:paraId="70614C15" w14:textId="77777777" w:rsidR="004A0B2E" w:rsidRPr="004A0B2E" w:rsidRDefault="004A0B2E" w:rsidP="004A0B2E">
            <w:pPr>
              <w:rPr>
                <w:rFonts w:ascii="Arial Narrow" w:hAnsi="Arial Narrow" w:cs="Calibri"/>
                <w:sz w:val="16"/>
                <w:szCs w:val="16"/>
              </w:rPr>
            </w:pPr>
            <w:r w:rsidRPr="004A0B2E">
              <w:rPr>
                <w:rFonts w:ascii="Arial Narrow" w:hAnsi="Arial Narrow" w:cs="Calibri"/>
                <w:sz w:val="16"/>
                <w:szCs w:val="16"/>
              </w:rPr>
              <w:t xml:space="preserve"> 02.4</w:t>
            </w:r>
          </w:p>
        </w:tc>
        <w:tc>
          <w:tcPr>
            <w:tcW w:w="5279" w:type="dxa"/>
            <w:tcBorders>
              <w:top w:val="nil"/>
              <w:left w:val="nil"/>
              <w:bottom w:val="single" w:sz="4" w:space="0" w:color="auto"/>
              <w:right w:val="single" w:sz="4" w:space="0" w:color="auto"/>
            </w:tcBorders>
            <w:shd w:val="clear" w:color="auto" w:fill="auto"/>
            <w:vAlign w:val="center"/>
            <w:hideMark/>
          </w:tcPr>
          <w:p w14:paraId="5FB0C6DA" w14:textId="77777777" w:rsidR="004A0B2E" w:rsidRPr="004A0B2E" w:rsidRDefault="004A0B2E" w:rsidP="004A0B2E">
            <w:pPr>
              <w:ind w:firstLineChars="100" w:firstLine="160"/>
              <w:rPr>
                <w:rFonts w:ascii="Arial Narrow" w:hAnsi="Arial Narrow" w:cs="Calibri"/>
                <w:sz w:val="16"/>
                <w:szCs w:val="16"/>
              </w:rPr>
            </w:pPr>
            <w:r w:rsidRPr="004A0B2E">
              <w:rPr>
                <w:rFonts w:ascii="Arial Narrow" w:hAnsi="Arial Narrow" w:cs="Calibri"/>
                <w:sz w:val="16"/>
                <w:szCs w:val="16"/>
              </w:rPr>
              <w:t>Захарно цвекло</w:t>
            </w:r>
          </w:p>
        </w:tc>
        <w:tc>
          <w:tcPr>
            <w:tcW w:w="957" w:type="dxa"/>
            <w:tcBorders>
              <w:top w:val="nil"/>
              <w:left w:val="nil"/>
              <w:bottom w:val="single" w:sz="4" w:space="0" w:color="auto"/>
              <w:right w:val="single" w:sz="4" w:space="0" w:color="auto"/>
            </w:tcBorders>
            <w:shd w:val="clear" w:color="auto" w:fill="auto"/>
            <w:vAlign w:val="center"/>
            <w:hideMark/>
          </w:tcPr>
          <w:p w14:paraId="1BC9718A" w14:textId="77777777" w:rsidR="004A0B2E" w:rsidRPr="004A0B2E" w:rsidRDefault="004A0B2E" w:rsidP="004A0B2E">
            <w:pPr>
              <w:jc w:val="right"/>
              <w:rPr>
                <w:rFonts w:ascii="Arial Narrow" w:hAnsi="Arial Narrow" w:cs="Calibri"/>
                <w:sz w:val="16"/>
                <w:szCs w:val="16"/>
              </w:rPr>
            </w:pPr>
            <w:r w:rsidRPr="004A0B2E">
              <w:rPr>
                <w:rFonts w:ascii="Arial Narrow" w:hAnsi="Arial Narrow" w:cs="Calibri"/>
                <w:sz w:val="16"/>
                <w:szCs w:val="16"/>
              </w:rPr>
              <w:t> </w:t>
            </w:r>
          </w:p>
        </w:tc>
        <w:tc>
          <w:tcPr>
            <w:tcW w:w="1118" w:type="dxa"/>
            <w:tcBorders>
              <w:top w:val="nil"/>
              <w:left w:val="nil"/>
              <w:bottom w:val="single" w:sz="4" w:space="0" w:color="auto"/>
              <w:right w:val="single" w:sz="4" w:space="0" w:color="auto"/>
            </w:tcBorders>
            <w:shd w:val="clear" w:color="auto" w:fill="auto"/>
            <w:vAlign w:val="center"/>
            <w:hideMark/>
          </w:tcPr>
          <w:p w14:paraId="1A157488" w14:textId="77777777" w:rsidR="004A0B2E" w:rsidRPr="004A0B2E" w:rsidRDefault="004A0B2E" w:rsidP="004A0B2E">
            <w:pPr>
              <w:rPr>
                <w:rFonts w:ascii="Arial Narrow" w:hAnsi="Arial Narrow" w:cs="Calibri"/>
                <w:sz w:val="16"/>
                <w:szCs w:val="16"/>
              </w:rPr>
            </w:pPr>
            <w:r w:rsidRPr="004A0B2E">
              <w:rPr>
                <w:rFonts w:ascii="Arial Narrow" w:hAnsi="Arial Narrow" w:cs="Calibri"/>
                <w:sz w:val="16"/>
                <w:szCs w:val="16"/>
              </w:rPr>
              <w:t> </w:t>
            </w:r>
          </w:p>
        </w:tc>
        <w:tc>
          <w:tcPr>
            <w:tcW w:w="957" w:type="dxa"/>
            <w:tcBorders>
              <w:top w:val="nil"/>
              <w:left w:val="nil"/>
              <w:bottom w:val="single" w:sz="4" w:space="0" w:color="auto"/>
              <w:right w:val="single" w:sz="4" w:space="0" w:color="auto"/>
            </w:tcBorders>
            <w:shd w:val="clear" w:color="auto" w:fill="auto"/>
            <w:vAlign w:val="center"/>
            <w:hideMark/>
          </w:tcPr>
          <w:p w14:paraId="44243E21" w14:textId="77777777" w:rsidR="004A0B2E" w:rsidRPr="004A0B2E" w:rsidRDefault="004A0B2E" w:rsidP="004A0B2E">
            <w:pPr>
              <w:jc w:val="right"/>
              <w:rPr>
                <w:rFonts w:ascii="Arial Narrow" w:hAnsi="Arial Narrow" w:cs="Calibri"/>
                <w:sz w:val="16"/>
                <w:szCs w:val="16"/>
              </w:rPr>
            </w:pPr>
            <w:r w:rsidRPr="004A0B2E">
              <w:rPr>
                <w:rFonts w:ascii="Arial Narrow" w:hAnsi="Arial Narrow" w:cs="Calibri"/>
                <w:sz w:val="16"/>
                <w:szCs w:val="16"/>
              </w:rPr>
              <w:t> </w:t>
            </w:r>
          </w:p>
        </w:tc>
        <w:tc>
          <w:tcPr>
            <w:tcW w:w="1256" w:type="dxa"/>
            <w:tcBorders>
              <w:top w:val="nil"/>
              <w:left w:val="nil"/>
              <w:bottom w:val="single" w:sz="4" w:space="0" w:color="auto"/>
              <w:right w:val="single" w:sz="4" w:space="0" w:color="auto"/>
            </w:tcBorders>
            <w:shd w:val="clear" w:color="auto" w:fill="auto"/>
            <w:vAlign w:val="center"/>
            <w:hideMark/>
          </w:tcPr>
          <w:p w14:paraId="3D703EB9" w14:textId="77777777" w:rsidR="004A0B2E" w:rsidRPr="004A0B2E" w:rsidRDefault="004A0B2E" w:rsidP="004A0B2E">
            <w:pPr>
              <w:rPr>
                <w:rFonts w:ascii="Arial Narrow" w:hAnsi="Arial Narrow" w:cs="Calibri"/>
                <w:sz w:val="16"/>
                <w:szCs w:val="16"/>
              </w:rPr>
            </w:pPr>
            <w:r w:rsidRPr="004A0B2E">
              <w:rPr>
                <w:rFonts w:ascii="Arial Narrow" w:hAnsi="Arial Narrow" w:cs="Calibri"/>
                <w:sz w:val="16"/>
                <w:szCs w:val="16"/>
              </w:rPr>
              <w:t> </w:t>
            </w:r>
          </w:p>
        </w:tc>
        <w:tc>
          <w:tcPr>
            <w:tcW w:w="872" w:type="dxa"/>
            <w:tcBorders>
              <w:top w:val="nil"/>
              <w:left w:val="nil"/>
              <w:bottom w:val="single" w:sz="4" w:space="0" w:color="auto"/>
              <w:right w:val="single" w:sz="4" w:space="0" w:color="auto"/>
            </w:tcBorders>
            <w:shd w:val="clear" w:color="auto" w:fill="auto"/>
            <w:vAlign w:val="center"/>
            <w:hideMark/>
          </w:tcPr>
          <w:p w14:paraId="162304AB" w14:textId="77777777" w:rsidR="004A0B2E" w:rsidRPr="004A0B2E" w:rsidRDefault="004A0B2E" w:rsidP="004A0B2E">
            <w:pPr>
              <w:jc w:val="right"/>
              <w:rPr>
                <w:rFonts w:ascii="Arial Narrow" w:hAnsi="Arial Narrow" w:cs="Calibri"/>
                <w:sz w:val="16"/>
                <w:szCs w:val="16"/>
              </w:rPr>
            </w:pPr>
            <w:r w:rsidRPr="004A0B2E">
              <w:rPr>
                <w:rFonts w:ascii="Arial Narrow" w:hAnsi="Arial Narrow" w:cs="Calibri"/>
                <w:sz w:val="16"/>
                <w:szCs w:val="16"/>
              </w:rPr>
              <w:t> </w:t>
            </w:r>
          </w:p>
        </w:tc>
      </w:tr>
      <w:tr w:rsidR="004A0B2E" w:rsidRPr="00B10684" w14:paraId="431B6E39" w14:textId="77777777" w:rsidTr="005A18A5">
        <w:trPr>
          <w:trHeight w:val="183"/>
        </w:trPr>
        <w:tc>
          <w:tcPr>
            <w:tcW w:w="757" w:type="dxa"/>
            <w:tcBorders>
              <w:top w:val="nil"/>
              <w:left w:val="single" w:sz="4" w:space="0" w:color="auto"/>
              <w:bottom w:val="single" w:sz="4" w:space="0" w:color="auto"/>
              <w:right w:val="single" w:sz="4" w:space="0" w:color="auto"/>
            </w:tcBorders>
            <w:shd w:val="clear" w:color="auto" w:fill="auto"/>
            <w:noWrap/>
            <w:vAlign w:val="center"/>
            <w:hideMark/>
          </w:tcPr>
          <w:p w14:paraId="62049109" w14:textId="77777777" w:rsidR="004A0B2E" w:rsidRPr="004A0B2E" w:rsidRDefault="004A0B2E" w:rsidP="004A0B2E">
            <w:pPr>
              <w:rPr>
                <w:rFonts w:ascii="Arial Narrow" w:hAnsi="Arial Narrow" w:cs="Calibri"/>
                <w:sz w:val="16"/>
                <w:szCs w:val="16"/>
              </w:rPr>
            </w:pPr>
            <w:r w:rsidRPr="004A0B2E">
              <w:rPr>
                <w:rFonts w:ascii="Arial Narrow" w:hAnsi="Arial Narrow" w:cs="Calibri"/>
                <w:sz w:val="16"/>
                <w:szCs w:val="16"/>
              </w:rPr>
              <w:t xml:space="preserve"> 02.5</w:t>
            </w:r>
          </w:p>
        </w:tc>
        <w:tc>
          <w:tcPr>
            <w:tcW w:w="5279" w:type="dxa"/>
            <w:tcBorders>
              <w:top w:val="nil"/>
              <w:left w:val="nil"/>
              <w:bottom w:val="single" w:sz="4" w:space="0" w:color="auto"/>
              <w:right w:val="single" w:sz="4" w:space="0" w:color="auto"/>
            </w:tcBorders>
            <w:shd w:val="clear" w:color="auto" w:fill="auto"/>
            <w:vAlign w:val="center"/>
            <w:hideMark/>
          </w:tcPr>
          <w:p w14:paraId="643CE1AE" w14:textId="77777777" w:rsidR="004A0B2E" w:rsidRPr="004A0B2E" w:rsidRDefault="004A0B2E" w:rsidP="004A0B2E">
            <w:pPr>
              <w:ind w:firstLineChars="100" w:firstLine="160"/>
              <w:rPr>
                <w:rFonts w:ascii="Arial Narrow" w:hAnsi="Arial Narrow" w:cs="Calibri"/>
                <w:sz w:val="16"/>
                <w:szCs w:val="16"/>
              </w:rPr>
            </w:pPr>
            <w:r w:rsidRPr="004A0B2E">
              <w:rPr>
                <w:rFonts w:ascii="Arial Narrow" w:hAnsi="Arial Narrow" w:cs="Calibri"/>
                <w:sz w:val="16"/>
                <w:szCs w:val="16"/>
              </w:rPr>
              <w:t xml:space="preserve">Други технически </w:t>
            </w:r>
          </w:p>
        </w:tc>
        <w:tc>
          <w:tcPr>
            <w:tcW w:w="957" w:type="dxa"/>
            <w:tcBorders>
              <w:top w:val="nil"/>
              <w:left w:val="nil"/>
              <w:bottom w:val="single" w:sz="4" w:space="0" w:color="auto"/>
              <w:right w:val="single" w:sz="4" w:space="0" w:color="auto"/>
            </w:tcBorders>
            <w:shd w:val="clear" w:color="auto" w:fill="auto"/>
            <w:vAlign w:val="center"/>
            <w:hideMark/>
          </w:tcPr>
          <w:p w14:paraId="0EAAC122" w14:textId="77777777" w:rsidR="004A0B2E" w:rsidRPr="004A0B2E" w:rsidRDefault="004A0B2E" w:rsidP="004A0B2E">
            <w:pPr>
              <w:jc w:val="right"/>
              <w:rPr>
                <w:rFonts w:ascii="Arial Narrow" w:hAnsi="Arial Narrow" w:cs="Calibri"/>
                <w:sz w:val="16"/>
                <w:szCs w:val="16"/>
              </w:rPr>
            </w:pPr>
            <w:r w:rsidRPr="004A0B2E">
              <w:rPr>
                <w:rFonts w:ascii="Arial Narrow" w:hAnsi="Arial Narrow" w:cs="Calibri"/>
                <w:sz w:val="16"/>
                <w:szCs w:val="16"/>
              </w:rPr>
              <w:t>134,5</w:t>
            </w:r>
          </w:p>
        </w:tc>
        <w:tc>
          <w:tcPr>
            <w:tcW w:w="1118" w:type="dxa"/>
            <w:tcBorders>
              <w:top w:val="nil"/>
              <w:left w:val="nil"/>
              <w:bottom w:val="single" w:sz="4" w:space="0" w:color="auto"/>
              <w:right w:val="single" w:sz="4" w:space="0" w:color="auto"/>
            </w:tcBorders>
            <w:shd w:val="clear" w:color="auto" w:fill="auto"/>
            <w:vAlign w:val="center"/>
            <w:hideMark/>
          </w:tcPr>
          <w:p w14:paraId="47BFDE90" w14:textId="77777777" w:rsidR="004A0B2E" w:rsidRPr="004A0B2E" w:rsidRDefault="004A0B2E" w:rsidP="004A0B2E">
            <w:pPr>
              <w:jc w:val="right"/>
              <w:rPr>
                <w:rFonts w:ascii="Arial Narrow" w:hAnsi="Arial Narrow" w:cs="Calibri"/>
                <w:sz w:val="16"/>
                <w:szCs w:val="16"/>
              </w:rPr>
            </w:pPr>
            <w:r w:rsidRPr="004A0B2E">
              <w:rPr>
                <w:rFonts w:ascii="Arial Narrow" w:hAnsi="Arial Narrow" w:cs="Calibri"/>
                <w:sz w:val="16"/>
                <w:szCs w:val="16"/>
              </w:rPr>
              <w:t>-20,4</w:t>
            </w:r>
          </w:p>
        </w:tc>
        <w:tc>
          <w:tcPr>
            <w:tcW w:w="957" w:type="dxa"/>
            <w:tcBorders>
              <w:top w:val="nil"/>
              <w:left w:val="nil"/>
              <w:bottom w:val="single" w:sz="4" w:space="0" w:color="auto"/>
              <w:right w:val="single" w:sz="4" w:space="0" w:color="auto"/>
            </w:tcBorders>
            <w:shd w:val="clear" w:color="auto" w:fill="auto"/>
            <w:vAlign w:val="center"/>
            <w:hideMark/>
          </w:tcPr>
          <w:p w14:paraId="26CA1068" w14:textId="77777777" w:rsidR="004A0B2E" w:rsidRPr="004A0B2E" w:rsidRDefault="004A0B2E" w:rsidP="004A0B2E">
            <w:pPr>
              <w:jc w:val="right"/>
              <w:rPr>
                <w:rFonts w:ascii="Arial Narrow" w:hAnsi="Arial Narrow" w:cs="Calibri"/>
                <w:sz w:val="16"/>
                <w:szCs w:val="16"/>
              </w:rPr>
            </w:pPr>
            <w:r w:rsidRPr="004A0B2E">
              <w:rPr>
                <w:rFonts w:ascii="Arial Narrow" w:hAnsi="Arial Narrow" w:cs="Calibri"/>
                <w:sz w:val="16"/>
                <w:szCs w:val="16"/>
              </w:rPr>
              <w:t>107,0</w:t>
            </w:r>
          </w:p>
        </w:tc>
        <w:tc>
          <w:tcPr>
            <w:tcW w:w="1256" w:type="dxa"/>
            <w:tcBorders>
              <w:top w:val="nil"/>
              <w:left w:val="nil"/>
              <w:bottom w:val="single" w:sz="4" w:space="0" w:color="auto"/>
              <w:right w:val="single" w:sz="4" w:space="0" w:color="auto"/>
            </w:tcBorders>
            <w:shd w:val="clear" w:color="auto" w:fill="auto"/>
            <w:vAlign w:val="center"/>
            <w:hideMark/>
          </w:tcPr>
          <w:p w14:paraId="30E4344F" w14:textId="77777777" w:rsidR="004A0B2E" w:rsidRPr="004A0B2E" w:rsidRDefault="004A0B2E" w:rsidP="004A0B2E">
            <w:pPr>
              <w:jc w:val="right"/>
              <w:rPr>
                <w:rFonts w:ascii="Arial Narrow" w:hAnsi="Arial Narrow" w:cs="Calibri"/>
                <w:sz w:val="16"/>
                <w:szCs w:val="16"/>
              </w:rPr>
            </w:pPr>
            <w:r w:rsidRPr="004A0B2E">
              <w:rPr>
                <w:rFonts w:ascii="Arial Narrow" w:hAnsi="Arial Narrow" w:cs="Calibri"/>
                <w:sz w:val="16"/>
                <w:szCs w:val="16"/>
              </w:rPr>
              <w:t>0,6</w:t>
            </w:r>
          </w:p>
        </w:tc>
        <w:tc>
          <w:tcPr>
            <w:tcW w:w="872" w:type="dxa"/>
            <w:tcBorders>
              <w:top w:val="nil"/>
              <w:left w:val="nil"/>
              <w:bottom w:val="single" w:sz="4" w:space="0" w:color="auto"/>
              <w:right w:val="single" w:sz="4" w:space="0" w:color="auto"/>
            </w:tcBorders>
            <w:shd w:val="clear" w:color="auto" w:fill="auto"/>
            <w:vAlign w:val="center"/>
            <w:hideMark/>
          </w:tcPr>
          <w:p w14:paraId="3DB77BF6" w14:textId="77777777" w:rsidR="004A0B2E" w:rsidRPr="004A0B2E" w:rsidRDefault="004A0B2E" w:rsidP="004A0B2E">
            <w:pPr>
              <w:jc w:val="right"/>
              <w:rPr>
                <w:rFonts w:ascii="Arial Narrow" w:hAnsi="Arial Narrow" w:cs="Calibri"/>
                <w:sz w:val="16"/>
                <w:szCs w:val="16"/>
              </w:rPr>
            </w:pPr>
            <w:r w:rsidRPr="004A0B2E">
              <w:rPr>
                <w:rFonts w:ascii="Arial Narrow" w:hAnsi="Arial Narrow" w:cs="Calibri"/>
                <w:sz w:val="16"/>
                <w:szCs w:val="16"/>
              </w:rPr>
              <w:t>107,6</w:t>
            </w:r>
          </w:p>
        </w:tc>
      </w:tr>
      <w:tr w:rsidR="004A0B2E" w:rsidRPr="00B10684" w14:paraId="62C3D01F" w14:textId="77777777" w:rsidTr="005A18A5">
        <w:trPr>
          <w:trHeight w:val="183"/>
        </w:trPr>
        <w:tc>
          <w:tcPr>
            <w:tcW w:w="757" w:type="dxa"/>
            <w:tcBorders>
              <w:top w:val="nil"/>
              <w:left w:val="single" w:sz="4" w:space="0" w:color="auto"/>
              <w:bottom w:val="single" w:sz="4" w:space="0" w:color="auto"/>
              <w:right w:val="single" w:sz="4" w:space="0" w:color="auto"/>
            </w:tcBorders>
            <w:shd w:val="clear" w:color="auto" w:fill="auto"/>
            <w:noWrap/>
            <w:vAlign w:val="center"/>
            <w:hideMark/>
          </w:tcPr>
          <w:p w14:paraId="0E606317" w14:textId="77777777" w:rsidR="004A0B2E" w:rsidRPr="004A0B2E" w:rsidRDefault="004A0B2E" w:rsidP="004A0B2E">
            <w:pPr>
              <w:rPr>
                <w:rFonts w:ascii="Arial Narrow" w:hAnsi="Arial Narrow" w:cs="Calibri"/>
                <w:sz w:val="16"/>
                <w:szCs w:val="16"/>
              </w:rPr>
            </w:pPr>
            <w:r w:rsidRPr="004A0B2E">
              <w:rPr>
                <w:rFonts w:ascii="Arial Narrow" w:hAnsi="Arial Narrow" w:cs="Calibri"/>
                <w:sz w:val="16"/>
                <w:szCs w:val="16"/>
              </w:rPr>
              <w:t xml:space="preserve"> 02.5/1</w:t>
            </w:r>
          </w:p>
        </w:tc>
        <w:tc>
          <w:tcPr>
            <w:tcW w:w="5279" w:type="dxa"/>
            <w:tcBorders>
              <w:top w:val="nil"/>
              <w:left w:val="nil"/>
              <w:bottom w:val="single" w:sz="4" w:space="0" w:color="auto"/>
              <w:right w:val="single" w:sz="4" w:space="0" w:color="auto"/>
            </w:tcBorders>
            <w:shd w:val="clear" w:color="auto" w:fill="auto"/>
            <w:vAlign w:val="center"/>
            <w:hideMark/>
          </w:tcPr>
          <w:p w14:paraId="22C62FCA" w14:textId="77777777" w:rsidR="004A0B2E" w:rsidRPr="004A0B2E" w:rsidRDefault="004A0B2E" w:rsidP="004A0B2E">
            <w:pPr>
              <w:ind w:firstLineChars="200" w:firstLine="320"/>
              <w:rPr>
                <w:rFonts w:ascii="Arial Narrow" w:hAnsi="Arial Narrow" w:cs="Calibri"/>
                <w:sz w:val="16"/>
                <w:szCs w:val="16"/>
              </w:rPr>
            </w:pPr>
            <w:r w:rsidRPr="004A0B2E">
              <w:rPr>
                <w:rFonts w:ascii="Arial Narrow" w:hAnsi="Arial Narrow" w:cs="Calibri"/>
                <w:sz w:val="16"/>
                <w:szCs w:val="16"/>
              </w:rPr>
              <w:t>Влакнодайни култури</w:t>
            </w:r>
          </w:p>
        </w:tc>
        <w:tc>
          <w:tcPr>
            <w:tcW w:w="957" w:type="dxa"/>
            <w:tcBorders>
              <w:top w:val="nil"/>
              <w:left w:val="nil"/>
              <w:bottom w:val="single" w:sz="4" w:space="0" w:color="auto"/>
              <w:right w:val="single" w:sz="4" w:space="0" w:color="auto"/>
            </w:tcBorders>
            <w:shd w:val="clear" w:color="auto" w:fill="auto"/>
            <w:vAlign w:val="center"/>
            <w:hideMark/>
          </w:tcPr>
          <w:p w14:paraId="28242855" w14:textId="77777777" w:rsidR="004A0B2E" w:rsidRPr="004A0B2E" w:rsidRDefault="004A0B2E" w:rsidP="004A0B2E">
            <w:pPr>
              <w:jc w:val="right"/>
              <w:rPr>
                <w:rFonts w:ascii="Arial Narrow" w:hAnsi="Arial Narrow" w:cs="Calibri"/>
                <w:sz w:val="16"/>
                <w:szCs w:val="16"/>
              </w:rPr>
            </w:pPr>
            <w:r w:rsidRPr="004A0B2E">
              <w:rPr>
                <w:rFonts w:ascii="Arial Narrow" w:hAnsi="Arial Narrow" w:cs="Calibri"/>
                <w:sz w:val="16"/>
                <w:szCs w:val="16"/>
              </w:rPr>
              <w:t>1,3</w:t>
            </w:r>
          </w:p>
        </w:tc>
        <w:tc>
          <w:tcPr>
            <w:tcW w:w="1118" w:type="dxa"/>
            <w:tcBorders>
              <w:top w:val="nil"/>
              <w:left w:val="nil"/>
              <w:bottom w:val="single" w:sz="4" w:space="0" w:color="auto"/>
              <w:right w:val="single" w:sz="4" w:space="0" w:color="auto"/>
            </w:tcBorders>
            <w:shd w:val="clear" w:color="auto" w:fill="auto"/>
            <w:vAlign w:val="center"/>
            <w:hideMark/>
          </w:tcPr>
          <w:p w14:paraId="0E2C1774" w14:textId="77777777" w:rsidR="004A0B2E" w:rsidRPr="004A0B2E" w:rsidRDefault="004A0B2E" w:rsidP="004A0B2E">
            <w:pPr>
              <w:jc w:val="right"/>
              <w:rPr>
                <w:rFonts w:ascii="Arial Narrow" w:hAnsi="Arial Narrow" w:cs="Calibri"/>
                <w:sz w:val="16"/>
                <w:szCs w:val="16"/>
              </w:rPr>
            </w:pPr>
            <w:r w:rsidRPr="004A0B2E">
              <w:rPr>
                <w:rFonts w:ascii="Arial Narrow" w:hAnsi="Arial Narrow" w:cs="Calibri"/>
                <w:sz w:val="16"/>
                <w:szCs w:val="16"/>
              </w:rPr>
              <w:t>30,8</w:t>
            </w:r>
          </w:p>
        </w:tc>
        <w:tc>
          <w:tcPr>
            <w:tcW w:w="957" w:type="dxa"/>
            <w:tcBorders>
              <w:top w:val="nil"/>
              <w:left w:val="nil"/>
              <w:bottom w:val="single" w:sz="4" w:space="0" w:color="auto"/>
              <w:right w:val="single" w:sz="4" w:space="0" w:color="auto"/>
            </w:tcBorders>
            <w:shd w:val="clear" w:color="auto" w:fill="auto"/>
            <w:vAlign w:val="center"/>
            <w:hideMark/>
          </w:tcPr>
          <w:p w14:paraId="4C8C770F" w14:textId="77777777" w:rsidR="004A0B2E" w:rsidRPr="004A0B2E" w:rsidRDefault="004A0B2E" w:rsidP="004A0B2E">
            <w:pPr>
              <w:jc w:val="right"/>
              <w:rPr>
                <w:rFonts w:ascii="Arial Narrow" w:hAnsi="Arial Narrow" w:cs="Calibri"/>
                <w:sz w:val="16"/>
                <w:szCs w:val="16"/>
              </w:rPr>
            </w:pPr>
            <w:r w:rsidRPr="004A0B2E">
              <w:rPr>
                <w:rFonts w:ascii="Arial Narrow" w:hAnsi="Arial Narrow" w:cs="Calibri"/>
                <w:sz w:val="16"/>
                <w:szCs w:val="16"/>
              </w:rPr>
              <w:t>1,7</w:t>
            </w:r>
          </w:p>
        </w:tc>
        <w:tc>
          <w:tcPr>
            <w:tcW w:w="1256" w:type="dxa"/>
            <w:tcBorders>
              <w:top w:val="nil"/>
              <w:left w:val="nil"/>
              <w:bottom w:val="single" w:sz="4" w:space="0" w:color="auto"/>
              <w:right w:val="single" w:sz="4" w:space="0" w:color="auto"/>
            </w:tcBorders>
            <w:shd w:val="clear" w:color="auto" w:fill="auto"/>
            <w:vAlign w:val="center"/>
            <w:hideMark/>
          </w:tcPr>
          <w:p w14:paraId="43C063F3" w14:textId="77777777" w:rsidR="004A0B2E" w:rsidRPr="004A0B2E" w:rsidRDefault="004A0B2E" w:rsidP="004A0B2E">
            <w:pPr>
              <w:jc w:val="right"/>
              <w:rPr>
                <w:rFonts w:ascii="Arial Narrow" w:hAnsi="Arial Narrow" w:cs="Calibri"/>
                <w:sz w:val="16"/>
                <w:szCs w:val="16"/>
              </w:rPr>
            </w:pPr>
            <w:r w:rsidRPr="004A0B2E">
              <w:rPr>
                <w:rFonts w:ascii="Arial Narrow" w:hAnsi="Arial Narrow" w:cs="Calibri"/>
                <w:sz w:val="16"/>
                <w:szCs w:val="16"/>
              </w:rPr>
              <w:t>-17,6</w:t>
            </w:r>
          </w:p>
        </w:tc>
        <w:tc>
          <w:tcPr>
            <w:tcW w:w="872" w:type="dxa"/>
            <w:tcBorders>
              <w:top w:val="nil"/>
              <w:left w:val="nil"/>
              <w:bottom w:val="single" w:sz="4" w:space="0" w:color="auto"/>
              <w:right w:val="single" w:sz="4" w:space="0" w:color="auto"/>
            </w:tcBorders>
            <w:shd w:val="clear" w:color="auto" w:fill="auto"/>
            <w:vAlign w:val="center"/>
            <w:hideMark/>
          </w:tcPr>
          <w:p w14:paraId="46C73187" w14:textId="77777777" w:rsidR="004A0B2E" w:rsidRPr="004A0B2E" w:rsidRDefault="004A0B2E" w:rsidP="004A0B2E">
            <w:pPr>
              <w:jc w:val="right"/>
              <w:rPr>
                <w:rFonts w:ascii="Arial Narrow" w:hAnsi="Arial Narrow" w:cs="Calibri"/>
                <w:sz w:val="16"/>
                <w:szCs w:val="16"/>
              </w:rPr>
            </w:pPr>
            <w:r w:rsidRPr="004A0B2E">
              <w:rPr>
                <w:rFonts w:ascii="Arial Narrow" w:hAnsi="Arial Narrow" w:cs="Calibri"/>
                <w:sz w:val="16"/>
                <w:szCs w:val="16"/>
              </w:rPr>
              <w:t>1,4</w:t>
            </w:r>
          </w:p>
        </w:tc>
      </w:tr>
      <w:tr w:rsidR="004A0B2E" w:rsidRPr="00B10684" w14:paraId="2963C58C" w14:textId="77777777" w:rsidTr="005A18A5">
        <w:trPr>
          <w:trHeight w:val="183"/>
        </w:trPr>
        <w:tc>
          <w:tcPr>
            <w:tcW w:w="757" w:type="dxa"/>
            <w:tcBorders>
              <w:top w:val="nil"/>
              <w:left w:val="single" w:sz="4" w:space="0" w:color="auto"/>
              <w:bottom w:val="single" w:sz="4" w:space="0" w:color="auto"/>
              <w:right w:val="single" w:sz="4" w:space="0" w:color="auto"/>
            </w:tcBorders>
            <w:shd w:val="clear" w:color="auto" w:fill="auto"/>
            <w:noWrap/>
            <w:vAlign w:val="center"/>
            <w:hideMark/>
          </w:tcPr>
          <w:p w14:paraId="0D142B6D" w14:textId="77777777" w:rsidR="004A0B2E" w:rsidRPr="004A0B2E" w:rsidRDefault="004A0B2E" w:rsidP="004A0B2E">
            <w:pPr>
              <w:rPr>
                <w:rFonts w:ascii="Arial Narrow" w:hAnsi="Arial Narrow" w:cs="Calibri"/>
                <w:sz w:val="16"/>
                <w:szCs w:val="16"/>
              </w:rPr>
            </w:pPr>
            <w:r w:rsidRPr="004A0B2E">
              <w:rPr>
                <w:rFonts w:ascii="Arial Narrow" w:hAnsi="Arial Narrow" w:cs="Calibri"/>
                <w:sz w:val="16"/>
                <w:szCs w:val="16"/>
              </w:rPr>
              <w:t xml:space="preserve"> 02.5/2</w:t>
            </w:r>
          </w:p>
        </w:tc>
        <w:tc>
          <w:tcPr>
            <w:tcW w:w="5279" w:type="dxa"/>
            <w:tcBorders>
              <w:top w:val="nil"/>
              <w:left w:val="nil"/>
              <w:bottom w:val="single" w:sz="4" w:space="0" w:color="auto"/>
              <w:right w:val="single" w:sz="4" w:space="0" w:color="auto"/>
            </w:tcBorders>
            <w:shd w:val="clear" w:color="auto" w:fill="auto"/>
            <w:vAlign w:val="center"/>
            <w:hideMark/>
          </w:tcPr>
          <w:p w14:paraId="59D2B93B" w14:textId="77777777" w:rsidR="004A0B2E" w:rsidRPr="004A0B2E" w:rsidRDefault="004A0B2E" w:rsidP="004A0B2E">
            <w:pPr>
              <w:ind w:firstLineChars="200" w:firstLine="320"/>
              <w:rPr>
                <w:rFonts w:ascii="Arial Narrow" w:hAnsi="Arial Narrow" w:cs="Calibri"/>
                <w:sz w:val="16"/>
                <w:szCs w:val="16"/>
              </w:rPr>
            </w:pPr>
            <w:r w:rsidRPr="004A0B2E">
              <w:rPr>
                <w:rFonts w:ascii="Arial Narrow" w:hAnsi="Arial Narrow" w:cs="Calibri"/>
                <w:sz w:val="16"/>
                <w:szCs w:val="16"/>
              </w:rPr>
              <w:t>Хмел</w:t>
            </w:r>
          </w:p>
        </w:tc>
        <w:tc>
          <w:tcPr>
            <w:tcW w:w="957" w:type="dxa"/>
            <w:tcBorders>
              <w:top w:val="nil"/>
              <w:left w:val="nil"/>
              <w:bottom w:val="single" w:sz="4" w:space="0" w:color="auto"/>
              <w:right w:val="single" w:sz="4" w:space="0" w:color="auto"/>
            </w:tcBorders>
            <w:shd w:val="clear" w:color="auto" w:fill="auto"/>
            <w:vAlign w:val="center"/>
            <w:hideMark/>
          </w:tcPr>
          <w:p w14:paraId="0418F4F6" w14:textId="77777777" w:rsidR="004A0B2E" w:rsidRPr="004A0B2E" w:rsidRDefault="004A0B2E" w:rsidP="004A0B2E">
            <w:pPr>
              <w:jc w:val="right"/>
              <w:rPr>
                <w:rFonts w:ascii="Arial Narrow" w:hAnsi="Arial Narrow" w:cs="Calibri"/>
                <w:sz w:val="16"/>
                <w:szCs w:val="16"/>
              </w:rPr>
            </w:pPr>
            <w:r w:rsidRPr="004A0B2E">
              <w:rPr>
                <w:rFonts w:ascii="Arial Narrow" w:hAnsi="Arial Narrow" w:cs="Calibri"/>
                <w:sz w:val="16"/>
                <w:szCs w:val="16"/>
              </w:rPr>
              <w:t>1,3</w:t>
            </w:r>
          </w:p>
        </w:tc>
        <w:tc>
          <w:tcPr>
            <w:tcW w:w="1118" w:type="dxa"/>
            <w:tcBorders>
              <w:top w:val="nil"/>
              <w:left w:val="nil"/>
              <w:bottom w:val="single" w:sz="4" w:space="0" w:color="auto"/>
              <w:right w:val="single" w:sz="4" w:space="0" w:color="auto"/>
            </w:tcBorders>
            <w:shd w:val="clear" w:color="auto" w:fill="auto"/>
            <w:vAlign w:val="center"/>
            <w:hideMark/>
          </w:tcPr>
          <w:p w14:paraId="4C7A43C1" w14:textId="77777777" w:rsidR="004A0B2E" w:rsidRPr="004A0B2E" w:rsidRDefault="004A0B2E" w:rsidP="004A0B2E">
            <w:pPr>
              <w:jc w:val="right"/>
              <w:rPr>
                <w:rFonts w:ascii="Arial Narrow" w:hAnsi="Arial Narrow" w:cs="Calibri"/>
                <w:sz w:val="16"/>
                <w:szCs w:val="16"/>
              </w:rPr>
            </w:pPr>
            <w:r w:rsidRPr="004A0B2E">
              <w:rPr>
                <w:rFonts w:ascii="Arial Narrow" w:hAnsi="Arial Narrow" w:cs="Calibri"/>
                <w:sz w:val="16"/>
                <w:szCs w:val="16"/>
              </w:rPr>
              <w:t>-23,1</w:t>
            </w:r>
          </w:p>
        </w:tc>
        <w:tc>
          <w:tcPr>
            <w:tcW w:w="957" w:type="dxa"/>
            <w:tcBorders>
              <w:top w:val="nil"/>
              <w:left w:val="nil"/>
              <w:bottom w:val="single" w:sz="4" w:space="0" w:color="auto"/>
              <w:right w:val="single" w:sz="4" w:space="0" w:color="auto"/>
            </w:tcBorders>
            <w:shd w:val="clear" w:color="auto" w:fill="auto"/>
            <w:vAlign w:val="center"/>
            <w:hideMark/>
          </w:tcPr>
          <w:p w14:paraId="09861A69" w14:textId="77777777" w:rsidR="004A0B2E" w:rsidRPr="004A0B2E" w:rsidRDefault="004A0B2E" w:rsidP="004A0B2E">
            <w:pPr>
              <w:jc w:val="right"/>
              <w:rPr>
                <w:rFonts w:ascii="Arial Narrow" w:hAnsi="Arial Narrow" w:cs="Calibri"/>
                <w:sz w:val="16"/>
                <w:szCs w:val="16"/>
              </w:rPr>
            </w:pPr>
            <w:r w:rsidRPr="004A0B2E">
              <w:rPr>
                <w:rFonts w:ascii="Arial Narrow" w:hAnsi="Arial Narrow" w:cs="Calibri"/>
                <w:sz w:val="16"/>
                <w:szCs w:val="16"/>
              </w:rPr>
              <w:t>1,0</w:t>
            </w:r>
          </w:p>
        </w:tc>
        <w:tc>
          <w:tcPr>
            <w:tcW w:w="1256" w:type="dxa"/>
            <w:tcBorders>
              <w:top w:val="nil"/>
              <w:left w:val="nil"/>
              <w:bottom w:val="single" w:sz="4" w:space="0" w:color="auto"/>
              <w:right w:val="single" w:sz="4" w:space="0" w:color="auto"/>
            </w:tcBorders>
            <w:shd w:val="clear" w:color="auto" w:fill="auto"/>
            <w:vAlign w:val="center"/>
            <w:hideMark/>
          </w:tcPr>
          <w:p w14:paraId="78AFD2B5" w14:textId="77777777" w:rsidR="004A0B2E" w:rsidRPr="004A0B2E" w:rsidRDefault="004A0B2E" w:rsidP="004A0B2E">
            <w:pPr>
              <w:jc w:val="right"/>
              <w:rPr>
                <w:rFonts w:ascii="Arial Narrow" w:hAnsi="Arial Narrow" w:cs="Calibri"/>
                <w:sz w:val="16"/>
                <w:szCs w:val="16"/>
              </w:rPr>
            </w:pPr>
            <w:r w:rsidRPr="004A0B2E">
              <w:rPr>
                <w:rFonts w:ascii="Arial Narrow" w:hAnsi="Arial Narrow" w:cs="Calibri"/>
                <w:sz w:val="16"/>
                <w:szCs w:val="16"/>
              </w:rPr>
              <w:t>0,0</w:t>
            </w:r>
          </w:p>
        </w:tc>
        <w:tc>
          <w:tcPr>
            <w:tcW w:w="872" w:type="dxa"/>
            <w:tcBorders>
              <w:top w:val="nil"/>
              <w:left w:val="nil"/>
              <w:bottom w:val="single" w:sz="4" w:space="0" w:color="auto"/>
              <w:right w:val="single" w:sz="4" w:space="0" w:color="auto"/>
            </w:tcBorders>
            <w:shd w:val="clear" w:color="auto" w:fill="auto"/>
            <w:vAlign w:val="center"/>
            <w:hideMark/>
          </w:tcPr>
          <w:p w14:paraId="0C335C2C" w14:textId="77777777" w:rsidR="004A0B2E" w:rsidRPr="004A0B2E" w:rsidRDefault="004A0B2E" w:rsidP="004A0B2E">
            <w:pPr>
              <w:jc w:val="right"/>
              <w:rPr>
                <w:rFonts w:ascii="Arial Narrow" w:hAnsi="Arial Narrow" w:cs="Calibri"/>
                <w:sz w:val="16"/>
                <w:szCs w:val="16"/>
              </w:rPr>
            </w:pPr>
            <w:r w:rsidRPr="004A0B2E">
              <w:rPr>
                <w:rFonts w:ascii="Arial Narrow" w:hAnsi="Arial Narrow" w:cs="Calibri"/>
                <w:sz w:val="16"/>
                <w:szCs w:val="16"/>
              </w:rPr>
              <w:t>1,0</w:t>
            </w:r>
          </w:p>
        </w:tc>
      </w:tr>
      <w:tr w:rsidR="004A0B2E" w:rsidRPr="00B10684" w14:paraId="5731BA9B" w14:textId="77777777" w:rsidTr="005A18A5">
        <w:trPr>
          <w:trHeight w:val="183"/>
        </w:trPr>
        <w:tc>
          <w:tcPr>
            <w:tcW w:w="757" w:type="dxa"/>
            <w:tcBorders>
              <w:top w:val="nil"/>
              <w:left w:val="single" w:sz="4" w:space="0" w:color="auto"/>
              <w:bottom w:val="single" w:sz="4" w:space="0" w:color="auto"/>
              <w:right w:val="single" w:sz="4" w:space="0" w:color="auto"/>
            </w:tcBorders>
            <w:shd w:val="clear" w:color="auto" w:fill="auto"/>
            <w:noWrap/>
            <w:vAlign w:val="center"/>
            <w:hideMark/>
          </w:tcPr>
          <w:p w14:paraId="739E6339" w14:textId="77777777" w:rsidR="004A0B2E" w:rsidRPr="004A0B2E" w:rsidRDefault="004A0B2E" w:rsidP="004A0B2E">
            <w:pPr>
              <w:rPr>
                <w:rFonts w:ascii="Arial Narrow" w:hAnsi="Arial Narrow" w:cs="Calibri"/>
                <w:sz w:val="16"/>
                <w:szCs w:val="16"/>
              </w:rPr>
            </w:pPr>
            <w:r w:rsidRPr="004A0B2E">
              <w:rPr>
                <w:rFonts w:ascii="Arial Narrow" w:hAnsi="Arial Narrow" w:cs="Calibri"/>
                <w:sz w:val="16"/>
                <w:szCs w:val="16"/>
              </w:rPr>
              <w:t xml:space="preserve"> 02.5/3</w:t>
            </w:r>
          </w:p>
        </w:tc>
        <w:tc>
          <w:tcPr>
            <w:tcW w:w="5279" w:type="dxa"/>
            <w:tcBorders>
              <w:top w:val="nil"/>
              <w:left w:val="nil"/>
              <w:bottom w:val="single" w:sz="4" w:space="0" w:color="auto"/>
              <w:right w:val="single" w:sz="4" w:space="0" w:color="auto"/>
            </w:tcBorders>
            <w:shd w:val="clear" w:color="auto" w:fill="auto"/>
            <w:vAlign w:val="center"/>
            <w:hideMark/>
          </w:tcPr>
          <w:p w14:paraId="1E5179F8" w14:textId="77777777" w:rsidR="004A0B2E" w:rsidRPr="00CD44F3" w:rsidRDefault="004A0B2E" w:rsidP="004A0B2E">
            <w:pPr>
              <w:ind w:firstLineChars="200" w:firstLine="320"/>
              <w:rPr>
                <w:rFonts w:ascii="Arial Narrow" w:hAnsi="Arial Narrow" w:cs="Calibri"/>
                <w:sz w:val="16"/>
                <w:szCs w:val="16"/>
                <w:lang w:val="bg-BG"/>
              </w:rPr>
            </w:pPr>
            <w:r w:rsidRPr="004A0B2E">
              <w:rPr>
                <w:rFonts w:ascii="Arial Narrow" w:hAnsi="Arial Narrow" w:cs="Calibri"/>
                <w:sz w:val="16"/>
                <w:szCs w:val="16"/>
              </w:rPr>
              <w:t xml:space="preserve">Други технически </w:t>
            </w:r>
            <w:r w:rsidR="008E26A1">
              <w:rPr>
                <w:rFonts w:ascii="Arial Narrow" w:hAnsi="Arial Narrow" w:cs="Calibri"/>
                <w:sz w:val="16"/>
                <w:szCs w:val="16"/>
                <w:lang w:val="bg-BG"/>
              </w:rPr>
              <w:t>култури</w:t>
            </w:r>
          </w:p>
        </w:tc>
        <w:tc>
          <w:tcPr>
            <w:tcW w:w="957" w:type="dxa"/>
            <w:tcBorders>
              <w:top w:val="nil"/>
              <w:left w:val="nil"/>
              <w:bottom w:val="single" w:sz="4" w:space="0" w:color="auto"/>
              <w:right w:val="single" w:sz="4" w:space="0" w:color="auto"/>
            </w:tcBorders>
            <w:shd w:val="clear" w:color="auto" w:fill="auto"/>
            <w:vAlign w:val="center"/>
            <w:hideMark/>
          </w:tcPr>
          <w:p w14:paraId="36C0E71A" w14:textId="77777777" w:rsidR="004A0B2E" w:rsidRPr="004A0B2E" w:rsidRDefault="004A0B2E" w:rsidP="004A0B2E">
            <w:pPr>
              <w:jc w:val="right"/>
              <w:rPr>
                <w:rFonts w:ascii="Arial Narrow" w:hAnsi="Arial Narrow" w:cs="Calibri"/>
                <w:sz w:val="16"/>
                <w:szCs w:val="16"/>
              </w:rPr>
            </w:pPr>
            <w:r w:rsidRPr="004A0B2E">
              <w:rPr>
                <w:rFonts w:ascii="Arial Narrow" w:hAnsi="Arial Narrow" w:cs="Calibri"/>
                <w:sz w:val="16"/>
                <w:szCs w:val="16"/>
              </w:rPr>
              <w:t>131,9</w:t>
            </w:r>
          </w:p>
        </w:tc>
        <w:tc>
          <w:tcPr>
            <w:tcW w:w="1118" w:type="dxa"/>
            <w:tcBorders>
              <w:top w:val="nil"/>
              <w:left w:val="nil"/>
              <w:bottom w:val="single" w:sz="4" w:space="0" w:color="auto"/>
              <w:right w:val="single" w:sz="4" w:space="0" w:color="auto"/>
            </w:tcBorders>
            <w:shd w:val="clear" w:color="auto" w:fill="auto"/>
            <w:vAlign w:val="center"/>
            <w:hideMark/>
          </w:tcPr>
          <w:p w14:paraId="216E9947" w14:textId="77777777" w:rsidR="004A0B2E" w:rsidRPr="004A0B2E" w:rsidRDefault="004A0B2E" w:rsidP="004A0B2E">
            <w:pPr>
              <w:jc w:val="right"/>
              <w:rPr>
                <w:rFonts w:ascii="Arial Narrow" w:hAnsi="Arial Narrow" w:cs="Calibri"/>
                <w:sz w:val="16"/>
                <w:szCs w:val="16"/>
              </w:rPr>
            </w:pPr>
            <w:r w:rsidRPr="004A0B2E">
              <w:rPr>
                <w:rFonts w:ascii="Arial Narrow" w:hAnsi="Arial Narrow" w:cs="Calibri"/>
                <w:sz w:val="16"/>
                <w:szCs w:val="16"/>
              </w:rPr>
              <w:t>-20,9</w:t>
            </w:r>
          </w:p>
        </w:tc>
        <w:tc>
          <w:tcPr>
            <w:tcW w:w="957" w:type="dxa"/>
            <w:tcBorders>
              <w:top w:val="nil"/>
              <w:left w:val="nil"/>
              <w:bottom w:val="single" w:sz="4" w:space="0" w:color="auto"/>
              <w:right w:val="single" w:sz="4" w:space="0" w:color="auto"/>
            </w:tcBorders>
            <w:shd w:val="clear" w:color="auto" w:fill="auto"/>
            <w:vAlign w:val="center"/>
            <w:hideMark/>
          </w:tcPr>
          <w:p w14:paraId="2AFB018D" w14:textId="77777777" w:rsidR="004A0B2E" w:rsidRPr="004A0B2E" w:rsidRDefault="004A0B2E" w:rsidP="004A0B2E">
            <w:pPr>
              <w:jc w:val="right"/>
              <w:rPr>
                <w:rFonts w:ascii="Arial Narrow" w:hAnsi="Arial Narrow" w:cs="Calibri"/>
                <w:sz w:val="16"/>
                <w:szCs w:val="16"/>
              </w:rPr>
            </w:pPr>
            <w:r w:rsidRPr="004A0B2E">
              <w:rPr>
                <w:rFonts w:ascii="Arial Narrow" w:hAnsi="Arial Narrow" w:cs="Calibri"/>
                <w:sz w:val="16"/>
                <w:szCs w:val="16"/>
              </w:rPr>
              <w:t>104,3</w:t>
            </w:r>
          </w:p>
        </w:tc>
        <w:tc>
          <w:tcPr>
            <w:tcW w:w="1256" w:type="dxa"/>
            <w:tcBorders>
              <w:top w:val="nil"/>
              <w:left w:val="nil"/>
              <w:bottom w:val="single" w:sz="4" w:space="0" w:color="auto"/>
              <w:right w:val="single" w:sz="4" w:space="0" w:color="auto"/>
            </w:tcBorders>
            <w:shd w:val="clear" w:color="auto" w:fill="auto"/>
            <w:vAlign w:val="center"/>
            <w:hideMark/>
          </w:tcPr>
          <w:p w14:paraId="7A774002" w14:textId="77777777" w:rsidR="004A0B2E" w:rsidRPr="004A0B2E" w:rsidRDefault="004A0B2E" w:rsidP="004A0B2E">
            <w:pPr>
              <w:jc w:val="right"/>
              <w:rPr>
                <w:rFonts w:ascii="Arial Narrow" w:hAnsi="Arial Narrow" w:cs="Calibri"/>
                <w:sz w:val="16"/>
                <w:szCs w:val="16"/>
              </w:rPr>
            </w:pPr>
            <w:r w:rsidRPr="004A0B2E">
              <w:rPr>
                <w:rFonts w:ascii="Arial Narrow" w:hAnsi="Arial Narrow" w:cs="Calibri"/>
                <w:sz w:val="16"/>
                <w:szCs w:val="16"/>
              </w:rPr>
              <w:t>0,9</w:t>
            </w:r>
          </w:p>
        </w:tc>
        <w:tc>
          <w:tcPr>
            <w:tcW w:w="872" w:type="dxa"/>
            <w:tcBorders>
              <w:top w:val="nil"/>
              <w:left w:val="nil"/>
              <w:bottom w:val="single" w:sz="4" w:space="0" w:color="auto"/>
              <w:right w:val="single" w:sz="4" w:space="0" w:color="auto"/>
            </w:tcBorders>
            <w:shd w:val="clear" w:color="auto" w:fill="auto"/>
            <w:vAlign w:val="center"/>
            <w:hideMark/>
          </w:tcPr>
          <w:p w14:paraId="4BDF78FF" w14:textId="77777777" w:rsidR="004A0B2E" w:rsidRPr="004A0B2E" w:rsidRDefault="004A0B2E" w:rsidP="004A0B2E">
            <w:pPr>
              <w:jc w:val="right"/>
              <w:rPr>
                <w:rFonts w:ascii="Arial Narrow" w:hAnsi="Arial Narrow" w:cs="Calibri"/>
                <w:sz w:val="16"/>
                <w:szCs w:val="16"/>
              </w:rPr>
            </w:pPr>
            <w:r w:rsidRPr="004A0B2E">
              <w:rPr>
                <w:rFonts w:ascii="Arial Narrow" w:hAnsi="Arial Narrow" w:cs="Calibri"/>
                <w:sz w:val="16"/>
                <w:szCs w:val="16"/>
              </w:rPr>
              <w:t>105,2</w:t>
            </w:r>
          </w:p>
        </w:tc>
      </w:tr>
      <w:tr w:rsidR="004A0B2E" w:rsidRPr="00B10684" w14:paraId="0AAAC41A" w14:textId="77777777" w:rsidTr="005A18A5">
        <w:trPr>
          <w:trHeight w:val="183"/>
        </w:trPr>
        <w:tc>
          <w:tcPr>
            <w:tcW w:w="757" w:type="dxa"/>
            <w:tcBorders>
              <w:top w:val="nil"/>
              <w:left w:val="single" w:sz="4" w:space="0" w:color="auto"/>
              <w:bottom w:val="single" w:sz="4" w:space="0" w:color="auto"/>
              <w:right w:val="single" w:sz="4" w:space="0" w:color="auto"/>
            </w:tcBorders>
            <w:shd w:val="clear" w:color="auto" w:fill="auto"/>
            <w:noWrap/>
            <w:vAlign w:val="center"/>
            <w:hideMark/>
          </w:tcPr>
          <w:p w14:paraId="29D0C2B2" w14:textId="77777777" w:rsidR="004A0B2E" w:rsidRPr="004A0B2E" w:rsidRDefault="004A0B2E" w:rsidP="004A0B2E">
            <w:pPr>
              <w:rPr>
                <w:rFonts w:ascii="Arial Narrow" w:hAnsi="Arial Narrow" w:cs="Calibri"/>
                <w:sz w:val="16"/>
                <w:szCs w:val="16"/>
              </w:rPr>
            </w:pPr>
            <w:r w:rsidRPr="004A0B2E">
              <w:rPr>
                <w:rFonts w:ascii="Arial Narrow" w:hAnsi="Arial Narrow" w:cs="Calibri"/>
                <w:sz w:val="16"/>
                <w:szCs w:val="16"/>
              </w:rPr>
              <w:t xml:space="preserve"> 03</w:t>
            </w:r>
          </w:p>
        </w:tc>
        <w:tc>
          <w:tcPr>
            <w:tcW w:w="5279" w:type="dxa"/>
            <w:tcBorders>
              <w:top w:val="nil"/>
              <w:left w:val="nil"/>
              <w:bottom w:val="single" w:sz="4" w:space="0" w:color="auto"/>
              <w:right w:val="single" w:sz="4" w:space="0" w:color="auto"/>
            </w:tcBorders>
            <w:shd w:val="clear" w:color="auto" w:fill="auto"/>
            <w:vAlign w:val="center"/>
            <w:hideMark/>
          </w:tcPr>
          <w:p w14:paraId="48CA0034" w14:textId="77777777" w:rsidR="004A0B2E" w:rsidRPr="004A0B2E" w:rsidRDefault="004A0B2E" w:rsidP="004A0B2E">
            <w:pPr>
              <w:ind w:firstLineChars="100" w:firstLine="160"/>
              <w:rPr>
                <w:rFonts w:ascii="Arial Narrow" w:hAnsi="Arial Narrow" w:cs="Calibri"/>
                <w:sz w:val="16"/>
                <w:szCs w:val="16"/>
              </w:rPr>
            </w:pPr>
            <w:r w:rsidRPr="004A0B2E">
              <w:rPr>
                <w:rFonts w:ascii="Arial Narrow" w:hAnsi="Arial Narrow" w:cs="Calibri"/>
                <w:sz w:val="16"/>
                <w:szCs w:val="16"/>
              </w:rPr>
              <w:t>Фуражни култури</w:t>
            </w:r>
          </w:p>
        </w:tc>
        <w:tc>
          <w:tcPr>
            <w:tcW w:w="957" w:type="dxa"/>
            <w:tcBorders>
              <w:top w:val="nil"/>
              <w:left w:val="nil"/>
              <w:bottom w:val="single" w:sz="4" w:space="0" w:color="auto"/>
              <w:right w:val="single" w:sz="4" w:space="0" w:color="auto"/>
            </w:tcBorders>
            <w:shd w:val="clear" w:color="auto" w:fill="auto"/>
            <w:vAlign w:val="center"/>
            <w:hideMark/>
          </w:tcPr>
          <w:p w14:paraId="0876A70E" w14:textId="77777777" w:rsidR="004A0B2E" w:rsidRPr="004A0B2E" w:rsidRDefault="004A0B2E" w:rsidP="004A0B2E">
            <w:pPr>
              <w:jc w:val="right"/>
              <w:rPr>
                <w:rFonts w:ascii="Arial Narrow" w:hAnsi="Arial Narrow" w:cs="Calibri"/>
                <w:sz w:val="16"/>
                <w:szCs w:val="16"/>
              </w:rPr>
            </w:pPr>
            <w:r w:rsidRPr="004A0B2E">
              <w:rPr>
                <w:rFonts w:ascii="Arial Narrow" w:hAnsi="Arial Narrow" w:cs="Calibri"/>
                <w:sz w:val="16"/>
                <w:szCs w:val="16"/>
              </w:rPr>
              <w:t>206,7</w:t>
            </w:r>
          </w:p>
        </w:tc>
        <w:tc>
          <w:tcPr>
            <w:tcW w:w="1118" w:type="dxa"/>
            <w:tcBorders>
              <w:top w:val="nil"/>
              <w:left w:val="nil"/>
              <w:bottom w:val="single" w:sz="4" w:space="0" w:color="auto"/>
              <w:right w:val="single" w:sz="4" w:space="0" w:color="auto"/>
            </w:tcBorders>
            <w:shd w:val="clear" w:color="auto" w:fill="auto"/>
            <w:vAlign w:val="center"/>
            <w:hideMark/>
          </w:tcPr>
          <w:p w14:paraId="4AF38799" w14:textId="77777777" w:rsidR="004A0B2E" w:rsidRPr="004A0B2E" w:rsidRDefault="004A0B2E" w:rsidP="004A0B2E">
            <w:pPr>
              <w:jc w:val="right"/>
              <w:rPr>
                <w:rFonts w:ascii="Arial Narrow" w:hAnsi="Arial Narrow" w:cs="Calibri"/>
                <w:sz w:val="16"/>
                <w:szCs w:val="16"/>
              </w:rPr>
            </w:pPr>
            <w:r w:rsidRPr="004A0B2E">
              <w:rPr>
                <w:rFonts w:ascii="Arial Narrow" w:hAnsi="Arial Narrow" w:cs="Calibri"/>
                <w:sz w:val="16"/>
                <w:szCs w:val="16"/>
              </w:rPr>
              <w:t>9,9</w:t>
            </w:r>
          </w:p>
        </w:tc>
        <w:tc>
          <w:tcPr>
            <w:tcW w:w="957" w:type="dxa"/>
            <w:tcBorders>
              <w:top w:val="nil"/>
              <w:left w:val="nil"/>
              <w:bottom w:val="single" w:sz="4" w:space="0" w:color="auto"/>
              <w:right w:val="single" w:sz="4" w:space="0" w:color="auto"/>
            </w:tcBorders>
            <w:shd w:val="clear" w:color="auto" w:fill="auto"/>
            <w:vAlign w:val="center"/>
            <w:hideMark/>
          </w:tcPr>
          <w:p w14:paraId="7BA5C54E" w14:textId="77777777" w:rsidR="004A0B2E" w:rsidRPr="004A0B2E" w:rsidRDefault="004A0B2E" w:rsidP="004A0B2E">
            <w:pPr>
              <w:jc w:val="right"/>
              <w:rPr>
                <w:rFonts w:ascii="Arial Narrow" w:hAnsi="Arial Narrow" w:cs="Calibri"/>
                <w:sz w:val="16"/>
                <w:szCs w:val="16"/>
              </w:rPr>
            </w:pPr>
            <w:r w:rsidRPr="004A0B2E">
              <w:rPr>
                <w:rFonts w:ascii="Arial Narrow" w:hAnsi="Arial Narrow" w:cs="Calibri"/>
                <w:sz w:val="16"/>
                <w:szCs w:val="16"/>
              </w:rPr>
              <w:t>227,2</w:t>
            </w:r>
          </w:p>
        </w:tc>
        <w:tc>
          <w:tcPr>
            <w:tcW w:w="1256" w:type="dxa"/>
            <w:tcBorders>
              <w:top w:val="nil"/>
              <w:left w:val="nil"/>
              <w:bottom w:val="single" w:sz="4" w:space="0" w:color="auto"/>
              <w:right w:val="single" w:sz="4" w:space="0" w:color="auto"/>
            </w:tcBorders>
            <w:shd w:val="clear" w:color="auto" w:fill="auto"/>
            <w:vAlign w:val="center"/>
            <w:hideMark/>
          </w:tcPr>
          <w:p w14:paraId="218F418A" w14:textId="77777777" w:rsidR="004A0B2E" w:rsidRPr="004A0B2E" w:rsidRDefault="004A0B2E" w:rsidP="004A0B2E">
            <w:pPr>
              <w:jc w:val="right"/>
              <w:rPr>
                <w:rFonts w:ascii="Arial Narrow" w:hAnsi="Arial Narrow" w:cs="Calibri"/>
                <w:sz w:val="16"/>
                <w:szCs w:val="16"/>
              </w:rPr>
            </w:pPr>
            <w:r w:rsidRPr="004A0B2E">
              <w:rPr>
                <w:rFonts w:ascii="Arial Narrow" w:hAnsi="Arial Narrow" w:cs="Calibri"/>
                <w:sz w:val="16"/>
                <w:szCs w:val="16"/>
              </w:rPr>
              <w:t>-9,6</w:t>
            </w:r>
          </w:p>
        </w:tc>
        <w:tc>
          <w:tcPr>
            <w:tcW w:w="872" w:type="dxa"/>
            <w:tcBorders>
              <w:top w:val="nil"/>
              <w:left w:val="nil"/>
              <w:bottom w:val="single" w:sz="4" w:space="0" w:color="auto"/>
              <w:right w:val="single" w:sz="4" w:space="0" w:color="auto"/>
            </w:tcBorders>
            <w:shd w:val="clear" w:color="auto" w:fill="auto"/>
            <w:vAlign w:val="center"/>
            <w:hideMark/>
          </w:tcPr>
          <w:p w14:paraId="0FD21CE2" w14:textId="77777777" w:rsidR="004A0B2E" w:rsidRPr="004A0B2E" w:rsidRDefault="004A0B2E" w:rsidP="004A0B2E">
            <w:pPr>
              <w:jc w:val="right"/>
              <w:rPr>
                <w:rFonts w:ascii="Arial Narrow" w:hAnsi="Arial Narrow" w:cs="Calibri"/>
                <w:sz w:val="16"/>
                <w:szCs w:val="16"/>
              </w:rPr>
            </w:pPr>
            <w:r w:rsidRPr="004A0B2E">
              <w:rPr>
                <w:rFonts w:ascii="Arial Narrow" w:hAnsi="Arial Narrow" w:cs="Calibri"/>
                <w:sz w:val="16"/>
                <w:szCs w:val="16"/>
              </w:rPr>
              <w:t>205,3</w:t>
            </w:r>
          </w:p>
        </w:tc>
      </w:tr>
      <w:tr w:rsidR="004A0B2E" w:rsidRPr="00B10684" w14:paraId="4F66F6EA" w14:textId="77777777" w:rsidTr="005A18A5">
        <w:trPr>
          <w:trHeight w:val="56"/>
        </w:trPr>
        <w:tc>
          <w:tcPr>
            <w:tcW w:w="757" w:type="dxa"/>
            <w:tcBorders>
              <w:top w:val="nil"/>
              <w:left w:val="single" w:sz="4" w:space="0" w:color="auto"/>
              <w:bottom w:val="single" w:sz="4" w:space="0" w:color="auto"/>
              <w:right w:val="single" w:sz="4" w:space="0" w:color="auto"/>
            </w:tcBorders>
            <w:shd w:val="clear" w:color="auto" w:fill="auto"/>
            <w:noWrap/>
            <w:vAlign w:val="center"/>
            <w:hideMark/>
          </w:tcPr>
          <w:p w14:paraId="5431BD2F" w14:textId="77777777" w:rsidR="004A0B2E" w:rsidRPr="004A0B2E" w:rsidRDefault="004A0B2E" w:rsidP="004A0B2E">
            <w:pPr>
              <w:rPr>
                <w:rFonts w:ascii="Arial Narrow" w:hAnsi="Arial Narrow" w:cs="Calibri"/>
                <w:sz w:val="16"/>
                <w:szCs w:val="16"/>
              </w:rPr>
            </w:pPr>
            <w:r w:rsidRPr="004A0B2E">
              <w:rPr>
                <w:rFonts w:ascii="Arial Narrow" w:hAnsi="Arial Narrow" w:cs="Calibri"/>
                <w:sz w:val="16"/>
                <w:szCs w:val="16"/>
              </w:rPr>
              <w:t xml:space="preserve"> 03.1</w:t>
            </w:r>
          </w:p>
        </w:tc>
        <w:tc>
          <w:tcPr>
            <w:tcW w:w="5279" w:type="dxa"/>
            <w:tcBorders>
              <w:top w:val="nil"/>
              <w:left w:val="nil"/>
              <w:bottom w:val="single" w:sz="4" w:space="0" w:color="auto"/>
              <w:right w:val="single" w:sz="4" w:space="0" w:color="auto"/>
            </w:tcBorders>
            <w:shd w:val="clear" w:color="auto" w:fill="auto"/>
            <w:vAlign w:val="center"/>
            <w:hideMark/>
          </w:tcPr>
          <w:p w14:paraId="1333A691" w14:textId="77777777" w:rsidR="004A0B2E" w:rsidRPr="004A0B2E" w:rsidRDefault="004A0B2E" w:rsidP="004A0B2E">
            <w:pPr>
              <w:ind w:firstLineChars="200" w:firstLine="320"/>
              <w:rPr>
                <w:rFonts w:ascii="Arial Narrow" w:hAnsi="Arial Narrow" w:cs="Calibri"/>
                <w:sz w:val="16"/>
                <w:szCs w:val="16"/>
              </w:rPr>
            </w:pPr>
            <w:r w:rsidRPr="004A0B2E">
              <w:rPr>
                <w:rFonts w:ascii="Arial Narrow" w:hAnsi="Arial Narrow" w:cs="Calibri"/>
                <w:sz w:val="16"/>
                <w:szCs w:val="16"/>
              </w:rPr>
              <w:t>Царевица за силаж</w:t>
            </w:r>
          </w:p>
        </w:tc>
        <w:tc>
          <w:tcPr>
            <w:tcW w:w="957" w:type="dxa"/>
            <w:tcBorders>
              <w:top w:val="nil"/>
              <w:left w:val="nil"/>
              <w:bottom w:val="single" w:sz="4" w:space="0" w:color="auto"/>
              <w:right w:val="single" w:sz="4" w:space="0" w:color="auto"/>
            </w:tcBorders>
            <w:shd w:val="clear" w:color="auto" w:fill="auto"/>
            <w:vAlign w:val="center"/>
            <w:hideMark/>
          </w:tcPr>
          <w:p w14:paraId="3F89D122" w14:textId="77777777" w:rsidR="004A0B2E" w:rsidRPr="004A0B2E" w:rsidRDefault="004A0B2E" w:rsidP="004A0B2E">
            <w:pPr>
              <w:jc w:val="right"/>
              <w:rPr>
                <w:rFonts w:ascii="Arial Narrow" w:hAnsi="Arial Narrow" w:cs="Calibri"/>
                <w:sz w:val="16"/>
                <w:szCs w:val="16"/>
              </w:rPr>
            </w:pPr>
            <w:r w:rsidRPr="004A0B2E">
              <w:rPr>
                <w:rFonts w:ascii="Arial Narrow" w:hAnsi="Arial Narrow" w:cs="Calibri"/>
                <w:sz w:val="16"/>
                <w:szCs w:val="16"/>
              </w:rPr>
              <w:t>68,9</w:t>
            </w:r>
          </w:p>
        </w:tc>
        <w:tc>
          <w:tcPr>
            <w:tcW w:w="1118" w:type="dxa"/>
            <w:tcBorders>
              <w:top w:val="nil"/>
              <w:left w:val="nil"/>
              <w:bottom w:val="single" w:sz="4" w:space="0" w:color="auto"/>
              <w:right w:val="single" w:sz="4" w:space="0" w:color="auto"/>
            </w:tcBorders>
            <w:shd w:val="clear" w:color="auto" w:fill="auto"/>
            <w:vAlign w:val="center"/>
            <w:hideMark/>
          </w:tcPr>
          <w:p w14:paraId="2528D1A1" w14:textId="77777777" w:rsidR="004A0B2E" w:rsidRPr="004A0B2E" w:rsidRDefault="004A0B2E" w:rsidP="004A0B2E">
            <w:pPr>
              <w:jc w:val="right"/>
              <w:rPr>
                <w:rFonts w:ascii="Arial Narrow" w:hAnsi="Arial Narrow" w:cs="Calibri"/>
                <w:sz w:val="16"/>
                <w:szCs w:val="16"/>
              </w:rPr>
            </w:pPr>
            <w:r w:rsidRPr="004A0B2E">
              <w:rPr>
                <w:rFonts w:ascii="Arial Narrow" w:hAnsi="Arial Narrow" w:cs="Calibri"/>
                <w:sz w:val="16"/>
                <w:szCs w:val="16"/>
              </w:rPr>
              <w:t>5,4</w:t>
            </w:r>
          </w:p>
        </w:tc>
        <w:tc>
          <w:tcPr>
            <w:tcW w:w="957" w:type="dxa"/>
            <w:tcBorders>
              <w:top w:val="nil"/>
              <w:left w:val="nil"/>
              <w:bottom w:val="single" w:sz="4" w:space="0" w:color="auto"/>
              <w:right w:val="single" w:sz="4" w:space="0" w:color="auto"/>
            </w:tcBorders>
            <w:shd w:val="clear" w:color="auto" w:fill="auto"/>
            <w:vAlign w:val="center"/>
            <w:hideMark/>
          </w:tcPr>
          <w:p w14:paraId="29FEE3E2" w14:textId="77777777" w:rsidR="004A0B2E" w:rsidRPr="004A0B2E" w:rsidRDefault="004A0B2E" w:rsidP="004A0B2E">
            <w:pPr>
              <w:jc w:val="right"/>
              <w:rPr>
                <w:rFonts w:ascii="Arial Narrow" w:hAnsi="Arial Narrow" w:cs="Calibri"/>
                <w:sz w:val="16"/>
                <w:szCs w:val="16"/>
              </w:rPr>
            </w:pPr>
            <w:r w:rsidRPr="004A0B2E">
              <w:rPr>
                <w:rFonts w:ascii="Arial Narrow" w:hAnsi="Arial Narrow" w:cs="Calibri"/>
                <w:sz w:val="16"/>
                <w:szCs w:val="16"/>
              </w:rPr>
              <w:t>72,6</w:t>
            </w:r>
          </w:p>
        </w:tc>
        <w:tc>
          <w:tcPr>
            <w:tcW w:w="1256" w:type="dxa"/>
            <w:tcBorders>
              <w:top w:val="nil"/>
              <w:left w:val="nil"/>
              <w:bottom w:val="single" w:sz="4" w:space="0" w:color="auto"/>
              <w:right w:val="single" w:sz="4" w:space="0" w:color="auto"/>
            </w:tcBorders>
            <w:shd w:val="clear" w:color="auto" w:fill="auto"/>
            <w:vAlign w:val="center"/>
            <w:hideMark/>
          </w:tcPr>
          <w:p w14:paraId="32791923" w14:textId="77777777" w:rsidR="004A0B2E" w:rsidRPr="004A0B2E" w:rsidRDefault="004A0B2E" w:rsidP="004A0B2E">
            <w:pPr>
              <w:jc w:val="right"/>
              <w:rPr>
                <w:rFonts w:ascii="Arial Narrow" w:hAnsi="Arial Narrow" w:cs="Calibri"/>
                <w:sz w:val="16"/>
                <w:szCs w:val="16"/>
              </w:rPr>
            </w:pPr>
            <w:r w:rsidRPr="004A0B2E">
              <w:rPr>
                <w:rFonts w:ascii="Arial Narrow" w:hAnsi="Arial Narrow" w:cs="Calibri"/>
                <w:sz w:val="16"/>
                <w:szCs w:val="16"/>
              </w:rPr>
              <w:t>-18,7</w:t>
            </w:r>
          </w:p>
        </w:tc>
        <w:tc>
          <w:tcPr>
            <w:tcW w:w="872" w:type="dxa"/>
            <w:tcBorders>
              <w:top w:val="nil"/>
              <w:left w:val="nil"/>
              <w:bottom w:val="single" w:sz="4" w:space="0" w:color="auto"/>
              <w:right w:val="single" w:sz="4" w:space="0" w:color="auto"/>
            </w:tcBorders>
            <w:shd w:val="clear" w:color="auto" w:fill="auto"/>
            <w:vAlign w:val="center"/>
            <w:hideMark/>
          </w:tcPr>
          <w:p w14:paraId="6AC62ADB" w14:textId="77777777" w:rsidR="004A0B2E" w:rsidRPr="004A0B2E" w:rsidRDefault="004A0B2E" w:rsidP="004A0B2E">
            <w:pPr>
              <w:jc w:val="right"/>
              <w:rPr>
                <w:rFonts w:ascii="Arial Narrow" w:hAnsi="Arial Narrow" w:cs="Calibri"/>
                <w:sz w:val="16"/>
                <w:szCs w:val="16"/>
              </w:rPr>
            </w:pPr>
            <w:r w:rsidRPr="004A0B2E">
              <w:rPr>
                <w:rFonts w:ascii="Arial Narrow" w:hAnsi="Arial Narrow" w:cs="Calibri"/>
                <w:sz w:val="16"/>
                <w:szCs w:val="16"/>
              </w:rPr>
              <w:t>59,0</w:t>
            </w:r>
          </w:p>
        </w:tc>
      </w:tr>
      <w:tr w:rsidR="004A0B2E" w:rsidRPr="00B10684" w14:paraId="4B60531D" w14:textId="77777777" w:rsidTr="005A18A5">
        <w:trPr>
          <w:trHeight w:val="183"/>
        </w:trPr>
        <w:tc>
          <w:tcPr>
            <w:tcW w:w="757" w:type="dxa"/>
            <w:tcBorders>
              <w:top w:val="nil"/>
              <w:left w:val="single" w:sz="4" w:space="0" w:color="auto"/>
              <w:bottom w:val="single" w:sz="4" w:space="0" w:color="auto"/>
              <w:right w:val="single" w:sz="4" w:space="0" w:color="auto"/>
            </w:tcBorders>
            <w:shd w:val="clear" w:color="auto" w:fill="auto"/>
            <w:noWrap/>
            <w:vAlign w:val="center"/>
            <w:hideMark/>
          </w:tcPr>
          <w:p w14:paraId="3C1B4374" w14:textId="77777777" w:rsidR="004A0B2E" w:rsidRPr="004A0B2E" w:rsidRDefault="004A0B2E" w:rsidP="004A0B2E">
            <w:pPr>
              <w:rPr>
                <w:rFonts w:ascii="Arial Narrow" w:hAnsi="Arial Narrow" w:cs="Calibri"/>
                <w:sz w:val="16"/>
                <w:szCs w:val="16"/>
              </w:rPr>
            </w:pPr>
            <w:r w:rsidRPr="004A0B2E">
              <w:rPr>
                <w:rFonts w:ascii="Arial Narrow" w:hAnsi="Arial Narrow" w:cs="Calibri"/>
                <w:sz w:val="16"/>
                <w:szCs w:val="16"/>
              </w:rPr>
              <w:t xml:space="preserve"> 03.2</w:t>
            </w:r>
          </w:p>
        </w:tc>
        <w:tc>
          <w:tcPr>
            <w:tcW w:w="5279" w:type="dxa"/>
            <w:tcBorders>
              <w:top w:val="nil"/>
              <w:left w:val="nil"/>
              <w:bottom w:val="single" w:sz="4" w:space="0" w:color="auto"/>
              <w:right w:val="single" w:sz="4" w:space="0" w:color="auto"/>
            </w:tcBorders>
            <w:shd w:val="clear" w:color="auto" w:fill="auto"/>
            <w:vAlign w:val="center"/>
            <w:hideMark/>
          </w:tcPr>
          <w:p w14:paraId="7CF787D0" w14:textId="77777777" w:rsidR="004A0B2E" w:rsidRPr="004A0B2E" w:rsidRDefault="004A0B2E" w:rsidP="004A0B2E">
            <w:pPr>
              <w:ind w:firstLineChars="200" w:firstLine="320"/>
              <w:rPr>
                <w:rFonts w:ascii="Arial Narrow" w:hAnsi="Arial Narrow" w:cs="Calibri"/>
                <w:sz w:val="16"/>
                <w:szCs w:val="16"/>
              </w:rPr>
            </w:pPr>
            <w:r w:rsidRPr="004A0B2E">
              <w:rPr>
                <w:rFonts w:ascii="Arial Narrow" w:hAnsi="Arial Narrow" w:cs="Calibri"/>
                <w:sz w:val="16"/>
                <w:szCs w:val="16"/>
              </w:rPr>
              <w:t>Кореноплодни фуражи</w:t>
            </w:r>
          </w:p>
        </w:tc>
        <w:tc>
          <w:tcPr>
            <w:tcW w:w="957" w:type="dxa"/>
            <w:tcBorders>
              <w:top w:val="nil"/>
              <w:left w:val="nil"/>
              <w:bottom w:val="single" w:sz="4" w:space="0" w:color="auto"/>
              <w:right w:val="single" w:sz="4" w:space="0" w:color="auto"/>
            </w:tcBorders>
            <w:shd w:val="clear" w:color="auto" w:fill="auto"/>
            <w:vAlign w:val="center"/>
            <w:hideMark/>
          </w:tcPr>
          <w:p w14:paraId="3F222C20" w14:textId="77777777" w:rsidR="004A0B2E" w:rsidRPr="004A0B2E" w:rsidRDefault="004A0B2E" w:rsidP="004A0B2E">
            <w:pPr>
              <w:jc w:val="right"/>
              <w:rPr>
                <w:rFonts w:ascii="Arial Narrow" w:hAnsi="Arial Narrow" w:cs="Calibri"/>
                <w:sz w:val="16"/>
                <w:szCs w:val="16"/>
              </w:rPr>
            </w:pPr>
            <w:r w:rsidRPr="004A0B2E">
              <w:rPr>
                <w:rFonts w:ascii="Arial Narrow" w:hAnsi="Arial Narrow" w:cs="Calibri"/>
                <w:sz w:val="16"/>
                <w:szCs w:val="16"/>
              </w:rPr>
              <w:t>0,1</w:t>
            </w:r>
          </w:p>
        </w:tc>
        <w:tc>
          <w:tcPr>
            <w:tcW w:w="1118" w:type="dxa"/>
            <w:tcBorders>
              <w:top w:val="nil"/>
              <w:left w:val="nil"/>
              <w:bottom w:val="single" w:sz="4" w:space="0" w:color="auto"/>
              <w:right w:val="single" w:sz="4" w:space="0" w:color="auto"/>
            </w:tcBorders>
            <w:shd w:val="clear" w:color="auto" w:fill="auto"/>
            <w:vAlign w:val="center"/>
            <w:hideMark/>
          </w:tcPr>
          <w:p w14:paraId="1D03A151" w14:textId="77777777" w:rsidR="004A0B2E" w:rsidRPr="004A0B2E" w:rsidRDefault="004A0B2E" w:rsidP="004A0B2E">
            <w:pPr>
              <w:jc w:val="right"/>
              <w:rPr>
                <w:rFonts w:ascii="Arial Narrow" w:hAnsi="Arial Narrow" w:cs="Calibri"/>
                <w:sz w:val="16"/>
                <w:szCs w:val="16"/>
              </w:rPr>
            </w:pPr>
            <w:r w:rsidRPr="004A0B2E">
              <w:rPr>
                <w:rFonts w:ascii="Arial Narrow" w:hAnsi="Arial Narrow" w:cs="Calibri"/>
                <w:sz w:val="16"/>
                <w:szCs w:val="16"/>
              </w:rPr>
              <w:t>-100,0</w:t>
            </w:r>
          </w:p>
        </w:tc>
        <w:tc>
          <w:tcPr>
            <w:tcW w:w="957" w:type="dxa"/>
            <w:tcBorders>
              <w:top w:val="nil"/>
              <w:left w:val="nil"/>
              <w:bottom w:val="single" w:sz="4" w:space="0" w:color="auto"/>
              <w:right w:val="single" w:sz="4" w:space="0" w:color="auto"/>
            </w:tcBorders>
            <w:shd w:val="clear" w:color="auto" w:fill="auto"/>
            <w:vAlign w:val="center"/>
            <w:hideMark/>
          </w:tcPr>
          <w:p w14:paraId="2F50642A" w14:textId="77777777" w:rsidR="004A0B2E" w:rsidRPr="004A0B2E" w:rsidRDefault="004A0B2E" w:rsidP="004A0B2E">
            <w:pPr>
              <w:jc w:val="right"/>
              <w:rPr>
                <w:rFonts w:ascii="Arial Narrow" w:hAnsi="Arial Narrow" w:cs="Calibri"/>
                <w:sz w:val="16"/>
                <w:szCs w:val="16"/>
              </w:rPr>
            </w:pPr>
            <w:r w:rsidRPr="004A0B2E">
              <w:rPr>
                <w:rFonts w:ascii="Arial Narrow" w:hAnsi="Arial Narrow" w:cs="Calibri"/>
                <w:sz w:val="16"/>
                <w:szCs w:val="16"/>
              </w:rPr>
              <w:t>0,0</w:t>
            </w:r>
          </w:p>
        </w:tc>
        <w:tc>
          <w:tcPr>
            <w:tcW w:w="1256" w:type="dxa"/>
            <w:tcBorders>
              <w:top w:val="nil"/>
              <w:left w:val="nil"/>
              <w:bottom w:val="single" w:sz="4" w:space="0" w:color="auto"/>
              <w:right w:val="single" w:sz="4" w:space="0" w:color="auto"/>
            </w:tcBorders>
            <w:shd w:val="clear" w:color="auto" w:fill="auto"/>
            <w:vAlign w:val="center"/>
            <w:hideMark/>
          </w:tcPr>
          <w:p w14:paraId="3A1F5A87" w14:textId="77777777" w:rsidR="004A0B2E" w:rsidRPr="004A0B2E" w:rsidRDefault="004A0B2E" w:rsidP="004A0B2E">
            <w:pPr>
              <w:rPr>
                <w:rFonts w:ascii="Arial Narrow" w:hAnsi="Arial Narrow" w:cs="Calibri"/>
                <w:sz w:val="16"/>
                <w:szCs w:val="16"/>
              </w:rPr>
            </w:pPr>
            <w:r w:rsidRPr="004A0B2E">
              <w:rPr>
                <w:rFonts w:ascii="Arial Narrow" w:hAnsi="Arial Narrow" w:cs="Calibri"/>
                <w:sz w:val="16"/>
                <w:szCs w:val="16"/>
              </w:rPr>
              <w:t> </w:t>
            </w:r>
          </w:p>
        </w:tc>
        <w:tc>
          <w:tcPr>
            <w:tcW w:w="872" w:type="dxa"/>
            <w:tcBorders>
              <w:top w:val="nil"/>
              <w:left w:val="nil"/>
              <w:bottom w:val="single" w:sz="4" w:space="0" w:color="auto"/>
              <w:right w:val="single" w:sz="4" w:space="0" w:color="auto"/>
            </w:tcBorders>
            <w:shd w:val="clear" w:color="auto" w:fill="auto"/>
            <w:vAlign w:val="center"/>
            <w:hideMark/>
          </w:tcPr>
          <w:p w14:paraId="5FE0BA84" w14:textId="77777777" w:rsidR="004A0B2E" w:rsidRPr="004A0B2E" w:rsidRDefault="004A0B2E" w:rsidP="004A0B2E">
            <w:pPr>
              <w:jc w:val="right"/>
              <w:rPr>
                <w:rFonts w:ascii="Arial Narrow" w:hAnsi="Arial Narrow" w:cs="Calibri"/>
                <w:sz w:val="16"/>
                <w:szCs w:val="16"/>
              </w:rPr>
            </w:pPr>
            <w:r w:rsidRPr="004A0B2E">
              <w:rPr>
                <w:rFonts w:ascii="Arial Narrow" w:hAnsi="Arial Narrow" w:cs="Calibri"/>
                <w:sz w:val="16"/>
                <w:szCs w:val="16"/>
              </w:rPr>
              <w:t>0,0</w:t>
            </w:r>
          </w:p>
        </w:tc>
      </w:tr>
      <w:tr w:rsidR="004A0B2E" w:rsidRPr="00B10684" w14:paraId="5F80D695" w14:textId="77777777" w:rsidTr="005A18A5">
        <w:trPr>
          <w:trHeight w:val="183"/>
        </w:trPr>
        <w:tc>
          <w:tcPr>
            <w:tcW w:w="757" w:type="dxa"/>
            <w:tcBorders>
              <w:top w:val="nil"/>
              <w:left w:val="single" w:sz="4" w:space="0" w:color="auto"/>
              <w:bottom w:val="single" w:sz="4" w:space="0" w:color="auto"/>
              <w:right w:val="single" w:sz="4" w:space="0" w:color="auto"/>
            </w:tcBorders>
            <w:shd w:val="clear" w:color="auto" w:fill="auto"/>
            <w:noWrap/>
            <w:vAlign w:val="center"/>
            <w:hideMark/>
          </w:tcPr>
          <w:p w14:paraId="49614E5C" w14:textId="77777777" w:rsidR="004A0B2E" w:rsidRPr="004A0B2E" w:rsidRDefault="004A0B2E" w:rsidP="004A0B2E">
            <w:pPr>
              <w:rPr>
                <w:rFonts w:ascii="Arial Narrow" w:hAnsi="Arial Narrow" w:cs="Calibri"/>
                <w:sz w:val="16"/>
                <w:szCs w:val="16"/>
              </w:rPr>
            </w:pPr>
            <w:r w:rsidRPr="004A0B2E">
              <w:rPr>
                <w:rFonts w:ascii="Arial Narrow" w:hAnsi="Arial Narrow" w:cs="Calibri"/>
                <w:sz w:val="16"/>
                <w:szCs w:val="16"/>
              </w:rPr>
              <w:t xml:space="preserve"> 03.3</w:t>
            </w:r>
          </w:p>
        </w:tc>
        <w:tc>
          <w:tcPr>
            <w:tcW w:w="5279" w:type="dxa"/>
            <w:tcBorders>
              <w:top w:val="nil"/>
              <w:left w:val="nil"/>
              <w:bottom w:val="single" w:sz="4" w:space="0" w:color="auto"/>
              <w:right w:val="single" w:sz="4" w:space="0" w:color="auto"/>
            </w:tcBorders>
            <w:shd w:val="clear" w:color="auto" w:fill="auto"/>
            <w:vAlign w:val="center"/>
            <w:hideMark/>
          </w:tcPr>
          <w:p w14:paraId="3507FC8F" w14:textId="77777777" w:rsidR="004A0B2E" w:rsidRPr="00CD44F3" w:rsidRDefault="004A0B2E" w:rsidP="004A0B2E">
            <w:pPr>
              <w:ind w:firstLineChars="200" w:firstLine="320"/>
              <w:rPr>
                <w:rFonts w:ascii="Arial Narrow" w:hAnsi="Arial Narrow" w:cs="Calibri"/>
                <w:sz w:val="16"/>
                <w:szCs w:val="16"/>
                <w:lang w:val="bg-BG"/>
              </w:rPr>
            </w:pPr>
            <w:r w:rsidRPr="004A0B2E">
              <w:rPr>
                <w:rFonts w:ascii="Arial Narrow" w:hAnsi="Arial Narrow" w:cs="Calibri"/>
                <w:sz w:val="16"/>
                <w:szCs w:val="16"/>
              </w:rPr>
              <w:t>Други фуражни</w:t>
            </w:r>
            <w:r w:rsidR="008E26A1">
              <w:rPr>
                <w:rFonts w:ascii="Arial Narrow" w:hAnsi="Arial Narrow" w:cs="Calibri"/>
                <w:sz w:val="16"/>
                <w:szCs w:val="16"/>
                <w:lang w:val="bg-BG"/>
              </w:rPr>
              <w:t xml:space="preserve"> култури</w:t>
            </w:r>
          </w:p>
        </w:tc>
        <w:tc>
          <w:tcPr>
            <w:tcW w:w="957" w:type="dxa"/>
            <w:tcBorders>
              <w:top w:val="nil"/>
              <w:left w:val="nil"/>
              <w:bottom w:val="single" w:sz="4" w:space="0" w:color="auto"/>
              <w:right w:val="single" w:sz="4" w:space="0" w:color="auto"/>
            </w:tcBorders>
            <w:shd w:val="clear" w:color="auto" w:fill="auto"/>
            <w:vAlign w:val="center"/>
            <w:hideMark/>
          </w:tcPr>
          <w:p w14:paraId="0E70CB53" w14:textId="77777777" w:rsidR="004A0B2E" w:rsidRPr="004A0B2E" w:rsidRDefault="004A0B2E" w:rsidP="004A0B2E">
            <w:pPr>
              <w:jc w:val="right"/>
              <w:rPr>
                <w:rFonts w:ascii="Arial Narrow" w:hAnsi="Arial Narrow" w:cs="Calibri"/>
                <w:sz w:val="16"/>
                <w:szCs w:val="16"/>
              </w:rPr>
            </w:pPr>
            <w:r w:rsidRPr="004A0B2E">
              <w:rPr>
                <w:rFonts w:ascii="Arial Narrow" w:hAnsi="Arial Narrow" w:cs="Calibri"/>
                <w:sz w:val="16"/>
                <w:szCs w:val="16"/>
              </w:rPr>
              <w:t>137,7</w:t>
            </w:r>
          </w:p>
        </w:tc>
        <w:tc>
          <w:tcPr>
            <w:tcW w:w="1118" w:type="dxa"/>
            <w:tcBorders>
              <w:top w:val="nil"/>
              <w:left w:val="nil"/>
              <w:bottom w:val="single" w:sz="4" w:space="0" w:color="auto"/>
              <w:right w:val="single" w:sz="4" w:space="0" w:color="auto"/>
            </w:tcBorders>
            <w:shd w:val="clear" w:color="auto" w:fill="auto"/>
            <w:vAlign w:val="center"/>
            <w:hideMark/>
          </w:tcPr>
          <w:p w14:paraId="1834ECAC" w14:textId="77777777" w:rsidR="004A0B2E" w:rsidRPr="004A0B2E" w:rsidRDefault="004A0B2E" w:rsidP="004A0B2E">
            <w:pPr>
              <w:jc w:val="right"/>
              <w:rPr>
                <w:rFonts w:ascii="Arial Narrow" w:hAnsi="Arial Narrow" w:cs="Calibri"/>
                <w:sz w:val="16"/>
                <w:szCs w:val="16"/>
              </w:rPr>
            </w:pPr>
            <w:r w:rsidRPr="004A0B2E">
              <w:rPr>
                <w:rFonts w:ascii="Arial Narrow" w:hAnsi="Arial Narrow" w:cs="Calibri"/>
                <w:sz w:val="16"/>
                <w:szCs w:val="16"/>
              </w:rPr>
              <w:t>12,3</w:t>
            </w:r>
          </w:p>
        </w:tc>
        <w:tc>
          <w:tcPr>
            <w:tcW w:w="957" w:type="dxa"/>
            <w:tcBorders>
              <w:top w:val="nil"/>
              <w:left w:val="nil"/>
              <w:bottom w:val="single" w:sz="4" w:space="0" w:color="auto"/>
              <w:right w:val="single" w:sz="4" w:space="0" w:color="auto"/>
            </w:tcBorders>
            <w:shd w:val="clear" w:color="auto" w:fill="auto"/>
            <w:vAlign w:val="center"/>
            <w:hideMark/>
          </w:tcPr>
          <w:p w14:paraId="41683AD5" w14:textId="77777777" w:rsidR="004A0B2E" w:rsidRPr="004A0B2E" w:rsidRDefault="004A0B2E" w:rsidP="004A0B2E">
            <w:pPr>
              <w:jc w:val="right"/>
              <w:rPr>
                <w:rFonts w:ascii="Arial Narrow" w:hAnsi="Arial Narrow" w:cs="Calibri"/>
                <w:sz w:val="16"/>
                <w:szCs w:val="16"/>
              </w:rPr>
            </w:pPr>
            <w:r w:rsidRPr="004A0B2E">
              <w:rPr>
                <w:rFonts w:ascii="Arial Narrow" w:hAnsi="Arial Narrow" w:cs="Calibri"/>
                <w:sz w:val="16"/>
                <w:szCs w:val="16"/>
              </w:rPr>
              <w:t>154,6</w:t>
            </w:r>
          </w:p>
        </w:tc>
        <w:tc>
          <w:tcPr>
            <w:tcW w:w="1256" w:type="dxa"/>
            <w:tcBorders>
              <w:top w:val="nil"/>
              <w:left w:val="nil"/>
              <w:bottom w:val="single" w:sz="4" w:space="0" w:color="auto"/>
              <w:right w:val="single" w:sz="4" w:space="0" w:color="auto"/>
            </w:tcBorders>
            <w:shd w:val="clear" w:color="auto" w:fill="auto"/>
            <w:vAlign w:val="center"/>
            <w:hideMark/>
          </w:tcPr>
          <w:p w14:paraId="56A5C7A2" w14:textId="77777777" w:rsidR="004A0B2E" w:rsidRPr="004A0B2E" w:rsidRDefault="004A0B2E" w:rsidP="004A0B2E">
            <w:pPr>
              <w:jc w:val="right"/>
              <w:rPr>
                <w:rFonts w:ascii="Arial Narrow" w:hAnsi="Arial Narrow" w:cs="Calibri"/>
                <w:sz w:val="16"/>
                <w:szCs w:val="16"/>
              </w:rPr>
            </w:pPr>
            <w:r w:rsidRPr="004A0B2E">
              <w:rPr>
                <w:rFonts w:ascii="Arial Narrow" w:hAnsi="Arial Narrow" w:cs="Calibri"/>
                <w:sz w:val="16"/>
                <w:szCs w:val="16"/>
              </w:rPr>
              <w:t>-5,4</w:t>
            </w:r>
          </w:p>
        </w:tc>
        <w:tc>
          <w:tcPr>
            <w:tcW w:w="872" w:type="dxa"/>
            <w:tcBorders>
              <w:top w:val="nil"/>
              <w:left w:val="nil"/>
              <w:bottom w:val="single" w:sz="4" w:space="0" w:color="auto"/>
              <w:right w:val="single" w:sz="4" w:space="0" w:color="auto"/>
            </w:tcBorders>
            <w:shd w:val="clear" w:color="auto" w:fill="auto"/>
            <w:vAlign w:val="center"/>
            <w:hideMark/>
          </w:tcPr>
          <w:p w14:paraId="30E86BEB" w14:textId="77777777" w:rsidR="004A0B2E" w:rsidRPr="004A0B2E" w:rsidRDefault="004A0B2E" w:rsidP="004A0B2E">
            <w:pPr>
              <w:jc w:val="right"/>
              <w:rPr>
                <w:rFonts w:ascii="Arial Narrow" w:hAnsi="Arial Narrow" w:cs="Calibri"/>
                <w:sz w:val="16"/>
                <w:szCs w:val="16"/>
              </w:rPr>
            </w:pPr>
            <w:r w:rsidRPr="004A0B2E">
              <w:rPr>
                <w:rFonts w:ascii="Arial Narrow" w:hAnsi="Arial Narrow" w:cs="Calibri"/>
                <w:sz w:val="16"/>
                <w:szCs w:val="16"/>
              </w:rPr>
              <w:t>146,3</w:t>
            </w:r>
          </w:p>
        </w:tc>
      </w:tr>
      <w:tr w:rsidR="004A0B2E" w:rsidRPr="00B10684" w14:paraId="188181CE" w14:textId="77777777" w:rsidTr="005A18A5">
        <w:trPr>
          <w:trHeight w:val="183"/>
        </w:trPr>
        <w:tc>
          <w:tcPr>
            <w:tcW w:w="757" w:type="dxa"/>
            <w:tcBorders>
              <w:top w:val="nil"/>
              <w:left w:val="single" w:sz="4" w:space="0" w:color="auto"/>
              <w:bottom w:val="single" w:sz="4" w:space="0" w:color="auto"/>
              <w:right w:val="single" w:sz="4" w:space="0" w:color="auto"/>
            </w:tcBorders>
            <w:shd w:val="clear" w:color="auto" w:fill="auto"/>
            <w:noWrap/>
            <w:vAlign w:val="center"/>
            <w:hideMark/>
          </w:tcPr>
          <w:p w14:paraId="6CB50584" w14:textId="77777777" w:rsidR="004A0B2E" w:rsidRPr="004A0B2E" w:rsidRDefault="004A0B2E" w:rsidP="004A0B2E">
            <w:pPr>
              <w:rPr>
                <w:rFonts w:ascii="Arial Narrow" w:hAnsi="Arial Narrow" w:cs="Calibri"/>
                <w:sz w:val="16"/>
                <w:szCs w:val="16"/>
              </w:rPr>
            </w:pPr>
            <w:r w:rsidRPr="004A0B2E">
              <w:rPr>
                <w:rFonts w:ascii="Arial Narrow" w:hAnsi="Arial Narrow" w:cs="Calibri"/>
                <w:sz w:val="16"/>
                <w:szCs w:val="16"/>
              </w:rPr>
              <w:t xml:space="preserve"> 04</w:t>
            </w:r>
          </w:p>
        </w:tc>
        <w:tc>
          <w:tcPr>
            <w:tcW w:w="5279" w:type="dxa"/>
            <w:tcBorders>
              <w:top w:val="nil"/>
              <w:left w:val="nil"/>
              <w:bottom w:val="single" w:sz="4" w:space="0" w:color="auto"/>
              <w:right w:val="single" w:sz="4" w:space="0" w:color="auto"/>
            </w:tcBorders>
            <w:shd w:val="clear" w:color="auto" w:fill="auto"/>
            <w:vAlign w:val="center"/>
            <w:hideMark/>
          </w:tcPr>
          <w:p w14:paraId="77A18EAA" w14:textId="77777777" w:rsidR="004A0B2E" w:rsidRPr="004A0B2E" w:rsidRDefault="004A0B2E" w:rsidP="004A0B2E">
            <w:pPr>
              <w:rPr>
                <w:rFonts w:ascii="Arial Narrow" w:hAnsi="Arial Narrow" w:cs="Calibri"/>
                <w:sz w:val="16"/>
                <w:szCs w:val="16"/>
              </w:rPr>
            </w:pPr>
            <w:r w:rsidRPr="004A0B2E">
              <w:rPr>
                <w:rFonts w:ascii="Arial Narrow" w:hAnsi="Arial Narrow" w:cs="Calibri"/>
                <w:sz w:val="16"/>
                <w:szCs w:val="16"/>
              </w:rPr>
              <w:t>Зеленчуци</w:t>
            </w:r>
          </w:p>
        </w:tc>
        <w:tc>
          <w:tcPr>
            <w:tcW w:w="957" w:type="dxa"/>
            <w:tcBorders>
              <w:top w:val="nil"/>
              <w:left w:val="nil"/>
              <w:bottom w:val="single" w:sz="4" w:space="0" w:color="auto"/>
              <w:right w:val="single" w:sz="4" w:space="0" w:color="auto"/>
            </w:tcBorders>
            <w:shd w:val="clear" w:color="auto" w:fill="auto"/>
            <w:vAlign w:val="center"/>
            <w:hideMark/>
          </w:tcPr>
          <w:p w14:paraId="0BEAF763" w14:textId="77777777" w:rsidR="004A0B2E" w:rsidRPr="004A0B2E" w:rsidRDefault="004A0B2E" w:rsidP="004A0B2E">
            <w:pPr>
              <w:jc w:val="right"/>
              <w:rPr>
                <w:rFonts w:ascii="Arial Narrow" w:hAnsi="Arial Narrow" w:cs="Calibri"/>
                <w:sz w:val="16"/>
                <w:szCs w:val="16"/>
              </w:rPr>
            </w:pPr>
            <w:r w:rsidRPr="004A0B2E">
              <w:rPr>
                <w:rFonts w:ascii="Arial Narrow" w:hAnsi="Arial Narrow" w:cs="Calibri"/>
                <w:sz w:val="16"/>
                <w:szCs w:val="16"/>
              </w:rPr>
              <w:t>485,1</w:t>
            </w:r>
          </w:p>
        </w:tc>
        <w:tc>
          <w:tcPr>
            <w:tcW w:w="1118" w:type="dxa"/>
            <w:tcBorders>
              <w:top w:val="nil"/>
              <w:left w:val="nil"/>
              <w:bottom w:val="single" w:sz="4" w:space="0" w:color="auto"/>
              <w:right w:val="single" w:sz="4" w:space="0" w:color="auto"/>
            </w:tcBorders>
            <w:shd w:val="clear" w:color="auto" w:fill="auto"/>
            <w:vAlign w:val="center"/>
            <w:hideMark/>
          </w:tcPr>
          <w:p w14:paraId="50214C88" w14:textId="77777777" w:rsidR="004A0B2E" w:rsidRPr="004A0B2E" w:rsidRDefault="004A0B2E" w:rsidP="004A0B2E">
            <w:pPr>
              <w:jc w:val="right"/>
              <w:rPr>
                <w:rFonts w:ascii="Arial Narrow" w:hAnsi="Arial Narrow" w:cs="Calibri"/>
                <w:sz w:val="16"/>
                <w:szCs w:val="16"/>
              </w:rPr>
            </w:pPr>
            <w:r w:rsidRPr="004A0B2E">
              <w:rPr>
                <w:rFonts w:ascii="Arial Narrow" w:hAnsi="Arial Narrow" w:cs="Calibri"/>
                <w:sz w:val="16"/>
                <w:szCs w:val="16"/>
              </w:rPr>
              <w:t>2,8</w:t>
            </w:r>
          </w:p>
        </w:tc>
        <w:tc>
          <w:tcPr>
            <w:tcW w:w="957" w:type="dxa"/>
            <w:tcBorders>
              <w:top w:val="nil"/>
              <w:left w:val="nil"/>
              <w:bottom w:val="single" w:sz="4" w:space="0" w:color="auto"/>
              <w:right w:val="single" w:sz="4" w:space="0" w:color="auto"/>
            </w:tcBorders>
            <w:shd w:val="clear" w:color="auto" w:fill="auto"/>
            <w:vAlign w:val="center"/>
            <w:hideMark/>
          </w:tcPr>
          <w:p w14:paraId="2881E6C2" w14:textId="77777777" w:rsidR="004A0B2E" w:rsidRPr="004A0B2E" w:rsidRDefault="004A0B2E" w:rsidP="004A0B2E">
            <w:pPr>
              <w:jc w:val="right"/>
              <w:rPr>
                <w:rFonts w:ascii="Arial Narrow" w:hAnsi="Arial Narrow" w:cs="Calibri"/>
                <w:sz w:val="16"/>
                <w:szCs w:val="16"/>
              </w:rPr>
            </w:pPr>
            <w:r w:rsidRPr="004A0B2E">
              <w:rPr>
                <w:rFonts w:ascii="Arial Narrow" w:hAnsi="Arial Narrow" w:cs="Calibri"/>
                <w:sz w:val="16"/>
                <w:szCs w:val="16"/>
              </w:rPr>
              <w:t>498,7</w:t>
            </w:r>
          </w:p>
        </w:tc>
        <w:tc>
          <w:tcPr>
            <w:tcW w:w="1256" w:type="dxa"/>
            <w:tcBorders>
              <w:top w:val="nil"/>
              <w:left w:val="nil"/>
              <w:bottom w:val="single" w:sz="4" w:space="0" w:color="auto"/>
              <w:right w:val="single" w:sz="4" w:space="0" w:color="auto"/>
            </w:tcBorders>
            <w:shd w:val="clear" w:color="auto" w:fill="auto"/>
            <w:vAlign w:val="center"/>
            <w:hideMark/>
          </w:tcPr>
          <w:p w14:paraId="1A7E62CA" w14:textId="77777777" w:rsidR="004A0B2E" w:rsidRPr="004A0B2E" w:rsidRDefault="004A0B2E" w:rsidP="004A0B2E">
            <w:pPr>
              <w:jc w:val="right"/>
              <w:rPr>
                <w:rFonts w:ascii="Arial Narrow" w:hAnsi="Arial Narrow" w:cs="Calibri"/>
                <w:sz w:val="16"/>
                <w:szCs w:val="16"/>
              </w:rPr>
            </w:pPr>
            <w:r w:rsidRPr="004A0B2E">
              <w:rPr>
                <w:rFonts w:ascii="Arial Narrow" w:hAnsi="Arial Narrow" w:cs="Calibri"/>
                <w:sz w:val="16"/>
                <w:szCs w:val="16"/>
              </w:rPr>
              <w:t>6,2</w:t>
            </w:r>
          </w:p>
        </w:tc>
        <w:tc>
          <w:tcPr>
            <w:tcW w:w="872" w:type="dxa"/>
            <w:tcBorders>
              <w:top w:val="nil"/>
              <w:left w:val="nil"/>
              <w:bottom w:val="single" w:sz="4" w:space="0" w:color="auto"/>
              <w:right w:val="single" w:sz="4" w:space="0" w:color="auto"/>
            </w:tcBorders>
            <w:shd w:val="clear" w:color="auto" w:fill="auto"/>
            <w:vAlign w:val="center"/>
            <w:hideMark/>
          </w:tcPr>
          <w:p w14:paraId="7DA0AFB4" w14:textId="77777777" w:rsidR="004A0B2E" w:rsidRPr="004A0B2E" w:rsidRDefault="004A0B2E" w:rsidP="004A0B2E">
            <w:pPr>
              <w:jc w:val="right"/>
              <w:rPr>
                <w:rFonts w:ascii="Arial Narrow" w:hAnsi="Arial Narrow" w:cs="Calibri"/>
                <w:sz w:val="16"/>
                <w:szCs w:val="16"/>
              </w:rPr>
            </w:pPr>
            <w:r w:rsidRPr="004A0B2E">
              <w:rPr>
                <w:rFonts w:ascii="Arial Narrow" w:hAnsi="Arial Narrow" w:cs="Calibri"/>
                <w:sz w:val="16"/>
                <w:szCs w:val="16"/>
              </w:rPr>
              <w:t>529,4</w:t>
            </w:r>
          </w:p>
        </w:tc>
      </w:tr>
      <w:tr w:rsidR="004A0B2E" w:rsidRPr="00B10684" w14:paraId="05CADA0F" w14:textId="77777777" w:rsidTr="005A18A5">
        <w:trPr>
          <w:trHeight w:val="183"/>
        </w:trPr>
        <w:tc>
          <w:tcPr>
            <w:tcW w:w="757" w:type="dxa"/>
            <w:tcBorders>
              <w:top w:val="nil"/>
              <w:left w:val="single" w:sz="4" w:space="0" w:color="auto"/>
              <w:bottom w:val="single" w:sz="4" w:space="0" w:color="auto"/>
              <w:right w:val="single" w:sz="4" w:space="0" w:color="auto"/>
            </w:tcBorders>
            <w:shd w:val="clear" w:color="auto" w:fill="auto"/>
            <w:noWrap/>
            <w:vAlign w:val="center"/>
            <w:hideMark/>
          </w:tcPr>
          <w:p w14:paraId="3B5D8797" w14:textId="77777777" w:rsidR="004A0B2E" w:rsidRPr="004A0B2E" w:rsidRDefault="004A0B2E" w:rsidP="004A0B2E">
            <w:pPr>
              <w:rPr>
                <w:rFonts w:ascii="Arial Narrow" w:hAnsi="Arial Narrow" w:cs="Calibri"/>
                <w:sz w:val="16"/>
                <w:szCs w:val="16"/>
              </w:rPr>
            </w:pPr>
            <w:r w:rsidRPr="004A0B2E">
              <w:rPr>
                <w:rFonts w:ascii="Arial Narrow" w:hAnsi="Arial Narrow" w:cs="Calibri"/>
                <w:sz w:val="16"/>
                <w:szCs w:val="16"/>
              </w:rPr>
              <w:t xml:space="preserve"> 04.1</w:t>
            </w:r>
          </w:p>
        </w:tc>
        <w:tc>
          <w:tcPr>
            <w:tcW w:w="5279" w:type="dxa"/>
            <w:tcBorders>
              <w:top w:val="nil"/>
              <w:left w:val="nil"/>
              <w:bottom w:val="single" w:sz="4" w:space="0" w:color="auto"/>
              <w:right w:val="single" w:sz="4" w:space="0" w:color="auto"/>
            </w:tcBorders>
            <w:shd w:val="clear" w:color="auto" w:fill="auto"/>
            <w:vAlign w:val="center"/>
            <w:hideMark/>
          </w:tcPr>
          <w:p w14:paraId="0E2777D6" w14:textId="77777777" w:rsidR="004A0B2E" w:rsidRPr="004A0B2E" w:rsidRDefault="004A0B2E" w:rsidP="004A0B2E">
            <w:pPr>
              <w:ind w:firstLineChars="100" w:firstLine="160"/>
              <w:rPr>
                <w:rFonts w:ascii="Arial Narrow" w:hAnsi="Arial Narrow" w:cs="Calibri"/>
                <w:sz w:val="16"/>
                <w:szCs w:val="16"/>
              </w:rPr>
            </w:pPr>
            <w:r w:rsidRPr="004A0B2E">
              <w:rPr>
                <w:rFonts w:ascii="Arial Narrow" w:hAnsi="Arial Narrow" w:cs="Calibri"/>
                <w:sz w:val="16"/>
                <w:szCs w:val="16"/>
              </w:rPr>
              <w:t>Пресни зеленчуци</w:t>
            </w:r>
          </w:p>
        </w:tc>
        <w:tc>
          <w:tcPr>
            <w:tcW w:w="957" w:type="dxa"/>
            <w:tcBorders>
              <w:top w:val="nil"/>
              <w:left w:val="nil"/>
              <w:bottom w:val="single" w:sz="4" w:space="0" w:color="auto"/>
              <w:right w:val="single" w:sz="4" w:space="0" w:color="auto"/>
            </w:tcBorders>
            <w:shd w:val="clear" w:color="auto" w:fill="auto"/>
            <w:vAlign w:val="center"/>
            <w:hideMark/>
          </w:tcPr>
          <w:p w14:paraId="1B2D0744" w14:textId="77777777" w:rsidR="004A0B2E" w:rsidRPr="004A0B2E" w:rsidRDefault="004A0B2E" w:rsidP="004A0B2E">
            <w:pPr>
              <w:jc w:val="right"/>
              <w:rPr>
                <w:rFonts w:ascii="Arial Narrow" w:hAnsi="Arial Narrow" w:cs="Calibri"/>
                <w:sz w:val="16"/>
                <w:szCs w:val="16"/>
              </w:rPr>
            </w:pPr>
            <w:r w:rsidRPr="004A0B2E">
              <w:rPr>
                <w:rFonts w:ascii="Arial Narrow" w:hAnsi="Arial Narrow" w:cs="Calibri"/>
                <w:sz w:val="16"/>
                <w:szCs w:val="16"/>
              </w:rPr>
              <w:t>370,1</w:t>
            </w:r>
          </w:p>
        </w:tc>
        <w:tc>
          <w:tcPr>
            <w:tcW w:w="1118" w:type="dxa"/>
            <w:tcBorders>
              <w:top w:val="nil"/>
              <w:left w:val="nil"/>
              <w:bottom w:val="single" w:sz="4" w:space="0" w:color="auto"/>
              <w:right w:val="single" w:sz="4" w:space="0" w:color="auto"/>
            </w:tcBorders>
            <w:shd w:val="clear" w:color="auto" w:fill="auto"/>
            <w:vAlign w:val="center"/>
            <w:hideMark/>
          </w:tcPr>
          <w:p w14:paraId="297C69DC" w14:textId="77777777" w:rsidR="004A0B2E" w:rsidRPr="004A0B2E" w:rsidRDefault="004A0B2E" w:rsidP="004A0B2E">
            <w:pPr>
              <w:jc w:val="right"/>
              <w:rPr>
                <w:rFonts w:ascii="Arial Narrow" w:hAnsi="Arial Narrow" w:cs="Calibri"/>
                <w:sz w:val="16"/>
                <w:szCs w:val="16"/>
              </w:rPr>
            </w:pPr>
            <w:r w:rsidRPr="004A0B2E">
              <w:rPr>
                <w:rFonts w:ascii="Arial Narrow" w:hAnsi="Arial Narrow" w:cs="Calibri"/>
                <w:sz w:val="16"/>
                <w:szCs w:val="16"/>
              </w:rPr>
              <w:t>8,6</w:t>
            </w:r>
          </w:p>
        </w:tc>
        <w:tc>
          <w:tcPr>
            <w:tcW w:w="957" w:type="dxa"/>
            <w:tcBorders>
              <w:top w:val="nil"/>
              <w:left w:val="nil"/>
              <w:bottom w:val="single" w:sz="4" w:space="0" w:color="auto"/>
              <w:right w:val="single" w:sz="4" w:space="0" w:color="auto"/>
            </w:tcBorders>
            <w:shd w:val="clear" w:color="auto" w:fill="auto"/>
            <w:vAlign w:val="center"/>
            <w:hideMark/>
          </w:tcPr>
          <w:p w14:paraId="24F5F291" w14:textId="77777777" w:rsidR="004A0B2E" w:rsidRPr="004A0B2E" w:rsidRDefault="004A0B2E" w:rsidP="004A0B2E">
            <w:pPr>
              <w:jc w:val="right"/>
              <w:rPr>
                <w:rFonts w:ascii="Arial Narrow" w:hAnsi="Arial Narrow" w:cs="Calibri"/>
                <w:sz w:val="16"/>
                <w:szCs w:val="16"/>
              </w:rPr>
            </w:pPr>
            <w:r w:rsidRPr="004A0B2E">
              <w:rPr>
                <w:rFonts w:ascii="Arial Narrow" w:hAnsi="Arial Narrow" w:cs="Calibri"/>
                <w:sz w:val="16"/>
                <w:szCs w:val="16"/>
              </w:rPr>
              <w:t>402,1</w:t>
            </w:r>
          </w:p>
        </w:tc>
        <w:tc>
          <w:tcPr>
            <w:tcW w:w="1256" w:type="dxa"/>
            <w:tcBorders>
              <w:top w:val="nil"/>
              <w:left w:val="nil"/>
              <w:bottom w:val="single" w:sz="4" w:space="0" w:color="auto"/>
              <w:right w:val="single" w:sz="4" w:space="0" w:color="auto"/>
            </w:tcBorders>
            <w:shd w:val="clear" w:color="auto" w:fill="auto"/>
            <w:vAlign w:val="center"/>
            <w:hideMark/>
          </w:tcPr>
          <w:p w14:paraId="0A676FC2" w14:textId="77777777" w:rsidR="004A0B2E" w:rsidRPr="004A0B2E" w:rsidRDefault="004A0B2E" w:rsidP="004A0B2E">
            <w:pPr>
              <w:jc w:val="right"/>
              <w:rPr>
                <w:rFonts w:ascii="Arial Narrow" w:hAnsi="Arial Narrow" w:cs="Calibri"/>
                <w:sz w:val="16"/>
                <w:szCs w:val="16"/>
              </w:rPr>
            </w:pPr>
            <w:r w:rsidRPr="004A0B2E">
              <w:rPr>
                <w:rFonts w:ascii="Arial Narrow" w:hAnsi="Arial Narrow" w:cs="Calibri"/>
                <w:sz w:val="16"/>
                <w:szCs w:val="16"/>
              </w:rPr>
              <w:t>9,3</w:t>
            </w:r>
          </w:p>
        </w:tc>
        <w:tc>
          <w:tcPr>
            <w:tcW w:w="872" w:type="dxa"/>
            <w:tcBorders>
              <w:top w:val="nil"/>
              <w:left w:val="nil"/>
              <w:bottom w:val="single" w:sz="4" w:space="0" w:color="auto"/>
              <w:right w:val="single" w:sz="4" w:space="0" w:color="auto"/>
            </w:tcBorders>
            <w:shd w:val="clear" w:color="auto" w:fill="auto"/>
            <w:vAlign w:val="center"/>
            <w:hideMark/>
          </w:tcPr>
          <w:p w14:paraId="3D37191A" w14:textId="77777777" w:rsidR="004A0B2E" w:rsidRPr="004A0B2E" w:rsidRDefault="004A0B2E" w:rsidP="004A0B2E">
            <w:pPr>
              <w:jc w:val="right"/>
              <w:rPr>
                <w:rFonts w:ascii="Arial Narrow" w:hAnsi="Arial Narrow" w:cs="Calibri"/>
                <w:sz w:val="16"/>
                <w:szCs w:val="16"/>
              </w:rPr>
            </w:pPr>
            <w:r w:rsidRPr="004A0B2E">
              <w:rPr>
                <w:rFonts w:ascii="Arial Narrow" w:hAnsi="Arial Narrow" w:cs="Calibri"/>
                <w:sz w:val="16"/>
                <w:szCs w:val="16"/>
              </w:rPr>
              <w:t>439,6</w:t>
            </w:r>
          </w:p>
        </w:tc>
      </w:tr>
      <w:tr w:rsidR="004A0B2E" w:rsidRPr="00B10684" w14:paraId="1C5066A9" w14:textId="77777777" w:rsidTr="005A18A5">
        <w:trPr>
          <w:trHeight w:val="183"/>
        </w:trPr>
        <w:tc>
          <w:tcPr>
            <w:tcW w:w="757" w:type="dxa"/>
            <w:tcBorders>
              <w:top w:val="nil"/>
              <w:left w:val="single" w:sz="4" w:space="0" w:color="auto"/>
              <w:bottom w:val="single" w:sz="4" w:space="0" w:color="auto"/>
              <w:right w:val="single" w:sz="4" w:space="0" w:color="auto"/>
            </w:tcBorders>
            <w:shd w:val="clear" w:color="auto" w:fill="auto"/>
            <w:noWrap/>
            <w:vAlign w:val="center"/>
            <w:hideMark/>
          </w:tcPr>
          <w:p w14:paraId="521C1C3C" w14:textId="77777777" w:rsidR="004A0B2E" w:rsidRPr="004A0B2E" w:rsidRDefault="004A0B2E" w:rsidP="004A0B2E">
            <w:pPr>
              <w:rPr>
                <w:rFonts w:ascii="Arial Narrow" w:hAnsi="Arial Narrow" w:cs="Calibri"/>
                <w:sz w:val="16"/>
                <w:szCs w:val="16"/>
              </w:rPr>
            </w:pPr>
            <w:r w:rsidRPr="004A0B2E">
              <w:rPr>
                <w:rFonts w:ascii="Arial Narrow" w:hAnsi="Arial Narrow" w:cs="Calibri"/>
                <w:sz w:val="16"/>
                <w:szCs w:val="16"/>
              </w:rPr>
              <w:t xml:space="preserve"> 04.1/2</w:t>
            </w:r>
          </w:p>
        </w:tc>
        <w:tc>
          <w:tcPr>
            <w:tcW w:w="5279" w:type="dxa"/>
            <w:tcBorders>
              <w:top w:val="nil"/>
              <w:left w:val="nil"/>
              <w:bottom w:val="single" w:sz="4" w:space="0" w:color="auto"/>
              <w:right w:val="single" w:sz="4" w:space="0" w:color="auto"/>
            </w:tcBorders>
            <w:shd w:val="clear" w:color="auto" w:fill="auto"/>
            <w:vAlign w:val="center"/>
            <w:hideMark/>
          </w:tcPr>
          <w:p w14:paraId="1B73F8C6" w14:textId="77777777" w:rsidR="004A0B2E" w:rsidRPr="004A0B2E" w:rsidRDefault="004A0B2E" w:rsidP="004A0B2E">
            <w:pPr>
              <w:ind w:firstLineChars="200" w:firstLine="320"/>
              <w:rPr>
                <w:rFonts w:ascii="Arial Narrow" w:hAnsi="Arial Narrow" w:cs="Calibri"/>
                <w:sz w:val="16"/>
                <w:szCs w:val="16"/>
              </w:rPr>
            </w:pPr>
            <w:r w:rsidRPr="004A0B2E">
              <w:rPr>
                <w:rFonts w:ascii="Arial Narrow" w:hAnsi="Arial Narrow" w:cs="Calibri"/>
                <w:sz w:val="16"/>
                <w:szCs w:val="16"/>
              </w:rPr>
              <w:t>Домати</w:t>
            </w:r>
          </w:p>
        </w:tc>
        <w:tc>
          <w:tcPr>
            <w:tcW w:w="957" w:type="dxa"/>
            <w:tcBorders>
              <w:top w:val="nil"/>
              <w:left w:val="nil"/>
              <w:bottom w:val="single" w:sz="4" w:space="0" w:color="auto"/>
              <w:right w:val="single" w:sz="4" w:space="0" w:color="auto"/>
            </w:tcBorders>
            <w:shd w:val="clear" w:color="auto" w:fill="auto"/>
            <w:vAlign w:val="center"/>
            <w:hideMark/>
          </w:tcPr>
          <w:p w14:paraId="4B1B88A3" w14:textId="77777777" w:rsidR="004A0B2E" w:rsidRPr="004A0B2E" w:rsidRDefault="004A0B2E" w:rsidP="004A0B2E">
            <w:pPr>
              <w:jc w:val="right"/>
              <w:rPr>
                <w:rFonts w:ascii="Arial Narrow" w:hAnsi="Arial Narrow" w:cs="Calibri"/>
                <w:sz w:val="16"/>
                <w:szCs w:val="16"/>
              </w:rPr>
            </w:pPr>
            <w:r w:rsidRPr="004A0B2E">
              <w:rPr>
                <w:rFonts w:ascii="Arial Narrow" w:hAnsi="Arial Narrow" w:cs="Calibri"/>
                <w:sz w:val="16"/>
                <w:szCs w:val="16"/>
              </w:rPr>
              <w:t>126,7</w:t>
            </w:r>
          </w:p>
        </w:tc>
        <w:tc>
          <w:tcPr>
            <w:tcW w:w="1118" w:type="dxa"/>
            <w:tcBorders>
              <w:top w:val="nil"/>
              <w:left w:val="nil"/>
              <w:bottom w:val="single" w:sz="4" w:space="0" w:color="auto"/>
              <w:right w:val="single" w:sz="4" w:space="0" w:color="auto"/>
            </w:tcBorders>
            <w:shd w:val="clear" w:color="auto" w:fill="auto"/>
            <w:vAlign w:val="center"/>
            <w:hideMark/>
          </w:tcPr>
          <w:p w14:paraId="7A55C4B4" w14:textId="77777777" w:rsidR="004A0B2E" w:rsidRPr="004A0B2E" w:rsidRDefault="004A0B2E" w:rsidP="004A0B2E">
            <w:pPr>
              <w:jc w:val="right"/>
              <w:rPr>
                <w:rFonts w:ascii="Arial Narrow" w:hAnsi="Arial Narrow" w:cs="Calibri"/>
                <w:sz w:val="16"/>
                <w:szCs w:val="16"/>
              </w:rPr>
            </w:pPr>
            <w:r w:rsidRPr="004A0B2E">
              <w:rPr>
                <w:rFonts w:ascii="Arial Narrow" w:hAnsi="Arial Narrow" w:cs="Calibri"/>
                <w:sz w:val="16"/>
                <w:szCs w:val="16"/>
              </w:rPr>
              <w:t>1,3</w:t>
            </w:r>
          </w:p>
        </w:tc>
        <w:tc>
          <w:tcPr>
            <w:tcW w:w="957" w:type="dxa"/>
            <w:tcBorders>
              <w:top w:val="nil"/>
              <w:left w:val="nil"/>
              <w:bottom w:val="single" w:sz="4" w:space="0" w:color="auto"/>
              <w:right w:val="single" w:sz="4" w:space="0" w:color="auto"/>
            </w:tcBorders>
            <w:shd w:val="clear" w:color="auto" w:fill="auto"/>
            <w:vAlign w:val="center"/>
            <w:hideMark/>
          </w:tcPr>
          <w:p w14:paraId="47683862" w14:textId="77777777" w:rsidR="004A0B2E" w:rsidRPr="004A0B2E" w:rsidRDefault="004A0B2E" w:rsidP="004A0B2E">
            <w:pPr>
              <w:jc w:val="right"/>
              <w:rPr>
                <w:rFonts w:ascii="Arial Narrow" w:hAnsi="Arial Narrow" w:cs="Calibri"/>
                <w:sz w:val="16"/>
                <w:szCs w:val="16"/>
              </w:rPr>
            </w:pPr>
            <w:r w:rsidRPr="004A0B2E">
              <w:rPr>
                <w:rFonts w:ascii="Arial Narrow" w:hAnsi="Arial Narrow" w:cs="Calibri"/>
                <w:sz w:val="16"/>
                <w:szCs w:val="16"/>
              </w:rPr>
              <w:t>128,4</w:t>
            </w:r>
          </w:p>
        </w:tc>
        <w:tc>
          <w:tcPr>
            <w:tcW w:w="1256" w:type="dxa"/>
            <w:tcBorders>
              <w:top w:val="nil"/>
              <w:left w:val="nil"/>
              <w:bottom w:val="single" w:sz="4" w:space="0" w:color="auto"/>
              <w:right w:val="single" w:sz="4" w:space="0" w:color="auto"/>
            </w:tcBorders>
            <w:shd w:val="clear" w:color="auto" w:fill="auto"/>
            <w:vAlign w:val="center"/>
            <w:hideMark/>
          </w:tcPr>
          <w:p w14:paraId="0447DF59" w14:textId="77777777" w:rsidR="004A0B2E" w:rsidRPr="004A0B2E" w:rsidRDefault="004A0B2E" w:rsidP="004A0B2E">
            <w:pPr>
              <w:jc w:val="right"/>
              <w:rPr>
                <w:rFonts w:ascii="Arial Narrow" w:hAnsi="Arial Narrow" w:cs="Calibri"/>
                <w:sz w:val="16"/>
                <w:szCs w:val="16"/>
              </w:rPr>
            </w:pPr>
            <w:r w:rsidRPr="004A0B2E">
              <w:rPr>
                <w:rFonts w:ascii="Arial Narrow" w:hAnsi="Arial Narrow" w:cs="Calibri"/>
                <w:sz w:val="16"/>
                <w:szCs w:val="16"/>
              </w:rPr>
              <w:t>1,7</w:t>
            </w:r>
          </w:p>
        </w:tc>
        <w:tc>
          <w:tcPr>
            <w:tcW w:w="872" w:type="dxa"/>
            <w:tcBorders>
              <w:top w:val="nil"/>
              <w:left w:val="nil"/>
              <w:bottom w:val="single" w:sz="4" w:space="0" w:color="auto"/>
              <w:right w:val="single" w:sz="4" w:space="0" w:color="auto"/>
            </w:tcBorders>
            <w:shd w:val="clear" w:color="auto" w:fill="auto"/>
            <w:vAlign w:val="center"/>
            <w:hideMark/>
          </w:tcPr>
          <w:p w14:paraId="54500158" w14:textId="77777777" w:rsidR="004A0B2E" w:rsidRPr="004A0B2E" w:rsidRDefault="004A0B2E" w:rsidP="004A0B2E">
            <w:pPr>
              <w:jc w:val="right"/>
              <w:rPr>
                <w:rFonts w:ascii="Arial Narrow" w:hAnsi="Arial Narrow" w:cs="Calibri"/>
                <w:sz w:val="16"/>
                <w:szCs w:val="16"/>
              </w:rPr>
            </w:pPr>
            <w:r w:rsidRPr="004A0B2E">
              <w:rPr>
                <w:rFonts w:ascii="Arial Narrow" w:hAnsi="Arial Narrow" w:cs="Calibri"/>
                <w:sz w:val="16"/>
                <w:szCs w:val="16"/>
              </w:rPr>
              <w:t>130,6</w:t>
            </w:r>
          </w:p>
        </w:tc>
      </w:tr>
      <w:tr w:rsidR="004A0B2E" w:rsidRPr="00B10684" w14:paraId="319A28E2" w14:textId="77777777" w:rsidTr="005A18A5">
        <w:trPr>
          <w:trHeight w:val="183"/>
        </w:trPr>
        <w:tc>
          <w:tcPr>
            <w:tcW w:w="757" w:type="dxa"/>
            <w:tcBorders>
              <w:top w:val="nil"/>
              <w:left w:val="single" w:sz="4" w:space="0" w:color="auto"/>
              <w:bottom w:val="single" w:sz="4" w:space="0" w:color="auto"/>
              <w:right w:val="single" w:sz="4" w:space="0" w:color="auto"/>
            </w:tcBorders>
            <w:shd w:val="clear" w:color="auto" w:fill="auto"/>
            <w:noWrap/>
            <w:vAlign w:val="center"/>
            <w:hideMark/>
          </w:tcPr>
          <w:p w14:paraId="537F2521" w14:textId="77777777" w:rsidR="004A0B2E" w:rsidRPr="004A0B2E" w:rsidRDefault="004A0B2E" w:rsidP="004A0B2E">
            <w:pPr>
              <w:rPr>
                <w:rFonts w:ascii="Arial Narrow" w:hAnsi="Arial Narrow" w:cs="Calibri"/>
                <w:sz w:val="16"/>
                <w:szCs w:val="16"/>
              </w:rPr>
            </w:pPr>
            <w:r w:rsidRPr="004A0B2E">
              <w:rPr>
                <w:rFonts w:ascii="Arial Narrow" w:hAnsi="Arial Narrow" w:cs="Calibri"/>
                <w:sz w:val="16"/>
                <w:szCs w:val="16"/>
              </w:rPr>
              <w:t xml:space="preserve"> 04.1/3</w:t>
            </w:r>
          </w:p>
        </w:tc>
        <w:tc>
          <w:tcPr>
            <w:tcW w:w="5279" w:type="dxa"/>
            <w:tcBorders>
              <w:top w:val="nil"/>
              <w:left w:val="nil"/>
              <w:bottom w:val="single" w:sz="4" w:space="0" w:color="auto"/>
              <w:right w:val="single" w:sz="4" w:space="0" w:color="auto"/>
            </w:tcBorders>
            <w:shd w:val="clear" w:color="auto" w:fill="auto"/>
            <w:vAlign w:val="center"/>
            <w:hideMark/>
          </w:tcPr>
          <w:p w14:paraId="4FC0449F" w14:textId="77777777" w:rsidR="004A0B2E" w:rsidRPr="004A0B2E" w:rsidRDefault="004A0B2E" w:rsidP="004A0B2E">
            <w:pPr>
              <w:ind w:firstLineChars="200" w:firstLine="320"/>
              <w:rPr>
                <w:rFonts w:ascii="Arial Narrow" w:hAnsi="Arial Narrow" w:cs="Calibri"/>
                <w:sz w:val="16"/>
                <w:szCs w:val="16"/>
              </w:rPr>
            </w:pPr>
            <w:r w:rsidRPr="004A0B2E">
              <w:rPr>
                <w:rFonts w:ascii="Arial Narrow" w:hAnsi="Arial Narrow" w:cs="Calibri"/>
                <w:sz w:val="16"/>
                <w:szCs w:val="16"/>
              </w:rPr>
              <w:t>Други пресни зеленчуци</w:t>
            </w:r>
          </w:p>
        </w:tc>
        <w:tc>
          <w:tcPr>
            <w:tcW w:w="957" w:type="dxa"/>
            <w:tcBorders>
              <w:top w:val="nil"/>
              <w:left w:val="nil"/>
              <w:bottom w:val="single" w:sz="4" w:space="0" w:color="auto"/>
              <w:right w:val="single" w:sz="4" w:space="0" w:color="auto"/>
            </w:tcBorders>
            <w:shd w:val="clear" w:color="auto" w:fill="auto"/>
            <w:vAlign w:val="center"/>
            <w:hideMark/>
          </w:tcPr>
          <w:p w14:paraId="1E15553D" w14:textId="77777777" w:rsidR="004A0B2E" w:rsidRPr="004A0B2E" w:rsidRDefault="004A0B2E" w:rsidP="004A0B2E">
            <w:pPr>
              <w:jc w:val="right"/>
              <w:rPr>
                <w:rFonts w:ascii="Arial Narrow" w:hAnsi="Arial Narrow" w:cs="Calibri"/>
                <w:sz w:val="16"/>
                <w:szCs w:val="16"/>
              </w:rPr>
            </w:pPr>
            <w:r w:rsidRPr="004A0B2E">
              <w:rPr>
                <w:rFonts w:ascii="Arial Narrow" w:hAnsi="Arial Narrow" w:cs="Calibri"/>
                <w:sz w:val="16"/>
                <w:szCs w:val="16"/>
              </w:rPr>
              <w:t>243,4</w:t>
            </w:r>
          </w:p>
        </w:tc>
        <w:tc>
          <w:tcPr>
            <w:tcW w:w="1118" w:type="dxa"/>
            <w:tcBorders>
              <w:top w:val="nil"/>
              <w:left w:val="nil"/>
              <w:bottom w:val="single" w:sz="4" w:space="0" w:color="auto"/>
              <w:right w:val="single" w:sz="4" w:space="0" w:color="auto"/>
            </w:tcBorders>
            <w:shd w:val="clear" w:color="auto" w:fill="auto"/>
            <w:vAlign w:val="center"/>
            <w:hideMark/>
          </w:tcPr>
          <w:p w14:paraId="3373D7F5" w14:textId="77777777" w:rsidR="004A0B2E" w:rsidRPr="004A0B2E" w:rsidRDefault="004A0B2E" w:rsidP="004A0B2E">
            <w:pPr>
              <w:jc w:val="right"/>
              <w:rPr>
                <w:rFonts w:ascii="Arial Narrow" w:hAnsi="Arial Narrow" w:cs="Calibri"/>
                <w:sz w:val="16"/>
                <w:szCs w:val="16"/>
              </w:rPr>
            </w:pPr>
            <w:r w:rsidRPr="004A0B2E">
              <w:rPr>
                <w:rFonts w:ascii="Arial Narrow" w:hAnsi="Arial Narrow" w:cs="Calibri"/>
                <w:sz w:val="16"/>
                <w:szCs w:val="16"/>
              </w:rPr>
              <w:t>12,4</w:t>
            </w:r>
          </w:p>
        </w:tc>
        <w:tc>
          <w:tcPr>
            <w:tcW w:w="957" w:type="dxa"/>
            <w:tcBorders>
              <w:top w:val="nil"/>
              <w:left w:val="nil"/>
              <w:bottom w:val="single" w:sz="4" w:space="0" w:color="auto"/>
              <w:right w:val="single" w:sz="4" w:space="0" w:color="auto"/>
            </w:tcBorders>
            <w:shd w:val="clear" w:color="auto" w:fill="auto"/>
            <w:vAlign w:val="center"/>
            <w:hideMark/>
          </w:tcPr>
          <w:p w14:paraId="7E30A0D3" w14:textId="77777777" w:rsidR="004A0B2E" w:rsidRPr="004A0B2E" w:rsidRDefault="004A0B2E" w:rsidP="004A0B2E">
            <w:pPr>
              <w:jc w:val="right"/>
              <w:rPr>
                <w:rFonts w:ascii="Arial Narrow" w:hAnsi="Arial Narrow" w:cs="Calibri"/>
                <w:sz w:val="16"/>
                <w:szCs w:val="16"/>
              </w:rPr>
            </w:pPr>
            <w:r w:rsidRPr="004A0B2E">
              <w:rPr>
                <w:rFonts w:ascii="Arial Narrow" w:hAnsi="Arial Narrow" w:cs="Calibri"/>
                <w:sz w:val="16"/>
                <w:szCs w:val="16"/>
              </w:rPr>
              <w:t>273,7</w:t>
            </w:r>
          </w:p>
        </w:tc>
        <w:tc>
          <w:tcPr>
            <w:tcW w:w="1256" w:type="dxa"/>
            <w:tcBorders>
              <w:top w:val="nil"/>
              <w:left w:val="nil"/>
              <w:bottom w:val="single" w:sz="4" w:space="0" w:color="auto"/>
              <w:right w:val="single" w:sz="4" w:space="0" w:color="auto"/>
            </w:tcBorders>
            <w:shd w:val="clear" w:color="auto" w:fill="auto"/>
            <w:vAlign w:val="center"/>
            <w:hideMark/>
          </w:tcPr>
          <w:p w14:paraId="2A96C227" w14:textId="77777777" w:rsidR="004A0B2E" w:rsidRPr="004A0B2E" w:rsidRDefault="004A0B2E" w:rsidP="004A0B2E">
            <w:pPr>
              <w:jc w:val="right"/>
              <w:rPr>
                <w:rFonts w:ascii="Arial Narrow" w:hAnsi="Arial Narrow" w:cs="Calibri"/>
                <w:sz w:val="16"/>
                <w:szCs w:val="16"/>
              </w:rPr>
            </w:pPr>
            <w:r w:rsidRPr="004A0B2E">
              <w:rPr>
                <w:rFonts w:ascii="Arial Narrow" w:hAnsi="Arial Narrow" w:cs="Calibri"/>
                <w:sz w:val="16"/>
                <w:szCs w:val="16"/>
              </w:rPr>
              <w:t>12,9</w:t>
            </w:r>
          </w:p>
        </w:tc>
        <w:tc>
          <w:tcPr>
            <w:tcW w:w="872" w:type="dxa"/>
            <w:tcBorders>
              <w:top w:val="nil"/>
              <w:left w:val="nil"/>
              <w:bottom w:val="single" w:sz="4" w:space="0" w:color="auto"/>
              <w:right w:val="single" w:sz="4" w:space="0" w:color="auto"/>
            </w:tcBorders>
            <w:shd w:val="clear" w:color="auto" w:fill="auto"/>
            <w:vAlign w:val="center"/>
            <w:hideMark/>
          </w:tcPr>
          <w:p w14:paraId="74A3239D" w14:textId="77777777" w:rsidR="004A0B2E" w:rsidRPr="004A0B2E" w:rsidRDefault="004A0B2E" w:rsidP="004A0B2E">
            <w:pPr>
              <w:jc w:val="right"/>
              <w:rPr>
                <w:rFonts w:ascii="Arial Narrow" w:hAnsi="Arial Narrow" w:cs="Calibri"/>
                <w:sz w:val="16"/>
                <w:szCs w:val="16"/>
              </w:rPr>
            </w:pPr>
            <w:r w:rsidRPr="004A0B2E">
              <w:rPr>
                <w:rFonts w:ascii="Arial Narrow" w:hAnsi="Arial Narrow" w:cs="Calibri"/>
                <w:sz w:val="16"/>
                <w:szCs w:val="16"/>
              </w:rPr>
              <w:t>309,0</w:t>
            </w:r>
          </w:p>
        </w:tc>
      </w:tr>
      <w:tr w:rsidR="004A0B2E" w:rsidRPr="00B10684" w14:paraId="49593A79" w14:textId="77777777" w:rsidTr="005A18A5">
        <w:trPr>
          <w:trHeight w:val="183"/>
        </w:trPr>
        <w:tc>
          <w:tcPr>
            <w:tcW w:w="757" w:type="dxa"/>
            <w:tcBorders>
              <w:top w:val="nil"/>
              <w:left w:val="single" w:sz="4" w:space="0" w:color="auto"/>
              <w:bottom w:val="single" w:sz="4" w:space="0" w:color="auto"/>
              <w:right w:val="single" w:sz="4" w:space="0" w:color="auto"/>
            </w:tcBorders>
            <w:shd w:val="clear" w:color="auto" w:fill="auto"/>
            <w:noWrap/>
            <w:vAlign w:val="center"/>
            <w:hideMark/>
          </w:tcPr>
          <w:p w14:paraId="021F40D8" w14:textId="77777777" w:rsidR="004A0B2E" w:rsidRPr="004A0B2E" w:rsidRDefault="004A0B2E" w:rsidP="004A0B2E">
            <w:pPr>
              <w:rPr>
                <w:rFonts w:ascii="Arial Narrow" w:hAnsi="Arial Narrow" w:cs="Calibri"/>
                <w:sz w:val="16"/>
                <w:szCs w:val="16"/>
              </w:rPr>
            </w:pPr>
            <w:r w:rsidRPr="004A0B2E">
              <w:rPr>
                <w:rFonts w:ascii="Arial Narrow" w:hAnsi="Arial Narrow" w:cs="Calibri"/>
                <w:sz w:val="16"/>
                <w:szCs w:val="16"/>
              </w:rPr>
              <w:t xml:space="preserve"> 04.2</w:t>
            </w:r>
          </w:p>
        </w:tc>
        <w:tc>
          <w:tcPr>
            <w:tcW w:w="5279" w:type="dxa"/>
            <w:tcBorders>
              <w:top w:val="nil"/>
              <w:left w:val="nil"/>
              <w:bottom w:val="single" w:sz="4" w:space="0" w:color="auto"/>
              <w:right w:val="single" w:sz="4" w:space="0" w:color="auto"/>
            </w:tcBorders>
            <w:shd w:val="clear" w:color="auto" w:fill="auto"/>
            <w:vAlign w:val="center"/>
            <w:hideMark/>
          </w:tcPr>
          <w:p w14:paraId="040750AD" w14:textId="77777777" w:rsidR="004A0B2E" w:rsidRPr="004A0B2E" w:rsidRDefault="008E26A1" w:rsidP="004A0B2E">
            <w:pPr>
              <w:ind w:firstLineChars="100" w:firstLine="160"/>
              <w:rPr>
                <w:rFonts w:ascii="Arial Narrow" w:hAnsi="Arial Narrow" w:cs="Calibri"/>
                <w:sz w:val="16"/>
                <w:szCs w:val="16"/>
              </w:rPr>
            </w:pPr>
            <w:r w:rsidRPr="008E26A1">
              <w:rPr>
                <w:rFonts w:ascii="Arial Narrow" w:hAnsi="Arial Narrow" w:cs="Calibri"/>
                <w:sz w:val="16"/>
                <w:szCs w:val="16"/>
              </w:rPr>
              <w:t>Разсадници и цветя</w:t>
            </w:r>
          </w:p>
        </w:tc>
        <w:tc>
          <w:tcPr>
            <w:tcW w:w="957" w:type="dxa"/>
            <w:tcBorders>
              <w:top w:val="nil"/>
              <w:left w:val="nil"/>
              <w:bottom w:val="single" w:sz="4" w:space="0" w:color="auto"/>
              <w:right w:val="single" w:sz="4" w:space="0" w:color="auto"/>
            </w:tcBorders>
            <w:shd w:val="clear" w:color="auto" w:fill="auto"/>
            <w:vAlign w:val="center"/>
            <w:hideMark/>
          </w:tcPr>
          <w:p w14:paraId="27AEA4CA" w14:textId="77777777" w:rsidR="004A0B2E" w:rsidRPr="004A0B2E" w:rsidRDefault="004A0B2E" w:rsidP="004A0B2E">
            <w:pPr>
              <w:jc w:val="right"/>
              <w:rPr>
                <w:rFonts w:ascii="Arial Narrow" w:hAnsi="Arial Narrow" w:cs="Calibri"/>
                <w:sz w:val="16"/>
                <w:szCs w:val="16"/>
              </w:rPr>
            </w:pPr>
            <w:r w:rsidRPr="004A0B2E">
              <w:rPr>
                <w:rFonts w:ascii="Arial Narrow" w:hAnsi="Arial Narrow" w:cs="Calibri"/>
                <w:sz w:val="16"/>
                <w:szCs w:val="16"/>
              </w:rPr>
              <w:t>115,0</w:t>
            </w:r>
          </w:p>
        </w:tc>
        <w:tc>
          <w:tcPr>
            <w:tcW w:w="1118" w:type="dxa"/>
            <w:tcBorders>
              <w:top w:val="nil"/>
              <w:left w:val="nil"/>
              <w:bottom w:val="single" w:sz="4" w:space="0" w:color="auto"/>
              <w:right w:val="single" w:sz="4" w:space="0" w:color="auto"/>
            </w:tcBorders>
            <w:shd w:val="clear" w:color="auto" w:fill="auto"/>
            <w:vAlign w:val="center"/>
            <w:hideMark/>
          </w:tcPr>
          <w:p w14:paraId="71F49CBB" w14:textId="77777777" w:rsidR="004A0B2E" w:rsidRPr="004A0B2E" w:rsidRDefault="004A0B2E" w:rsidP="004A0B2E">
            <w:pPr>
              <w:jc w:val="right"/>
              <w:rPr>
                <w:rFonts w:ascii="Arial Narrow" w:hAnsi="Arial Narrow" w:cs="Calibri"/>
                <w:sz w:val="16"/>
                <w:szCs w:val="16"/>
              </w:rPr>
            </w:pPr>
            <w:r w:rsidRPr="004A0B2E">
              <w:rPr>
                <w:rFonts w:ascii="Arial Narrow" w:hAnsi="Arial Narrow" w:cs="Calibri"/>
                <w:sz w:val="16"/>
                <w:szCs w:val="16"/>
              </w:rPr>
              <w:t>-16,0</w:t>
            </w:r>
          </w:p>
        </w:tc>
        <w:tc>
          <w:tcPr>
            <w:tcW w:w="957" w:type="dxa"/>
            <w:tcBorders>
              <w:top w:val="nil"/>
              <w:left w:val="nil"/>
              <w:bottom w:val="single" w:sz="4" w:space="0" w:color="auto"/>
              <w:right w:val="single" w:sz="4" w:space="0" w:color="auto"/>
            </w:tcBorders>
            <w:shd w:val="clear" w:color="auto" w:fill="auto"/>
            <w:vAlign w:val="center"/>
            <w:hideMark/>
          </w:tcPr>
          <w:p w14:paraId="502DAE34" w14:textId="77777777" w:rsidR="004A0B2E" w:rsidRPr="004A0B2E" w:rsidRDefault="004A0B2E" w:rsidP="004A0B2E">
            <w:pPr>
              <w:jc w:val="right"/>
              <w:rPr>
                <w:rFonts w:ascii="Arial Narrow" w:hAnsi="Arial Narrow" w:cs="Calibri"/>
                <w:sz w:val="16"/>
                <w:szCs w:val="16"/>
              </w:rPr>
            </w:pPr>
            <w:r w:rsidRPr="004A0B2E">
              <w:rPr>
                <w:rFonts w:ascii="Arial Narrow" w:hAnsi="Arial Narrow" w:cs="Calibri"/>
                <w:sz w:val="16"/>
                <w:szCs w:val="16"/>
              </w:rPr>
              <w:t>96,6</w:t>
            </w:r>
          </w:p>
        </w:tc>
        <w:tc>
          <w:tcPr>
            <w:tcW w:w="1256" w:type="dxa"/>
            <w:tcBorders>
              <w:top w:val="nil"/>
              <w:left w:val="nil"/>
              <w:bottom w:val="single" w:sz="4" w:space="0" w:color="auto"/>
              <w:right w:val="single" w:sz="4" w:space="0" w:color="auto"/>
            </w:tcBorders>
            <w:shd w:val="clear" w:color="auto" w:fill="auto"/>
            <w:vAlign w:val="center"/>
            <w:hideMark/>
          </w:tcPr>
          <w:p w14:paraId="0380D14B" w14:textId="77777777" w:rsidR="004A0B2E" w:rsidRPr="004A0B2E" w:rsidRDefault="004A0B2E" w:rsidP="004A0B2E">
            <w:pPr>
              <w:jc w:val="right"/>
              <w:rPr>
                <w:rFonts w:ascii="Arial Narrow" w:hAnsi="Arial Narrow" w:cs="Calibri"/>
                <w:sz w:val="16"/>
                <w:szCs w:val="16"/>
              </w:rPr>
            </w:pPr>
            <w:r w:rsidRPr="004A0B2E">
              <w:rPr>
                <w:rFonts w:ascii="Arial Narrow" w:hAnsi="Arial Narrow" w:cs="Calibri"/>
                <w:sz w:val="16"/>
                <w:szCs w:val="16"/>
              </w:rPr>
              <w:t>-7,0</w:t>
            </w:r>
          </w:p>
        </w:tc>
        <w:tc>
          <w:tcPr>
            <w:tcW w:w="872" w:type="dxa"/>
            <w:tcBorders>
              <w:top w:val="nil"/>
              <w:left w:val="nil"/>
              <w:bottom w:val="single" w:sz="4" w:space="0" w:color="auto"/>
              <w:right w:val="single" w:sz="4" w:space="0" w:color="auto"/>
            </w:tcBorders>
            <w:shd w:val="clear" w:color="auto" w:fill="auto"/>
            <w:vAlign w:val="center"/>
            <w:hideMark/>
          </w:tcPr>
          <w:p w14:paraId="7FE9D9E6" w14:textId="77777777" w:rsidR="004A0B2E" w:rsidRPr="004A0B2E" w:rsidRDefault="004A0B2E" w:rsidP="004A0B2E">
            <w:pPr>
              <w:jc w:val="right"/>
              <w:rPr>
                <w:rFonts w:ascii="Arial Narrow" w:hAnsi="Arial Narrow" w:cs="Calibri"/>
                <w:sz w:val="16"/>
                <w:szCs w:val="16"/>
              </w:rPr>
            </w:pPr>
            <w:r w:rsidRPr="004A0B2E">
              <w:rPr>
                <w:rFonts w:ascii="Arial Narrow" w:hAnsi="Arial Narrow" w:cs="Calibri"/>
                <w:sz w:val="16"/>
                <w:szCs w:val="16"/>
              </w:rPr>
              <w:t>89,8</w:t>
            </w:r>
          </w:p>
        </w:tc>
      </w:tr>
      <w:tr w:rsidR="004A0B2E" w:rsidRPr="00B10684" w14:paraId="38BAE680" w14:textId="77777777" w:rsidTr="005A18A5">
        <w:trPr>
          <w:trHeight w:val="183"/>
        </w:trPr>
        <w:tc>
          <w:tcPr>
            <w:tcW w:w="757" w:type="dxa"/>
            <w:tcBorders>
              <w:top w:val="nil"/>
              <w:left w:val="single" w:sz="4" w:space="0" w:color="auto"/>
              <w:bottom w:val="single" w:sz="4" w:space="0" w:color="auto"/>
              <w:right w:val="single" w:sz="4" w:space="0" w:color="auto"/>
            </w:tcBorders>
            <w:shd w:val="clear" w:color="auto" w:fill="auto"/>
            <w:noWrap/>
            <w:vAlign w:val="center"/>
            <w:hideMark/>
          </w:tcPr>
          <w:p w14:paraId="7F251FC6" w14:textId="77777777" w:rsidR="004A0B2E" w:rsidRPr="004A0B2E" w:rsidRDefault="004A0B2E" w:rsidP="004A0B2E">
            <w:pPr>
              <w:rPr>
                <w:rFonts w:ascii="Arial Narrow" w:hAnsi="Arial Narrow" w:cs="Calibri"/>
                <w:sz w:val="16"/>
                <w:szCs w:val="16"/>
              </w:rPr>
            </w:pPr>
            <w:r w:rsidRPr="004A0B2E">
              <w:rPr>
                <w:rFonts w:ascii="Arial Narrow" w:hAnsi="Arial Narrow" w:cs="Calibri"/>
                <w:sz w:val="16"/>
                <w:szCs w:val="16"/>
              </w:rPr>
              <w:t xml:space="preserve"> 04.2/1</w:t>
            </w:r>
          </w:p>
        </w:tc>
        <w:tc>
          <w:tcPr>
            <w:tcW w:w="5279" w:type="dxa"/>
            <w:tcBorders>
              <w:top w:val="nil"/>
              <w:left w:val="nil"/>
              <w:bottom w:val="single" w:sz="4" w:space="0" w:color="auto"/>
              <w:right w:val="single" w:sz="4" w:space="0" w:color="auto"/>
            </w:tcBorders>
            <w:shd w:val="clear" w:color="auto" w:fill="auto"/>
            <w:vAlign w:val="center"/>
            <w:hideMark/>
          </w:tcPr>
          <w:p w14:paraId="4E40FDBE" w14:textId="77777777" w:rsidR="004A0B2E" w:rsidRPr="004A0B2E" w:rsidRDefault="004A0B2E" w:rsidP="004A0B2E">
            <w:pPr>
              <w:ind w:firstLineChars="200" w:firstLine="320"/>
              <w:rPr>
                <w:rFonts w:ascii="Arial Narrow" w:hAnsi="Arial Narrow" w:cs="Calibri"/>
                <w:sz w:val="16"/>
                <w:szCs w:val="16"/>
              </w:rPr>
            </w:pPr>
            <w:r w:rsidRPr="004A0B2E">
              <w:rPr>
                <w:rFonts w:ascii="Arial Narrow" w:hAnsi="Arial Narrow" w:cs="Calibri"/>
                <w:sz w:val="16"/>
                <w:szCs w:val="16"/>
              </w:rPr>
              <w:t>Разсадници</w:t>
            </w:r>
          </w:p>
        </w:tc>
        <w:tc>
          <w:tcPr>
            <w:tcW w:w="957" w:type="dxa"/>
            <w:tcBorders>
              <w:top w:val="nil"/>
              <w:left w:val="nil"/>
              <w:bottom w:val="single" w:sz="4" w:space="0" w:color="auto"/>
              <w:right w:val="single" w:sz="4" w:space="0" w:color="auto"/>
            </w:tcBorders>
            <w:shd w:val="clear" w:color="auto" w:fill="auto"/>
            <w:vAlign w:val="center"/>
            <w:hideMark/>
          </w:tcPr>
          <w:p w14:paraId="2E5343F5" w14:textId="77777777" w:rsidR="004A0B2E" w:rsidRPr="004A0B2E" w:rsidRDefault="004A0B2E" w:rsidP="004A0B2E">
            <w:pPr>
              <w:jc w:val="right"/>
              <w:rPr>
                <w:rFonts w:ascii="Arial Narrow" w:hAnsi="Arial Narrow" w:cs="Calibri"/>
                <w:sz w:val="16"/>
                <w:szCs w:val="16"/>
              </w:rPr>
            </w:pPr>
            <w:r w:rsidRPr="004A0B2E">
              <w:rPr>
                <w:rFonts w:ascii="Arial Narrow" w:hAnsi="Arial Narrow" w:cs="Calibri"/>
                <w:sz w:val="16"/>
                <w:szCs w:val="16"/>
              </w:rPr>
              <w:t>10,9</w:t>
            </w:r>
          </w:p>
        </w:tc>
        <w:tc>
          <w:tcPr>
            <w:tcW w:w="1118" w:type="dxa"/>
            <w:tcBorders>
              <w:top w:val="nil"/>
              <w:left w:val="nil"/>
              <w:bottom w:val="single" w:sz="4" w:space="0" w:color="auto"/>
              <w:right w:val="single" w:sz="4" w:space="0" w:color="auto"/>
            </w:tcBorders>
            <w:shd w:val="clear" w:color="auto" w:fill="auto"/>
            <w:vAlign w:val="center"/>
            <w:hideMark/>
          </w:tcPr>
          <w:p w14:paraId="4B62D0FD" w14:textId="77777777" w:rsidR="004A0B2E" w:rsidRPr="004A0B2E" w:rsidRDefault="004A0B2E" w:rsidP="004A0B2E">
            <w:pPr>
              <w:jc w:val="right"/>
              <w:rPr>
                <w:rFonts w:ascii="Arial Narrow" w:hAnsi="Arial Narrow" w:cs="Calibri"/>
                <w:sz w:val="16"/>
                <w:szCs w:val="16"/>
              </w:rPr>
            </w:pPr>
            <w:r w:rsidRPr="004A0B2E">
              <w:rPr>
                <w:rFonts w:ascii="Arial Narrow" w:hAnsi="Arial Narrow" w:cs="Calibri"/>
                <w:sz w:val="16"/>
                <w:szCs w:val="16"/>
              </w:rPr>
              <w:t>66,1</w:t>
            </w:r>
          </w:p>
        </w:tc>
        <w:tc>
          <w:tcPr>
            <w:tcW w:w="957" w:type="dxa"/>
            <w:tcBorders>
              <w:top w:val="nil"/>
              <w:left w:val="nil"/>
              <w:bottom w:val="single" w:sz="4" w:space="0" w:color="auto"/>
              <w:right w:val="single" w:sz="4" w:space="0" w:color="auto"/>
            </w:tcBorders>
            <w:shd w:val="clear" w:color="auto" w:fill="auto"/>
            <w:vAlign w:val="center"/>
            <w:hideMark/>
          </w:tcPr>
          <w:p w14:paraId="28F86296" w14:textId="77777777" w:rsidR="004A0B2E" w:rsidRPr="004A0B2E" w:rsidRDefault="004A0B2E" w:rsidP="004A0B2E">
            <w:pPr>
              <w:jc w:val="right"/>
              <w:rPr>
                <w:rFonts w:ascii="Arial Narrow" w:hAnsi="Arial Narrow" w:cs="Calibri"/>
                <w:sz w:val="16"/>
                <w:szCs w:val="16"/>
              </w:rPr>
            </w:pPr>
            <w:r w:rsidRPr="004A0B2E">
              <w:rPr>
                <w:rFonts w:ascii="Arial Narrow" w:hAnsi="Arial Narrow" w:cs="Calibri"/>
                <w:sz w:val="16"/>
                <w:szCs w:val="16"/>
              </w:rPr>
              <w:t>18,1</w:t>
            </w:r>
          </w:p>
        </w:tc>
        <w:tc>
          <w:tcPr>
            <w:tcW w:w="1256" w:type="dxa"/>
            <w:tcBorders>
              <w:top w:val="nil"/>
              <w:left w:val="nil"/>
              <w:bottom w:val="single" w:sz="4" w:space="0" w:color="auto"/>
              <w:right w:val="single" w:sz="4" w:space="0" w:color="auto"/>
            </w:tcBorders>
            <w:shd w:val="clear" w:color="auto" w:fill="auto"/>
            <w:vAlign w:val="center"/>
            <w:hideMark/>
          </w:tcPr>
          <w:p w14:paraId="5BEAE4D0" w14:textId="77777777" w:rsidR="004A0B2E" w:rsidRPr="004A0B2E" w:rsidRDefault="004A0B2E" w:rsidP="004A0B2E">
            <w:pPr>
              <w:jc w:val="right"/>
              <w:rPr>
                <w:rFonts w:ascii="Arial Narrow" w:hAnsi="Arial Narrow" w:cs="Calibri"/>
                <w:sz w:val="16"/>
                <w:szCs w:val="16"/>
              </w:rPr>
            </w:pPr>
            <w:r w:rsidRPr="004A0B2E">
              <w:rPr>
                <w:rFonts w:ascii="Arial Narrow" w:hAnsi="Arial Narrow" w:cs="Calibri"/>
                <w:sz w:val="16"/>
                <w:szCs w:val="16"/>
              </w:rPr>
              <w:t>-7,2</w:t>
            </w:r>
          </w:p>
        </w:tc>
        <w:tc>
          <w:tcPr>
            <w:tcW w:w="872" w:type="dxa"/>
            <w:tcBorders>
              <w:top w:val="nil"/>
              <w:left w:val="nil"/>
              <w:bottom w:val="single" w:sz="4" w:space="0" w:color="auto"/>
              <w:right w:val="single" w:sz="4" w:space="0" w:color="auto"/>
            </w:tcBorders>
            <w:shd w:val="clear" w:color="auto" w:fill="auto"/>
            <w:vAlign w:val="center"/>
            <w:hideMark/>
          </w:tcPr>
          <w:p w14:paraId="5D58F4F9" w14:textId="77777777" w:rsidR="004A0B2E" w:rsidRPr="004A0B2E" w:rsidRDefault="004A0B2E" w:rsidP="004A0B2E">
            <w:pPr>
              <w:jc w:val="right"/>
              <w:rPr>
                <w:rFonts w:ascii="Arial Narrow" w:hAnsi="Arial Narrow" w:cs="Calibri"/>
                <w:sz w:val="16"/>
                <w:szCs w:val="16"/>
              </w:rPr>
            </w:pPr>
            <w:r w:rsidRPr="004A0B2E">
              <w:rPr>
                <w:rFonts w:ascii="Arial Narrow" w:hAnsi="Arial Narrow" w:cs="Calibri"/>
                <w:sz w:val="16"/>
                <w:szCs w:val="16"/>
              </w:rPr>
              <w:t>16,8</w:t>
            </w:r>
          </w:p>
        </w:tc>
      </w:tr>
      <w:tr w:rsidR="004A0B2E" w:rsidRPr="00B10684" w14:paraId="633892EB" w14:textId="77777777" w:rsidTr="005A18A5">
        <w:trPr>
          <w:trHeight w:val="167"/>
        </w:trPr>
        <w:tc>
          <w:tcPr>
            <w:tcW w:w="757" w:type="dxa"/>
            <w:tcBorders>
              <w:top w:val="nil"/>
              <w:left w:val="single" w:sz="4" w:space="0" w:color="auto"/>
              <w:bottom w:val="single" w:sz="4" w:space="0" w:color="auto"/>
              <w:right w:val="single" w:sz="4" w:space="0" w:color="auto"/>
            </w:tcBorders>
            <w:shd w:val="clear" w:color="auto" w:fill="auto"/>
            <w:noWrap/>
            <w:vAlign w:val="center"/>
            <w:hideMark/>
          </w:tcPr>
          <w:p w14:paraId="75298182" w14:textId="77777777" w:rsidR="004A0B2E" w:rsidRPr="004A0B2E" w:rsidRDefault="004A0B2E" w:rsidP="004A0B2E">
            <w:pPr>
              <w:rPr>
                <w:rFonts w:ascii="Arial Narrow" w:hAnsi="Arial Narrow" w:cs="Calibri"/>
                <w:sz w:val="16"/>
                <w:szCs w:val="16"/>
              </w:rPr>
            </w:pPr>
            <w:r w:rsidRPr="004A0B2E">
              <w:rPr>
                <w:rFonts w:ascii="Arial Narrow" w:hAnsi="Arial Narrow" w:cs="Calibri"/>
                <w:sz w:val="16"/>
                <w:szCs w:val="16"/>
              </w:rPr>
              <w:t xml:space="preserve"> 04.2/2</w:t>
            </w:r>
          </w:p>
        </w:tc>
        <w:tc>
          <w:tcPr>
            <w:tcW w:w="5279" w:type="dxa"/>
            <w:tcBorders>
              <w:top w:val="nil"/>
              <w:left w:val="nil"/>
              <w:bottom w:val="single" w:sz="4" w:space="0" w:color="auto"/>
              <w:right w:val="single" w:sz="4" w:space="0" w:color="auto"/>
            </w:tcBorders>
            <w:shd w:val="clear" w:color="auto" w:fill="auto"/>
            <w:vAlign w:val="center"/>
            <w:hideMark/>
          </w:tcPr>
          <w:p w14:paraId="545A3D3B" w14:textId="77777777" w:rsidR="004A0B2E" w:rsidRPr="004A0B2E" w:rsidRDefault="004A0B2E" w:rsidP="004A0B2E">
            <w:pPr>
              <w:ind w:firstLineChars="200" w:firstLine="320"/>
              <w:rPr>
                <w:rFonts w:ascii="Arial Narrow" w:hAnsi="Arial Narrow" w:cs="Calibri"/>
                <w:sz w:val="16"/>
                <w:szCs w:val="16"/>
              </w:rPr>
            </w:pPr>
            <w:r w:rsidRPr="004A0B2E">
              <w:rPr>
                <w:rFonts w:ascii="Arial Narrow" w:hAnsi="Arial Narrow" w:cs="Calibri"/>
                <w:sz w:val="16"/>
                <w:szCs w:val="16"/>
              </w:rPr>
              <w:t>Декоративни растения, вкл.коледни дръвчета</w:t>
            </w:r>
          </w:p>
        </w:tc>
        <w:tc>
          <w:tcPr>
            <w:tcW w:w="957" w:type="dxa"/>
            <w:tcBorders>
              <w:top w:val="nil"/>
              <w:left w:val="nil"/>
              <w:bottom w:val="single" w:sz="4" w:space="0" w:color="auto"/>
              <w:right w:val="single" w:sz="4" w:space="0" w:color="auto"/>
            </w:tcBorders>
            <w:shd w:val="clear" w:color="auto" w:fill="auto"/>
            <w:vAlign w:val="center"/>
            <w:hideMark/>
          </w:tcPr>
          <w:p w14:paraId="24EBD494" w14:textId="77777777" w:rsidR="004A0B2E" w:rsidRPr="004A0B2E" w:rsidRDefault="004A0B2E" w:rsidP="004A0B2E">
            <w:pPr>
              <w:jc w:val="right"/>
              <w:rPr>
                <w:rFonts w:ascii="Arial Narrow" w:hAnsi="Arial Narrow" w:cs="Calibri"/>
                <w:sz w:val="16"/>
                <w:szCs w:val="16"/>
              </w:rPr>
            </w:pPr>
            <w:r w:rsidRPr="004A0B2E">
              <w:rPr>
                <w:rFonts w:ascii="Arial Narrow" w:hAnsi="Arial Narrow" w:cs="Calibri"/>
                <w:sz w:val="16"/>
                <w:szCs w:val="16"/>
              </w:rPr>
              <w:t>19,2</w:t>
            </w:r>
          </w:p>
        </w:tc>
        <w:tc>
          <w:tcPr>
            <w:tcW w:w="1118" w:type="dxa"/>
            <w:tcBorders>
              <w:top w:val="nil"/>
              <w:left w:val="nil"/>
              <w:bottom w:val="single" w:sz="4" w:space="0" w:color="auto"/>
              <w:right w:val="single" w:sz="4" w:space="0" w:color="auto"/>
            </w:tcBorders>
            <w:shd w:val="clear" w:color="auto" w:fill="auto"/>
            <w:vAlign w:val="center"/>
            <w:hideMark/>
          </w:tcPr>
          <w:p w14:paraId="06470AEF" w14:textId="77777777" w:rsidR="004A0B2E" w:rsidRPr="004A0B2E" w:rsidRDefault="004A0B2E" w:rsidP="004A0B2E">
            <w:pPr>
              <w:jc w:val="right"/>
              <w:rPr>
                <w:rFonts w:ascii="Arial Narrow" w:hAnsi="Arial Narrow" w:cs="Calibri"/>
                <w:sz w:val="16"/>
                <w:szCs w:val="16"/>
              </w:rPr>
            </w:pPr>
            <w:r w:rsidRPr="004A0B2E">
              <w:rPr>
                <w:rFonts w:ascii="Arial Narrow" w:hAnsi="Arial Narrow" w:cs="Calibri"/>
                <w:sz w:val="16"/>
                <w:szCs w:val="16"/>
              </w:rPr>
              <w:t>-9,9</w:t>
            </w:r>
          </w:p>
        </w:tc>
        <w:tc>
          <w:tcPr>
            <w:tcW w:w="957" w:type="dxa"/>
            <w:tcBorders>
              <w:top w:val="nil"/>
              <w:left w:val="nil"/>
              <w:bottom w:val="single" w:sz="4" w:space="0" w:color="auto"/>
              <w:right w:val="single" w:sz="4" w:space="0" w:color="auto"/>
            </w:tcBorders>
            <w:shd w:val="clear" w:color="auto" w:fill="auto"/>
            <w:vAlign w:val="center"/>
            <w:hideMark/>
          </w:tcPr>
          <w:p w14:paraId="6E7B2C24" w14:textId="77777777" w:rsidR="004A0B2E" w:rsidRPr="004A0B2E" w:rsidRDefault="004A0B2E" w:rsidP="004A0B2E">
            <w:pPr>
              <w:jc w:val="right"/>
              <w:rPr>
                <w:rFonts w:ascii="Arial Narrow" w:hAnsi="Arial Narrow" w:cs="Calibri"/>
                <w:sz w:val="16"/>
                <w:szCs w:val="16"/>
              </w:rPr>
            </w:pPr>
            <w:r w:rsidRPr="004A0B2E">
              <w:rPr>
                <w:rFonts w:ascii="Arial Narrow" w:hAnsi="Arial Narrow" w:cs="Calibri"/>
                <w:sz w:val="16"/>
                <w:szCs w:val="16"/>
              </w:rPr>
              <w:t>17,3</w:t>
            </w:r>
          </w:p>
        </w:tc>
        <w:tc>
          <w:tcPr>
            <w:tcW w:w="1256" w:type="dxa"/>
            <w:tcBorders>
              <w:top w:val="nil"/>
              <w:left w:val="nil"/>
              <w:bottom w:val="single" w:sz="4" w:space="0" w:color="auto"/>
              <w:right w:val="single" w:sz="4" w:space="0" w:color="auto"/>
            </w:tcBorders>
            <w:shd w:val="clear" w:color="auto" w:fill="auto"/>
            <w:vAlign w:val="center"/>
            <w:hideMark/>
          </w:tcPr>
          <w:p w14:paraId="06595F90" w14:textId="77777777" w:rsidR="004A0B2E" w:rsidRPr="004A0B2E" w:rsidRDefault="004A0B2E" w:rsidP="004A0B2E">
            <w:pPr>
              <w:jc w:val="right"/>
              <w:rPr>
                <w:rFonts w:ascii="Arial Narrow" w:hAnsi="Arial Narrow" w:cs="Calibri"/>
                <w:sz w:val="16"/>
                <w:szCs w:val="16"/>
              </w:rPr>
            </w:pPr>
            <w:r w:rsidRPr="004A0B2E">
              <w:rPr>
                <w:rFonts w:ascii="Arial Narrow" w:hAnsi="Arial Narrow" w:cs="Calibri"/>
                <w:sz w:val="16"/>
                <w:szCs w:val="16"/>
              </w:rPr>
              <w:t>-22,0</w:t>
            </w:r>
          </w:p>
        </w:tc>
        <w:tc>
          <w:tcPr>
            <w:tcW w:w="872" w:type="dxa"/>
            <w:tcBorders>
              <w:top w:val="nil"/>
              <w:left w:val="nil"/>
              <w:bottom w:val="single" w:sz="4" w:space="0" w:color="auto"/>
              <w:right w:val="single" w:sz="4" w:space="0" w:color="auto"/>
            </w:tcBorders>
            <w:shd w:val="clear" w:color="auto" w:fill="auto"/>
            <w:vAlign w:val="center"/>
            <w:hideMark/>
          </w:tcPr>
          <w:p w14:paraId="2DB3BBCE" w14:textId="77777777" w:rsidR="004A0B2E" w:rsidRPr="004A0B2E" w:rsidRDefault="004A0B2E" w:rsidP="004A0B2E">
            <w:pPr>
              <w:jc w:val="right"/>
              <w:rPr>
                <w:rFonts w:ascii="Arial Narrow" w:hAnsi="Arial Narrow" w:cs="Calibri"/>
                <w:sz w:val="16"/>
                <w:szCs w:val="16"/>
              </w:rPr>
            </w:pPr>
            <w:r w:rsidRPr="004A0B2E">
              <w:rPr>
                <w:rFonts w:ascii="Arial Narrow" w:hAnsi="Arial Narrow" w:cs="Calibri"/>
                <w:sz w:val="16"/>
                <w:szCs w:val="16"/>
              </w:rPr>
              <w:t>13,5</w:t>
            </w:r>
          </w:p>
        </w:tc>
      </w:tr>
      <w:tr w:rsidR="004A0B2E" w:rsidRPr="00B10684" w14:paraId="03C68A3B" w14:textId="77777777" w:rsidTr="005A18A5">
        <w:trPr>
          <w:trHeight w:val="183"/>
        </w:trPr>
        <w:tc>
          <w:tcPr>
            <w:tcW w:w="757" w:type="dxa"/>
            <w:tcBorders>
              <w:top w:val="nil"/>
              <w:left w:val="single" w:sz="4" w:space="0" w:color="auto"/>
              <w:bottom w:val="single" w:sz="4" w:space="0" w:color="auto"/>
              <w:right w:val="single" w:sz="4" w:space="0" w:color="auto"/>
            </w:tcBorders>
            <w:shd w:val="clear" w:color="auto" w:fill="auto"/>
            <w:noWrap/>
            <w:vAlign w:val="center"/>
            <w:hideMark/>
          </w:tcPr>
          <w:p w14:paraId="0C692D59" w14:textId="77777777" w:rsidR="004A0B2E" w:rsidRPr="004A0B2E" w:rsidRDefault="004A0B2E" w:rsidP="004A0B2E">
            <w:pPr>
              <w:rPr>
                <w:rFonts w:ascii="Arial Narrow" w:hAnsi="Arial Narrow" w:cs="Calibri"/>
                <w:sz w:val="16"/>
                <w:szCs w:val="16"/>
              </w:rPr>
            </w:pPr>
            <w:r w:rsidRPr="004A0B2E">
              <w:rPr>
                <w:rFonts w:ascii="Arial Narrow" w:hAnsi="Arial Narrow" w:cs="Calibri"/>
                <w:sz w:val="16"/>
                <w:szCs w:val="16"/>
              </w:rPr>
              <w:t xml:space="preserve"> 04.2/3</w:t>
            </w:r>
          </w:p>
        </w:tc>
        <w:tc>
          <w:tcPr>
            <w:tcW w:w="5279" w:type="dxa"/>
            <w:tcBorders>
              <w:top w:val="nil"/>
              <w:left w:val="nil"/>
              <w:bottom w:val="single" w:sz="4" w:space="0" w:color="auto"/>
              <w:right w:val="single" w:sz="4" w:space="0" w:color="auto"/>
            </w:tcBorders>
            <w:shd w:val="clear" w:color="auto" w:fill="auto"/>
            <w:vAlign w:val="center"/>
            <w:hideMark/>
          </w:tcPr>
          <w:p w14:paraId="39FD58FE" w14:textId="77777777" w:rsidR="004A0B2E" w:rsidRPr="004A0B2E" w:rsidRDefault="004A0B2E" w:rsidP="004A0B2E">
            <w:pPr>
              <w:ind w:firstLineChars="200" w:firstLine="320"/>
              <w:rPr>
                <w:rFonts w:ascii="Arial Narrow" w:hAnsi="Arial Narrow" w:cs="Calibri"/>
                <w:sz w:val="16"/>
                <w:szCs w:val="16"/>
              </w:rPr>
            </w:pPr>
            <w:r w:rsidRPr="004A0B2E">
              <w:rPr>
                <w:rFonts w:ascii="Arial Narrow" w:hAnsi="Arial Narrow" w:cs="Calibri"/>
                <w:sz w:val="16"/>
                <w:szCs w:val="16"/>
              </w:rPr>
              <w:t>Създаване и отглеждане</w:t>
            </w:r>
          </w:p>
        </w:tc>
        <w:tc>
          <w:tcPr>
            <w:tcW w:w="957" w:type="dxa"/>
            <w:tcBorders>
              <w:top w:val="nil"/>
              <w:left w:val="nil"/>
              <w:bottom w:val="single" w:sz="4" w:space="0" w:color="auto"/>
              <w:right w:val="single" w:sz="4" w:space="0" w:color="auto"/>
            </w:tcBorders>
            <w:shd w:val="clear" w:color="auto" w:fill="auto"/>
            <w:vAlign w:val="center"/>
            <w:hideMark/>
          </w:tcPr>
          <w:p w14:paraId="474BE1D0" w14:textId="77777777" w:rsidR="004A0B2E" w:rsidRPr="004A0B2E" w:rsidRDefault="004A0B2E" w:rsidP="004A0B2E">
            <w:pPr>
              <w:jc w:val="right"/>
              <w:rPr>
                <w:rFonts w:ascii="Arial Narrow" w:hAnsi="Arial Narrow" w:cs="Calibri"/>
                <w:sz w:val="16"/>
                <w:szCs w:val="16"/>
              </w:rPr>
            </w:pPr>
            <w:r w:rsidRPr="004A0B2E">
              <w:rPr>
                <w:rFonts w:ascii="Arial Narrow" w:hAnsi="Arial Narrow" w:cs="Calibri"/>
                <w:sz w:val="16"/>
                <w:szCs w:val="16"/>
              </w:rPr>
              <w:t>84,9</w:t>
            </w:r>
          </w:p>
        </w:tc>
        <w:tc>
          <w:tcPr>
            <w:tcW w:w="1118" w:type="dxa"/>
            <w:tcBorders>
              <w:top w:val="nil"/>
              <w:left w:val="nil"/>
              <w:bottom w:val="single" w:sz="4" w:space="0" w:color="auto"/>
              <w:right w:val="single" w:sz="4" w:space="0" w:color="auto"/>
            </w:tcBorders>
            <w:shd w:val="clear" w:color="auto" w:fill="auto"/>
            <w:vAlign w:val="center"/>
            <w:hideMark/>
          </w:tcPr>
          <w:p w14:paraId="4522C4B9" w14:textId="77777777" w:rsidR="004A0B2E" w:rsidRPr="004A0B2E" w:rsidRDefault="004A0B2E" w:rsidP="004A0B2E">
            <w:pPr>
              <w:jc w:val="right"/>
              <w:rPr>
                <w:rFonts w:ascii="Arial Narrow" w:hAnsi="Arial Narrow" w:cs="Calibri"/>
                <w:sz w:val="16"/>
                <w:szCs w:val="16"/>
              </w:rPr>
            </w:pPr>
            <w:r w:rsidRPr="004A0B2E">
              <w:rPr>
                <w:rFonts w:ascii="Arial Narrow" w:hAnsi="Arial Narrow" w:cs="Calibri"/>
                <w:sz w:val="16"/>
                <w:szCs w:val="16"/>
              </w:rPr>
              <w:t>-27,9</w:t>
            </w:r>
          </w:p>
        </w:tc>
        <w:tc>
          <w:tcPr>
            <w:tcW w:w="957" w:type="dxa"/>
            <w:tcBorders>
              <w:top w:val="nil"/>
              <w:left w:val="nil"/>
              <w:bottom w:val="single" w:sz="4" w:space="0" w:color="auto"/>
              <w:right w:val="single" w:sz="4" w:space="0" w:color="auto"/>
            </w:tcBorders>
            <w:shd w:val="clear" w:color="auto" w:fill="auto"/>
            <w:vAlign w:val="center"/>
            <w:hideMark/>
          </w:tcPr>
          <w:p w14:paraId="61E1D714" w14:textId="77777777" w:rsidR="004A0B2E" w:rsidRPr="004A0B2E" w:rsidRDefault="004A0B2E" w:rsidP="004A0B2E">
            <w:pPr>
              <w:jc w:val="right"/>
              <w:rPr>
                <w:rFonts w:ascii="Arial Narrow" w:hAnsi="Arial Narrow" w:cs="Calibri"/>
                <w:sz w:val="16"/>
                <w:szCs w:val="16"/>
              </w:rPr>
            </w:pPr>
            <w:r w:rsidRPr="004A0B2E">
              <w:rPr>
                <w:rFonts w:ascii="Arial Narrow" w:hAnsi="Arial Narrow" w:cs="Calibri"/>
                <w:sz w:val="16"/>
                <w:szCs w:val="16"/>
              </w:rPr>
              <w:t>61,2</w:t>
            </w:r>
          </w:p>
        </w:tc>
        <w:tc>
          <w:tcPr>
            <w:tcW w:w="1256" w:type="dxa"/>
            <w:tcBorders>
              <w:top w:val="nil"/>
              <w:left w:val="nil"/>
              <w:bottom w:val="single" w:sz="4" w:space="0" w:color="auto"/>
              <w:right w:val="single" w:sz="4" w:space="0" w:color="auto"/>
            </w:tcBorders>
            <w:shd w:val="clear" w:color="auto" w:fill="auto"/>
            <w:vAlign w:val="center"/>
            <w:hideMark/>
          </w:tcPr>
          <w:p w14:paraId="30050D5B" w14:textId="77777777" w:rsidR="004A0B2E" w:rsidRPr="004A0B2E" w:rsidRDefault="004A0B2E" w:rsidP="004A0B2E">
            <w:pPr>
              <w:jc w:val="right"/>
              <w:rPr>
                <w:rFonts w:ascii="Arial Narrow" w:hAnsi="Arial Narrow" w:cs="Calibri"/>
                <w:sz w:val="16"/>
                <w:szCs w:val="16"/>
              </w:rPr>
            </w:pPr>
            <w:r w:rsidRPr="004A0B2E">
              <w:rPr>
                <w:rFonts w:ascii="Arial Narrow" w:hAnsi="Arial Narrow" w:cs="Calibri"/>
                <w:sz w:val="16"/>
                <w:szCs w:val="16"/>
              </w:rPr>
              <w:t>-2,8</w:t>
            </w:r>
          </w:p>
        </w:tc>
        <w:tc>
          <w:tcPr>
            <w:tcW w:w="872" w:type="dxa"/>
            <w:tcBorders>
              <w:top w:val="nil"/>
              <w:left w:val="nil"/>
              <w:bottom w:val="single" w:sz="4" w:space="0" w:color="auto"/>
              <w:right w:val="single" w:sz="4" w:space="0" w:color="auto"/>
            </w:tcBorders>
            <w:shd w:val="clear" w:color="auto" w:fill="auto"/>
            <w:vAlign w:val="center"/>
            <w:hideMark/>
          </w:tcPr>
          <w:p w14:paraId="4CDE35E6" w14:textId="77777777" w:rsidR="004A0B2E" w:rsidRPr="004A0B2E" w:rsidRDefault="004A0B2E" w:rsidP="004A0B2E">
            <w:pPr>
              <w:jc w:val="right"/>
              <w:rPr>
                <w:rFonts w:ascii="Arial Narrow" w:hAnsi="Arial Narrow" w:cs="Calibri"/>
                <w:sz w:val="16"/>
                <w:szCs w:val="16"/>
              </w:rPr>
            </w:pPr>
            <w:r w:rsidRPr="004A0B2E">
              <w:rPr>
                <w:rFonts w:ascii="Arial Narrow" w:hAnsi="Arial Narrow" w:cs="Calibri"/>
                <w:sz w:val="16"/>
                <w:szCs w:val="16"/>
              </w:rPr>
              <w:t>59,5</w:t>
            </w:r>
          </w:p>
        </w:tc>
      </w:tr>
      <w:tr w:rsidR="004A0B2E" w:rsidRPr="00B10684" w14:paraId="1A014CFA" w14:textId="77777777" w:rsidTr="005A18A5">
        <w:trPr>
          <w:trHeight w:val="183"/>
        </w:trPr>
        <w:tc>
          <w:tcPr>
            <w:tcW w:w="757" w:type="dxa"/>
            <w:tcBorders>
              <w:top w:val="nil"/>
              <w:left w:val="single" w:sz="4" w:space="0" w:color="auto"/>
              <w:bottom w:val="single" w:sz="4" w:space="0" w:color="auto"/>
              <w:right w:val="single" w:sz="4" w:space="0" w:color="auto"/>
            </w:tcBorders>
            <w:shd w:val="clear" w:color="auto" w:fill="auto"/>
            <w:noWrap/>
            <w:vAlign w:val="center"/>
            <w:hideMark/>
          </w:tcPr>
          <w:p w14:paraId="72B1AC75" w14:textId="77777777" w:rsidR="004A0B2E" w:rsidRPr="004A0B2E" w:rsidRDefault="004A0B2E" w:rsidP="004A0B2E">
            <w:pPr>
              <w:rPr>
                <w:rFonts w:ascii="Arial Narrow" w:hAnsi="Arial Narrow" w:cs="Calibri"/>
                <w:sz w:val="16"/>
                <w:szCs w:val="16"/>
              </w:rPr>
            </w:pPr>
            <w:r w:rsidRPr="004A0B2E">
              <w:rPr>
                <w:rFonts w:ascii="Arial Narrow" w:hAnsi="Arial Narrow" w:cs="Calibri"/>
                <w:sz w:val="16"/>
                <w:szCs w:val="16"/>
              </w:rPr>
              <w:t xml:space="preserve"> 05</w:t>
            </w:r>
          </w:p>
        </w:tc>
        <w:tc>
          <w:tcPr>
            <w:tcW w:w="5279" w:type="dxa"/>
            <w:tcBorders>
              <w:top w:val="nil"/>
              <w:left w:val="nil"/>
              <w:bottom w:val="single" w:sz="4" w:space="0" w:color="auto"/>
              <w:right w:val="single" w:sz="4" w:space="0" w:color="auto"/>
            </w:tcBorders>
            <w:shd w:val="clear" w:color="auto" w:fill="auto"/>
            <w:vAlign w:val="center"/>
            <w:hideMark/>
          </w:tcPr>
          <w:p w14:paraId="2531F918" w14:textId="77777777" w:rsidR="004A0B2E" w:rsidRPr="004A0B2E" w:rsidRDefault="004A0B2E" w:rsidP="004A0B2E">
            <w:pPr>
              <w:rPr>
                <w:rFonts w:ascii="Arial Narrow" w:hAnsi="Arial Narrow" w:cs="Calibri"/>
                <w:sz w:val="16"/>
                <w:szCs w:val="16"/>
              </w:rPr>
            </w:pPr>
            <w:r w:rsidRPr="004A0B2E">
              <w:rPr>
                <w:rFonts w:ascii="Arial Narrow" w:hAnsi="Arial Narrow" w:cs="Calibri"/>
                <w:sz w:val="16"/>
                <w:szCs w:val="16"/>
              </w:rPr>
              <w:t>Картофи</w:t>
            </w:r>
          </w:p>
        </w:tc>
        <w:tc>
          <w:tcPr>
            <w:tcW w:w="957" w:type="dxa"/>
            <w:tcBorders>
              <w:top w:val="nil"/>
              <w:left w:val="nil"/>
              <w:bottom w:val="single" w:sz="4" w:space="0" w:color="auto"/>
              <w:right w:val="single" w:sz="4" w:space="0" w:color="auto"/>
            </w:tcBorders>
            <w:shd w:val="clear" w:color="auto" w:fill="auto"/>
            <w:vAlign w:val="center"/>
            <w:hideMark/>
          </w:tcPr>
          <w:p w14:paraId="092DD97A" w14:textId="77777777" w:rsidR="004A0B2E" w:rsidRPr="004A0B2E" w:rsidRDefault="004A0B2E" w:rsidP="004A0B2E">
            <w:pPr>
              <w:jc w:val="right"/>
              <w:rPr>
                <w:rFonts w:ascii="Arial Narrow" w:hAnsi="Arial Narrow" w:cs="Calibri"/>
                <w:sz w:val="16"/>
                <w:szCs w:val="16"/>
              </w:rPr>
            </w:pPr>
            <w:r w:rsidRPr="004A0B2E">
              <w:rPr>
                <w:rFonts w:ascii="Arial Narrow" w:hAnsi="Arial Narrow" w:cs="Calibri"/>
                <w:sz w:val="16"/>
                <w:szCs w:val="16"/>
              </w:rPr>
              <w:t>89,5</w:t>
            </w:r>
          </w:p>
        </w:tc>
        <w:tc>
          <w:tcPr>
            <w:tcW w:w="1118" w:type="dxa"/>
            <w:tcBorders>
              <w:top w:val="nil"/>
              <w:left w:val="nil"/>
              <w:bottom w:val="single" w:sz="4" w:space="0" w:color="auto"/>
              <w:right w:val="single" w:sz="4" w:space="0" w:color="auto"/>
            </w:tcBorders>
            <w:shd w:val="clear" w:color="auto" w:fill="auto"/>
            <w:vAlign w:val="center"/>
            <w:hideMark/>
          </w:tcPr>
          <w:p w14:paraId="3EFCC2EF" w14:textId="77777777" w:rsidR="004A0B2E" w:rsidRPr="004A0B2E" w:rsidRDefault="004A0B2E" w:rsidP="004A0B2E">
            <w:pPr>
              <w:jc w:val="right"/>
              <w:rPr>
                <w:rFonts w:ascii="Arial Narrow" w:hAnsi="Arial Narrow" w:cs="Calibri"/>
                <w:sz w:val="16"/>
                <w:szCs w:val="16"/>
              </w:rPr>
            </w:pPr>
            <w:r w:rsidRPr="004A0B2E">
              <w:rPr>
                <w:rFonts w:ascii="Arial Narrow" w:hAnsi="Arial Narrow" w:cs="Calibri"/>
                <w:sz w:val="16"/>
                <w:szCs w:val="16"/>
              </w:rPr>
              <w:t>-13,3</w:t>
            </w:r>
          </w:p>
        </w:tc>
        <w:tc>
          <w:tcPr>
            <w:tcW w:w="957" w:type="dxa"/>
            <w:tcBorders>
              <w:top w:val="nil"/>
              <w:left w:val="nil"/>
              <w:bottom w:val="single" w:sz="4" w:space="0" w:color="auto"/>
              <w:right w:val="single" w:sz="4" w:space="0" w:color="auto"/>
            </w:tcBorders>
            <w:shd w:val="clear" w:color="auto" w:fill="auto"/>
            <w:vAlign w:val="center"/>
            <w:hideMark/>
          </w:tcPr>
          <w:p w14:paraId="01CF2BB6" w14:textId="77777777" w:rsidR="004A0B2E" w:rsidRPr="004A0B2E" w:rsidRDefault="004A0B2E" w:rsidP="004A0B2E">
            <w:pPr>
              <w:jc w:val="right"/>
              <w:rPr>
                <w:rFonts w:ascii="Arial Narrow" w:hAnsi="Arial Narrow" w:cs="Calibri"/>
                <w:sz w:val="16"/>
                <w:szCs w:val="16"/>
              </w:rPr>
            </w:pPr>
            <w:r w:rsidRPr="004A0B2E">
              <w:rPr>
                <w:rFonts w:ascii="Arial Narrow" w:hAnsi="Arial Narrow" w:cs="Calibri"/>
                <w:sz w:val="16"/>
                <w:szCs w:val="16"/>
              </w:rPr>
              <w:t>77,6</w:t>
            </w:r>
          </w:p>
        </w:tc>
        <w:tc>
          <w:tcPr>
            <w:tcW w:w="1256" w:type="dxa"/>
            <w:tcBorders>
              <w:top w:val="nil"/>
              <w:left w:val="nil"/>
              <w:bottom w:val="single" w:sz="4" w:space="0" w:color="auto"/>
              <w:right w:val="single" w:sz="4" w:space="0" w:color="auto"/>
            </w:tcBorders>
            <w:shd w:val="clear" w:color="auto" w:fill="auto"/>
            <w:vAlign w:val="center"/>
            <w:hideMark/>
          </w:tcPr>
          <w:p w14:paraId="03CC9347" w14:textId="77777777" w:rsidR="004A0B2E" w:rsidRPr="004A0B2E" w:rsidRDefault="004A0B2E" w:rsidP="004A0B2E">
            <w:pPr>
              <w:jc w:val="right"/>
              <w:rPr>
                <w:rFonts w:ascii="Arial Narrow" w:hAnsi="Arial Narrow" w:cs="Calibri"/>
                <w:sz w:val="16"/>
                <w:szCs w:val="16"/>
              </w:rPr>
            </w:pPr>
            <w:r w:rsidRPr="004A0B2E">
              <w:rPr>
                <w:rFonts w:ascii="Arial Narrow" w:hAnsi="Arial Narrow" w:cs="Calibri"/>
                <w:sz w:val="16"/>
                <w:szCs w:val="16"/>
              </w:rPr>
              <w:t>-2,4</w:t>
            </w:r>
          </w:p>
        </w:tc>
        <w:tc>
          <w:tcPr>
            <w:tcW w:w="872" w:type="dxa"/>
            <w:tcBorders>
              <w:top w:val="nil"/>
              <w:left w:val="nil"/>
              <w:bottom w:val="single" w:sz="4" w:space="0" w:color="auto"/>
              <w:right w:val="single" w:sz="4" w:space="0" w:color="auto"/>
            </w:tcBorders>
            <w:shd w:val="clear" w:color="auto" w:fill="auto"/>
            <w:vAlign w:val="center"/>
            <w:hideMark/>
          </w:tcPr>
          <w:p w14:paraId="5A3ABA13" w14:textId="77777777" w:rsidR="004A0B2E" w:rsidRPr="004A0B2E" w:rsidRDefault="004A0B2E" w:rsidP="004A0B2E">
            <w:pPr>
              <w:jc w:val="right"/>
              <w:rPr>
                <w:rFonts w:ascii="Arial Narrow" w:hAnsi="Arial Narrow" w:cs="Calibri"/>
                <w:sz w:val="16"/>
                <w:szCs w:val="16"/>
              </w:rPr>
            </w:pPr>
            <w:r w:rsidRPr="004A0B2E">
              <w:rPr>
                <w:rFonts w:ascii="Arial Narrow" w:hAnsi="Arial Narrow" w:cs="Calibri"/>
                <w:sz w:val="16"/>
                <w:szCs w:val="16"/>
              </w:rPr>
              <w:t>75,7</w:t>
            </w:r>
          </w:p>
        </w:tc>
      </w:tr>
      <w:tr w:rsidR="004A0B2E" w:rsidRPr="00B10684" w14:paraId="2B9E9042" w14:textId="77777777" w:rsidTr="005A18A5">
        <w:trPr>
          <w:trHeight w:val="183"/>
        </w:trPr>
        <w:tc>
          <w:tcPr>
            <w:tcW w:w="757" w:type="dxa"/>
            <w:tcBorders>
              <w:top w:val="nil"/>
              <w:left w:val="single" w:sz="4" w:space="0" w:color="auto"/>
              <w:bottom w:val="single" w:sz="4" w:space="0" w:color="auto"/>
              <w:right w:val="single" w:sz="4" w:space="0" w:color="auto"/>
            </w:tcBorders>
            <w:shd w:val="clear" w:color="auto" w:fill="auto"/>
            <w:noWrap/>
            <w:vAlign w:val="center"/>
            <w:hideMark/>
          </w:tcPr>
          <w:p w14:paraId="3EF2D475" w14:textId="77777777" w:rsidR="004A0B2E" w:rsidRPr="004A0B2E" w:rsidRDefault="004A0B2E" w:rsidP="004A0B2E">
            <w:pPr>
              <w:rPr>
                <w:rFonts w:ascii="Arial Narrow" w:hAnsi="Arial Narrow" w:cs="Calibri"/>
                <w:sz w:val="16"/>
                <w:szCs w:val="16"/>
              </w:rPr>
            </w:pPr>
            <w:r w:rsidRPr="004A0B2E">
              <w:rPr>
                <w:rFonts w:ascii="Arial Narrow" w:hAnsi="Arial Narrow" w:cs="Calibri"/>
                <w:sz w:val="16"/>
                <w:szCs w:val="16"/>
              </w:rPr>
              <w:t xml:space="preserve"> 06</w:t>
            </w:r>
          </w:p>
        </w:tc>
        <w:tc>
          <w:tcPr>
            <w:tcW w:w="5279" w:type="dxa"/>
            <w:tcBorders>
              <w:top w:val="nil"/>
              <w:left w:val="nil"/>
              <w:bottom w:val="single" w:sz="4" w:space="0" w:color="auto"/>
              <w:right w:val="single" w:sz="4" w:space="0" w:color="auto"/>
            </w:tcBorders>
            <w:shd w:val="clear" w:color="auto" w:fill="auto"/>
            <w:vAlign w:val="center"/>
            <w:hideMark/>
          </w:tcPr>
          <w:p w14:paraId="04CD6AD8" w14:textId="77777777" w:rsidR="004A0B2E" w:rsidRPr="004A0B2E" w:rsidRDefault="004A0B2E" w:rsidP="004A0B2E">
            <w:pPr>
              <w:rPr>
                <w:rFonts w:ascii="Arial Narrow" w:hAnsi="Arial Narrow" w:cs="Calibri"/>
                <w:sz w:val="16"/>
                <w:szCs w:val="16"/>
              </w:rPr>
            </w:pPr>
            <w:r w:rsidRPr="004A0B2E">
              <w:rPr>
                <w:rFonts w:ascii="Arial Narrow" w:hAnsi="Arial Narrow" w:cs="Calibri"/>
                <w:sz w:val="16"/>
                <w:szCs w:val="16"/>
              </w:rPr>
              <w:t>Плодове</w:t>
            </w:r>
          </w:p>
        </w:tc>
        <w:tc>
          <w:tcPr>
            <w:tcW w:w="957" w:type="dxa"/>
            <w:tcBorders>
              <w:top w:val="nil"/>
              <w:left w:val="nil"/>
              <w:bottom w:val="single" w:sz="4" w:space="0" w:color="auto"/>
              <w:right w:val="single" w:sz="4" w:space="0" w:color="auto"/>
            </w:tcBorders>
            <w:shd w:val="clear" w:color="auto" w:fill="auto"/>
            <w:vAlign w:val="center"/>
            <w:hideMark/>
          </w:tcPr>
          <w:p w14:paraId="578887E1" w14:textId="77777777" w:rsidR="004A0B2E" w:rsidRPr="004A0B2E" w:rsidRDefault="004A0B2E" w:rsidP="004A0B2E">
            <w:pPr>
              <w:jc w:val="right"/>
              <w:rPr>
                <w:rFonts w:ascii="Arial Narrow" w:hAnsi="Arial Narrow" w:cs="Calibri"/>
                <w:sz w:val="16"/>
                <w:szCs w:val="16"/>
              </w:rPr>
            </w:pPr>
            <w:r w:rsidRPr="004A0B2E">
              <w:rPr>
                <w:rFonts w:ascii="Arial Narrow" w:hAnsi="Arial Narrow" w:cs="Calibri"/>
                <w:sz w:val="16"/>
                <w:szCs w:val="16"/>
              </w:rPr>
              <w:t>347,1</w:t>
            </w:r>
          </w:p>
        </w:tc>
        <w:tc>
          <w:tcPr>
            <w:tcW w:w="1118" w:type="dxa"/>
            <w:tcBorders>
              <w:top w:val="nil"/>
              <w:left w:val="nil"/>
              <w:bottom w:val="single" w:sz="4" w:space="0" w:color="auto"/>
              <w:right w:val="single" w:sz="4" w:space="0" w:color="auto"/>
            </w:tcBorders>
            <w:shd w:val="clear" w:color="auto" w:fill="auto"/>
            <w:vAlign w:val="center"/>
            <w:hideMark/>
          </w:tcPr>
          <w:p w14:paraId="2BD1B169" w14:textId="77777777" w:rsidR="004A0B2E" w:rsidRPr="004A0B2E" w:rsidRDefault="004A0B2E" w:rsidP="004A0B2E">
            <w:pPr>
              <w:jc w:val="right"/>
              <w:rPr>
                <w:rFonts w:ascii="Arial Narrow" w:hAnsi="Arial Narrow" w:cs="Calibri"/>
                <w:sz w:val="16"/>
                <w:szCs w:val="16"/>
              </w:rPr>
            </w:pPr>
            <w:r w:rsidRPr="004A0B2E">
              <w:rPr>
                <w:rFonts w:ascii="Arial Narrow" w:hAnsi="Arial Narrow" w:cs="Calibri"/>
                <w:sz w:val="16"/>
                <w:szCs w:val="16"/>
              </w:rPr>
              <w:t>-9,1</w:t>
            </w:r>
          </w:p>
        </w:tc>
        <w:tc>
          <w:tcPr>
            <w:tcW w:w="957" w:type="dxa"/>
            <w:tcBorders>
              <w:top w:val="nil"/>
              <w:left w:val="nil"/>
              <w:bottom w:val="single" w:sz="4" w:space="0" w:color="auto"/>
              <w:right w:val="single" w:sz="4" w:space="0" w:color="auto"/>
            </w:tcBorders>
            <w:shd w:val="clear" w:color="auto" w:fill="auto"/>
            <w:vAlign w:val="center"/>
            <w:hideMark/>
          </w:tcPr>
          <w:p w14:paraId="268FC77D" w14:textId="77777777" w:rsidR="004A0B2E" w:rsidRPr="004A0B2E" w:rsidRDefault="004A0B2E" w:rsidP="004A0B2E">
            <w:pPr>
              <w:jc w:val="right"/>
              <w:rPr>
                <w:rFonts w:ascii="Arial Narrow" w:hAnsi="Arial Narrow" w:cs="Calibri"/>
                <w:sz w:val="16"/>
                <w:szCs w:val="16"/>
              </w:rPr>
            </w:pPr>
            <w:r w:rsidRPr="004A0B2E">
              <w:rPr>
                <w:rFonts w:ascii="Arial Narrow" w:hAnsi="Arial Narrow" w:cs="Calibri"/>
                <w:sz w:val="16"/>
                <w:szCs w:val="16"/>
              </w:rPr>
              <w:t>315,4</w:t>
            </w:r>
          </w:p>
        </w:tc>
        <w:tc>
          <w:tcPr>
            <w:tcW w:w="1256" w:type="dxa"/>
            <w:tcBorders>
              <w:top w:val="nil"/>
              <w:left w:val="nil"/>
              <w:bottom w:val="single" w:sz="4" w:space="0" w:color="auto"/>
              <w:right w:val="single" w:sz="4" w:space="0" w:color="auto"/>
            </w:tcBorders>
            <w:shd w:val="clear" w:color="auto" w:fill="auto"/>
            <w:vAlign w:val="center"/>
            <w:hideMark/>
          </w:tcPr>
          <w:p w14:paraId="74E4BEAE" w14:textId="77777777" w:rsidR="004A0B2E" w:rsidRPr="004A0B2E" w:rsidRDefault="004A0B2E" w:rsidP="004A0B2E">
            <w:pPr>
              <w:jc w:val="right"/>
              <w:rPr>
                <w:rFonts w:ascii="Arial Narrow" w:hAnsi="Arial Narrow" w:cs="Calibri"/>
                <w:sz w:val="16"/>
                <w:szCs w:val="16"/>
              </w:rPr>
            </w:pPr>
            <w:r w:rsidRPr="004A0B2E">
              <w:rPr>
                <w:rFonts w:ascii="Arial Narrow" w:hAnsi="Arial Narrow" w:cs="Calibri"/>
                <w:sz w:val="16"/>
                <w:szCs w:val="16"/>
              </w:rPr>
              <w:t>9,0</w:t>
            </w:r>
          </w:p>
        </w:tc>
        <w:tc>
          <w:tcPr>
            <w:tcW w:w="872" w:type="dxa"/>
            <w:tcBorders>
              <w:top w:val="nil"/>
              <w:left w:val="nil"/>
              <w:bottom w:val="single" w:sz="4" w:space="0" w:color="auto"/>
              <w:right w:val="single" w:sz="4" w:space="0" w:color="auto"/>
            </w:tcBorders>
            <w:shd w:val="clear" w:color="auto" w:fill="auto"/>
            <w:vAlign w:val="center"/>
            <w:hideMark/>
          </w:tcPr>
          <w:p w14:paraId="067402DD" w14:textId="77777777" w:rsidR="004A0B2E" w:rsidRPr="004A0B2E" w:rsidRDefault="004A0B2E" w:rsidP="004A0B2E">
            <w:pPr>
              <w:jc w:val="right"/>
              <w:rPr>
                <w:rFonts w:ascii="Arial Narrow" w:hAnsi="Arial Narrow" w:cs="Calibri"/>
                <w:sz w:val="16"/>
                <w:szCs w:val="16"/>
              </w:rPr>
            </w:pPr>
            <w:r w:rsidRPr="004A0B2E">
              <w:rPr>
                <w:rFonts w:ascii="Arial Narrow" w:hAnsi="Arial Narrow" w:cs="Calibri"/>
                <w:sz w:val="16"/>
                <w:szCs w:val="16"/>
              </w:rPr>
              <w:t>343,9</w:t>
            </w:r>
          </w:p>
        </w:tc>
      </w:tr>
      <w:tr w:rsidR="004A0B2E" w:rsidRPr="00B10684" w14:paraId="54A450D6" w14:textId="77777777" w:rsidTr="005A18A5">
        <w:trPr>
          <w:trHeight w:val="183"/>
        </w:trPr>
        <w:tc>
          <w:tcPr>
            <w:tcW w:w="757" w:type="dxa"/>
            <w:tcBorders>
              <w:top w:val="nil"/>
              <w:left w:val="single" w:sz="4" w:space="0" w:color="auto"/>
              <w:bottom w:val="single" w:sz="4" w:space="0" w:color="auto"/>
              <w:right w:val="single" w:sz="4" w:space="0" w:color="auto"/>
            </w:tcBorders>
            <w:shd w:val="clear" w:color="auto" w:fill="auto"/>
            <w:noWrap/>
            <w:vAlign w:val="center"/>
            <w:hideMark/>
          </w:tcPr>
          <w:p w14:paraId="7D1101C0" w14:textId="77777777" w:rsidR="004A0B2E" w:rsidRPr="004A0B2E" w:rsidRDefault="004A0B2E" w:rsidP="004A0B2E">
            <w:pPr>
              <w:rPr>
                <w:rFonts w:ascii="Arial Narrow" w:hAnsi="Arial Narrow" w:cs="Calibri"/>
                <w:sz w:val="16"/>
                <w:szCs w:val="16"/>
              </w:rPr>
            </w:pPr>
            <w:r w:rsidRPr="004A0B2E">
              <w:rPr>
                <w:rFonts w:ascii="Arial Narrow" w:hAnsi="Arial Narrow" w:cs="Calibri"/>
                <w:sz w:val="16"/>
                <w:szCs w:val="16"/>
              </w:rPr>
              <w:t xml:space="preserve"> 06.1</w:t>
            </w:r>
          </w:p>
        </w:tc>
        <w:tc>
          <w:tcPr>
            <w:tcW w:w="5279" w:type="dxa"/>
            <w:tcBorders>
              <w:top w:val="nil"/>
              <w:left w:val="nil"/>
              <w:bottom w:val="single" w:sz="4" w:space="0" w:color="auto"/>
              <w:right w:val="single" w:sz="4" w:space="0" w:color="auto"/>
            </w:tcBorders>
            <w:shd w:val="clear" w:color="auto" w:fill="auto"/>
            <w:vAlign w:val="center"/>
            <w:hideMark/>
          </w:tcPr>
          <w:p w14:paraId="107D116C" w14:textId="77777777" w:rsidR="004A0B2E" w:rsidRPr="004A0B2E" w:rsidRDefault="004A0B2E" w:rsidP="004A0B2E">
            <w:pPr>
              <w:ind w:firstLineChars="100" w:firstLine="160"/>
              <w:rPr>
                <w:rFonts w:ascii="Arial Narrow" w:hAnsi="Arial Narrow" w:cs="Calibri"/>
                <w:sz w:val="16"/>
                <w:szCs w:val="16"/>
              </w:rPr>
            </w:pPr>
            <w:r w:rsidRPr="004A0B2E">
              <w:rPr>
                <w:rFonts w:ascii="Arial Narrow" w:hAnsi="Arial Narrow" w:cs="Calibri"/>
                <w:sz w:val="16"/>
                <w:szCs w:val="16"/>
              </w:rPr>
              <w:t>Пресни плодове</w:t>
            </w:r>
          </w:p>
        </w:tc>
        <w:tc>
          <w:tcPr>
            <w:tcW w:w="957" w:type="dxa"/>
            <w:tcBorders>
              <w:top w:val="nil"/>
              <w:left w:val="nil"/>
              <w:bottom w:val="single" w:sz="4" w:space="0" w:color="auto"/>
              <w:right w:val="single" w:sz="4" w:space="0" w:color="auto"/>
            </w:tcBorders>
            <w:shd w:val="clear" w:color="auto" w:fill="auto"/>
            <w:vAlign w:val="center"/>
            <w:hideMark/>
          </w:tcPr>
          <w:p w14:paraId="29121AA7" w14:textId="77777777" w:rsidR="004A0B2E" w:rsidRPr="004A0B2E" w:rsidRDefault="004A0B2E" w:rsidP="004A0B2E">
            <w:pPr>
              <w:jc w:val="right"/>
              <w:rPr>
                <w:rFonts w:ascii="Arial Narrow" w:hAnsi="Arial Narrow" w:cs="Calibri"/>
                <w:sz w:val="16"/>
                <w:szCs w:val="16"/>
              </w:rPr>
            </w:pPr>
            <w:r w:rsidRPr="004A0B2E">
              <w:rPr>
                <w:rFonts w:ascii="Arial Narrow" w:hAnsi="Arial Narrow" w:cs="Calibri"/>
                <w:sz w:val="16"/>
                <w:szCs w:val="16"/>
              </w:rPr>
              <w:t>240,4</w:t>
            </w:r>
          </w:p>
        </w:tc>
        <w:tc>
          <w:tcPr>
            <w:tcW w:w="1118" w:type="dxa"/>
            <w:tcBorders>
              <w:top w:val="nil"/>
              <w:left w:val="nil"/>
              <w:bottom w:val="single" w:sz="4" w:space="0" w:color="auto"/>
              <w:right w:val="single" w:sz="4" w:space="0" w:color="auto"/>
            </w:tcBorders>
            <w:shd w:val="clear" w:color="auto" w:fill="auto"/>
            <w:vAlign w:val="center"/>
            <w:hideMark/>
          </w:tcPr>
          <w:p w14:paraId="369537E9" w14:textId="77777777" w:rsidR="004A0B2E" w:rsidRPr="004A0B2E" w:rsidRDefault="004A0B2E" w:rsidP="004A0B2E">
            <w:pPr>
              <w:jc w:val="right"/>
              <w:rPr>
                <w:rFonts w:ascii="Arial Narrow" w:hAnsi="Arial Narrow" w:cs="Calibri"/>
                <w:sz w:val="16"/>
                <w:szCs w:val="16"/>
              </w:rPr>
            </w:pPr>
            <w:r w:rsidRPr="004A0B2E">
              <w:rPr>
                <w:rFonts w:ascii="Arial Narrow" w:hAnsi="Arial Narrow" w:cs="Calibri"/>
                <w:sz w:val="16"/>
                <w:szCs w:val="16"/>
              </w:rPr>
              <w:t>-12,7</w:t>
            </w:r>
          </w:p>
        </w:tc>
        <w:tc>
          <w:tcPr>
            <w:tcW w:w="957" w:type="dxa"/>
            <w:tcBorders>
              <w:top w:val="nil"/>
              <w:left w:val="nil"/>
              <w:bottom w:val="single" w:sz="4" w:space="0" w:color="auto"/>
              <w:right w:val="single" w:sz="4" w:space="0" w:color="auto"/>
            </w:tcBorders>
            <w:shd w:val="clear" w:color="auto" w:fill="auto"/>
            <w:vAlign w:val="center"/>
            <w:hideMark/>
          </w:tcPr>
          <w:p w14:paraId="158EA4D0" w14:textId="77777777" w:rsidR="004A0B2E" w:rsidRPr="004A0B2E" w:rsidRDefault="004A0B2E" w:rsidP="004A0B2E">
            <w:pPr>
              <w:jc w:val="right"/>
              <w:rPr>
                <w:rFonts w:ascii="Arial Narrow" w:hAnsi="Arial Narrow" w:cs="Calibri"/>
                <w:sz w:val="16"/>
                <w:szCs w:val="16"/>
              </w:rPr>
            </w:pPr>
            <w:r w:rsidRPr="004A0B2E">
              <w:rPr>
                <w:rFonts w:ascii="Arial Narrow" w:hAnsi="Arial Narrow" w:cs="Calibri"/>
                <w:sz w:val="16"/>
                <w:szCs w:val="16"/>
              </w:rPr>
              <w:t>209,8</w:t>
            </w:r>
          </w:p>
        </w:tc>
        <w:tc>
          <w:tcPr>
            <w:tcW w:w="1256" w:type="dxa"/>
            <w:tcBorders>
              <w:top w:val="nil"/>
              <w:left w:val="nil"/>
              <w:bottom w:val="single" w:sz="4" w:space="0" w:color="auto"/>
              <w:right w:val="single" w:sz="4" w:space="0" w:color="auto"/>
            </w:tcBorders>
            <w:shd w:val="clear" w:color="auto" w:fill="auto"/>
            <w:vAlign w:val="center"/>
            <w:hideMark/>
          </w:tcPr>
          <w:p w14:paraId="1C5577C3" w14:textId="77777777" w:rsidR="004A0B2E" w:rsidRPr="004A0B2E" w:rsidRDefault="004A0B2E" w:rsidP="004A0B2E">
            <w:pPr>
              <w:jc w:val="right"/>
              <w:rPr>
                <w:rFonts w:ascii="Arial Narrow" w:hAnsi="Arial Narrow" w:cs="Calibri"/>
                <w:sz w:val="16"/>
                <w:szCs w:val="16"/>
              </w:rPr>
            </w:pPr>
            <w:r w:rsidRPr="004A0B2E">
              <w:rPr>
                <w:rFonts w:ascii="Arial Narrow" w:hAnsi="Arial Narrow" w:cs="Calibri"/>
                <w:sz w:val="16"/>
                <w:szCs w:val="16"/>
              </w:rPr>
              <w:t>12,5</w:t>
            </w:r>
          </w:p>
        </w:tc>
        <w:tc>
          <w:tcPr>
            <w:tcW w:w="872" w:type="dxa"/>
            <w:tcBorders>
              <w:top w:val="nil"/>
              <w:left w:val="nil"/>
              <w:bottom w:val="single" w:sz="4" w:space="0" w:color="auto"/>
              <w:right w:val="single" w:sz="4" w:space="0" w:color="auto"/>
            </w:tcBorders>
            <w:shd w:val="clear" w:color="auto" w:fill="auto"/>
            <w:vAlign w:val="center"/>
            <w:hideMark/>
          </w:tcPr>
          <w:p w14:paraId="15E03029" w14:textId="77777777" w:rsidR="004A0B2E" w:rsidRPr="004A0B2E" w:rsidRDefault="004A0B2E" w:rsidP="004A0B2E">
            <w:pPr>
              <w:jc w:val="right"/>
              <w:rPr>
                <w:rFonts w:ascii="Arial Narrow" w:hAnsi="Arial Narrow" w:cs="Calibri"/>
                <w:sz w:val="16"/>
                <w:szCs w:val="16"/>
              </w:rPr>
            </w:pPr>
            <w:r w:rsidRPr="004A0B2E">
              <w:rPr>
                <w:rFonts w:ascii="Arial Narrow" w:hAnsi="Arial Narrow" w:cs="Calibri"/>
                <w:sz w:val="16"/>
                <w:szCs w:val="16"/>
              </w:rPr>
              <w:t>236,1</w:t>
            </w:r>
          </w:p>
        </w:tc>
      </w:tr>
      <w:tr w:rsidR="004A0B2E" w:rsidRPr="00B10684" w14:paraId="3174DF54" w14:textId="77777777" w:rsidTr="005A18A5">
        <w:trPr>
          <w:trHeight w:val="183"/>
        </w:trPr>
        <w:tc>
          <w:tcPr>
            <w:tcW w:w="757" w:type="dxa"/>
            <w:tcBorders>
              <w:top w:val="nil"/>
              <w:left w:val="single" w:sz="4" w:space="0" w:color="auto"/>
              <w:bottom w:val="single" w:sz="4" w:space="0" w:color="auto"/>
              <w:right w:val="single" w:sz="4" w:space="0" w:color="auto"/>
            </w:tcBorders>
            <w:shd w:val="clear" w:color="auto" w:fill="auto"/>
            <w:noWrap/>
            <w:vAlign w:val="center"/>
            <w:hideMark/>
          </w:tcPr>
          <w:p w14:paraId="3EBE0792" w14:textId="77777777" w:rsidR="004A0B2E" w:rsidRPr="004A0B2E" w:rsidRDefault="004A0B2E" w:rsidP="004A0B2E">
            <w:pPr>
              <w:rPr>
                <w:rFonts w:ascii="Arial Narrow" w:hAnsi="Arial Narrow" w:cs="Calibri"/>
                <w:sz w:val="16"/>
                <w:szCs w:val="16"/>
              </w:rPr>
            </w:pPr>
            <w:r w:rsidRPr="004A0B2E">
              <w:rPr>
                <w:rFonts w:ascii="Arial Narrow" w:hAnsi="Arial Narrow" w:cs="Calibri"/>
                <w:sz w:val="16"/>
                <w:szCs w:val="16"/>
              </w:rPr>
              <w:t xml:space="preserve"> 06.1/1</w:t>
            </w:r>
          </w:p>
        </w:tc>
        <w:tc>
          <w:tcPr>
            <w:tcW w:w="5279" w:type="dxa"/>
            <w:tcBorders>
              <w:top w:val="nil"/>
              <w:left w:val="nil"/>
              <w:bottom w:val="single" w:sz="4" w:space="0" w:color="auto"/>
              <w:right w:val="single" w:sz="4" w:space="0" w:color="auto"/>
            </w:tcBorders>
            <w:shd w:val="clear" w:color="auto" w:fill="auto"/>
            <w:vAlign w:val="center"/>
            <w:hideMark/>
          </w:tcPr>
          <w:p w14:paraId="1B35401C" w14:textId="77777777" w:rsidR="004A0B2E" w:rsidRPr="004A0B2E" w:rsidRDefault="004A0B2E" w:rsidP="004A0B2E">
            <w:pPr>
              <w:ind w:firstLineChars="200" w:firstLine="320"/>
              <w:rPr>
                <w:rFonts w:ascii="Arial Narrow" w:hAnsi="Arial Narrow" w:cs="Calibri"/>
                <w:sz w:val="16"/>
                <w:szCs w:val="16"/>
              </w:rPr>
            </w:pPr>
            <w:r w:rsidRPr="004A0B2E">
              <w:rPr>
                <w:rFonts w:ascii="Arial Narrow" w:hAnsi="Arial Narrow" w:cs="Calibri"/>
                <w:sz w:val="16"/>
                <w:szCs w:val="16"/>
              </w:rPr>
              <w:t>Ябълки</w:t>
            </w:r>
          </w:p>
        </w:tc>
        <w:tc>
          <w:tcPr>
            <w:tcW w:w="957" w:type="dxa"/>
            <w:tcBorders>
              <w:top w:val="nil"/>
              <w:left w:val="nil"/>
              <w:bottom w:val="single" w:sz="4" w:space="0" w:color="auto"/>
              <w:right w:val="single" w:sz="4" w:space="0" w:color="auto"/>
            </w:tcBorders>
            <w:shd w:val="clear" w:color="auto" w:fill="auto"/>
            <w:vAlign w:val="center"/>
            <w:hideMark/>
          </w:tcPr>
          <w:p w14:paraId="64E9445E" w14:textId="77777777" w:rsidR="004A0B2E" w:rsidRPr="004A0B2E" w:rsidRDefault="004A0B2E" w:rsidP="004A0B2E">
            <w:pPr>
              <w:jc w:val="right"/>
              <w:rPr>
                <w:rFonts w:ascii="Arial Narrow" w:hAnsi="Arial Narrow" w:cs="Calibri"/>
                <w:sz w:val="16"/>
                <w:szCs w:val="16"/>
              </w:rPr>
            </w:pPr>
            <w:r w:rsidRPr="004A0B2E">
              <w:rPr>
                <w:rFonts w:ascii="Arial Narrow" w:hAnsi="Arial Narrow" w:cs="Calibri"/>
                <w:sz w:val="16"/>
                <w:szCs w:val="16"/>
              </w:rPr>
              <w:t>28,2</w:t>
            </w:r>
          </w:p>
        </w:tc>
        <w:tc>
          <w:tcPr>
            <w:tcW w:w="1118" w:type="dxa"/>
            <w:tcBorders>
              <w:top w:val="nil"/>
              <w:left w:val="nil"/>
              <w:bottom w:val="single" w:sz="4" w:space="0" w:color="auto"/>
              <w:right w:val="single" w:sz="4" w:space="0" w:color="auto"/>
            </w:tcBorders>
            <w:shd w:val="clear" w:color="auto" w:fill="auto"/>
            <w:vAlign w:val="center"/>
            <w:hideMark/>
          </w:tcPr>
          <w:p w14:paraId="63F0ADF3" w14:textId="77777777" w:rsidR="004A0B2E" w:rsidRPr="004A0B2E" w:rsidRDefault="004A0B2E" w:rsidP="004A0B2E">
            <w:pPr>
              <w:jc w:val="right"/>
              <w:rPr>
                <w:rFonts w:ascii="Arial Narrow" w:hAnsi="Arial Narrow" w:cs="Calibri"/>
                <w:sz w:val="16"/>
                <w:szCs w:val="16"/>
              </w:rPr>
            </w:pPr>
            <w:r w:rsidRPr="004A0B2E">
              <w:rPr>
                <w:rFonts w:ascii="Arial Narrow" w:hAnsi="Arial Narrow" w:cs="Calibri"/>
                <w:sz w:val="16"/>
                <w:szCs w:val="16"/>
              </w:rPr>
              <w:t>-23,0</w:t>
            </w:r>
          </w:p>
        </w:tc>
        <w:tc>
          <w:tcPr>
            <w:tcW w:w="957" w:type="dxa"/>
            <w:tcBorders>
              <w:top w:val="nil"/>
              <w:left w:val="nil"/>
              <w:bottom w:val="single" w:sz="4" w:space="0" w:color="auto"/>
              <w:right w:val="single" w:sz="4" w:space="0" w:color="auto"/>
            </w:tcBorders>
            <w:shd w:val="clear" w:color="auto" w:fill="auto"/>
            <w:vAlign w:val="center"/>
            <w:hideMark/>
          </w:tcPr>
          <w:p w14:paraId="234E4162" w14:textId="77777777" w:rsidR="004A0B2E" w:rsidRPr="004A0B2E" w:rsidRDefault="004A0B2E" w:rsidP="004A0B2E">
            <w:pPr>
              <w:jc w:val="right"/>
              <w:rPr>
                <w:rFonts w:ascii="Arial Narrow" w:hAnsi="Arial Narrow" w:cs="Calibri"/>
                <w:sz w:val="16"/>
                <w:szCs w:val="16"/>
              </w:rPr>
            </w:pPr>
            <w:r w:rsidRPr="004A0B2E">
              <w:rPr>
                <w:rFonts w:ascii="Arial Narrow" w:hAnsi="Arial Narrow" w:cs="Calibri"/>
                <w:sz w:val="16"/>
                <w:szCs w:val="16"/>
              </w:rPr>
              <w:t>21,7</w:t>
            </w:r>
          </w:p>
        </w:tc>
        <w:tc>
          <w:tcPr>
            <w:tcW w:w="1256" w:type="dxa"/>
            <w:tcBorders>
              <w:top w:val="nil"/>
              <w:left w:val="nil"/>
              <w:bottom w:val="single" w:sz="4" w:space="0" w:color="auto"/>
              <w:right w:val="single" w:sz="4" w:space="0" w:color="auto"/>
            </w:tcBorders>
            <w:shd w:val="clear" w:color="auto" w:fill="auto"/>
            <w:vAlign w:val="center"/>
            <w:hideMark/>
          </w:tcPr>
          <w:p w14:paraId="0C2F1AFB" w14:textId="77777777" w:rsidR="004A0B2E" w:rsidRPr="004A0B2E" w:rsidRDefault="004A0B2E" w:rsidP="004A0B2E">
            <w:pPr>
              <w:jc w:val="right"/>
              <w:rPr>
                <w:rFonts w:ascii="Arial Narrow" w:hAnsi="Arial Narrow" w:cs="Calibri"/>
                <w:sz w:val="16"/>
                <w:szCs w:val="16"/>
              </w:rPr>
            </w:pPr>
            <w:r w:rsidRPr="004A0B2E">
              <w:rPr>
                <w:rFonts w:ascii="Arial Narrow" w:hAnsi="Arial Narrow" w:cs="Calibri"/>
                <w:sz w:val="16"/>
                <w:szCs w:val="16"/>
              </w:rPr>
              <w:t>8,3</w:t>
            </w:r>
          </w:p>
        </w:tc>
        <w:tc>
          <w:tcPr>
            <w:tcW w:w="872" w:type="dxa"/>
            <w:tcBorders>
              <w:top w:val="nil"/>
              <w:left w:val="nil"/>
              <w:bottom w:val="single" w:sz="4" w:space="0" w:color="auto"/>
              <w:right w:val="single" w:sz="4" w:space="0" w:color="auto"/>
            </w:tcBorders>
            <w:shd w:val="clear" w:color="auto" w:fill="auto"/>
            <w:vAlign w:val="center"/>
            <w:hideMark/>
          </w:tcPr>
          <w:p w14:paraId="062AC283" w14:textId="77777777" w:rsidR="004A0B2E" w:rsidRPr="004A0B2E" w:rsidRDefault="004A0B2E" w:rsidP="004A0B2E">
            <w:pPr>
              <w:jc w:val="right"/>
              <w:rPr>
                <w:rFonts w:ascii="Arial Narrow" w:hAnsi="Arial Narrow" w:cs="Calibri"/>
                <w:sz w:val="16"/>
                <w:szCs w:val="16"/>
              </w:rPr>
            </w:pPr>
            <w:r w:rsidRPr="004A0B2E">
              <w:rPr>
                <w:rFonts w:ascii="Arial Narrow" w:hAnsi="Arial Narrow" w:cs="Calibri"/>
                <w:sz w:val="16"/>
                <w:szCs w:val="16"/>
              </w:rPr>
              <w:t>23,5</w:t>
            </w:r>
          </w:p>
        </w:tc>
      </w:tr>
      <w:tr w:rsidR="004A0B2E" w:rsidRPr="00B10684" w14:paraId="5AABA60E" w14:textId="77777777" w:rsidTr="005A18A5">
        <w:trPr>
          <w:trHeight w:val="183"/>
        </w:trPr>
        <w:tc>
          <w:tcPr>
            <w:tcW w:w="757" w:type="dxa"/>
            <w:tcBorders>
              <w:top w:val="nil"/>
              <w:left w:val="single" w:sz="4" w:space="0" w:color="auto"/>
              <w:bottom w:val="single" w:sz="4" w:space="0" w:color="auto"/>
              <w:right w:val="single" w:sz="4" w:space="0" w:color="auto"/>
            </w:tcBorders>
            <w:shd w:val="clear" w:color="auto" w:fill="auto"/>
            <w:noWrap/>
            <w:vAlign w:val="center"/>
            <w:hideMark/>
          </w:tcPr>
          <w:p w14:paraId="6BA854C8" w14:textId="77777777" w:rsidR="004A0B2E" w:rsidRPr="004A0B2E" w:rsidRDefault="004A0B2E" w:rsidP="004A0B2E">
            <w:pPr>
              <w:rPr>
                <w:rFonts w:ascii="Arial Narrow" w:hAnsi="Arial Narrow" w:cs="Calibri"/>
                <w:sz w:val="16"/>
                <w:szCs w:val="16"/>
              </w:rPr>
            </w:pPr>
            <w:r w:rsidRPr="004A0B2E">
              <w:rPr>
                <w:rFonts w:ascii="Arial Narrow" w:hAnsi="Arial Narrow" w:cs="Calibri"/>
                <w:sz w:val="16"/>
                <w:szCs w:val="16"/>
              </w:rPr>
              <w:t xml:space="preserve"> 06.1/2</w:t>
            </w:r>
          </w:p>
        </w:tc>
        <w:tc>
          <w:tcPr>
            <w:tcW w:w="5279" w:type="dxa"/>
            <w:tcBorders>
              <w:top w:val="nil"/>
              <w:left w:val="nil"/>
              <w:bottom w:val="single" w:sz="4" w:space="0" w:color="auto"/>
              <w:right w:val="single" w:sz="4" w:space="0" w:color="auto"/>
            </w:tcBorders>
            <w:shd w:val="clear" w:color="auto" w:fill="auto"/>
            <w:vAlign w:val="center"/>
            <w:hideMark/>
          </w:tcPr>
          <w:p w14:paraId="33C9707F" w14:textId="77777777" w:rsidR="004A0B2E" w:rsidRPr="004A0B2E" w:rsidRDefault="004A0B2E" w:rsidP="004A0B2E">
            <w:pPr>
              <w:ind w:firstLineChars="200" w:firstLine="320"/>
              <w:rPr>
                <w:rFonts w:ascii="Arial Narrow" w:hAnsi="Arial Narrow" w:cs="Calibri"/>
                <w:sz w:val="16"/>
                <w:szCs w:val="16"/>
              </w:rPr>
            </w:pPr>
            <w:r w:rsidRPr="004A0B2E">
              <w:rPr>
                <w:rFonts w:ascii="Arial Narrow" w:hAnsi="Arial Narrow" w:cs="Calibri"/>
                <w:sz w:val="16"/>
                <w:szCs w:val="16"/>
              </w:rPr>
              <w:t>Круши</w:t>
            </w:r>
          </w:p>
        </w:tc>
        <w:tc>
          <w:tcPr>
            <w:tcW w:w="957" w:type="dxa"/>
            <w:tcBorders>
              <w:top w:val="nil"/>
              <w:left w:val="nil"/>
              <w:bottom w:val="single" w:sz="4" w:space="0" w:color="auto"/>
              <w:right w:val="single" w:sz="4" w:space="0" w:color="auto"/>
            </w:tcBorders>
            <w:shd w:val="clear" w:color="auto" w:fill="auto"/>
            <w:vAlign w:val="center"/>
            <w:hideMark/>
          </w:tcPr>
          <w:p w14:paraId="51ED8B15" w14:textId="77777777" w:rsidR="004A0B2E" w:rsidRPr="004A0B2E" w:rsidRDefault="004A0B2E" w:rsidP="004A0B2E">
            <w:pPr>
              <w:jc w:val="right"/>
              <w:rPr>
                <w:rFonts w:ascii="Arial Narrow" w:hAnsi="Arial Narrow" w:cs="Calibri"/>
                <w:sz w:val="16"/>
                <w:szCs w:val="16"/>
              </w:rPr>
            </w:pPr>
            <w:r w:rsidRPr="004A0B2E">
              <w:rPr>
                <w:rFonts w:ascii="Arial Narrow" w:hAnsi="Arial Narrow" w:cs="Calibri"/>
                <w:sz w:val="16"/>
                <w:szCs w:val="16"/>
              </w:rPr>
              <w:t>2,6</w:t>
            </w:r>
          </w:p>
        </w:tc>
        <w:tc>
          <w:tcPr>
            <w:tcW w:w="1118" w:type="dxa"/>
            <w:tcBorders>
              <w:top w:val="nil"/>
              <w:left w:val="nil"/>
              <w:bottom w:val="single" w:sz="4" w:space="0" w:color="auto"/>
              <w:right w:val="single" w:sz="4" w:space="0" w:color="auto"/>
            </w:tcBorders>
            <w:shd w:val="clear" w:color="auto" w:fill="auto"/>
            <w:vAlign w:val="center"/>
            <w:hideMark/>
          </w:tcPr>
          <w:p w14:paraId="20FD8164" w14:textId="77777777" w:rsidR="004A0B2E" w:rsidRPr="004A0B2E" w:rsidRDefault="004A0B2E" w:rsidP="004A0B2E">
            <w:pPr>
              <w:jc w:val="right"/>
              <w:rPr>
                <w:rFonts w:ascii="Arial Narrow" w:hAnsi="Arial Narrow" w:cs="Calibri"/>
                <w:sz w:val="16"/>
                <w:szCs w:val="16"/>
              </w:rPr>
            </w:pPr>
            <w:r w:rsidRPr="004A0B2E">
              <w:rPr>
                <w:rFonts w:ascii="Arial Narrow" w:hAnsi="Arial Narrow" w:cs="Calibri"/>
                <w:sz w:val="16"/>
                <w:szCs w:val="16"/>
              </w:rPr>
              <w:t>-23,1</w:t>
            </w:r>
          </w:p>
        </w:tc>
        <w:tc>
          <w:tcPr>
            <w:tcW w:w="957" w:type="dxa"/>
            <w:tcBorders>
              <w:top w:val="nil"/>
              <w:left w:val="nil"/>
              <w:bottom w:val="single" w:sz="4" w:space="0" w:color="auto"/>
              <w:right w:val="single" w:sz="4" w:space="0" w:color="auto"/>
            </w:tcBorders>
            <w:shd w:val="clear" w:color="auto" w:fill="auto"/>
            <w:vAlign w:val="center"/>
            <w:hideMark/>
          </w:tcPr>
          <w:p w14:paraId="3859AE39" w14:textId="77777777" w:rsidR="004A0B2E" w:rsidRPr="004A0B2E" w:rsidRDefault="004A0B2E" w:rsidP="004A0B2E">
            <w:pPr>
              <w:jc w:val="right"/>
              <w:rPr>
                <w:rFonts w:ascii="Arial Narrow" w:hAnsi="Arial Narrow" w:cs="Calibri"/>
                <w:sz w:val="16"/>
                <w:szCs w:val="16"/>
              </w:rPr>
            </w:pPr>
            <w:r w:rsidRPr="004A0B2E">
              <w:rPr>
                <w:rFonts w:ascii="Arial Narrow" w:hAnsi="Arial Narrow" w:cs="Calibri"/>
                <w:sz w:val="16"/>
                <w:szCs w:val="16"/>
              </w:rPr>
              <w:t>2,0</w:t>
            </w:r>
          </w:p>
        </w:tc>
        <w:tc>
          <w:tcPr>
            <w:tcW w:w="1256" w:type="dxa"/>
            <w:tcBorders>
              <w:top w:val="nil"/>
              <w:left w:val="nil"/>
              <w:bottom w:val="single" w:sz="4" w:space="0" w:color="auto"/>
              <w:right w:val="single" w:sz="4" w:space="0" w:color="auto"/>
            </w:tcBorders>
            <w:shd w:val="clear" w:color="auto" w:fill="auto"/>
            <w:vAlign w:val="center"/>
            <w:hideMark/>
          </w:tcPr>
          <w:p w14:paraId="637D92D4" w14:textId="77777777" w:rsidR="004A0B2E" w:rsidRPr="004A0B2E" w:rsidRDefault="004A0B2E" w:rsidP="004A0B2E">
            <w:pPr>
              <w:jc w:val="right"/>
              <w:rPr>
                <w:rFonts w:ascii="Arial Narrow" w:hAnsi="Arial Narrow" w:cs="Calibri"/>
                <w:sz w:val="16"/>
                <w:szCs w:val="16"/>
              </w:rPr>
            </w:pPr>
            <w:r w:rsidRPr="004A0B2E">
              <w:rPr>
                <w:rFonts w:ascii="Arial Narrow" w:hAnsi="Arial Narrow" w:cs="Calibri"/>
                <w:sz w:val="16"/>
                <w:szCs w:val="16"/>
              </w:rPr>
              <w:t>25,0</w:t>
            </w:r>
          </w:p>
        </w:tc>
        <w:tc>
          <w:tcPr>
            <w:tcW w:w="872" w:type="dxa"/>
            <w:tcBorders>
              <w:top w:val="nil"/>
              <w:left w:val="nil"/>
              <w:bottom w:val="single" w:sz="4" w:space="0" w:color="auto"/>
              <w:right w:val="single" w:sz="4" w:space="0" w:color="auto"/>
            </w:tcBorders>
            <w:shd w:val="clear" w:color="auto" w:fill="auto"/>
            <w:vAlign w:val="center"/>
            <w:hideMark/>
          </w:tcPr>
          <w:p w14:paraId="6376ABDA" w14:textId="77777777" w:rsidR="004A0B2E" w:rsidRPr="004A0B2E" w:rsidRDefault="004A0B2E" w:rsidP="004A0B2E">
            <w:pPr>
              <w:jc w:val="right"/>
              <w:rPr>
                <w:rFonts w:ascii="Arial Narrow" w:hAnsi="Arial Narrow" w:cs="Calibri"/>
                <w:sz w:val="16"/>
                <w:szCs w:val="16"/>
              </w:rPr>
            </w:pPr>
            <w:r w:rsidRPr="004A0B2E">
              <w:rPr>
                <w:rFonts w:ascii="Arial Narrow" w:hAnsi="Arial Narrow" w:cs="Calibri"/>
                <w:sz w:val="16"/>
                <w:szCs w:val="16"/>
              </w:rPr>
              <w:t>2,5</w:t>
            </w:r>
          </w:p>
        </w:tc>
      </w:tr>
      <w:tr w:rsidR="004A0B2E" w:rsidRPr="00B10684" w14:paraId="7CF299FE" w14:textId="77777777" w:rsidTr="005A18A5">
        <w:trPr>
          <w:trHeight w:val="183"/>
        </w:trPr>
        <w:tc>
          <w:tcPr>
            <w:tcW w:w="757" w:type="dxa"/>
            <w:tcBorders>
              <w:top w:val="nil"/>
              <w:left w:val="single" w:sz="4" w:space="0" w:color="auto"/>
              <w:bottom w:val="single" w:sz="4" w:space="0" w:color="auto"/>
              <w:right w:val="single" w:sz="4" w:space="0" w:color="auto"/>
            </w:tcBorders>
            <w:shd w:val="clear" w:color="auto" w:fill="auto"/>
            <w:noWrap/>
            <w:vAlign w:val="center"/>
            <w:hideMark/>
          </w:tcPr>
          <w:p w14:paraId="060E5B74" w14:textId="77777777" w:rsidR="004A0B2E" w:rsidRPr="004A0B2E" w:rsidRDefault="004A0B2E" w:rsidP="004A0B2E">
            <w:pPr>
              <w:rPr>
                <w:rFonts w:ascii="Arial Narrow" w:hAnsi="Arial Narrow" w:cs="Calibri"/>
                <w:sz w:val="16"/>
                <w:szCs w:val="16"/>
              </w:rPr>
            </w:pPr>
            <w:r w:rsidRPr="004A0B2E">
              <w:rPr>
                <w:rFonts w:ascii="Arial Narrow" w:hAnsi="Arial Narrow" w:cs="Calibri"/>
                <w:sz w:val="16"/>
                <w:szCs w:val="16"/>
              </w:rPr>
              <w:t xml:space="preserve"> 06.1/3</w:t>
            </w:r>
          </w:p>
        </w:tc>
        <w:tc>
          <w:tcPr>
            <w:tcW w:w="5279" w:type="dxa"/>
            <w:tcBorders>
              <w:top w:val="nil"/>
              <w:left w:val="nil"/>
              <w:bottom w:val="single" w:sz="4" w:space="0" w:color="auto"/>
              <w:right w:val="single" w:sz="4" w:space="0" w:color="auto"/>
            </w:tcBorders>
            <w:shd w:val="clear" w:color="auto" w:fill="auto"/>
            <w:vAlign w:val="center"/>
            <w:hideMark/>
          </w:tcPr>
          <w:p w14:paraId="6FD727FC" w14:textId="77777777" w:rsidR="004A0B2E" w:rsidRPr="004A0B2E" w:rsidRDefault="004A0B2E" w:rsidP="004A0B2E">
            <w:pPr>
              <w:ind w:firstLineChars="200" w:firstLine="320"/>
              <w:rPr>
                <w:rFonts w:ascii="Arial Narrow" w:hAnsi="Arial Narrow" w:cs="Calibri"/>
                <w:sz w:val="16"/>
                <w:szCs w:val="16"/>
              </w:rPr>
            </w:pPr>
            <w:r w:rsidRPr="004A0B2E">
              <w:rPr>
                <w:rFonts w:ascii="Arial Narrow" w:hAnsi="Arial Narrow" w:cs="Calibri"/>
                <w:sz w:val="16"/>
                <w:szCs w:val="16"/>
              </w:rPr>
              <w:t>Праскови</w:t>
            </w:r>
          </w:p>
        </w:tc>
        <w:tc>
          <w:tcPr>
            <w:tcW w:w="957" w:type="dxa"/>
            <w:tcBorders>
              <w:top w:val="nil"/>
              <w:left w:val="nil"/>
              <w:bottom w:val="single" w:sz="4" w:space="0" w:color="auto"/>
              <w:right w:val="single" w:sz="4" w:space="0" w:color="auto"/>
            </w:tcBorders>
            <w:shd w:val="clear" w:color="auto" w:fill="auto"/>
            <w:vAlign w:val="center"/>
            <w:hideMark/>
          </w:tcPr>
          <w:p w14:paraId="2C25ED41" w14:textId="77777777" w:rsidR="004A0B2E" w:rsidRPr="004A0B2E" w:rsidRDefault="004A0B2E" w:rsidP="004A0B2E">
            <w:pPr>
              <w:jc w:val="right"/>
              <w:rPr>
                <w:rFonts w:ascii="Arial Narrow" w:hAnsi="Arial Narrow" w:cs="Calibri"/>
                <w:sz w:val="16"/>
                <w:szCs w:val="16"/>
              </w:rPr>
            </w:pPr>
            <w:r w:rsidRPr="004A0B2E">
              <w:rPr>
                <w:rFonts w:ascii="Arial Narrow" w:hAnsi="Arial Narrow" w:cs="Calibri"/>
                <w:sz w:val="16"/>
                <w:szCs w:val="16"/>
              </w:rPr>
              <w:t>23,2</w:t>
            </w:r>
          </w:p>
        </w:tc>
        <w:tc>
          <w:tcPr>
            <w:tcW w:w="1118" w:type="dxa"/>
            <w:tcBorders>
              <w:top w:val="nil"/>
              <w:left w:val="nil"/>
              <w:bottom w:val="single" w:sz="4" w:space="0" w:color="auto"/>
              <w:right w:val="single" w:sz="4" w:space="0" w:color="auto"/>
            </w:tcBorders>
            <w:shd w:val="clear" w:color="auto" w:fill="auto"/>
            <w:vAlign w:val="center"/>
            <w:hideMark/>
          </w:tcPr>
          <w:p w14:paraId="460B9015" w14:textId="77777777" w:rsidR="004A0B2E" w:rsidRPr="004A0B2E" w:rsidRDefault="004A0B2E" w:rsidP="004A0B2E">
            <w:pPr>
              <w:jc w:val="right"/>
              <w:rPr>
                <w:rFonts w:ascii="Arial Narrow" w:hAnsi="Arial Narrow" w:cs="Calibri"/>
                <w:sz w:val="16"/>
                <w:szCs w:val="16"/>
              </w:rPr>
            </w:pPr>
            <w:r w:rsidRPr="004A0B2E">
              <w:rPr>
                <w:rFonts w:ascii="Arial Narrow" w:hAnsi="Arial Narrow" w:cs="Calibri"/>
                <w:sz w:val="16"/>
                <w:szCs w:val="16"/>
              </w:rPr>
              <w:t>-59,5</w:t>
            </w:r>
          </w:p>
        </w:tc>
        <w:tc>
          <w:tcPr>
            <w:tcW w:w="957" w:type="dxa"/>
            <w:tcBorders>
              <w:top w:val="nil"/>
              <w:left w:val="nil"/>
              <w:bottom w:val="single" w:sz="4" w:space="0" w:color="auto"/>
              <w:right w:val="single" w:sz="4" w:space="0" w:color="auto"/>
            </w:tcBorders>
            <w:shd w:val="clear" w:color="auto" w:fill="auto"/>
            <w:vAlign w:val="center"/>
            <w:hideMark/>
          </w:tcPr>
          <w:p w14:paraId="44A35BAE" w14:textId="77777777" w:rsidR="004A0B2E" w:rsidRPr="004A0B2E" w:rsidRDefault="004A0B2E" w:rsidP="004A0B2E">
            <w:pPr>
              <w:jc w:val="right"/>
              <w:rPr>
                <w:rFonts w:ascii="Arial Narrow" w:hAnsi="Arial Narrow" w:cs="Calibri"/>
                <w:sz w:val="16"/>
                <w:szCs w:val="16"/>
              </w:rPr>
            </w:pPr>
            <w:r w:rsidRPr="004A0B2E">
              <w:rPr>
                <w:rFonts w:ascii="Arial Narrow" w:hAnsi="Arial Narrow" w:cs="Calibri"/>
                <w:sz w:val="16"/>
                <w:szCs w:val="16"/>
              </w:rPr>
              <w:t>9,4</w:t>
            </w:r>
          </w:p>
        </w:tc>
        <w:tc>
          <w:tcPr>
            <w:tcW w:w="1256" w:type="dxa"/>
            <w:tcBorders>
              <w:top w:val="nil"/>
              <w:left w:val="nil"/>
              <w:bottom w:val="single" w:sz="4" w:space="0" w:color="auto"/>
              <w:right w:val="single" w:sz="4" w:space="0" w:color="auto"/>
            </w:tcBorders>
            <w:shd w:val="clear" w:color="auto" w:fill="auto"/>
            <w:vAlign w:val="center"/>
            <w:hideMark/>
          </w:tcPr>
          <w:p w14:paraId="4A010B2F" w14:textId="77777777" w:rsidR="004A0B2E" w:rsidRPr="004A0B2E" w:rsidRDefault="004A0B2E" w:rsidP="004A0B2E">
            <w:pPr>
              <w:jc w:val="right"/>
              <w:rPr>
                <w:rFonts w:ascii="Arial Narrow" w:hAnsi="Arial Narrow" w:cs="Calibri"/>
                <w:sz w:val="16"/>
                <w:szCs w:val="16"/>
              </w:rPr>
            </w:pPr>
            <w:r w:rsidRPr="004A0B2E">
              <w:rPr>
                <w:rFonts w:ascii="Arial Narrow" w:hAnsi="Arial Narrow" w:cs="Calibri"/>
                <w:sz w:val="16"/>
                <w:szCs w:val="16"/>
              </w:rPr>
              <w:t>80,9</w:t>
            </w:r>
          </w:p>
        </w:tc>
        <w:tc>
          <w:tcPr>
            <w:tcW w:w="872" w:type="dxa"/>
            <w:tcBorders>
              <w:top w:val="nil"/>
              <w:left w:val="nil"/>
              <w:bottom w:val="single" w:sz="4" w:space="0" w:color="auto"/>
              <w:right w:val="single" w:sz="4" w:space="0" w:color="auto"/>
            </w:tcBorders>
            <w:shd w:val="clear" w:color="auto" w:fill="auto"/>
            <w:vAlign w:val="center"/>
            <w:hideMark/>
          </w:tcPr>
          <w:p w14:paraId="2516F646" w14:textId="77777777" w:rsidR="004A0B2E" w:rsidRPr="004A0B2E" w:rsidRDefault="004A0B2E" w:rsidP="004A0B2E">
            <w:pPr>
              <w:jc w:val="right"/>
              <w:rPr>
                <w:rFonts w:ascii="Arial Narrow" w:hAnsi="Arial Narrow" w:cs="Calibri"/>
                <w:sz w:val="16"/>
                <w:szCs w:val="16"/>
              </w:rPr>
            </w:pPr>
            <w:r w:rsidRPr="004A0B2E">
              <w:rPr>
                <w:rFonts w:ascii="Arial Narrow" w:hAnsi="Arial Narrow" w:cs="Calibri"/>
                <w:sz w:val="16"/>
                <w:szCs w:val="16"/>
              </w:rPr>
              <w:t>17,0</w:t>
            </w:r>
          </w:p>
        </w:tc>
      </w:tr>
      <w:tr w:rsidR="004A0B2E" w:rsidRPr="00B10684" w14:paraId="7733DC84" w14:textId="77777777" w:rsidTr="005A18A5">
        <w:trPr>
          <w:trHeight w:val="183"/>
        </w:trPr>
        <w:tc>
          <w:tcPr>
            <w:tcW w:w="757" w:type="dxa"/>
            <w:tcBorders>
              <w:top w:val="nil"/>
              <w:left w:val="single" w:sz="4" w:space="0" w:color="auto"/>
              <w:bottom w:val="single" w:sz="4" w:space="0" w:color="auto"/>
              <w:right w:val="single" w:sz="4" w:space="0" w:color="auto"/>
            </w:tcBorders>
            <w:shd w:val="clear" w:color="auto" w:fill="auto"/>
            <w:noWrap/>
            <w:vAlign w:val="center"/>
            <w:hideMark/>
          </w:tcPr>
          <w:p w14:paraId="020A98D1" w14:textId="77777777" w:rsidR="004A0B2E" w:rsidRPr="004A0B2E" w:rsidRDefault="004A0B2E" w:rsidP="004A0B2E">
            <w:pPr>
              <w:rPr>
                <w:rFonts w:ascii="Arial Narrow" w:hAnsi="Arial Narrow" w:cs="Calibri"/>
                <w:sz w:val="16"/>
                <w:szCs w:val="16"/>
              </w:rPr>
            </w:pPr>
            <w:r w:rsidRPr="004A0B2E">
              <w:rPr>
                <w:rFonts w:ascii="Arial Narrow" w:hAnsi="Arial Narrow" w:cs="Calibri"/>
                <w:sz w:val="16"/>
                <w:szCs w:val="16"/>
              </w:rPr>
              <w:t xml:space="preserve"> 06.1/4</w:t>
            </w:r>
          </w:p>
        </w:tc>
        <w:tc>
          <w:tcPr>
            <w:tcW w:w="5279" w:type="dxa"/>
            <w:tcBorders>
              <w:top w:val="nil"/>
              <w:left w:val="nil"/>
              <w:bottom w:val="single" w:sz="4" w:space="0" w:color="auto"/>
              <w:right w:val="single" w:sz="4" w:space="0" w:color="auto"/>
            </w:tcBorders>
            <w:shd w:val="clear" w:color="auto" w:fill="auto"/>
            <w:vAlign w:val="center"/>
            <w:hideMark/>
          </w:tcPr>
          <w:p w14:paraId="6B9540FF" w14:textId="77777777" w:rsidR="004A0B2E" w:rsidRPr="004A0B2E" w:rsidRDefault="004A0B2E" w:rsidP="004A0B2E">
            <w:pPr>
              <w:ind w:firstLineChars="200" w:firstLine="320"/>
              <w:rPr>
                <w:rFonts w:ascii="Arial Narrow" w:hAnsi="Arial Narrow" w:cs="Calibri"/>
                <w:sz w:val="16"/>
                <w:szCs w:val="16"/>
              </w:rPr>
            </w:pPr>
            <w:r w:rsidRPr="004A0B2E">
              <w:rPr>
                <w:rFonts w:ascii="Arial Narrow" w:hAnsi="Arial Narrow" w:cs="Calibri"/>
                <w:sz w:val="16"/>
                <w:szCs w:val="16"/>
              </w:rPr>
              <w:t>Други пресни плодове</w:t>
            </w:r>
          </w:p>
        </w:tc>
        <w:tc>
          <w:tcPr>
            <w:tcW w:w="957" w:type="dxa"/>
            <w:tcBorders>
              <w:top w:val="nil"/>
              <w:left w:val="nil"/>
              <w:bottom w:val="single" w:sz="4" w:space="0" w:color="auto"/>
              <w:right w:val="single" w:sz="4" w:space="0" w:color="auto"/>
            </w:tcBorders>
            <w:shd w:val="clear" w:color="auto" w:fill="auto"/>
            <w:vAlign w:val="center"/>
            <w:hideMark/>
          </w:tcPr>
          <w:p w14:paraId="57EB63E2" w14:textId="77777777" w:rsidR="004A0B2E" w:rsidRPr="004A0B2E" w:rsidRDefault="004A0B2E" w:rsidP="004A0B2E">
            <w:pPr>
              <w:jc w:val="right"/>
              <w:rPr>
                <w:rFonts w:ascii="Arial Narrow" w:hAnsi="Arial Narrow" w:cs="Calibri"/>
                <w:sz w:val="16"/>
                <w:szCs w:val="16"/>
              </w:rPr>
            </w:pPr>
            <w:r w:rsidRPr="004A0B2E">
              <w:rPr>
                <w:rFonts w:ascii="Arial Narrow" w:hAnsi="Arial Narrow" w:cs="Calibri"/>
                <w:sz w:val="16"/>
                <w:szCs w:val="16"/>
              </w:rPr>
              <w:t>186,4</w:t>
            </w:r>
          </w:p>
        </w:tc>
        <w:tc>
          <w:tcPr>
            <w:tcW w:w="1118" w:type="dxa"/>
            <w:tcBorders>
              <w:top w:val="nil"/>
              <w:left w:val="nil"/>
              <w:bottom w:val="single" w:sz="4" w:space="0" w:color="auto"/>
              <w:right w:val="single" w:sz="4" w:space="0" w:color="auto"/>
            </w:tcBorders>
            <w:shd w:val="clear" w:color="auto" w:fill="auto"/>
            <w:vAlign w:val="center"/>
            <w:hideMark/>
          </w:tcPr>
          <w:p w14:paraId="7C63BF92" w14:textId="77777777" w:rsidR="004A0B2E" w:rsidRPr="004A0B2E" w:rsidRDefault="004A0B2E" w:rsidP="004A0B2E">
            <w:pPr>
              <w:jc w:val="right"/>
              <w:rPr>
                <w:rFonts w:ascii="Arial Narrow" w:hAnsi="Arial Narrow" w:cs="Calibri"/>
                <w:sz w:val="16"/>
                <w:szCs w:val="16"/>
              </w:rPr>
            </w:pPr>
            <w:r w:rsidRPr="004A0B2E">
              <w:rPr>
                <w:rFonts w:ascii="Arial Narrow" w:hAnsi="Arial Narrow" w:cs="Calibri"/>
                <w:sz w:val="16"/>
                <w:szCs w:val="16"/>
              </w:rPr>
              <w:t>-5,2</w:t>
            </w:r>
          </w:p>
        </w:tc>
        <w:tc>
          <w:tcPr>
            <w:tcW w:w="957" w:type="dxa"/>
            <w:tcBorders>
              <w:top w:val="nil"/>
              <w:left w:val="nil"/>
              <w:bottom w:val="single" w:sz="4" w:space="0" w:color="auto"/>
              <w:right w:val="single" w:sz="4" w:space="0" w:color="auto"/>
            </w:tcBorders>
            <w:shd w:val="clear" w:color="auto" w:fill="auto"/>
            <w:vAlign w:val="center"/>
            <w:hideMark/>
          </w:tcPr>
          <w:p w14:paraId="19B94884" w14:textId="77777777" w:rsidR="004A0B2E" w:rsidRPr="004A0B2E" w:rsidRDefault="004A0B2E" w:rsidP="004A0B2E">
            <w:pPr>
              <w:jc w:val="right"/>
              <w:rPr>
                <w:rFonts w:ascii="Arial Narrow" w:hAnsi="Arial Narrow" w:cs="Calibri"/>
                <w:sz w:val="16"/>
                <w:szCs w:val="16"/>
              </w:rPr>
            </w:pPr>
            <w:r w:rsidRPr="004A0B2E">
              <w:rPr>
                <w:rFonts w:ascii="Arial Narrow" w:hAnsi="Arial Narrow" w:cs="Calibri"/>
                <w:sz w:val="16"/>
                <w:szCs w:val="16"/>
              </w:rPr>
              <w:t>176,7</w:t>
            </w:r>
          </w:p>
        </w:tc>
        <w:tc>
          <w:tcPr>
            <w:tcW w:w="1256" w:type="dxa"/>
            <w:tcBorders>
              <w:top w:val="nil"/>
              <w:left w:val="nil"/>
              <w:bottom w:val="single" w:sz="4" w:space="0" w:color="auto"/>
              <w:right w:val="single" w:sz="4" w:space="0" w:color="auto"/>
            </w:tcBorders>
            <w:shd w:val="clear" w:color="auto" w:fill="auto"/>
            <w:vAlign w:val="center"/>
            <w:hideMark/>
          </w:tcPr>
          <w:p w14:paraId="741FA8D2" w14:textId="77777777" w:rsidR="004A0B2E" w:rsidRPr="004A0B2E" w:rsidRDefault="004A0B2E" w:rsidP="004A0B2E">
            <w:pPr>
              <w:jc w:val="right"/>
              <w:rPr>
                <w:rFonts w:ascii="Arial Narrow" w:hAnsi="Arial Narrow" w:cs="Calibri"/>
                <w:sz w:val="16"/>
                <w:szCs w:val="16"/>
              </w:rPr>
            </w:pPr>
            <w:r w:rsidRPr="004A0B2E">
              <w:rPr>
                <w:rFonts w:ascii="Arial Narrow" w:hAnsi="Arial Narrow" w:cs="Calibri"/>
                <w:sz w:val="16"/>
                <w:szCs w:val="16"/>
              </w:rPr>
              <w:t>9,3</w:t>
            </w:r>
          </w:p>
        </w:tc>
        <w:tc>
          <w:tcPr>
            <w:tcW w:w="872" w:type="dxa"/>
            <w:tcBorders>
              <w:top w:val="nil"/>
              <w:left w:val="nil"/>
              <w:bottom w:val="single" w:sz="4" w:space="0" w:color="auto"/>
              <w:right w:val="single" w:sz="4" w:space="0" w:color="auto"/>
            </w:tcBorders>
            <w:shd w:val="clear" w:color="auto" w:fill="auto"/>
            <w:vAlign w:val="center"/>
            <w:hideMark/>
          </w:tcPr>
          <w:p w14:paraId="7D9C7B51" w14:textId="77777777" w:rsidR="004A0B2E" w:rsidRPr="004A0B2E" w:rsidRDefault="004A0B2E" w:rsidP="004A0B2E">
            <w:pPr>
              <w:jc w:val="right"/>
              <w:rPr>
                <w:rFonts w:ascii="Arial Narrow" w:hAnsi="Arial Narrow" w:cs="Calibri"/>
                <w:sz w:val="16"/>
                <w:szCs w:val="16"/>
              </w:rPr>
            </w:pPr>
            <w:r w:rsidRPr="004A0B2E">
              <w:rPr>
                <w:rFonts w:ascii="Arial Narrow" w:hAnsi="Arial Narrow" w:cs="Calibri"/>
                <w:sz w:val="16"/>
                <w:szCs w:val="16"/>
              </w:rPr>
              <w:t>193,1</w:t>
            </w:r>
          </w:p>
        </w:tc>
      </w:tr>
      <w:tr w:rsidR="004A0B2E" w:rsidRPr="00B10684" w14:paraId="31AA4E46" w14:textId="77777777" w:rsidTr="005A18A5">
        <w:trPr>
          <w:trHeight w:val="183"/>
        </w:trPr>
        <w:tc>
          <w:tcPr>
            <w:tcW w:w="757" w:type="dxa"/>
            <w:tcBorders>
              <w:top w:val="nil"/>
              <w:left w:val="single" w:sz="4" w:space="0" w:color="auto"/>
              <w:bottom w:val="single" w:sz="4" w:space="0" w:color="auto"/>
              <w:right w:val="single" w:sz="4" w:space="0" w:color="auto"/>
            </w:tcBorders>
            <w:shd w:val="clear" w:color="auto" w:fill="auto"/>
            <w:noWrap/>
            <w:vAlign w:val="center"/>
            <w:hideMark/>
          </w:tcPr>
          <w:p w14:paraId="1B9FAB2B" w14:textId="77777777" w:rsidR="004A0B2E" w:rsidRPr="004A0B2E" w:rsidRDefault="004A0B2E" w:rsidP="004A0B2E">
            <w:pPr>
              <w:rPr>
                <w:rFonts w:ascii="Arial Narrow" w:hAnsi="Arial Narrow" w:cs="Calibri"/>
                <w:sz w:val="16"/>
                <w:szCs w:val="16"/>
              </w:rPr>
            </w:pPr>
            <w:r w:rsidRPr="004A0B2E">
              <w:rPr>
                <w:rFonts w:ascii="Arial Narrow" w:hAnsi="Arial Narrow" w:cs="Calibri"/>
                <w:sz w:val="16"/>
                <w:szCs w:val="16"/>
              </w:rPr>
              <w:t xml:space="preserve"> 06.4</w:t>
            </w:r>
          </w:p>
        </w:tc>
        <w:tc>
          <w:tcPr>
            <w:tcW w:w="5279" w:type="dxa"/>
            <w:tcBorders>
              <w:top w:val="nil"/>
              <w:left w:val="nil"/>
              <w:bottom w:val="single" w:sz="4" w:space="0" w:color="auto"/>
              <w:right w:val="single" w:sz="4" w:space="0" w:color="auto"/>
            </w:tcBorders>
            <w:shd w:val="clear" w:color="auto" w:fill="auto"/>
            <w:vAlign w:val="center"/>
            <w:hideMark/>
          </w:tcPr>
          <w:p w14:paraId="577643CC" w14:textId="77777777" w:rsidR="004A0B2E" w:rsidRPr="004A0B2E" w:rsidRDefault="004A0B2E" w:rsidP="004A0B2E">
            <w:pPr>
              <w:ind w:firstLineChars="100" w:firstLine="160"/>
              <w:rPr>
                <w:rFonts w:ascii="Arial Narrow" w:hAnsi="Arial Narrow" w:cs="Calibri"/>
                <w:sz w:val="16"/>
                <w:szCs w:val="16"/>
              </w:rPr>
            </w:pPr>
            <w:r w:rsidRPr="004A0B2E">
              <w:rPr>
                <w:rFonts w:ascii="Arial Narrow" w:hAnsi="Arial Narrow" w:cs="Calibri"/>
                <w:sz w:val="16"/>
                <w:szCs w:val="16"/>
              </w:rPr>
              <w:t>Грозде-всичко</w:t>
            </w:r>
          </w:p>
        </w:tc>
        <w:tc>
          <w:tcPr>
            <w:tcW w:w="957" w:type="dxa"/>
            <w:tcBorders>
              <w:top w:val="nil"/>
              <w:left w:val="nil"/>
              <w:bottom w:val="single" w:sz="4" w:space="0" w:color="auto"/>
              <w:right w:val="single" w:sz="4" w:space="0" w:color="auto"/>
            </w:tcBorders>
            <w:shd w:val="clear" w:color="auto" w:fill="auto"/>
            <w:vAlign w:val="center"/>
            <w:hideMark/>
          </w:tcPr>
          <w:p w14:paraId="6F13C545" w14:textId="77777777" w:rsidR="004A0B2E" w:rsidRPr="004A0B2E" w:rsidRDefault="004A0B2E" w:rsidP="004A0B2E">
            <w:pPr>
              <w:jc w:val="right"/>
              <w:rPr>
                <w:rFonts w:ascii="Arial Narrow" w:hAnsi="Arial Narrow" w:cs="Calibri"/>
                <w:sz w:val="16"/>
                <w:szCs w:val="16"/>
              </w:rPr>
            </w:pPr>
            <w:r w:rsidRPr="004A0B2E">
              <w:rPr>
                <w:rFonts w:ascii="Arial Narrow" w:hAnsi="Arial Narrow" w:cs="Calibri"/>
                <w:sz w:val="16"/>
                <w:szCs w:val="16"/>
              </w:rPr>
              <w:t>106,7</w:t>
            </w:r>
          </w:p>
        </w:tc>
        <w:tc>
          <w:tcPr>
            <w:tcW w:w="1118" w:type="dxa"/>
            <w:tcBorders>
              <w:top w:val="nil"/>
              <w:left w:val="nil"/>
              <w:bottom w:val="single" w:sz="4" w:space="0" w:color="auto"/>
              <w:right w:val="single" w:sz="4" w:space="0" w:color="auto"/>
            </w:tcBorders>
            <w:shd w:val="clear" w:color="auto" w:fill="auto"/>
            <w:vAlign w:val="center"/>
            <w:hideMark/>
          </w:tcPr>
          <w:p w14:paraId="6483D1F0" w14:textId="77777777" w:rsidR="004A0B2E" w:rsidRPr="004A0B2E" w:rsidRDefault="004A0B2E" w:rsidP="004A0B2E">
            <w:pPr>
              <w:jc w:val="right"/>
              <w:rPr>
                <w:rFonts w:ascii="Arial Narrow" w:hAnsi="Arial Narrow" w:cs="Calibri"/>
                <w:sz w:val="16"/>
                <w:szCs w:val="16"/>
              </w:rPr>
            </w:pPr>
            <w:r w:rsidRPr="004A0B2E">
              <w:rPr>
                <w:rFonts w:ascii="Arial Narrow" w:hAnsi="Arial Narrow" w:cs="Calibri"/>
                <w:sz w:val="16"/>
                <w:szCs w:val="16"/>
              </w:rPr>
              <w:t>-1,0</w:t>
            </w:r>
          </w:p>
        </w:tc>
        <w:tc>
          <w:tcPr>
            <w:tcW w:w="957" w:type="dxa"/>
            <w:tcBorders>
              <w:top w:val="nil"/>
              <w:left w:val="nil"/>
              <w:bottom w:val="single" w:sz="4" w:space="0" w:color="auto"/>
              <w:right w:val="single" w:sz="4" w:space="0" w:color="auto"/>
            </w:tcBorders>
            <w:shd w:val="clear" w:color="auto" w:fill="auto"/>
            <w:vAlign w:val="center"/>
            <w:hideMark/>
          </w:tcPr>
          <w:p w14:paraId="3019D75B" w14:textId="77777777" w:rsidR="004A0B2E" w:rsidRPr="004A0B2E" w:rsidRDefault="004A0B2E" w:rsidP="004A0B2E">
            <w:pPr>
              <w:jc w:val="right"/>
              <w:rPr>
                <w:rFonts w:ascii="Arial Narrow" w:hAnsi="Arial Narrow" w:cs="Calibri"/>
                <w:sz w:val="16"/>
                <w:szCs w:val="16"/>
              </w:rPr>
            </w:pPr>
            <w:r w:rsidRPr="004A0B2E">
              <w:rPr>
                <w:rFonts w:ascii="Arial Narrow" w:hAnsi="Arial Narrow" w:cs="Calibri"/>
                <w:sz w:val="16"/>
                <w:szCs w:val="16"/>
              </w:rPr>
              <w:t>105,6</w:t>
            </w:r>
          </w:p>
        </w:tc>
        <w:tc>
          <w:tcPr>
            <w:tcW w:w="1256" w:type="dxa"/>
            <w:tcBorders>
              <w:top w:val="nil"/>
              <w:left w:val="nil"/>
              <w:bottom w:val="single" w:sz="4" w:space="0" w:color="auto"/>
              <w:right w:val="single" w:sz="4" w:space="0" w:color="auto"/>
            </w:tcBorders>
            <w:shd w:val="clear" w:color="auto" w:fill="auto"/>
            <w:vAlign w:val="center"/>
            <w:hideMark/>
          </w:tcPr>
          <w:p w14:paraId="6A677880" w14:textId="77777777" w:rsidR="004A0B2E" w:rsidRPr="004A0B2E" w:rsidRDefault="004A0B2E" w:rsidP="004A0B2E">
            <w:pPr>
              <w:jc w:val="right"/>
              <w:rPr>
                <w:rFonts w:ascii="Arial Narrow" w:hAnsi="Arial Narrow" w:cs="Calibri"/>
                <w:sz w:val="16"/>
                <w:szCs w:val="16"/>
              </w:rPr>
            </w:pPr>
            <w:r w:rsidRPr="004A0B2E">
              <w:rPr>
                <w:rFonts w:ascii="Arial Narrow" w:hAnsi="Arial Narrow" w:cs="Calibri"/>
                <w:sz w:val="16"/>
                <w:szCs w:val="16"/>
              </w:rPr>
              <w:t>2,1</w:t>
            </w:r>
          </w:p>
        </w:tc>
        <w:tc>
          <w:tcPr>
            <w:tcW w:w="872" w:type="dxa"/>
            <w:tcBorders>
              <w:top w:val="nil"/>
              <w:left w:val="nil"/>
              <w:bottom w:val="single" w:sz="4" w:space="0" w:color="auto"/>
              <w:right w:val="single" w:sz="4" w:space="0" w:color="auto"/>
            </w:tcBorders>
            <w:shd w:val="clear" w:color="auto" w:fill="auto"/>
            <w:vAlign w:val="center"/>
            <w:hideMark/>
          </w:tcPr>
          <w:p w14:paraId="1E86BA6B" w14:textId="77777777" w:rsidR="004A0B2E" w:rsidRPr="004A0B2E" w:rsidRDefault="004A0B2E" w:rsidP="004A0B2E">
            <w:pPr>
              <w:jc w:val="right"/>
              <w:rPr>
                <w:rFonts w:ascii="Arial Narrow" w:hAnsi="Arial Narrow" w:cs="Calibri"/>
                <w:sz w:val="16"/>
                <w:szCs w:val="16"/>
              </w:rPr>
            </w:pPr>
            <w:r w:rsidRPr="004A0B2E">
              <w:rPr>
                <w:rFonts w:ascii="Arial Narrow" w:hAnsi="Arial Narrow" w:cs="Calibri"/>
                <w:sz w:val="16"/>
                <w:szCs w:val="16"/>
              </w:rPr>
              <w:t>107,8</w:t>
            </w:r>
          </w:p>
        </w:tc>
      </w:tr>
      <w:tr w:rsidR="004A0B2E" w:rsidRPr="00B10684" w14:paraId="361E865D" w14:textId="77777777" w:rsidTr="005A18A5">
        <w:trPr>
          <w:trHeight w:val="183"/>
        </w:trPr>
        <w:tc>
          <w:tcPr>
            <w:tcW w:w="757" w:type="dxa"/>
            <w:tcBorders>
              <w:top w:val="nil"/>
              <w:left w:val="single" w:sz="4" w:space="0" w:color="auto"/>
              <w:bottom w:val="single" w:sz="4" w:space="0" w:color="auto"/>
              <w:right w:val="single" w:sz="4" w:space="0" w:color="auto"/>
            </w:tcBorders>
            <w:shd w:val="clear" w:color="auto" w:fill="auto"/>
            <w:noWrap/>
            <w:vAlign w:val="center"/>
            <w:hideMark/>
          </w:tcPr>
          <w:p w14:paraId="6D899E21" w14:textId="77777777" w:rsidR="004A0B2E" w:rsidRPr="004A0B2E" w:rsidRDefault="004A0B2E" w:rsidP="004A0B2E">
            <w:pPr>
              <w:rPr>
                <w:rFonts w:ascii="Arial Narrow" w:hAnsi="Arial Narrow" w:cs="Calibri"/>
                <w:sz w:val="16"/>
                <w:szCs w:val="16"/>
              </w:rPr>
            </w:pPr>
            <w:r w:rsidRPr="004A0B2E">
              <w:rPr>
                <w:rFonts w:ascii="Arial Narrow" w:hAnsi="Arial Narrow" w:cs="Calibri"/>
                <w:sz w:val="16"/>
                <w:szCs w:val="16"/>
              </w:rPr>
              <w:t xml:space="preserve"> 06.4/1</w:t>
            </w:r>
          </w:p>
        </w:tc>
        <w:tc>
          <w:tcPr>
            <w:tcW w:w="5279" w:type="dxa"/>
            <w:tcBorders>
              <w:top w:val="nil"/>
              <w:left w:val="nil"/>
              <w:bottom w:val="single" w:sz="4" w:space="0" w:color="auto"/>
              <w:right w:val="single" w:sz="4" w:space="0" w:color="auto"/>
            </w:tcBorders>
            <w:shd w:val="clear" w:color="auto" w:fill="auto"/>
            <w:vAlign w:val="center"/>
            <w:hideMark/>
          </w:tcPr>
          <w:p w14:paraId="53845BDC" w14:textId="77777777" w:rsidR="004A0B2E" w:rsidRPr="004A0B2E" w:rsidRDefault="004A0B2E" w:rsidP="004A0B2E">
            <w:pPr>
              <w:ind w:firstLineChars="200" w:firstLine="320"/>
              <w:rPr>
                <w:rFonts w:ascii="Arial Narrow" w:hAnsi="Arial Narrow" w:cs="Calibri"/>
                <w:sz w:val="16"/>
                <w:szCs w:val="16"/>
              </w:rPr>
            </w:pPr>
            <w:r w:rsidRPr="004A0B2E">
              <w:rPr>
                <w:rFonts w:ascii="Arial Narrow" w:hAnsi="Arial Narrow" w:cs="Calibri"/>
                <w:sz w:val="16"/>
                <w:szCs w:val="16"/>
              </w:rPr>
              <w:t>Десртно грозде</w:t>
            </w:r>
          </w:p>
        </w:tc>
        <w:tc>
          <w:tcPr>
            <w:tcW w:w="957" w:type="dxa"/>
            <w:tcBorders>
              <w:top w:val="nil"/>
              <w:left w:val="nil"/>
              <w:bottom w:val="single" w:sz="4" w:space="0" w:color="auto"/>
              <w:right w:val="single" w:sz="4" w:space="0" w:color="auto"/>
            </w:tcBorders>
            <w:shd w:val="clear" w:color="auto" w:fill="auto"/>
            <w:vAlign w:val="center"/>
            <w:hideMark/>
          </w:tcPr>
          <w:p w14:paraId="17C4FB23" w14:textId="77777777" w:rsidR="004A0B2E" w:rsidRPr="004A0B2E" w:rsidRDefault="004A0B2E" w:rsidP="004A0B2E">
            <w:pPr>
              <w:jc w:val="right"/>
              <w:rPr>
                <w:rFonts w:ascii="Arial Narrow" w:hAnsi="Arial Narrow" w:cs="Calibri"/>
                <w:sz w:val="16"/>
                <w:szCs w:val="16"/>
              </w:rPr>
            </w:pPr>
            <w:r w:rsidRPr="004A0B2E">
              <w:rPr>
                <w:rFonts w:ascii="Arial Narrow" w:hAnsi="Arial Narrow" w:cs="Calibri"/>
                <w:sz w:val="16"/>
                <w:szCs w:val="16"/>
              </w:rPr>
              <w:t>14,1</w:t>
            </w:r>
          </w:p>
        </w:tc>
        <w:tc>
          <w:tcPr>
            <w:tcW w:w="1118" w:type="dxa"/>
            <w:tcBorders>
              <w:top w:val="nil"/>
              <w:left w:val="nil"/>
              <w:bottom w:val="single" w:sz="4" w:space="0" w:color="auto"/>
              <w:right w:val="single" w:sz="4" w:space="0" w:color="auto"/>
            </w:tcBorders>
            <w:shd w:val="clear" w:color="auto" w:fill="auto"/>
            <w:vAlign w:val="center"/>
            <w:hideMark/>
          </w:tcPr>
          <w:p w14:paraId="7AE33CFC" w14:textId="77777777" w:rsidR="004A0B2E" w:rsidRPr="004A0B2E" w:rsidRDefault="004A0B2E" w:rsidP="004A0B2E">
            <w:pPr>
              <w:jc w:val="right"/>
              <w:rPr>
                <w:rFonts w:ascii="Arial Narrow" w:hAnsi="Arial Narrow" w:cs="Calibri"/>
                <w:sz w:val="16"/>
                <w:szCs w:val="16"/>
              </w:rPr>
            </w:pPr>
            <w:r w:rsidRPr="004A0B2E">
              <w:rPr>
                <w:rFonts w:ascii="Arial Narrow" w:hAnsi="Arial Narrow" w:cs="Calibri"/>
                <w:sz w:val="16"/>
                <w:szCs w:val="16"/>
              </w:rPr>
              <w:t>1,4</w:t>
            </w:r>
          </w:p>
        </w:tc>
        <w:tc>
          <w:tcPr>
            <w:tcW w:w="957" w:type="dxa"/>
            <w:tcBorders>
              <w:top w:val="nil"/>
              <w:left w:val="nil"/>
              <w:bottom w:val="single" w:sz="4" w:space="0" w:color="auto"/>
              <w:right w:val="single" w:sz="4" w:space="0" w:color="auto"/>
            </w:tcBorders>
            <w:shd w:val="clear" w:color="auto" w:fill="auto"/>
            <w:vAlign w:val="center"/>
            <w:hideMark/>
          </w:tcPr>
          <w:p w14:paraId="7AA7967D" w14:textId="77777777" w:rsidR="004A0B2E" w:rsidRPr="004A0B2E" w:rsidRDefault="004A0B2E" w:rsidP="004A0B2E">
            <w:pPr>
              <w:jc w:val="right"/>
              <w:rPr>
                <w:rFonts w:ascii="Arial Narrow" w:hAnsi="Arial Narrow" w:cs="Calibri"/>
                <w:sz w:val="16"/>
                <w:szCs w:val="16"/>
              </w:rPr>
            </w:pPr>
            <w:r w:rsidRPr="004A0B2E">
              <w:rPr>
                <w:rFonts w:ascii="Arial Narrow" w:hAnsi="Arial Narrow" w:cs="Calibri"/>
                <w:sz w:val="16"/>
                <w:szCs w:val="16"/>
              </w:rPr>
              <w:t>14,3</w:t>
            </w:r>
          </w:p>
        </w:tc>
        <w:tc>
          <w:tcPr>
            <w:tcW w:w="1256" w:type="dxa"/>
            <w:tcBorders>
              <w:top w:val="nil"/>
              <w:left w:val="nil"/>
              <w:bottom w:val="single" w:sz="4" w:space="0" w:color="auto"/>
              <w:right w:val="single" w:sz="4" w:space="0" w:color="auto"/>
            </w:tcBorders>
            <w:shd w:val="clear" w:color="auto" w:fill="auto"/>
            <w:vAlign w:val="center"/>
            <w:hideMark/>
          </w:tcPr>
          <w:p w14:paraId="0A453EDC" w14:textId="77777777" w:rsidR="004A0B2E" w:rsidRPr="004A0B2E" w:rsidRDefault="004A0B2E" w:rsidP="004A0B2E">
            <w:pPr>
              <w:jc w:val="right"/>
              <w:rPr>
                <w:rFonts w:ascii="Arial Narrow" w:hAnsi="Arial Narrow" w:cs="Calibri"/>
                <w:sz w:val="16"/>
                <w:szCs w:val="16"/>
              </w:rPr>
            </w:pPr>
            <w:r w:rsidRPr="004A0B2E">
              <w:rPr>
                <w:rFonts w:ascii="Arial Narrow" w:hAnsi="Arial Narrow" w:cs="Calibri"/>
                <w:sz w:val="16"/>
                <w:szCs w:val="16"/>
              </w:rPr>
              <w:t>-10,5</w:t>
            </w:r>
          </w:p>
        </w:tc>
        <w:tc>
          <w:tcPr>
            <w:tcW w:w="872" w:type="dxa"/>
            <w:tcBorders>
              <w:top w:val="nil"/>
              <w:left w:val="nil"/>
              <w:bottom w:val="single" w:sz="4" w:space="0" w:color="auto"/>
              <w:right w:val="single" w:sz="4" w:space="0" w:color="auto"/>
            </w:tcBorders>
            <w:shd w:val="clear" w:color="auto" w:fill="auto"/>
            <w:vAlign w:val="center"/>
            <w:hideMark/>
          </w:tcPr>
          <w:p w14:paraId="1D8944BB" w14:textId="77777777" w:rsidR="004A0B2E" w:rsidRPr="004A0B2E" w:rsidRDefault="004A0B2E" w:rsidP="004A0B2E">
            <w:pPr>
              <w:jc w:val="right"/>
              <w:rPr>
                <w:rFonts w:ascii="Arial Narrow" w:hAnsi="Arial Narrow" w:cs="Calibri"/>
                <w:sz w:val="16"/>
                <w:szCs w:val="16"/>
              </w:rPr>
            </w:pPr>
            <w:r w:rsidRPr="004A0B2E">
              <w:rPr>
                <w:rFonts w:ascii="Arial Narrow" w:hAnsi="Arial Narrow" w:cs="Calibri"/>
                <w:sz w:val="16"/>
                <w:szCs w:val="16"/>
              </w:rPr>
              <w:t>12,8</w:t>
            </w:r>
          </w:p>
        </w:tc>
      </w:tr>
      <w:tr w:rsidR="004A0B2E" w:rsidRPr="00B10684" w14:paraId="14D62D24" w14:textId="77777777" w:rsidTr="005A18A5">
        <w:trPr>
          <w:trHeight w:val="183"/>
        </w:trPr>
        <w:tc>
          <w:tcPr>
            <w:tcW w:w="757" w:type="dxa"/>
            <w:tcBorders>
              <w:top w:val="nil"/>
              <w:left w:val="single" w:sz="4" w:space="0" w:color="auto"/>
              <w:bottom w:val="single" w:sz="4" w:space="0" w:color="auto"/>
              <w:right w:val="single" w:sz="4" w:space="0" w:color="auto"/>
            </w:tcBorders>
            <w:shd w:val="clear" w:color="auto" w:fill="auto"/>
            <w:noWrap/>
            <w:vAlign w:val="center"/>
            <w:hideMark/>
          </w:tcPr>
          <w:p w14:paraId="4C155BC0" w14:textId="77777777" w:rsidR="004A0B2E" w:rsidRPr="004A0B2E" w:rsidRDefault="004A0B2E" w:rsidP="004A0B2E">
            <w:pPr>
              <w:rPr>
                <w:rFonts w:ascii="Arial Narrow" w:hAnsi="Arial Narrow" w:cs="Calibri"/>
                <w:sz w:val="16"/>
                <w:szCs w:val="16"/>
              </w:rPr>
            </w:pPr>
            <w:r w:rsidRPr="004A0B2E">
              <w:rPr>
                <w:rFonts w:ascii="Arial Narrow" w:hAnsi="Arial Narrow" w:cs="Calibri"/>
                <w:sz w:val="16"/>
                <w:szCs w:val="16"/>
              </w:rPr>
              <w:t xml:space="preserve"> 06.4/2</w:t>
            </w:r>
          </w:p>
        </w:tc>
        <w:tc>
          <w:tcPr>
            <w:tcW w:w="5279" w:type="dxa"/>
            <w:tcBorders>
              <w:top w:val="nil"/>
              <w:left w:val="nil"/>
              <w:bottom w:val="single" w:sz="4" w:space="0" w:color="auto"/>
              <w:right w:val="single" w:sz="4" w:space="0" w:color="auto"/>
            </w:tcBorders>
            <w:shd w:val="clear" w:color="auto" w:fill="auto"/>
            <w:vAlign w:val="center"/>
            <w:hideMark/>
          </w:tcPr>
          <w:p w14:paraId="6A6DB6E7" w14:textId="77777777" w:rsidR="004A0B2E" w:rsidRPr="004A0B2E" w:rsidRDefault="004A0B2E" w:rsidP="004A0B2E">
            <w:pPr>
              <w:ind w:firstLineChars="200" w:firstLine="320"/>
              <w:rPr>
                <w:rFonts w:ascii="Arial Narrow" w:hAnsi="Arial Narrow" w:cs="Calibri"/>
                <w:sz w:val="16"/>
                <w:szCs w:val="16"/>
              </w:rPr>
            </w:pPr>
            <w:r w:rsidRPr="004A0B2E">
              <w:rPr>
                <w:rFonts w:ascii="Arial Narrow" w:hAnsi="Arial Narrow" w:cs="Calibri"/>
                <w:sz w:val="16"/>
                <w:szCs w:val="16"/>
              </w:rPr>
              <w:t>Друго грозде</w:t>
            </w:r>
          </w:p>
        </w:tc>
        <w:tc>
          <w:tcPr>
            <w:tcW w:w="957" w:type="dxa"/>
            <w:tcBorders>
              <w:top w:val="nil"/>
              <w:left w:val="nil"/>
              <w:bottom w:val="single" w:sz="4" w:space="0" w:color="auto"/>
              <w:right w:val="single" w:sz="4" w:space="0" w:color="auto"/>
            </w:tcBorders>
            <w:shd w:val="clear" w:color="auto" w:fill="auto"/>
            <w:vAlign w:val="center"/>
            <w:hideMark/>
          </w:tcPr>
          <w:p w14:paraId="0E0EBA2D" w14:textId="77777777" w:rsidR="004A0B2E" w:rsidRPr="004A0B2E" w:rsidRDefault="004A0B2E" w:rsidP="004A0B2E">
            <w:pPr>
              <w:jc w:val="right"/>
              <w:rPr>
                <w:rFonts w:ascii="Arial Narrow" w:hAnsi="Arial Narrow" w:cs="Calibri"/>
                <w:sz w:val="16"/>
                <w:szCs w:val="16"/>
              </w:rPr>
            </w:pPr>
            <w:r w:rsidRPr="004A0B2E">
              <w:rPr>
                <w:rFonts w:ascii="Arial Narrow" w:hAnsi="Arial Narrow" w:cs="Calibri"/>
                <w:sz w:val="16"/>
                <w:szCs w:val="16"/>
              </w:rPr>
              <w:t>92,6</w:t>
            </w:r>
          </w:p>
        </w:tc>
        <w:tc>
          <w:tcPr>
            <w:tcW w:w="1118" w:type="dxa"/>
            <w:tcBorders>
              <w:top w:val="nil"/>
              <w:left w:val="nil"/>
              <w:bottom w:val="single" w:sz="4" w:space="0" w:color="auto"/>
              <w:right w:val="single" w:sz="4" w:space="0" w:color="auto"/>
            </w:tcBorders>
            <w:shd w:val="clear" w:color="auto" w:fill="auto"/>
            <w:vAlign w:val="center"/>
            <w:hideMark/>
          </w:tcPr>
          <w:p w14:paraId="6609064B" w14:textId="77777777" w:rsidR="004A0B2E" w:rsidRPr="004A0B2E" w:rsidRDefault="004A0B2E" w:rsidP="004A0B2E">
            <w:pPr>
              <w:jc w:val="right"/>
              <w:rPr>
                <w:rFonts w:ascii="Arial Narrow" w:hAnsi="Arial Narrow" w:cs="Calibri"/>
                <w:sz w:val="16"/>
                <w:szCs w:val="16"/>
              </w:rPr>
            </w:pPr>
            <w:r w:rsidRPr="004A0B2E">
              <w:rPr>
                <w:rFonts w:ascii="Arial Narrow" w:hAnsi="Arial Narrow" w:cs="Calibri"/>
                <w:sz w:val="16"/>
                <w:szCs w:val="16"/>
              </w:rPr>
              <w:t>-1,4</w:t>
            </w:r>
          </w:p>
        </w:tc>
        <w:tc>
          <w:tcPr>
            <w:tcW w:w="957" w:type="dxa"/>
            <w:tcBorders>
              <w:top w:val="nil"/>
              <w:left w:val="nil"/>
              <w:bottom w:val="single" w:sz="4" w:space="0" w:color="auto"/>
              <w:right w:val="single" w:sz="4" w:space="0" w:color="auto"/>
            </w:tcBorders>
            <w:shd w:val="clear" w:color="auto" w:fill="auto"/>
            <w:vAlign w:val="center"/>
            <w:hideMark/>
          </w:tcPr>
          <w:p w14:paraId="0343630F" w14:textId="77777777" w:rsidR="004A0B2E" w:rsidRPr="004A0B2E" w:rsidRDefault="004A0B2E" w:rsidP="004A0B2E">
            <w:pPr>
              <w:jc w:val="right"/>
              <w:rPr>
                <w:rFonts w:ascii="Arial Narrow" w:hAnsi="Arial Narrow" w:cs="Calibri"/>
                <w:sz w:val="16"/>
                <w:szCs w:val="16"/>
              </w:rPr>
            </w:pPr>
            <w:r w:rsidRPr="004A0B2E">
              <w:rPr>
                <w:rFonts w:ascii="Arial Narrow" w:hAnsi="Arial Narrow" w:cs="Calibri"/>
                <w:sz w:val="16"/>
                <w:szCs w:val="16"/>
              </w:rPr>
              <w:t>91,3</w:t>
            </w:r>
          </w:p>
        </w:tc>
        <w:tc>
          <w:tcPr>
            <w:tcW w:w="1256" w:type="dxa"/>
            <w:tcBorders>
              <w:top w:val="nil"/>
              <w:left w:val="nil"/>
              <w:bottom w:val="single" w:sz="4" w:space="0" w:color="auto"/>
              <w:right w:val="single" w:sz="4" w:space="0" w:color="auto"/>
            </w:tcBorders>
            <w:shd w:val="clear" w:color="auto" w:fill="auto"/>
            <w:vAlign w:val="center"/>
            <w:hideMark/>
          </w:tcPr>
          <w:p w14:paraId="4B3BFAEF" w14:textId="77777777" w:rsidR="004A0B2E" w:rsidRPr="004A0B2E" w:rsidRDefault="004A0B2E" w:rsidP="004A0B2E">
            <w:pPr>
              <w:jc w:val="right"/>
              <w:rPr>
                <w:rFonts w:ascii="Arial Narrow" w:hAnsi="Arial Narrow" w:cs="Calibri"/>
                <w:sz w:val="16"/>
                <w:szCs w:val="16"/>
              </w:rPr>
            </w:pPr>
            <w:r w:rsidRPr="004A0B2E">
              <w:rPr>
                <w:rFonts w:ascii="Arial Narrow" w:hAnsi="Arial Narrow" w:cs="Calibri"/>
                <w:sz w:val="16"/>
                <w:szCs w:val="16"/>
              </w:rPr>
              <w:t>4,1</w:t>
            </w:r>
          </w:p>
        </w:tc>
        <w:tc>
          <w:tcPr>
            <w:tcW w:w="872" w:type="dxa"/>
            <w:tcBorders>
              <w:top w:val="nil"/>
              <w:left w:val="nil"/>
              <w:bottom w:val="single" w:sz="4" w:space="0" w:color="auto"/>
              <w:right w:val="single" w:sz="4" w:space="0" w:color="auto"/>
            </w:tcBorders>
            <w:shd w:val="clear" w:color="auto" w:fill="auto"/>
            <w:vAlign w:val="center"/>
            <w:hideMark/>
          </w:tcPr>
          <w:p w14:paraId="57167D6A" w14:textId="77777777" w:rsidR="004A0B2E" w:rsidRPr="004A0B2E" w:rsidRDefault="004A0B2E" w:rsidP="004A0B2E">
            <w:pPr>
              <w:jc w:val="right"/>
              <w:rPr>
                <w:rFonts w:ascii="Arial Narrow" w:hAnsi="Arial Narrow" w:cs="Calibri"/>
                <w:sz w:val="16"/>
                <w:szCs w:val="16"/>
              </w:rPr>
            </w:pPr>
            <w:r w:rsidRPr="004A0B2E">
              <w:rPr>
                <w:rFonts w:ascii="Arial Narrow" w:hAnsi="Arial Narrow" w:cs="Calibri"/>
                <w:sz w:val="16"/>
                <w:szCs w:val="16"/>
              </w:rPr>
              <w:t>95,0</w:t>
            </w:r>
          </w:p>
        </w:tc>
      </w:tr>
      <w:tr w:rsidR="004A0B2E" w:rsidRPr="00B10684" w14:paraId="294FF747" w14:textId="77777777" w:rsidTr="005A18A5">
        <w:trPr>
          <w:trHeight w:val="183"/>
        </w:trPr>
        <w:tc>
          <w:tcPr>
            <w:tcW w:w="757" w:type="dxa"/>
            <w:tcBorders>
              <w:top w:val="nil"/>
              <w:left w:val="single" w:sz="4" w:space="0" w:color="auto"/>
              <w:bottom w:val="single" w:sz="4" w:space="0" w:color="auto"/>
              <w:right w:val="single" w:sz="4" w:space="0" w:color="auto"/>
            </w:tcBorders>
            <w:shd w:val="clear" w:color="auto" w:fill="auto"/>
            <w:noWrap/>
            <w:vAlign w:val="center"/>
            <w:hideMark/>
          </w:tcPr>
          <w:p w14:paraId="778E8B8D" w14:textId="77777777" w:rsidR="004A0B2E" w:rsidRPr="004A0B2E" w:rsidRDefault="004A0B2E" w:rsidP="004A0B2E">
            <w:pPr>
              <w:rPr>
                <w:rFonts w:ascii="Arial Narrow" w:hAnsi="Arial Narrow" w:cs="Calibri"/>
                <w:sz w:val="16"/>
                <w:szCs w:val="16"/>
              </w:rPr>
            </w:pPr>
            <w:r w:rsidRPr="004A0B2E">
              <w:rPr>
                <w:rFonts w:ascii="Arial Narrow" w:hAnsi="Arial Narrow" w:cs="Calibri"/>
                <w:sz w:val="16"/>
                <w:szCs w:val="16"/>
              </w:rPr>
              <w:t xml:space="preserve"> 07</w:t>
            </w:r>
          </w:p>
        </w:tc>
        <w:tc>
          <w:tcPr>
            <w:tcW w:w="5279" w:type="dxa"/>
            <w:tcBorders>
              <w:top w:val="nil"/>
              <w:left w:val="nil"/>
              <w:bottom w:val="single" w:sz="4" w:space="0" w:color="auto"/>
              <w:right w:val="single" w:sz="4" w:space="0" w:color="auto"/>
            </w:tcBorders>
            <w:shd w:val="clear" w:color="auto" w:fill="auto"/>
            <w:vAlign w:val="center"/>
            <w:hideMark/>
          </w:tcPr>
          <w:p w14:paraId="328C9962" w14:textId="77777777" w:rsidR="004A0B2E" w:rsidRPr="004A0B2E" w:rsidRDefault="004A0B2E" w:rsidP="004A0B2E">
            <w:pPr>
              <w:rPr>
                <w:rFonts w:ascii="Arial Narrow" w:hAnsi="Arial Narrow" w:cs="Calibri"/>
                <w:sz w:val="16"/>
                <w:szCs w:val="16"/>
              </w:rPr>
            </w:pPr>
            <w:r w:rsidRPr="004A0B2E">
              <w:rPr>
                <w:rFonts w:ascii="Arial Narrow" w:hAnsi="Arial Narrow" w:cs="Calibri"/>
                <w:sz w:val="16"/>
                <w:szCs w:val="16"/>
              </w:rPr>
              <w:t>Вино</w:t>
            </w:r>
          </w:p>
        </w:tc>
        <w:tc>
          <w:tcPr>
            <w:tcW w:w="957" w:type="dxa"/>
            <w:tcBorders>
              <w:top w:val="nil"/>
              <w:left w:val="nil"/>
              <w:bottom w:val="single" w:sz="4" w:space="0" w:color="auto"/>
              <w:right w:val="single" w:sz="4" w:space="0" w:color="auto"/>
            </w:tcBorders>
            <w:shd w:val="clear" w:color="auto" w:fill="auto"/>
            <w:vAlign w:val="center"/>
            <w:hideMark/>
          </w:tcPr>
          <w:p w14:paraId="56E51380" w14:textId="77777777" w:rsidR="004A0B2E" w:rsidRPr="004A0B2E" w:rsidRDefault="004A0B2E" w:rsidP="004A0B2E">
            <w:pPr>
              <w:jc w:val="right"/>
              <w:rPr>
                <w:rFonts w:ascii="Arial Narrow" w:hAnsi="Arial Narrow" w:cs="Calibri"/>
                <w:sz w:val="16"/>
                <w:szCs w:val="16"/>
              </w:rPr>
            </w:pPr>
            <w:r w:rsidRPr="004A0B2E">
              <w:rPr>
                <w:rFonts w:ascii="Arial Narrow" w:hAnsi="Arial Narrow" w:cs="Calibri"/>
                <w:sz w:val="16"/>
                <w:szCs w:val="16"/>
              </w:rPr>
              <w:t> </w:t>
            </w:r>
          </w:p>
        </w:tc>
        <w:tc>
          <w:tcPr>
            <w:tcW w:w="1118" w:type="dxa"/>
            <w:tcBorders>
              <w:top w:val="nil"/>
              <w:left w:val="nil"/>
              <w:bottom w:val="single" w:sz="4" w:space="0" w:color="auto"/>
              <w:right w:val="single" w:sz="4" w:space="0" w:color="auto"/>
            </w:tcBorders>
            <w:shd w:val="clear" w:color="auto" w:fill="auto"/>
            <w:vAlign w:val="center"/>
            <w:hideMark/>
          </w:tcPr>
          <w:p w14:paraId="2D29F99B" w14:textId="77777777" w:rsidR="004A0B2E" w:rsidRPr="004A0B2E" w:rsidRDefault="004A0B2E" w:rsidP="004A0B2E">
            <w:pPr>
              <w:rPr>
                <w:rFonts w:ascii="Arial Narrow" w:hAnsi="Arial Narrow" w:cs="Calibri"/>
                <w:sz w:val="16"/>
                <w:szCs w:val="16"/>
              </w:rPr>
            </w:pPr>
            <w:r w:rsidRPr="004A0B2E">
              <w:rPr>
                <w:rFonts w:ascii="Arial Narrow" w:hAnsi="Arial Narrow" w:cs="Calibri"/>
                <w:sz w:val="16"/>
                <w:szCs w:val="16"/>
              </w:rPr>
              <w:t> </w:t>
            </w:r>
          </w:p>
        </w:tc>
        <w:tc>
          <w:tcPr>
            <w:tcW w:w="957" w:type="dxa"/>
            <w:tcBorders>
              <w:top w:val="nil"/>
              <w:left w:val="nil"/>
              <w:bottom w:val="single" w:sz="4" w:space="0" w:color="auto"/>
              <w:right w:val="single" w:sz="4" w:space="0" w:color="auto"/>
            </w:tcBorders>
            <w:shd w:val="clear" w:color="auto" w:fill="auto"/>
            <w:vAlign w:val="center"/>
            <w:hideMark/>
          </w:tcPr>
          <w:p w14:paraId="3E597C8F" w14:textId="77777777" w:rsidR="004A0B2E" w:rsidRPr="004A0B2E" w:rsidRDefault="004A0B2E" w:rsidP="004A0B2E">
            <w:pPr>
              <w:jc w:val="right"/>
              <w:rPr>
                <w:rFonts w:ascii="Arial Narrow" w:hAnsi="Arial Narrow" w:cs="Calibri"/>
                <w:sz w:val="16"/>
                <w:szCs w:val="16"/>
              </w:rPr>
            </w:pPr>
            <w:r w:rsidRPr="004A0B2E">
              <w:rPr>
                <w:rFonts w:ascii="Arial Narrow" w:hAnsi="Arial Narrow" w:cs="Calibri"/>
                <w:sz w:val="16"/>
                <w:szCs w:val="16"/>
              </w:rPr>
              <w:t> </w:t>
            </w:r>
          </w:p>
        </w:tc>
        <w:tc>
          <w:tcPr>
            <w:tcW w:w="1256" w:type="dxa"/>
            <w:tcBorders>
              <w:top w:val="nil"/>
              <w:left w:val="nil"/>
              <w:bottom w:val="single" w:sz="4" w:space="0" w:color="auto"/>
              <w:right w:val="single" w:sz="4" w:space="0" w:color="auto"/>
            </w:tcBorders>
            <w:shd w:val="clear" w:color="auto" w:fill="auto"/>
            <w:vAlign w:val="center"/>
            <w:hideMark/>
          </w:tcPr>
          <w:p w14:paraId="0A0C5E35" w14:textId="77777777" w:rsidR="004A0B2E" w:rsidRPr="004A0B2E" w:rsidRDefault="004A0B2E" w:rsidP="004A0B2E">
            <w:pPr>
              <w:rPr>
                <w:rFonts w:ascii="Arial Narrow" w:hAnsi="Arial Narrow" w:cs="Calibri"/>
                <w:sz w:val="16"/>
                <w:szCs w:val="16"/>
              </w:rPr>
            </w:pPr>
            <w:r w:rsidRPr="004A0B2E">
              <w:rPr>
                <w:rFonts w:ascii="Arial Narrow" w:hAnsi="Arial Narrow" w:cs="Calibri"/>
                <w:sz w:val="16"/>
                <w:szCs w:val="16"/>
              </w:rPr>
              <w:t> </w:t>
            </w:r>
          </w:p>
        </w:tc>
        <w:tc>
          <w:tcPr>
            <w:tcW w:w="872" w:type="dxa"/>
            <w:tcBorders>
              <w:top w:val="nil"/>
              <w:left w:val="nil"/>
              <w:bottom w:val="single" w:sz="4" w:space="0" w:color="auto"/>
              <w:right w:val="single" w:sz="4" w:space="0" w:color="auto"/>
            </w:tcBorders>
            <w:shd w:val="clear" w:color="auto" w:fill="auto"/>
            <w:vAlign w:val="center"/>
            <w:hideMark/>
          </w:tcPr>
          <w:p w14:paraId="1786CC15" w14:textId="77777777" w:rsidR="004A0B2E" w:rsidRPr="004A0B2E" w:rsidRDefault="004A0B2E" w:rsidP="004A0B2E">
            <w:pPr>
              <w:jc w:val="right"/>
              <w:rPr>
                <w:rFonts w:ascii="Arial Narrow" w:hAnsi="Arial Narrow" w:cs="Calibri"/>
                <w:sz w:val="16"/>
                <w:szCs w:val="16"/>
              </w:rPr>
            </w:pPr>
            <w:r w:rsidRPr="004A0B2E">
              <w:rPr>
                <w:rFonts w:ascii="Arial Narrow" w:hAnsi="Arial Narrow" w:cs="Calibri"/>
                <w:sz w:val="16"/>
                <w:szCs w:val="16"/>
              </w:rPr>
              <w:t> </w:t>
            </w:r>
          </w:p>
        </w:tc>
      </w:tr>
      <w:tr w:rsidR="004A0B2E" w:rsidRPr="00B10684" w14:paraId="1D1EAA3F" w14:textId="77777777" w:rsidTr="005A18A5">
        <w:trPr>
          <w:trHeight w:val="183"/>
        </w:trPr>
        <w:tc>
          <w:tcPr>
            <w:tcW w:w="757" w:type="dxa"/>
            <w:tcBorders>
              <w:top w:val="nil"/>
              <w:left w:val="single" w:sz="4" w:space="0" w:color="auto"/>
              <w:bottom w:val="single" w:sz="4" w:space="0" w:color="auto"/>
              <w:right w:val="single" w:sz="4" w:space="0" w:color="auto"/>
            </w:tcBorders>
            <w:shd w:val="clear" w:color="auto" w:fill="auto"/>
            <w:noWrap/>
            <w:vAlign w:val="center"/>
            <w:hideMark/>
          </w:tcPr>
          <w:p w14:paraId="7BCE3ABA" w14:textId="77777777" w:rsidR="004A0B2E" w:rsidRPr="004A0B2E" w:rsidRDefault="004A0B2E" w:rsidP="004A0B2E">
            <w:pPr>
              <w:rPr>
                <w:rFonts w:ascii="Arial Narrow" w:hAnsi="Arial Narrow" w:cs="Calibri"/>
                <w:sz w:val="16"/>
                <w:szCs w:val="16"/>
              </w:rPr>
            </w:pPr>
            <w:r w:rsidRPr="004A0B2E">
              <w:rPr>
                <w:rFonts w:ascii="Arial Narrow" w:hAnsi="Arial Narrow" w:cs="Calibri"/>
                <w:sz w:val="16"/>
                <w:szCs w:val="16"/>
              </w:rPr>
              <w:t xml:space="preserve"> 07.1</w:t>
            </w:r>
          </w:p>
        </w:tc>
        <w:tc>
          <w:tcPr>
            <w:tcW w:w="5279" w:type="dxa"/>
            <w:tcBorders>
              <w:top w:val="nil"/>
              <w:left w:val="nil"/>
              <w:bottom w:val="single" w:sz="4" w:space="0" w:color="auto"/>
              <w:right w:val="single" w:sz="4" w:space="0" w:color="auto"/>
            </w:tcBorders>
            <w:shd w:val="clear" w:color="auto" w:fill="auto"/>
            <w:vAlign w:val="center"/>
            <w:hideMark/>
          </w:tcPr>
          <w:p w14:paraId="31AFECE7" w14:textId="77777777" w:rsidR="004A0B2E" w:rsidRPr="004A0B2E" w:rsidRDefault="004A0B2E" w:rsidP="004A0B2E">
            <w:pPr>
              <w:ind w:firstLineChars="100" w:firstLine="160"/>
              <w:rPr>
                <w:rFonts w:ascii="Arial Narrow" w:hAnsi="Arial Narrow" w:cs="Calibri"/>
                <w:sz w:val="16"/>
                <w:szCs w:val="16"/>
              </w:rPr>
            </w:pPr>
            <w:r w:rsidRPr="004A0B2E">
              <w:rPr>
                <w:rFonts w:ascii="Arial Narrow" w:hAnsi="Arial Narrow" w:cs="Calibri"/>
                <w:sz w:val="16"/>
                <w:szCs w:val="16"/>
              </w:rPr>
              <w:t>Трапезно вино</w:t>
            </w:r>
          </w:p>
        </w:tc>
        <w:tc>
          <w:tcPr>
            <w:tcW w:w="957" w:type="dxa"/>
            <w:tcBorders>
              <w:top w:val="nil"/>
              <w:left w:val="nil"/>
              <w:bottom w:val="single" w:sz="4" w:space="0" w:color="auto"/>
              <w:right w:val="single" w:sz="4" w:space="0" w:color="auto"/>
            </w:tcBorders>
            <w:shd w:val="clear" w:color="auto" w:fill="auto"/>
            <w:vAlign w:val="center"/>
            <w:hideMark/>
          </w:tcPr>
          <w:p w14:paraId="45203328" w14:textId="77777777" w:rsidR="004A0B2E" w:rsidRPr="004A0B2E" w:rsidRDefault="004A0B2E" w:rsidP="004A0B2E">
            <w:pPr>
              <w:jc w:val="right"/>
              <w:rPr>
                <w:rFonts w:ascii="Arial Narrow" w:hAnsi="Arial Narrow" w:cs="Calibri"/>
                <w:sz w:val="16"/>
                <w:szCs w:val="16"/>
              </w:rPr>
            </w:pPr>
            <w:r w:rsidRPr="004A0B2E">
              <w:rPr>
                <w:rFonts w:ascii="Arial Narrow" w:hAnsi="Arial Narrow" w:cs="Calibri"/>
                <w:sz w:val="16"/>
                <w:szCs w:val="16"/>
              </w:rPr>
              <w:t> </w:t>
            </w:r>
          </w:p>
        </w:tc>
        <w:tc>
          <w:tcPr>
            <w:tcW w:w="1118" w:type="dxa"/>
            <w:tcBorders>
              <w:top w:val="nil"/>
              <w:left w:val="nil"/>
              <w:bottom w:val="single" w:sz="4" w:space="0" w:color="auto"/>
              <w:right w:val="single" w:sz="4" w:space="0" w:color="auto"/>
            </w:tcBorders>
            <w:shd w:val="clear" w:color="auto" w:fill="auto"/>
            <w:vAlign w:val="center"/>
            <w:hideMark/>
          </w:tcPr>
          <w:p w14:paraId="7F576C2E" w14:textId="77777777" w:rsidR="004A0B2E" w:rsidRPr="004A0B2E" w:rsidRDefault="004A0B2E" w:rsidP="004A0B2E">
            <w:pPr>
              <w:rPr>
                <w:rFonts w:ascii="Arial Narrow" w:hAnsi="Arial Narrow" w:cs="Calibri"/>
                <w:sz w:val="16"/>
                <w:szCs w:val="16"/>
              </w:rPr>
            </w:pPr>
            <w:r w:rsidRPr="004A0B2E">
              <w:rPr>
                <w:rFonts w:ascii="Arial Narrow" w:hAnsi="Arial Narrow" w:cs="Calibri"/>
                <w:sz w:val="16"/>
                <w:szCs w:val="16"/>
              </w:rPr>
              <w:t> </w:t>
            </w:r>
          </w:p>
        </w:tc>
        <w:tc>
          <w:tcPr>
            <w:tcW w:w="957" w:type="dxa"/>
            <w:tcBorders>
              <w:top w:val="nil"/>
              <w:left w:val="nil"/>
              <w:bottom w:val="single" w:sz="4" w:space="0" w:color="auto"/>
              <w:right w:val="single" w:sz="4" w:space="0" w:color="auto"/>
            </w:tcBorders>
            <w:shd w:val="clear" w:color="auto" w:fill="auto"/>
            <w:vAlign w:val="center"/>
            <w:hideMark/>
          </w:tcPr>
          <w:p w14:paraId="57DE1B11" w14:textId="77777777" w:rsidR="004A0B2E" w:rsidRPr="004A0B2E" w:rsidRDefault="004A0B2E" w:rsidP="004A0B2E">
            <w:pPr>
              <w:jc w:val="right"/>
              <w:rPr>
                <w:rFonts w:ascii="Arial Narrow" w:hAnsi="Arial Narrow" w:cs="Calibri"/>
                <w:sz w:val="16"/>
                <w:szCs w:val="16"/>
              </w:rPr>
            </w:pPr>
            <w:r w:rsidRPr="004A0B2E">
              <w:rPr>
                <w:rFonts w:ascii="Arial Narrow" w:hAnsi="Arial Narrow" w:cs="Calibri"/>
                <w:sz w:val="16"/>
                <w:szCs w:val="16"/>
              </w:rPr>
              <w:t> </w:t>
            </w:r>
          </w:p>
        </w:tc>
        <w:tc>
          <w:tcPr>
            <w:tcW w:w="1256" w:type="dxa"/>
            <w:tcBorders>
              <w:top w:val="nil"/>
              <w:left w:val="nil"/>
              <w:bottom w:val="single" w:sz="4" w:space="0" w:color="auto"/>
              <w:right w:val="single" w:sz="4" w:space="0" w:color="auto"/>
            </w:tcBorders>
            <w:shd w:val="clear" w:color="auto" w:fill="auto"/>
            <w:vAlign w:val="center"/>
            <w:hideMark/>
          </w:tcPr>
          <w:p w14:paraId="7EC14CD7" w14:textId="77777777" w:rsidR="004A0B2E" w:rsidRPr="004A0B2E" w:rsidRDefault="004A0B2E" w:rsidP="004A0B2E">
            <w:pPr>
              <w:rPr>
                <w:rFonts w:ascii="Arial Narrow" w:hAnsi="Arial Narrow" w:cs="Calibri"/>
                <w:sz w:val="16"/>
                <w:szCs w:val="16"/>
              </w:rPr>
            </w:pPr>
            <w:r w:rsidRPr="004A0B2E">
              <w:rPr>
                <w:rFonts w:ascii="Arial Narrow" w:hAnsi="Arial Narrow" w:cs="Calibri"/>
                <w:sz w:val="16"/>
                <w:szCs w:val="16"/>
              </w:rPr>
              <w:t> </w:t>
            </w:r>
          </w:p>
        </w:tc>
        <w:tc>
          <w:tcPr>
            <w:tcW w:w="872" w:type="dxa"/>
            <w:tcBorders>
              <w:top w:val="nil"/>
              <w:left w:val="nil"/>
              <w:bottom w:val="single" w:sz="4" w:space="0" w:color="auto"/>
              <w:right w:val="single" w:sz="4" w:space="0" w:color="auto"/>
            </w:tcBorders>
            <w:shd w:val="clear" w:color="auto" w:fill="auto"/>
            <w:vAlign w:val="center"/>
            <w:hideMark/>
          </w:tcPr>
          <w:p w14:paraId="58ADC300" w14:textId="77777777" w:rsidR="004A0B2E" w:rsidRPr="004A0B2E" w:rsidRDefault="004A0B2E" w:rsidP="004A0B2E">
            <w:pPr>
              <w:jc w:val="right"/>
              <w:rPr>
                <w:rFonts w:ascii="Arial Narrow" w:hAnsi="Arial Narrow" w:cs="Calibri"/>
                <w:sz w:val="16"/>
                <w:szCs w:val="16"/>
              </w:rPr>
            </w:pPr>
            <w:r w:rsidRPr="004A0B2E">
              <w:rPr>
                <w:rFonts w:ascii="Arial Narrow" w:hAnsi="Arial Narrow" w:cs="Calibri"/>
                <w:sz w:val="16"/>
                <w:szCs w:val="16"/>
              </w:rPr>
              <w:t> </w:t>
            </w:r>
          </w:p>
        </w:tc>
      </w:tr>
      <w:tr w:rsidR="004A0B2E" w:rsidRPr="00B10684" w14:paraId="475D656E" w14:textId="77777777" w:rsidTr="005A18A5">
        <w:trPr>
          <w:trHeight w:val="183"/>
        </w:trPr>
        <w:tc>
          <w:tcPr>
            <w:tcW w:w="757" w:type="dxa"/>
            <w:tcBorders>
              <w:top w:val="nil"/>
              <w:left w:val="single" w:sz="4" w:space="0" w:color="auto"/>
              <w:bottom w:val="single" w:sz="4" w:space="0" w:color="auto"/>
              <w:right w:val="single" w:sz="4" w:space="0" w:color="auto"/>
            </w:tcBorders>
            <w:shd w:val="clear" w:color="auto" w:fill="auto"/>
            <w:noWrap/>
            <w:vAlign w:val="center"/>
            <w:hideMark/>
          </w:tcPr>
          <w:p w14:paraId="3C760529" w14:textId="77777777" w:rsidR="004A0B2E" w:rsidRPr="004A0B2E" w:rsidRDefault="004A0B2E" w:rsidP="004A0B2E">
            <w:pPr>
              <w:rPr>
                <w:rFonts w:ascii="Arial Narrow" w:hAnsi="Arial Narrow" w:cs="Calibri"/>
                <w:sz w:val="16"/>
                <w:szCs w:val="16"/>
              </w:rPr>
            </w:pPr>
            <w:r w:rsidRPr="004A0B2E">
              <w:rPr>
                <w:rFonts w:ascii="Arial Narrow" w:hAnsi="Arial Narrow" w:cs="Calibri"/>
                <w:sz w:val="16"/>
                <w:szCs w:val="16"/>
              </w:rPr>
              <w:t xml:space="preserve"> 09</w:t>
            </w:r>
          </w:p>
        </w:tc>
        <w:tc>
          <w:tcPr>
            <w:tcW w:w="5279" w:type="dxa"/>
            <w:tcBorders>
              <w:top w:val="nil"/>
              <w:left w:val="nil"/>
              <w:bottom w:val="single" w:sz="4" w:space="0" w:color="auto"/>
              <w:right w:val="single" w:sz="4" w:space="0" w:color="auto"/>
            </w:tcBorders>
            <w:shd w:val="clear" w:color="auto" w:fill="auto"/>
            <w:vAlign w:val="center"/>
            <w:hideMark/>
          </w:tcPr>
          <w:p w14:paraId="16B0BA4F" w14:textId="77777777" w:rsidR="004A0B2E" w:rsidRPr="004A0B2E" w:rsidRDefault="004A0B2E" w:rsidP="004A0B2E">
            <w:pPr>
              <w:rPr>
                <w:rFonts w:ascii="Arial Narrow" w:hAnsi="Arial Narrow" w:cs="Calibri"/>
                <w:sz w:val="16"/>
                <w:szCs w:val="16"/>
              </w:rPr>
            </w:pPr>
            <w:r w:rsidRPr="004A0B2E">
              <w:rPr>
                <w:rFonts w:ascii="Arial Narrow" w:hAnsi="Arial Narrow" w:cs="Calibri"/>
                <w:sz w:val="16"/>
                <w:szCs w:val="16"/>
              </w:rPr>
              <w:t>Други растениевъдни култури</w:t>
            </w:r>
          </w:p>
        </w:tc>
        <w:tc>
          <w:tcPr>
            <w:tcW w:w="957" w:type="dxa"/>
            <w:tcBorders>
              <w:top w:val="nil"/>
              <w:left w:val="nil"/>
              <w:bottom w:val="single" w:sz="4" w:space="0" w:color="auto"/>
              <w:right w:val="single" w:sz="4" w:space="0" w:color="auto"/>
            </w:tcBorders>
            <w:shd w:val="clear" w:color="auto" w:fill="auto"/>
            <w:vAlign w:val="center"/>
            <w:hideMark/>
          </w:tcPr>
          <w:p w14:paraId="14E815F5" w14:textId="77777777" w:rsidR="004A0B2E" w:rsidRPr="004A0B2E" w:rsidRDefault="004A0B2E" w:rsidP="004A0B2E">
            <w:pPr>
              <w:jc w:val="right"/>
              <w:rPr>
                <w:rFonts w:ascii="Arial Narrow" w:hAnsi="Arial Narrow" w:cs="Calibri"/>
                <w:sz w:val="16"/>
                <w:szCs w:val="16"/>
              </w:rPr>
            </w:pPr>
            <w:r w:rsidRPr="004A0B2E">
              <w:rPr>
                <w:rFonts w:ascii="Arial Narrow" w:hAnsi="Arial Narrow" w:cs="Calibri"/>
                <w:sz w:val="16"/>
                <w:szCs w:val="16"/>
              </w:rPr>
              <w:t>48,6</w:t>
            </w:r>
          </w:p>
        </w:tc>
        <w:tc>
          <w:tcPr>
            <w:tcW w:w="1118" w:type="dxa"/>
            <w:tcBorders>
              <w:top w:val="nil"/>
              <w:left w:val="nil"/>
              <w:bottom w:val="single" w:sz="4" w:space="0" w:color="auto"/>
              <w:right w:val="single" w:sz="4" w:space="0" w:color="auto"/>
            </w:tcBorders>
            <w:shd w:val="clear" w:color="auto" w:fill="auto"/>
            <w:vAlign w:val="center"/>
            <w:hideMark/>
          </w:tcPr>
          <w:p w14:paraId="269F26C1" w14:textId="77777777" w:rsidR="004A0B2E" w:rsidRPr="004A0B2E" w:rsidRDefault="004A0B2E" w:rsidP="004A0B2E">
            <w:pPr>
              <w:jc w:val="right"/>
              <w:rPr>
                <w:rFonts w:ascii="Arial Narrow" w:hAnsi="Arial Narrow" w:cs="Calibri"/>
                <w:sz w:val="16"/>
                <w:szCs w:val="16"/>
              </w:rPr>
            </w:pPr>
            <w:r w:rsidRPr="004A0B2E">
              <w:rPr>
                <w:rFonts w:ascii="Arial Narrow" w:hAnsi="Arial Narrow" w:cs="Calibri"/>
                <w:sz w:val="16"/>
                <w:szCs w:val="16"/>
              </w:rPr>
              <w:t>8,0</w:t>
            </w:r>
          </w:p>
        </w:tc>
        <w:tc>
          <w:tcPr>
            <w:tcW w:w="957" w:type="dxa"/>
            <w:tcBorders>
              <w:top w:val="nil"/>
              <w:left w:val="nil"/>
              <w:bottom w:val="single" w:sz="4" w:space="0" w:color="auto"/>
              <w:right w:val="single" w:sz="4" w:space="0" w:color="auto"/>
            </w:tcBorders>
            <w:shd w:val="clear" w:color="auto" w:fill="auto"/>
            <w:vAlign w:val="center"/>
            <w:hideMark/>
          </w:tcPr>
          <w:p w14:paraId="429E9048" w14:textId="77777777" w:rsidR="004A0B2E" w:rsidRPr="004A0B2E" w:rsidRDefault="004A0B2E" w:rsidP="004A0B2E">
            <w:pPr>
              <w:jc w:val="right"/>
              <w:rPr>
                <w:rFonts w:ascii="Arial Narrow" w:hAnsi="Arial Narrow" w:cs="Calibri"/>
                <w:sz w:val="16"/>
                <w:szCs w:val="16"/>
              </w:rPr>
            </w:pPr>
            <w:r w:rsidRPr="004A0B2E">
              <w:rPr>
                <w:rFonts w:ascii="Arial Narrow" w:hAnsi="Arial Narrow" w:cs="Calibri"/>
                <w:sz w:val="16"/>
                <w:szCs w:val="16"/>
              </w:rPr>
              <w:t>52,5</w:t>
            </w:r>
          </w:p>
        </w:tc>
        <w:tc>
          <w:tcPr>
            <w:tcW w:w="1256" w:type="dxa"/>
            <w:tcBorders>
              <w:top w:val="nil"/>
              <w:left w:val="nil"/>
              <w:bottom w:val="single" w:sz="4" w:space="0" w:color="auto"/>
              <w:right w:val="single" w:sz="4" w:space="0" w:color="auto"/>
            </w:tcBorders>
            <w:shd w:val="clear" w:color="auto" w:fill="auto"/>
            <w:vAlign w:val="center"/>
            <w:hideMark/>
          </w:tcPr>
          <w:p w14:paraId="5811EFA6" w14:textId="77777777" w:rsidR="004A0B2E" w:rsidRPr="004A0B2E" w:rsidRDefault="004A0B2E" w:rsidP="004A0B2E">
            <w:pPr>
              <w:jc w:val="right"/>
              <w:rPr>
                <w:rFonts w:ascii="Arial Narrow" w:hAnsi="Arial Narrow" w:cs="Calibri"/>
                <w:sz w:val="16"/>
                <w:szCs w:val="16"/>
              </w:rPr>
            </w:pPr>
            <w:r w:rsidRPr="004A0B2E">
              <w:rPr>
                <w:rFonts w:ascii="Arial Narrow" w:hAnsi="Arial Narrow" w:cs="Calibri"/>
                <w:sz w:val="16"/>
                <w:szCs w:val="16"/>
              </w:rPr>
              <w:t>7,4</w:t>
            </w:r>
          </w:p>
        </w:tc>
        <w:tc>
          <w:tcPr>
            <w:tcW w:w="872" w:type="dxa"/>
            <w:tcBorders>
              <w:top w:val="nil"/>
              <w:left w:val="nil"/>
              <w:bottom w:val="single" w:sz="4" w:space="0" w:color="auto"/>
              <w:right w:val="single" w:sz="4" w:space="0" w:color="auto"/>
            </w:tcBorders>
            <w:shd w:val="clear" w:color="auto" w:fill="auto"/>
            <w:vAlign w:val="center"/>
            <w:hideMark/>
          </w:tcPr>
          <w:p w14:paraId="432396CF" w14:textId="77777777" w:rsidR="004A0B2E" w:rsidRPr="004A0B2E" w:rsidRDefault="004A0B2E" w:rsidP="004A0B2E">
            <w:pPr>
              <w:jc w:val="right"/>
              <w:rPr>
                <w:rFonts w:ascii="Arial Narrow" w:hAnsi="Arial Narrow" w:cs="Calibri"/>
                <w:sz w:val="16"/>
                <w:szCs w:val="16"/>
              </w:rPr>
            </w:pPr>
            <w:r w:rsidRPr="004A0B2E">
              <w:rPr>
                <w:rFonts w:ascii="Arial Narrow" w:hAnsi="Arial Narrow" w:cs="Calibri"/>
                <w:sz w:val="16"/>
                <w:szCs w:val="16"/>
              </w:rPr>
              <w:t>56,4</w:t>
            </w:r>
          </w:p>
        </w:tc>
      </w:tr>
      <w:tr w:rsidR="004A0B2E" w:rsidRPr="00B10684" w14:paraId="29F0F4B9" w14:textId="77777777" w:rsidTr="005A18A5">
        <w:trPr>
          <w:trHeight w:val="183"/>
        </w:trPr>
        <w:tc>
          <w:tcPr>
            <w:tcW w:w="757" w:type="dxa"/>
            <w:tcBorders>
              <w:top w:val="nil"/>
              <w:left w:val="single" w:sz="4" w:space="0" w:color="auto"/>
              <w:bottom w:val="single" w:sz="4" w:space="0" w:color="auto"/>
              <w:right w:val="single" w:sz="4" w:space="0" w:color="auto"/>
            </w:tcBorders>
            <w:shd w:val="clear" w:color="auto" w:fill="auto"/>
            <w:noWrap/>
            <w:vAlign w:val="center"/>
            <w:hideMark/>
          </w:tcPr>
          <w:p w14:paraId="65090BD1" w14:textId="77777777" w:rsidR="004A0B2E" w:rsidRPr="004A0B2E" w:rsidRDefault="004A0B2E" w:rsidP="004A0B2E">
            <w:pPr>
              <w:rPr>
                <w:rFonts w:ascii="Arial Narrow" w:hAnsi="Arial Narrow" w:cs="Calibri"/>
                <w:sz w:val="16"/>
                <w:szCs w:val="16"/>
              </w:rPr>
            </w:pPr>
            <w:r w:rsidRPr="004A0B2E">
              <w:rPr>
                <w:rFonts w:ascii="Arial Narrow" w:hAnsi="Arial Narrow" w:cs="Calibri"/>
                <w:sz w:val="16"/>
                <w:szCs w:val="16"/>
              </w:rPr>
              <w:t xml:space="preserve"> 09.2</w:t>
            </w:r>
          </w:p>
        </w:tc>
        <w:tc>
          <w:tcPr>
            <w:tcW w:w="5279" w:type="dxa"/>
            <w:tcBorders>
              <w:top w:val="nil"/>
              <w:left w:val="nil"/>
              <w:bottom w:val="single" w:sz="4" w:space="0" w:color="auto"/>
              <w:right w:val="single" w:sz="4" w:space="0" w:color="auto"/>
            </w:tcBorders>
            <w:shd w:val="clear" w:color="auto" w:fill="auto"/>
            <w:vAlign w:val="center"/>
            <w:hideMark/>
          </w:tcPr>
          <w:p w14:paraId="27174F7B" w14:textId="77777777" w:rsidR="004A0B2E" w:rsidRPr="004A0B2E" w:rsidRDefault="004A0B2E" w:rsidP="004A0B2E">
            <w:pPr>
              <w:ind w:firstLineChars="100" w:firstLine="160"/>
              <w:rPr>
                <w:rFonts w:ascii="Arial Narrow" w:hAnsi="Arial Narrow" w:cs="Calibri"/>
                <w:sz w:val="16"/>
                <w:szCs w:val="16"/>
              </w:rPr>
            </w:pPr>
            <w:r w:rsidRPr="004A0B2E">
              <w:rPr>
                <w:rFonts w:ascii="Arial Narrow" w:hAnsi="Arial Narrow" w:cs="Calibri"/>
                <w:sz w:val="16"/>
                <w:szCs w:val="16"/>
              </w:rPr>
              <w:t>Семена</w:t>
            </w:r>
          </w:p>
        </w:tc>
        <w:tc>
          <w:tcPr>
            <w:tcW w:w="957" w:type="dxa"/>
            <w:tcBorders>
              <w:top w:val="nil"/>
              <w:left w:val="nil"/>
              <w:bottom w:val="single" w:sz="4" w:space="0" w:color="auto"/>
              <w:right w:val="single" w:sz="4" w:space="0" w:color="auto"/>
            </w:tcBorders>
            <w:shd w:val="clear" w:color="auto" w:fill="auto"/>
            <w:vAlign w:val="center"/>
            <w:hideMark/>
          </w:tcPr>
          <w:p w14:paraId="4450F381" w14:textId="77777777" w:rsidR="004A0B2E" w:rsidRPr="004A0B2E" w:rsidRDefault="004A0B2E" w:rsidP="004A0B2E">
            <w:pPr>
              <w:jc w:val="right"/>
              <w:rPr>
                <w:rFonts w:ascii="Arial Narrow" w:hAnsi="Arial Narrow" w:cs="Calibri"/>
                <w:sz w:val="16"/>
                <w:szCs w:val="16"/>
              </w:rPr>
            </w:pPr>
            <w:r w:rsidRPr="004A0B2E">
              <w:rPr>
                <w:rFonts w:ascii="Arial Narrow" w:hAnsi="Arial Narrow" w:cs="Calibri"/>
                <w:sz w:val="16"/>
                <w:szCs w:val="16"/>
              </w:rPr>
              <w:t>48,6</w:t>
            </w:r>
          </w:p>
        </w:tc>
        <w:tc>
          <w:tcPr>
            <w:tcW w:w="1118" w:type="dxa"/>
            <w:tcBorders>
              <w:top w:val="nil"/>
              <w:left w:val="nil"/>
              <w:bottom w:val="single" w:sz="4" w:space="0" w:color="auto"/>
              <w:right w:val="single" w:sz="4" w:space="0" w:color="auto"/>
            </w:tcBorders>
            <w:shd w:val="clear" w:color="auto" w:fill="auto"/>
            <w:vAlign w:val="center"/>
            <w:hideMark/>
          </w:tcPr>
          <w:p w14:paraId="709A8330" w14:textId="77777777" w:rsidR="004A0B2E" w:rsidRPr="004A0B2E" w:rsidRDefault="004A0B2E" w:rsidP="004A0B2E">
            <w:pPr>
              <w:jc w:val="right"/>
              <w:rPr>
                <w:rFonts w:ascii="Arial Narrow" w:hAnsi="Arial Narrow" w:cs="Calibri"/>
                <w:sz w:val="16"/>
                <w:szCs w:val="16"/>
              </w:rPr>
            </w:pPr>
            <w:r w:rsidRPr="004A0B2E">
              <w:rPr>
                <w:rFonts w:ascii="Arial Narrow" w:hAnsi="Arial Narrow" w:cs="Calibri"/>
                <w:sz w:val="16"/>
                <w:szCs w:val="16"/>
              </w:rPr>
              <w:t>8,0</w:t>
            </w:r>
          </w:p>
        </w:tc>
        <w:tc>
          <w:tcPr>
            <w:tcW w:w="957" w:type="dxa"/>
            <w:tcBorders>
              <w:top w:val="nil"/>
              <w:left w:val="nil"/>
              <w:bottom w:val="single" w:sz="4" w:space="0" w:color="auto"/>
              <w:right w:val="single" w:sz="4" w:space="0" w:color="auto"/>
            </w:tcBorders>
            <w:shd w:val="clear" w:color="auto" w:fill="auto"/>
            <w:vAlign w:val="center"/>
            <w:hideMark/>
          </w:tcPr>
          <w:p w14:paraId="72A7B4C8" w14:textId="77777777" w:rsidR="004A0B2E" w:rsidRPr="004A0B2E" w:rsidRDefault="004A0B2E" w:rsidP="004A0B2E">
            <w:pPr>
              <w:jc w:val="right"/>
              <w:rPr>
                <w:rFonts w:ascii="Arial Narrow" w:hAnsi="Arial Narrow" w:cs="Calibri"/>
                <w:sz w:val="16"/>
                <w:szCs w:val="16"/>
              </w:rPr>
            </w:pPr>
            <w:r w:rsidRPr="004A0B2E">
              <w:rPr>
                <w:rFonts w:ascii="Arial Narrow" w:hAnsi="Arial Narrow" w:cs="Calibri"/>
                <w:sz w:val="16"/>
                <w:szCs w:val="16"/>
              </w:rPr>
              <w:t>52,5</w:t>
            </w:r>
          </w:p>
        </w:tc>
        <w:tc>
          <w:tcPr>
            <w:tcW w:w="1256" w:type="dxa"/>
            <w:tcBorders>
              <w:top w:val="nil"/>
              <w:left w:val="nil"/>
              <w:bottom w:val="single" w:sz="4" w:space="0" w:color="auto"/>
              <w:right w:val="single" w:sz="4" w:space="0" w:color="auto"/>
            </w:tcBorders>
            <w:shd w:val="clear" w:color="auto" w:fill="auto"/>
            <w:vAlign w:val="center"/>
            <w:hideMark/>
          </w:tcPr>
          <w:p w14:paraId="26CF4FAC" w14:textId="77777777" w:rsidR="004A0B2E" w:rsidRPr="004A0B2E" w:rsidRDefault="004A0B2E" w:rsidP="004A0B2E">
            <w:pPr>
              <w:jc w:val="right"/>
              <w:rPr>
                <w:rFonts w:ascii="Arial Narrow" w:hAnsi="Arial Narrow" w:cs="Calibri"/>
                <w:sz w:val="16"/>
                <w:szCs w:val="16"/>
              </w:rPr>
            </w:pPr>
            <w:r w:rsidRPr="004A0B2E">
              <w:rPr>
                <w:rFonts w:ascii="Arial Narrow" w:hAnsi="Arial Narrow" w:cs="Calibri"/>
                <w:sz w:val="16"/>
                <w:szCs w:val="16"/>
              </w:rPr>
              <w:t>7,4</w:t>
            </w:r>
          </w:p>
        </w:tc>
        <w:tc>
          <w:tcPr>
            <w:tcW w:w="872" w:type="dxa"/>
            <w:tcBorders>
              <w:top w:val="nil"/>
              <w:left w:val="nil"/>
              <w:bottom w:val="single" w:sz="4" w:space="0" w:color="auto"/>
              <w:right w:val="single" w:sz="4" w:space="0" w:color="auto"/>
            </w:tcBorders>
            <w:shd w:val="clear" w:color="auto" w:fill="auto"/>
            <w:vAlign w:val="center"/>
            <w:hideMark/>
          </w:tcPr>
          <w:p w14:paraId="7A304C6D" w14:textId="77777777" w:rsidR="004A0B2E" w:rsidRPr="004A0B2E" w:rsidRDefault="004A0B2E" w:rsidP="004A0B2E">
            <w:pPr>
              <w:jc w:val="right"/>
              <w:rPr>
                <w:rFonts w:ascii="Arial Narrow" w:hAnsi="Arial Narrow" w:cs="Calibri"/>
                <w:sz w:val="16"/>
                <w:szCs w:val="16"/>
              </w:rPr>
            </w:pPr>
            <w:r w:rsidRPr="004A0B2E">
              <w:rPr>
                <w:rFonts w:ascii="Arial Narrow" w:hAnsi="Arial Narrow" w:cs="Calibri"/>
                <w:sz w:val="16"/>
                <w:szCs w:val="16"/>
              </w:rPr>
              <w:t>56,4</w:t>
            </w:r>
          </w:p>
        </w:tc>
      </w:tr>
      <w:tr w:rsidR="004A0B2E" w:rsidRPr="00B10684" w14:paraId="4A232A50" w14:textId="77777777" w:rsidTr="005A18A5">
        <w:trPr>
          <w:trHeight w:val="183"/>
        </w:trPr>
        <w:tc>
          <w:tcPr>
            <w:tcW w:w="757" w:type="dxa"/>
            <w:tcBorders>
              <w:top w:val="nil"/>
              <w:left w:val="single" w:sz="4" w:space="0" w:color="auto"/>
              <w:bottom w:val="single" w:sz="4" w:space="0" w:color="auto"/>
              <w:right w:val="single" w:sz="4" w:space="0" w:color="auto"/>
            </w:tcBorders>
            <w:shd w:val="clear" w:color="auto" w:fill="auto"/>
            <w:noWrap/>
            <w:vAlign w:val="center"/>
            <w:hideMark/>
          </w:tcPr>
          <w:p w14:paraId="1BE93241" w14:textId="77777777" w:rsidR="004A0B2E" w:rsidRPr="004A0B2E" w:rsidRDefault="004A0B2E" w:rsidP="004A0B2E">
            <w:pPr>
              <w:rPr>
                <w:rFonts w:ascii="Arial Narrow" w:hAnsi="Arial Narrow" w:cs="Calibri"/>
                <w:sz w:val="16"/>
                <w:szCs w:val="16"/>
              </w:rPr>
            </w:pPr>
            <w:r w:rsidRPr="004A0B2E">
              <w:rPr>
                <w:rFonts w:ascii="Arial Narrow" w:hAnsi="Arial Narrow" w:cs="Calibri"/>
                <w:sz w:val="16"/>
                <w:szCs w:val="16"/>
              </w:rPr>
              <w:t xml:space="preserve"> 09.3</w:t>
            </w:r>
          </w:p>
        </w:tc>
        <w:tc>
          <w:tcPr>
            <w:tcW w:w="5279" w:type="dxa"/>
            <w:tcBorders>
              <w:top w:val="nil"/>
              <w:left w:val="nil"/>
              <w:bottom w:val="single" w:sz="4" w:space="0" w:color="auto"/>
              <w:right w:val="single" w:sz="4" w:space="0" w:color="auto"/>
            </w:tcBorders>
            <w:shd w:val="clear" w:color="auto" w:fill="auto"/>
            <w:vAlign w:val="center"/>
            <w:hideMark/>
          </w:tcPr>
          <w:p w14:paraId="5C39A14F" w14:textId="77777777" w:rsidR="004A0B2E" w:rsidRPr="004A0B2E" w:rsidRDefault="004A0B2E" w:rsidP="004A0B2E">
            <w:pPr>
              <w:ind w:firstLineChars="100" w:firstLine="160"/>
              <w:rPr>
                <w:rFonts w:ascii="Arial Narrow" w:hAnsi="Arial Narrow" w:cs="Calibri"/>
                <w:sz w:val="16"/>
                <w:szCs w:val="16"/>
              </w:rPr>
            </w:pPr>
            <w:r w:rsidRPr="004A0B2E">
              <w:rPr>
                <w:rFonts w:ascii="Arial Narrow" w:hAnsi="Arial Narrow" w:cs="Calibri"/>
                <w:sz w:val="16"/>
                <w:szCs w:val="16"/>
              </w:rPr>
              <w:t>Други растениевъдни продукти</w:t>
            </w:r>
          </w:p>
        </w:tc>
        <w:tc>
          <w:tcPr>
            <w:tcW w:w="957" w:type="dxa"/>
            <w:tcBorders>
              <w:top w:val="nil"/>
              <w:left w:val="nil"/>
              <w:bottom w:val="single" w:sz="4" w:space="0" w:color="auto"/>
              <w:right w:val="single" w:sz="4" w:space="0" w:color="auto"/>
            </w:tcBorders>
            <w:shd w:val="clear" w:color="auto" w:fill="auto"/>
            <w:vAlign w:val="center"/>
            <w:hideMark/>
          </w:tcPr>
          <w:p w14:paraId="29EE284C" w14:textId="77777777" w:rsidR="004A0B2E" w:rsidRPr="004A0B2E" w:rsidRDefault="004A0B2E" w:rsidP="004A0B2E">
            <w:pPr>
              <w:rPr>
                <w:rFonts w:ascii="Arial Narrow" w:hAnsi="Arial Narrow" w:cs="Calibri"/>
                <w:sz w:val="16"/>
                <w:szCs w:val="16"/>
              </w:rPr>
            </w:pPr>
            <w:r w:rsidRPr="004A0B2E">
              <w:rPr>
                <w:rFonts w:ascii="Arial Narrow" w:hAnsi="Arial Narrow" w:cs="Calibri"/>
                <w:sz w:val="16"/>
                <w:szCs w:val="16"/>
              </w:rPr>
              <w:t> </w:t>
            </w:r>
          </w:p>
        </w:tc>
        <w:tc>
          <w:tcPr>
            <w:tcW w:w="1118" w:type="dxa"/>
            <w:tcBorders>
              <w:top w:val="nil"/>
              <w:left w:val="nil"/>
              <w:bottom w:val="single" w:sz="4" w:space="0" w:color="auto"/>
              <w:right w:val="single" w:sz="4" w:space="0" w:color="auto"/>
            </w:tcBorders>
            <w:shd w:val="clear" w:color="auto" w:fill="auto"/>
            <w:vAlign w:val="center"/>
            <w:hideMark/>
          </w:tcPr>
          <w:p w14:paraId="308CA1DC" w14:textId="77777777" w:rsidR="004A0B2E" w:rsidRPr="004A0B2E" w:rsidRDefault="004A0B2E" w:rsidP="004A0B2E">
            <w:pPr>
              <w:rPr>
                <w:rFonts w:ascii="Arial Narrow" w:hAnsi="Arial Narrow" w:cs="Calibri"/>
                <w:sz w:val="16"/>
                <w:szCs w:val="16"/>
              </w:rPr>
            </w:pPr>
            <w:r w:rsidRPr="004A0B2E">
              <w:rPr>
                <w:rFonts w:ascii="Arial Narrow" w:hAnsi="Arial Narrow" w:cs="Calibri"/>
                <w:sz w:val="16"/>
                <w:szCs w:val="16"/>
              </w:rPr>
              <w:t> </w:t>
            </w:r>
          </w:p>
        </w:tc>
        <w:tc>
          <w:tcPr>
            <w:tcW w:w="957" w:type="dxa"/>
            <w:tcBorders>
              <w:top w:val="nil"/>
              <w:left w:val="nil"/>
              <w:bottom w:val="single" w:sz="4" w:space="0" w:color="auto"/>
              <w:right w:val="single" w:sz="4" w:space="0" w:color="auto"/>
            </w:tcBorders>
            <w:shd w:val="clear" w:color="auto" w:fill="auto"/>
            <w:vAlign w:val="center"/>
            <w:hideMark/>
          </w:tcPr>
          <w:p w14:paraId="1E2A3BE2" w14:textId="77777777" w:rsidR="004A0B2E" w:rsidRPr="004A0B2E" w:rsidRDefault="004A0B2E" w:rsidP="004A0B2E">
            <w:pPr>
              <w:rPr>
                <w:rFonts w:ascii="Arial Narrow" w:hAnsi="Arial Narrow" w:cs="Calibri"/>
                <w:sz w:val="16"/>
                <w:szCs w:val="16"/>
              </w:rPr>
            </w:pPr>
            <w:r w:rsidRPr="004A0B2E">
              <w:rPr>
                <w:rFonts w:ascii="Arial Narrow" w:hAnsi="Arial Narrow" w:cs="Calibri"/>
                <w:sz w:val="16"/>
                <w:szCs w:val="16"/>
              </w:rPr>
              <w:t> </w:t>
            </w:r>
          </w:p>
        </w:tc>
        <w:tc>
          <w:tcPr>
            <w:tcW w:w="1256" w:type="dxa"/>
            <w:tcBorders>
              <w:top w:val="nil"/>
              <w:left w:val="nil"/>
              <w:bottom w:val="single" w:sz="4" w:space="0" w:color="auto"/>
              <w:right w:val="single" w:sz="4" w:space="0" w:color="auto"/>
            </w:tcBorders>
            <w:shd w:val="clear" w:color="auto" w:fill="auto"/>
            <w:vAlign w:val="center"/>
            <w:hideMark/>
          </w:tcPr>
          <w:p w14:paraId="5548011A" w14:textId="77777777" w:rsidR="004A0B2E" w:rsidRPr="004A0B2E" w:rsidRDefault="004A0B2E" w:rsidP="004A0B2E">
            <w:pPr>
              <w:rPr>
                <w:rFonts w:ascii="Arial Narrow" w:hAnsi="Arial Narrow" w:cs="Calibri"/>
                <w:sz w:val="16"/>
                <w:szCs w:val="16"/>
              </w:rPr>
            </w:pPr>
            <w:r w:rsidRPr="004A0B2E">
              <w:rPr>
                <w:rFonts w:ascii="Arial Narrow" w:hAnsi="Arial Narrow" w:cs="Calibri"/>
                <w:sz w:val="16"/>
                <w:szCs w:val="16"/>
              </w:rPr>
              <w:t> </w:t>
            </w:r>
          </w:p>
        </w:tc>
        <w:tc>
          <w:tcPr>
            <w:tcW w:w="872" w:type="dxa"/>
            <w:tcBorders>
              <w:top w:val="nil"/>
              <w:left w:val="nil"/>
              <w:bottom w:val="single" w:sz="4" w:space="0" w:color="auto"/>
              <w:right w:val="single" w:sz="4" w:space="0" w:color="auto"/>
            </w:tcBorders>
            <w:shd w:val="clear" w:color="auto" w:fill="auto"/>
            <w:vAlign w:val="center"/>
            <w:hideMark/>
          </w:tcPr>
          <w:p w14:paraId="465F1E88" w14:textId="77777777" w:rsidR="004A0B2E" w:rsidRPr="004A0B2E" w:rsidRDefault="004A0B2E" w:rsidP="004A0B2E">
            <w:pPr>
              <w:jc w:val="right"/>
              <w:rPr>
                <w:rFonts w:ascii="Arial Narrow" w:hAnsi="Arial Narrow" w:cs="Calibri"/>
                <w:sz w:val="16"/>
                <w:szCs w:val="16"/>
              </w:rPr>
            </w:pPr>
          </w:p>
        </w:tc>
      </w:tr>
      <w:tr w:rsidR="004A0B2E" w:rsidRPr="00B10684" w14:paraId="65FF7295" w14:textId="77777777" w:rsidTr="005A18A5">
        <w:trPr>
          <w:trHeight w:val="319"/>
        </w:trPr>
        <w:tc>
          <w:tcPr>
            <w:tcW w:w="757" w:type="dxa"/>
            <w:tcBorders>
              <w:top w:val="nil"/>
              <w:left w:val="single" w:sz="4" w:space="0" w:color="auto"/>
              <w:bottom w:val="single" w:sz="4" w:space="0" w:color="auto"/>
              <w:right w:val="single" w:sz="4" w:space="0" w:color="auto"/>
            </w:tcBorders>
            <w:shd w:val="clear" w:color="auto" w:fill="auto"/>
            <w:noWrap/>
            <w:vAlign w:val="center"/>
            <w:hideMark/>
          </w:tcPr>
          <w:p w14:paraId="421B0FE9" w14:textId="77777777" w:rsidR="004A0B2E" w:rsidRPr="004A0B2E" w:rsidRDefault="004A0B2E" w:rsidP="004A0B2E">
            <w:pPr>
              <w:rPr>
                <w:rFonts w:ascii="Arial Narrow" w:hAnsi="Arial Narrow" w:cs="Calibri"/>
                <w:b/>
                <w:bCs/>
                <w:sz w:val="16"/>
                <w:szCs w:val="16"/>
              </w:rPr>
            </w:pPr>
            <w:r w:rsidRPr="004A0B2E">
              <w:rPr>
                <w:rFonts w:ascii="Arial Narrow" w:hAnsi="Arial Narrow" w:cs="Calibri"/>
                <w:b/>
                <w:bCs/>
                <w:sz w:val="16"/>
                <w:szCs w:val="16"/>
              </w:rPr>
              <w:t xml:space="preserve"> 10</w:t>
            </w:r>
          </w:p>
        </w:tc>
        <w:tc>
          <w:tcPr>
            <w:tcW w:w="5279" w:type="dxa"/>
            <w:tcBorders>
              <w:top w:val="nil"/>
              <w:left w:val="nil"/>
              <w:bottom w:val="single" w:sz="4" w:space="0" w:color="auto"/>
              <w:right w:val="single" w:sz="4" w:space="0" w:color="auto"/>
            </w:tcBorders>
            <w:shd w:val="clear" w:color="auto" w:fill="auto"/>
            <w:vAlign w:val="center"/>
            <w:hideMark/>
          </w:tcPr>
          <w:p w14:paraId="233E371C" w14:textId="77777777" w:rsidR="004A0B2E" w:rsidRPr="004A0B2E" w:rsidRDefault="004A0B2E" w:rsidP="004A0B2E">
            <w:pPr>
              <w:rPr>
                <w:rFonts w:ascii="Arial Narrow" w:hAnsi="Arial Narrow" w:cs="Calibri"/>
                <w:b/>
                <w:bCs/>
                <w:sz w:val="16"/>
                <w:szCs w:val="16"/>
              </w:rPr>
            </w:pPr>
            <w:r w:rsidRPr="004A0B2E">
              <w:rPr>
                <w:rFonts w:ascii="Arial Narrow" w:hAnsi="Arial Narrow" w:cs="Calibri"/>
                <w:b/>
                <w:bCs/>
                <w:sz w:val="16"/>
                <w:szCs w:val="16"/>
              </w:rPr>
              <w:t>Продукция от растениевъдството (от 01 до 09)</w:t>
            </w:r>
          </w:p>
        </w:tc>
        <w:tc>
          <w:tcPr>
            <w:tcW w:w="957" w:type="dxa"/>
            <w:tcBorders>
              <w:top w:val="nil"/>
              <w:left w:val="nil"/>
              <w:bottom w:val="single" w:sz="4" w:space="0" w:color="auto"/>
              <w:right w:val="single" w:sz="4" w:space="0" w:color="auto"/>
            </w:tcBorders>
            <w:shd w:val="clear" w:color="auto" w:fill="auto"/>
            <w:vAlign w:val="center"/>
            <w:hideMark/>
          </w:tcPr>
          <w:p w14:paraId="24D5025E" w14:textId="77777777" w:rsidR="004A0B2E" w:rsidRPr="004A0B2E" w:rsidRDefault="004A0B2E" w:rsidP="004A0B2E">
            <w:pPr>
              <w:jc w:val="right"/>
              <w:rPr>
                <w:rFonts w:ascii="Arial Narrow" w:hAnsi="Arial Narrow" w:cs="Calibri"/>
                <w:b/>
                <w:bCs/>
                <w:sz w:val="16"/>
                <w:szCs w:val="16"/>
              </w:rPr>
            </w:pPr>
            <w:r w:rsidRPr="004A0B2E">
              <w:rPr>
                <w:rFonts w:ascii="Arial Narrow" w:hAnsi="Arial Narrow" w:cs="Calibri"/>
                <w:b/>
                <w:bCs/>
                <w:sz w:val="16"/>
                <w:szCs w:val="16"/>
              </w:rPr>
              <w:t>9 796,1</w:t>
            </w:r>
          </w:p>
        </w:tc>
        <w:tc>
          <w:tcPr>
            <w:tcW w:w="1118" w:type="dxa"/>
            <w:tcBorders>
              <w:top w:val="nil"/>
              <w:left w:val="nil"/>
              <w:bottom w:val="single" w:sz="4" w:space="0" w:color="auto"/>
              <w:right w:val="single" w:sz="4" w:space="0" w:color="auto"/>
            </w:tcBorders>
            <w:shd w:val="clear" w:color="auto" w:fill="auto"/>
            <w:vAlign w:val="center"/>
            <w:hideMark/>
          </w:tcPr>
          <w:p w14:paraId="1AC897C8" w14:textId="77777777" w:rsidR="004A0B2E" w:rsidRPr="004A0B2E" w:rsidRDefault="004A0B2E" w:rsidP="004A0B2E">
            <w:pPr>
              <w:jc w:val="right"/>
              <w:rPr>
                <w:rFonts w:ascii="Arial Narrow" w:hAnsi="Arial Narrow" w:cs="Calibri"/>
                <w:b/>
                <w:bCs/>
                <w:sz w:val="16"/>
                <w:szCs w:val="16"/>
              </w:rPr>
            </w:pPr>
            <w:r w:rsidRPr="004A0B2E">
              <w:rPr>
                <w:rFonts w:ascii="Arial Narrow" w:hAnsi="Arial Narrow" w:cs="Calibri"/>
                <w:b/>
                <w:bCs/>
                <w:sz w:val="16"/>
                <w:szCs w:val="16"/>
              </w:rPr>
              <w:t>-27,1</w:t>
            </w:r>
          </w:p>
        </w:tc>
        <w:tc>
          <w:tcPr>
            <w:tcW w:w="957" w:type="dxa"/>
            <w:tcBorders>
              <w:top w:val="nil"/>
              <w:left w:val="nil"/>
              <w:bottom w:val="single" w:sz="4" w:space="0" w:color="auto"/>
              <w:right w:val="single" w:sz="4" w:space="0" w:color="auto"/>
            </w:tcBorders>
            <w:shd w:val="clear" w:color="auto" w:fill="auto"/>
            <w:vAlign w:val="center"/>
            <w:hideMark/>
          </w:tcPr>
          <w:p w14:paraId="1C73A003" w14:textId="77777777" w:rsidR="004A0B2E" w:rsidRPr="004A0B2E" w:rsidRDefault="004A0B2E" w:rsidP="004A0B2E">
            <w:pPr>
              <w:jc w:val="right"/>
              <w:rPr>
                <w:rFonts w:ascii="Arial Narrow" w:hAnsi="Arial Narrow" w:cs="Calibri"/>
                <w:b/>
                <w:bCs/>
                <w:sz w:val="16"/>
                <w:szCs w:val="16"/>
              </w:rPr>
            </w:pPr>
            <w:r w:rsidRPr="004A0B2E">
              <w:rPr>
                <w:rFonts w:ascii="Arial Narrow" w:hAnsi="Arial Narrow" w:cs="Calibri"/>
                <w:b/>
                <w:bCs/>
                <w:sz w:val="16"/>
                <w:szCs w:val="16"/>
              </w:rPr>
              <w:t>7 137,9</w:t>
            </w:r>
          </w:p>
        </w:tc>
        <w:tc>
          <w:tcPr>
            <w:tcW w:w="1256" w:type="dxa"/>
            <w:tcBorders>
              <w:top w:val="nil"/>
              <w:left w:val="nil"/>
              <w:bottom w:val="single" w:sz="4" w:space="0" w:color="auto"/>
              <w:right w:val="single" w:sz="4" w:space="0" w:color="auto"/>
            </w:tcBorders>
            <w:shd w:val="clear" w:color="auto" w:fill="auto"/>
            <w:vAlign w:val="center"/>
            <w:hideMark/>
          </w:tcPr>
          <w:p w14:paraId="1ACE4A17" w14:textId="77777777" w:rsidR="004A0B2E" w:rsidRPr="004A0B2E" w:rsidRDefault="004A0B2E" w:rsidP="004A0B2E">
            <w:pPr>
              <w:jc w:val="right"/>
              <w:rPr>
                <w:rFonts w:ascii="Arial Narrow" w:hAnsi="Arial Narrow" w:cs="Calibri"/>
                <w:b/>
                <w:bCs/>
                <w:sz w:val="16"/>
                <w:szCs w:val="16"/>
              </w:rPr>
            </w:pPr>
            <w:r w:rsidRPr="004A0B2E">
              <w:rPr>
                <w:rFonts w:ascii="Arial Narrow" w:hAnsi="Arial Narrow" w:cs="Calibri"/>
                <w:b/>
                <w:bCs/>
                <w:sz w:val="16"/>
                <w:szCs w:val="16"/>
              </w:rPr>
              <w:t>-9,5</w:t>
            </w:r>
          </w:p>
        </w:tc>
        <w:tc>
          <w:tcPr>
            <w:tcW w:w="872" w:type="dxa"/>
            <w:tcBorders>
              <w:top w:val="nil"/>
              <w:left w:val="nil"/>
              <w:bottom w:val="single" w:sz="4" w:space="0" w:color="auto"/>
              <w:right w:val="single" w:sz="4" w:space="0" w:color="auto"/>
            </w:tcBorders>
            <w:shd w:val="clear" w:color="auto" w:fill="auto"/>
            <w:vAlign w:val="center"/>
            <w:hideMark/>
          </w:tcPr>
          <w:p w14:paraId="76FD1444" w14:textId="77777777" w:rsidR="004A0B2E" w:rsidRPr="004A0B2E" w:rsidRDefault="004A0B2E" w:rsidP="004A0B2E">
            <w:pPr>
              <w:jc w:val="right"/>
              <w:rPr>
                <w:rFonts w:ascii="Arial Narrow" w:hAnsi="Arial Narrow" w:cs="Calibri"/>
                <w:b/>
                <w:bCs/>
                <w:sz w:val="16"/>
                <w:szCs w:val="16"/>
              </w:rPr>
            </w:pPr>
            <w:r w:rsidRPr="004A0B2E">
              <w:rPr>
                <w:rFonts w:ascii="Arial Narrow" w:hAnsi="Arial Narrow" w:cs="Calibri"/>
                <w:b/>
                <w:bCs/>
                <w:sz w:val="16"/>
                <w:szCs w:val="16"/>
              </w:rPr>
              <w:t>6 456,7</w:t>
            </w:r>
          </w:p>
        </w:tc>
      </w:tr>
      <w:tr w:rsidR="004A0B2E" w:rsidRPr="00B10684" w14:paraId="6E62EDD6" w14:textId="77777777" w:rsidTr="005A18A5">
        <w:trPr>
          <w:trHeight w:val="183"/>
        </w:trPr>
        <w:tc>
          <w:tcPr>
            <w:tcW w:w="757" w:type="dxa"/>
            <w:tcBorders>
              <w:top w:val="nil"/>
              <w:left w:val="single" w:sz="4" w:space="0" w:color="auto"/>
              <w:bottom w:val="single" w:sz="4" w:space="0" w:color="auto"/>
              <w:right w:val="single" w:sz="4" w:space="0" w:color="auto"/>
            </w:tcBorders>
            <w:shd w:val="clear" w:color="auto" w:fill="auto"/>
            <w:noWrap/>
            <w:vAlign w:val="center"/>
            <w:hideMark/>
          </w:tcPr>
          <w:p w14:paraId="13DB9DF7" w14:textId="77777777" w:rsidR="004A0B2E" w:rsidRPr="004A0B2E" w:rsidRDefault="004A0B2E" w:rsidP="004A0B2E">
            <w:pPr>
              <w:rPr>
                <w:rFonts w:ascii="Arial Narrow" w:hAnsi="Arial Narrow" w:cs="Calibri"/>
                <w:sz w:val="16"/>
                <w:szCs w:val="16"/>
              </w:rPr>
            </w:pPr>
            <w:r w:rsidRPr="004A0B2E">
              <w:rPr>
                <w:rFonts w:ascii="Arial Narrow" w:hAnsi="Arial Narrow" w:cs="Calibri"/>
                <w:sz w:val="16"/>
                <w:szCs w:val="16"/>
              </w:rPr>
              <w:t xml:space="preserve"> 11</w:t>
            </w:r>
          </w:p>
        </w:tc>
        <w:tc>
          <w:tcPr>
            <w:tcW w:w="5279" w:type="dxa"/>
            <w:tcBorders>
              <w:top w:val="nil"/>
              <w:left w:val="nil"/>
              <w:bottom w:val="single" w:sz="4" w:space="0" w:color="auto"/>
              <w:right w:val="single" w:sz="4" w:space="0" w:color="auto"/>
            </w:tcBorders>
            <w:shd w:val="clear" w:color="auto" w:fill="auto"/>
            <w:vAlign w:val="center"/>
            <w:hideMark/>
          </w:tcPr>
          <w:p w14:paraId="6B47CC6B" w14:textId="77777777" w:rsidR="004A0B2E" w:rsidRPr="004A0B2E" w:rsidRDefault="004A0B2E" w:rsidP="004A0B2E">
            <w:pPr>
              <w:rPr>
                <w:rFonts w:ascii="Arial Narrow" w:hAnsi="Arial Narrow" w:cs="Calibri"/>
                <w:sz w:val="16"/>
                <w:szCs w:val="16"/>
              </w:rPr>
            </w:pPr>
            <w:r w:rsidRPr="004A0B2E">
              <w:rPr>
                <w:rFonts w:ascii="Arial Narrow" w:hAnsi="Arial Narrow" w:cs="Calibri"/>
                <w:sz w:val="16"/>
                <w:szCs w:val="16"/>
              </w:rPr>
              <w:t>Селскостопански животни</w:t>
            </w:r>
          </w:p>
        </w:tc>
        <w:tc>
          <w:tcPr>
            <w:tcW w:w="957" w:type="dxa"/>
            <w:tcBorders>
              <w:top w:val="nil"/>
              <w:left w:val="nil"/>
              <w:bottom w:val="single" w:sz="4" w:space="0" w:color="auto"/>
              <w:right w:val="single" w:sz="4" w:space="0" w:color="auto"/>
            </w:tcBorders>
            <w:shd w:val="clear" w:color="auto" w:fill="auto"/>
            <w:vAlign w:val="center"/>
            <w:hideMark/>
          </w:tcPr>
          <w:p w14:paraId="3C7A0DD9" w14:textId="77777777" w:rsidR="004A0B2E" w:rsidRPr="004A0B2E" w:rsidRDefault="004A0B2E" w:rsidP="004A0B2E">
            <w:pPr>
              <w:jc w:val="right"/>
              <w:rPr>
                <w:rFonts w:ascii="Arial Narrow" w:hAnsi="Arial Narrow" w:cs="Calibri"/>
                <w:sz w:val="16"/>
                <w:szCs w:val="16"/>
              </w:rPr>
            </w:pPr>
            <w:r w:rsidRPr="004A0B2E">
              <w:rPr>
                <w:rFonts w:ascii="Arial Narrow" w:hAnsi="Arial Narrow" w:cs="Calibri"/>
                <w:sz w:val="16"/>
                <w:szCs w:val="16"/>
              </w:rPr>
              <w:t>1 076,6</w:t>
            </w:r>
          </w:p>
        </w:tc>
        <w:tc>
          <w:tcPr>
            <w:tcW w:w="1118" w:type="dxa"/>
            <w:tcBorders>
              <w:top w:val="nil"/>
              <w:left w:val="nil"/>
              <w:bottom w:val="single" w:sz="4" w:space="0" w:color="auto"/>
              <w:right w:val="single" w:sz="4" w:space="0" w:color="auto"/>
            </w:tcBorders>
            <w:shd w:val="clear" w:color="auto" w:fill="auto"/>
            <w:vAlign w:val="center"/>
            <w:hideMark/>
          </w:tcPr>
          <w:p w14:paraId="317203BE" w14:textId="77777777" w:rsidR="004A0B2E" w:rsidRPr="004A0B2E" w:rsidRDefault="004A0B2E" w:rsidP="004A0B2E">
            <w:pPr>
              <w:jc w:val="right"/>
              <w:rPr>
                <w:rFonts w:ascii="Arial Narrow" w:hAnsi="Arial Narrow" w:cs="Calibri"/>
                <w:sz w:val="16"/>
                <w:szCs w:val="16"/>
              </w:rPr>
            </w:pPr>
            <w:r w:rsidRPr="004A0B2E">
              <w:rPr>
                <w:rFonts w:ascii="Arial Narrow" w:hAnsi="Arial Narrow" w:cs="Calibri"/>
                <w:sz w:val="16"/>
                <w:szCs w:val="16"/>
              </w:rPr>
              <w:t>18,7</w:t>
            </w:r>
          </w:p>
        </w:tc>
        <w:tc>
          <w:tcPr>
            <w:tcW w:w="957" w:type="dxa"/>
            <w:tcBorders>
              <w:top w:val="nil"/>
              <w:left w:val="nil"/>
              <w:bottom w:val="single" w:sz="4" w:space="0" w:color="auto"/>
              <w:right w:val="single" w:sz="4" w:space="0" w:color="auto"/>
            </w:tcBorders>
            <w:shd w:val="clear" w:color="auto" w:fill="auto"/>
            <w:vAlign w:val="center"/>
            <w:hideMark/>
          </w:tcPr>
          <w:p w14:paraId="7E06558E" w14:textId="77777777" w:rsidR="004A0B2E" w:rsidRPr="004A0B2E" w:rsidRDefault="004A0B2E" w:rsidP="004A0B2E">
            <w:pPr>
              <w:jc w:val="right"/>
              <w:rPr>
                <w:rFonts w:ascii="Arial Narrow" w:hAnsi="Arial Narrow" w:cs="Calibri"/>
                <w:sz w:val="16"/>
                <w:szCs w:val="16"/>
              </w:rPr>
            </w:pPr>
            <w:r w:rsidRPr="004A0B2E">
              <w:rPr>
                <w:rFonts w:ascii="Arial Narrow" w:hAnsi="Arial Narrow" w:cs="Calibri"/>
                <w:sz w:val="16"/>
                <w:szCs w:val="16"/>
              </w:rPr>
              <w:t>1 277,6</w:t>
            </w:r>
          </w:p>
        </w:tc>
        <w:tc>
          <w:tcPr>
            <w:tcW w:w="1256" w:type="dxa"/>
            <w:tcBorders>
              <w:top w:val="nil"/>
              <w:left w:val="nil"/>
              <w:bottom w:val="single" w:sz="4" w:space="0" w:color="auto"/>
              <w:right w:val="single" w:sz="4" w:space="0" w:color="auto"/>
            </w:tcBorders>
            <w:shd w:val="clear" w:color="auto" w:fill="auto"/>
            <w:vAlign w:val="center"/>
            <w:hideMark/>
          </w:tcPr>
          <w:p w14:paraId="540D1801" w14:textId="77777777" w:rsidR="004A0B2E" w:rsidRPr="004A0B2E" w:rsidRDefault="004A0B2E" w:rsidP="004A0B2E">
            <w:pPr>
              <w:jc w:val="right"/>
              <w:rPr>
                <w:rFonts w:ascii="Arial Narrow" w:hAnsi="Arial Narrow" w:cs="Calibri"/>
                <w:sz w:val="16"/>
                <w:szCs w:val="16"/>
              </w:rPr>
            </w:pPr>
            <w:r w:rsidRPr="004A0B2E">
              <w:rPr>
                <w:rFonts w:ascii="Arial Narrow" w:hAnsi="Arial Narrow" w:cs="Calibri"/>
                <w:sz w:val="16"/>
                <w:szCs w:val="16"/>
              </w:rPr>
              <w:t>-2,7</w:t>
            </w:r>
          </w:p>
        </w:tc>
        <w:tc>
          <w:tcPr>
            <w:tcW w:w="872" w:type="dxa"/>
            <w:tcBorders>
              <w:top w:val="nil"/>
              <w:left w:val="nil"/>
              <w:bottom w:val="single" w:sz="4" w:space="0" w:color="auto"/>
              <w:right w:val="single" w:sz="4" w:space="0" w:color="auto"/>
            </w:tcBorders>
            <w:shd w:val="clear" w:color="auto" w:fill="auto"/>
            <w:vAlign w:val="center"/>
            <w:hideMark/>
          </w:tcPr>
          <w:p w14:paraId="155EBC1A" w14:textId="77777777" w:rsidR="004A0B2E" w:rsidRPr="004A0B2E" w:rsidRDefault="004A0B2E" w:rsidP="004A0B2E">
            <w:pPr>
              <w:jc w:val="right"/>
              <w:rPr>
                <w:rFonts w:ascii="Arial Narrow" w:hAnsi="Arial Narrow" w:cs="Calibri"/>
                <w:sz w:val="16"/>
                <w:szCs w:val="16"/>
              </w:rPr>
            </w:pPr>
            <w:r w:rsidRPr="004A0B2E">
              <w:rPr>
                <w:rFonts w:ascii="Arial Narrow" w:hAnsi="Arial Narrow" w:cs="Calibri"/>
                <w:sz w:val="16"/>
                <w:szCs w:val="16"/>
              </w:rPr>
              <w:t>1 243,5</w:t>
            </w:r>
          </w:p>
        </w:tc>
      </w:tr>
      <w:tr w:rsidR="004A0B2E" w:rsidRPr="00B10684" w14:paraId="43B36EF1" w14:textId="77777777" w:rsidTr="005A18A5">
        <w:trPr>
          <w:trHeight w:val="183"/>
        </w:trPr>
        <w:tc>
          <w:tcPr>
            <w:tcW w:w="757" w:type="dxa"/>
            <w:tcBorders>
              <w:top w:val="nil"/>
              <w:left w:val="single" w:sz="4" w:space="0" w:color="auto"/>
              <w:bottom w:val="single" w:sz="4" w:space="0" w:color="auto"/>
              <w:right w:val="single" w:sz="4" w:space="0" w:color="auto"/>
            </w:tcBorders>
            <w:shd w:val="clear" w:color="auto" w:fill="auto"/>
            <w:noWrap/>
            <w:vAlign w:val="center"/>
            <w:hideMark/>
          </w:tcPr>
          <w:p w14:paraId="644B1404" w14:textId="77777777" w:rsidR="004A0B2E" w:rsidRPr="004A0B2E" w:rsidRDefault="004A0B2E" w:rsidP="004A0B2E">
            <w:pPr>
              <w:rPr>
                <w:rFonts w:ascii="Arial Narrow" w:hAnsi="Arial Narrow" w:cs="Calibri"/>
                <w:sz w:val="16"/>
                <w:szCs w:val="16"/>
              </w:rPr>
            </w:pPr>
            <w:r w:rsidRPr="004A0B2E">
              <w:rPr>
                <w:rFonts w:ascii="Arial Narrow" w:hAnsi="Arial Narrow" w:cs="Calibri"/>
                <w:sz w:val="16"/>
                <w:szCs w:val="16"/>
              </w:rPr>
              <w:t xml:space="preserve"> 11.1</w:t>
            </w:r>
          </w:p>
        </w:tc>
        <w:tc>
          <w:tcPr>
            <w:tcW w:w="5279" w:type="dxa"/>
            <w:tcBorders>
              <w:top w:val="nil"/>
              <w:left w:val="nil"/>
              <w:bottom w:val="single" w:sz="4" w:space="0" w:color="auto"/>
              <w:right w:val="single" w:sz="4" w:space="0" w:color="auto"/>
            </w:tcBorders>
            <w:shd w:val="clear" w:color="auto" w:fill="auto"/>
            <w:vAlign w:val="center"/>
            <w:hideMark/>
          </w:tcPr>
          <w:p w14:paraId="2F4BBF3C" w14:textId="77777777" w:rsidR="004A0B2E" w:rsidRPr="004A0B2E" w:rsidRDefault="004A0B2E" w:rsidP="004A0B2E">
            <w:pPr>
              <w:ind w:firstLineChars="100" w:firstLine="160"/>
              <w:rPr>
                <w:rFonts w:ascii="Arial Narrow" w:hAnsi="Arial Narrow" w:cs="Calibri"/>
                <w:sz w:val="16"/>
                <w:szCs w:val="16"/>
              </w:rPr>
            </w:pPr>
            <w:r w:rsidRPr="004A0B2E">
              <w:rPr>
                <w:rFonts w:ascii="Arial Narrow" w:hAnsi="Arial Narrow" w:cs="Calibri"/>
                <w:sz w:val="16"/>
                <w:szCs w:val="16"/>
              </w:rPr>
              <w:t>Едър рогат добитък</w:t>
            </w:r>
          </w:p>
        </w:tc>
        <w:tc>
          <w:tcPr>
            <w:tcW w:w="957" w:type="dxa"/>
            <w:tcBorders>
              <w:top w:val="nil"/>
              <w:left w:val="nil"/>
              <w:bottom w:val="single" w:sz="4" w:space="0" w:color="auto"/>
              <w:right w:val="single" w:sz="4" w:space="0" w:color="auto"/>
            </w:tcBorders>
            <w:shd w:val="clear" w:color="auto" w:fill="auto"/>
            <w:vAlign w:val="center"/>
            <w:hideMark/>
          </w:tcPr>
          <w:p w14:paraId="07F43C37" w14:textId="77777777" w:rsidR="004A0B2E" w:rsidRPr="004A0B2E" w:rsidRDefault="004A0B2E" w:rsidP="004A0B2E">
            <w:pPr>
              <w:jc w:val="right"/>
              <w:rPr>
                <w:rFonts w:ascii="Arial Narrow" w:hAnsi="Arial Narrow" w:cs="Calibri"/>
                <w:sz w:val="16"/>
                <w:szCs w:val="16"/>
              </w:rPr>
            </w:pPr>
            <w:r w:rsidRPr="004A0B2E">
              <w:rPr>
                <w:rFonts w:ascii="Arial Narrow" w:hAnsi="Arial Narrow" w:cs="Calibri"/>
                <w:sz w:val="16"/>
                <w:szCs w:val="16"/>
              </w:rPr>
              <w:t>201,4</w:t>
            </w:r>
          </w:p>
        </w:tc>
        <w:tc>
          <w:tcPr>
            <w:tcW w:w="1118" w:type="dxa"/>
            <w:tcBorders>
              <w:top w:val="nil"/>
              <w:left w:val="nil"/>
              <w:bottom w:val="single" w:sz="4" w:space="0" w:color="auto"/>
              <w:right w:val="single" w:sz="4" w:space="0" w:color="auto"/>
            </w:tcBorders>
            <w:shd w:val="clear" w:color="auto" w:fill="auto"/>
            <w:vAlign w:val="center"/>
            <w:hideMark/>
          </w:tcPr>
          <w:p w14:paraId="3FB6AE2C" w14:textId="77777777" w:rsidR="004A0B2E" w:rsidRPr="004A0B2E" w:rsidRDefault="004A0B2E" w:rsidP="004A0B2E">
            <w:pPr>
              <w:jc w:val="right"/>
              <w:rPr>
                <w:rFonts w:ascii="Arial Narrow" w:hAnsi="Arial Narrow" w:cs="Calibri"/>
                <w:sz w:val="16"/>
                <w:szCs w:val="16"/>
              </w:rPr>
            </w:pPr>
            <w:r w:rsidRPr="004A0B2E">
              <w:rPr>
                <w:rFonts w:ascii="Arial Narrow" w:hAnsi="Arial Narrow" w:cs="Calibri"/>
                <w:sz w:val="16"/>
                <w:szCs w:val="16"/>
              </w:rPr>
              <w:t>-11,9</w:t>
            </w:r>
          </w:p>
        </w:tc>
        <w:tc>
          <w:tcPr>
            <w:tcW w:w="957" w:type="dxa"/>
            <w:tcBorders>
              <w:top w:val="nil"/>
              <w:left w:val="nil"/>
              <w:bottom w:val="single" w:sz="4" w:space="0" w:color="auto"/>
              <w:right w:val="single" w:sz="4" w:space="0" w:color="auto"/>
            </w:tcBorders>
            <w:shd w:val="clear" w:color="auto" w:fill="auto"/>
            <w:vAlign w:val="center"/>
            <w:hideMark/>
          </w:tcPr>
          <w:p w14:paraId="5E449D8F" w14:textId="77777777" w:rsidR="004A0B2E" w:rsidRPr="004A0B2E" w:rsidRDefault="004A0B2E" w:rsidP="004A0B2E">
            <w:pPr>
              <w:jc w:val="right"/>
              <w:rPr>
                <w:rFonts w:ascii="Arial Narrow" w:hAnsi="Arial Narrow" w:cs="Calibri"/>
                <w:sz w:val="16"/>
                <w:szCs w:val="16"/>
              </w:rPr>
            </w:pPr>
            <w:r w:rsidRPr="004A0B2E">
              <w:rPr>
                <w:rFonts w:ascii="Arial Narrow" w:hAnsi="Arial Narrow" w:cs="Calibri"/>
                <w:sz w:val="16"/>
                <w:szCs w:val="16"/>
              </w:rPr>
              <w:t>177,4</w:t>
            </w:r>
          </w:p>
        </w:tc>
        <w:tc>
          <w:tcPr>
            <w:tcW w:w="1256" w:type="dxa"/>
            <w:tcBorders>
              <w:top w:val="nil"/>
              <w:left w:val="nil"/>
              <w:bottom w:val="single" w:sz="4" w:space="0" w:color="auto"/>
              <w:right w:val="single" w:sz="4" w:space="0" w:color="auto"/>
            </w:tcBorders>
            <w:shd w:val="clear" w:color="auto" w:fill="auto"/>
            <w:vAlign w:val="center"/>
            <w:hideMark/>
          </w:tcPr>
          <w:p w14:paraId="095D4D0C" w14:textId="77777777" w:rsidR="004A0B2E" w:rsidRPr="004A0B2E" w:rsidRDefault="004A0B2E" w:rsidP="004A0B2E">
            <w:pPr>
              <w:jc w:val="right"/>
              <w:rPr>
                <w:rFonts w:ascii="Arial Narrow" w:hAnsi="Arial Narrow" w:cs="Calibri"/>
                <w:sz w:val="16"/>
                <w:szCs w:val="16"/>
              </w:rPr>
            </w:pPr>
            <w:r w:rsidRPr="004A0B2E">
              <w:rPr>
                <w:rFonts w:ascii="Arial Narrow" w:hAnsi="Arial Narrow" w:cs="Calibri"/>
                <w:sz w:val="16"/>
                <w:szCs w:val="16"/>
              </w:rPr>
              <w:t>7,6</w:t>
            </w:r>
          </w:p>
        </w:tc>
        <w:tc>
          <w:tcPr>
            <w:tcW w:w="872" w:type="dxa"/>
            <w:tcBorders>
              <w:top w:val="nil"/>
              <w:left w:val="nil"/>
              <w:bottom w:val="single" w:sz="4" w:space="0" w:color="auto"/>
              <w:right w:val="single" w:sz="4" w:space="0" w:color="auto"/>
            </w:tcBorders>
            <w:shd w:val="clear" w:color="auto" w:fill="auto"/>
            <w:vAlign w:val="center"/>
            <w:hideMark/>
          </w:tcPr>
          <w:p w14:paraId="5B616D85" w14:textId="77777777" w:rsidR="004A0B2E" w:rsidRPr="004A0B2E" w:rsidRDefault="004A0B2E" w:rsidP="004A0B2E">
            <w:pPr>
              <w:jc w:val="right"/>
              <w:rPr>
                <w:rFonts w:ascii="Arial Narrow" w:hAnsi="Arial Narrow" w:cs="Calibri"/>
                <w:sz w:val="16"/>
                <w:szCs w:val="16"/>
              </w:rPr>
            </w:pPr>
            <w:r w:rsidRPr="004A0B2E">
              <w:rPr>
                <w:rFonts w:ascii="Arial Narrow" w:hAnsi="Arial Narrow" w:cs="Calibri"/>
                <w:sz w:val="16"/>
                <w:szCs w:val="16"/>
              </w:rPr>
              <w:t>190,8</w:t>
            </w:r>
          </w:p>
        </w:tc>
      </w:tr>
      <w:tr w:rsidR="004A0B2E" w:rsidRPr="00B10684" w14:paraId="7D81D4D7" w14:textId="77777777" w:rsidTr="005A18A5">
        <w:trPr>
          <w:trHeight w:val="183"/>
        </w:trPr>
        <w:tc>
          <w:tcPr>
            <w:tcW w:w="757" w:type="dxa"/>
            <w:tcBorders>
              <w:top w:val="nil"/>
              <w:left w:val="single" w:sz="4" w:space="0" w:color="auto"/>
              <w:bottom w:val="single" w:sz="4" w:space="0" w:color="auto"/>
              <w:right w:val="single" w:sz="4" w:space="0" w:color="auto"/>
            </w:tcBorders>
            <w:shd w:val="clear" w:color="auto" w:fill="auto"/>
            <w:noWrap/>
            <w:vAlign w:val="center"/>
            <w:hideMark/>
          </w:tcPr>
          <w:p w14:paraId="55B3F568" w14:textId="77777777" w:rsidR="004A0B2E" w:rsidRPr="004A0B2E" w:rsidRDefault="004A0B2E" w:rsidP="004A0B2E">
            <w:pPr>
              <w:rPr>
                <w:rFonts w:ascii="Arial Narrow" w:hAnsi="Arial Narrow" w:cs="Calibri"/>
                <w:sz w:val="16"/>
                <w:szCs w:val="16"/>
              </w:rPr>
            </w:pPr>
            <w:r w:rsidRPr="004A0B2E">
              <w:rPr>
                <w:rFonts w:ascii="Arial Narrow" w:hAnsi="Arial Narrow" w:cs="Calibri"/>
                <w:sz w:val="16"/>
                <w:szCs w:val="16"/>
              </w:rPr>
              <w:t xml:space="preserve"> 11.2</w:t>
            </w:r>
          </w:p>
        </w:tc>
        <w:tc>
          <w:tcPr>
            <w:tcW w:w="5279" w:type="dxa"/>
            <w:tcBorders>
              <w:top w:val="nil"/>
              <w:left w:val="nil"/>
              <w:bottom w:val="single" w:sz="4" w:space="0" w:color="auto"/>
              <w:right w:val="single" w:sz="4" w:space="0" w:color="auto"/>
            </w:tcBorders>
            <w:shd w:val="clear" w:color="auto" w:fill="auto"/>
            <w:vAlign w:val="center"/>
            <w:hideMark/>
          </w:tcPr>
          <w:p w14:paraId="73DA7929" w14:textId="77777777" w:rsidR="004A0B2E" w:rsidRPr="004A0B2E" w:rsidRDefault="004A0B2E" w:rsidP="004A0B2E">
            <w:pPr>
              <w:ind w:firstLineChars="100" w:firstLine="160"/>
              <w:rPr>
                <w:rFonts w:ascii="Arial Narrow" w:hAnsi="Arial Narrow" w:cs="Calibri"/>
                <w:sz w:val="16"/>
                <w:szCs w:val="16"/>
              </w:rPr>
            </w:pPr>
            <w:r w:rsidRPr="004A0B2E">
              <w:rPr>
                <w:rFonts w:ascii="Arial Narrow" w:hAnsi="Arial Narrow" w:cs="Calibri"/>
                <w:sz w:val="16"/>
                <w:szCs w:val="16"/>
              </w:rPr>
              <w:t>Свине</w:t>
            </w:r>
          </w:p>
        </w:tc>
        <w:tc>
          <w:tcPr>
            <w:tcW w:w="957" w:type="dxa"/>
            <w:tcBorders>
              <w:top w:val="nil"/>
              <w:left w:val="nil"/>
              <w:bottom w:val="single" w:sz="4" w:space="0" w:color="auto"/>
              <w:right w:val="single" w:sz="4" w:space="0" w:color="auto"/>
            </w:tcBorders>
            <w:shd w:val="clear" w:color="auto" w:fill="auto"/>
            <w:vAlign w:val="center"/>
            <w:hideMark/>
          </w:tcPr>
          <w:p w14:paraId="1F6706B1" w14:textId="77777777" w:rsidR="004A0B2E" w:rsidRPr="004A0B2E" w:rsidRDefault="004A0B2E" w:rsidP="004A0B2E">
            <w:pPr>
              <w:jc w:val="right"/>
              <w:rPr>
                <w:rFonts w:ascii="Arial Narrow" w:hAnsi="Arial Narrow" w:cs="Calibri"/>
                <w:sz w:val="16"/>
                <w:szCs w:val="16"/>
              </w:rPr>
            </w:pPr>
            <w:r w:rsidRPr="004A0B2E">
              <w:rPr>
                <w:rFonts w:ascii="Arial Narrow" w:hAnsi="Arial Narrow" w:cs="Calibri"/>
                <w:sz w:val="16"/>
                <w:szCs w:val="16"/>
              </w:rPr>
              <w:t>351,5</w:t>
            </w:r>
          </w:p>
        </w:tc>
        <w:tc>
          <w:tcPr>
            <w:tcW w:w="1118" w:type="dxa"/>
            <w:tcBorders>
              <w:top w:val="nil"/>
              <w:left w:val="nil"/>
              <w:bottom w:val="single" w:sz="4" w:space="0" w:color="auto"/>
              <w:right w:val="single" w:sz="4" w:space="0" w:color="auto"/>
            </w:tcBorders>
            <w:shd w:val="clear" w:color="auto" w:fill="auto"/>
            <w:vAlign w:val="center"/>
            <w:hideMark/>
          </w:tcPr>
          <w:p w14:paraId="4E788440" w14:textId="77777777" w:rsidR="004A0B2E" w:rsidRPr="004A0B2E" w:rsidRDefault="004A0B2E" w:rsidP="004A0B2E">
            <w:pPr>
              <w:jc w:val="right"/>
              <w:rPr>
                <w:rFonts w:ascii="Arial Narrow" w:hAnsi="Arial Narrow" w:cs="Calibri"/>
                <w:sz w:val="16"/>
                <w:szCs w:val="16"/>
              </w:rPr>
            </w:pPr>
            <w:r w:rsidRPr="004A0B2E">
              <w:rPr>
                <w:rFonts w:ascii="Arial Narrow" w:hAnsi="Arial Narrow" w:cs="Calibri"/>
                <w:sz w:val="16"/>
                <w:szCs w:val="16"/>
              </w:rPr>
              <w:t>36,4</w:t>
            </w:r>
          </w:p>
        </w:tc>
        <w:tc>
          <w:tcPr>
            <w:tcW w:w="957" w:type="dxa"/>
            <w:tcBorders>
              <w:top w:val="nil"/>
              <w:left w:val="nil"/>
              <w:bottom w:val="single" w:sz="4" w:space="0" w:color="auto"/>
              <w:right w:val="single" w:sz="4" w:space="0" w:color="auto"/>
            </w:tcBorders>
            <w:shd w:val="clear" w:color="auto" w:fill="auto"/>
            <w:vAlign w:val="center"/>
            <w:hideMark/>
          </w:tcPr>
          <w:p w14:paraId="00765DD3" w14:textId="77777777" w:rsidR="004A0B2E" w:rsidRPr="004A0B2E" w:rsidRDefault="004A0B2E" w:rsidP="004A0B2E">
            <w:pPr>
              <w:jc w:val="right"/>
              <w:rPr>
                <w:rFonts w:ascii="Arial Narrow" w:hAnsi="Arial Narrow" w:cs="Calibri"/>
                <w:sz w:val="16"/>
                <w:szCs w:val="16"/>
              </w:rPr>
            </w:pPr>
            <w:r w:rsidRPr="004A0B2E">
              <w:rPr>
                <w:rFonts w:ascii="Arial Narrow" w:hAnsi="Arial Narrow" w:cs="Calibri"/>
                <w:sz w:val="16"/>
                <w:szCs w:val="16"/>
              </w:rPr>
              <w:t>479,4</w:t>
            </w:r>
          </w:p>
        </w:tc>
        <w:tc>
          <w:tcPr>
            <w:tcW w:w="1256" w:type="dxa"/>
            <w:tcBorders>
              <w:top w:val="nil"/>
              <w:left w:val="nil"/>
              <w:bottom w:val="single" w:sz="4" w:space="0" w:color="auto"/>
              <w:right w:val="single" w:sz="4" w:space="0" w:color="auto"/>
            </w:tcBorders>
            <w:shd w:val="clear" w:color="auto" w:fill="auto"/>
            <w:vAlign w:val="center"/>
            <w:hideMark/>
          </w:tcPr>
          <w:p w14:paraId="57FA2192" w14:textId="77777777" w:rsidR="004A0B2E" w:rsidRPr="004A0B2E" w:rsidRDefault="004A0B2E" w:rsidP="004A0B2E">
            <w:pPr>
              <w:jc w:val="right"/>
              <w:rPr>
                <w:rFonts w:ascii="Arial Narrow" w:hAnsi="Arial Narrow" w:cs="Calibri"/>
                <w:sz w:val="16"/>
                <w:szCs w:val="16"/>
              </w:rPr>
            </w:pPr>
            <w:r w:rsidRPr="004A0B2E">
              <w:rPr>
                <w:rFonts w:ascii="Arial Narrow" w:hAnsi="Arial Narrow" w:cs="Calibri"/>
                <w:sz w:val="16"/>
                <w:szCs w:val="16"/>
              </w:rPr>
              <w:t>-0,1</w:t>
            </w:r>
          </w:p>
        </w:tc>
        <w:tc>
          <w:tcPr>
            <w:tcW w:w="872" w:type="dxa"/>
            <w:tcBorders>
              <w:top w:val="nil"/>
              <w:left w:val="nil"/>
              <w:bottom w:val="single" w:sz="4" w:space="0" w:color="auto"/>
              <w:right w:val="single" w:sz="4" w:space="0" w:color="auto"/>
            </w:tcBorders>
            <w:shd w:val="clear" w:color="auto" w:fill="auto"/>
            <w:vAlign w:val="center"/>
            <w:hideMark/>
          </w:tcPr>
          <w:p w14:paraId="31E6C78A" w14:textId="77777777" w:rsidR="004A0B2E" w:rsidRPr="004A0B2E" w:rsidRDefault="004A0B2E" w:rsidP="004A0B2E">
            <w:pPr>
              <w:jc w:val="right"/>
              <w:rPr>
                <w:rFonts w:ascii="Arial Narrow" w:hAnsi="Arial Narrow" w:cs="Calibri"/>
                <w:sz w:val="16"/>
                <w:szCs w:val="16"/>
              </w:rPr>
            </w:pPr>
            <w:r w:rsidRPr="004A0B2E">
              <w:rPr>
                <w:rFonts w:ascii="Arial Narrow" w:hAnsi="Arial Narrow" w:cs="Calibri"/>
                <w:sz w:val="16"/>
                <w:szCs w:val="16"/>
              </w:rPr>
              <w:t>478,8</w:t>
            </w:r>
          </w:p>
        </w:tc>
      </w:tr>
      <w:tr w:rsidR="004A0B2E" w:rsidRPr="00B10684" w14:paraId="0AD0FF1B" w14:textId="77777777" w:rsidTr="00CD44F3">
        <w:trPr>
          <w:trHeight w:val="183"/>
        </w:trPr>
        <w:tc>
          <w:tcPr>
            <w:tcW w:w="757" w:type="dxa"/>
            <w:tcBorders>
              <w:top w:val="nil"/>
              <w:left w:val="single" w:sz="4" w:space="0" w:color="auto"/>
              <w:bottom w:val="single" w:sz="4" w:space="0" w:color="auto"/>
              <w:right w:val="single" w:sz="4" w:space="0" w:color="auto"/>
            </w:tcBorders>
            <w:shd w:val="clear" w:color="auto" w:fill="auto"/>
            <w:noWrap/>
            <w:vAlign w:val="center"/>
            <w:hideMark/>
          </w:tcPr>
          <w:p w14:paraId="78CF48E5" w14:textId="77777777" w:rsidR="004A0B2E" w:rsidRPr="004A0B2E" w:rsidRDefault="004A0B2E" w:rsidP="004A0B2E">
            <w:pPr>
              <w:rPr>
                <w:rFonts w:ascii="Arial Narrow" w:hAnsi="Arial Narrow" w:cs="Calibri"/>
                <w:sz w:val="16"/>
                <w:szCs w:val="16"/>
              </w:rPr>
            </w:pPr>
            <w:r w:rsidRPr="004A0B2E">
              <w:rPr>
                <w:rFonts w:ascii="Arial Narrow" w:hAnsi="Arial Narrow" w:cs="Calibri"/>
                <w:sz w:val="16"/>
                <w:szCs w:val="16"/>
              </w:rPr>
              <w:t xml:space="preserve"> 11.3</w:t>
            </w:r>
          </w:p>
        </w:tc>
        <w:tc>
          <w:tcPr>
            <w:tcW w:w="5279" w:type="dxa"/>
            <w:tcBorders>
              <w:top w:val="nil"/>
              <w:left w:val="nil"/>
              <w:bottom w:val="single" w:sz="4" w:space="0" w:color="auto"/>
              <w:right w:val="single" w:sz="4" w:space="0" w:color="auto"/>
            </w:tcBorders>
            <w:shd w:val="clear" w:color="auto" w:fill="auto"/>
            <w:vAlign w:val="center"/>
            <w:hideMark/>
          </w:tcPr>
          <w:p w14:paraId="432C5EB8" w14:textId="77777777" w:rsidR="004A0B2E" w:rsidRPr="004A0B2E" w:rsidRDefault="004A0B2E" w:rsidP="004A0B2E">
            <w:pPr>
              <w:ind w:firstLineChars="100" w:firstLine="160"/>
              <w:rPr>
                <w:rFonts w:ascii="Arial Narrow" w:hAnsi="Arial Narrow" w:cs="Calibri"/>
                <w:sz w:val="16"/>
                <w:szCs w:val="16"/>
              </w:rPr>
            </w:pPr>
            <w:r w:rsidRPr="004A0B2E">
              <w:rPr>
                <w:rFonts w:ascii="Arial Narrow" w:hAnsi="Arial Narrow" w:cs="Calibri"/>
                <w:sz w:val="16"/>
                <w:szCs w:val="16"/>
              </w:rPr>
              <w:t>Коне</w:t>
            </w:r>
          </w:p>
        </w:tc>
        <w:tc>
          <w:tcPr>
            <w:tcW w:w="957" w:type="dxa"/>
            <w:tcBorders>
              <w:top w:val="nil"/>
              <w:left w:val="nil"/>
              <w:bottom w:val="single" w:sz="4" w:space="0" w:color="auto"/>
              <w:right w:val="single" w:sz="4" w:space="0" w:color="auto"/>
            </w:tcBorders>
            <w:shd w:val="clear" w:color="auto" w:fill="auto"/>
            <w:vAlign w:val="center"/>
            <w:hideMark/>
          </w:tcPr>
          <w:p w14:paraId="183A977B" w14:textId="77777777" w:rsidR="004A0B2E" w:rsidRPr="004A0B2E" w:rsidRDefault="004A0B2E" w:rsidP="004A0B2E">
            <w:pPr>
              <w:jc w:val="right"/>
              <w:rPr>
                <w:rFonts w:ascii="Arial Narrow" w:hAnsi="Arial Narrow" w:cs="Calibri"/>
                <w:sz w:val="16"/>
                <w:szCs w:val="16"/>
              </w:rPr>
            </w:pPr>
            <w:r w:rsidRPr="004A0B2E">
              <w:rPr>
                <w:rFonts w:ascii="Arial Narrow" w:hAnsi="Arial Narrow" w:cs="Calibri"/>
                <w:sz w:val="16"/>
                <w:szCs w:val="16"/>
              </w:rPr>
              <w:t> </w:t>
            </w:r>
          </w:p>
        </w:tc>
        <w:tc>
          <w:tcPr>
            <w:tcW w:w="1118" w:type="dxa"/>
            <w:tcBorders>
              <w:top w:val="nil"/>
              <w:left w:val="nil"/>
              <w:bottom w:val="single" w:sz="4" w:space="0" w:color="auto"/>
              <w:right w:val="single" w:sz="4" w:space="0" w:color="auto"/>
            </w:tcBorders>
            <w:shd w:val="clear" w:color="auto" w:fill="auto"/>
            <w:vAlign w:val="center"/>
            <w:hideMark/>
          </w:tcPr>
          <w:p w14:paraId="1AD20CF9" w14:textId="77777777" w:rsidR="004A0B2E" w:rsidRPr="004A0B2E" w:rsidRDefault="004A0B2E" w:rsidP="004A0B2E">
            <w:pPr>
              <w:rPr>
                <w:rFonts w:ascii="Arial Narrow" w:hAnsi="Arial Narrow" w:cs="Calibri"/>
                <w:sz w:val="16"/>
                <w:szCs w:val="16"/>
              </w:rPr>
            </w:pPr>
            <w:r w:rsidRPr="004A0B2E">
              <w:rPr>
                <w:rFonts w:ascii="Arial Narrow" w:hAnsi="Arial Narrow" w:cs="Calibri"/>
                <w:sz w:val="16"/>
                <w:szCs w:val="16"/>
              </w:rPr>
              <w:t> </w:t>
            </w:r>
          </w:p>
        </w:tc>
        <w:tc>
          <w:tcPr>
            <w:tcW w:w="957" w:type="dxa"/>
            <w:tcBorders>
              <w:top w:val="nil"/>
              <w:left w:val="nil"/>
              <w:bottom w:val="single" w:sz="4" w:space="0" w:color="auto"/>
              <w:right w:val="single" w:sz="4" w:space="0" w:color="auto"/>
            </w:tcBorders>
            <w:shd w:val="clear" w:color="auto" w:fill="auto"/>
            <w:vAlign w:val="center"/>
          </w:tcPr>
          <w:p w14:paraId="07486448" w14:textId="77777777" w:rsidR="004A0B2E" w:rsidRPr="004A0B2E" w:rsidRDefault="004A0B2E" w:rsidP="004A0B2E">
            <w:pPr>
              <w:jc w:val="right"/>
              <w:rPr>
                <w:rFonts w:ascii="Arial Narrow" w:hAnsi="Arial Narrow" w:cs="Calibri"/>
                <w:sz w:val="16"/>
                <w:szCs w:val="16"/>
              </w:rPr>
            </w:pPr>
          </w:p>
        </w:tc>
        <w:tc>
          <w:tcPr>
            <w:tcW w:w="1256" w:type="dxa"/>
            <w:tcBorders>
              <w:top w:val="nil"/>
              <w:left w:val="nil"/>
              <w:bottom w:val="single" w:sz="4" w:space="0" w:color="auto"/>
              <w:right w:val="single" w:sz="4" w:space="0" w:color="auto"/>
            </w:tcBorders>
            <w:shd w:val="clear" w:color="auto" w:fill="auto"/>
            <w:vAlign w:val="center"/>
          </w:tcPr>
          <w:p w14:paraId="7F3BDDFE" w14:textId="77777777" w:rsidR="004A0B2E" w:rsidRPr="004A0B2E" w:rsidRDefault="004A0B2E" w:rsidP="004A0B2E">
            <w:pPr>
              <w:rPr>
                <w:rFonts w:ascii="Arial Narrow" w:hAnsi="Arial Narrow" w:cs="Calibri"/>
                <w:sz w:val="16"/>
                <w:szCs w:val="16"/>
              </w:rPr>
            </w:pPr>
          </w:p>
        </w:tc>
        <w:tc>
          <w:tcPr>
            <w:tcW w:w="872" w:type="dxa"/>
            <w:tcBorders>
              <w:top w:val="nil"/>
              <w:left w:val="nil"/>
              <w:bottom w:val="single" w:sz="4" w:space="0" w:color="auto"/>
              <w:right w:val="single" w:sz="4" w:space="0" w:color="auto"/>
            </w:tcBorders>
            <w:shd w:val="clear" w:color="auto" w:fill="auto"/>
            <w:vAlign w:val="center"/>
          </w:tcPr>
          <w:p w14:paraId="36C0502F" w14:textId="77777777" w:rsidR="004A0B2E" w:rsidRPr="004A0B2E" w:rsidRDefault="004A0B2E" w:rsidP="004A0B2E">
            <w:pPr>
              <w:jc w:val="right"/>
              <w:rPr>
                <w:rFonts w:ascii="Arial Narrow" w:hAnsi="Arial Narrow" w:cs="Calibri"/>
                <w:sz w:val="16"/>
                <w:szCs w:val="16"/>
              </w:rPr>
            </w:pPr>
          </w:p>
        </w:tc>
      </w:tr>
      <w:tr w:rsidR="004A0B2E" w:rsidRPr="00B10684" w14:paraId="76CE5017" w14:textId="77777777" w:rsidTr="005A18A5">
        <w:trPr>
          <w:trHeight w:val="183"/>
        </w:trPr>
        <w:tc>
          <w:tcPr>
            <w:tcW w:w="757" w:type="dxa"/>
            <w:tcBorders>
              <w:top w:val="nil"/>
              <w:left w:val="single" w:sz="4" w:space="0" w:color="auto"/>
              <w:bottom w:val="single" w:sz="4" w:space="0" w:color="auto"/>
              <w:right w:val="single" w:sz="4" w:space="0" w:color="auto"/>
            </w:tcBorders>
            <w:shd w:val="clear" w:color="auto" w:fill="auto"/>
            <w:noWrap/>
            <w:vAlign w:val="center"/>
            <w:hideMark/>
          </w:tcPr>
          <w:p w14:paraId="0ED77518" w14:textId="77777777" w:rsidR="004A0B2E" w:rsidRPr="004A0B2E" w:rsidRDefault="004A0B2E" w:rsidP="004A0B2E">
            <w:pPr>
              <w:rPr>
                <w:rFonts w:ascii="Arial Narrow" w:hAnsi="Arial Narrow" w:cs="Calibri"/>
                <w:sz w:val="16"/>
                <w:szCs w:val="16"/>
              </w:rPr>
            </w:pPr>
            <w:r w:rsidRPr="004A0B2E">
              <w:rPr>
                <w:rFonts w:ascii="Arial Narrow" w:hAnsi="Arial Narrow" w:cs="Calibri"/>
                <w:sz w:val="16"/>
                <w:szCs w:val="16"/>
              </w:rPr>
              <w:t xml:space="preserve"> 11.4</w:t>
            </w:r>
          </w:p>
        </w:tc>
        <w:tc>
          <w:tcPr>
            <w:tcW w:w="5279" w:type="dxa"/>
            <w:tcBorders>
              <w:top w:val="nil"/>
              <w:left w:val="nil"/>
              <w:bottom w:val="single" w:sz="4" w:space="0" w:color="auto"/>
              <w:right w:val="single" w:sz="4" w:space="0" w:color="auto"/>
            </w:tcBorders>
            <w:shd w:val="clear" w:color="auto" w:fill="auto"/>
            <w:vAlign w:val="center"/>
            <w:hideMark/>
          </w:tcPr>
          <w:p w14:paraId="7AB3DBBA" w14:textId="77777777" w:rsidR="004A0B2E" w:rsidRPr="004A0B2E" w:rsidRDefault="004A0B2E" w:rsidP="004A0B2E">
            <w:pPr>
              <w:ind w:firstLineChars="100" w:firstLine="160"/>
              <w:rPr>
                <w:rFonts w:ascii="Arial Narrow" w:hAnsi="Arial Narrow" w:cs="Calibri"/>
                <w:sz w:val="16"/>
                <w:szCs w:val="16"/>
              </w:rPr>
            </w:pPr>
            <w:r w:rsidRPr="004A0B2E">
              <w:rPr>
                <w:rFonts w:ascii="Arial Narrow" w:hAnsi="Arial Narrow" w:cs="Calibri"/>
                <w:sz w:val="16"/>
                <w:szCs w:val="16"/>
              </w:rPr>
              <w:t>Овце и кози</w:t>
            </w:r>
          </w:p>
        </w:tc>
        <w:tc>
          <w:tcPr>
            <w:tcW w:w="957" w:type="dxa"/>
            <w:tcBorders>
              <w:top w:val="nil"/>
              <w:left w:val="nil"/>
              <w:bottom w:val="single" w:sz="4" w:space="0" w:color="auto"/>
              <w:right w:val="single" w:sz="4" w:space="0" w:color="auto"/>
            </w:tcBorders>
            <w:shd w:val="clear" w:color="auto" w:fill="auto"/>
            <w:vAlign w:val="center"/>
            <w:hideMark/>
          </w:tcPr>
          <w:p w14:paraId="61016FBF" w14:textId="77777777" w:rsidR="004A0B2E" w:rsidRPr="004A0B2E" w:rsidRDefault="004A0B2E" w:rsidP="004A0B2E">
            <w:pPr>
              <w:jc w:val="right"/>
              <w:rPr>
                <w:rFonts w:ascii="Arial Narrow" w:hAnsi="Arial Narrow" w:cs="Calibri"/>
                <w:sz w:val="16"/>
                <w:szCs w:val="16"/>
              </w:rPr>
            </w:pPr>
            <w:r w:rsidRPr="004A0B2E">
              <w:rPr>
                <w:rFonts w:ascii="Arial Narrow" w:hAnsi="Arial Narrow" w:cs="Calibri"/>
                <w:sz w:val="16"/>
                <w:szCs w:val="16"/>
              </w:rPr>
              <w:t>154,0</w:t>
            </w:r>
          </w:p>
        </w:tc>
        <w:tc>
          <w:tcPr>
            <w:tcW w:w="1118" w:type="dxa"/>
            <w:tcBorders>
              <w:top w:val="nil"/>
              <w:left w:val="nil"/>
              <w:bottom w:val="single" w:sz="4" w:space="0" w:color="auto"/>
              <w:right w:val="single" w:sz="4" w:space="0" w:color="auto"/>
            </w:tcBorders>
            <w:shd w:val="clear" w:color="auto" w:fill="auto"/>
            <w:vAlign w:val="center"/>
            <w:hideMark/>
          </w:tcPr>
          <w:p w14:paraId="0F28D1EC" w14:textId="77777777" w:rsidR="004A0B2E" w:rsidRPr="004A0B2E" w:rsidRDefault="004A0B2E" w:rsidP="004A0B2E">
            <w:pPr>
              <w:jc w:val="right"/>
              <w:rPr>
                <w:rFonts w:ascii="Arial Narrow" w:hAnsi="Arial Narrow" w:cs="Calibri"/>
                <w:sz w:val="16"/>
                <w:szCs w:val="16"/>
              </w:rPr>
            </w:pPr>
            <w:r w:rsidRPr="004A0B2E">
              <w:rPr>
                <w:rFonts w:ascii="Arial Narrow" w:hAnsi="Arial Narrow" w:cs="Calibri"/>
                <w:sz w:val="16"/>
                <w:szCs w:val="16"/>
              </w:rPr>
              <w:t>19,4</w:t>
            </w:r>
          </w:p>
        </w:tc>
        <w:tc>
          <w:tcPr>
            <w:tcW w:w="957" w:type="dxa"/>
            <w:tcBorders>
              <w:top w:val="nil"/>
              <w:left w:val="nil"/>
              <w:bottom w:val="single" w:sz="4" w:space="0" w:color="auto"/>
              <w:right w:val="single" w:sz="4" w:space="0" w:color="auto"/>
            </w:tcBorders>
            <w:shd w:val="clear" w:color="auto" w:fill="auto"/>
            <w:vAlign w:val="center"/>
            <w:hideMark/>
          </w:tcPr>
          <w:p w14:paraId="2C0A14EA" w14:textId="77777777" w:rsidR="004A0B2E" w:rsidRPr="004A0B2E" w:rsidRDefault="004A0B2E" w:rsidP="004A0B2E">
            <w:pPr>
              <w:jc w:val="right"/>
              <w:rPr>
                <w:rFonts w:ascii="Arial Narrow" w:hAnsi="Arial Narrow" w:cs="Calibri"/>
                <w:sz w:val="16"/>
                <w:szCs w:val="16"/>
              </w:rPr>
            </w:pPr>
            <w:r w:rsidRPr="004A0B2E">
              <w:rPr>
                <w:rFonts w:ascii="Arial Narrow" w:hAnsi="Arial Narrow" w:cs="Calibri"/>
                <w:sz w:val="16"/>
                <w:szCs w:val="16"/>
              </w:rPr>
              <w:t>183,9</w:t>
            </w:r>
          </w:p>
        </w:tc>
        <w:tc>
          <w:tcPr>
            <w:tcW w:w="1256" w:type="dxa"/>
            <w:tcBorders>
              <w:top w:val="nil"/>
              <w:left w:val="nil"/>
              <w:bottom w:val="single" w:sz="4" w:space="0" w:color="auto"/>
              <w:right w:val="single" w:sz="4" w:space="0" w:color="auto"/>
            </w:tcBorders>
            <w:shd w:val="clear" w:color="auto" w:fill="auto"/>
            <w:vAlign w:val="center"/>
            <w:hideMark/>
          </w:tcPr>
          <w:p w14:paraId="19D1281B" w14:textId="77777777" w:rsidR="004A0B2E" w:rsidRPr="004A0B2E" w:rsidRDefault="004A0B2E" w:rsidP="004A0B2E">
            <w:pPr>
              <w:jc w:val="right"/>
              <w:rPr>
                <w:rFonts w:ascii="Arial Narrow" w:hAnsi="Arial Narrow" w:cs="Calibri"/>
                <w:sz w:val="16"/>
                <w:szCs w:val="16"/>
              </w:rPr>
            </w:pPr>
            <w:r w:rsidRPr="004A0B2E">
              <w:rPr>
                <w:rFonts w:ascii="Arial Narrow" w:hAnsi="Arial Narrow" w:cs="Calibri"/>
                <w:sz w:val="16"/>
                <w:szCs w:val="16"/>
              </w:rPr>
              <w:t>-8,4</w:t>
            </w:r>
          </w:p>
        </w:tc>
        <w:tc>
          <w:tcPr>
            <w:tcW w:w="872" w:type="dxa"/>
            <w:tcBorders>
              <w:top w:val="nil"/>
              <w:left w:val="nil"/>
              <w:bottom w:val="single" w:sz="4" w:space="0" w:color="auto"/>
              <w:right w:val="single" w:sz="4" w:space="0" w:color="auto"/>
            </w:tcBorders>
            <w:shd w:val="clear" w:color="auto" w:fill="auto"/>
            <w:vAlign w:val="center"/>
            <w:hideMark/>
          </w:tcPr>
          <w:p w14:paraId="07FC5826" w14:textId="77777777" w:rsidR="004A0B2E" w:rsidRPr="004A0B2E" w:rsidRDefault="004A0B2E" w:rsidP="004A0B2E">
            <w:pPr>
              <w:jc w:val="right"/>
              <w:rPr>
                <w:rFonts w:ascii="Arial Narrow" w:hAnsi="Arial Narrow" w:cs="Calibri"/>
                <w:sz w:val="16"/>
                <w:szCs w:val="16"/>
              </w:rPr>
            </w:pPr>
            <w:r w:rsidRPr="004A0B2E">
              <w:rPr>
                <w:rFonts w:ascii="Arial Narrow" w:hAnsi="Arial Narrow" w:cs="Calibri"/>
                <w:sz w:val="16"/>
                <w:szCs w:val="16"/>
              </w:rPr>
              <w:t>168,5</w:t>
            </w:r>
          </w:p>
        </w:tc>
      </w:tr>
      <w:tr w:rsidR="004A0B2E" w:rsidRPr="00B10684" w14:paraId="22937ED0" w14:textId="77777777" w:rsidTr="005A18A5">
        <w:trPr>
          <w:trHeight w:val="183"/>
        </w:trPr>
        <w:tc>
          <w:tcPr>
            <w:tcW w:w="757" w:type="dxa"/>
            <w:tcBorders>
              <w:top w:val="nil"/>
              <w:left w:val="single" w:sz="4" w:space="0" w:color="auto"/>
              <w:bottom w:val="single" w:sz="4" w:space="0" w:color="auto"/>
              <w:right w:val="single" w:sz="4" w:space="0" w:color="auto"/>
            </w:tcBorders>
            <w:shd w:val="clear" w:color="auto" w:fill="auto"/>
            <w:noWrap/>
            <w:vAlign w:val="center"/>
            <w:hideMark/>
          </w:tcPr>
          <w:p w14:paraId="63E37B96" w14:textId="77777777" w:rsidR="004A0B2E" w:rsidRPr="004A0B2E" w:rsidRDefault="004A0B2E" w:rsidP="004A0B2E">
            <w:pPr>
              <w:rPr>
                <w:rFonts w:ascii="Arial Narrow" w:hAnsi="Arial Narrow" w:cs="Calibri"/>
                <w:sz w:val="16"/>
                <w:szCs w:val="16"/>
              </w:rPr>
            </w:pPr>
            <w:r w:rsidRPr="004A0B2E">
              <w:rPr>
                <w:rFonts w:ascii="Arial Narrow" w:hAnsi="Arial Narrow" w:cs="Calibri"/>
                <w:sz w:val="16"/>
                <w:szCs w:val="16"/>
              </w:rPr>
              <w:t xml:space="preserve"> 11.5</w:t>
            </w:r>
          </w:p>
        </w:tc>
        <w:tc>
          <w:tcPr>
            <w:tcW w:w="5279" w:type="dxa"/>
            <w:tcBorders>
              <w:top w:val="nil"/>
              <w:left w:val="nil"/>
              <w:bottom w:val="single" w:sz="4" w:space="0" w:color="auto"/>
              <w:right w:val="single" w:sz="4" w:space="0" w:color="auto"/>
            </w:tcBorders>
            <w:shd w:val="clear" w:color="auto" w:fill="auto"/>
            <w:vAlign w:val="center"/>
            <w:hideMark/>
          </w:tcPr>
          <w:p w14:paraId="290925CD" w14:textId="77777777" w:rsidR="004A0B2E" w:rsidRPr="004A0B2E" w:rsidRDefault="004A0B2E" w:rsidP="004A0B2E">
            <w:pPr>
              <w:ind w:firstLineChars="100" w:firstLine="160"/>
              <w:rPr>
                <w:rFonts w:ascii="Arial Narrow" w:hAnsi="Arial Narrow" w:cs="Calibri"/>
                <w:sz w:val="16"/>
                <w:szCs w:val="16"/>
              </w:rPr>
            </w:pPr>
            <w:r w:rsidRPr="004A0B2E">
              <w:rPr>
                <w:rFonts w:ascii="Arial Narrow" w:hAnsi="Arial Narrow" w:cs="Calibri"/>
                <w:sz w:val="16"/>
                <w:szCs w:val="16"/>
              </w:rPr>
              <w:t>Птици</w:t>
            </w:r>
          </w:p>
        </w:tc>
        <w:tc>
          <w:tcPr>
            <w:tcW w:w="957" w:type="dxa"/>
            <w:tcBorders>
              <w:top w:val="nil"/>
              <w:left w:val="nil"/>
              <w:bottom w:val="single" w:sz="4" w:space="0" w:color="auto"/>
              <w:right w:val="single" w:sz="4" w:space="0" w:color="auto"/>
            </w:tcBorders>
            <w:shd w:val="clear" w:color="auto" w:fill="auto"/>
            <w:vAlign w:val="center"/>
            <w:hideMark/>
          </w:tcPr>
          <w:p w14:paraId="5EFBEA0F" w14:textId="77777777" w:rsidR="004A0B2E" w:rsidRPr="004A0B2E" w:rsidRDefault="004A0B2E" w:rsidP="004A0B2E">
            <w:pPr>
              <w:jc w:val="right"/>
              <w:rPr>
                <w:rFonts w:ascii="Arial Narrow" w:hAnsi="Arial Narrow" w:cs="Calibri"/>
                <w:sz w:val="16"/>
                <w:szCs w:val="16"/>
              </w:rPr>
            </w:pPr>
            <w:r w:rsidRPr="004A0B2E">
              <w:rPr>
                <w:rFonts w:ascii="Arial Narrow" w:hAnsi="Arial Narrow" w:cs="Calibri"/>
                <w:sz w:val="16"/>
                <w:szCs w:val="16"/>
              </w:rPr>
              <w:t>369,7</w:t>
            </w:r>
          </w:p>
        </w:tc>
        <w:tc>
          <w:tcPr>
            <w:tcW w:w="1118" w:type="dxa"/>
            <w:tcBorders>
              <w:top w:val="nil"/>
              <w:left w:val="nil"/>
              <w:bottom w:val="single" w:sz="4" w:space="0" w:color="auto"/>
              <w:right w:val="single" w:sz="4" w:space="0" w:color="auto"/>
            </w:tcBorders>
            <w:shd w:val="clear" w:color="auto" w:fill="auto"/>
            <w:vAlign w:val="center"/>
            <w:hideMark/>
          </w:tcPr>
          <w:p w14:paraId="014F3152" w14:textId="77777777" w:rsidR="004A0B2E" w:rsidRPr="004A0B2E" w:rsidRDefault="004A0B2E" w:rsidP="004A0B2E">
            <w:pPr>
              <w:jc w:val="right"/>
              <w:rPr>
                <w:rFonts w:ascii="Arial Narrow" w:hAnsi="Arial Narrow" w:cs="Calibri"/>
                <w:sz w:val="16"/>
                <w:szCs w:val="16"/>
              </w:rPr>
            </w:pPr>
            <w:r w:rsidRPr="004A0B2E">
              <w:rPr>
                <w:rFonts w:ascii="Arial Narrow" w:hAnsi="Arial Narrow" w:cs="Calibri"/>
                <w:sz w:val="16"/>
                <w:szCs w:val="16"/>
              </w:rPr>
              <w:t>18,2</w:t>
            </w:r>
          </w:p>
        </w:tc>
        <w:tc>
          <w:tcPr>
            <w:tcW w:w="957" w:type="dxa"/>
            <w:tcBorders>
              <w:top w:val="nil"/>
              <w:left w:val="nil"/>
              <w:bottom w:val="single" w:sz="4" w:space="0" w:color="auto"/>
              <w:right w:val="single" w:sz="4" w:space="0" w:color="auto"/>
            </w:tcBorders>
            <w:shd w:val="clear" w:color="auto" w:fill="auto"/>
            <w:vAlign w:val="center"/>
            <w:hideMark/>
          </w:tcPr>
          <w:p w14:paraId="5623D188" w14:textId="77777777" w:rsidR="004A0B2E" w:rsidRPr="004A0B2E" w:rsidRDefault="004A0B2E" w:rsidP="004A0B2E">
            <w:pPr>
              <w:jc w:val="right"/>
              <w:rPr>
                <w:rFonts w:ascii="Arial Narrow" w:hAnsi="Arial Narrow" w:cs="Calibri"/>
                <w:sz w:val="16"/>
                <w:szCs w:val="16"/>
              </w:rPr>
            </w:pPr>
            <w:r w:rsidRPr="004A0B2E">
              <w:rPr>
                <w:rFonts w:ascii="Arial Narrow" w:hAnsi="Arial Narrow" w:cs="Calibri"/>
                <w:sz w:val="16"/>
                <w:szCs w:val="16"/>
              </w:rPr>
              <w:t>436,9</w:t>
            </w:r>
          </w:p>
        </w:tc>
        <w:tc>
          <w:tcPr>
            <w:tcW w:w="1256" w:type="dxa"/>
            <w:tcBorders>
              <w:top w:val="nil"/>
              <w:left w:val="nil"/>
              <w:bottom w:val="single" w:sz="4" w:space="0" w:color="auto"/>
              <w:right w:val="single" w:sz="4" w:space="0" w:color="auto"/>
            </w:tcBorders>
            <w:shd w:val="clear" w:color="auto" w:fill="auto"/>
            <w:vAlign w:val="center"/>
            <w:hideMark/>
          </w:tcPr>
          <w:p w14:paraId="372A37D5" w14:textId="77777777" w:rsidR="004A0B2E" w:rsidRPr="004A0B2E" w:rsidRDefault="004A0B2E" w:rsidP="004A0B2E">
            <w:pPr>
              <w:jc w:val="right"/>
              <w:rPr>
                <w:rFonts w:ascii="Arial Narrow" w:hAnsi="Arial Narrow" w:cs="Calibri"/>
                <w:sz w:val="16"/>
                <w:szCs w:val="16"/>
              </w:rPr>
            </w:pPr>
            <w:r w:rsidRPr="004A0B2E">
              <w:rPr>
                <w:rFonts w:ascii="Arial Narrow" w:hAnsi="Arial Narrow" w:cs="Calibri"/>
                <w:sz w:val="16"/>
                <w:szCs w:val="16"/>
              </w:rPr>
              <w:t>-7,2</w:t>
            </w:r>
          </w:p>
        </w:tc>
        <w:tc>
          <w:tcPr>
            <w:tcW w:w="872" w:type="dxa"/>
            <w:tcBorders>
              <w:top w:val="nil"/>
              <w:left w:val="nil"/>
              <w:bottom w:val="single" w:sz="4" w:space="0" w:color="auto"/>
              <w:right w:val="single" w:sz="4" w:space="0" w:color="auto"/>
            </w:tcBorders>
            <w:shd w:val="clear" w:color="auto" w:fill="auto"/>
            <w:vAlign w:val="center"/>
            <w:hideMark/>
          </w:tcPr>
          <w:p w14:paraId="69ACBB1F" w14:textId="77777777" w:rsidR="004A0B2E" w:rsidRPr="004A0B2E" w:rsidRDefault="004A0B2E" w:rsidP="004A0B2E">
            <w:pPr>
              <w:jc w:val="right"/>
              <w:rPr>
                <w:rFonts w:ascii="Arial Narrow" w:hAnsi="Arial Narrow" w:cs="Calibri"/>
                <w:sz w:val="16"/>
                <w:szCs w:val="16"/>
              </w:rPr>
            </w:pPr>
            <w:r w:rsidRPr="004A0B2E">
              <w:rPr>
                <w:rFonts w:ascii="Arial Narrow" w:hAnsi="Arial Narrow" w:cs="Calibri"/>
                <w:sz w:val="16"/>
                <w:szCs w:val="16"/>
              </w:rPr>
              <w:t>405,4</w:t>
            </w:r>
          </w:p>
        </w:tc>
      </w:tr>
      <w:tr w:rsidR="004A0B2E" w:rsidRPr="00B10684" w14:paraId="379F1FC4" w14:textId="77777777" w:rsidTr="005A18A5">
        <w:trPr>
          <w:trHeight w:val="183"/>
        </w:trPr>
        <w:tc>
          <w:tcPr>
            <w:tcW w:w="757" w:type="dxa"/>
            <w:tcBorders>
              <w:top w:val="nil"/>
              <w:left w:val="single" w:sz="4" w:space="0" w:color="auto"/>
              <w:bottom w:val="single" w:sz="4" w:space="0" w:color="auto"/>
              <w:right w:val="single" w:sz="4" w:space="0" w:color="auto"/>
            </w:tcBorders>
            <w:shd w:val="clear" w:color="auto" w:fill="auto"/>
            <w:noWrap/>
            <w:vAlign w:val="center"/>
            <w:hideMark/>
          </w:tcPr>
          <w:p w14:paraId="0F74B048" w14:textId="77777777" w:rsidR="004A0B2E" w:rsidRPr="004A0B2E" w:rsidRDefault="004A0B2E" w:rsidP="004A0B2E">
            <w:pPr>
              <w:rPr>
                <w:rFonts w:ascii="Arial Narrow" w:hAnsi="Arial Narrow" w:cs="Calibri"/>
                <w:sz w:val="16"/>
                <w:szCs w:val="16"/>
              </w:rPr>
            </w:pPr>
            <w:r w:rsidRPr="004A0B2E">
              <w:rPr>
                <w:rFonts w:ascii="Arial Narrow" w:hAnsi="Arial Narrow" w:cs="Calibri"/>
                <w:sz w:val="16"/>
                <w:szCs w:val="16"/>
              </w:rPr>
              <w:t xml:space="preserve"> 11.6</w:t>
            </w:r>
          </w:p>
        </w:tc>
        <w:tc>
          <w:tcPr>
            <w:tcW w:w="5279" w:type="dxa"/>
            <w:tcBorders>
              <w:top w:val="nil"/>
              <w:left w:val="nil"/>
              <w:bottom w:val="single" w:sz="4" w:space="0" w:color="auto"/>
              <w:right w:val="single" w:sz="4" w:space="0" w:color="auto"/>
            </w:tcBorders>
            <w:shd w:val="clear" w:color="auto" w:fill="auto"/>
            <w:vAlign w:val="center"/>
            <w:hideMark/>
          </w:tcPr>
          <w:p w14:paraId="0A9B6EE9" w14:textId="77777777" w:rsidR="004A0B2E" w:rsidRPr="004A0B2E" w:rsidRDefault="004A0B2E" w:rsidP="004A0B2E">
            <w:pPr>
              <w:ind w:firstLineChars="100" w:firstLine="160"/>
              <w:rPr>
                <w:rFonts w:ascii="Arial Narrow" w:hAnsi="Arial Narrow" w:cs="Calibri"/>
                <w:sz w:val="16"/>
                <w:szCs w:val="16"/>
              </w:rPr>
            </w:pPr>
            <w:r w:rsidRPr="004A0B2E">
              <w:rPr>
                <w:rFonts w:ascii="Arial Narrow" w:hAnsi="Arial Narrow" w:cs="Calibri"/>
                <w:sz w:val="16"/>
                <w:szCs w:val="16"/>
              </w:rPr>
              <w:t>Други животни</w:t>
            </w:r>
          </w:p>
        </w:tc>
        <w:tc>
          <w:tcPr>
            <w:tcW w:w="957" w:type="dxa"/>
            <w:tcBorders>
              <w:top w:val="nil"/>
              <w:left w:val="nil"/>
              <w:bottom w:val="single" w:sz="4" w:space="0" w:color="auto"/>
              <w:right w:val="single" w:sz="4" w:space="0" w:color="auto"/>
            </w:tcBorders>
            <w:shd w:val="clear" w:color="auto" w:fill="auto"/>
            <w:vAlign w:val="center"/>
            <w:hideMark/>
          </w:tcPr>
          <w:p w14:paraId="07FA8F54" w14:textId="77777777" w:rsidR="004A0B2E" w:rsidRPr="004A0B2E" w:rsidRDefault="004A0B2E" w:rsidP="004A0B2E">
            <w:pPr>
              <w:jc w:val="right"/>
              <w:rPr>
                <w:rFonts w:ascii="Arial Narrow" w:hAnsi="Arial Narrow" w:cs="Calibri"/>
                <w:sz w:val="16"/>
                <w:szCs w:val="16"/>
              </w:rPr>
            </w:pPr>
            <w:r w:rsidRPr="004A0B2E">
              <w:rPr>
                <w:rFonts w:ascii="Arial Narrow" w:hAnsi="Arial Narrow" w:cs="Calibri"/>
                <w:sz w:val="16"/>
                <w:szCs w:val="16"/>
              </w:rPr>
              <w:t> </w:t>
            </w:r>
          </w:p>
        </w:tc>
        <w:tc>
          <w:tcPr>
            <w:tcW w:w="1118" w:type="dxa"/>
            <w:tcBorders>
              <w:top w:val="nil"/>
              <w:left w:val="nil"/>
              <w:bottom w:val="single" w:sz="4" w:space="0" w:color="auto"/>
              <w:right w:val="single" w:sz="4" w:space="0" w:color="auto"/>
            </w:tcBorders>
            <w:shd w:val="clear" w:color="auto" w:fill="auto"/>
            <w:vAlign w:val="center"/>
            <w:hideMark/>
          </w:tcPr>
          <w:p w14:paraId="32594336" w14:textId="77777777" w:rsidR="004A0B2E" w:rsidRPr="004A0B2E" w:rsidRDefault="004A0B2E" w:rsidP="004A0B2E">
            <w:pPr>
              <w:rPr>
                <w:rFonts w:ascii="Arial Narrow" w:hAnsi="Arial Narrow" w:cs="Calibri"/>
                <w:sz w:val="16"/>
                <w:szCs w:val="16"/>
              </w:rPr>
            </w:pPr>
            <w:r w:rsidRPr="004A0B2E">
              <w:rPr>
                <w:rFonts w:ascii="Arial Narrow" w:hAnsi="Arial Narrow" w:cs="Calibri"/>
                <w:sz w:val="16"/>
                <w:szCs w:val="16"/>
              </w:rPr>
              <w:t> </w:t>
            </w:r>
          </w:p>
        </w:tc>
        <w:tc>
          <w:tcPr>
            <w:tcW w:w="957" w:type="dxa"/>
            <w:tcBorders>
              <w:top w:val="nil"/>
              <w:left w:val="nil"/>
              <w:bottom w:val="single" w:sz="4" w:space="0" w:color="auto"/>
              <w:right w:val="single" w:sz="4" w:space="0" w:color="auto"/>
            </w:tcBorders>
            <w:shd w:val="clear" w:color="auto" w:fill="auto"/>
            <w:vAlign w:val="center"/>
            <w:hideMark/>
          </w:tcPr>
          <w:p w14:paraId="25744337" w14:textId="77777777" w:rsidR="004A0B2E" w:rsidRPr="004A0B2E" w:rsidRDefault="004A0B2E" w:rsidP="004A0B2E">
            <w:pPr>
              <w:jc w:val="right"/>
              <w:rPr>
                <w:rFonts w:ascii="Arial Narrow" w:hAnsi="Arial Narrow" w:cs="Calibri"/>
                <w:sz w:val="16"/>
                <w:szCs w:val="16"/>
              </w:rPr>
            </w:pPr>
            <w:r w:rsidRPr="004A0B2E">
              <w:rPr>
                <w:rFonts w:ascii="Arial Narrow" w:hAnsi="Arial Narrow" w:cs="Calibri"/>
                <w:sz w:val="16"/>
                <w:szCs w:val="16"/>
              </w:rPr>
              <w:t> </w:t>
            </w:r>
          </w:p>
        </w:tc>
        <w:tc>
          <w:tcPr>
            <w:tcW w:w="1256" w:type="dxa"/>
            <w:tcBorders>
              <w:top w:val="nil"/>
              <w:left w:val="nil"/>
              <w:bottom w:val="single" w:sz="4" w:space="0" w:color="auto"/>
              <w:right w:val="single" w:sz="4" w:space="0" w:color="auto"/>
            </w:tcBorders>
            <w:shd w:val="clear" w:color="auto" w:fill="auto"/>
            <w:vAlign w:val="center"/>
            <w:hideMark/>
          </w:tcPr>
          <w:p w14:paraId="78434B3A" w14:textId="77777777" w:rsidR="004A0B2E" w:rsidRPr="004A0B2E" w:rsidRDefault="004A0B2E" w:rsidP="004A0B2E">
            <w:pPr>
              <w:rPr>
                <w:rFonts w:ascii="Arial Narrow" w:hAnsi="Arial Narrow" w:cs="Calibri"/>
                <w:sz w:val="16"/>
                <w:szCs w:val="16"/>
              </w:rPr>
            </w:pPr>
            <w:r w:rsidRPr="004A0B2E">
              <w:rPr>
                <w:rFonts w:ascii="Arial Narrow" w:hAnsi="Arial Narrow" w:cs="Calibri"/>
                <w:sz w:val="16"/>
                <w:szCs w:val="16"/>
              </w:rPr>
              <w:t> </w:t>
            </w:r>
          </w:p>
        </w:tc>
        <w:tc>
          <w:tcPr>
            <w:tcW w:w="872" w:type="dxa"/>
            <w:tcBorders>
              <w:top w:val="nil"/>
              <w:left w:val="nil"/>
              <w:bottom w:val="single" w:sz="4" w:space="0" w:color="auto"/>
              <w:right w:val="single" w:sz="4" w:space="0" w:color="auto"/>
            </w:tcBorders>
            <w:shd w:val="clear" w:color="auto" w:fill="auto"/>
            <w:vAlign w:val="center"/>
            <w:hideMark/>
          </w:tcPr>
          <w:p w14:paraId="48A9DD64" w14:textId="77777777" w:rsidR="004A0B2E" w:rsidRPr="004A0B2E" w:rsidRDefault="004A0B2E" w:rsidP="008E26A1">
            <w:pPr>
              <w:jc w:val="right"/>
              <w:rPr>
                <w:rFonts w:ascii="Arial Narrow" w:hAnsi="Arial Narrow" w:cs="Calibri"/>
                <w:sz w:val="16"/>
                <w:szCs w:val="16"/>
              </w:rPr>
            </w:pPr>
          </w:p>
        </w:tc>
      </w:tr>
      <w:tr w:rsidR="004A0B2E" w:rsidRPr="00B10684" w14:paraId="41AA2EC2" w14:textId="77777777" w:rsidTr="005A18A5">
        <w:trPr>
          <w:trHeight w:val="183"/>
        </w:trPr>
        <w:tc>
          <w:tcPr>
            <w:tcW w:w="757" w:type="dxa"/>
            <w:tcBorders>
              <w:top w:val="nil"/>
              <w:left w:val="single" w:sz="4" w:space="0" w:color="auto"/>
              <w:bottom w:val="single" w:sz="4" w:space="0" w:color="auto"/>
              <w:right w:val="single" w:sz="4" w:space="0" w:color="auto"/>
            </w:tcBorders>
            <w:shd w:val="clear" w:color="auto" w:fill="auto"/>
            <w:noWrap/>
            <w:vAlign w:val="center"/>
            <w:hideMark/>
          </w:tcPr>
          <w:p w14:paraId="6E928541" w14:textId="77777777" w:rsidR="004A0B2E" w:rsidRPr="004A0B2E" w:rsidRDefault="004A0B2E" w:rsidP="004A0B2E">
            <w:pPr>
              <w:rPr>
                <w:rFonts w:ascii="Arial Narrow" w:hAnsi="Arial Narrow" w:cs="Calibri"/>
                <w:sz w:val="16"/>
                <w:szCs w:val="16"/>
              </w:rPr>
            </w:pPr>
            <w:r w:rsidRPr="004A0B2E">
              <w:rPr>
                <w:rFonts w:ascii="Arial Narrow" w:hAnsi="Arial Narrow" w:cs="Calibri"/>
                <w:sz w:val="16"/>
                <w:szCs w:val="16"/>
              </w:rPr>
              <w:t xml:space="preserve"> 12</w:t>
            </w:r>
          </w:p>
        </w:tc>
        <w:tc>
          <w:tcPr>
            <w:tcW w:w="5279" w:type="dxa"/>
            <w:tcBorders>
              <w:top w:val="nil"/>
              <w:left w:val="nil"/>
              <w:bottom w:val="single" w:sz="4" w:space="0" w:color="auto"/>
              <w:right w:val="single" w:sz="4" w:space="0" w:color="auto"/>
            </w:tcBorders>
            <w:shd w:val="clear" w:color="auto" w:fill="auto"/>
            <w:vAlign w:val="center"/>
            <w:hideMark/>
          </w:tcPr>
          <w:p w14:paraId="060F13C4" w14:textId="77777777" w:rsidR="004A0B2E" w:rsidRPr="004A0B2E" w:rsidRDefault="004A0B2E" w:rsidP="004A0B2E">
            <w:pPr>
              <w:rPr>
                <w:rFonts w:ascii="Arial Narrow" w:hAnsi="Arial Narrow" w:cs="Calibri"/>
                <w:sz w:val="16"/>
                <w:szCs w:val="16"/>
              </w:rPr>
            </w:pPr>
            <w:r w:rsidRPr="004A0B2E">
              <w:rPr>
                <w:rFonts w:ascii="Arial Narrow" w:hAnsi="Arial Narrow" w:cs="Calibri"/>
                <w:sz w:val="16"/>
                <w:szCs w:val="16"/>
              </w:rPr>
              <w:t>Продукти от животновъдството</w:t>
            </w:r>
          </w:p>
        </w:tc>
        <w:tc>
          <w:tcPr>
            <w:tcW w:w="957" w:type="dxa"/>
            <w:tcBorders>
              <w:top w:val="nil"/>
              <w:left w:val="nil"/>
              <w:bottom w:val="single" w:sz="4" w:space="0" w:color="auto"/>
              <w:right w:val="single" w:sz="4" w:space="0" w:color="auto"/>
            </w:tcBorders>
            <w:shd w:val="clear" w:color="auto" w:fill="auto"/>
            <w:vAlign w:val="center"/>
            <w:hideMark/>
          </w:tcPr>
          <w:p w14:paraId="0B75F124" w14:textId="77777777" w:rsidR="004A0B2E" w:rsidRPr="004A0B2E" w:rsidRDefault="004A0B2E" w:rsidP="004A0B2E">
            <w:pPr>
              <w:jc w:val="right"/>
              <w:rPr>
                <w:rFonts w:ascii="Arial Narrow" w:hAnsi="Arial Narrow" w:cs="Calibri"/>
                <w:sz w:val="16"/>
                <w:szCs w:val="16"/>
              </w:rPr>
            </w:pPr>
            <w:r w:rsidRPr="004A0B2E">
              <w:rPr>
                <w:rFonts w:ascii="Arial Narrow" w:hAnsi="Arial Narrow" w:cs="Calibri"/>
                <w:sz w:val="16"/>
                <w:szCs w:val="16"/>
              </w:rPr>
              <w:t>1 241,0</w:t>
            </w:r>
          </w:p>
        </w:tc>
        <w:tc>
          <w:tcPr>
            <w:tcW w:w="1118" w:type="dxa"/>
            <w:tcBorders>
              <w:top w:val="nil"/>
              <w:left w:val="nil"/>
              <w:bottom w:val="single" w:sz="4" w:space="0" w:color="auto"/>
              <w:right w:val="single" w:sz="4" w:space="0" w:color="auto"/>
            </w:tcBorders>
            <w:shd w:val="clear" w:color="auto" w:fill="auto"/>
            <w:vAlign w:val="center"/>
            <w:hideMark/>
          </w:tcPr>
          <w:p w14:paraId="46B0A8A0" w14:textId="77777777" w:rsidR="004A0B2E" w:rsidRPr="004A0B2E" w:rsidRDefault="004A0B2E" w:rsidP="004A0B2E">
            <w:pPr>
              <w:jc w:val="right"/>
              <w:rPr>
                <w:rFonts w:ascii="Arial Narrow" w:hAnsi="Arial Narrow" w:cs="Calibri"/>
                <w:sz w:val="16"/>
                <w:szCs w:val="16"/>
              </w:rPr>
            </w:pPr>
            <w:r w:rsidRPr="004A0B2E">
              <w:rPr>
                <w:rFonts w:ascii="Arial Narrow" w:hAnsi="Arial Narrow" w:cs="Calibri"/>
                <w:sz w:val="16"/>
                <w:szCs w:val="16"/>
              </w:rPr>
              <w:t>-0,6</w:t>
            </w:r>
          </w:p>
        </w:tc>
        <w:tc>
          <w:tcPr>
            <w:tcW w:w="957" w:type="dxa"/>
            <w:tcBorders>
              <w:top w:val="nil"/>
              <w:left w:val="nil"/>
              <w:bottom w:val="single" w:sz="4" w:space="0" w:color="auto"/>
              <w:right w:val="single" w:sz="4" w:space="0" w:color="auto"/>
            </w:tcBorders>
            <w:shd w:val="clear" w:color="auto" w:fill="auto"/>
            <w:vAlign w:val="center"/>
            <w:hideMark/>
          </w:tcPr>
          <w:p w14:paraId="0241E4F6" w14:textId="77777777" w:rsidR="004A0B2E" w:rsidRPr="004A0B2E" w:rsidRDefault="004A0B2E" w:rsidP="004A0B2E">
            <w:pPr>
              <w:jc w:val="right"/>
              <w:rPr>
                <w:rFonts w:ascii="Arial Narrow" w:hAnsi="Arial Narrow" w:cs="Calibri"/>
                <w:sz w:val="16"/>
                <w:szCs w:val="16"/>
              </w:rPr>
            </w:pPr>
            <w:r w:rsidRPr="004A0B2E">
              <w:rPr>
                <w:rFonts w:ascii="Arial Narrow" w:hAnsi="Arial Narrow" w:cs="Calibri"/>
                <w:sz w:val="16"/>
                <w:szCs w:val="16"/>
              </w:rPr>
              <w:t>1 233,7</w:t>
            </w:r>
          </w:p>
        </w:tc>
        <w:tc>
          <w:tcPr>
            <w:tcW w:w="1256" w:type="dxa"/>
            <w:tcBorders>
              <w:top w:val="nil"/>
              <w:left w:val="nil"/>
              <w:bottom w:val="single" w:sz="4" w:space="0" w:color="auto"/>
              <w:right w:val="single" w:sz="4" w:space="0" w:color="auto"/>
            </w:tcBorders>
            <w:shd w:val="clear" w:color="auto" w:fill="auto"/>
            <w:vAlign w:val="center"/>
            <w:hideMark/>
          </w:tcPr>
          <w:p w14:paraId="34F954E2" w14:textId="77777777" w:rsidR="004A0B2E" w:rsidRPr="004A0B2E" w:rsidRDefault="004A0B2E" w:rsidP="004A0B2E">
            <w:pPr>
              <w:jc w:val="right"/>
              <w:rPr>
                <w:rFonts w:ascii="Arial Narrow" w:hAnsi="Arial Narrow" w:cs="Calibri"/>
                <w:sz w:val="16"/>
                <w:szCs w:val="16"/>
              </w:rPr>
            </w:pPr>
            <w:r w:rsidRPr="004A0B2E">
              <w:rPr>
                <w:rFonts w:ascii="Arial Narrow" w:hAnsi="Arial Narrow" w:cs="Calibri"/>
                <w:sz w:val="16"/>
                <w:szCs w:val="16"/>
              </w:rPr>
              <w:t>-11,0</w:t>
            </w:r>
          </w:p>
        </w:tc>
        <w:tc>
          <w:tcPr>
            <w:tcW w:w="872" w:type="dxa"/>
            <w:tcBorders>
              <w:top w:val="nil"/>
              <w:left w:val="nil"/>
              <w:bottom w:val="single" w:sz="4" w:space="0" w:color="auto"/>
              <w:right w:val="single" w:sz="4" w:space="0" w:color="auto"/>
            </w:tcBorders>
            <w:shd w:val="clear" w:color="auto" w:fill="auto"/>
            <w:vAlign w:val="center"/>
            <w:hideMark/>
          </w:tcPr>
          <w:p w14:paraId="5C3A3FB0" w14:textId="77777777" w:rsidR="004A0B2E" w:rsidRPr="004A0B2E" w:rsidRDefault="004A0B2E" w:rsidP="004A0B2E">
            <w:pPr>
              <w:jc w:val="right"/>
              <w:rPr>
                <w:rFonts w:ascii="Arial Narrow" w:hAnsi="Arial Narrow" w:cs="Calibri"/>
                <w:sz w:val="16"/>
                <w:szCs w:val="16"/>
              </w:rPr>
            </w:pPr>
            <w:r w:rsidRPr="004A0B2E">
              <w:rPr>
                <w:rFonts w:ascii="Arial Narrow" w:hAnsi="Arial Narrow" w:cs="Calibri"/>
                <w:sz w:val="16"/>
                <w:szCs w:val="16"/>
              </w:rPr>
              <w:t>1 097,8</w:t>
            </w:r>
          </w:p>
        </w:tc>
      </w:tr>
      <w:tr w:rsidR="004A0B2E" w:rsidRPr="00B10684" w14:paraId="3395350E" w14:textId="77777777" w:rsidTr="005A18A5">
        <w:trPr>
          <w:trHeight w:val="183"/>
        </w:trPr>
        <w:tc>
          <w:tcPr>
            <w:tcW w:w="757" w:type="dxa"/>
            <w:tcBorders>
              <w:top w:val="nil"/>
              <w:left w:val="single" w:sz="4" w:space="0" w:color="auto"/>
              <w:bottom w:val="single" w:sz="4" w:space="0" w:color="auto"/>
              <w:right w:val="single" w:sz="4" w:space="0" w:color="auto"/>
            </w:tcBorders>
            <w:shd w:val="clear" w:color="auto" w:fill="auto"/>
            <w:noWrap/>
            <w:vAlign w:val="center"/>
            <w:hideMark/>
          </w:tcPr>
          <w:p w14:paraId="38D0B0ED" w14:textId="77777777" w:rsidR="004A0B2E" w:rsidRPr="004A0B2E" w:rsidRDefault="004A0B2E" w:rsidP="004A0B2E">
            <w:pPr>
              <w:rPr>
                <w:rFonts w:ascii="Arial Narrow" w:hAnsi="Arial Narrow" w:cs="Calibri"/>
                <w:sz w:val="16"/>
                <w:szCs w:val="16"/>
              </w:rPr>
            </w:pPr>
            <w:r w:rsidRPr="004A0B2E">
              <w:rPr>
                <w:rFonts w:ascii="Arial Narrow" w:hAnsi="Arial Narrow" w:cs="Calibri"/>
                <w:sz w:val="16"/>
                <w:szCs w:val="16"/>
              </w:rPr>
              <w:t xml:space="preserve"> 12.1</w:t>
            </w:r>
          </w:p>
        </w:tc>
        <w:tc>
          <w:tcPr>
            <w:tcW w:w="5279" w:type="dxa"/>
            <w:tcBorders>
              <w:top w:val="nil"/>
              <w:left w:val="nil"/>
              <w:bottom w:val="single" w:sz="4" w:space="0" w:color="auto"/>
              <w:right w:val="single" w:sz="4" w:space="0" w:color="auto"/>
            </w:tcBorders>
            <w:shd w:val="clear" w:color="auto" w:fill="auto"/>
            <w:vAlign w:val="center"/>
            <w:hideMark/>
          </w:tcPr>
          <w:p w14:paraId="392055E1" w14:textId="77777777" w:rsidR="004A0B2E" w:rsidRPr="004A0B2E" w:rsidRDefault="004A0B2E" w:rsidP="004A0B2E">
            <w:pPr>
              <w:ind w:firstLineChars="100" w:firstLine="160"/>
              <w:rPr>
                <w:rFonts w:ascii="Arial Narrow" w:hAnsi="Arial Narrow" w:cs="Calibri"/>
                <w:sz w:val="16"/>
                <w:szCs w:val="16"/>
              </w:rPr>
            </w:pPr>
            <w:r w:rsidRPr="004A0B2E">
              <w:rPr>
                <w:rFonts w:ascii="Arial Narrow" w:hAnsi="Arial Narrow" w:cs="Calibri"/>
                <w:sz w:val="16"/>
                <w:szCs w:val="16"/>
              </w:rPr>
              <w:t>Мляко</w:t>
            </w:r>
          </w:p>
        </w:tc>
        <w:tc>
          <w:tcPr>
            <w:tcW w:w="957" w:type="dxa"/>
            <w:tcBorders>
              <w:top w:val="nil"/>
              <w:left w:val="nil"/>
              <w:bottom w:val="single" w:sz="4" w:space="0" w:color="auto"/>
              <w:right w:val="single" w:sz="4" w:space="0" w:color="auto"/>
            </w:tcBorders>
            <w:shd w:val="clear" w:color="auto" w:fill="auto"/>
            <w:vAlign w:val="center"/>
            <w:hideMark/>
          </w:tcPr>
          <w:p w14:paraId="288B7427" w14:textId="77777777" w:rsidR="004A0B2E" w:rsidRPr="004A0B2E" w:rsidRDefault="004A0B2E" w:rsidP="004A0B2E">
            <w:pPr>
              <w:jc w:val="right"/>
              <w:rPr>
                <w:rFonts w:ascii="Arial Narrow" w:hAnsi="Arial Narrow" w:cs="Calibri"/>
                <w:sz w:val="16"/>
                <w:szCs w:val="16"/>
              </w:rPr>
            </w:pPr>
            <w:r w:rsidRPr="004A0B2E">
              <w:rPr>
                <w:rFonts w:ascii="Arial Narrow" w:hAnsi="Arial Narrow" w:cs="Calibri"/>
                <w:sz w:val="16"/>
                <w:szCs w:val="16"/>
              </w:rPr>
              <w:t>789,7</w:t>
            </w:r>
          </w:p>
        </w:tc>
        <w:tc>
          <w:tcPr>
            <w:tcW w:w="1118" w:type="dxa"/>
            <w:tcBorders>
              <w:top w:val="nil"/>
              <w:left w:val="nil"/>
              <w:bottom w:val="single" w:sz="4" w:space="0" w:color="auto"/>
              <w:right w:val="single" w:sz="4" w:space="0" w:color="auto"/>
            </w:tcBorders>
            <w:shd w:val="clear" w:color="auto" w:fill="auto"/>
            <w:vAlign w:val="center"/>
            <w:hideMark/>
          </w:tcPr>
          <w:p w14:paraId="08F3C6BA" w14:textId="77777777" w:rsidR="004A0B2E" w:rsidRPr="004A0B2E" w:rsidRDefault="004A0B2E" w:rsidP="004A0B2E">
            <w:pPr>
              <w:jc w:val="right"/>
              <w:rPr>
                <w:rFonts w:ascii="Arial Narrow" w:hAnsi="Arial Narrow" w:cs="Calibri"/>
                <w:sz w:val="16"/>
                <w:szCs w:val="16"/>
              </w:rPr>
            </w:pPr>
            <w:r w:rsidRPr="004A0B2E">
              <w:rPr>
                <w:rFonts w:ascii="Arial Narrow" w:hAnsi="Arial Narrow" w:cs="Calibri"/>
                <w:sz w:val="16"/>
                <w:szCs w:val="16"/>
              </w:rPr>
              <w:t>-9,8</w:t>
            </w:r>
          </w:p>
        </w:tc>
        <w:tc>
          <w:tcPr>
            <w:tcW w:w="957" w:type="dxa"/>
            <w:tcBorders>
              <w:top w:val="nil"/>
              <w:left w:val="nil"/>
              <w:bottom w:val="single" w:sz="4" w:space="0" w:color="auto"/>
              <w:right w:val="single" w:sz="4" w:space="0" w:color="auto"/>
            </w:tcBorders>
            <w:shd w:val="clear" w:color="auto" w:fill="auto"/>
            <w:vAlign w:val="center"/>
            <w:hideMark/>
          </w:tcPr>
          <w:p w14:paraId="0B1B76C9" w14:textId="77777777" w:rsidR="004A0B2E" w:rsidRPr="004A0B2E" w:rsidRDefault="004A0B2E" w:rsidP="004A0B2E">
            <w:pPr>
              <w:jc w:val="right"/>
              <w:rPr>
                <w:rFonts w:ascii="Arial Narrow" w:hAnsi="Arial Narrow" w:cs="Calibri"/>
                <w:sz w:val="16"/>
                <w:szCs w:val="16"/>
              </w:rPr>
            </w:pPr>
            <w:r w:rsidRPr="004A0B2E">
              <w:rPr>
                <w:rFonts w:ascii="Arial Narrow" w:hAnsi="Arial Narrow" w:cs="Calibri"/>
                <w:sz w:val="16"/>
                <w:szCs w:val="16"/>
              </w:rPr>
              <w:t>712,2</w:t>
            </w:r>
          </w:p>
        </w:tc>
        <w:tc>
          <w:tcPr>
            <w:tcW w:w="1256" w:type="dxa"/>
            <w:tcBorders>
              <w:top w:val="nil"/>
              <w:left w:val="nil"/>
              <w:bottom w:val="single" w:sz="4" w:space="0" w:color="auto"/>
              <w:right w:val="single" w:sz="4" w:space="0" w:color="auto"/>
            </w:tcBorders>
            <w:shd w:val="clear" w:color="auto" w:fill="auto"/>
            <w:vAlign w:val="center"/>
            <w:hideMark/>
          </w:tcPr>
          <w:p w14:paraId="37A8ACC0" w14:textId="77777777" w:rsidR="004A0B2E" w:rsidRPr="004A0B2E" w:rsidRDefault="004A0B2E" w:rsidP="004A0B2E">
            <w:pPr>
              <w:jc w:val="right"/>
              <w:rPr>
                <w:rFonts w:ascii="Arial Narrow" w:hAnsi="Arial Narrow" w:cs="Calibri"/>
                <w:sz w:val="16"/>
                <w:szCs w:val="16"/>
              </w:rPr>
            </w:pPr>
            <w:r w:rsidRPr="004A0B2E">
              <w:rPr>
                <w:rFonts w:ascii="Arial Narrow" w:hAnsi="Arial Narrow" w:cs="Calibri"/>
                <w:sz w:val="16"/>
                <w:szCs w:val="16"/>
              </w:rPr>
              <w:t>-2,7</w:t>
            </w:r>
          </w:p>
        </w:tc>
        <w:tc>
          <w:tcPr>
            <w:tcW w:w="872" w:type="dxa"/>
            <w:tcBorders>
              <w:top w:val="nil"/>
              <w:left w:val="nil"/>
              <w:bottom w:val="single" w:sz="4" w:space="0" w:color="auto"/>
              <w:right w:val="single" w:sz="4" w:space="0" w:color="auto"/>
            </w:tcBorders>
            <w:shd w:val="clear" w:color="auto" w:fill="auto"/>
            <w:vAlign w:val="center"/>
            <w:hideMark/>
          </w:tcPr>
          <w:p w14:paraId="5CF81046" w14:textId="77777777" w:rsidR="004A0B2E" w:rsidRPr="004A0B2E" w:rsidRDefault="004A0B2E" w:rsidP="004A0B2E">
            <w:pPr>
              <w:jc w:val="right"/>
              <w:rPr>
                <w:rFonts w:ascii="Arial Narrow" w:hAnsi="Arial Narrow" w:cs="Calibri"/>
                <w:sz w:val="16"/>
                <w:szCs w:val="16"/>
              </w:rPr>
            </w:pPr>
            <w:r w:rsidRPr="004A0B2E">
              <w:rPr>
                <w:rFonts w:ascii="Arial Narrow" w:hAnsi="Arial Narrow" w:cs="Calibri"/>
                <w:sz w:val="16"/>
                <w:szCs w:val="16"/>
              </w:rPr>
              <w:t>693,0</w:t>
            </w:r>
          </w:p>
        </w:tc>
      </w:tr>
      <w:tr w:rsidR="004A0B2E" w:rsidRPr="00B10684" w14:paraId="05231C88" w14:textId="77777777" w:rsidTr="005A18A5">
        <w:trPr>
          <w:trHeight w:val="183"/>
        </w:trPr>
        <w:tc>
          <w:tcPr>
            <w:tcW w:w="757" w:type="dxa"/>
            <w:tcBorders>
              <w:top w:val="nil"/>
              <w:left w:val="single" w:sz="4" w:space="0" w:color="auto"/>
              <w:bottom w:val="single" w:sz="4" w:space="0" w:color="auto"/>
              <w:right w:val="single" w:sz="4" w:space="0" w:color="auto"/>
            </w:tcBorders>
            <w:shd w:val="clear" w:color="auto" w:fill="auto"/>
            <w:noWrap/>
            <w:vAlign w:val="center"/>
            <w:hideMark/>
          </w:tcPr>
          <w:p w14:paraId="7E213BF0" w14:textId="77777777" w:rsidR="004A0B2E" w:rsidRPr="004A0B2E" w:rsidRDefault="004A0B2E" w:rsidP="004A0B2E">
            <w:pPr>
              <w:rPr>
                <w:rFonts w:ascii="Arial Narrow" w:hAnsi="Arial Narrow" w:cs="Calibri"/>
                <w:sz w:val="16"/>
                <w:szCs w:val="16"/>
              </w:rPr>
            </w:pPr>
            <w:r w:rsidRPr="004A0B2E">
              <w:rPr>
                <w:rFonts w:ascii="Arial Narrow" w:hAnsi="Arial Narrow" w:cs="Calibri"/>
                <w:sz w:val="16"/>
                <w:szCs w:val="16"/>
              </w:rPr>
              <w:t xml:space="preserve"> 12.2</w:t>
            </w:r>
          </w:p>
        </w:tc>
        <w:tc>
          <w:tcPr>
            <w:tcW w:w="5279" w:type="dxa"/>
            <w:tcBorders>
              <w:top w:val="nil"/>
              <w:left w:val="nil"/>
              <w:bottom w:val="single" w:sz="4" w:space="0" w:color="auto"/>
              <w:right w:val="single" w:sz="4" w:space="0" w:color="auto"/>
            </w:tcBorders>
            <w:shd w:val="clear" w:color="auto" w:fill="auto"/>
            <w:vAlign w:val="center"/>
            <w:hideMark/>
          </w:tcPr>
          <w:p w14:paraId="5C056EEE" w14:textId="77777777" w:rsidR="004A0B2E" w:rsidRPr="004A0B2E" w:rsidRDefault="004A0B2E" w:rsidP="004A0B2E">
            <w:pPr>
              <w:ind w:firstLineChars="100" w:firstLine="160"/>
              <w:rPr>
                <w:rFonts w:ascii="Arial Narrow" w:hAnsi="Arial Narrow" w:cs="Calibri"/>
                <w:sz w:val="16"/>
                <w:szCs w:val="16"/>
              </w:rPr>
            </w:pPr>
            <w:r w:rsidRPr="004A0B2E">
              <w:rPr>
                <w:rFonts w:ascii="Arial Narrow" w:hAnsi="Arial Narrow" w:cs="Calibri"/>
                <w:sz w:val="16"/>
                <w:szCs w:val="16"/>
              </w:rPr>
              <w:t>Яйца</w:t>
            </w:r>
          </w:p>
        </w:tc>
        <w:tc>
          <w:tcPr>
            <w:tcW w:w="957" w:type="dxa"/>
            <w:tcBorders>
              <w:top w:val="nil"/>
              <w:left w:val="nil"/>
              <w:bottom w:val="single" w:sz="4" w:space="0" w:color="auto"/>
              <w:right w:val="single" w:sz="4" w:space="0" w:color="auto"/>
            </w:tcBorders>
            <w:shd w:val="clear" w:color="auto" w:fill="auto"/>
            <w:vAlign w:val="center"/>
            <w:hideMark/>
          </w:tcPr>
          <w:p w14:paraId="577D8D55" w14:textId="77777777" w:rsidR="004A0B2E" w:rsidRPr="004A0B2E" w:rsidRDefault="004A0B2E" w:rsidP="004A0B2E">
            <w:pPr>
              <w:jc w:val="right"/>
              <w:rPr>
                <w:rFonts w:ascii="Arial Narrow" w:hAnsi="Arial Narrow" w:cs="Calibri"/>
                <w:sz w:val="16"/>
                <w:szCs w:val="16"/>
              </w:rPr>
            </w:pPr>
            <w:r w:rsidRPr="004A0B2E">
              <w:rPr>
                <w:rFonts w:ascii="Arial Narrow" w:hAnsi="Arial Narrow" w:cs="Calibri"/>
                <w:sz w:val="16"/>
                <w:szCs w:val="16"/>
              </w:rPr>
              <w:t>318,6</w:t>
            </w:r>
          </w:p>
        </w:tc>
        <w:tc>
          <w:tcPr>
            <w:tcW w:w="1118" w:type="dxa"/>
            <w:tcBorders>
              <w:top w:val="nil"/>
              <w:left w:val="nil"/>
              <w:bottom w:val="single" w:sz="4" w:space="0" w:color="auto"/>
              <w:right w:val="single" w:sz="4" w:space="0" w:color="auto"/>
            </w:tcBorders>
            <w:shd w:val="clear" w:color="auto" w:fill="auto"/>
            <w:vAlign w:val="center"/>
            <w:hideMark/>
          </w:tcPr>
          <w:p w14:paraId="06A3CCCD" w14:textId="77777777" w:rsidR="004A0B2E" w:rsidRPr="004A0B2E" w:rsidRDefault="004A0B2E" w:rsidP="004A0B2E">
            <w:pPr>
              <w:jc w:val="right"/>
              <w:rPr>
                <w:rFonts w:ascii="Arial Narrow" w:hAnsi="Arial Narrow" w:cs="Calibri"/>
                <w:sz w:val="16"/>
                <w:szCs w:val="16"/>
              </w:rPr>
            </w:pPr>
            <w:r w:rsidRPr="004A0B2E">
              <w:rPr>
                <w:rFonts w:ascii="Arial Narrow" w:hAnsi="Arial Narrow" w:cs="Calibri"/>
                <w:sz w:val="16"/>
                <w:szCs w:val="16"/>
              </w:rPr>
              <w:t>24,6</w:t>
            </w:r>
          </w:p>
        </w:tc>
        <w:tc>
          <w:tcPr>
            <w:tcW w:w="957" w:type="dxa"/>
            <w:tcBorders>
              <w:top w:val="nil"/>
              <w:left w:val="nil"/>
              <w:bottom w:val="single" w:sz="4" w:space="0" w:color="auto"/>
              <w:right w:val="single" w:sz="4" w:space="0" w:color="auto"/>
            </w:tcBorders>
            <w:shd w:val="clear" w:color="auto" w:fill="auto"/>
            <w:vAlign w:val="center"/>
            <w:hideMark/>
          </w:tcPr>
          <w:p w14:paraId="54F47C8F" w14:textId="77777777" w:rsidR="004A0B2E" w:rsidRPr="004A0B2E" w:rsidRDefault="004A0B2E" w:rsidP="004A0B2E">
            <w:pPr>
              <w:jc w:val="right"/>
              <w:rPr>
                <w:rFonts w:ascii="Arial Narrow" w:hAnsi="Arial Narrow" w:cs="Calibri"/>
                <w:sz w:val="16"/>
                <w:szCs w:val="16"/>
              </w:rPr>
            </w:pPr>
            <w:r w:rsidRPr="004A0B2E">
              <w:rPr>
                <w:rFonts w:ascii="Arial Narrow" w:hAnsi="Arial Narrow" w:cs="Calibri"/>
                <w:sz w:val="16"/>
                <w:szCs w:val="16"/>
              </w:rPr>
              <w:t>397,0</w:t>
            </w:r>
          </w:p>
        </w:tc>
        <w:tc>
          <w:tcPr>
            <w:tcW w:w="1256" w:type="dxa"/>
            <w:tcBorders>
              <w:top w:val="nil"/>
              <w:left w:val="nil"/>
              <w:bottom w:val="single" w:sz="4" w:space="0" w:color="auto"/>
              <w:right w:val="single" w:sz="4" w:space="0" w:color="auto"/>
            </w:tcBorders>
            <w:shd w:val="clear" w:color="auto" w:fill="auto"/>
            <w:vAlign w:val="center"/>
            <w:hideMark/>
          </w:tcPr>
          <w:p w14:paraId="425B5A9B" w14:textId="77777777" w:rsidR="004A0B2E" w:rsidRPr="004A0B2E" w:rsidRDefault="004A0B2E" w:rsidP="004A0B2E">
            <w:pPr>
              <w:jc w:val="right"/>
              <w:rPr>
                <w:rFonts w:ascii="Arial Narrow" w:hAnsi="Arial Narrow" w:cs="Calibri"/>
                <w:sz w:val="16"/>
                <w:szCs w:val="16"/>
              </w:rPr>
            </w:pPr>
            <w:r w:rsidRPr="004A0B2E">
              <w:rPr>
                <w:rFonts w:ascii="Arial Narrow" w:hAnsi="Arial Narrow" w:cs="Calibri"/>
                <w:sz w:val="16"/>
                <w:szCs w:val="16"/>
              </w:rPr>
              <w:t>-23,6</w:t>
            </w:r>
          </w:p>
        </w:tc>
        <w:tc>
          <w:tcPr>
            <w:tcW w:w="872" w:type="dxa"/>
            <w:tcBorders>
              <w:top w:val="nil"/>
              <w:left w:val="nil"/>
              <w:bottom w:val="single" w:sz="4" w:space="0" w:color="auto"/>
              <w:right w:val="single" w:sz="4" w:space="0" w:color="auto"/>
            </w:tcBorders>
            <w:shd w:val="clear" w:color="auto" w:fill="auto"/>
            <w:vAlign w:val="center"/>
            <w:hideMark/>
          </w:tcPr>
          <w:p w14:paraId="45AFD249" w14:textId="77777777" w:rsidR="004A0B2E" w:rsidRPr="004A0B2E" w:rsidRDefault="004A0B2E" w:rsidP="004A0B2E">
            <w:pPr>
              <w:jc w:val="right"/>
              <w:rPr>
                <w:rFonts w:ascii="Arial Narrow" w:hAnsi="Arial Narrow" w:cs="Calibri"/>
                <w:sz w:val="16"/>
                <w:szCs w:val="16"/>
              </w:rPr>
            </w:pPr>
            <w:r w:rsidRPr="004A0B2E">
              <w:rPr>
                <w:rFonts w:ascii="Arial Narrow" w:hAnsi="Arial Narrow" w:cs="Calibri"/>
                <w:sz w:val="16"/>
                <w:szCs w:val="16"/>
              </w:rPr>
              <w:t>303,4</w:t>
            </w:r>
          </w:p>
        </w:tc>
      </w:tr>
      <w:tr w:rsidR="004A0B2E" w:rsidRPr="00B10684" w14:paraId="59D20A52" w14:textId="77777777" w:rsidTr="005A18A5">
        <w:trPr>
          <w:trHeight w:val="183"/>
        </w:trPr>
        <w:tc>
          <w:tcPr>
            <w:tcW w:w="757" w:type="dxa"/>
            <w:tcBorders>
              <w:top w:val="nil"/>
              <w:left w:val="single" w:sz="4" w:space="0" w:color="auto"/>
              <w:bottom w:val="single" w:sz="4" w:space="0" w:color="auto"/>
              <w:right w:val="single" w:sz="4" w:space="0" w:color="auto"/>
            </w:tcBorders>
            <w:shd w:val="clear" w:color="auto" w:fill="auto"/>
            <w:noWrap/>
            <w:vAlign w:val="center"/>
            <w:hideMark/>
          </w:tcPr>
          <w:p w14:paraId="2F0A3100" w14:textId="77777777" w:rsidR="004A0B2E" w:rsidRPr="004A0B2E" w:rsidRDefault="004A0B2E" w:rsidP="004A0B2E">
            <w:pPr>
              <w:rPr>
                <w:rFonts w:ascii="Arial Narrow" w:hAnsi="Arial Narrow" w:cs="Calibri"/>
                <w:sz w:val="16"/>
                <w:szCs w:val="16"/>
              </w:rPr>
            </w:pPr>
            <w:r w:rsidRPr="004A0B2E">
              <w:rPr>
                <w:rFonts w:ascii="Arial Narrow" w:hAnsi="Arial Narrow" w:cs="Calibri"/>
                <w:sz w:val="16"/>
                <w:szCs w:val="16"/>
              </w:rPr>
              <w:t xml:space="preserve"> 12.3</w:t>
            </w:r>
          </w:p>
        </w:tc>
        <w:tc>
          <w:tcPr>
            <w:tcW w:w="5279" w:type="dxa"/>
            <w:tcBorders>
              <w:top w:val="nil"/>
              <w:left w:val="nil"/>
              <w:bottom w:val="single" w:sz="4" w:space="0" w:color="auto"/>
              <w:right w:val="single" w:sz="4" w:space="0" w:color="auto"/>
            </w:tcBorders>
            <w:shd w:val="clear" w:color="auto" w:fill="auto"/>
            <w:vAlign w:val="center"/>
            <w:hideMark/>
          </w:tcPr>
          <w:p w14:paraId="35068B31" w14:textId="77777777" w:rsidR="004A0B2E" w:rsidRPr="004A0B2E" w:rsidRDefault="004A0B2E" w:rsidP="004A0B2E">
            <w:pPr>
              <w:ind w:firstLineChars="100" w:firstLine="160"/>
              <w:rPr>
                <w:rFonts w:ascii="Arial Narrow" w:hAnsi="Arial Narrow" w:cs="Calibri"/>
                <w:sz w:val="16"/>
                <w:szCs w:val="16"/>
              </w:rPr>
            </w:pPr>
            <w:r w:rsidRPr="004A0B2E">
              <w:rPr>
                <w:rFonts w:ascii="Arial Narrow" w:hAnsi="Arial Narrow" w:cs="Calibri"/>
                <w:sz w:val="16"/>
                <w:szCs w:val="16"/>
              </w:rPr>
              <w:t>Други продукти от животновъдството</w:t>
            </w:r>
          </w:p>
        </w:tc>
        <w:tc>
          <w:tcPr>
            <w:tcW w:w="957" w:type="dxa"/>
            <w:tcBorders>
              <w:top w:val="nil"/>
              <w:left w:val="nil"/>
              <w:bottom w:val="single" w:sz="4" w:space="0" w:color="auto"/>
              <w:right w:val="single" w:sz="4" w:space="0" w:color="auto"/>
            </w:tcBorders>
            <w:shd w:val="clear" w:color="auto" w:fill="auto"/>
            <w:vAlign w:val="center"/>
            <w:hideMark/>
          </w:tcPr>
          <w:p w14:paraId="5716A77F" w14:textId="77777777" w:rsidR="004A0B2E" w:rsidRPr="004A0B2E" w:rsidRDefault="004A0B2E" w:rsidP="004A0B2E">
            <w:pPr>
              <w:jc w:val="right"/>
              <w:rPr>
                <w:rFonts w:ascii="Arial Narrow" w:hAnsi="Arial Narrow" w:cs="Calibri"/>
                <w:sz w:val="16"/>
                <w:szCs w:val="16"/>
              </w:rPr>
            </w:pPr>
            <w:r w:rsidRPr="004A0B2E">
              <w:rPr>
                <w:rFonts w:ascii="Arial Narrow" w:hAnsi="Arial Narrow" w:cs="Calibri"/>
                <w:sz w:val="16"/>
                <w:szCs w:val="16"/>
              </w:rPr>
              <w:t>132,7</w:t>
            </w:r>
          </w:p>
        </w:tc>
        <w:tc>
          <w:tcPr>
            <w:tcW w:w="1118" w:type="dxa"/>
            <w:tcBorders>
              <w:top w:val="nil"/>
              <w:left w:val="nil"/>
              <w:bottom w:val="single" w:sz="4" w:space="0" w:color="auto"/>
              <w:right w:val="single" w:sz="4" w:space="0" w:color="auto"/>
            </w:tcBorders>
            <w:shd w:val="clear" w:color="auto" w:fill="auto"/>
            <w:vAlign w:val="center"/>
            <w:hideMark/>
          </w:tcPr>
          <w:p w14:paraId="1B24A508" w14:textId="77777777" w:rsidR="004A0B2E" w:rsidRPr="004A0B2E" w:rsidRDefault="004A0B2E" w:rsidP="004A0B2E">
            <w:pPr>
              <w:jc w:val="right"/>
              <w:rPr>
                <w:rFonts w:ascii="Arial Narrow" w:hAnsi="Arial Narrow" w:cs="Calibri"/>
                <w:sz w:val="16"/>
                <w:szCs w:val="16"/>
              </w:rPr>
            </w:pPr>
            <w:r w:rsidRPr="004A0B2E">
              <w:rPr>
                <w:rFonts w:ascii="Arial Narrow" w:hAnsi="Arial Narrow" w:cs="Calibri"/>
                <w:sz w:val="16"/>
                <w:szCs w:val="16"/>
              </w:rPr>
              <w:t>-6,2</w:t>
            </w:r>
          </w:p>
        </w:tc>
        <w:tc>
          <w:tcPr>
            <w:tcW w:w="957" w:type="dxa"/>
            <w:tcBorders>
              <w:top w:val="nil"/>
              <w:left w:val="nil"/>
              <w:bottom w:val="single" w:sz="4" w:space="0" w:color="auto"/>
              <w:right w:val="single" w:sz="4" w:space="0" w:color="auto"/>
            </w:tcBorders>
            <w:shd w:val="clear" w:color="auto" w:fill="auto"/>
            <w:vAlign w:val="center"/>
            <w:hideMark/>
          </w:tcPr>
          <w:p w14:paraId="67DBDAFA" w14:textId="77777777" w:rsidR="004A0B2E" w:rsidRPr="004A0B2E" w:rsidRDefault="004A0B2E" w:rsidP="004A0B2E">
            <w:pPr>
              <w:jc w:val="right"/>
              <w:rPr>
                <w:rFonts w:ascii="Arial Narrow" w:hAnsi="Arial Narrow" w:cs="Calibri"/>
                <w:sz w:val="16"/>
                <w:szCs w:val="16"/>
              </w:rPr>
            </w:pPr>
            <w:r w:rsidRPr="004A0B2E">
              <w:rPr>
                <w:rFonts w:ascii="Arial Narrow" w:hAnsi="Arial Narrow" w:cs="Calibri"/>
                <w:sz w:val="16"/>
                <w:szCs w:val="16"/>
              </w:rPr>
              <w:t>124,5</w:t>
            </w:r>
          </w:p>
        </w:tc>
        <w:tc>
          <w:tcPr>
            <w:tcW w:w="1256" w:type="dxa"/>
            <w:tcBorders>
              <w:top w:val="nil"/>
              <w:left w:val="nil"/>
              <w:bottom w:val="single" w:sz="4" w:space="0" w:color="auto"/>
              <w:right w:val="single" w:sz="4" w:space="0" w:color="auto"/>
            </w:tcBorders>
            <w:shd w:val="clear" w:color="auto" w:fill="auto"/>
            <w:vAlign w:val="center"/>
            <w:hideMark/>
          </w:tcPr>
          <w:p w14:paraId="786C9610" w14:textId="77777777" w:rsidR="004A0B2E" w:rsidRPr="004A0B2E" w:rsidRDefault="004A0B2E" w:rsidP="004A0B2E">
            <w:pPr>
              <w:jc w:val="right"/>
              <w:rPr>
                <w:rFonts w:ascii="Arial Narrow" w:hAnsi="Arial Narrow" w:cs="Calibri"/>
                <w:sz w:val="16"/>
                <w:szCs w:val="16"/>
              </w:rPr>
            </w:pPr>
            <w:r w:rsidRPr="004A0B2E">
              <w:rPr>
                <w:rFonts w:ascii="Arial Narrow" w:hAnsi="Arial Narrow" w:cs="Calibri"/>
                <w:sz w:val="16"/>
                <w:szCs w:val="16"/>
              </w:rPr>
              <w:t>-18,6</w:t>
            </w:r>
          </w:p>
        </w:tc>
        <w:tc>
          <w:tcPr>
            <w:tcW w:w="872" w:type="dxa"/>
            <w:tcBorders>
              <w:top w:val="nil"/>
              <w:left w:val="nil"/>
              <w:bottom w:val="single" w:sz="4" w:space="0" w:color="auto"/>
              <w:right w:val="single" w:sz="4" w:space="0" w:color="auto"/>
            </w:tcBorders>
            <w:shd w:val="clear" w:color="auto" w:fill="auto"/>
            <w:vAlign w:val="center"/>
            <w:hideMark/>
          </w:tcPr>
          <w:p w14:paraId="78C5DD91" w14:textId="77777777" w:rsidR="004A0B2E" w:rsidRPr="004A0B2E" w:rsidRDefault="004A0B2E" w:rsidP="004A0B2E">
            <w:pPr>
              <w:jc w:val="right"/>
              <w:rPr>
                <w:rFonts w:ascii="Arial Narrow" w:hAnsi="Arial Narrow" w:cs="Calibri"/>
                <w:sz w:val="16"/>
                <w:szCs w:val="16"/>
              </w:rPr>
            </w:pPr>
            <w:r w:rsidRPr="004A0B2E">
              <w:rPr>
                <w:rFonts w:ascii="Arial Narrow" w:hAnsi="Arial Narrow" w:cs="Calibri"/>
                <w:sz w:val="16"/>
                <w:szCs w:val="16"/>
              </w:rPr>
              <w:t>101,4</w:t>
            </w:r>
          </w:p>
        </w:tc>
      </w:tr>
      <w:tr w:rsidR="004A0B2E" w:rsidRPr="00B10684" w14:paraId="377B8CDF" w14:textId="77777777" w:rsidTr="005A18A5">
        <w:trPr>
          <w:trHeight w:val="183"/>
        </w:trPr>
        <w:tc>
          <w:tcPr>
            <w:tcW w:w="757" w:type="dxa"/>
            <w:tcBorders>
              <w:top w:val="nil"/>
              <w:left w:val="single" w:sz="4" w:space="0" w:color="auto"/>
              <w:bottom w:val="single" w:sz="4" w:space="0" w:color="auto"/>
              <w:right w:val="single" w:sz="4" w:space="0" w:color="auto"/>
            </w:tcBorders>
            <w:shd w:val="clear" w:color="auto" w:fill="auto"/>
            <w:noWrap/>
            <w:vAlign w:val="center"/>
            <w:hideMark/>
          </w:tcPr>
          <w:p w14:paraId="69E2D55C" w14:textId="77777777" w:rsidR="004A0B2E" w:rsidRPr="004A0B2E" w:rsidRDefault="004A0B2E" w:rsidP="004A0B2E">
            <w:pPr>
              <w:rPr>
                <w:rFonts w:ascii="Arial Narrow" w:hAnsi="Arial Narrow" w:cs="Calibri"/>
                <w:sz w:val="16"/>
                <w:szCs w:val="16"/>
              </w:rPr>
            </w:pPr>
            <w:r w:rsidRPr="004A0B2E">
              <w:rPr>
                <w:rFonts w:ascii="Arial Narrow" w:hAnsi="Arial Narrow" w:cs="Calibri"/>
                <w:sz w:val="16"/>
                <w:szCs w:val="16"/>
              </w:rPr>
              <w:lastRenderedPageBreak/>
              <w:t xml:space="preserve"> 12.3/1</w:t>
            </w:r>
          </w:p>
        </w:tc>
        <w:tc>
          <w:tcPr>
            <w:tcW w:w="5279" w:type="dxa"/>
            <w:tcBorders>
              <w:top w:val="nil"/>
              <w:left w:val="nil"/>
              <w:bottom w:val="single" w:sz="4" w:space="0" w:color="auto"/>
              <w:right w:val="single" w:sz="4" w:space="0" w:color="auto"/>
            </w:tcBorders>
            <w:shd w:val="clear" w:color="auto" w:fill="auto"/>
            <w:vAlign w:val="center"/>
            <w:hideMark/>
          </w:tcPr>
          <w:p w14:paraId="3E202801" w14:textId="77777777" w:rsidR="004A0B2E" w:rsidRPr="004A0B2E" w:rsidRDefault="004A0B2E" w:rsidP="004A0B2E">
            <w:pPr>
              <w:ind w:firstLineChars="200" w:firstLine="320"/>
              <w:rPr>
                <w:rFonts w:ascii="Arial Narrow" w:hAnsi="Arial Narrow" w:cs="Calibri"/>
                <w:sz w:val="16"/>
                <w:szCs w:val="16"/>
              </w:rPr>
            </w:pPr>
            <w:r w:rsidRPr="004A0B2E">
              <w:rPr>
                <w:rFonts w:ascii="Arial Narrow" w:hAnsi="Arial Narrow" w:cs="Calibri"/>
                <w:sz w:val="16"/>
                <w:szCs w:val="16"/>
              </w:rPr>
              <w:t>Непрана вълна</w:t>
            </w:r>
          </w:p>
        </w:tc>
        <w:tc>
          <w:tcPr>
            <w:tcW w:w="957" w:type="dxa"/>
            <w:tcBorders>
              <w:top w:val="nil"/>
              <w:left w:val="nil"/>
              <w:bottom w:val="single" w:sz="4" w:space="0" w:color="auto"/>
              <w:right w:val="single" w:sz="4" w:space="0" w:color="auto"/>
            </w:tcBorders>
            <w:shd w:val="clear" w:color="auto" w:fill="auto"/>
            <w:vAlign w:val="center"/>
            <w:hideMark/>
          </w:tcPr>
          <w:p w14:paraId="72AB7252" w14:textId="77777777" w:rsidR="004A0B2E" w:rsidRPr="004A0B2E" w:rsidRDefault="004A0B2E" w:rsidP="004A0B2E">
            <w:pPr>
              <w:jc w:val="right"/>
              <w:rPr>
                <w:rFonts w:ascii="Arial Narrow" w:hAnsi="Arial Narrow" w:cs="Calibri"/>
                <w:sz w:val="16"/>
                <w:szCs w:val="16"/>
              </w:rPr>
            </w:pPr>
            <w:r w:rsidRPr="004A0B2E">
              <w:rPr>
                <w:rFonts w:ascii="Arial Narrow" w:hAnsi="Arial Narrow" w:cs="Calibri"/>
                <w:sz w:val="16"/>
                <w:szCs w:val="16"/>
              </w:rPr>
              <w:t>1,5</w:t>
            </w:r>
          </w:p>
        </w:tc>
        <w:tc>
          <w:tcPr>
            <w:tcW w:w="1118" w:type="dxa"/>
            <w:tcBorders>
              <w:top w:val="nil"/>
              <w:left w:val="nil"/>
              <w:bottom w:val="single" w:sz="4" w:space="0" w:color="auto"/>
              <w:right w:val="single" w:sz="4" w:space="0" w:color="auto"/>
            </w:tcBorders>
            <w:shd w:val="clear" w:color="auto" w:fill="auto"/>
            <w:vAlign w:val="center"/>
            <w:hideMark/>
          </w:tcPr>
          <w:p w14:paraId="364DAA54" w14:textId="77777777" w:rsidR="004A0B2E" w:rsidRPr="004A0B2E" w:rsidRDefault="004A0B2E" w:rsidP="004A0B2E">
            <w:pPr>
              <w:jc w:val="right"/>
              <w:rPr>
                <w:rFonts w:ascii="Arial Narrow" w:hAnsi="Arial Narrow" w:cs="Calibri"/>
                <w:sz w:val="16"/>
                <w:szCs w:val="16"/>
              </w:rPr>
            </w:pPr>
            <w:r w:rsidRPr="004A0B2E">
              <w:rPr>
                <w:rFonts w:ascii="Arial Narrow" w:hAnsi="Arial Narrow" w:cs="Calibri"/>
                <w:sz w:val="16"/>
                <w:szCs w:val="16"/>
              </w:rPr>
              <w:t>-6,7</w:t>
            </w:r>
          </w:p>
        </w:tc>
        <w:tc>
          <w:tcPr>
            <w:tcW w:w="957" w:type="dxa"/>
            <w:tcBorders>
              <w:top w:val="nil"/>
              <w:left w:val="nil"/>
              <w:bottom w:val="single" w:sz="4" w:space="0" w:color="auto"/>
              <w:right w:val="single" w:sz="4" w:space="0" w:color="auto"/>
            </w:tcBorders>
            <w:shd w:val="clear" w:color="auto" w:fill="auto"/>
            <w:vAlign w:val="center"/>
            <w:hideMark/>
          </w:tcPr>
          <w:p w14:paraId="5C8C19C7" w14:textId="77777777" w:rsidR="004A0B2E" w:rsidRPr="004A0B2E" w:rsidRDefault="004A0B2E" w:rsidP="004A0B2E">
            <w:pPr>
              <w:jc w:val="right"/>
              <w:rPr>
                <w:rFonts w:ascii="Arial Narrow" w:hAnsi="Arial Narrow" w:cs="Calibri"/>
                <w:sz w:val="16"/>
                <w:szCs w:val="16"/>
              </w:rPr>
            </w:pPr>
            <w:r w:rsidRPr="004A0B2E">
              <w:rPr>
                <w:rFonts w:ascii="Arial Narrow" w:hAnsi="Arial Narrow" w:cs="Calibri"/>
                <w:sz w:val="16"/>
                <w:szCs w:val="16"/>
              </w:rPr>
              <w:t>1,4</w:t>
            </w:r>
          </w:p>
        </w:tc>
        <w:tc>
          <w:tcPr>
            <w:tcW w:w="1256" w:type="dxa"/>
            <w:tcBorders>
              <w:top w:val="nil"/>
              <w:left w:val="nil"/>
              <w:bottom w:val="single" w:sz="4" w:space="0" w:color="auto"/>
              <w:right w:val="single" w:sz="4" w:space="0" w:color="auto"/>
            </w:tcBorders>
            <w:shd w:val="clear" w:color="auto" w:fill="auto"/>
            <w:vAlign w:val="center"/>
            <w:hideMark/>
          </w:tcPr>
          <w:p w14:paraId="05C5C927" w14:textId="77777777" w:rsidR="004A0B2E" w:rsidRPr="004A0B2E" w:rsidRDefault="004A0B2E" w:rsidP="004A0B2E">
            <w:pPr>
              <w:jc w:val="right"/>
              <w:rPr>
                <w:rFonts w:ascii="Arial Narrow" w:hAnsi="Arial Narrow" w:cs="Calibri"/>
                <w:sz w:val="16"/>
                <w:szCs w:val="16"/>
              </w:rPr>
            </w:pPr>
            <w:r w:rsidRPr="004A0B2E">
              <w:rPr>
                <w:rFonts w:ascii="Arial Narrow" w:hAnsi="Arial Narrow" w:cs="Calibri"/>
                <w:sz w:val="16"/>
                <w:szCs w:val="16"/>
              </w:rPr>
              <w:t>-7,1</w:t>
            </w:r>
          </w:p>
        </w:tc>
        <w:tc>
          <w:tcPr>
            <w:tcW w:w="872" w:type="dxa"/>
            <w:tcBorders>
              <w:top w:val="nil"/>
              <w:left w:val="nil"/>
              <w:bottom w:val="single" w:sz="4" w:space="0" w:color="auto"/>
              <w:right w:val="single" w:sz="4" w:space="0" w:color="auto"/>
            </w:tcBorders>
            <w:shd w:val="clear" w:color="auto" w:fill="auto"/>
            <w:vAlign w:val="center"/>
            <w:hideMark/>
          </w:tcPr>
          <w:p w14:paraId="0FC29930" w14:textId="77777777" w:rsidR="004A0B2E" w:rsidRPr="004A0B2E" w:rsidRDefault="004A0B2E" w:rsidP="004A0B2E">
            <w:pPr>
              <w:jc w:val="right"/>
              <w:rPr>
                <w:rFonts w:ascii="Arial Narrow" w:hAnsi="Arial Narrow" w:cs="Calibri"/>
                <w:sz w:val="16"/>
                <w:szCs w:val="16"/>
              </w:rPr>
            </w:pPr>
            <w:r w:rsidRPr="004A0B2E">
              <w:rPr>
                <w:rFonts w:ascii="Arial Narrow" w:hAnsi="Arial Narrow" w:cs="Calibri"/>
                <w:sz w:val="16"/>
                <w:szCs w:val="16"/>
              </w:rPr>
              <w:t>1,3</w:t>
            </w:r>
          </w:p>
        </w:tc>
      </w:tr>
      <w:tr w:rsidR="004A0B2E" w:rsidRPr="00B10684" w14:paraId="4DB8FB70" w14:textId="77777777" w:rsidTr="005A18A5">
        <w:trPr>
          <w:trHeight w:val="183"/>
        </w:trPr>
        <w:tc>
          <w:tcPr>
            <w:tcW w:w="757" w:type="dxa"/>
            <w:tcBorders>
              <w:top w:val="nil"/>
              <w:left w:val="single" w:sz="4" w:space="0" w:color="auto"/>
              <w:bottom w:val="single" w:sz="4" w:space="0" w:color="auto"/>
              <w:right w:val="single" w:sz="4" w:space="0" w:color="auto"/>
            </w:tcBorders>
            <w:shd w:val="clear" w:color="auto" w:fill="auto"/>
            <w:noWrap/>
            <w:vAlign w:val="center"/>
            <w:hideMark/>
          </w:tcPr>
          <w:p w14:paraId="19D816F6" w14:textId="77777777" w:rsidR="004A0B2E" w:rsidRPr="004A0B2E" w:rsidRDefault="004A0B2E" w:rsidP="004A0B2E">
            <w:pPr>
              <w:rPr>
                <w:rFonts w:ascii="Arial Narrow" w:hAnsi="Arial Narrow" w:cs="Calibri"/>
                <w:sz w:val="16"/>
                <w:szCs w:val="16"/>
              </w:rPr>
            </w:pPr>
            <w:r w:rsidRPr="004A0B2E">
              <w:rPr>
                <w:rFonts w:ascii="Arial Narrow" w:hAnsi="Arial Narrow" w:cs="Calibri"/>
                <w:sz w:val="16"/>
                <w:szCs w:val="16"/>
              </w:rPr>
              <w:t xml:space="preserve"> 12.3/2</w:t>
            </w:r>
          </w:p>
        </w:tc>
        <w:tc>
          <w:tcPr>
            <w:tcW w:w="5279" w:type="dxa"/>
            <w:tcBorders>
              <w:top w:val="nil"/>
              <w:left w:val="nil"/>
              <w:bottom w:val="single" w:sz="4" w:space="0" w:color="auto"/>
              <w:right w:val="single" w:sz="4" w:space="0" w:color="auto"/>
            </w:tcBorders>
            <w:shd w:val="clear" w:color="auto" w:fill="auto"/>
            <w:vAlign w:val="center"/>
            <w:hideMark/>
          </w:tcPr>
          <w:p w14:paraId="11F5ADF1" w14:textId="77777777" w:rsidR="004A0B2E" w:rsidRPr="004A0B2E" w:rsidRDefault="004A0B2E" w:rsidP="004A0B2E">
            <w:pPr>
              <w:ind w:firstLineChars="200" w:firstLine="320"/>
              <w:rPr>
                <w:rFonts w:ascii="Arial Narrow" w:hAnsi="Arial Narrow" w:cs="Calibri"/>
                <w:sz w:val="16"/>
                <w:szCs w:val="16"/>
              </w:rPr>
            </w:pPr>
            <w:r w:rsidRPr="004A0B2E">
              <w:rPr>
                <w:rFonts w:ascii="Arial Narrow" w:hAnsi="Arial Narrow" w:cs="Calibri"/>
                <w:sz w:val="16"/>
                <w:szCs w:val="16"/>
              </w:rPr>
              <w:t>Копринени пашкули</w:t>
            </w:r>
          </w:p>
        </w:tc>
        <w:tc>
          <w:tcPr>
            <w:tcW w:w="957" w:type="dxa"/>
            <w:tcBorders>
              <w:top w:val="nil"/>
              <w:left w:val="nil"/>
              <w:bottom w:val="single" w:sz="4" w:space="0" w:color="auto"/>
              <w:right w:val="single" w:sz="4" w:space="0" w:color="auto"/>
            </w:tcBorders>
            <w:shd w:val="clear" w:color="auto" w:fill="auto"/>
            <w:vAlign w:val="center"/>
            <w:hideMark/>
          </w:tcPr>
          <w:p w14:paraId="191EB079" w14:textId="77777777" w:rsidR="004A0B2E" w:rsidRPr="004A0B2E" w:rsidRDefault="004A0B2E" w:rsidP="004A0B2E">
            <w:pPr>
              <w:jc w:val="right"/>
              <w:rPr>
                <w:rFonts w:ascii="Arial Narrow" w:hAnsi="Arial Narrow" w:cs="Calibri"/>
                <w:sz w:val="16"/>
                <w:szCs w:val="16"/>
              </w:rPr>
            </w:pPr>
            <w:r w:rsidRPr="004A0B2E">
              <w:rPr>
                <w:rFonts w:ascii="Arial Narrow" w:hAnsi="Arial Narrow" w:cs="Calibri"/>
                <w:sz w:val="16"/>
                <w:szCs w:val="16"/>
              </w:rPr>
              <w:t> </w:t>
            </w:r>
          </w:p>
        </w:tc>
        <w:tc>
          <w:tcPr>
            <w:tcW w:w="1118" w:type="dxa"/>
            <w:tcBorders>
              <w:top w:val="nil"/>
              <w:left w:val="nil"/>
              <w:bottom w:val="single" w:sz="4" w:space="0" w:color="auto"/>
              <w:right w:val="single" w:sz="4" w:space="0" w:color="auto"/>
            </w:tcBorders>
            <w:shd w:val="clear" w:color="auto" w:fill="auto"/>
            <w:vAlign w:val="center"/>
            <w:hideMark/>
          </w:tcPr>
          <w:p w14:paraId="4964D518" w14:textId="77777777" w:rsidR="004A0B2E" w:rsidRPr="004A0B2E" w:rsidRDefault="004A0B2E" w:rsidP="004A0B2E">
            <w:pPr>
              <w:rPr>
                <w:rFonts w:ascii="Arial Narrow" w:hAnsi="Arial Narrow" w:cs="Calibri"/>
                <w:sz w:val="16"/>
                <w:szCs w:val="16"/>
              </w:rPr>
            </w:pPr>
            <w:r w:rsidRPr="004A0B2E">
              <w:rPr>
                <w:rFonts w:ascii="Arial Narrow" w:hAnsi="Arial Narrow" w:cs="Calibri"/>
                <w:sz w:val="16"/>
                <w:szCs w:val="16"/>
              </w:rPr>
              <w:t> </w:t>
            </w:r>
          </w:p>
        </w:tc>
        <w:tc>
          <w:tcPr>
            <w:tcW w:w="957" w:type="dxa"/>
            <w:tcBorders>
              <w:top w:val="nil"/>
              <w:left w:val="nil"/>
              <w:bottom w:val="single" w:sz="4" w:space="0" w:color="auto"/>
              <w:right w:val="single" w:sz="4" w:space="0" w:color="auto"/>
            </w:tcBorders>
            <w:shd w:val="clear" w:color="auto" w:fill="auto"/>
            <w:vAlign w:val="center"/>
            <w:hideMark/>
          </w:tcPr>
          <w:p w14:paraId="3C4FC9F8" w14:textId="77777777" w:rsidR="004A0B2E" w:rsidRPr="004A0B2E" w:rsidRDefault="004A0B2E" w:rsidP="004A0B2E">
            <w:pPr>
              <w:jc w:val="right"/>
              <w:rPr>
                <w:rFonts w:ascii="Arial Narrow" w:hAnsi="Arial Narrow" w:cs="Calibri"/>
                <w:sz w:val="16"/>
                <w:szCs w:val="16"/>
              </w:rPr>
            </w:pPr>
            <w:r w:rsidRPr="004A0B2E">
              <w:rPr>
                <w:rFonts w:ascii="Arial Narrow" w:hAnsi="Arial Narrow" w:cs="Calibri"/>
                <w:sz w:val="16"/>
                <w:szCs w:val="16"/>
              </w:rPr>
              <w:t> </w:t>
            </w:r>
          </w:p>
        </w:tc>
        <w:tc>
          <w:tcPr>
            <w:tcW w:w="1256" w:type="dxa"/>
            <w:tcBorders>
              <w:top w:val="nil"/>
              <w:left w:val="nil"/>
              <w:bottom w:val="single" w:sz="4" w:space="0" w:color="auto"/>
              <w:right w:val="single" w:sz="4" w:space="0" w:color="auto"/>
            </w:tcBorders>
            <w:shd w:val="clear" w:color="auto" w:fill="auto"/>
            <w:vAlign w:val="center"/>
            <w:hideMark/>
          </w:tcPr>
          <w:p w14:paraId="5C03F72C" w14:textId="77777777" w:rsidR="004A0B2E" w:rsidRPr="004A0B2E" w:rsidRDefault="004A0B2E" w:rsidP="004A0B2E">
            <w:pPr>
              <w:rPr>
                <w:rFonts w:ascii="Arial Narrow" w:hAnsi="Arial Narrow" w:cs="Calibri"/>
                <w:sz w:val="16"/>
                <w:szCs w:val="16"/>
              </w:rPr>
            </w:pPr>
            <w:r w:rsidRPr="004A0B2E">
              <w:rPr>
                <w:rFonts w:ascii="Arial Narrow" w:hAnsi="Arial Narrow" w:cs="Calibri"/>
                <w:sz w:val="16"/>
                <w:szCs w:val="16"/>
              </w:rPr>
              <w:t> </w:t>
            </w:r>
          </w:p>
        </w:tc>
        <w:tc>
          <w:tcPr>
            <w:tcW w:w="872" w:type="dxa"/>
            <w:tcBorders>
              <w:top w:val="nil"/>
              <w:left w:val="nil"/>
              <w:bottom w:val="single" w:sz="4" w:space="0" w:color="auto"/>
              <w:right w:val="single" w:sz="4" w:space="0" w:color="auto"/>
            </w:tcBorders>
            <w:shd w:val="clear" w:color="auto" w:fill="auto"/>
            <w:vAlign w:val="center"/>
            <w:hideMark/>
          </w:tcPr>
          <w:p w14:paraId="1F2E4926" w14:textId="77777777" w:rsidR="004A0B2E" w:rsidRPr="004A0B2E" w:rsidRDefault="004A0B2E" w:rsidP="004A0B2E">
            <w:pPr>
              <w:jc w:val="right"/>
              <w:rPr>
                <w:rFonts w:ascii="Arial Narrow" w:hAnsi="Arial Narrow" w:cs="Calibri"/>
                <w:sz w:val="16"/>
                <w:szCs w:val="16"/>
              </w:rPr>
            </w:pPr>
            <w:r w:rsidRPr="004A0B2E">
              <w:rPr>
                <w:rFonts w:ascii="Arial Narrow" w:hAnsi="Arial Narrow" w:cs="Calibri"/>
                <w:sz w:val="16"/>
                <w:szCs w:val="16"/>
              </w:rPr>
              <w:t> </w:t>
            </w:r>
          </w:p>
        </w:tc>
      </w:tr>
      <w:tr w:rsidR="004A0B2E" w:rsidRPr="00B10684" w14:paraId="4B246B68" w14:textId="77777777" w:rsidTr="005A18A5">
        <w:trPr>
          <w:trHeight w:val="183"/>
        </w:trPr>
        <w:tc>
          <w:tcPr>
            <w:tcW w:w="757" w:type="dxa"/>
            <w:tcBorders>
              <w:top w:val="nil"/>
              <w:left w:val="single" w:sz="4" w:space="0" w:color="auto"/>
              <w:bottom w:val="single" w:sz="4" w:space="0" w:color="auto"/>
              <w:right w:val="single" w:sz="4" w:space="0" w:color="auto"/>
            </w:tcBorders>
            <w:shd w:val="clear" w:color="auto" w:fill="auto"/>
            <w:noWrap/>
            <w:vAlign w:val="center"/>
            <w:hideMark/>
          </w:tcPr>
          <w:p w14:paraId="4C92E036" w14:textId="77777777" w:rsidR="004A0B2E" w:rsidRPr="004A0B2E" w:rsidRDefault="004A0B2E" w:rsidP="004A0B2E">
            <w:pPr>
              <w:rPr>
                <w:rFonts w:ascii="Arial Narrow" w:hAnsi="Arial Narrow" w:cs="Calibri"/>
                <w:sz w:val="16"/>
                <w:szCs w:val="16"/>
              </w:rPr>
            </w:pPr>
            <w:r w:rsidRPr="004A0B2E">
              <w:rPr>
                <w:rFonts w:ascii="Arial Narrow" w:hAnsi="Arial Narrow" w:cs="Calibri"/>
                <w:sz w:val="16"/>
                <w:szCs w:val="16"/>
              </w:rPr>
              <w:t xml:space="preserve"> 12.3/3</w:t>
            </w:r>
          </w:p>
        </w:tc>
        <w:tc>
          <w:tcPr>
            <w:tcW w:w="5279" w:type="dxa"/>
            <w:tcBorders>
              <w:top w:val="nil"/>
              <w:left w:val="nil"/>
              <w:bottom w:val="single" w:sz="4" w:space="0" w:color="auto"/>
              <w:right w:val="single" w:sz="4" w:space="0" w:color="auto"/>
            </w:tcBorders>
            <w:shd w:val="clear" w:color="auto" w:fill="auto"/>
            <w:vAlign w:val="center"/>
            <w:hideMark/>
          </w:tcPr>
          <w:p w14:paraId="39B0605E" w14:textId="77777777" w:rsidR="004A0B2E" w:rsidRPr="004A0B2E" w:rsidRDefault="004A0B2E" w:rsidP="004A0B2E">
            <w:pPr>
              <w:ind w:firstLineChars="200" w:firstLine="320"/>
              <w:rPr>
                <w:rFonts w:ascii="Arial Narrow" w:hAnsi="Arial Narrow" w:cs="Calibri"/>
                <w:sz w:val="16"/>
                <w:szCs w:val="16"/>
              </w:rPr>
            </w:pPr>
            <w:r w:rsidRPr="004A0B2E">
              <w:rPr>
                <w:rFonts w:ascii="Arial Narrow" w:hAnsi="Arial Narrow" w:cs="Calibri"/>
                <w:sz w:val="16"/>
                <w:szCs w:val="16"/>
              </w:rPr>
              <w:t>Други продукти от животновъдството</w:t>
            </w:r>
          </w:p>
        </w:tc>
        <w:tc>
          <w:tcPr>
            <w:tcW w:w="957" w:type="dxa"/>
            <w:tcBorders>
              <w:top w:val="nil"/>
              <w:left w:val="nil"/>
              <w:bottom w:val="single" w:sz="4" w:space="0" w:color="auto"/>
              <w:right w:val="single" w:sz="4" w:space="0" w:color="auto"/>
            </w:tcBorders>
            <w:shd w:val="clear" w:color="auto" w:fill="auto"/>
            <w:vAlign w:val="center"/>
            <w:hideMark/>
          </w:tcPr>
          <w:p w14:paraId="3E6DCD71" w14:textId="77777777" w:rsidR="004A0B2E" w:rsidRPr="004A0B2E" w:rsidRDefault="004A0B2E" w:rsidP="004A0B2E">
            <w:pPr>
              <w:jc w:val="right"/>
              <w:rPr>
                <w:rFonts w:ascii="Arial Narrow" w:hAnsi="Arial Narrow" w:cs="Calibri"/>
                <w:sz w:val="16"/>
                <w:szCs w:val="16"/>
              </w:rPr>
            </w:pPr>
            <w:r w:rsidRPr="004A0B2E">
              <w:rPr>
                <w:rFonts w:ascii="Arial Narrow" w:hAnsi="Arial Narrow" w:cs="Calibri"/>
                <w:sz w:val="16"/>
                <w:szCs w:val="16"/>
              </w:rPr>
              <w:t>131,2</w:t>
            </w:r>
          </w:p>
        </w:tc>
        <w:tc>
          <w:tcPr>
            <w:tcW w:w="1118" w:type="dxa"/>
            <w:tcBorders>
              <w:top w:val="nil"/>
              <w:left w:val="nil"/>
              <w:bottom w:val="single" w:sz="4" w:space="0" w:color="auto"/>
              <w:right w:val="single" w:sz="4" w:space="0" w:color="auto"/>
            </w:tcBorders>
            <w:shd w:val="clear" w:color="auto" w:fill="auto"/>
            <w:vAlign w:val="center"/>
            <w:hideMark/>
          </w:tcPr>
          <w:p w14:paraId="156F32FB" w14:textId="77777777" w:rsidR="004A0B2E" w:rsidRPr="004A0B2E" w:rsidRDefault="004A0B2E" w:rsidP="004A0B2E">
            <w:pPr>
              <w:jc w:val="right"/>
              <w:rPr>
                <w:rFonts w:ascii="Arial Narrow" w:hAnsi="Arial Narrow" w:cs="Calibri"/>
                <w:sz w:val="16"/>
                <w:szCs w:val="16"/>
              </w:rPr>
            </w:pPr>
            <w:r w:rsidRPr="004A0B2E">
              <w:rPr>
                <w:rFonts w:ascii="Arial Narrow" w:hAnsi="Arial Narrow" w:cs="Calibri"/>
                <w:sz w:val="16"/>
                <w:szCs w:val="16"/>
              </w:rPr>
              <w:t>-6,2</w:t>
            </w:r>
          </w:p>
        </w:tc>
        <w:tc>
          <w:tcPr>
            <w:tcW w:w="957" w:type="dxa"/>
            <w:tcBorders>
              <w:top w:val="nil"/>
              <w:left w:val="nil"/>
              <w:bottom w:val="single" w:sz="4" w:space="0" w:color="auto"/>
              <w:right w:val="single" w:sz="4" w:space="0" w:color="auto"/>
            </w:tcBorders>
            <w:shd w:val="clear" w:color="auto" w:fill="auto"/>
            <w:vAlign w:val="center"/>
            <w:hideMark/>
          </w:tcPr>
          <w:p w14:paraId="6603933C" w14:textId="77777777" w:rsidR="004A0B2E" w:rsidRPr="004A0B2E" w:rsidRDefault="004A0B2E" w:rsidP="004A0B2E">
            <w:pPr>
              <w:jc w:val="right"/>
              <w:rPr>
                <w:rFonts w:ascii="Arial Narrow" w:hAnsi="Arial Narrow" w:cs="Calibri"/>
                <w:sz w:val="16"/>
                <w:szCs w:val="16"/>
              </w:rPr>
            </w:pPr>
            <w:r w:rsidRPr="004A0B2E">
              <w:rPr>
                <w:rFonts w:ascii="Arial Narrow" w:hAnsi="Arial Narrow" w:cs="Calibri"/>
                <w:sz w:val="16"/>
                <w:szCs w:val="16"/>
              </w:rPr>
              <w:t>123,1</w:t>
            </w:r>
          </w:p>
        </w:tc>
        <w:tc>
          <w:tcPr>
            <w:tcW w:w="1256" w:type="dxa"/>
            <w:tcBorders>
              <w:top w:val="nil"/>
              <w:left w:val="nil"/>
              <w:bottom w:val="single" w:sz="4" w:space="0" w:color="auto"/>
              <w:right w:val="single" w:sz="4" w:space="0" w:color="auto"/>
            </w:tcBorders>
            <w:shd w:val="clear" w:color="auto" w:fill="auto"/>
            <w:vAlign w:val="center"/>
            <w:hideMark/>
          </w:tcPr>
          <w:p w14:paraId="32344CA6" w14:textId="77777777" w:rsidR="004A0B2E" w:rsidRPr="004A0B2E" w:rsidRDefault="004A0B2E" w:rsidP="004A0B2E">
            <w:pPr>
              <w:jc w:val="right"/>
              <w:rPr>
                <w:rFonts w:ascii="Arial Narrow" w:hAnsi="Arial Narrow" w:cs="Calibri"/>
                <w:sz w:val="16"/>
                <w:szCs w:val="16"/>
              </w:rPr>
            </w:pPr>
            <w:r w:rsidRPr="004A0B2E">
              <w:rPr>
                <w:rFonts w:ascii="Arial Narrow" w:hAnsi="Arial Narrow" w:cs="Calibri"/>
                <w:sz w:val="16"/>
                <w:szCs w:val="16"/>
              </w:rPr>
              <w:t>-18,7</w:t>
            </w:r>
          </w:p>
        </w:tc>
        <w:tc>
          <w:tcPr>
            <w:tcW w:w="872" w:type="dxa"/>
            <w:tcBorders>
              <w:top w:val="nil"/>
              <w:left w:val="nil"/>
              <w:bottom w:val="single" w:sz="4" w:space="0" w:color="auto"/>
              <w:right w:val="single" w:sz="4" w:space="0" w:color="auto"/>
            </w:tcBorders>
            <w:shd w:val="clear" w:color="auto" w:fill="auto"/>
            <w:vAlign w:val="center"/>
            <w:hideMark/>
          </w:tcPr>
          <w:p w14:paraId="1B6D4CB5" w14:textId="77777777" w:rsidR="004A0B2E" w:rsidRPr="004A0B2E" w:rsidRDefault="004A0B2E" w:rsidP="004A0B2E">
            <w:pPr>
              <w:jc w:val="right"/>
              <w:rPr>
                <w:rFonts w:ascii="Arial Narrow" w:hAnsi="Arial Narrow" w:cs="Calibri"/>
                <w:sz w:val="16"/>
                <w:szCs w:val="16"/>
              </w:rPr>
            </w:pPr>
            <w:r w:rsidRPr="004A0B2E">
              <w:rPr>
                <w:rFonts w:ascii="Arial Narrow" w:hAnsi="Arial Narrow" w:cs="Calibri"/>
                <w:sz w:val="16"/>
                <w:szCs w:val="16"/>
              </w:rPr>
              <w:t>100,1</w:t>
            </w:r>
          </w:p>
        </w:tc>
      </w:tr>
      <w:tr w:rsidR="004A0B2E" w:rsidRPr="00B10684" w14:paraId="63CFB8D7" w14:textId="77777777" w:rsidTr="005A18A5">
        <w:trPr>
          <w:trHeight w:val="363"/>
        </w:trPr>
        <w:tc>
          <w:tcPr>
            <w:tcW w:w="757" w:type="dxa"/>
            <w:tcBorders>
              <w:top w:val="nil"/>
              <w:left w:val="single" w:sz="4" w:space="0" w:color="auto"/>
              <w:bottom w:val="single" w:sz="4" w:space="0" w:color="auto"/>
              <w:right w:val="single" w:sz="4" w:space="0" w:color="auto"/>
            </w:tcBorders>
            <w:shd w:val="clear" w:color="auto" w:fill="auto"/>
            <w:noWrap/>
            <w:vAlign w:val="center"/>
            <w:hideMark/>
          </w:tcPr>
          <w:p w14:paraId="4F3962B3" w14:textId="77777777" w:rsidR="004A0B2E" w:rsidRPr="004A0B2E" w:rsidRDefault="004A0B2E" w:rsidP="004A0B2E">
            <w:pPr>
              <w:rPr>
                <w:rFonts w:ascii="Arial Narrow" w:hAnsi="Arial Narrow" w:cs="Calibri"/>
                <w:b/>
                <w:bCs/>
                <w:sz w:val="16"/>
                <w:szCs w:val="16"/>
              </w:rPr>
            </w:pPr>
            <w:r w:rsidRPr="004A0B2E">
              <w:rPr>
                <w:rFonts w:ascii="Arial Narrow" w:hAnsi="Arial Narrow" w:cs="Calibri"/>
                <w:b/>
                <w:bCs/>
                <w:sz w:val="16"/>
                <w:szCs w:val="16"/>
              </w:rPr>
              <w:t xml:space="preserve"> 13</w:t>
            </w:r>
          </w:p>
        </w:tc>
        <w:tc>
          <w:tcPr>
            <w:tcW w:w="5279" w:type="dxa"/>
            <w:tcBorders>
              <w:top w:val="nil"/>
              <w:left w:val="nil"/>
              <w:bottom w:val="single" w:sz="4" w:space="0" w:color="auto"/>
              <w:right w:val="single" w:sz="4" w:space="0" w:color="auto"/>
            </w:tcBorders>
            <w:shd w:val="clear" w:color="auto" w:fill="auto"/>
            <w:vAlign w:val="center"/>
            <w:hideMark/>
          </w:tcPr>
          <w:p w14:paraId="678C58C6" w14:textId="77777777" w:rsidR="004A0B2E" w:rsidRPr="004A0B2E" w:rsidRDefault="004A0B2E" w:rsidP="004A0B2E">
            <w:pPr>
              <w:rPr>
                <w:rFonts w:ascii="Arial Narrow" w:hAnsi="Arial Narrow" w:cs="Calibri"/>
                <w:b/>
                <w:bCs/>
                <w:sz w:val="16"/>
                <w:szCs w:val="16"/>
              </w:rPr>
            </w:pPr>
            <w:r w:rsidRPr="004A0B2E">
              <w:rPr>
                <w:rFonts w:ascii="Arial Narrow" w:hAnsi="Arial Narrow" w:cs="Calibri"/>
                <w:b/>
                <w:bCs/>
                <w:sz w:val="16"/>
                <w:szCs w:val="16"/>
              </w:rPr>
              <w:t>Продукция от животновъдството (11+12)</w:t>
            </w:r>
          </w:p>
        </w:tc>
        <w:tc>
          <w:tcPr>
            <w:tcW w:w="957" w:type="dxa"/>
            <w:tcBorders>
              <w:top w:val="nil"/>
              <w:left w:val="nil"/>
              <w:bottom w:val="single" w:sz="4" w:space="0" w:color="auto"/>
              <w:right w:val="single" w:sz="4" w:space="0" w:color="auto"/>
            </w:tcBorders>
            <w:shd w:val="clear" w:color="auto" w:fill="auto"/>
            <w:vAlign w:val="center"/>
            <w:hideMark/>
          </w:tcPr>
          <w:p w14:paraId="0E36856A" w14:textId="77777777" w:rsidR="004A0B2E" w:rsidRPr="004A0B2E" w:rsidRDefault="004A0B2E" w:rsidP="004A0B2E">
            <w:pPr>
              <w:jc w:val="right"/>
              <w:rPr>
                <w:rFonts w:ascii="Arial Narrow" w:hAnsi="Arial Narrow" w:cs="Calibri"/>
                <w:b/>
                <w:bCs/>
                <w:sz w:val="16"/>
                <w:szCs w:val="16"/>
              </w:rPr>
            </w:pPr>
            <w:r w:rsidRPr="004A0B2E">
              <w:rPr>
                <w:rFonts w:ascii="Arial Narrow" w:hAnsi="Arial Narrow" w:cs="Calibri"/>
                <w:b/>
                <w:bCs/>
                <w:sz w:val="16"/>
                <w:szCs w:val="16"/>
              </w:rPr>
              <w:t>2 317,6</w:t>
            </w:r>
          </w:p>
        </w:tc>
        <w:tc>
          <w:tcPr>
            <w:tcW w:w="1118" w:type="dxa"/>
            <w:tcBorders>
              <w:top w:val="nil"/>
              <w:left w:val="nil"/>
              <w:bottom w:val="single" w:sz="4" w:space="0" w:color="auto"/>
              <w:right w:val="single" w:sz="4" w:space="0" w:color="auto"/>
            </w:tcBorders>
            <w:shd w:val="clear" w:color="auto" w:fill="auto"/>
            <w:vAlign w:val="center"/>
            <w:hideMark/>
          </w:tcPr>
          <w:p w14:paraId="5CA8F30C" w14:textId="77777777" w:rsidR="004A0B2E" w:rsidRPr="004A0B2E" w:rsidRDefault="004A0B2E" w:rsidP="004A0B2E">
            <w:pPr>
              <w:jc w:val="right"/>
              <w:rPr>
                <w:rFonts w:ascii="Arial Narrow" w:hAnsi="Arial Narrow" w:cs="Calibri"/>
                <w:b/>
                <w:bCs/>
                <w:sz w:val="16"/>
                <w:szCs w:val="16"/>
              </w:rPr>
            </w:pPr>
            <w:r w:rsidRPr="004A0B2E">
              <w:rPr>
                <w:rFonts w:ascii="Arial Narrow" w:hAnsi="Arial Narrow" w:cs="Calibri"/>
                <w:b/>
                <w:bCs/>
                <w:sz w:val="16"/>
                <w:szCs w:val="16"/>
              </w:rPr>
              <w:t>8,4</w:t>
            </w:r>
          </w:p>
        </w:tc>
        <w:tc>
          <w:tcPr>
            <w:tcW w:w="957" w:type="dxa"/>
            <w:tcBorders>
              <w:top w:val="nil"/>
              <w:left w:val="nil"/>
              <w:bottom w:val="single" w:sz="4" w:space="0" w:color="auto"/>
              <w:right w:val="single" w:sz="4" w:space="0" w:color="auto"/>
            </w:tcBorders>
            <w:shd w:val="clear" w:color="auto" w:fill="auto"/>
            <w:vAlign w:val="center"/>
            <w:hideMark/>
          </w:tcPr>
          <w:p w14:paraId="5880EE65" w14:textId="77777777" w:rsidR="004A0B2E" w:rsidRPr="004A0B2E" w:rsidRDefault="004A0B2E" w:rsidP="004A0B2E">
            <w:pPr>
              <w:jc w:val="right"/>
              <w:rPr>
                <w:rFonts w:ascii="Arial Narrow" w:hAnsi="Arial Narrow" w:cs="Calibri"/>
                <w:b/>
                <w:bCs/>
                <w:sz w:val="16"/>
                <w:szCs w:val="16"/>
              </w:rPr>
            </w:pPr>
            <w:r w:rsidRPr="004A0B2E">
              <w:rPr>
                <w:rFonts w:ascii="Arial Narrow" w:hAnsi="Arial Narrow" w:cs="Calibri"/>
                <w:b/>
                <w:bCs/>
                <w:sz w:val="16"/>
                <w:szCs w:val="16"/>
              </w:rPr>
              <w:t>2 511,3</w:t>
            </w:r>
          </w:p>
        </w:tc>
        <w:tc>
          <w:tcPr>
            <w:tcW w:w="1256" w:type="dxa"/>
            <w:tcBorders>
              <w:top w:val="nil"/>
              <w:left w:val="nil"/>
              <w:bottom w:val="single" w:sz="4" w:space="0" w:color="auto"/>
              <w:right w:val="single" w:sz="4" w:space="0" w:color="auto"/>
            </w:tcBorders>
            <w:shd w:val="clear" w:color="auto" w:fill="auto"/>
            <w:vAlign w:val="center"/>
            <w:hideMark/>
          </w:tcPr>
          <w:p w14:paraId="65468D21" w14:textId="77777777" w:rsidR="004A0B2E" w:rsidRPr="004A0B2E" w:rsidRDefault="004A0B2E" w:rsidP="004A0B2E">
            <w:pPr>
              <w:jc w:val="right"/>
              <w:rPr>
                <w:rFonts w:ascii="Arial Narrow" w:hAnsi="Arial Narrow" w:cs="Calibri"/>
                <w:b/>
                <w:bCs/>
                <w:sz w:val="16"/>
                <w:szCs w:val="16"/>
              </w:rPr>
            </w:pPr>
            <w:r w:rsidRPr="004A0B2E">
              <w:rPr>
                <w:rFonts w:ascii="Arial Narrow" w:hAnsi="Arial Narrow" w:cs="Calibri"/>
                <w:b/>
                <w:bCs/>
                <w:sz w:val="16"/>
                <w:szCs w:val="16"/>
              </w:rPr>
              <w:t>-6,8</w:t>
            </w:r>
          </w:p>
        </w:tc>
        <w:tc>
          <w:tcPr>
            <w:tcW w:w="872" w:type="dxa"/>
            <w:tcBorders>
              <w:top w:val="nil"/>
              <w:left w:val="nil"/>
              <w:bottom w:val="single" w:sz="4" w:space="0" w:color="auto"/>
              <w:right w:val="single" w:sz="4" w:space="0" w:color="auto"/>
            </w:tcBorders>
            <w:shd w:val="clear" w:color="auto" w:fill="auto"/>
            <w:vAlign w:val="center"/>
            <w:hideMark/>
          </w:tcPr>
          <w:p w14:paraId="5EA10F2A" w14:textId="77777777" w:rsidR="004A0B2E" w:rsidRPr="004A0B2E" w:rsidRDefault="004A0B2E" w:rsidP="004A0B2E">
            <w:pPr>
              <w:jc w:val="right"/>
              <w:rPr>
                <w:rFonts w:ascii="Arial Narrow" w:hAnsi="Arial Narrow" w:cs="Calibri"/>
                <w:b/>
                <w:bCs/>
                <w:sz w:val="16"/>
                <w:szCs w:val="16"/>
              </w:rPr>
            </w:pPr>
            <w:r w:rsidRPr="004A0B2E">
              <w:rPr>
                <w:rFonts w:ascii="Arial Narrow" w:hAnsi="Arial Narrow" w:cs="Calibri"/>
                <w:b/>
                <w:bCs/>
                <w:sz w:val="16"/>
                <w:szCs w:val="16"/>
              </w:rPr>
              <w:t>2 341,3</w:t>
            </w:r>
          </w:p>
        </w:tc>
      </w:tr>
      <w:tr w:rsidR="004A0B2E" w:rsidRPr="00B10684" w14:paraId="5A33C9CC" w14:textId="77777777" w:rsidTr="008F7A9E">
        <w:trPr>
          <w:trHeight w:val="301"/>
        </w:trPr>
        <w:tc>
          <w:tcPr>
            <w:tcW w:w="757" w:type="dxa"/>
            <w:tcBorders>
              <w:top w:val="nil"/>
              <w:left w:val="single" w:sz="4" w:space="0" w:color="auto"/>
              <w:bottom w:val="single" w:sz="4" w:space="0" w:color="auto"/>
              <w:right w:val="single" w:sz="4" w:space="0" w:color="auto"/>
            </w:tcBorders>
            <w:shd w:val="clear" w:color="000000" w:fill="FFFFFF"/>
            <w:noWrap/>
            <w:vAlign w:val="center"/>
            <w:hideMark/>
          </w:tcPr>
          <w:p w14:paraId="32F2F03D" w14:textId="77777777" w:rsidR="004A0B2E" w:rsidRPr="004A0B2E" w:rsidRDefault="004A0B2E" w:rsidP="004A0B2E">
            <w:pPr>
              <w:rPr>
                <w:rFonts w:ascii="Arial Narrow" w:hAnsi="Arial Narrow" w:cs="Calibri"/>
                <w:b/>
                <w:bCs/>
                <w:sz w:val="16"/>
                <w:szCs w:val="16"/>
              </w:rPr>
            </w:pPr>
            <w:r w:rsidRPr="004A0B2E">
              <w:rPr>
                <w:rFonts w:ascii="Arial Narrow" w:hAnsi="Arial Narrow" w:cs="Calibri"/>
                <w:b/>
                <w:bCs/>
                <w:sz w:val="16"/>
                <w:szCs w:val="16"/>
              </w:rPr>
              <w:t xml:space="preserve"> 14</w:t>
            </w:r>
          </w:p>
        </w:tc>
        <w:tc>
          <w:tcPr>
            <w:tcW w:w="5279" w:type="dxa"/>
            <w:tcBorders>
              <w:top w:val="nil"/>
              <w:left w:val="nil"/>
              <w:bottom w:val="single" w:sz="4" w:space="0" w:color="auto"/>
              <w:right w:val="single" w:sz="4" w:space="0" w:color="auto"/>
            </w:tcBorders>
            <w:shd w:val="clear" w:color="auto" w:fill="auto"/>
            <w:vAlign w:val="center"/>
            <w:hideMark/>
          </w:tcPr>
          <w:p w14:paraId="2CF72FB9" w14:textId="77777777" w:rsidR="004A0B2E" w:rsidRPr="004A0B2E" w:rsidRDefault="004A0B2E" w:rsidP="004A0B2E">
            <w:pPr>
              <w:rPr>
                <w:rFonts w:ascii="Arial Narrow" w:hAnsi="Arial Narrow" w:cs="Calibri"/>
                <w:b/>
                <w:bCs/>
                <w:sz w:val="16"/>
                <w:szCs w:val="16"/>
              </w:rPr>
            </w:pPr>
            <w:r w:rsidRPr="004A0B2E">
              <w:rPr>
                <w:rFonts w:ascii="Arial Narrow" w:hAnsi="Arial Narrow" w:cs="Calibri"/>
                <w:b/>
                <w:bCs/>
                <w:sz w:val="16"/>
                <w:szCs w:val="16"/>
              </w:rPr>
              <w:t>Продукция на селскостопански стоки (10+13)</w:t>
            </w:r>
          </w:p>
        </w:tc>
        <w:tc>
          <w:tcPr>
            <w:tcW w:w="957" w:type="dxa"/>
            <w:tcBorders>
              <w:top w:val="nil"/>
              <w:left w:val="nil"/>
              <w:bottom w:val="single" w:sz="4" w:space="0" w:color="auto"/>
              <w:right w:val="single" w:sz="4" w:space="0" w:color="auto"/>
            </w:tcBorders>
            <w:shd w:val="clear" w:color="auto" w:fill="auto"/>
            <w:vAlign w:val="center"/>
            <w:hideMark/>
          </w:tcPr>
          <w:p w14:paraId="21EEA4B3" w14:textId="77777777" w:rsidR="004A0B2E" w:rsidRPr="004A0B2E" w:rsidRDefault="004A0B2E" w:rsidP="004A0B2E">
            <w:pPr>
              <w:jc w:val="right"/>
              <w:rPr>
                <w:rFonts w:ascii="Arial Narrow" w:hAnsi="Arial Narrow" w:cs="Calibri"/>
                <w:b/>
                <w:bCs/>
                <w:sz w:val="16"/>
                <w:szCs w:val="16"/>
              </w:rPr>
            </w:pPr>
            <w:r w:rsidRPr="004A0B2E">
              <w:rPr>
                <w:rFonts w:ascii="Arial Narrow" w:hAnsi="Arial Narrow" w:cs="Calibri"/>
                <w:b/>
                <w:bCs/>
                <w:sz w:val="16"/>
                <w:szCs w:val="16"/>
              </w:rPr>
              <w:t>12 113,7</w:t>
            </w:r>
          </w:p>
        </w:tc>
        <w:tc>
          <w:tcPr>
            <w:tcW w:w="1118" w:type="dxa"/>
            <w:tcBorders>
              <w:top w:val="nil"/>
              <w:left w:val="nil"/>
              <w:bottom w:val="single" w:sz="4" w:space="0" w:color="auto"/>
              <w:right w:val="single" w:sz="4" w:space="0" w:color="auto"/>
            </w:tcBorders>
            <w:shd w:val="clear" w:color="auto" w:fill="auto"/>
            <w:vAlign w:val="center"/>
            <w:hideMark/>
          </w:tcPr>
          <w:p w14:paraId="5B312E5C" w14:textId="77777777" w:rsidR="004A0B2E" w:rsidRPr="004A0B2E" w:rsidRDefault="004A0B2E" w:rsidP="004A0B2E">
            <w:pPr>
              <w:jc w:val="right"/>
              <w:rPr>
                <w:rFonts w:ascii="Arial Narrow" w:hAnsi="Arial Narrow" w:cs="Calibri"/>
                <w:b/>
                <w:bCs/>
                <w:sz w:val="16"/>
                <w:szCs w:val="16"/>
              </w:rPr>
            </w:pPr>
            <w:r w:rsidRPr="004A0B2E">
              <w:rPr>
                <w:rFonts w:ascii="Arial Narrow" w:hAnsi="Arial Narrow" w:cs="Calibri"/>
                <w:b/>
                <w:bCs/>
                <w:sz w:val="16"/>
                <w:szCs w:val="16"/>
              </w:rPr>
              <w:t>-20,3</w:t>
            </w:r>
          </w:p>
        </w:tc>
        <w:tc>
          <w:tcPr>
            <w:tcW w:w="957" w:type="dxa"/>
            <w:tcBorders>
              <w:top w:val="nil"/>
              <w:left w:val="nil"/>
              <w:bottom w:val="single" w:sz="4" w:space="0" w:color="auto"/>
              <w:right w:val="single" w:sz="4" w:space="0" w:color="auto"/>
            </w:tcBorders>
            <w:shd w:val="clear" w:color="auto" w:fill="auto"/>
            <w:vAlign w:val="center"/>
            <w:hideMark/>
          </w:tcPr>
          <w:p w14:paraId="08CC5644" w14:textId="77777777" w:rsidR="004A0B2E" w:rsidRPr="004A0B2E" w:rsidRDefault="004A0B2E" w:rsidP="004A0B2E">
            <w:pPr>
              <w:jc w:val="right"/>
              <w:rPr>
                <w:rFonts w:ascii="Arial Narrow" w:hAnsi="Arial Narrow" w:cs="Calibri"/>
                <w:b/>
                <w:bCs/>
                <w:sz w:val="16"/>
                <w:szCs w:val="16"/>
              </w:rPr>
            </w:pPr>
            <w:r w:rsidRPr="004A0B2E">
              <w:rPr>
                <w:rFonts w:ascii="Arial Narrow" w:hAnsi="Arial Narrow" w:cs="Calibri"/>
                <w:b/>
                <w:bCs/>
                <w:sz w:val="16"/>
                <w:szCs w:val="16"/>
              </w:rPr>
              <w:t>9 649,2</w:t>
            </w:r>
          </w:p>
        </w:tc>
        <w:tc>
          <w:tcPr>
            <w:tcW w:w="1256" w:type="dxa"/>
            <w:tcBorders>
              <w:top w:val="nil"/>
              <w:left w:val="nil"/>
              <w:bottom w:val="single" w:sz="4" w:space="0" w:color="auto"/>
              <w:right w:val="single" w:sz="4" w:space="0" w:color="auto"/>
            </w:tcBorders>
            <w:shd w:val="clear" w:color="auto" w:fill="auto"/>
            <w:vAlign w:val="center"/>
            <w:hideMark/>
          </w:tcPr>
          <w:p w14:paraId="22163630" w14:textId="77777777" w:rsidR="004A0B2E" w:rsidRPr="004A0B2E" w:rsidRDefault="004A0B2E" w:rsidP="004A0B2E">
            <w:pPr>
              <w:jc w:val="right"/>
              <w:rPr>
                <w:rFonts w:ascii="Arial Narrow" w:hAnsi="Arial Narrow" w:cs="Calibri"/>
                <w:b/>
                <w:bCs/>
                <w:sz w:val="16"/>
                <w:szCs w:val="16"/>
              </w:rPr>
            </w:pPr>
            <w:r w:rsidRPr="004A0B2E">
              <w:rPr>
                <w:rFonts w:ascii="Arial Narrow" w:hAnsi="Arial Narrow" w:cs="Calibri"/>
                <w:b/>
                <w:bCs/>
                <w:sz w:val="16"/>
                <w:szCs w:val="16"/>
              </w:rPr>
              <w:t>-8,8</w:t>
            </w:r>
          </w:p>
        </w:tc>
        <w:tc>
          <w:tcPr>
            <w:tcW w:w="872" w:type="dxa"/>
            <w:tcBorders>
              <w:top w:val="nil"/>
              <w:left w:val="nil"/>
              <w:bottom w:val="single" w:sz="4" w:space="0" w:color="auto"/>
              <w:right w:val="single" w:sz="4" w:space="0" w:color="auto"/>
            </w:tcBorders>
            <w:shd w:val="clear" w:color="auto" w:fill="auto"/>
            <w:vAlign w:val="center"/>
            <w:hideMark/>
          </w:tcPr>
          <w:p w14:paraId="49298DDA" w14:textId="77777777" w:rsidR="004A0B2E" w:rsidRPr="004A0B2E" w:rsidRDefault="004A0B2E" w:rsidP="004A0B2E">
            <w:pPr>
              <w:jc w:val="right"/>
              <w:rPr>
                <w:rFonts w:ascii="Arial Narrow" w:hAnsi="Arial Narrow" w:cs="Calibri"/>
                <w:b/>
                <w:bCs/>
                <w:sz w:val="16"/>
                <w:szCs w:val="16"/>
              </w:rPr>
            </w:pPr>
            <w:r w:rsidRPr="004A0B2E">
              <w:rPr>
                <w:rFonts w:ascii="Arial Narrow" w:hAnsi="Arial Narrow" w:cs="Calibri"/>
                <w:b/>
                <w:bCs/>
                <w:sz w:val="16"/>
                <w:szCs w:val="16"/>
              </w:rPr>
              <w:t>8 798,0</w:t>
            </w:r>
          </w:p>
        </w:tc>
      </w:tr>
      <w:tr w:rsidR="004A0B2E" w:rsidRPr="00B10684" w14:paraId="70A7A5B6" w14:textId="77777777" w:rsidTr="008F7A9E">
        <w:trPr>
          <w:trHeight w:val="345"/>
        </w:trPr>
        <w:tc>
          <w:tcPr>
            <w:tcW w:w="757" w:type="dxa"/>
            <w:tcBorders>
              <w:top w:val="nil"/>
              <w:left w:val="single" w:sz="4" w:space="0" w:color="auto"/>
              <w:bottom w:val="single" w:sz="4" w:space="0" w:color="auto"/>
              <w:right w:val="single" w:sz="4" w:space="0" w:color="auto"/>
            </w:tcBorders>
            <w:shd w:val="clear" w:color="000000" w:fill="FFFFFF"/>
            <w:noWrap/>
            <w:vAlign w:val="center"/>
            <w:hideMark/>
          </w:tcPr>
          <w:p w14:paraId="0FD17CA4" w14:textId="77777777" w:rsidR="004A0B2E" w:rsidRPr="004A0B2E" w:rsidRDefault="004A0B2E" w:rsidP="004A0B2E">
            <w:pPr>
              <w:rPr>
                <w:rFonts w:ascii="Arial Narrow" w:hAnsi="Arial Narrow" w:cs="Calibri"/>
                <w:b/>
                <w:bCs/>
                <w:sz w:val="16"/>
                <w:szCs w:val="16"/>
              </w:rPr>
            </w:pPr>
            <w:r w:rsidRPr="004A0B2E">
              <w:rPr>
                <w:rFonts w:ascii="Arial Narrow" w:hAnsi="Arial Narrow" w:cs="Calibri"/>
                <w:b/>
                <w:bCs/>
                <w:sz w:val="16"/>
                <w:szCs w:val="16"/>
              </w:rPr>
              <w:t xml:space="preserve"> 15</w:t>
            </w:r>
          </w:p>
        </w:tc>
        <w:tc>
          <w:tcPr>
            <w:tcW w:w="5279" w:type="dxa"/>
            <w:tcBorders>
              <w:top w:val="nil"/>
              <w:left w:val="nil"/>
              <w:bottom w:val="single" w:sz="4" w:space="0" w:color="auto"/>
              <w:right w:val="single" w:sz="4" w:space="0" w:color="auto"/>
            </w:tcBorders>
            <w:shd w:val="clear" w:color="auto" w:fill="auto"/>
            <w:vAlign w:val="center"/>
            <w:hideMark/>
          </w:tcPr>
          <w:p w14:paraId="72A757C6" w14:textId="77777777" w:rsidR="004A0B2E" w:rsidRPr="004A0B2E" w:rsidRDefault="004A0B2E" w:rsidP="004A0B2E">
            <w:pPr>
              <w:rPr>
                <w:rFonts w:ascii="Arial Narrow" w:hAnsi="Arial Narrow" w:cs="Calibri"/>
                <w:b/>
                <w:bCs/>
                <w:sz w:val="16"/>
                <w:szCs w:val="16"/>
              </w:rPr>
            </w:pPr>
            <w:r w:rsidRPr="004A0B2E">
              <w:rPr>
                <w:rFonts w:ascii="Arial Narrow" w:hAnsi="Arial Narrow" w:cs="Calibri"/>
                <w:b/>
                <w:bCs/>
                <w:sz w:val="16"/>
                <w:szCs w:val="16"/>
              </w:rPr>
              <w:t>Продукция на селскостопански услуги</w:t>
            </w:r>
          </w:p>
        </w:tc>
        <w:tc>
          <w:tcPr>
            <w:tcW w:w="957" w:type="dxa"/>
            <w:tcBorders>
              <w:top w:val="nil"/>
              <w:left w:val="nil"/>
              <w:bottom w:val="single" w:sz="4" w:space="0" w:color="auto"/>
              <w:right w:val="single" w:sz="4" w:space="0" w:color="auto"/>
            </w:tcBorders>
            <w:shd w:val="clear" w:color="auto" w:fill="auto"/>
            <w:vAlign w:val="center"/>
            <w:hideMark/>
          </w:tcPr>
          <w:p w14:paraId="18DF299D" w14:textId="77777777" w:rsidR="004A0B2E" w:rsidRPr="004A0B2E" w:rsidRDefault="004A0B2E" w:rsidP="004A0B2E">
            <w:pPr>
              <w:jc w:val="right"/>
              <w:rPr>
                <w:rFonts w:ascii="Arial Narrow" w:hAnsi="Arial Narrow" w:cs="Calibri"/>
                <w:b/>
                <w:bCs/>
                <w:sz w:val="16"/>
                <w:szCs w:val="16"/>
              </w:rPr>
            </w:pPr>
            <w:r w:rsidRPr="004A0B2E">
              <w:rPr>
                <w:rFonts w:ascii="Arial Narrow" w:hAnsi="Arial Narrow" w:cs="Calibri"/>
                <w:b/>
                <w:bCs/>
                <w:sz w:val="16"/>
                <w:szCs w:val="16"/>
              </w:rPr>
              <w:t>595,3</w:t>
            </w:r>
          </w:p>
        </w:tc>
        <w:tc>
          <w:tcPr>
            <w:tcW w:w="1118" w:type="dxa"/>
            <w:tcBorders>
              <w:top w:val="nil"/>
              <w:left w:val="nil"/>
              <w:bottom w:val="single" w:sz="4" w:space="0" w:color="auto"/>
              <w:right w:val="single" w:sz="4" w:space="0" w:color="auto"/>
            </w:tcBorders>
            <w:shd w:val="clear" w:color="auto" w:fill="auto"/>
            <w:vAlign w:val="center"/>
            <w:hideMark/>
          </w:tcPr>
          <w:p w14:paraId="444C280E" w14:textId="77777777" w:rsidR="004A0B2E" w:rsidRPr="004A0B2E" w:rsidRDefault="004A0B2E" w:rsidP="004A0B2E">
            <w:pPr>
              <w:jc w:val="right"/>
              <w:rPr>
                <w:rFonts w:ascii="Arial Narrow" w:hAnsi="Arial Narrow" w:cs="Calibri"/>
                <w:b/>
                <w:bCs/>
                <w:sz w:val="16"/>
                <w:szCs w:val="16"/>
              </w:rPr>
            </w:pPr>
            <w:r w:rsidRPr="004A0B2E">
              <w:rPr>
                <w:rFonts w:ascii="Arial Narrow" w:hAnsi="Arial Narrow" w:cs="Calibri"/>
                <w:b/>
                <w:bCs/>
                <w:sz w:val="16"/>
                <w:szCs w:val="16"/>
              </w:rPr>
              <w:t>0,1</w:t>
            </w:r>
          </w:p>
        </w:tc>
        <w:tc>
          <w:tcPr>
            <w:tcW w:w="957" w:type="dxa"/>
            <w:tcBorders>
              <w:top w:val="nil"/>
              <w:left w:val="nil"/>
              <w:bottom w:val="single" w:sz="4" w:space="0" w:color="auto"/>
              <w:right w:val="single" w:sz="4" w:space="0" w:color="auto"/>
            </w:tcBorders>
            <w:shd w:val="clear" w:color="auto" w:fill="auto"/>
            <w:vAlign w:val="center"/>
            <w:hideMark/>
          </w:tcPr>
          <w:p w14:paraId="38A96785" w14:textId="77777777" w:rsidR="004A0B2E" w:rsidRPr="004A0B2E" w:rsidRDefault="004A0B2E" w:rsidP="004A0B2E">
            <w:pPr>
              <w:jc w:val="right"/>
              <w:rPr>
                <w:rFonts w:ascii="Arial Narrow" w:hAnsi="Arial Narrow" w:cs="Calibri"/>
                <w:b/>
                <w:bCs/>
                <w:sz w:val="16"/>
                <w:szCs w:val="16"/>
              </w:rPr>
            </w:pPr>
            <w:r w:rsidRPr="004A0B2E">
              <w:rPr>
                <w:rFonts w:ascii="Arial Narrow" w:hAnsi="Arial Narrow" w:cs="Calibri"/>
                <w:b/>
                <w:bCs/>
                <w:sz w:val="16"/>
                <w:szCs w:val="16"/>
              </w:rPr>
              <w:t>595,7</w:t>
            </w:r>
          </w:p>
        </w:tc>
        <w:tc>
          <w:tcPr>
            <w:tcW w:w="1256" w:type="dxa"/>
            <w:tcBorders>
              <w:top w:val="nil"/>
              <w:left w:val="nil"/>
              <w:bottom w:val="single" w:sz="4" w:space="0" w:color="auto"/>
              <w:right w:val="single" w:sz="4" w:space="0" w:color="auto"/>
            </w:tcBorders>
            <w:shd w:val="clear" w:color="auto" w:fill="auto"/>
            <w:vAlign w:val="center"/>
            <w:hideMark/>
          </w:tcPr>
          <w:p w14:paraId="55F52944" w14:textId="77777777" w:rsidR="004A0B2E" w:rsidRPr="004A0B2E" w:rsidRDefault="004A0B2E" w:rsidP="004A0B2E">
            <w:pPr>
              <w:jc w:val="right"/>
              <w:rPr>
                <w:rFonts w:ascii="Arial Narrow" w:hAnsi="Arial Narrow" w:cs="Calibri"/>
                <w:b/>
                <w:bCs/>
                <w:sz w:val="16"/>
                <w:szCs w:val="16"/>
              </w:rPr>
            </w:pPr>
            <w:r w:rsidRPr="004A0B2E">
              <w:rPr>
                <w:rFonts w:ascii="Arial Narrow" w:hAnsi="Arial Narrow" w:cs="Calibri"/>
                <w:b/>
                <w:bCs/>
                <w:sz w:val="16"/>
                <w:szCs w:val="16"/>
              </w:rPr>
              <w:t>-8,0</w:t>
            </w:r>
          </w:p>
        </w:tc>
        <w:tc>
          <w:tcPr>
            <w:tcW w:w="872" w:type="dxa"/>
            <w:tcBorders>
              <w:top w:val="nil"/>
              <w:left w:val="nil"/>
              <w:bottom w:val="single" w:sz="4" w:space="0" w:color="auto"/>
              <w:right w:val="single" w:sz="4" w:space="0" w:color="auto"/>
            </w:tcBorders>
            <w:shd w:val="clear" w:color="auto" w:fill="auto"/>
            <w:vAlign w:val="center"/>
            <w:hideMark/>
          </w:tcPr>
          <w:p w14:paraId="393CE846" w14:textId="77777777" w:rsidR="004A0B2E" w:rsidRPr="004A0B2E" w:rsidRDefault="004A0B2E" w:rsidP="004A0B2E">
            <w:pPr>
              <w:jc w:val="right"/>
              <w:rPr>
                <w:rFonts w:ascii="Arial Narrow" w:hAnsi="Arial Narrow" w:cs="Calibri"/>
                <w:b/>
                <w:bCs/>
                <w:sz w:val="16"/>
                <w:szCs w:val="16"/>
              </w:rPr>
            </w:pPr>
            <w:r w:rsidRPr="004A0B2E">
              <w:rPr>
                <w:rFonts w:ascii="Arial Narrow" w:hAnsi="Arial Narrow" w:cs="Calibri"/>
                <w:b/>
                <w:bCs/>
                <w:sz w:val="16"/>
                <w:szCs w:val="16"/>
              </w:rPr>
              <w:t>547,8</w:t>
            </w:r>
          </w:p>
        </w:tc>
      </w:tr>
      <w:tr w:rsidR="004A0B2E" w:rsidRPr="00B10684" w14:paraId="1F0A5996" w14:textId="77777777" w:rsidTr="008F7A9E">
        <w:trPr>
          <w:trHeight w:val="345"/>
        </w:trPr>
        <w:tc>
          <w:tcPr>
            <w:tcW w:w="757" w:type="dxa"/>
            <w:tcBorders>
              <w:top w:val="nil"/>
              <w:left w:val="single" w:sz="4" w:space="0" w:color="auto"/>
              <w:bottom w:val="single" w:sz="4" w:space="0" w:color="auto"/>
              <w:right w:val="single" w:sz="4" w:space="0" w:color="auto"/>
            </w:tcBorders>
            <w:shd w:val="clear" w:color="000000" w:fill="FFFFFF"/>
            <w:noWrap/>
            <w:vAlign w:val="center"/>
            <w:hideMark/>
          </w:tcPr>
          <w:p w14:paraId="6A8D209D" w14:textId="77777777" w:rsidR="004A0B2E" w:rsidRPr="004A0B2E" w:rsidRDefault="004A0B2E" w:rsidP="004A0B2E">
            <w:pPr>
              <w:rPr>
                <w:rFonts w:ascii="Arial Narrow" w:hAnsi="Arial Narrow" w:cs="Calibri"/>
                <w:b/>
                <w:bCs/>
                <w:sz w:val="16"/>
                <w:szCs w:val="16"/>
              </w:rPr>
            </w:pPr>
            <w:r w:rsidRPr="004A0B2E">
              <w:rPr>
                <w:rFonts w:ascii="Arial Narrow" w:hAnsi="Arial Narrow" w:cs="Calibri"/>
                <w:b/>
                <w:bCs/>
                <w:sz w:val="16"/>
                <w:szCs w:val="16"/>
              </w:rPr>
              <w:t xml:space="preserve"> 16</w:t>
            </w:r>
          </w:p>
        </w:tc>
        <w:tc>
          <w:tcPr>
            <w:tcW w:w="5279" w:type="dxa"/>
            <w:tcBorders>
              <w:top w:val="nil"/>
              <w:left w:val="nil"/>
              <w:bottom w:val="single" w:sz="4" w:space="0" w:color="auto"/>
              <w:right w:val="single" w:sz="4" w:space="0" w:color="auto"/>
            </w:tcBorders>
            <w:shd w:val="clear" w:color="auto" w:fill="auto"/>
            <w:vAlign w:val="center"/>
            <w:hideMark/>
          </w:tcPr>
          <w:p w14:paraId="43291DA6" w14:textId="77777777" w:rsidR="004A0B2E" w:rsidRPr="004A0B2E" w:rsidRDefault="004A0B2E" w:rsidP="004A0B2E">
            <w:pPr>
              <w:rPr>
                <w:rFonts w:ascii="Arial Narrow" w:hAnsi="Arial Narrow" w:cs="Calibri"/>
                <w:b/>
                <w:bCs/>
                <w:sz w:val="16"/>
                <w:szCs w:val="16"/>
              </w:rPr>
            </w:pPr>
            <w:r w:rsidRPr="004A0B2E">
              <w:rPr>
                <w:rFonts w:ascii="Arial Narrow" w:hAnsi="Arial Narrow" w:cs="Calibri"/>
                <w:b/>
                <w:bCs/>
                <w:sz w:val="16"/>
                <w:szCs w:val="16"/>
              </w:rPr>
              <w:t>Продукция от селското стопанство (14+15)</w:t>
            </w:r>
          </w:p>
        </w:tc>
        <w:tc>
          <w:tcPr>
            <w:tcW w:w="957" w:type="dxa"/>
            <w:tcBorders>
              <w:top w:val="nil"/>
              <w:left w:val="nil"/>
              <w:bottom w:val="single" w:sz="4" w:space="0" w:color="auto"/>
              <w:right w:val="single" w:sz="4" w:space="0" w:color="auto"/>
            </w:tcBorders>
            <w:shd w:val="clear" w:color="auto" w:fill="auto"/>
            <w:vAlign w:val="center"/>
            <w:hideMark/>
          </w:tcPr>
          <w:p w14:paraId="1B633163" w14:textId="77777777" w:rsidR="004A0B2E" w:rsidRPr="004A0B2E" w:rsidRDefault="004A0B2E" w:rsidP="004A0B2E">
            <w:pPr>
              <w:jc w:val="right"/>
              <w:rPr>
                <w:rFonts w:ascii="Arial Narrow" w:hAnsi="Arial Narrow" w:cs="Calibri"/>
                <w:b/>
                <w:bCs/>
                <w:sz w:val="16"/>
                <w:szCs w:val="16"/>
              </w:rPr>
            </w:pPr>
            <w:r w:rsidRPr="004A0B2E">
              <w:rPr>
                <w:rFonts w:ascii="Arial Narrow" w:hAnsi="Arial Narrow" w:cs="Calibri"/>
                <w:b/>
                <w:bCs/>
                <w:sz w:val="16"/>
                <w:szCs w:val="16"/>
              </w:rPr>
              <w:t>12 709,0</w:t>
            </w:r>
          </w:p>
        </w:tc>
        <w:tc>
          <w:tcPr>
            <w:tcW w:w="1118" w:type="dxa"/>
            <w:tcBorders>
              <w:top w:val="nil"/>
              <w:left w:val="nil"/>
              <w:bottom w:val="single" w:sz="4" w:space="0" w:color="auto"/>
              <w:right w:val="single" w:sz="4" w:space="0" w:color="auto"/>
            </w:tcBorders>
            <w:shd w:val="clear" w:color="auto" w:fill="auto"/>
            <w:vAlign w:val="center"/>
            <w:hideMark/>
          </w:tcPr>
          <w:p w14:paraId="476A72C3" w14:textId="77777777" w:rsidR="004A0B2E" w:rsidRPr="004A0B2E" w:rsidRDefault="004A0B2E" w:rsidP="004A0B2E">
            <w:pPr>
              <w:jc w:val="right"/>
              <w:rPr>
                <w:rFonts w:ascii="Arial Narrow" w:hAnsi="Arial Narrow" w:cs="Calibri"/>
                <w:b/>
                <w:bCs/>
                <w:sz w:val="16"/>
                <w:szCs w:val="16"/>
              </w:rPr>
            </w:pPr>
            <w:r w:rsidRPr="004A0B2E">
              <w:rPr>
                <w:rFonts w:ascii="Arial Narrow" w:hAnsi="Arial Narrow" w:cs="Calibri"/>
                <w:b/>
                <w:bCs/>
                <w:sz w:val="16"/>
                <w:szCs w:val="16"/>
              </w:rPr>
              <w:t>-19,4</w:t>
            </w:r>
          </w:p>
        </w:tc>
        <w:tc>
          <w:tcPr>
            <w:tcW w:w="957" w:type="dxa"/>
            <w:tcBorders>
              <w:top w:val="nil"/>
              <w:left w:val="nil"/>
              <w:bottom w:val="single" w:sz="4" w:space="0" w:color="auto"/>
              <w:right w:val="single" w:sz="4" w:space="0" w:color="auto"/>
            </w:tcBorders>
            <w:shd w:val="clear" w:color="auto" w:fill="auto"/>
            <w:vAlign w:val="center"/>
            <w:hideMark/>
          </w:tcPr>
          <w:p w14:paraId="59C18DD6" w14:textId="77777777" w:rsidR="004A0B2E" w:rsidRPr="004A0B2E" w:rsidRDefault="004A0B2E" w:rsidP="004A0B2E">
            <w:pPr>
              <w:jc w:val="right"/>
              <w:rPr>
                <w:rFonts w:ascii="Arial Narrow" w:hAnsi="Arial Narrow" w:cs="Calibri"/>
                <w:b/>
                <w:bCs/>
                <w:sz w:val="16"/>
                <w:szCs w:val="16"/>
              </w:rPr>
            </w:pPr>
            <w:r w:rsidRPr="004A0B2E">
              <w:rPr>
                <w:rFonts w:ascii="Arial Narrow" w:hAnsi="Arial Narrow" w:cs="Calibri"/>
                <w:b/>
                <w:bCs/>
                <w:sz w:val="16"/>
                <w:szCs w:val="16"/>
              </w:rPr>
              <w:t>10 244,9</w:t>
            </w:r>
          </w:p>
        </w:tc>
        <w:tc>
          <w:tcPr>
            <w:tcW w:w="1256" w:type="dxa"/>
            <w:tcBorders>
              <w:top w:val="nil"/>
              <w:left w:val="nil"/>
              <w:bottom w:val="single" w:sz="4" w:space="0" w:color="auto"/>
              <w:right w:val="single" w:sz="4" w:space="0" w:color="auto"/>
            </w:tcBorders>
            <w:shd w:val="clear" w:color="auto" w:fill="auto"/>
            <w:vAlign w:val="center"/>
            <w:hideMark/>
          </w:tcPr>
          <w:p w14:paraId="716B3344" w14:textId="77777777" w:rsidR="004A0B2E" w:rsidRPr="004A0B2E" w:rsidRDefault="004A0B2E" w:rsidP="004A0B2E">
            <w:pPr>
              <w:jc w:val="right"/>
              <w:rPr>
                <w:rFonts w:ascii="Arial Narrow" w:hAnsi="Arial Narrow" w:cs="Calibri"/>
                <w:b/>
                <w:bCs/>
                <w:sz w:val="16"/>
                <w:szCs w:val="16"/>
              </w:rPr>
            </w:pPr>
            <w:r w:rsidRPr="004A0B2E">
              <w:rPr>
                <w:rFonts w:ascii="Arial Narrow" w:hAnsi="Arial Narrow" w:cs="Calibri"/>
                <w:b/>
                <w:bCs/>
                <w:sz w:val="16"/>
                <w:szCs w:val="16"/>
              </w:rPr>
              <w:t>-8,8</w:t>
            </w:r>
          </w:p>
        </w:tc>
        <w:tc>
          <w:tcPr>
            <w:tcW w:w="872" w:type="dxa"/>
            <w:tcBorders>
              <w:top w:val="nil"/>
              <w:left w:val="nil"/>
              <w:bottom w:val="single" w:sz="4" w:space="0" w:color="auto"/>
              <w:right w:val="single" w:sz="4" w:space="0" w:color="auto"/>
            </w:tcBorders>
            <w:shd w:val="clear" w:color="auto" w:fill="auto"/>
            <w:vAlign w:val="center"/>
            <w:hideMark/>
          </w:tcPr>
          <w:p w14:paraId="389AA074" w14:textId="77777777" w:rsidR="004A0B2E" w:rsidRPr="004A0B2E" w:rsidRDefault="004A0B2E" w:rsidP="004A0B2E">
            <w:pPr>
              <w:jc w:val="right"/>
              <w:rPr>
                <w:rFonts w:ascii="Arial Narrow" w:hAnsi="Arial Narrow" w:cs="Calibri"/>
                <w:b/>
                <w:bCs/>
                <w:sz w:val="16"/>
                <w:szCs w:val="16"/>
              </w:rPr>
            </w:pPr>
            <w:r w:rsidRPr="004A0B2E">
              <w:rPr>
                <w:rFonts w:ascii="Arial Narrow" w:hAnsi="Arial Narrow" w:cs="Calibri"/>
                <w:b/>
                <w:bCs/>
                <w:sz w:val="16"/>
                <w:szCs w:val="16"/>
              </w:rPr>
              <w:t>9 345,8</w:t>
            </w:r>
          </w:p>
        </w:tc>
      </w:tr>
      <w:tr w:rsidR="004A0B2E" w:rsidRPr="00B10684" w14:paraId="4D36EEA8" w14:textId="77777777" w:rsidTr="008F7A9E">
        <w:trPr>
          <w:trHeight w:val="345"/>
        </w:trPr>
        <w:tc>
          <w:tcPr>
            <w:tcW w:w="757" w:type="dxa"/>
            <w:tcBorders>
              <w:top w:val="nil"/>
              <w:left w:val="single" w:sz="4" w:space="0" w:color="auto"/>
              <w:bottom w:val="single" w:sz="4" w:space="0" w:color="auto"/>
              <w:right w:val="single" w:sz="4" w:space="0" w:color="auto"/>
            </w:tcBorders>
            <w:shd w:val="clear" w:color="000000" w:fill="FFFFFF"/>
            <w:noWrap/>
            <w:vAlign w:val="center"/>
            <w:hideMark/>
          </w:tcPr>
          <w:p w14:paraId="6B1B81FE" w14:textId="77777777" w:rsidR="004A0B2E" w:rsidRPr="004A0B2E" w:rsidRDefault="004A0B2E" w:rsidP="004A0B2E">
            <w:pPr>
              <w:rPr>
                <w:rFonts w:ascii="Arial Narrow" w:hAnsi="Arial Narrow" w:cs="Calibri"/>
                <w:b/>
                <w:bCs/>
                <w:sz w:val="16"/>
                <w:szCs w:val="16"/>
              </w:rPr>
            </w:pPr>
            <w:r w:rsidRPr="004A0B2E">
              <w:rPr>
                <w:rFonts w:ascii="Arial Narrow" w:hAnsi="Arial Narrow" w:cs="Calibri"/>
                <w:b/>
                <w:bCs/>
                <w:sz w:val="16"/>
                <w:szCs w:val="16"/>
              </w:rPr>
              <w:t xml:space="preserve"> 17</w:t>
            </w:r>
          </w:p>
        </w:tc>
        <w:tc>
          <w:tcPr>
            <w:tcW w:w="5279" w:type="dxa"/>
            <w:tcBorders>
              <w:top w:val="nil"/>
              <w:left w:val="nil"/>
              <w:bottom w:val="single" w:sz="4" w:space="0" w:color="auto"/>
              <w:right w:val="single" w:sz="4" w:space="0" w:color="auto"/>
            </w:tcBorders>
            <w:shd w:val="clear" w:color="auto" w:fill="auto"/>
            <w:vAlign w:val="center"/>
            <w:hideMark/>
          </w:tcPr>
          <w:p w14:paraId="1956D773" w14:textId="77777777" w:rsidR="004A0B2E" w:rsidRPr="004A0B2E" w:rsidRDefault="004A0B2E" w:rsidP="004A0B2E">
            <w:pPr>
              <w:rPr>
                <w:rFonts w:ascii="Arial Narrow" w:hAnsi="Arial Narrow" w:cs="Calibri"/>
                <w:b/>
                <w:bCs/>
                <w:sz w:val="16"/>
                <w:szCs w:val="16"/>
              </w:rPr>
            </w:pPr>
            <w:r w:rsidRPr="004A0B2E">
              <w:rPr>
                <w:rFonts w:ascii="Arial Narrow" w:hAnsi="Arial Narrow" w:cs="Calibri"/>
                <w:b/>
                <w:bCs/>
                <w:sz w:val="16"/>
                <w:szCs w:val="16"/>
              </w:rPr>
              <w:t>Неселскостопански неотделими второстепенни дейности</w:t>
            </w:r>
          </w:p>
        </w:tc>
        <w:tc>
          <w:tcPr>
            <w:tcW w:w="957" w:type="dxa"/>
            <w:tcBorders>
              <w:top w:val="nil"/>
              <w:left w:val="nil"/>
              <w:bottom w:val="single" w:sz="4" w:space="0" w:color="auto"/>
              <w:right w:val="single" w:sz="4" w:space="0" w:color="auto"/>
            </w:tcBorders>
            <w:shd w:val="clear" w:color="auto" w:fill="auto"/>
            <w:vAlign w:val="center"/>
            <w:hideMark/>
          </w:tcPr>
          <w:p w14:paraId="33941917" w14:textId="77777777" w:rsidR="004A0B2E" w:rsidRPr="004A0B2E" w:rsidRDefault="004A0B2E" w:rsidP="004A0B2E">
            <w:pPr>
              <w:jc w:val="right"/>
              <w:rPr>
                <w:rFonts w:ascii="Arial Narrow" w:hAnsi="Arial Narrow" w:cs="Calibri"/>
                <w:b/>
                <w:bCs/>
                <w:sz w:val="16"/>
                <w:szCs w:val="16"/>
              </w:rPr>
            </w:pPr>
            <w:r w:rsidRPr="004A0B2E">
              <w:rPr>
                <w:rFonts w:ascii="Arial Narrow" w:hAnsi="Arial Narrow" w:cs="Calibri"/>
                <w:b/>
                <w:bCs/>
                <w:sz w:val="16"/>
                <w:szCs w:val="16"/>
              </w:rPr>
              <w:t>273,2</w:t>
            </w:r>
          </w:p>
        </w:tc>
        <w:tc>
          <w:tcPr>
            <w:tcW w:w="1118" w:type="dxa"/>
            <w:tcBorders>
              <w:top w:val="nil"/>
              <w:left w:val="nil"/>
              <w:bottom w:val="single" w:sz="4" w:space="0" w:color="auto"/>
              <w:right w:val="single" w:sz="4" w:space="0" w:color="auto"/>
            </w:tcBorders>
            <w:shd w:val="clear" w:color="auto" w:fill="auto"/>
            <w:vAlign w:val="center"/>
            <w:hideMark/>
          </w:tcPr>
          <w:p w14:paraId="539357AD" w14:textId="77777777" w:rsidR="004A0B2E" w:rsidRPr="004A0B2E" w:rsidRDefault="004A0B2E" w:rsidP="004A0B2E">
            <w:pPr>
              <w:jc w:val="right"/>
              <w:rPr>
                <w:rFonts w:ascii="Arial Narrow" w:hAnsi="Arial Narrow" w:cs="Calibri"/>
                <w:b/>
                <w:bCs/>
                <w:sz w:val="16"/>
                <w:szCs w:val="16"/>
              </w:rPr>
            </w:pPr>
            <w:r w:rsidRPr="004A0B2E">
              <w:rPr>
                <w:rFonts w:ascii="Arial Narrow" w:hAnsi="Arial Narrow" w:cs="Calibri"/>
                <w:b/>
                <w:bCs/>
                <w:sz w:val="16"/>
                <w:szCs w:val="16"/>
              </w:rPr>
              <w:t>9,4</w:t>
            </w:r>
          </w:p>
        </w:tc>
        <w:tc>
          <w:tcPr>
            <w:tcW w:w="957" w:type="dxa"/>
            <w:tcBorders>
              <w:top w:val="nil"/>
              <w:left w:val="nil"/>
              <w:bottom w:val="single" w:sz="4" w:space="0" w:color="auto"/>
              <w:right w:val="single" w:sz="4" w:space="0" w:color="auto"/>
            </w:tcBorders>
            <w:shd w:val="clear" w:color="auto" w:fill="auto"/>
            <w:vAlign w:val="center"/>
            <w:hideMark/>
          </w:tcPr>
          <w:p w14:paraId="56977D42" w14:textId="77777777" w:rsidR="004A0B2E" w:rsidRPr="004A0B2E" w:rsidRDefault="004A0B2E" w:rsidP="004A0B2E">
            <w:pPr>
              <w:jc w:val="right"/>
              <w:rPr>
                <w:rFonts w:ascii="Arial Narrow" w:hAnsi="Arial Narrow" w:cs="Calibri"/>
                <w:b/>
                <w:bCs/>
                <w:sz w:val="16"/>
                <w:szCs w:val="16"/>
              </w:rPr>
            </w:pPr>
            <w:r w:rsidRPr="004A0B2E">
              <w:rPr>
                <w:rFonts w:ascii="Arial Narrow" w:hAnsi="Arial Narrow" w:cs="Calibri"/>
                <w:b/>
                <w:bCs/>
                <w:sz w:val="16"/>
                <w:szCs w:val="16"/>
              </w:rPr>
              <w:t>299,0</w:t>
            </w:r>
          </w:p>
        </w:tc>
        <w:tc>
          <w:tcPr>
            <w:tcW w:w="1256" w:type="dxa"/>
            <w:tcBorders>
              <w:top w:val="nil"/>
              <w:left w:val="nil"/>
              <w:bottom w:val="single" w:sz="4" w:space="0" w:color="auto"/>
              <w:right w:val="single" w:sz="4" w:space="0" w:color="auto"/>
            </w:tcBorders>
            <w:shd w:val="clear" w:color="auto" w:fill="auto"/>
            <w:vAlign w:val="center"/>
            <w:hideMark/>
          </w:tcPr>
          <w:p w14:paraId="0CAD3F05" w14:textId="77777777" w:rsidR="004A0B2E" w:rsidRPr="004A0B2E" w:rsidRDefault="004A0B2E" w:rsidP="004A0B2E">
            <w:pPr>
              <w:jc w:val="right"/>
              <w:rPr>
                <w:rFonts w:ascii="Arial Narrow" w:hAnsi="Arial Narrow" w:cs="Calibri"/>
                <w:b/>
                <w:bCs/>
                <w:sz w:val="16"/>
                <w:szCs w:val="16"/>
              </w:rPr>
            </w:pPr>
            <w:r w:rsidRPr="004A0B2E">
              <w:rPr>
                <w:rFonts w:ascii="Arial Narrow" w:hAnsi="Arial Narrow" w:cs="Calibri"/>
                <w:b/>
                <w:bCs/>
                <w:sz w:val="16"/>
                <w:szCs w:val="16"/>
              </w:rPr>
              <w:t>-0,3</w:t>
            </w:r>
          </w:p>
        </w:tc>
        <w:tc>
          <w:tcPr>
            <w:tcW w:w="872" w:type="dxa"/>
            <w:tcBorders>
              <w:top w:val="nil"/>
              <w:left w:val="nil"/>
              <w:bottom w:val="single" w:sz="4" w:space="0" w:color="auto"/>
              <w:right w:val="single" w:sz="4" w:space="0" w:color="auto"/>
            </w:tcBorders>
            <w:shd w:val="clear" w:color="auto" w:fill="auto"/>
            <w:vAlign w:val="center"/>
            <w:hideMark/>
          </w:tcPr>
          <w:p w14:paraId="6D5767D3" w14:textId="77777777" w:rsidR="004A0B2E" w:rsidRPr="004A0B2E" w:rsidRDefault="004A0B2E" w:rsidP="004A0B2E">
            <w:pPr>
              <w:jc w:val="right"/>
              <w:rPr>
                <w:rFonts w:ascii="Arial Narrow" w:hAnsi="Arial Narrow" w:cs="Calibri"/>
                <w:b/>
                <w:bCs/>
                <w:sz w:val="16"/>
                <w:szCs w:val="16"/>
              </w:rPr>
            </w:pPr>
            <w:r w:rsidRPr="004A0B2E">
              <w:rPr>
                <w:rFonts w:ascii="Arial Narrow" w:hAnsi="Arial Narrow" w:cs="Calibri"/>
                <w:b/>
                <w:bCs/>
                <w:sz w:val="16"/>
                <w:szCs w:val="16"/>
              </w:rPr>
              <w:t>298,1</w:t>
            </w:r>
          </w:p>
        </w:tc>
      </w:tr>
      <w:tr w:rsidR="004A0B2E" w:rsidRPr="00B10684" w14:paraId="5461E68B" w14:textId="77777777" w:rsidTr="005A18A5">
        <w:trPr>
          <w:trHeight w:val="207"/>
        </w:trPr>
        <w:tc>
          <w:tcPr>
            <w:tcW w:w="757" w:type="dxa"/>
            <w:tcBorders>
              <w:top w:val="nil"/>
              <w:left w:val="single" w:sz="4" w:space="0" w:color="auto"/>
              <w:bottom w:val="single" w:sz="4" w:space="0" w:color="auto"/>
              <w:right w:val="single" w:sz="4" w:space="0" w:color="auto"/>
            </w:tcBorders>
            <w:shd w:val="clear" w:color="auto" w:fill="auto"/>
            <w:noWrap/>
            <w:vAlign w:val="center"/>
            <w:hideMark/>
          </w:tcPr>
          <w:p w14:paraId="4F6E772D" w14:textId="77777777" w:rsidR="004A0B2E" w:rsidRPr="004A0B2E" w:rsidRDefault="004A0B2E" w:rsidP="004A0B2E">
            <w:pPr>
              <w:rPr>
                <w:rFonts w:ascii="Arial Narrow" w:hAnsi="Arial Narrow" w:cs="Calibri"/>
                <w:sz w:val="16"/>
                <w:szCs w:val="16"/>
              </w:rPr>
            </w:pPr>
            <w:r w:rsidRPr="004A0B2E">
              <w:rPr>
                <w:rFonts w:ascii="Arial Narrow" w:hAnsi="Arial Narrow" w:cs="Calibri"/>
                <w:sz w:val="16"/>
                <w:szCs w:val="16"/>
              </w:rPr>
              <w:t xml:space="preserve"> 17.1</w:t>
            </w:r>
          </w:p>
        </w:tc>
        <w:tc>
          <w:tcPr>
            <w:tcW w:w="5279" w:type="dxa"/>
            <w:tcBorders>
              <w:top w:val="nil"/>
              <w:left w:val="nil"/>
              <w:bottom w:val="single" w:sz="4" w:space="0" w:color="auto"/>
              <w:right w:val="single" w:sz="4" w:space="0" w:color="auto"/>
            </w:tcBorders>
            <w:shd w:val="clear" w:color="auto" w:fill="auto"/>
            <w:vAlign w:val="center"/>
            <w:hideMark/>
          </w:tcPr>
          <w:p w14:paraId="5BDED283" w14:textId="77777777" w:rsidR="004A0B2E" w:rsidRPr="004A0B2E" w:rsidRDefault="004A0B2E" w:rsidP="004A0B2E">
            <w:pPr>
              <w:ind w:firstLineChars="100" w:firstLine="160"/>
              <w:rPr>
                <w:rFonts w:ascii="Arial Narrow" w:hAnsi="Arial Narrow" w:cs="Calibri"/>
                <w:sz w:val="16"/>
                <w:szCs w:val="16"/>
              </w:rPr>
            </w:pPr>
            <w:r w:rsidRPr="004A0B2E">
              <w:rPr>
                <w:rFonts w:ascii="Arial Narrow" w:hAnsi="Arial Narrow" w:cs="Calibri"/>
                <w:sz w:val="16"/>
                <w:szCs w:val="16"/>
              </w:rPr>
              <w:t>Преработка на селскостопански продукти</w:t>
            </w:r>
          </w:p>
        </w:tc>
        <w:tc>
          <w:tcPr>
            <w:tcW w:w="957" w:type="dxa"/>
            <w:tcBorders>
              <w:top w:val="nil"/>
              <w:left w:val="nil"/>
              <w:bottom w:val="single" w:sz="4" w:space="0" w:color="auto"/>
              <w:right w:val="single" w:sz="4" w:space="0" w:color="auto"/>
            </w:tcBorders>
            <w:shd w:val="clear" w:color="auto" w:fill="auto"/>
            <w:vAlign w:val="center"/>
            <w:hideMark/>
          </w:tcPr>
          <w:p w14:paraId="0E3ECB47" w14:textId="77777777" w:rsidR="004A0B2E" w:rsidRPr="004A0B2E" w:rsidRDefault="004A0B2E" w:rsidP="004A0B2E">
            <w:pPr>
              <w:jc w:val="right"/>
              <w:rPr>
                <w:rFonts w:ascii="Arial Narrow" w:hAnsi="Arial Narrow" w:cs="Calibri"/>
                <w:sz w:val="16"/>
                <w:szCs w:val="16"/>
              </w:rPr>
            </w:pPr>
            <w:r w:rsidRPr="004A0B2E">
              <w:rPr>
                <w:rFonts w:ascii="Arial Narrow" w:hAnsi="Arial Narrow" w:cs="Calibri"/>
                <w:sz w:val="16"/>
                <w:szCs w:val="16"/>
              </w:rPr>
              <w:t>273,2</w:t>
            </w:r>
          </w:p>
        </w:tc>
        <w:tc>
          <w:tcPr>
            <w:tcW w:w="1118" w:type="dxa"/>
            <w:tcBorders>
              <w:top w:val="nil"/>
              <w:left w:val="nil"/>
              <w:bottom w:val="single" w:sz="4" w:space="0" w:color="auto"/>
              <w:right w:val="single" w:sz="4" w:space="0" w:color="auto"/>
            </w:tcBorders>
            <w:shd w:val="clear" w:color="auto" w:fill="auto"/>
            <w:vAlign w:val="center"/>
            <w:hideMark/>
          </w:tcPr>
          <w:p w14:paraId="1A09148C" w14:textId="77777777" w:rsidR="004A0B2E" w:rsidRPr="004A0B2E" w:rsidRDefault="004A0B2E" w:rsidP="004A0B2E">
            <w:pPr>
              <w:jc w:val="right"/>
              <w:rPr>
                <w:rFonts w:ascii="Arial Narrow" w:hAnsi="Arial Narrow" w:cs="Calibri"/>
                <w:sz w:val="16"/>
                <w:szCs w:val="16"/>
              </w:rPr>
            </w:pPr>
            <w:r w:rsidRPr="004A0B2E">
              <w:rPr>
                <w:rFonts w:ascii="Arial Narrow" w:hAnsi="Arial Narrow" w:cs="Calibri"/>
                <w:sz w:val="16"/>
                <w:szCs w:val="16"/>
              </w:rPr>
              <w:t>9,4</w:t>
            </w:r>
          </w:p>
        </w:tc>
        <w:tc>
          <w:tcPr>
            <w:tcW w:w="957" w:type="dxa"/>
            <w:tcBorders>
              <w:top w:val="nil"/>
              <w:left w:val="nil"/>
              <w:bottom w:val="single" w:sz="4" w:space="0" w:color="auto"/>
              <w:right w:val="single" w:sz="4" w:space="0" w:color="auto"/>
            </w:tcBorders>
            <w:shd w:val="clear" w:color="auto" w:fill="auto"/>
            <w:vAlign w:val="center"/>
            <w:hideMark/>
          </w:tcPr>
          <w:p w14:paraId="696609B6" w14:textId="77777777" w:rsidR="004A0B2E" w:rsidRPr="004A0B2E" w:rsidRDefault="004A0B2E" w:rsidP="004A0B2E">
            <w:pPr>
              <w:jc w:val="right"/>
              <w:rPr>
                <w:rFonts w:ascii="Arial Narrow" w:hAnsi="Arial Narrow" w:cs="Calibri"/>
                <w:sz w:val="16"/>
                <w:szCs w:val="16"/>
              </w:rPr>
            </w:pPr>
            <w:r w:rsidRPr="004A0B2E">
              <w:rPr>
                <w:rFonts w:ascii="Arial Narrow" w:hAnsi="Arial Narrow" w:cs="Calibri"/>
                <w:sz w:val="16"/>
                <w:szCs w:val="16"/>
              </w:rPr>
              <w:t>299,0</w:t>
            </w:r>
          </w:p>
        </w:tc>
        <w:tc>
          <w:tcPr>
            <w:tcW w:w="1256" w:type="dxa"/>
            <w:tcBorders>
              <w:top w:val="nil"/>
              <w:left w:val="nil"/>
              <w:bottom w:val="single" w:sz="4" w:space="0" w:color="auto"/>
              <w:right w:val="single" w:sz="4" w:space="0" w:color="auto"/>
            </w:tcBorders>
            <w:shd w:val="clear" w:color="auto" w:fill="auto"/>
            <w:vAlign w:val="center"/>
            <w:hideMark/>
          </w:tcPr>
          <w:p w14:paraId="0A8F7691" w14:textId="77777777" w:rsidR="004A0B2E" w:rsidRPr="004A0B2E" w:rsidRDefault="004A0B2E" w:rsidP="004A0B2E">
            <w:pPr>
              <w:jc w:val="right"/>
              <w:rPr>
                <w:rFonts w:ascii="Arial Narrow" w:hAnsi="Arial Narrow" w:cs="Calibri"/>
                <w:sz w:val="16"/>
                <w:szCs w:val="16"/>
              </w:rPr>
            </w:pPr>
            <w:r w:rsidRPr="004A0B2E">
              <w:rPr>
                <w:rFonts w:ascii="Arial Narrow" w:hAnsi="Arial Narrow" w:cs="Calibri"/>
                <w:sz w:val="16"/>
                <w:szCs w:val="16"/>
              </w:rPr>
              <w:t>-0,3</w:t>
            </w:r>
          </w:p>
        </w:tc>
        <w:tc>
          <w:tcPr>
            <w:tcW w:w="872" w:type="dxa"/>
            <w:tcBorders>
              <w:top w:val="nil"/>
              <w:left w:val="nil"/>
              <w:bottom w:val="single" w:sz="4" w:space="0" w:color="auto"/>
              <w:right w:val="single" w:sz="4" w:space="0" w:color="auto"/>
            </w:tcBorders>
            <w:shd w:val="clear" w:color="auto" w:fill="auto"/>
            <w:vAlign w:val="center"/>
            <w:hideMark/>
          </w:tcPr>
          <w:p w14:paraId="3CC45E49" w14:textId="77777777" w:rsidR="004A0B2E" w:rsidRPr="004A0B2E" w:rsidRDefault="004A0B2E" w:rsidP="004A0B2E">
            <w:pPr>
              <w:jc w:val="right"/>
              <w:rPr>
                <w:rFonts w:ascii="Arial Narrow" w:hAnsi="Arial Narrow" w:cs="Calibri"/>
                <w:sz w:val="16"/>
                <w:szCs w:val="16"/>
              </w:rPr>
            </w:pPr>
            <w:r w:rsidRPr="004A0B2E">
              <w:rPr>
                <w:rFonts w:ascii="Arial Narrow" w:hAnsi="Arial Narrow" w:cs="Calibri"/>
                <w:sz w:val="16"/>
                <w:szCs w:val="16"/>
              </w:rPr>
              <w:t>298,1</w:t>
            </w:r>
          </w:p>
        </w:tc>
      </w:tr>
      <w:tr w:rsidR="004A0B2E" w:rsidRPr="00B10684" w14:paraId="5EE2F6C4" w14:textId="77777777" w:rsidTr="005A18A5">
        <w:trPr>
          <w:trHeight w:val="183"/>
        </w:trPr>
        <w:tc>
          <w:tcPr>
            <w:tcW w:w="757" w:type="dxa"/>
            <w:tcBorders>
              <w:top w:val="nil"/>
              <w:left w:val="single" w:sz="4" w:space="0" w:color="auto"/>
              <w:bottom w:val="single" w:sz="4" w:space="0" w:color="auto"/>
              <w:right w:val="single" w:sz="4" w:space="0" w:color="auto"/>
            </w:tcBorders>
            <w:shd w:val="clear" w:color="auto" w:fill="auto"/>
            <w:noWrap/>
            <w:vAlign w:val="center"/>
            <w:hideMark/>
          </w:tcPr>
          <w:p w14:paraId="4AD63C09" w14:textId="77777777" w:rsidR="004A0B2E" w:rsidRPr="004A0B2E" w:rsidRDefault="004A0B2E" w:rsidP="004A0B2E">
            <w:pPr>
              <w:rPr>
                <w:rFonts w:ascii="Arial Narrow" w:hAnsi="Arial Narrow" w:cs="Calibri"/>
                <w:sz w:val="16"/>
                <w:szCs w:val="16"/>
              </w:rPr>
            </w:pPr>
            <w:r w:rsidRPr="004A0B2E">
              <w:rPr>
                <w:rFonts w:ascii="Arial Narrow" w:hAnsi="Arial Narrow" w:cs="Calibri"/>
                <w:sz w:val="16"/>
                <w:szCs w:val="16"/>
              </w:rPr>
              <w:t xml:space="preserve"> 17.1/1</w:t>
            </w:r>
          </w:p>
        </w:tc>
        <w:tc>
          <w:tcPr>
            <w:tcW w:w="5279" w:type="dxa"/>
            <w:tcBorders>
              <w:top w:val="nil"/>
              <w:left w:val="nil"/>
              <w:bottom w:val="single" w:sz="4" w:space="0" w:color="auto"/>
              <w:right w:val="single" w:sz="4" w:space="0" w:color="auto"/>
            </w:tcBorders>
            <w:shd w:val="clear" w:color="auto" w:fill="auto"/>
            <w:vAlign w:val="center"/>
            <w:hideMark/>
          </w:tcPr>
          <w:p w14:paraId="17CA016F" w14:textId="77777777" w:rsidR="004A0B2E" w:rsidRPr="004A0B2E" w:rsidRDefault="004A0B2E" w:rsidP="004A0B2E">
            <w:pPr>
              <w:ind w:firstLineChars="100" w:firstLine="160"/>
              <w:rPr>
                <w:rFonts w:ascii="Arial Narrow" w:hAnsi="Arial Narrow" w:cs="Calibri"/>
                <w:sz w:val="16"/>
                <w:szCs w:val="16"/>
              </w:rPr>
            </w:pPr>
            <w:r w:rsidRPr="004A0B2E">
              <w:rPr>
                <w:rFonts w:ascii="Arial Narrow" w:hAnsi="Arial Narrow" w:cs="Calibri"/>
                <w:sz w:val="16"/>
                <w:szCs w:val="16"/>
              </w:rPr>
              <w:t>- зърнени</w:t>
            </w:r>
          </w:p>
        </w:tc>
        <w:tc>
          <w:tcPr>
            <w:tcW w:w="957" w:type="dxa"/>
            <w:tcBorders>
              <w:top w:val="nil"/>
              <w:left w:val="nil"/>
              <w:bottom w:val="single" w:sz="4" w:space="0" w:color="auto"/>
              <w:right w:val="single" w:sz="4" w:space="0" w:color="auto"/>
            </w:tcBorders>
            <w:shd w:val="clear" w:color="auto" w:fill="auto"/>
            <w:vAlign w:val="center"/>
            <w:hideMark/>
          </w:tcPr>
          <w:p w14:paraId="3BA5C2D6" w14:textId="77777777" w:rsidR="004A0B2E" w:rsidRPr="004A0B2E" w:rsidRDefault="004A0B2E" w:rsidP="004A0B2E">
            <w:pPr>
              <w:jc w:val="right"/>
              <w:rPr>
                <w:rFonts w:ascii="Arial Narrow" w:hAnsi="Arial Narrow" w:cs="Calibri"/>
                <w:sz w:val="16"/>
                <w:szCs w:val="16"/>
              </w:rPr>
            </w:pPr>
            <w:r w:rsidRPr="004A0B2E">
              <w:rPr>
                <w:rFonts w:ascii="Arial Narrow" w:hAnsi="Arial Narrow" w:cs="Calibri"/>
                <w:sz w:val="16"/>
                <w:szCs w:val="16"/>
              </w:rPr>
              <w:t>83,0</w:t>
            </w:r>
          </w:p>
        </w:tc>
        <w:tc>
          <w:tcPr>
            <w:tcW w:w="1118" w:type="dxa"/>
            <w:tcBorders>
              <w:top w:val="nil"/>
              <w:left w:val="nil"/>
              <w:bottom w:val="single" w:sz="4" w:space="0" w:color="auto"/>
              <w:right w:val="single" w:sz="4" w:space="0" w:color="auto"/>
            </w:tcBorders>
            <w:shd w:val="clear" w:color="auto" w:fill="auto"/>
            <w:vAlign w:val="center"/>
            <w:hideMark/>
          </w:tcPr>
          <w:p w14:paraId="61305878" w14:textId="77777777" w:rsidR="004A0B2E" w:rsidRPr="004A0B2E" w:rsidRDefault="004A0B2E" w:rsidP="004A0B2E">
            <w:pPr>
              <w:jc w:val="right"/>
              <w:rPr>
                <w:rFonts w:ascii="Arial Narrow" w:hAnsi="Arial Narrow" w:cs="Calibri"/>
                <w:sz w:val="16"/>
                <w:szCs w:val="16"/>
              </w:rPr>
            </w:pPr>
            <w:r w:rsidRPr="004A0B2E">
              <w:rPr>
                <w:rFonts w:ascii="Arial Narrow" w:hAnsi="Arial Narrow" w:cs="Calibri"/>
                <w:sz w:val="16"/>
                <w:szCs w:val="16"/>
              </w:rPr>
              <w:t>-86,4</w:t>
            </w:r>
          </w:p>
        </w:tc>
        <w:tc>
          <w:tcPr>
            <w:tcW w:w="957" w:type="dxa"/>
            <w:tcBorders>
              <w:top w:val="nil"/>
              <w:left w:val="nil"/>
              <w:bottom w:val="single" w:sz="4" w:space="0" w:color="auto"/>
              <w:right w:val="single" w:sz="4" w:space="0" w:color="auto"/>
            </w:tcBorders>
            <w:shd w:val="clear" w:color="auto" w:fill="auto"/>
            <w:vAlign w:val="center"/>
            <w:hideMark/>
          </w:tcPr>
          <w:p w14:paraId="16BECD70" w14:textId="77777777" w:rsidR="004A0B2E" w:rsidRPr="004A0B2E" w:rsidRDefault="004A0B2E" w:rsidP="004A0B2E">
            <w:pPr>
              <w:jc w:val="right"/>
              <w:rPr>
                <w:rFonts w:ascii="Arial Narrow" w:hAnsi="Arial Narrow" w:cs="Calibri"/>
                <w:sz w:val="16"/>
                <w:szCs w:val="16"/>
              </w:rPr>
            </w:pPr>
            <w:r w:rsidRPr="004A0B2E">
              <w:rPr>
                <w:rFonts w:ascii="Arial Narrow" w:hAnsi="Arial Narrow" w:cs="Calibri"/>
                <w:sz w:val="16"/>
                <w:szCs w:val="16"/>
              </w:rPr>
              <w:t>11,3</w:t>
            </w:r>
          </w:p>
        </w:tc>
        <w:tc>
          <w:tcPr>
            <w:tcW w:w="1256" w:type="dxa"/>
            <w:tcBorders>
              <w:top w:val="nil"/>
              <w:left w:val="nil"/>
              <w:bottom w:val="single" w:sz="4" w:space="0" w:color="auto"/>
              <w:right w:val="single" w:sz="4" w:space="0" w:color="auto"/>
            </w:tcBorders>
            <w:shd w:val="clear" w:color="auto" w:fill="auto"/>
            <w:vAlign w:val="center"/>
            <w:hideMark/>
          </w:tcPr>
          <w:p w14:paraId="30DBECFF" w14:textId="77777777" w:rsidR="004A0B2E" w:rsidRPr="004A0B2E" w:rsidRDefault="004A0B2E" w:rsidP="004A0B2E">
            <w:pPr>
              <w:jc w:val="right"/>
              <w:rPr>
                <w:rFonts w:ascii="Arial Narrow" w:hAnsi="Arial Narrow" w:cs="Calibri"/>
                <w:sz w:val="16"/>
                <w:szCs w:val="16"/>
              </w:rPr>
            </w:pPr>
            <w:r w:rsidRPr="004A0B2E">
              <w:rPr>
                <w:rFonts w:ascii="Arial Narrow" w:hAnsi="Arial Narrow" w:cs="Calibri"/>
                <w:sz w:val="16"/>
                <w:szCs w:val="16"/>
              </w:rPr>
              <w:t>36,3</w:t>
            </w:r>
          </w:p>
        </w:tc>
        <w:tc>
          <w:tcPr>
            <w:tcW w:w="872" w:type="dxa"/>
            <w:tcBorders>
              <w:top w:val="nil"/>
              <w:left w:val="nil"/>
              <w:bottom w:val="single" w:sz="4" w:space="0" w:color="auto"/>
              <w:right w:val="single" w:sz="4" w:space="0" w:color="auto"/>
            </w:tcBorders>
            <w:shd w:val="clear" w:color="auto" w:fill="auto"/>
            <w:vAlign w:val="center"/>
            <w:hideMark/>
          </w:tcPr>
          <w:p w14:paraId="001FCC08" w14:textId="77777777" w:rsidR="004A0B2E" w:rsidRPr="004A0B2E" w:rsidRDefault="004A0B2E" w:rsidP="004A0B2E">
            <w:pPr>
              <w:jc w:val="right"/>
              <w:rPr>
                <w:rFonts w:ascii="Arial Narrow" w:hAnsi="Arial Narrow" w:cs="Calibri"/>
                <w:sz w:val="16"/>
                <w:szCs w:val="16"/>
              </w:rPr>
            </w:pPr>
            <w:r w:rsidRPr="004A0B2E">
              <w:rPr>
                <w:rFonts w:ascii="Arial Narrow" w:hAnsi="Arial Narrow" w:cs="Calibri"/>
                <w:sz w:val="16"/>
                <w:szCs w:val="16"/>
              </w:rPr>
              <w:t>15,4</w:t>
            </w:r>
          </w:p>
        </w:tc>
      </w:tr>
      <w:tr w:rsidR="004A0B2E" w:rsidRPr="00B10684" w14:paraId="6634EF0C" w14:textId="77777777" w:rsidTr="005A18A5">
        <w:trPr>
          <w:trHeight w:val="183"/>
        </w:trPr>
        <w:tc>
          <w:tcPr>
            <w:tcW w:w="757" w:type="dxa"/>
            <w:tcBorders>
              <w:top w:val="nil"/>
              <w:left w:val="single" w:sz="4" w:space="0" w:color="auto"/>
              <w:bottom w:val="single" w:sz="4" w:space="0" w:color="auto"/>
              <w:right w:val="single" w:sz="4" w:space="0" w:color="auto"/>
            </w:tcBorders>
            <w:shd w:val="clear" w:color="auto" w:fill="auto"/>
            <w:noWrap/>
            <w:vAlign w:val="center"/>
            <w:hideMark/>
          </w:tcPr>
          <w:p w14:paraId="4421AF52" w14:textId="77777777" w:rsidR="004A0B2E" w:rsidRPr="004A0B2E" w:rsidRDefault="004A0B2E" w:rsidP="004A0B2E">
            <w:pPr>
              <w:rPr>
                <w:rFonts w:ascii="Arial Narrow" w:hAnsi="Arial Narrow" w:cs="Calibri"/>
                <w:sz w:val="16"/>
                <w:szCs w:val="16"/>
              </w:rPr>
            </w:pPr>
            <w:r w:rsidRPr="004A0B2E">
              <w:rPr>
                <w:rFonts w:ascii="Arial Narrow" w:hAnsi="Arial Narrow" w:cs="Calibri"/>
                <w:sz w:val="16"/>
                <w:szCs w:val="16"/>
              </w:rPr>
              <w:t xml:space="preserve"> 17.1/2</w:t>
            </w:r>
          </w:p>
        </w:tc>
        <w:tc>
          <w:tcPr>
            <w:tcW w:w="5279" w:type="dxa"/>
            <w:tcBorders>
              <w:top w:val="nil"/>
              <w:left w:val="nil"/>
              <w:bottom w:val="single" w:sz="4" w:space="0" w:color="auto"/>
              <w:right w:val="single" w:sz="4" w:space="0" w:color="auto"/>
            </w:tcBorders>
            <w:shd w:val="clear" w:color="auto" w:fill="auto"/>
            <w:vAlign w:val="center"/>
            <w:hideMark/>
          </w:tcPr>
          <w:p w14:paraId="5B4FB727" w14:textId="77777777" w:rsidR="004A0B2E" w:rsidRPr="004A0B2E" w:rsidRDefault="004A0B2E" w:rsidP="004A0B2E">
            <w:pPr>
              <w:ind w:firstLineChars="100" w:firstLine="160"/>
              <w:rPr>
                <w:rFonts w:ascii="Arial Narrow" w:hAnsi="Arial Narrow" w:cs="Calibri"/>
                <w:sz w:val="16"/>
                <w:szCs w:val="16"/>
              </w:rPr>
            </w:pPr>
            <w:r w:rsidRPr="004A0B2E">
              <w:rPr>
                <w:rFonts w:ascii="Arial Narrow" w:hAnsi="Arial Narrow" w:cs="Calibri"/>
                <w:sz w:val="16"/>
                <w:szCs w:val="16"/>
              </w:rPr>
              <w:t>- зеленчуци</w:t>
            </w:r>
          </w:p>
        </w:tc>
        <w:tc>
          <w:tcPr>
            <w:tcW w:w="957" w:type="dxa"/>
            <w:tcBorders>
              <w:top w:val="nil"/>
              <w:left w:val="nil"/>
              <w:bottom w:val="single" w:sz="4" w:space="0" w:color="auto"/>
              <w:right w:val="single" w:sz="4" w:space="0" w:color="auto"/>
            </w:tcBorders>
            <w:shd w:val="clear" w:color="auto" w:fill="auto"/>
            <w:vAlign w:val="center"/>
            <w:hideMark/>
          </w:tcPr>
          <w:p w14:paraId="1C322F42" w14:textId="77777777" w:rsidR="004A0B2E" w:rsidRPr="004A0B2E" w:rsidRDefault="004A0B2E" w:rsidP="004A0B2E">
            <w:pPr>
              <w:jc w:val="right"/>
              <w:rPr>
                <w:rFonts w:ascii="Arial Narrow" w:hAnsi="Arial Narrow" w:cs="Calibri"/>
                <w:sz w:val="16"/>
                <w:szCs w:val="16"/>
              </w:rPr>
            </w:pPr>
            <w:r w:rsidRPr="004A0B2E">
              <w:rPr>
                <w:rFonts w:ascii="Arial Narrow" w:hAnsi="Arial Narrow" w:cs="Calibri"/>
                <w:sz w:val="16"/>
                <w:szCs w:val="16"/>
              </w:rPr>
              <w:t>27,3</w:t>
            </w:r>
          </w:p>
        </w:tc>
        <w:tc>
          <w:tcPr>
            <w:tcW w:w="1118" w:type="dxa"/>
            <w:tcBorders>
              <w:top w:val="nil"/>
              <w:left w:val="nil"/>
              <w:bottom w:val="single" w:sz="4" w:space="0" w:color="auto"/>
              <w:right w:val="single" w:sz="4" w:space="0" w:color="auto"/>
            </w:tcBorders>
            <w:shd w:val="clear" w:color="auto" w:fill="auto"/>
            <w:vAlign w:val="center"/>
            <w:hideMark/>
          </w:tcPr>
          <w:p w14:paraId="4C4BB385" w14:textId="77777777" w:rsidR="004A0B2E" w:rsidRPr="004A0B2E" w:rsidRDefault="004A0B2E" w:rsidP="004A0B2E">
            <w:pPr>
              <w:jc w:val="right"/>
              <w:rPr>
                <w:rFonts w:ascii="Arial Narrow" w:hAnsi="Arial Narrow" w:cs="Calibri"/>
                <w:sz w:val="16"/>
                <w:szCs w:val="16"/>
              </w:rPr>
            </w:pPr>
            <w:r w:rsidRPr="004A0B2E">
              <w:rPr>
                <w:rFonts w:ascii="Arial Narrow" w:hAnsi="Arial Narrow" w:cs="Calibri"/>
                <w:sz w:val="16"/>
                <w:szCs w:val="16"/>
              </w:rPr>
              <w:t>85,0</w:t>
            </w:r>
          </w:p>
        </w:tc>
        <w:tc>
          <w:tcPr>
            <w:tcW w:w="957" w:type="dxa"/>
            <w:tcBorders>
              <w:top w:val="nil"/>
              <w:left w:val="nil"/>
              <w:bottom w:val="single" w:sz="4" w:space="0" w:color="auto"/>
              <w:right w:val="single" w:sz="4" w:space="0" w:color="auto"/>
            </w:tcBorders>
            <w:shd w:val="clear" w:color="auto" w:fill="auto"/>
            <w:vAlign w:val="center"/>
            <w:hideMark/>
          </w:tcPr>
          <w:p w14:paraId="0F32C62B" w14:textId="77777777" w:rsidR="004A0B2E" w:rsidRPr="004A0B2E" w:rsidRDefault="004A0B2E" w:rsidP="004A0B2E">
            <w:pPr>
              <w:jc w:val="right"/>
              <w:rPr>
                <w:rFonts w:ascii="Arial Narrow" w:hAnsi="Arial Narrow" w:cs="Calibri"/>
                <w:sz w:val="16"/>
                <w:szCs w:val="16"/>
              </w:rPr>
            </w:pPr>
            <w:r w:rsidRPr="004A0B2E">
              <w:rPr>
                <w:rFonts w:ascii="Arial Narrow" w:hAnsi="Arial Narrow" w:cs="Calibri"/>
                <w:sz w:val="16"/>
                <w:szCs w:val="16"/>
              </w:rPr>
              <w:t>50,5</w:t>
            </w:r>
          </w:p>
        </w:tc>
        <w:tc>
          <w:tcPr>
            <w:tcW w:w="1256" w:type="dxa"/>
            <w:tcBorders>
              <w:top w:val="nil"/>
              <w:left w:val="nil"/>
              <w:bottom w:val="single" w:sz="4" w:space="0" w:color="auto"/>
              <w:right w:val="single" w:sz="4" w:space="0" w:color="auto"/>
            </w:tcBorders>
            <w:shd w:val="clear" w:color="auto" w:fill="auto"/>
            <w:vAlign w:val="center"/>
            <w:hideMark/>
          </w:tcPr>
          <w:p w14:paraId="29E912B9" w14:textId="77777777" w:rsidR="004A0B2E" w:rsidRPr="004A0B2E" w:rsidRDefault="004A0B2E" w:rsidP="004A0B2E">
            <w:pPr>
              <w:jc w:val="right"/>
              <w:rPr>
                <w:rFonts w:ascii="Arial Narrow" w:hAnsi="Arial Narrow" w:cs="Calibri"/>
                <w:sz w:val="16"/>
                <w:szCs w:val="16"/>
              </w:rPr>
            </w:pPr>
            <w:r w:rsidRPr="004A0B2E">
              <w:rPr>
                <w:rFonts w:ascii="Arial Narrow" w:hAnsi="Arial Narrow" w:cs="Calibri"/>
                <w:sz w:val="16"/>
                <w:szCs w:val="16"/>
              </w:rPr>
              <w:t>-31,5</w:t>
            </w:r>
          </w:p>
        </w:tc>
        <w:tc>
          <w:tcPr>
            <w:tcW w:w="872" w:type="dxa"/>
            <w:tcBorders>
              <w:top w:val="nil"/>
              <w:left w:val="nil"/>
              <w:bottom w:val="single" w:sz="4" w:space="0" w:color="auto"/>
              <w:right w:val="single" w:sz="4" w:space="0" w:color="auto"/>
            </w:tcBorders>
            <w:shd w:val="clear" w:color="auto" w:fill="auto"/>
            <w:vAlign w:val="center"/>
            <w:hideMark/>
          </w:tcPr>
          <w:p w14:paraId="6D801866" w14:textId="77777777" w:rsidR="004A0B2E" w:rsidRPr="004A0B2E" w:rsidRDefault="004A0B2E" w:rsidP="004A0B2E">
            <w:pPr>
              <w:jc w:val="right"/>
              <w:rPr>
                <w:rFonts w:ascii="Arial Narrow" w:hAnsi="Arial Narrow" w:cs="Calibri"/>
                <w:sz w:val="16"/>
                <w:szCs w:val="16"/>
              </w:rPr>
            </w:pPr>
            <w:r w:rsidRPr="004A0B2E">
              <w:rPr>
                <w:rFonts w:ascii="Arial Narrow" w:hAnsi="Arial Narrow" w:cs="Calibri"/>
                <w:sz w:val="16"/>
                <w:szCs w:val="16"/>
              </w:rPr>
              <w:t>34,6</w:t>
            </w:r>
          </w:p>
        </w:tc>
      </w:tr>
      <w:tr w:rsidR="004A0B2E" w:rsidRPr="00B10684" w14:paraId="3C341E0F" w14:textId="77777777" w:rsidTr="005A18A5">
        <w:trPr>
          <w:trHeight w:val="183"/>
        </w:trPr>
        <w:tc>
          <w:tcPr>
            <w:tcW w:w="757" w:type="dxa"/>
            <w:tcBorders>
              <w:top w:val="nil"/>
              <w:left w:val="single" w:sz="4" w:space="0" w:color="auto"/>
              <w:bottom w:val="single" w:sz="4" w:space="0" w:color="auto"/>
              <w:right w:val="single" w:sz="4" w:space="0" w:color="auto"/>
            </w:tcBorders>
            <w:shd w:val="clear" w:color="auto" w:fill="auto"/>
            <w:noWrap/>
            <w:vAlign w:val="center"/>
            <w:hideMark/>
          </w:tcPr>
          <w:p w14:paraId="17C39214" w14:textId="77777777" w:rsidR="004A0B2E" w:rsidRPr="004A0B2E" w:rsidRDefault="004A0B2E" w:rsidP="004A0B2E">
            <w:pPr>
              <w:rPr>
                <w:rFonts w:ascii="Arial Narrow" w:hAnsi="Arial Narrow" w:cs="Calibri"/>
                <w:sz w:val="16"/>
                <w:szCs w:val="16"/>
              </w:rPr>
            </w:pPr>
            <w:r w:rsidRPr="004A0B2E">
              <w:rPr>
                <w:rFonts w:ascii="Arial Narrow" w:hAnsi="Arial Narrow" w:cs="Calibri"/>
                <w:sz w:val="16"/>
                <w:szCs w:val="16"/>
              </w:rPr>
              <w:t xml:space="preserve"> 17.1/3</w:t>
            </w:r>
          </w:p>
        </w:tc>
        <w:tc>
          <w:tcPr>
            <w:tcW w:w="5279" w:type="dxa"/>
            <w:tcBorders>
              <w:top w:val="nil"/>
              <w:left w:val="nil"/>
              <w:bottom w:val="single" w:sz="4" w:space="0" w:color="auto"/>
              <w:right w:val="single" w:sz="4" w:space="0" w:color="auto"/>
            </w:tcBorders>
            <w:shd w:val="clear" w:color="auto" w:fill="auto"/>
            <w:vAlign w:val="center"/>
            <w:hideMark/>
          </w:tcPr>
          <w:p w14:paraId="44C7C043" w14:textId="77777777" w:rsidR="004A0B2E" w:rsidRPr="004A0B2E" w:rsidRDefault="004A0B2E" w:rsidP="004A0B2E">
            <w:pPr>
              <w:ind w:firstLineChars="100" w:firstLine="160"/>
              <w:rPr>
                <w:rFonts w:ascii="Arial Narrow" w:hAnsi="Arial Narrow" w:cs="Calibri"/>
                <w:sz w:val="16"/>
                <w:szCs w:val="16"/>
              </w:rPr>
            </w:pPr>
            <w:r w:rsidRPr="004A0B2E">
              <w:rPr>
                <w:rFonts w:ascii="Arial Narrow" w:hAnsi="Arial Narrow" w:cs="Calibri"/>
                <w:sz w:val="16"/>
                <w:szCs w:val="16"/>
              </w:rPr>
              <w:t>- плодове</w:t>
            </w:r>
          </w:p>
        </w:tc>
        <w:tc>
          <w:tcPr>
            <w:tcW w:w="957" w:type="dxa"/>
            <w:tcBorders>
              <w:top w:val="nil"/>
              <w:left w:val="nil"/>
              <w:bottom w:val="single" w:sz="4" w:space="0" w:color="auto"/>
              <w:right w:val="single" w:sz="4" w:space="0" w:color="auto"/>
            </w:tcBorders>
            <w:shd w:val="clear" w:color="auto" w:fill="auto"/>
            <w:vAlign w:val="center"/>
            <w:hideMark/>
          </w:tcPr>
          <w:p w14:paraId="3E27B09E" w14:textId="77777777" w:rsidR="004A0B2E" w:rsidRPr="004A0B2E" w:rsidRDefault="004A0B2E" w:rsidP="004A0B2E">
            <w:pPr>
              <w:jc w:val="right"/>
              <w:rPr>
                <w:rFonts w:ascii="Arial Narrow" w:hAnsi="Arial Narrow" w:cs="Calibri"/>
                <w:sz w:val="16"/>
                <w:szCs w:val="16"/>
              </w:rPr>
            </w:pPr>
            <w:r w:rsidRPr="004A0B2E">
              <w:rPr>
                <w:rFonts w:ascii="Arial Narrow" w:hAnsi="Arial Narrow" w:cs="Calibri"/>
                <w:sz w:val="16"/>
                <w:szCs w:val="16"/>
              </w:rPr>
              <w:t>18,1</w:t>
            </w:r>
          </w:p>
        </w:tc>
        <w:tc>
          <w:tcPr>
            <w:tcW w:w="1118" w:type="dxa"/>
            <w:tcBorders>
              <w:top w:val="nil"/>
              <w:left w:val="nil"/>
              <w:bottom w:val="single" w:sz="4" w:space="0" w:color="auto"/>
              <w:right w:val="single" w:sz="4" w:space="0" w:color="auto"/>
            </w:tcBorders>
            <w:shd w:val="clear" w:color="auto" w:fill="auto"/>
            <w:vAlign w:val="center"/>
            <w:hideMark/>
          </w:tcPr>
          <w:p w14:paraId="13AF74EB" w14:textId="77777777" w:rsidR="004A0B2E" w:rsidRPr="004A0B2E" w:rsidRDefault="004A0B2E" w:rsidP="004A0B2E">
            <w:pPr>
              <w:jc w:val="right"/>
              <w:rPr>
                <w:rFonts w:ascii="Arial Narrow" w:hAnsi="Arial Narrow" w:cs="Calibri"/>
                <w:sz w:val="16"/>
                <w:szCs w:val="16"/>
              </w:rPr>
            </w:pPr>
            <w:r w:rsidRPr="004A0B2E">
              <w:rPr>
                <w:rFonts w:ascii="Arial Narrow" w:hAnsi="Arial Narrow" w:cs="Calibri"/>
                <w:sz w:val="16"/>
                <w:szCs w:val="16"/>
              </w:rPr>
              <w:t>0,0</w:t>
            </w:r>
          </w:p>
        </w:tc>
        <w:tc>
          <w:tcPr>
            <w:tcW w:w="957" w:type="dxa"/>
            <w:tcBorders>
              <w:top w:val="nil"/>
              <w:left w:val="nil"/>
              <w:bottom w:val="single" w:sz="4" w:space="0" w:color="auto"/>
              <w:right w:val="single" w:sz="4" w:space="0" w:color="auto"/>
            </w:tcBorders>
            <w:shd w:val="clear" w:color="auto" w:fill="auto"/>
            <w:vAlign w:val="center"/>
            <w:hideMark/>
          </w:tcPr>
          <w:p w14:paraId="4D2514D7" w14:textId="77777777" w:rsidR="004A0B2E" w:rsidRPr="004A0B2E" w:rsidRDefault="004A0B2E" w:rsidP="004A0B2E">
            <w:pPr>
              <w:jc w:val="right"/>
              <w:rPr>
                <w:rFonts w:ascii="Arial Narrow" w:hAnsi="Arial Narrow" w:cs="Calibri"/>
                <w:sz w:val="16"/>
                <w:szCs w:val="16"/>
              </w:rPr>
            </w:pPr>
            <w:r w:rsidRPr="004A0B2E">
              <w:rPr>
                <w:rFonts w:ascii="Arial Narrow" w:hAnsi="Arial Narrow" w:cs="Calibri"/>
                <w:sz w:val="16"/>
                <w:szCs w:val="16"/>
              </w:rPr>
              <w:t>18,1</w:t>
            </w:r>
          </w:p>
        </w:tc>
        <w:tc>
          <w:tcPr>
            <w:tcW w:w="1256" w:type="dxa"/>
            <w:tcBorders>
              <w:top w:val="nil"/>
              <w:left w:val="nil"/>
              <w:bottom w:val="single" w:sz="4" w:space="0" w:color="auto"/>
              <w:right w:val="single" w:sz="4" w:space="0" w:color="auto"/>
            </w:tcBorders>
            <w:shd w:val="clear" w:color="auto" w:fill="auto"/>
            <w:vAlign w:val="center"/>
            <w:hideMark/>
          </w:tcPr>
          <w:p w14:paraId="229D6229" w14:textId="77777777" w:rsidR="004A0B2E" w:rsidRPr="004A0B2E" w:rsidRDefault="004A0B2E" w:rsidP="004A0B2E">
            <w:pPr>
              <w:jc w:val="right"/>
              <w:rPr>
                <w:rFonts w:ascii="Arial Narrow" w:hAnsi="Arial Narrow" w:cs="Calibri"/>
                <w:sz w:val="16"/>
                <w:szCs w:val="16"/>
              </w:rPr>
            </w:pPr>
            <w:r w:rsidRPr="004A0B2E">
              <w:rPr>
                <w:rFonts w:ascii="Arial Narrow" w:hAnsi="Arial Narrow" w:cs="Calibri"/>
                <w:sz w:val="16"/>
                <w:szCs w:val="16"/>
              </w:rPr>
              <w:t>21,0</w:t>
            </w:r>
          </w:p>
        </w:tc>
        <w:tc>
          <w:tcPr>
            <w:tcW w:w="872" w:type="dxa"/>
            <w:tcBorders>
              <w:top w:val="nil"/>
              <w:left w:val="nil"/>
              <w:bottom w:val="single" w:sz="4" w:space="0" w:color="auto"/>
              <w:right w:val="single" w:sz="4" w:space="0" w:color="auto"/>
            </w:tcBorders>
            <w:shd w:val="clear" w:color="auto" w:fill="auto"/>
            <w:vAlign w:val="center"/>
            <w:hideMark/>
          </w:tcPr>
          <w:p w14:paraId="0ACB8182" w14:textId="77777777" w:rsidR="004A0B2E" w:rsidRPr="004A0B2E" w:rsidRDefault="004A0B2E" w:rsidP="004A0B2E">
            <w:pPr>
              <w:jc w:val="right"/>
              <w:rPr>
                <w:rFonts w:ascii="Arial Narrow" w:hAnsi="Arial Narrow" w:cs="Calibri"/>
                <w:sz w:val="16"/>
                <w:szCs w:val="16"/>
              </w:rPr>
            </w:pPr>
            <w:r w:rsidRPr="004A0B2E">
              <w:rPr>
                <w:rFonts w:ascii="Arial Narrow" w:hAnsi="Arial Narrow" w:cs="Calibri"/>
                <w:sz w:val="16"/>
                <w:szCs w:val="16"/>
              </w:rPr>
              <w:t>21,9</w:t>
            </w:r>
          </w:p>
        </w:tc>
      </w:tr>
      <w:tr w:rsidR="004A0B2E" w:rsidRPr="00B10684" w14:paraId="6321ED18" w14:textId="77777777" w:rsidTr="005A18A5">
        <w:trPr>
          <w:trHeight w:val="183"/>
        </w:trPr>
        <w:tc>
          <w:tcPr>
            <w:tcW w:w="757" w:type="dxa"/>
            <w:tcBorders>
              <w:top w:val="nil"/>
              <w:left w:val="single" w:sz="4" w:space="0" w:color="auto"/>
              <w:bottom w:val="single" w:sz="4" w:space="0" w:color="auto"/>
              <w:right w:val="single" w:sz="4" w:space="0" w:color="auto"/>
            </w:tcBorders>
            <w:shd w:val="clear" w:color="auto" w:fill="auto"/>
            <w:noWrap/>
            <w:vAlign w:val="center"/>
            <w:hideMark/>
          </w:tcPr>
          <w:p w14:paraId="36720A61" w14:textId="77777777" w:rsidR="004A0B2E" w:rsidRPr="004A0B2E" w:rsidRDefault="004A0B2E" w:rsidP="004A0B2E">
            <w:pPr>
              <w:rPr>
                <w:rFonts w:ascii="Arial Narrow" w:hAnsi="Arial Narrow" w:cs="Calibri"/>
                <w:sz w:val="16"/>
                <w:szCs w:val="16"/>
              </w:rPr>
            </w:pPr>
            <w:r w:rsidRPr="004A0B2E">
              <w:rPr>
                <w:rFonts w:ascii="Arial Narrow" w:hAnsi="Arial Narrow" w:cs="Calibri"/>
                <w:sz w:val="16"/>
                <w:szCs w:val="16"/>
              </w:rPr>
              <w:t xml:space="preserve"> 17.1/4</w:t>
            </w:r>
          </w:p>
        </w:tc>
        <w:tc>
          <w:tcPr>
            <w:tcW w:w="5279" w:type="dxa"/>
            <w:tcBorders>
              <w:top w:val="nil"/>
              <w:left w:val="nil"/>
              <w:bottom w:val="single" w:sz="4" w:space="0" w:color="auto"/>
              <w:right w:val="single" w:sz="4" w:space="0" w:color="auto"/>
            </w:tcBorders>
            <w:shd w:val="clear" w:color="auto" w:fill="auto"/>
            <w:vAlign w:val="center"/>
            <w:hideMark/>
          </w:tcPr>
          <w:p w14:paraId="5004F86A" w14:textId="77777777" w:rsidR="004A0B2E" w:rsidRPr="004A0B2E" w:rsidRDefault="004A0B2E" w:rsidP="004A0B2E">
            <w:pPr>
              <w:ind w:firstLineChars="100" w:firstLine="160"/>
              <w:rPr>
                <w:rFonts w:ascii="Arial Narrow" w:hAnsi="Arial Narrow" w:cs="Calibri"/>
                <w:sz w:val="16"/>
                <w:szCs w:val="16"/>
              </w:rPr>
            </w:pPr>
            <w:r w:rsidRPr="004A0B2E">
              <w:rPr>
                <w:rFonts w:ascii="Arial Narrow" w:hAnsi="Arial Narrow" w:cs="Calibri"/>
                <w:sz w:val="16"/>
                <w:szCs w:val="16"/>
              </w:rPr>
              <w:t>- вино</w:t>
            </w:r>
          </w:p>
        </w:tc>
        <w:tc>
          <w:tcPr>
            <w:tcW w:w="957" w:type="dxa"/>
            <w:tcBorders>
              <w:top w:val="nil"/>
              <w:left w:val="nil"/>
              <w:bottom w:val="single" w:sz="4" w:space="0" w:color="auto"/>
              <w:right w:val="single" w:sz="4" w:space="0" w:color="auto"/>
            </w:tcBorders>
            <w:shd w:val="clear" w:color="auto" w:fill="auto"/>
            <w:vAlign w:val="center"/>
            <w:hideMark/>
          </w:tcPr>
          <w:p w14:paraId="69BAD7CB" w14:textId="77777777" w:rsidR="004A0B2E" w:rsidRPr="004A0B2E" w:rsidRDefault="004A0B2E" w:rsidP="004A0B2E">
            <w:pPr>
              <w:jc w:val="right"/>
              <w:rPr>
                <w:rFonts w:ascii="Arial Narrow" w:hAnsi="Arial Narrow" w:cs="Calibri"/>
                <w:sz w:val="16"/>
                <w:szCs w:val="16"/>
              </w:rPr>
            </w:pPr>
            <w:r w:rsidRPr="004A0B2E">
              <w:rPr>
                <w:rFonts w:ascii="Arial Narrow" w:hAnsi="Arial Narrow" w:cs="Calibri"/>
                <w:sz w:val="16"/>
                <w:szCs w:val="16"/>
              </w:rPr>
              <w:t>41,1</w:t>
            </w:r>
          </w:p>
        </w:tc>
        <w:tc>
          <w:tcPr>
            <w:tcW w:w="1118" w:type="dxa"/>
            <w:tcBorders>
              <w:top w:val="nil"/>
              <w:left w:val="nil"/>
              <w:bottom w:val="single" w:sz="4" w:space="0" w:color="auto"/>
              <w:right w:val="single" w:sz="4" w:space="0" w:color="auto"/>
            </w:tcBorders>
            <w:shd w:val="clear" w:color="auto" w:fill="auto"/>
            <w:vAlign w:val="center"/>
            <w:hideMark/>
          </w:tcPr>
          <w:p w14:paraId="3FF5660E" w14:textId="77777777" w:rsidR="004A0B2E" w:rsidRPr="004A0B2E" w:rsidRDefault="004A0B2E" w:rsidP="004A0B2E">
            <w:pPr>
              <w:jc w:val="right"/>
              <w:rPr>
                <w:rFonts w:ascii="Arial Narrow" w:hAnsi="Arial Narrow" w:cs="Calibri"/>
                <w:sz w:val="16"/>
                <w:szCs w:val="16"/>
              </w:rPr>
            </w:pPr>
            <w:r w:rsidRPr="004A0B2E">
              <w:rPr>
                <w:rFonts w:ascii="Arial Narrow" w:hAnsi="Arial Narrow" w:cs="Calibri"/>
                <w:sz w:val="16"/>
                <w:szCs w:val="16"/>
              </w:rPr>
              <w:t>1,9</w:t>
            </w:r>
          </w:p>
        </w:tc>
        <w:tc>
          <w:tcPr>
            <w:tcW w:w="957" w:type="dxa"/>
            <w:tcBorders>
              <w:top w:val="nil"/>
              <w:left w:val="nil"/>
              <w:bottom w:val="single" w:sz="4" w:space="0" w:color="auto"/>
              <w:right w:val="single" w:sz="4" w:space="0" w:color="auto"/>
            </w:tcBorders>
            <w:shd w:val="clear" w:color="auto" w:fill="auto"/>
            <w:vAlign w:val="center"/>
            <w:hideMark/>
          </w:tcPr>
          <w:p w14:paraId="445902B9" w14:textId="77777777" w:rsidR="004A0B2E" w:rsidRPr="004A0B2E" w:rsidRDefault="004A0B2E" w:rsidP="004A0B2E">
            <w:pPr>
              <w:jc w:val="right"/>
              <w:rPr>
                <w:rFonts w:ascii="Arial Narrow" w:hAnsi="Arial Narrow" w:cs="Calibri"/>
                <w:sz w:val="16"/>
                <w:szCs w:val="16"/>
              </w:rPr>
            </w:pPr>
            <w:r w:rsidRPr="004A0B2E">
              <w:rPr>
                <w:rFonts w:ascii="Arial Narrow" w:hAnsi="Arial Narrow" w:cs="Calibri"/>
                <w:sz w:val="16"/>
                <w:szCs w:val="16"/>
              </w:rPr>
              <w:t>41,9</w:t>
            </w:r>
          </w:p>
        </w:tc>
        <w:tc>
          <w:tcPr>
            <w:tcW w:w="1256" w:type="dxa"/>
            <w:tcBorders>
              <w:top w:val="nil"/>
              <w:left w:val="nil"/>
              <w:bottom w:val="single" w:sz="4" w:space="0" w:color="auto"/>
              <w:right w:val="single" w:sz="4" w:space="0" w:color="auto"/>
            </w:tcBorders>
            <w:shd w:val="clear" w:color="auto" w:fill="auto"/>
            <w:vAlign w:val="center"/>
            <w:hideMark/>
          </w:tcPr>
          <w:p w14:paraId="25CA52AB" w14:textId="77777777" w:rsidR="004A0B2E" w:rsidRPr="004A0B2E" w:rsidRDefault="004A0B2E" w:rsidP="004A0B2E">
            <w:pPr>
              <w:jc w:val="right"/>
              <w:rPr>
                <w:rFonts w:ascii="Arial Narrow" w:hAnsi="Arial Narrow" w:cs="Calibri"/>
                <w:sz w:val="16"/>
                <w:szCs w:val="16"/>
              </w:rPr>
            </w:pPr>
            <w:r w:rsidRPr="004A0B2E">
              <w:rPr>
                <w:rFonts w:ascii="Arial Narrow" w:hAnsi="Arial Narrow" w:cs="Calibri"/>
                <w:sz w:val="16"/>
                <w:szCs w:val="16"/>
              </w:rPr>
              <w:t>-8,1</w:t>
            </w:r>
          </w:p>
        </w:tc>
        <w:tc>
          <w:tcPr>
            <w:tcW w:w="872" w:type="dxa"/>
            <w:tcBorders>
              <w:top w:val="nil"/>
              <w:left w:val="nil"/>
              <w:bottom w:val="single" w:sz="4" w:space="0" w:color="auto"/>
              <w:right w:val="single" w:sz="4" w:space="0" w:color="auto"/>
            </w:tcBorders>
            <w:shd w:val="clear" w:color="auto" w:fill="auto"/>
            <w:vAlign w:val="center"/>
            <w:hideMark/>
          </w:tcPr>
          <w:p w14:paraId="5DD22D55" w14:textId="77777777" w:rsidR="004A0B2E" w:rsidRPr="004A0B2E" w:rsidRDefault="004A0B2E" w:rsidP="004A0B2E">
            <w:pPr>
              <w:jc w:val="right"/>
              <w:rPr>
                <w:rFonts w:ascii="Arial Narrow" w:hAnsi="Arial Narrow" w:cs="Calibri"/>
                <w:sz w:val="16"/>
                <w:szCs w:val="16"/>
              </w:rPr>
            </w:pPr>
            <w:r w:rsidRPr="004A0B2E">
              <w:rPr>
                <w:rFonts w:ascii="Arial Narrow" w:hAnsi="Arial Narrow" w:cs="Calibri"/>
                <w:sz w:val="16"/>
                <w:szCs w:val="16"/>
              </w:rPr>
              <w:t>38,5</w:t>
            </w:r>
          </w:p>
        </w:tc>
      </w:tr>
      <w:tr w:rsidR="004A0B2E" w:rsidRPr="00B10684" w14:paraId="32EA5C38" w14:textId="77777777" w:rsidTr="005A18A5">
        <w:trPr>
          <w:trHeight w:val="183"/>
        </w:trPr>
        <w:tc>
          <w:tcPr>
            <w:tcW w:w="757" w:type="dxa"/>
            <w:tcBorders>
              <w:top w:val="nil"/>
              <w:left w:val="single" w:sz="4" w:space="0" w:color="auto"/>
              <w:bottom w:val="single" w:sz="4" w:space="0" w:color="auto"/>
              <w:right w:val="single" w:sz="4" w:space="0" w:color="auto"/>
            </w:tcBorders>
            <w:shd w:val="clear" w:color="auto" w:fill="auto"/>
            <w:noWrap/>
            <w:vAlign w:val="center"/>
            <w:hideMark/>
          </w:tcPr>
          <w:p w14:paraId="27919C0B" w14:textId="77777777" w:rsidR="004A0B2E" w:rsidRPr="004A0B2E" w:rsidRDefault="004A0B2E" w:rsidP="004A0B2E">
            <w:pPr>
              <w:rPr>
                <w:rFonts w:ascii="Arial Narrow" w:hAnsi="Arial Narrow" w:cs="Calibri"/>
                <w:sz w:val="16"/>
                <w:szCs w:val="16"/>
              </w:rPr>
            </w:pPr>
            <w:r w:rsidRPr="004A0B2E">
              <w:rPr>
                <w:rFonts w:ascii="Arial Narrow" w:hAnsi="Arial Narrow" w:cs="Calibri"/>
                <w:sz w:val="16"/>
                <w:szCs w:val="16"/>
              </w:rPr>
              <w:t xml:space="preserve"> 17.1/5</w:t>
            </w:r>
          </w:p>
        </w:tc>
        <w:tc>
          <w:tcPr>
            <w:tcW w:w="5279" w:type="dxa"/>
            <w:tcBorders>
              <w:top w:val="nil"/>
              <w:left w:val="nil"/>
              <w:bottom w:val="single" w:sz="4" w:space="0" w:color="auto"/>
              <w:right w:val="single" w:sz="4" w:space="0" w:color="auto"/>
            </w:tcBorders>
            <w:shd w:val="clear" w:color="auto" w:fill="auto"/>
            <w:vAlign w:val="center"/>
            <w:hideMark/>
          </w:tcPr>
          <w:p w14:paraId="181C222C" w14:textId="77777777" w:rsidR="004A0B2E" w:rsidRPr="004A0B2E" w:rsidRDefault="004A0B2E" w:rsidP="004A0B2E">
            <w:pPr>
              <w:ind w:firstLineChars="100" w:firstLine="160"/>
              <w:rPr>
                <w:rFonts w:ascii="Arial Narrow" w:hAnsi="Arial Narrow" w:cs="Calibri"/>
                <w:sz w:val="16"/>
                <w:szCs w:val="16"/>
              </w:rPr>
            </w:pPr>
            <w:r w:rsidRPr="004A0B2E">
              <w:rPr>
                <w:rFonts w:ascii="Arial Narrow" w:hAnsi="Arial Narrow" w:cs="Calibri"/>
                <w:sz w:val="16"/>
                <w:szCs w:val="16"/>
              </w:rPr>
              <w:t>- животни</w:t>
            </w:r>
          </w:p>
        </w:tc>
        <w:tc>
          <w:tcPr>
            <w:tcW w:w="957" w:type="dxa"/>
            <w:tcBorders>
              <w:top w:val="nil"/>
              <w:left w:val="nil"/>
              <w:bottom w:val="single" w:sz="4" w:space="0" w:color="auto"/>
              <w:right w:val="single" w:sz="4" w:space="0" w:color="auto"/>
            </w:tcBorders>
            <w:shd w:val="clear" w:color="auto" w:fill="auto"/>
            <w:vAlign w:val="center"/>
            <w:hideMark/>
          </w:tcPr>
          <w:p w14:paraId="0A57B31A" w14:textId="77777777" w:rsidR="004A0B2E" w:rsidRPr="004A0B2E" w:rsidRDefault="004A0B2E" w:rsidP="004A0B2E">
            <w:pPr>
              <w:jc w:val="right"/>
              <w:rPr>
                <w:rFonts w:ascii="Arial Narrow" w:hAnsi="Arial Narrow" w:cs="Calibri"/>
                <w:sz w:val="16"/>
                <w:szCs w:val="16"/>
              </w:rPr>
            </w:pPr>
            <w:r w:rsidRPr="004A0B2E">
              <w:rPr>
                <w:rFonts w:ascii="Arial Narrow" w:hAnsi="Arial Narrow" w:cs="Calibri"/>
                <w:sz w:val="16"/>
                <w:szCs w:val="16"/>
              </w:rPr>
              <w:t>77,1</w:t>
            </w:r>
          </w:p>
        </w:tc>
        <w:tc>
          <w:tcPr>
            <w:tcW w:w="1118" w:type="dxa"/>
            <w:tcBorders>
              <w:top w:val="nil"/>
              <w:left w:val="nil"/>
              <w:bottom w:val="single" w:sz="4" w:space="0" w:color="auto"/>
              <w:right w:val="single" w:sz="4" w:space="0" w:color="auto"/>
            </w:tcBorders>
            <w:shd w:val="clear" w:color="auto" w:fill="auto"/>
            <w:vAlign w:val="center"/>
            <w:hideMark/>
          </w:tcPr>
          <w:p w14:paraId="617E9A00" w14:textId="77777777" w:rsidR="004A0B2E" w:rsidRPr="004A0B2E" w:rsidRDefault="004A0B2E" w:rsidP="004A0B2E">
            <w:pPr>
              <w:jc w:val="right"/>
              <w:rPr>
                <w:rFonts w:ascii="Arial Narrow" w:hAnsi="Arial Narrow" w:cs="Calibri"/>
                <w:sz w:val="16"/>
                <w:szCs w:val="16"/>
              </w:rPr>
            </w:pPr>
            <w:r w:rsidRPr="004A0B2E">
              <w:rPr>
                <w:rFonts w:ascii="Arial Narrow" w:hAnsi="Arial Narrow" w:cs="Calibri"/>
                <w:sz w:val="16"/>
                <w:szCs w:val="16"/>
              </w:rPr>
              <w:t>-15,4</w:t>
            </w:r>
          </w:p>
        </w:tc>
        <w:tc>
          <w:tcPr>
            <w:tcW w:w="957" w:type="dxa"/>
            <w:tcBorders>
              <w:top w:val="nil"/>
              <w:left w:val="nil"/>
              <w:bottom w:val="single" w:sz="4" w:space="0" w:color="auto"/>
              <w:right w:val="single" w:sz="4" w:space="0" w:color="auto"/>
            </w:tcBorders>
            <w:shd w:val="clear" w:color="auto" w:fill="auto"/>
            <w:vAlign w:val="center"/>
            <w:hideMark/>
          </w:tcPr>
          <w:p w14:paraId="50E6DC9F" w14:textId="77777777" w:rsidR="004A0B2E" w:rsidRPr="004A0B2E" w:rsidRDefault="004A0B2E" w:rsidP="004A0B2E">
            <w:pPr>
              <w:jc w:val="right"/>
              <w:rPr>
                <w:rFonts w:ascii="Arial Narrow" w:hAnsi="Arial Narrow" w:cs="Calibri"/>
                <w:sz w:val="16"/>
                <w:szCs w:val="16"/>
              </w:rPr>
            </w:pPr>
            <w:r w:rsidRPr="004A0B2E">
              <w:rPr>
                <w:rFonts w:ascii="Arial Narrow" w:hAnsi="Arial Narrow" w:cs="Calibri"/>
                <w:sz w:val="16"/>
                <w:szCs w:val="16"/>
              </w:rPr>
              <w:t>65,2</w:t>
            </w:r>
          </w:p>
        </w:tc>
        <w:tc>
          <w:tcPr>
            <w:tcW w:w="1256" w:type="dxa"/>
            <w:tcBorders>
              <w:top w:val="nil"/>
              <w:left w:val="nil"/>
              <w:bottom w:val="single" w:sz="4" w:space="0" w:color="auto"/>
              <w:right w:val="single" w:sz="4" w:space="0" w:color="auto"/>
            </w:tcBorders>
            <w:shd w:val="clear" w:color="auto" w:fill="auto"/>
            <w:vAlign w:val="center"/>
            <w:hideMark/>
          </w:tcPr>
          <w:p w14:paraId="43AAABCF" w14:textId="77777777" w:rsidR="004A0B2E" w:rsidRPr="004A0B2E" w:rsidRDefault="004A0B2E" w:rsidP="004A0B2E">
            <w:pPr>
              <w:jc w:val="right"/>
              <w:rPr>
                <w:rFonts w:ascii="Arial Narrow" w:hAnsi="Arial Narrow" w:cs="Calibri"/>
                <w:sz w:val="16"/>
                <w:szCs w:val="16"/>
              </w:rPr>
            </w:pPr>
            <w:r w:rsidRPr="004A0B2E">
              <w:rPr>
                <w:rFonts w:ascii="Arial Narrow" w:hAnsi="Arial Narrow" w:cs="Calibri"/>
                <w:sz w:val="16"/>
                <w:szCs w:val="16"/>
              </w:rPr>
              <w:t>-7,4</w:t>
            </w:r>
          </w:p>
        </w:tc>
        <w:tc>
          <w:tcPr>
            <w:tcW w:w="872" w:type="dxa"/>
            <w:tcBorders>
              <w:top w:val="nil"/>
              <w:left w:val="nil"/>
              <w:bottom w:val="single" w:sz="4" w:space="0" w:color="auto"/>
              <w:right w:val="single" w:sz="4" w:space="0" w:color="auto"/>
            </w:tcBorders>
            <w:shd w:val="clear" w:color="auto" w:fill="auto"/>
            <w:vAlign w:val="center"/>
            <w:hideMark/>
          </w:tcPr>
          <w:p w14:paraId="058DFB32" w14:textId="77777777" w:rsidR="004A0B2E" w:rsidRPr="004A0B2E" w:rsidRDefault="004A0B2E" w:rsidP="004A0B2E">
            <w:pPr>
              <w:jc w:val="right"/>
              <w:rPr>
                <w:rFonts w:ascii="Arial Narrow" w:hAnsi="Arial Narrow" w:cs="Calibri"/>
                <w:sz w:val="16"/>
                <w:szCs w:val="16"/>
              </w:rPr>
            </w:pPr>
            <w:r w:rsidRPr="004A0B2E">
              <w:rPr>
                <w:rFonts w:ascii="Arial Narrow" w:hAnsi="Arial Narrow" w:cs="Calibri"/>
                <w:sz w:val="16"/>
                <w:szCs w:val="16"/>
              </w:rPr>
              <w:t>60,4</w:t>
            </w:r>
          </w:p>
        </w:tc>
      </w:tr>
      <w:tr w:rsidR="004A0B2E" w:rsidRPr="00B10684" w14:paraId="0C96F57F" w14:textId="77777777" w:rsidTr="005A18A5">
        <w:trPr>
          <w:trHeight w:val="183"/>
        </w:trPr>
        <w:tc>
          <w:tcPr>
            <w:tcW w:w="757" w:type="dxa"/>
            <w:tcBorders>
              <w:top w:val="nil"/>
              <w:left w:val="single" w:sz="4" w:space="0" w:color="auto"/>
              <w:bottom w:val="single" w:sz="4" w:space="0" w:color="auto"/>
              <w:right w:val="single" w:sz="4" w:space="0" w:color="auto"/>
            </w:tcBorders>
            <w:shd w:val="clear" w:color="auto" w:fill="auto"/>
            <w:noWrap/>
            <w:vAlign w:val="center"/>
            <w:hideMark/>
          </w:tcPr>
          <w:p w14:paraId="63E0ACE1" w14:textId="77777777" w:rsidR="004A0B2E" w:rsidRPr="004A0B2E" w:rsidRDefault="004A0B2E" w:rsidP="004A0B2E">
            <w:pPr>
              <w:rPr>
                <w:rFonts w:ascii="Arial Narrow" w:hAnsi="Arial Narrow" w:cs="Calibri"/>
                <w:sz w:val="16"/>
                <w:szCs w:val="16"/>
              </w:rPr>
            </w:pPr>
            <w:r w:rsidRPr="004A0B2E">
              <w:rPr>
                <w:rFonts w:ascii="Arial Narrow" w:hAnsi="Arial Narrow" w:cs="Calibri"/>
                <w:sz w:val="16"/>
                <w:szCs w:val="16"/>
              </w:rPr>
              <w:t xml:space="preserve"> 17.1/6</w:t>
            </w:r>
          </w:p>
        </w:tc>
        <w:tc>
          <w:tcPr>
            <w:tcW w:w="5279" w:type="dxa"/>
            <w:tcBorders>
              <w:top w:val="nil"/>
              <w:left w:val="nil"/>
              <w:bottom w:val="single" w:sz="4" w:space="0" w:color="auto"/>
              <w:right w:val="single" w:sz="4" w:space="0" w:color="auto"/>
            </w:tcBorders>
            <w:shd w:val="clear" w:color="auto" w:fill="auto"/>
            <w:vAlign w:val="center"/>
            <w:hideMark/>
          </w:tcPr>
          <w:p w14:paraId="3D551A17" w14:textId="77777777" w:rsidR="004A0B2E" w:rsidRPr="004A0B2E" w:rsidRDefault="004A0B2E" w:rsidP="004A0B2E">
            <w:pPr>
              <w:ind w:firstLineChars="100" w:firstLine="160"/>
              <w:rPr>
                <w:rFonts w:ascii="Arial Narrow" w:hAnsi="Arial Narrow" w:cs="Calibri"/>
                <w:sz w:val="16"/>
                <w:szCs w:val="16"/>
              </w:rPr>
            </w:pPr>
            <w:r w:rsidRPr="004A0B2E">
              <w:rPr>
                <w:rFonts w:ascii="Arial Narrow" w:hAnsi="Arial Narrow" w:cs="Calibri"/>
                <w:sz w:val="16"/>
                <w:szCs w:val="16"/>
              </w:rPr>
              <w:t>- животински продукти</w:t>
            </w:r>
          </w:p>
        </w:tc>
        <w:tc>
          <w:tcPr>
            <w:tcW w:w="957" w:type="dxa"/>
            <w:tcBorders>
              <w:top w:val="nil"/>
              <w:left w:val="nil"/>
              <w:bottom w:val="single" w:sz="4" w:space="0" w:color="auto"/>
              <w:right w:val="single" w:sz="4" w:space="0" w:color="auto"/>
            </w:tcBorders>
            <w:shd w:val="clear" w:color="auto" w:fill="auto"/>
            <w:vAlign w:val="center"/>
            <w:hideMark/>
          </w:tcPr>
          <w:p w14:paraId="04D6C2D8" w14:textId="77777777" w:rsidR="004A0B2E" w:rsidRPr="004A0B2E" w:rsidRDefault="004A0B2E" w:rsidP="004A0B2E">
            <w:pPr>
              <w:jc w:val="right"/>
              <w:rPr>
                <w:rFonts w:ascii="Arial Narrow" w:hAnsi="Arial Narrow" w:cs="Calibri"/>
                <w:sz w:val="16"/>
                <w:szCs w:val="16"/>
              </w:rPr>
            </w:pPr>
            <w:r w:rsidRPr="004A0B2E">
              <w:rPr>
                <w:rFonts w:ascii="Arial Narrow" w:hAnsi="Arial Narrow" w:cs="Calibri"/>
                <w:sz w:val="16"/>
                <w:szCs w:val="16"/>
              </w:rPr>
              <w:t>18,4</w:t>
            </w:r>
          </w:p>
        </w:tc>
        <w:tc>
          <w:tcPr>
            <w:tcW w:w="1118" w:type="dxa"/>
            <w:tcBorders>
              <w:top w:val="nil"/>
              <w:left w:val="nil"/>
              <w:bottom w:val="single" w:sz="4" w:space="0" w:color="auto"/>
              <w:right w:val="single" w:sz="4" w:space="0" w:color="auto"/>
            </w:tcBorders>
            <w:shd w:val="clear" w:color="auto" w:fill="auto"/>
            <w:vAlign w:val="center"/>
            <w:hideMark/>
          </w:tcPr>
          <w:p w14:paraId="3DFD8DD1" w14:textId="77777777" w:rsidR="004A0B2E" w:rsidRPr="004A0B2E" w:rsidRDefault="004A0B2E" w:rsidP="004A0B2E">
            <w:pPr>
              <w:jc w:val="right"/>
              <w:rPr>
                <w:rFonts w:ascii="Arial Narrow" w:hAnsi="Arial Narrow" w:cs="Calibri"/>
                <w:sz w:val="16"/>
                <w:szCs w:val="16"/>
              </w:rPr>
            </w:pPr>
            <w:r w:rsidRPr="004A0B2E">
              <w:rPr>
                <w:rFonts w:ascii="Arial Narrow" w:hAnsi="Arial Narrow" w:cs="Calibri"/>
                <w:sz w:val="16"/>
                <w:szCs w:val="16"/>
              </w:rPr>
              <w:t>471,2</w:t>
            </w:r>
          </w:p>
        </w:tc>
        <w:tc>
          <w:tcPr>
            <w:tcW w:w="957" w:type="dxa"/>
            <w:tcBorders>
              <w:top w:val="nil"/>
              <w:left w:val="nil"/>
              <w:bottom w:val="single" w:sz="4" w:space="0" w:color="auto"/>
              <w:right w:val="single" w:sz="4" w:space="0" w:color="auto"/>
            </w:tcBorders>
            <w:shd w:val="clear" w:color="auto" w:fill="auto"/>
            <w:vAlign w:val="center"/>
            <w:hideMark/>
          </w:tcPr>
          <w:p w14:paraId="4336715A" w14:textId="77777777" w:rsidR="004A0B2E" w:rsidRPr="004A0B2E" w:rsidRDefault="004A0B2E" w:rsidP="004A0B2E">
            <w:pPr>
              <w:jc w:val="right"/>
              <w:rPr>
                <w:rFonts w:ascii="Arial Narrow" w:hAnsi="Arial Narrow" w:cs="Calibri"/>
                <w:sz w:val="16"/>
                <w:szCs w:val="16"/>
              </w:rPr>
            </w:pPr>
            <w:r w:rsidRPr="004A0B2E">
              <w:rPr>
                <w:rFonts w:ascii="Arial Narrow" w:hAnsi="Arial Narrow" w:cs="Calibri"/>
                <w:sz w:val="16"/>
                <w:szCs w:val="16"/>
              </w:rPr>
              <w:t>105,1</w:t>
            </w:r>
          </w:p>
        </w:tc>
        <w:tc>
          <w:tcPr>
            <w:tcW w:w="1256" w:type="dxa"/>
            <w:tcBorders>
              <w:top w:val="nil"/>
              <w:left w:val="nil"/>
              <w:bottom w:val="single" w:sz="4" w:space="0" w:color="auto"/>
              <w:right w:val="single" w:sz="4" w:space="0" w:color="auto"/>
            </w:tcBorders>
            <w:shd w:val="clear" w:color="auto" w:fill="auto"/>
            <w:vAlign w:val="center"/>
            <w:hideMark/>
          </w:tcPr>
          <w:p w14:paraId="1AA76F27" w14:textId="77777777" w:rsidR="004A0B2E" w:rsidRPr="004A0B2E" w:rsidRDefault="004A0B2E" w:rsidP="004A0B2E">
            <w:pPr>
              <w:jc w:val="right"/>
              <w:rPr>
                <w:rFonts w:ascii="Arial Narrow" w:hAnsi="Arial Narrow" w:cs="Calibri"/>
                <w:sz w:val="16"/>
                <w:szCs w:val="16"/>
              </w:rPr>
            </w:pPr>
            <w:r w:rsidRPr="004A0B2E">
              <w:rPr>
                <w:rFonts w:ascii="Arial Narrow" w:hAnsi="Arial Narrow" w:cs="Calibri"/>
                <w:sz w:val="16"/>
                <w:szCs w:val="16"/>
              </w:rPr>
              <w:t>16,0</w:t>
            </w:r>
          </w:p>
        </w:tc>
        <w:tc>
          <w:tcPr>
            <w:tcW w:w="872" w:type="dxa"/>
            <w:tcBorders>
              <w:top w:val="nil"/>
              <w:left w:val="nil"/>
              <w:bottom w:val="single" w:sz="4" w:space="0" w:color="auto"/>
              <w:right w:val="single" w:sz="4" w:space="0" w:color="auto"/>
            </w:tcBorders>
            <w:shd w:val="clear" w:color="auto" w:fill="auto"/>
            <w:vAlign w:val="center"/>
            <w:hideMark/>
          </w:tcPr>
          <w:p w14:paraId="245FDC66" w14:textId="77777777" w:rsidR="004A0B2E" w:rsidRPr="004A0B2E" w:rsidRDefault="004A0B2E" w:rsidP="004A0B2E">
            <w:pPr>
              <w:jc w:val="right"/>
              <w:rPr>
                <w:rFonts w:ascii="Arial Narrow" w:hAnsi="Arial Narrow" w:cs="Calibri"/>
                <w:sz w:val="16"/>
                <w:szCs w:val="16"/>
              </w:rPr>
            </w:pPr>
            <w:r w:rsidRPr="004A0B2E">
              <w:rPr>
                <w:rFonts w:ascii="Arial Narrow" w:hAnsi="Arial Narrow" w:cs="Calibri"/>
                <w:sz w:val="16"/>
                <w:szCs w:val="16"/>
              </w:rPr>
              <w:t>121,9</w:t>
            </w:r>
          </w:p>
        </w:tc>
      </w:tr>
      <w:tr w:rsidR="004A0B2E" w:rsidRPr="00B10684" w14:paraId="73350CFA" w14:textId="77777777" w:rsidTr="005A18A5">
        <w:trPr>
          <w:trHeight w:val="183"/>
        </w:trPr>
        <w:tc>
          <w:tcPr>
            <w:tcW w:w="757" w:type="dxa"/>
            <w:tcBorders>
              <w:top w:val="nil"/>
              <w:left w:val="single" w:sz="4" w:space="0" w:color="auto"/>
              <w:bottom w:val="single" w:sz="4" w:space="0" w:color="auto"/>
              <w:right w:val="single" w:sz="4" w:space="0" w:color="auto"/>
            </w:tcBorders>
            <w:shd w:val="clear" w:color="auto" w:fill="auto"/>
            <w:noWrap/>
            <w:vAlign w:val="center"/>
            <w:hideMark/>
          </w:tcPr>
          <w:p w14:paraId="1654C4B5" w14:textId="77777777" w:rsidR="004A0B2E" w:rsidRPr="004A0B2E" w:rsidRDefault="004A0B2E" w:rsidP="004A0B2E">
            <w:pPr>
              <w:rPr>
                <w:rFonts w:ascii="Arial Narrow" w:hAnsi="Arial Narrow" w:cs="Calibri"/>
                <w:sz w:val="16"/>
                <w:szCs w:val="16"/>
              </w:rPr>
            </w:pPr>
            <w:r w:rsidRPr="004A0B2E">
              <w:rPr>
                <w:rFonts w:ascii="Arial Narrow" w:hAnsi="Arial Narrow" w:cs="Calibri"/>
                <w:sz w:val="16"/>
                <w:szCs w:val="16"/>
              </w:rPr>
              <w:t xml:space="preserve"> 17.1/6/1</w:t>
            </w:r>
          </w:p>
        </w:tc>
        <w:tc>
          <w:tcPr>
            <w:tcW w:w="5279" w:type="dxa"/>
            <w:tcBorders>
              <w:top w:val="nil"/>
              <w:left w:val="nil"/>
              <w:bottom w:val="single" w:sz="4" w:space="0" w:color="auto"/>
              <w:right w:val="single" w:sz="4" w:space="0" w:color="auto"/>
            </w:tcBorders>
            <w:shd w:val="clear" w:color="auto" w:fill="auto"/>
            <w:vAlign w:val="center"/>
            <w:hideMark/>
          </w:tcPr>
          <w:p w14:paraId="4D0B16BD" w14:textId="77777777" w:rsidR="004A0B2E" w:rsidRPr="004A0B2E" w:rsidRDefault="004A0B2E" w:rsidP="004A0B2E">
            <w:pPr>
              <w:ind w:firstLineChars="300" w:firstLine="480"/>
              <w:rPr>
                <w:rFonts w:ascii="Arial Narrow" w:hAnsi="Arial Narrow" w:cs="Calibri"/>
                <w:sz w:val="16"/>
                <w:szCs w:val="16"/>
              </w:rPr>
            </w:pPr>
            <w:r w:rsidRPr="004A0B2E">
              <w:rPr>
                <w:rFonts w:ascii="Arial Narrow" w:hAnsi="Arial Narrow" w:cs="Calibri"/>
                <w:sz w:val="16"/>
                <w:szCs w:val="16"/>
              </w:rPr>
              <w:t>- мляко</w:t>
            </w:r>
          </w:p>
        </w:tc>
        <w:tc>
          <w:tcPr>
            <w:tcW w:w="957" w:type="dxa"/>
            <w:tcBorders>
              <w:top w:val="nil"/>
              <w:left w:val="nil"/>
              <w:bottom w:val="single" w:sz="4" w:space="0" w:color="auto"/>
              <w:right w:val="single" w:sz="4" w:space="0" w:color="auto"/>
            </w:tcBorders>
            <w:shd w:val="clear" w:color="auto" w:fill="auto"/>
            <w:vAlign w:val="center"/>
            <w:hideMark/>
          </w:tcPr>
          <w:p w14:paraId="3D743956" w14:textId="77777777" w:rsidR="004A0B2E" w:rsidRPr="004A0B2E" w:rsidRDefault="004A0B2E" w:rsidP="004A0B2E">
            <w:pPr>
              <w:jc w:val="right"/>
              <w:rPr>
                <w:rFonts w:ascii="Arial Narrow" w:hAnsi="Arial Narrow" w:cs="Calibri"/>
                <w:sz w:val="16"/>
                <w:szCs w:val="16"/>
              </w:rPr>
            </w:pPr>
            <w:r w:rsidRPr="004A0B2E">
              <w:rPr>
                <w:rFonts w:ascii="Arial Narrow" w:hAnsi="Arial Narrow" w:cs="Calibri"/>
                <w:sz w:val="16"/>
                <w:szCs w:val="16"/>
              </w:rPr>
              <w:t>18,4</w:t>
            </w:r>
          </w:p>
        </w:tc>
        <w:tc>
          <w:tcPr>
            <w:tcW w:w="1118" w:type="dxa"/>
            <w:tcBorders>
              <w:top w:val="nil"/>
              <w:left w:val="nil"/>
              <w:bottom w:val="single" w:sz="4" w:space="0" w:color="auto"/>
              <w:right w:val="single" w:sz="4" w:space="0" w:color="auto"/>
            </w:tcBorders>
            <w:shd w:val="clear" w:color="auto" w:fill="auto"/>
            <w:vAlign w:val="center"/>
            <w:hideMark/>
          </w:tcPr>
          <w:p w14:paraId="2EC86891" w14:textId="77777777" w:rsidR="004A0B2E" w:rsidRPr="004A0B2E" w:rsidRDefault="004A0B2E" w:rsidP="004A0B2E">
            <w:pPr>
              <w:jc w:val="right"/>
              <w:rPr>
                <w:rFonts w:ascii="Arial Narrow" w:hAnsi="Arial Narrow" w:cs="Calibri"/>
                <w:sz w:val="16"/>
                <w:szCs w:val="16"/>
              </w:rPr>
            </w:pPr>
            <w:r w:rsidRPr="004A0B2E">
              <w:rPr>
                <w:rFonts w:ascii="Arial Narrow" w:hAnsi="Arial Narrow" w:cs="Calibri"/>
                <w:sz w:val="16"/>
                <w:szCs w:val="16"/>
              </w:rPr>
              <w:t>471,2</w:t>
            </w:r>
          </w:p>
        </w:tc>
        <w:tc>
          <w:tcPr>
            <w:tcW w:w="957" w:type="dxa"/>
            <w:tcBorders>
              <w:top w:val="nil"/>
              <w:left w:val="nil"/>
              <w:bottom w:val="single" w:sz="4" w:space="0" w:color="auto"/>
              <w:right w:val="single" w:sz="4" w:space="0" w:color="auto"/>
            </w:tcBorders>
            <w:shd w:val="clear" w:color="auto" w:fill="auto"/>
            <w:vAlign w:val="center"/>
            <w:hideMark/>
          </w:tcPr>
          <w:p w14:paraId="596051B9" w14:textId="77777777" w:rsidR="004A0B2E" w:rsidRPr="004A0B2E" w:rsidRDefault="004A0B2E" w:rsidP="004A0B2E">
            <w:pPr>
              <w:jc w:val="right"/>
              <w:rPr>
                <w:rFonts w:ascii="Arial Narrow" w:hAnsi="Arial Narrow" w:cs="Calibri"/>
                <w:sz w:val="16"/>
                <w:szCs w:val="16"/>
              </w:rPr>
            </w:pPr>
            <w:r w:rsidRPr="004A0B2E">
              <w:rPr>
                <w:rFonts w:ascii="Arial Narrow" w:hAnsi="Arial Narrow" w:cs="Calibri"/>
                <w:sz w:val="16"/>
                <w:szCs w:val="16"/>
              </w:rPr>
              <w:t>105,1</w:t>
            </w:r>
          </w:p>
        </w:tc>
        <w:tc>
          <w:tcPr>
            <w:tcW w:w="1256" w:type="dxa"/>
            <w:tcBorders>
              <w:top w:val="nil"/>
              <w:left w:val="nil"/>
              <w:bottom w:val="single" w:sz="4" w:space="0" w:color="auto"/>
              <w:right w:val="single" w:sz="4" w:space="0" w:color="auto"/>
            </w:tcBorders>
            <w:shd w:val="clear" w:color="auto" w:fill="auto"/>
            <w:vAlign w:val="center"/>
            <w:hideMark/>
          </w:tcPr>
          <w:p w14:paraId="5F2C183F" w14:textId="77777777" w:rsidR="004A0B2E" w:rsidRPr="004A0B2E" w:rsidRDefault="004A0B2E" w:rsidP="004A0B2E">
            <w:pPr>
              <w:jc w:val="right"/>
              <w:rPr>
                <w:rFonts w:ascii="Arial Narrow" w:hAnsi="Arial Narrow" w:cs="Calibri"/>
                <w:sz w:val="16"/>
                <w:szCs w:val="16"/>
              </w:rPr>
            </w:pPr>
            <w:r w:rsidRPr="004A0B2E">
              <w:rPr>
                <w:rFonts w:ascii="Arial Narrow" w:hAnsi="Arial Narrow" w:cs="Calibri"/>
                <w:sz w:val="16"/>
                <w:szCs w:val="16"/>
              </w:rPr>
              <w:t>16,0</w:t>
            </w:r>
          </w:p>
        </w:tc>
        <w:tc>
          <w:tcPr>
            <w:tcW w:w="872" w:type="dxa"/>
            <w:tcBorders>
              <w:top w:val="nil"/>
              <w:left w:val="nil"/>
              <w:bottom w:val="single" w:sz="4" w:space="0" w:color="auto"/>
              <w:right w:val="single" w:sz="4" w:space="0" w:color="auto"/>
            </w:tcBorders>
            <w:shd w:val="clear" w:color="auto" w:fill="auto"/>
            <w:vAlign w:val="center"/>
            <w:hideMark/>
          </w:tcPr>
          <w:p w14:paraId="39AB1442" w14:textId="77777777" w:rsidR="004A0B2E" w:rsidRPr="004A0B2E" w:rsidRDefault="004A0B2E" w:rsidP="004A0B2E">
            <w:pPr>
              <w:jc w:val="right"/>
              <w:rPr>
                <w:rFonts w:ascii="Arial Narrow" w:hAnsi="Arial Narrow" w:cs="Calibri"/>
                <w:sz w:val="16"/>
                <w:szCs w:val="16"/>
              </w:rPr>
            </w:pPr>
            <w:r w:rsidRPr="004A0B2E">
              <w:rPr>
                <w:rFonts w:ascii="Arial Narrow" w:hAnsi="Arial Narrow" w:cs="Calibri"/>
                <w:sz w:val="16"/>
                <w:szCs w:val="16"/>
              </w:rPr>
              <w:t>121,9</w:t>
            </w:r>
          </w:p>
        </w:tc>
      </w:tr>
      <w:tr w:rsidR="004A0B2E" w:rsidRPr="00B10684" w14:paraId="35B8C0E6" w14:textId="77777777" w:rsidTr="005A18A5">
        <w:trPr>
          <w:trHeight w:val="183"/>
        </w:trPr>
        <w:tc>
          <w:tcPr>
            <w:tcW w:w="757" w:type="dxa"/>
            <w:tcBorders>
              <w:top w:val="nil"/>
              <w:left w:val="single" w:sz="4" w:space="0" w:color="auto"/>
              <w:bottom w:val="single" w:sz="4" w:space="0" w:color="auto"/>
              <w:right w:val="single" w:sz="4" w:space="0" w:color="auto"/>
            </w:tcBorders>
            <w:shd w:val="clear" w:color="auto" w:fill="auto"/>
            <w:noWrap/>
            <w:vAlign w:val="center"/>
            <w:hideMark/>
          </w:tcPr>
          <w:p w14:paraId="553FCD54" w14:textId="77777777" w:rsidR="004A0B2E" w:rsidRPr="004A0B2E" w:rsidRDefault="004A0B2E" w:rsidP="004A0B2E">
            <w:pPr>
              <w:rPr>
                <w:rFonts w:ascii="Arial Narrow" w:hAnsi="Arial Narrow" w:cs="Calibri"/>
                <w:sz w:val="16"/>
                <w:szCs w:val="16"/>
              </w:rPr>
            </w:pPr>
            <w:r w:rsidRPr="004A0B2E">
              <w:rPr>
                <w:rFonts w:ascii="Arial Narrow" w:hAnsi="Arial Narrow" w:cs="Calibri"/>
                <w:sz w:val="16"/>
                <w:szCs w:val="16"/>
              </w:rPr>
              <w:t xml:space="preserve"> 17.1/7</w:t>
            </w:r>
          </w:p>
        </w:tc>
        <w:tc>
          <w:tcPr>
            <w:tcW w:w="5279" w:type="dxa"/>
            <w:tcBorders>
              <w:top w:val="nil"/>
              <w:left w:val="nil"/>
              <w:bottom w:val="single" w:sz="4" w:space="0" w:color="auto"/>
              <w:right w:val="single" w:sz="4" w:space="0" w:color="auto"/>
            </w:tcBorders>
            <w:shd w:val="clear" w:color="auto" w:fill="auto"/>
            <w:vAlign w:val="center"/>
            <w:hideMark/>
          </w:tcPr>
          <w:p w14:paraId="0BB4E8C2" w14:textId="77777777" w:rsidR="004A0B2E" w:rsidRPr="004A0B2E" w:rsidRDefault="004A0B2E" w:rsidP="004A0B2E">
            <w:pPr>
              <w:ind w:firstLineChars="100" w:firstLine="160"/>
              <w:rPr>
                <w:rFonts w:ascii="Arial Narrow" w:hAnsi="Arial Narrow" w:cs="Calibri"/>
                <w:sz w:val="16"/>
                <w:szCs w:val="16"/>
              </w:rPr>
            </w:pPr>
            <w:r w:rsidRPr="004A0B2E">
              <w:rPr>
                <w:rFonts w:ascii="Arial Narrow" w:hAnsi="Arial Narrow" w:cs="Calibri"/>
                <w:sz w:val="16"/>
                <w:szCs w:val="16"/>
              </w:rPr>
              <w:t>- друга</w:t>
            </w:r>
          </w:p>
        </w:tc>
        <w:tc>
          <w:tcPr>
            <w:tcW w:w="957" w:type="dxa"/>
            <w:tcBorders>
              <w:top w:val="nil"/>
              <w:left w:val="nil"/>
              <w:bottom w:val="single" w:sz="4" w:space="0" w:color="auto"/>
              <w:right w:val="single" w:sz="4" w:space="0" w:color="auto"/>
            </w:tcBorders>
            <w:shd w:val="clear" w:color="auto" w:fill="auto"/>
            <w:vAlign w:val="center"/>
            <w:hideMark/>
          </w:tcPr>
          <w:p w14:paraId="36521AC4" w14:textId="77777777" w:rsidR="004A0B2E" w:rsidRPr="004A0B2E" w:rsidRDefault="004A0B2E" w:rsidP="004A0B2E">
            <w:pPr>
              <w:jc w:val="right"/>
              <w:rPr>
                <w:rFonts w:ascii="Arial Narrow" w:hAnsi="Arial Narrow" w:cs="Calibri"/>
                <w:sz w:val="16"/>
                <w:szCs w:val="16"/>
              </w:rPr>
            </w:pPr>
            <w:r w:rsidRPr="004A0B2E">
              <w:rPr>
                <w:rFonts w:ascii="Arial Narrow" w:hAnsi="Arial Narrow" w:cs="Calibri"/>
                <w:sz w:val="16"/>
                <w:szCs w:val="16"/>
              </w:rPr>
              <w:t>8,2</w:t>
            </w:r>
          </w:p>
        </w:tc>
        <w:tc>
          <w:tcPr>
            <w:tcW w:w="1118" w:type="dxa"/>
            <w:tcBorders>
              <w:top w:val="nil"/>
              <w:left w:val="nil"/>
              <w:bottom w:val="single" w:sz="4" w:space="0" w:color="auto"/>
              <w:right w:val="single" w:sz="4" w:space="0" w:color="auto"/>
            </w:tcBorders>
            <w:shd w:val="clear" w:color="auto" w:fill="auto"/>
            <w:vAlign w:val="center"/>
            <w:hideMark/>
          </w:tcPr>
          <w:p w14:paraId="06D9A534" w14:textId="77777777" w:rsidR="004A0B2E" w:rsidRPr="004A0B2E" w:rsidRDefault="004A0B2E" w:rsidP="004A0B2E">
            <w:pPr>
              <w:jc w:val="right"/>
              <w:rPr>
                <w:rFonts w:ascii="Arial Narrow" w:hAnsi="Arial Narrow" w:cs="Calibri"/>
                <w:sz w:val="16"/>
                <w:szCs w:val="16"/>
              </w:rPr>
            </w:pPr>
            <w:r w:rsidRPr="004A0B2E">
              <w:rPr>
                <w:rFonts w:ascii="Arial Narrow" w:hAnsi="Arial Narrow" w:cs="Calibri"/>
                <w:sz w:val="16"/>
                <w:szCs w:val="16"/>
              </w:rPr>
              <w:t>-15,9</w:t>
            </w:r>
          </w:p>
        </w:tc>
        <w:tc>
          <w:tcPr>
            <w:tcW w:w="957" w:type="dxa"/>
            <w:tcBorders>
              <w:top w:val="nil"/>
              <w:left w:val="nil"/>
              <w:bottom w:val="single" w:sz="4" w:space="0" w:color="auto"/>
              <w:right w:val="single" w:sz="4" w:space="0" w:color="auto"/>
            </w:tcBorders>
            <w:shd w:val="clear" w:color="auto" w:fill="auto"/>
            <w:vAlign w:val="center"/>
            <w:hideMark/>
          </w:tcPr>
          <w:p w14:paraId="66A360C1" w14:textId="77777777" w:rsidR="004A0B2E" w:rsidRPr="004A0B2E" w:rsidRDefault="004A0B2E" w:rsidP="004A0B2E">
            <w:pPr>
              <w:jc w:val="right"/>
              <w:rPr>
                <w:rFonts w:ascii="Arial Narrow" w:hAnsi="Arial Narrow" w:cs="Calibri"/>
                <w:sz w:val="16"/>
                <w:szCs w:val="16"/>
              </w:rPr>
            </w:pPr>
            <w:r w:rsidRPr="004A0B2E">
              <w:rPr>
                <w:rFonts w:ascii="Arial Narrow" w:hAnsi="Arial Narrow" w:cs="Calibri"/>
                <w:sz w:val="16"/>
                <w:szCs w:val="16"/>
              </w:rPr>
              <w:t>6,9</w:t>
            </w:r>
          </w:p>
        </w:tc>
        <w:tc>
          <w:tcPr>
            <w:tcW w:w="1256" w:type="dxa"/>
            <w:tcBorders>
              <w:top w:val="nil"/>
              <w:left w:val="nil"/>
              <w:bottom w:val="single" w:sz="4" w:space="0" w:color="auto"/>
              <w:right w:val="single" w:sz="4" w:space="0" w:color="auto"/>
            </w:tcBorders>
            <w:shd w:val="clear" w:color="auto" w:fill="auto"/>
            <w:vAlign w:val="center"/>
            <w:hideMark/>
          </w:tcPr>
          <w:p w14:paraId="24C3B40A" w14:textId="77777777" w:rsidR="004A0B2E" w:rsidRPr="004A0B2E" w:rsidRDefault="004A0B2E" w:rsidP="004A0B2E">
            <w:pPr>
              <w:jc w:val="right"/>
              <w:rPr>
                <w:rFonts w:ascii="Arial Narrow" w:hAnsi="Arial Narrow" w:cs="Calibri"/>
                <w:sz w:val="16"/>
                <w:szCs w:val="16"/>
              </w:rPr>
            </w:pPr>
            <w:r w:rsidRPr="004A0B2E">
              <w:rPr>
                <w:rFonts w:ascii="Arial Narrow" w:hAnsi="Arial Narrow" w:cs="Calibri"/>
                <w:sz w:val="16"/>
                <w:szCs w:val="16"/>
              </w:rPr>
              <w:t>-21,7</w:t>
            </w:r>
          </w:p>
        </w:tc>
        <w:tc>
          <w:tcPr>
            <w:tcW w:w="872" w:type="dxa"/>
            <w:tcBorders>
              <w:top w:val="nil"/>
              <w:left w:val="nil"/>
              <w:bottom w:val="single" w:sz="4" w:space="0" w:color="auto"/>
              <w:right w:val="single" w:sz="4" w:space="0" w:color="auto"/>
            </w:tcBorders>
            <w:shd w:val="clear" w:color="auto" w:fill="auto"/>
            <w:vAlign w:val="center"/>
            <w:hideMark/>
          </w:tcPr>
          <w:p w14:paraId="02DEBB01" w14:textId="77777777" w:rsidR="004A0B2E" w:rsidRPr="004A0B2E" w:rsidRDefault="004A0B2E" w:rsidP="004A0B2E">
            <w:pPr>
              <w:jc w:val="right"/>
              <w:rPr>
                <w:rFonts w:ascii="Arial Narrow" w:hAnsi="Arial Narrow" w:cs="Calibri"/>
                <w:sz w:val="16"/>
                <w:szCs w:val="16"/>
              </w:rPr>
            </w:pPr>
            <w:r w:rsidRPr="004A0B2E">
              <w:rPr>
                <w:rFonts w:ascii="Arial Narrow" w:hAnsi="Arial Narrow" w:cs="Calibri"/>
                <w:sz w:val="16"/>
                <w:szCs w:val="16"/>
              </w:rPr>
              <w:t>5,4</w:t>
            </w:r>
          </w:p>
        </w:tc>
      </w:tr>
      <w:tr w:rsidR="004A0B2E" w:rsidRPr="00B10684" w14:paraId="376CD054" w14:textId="77777777" w:rsidTr="005A18A5">
        <w:trPr>
          <w:trHeight w:val="183"/>
        </w:trPr>
        <w:tc>
          <w:tcPr>
            <w:tcW w:w="757" w:type="dxa"/>
            <w:tcBorders>
              <w:top w:val="nil"/>
              <w:left w:val="single" w:sz="4" w:space="0" w:color="auto"/>
              <w:bottom w:val="single" w:sz="4" w:space="0" w:color="auto"/>
              <w:right w:val="single" w:sz="4" w:space="0" w:color="auto"/>
            </w:tcBorders>
            <w:shd w:val="clear" w:color="auto" w:fill="auto"/>
            <w:noWrap/>
            <w:vAlign w:val="center"/>
            <w:hideMark/>
          </w:tcPr>
          <w:p w14:paraId="0BCCFF7E" w14:textId="77777777" w:rsidR="004A0B2E" w:rsidRPr="004A0B2E" w:rsidRDefault="004A0B2E" w:rsidP="004A0B2E">
            <w:pPr>
              <w:rPr>
                <w:rFonts w:ascii="Arial Narrow" w:hAnsi="Arial Narrow" w:cs="Calibri"/>
                <w:sz w:val="16"/>
                <w:szCs w:val="16"/>
              </w:rPr>
            </w:pPr>
            <w:r w:rsidRPr="004A0B2E">
              <w:rPr>
                <w:rFonts w:ascii="Arial Narrow" w:hAnsi="Arial Narrow" w:cs="Calibri"/>
                <w:sz w:val="16"/>
                <w:szCs w:val="16"/>
              </w:rPr>
              <w:t xml:space="preserve"> 17.2</w:t>
            </w:r>
          </w:p>
        </w:tc>
        <w:tc>
          <w:tcPr>
            <w:tcW w:w="5279" w:type="dxa"/>
            <w:tcBorders>
              <w:top w:val="nil"/>
              <w:left w:val="nil"/>
              <w:bottom w:val="single" w:sz="4" w:space="0" w:color="auto"/>
              <w:right w:val="single" w:sz="4" w:space="0" w:color="auto"/>
            </w:tcBorders>
            <w:shd w:val="clear" w:color="auto" w:fill="auto"/>
            <w:vAlign w:val="center"/>
            <w:hideMark/>
          </w:tcPr>
          <w:p w14:paraId="52723746" w14:textId="77777777" w:rsidR="004A0B2E" w:rsidRPr="004A0B2E" w:rsidRDefault="004A0B2E" w:rsidP="004A0B2E">
            <w:pPr>
              <w:ind w:firstLineChars="100" w:firstLine="160"/>
              <w:rPr>
                <w:rFonts w:ascii="Arial Narrow" w:hAnsi="Arial Narrow" w:cs="Calibri"/>
                <w:sz w:val="16"/>
                <w:szCs w:val="16"/>
              </w:rPr>
            </w:pPr>
            <w:r w:rsidRPr="004A0B2E">
              <w:rPr>
                <w:rFonts w:ascii="Arial Narrow" w:hAnsi="Arial Narrow" w:cs="Calibri"/>
                <w:sz w:val="16"/>
                <w:szCs w:val="16"/>
              </w:rPr>
              <w:t>Други неотделими второстепенни дейности</w:t>
            </w:r>
          </w:p>
        </w:tc>
        <w:tc>
          <w:tcPr>
            <w:tcW w:w="957" w:type="dxa"/>
            <w:tcBorders>
              <w:top w:val="nil"/>
              <w:left w:val="nil"/>
              <w:bottom w:val="single" w:sz="4" w:space="0" w:color="auto"/>
              <w:right w:val="single" w:sz="4" w:space="0" w:color="auto"/>
            </w:tcBorders>
            <w:shd w:val="clear" w:color="auto" w:fill="auto"/>
            <w:vAlign w:val="center"/>
            <w:hideMark/>
          </w:tcPr>
          <w:p w14:paraId="02BF629B" w14:textId="77777777" w:rsidR="004A0B2E" w:rsidRPr="004A0B2E" w:rsidRDefault="004A0B2E" w:rsidP="004A0B2E">
            <w:pPr>
              <w:jc w:val="right"/>
              <w:rPr>
                <w:rFonts w:ascii="Arial Narrow" w:hAnsi="Arial Narrow" w:cs="Calibri"/>
                <w:sz w:val="16"/>
                <w:szCs w:val="16"/>
              </w:rPr>
            </w:pPr>
            <w:r w:rsidRPr="004A0B2E">
              <w:rPr>
                <w:rFonts w:ascii="Arial Narrow" w:hAnsi="Arial Narrow" w:cs="Calibri"/>
                <w:sz w:val="16"/>
                <w:szCs w:val="16"/>
              </w:rPr>
              <w:t> </w:t>
            </w:r>
          </w:p>
        </w:tc>
        <w:tc>
          <w:tcPr>
            <w:tcW w:w="1118" w:type="dxa"/>
            <w:tcBorders>
              <w:top w:val="nil"/>
              <w:left w:val="nil"/>
              <w:bottom w:val="single" w:sz="4" w:space="0" w:color="auto"/>
              <w:right w:val="single" w:sz="4" w:space="0" w:color="auto"/>
            </w:tcBorders>
            <w:shd w:val="clear" w:color="auto" w:fill="auto"/>
            <w:vAlign w:val="center"/>
            <w:hideMark/>
          </w:tcPr>
          <w:p w14:paraId="0336968D" w14:textId="77777777" w:rsidR="004A0B2E" w:rsidRPr="004A0B2E" w:rsidRDefault="004A0B2E" w:rsidP="004A0B2E">
            <w:pPr>
              <w:rPr>
                <w:rFonts w:ascii="Arial Narrow" w:hAnsi="Arial Narrow" w:cs="Calibri"/>
                <w:sz w:val="16"/>
                <w:szCs w:val="16"/>
              </w:rPr>
            </w:pPr>
            <w:r w:rsidRPr="004A0B2E">
              <w:rPr>
                <w:rFonts w:ascii="Arial Narrow" w:hAnsi="Arial Narrow" w:cs="Calibri"/>
                <w:sz w:val="16"/>
                <w:szCs w:val="16"/>
              </w:rPr>
              <w:t> </w:t>
            </w:r>
          </w:p>
        </w:tc>
        <w:tc>
          <w:tcPr>
            <w:tcW w:w="957" w:type="dxa"/>
            <w:tcBorders>
              <w:top w:val="nil"/>
              <w:left w:val="nil"/>
              <w:bottom w:val="single" w:sz="4" w:space="0" w:color="auto"/>
              <w:right w:val="single" w:sz="4" w:space="0" w:color="auto"/>
            </w:tcBorders>
            <w:shd w:val="clear" w:color="auto" w:fill="auto"/>
            <w:vAlign w:val="center"/>
            <w:hideMark/>
          </w:tcPr>
          <w:p w14:paraId="603A4237" w14:textId="77777777" w:rsidR="004A0B2E" w:rsidRPr="004A0B2E" w:rsidRDefault="004A0B2E" w:rsidP="004A0B2E">
            <w:pPr>
              <w:jc w:val="right"/>
              <w:rPr>
                <w:rFonts w:ascii="Arial Narrow" w:hAnsi="Arial Narrow" w:cs="Calibri"/>
                <w:sz w:val="16"/>
                <w:szCs w:val="16"/>
              </w:rPr>
            </w:pPr>
            <w:r w:rsidRPr="004A0B2E">
              <w:rPr>
                <w:rFonts w:ascii="Arial Narrow" w:hAnsi="Arial Narrow" w:cs="Calibri"/>
                <w:sz w:val="16"/>
                <w:szCs w:val="16"/>
              </w:rPr>
              <w:t> </w:t>
            </w:r>
          </w:p>
        </w:tc>
        <w:tc>
          <w:tcPr>
            <w:tcW w:w="1256" w:type="dxa"/>
            <w:tcBorders>
              <w:top w:val="nil"/>
              <w:left w:val="nil"/>
              <w:bottom w:val="single" w:sz="4" w:space="0" w:color="auto"/>
              <w:right w:val="single" w:sz="4" w:space="0" w:color="auto"/>
            </w:tcBorders>
            <w:shd w:val="clear" w:color="auto" w:fill="auto"/>
            <w:vAlign w:val="center"/>
            <w:hideMark/>
          </w:tcPr>
          <w:p w14:paraId="360B2226" w14:textId="77777777" w:rsidR="004A0B2E" w:rsidRPr="004A0B2E" w:rsidRDefault="004A0B2E" w:rsidP="004A0B2E">
            <w:pPr>
              <w:rPr>
                <w:rFonts w:ascii="Arial Narrow" w:hAnsi="Arial Narrow" w:cs="Calibri"/>
                <w:sz w:val="16"/>
                <w:szCs w:val="16"/>
              </w:rPr>
            </w:pPr>
            <w:r w:rsidRPr="004A0B2E">
              <w:rPr>
                <w:rFonts w:ascii="Arial Narrow" w:hAnsi="Arial Narrow" w:cs="Calibri"/>
                <w:sz w:val="16"/>
                <w:szCs w:val="16"/>
              </w:rPr>
              <w:t> </w:t>
            </w:r>
          </w:p>
        </w:tc>
        <w:tc>
          <w:tcPr>
            <w:tcW w:w="872" w:type="dxa"/>
            <w:tcBorders>
              <w:top w:val="nil"/>
              <w:left w:val="nil"/>
              <w:bottom w:val="single" w:sz="4" w:space="0" w:color="auto"/>
              <w:right w:val="single" w:sz="4" w:space="0" w:color="auto"/>
            </w:tcBorders>
            <w:shd w:val="clear" w:color="auto" w:fill="auto"/>
            <w:vAlign w:val="center"/>
            <w:hideMark/>
          </w:tcPr>
          <w:p w14:paraId="6429ECC3" w14:textId="77777777" w:rsidR="004A0B2E" w:rsidRPr="004A0B2E" w:rsidRDefault="004A0B2E" w:rsidP="004A0B2E">
            <w:pPr>
              <w:jc w:val="right"/>
              <w:rPr>
                <w:rFonts w:ascii="Arial Narrow" w:hAnsi="Arial Narrow" w:cs="Calibri"/>
                <w:sz w:val="16"/>
                <w:szCs w:val="16"/>
              </w:rPr>
            </w:pPr>
            <w:r w:rsidRPr="004A0B2E">
              <w:rPr>
                <w:rFonts w:ascii="Arial Narrow" w:hAnsi="Arial Narrow" w:cs="Calibri"/>
                <w:sz w:val="16"/>
                <w:szCs w:val="16"/>
              </w:rPr>
              <w:t> </w:t>
            </w:r>
          </w:p>
        </w:tc>
      </w:tr>
      <w:tr w:rsidR="004A0B2E" w:rsidRPr="00B10684" w14:paraId="1C582F48" w14:textId="77777777" w:rsidTr="005A18A5">
        <w:trPr>
          <w:trHeight w:val="338"/>
        </w:trPr>
        <w:tc>
          <w:tcPr>
            <w:tcW w:w="757" w:type="dxa"/>
            <w:tcBorders>
              <w:top w:val="nil"/>
              <w:left w:val="single" w:sz="4" w:space="0" w:color="auto"/>
              <w:bottom w:val="single" w:sz="4" w:space="0" w:color="auto"/>
              <w:right w:val="single" w:sz="4" w:space="0" w:color="auto"/>
            </w:tcBorders>
            <w:shd w:val="clear" w:color="auto" w:fill="auto"/>
            <w:noWrap/>
            <w:vAlign w:val="center"/>
            <w:hideMark/>
          </w:tcPr>
          <w:p w14:paraId="6480F809" w14:textId="77777777" w:rsidR="004A0B2E" w:rsidRPr="004A0B2E" w:rsidRDefault="004A0B2E" w:rsidP="004A0B2E">
            <w:pPr>
              <w:rPr>
                <w:rFonts w:ascii="Arial Narrow" w:hAnsi="Arial Narrow" w:cs="Calibri"/>
                <w:b/>
                <w:bCs/>
                <w:sz w:val="16"/>
                <w:szCs w:val="16"/>
              </w:rPr>
            </w:pPr>
            <w:r w:rsidRPr="004A0B2E">
              <w:rPr>
                <w:rFonts w:ascii="Arial Narrow" w:hAnsi="Arial Narrow" w:cs="Calibri"/>
                <w:b/>
                <w:bCs/>
                <w:sz w:val="16"/>
                <w:szCs w:val="16"/>
              </w:rPr>
              <w:t xml:space="preserve"> 18</w:t>
            </w:r>
          </w:p>
        </w:tc>
        <w:tc>
          <w:tcPr>
            <w:tcW w:w="5279" w:type="dxa"/>
            <w:tcBorders>
              <w:top w:val="nil"/>
              <w:left w:val="nil"/>
              <w:bottom w:val="single" w:sz="4" w:space="0" w:color="auto"/>
              <w:right w:val="single" w:sz="4" w:space="0" w:color="auto"/>
            </w:tcBorders>
            <w:shd w:val="clear" w:color="auto" w:fill="auto"/>
            <w:vAlign w:val="center"/>
            <w:hideMark/>
          </w:tcPr>
          <w:p w14:paraId="42B86316" w14:textId="77777777" w:rsidR="004A0B2E" w:rsidRPr="004A0B2E" w:rsidRDefault="004A0B2E" w:rsidP="004A0B2E">
            <w:pPr>
              <w:rPr>
                <w:rFonts w:ascii="Arial Narrow" w:hAnsi="Arial Narrow" w:cs="Calibri"/>
                <w:b/>
                <w:bCs/>
                <w:sz w:val="16"/>
                <w:szCs w:val="16"/>
              </w:rPr>
            </w:pPr>
            <w:r w:rsidRPr="004A0B2E">
              <w:rPr>
                <w:rFonts w:ascii="Arial Narrow" w:hAnsi="Arial Narrow" w:cs="Calibri"/>
                <w:b/>
                <w:bCs/>
                <w:sz w:val="16"/>
                <w:szCs w:val="16"/>
              </w:rPr>
              <w:t>Продукция от отрасъл 'Селско стопанство' (16+17)</w:t>
            </w:r>
          </w:p>
        </w:tc>
        <w:tc>
          <w:tcPr>
            <w:tcW w:w="957" w:type="dxa"/>
            <w:tcBorders>
              <w:top w:val="nil"/>
              <w:left w:val="nil"/>
              <w:bottom w:val="single" w:sz="4" w:space="0" w:color="auto"/>
              <w:right w:val="single" w:sz="4" w:space="0" w:color="auto"/>
            </w:tcBorders>
            <w:shd w:val="clear" w:color="auto" w:fill="auto"/>
            <w:vAlign w:val="center"/>
            <w:hideMark/>
          </w:tcPr>
          <w:p w14:paraId="36BE1976" w14:textId="77777777" w:rsidR="004A0B2E" w:rsidRPr="004A0B2E" w:rsidRDefault="004A0B2E" w:rsidP="004A0B2E">
            <w:pPr>
              <w:jc w:val="right"/>
              <w:rPr>
                <w:rFonts w:ascii="Arial Narrow" w:hAnsi="Arial Narrow" w:cs="Calibri"/>
                <w:b/>
                <w:bCs/>
                <w:sz w:val="16"/>
                <w:szCs w:val="16"/>
              </w:rPr>
            </w:pPr>
            <w:r w:rsidRPr="004A0B2E">
              <w:rPr>
                <w:rFonts w:ascii="Arial Narrow" w:hAnsi="Arial Narrow" w:cs="Calibri"/>
                <w:b/>
                <w:bCs/>
                <w:sz w:val="16"/>
                <w:szCs w:val="16"/>
              </w:rPr>
              <w:t>12 982,2</w:t>
            </w:r>
          </w:p>
        </w:tc>
        <w:tc>
          <w:tcPr>
            <w:tcW w:w="1118" w:type="dxa"/>
            <w:tcBorders>
              <w:top w:val="nil"/>
              <w:left w:val="nil"/>
              <w:bottom w:val="single" w:sz="4" w:space="0" w:color="auto"/>
              <w:right w:val="single" w:sz="4" w:space="0" w:color="auto"/>
            </w:tcBorders>
            <w:shd w:val="clear" w:color="auto" w:fill="auto"/>
            <w:vAlign w:val="center"/>
            <w:hideMark/>
          </w:tcPr>
          <w:p w14:paraId="35E38EDF" w14:textId="77777777" w:rsidR="004A0B2E" w:rsidRPr="004A0B2E" w:rsidRDefault="004A0B2E" w:rsidP="004A0B2E">
            <w:pPr>
              <w:jc w:val="right"/>
              <w:rPr>
                <w:rFonts w:ascii="Arial Narrow" w:hAnsi="Arial Narrow" w:cs="Calibri"/>
                <w:b/>
                <w:bCs/>
                <w:sz w:val="16"/>
                <w:szCs w:val="16"/>
              </w:rPr>
            </w:pPr>
            <w:r w:rsidRPr="004A0B2E">
              <w:rPr>
                <w:rFonts w:ascii="Arial Narrow" w:hAnsi="Arial Narrow" w:cs="Calibri"/>
                <w:b/>
                <w:bCs/>
                <w:sz w:val="16"/>
                <w:szCs w:val="16"/>
              </w:rPr>
              <w:t>-18,8</w:t>
            </w:r>
          </w:p>
        </w:tc>
        <w:tc>
          <w:tcPr>
            <w:tcW w:w="957" w:type="dxa"/>
            <w:tcBorders>
              <w:top w:val="nil"/>
              <w:left w:val="nil"/>
              <w:bottom w:val="single" w:sz="4" w:space="0" w:color="auto"/>
              <w:right w:val="single" w:sz="4" w:space="0" w:color="auto"/>
            </w:tcBorders>
            <w:shd w:val="clear" w:color="auto" w:fill="auto"/>
            <w:vAlign w:val="center"/>
            <w:hideMark/>
          </w:tcPr>
          <w:p w14:paraId="75ECD408" w14:textId="77777777" w:rsidR="004A0B2E" w:rsidRPr="004A0B2E" w:rsidRDefault="004A0B2E" w:rsidP="004A0B2E">
            <w:pPr>
              <w:jc w:val="right"/>
              <w:rPr>
                <w:rFonts w:ascii="Arial Narrow" w:hAnsi="Arial Narrow" w:cs="Calibri"/>
                <w:b/>
                <w:bCs/>
                <w:sz w:val="16"/>
                <w:szCs w:val="16"/>
              </w:rPr>
            </w:pPr>
            <w:r w:rsidRPr="004A0B2E">
              <w:rPr>
                <w:rFonts w:ascii="Arial Narrow" w:hAnsi="Arial Narrow" w:cs="Calibri"/>
                <w:b/>
                <w:bCs/>
                <w:sz w:val="16"/>
                <w:szCs w:val="16"/>
              </w:rPr>
              <w:t>10 543,9</w:t>
            </w:r>
          </w:p>
        </w:tc>
        <w:tc>
          <w:tcPr>
            <w:tcW w:w="1256" w:type="dxa"/>
            <w:tcBorders>
              <w:top w:val="nil"/>
              <w:left w:val="nil"/>
              <w:bottom w:val="single" w:sz="4" w:space="0" w:color="auto"/>
              <w:right w:val="single" w:sz="4" w:space="0" w:color="auto"/>
            </w:tcBorders>
            <w:shd w:val="clear" w:color="auto" w:fill="auto"/>
            <w:vAlign w:val="center"/>
            <w:hideMark/>
          </w:tcPr>
          <w:p w14:paraId="198F1AA3" w14:textId="77777777" w:rsidR="004A0B2E" w:rsidRPr="004A0B2E" w:rsidRDefault="004A0B2E" w:rsidP="004A0B2E">
            <w:pPr>
              <w:jc w:val="right"/>
              <w:rPr>
                <w:rFonts w:ascii="Arial Narrow" w:hAnsi="Arial Narrow" w:cs="Calibri"/>
                <w:b/>
                <w:bCs/>
                <w:sz w:val="16"/>
                <w:szCs w:val="16"/>
              </w:rPr>
            </w:pPr>
            <w:r w:rsidRPr="004A0B2E">
              <w:rPr>
                <w:rFonts w:ascii="Arial Narrow" w:hAnsi="Arial Narrow" w:cs="Calibri"/>
                <w:b/>
                <w:bCs/>
                <w:sz w:val="16"/>
                <w:szCs w:val="16"/>
              </w:rPr>
              <w:t>-8,5</w:t>
            </w:r>
          </w:p>
        </w:tc>
        <w:tc>
          <w:tcPr>
            <w:tcW w:w="872" w:type="dxa"/>
            <w:tcBorders>
              <w:top w:val="nil"/>
              <w:left w:val="nil"/>
              <w:bottom w:val="single" w:sz="4" w:space="0" w:color="auto"/>
              <w:right w:val="single" w:sz="4" w:space="0" w:color="auto"/>
            </w:tcBorders>
            <w:shd w:val="clear" w:color="auto" w:fill="auto"/>
            <w:vAlign w:val="center"/>
            <w:hideMark/>
          </w:tcPr>
          <w:p w14:paraId="21FDB011" w14:textId="77777777" w:rsidR="004A0B2E" w:rsidRPr="004A0B2E" w:rsidRDefault="004A0B2E" w:rsidP="004A0B2E">
            <w:pPr>
              <w:jc w:val="right"/>
              <w:rPr>
                <w:rFonts w:ascii="Arial Narrow" w:hAnsi="Arial Narrow" w:cs="Calibri"/>
                <w:b/>
                <w:bCs/>
                <w:sz w:val="16"/>
                <w:szCs w:val="16"/>
              </w:rPr>
            </w:pPr>
            <w:r w:rsidRPr="004A0B2E">
              <w:rPr>
                <w:rFonts w:ascii="Arial Narrow" w:hAnsi="Arial Narrow" w:cs="Calibri"/>
                <w:b/>
                <w:bCs/>
                <w:sz w:val="16"/>
                <w:szCs w:val="16"/>
              </w:rPr>
              <w:t>9 643,9</w:t>
            </w:r>
          </w:p>
        </w:tc>
      </w:tr>
      <w:tr w:rsidR="004A0B2E" w:rsidRPr="00B10684" w14:paraId="79F42776" w14:textId="77777777" w:rsidTr="005A18A5">
        <w:trPr>
          <w:trHeight w:val="338"/>
        </w:trPr>
        <w:tc>
          <w:tcPr>
            <w:tcW w:w="757" w:type="dxa"/>
            <w:tcBorders>
              <w:top w:val="nil"/>
              <w:left w:val="single" w:sz="4" w:space="0" w:color="auto"/>
              <w:bottom w:val="single" w:sz="4" w:space="0" w:color="auto"/>
              <w:right w:val="single" w:sz="4" w:space="0" w:color="auto"/>
            </w:tcBorders>
            <w:shd w:val="clear" w:color="auto" w:fill="auto"/>
            <w:noWrap/>
            <w:vAlign w:val="center"/>
            <w:hideMark/>
          </w:tcPr>
          <w:p w14:paraId="7E1A8BFC" w14:textId="77777777" w:rsidR="004A0B2E" w:rsidRPr="004A0B2E" w:rsidRDefault="004A0B2E" w:rsidP="004A0B2E">
            <w:pPr>
              <w:rPr>
                <w:rFonts w:ascii="Arial Narrow" w:hAnsi="Arial Narrow" w:cs="Arial"/>
                <w:b/>
                <w:bCs/>
                <w:sz w:val="16"/>
                <w:szCs w:val="16"/>
              </w:rPr>
            </w:pPr>
            <w:r w:rsidRPr="004A0B2E">
              <w:rPr>
                <w:rFonts w:ascii="Arial Narrow" w:hAnsi="Arial Narrow" w:cs="Arial"/>
                <w:b/>
                <w:bCs/>
                <w:sz w:val="16"/>
                <w:szCs w:val="16"/>
              </w:rPr>
              <w:t>19</w:t>
            </w:r>
          </w:p>
        </w:tc>
        <w:tc>
          <w:tcPr>
            <w:tcW w:w="5279" w:type="dxa"/>
            <w:tcBorders>
              <w:top w:val="nil"/>
              <w:left w:val="nil"/>
              <w:bottom w:val="single" w:sz="4" w:space="0" w:color="auto"/>
              <w:right w:val="single" w:sz="4" w:space="0" w:color="auto"/>
            </w:tcBorders>
            <w:shd w:val="clear" w:color="auto" w:fill="auto"/>
            <w:vAlign w:val="center"/>
            <w:hideMark/>
          </w:tcPr>
          <w:p w14:paraId="5B79308A" w14:textId="77777777" w:rsidR="004A0B2E" w:rsidRPr="004A0B2E" w:rsidRDefault="004A0B2E" w:rsidP="004A0B2E">
            <w:pPr>
              <w:rPr>
                <w:rFonts w:ascii="Arial Narrow" w:hAnsi="Arial Narrow" w:cs="Arial"/>
                <w:b/>
                <w:bCs/>
                <w:sz w:val="16"/>
                <w:szCs w:val="16"/>
              </w:rPr>
            </w:pPr>
            <w:r w:rsidRPr="004A0B2E">
              <w:rPr>
                <w:rFonts w:ascii="Arial Narrow" w:hAnsi="Arial Narrow" w:cs="Arial"/>
                <w:b/>
                <w:bCs/>
                <w:sz w:val="16"/>
                <w:szCs w:val="16"/>
              </w:rPr>
              <w:t xml:space="preserve">Междинно потребление </w:t>
            </w:r>
          </w:p>
        </w:tc>
        <w:tc>
          <w:tcPr>
            <w:tcW w:w="957" w:type="dxa"/>
            <w:tcBorders>
              <w:top w:val="nil"/>
              <w:left w:val="nil"/>
              <w:bottom w:val="single" w:sz="4" w:space="0" w:color="auto"/>
              <w:right w:val="single" w:sz="4" w:space="0" w:color="auto"/>
            </w:tcBorders>
            <w:shd w:val="clear" w:color="auto" w:fill="auto"/>
            <w:vAlign w:val="center"/>
            <w:hideMark/>
          </w:tcPr>
          <w:p w14:paraId="534810D9" w14:textId="77777777" w:rsidR="004A0B2E" w:rsidRPr="004A0B2E" w:rsidRDefault="004A0B2E" w:rsidP="004A0B2E">
            <w:pPr>
              <w:jc w:val="right"/>
              <w:rPr>
                <w:rFonts w:ascii="Arial Narrow" w:hAnsi="Arial Narrow" w:cs="Calibri"/>
                <w:b/>
                <w:bCs/>
                <w:sz w:val="16"/>
                <w:szCs w:val="16"/>
              </w:rPr>
            </w:pPr>
            <w:r w:rsidRPr="004A0B2E">
              <w:rPr>
                <w:rFonts w:ascii="Arial Narrow" w:hAnsi="Arial Narrow" w:cs="Calibri"/>
                <w:b/>
                <w:bCs/>
                <w:sz w:val="16"/>
                <w:szCs w:val="16"/>
              </w:rPr>
              <w:t>7 322,8</w:t>
            </w:r>
          </w:p>
        </w:tc>
        <w:tc>
          <w:tcPr>
            <w:tcW w:w="1118" w:type="dxa"/>
            <w:tcBorders>
              <w:top w:val="nil"/>
              <w:left w:val="nil"/>
              <w:bottom w:val="single" w:sz="4" w:space="0" w:color="auto"/>
              <w:right w:val="single" w:sz="4" w:space="0" w:color="auto"/>
            </w:tcBorders>
            <w:shd w:val="clear" w:color="auto" w:fill="auto"/>
            <w:vAlign w:val="center"/>
            <w:hideMark/>
          </w:tcPr>
          <w:p w14:paraId="0EBB3232" w14:textId="77777777" w:rsidR="004A0B2E" w:rsidRPr="004A0B2E" w:rsidRDefault="004A0B2E" w:rsidP="004A0B2E">
            <w:pPr>
              <w:jc w:val="right"/>
              <w:rPr>
                <w:rFonts w:ascii="Arial Narrow" w:hAnsi="Arial Narrow" w:cs="Calibri"/>
                <w:b/>
                <w:bCs/>
                <w:sz w:val="16"/>
                <w:szCs w:val="16"/>
              </w:rPr>
            </w:pPr>
            <w:r w:rsidRPr="004A0B2E">
              <w:rPr>
                <w:rFonts w:ascii="Arial Narrow" w:hAnsi="Arial Narrow" w:cs="Calibri"/>
                <w:b/>
                <w:bCs/>
                <w:sz w:val="16"/>
                <w:szCs w:val="16"/>
              </w:rPr>
              <w:t>-10,2</w:t>
            </w:r>
          </w:p>
        </w:tc>
        <w:tc>
          <w:tcPr>
            <w:tcW w:w="957" w:type="dxa"/>
            <w:tcBorders>
              <w:top w:val="nil"/>
              <w:left w:val="nil"/>
              <w:bottom w:val="single" w:sz="4" w:space="0" w:color="auto"/>
              <w:right w:val="single" w:sz="4" w:space="0" w:color="auto"/>
            </w:tcBorders>
            <w:shd w:val="clear" w:color="auto" w:fill="auto"/>
            <w:vAlign w:val="center"/>
            <w:hideMark/>
          </w:tcPr>
          <w:p w14:paraId="3E816814" w14:textId="77777777" w:rsidR="004A0B2E" w:rsidRPr="004A0B2E" w:rsidRDefault="004A0B2E" w:rsidP="004A0B2E">
            <w:pPr>
              <w:jc w:val="right"/>
              <w:rPr>
                <w:rFonts w:ascii="Arial Narrow" w:hAnsi="Arial Narrow" w:cs="Calibri"/>
                <w:b/>
                <w:bCs/>
                <w:sz w:val="16"/>
                <w:szCs w:val="16"/>
              </w:rPr>
            </w:pPr>
            <w:r w:rsidRPr="004A0B2E">
              <w:rPr>
                <w:rFonts w:ascii="Arial Narrow" w:hAnsi="Arial Narrow" w:cs="Calibri"/>
                <w:b/>
                <w:bCs/>
                <w:sz w:val="16"/>
                <w:szCs w:val="16"/>
              </w:rPr>
              <w:t>6 574,6</w:t>
            </w:r>
          </w:p>
        </w:tc>
        <w:tc>
          <w:tcPr>
            <w:tcW w:w="1256" w:type="dxa"/>
            <w:tcBorders>
              <w:top w:val="nil"/>
              <w:left w:val="nil"/>
              <w:bottom w:val="single" w:sz="4" w:space="0" w:color="auto"/>
              <w:right w:val="single" w:sz="4" w:space="0" w:color="auto"/>
            </w:tcBorders>
            <w:shd w:val="clear" w:color="auto" w:fill="auto"/>
            <w:vAlign w:val="center"/>
            <w:hideMark/>
          </w:tcPr>
          <w:p w14:paraId="05829EC9" w14:textId="77777777" w:rsidR="004A0B2E" w:rsidRPr="004A0B2E" w:rsidRDefault="004A0B2E" w:rsidP="004A0B2E">
            <w:pPr>
              <w:jc w:val="right"/>
              <w:rPr>
                <w:rFonts w:ascii="Arial Narrow" w:hAnsi="Arial Narrow" w:cs="Calibri"/>
                <w:b/>
                <w:bCs/>
                <w:sz w:val="16"/>
                <w:szCs w:val="16"/>
              </w:rPr>
            </w:pPr>
            <w:r w:rsidRPr="004A0B2E">
              <w:rPr>
                <w:rFonts w:ascii="Arial Narrow" w:hAnsi="Arial Narrow" w:cs="Calibri"/>
                <w:b/>
                <w:bCs/>
                <w:sz w:val="16"/>
                <w:szCs w:val="16"/>
              </w:rPr>
              <w:t>-10,3</w:t>
            </w:r>
          </w:p>
        </w:tc>
        <w:tc>
          <w:tcPr>
            <w:tcW w:w="872" w:type="dxa"/>
            <w:tcBorders>
              <w:top w:val="nil"/>
              <w:left w:val="nil"/>
              <w:bottom w:val="single" w:sz="4" w:space="0" w:color="auto"/>
              <w:right w:val="single" w:sz="4" w:space="0" w:color="auto"/>
            </w:tcBorders>
            <w:shd w:val="clear" w:color="auto" w:fill="auto"/>
            <w:vAlign w:val="center"/>
            <w:hideMark/>
          </w:tcPr>
          <w:p w14:paraId="7F123E7C" w14:textId="77777777" w:rsidR="004A0B2E" w:rsidRPr="004A0B2E" w:rsidRDefault="004A0B2E" w:rsidP="004A0B2E">
            <w:pPr>
              <w:jc w:val="right"/>
              <w:rPr>
                <w:rFonts w:ascii="Arial Narrow" w:hAnsi="Arial Narrow" w:cs="Calibri"/>
                <w:b/>
                <w:bCs/>
                <w:sz w:val="16"/>
                <w:szCs w:val="16"/>
              </w:rPr>
            </w:pPr>
            <w:r w:rsidRPr="004A0B2E">
              <w:rPr>
                <w:rFonts w:ascii="Arial Narrow" w:hAnsi="Arial Narrow" w:cs="Calibri"/>
                <w:b/>
                <w:bCs/>
                <w:sz w:val="16"/>
                <w:szCs w:val="16"/>
              </w:rPr>
              <w:t>5 896,1</w:t>
            </w:r>
          </w:p>
        </w:tc>
      </w:tr>
      <w:tr w:rsidR="004A0B2E" w:rsidRPr="00B10684" w14:paraId="652B3297" w14:textId="77777777" w:rsidTr="005A18A5">
        <w:trPr>
          <w:trHeight w:val="183"/>
        </w:trPr>
        <w:tc>
          <w:tcPr>
            <w:tcW w:w="757" w:type="dxa"/>
            <w:tcBorders>
              <w:top w:val="nil"/>
              <w:left w:val="single" w:sz="4" w:space="0" w:color="auto"/>
              <w:bottom w:val="single" w:sz="4" w:space="0" w:color="auto"/>
              <w:right w:val="single" w:sz="4" w:space="0" w:color="auto"/>
            </w:tcBorders>
            <w:shd w:val="clear" w:color="auto" w:fill="auto"/>
            <w:noWrap/>
            <w:vAlign w:val="center"/>
            <w:hideMark/>
          </w:tcPr>
          <w:p w14:paraId="269AC2FE" w14:textId="77777777" w:rsidR="004A0B2E" w:rsidRPr="004A0B2E" w:rsidRDefault="004A0B2E" w:rsidP="004A0B2E">
            <w:pPr>
              <w:rPr>
                <w:rFonts w:ascii="Arial Narrow" w:hAnsi="Arial Narrow" w:cs="Arial"/>
                <w:sz w:val="16"/>
                <w:szCs w:val="16"/>
              </w:rPr>
            </w:pPr>
            <w:r w:rsidRPr="004A0B2E">
              <w:rPr>
                <w:rFonts w:ascii="Arial Narrow" w:hAnsi="Arial Narrow" w:cs="Arial"/>
                <w:sz w:val="16"/>
                <w:szCs w:val="16"/>
              </w:rPr>
              <w:t> </w:t>
            </w:r>
          </w:p>
        </w:tc>
        <w:tc>
          <w:tcPr>
            <w:tcW w:w="5279" w:type="dxa"/>
            <w:tcBorders>
              <w:top w:val="nil"/>
              <w:left w:val="nil"/>
              <w:bottom w:val="single" w:sz="4" w:space="0" w:color="auto"/>
              <w:right w:val="single" w:sz="4" w:space="0" w:color="auto"/>
            </w:tcBorders>
            <w:shd w:val="clear" w:color="auto" w:fill="auto"/>
            <w:vAlign w:val="center"/>
            <w:hideMark/>
          </w:tcPr>
          <w:p w14:paraId="1A375E1F" w14:textId="77777777" w:rsidR="004A0B2E" w:rsidRPr="004A0B2E" w:rsidRDefault="004A0B2E" w:rsidP="004A0B2E">
            <w:pPr>
              <w:rPr>
                <w:rFonts w:ascii="Arial Narrow" w:hAnsi="Arial Narrow" w:cs="Arial"/>
                <w:sz w:val="16"/>
                <w:szCs w:val="16"/>
              </w:rPr>
            </w:pPr>
            <w:r w:rsidRPr="004A0B2E">
              <w:rPr>
                <w:rFonts w:ascii="Arial Narrow" w:hAnsi="Arial Narrow" w:cs="Arial"/>
                <w:sz w:val="16"/>
                <w:szCs w:val="16"/>
              </w:rPr>
              <w:t>Загуби</w:t>
            </w:r>
          </w:p>
        </w:tc>
        <w:tc>
          <w:tcPr>
            <w:tcW w:w="957" w:type="dxa"/>
            <w:tcBorders>
              <w:top w:val="nil"/>
              <w:left w:val="nil"/>
              <w:bottom w:val="single" w:sz="4" w:space="0" w:color="auto"/>
              <w:right w:val="single" w:sz="4" w:space="0" w:color="auto"/>
            </w:tcBorders>
            <w:shd w:val="clear" w:color="auto" w:fill="auto"/>
            <w:vAlign w:val="center"/>
            <w:hideMark/>
          </w:tcPr>
          <w:p w14:paraId="5922888D" w14:textId="77777777" w:rsidR="004A0B2E" w:rsidRPr="004A0B2E" w:rsidRDefault="004A0B2E" w:rsidP="004A0B2E">
            <w:pPr>
              <w:jc w:val="right"/>
              <w:rPr>
                <w:rFonts w:ascii="Arial Narrow" w:hAnsi="Arial Narrow" w:cs="Calibri"/>
                <w:sz w:val="16"/>
                <w:szCs w:val="16"/>
              </w:rPr>
            </w:pPr>
            <w:r w:rsidRPr="004A0B2E">
              <w:rPr>
                <w:rFonts w:ascii="Arial Narrow" w:hAnsi="Arial Narrow" w:cs="Calibri"/>
                <w:sz w:val="16"/>
                <w:szCs w:val="16"/>
              </w:rPr>
              <w:t>13,9</w:t>
            </w:r>
          </w:p>
        </w:tc>
        <w:tc>
          <w:tcPr>
            <w:tcW w:w="1118" w:type="dxa"/>
            <w:tcBorders>
              <w:top w:val="nil"/>
              <w:left w:val="nil"/>
              <w:bottom w:val="single" w:sz="4" w:space="0" w:color="auto"/>
              <w:right w:val="single" w:sz="4" w:space="0" w:color="auto"/>
            </w:tcBorders>
            <w:shd w:val="clear" w:color="auto" w:fill="auto"/>
            <w:vAlign w:val="center"/>
            <w:hideMark/>
          </w:tcPr>
          <w:p w14:paraId="1CDD7965" w14:textId="77777777" w:rsidR="004A0B2E" w:rsidRPr="004A0B2E" w:rsidRDefault="004A0B2E" w:rsidP="004A0B2E">
            <w:pPr>
              <w:jc w:val="right"/>
              <w:rPr>
                <w:rFonts w:ascii="Arial Narrow" w:hAnsi="Arial Narrow" w:cs="Calibri"/>
                <w:sz w:val="16"/>
                <w:szCs w:val="16"/>
              </w:rPr>
            </w:pPr>
            <w:r w:rsidRPr="004A0B2E">
              <w:rPr>
                <w:rFonts w:ascii="Arial Narrow" w:hAnsi="Arial Narrow" w:cs="Calibri"/>
                <w:sz w:val="16"/>
                <w:szCs w:val="16"/>
              </w:rPr>
              <w:t>-64,7</w:t>
            </w:r>
          </w:p>
        </w:tc>
        <w:tc>
          <w:tcPr>
            <w:tcW w:w="957" w:type="dxa"/>
            <w:tcBorders>
              <w:top w:val="nil"/>
              <w:left w:val="nil"/>
              <w:bottom w:val="single" w:sz="4" w:space="0" w:color="auto"/>
              <w:right w:val="single" w:sz="4" w:space="0" w:color="auto"/>
            </w:tcBorders>
            <w:shd w:val="clear" w:color="auto" w:fill="auto"/>
            <w:vAlign w:val="center"/>
            <w:hideMark/>
          </w:tcPr>
          <w:p w14:paraId="7786C7F1" w14:textId="77777777" w:rsidR="004A0B2E" w:rsidRPr="004A0B2E" w:rsidRDefault="004A0B2E" w:rsidP="004A0B2E">
            <w:pPr>
              <w:jc w:val="right"/>
              <w:rPr>
                <w:rFonts w:ascii="Arial Narrow" w:hAnsi="Arial Narrow" w:cs="Calibri"/>
                <w:sz w:val="16"/>
                <w:szCs w:val="16"/>
              </w:rPr>
            </w:pPr>
            <w:r w:rsidRPr="004A0B2E">
              <w:rPr>
                <w:rFonts w:ascii="Arial Narrow" w:hAnsi="Arial Narrow" w:cs="Calibri"/>
                <w:sz w:val="16"/>
                <w:szCs w:val="16"/>
              </w:rPr>
              <w:t>4,9</w:t>
            </w:r>
          </w:p>
        </w:tc>
        <w:tc>
          <w:tcPr>
            <w:tcW w:w="1256" w:type="dxa"/>
            <w:tcBorders>
              <w:top w:val="nil"/>
              <w:left w:val="nil"/>
              <w:bottom w:val="single" w:sz="4" w:space="0" w:color="auto"/>
              <w:right w:val="single" w:sz="4" w:space="0" w:color="auto"/>
            </w:tcBorders>
            <w:shd w:val="clear" w:color="auto" w:fill="auto"/>
            <w:vAlign w:val="center"/>
            <w:hideMark/>
          </w:tcPr>
          <w:p w14:paraId="08B167DC" w14:textId="77777777" w:rsidR="004A0B2E" w:rsidRPr="004A0B2E" w:rsidRDefault="004A0B2E" w:rsidP="004A0B2E">
            <w:pPr>
              <w:jc w:val="right"/>
              <w:rPr>
                <w:rFonts w:ascii="Arial Narrow" w:hAnsi="Arial Narrow" w:cs="Calibri"/>
                <w:sz w:val="16"/>
                <w:szCs w:val="16"/>
              </w:rPr>
            </w:pPr>
            <w:r w:rsidRPr="004A0B2E">
              <w:rPr>
                <w:rFonts w:ascii="Arial Narrow" w:hAnsi="Arial Narrow" w:cs="Calibri"/>
                <w:sz w:val="16"/>
                <w:szCs w:val="16"/>
              </w:rPr>
              <w:t>-6,1</w:t>
            </w:r>
          </w:p>
        </w:tc>
        <w:tc>
          <w:tcPr>
            <w:tcW w:w="872" w:type="dxa"/>
            <w:tcBorders>
              <w:top w:val="nil"/>
              <w:left w:val="nil"/>
              <w:bottom w:val="single" w:sz="4" w:space="0" w:color="auto"/>
              <w:right w:val="single" w:sz="4" w:space="0" w:color="auto"/>
            </w:tcBorders>
            <w:shd w:val="clear" w:color="auto" w:fill="auto"/>
            <w:vAlign w:val="center"/>
            <w:hideMark/>
          </w:tcPr>
          <w:p w14:paraId="18EA076A" w14:textId="77777777" w:rsidR="004A0B2E" w:rsidRPr="004A0B2E" w:rsidRDefault="004A0B2E" w:rsidP="004A0B2E">
            <w:pPr>
              <w:jc w:val="right"/>
              <w:rPr>
                <w:rFonts w:ascii="Arial Narrow" w:hAnsi="Arial Narrow" w:cs="Calibri"/>
                <w:sz w:val="16"/>
                <w:szCs w:val="16"/>
              </w:rPr>
            </w:pPr>
            <w:r w:rsidRPr="004A0B2E">
              <w:rPr>
                <w:rFonts w:ascii="Arial Narrow" w:hAnsi="Arial Narrow" w:cs="Calibri"/>
                <w:sz w:val="16"/>
                <w:szCs w:val="16"/>
              </w:rPr>
              <w:t>4,6</w:t>
            </w:r>
          </w:p>
        </w:tc>
      </w:tr>
      <w:tr w:rsidR="004A0B2E" w:rsidRPr="00B10684" w14:paraId="4AE21566" w14:textId="77777777" w:rsidTr="005A18A5">
        <w:trPr>
          <w:trHeight w:val="183"/>
        </w:trPr>
        <w:tc>
          <w:tcPr>
            <w:tcW w:w="757" w:type="dxa"/>
            <w:tcBorders>
              <w:top w:val="nil"/>
              <w:left w:val="single" w:sz="4" w:space="0" w:color="auto"/>
              <w:bottom w:val="single" w:sz="4" w:space="0" w:color="auto"/>
              <w:right w:val="single" w:sz="4" w:space="0" w:color="auto"/>
            </w:tcBorders>
            <w:shd w:val="clear" w:color="auto" w:fill="auto"/>
            <w:noWrap/>
            <w:vAlign w:val="center"/>
            <w:hideMark/>
          </w:tcPr>
          <w:p w14:paraId="4540B6D4" w14:textId="77777777" w:rsidR="004A0B2E" w:rsidRPr="004A0B2E" w:rsidRDefault="004A0B2E" w:rsidP="004A0B2E">
            <w:pPr>
              <w:rPr>
                <w:rFonts w:ascii="Arial Narrow" w:hAnsi="Arial Narrow" w:cs="Arial"/>
                <w:sz w:val="16"/>
                <w:szCs w:val="16"/>
              </w:rPr>
            </w:pPr>
            <w:r w:rsidRPr="004A0B2E">
              <w:rPr>
                <w:rFonts w:ascii="Arial Narrow" w:hAnsi="Arial Narrow" w:cs="Arial"/>
                <w:sz w:val="16"/>
                <w:szCs w:val="16"/>
              </w:rPr>
              <w:t>19.01</w:t>
            </w:r>
          </w:p>
        </w:tc>
        <w:tc>
          <w:tcPr>
            <w:tcW w:w="5279" w:type="dxa"/>
            <w:tcBorders>
              <w:top w:val="nil"/>
              <w:left w:val="nil"/>
              <w:bottom w:val="single" w:sz="4" w:space="0" w:color="auto"/>
              <w:right w:val="single" w:sz="4" w:space="0" w:color="auto"/>
            </w:tcBorders>
            <w:shd w:val="clear" w:color="auto" w:fill="auto"/>
            <w:vAlign w:val="center"/>
            <w:hideMark/>
          </w:tcPr>
          <w:p w14:paraId="5EB2B30A" w14:textId="77777777" w:rsidR="004A0B2E" w:rsidRPr="004A0B2E" w:rsidRDefault="004A0B2E" w:rsidP="004A0B2E">
            <w:pPr>
              <w:rPr>
                <w:rFonts w:ascii="Arial Narrow" w:hAnsi="Arial Narrow" w:cs="Arial"/>
                <w:sz w:val="16"/>
                <w:szCs w:val="16"/>
              </w:rPr>
            </w:pPr>
            <w:r w:rsidRPr="004A0B2E">
              <w:rPr>
                <w:rFonts w:ascii="Arial Narrow" w:hAnsi="Arial Narrow" w:cs="Arial"/>
                <w:sz w:val="16"/>
                <w:szCs w:val="16"/>
              </w:rPr>
              <w:t>Семена и посадъчен материал</w:t>
            </w:r>
          </w:p>
        </w:tc>
        <w:tc>
          <w:tcPr>
            <w:tcW w:w="957" w:type="dxa"/>
            <w:tcBorders>
              <w:top w:val="nil"/>
              <w:left w:val="nil"/>
              <w:bottom w:val="single" w:sz="4" w:space="0" w:color="auto"/>
              <w:right w:val="single" w:sz="4" w:space="0" w:color="auto"/>
            </w:tcBorders>
            <w:shd w:val="clear" w:color="auto" w:fill="auto"/>
            <w:vAlign w:val="center"/>
            <w:hideMark/>
          </w:tcPr>
          <w:p w14:paraId="088B602D" w14:textId="77777777" w:rsidR="004A0B2E" w:rsidRPr="004A0B2E" w:rsidRDefault="004A0B2E" w:rsidP="004A0B2E">
            <w:pPr>
              <w:jc w:val="right"/>
              <w:rPr>
                <w:rFonts w:ascii="Arial Narrow" w:hAnsi="Arial Narrow" w:cs="Calibri"/>
                <w:sz w:val="16"/>
                <w:szCs w:val="16"/>
              </w:rPr>
            </w:pPr>
            <w:r w:rsidRPr="004A0B2E">
              <w:rPr>
                <w:rFonts w:ascii="Arial Narrow" w:hAnsi="Arial Narrow" w:cs="Calibri"/>
                <w:sz w:val="16"/>
                <w:szCs w:val="16"/>
              </w:rPr>
              <w:t>508,0</w:t>
            </w:r>
          </w:p>
        </w:tc>
        <w:tc>
          <w:tcPr>
            <w:tcW w:w="1118" w:type="dxa"/>
            <w:tcBorders>
              <w:top w:val="nil"/>
              <w:left w:val="nil"/>
              <w:bottom w:val="single" w:sz="4" w:space="0" w:color="auto"/>
              <w:right w:val="single" w:sz="4" w:space="0" w:color="auto"/>
            </w:tcBorders>
            <w:shd w:val="clear" w:color="auto" w:fill="auto"/>
            <w:vAlign w:val="center"/>
            <w:hideMark/>
          </w:tcPr>
          <w:p w14:paraId="65F55425" w14:textId="77777777" w:rsidR="004A0B2E" w:rsidRPr="004A0B2E" w:rsidRDefault="004A0B2E" w:rsidP="004A0B2E">
            <w:pPr>
              <w:jc w:val="right"/>
              <w:rPr>
                <w:rFonts w:ascii="Arial Narrow" w:hAnsi="Arial Narrow" w:cs="Calibri"/>
                <w:sz w:val="16"/>
                <w:szCs w:val="16"/>
              </w:rPr>
            </w:pPr>
            <w:r w:rsidRPr="004A0B2E">
              <w:rPr>
                <w:rFonts w:ascii="Arial Narrow" w:hAnsi="Arial Narrow" w:cs="Calibri"/>
                <w:sz w:val="16"/>
                <w:szCs w:val="16"/>
              </w:rPr>
              <w:t>-4,9</w:t>
            </w:r>
          </w:p>
        </w:tc>
        <w:tc>
          <w:tcPr>
            <w:tcW w:w="957" w:type="dxa"/>
            <w:tcBorders>
              <w:top w:val="nil"/>
              <w:left w:val="nil"/>
              <w:bottom w:val="single" w:sz="4" w:space="0" w:color="auto"/>
              <w:right w:val="single" w:sz="4" w:space="0" w:color="auto"/>
            </w:tcBorders>
            <w:shd w:val="clear" w:color="auto" w:fill="auto"/>
            <w:vAlign w:val="center"/>
            <w:hideMark/>
          </w:tcPr>
          <w:p w14:paraId="0FA9F951" w14:textId="77777777" w:rsidR="004A0B2E" w:rsidRPr="004A0B2E" w:rsidRDefault="004A0B2E" w:rsidP="004A0B2E">
            <w:pPr>
              <w:jc w:val="right"/>
              <w:rPr>
                <w:rFonts w:ascii="Arial Narrow" w:hAnsi="Arial Narrow" w:cs="Calibri"/>
                <w:sz w:val="16"/>
                <w:szCs w:val="16"/>
              </w:rPr>
            </w:pPr>
            <w:r w:rsidRPr="004A0B2E">
              <w:rPr>
                <w:rFonts w:ascii="Arial Narrow" w:hAnsi="Arial Narrow" w:cs="Calibri"/>
                <w:sz w:val="16"/>
                <w:szCs w:val="16"/>
              </w:rPr>
              <w:t>483,2</w:t>
            </w:r>
          </w:p>
        </w:tc>
        <w:tc>
          <w:tcPr>
            <w:tcW w:w="1256" w:type="dxa"/>
            <w:tcBorders>
              <w:top w:val="nil"/>
              <w:left w:val="nil"/>
              <w:bottom w:val="single" w:sz="4" w:space="0" w:color="auto"/>
              <w:right w:val="single" w:sz="4" w:space="0" w:color="auto"/>
            </w:tcBorders>
            <w:shd w:val="clear" w:color="auto" w:fill="auto"/>
            <w:vAlign w:val="center"/>
            <w:hideMark/>
          </w:tcPr>
          <w:p w14:paraId="06CE6528" w14:textId="77777777" w:rsidR="004A0B2E" w:rsidRPr="004A0B2E" w:rsidRDefault="004A0B2E" w:rsidP="004A0B2E">
            <w:pPr>
              <w:jc w:val="right"/>
              <w:rPr>
                <w:rFonts w:ascii="Arial Narrow" w:hAnsi="Arial Narrow" w:cs="Calibri"/>
                <w:sz w:val="16"/>
                <w:szCs w:val="16"/>
              </w:rPr>
            </w:pPr>
            <w:r w:rsidRPr="004A0B2E">
              <w:rPr>
                <w:rFonts w:ascii="Arial Narrow" w:hAnsi="Arial Narrow" w:cs="Calibri"/>
                <w:sz w:val="16"/>
                <w:szCs w:val="16"/>
              </w:rPr>
              <w:t>3,3</w:t>
            </w:r>
          </w:p>
        </w:tc>
        <w:tc>
          <w:tcPr>
            <w:tcW w:w="872" w:type="dxa"/>
            <w:tcBorders>
              <w:top w:val="nil"/>
              <w:left w:val="nil"/>
              <w:bottom w:val="single" w:sz="4" w:space="0" w:color="auto"/>
              <w:right w:val="single" w:sz="4" w:space="0" w:color="auto"/>
            </w:tcBorders>
            <w:shd w:val="clear" w:color="auto" w:fill="auto"/>
            <w:vAlign w:val="center"/>
            <w:hideMark/>
          </w:tcPr>
          <w:p w14:paraId="370B6302" w14:textId="77777777" w:rsidR="004A0B2E" w:rsidRPr="004A0B2E" w:rsidRDefault="004A0B2E" w:rsidP="004A0B2E">
            <w:pPr>
              <w:jc w:val="right"/>
              <w:rPr>
                <w:rFonts w:ascii="Arial Narrow" w:hAnsi="Arial Narrow" w:cs="Calibri"/>
                <w:sz w:val="16"/>
                <w:szCs w:val="16"/>
              </w:rPr>
            </w:pPr>
            <w:r w:rsidRPr="004A0B2E">
              <w:rPr>
                <w:rFonts w:ascii="Arial Narrow" w:hAnsi="Arial Narrow" w:cs="Calibri"/>
                <w:sz w:val="16"/>
                <w:szCs w:val="16"/>
              </w:rPr>
              <w:t>499,0</w:t>
            </w:r>
          </w:p>
        </w:tc>
      </w:tr>
      <w:tr w:rsidR="004A0B2E" w:rsidRPr="00B10684" w14:paraId="1B359F76" w14:textId="77777777" w:rsidTr="005A18A5">
        <w:trPr>
          <w:trHeight w:val="183"/>
        </w:trPr>
        <w:tc>
          <w:tcPr>
            <w:tcW w:w="757" w:type="dxa"/>
            <w:tcBorders>
              <w:top w:val="nil"/>
              <w:left w:val="single" w:sz="4" w:space="0" w:color="auto"/>
              <w:bottom w:val="single" w:sz="4" w:space="0" w:color="auto"/>
              <w:right w:val="single" w:sz="4" w:space="0" w:color="auto"/>
            </w:tcBorders>
            <w:shd w:val="clear" w:color="auto" w:fill="auto"/>
            <w:noWrap/>
            <w:vAlign w:val="center"/>
            <w:hideMark/>
          </w:tcPr>
          <w:p w14:paraId="5E5BC371" w14:textId="77777777" w:rsidR="004A0B2E" w:rsidRPr="004A0B2E" w:rsidRDefault="004A0B2E" w:rsidP="004A0B2E">
            <w:pPr>
              <w:rPr>
                <w:rFonts w:ascii="Arial Narrow" w:hAnsi="Arial Narrow" w:cs="Arial"/>
                <w:sz w:val="16"/>
                <w:szCs w:val="16"/>
              </w:rPr>
            </w:pPr>
            <w:r w:rsidRPr="004A0B2E">
              <w:rPr>
                <w:rFonts w:ascii="Arial Narrow" w:hAnsi="Arial Narrow" w:cs="Arial"/>
                <w:sz w:val="16"/>
                <w:szCs w:val="16"/>
              </w:rPr>
              <w:t>19.01/1</w:t>
            </w:r>
          </w:p>
        </w:tc>
        <w:tc>
          <w:tcPr>
            <w:tcW w:w="5279" w:type="dxa"/>
            <w:tcBorders>
              <w:top w:val="nil"/>
              <w:left w:val="nil"/>
              <w:bottom w:val="single" w:sz="4" w:space="0" w:color="auto"/>
              <w:right w:val="single" w:sz="4" w:space="0" w:color="auto"/>
            </w:tcBorders>
            <w:shd w:val="clear" w:color="auto" w:fill="auto"/>
            <w:vAlign w:val="center"/>
            <w:hideMark/>
          </w:tcPr>
          <w:p w14:paraId="0165BAA5" w14:textId="77777777" w:rsidR="004A0B2E" w:rsidRPr="004A0B2E" w:rsidRDefault="004A0B2E" w:rsidP="00CD44F3">
            <w:pPr>
              <w:ind w:firstLine="154"/>
              <w:rPr>
                <w:rFonts w:ascii="Arial Narrow" w:hAnsi="Arial Narrow" w:cs="Arial"/>
                <w:sz w:val="16"/>
                <w:szCs w:val="16"/>
              </w:rPr>
            </w:pPr>
            <w:r w:rsidRPr="004A0B2E">
              <w:rPr>
                <w:rFonts w:ascii="Arial Narrow" w:hAnsi="Arial Narrow" w:cs="Arial"/>
                <w:sz w:val="16"/>
                <w:szCs w:val="16"/>
              </w:rPr>
              <w:t>доставено от други селскостопански предприятия</w:t>
            </w:r>
          </w:p>
        </w:tc>
        <w:tc>
          <w:tcPr>
            <w:tcW w:w="957" w:type="dxa"/>
            <w:tcBorders>
              <w:top w:val="nil"/>
              <w:left w:val="nil"/>
              <w:bottom w:val="single" w:sz="4" w:space="0" w:color="auto"/>
              <w:right w:val="single" w:sz="4" w:space="0" w:color="auto"/>
            </w:tcBorders>
            <w:shd w:val="clear" w:color="auto" w:fill="auto"/>
            <w:vAlign w:val="center"/>
            <w:hideMark/>
          </w:tcPr>
          <w:p w14:paraId="36B5F155" w14:textId="77777777" w:rsidR="004A0B2E" w:rsidRPr="004A0B2E" w:rsidRDefault="004A0B2E" w:rsidP="004A0B2E">
            <w:pPr>
              <w:jc w:val="right"/>
              <w:rPr>
                <w:rFonts w:ascii="Arial Narrow" w:hAnsi="Arial Narrow" w:cs="Calibri"/>
                <w:sz w:val="16"/>
                <w:szCs w:val="16"/>
              </w:rPr>
            </w:pPr>
            <w:r w:rsidRPr="004A0B2E">
              <w:rPr>
                <w:rFonts w:ascii="Arial Narrow" w:hAnsi="Arial Narrow" w:cs="Calibri"/>
                <w:sz w:val="16"/>
                <w:szCs w:val="16"/>
              </w:rPr>
              <w:t>49,0</w:t>
            </w:r>
          </w:p>
        </w:tc>
        <w:tc>
          <w:tcPr>
            <w:tcW w:w="1118" w:type="dxa"/>
            <w:tcBorders>
              <w:top w:val="nil"/>
              <w:left w:val="nil"/>
              <w:bottom w:val="single" w:sz="4" w:space="0" w:color="auto"/>
              <w:right w:val="single" w:sz="4" w:space="0" w:color="auto"/>
            </w:tcBorders>
            <w:shd w:val="clear" w:color="auto" w:fill="auto"/>
            <w:vAlign w:val="center"/>
            <w:hideMark/>
          </w:tcPr>
          <w:p w14:paraId="7CF815DB" w14:textId="77777777" w:rsidR="004A0B2E" w:rsidRPr="004A0B2E" w:rsidRDefault="004A0B2E" w:rsidP="004A0B2E">
            <w:pPr>
              <w:jc w:val="right"/>
              <w:rPr>
                <w:rFonts w:ascii="Arial Narrow" w:hAnsi="Arial Narrow" w:cs="Calibri"/>
                <w:sz w:val="16"/>
                <w:szCs w:val="16"/>
              </w:rPr>
            </w:pPr>
            <w:r w:rsidRPr="004A0B2E">
              <w:rPr>
                <w:rFonts w:ascii="Arial Narrow" w:hAnsi="Arial Narrow" w:cs="Calibri"/>
                <w:sz w:val="16"/>
                <w:szCs w:val="16"/>
              </w:rPr>
              <w:t>39,2</w:t>
            </w:r>
          </w:p>
        </w:tc>
        <w:tc>
          <w:tcPr>
            <w:tcW w:w="957" w:type="dxa"/>
            <w:tcBorders>
              <w:top w:val="nil"/>
              <w:left w:val="nil"/>
              <w:bottom w:val="single" w:sz="4" w:space="0" w:color="auto"/>
              <w:right w:val="single" w:sz="4" w:space="0" w:color="auto"/>
            </w:tcBorders>
            <w:shd w:val="clear" w:color="auto" w:fill="auto"/>
            <w:vAlign w:val="center"/>
            <w:hideMark/>
          </w:tcPr>
          <w:p w14:paraId="546B5EE7" w14:textId="77777777" w:rsidR="004A0B2E" w:rsidRPr="004A0B2E" w:rsidRDefault="004A0B2E" w:rsidP="004A0B2E">
            <w:pPr>
              <w:jc w:val="right"/>
              <w:rPr>
                <w:rFonts w:ascii="Arial Narrow" w:hAnsi="Arial Narrow" w:cs="Calibri"/>
                <w:sz w:val="16"/>
                <w:szCs w:val="16"/>
              </w:rPr>
            </w:pPr>
            <w:r w:rsidRPr="004A0B2E">
              <w:rPr>
                <w:rFonts w:ascii="Arial Narrow" w:hAnsi="Arial Narrow" w:cs="Calibri"/>
                <w:sz w:val="16"/>
                <w:szCs w:val="16"/>
              </w:rPr>
              <w:t>68,2</w:t>
            </w:r>
          </w:p>
        </w:tc>
        <w:tc>
          <w:tcPr>
            <w:tcW w:w="1256" w:type="dxa"/>
            <w:tcBorders>
              <w:top w:val="nil"/>
              <w:left w:val="nil"/>
              <w:bottom w:val="single" w:sz="4" w:space="0" w:color="auto"/>
              <w:right w:val="single" w:sz="4" w:space="0" w:color="auto"/>
            </w:tcBorders>
            <w:shd w:val="clear" w:color="auto" w:fill="auto"/>
            <w:vAlign w:val="center"/>
            <w:hideMark/>
          </w:tcPr>
          <w:p w14:paraId="3624B6EF" w14:textId="77777777" w:rsidR="004A0B2E" w:rsidRPr="004A0B2E" w:rsidRDefault="004A0B2E" w:rsidP="004A0B2E">
            <w:pPr>
              <w:jc w:val="right"/>
              <w:rPr>
                <w:rFonts w:ascii="Arial Narrow" w:hAnsi="Arial Narrow" w:cs="Calibri"/>
                <w:sz w:val="16"/>
                <w:szCs w:val="16"/>
              </w:rPr>
            </w:pPr>
            <w:r w:rsidRPr="004A0B2E">
              <w:rPr>
                <w:rFonts w:ascii="Arial Narrow" w:hAnsi="Arial Narrow" w:cs="Calibri"/>
                <w:sz w:val="16"/>
                <w:szCs w:val="16"/>
              </w:rPr>
              <w:t>5,0</w:t>
            </w:r>
          </w:p>
        </w:tc>
        <w:tc>
          <w:tcPr>
            <w:tcW w:w="872" w:type="dxa"/>
            <w:tcBorders>
              <w:top w:val="nil"/>
              <w:left w:val="nil"/>
              <w:bottom w:val="single" w:sz="4" w:space="0" w:color="auto"/>
              <w:right w:val="single" w:sz="4" w:space="0" w:color="auto"/>
            </w:tcBorders>
            <w:shd w:val="clear" w:color="auto" w:fill="auto"/>
            <w:vAlign w:val="center"/>
            <w:hideMark/>
          </w:tcPr>
          <w:p w14:paraId="398AC1B2" w14:textId="77777777" w:rsidR="004A0B2E" w:rsidRPr="004A0B2E" w:rsidRDefault="004A0B2E" w:rsidP="004A0B2E">
            <w:pPr>
              <w:jc w:val="right"/>
              <w:rPr>
                <w:rFonts w:ascii="Arial Narrow" w:hAnsi="Arial Narrow" w:cs="Calibri"/>
                <w:sz w:val="16"/>
                <w:szCs w:val="16"/>
              </w:rPr>
            </w:pPr>
            <w:r w:rsidRPr="004A0B2E">
              <w:rPr>
                <w:rFonts w:ascii="Arial Narrow" w:hAnsi="Arial Narrow" w:cs="Calibri"/>
                <w:sz w:val="16"/>
                <w:szCs w:val="16"/>
              </w:rPr>
              <w:t>71,6</w:t>
            </w:r>
          </w:p>
        </w:tc>
      </w:tr>
      <w:tr w:rsidR="004A0B2E" w:rsidRPr="00B10684" w14:paraId="68623A60" w14:textId="77777777" w:rsidTr="005A18A5">
        <w:trPr>
          <w:trHeight w:val="183"/>
        </w:trPr>
        <w:tc>
          <w:tcPr>
            <w:tcW w:w="757" w:type="dxa"/>
            <w:tcBorders>
              <w:top w:val="nil"/>
              <w:left w:val="single" w:sz="4" w:space="0" w:color="auto"/>
              <w:bottom w:val="single" w:sz="4" w:space="0" w:color="auto"/>
              <w:right w:val="single" w:sz="4" w:space="0" w:color="auto"/>
            </w:tcBorders>
            <w:shd w:val="clear" w:color="auto" w:fill="auto"/>
            <w:noWrap/>
            <w:vAlign w:val="center"/>
            <w:hideMark/>
          </w:tcPr>
          <w:p w14:paraId="73332484" w14:textId="77777777" w:rsidR="004A0B2E" w:rsidRPr="004A0B2E" w:rsidRDefault="004A0B2E" w:rsidP="004A0B2E">
            <w:pPr>
              <w:rPr>
                <w:rFonts w:ascii="Arial Narrow" w:hAnsi="Arial Narrow" w:cs="Arial"/>
                <w:sz w:val="16"/>
                <w:szCs w:val="16"/>
              </w:rPr>
            </w:pPr>
            <w:r w:rsidRPr="004A0B2E">
              <w:rPr>
                <w:rFonts w:ascii="Arial Narrow" w:hAnsi="Arial Narrow" w:cs="Arial"/>
                <w:sz w:val="16"/>
                <w:szCs w:val="16"/>
              </w:rPr>
              <w:t>19.01/2</w:t>
            </w:r>
          </w:p>
        </w:tc>
        <w:tc>
          <w:tcPr>
            <w:tcW w:w="5279" w:type="dxa"/>
            <w:tcBorders>
              <w:top w:val="nil"/>
              <w:left w:val="nil"/>
              <w:bottom w:val="single" w:sz="4" w:space="0" w:color="auto"/>
              <w:right w:val="single" w:sz="4" w:space="0" w:color="auto"/>
            </w:tcBorders>
            <w:shd w:val="clear" w:color="auto" w:fill="auto"/>
            <w:vAlign w:val="center"/>
            <w:hideMark/>
          </w:tcPr>
          <w:p w14:paraId="0C0CD411" w14:textId="77777777" w:rsidR="004A0B2E" w:rsidRPr="004A0B2E" w:rsidRDefault="004A0B2E" w:rsidP="00CD44F3">
            <w:pPr>
              <w:ind w:firstLine="154"/>
              <w:rPr>
                <w:rFonts w:ascii="Arial Narrow" w:hAnsi="Arial Narrow" w:cs="Arial"/>
                <w:sz w:val="16"/>
                <w:szCs w:val="16"/>
              </w:rPr>
            </w:pPr>
            <w:r w:rsidRPr="004A0B2E">
              <w:rPr>
                <w:rFonts w:ascii="Arial Narrow" w:hAnsi="Arial Narrow" w:cs="Arial"/>
                <w:sz w:val="16"/>
                <w:szCs w:val="16"/>
              </w:rPr>
              <w:t>закупено извън сектора</w:t>
            </w:r>
          </w:p>
        </w:tc>
        <w:tc>
          <w:tcPr>
            <w:tcW w:w="957" w:type="dxa"/>
            <w:tcBorders>
              <w:top w:val="nil"/>
              <w:left w:val="nil"/>
              <w:bottom w:val="single" w:sz="4" w:space="0" w:color="auto"/>
              <w:right w:val="single" w:sz="4" w:space="0" w:color="auto"/>
            </w:tcBorders>
            <w:shd w:val="clear" w:color="auto" w:fill="auto"/>
            <w:vAlign w:val="center"/>
            <w:hideMark/>
          </w:tcPr>
          <w:p w14:paraId="63304A3E" w14:textId="77777777" w:rsidR="004A0B2E" w:rsidRPr="004A0B2E" w:rsidRDefault="004A0B2E" w:rsidP="004A0B2E">
            <w:pPr>
              <w:jc w:val="right"/>
              <w:rPr>
                <w:rFonts w:ascii="Arial Narrow" w:hAnsi="Arial Narrow" w:cs="Calibri"/>
                <w:sz w:val="16"/>
                <w:szCs w:val="16"/>
              </w:rPr>
            </w:pPr>
            <w:r w:rsidRPr="004A0B2E">
              <w:rPr>
                <w:rFonts w:ascii="Arial Narrow" w:hAnsi="Arial Narrow" w:cs="Calibri"/>
                <w:sz w:val="16"/>
                <w:szCs w:val="16"/>
              </w:rPr>
              <w:t>276,8</w:t>
            </w:r>
          </w:p>
        </w:tc>
        <w:tc>
          <w:tcPr>
            <w:tcW w:w="1118" w:type="dxa"/>
            <w:tcBorders>
              <w:top w:val="nil"/>
              <w:left w:val="nil"/>
              <w:bottom w:val="single" w:sz="4" w:space="0" w:color="auto"/>
              <w:right w:val="single" w:sz="4" w:space="0" w:color="auto"/>
            </w:tcBorders>
            <w:shd w:val="clear" w:color="auto" w:fill="auto"/>
            <w:vAlign w:val="center"/>
            <w:hideMark/>
          </w:tcPr>
          <w:p w14:paraId="4E9D23F5" w14:textId="77777777" w:rsidR="004A0B2E" w:rsidRPr="004A0B2E" w:rsidRDefault="004A0B2E" w:rsidP="004A0B2E">
            <w:pPr>
              <w:jc w:val="right"/>
              <w:rPr>
                <w:rFonts w:ascii="Arial Narrow" w:hAnsi="Arial Narrow" w:cs="Calibri"/>
                <w:sz w:val="16"/>
                <w:szCs w:val="16"/>
              </w:rPr>
            </w:pPr>
            <w:r w:rsidRPr="004A0B2E">
              <w:rPr>
                <w:rFonts w:ascii="Arial Narrow" w:hAnsi="Arial Narrow" w:cs="Calibri"/>
                <w:sz w:val="16"/>
                <w:szCs w:val="16"/>
              </w:rPr>
              <w:t>13,0</w:t>
            </w:r>
          </w:p>
        </w:tc>
        <w:tc>
          <w:tcPr>
            <w:tcW w:w="957" w:type="dxa"/>
            <w:tcBorders>
              <w:top w:val="nil"/>
              <w:left w:val="nil"/>
              <w:bottom w:val="single" w:sz="4" w:space="0" w:color="auto"/>
              <w:right w:val="single" w:sz="4" w:space="0" w:color="auto"/>
            </w:tcBorders>
            <w:shd w:val="clear" w:color="auto" w:fill="auto"/>
            <w:vAlign w:val="center"/>
            <w:hideMark/>
          </w:tcPr>
          <w:p w14:paraId="7D795C5F" w14:textId="77777777" w:rsidR="004A0B2E" w:rsidRPr="004A0B2E" w:rsidRDefault="004A0B2E" w:rsidP="004A0B2E">
            <w:pPr>
              <w:jc w:val="right"/>
              <w:rPr>
                <w:rFonts w:ascii="Arial Narrow" w:hAnsi="Arial Narrow" w:cs="Calibri"/>
                <w:sz w:val="16"/>
                <w:szCs w:val="16"/>
              </w:rPr>
            </w:pPr>
            <w:r w:rsidRPr="004A0B2E">
              <w:rPr>
                <w:rFonts w:ascii="Arial Narrow" w:hAnsi="Arial Narrow" w:cs="Calibri"/>
                <w:sz w:val="16"/>
                <w:szCs w:val="16"/>
              </w:rPr>
              <w:t>312,7</w:t>
            </w:r>
          </w:p>
        </w:tc>
        <w:tc>
          <w:tcPr>
            <w:tcW w:w="1256" w:type="dxa"/>
            <w:tcBorders>
              <w:top w:val="nil"/>
              <w:left w:val="nil"/>
              <w:bottom w:val="single" w:sz="4" w:space="0" w:color="auto"/>
              <w:right w:val="single" w:sz="4" w:space="0" w:color="auto"/>
            </w:tcBorders>
            <w:shd w:val="clear" w:color="auto" w:fill="auto"/>
            <w:vAlign w:val="center"/>
            <w:hideMark/>
          </w:tcPr>
          <w:p w14:paraId="33D997B5" w14:textId="77777777" w:rsidR="004A0B2E" w:rsidRPr="004A0B2E" w:rsidRDefault="004A0B2E" w:rsidP="004A0B2E">
            <w:pPr>
              <w:jc w:val="right"/>
              <w:rPr>
                <w:rFonts w:ascii="Arial Narrow" w:hAnsi="Arial Narrow" w:cs="Calibri"/>
                <w:sz w:val="16"/>
                <w:szCs w:val="16"/>
              </w:rPr>
            </w:pPr>
            <w:r w:rsidRPr="004A0B2E">
              <w:rPr>
                <w:rFonts w:ascii="Arial Narrow" w:hAnsi="Arial Narrow" w:cs="Calibri"/>
                <w:sz w:val="16"/>
                <w:szCs w:val="16"/>
              </w:rPr>
              <w:t>3,4</w:t>
            </w:r>
          </w:p>
        </w:tc>
        <w:tc>
          <w:tcPr>
            <w:tcW w:w="872" w:type="dxa"/>
            <w:tcBorders>
              <w:top w:val="nil"/>
              <w:left w:val="nil"/>
              <w:bottom w:val="single" w:sz="4" w:space="0" w:color="auto"/>
              <w:right w:val="single" w:sz="4" w:space="0" w:color="auto"/>
            </w:tcBorders>
            <w:shd w:val="clear" w:color="auto" w:fill="auto"/>
            <w:vAlign w:val="center"/>
            <w:hideMark/>
          </w:tcPr>
          <w:p w14:paraId="3D9DC382" w14:textId="77777777" w:rsidR="004A0B2E" w:rsidRPr="004A0B2E" w:rsidRDefault="004A0B2E" w:rsidP="004A0B2E">
            <w:pPr>
              <w:jc w:val="right"/>
              <w:rPr>
                <w:rFonts w:ascii="Arial Narrow" w:hAnsi="Arial Narrow" w:cs="Calibri"/>
                <w:sz w:val="16"/>
                <w:szCs w:val="16"/>
              </w:rPr>
            </w:pPr>
            <w:r w:rsidRPr="004A0B2E">
              <w:rPr>
                <w:rFonts w:ascii="Arial Narrow" w:hAnsi="Arial Narrow" w:cs="Calibri"/>
                <w:sz w:val="16"/>
                <w:szCs w:val="16"/>
              </w:rPr>
              <w:t>323,2</w:t>
            </w:r>
          </w:p>
        </w:tc>
      </w:tr>
      <w:tr w:rsidR="004A0B2E" w:rsidRPr="00B10684" w14:paraId="6575B064" w14:textId="77777777" w:rsidTr="005A18A5">
        <w:trPr>
          <w:trHeight w:val="140"/>
        </w:trPr>
        <w:tc>
          <w:tcPr>
            <w:tcW w:w="757" w:type="dxa"/>
            <w:tcBorders>
              <w:top w:val="nil"/>
              <w:left w:val="single" w:sz="4" w:space="0" w:color="auto"/>
              <w:bottom w:val="single" w:sz="4" w:space="0" w:color="auto"/>
              <w:right w:val="single" w:sz="4" w:space="0" w:color="auto"/>
            </w:tcBorders>
            <w:shd w:val="clear" w:color="auto" w:fill="auto"/>
            <w:noWrap/>
            <w:vAlign w:val="center"/>
            <w:hideMark/>
          </w:tcPr>
          <w:p w14:paraId="1B666126" w14:textId="77777777" w:rsidR="004A0B2E" w:rsidRPr="004A0B2E" w:rsidRDefault="004A0B2E" w:rsidP="004A0B2E">
            <w:pPr>
              <w:rPr>
                <w:rFonts w:ascii="Arial Narrow" w:hAnsi="Arial Narrow" w:cs="Arial"/>
                <w:sz w:val="16"/>
                <w:szCs w:val="16"/>
              </w:rPr>
            </w:pPr>
            <w:r w:rsidRPr="004A0B2E">
              <w:rPr>
                <w:rFonts w:ascii="Arial Narrow" w:hAnsi="Arial Narrow" w:cs="Arial"/>
                <w:sz w:val="16"/>
                <w:szCs w:val="16"/>
              </w:rPr>
              <w:t> </w:t>
            </w:r>
          </w:p>
        </w:tc>
        <w:tc>
          <w:tcPr>
            <w:tcW w:w="5279" w:type="dxa"/>
            <w:tcBorders>
              <w:top w:val="nil"/>
              <w:left w:val="nil"/>
              <w:bottom w:val="single" w:sz="4" w:space="0" w:color="auto"/>
              <w:right w:val="single" w:sz="4" w:space="0" w:color="auto"/>
            </w:tcBorders>
            <w:shd w:val="clear" w:color="auto" w:fill="auto"/>
            <w:vAlign w:val="center"/>
            <w:hideMark/>
          </w:tcPr>
          <w:p w14:paraId="41A9B457" w14:textId="77777777" w:rsidR="004A0B2E" w:rsidRPr="004A0B2E" w:rsidRDefault="004A0B2E" w:rsidP="00CD44F3">
            <w:pPr>
              <w:ind w:firstLine="154"/>
              <w:rPr>
                <w:rFonts w:ascii="Arial Narrow" w:hAnsi="Arial Narrow" w:cs="Arial"/>
                <w:sz w:val="16"/>
                <w:szCs w:val="16"/>
              </w:rPr>
            </w:pPr>
            <w:r w:rsidRPr="004A0B2E">
              <w:rPr>
                <w:rFonts w:ascii="Arial Narrow" w:hAnsi="Arial Narrow" w:cs="Arial"/>
                <w:sz w:val="16"/>
                <w:szCs w:val="16"/>
              </w:rPr>
              <w:t>произведено и потребено в самото стопанство</w:t>
            </w:r>
          </w:p>
        </w:tc>
        <w:tc>
          <w:tcPr>
            <w:tcW w:w="957" w:type="dxa"/>
            <w:tcBorders>
              <w:top w:val="nil"/>
              <w:left w:val="nil"/>
              <w:bottom w:val="single" w:sz="4" w:space="0" w:color="auto"/>
              <w:right w:val="single" w:sz="4" w:space="0" w:color="auto"/>
            </w:tcBorders>
            <w:shd w:val="clear" w:color="auto" w:fill="auto"/>
            <w:vAlign w:val="center"/>
            <w:hideMark/>
          </w:tcPr>
          <w:p w14:paraId="267836AA" w14:textId="77777777" w:rsidR="004A0B2E" w:rsidRPr="004A0B2E" w:rsidRDefault="004A0B2E" w:rsidP="004A0B2E">
            <w:pPr>
              <w:jc w:val="right"/>
              <w:rPr>
                <w:rFonts w:ascii="Arial Narrow" w:hAnsi="Arial Narrow" w:cs="Calibri"/>
                <w:sz w:val="16"/>
                <w:szCs w:val="16"/>
              </w:rPr>
            </w:pPr>
            <w:r w:rsidRPr="004A0B2E">
              <w:rPr>
                <w:rFonts w:ascii="Arial Narrow" w:hAnsi="Arial Narrow" w:cs="Calibri"/>
                <w:sz w:val="16"/>
                <w:szCs w:val="16"/>
              </w:rPr>
              <w:t>182,2</w:t>
            </w:r>
          </w:p>
        </w:tc>
        <w:tc>
          <w:tcPr>
            <w:tcW w:w="1118" w:type="dxa"/>
            <w:tcBorders>
              <w:top w:val="nil"/>
              <w:left w:val="nil"/>
              <w:bottom w:val="single" w:sz="4" w:space="0" w:color="auto"/>
              <w:right w:val="single" w:sz="4" w:space="0" w:color="auto"/>
            </w:tcBorders>
            <w:shd w:val="clear" w:color="auto" w:fill="auto"/>
            <w:vAlign w:val="center"/>
            <w:hideMark/>
          </w:tcPr>
          <w:p w14:paraId="6CD5CF0D" w14:textId="77777777" w:rsidR="004A0B2E" w:rsidRPr="004A0B2E" w:rsidRDefault="004A0B2E" w:rsidP="004A0B2E">
            <w:pPr>
              <w:jc w:val="right"/>
              <w:rPr>
                <w:rFonts w:ascii="Arial Narrow" w:hAnsi="Arial Narrow" w:cs="Calibri"/>
                <w:sz w:val="16"/>
                <w:szCs w:val="16"/>
              </w:rPr>
            </w:pPr>
            <w:r w:rsidRPr="004A0B2E">
              <w:rPr>
                <w:rFonts w:ascii="Arial Narrow" w:hAnsi="Arial Narrow" w:cs="Calibri"/>
                <w:sz w:val="16"/>
                <w:szCs w:val="16"/>
              </w:rPr>
              <w:t>-43,9</w:t>
            </w:r>
          </w:p>
        </w:tc>
        <w:tc>
          <w:tcPr>
            <w:tcW w:w="957" w:type="dxa"/>
            <w:tcBorders>
              <w:top w:val="nil"/>
              <w:left w:val="nil"/>
              <w:bottom w:val="single" w:sz="4" w:space="0" w:color="auto"/>
              <w:right w:val="single" w:sz="4" w:space="0" w:color="auto"/>
            </w:tcBorders>
            <w:shd w:val="clear" w:color="auto" w:fill="auto"/>
            <w:vAlign w:val="center"/>
            <w:hideMark/>
          </w:tcPr>
          <w:p w14:paraId="617527DF" w14:textId="77777777" w:rsidR="004A0B2E" w:rsidRPr="004A0B2E" w:rsidRDefault="004A0B2E" w:rsidP="004A0B2E">
            <w:pPr>
              <w:jc w:val="right"/>
              <w:rPr>
                <w:rFonts w:ascii="Arial Narrow" w:hAnsi="Arial Narrow" w:cs="Calibri"/>
                <w:sz w:val="16"/>
                <w:szCs w:val="16"/>
              </w:rPr>
            </w:pPr>
            <w:r w:rsidRPr="004A0B2E">
              <w:rPr>
                <w:rFonts w:ascii="Arial Narrow" w:hAnsi="Arial Narrow" w:cs="Calibri"/>
                <w:sz w:val="16"/>
                <w:szCs w:val="16"/>
              </w:rPr>
              <w:t>102,3</w:t>
            </w:r>
          </w:p>
        </w:tc>
        <w:tc>
          <w:tcPr>
            <w:tcW w:w="1256" w:type="dxa"/>
            <w:tcBorders>
              <w:top w:val="nil"/>
              <w:left w:val="nil"/>
              <w:bottom w:val="single" w:sz="4" w:space="0" w:color="auto"/>
              <w:right w:val="single" w:sz="4" w:space="0" w:color="auto"/>
            </w:tcBorders>
            <w:shd w:val="clear" w:color="auto" w:fill="auto"/>
            <w:vAlign w:val="center"/>
            <w:hideMark/>
          </w:tcPr>
          <w:p w14:paraId="6687837B" w14:textId="77777777" w:rsidR="004A0B2E" w:rsidRPr="004A0B2E" w:rsidRDefault="004A0B2E" w:rsidP="004A0B2E">
            <w:pPr>
              <w:jc w:val="right"/>
              <w:rPr>
                <w:rFonts w:ascii="Arial Narrow" w:hAnsi="Arial Narrow" w:cs="Calibri"/>
                <w:sz w:val="16"/>
                <w:szCs w:val="16"/>
              </w:rPr>
            </w:pPr>
            <w:r w:rsidRPr="004A0B2E">
              <w:rPr>
                <w:rFonts w:ascii="Arial Narrow" w:hAnsi="Arial Narrow" w:cs="Calibri"/>
                <w:sz w:val="16"/>
                <w:szCs w:val="16"/>
              </w:rPr>
              <w:t>1,9</w:t>
            </w:r>
          </w:p>
        </w:tc>
        <w:tc>
          <w:tcPr>
            <w:tcW w:w="872" w:type="dxa"/>
            <w:tcBorders>
              <w:top w:val="nil"/>
              <w:left w:val="nil"/>
              <w:bottom w:val="single" w:sz="4" w:space="0" w:color="auto"/>
              <w:right w:val="single" w:sz="4" w:space="0" w:color="auto"/>
            </w:tcBorders>
            <w:shd w:val="clear" w:color="auto" w:fill="auto"/>
            <w:vAlign w:val="center"/>
            <w:hideMark/>
          </w:tcPr>
          <w:p w14:paraId="77CBEDFB" w14:textId="77777777" w:rsidR="004A0B2E" w:rsidRPr="004A0B2E" w:rsidRDefault="004A0B2E" w:rsidP="004A0B2E">
            <w:pPr>
              <w:jc w:val="right"/>
              <w:rPr>
                <w:rFonts w:ascii="Arial Narrow" w:hAnsi="Arial Narrow" w:cs="Calibri"/>
                <w:sz w:val="16"/>
                <w:szCs w:val="16"/>
              </w:rPr>
            </w:pPr>
            <w:r w:rsidRPr="004A0B2E">
              <w:rPr>
                <w:rFonts w:ascii="Arial Narrow" w:hAnsi="Arial Narrow" w:cs="Calibri"/>
                <w:sz w:val="16"/>
                <w:szCs w:val="16"/>
              </w:rPr>
              <w:t>104,2</w:t>
            </w:r>
          </w:p>
        </w:tc>
      </w:tr>
      <w:tr w:rsidR="004A0B2E" w:rsidRPr="00B10684" w14:paraId="39D63AF7" w14:textId="77777777" w:rsidTr="005A18A5">
        <w:trPr>
          <w:trHeight w:val="183"/>
        </w:trPr>
        <w:tc>
          <w:tcPr>
            <w:tcW w:w="757" w:type="dxa"/>
            <w:tcBorders>
              <w:top w:val="nil"/>
              <w:left w:val="single" w:sz="4" w:space="0" w:color="auto"/>
              <w:bottom w:val="single" w:sz="4" w:space="0" w:color="auto"/>
              <w:right w:val="single" w:sz="4" w:space="0" w:color="auto"/>
            </w:tcBorders>
            <w:shd w:val="clear" w:color="auto" w:fill="auto"/>
            <w:noWrap/>
            <w:vAlign w:val="center"/>
            <w:hideMark/>
          </w:tcPr>
          <w:p w14:paraId="6EFCD00E" w14:textId="77777777" w:rsidR="004A0B2E" w:rsidRPr="004A0B2E" w:rsidRDefault="004A0B2E" w:rsidP="004A0B2E">
            <w:pPr>
              <w:rPr>
                <w:rFonts w:ascii="Arial Narrow" w:hAnsi="Arial Narrow" w:cs="Arial"/>
                <w:sz w:val="16"/>
                <w:szCs w:val="16"/>
              </w:rPr>
            </w:pPr>
            <w:r w:rsidRPr="004A0B2E">
              <w:rPr>
                <w:rFonts w:ascii="Arial Narrow" w:hAnsi="Arial Narrow" w:cs="Arial"/>
                <w:sz w:val="16"/>
                <w:szCs w:val="16"/>
              </w:rPr>
              <w:t>19.02</w:t>
            </w:r>
          </w:p>
        </w:tc>
        <w:tc>
          <w:tcPr>
            <w:tcW w:w="5279" w:type="dxa"/>
            <w:tcBorders>
              <w:top w:val="nil"/>
              <w:left w:val="nil"/>
              <w:bottom w:val="single" w:sz="4" w:space="0" w:color="auto"/>
              <w:right w:val="single" w:sz="4" w:space="0" w:color="auto"/>
            </w:tcBorders>
            <w:shd w:val="clear" w:color="auto" w:fill="auto"/>
            <w:vAlign w:val="center"/>
            <w:hideMark/>
          </w:tcPr>
          <w:p w14:paraId="73C6A038" w14:textId="77777777" w:rsidR="004A0B2E" w:rsidRPr="004A0B2E" w:rsidRDefault="004A0B2E" w:rsidP="004A0B2E">
            <w:pPr>
              <w:rPr>
                <w:rFonts w:ascii="Arial Narrow" w:hAnsi="Arial Narrow" w:cs="Arial"/>
                <w:sz w:val="16"/>
                <w:szCs w:val="16"/>
              </w:rPr>
            </w:pPr>
            <w:r w:rsidRPr="004A0B2E">
              <w:rPr>
                <w:rFonts w:ascii="Arial Narrow" w:hAnsi="Arial Narrow" w:cs="Arial"/>
                <w:sz w:val="16"/>
                <w:szCs w:val="16"/>
              </w:rPr>
              <w:t>Горива и масла</w:t>
            </w:r>
          </w:p>
        </w:tc>
        <w:tc>
          <w:tcPr>
            <w:tcW w:w="957" w:type="dxa"/>
            <w:tcBorders>
              <w:top w:val="nil"/>
              <w:left w:val="nil"/>
              <w:bottom w:val="single" w:sz="4" w:space="0" w:color="auto"/>
              <w:right w:val="single" w:sz="4" w:space="0" w:color="auto"/>
            </w:tcBorders>
            <w:shd w:val="clear" w:color="auto" w:fill="auto"/>
            <w:vAlign w:val="center"/>
            <w:hideMark/>
          </w:tcPr>
          <w:p w14:paraId="25FD7D5B" w14:textId="77777777" w:rsidR="004A0B2E" w:rsidRPr="004A0B2E" w:rsidRDefault="004A0B2E" w:rsidP="004A0B2E">
            <w:pPr>
              <w:jc w:val="right"/>
              <w:rPr>
                <w:rFonts w:ascii="Arial Narrow" w:hAnsi="Arial Narrow" w:cs="Calibri"/>
                <w:sz w:val="16"/>
                <w:szCs w:val="16"/>
              </w:rPr>
            </w:pPr>
            <w:r w:rsidRPr="004A0B2E">
              <w:rPr>
                <w:rFonts w:ascii="Arial Narrow" w:hAnsi="Arial Narrow" w:cs="Calibri"/>
                <w:sz w:val="16"/>
                <w:szCs w:val="16"/>
              </w:rPr>
              <w:t>1 305,7</w:t>
            </w:r>
          </w:p>
        </w:tc>
        <w:tc>
          <w:tcPr>
            <w:tcW w:w="1118" w:type="dxa"/>
            <w:tcBorders>
              <w:top w:val="nil"/>
              <w:left w:val="nil"/>
              <w:bottom w:val="single" w:sz="4" w:space="0" w:color="auto"/>
              <w:right w:val="single" w:sz="4" w:space="0" w:color="auto"/>
            </w:tcBorders>
            <w:shd w:val="clear" w:color="auto" w:fill="auto"/>
            <w:vAlign w:val="center"/>
            <w:hideMark/>
          </w:tcPr>
          <w:p w14:paraId="08BECD06" w14:textId="77777777" w:rsidR="004A0B2E" w:rsidRPr="004A0B2E" w:rsidRDefault="004A0B2E" w:rsidP="004A0B2E">
            <w:pPr>
              <w:jc w:val="right"/>
              <w:rPr>
                <w:rFonts w:ascii="Arial Narrow" w:hAnsi="Arial Narrow" w:cs="Calibri"/>
                <w:sz w:val="16"/>
                <w:szCs w:val="16"/>
              </w:rPr>
            </w:pPr>
            <w:r w:rsidRPr="004A0B2E">
              <w:rPr>
                <w:rFonts w:ascii="Arial Narrow" w:hAnsi="Arial Narrow" w:cs="Calibri"/>
                <w:sz w:val="16"/>
                <w:szCs w:val="16"/>
              </w:rPr>
              <w:t>-10,3</w:t>
            </w:r>
          </w:p>
        </w:tc>
        <w:tc>
          <w:tcPr>
            <w:tcW w:w="957" w:type="dxa"/>
            <w:tcBorders>
              <w:top w:val="nil"/>
              <w:left w:val="nil"/>
              <w:bottom w:val="single" w:sz="4" w:space="0" w:color="auto"/>
              <w:right w:val="single" w:sz="4" w:space="0" w:color="auto"/>
            </w:tcBorders>
            <w:shd w:val="clear" w:color="auto" w:fill="auto"/>
            <w:vAlign w:val="center"/>
            <w:hideMark/>
          </w:tcPr>
          <w:p w14:paraId="1ACC252A" w14:textId="77777777" w:rsidR="004A0B2E" w:rsidRPr="004A0B2E" w:rsidRDefault="004A0B2E" w:rsidP="004A0B2E">
            <w:pPr>
              <w:jc w:val="right"/>
              <w:rPr>
                <w:rFonts w:ascii="Arial Narrow" w:hAnsi="Arial Narrow" w:cs="Calibri"/>
                <w:sz w:val="16"/>
                <w:szCs w:val="16"/>
              </w:rPr>
            </w:pPr>
            <w:r w:rsidRPr="004A0B2E">
              <w:rPr>
                <w:rFonts w:ascii="Arial Narrow" w:hAnsi="Arial Narrow" w:cs="Calibri"/>
                <w:sz w:val="16"/>
                <w:szCs w:val="16"/>
              </w:rPr>
              <w:t>1 171,5</w:t>
            </w:r>
          </w:p>
        </w:tc>
        <w:tc>
          <w:tcPr>
            <w:tcW w:w="1256" w:type="dxa"/>
            <w:tcBorders>
              <w:top w:val="nil"/>
              <w:left w:val="nil"/>
              <w:bottom w:val="single" w:sz="4" w:space="0" w:color="auto"/>
              <w:right w:val="single" w:sz="4" w:space="0" w:color="auto"/>
            </w:tcBorders>
            <w:shd w:val="clear" w:color="auto" w:fill="auto"/>
            <w:vAlign w:val="center"/>
            <w:hideMark/>
          </w:tcPr>
          <w:p w14:paraId="24BA88C3" w14:textId="77777777" w:rsidR="004A0B2E" w:rsidRPr="004A0B2E" w:rsidRDefault="004A0B2E" w:rsidP="004A0B2E">
            <w:pPr>
              <w:jc w:val="right"/>
              <w:rPr>
                <w:rFonts w:ascii="Arial Narrow" w:hAnsi="Arial Narrow" w:cs="Calibri"/>
                <w:sz w:val="16"/>
                <w:szCs w:val="16"/>
              </w:rPr>
            </w:pPr>
            <w:r w:rsidRPr="004A0B2E">
              <w:rPr>
                <w:rFonts w:ascii="Arial Narrow" w:hAnsi="Arial Narrow" w:cs="Calibri"/>
                <w:sz w:val="16"/>
                <w:szCs w:val="16"/>
              </w:rPr>
              <w:t>-10,3</w:t>
            </w:r>
          </w:p>
        </w:tc>
        <w:tc>
          <w:tcPr>
            <w:tcW w:w="872" w:type="dxa"/>
            <w:tcBorders>
              <w:top w:val="nil"/>
              <w:left w:val="nil"/>
              <w:bottom w:val="single" w:sz="4" w:space="0" w:color="auto"/>
              <w:right w:val="single" w:sz="4" w:space="0" w:color="auto"/>
            </w:tcBorders>
            <w:shd w:val="clear" w:color="auto" w:fill="auto"/>
            <w:vAlign w:val="center"/>
            <w:hideMark/>
          </w:tcPr>
          <w:p w14:paraId="231D65C7" w14:textId="77777777" w:rsidR="004A0B2E" w:rsidRPr="004A0B2E" w:rsidRDefault="004A0B2E" w:rsidP="004A0B2E">
            <w:pPr>
              <w:jc w:val="right"/>
              <w:rPr>
                <w:rFonts w:ascii="Arial Narrow" w:hAnsi="Arial Narrow" w:cs="Calibri"/>
                <w:sz w:val="16"/>
                <w:szCs w:val="16"/>
              </w:rPr>
            </w:pPr>
            <w:r w:rsidRPr="004A0B2E">
              <w:rPr>
                <w:rFonts w:ascii="Arial Narrow" w:hAnsi="Arial Narrow" w:cs="Calibri"/>
                <w:sz w:val="16"/>
                <w:szCs w:val="16"/>
              </w:rPr>
              <w:t>1 051,0</w:t>
            </w:r>
          </w:p>
        </w:tc>
      </w:tr>
      <w:tr w:rsidR="004A0B2E" w:rsidRPr="00B10684" w14:paraId="49150333" w14:textId="77777777" w:rsidTr="005A18A5">
        <w:trPr>
          <w:trHeight w:val="183"/>
        </w:trPr>
        <w:tc>
          <w:tcPr>
            <w:tcW w:w="757" w:type="dxa"/>
            <w:tcBorders>
              <w:top w:val="nil"/>
              <w:left w:val="single" w:sz="4" w:space="0" w:color="auto"/>
              <w:bottom w:val="single" w:sz="4" w:space="0" w:color="auto"/>
              <w:right w:val="single" w:sz="4" w:space="0" w:color="auto"/>
            </w:tcBorders>
            <w:shd w:val="clear" w:color="auto" w:fill="auto"/>
            <w:noWrap/>
            <w:vAlign w:val="center"/>
            <w:hideMark/>
          </w:tcPr>
          <w:p w14:paraId="6AA0EDFE" w14:textId="77777777" w:rsidR="004A0B2E" w:rsidRPr="004A0B2E" w:rsidRDefault="004A0B2E" w:rsidP="004A0B2E">
            <w:pPr>
              <w:rPr>
                <w:rFonts w:ascii="Arial Narrow" w:hAnsi="Arial Narrow" w:cs="Arial"/>
                <w:sz w:val="16"/>
                <w:szCs w:val="16"/>
              </w:rPr>
            </w:pPr>
            <w:r w:rsidRPr="004A0B2E">
              <w:rPr>
                <w:rFonts w:ascii="Arial Narrow" w:hAnsi="Arial Narrow" w:cs="Arial"/>
                <w:sz w:val="16"/>
                <w:szCs w:val="16"/>
              </w:rPr>
              <w:t>19.02/1</w:t>
            </w:r>
          </w:p>
        </w:tc>
        <w:tc>
          <w:tcPr>
            <w:tcW w:w="5279" w:type="dxa"/>
            <w:tcBorders>
              <w:top w:val="nil"/>
              <w:left w:val="nil"/>
              <w:bottom w:val="single" w:sz="4" w:space="0" w:color="auto"/>
              <w:right w:val="single" w:sz="4" w:space="0" w:color="auto"/>
            </w:tcBorders>
            <w:shd w:val="clear" w:color="auto" w:fill="auto"/>
            <w:vAlign w:val="center"/>
            <w:hideMark/>
          </w:tcPr>
          <w:p w14:paraId="3AD7286D" w14:textId="77777777" w:rsidR="004A0B2E" w:rsidRPr="004A0B2E" w:rsidRDefault="004A0B2E" w:rsidP="004A0B2E">
            <w:pPr>
              <w:ind w:firstLineChars="100" w:firstLine="160"/>
              <w:rPr>
                <w:rFonts w:ascii="Arial Narrow" w:hAnsi="Arial Narrow" w:cs="Arial"/>
                <w:sz w:val="16"/>
                <w:szCs w:val="16"/>
              </w:rPr>
            </w:pPr>
            <w:r w:rsidRPr="004A0B2E">
              <w:rPr>
                <w:rFonts w:ascii="Arial Narrow" w:hAnsi="Arial Narrow" w:cs="Arial"/>
                <w:sz w:val="16"/>
                <w:szCs w:val="16"/>
              </w:rPr>
              <w:t>- електричество</w:t>
            </w:r>
          </w:p>
        </w:tc>
        <w:tc>
          <w:tcPr>
            <w:tcW w:w="957" w:type="dxa"/>
            <w:tcBorders>
              <w:top w:val="nil"/>
              <w:left w:val="nil"/>
              <w:bottom w:val="single" w:sz="4" w:space="0" w:color="auto"/>
              <w:right w:val="single" w:sz="4" w:space="0" w:color="auto"/>
            </w:tcBorders>
            <w:shd w:val="clear" w:color="auto" w:fill="auto"/>
            <w:vAlign w:val="center"/>
            <w:hideMark/>
          </w:tcPr>
          <w:p w14:paraId="6B36C0CD" w14:textId="77777777" w:rsidR="004A0B2E" w:rsidRPr="004A0B2E" w:rsidRDefault="004A0B2E" w:rsidP="004A0B2E">
            <w:pPr>
              <w:jc w:val="right"/>
              <w:rPr>
                <w:rFonts w:ascii="Arial Narrow" w:hAnsi="Arial Narrow" w:cs="Calibri"/>
                <w:sz w:val="16"/>
                <w:szCs w:val="16"/>
              </w:rPr>
            </w:pPr>
            <w:r w:rsidRPr="004A0B2E">
              <w:rPr>
                <w:rFonts w:ascii="Arial Narrow" w:hAnsi="Arial Narrow" w:cs="Calibri"/>
                <w:sz w:val="16"/>
                <w:szCs w:val="16"/>
              </w:rPr>
              <w:t>125,7</w:t>
            </w:r>
          </w:p>
        </w:tc>
        <w:tc>
          <w:tcPr>
            <w:tcW w:w="1118" w:type="dxa"/>
            <w:tcBorders>
              <w:top w:val="nil"/>
              <w:left w:val="nil"/>
              <w:bottom w:val="single" w:sz="4" w:space="0" w:color="auto"/>
              <w:right w:val="single" w:sz="4" w:space="0" w:color="auto"/>
            </w:tcBorders>
            <w:shd w:val="clear" w:color="auto" w:fill="auto"/>
            <w:vAlign w:val="center"/>
            <w:hideMark/>
          </w:tcPr>
          <w:p w14:paraId="2E8F6532" w14:textId="77777777" w:rsidR="004A0B2E" w:rsidRPr="004A0B2E" w:rsidRDefault="004A0B2E" w:rsidP="004A0B2E">
            <w:pPr>
              <w:jc w:val="right"/>
              <w:rPr>
                <w:rFonts w:ascii="Arial Narrow" w:hAnsi="Arial Narrow" w:cs="Calibri"/>
                <w:sz w:val="16"/>
                <w:szCs w:val="16"/>
              </w:rPr>
            </w:pPr>
            <w:r w:rsidRPr="004A0B2E">
              <w:rPr>
                <w:rFonts w:ascii="Arial Narrow" w:hAnsi="Arial Narrow" w:cs="Calibri"/>
                <w:sz w:val="16"/>
                <w:szCs w:val="16"/>
              </w:rPr>
              <w:t>5,9</w:t>
            </w:r>
          </w:p>
        </w:tc>
        <w:tc>
          <w:tcPr>
            <w:tcW w:w="957" w:type="dxa"/>
            <w:tcBorders>
              <w:top w:val="nil"/>
              <w:left w:val="nil"/>
              <w:bottom w:val="single" w:sz="4" w:space="0" w:color="auto"/>
              <w:right w:val="single" w:sz="4" w:space="0" w:color="auto"/>
            </w:tcBorders>
            <w:shd w:val="clear" w:color="auto" w:fill="auto"/>
            <w:vAlign w:val="center"/>
            <w:hideMark/>
          </w:tcPr>
          <w:p w14:paraId="4E29F838" w14:textId="77777777" w:rsidR="004A0B2E" w:rsidRPr="004A0B2E" w:rsidRDefault="004A0B2E" w:rsidP="004A0B2E">
            <w:pPr>
              <w:jc w:val="right"/>
              <w:rPr>
                <w:rFonts w:ascii="Arial Narrow" w:hAnsi="Arial Narrow" w:cs="Calibri"/>
                <w:sz w:val="16"/>
                <w:szCs w:val="16"/>
              </w:rPr>
            </w:pPr>
            <w:r w:rsidRPr="004A0B2E">
              <w:rPr>
                <w:rFonts w:ascii="Arial Narrow" w:hAnsi="Arial Narrow" w:cs="Calibri"/>
                <w:sz w:val="16"/>
                <w:szCs w:val="16"/>
              </w:rPr>
              <w:t>133,1</w:t>
            </w:r>
          </w:p>
        </w:tc>
        <w:tc>
          <w:tcPr>
            <w:tcW w:w="1256" w:type="dxa"/>
            <w:tcBorders>
              <w:top w:val="nil"/>
              <w:left w:val="nil"/>
              <w:bottom w:val="single" w:sz="4" w:space="0" w:color="auto"/>
              <w:right w:val="single" w:sz="4" w:space="0" w:color="auto"/>
            </w:tcBorders>
            <w:shd w:val="clear" w:color="auto" w:fill="auto"/>
            <w:vAlign w:val="center"/>
            <w:hideMark/>
          </w:tcPr>
          <w:p w14:paraId="3B245A01" w14:textId="77777777" w:rsidR="004A0B2E" w:rsidRPr="004A0B2E" w:rsidRDefault="004A0B2E" w:rsidP="004A0B2E">
            <w:pPr>
              <w:jc w:val="right"/>
              <w:rPr>
                <w:rFonts w:ascii="Arial Narrow" w:hAnsi="Arial Narrow" w:cs="Calibri"/>
                <w:sz w:val="16"/>
                <w:szCs w:val="16"/>
              </w:rPr>
            </w:pPr>
            <w:r w:rsidRPr="004A0B2E">
              <w:rPr>
                <w:rFonts w:ascii="Arial Narrow" w:hAnsi="Arial Narrow" w:cs="Calibri"/>
                <w:sz w:val="16"/>
                <w:szCs w:val="16"/>
              </w:rPr>
              <w:t>-6,5</w:t>
            </w:r>
          </w:p>
        </w:tc>
        <w:tc>
          <w:tcPr>
            <w:tcW w:w="872" w:type="dxa"/>
            <w:tcBorders>
              <w:top w:val="nil"/>
              <w:left w:val="nil"/>
              <w:bottom w:val="single" w:sz="4" w:space="0" w:color="auto"/>
              <w:right w:val="single" w:sz="4" w:space="0" w:color="auto"/>
            </w:tcBorders>
            <w:shd w:val="clear" w:color="auto" w:fill="auto"/>
            <w:vAlign w:val="center"/>
            <w:hideMark/>
          </w:tcPr>
          <w:p w14:paraId="7C9DB426" w14:textId="77777777" w:rsidR="004A0B2E" w:rsidRPr="004A0B2E" w:rsidRDefault="004A0B2E" w:rsidP="004A0B2E">
            <w:pPr>
              <w:jc w:val="right"/>
              <w:rPr>
                <w:rFonts w:ascii="Arial Narrow" w:hAnsi="Arial Narrow" w:cs="Calibri"/>
                <w:sz w:val="16"/>
                <w:szCs w:val="16"/>
              </w:rPr>
            </w:pPr>
            <w:r w:rsidRPr="004A0B2E">
              <w:rPr>
                <w:rFonts w:ascii="Arial Narrow" w:hAnsi="Arial Narrow" w:cs="Calibri"/>
                <w:sz w:val="16"/>
                <w:szCs w:val="16"/>
              </w:rPr>
              <w:t>124,5</w:t>
            </w:r>
          </w:p>
        </w:tc>
      </w:tr>
      <w:tr w:rsidR="004A0B2E" w:rsidRPr="00B10684" w14:paraId="3081BC2B" w14:textId="77777777" w:rsidTr="005A18A5">
        <w:trPr>
          <w:trHeight w:val="183"/>
        </w:trPr>
        <w:tc>
          <w:tcPr>
            <w:tcW w:w="757" w:type="dxa"/>
            <w:tcBorders>
              <w:top w:val="nil"/>
              <w:left w:val="single" w:sz="4" w:space="0" w:color="auto"/>
              <w:bottom w:val="single" w:sz="4" w:space="0" w:color="auto"/>
              <w:right w:val="single" w:sz="4" w:space="0" w:color="auto"/>
            </w:tcBorders>
            <w:shd w:val="clear" w:color="auto" w:fill="auto"/>
            <w:noWrap/>
            <w:vAlign w:val="center"/>
            <w:hideMark/>
          </w:tcPr>
          <w:p w14:paraId="46289CDC" w14:textId="77777777" w:rsidR="004A0B2E" w:rsidRPr="004A0B2E" w:rsidRDefault="004A0B2E" w:rsidP="004A0B2E">
            <w:pPr>
              <w:rPr>
                <w:rFonts w:ascii="Arial Narrow" w:hAnsi="Arial Narrow" w:cs="Arial"/>
                <w:sz w:val="16"/>
                <w:szCs w:val="16"/>
              </w:rPr>
            </w:pPr>
            <w:r w:rsidRPr="004A0B2E">
              <w:rPr>
                <w:rFonts w:ascii="Arial Narrow" w:hAnsi="Arial Narrow" w:cs="Arial"/>
                <w:sz w:val="16"/>
                <w:szCs w:val="16"/>
              </w:rPr>
              <w:t>19.02/2</w:t>
            </w:r>
          </w:p>
        </w:tc>
        <w:tc>
          <w:tcPr>
            <w:tcW w:w="5279" w:type="dxa"/>
            <w:tcBorders>
              <w:top w:val="nil"/>
              <w:left w:val="nil"/>
              <w:bottom w:val="single" w:sz="4" w:space="0" w:color="auto"/>
              <w:right w:val="single" w:sz="4" w:space="0" w:color="auto"/>
            </w:tcBorders>
            <w:shd w:val="clear" w:color="auto" w:fill="auto"/>
            <w:vAlign w:val="center"/>
            <w:hideMark/>
          </w:tcPr>
          <w:p w14:paraId="1F167BE4" w14:textId="77777777" w:rsidR="004A0B2E" w:rsidRPr="004A0B2E" w:rsidRDefault="004A0B2E" w:rsidP="004A0B2E">
            <w:pPr>
              <w:ind w:firstLineChars="100" w:firstLine="160"/>
              <w:rPr>
                <w:rFonts w:ascii="Arial Narrow" w:hAnsi="Arial Narrow" w:cs="Arial"/>
                <w:sz w:val="16"/>
                <w:szCs w:val="16"/>
              </w:rPr>
            </w:pPr>
            <w:r w:rsidRPr="004A0B2E">
              <w:rPr>
                <w:rFonts w:ascii="Arial Narrow" w:hAnsi="Arial Narrow" w:cs="Arial"/>
                <w:sz w:val="16"/>
                <w:szCs w:val="16"/>
              </w:rPr>
              <w:t>- газ</w:t>
            </w:r>
          </w:p>
        </w:tc>
        <w:tc>
          <w:tcPr>
            <w:tcW w:w="957" w:type="dxa"/>
            <w:tcBorders>
              <w:top w:val="nil"/>
              <w:left w:val="nil"/>
              <w:bottom w:val="single" w:sz="4" w:space="0" w:color="auto"/>
              <w:right w:val="single" w:sz="4" w:space="0" w:color="auto"/>
            </w:tcBorders>
            <w:shd w:val="clear" w:color="auto" w:fill="auto"/>
            <w:vAlign w:val="center"/>
            <w:hideMark/>
          </w:tcPr>
          <w:p w14:paraId="3C9B96BF" w14:textId="77777777" w:rsidR="004A0B2E" w:rsidRPr="004A0B2E" w:rsidRDefault="004A0B2E" w:rsidP="004A0B2E">
            <w:pPr>
              <w:jc w:val="right"/>
              <w:rPr>
                <w:rFonts w:ascii="Arial Narrow" w:hAnsi="Arial Narrow" w:cs="Calibri"/>
                <w:sz w:val="16"/>
                <w:szCs w:val="16"/>
              </w:rPr>
            </w:pPr>
            <w:r w:rsidRPr="004A0B2E">
              <w:rPr>
                <w:rFonts w:ascii="Arial Narrow" w:hAnsi="Arial Narrow" w:cs="Calibri"/>
                <w:sz w:val="16"/>
                <w:szCs w:val="16"/>
              </w:rPr>
              <w:t>48,1</w:t>
            </w:r>
          </w:p>
        </w:tc>
        <w:tc>
          <w:tcPr>
            <w:tcW w:w="1118" w:type="dxa"/>
            <w:tcBorders>
              <w:top w:val="nil"/>
              <w:left w:val="nil"/>
              <w:bottom w:val="single" w:sz="4" w:space="0" w:color="auto"/>
              <w:right w:val="single" w:sz="4" w:space="0" w:color="auto"/>
            </w:tcBorders>
            <w:shd w:val="clear" w:color="auto" w:fill="auto"/>
            <w:vAlign w:val="center"/>
            <w:hideMark/>
          </w:tcPr>
          <w:p w14:paraId="37F2EAB7" w14:textId="77777777" w:rsidR="004A0B2E" w:rsidRPr="004A0B2E" w:rsidRDefault="004A0B2E" w:rsidP="004A0B2E">
            <w:pPr>
              <w:jc w:val="right"/>
              <w:rPr>
                <w:rFonts w:ascii="Arial Narrow" w:hAnsi="Arial Narrow" w:cs="Calibri"/>
                <w:sz w:val="16"/>
                <w:szCs w:val="16"/>
              </w:rPr>
            </w:pPr>
            <w:r w:rsidRPr="004A0B2E">
              <w:rPr>
                <w:rFonts w:ascii="Arial Narrow" w:hAnsi="Arial Narrow" w:cs="Calibri"/>
                <w:sz w:val="16"/>
                <w:szCs w:val="16"/>
              </w:rPr>
              <w:t>-6,2</w:t>
            </w:r>
          </w:p>
        </w:tc>
        <w:tc>
          <w:tcPr>
            <w:tcW w:w="957" w:type="dxa"/>
            <w:tcBorders>
              <w:top w:val="nil"/>
              <w:left w:val="nil"/>
              <w:bottom w:val="single" w:sz="4" w:space="0" w:color="auto"/>
              <w:right w:val="single" w:sz="4" w:space="0" w:color="auto"/>
            </w:tcBorders>
            <w:shd w:val="clear" w:color="auto" w:fill="auto"/>
            <w:vAlign w:val="center"/>
            <w:hideMark/>
          </w:tcPr>
          <w:p w14:paraId="7D233356" w14:textId="77777777" w:rsidR="004A0B2E" w:rsidRPr="004A0B2E" w:rsidRDefault="004A0B2E" w:rsidP="004A0B2E">
            <w:pPr>
              <w:jc w:val="right"/>
              <w:rPr>
                <w:rFonts w:ascii="Arial Narrow" w:hAnsi="Arial Narrow" w:cs="Calibri"/>
                <w:sz w:val="16"/>
                <w:szCs w:val="16"/>
              </w:rPr>
            </w:pPr>
            <w:r w:rsidRPr="004A0B2E">
              <w:rPr>
                <w:rFonts w:ascii="Arial Narrow" w:hAnsi="Arial Narrow" w:cs="Calibri"/>
                <w:sz w:val="16"/>
                <w:szCs w:val="16"/>
              </w:rPr>
              <w:t>45,1</w:t>
            </w:r>
          </w:p>
        </w:tc>
        <w:tc>
          <w:tcPr>
            <w:tcW w:w="1256" w:type="dxa"/>
            <w:tcBorders>
              <w:top w:val="nil"/>
              <w:left w:val="nil"/>
              <w:bottom w:val="single" w:sz="4" w:space="0" w:color="auto"/>
              <w:right w:val="single" w:sz="4" w:space="0" w:color="auto"/>
            </w:tcBorders>
            <w:shd w:val="clear" w:color="auto" w:fill="auto"/>
            <w:vAlign w:val="center"/>
            <w:hideMark/>
          </w:tcPr>
          <w:p w14:paraId="4A7567AC" w14:textId="77777777" w:rsidR="004A0B2E" w:rsidRPr="004A0B2E" w:rsidRDefault="004A0B2E" w:rsidP="004A0B2E">
            <w:pPr>
              <w:jc w:val="right"/>
              <w:rPr>
                <w:rFonts w:ascii="Arial Narrow" w:hAnsi="Arial Narrow" w:cs="Calibri"/>
                <w:sz w:val="16"/>
                <w:szCs w:val="16"/>
              </w:rPr>
            </w:pPr>
            <w:r w:rsidRPr="004A0B2E">
              <w:rPr>
                <w:rFonts w:ascii="Arial Narrow" w:hAnsi="Arial Narrow" w:cs="Calibri"/>
                <w:sz w:val="16"/>
                <w:szCs w:val="16"/>
              </w:rPr>
              <w:t>-9,8</w:t>
            </w:r>
          </w:p>
        </w:tc>
        <w:tc>
          <w:tcPr>
            <w:tcW w:w="872" w:type="dxa"/>
            <w:tcBorders>
              <w:top w:val="nil"/>
              <w:left w:val="nil"/>
              <w:bottom w:val="single" w:sz="4" w:space="0" w:color="auto"/>
              <w:right w:val="single" w:sz="4" w:space="0" w:color="auto"/>
            </w:tcBorders>
            <w:shd w:val="clear" w:color="auto" w:fill="auto"/>
            <w:vAlign w:val="center"/>
            <w:hideMark/>
          </w:tcPr>
          <w:p w14:paraId="15170E06" w14:textId="77777777" w:rsidR="004A0B2E" w:rsidRPr="004A0B2E" w:rsidRDefault="004A0B2E" w:rsidP="004A0B2E">
            <w:pPr>
              <w:jc w:val="right"/>
              <w:rPr>
                <w:rFonts w:ascii="Arial Narrow" w:hAnsi="Arial Narrow" w:cs="Calibri"/>
                <w:sz w:val="16"/>
                <w:szCs w:val="16"/>
              </w:rPr>
            </w:pPr>
            <w:r w:rsidRPr="004A0B2E">
              <w:rPr>
                <w:rFonts w:ascii="Arial Narrow" w:hAnsi="Arial Narrow" w:cs="Calibri"/>
                <w:sz w:val="16"/>
                <w:szCs w:val="16"/>
              </w:rPr>
              <w:t>40,7</w:t>
            </w:r>
          </w:p>
        </w:tc>
      </w:tr>
      <w:tr w:rsidR="004A0B2E" w:rsidRPr="00B10684" w14:paraId="3072BCB0" w14:textId="77777777" w:rsidTr="005A18A5">
        <w:trPr>
          <w:trHeight w:val="183"/>
        </w:trPr>
        <w:tc>
          <w:tcPr>
            <w:tcW w:w="757" w:type="dxa"/>
            <w:tcBorders>
              <w:top w:val="nil"/>
              <w:left w:val="single" w:sz="4" w:space="0" w:color="auto"/>
              <w:bottom w:val="single" w:sz="4" w:space="0" w:color="auto"/>
              <w:right w:val="single" w:sz="4" w:space="0" w:color="auto"/>
            </w:tcBorders>
            <w:shd w:val="clear" w:color="auto" w:fill="auto"/>
            <w:noWrap/>
            <w:vAlign w:val="center"/>
            <w:hideMark/>
          </w:tcPr>
          <w:p w14:paraId="7C1C9C1A" w14:textId="77777777" w:rsidR="004A0B2E" w:rsidRPr="004A0B2E" w:rsidRDefault="004A0B2E" w:rsidP="004A0B2E">
            <w:pPr>
              <w:rPr>
                <w:rFonts w:ascii="Arial Narrow" w:hAnsi="Arial Narrow" w:cs="Arial"/>
                <w:sz w:val="16"/>
                <w:szCs w:val="16"/>
              </w:rPr>
            </w:pPr>
            <w:r w:rsidRPr="004A0B2E">
              <w:rPr>
                <w:rFonts w:ascii="Arial Narrow" w:hAnsi="Arial Narrow" w:cs="Arial"/>
                <w:sz w:val="16"/>
                <w:szCs w:val="16"/>
              </w:rPr>
              <w:t>19.02/3</w:t>
            </w:r>
          </w:p>
        </w:tc>
        <w:tc>
          <w:tcPr>
            <w:tcW w:w="5279" w:type="dxa"/>
            <w:tcBorders>
              <w:top w:val="nil"/>
              <w:left w:val="nil"/>
              <w:bottom w:val="single" w:sz="4" w:space="0" w:color="auto"/>
              <w:right w:val="single" w:sz="4" w:space="0" w:color="auto"/>
            </w:tcBorders>
            <w:shd w:val="clear" w:color="auto" w:fill="auto"/>
            <w:vAlign w:val="center"/>
            <w:hideMark/>
          </w:tcPr>
          <w:p w14:paraId="709D9385" w14:textId="77777777" w:rsidR="004A0B2E" w:rsidRPr="004A0B2E" w:rsidRDefault="004A0B2E" w:rsidP="004A0B2E">
            <w:pPr>
              <w:ind w:firstLineChars="100" w:firstLine="160"/>
              <w:rPr>
                <w:rFonts w:ascii="Arial Narrow" w:hAnsi="Arial Narrow" w:cs="Arial"/>
                <w:sz w:val="16"/>
                <w:szCs w:val="16"/>
              </w:rPr>
            </w:pPr>
            <w:r w:rsidRPr="004A0B2E">
              <w:rPr>
                <w:rFonts w:ascii="Arial Narrow" w:hAnsi="Arial Narrow" w:cs="Arial"/>
                <w:sz w:val="16"/>
                <w:szCs w:val="16"/>
              </w:rPr>
              <w:t>- други горива</w:t>
            </w:r>
          </w:p>
        </w:tc>
        <w:tc>
          <w:tcPr>
            <w:tcW w:w="957" w:type="dxa"/>
            <w:tcBorders>
              <w:top w:val="nil"/>
              <w:left w:val="nil"/>
              <w:bottom w:val="single" w:sz="4" w:space="0" w:color="auto"/>
              <w:right w:val="single" w:sz="4" w:space="0" w:color="auto"/>
            </w:tcBorders>
            <w:shd w:val="clear" w:color="auto" w:fill="auto"/>
            <w:vAlign w:val="center"/>
            <w:hideMark/>
          </w:tcPr>
          <w:p w14:paraId="68313BBE" w14:textId="77777777" w:rsidR="004A0B2E" w:rsidRPr="004A0B2E" w:rsidRDefault="004A0B2E" w:rsidP="004A0B2E">
            <w:pPr>
              <w:jc w:val="right"/>
              <w:rPr>
                <w:rFonts w:ascii="Arial Narrow" w:hAnsi="Arial Narrow" w:cs="Calibri"/>
                <w:sz w:val="16"/>
                <w:szCs w:val="16"/>
              </w:rPr>
            </w:pPr>
            <w:r w:rsidRPr="004A0B2E">
              <w:rPr>
                <w:rFonts w:ascii="Arial Narrow" w:hAnsi="Arial Narrow" w:cs="Calibri"/>
                <w:sz w:val="16"/>
                <w:szCs w:val="16"/>
              </w:rPr>
              <w:t>1 126,7</w:t>
            </w:r>
          </w:p>
        </w:tc>
        <w:tc>
          <w:tcPr>
            <w:tcW w:w="1118" w:type="dxa"/>
            <w:tcBorders>
              <w:top w:val="nil"/>
              <w:left w:val="nil"/>
              <w:bottom w:val="single" w:sz="4" w:space="0" w:color="auto"/>
              <w:right w:val="single" w:sz="4" w:space="0" w:color="auto"/>
            </w:tcBorders>
            <w:shd w:val="clear" w:color="auto" w:fill="auto"/>
            <w:vAlign w:val="center"/>
            <w:hideMark/>
          </w:tcPr>
          <w:p w14:paraId="43CDCD8D" w14:textId="77777777" w:rsidR="004A0B2E" w:rsidRPr="004A0B2E" w:rsidRDefault="004A0B2E" w:rsidP="004A0B2E">
            <w:pPr>
              <w:jc w:val="right"/>
              <w:rPr>
                <w:rFonts w:ascii="Arial Narrow" w:hAnsi="Arial Narrow" w:cs="Calibri"/>
                <w:sz w:val="16"/>
                <w:szCs w:val="16"/>
              </w:rPr>
            </w:pPr>
            <w:r w:rsidRPr="004A0B2E">
              <w:rPr>
                <w:rFonts w:ascii="Arial Narrow" w:hAnsi="Arial Narrow" w:cs="Calibri"/>
                <w:sz w:val="16"/>
                <w:szCs w:val="16"/>
              </w:rPr>
              <w:t>-12,5</w:t>
            </w:r>
          </w:p>
        </w:tc>
        <w:tc>
          <w:tcPr>
            <w:tcW w:w="957" w:type="dxa"/>
            <w:tcBorders>
              <w:top w:val="nil"/>
              <w:left w:val="nil"/>
              <w:bottom w:val="single" w:sz="4" w:space="0" w:color="auto"/>
              <w:right w:val="single" w:sz="4" w:space="0" w:color="auto"/>
            </w:tcBorders>
            <w:shd w:val="clear" w:color="auto" w:fill="auto"/>
            <w:vAlign w:val="center"/>
            <w:hideMark/>
          </w:tcPr>
          <w:p w14:paraId="495378C8" w14:textId="77777777" w:rsidR="004A0B2E" w:rsidRPr="004A0B2E" w:rsidRDefault="004A0B2E" w:rsidP="004A0B2E">
            <w:pPr>
              <w:jc w:val="right"/>
              <w:rPr>
                <w:rFonts w:ascii="Arial Narrow" w:hAnsi="Arial Narrow" w:cs="Calibri"/>
                <w:sz w:val="16"/>
                <w:szCs w:val="16"/>
              </w:rPr>
            </w:pPr>
            <w:r w:rsidRPr="004A0B2E">
              <w:rPr>
                <w:rFonts w:ascii="Arial Narrow" w:hAnsi="Arial Narrow" w:cs="Calibri"/>
                <w:sz w:val="16"/>
                <w:szCs w:val="16"/>
              </w:rPr>
              <w:t>985,9</w:t>
            </w:r>
          </w:p>
        </w:tc>
        <w:tc>
          <w:tcPr>
            <w:tcW w:w="1256" w:type="dxa"/>
            <w:tcBorders>
              <w:top w:val="nil"/>
              <w:left w:val="nil"/>
              <w:bottom w:val="single" w:sz="4" w:space="0" w:color="auto"/>
              <w:right w:val="single" w:sz="4" w:space="0" w:color="auto"/>
            </w:tcBorders>
            <w:shd w:val="clear" w:color="auto" w:fill="auto"/>
            <w:vAlign w:val="center"/>
            <w:hideMark/>
          </w:tcPr>
          <w:p w14:paraId="224D7357" w14:textId="77777777" w:rsidR="004A0B2E" w:rsidRPr="004A0B2E" w:rsidRDefault="004A0B2E" w:rsidP="004A0B2E">
            <w:pPr>
              <w:jc w:val="right"/>
              <w:rPr>
                <w:rFonts w:ascii="Arial Narrow" w:hAnsi="Arial Narrow" w:cs="Calibri"/>
                <w:sz w:val="16"/>
                <w:szCs w:val="16"/>
              </w:rPr>
            </w:pPr>
            <w:r w:rsidRPr="004A0B2E">
              <w:rPr>
                <w:rFonts w:ascii="Arial Narrow" w:hAnsi="Arial Narrow" w:cs="Calibri"/>
                <w:sz w:val="16"/>
                <w:szCs w:val="16"/>
              </w:rPr>
              <w:t>-11,0</w:t>
            </w:r>
          </w:p>
        </w:tc>
        <w:tc>
          <w:tcPr>
            <w:tcW w:w="872" w:type="dxa"/>
            <w:tcBorders>
              <w:top w:val="nil"/>
              <w:left w:val="nil"/>
              <w:bottom w:val="single" w:sz="4" w:space="0" w:color="auto"/>
              <w:right w:val="single" w:sz="4" w:space="0" w:color="auto"/>
            </w:tcBorders>
            <w:shd w:val="clear" w:color="auto" w:fill="auto"/>
            <w:vAlign w:val="center"/>
            <w:hideMark/>
          </w:tcPr>
          <w:p w14:paraId="104E8C8D" w14:textId="77777777" w:rsidR="004A0B2E" w:rsidRPr="004A0B2E" w:rsidRDefault="004A0B2E" w:rsidP="004A0B2E">
            <w:pPr>
              <w:jc w:val="right"/>
              <w:rPr>
                <w:rFonts w:ascii="Arial Narrow" w:hAnsi="Arial Narrow" w:cs="Calibri"/>
                <w:sz w:val="16"/>
                <w:szCs w:val="16"/>
              </w:rPr>
            </w:pPr>
            <w:r w:rsidRPr="004A0B2E">
              <w:rPr>
                <w:rFonts w:ascii="Arial Narrow" w:hAnsi="Arial Narrow" w:cs="Calibri"/>
                <w:sz w:val="16"/>
                <w:szCs w:val="16"/>
              </w:rPr>
              <w:t>877,6</w:t>
            </w:r>
          </w:p>
        </w:tc>
      </w:tr>
      <w:tr w:rsidR="004A0B2E" w:rsidRPr="00B10684" w14:paraId="03D9DCEF" w14:textId="77777777" w:rsidTr="005A18A5">
        <w:trPr>
          <w:trHeight w:val="183"/>
        </w:trPr>
        <w:tc>
          <w:tcPr>
            <w:tcW w:w="757" w:type="dxa"/>
            <w:tcBorders>
              <w:top w:val="nil"/>
              <w:left w:val="single" w:sz="4" w:space="0" w:color="auto"/>
              <w:bottom w:val="single" w:sz="4" w:space="0" w:color="auto"/>
              <w:right w:val="single" w:sz="4" w:space="0" w:color="auto"/>
            </w:tcBorders>
            <w:shd w:val="clear" w:color="auto" w:fill="auto"/>
            <w:noWrap/>
            <w:vAlign w:val="center"/>
            <w:hideMark/>
          </w:tcPr>
          <w:p w14:paraId="3CBD8002" w14:textId="77777777" w:rsidR="004A0B2E" w:rsidRPr="004A0B2E" w:rsidRDefault="004A0B2E" w:rsidP="004A0B2E">
            <w:pPr>
              <w:rPr>
                <w:rFonts w:ascii="Arial Narrow" w:hAnsi="Arial Narrow" w:cs="Arial"/>
                <w:sz w:val="16"/>
                <w:szCs w:val="16"/>
              </w:rPr>
            </w:pPr>
            <w:r w:rsidRPr="004A0B2E">
              <w:rPr>
                <w:rFonts w:ascii="Arial Narrow" w:hAnsi="Arial Narrow" w:cs="Arial"/>
                <w:sz w:val="16"/>
                <w:szCs w:val="16"/>
              </w:rPr>
              <w:t>19.02/4</w:t>
            </w:r>
          </w:p>
        </w:tc>
        <w:tc>
          <w:tcPr>
            <w:tcW w:w="5279" w:type="dxa"/>
            <w:tcBorders>
              <w:top w:val="nil"/>
              <w:left w:val="nil"/>
              <w:bottom w:val="single" w:sz="4" w:space="0" w:color="auto"/>
              <w:right w:val="single" w:sz="4" w:space="0" w:color="auto"/>
            </w:tcBorders>
            <w:shd w:val="clear" w:color="auto" w:fill="auto"/>
            <w:vAlign w:val="center"/>
            <w:hideMark/>
          </w:tcPr>
          <w:p w14:paraId="4CE49EEC" w14:textId="77777777" w:rsidR="004A0B2E" w:rsidRPr="004A0B2E" w:rsidRDefault="004A0B2E" w:rsidP="004A0B2E">
            <w:pPr>
              <w:ind w:firstLineChars="100" w:firstLine="160"/>
              <w:rPr>
                <w:rFonts w:ascii="Arial Narrow" w:hAnsi="Arial Narrow" w:cs="Arial"/>
                <w:sz w:val="16"/>
                <w:szCs w:val="16"/>
              </w:rPr>
            </w:pPr>
            <w:r w:rsidRPr="004A0B2E">
              <w:rPr>
                <w:rFonts w:ascii="Arial Narrow" w:hAnsi="Arial Narrow" w:cs="Arial"/>
                <w:sz w:val="16"/>
                <w:szCs w:val="16"/>
              </w:rPr>
              <w:t>- други</w:t>
            </w:r>
          </w:p>
        </w:tc>
        <w:tc>
          <w:tcPr>
            <w:tcW w:w="957" w:type="dxa"/>
            <w:tcBorders>
              <w:top w:val="nil"/>
              <w:left w:val="nil"/>
              <w:bottom w:val="single" w:sz="4" w:space="0" w:color="auto"/>
              <w:right w:val="single" w:sz="4" w:space="0" w:color="auto"/>
            </w:tcBorders>
            <w:shd w:val="clear" w:color="auto" w:fill="auto"/>
            <w:vAlign w:val="center"/>
            <w:hideMark/>
          </w:tcPr>
          <w:p w14:paraId="79B1A789" w14:textId="77777777" w:rsidR="004A0B2E" w:rsidRPr="004A0B2E" w:rsidRDefault="004A0B2E" w:rsidP="004A0B2E">
            <w:pPr>
              <w:jc w:val="right"/>
              <w:rPr>
                <w:rFonts w:ascii="Arial Narrow" w:hAnsi="Arial Narrow" w:cs="Calibri"/>
                <w:sz w:val="16"/>
                <w:szCs w:val="16"/>
              </w:rPr>
            </w:pPr>
            <w:r w:rsidRPr="004A0B2E">
              <w:rPr>
                <w:rFonts w:ascii="Arial Narrow" w:hAnsi="Arial Narrow" w:cs="Calibri"/>
                <w:sz w:val="16"/>
                <w:szCs w:val="16"/>
              </w:rPr>
              <w:t>5,2</w:t>
            </w:r>
          </w:p>
        </w:tc>
        <w:tc>
          <w:tcPr>
            <w:tcW w:w="1118" w:type="dxa"/>
            <w:tcBorders>
              <w:top w:val="nil"/>
              <w:left w:val="nil"/>
              <w:bottom w:val="single" w:sz="4" w:space="0" w:color="auto"/>
              <w:right w:val="single" w:sz="4" w:space="0" w:color="auto"/>
            </w:tcBorders>
            <w:shd w:val="clear" w:color="auto" w:fill="auto"/>
            <w:vAlign w:val="center"/>
            <w:hideMark/>
          </w:tcPr>
          <w:p w14:paraId="2F7530E0" w14:textId="77777777" w:rsidR="004A0B2E" w:rsidRPr="004A0B2E" w:rsidRDefault="004A0B2E" w:rsidP="004A0B2E">
            <w:pPr>
              <w:jc w:val="right"/>
              <w:rPr>
                <w:rFonts w:ascii="Arial Narrow" w:hAnsi="Arial Narrow" w:cs="Calibri"/>
                <w:sz w:val="16"/>
                <w:szCs w:val="16"/>
              </w:rPr>
            </w:pPr>
            <w:r w:rsidRPr="004A0B2E">
              <w:rPr>
                <w:rFonts w:ascii="Arial Narrow" w:hAnsi="Arial Narrow" w:cs="Calibri"/>
                <w:sz w:val="16"/>
                <w:szCs w:val="16"/>
              </w:rPr>
              <w:t>42,3</w:t>
            </w:r>
          </w:p>
        </w:tc>
        <w:tc>
          <w:tcPr>
            <w:tcW w:w="957" w:type="dxa"/>
            <w:tcBorders>
              <w:top w:val="nil"/>
              <w:left w:val="nil"/>
              <w:bottom w:val="single" w:sz="4" w:space="0" w:color="auto"/>
              <w:right w:val="single" w:sz="4" w:space="0" w:color="auto"/>
            </w:tcBorders>
            <w:shd w:val="clear" w:color="auto" w:fill="auto"/>
            <w:vAlign w:val="center"/>
            <w:hideMark/>
          </w:tcPr>
          <w:p w14:paraId="3DE0CFD3" w14:textId="77777777" w:rsidR="004A0B2E" w:rsidRPr="004A0B2E" w:rsidRDefault="004A0B2E" w:rsidP="004A0B2E">
            <w:pPr>
              <w:jc w:val="right"/>
              <w:rPr>
                <w:rFonts w:ascii="Arial Narrow" w:hAnsi="Arial Narrow" w:cs="Calibri"/>
                <w:sz w:val="16"/>
                <w:szCs w:val="16"/>
              </w:rPr>
            </w:pPr>
            <w:r w:rsidRPr="004A0B2E">
              <w:rPr>
                <w:rFonts w:ascii="Arial Narrow" w:hAnsi="Arial Narrow" w:cs="Calibri"/>
                <w:sz w:val="16"/>
                <w:szCs w:val="16"/>
              </w:rPr>
              <w:t>7,4</w:t>
            </w:r>
          </w:p>
        </w:tc>
        <w:tc>
          <w:tcPr>
            <w:tcW w:w="1256" w:type="dxa"/>
            <w:tcBorders>
              <w:top w:val="nil"/>
              <w:left w:val="nil"/>
              <w:bottom w:val="single" w:sz="4" w:space="0" w:color="auto"/>
              <w:right w:val="single" w:sz="4" w:space="0" w:color="auto"/>
            </w:tcBorders>
            <w:shd w:val="clear" w:color="auto" w:fill="auto"/>
            <w:vAlign w:val="center"/>
            <w:hideMark/>
          </w:tcPr>
          <w:p w14:paraId="7491B24F" w14:textId="77777777" w:rsidR="004A0B2E" w:rsidRPr="004A0B2E" w:rsidRDefault="004A0B2E" w:rsidP="004A0B2E">
            <w:pPr>
              <w:jc w:val="right"/>
              <w:rPr>
                <w:rFonts w:ascii="Arial Narrow" w:hAnsi="Arial Narrow" w:cs="Calibri"/>
                <w:sz w:val="16"/>
                <w:szCs w:val="16"/>
              </w:rPr>
            </w:pPr>
            <w:r w:rsidRPr="004A0B2E">
              <w:rPr>
                <w:rFonts w:ascii="Arial Narrow" w:hAnsi="Arial Narrow" w:cs="Calibri"/>
                <w:sz w:val="16"/>
                <w:szCs w:val="16"/>
              </w:rPr>
              <w:t>10,8</w:t>
            </w:r>
          </w:p>
        </w:tc>
        <w:tc>
          <w:tcPr>
            <w:tcW w:w="872" w:type="dxa"/>
            <w:tcBorders>
              <w:top w:val="nil"/>
              <w:left w:val="nil"/>
              <w:bottom w:val="single" w:sz="4" w:space="0" w:color="auto"/>
              <w:right w:val="single" w:sz="4" w:space="0" w:color="auto"/>
            </w:tcBorders>
            <w:shd w:val="clear" w:color="auto" w:fill="auto"/>
            <w:vAlign w:val="center"/>
            <w:hideMark/>
          </w:tcPr>
          <w:p w14:paraId="147266AE" w14:textId="77777777" w:rsidR="004A0B2E" w:rsidRPr="004A0B2E" w:rsidRDefault="004A0B2E" w:rsidP="004A0B2E">
            <w:pPr>
              <w:jc w:val="right"/>
              <w:rPr>
                <w:rFonts w:ascii="Arial Narrow" w:hAnsi="Arial Narrow" w:cs="Calibri"/>
                <w:sz w:val="16"/>
                <w:szCs w:val="16"/>
              </w:rPr>
            </w:pPr>
            <w:r w:rsidRPr="004A0B2E">
              <w:rPr>
                <w:rFonts w:ascii="Arial Narrow" w:hAnsi="Arial Narrow" w:cs="Calibri"/>
                <w:sz w:val="16"/>
                <w:szCs w:val="16"/>
              </w:rPr>
              <w:t>8,2</w:t>
            </w:r>
          </w:p>
        </w:tc>
      </w:tr>
      <w:tr w:rsidR="004A0B2E" w:rsidRPr="00B10684" w14:paraId="5E98C4DF" w14:textId="77777777" w:rsidTr="005A18A5">
        <w:trPr>
          <w:trHeight w:val="183"/>
        </w:trPr>
        <w:tc>
          <w:tcPr>
            <w:tcW w:w="757" w:type="dxa"/>
            <w:tcBorders>
              <w:top w:val="nil"/>
              <w:left w:val="single" w:sz="4" w:space="0" w:color="auto"/>
              <w:bottom w:val="single" w:sz="4" w:space="0" w:color="auto"/>
              <w:right w:val="single" w:sz="4" w:space="0" w:color="auto"/>
            </w:tcBorders>
            <w:shd w:val="clear" w:color="auto" w:fill="auto"/>
            <w:noWrap/>
            <w:vAlign w:val="center"/>
            <w:hideMark/>
          </w:tcPr>
          <w:p w14:paraId="57FD6762" w14:textId="77777777" w:rsidR="004A0B2E" w:rsidRPr="004A0B2E" w:rsidRDefault="004A0B2E" w:rsidP="004A0B2E">
            <w:pPr>
              <w:rPr>
                <w:rFonts w:ascii="Arial Narrow" w:hAnsi="Arial Narrow" w:cs="Arial"/>
                <w:sz w:val="16"/>
                <w:szCs w:val="16"/>
              </w:rPr>
            </w:pPr>
            <w:r w:rsidRPr="004A0B2E">
              <w:rPr>
                <w:rFonts w:ascii="Arial Narrow" w:hAnsi="Arial Narrow" w:cs="Arial"/>
                <w:sz w:val="16"/>
                <w:szCs w:val="16"/>
              </w:rPr>
              <w:t>19.03</w:t>
            </w:r>
          </w:p>
        </w:tc>
        <w:tc>
          <w:tcPr>
            <w:tcW w:w="5279" w:type="dxa"/>
            <w:tcBorders>
              <w:top w:val="nil"/>
              <w:left w:val="nil"/>
              <w:bottom w:val="single" w:sz="4" w:space="0" w:color="auto"/>
              <w:right w:val="single" w:sz="4" w:space="0" w:color="auto"/>
            </w:tcBorders>
            <w:shd w:val="clear" w:color="auto" w:fill="auto"/>
            <w:vAlign w:val="center"/>
            <w:hideMark/>
          </w:tcPr>
          <w:p w14:paraId="2F73FB09" w14:textId="77777777" w:rsidR="004A0B2E" w:rsidRPr="004A0B2E" w:rsidRDefault="004A0B2E" w:rsidP="004A0B2E">
            <w:pPr>
              <w:rPr>
                <w:rFonts w:ascii="Arial Narrow" w:hAnsi="Arial Narrow" w:cs="Arial"/>
                <w:sz w:val="16"/>
                <w:szCs w:val="16"/>
              </w:rPr>
            </w:pPr>
            <w:r w:rsidRPr="004A0B2E">
              <w:rPr>
                <w:rFonts w:ascii="Arial Narrow" w:hAnsi="Arial Narrow" w:cs="Arial"/>
                <w:sz w:val="16"/>
                <w:szCs w:val="16"/>
              </w:rPr>
              <w:t>Торове и почвени подобрители</w:t>
            </w:r>
          </w:p>
        </w:tc>
        <w:tc>
          <w:tcPr>
            <w:tcW w:w="957" w:type="dxa"/>
            <w:tcBorders>
              <w:top w:val="nil"/>
              <w:left w:val="nil"/>
              <w:bottom w:val="single" w:sz="4" w:space="0" w:color="auto"/>
              <w:right w:val="single" w:sz="4" w:space="0" w:color="auto"/>
            </w:tcBorders>
            <w:shd w:val="clear" w:color="auto" w:fill="auto"/>
            <w:vAlign w:val="center"/>
            <w:hideMark/>
          </w:tcPr>
          <w:p w14:paraId="0F725958" w14:textId="77777777" w:rsidR="004A0B2E" w:rsidRPr="004A0B2E" w:rsidRDefault="004A0B2E" w:rsidP="004A0B2E">
            <w:pPr>
              <w:jc w:val="right"/>
              <w:rPr>
                <w:rFonts w:ascii="Arial Narrow" w:hAnsi="Arial Narrow" w:cs="Calibri"/>
                <w:sz w:val="16"/>
                <w:szCs w:val="16"/>
              </w:rPr>
            </w:pPr>
            <w:r w:rsidRPr="004A0B2E">
              <w:rPr>
                <w:rFonts w:ascii="Arial Narrow" w:hAnsi="Arial Narrow" w:cs="Calibri"/>
                <w:sz w:val="16"/>
                <w:szCs w:val="16"/>
              </w:rPr>
              <w:t>1 412,7</w:t>
            </w:r>
          </w:p>
        </w:tc>
        <w:tc>
          <w:tcPr>
            <w:tcW w:w="1118" w:type="dxa"/>
            <w:tcBorders>
              <w:top w:val="nil"/>
              <w:left w:val="nil"/>
              <w:bottom w:val="single" w:sz="4" w:space="0" w:color="auto"/>
              <w:right w:val="single" w:sz="4" w:space="0" w:color="auto"/>
            </w:tcBorders>
            <w:shd w:val="clear" w:color="auto" w:fill="auto"/>
            <w:vAlign w:val="center"/>
            <w:hideMark/>
          </w:tcPr>
          <w:p w14:paraId="30DA4CFA" w14:textId="77777777" w:rsidR="004A0B2E" w:rsidRPr="004A0B2E" w:rsidRDefault="004A0B2E" w:rsidP="004A0B2E">
            <w:pPr>
              <w:jc w:val="right"/>
              <w:rPr>
                <w:rFonts w:ascii="Arial Narrow" w:hAnsi="Arial Narrow" w:cs="Calibri"/>
                <w:sz w:val="16"/>
                <w:szCs w:val="16"/>
              </w:rPr>
            </w:pPr>
            <w:r w:rsidRPr="004A0B2E">
              <w:rPr>
                <w:rFonts w:ascii="Arial Narrow" w:hAnsi="Arial Narrow" w:cs="Calibri"/>
                <w:sz w:val="16"/>
                <w:szCs w:val="16"/>
              </w:rPr>
              <w:t>-18,4</w:t>
            </w:r>
          </w:p>
        </w:tc>
        <w:tc>
          <w:tcPr>
            <w:tcW w:w="957" w:type="dxa"/>
            <w:tcBorders>
              <w:top w:val="nil"/>
              <w:left w:val="nil"/>
              <w:bottom w:val="single" w:sz="4" w:space="0" w:color="auto"/>
              <w:right w:val="single" w:sz="4" w:space="0" w:color="auto"/>
            </w:tcBorders>
            <w:shd w:val="clear" w:color="auto" w:fill="auto"/>
            <w:vAlign w:val="center"/>
            <w:hideMark/>
          </w:tcPr>
          <w:p w14:paraId="41C7DBA7" w14:textId="77777777" w:rsidR="004A0B2E" w:rsidRPr="004A0B2E" w:rsidRDefault="004A0B2E" w:rsidP="004A0B2E">
            <w:pPr>
              <w:jc w:val="right"/>
              <w:rPr>
                <w:rFonts w:ascii="Arial Narrow" w:hAnsi="Arial Narrow" w:cs="Calibri"/>
                <w:sz w:val="16"/>
                <w:szCs w:val="16"/>
              </w:rPr>
            </w:pPr>
            <w:r w:rsidRPr="004A0B2E">
              <w:rPr>
                <w:rFonts w:ascii="Arial Narrow" w:hAnsi="Arial Narrow" w:cs="Calibri"/>
                <w:sz w:val="16"/>
                <w:szCs w:val="16"/>
              </w:rPr>
              <w:t>1 152,7</w:t>
            </w:r>
          </w:p>
        </w:tc>
        <w:tc>
          <w:tcPr>
            <w:tcW w:w="1256" w:type="dxa"/>
            <w:tcBorders>
              <w:top w:val="nil"/>
              <w:left w:val="nil"/>
              <w:bottom w:val="single" w:sz="4" w:space="0" w:color="auto"/>
              <w:right w:val="single" w:sz="4" w:space="0" w:color="auto"/>
            </w:tcBorders>
            <w:shd w:val="clear" w:color="auto" w:fill="auto"/>
            <w:vAlign w:val="center"/>
            <w:hideMark/>
          </w:tcPr>
          <w:p w14:paraId="2B425E6D" w14:textId="77777777" w:rsidR="004A0B2E" w:rsidRPr="004A0B2E" w:rsidRDefault="004A0B2E" w:rsidP="004A0B2E">
            <w:pPr>
              <w:jc w:val="right"/>
              <w:rPr>
                <w:rFonts w:ascii="Arial Narrow" w:hAnsi="Arial Narrow" w:cs="Calibri"/>
                <w:sz w:val="16"/>
                <w:szCs w:val="16"/>
              </w:rPr>
            </w:pPr>
            <w:r w:rsidRPr="004A0B2E">
              <w:rPr>
                <w:rFonts w:ascii="Arial Narrow" w:hAnsi="Arial Narrow" w:cs="Calibri"/>
                <w:sz w:val="16"/>
                <w:szCs w:val="16"/>
              </w:rPr>
              <w:t>-17,6</w:t>
            </w:r>
          </w:p>
        </w:tc>
        <w:tc>
          <w:tcPr>
            <w:tcW w:w="872" w:type="dxa"/>
            <w:tcBorders>
              <w:top w:val="nil"/>
              <w:left w:val="nil"/>
              <w:bottom w:val="single" w:sz="4" w:space="0" w:color="auto"/>
              <w:right w:val="single" w:sz="4" w:space="0" w:color="auto"/>
            </w:tcBorders>
            <w:shd w:val="clear" w:color="auto" w:fill="auto"/>
            <w:vAlign w:val="center"/>
            <w:hideMark/>
          </w:tcPr>
          <w:p w14:paraId="2C2D3D63" w14:textId="77777777" w:rsidR="004A0B2E" w:rsidRPr="004A0B2E" w:rsidRDefault="004A0B2E" w:rsidP="004A0B2E">
            <w:pPr>
              <w:jc w:val="right"/>
              <w:rPr>
                <w:rFonts w:ascii="Arial Narrow" w:hAnsi="Arial Narrow" w:cs="Calibri"/>
                <w:sz w:val="16"/>
                <w:szCs w:val="16"/>
              </w:rPr>
            </w:pPr>
            <w:r w:rsidRPr="004A0B2E">
              <w:rPr>
                <w:rFonts w:ascii="Arial Narrow" w:hAnsi="Arial Narrow" w:cs="Calibri"/>
                <w:sz w:val="16"/>
                <w:szCs w:val="16"/>
              </w:rPr>
              <w:t>950,1</w:t>
            </w:r>
          </w:p>
        </w:tc>
      </w:tr>
      <w:tr w:rsidR="004A0B2E" w:rsidRPr="00B10684" w14:paraId="643027C2" w14:textId="77777777" w:rsidTr="005A18A5">
        <w:trPr>
          <w:trHeight w:val="183"/>
        </w:trPr>
        <w:tc>
          <w:tcPr>
            <w:tcW w:w="757" w:type="dxa"/>
            <w:tcBorders>
              <w:top w:val="nil"/>
              <w:left w:val="single" w:sz="4" w:space="0" w:color="auto"/>
              <w:bottom w:val="single" w:sz="4" w:space="0" w:color="auto"/>
              <w:right w:val="single" w:sz="4" w:space="0" w:color="auto"/>
            </w:tcBorders>
            <w:shd w:val="clear" w:color="auto" w:fill="auto"/>
            <w:noWrap/>
            <w:vAlign w:val="center"/>
            <w:hideMark/>
          </w:tcPr>
          <w:p w14:paraId="25C58AE9" w14:textId="77777777" w:rsidR="004A0B2E" w:rsidRPr="004A0B2E" w:rsidRDefault="004A0B2E" w:rsidP="004A0B2E">
            <w:pPr>
              <w:rPr>
                <w:rFonts w:ascii="Arial Narrow" w:hAnsi="Arial Narrow" w:cs="Arial"/>
                <w:sz w:val="16"/>
                <w:szCs w:val="16"/>
              </w:rPr>
            </w:pPr>
            <w:r w:rsidRPr="004A0B2E">
              <w:rPr>
                <w:rFonts w:ascii="Arial Narrow" w:hAnsi="Arial Narrow" w:cs="Arial"/>
                <w:sz w:val="16"/>
                <w:szCs w:val="16"/>
              </w:rPr>
              <w:t>19.03/1</w:t>
            </w:r>
          </w:p>
        </w:tc>
        <w:tc>
          <w:tcPr>
            <w:tcW w:w="5279" w:type="dxa"/>
            <w:tcBorders>
              <w:top w:val="nil"/>
              <w:left w:val="nil"/>
              <w:bottom w:val="single" w:sz="4" w:space="0" w:color="auto"/>
              <w:right w:val="single" w:sz="4" w:space="0" w:color="auto"/>
            </w:tcBorders>
            <w:shd w:val="clear" w:color="auto" w:fill="auto"/>
            <w:vAlign w:val="center"/>
            <w:hideMark/>
          </w:tcPr>
          <w:p w14:paraId="266ED5B4" w14:textId="77777777" w:rsidR="004A0B2E" w:rsidRPr="004A0B2E" w:rsidRDefault="004A0B2E" w:rsidP="004A0B2E">
            <w:pPr>
              <w:ind w:firstLineChars="100" w:firstLine="160"/>
              <w:rPr>
                <w:rFonts w:ascii="Arial Narrow" w:hAnsi="Arial Narrow" w:cs="Arial"/>
                <w:sz w:val="16"/>
                <w:szCs w:val="16"/>
              </w:rPr>
            </w:pPr>
            <w:r w:rsidRPr="004A0B2E">
              <w:rPr>
                <w:rFonts w:ascii="Arial Narrow" w:hAnsi="Arial Narrow" w:cs="Arial"/>
                <w:sz w:val="16"/>
                <w:szCs w:val="16"/>
              </w:rPr>
              <w:t>доставено от други селскостопански предприятия</w:t>
            </w:r>
          </w:p>
        </w:tc>
        <w:tc>
          <w:tcPr>
            <w:tcW w:w="957" w:type="dxa"/>
            <w:tcBorders>
              <w:top w:val="nil"/>
              <w:left w:val="nil"/>
              <w:bottom w:val="single" w:sz="4" w:space="0" w:color="auto"/>
              <w:right w:val="single" w:sz="4" w:space="0" w:color="auto"/>
            </w:tcBorders>
            <w:shd w:val="clear" w:color="auto" w:fill="auto"/>
            <w:vAlign w:val="center"/>
            <w:hideMark/>
          </w:tcPr>
          <w:p w14:paraId="050911B1" w14:textId="77777777" w:rsidR="004A0B2E" w:rsidRPr="004A0B2E" w:rsidRDefault="004A0B2E" w:rsidP="004A0B2E">
            <w:pPr>
              <w:jc w:val="right"/>
              <w:rPr>
                <w:rFonts w:ascii="Arial Narrow" w:hAnsi="Arial Narrow" w:cs="Calibri"/>
                <w:sz w:val="16"/>
                <w:szCs w:val="16"/>
              </w:rPr>
            </w:pPr>
            <w:r w:rsidRPr="004A0B2E">
              <w:rPr>
                <w:rFonts w:ascii="Arial Narrow" w:hAnsi="Arial Narrow" w:cs="Calibri"/>
                <w:sz w:val="16"/>
                <w:szCs w:val="16"/>
              </w:rPr>
              <w:t>26,5</w:t>
            </w:r>
          </w:p>
        </w:tc>
        <w:tc>
          <w:tcPr>
            <w:tcW w:w="1118" w:type="dxa"/>
            <w:tcBorders>
              <w:top w:val="nil"/>
              <w:left w:val="nil"/>
              <w:bottom w:val="single" w:sz="4" w:space="0" w:color="auto"/>
              <w:right w:val="single" w:sz="4" w:space="0" w:color="auto"/>
            </w:tcBorders>
            <w:shd w:val="clear" w:color="auto" w:fill="auto"/>
            <w:vAlign w:val="center"/>
            <w:hideMark/>
          </w:tcPr>
          <w:p w14:paraId="47F868B9" w14:textId="77777777" w:rsidR="004A0B2E" w:rsidRPr="004A0B2E" w:rsidRDefault="004A0B2E" w:rsidP="004A0B2E">
            <w:pPr>
              <w:jc w:val="right"/>
              <w:rPr>
                <w:rFonts w:ascii="Arial Narrow" w:hAnsi="Arial Narrow" w:cs="Calibri"/>
                <w:sz w:val="16"/>
                <w:szCs w:val="16"/>
              </w:rPr>
            </w:pPr>
            <w:r w:rsidRPr="004A0B2E">
              <w:rPr>
                <w:rFonts w:ascii="Arial Narrow" w:hAnsi="Arial Narrow" w:cs="Calibri"/>
                <w:sz w:val="16"/>
                <w:szCs w:val="16"/>
              </w:rPr>
              <w:t>52,1</w:t>
            </w:r>
          </w:p>
        </w:tc>
        <w:tc>
          <w:tcPr>
            <w:tcW w:w="957" w:type="dxa"/>
            <w:tcBorders>
              <w:top w:val="nil"/>
              <w:left w:val="nil"/>
              <w:bottom w:val="single" w:sz="4" w:space="0" w:color="auto"/>
              <w:right w:val="single" w:sz="4" w:space="0" w:color="auto"/>
            </w:tcBorders>
            <w:shd w:val="clear" w:color="auto" w:fill="auto"/>
            <w:vAlign w:val="center"/>
            <w:hideMark/>
          </w:tcPr>
          <w:p w14:paraId="1FD66E9B" w14:textId="77777777" w:rsidR="004A0B2E" w:rsidRPr="004A0B2E" w:rsidRDefault="004A0B2E" w:rsidP="004A0B2E">
            <w:pPr>
              <w:jc w:val="right"/>
              <w:rPr>
                <w:rFonts w:ascii="Arial Narrow" w:hAnsi="Arial Narrow" w:cs="Calibri"/>
                <w:sz w:val="16"/>
                <w:szCs w:val="16"/>
              </w:rPr>
            </w:pPr>
            <w:r w:rsidRPr="004A0B2E">
              <w:rPr>
                <w:rFonts w:ascii="Arial Narrow" w:hAnsi="Arial Narrow" w:cs="Calibri"/>
                <w:sz w:val="16"/>
                <w:szCs w:val="16"/>
              </w:rPr>
              <w:t>40,3</w:t>
            </w:r>
          </w:p>
        </w:tc>
        <w:tc>
          <w:tcPr>
            <w:tcW w:w="1256" w:type="dxa"/>
            <w:tcBorders>
              <w:top w:val="nil"/>
              <w:left w:val="nil"/>
              <w:bottom w:val="single" w:sz="4" w:space="0" w:color="auto"/>
              <w:right w:val="single" w:sz="4" w:space="0" w:color="auto"/>
            </w:tcBorders>
            <w:shd w:val="clear" w:color="auto" w:fill="auto"/>
            <w:vAlign w:val="center"/>
            <w:hideMark/>
          </w:tcPr>
          <w:p w14:paraId="005DEB48" w14:textId="77777777" w:rsidR="004A0B2E" w:rsidRPr="004A0B2E" w:rsidRDefault="004A0B2E" w:rsidP="004A0B2E">
            <w:pPr>
              <w:jc w:val="right"/>
              <w:rPr>
                <w:rFonts w:ascii="Arial Narrow" w:hAnsi="Arial Narrow" w:cs="Calibri"/>
                <w:sz w:val="16"/>
                <w:szCs w:val="16"/>
              </w:rPr>
            </w:pPr>
            <w:r w:rsidRPr="004A0B2E">
              <w:rPr>
                <w:rFonts w:ascii="Arial Narrow" w:hAnsi="Arial Narrow" w:cs="Calibri"/>
                <w:sz w:val="16"/>
                <w:szCs w:val="16"/>
              </w:rPr>
              <w:t>-33,3</w:t>
            </w:r>
          </w:p>
        </w:tc>
        <w:tc>
          <w:tcPr>
            <w:tcW w:w="872" w:type="dxa"/>
            <w:tcBorders>
              <w:top w:val="nil"/>
              <w:left w:val="nil"/>
              <w:bottom w:val="single" w:sz="4" w:space="0" w:color="auto"/>
              <w:right w:val="single" w:sz="4" w:space="0" w:color="auto"/>
            </w:tcBorders>
            <w:shd w:val="clear" w:color="auto" w:fill="auto"/>
            <w:vAlign w:val="center"/>
            <w:hideMark/>
          </w:tcPr>
          <w:p w14:paraId="2E17DAC3" w14:textId="77777777" w:rsidR="004A0B2E" w:rsidRPr="004A0B2E" w:rsidRDefault="004A0B2E" w:rsidP="004A0B2E">
            <w:pPr>
              <w:jc w:val="right"/>
              <w:rPr>
                <w:rFonts w:ascii="Arial Narrow" w:hAnsi="Arial Narrow" w:cs="Calibri"/>
                <w:sz w:val="16"/>
                <w:szCs w:val="16"/>
              </w:rPr>
            </w:pPr>
            <w:r w:rsidRPr="004A0B2E">
              <w:rPr>
                <w:rFonts w:ascii="Arial Narrow" w:hAnsi="Arial Narrow" w:cs="Calibri"/>
                <w:sz w:val="16"/>
                <w:szCs w:val="16"/>
              </w:rPr>
              <w:t>26,9</w:t>
            </w:r>
          </w:p>
        </w:tc>
      </w:tr>
      <w:tr w:rsidR="004A0B2E" w:rsidRPr="00B10684" w14:paraId="210A2761" w14:textId="77777777" w:rsidTr="005A18A5">
        <w:trPr>
          <w:trHeight w:val="183"/>
        </w:trPr>
        <w:tc>
          <w:tcPr>
            <w:tcW w:w="757" w:type="dxa"/>
            <w:tcBorders>
              <w:top w:val="nil"/>
              <w:left w:val="single" w:sz="4" w:space="0" w:color="auto"/>
              <w:bottom w:val="single" w:sz="4" w:space="0" w:color="auto"/>
              <w:right w:val="single" w:sz="4" w:space="0" w:color="auto"/>
            </w:tcBorders>
            <w:shd w:val="clear" w:color="auto" w:fill="auto"/>
            <w:noWrap/>
            <w:vAlign w:val="center"/>
            <w:hideMark/>
          </w:tcPr>
          <w:p w14:paraId="26721931" w14:textId="77777777" w:rsidR="004A0B2E" w:rsidRPr="004A0B2E" w:rsidRDefault="004A0B2E" w:rsidP="004A0B2E">
            <w:pPr>
              <w:rPr>
                <w:rFonts w:ascii="Arial Narrow" w:hAnsi="Arial Narrow" w:cs="Arial"/>
                <w:sz w:val="16"/>
                <w:szCs w:val="16"/>
              </w:rPr>
            </w:pPr>
            <w:r w:rsidRPr="004A0B2E">
              <w:rPr>
                <w:rFonts w:ascii="Arial Narrow" w:hAnsi="Arial Narrow" w:cs="Arial"/>
                <w:sz w:val="16"/>
                <w:szCs w:val="16"/>
              </w:rPr>
              <w:t>19.03/2</w:t>
            </w:r>
          </w:p>
        </w:tc>
        <w:tc>
          <w:tcPr>
            <w:tcW w:w="5279" w:type="dxa"/>
            <w:tcBorders>
              <w:top w:val="nil"/>
              <w:left w:val="nil"/>
              <w:bottom w:val="single" w:sz="4" w:space="0" w:color="auto"/>
              <w:right w:val="single" w:sz="4" w:space="0" w:color="auto"/>
            </w:tcBorders>
            <w:shd w:val="clear" w:color="auto" w:fill="auto"/>
            <w:vAlign w:val="center"/>
            <w:hideMark/>
          </w:tcPr>
          <w:p w14:paraId="023D2CDE" w14:textId="77777777" w:rsidR="004A0B2E" w:rsidRPr="004A0B2E" w:rsidRDefault="004A0B2E" w:rsidP="004A0B2E">
            <w:pPr>
              <w:ind w:firstLineChars="100" w:firstLine="160"/>
              <w:rPr>
                <w:rFonts w:ascii="Arial Narrow" w:hAnsi="Arial Narrow" w:cs="Arial"/>
                <w:sz w:val="16"/>
                <w:szCs w:val="16"/>
              </w:rPr>
            </w:pPr>
            <w:r w:rsidRPr="004A0B2E">
              <w:rPr>
                <w:rFonts w:ascii="Arial Narrow" w:hAnsi="Arial Narrow" w:cs="Arial"/>
                <w:sz w:val="16"/>
                <w:szCs w:val="16"/>
              </w:rPr>
              <w:t>закупено извън сектора</w:t>
            </w:r>
          </w:p>
        </w:tc>
        <w:tc>
          <w:tcPr>
            <w:tcW w:w="957" w:type="dxa"/>
            <w:tcBorders>
              <w:top w:val="nil"/>
              <w:left w:val="nil"/>
              <w:bottom w:val="single" w:sz="4" w:space="0" w:color="auto"/>
              <w:right w:val="single" w:sz="4" w:space="0" w:color="auto"/>
            </w:tcBorders>
            <w:shd w:val="clear" w:color="auto" w:fill="auto"/>
            <w:vAlign w:val="center"/>
            <w:hideMark/>
          </w:tcPr>
          <w:p w14:paraId="7FEEFFBC" w14:textId="77777777" w:rsidR="004A0B2E" w:rsidRPr="004A0B2E" w:rsidRDefault="004A0B2E" w:rsidP="004A0B2E">
            <w:pPr>
              <w:jc w:val="right"/>
              <w:rPr>
                <w:rFonts w:ascii="Arial Narrow" w:hAnsi="Arial Narrow" w:cs="Calibri"/>
                <w:sz w:val="16"/>
                <w:szCs w:val="16"/>
              </w:rPr>
            </w:pPr>
            <w:r w:rsidRPr="004A0B2E">
              <w:rPr>
                <w:rFonts w:ascii="Arial Narrow" w:hAnsi="Arial Narrow" w:cs="Calibri"/>
                <w:sz w:val="16"/>
                <w:szCs w:val="16"/>
              </w:rPr>
              <w:t>1 386,2</w:t>
            </w:r>
          </w:p>
        </w:tc>
        <w:tc>
          <w:tcPr>
            <w:tcW w:w="1118" w:type="dxa"/>
            <w:tcBorders>
              <w:top w:val="nil"/>
              <w:left w:val="nil"/>
              <w:bottom w:val="single" w:sz="4" w:space="0" w:color="auto"/>
              <w:right w:val="single" w:sz="4" w:space="0" w:color="auto"/>
            </w:tcBorders>
            <w:shd w:val="clear" w:color="auto" w:fill="auto"/>
            <w:vAlign w:val="center"/>
            <w:hideMark/>
          </w:tcPr>
          <w:p w14:paraId="0ED5CD42" w14:textId="77777777" w:rsidR="004A0B2E" w:rsidRPr="004A0B2E" w:rsidRDefault="004A0B2E" w:rsidP="004A0B2E">
            <w:pPr>
              <w:jc w:val="right"/>
              <w:rPr>
                <w:rFonts w:ascii="Arial Narrow" w:hAnsi="Arial Narrow" w:cs="Calibri"/>
                <w:sz w:val="16"/>
                <w:szCs w:val="16"/>
              </w:rPr>
            </w:pPr>
            <w:r w:rsidRPr="004A0B2E">
              <w:rPr>
                <w:rFonts w:ascii="Arial Narrow" w:hAnsi="Arial Narrow" w:cs="Calibri"/>
                <w:sz w:val="16"/>
                <w:szCs w:val="16"/>
              </w:rPr>
              <w:t>-19,8</w:t>
            </w:r>
          </w:p>
        </w:tc>
        <w:tc>
          <w:tcPr>
            <w:tcW w:w="957" w:type="dxa"/>
            <w:tcBorders>
              <w:top w:val="nil"/>
              <w:left w:val="nil"/>
              <w:bottom w:val="single" w:sz="4" w:space="0" w:color="auto"/>
              <w:right w:val="single" w:sz="4" w:space="0" w:color="auto"/>
            </w:tcBorders>
            <w:shd w:val="clear" w:color="auto" w:fill="auto"/>
            <w:vAlign w:val="center"/>
            <w:hideMark/>
          </w:tcPr>
          <w:p w14:paraId="3B300E0E" w14:textId="77777777" w:rsidR="004A0B2E" w:rsidRPr="004A0B2E" w:rsidRDefault="004A0B2E" w:rsidP="004A0B2E">
            <w:pPr>
              <w:jc w:val="right"/>
              <w:rPr>
                <w:rFonts w:ascii="Arial Narrow" w:hAnsi="Arial Narrow" w:cs="Calibri"/>
                <w:sz w:val="16"/>
                <w:szCs w:val="16"/>
              </w:rPr>
            </w:pPr>
            <w:r w:rsidRPr="004A0B2E">
              <w:rPr>
                <w:rFonts w:ascii="Arial Narrow" w:hAnsi="Arial Narrow" w:cs="Calibri"/>
                <w:sz w:val="16"/>
                <w:szCs w:val="16"/>
              </w:rPr>
              <w:t>1 112,4</w:t>
            </w:r>
          </w:p>
        </w:tc>
        <w:tc>
          <w:tcPr>
            <w:tcW w:w="1256" w:type="dxa"/>
            <w:tcBorders>
              <w:top w:val="nil"/>
              <w:left w:val="nil"/>
              <w:bottom w:val="single" w:sz="4" w:space="0" w:color="auto"/>
              <w:right w:val="single" w:sz="4" w:space="0" w:color="auto"/>
            </w:tcBorders>
            <w:shd w:val="clear" w:color="auto" w:fill="auto"/>
            <w:vAlign w:val="center"/>
            <w:hideMark/>
          </w:tcPr>
          <w:p w14:paraId="3D9807F4" w14:textId="77777777" w:rsidR="004A0B2E" w:rsidRPr="004A0B2E" w:rsidRDefault="004A0B2E" w:rsidP="004A0B2E">
            <w:pPr>
              <w:jc w:val="right"/>
              <w:rPr>
                <w:rFonts w:ascii="Arial Narrow" w:hAnsi="Arial Narrow" w:cs="Calibri"/>
                <w:sz w:val="16"/>
                <w:szCs w:val="16"/>
              </w:rPr>
            </w:pPr>
            <w:r w:rsidRPr="004A0B2E">
              <w:rPr>
                <w:rFonts w:ascii="Arial Narrow" w:hAnsi="Arial Narrow" w:cs="Calibri"/>
                <w:sz w:val="16"/>
                <w:szCs w:val="16"/>
              </w:rPr>
              <w:t>-17,0</w:t>
            </w:r>
          </w:p>
        </w:tc>
        <w:tc>
          <w:tcPr>
            <w:tcW w:w="872" w:type="dxa"/>
            <w:tcBorders>
              <w:top w:val="nil"/>
              <w:left w:val="nil"/>
              <w:bottom w:val="single" w:sz="4" w:space="0" w:color="auto"/>
              <w:right w:val="single" w:sz="4" w:space="0" w:color="auto"/>
            </w:tcBorders>
            <w:shd w:val="clear" w:color="auto" w:fill="auto"/>
            <w:vAlign w:val="center"/>
            <w:hideMark/>
          </w:tcPr>
          <w:p w14:paraId="0C75DF74" w14:textId="77777777" w:rsidR="004A0B2E" w:rsidRPr="004A0B2E" w:rsidRDefault="004A0B2E" w:rsidP="004A0B2E">
            <w:pPr>
              <w:jc w:val="right"/>
              <w:rPr>
                <w:rFonts w:ascii="Arial Narrow" w:hAnsi="Arial Narrow" w:cs="Calibri"/>
                <w:sz w:val="16"/>
                <w:szCs w:val="16"/>
              </w:rPr>
            </w:pPr>
            <w:r w:rsidRPr="004A0B2E">
              <w:rPr>
                <w:rFonts w:ascii="Arial Narrow" w:hAnsi="Arial Narrow" w:cs="Calibri"/>
                <w:sz w:val="16"/>
                <w:szCs w:val="16"/>
              </w:rPr>
              <w:t>923,2</w:t>
            </w:r>
          </w:p>
        </w:tc>
      </w:tr>
      <w:tr w:rsidR="004A0B2E" w:rsidRPr="00B10684" w14:paraId="18DDAFBB" w14:textId="77777777" w:rsidTr="005A18A5">
        <w:trPr>
          <w:trHeight w:val="224"/>
        </w:trPr>
        <w:tc>
          <w:tcPr>
            <w:tcW w:w="757" w:type="dxa"/>
            <w:tcBorders>
              <w:top w:val="nil"/>
              <w:left w:val="single" w:sz="4" w:space="0" w:color="auto"/>
              <w:bottom w:val="single" w:sz="4" w:space="0" w:color="auto"/>
              <w:right w:val="single" w:sz="4" w:space="0" w:color="auto"/>
            </w:tcBorders>
            <w:shd w:val="clear" w:color="auto" w:fill="auto"/>
            <w:noWrap/>
            <w:vAlign w:val="center"/>
            <w:hideMark/>
          </w:tcPr>
          <w:p w14:paraId="1D957D98" w14:textId="77777777" w:rsidR="004A0B2E" w:rsidRPr="004A0B2E" w:rsidRDefault="004A0B2E" w:rsidP="004A0B2E">
            <w:pPr>
              <w:rPr>
                <w:rFonts w:ascii="Arial Narrow" w:hAnsi="Arial Narrow" w:cs="Arial"/>
                <w:sz w:val="16"/>
                <w:szCs w:val="16"/>
              </w:rPr>
            </w:pPr>
            <w:r w:rsidRPr="004A0B2E">
              <w:rPr>
                <w:rFonts w:ascii="Arial Narrow" w:hAnsi="Arial Narrow" w:cs="Arial"/>
                <w:sz w:val="16"/>
                <w:szCs w:val="16"/>
              </w:rPr>
              <w:t>19.04</w:t>
            </w:r>
          </w:p>
        </w:tc>
        <w:tc>
          <w:tcPr>
            <w:tcW w:w="5279" w:type="dxa"/>
            <w:tcBorders>
              <w:top w:val="nil"/>
              <w:left w:val="nil"/>
              <w:bottom w:val="single" w:sz="4" w:space="0" w:color="auto"/>
              <w:right w:val="single" w:sz="4" w:space="0" w:color="auto"/>
            </w:tcBorders>
            <w:shd w:val="clear" w:color="auto" w:fill="auto"/>
            <w:vAlign w:val="center"/>
            <w:hideMark/>
          </w:tcPr>
          <w:p w14:paraId="0B000365" w14:textId="77777777" w:rsidR="004A0B2E" w:rsidRPr="004A0B2E" w:rsidRDefault="008E26A1" w:rsidP="004A0B2E">
            <w:pPr>
              <w:rPr>
                <w:rFonts w:ascii="Arial Narrow" w:hAnsi="Arial Narrow" w:cs="Arial"/>
                <w:sz w:val="16"/>
                <w:szCs w:val="16"/>
              </w:rPr>
            </w:pPr>
            <w:r w:rsidRPr="008E26A1">
              <w:rPr>
                <w:rFonts w:ascii="Arial Narrow" w:hAnsi="Arial Narrow" w:cs="Arial"/>
                <w:sz w:val="16"/>
                <w:szCs w:val="16"/>
              </w:rPr>
              <w:t>Пр</w:t>
            </w:r>
            <w:r w:rsidRPr="008E26A1">
              <w:rPr>
                <w:rFonts w:ascii="Arial Narrow" w:hAnsi="Arial Narrow" w:cs="Arial"/>
                <w:sz w:val="16"/>
                <w:szCs w:val="16"/>
                <w:lang w:val="bg-BG"/>
              </w:rPr>
              <w:t>одук</w:t>
            </w:r>
            <w:r w:rsidRPr="008E26A1">
              <w:rPr>
                <w:rFonts w:ascii="Arial Narrow" w:hAnsi="Arial Narrow" w:cs="Arial"/>
                <w:sz w:val="16"/>
                <w:szCs w:val="16"/>
              </w:rPr>
              <w:t>ти за растителна защита и пестициди</w:t>
            </w:r>
          </w:p>
        </w:tc>
        <w:tc>
          <w:tcPr>
            <w:tcW w:w="957" w:type="dxa"/>
            <w:tcBorders>
              <w:top w:val="nil"/>
              <w:left w:val="nil"/>
              <w:bottom w:val="single" w:sz="4" w:space="0" w:color="auto"/>
              <w:right w:val="single" w:sz="4" w:space="0" w:color="auto"/>
            </w:tcBorders>
            <w:shd w:val="clear" w:color="auto" w:fill="auto"/>
            <w:vAlign w:val="center"/>
            <w:hideMark/>
          </w:tcPr>
          <w:p w14:paraId="1A8EDEA2" w14:textId="77777777" w:rsidR="004A0B2E" w:rsidRPr="004A0B2E" w:rsidRDefault="004A0B2E" w:rsidP="004A0B2E">
            <w:pPr>
              <w:jc w:val="right"/>
              <w:rPr>
                <w:rFonts w:ascii="Arial Narrow" w:hAnsi="Arial Narrow" w:cs="Calibri"/>
                <w:sz w:val="16"/>
                <w:szCs w:val="16"/>
              </w:rPr>
            </w:pPr>
            <w:r w:rsidRPr="004A0B2E">
              <w:rPr>
                <w:rFonts w:ascii="Arial Narrow" w:hAnsi="Arial Narrow" w:cs="Calibri"/>
                <w:sz w:val="16"/>
                <w:szCs w:val="16"/>
              </w:rPr>
              <w:t>511,8</w:t>
            </w:r>
          </w:p>
        </w:tc>
        <w:tc>
          <w:tcPr>
            <w:tcW w:w="1118" w:type="dxa"/>
            <w:tcBorders>
              <w:top w:val="nil"/>
              <w:left w:val="nil"/>
              <w:bottom w:val="single" w:sz="4" w:space="0" w:color="auto"/>
              <w:right w:val="single" w:sz="4" w:space="0" w:color="auto"/>
            </w:tcBorders>
            <w:shd w:val="clear" w:color="auto" w:fill="auto"/>
            <w:vAlign w:val="center"/>
            <w:hideMark/>
          </w:tcPr>
          <w:p w14:paraId="75FFB561" w14:textId="77777777" w:rsidR="004A0B2E" w:rsidRPr="004A0B2E" w:rsidRDefault="004A0B2E" w:rsidP="004A0B2E">
            <w:pPr>
              <w:jc w:val="right"/>
              <w:rPr>
                <w:rFonts w:ascii="Arial Narrow" w:hAnsi="Arial Narrow" w:cs="Calibri"/>
                <w:sz w:val="16"/>
                <w:szCs w:val="16"/>
              </w:rPr>
            </w:pPr>
            <w:r w:rsidRPr="004A0B2E">
              <w:rPr>
                <w:rFonts w:ascii="Arial Narrow" w:hAnsi="Arial Narrow" w:cs="Calibri"/>
                <w:sz w:val="16"/>
                <w:szCs w:val="16"/>
              </w:rPr>
              <w:t>0,4</w:t>
            </w:r>
          </w:p>
        </w:tc>
        <w:tc>
          <w:tcPr>
            <w:tcW w:w="957" w:type="dxa"/>
            <w:tcBorders>
              <w:top w:val="nil"/>
              <w:left w:val="nil"/>
              <w:bottom w:val="single" w:sz="4" w:space="0" w:color="auto"/>
              <w:right w:val="single" w:sz="4" w:space="0" w:color="auto"/>
            </w:tcBorders>
            <w:shd w:val="clear" w:color="auto" w:fill="auto"/>
            <w:vAlign w:val="center"/>
            <w:hideMark/>
          </w:tcPr>
          <w:p w14:paraId="6DDE43D8" w14:textId="77777777" w:rsidR="004A0B2E" w:rsidRPr="004A0B2E" w:rsidRDefault="004A0B2E" w:rsidP="004A0B2E">
            <w:pPr>
              <w:jc w:val="right"/>
              <w:rPr>
                <w:rFonts w:ascii="Arial Narrow" w:hAnsi="Arial Narrow" w:cs="Calibri"/>
                <w:sz w:val="16"/>
                <w:szCs w:val="16"/>
              </w:rPr>
            </w:pPr>
            <w:r w:rsidRPr="004A0B2E">
              <w:rPr>
                <w:rFonts w:ascii="Arial Narrow" w:hAnsi="Arial Narrow" w:cs="Calibri"/>
                <w:sz w:val="16"/>
                <w:szCs w:val="16"/>
              </w:rPr>
              <w:t>513,8</w:t>
            </w:r>
          </w:p>
        </w:tc>
        <w:tc>
          <w:tcPr>
            <w:tcW w:w="1256" w:type="dxa"/>
            <w:tcBorders>
              <w:top w:val="nil"/>
              <w:left w:val="nil"/>
              <w:bottom w:val="single" w:sz="4" w:space="0" w:color="auto"/>
              <w:right w:val="single" w:sz="4" w:space="0" w:color="auto"/>
            </w:tcBorders>
            <w:shd w:val="clear" w:color="auto" w:fill="auto"/>
            <w:vAlign w:val="center"/>
            <w:hideMark/>
          </w:tcPr>
          <w:p w14:paraId="02DDAE2F" w14:textId="77777777" w:rsidR="004A0B2E" w:rsidRPr="004A0B2E" w:rsidRDefault="004A0B2E" w:rsidP="004A0B2E">
            <w:pPr>
              <w:jc w:val="right"/>
              <w:rPr>
                <w:rFonts w:ascii="Arial Narrow" w:hAnsi="Arial Narrow" w:cs="Calibri"/>
                <w:sz w:val="16"/>
                <w:szCs w:val="16"/>
              </w:rPr>
            </w:pPr>
            <w:r w:rsidRPr="004A0B2E">
              <w:rPr>
                <w:rFonts w:ascii="Arial Narrow" w:hAnsi="Arial Narrow" w:cs="Calibri"/>
                <w:sz w:val="16"/>
                <w:szCs w:val="16"/>
              </w:rPr>
              <w:t>-1,5</w:t>
            </w:r>
          </w:p>
        </w:tc>
        <w:tc>
          <w:tcPr>
            <w:tcW w:w="872" w:type="dxa"/>
            <w:tcBorders>
              <w:top w:val="nil"/>
              <w:left w:val="nil"/>
              <w:bottom w:val="single" w:sz="4" w:space="0" w:color="auto"/>
              <w:right w:val="single" w:sz="4" w:space="0" w:color="auto"/>
            </w:tcBorders>
            <w:shd w:val="clear" w:color="auto" w:fill="auto"/>
            <w:vAlign w:val="center"/>
            <w:hideMark/>
          </w:tcPr>
          <w:p w14:paraId="0D6FE62B" w14:textId="77777777" w:rsidR="004A0B2E" w:rsidRPr="004A0B2E" w:rsidRDefault="004A0B2E" w:rsidP="004A0B2E">
            <w:pPr>
              <w:jc w:val="right"/>
              <w:rPr>
                <w:rFonts w:ascii="Arial Narrow" w:hAnsi="Arial Narrow" w:cs="Calibri"/>
                <w:sz w:val="16"/>
                <w:szCs w:val="16"/>
              </w:rPr>
            </w:pPr>
            <w:r w:rsidRPr="004A0B2E">
              <w:rPr>
                <w:rFonts w:ascii="Arial Narrow" w:hAnsi="Arial Narrow" w:cs="Calibri"/>
                <w:sz w:val="16"/>
                <w:szCs w:val="16"/>
              </w:rPr>
              <w:t>506,1</w:t>
            </w:r>
          </w:p>
        </w:tc>
      </w:tr>
      <w:tr w:rsidR="004A0B2E" w:rsidRPr="00B10684" w14:paraId="2A0AC9D8" w14:textId="77777777" w:rsidTr="005A18A5">
        <w:trPr>
          <w:trHeight w:val="183"/>
        </w:trPr>
        <w:tc>
          <w:tcPr>
            <w:tcW w:w="757" w:type="dxa"/>
            <w:tcBorders>
              <w:top w:val="nil"/>
              <w:left w:val="single" w:sz="4" w:space="0" w:color="auto"/>
              <w:bottom w:val="single" w:sz="4" w:space="0" w:color="auto"/>
              <w:right w:val="single" w:sz="4" w:space="0" w:color="auto"/>
            </w:tcBorders>
            <w:shd w:val="clear" w:color="auto" w:fill="auto"/>
            <w:noWrap/>
            <w:vAlign w:val="center"/>
            <w:hideMark/>
          </w:tcPr>
          <w:p w14:paraId="0BAB5494" w14:textId="77777777" w:rsidR="004A0B2E" w:rsidRPr="004A0B2E" w:rsidRDefault="004A0B2E" w:rsidP="004A0B2E">
            <w:pPr>
              <w:rPr>
                <w:rFonts w:ascii="Arial Narrow" w:hAnsi="Arial Narrow" w:cs="Arial"/>
                <w:sz w:val="16"/>
                <w:szCs w:val="16"/>
              </w:rPr>
            </w:pPr>
            <w:r w:rsidRPr="004A0B2E">
              <w:rPr>
                <w:rFonts w:ascii="Arial Narrow" w:hAnsi="Arial Narrow" w:cs="Arial"/>
                <w:sz w:val="16"/>
                <w:szCs w:val="16"/>
              </w:rPr>
              <w:t>19.05</w:t>
            </w:r>
          </w:p>
        </w:tc>
        <w:tc>
          <w:tcPr>
            <w:tcW w:w="5279" w:type="dxa"/>
            <w:tcBorders>
              <w:top w:val="nil"/>
              <w:left w:val="nil"/>
              <w:bottom w:val="single" w:sz="4" w:space="0" w:color="auto"/>
              <w:right w:val="single" w:sz="4" w:space="0" w:color="auto"/>
            </w:tcBorders>
            <w:shd w:val="clear" w:color="auto" w:fill="auto"/>
            <w:vAlign w:val="center"/>
            <w:hideMark/>
          </w:tcPr>
          <w:p w14:paraId="46D87BB8" w14:textId="77777777" w:rsidR="004A0B2E" w:rsidRPr="004A0B2E" w:rsidRDefault="004A0B2E" w:rsidP="004A0B2E">
            <w:pPr>
              <w:rPr>
                <w:rFonts w:ascii="Arial Narrow" w:hAnsi="Arial Narrow" w:cs="Arial"/>
                <w:sz w:val="16"/>
                <w:szCs w:val="16"/>
              </w:rPr>
            </w:pPr>
            <w:r w:rsidRPr="004A0B2E">
              <w:rPr>
                <w:rFonts w:ascii="Arial Narrow" w:hAnsi="Arial Narrow" w:cs="Arial"/>
                <w:sz w:val="16"/>
                <w:szCs w:val="16"/>
              </w:rPr>
              <w:t>Ветеринарни разходи</w:t>
            </w:r>
          </w:p>
        </w:tc>
        <w:tc>
          <w:tcPr>
            <w:tcW w:w="957" w:type="dxa"/>
            <w:tcBorders>
              <w:top w:val="nil"/>
              <w:left w:val="nil"/>
              <w:bottom w:val="single" w:sz="4" w:space="0" w:color="auto"/>
              <w:right w:val="single" w:sz="4" w:space="0" w:color="auto"/>
            </w:tcBorders>
            <w:shd w:val="clear" w:color="auto" w:fill="auto"/>
            <w:vAlign w:val="center"/>
            <w:hideMark/>
          </w:tcPr>
          <w:p w14:paraId="7A0F2665" w14:textId="77777777" w:rsidR="004A0B2E" w:rsidRPr="004A0B2E" w:rsidRDefault="004A0B2E" w:rsidP="004A0B2E">
            <w:pPr>
              <w:jc w:val="right"/>
              <w:rPr>
                <w:rFonts w:ascii="Arial Narrow" w:hAnsi="Arial Narrow" w:cs="Calibri"/>
                <w:sz w:val="16"/>
                <w:szCs w:val="16"/>
              </w:rPr>
            </w:pPr>
            <w:r w:rsidRPr="004A0B2E">
              <w:rPr>
                <w:rFonts w:ascii="Arial Narrow" w:hAnsi="Arial Narrow" w:cs="Calibri"/>
                <w:sz w:val="16"/>
                <w:szCs w:val="16"/>
              </w:rPr>
              <w:t>221,6</w:t>
            </w:r>
          </w:p>
        </w:tc>
        <w:tc>
          <w:tcPr>
            <w:tcW w:w="1118" w:type="dxa"/>
            <w:tcBorders>
              <w:top w:val="nil"/>
              <w:left w:val="nil"/>
              <w:bottom w:val="single" w:sz="4" w:space="0" w:color="auto"/>
              <w:right w:val="single" w:sz="4" w:space="0" w:color="auto"/>
            </w:tcBorders>
            <w:shd w:val="clear" w:color="auto" w:fill="auto"/>
            <w:vAlign w:val="center"/>
            <w:hideMark/>
          </w:tcPr>
          <w:p w14:paraId="3240E7C1" w14:textId="77777777" w:rsidR="004A0B2E" w:rsidRPr="004A0B2E" w:rsidRDefault="004A0B2E" w:rsidP="004A0B2E">
            <w:pPr>
              <w:jc w:val="right"/>
              <w:rPr>
                <w:rFonts w:ascii="Arial Narrow" w:hAnsi="Arial Narrow" w:cs="Calibri"/>
                <w:sz w:val="16"/>
                <w:szCs w:val="16"/>
              </w:rPr>
            </w:pPr>
            <w:r w:rsidRPr="004A0B2E">
              <w:rPr>
                <w:rFonts w:ascii="Arial Narrow" w:hAnsi="Arial Narrow" w:cs="Calibri"/>
                <w:sz w:val="16"/>
                <w:szCs w:val="16"/>
              </w:rPr>
              <w:t>-27,1</w:t>
            </w:r>
          </w:p>
        </w:tc>
        <w:tc>
          <w:tcPr>
            <w:tcW w:w="957" w:type="dxa"/>
            <w:tcBorders>
              <w:top w:val="nil"/>
              <w:left w:val="nil"/>
              <w:bottom w:val="single" w:sz="4" w:space="0" w:color="auto"/>
              <w:right w:val="single" w:sz="4" w:space="0" w:color="auto"/>
            </w:tcBorders>
            <w:shd w:val="clear" w:color="auto" w:fill="auto"/>
            <w:vAlign w:val="center"/>
            <w:hideMark/>
          </w:tcPr>
          <w:p w14:paraId="7F07A2B6" w14:textId="77777777" w:rsidR="004A0B2E" w:rsidRPr="004A0B2E" w:rsidRDefault="004A0B2E" w:rsidP="004A0B2E">
            <w:pPr>
              <w:jc w:val="right"/>
              <w:rPr>
                <w:rFonts w:ascii="Arial Narrow" w:hAnsi="Arial Narrow" w:cs="Calibri"/>
                <w:sz w:val="16"/>
                <w:szCs w:val="16"/>
              </w:rPr>
            </w:pPr>
            <w:r w:rsidRPr="004A0B2E">
              <w:rPr>
                <w:rFonts w:ascii="Arial Narrow" w:hAnsi="Arial Narrow" w:cs="Calibri"/>
                <w:sz w:val="16"/>
                <w:szCs w:val="16"/>
              </w:rPr>
              <w:t>161,6</w:t>
            </w:r>
          </w:p>
        </w:tc>
        <w:tc>
          <w:tcPr>
            <w:tcW w:w="1256" w:type="dxa"/>
            <w:tcBorders>
              <w:top w:val="nil"/>
              <w:left w:val="nil"/>
              <w:bottom w:val="single" w:sz="4" w:space="0" w:color="auto"/>
              <w:right w:val="single" w:sz="4" w:space="0" w:color="auto"/>
            </w:tcBorders>
            <w:shd w:val="clear" w:color="auto" w:fill="auto"/>
            <w:vAlign w:val="center"/>
            <w:hideMark/>
          </w:tcPr>
          <w:p w14:paraId="62FA2AE2" w14:textId="77777777" w:rsidR="004A0B2E" w:rsidRPr="004A0B2E" w:rsidRDefault="004A0B2E" w:rsidP="004A0B2E">
            <w:pPr>
              <w:jc w:val="right"/>
              <w:rPr>
                <w:rFonts w:ascii="Arial Narrow" w:hAnsi="Arial Narrow" w:cs="Calibri"/>
                <w:sz w:val="16"/>
                <w:szCs w:val="16"/>
              </w:rPr>
            </w:pPr>
            <w:r w:rsidRPr="004A0B2E">
              <w:rPr>
                <w:rFonts w:ascii="Arial Narrow" w:hAnsi="Arial Narrow" w:cs="Calibri"/>
                <w:sz w:val="16"/>
                <w:szCs w:val="16"/>
              </w:rPr>
              <w:t>-24,5</w:t>
            </w:r>
          </w:p>
        </w:tc>
        <w:tc>
          <w:tcPr>
            <w:tcW w:w="872" w:type="dxa"/>
            <w:tcBorders>
              <w:top w:val="nil"/>
              <w:left w:val="nil"/>
              <w:bottom w:val="single" w:sz="4" w:space="0" w:color="auto"/>
              <w:right w:val="single" w:sz="4" w:space="0" w:color="auto"/>
            </w:tcBorders>
            <w:shd w:val="clear" w:color="auto" w:fill="auto"/>
            <w:vAlign w:val="center"/>
            <w:hideMark/>
          </w:tcPr>
          <w:p w14:paraId="324C093A" w14:textId="77777777" w:rsidR="004A0B2E" w:rsidRPr="004A0B2E" w:rsidRDefault="004A0B2E" w:rsidP="004A0B2E">
            <w:pPr>
              <w:jc w:val="right"/>
              <w:rPr>
                <w:rFonts w:ascii="Arial Narrow" w:hAnsi="Arial Narrow" w:cs="Calibri"/>
                <w:sz w:val="16"/>
                <w:szCs w:val="16"/>
              </w:rPr>
            </w:pPr>
            <w:r w:rsidRPr="004A0B2E">
              <w:rPr>
                <w:rFonts w:ascii="Arial Narrow" w:hAnsi="Arial Narrow" w:cs="Calibri"/>
                <w:sz w:val="16"/>
                <w:szCs w:val="16"/>
              </w:rPr>
              <w:t>122,0</w:t>
            </w:r>
          </w:p>
        </w:tc>
      </w:tr>
      <w:tr w:rsidR="004A0B2E" w:rsidRPr="00B10684" w14:paraId="3626D23A" w14:textId="77777777" w:rsidTr="005A18A5">
        <w:trPr>
          <w:trHeight w:val="183"/>
        </w:trPr>
        <w:tc>
          <w:tcPr>
            <w:tcW w:w="757" w:type="dxa"/>
            <w:tcBorders>
              <w:top w:val="nil"/>
              <w:left w:val="single" w:sz="4" w:space="0" w:color="auto"/>
              <w:bottom w:val="single" w:sz="4" w:space="0" w:color="auto"/>
              <w:right w:val="single" w:sz="4" w:space="0" w:color="auto"/>
            </w:tcBorders>
            <w:shd w:val="clear" w:color="auto" w:fill="auto"/>
            <w:noWrap/>
            <w:vAlign w:val="center"/>
            <w:hideMark/>
          </w:tcPr>
          <w:p w14:paraId="7AEE19CA" w14:textId="77777777" w:rsidR="004A0B2E" w:rsidRPr="004A0B2E" w:rsidRDefault="004A0B2E" w:rsidP="004A0B2E">
            <w:pPr>
              <w:rPr>
                <w:rFonts w:ascii="Arial Narrow" w:hAnsi="Arial Narrow" w:cs="Arial"/>
                <w:sz w:val="16"/>
                <w:szCs w:val="16"/>
              </w:rPr>
            </w:pPr>
            <w:r w:rsidRPr="004A0B2E">
              <w:rPr>
                <w:rFonts w:ascii="Arial Narrow" w:hAnsi="Arial Narrow" w:cs="Arial"/>
                <w:sz w:val="16"/>
                <w:szCs w:val="16"/>
              </w:rPr>
              <w:t>19.06</w:t>
            </w:r>
          </w:p>
        </w:tc>
        <w:tc>
          <w:tcPr>
            <w:tcW w:w="5279" w:type="dxa"/>
            <w:tcBorders>
              <w:top w:val="nil"/>
              <w:left w:val="nil"/>
              <w:bottom w:val="single" w:sz="4" w:space="0" w:color="auto"/>
              <w:right w:val="single" w:sz="4" w:space="0" w:color="auto"/>
            </w:tcBorders>
            <w:shd w:val="clear" w:color="auto" w:fill="auto"/>
            <w:vAlign w:val="center"/>
            <w:hideMark/>
          </w:tcPr>
          <w:p w14:paraId="1B604EAD" w14:textId="77777777" w:rsidR="004A0B2E" w:rsidRPr="004A0B2E" w:rsidRDefault="004A0B2E" w:rsidP="004A0B2E">
            <w:pPr>
              <w:rPr>
                <w:rFonts w:ascii="Arial Narrow" w:hAnsi="Arial Narrow" w:cs="Arial"/>
                <w:sz w:val="16"/>
                <w:szCs w:val="16"/>
              </w:rPr>
            </w:pPr>
            <w:r w:rsidRPr="004A0B2E">
              <w:rPr>
                <w:rFonts w:ascii="Arial Narrow" w:hAnsi="Arial Narrow" w:cs="Arial"/>
                <w:sz w:val="16"/>
                <w:szCs w:val="16"/>
              </w:rPr>
              <w:t>Фуражни добавки</w:t>
            </w:r>
          </w:p>
        </w:tc>
        <w:tc>
          <w:tcPr>
            <w:tcW w:w="957" w:type="dxa"/>
            <w:tcBorders>
              <w:top w:val="nil"/>
              <w:left w:val="nil"/>
              <w:bottom w:val="single" w:sz="4" w:space="0" w:color="auto"/>
              <w:right w:val="single" w:sz="4" w:space="0" w:color="auto"/>
            </w:tcBorders>
            <w:shd w:val="clear" w:color="auto" w:fill="auto"/>
            <w:vAlign w:val="center"/>
            <w:hideMark/>
          </w:tcPr>
          <w:p w14:paraId="58B6F2BA" w14:textId="77777777" w:rsidR="004A0B2E" w:rsidRPr="004A0B2E" w:rsidRDefault="004A0B2E" w:rsidP="004A0B2E">
            <w:pPr>
              <w:jc w:val="right"/>
              <w:rPr>
                <w:rFonts w:ascii="Arial Narrow" w:hAnsi="Arial Narrow" w:cs="Calibri"/>
                <w:sz w:val="16"/>
                <w:szCs w:val="16"/>
              </w:rPr>
            </w:pPr>
            <w:r w:rsidRPr="004A0B2E">
              <w:rPr>
                <w:rFonts w:ascii="Arial Narrow" w:hAnsi="Arial Narrow" w:cs="Calibri"/>
                <w:sz w:val="16"/>
                <w:szCs w:val="16"/>
              </w:rPr>
              <w:t>1 479,3</w:t>
            </w:r>
          </w:p>
        </w:tc>
        <w:tc>
          <w:tcPr>
            <w:tcW w:w="1118" w:type="dxa"/>
            <w:tcBorders>
              <w:top w:val="nil"/>
              <w:left w:val="nil"/>
              <w:bottom w:val="single" w:sz="4" w:space="0" w:color="auto"/>
              <w:right w:val="single" w:sz="4" w:space="0" w:color="auto"/>
            </w:tcBorders>
            <w:shd w:val="clear" w:color="auto" w:fill="auto"/>
            <w:vAlign w:val="center"/>
            <w:hideMark/>
          </w:tcPr>
          <w:p w14:paraId="7D8AA607" w14:textId="77777777" w:rsidR="004A0B2E" w:rsidRPr="004A0B2E" w:rsidRDefault="004A0B2E" w:rsidP="004A0B2E">
            <w:pPr>
              <w:jc w:val="right"/>
              <w:rPr>
                <w:rFonts w:ascii="Arial Narrow" w:hAnsi="Arial Narrow" w:cs="Calibri"/>
                <w:sz w:val="16"/>
                <w:szCs w:val="16"/>
              </w:rPr>
            </w:pPr>
            <w:r w:rsidRPr="004A0B2E">
              <w:rPr>
                <w:rFonts w:ascii="Arial Narrow" w:hAnsi="Arial Narrow" w:cs="Calibri"/>
                <w:sz w:val="16"/>
                <w:szCs w:val="16"/>
              </w:rPr>
              <w:t>-8,7</w:t>
            </w:r>
          </w:p>
        </w:tc>
        <w:tc>
          <w:tcPr>
            <w:tcW w:w="957" w:type="dxa"/>
            <w:tcBorders>
              <w:top w:val="nil"/>
              <w:left w:val="nil"/>
              <w:bottom w:val="single" w:sz="4" w:space="0" w:color="auto"/>
              <w:right w:val="single" w:sz="4" w:space="0" w:color="auto"/>
            </w:tcBorders>
            <w:shd w:val="clear" w:color="auto" w:fill="auto"/>
            <w:vAlign w:val="center"/>
            <w:hideMark/>
          </w:tcPr>
          <w:p w14:paraId="4B10604A" w14:textId="77777777" w:rsidR="004A0B2E" w:rsidRPr="004A0B2E" w:rsidRDefault="004A0B2E" w:rsidP="004A0B2E">
            <w:pPr>
              <w:jc w:val="right"/>
              <w:rPr>
                <w:rFonts w:ascii="Arial Narrow" w:hAnsi="Arial Narrow" w:cs="Calibri"/>
                <w:sz w:val="16"/>
                <w:szCs w:val="16"/>
              </w:rPr>
            </w:pPr>
            <w:r w:rsidRPr="004A0B2E">
              <w:rPr>
                <w:rFonts w:ascii="Arial Narrow" w:hAnsi="Arial Narrow" w:cs="Calibri"/>
                <w:sz w:val="16"/>
                <w:szCs w:val="16"/>
              </w:rPr>
              <w:t>1 351,0</w:t>
            </w:r>
          </w:p>
        </w:tc>
        <w:tc>
          <w:tcPr>
            <w:tcW w:w="1256" w:type="dxa"/>
            <w:tcBorders>
              <w:top w:val="nil"/>
              <w:left w:val="nil"/>
              <w:bottom w:val="single" w:sz="4" w:space="0" w:color="auto"/>
              <w:right w:val="single" w:sz="4" w:space="0" w:color="auto"/>
            </w:tcBorders>
            <w:shd w:val="clear" w:color="auto" w:fill="auto"/>
            <w:vAlign w:val="center"/>
            <w:hideMark/>
          </w:tcPr>
          <w:p w14:paraId="4E4AD990" w14:textId="77777777" w:rsidR="004A0B2E" w:rsidRPr="004A0B2E" w:rsidRDefault="004A0B2E" w:rsidP="004A0B2E">
            <w:pPr>
              <w:jc w:val="right"/>
              <w:rPr>
                <w:rFonts w:ascii="Arial Narrow" w:hAnsi="Arial Narrow" w:cs="Calibri"/>
                <w:sz w:val="16"/>
                <w:szCs w:val="16"/>
              </w:rPr>
            </w:pPr>
            <w:r w:rsidRPr="004A0B2E">
              <w:rPr>
                <w:rFonts w:ascii="Arial Narrow" w:hAnsi="Arial Narrow" w:cs="Calibri"/>
                <w:sz w:val="16"/>
                <w:szCs w:val="16"/>
              </w:rPr>
              <w:t>-10,9</w:t>
            </w:r>
          </w:p>
        </w:tc>
        <w:tc>
          <w:tcPr>
            <w:tcW w:w="872" w:type="dxa"/>
            <w:tcBorders>
              <w:top w:val="nil"/>
              <w:left w:val="nil"/>
              <w:bottom w:val="single" w:sz="4" w:space="0" w:color="auto"/>
              <w:right w:val="single" w:sz="4" w:space="0" w:color="auto"/>
            </w:tcBorders>
            <w:shd w:val="clear" w:color="auto" w:fill="auto"/>
            <w:vAlign w:val="center"/>
            <w:hideMark/>
          </w:tcPr>
          <w:p w14:paraId="28894B9F" w14:textId="77777777" w:rsidR="004A0B2E" w:rsidRPr="004A0B2E" w:rsidRDefault="004A0B2E" w:rsidP="004A0B2E">
            <w:pPr>
              <w:jc w:val="right"/>
              <w:rPr>
                <w:rFonts w:ascii="Arial Narrow" w:hAnsi="Arial Narrow" w:cs="Calibri"/>
                <w:sz w:val="16"/>
                <w:szCs w:val="16"/>
              </w:rPr>
            </w:pPr>
            <w:r w:rsidRPr="004A0B2E">
              <w:rPr>
                <w:rFonts w:ascii="Arial Narrow" w:hAnsi="Arial Narrow" w:cs="Calibri"/>
                <w:sz w:val="16"/>
                <w:szCs w:val="16"/>
              </w:rPr>
              <w:t>1 203,8</w:t>
            </w:r>
          </w:p>
        </w:tc>
      </w:tr>
      <w:tr w:rsidR="004A0B2E" w:rsidRPr="00B10684" w14:paraId="3F479876" w14:textId="77777777" w:rsidTr="005A18A5">
        <w:trPr>
          <w:trHeight w:val="275"/>
        </w:trPr>
        <w:tc>
          <w:tcPr>
            <w:tcW w:w="757" w:type="dxa"/>
            <w:tcBorders>
              <w:top w:val="nil"/>
              <w:left w:val="single" w:sz="4" w:space="0" w:color="auto"/>
              <w:bottom w:val="single" w:sz="4" w:space="0" w:color="auto"/>
              <w:right w:val="single" w:sz="4" w:space="0" w:color="auto"/>
            </w:tcBorders>
            <w:shd w:val="clear" w:color="auto" w:fill="auto"/>
            <w:noWrap/>
            <w:vAlign w:val="center"/>
            <w:hideMark/>
          </w:tcPr>
          <w:p w14:paraId="0A5BCF25" w14:textId="77777777" w:rsidR="004A0B2E" w:rsidRPr="004A0B2E" w:rsidRDefault="004A0B2E" w:rsidP="004A0B2E">
            <w:pPr>
              <w:rPr>
                <w:rFonts w:ascii="Arial Narrow" w:hAnsi="Arial Narrow" w:cs="Arial"/>
                <w:sz w:val="16"/>
                <w:szCs w:val="16"/>
              </w:rPr>
            </w:pPr>
            <w:r w:rsidRPr="004A0B2E">
              <w:rPr>
                <w:rFonts w:ascii="Arial Narrow" w:hAnsi="Arial Narrow" w:cs="Arial"/>
                <w:sz w:val="16"/>
                <w:szCs w:val="16"/>
              </w:rPr>
              <w:t>19.06/1</w:t>
            </w:r>
          </w:p>
        </w:tc>
        <w:tc>
          <w:tcPr>
            <w:tcW w:w="5279" w:type="dxa"/>
            <w:tcBorders>
              <w:top w:val="nil"/>
              <w:left w:val="nil"/>
              <w:bottom w:val="single" w:sz="4" w:space="0" w:color="auto"/>
              <w:right w:val="single" w:sz="4" w:space="0" w:color="auto"/>
            </w:tcBorders>
            <w:shd w:val="clear" w:color="auto" w:fill="auto"/>
            <w:vAlign w:val="center"/>
            <w:hideMark/>
          </w:tcPr>
          <w:p w14:paraId="7F266A45" w14:textId="77777777" w:rsidR="004A0B2E" w:rsidRPr="004A0B2E" w:rsidRDefault="004A0B2E" w:rsidP="004A0B2E">
            <w:pPr>
              <w:ind w:firstLineChars="100" w:firstLine="160"/>
              <w:rPr>
                <w:rFonts w:ascii="Arial Narrow" w:hAnsi="Arial Narrow" w:cs="Arial"/>
                <w:sz w:val="16"/>
                <w:szCs w:val="16"/>
              </w:rPr>
            </w:pPr>
            <w:r w:rsidRPr="004A0B2E">
              <w:rPr>
                <w:rFonts w:ascii="Arial Narrow" w:hAnsi="Arial Narrow" w:cs="Arial"/>
                <w:sz w:val="16"/>
                <w:szCs w:val="16"/>
              </w:rPr>
              <w:t>доставено от други селскостопански предприятия</w:t>
            </w:r>
          </w:p>
        </w:tc>
        <w:tc>
          <w:tcPr>
            <w:tcW w:w="957" w:type="dxa"/>
            <w:tcBorders>
              <w:top w:val="nil"/>
              <w:left w:val="nil"/>
              <w:bottom w:val="single" w:sz="4" w:space="0" w:color="auto"/>
              <w:right w:val="single" w:sz="4" w:space="0" w:color="auto"/>
            </w:tcBorders>
            <w:shd w:val="clear" w:color="auto" w:fill="auto"/>
            <w:vAlign w:val="center"/>
            <w:hideMark/>
          </w:tcPr>
          <w:p w14:paraId="7FC7E33B" w14:textId="77777777" w:rsidR="004A0B2E" w:rsidRPr="004A0B2E" w:rsidRDefault="004A0B2E" w:rsidP="004A0B2E">
            <w:pPr>
              <w:jc w:val="right"/>
              <w:rPr>
                <w:rFonts w:ascii="Arial Narrow" w:hAnsi="Arial Narrow" w:cs="Calibri"/>
                <w:sz w:val="16"/>
                <w:szCs w:val="16"/>
              </w:rPr>
            </w:pPr>
            <w:r w:rsidRPr="004A0B2E">
              <w:rPr>
                <w:rFonts w:ascii="Arial Narrow" w:hAnsi="Arial Narrow" w:cs="Calibri"/>
                <w:sz w:val="16"/>
                <w:szCs w:val="16"/>
              </w:rPr>
              <w:t>534,9</w:t>
            </w:r>
          </w:p>
        </w:tc>
        <w:tc>
          <w:tcPr>
            <w:tcW w:w="1118" w:type="dxa"/>
            <w:tcBorders>
              <w:top w:val="nil"/>
              <w:left w:val="nil"/>
              <w:bottom w:val="single" w:sz="4" w:space="0" w:color="auto"/>
              <w:right w:val="single" w:sz="4" w:space="0" w:color="auto"/>
            </w:tcBorders>
            <w:shd w:val="clear" w:color="auto" w:fill="auto"/>
            <w:vAlign w:val="center"/>
            <w:hideMark/>
          </w:tcPr>
          <w:p w14:paraId="32654C8A" w14:textId="77777777" w:rsidR="004A0B2E" w:rsidRPr="004A0B2E" w:rsidRDefault="004A0B2E" w:rsidP="004A0B2E">
            <w:pPr>
              <w:jc w:val="right"/>
              <w:rPr>
                <w:rFonts w:ascii="Arial Narrow" w:hAnsi="Arial Narrow" w:cs="Calibri"/>
                <w:sz w:val="16"/>
                <w:szCs w:val="16"/>
              </w:rPr>
            </w:pPr>
            <w:r w:rsidRPr="004A0B2E">
              <w:rPr>
                <w:rFonts w:ascii="Arial Narrow" w:hAnsi="Arial Narrow" w:cs="Calibri"/>
                <w:sz w:val="16"/>
                <w:szCs w:val="16"/>
              </w:rPr>
              <w:t>1,0</w:t>
            </w:r>
          </w:p>
        </w:tc>
        <w:tc>
          <w:tcPr>
            <w:tcW w:w="957" w:type="dxa"/>
            <w:tcBorders>
              <w:top w:val="nil"/>
              <w:left w:val="nil"/>
              <w:bottom w:val="single" w:sz="4" w:space="0" w:color="auto"/>
              <w:right w:val="single" w:sz="4" w:space="0" w:color="auto"/>
            </w:tcBorders>
            <w:shd w:val="clear" w:color="auto" w:fill="auto"/>
            <w:vAlign w:val="center"/>
            <w:hideMark/>
          </w:tcPr>
          <w:p w14:paraId="73361894" w14:textId="77777777" w:rsidR="004A0B2E" w:rsidRPr="004A0B2E" w:rsidRDefault="004A0B2E" w:rsidP="004A0B2E">
            <w:pPr>
              <w:jc w:val="right"/>
              <w:rPr>
                <w:rFonts w:ascii="Arial Narrow" w:hAnsi="Arial Narrow" w:cs="Calibri"/>
                <w:sz w:val="16"/>
                <w:szCs w:val="16"/>
              </w:rPr>
            </w:pPr>
            <w:r w:rsidRPr="004A0B2E">
              <w:rPr>
                <w:rFonts w:ascii="Arial Narrow" w:hAnsi="Arial Narrow" w:cs="Calibri"/>
                <w:sz w:val="16"/>
                <w:szCs w:val="16"/>
              </w:rPr>
              <w:t>540,1</w:t>
            </w:r>
          </w:p>
        </w:tc>
        <w:tc>
          <w:tcPr>
            <w:tcW w:w="1256" w:type="dxa"/>
            <w:tcBorders>
              <w:top w:val="nil"/>
              <w:left w:val="nil"/>
              <w:bottom w:val="single" w:sz="4" w:space="0" w:color="auto"/>
              <w:right w:val="single" w:sz="4" w:space="0" w:color="auto"/>
            </w:tcBorders>
            <w:shd w:val="clear" w:color="auto" w:fill="auto"/>
            <w:vAlign w:val="center"/>
            <w:hideMark/>
          </w:tcPr>
          <w:p w14:paraId="7D59ECC8" w14:textId="77777777" w:rsidR="004A0B2E" w:rsidRPr="004A0B2E" w:rsidRDefault="004A0B2E" w:rsidP="004A0B2E">
            <w:pPr>
              <w:jc w:val="right"/>
              <w:rPr>
                <w:rFonts w:ascii="Arial Narrow" w:hAnsi="Arial Narrow" w:cs="Calibri"/>
                <w:sz w:val="16"/>
                <w:szCs w:val="16"/>
              </w:rPr>
            </w:pPr>
            <w:r w:rsidRPr="004A0B2E">
              <w:rPr>
                <w:rFonts w:ascii="Arial Narrow" w:hAnsi="Arial Narrow" w:cs="Calibri"/>
                <w:sz w:val="16"/>
                <w:szCs w:val="16"/>
              </w:rPr>
              <w:t>-9,8</w:t>
            </w:r>
          </w:p>
        </w:tc>
        <w:tc>
          <w:tcPr>
            <w:tcW w:w="872" w:type="dxa"/>
            <w:tcBorders>
              <w:top w:val="nil"/>
              <w:left w:val="nil"/>
              <w:bottom w:val="single" w:sz="4" w:space="0" w:color="auto"/>
              <w:right w:val="single" w:sz="4" w:space="0" w:color="auto"/>
            </w:tcBorders>
            <w:shd w:val="clear" w:color="auto" w:fill="auto"/>
            <w:vAlign w:val="center"/>
            <w:hideMark/>
          </w:tcPr>
          <w:p w14:paraId="7DDDC125" w14:textId="77777777" w:rsidR="004A0B2E" w:rsidRPr="004A0B2E" w:rsidRDefault="004A0B2E" w:rsidP="004A0B2E">
            <w:pPr>
              <w:jc w:val="right"/>
              <w:rPr>
                <w:rFonts w:ascii="Arial Narrow" w:hAnsi="Arial Narrow" w:cs="Calibri"/>
                <w:sz w:val="16"/>
                <w:szCs w:val="16"/>
              </w:rPr>
            </w:pPr>
            <w:r w:rsidRPr="004A0B2E">
              <w:rPr>
                <w:rFonts w:ascii="Arial Narrow" w:hAnsi="Arial Narrow" w:cs="Calibri"/>
                <w:sz w:val="16"/>
                <w:szCs w:val="16"/>
              </w:rPr>
              <w:t>487,0</w:t>
            </w:r>
          </w:p>
        </w:tc>
      </w:tr>
      <w:tr w:rsidR="004A0B2E" w:rsidRPr="00B10684" w14:paraId="135EFC5C" w14:textId="77777777" w:rsidTr="005A18A5">
        <w:trPr>
          <w:trHeight w:val="183"/>
        </w:trPr>
        <w:tc>
          <w:tcPr>
            <w:tcW w:w="757" w:type="dxa"/>
            <w:tcBorders>
              <w:top w:val="nil"/>
              <w:left w:val="single" w:sz="4" w:space="0" w:color="auto"/>
              <w:bottom w:val="single" w:sz="4" w:space="0" w:color="auto"/>
              <w:right w:val="single" w:sz="4" w:space="0" w:color="auto"/>
            </w:tcBorders>
            <w:shd w:val="clear" w:color="auto" w:fill="auto"/>
            <w:noWrap/>
            <w:vAlign w:val="center"/>
            <w:hideMark/>
          </w:tcPr>
          <w:p w14:paraId="38B0AFA0" w14:textId="77777777" w:rsidR="004A0B2E" w:rsidRPr="004A0B2E" w:rsidRDefault="004A0B2E" w:rsidP="004A0B2E">
            <w:pPr>
              <w:rPr>
                <w:rFonts w:ascii="Arial Narrow" w:hAnsi="Arial Narrow" w:cs="Arial"/>
                <w:sz w:val="16"/>
                <w:szCs w:val="16"/>
              </w:rPr>
            </w:pPr>
            <w:r w:rsidRPr="004A0B2E">
              <w:rPr>
                <w:rFonts w:ascii="Arial Narrow" w:hAnsi="Arial Narrow" w:cs="Arial"/>
                <w:sz w:val="16"/>
                <w:szCs w:val="16"/>
              </w:rPr>
              <w:t>19.06/2</w:t>
            </w:r>
          </w:p>
        </w:tc>
        <w:tc>
          <w:tcPr>
            <w:tcW w:w="5279" w:type="dxa"/>
            <w:tcBorders>
              <w:top w:val="nil"/>
              <w:left w:val="nil"/>
              <w:bottom w:val="single" w:sz="4" w:space="0" w:color="auto"/>
              <w:right w:val="single" w:sz="4" w:space="0" w:color="auto"/>
            </w:tcBorders>
            <w:shd w:val="clear" w:color="auto" w:fill="auto"/>
            <w:vAlign w:val="center"/>
            <w:hideMark/>
          </w:tcPr>
          <w:p w14:paraId="6D4E4EE9" w14:textId="77777777" w:rsidR="004A0B2E" w:rsidRPr="004A0B2E" w:rsidRDefault="004A0B2E" w:rsidP="004A0B2E">
            <w:pPr>
              <w:ind w:firstLineChars="100" w:firstLine="160"/>
              <w:rPr>
                <w:rFonts w:ascii="Arial Narrow" w:hAnsi="Arial Narrow" w:cs="Arial"/>
                <w:sz w:val="16"/>
                <w:szCs w:val="16"/>
              </w:rPr>
            </w:pPr>
            <w:r w:rsidRPr="004A0B2E">
              <w:rPr>
                <w:rFonts w:ascii="Arial Narrow" w:hAnsi="Arial Narrow" w:cs="Arial"/>
                <w:sz w:val="16"/>
                <w:szCs w:val="16"/>
              </w:rPr>
              <w:t>закупено извън сектора</w:t>
            </w:r>
          </w:p>
        </w:tc>
        <w:tc>
          <w:tcPr>
            <w:tcW w:w="957" w:type="dxa"/>
            <w:tcBorders>
              <w:top w:val="nil"/>
              <w:left w:val="nil"/>
              <w:bottom w:val="single" w:sz="4" w:space="0" w:color="auto"/>
              <w:right w:val="single" w:sz="4" w:space="0" w:color="auto"/>
            </w:tcBorders>
            <w:shd w:val="clear" w:color="auto" w:fill="auto"/>
            <w:vAlign w:val="center"/>
            <w:hideMark/>
          </w:tcPr>
          <w:p w14:paraId="70362CEA" w14:textId="77777777" w:rsidR="004A0B2E" w:rsidRPr="004A0B2E" w:rsidRDefault="004A0B2E" w:rsidP="004A0B2E">
            <w:pPr>
              <w:jc w:val="right"/>
              <w:rPr>
                <w:rFonts w:ascii="Arial Narrow" w:hAnsi="Arial Narrow" w:cs="Calibri"/>
                <w:sz w:val="16"/>
                <w:szCs w:val="16"/>
              </w:rPr>
            </w:pPr>
            <w:r w:rsidRPr="004A0B2E">
              <w:rPr>
                <w:rFonts w:ascii="Arial Narrow" w:hAnsi="Arial Narrow" w:cs="Calibri"/>
                <w:sz w:val="16"/>
                <w:szCs w:val="16"/>
              </w:rPr>
              <w:t>612,0</w:t>
            </w:r>
          </w:p>
        </w:tc>
        <w:tc>
          <w:tcPr>
            <w:tcW w:w="1118" w:type="dxa"/>
            <w:tcBorders>
              <w:top w:val="nil"/>
              <w:left w:val="nil"/>
              <w:bottom w:val="single" w:sz="4" w:space="0" w:color="auto"/>
              <w:right w:val="single" w:sz="4" w:space="0" w:color="auto"/>
            </w:tcBorders>
            <w:shd w:val="clear" w:color="auto" w:fill="auto"/>
            <w:vAlign w:val="center"/>
            <w:hideMark/>
          </w:tcPr>
          <w:p w14:paraId="6965F8FA" w14:textId="77777777" w:rsidR="004A0B2E" w:rsidRPr="004A0B2E" w:rsidRDefault="004A0B2E" w:rsidP="004A0B2E">
            <w:pPr>
              <w:jc w:val="right"/>
              <w:rPr>
                <w:rFonts w:ascii="Arial Narrow" w:hAnsi="Arial Narrow" w:cs="Calibri"/>
                <w:sz w:val="16"/>
                <w:szCs w:val="16"/>
              </w:rPr>
            </w:pPr>
            <w:r w:rsidRPr="004A0B2E">
              <w:rPr>
                <w:rFonts w:ascii="Arial Narrow" w:hAnsi="Arial Narrow" w:cs="Calibri"/>
                <w:sz w:val="16"/>
                <w:szCs w:val="16"/>
              </w:rPr>
              <w:t>1,0</w:t>
            </w:r>
          </w:p>
        </w:tc>
        <w:tc>
          <w:tcPr>
            <w:tcW w:w="957" w:type="dxa"/>
            <w:tcBorders>
              <w:top w:val="nil"/>
              <w:left w:val="nil"/>
              <w:bottom w:val="single" w:sz="4" w:space="0" w:color="auto"/>
              <w:right w:val="single" w:sz="4" w:space="0" w:color="auto"/>
            </w:tcBorders>
            <w:shd w:val="clear" w:color="auto" w:fill="auto"/>
            <w:vAlign w:val="center"/>
            <w:hideMark/>
          </w:tcPr>
          <w:p w14:paraId="080D8549" w14:textId="77777777" w:rsidR="004A0B2E" w:rsidRPr="004A0B2E" w:rsidRDefault="004A0B2E" w:rsidP="004A0B2E">
            <w:pPr>
              <w:jc w:val="right"/>
              <w:rPr>
                <w:rFonts w:ascii="Arial Narrow" w:hAnsi="Arial Narrow" w:cs="Calibri"/>
                <w:sz w:val="16"/>
                <w:szCs w:val="16"/>
              </w:rPr>
            </w:pPr>
            <w:r w:rsidRPr="004A0B2E">
              <w:rPr>
                <w:rFonts w:ascii="Arial Narrow" w:hAnsi="Arial Narrow" w:cs="Calibri"/>
                <w:sz w:val="16"/>
                <w:szCs w:val="16"/>
              </w:rPr>
              <w:t>618,3</w:t>
            </w:r>
          </w:p>
        </w:tc>
        <w:tc>
          <w:tcPr>
            <w:tcW w:w="1256" w:type="dxa"/>
            <w:tcBorders>
              <w:top w:val="nil"/>
              <w:left w:val="nil"/>
              <w:bottom w:val="single" w:sz="4" w:space="0" w:color="auto"/>
              <w:right w:val="single" w:sz="4" w:space="0" w:color="auto"/>
            </w:tcBorders>
            <w:shd w:val="clear" w:color="auto" w:fill="auto"/>
            <w:vAlign w:val="center"/>
            <w:hideMark/>
          </w:tcPr>
          <w:p w14:paraId="09BEFBAB" w14:textId="77777777" w:rsidR="004A0B2E" w:rsidRPr="004A0B2E" w:rsidRDefault="004A0B2E" w:rsidP="004A0B2E">
            <w:pPr>
              <w:jc w:val="right"/>
              <w:rPr>
                <w:rFonts w:ascii="Arial Narrow" w:hAnsi="Arial Narrow" w:cs="Calibri"/>
                <w:sz w:val="16"/>
                <w:szCs w:val="16"/>
              </w:rPr>
            </w:pPr>
            <w:r w:rsidRPr="004A0B2E">
              <w:rPr>
                <w:rFonts w:ascii="Arial Narrow" w:hAnsi="Arial Narrow" w:cs="Calibri"/>
                <w:sz w:val="16"/>
                <w:szCs w:val="16"/>
              </w:rPr>
              <w:t>-11,8</w:t>
            </w:r>
          </w:p>
        </w:tc>
        <w:tc>
          <w:tcPr>
            <w:tcW w:w="872" w:type="dxa"/>
            <w:tcBorders>
              <w:top w:val="nil"/>
              <w:left w:val="nil"/>
              <w:bottom w:val="single" w:sz="4" w:space="0" w:color="auto"/>
              <w:right w:val="single" w:sz="4" w:space="0" w:color="auto"/>
            </w:tcBorders>
            <w:shd w:val="clear" w:color="auto" w:fill="auto"/>
            <w:vAlign w:val="center"/>
            <w:hideMark/>
          </w:tcPr>
          <w:p w14:paraId="7EC980CC" w14:textId="77777777" w:rsidR="004A0B2E" w:rsidRPr="004A0B2E" w:rsidRDefault="004A0B2E" w:rsidP="004A0B2E">
            <w:pPr>
              <w:jc w:val="right"/>
              <w:rPr>
                <w:rFonts w:ascii="Arial Narrow" w:hAnsi="Arial Narrow" w:cs="Calibri"/>
                <w:sz w:val="16"/>
                <w:szCs w:val="16"/>
              </w:rPr>
            </w:pPr>
            <w:r w:rsidRPr="004A0B2E">
              <w:rPr>
                <w:rFonts w:ascii="Arial Narrow" w:hAnsi="Arial Narrow" w:cs="Calibri"/>
                <w:sz w:val="16"/>
                <w:szCs w:val="16"/>
              </w:rPr>
              <w:t>545,1</w:t>
            </w:r>
          </w:p>
        </w:tc>
      </w:tr>
      <w:tr w:rsidR="004A0B2E" w:rsidRPr="00B10684" w14:paraId="15E51FD2" w14:textId="77777777" w:rsidTr="005A18A5">
        <w:trPr>
          <w:trHeight w:val="183"/>
        </w:trPr>
        <w:tc>
          <w:tcPr>
            <w:tcW w:w="757" w:type="dxa"/>
            <w:tcBorders>
              <w:top w:val="nil"/>
              <w:left w:val="single" w:sz="4" w:space="0" w:color="auto"/>
              <w:bottom w:val="single" w:sz="4" w:space="0" w:color="auto"/>
              <w:right w:val="single" w:sz="4" w:space="0" w:color="auto"/>
            </w:tcBorders>
            <w:shd w:val="clear" w:color="auto" w:fill="auto"/>
            <w:noWrap/>
            <w:vAlign w:val="center"/>
            <w:hideMark/>
          </w:tcPr>
          <w:p w14:paraId="3E041EC7" w14:textId="77777777" w:rsidR="004A0B2E" w:rsidRPr="004A0B2E" w:rsidRDefault="004A0B2E" w:rsidP="004A0B2E">
            <w:pPr>
              <w:rPr>
                <w:rFonts w:ascii="Arial Narrow" w:hAnsi="Arial Narrow" w:cs="Arial"/>
                <w:sz w:val="16"/>
                <w:szCs w:val="16"/>
              </w:rPr>
            </w:pPr>
            <w:r w:rsidRPr="004A0B2E">
              <w:rPr>
                <w:rFonts w:ascii="Arial Narrow" w:hAnsi="Arial Narrow" w:cs="Arial"/>
                <w:sz w:val="16"/>
                <w:szCs w:val="16"/>
              </w:rPr>
              <w:t>19.06/3</w:t>
            </w:r>
          </w:p>
        </w:tc>
        <w:tc>
          <w:tcPr>
            <w:tcW w:w="5279" w:type="dxa"/>
            <w:tcBorders>
              <w:top w:val="nil"/>
              <w:left w:val="nil"/>
              <w:bottom w:val="single" w:sz="4" w:space="0" w:color="auto"/>
              <w:right w:val="single" w:sz="4" w:space="0" w:color="auto"/>
            </w:tcBorders>
            <w:shd w:val="clear" w:color="auto" w:fill="auto"/>
            <w:vAlign w:val="center"/>
            <w:hideMark/>
          </w:tcPr>
          <w:p w14:paraId="3F1D8B77" w14:textId="77777777" w:rsidR="004A0B2E" w:rsidRPr="004A0B2E" w:rsidRDefault="004A0B2E" w:rsidP="004A0B2E">
            <w:pPr>
              <w:ind w:firstLineChars="100" w:firstLine="160"/>
              <w:rPr>
                <w:rFonts w:ascii="Arial Narrow" w:hAnsi="Arial Narrow" w:cs="Arial"/>
                <w:sz w:val="16"/>
                <w:szCs w:val="16"/>
              </w:rPr>
            </w:pPr>
            <w:r w:rsidRPr="004A0B2E">
              <w:rPr>
                <w:rFonts w:ascii="Arial Narrow" w:hAnsi="Arial Narrow" w:cs="Arial"/>
                <w:sz w:val="16"/>
                <w:szCs w:val="16"/>
              </w:rPr>
              <w:t>произведено и потребено в самото стопанство</w:t>
            </w:r>
          </w:p>
        </w:tc>
        <w:tc>
          <w:tcPr>
            <w:tcW w:w="957" w:type="dxa"/>
            <w:tcBorders>
              <w:top w:val="nil"/>
              <w:left w:val="nil"/>
              <w:bottom w:val="single" w:sz="4" w:space="0" w:color="auto"/>
              <w:right w:val="single" w:sz="4" w:space="0" w:color="auto"/>
            </w:tcBorders>
            <w:shd w:val="clear" w:color="auto" w:fill="auto"/>
            <w:vAlign w:val="center"/>
            <w:hideMark/>
          </w:tcPr>
          <w:p w14:paraId="6B7C1F88" w14:textId="77777777" w:rsidR="004A0B2E" w:rsidRPr="004A0B2E" w:rsidRDefault="004A0B2E" w:rsidP="004A0B2E">
            <w:pPr>
              <w:jc w:val="right"/>
              <w:rPr>
                <w:rFonts w:ascii="Arial Narrow" w:hAnsi="Arial Narrow" w:cs="Calibri"/>
                <w:sz w:val="16"/>
                <w:szCs w:val="16"/>
              </w:rPr>
            </w:pPr>
            <w:r w:rsidRPr="004A0B2E">
              <w:rPr>
                <w:rFonts w:ascii="Arial Narrow" w:hAnsi="Arial Narrow" w:cs="Calibri"/>
                <w:sz w:val="16"/>
                <w:szCs w:val="16"/>
              </w:rPr>
              <w:t>332,4</w:t>
            </w:r>
          </w:p>
        </w:tc>
        <w:tc>
          <w:tcPr>
            <w:tcW w:w="1118" w:type="dxa"/>
            <w:tcBorders>
              <w:top w:val="nil"/>
              <w:left w:val="nil"/>
              <w:bottom w:val="single" w:sz="4" w:space="0" w:color="auto"/>
              <w:right w:val="single" w:sz="4" w:space="0" w:color="auto"/>
            </w:tcBorders>
            <w:shd w:val="clear" w:color="auto" w:fill="auto"/>
            <w:vAlign w:val="center"/>
            <w:hideMark/>
          </w:tcPr>
          <w:p w14:paraId="13D2934E" w14:textId="77777777" w:rsidR="004A0B2E" w:rsidRPr="004A0B2E" w:rsidRDefault="004A0B2E" w:rsidP="004A0B2E">
            <w:pPr>
              <w:jc w:val="right"/>
              <w:rPr>
                <w:rFonts w:ascii="Arial Narrow" w:hAnsi="Arial Narrow" w:cs="Calibri"/>
                <w:sz w:val="16"/>
                <w:szCs w:val="16"/>
              </w:rPr>
            </w:pPr>
            <w:r w:rsidRPr="004A0B2E">
              <w:rPr>
                <w:rFonts w:ascii="Arial Narrow" w:hAnsi="Arial Narrow" w:cs="Calibri"/>
                <w:sz w:val="16"/>
                <w:szCs w:val="16"/>
              </w:rPr>
              <w:t>-42,1</w:t>
            </w:r>
          </w:p>
        </w:tc>
        <w:tc>
          <w:tcPr>
            <w:tcW w:w="957" w:type="dxa"/>
            <w:tcBorders>
              <w:top w:val="nil"/>
              <w:left w:val="nil"/>
              <w:bottom w:val="single" w:sz="4" w:space="0" w:color="auto"/>
              <w:right w:val="single" w:sz="4" w:space="0" w:color="auto"/>
            </w:tcBorders>
            <w:shd w:val="clear" w:color="auto" w:fill="auto"/>
            <w:vAlign w:val="center"/>
            <w:hideMark/>
          </w:tcPr>
          <w:p w14:paraId="1069C439" w14:textId="77777777" w:rsidR="004A0B2E" w:rsidRPr="004A0B2E" w:rsidRDefault="004A0B2E" w:rsidP="004A0B2E">
            <w:pPr>
              <w:jc w:val="right"/>
              <w:rPr>
                <w:rFonts w:ascii="Arial Narrow" w:hAnsi="Arial Narrow" w:cs="Calibri"/>
                <w:sz w:val="16"/>
                <w:szCs w:val="16"/>
              </w:rPr>
            </w:pPr>
            <w:r w:rsidRPr="004A0B2E">
              <w:rPr>
                <w:rFonts w:ascii="Arial Narrow" w:hAnsi="Arial Narrow" w:cs="Calibri"/>
                <w:sz w:val="16"/>
                <w:szCs w:val="16"/>
              </w:rPr>
              <w:t>192,6</w:t>
            </w:r>
          </w:p>
        </w:tc>
        <w:tc>
          <w:tcPr>
            <w:tcW w:w="1256" w:type="dxa"/>
            <w:tcBorders>
              <w:top w:val="nil"/>
              <w:left w:val="nil"/>
              <w:bottom w:val="single" w:sz="4" w:space="0" w:color="auto"/>
              <w:right w:val="single" w:sz="4" w:space="0" w:color="auto"/>
            </w:tcBorders>
            <w:shd w:val="clear" w:color="auto" w:fill="auto"/>
            <w:vAlign w:val="center"/>
            <w:hideMark/>
          </w:tcPr>
          <w:p w14:paraId="44996A9D" w14:textId="77777777" w:rsidR="004A0B2E" w:rsidRPr="004A0B2E" w:rsidRDefault="004A0B2E" w:rsidP="004A0B2E">
            <w:pPr>
              <w:jc w:val="right"/>
              <w:rPr>
                <w:rFonts w:ascii="Arial Narrow" w:hAnsi="Arial Narrow" w:cs="Calibri"/>
                <w:sz w:val="16"/>
                <w:szCs w:val="16"/>
              </w:rPr>
            </w:pPr>
            <w:r w:rsidRPr="004A0B2E">
              <w:rPr>
                <w:rFonts w:ascii="Arial Narrow" w:hAnsi="Arial Narrow" w:cs="Calibri"/>
                <w:sz w:val="16"/>
                <w:szCs w:val="16"/>
              </w:rPr>
              <w:t>-10,9</w:t>
            </w:r>
          </w:p>
        </w:tc>
        <w:tc>
          <w:tcPr>
            <w:tcW w:w="872" w:type="dxa"/>
            <w:tcBorders>
              <w:top w:val="nil"/>
              <w:left w:val="nil"/>
              <w:bottom w:val="single" w:sz="4" w:space="0" w:color="auto"/>
              <w:right w:val="single" w:sz="4" w:space="0" w:color="auto"/>
            </w:tcBorders>
            <w:shd w:val="clear" w:color="auto" w:fill="auto"/>
            <w:vAlign w:val="center"/>
            <w:hideMark/>
          </w:tcPr>
          <w:p w14:paraId="4C9BF3CF" w14:textId="77777777" w:rsidR="004A0B2E" w:rsidRPr="004A0B2E" w:rsidRDefault="004A0B2E" w:rsidP="004A0B2E">
            <w:pPr>
              <w:jc w:val="right"/>
              <w:rPr>
                <w:rFonts w:ascii="Arial Narrow" w:hAnsi="Arial Narrow" w:cs="Calibri"/>
                <w:sz w:val="16"/>
                <w:szCs w:val="16"/>
              </w:rPr>
            </w:pPr>
            <w:r w:rsidRPr="004A0B2E">
              <w:rPr>
                <w:rFonts w:ascii="Arial Narrow" w:hAnsi="Arial Narrow" w:cs="Calibri"/>
                <w:sz w:val="16"/>
                <w:szCs w:val="16"/>
              </w:rPr>
              <w:t>171,7</w:t>
            </w:r>
          </w:p>
        </w:tc>
      </w:tr>
      <w:tr w:rsidR="004A0B2E" w:rsidRPr="00B10684" w14:paraId="149B9F7F" w14:textId="77777777" w:rsidTr="005A18A5">
        <w:trPr>
          <w:trHeight w:val="280"/>
        </w:trPr>
        <w:tc>
          <w:tcPr>
            <w:tcW w:w="757" w:type="dxa"/>
            <w:tcBorders>
              <w:top w:val="nil"/>
              <w:left w:val="single" w:sz="4" w:space="0" w:color="auto"/>
              <w:bottom w:val="single" w:sz="4" w:space="0" w:color="auto"/>
              <w:right w:val="single" w:sz="4" w:space="0" w:color="auto"/>
            </w:tcBorders>
            <w:shd w:val="clear" w:color="auto" w:fill="auto"/>
            <w:noWrap/>
            <w:vAlign w:val="center"/>
            <w:hideMark/>
          </w:tcPr>
          <w:p w14:paraId="12028A0B" w14:textId="77777777" w:rsidR="004A0B2E" w:rsidRPr="004A0B2E" w:rsidRDefault="004A0B2E" w:rsidP="004A0B2E">
            <w:pPr>
              <w:rPr>
                <w:rFonts w:ascii="Arial Narrow" w:hAnsi="Arial Narrow" w:cs="Arial"/>
                <w:sz w:val="16"/>
                <w:szCs w:val="16"/>
              </w:rPr>
            </w:pPr>
            <w:r w:rsidRPr="004A0B2E">
              <w:rPr>
                <w:rFonts w:ascii="Arial Narrow" w:hAnsi="Arial Narrow" w:cs="Arial"/>
                <w:sz w:val="16"/>
                <w:szCs w:val="16"/>
              </w:rPr>
              <w:t> </w:t>
            </w:r>
          </w:p>
        </w:tc>
        <w:tc>
          <w:tcPr>
            <w:tcW w:w="5279" w:type="dxa"/>
            <w:tcBorders>
              <w:top w:val="nil"/>
              <w:left w:val="nil"/>
              <w:bottom w:val="single" w:sz="4" w:space="0" w:color="auto"/>
              <w:right w:val="single" w:sz="4" w:space="0" w:color="auto"/>
            </w:tcBorders>
            <w:shd w:val="clear" w:color="auto" w:fill="auto"/>
            <w:vAlign w:val="center"/>
            <w:hideMark/>
          </w:tcPr>
          <w:p w14:paraId="067677CE" w14:textId="77777777" w:rsidR="004A0B2E" w:rsidRPr="004A0B2E" w:rsidRDefault="004A0B2E" w:rsidP="004A0B2E">
            <w:pPr>
              <w:ind w:firstLineChars="100" w:firstLine="160"/>
              <w:rPr>
                <w:rFonts w:ascii="Arial Narrow" w:hAnsi="Arial Narrow" w:cs="Arial"/>
                <w:sz w:val="16"/>
                <w:szCs w:val="16"/>
              </w:rPr>
            </w:pPr>
            <w:r w:rsidRPr="004A0B2E">
              <w:rPr>
                <w:rFonts w:ascii="Arial Narrow" w:hAnsi="Arial Narrow" w:cs="Arial"/>
                <w:sz w:val="16"/>
                <w:szCs w:val="16"/>
              </w:rPr>
              <w:t>Фуражни добавки, невключени в крайната продукция</w:t>
            </w:r>
          </w:p>
        </w:tc>
        <w:tc>
          <w:tcPr>
            <w:tcW w:w="957" w:type="dxa"/>
            <w:tcBorders>
              <w:top w:val="nil"/>
              <w:left w:val="nil"/>
              <w:bottom w:val="single" w:sz="4" w:space="0" w:color="auto"/>
              <w:right w:val="single" w:sz="4" w:space="0" w:color="auto"/>
            </w:tcBorders>
            <w:shd w:val="clear" w:color="auto" w:fill="auto"/>
            <w:vAlign w:val="center"/>
            <w:hideMark/>
          </w:tcPr>
          <w:p w14:paraId="09DEC8F8" w14:textId="77777777" w:rsidR="004A0B2E" w:rsidRPr="004A0B2E" w:rsidRDefault="004A0B2E" w:rsidP="004A0B2E">
            <w:pPr>
              <w:jc w:val="right"/>
              <w:rPr>
                <w:rFonts w:ascii="Arial Narrow" w:hAnsi="Arial Narrow" w:cs="Calibri"/>
                <w:sz w:val="16"/>
                <w:szCs w:val="16"/>
              </w:rPr>
            </w:pPr>
            <w:r w:rsidRPr="004A0B2E">
              <w:rPr>
                <w:rFonts w:ascii="Arial Narrow" w:hAnsi="Arial Narrow" w:cs="Calibri"/>
                <w:sz w:val="16"/>
                <w:szCs w:val="16"/>
              </w:rPr>
              <w:t>49,9</w:t>
            </w:r>
          </w:p>
        </w:tc>
        <w:tc>
          <w:tcPr>
            <w:tcW w:w="1118" w:type="dxa"/>
            <w:tcBorders>
              <w:top w:val="nil"/>
              <w:left w:val="nil"/>
              <w:bottom w:val="single" w:sz="4" w:space="0" w:color="auto"/>
              <w:right w:val="single" w:sz="4" w:space="0" w:color="auto"/>
            </w:tcBorders>
            <w:shd w:val="clear" w:color="auto" w:fill="auto"/>
            <w:vAlign w:val="center"/>
            <w:hideMark/>
          </w:tcPr>
          <w:p w14:paraId="42D08F3C" w14:textId="77777777" w:rsidR="004A0B2E" w:rsidRPr="004A0B2E" w:rsidRDefault="004A0B2E" w:rsidP="004A0B2E">
            <w:pPr>
              <w:jc w:val="right"/>
              <w:rPr>
                <w:rFonts w:ascii="Arial Narrow" w:hAnsi="Arial Narrow" w:cs="Calibri"/>
                <w:sz w:val="16"/>
                <w:szCs w:val="16"/>
              </w:rPr>
            </w:pPr>
            <w:r w:rsidRPr="004A0B2E">
              <w:rPr>
                <w:rFonts w:ascii="Arial Narrow" w:hAnsi="Arial Narrow" w:cs="Calibri"/>
                <w:sz w:val="16"/>
                <w:szCs w:val="16"/>
              </w:rPr>
              <w:t>-31,3</w:t>
            </w:r>
          </w:p>
        </w:tc>
        <w:tc>
          <w:tcPr>
            <w:tcW w:w="957" w:type="dxa"/>
            <w:tcBorders>
              <w:top w:val="nil"/>
              <w:left w:val="nil"/>
              <w:bottom w:val="single" w:sz="4" w:space="0" w:color="auto"/>
              <w:right w:val="single" w:sz="4" w:space="0" w:color="auto"/>
            </w:tcBorders>
            <w:shd w:val="clear" w:color="auto" w:fill="auto"/>
            <w:vAlign w:val="center"/>
            <w:hideMark/>
          </w:tcPr>
          <w:p w14:paraId="5613D307" w14:textId="77777777" w:rsidR="004A0B2E" w:rsidRPr="004A0B2E" w:rsidRDefault="004A0B2E" w:rsidP="004A0B2E">
            <w:pPr>
              <w:jc w:val="right"/>
              <w:rPr>
                <w:rFonts w:ascii="Arial Narrow" w:hAnsi="Arial Narrow" w:cs="Calibri"/>
                <w:sz w:val="16"/>
                <w:szCs w:val="16"/>
              </w:rPr>
            </w:pPr>
            <w:r w:rsidRPr="004A0B2E">
              <w:rPr>
                <w:rFonts w:ascii="Arial Narrow" w:hAnsi="Arial Narrow" w:cs="Calibri"/>
                <w:sz w:val="16"/>
                <w:szCs w:val="16"/>
              </w:rPr>
              <w:t>34,3</w:t>
            </w:r>
          </w:p>
        </w:tc>
        <w:tc>
          <w:tcPr>
            <w:tcW w:w="1256" w:type="dxa"/>
            <w:tcBorders>
              <w:top w:val="nil"/>
              <w:left w:val="nil"/>
              <w:bottom w:val="single" w:sz="4" w:space="0" w:color="auto"/>
              <w:right w:val="single" w:sz="4" w:space="0" w:color="auto"/>
            </w:tcBorders>
            <w:shd w:val="clear" w:color="auto" w:fill="auto"/>
            <w:vAlign w:val="center"/>
            <w:hideMark/>
          </w:tcPr>
          <w:p w14:paraId="51939267" w14:textId="77777777" w:rsidR="004A0B2E" w:rsidRPr="004A0B2E" w:rsidRDefault="004A0B2E" w:rsidP="004A0B2E">
            <w:pPr>
              <w:jc w:val="right"/>
              <w:rPr>
                <w:rFonts w:ascii="Arial Narrow" w:hAnsi="Arial Narrow" w:cs="Calibri"/>
                <w:sz w:val="16"/>
                <w:szCs w:val="16"/>
              </w:rPr>
            </w:pPr>
            <w:r w:rsidRPr="004A0B2E">
              <w:rPr>
                <w:rFonts w:ascii="Arial Narrow" w:hAnsi="Arial Narrow" w:cs="Calibri"/>
                <w:sz w:val="16"/>
                <w:szCs w:val="16"/>
              </w:rPr>
              <w:t>-26,5</w:t>
            </w:r>
          </w:p>
        </w:tc>
        <w:tc>
          <w:tcPr>
            <w:tcW w:w="872" w:type="dxa"/>
            <w:tcBorders>
              <w:top w:val="nil"/>
              <w:left w:val="nil"/>
              <w:bottom w:val="single" w:sz="4" w:space="0" w:color="auto"/>
              <w:right w:val="single" w:sz="4" w:space="0" w:color="auto"/>
            </w:tcBorders>
            <w:shd w:val="clear" w:color="auto" w:fill="auto"/>
            <w:vAlign w:val="center"/>
            <w:hideMark/>
          </w:tcPr>
          <w:p w14:paraId="2564519C" w14:textId="77777777" w:rsidR="004A0B2E" w:rsidRPr="004A0B2E" w:rsidRDefault="004A0B2E" w:rsidP="004A0B2E">
            <w:pPr>
              <w:jc w:val="right"/>
              <w:rPr>
                <w:rFonts w:ascii="Arial Narrow" w:hAnsi="Arial Narrow" w:cs="Calibri"/>
                <w:sz w:val="16"/>
                <w:szCs w:val="16"/>
              </w:rPr>
            </w:pPr>
            <w:r w:rsidRPr="004A0B2E">
              <w:rPr>
                <w:rFonts w:ascii="Arial Narrow" w:hAnsi="Arial Narrow" w:cs="Calibri"/>
                <w:sz w:val="16"/>
                <w:szCs w:val="16"/>
              </w:rPr>
              <w:t>25,2</w:t>
            </w:r>
          </w:p>
        </w:tc>
      </w:tr>
      <w:tr w:rsidR="004A0B2E" w:rsidRPr="00B10684" w14:paraId="23FC9972" w14:textId="77777777" w:rsidTr="005A18A5">
        <w:trPr>
          <w:trHeight w:val="214"/>
        </w:trPr>
        <w:tc>
          <w:tcPr>
            <w:tcW w:w="757" w:type="dxa"/>
            <w:tcBorders>
              <w:top w:val="nil"/>
              <w:left w:val="single" w:sz="4" w:space="0" w:color="auto"/>
              <w:bottom w:val="single" w:sz="4" w:space="0" w:color="auto"/>
              <w:right w:val="single" w:sz="4" w:space="0" w:color="auto"/>
            </w:tcBorders>
            <w:shd w:val="clear" w:color="auto" w:fill="auto"/>
            <w:noWrap/>
            <w:vAlign w:val="center"/>
            <w:hideMark/>
          </w:tcPr>
          <w:p w14:paraId="31428C1A" w14:textId="77777777" w:rsidR="004A0B2E" w:rsidRPr="004A0B2E" w:rsidRDefault="004A0B2E" w:rsidP="004A0B2E">
            <w:pPr>
              <w:rPr>
                <w:rFonts w:ascii="Arial Narrow" w:hAnsi="Arial Narrow" w:cs="Arial"/>
                <w:sz w:val="16"/>
                <w:szCs w:val="16"/>
              </w:rPr>
            </w:pPr>
            <w:r w:rsidRPr="004A0B2E">
              <w:rPr>
                <w:rFonts w:ascii="Arial Narrow" w:hAnsi="Arial Narrow" w:cs="Arial"/>
                <w:sz w:val="16"/>
                <w:szCs w:val="16"/>
              </w:rPr>
              <w:t>19.07</w:t>
            </w:r>
          </w:p>
        </w:tc>
        <w:tc>
          <w:tcPr>
            <w:tcW w:w="5279" w:type="dxa"/>
            <w:tcBorders>
              <w:top w:val="nil"/>
              <w:left w:val="nil"/>
              <w:bottom w:val="single" w:sz="4" w:space="0" w:color="auto"/>
              <w:right w:val="single" w:sz="4" w:space="0" w:color="auto"/>
            </w:tcBorders>
            <w:shd w:val="clear" w:color="auto" w:fill="auto"/>
            <w:vAlign w:val="center"/>
            <w:hideMark/>
          </w:tcPr>
          <w:p w14:paraId="6105876D" w14:textId="77777777" w:rsidR="004A0B2E" w:rsidRPr="004A0B2E" w:rsidRDefault="004A0B2E" w:rsidP="004A0B2E">
            <w:pPr>
              <w:rPr>
                <w:rFonts w:ascii="Arial Narrow" w:hAnsi="Arial Narrow" w:cs="Arial"/>
                <w:sz w:val="16"/>
                <w:szCs w:val="16"/>
              </w:rPr>
            </w:pPr>
            <w:r w:rsidRPr="004A0B2E">
              <w:rPr>
                <w:rFonts w:ascii="Arial Narrow" w:hAnsi="Arial Narrow" w:cs="Arial"/>
                <w:sz w:val="16"/>
                <w:szCs w:val="16"/>
              </w:rPr>
              <w:t>Поддръжка и ремонт на машини и дребен инвентар</w:t>
            </w:r>
          </w:p>
        </w:tc>
        <w:tc>
          <w:tcPr>
            <w:tcW w:w="957" w:type="dxa"/>
            <w:tcBorders>
              <w:top w:val="nil"/>
              <w:left w:val="nil"/>
              <w:bottom w:val="single" w:sz="4" w:space="0" w:color="auto"/>
              <w:right w:val="single" w:sz="4" w:space="0" w:color="auto"/>
            </w:tcBorders>
            <w:shd w:val="clear" w:color="auto" w:fill="auto"/>
            <w:vAlign w:val="center"/>
            <w:hideMark/>
          </w:tcPr>
          <w:p w14:paraId="2C295377" w14:textId="77777777" w:rsidR="004A0B2E" w:rsidRPr="004A0B2E" w:rsidRDefault="004A0B2E" w:rsidP="004A0B2E">
            <w:pPr>
              <w:jc w:val="right"/>
              <w:rPr>
                <w:rFonts w:ascii="Arial Narrow" w:hAnsi="Arial Narrow" w:cs="Calibri"/>
                <w:sz w:val="16"/>
                <w:szCs w:val="16"/>
              </w:rPr>
            </w:pPr>
            <w:r w:rsidRPr="004A0B2E">
              <w:rPr>
                <w:rFonts w:ascii="Arial Narrow" w:hAnsi="Arial Narrow" w:cs="Calibri"/>
                <w:sz w:val="16"/>
                <w:szCs w:val="16"/>
              </w:rPr>
              <w:t>415,5</w:t>
            </w:r>
          </w:p>
        </w:tc>
        <w:tc>
          <w:tcPr>
            <w:tcW w:w="1118" w:type="dxa"/>
            <w:tcBorders>
              <w:top w:val="nil"/>
              <w:left w:val="nil"/>
              <w:bottom w:val="single" w:sz="4" w:space="0" w:color="auto"/>
              <w:right w:val="single" w:sz="4" w:space="0" w:color="auto"/>
            </w:tcBorders>
            <w:shd w:val="clear" w:color="auto" w:fill="auto"/>
            <w:vAlign w:val="center"/>
            <w:hideMark/>
          </w:tcPr>
          <w:p w14:paraId="4873C12A" w14:textId="77777777" w:rsidR="004A0B2E" w:rsidRPr="004A0B2E" w:rsidRDefault="004A0B2E" w:rsidP="004A0B2E">
            <w:pPr>
              <w:jc w:val="right"/>
              <w:rPr>
                <w:rFonts w:ascii="Arial Narrow" w:hAnsi="Arial Narrow" w:cs="Calibri"/>
                <w:sz w:val="16"/>
                <w:szCs w:val="16"/>
              </w:rPr>
            </w:pPr>
            <w:r w:rsidRPr="004A0B2E">
              <w:rPr>
                <w:rFonts w:ascii="Arial Narrow" w:hAnsi="Arial Narrow" w:cs="Calibri"/>
                <w:sz w:val="16"/>
                <w:szCs w:val="16"/>
              </w:rPr>
              <w:t>-8,7</w:t>
            </w:r>
          </w:p>
        </w:tc>
        <w:tc>
          <w:tcPr>
            <w:tcW w:w="957" w:type="dxa"/>
            <w:tcBorders>
              <w:top w:val="nil"/>
              <w:left w:val="nil"/>
              <w:bottom w:val="single" w:sz="4" w:space="0" w:color="auto"/>
              <w:right w:val="single" w:sz="4" w:space="0" w:color="auto"/>
            </w:tcBorders>
            <w:shd w:val="clear" w:color="auto" w:fill="auto"/>
            <w:vAlign w:val="center"/>
            <w:hideMark/>
          </w:tcPr>
          <w:p w14:paraId="1BC6464C" w14:textId="77777777" w:rsidR="004A0B2E" w:rsidRPr="004A0B2E" w:rsidRDefault="004A0B2E" w:rsidP="004A0B2E">
            <w:pPr>
              <w:jc w:val="right"/>
              <w:rPr>
                <w:rFonts w:ascii="Arial Narrow" w:hAnsi="Arial Narrow" w:cs="Calibri"/>
                <w:sz w:val="16"/>
                <w:szCs w:val="16"/>
              </w:rPr>
            </w:pPr>
            <w:r w:rsidRPr="004A0B2E">
              <w:rPr>
                <w:rFonts w:ascii="Arial Narrow" w:hAnsi="Arial Narrow" w:cs="Calibri"/>
                <w:sz w:val="16"/>
                <w:szCs w:val="16"/>
              </w:rPr>
              <w:t>379,4</w:t>
            </w:r>
          </w:p>
        </w:tc>
        <w:tc>
          <w:tcPr>
            <w:tcW w:w="1256" w:type="dxa"/>
            <w:tcBorders>
              <w:top w:val="nil"/>
              <w:left w:val="nil"/>
              <w:bottom w:val="single" w:sz="4" w:space="0" w:color="auto"/>
              <w:right w:val="single" w:sz="4" w:space="0" w:color="auto"/>
            </w:tcBorders>
            <w:shd w:val="clear" w:color="auto" w:fill="auto"/>
            <w:vAlign w:val="center"/>
            <w:hideMark/>
          </w:tcPr>
          <w:p w14:paraId="20838384" w14:textId="77777777" w:rsidR="004A0B2E" w:rsidRPr="004A0B2E" w:rsidRDefault="004A0B2E" w:rsidP="004A0B2E">
            <w:pPr>
              <w:jc w:val="right"/>
              <w:rPr>
                <w:rFonts w:ascii="Arial Narrow" w:hAnsi="Arial Narrow" w:cs="Calibri"/>
                <w:sz w:val="16"/>
                <w:szCs w:val="16"/>
              </w:rPr>
            </w:pPr>
            <w:r w:rsidRPr="004A0B2E">
              <w:rPr>
                <w:rFonts w:ascii="Arial Narrow" w:hAnsi="Arial Narrow" w:cs="Calibri"/>
                <w:sz w:val="16"/>
                <w:szCs w:val="16"/>
              </w:rPr>
              <w:t>-8,4</w:t>
            </w:r>
          </w:p>
        </w:tc>
        <w:tc>
          <w:tcPr>
            <w:tcW w:w="872" w:type="dxa"/>
            <w:tcBorders>
              <w:top w:val="nil"/>
              <w:left w:val="nil"/>
              <w:bottom w:val="single" w:sz="4" w:space="0" w:color="auto"/>
              <w:right w:val="single" w:sz="4" w:space="0" w:color="auto"/>
            </w:tcBorders>
            <w:shd w:val="clear" w:color="auto" w:fill="auto"/>
            <w:vAlign w:val="center"/>
            <w:hideMark/>
          </w:tcPr>
          <w:p w14:paraId="70591161" w14:textId="77777777" w:rsidR="004A0B2E" w:rsidRPr="004A0B2E" w:rsidRDefault="004A0B2E" w:rsidP="004A0B2E">
            <w:pPr>
              <w:jc w:val="right"/>
              <w:rPr>
                <w:rFonts w:ascii="Arial Narrow" w:hAnsi="Arial Narrow" w:cs="Calibri"/>
                <w:sz w:val="16"/>
                <w:szCs w:val="16"/>
              </w:rPr>
            </w:pPr>
            <w:r w:rsidRPr="004A0B2E">
              <w:rPr>
                <w:rFonts w:ascii="Arial Narrow" w:hAnsi="Arial Narrow" w:cs="Calibri"/>
                <w:sz w:val="16"/>
                <w:szCs w:val="16"/>
              </w:rPr>
              <w:t>347,5</w:t>
            </w:r>
          </w:p>
        </w:tc>
      </w:tr>
      <w:tr w:rsidR="004A0B2E" w:rsidRPr="00B10684" w14:paraId="11C275BC" w14:textId="77777777" w:rsidTr="005A18A5">
        <w:trPr>
          <w:trHeight w:val="183"/>
        </w:trPr>
        <w:tc>
          <w:tcPr>
            <w:tcW w:w="757" w:type="dxa"/>
            <w:tcBorders>
              <w:top w:val="nil"/>
              <w:left w:val="single" w:sz="4" w:space="0" w:color="auto"/>
              <w:bottom w:val="single" w:sz="4" w:space="0" w:color="auto"/>
              <w:right w:val="single" w:sz="4" w:space="0" w:color="auto"/>
            </w:tcBorders>
            <w:shd w:val="clear" w:color="auto" w:fill="auto"/>
            <w:noWrap/>
            <w:vAlign w:val="center"/>
            <w:hideMark/>
          </w:tcPr>
          <w:p w14:paraId="2C9770C6" w14:textId="77777777" w:rsidR="004A0B2E" w:rsidRPr="004A0B2E" w:rsidRDefault="004A0B2E" w:rsidP="004A0B2E">
            <w:pPr>
              <w:rPr>
                <w:rFonts w:ascii="Arial Narrow" w:hAnsi="Arial Narrow" w:cs="Arial"/>
                <w:sz w:val="16"/>
                <w:szCs w:val="16"/>
              </w:rPr>
            </w:pPr>
            <w:r w:rsidRPr="004A0B2E">
              <w:rPr>
                <w:rFonts w:ascii="Arial Narrow" w:hAnsi="Arial Narrow" w:cs="Arial"/>
                <w:sz w:val="16"/>
                <w:szCs w:val="16"/>
              </w:rPr>
              <w:t>19.08</w:t>
            </w:r>
          </w:p>
        </w:tc>
        <w:tc>
          <w:tcPr>
            <w:tcW w:w="5279" w:type="dxa"/>
            <w:tcBorders>
              <w:top w:val="nil"/>
              <w:left w:val="nil"/>
              <w:bottom w:val="single" w:sz="4" w:space="0" w:color="auto"/>
              <w:right w:val="single" w:sz="4" w:space="0" w:color="auto"/>
            </w:tcBorders>
            <w:shd w:val="clear" w:color="auto" w:fill="auto"/>
            <w:vAlign w:val="center"/>
            <w:hideMark/>
          </w:tcPr>
          <w:p w14:paraId="48CE24E9" w14:textId="77777777" w:rsidR="004A0B2E" w:rsidRPr="004A0B2E" w:rsidRDefault="004A0B2E" w:rsidP="004A0B2E">
            <w:pPr>
              <w:rPr>
                <w:rFonts w:ascii="Arial Narrow" w:hAnsi="Arial Narrow" w:cs="Arial"/>
                <w:sz w:val="16"/>
                <w:szCs w:val="16"/>
              </w:rPr>
            </w:pPr>
            <w:r w:rsidRPr="004A0B2E">
              <w:rPr>
                <w:rFonts w:ascii="Arial Narrow" w:hAnsi="Arial Narrow" w:cs="Arial"/>
                <w:sz w:val="16"/>
                <w:szCs w:val="16"/>
              </w:rPr>
              <w:t>Поддръжка на сгради</w:t>
            </w:r>
          </w:p>
        </w:tc>
        <w:tc>
          <w:tcPr>
            <w:tcW w:w="957" w:type="dxa"/>
            <w:tcBorders>
              <w:top w:val="nil"/>
              <w:left w:val="nil"/>
              <w:bottom w:val="single" w:sz="4" w:space="0" w:color="auto"/>
              <w:right w:val="single" w:sz="4" w:space="0" w:color="auto"/>
            </w:tcBorders>
            <w:shd w:val="clear" w:color="auto" w:fill="auto"/>
            <w:vAlign w:val="center"/>
            <w:hideMark/>
          </w:tcPr>
          <w:p w14:paraId="276AD557" w14:textId="77777777" w:rsidR="004A0B2E" w:rsidRPr="004A0B2E" w:rsidRDefault="004A0B2E" w:rsidP="004A0B2E">
            <w:pPr>
              <w:jc w:val="right"/>
              <w:rPr>
                <w:rFonts w:ascii="Arial Narrow" w:hAnsi="Arial Narrow" w:cs="Calibri"/>
                <w:sz w:val="16"/>
                <w:szCs w:val="16"/>
              </w:rPr>
            </w:pPr>
            <w:r w:rsidRPr="004A0B2E">
              <w:rPr>
                <w:rFonts w:ascii="Arial Narrow" w:hAnsi="Arial Narrow" w:cs="Calibri"/>
                <w:sz w:val="16"/>
                <w:szCs w:val="16"/>
              </w:rPr>
              <w:t>176,8</w:t>
            </w:r>
          </w:p>
        </w:tc>
        <w:tc>
          <w:tcPr>
            <w:tcW w:w="1118" w:type="dxa"/>
            <w:tcBorders>
              <w:top w:val="nil"/>
              <w:left w:val="nil"/>
              <w:bottom w:val="single" w:sz="4" w:space="0" w:color="auto"/>
              <w:right w:val="single" w:sz="4" w:space="0" w:color="auto"/>
            </w:tcBorders>
            <w:shd w:val="clear" w:color="auto" w:fill="auto"/>
            <w:vAlign w:val="center"/>
            <w:hideMark/>
          </w:tcPr>
          <w:p w14:paraId="48872426" w14:textId="77777777" w:rsidR="004A0B2E" w:rsidRPr="004A0B2E" w:rsidRDefault="004A0B2E" w:rsidP="004A0B2E">
            <w:pPr>
              <w:jc w:val="right"/>
              <w:rPr>
                <w:rFonts w:ascii="Arial Narrow" w:hAnsi="Arial Narrow" w:cs="Calibri"/>
                <w:sz w:val="16"/>
                <w:szCs w:val="16"/>
              </w:rPr>
            </w:pPr>
            <w:r w:rsidRPr="004A0B2E">
              <w:rPr>
                <w:rFonts w:ascii="Arial Narrow" w:hAnsi="Arial Narrow" w:cs="Calibri"/>
                <w:sz w:val="16"/>
                <w:szCs w:val="16"/>
              </w:rPr>
              <w:t>-12,4</w:t>
            </w:r>
          </w:p>
        </w:tc>
        <w:tc>
          <w:tcPr>
            <w:tcW w:w="957" w:type="dxa"/>
            <w:tcBorders>
              <w:top w:val="nil"/>
              <w:left w:val="nil"/>
              <w:bottom w:val="single" w:sz="4" w:space="0" w:color="auto"/>
              <w:right w:val="single" w:sz="4" w:space="0" w:color="auto"/>
            </w:tcBorders>
            <w:shd w:val="clear" w:color="auto" w:fill="auto"/>
            <w:vAlign w:val="center"/>
            <w:hideMark/>
          </w:tcPr>
          <w:p w14:paraId="0382B2D4" w14:textId="77777777" w:rsidR="004A0B2E" w:rsidRPr="004A0B2E" w:rsidRDefault="004A0B2E" w:rsidP="004A0B2E">
            <w:pPr>
              <w:jc w:val="right"/>
              <w:rPr>
                <w:rFonts w:ascii="Arial Narrow" w:hAnsi="Arial Narrow" w:cs="Calibri"/>
                <w:sz w:val="16"/>
                <w:szCs w:val="16"/>
              </w:rPr>
            </w:pPr>
            <w:r w:rsidRPr="004A0B2E">
              <w:rPr>
                <w:rFonts w:ascii="Arial Narrow" w:hAnsi="Arial Narrow" w:cs="Calibri"/>
                <w:sz w:val="16"/>
                <w:szCs w:val="16"/>
              </w:rPr>
              <w:t>154,8</w:t>
            </w:r>
          </w:p>
        </w:tc>
        <w:tc>
          <w:tcPr>
            <w:tcW w:w="1256" w:type="dxa"/>
            <w:tcBorders>
              <w:top w:val="nil"/>
              <w:left w:val="nil"/>
              <w:bottom w:val="single" w:sz="4" w:space="0" w:color="auto"/>
              <w:right w:val="single" w:sz="4" w:space="0" w:color="auto"/>
            </w:tcBorders>
            <w:shd w:val="clear" w:color="auto" w:fill="auto"/>
            <w:vAlign w:val="center"/>
            <w:hideMark/>
          </w:tcPr>
          <w:p w14:paraId="48132D81" w14:textId="77777777" w:rsidR="004A0B2E" w:rsidRPr="004A0B2E" w:rsidRDefault="004A0B2E" w:rsidP="004A0B2E">
            <w:pPr>
              <w:jc w:val="right"/>
              <w:rPr>
                <w:rFonts w:ascii="Arial Narrow" w:hAnsi="Arial Narrow" w:cs="Calibri"/>
                <w:sz w:val="16"/>
                <w:szCs w:val="16"/>
              </w:rPr>
            </w:pPr>
            <w:r w:rsidRPr="004A0B2E">
              <w:rPr>
                <w:rFonts w:ascii="Arial Narrow" w:hAnsi="Arial Narrow" w:cs="Calibri"/>
                <w:sz w:val="16"/>
                <w:szCs w:val="16"/>
              </w:rPr>
              <w:t>-9,8</w:t>
            </w:r>
          </w:p>
        </w:tc>
        <w:tc>
          <w:tcPr>
            <w:tcW w:w="872" w:type="dxa"/>
            <w:tcBorders>
              <w:top w:val="nil"/>
              <w:left w:val="nil"/>
              <w:bottom w:val="single" w:sz="4" w:space="0" w:color="auto"/>
              <w:right w:val="single" w:sz="4" w:space="0" w:color="auto"/>
            </w:tcBorders>
            <w:shd w:val="clear" w:color="auto" w:fill="auto"/>
            <w:vAlign w:val="center"/>
            <w:hideMark/>
          </w:tcPr>
          <w:p w14:paraId="22C59A70" w14:textId="77777777" w:rsidR="004A0B2E" w:rsidRPr="004A0B2E" w:rsidRDefault="004A0B2E" w:rsidP="004A0B2E">
            <w:pPr>
              <w:jc w:val="right"/>
              <w:rPr>
                <w:rFonts w:ascii="Arial Narrow" w:hAnsi="Arial Narrow" w:cs="Calibri"/>
                <w:sz w:val="16"/>
                <w:szCs w:val="16"/>
              </w:rPr>
            </w:pPr>
            <w:r w:rsidRPr="004A0B2E">
              <w:rPr>
                <w:rFonts w:ascii="Arial Narrow" w:hAnsi="Arial Narrow" w:cs="Calibri"/>
                <w:sz w:val="16"/>
                <w:szCs w:val="16"/>
              </w:rPr>
              <w:t>139,6</w:t>
            </w:r>
          </w:p>
        </w:tc>
      </w:tr>
      <w:tr w:rsidR="004A0B2E" w:rsidRPr="00B10684" w14:paraId="3652AC3C" w14:textId="77777777" w:rsidTr="005A18A5">
        <w:trPr>
          <w:trHeight w:val="183"/>
        </w:trPr>
        <w:tc>
          <w:tcPr>
            <w:tcW w:w="757" w:type="dxa"/>
            <w:tcBorders>
              <w:top w:val="nil"/>
              <w:left w:val="single" w:sz="4" w:space="0" w:color="auto"/>
              <w:bottom w:val="single" w:sz="4" w:space="0" w:color="auto"/>
              <w:right w:val="single" w:sz="4" w:space="0" w:color="auto"/>
            </w:tcBorders>
            <w:shd w:val="clear" w:color="auto" w:fill="auto"/>
            <w:noWrap/>
            <w:vAlign w:val="center"/>
            <w:hideMark/>
          </w:tcPr>
          <w:p w14:paraId="6C2B65DE" w14:textId="77777777" w:rsidR="004A0B2E" w:rsidRPr="004A0B2E" w:rsidRDefault="004A0B2E" w:rsidP="004A0B2E">
            <w:pPr>
              <w:rPr>
                <w:rFonts w:ascii="Arial Narrow" w:hAnsi="Arial Narrow" w:cs="Arial"/>
                <w:sz w:val="16"/>
                <w:szCs w:val="16"/>
              </w:rPr>
            </w:pPr>
            <w:r w:rsidRPr="004A0B2E">
              <w:rPr>
                <w:rFonts w:ascii="Arial Narrow" w:hAnsi="Arial Narrow" w:cs="Arial"/>
                <w:sz w:val="16"/>
                <w:szCs w:val="16"/>
              </w:rPr>
              <w:t>19.09</w:t>
            </w:r>
          </w:p>
        </w:tc>
        <w:tc>
          <w:tcPr>
            <w:tcW w:w="5279" w:type="dxa"/>
            <w:tcBorders>
              <w:top w:val="nil"/>
              <w:left w:val="nil"/>
              <w:bottom w:val="single" w:sz="4" w:space="0" w:color="auto"/>
              <w:right w:val="single" w:sz="4" w:space="0" w:color="auto"/>
            </w:tcBorders>
            <w:shd w:val="clear" w:color="auto" w:fill="auto"/>
            <w:vAlign w:val="center"/>
            <w:hideMark/>
          </w:tcPr>
          <w:p w14:paraId="57EFD4CE" w14:textId="77777777" w:rsidR="004A0B2E" w:rsidRPr="004A0B2E" w:rsidRDefault="004A0B2E" w:rsidP="004A0B2E">
            <w:pPr>
              <w:rPr>
                <w:rFonts w:ascii="Arial Narrow" w:hAnsi="Arial Narrow" w:cs="Arial"/>
                <w:sz w:val="16"/>
                <w:szCs w:val="16"/>
              </w:rPr>
            </w:pPr>
            <w:r w:rsidRPr="004A0B2E">
              <w:rPr>
                <w:rFonts w:ascii="Arial Narrow" w:hAnsi="Arial Narrow" w:cs="Arial"/>
                <w:sz w:val="16"/>
                <w:szCs w:val="16"/>
              </w:rPr>
              <w:t>Селскостопански услуги</w:t>
            </w:r>
          </w:p>
        </w:tc>
        <w:tc>
          <w:tcPr>
            <w:tcW w:w="957" w:type="dxa"/>
            <w:tcBorders>
              <w:top w:val="nil"/>
              <w:left w:val="nil"/>
              <w:bottom w:val="single" w:sz="4" w:space="0" w:color="auto"/>
              <w:right w:val="single" w:sz="4" w:space="0" w:color="auto"/>
            </w:tcBorders>
            <w:shd w:val="clear" w:color="auto" w:fill="auto"/>
            <w:vAlign w:val="center"/>
            <w:hideMark/>
          </w:tcPr>
          <w:p w14:paraId="26C3D70D" w14:textId="77777777" w:rsidR="004A0B2E" w:rsidRPr="004A0B2E" w:rsidRDefault="004A0B2E" w:rsidP="004A0B2E">
            <w:pPr>
              <w:jc w:val="right"/>
              <w:rPr>
                <w:rFonts w:ascii="Arial Narrow" w:hAnsi="Arial Narrow" w:cs="Calibri"/>
                <w:sz w:val="16"/>
                <w:szCs w:val="16"/>
              </w:rPr>
            </w:pPr>
            <w:r w:rsidRPr="004A0B2E">
              <w:rPr>
                <w:rFonts w:ascii="Arial Narrow" w:hAnsi="Arial Narrow" w:cs="Calibri"/>
                <w:sz w:val="16"/>
                <w:szCs w:val="16"/>
              </w:rPr>
              <w:t>595,3</w:t>
            </w:r>
          </w:p>
        </w:tc>
        <w:tc>
          <w:tcPr>
            <w:tcW w:w="1118" w:type="dxa"/>
            <w:tcBorders>
              <w:top w:val="nil"/>
              <w:left w:val="nil"/>
              <w:bottom w:val="single" w:sz="4" w:space="0" w:color="auto"/>
              <w:right w:val="single" w:sz="4" w:space="0" w:color="auto"/>
            </w:tcBorders>
            <w:shd w:val="clear" w:color="auto" w:fill="auto"/>
            <w:vAlign w:val="center"/>
            <w:hideMark/>
          </w:tcPr>
          <w:p w14:paraId="421DDCFF" w14:textId="77777777" w:rsidR="004A0B2E" w:rsidRPr="004A0B2E" w:rsidRDefault="004A0B2E" w:rsidP="004A0B2E">
            <w:pPr>
              <w:jc w:val="right"/>
              <w:rPr>
                <w:rFonts w:ascii="Arial Narrow" w:hAnsi="Arial Narrow" w:cs="Calibri"/>
                <w:sz w:val="16"/>
                <w:szCs w:val="16"/>
              </w:rPr>
            </w:pPr>
            <w:r w:rsidRPr="004A0B2E">
              <w:rPr>
                <w:rFonts w:ascii="Arial Narrow" w:hAnsi="Arial Narrow" w:cs="Calibri"/>
                <w:sz w:val="16"/>
                <w:szCs w:val="16"/>
              </w:rPr>
              <w:t>0,1</w:t>
            </w:r>
          </w:p>
        </w:tc>
        <w:tc>
          <w:tcPr>
            <w:tcW w:w="957" w:type="dxa"/>
            <w:tcBorders>
              <w:top w:val="nil"/>
              <w:left w:val="nil"/>
              <w:bottom w:val="single" w:sz="4" w:space="0" w:color="auto"/>
              <w:right w:val="single" w:sz="4" w:space="0" w:color="auto"/>
            </w:tcBorders>
            <w:shd w:val="clear" w:color="auto" w:fill="auto"/>
            <w:vAlign w:val="center"/>
            <w:hideMark/>
          </w:tcPr>
          <w:p w14:paraId="0EB40339" w14:textId="77777777" w:rsidR="004A0B2E" w:rsidRPr="004A0B2E" w:rsidRDefault="004A0B2E" w:rsidP="004A0B2E">
            <w:pPr>
              <w:jc w:val="right"/>
              <w:rPr>
                <w:rFonts w:ascii="Arial Narrow" w:hAnsi="Arial Narrow" w:cs="Calibri"/>
                <w:sz w:val="16"/>
                <w:szCs w:val="16"/>
              </w:rPr>
            </w:pPr>
            <w:r w:rsidRPr="004A0B2E">
              <w:rPr>
                <w:rFonts w:ascii="Arial Narrow" w:hAnsi="Arial Narrow" w:cs="Calibri"/>
                <w:sz w:val="16"/>
                <w:szCs w:val="16"/>
              </w:rPr>
              <w:t>595,7</w:t>
            </w:r>
          </w:p>
        </w:tc>
        <w:tc>
          <w:tcPr>
            <w:tcW w:w="1256" w:type="dxa"/>
            <w:tcBorders>
              <w:top w:val="nil"/>
              <w:left w:val="nil"/>
              <w:bottom w:val="single" w:sz="4" w:space="0" w:color="auto"/>
              <w:right w:val="single" w:sz="4" w:space="0" w:color="auto"/>
            </w:tcBorders>
            <w:shd w:val="clear" w:color="auto" w:fill="auto"/>
            <w:vAlign w:val="center"/>
            <w:hideMark/>
          </w:tcPr>
          <w:p w14:paraId="2AEC5A5B" w14:textId="77777777" w:rsidR="004A0B2E" w:rsidRPr="004A0B2E" w:rsidRDefault="004A0B2E" w:rsidP="004A0B2E">
            <w:pPr>
              <w:jc w:val="right"/>
              <w:rPr>
                <w:rFonts w:ascii="Arial Narrow" w:hAnsi="Arial Narrow" w:cs="Calibri"/>
                <w:sz w:val="16"/>
                <w:szCs w:val="16"/>
              </w:rPr>
            </w:pPr>
            <w:r w:rsidRPr="004A0B2E">
              <w:rPr>
                <w:rFonts w:ascii="Arial Narrow" w:hAnsi="Arial Narrow" w:cs="Calibri"/>
                <w:sz w:val="16"/>
                <w:szCs w:val="16"/>
              </w:rPr>
              <w:t>-8,0</w:t>
            </w:r>
          </w:p>
        </w:tc>
        <w:tc>
          <w:tcPr>
            <w:tcW w:w="872" w:type="dxa"/>
            <w:tcBorders>
              <w:top w:val="nil"/>
              <w:left w:val="nil"/>
              <w:bottom w:val="single" w:sz="4" w:space="0" w:color="auto"/>
              <w:right w:val="single" w:sz="4" w:space="0" w:color="auto"/>
            </w:tcBorders>
            <w:shd w:val="clear" w:color="auto" w:fill="auto"/>
            <w:vAlign w:val="center"/>
            <w:hideMark/>
          </w:tcPr>
          <w:p w14:paraId="485314D3" w14:textId="77777777" w:rsidR="004A0B2E" w:rsidRPr="004A0B2E" w:rsidRDefault="004A0B2E" w:rsidP="004A0B2E">
            <w:pPr>
              <w:jc w:val="right"/>
              <w:rPr>
                <w:rFonts w:ascii="Arial Narrow" w:hAnsi="Arial Narrow" w:cs="Calibri"/>
                <w:sz w:val="16"/>
                <w:szCs w:val="16"/>
              </w:rPr>
            </w:pPr>
            <w:r w:rsidRPr="004A0B2E">
              <w:rPr>
                <w:rFonts w:ascii="Arial Narrow" w:hAnsi="Arial Narrow" w:cs="Calibri"/>
                <w:sz w:val="16"/>
                <w:szCs w:val="16"/>
              </w:rPr>
              <w:t>547,8</w:t>
            </w:r>
          </w:p>
        </w:tc>
      </w:tr>
      <w:tr w:rsidR="004A0B2E" w:rsidRPr="00B10684" w14:paraId="72421ECE" w14:textId="77777777" w:rsidTr="005A18A5">
        <w:trPr>
          <w:trHeight w:val="183"/>
        </w:trPr>
        <w:tc>
          <w:tcPr>
            <w:tcW w:w="757" w:type="dxa"/>
            <w:tcBorders>
              <w:top w:val="nil"/>
              <w:left w:val="single" w:sz="4" w:space="0" w:color="auto"/>
              <w:bottom w:val="single" w:sz="4" w:space="0" w:color="auto"/>
              <w:right w:val="single" w:sz="4" w:space="0" w:color="auto"/>
            </w:tcBorders>
            <w:shd w:val="clear" w:color="auto" w:fill="auto"/>
            <w:noWrap/>
            <w:vAlign w:val="center"/>
            <w:hideMark/>
          </w:tcPr>
          <w:p w14:paraId="1CA63B83" w14:textId="77777777" w:rsidR="004A0B2E" w:rsidRPr="004A0B2E" w:rsidRDefault="004A0B2E" w:rsidP="004A0B2E">
            <w:pPr>
              <w:rPr>
                <w:rFonts w:ascii="Arial Narrow" w:hAnsi="Arial Narrow" w:cs="Arial"/>
                <w:sz w:val="16"/>
                <w:szCs w:val="16"/>
              </w:rPr>
            </w:pPr>
            <w:r w:rsidRPr="004A0B2E">
              <w:rPr>
                <w:rFonts w:ascii="Arial Narrow" w:hAnsi="Arial Narrow" w:cs="Arial"/>
                <w:sz w:val="16"/>
                <w:szCs w:val="16"/>
              </w:rPr>
              <w:t>19.10</w:t>
            </w:r>
          </w:p>
        </w:tc>
        <w:tc>
          <w:tcPr>
            <w:tcW w:w="5279" w:type="dxa"/>
            <w:tcBorders>
              <w:top w:val="nil"/>
              <w:left w:val="nil"/>
              <w:bottom w:val="single" w:sz="4" w:space="0" w:color="auto"/>
              <w:right w:val="single" w:sz="4" w:space="0" w:color="auto"/>
            </w:tcBorders>
            <w:shd w:val="clear" w:color="auto" w:fill="auto"/>
            <w:vAlign w:val="center"/>
            <w:hideMark/>
          </w:tcPr>
          <w:p w14:paraId="3045CF88" w14:textId="77777777" w:rsidR="004A0B2E" w:rsidRPr="004A0B2E" w:rsidRDefault="004A0B2E" w:rsidP="004A0B2E">
            <w:pPr>
              <w:rPr>
                <w:rFonts w:ascii="Arial Narrow" w:hAnsi="Arial Narrow" w:cs="Arial"/>
                <w:sz w:val="16"/>
                <w:szCs w:val="16"/>
              </w:rPr>
            </w:pPr>
            <w:r w:rsidRPr="004A0B2E">
              <w:rPr>
                <w:rFonts w:ascii="Arial Narrow" w:hAnsi="Arial Narrow" w:cs="Arial"/>
                <w:sz w:val="16"/>
                <w:szCs w:val="16"/>
              </w:rPr>
              <w:t>ФИЗИМ</w:t>
            </w:r>
          </w:p>
        </w:tc>
        <w:tc>
          <w:tcPr>
            <w:tcW w:w="957" w:type="dxa"/>
            <w:tcBorders>
              <w:top w:val="nil"/>
              <w:left w:val="nil"/>
              <w:bottom w:val="single" w:sz="4" w:space="0" w:color="auto"/>
              <w:right w:val="single" w:sz="4" w:space="0" w:color="auto"/>
            </w:tcBorders>
            <w:shd w:val="clear" w:color="auto" w:fill="auto"/>
            <w:vAlign w:val="center"/>
            <w:hideMark/>
          </w:tcPr>
          <w:p w14:paraId="01375E11" w14:textId="77777777" w:rsidR="004A0B2E" w:rsidRPr="004A0B2E" w:rsidRDefault="004A0B2E" w:rsidP="004A0B2E">
            <w:pPr>
              <w:jc w:val="right"/>
              <w:rPr>
                <w:rFonts w:ascii="Arial Narrow" w:hAnsi="Arial Narrow" w:cs="Calibri"/>
                <w:sz w:val="16"/>
                <w:szCs w:val="16"/>
              </w:rPr>
            </w:pPr>
            <w:r w:rsidRPr="004A0B2E">
              <w:rPr>
                <w:rFonts w:ascii="Arial Narrow" w:hAnsi="Arial Narrow" w:cs="Calibri"/>
                <w:sz w:val="16"/>
                <w:szCs w:val="16"/>
              </w:rPr>
              <w:t>68,8</w:t>
            </w:r>
          </w:p>
        </w:tc>
        <w:tc>
          <w:tcPr>
            <w:tcW w:w="1118" w:type="dxa"/>
            <w:tcBorders>
              <w:top w:val="nil"/>
              <w:left w:val="nil"/>
              <w:bottom w:val="single" w:sz="4" w:space="0" w:color="auto"/>
              <w:right w:val="single" w:sz="4" w:space="0" w:color="auto"/>
            </w:tcBorders>
            <w:shd w:val="clear" w:color="auto" w:fill="auto"/>
            <w:vAlign w:val="center"/>
            <w:hideMark/>
          </w:tcPr>
          <w:p w14:paraId="4420547E" w14:textId="77777777" w:rsidR="004A0B2E" w:rsidRPr="004A0B2E" w:rsidRDefault="004A0B2E" w:rsidP="004A0B2E">
            <w:pPr>
              <w:jc w:val="right"/>
              <w:rPr>
                <w:rFonts w:ascii="Arial Narrow" w:hAnsi="Arial Narrow" w:cs="Calibri"/>
                <w:sz w:val="16"/>
                <w:szCs w:val="16"/>
              </w:rPr>
            </w:pPr>
            <w:r w:rsidRPr="004A0B2E">
              <w:rPr>
                <w:rFonts w:ascii="Arial Narrow" w:hAnsi="Arial Narrow" w:cs="Calibri"/>
                <w:sz w:val="16"/>
                <w:szCs w:val="16"/>
              </w:rPr>
              <w:t>-26,5</w:t>
            </w:r>
          </w:p>
        </w:tc>
        <w:tc>
          <w:tcPr>
            <w:tcW w:w="957" w:type="dxa"/>
            <w:tcBorders>
              <w:top w:val="nil"/>
              <w:left w:val="nil"/>
              <w:bottom w:val="single" w:sz="4" w:space="0" w:color="auto"/>
              <w:right w:val="single" w:sz="4" w:space="0" w:color="auto"/>
            </w:tcBorders>
            <w:shd w:val="clear" w:color="auto" w:fill="auto"/>
            <w:vAlign w:val="center"/>
            <w:hideMark/>
          </w:tcPr>
          <w:p w14:paraId="275646F5" w14:textId="77777777" w:rsidR="004A0B2E" w:rsidRPr="004A0B2E" w:rsidRDefault="004A0B2E" w:rsidP="004A0B2E">
            <w:pPr>
              <w:jc w:val="right"/>
              <w:rPr>
                <w:rFonts w:ascii="Arial Narrow" w:hAnsi="Arial Narrow" w:cs="Calibri"/>
                <w:sz w:val="16"/>
                <w:szCs w:val="16"/>
              </w:rPr>
            </w:pPr>
            <w:r w:rsidRPr="004A0B2E">
              <w:rPr>
                <w:rFonts w:ascii="Arial Narrow" w:hAnsi="Arial Narrow" w:cs="Calibri"/>
                <w:sz w:val="16"/>
                <w:szCs w:val="16"/>
              </w:rPr>
              <w:t>50,6</w:t>
            </w:r>
          </w:p>
        </w:tc>
        <w:tc>
          <w:tcPr>
            <w:tcW w:w="1256" w:type="dxa"/>
            <w:tcBorders>
              <w:top w:val="nil"/>
              <w:left w:val="nil"/>
              <w:bottom w:val="single" w:sz="4" w:space="0" w:color="auto"/>
              <w:right w:val="single" w:sz="4" w:space="0" w:color="auto"/>
            </w:tcBorders>
            <w:shd w:val="clear" w:color="auto" w:fill="auto"/>
            <w:vAlign w:val="center"/>
            <w:hideMark/>
          </w:tcPr>
          <w:p w14:paraId="33ECFA80" w14:textId="77777777" w:rsidR="004A0B2E" w:rsidRPr="004A0B2E" w:rsidRDefault="004A0B2E" w:rsidP="004A0B2E">
            <w:pPr>
              <w:jc w:val="right"/>
              <w:rPr>
                <w:rFonts w:ascii="Arial Narrow" w:hAnsi="Arial Narrow" w:cs="Calibri"/>
                <w:sz w:val="16"/>
                <w:szCs w:val="16"/>
              </w:rPr>
            </w:pPr>
            <w:r w:rsidRPr="004A0B2E">
              <w:rPr>
                <w:rFonts w:ascii="Arial Narrow" w:hAnsi="Arial Narrow" w:cs="Calibri"/>
                <w:sz w:val="16"/>
                <w:szCs w:val="16"/>
              </w:rPr>
              <w:t>6,1</w:t>
            </w:r>
          </w:p>
        </w:tc>
        <w:tc>
          <w:tcPr>
            <w:tcW w:w="872" w:type="dxa"/>
            <w:tcBorders>
              <w:top w:val="nil"/>
              <w:left w:val="nil"/>
              <w:bottom w:val="single" w:sz="4" w:space="0" w:color="auto"/>
              <w:right w:val="single" w:sz="4" w:space="0" w:color="auto"/>
            </w:tcBorders>
            <w:shd w:val="clear" w:color="auto" w:fill="auto"/>
            <w:vAlign w:val="center"/>
            <w:hideMark/>
          </w:tcPr>
          <w:p w14:paraId="2552BDA5" w14:textId="77777777" w:rsidR="004A0B2E" w:rsidRPr="004A0B2E" w:rsidRDefault="004A0B2E" w:rsidP="004A0B2E">
            <w:pPr>
              <w:jc w:val="right"/>
              <w:rPr>
                <w:rFonts w:ascii="Arial Narrow" w:hAnsi="Arial Narrow" w:cs="Calibri"/>
                <w:sz w:val="16"/>
                <w:szCs w:val="16"/>
              </w:rPr>
            </w:pPr>
            <w:r w:rsidRPr="004A0B2E">
              <w:rPr>
                <w:rFonts w:ascii="Arial Narrow" w:hAnsi="Arial Narrow" w:cs="Calibri"/>
                <w:sz w:val="16"/>
                <w:szCs w:val="16"/>
              </w:rPr>
              <w:t>53,7</w:t>
            </w:r>
          </w:p>
        </w:tc>
      </w:tr>
      <w:tr w:rsidR="004A0B2E" w:rsidRPr="00B10684" w14:paraId="33EC724A" w14:textId="77777777" w:rsidTr="008F7A9E">
        <w:trPr>
          <w:trHeight w:val="183"/>
        </w:trPr>
        <w:tc>
          <w:tcPr>
            <w:tcW w:w="757" w:type="dxa"/>
            <w:tcBorders>
              <w:top w:val="nil"/>
              <w:left w:val="single" w:sz="4" w:space="0" w:color="auto"/>
              <w:bottom w:val="nil"/>
              <w:right w:val="single" w:sz="4" w:space="0" w:color="auto"/>
            </w:tcBorders>
            <w:shd w:val="clear" w:color="auto" w:fill="auto"/>
            <w:noWrap/>
            <w:vAlign w:val="center"/>
            <w:hideMark/>
          </w:tcPr>
          <w:p w14:paraId="6DA4CA0E" w14:textId="77777777" w:rsidR="004A0B2E" w:rsidRPr="004A0B2E" w:rsidRDefault="004A0B2E" w:rsidP="004A0B2E">
            <w:pPr>
              <w:rPr>
                <w:rFonts w:ascii="Arial Narrow" w:hAnsi="Arial Narrow" w:cs="Arial"/>
                <w:sz w:val="16"/>
                <w:szCs w:val="16"/>
              </w:rPr>
            </w:pPr>
            <w:r w:rsidRPr="004A0B2E">
              <w:rPr>
                <w:rFonts w:ascii="Arial Narrow" w:hAnsi="Arial Narrow" w:cs="Arial"/>
                <w:sz w:val="16"/>
                <w:szCs w:val="16"/>
              </w:rPr>
              <w:t>19.11</w:t>
            </w:r>
          </w:p>
        </w:tc>
        <w:tc>
          <w:tcPr>
            <w:tcW w:w="5279" w:type="dxa"/>
            <w:tcBorders>
              <w:top w:val="nil"/>
              <w:left w:val="nil"/>
              <w:bottom w:val="single" w:sz="4" w:space="0" w:color="auto"/>
              <w:right w:val="single" w:sz="4" w:space="0" w:color="auto"/>
            </w:tcBorders>
            <w:shd w:val="clear" w:color="auto" w:fill="auto"/>
            <w:vAlign w:val="center"/>
            <w:hideMark/>
          </w:tcPr>
          <w:p w14:paraId="65E879CA" w14:textId="77777777" w:rsidR="004A0B2E" w:rsidRPr="004A0B2E" w:rsidRDefault="004A0B2E" w:rsidP="004A0B2E">
            <w:pPr>
              <w:rPr>
                <w:rFonts w:ascii="Arial Narrow" w:hAnsi="Arial Narrow" w:cs="Arial"/>
                <w:sz w:val="16"/>
                <w:szCs w:val="16"/>
              </w:rPr>
            </w:pPr>
            <w:r w:rsidRPr="004A0B2E">
              <w:rPr>
                <w:rFonts w:ascii="Arial Narrow" w:hAnsi="Arial Narrow" w:cs="Arial"/>
                <w:sz w:val="16"/>
                <w:szCs w:val="16"/>
              </w:rPr>
              <w:t>Други стоки и услуги</w:t>
            </w:r>
          </w:p>
        </w:tc>
        <w:tc>
          <w:tcPr>
            <w:tcW w:w="957" w:type="dxa"/>
            <w:tcBorders>
              <w:top w:val="nil"/>
              <w:left w:val="nil"/>
              <w:bottom w:val="single" w:sz="4" w:space="0" w:color="auto"/>
              <w:right w:val="single" w:sz="4" w:space="0" w:color="auto"/>
            </w:tcBorders>
            <w:shd w:val="clear" w:color="auto" w:fill="auto"/>
            <w:vAlign w:val="center"/>
            <w:hideMark/>
          </w:tcPr>
          <w:p w14:paraId="22951A38" w14:textId="77777777" w:rsidR="004A0B2E" w:rsidRPr="004A0B2E" w:rsidRDefault="004A0B2E" w:rsidP="004A0B2E">
            <w:pPr>
              <w:jc w:val="right"/>
              <w:rPr>
                <w:rFonts w:ascii="Arial Narrow" w:hAnsi="Arial Narrow" w:cs="Calibri"/>
                <w:sz w:val="16"/>
                <w:szCs w:val="16"/>
              </w:rPr>
            </w:pPr>
            <w:r w:rsidRPr="004A0B2E">
              <w:rPr>
                <w:rFonts w:ascii="Arial Narrow" w:hAnsi="Arial Narrow" w:cs="Calibri"/>
                <w:sz w:val="16"/>
                <w:szCs w:val="16"/>
              </w:rPr>
              <w:t>563,5</w:t>
            </w:r>
          </w:p>
        </w:tc>
        <w:tc>
          <w:tcPr>
            <w:tcW w:w="1118" w:type="dxa"/>
            <w:tcBorders>
              <w:top w:val="nil"/>
              <w:left w:val="nil"/>
              <w:bottom w:val="single" w:sz="4" w:space="0" w:color="auto"/>
              <w:right w:val="single" w:sz="4" w:space="0" w:color="auto"/>
            </w:tcBorders>
            <w:shd w:val="clear" w:color="auto" w:fill="auto"/>
            <w:vAlign w:val="center"/>
            <w:hideMark/>
          </w:tcPr>
          <w:p w14:paraId="4D1B9608" w14:textId="77777777" w:rsidR="004A0B2E" w:rsidRPr="004A0B2E" w:rsidRDefault="004A0B2E" w:rsidP="004A0B2E">
            <w:pPr>
              <w:jc w:val="right"/>
              <w:rPr>
                <w:rFonts w:ascii="Arial Narrow" w:hAnsi="Arial Narrow" w:cs="Calibri"/>
                <w:sz w:val="16"/>
                <w:szCs w:val="16"/>
              </w:rPr>
            </w:pPr>
            <w:r w:rsidRPr="004A0B2E">
              <w:rPr>
                <w:rFonts w:ascii="Arial Narrow" w:hAnsi="Arial Narrow" w:cs="Calibri"/>
                <w:sz w:val="16"/>
                <w:szCs w:val="16"/>
              </w:rPr>
              <w:t>-7,5</w:t>
            </w:r>
          </w:p>
        </w:tc>
        <w:tc>
          <w:tcPr>
            <w:tcW w:w="957" w:type="dxa"/>
            <w:tcBorders>
              <w:top w:val="nil"/>
              <w:left w:val="nil"/>
              <w:bottom w:val="single" w:sz="4" w:space="0" w:color="auto"/>
              <w:right w:val="single" w:sz="4" w:space="0" w:color="auto"/>
            </w:tcBorders>
            <w:shd w:val="clear" w:color="auto" w:fill="auto"/>
            <w:vAlign w:val="center"/>
            <w:hideMark/>
          </w:tcPr>
          <w:p w14:paraId="365799E2" w14:textId="77777777" w:rsidR="004A0B2E" w:rsidRPr="004A0B2E" w:rsidRDefault="004A0B2E" w:rsidP="004A0B2E">
            <w:pPr>
              <w:jc w:val="right"/>
              <w:rPr>
                <w:rFonts w:ascii="Arial Narrow" w:hAnsi="Arial Narrow" w:cs="Calibri"/>
                <w:sz w:val="16"/>
                <w:szCs w:val="16"/>
              </w:rPr>
            </w:pPr>
            <w:r w:rsidRPr="004A0B2E">
              <w:rPr>
                <w:rFonts w:ascii="Arial Narrow" w:hAnsi="Arial Narrow" w:cs="Calibri"/>
                <w:sz w:val="16"/>
                <w:szCs w:val="16"/>
              </w:rPr>
              <w:t>521,1</w:t>
            </w:r>
          </w:p>
        </w:tc>
        <w:tc>
          <w:tcPr>
            <w:tcW w:w="1256" w:type="dxa"/>
            <w:tcBorders>
              <w:top w:val="nil"/>
              <w:left w:val="nil"/>
              <w:bottom w:val="single" w:sz="4" w:space="0" w:color="auto"/>
              <w:right w:val="single" w:sz="4" w:space="0" w:color="auto"/>
            </w:tcBorders>
            <w:shd w:val="clear" w:color="auto" w:fill="auto"/>
            <w:vAlign w:val="center"/>
            <w:hideMark/>
          </w:tcPr>
          <w:p w14:paraId="59B738EF" w14:textId="77777777" w:rsidR="004A0B2E" w:rsidRPr="004A0B2E" w:rsidRDefault="004A0B2E" w:rsidP="004A0B2E">
            <w:pPr>
              <w:jc w:val="right"/>
              <w:rPr>
                <w:rFonts w:ascii="Arial Narrow" w:hAnsi="Arial Narrow" w:cs="Calibri"/>
                <w:sz w:val="16"/>
                <w:szCs w:val="16"/>
              </w:rPr>
            </w:pPr>
            <w:r w:rsidRPr="004A0B2E">
              <w:rPr>
                <w:rFonts w:ascii="Arial Narrow" w:hAnsi="Arial Narrow" w:cs="Calibri"/>
                <w:sz w:val="16"/>
                <w:szCs w:val="16"/>
              </w:rPr>
              <w:t>-14,5</w:t>
            </w:r>
          </w:p>
        </w:tc>
        <w:tc>
          <w:tcPr>
            <w:tcW w:w="872" w:type="dxa"/>
            <w:tcBorders>
              <w:top w:val="nil"/>
              <w:left w:val="nil"/>
              <w:bottom w:val="single" w:sz="4" w:space="0" w:color="auto"/>
              <w:right w:val="single" w:sz="4" w:space="0" w:color="auto"/>
            </w:tcBorders>
            <w:shd w:val="clear" w:color="auto" w:fill="auto"/>
            <w:vAlign w:val="center"/>
            <w:hideMark/>
          </w:tcPr>
          <w:p w14:paraId="65100DC0" w14:textId="77777777" w:rsidR="004A0B2E" w:rsidRPr="004A0B2E" w:rsidRDefault="004A0B2E" w:rsidP="004A0B2E">
            <w:pPr>
              <w:jc w:val="right"/>
              <w:rPr>
                <w:rFonts w:ascii="Arial Narrow" w:hAnsi="Arial Narrow" w:cs="Calibri"/>
                <w:sz w:val="16"/>
                <w:szCs w:val="16"/>
              </w:rPr>
            </w:pPr>
            <w:r w:rsidRPr="004A0B2E">
              <w:rPr>
                <w:rFonts w:ascii="Arial Narrow" w:hAnsi="Arial Narrow" w:cs="Calibri"/>
                <w:sz w:val="16"/>
                <w:szCs w:val="16"/>
              </w:rPr>
              <w:t>445,7</w:t>
            </w:r>
          </w:p>
        </w:tc>
      </w:tr>
      <w:tr w:rsidR="004A0B2E" w:rsidRPr="00B10684" w14:paraId="6B0D5339" w14:textId="77777777" w:rsidTr="008F7A9E">
        <w:trPr>
          <w:trHeight w:val="232"/>
        </w:trPr>
        <w:tc>
          <w:tcPr>
            <w:tcW w:w="7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E95E2C" w14:textId="77777777" w:rsidR="004A0B2E" w:rsidRPr="004A0B2E" w:rsidRDefault="004A0B2E" w:rsidP="004A0B2E">
            <w:pPr>
              <w:rPr>
                <w:rFonts w:ascii="Arial Narrow" w:hAnsi="Arial Narrow" w:cs="Arial"/>
                <w:sz w:val="16"/>
                <w:szCs w:val="16"/>
              </w:rPr>
            </w:pPr>
            <w:r w:rsidRPr="004A0B2E">
              <w:rPr>
                <w:rFonts w:ascii="Arial Narrow" w:hAnsi="Arial Narrow" w:cs="Arial"/>
                <w:sz w:val="16"/>
                <w:szCs w:val="16"/>
              </w:rPr>
              <w:t> </w:t>
            </w:r>
          </w:p>
        </w:tc>
        <w:tc>
          <w:tcPr>
            <w:tcW w:w="5279" w:type="dxa"/>
            <w:tcBorders>
              <w:top w:val="nil"/>
              <w:left w:val="nil"/>
              <w:bottom w:val="single" w:sz="4" w:space="0" w:color="auto"/>
              <w:right w:val="single" w:sz="4" w:space="0" w:color="auto"/>
            </w:tcBorders>
            <w:shd w:val="clear" w:color="auto" w:fill="auto"/>
            <w:vAlign w:val="center"/>
            <w:hideMark/>
          </w:tcPr>
          <w:p w14:paraId="63CE76EE" w14:textId="77777777" w:rsidR="004A0B2E" w:rsidRPr="004A0B2E" w:rsidRDefault="004A0B2E" w:rsidP="004A0B2E">
            <w:pPr>
              <w:ind w:firstLineChars="100" w:firstLine="160"/>
              <w:rPr>
                <w:rFonts w:ascii="Arial Narrow" w:hAnsi="Arial Narrow" w:cs="Arial"/>
                <w:sz w:val="16"/>
                <w:szCs w:val="16"/>
              </w:rPr>
            </w:pPr>
            <w:r w:rsidRPr="004A0B2E">
              <w:rPr>
                <w:rFonts w:ascii="Arial Narrow" w:hAnsi="Arial Narrow" w:cs="Arial"/>
                <w:sz w:val="16"/>
                <w:szCs w:val="16"/>
              </w:rPr>
              <w:t>доставено от други селскостопански предприятия</w:t>
            </w:r>
          </w:p>
        </w:tc>
        <w:tc>
          <w:tcPr>
            <w:tcW w:w="957" w:type="dxa"/>
            <w:tcBorders>
              <w:top w:val="nil"/>
              <w:left w:val="nil"/>
              <w:bottom w:val="single" w:sz="4" w:space="0" w:color="auto"/>
              <w:right w:val="single" w:sz="4" w:space="0" w:color="auto"/>
            </w:tcBorders>
            <w:shd w:val="clear" w:color="auto" w:fill="auto"/>
            <w:vAlign w:val="center"/>
            <w:hideMark/>
          </w:tcPr>
          <w:p w14:paraId="02B5641A" w14:textId="77777777" w:rsidR="004A0B2E" w:rsidRPr="004A0B2E" w:rsidRDefault="004A0B2E" w:rsidP="004A0B2E">
            <w:pPr>
              <w:jc w:val="right"/>
              <w:rPr>
                <w:rFonts w:ascii="Arial Narrow" w:hAnsi="Arial Narrow" w:cs="Calibri"/>
                <w:sz w:val="16"/>
                <w:szCs w:val="16"/>
              </w:rPr>
            </w:pPr>
            <w:r w:rsidRPr="004A0B2E">
              <w:rPr>
                <w:rFonts w:ascii="Arial Narrow" w:hAnsi="Arial Narrow" w:cs="Calibri"/>
                <w:sz w:val="16"/>
                <w:szCs w:val="16"/>
              </w:rPr>
              <w:t>137,7</w:t>
            </w:r>
          </w:p>
        </w:tc>
        <w:tc>
          <w:tcPr>
            <w:tcW w:w="1118" w:type="dxa"/>
            <w:tcBorders>
              <w:top w:val="nil"/>
              <w:left w:val="nil"/>
              <w:bottom w:val="single" w:sz="4" w:space="0" w:color="auto"/>
              <w:right w:val="single" w:sz="4" w:space="0" w:color="auto"/>
            </w:tcBorders>
            <w:shd w:val="clear" w:color="auto" w:fill="auto"/>
            <w:vAlign w:val="center"/>
            <w:hideMark/>
          </w:tcPr>
          <w:p w14:paraId="03CDF28B" w14:textId="77777777" w:rsidR="004A0B2E" w:rsidRPr="004A0B2E" w:rsidRDefault="004A0B2E" w:rsidP="004A0B2E">
            <w:pPr>
              <w:jc w:val="right"/>
              <w:rPr>
                <w:rFonts w:ascii="Arial Narrow" w:hAnsi="Arial Narrow" w:cs="Calibri"/>
                <w:sz w:val="16"/>
                <w:szCs w:val="16"/>
              </w:rPr>
            </w:pPr>
            <w:r w:rsidRPr="004A0B2E">
              <w:rPr>
                <w:rFonts w:ascii="Arial Narrow" w:hAnsi="Arial Narrow" w:cs="Calibri"/>
                <w:sz w:val="16"/>
                <w:szCs w:val="16"/>
              </w:rPr>
              <w:t>-17,1</w:t>
            </w:r>
          </w:p>
        </w:tc>
        <w:tc>
          <w:tcPr>
            <w:tcW w:w="957" w:type="dxa"/>
            <w:tcBorders>
              <w:top w:val="nil"/>
              <w:left w:val="nil"/>
              <w:bottom w:val="single" w:sz="4" w:space="0" w:color="auto"/>
              <w:right w:val="single" w:sz="4" w:space="0" w:color="auto"/>
            </w:tcBorders>
            <w:shd w:val="clear" w:color="auto" w:fill="auto"/>
            <w:vAlign w:val="center"/>
            <w:hideMark/>
          </w:tcPr>
          <w:p w14:paraId="0EDE81B6" w14:textId="77777777" w:rsidR="004A0B2E" w:rsidRPr="004A0B2E" w:rsidRDefault="004A0B2E" w:rsidP="004A0B2E">
            <w:pPr>
              <w:jc w:val="right"/>
              <w:rPr>
                <w:rFonts w:ascii="Arial Narrow" w:hAnsi="Arial Narrow" w:cs="Calibri"/>
                <w:sz w:val="16"/>
                <w:szCs w:val="16"/>
              </w:rPr>
            </w:pPr>
            <w:r w:rsidRPr="004A0B2E">
              <w:rPr>
                <w:rFonts w:ascii="Arial Narrow" w:hAnsi="Arial Narrow" w:cs="Calibri"/>
                <w:sz w:val="16"/>
                <w:szCs w:val="16"/>
              </w:rPr>
              <w:t>114,2</w:t>
            </w:r>
          </w:p>
        </w:tc>
        <w:tc>
          <w:tcPr>
            <w:tcW w:w="1256" w:type="dxa"/>
            <w:tcBorders>
              <w:top w:val="nil"/>
              <w:left w:val="nil"/>
              <w:bottom w:val="single" w:sz="4" w:space="0" w:color="auto"/>
              <w:right w:val="single" w:sz="4" w:space="0" w:color="auto"/>
            </w:tcBorders>
            <w:shd w:val="clear" w:color="auto" w:fill="auto"/>
            <w:vAlign w:val="center"/>
            <w:hideMark/>
          </w:tcPr>
          <w:p w14:paraId="0922EAF8" w14:textId="77777777" w:rsidR="004A0B2E" w:rsidRPr="004A0B2E" w:rsidRDefault="004A0B2E" w:rsidP="004A0B2E">
            <w:pPr>
              <w:jc w:val="right"/>
              <w:rPr>
                <w:rFonts w:ascii="Arial Narrow" w:hAnsi="Arial Narrow" w:cs="Calibri"/>
                <w:sz w:val="16"/>
                <w:szCs w:val="16"/>
              </w:rPr>
            </w:pPr>
            <w:r w:rsidRPr="004A0B2E">
              <w:rPr>
                <w:rFonts w:ascii="Arial Narrow" w:hAnsi="Arial Narrow" w:cs="Calibri"/>
                <w:sz w:val="16"/>
                <w:szCs w:val="16"/>
              </w:rPr>
              <w:t>-9,2</w:t>
            </w:r>
          </w:p>
        </w:tc>
        <w:tc>
          <w:tcPr>
            <w:tcW w:w="872" w:type="dxa"/>
            <w:tcBorders>
              <w:top w:val="nil"/>
              <w:left w:val="nil"/>
              <w:bottom w:val="single" w:sz="4" w:space="0" w:color="auto"/>
              <w:right w:val="single" w:sz="4" w:space="0" w:color="auto"/>
            </w:tcBorders>
            <w:shd w:val="clear" w:color="auto" w:fill="auto"/>
            <w:vAlign w:val="center"/>
            <w:hideMark/>
          </w:tcPr>
          <w:p w14:paraId="1B9CD7BE" w14:textId="77777777" w:rsidR="004A0B2E" w:rsidRPr="004A0B2E" w:rsidRDefault="004A0B2E" w:rsidP="004A0B2E">
            <w:pPr>
              <w:jc w:val="right"/>
              <w:rPr>
                <w:rFonts w:ascii="Arial Narrow" w:hAnsi="Arial Narrow" w:cs="Calibri"/>
                <w:sz w:val="16"/>
                <w:szCs w:val="16"/>
              </w:rPr>
            </w:pPr>
            <w:r w:rsidRPr="004A0B2E">
              <w:rPr>
                <w:rFonts w:ascii="Arial Narrow" w:hAnsi="Arial Narrow" w:cs="Calibri"/>
                <w:sz w:val="16"/>
                <w:szCs w:val="16"/>
              </w:rPr>
              <w:t>103,7</w:t>
            </w:r>
          </w:p>
        </w:tc>
      </w:tr>
      <w:tr w:rsidR="004A0B2E" w:rsidRPr="00B10684" w14:paraId="40F5C1FF" w14:textId="77777777" w:rsidTr="005A18A5">
        <w:trPr>
          <w:trHeight w:val="183"/>
        </w:trPr>
        <w:tc>
          <w:tcPr>
            <w:tcW w:w="757" w:type="dxa"/>
            <w:tcBorders>
              <w:top w:val="nil"/>
              <w:left w:val="single" w:sz="4" w:space="0" w:color="auto"/>
              <w:bottom w:val="single" w:sz="4" w:space="0" w:color="auto"/>
              <w:right w:val="single" w:sz="4" w:space="0" w:color="auto"/>
            </w:tcBorders>
            <w:shd w:val="clear" w:color="auto" w:fill="auto"/>
            <w:noWrap/>
            <w:vAlign w:val="center"/>
            <w:hideMark/>
          </w:tcPr>
          <w:p w14:paraId="793EA6EE" w14:textId="77777777" w:rsidR="004A0B2E" w:rsidRPr="004A0B2E" w:rsidRDefault="004A0B2E" w:rsidP="004A0B2E">
            <w:pPr>
              <w:rPr>
                <w:rFonts w:ascii="Arial Narrow" w:hAnsi="Arial Narrow" w:cs="Arial"/>
                <w:sz w:val="16"/>
                <w:szCs w:val="16"/>
              </w:rPr>
            </w:pPr>
            <w:r w:rsidRPr="004A0B2E">
              <w:rPr>
                <w:rFonts w:ascii="Arial Narrow" w:hAnsi="Arial Narrow" w:cs="Arial"/>
                <w:sz w:val="16"/>
                <w:szCs w:val="16"/>
              </w:rPr>
              <w:t> </w:t>
            </w:r>
          </w:p>
        </w:tc>
        <w:tc>
          <w:tcPr>
            <w:tcW w:w="5279" w:type="dxa"/>
            <w:tcBorders>
              <w:top w:val="nil"/>
              <w:left w:val="nil"/>
              <w:bottom w:val="single" w:sz="4" w:space="0" w:color="auto"/>
              <w:right w:val="single" w:sz="4" w:space="0" w:color="auto"/>
            </w:tcBorders>
            <w:shd w:val="clear" w:color="auto" w:fill="auto"/>
            <w:vAlign w:val="center"/>
            <w:hideMark/>
          </w:tcPr>
          <w:p w14:paraId="7396EC5F" w14:textId="77777777" w:rsidR="004A0B2E" w:rsidRPr="004A0B2E" w:rsidRDefault="004A0B2E" w:rsidP="004A0B2E">
            <w:pPr>
              <w:ind w:firstLineChars="100" w:firstLine="160"/>
              <w:rPr>
                <w:rFonts w:ascii="Arial Narrow" w:hAnsi="Arial Narrow" w:cs="Arial"/>
                <w:sz w:val="16"/>
                <w:szCs w:val="16"/>
              </w:rPr>
            </w:pPr>
            <w:r w:rsidRPr="004A0B2E">
              <w:rPr>
                <w:rFonts w:ascii="Arial Narrow" w:hAnsi="Arial Narrow" w:cs="Arial"/>
                <w:sz w:val="16"/>
                <w:szCs w:val="16"/>
              </w:rPr>
              <w:t>закупено извън сектора</w:t>
            </w:r>
          </w:p>
        </w:tc>
        <w:tc>
          <w:tcPr>
            <w:tcW w:w="957" w:type="dxa"/>
            <w:tcBorders>
              <w:top w:val="nil"/>
              <w:left w:val="nil"/>
              <w:bottom w:val="single" w:sz="4" w:space="0" w:color="auto"/>
              <w:right w:val="single" w:sz="4" w:space="0" w:color="auto"/>
            </w:tcBorders>
            <w:shd w:val="clear" w:color="auto" w:fill="auto"/>
            <w:vAlign w:val="center"/>
            <w:hideMark/>
          </w:tcPr>
          <w:p w14:paraId="7FF6F8B6" w14:textId="77777777" w:rsidR="004A0B2E" w:rsidRPr="004A0B2E" w:rsidRDefault="004A0B2E" w:rsidP="004A0B2E">
            <w:pPr>
              <w:jc w:val="right"/>
              <w:rPr>
                <w:rFonts w:ascii="Arial Narrow" w:hAnsi="Arial Narrow" w:cs="Calibri"/>
                <w:sz w:val="16"/>
                <w:szCs w:val="16"/>
              </w:rPr>
            </w:pPr>
            <w:r w:rsidRPr="004A0B2E">
              <w:rPr>
                <w:rFonts w:ascii="Arial Narrow" w:hAnsi="Arial Narrow" w:cs="Calibri"/>
                <w:sz w:val="16"/>
                <w:szCs w:val="16"/>
              </w:rPr>
              <w:t>337,7</w:t>
            </w:r>
          </w:p>
        </w:tc>
        <w:tc>
          <w:tcPr>
            <w:tcW w:w="1118" w:type="dxa"/>
            <w:tcBorders>
              <w:top w:val="nil"/>
              <w:left w:val="nil"/>
              <w:bottom w:val="single" w:sz="4" w:space="0" w:color="auto"/>
              <w:right w:val="single" w:sz="4" w:space="0" w:color="auto"/>
            </w:tcBorders>
            <w:shd w:val="clear" w:color="auto" w:fill="auto"/>
            <w:vAlign w:val="center"/>
            <w:hideMark/>
          </w:tcPr>
          <w:p w14:paraId="40B0563A" w14:textId="77777777" w:rsidR="004A0B2E" w:rsidRPr="004A0B2E" w:rsidRDefault="004A0B2E" w:rsidP="004A0B2E">
            <w:pPr>
              <w:jc w:val="right"/>
              <w:rPr>
                <w:rFonts w:ascii="Arial Narrow" w:hAnsi="Arial Narrow" w:cs="Calibri"/>
                <w:sz w:val="16"/>
                <w:szCs w:val="16"/>
              </w:rPr>
            </w:pPr>
            <w:r w:rsidRPr="004A0B2E">
              <w:rPr>
                <w:rFonts w:ascii="Arial Narrow" w:hAnsi="Arial Narrow" w:cs="Calibri"/>
                <w:sz w:val="16"/>
                <w:szCs w:val="16"/>
              </w:rPr>
              <w:t>-7,8</w:t>
            </w:r>
          </w:p>
        </w:tc>
        <w:tc>
          <w:tcPr>
            <w:tcW w:w="957" w:type="dxa"/>
            <w:tcBorders>
              <w:top w:val="nil"/>
              <w:left w:val="nil"/>
              <w:bottom w:val="single" w:sz="4" w:space="0" w:color="auto"/>
              <w:right w:val="single" w:sz="4" w:space="0" w:color="auto"/>
            </w:tcBorders>
            <w:shd w:val="clear" w:color="auto" w:fill="auto"/>
            <w:vAlign w:val="center"/>
            <w:hideMark/>
          </w:tcPr>
          <w:p w14:paraId="47E8CF81" w14:textId="77777777" w:rsidR="004A0B2E" w:rsidRPr="004A0B2E" w:rsidRDefault="004A0B2E" w:rsidP="004A0B2E">
            <w:pPr>
              <w:jc w:val="right"/>
              <w:rPr>
                <w:rFonts w:ascii="Arial Narrow" w:hAnsi="Arial Narrow" w:cs="Calibri"/>
                <w:sz w:val="16"/>
                <w:szCs w:val="16"/>
              </w:rPr>
            </w:pPr>
            <w:r w:rsidRPr="004A0B2E">
              <w:rPr>
                <w:rFonts w:ascii="Arial Narrow" w:hAnsi="Arial Narrow" w:cs="Calibri"/>
                <w:sz w:val="16"/>
                <w:szCs w:val="16"/>
              </w:rPr>
              <w:t>311,2</w:t>
            </w:r>
          </w:p>
        </w:tc>
        <w:tc>
          <w:tcPr>
            <w:tcW w:w="1256" w:type="dxa"/>
            <w:tcBorders>
              <w:top w:val="nil"/>
              <w:left w:val="nil"/>
              <w:bottom w:val="single" w:sz="4" w:space="0" w:color="auto"/>
              <w:right w:val="single" w:sz="4" w:space="0" w:color="auto"/>
            </w:tcBorders>
            <w:shd w:val="clear" w:color="auto" w:fill="auto"/>
            <w:vAlign w:val="center"/>
            <w:hideMark/>
          </w:tcPr>
          <w:p w14:paraId="496D58EF" w14:textId="77777777" w:rsidR="004A0B2E" w:rsidRPr="004A0B2E" w:rsidRDefault="004A0B2E" w:rsidP="004A0B2E">
            <w:pPr>
              <w:jc w:val="right"/>
              <w:rPr>
                <w:rFonts w:ascii="Arial Narrow" w:hAnsi="Arial Narrow" w:cs="Calibri"/>
                <w:sz w:val="16"/>
                <w:szCs w:val="16"/>
              </w:rPr>
            </w:pPr>
            <w:r w:rsidRPr="004A0B2E">
              <w:rPr>
                <w:rFonts w:ascii="Arial Narrow" w:hAnsi="Arial Narrow" w:cs="Calibri"/>
                <w:sz w:val="16"/>
                <w:szCs w:val="16"/>
              </w:rPr>
              <w:t>-9,8</w:t>
            </w:r>
          </w:p>
        </w:tc>
        <w:tc>
          <w:tcPr>
            <w:tcW w:w="872" w:type="dxa"/>
            <w:tcBorders>
              <w:top w:val="nil"/>
              <w:left w:val="nil"/>
              <w:bottom w:val="single" w:sz="4" w:space="0" w:color="auto"/>
              <w:right w:val="single" w:sz="4" w:space="0" w:color="auto"/>
            </w:tcBorders>
            <w:shd w:val="clear" w:color="auto" w:fill="auto"/>
            <w:vAlign w:val="center"/>
            <w:hideMark/>
          </w:tcPr>
          <w:p w14:paraId="02F9B733" w14:textId="77777777" w:rsidR="004A0B2E" w:rsidRPr="004A0B2E" w:rsidRDefault="004A0B2E" w:rsidP="004A0B2E">
            <w:pPr>
              <w:jc w:val="right"/>
              <w:rPr>
                <w:rFonts w:ascii="Arial Narrow" w:hAnsi="Arial Narrow" w:cs="Calibri"/>
                <w:sz w:val="16"/>
                <w:szCs w:val="16"/>
              </w:rPr>
            </w:pPr>
            <w:r w:rsidRPr="004A0B2E">
              <w:rPr>
                <w:rFonts w:ascii="Arial Narrow" w:hAnsi="Arial Narrow" w:cs="Calibri"/>
                <w:sz w:val="16"/>
                <w:szCs w:val="16"/>
              </w:rPr>
              <w:t>280,7</w:t>
            </w:r>
          </w:p>
        </w:tc>
      </w:tr>
      <w:tr w:rsidR="004A0B2E" w:rsidRPr="00B10684" w14:paraId="2C8BDB50" w14:textId="77777777" w:rsidTr="005A18A5">
        <w:trPr>
          <w:trHeight w:val="199"/>
        </w:trPr>
        <w:tc>
          <w:tcPr>
            <w:tcW w:w="757" w:type="dxa"/>
            <w:tcBorders>
              <w:top w:val="nil"/>
              <w:left w:val="single" w:sz="4" w:space="0" w:color="auto"/>
              <w:bottom w:val="single" w:sz="4" w:space="0" w:color="auto"/>
              <w:right w:val="single" w:sz="4" w:space="0" w:color="auto"/>
            </w:tcBorders>
            <w:shd w:val="clear" w:color="auto" w:fill="auto"/>
            <w:noWrap/>
            <w:vAlign w:val="center"/>
            <w:hideMark/>
          </w:tcPr>
          <w:p w14:paraId="2F201C65" w14:textId="77777777" w:rsidR="004A0B2E" w:rsidRPr="004A0B2E" w:rsidRDefault="004A0B2E" w:rsidP="004A0B2E">
            <w:pPr>
              <w:rPr>
                <w:rFonts w:ascii="Arial Narrow" w:hAnsi="Arial Narrow" w:cs="Arial"/>
                <w:sz w:val="16"/>
                <w:szCs w:val="16"/>
              </w:rPr>
            </w:pPr>
            <w:r w:rsidRPr="004A0B2E">
              <w:rPr>
                <w:rFonts w:ascii="Arial Narrow" w:hAnsi="Arial Narrow" w:cs="Arial"/>
                <w:sz w:val="16"/>
                <w:szCs w:val="16"/>
              </w:rPr>
              <w:t> </w:t>
            </w:r>
          </w:p>
        </w:tc>
        <w:tc>
          <w:tcPr>
            <w:tcW w:w="5279" w:type="dxa"/>
            <w:tcBorders>
              <w:top w:val="nil"/>
              <w:left w:val="nil"/>
              <w:bottom w:val="single" w:sz="4" w:space="0" w:color="auto"/>
              <w:right w:val="single" w:sz="4" w:space="0" w:color="auto"/>
            </w:tcBorders>
            <w:shd w:val="clear" w:color="auto" w:fill="auto"/>
            <w:vAlign w:val="center"/>
            <w:hideMark/>
          </w:tcPr>
          <w:p w14:paraId="7DEE277A" w14:textId="77777777" w:rsidR="004A0B2E" w:rsidRPr="004A0B2E" w:rsidRDefault="004A0B2E" w:rsidP="004A0B2E">
            <w:pPr>
              <w:ind w:firstLineChars="100" w:firstLine="160"/>
              <w:rPr>
                <w:rFonts w:ascii="Arial Narrow" w:hAnsi="Arial Narrow" w:cs="Arial"/>
                <w:sz w:val="16"/>
                <w:szCs w:val="16"/>
              </w:rPr>
            </w:pPr>
            <w:r w:rsidRPr="004A0B2E">
              <w:rPr>
                <w:rFonts w:ascii="Arial Narrow" w:hAnsi="Arial Narrow" w:cs="Arial"/>
                <w:sz w:val="16"/>
                <w:szCs w:val="16"/>
              </w:rPr>
              <w:t>произведено и потребено в самото стопанство</w:t>
            </w:r>
          </w:p>
        </w:tc>
        <w:tc>
          <w:tcPr>
            <w:tcW w:w="957" w:type="dxa"/>
            <w:tcBorders>
              <w:top w:val="nil"/>
              <w:left w:val="nil"/>
              <w:bottom w:val="single" w:sz="4" w:space="0" w:color="auto"/>
              <w:right w:val="single" w:sz="4" w:space="0" w:color="auto"/>
            </w:tcBorders>
            <w:shd w:val="clear" w:color="auto" w:fill="auto"/>
            <w:vAlign w:val="center"/>
            <w:hideMark/>
          </w:tcPr>
          <w:p w14:paraId="346D7CE4" w14:textId="77777777" w:rsidR="004A0B2E" w:rsidRPr="004A0B2E" w:rsidRDefault="004A0B2E" w:rsidP="004A0B2E">
            <w:pPr>
              <w:jc w:val="right"/>
              <w:rPr>
                <w:rFonts w:ascii="Arial Narrow" w:hAnsi="Arial Narrow" w:cs="Calibri"/>
                <w:sz w:val="16"/>
                <w:szCs w:val="16"/>
              </w:rPr>
            </w:pPr>
            <w:r w:rsidRPr="004A0B2E">
              <w:rPr>
                <w:rFonts w:ascii="Arial Narrow" w:hAnsi="Arial Narrow" w:cs="Calibri"/>
                <w:sz w:val="16"/>
                <w:szCs w:val="16"/>
              </w:rPr>
              <w:t>88,1</w:t>
            </w:r>
          </w:p>
        </w:tc>
        <w:tc>
          <w:tcPr>
            <w:tcW w:w="1118" w:type="dxa"/>
            <w:tcBorders>
              <w:top w:val="nil"/>
              <w:left w:val="nil"/>
              <w:bottom w:val="single" w:sz="4" w:space="0" w:color="auto"/>
              <w:right w:val="single" w:sz="4" w:space="0" w:color="auto"/>
            </w:tcBorders>
            <w:shd w:val="clear" w:color="auto" w:fill="auto"/>
            <w:vAlign w:val="center"/>
            <w:hideMark/>
          </w:tcPr>
          <w:p w14:paraId="675CFD2F" w14:textId="77777777" w:rsidR="004A0B2E" w:rsidRPr="004A0B2E" w:rsidRDefault="004A0B2E" w:rsidP="004A0B2E">
            <w:pPr>
              <w:jc w:val="right"/>
              <w:rPr>
                <w:rFonts w:ascii="Arial Narrow" w:hAnsi="Arial Narrow" w:cs="Calibri"/>
                <w:sz w:val="16"/>
                <w:szCs w:val="16"/>
              </w:rPr>
            </w:pPr>
            <w:r w:rsidRPr="004A0B2E">
              <w:rPr>
                <w:rFonts w:ascii="Arial Narrow" w:hAnsi="Arial Narrow" w:cs="Calibri"/>
                <w:sz w:val="16"/>
                <w:szCs w:val="16"/>
              </w:rPr>
              <w:t>8,6</w:t>
            </w:r>
          </w:p>
        </w:tc>
        <w:tc>
          <w:tcPr>
            <w:tcW w:w="957" w:type="dxa"/>
            <w:tcBorders>
              <w:top w:val="nil"/>
              <w:left w:val="nil"/>
              <w:bottom w:val="single" w:sz="4" w:space="0" w:color="auto"/>
              <w:right w:val="single" w:sz="4" w:space="0" w:color="auto"/>
            </w:tcBorders>
            <w:shd w:val="clear" w:color="auto" w:fill="auto"/>
            <w:vAlign w:val="center"/>
            <w:hideMark/>
          </w:tcPr>
          <w:p w14:paraId="7569E36A" w14:textId="77777777" w:rsidR="004A0B2E" w:rsidRPr="004A0B2E" w:rsidRDefault="004A0B2E" w:rsidP="004A0B2E">
            <w:pPr>
              <w:jc w:val="right"/>
              <w:rPr>
                <w:rFonts w:ascii="Arial Narrow" w:hAnsi="Arial Narrow" w:cs="Calibri"/>
                <w:sz w:val="16"/>
                <w:szCs w:val="16"/>
              </w:rPr>
            </w:pPr>
            <w:r w:rsidRPr="004A0B2E">
              <w:rPr>
                <w:rFonts w:ascii="Arial Narrow" w:hAnsi="Arial Narrow" w:cs="Calibri"/>
                <w:sz w:val="16"/>
                <w:szCs w:val="16"/>
              </w:rPr>
              <w:t>95,7</w:t>
            </w:r>
          </w:p>
        </w:tc>
        <w:tc>
          <w:tcPr>
            <w:tcW w:w="1256" w:type="dxa"/>
            <w:tcBorders>
              <w:top w:val="nil"/>
              <w:left w:val="nil"/>
              <w:bottom w:val="single" w:sz="4" w:space="0" w:color="auto"/>
              <w:right w:val="single" w:sz="4" w:space="0" w:color="auto"/>
            </w:tcBorders>
            <w:shd w:val="clear" w:color="auto" w:fill="auto"/>
            <w:vAlign w:val="center"/>
            <w:hideMark/>
          </w:tcPr>
          <w:p w14:paraId="7A46568F" w14:textId="77777777" w:rsidR="004A0B2E" w:rsidRPr="004A0B2E" w:rsidRDefault="004A0B2E" w:rsidP="004A0B2E">
            <w:pPr>
              <w:jc w:val="right"/>
              <w:rPr>
                <w:rFonts w:ascii="Arial Narrow" w:hAnsi="Arial Narrow" w:cs="Calibri"/>
                <w:sz w:val="16"/>
                <w:szCs w:val="16"/>
              </w:rPr>
            </w:pPr>
            <w:r w:rsidRPr="004A0B2E">
              <w:rPr>
                <w:rFonts w:ascii="Arial Narrow" w:hAnsi="Arial Narrow" w:cs="Calibri"/>
                <w:sz w:val="16"/>
                <w:szCs w:val="16"/>
              </w:rPr>
              <w:t>-35,9</w:t>
            </w:r>
          </w:p>
        </w:tc>
        <w:tc>
          <w:tcPr>
            <w:tcW w:w="872" w:type="dxa"/>
            <w:tcBorders>
              <w:top w:val="nil"/>
              <w:left w:val="nil"/>
              <w:bottom w:val="single" w:sz="4" w:space="0" w:color="auto"/>
              <w:right w:val="single" w:sz="4" w:space="0" w:color="auto"/>
            </w:tcBorders>
            <w:shd w:val="clear" w:color="auto" w:fill="auto"/>
            <w:vAlign w:val="center"/>
            <w:hideMark/>
          </w:tcPr>
          <w:p w14:paraId="7773B24B" w14:textId="77777777" w:rsidR="004A0B2E" w:rsidRPr="004A0B2E" w:rsidRDefault="004A0B2E" w:rsidP="004A0B2E">
            <w:pPr>
              <w:jc w:val="right"/>
              <w:rPr>
                <w:rFonts w:ascii="Arial Narrow" w:hAnsi="Arial Narrow" w:cs="Calibri"/>
                <w:sz w:val="16"/>
                <w:szCs w:val="16"/>
              </w:rPr>
            </w:pPr>
            <w:r w:rsidRPr="004A0B2E">
              <w:rPr>
                <w:rFonts w:ascii="Arial Narrow" w:hAnsi="Arial Narrow" w:cs="Calibri"/>
                <w:sz w:val="16"/>
                <w:szCs w:val="16"/>
              </w:rPr>
              <w:t>61,3</w:t>
            </w:r>
          </w:p>
        </w:tc>
      </w:tr>
      <w:tr w:rsidR="004A0B2E" w:rsidRPr="00B10684" w14:paraId="60CA1BC0" w14:textId="77777777" w:rsidTr="005A18A5">
        <w:trPr>
          <w:trHeight w:val="345"/>
        </w:trPr>
        <w:tc>
          <w:tcPr>
            <w:tcW w:w="757" w:type="dxa"/>
            <w:tcBorders>
              <w:top w:val="nil"/>
              <w:left w:val="single" w:sz="4" w:space="0" w:color="auto"/>
              <w:bottom w:val="single" w:sz="4" w:space="0" w:color="auto"/>
              <w:right w:val="single" w:sz="4" w:space="0" w:color="auto"/>
            </w:tcBorders>
            <w:shd w:val="clear" w:color="auto" w:fill="auto"/>
            <w:noWrap/>
            <w:vAlign w:val="center"/>
            <w:hideMark/>
          </w:tcPr>
          <w:p w14:paraId="0C694D7A" w14:textId="77777777" w:rsidR="004A0B2E" w:rsidRPr="004A0B2E" w:rsidRDefault="004A0B2E" w:rsidP="004A0B2E">
            <w:pPr>
              <w:rPr>
                <w:rFonts w:ascii="Arial Narrow" w:hAnsi="Arial Narrow" w:cs="Arial"/>
                <w:b/>
                <w:bCs/>
                <w:sz w:val="16"/>
                <w:szCs w:val="16"/>
              </w:rPr>
            </w:pPr>
            <w:r w:rsidRPr="004A0B2E">
              <w:rPr>
                <w:rFonts w:ascii="Arial Narrow" w:hAnsi="Arial Narrow" w:cs="Arial"/>
                <w:b/>
                <w:bCs/>
                <w:sz w:val="16"/>
                <w:szCs w:val="16"/>
              </w:rPr>
              <w:t>20</w:t>
            </w:r>
          </w:p>
        </w:tc>
        <w:tc>
          <w:tcPr>
            <w:tcW w:w="5279" w:type="dxa"/>
            <w:tcBorders>
              <w:top w:val="nil"/>
              <w:left w:val="nil"/>
              <w:bottom w:val="single" w:sz="4" w:space="0" w:color="auto"/>
              <w:right w:val="single" w:sz="4" w:space="0" w:color="auto"/>
            </w:tcBorders>
            <w:shd w:val="clear" w:color="auto" w:fill="auto"/>
            <w:vAlign w:val="center"/>
            <w:hideMark/>
          </w:tcPr>
          <w:p w14:paraId="3ECE0AC0" w14:textId="77777777" w:rsidR="004A0B2E" w:rsidRPr="004A0B2E" w:rsidRDefault="004A0B2E" w:rsidP="004A0B2E">
            <w:pPr>
              <w:rPr>
                <w:rFonts w:ascii="Arial Narrow" w:hAnsi="Arial Narrow" w:cs="Arial"/>
                <w:b/>
                <w:bCs/>
                <w:sz w:val="16"/>
                <w:szCs w:val="16"/>
              </w:rPr>
            </w:pPr>
            <w:r w:rsidRPr="004A0B2E">
              <w:rPr>
                <w:rFonts w:ascii="Arial Narrow" w:hAnsi="Arial Narrow" w:cs="Arial"/>
                <w:b/>
                <w:bCs/>
                <w:sz w:val="16"/>
                <w:szCs w:val="16"/>
              </w:rPr>
              <w:t>Брутна добавена стойност по цени на производител (18-19)</w:t>
            </w:r>
          </w:p>
        </w:tc>
        <w:tc>
          <w:tcPr>
            <w:tcW w:w="957" w:type="dxa"/>
            <w:tcBorders>
              <w:top w:val="nil"/>
              <w:left w:val="nil"/>
              <w:bottom w:val="single" w:sz="4" w:space="0" w:color="auto"/>
              <w:right w:val="single" w:sz="4" w:space="0" w:color="auto"/>
            </w:tcBorders>
            <w:shd w:val="clear" w:color="auto" w:fill="auto"/>
            <w:vAlign w:val="center"/>
            <w:hideMark/>
          </w:tcPr>
          <w:p w14:paraId="017F41E5" w14:textId="77777777" w:rsidR="004A0B2E" w:rsidRPr="004A0B2E" w:rsidRDefault="004A0B2E" w:rsidP="004A0B2E">
            <w:pPr>
              <w:jc w:val="right"/>
              <w:rPr>
                <w:rFonts w:ascii="Arial Narrow" w:hAnsi="Arial Narrow" w:cs="Calibri"/>
                <w:b/>
                <w:bCs/>
                <w:sz w:val="16"/>
                <w:szCs w:val="16"/>
              </w:rPr>
            </w:pPr>
            <w:r w:rsidRPr="004A0B2E">
              <w:rPr>
                <w:rFonts w:ascii="Arial Narrow" w:hAnsi="Arial Narrow" w:cs="Calibri"/>
                <w:b/>
                <w:bCs/>
                <w:sz w:val="16"/>
                <w:szCs w:val="16"/>
              </w:rPr>
              <w:t>5 659,4</w:t>
            </w:r>
          </w:p>
        </w:tc>
        <w:tc>
          <w:tcPr>
            <w:tcW w:w="1118" w:type="dxa"/>
            <w:tcBorders>
              <w:top w:val="nil"/>
              <w:left w:val="nil"/>
              <w:bottom w:val="single" w:sz="4" w:space="0" w:color="auto"/>
              <w:right w:val="single" w:sz="4" w:space="0" w:color="auto"/>
            </w:tcBorders>
            <w:shd w:val="clear" w:color="auto" w:fill="auto"/>
            <w:vAlign w:val="center"/>
            <w:hideMark/>
          </w:tcPr>
          <w:p w14:paraId="0A0F8F03" w14:textId="77777777" w:rsidR="004A0B2E" w:rsidRPr="004A0B2E" w:rsidRDefault="004A0B2E" w:rsidP="004A0B2E">
            <w:pPr>
              <w:jc w:val="right"/>
              <w:rPr>
                <w:rFonts w:ascii="Arial Narrow" w:hAnsi="Arial Narrow" w:cs="Calibri"/>
                <w:b/>
                <w:bCs/>
                <w:sz w:val="16"/>
                <w:szCs w:val="16"/>
              </w:rPr>
            </w:pPr>
            <w:r w:rsidRPr="004A0B2E">
              <w:rPr>
                <w:rFonts w:ascii="Arial Narrow" w:hAnsi="Arial Narrow" w:cs="Calibri"/>
                <w:b/>
                <w:bCs/>
                <w:sz w:val="16"/>
                <w:szCs w:val="16"/>
              </w:rPr>
              <w:t>-29,9</w:t>
            </w:r>
          </w:p>
        </w:tc>
        <w:tc>
          <w:tcPr>
            <w:tcW w:w="957" w:type="dxa"/>
            <w:tcBorders>
              <w:top w:val="nil"/>
              <w:left w:val="nil"/>
              <w:bottom w:val="single" w:sz="4" w:space="0" w:color="auto"/>
              <w:right w:val="single" w:sz="4" w:space="0" w:color="auto"/>
            </w:tcBorders>
            <w:shd w:val="clear" w:color="auto" w:fill="auto"/>
            <w:vAlign w:val="center"/>
            <w:hideMark/>
          </w:tcPr>
          <w:p w14:paraId="11EE2F00" w14:textId="77777777" w:rsidR="004A0B2E" w:rsidRPr="004A0B2E" w:rsidRDefault="004A0B2E" w:rsidP="004A0B2E">
            <w:pPr>
              <w:jc w:val="right"/>
              <w:rPr>
                <w:rFonts w:ascii="Arial Narrow" w:hAnsi="Arial Narrow" w:cs="Calibri"/>
                <w:b/>
                <w:bCs/>
                <w:sz w:val="16"/>
                <w:szCs w:val="16"/>
              </w:rPr>
            </w:pPr>
            <w:r w:rsidRPr="004A0B2E">
              <w:rPr>
                <w:rFonts w:ascii="Arial Narrow" w:hAnsi="Arial Narrow" w:cs="Calibri"/>
                <w:b/>
                <w:bCs/>
                <w:sz w:val="16"/>
                <w:szCs w:val="16"/>
              </w:rPr>
              <w:t>3 969,3</w:t>
            </w:r>
          </w:p>
        </w:tc>
        <w:tc>
          <w:tcPr>
            <w:tcW w:w="1256" w:type="dxa"/>
            <w:tcBorders>
              <w:top w:val="nil"/>
              <w:left w:val="nil"/>
              <w:bottom w:val="single" w:sz="4" w:space="0" w:color="auto"/>
              <w:right w:val="single" w:sz="4" w:space="0" w:color="auto"/>
            </w:tcBorders>
            <w:shd w:val="clear" w:color="auto" w:fill="auto"/>
            <w:vAlign w:val="center"/>
            <w:hideMark/>
          </w:tcPr>
          <w:p w14:paraId="798DC7DC" w14:textId="77777777" w:rsidR="004A0B2E" w:rsidRPr="004A0B2E" w:rsidRDefault="004A0B2E" w:rsidP="004A0B2E">
            <w:pPr>
              <w:jc w:val="right"/>
              <w:rPr>
                <w:rFonts w:ascii="Arial Narrow" w:hAnsi="Arial Narrow" w:cs="Calibri"/>
                <w:b/>
                <w:bCs/>
                <w:sz w:val="16"/>
                <w:szCs w:val="16"/>
              </w:rPr>
            </w:pPr>
            <w:r w:rsidRPr="004A0B2E">
              <w:rPr>
                <w:rFonts w:ascii="Arial Narrow" w:hAnsi="Arial Narrow" w:cs="Calibri"/>
                <w:b/>
                <w:bCs/>
                <w:sz w:val="16"/>
                <w:szCs w:val="16"/>
              </w:rPr>
              <w:t>-5,6</w:t>
            </w:r>
          </w:p>
        </w:tc>
        <w:tc>
          <w:tcPr>
            <w:tcW w:w="872" w:type="dxa"/>
            <w:tcBorders>
              <w:top w:val="nil"/>
              <w:left w:val="nil"/>
              <w:bottom w:val="single" w:sz="4" w:space="0" w:color="auto"/>
              <w:right w:val="single" w:sz="4" w:space="0" w:color="auto"/>
            </w:tcBorders>
            <w:shd w:val="clear" w:color="auto" w:fill="auto"/>
            <w:vAlign w:val="center"/>
            <w:hideMark/>
          </w:tcPr>
          <w:p w14:paraId="4F393599" w14:textId="77777777" w:rsidR="004A0B2E" w:rsidRPr="004A0B2E" w:rsidRDefault="004A0B2E" w:rsidP="004A0B2E">
            <w:pPr>
              <w:jc w:val="right"/>
              <w:rPr>
                <w:rFonts w:ascii="Arial Narrow" w:hAnsi="Arial Narrow" w:cs="Calibri"/>
                <w:b/>
                <w:bCs/>
                <w:sz w:val="16"/>
                <w:szCs w:val="16"/>
              </w:rPr>
            </w:pPr>
            <w:r w:rsidRPr="004A0B2E">
              <w:rPr>
                <w:rFonts w:ascii="Arial Narrow" w:hAnsi="Arial Narrow" w:cs="Calibri"/>
                <w:b/>
                <w:bCs/>
                <w:sz w:val="16"/>
                <w:szCs w:val="16"/>
              </w:rPr>
              <w:t>3 747,8</w:t>
            </w:r>
          </w:p>
        </w:tc>
      </w:tr>
    </w:tbl>
    <w:p w14:paraId="4497878A" w14:textId="77777777" w:rsidR="00012C3E" w:rsidRPr="004A0B2E" w:rsidRDefault="00012C3E" w:rsidP="00CD44F3">
      <w:pPr>
        <w:jc w:val="both"/>
        <w:rPr>
          <w:rFonts w:ascii="Arial Narrow" w:hAnsi="Arial Narrow"/>
          <w:b/>
          <w:color w:val="FF0000"/>
          <w:sz w:val="18"/>
          <w:szCs w:val="18"/>
          <w:lang w:val="bg-BG"/>
        </w:rPr>
        <w:sectPr w:rsidR="00012C3E" w:rsidRPr="004A0B2E" w:rsidSect="0097652C">
          <w:pgSz w:w="12240" w:h="15840"/>
          <w:pgMar w:top="990" w:right="1134" w:bottom="567" w:left="993" w:header="720" w:footer="720" w:gutter="0"/>
          <w:cols w:space="720"/>
          <w:titlePg/>
          <w:docGrid w:linePitch="360"/>
        </w:sectPr>
      </w:pPr>
      <w:r w:rsidRPr="00C1041D">
        <w:rPr>
          <w:rFonts w:ascii="Arial Narrow" w:hAnsi="Arial Narrow"/>
          <w:i/>
          <w:sz w:val="18"/>
          <w:szCs w:val="18"/>
          <w:lang w:val="bg-BG"/>
        </w:rPr>
        <w:t xml:space="preserve">Източник: </w:t>
      </w:r>
      <w:r w:rsidRPr="00C1041D">
        <w:rPr>
          <w:rFonts w:ascii="Arial Narrow" w:hAnsi="Arial Narrow"/>
          <w:sz w:val="18"/>
          <w:szCs w:val="18"/>
          <w:lang w:val="bg-BG"/>
        </w:rPr>
        <w:t>НСИ</w:t>
      </w:r>
      <w:r w:rsidRPr="004A0B2E">
        <w:rPr>
          <w:rFonts w:ascii="Arial Narrow" w:hAnsi="Arial Narrow"/>
          <w:sz w:val="16"/>
          <w:szCs w:val="16"/>
          <w:lang w:val="bg-BG"/>
        </w:rPr>
        <w:tab/>
      </w:r>
      <w:r w:rsidRPr="004A0B2E">
        <w:rPr>
          <w:rFonts w:ascii="Arial Narrow" w:hAnsi="Arial Narrow"/>
          <w:b/>
          <w:color w:val="FF0000"/>
          <w:sz w:val="18"/>
          <w:szCs w:val="18"/>
          <w:lang w:val="bg-BG"/>
        </w:rPr>
        <w:tab/>
      </w:r>
      <w:r w:rsidRPr="004A0B2E">
        <w:rPr>
          <w:rFonts w:ascii="Arial Narrow" w:hAnsi="Arial Narrow"/>
          <w:b/>
          <w:color w:val="FF0000"/>
          <w:sz w:val="18"/>
          <w:szCs w:val="18"/>
          <w:lang w:val="bg-BG"/>
        </w:rPr>
        <w:tab/>
      </w:r>
      <w:r w:rsidRPr="004A0B2E">
        <w:rPr>
          <w:rFonts w:ascii="Arial Narrow" w:hAnsi="Arial Narrow"/>
          <w:b/>
          <w:color w:val="FF0000"/>
          <w:sz w:val="18"/>
          <w:szCs w:val="18"/>
          <w:lang w:val="bg-BG"/>
        </w:rPr>
        <w:tab/>
      </w:r>
      <w:r w:rsidRPr="004A0B2E">
        <w:rPr>
          <w:rFonts w:ascii="Arial Narrow" w:hAnsi="Arial Narrow"/>
          <w:b/>
          <w:color w:val="FF0000"/>
          <w:sz w:val="18"/>
          <w:szCs w:val="18"/>
          <w:lang w:val="bg-BG"/>
        </w:rPr>
        <w:tab/>
      </w:r>
      <w:r w:rsidRPr="004A0B2E">
        <w:rPr>
          <w:rFonts w:ascii="Arial Narrow" w:hAnsi="Arial Narrow"/>
          <w:b/>
          <w:color w:val="FF0000"/>
          <w:sz w:val="18"/>
          <w:szCs w:val="18"/>
          <w:lang w:val="bg-BG"/>
        </w:rPr>
        <w:tab/>
      </w:r>
      <w:r w:rsidRPr="004A0B2E">
        <w:rPr>
          <w:rFonts w:ascii="Arial Narrow" w:hAnsi="Arial Narrow"/>
          <w:b/>
          <w:color w:val="FF0000"/>
          <w:sz w:val="18"/>
          <w:szCs w:val="18"/>
          <w:lang w:val="bg-BG"/>
        </w:rPr>
        <w:tab/>
      </w:r>
    </w:p>
    <w:p w14:paraId="04379D77" w14:textId="77777777" w:rsidR="00012C3E" w:rsidRPr="004A0B2E" w:rsidRDefault="00012C3E" w:rsidP="00012C3E">
      <w:pPr>
        <w:spacing w:after="120"/>
        <w:rPr>
          <w:rFonts w:ascii="Arial Narrow" w:hAnsi="Arial Narrow"/>
          <w:b/>
          <w:sz w:val="18"/>
          <w:szCs w:val="18"/>
          <w:lang w:val="bg-BG"/>
        </w:rPr>
      </w:pPr>
      <w:r w:rsidRPr="004A0B2E">
        <w:rPr>
          <w:rFonts w:ascii="Arial Narrow" w:hAnsi="Arial Narrow"/>
          <w:b/>
          <w:sz w:val="18"/>
          <w:szCs w:val="18"/>
          <w:lang w:val="bg-BG"/>
        </w:rPr>
        <w:lastRenderedPageBreak/>
        <w:t>ПРИЛОЖЕНИЕ 3</w:t>
      </w:r>
      <w:r w:rsidRPr="004A0B2E">
        <w:rPr>
          <w:rFonts w:ascii="Arial Narrow" w:hAnsi="Arial Narrow"/>
          <w:b/>
          <w:sz w:val="18"/>
          <w:szCs w:val="18"/>
          <w:lang w:val="bg-BG"/>
        </w:rPr>
        <w:tab/>
      </w:r>
      <w:r w:rsidRPr="004A0B2E">
        <w:rPr>
          <w:rFonts w:ascii="Arial Narrow" w:hAnsi="Arial Narrow"/>
          <w:b/>
          <w:sz w:val="18"/>
          <w:szCs w:val="18"/>
          <w:lang w:val="bg-BG"/>
        </w:rPr>
        <w:tab/>
      </w:r>
      <w:r w:rsidRPr="004A0B2E">
        <w:rPr>
          <w:rFonts w:ascii="Arial Narrow" w:hAnsi="Arial Narrow"/>
          <w:b/>
          <w:sz w:val="18"/>
          <w:szCs w:val="18"/>
          <w:lang w:val="bg-BG"/>
        </w:rPr>
        <w:tab/>
      </w:r>
      <w:r w:rsidRPr="004A0B2E">
        <w:rPr>
          <w:rFonts w:ascii="Arial Narrow" w:hAnsi="Arial Narrow"/>
          <w:b/>
          <w:sz w:val="18"/>
          <w:szCs w:val="18"/>
          <w:lang w:val="bg-BG"/>
        </w:rPr>
        <w:tab/>
      </w:r>
      <w:r w:rsidRPr="004A0B2E">
        <w:rPr>
          <w:rFonts w:ascii="Arial Narrow" w:hAnsi="Arial Narrow"/>
          <w:b/>
          <w:sz w:val="18"/>
          <w:szCs w:val="18"/>
          <w:lang w:val="bg-BG"/>
        </w:rPr>
        <w:tab/>
      </w:r>
    </w:p>
    <w:p w14:paraId="64A09A05" w14:textId="77777777" w:rsidR="00012C3E" w:rsidRPr="004A0B2E" w:rsidRDefault="00012C3E" w:rsidP="00012C3E">
      <w:pPr>
        <w:spacing w:after="120"/>
        <w:rPr>
          <w:rFonts w:ascii="Arial Narrow" w:hAnsi="Arial Narrow"/>
          <w:b/>
          <w:sz w:val="18"/>
          <w:szCs w:val="18"/>
          <w:lang w:val="bg-BG"/>
        </w:rPr>
      </w:pPr>
      <w:r w:rsidRPr="004A0B2E">
        <w:rPr>
          <w:rFonts w:ascii="Arial Narrow" w:hAnsi="Arial Narrow"/>
          <w:b/>
          <w:sz w:val="18"/>
          <w:szCs w:val="18"/>
          <w:lang w:val="bg-BG"/>
        </w:rPr>
        <w:t>МЕЖДИННО ПОТРЕБЛЕНИЕ, ФАКТОРНИ РАЗХОДИ,</w:t>
      </w:r>
      <w:r w:rsidR="004A0B2E" w:rsidRPr="004A0B2E">
        <w:rPr>
          <w:rFonts w:ascii="Arial Narrow" w:hAnsi="Arial Narrow"/>
          <w:b/>
          <w:sz w:val="18"/>
          <w:szCs w:val="18"/>
          <w:lang w:val="bg-BG"/>
        </w:rPr>
        <w:t xml:space="preserve"> ДРУГИ СУБСИДИИ И ДАНЪЦИ ЗА 2024</w:t>
      </w:r>
      <w:r w:rsidRPr="004A0B2E">
        <w:rPr>
          <w:rFonts w:ascii="Arial Narrow" w:hAnsi="Arial Narrow"/>
          <w:b/>
          <w:sz w:val="18"/>
          <w:szCs w:val="18"/>
          <w:lang w:val="bg-BG"/>
        </w:rPr>
        <w:t xml:space="preserve"> ГОДИНА</w:t>
      </w:r>
      <w:r w:rsidRPr="004A0B2E">
        <w:rPr>
          <w:rFonts w:ascii="Arial Narrow" w:hAnsi="Arial Narrow"/>
          <w:b/>
          <w:sz w:val="18"/>
          <w:szCs w:val="18"/>
          <w:lang w:val="bg-BG"/>
        </w:rPr>
        <w:tab/>
      </w:r>
      <w:r w:rsidRPr="004A0B2E">
        <w:rPr>
          <w:rFonts w:ascii="Arial Narrow" w:hAnsi="Arial Narrow"/>
          <w:b/>
          <w:sz w:val="18"/>
          <w:szCs w:val="18"/>
          <w:lang w:val="bg-BG"/>
        </w:rPr>
        <w:tab/>
      </w:r>
      <w:r w:rsidRPr="004A0B2E">
        <w:rPr>
          <w:rFonts w:ascii="Arial Narrow" w:hAnsi="Arial Narrow"/>
          <w:b/>
          <w:sz w:val="18"/>
          <w:szCs w:val="18"/>
          <w:lang w:val="bg-BG"/>
        </w:rPr>
        <w:tab/>
      </w:r>
    </w:p>
    <w:p w14:paraId="0041B013" w14:textId="77777777" w:rsidR="00012C3E" w:rsidRPr="004A0B2E" w:rsidRDefault="00012C3E" w:rsidP="00012C3E">
      <w:pPr>
        <w:spacing w:after="120"/>
        <w:ind w:left="284" w:right="-121"/>
        <w:jc w:val="right"/>
        <w:rPr>
          <w:rFonts w:ascii="Arial Narrow" w:hAnsi="Arial Narrow"/>
          <w:b/>
          <w:sz w:val="18"/>
          <w:szCs w:val="18"/>
          <w:lang w:val="bg-BG"/>
        </w:rPr>
      </w:pPr>
      <w:r w:rsidRPr="004A0B2E">
        <w:rPr>
          <w:rFonts w:ascii="Arial Narrow" w:hAnsi="Arial Narrow"/>
          <w:b/>
          <w:sz w:val="18"/>
          <w:szCs w:val="18"/>
          <w:lang w:val="bg-BG"/>
        </w:rPr>
        <w:t>(млн. лв.)</w:t>
      </w:r>
    </w:p>
    <w:tbl>
      <w:tblPr>
        <w:tblW w:w="10561" w:type="dxa"/>
        <w:tblInd w:w="-318" w:type="dxa"/>
        <w:tblLook w:val="04A0" w:firstRow="1" w:lastRow="0" w:firstColumn="1" w:lastColumn="0" w:noHBand="0" w:noVBand="1"/>
      </w:tblPr>
      <w:tblGrid>
        <w:gridCol w:w="4191"/>
        <w:gridCol w:w="1301"/>
        <w:gridCol w:w="1132"/>
        <w:gridCol w:w="1132"/>
        <w:gridCol w:w="1402"/>
        <w:gridCol w:w="1403"/>
      </w:tblGrid>
      <w:tr w:rsidR="004A0B2E" w:rsidRPr="004A0B2E" w14:paraId="07E76DDB" w14:textId="77777777" w:rsidTr="005A18A5">
        <w:trPr>
          <w:trHeight w:val="714"/>
        </w:trPr>
        <w:tc>
          <w:tcPr>
            <w:tcW w:w="419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30C7ED9" w14:textId="77777777" w:rsidR="00012C3E" w:rsidRPr="004A0B2E" w:rsidRDefault="00012C3E" w:rsidP="005A18A5">
            <w:pPr>
              <w:jc w:val="center"/>
              <w:rPr>
                <w:rFonts w:ascii="Arial Narrow" w:hAnsi="Arial Narrow" w:cs="Calibri"/>
                <w:b/>
                <w:bCs/>
                <w:sz w:val="16"/>
                <w:szCs w:val="16"/>
              </w:rPr>
            </w:pPr>
            <w:r w:rsidRPr="004A0B2E">
              <w:rPr>
                <w:rFonts w:ascii="Arial Narrow" w:hAnsi="Arial Narrow" w:cs="Calibri"/>
                <w:b/>
                <w:bCs/>
                <w:sz w:val="16"/>
                <w:szCs w:val="16"/>
              </w:rPr>
              <w:t>Елементи на междинното потребление</w:t>
            </w:r>
          </w:p>
        </w:tc>
        <w:tc>
          <w:tcPr>
            <w:tcW w:w="130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16B42A5" w14:textId="77777777" w:rsidR="00012C3E" w:rsidRPr="004A0B2E" w:rsidRDefault="00012C3E" w:rsidP="005A18A5">
            <w:pPr>
              <w:jc w:val="center"/>
              <w:rPr>
                <w:rFonts w:ascii="Arial Narrow" w:hAnsi="Arial Narrow" w:cs="Calibri"/>
                <w:b/>
                <w:bCs/>
                <w:sz w:val="16"/>
                <w:szCs w:val="16"/>
              </w:rPr>
            </w:pPr>
            <w:r w:rsidRPr="004A0B2E">
              <w:rPr>
                <w:rFonts w:ascii="Arial Narrow" w:hAnsi="Arial Narrow" w:cs="Calibri"/>
                <w:b/>
                <w:bCs/>
                <w:sz w:val="16"/>
                <w:szCs w:val="16"/>
              </w:rPr>
              <w:t>За създаване на брутната продукция по цени на производител</w:t>
            </w:r>
          </w:p>
        </w:tc>
        <w:tc>
          <w:tcPr>
            <w:tcW w:w="113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AE886E3" w14:textId="77777777" w:rsidR="00012C3E" w:rsidRPr="004A0B2E" w:rsidRDefault="00012C3E" w:rsidP="005A18A5">
            <w:pPr>
              <w:jc w:val="center"/>
              <w:rPr>
                <w:rFonts w:ascii="Arial Narrow" w:hAnsi="Arial Narrow" w:cs="Calibri"/>
                <w:b/>
                <w:bCs/>
                <w:sz w:val="16"/>
                <w:szCs w:val="16"/>
              </w:rPr>
            </w:pPr>
            <w:r w:rsidRPr="004A0B2E">
              <w:rPr>
                <w:rFonts w:ascii="Arial Narrow" w:hAnsi="Arial Narrow" w:cs="Calibri"/>
                <w:b/>
                <w:bCs/>
                <w:sz w:val="16"/>
                <w:szCs w:val="16"/>
              </w:rPr>
              <w:t>За създаване на крайната продукция по базисни цени</w:t>
            </w:r>
          </w:p>
        </w:tc>
        <w:tc>
          <w:tcPr>
            <w:tcW w:w="113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58B8F3A" w14:textId="77777777" w:rsidR="00012C3E" w:rsidRPr="004A0B2E" w:rsidRDefault="00012C3E" w:rsidP="005A18A5">
            <w:pPr>
              <w:jc w:val="center"/>
              <w:rPr>
                <w:rFonts w:ascii="Arial Narrow" w:hAnsi="Arial Narrow" w:cs="Calibri"/>
                <w:b/>
                <w:bCs/>
                <w:sz w:val="16"/>
                <w:szCs w:val="16"/>
              </w:rPr>
            </w:pPr>
            <w:r w:rsidRPr="004A0B2E">
              <w:rPr>
                <w:rFonts w:ascii="Arial Narrow" w:hAnsi="Arial Narrow" w:cs="Calibri"/>
                <w:b/>
                <w:bCs/>
                <w:sz w:val="16"/>
                <w:szCs w:val="16"/>
              </w:rPr>
              <w:t>Произведено и потребено в самото стопанство</w:t>
            </w:r>
          </w:p>
        </w:tc>
        <w:tc>
          <w:tcPr>
            <w:tcW w:w="2805" w:type="dxa"/>
            <w:gridSpan w:val="2"/>
            <w:tcBorders>
              <w:top w:val="single" w:sz="4" w:space="0" w:color="auto"/>
              <w:left w:val="nil"/>
              <w:bottom w:val="single" w:sz="4" w:space="0" w:color="auto"/>
              <w:right w:val="single" w:sz="4" w:space="0" w:color="auto"/>
            </w:tcBorders>
            <w:shd w:val="clear" w:color="auto" w:fill="auto"/>
            <w:vAlign w:val="center"/>
            <w:hideMark/>
          </w:tcPr>
          <w:p w14:paraId="660278F6" w14:textId="77777777" w:rsidR="00012C3E" w:rsidRPr="004A0B2E" w:rsidRDefault="00012C3E" w:rsidP="005A18A5">
            <w:pPr>
              <w:jc w:val="center"/>
              <w:rPr>
                <w:rFonts w:ascii="Arial Narrow" w:hAnsi="Arial Narrow" w:cs="Calibri"/>
                <w:b/>
                <w:bCs/>
                <w:sz w:val="16"/>
                <w:szCs w:val="16"/>
              </w:rPr>
            </w:pPr>
            <w:r w:rsidRPr="004A0B2E">
              <w:rPr>
                <w:rFonts w:ascii="Arial Narrow" w:hAnsi="Arial Narrow" w:cs="Calibri"/>
                <w:b/>
                <w:bCs/>
                <w:sz w:val="16"/>
                <w:szCs w:val="16"/>
              </w:rPr>
              <w:t>Покупка на стоки и услуги за междинно потребление</w:t>
            </w:r>
          </w:p>
        </w:tc>
      </w:tr>
      <w:tr w:rsidR="004A0B2E" w:rsidRPr="004A0B2E" w14:paraId="64E64D4E" w14:textId="77777777" w:rsidTr="005A18A5">
        <w:trPr>
          <w:trHeight w:val="599"/>
        </w:trPr>
        <w:tc>
          <w:tcPr>
            <w:tcW w:w="4191" w:type="dxa"/>
            <w:vMerge/>
            <w:tcBorders>
              <w:top w:val="single" w:sz="4" w:space="0" w:color="auto"/>
              <w:left w:val="single" w:sz="4" w:space="0" w:color="auto"/>
              <w:bottom w:val="single" w:sz="4" w:space="0" w:color="auto"/>
              <w:right w:val="single" w:sz="4" w:space="0" w:color="auto"/>
            </w:tcBorders>
            <w:vAlign w:val="center"/>
            <w:hideMark/>
          </w:tcPr>
          <w:p w14:paraId="546E2108" w14:textId="77777777" w:rsidR="00012C3E" w:rsidRPr="004A0B2E" w:rsidRDefault="00012C3E" w:rsidP="005A18A5">
            <w:pPr>
              <w:rPr>
                <w:rFonts w:ascii="Arial Narrow" w:hAnsi="Arial Narrow" w:cs="Calibri"/>
                <w:b/>
                <w:bCs/>
                <w:sz w:val="16"/>
                <w:szCs w:val="16"/>
              </w:rPr>
            </w:pPr>
          </w:p>
        </w:tc>
        <w:tc>
          <w:tcPr>
            <w:tcW w:w="1301" w:type="dxa"/>
            <w:vMerge/>
            <w:tcBorders>
              <w:top w:val="single" w:sz="4" w:space="0" w:color="auto"/>
              <w:left w:val="single" w:sz="4" w:space="0" w:color="auto"/>
              <w:bottom w:val="single" w:sz="4" w:space="0" w:color="auto"/>
              <w:right w:val="single" w:sz="4" w:space="0" w:color="auto"/>
            </w:tcBorders>
            <w:vAlign w:val="center"/>
            <w:hideMark/>
          </w:tcPr>
          <w:p w14:paraId="1FF60BC5" w14:textId="77777777" w:rsidR="00012C3E" w:rsidRPr="004A0B2E" w:rsidRDefault="00012C3E" w:rsidP="005A18A5">
            <w:pPr>
              <w:rPr>
                <w:rFonts w:ascii="Arial Narrow" w:hAnsi="Arial Narrow" w:cs="Calibri"/>
                <w:b/>
                <w:bCs/>
                <w:sz w:val="16"/>
                <w:szCs w:val="16"/>
              </w:rPr>
            </w:pPr>
          </w:p>
        </w:tc>
        <w:tc>
          <w:tcPr>
            <w:tcW w:w="1132" w:type="dxa"/>
            <w:vMerge/>
            <w:tcBorders>
              <w:top w:val="single" w:sz="4" w:space="0" w:color="auto"/>
              <w:left w:val="single" w:sz="4" w:space="0" w:color="auto"/>
              <w:bottom w:val="single" w:sz="4" w:space="0" w:color="auto"/>
              <w:right w:val="single" w:sz="4" w:space="0" w:color="auto"/>
            </w:tcBorders>
            <w:vAlign w:val="center"/>
            <w:hideMark/>
          </w:tcPr>
          <w:p w14:paraId="3D2E5291" w14:textId="77777777" w:rsidR="00012C3E" w:rsidRPr="004A0B2E" w:rsidRDefault="00012C3E" w:rsidP="005A18A5">
            <w:pPr>
              <w:rPr>
                <w:rFonts w:ascii="Arial Narrow" w:hAnsi="Arial Narrow" w:cs="Calibri"/>
                <w:b/>
                <w:bCs/>
                <w:sz w:val="16"/>
                <w:szCs w:val="16"/>
              </w:rPr>
            </w:pPr>
          </w:p>
        </w:tc>
        <w:tc>
          <w:tcPr>
            <w:tcW w:w="1132" w:type="dxa"/>
            <w:vMerge/>
            <w:tcBorders>
              <w:top w:val="single" w:sz="4" w:space="0" w:color="auto"/>
              <w:left w:val="single" w:sz="4" w:space="0" w:color="auto"/>
              <w:bottom w:val="single" w:sz="4" w:space="0" w:color="auto"/>
              <w:right w:val="single" w:sz="4" w:space="0" w:color="auto"/>
            </w:tcBorders>
            <w:vAlign w:val="center"/>
            <w:hideMark/>
          </w:tcPr>
          <w:p w14:paraId="352261E3" w14:textId="77777777" w:rsidR="00012C3E" w:rsidRPr="004A0B2E" w:rsidRDefault="00012C3E" w:rsidP="005A18A5">
            <w:pPr>
              <w:rPr>
                <w:rFonts w:ascii="Arial Narrow" w:hAnsi="Arial Narrow" w:cs="Calibri"/>
                <w:b/>
                <w:bCs/>
                <w:sz w:val="16"/>
                <w:szCs w:val="16"/>
              </w:rPr>
            </w:pPr>
          </w:p>
        </w:tc>
        <w:tc>
          <w:tcPr>
            <w:tcW w:w="1402" w:type="dxa"/>
            <w:tcBorders>
              <w:top w:val="nil"/>
              <w:left w:val="nil"/>
              <w:bottom w:val="single" w:sz="4" w:space="0" w:color="auto"/>
              <w:right w:val="single" w:sz="4" w:space="0" w:color="auto"/>
            </w:tcBorders>
            <w:shd w:val="clear" w:color="auto" w:fill="auto"/>
            <w:vAlign w:val="center"/>
            <w:hideMark/>
          </w:tcPr>
          <w:p w14:paraId="031219CF" w14:textId="77777777" w:rsidR="00012C3E" w:rsidRPr="004A0B2E" w:rsidRDefault="00012C3E" w:rsidP="005A18A5">
            <w:pPr>
              <w:jc w:val="center"/>
              <w:rPr>
                <w:rFonts w:ascii="Arial Narrow" w:hAnsi="Arial Narrow" w:cs="Calibri"/>
                <w:b/>
                <w:bCs/>
                <w:sz w:val="16"/>
                <w:szCs w:val="16"/>
              </w:rPr>
            </w:pPr>
            <w:r w:rsidRPr="004A0B2E">
              <w:rPr>
                <w:rFonts w:ascii="Arial Narrow" w:hAnsi="Arial Narrow" w:cs="Calibri"/>
                <w:b/>
                <w:bCs/>
                <w:sz w:val="16"/>
                <w:szCs w:val="16"/>
              </w:rPr>
              <w:t>от други селскостопански единици</w:t>
            </w:r>
          </w:p>
        </w:tc>
        <w:tc>
          <w:tcPr>
            <w:tcW w:w="1403" w:type="dxa"/>
            <w:tcBorders>
              <w:top w:val="nil"/>
              <w:left w:val="nil"/>
              <w:bottom w:val="single" w:sz="4" w:space="0" w:color="auto"/>
              <w:right w:val="single" w:sz="4" w:space="0" w:color="auto"/>
            </w:tcBorders>
            <w:shd w:val="clear" w:color="auto" w:fill="auto"/>
            <w:vAlign w:val="center"/>
            <w:hideMark/>
          </w:tcPr>
          <w:p w14:paraId="6874D398" w14:textId="77777777" w:rsidR="00012C3E" w:rsidRPr="004A0B2E" w:rsidRDefault="00012C3E" w:rsidP="005A18A5">
            <w:pPr>
              <w:jc w:val="center"/>
              <w:rPr>
                <w:rFonts w:ascii="Arial Narrow" w:hAnsi="Arial Narrow" w:cs="Calibri"/>
                <w:b/>
                <w:bCs/>
                <w:sz w:val="16"/>
                <w:szCs w:val="16"/>
              </w:rPr>
            </w:pPr>
            <w:r w:rsidRPr="004A0B2E">
              <w:rPr>
                <w:rFonts w:ascii="Arial Narrow" w:hAnsi="Arial Narrow" w:cs="Calibri"/>
                <w:b/>
                <w:bCs/>
                <w:sz w:val="16"/>
                <w:szCs w:val="16"/>
              </w:rPr>
              <w:t>от единици извън отрасъла</w:t>
            </w:r>
          </w:p>
        </w:tc>
      </w:tr>
      <w:tr w:rsidR="004A0B2E" w:rsidRPr="004A0B2E" w14:paraId="298AF231" w14:textId="77777777" w:rsidTr="005A18A5">
        <w:trPr>
          <w:trHeight w:val="237"/>
        </w:trPr>
        <w:tc>
          <w:tcPr>
            <w:tcW w:w="4191" w:type="dxa"/>
            <w:tcBorders>
              <w:top w:val="nil"/>
              <w:left w:val="single" w:sz="4" w:space="0" w:color="auto"/>
              <w:bottom w:val="single" w:sz="4" w:space="0" w:color="auto"/>
              <w:right w:val="single" w:sz="4" w:space="0" w:color="auto"/>
            </w:tcBorders>
            <w:shd w:val="clear" w:color="auto" w:fill="auto"/>
            <w:vAlign w:val="center"/>
            <w:hideMark/>
          </w:tcPr>
          <w:p w14:paraId="72308712" w14:textId="77777777" w:rsidR="00012C3E" w:rsidRPr="004A0B2E" w:rsidRDefault="00012C3E" w:rsidP="005A18A5">
            <w:pPr>
              <w:jc w:val="center"/>
              <w:rPr>
                <w:rFonts w:ascii="Arial Narrow" w:hAnsi="Arial Narrow" w:cs="Arial"/>
                <w:sz w:val="16"/>
                <w:szCs w:val="16"/>
              </w:rPr>
            </w:pPr>
            <w:r w:rsidRPr="004A0B2E">
              <w:rPr>
                <w:rFonts w:ascii="Arial Narrow" w:hAnsi="Arial Narrow" w:cs="Arial"/>
                <w:sz w:val="16"/>
                <w:szCs w:val="16"/>
              </w:rPr>
              <w:t>а</w:t>
            </w:r>
          </w:p>
        </w:tc>
        <w:tc>
          <w:tcPr>
            <w:tcW w:w="1301" w:type="dxa"/>
            <w:tcBorders>
              <w:top w:val="nil"/>
              <w:left w:val="nil"/>
              <w:bottom w:val="single" w:sz="4" w:space="0" w:color="auto"/>
              <w:right w:val="single" w:sz="4" w:space="0" w:color="auto"/>
            </w:tcBorders>
            <w:shd w:val="clear" w:color="auto" w:fill="auto"/>
            <w:vAlign w:val="center"/>
            <w:hideMark/>
          </w:tcPr>
          <w:p w14:paraId="4ABAA04B" w14:textId="77777777" w:rsidR="00012C3E" w:rsidRPr="004A0B2E" w:rsidRDefault="00012C3E" w:rsidP="005A18A5">
            <w:pPr>
              <w:jc w:val="center"/>
              <w:rPr>
                <w:rFonts w:ascii="Arial Narrow" w:hAnsi="Arial Narrow" w:cs="Arial"/>
                <w:sz w:val="16"/>
                <w:szCs w:val="16"/>
              </w:rPr>
            </w:pPr>
            <w:r w:rsidRPr="004A0B2E">
              <w:rPr>
                <w:rFonts w:ascii="Arial Narrow" w:hAnsi="Arial Narrow" w:cs="Arial"/>
                <w:sz w:val="16"/>
                <w:szCs w:val="16"/>
              </w:rPr>
              <w:t>1</w:t>
            </w:r>
          </w:p>
        </w:tc>
        <w:tc>
          <w:tcPr>
            <w:tcW w:w="1132" w:type="dxa"/>
            <w:tcBorders>
              <w:top w:val="nil"/>
              <w:left w:val="nil"/>
              <w:bottom w:val="single" w:sz="4" w:space="0" w:color="auto"/>
              <w:right w:val="single" w:sz="4" w:space="0" w:color="auto"/>
            </w:tcBorders>
            <w:shd w:val="clear" w:color="auto" w:fill="auto"/>
            <w:vAlign w:val="center"/>
            <w:hideMark/>
          </w:tcPr>
          <w:p w14:paraId="74A446AB" w14:textId="77777777" w:rsidR="00012C3E" w:rsidRPr="004A0B2E" w:rsidRDefault="00012C3E" w:rsidP="005A18A5">
            <w:pPr>
              <w:jc w:val="center"/>
              <w:rPr>
                <w:rFonts w:ascii="Arial Narrow" w:hAnsi="Arial Narrow" w:cs="Arial"/>
                <w:sz w:val="16"/>
                <w:szCs w:val="16"/>
              </w:rPr>
            </w:pPr>
            <w:r w:rsidRPr="004A0B2E">
              <w:rPr>
                <w:rFonts w:ascii="Arial Narrow" w:hAnsi="Arial Narrow" w:cs="Arial"/>
                <w:sz w:val="16"/>
                <w:szCs w:val="16"/>
              </w:rPr>
              <w:t>2</w:t>
            </w:r>
          </w:p>
        </w:tc>
        <w:tc>
          <w:tcPr>
            <w:tcW w:w="1132" w:type="dxa"/>
            <w:tcBorders>
              <w:top w:val="nil"/>
              <w:left w:val="nil"/>
              <w:bottom w:val="single" w:sz="4" w:space="0" w:color="auto"/>
              <w:right w:val="single" w:sz="4" w:space="0" w:color="auto"/>
            </w:tcBorders>
            <w:shd w:val="clear" w:color="auto" w:fill="auto"/>
            <w:vAlign w:val="center"/>
            <w:hideMark/>
          </w:tcPr>
          <w:p w14:paraId="5D37FDC3" w14:textId="77777777" w:rsidR="00012C3E" w:rsidRPr="004A0B2E" w:rsidRDefault="00012C3E" w:rsidP="005A18A5">
            <w:pPr>
              <w:jc w:val="center"/>
              <w:rPr>
                <w:rFonts w:ascii="Arial Narrow" w:hAnsi="Arial Narrow" w:cs="Arial"/>
                <w:sz w:val="16"/>
                <w:szCs w:val="16"/>
              </w:rPr>
            </w:pPr>
            <w:r w:rsidRPr="004A0B2E">
              <w:rPr>
                <w:rFonts w:ascii="Arial Narrow" w:hAnsi="Arial Narrow" w:cs="Arial"/>
                <w:sz w:val="16"/>
                <w:szCs w:val="16"/>
              </w:rPr>
              <w:t>3</w:t>
            </w:r>
          </w:p>
        </w:tc>
        <w:tc>
          <w:tcPr>
            <w:tcW w:w="1402" w:type="dxa"/>
            <w:tcBorders>
              <w:top w:val="nil"/>
              <w:left w:val="nil"/>
              <w:bottom w:val="single" w:sz="4" w:space="0" w:color="auto"/>
              <w:right w:val="single" w:sz="4" w:space="0" w:color="auto"/>
            </w:tcBorders>
            <w:shd w:val="clear" w:color="auto" w:fill="auto"/>
            <w:vAlign w:val="center"/>
            <w:hideMark/>
          </w:tcPr>
          <w:p w14:paraId="480F148E" w14:textId="77777777" w:rsidR="00012C3E" w:rsidRPr="004A0B2E" w:rsidRDefault="00012C3E" w:rsidP="005A18A5">
            <w:pPr>
              <w:jc w:val="center"/>
              <w:rPr>
                <w:rFonts w:ascii="Arial Narrow" w:hAnsi="Arial Narrow" w:cs="Arial"/>
                <w:sz w:val="16"/>
                <w:szCs w:val="16"/>
              </w:rPr>
            </w:pPr>
            <w:r w:rsidRPr="004A0B2E">
              <w:rPr>
                <w:rFonts w:ascii="Arial Narrow" w:hAnsi="Arial Narrow" w:cs="Arial"/>
                <w:sz w:val="16"/>
                <w:szCs w:val="16"/>
              </w:rPr>
              <w:t>4</w:t>
            </w:r>
          </w:p>
        </w:tc>
        <w:tc>
          <w:tcPr>
            <w:tcW w:w="1403" w:type="dxa"/>
            <w:tcBorders>
              <w:top w:val="nil"/>
              <w:left w:val="nil"/>
              <w:bottom w:val="single" w:sz="4" w:space="0" w:color="auto"/>
              <w:right w:val="single" w:sz="4" w:space="0" w:color="auto"/>
            </w:tcBorders>
            <w:shd w:val="clear" w:color="auto" w:fill="auto"/>
            <w:vAlign w:val="center"/>
            <w:hideMark/>
          </w:tcPr>
          <w:p w14:paraId="059468F3" w14:textId="77777777" w:rsidR="00012C3E" w:rsidRPr="004A0B2E" w:rsidRDefault="00012C3E" w:rsidP="005A18A5">
            <w:pPr>
              <w:jc w:val="center"/>
              <w:rPr>
                <w:rFonts w:ascii="Arial Narrow" w:hAnsi="Arial Narrow" w:cs="Arial"/>
                <w:sz w:val="16"/>
                <w:szCs w:val="16"/>
              </w:rPr>
            </w:pPr>
            <w:r w:rsidRPr="004A0B2E">
              <w:rPr>
                <w:rFonts w:ascii="Arial Narrow" w:hAnsi="Arial Narrow" w:cs="Arial"/>
                <w:sz w:val="16"/>
                <w:szCs w:val="16"/>
              </w:rPr>
              <w:t>5</w:t>
            </w:r>
          </w:p>
        </w:tc>
      </w:tr>
      <w:tr w:rsidR="004A0B2E" w:rsidRPr="004A0B2E" w14:paraId="14E5B68D" w14:textId="77777777" w:rsidTr="008F7A9E">
        <w:trPr>
          <w:trHeight w:val="307"/>
        </w:trPr>
        <w:tc>
          <w:tcPr>
            <w:tcW w:w="41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7A1951" w14:textId="77777777" w:rsidR="004A0B2E" w:rsidRPr="004A0B2E" w:rsidRDefault="004A0B2E" w:rsidP="004A0B2E">
            <w:pPr>
              <w:ind w:firstLineChars="100" w:firstLine="161"/>
              <w:rPr>
                <w:rFonts w:ascii="Arial Narrow" w:hAnsi="Arial Narrow" w:cs="Calibri"/>
                <w:b/>
                <w:bCs/>
                <w:sz w:val="16"/>
                <w:szCs w:val="16"/>
              </w:rPr>
            </w:pPr>
            <w:r w:rsidRPr="004A0B2E">
              <w:rPr>
                <w:rFonts w:ascii="Arial Narrow" w:hAnsi="Arial Narrow" w:cs="Calibri"/>
                <w:b/>
                <w:bCs/>
                <w:sz w:val="16"/>
                <w:szCs w:val="16"/>
              </w:rPr>
              <w:t>Загуби</w:t>
            </w:r>
          </w:p>
        </w:tc>
        <w:tc>
          <w:tcPr>
            <w:tcW w:w="1301" w:type="dxa"/>
            <w:tcBorders>
              <w:top w:val="single" w:sz="4" w:space="0" w:color="auto"/>
              <w:left w:val="nil"/>
              <w:bottom w:val="single" w:sz="4" w:space="0" w:color="auto"/>
              <w:right w:val="single" w:sz="4" w:space="0" w:color="auto"/>
            </w:tcBorders>
            <w:shd w:val="clear" w:color="auto" w:fill="auto"/>
            <w:vAlign w:val="center"/>
            <w:hideMark/>
          </w:tcPr>
          <w:p w14:paraId="312A1843" w14:textId="77777777" w:rsidR="004A0B2E" w:rsidRPr="004A0B2E" w:rsidRDefault="004A0B2E" w:rsidP="004A0B2E">
            <w:pPr>
              <w:jc w:val="right"/>
              <w:rPr>
                <w:rFonts w:ascii="Arial Narrow" w:hAnsi="Arial Narrow" w:cs="Arial"/>
                <w:sz w:val="16"/>
                <w:szCs w:val="16"/>
              </w:rPr>
            </w:pPr>
            <w:r w:rsidRPr="004A0B2E">
              <w:rPr>
                <w:rFonts w:ascii="Arial Narrow" w:hAnsi="Arial Narrow" w:cs="Arial"/>
                <w:sz w:val="16"/>
                <w:szCs w:val="16"/>
              </w:rPr>
              <w:t>4,6</w:t>
            </w:r>
          </w:p>
        </w:tc>
        <w:tc>
          <w:tcPr>
            <w:tcW w:w="1132" w:type="dxa"/>
            <w:tcBorders>
              <w:top w:val="single" w:sz="4" w:space="0" w:color="auto"/>
              <w:left w:val="nil"/>
              <w:bottom w:val="single" w:sz="4" w:space="0" w:color="auto"/>
              <w:right w:val="single" w:sz="4" w:space="0" w:color="auto"/>
            </w:tcBorders>
            <w:shd w:val="clear" w:color="auto" w:fill="auto"/>
            <w:vAlign w:val="center"/>
            <w:hideMark/>
          </w:tcPr>
          <w:p w14:paraId="36F18208" w14:textId="77777777" w:rsidR="004A0B2E" w:rsidRPr="004A0B2E" w:rsidRDefault="004A0B2E" w:rsidP="004A0B2E">
            <w:pPr>
              <w:rPr>
                <w:rFonts w:ascii="Arial Narrow" w:hAnsi="Arial Narrow" w:cs="Arial"/>
                <w:sz w:val="16"/>
                <w:szCs w:val="16"/>
              </w:rPr>
            </w:pPr>
            <w:r w:rsidRPr="004A0B2E">
              <w:rPr>
                <w:rFonts w:ascii="Arial Narrow" w:hAnsi="Arial Narrow" w:cs="Arial"/>
                <w:sz w:val="16"/>
                <w:szCs w:val="16"/>
              </w:rPr>
              <w:t> </w:t>
            </w:r>
          </w:p>
        </w:tc>
        <w:tc>
          <w:tcPr>
            <w:tcW w:w="1132" w:type="dxa"/>
            <w:tcBorders>
              <w:top w:val="single" w:sz="4" w:space="0" w:color="auto"/>
              <w:left w:val="nil"/>
              <w:bottom w:val="single" w:sz="4" w:space="0" w:color="auto"/>
              <w:right w:val="single" w:sz="4" w:space="0" w:color="auto"/>
            </w:tcBorders>
            <w:shd w:val="clear" w:color="auto" w:fill="auto"/>
            <w:vAlign w:val="center"/>
            <w:hideMark/>
          </w:tcPr>
          <w:p w14:paraId="6A162F84" w14:textId="77777777" w:rsidR="004A0B2E" w:rsidRPr="004A0B2E" w:rsidRDefault="004A0B2E" w:rsidP="004A0B2E">
            <w:pPr>
              <w:jc w:val="right"/>
              <w:rPr>
                <w:rFonts w:ascii="Arial Narrow" w:hAnsi="Arial Narrow" w:cs="Arial"/>
                <w:sz w:val="16"/>
                <w:szCs w:val="16"/>
              </w:rPr>
            </w:pPr>
            <w:r w:rsidRPr="004A0B2E">
              <w:rPr>
                <w:rFonts w:ascii="Arial Narrow" w:hAnsi="Arial Narrow" w:cs="Arial"/>
                <w:sz w:val="16"/>
                <w:szCs w:val="16"/>
              </w:rPr>
              <w:t>4,6</w:t>
            </w:r>
          </w:p>
        </w:tc>
        <w:tc>
          <w:tcPr>
            <w:tcW w:w="1402" w:type="dxa"/>
            <w:tcBorders>
              <w:top w:val="single" w:sz="4" w:space="0" w:color="auto"/>
              <w:left w:val="nil"/>
              <w:bottom w:val="single" w:sz="4" w:space="0" w:color="auto"/>
              <w:right w:val="single" w:sz="4" w:space="0" w:color="auto"/>
            </w:tcBorders>
            <w:shd w:val="clear" w:color="auto" w:fill="auto"/>
            <w:vAlign w:val="center"/>
            <w:hideMark/>
          </w:tcPr>
          <w:p w14:paraId="7029C726" w14:textId="77777777" w:rsidR="004A0B2E" w:rsidRPr="004A0B2E" w:rsidRDefault="004A0B2E" w:rsidP="004A0B2E">
            <w:pPr>
              <w:rPr>
                <w:rFonts w:ascii="Arial Narrow" w:hAnsi="Arial Narrow" w:cs="Arial"/>
                <w:sz w:val="16"/>
                <w:szCs w:val="16"/>
              </w:rPr>
            </w:pPr>
            <w:r w:rsidRPr="004A0B2E">
              <w:rPr>
                <w:rFonts w:ascii="Arial Narrow" w:hAnsi="Arial Narrow" w:cs="Arial"/>
                <w:sz w:val="16"/>
                <w:szCs w:val="16"/>
              </w:rPr>
              <w:t> </w:t>
            </w:r>
          </w:p>
        </w:tc>
        <w:tc>
          <w:tcPr>
            <w:tcW w:w="1403" w:type="dxa"/>
            <w:tcBorders>
              <w:top w:val="single" w:sz="4" w:space="0" w:color="auto"/>
              <w:left w:val="nil"/>
              <w:bottom w:val="single" w:sz="4" w:space="0" w:color="auto"/>
              <w:right w:val="single" w:sz="4" w:space="0" w:color="auto"/>
            </w:tcBorders>
            <w:shd w:val="clear" w:color="auto" w:fill="auto"/>
            <w:vAlign w:val="center"/>
            <w:hideMark/>
          </w:tcPr>
          <w:p w14:paraId="0DC9E1BD" w14:textId="77777777" w:rsidR="004A0B2E" w:rsidRPr="004A0B2E" w:rsidRDefault="004A0B2E" w:rsidP="004A0B2E">
            <w:pPr>
              <w:rPr>
                <w:rFonts w:ascii="Arial Narrow" w:hAnsi="Arial Narrow" w:cs="Arial"/>
                <w:sz w:val="16"/>
                <w:szCs w:val="16"/>
              </w:rPr>
            </w:pPr>
            <w:r w:rsidRPr="004A0B2E">
              <w:rPr>
                <w:rFonts w:ascii="Arial Narrow" w:hAnsi="Arial Narrow" w:cs="Arial"/>
                <w:sz w:val="16"/>
                <w:szCs w:val="16"/>
              </w:rPr>
              <w:t> </w:t>
            </w:r>
          </w:p>
        </w:tc>
      </w:tr>
      <w:tr w:rsidR="004A0B2E" w:rsidRPr="004A0B2E" w14:paraId="62378145" w14:textId="77777777" w:rsidTr="005A18A5">
        <w:trPr>
          <w:trHeight w:val="307"/>
        </w:trPr>
        <w:tc>
          <w:tcPr>
            <w:tcW w:w="4191" w:type="dxa"/>
            <w:tcBorders>
              <w:top w:val="nil"/>
              <w:left w:val="single" w:sz="4" w:space="0" w:color="auto"/>
              <w:bottom w:val="single" w:sz="4" w:space="0" w:color="auto"/>
              <w:right w:val="single" w:sz="4" w:space="0" w:color="auto"/>
            </w:tcBorders>
            <w:shd w:val="clear" w:color="auto" w:fill="auto"/>
            <w:vAlign w:val="center"/>
            <w:hideMark/>
          </w:tcPr>
          <w:p w14:paraId="4B98FD1D" w14:textId="77777777" w:rsidR="004A0B2E" w:rsidRPr="004A0B2E" w:rsidRDefault="004A0B2E" w:rsidP="004A0B2E">
            <w:pPr>
              <w:ind w:firstLineChars="100" w:firstLine="160"/>
              <w:rPr>
                <w:rFonts w:ascii="Arial Narrow" w:hAnsi="Arial Narrow" w:cs="Calibri"/>
                <w:sz w:val="16"/>
                <w:szCs w:val="16"/>
              </w:rPr>
            </w:pPr>
            <w:r w:rsidRPr="004A0B2E">
              <w:rPr>
                <w:rFonts w:ascii="Arial Narrow" w:hAnsi="Arial Narrow" w:cs="Calibri"/>
                <w:sz w:val="16"/>
                <w:szCs w:val="16"/>
              </w:rPr>
              <w:t>Семена и посадъчен материал</w:t>
            </w:r>
          </w:p>
        </w:tc>
        <w:tc>
          <w:tcPr>
            <w:tcW w:w="1301" w:type="dxa"/>
            <w:tcBorders>
              <w:top w:val="nil"/>
              <w:left w:val="nil"/>
              <w:bottom w:val="single" w:sz="4" w:space="0" w:color="auto"/>
              <w:right w:val="single" w:sz="4" w:space="0" w:color="auto"/>
            </w:tcBorders>
            <w:shd w:val="clear" w:color="auto" w:fill="auto"/>
            <w:vAlign w:val="center"/>
            <w:hideMark/>
          </w:tcPr>
          <w:p w14:paraId="47331CB9" w14:textId="77777777" w:rsidR="004A0B2E" w:rsidRPr="004A0B2E" w:rsidRDefault="004A0B2E" w:rsidP="004A0B2E">
            <w:pPr>
              <w:jc w:val="right"/>
              <w:rPr>
                <w:rFonts w:ascii="Arial Narrow" w:hAnsi="Arial Narrow" w:cs="Arial"/>
                <w:sz w:val="16"/>
                <w:szCs w:val="16"/>
              </w:rPr>
            </w:pPr>
            <w:r w:rsidRPr="004A0B2E">
              <w:rPr>
                <w:rFonts w:ascii="Arial Narrow" w:hAnsi="Arial Narrow" w:cs="Arial"/>
                <w:sz w:val="16"/>
                <w:szCs w:val="16"/>
              </w:rPr>
              <w:t>499,0</w:t>
            </w:r>
          </w:p>
        </w:tc>
        <w:tc>
          <w:tcPr>
            <w:tcW w:w="1132" w:type="dxa"/>
            <w:tcBorders>
              <w:top w:val="nil"/>
              <w:left w:val="nil"/>
              <w:bottom w:val="single" w:sz="4" w:space="0" w:color="auto"/>
              <w:right w:val="single" w:sz="4" w:space="0" w:color="auto"/>
            </w:tcBorders>
            <w:shd w:val="clear" w:color="auto" w:fill="auto"/>
            <w:vAlign w:val="center"/>
            <w:hideMark/>
          </w:tcPr>
          <w:p w14:paraId="0EE1C139" w14:textId="77777777" w:rsidR="004A0B2E" w:rsidRPr="004A0B2E" w:rsidRDefault="004A0B2E" w:rsidP="004A0B2E">
            <w:pPr>
              <w:jc w:val="right"/>
              <w:rPr>
                <w:rFonts w:ascii="Arial Narrow" w:hAnsi="Arial Narrow" w:cs="Arial"/>
                <w:sz w:val="16"/>
                <w:szCs w:val="16"/>
              </w:rPr>
            </w:pPr>
            <w:r w:rsidRPr="004A0B2E">
              <w:rPr>
                <w:rFonts w:ascii="Arial Narrow" w:hAnsi="Arial Narrow" w:cs="Arial"/>
                <w:sz w:val="16"/>
                <w:szCs w:val="16"/>
              </w:rPr>
              <w:t>394,8</w:t>
            </w:r>
          </w:p>
        </w:tc>
        <w:tc>
          <w:tcPr>
            <w:tcW w:w="1132" w:type="dxa"/>
            <w:tcBorders>
              <w:top w:val="nil"/>
              <w:left w:val="nil"/>
              <w:bottom w:val="single" w:sz="4" w:space="0" w:color="auto"/>
              <w:right w:val="single" w:sz="4" w:space="0" w:color="auto"/>
            </w:tcBorders>
            <w:shd w:val="clear" w:color="auto" w:fill="auto"/>
            <w:vAlign w:val="center"/>
            <w:hideMark/>
          </w:tcPr>
          <w:p w14:paraId="05BE5D49" w14:textId="77777777" w:rsidR="004A0B2E" w:rsidRPr="004A0B2E" w:rsidRDefault="004A0B2E" w:rsidP="004A0B2E">
            <w:pPr>
              <w:jc w:val="right"/>
              <w:rPr>
                <w:rFonts w:ascii="Arial Narrow" w:hAnsi="Arial Narrow" w:cs="Arial"/>
                <w:sz w:val="16"/>
                <w:szCs w:val="16"/>
              </w:rPr>
            </w:pPr>
            <w:r w:rsidRPr="004A0B2E">
              <w:rPr>
                <w:rFonts w:ascii="Arial Narrow" w:hAnsi="Arial Narrow" w:cs="Arial"/>
                <w:sz w:val="16"/>
                <w:szCs w:val="16"/>
              </w:rPr>
              <w:t>104,2</w:t>
            </w:r>
          </w:p>
        </w:tc>
        <w:tc>
          <w:tcPr>
            <w:tcW w:w="1402" w:type="dxa"/>
            <w:tcBorders>
              <w:top w:val="nil"/>
              <w:left w:val="nil"/>
              <w:bottom w:val="single" w:sz="4" w:space="0" w:color="auto"/>
              <w:right w:val="single" w:sz="4" w:space="0" w:color="auto"/>
            </w:tcBorders>
            <w:shd w:val="clear" w:color="auto" w:fill="auto"/>
            <w:vAlign w:val="center"/>
            <w:hideMark/>
          </w:tcPr>
          <w:p w14:paraId="730D681F" w14:textId="77777777" w:rsidR="004A0B2E" w:rsidRPr="004A0B2E" w:rsidRDefault="004A0B2E" w:rsidP="004A0B2E">
            <w:pPr>
              <w:jc w:val="right"/>
              <w:rPr>
                <w:rFonts w:ascii="Arial Narrow" w:hAnsi="Arial Narrow" w:cs="Arial"/>
                <w:sz w:val="16"/>
                <w:szCs w:val="16"/>
              </w:rPr>
            </w:pPr>
            <w:r w:rsidRPr="004A0B2E">
              <w:rPr>
                <w:rFonts w:ascii="Arial Narrow" w:hAnsi="Arial Narrow" w:cs="Arial"/>
                <w:sz w:val="16"/>
                <w:szCs w:val="16"/>
              </w:rPr>
              <w:t>71,6</w:t>
            </w:r>
          </w:p>
        </w:tc>
        <w:tc>
          <w:tcPr>
            <w:tcW w:w="1403" w:type="dxa"/>
            <w:tcBorders>
              <w:top w:val="nil"/>
              <w:left w:val="nil"/>
              <w:bottom w:val="single" w:sz="4" w:space="0" w:color="auto"/>
              <w:right w:val="single" w:sz="4" w:space="0" w:color="auto"/>
            </w:tcBorders>
            <w:shd w:val="clear" w:color="auto" w:fill="auto"/>
            <w:vAlign w:val="center"/>
            <w:hideMark/>
          </w:tcPr>
          <w:p w14:paraId="64606CB6" w14:textId="77777777" w:rsidR="004A0B2E" w:rsidRPr="004A0B2E" w:rsidRDefault="004A0B2E" w:rsidP="004A0B2E">
            <w:pPr>
              <w:jc w:val="right"/>
              <w:rPr>
                <w:rFonts w:ascii="Arial Narrow" w:hAnsi="Arial Narrow" w:cs="Arial"/>
                <w:sz w:val="16"/>
                <w:szCs w:val="16"/>
              </w:rPr>
            </w:pPr>
            <w:r w:rsidRPr="004A0B2E">
              <w:rPr>
                <w:rFonts w:ascii="Arial Narrow" w:hAnsi="Arial Narrow" w:cs="Arial"/>
                <w:sz w:val="16"/>
                <w:szCs w:val="16"/>
              </w:rPr>
              <w:t>323,2</w:t>
            </w:r>
          </w:p>
        </w:tc>
      </w:tr>
      <w:tr w:rsidR="004A0B2E" w:rsidRPr="004A0B2E" w14:paraId="39D9B749" w14:textId="77777777" w:rsidTr="005A18A5">
        <w:trPr>
          <w:trHeight w:val="307"/>
        </w:trPr>
        <w:tc>
          <w:tcPr>
            <w:tcW w:w="4191" w:type="dxa"/>
            <w:tcBorders>
              <w:top w:val="nil"/>
              <w:left w:val="single" w:sz="4" w:space="0" w:color="auto"/>
              <w:bottom w:val="single" w:sz="4" w:space="0" w:color="auto"/>
              <w:right w:val="single" w:sz="4" w:space="0" w:color="auto"/>
            </w:tcBorders>
            <w:shd w:val="clear" w:color="auto" w:fill="auto"/>
            <w:vAlign w:val="center"/>
            <w:hideMark/>
          </w:tcPr>
          <w:p w14:paraId="06671746" w14:textId="77777777" w:rsidR="004A0B2E" w:rsidRPr="004A0B2E" w:rsidRDefault="004A0B2E" w:rsidP="004A0B2E">
            <w:pPr>
              <w:ind w:firstLineChars="100" w:firstLine="160"/>
              <w:rPr>
                <w:rFonts w:ascii="Arial Narrow" w:hAnsi="Arial Narrow" w:cs="Calibri"/>
                <w:sz w:val="16"/>
                <w:szCs w:val="16"/>
              </w:rPr>
            </w:pPr>
            <w:r w:rsidRPr="004A0B2E">
              <w:rPr>
                <w:rFonts w:ascii="Arial Narrow" w:hAnsi="Arial Narrow" w:cs="Calibri"/>
                <w:sz w:val="16"/>
                <w:szCs w:val="16"/>
              </w:rPr>
              <w:t>Горива и масла</w:t>
            </w:r>
          </w:p>
        </w:tc>
        <w:tc>
          <w:tcPr>
            <w:tcW w:w="1301" w:type="dxa"/>
            <w:tcBorders>
              <w:top w:val="nil"/>
              <w:left w:val="nil"/>
              <w:bottom w:val="single" w:sz="4" w:space="0" w:color="auto"/>
              <w:right w:val="single" w:sz="4" w:space="0" w:color="auto"/>
            </w:tcBorders>
            <w:shd w:val="clear" w:color="auto" w:fill="auto"/>
            <w:vAlign w:val="center"/>
            <w:hideMark/>
          </w:tcPr>
          <w:p w14:paraId="3BF49ECA" w14:textId="77777777" w:rsidR="004A0B2E" w:rsidRPr="004A0B2E" w:rsidRDefault="004A0B2E" w:rsidP="004A0B2E">
            <w:pPr>
              <w:jc w:val="right"/>
              <w:rPr>
                <w:rFonts w:ascii="Arial Narrow" w:hAnsi="Arial Narrow" w:cs="Arial"/>
                <w:sz w:val="16"/>
                <w:szCs w:val="16"/>
              </w:rPr>
            </w:pPr>
            <w:r w:rsidRPr="004A0B2E">
              <w:rPr>
                <w:rFonts w:ascii="Arial Narrow" w:hAnsi="Arial Narrow" w:cs="Arial"/>
                <w:sz w:val="16"/>
                <w:szCs w:val="16"/>
              </w:rPr>
              <w:t>1 051,0</w:t>
            </w:r>
          </w:p>
        </w:tc>
        <w:tc>
          <w:tcPr>
            <w:tcW w:w="1132" w:type="dxa"/>
            <w:tcBorders>
              <w:top w:val="nil"/>
              <w:left w:val="nil"/>
              <w:bottom w:val="single" w:sz="4" w:space="0" w:color="auto"/>
              <w:right w:val="single" w:sz="4" w:space="0" w:color="auto"/>
            </w:tcBorders>
            <w:shd w:val="clear" w:color="auto" w:fill="auto"/>
            <w:vAlign w:val="center"/>
            <w:hideMark/>
          </w:tcPr>
          <w:p w14:paraId="327C745D" w14:textId="77777777" w:rsidR="004A0B2E" w:rsidRPr="004A0B2E" w:rsidRDefault="004A0B2E" w:rsidP="004A0B2E">
            <w:pPr>
              <w:jc w:val="right"/>
              <w:rPr>
                <w:rFonts w:ascii="Arial Narrow" w:hAnsi="Arial Narrow" w:cs="Arial"/>
                <w:sz w:val="16"/>
                <w:szCs w:val="16"/>
              </w:rPr>
            </w:pPr>
            <w:r w:rsidRPr="004A0B2E">
              <w:rPr>
                <w:rFonts w:ascii="Arial Narrow" w:hAnsi="Arial Narrow" w:cs="Arial"/>
                <w:sz w:val="16"/>
                <w:szCs w:val="16"/>
              </w:rPr>
              <w:t>1 051,0</w:t>
            </w:r>
          </w:p>
        </w:tc>
        <w:tc>
          <w:tcPr>
            <w:tcW w:w="1132" w:type="dxa"/>
            <w:tcBorders>
              <w:top w:val="nil"/>
              <w:left w:val="nil"/>
              <w:bottom w:val="single" w:sz="4" w:space="0" w:color="auto"/>
              <w:right w:val="single" w:sz="4" w:space="0" w:color="auto"/>
            </w:tcBorders>
            <w:shd w:val="clear" w:color="auto" w:fill="auto"/>
            <w:vAlign w:val="center"/>
            <w:hideMark/>
          </w:tcPr>
          <w:p w14:paraId="6B88EA7A" w14:textId="77777777" w:rsidR="004A0B2E" w:rsidRPr="004A0B2E" w:rsidRDefault="004A0B2E" w:rsidP="004A0B2E">
            <w:pPr>
              <w:rPr>
                <w:rFonts w:ascii="Arial Narrow" w:hAnsi="Arial Narrow" w:cs="Arial"/>
                <w:sz w:val="16"/>
                <w:szCs w:val="16"/>
              </w:rPr>
            </w:pPr>
            <w:r w:rsidRPr="004A0B2E">
              <w:rPr>
                <w:rFonts w:ascii="Arial Narrow" w:hAnsi="Arial Narrow" w:cs="Arial"/>
                <w:sz w:val="16"/>
                <w:szCs w:val="16"/>
              </w:rPr>
              <w:t> </w:t>
            </w:r>
          </w:p>
        </w:tc>
        <w:tc>
          <w:tcPr>
            <w:tcW w:w="1402" w:type="dxa"/>
            <w:tcBorders>
              <w:top w:val="nil"/>
              <w:left w:val="nil"/>
              <w:bottom w:val="single" w:sz="4" w:space="0" w:color="auto"/>
              <w:right w:val="single" w:sz="4" w:space="0" w:color="auto"/>
            </w:tcBorders>
            <w:shd w:val="clear" w:color="auto" w:fill="auto"/>
            <w:vAlign w:val="center"/>
            <w:hideMark/>
          </w:tcPr>
          <w:p w14:paraId="7E982A3A" w14:textId="77777777" w:rsidR="004A0B2E" w:rsidRPr="004A0B2E" w:rsidRDefault="004A0B2E" w:rsidP="004A0B2E">
            <w:pPr>
              <w:rPr>
                <w:rFonts w:ascii="Arial Narrow" w:hAnsi="Arial Narrow" w:cs="Arial"/>
                <w:sz w:val="16"/>
                <w:szCs w:val="16"/>
              </w:rPr>
            </w:pPr>
            <w:r w:rsidRPr="004A0B2E">
              <w:rPr>
                <w:rFonts w:ascii="Arial Narrow" w:hAnsi="Arial Narrow" w:cs="Arial"/>
                <w:sz w:val="16"/>
                <w:szCs w:val="16"/>
              </w:rPr>
              <w:t> </w:t>
            </w:r>
          </w:p>
        </w:tc>
        <w:tc>
          <w:tcPr>
            <w:tcW w:w="1403" w:type="dxa"/>
            <w:tcBorders>
              <w:top w:val="nil"/>
              <w:left w:val="nil"/>
              <w:bottom w:val="single" w:sz="4" w:space="0" w:color="auto"/>
              <w:right w:val="single" w:sz="4" w:space="0" w:color="auto"/>
            </w:tcBorders>
            <w:shd w:val="clear" w:color="auto" w:fill="auto"/>
            <w:vAlign w:val="center"/>
            <w:hideMark/>
          </w:tcPr>
          <w:p w14:paraId="2E98E018" w14:textId="77777777" w:rsidR="004A0B2E" w:rsidRPr="004A0B2E" w:rsidRDefault="004A0B2E" w:rsidP="004A0B2E">
            <w:pPr>
              <w:jc w:val="right"/>
              <w:rPr>
                <w:rFonts w:ascii="Arial Narrow" w:hAnsi="Arial Narrow" w:cs="Arial"/>
                <w:sz w:val="16"/>
                <w:szCs w:val="16"/>
              </w:rPr>
            </w:pPr>
            <w:r w:rsidRPr="004A0B2E">
              <w:rPr>
                <w:rFonts w:ascii="Arial Narrow" w:hAnsi="Arial Narrow" w:cs="Arial"/>
                <w:sz w:val="16"/>
                <w:szCs w:val="16"/>
              </w:rPr>
              <w:t>1 051,0</w:t>
            </w:r>
          </w:p>
        </w:tc>
      </w:tr>
      <w:tr w:rsidR="004A0B2E" w:rsidRPr="004A0B2E" w14:paraId="4B9F8B7F" w14:textId="77777777" w:rsidTr="005A18A5">
        <w:trPr>
          <w:trHeight w:val="307"/>
        </w:trPr>
        <w:tc>
          <w:tcPr>
            <w:tcW w:w="4191" w:type="dxa"/>
            <w:tcBorders>
              <w:top w:val="nil"/>
              <w:left w:val="single" w:sz="4" w:space="0" w:color="auto"/>
              <w:bottom w:val="single" w:sz="4" w:space="0" w:color="auto"/>
              <w:right w:val="single" w:sz="4" w:space="0" w:color="auto"/>
            </w:tcBorders>
            <w:shd w:val="clear" w:color="auto" w:fill="auto"/>
            <w:vAlign w:val="center"/>
            <w:hideMark/>
          </w:tcPr>
          <w:p w14:paraId="705938B1" w14:textId="77777777" w:rsidR="004A0B2E" w:rsidRPr="004A0B2E" w:rsidRDefault="004A0B2E" w:rsidP="004A0B2E">
            <w:pPr>
              <w:ind w:firstLineChars="200" w:firstLine="320"/>
              <w:rPr>
                <w:rFonts w:ascii="Arial Narrow" w:hAnsi="Arial Narrow" w:cs="Calibri"/>
                <w:sz w:val="16"/>
                <w:szCs w:val="16"/>
              </w:rPr>
            </w:pPr>
            <w:r w:rsidRPr="004A0B2E">
              <w:rPr>
                <w:rFonts w:ascii="Arial Narrow" w:hAnsi="Arial Narrow" w:cs="Calibri"/>
                <w:sz w:val="16"/>
                <w:szCs w:val="16"/>
              </w:rPr>
              <w:t>- електричество</w:t>
            </w:r>
          </w:p>
        </w:tc>
        <w:tc>
          <w:tcPr>
            <w:tcW w:w="1301" w:type="dxa"/>
            <w:tcBorders>
              <w:top w:val="nil"/>
              <w:left w:val="nil"/>
              <w:bottom w:val="single" w:sz="4" w:space="0" w:color="auto"/>
              <w:right w:val="single" w:sz="4" w:space="0" w:color="auto"/>
            </w:tcBorders>
            <w:shd w:val="clear" w:color="auto" w:fill="auto"/>
            <w:vAlign w:val="center"/>
            <w:hideMark/>
          </w:tcPr>
          <w:p w14:paraId="29E0E1F4" w14:textId="77777777" w:rsidR="004A0B2E" w:rsidRPr="004A0B2E" w:rsidRDefault="004A0B2E" w:rsidP="004A0B2E">
            <w:pPr>
              <w:jc w:val="right"/>
              <w:rPr>
                <w:rFonts w:ascii="Arial Narrow" w:hAnsi="Arial Narrow" w:cs="Arial"/>
                <w:sz w:val="16"/>
                <w:szCs w:val="16"/>
              </w:rPr>
            </w:pPr>
            <w:r w:rsidRPr="004A0B2E">
              <w:rPr>
                <w:rFonts w:ascii="Arial Narrow" w:hAnsi="Arial Narrow" w:cs="Arial"/>
                <w:sz w:val="16"/>
                <w:szCs w:val="16"/>
              </w:rPr>
              <w:t>124,5</w:t>
            </w:r>
          </w:p>
        </w:tc>
        <w:tc>
          <w:tcPr>
            <w:tcW w:w="1132" w:type="dxa"/>
            <w:tcBorders>
              <w:top w:val="nil"/>
              <w:left w:val="nil"/>
              <w:bottom w:val="single" w:sz="4" w:space="0" w:color="auto"/>
              <w:right w:val="single" w:sz="4" w:space="0" w:color="auto"/>
            </w:tcBorders>
            <w:shd w:val="clear" w:color="auto" w:fill="auto"/>
            <w:vAlign w:val="center"/>
            <w:hideMark/>
          </w:tcPr>
          <w:p w14:paraId="334906AA" w14:textId="77777777" w:rsidR="004A0B2E" w:rsidRPr="004A0B2E" w:rsidRDefault="004A0B2E" w:rsidP="004A0B2E">
            <w:pPr>
              <w:jc w:val="right"/>
              <w:rPr>
                <w:rFonts w:ascii="Arial Narrow" w:hAnsi="Arial Narrow" w:cs="Arial"/>
                <w:sz w:val="16"/>
                <w:szCs w:val="16"/>
              </w:rPr>
            </w:pPr>
            <w:r w:rsidRPr="004A0B2E">
              <w:rPr>
                <w:rFonts w:ascii="Arial Narrow" w:hAnsi="Arial Narrow" w:cs="Arial"/>
                <w:sz w:val="16"/>
                <w:szCs w:val="16"/>
              </w:rPr>
              <w:t>124,5</w:t>
            </w:r>
          </w:p>
        </w:tc>
        <w:tc>
          <w:tcPr>
            <w:tcW w:w="1132" w:type="dxa"/>
            <w:tcBorders>
              <w:top w:val="nil"/>
              <w:left w:val="nil"/>
              <w:bottom w:val="single" w:sz="4" w:space="0" w:color="auto"/>
              <w:right w:val="single" w:sz="4" w:space="0" w:color="auto"/>
            </w:tcBorders>
            <w:shd w:val="clear" w:color="auto" w:fill="auto"/>
            <w:vAlign w:val="center"/>
            <w:hideMark/>
          </w:tcPr>
          <w:p w14:paraId="13916401" w14:textId="77777777" w:rsidR="004A0B2E" w:rsidRPr="004A0B2E" w:rsidRDefault="004A0B2E" w:rsidP="004A0B2E">
            <w:pPr>
              <w:rPr>
                <w:rFonts w:ascii="Arial Narrow" w:hAnsi="Arial Narrow" w:cs="Arial"/>
                <w:sz w:val="16"/>
                <w:szCs w:val="16"/>
              </w:rPr>
            </w:pPr>
            <w:r w:rsidRPr="004A0B2E">
              <w:rPr>
                <w:rFonts w:ascii="Arial Narrow" w:hAnsi="Arial Narrow" w:cs="Arial"/>
                <w:sz w:val="16"/>
                <w:szCs w:val="16"/>
              </w:rPr>
              <w:t> </w:t>
            </w:r>
          </w:p>
        </w:tc>
        <w:tc>
          <w:tcPr>
            <w:tcW w:w="1402" w:type="dxa"/>
            <w:tcBorders>
              <w:top w:val="nil"/>
              <w:left w:val="nil"/>
              <w:bottom w:val="single" w:sz="4" w:space="0" w:color="auto"/>
              <w:right w:val="single" w:sz="4" w:space="0" w:color="auto"/>
            </w:tcBorders>
            <w:shd w:val="clear" w:color="auto" w:fill="auto"/>
            <w:vAlign w:val="center"/>
            <w:hideMark/>
          </w:tcPr>
          <w:p w14:paraId="4BB62F56" w14:textId="77777777" w:rsidR="004A0B2E" w:rsidRPr="004A0B2E" w:rsidRDefault="004A0B2E" w:rsidP="004A0B2E">
            <w:pPr>
              <w:rPr>
                <w:rFonts w:ascii="Arial Narrow" w:hAnsi="Arial Narrow" w:cs="Arial"/>
                <w:sz w:val="16"/>
                <w:szCs w:val="16"/>
              </w:rPr>
            </w:pPr>
            <w:r w:rsidRPr="004A0B2E">
              <w:rPr>
                <w:rFonts w:ascii="Arial Narrow" w:hAnsi="Arial Narrow" w:cs="Arial"/>
                <w:sz w:val="16"/>
                <w:szCs w:val="16"/>
              </w:rPr>
              <w:t> </w:t>
            </w:r>
          </w:p>
        </w:tc>
        <w:tc>
          <w:tcPr>
            <w:tcW w:w="1403" w:type="dxa"/>
            <w:tcBorders>
              <w:top w:val="nil"/>
              <w:left w:val="nil"/>
              <w:bottom w:val="single" w:sz="4" w:space="0" w:color="auto"/>
              <w:right w:val="single" w:sz="4" w:space="0" w:color="auto"/>
            </w:tcBorders>
            <w:shd w:val="clear" w:color="auto" w:fill="auto"/>
            <w:vAlign w:val="center"/>
            <w:hideMark/>
          </w:tcPr>
          <w:p w14:paraId="2742E031" w14:textId="77777777" w:rsidR="004A0B2E" w:rsidRPr="004A0B2E" w:rsidRDefault="004A0B2E" w:rsidP="004A0B2E">
            <w:pPr>
              <w:jc w:val="right"/>
              <w:rPr>
                <w:rFonts w:ascii="Arial Narrow" w:hAnsi="Arial Narrow" w:cs="Arial"/>
                <w:sz w:val="16"/>
                <w:szCs w:val="16"/>
              </w:rPr>
            </w:pPr>
            <w:r w:rsidRPr="004A0B2E">
              <w:rPr>
                <w:rFonts w:ascii="Arial Narrow" w:hAnsi="Arial Narrow" w:cs="Arial"/>
                <w:sz w:val="16"/>
                <w:szCs w:val="16"/>
              </w:rPr>
              <w:t>124,5</w:t>
            </w:r>
          </w:p>
        </w:tc>
      </w:tr>
      <w:tr w:rsidR="004A0B2E" w:rsidRPr="004A0B2E" w14:paraId="56F3583D" w14:textId="77777777" w:rsidTr="005A18A5">
        <w:trPr>
          <w:trHeight w:val="307"/>
        </w:trPr>
        <w:tc>
          <w:tcPr>
            <w:tcW w:w="4191" w:type="dxa"/>
            <w:tcBorders>
              <w:top w:val="nil"/>
              <w:left w:val="single" w:sz="4" w:space="0" w:color="auto"/>
              <w:bottom w:val="single" w:sz="4" w:space="0" w:color="auto"/>
              <w:right w:val="single" w:sz="4" w:space="0" w:color="auto"/>
            </w:tcBorders>
            <w:shd w:val="clear" w:color="auto" w:fill="auto"/>
            <w:vAlign w:val="center"/>
            <w:hideMark/>
          </w:tcPr>
          <w:p w14:paraId="42B75CDB" w14:textId="77777777" w:rsidR="004A0B2E" w:rsidRPr="004A0B2E" w:rsidRDefault="004A0B2E" w:rsidP="004A0B2E">
            <w:pPr>
              <w:ind w:firstLineChars="200" w:firstLine="320"/>
              <w:rPr>
                <w:rFonts w:ascii="Arial Narrow" w:hAnsi="Arial Narrow" w:cs="Calibri"/>
                <w:sz w:val="16"/>
                <w:szCs w:val="16"/>
              </w:rPr>
            </w:pPr>
            <w:r w:rsidRPr="004A0B2E">
              <w:rPr>
                <w:rFonts w:ascii="Arial Narrow" w:hAnsi="Arial Narrow" w:cs="Calibri"/>
                <w:sz w:val="16"/>
                <w:szCs w:val="16"/>
              </w:rPr>
              <w:t>- газ</w:t>
            </w:r>
          </w:p>
        </w:tc>
        <w:tc>
          <w:tcPr>
            <w:tcW w:w="1301" w:type="dxa"/>
            <w:tcBorders>
              <w:top w:val="nil"/>
              <w:left w:val="nil"/>
              <w:bottom w:val="single" w:sz="4" w:space="0" w:color="auto"/>
              <w:right w:val="single" w:sz="4" w:space="0" w:color="auto"/>
            </w:tcBorders>
            <w:shd w:val="clear" w:color="auto" w:fill="auto"/>
            <w:vAlign w:val="center"/>
            <w:hideMark/>
          </w:tcPr>
          <w:p w14:paraId="0F720F9C" w14:textId="77777777" w:rsidR="004A0B2E" w:rsidRPr="004A0B2E" w:rsidRDefault="004A0B2E" w:rsidP="004A0B2E">
            <w:pPr>
              <w:jc w:val="right"/>
              <w:rPr>
                <w:rFonts w:ascii="Arial Narrow" w:hAnsi="Arial Narrow" w:cs="Arial"/>
                <w:sz w:val="16"/>
                <w:szCs w:val="16"/>
              </w:rPr>
            </w:pPr>
            <w:r w:rsidRPr="004A0B2E">
              <w:rPr>
                <w:rFonts w:ascii="Arial Narrow" w:hAnsi="Arial Narrow" w:cs="Arial"/>
                <w:sz w:val="16"/>
                <w:szCs w:val="16"/>
              </w:rPr>
              <w:t>40,7</w:t>
            </w:r>
          </w:p>
        </w:tc>
        <w:tc>
          <w:tcPr>
            <w:tcW w:w="1132" w:type="dxa"/>
            <w:tcBorders>
              <w:top w:val="nil"/>
              <w:left w:val="nil"/>
              <w:bottom w:val="single" w:sz="4" w:space="0" w:color="auto"/>
              <w:right w:val="single" w:sz="4" w:space="0" w:color="auto"/>
            </w:tcBorders>
            <w:shd w:val="clear" w:color="auto" w:fill="auto"/>
            <w:vAlign w:val="center"/>
            <w:hideMark/>
          </w:tcPr>
          <w:p w14:paraId="25CD832E" w14:textId="77777777" w:rsidR="004A0B2E" w:rsidRPr="004A0B2E" w:rsidRDefault="004A0B2E" w:rsidP="004A0B2E">
            <w:pPr>
              <w:jc w:val="right"/>
              <w:rPr>
                <w:rFonts w:ascii="Arial Narrow" w:hAnsi="Arial Narrow" w:cs="Arial"/>
                <w:sz w:val="16"/>
                <w:szCs w:val="16"/>
              </w:rPr>
            </w:pPr>
            <w:r w:rsidRPr="004A0B2E">
              <w:rPr>
                <w:rFonts w:ascii="Arial Narrow" w:hAnsi="Arial Narrow" w:cs="Arial"/>
                <w:sz w:val="16"/>
                <w:szCs w:val="16"/>
              </w:rPr>
              <w:t>40,7</w:t>
            </w:r>
          </w:p>
        </w:tc>
        <w:tc>
          <w:tcPr>
            <w:tcW w:w="1132" w:type="dxa"/>
            <w:tcBorders>
              <w:top w:val="nil"/>
              <w:left w:val="nil"/>
              <w:bottom w:val="single" w:sz="4" w:space="0" w:color="auto"/>
              <w:right w:val="single" w:sz="4" w:space="0" w:color="auto"/>
            </w:tcBorders>
            <w:shd w:val="clear" w:color="auto" w:fill="auto"/>
            <w:vAlign w:val="center"/>
            <w:hideMark/>
          </w:tcPr>
          <w:p w14:paraId="582E3554" w14:textId="77777777" w:rsidR="004A0B2E" w:rsidRPr="004A0B2E" w:rsidRDefault="004A0B2E" w:rsidP="004A0B2E">
            <w:pPr>
              <w:rPr>
                <w:rFonts w:ascii="Arial Narrow" w:hAnsi="Arial Narrow" w:cs="Arial"/>
                <w:sz w:val="16"/>
                <w:szCs w:val="16"/>
              </w:rPr>
            </w:pPr>
            <w:r w:rsidRPr="004A0B2E">
              <w:rPr>
                <w:rFonts w:ascii="Arial Narrow" w:hAnsi="Arial Narrow" w:cs="Arial"/>
                <w:sz w:val="16"/>
                <w:szCs w:val="16"/>
              </w:rPr>
              <w:t> </w:t>
            </w:r>
          </w:p>
        </w:tc>
        <w:tc>
          <w:tcPr>
            <w:tcW w:w="1402" w:type="dxa"/>
            <w:tcBorders>
              <w:top w:val="nil"/>
              <w:left w:val="nil"/>
              <w:bottom w:val="single" w:sz="4" w:space="0" w:color="auto"/>
              <w:right w:val="single" w:sz="4" w:space="0" w:color="auto"/>
            </w:tcBorders>
            <w:shd w:val="clear" w:color="auto" w:fill="auto"/>
            <w:vAlign w:val="center"/>
            <w:hideMark/>
          </w:tcPr>
          <w:p w14:paraId="7FC0CB80" w14:textId="77777777" w:rsidR="004A0B2E" w:rsidRPr="004A0B2E" w:rsidRDefault="004A0B2E" w:rsidP="004A0B2E">
            <w:pPr>
              <w:rPr>
                <w:rFonts w:ascii="Arial Narrow" w:hAnsi="Arial Narrow" w:cs="Arial"/>
                <w:sz w:val="16"/>
                <w:szCs w:val="16"/>
              </w:rPr>
            </w:pPr>
            <w:r w:rsidRPr="004A0B2E">
              <w:rPr>
                <w:rFonts w:ascii="Arial Narrow" w:hAnsi="Arial Narrow" w:cs="Arial"/>
                <w:sz w:val="16"/>
                <w:szCs w:val="16"/>
              </w:rPr>
              <w:t> </w:t>
            </w:r>
          </w:p>
        </w:tc>
        <w:tc>
          <w:tcPr>
            <w:tcW w:w="1403" w:type="dxa"/>
            <w:tcBorders>
              <w:top w:val="nil"/>
              <w:left w:val="nil"/>
              <w:bottom w:val="single" w:sz="4" w:space="0" w:color="auto"/>
              <w:right w:val="single" w:sz="4" w:space="0" w:color="auto"/>
            </w:tcBorders>
            <w:shd w:val="clear" w:color="auto" w:fill="auto"/>
            <w:vAlign w:val="center"/>
            <w:hideMark/>
          </w:tcPr>
          <w:p w14:paraId="224BF499" w14:textId="77777777" w:rsidR="004A0B2E" w:rsidRPr="004A0B2E" w:rsidRDefault="004A0B2E" w:rsidP="004A0B2E">
            <w:pPr>
              <w:jc w:val="right"/>
              <w:rPr>
                <w:rFonts w:ascii="Arial Narrow" w:hAnsi="Arial Narrow" w:cs="Arial"/>
                <w:sz w:val="16"/>
                <w:szCs w:val="16"/>
              </w:rPr>
            </w:pPr>
            <w:r w:rsidRPr="004A0B2E">
              <w:rPr>
                <w:rFonts w:ascii="Arial Narrow" w:hAnsi="Arial Narrow" w:cs="Arial"/>
                <w:sz w:val="16"/>
                <w:szCs w:val="16"/>
              </w:rPr>
              <w:t>40,7</w:t>
            </w:r>
          </w:p>
        </w:tc>
      </w:tr>
      <w:tr w:rsidR="004A0B2E" w:rsidRPr="004A0B2E" w14:paraId="0FD3DD40" w14:textId="77777777" w:rsidTr="005A18A5">
        <w:trPr>
          <w:trHeight w:val="307"/>
        </w:trPr>
        <w:tc>
          <w:tcPr>
            <w:tcW w:w="4191" w:type="dxa"/>
            <w:tcBorders>
              <w:top w:val="nil"/>
              <w:left w:val="single" w:sz="4" w:space="0" w:color="auto"/>
              <w:bottom w:val="single" w:sz="4" w:space="0" w:color="auto"/>
              <w:right w:val="single" w:sz="4" w:space="0" w:color="auto"/>
            </w:tcBorders>
            <w:shd w:val="clear" w:color="auto" w:fill="auto"/>
            <w:vAlign w:val="center"/>
            <w:hideMark/>
          </w:tcPr>
          <w:p w14:paraId="508D0103" w14:textId="77777777" w:rsidR="004A0B2E" w:rsidRPr="004A0B2E" w:rsidRDefault="004A0B2E" w:rsidP="004A0B2E">
            <w:pPr>
              <w:ind w:firstLineChars="200" w:firstLine="320"/>
              <w:rPr>
                <w:rFonts w:ascii="Arial Narrow" w:hAnsi="Arial Narrow" w:cs="Calibri"/>
                <w:sz w:val="16"/>
                <w:szCs w:val="16"/>
              </w:rPr>
            </w:pPr>
            <w:r w:rsidRPr="004A0B2E">
              <w:rPr>
                <w:rFonts w:ascii="Arial Narrow" w:hAnsi="Arial Narrow" w:cs="Calibri"/>
                <w:sz w:val="16"/>
                <w:szCs w:val="16"/>
              </w:rPr>
              <w:t>- други горива</w:t>
            </w:r>
          </w:p>
        </w:tc>
        <w:tc>
          <w:tcPr>
            <w:tcW w:w="1301" w:type="dxa"/>
            <w:tcBorders>
              <w:top w:val="nil"/>
              <w:left w:val="nil"/>
              <w:bottom w:val="single" w:sz="4" w:space="0" w:color="auto"/>
              <w:right w:val="single" w:sz="4" w:space="0" w:color="auto"/>
            </w:tcBorders>
            <w:shd w:val="clear" w:color="auto" w:fill="auto"/>
            <w:vAlign w:val="center"/>
            <w:hideMark/>
          </w:tcPr>
          <w:p w14:paraId="4C6CBCA9" w14:textId="77777777" w:rsidR="004A0B2E" w:rsidRPr="004A0B2E" w:rsidRDefault="004A0B2E" w:rsidP="004A0B2E">
            <w:pPr>
              <w:jc w:val="right"/>
              <w:rPr>
                <w:rFonts w:ascii="Arial Narrow" w:hAnsi="Arial Narrow" w:cs="Arial"/>
                <w:sz w:val="16"/>
                <w:szCs w:val="16"/>
              </w:rPr>
            </w:pPr>
            <w:r w:rsidRPr="004A0B2E">
              <w:rPr>
                <w:rFonts w:ascii="Arial Narrow" w:hAnsi="Arial Narrow" w:cs="Arial"/>
                <w:sz w:val="16"/>
                <w:szCs w:val="16"/>
              </w:rPr>
              <w:t>877,6</w:t>
            </w:r>
          </w:p>
        </w:tc>
        <w:tc>
          <w:tcPr>
            <w:tcW w:w="1132" w:type="dxa"/>
            <w:tcBorders>
              <w:top w:val="nil"/>
              <w:left w:val="nil"/>
              <w:bottom w:val="single" w:sz="4" w:space="0" w:color="auto"/>
              <w:right w:val="single" w:sz="4" w:space="0" w:color="auto"/>
            </w:tcBorders>
            <w:shd w:val="clear" w:color="auto" w:fill="auto"/>
            <w:vAlign w:val="center"/>
            <w:hideMark/>
          </w:tcPr>
          <w:p w14:paraId="028E80CE" w14:textId="77777777" w:rsidR="004A0B2E" w:rsidRPr="004A0B2E" w:rsidRDefault="004A0B2E" w:rsidP="004A0B2E">
            <w:pPr>
              <w:jc w:val="right"/>
              <w:rPr>
                <w:rFonts w:ascii="Arial Narrow" w:hAnsi="Arial Narrow" w:cs="Arial"/>
                <w:sz w:val="16"/>
                <w:szCs w:val="16"/>
              </w:rPr>
            </w:pPr>
            <w:r w:rsidRPr="004A0B2E">
              <w:rPr>
                <w:rFonts w:ascii="Arial Narrow" w:hAnsi="Arial Narrow" w:cs="Arial"/>
                <w:sz w:val="16"/>
                <w:szCs w:val="16"/>
              </w:rPr>
              <w:t>877,6</w:t>
            </w:r>
          </w:p>
        </w:tc>
        <w:tc>
          <w:tcPr>
            <w:tcW w:w="1132" w:type="dxa"/>
            <w:tcBorders>
              <w:top w:val="nil"/>
              <w:left w:val="nil"/>
              <w:bottom w:val="single" w:sz="4" w:space="0" w:color="auto"/>
              <w:right w:val="single" w:sz="4" w:space="0" w:color="auto"/>
            </w:tcBorders>
            <w:shd w:val="clear" w:color="auto" w:fill="auto"/>
            <w:vAlign w:val="center"/>
            <w:hideMark/>
          </w:tcPr>
          <w:p w14:paraId="2FF01768" w14:textId="77777777" w:rsidR="004A0B2E" w:rsidRPr="004A0B2E" w:rsidRDefault="004A0B2E" w:rsidP="004A0B2E">
            <w:pPr>
              <w:rPr>
                <w:rFonts w:ascii="Arial Narrow" w:hAnsi="Arial Narrow" w:cs="Arial"/>
                <w:sz w:val="16"/>
                <w:szCs w:val="16"/>
              </w:rPr>
            </w:pPr>
            <w:r w:rsidRPr="004A0B2E">
              <w:rPr>
                <w:rFonts w:ascii="Arial Narrow" w:hAnsi="Arial Narrow" w:cs="Arial"/>
                <w:sz w:val="16"/>
                <w:szCs w:val="16"/>
              </w:rPr>
              <w:t> </w:t>
            </w:r>
          </w:p>
        </w:tc>
        <w:tc>
          <w:tcPr>
            <w:tcW w:w="1402" w:type="dxa"/>
            <w:tcBorders>
              <w:top w:val="nil"/>
              <w:left w:val="nil"/>
              <w:bottom w:val="single" w:sz="4" w:space="0" w:color="auto"/>
              <w:right w:val="single" w:sz="4" w:space="0" w:color="auto"/>
            </w:tcBorders>
            <w:shd w:val="clear" w:color="auto" w:fill="auto"/>
            <w:vAlign w:val="center"/>
            <w:hideMark/>
          </w:tcPr>
          <w:p w14:paraId="28BECFF2" w14:textId="77777777" w:rsidR="004A0B2E" w:rsidRPr="004A0B2E" w:rsidRDefault="004A0B2E" w:rsidP="004A0B2E">
            <w:pPr>
              <w:rPr>
                <w:rFonts w:ascii="Arial Narrow" w:hAnsi="Arial Narrow" w:cs="Arial"/>
                <w:sz w:val="16"/>
                <w:szCs w:val="16"/>
              </w:rPr>
            </w:pPr>
            <w:r w:rsidRPr="004A0B2E">
              <w:rPr>
                <w:rFonts w:ascii="Arial Narrow" w:hAnsi="Arial Narrow" w:cs="Arial"/>
                <w:sz w:val="16"/>
                <w:szCs w:val="16"/>
              </w:rPr>
              <w:t> </w:t>
            </w:r>
          </w:p>
        </w:tc>
        <w:tc>
          <w:tcPr>
            <w:tcW w:w="1403" w:type="dxa"/>
            <w:tcBorders>
              <w:top w:val="nil"/>
              <w:left w:val="nil"/>
              <w:bottom w:val="single" w:sz="4" w:space="0" w:color="auto"/>
              <w:right w:val="single" w:sz="4" w:space="0" w:color="auto"/>
            </w:tcBorders>
            <w:shd w:val="clear" w:color="auto" w:fill="auto"/>
            <w:vAlign w:val="center"/>
            <w:hideMark/>
          </w:tcPr>
          <w:p w14:paraId="3B3C3541" w14:textId="77777777" w:rsidR="004A0B2E" w:rsidRPr="004A0B2E" w:rsidRDefault="004A0B2E" w:rsidP="004A0B2E">
            <w:pPr>
              <w:jc w:val="right"/>
              <w:rPr>
                <w:rFonts w:ascii="Arial Narrow" w:hAnsi="Arial Narrow" w:cs="Arial"/>
                <w:sz w:val="16"/>
                <w:szCs w:val="16"/>
              </w:rPr>
            </w:pPr>
            <w:r w:rsidRPr="004A0B2E">
              <w:rPr>
                <w:rFonts w:ascii="Arial Narrow" w:hAnsi="Arial Narrow" w:cs="Arial"/>
                <w:sz w:val="16"/>
                <w:szCs w:val="16"/>
              </w:rPr>
              <w:t>877,6</w:t>
            </w:r>
          </w:p>
        </w:tc>
      </w:tr>
      <w:tr w:rsidR="004A0B2E" w:rsidRPr="004A0B2E" w14:paraId="1807F601" w14:textId="77777777" w:rsidTr="005A18A5">
        <w:trPr>
          <w:trHeight w:val="307"/>
        </w:trPr>
        <w:tc>
          <w:tcPr>
            <w:tcW w:w="4191" w:type="dxa"/>
            <w:tcBorders>
              <w:top w:val="nil"/>
              <w:left w:val="single" w:sz="4" w:space="0" w:color="auto"/>
              <w:bottom w:val="single" w:sz="4" w:space="0" w:color="auto"/>
              <w:right w:val="single" w:sz="4" w:space="0" w:color="auto"/>
            </w:tcBorders>
            <w:shd w:val="clear" w:color="auto" w:fill="auto"/>
            <w:vAlign w:val="center"/>
            <w:hideMark/>
          </w:tcPr>
          <w:p w14:paraId="4DDBA389" w14:textId="77777777" w:rsidR="004A0B2E" w:rsidRPr="004A0B2E" w:rsidRDefault="004A0B2E" w:rsidP="004A0B2E">
            <w:pPr>
              <w:ind w:firstLineChars="200" w:firstLine="320"/>
              <w:rPr>
                <w:rFonts w:ascii="Arial Narrow" w:hAnsi="Arial Narrow" w:cs="Calibri"/>
                <w:sz w:val="16"/>
                <w:szCs w:val="16"/>
              </w:rPr>
            </w:pPr>
            <w:r w:rsidRPr="004A0B2E">
              <w:rPr>
                <w:rFonts w:ascii="Arial Narrow" w:hAnsi="Arial Narrow" w:cs="Calibri"/>
                <w:sz w:val="16"/>
                <w:szCs w:val="16"/>
              </w:rPr>
              <w:t>- други</w:t>
            </w:r>
          </w:p>
        </w:tc>
        <w:tc>
          <w:tcPr>
            <w:tcW w:w="1301" w:type="dxa"/>
            <w:tcBorders>
              <w:top w:val="nil"/>
              <w:left w:val="nil"/>
              <w:bottom w:val="single" w:sz="4" w:space="0" w:color="auto"/>
              <w:right w:val="single" w:sz="4" w:space="0" w:color="auto"/>
            </w:tcBorders>
            <w:shd w:val="clear" w:color="auto" w:fill="auto"/>
            <w:vAlign w:val="center"/>
            <w:hideMark/>
          </w:tcPr>
          <w:p w14:paraId="7E1D9CF3" w14:textId="77777777" w:rsidR="004A0B2E" w:rsidRPr="004A0B2E" w:rsidRDefault="004A0B2E" w:rsidP="004A0B2E">
            <w:pPr>
              <w:jc w:val="right"/>
              <w:rPr>
                <w:rFonts w:ascii="Arial Narrow" w:hAnsi="Arial Narrow" w:cs="Arial"/>
                <w:sz w:val="16"/>
                <w:szCs w:val="16"/>
              </w:rPr>
            </w:pPr>
            <w:r w:rsidRPr="004A0B2E">
              <w:rPr>
                <w:rFonts w:ascii="Arial Narrow" w:hAnsi="Arial Narrow" w:cs="Arial"/>
                <w:sz w:val="16"/>
                <w:szCs w:val="16"/>
              </w:rPr>
              <w:t>8,2</w:t>
            </w:r>
          </w:p>
        </w:tc>
        <w:tc>
          <w:tcPr>
            <w:tcW w:w="1132" w:type="dxa"/>
            <w:tcBorders>
              <w:top w:val="nil"/>
              <w:left w:val="nil"/>
              <w:bottom w:val="single" w:sz="4" w:space="0" w:color="auto"/>
              <w:right w:val="single" w:sz="4" w:space="0" w:color="auto"/>
            </w:tcBorders>
            <w:shd w:val="clear" w:color="auto" w:fill="auto"/>
            <w:vAlign w:val="center"/>
            <w:hideMark/>
          </w:tcPr>
          <w:p w14:paraId="511B22D8" w14:textId="77777777" w:rsidR="004A0B2E" w:rsidRPr="004A0B2E" w:rsidRDefault="004A0B2E" w:rsidP="004A0B2E">
            <w:pPr>
              <w:jc w:val="right"/>
              <w:rPr>
                <w:rFonts w:ascii="Arial Narrow" w:hAnsi="Arial Narrow" w:cs="Arial"/>
                <w:sz w:val="16"/>
                <w:szCs w:val="16"/>
              </w:rPr>
            </w:pPr>
            <w:r w:rsidRPr="004A0B2E">
              <w:rPr>
                <w:rFonts w:ascii="Arial Narrow" w:hAnsi="Arial Narrow" w:cs="Arial"/>
                <w:sz w:val="16"/>
                <w:szCs w:val="16"/>
              </w:rPr>
              <w:t>8,2</w:t>
            </w:r>
          </w:p>
        </w:tc>
        <w:tc>
          <w:tcPr>
            <w:tcW w:w="1132" w:type="dxa"/>
            <w:tcBorders>
              <w:top w:val="nil"/>
              <w:left w:val="nil"/>
              <w:bottom w:val="single" w:sz="4" w:space="0" w:color="auto"/>
              <w:right w:val="single" w:sz="4" w:space="0" w:color="auto"/>
            </w:tcBorders>
            <w:shd w:val="clear" w:color="auto" w:fill="auto"/>
            <w:vAlign w:val="center"/>
            <w:hideMark/>
          </w:tcPr>
          <w:p w14:paraId="19148905" w14:textId="77777777" w:rsidR="004A0B2E" w:rsidRPr="004A0B2E" w:rsidRDefault="004A0B2E" w:rsidP="004A0B2E">
            <w:pPr>
              <w:rPr>
                <w:rFonts w:ascii="Arial Narrow" w:hAnsi="Arial Narrow" w:cs="Arial"/>
                <w:sz w:val="16"/>
                <w:szCs w:val="16"/>
              </w:rPr>
            </w:pPr>
            <w:r w:rsidRPr="004A0B2E">
              <w:rPr>
                <w:rFonts w:ascii="Arial Narrow" w:hAnsi="Arial Narrow" w:cs="Arial"/>
                <w:sz w:val="16"/>
                <w:szCs w:val="16"/>
              </w:rPr>
              <w:t> </w:t>
            </w:r>
          </w:p>
        </w:tc>
        <w:tc>
          <w:tcPr>
            <w:tcW w:w="1402" w:type="dxa"/>
            <w:tcBorders>
              <w:top w:val="nil"/>
              <w:left w:val="nil"/>
              <w:bottom w:val="single" w:sz="4" w:space="0" w:color="auto"/>
              <w:right w:val="single" w:sz="4" w:space="0" w:color="auto"/>
            </w:tcBorders>
            <w:shd w:val="clear" w:color="auto" w:fill="auto"/>
            <w:vAlign w:val="center"/>
            <w:hideMark/>
          </w:tcPr>
          <w:p w14:paraId="43D94268" w14:textId="77777777" w:rsidR="004A0B2E" w:rsidRPr="004A0B2E" w:rsidRDefault="004A0B2E" w:rsidP="004A0B2E">
            <w:pPr>
              <w:rPr>
                <w:rFonts w:ascii="Arial Narrow" w:hAnsi="Arial Narrow" w:cs="Arial"/>
                <w:sz w:val="16"/>
                <w:szCs w:val="16"/>
              </w:rPr>
            </w:pPr>
            <w:r w:rsidRPr="004A0B2E">
              <w:rPr>
                <w:rFonts w:ascii="Arial Narrow" w:hAnsi="Arial Narrow" w:cs="Arial"/>
                <w:sz w:val="16"/>
                <w:szCs w:val="16"/>
              </w:rPr>
              <w:t> </w:t>
            </w:r>
          </w:p>
        </w:tc>
        <w:tc>
          <w:tcPr>
            <w:tcW w:w="1403" w:type="dxa"/>
            <w:tcBorders>
              <w:top w:val="nil"/>
              <w:left w:val="nil"/>
              <w:bottom w:val="single" w:sz="4" w:space="0" w:color="auto"/>
              <w:right w:val="single" w:sz="4" w:space="0" w:color="auto"/>
            </w:tcBorders>
            <w:shd w:val="clear" w:color="auto" w:fill="auto"/>
            <w:vAlign w:val="center"/>
            <w:hideMark/>
          </w:tcPr>
          <w:p w14:paraId="00D57577" w14:textId="77777777" w:rsidR="004A0B2E" w:rsidRPr="004A0B2E" w:rsidRDefault="004A0B2E" w:rsidP="004A0B2E">
            <w:pPr>
              <w:jc w:val="right"/>
              <w:rPr>
                <w:rFonts w:ascii="Arial Narrow" w:hAnsi="Arial Narrow" w:cs="Arial"/>
                <w:sz w:val="16"/>
                <w:szCs w:val="16"/>
              </w:rPr>
            </w:pPr>
            <w:r w:rsidRPr="004A0B2E">
              <w:rPr>
                <w:rFonts w:ascii="Arial Narrow" w:hAnsi="Arial Narrow" w:cs="Arial"/>
                <w:sz w:val="16"/>
                <w:szCs w:val="16"/>
              </w:rPr>
              <w:t>8,2</w:t>
            </w:r>
          </w:p>
        </w:tc>
      </w:tr>
      <w:tr w:rsidR="004A0B2E" w:rsidRPr="004A0B2E" w14:paraId="714FBB8C" w14:textId="77777777" w:rsidTr="005A18A5">
        <w:trPr>
          <w:trHeight w:val="307"/>
        </w:trPr>
        <w:tc>
          <w:tcPr>
            <w:tcW w:w="4191" w:type="dxa"/>
            <w:tcBorders>
              <w:top w:val="nil"/>
              <w:left w:val="single" w:sz="4" w:space="0" w:color="auto"/>
              <w:bottom w:val="single" w:sz="4" w:space="0" w:color="auto"/>
              <w:right w:val="single" w:sz="4" w:space="0" w:color="auto"/>
            </w:tcBorders>
            <w:shd w:val="clear" w:color="auto" w:fill="auto"/>
            <w:vAlign w:val="center"/>
            <w:hideMark/>
          </w:tcPr>
          <w:p w14:paraId="04753872" w14:textId="77777777" w:rsidR="004A0B2E" w:rsidRPr="004A0B2E" w:rsidRDefault="004A0B2E" w:rsidP="004A0B2E">
            <w:pPr>
              <w:ind w:firstLineChars="100" w:firstLine="160"/>
              <w:rPr>
                <w:rFonts w:ascii="Arial Narrow" w:hAnsi="Arial Narrow" w:cs="Calibri"/>
                <w:sz w:val="16"/>
                <w:szCs w:val="16"/>
              </w:rPr>
            </w:pPr>
            <w:r w:rsidRPr="004A0B2E">
              <w:rPr>
                <w:rFonts w:ascii="Arial Narrow" w:hAnsi="Arial Narrow" w:cs="Calibri"/>
                <w:sz w:val="16"/>
                <w:szCs w:val="16"/>
              </w:rPr>
              <w:t>Торове и почвени подобрители</w:t>
            </w:r>
          </w:p>
        </w:tc>
        <w:tc>
          <w:tcPr>
            <w:tcW w:w="1301" w:type="dxa"/>
            <w:tcBorders>
              <w:top w:val="nil"/>
              <w:left w:val="nil"/>
              <w:bottom w:val="single" w:sz="4" w:space="0" w:color="auto"/>
              <w:right w:val="single" w:sz="4" w:space="0" w:color="auto"/>
            </w:tcBorders>
            <w:shd w:val="clear" w:color="auto" w:fill="auto"/>
            <w:vAlign w:val="center"/>
            <w:hideMark/>
          </w:tcPr>
          <w:p w14:paraId="20030F3F" w14:textId="77777777" w:rsidR="004A0B2E" w:rsidRPr="004A0B2E" w:rsidRDefault="004A0B2E" w:rsidP="004A0B2E">
            <w:pPr>
              <w:jc w:val="right"/>
              <w:rPr>
                <w:rFonts w:ascii="Arial Narrow" w:hAnsi="Arial Narrow" w:cs="Arial"/>
                <w:sz w:val="16"/>
                <w:szCs w:val="16"/>
              </w:rPr>
            </w:pPr>
            <w:r w:rsidRPr="004A0B2E">
              <w:rPr>
                <w:rFonts w:ascii="Arial Narrow" w:hAnsi="Arial Narrow" w:cs="Arial"/>
                <w:sz w:val="16"/>
                <w:szCs w:val="16"/>
              </w:rPr>
              <w:t>950,1</w:t>
            </w:r>
          </w:p>
        </w:tc>
        <w:tc>
          <w:tcPr>
            <w:tcW w:w="1132" w:type="dxa"/>
            <w:tcBorders>
              <w:top w:val="nil"/>
              <w:left w:val="nil"/>
              <w:bottom w:val="single" w:sz="4" w:space="0" w:color="auto"/>
              <w:right w:val="single" w:sz="4" w:space="0" w:color="auto"/>
            </w:tcBorders>
            <w:shd w:val="clear" w:color="auto" w:fill="auto"/>
            <w:vAlign w:val="center"/>
            <w:hideMark/>
          </w:tcPr>
          <w:p w14:paraId="306CAAF5" w14:textId="77777777" w:rsidR="004A0B2E" w:rsidRPr="004A0B2E" w:rsidRDefault="004A0B2E" w:rsidP="004A0B2E">
            <w:pPr>
              <w:jc w:val="right"/>
              <w:rPr>
                <w:rFonts w:ascii="Arial Narrow" w:hAnsi="Arial Narrow" w:cs="Arial"/>
                <w:sz w:val="16"/>
                <w:szCs w:val="16"/>
              </w:rPr>
            </w:pPr>
            <w:r w:rsidRPr="004A0B2E">
              <w:rPr>
                <w:rFonts w:ascii="Arial Narrow" w:hAnsi="Arial Narrow" w:cs="Arial"/>
                <w:sz w:val="16"/>
                <w:szCs w:val="16"/>
              </w:rPr>
              <w:t>950,1</w:t>
            </w:r>
          </w:p>
        </w:tc>
        <w:tc>
          <w:tcPr>
            <w:tcW w:w="1132" w:type="dxa"/>
            <w:tcBorders>
              <w:top w:val="nil"/>
              <w:left w:val="nil"/>
              <w:bottom w:val="single" w:sz="4" w:space="0" w:color="auto"/>
              <w:right w:val="single" w:sz="4" w:space="0" w:color="auto"/>
            </w:tcBorders>
            <w:shd w:val="clear" w:color="auto" w:fill="auto"/>
            <w:vAlign w:val="center"/>
            <w:hideMark/>
          </w:tcPr>
          <w:p w14:paraId="53E74AA3" w14:textId="77777777" w:rsidR="004A0B2E" w:rsidRPr="004A0B2E" w:rsidRDefault="004A0B2E" w:rsidP="004A0B2E">
            <w:pPr>
              <w:rPr>
                <w:rFonts w:ascii="Arial Narrow" w:hAnsi="Arial Narrow" w:cs="Arial"/>
                <w:sz w:val="16"/>
                <w:szCs w:val="16"/>
              </w:rPr>
            </w:pPr>
            <w:r w:rsidRPr="004A0B2E">
              <w:rPr>
                <w:rFonts w:ascii="Arial Narrow" w:hAnsi="Arial Narrow" w:cs="Arial"/>
                <w:sz w:val="16"/>
                <w:szCs w:val="16"/>
              </w:rPr>
              <w:t> </w:t>
            </w:r>
          </w:p>
        </w:tc>
        <w:tc>
          <w:tcPr>
            <w:tcW w:w="1402" w:type="dxa"/>
            <w:tcBorders>
              <w:top w:val="nil"/>
              <w:left w:val="nil"/>
              <w:bottom w:val="single" w:sz="4" w:space="0" w:color="auto"/>
              <w:right w:val="single" w:sz="4" w:space="0" w:color="auto"/>
            </w:tcBorders>
            <w:shd w:val="clear" w:color="auto" w:fill="auto"/>
            <w:vAlign w:val="center"/>
            <w:hideMark/>
          </w:tcPr>
          <w:p w14:paraId="6B27384D" w14:textId="77777777" w:rsidR="004A0B2E" w:rsidRPr="004A0B2E" w:rsidRDefault="004A0B2E" w:rsidP="004A0B2E">
            <w:pPr>
              <w:jc w:val="right"/>
              <w:rPr>
                <w:rFonts w:ascii="Arial Narrow" w:hAnsi="Arial Narrow" w:cs="Arial"/>
                <w:sz w:val="16"/>
                <w:szCs w:val="16"/>
              </w:rPr>
            </w:pPr>
            <w:r w:rsidRPr="004A0B2E">
              <w:rPr>
                <w:rFonts w:ascii="Arial Narrow" w:hAnsi="Arial Narrow" w:cs="Arial"/>
                <w:sz w:val="16"/>
                <w:szCs w:val="16"/>
              </w:rPr>
              <w:t>26,9</w:t>
            </w:r>
          </w:p>
        </w:tc>
        <w:tc>
          <w:tcPr>
            <w:tcW w:w="1403" w:type="dxa"/>
            <w:tcBorders>
              <w:top w:val="nil"/>
              <w:left w:val="nil"/>
              <w:bottom w:val="single" w:sz="4" w:space="0" w:color="auto"/>
              <w:right w:val="single" w:sz="4" w:space="0" w:color="auto"/>
            </w:tcBorders>
            <w:shd w:val="clear" w:color="auto" w:fill="auto"/>
            <w:vAlign w:val="center"/>
            <w:hideMark/>
          </w:tcPr>
          <w:p w14:paraId="5AA7C57A" w14:textId="77777777" w:rsidR="004A0B2E" w:rsidRPr="004A0B2E" w:rsidRDefault="004A0B2E" w:rsidP="004A0B2E">
            <w:pPr>
              <w:jc w:val="right"/>
              <w:rPr>
                <w:rFonts w:ascii="Arial Narrow" w:hAnsi="Arial Narrow" w:cs="Arial"/>
                <w:sz w:val="16"/>
                <w:szCs w:val="16"/>
              </w:rPr>
            </w:pPr>
            <w:r w:rsidRPr="004A0B2E">
              <w:rPr>
                <w:rFonts w:ascii="Arial Narrow" w:hAnsi="Arial Narrow" w:cs="Arial"/>
                <w:sz w:val="16"/>
                <w:szCs w:val="16"/>
              </w:rPr>
              <w:t>923,2</w:t>
            </w:r>
          </w:p>
        </w:tc>
      </w:tr>
      <w:tr w:rsidR="004A0B2E" w:rsidRPr="004A0B2E" w14:paraId="4AEBB3F8" w14:textId="77777777" w:rsidTr="005A18A5">
        <w:trPr>
          <w:trHeight w:val="307"/>
        </w:trPr>
        <w:tc>
          <w:tcPr>
            <w:tcW w:w="4191" w:type="dxa"/>
            <w:tcBorders>
              <w:top w:val="nil"/>
              <w:left w:val="single" w:sz="4" w:space="0" w:color="auto"/>
              <w:bottom w:val="single" w:sz="4" w:space="0" w:color="auto"/>
              <w:right w:val="single" w:sz="4" w:space="0" w:color="auto"/>
            </w:tcBorders>
            <w:shd w:val="clear" w:color="auto" w:fill="auto"/>
            <w:vAlign w:val="center"/>
            <w:hideMark/>
          </w:tcPr>
          <w:p w14:paraId="1ADAEF16" w14:textId="77777777" w:rsidR="004A0B2E" w:rsidRPr="004A0B2E" w:rsidRDefault="00C84F46" w:rsidP="004A0B2E">
            <w:pPr>
              <w:ind w:firstLineChars="100" w:firstLine="160"/>
              <w:rPr>
                <w:rFonts w:ascii="Arial Narrow" w:hAnsi="Arial Narrow" w:cs="Calibri"/>
                <w:sz w:val="16"/>
                <w:szCs w:val="16"/>
              </w:rPr>
            </w:pPr>
            <w:r>
              <w:rPr>
                <w:rFonts w:ascii="Arial Narrow" w:hAnsi="Arial Narrow" w:cs="Calibri"/>
                <w:sz w:val="16"/>
                <w:szCs w:val="16"/>
                <w:lang w:val="bg-BG"/>
              </w:rPr>
              <w:t>Продукти</w:t>
            </w:r>
            <w:r w:rsidRPr="004A0B2E">
              <w:rPr>
                <w:rFonts w:ascii="Arial Narrow" w:hAnsi="Arial Narrow" w:cs="Calibri"/>
                <w:sz w:val="16"/>
                <w:szCs w:val="16"/>
              </w:rPr>
              <w:t xml:space="preserve"> </w:t>
            </w:r>
            <w:r w:rsidR="004A0B2E" w:rsidRPr="004A0B2E">
              <w:rPr>
                <w:rFonts w:ascii="Arial Narrow" w:hAnsi="Arial Narrow" w:cs="Calibri"/>
                <w:sz w:val="16"/>
                <w:szCs w:val="16"/>
              </w:rPr>
              <w:t>за растителна защита и пестициди</w:t>
            </w:r>
          </w:p>
        </w:tc>
        <w:tc>
          <w:tcPr>
            <w:tcW w:w="1301" w:type="dxa"/>
            <w:tcBorders>
              <w:top w:val="nil"/>
              <w:left w:val="nil"/>
              <w:bottom w:val="single" w:sz="4" w:space="0" w:color="auto"/>
              <w:right w:val="single" w:sz="4" w:space="0" w:color="auto"/>
            </w:tcBorders>
            <w:shd w:val="clear" w:color="auto" w:fill="auto"/>
            <w:vAlign w:val="center"/>
            <w:hideMark/>
          </w:tcPr>
          <w:p w14:paraId="5C12D0F8" w14:textId="77777777" w:rsidR="004A0B2E" w:rsidRPr="004A0B2E" w:rsidRDefault="004A0B2E" w:rsidP="004A0B2E">
            <w:pPr>
              <w:jc w:val="right"/>
              <w:rPr>
                <w:rFonts w:ascii="Arial Narrow" w:hAnsi="Arial Narrow" w:cs="Arial"/>
                <w:sz w:val="16"/>
                <w:szCs w:val="16"/>
              </w:rPr>
            </w:pPr>
            <w:r w:rsidRPr="004A0B2E">
              <w:rPr>
                <w:rFonts w:ascii="Arial Narrow" w:hAnsi="Arial Narrow" w:cs="Arial"/>
                <w:sz w:val="16"/>
                <w:szCs w:val="16"/>
              </w:rPr>
              <w:t>506,1</w:t>
            </w:r>
          </w:p>
        </w:tc>
        <w:tc>
          <w:tcPr>
            <w:tcW w:w="1132" w:type="dxa"/>
            <w:tcBorders>
              <w:top w:val="nil"/>
              <w:left w:val="nil"/>
              <w:bottom w:val="single" w:sz="4" w:space="0" w:color="auto"/>
              <w:right w:val="single" w:sz="4" w:space="0" w:color="auto"/>
            </w:tcBorders>
            <w:shd w:val="clear" w:color="auto" w:fill="auto"/>
            <w:vAlign w:val="center"/>
            <w:hideMark/>
          </w:tcPr>
          <w:p w14:paraId="58E799DA" w14:textId="77777777" w:rsidR="004A0B2E" w:rsidRPr="004A0B2E" w:rsidRDefault="004A0B2E" w:rsidP="004A0B2E">
            <w:pPr>
              <w:jc w:val="right"/>
              <w:rPr>
                <w:rFonts w:ascii="Arial Narrow" w:hAnsi="Arial Narrow" w:cs="Arial"/>
                <w:sz w:val="16"/>
                <w:szCs w:val="16"/>
              </w:rPr>
            </w:pPr>
            <w:r w:rsidRPr="004A0B2E">
              <w:rPr>
                <w:rFonts w:ascii="Arial Narrow" w:hAnsi="Arial Narrow" w:cs="Arial"/>
                <w:sz w:val="16"/>
                <w:szCs w:val="16"/>
              </w:rPr>
              <w:t>506,1</w:t>
            </w:r>
          </w:p>
        </w:tc>
        <w:tc>
          <w:tcPr>
            <w:tcW w:w="1132" w:type="dxa"/>
            <w:tcBorders>
              <w:top w:val="nil"/>
              <w:left w:val="nil"/>
              <w:bottom w:val="single" w:sz="4" w:space="0" w:color="auto"/>
              <w:right w:val="single" w:sz="4" w:space="0" w:color="auto"/>
            </w:tcBorders>
            <w:shd w:val="clear" w:color="auto" w:fill="auto"/>
            <w:vAlign w:val="center"/>
            <w:hideMark/>
          </w:tcPr>
          <w:p w14:paraId="48061F47" w14:textId="77777777" w:rsidR="004A0B2E" w:rsidRPr="004A0B2E" w:rsidRDefault="004A0B2E" w:rsidP="004A0B2E">
            <w:pPr>
              <w:rPr>
                <w:rFonts w:ascii="Arial Narrow" w:hAnsi="Arial Narrow" w:cs="Arial"/>
                <w:sz w:val="16"/>
                <w:szCs w:val="16"/>
              </w:rPr>
            </w:pPr>
            <w:r w:rsidRPr="004A0B2E">
              <w:rPr>
                <w:rFonts w:ascii="Arial Narrow" w:hAnsi="Arial Narrow" w:cs="Arial"/>
                <w:sz w:val="16"/>
                <w:szCs w:val="16"/>
              </w:rPr>
              <w:t> </w:t>
            </w:r>
          </w:p>
        </w:tc>
        <w:tc>
          <w:tcPr>
            <w:tcW w:w="1402" w:type="dxa"/>
            <w:tcBorders>
              <w:top w:val="nil"/>
              <w:left w:val="nil"/>
              <w:bottom w:val="single" w:sz="4" w:space="0" w:color="auto"/>
              <w:right w:val="single" w:sz="4" w:space="0" w:color="auto"/>
            </w:tcBorders>
            <w:shd w:val="clear" w:color="auto" w:fill="auto"/>
            <w:vAlign w:val="center"/>
            <w:hideMark/>
          </w:tcPr>
          <w:p w14:paraId="2DEAD3E4" w14:textId="77777777" w:rsidR="004A0B2E" w:rsidRPr="004A0B2E" w:rsidRDefault="004A0B2E" w:rsidP="004A0B2E">
            <w:pPr>
              <w:rPr>
                <w:rFonts w:ascii="Arial Narrow" w:hAnsi="Arial Narrow" w:cs="Arial"/>
                <w:sz w:val="16"/>
                <w:szCs w:val="16"/>
              </w:rPr>
            </w:pPr>
            <w:r w:rsidRPr="004A0B2E">
              <w:rPr>
                <w:rFonts w:ascii="Arial Narrow" w:hAnsi="Arial Narrow" w:cs="Arial"/>
                <w:sz w:val="16"/>
                <w:szCs w:val="16"/>
              </w:rPr>
              <w:t> </w:t>
            </w:r>
          </w:p>
        </w:tc>
        <w:tc>
          <w:tcPr>
            <w:tcW w:w="1403" w:type="dxa"/>
            <w:tcBorders>
              <w:top w:val="nil"/>
              <w:left w:val="nil"/>
              <w:bottom w:val="single" w:sz="4" w:space="0" w:color="auto"/>
              <w:right w:val="single" w:sz="4" w:space="0" w:color="auto"/>
            </w:tcBorders>
            <w:shd w:val="clear" w:color="auto" w:fill="auto"/>
            <w:vAlign w:val="center"/>
            <w:hideMark/>
          </w:tcPr>
          <w:p w14:paraId="24CF974A" w14:textId="77777777" w:rsidR="004A0B2E" w:rsidRPr="004A0B2E" w:rsidRDefault="004A0B2E" w:rsidP="004A0B2E">
            <w:pPr>
              <w:jc w:val="right"/>
              <w:rPr>
                <w:rFonts w:ascii="Arial Narrow" w:hAnsi="Arial Narrow" w:cs="Arial"/>
                <w:sz w:val="16"/>
                <w:szCs w:val="16"/>
              </w:rPr>
            </w:pPr>
            <w:r w:rsidRPr="004A0B2E">
              <w:rPr>
                <w:rFonts w:ascii="Arial Narrow" w:hAnsi="Arial Narrow" w:cs="Arial"/>
                <w:sz w:val="16"/>
                <w:szCs w:val="16"/>
              </w:rPr>
              <w:t>506,1</w:t>
            </w:r>
          </w:p>
        </w:tc>
      </w:tr>
      <w:tr w:rsidR="004A0B2E" w:rsidRPr="004A0B2E" w14:paraId="4E3CD9F5" w14:textId="77777777" w:rsidTr="005A18A5">
        <w:trPr>
          <w:trHeight w:val="307"/>
        </w:trPr>
        <w:tc>
          <w:tcPr>
            <w:tcW w:w="4191" w:type="dxa"/>
            <w:tcBorders>
              <w:top w:val="nil"/>
              <w:left w:val="single" w:sz="4" w:space="0" w:color="auto"/>
              <w:bottom w:val="single" w:sz="4" w:space="0" w:color="auto"/>
              <w:right w:val="single" w:sz="4" w:space="0" w:color="auto"/>
            </w:tcBorders>
            <w:shd w:val="clear" w:color="auto" w:fill="auto"/>
            <w:vAlign w:val="center"/>
            <w:hideMark/>
          </w:tcPr>
          <w:p w14:paraId="4F6412E0" w14:textId="77777777" w:rsidR="004A0B2E" w:rsidRPr="004A0B2E" w:rsidRDefault="004A0B2E" w:rsidP="004A0B2E">
            <w:pPr>
              <w:ind w:firstLineChars="100" w:firstLine="160"/>
              <w:rPr>
                <w:rFonts w:ascii="Arial Narrow" w:hAnsi="Arial Narrow" w:cs="Calibri"/>
                <w:sz w:val="16"/>
                <w:szCs w:val="16"/>
              </w:rPr>
            </w:pPr>
            <w:r w:rsidRPr="004A0B2E">
              <w:rPr>
                <w:rFonts w:ascii="Arial Narrow" w:hAnsi="Arial Narrow" w:cs="Calibri"/>
                <w:sz w:val="16"/>
                <w:szCs w:val="16"/>
              </w:rPr>
              <w:t>Ветеринарни разходи</w:t>
            </w:r>
          </w:p>
        </w:tc>
        <w:tc>
          <w:tcPr>
            <w:tcW w:w="1301" w:type="dxa"/>
            <w:tcBorders>
              <w:top w:val="nil"/>
              <w:left w:val="nil"/>
              <w:bottom w:val="single" w:sz="4" w:space="0" w:color="auto"/>
              <w:right w:val="single" w:sz="4" w:space="0" w:color="auto"/>
            </w:tcBorders>
            <w:shd w:val="clear" w:color="auto" w:fill="auto"/>
            <w:vAlign w:val="center"/>
            <w:hideMark/>
          </w:tcPr>
          <w:p w14:paraId="4D34F6C9" w14:textId="77777777" w:rsidR="004A0B2E" w:rsidRPr="004A0B2E" w:rsidRDefault="004A0B2E" w:rsidP="004A0B2E">
            <w:pPr>
              <w:jc w:val="right"/>
              <w:rPr>
                <w:rFonts w:ascii="Arial Narrow" w:hAnsi="Arial Narrow" w:cs="Arial"/>
                <w:sz w:val="16"/>
                <w:szCs w:val="16"/>
              </w:rPr>
            </w:pPr>
            <w:r w:rsidRPr="004A0B2E">
              <w:rPr>
                <w:rFonts w:ascii="Arial Narrow" w:hAnsi="Arial Narrow" w:cs="Arial"/>
                <w:sz w:val="16"/>
                <w:szCs w:val="16"/>
              </w:rPr>
              <w:t>122,0</w:t>
            </w:r>
          </w:p>
        </w:tc>
        <w:tc>
          <w:tcPr>
            <w:tcW w:w="1132" w:type="dxa"/>
            <w:tcBorders>
              <w:top w:val="nil"/>
              <w:left w:val="nil"/>
              <w:bottom w:val="single" w:sz="4" w:space="0" w:color="auto"/>
              <w:right w:val="single" w:sz="4" w:space="0" w:color="auto"/>
            </w:tcBorders>
            <w:shd w:val="clear" w:color="auto" w:fill="auto"/>
            <w:vAlign w:val="center"/>
            <w:hideMark/>
          </w:tcPr>
          <w:p w14:paraId="03EC6DF1" w14:textId="77777777" w:rsidR="004A0B2E" w:rsidRPr="004A0B2E" w:rsidRDefault="004A0B2E" w:rsidP="004A0B2E">
            <w:pPr>
              <w:jc w:val="right"/>
              <w:rPr>
                <w:rFonts w:ascii="Arial Narrow" w:hAnsi="Arial Narrow" w:cs="Arial"/>
                <w:sz w:val="16"/>
                <w:szCs w:val="16"/>
              </w:rPr>
            </w:pPr>
            <w:r w:rsidRPr="004A0B2E">
              <w:rPr>
                <w:rFonts w:ascii="Arial Narrow" w:hAnsi="Arial Narrow" w:cs="Arial"/>
                <w:sz w:val="16"/>
                <w:szCs w:val="16"/>
              </w:rPr>
              <w:t>122,0</w:t>
            </w:r>
          </w:p>
        </w:tc>
        <w:tc>
          <w:tcPr>
            <w:tcW w:w="1132" w:type="dxa"/>
            <w:tcBorders>
              <w:top w:val="nil"/>
              <w:left w:val="nil"/>
              <w:bottom w:val="single" w:sz="4" w:space="0" w:color="auto"/>
              <w:right w:val="single" w:sz="4" w:space="0" w:color="auto"/>
            </w:tcBorders>
            <w:shd w:val="clear" w:color="auto" w:fill="auto"/>
            <w:vAlign w:val="center"/>
            <w:hideMark/>
          </w:tcPr>
          <w:p w14:paraId="20425FC3" w14:textId="77777777" w:rsidR="004A0B2E" w:rsidRPr="004A0B2E" w:rsidRDefault="004A0B2E" w:rsidP="004A0B2E">
            <w:pPr>
              <w:rPr>
                <w:rFonts w:ascii="Arial Narrow" w:hAnsi="Arial Narrow" w:cs="Arial"/>
                <w:sz w:val="16"/>
                <w:szCs w:val="16"/>
              </w:rPr>
            </w:pPr>
            <w:r w:rsidRPr="004A0B2E">
              <w:rPr>
                <w:rFonts w:ascii="Arial Narrow" w:hAnsi="Arial Narrow" w:cs="Arial"/>
                <w:sz w:val="16"/>
                <w:szCs w:val="16"/>
              </w:rPr>
              <w:t> </w:t>
            </w:r>
          </w:p>
        </w:tc>
        <w:tc>
          <w:tcPr>
            <w:tcW w:w="1402" w:type="dxa"/>
            <w:tcBorders>
              <w:top w:val="nil"/>
              <w:left w:val="nil"/>
              <w:bottom w:val="single" w:sz="4" w:space="0" w:color="auto"/>
              <w:right w:val="single" w:sz="4" w:space="0" w:color="auto"/>
            </w:tcBorders>
            <w:shd w:val="clear" w:color="auto" w:fill="auto"/>
            <w:vAlign w:val="center"/>
            <w:hideMark/>
          </w:tcPr>
          <w:p w14:paraId="2D6091EF" w14:textId="77777777" w:rsidR="004A0B2E" w:rsidRPr="004A0B2E" w:rsidRDefault="004A0B2E" w:rsidP="004A0B2E">
            <w:pPr>
              <w:rPr>
                <w:rFonts w:ascii="Arial Narrow" w:hAnsi="Arial Narrow" w:cs="Arial"/>
                <w:sz w:val="16"/>
                <w:szCs w:val="16"/>
              </w:rPr>
            </w:pPr>
            <w:r w:rsidRPr="004A0B2E">
              <w:rPr>
                <w:rFonts w:ascii="Arial Narrow" w:hAnsi="Arial Narrow" w:cs="Arial"/>
                <w:sz w:val="16"/>
                <w:szCs w:val="16"/>
              </w:rPr>
              <w:t> </w:t>
            </w:r>
          </w:p>
        </w:tc>
        <w:tc>
          <w:tcPr>
            <w:tcW w:w="1403" w:type="dxa"/>
            <w:tcBorders>
              <w:top w:val="nil"/>
              <w:left w:val="nil"/>
              <w:bottom w:val="single" w:sz="4" w:space="0" w:color="auto"/>
              <w:right w:val="single" w:sz="4" w:space="0" w:color="auto"/>
            </w:tcBorders>
            <w:shd w:val="clear" w:color="auto" w:fill="auto"/>
            <w:vAlign w:val="center"/>
            <w:hideMark/>
          </w:tcPr>
          <w:p w14:paraId="6CCB4C59" w14:textId="77777777" w:rsidR="004A0B2E" w:rsidRPr="004A0B2E" w:rsidRDefault="004A0B2E" w:rsidP="004A0B2E">
            <w:pPr>
              <w:jc w:val="right"/>
              <w:rPr>
                <w:rFonts w:ascii="Arial Narrow" w:hAnsi="Arial Narrow" w:cs="Arial"/>
                <w:sz w:val="16"/>
                <w:szCs w:val="16"/>
              </w:rPr>
            </w:pPr>
            <w:r w:rsidRPr="004A0B2E">
              <w:rPr>
                <w:rFonts w:ascii="Arial Narrow" w:hAnsi="Arial Narrow" w:cs="Arial"/>
                <w:sz w:val="16"/>
                <w:szCs w:val="16"/>
              </w:rPr>
              <w:t>122,0</w:t>
            </w:r>
          </w:p>
        </w:tc>
      </w:tr>
      <w:tr w:rsidR="004A0B2E" w:rsidRPr="004A0B2E" w14:paraId="1BBA0365" w14:textId="77777777" w:rsidTr="005A18A5">
        <w:trPr>
          <w:trHeight w:val="307"/>
        </w:trPr>
        <w:tc>
          <w:tcPr>
            <w:tcW w:w="4191" w:type="dxa"/>
            <w:tcBorders>
              <w:top w:val="nil"/>
              <w:left w:val="single" w:sz="4" w:space="0" w:color="auto"/>
              <w:bottom w:val="single" w:sz="4" w:space="0" w:color="auto"/>
              <w:right w:val="single" w:sz="4" w:space="0" w:color="auto"/>
            </w:tcBorders>
            <w:shd w:val="clear" w:color="auto" w:fill="auto"/>
            <w:vAlign w:val="center"/>
            <w:hideMark/>
          </w:tcPr>
          <w:p w14:paraId="0F826DF0" w14:textId="77777777" w:rsidR="004A0B2E" w:rsidRPr="004A0B2E" w:rsidRDefault="004A0B2E" w:rsidP="004A0B2E">
            <w:pPr>
              <w:ind w:firstLineChars="100" w:firstLine="160"/>
              <w:rPr>
                <w:rFonts w:ascii="Arial Narrow" w:hAnsi="Arial Narrow" w:cs="Calibri"/>
                <w:sz w:val="16"/>
                <w:szCs w:val="16"/>
              </w:rPr>
            </w:pPr>
            <w:r w:rsidRPr="004A0B2E">
              <w:rPr>
                <w:rFonts w:ascii="Arial Narrow" w:hAnsi="Arial Narrow" w:cs="Calibri"/>
                <w:sz w:val="16"/>
                <w:szCs w:val="16"/>
              </w:rPr>
              <w:t>Фуражни добавки</w:t>
            </w:r>
          </w:p>
        </w:tc>
        <w:tc>
          <w:tcPr>
            <w:tcW w:w="1301" w:type="dxa"/>
            <w:tcBorders>
              <w:top w:val="nil"/>
              <w:left w:val="nil"/>
              <w:bottom w:val="single" w:sz="4" w:space="0" w:color="auto"/>
              <w:right w:val="single" w:sz="4" w:space="0" w:color="auto"/>
            </w:tcBorders>
            <w:shd w:val="clear" w:color="auto" w:fill="auto"/>
            <w:vAlign w:val="center"/>
            <w:hideMark/>
          </w:tcPr>
          <w:p w14:paraId="19C0532D" w14:textId="77777777" w:rsidR="004A0B2E" w:rsidRPr="004A0B2E" w:rsidRDefault="004A0B2E" w:rsidP="004A0B2E">
            <w:pPr>
              <w:jc w:val="right"/>
              <w:rPr>
                <w:rFonts w:ascii="Arial Narrow" w:hAnsi="Arial Narrow" w:cs="Arial"/>
                <w:sz w:val="16"/>
                <w:szCs w:val="16"/>
              </w:rPr>
            </w:pPr>
            <w:r w:rsidRPr="004A0B2E">
              <w:rPr>
                <w:rFonts w:ascii="Arial Narrow" w:hAnsi="Arial Narrow" w:cs="Arial"/>
                <w:sz w:val="16"/>
                <w:szCs w:val="16"/>
              </w:rPr>
              <w:t>1 203,8</w:t>
            </w:r>
          </w:p>
        </w:tc>
        <w:tc>
          <w:tcPr>
            <w:tcW w:w="1132" w:type="dxa"/>
            <w:tcBorders>
              <w:top w:val="nil"/>
              <w:left w:val="nil"/>
              <w:bottom w:val="single" w:sz="4" w:space="0" w:color="auto"/>
              <w:right w:val="single" w:sz="4" w:space="0" w:color="auto"/>
            </w:tcBorders>
            <w:shd w:val="clear" w:color="auto" w:fill="auto"/>
            <w:vAlign w:val="center"/>
            <w:hideMark/>
          </w:tcPr>
          <w:p w14:paraId="0243A7AA" w14:textId="77777777" w:rsidR="004A0B2E" w:rsidRPr="004A0B2E" w:rsidRDefault="004A0B2E" w:rsidP="004A0B2E">
            <w:pPr>
              <w:jc w:val="right"/>
              <w:rPr>
                <w:rFonts w:ascii="Arial Narrow" w:hAnsi="Arial Narrow" w:cs="Arial"/>
                <w:sz w:val="16"/>
                <w:szCs w:val="16"/>
              </w:rPr>
            </w:pPr>
            <w:r w:rsidRPr="004A0B2E">
              <w:rPr>
                <w:rFonts w:ascii="Arial Narrow" w:hAnsi="Arial Narrow" w:cs="Arial"/>
                <w:sz w:val="16"/>
                <w:szCs w:val="16"/>
              </w:rPr>
              <w:t>1 203,8</w:t>
            </w:r>
          </w:p>
        </w:tc>
        <w:tc>
          <w:tcPr>
            <w:tcW w:w="1132" w:type="dxa"/>
            <w:tcBorders>
              <w:top w:val="nil"/>
              <w:left w:val="nil"/>
              <w:bottom w:val="single" w:sz="4" w:space="0" w:color="auto"/>
              <w:right w:val="single" w:sz="4" w:space="0" w:color="auto"/>
            </w:tcBorders>
            <w:shd w:val="clear" w:color="auto" w:fill="auto"/>
            <w:vAlign w:val="center"/>
            <w:hideMark/>
          </w:tcPr>
          <w:p w14:paraId="7883CEB7" w14:textId="77777777" w:rsidR="004A0B2E" w:rsidRPr="004A0B2E" w:rsidRDefault="004A0B2E" w:rsidP="004A0B2E">
            <w:pPr>
              <w:jc w:val="right"/>
              <w:rPr>
                <w:rFonts w:ascii="Arial Narrow" w:hAnsi="Arial Narrow" w:cs="Arial"/>
                <w:sz w:val="16"/>
                <w:szCs w:val="16"/>
              </w:rPr>
            </w:pPr>
            <w:r w:rsidRPr="004A0B2E">
              <w:rPr>
                <w:rFonts w:ascii="Arial Narrow" w:hAnsi="Arial Narrow" w:cs="Arial"/>
                <w:sz w:val="16"/>
                <w:szCs w:val="16"/>
              </w:rPr>
              <w:t>171,7</w:t>
            </w:r>
          </w:p>
        </w:tc>
        <w:tc>
          <w:tcPr>
            <w:tcW w:w="1402" w:type="dxa"/>
            <w:tcBorders>
              <w:top w:val="nil"/>
              <w:left w:val="nil"/>
              <w:bottom w:val="single" w:sz="4" w:space="0" w:color="auto"/>
              <w:right w:val="single" w:sz="4" w:space="0" w:color="auto"/>
            </w:tcBorders>
            <w:shd w:val="clear" w:color="auto" w:fill="auto"/>
            <w:vAlign w:val="center"/>
            <w:hideMark/>
          </w:tcPr>
          <w:p w14:paraId="739E37E5" w14:textId="77777777" w:rsidR="004A0B2E" w:rsidRPr="004A0B2E" w:rsidRDefault="004A0B2E" w:rsidP="004A0B2E">
            <w:pPr>
              <w:jc w:val="right"/>
              <w:rPr>
                <w:rFonts w:ascii="Arial Narrow" w:hAnsi="Arial Narrow" w:cs="Arial"/>
                <w:sz w:val="16"/>
                <w:szCs w:val="16"/>
              </w:rPr>
            </w:pPr>
            <w:r w:rsidRPr="004A0B2E">
              <w:rPr>
                <w:rFonts w:ascii="Arial Narrow" w:hAnsi="Arial Narrow" w:cs="Arial"/>
                <w:sz w:val="16"/>
                <w:szCs w:val="16"/>
              </w:rPr>
              <w:t>487,0</w:t>
            </w:r>
          </w:p>
        </w:tc>
        <w:tc>
          <w:tcPr>
            <w:tcW w:w="1403" w:type="dxa"/>
            <w:tcBorders>
              <w:top w:val="nil"/>
              <w:left w:val="nil"/>
              <w:bottom w:val="single" w:sz="4" w:space="0" w:color="auto"/>
              <w:right w:val="single" w:sz="4" w:space="0" w:color="auto"/>
            </w:tcBorders>
            <w:shd w:val="clear" w:color="auto" w:fill="auto"/>
            <w:vAlign w:val="center"/>
            <w:hideMark/>
          </w:tcPr>
          <w:p w14:paraId="17D32EE0" w14:textId="77777777" w:rsidR="004A0B2E" w:rsidRPr="004A0B2E" w:rsidRDefault="004A0B2E" w:rsidP="004A0B2E">
            <w:pPr>
              <w:jc w:val="right"/>
              <w:rPr>
                <w:rFonts w:ascii="Arial Narrow" w:hAnsi="Arial Narrow" w:cs="Arial"/>
                <w:sz w:val="16"/>
                <w:szCs w:val="16"/>
              </w:rPr>
            </w:pPr>
            <w:r w:rsidRPr="004A0B2E">
              <w:rPr>
                <w:rFonts w:ascii="Arial Narrow" w:hAnsi="Arial Narrow" w:cs="Arial"/>
                <w:sz w:val="16"/>
                <w:szCs w:val="16"/>
              </w:rPr>
              <w:t>545,1</w:t>
            </w:r>
          </w:p>
        </w:tc>
      </w:tr>
      <w:tr w:rsidR="004A0B2E" w:rsidRPr="004A0B2E" w14:paraId="4F2EA8ED" w14:textId="77777777" w:rsidTr="005A18A5">
        <w:trPr>
          <w:trHeight w:val="300"/>
        </w:trPr>
        <w:tc>
          <w:tcPr>
            <w:tcW w:w="4191" w:type="dxa"/>
            <w:tcBorders>
              <w:top w:val="nil"/>
              <w:left w:val="single" w:sz="4" w:space="0" w:color="auto"/>
              <w:bottom w:val="single" w:sz="4" w:space="0" w:color="auto"/>
              <w:right w:val="single" w:sz="4" w:space="0" w:color="auto"/>
            </w:tcBorders>
            <w:shd w:val="clear" w:color="auto" w:fill="auto"/>
            <w:vAlign w:val="center"/>
            <w:hideMark/>
          </w:tcPr>
          <w:p w14:paraId="4A210020" w14:textId="77777777" w:rsidR="004A0B2E" w:rsidRPr="004A0B2E" w:rsidRDefault="004A0B2E" w:rsidP="004A0B2E">
            <w:pPr>
              <w:ind w:firstLineChars="100" w:firstLine="160"/>
              <w:rPr>
                <w:rFonts w:ascii="Arial Narrow" w:hAnsi="Arial Narrow" w:cs="Calibri"/>
                <w:sz w:val="16"/>
                <w:szCs w:val="16"/>
              </w:rPr>
            </w:pPr>
            <w:r w:rsidRPr="004A0B2E">
              <w:rPr>
                <w:rFonts w:ascii="Arial Narrow" w:hAnsi="Arial Narrow" w:cs="Calibri"/>
                <w:sz w:val="16"/>
                <w:szCs w:val="16"/>
              </w:rPr>
              <w:t>Фуражни добавки, невключени в крайната продукция</w:t>
            </w:r>
          </w:p>
        </w:tc>
        <w:tc>
          <w:tcPr>
            <w:tcW w:w="1301" w:type="dxa"/>
            <w:tcBorders>
              <w:top w:val="nil"/>
              <w:left w:val="nil"/>
              <w:bottom w:val="single" w:sz="4" w:space="0" w:color="auto"/>
              <w:right w:val="single" w:sz="4" w:space="0" w:color="auto"/>
            </w:tcBorders>
            <w:shd w:val="clear" w:color="auto" w:fill="auto"/>
            <w:vAlign w:val="center"/>
            <w:hideMark/>
          </w:tcPr>
          <w:p w14:paraId="6F0E9B92" w14:textId="77777777" w:rsidR="004A0B2E" w:rsidRPr="004A0B2E" w:rsidRDefault="004A0B2E" w:rsidP="004A0B2E">
            <w:pPr>
              <w:jc w:val="right"/>
              <w:rPr>
                <w:rFonts w:ascii="Arial Narrow" w:hAnsi="Arial Narrow" w:cs="Arial"/>
                <w:sz w:val="16"/>
                <w:szCs w:val="16"/>
              </w:rPr>
            </w:pPr>
            <w:r w:rsidRPr="004A0B2E">
              <w:rPr>
                <w:rFonts w:ascii="Arial Narrow" w:hAnsi="Arial Narrow" w:cs="Arial"/>
                <w:sz w:val="16"/>
                <w:szCs w:val="16"/>
              </w:rPr>
              <w:t>25,2</w:t>
            </w:r>
          </w:p>
        </w:tc>
        <w:tc>
          <w:tcPr>
            <w:tcW w:w="1132" w:type="dxa"/>
            <w:tcBorders>
              <w:top w:val="nil"/>
              <w:left w:val="nil"/>
              <w:bottom w:val="single" w:sz="4" w:space="0" w:color="auto"/>
              <w:right w:val="single" w:sz="4" w:space="0" w:color="auto"/>
            </w:tcBorders>
            <w:shd w:val="clear" w:color="auto" w:fill="auto"/>
            <w:vAlign w:val="center"/>
            <w:hideMark/>
          </w:tcPr>
          <w:p w14:paraId="1E7328FA" w14:textId="77777777" w:rsidR="004A0B2E" w:rsidRPr="004A0B2E" w:rsidRDefault="004A0B2E" w:rsidP="004A0B2E">
            <w:pPr>
              <w:rPr>
                <w:rFonts w:ascii="Arial Narrow" w:hAnsi="Arial Narrow" w:cs="Arial"/>
                <w:sz w:val="16"/>
                <w:szCs w:val="16"/>
              </w:rPr>
            </w:pPr>
            <w:r w:rsidRPr="004A0B2E">
              <w:rPr>
                <w:rFonts w:ascii="Arial Narrow" w:hAnsi="Arial Narrow" w:cs="Arial"/>
                <w:sz w:val="16"/>
                <w:szCs w:val="16"/>
              </w:rPr>
              <w:t> </w:t>
            </w:r>
          </w:p>
        </w:tc>
        <w:tc>
          <w:tcPr>
            <w:tcW w:w="1132" w:type="dxa"/>
            <w:tcBorders>
              <w:top w:val="nil"/>
              <w:left w:val="nil"/>
              <w:bottom w:val="single" w:sz="4" w:space="0" w:color="auto"/>
              <w:right w:val="single" w:sz="4" w:space="0" w:color="auto"/>
            </w:tcBorders>
            <w:shd w:val="clear" w:color="auto" w:fill="auto"/>
            <w:vAlign w:val="center"/>
            <w:hideMark/>
          </w:tcPr>
          <w:p w14:paraId="42F7B8E4" w14:textId="77777777" w:rsidR="004A0B2E" w:rsidRPr="004A0B2E" w:rsidRDefault="004A0B2E" w:rsidP="004A0B2E">
            <w:pPr>
              <w:jc w:val="right"/>
              <w:rPr>
                <w:rFonts w:ascii="Arial Narrow" w:hAnsi="Arial Narrow" w:cs="Arial"/>
                <w:sz w:val="16"/>
                <w:szCs w:val="16"/>
              </w:rPr>
            </w:pPr>
            <w:r w:rsidRPr="004A0B2E">
              <w:rPr>
                <w:rFonts w:ascii="Arial Narrow" w:hAnsi="Arial Narrow" w:cs="Arial"/>
                <w:sz w:val="16"/>
                <w:szCs w:val="16"/>
              </w:rPr>
              <w:t>25,2</w:t>
            </w:r>
          </w:p>
        </w:tc>
        <w:tc>
          <w:tcPr>
            <w:tcW w:w="1402" w:type="dxa"/>
            <w:tcBorders>
              <w:top w:val="nil"/>
              <w:left w:val="nil"/>
              <w:bottom w:val="single" w:sz="4" w:space="0" w:color="auto"/>
              <w:right w:val="single" w:sz="4" w:space="0" w:color="auto"/>
            </w:tcBorders>
            <w:shd w:val="clear" w:color="auto" w:fill="auto"/>
            <w:vAlign w:val="center"/>
            <w:hideMark/>
          </w:tcPr>
          <w:p w14:paraId="347CD3E7" w14:textId="77777777" w:rsidR="004A0B2E" w:rsidRPr="004A0B2E" w:rsidRDefault="004A0B2E" w:rsidP="004A0B2E">
            <w:pPr>
              <w:rPr>
                <w:rFonts w:ascii="Arial Narrow" w:hAnsi="Arial Narrow" w:cs="Arial"/>
                <w:sz w:val="16"/>
                <w:szCs w:val="16"/>
              </w:rPr>
            </w:pPr>
            <w:r w:rsidRPr="004A0B2E">
              <w:rPr>
                <w:rFonts w:ascii="Arial Narrow" w:hAnsi="Arial Narrow" w:cs="Arial"/>
                <w:sz w:val="16"/>
                <w:szCs w:val="16"/>
              </w:rPr>
              <w:t> </w:t>
            </w:r>
          </w:p>
        </w:tc>
        <w:tc>
          <w:tcPr>
            <w:tcW w:w="1403" w:type="dxa"/>
            <w:tcBorders>
              <w:top w:val="nil"/>
              <w:left w:val="nil"/>
              <w:bottom w:val="single" w:sz="4" w:space="0" w:color="auto"/>
              <w:right w:val="single" w:sz="4" w:space="0" w:color="auto"/>
            </w:tcBorders>
            <w:shd w:val="clear" w:color="auto" w:fill="auto"/>
            <w:vAlign w:val="center"/>
            <w:hideMark/>
          </w:tcPr>
          <w:p w14:paraId="33DA0CED" w14:textId="77777777" w:rsidR="004A0B2E" w:rsidRPr="004A0B2E" w:rsidRDefault="004A0B2E" w:rsidP="004A0B2E">
            <w:pPr>
              <w:rPr>
                <w:rFonts w:ascii="Arial Narrow" w:hAnsi="Arial Narrow" w:cs="Arial"/>
                <w:sz w:val="16"/>
                <w:szCs w:val="16"/>
              </w:rPr>
            </w:pPr>
            <w:r w:rsidRPr="004A0B2E">
              <w:rPr>
                <w:rFonts w:ascii="Arial Narrow" w:hAnsi="Arial Narrow" w:cs="Arial"/>
                <w:sz w:val="16"/>
                <w:szCs w:val="16"/>
              </w:rPr>
              <w:t> </w:t>
            </w:r>
          </w:p>
        </w:tc>
      </w:tr>
      <w:tr w:rsidR="004A0B2E" w:rsidRPr="004A0B2E" w14:paraId="1D40288D" w14:textId="77777777" w:rsidTr="005A18A5">
        <w:trPr>
          <w:trHeight w:val="307"/>
        </w:trPr>
        <w:tc>
          <w:tcPr>
            <w:tcW w:w="4191" w:type="dxa"/>
            <w:tcBorders>
              <w:top w:val="nil"/>
              <w:left w:val="single" w:sz="4" w:space="0" w:color="auto"/>
              <w:bottom w:val="single" w:sz="4" w:space="0" w:color="auto"/>
              <w:right w:val="single" w:sz="4" w:space="0" w:color="auto"/>
            </w:tcBorders>
            <w:shd w:val="clear" w:color="auto" w:fill="auto"/>
            <w:vAlign w:val="center"/>
            <w:hideMark/>
          </w:tcPr>
          <w:p w14:paraId="4C137B37" w14:textId="77777777" w:rsidR="004A0B2E" w:rsidRPr="004A0B2E" w:rsidRDefault="004A0B2E" w:rsidP="004A0B2E">
            <w:pPr>
              <w:ind w:firstLineChars="100" w:firstLine="160"/>
              <w:rPr>
                <w:rFonts w:ascii="Arial Narrow" w:hAnsi="Arial Narrow" w:cs="Calibri"/>
                <w:sz w:val="16"/>
                <w:szCs w:val="16"/>
              </w:rPr>
            </w:pPr>
            <w:r w:rsidRPr="004A0B2E">
              <w:rPr>
                <w:rFonts w:ascii="Arial Narrow" w:hAnsi="Arial Narrow" w:cs="Calibri"/>
                <w:sz w:val="16"/>
                <w:szCs w:val="16"/>
              </w:rPr>
              <w:t>Поддръжка и ремонт</w:t>
            </w:r>
          </w:p>
        </w:tc>
        <w:tc>
          <w:tcPr>
            <w:tcW w:w="1301" w:type="dxa"/>
            <w:tcBorders>
              <w:top w:val="nil"/>
              <w:left w:val="nil"/>
              <w:bottom w:val="single" w:sz="4" w:space="0" w:color="auto"/>
              <w:right w:val="single" w:sz="4" w:space="0" w:color="auto"/>
            </w:tcBorders>
            <w:shd w:val="clear" w:color="auto" w:fill="auto"/>
            <w:vAlign w:val="center"/>
            <w:hideMark/>
          </w:tcPr>
          <w:p w14:paraId="226AD522" w14:textId="77777777" w:rsidR="004A0B2E" w:rsidRPr="004A0B2E" w:rsidRDefault="004A0B2E" w:rsidP="004A0B2E">
            <w:pPr>
              <w:jc w:val="right"/>
              <w:rPr>
                <w:rFonts w:ascii="Arial Narrow" w:hAnsi="Arial Narrow" w:cs="Arial"/>
                <w:sz w:val="16"/>
                <w:szCs w:val="16"/>
              </w:rPr>
            </w:pPr>
            <w:r w:rsidRPr="004A0B2E">
              <w:rPr>
                <w:rFonts w:ascii="Arial Narrow" w:hAnsi="Arial Narrow" w:cs="Arial"/>
                <w:sz w:val="16"/>
                <w:szCs w:val="16"/>
              </w:rPr>
              <w:t>487,1</w:t>
            </w:r>
          </w:p>
        </w:tc>
        <w:tc>
          <w:tcPr>
            <w:tcW w:w="1132" w:type="dxa"/>
            <w:tcBorders>
              <w:top w:val="nil"/>
              <w:left w:val="nil"/>
              <w:bottom w:val="single" w:sz="4" w:space="0" w:color="auto"/>
              <w:right w:val="single" w:sz="4" w:space="0" w:color="auto"/>
            </w:tcBorders>
            <w:shd w:val="clear" w:color="auto" w:fill="auto"/>
            <w:vAlign w:val="center"/>
            <w:hideMark/>
          </w:tcPr>
          <w:p w14:paraId="777F3F42" w14:textId="77777777" w:rsidR="004A0B2E" w:rsidRPr="004A0B2E" w:rsidRDefault="004A0B2E" w:rsidP="004A0B2E">
            <w:pPr>
              <w:jc w:val="right"/>
              <w:rPr>
                <w:rFonts w:ascii="Arial Narrow" w:hAnsi="Arial Narrow" w:cs="Arial"/>
                <w:sz w:val="16"/>
                <w:szCs w:val="16"/>
              </w:rPr>
            </w:pPr>
            <w:r w:rsidRPr="004A0B2E">
              <w:rPr>
                <w:rFonts w:ascii="Arial Narrow" w:hAnsi="Arial Narrow" w:cs="Arial"/>
                <w:sz w:val="16"/>
                <w:szCs w:val="16"/>
              </w:rPr>
              <w:t>487,1</w:t>
            </w:r>
          </w:p>
        </w:tc>
        <w:tc>
          <w:tcPr>
            <w:tcW w:w="1132" w:type="dxa"/>
            <w:tcBorders>
              <w:top w:val="nil"/>
              <w:left w:val="nil"/>
              <w:bottom w:val="single" w:sz="4" w:space="0" w:color="auto"/>
              <w:right w:val="single" w:sz="4" w:space="0" w:color="auto"/>
            </w:tcBorders>
            <w:shd w:val="clear" w:color="auto" w:fill="auto"/>
            <w:vAlign w:val="center"/>
            <w:hideMark/>
          </w:tcPr>
          <w:p w14:paraId="67AAB2DF" w14:textId="77777777" w:rsidR="004A0B2E" w:rsidRPr="004A0B2E" w:rsidRDefault="004A0B2E" w:rsidP="004A0B2E">
            <w:pPr>
              <w:rPr>
                <w:rFonts w:ascii="Arial Narrow" w:hAnsi="Arial Narrow" w:cs="Arial"/>
                <w:sz w:val="16"/>
                <w:szCs w:val="16"/>
              </w:rPr>
            </w:pPr>
            <w:r w:rsidRPr="004A0B2E">
              <w:rPr>
                <w:rFonts w:ascii="Arial Narrow" w:hAnsi="Arial Narrow" w:cs="Arial"/>
                <w:sz w:val="16"/>
                <w:szCs w:val="16"/>
              </w:rPr>
              <w:t> </w:t>
            </w:r>
          </w:p>
        </w:tc>
        <w:tc>
          <w:tcPr>
            <w:tcW w:w="1402" w:type="dxa"/>
            <w:tcBorders>
              <w:top w:val="nil"/>
              <w:left w:val="nil"/>
              <w:bottom w:val="single" w:sz="4" w:space="0" w:color="auto"/>
              <w:right w:val="single" w:sz="4" w:space="0" w:color="auto"/>
            </w:tcBorders>
            <w:shd w:val="clear" w:color="auto" w:fill="auto"/>
            <w:vAlign w:val="center"/>
            <w:hideMark/>
          </w:tcPr>
          <w:p w14:paraId="1A9D046F" w14:textId="77777777" w:rsidR="004A0B2E" w:rsidRPr="004A0B2E" w:rsidRDefault="004A0B2E" w:rsidP="004A0B2E">
            <w:pPr>
              <w:rPr>
                <w:rFonts w:ascii="Arial Narrow" w:hAnsi="Arial Narrow" w:cs="Arial"/>
                <w:sz w:val="16"/>
                <w:szCs w:val="16"/>
              </w:rPr>
            </w:pPr>
            <w:r w:rsidRPr="004A0B2E">
              <w:rPr>
                <w:rFonts w:ascii="Arial Narrow" w:hAnsi="Arial Narrow" w:cs="Arial"/>
                <w:sz w:val="16"/>
                <w:szCs w:val="16"/>
              </w:rPr>
              <w:t> </w:t>
            </w:r>
          </w:p>
        </w:tc>
        <w:tc>
          <w:tcPr>
            <w:tcW w:w="1403" w:type="dxa"/>
            <w:tcBorders>
              <w:top w:val="nil"/>
              <w:left w:val="nil"/>
              <w:bottom w:val="single" w:sz="4" w:space="0" w:color="auto"/>
              <w:right w:val="single" w:sz="4" w:space="0" w:color="auto"/>
            </w:tcBorders>
            <w:shd w:val="clear" w:color="auto" w:fill="auto"/>
            <w:vAlign w:val="center"/>
            <w:hideMark/>
          </w:tcPr>
          <w:p w14:paraId="14BFCDA0" w14:textId="77777777" w:rsidR="004A0B2E" w:rsidRPr="004A0B2E" w:rsidRDefault="004A0B2E" w:rsidP="004A0B2E">
            <w:pPr>
              <w:jc w:val="right"/>
              <w:rPr>
                <w:rFonts w:ascii="Arial Narrow" w:hAnsi="Arial Narrow" w:cs="Arial"/>
                <w:sz w:val="16"/>
                <w:szCs w:val="16"/>
              </w:rPr>
            </w:pPr>
            <w:r w:rsidRPr="004A0B2E">
              <w:rPr>
                <w:rFonts w:ascii="Arial Narrow" w:hAnsi="Arial Narrow" w:cs="Arial"/>
                <w:sz w:val="16"/>
                <w:szCs w:val="16"/>
              </w:rPr>
              <w:t>487,1</w:t>
            </w:r>
          </w:p>
        </w:tc>
      </w:tr>
      <w:tr w:rsidR="004A0B2E" w:rsidRPr="004A0B2E" w14:paraId="22B46E0B" w14:textId="77777777" w:rsidTr="005A18A5">
        <w:trPr>
          <w:trHeight w:val="300"/>
        </w:trPr>
        <w:tc>
          <w:tcPr>
            <w:tcW w:w="4191" w:type="dxa"/>
            <w:tcBorders>
              <w:top w:val="nil"/>
              <w:left w:val="single" w:sz="4" w:space="0" w:color="auto"/>
              <w:bottom w:val="single" w:sz="4" w:space="0" w:color="auto"/>
              <w:right w:val="single" w:sz="4" w:space="0" w:color="auto"/>
            </w:tcBorders>
            <w:shd w:val="clear" w:color="auto" w:fill="auto"/>
            <w:vAlign w:val="center"/>
            <w:hideMark/>
          </w:tcPr>
          <w:p w14:paraId="41607041" w14:textId="77777777" w:rsidR="004A0B2E" w:rsidRPr="004A0B2E" w:rsidRDefault="004A0B2E" w:rsidP="004A0B2E">
            <w:pPr>
              <w:ind w:firstLineChars="200" w:firstLine="320"/>
              <w:rPr>
                <w:rFonts w:ascii="Arial Narrow" w:hAnsi="Arial Narrow" w:cs="Calibri"/>
                <w:sz w:val="16"/>
                <w:szCs w:val="16"/>
              </w:rPr>
            </w:pPr>
            <w:r w:rsidRPr="004A0B2E">
              <w:rPr>
                <w:rFonts w:ascii="Arial Narrow" w:hAnsi="Arial Narrow" w:cs="Calibri"/>
                <w:sz w:val="16"/>
                <w:szCs w:val="16"/>
              </w:rPr>
              <w:t>- поддръжка и ремонт на машини и дребен инвентар</w:t>
            </w:r>
          </w:p>
        </w:tc>
        <w:tc>
          <w:tcPr>
            <w:tcW w:w="1301" w:type="dxa"/>
            <w:tcBorders>
              <w:top w:val="nil"/>
              <w:left w:val="nil"/>
              <w:bottom w:val="single" w:sz="4" w:space="0" w:color="auto"/>
              <w:right w:val="single" w:sz="4" w:space="0" w:color="auto"/>
            </w:tcBorders>
            <w:shd w:val="clear" w:color="auto" w:fill="auto"/>
            <w:vAlign w:val="center"/>
            <w:hideMark/>
          </w:tcPr>
          <w:p w14:paraId="2BBF4EF2" w14:textId="77777777" w:rsidR="004A0B2E" w:rsidRPr="004A0B2E" w:rsidRDefault="004A0B2E" w:rsidP="004A0B2E">
            <w:pPr>
              <w:jc w:val="right"/>
              <w:rPr>
                <w:rFonts w:ascii="Arial Narrow" w:hAnsi="Arial Narrow" w:cs="Arial"/>
                <w:sz w:val="16"/>
                <w:szCs w:val="16"/>
              </w:rPr>
            </w:pPr>
            <w:r w:rsidRPr="004A0B2E">
              <w:rPr>
                <w:rFonts w:ascii="Arial Narrow" w:hAnsi="Arial Narrow" w:cs="Arial"/>
                <w:sz w:val="16"/>
                <w:szCs w:val="16"/>
              </w:rPr>
              <w:t>347,5</w:t>
            </w:r>
          </w:p>
        </w:tc>
        <w:tc>
          <w:tcPr>
            <w:tcW w:w="1132" w:type="dxa"/>
            <w:tcBorders>
              <w:top w:val="nil"/>
              <w:left w:val="nil"/>
              <w:bottom w:val="single" w:sz="4" w:space="0" w:color="auto"/>
              <w:right w:val="single" w:sz="4" w:space="0" w:color="auto"/>
            </w:tcBorders>
            <w:shd w:val="clear" w:color="auto" w:fill="auto"/>
            <w:vAlign w:val="center"/>
            <w:hideMark/>
          </w:tcPr>
          <w:p w14:paraId="654471E1" w14:textId="77777777" w:rsidR="004A0B2E" w:rsidRPr="004A0B2E" w:rsidRDefault="004A0B2E" w:rsidP="004A0B2E">
            <w:pPr>
              <w:jc w:val="right"/>
              <w:rPr>
                <w:rFonts w:ascii="Arial Narrow" w:hAnsi="Arial Narrow" w:cs="Arial"/>
                <w:sz w:val="16"/>
                <w:szCs w:val="16"/>
              </w:rPr>
            </w:pPr>
            <w:r w:rsidRPr="004A0B2E">
              <w:rPr>
                <w:rFonts w:ascii="Arial Narrow" w:hAnsi="Arial Narrow" w:cs="Arial"/>
                <w:sz w:val="16"/>
                <w:szCs w:val="16"/>
              </w:rPr>
              <w:t>347,5</w:t>
            </w:r>
          </w:p>
        </w:tc>
        <w:tc>
          <w:tcPr>
            <w:tcW w:w="1132" w:type="dxa"/>
            <w:tcBorders>
              <w:top w:val="nil"/>
              <w:left w:val="nil"/>
              <w:bottom w:val="single" w:sz="4" w:space="0" w:color="auto"/>
              <w:right w:val="single" w:sz="4" w:space="0" w:color="auto"/>
            </w:tcBorders>
            <w:shd w:val="clear" w:color="auto" w:fill="auto"/>
            <w:vAlign w:val="center"/>
            <w:hideMark/>
          </w:tcPr>
          <w:p w14:paraId="0DD1A806" w14:textId="77777777" w:rsidR="004A0B2E" w:rsidRPr="004A0B2E" w:rsidRDefault="004A0B2E" w:rsidP="004A0B2E">
            <w:pPr>
              <w:rPr>
                <w:rFonts w:ascii="Arial Narrow" w:hAnsi="Arial Narrow" w:cs="Arial"/>
                <w:sz w:val="16"/>
                <w:szCs w:val="16"/>
              </w:rPr>
            </w:pPr>
            <w:r w:rsidRPr="004A0B2E">
              <w:rPr>
                <w:rFonts w:ascii="Arial Narrow" w:hAnsi="Arial Narrow" w:cs="Arial"/>
                <w:sz w:val="16"/>
                <w:szCs w:val="16"/>
              </w:rPr>
              <w:t> </w:t>
            </w:r>
          </w:p>
        </w:tc>
        <w:tc>
          <w:tcPr>
            <w:tcW w:w="1402" w:type="dxa"/>
            <w:tcBorders>
              <w:top w:val="nil"/>
              <w:left w:val="nil"/>
              <w:bottom w:val="single" w:sz="4" w:space="0" w:color="auto"/>
              <w:right w:val="single" w:sz="4" w:space="0" w:color="auto"/>
            </w:tcBorders>
            <w:shd w:val="clear" w:color="auto" w:fill="auto"/>
            <w:vAlign w:val="center"/>
            <w:hideMark/>
          </w:tcPr>
          <w:p w14:paraId="3F279525" w14:textId="77777777" w:rsidR="004A0B2E" w:rsidRPr="004A0B2E" w:rsidRDefault="004A0B2E" w:rsidP="004A0B2E">
            <w:pPr>
              <w:rPr>
                <w:rFonts w:ascii="Arial Narrow" w:hAnsi="Arial Narrow" w:cs="Arial"/>
                <w:sz w:val="16"/>
                <w:szCs w:val="16"/>
              </w:rPr>
            </w:pPr>
            <w:r w:rsidRPr="004A0B2E">
              <w:rPr>
                <w:rFonts w:ascii="Arial Narrow" w:hAnsi="Arial Narrow" w:cs="Arial"/>
                <w:sz w:val="16"/>
                <w:szCs w:val="16"/>
              </w:rPr>
              <w:t> </w:t>
            </w:r>
          </w:p>
        </w:tc>
        <w:tc>
          <w:tcPr>
            <w:tcW w:w="1403" w:type="dxa"/>
            <w:tcBorders>
              <w:top w:val="nil"/>
              <w:left w:val="nil"/>
              <w:bottom w:val="single" w:sz="4" w:space="0" w:color="auto"/>
              <w:right w:val="single" w:sz="4" w:space="0" w:color="auto"/>
            </w:tcBorders>
            <w:shd w:val="clear" w:color="auto" w:fill="auto"/>
            <w:vAlign w:val="center"/>
            <w:hideMark/>
          </w:tcPr>
          <w:p w14:paraId="6C91714C" w14:textId="77777777" w:rsidR="004A0B2E" w:rsidRPr="004A0B2E" w:rsidRDefault="004A0B2E" w:rsidP="004A0B2E">
            <w:pPr>
              <w:jc w:val="right"/>
              <w:rPr>
                <w:rFonts w:ascii="Arial Narrow" w:hAnsi="Arial Narrow" w:cs="Arial"/>
                <w:sz w:val="16"/>
                <w:szCs w:val="16"/>
              </w:rPr>
            </w:pPr>
            <w:r w:rsidRPr="004A0B2E">
              <w:rPr>
                <w:rFonts w:ascii="Arial Narrow" w:hAnsi="Arial Narrow" w:cs="Arial"/>
                <w:sz w:val="16"/>
                <w:szCs w:val="16"/>
              </w:rPr>
              <w:t>347,5</w:t>
            </w:r>
          </w:p>
        </w:tc>
      </w:tr>
      <w:tr w:rsidR="004A0B2E" w:rsidRPr="004A0B2E" w14:paraId="43B4CF5C" w14:textId="77777777" w:rsidTr="005A18A5">
        <w:trPr>
          <w:trHeight w:val="300"/>
        </w:trPr>
        <w:tc>
          <w:tcPr>
            <w:tcW w:w="4191" w:type="dxa"/>
            <w:tcBorders>
              <w:top w:val="nil"/>
              <w:left w:val="single" w:sz="4" w:space="0" w:color="auto"/>
              <w:bottom w:val="single" w:sz="4" w:space="0" w:color="auto"/>
              <w:right w:val="single" w:sz="4" w:space="0" w:color="auto"/>
            </w:tcBorders>
            <w:shd w:val="clear" w:color="auto" w:fill="auto"/>
            <w:vAlign w:val="center"/>
            <w:hideMark/>
          </w:tcPr>
          <w:p w14:paraId="7EEE522A" w14:textId="77777777" w:rsidR="004A0B2E" w:rsidRPr="004A0B2E" w:rsidRDefault="004A0B2E" w:rsidP="004A0B2E">
            <w:pPr>
              <w:ind w:firstLineChars="200" w:firstLine="320"/>
              <w:rPr>
                <w:rFonts w:ascii="Arial Narrow" w:hAnsi="Arial Narrow" w:cs="Calibri"/>
                <w:sz w:val="16"/>
                <w:szCs w:val="16"/>
              </w:rPr>
            </w:pPr>
            <w:r w:rsidRPr="004A0B2E">
              <w:rPr>
                <w:rFonts w:ascii="Arial Narrow" w:hAnsi="Arial Narrow" w:cs="Calibri"/>
                <w:sz w:val="16"/>
                <w:szCs w:val="16"/>
              </w:rPr>
              <w:t>- поддръжка на сгради</w:t>
            </w:r>
          </w:p>
        </w:tc>
        <w:tc>
          <w:tcPr>
            <w:tcW w:w="1301" w:type="dxa"/>
            <w:tcBorders>
              <w:top w:val="nil"/>
              <w:left w:val="nil"/>
              <w:bottom w:val="single" w:sz="4" w:space="0" w:color="auto"/>
              <w:right w:val="single" w:sz="4" w:space="0" w:color="auto"/>
            </w:tcBorders>
            <w:shd w:val="clear" w:color="auto" w:fill="auto"/>
            <w:vAlign w:val="center"/>
            <w:hideMark/>
          </w:tcPr>
          <w:p w14:paraId="17D321FA" w14:textId="77777777" w:rsidR="004A0B2E" w:rsidRPr="004A0B2E" w:rsidRDefault="004A0B2E" w:rsidP="004A0B2E">
            <w:pPr>
              <w:jc w:val="right"/>
              <w:rPr>
                <w:rFonts w:ascii="Arial Narrow" w:hAnsi="Arial Narrow" w:cs="Arial"/>
                <w:sz w:val="16"/>
                <w:szCs w:val="16"/>
              </w:rPr>
            </w:pPr>
            <w:r w:rsidRPr="004A0B2E">
              <w:rPr>
                <w:rFonts w:ascii="Arial Narrow" w:hAnsi="Arial Narrow" w:cs="Arial"/>
                <w:sz w:val="16"/>
                <w:szCs w:val="16"/>
              </w:rPr>
              <w:t>139,6</w:t>
            </w:r>
          </w:p>
        </w:tc>
        <w:tc>
          <w:tcPr>
            <w:tcW w:w="1132" w:type="dxa"/>
            <w:tcBorders>
              <w:top w:val="nil"/>
              <w:left w:val="nil"/>
              <w:bottom w:val="single" w:sz="4" w:space="0" w:color="auto"/>
              <w:right w:val="single" w:sz="4" w:space="0" w:color="auto"/>
            </w:tcBorders>
            <w:shd w:val="clear" w:color="auto" w:fill="auto"/>
            <w:vAlign w:val="center"/>
            <w:hideMark/>
          </w:tcPr>
          <w:p w14:paraId="19CB2C18" w14:textId="77777777" w:rsidR="004A0B2E" w:rsidRPr="004A0B2E" w:rsidRDefault="004A0B2E" w:rsidP="004A0B2E">
            <w:pPr>
              <w:jc w:val="right"/>
              <w:rPr>
                <w:rFonts w:ascii="Arial Narrow" w:hAnsi="Arial Narrow" w:cs="Arial"/>
                <w:sz w:val="16"/>
                <w:szCs w:val="16"/>
              </w:rPr>
            </w:pPr>
            <w:r w:rsidRPr="004A0B2E">
              <w:rPr>
                <w:rFonts w:ascii="Arial Narrow" w:hAnsi="Arial Narrow" w:cs="Arial"/>
                <w:sz w:val="16"/>
                <w:szCs w:val="16"/>
              </w:rPr>
              <w:t>139,6</w:t>
            </w:r>
          </w:p>
        </w:tc>
        <w:tc>
          <w:tcPr>
            <w:tcW w:w="1132" w:type="dxa"/>
            <w:tcBorders>
              <w:top w:val="nil"/>
              <w:left w:val="nil"/>
              <w:bottom w:val="single" w:sz="4" w:space="0" w:color="auto"/>
              <w:right w:val="single" w:sz="4" w:space="0" w:color="auto"/>
            </w:tcBorders>
            <w:shd w:val="clear" w:color="auto" w:fill="auto"/>
            <w:vAlign w:val="center"/>
            <w:hideMark/>
          </w:tcPr>
          <w:p w14:paraId="22675802" w14:textId="77777777" w:rsidR="004A0B2E" w:rsidRPr="004A0B2E" w:rsidRDefault="004A0B2E" w:rsidP="004A0B2E">
            <w:pPr>
              <w:rPr>
                <w:rFonts w:ascii="Arial Narrow" w:hAnsi="Arial Narrow" w:cs="Arial"/>
                <w:sz w:val="16"/>
                <w:szCs w:val="16"/>
              </w:rPr>
            </w:pPr>
            <w:r w:rsidRPr="004A0B2E">
              <w:rPr>
                <w:rFonts w:ascii="Arial Narrow" w:hAnsi="Arial Narrow" w:cs="Arial"/>
                <w:sz w:val="16"/>
                <w:szCs w:val="16"/>
              </w:rPr>
              <w:t> </w:t>
            </w:r>
          </w:p>
        </w:tc>
        <w:tc>
          <w:tcPr>
            <w:tcW w:w="1402" w:type="dxa"/>
            <w:tcBorders>
              <w:top w:val="nil"/>
              <w:left w:val="nil"/>
              <w:bottom w:val="single" w:sz="4" w:space="0" w:color="auto"/>
              <w:right w:val="single" w:sz="4" w:space="0" w:color="auto"/>
            </w:tcBorders>
            <w:shd w:val="clear" w:color="auto" w:fill="auto"/>
            <w:vAlign w:val="center"/>
            <w:hideMark/>
          </w:tcPr>
          <w:p w14:paraId="71A7FC8C" w14:textId="77777777" w:rsidR="004A0B2E" w:rsidRPr="004A0B2E" w:rsidRDefault="004A0B2E" w:rsidP="004A0B2E">
            <w:pPr>
              <w:rPr>
                <w:rFonts w:ascii="Arial Narrow" w:hAnsi="Arial Narrow" w:cs="Arial"/>
                <w:sz w:val="16"/>
                <w:szCs w:val="16"/>
              </w:rPr>
            </w:pPr>
            <w:r w:rsidRPr="004A0B2E">
              <w:rPr>
                <w:rFonts w:ascii="Arial Narrow" w:hAnsi="Arial Narrow" w:cs="Arial"/>
                <w:sz w:val="16"/>
                <w:szCs w:val="16"/>
              </w:rPr>
              <w:t> </w:t>
            </w:r>
          </w:p>
        </w:tc>
        <w:tc>
          <w:tcPr>
            <w:tcW w:w="1403" w:type="dxa"/>
            <w:tcBorders>
              <w:top w:val="nil"/>
              <w:left w:val="nil"/>
              <w:bottom w:val="single" w:sz="4" w:space="0" w:color="auto"/>
              <w:right w:val="single" w:sz="4" w:space="0" w:color="auto"/>
            </w:tcBorders>
            <w:shd w:val="clear" w:color="auto" w:fill="auto"/>
            <w:vAlign w:val="center"/>
            <w:hideMark/>
          </w:tcPr>
          <w:p w14:paraId="54906D10" w14:textId="77777777" w:rsidR="004A0B2E" w:rsidRPr="004A0B2E" w:rsidRDefault="004A0B2E" w:rsidP="004A0B2E">
            <w:pPr>
              <w:jc w:val="right"/>
              <w:rPr>
                <w:rFonts w:ascii="Arial Narrow" w:hAnsi="Arial Narrow" w:cs="Arial"/>
                <w:sz w:val="16"/>
                <w:szCs w:val="16"/>
              </w:rPr>
            </w:pPr>
            <w:r w:rsidRPr="004A0B2E">
              <w:rPr>
                <w:rFonts w:ascii="Arial Narrow" w:hAnsi="Arial Narrow" w:cs="Arial"/>
                <w:sz w:val="16"/>
                <w:szCs w:val="16"/>
              </w:rPr>
              <w:t>139,6</w:t>
            </w:r>
          </w:p>
        </w:tc>
      </w:tr>
      <w:tr w:rsidR="004A0B2E" w:rsidRPr="004A0B2E" w14:paraId="225924BA" w14:textId="77777777" w:rsidTr="005A18A5">
        <w:trPr>
          <w:trHeight w:val="307"/>
        </w:trPr>
        <w:tc>
          <w:tcPr>
            <w:tcW w:w="4191" w:type="dxa"/>
            <w:tcBorders>
              <w:top w:val="nil"/>
              <w:left w:val="single" w:sz="4" w:space="0" w:color="auto"/>
              <w:bottom w:val="single" w:sz="4" w:space="0" w:color="auto"/>
              <w:right w:val="single" w:sz="4" w:space="0" w:color="auto"/>
            </w:tcBorders>
            <w:shd w:val="clear" w:color="auto" w:fill="auto"/>
            <w:vAlign w:val="center"/>
            <w:hideMark/>
          </w:tcPr>
          <w:p w14:paraId="0A83E061" w14:textId="77777777" w:rsidR="004A0B2E" w:rsidRPr="004A0B2E" w:rsidRDefault="004A0B2E" w:rsidP="004A0B2E">
            <w:pPr>
              <w:ind w:firstLineChars="100" w:firstLine="160"/>
              <w:rPr>
                <w:rFonts w:ascii="Arial Narrow" w:hAnsi="Arial Narrow" w:cs="Calibri"/>
                <w:sz w:val="16"/>
                <w:szCs w:val="16"/>
              </w:rPr>
            </w:pPr>
            <w:r w:rsidRPr="004A0B2E">
              <w:rPr>
                <w:rFonts w:ascii="Arial Narrow" w:hAnsi="Arial Narrow" w:cs="Calibri"/>
                <w:sz w:val="16"/>
                <w:szCs w:val="16"/>
              </w:rPr>
              <w:t>Селскостопански услуги</w:t>
            </w:r>
          </w:p>
        </w:tc>
        <w:tc>
          <w:tcPr>
            <w:tcW w:w="1301" w:type="dxa"/>
            <w:tcBorders>
              <w:top w:val="nil"/>
              <w:left w:val="nil"/>
              <w:bottom w:val="single" w:sz="4" w:space="0" w:color="auto"/>
              <w:right w:val="single" w:sz="4" w:space="0" w:color="auto"/>
            </w:tcBorders>
            <w:shd w:val="clear" w:color="auto" w:fill="auto"/>
            <w:vAlign w:val="center"/>
            <w:hideMark/>
          </w:tcPr>
          <w:p w14:paraId="0043A88F" w14:textId="77777777" w:rsidR="004A0B2E" w:rsidRPr="004A0B2E" w:rsidRDefault="004A0B2E" w:rsidP="004A0B2E">
            <w:pPr>
              <w:jc w:val="right"/>
              <w:rPr>
                <w:rFonts w:ascii="Arial Narrow" w:hAnsi="Arial Narrow" w:cs="Arial"/>
                <w:sz w:val="16"/>
                <w:szCs w:val="16"/>
              </w:rPr>
            </w:pPr>
            <w:r w:rsidRPr="004A0B2E">
              <w:rPr>
                <w:rFonts w:ascii="Arial Narrow" w:hAnsi="Arial Narrow" w:cs="Arial"/>
                <w:sz w:val="16"/>
                <w:szCs w:val="16"/>
              </w:rPr>
              <w:t>547,8</w:t>
            </w:r>
          </w:p>
        </w:tc>
        <w:tc>
          <w:tcPr>
            <w:tcW w:w="1132" w:type="dxa"/>
            <w:tcBorders>
              <w:top w:val="nil"/>
              <w:left w:val="nil"/>
              <w:bottom w:val="single" w:sz="4" w:space="0" w:color="auto"/>
              <w:right w:val="single" w:sz="4" w:space="0" w:color="auto"/>
            </w:tcBorders>
            <w:shd w:val="clear" w:color="auto" w:fill="auto"/>
            <w:vAlign w:val="center"/>
            <w:hideMark/>
          </w:tcPr>
          <w:p w14:paraId="3EA615B8" w14:textId="77777777" w:rsidR="004A0B2E" w:rsidRPr="004A0B2E" w:rsidRDefault="004A0B2E" w:rsidP="004A0B2E">
            <w:pPr>
              <w:jc w:val="right"/>
              <w:rPr>
                <w:rFonts w:ascii="Arial Narrow" w:hAnsi="Arial Narrow" w:cs="Arial"/>
                <w:sz w:val="16"/>
                <w:szCs w:val="16"/>
              </w:rPr>
            </w:pPr>
            <w:r w:rsidRPr="004A0B2E">
              <w:rPr>
                <w:rFonts w:ascii="Arial Narrow" w:hAnsi="Arial Narrow" w:cs="Arial"/>
                <w:sz w:val="16"/>
                <w:szCs w:val="16"/>
              </w:rPr>
              <w:t>547,8</w:t>
            </w:r>
          </w:p>
        </w:tc>
        <w:tc>
          <w:tcPr>
            <w:tcW w:w="1132" w:type="dxa"/>
            <w:tcBorders>
              <w:top w:val="nil"/>
              <w:left w:val="nil"/>
              <w:bottom w:val="single" w:sz="4" w:space="0" w:color="auto"/>
              <w:right w:val="single" w:sz="4" w:space="0" w:color="auto"/>
            </w:tcBorders>
            <w:shd w:val="clear" w:color="auto" w:fill="auto"/>
            <w:vAlign w:val="center"/>
            <w:hideMark/>
          </w:tcPr>
          <w:p w14:paraId="049C0E4A" w14:textId="77777777" w:rsidR="004A0B2E" w:rsidRPr="004A0B2E" w:rsidRDefault="004A0B2E" w:rsidP="004A0B2E">
            <w:pPr>
              <w:rPr>
                <w:rFonts w:ascii="Arial Narrow" w:hAnsi="Arial Narrow" w:cs="Arial"/>
                <w:sz w:val="16"/>
                <w:szCs w:val="16"/>
              </w:rPr>
            </w:pPr>
            <w:r w:rsidRPr="004A0B2E">
              <w:rPr>
                <w:rFonts w:ascii="Arial Narrow" w:hAnsi="Arial Narrow" w:cs="Arial"/>
                <w:sz w:val="16"/>
                <w:szCs w:val="16"/>
              </w:rPr>
              <w:t> </w:t>
            </w:r>
          </w:p>
        </w:tc>
        <w:tc>
          <w:tcPr>
            <w:tcW w:w="1402" w:type="dxa"/>
            <w:tcBorders>
              <w:top w:val="nil"/>
              <w:left w:val="nil"/>
              <w:bottom w:val="single" w:sz="4" w:space="0" w:color="auto"/>
              <w:right w:val="single" w:sz="4" w:space="0" w:color="auto"/>
            </w:tcBorders>
            <w:shd w:val="clear" w:color="auto" w:fill="auto"/>
            <w:vAlign w:val="center"/>
            <w:hideMark/>
          </w:tcPr>
          <w:p w14:paraId="71DCD198" w14:textId="77777777" w:rsidR="004A0B2E" w:rsidRPr="004A0B2E" w:rsidRDefault="004A0B2E" w:rsidP="004A0B2E">
            <w:pPr>
              <w:rPr>
                <w:rFonts w:ascii="Arial Narrow" w:hAnsi="Arial Narrow" w:cs="Arial"/>
                <w:sz w:val="16"/>
                <w:szCs w:val="16"/>
              </w:rPr>
            </w:pPr>
            <w:r w:rsidRPr="004A0B2E">
              <w:rPr>
                <w:rFonts w:ascii="Arial Narrow" w:hAnsi="Arial Narrow" w:cs="Arial"/>
                <w:sz w:val="16"/>
                <w:szCs w:val="16"/>
              </w:rPr>
              <w:t> </w:t>
            </w:r>
          </w:p>
        </w:tc>
        <w:tc>
          <w:tcPr>
            <w:tcW w:w="1403" w:type="dxa"/>
            <w:tcBorders>
              <w:top w:val="nil"/>
              <w:left w:val="nil"/>
              <w:bottom w:val="single" w:sz="4" w:space="0" w:color="auto"/>
              <w:right w:val="single" w:sz="4" w:space="0" w:color="auto"/>
            </w:tcBorders>
            <w:shd w:val="clear" w:color="auto" w:fill="auto"/>
            <w:vAlign w:val="center"/>
            <w:hideMark/>
          </w:tcPr>
          <w:p w14:paraId="3F61B492" w14:textId="77777777" w:rsidR="004A0B2E" w:rsidRPr="004A0B2E" w:rsidRDefault="004A0B2E" w:rsidP="004A0B2E">
            <w:pPr>
              <w:jc w:val="right"/>
              <w:rPr>
                <w:rFonts w:ascii="Arial Narrow" w:hAnsi="Arial Narrow" w:cs="Arial"/>
                <w:sz w:val="16"/>
                <w:szCs w:val="16"/>
              </w:rPr>
            </w:pPr>
            <w:r w:rsidRPr="004A0B2E">
              <w:rPr>
                <w:rFonts w:ascii="Arial Narrow" w:hAnsi="Arial Narrow" w:cs="Arial"/>
                <w:sz w:val="16"/>
                <w:szCs w:val="16"/>
              </w:rPr>
              <w:t>547,8</w:t>
            </w:r>
          </w:p>
        </w:tc>
      </w:tr>
      <w:tr w:rsidR="004A0B2E" w:rsidRPr="004A0B2E" w14:paraId="040DD4DE" w14:textId="77777777" w:rsidTr="005A18A5">
        <w:trPr>
          <w:trHeight w:val="237"/>
        </w:trPr>
        <w:tc>
          <w:tcPr>
            <w:tcW w:w="4191" w:type="dxa"/>
            <w:tcBorders>
              <w:top w:val="nil"/>
              <w:left w:val="single" w:sz="4" w:space="0" w:color="auto"/>
              <w:bottom w:val="single" w:sz="4" w:space="0" w:color="auto"/>
              <w:right w:val="single" w:sz="4" w:space="0" w:color="auto"/>
            </w:tcBorders>
            <w:shd w:val="clear" w:color="auto" w:fill="auto"/>
            <w:vAlign w:val="center"/>
            <w:hideMark/>
          </w:tcPr>
          <w:p w14:paraId="50E2A552" w14:textId="77777777" w:rsidR="004A0B2E" w:rsidRPr="004A0B2E" w:rsidRDefault="004A0B2E" w:rsidP="004A0B2E">
            <w:pPr>
              <w:ind w:firstLineChars="100" w:firstLine="160"/>
              <w:rPr>
                <w:rFonts w:ascii="Arial Narrow" w:hAnsi="Arial Narrow" w:cs="Arial"/>
                <w:sz w:val="16"/>
                <w:szCs w:val="16"/>
              </w:rPr>
            </w:pPr>
            <w:r w:rsidRPr="004A0B2E">
              <w:rPr>
                <w:rFonts w:ascii="Arial Narrow" w:hAnsi="Arial Narrow" w:cs="Arial"/>
                <w:sz w:val="16"/>
                <w:szCs w:val="16"/>
              </w:rPr>
              <w:t>ФИЗИМ</w:t>
            </w:r>
          </w:p>
        </w:tc>
        <w:tc>
          <w:tcPr>
            <w:tcW w:w="1301" w:type="dxa"/>
            <w:tcBorders>
              <w:top w:val="nil"/>
              <w:left w:val="nil"/>
              <w:bottom w:val="single" w:sz="4" w:space="0" w:color="auto"/>
              <w:right w:val="single" w:sz="4" w:space="0" w:color="auto"/>
            </w:tcBorders>
            <w:shd w:val="clear" w:color="auto" w:fill="auto"/>
            <w:vAlign w:val="center"/>
            <w:hideMark/>
          </w:tcPr>
          <w:p w14:paraId="21ED2C02" w14:textId="77777777" w:rsidR="004A0B2E" w:rsidRPr="004A0B2E" w:rsidRDefault="004A0B2E" w:rsidP="004A0B2E">
            <w:pPr>
              <w:jc w:val="right"/>
              <w:rPr>
                <w:rFonts w:ascii="Arial Narrow" w:hAnsi="Arial Narrow" w:cs="Arial"/>
                <w:sz w:val="16"/>
                <w:szCs w:val="16"/>
              </w:rPr>
            </w:pPr>
            <w:r w:rsidRPr="004A0B2E">
              <w:rPr>
                <w:rFonts w:ascii="Arial Narrow" w:hAnsi="Arial Narrow" w:cs="Arial"/>
                <w:sz w:val="16"/>
                <w:szCs w:val="16"/>
              </w:rPr>
              <w:t>53,7</w:t>
            </w:r>
          </w:p>
        </w:tc>
        <w:tc>
          <w:tcPr>
            <w:tcW w:w="1132" w:type="dxa"/>
            <w:tcBorders>
              <w:top w:val="nil"/>
              <w:left w:val="nil"/>
              <w:bottom w:val="single" w:sz="4" w:space="0" w:color="auto"/>
              <w:right w:val="single" w:sz="4" w:space="0" w:color="auto"/>
            </w:tcBorders>
            <w:shd w:val="clear" w:color="auto" w:fill="auto"/>
            <w:vAlign w:val="center"/>
            <w:hideMark/>
          </w:tcPr>
          <w:p w14:paraId="22BE0DD0" w14:textId="77777777" w:rsidR="004A0B2E" w:rsidRPr="004A0B2E" w:rsidRDefault="004A0B2E" w:rsidP="004A0B2E">
            <w:pPr>
              <w:jc w:val="right"/>
              <w:rPr>
                <w:rFonts w:ascii="Arial Narrow" w:hAnsi="Arial Narrow" w:cs="Arial"/>
                <w:sz w:val="16"/>
                <w:szCs w:val="16"/>
              </w:rPr>
            </w:pPr>
            <w:r w:rsidRPr="004A0B2E">
              <w:rPr>
                <w:rFonts w:ascii="Arial Narrow" w:hAnsi="Arial Narrow" w:cs="Arial"/>
                <w:sz w:val="16"/>
                <w:szCs w:val="16"/>
              </w:rPr>
              <w:t>53,7</w:t>
            </w:r>
          </w:p>
        </w:tc>
        <w:tc>
          <w:tcPr>
            <w:tcW w:w="1132" w:type="dxa"/>
            <w:tcBorders>
              <w:top w:val="nil"/>
              <w:left w:val="nil"/>
              <w:bottom w:val="single" w:sz="4" w:space="0" w:color="auto"/>
              <w:right w:val="single" w:sz="4" w:space="0" w:color="auto"/>
            </w:tcBorders>
            <w:shd w:val="clear" w:color="auto" w:fill="auto"/>
            <w:vAlign w:val="center"/>
            <w:hideMark/>
          </w:tcPr>
          <w:p w14:paraId="7024AA2B" w14:textId="77777777" w:rsidR="004A0B2E" w:rsidRPr="004A0B2E" w:rsidRDefault="004A0B2E" w:rsidP="004A0B2E">
            <w:pPr>
              <w:rPr>
                <w:rFonts w:ascii="Arial Narrow" w:hAnsi="Arial Narrow" w:cs="Arial"/>
                <w:sz w:val="16"/>
                <w:szCs w:val="16"/>
              </w:rPr>
            </w:pPr>
            <w:r w:rsidRPr="004A0B2E">
              <w:rPr>
                <w:rFonts w:ascii="Arial Narrow" w:hAnsi="Arial Narrow" w:cs="Arial"/>
                <w:sz w:val="16"/>
                <w:szCs w:val="16"/>
              </w:rPr>
              <w:t> </w:t>
            </w:r>
          </w:p>
        </w:tc>
        <w:tc>
          <w:tcPr>
            <w:tcW w:w="1402" w:type="dxa"/>
            <w:tcBorders>
              <w:top w:val="nil"/>
              <w:left w:val="nil"/>
              <w:bottom w:val="single" w:sz="4" w:space="0" w:color="auto"/>
              <w:right w:val="single" w:sz="4" w:space="0" w:color="auto"/>
            </w:tcBorders>
            <w:shd w:val="clear" w:color="auto" w:fill="auto"/>
            <w:vAlign w:val="center"/>
            <w:hideMark/>
          </w:tcPr>
          <w:p w14:paraId="49A12A02" w14:textId="77777777" w:rsidR="004A0B2E" w:rsidRPr="004A0B2E" w:rsidRDefault="004A0B2E" w:rsidP="004A0B2E">
            <w:pPr>
              <w:rPr>
                <w:rFonts w:ascii="Arial Narrow" w:hAnsi="Arial Narrow" w:cs="Arial"/>
                <w:sz w:val="16"/>
                <w:szCs w:val="16"/>
              </w:rPr>
            </w:pPr>
            <w:r w:rsidRPr="004A0B2E">
              <w:rPr>
                <w:rFonts w:ascii="Arial Narrow" w:hAnsi="Arial Narrow" w:cs="Arial"/>
                <w:sz w:val="16"/>
                <w:szCs w:val="16"/>
              </w:rPr>
              <w:t> </w:t>
            </w:r>
          </w:p>
        </w:tc>
        <w:tc>
          <w:tcPr>
            <w:tcW w:w="1403" w:type="dxa"/>
            <w:tcBorders>
              <w:top w:val="nil"/>
              <w:left w:val="nil"/>
              <w:bottom w:val="single" w:sz="4" w:space="0" w:color="auto"/>
              <w:right w:val="single" w:sz="4" w:space="0" w:color="auto"/>
            </w:tcBorders>
            <w:shd w:val="clear" w:color="auto" w:fill="auto"/>
            <w:vAlign w:val="center"/>
            <w:hideMark/>
          </w:tcPr>
          <w:p w14:paraId="46D56844" w14:textId="77777777" w:rsidR="004A0B2E" w:rsidRPr="004A0B2E" w:rsidRDefault="004A0B2E" w:rsidP="004A0B2E">
            <w:pPr>
              <w:jc w:val="right"/>
              <w:rPr>
                <w:rFonts w:ascii="Arial Narrow" w:hAnsi="Arial Narrow" w:cs="Arial"/>
                <w:sz w:val="16"/>
                <w:szCs w:val="16"/>
              </w:rPr>
            </w:pPr>
            <w:r w:rsidRPr="004A0B2E">
              <w:rPr>
                <w:rFonts w:ascii="Arial Narrow" w:hAnsi="Arial Narrow" w:cs="Arial"/>
                <w:sz w:val="16"/>
                <w:szCs w:val="16"/>
              </w:rPr>
              <w:t>53,7</w:t>
            </w:r>
          </w:p>
        </w:tc>
      </w:tr>
      <w:tr w:rsidR="004A0B2E" w:rsidRPr="004A0B2E" w14:paraId="12742860" w14:textId="77777777" w:rsidTr="005A18A5">
        <w:trPr>
          <w:trHeight w:val="237"/>
        </w:trPr>
        <w:tc>
          <w:tcPr>
            <w:tcW w:w="4191" w:type="dxa"/>
            <w:tcBorders>
              <w:top w:val="nil"/>
              <w:left w:val="single" w:sz="4" w:space="0" w:color="auto"/>
              <w:bottom w:val="single" w:sz="4" w:space="0" w:color="auto"/>
              <w:right w:val="single" w:sz="4" w:space="0" w:color="auto"/>
            </w:tcBorders>
            <w:shd w:val="clear" w:color="auto" w:fill="auto"/>
            <w:vAlign w:val="center"/>
            <w:hideMark/>
          </w:tcPr>
          <w:p w14:paraId="21AC0C29" w14:textId="77777777" w:rsidR="004A0B2E" w:rsidRPr="004A0B2E" w:rsidRDefault="004A0B2E" w:rsidP="004A0B2E">
            <w:pPr>
              <w:ind w:firstLineChars="100" w:firstLine="160"/>
              <w:rPr>
                <w:rFonts w:ascii="Arial Narrow" w:hAnsi="Arial Narrow" w:cs="Arial"/>
                <w:sz w:val="16"/>
                <w:szCs w:val="16"/>
              </w:rPr>
            </w:pPr>
            <w:r w:rsidRPr="004A0B2E">
              <w:rPr>
                <w:rFonts w:ascii="Arial Narrow" w:hAnsi="Arial Narrow" w:cs="Arial"/>
                <w:sz w:val="16"/>
                <w:szCs w:val="16"/>
              </w:rPr>
              <w:t>Други стоки и услуги</w:t>
            </w:r>
          </w:p>
        </w:tc>
        <w:tc>
          <w:tcPr>
            <w:tcW w:w="1301" w:type="dxa"/>
            <w:tcBorders>
              <w:top w:val="nil"/>
              <w:left w:val="nil"/>
              <w:bottom w:val="single" w:sz="4" w:space="0" w:color="auto"/>
              <w:right w:val="single" w:sz="4" w:space="0" w:color="auto"/>
            </w:tcBorders>
            <w:shd w:val="clear" w:color="auto" w:fill="auto"/>
            <w:vAlign w:val="center"/>
            <w:hideMark/>
          </w:tcPr>
          <w:p w14:paraId="605B4D9F" w14:textId="77777777" w:rsidR="004A0B2E" w:rsidRPr="004A0B2E" w:rsidRDefault="004A0B2E" w:rsidP="004A0B2E">
            <w:pPr>
              <w:jc w:val="right"/>
              <w:rPr>
                <w:rFonts w:ascii="Arial Narrow" w:hAnsi="Arial Narrow" w:cs="Arial"/>
                <w:sz w:val="16"/>
                <w:szCs w:val="16"/>
              </w:rPr>
            </w:pPr>
            <w:r w:rsidRPr="004A0B2E">
              <w:rPr>
                <w:rFonts w:ascii="Arial Narrow" w:hAnsi="Arial Narrow" w:cs="Arial"/>
                <w:sz w:val="16"/>
                <w:szCs w:val="16"/>
              </w:rPr>
              <w:t>445,7</w:t>
            </w:r>
          </w:p>
        </w:tc>
        <w:tc>
          <w:tcPr>
            <w:tcW w:w="1132" w:type="dxa"/>
            <w:tcBorders>
              <w:top w:val="nil"/>
              <w:left w:val="nil"/>
              <w:bottom w:val="single" w:sz="4" w:space="0" w:color="auto"/>
              <w:right w:val="single" w:sz="4" w:space="0" w:color="auto"/>
            </w:tcBorders>
            <w:shd w:val="clear" w:color="auto" w:fill="auto"/>
            <w:vAlign w:val="center"/>
            <w:hideMark/>
          </w:tcPr>
          <w:p w14:paraId="29BDA69A" w14:textId="77777777" w:rsidR="004A0B2E" w:rsidRPr="004A0B2E" w:rsidRDefault="004A0B2E" w:rsidP="004A0B2E">
            <w:pPr>
              <w:jc w:val="right"/>
              <w:rPr>
                <w:rFonts w:ascii="Arial Narrow" w:hAnsi="Arial Narrow" w:cs="Arial"/>
                <w:sz w:val="16"/>
                <w:szCs w:val="16"/>
              </w:rPr>
            </w:pPr>
            <w:r w:rsidRPr="004A0B2E">
              <w:rPr>
                <w:rFonts w:ascii="Arial Narrow" w:hAnsi="Arial Narrow" w:cs="Arial"/>
                <w:sz w:val="16"/>
                <w:szCs w:val="16"/>
              </w:rPr>
              <w:t>384,4</w:t>
            </w:r>
          </w:p>
        </w:tc>
        <w:tc>
          <w:tcPr>
            <w:tcW w:w="1132" w:type="dxa"/>
            <w:tcBorders>
              <w:top w:val="nil"/>
              <w:left w:val="nil"/>
              <w:bottom w:val="single" w:sz="4" w:space="0" w:color="auto"/>
              <w:right w:val="single" w:sz="4" w:space="0" w:color="auto"/>
            </w:tcBorders>
            <w:shd w:val="clear" w:color="auto" w:fill="auto"/>
            <w:vAlign w:val="center"/>
            <w:hideMark/>
          </w:tcPr>
          <w:p w14:paraId="6BAD339D" w14:textId="77777777" w:rsidR="004A0B2E" w:rsidRPr="004A0B2E" w:rsidRDefault="004A0B2E" w:rsidP="004A0B2E">
            <w:pPr>
              <w:jc w:val="right"/>
              <w:rPr>
                <w:rFonts w:ascii="Arial Narrow" w:hAnsi="Arial Narrow" w:cs="Arial"/>
                <w:sz w:val="16"/>
                <w:szCs w:val="16"/>
              </w:rPr>
            </w:pPr>
            <w:r w:rsidRPr="004A0B2E">
              <w:rPr>
                <w:rFonts w:ascii="Arial Narrow" w:hAnsi="Arial Narrow" w:cs="Arial"/>
                <w:sz w:val="16"/>
                <w:szCs w:val="16"/>
              </w:rPr>
              <w:t>61,3</w:t>
            </w:r>
          </w:p>
        </w:tc>
        <w:tc>
          <w:tcPr>
            <w:tcW w:w="1402" w:type="dxa"/>
            <w:tcBorders>
              <w:top w:val="nil"/>
              <w:left w:val="nil"/>
              <w:bottom w:val="single" w:sz="4" w:space="0" w:color="auto"/>
              <w:right w:val="single" w:sz="4" w:space="0" w:color="auto"/>
            </w:tcBorders>
            <w:shd w:val="clear" w:color="auto" w:fill="auto"/>
            <w:vAlign w:val="center"/>
            <w:hideMark/>
          </w:tcPr>
          <w:p w14:paraId="6EA20DC9" w14:textId="77777777" w:rsidR="004A0B2E" w:rsidRPr="004A0B2E" w:rsidRDefault="004A0B2E" w:rsidP="004A0B2E">
            <w:pPr>
              <w:jc w:val="right"/>
              <w:rPr>
                <w:rFonts w:ascii="Arial Narrow" w:hAnsi="Arial Narrow" w:cs="Arial"/>
                <w:sz w:val="16"/>
                <w:szCs w:val="16"/>
              </w:rPr>
            </w:pPr>
            <w:r w:rsidRPr="004A0B2E">
              <w:rPr>
                <w:rFonts w:ascii="Arial Narrow" w:hAnsi="Arial Narrow" w:cs="Arial"/>
                <w:sz w:val="16"/>
                <w:szCs w:val="16"/>
              </w:rPr>
              <w:t>103,7</w:t>
            </w:r>
          </w:p>
        </w:tc>
        <w:tc>
          <w:tcPr>
            <w:tcW w:w="1403" w:type="dxa"/>
            <w:tcBorders>
              <w:top w:val="nil"/>
              <w:left w:val="nil"/>
              <w:bottom w:val="single" w:sz="4" w:space="0" w:color="auto"/>
              <w:right w:val="single" w:sz="4" w:space="0" w:color="auto"/>
            </w:tcBorders>
            <w:shd w:val="clear" w:color="auto" w:fill="auto"/>
            <w:vAlign w:val="center"/>
            <w:hideMark/>
          </w:tcPr>
          <w:p w14:paraId="59F7CCAE" w14:textId="77777777" w:rsidR="004A0B2E" w:rsidRPr="004A0B2E" w:rsidRDefault="004A0B2E" w:rsidP="004A0B2E">
            <w:pPr>
              <w:jc w:val="right"/>
              <w:rPr>
                <w:rFonts w:ascii="Arial Narrow" w:hAnsi="Arial Narrow" w:cs="Arial"/>
                <w:sz w:val="16"/>
                <w:szCs w:val="16"/>
              </w:rPr>
            </w:pPr>
            <w:r w:rsidRPr="004A0B2E">
              <w:rPr>
                <w:rFonts w:ascii="Arial Narrow" w:hAnsi="Arial Narrow" w:cs="Arial"/>
                <w:sz w:val="16"/>
                <w:szCs w:val="16"/>
              </w:rPr>
              <w:t>280,7</w:t>
            </w:r>
          </w:p>
        </w:tc>
      </w:tr>
      <w:tr w:rsidR="004A0B2E" w:rsidRPr="004A0B2E" w14:paraId="57584854" w14:textId="77777777" w:rsidTr="005A18A5">
        <w:trPr>
          <w:trHeight w:val="307"/>
        </w:trPr>
        <w:tc>
          <w:tcPr>
            <w:tcW w:w="4191" w:type="dxa"/>
            <w:tcBorders>
              <w:top w:val="nil"/>
              <w:left w:val="single" w:sz="4" w:space="0" w:color="auto"/>
              <w:bottom w:val="single" w:sz="4" w:space="0" w:color="auto"/>
              <w:right w:val="single" w:sz="4" w:space="0" w:color="auto"/>
            </w:tcBorders>
            <w:shd w:val="clear" w:color="auto" w:fill="auto"/>
            <w:vAlign w:val="center"/>
            <w:hideMark/>
          </w:tcPr>
          <w:p w14:paraId="0D3D9357" w14:textId="77777777" w:rsidR="004A0B2E" w:rsidRPr="004A0B2E" w:rsidRDefault="004A0B2E" w:rsidP="004A0B2E">
            <w:pPr>
              <w:rPr>
                <w:rFonts w:ascii="Arial Narrow" w:hAnsi="Arial Narrow" w:cs="Calibri"/>
                <w:b/>
                <w:bCs/>
                <w:sz w:val="16"/>
                <w:szCs w:val="16"/>
              </w:rPr>
            </w:pPr>
            <w:r w:rsidRPr="004A0B2E">
              <w:rPr>
                <w:rFonts w:ascii="Arial Narrow" w:hAnsi="Arial Narrow" w:cs="Calibri"/>
                <w:b/>
                <w:bCs/>
                <w:sz w:val="16"/>
                <w:szCs w:val="16"/>
              </w:rPr>
              <w:t xml:space="preserve">Междинно потребление </w:t>
            </w:r>
          </w:p>
        </w:tc>
        <w:tc>
          <w:tcPr>
            <w:tcW w:w="1301" w:type="dxa"/>
            <w:tcBorders>
              <w:top w:val="nil"/>
              <w:left w:val="nil"/>
              <w:bottom w:val="single" w:sz="4" w:space="0" w:color="auto"/>
              <w:right w:val="single" w:sz="4" w:space="0" w:color="auto"/>
            </w:tcBorders>
            <w:shd w:val="clear" w:color="auto" w:fill="auto"/>
            <w:vAlign w:val="center"/>
            <w:hideMark/>
          </w:tcPr>
          <w:p w14:paraId="0E4A2762" w14:textId="77777777" w:rsidR="004A0B2E" w:rsidRPr="004A0B2E" w:rsidRDefault="004A0B2E" w:rsidP="004A0B2E">
            <w:pPr>
              <w:jc w:val="right"/>
              <w:rPr>
                <w:rFonts w:ascii="Arial Narrow" w:hAnsi="Arial Narrow" w:cs="Arial"/>
                <w:sz w:val="16"/>
                <w:szCs w:val="16"/>
              </w:rPr>
            </w:pPr>
            <w:r w:rsidRPr="004A0B2E">
              <w:rPr>
                <w:rFonts w:ascii="Arial Narrow" w:hAnsi="Arial Narrow" w:cs="Arial"/>
                <w:sz w:val="16"/>
                <w:szCs w:val="16"/>
              </w:rPr>
              <w:t>5 896,1</w:t>
            </w:r>
          </w:p>
        </w:tc>
        <w:tc>
          <w:tcPr>
            <w:tcW w:w="1132" w:type="dxa"/>
            <w:tcBorders>
              <w:top w:val="nil"/>
              <w:left w:val="nil"/>
              <w:bottom w:val="single" w:sz="4" w:space="0" w:color="auto"/>
              <w:right w:val="single" w:sz="4" w:space="0" w:color="auto"/>
            </w:tcBorders>
            <w:shd w:val="clear" w:color="auto" w:fill="auto"/>
            <w:vAlign w:val="center"/>
            <w:hideMark/>
          </w:tcPr>
          <w:p w14:paraId="4DD5859C" w14:textId="77777777" w:rsidR="004A0B2E" w:rsidRPr="004A0B2E" w:rsidRDefault="004A0B2E" w:rsidP="004A0B2E">
            <w:pPr>
              <w:jc w:val="right"/>
              <w:rPr>
                <w:rFonts w:ascii="Arial Narrow" w:hAnsi="Arial Narrow" w:cs="Arial"/>
                <w:sz w:val="16"/>
                <w:szCs w:val="16"/>
              </w:rPr>
            </w:pPr>
            <w:r w:rsidRPr="004A0B2E">
              <w:rPr>
                <w:rFonts w:ascii="Arial Narrow" w:hAnsi="Arial Narrow" w:cs="Arial"/>
                <w:sz w:val="16"/>
                <w:szCs w:val="16"/>
              </w:rPr>
              <w:t>5 700,8</w:t>
            </w:r>
          </w:p>
        </w:tc>
        <w:tc>
          <w:tcPr>
            <w:tcW w:w="1132" w:type="dxa"/>
            <w:tcBorders>
              <w:top w:val="nil"/>
              <w:left w:val="nil"/>
              <w:bottom w:val="single" w:sz="4" w:space="0" w:color="auto"/>
              <w:right w:val="single" w:sz="4" w:space="0" w:color="auto"/>
            </w:tcBorders>
            <w:shd w:val="clear" w:color="auto" w:fill="auto"/>
            <w:vAlign w:val="center"/>
            <w:hideMark/>
          </w:tcPr>
          <w:p w14:paraId="1373958E" w14:textId="77777777" w:rsidR="004A0B2E" w:rsidRPr="004A0B2E" w:rsidRDefault="004A0B2E" w:rsidP="004A0B2E">
            <w:pPr>
              <w:jc w:val="right"/>
              <w:rPr>
                <w:rFonts w:ascii="Arial Narrow" w:hAnsi="Arial Narrow" w:cs="Arial"/>
                <w:sz w:val="16"/>
                <w:szCs w:val="16"/>
              </w:rPr>
            </w:pPr>
            <w:r w:rsidRPr="004A0B2E">
              <w:rPr>
                <w:rFonts w:ascii="Arial Narrow" w:hAnsi="Arial Narrow" w:cs="Arial"/>
                <w:sz w:val="16"/>
                <w:szCs w:val="16"/>
              </w:rPr>
              <w:t>367,0</w:t>
            </w:r>
          </w:p>
        </w:tc>
        <w:tc>
          <w:tcPr>
            <w:tcW w:w="1402" w:type="dxa"/>
            <w:tcBorders>
              <w:top w:val="nil"/>
              <w:left w:val="nil"/>
              <w:bottom w:val="single" w:sz="4" w:space="0" w:color="auto"/>
              <w:right w:val="single" w:sz="4" w:space="0" w:color="auto"/>
            </w:tcBorders>
            <w:shd w:val="clear" w:color="auto" w:fill="auto"/>
            <w:vAlign w:val="center"/>
            <w:hideMark/>
          </w:tcPr>
          <w:p w14:paraId="543D20EE" w14:textId="77777777" w:rsidR="004A0B2E" w:rsidRPr="004A0B2E" w:rsidRDefault="004A0B2E" w:rsidP="004A0B2E">
            <w:pPr>
              <w:jc w:val="right"/>
              <w:rPr>
                <w:rFonts w:ascii="Arial Narrow" w:hAnsi="Arial Narrow" w:cs="Arial"/>
                <w:sz w:val="16"/>
                <w:szCs w:val="16"/>
              </w:rPr>
            </w:pPr>
            <w:r w:rsidRPr="004A0B2E">
              <w:rPr>
                <w:rFonts w:ascii="Arial Narrow" w:hAnsi="Arial Narrow" w:cs="Arial"/>
                <w:sz w:val="16"/>
                <w:szCs w:val="16"/>
              </w:rPr>
              <w:t>689,2</w:t>
            </w:r>
          </w:p>
        </w:tc>
        <w:tc>
          <w:tcPr>
            <w:tcW w:w="1403" w:type="dxa"/>
            <w:tcBorders>
              <w:top w:val="nil"/>
              <w:left w:val="nil"/>
              <w:bottom w:val="single" w:sz="4" w:space="0" w:color="auto"/>
              <w:right w:val="single" w:sz="4" w:space="0" w:color="auto"/>
            </w:tcBorders>
            <w:shd w:val="clear" w:color="auto" w:fill="auto"/>
            <w:vAlign w:val="center"/>
            <w:hideMark/>
          </w:tcPr>
          <w:p w14:paraId="48253B14" w14:textId="77777777" w:rsidR="004A0B2E" w:rsidRPr="004A0B2E" w:rsidRDefault="004A0B2E" w:rsidP="004A0B2E">
            <w:pPr>
              <w:jc w:val="right"/>
              <w:rPr>
                <w:rFonts w:ascii="Arial Narrow" w:hAnsi="Arial Narrow" w:cs="Arial"/>
                <w:sz w:val="16"/>
                <w:szCs w:val="16"/>
              </w:rPr>
            </w:pPr>
            <w:r w:rsidRPr="004A0B2E">
              <w:rPr>
                <w:rFonts w:ascii="Arial Narrow" w:hAnsi="Arial Narrow" w:cs="Arial"/>
                <w:sz w:val="16"/>
                <w:szCs w:val="16"/>
              </w:rPr>
              <w:t>4 839,9</w:t>
            </w:r>
          </w:p>
        </w:tc>
      </w:tr>
      <w:tr w:rsidR="004A0B2E" w:rsidRPr="004A0B2E" w14:paraId="041D7365" w14:textId="77777777" w:rsidTr="005A18A5">
        <w:trPr>
          <w:trHeight w:val="307"/>
        </w:trPr>
        <w:tc>
          <w:tcPr>
            <w:tcW w:w="4191" w:type="dxa"/>
            <w:tcBorders>
              <w:top w:val="nil"/>
              <w:left w:val="single" w:sz="4" w:space="0" w:color="auto"/>
              <w:bottom w:val="single" w:sz="4" w:space="0" w:color="auto"/>
              <w:right w:val="single" w:sz="4" w:space="0" w:color="auto"/>
            </w:tcBorders>
            <w:shd w:val="clear" w:color="auto" w:fill="auto"/>
            <w:vAlign w:val="center"/>
            <w:hideMark/>
          </w:tcPr>
          <w:p w14:paraId="70DBA517" w14:textId="77777777" w:rsidR="004A0B2E" w:rsidRPr="004A0B2E" w:rsidRDefault="004A0B2E" w:rsidP="004A0B2E">
            <w:pPr>
              <w:rPr>
                <w:rFonts w:ascii="Arial Narrow" w:hAnsi="Arial Narrow" w:cs="Calibri"/>
                <w:b/>
                <w:bCs/>
                <w:sz w:val="16"/>
                <w:szCs w:val="16"/>
              </w:rPr>
            </w:pPr>
            <w:r w:rsidRPr="004A0B2E">
              <w:rPr>
                <w:rFonts w:ascii="Arial Narrow" w:hAnsi="Arial Narrow" w:cs="Calibri"/>
                <w:b/>
                <w:bCs/>
                <w:sz w:val="16"/>
                <w:szCs w:val="16"/>
              </w:rPr>
              <w:t>Потребление на основен капитал</w:t>
            </w:r>
          </w:p>
        </w:tc>
        <w:tc>
          <w:tcPr>
            <w:tcW w:w="1301" w:type="dxa"/>
            <w:tcBorders>
              <w:top w:val="nil"/>
              <w:left w:val="nil"/>
              <w:bottom w:val="single" w:sz="4" w:space="0" w:color="auto"/>
              <w:right w:val="single" w:sz="4" w:space="0" w:color="auto"/>
            </w:tcBorders>
            <w:shd w:val="clear" w:color="auto" w:fill="auto"/>
            <w:vAlign w:val="center"/>
            <w:hideMark/>
          </w:tcPr>
          <w:p w14:paraId="355956BF" w14:textId="77777777" w:rsidR="004A0B2E" w:rsidRPr="004A0B2E" w:rsidRDefault="004A0B2E" w:rsidP="004A0B2E">
            <w:pPr>
              <w:jc w:val="right"/>
              <w:rPr>
                <w:rFonts w:ascii="Arial Narrow" w:hAnsi="Arial Narrow" w:cs="Arial"/>
                <w:sz w:val="16"/>
                <w:szCs w:val="16"/>
              </w:rPr>
            </w:pPr>
            <w:r w:rsidRPr="004A0B2E">
              <w:rPr>
                <w:rFonts w:ascii="Arial Narrow" w:hAnsi="Arial Narrow" w:cs="Arial"/>
                <w:sz w:val="16"/>
                <w:szCs w:val="16"/>
              </w:rPr>
              <w:t>1 232,2</w:t>
            </w:r>
          </w:p>
        </w:tc>
        <w:tc>
          <w:tcPr>
            <w:tcW w:w="1132" w:type="dxa"/>
            <w:tcBorders>
              <w:top w:val="nil"/>
              <w:left w:val="nil"/>
              <w:bottom w:val="single" w:sz="4" w:space="0" w:color="auto"/>
              <w:right w:val="single" w:sz="4" w:space="0" w:color="auto"/>
            </w:tcBorders>
            <w:shd w:val="clear" w:color="auto" w:fill="auto"/>
            <w:vAlign w:val="center"/>
            <w:hideMark/>
          </w:tcPr>
          <w:p w14:paraId="3F61ACBC" w14:textId="77777777" w:rsidR="004A0B2E" w:rsidRPr="004A0B2E" w:rsidRDefault="004A0B2E" w:rsidP="004A0B2E">
            <w:pPr>
              <w:jc w:val="right"/>
              <w:rPr>
                <w:rFonts w:ascii="Arial Narrow" w:hAnsi="Arial Narrow" w:cs="Arial"/>
                <w:sz w:val="16"/>
                <w:szCs w:val="16"/>
              </w:rPr>
            </w:pPr>
            <w:r w:rsidRPr="004A0B2E">
              <w:rPr>
                <w:rFonts w:ascii="Arial Narrow" w:hAnsi="Arial Narrow" w:cs="Arial"/>
                <w:sz w:val="16"/>
                <w:szCs w:val="16"/>
              </w:rPr>
              <w:t>1 232,2</w:t>
            </w:r>
          </w:p>
        </w:tc>
        <w:tc>
          <w:tcPr>
            <w:tcW w:w="1132" w:type="dxa"/>
            <w:tcBorders>
              <w:top w:val="nil"/>
              <w:left w:val="nil"/>
              <w:bottom w:val="single" w:sz="4" w:space="0" w:color="auto"/>
              <w:right w:val="single" w:sz="4" w:space="0" w:color="auto"/>
            </w:tcBorders>
            <w:shd w:val="clear" w:color="auto" w:fill="auto"/>
            <w:vAlign w:val="center"/>
            <w:hideMark/>
          </w:tcPr>
          <w:p w14:paraId="212C8FDA" w14:textId="77777777" w:rsidR="004A0B2E" w:rsidRPr="004A0B2E" w:rsidRDefault="004A0B2E" w:rsidP="004A0B2E">
            <w:pPr>
              <w:rPr>
                <w:rFonts w:ascii="Arial Narrow" w:hAnsi="Arial Narrow" w:cs="Arial"/>
                <w:sz w:val="16"/>
                <w:szCs w:val="16"/>
              </w:rPr>
            </w:pPr>
            <w:r w:rsidRPr="004A0B2E">
              <w:rPr>
                <w:rFonts w:ascii="Arial Narrow" w:hAnsi="Arial Narrow" w:cs="Arial"/>
                <w:sz w:val="16"/>
                <w:szCs w:val="16"/>
              </w:rPr>
              <w:t> </w:t>
            </w:r>
          </w:p>
        </w:tc>
        <w:tc>
          <w:tcPr>
            <w:tcW w:w="1402" w:type="dxa"/>
            <w:tcBorders>
              <w:top w:val="nil"/>
              <w:left w:val="nil"/>
              <w:bottom w:val="single" w:sz="4" w:space="0" w:color="auto"/>
              <w:right w:val="single" w:sz="4" w:space="0" w:color="auto"/>
            </w:tcBorders>
            <w:shd w:val="clear" w:color="auto" w:fill="auto"/>
            <w:vAlign w:val="center"/>
            <w:hideMark/>
          </w:tcPr>
          <w:p w14:paraId="459752B8" w14:textId="77777777" w:rsidR="004A0B2E" w:rsidRPr="004A0B2E" w:rsidRDefault="004A0B2E" w:rsidP="004A0B2E">
            <w:pPr>
              <w:rPr>
                <w:rFonts w:ascii="Arial Narrow" w:hAnsi="Arial Narrow" w:cs="Arial"/>
                <w:sz w:val="16"/>
                <w:szCs w:val="16"/>
              </w:rPr>
            </w:pPr>
            <w:r w:rsidRPr="004A0B2E">
              <w:rPr>
                <w:rFonts w:ascii="Arial Narrow" w:hAnsi="Arial Narrow" w:cs="Arial"/>
                <w:sz w:val="16"/>
                <w:szCs w:val="16"/>
              </w:rPr>
              <w:t> </w:t>
            </w:r>
          </w:p>
        </w:tc>
        <w:tc>
          <w:tcPr>
            <w:tcW w:w="1403" w:type="dxa"/>
            <w:tcBorders>
              <w:top w:val="nil"/>
              <w:left w:val="nil"/>
              <w:bottom w:val="single" w:sz="4" w:space="0" w:color="auto"/>
              <w:right w:val="single" w:sz="4" w:space="0" w:color="auto"/>
            </w:tcBorders>
            <w:shd w:val="clear" w:color="auto" w:fill="auto"/>
            <w:vAlign w:val="center"/>
            <w:hideMark/>
          </w:tcPr>
          <w:p w14:paraId="594D4358" w14:textId="77777777" w:rsidR="004A0B2E" w:rsidRPr="004A0B2E" w:rsidRDefault="004A0B2E" w:rsidP="004A0B2E">
            <w:pPr>
              <w:jc w:val="right"/>
              <w:rPr>
                <w:rFonts w:ascii="Arial Narrow" w:hAnsi="Arial Narrow" w:cs="Arial"/>
                <w:sz w:val="16"/>
                <w:szCs w:val="16"/>
              </w:rPr>
            </w:pPr>
            <w:r w:rsidRPr="004A0B2E">
              <w:rPr>
                <w:rFonts w:ascii="Arial Narrow" w:hAnsi="Arial Narrow" w:cs="Arial"/>
                <w:sz w:val="16"/>
                <w:szCs w:val="16"/>
              </w:rPr>
              <w:t>1 232,2</w:t>
            </w:r>
          </w:p>
        </w:tc>
      </w:tr>
      <w:tr w:rsidR="004A0B2E" w:rsidRPr="004A0B2E" w14:paraId="0D895BB0" w14:textId="77777777" w:rsidTr="005A18A5">
        <w:trPr>
          <w:trHeight w:val="307"/>
        </w:trPr>
        <w:tc>
          <w:tcPr>
            <w:tcW w:w="4191" w:type="dxa"/>
            <w:tcBorders>
              <w:top w:val="nil"/>
              <w:left w:val="single" w:sz="4" w:space="0" w:color="auto"/>
              <w:bottom w:val="single" w:sz="4" w:space="0" w:color="auto"/>
              <w:right w:val="single" w:sz="4" w:space="0" w:color="auto"/>
            </w:tcBorders>
            <w:shd w:val="clear" w:color="auto" w:fill="auto"/>
            <w:vAlign w:val="center"/>
            <w:hideMark/>
          </w:tcPr>
          <w:p w14:paraId="78E096CC" w14:textId="77777777" w:rsidR="004A0B2E" w:rsidRPr="004A0B2E" w:rsidRDefault="004A0B2E" w:rsidP="004A0B2E">
            <w:pPr>
              <w:ind w:firstLineChars="100" w:firstLine="160"/>
              <w:rPr>
                <w:rFonts w:ascii="Arial Narrow" w:hAnsi="Arial Narrow" w:cs="Calibri"/>
                <w:sz w:val="16"/>
                <w:szCs w:val="16"/>
              </w:rPr>
            </w:pPr>
            <w:r w:rsidRPr="004A0B2E">
              <w:rPr>
                <w:rFonts w:ascii="Arial Narrow" w:hAnsi="Arial Narrow" w:cs="Calibri"/>
                <w:sz w:val="16"/>
                <w:szCs w:val="16"/>
              </w:rPr>
              <w:t>- оборудване</w:t>
            </w:r>
          </w:p>
        </w:tc>
        <w:tc>
          <w:tcPr>
            <w:tcW w:w="1301" w:type="dxa"/>
            <w:tcBorders>
              <w:top w:val="nil"/>
              <w:left w:val="nil"/>
              <w:bottom w:val="single" w:sz="4" w:space="0" w:color="auto"/>
              <w:right w:val="single" w:sz="4" w:space="0" w:color="auto"/>
            </w:tcBorders>
            <w:shd w:val="clear" w:color="auto" w:fill="auto"/>
            <w:vAlign w:val="center"/>
            <w:hideMark/>
          </w:tcPr>
          <w:p w14:paraId="5B05F749" w14:textId="77777777" w:rsidR="004A0B2E" w:rsidRPr="004A0B2E" w:rsidRDefault="004A0B2E" w:rsidP="004A0B2E">
            <w:pPr>
              <w:jc w:val="right"/>
              <w:rPr>
                <w:rFonts w:ascii="Arial Narrow" w:hAnsi="Arial Narrow" w:cs="Arial"/>
                <w:sz w:val="16"/>
                <w:szCs w:val="16"/>
              </w:rPr>
            </w:pPr>
            <w:r w:rsidRPr="004A0B2E">
              <w:rPr>
                <w:rFonts w:ascii="Arial Narrow" w:hAnsi="Arial Narrow" w:cs="Arial"/>
                <w:sz w:val="16"/>
                <w:szCs w:val="16"/>
              </w:rPr>
              <w:t>990,2</w:t>
            </w:r>
          </w:p>
        </w:tc>
        <w:tc>
          <w:tcPr>
            <w:tcW w:w="1132" w:type="dxa"/>
            <w:tcBorders>
              <w:top w:val="nil"/>
              <w:left w:val="nil"/>
              <w:bottom w:val="single" w:sz="4" w:space="0" w:color="auto"/>
              <w:right w:val="single" w:sz="4" w:space="0" w:color="auto"/>
            </w:tcBorders>
            <w:shd w:val="clear" w:color="auto" w:fill="auto"/>
            <w:vAlign w:val="center"/>
            <w:hideMark/>
          </w:tcPr>
          <w:p w14:paraId="0EEC8A02" w14:textId="77777777" w:rsidR="004A0B2E" w:rsidRPr="004A0B2E" w:rsidRDefault="004A0B2E" w:rsidP="004A0B2E">
            <w:pPr>
              <w:jc w:val="right"/>
              <w:rPr>
                <w:rFonts w:ascii="Arial Narrow" w:hAnsi="Arial Narrow" w:cs="Arial"/>
                <w:sz w:val="16"/>
                <w:szCs w:val="16"/>
              </w:rPr>
            </w:pPr>
            <w:r w:rsidRPr="004A0B2E">
              <w:rPr>
                <w:rFonts w:ascii="Arial Narrow" w:hAnsi="Arial Narrow" w:cs="Arial"/>
                <w:sz w:val="16"/>
                <w:szCs w:val="16"/>
              </w:rPr>
              <w:t>990,2</w:t>
            </w:r>
          </w:p>
        </w:tc>
        <w:tc>
          <w:tcPr>
            <w:tcW w:w="1132" w:type="dxa"/>
            <w:tcBorders>
              <w:top w:val="nil"/>
              <w:left w:val="nil"/>
              <w:bottom w:val="single" w:sz="4" w:space="0" w:color="auto"/>
              <w:right w:val="single" w:sz="4" w:space="0" w:color="auto"/>
            </w:tcBorders>
            <w:shd w:val="clear" w:color="auto" w:fill="auto"/>
            <w:vAlign w:val="center"/>
            <w:hideMark/>
          </w:tcPr>
          <w:p w14:paraId="23772414" w14:textId="77777777" w:rsidR="004A0B2E" w:rsidRPr="004A0B2E" w:rsidRDefault="004A0B2E" w:rsidP="004A0B2E">
            <w:pPr>
              <w:rPr>
                <w:rFonts w:ascii="Arial Narrow" w:hAnsi="Arial Narrow" w:cs="Arial"/>
                <w:sz w:val="16"/>
                <w:szCs w:val="16"/>
              </w:rPr>
            </w:pPr>
            <w:r w:rsidRPr="004A0B2E">
              <w:rPr>
                <w:rFonts w:ascii="Arial Narrow" w:hAnsi="Arial Narrow" w:cs="Arial"/>
                <w:sz w:val="16"/>
                <w:szCs w:val="16"/>
              </w:rPr>
              <w:t> </w:t>
            </w:r>
          </w:p>
        </w:tc>
        <w:tc>
          <w:tcPr>
            <w:tcW w:w="1402" w:type="dxa"/>
            <w:tcBorders>
              <w:top w:val="nil"/>
              <w:left w:val="nil"/>
              <w:bottom w:val="single" w:sz="4" w:space="0" w:color="auto"/>
              <w:right w:val="single" w:sz="4" w:space="0" w:color="auto"/>
            </w:tcBorders>
            <w:shd w:val="clear" w:color="auto" w:fill="auto"/>
            <w:vAlign w:val="center"/>
            <w:hideMark/>
          </w:tcPr>
          <w:p w14:paraId="2CAFD355" w14:textId="77777777" w:rsidR="004A0B2E" w:rsidRPr="004A0B2E" w:rsidRDefault="004A0B2E" w:rsidP="004A0B2E">
            <w:pPr>
              <w:rPr>
                <w:rFonts w:ascii="Arial Narrow" w:hAnsi="Arial Narrow" w:cs="Arial"/>
                <w:sz w:val="16"/>
                <w:szCs w:val="16"/>
              </w:rPr>
            </w:pPr>
            <w:r w:rsidRPr="004A0B2E">
              <w:rPr>
                <w:rFonts w:ascii="Arial Narrow" w:hAnsi="Arial Narrow" w:cs="Arial"/>
                <w:sz w:val="16"/>
                <w:szCs w:val="16"/>
              </w:rPr>
              <w:t> </w:t>
            </w:r>
          </w:p>
        </w:tc>
        <w:tc>
          <w:tcPr>
            <w:tcW w:w="1403" w:type="dxa"/>
            <w:tcBorders>
              <w:top w:val="nil"/>
              <w:left w:val="nil"/>
              <w:bottom w:val="single" w:sz="4" w:space="0" w:color="auto"/>
              <w:right w:val="single" w:sz="4" w:space="0" w:color="auto"/>
            </w:tcBorders>
            <w:shd w:val="clear" w:color="auto" w:fill="auto"/>
            <w:vAlign w:val="center"/>
            <w:hideMark/>
          </w:tcPr>
          <w:p w14:paraId="704B22F7" w14:textId="77777777" w:rsidR="004A0B2E" w:rsidRPr="004A0B2E" w:rsidRDefault="004A0B2E" w:rsidP="004A0B2E">
            <w:pPr>
              <w:jc w:val="right"/>
              <w:rPr>
                <w:rFonts w:ascii="Arial Narrow" w:hAnsi="Arial Narrow" w:cs="Arial"/>
                <w:sz w:val="16"/>
                <w:szCs w:val="16"/>
              </w:rPr>
            </w:pPr>
            <w:r w:rsidRPr="004A0B2E">
              <w:rPr>
                <w:rFonts w:ascii="Arial Narrow" w:hAnsi="Arial Narrow" w:cs="Arial"/>
                <w:sz w:val="16"/>
                <w:szCs w:val="16"/>
              </w:rPr>
              <w:t>990,2</w:t>
            </w:r>
          </w:p>
        </w:tc>
      </w:tr>
      <w:tr w:rsidR="004A0B2E" w:rsidRPr="004A0B2E" w14:paraId="47F01F79" w14:textId="77777777" w:rsidTr="005A18A5">
        <w:trPr>
          <w:trHeight w:val="307"/>
        </w:trPr>
        <w:tc>
          <w:tcPr>
            <w:tcW w:w="4191" w:type="dxa"/>
            <w:tcBorders>
              <w:top w:val="nil"/>
              <w:left w:val="single" w:sz="4" w:space="0" w:color="auto"/>
              <w:bottom w:val="single" w:sz="4" w:space="0" w:color="auto"/>
              <w:right w:val="single" w:sz="4" w:space="0" w:color="auto"/>
            </w:tcBorders>
            <w:shd w:val="clear" w:color="auto" w:fill="auto"/>
            <w:vAlign w:val="center"/>
            <w:hideMark/>
          </w:tcPr>
          <w:p w14:paraId="698F2F73" w14:textId="77777777" w:rsidR="004A0B2E" w:rsidRPr="004A0B2E" w:rsidRDefault="004A0B2E" w:rsidP="004A0B2E">
            <w:pPr>
              <w:ind w:firstLineChars="100" w:firstLine="160"/>
              <w:rPr>
                <w:rFonts w:ascii="Arial Narrow" w:hAnsi="Arial Narrow" w:cs="Calibri"/>
                <w:sz w:val="16"/>
                <w:szCs w:val="16"/>
              </w:rPr>
            </w:pPr>
            <w:r w:rsidRPr="004A0B2E">
              <w:rPr>
                <w:rFonts w:ascii="Arial Narrow" w:hAnsi="Arial Narrow" w:cs="Calibri"/>
                <w:sz w:val="16"/>
                <w:szCs w:val="16"/>
              </w:rPr>
              <w:t>- сгради</w:t>
            </w:r>
          </w:p>
        </w:tc>
        <w:tc>
          <w:tcPr>
            <w:tcW w:w="1301" w:type="dxa"/>
            <w:tcBorders>
              <w:top w:val="nil"/>
              <w:left w:val="nil"/>
              <w:bottom w:val="single" w:sz="4" w:space="0" w:color="auto"/>
              <w:right w:val="single" w:sz="4" w:space="0" w:color="auto"/>
            </w:tcBorders>
            <w:shd w:val="clear" w:color="auto" w:fill="auto"/>
            <w:vAlign w:val="center"/>
            <w:hideMark/>
          </w:tcPr>
          <w:p w14:paraId="351C37AE" w14:textId="77777777" w:rsidR="004A0B2E" w:rsidRPr="004A0B2E" w:rsidRDefault="004A0B2E" w:rsidP="004A0B2E">
            <w:pPr>
              <w:jc w:val="right"/>
              <w:rPr>
                <w:rFonts w:ascii="Arial Narrow" w:hAnsi="Arial Narrow" w:cs="Arial"/>
                <w:sz w:val="16"/>
                <w:szCs w:val="16"/>
              </w:rPr>
            </w:pPr>
            <w:r w:rsidRPr="004A0B2E">
              <w:rPr>
                <w:rFonts w:ascii="Arial Narrow" w:hAnsi="Arial Narrow" w:cs="Arial"/>
                <w:sz w:val="16"/>
                <w:szCs w:val="16"/>
              </w:rPr>
              <w:t>108,8</w:t>
            </w:r>
          </w:p>
        </w:tc>
        <w:tc>
          <w:tcPr>
            <w:tcW w:w="1132" w:type="dxa"/>
            <w:tcBorders>
              <w:top w:val="nil"/>
              <w:left w:val="nil"/>
              <w:bottom w:val="single" w:sz="4" w:space="0" w:color="auto"/>
              <w:right w:val="single" w:sz="4" w:space="0" w:color="auto"/>
            </w:tcBorders>
            <w:shd w:val="clear" w:color="auto" w:fill="auto"/>
            <w:vAlign w:val="center"/>
            <w:hideMark/>
          </w:tcPr>
          <w:p w14:paraId="1690CD14" w14:textId="77777777" w:rsidR="004A0B2E" w:rsidRPr="004A0B2E" w:rsidRDefault="004A0B2E" w:rsidP="004A0B2E">
            <w:pPr>
              <w:jc w:val="right"/>
              <w:rPr>
                <w:rFonts w:ascii="Arial Narrow" w:hAnsi="Arial Narrow" w:cs="Arial"/>
                <w:sz w:val="16"/>
                <w:szCs w:val="16"/>
              </w:rPr>
            </w:pPr>
            <w:r w:rsidRPr="004A0B2E">
              <w:rPr>
                <w:rFonts w:ascii="Arial Narrow" w:hAnsi="Arial Narrow" w:cs="Arial"/>
                <w:sz w:val="16"/>
                <w:szCs w:val="16"/>
              </w:rPr>
              <w:t>108,8</w:t>
            </w:r>
          </w:p>
        </w:tc>
        <w:tc>
          <w:tcPr>
            <w:tcW w:w="1132" w:type="dxa"/>
            <w:tcBorders>
              <w:top w:val="nil"/>
              <w:left w:val="nil"/>
              <w:bottom w:val="single" w:sz="4" w:space="0" w:color="auto"/>
              <w:right w:val="single" w:sz="4" w:space="0" w:color="auto"/>
            </w:tcBorders>
            <w:shd w:val="clear" w:color="auto" w:fill="auto"/>
            <w:vAlign w:val="center"/>
            <w:hideMark/>
          </w:tcPr>
          <w:p w14:paraId="4C183AF4" w14:textId="77777777" w:rsidR="004A0B2E" w:rsidRPr="004A0B2E" w:rsidRDefault="004A0B2E" w:rsidP="004A0B2E">
            <w:pPr>
              <w:rPr>
                <w:rFonts w:ascii="Arial Narrow" w:hAnsi="Arial Narrow" w:cs="Arial"/>
                <w:sz w:val="16"/>
                <w:szCs w:val="16"/>
              </w:rPr>
            </w:pPr>
            <w:r w:rsidRPr="004A0B2E">
              <w:rPr>
                <w:rFonts w:ascii="Arial Narrow" w:hAnsi="Arial Narrow" w:cs="Arial"/>
                <w:sz w:val="16"/>
                <w:szCs w:val="16"/>
              </w:rPr>
              <w:t> </w:t>
            </w:r>
          </w:p>
        </w:tc>
        <w:tc>
          <w:tcPr>
            <w:tcW w:w="1402" w:type="dxa"/>
            <w:tcBorders>
              <w:top w:val="nil"/>
              <w:left w:val="nil"/>
              <w:bottom w:val="single" w:sz="4" w:space="0" w:color="auto"/>
              <w:right w:val="single" w:sz="4" w:space="0" w:color="auto"/>
            </w:tcBorders>
            <w:shd w:val="clear" w:color="auto" w:fill="auto"/>
            <w:vAlign w:val="center"/>
            <w:hideMark/>
          </w:tcPr>
          <w:p w14:paraId="589A6F71" w14:textId="77777777" w:rsidR="004A0B2E" w:rsidRPr="004A0B2E" w:rsidRDefault="004A0B2E" w:rsidP="004A0B2E">
            <w:pPr>
              <w:rPr>
                <w:rFonts w:ascii="Arial Narrow" w:hAnsi="Arial Narrow" w:cs="Arial"/>
                <w:sz w:val="16"/>
                <w:szCs w:val="16"/>
              </w:rPr>
            </w:pPr>
            <w:r w:rsidRPr="004A0B2E">
              <w:rPr>
                <w:rFonts w:ascii="Arial Narrow" w:hAnsi="Arial Narrow" w:cs="Arial"/>
                <w:sz w:val="16"/>
                <w:szCs w:val="16"/>
              </w:rPr>
              <w:t> </w:t>
            </w:r>
          </w:p>
        </w:tc>
        <w:tc>
          <w:tcPr>
            <w:tcW w:w="1403" w:type="dxa"/>
            <w:tcBorders>
              <w:top w:val="nil"/>
              <w:left w:val="nil"/>
              <w:bottom w:val="single" w:sz="4" w:space="0" w:color="auto"/>
              <w:right w:val="single" w:sz="4" w:space="0" w:color="auto"/>
            </w:tcBorders>
            <w:shd w:val="clear" w:color="auto" w:fill="auto"/>
            <w:vAlign w:val="center"/>
            <w:hideMark/>
          </w:tcPr>
          <w:p w14:paraId="37B222DC" w14:textId="77777777" w:rsidR="004A0B2E" w:rsidRPr="004A0B2E" w:rsidRDefault="004A0B2E" w:rsidP="004A0B2E">
            <w:pPr>
              <w:jc w:val="right"/>
              <w:rPr>
                <w:rFonts w:ascii="Arial Narrow" w:hAnsi="Arial Narrow" w:cs="Arial"/>
                <w:sz w:val="16"/>
                <w:szCs w:val="16"/>
              </w:rPr>
            </w:pPr>
            <w:r w:rsidRPr="004A0B2E">
              <w:rPr>
                <w:rFonts w:ascii="Arial Narrow" w:hAnsi="Arial Narrow" w:cs="Arial"/>
                <w:sz w:val="16"/>
                <w:szCs w:val="16"/>
              </w:rPr>
              <w:t>108,8</w:t>
            </w:r>
          </w:p>
        </w:tc>
      </w:tr>
      <w:tr w:rsidR="004A0B2E" w:rsidRPr="004A0B2E" w14:paraId="52E093E7" w14:textId="77777777" w:rsidTr="005A18A5">
        <w:trPr>
          <w:trHeight w:val="307"/>
        </w:trPr>
        <w:tc>
          <w:tcPr>
            <w:tcW w:w="4191" w:type="dxa"/>
            <w:tcBorders>
              <w:top w:val="nil"/>
              <w:left w:val="single" w:sz="4" w:space="0" w:color="auto"/>
              <w:bottom w:val="single" w:sz="4" w:space="0" w:color="auto"/>
              <w:right w:val="single" w:sz="4" w:space="0" w:color="auto"/>
            </w:tcBorders>
            <w:shd w:val="clear" w:color="auto" w:fill="auto"/>
            <w:vAlign w:val="center"/>
            <w:hideMark/>
          </w:tcPr>
          <w:p w14:paraId="61F43EB8" w14:textId="77777777" w:rsidR="004A0B2E" w:rsidRPr="004A0B2E" w:rsidRDefault="004A0B2E" w:rsidP="004A0B2E">
            <w:pPr>
              <w:ind w:firstLineChars="100" w:firstLine="160"/>
              <w:rPr>
                <w:rFonts w:ascii="Arial Narrow" w:hAnsi="Arial Narrow" w:cs="Calibri"/>
                <w:sz w:val="16"/>
                <w:szCs w:val="16"/>
              </w:rPr>
            </w:pPr>
            <w:r w:rsidRPr="004A0B2E">
              <w:rPr>
                <w:rFonts w:ascii="Arial Narrow" w:hAnsi="Arial Narrow" w:cs="Calibri"/>
                <w:sz w:val="16"/>
                <w:szCs w:val="16"/>
              </w:rPr>
              <w:t>- създаване и отглеждане</w:t>
            </w:r>
          </w:p>
        </w:tc>
        <w:tc>
          <w:tcPr>
            <w:tcW w:w="1301" w:type="dxa"/>
            <w:tcBorders>
              <w:top w:val="nil"/>
              <w:left w:val="nil"/>
              <w:bottom w:val="single" w:sz="4" w:space="0" w:color="auto"/>
              <w:right w:val="single" w:sz="4" w:space="0" w:color="auto"/>
            </w:tcBorders>
            <w:shd w:val="clear" w:color="auto" w:fill="auto"/>
            <w:vAlign w:val="center"/>
            <w:hideMark/>
          </w:tcPr>
          <w:p w14:paraId="721709E8" w14:textId="77777777" w:rsidR="004A0B2E" w:rsidRPr="004A0B2E" w:rsidRDefault="004A0B2E" w:rsidP="004A0B2E">
            <w:pPr>
              <w:jc w:val="right"/>
              <w:rPr>
                <w:rFonts w:ascii="Arial Narrow" w:hAnsi="Arial Narrow" w:cs="Arial"/>
                <w:sz w:val="16"/>
                <w:szCs w:val="16"/>
              </w:rPr>
            </w:pPr>
            <w:r w:rsidRPr="004A0B2E">
              <w:rPr>
                <w:rFonts w:ascii="Arial Narrow" w:hAnsi="Arial Narrow" w:cs="Arial"/>
                <w:sz w:val="16"/>
                <w:szCs w:val="16"/>
              </w:rPr>
              <w:t>19,5</w:t>
            </w:r>
          </w:p>
        </w:tc>
        <w:tc>
          <w:tcPr>
            <w:tcW w:w="1132" w:type="dxa"/>
            <w:tcBorders>
              <w:top w:val="nil"/>
              <w:left w:val="nil"/>
              <w:bottom w:val="single" w:sz="4" w:space="0" w:color="auto"/>
              <w:right w:val="single" w:sz="4" w:space="0" w:color="auto"/>
            </w:tcBorders>
            <w:shd w:val="clear" w:color="auto" w:fill="auto"/>
            <w:vAlign w:val="center"/>
            <w:hideMark/>
          </w:tcPr>
          <w:p w14:paraId="78E40D27" w14:textId="77777777" w:rsidR="004A0B2E" w:rsidRPr="004A0B2E" w:rsidRDefault="004A0B2E" w:rsidP="004A0B2E">
            <w:pPr>
              <w:jc w:val="right"/>
              <w:rPr>
                <w:rFonts w:ascii="Arial Narrow" w:hAnsi="Arial Narrow" w:cs="Arial"/>
                <w:sz w:val="16"/>
                <w:szCs w:val="16"/>
              </w:rPr>
            </w:pPr>
            <w:r w:rsidRPr="004A0B2E">
              <w:rPr>
                <w:rFonts w:ascii="Arial Narrow" w:hAnsi="Arial Narrow" w:cs="Arial"/>
                <w:sz w:val="16"/>
                <w:szCs w:val="16"/>
              </w:rPr>
              <w:t>19,5</w:t>
            </w:r>
          </w:p>
        </w:tc>
        <w:tc>
          <w:tcPr>
            <w:tcW w:w="1132" w:type="dxa"/>
            <w:tcBorders>
              <w:top w:val="nil"/>
              <w:left w:val="nil"/>
              <w:bottom w:val="single" w:sz="4" w:space="0" w:color="auto"/>
              <w:right w:val="single" w:sz="4" w:space="0" w:color="auto"/>
            </w:tcBorders>
            <w:shd w:val="clear" w:color="auto" w:fill="auto"/>
            <w:vAlign w:val="center"/>
            <w:hideMark/>
          </w:tcPr>
          <w:p w14:paraId="5FD98561" w14:textId="77777777" w:rsidR="004A0B2E" w:rsidRPr="004A0B2E" w:rsidRDefault="004A0B2E" w:rsidP="004A0B2E">
            <w:pPr>
              <w:rPr>
                <w:rFonts w:ascii="Arial Narrow" w:hAnsi="Arial Narrow" w:cs="Arial"/>
                <w:sz w:val="16"/>
                <w:szCs w:val="16"/>
              </w:rPr>
            </w:pPr>
            <w:r w:rsidRPr="004A0B2E">
              <w:rPr>
                <w:rFonts w:ascii="Arial Narrow" w:hAnsi="Arial Narrow" w:cs="Arial"/>
                <w:sz w:val="16"/>
                <w:szCs w:val="16"/>
              </w:rPr>
              <w:t> </w:t>
            </w:r>
          </w:p>
        </w:tc>
        <w:tc>
          <w:tcPr>
            <w:tcW w:w="1402" w:type="dxa"/>
            <w:tcBorders>
              <w:top w:val="nil"/>
              <w:left w:val="nil"/>
              <w:bottom w:val="single" w:sz="4" w:space="0" w:color="auto"/>
              <w:right w:val="single" w:sz="4" w:space="0" w:color="auto"/>
            </w:tcBorders>
            <w:shd w:val="clear" w:color="auto" w:fill="auto"/>
            <w:vAlign w:val="center"/>
            <w:hideMark/>
          </w:tcPr>
          <w:p w14:paraId="36DECFF4" w14:textId="77777777" w:rsidR="004A0B2E" w:rsidRPr="004A0B2E" w:rsidRDefault="004A0B2E" w:rsidP="004A0B2E">
            <w:pPr>
              <w:rPr>
                <w:rFonts w:ascii="Arial Narrow" w:hAnsi="Arial Narrow" w:cs="Arial"/>
                <w:sz w:val="16"/>
                <w:szCs w:val="16"/>
              </w:rPr>
            </w:pPr>
            <w:r w:rsidRPr="004A0B2E">
              <w:rPr>
                <w:rFonts w:ascii="Arial Narrow" w:hAnsi="Arial Narrow" w:cs="Arial"/>
                <w:sz w:val="16"/>
                <w:szCs w:val="16"/>
              </w:rPr>
              <w:t> </w:t>
            </w:r>
          </w:p>
        </w:tc>
        <w:tc>
          <w:tcPr>
            <w:tcW w:w="1403" w:type="dxa"/>
            <w:tcBorders>
              <w:top w:val="nil"/>
              <w:left w:val="nil"/>
              <w:bottom w:val="single" w:sz="4" w:space="0" w:color="auto"/>
              <w:right w:val="single" w:sz="4" w:space="0" w:color="auto"/>
            </w:tcBorders>
            <w:shd w:val="clear" w:color="auto" w:fill="auto"/>
            <w:vAlign w:val="center"/>
            <w:hideMark/>
          </w:tcPr>
          <w:p w14:paraId="1CDC84D5" w14:textId="77777777" w:rsidR="004A0B2E" w:rsidRPr="004A0B2E" w:rsidRDefault="004A0B2E" w:rsidP="004A0B2E">
            <w:pPr>
              <w:jc w:val="right"/>
              <w:rPr>
                <w:rFonts w:ascii="Arial Narrow" w:hAnsi="Arial Narrow" w:cs="Arial"/>
                <w:sz w:val="16"/>
                <w:szCs w:val="16"/>
              </w:rPr>
            </w:pPr>
            <w:r w:rsidRPr="004A0B2E">
              <w:rPr>
                <w:rFonts w:ascii="Arial Narrow" w:hAnsi="Arial Narrow" w:cs="Arial"/>
                <w:sz w:val="16"/>
                <w:szCs w:val="16"/>
              </w:rPr>
              <w:t>19,5</w:t>
            </w:r>
          </w:p>
        </w:tc>
      </w:tr>
      <w:tr w:rsidR="004A0B2E" w:rsidRPr="004A0B2E" w14:paraId="0F09434C" w14:textId="77777777" w:rsidTr="005A18A5">
        <w:trPr>
          <w:trHeight w:val="307"/>
        </w:trPr>
        <w:tc>
          <w:tcPr>
            <w:tcW w:w="4191" w:type="dxa"/>
            <w:tcBorders>
              <w:top w:val="nil"/>
              <w:left w:val="single" w:sz="4" w:space="0" w:color="auto"/>
              <w:bottom w:val="single" w:sz="4" w:space="0" w:color="auto"/>
              <w:right w:val="single" w:sz="4" w:space="0" w:color="auto"/>
            </w:tcBorders>
            <w:shd w:val="clear" w:color="auto" w:fill="auto"/>
            <w:vAlign w:val="center"/>
            <w:hideMark/>
          </w:tcPr>
          <w:p w14:paraId="0C96EB6C" w14:textId="77777777" w:rsidR="004A0B2E" w:rsidRPr="004A0B2E" w:rsidRDefault="004A0B2E" w:rsidP="004A0B2E">
            <w:pPr>
              <w:ind w:firstLineChars="100" w:firstLine="160"/>
              <w:rPr>
                <w:rFonts w:ascii="Arial Narrow" w:hAnsi="Arial Narrow" w:cs="Calibri"/>
                <w:sz w:val="16"/>
                <w:szCs w:val="16"/>
              </w:rPr>
            </w:pPr>
            <w:r w:rsidRPr="004A0B2E">
              <w:rPr>
                <w:rFonts w:ascii="Arial Narrow" w:hAnsi="Arial Narrow" w:cs="Calibri"/>
                <w:sz w:val="16"/>
                <w:szCs w:val="16"/>
              </w:rPr>
              <w:t>- други</w:t>
            </w:r>
          </w:p>
        </w:tc>
        <w:tc>
          <w:tcPr>
            <w:tcW w:w="1301" w:type="dxa"/>
            <w:tcBorders>
              <w:top w:val="nil"/>
              <w:left w:val="nil"/>
              <w:bottom w:val="single" w:sz="4" w:space="0" w:color="auto"/>
              <w:right w:val="single" w:sz="4" w:space="0" w:color="auto"/>
            </w:tcBorders>
            <w:shd w:val="clear" w:color="auto" w:fill="auto"/>
            <w:vAlign w:val="center"/>
            <w:hideMark/>
          </w:tcPr>
          <w:p w14:paraId="14D2544C" w14:textId="77777777" w:rsidR="004A0B2E" w:rsidRPr="004A0B2E" w:rsidRDefault="004A0B2E" w:rsidP="004A0B2E">
            <w:pPr>
              <w:jc w:val="right"/>
              <w:rPr>
                <w:rFonts w:ascii="Arial Narrow" w:hAnsi="Arial Narrow" w:cs="Arial"/>
                <w:sz w:val="16"/>
                <w:szCs w:val="16"/>
              </w:rPr>
            </w:pPr>
            <w:r w:rsidRPr="004A0B2E">
              <w:rPr>
                <w:rFonts w:ascii="Arial Narrow" w:hAnsi="Arial Narrow" w:cs="Arial"/>
                <w:sz w:val="16"/>
                <w:szCs w:val="16"/>
              </w:rPr>
              <w:t>113,7</w:t>
            </w:r>
          </w:p>
        </w:tc>
        <w:tc>
          <w:tcPr>
            <w:tcW w:w="1132" w:type="dxa"/>
            <w:tcBorders>
              <w:top w:val="nil"/>
              <w:left w:val="nil"/>
              <w:bottom w:val="single" w:sz="4" w:space="0" w:color="auto"/>
              <w:right w:val="single" w:sz="4" w:space="0" w:color="auto"/>
            </w:tcBorders>
            <w:shd w:val="clear" w:color="auto" w:fill="auto"/>
            <w:vAlign w:val="center"/>
            <w:hideMark/>
          </w:tcPr>
          <w:p w14:paraId="63F894B7" w14:textId="77777777" w:rsidR="004A0B2E" w:rsidRPr="004A0B2E" w:rsidRDefault="004A0B2E" w:rsidP="004A0B2E">
            <w:pPr>
              <w:jc w:val="right"/>
              <w:rPr>
                <w:rFonts w:ascii="Arial Narrow" w:hAnsi="Arial Narrow" w:cs="Arial"/>
                <w:sz w:val="16"/>
                <w:szCs w:val="16"/>
              </w:rPr>
            </w:pPr>
            <w:r w:rsidRPr="004A0B2E">
              <w:rPr>
                <w:rFonts w:ascii="Arial Narrow" w:hAnsi="Arial Narrow" w:cs="Arial"/>
                <w:sz w:val="16"/>
                <w:szCs w:val="16"/>
              </w:rPr>
              <w:t>113,7</w:t>
            </w:r>
          </w:p>
        </w:tc>
        <w:tc>
          <w:tcPr>
            <w:tcW w:w="1132" w:type="dxa"/>
            <w:tcBorders>
              <w:top w:val="nil"/>
              <w:left w:val="nil"/>
              <w:bottom w:val="single" w:sz="4" w:space="0" w:color="auto"/>
              <w:right w:val="single" w:sz="4" w:space="0" w:color="auto"/>
            </w:tcBorders>
            <w:shd w:val="clear" w:color="auto" w:fill="auto"/>
            <w:vAlign w:val="center"/>
            <w:hideMark/>
          </w:tcPr>
          <w:p w14:paraId="526E17A8" w14:textId="77777777" w:rsidR="004A0B2E" w:rsidRPr="004A0B2E" w:rsidRDefault="004A0B2E" w:rsidP="004A0B2E">
            <w:pPr>
              <w:rPr>
                <w:rFonts w:ascii="Arial Narrow" w:hAnsi="Arial Narrow" w:cs="Arial"/>
                <w:sz w:val="16"/>
                <w:szCs w:val="16"/>
              </w:rPr>
            </w:pPr>
            <w:r w:rsidRPr="004A0B2E">
              <w:rPr>
                <w:rFonts w:ascii="Arial Narrow" w:hAnsi="Arial Narrow" w:cs="Arial"/>
                <w:sz w:val="16"/>
                <w:szCs w:val="16"/>
              </w:rPr>
              <w:t> </w:t>
            </w:r>
          </w:p>
        </w:tc>
        <w:tc>
          <w:tcPr>
            <w:tcW w:w="1402" w:type="dxa"/>
            <w:tcBorders>
              <w:top w:val="nil"/>
              <w:left w:val="nil"/>
              <w:bottom w:val="single" w:sz="4" w:space="0" w:color="auto"/>
              <w:right w:val="single" w:sz="4" w:space="0" w:color="auto"/>
            </w:tcBorders>
            <w:shd w:val="clear" w:color="auto" w:fill="auto"/>
            <w:vAlign w:val="center"/>
            <w:hideMark/>
          </w:tcPr>
          <w:p w14:paraId="648E6670" w14:textId="77777777" w:rsidR="004A0B2E" w:rsidRPr="004A0B2E" w:rsidRDefault="004A0B2E" w:rsidP="004A0B2E">
            <w:pPr>
              <w:rPr>
                <w:rFonts w:ascii="Arial Narrow" w:hAnsi="Arial Narrow" w:cs="Arial"/>
                <w:sz w:val="16"/>
                <w:szCs w:val="16"/>
              </w:rPr>
            </w:pPr>
            <w:r w:rsidRPr="004A0B2E">
              <w:rPr>
                <w:rFonts w:ascii="Arial Narrow" w:hAnsi="Arial Narrow" w:cs="Arial"/>
                <w:sz w:val="16"/>
                <w:szCs w:val="16"/>
              </w:rPr>
              <w:t> </w:t>
            </w:r>
          </w:p>
        </w:tc>
        <w:tc>
          <w:tcPr>
            <w:tcW w:w="1403" w:type="dxa"/>
            <w:tcBorders>
              <w:top w:val="nil"/>
              <w:left w:val="nil"/>
              <w:bottom w:val="single" w:sz="4" w:space="0" w:color="auto"/>
              <w:right w:val="single" w:sz="4" w:space="0" w:color="auto"/>
            </w:tcBorders>
            <w:shd w:val="clear" w:color="auto" w:fill="auto"/>
            <w:vAlign w:val="center"/>
            <w:hideMark/>
          </w:tcPr>
          <w:p w14:paraId="45FCD1CB" w14:textId="77777777" w:rsidR="004A0B2E" w:rsidRPr="004A0B2E" w:rsidRDefault="004A0B2E" w:rsidP="004A0B2E">
            <w:pPr>
              <w:jc w:val="right"/>
              <w:rPr>
                <w:rFonts w:ascii="Arial Narrow" w:hAnsi="Arial Narrow" w:cs="Arial"/>
                <w:sz w:val="16"/>
                <w:szCs w:val="16"/>
              </w:rPr>
            </w:pPr>
            <w:r w:rsidRPr="004A0B2E">
              <w:rPr>
                <w:rFonts w:ascii="Arial Narrow" w:hAnsi="Arial Narrow" w:cs="Arial"/>
                <w:sz w:val="16"/>
                <w:szCs w:val="16"/>
              </w:rPr>
              <w:t>113,7</w:t>
            </w:r>
          </w:p>
        </w:tc>
      </w:tr>
      <w:tr w:rsidR="004A0B2E" w:rsidRPr="004A0B2E" w14:paraId="1FF53F91" w14:textId="77777777" w:rsidTr="005A18A5">
        <w:trPr>
          <w:trHeight w:val="307"/>
        </w:trPr>
        <w:tc>
          <w:tcPr>
            <w:tcW w:w="4191" w:type="dxa"/>
            <w:tcBorders>
              <w:top w:val="nil"/>
              <w:left w:val="single" w:sz="4" w:space="0" w:color="auto"/>
              <w:bottom w:val="single" w:sz="4" w:space="0" w:color="auto"/>
              <w:right w:val="single" w:sz="4" w:space="0" w:color="auto"/>
            </w:tcBorders>
            <w:shd w:val="clear" w:color="auto" w:fill="auto"/>
            <w:vAlign w:val="center"/>
            <w:hideMark/>
          </w:tcPr>
          <w:p w14:paraId="71677952" w14:textId="77777777" w:rsidR="004A0B2E" w:rsidRPr="004A0B2E" w:rsidRDefault="004A0B2E" w:rsidP="004A0B2E">
            <w:pPr>
              <w:rPr>
                <w:rFonts w:ascii="Arial Narrow" w:hAnsi="Arial Narrow" w:cs="Calibri"/>
                <w:b/>
                <w:bCs/>
                <w:sz w:val="16"/>
                <w:szCs w:val="16"/>
              </w:rPr>
            </w:pPr>
            <w:r w:rsidRPr="004A0B2E">
              <w:rPr>
                <w:rFonts w:ascii="Arial Narrow" w:hAnsi="Arial Narrow" w:cs="Calibri"/>
                <w:b/>
                <w:bCs/>
                <w:sz w:val="16"/>
                <w:szCs w:val="16"/>
              </w:rPr>
              <w:t>Компенсации на наетите</w:t>
            </w:r>
          </w:p>
        </w:tc>
        <w:tc>
          <w:tcPr>
            <w:tcW w:w="1301" w:type="dxa"/>
            <w:tcBorders>
              <w:top w:val="nil"/>
              <w:left w:val="nil"/>
              <w:bottom w:val="single" w:sz="4" w:space="0" w:color="auto"/>
              <w:right w:val="single" w:sz="4" w:space="0" w:color="auto"/>
            </w:tcBorders>
            <w:shd w:val="clear" w:color="auto" w:fill="auto"/>
            <w:vAlign w:val="center"/>
            <w:hideMark/>
          </w:tcPr>
          <w:p w14:paraId="29A64044" w14:textId="77777777" w:rsidR="004A0B2E" w:rsidRPr="004A0B2E" w:rsidRDefault="004A0B2E" w:rsidP="004A0B2E">
            <w:pPr>
              <w:jc w:val="right"/>
              <w:rPr>
                <w:rFonts w:ascii="Arial Narrow" w:hAnsi="Arial Narrow" w:cs="Arial"/>
                <w:sz w:val="16"/>
                <w:szCs w:val="16"/>
              </w:rPr>
            </w:pPr>
            <w:r w:rsidRPr="004A0B2E">
              <w:rPr>
                <w:rFonts w:ascii="Arial Narrow" w:hAnsi="Arial Narrow" w:cs="Arial"/>
                <w:sz w:val="16"/>
                <w:szCs w:val="16"/>
              </w:rPr>
              <w:t>1 822,9</w:t>
            </w:r>
          </w:p>
        </w:tc>
        <w:tc>
          <w:tcPr>
            <w:tcW w:w="1132" w:type="dxa"/>
            <w:tcBorders>
              <w:top w:val="nil"/>
              <w:left w:val="nil"/>
              <w:bottom w:val="single" w:sz="4" w:space="0" w:color="auto"/>
              <w:right w:val="single" w:sz="4" w:space="0" w:color="auto"/>
            </w:tcBorders>
            <w:shd w:val="clear" w:color="auto" w:fill="auto"/>
            <w:vAlign w:val="center"/>
            <w:hideMark/>
          </w:tcPr>
          <w:p w14:paraId="69FC45BF" w14:textId="77777777" w:rsidR="004A0B2E" w:rsidRPr="004A0B2E" w:rsidRDefault="004A0B2E" w:rsidP="004A0B2E">
            <w:pPr>
              <w:jc w:val="right"/>
              <w:rPr>
                <w:rFonts w:ascii="Arial Narrow" w:hAnsi="Arial Narrow" w:cs="Arial"/>
                <w:sz w:val="16"/>
                <w:szCs w:val="16"/>
              </w:rPr>
            </w:pPr>
            <w:r w:rsidRPr="004A0B2E">
              <w:rPr>
                <w:rFonts w:ascii="Arial Narrow" w:hAnsi="Arial Narrow" w:cs="Arial"/>
                <w:sz w:val="16"/>
                <w:szCs w:val="16"/>
              </w:rPr>
              <w:t>1 822,9</w:t>
            </w:r>
          </w:p>
        </w:tc>
        <w:tc>
          <w:tcPr>
            <w:tcW w:w="1132" w:type="dxa"/>
            <w:tcBorders>
              <w:top w:val="nil"/>
              <w:left w:val="nil"/>
              <w:bottom w:val="single" w:sz="4" w:space="0" w:color="auto"/>
              <w:right w:val="single" w:sz="4" w:space="0" w:color="auto"/>
            </w:tcBorders>
            <w:shd w:val="clear" w:color="auto" w:fill="auto"/>
            <w:vAlign w:val="center"/>
            <w:hideMark/>
          </w:tcPr>
          <w:p w14:paraId="0E0C9073" w14:textId="77777777" w:rsidR="004A0B2E" w:rsidRPr="004A0B2E" w:rsidRDefault="004A0B2E" w:rsidP="004A0B2E">
            <w:pPr>
              <w:rPr>
                <w:rFonts w:ascii="Arial Narrow" w:hAnsi="Arial Narrow" w:cs="Arial"/>
                <w:sz w:val="16"/>
                <w:szCs w:val="16"/>
              </w:rPr>
            </w:pPr>
            <w:r w:rsidRPr="004A0B2E">
              <w:rPr>
                <w:rFonts w:ascii="Arial Narrow" w:hAnsi="Arial Narrow" w:cs="Arial"/>
                <w:sz w:val="16"/>
                <w:szCs w:val="16"/>
              </w:rPr>
              <w:t> </w:t>
            </w:r>
          </w:p>
        </w:tc>
        <w:tc>
          <w:tcPr>
            <w:tcW w:w="1402" w:type="dxa"/>
            <w:tcBorders>
              <w:top w:val="nil"/>
              <w:left w:val="nil"/>
              <w:bottom w:val="single" w:sz="4" w:space="0" w:color="auto"/>
              <w:right w:val="single" w:sz="4" w:space="0" w:color="auto"/>
            </w:tcBorders>
            <w:shd w:val="clear" w:color="auto" w:fill="auto"/>
            <w:vAlign w:val="center"/>
            <w:hideMark/>
          </w:tcPr>
          <w:p w14:paraId="130E3A03" w14:textId="77777777" w:rsidR="004A0B2E" w:rsidRPr="004A0B2E" w:rsidRDefault="004A0B2E" w:rsidP="004A0B2E">
            <w:pPr>
              <w:rPr>
                <w:rFonts w:ascii="Arial Narrow" w:hAnsi="Arial Narrow" w:cs="Arial"/>
                <w:sz w:val="16"/>
                <w:szCs w:val="16"/>
              </w:rPr>
            </w:pPr>
            <w:r w:rsidRPr="004A0B2E">
              <w:rPr>
                <w:rFonts w:ascii="Arial Narrow" w:hAnsi="Arial Narrow" w:cs="Arial"/>
                <w:sz w:val="16"/>
                <w:szCs w:val="16"/>
              </w:rPr>
              <w:t> </w:t>
            </w:r>
          </w:p>
        </w:tc>
        <w:tc>
          <w:tcPr>
            <w:tcW w:w="1403" w:type="dxa"/>
            <w:tcBorders>
              <w:top w:val="nil"/>
              <w:left w:val="nil"/>
              <w:bottom w:val="single" w:sz="4" w:space="0" w:color="auto"/>
              <w:right w:val="single" w:sz="4" w:space="0" w:color="auto"/>
            </w:tcBorders>
            <w:shd w:val="clear" w:color="auto" w:fill="auto"/>
            <w:vAlign w:val="center"/>
            <w:hideMark/>
          </w:tcPr>
          <w:p w14:paraId="23D43B57" w14:textId="77777777" w:rsidR="004A0B2E" w:rsidRPr="004A0B2E" w:rsidRDefault="004A0B2E" w:rsidP="004A0B2E">
            <w:pPr>
              <w:jc w:val="right"/>
              <w:rPr>
                <w:rFonts w:ascii="Arial Narrow" w:hAnsi="Arial Narrow" w:cs="Arial"/>
                <w:sz w:val="16"/>
                <w:szCs w:val="16"/>
              </w:rPr>
            </w:pPr>
            <w:r w:rsidRPr="004A0B2E">
              <w:rPr>
                <w:rFonts w:ascii="Arial Narrow" w:hAnsi="Arial Narrow" w:cs="Arial"/>
                <w:sz w:val="16"/>
                <w:szCs w:val="16"/>
              </w:rPr>
              <w:t>1 822,9</w:t>
            </w:r>
          </w:p>
        </w:tc>
      </w:tr>
      <w:tr w:rsidR="004A0B2E" w:rsidRPr="004A0B2E" w14:paraId="4512E623" w14:textId="77777777" w:rsidTr="005A18A5">
        <w:trPr>
          <w:trHeight w:val="307"/>
        </w:trPr>
        <w:tc>
          <w:tcPr>
            <w:tcW w:w="4191" w:type="dxa"/>
            <w:tcBorders>
              <w:top w:val="nil"/>
              <w:left w:val="single" w:sz="4" w:space="0" w:color="auto"/>
              <w:bottom w:val="single" w:sz="4" w:space="0" w:color="auto"/>
              <w:right w:val="single" w:sz="4" w:space="0" w:color="auto"/>
            </w:tcBorders>
            <w:shd w:val="clear" w:color="auto" w:fill="auto"/>
            <w:vAlign w:val="center"/>
            <w:hideMark/>
          </w:tcPr>
          <w:p w14:paraId="1E9451AE" w14:textId="77777777" w:rsidR="004A0B2E" w:rsidRPr="004A0B2E" w:rsidRDefault="004A0B2E" w:rsidP="004A0B2E">
            <w:pPr>
              <w:rPr>
                <w:rFonts w:ascii="Arial Narrow" w:hAnsi="Arial Narrow" w:cs="Calibri"/>
                <w:b/>
                <w:bCs/>
                <w:sz w:val="16"/>
                <w:szCs w:val="16"/>
              </w:rPr>
            </w:pPr>
            <w:r w:rsidRPr="004A0B2E">
              <w:rPr>
                <w:rFonts w:ascii="Arial Narrow" w:hAnsi="Arial Narrow" w:cs="Calibri"/>
                <w:b/>
                <w:bCs/>
                <w:sz w:val="16"/>
                <w:szCs w:val="16"/>
              </w:rPr>
              <w:t>Други данъци върху производството</w:t>
            </w:r>
          </w:p>
        </w:tc>
        <w:tc>
          <w:tcPr>
            <w:tcW w:w="1301" w:type="dxa"/>
            <w:tcBorders>
              <w:top w:val="nil"/>
              <w:left w:val="nil"/>
              <w:bottom w:val="single" w:sz="4" w:space="0" w:color="auto"/>
              <w:right w:val="single" w:sz="4" w:space="0" w:color="auto"/>
            </w:tcBorders>
            <w:shd w:val="clear" w:color="auto" w:fill="auto"/>
            <w:vAlign w:val="center"/>
            <w:hideMark/>
          </w:tcPr>
          <w:p w14:paraId="3B0E35EF" w14:textId="77777777" w:rsidR="004A0B2E" w:rsidRPr="004A0B2E" w:rsidRDefault="004A0B2E" w:rsidP="004A0B2E">
            <w:pPr>
              <w:jc w:val="right"/>
              <w:rPr>
                <w:rFonts w:ascii="Arial Narrow" w:hAnsi="Arial Narrow" w:cs="Arial"/>
                <w:sz w:val="16"/>
                <w:szCs w:val="16"/>
              </w:rPr>
            </w:pPr>
            <w:r w:rsidRPr="004A0B2E">
              <w:rPr>
                <w:rFonts w:ascii="Arial Narrow" w:hAnsi="Arial Narrow" w:cs="Arial"/>
                <w:sz w:val="16"/>
                <w:szCs w:val="16"/>
              </w:rPr>
              <w:t>28,0</w:t>
            </w:r>
          </w:p>
        </w:tc>
        <w:tc>
          <w:tcPr>
            <w:tcW w:w="1132" w:type="dxa"/>
            <w:tcBorders>
              <w:top w:val="nil"/>
              <w:left w:val="nil"/>
              <w:bottom w:val="single" w:sz="4" w:space="0" w:color="auto"/>
              <w:right w:val="single" w:sz="4" w:space="0" w:color="auto"/>
            </w:tcBorders>
            <w:shd w:val="clear" w:color="auto" w:fill="auto"/>
            <w:vAlign w:val="center"/>
            <w:hideMark/>
          </w:tcPr>
          <w:p w14:paraId="2B37F4BB" w14:textId="77777777" w:rsidR="004A0B2E" w:rsidRPr="004A0B2E" w:rsidRDefault="004A0B2E" w:rsidP="004A0B2E">
            <w:pPr>
              <w:jc w:val="right"/>
              <w:rPr>
                <w:rFonts w:ascii="Arial Narrow" w:hAnsi="Arial Narrow" w:cs="Arial"/>
                <w:sz w:val="16"/>
                <w:szCs w:val="16"/>
              </w:rPr>
            </w:pPr>
            <w:r w:rsidRPr="004A0B2E">
              <w:rPr>
                <w:rFonts w:ascii="Arial Narrow" w:hAnsi="Arial Narrow" w:cs="Arial"/>
                <w:sz w:val="16"/>
                <w:szCs w:val="16"/>
              </w:rPr>
              <w:t>28,0</w:t>
            </w:r>
          </w:p>
        </w:tc>
        <w:tc>
          <w:tcPr>
            <w:tcW w:w="1132" w:type="dxa"/>
            <w:tcBorders>
              <w:top w:val="nil"/>
              <w:left w:val="nil"/>
              <w:bottom w:val="single" w:sz="4" w:space="0" w:color="auto"/>
              <w:right w:val="single" w:sz="4" w:space="0" w:color="auto"/>
            </w:tcBorders>
            <w:shd w:val="clear" w:color="auto" w:fill="auto"/>
            <w:vAlign w:val="center"/>
            <w:hideMark/>
          </w:tcPr>
          <w:p w14:paraId="1CB47AC9" w14:textId="77777777" w:rsidR="004A0B2E" w:rsidRPr="004A0B2E" w:rsidRDefault="004A0B2E" w:rsidP="004A0B2E">
            <w:pPr>
              <w:rPr>
                <w:rFonts w:ascii="Arial Narrow" w:hAnsi="Arial Narrow" w:cs="Arial"/>
                <w:sz w:val="16"/>
                <w:szCs w:val="16"/>
              </w:rPr>
            </w:pPr>
            <w:r w:rsidRPr="004A0B2E">
              <w:rPr>
                <w:rFonts w:ascii="Arial Narrow" w:hAnsi="Arial Narrow" w:cs="Arial"/>
                <w:sz w:val="16"/>
                <w:szCs w:val="16"/>
              </w:rPr>
              <w:t> </w:t>
            </w:r>
          </w:p>
        </w:tc>
        <w:tc>
          <w:tcPr>
            <w:tcW w:w="1402" w:type="dxa"/>
            <w:tcBorders>
              <w:top w:val="nil"/>
              <w:left w:val="nil"/>
              <w:bottom w:val="single" w:sz="4" w:space="0" w:color="auto"/>
              <w:right w:val="single" w:sz="4" w:space="0" w:color="auto"/>
            </w:tcBorders>
            <w:shd w:val="clear" w:color="auto" w:fill="auto"/>
            <w:vAlign w:val="center"/>
            <w:hideMark/>
          </w:tcPr>
          <w:p w14:paraId="52D7241F" w14:textId="77777777" w:rsidR="004A0B2E" w:rsidRPr="004A0B2E" w:rsidRDefault="004A0B2E" w:rsidP="004A0B2E">
            <w:pPr>
              <w:rPr>
                <w:rFonts w:ascii="Arial Narrow" w:hAnsi="Arial Narrow" w:cs="Arial"/>
                <w:sz w:val="16"/>
                <w:szCs w:val="16"/>
              </w:rPr>
            </w:pPr>
            <w:r w:rsidRPr="004A0B2E">
              <w:rPr>
                <w:rFonts w:ascii="Arial Narrow" w:hAnsi="Arial Narrow" w:cs="Arial"/>
                <w:sz w:val="16"/>
                <w:szCs w:val="16"/>
              </w:rPr>
              <w:t> </w:t>
            </w:r>
          </w:p>
        </w:tc>
        <w:tc>
          <w:tcPr>
            <w:tcW w:w="1403" w:type="dxa"/>
            <w:tcBorders>
              <w:top w:val="nil"/>
              <w:left w:val="nil"/>
              <w:bottom w:val="single" w:sz="4" w:space="0" w:color="auto"/>
              <w:right w:val="single" w:sz="4" w:space="0" w:color="auto"/>
            </w:tcBorders>
            <w:shd w:val="clear" w:color="auto" w:fill="auto"/>
            <w:vAlign w:val="center"/>
            <w:hideMark/>
          </w:tcPr>
          <w:p w14:paraId="22918E75" w14:textId="77777777" w:rsidR="004A0B2E" w:rsidRPr="004A0B2E" w:rsidRDefault="004A0B2E" w:rsidP="004A0B2E">
            <w:pPr>
              <w:jc w:val="right"/>
              <w:rPr>
                <w:rFonts w:ascii="Arial Narrow" w:hAnsi="Arial Narrow" w:cs="Arial"/>
                <w:sz w:val="16"/>
                <w:szCs w:val="16"/>
              </w:rPr>
            </w:pPr>
            <w:r w:rsidRPr="004A0B2E">
              <w:rPr>
                <w:rFonts w:ascii="Arial Narrow" w:hAnsi="Arial Narrow" w:cs="Arial"/>
                <w:sz w:val="16"/>
                <w:szCs w:val="16"/>
              </w:rPr>
              <w:t>28,0</w:t>
            </w:r>
          </w:p>
        </w:tc>
      </w:tr>
      <w:tr w:rsidR="004A0B2E" w:rsidRPr="004A0B2E" w14:paraId="5BDC7F55" w14:textId="77777777" w:rsidTr="005A18A5">
        <w:trPr>
          <w:trHeight w:val="307"/>
        </w:trPr>
        <w:tc>
          <w:tcPr>
            <w:tcW w:w="4191" w:type="dxa"/>
            <w:tcBorders>
              <w:top w:val="nil"/>
              <w:left w:val="single" w:sz="4" w:space="0" w:color="auto"/>
              <w:bottom w:val="single" w:sz="4" w:space="0" w:color="auto"/>
              <w:right w:val="single" w:sz="4" w:space="0" w:color="auto"/>
            </w:tcBorders>
            <w:shd w:val="clear" w:color="auto" w:fill="auto"/>
            <w:vAlign w:val="center"/>
            <w:hideMark/>
          </w:tcPr>
          <w:p w14:paraId="01139912" w14:textId="77777777" w:rsidR="004A0B2E" w:rsidRPr="004A0B2E" w:rsidRDefault="004A0B2E" w:rsidP="004A0B2E">
            <w:pPr>
              <w:rPr>
                <w:rFonts w:ascii="Arial Narrow" w:hAnsi="Arial Narrow" w:cs="Calibri"/>
                <w:b/>
                <w:bCs/>
                <w:sz w:val="16"/>
                <w:szCs w:val="16"/>
              </w:rPr>
            </w:pPr>
            <w:r w:rsidRPr="004A0B2E">
              <w:rPr>
                <w:rFonts w:ascii="Arial Narrow" w:hAnsi="Arial Narrow" w:cs="Calibri"/>
                <w:b/>
                <w:bCs/>
                <w:sz w:val="16"/>
                <w:szCs w:val="16"/>
              </w:rPr>
              <w:t>Други субсидии върху производството</w:t>
            </w:r>
          </w:p>
        </w:tc>
        <w:tc>
          <w:tcPr>
            <w:tcW w:w="1301" w:type="dxa"/>
            <w:tcBorders>
              <w:top w:val="nil"/>
              <w:left w:val="nil"/>
              <w:bottom w:val="single" w:sz="4" w:space="0" w:color="auto"/>
              <w:right w:val="single" w:sz="4" w:space="0" w:color="auto"/>
            </w:tcBorders>
            <w:shd w:val="clear" w:color="auto" w:fill="auto"/>
            <w:vAlign w:val="center"/>
            <w:hideMark/>
          </w:tcPr>
          <w:p w14:paraId="67E3FE89" w14:textId="77777777" w:rsidR="004A0B2E" w:rsidRPr="004A0B2E" w:rsidRDefault="004A0B2E" w:rsidP="004A0B2E">
            <w:pPr>
              <w:jc w:val="right"/>
              <w:rPr>
                <w:rFonts w:ascii="Arial Narrow" w:hAnsi="Arial Narrow" w:cs="Arial"/>
                <w:sz w:val="16"/>
                <w:szCs w:val="16"/>
              </w:rPr>
            </w:pPr>
            <w:r w:rsidRPr="004A0B2E">
              <w:rPr>
                <w:rFonts w:ascii="Arial Narrow" w:hAnsi="Arial Narrow" w:cs="Arial"/>
                <w:sz w:val="16"/>
                <w:szCs w:val="16"/>
              </w:rPr>
              <w:t>2 466,1</w:t>
            </w:r>
          </w:p>
        </w:tc>
        <w:tc>
          <w:tcPr>
            <w:tcW w:w="1132" w:type="dxa"/>
            <w:tcBorders>
              <w:top w:val="nil"/>
              <w:left w:val="nil"/>
              <w:bottom w:val="single" w:sz="4" w:space="0" w:color="auto"/>
              <w:right w:val="single" w:sz="4" w:space="0" w:color="auto"/>
            </w:tcBorders>
            <w:shd w:val="clear" w:color="auto" w:fill="auto"/>
            <w:vAlign w:val="center"/>
            <w:hideMark/>
          </w:tcPr>
          <w:p w14:paraId="30A8B40D" w14:textId="77777777" w:rsidR="004A0B2E" w:rsidRPr="004A0B2E" w:rsidRDefault="004A0B2E" w:rsidP="004A0B2E">
            <w:pPr>
              <w:jc w:val="right"/>
              <w:rPr>
                <w:rFonts w:ascii="Arial Narrow" w:hAnsi="Arial Narrow" w:cs="Arial"/>
                <w:sz w:val="16"/>
                <w:szCs w:val="16"/>
              </w:rPr>
            </w:pPr>
            <w:r w:rsidRPr="004A0B2E">
              <w:rPr>
                <w:rFonts w:ascii="Arial Narrow" w:hAnsi="Arial Narrow" w:cs="Arial"/>
                <w:sz w:val="16"/>
                <w:szCs w:val="16"/>
              </w:rPr>
              <w:t>2 466,1</w:t>
            </w:r>
          </w:p>
        </w:tc>
        <w:tc>
          <w:tcPr>
            <w:tcW w:w="1132" w:type="dxa"/>
            <w:tcBorders>
              <w:top w:val="nil"/>
              <w:left w:val="nil"/>
              <w:bottom w:val="single" w:sz="4" w:space="0" w:color="auto"/>
              <w:right w:val="single" w:sz="4" w:space="0" w:color="auto"/>
            </w:tcBorders>
            <w:shd w:val="clear" w:color="auto" w:fill="auto"/>
            <w:vAlign w:val="center"/>
            <w:hideMark/>
          </w:tcPr>
          <w:p w14:paraId="53101357" w14:textId="77777777" w:rsidR="004A0B2E" w:rsidRPr="004A0B2E" w:rsidRDefault="004A0B2E" w:rsidP="004A0B2E">
            <w:pPr>
              <w:rPr>
                <w:rFonts w:ascii="Arial Narrow" w:hAnsi="Arial Narrow" w:cs="Arial"/>
                <w:sz w:val="16"/>
                <w:szCs w:val="16"/>
              </w:rPr>
            </w:pPr>
            <w:r w:rsidRPr="004A0B2E">
              <w:rPr>
                <w:rFonts w:ascii="Arial Narrow" w:hAnsi="Arial Narrow" w:cs="Arial"/>
                <w:sz w:val="16"/>
                <w:szCs w:val="16"/>
              </w:rPr>
              <w:t> </w:t>
            </w:r>
          </w:p>
        </w:tc>
        <w:tc>
          <w:tcPr>
            <w:tcW w:w="1402" w:type="dxa"/>
            <w:tcBorders>
              <w:top w:val="nil"/>
              <w:left w:val="nil"/>
              <w:bottom w:val="single" w:sz="4" w:space="0" w:color="auto"/>
              <w:right w:val="single" w:sz="4" w:space="0" w:color="auto"/>
            </w:tcBorders>
            <w:shd w:val="clear" w:color="auto" w:fill="auto"/>
            <w:vAlign w:val="center"/>
            <w:hideMark/>
          </w:tcPr>
          <w:p w14:paraId="2AC2C86C" w14:textId="77777777" w:rsidR="004A0B2E" w:rsidRPr="004A0B2E" w:rsidRDefault="004A0B2E" w:rsidP="004A0B2E">
            <w:pPr>
              <w:rPr>
                <w:rFonts w:ascii="Arial Narrow" w:hAnsi="Arial Narrow" w:cs="Arial"/>
                <w:sz w:val="16"/>
                <w:szCs w:val="16"/>
              </w:rPr>
            </w:pPr>
            <w:r w:rsidRPr="004A0B2E">
              <w:rPr>
                <w:rFonts w:ascii="Arial Narrow" w:hAnsi="Arial Narrow" w:cs="Arial"/>
                <w:sz w:val="16"/>
                <w:szCs w:val="16"/>
              </w:rPr>
              <w:t> </w:t>
            </w:r>
          </w:p>
        </w:tc>
        <w:tc>
          <w:tcPr>
            <w:tcW w:w="1403" w:type="dxa"/>
            <w:tcBorders>
              <w:top w:val="nil"/>
              <w:left w:val="nil"/>
              <w:bottom w:val="single" w:sz="4" w:space="0" w:color="auto"/>
              <w:right w:val="single" w:sz="4" w:space="0" w:color="auto"/>
            </w:tcBorders>
            <w:shd w:val="clear" w:color="auto" w:fill="auto"/>
            <w:vAlign w:val="center"/>
            <w:hideMark/>
          </w:tcPr>
          <w:p w14:paraId="0D8FAC95" w14:textId="77777777" w:rsidR="004A0B2E" w:rsidRPr="004A0B2E" w:rsidRDefault="004A0B2E" w:rsidP="004A0B2E">
            <w:pPr>
              <w:jc w:val="right"/>
              <w:rPr>
                <w:rFonts w:ascii="Arial Narrow" w:hAnsi="Arial Narrow" w:cs="Arial"/>
                <w:sz w:val="16"/>
                <w:szCs w:val="16"/>
              </w:rPr>
            </w:pPr>
            <w:r w:rsidRPr="004A0B2E">
              <w:rPr>
                <w:rFonts w:ascii="Arial Narrow" w:hAnsi="Arial Narrow" w:cs="Arial"/>
                <w:sz w:val="16"/>
                <w:szCs w:val="16"/>
              </w:rPr>
              <w:t>2 466,1</w:t>
            </w:r>
          </w:p>
        </w:tc>
      </w:tr>
      <w:tr w:rsidR="004A0B2E" w:rsidRPr="004A0B2E" w14:paraId="5CF29DB5" w14:textId="77777777" w:rsidTr="005A18A5">
        <w:trPr>
          <w:trHeight w:val="307"/>
        </w:trPr>
        <w:tc>
          <w:tcPr>
            <w:tcW w:w="4191" w:type="dxa"/>
            <w:tcBorders>
              <w:top w:val="nil"/>
              <w:left w:val="single" w:sz="4" w:space="0" w:color="auto"/>
              <w:bottom w:val="single" w:sz="4" w:space="0" w:color="auto"/>
              <w:right w:val="single" w:sz="4" w:space="0" w:color="auto"/>
            </w:tcBorders>
            <w:shd w:val="clear" w:color="auto" w:fill="auto"/>
            <w:vAlign w:val="center"/>
            <w:hideMark/>
          </w:tcPr>
          <w:p w14:paraId="350DCA5A" w14:textId="77777777" w:rsidR="004A0B2E" w:rsidRPr="004A0B2E" w:rsidRDefault="004A0B2E" w:rsidP="004A0B2E">
            <w:pPr>
              <w:rPr>
                <w:rFonts w:ascii="Arial Narrow" w:hAnsi="Arial Narrow" w:cs="Calibri"/>
                <w:b/>
                <w:bCs/>
                <w:sz w:val="16"/>
                <w:szCs w:val="16"/>
              </w:rPr>
            </w:pPr>
            <w:r w:rsidRPr="004A0B2E">
              <w:rPr>
                <w:rFonts w:ascii="Arial Narrow" w:hAnsi="Arial Narrow" w:cs="Calibri"/>
                <w:b/>
                <w:bCs/>
                <w:sz w:val="16"/>
                <w:szCs w:val="16"/>
              </w:rPr>
              <w:t>Аренда</w:t>
            </w:r>
          </w:p>
        </w:tc>
        <w:tc>
          <w:tcPr>
            <w:tcW w:w="1301" w:type="dxa"/>
            <w:tcBorders>
              <w:top w:val="nil"/>
              <w:left w:val="nil"/>
              <w:bottom w:val="single" w:sz="4" w:space="0" w:color="auto"/>
              <w:right w:val="single" w:sz="4" w:space="0" w:color="auto"/>
            </w:tcBorders>
            <w:shd w:val="clear" w:color="auto" w:fill="auto"/>
            <w:vAlign w:val="center"/>
            <w:hideMark/>
          </w:tcPr>
          <w:p w14:paraId="6D18BCCE" w14:textId="77777777" w:rsidR="004A0B2E" w:rsidRPr="004A0B2E" w:rsidRDefault="004A0B2E" w:rsidP="004A0B2E">
            <w:pPr>
              <w:jc w:val="right"/>
              <w:rPr>
                <w:rFonts w:ascii="Arial Narrow" w:hAnsi="Arial Narrow" w:cs="Arial"/>
                <w:sz w:val="16"/>
                <w:szCs w:val="16"/>
              </w:rPr>
            </w:pPr>
            <w:r w:rsidRPr="004A0B2E">
              <w:rPr>
                <w:rFonts w:ascii="Arial Narrow" w:hAnsi="Arial Narrow" w:cs="Arial"/>
                <w:sz w:val="16"/>
                <w:szCs w:val="16"/>
              </w:rPr>
              <w:t>2 312,7</w:t>
            </w:r>
          </w:p>
        </w:tc>
        <w:tc>
          <w:tcPr>
            <w:tcW w:w="1132" w:type="dxa"/>
            <w:tcBorders>
              <w:top w:val="nil"/>
              <w:left w:val="nil"/>
              <w:bottom w:val="single" w:sz="4" w:space="0" w:color="auto"/>
              <w:right w:val="single" w:sz="4" w:space="0" w:color="auto"/>
            </w:tcBorders>
            <w:shd w:val="clear" w:color="auto" w:fill="auto"/>
            <w:vAlign w:val="center"/>
            <w:hideMark/>
          </w:tcPr>
          <w:p w14:paraId="69100A11" w14:textId="77777777" w:rsidR="004A0B2E" w:rsidRPr="004A0B2E" w:rsidRDefault="004A0B2E" w:rsidP="004A0B2E">
            <w:pPr>
              <w:jc w:val="right"/>
              <w:rPr>
                <w:rFonts w:ascii="Arial Narrow" w:hAnsi="Arial Narrow" w:cs="Arial"/>
                <w:sz w:val="16"/>
                <w:szCs w:val="16"/>
              </w:rPr>
            </w:pPr>
            <w:r w:rsidRPr="004A0B2E">
              <w:rPr>
                <w:rFonts w:ascii="Arial Narrow" w:hAnsi="Arial Narrow" w:cs="Arial"/>
                <w:sz w:val="16"/>
                <w:szCs w:val="16"/>
              </w:rPr>
              <w:t>2 312,7</w:t>
            </w:r>
          </w:p>
        </w:tc>
        <w:tc>
          <w:tcPr>
            <w:tcW w:w="1132" w:type="dxa"/>
            <w:tcBorders>
              <w:top w:val="nil"/>
              <w:left w:val="nil"/>
              <w:bottom w:val="single" w:sz="4" w:space="0" w:color="auto"/>
              <w:right w:val="single" w:sz="4" w:space="0" w:color="auto"/>
            </w:tcBorders>
            <w:shd w:val="clear" w:color="auto" w:fill="auto"/>
            <w:vAlign w:val="center"/>
            <w:hideMark/>
          </w:tcPr>
          <w:p w14:paraId="275F2949" w14:textId="77777777" w:rsidR="004A0B2E" w:rsidRPr="004A0B2E" w:rsidRDefault="004A0B2E" w:rsidP="004A0B2E">
            <w:pPr>
              <w:rPr>
                <w:rFonts w:ascii="Arial Narrow" w:hAnsi="Arial Narrow" w:cs="Arial"/>
                <w:sz w:val="16"/>
                <w:szCs w:val="16"/>
              </w:rPr>
            </w:pPr>
            <w:r w:rsidRPr="004A0B2E">
              <w:rPr>
                <w:rFonts w:ascii="Arial Narrow" w:hAnsi="Arial Narrow" w:cs="Arial"/>
                <w:sz w:val="16"/>
                <w:szCs w:val="16"/>
              </w:rPr>
              <w:t> </w:t>
            </w:r>
          </w:p>
        </w:tc>
        <w:tc>
          <w:tcPr>
            <w:tcW w:w="1402" w:type="dxa"/>
            <w:tcBorders>
              <w:top w:val="nil"/>
              <w:left w:val="nil"/>
              <w:bottom w:val="single" w:sz="4" w:space="0" w:color="auto"/>
              <w:right w:val="single" w:sz="4" w:space="0" w:color="auto"/>
            </w:tcBorders>
            <w:shd w:val="clear" w:color="auto" w:fill="auto"/>
            <w:vAlign w:val="center"/>
            <w:hideMark/>
          </w:tcPr>
          <w:p w14:paraId="08BF99B5" w14:textId="77777777" w:rsidR="004A0B2E" w:rsidRPr="004A0B2E" w:rsidRDefault="004A0B2E" w:rsidP="004A0B2E">
            <w:pPr>
              <w:rPr>
                <w:rFonts w:ascii="Arial Narrow" w:hAnsi="Arial Narrow" w:cs="Arial"/>
                <w:sz w:val="16"/>
                <w:szCs w:val="16"/>
              </w:rPr>
            </w:pPr>
            <w:r w:rsidRPr="004A0B2E">
              <w:rPr>
                <w:rFonts w:ascii="Arial Narrow" w:hAnsi="Arial Narrow" w:cs="Arial"/>
                <w:sz w:val="16"/>
                <w:szCs w:val="16"/>
              </w:rPr>
              <w:t> </w:t>
            </w:r>
          </w:p>
        </w:tc>
        <w:tc>
          <w:tcPr>
            <w:tcW w:w="1403" w:type="dxa"/>
            <w:tcBorders>
              <w:top w:val="nil"/>
              <w:left w:val="nil"/>
              <w:bottom w:val="single" w:sz="4" w:space="0" w:color="auto"/>
              <w:right w:val="single" w:sz="4" w:space="0" w:color="auto"/>
            </w:tcBorders>
            <w:shd w:val="clear" w:color="auto" w:fill="auto"/>
            <w:vAlign w:val="center"/>
            <w:hideMark/>
          </w:tcPr>
          <w:p w14:paraId="39787378" w14:textId="77777777" w:rsidR="004A0B2E" w:rsidRPr="004A0B2E" w:rsidRDefault="004A0B2E" w:rsidP="004A0B2E">
            <w:pPr>
              <w:jc w:val="right"/>
              <w:rPr>
                <w:rFonts w:ascii="Arial Narrow" w:hAnsi="Arial Narrow" w:cs="Arial"/>
                <w:sz w:val="16"/>
                <w:szCs w:val="16"/>
              </w:rPr>
            </w:pPr>
            <w:r w:rsidRPr="004A0B2E">
              <w:rPr>
                <w:rFonts w:ascii="Arial Narrow" w:hAnsi="Arial Narrow" w:cs="Arial"/>
                <w:sz w:val="16"/>
                <w:szCs w:val="16"/>
              </w:rPr>
              <w:t>2 312,7</w:t>
            </w:r>
          </w:p>
        </w:tc>
      </w:tr>
      <w:tr w:rsidR="004A0B2E" w:rsidRPr="004A0B2E" w14:paraId="52A7BF34" w14:textId="77777777" w:rsidTr="005A18A5">
        <w:trPr>
          <w:trHeight w:val="307"/>
        </w:trPr>
        <w:tc>
          <w:tcPr>
            <w:tcW w:w="4191" w:type="dxa"/>
            <w:tcBorders>
              <w:top w:val="nil"/>
              <w:left w:val="single" w:sz="4" w:space="0" w:color="auto"/>
              <w:bottom w:val="single" w:sz="4" w:space="0" w:color="auto"/>
              <w:right w:val="single" w:sz="4" w:space="0" w:color="auto"/>
            </w:tcBorders>
            <w:shd w:val="clear" w:color="auto" w:fill="auto"/>
            <w:vAlign w:val="center"/>
            <w:hideMark/>
          </w:tcPr>
          <w:p w14:paraId="6298FDCC" w14:textId="77777777" w:rsidR="004A0B2E" w:rsidRPr="004A0B2E" w:rsidRDefault="004A0B2E" w:rsidP="004A0B2E">
            <w:pPr>
              <w:rPr>
                <w:rFonts w:ascii="Arial Narrow" w:hAnsi="Arial Narrow" w:cs="Calibri"/>
                <w:b/>
                <w:bCs/>
                <w:sz w:val="16"/>
                <w:szCs w:val="16"/>
              </w:rPr>
            </w:pPr>
            <w:r w:rsidRPr="004A0B2E">
              <w:rPr>
                <w:rFonts w:ascii="Arial Narrow" w:hAnsi="Arial Narrow" w:cs="Calibri"/>
                <w:b/>
                <w:bCs/>
                <w:sz w:val="16"/>
                <w:szCs w:val="16"/>
              </w:rPr>
              <w:t>Платени лихви</w:t>
            </w:r>
          </w:p>
        </w:tc>
        <w:tc>
          <w:tcPr>
            <w:tcW w:w="1301" w:type="dxa"/>
            <w:tcBorders>
              <w:top w:val="nil"/>
              <w:left w:val="nil"/>
              <w:bottom w:val="single" w:sz="4" w:space="0" w:color="auto"/>
              <w:right w:val="single" w:sz="4" w:space="0" w:color="auto"/>
            </w:tcBorders>
            <w:shd w:val="clear" w:color="auto" w:fill="auto"/>
            <w:vAlign w:val="center"/>
            <w:hideMark/>
          </w:tcPr>
          <w:p w14:paraId="224D5B2B" w14:textId="77777777" w:rsidR="004A0B2E" w:rsidRPr="004A0B2E" w:rsidRDefault="004A0B2E" w:rsidP="004A0B2E">
            <w:pPr>
              <w:jc w:val="right"/>
              <w:rPr>
                <w:rFonts w:ascii="Arial Narrow" w:hAnsi="Arial Narrow" w:cs="Arial"/>
                <w:sz w:val="16"/>
                <w:szCs w:val="16"/>
              </w:rPr>
            </w:pPr>
            <w:r w:rsidRPr="004A0B2E">
              <w:rPr>
                <w:rFonts w:ascii="Arial Narrow" w:hAnsi="Arial Narrow" w:cs="Arial"/>
                <w:sz w:val="16"/>
                <w:szCs w:val="16"/>
              </w:rPr>
              <w:t>187,2</w:t>
            </w:r>
          </w:p>
        </w:tc>
        <w:tc>
          <w:tcPr>
            <w:tcW w:w="1132" w:type="dxa"/>
            <w:tcBorders>
              <w:top w:val="nil"/>
              <w:left w:val="nil"/>
              <w:bottom w:val="single" w:sz="4" w:space="0" w:color="auto"/>
              <w:right w:val="single" w:sz="4" w:space="0" w:color="auto"/>
            </w:tcBorders>
            <w:shd w:val="clear" w:color="auto" w:fill="auto"/>
            <w:vAlign w:val="center"/>
            <w:hideMark/>
          </w:tcPr>
          <w:p w14:paraId="0CAF5538" w14:textId="77777777" w:rsidR="004A0B2E" w:rsidRPr="004A0B2E" w:rsidRDefault="004A0B2E" w:rsidP="004A0B2E">
            <w:pPr>
              <w:jc w:val="right"/>
              <w:rPr>
                <w:rFonts w:ascii="Arial Narrow" w:hAnsi="Arial Narrow" w:cs="Arial"/>
                <w:sz w:val="16"/>
                <w:szCs w:val="16"/>
              </w:rPr>
            </w:pPr>
            <w:r w:rsidRPr="004A0B2E">
              <w:rPr>
                <w:rFonts w:ascii="Arial Narrow" w:hAnsi="Arial Narrow" w:cs="Arial"/>
                <w:sz w:val="16"/>
                <w:szCs w:val="16"/>
              </w:rPr>
              <w:t>187,2</w:t>
            </w:r>
          </w:p>
        </w:tc>
        <w:tc>
          <w:tcPr>
            <w:tcW w:w="1132" w:type="dxa"/>
            <w:tcBorders>
              <w:top w:val="nil"/>
              <w:left w:val="nil"/>
              <w:bottom w:val="single" w:sz="4" w:space="0" w:color="auto"/>
              <w:right w:val="single" w:sz="4" w:space="0" w:color="auto"/>
            </w:tcBorders>
            <w:shd w:val="clear" w:color="auto" w:fill="auto"/>
            <w:vAlign w:val="center"/>
            <w:hideMark/>
          </w:tcPr>
          <w:p w14:paraId="3D64FB98" w14:textId="77777777" w:rsidR="004A0B2E" w:rsidRPr="004A0B2E" w:rsidRDefault="004A0B2E" w:rsidP="004A0B2E">
            <w:pPr>
              <w:rPr>
                <w:rFonts w:ascii="Arial Narrow" w:hAnsi="Arial Narrow" w:cs="Arial"/>
                <w:sz w:val="16"/>
                <w:szCs w:val="16"/>
              </w:rPr>
            </w:pPr>
            <w:r w:rsidRPr="004A0B2E">
              <w:rPr>
                <w:rFonts w:ascii="Arial Narrow" w:hAnsi="Arial Narrow" w:cs="Arial"/>
                <w:sz w:val="16"/>
                <w:szCs w:val="16"/>
              </w:rPr>
              <w:t> </w:t>
            </w:r>
          </w:p>
        </w:tc>
        <w:tc>
          <w:tcPr>
            <w:tcW w:w="1402" w:type="dxa"/>
            <w:tcBorders>
              <w:top w:val="nil"/>
              <w:left w:val="nil"/>
              <w:bottom w:val="single" w:sz="4" w:space="0" w:color="auto"/>
              <w:right w:val="single" w:sz="4" w:space="0" w:color="auto"/>
            </w:tcBorders>
            <w:shd w:val="clear" w:color="auto" w:fill="auto"/>
            <w:vAlign w:val="center"/>
            <w:hideMark/>
          </w:tcPr>
          <w:p w14:paraId="6614BD2D" w14:textId="77777777" w:rsidR="004A0B2E" w:rsidRPr="004A0B2E" w:rsidRDefault="004A0B2E" w:rsidP="004A0B2E">
            <w:pPr>
              <w:rPr>
                <w:rFonts w:ascii="Arial Narrow" w:hAnsi="Arial Narrow" w:cs="Arial"/>
                <w:sz w:val="16"/>
                <w:szCs w:val="16"/>
              </w:rPr>
            </w:pPr>
            <w:r w:rsidRPr="004A0B2E">
              <w:rPr>
                <w:rFonts w:ascii="Arial Narrow" w:hAnsi="Arial Narrow" w:cs="Arial"/>
                <w:sz w:val="16"/>
                <w:szCs w:val="16"/>
              </w:rPr>
              <w:t> </w:t>
            </w:r>
          </w:p>
        </w:tc>
        <w:tc>
          <w:tcPr>
            <w:tcW w:w="1403" w:type="dxa"/>
            <w:tcBorders>
              <w:top w:val="nil"/>
              <w:left w:val="nil"/>
              <w:bottom w:val="single" w:sz="4" w:space="0" w:color="auto"/>
              <w:right w:val="single" w:sz="4" w:space="0" w:color="auto"/>
            </w:tcBorders>
            <w:shd w:val="clear" w:color="auto" w:fill="auto"/>
            <w:vAlign w:val="center"/>
            <w:hideMark/>
          </w:tcPr>
          <w:p w14:paraId="44AA41B6" w14:textId="77777777" w:rsidR="004A0B2E" w:rsidRPr="004A0B2E" w:rsidRDefault="004A0B2E" w:rsidP="004A0B2E">
            <w:pPr>
              <w:jc w:val="right"/>
              <w:rPr>
                <w:rFonts w:ascii="Arial Narrow" w:hAnsi="Arial Narrow" w:cs="Arial"/>
                <w:sz w:val="16"/>
                <w:szCs w:val="16"/>
              </w:rPr>
            </w:pPr>
            <w:r w:rsidRPr="004A0B2E">
              <w:rPr>
                <w:rFonts w:ascii="Arial Narrow" w:hAnsi="Arial Narrow" w:cs="Arial"/>
                <w:sz w:val="16"/>
                <w:szCs w:val="16"/>
              </w:rPr>
              <w:t>187,2</w:t>
            </w:r>
          </w:p>
        </w:tc>
      </w:tr>
      <w:tr w:rsidR="004A0B2E" w:rsidRPr="004A0B2E" w14:paraId="68588C32" w14:textId="77777777" w:rsidTr="005A18A5">
        <w:trPr>
          <w:trHeight w:val="307"/>
        </w:trPr>
        <w:tc>
          <w:tcPr>
            <w:tcW w:w="4191" w:type="dxa"/>
            <w:tcBorders>
              <w:top w:val="nil"/>
              <w:left w:val="single" w:sz="4" w:space="0" w:color="auto"/>
              <w:bottom w:val="single" w:sz="4" w:space="0" w:color="auto"/>
              <w:right w:val="single" w:sz="4" w:space="0" w:color="auto"/>
            </w:tcBorders>
            <w:shd w:val="clear" w:color="auto" w:fill="auto"/>
            <w:vAlign w:val="center"/>
            <w:hideMark/>
          </w:tcPr>
          <w:p w14:paraId="085F10CD" w14:textId="77777777" w:rsidR="004A0B2E" w:rsidRPr="004A0B2E" w:rsidRDefault="004A0B2E" w:rsidP="004A0B2E">
            <w:pPr>
              <w:rPr>
                <w:rFonts w:ascii="Arial Narrow" w:hAnsi="Arial Narrow" w:cs="Calibri"/>
                <w:b/>
                <w:bCs/>
                <w:sz w:val="16"/>
                <w:szCs w:val="16"/>
              </w:rPr>
            </w:pPr>
            <w:r w:rsidRPr="004A0B2E">
              <w:rPr>
                <w:rFonts w:ascii="Arial Narrow" w:hAnsi="Arial Narrow" w:cs="Calibri"/>
                <w:b/>
                <w:bCs/>
                <w:sz w:val="16"/>
                <w:szCs w:val="16"/>
              </w:rPr>
              <w:t>Получени лихви</w:t>
            </w:r>
          </w:p>
        </w:tc>
        <w:tc>
          <w:tcPr>
            <w:tcW w:w="1301" w:type="dxa"/>
            <w:tcBorders>
              <w:top w:val="nil"/>
              <w:left w:val="nil"/>
              <w:bottom w:val="single" w:sz="4" w:space="0" w:color="auto"/>
              <w:right w:val="single" w:sz="4" w:space="0" w:color="auto"/>
            </w:tcBorders>
            <w:shd w:val="clear" w:color="auto" w:fill="auto"/>
            <w:vAlign w:val="center"/>
            <w:hideMark/>
          </w:tcPr>
          <w:p w14:paraId="421432F5" w14:textId="77777777" w:rsidR="004A0B2E" w:rsidRPr="004A0B2E" w:rsidRDefault="004A0B2E" w:rsidP="004A0B2E">
            <w:pPr>
              <w:jc w:val="right"/>
              <w:rPr>
                <w:rFonts w:ascii="Arial Narrow" w:hAnsi="Arial Narrow" w:cs="Arial"/>
                <w:sz w:val="16"/>
                <w:szCs w:val="16"/>
              </w:rPr>
            </w:pPr>
            <w:r w:rsidRPr="004A0B2E">
              <w:rPr>
                <w:rFonts w:ascii="Arial Narrow" w:hAnsi="Arial Narrow" w:cs="Arial"/>
                <w:sz w:val="16"/>
                <w:szCs w:val="16"/>
              </w:rPr>
              <w:t>87,4</w:t>
            </w:r>
          </w:p>
        </w:tc>
        <w:tc>
          <w:tcPr>
            <w:tcW w:w="1132" w:type="dxa"/>
            <w:tcBorders>
              <w:top w:val="nil"/>
              <w:left w:val="nil"/>
              <w:bottom w:val="single" w:sz="4" w:space="0" w:color="auto"/>
              <w:right w:val="single" w:sz="4" w:space="0" w:color="auto"/>
            </w:tcBorders>
            <w:shd w:val="clear" w:color="auto" w:fill="auto"/>
            <w:vAlign w:val="center"/>
            <w:hideMark/>
          </w:tcPr>
          <w:p w14:paraId="1BF3BA79" w14:textId="77777777" w:rsidR="004A0B2E" w:rsidRPr="004A0B2E" w:rsidRDefault="004A0B2E" w:rsidP="004A0B2E">
            <w:pPr>
              <w:jc w:val="right"/>
              <w:rPr>
                <w:rFonts w:ascii="Arial Narrow" w:hAnsi="Arial Narrow" w:cs="Arial"/>
                <w:sz w:val="16"/>
                <w:szCs w:val="16"/>
              </w:rPr>
            </w:pPr>
            <w:r w:rsidRPr="004A0B2E">
              <w:rPr>
                <w:rFonts w:ascii="Arial Narrow" w:hAnsi="Arial Narrow" w:cs="Arial"/>
                <w:sz w:val="16"/>
                <w:szCs w:val="16"/>
              </w:rPr>
              <w:t>87,4</w:t>
            </w:r>
          </w:p>
        </w:tc>
        <w:tc>
          <w:tcPr>
            <w:tcW w:w="1132" w:type="dxa"/>
            <w:tcBorders>
              <w:top w:val="nil"/>
              <w:left w:val="nil"/>
              <w:bottom w:val="single" w:sz="4" w:space="0" w:color="auto"/>
              <w:right w:val="single" w:sz="4" w:space="0" w:color="auto"/>
            </w:tcBorders>
            <w:shd w:val="clear" w:color="auto" w:fill="auto"/>
            <w:vAlign w:val="center"/>
            <w:hideMark/>
          </w:tcPr>
          <w:p w14:paraId="704562C9" w14:textId="77777777" w:rsidR="004A0B2E" w:rsidRPr="004A0B2E" w:rsidRDefault="004A0B2E" w:rsidP="004A0B2E">
            <w:pPr>
              <w:rPr>
                <w:rFonts w:ascii="Arial Narrow" w:hAnsi="Arial Narrow" w:cs="Arial"/>
                <w:sz w:val="16"/>
                <w:szCs w:val="16"/>
              </w:rPr>
            </w:pPr>
            <w:r w:rsidRPr="004A0B2E">
              <w:rPr>
                <w:rFonts w:ascii="Arial Narrow" w:hAnsi="Arial Narrow" w:cs="Arial"/>
                <w:sz w:val="16"/>
                <w:szCs w:val="16"/>
              </w:rPr>
              <w:t> </w:t>
            </w:r>
          </w:p>
        </w:tc>
        <w:tc>
          <w:tcPr>
            <w:tcW w:w="1402" w:type="dxa"/>
            <w:tcBorders>
              <w:top w:val="nil"/>
              <w:left w:val="nil"/>
              <w:bottom w:val="single" w:sz="4" w:space="0" w:color="auto"/>
              <w:right w:val="single" w:sz="4" w:space="0" w:color="auto"/>
            </w:tcBorders>
            <w:shd w:val="clear" w:color="auto" w:fill="auto"/>
            <w:vAlign w:val="center"/>
            <w:hideMark/>
          </w:tcPr>
          <w:p w14:paraId="30EBA704" w14:textId="77777777" w:rsidR="004A0B2E" w:rsidRPr="004A0B2E" w:rsidRDefault="004A0B2E" w:rsidP="004A0B2E">
            <w:pPr>
              <w:rPr>
                <w:rFonts w:ascii="Arial Narrow" w:hAnsi="Arial Narrow" w:cs="Arial"/>
                <w:sz w:val="16"/>
                <w:szCs w:val="16"/>
              </w:rPr>
            </w:pPr>
            <w:r w:rsidRPr="004A0B2E">
              <w:rPr>
                <w:rFonts w:ascii="Arial Narrow" w:hAnsi="Arial Narrow" w:cs="Arial"/>
                <w:sz w:val="16"/>
                <w:szCs w:val="16"/>
              </w:rPr>
              <w:t> </w:t>
            </w:r>
          </w:p>
        </w:tc>
        <w:tc>
          <w:tcPr>
            <w:tcW w:w="1403" w:type="dxa"/>
            <w:tcBorders>
              <w:top w:val="nil"/>
              <w:left w:val="nil"/>
              <w:bottom w:val="single" w:sz="4" w:space="0" w:color="auto"/>
              <w:right w:val="single" w:sz="4" w:space="0" w:color="auto"/>
            </w:tcBorders>
            <w:shd w:val="clear" w:color="auto" w:fill="auto"/>
            <w:vAlign w:val="center"/>
            <w:hideMark/>
          </w:tcPr>
          <w:p w14:paraId="5B7310CE" w14:textId="77777777" w:rsidR="004A0B2E" w:rsidRPr="004A0B2E" w:rsidRDefault="004A0B2E" w:rsidP="004A0B2E">
            <w:pPr>
              <w:jc w:val="right"/>
              <w:rPr>
                <w:rFonts w:ascii="Arial Narrow" w:hAnsi="Arial Narrow" w:cs="Arial"/>
                <w:sz w:val="16"/>
                <w:szCs w:val="16"/>
              </w:rPr>
            </w:pPr>
            <w:r w:rsidRPr="004A0B2E">
              <w:rPr>
                <w:rFonts w:ascii="Arial Narrow" w:hAnsi="Arial Narrow" w:cs="Arial"/>
                <w:sz w:val="16"/>
                <w:szCs w:val="16"/>
              </w:rPr>
              <w:t>87,4</w:t>
            </w:r>
          </w:p>
        </w:tc>
      </w:tr>
    </w:tbl>
    <w:p w14:paraId="28074071" w14:textId="77777777" w:rsidR="00012C3E" w:rsidRPr="004A0B2E" w:rsidRDefault="00012C3E" w:rsidP="00CD44F3">
      <w:pPr>
        <w:jc w:val="both"/>
        <w:rPr>
          <w:rFonts w:ascii="Arial Narrow" w:hAnsi="Arial Narrow"/>
          <w:sz w:val="16"/>
          <w:szCs w:val="16"/>
          <w:lang w:val="bg-BG"/>
        </w:rPr>
      </w:pPr>
      <w:r w:rsidRPr="00C1041D">
        <w:rPr>
          <w:rFonts w:ascii="Arial Narrow" w:hAnsi="Arial Narrow"/>
          <w:i/>
          <w:sz w:val="18"/>
          <w:szCs w:val="18"/>
          <w:lang w:val="bg-BG"/>
        </w:rPr>
        <w:t xml:space="preserve">Източник: </w:t>
      </w:r>
      <w:r w:rsidRPr="00C1041D">
        <w:rPr>
          <w:rFonts w:ascii="Arial Narrow" w:hAnsi="Arial Narrow"/>
          <w:sz w:val="18"/>
          <w:szCs w:val="18"/>
          <w:lang w:val="bg-BG"/>
        </w:rPr>
        <w:t>НСИ</w:t>
      </w:r>
      <w:r w:rsidR="004A0B2E" w:rsidRPr="004A0B2E">
        <w:rPr>
          <w:rFonts w:ascii="Arial Narrow" w:hAnsi="Arial Narrow"/>
          <w:sz w:val="16"/>
          <w:szCs w:val="16"/>
          <w:lang w:val="bg-BG"/>
        </w:rPr>
        <w:tab/>
      </w:r>
      <w:r w:rsidR="004A0B2E">
        <w:rPr>
          <w:rFonts w:ascii="Arial Narrow" w:hAnsi="Arial Narrow"/>
          <w:b/>
          <w:color w:val="FF0000"/>
          <w:sz w:val="18"/>
          <w:szCs w:val="18"/>
          <w:lang w:val="bg-BG"/>
        </w:rPr>
        <w:tab/>
      </w:r>
      <w:r w:rsidR="004A0B2E">
        <w:rPr>
          <w:rFonts w:ascii="Arial Narrow" w:hAnsi="Arial Narrow"/>
          <w:b/>
          <w:color w:val="FF0000"/>
          <w:sz w:val="18"/>
          <w:szCs w:val="18"/>
          <w:lang w:val="bg-BG"/>
        </w:rPr>
        <w:tab/>
      </w:r>
      <w:r w:rsidR="004A0B2E">
        <w:rPr>
          <w:rFonts w:ascii="Arial Narrow" w:hAnsi="Arial Narrow"/>
          <w:b/>
          <w:color w:val="FF0000"/>
          <w:sz w:val="18"/>
          <w:szCs w:val="18"/>
          <w:lang w:val="bg-BG"/>
        </w:rPr>
        <w:tab/>
      </w:r>
      <w:r w:rsidR="004A0B2E">
        <w:rPr>
          <w:rFonts w:ascii="Arial Narrow" w:hAnsi="Arial Narrow"/>
          <w:b/>
          <w:color w:val="FF0000"/>
          <w:sz w:val="18"/>
          <w:szCs w:val="18"/>
          <w:lang w:val="bg-BG"/>
        </w:rPr>
        <w:tab/>
      </w:r>
      <w:r w:rsidR="004A0B2E">
        <w:rPr>
          <w:rFonts w:ascii="Arial Narrow" w:hAnsi="Arial Narrow"/>
          <w:b/>
          <w:color w:val="FF0000"/>
          <w:sz w:val="18"/>
          <w:szCs w:val="18"/>
          <w:lang w:val="bg-BG"/>
        </w:rPr>
        <w:tab/>
      </w:r>
    </w:p>
    <w:p w14:paraId="39400691" w14:textId="77777777" w:rsidR="00012C3E" w:rsidRPr="008F7A9E" w:rsidRDefault="00012C3E" w:rsidP="00012C3E">
      <w:pPr>
        <w:pageBreakBefore/>
        <w:spacing w:after="120"/>
        <w:rPr>
          <w:rFonts w:ascii="Arial Narrow" w:hAnsi="Arial Narrow"/>
          <w:b/>
          <w:sz w:val="18"/>
          <w:szCs w:val="18"/>
          <w:lang w:val="bg-BG"/>
        </w:rPr>
      </w:pPr>
      <w:r w:rsidRPr="008F7A9E">
        <w:rPr>
          <w:rFonts w:ascii="Arial Narrow" w:hAnsi="Arial Narrow"/>
          <w:b/>
          <w:sz w:val="18"/>
          <w:szCs w:val="18"/>
          <w:lang w:val="bg-BG"/>
        </w:rPr>
        <w:lastRenderedPageBreak/>
        <w:t>ПРИЛОЖЕНИЕ 4</w:t>
      </w:r>
      <w:r w:rsidRPr="008F7A9E">
        <w:rPr>
          <w:rFonts w:ascii="Arial Narrow" w:hAnsi="Arial Narrow"/>
          <w:b/>
          <w:sz w:val="18"/>
          <w:szCs w:val="18"/>
          <w:lang w:val="bg-BG"/>
        </w:rPr>
        <w:tab/>
      </w:r>
      <w:r w:rsidRPr="008F7A9E">
        <w:rPr>
          <w:rFonts w:ascii="Arial Narrow" w:hAnsi="Arial Narrow"/>
          <w:b/>
          <w:sz w:val="18"/>
          <w:szCs w:val="18"/>
          <w:lang w:val="bg-BG"/>
        </w:rPr>
        <w:tab/>
      </w:r>
      <w:r w:rsidRPr="008F7A9E">
        <w:rPr>
          <w:rFonts w:ascii="Arial Narrow" w:hAnsi="Arial Narrow"/>
          <w:b/>
          <w:sz w:val="18"/>
          <w:szCs w:val="18"/>
          <w:lang w:val="bg-BG"/>
        </w:rPr>
        <w:tab/>
      </w:r>
      <w:r w:rsidRPr="008F7A9E">
        <w:rPr>
          <w:rFonts w:ascii="Arial Narrow" w:hAnsi="Arial Narrow"/>
          <w:b/>
          <w:sz w:val="18"/>
          <w:szCs w:val="18"/>
          <w:lang w:val="bg-BG"/>
        </w:rPr>
        <w:tab/>
      </w:r>
      <w:r w:rsidRPr="008F7A9E">
        <w:rPr>
          <w:rFonts w:ascii="Arial Narrow" w:hAnsi="Arial Narrow"/>
          <w:b/>
          <w:sz w:val="18"/>
          <w:szCs w:val="18"/>
          <w:lang w:val="bg-BG"/>
        </w:rPr>
        <w:tab/>
      </w:r>
      <w:r w:rsidRPr="008F7A9E">
        <w:rPr>
          <w:rFonts w:ascii="Arial Narrow" w:hAnsi="Arial Narrow"/>
          <w:b/>
          <w:sz w:val="18"/>
          <w:szCs w:val="18"/>
          <w:lang w:val="bg-BG"/>
        </w:rPr>
        <w:tab/>
      </w:r>
    </w:p>
    <w:p w14:paraId="6848C882" w14:textId="77777777" w:rsidR="00012C3E" w:rsidRPr="008F7A9E" w:rsidRDefault="00012C3E" w:rsidP="00012C3E">
      <w:pPr>
        <w:spacing w:after="120"/>
        <w:jc w:val="both"/>
        <w:rPr>
          <w:rFonts w:ascii="Arial Narrow" w:hAnsi="Arial Narrow"/>
          <w:b/>
          <w:sz w:val="16"/>
          <w:szCs w:val="16"/>
          <w:lang w:val="bg-BG"/>
        </w:rPr>
      </w:pPr>
      <w:r w:rsidRPr="008F7A9E">
        <w:rPr>
          <w:rFonts w:ascii="Arial Narrow" w:hAnsi="Arial Narrow"/>
          <w:b/>
          <w:sz w:val="18"/>
          <w:szCs w:val="18"/>
          <w:lang w:val="bg-BG"/>
        </w:rPr>
        <w:t>СТОЙНОСТ НА КРАЙНАТА ПРОДУКЦИЯ, БРУТНА ДОБАВЕНА СТОЙНОСТ И ПРЕДПРИЕМАЧЕСКИ ДОХОД В ОТРАСЪЛ СЕЛСКО СТОПАНСТВО (ПО ТЕКУЩИ БАЗИСНИ ЦЕНИ) ЗА ПЕРИОДА 202</w:t>
      </w:r>
      <w:r w:rsidR="008F7A9E" w:rsidRPr="008F7A9E">
        <w:rPr>
          <w:rFonts w:ascii="Arial Narrow" w:hAnsi="Arial Narrow"/>
          <w:b/>
          <w:sz w:val="18"/>
          <w:szCs w:val="18"/>
          <w:lang w:val="bg-BG"/>
        </w:rPr>
        <w:t>2</w:t>
      </w:r>
      <w:r w:rsidRPr="008F7A9E">
        <w:rPr>
          <w:rFonts w:ascii="Arial Narrow" w:hAnsi="Arial Narrow"/>
          <w:b/>
          <w:sz w:val="18"/>
          <w:szCs w:val="18"/>
          <w:lang w:val="bg-BG"/>
        </w:rPr>
        <w:t xml:space="preserve"> – 202</w:t>
      </w:r>
      <w:r w:rsidR="008F7A9E" w:rsidRPr="008F7A9E">
        <w:rPr>
          <w:rFonts w:ascii="Arial Narrow" w:hAnsi="Arial Narrow"/>
          <w:b/>
          <w:sz w:val="18"/>
          <w:szCs w:val="18"/>
          <w:lang w:val="bg-BG"/>
        </w:rPr>
        <w:t>4</w:t>
      </w:r>
      <w:r w:rsidRPr="008F7A9E">
        <w:rPr>
          <w:rFonts w:ascii="Arial Narrow" w:hAnsi="Arial Narrow"/>
          <w:b/>
          <w:sz w:val="18"/>
          <w:szCs w:val="18"/>
          <w:lang w:val="bg-BG"/>
        </w:rPr>
        <w:t xml:space="preserve"> Г.</w:t>
      </w:r>
      <w:r w:rsidRPr="008F7A9E">
        <w:rPr>
          <w:rFonts w:ascii="Arial Narrow" w:hAnsi="Arial Narrow"/>
          <w:b/>
          <w:sz w:val="18"/>
          <w:szCs w:val="18"/>
          <w:lang w:val="bg-BG"/>
        </w:rPr>
        <w:tab/>
      </w:r>
      <w:r w:rsidRPr="008F7A9E">
        <w:rPr>
          <w:rFonts w:ascii="Arial Narrow" w:hAnsi="Arial Narrow"/>
          <w:b/>
          <w:sz w:val="16"/>
          <w:szCs w:val="16"/>
          <w:lang w:val="bg-BG"/>
        </w:rPr>
        <w:tab/>
      </w:r>
      <w:r w:rsidRPr="008F7A9E">
        <w:rPr>
          <w:rFonts w:ascii="Arial Narrow" w:hAnsi="Arial Narrow"/>
          <w:b/>
          <w:sz w:val="16"/>
          <w:szCs w:val="16"/>
          <w:lang w:val="bg-BG"/>
        </w:rPr>
        <w:tab/>
      </w:r>
      <w:r w:rsidRPr="008F7A9E">
        <w:rPr>
          <w:rFonts w:ascii="Arial Narrow" w:hAnsi="Arial Narrow"/>
          <w:b/>
          <w:sz w:val="16"/>
          <w:szCs w:val="16"/>
          <w:lang w:val="bg-BG"/>
        </w:rPr>
        <w:tab/>
      </w:r>
      <w:r w:rsidRPr="008F7A9E">
        <w:rPr>
          <w:rFonts w:ascii="Arial Narrow" w:hAnsi="Arial Narrow"/>
          <w:b/>
          <w:sz w:val="16"/>
          <w:szCs w:val="16"/>
          <w:lang w:val="bg-BG"/>
        </w:rPr>
        <w:tab/>
      </w:r>
      <w:r w:rsidRPr="008F7A9E">
        <w:rPr>
          <w:rFonts w:ascii="Arial Narrow" w:hAnsi="Arial Narrow"/>
          <w:b/>
          <w:sz w:val="16"/>
          <w:szCs w:val="16"/>
          <w:lang w:val="bg-BG"/>
        </w:rPr>
        <w:tab/>
      </w:r>
    </w:p>
    <w:p w14:paraId="4B410947" w14:textId="77777777" w:rsidR="00012C3E" w:rsidRPr="008F7A9E" w:rsidRDefault="00E01BBF" w:rsidP="00012C3E">
      <w:pPr>
        <w:spacing w:after="120"/>
        <w:ind w:right="21"/>
        <w:jc w:val="right"/>
        <w:rPr>
          <w:rFonts w:ascii="Arial Narrow" w:hAnsi="Arial Narrow"/>
          <w:b/>
          <w:sz w:val="16"/>
          <w:szCs w:val="16"/>
          <w:lang w:val="bg-BG"/>
        </w:rPr>
      </w:pPr>
      <w:r>
        <w:rPr>
          <w:rFonts w:ascii="Arial Narrow" w:hAnsi="Arial Narrow"/>
          <w:b/>
          <w:sz w:val="16"/>
          <w:szCs w:val="16"/>
          <w:lang w:val="bg-BG"/>
        </w:rPr>
        <w:t xml:space="preserve">    </w:t>
      </w:r>
      <w:r w:rsidR="00012C3E" w:rsidRPr="008F7A9E">
        <w:rPr>
          <w:rFonts w:ascii="Arial Narrow" w:hAnsi="Arial Narrow"/>
          <w:b/>
          <w:sz w:val="16"/>
          <w:szCs w:val="16"/>
          <w:lang w:val="bg-BG"/>
        </w:rPr>
        <w:t>(млн. лв.)</w:t>
      </w:r>
    </w:p>
    <w:tbl>
      <w:tblPr>
        <w:tblW w:w="10905" w:type="dxa"/>
        <w:tblInd w:w="-459" w:type="dxa"/>
        <w:tblLook w:val="04A0" w:firstRow="1" w:lastRow="0" w:firstColumn="1" w:lastColumn="0" w:noHBand="0" w:noVBand="1"/>
      </w:tblPr>
      <w:tblGrid>
        <w:gridCol w:w="748"/>
        <w:gridCol w:w="4419"/>
        <w:gridCol w:w="1185"/>
        <w:gridCol w:w="1028"/>
        <w:gridCol w:w="1217"/>
        <w:gridCol w:w="1075"/>
        <w:gridCol w:w="1233"/>
      </w:tblGrid>
      <w:tr w:rsidR="008F7A9E" w:rsidRPr="008F7A9E" w14:paraId="247F952A" w14:textId="77777777" w:rsidTr="0043709B">
        <w:trPr>
          <w:trHeight w:val="617"/>
          <w:tblHeader/>
        </w:trPr>
        <w:tc>
          <w:tcPr>
            <w:tcW w:w="7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0DD1C5" w14:textId="77777777" w:rsidR="00012C3E" w:rsidRPr="008F7A9E" w:rsidRDefault="00012C3E" w:rsidP="005A18A5">
            <w:pPr>
              <w:jc w:val="center"/>
              <w:rPr>
                <w:rFonts w:ascii="Arial Narrow" w:hAnsi="Arial Narrow" w:cs="Calibri"/>
                <w:b/>
                <w:sz w:val="16"/>
                <w:szCs w:val="16"/>
              </w:rPr>
            </w:pPr>
            <w:r w:rsidRPr="008F7A9E">
              <w:rPr>
                <w:rFonts w:ascii="Arial Narrow" w:hAnsi="Arial Narrow" w:cs="Calibri"/>
                <w:b/>
                <w:sz w:val="16"/>
                <w:szCs w:val="16"/>
              </w:rPr>
              <w:t>Код</w:t>
            </w:r>
          </w:p>
        </w:tc>
        <w:tc>
          <w:tcPr>
            <w:tcW w:w="4419" w:type="dxa"/>
            <w:tcBorders>
              <w:top w:val="single" w:sz="4" w:space="0" w:color="auto"/>
              <w:left w:val="nil"/>
              <w:bottom w:val="single" w:sz="4" w:space="0" w:color="auto"/>
              <w:right w:val="single" w:sz="4" w:space="0" w:color="auto"/>
            </w:tcBorders>
            <w:shd w:val="clear" w:color="auto" w:fill="auto"/>
            <w:noWrap/>
            <w:vAlign w:val="center"/>
            <w:hideMark/>
          </w:tcPr>
          <w:p w14:paraId="42353866" w14:textId="77777777" w:rsidR="00012C3E" w:rsidRPr="008F7A9E" w:rsidRDefault="00012C3E" w:rsidP="005A18A5">
            <w:pPr>
              <w:jc w:val="center"/>
              <w:rPr>
                <w:rFonts w:ascii="Arial Narrow" w:hAnsi="Arial Narrow" w:cs="Calibri"/>
                <w:b/>
                <w:bCs/>
                <w:sz w:val="16"/>
                <w:szCs w:val="16"/>
              </w:rPr>
            </w:pPr>
            <w:r w:rsidRPr="008F7A9E">
              <w:rPr>
                <w:rFonts w:ascii="Arial Narrow" w:hAnsi="Arial Narrow" w:cs="Calibri"/>
                <w:b/>
                <w:bCs/>
                <w:sz w:val="16"/>
                <w:szCs w:val="16"/>
              </w:rPr>
              <w:t xml:space="preserve">Продукти </w:t>
            </w:r>
          </w:p>
        </w:tc>
        <w:tc>
          <w:tcPr>
            <w:tcW w:w="1185" w:type="dxa"/>
            <w:tcBorders>
              <w:top w:val="single" w:sz="4" w:space="0" w:color="auto"/>
              <w:left w:val="nil"/>
              <w:bottom w:val="single" w:sz="4" w:space="0" w:color="auto"/>
              <w:right w:val="single" w:sz="4" w:space="0" w:color="auto"/>
            </w:tcBorders>
            <w:shd w:val="clear" w:color="auto" w:fill="auto"/>
            <w:vAlign w:val="center"/>
            <w:hideMark/>
          </w:tcPr>
          <w:p w14:paraId="0EC185FD" w14:textId="77777777" w:rsidR="00012C3E" w:rsidRPr="0043709B" w:rsidRDefault="00012C3E" w:rsidP="0043709B">
            <w:pPr>
              <w:jc w:val="center"/>
              <w:rPr>
                <w:rFonts w:ascii="Arial Narrow" w:hAnsi="Arial Narrow" w:cs="Calibri"/>
                <w:b/>
                <w:sz w:val="16"/>
                <w:szCs w:val="16"/>
                <w:lang w:val="bg-BG"/>
              </w:rPr>
            </w:pPr>
            <w:r w:rsidRPr="008F7A9E">
              <w:rPr>
                <w:rFonts w:ascii="Arial Narrow" w:hAnsi="Arial Narrow" w:cs="Calibri"/>
                <w:b/>
                <w:sz w:val="16"/>
                <w:szCs w:val="16"/>
              </w:rPr>
              <w:t>202</w:t>
            </w:r>
            <w:r w:rsidR="0043709B">
              <w:rPr>
                <w:rFonts w:ascii="Arial Narrow" w:hAnsi="Arial Narrow" w:cs="Calibri"/>
                <w:b/>
                <w:sz w:val="16"/>
                <w:szCs w:val="16"/>
                <w:lang w:val="bg-BG"/>
              </w:rPr>
              <w:t>2</w:t>
            </w:r>
          </w:p>
        </w:tc>
        <w:tc>
          <w:tcPr>
            <w:tcW w:w="1028" w:type="dxa"/>
            <w:tcBorders>
              <w:top w:val="single" w:sz="4" w:space="0" w:color="auto"/>
              <w:left w:val="nil"/>
              <w:bottom w:val="single" w:sz="4" w:space="0" w:color="auto"/>
              <w:right w:val="single" w:sz="4" w:space="0" w:color="auto"/>
            </w:tcBorders>
            <w:shd w:val="clear" w:color="auto" w:fill="auto"/>
            <w:vAlign w:val="center"/>
            <w:hideMark/>
          </w:tcPr>
          <w:p w14:paraId="313DE1B9" w14:textId="77777777" w:rsidR="00012C3E" w:rsidRPr="008F7A9E" w:rsidRDefault="00012C3E" w:rsidP="005A18A5">
            <w:pPr>
              <w:jc w:val="center"/>
              <w:rPr>
                <w:rFonts w:ascii="Arial Narrow" w:hAnsi="Arial Narrow" w:cs="Calibri"/>
                <w:b/>
                <w:sz w:val="16"/>
                <w:szCs w:val="16"/>
              </w:rPr>
            </w:pPr>
            <w:r w:rsidRPr="008F7A9E">
              <w:rPr>
                <w:rFonts w:ascii="Arial Narrow" w:hAnsi="Arial Narrow" w:cs="Calibri"/>
                <w:b/>
                <w:sz w:val="16"/>
                <w:szCs w:val="16"/>
              </w:rPr>
              <w:t>Коефициент на изменение</w:t>
            </w:r>
          </w:p>
        </w:tc>
        <w:tc>
          <w:tcPr>
            <w:tcW w:w="1217" w:type="dxa"/>
            <w:tcBorders>
              <w:top w:val="single" w:sz="4" w:space="0" w:color="auto"/>
              <w:left w:val="nil"/>
              <w:bottom w:val="single" w:sz="4" w:space="0" w:color="auto"/>
              <w:right w:val="single" w:sz="4" w:space="0" w:color="auto"/>
            </w:tcBorders>
            <w:shd w:val="clear" w:color="auto" w:fill="auto"/>
            <w:vAlign w:val="center"/>
            <w:hideMark/>
          </w:tcPr>
          <w:p w14:paraId="2E09537F" w14:textId="77777777" w:rsidR="00012C3E" w:rsidRPr="008F7A9E" w:rsidRDefault="0043709B" w:rsidP="005A18A5">
            <w:pPr>
              <w:jc w:val="center"/>
              <w:rPr>
                <w:rFonts w:ascii="Arial Narrow" w:hAnsi="Arial Narrow" w:cs="Calibri"/>
                <w:b/>
                <w:sz w:val="16"/>
                <w:szCs w:val="16"/>
              </w:rPr>
            </w:pPr>
            <w:r>
              <w:rPr>
                <w:rFonts w:ascii="Arial Narrow" w:hAnsi="Arial Narrow" w:cs="Calibri"/>
                <w:b/>
                <w:sz w:val="16"/>
                <w:szCs w:val="16"/>
              </w:rPr>
              <w:t>2023</w:t>
            </w:r>
          </w:p>
        </w:tc>
        <w:tc>
          <w:tcPr>
            <w:tcW w:w="1075" w:type="dxa"/>
            <w:tcBorders>
              <w:top w:val="single" w:sz="4" w:space="0" w:color="auto"/>
              <w:left w:val="nil"/>
              <w:bottom w:val="single" w:sz="4" w:space="0" w:color="auto"/>
              <w:right w:val="single" w:sz="4" w:space="0" w:color="auto"/>
            </w:tcBorders>
            <w:shd w:val="clear" w:color="auto" w:fill="auto"/>
            <w:vAlign w:val="center"/>
            <w:hideMark/>
          </w:tcPr>
          <w:p w14:paraId="36D4E815" w14:textId="77777777" w:rsidR="00012C3E" w:rsidRPr="008F7A9E" w:rsidRDefault="00012C3E" w:rsidP="005A18A5">
            <w:pPr>
              <w:jc w:val="center"/>
              <w:rPr>
                <w:rFonts w:ascii="Arial Narrow" w:hAnsi="Arial Narrow" w:cs="Calibri"/>
                <w:b/>
                <w:sz w:val="16"/>
                <w:szCs w:val="16"/>
              </w:rPr>
            </w:pPr>
            <w:r w:rsidRPr="008F7A9E">
              <w:rPr>
                <w:rFonts w:ascii="Arial Narrow" w:hAnsi="Arial Narrow" w:cs="Calibri"/>
                <w:b/>
                <w:sz w:val="16"/>
                <w:szCs w:val="16"/>
              </w:rPr>
              <w:t>Коефициент на изменение</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14:paraId="20D84945" w14:textId="77777777" w:rsidR="00012C3E" w:rsidRPr="008F7A9E" w:rsidRDefault="00870123" w:rsidP="005A18A5">
            <w:pPr>
              <w:jc w:val="center"/>
              <w:rPr>
                <w:rFonts w:ascii="Arial Narrow" w:hAnsi="Arial Narrow" w:cs="Calibri"/>
                <w:b/>
                <w:sz w:val="16"/>
                <w:szCs w:val="16"/>
              </w:rPr>
            </w:pPr>
            <w:r>
              <w:rPr>
                <w:rFonts w:ascii="Arial Narrow" w:hAnsi="Arial Narrow" w:cs="Calibri"/>
                <w:b/>
                <w:sz w:val="16"/>
                <w:szCs w:val="16"/>
              </w:rPr>
              <w:t>2024</w:t>
            </w:r>
          </w:p>
        </w:tc>
      </w:tr>
      <w:tr w:rsidR="008F7A9E" w:rsidRPr="008F7A9E" w14:paraId="57CAAFF9" w14:textId="77777777" w:rsidTr="00E01BBF">
        <w:trPr>
          <w:trHeight w:val="272"/>
        </w:trPr>
        <w:tc>
          <w:tcPr>
            <w:tcW w:w="748" w:type="dxa"/>
            <w:tcBorders>
              <w:top w:val="nil"/>
              <w:left w:val="single" w:sz="4" w:space="0" w:color="auto"/>
              <w:bottom w:val="single" w:sz="4" w:space="0" w:color="auto"/>
              <w:right w:val="single" w:sz="4" w:space="0" w:color="auto"/>
            </w:tcBorders>
            <w:shd w:val="clear" w:color="auto" w:fill="auto"/>
            <w:noWrap/>
            <w:vAlign w:val="center"/>
            <w:hideMark/>
          </w:tcPr>
          <w:p w14:paraId="4D8A2F78" w14:textId="77777777" w:rsidR="00012C3E" w:rsidRPr="008F7A9E" w:rsidRDefault="00012C3E" w:rsidP="005A18A5">
            <w:pPr>
              <w:jc w:val="center"/>
              <w:rPr>
                <w:rFonts w:ascii="Arial Narrow" w:hAnsi="Arial Narrow" w:cs="Calibri"/>
                <w:sz w:val="16"/>
                <w:szCs w:val="16"/>
              </w:rPr>
            </w:pPr>
            <w:r w:rsidRPr="008F7A9E">
              <w:rPr>
                <w:rFonts w:ascii="Arial Narrow" w:hAnsi="Arial Narrow" w:cs="Calibri"/>
                <w:sz w:val="16"/>
                <w:szCs w:val="16"/>
              </w:rPr>
              <w:t>а</w:t>
            </w:r>
          </w:p>
        </w:tc>
        <w:tc>
          <w:tcPr>
            <w:tcW w:w="4419" w:type="dxa"/>
            <w:tcBorders>
              <w:top w:val="nil"/>
              <w:left w:val="nil"/>
              <w:bottom w:val="single" w:sz="4" w:space="0" w:color="auto"/>
              <w:right w:val="single" w:sz="4" w:space="0" w:color="auto"/>
            </w:tcBorders>
            <w:shd w:val="clear" w:color="auto" w:fill="auto"/>
            <w:noWrap/>
            <w:vAlign w:val="center"/>
            <w:hideMark/>
          </w:tcPr>
          <w:p w14:paraId="494BE5CF" w14:textId="77777777" w:rsidR="00012C3E" w:rsidRPr="008F7A9E" w:rsidRDefault="00012C3E" w:rsidP="005A18A5">
            <w:pPr>
              <w:jc w:val="center"/>
              <w:rPr>
                <w:rFonts w:ascii="Arial Narrow" w:hAnsi="Arial Narrow" w:cs="Calibri"/>
                <w:sz w:val="16"/>
                <w:szCs w:val="16"/>
              </w:rPr>
            </w:pPr>
            <w:r w:rsidRPr="008F7A9E">
              <w:rPr>
                <w:rFonts w:ascii="Arial Narrow" w:hAnsi="Arial Narrow" w:cs="Calibri"/>
                <w:sz w:val="16"/>
                <w:szCs w:val="16"/>
              </w:rPr>
              <w:t>б</w:t>
            </w:r>
          </w:p>
        </w:tc>
        <w:tc>
          <w:tcPr>
            <w:tcW w:w="1185" w:type="dxa"/>
            <w:tcBorders>
              <w:top w:val="nil"/>
              <w:left w:val="nil"/>
              <w:bottom w:val="single" w:sz="4" w:space="0" w:color="auto"/>
              <w:right w:val="single" w:sz="4" w:space="0" w:color="auto"/>
            </w:tcBorders>
            <w:shd w:val="clear" w:color="auto" w:fill="auto"/>
            <w:vAlign w:val="center"/>
            <w:hideMark/>
          </w:tcPr>
          <w:p w14:paraId="7FBC2085" w14:textId="77777777" w:rsidR="00012C3E" w:rsidRPr="008F7A9E" w:rsidRDefault="00012C3E" w:rsidP="005A18A5">
            <w:pPr>
              <w:jc w:val="center"/>
              <w:rPr>
                <w:rFonts w:ascii="Arial Narrow" w:hAnsi="Arial Narrow" w:cs="Calibri"/>
                <w:sz w:val="16"/>
                <w:szCs w:val="16"/>
              </w:rPr>
            </w:pPr>
            <w:r w:rsidRPr="008F7A9E">
              <w:rPr>
                <w:rFonts w:ascii="Arial Narrow" w:hAnsi="Arial Narrow" w:cs="Calibri"/>
                <w:sz w:val="16"/>
                <w:szCs w:val="16"/>
              </w:rPr>
              <w:t>1</w:t>
            </w:r>
          </w:p>
        </w:tc>
        <w:tc>
          <w:tcPr>
            <w:tcW w:w="1028" w:type="dxa"/>
            <w:tcBorders>
              <w:top w:val="nil"/>
              <w:left w:val="nil"/>
              <w:bottom w:val="single" w:sz="4" w:space="0" w:color="auto"/>
              <w:right w:val="single" w:sz="4" w:space="0" w:color="auto"/>
            </w:tcBorders>
            <w:shd w:val="clear" w:color="auto" w:fill="auto"/>
            <w:vAlign w:val="center"/>
            <w:hideMark/>
          </w:tcPr>
          <w:p w14:paraId="6F3884DA" w14:textId="77777777" w:rsidR="00012C3E" w:rsidRPr="008F7A9E" w:rsidRDefault="00012C3E" w:rsidP="005A18A5">
            <w:pPr>
              <w:jc w:val="center"/>
              <w:rPr>
                <w:rFonts w:ascii="Arial Narrow" w:hAnsi="Arial Narrow" w:cs="Calibri"/>
                <w:sz w:val="16"/>
                <w:szCs w:val="16"/>
              </w:rPr>
            </w:pPr>
            <w:r w:rsidRPr="008F7A9E">
              <w:rPr>
                <w:rFonts w:ascii="Arial Narrow" w:hAnsi="Arial Narrow" w:cs="Calibri"/>
                <w:sz w:val="16"/>
                <w:szCs w:val="16"/>
              </w:rPr>
              <w:t>2</w:t>
            </w:r>
          </w:p>
        </w:tc>
        <w:tc>
          <w:tcPr>
            <w:tcW w:w="1217" w:type="dxa"/>
            <w:tcBorders>
              <w:top w:val="nil"/>
              <w:left w:val="nil"/>
              <w:bottom w:val="single" w:sz="4" w:space="0" w:color="auto"/>
              <w:right w:val="single" w:sz="4" w:space="0" w:color="auto"/>
            </w:tcBorders>
            <w:shd w:val="clear" w:color="auto" w:fill="auto"/>
            <w:vAlign w:val="center"/>
            <w:hideMark/>
          </w:tcPr>
          <w:p w14:paraId="664D86D2" w14:textId="77777777" w:rsidR="00012C3E" w:rsidRPr="008F7A9E" w:rsidRDefault="00012C3E" w:rsidP="005A18A5">
            <w:pPr>
              <w:jc w:val="center"/>
              <w:rPr>
                <w:rFonts w:ascii="Arial Narrow" w:hAnsi="Arial Narrow" w:cs="Calibri"/>
                <w:sz w:val="16"/>
                <w:szCs w:val="16"/>
              </w:rPr>
            </w:pPr>
            <w:r w:rsidRPr="008F7A9E">
              <w:rPr>
                <w:rFonts w:ascii="Arial Narrow" w:hAnsi="Arial Narrow" w:cs="Calibri"/>
                <w:sz w:val="16"/>
                <w:szCs w:val="16"/>
              </w:rPr>
              <w:t>3</w:t>
            </w:r>
          </w:p>
        </w:tc>
        <w:tc>
          <w:tcPr>
            <w:tcW w:w="1075" w:type="dxa"/>
            <w:tcBorders>
              <w:top w:val="nil"/>
              <w:left w:val="nil"/>
              <w:bottom w:val="single" w:sz="4" w:space="0" w:color="auto"/>
              <w:right w:val="single" w:sz="4" w:space="0" w:color="auto"/>
            </w:tcBorders>
            <w:shd w:val="clear" w:color="auto" w:fill="auto"/>
            <w:vAlign w:val="center"/>
            <w:hideMark/>
          </w:tcPr>
          <w:p w14:paraId="473A0838" w14:textId="77777777" w:rsidR="00012C3E" w:rsidRPr="008F7A9E" w:rsidRDefault="00012C3E" w:rsidP="005A18A5">
            <w:pPr>
              <w:jc w:val="center"/>
              <w:rPr>
                <w:rFonts w:ascii="Arial Narrow" w:hAnsi="Arial Narrow" w:cs="Calibri"/>
                <w:sz w:val="16"/>
                <w:szCs w:val="16"/>
              </w:rPr>
            </w:pPr>
            <w:r w:rsidRPr="008F7A9E">
              <w:rPr>
                <w:rFonts w:ascii="Arial Narrow" w:hAnsi="Arial Narrow" w:cs="Calibri"/>
                <w:sz w:val="16"/>
                <w:szCs w:val="16"/>
              </w:rPr>
              <w:t>4</w:t>
            </w:r>
          </w:p>
        </w:tc>
        <w:tc>
          <w:tcPr>
            <w:tcW w:w="1233" w:type="dxa"/>
            <w:tcBorders>
              <w:top w:val="nil"/>
              <w:left w:val="nil"/>
              <w:bottom w:val="single" w:sz="4" w:space="0" w:color="auto"/>
              <w:right w:val="single" w:sz="4" w:space="0" w:color="auto"/>
            </w:tcBorders>
            <w:shd w:val="clear" w:color="auto" w:fill="auto"/>
            <w:vAlign w:val="center"/>
            <w:hideMark/>
          </w:tcPr>
          <w:p w14:paraId="185A35B2" w14:textId="77777777" w:rsidR="00012C3E" w:rsidRPr="008F7A9E" w:rsidRDefault="00012C3E" w:rsidP="005A18A5">
            <w:pPr>
              <w:jc w:val="center"/>
              <w:rPr>
                <w:rFonts w:ascii="Arial Narrow" w:hAnsi="Arial Narrow" w:cs="Calibri"/>
                <w:sz w:val="16"/>
                <w:szCs w:val="16"/>
              </w:rPr>
            </w:pPr>
            <w:r w:rsidRPr="008F7A9E">
              <w:rPr>
                <w:rFonts w:ascii="Arial Narrow" w:hAnsi="Arial Narrow" w:cs="Calibri"/>
                <w:sz w:val="16"/>
                <w:szCs w:val="16"/>
              </w:rPr>
              <w:t>5</w:t>
            </w:r>
          </w:p>
        </w:tc>
      </w:tr>
      <w:tr w:rsidR="008F7A9E" w:rsidRPr="008F7A9E" w14:paraId="55CE382F" w14:textId="77777777" w:rsidTr="008F7A9E">
        <w:trPr>
          <w:trHeight w:val="251"/>
        </w:trPr>
        <w:tc>
          <w:tcPr>
            <w:tcW w:w="7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CDDA25" w14:textId="77777777" w:rsidR="008F7A9E" w:rsidRPr="008F7A9E" w:rsidRDefault="008F7A9E" w:rsidP="008F7A9E">
            <w:pPr>
              <w:rPr>
                <w:rFonts w:ascii="Arial Narrow" w:hAnsi="Arial Narrow" w:cs="Calibri"/>
                <w:sz w:val="16"/>
                <w:szCs w:val="16"/>
              </w:rPr>
            </w:pPr>
            <w:r w:rsidRPr="008F7A9E">
              <w:rPr>
                <w:rFonts w:ascii="Arial Narrow" w:hAnsi="Arial Narrow" w:cs="Calibri"/>
                <w:sz w:val="16"/>
                <w:szCs w:val="16"/>
              </w:rPr>
              <w:t>01</w:t>
            </w:r>
          </w:p>
        </w:tc>
        <w:tc>
          <w:tcPr>
            <w:tcW w:w="4419" w:type="dxa"/>
            <w:tcBorders>
              <w:top w:val="single" w:sz="4" w:space="0" w:color="auto"/>
              <w:left w:val="nil"/>
              <w:bottom w:val="single" w:sz="4" w:space="0" w:color="auto"/>
              <w:right w:val="single" w:sz="4" w:space="0" w:color="auto"/>
            </w:tcBorders>
            <w:shd w:val="clear" w:color="auto" w:fill="auto"/>
            <w:vAlign w:val="center"/>
            <w:hideMark/>
          </w:tcPr>
          <w:p w14:paraId="15368C7E" w14:textId="77777777" w:rsidR="008F7A9E" w:rsidRPr="008F7A9E" w:rsidRDefault="008F7A9E" w:rsidP="008F7A9E">
            <w:pPr>
              <w:rPr>
                <w:rFonts w:ascii="Arial Narrow" w:hAnsi="Arial Narrow" w:cs="Calibri"/>
                <w:sz w:val="16"/>
                <w:szCs w:val="16"/>
              </w:rPr>
            </w:pPr>
            <w:r w:rsidRPr="008F7A9E">
              <w:rPr>
                <w:rFonts w:ascii="Arial Narrow" w:hAnsi="Arial Narrow" w:cs="Calibri"/>
                <w:sz w:val="16"/>
                <w:szCs w:val="16"/>
              </w:rPr>
              <w:t>Зърнени култури</w:t>
            </w:r>
          </w:p>
        </w:tc>
        <w:tc>
          <w:tcPr>
            <w:tcW w:w="1185" w:type="dxa"/>
            <w:tcBorders>
              <w:top w:val="single" w:sz="4" w:space="0" w:color="auto"/>
              <w:left w:val="nil"/>
              <w:bottom w:val="single" w:sz="4" w:space="0" w:color="auto"/>
              <w:right w:val="single" w:sz="4" w:space="0" w:color="auto"/>
            </w:tcBorders>
            <w:shd w:val="clear" w:color="auto" w:fill="auto"/>
            <w:vAlign w:val="center"/>
            <w:hideMark/>
          </w:tcPr>
          <w:p w14:paraId="68B88973" w14:textId="77777777" w:rsidR="008F7A9E" w:rsidRPr="008F7A9E" w:rsidRDefault="008F7A9E" w:rsidP="008F7A9E">
            <w:pPr>
              <w:jc w:val="right"/>
              <w:rPr>
                <w:rFonts w:ascii="Arial Narrow" w:hAnsi="Arial Narrow" w:cs="Calibri"/>
                <w:sz w:val="16"/>
                <w:szCs w:val="16"/>
              </w:rPr>
            </w:pPr>
            <w:r w:rsidRPr="008F7A9E">
              <w:rPr>
                <w:rFonts w:ascii="Arial Narrow" w:hAnsi="Arial Narrow" w:cs="Calibri"/>
                <w:sz w:val="16"/>
                <w:szCs w:val="16"/>
              </w:rPr>
              <w:t>5 485,4</w:t>
            </w:r>
          </w:p>
        </w:tc>
        <w:tc>
          <w:tcPr>
            <w:tcW w:w="1028" w:type="dxa"/>
            <w:tcBorders>
              <w:top w:val="single" w:sz="4" w:space="0" w:color="auto"/>
              <w:left w:val="nil"/>
              <w:bottom w:val="single" w:sz="4" w:space="0" w:color="auto"/>
              <w:right w:val="single" w:sz="4" w:space="0" w:color="auto"/>
            </w:tcBorders>
            <w:shd w:val="clear" w:color="auto" w:fill="auto"/>
            <w:vAlign w:val="center"/>
            <w:hideMark/>
          </w:tcPr>
          <w:p w14:paraId="0A7DEC27" w14:textId="77777777" w:rsidR="008F7A9E" w:rsidRPr="008F7A9E" w:rsidRDefault="008F7A9E" w:rsidP="008F7A9E">
            <w:pPr>
              <w:jc w:val="right"/>
              <w:rPr>
                <w:rFonts w:ascii="Arial Narrow" w:hAnsi="Arial Narrow" w:cs="Calibri"/>
                <w:sz w:val="16"/>
                <w:szCs w:val="16"/>
              </w:rPr>
            </w:pPr>
            <w:r w:rsidRPr="008F7A9E">
              <w:rPr>
                <w:rFonts w:ascii="Arial Narrow" w:hAnsi="Arial Narrow" w:cs="Calibri"/>
                <w:sz w:val="16"/>
                <w:szCs w:val="16"/>
              </w:rPr>
              <w:t>-25,2</w:t>
            </w:r>
          </w:p>
        </w:tc>
        <w:tc>
          <w:tcPr>
            <w:tcW w:w="1217" w:type="dxa"/>
            <w:tcBorders>
              <w:top w:val="single" w:sz="4" w:space="0" w:color="auto"/>
              <w:left w:val="nil"/>
              <w:bottom w:val="single" w:sz="4" w:space="0" w:color="auto"/>
              <w:right w:val="single" w:sz="4" w:space="0" w:color="auto"/>
            </w:tcBorders>
            <w:shd w:val="clear" w:color="auto" w:fill="auto"/>
            <w:vAlign w:val="center"/>
            <w:hideMark/>
          </w:tcPr>
          <w:p w14:paraId="1BD952D0" w14:textId="77777777" w:rsidR="008F7A9E" w:rsidRPr="008F7A9E" w:rsidRDefault="008F7A9E" w:rsidP="008F7A9E">
            <w:pPr>
              <w:jc w:val="right"/>
              <w:rPr>
                <w:rFonts w:ascii="Arial Narrow" w:hAnsi="Arial Narrow" w:cs="Calibri"/>
                <w:sz w:val="16"/>
                <w:szCs w:val="16"/>
              </w:rPr>
            </w:pPr>
            <w:r w:rsidRPr="008F7A9E">
              <w:rPr>
                <w:rFonts w:ascii="Arial Narrow" w:hAnsi="Arial Narrow" w:cs="Calibri"/>
                <w:sz w:val="16"/>
                <w:szCs w:val="16"/>
              </w:rPr>
              <w:t>4 104,0</w:t>
            </w:r>
          </w:p>
        </w:tc>
        <w:tc>
          <w:tcPr>
            <w:tcW w:w="1075" w:type="dxa"/>
            <w:tcBorders>
              <w:top w:val="single" w:sz="4" w:space="0" w:color="auto"/>
              <w:left w:val="nil"/>
              <w:bottom w:val="single" w:sz="4" w:space="0" w:color="auto"/>
              <w:right w:val="single" w:sz="4" w:space="0" w:color="auto"/>
            </w:tcBorders>
            <w:shd w:val="clear" w:color="auto" w:fill="auto"/>
            <w:vAlign w:val="center"/>
            <w:hideMark/>
          </w:tcPr>
          <w:p w14:paraId="7B4AA357" w14:textId="77777777" w:rsidR="008F7A9E" w:rsidRPr="008F7A9E" w:rsidRDefault="008F7A9E" w:rsidP="008F7A9E">
            <w:pPr>
              <w:jc w:val="right"/>
              <w:rPr>
                <w:rFonts w:ascii="Arial Narrow" w:hAnsi="Arial Narrow" w:cs="Calibri"/>
                <w:sz w:val="16"/>
                <w:szCs w:val="16"/>
              </w:rPr>
            </w:pPr>
            <w:r w:rsidRPr="008F7A9E">
              <w:rPr>
                <w:rFonts w:ascii="Arial Narrow" w:hAnsi="Arial Narrow" w:cs="Calibri"/>
                <w:sz w:val="16"/>
                <w:szCs w:val="16"/>
              </w:rPr>
              <w:t>-16,9</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14:paraId="79694021" w14:textId="77777777" w:rsidR="008F7A9E" w:rsidRPr="008F7A9E" w:rsidRDefault="008F7A9E" w:rsidP="008F7A9E">
            <w:pPr>
              <w:jc w:val="right"/>
              <w:rPr>
                <w:rFonts w:ascii="Arial Narrow" w:hAnsi="Arial Narrow" w:cs="Calibri"/>
                <w:sz w:val="16"/>
                <w:szCs w:val="16"/>
              </w:rPr>
            </w:pPr>
            <w:r w:rsidRPr="008F7A9E">
              <w:rPr>
                <w:rFonts w:ascii="Arial Narrow" w:hAnsi="Arial Narrow" w:cs="Calibri"/>
                <w:sz w:val="16"/>
                <w:szCs w:val="16"/>
              </w:rPr>
              <w:t>3 411,5</w:t>
            </w:r>
          </w:p>
        </w:tc>
      </w:tr>
      <w:tr w:rsidR="008F7A9E" w:rsidRPr="00B10684" w14:paraId="2937E9CF" w14:textId="77777777" w:rsidTr="005A18A5">
        <w:trPr>
          <w:trHeight w:val="251"/>
        </w:trPr>
        <w:tc>
          <w:tcPr>
            <w:tcW w:w="748" w:type="dxa"/>
            <w:tcBorders>
              <w:top w:val="nil"/>
              <w:left w:val="single" w:sz="4" w:space="0" w:color="auto"/>
              <w:bottom w:val="single" w:sz="4" w:space="0" w:color="auto"/>
              <w:right w:val="single" w:sz="4" w:space="0" w:color="auto"/>
            </w:tcBorders>
            <w:shd w:val="clear" w:color="auto" w:fill="auto"/>
            <w:vAlign w:val="center"/>
            <w:hideMark/>
          </w:tcPr>
          <w:p w14:paraId="634E4933" w14:textId="77777777" w:rsidR="008F7A9E" w:rsidRPr="008F7A9E" w:rsidRDefault="008F7A9E" w:rsidP="008F7A9E">
            <w:pPr>
              <w:rPr>
                <w:rFonts w:ascii="Arial Narrow" w:hAnsi="Arial Narrow" w:cs="Calibri"/>
                <w:sz w:val="16"/>
                <w:szCs w:val="16"/>
              </w:rPr>
            </w:pPr>
            <w:r w:rsidRPr="008F7A9E">
              <w:rPr>
                <w:rFonts w:ascii="Arial Narrow" w:hAnsi="Arial Narrow" w:cs="Calibri"/>
                <w:sz w:val="16"/>
                <w:szCs w:val="16"/>
              </w:rPr>
              <w:t>01.1</w:t>
            </w:r>
          </w:p>
        </w:tc>
        <w:tc>
          <w:tcPr>
            <w:tcW w:w="4419" w:type="dxa"/>
            <w:tcBorders>
              <w:top w:val="nil"/>
              <w:left w:val="nil"/>
              <w:bottom w:val="single" w:sz="4" w:space="0" w:color="auto"/>
              <w:right w:val="single" w:sz="4" w:space="0" w:color="auto"/>
            </w:tcBorders>
            <w:shd w:val="clear" w:color="auto" w:fill="auto"/>
            <w:vAlign w:val="center"/>
            <w:hideMark/>
          </w:tcPr>
          <w:p w14:paraId="4D5B1978" w14:textId="77777777" w:rsidR="008F7A9E" w:rsidRPr="008F7A9E" w:rsidRDefault="008F7A9E" w:rsidP="008F7A9E">
            <w:pPr>
              <w:ind w:firstLineChars="100" w:firstLine="160"/>
              <w:rPr>
                <w:rFonts w:ascii="Arial Narrow" w:hAnsi="Arial Narrow" w:cs="Calibri"/>
                <w:sz w:val="16"/>
                <w:szCs w:val="16"/>
              </w:rPr>
            </w:pPr>
            <w:r w:rsidRPr="008F7A9E">
              <w:rPr>
                <w:rFonts w:ascii="Arial Narrow" w:hAnsi="Arial Narrow" w:cs="Calibri"/>
                <w:sz w:val="16"/>
                <w:szCs w:val="16"/>
              </w:rPr>
              <w:t>Пшеница и лимец</w:t>
            </w:r>
          </w:p>
        </w:tc>
        <w:tc>
          <w:tcPr>
            <w:tcW w:w="1185" w:type="dxa"/>
            <w:tcBorders>
              <w:top w:val="nil"/>
              <w:left w:val="nil"/>
              <w:bottom w:val="single" w:sz="4" w:space="0" w:color="auto"/>
              <w:right w:val="single" w:sz="4" w:space="0" w:color="auto"/>
            </w:tcBorders>
            <w:shd w:val="clear" w:color="auto" w:fill="auto"/>
            <w:vAlign w:val="center"/>
            <w:hideMark/>
          </w:tcPr>
          <w:p w14:paraId="3AECF8AB" w14:textId="77777777" w:rsidR="008F7A9E" w:rsidRPr="008F7A9E" w:rsidRDefault="008F7A9E" w:rsidP="008F7A9E">
            <w:pPr>
              <w:jc w:val="right"/>
              <w:rPr>
                <w:rFonts w:ascii="Arial Narrow" w:hAnsi="Arial Narrow" w:cs="Calibri"/>
                <w:sz w:val="16"/>
                <w:szCs w:val="16"/>
              </w:rPr>
            </w:pPr>
            <w:r w:rsidRPr="008F7A9E">
              <w:rPr>
                <w:rFonts w:ascii="Arial Narrow" w:hAnsi="Arial Narrow" w:cs="Calibri"/>
                <w:sz w:val="16"/>
                <w:szCs w:val="16"/>
              </w:rPr>
              <w:t>3 644,8</w:t>
            </w:r>
          </w:p>
        </w:tc>
        <w:tc>
          <w:tcPr>
            <w:tcW w:w="1028" w:type="dxa"/>
            <w:tcBorders>
              <w:top w:val="nil"/>
              <w:left w:val="nil"/>
              <w:bottom w:val="single" w:sz="4" w:space="0" w:color="auto"/>
              <w:right w:val="single" w:sz="4" w:space="0" w:color="auto"/>
            </w:tcBorders>
            <w:shd w:val="clear" w:color="auto" w:fill="auto"/>
            <w:vAlign w:val="center"/>
            <w:hideMark/>
          </w:tcPr>
          <w:p w14:paraId="300C9D6D" w14:textId="77777777" w:rsidR="008F7A9E" w:rsidRPr="008F7A9E" w:rsidRDefault="008F7A9E" w:rsidP="008F7A9E">
            <w:pPr>
              <w:jc w:val="right"/>
              <w:rPr>
                <w:rFonts w:ascii="Arial Narrow" w:hAnsi="Arial Narrow" w:cs="Calibri"/>
                <w:sz w:val="16"/>
                <w:szCs w:val="16"/>
              </w:rPr>
            </w:pPr>
            <w:r w:rsidRPr="008F7A9E">
              <w:rPr>
                <w:rFonts w:ascii="Arial Narrow" w:hAnsi="Arial Narrow" w:cs="Calibri"/>
                <w:sz w:val="16"/>
                <w:szCs w:val="16"/>
              </w:rPr>
              <w:t>-26,8</w:t>
            </w:r>
          </w:p>
        </w:tc>
        <w:tc>
          <w:tcPr>
            <w:tcW w:w="1217" w:type="dxa"/>
            <w:tcBorders>
              <w:top w:val="nil"/>
              <w:left w:val="nil"/>
              <w:bottom w:val="single" w:sz="4" w:space="0" w:color="auto"/>
              <w:right w:val="single" w:sz="4" w:space="0" w:color="auto"/>
            </w:tcBorders>
            <w:shd w:val="clear" w:color="auto" w:fill="auto"/>
            <w:vAlign w:val="center"/>
            <w:hideMark/>
          </w:tcPr>
          <w:p w14:paraId="6F002840" w14:textId="77777777" w:rsidR="008F7A9E" w:rsidRPr="008F7A9E" w:rsidRDefault="008F7A9E" w:rsidP="008F7A9E">
            <w:pPr>
              <w:jc w:val="right"/>
              <w:rPr>
                <w:rFonts w:ascii="Arial Narrow" w:hAnsi="Arial Narrow" w:cs="Calibri"/>
                <w:sz w:val="16"/>
                <w:szCs w:val="16"/>
              </w:rPr>
            </w:pPr>
            <w:r w:rsidRPr="008F7A9E">
              <w:rPr>
                <w:rFonts w:ascii="Arial Narrow" w:hAnsi="Arial Narrow" w:cs="Calibri"/>
                <w:sz w:val="16"/>
                <w:szCs w:val="16"/>
              </w:rPr>
              <w:t>2 667,7</w:t>
            </w:r>
          </w:p>
        </w:tc>
        <w:tc>
          <w:tcPr>
            <w:tcW w:w="1075" w:type="dxa"/>
            <w:tcBorders>
              <w:top w:val="nil"/>
              <w:left w:val="nil"/>
              <w:bottom w:val="single" w:sz="4" w:space="0" w:color="auto"/>
              <w:right w:val="single" w:sz="4" w:space="0" w:color="auto"/>
            </w:tcBorders>
            <w:shd w:val="clear" w:color="auto" w:fill="auto"/>
            <w:vAlign w:val="center"/>
            <w:hideMark/>
          </w:tcPr>
          <w:p w14:paraId="74150E4A" w14:textId="77777777" w:rsidR="008F7A9E" w:rsidRPr="008F7A9E" w:rsidRDefault="008F7A9E" w:rsidP="008F7A9E">
            <w:pPr>
              <w:jc w:val="right"/>
              <w:rPr>
                <w:rFonts w:ascii="Arial Narrow" w:hAnsi="Arial Narrow" w:cs="Calibri"/>
                <w:sz w:val="16"/>
                <w:szCs w:val="16"/>
              </w:rPr>
            </w:pPr>
            <w:r w:rsidRPr="008F7A9E">
              <w:rPr>
                <w:rFonts w:ascii="Arial Narrow" w:hAnsi="Arial Narrow" w:cs="Calibri"/>
                <w:sz w:val="16"/>
                <w:szCs w:val="16"/>
              </w:rPr>
              <w:t>-10,0</w:t>
            </w:r>
          </w:p>
        </w:tc>
        <w:tc>
          <w:tcPr>
            <w:tcW w:w="1233" w:type="dxa"/>
            <w:tcBorders>
              <w:top w:val="nil"/>
              <w:left w:val="nil"/>
              <w:bottom w:val="single" w:sz="4" w:space="0" w:color="auto"/>
              <w:right w:val="single" w:sz="4" w:space="0" w:color="auto"/>
            </w:tcBorders>
            <w:shd w:val="clear" w:color="auto" w:fill="auto"/>
            <w:vAlign w:val="center"/>
            <w:hideMark/>
          </w:tcPr>
          <w:p w14:paraId="66D23493" w14:textId="77777777" w:rsidR="008F7A9E" w:rsidRPr="008F7A9E" w:rsidRDefault="008F7A9E" w:rsidP="008F7A9E">
            <w:pPr>
              <w:jc w:val="right"/>
              <w:rPr>
                <w:rFonts w:ascii="Arial Narrow" w:hAnsi="Arial Narrow" w:cs="Calibri"/>
                <w:sz w:val="16"/>
                <w:szCs w:val="16"/>
              </w:rPr>
            </w:pPr>
            <w:r w:rsidRPr="008F7A9E">
              <w:rPr>
                <w:rFonts w:ascii="Arial Narrow" w:hAnsi="Arial Narrow" w:cs="Calibri"/>
                <w:sz w:val="16"/>
                <w:szCs w:val="16"/>
              </w:rPr>
              <w:t>2 400,0</w:t>
            </w:r>
          </w:p>
        </w:tc>
      </w:tr>
      <w:tr w:rsidR="008F7A9E" w:rsidRPr="00B10684" w14:paraId="5FC0E7DA" w14:textId="77777777" w:rsidTr="005A18A5">
        <w:trPr>
          <w:trHeight w:val="251"/>
        </w:trPr>
        <w:tc>
          <w:tcPr>
            <w:tcW w:w="748" w:type="dxa"/>
            <w:tcBorders>
              <w:top w:val="nil"/>
              <w:left w:val="single" w:sz="4" w:space="0" w:color="auto"/>
              <w:bottom w:val="single" w:sz="4" w:space="0" w:color="auto"/>
              <w:right w:val="single" w:sz="4" w:space="0" w:color="auto"/>
            </w:tcBorders>
            <w:shd w:val="clear" w:color="auto" w:fill="auto"/>
            <w:vAlign w:val="center"/>
            <w:hideMark/>
          </w:tcPr>
          <w:p w14:paraId="61116E15" w14:textId="77777777" w:rsidR="008F7A9E" w:rsidRPr="008F7A9E" w:rsidRDefault="008F7A9E" w:rsidP="008F7A9E">
            <w:pPr>
              <w:rPr>
                <w:rFonts w:ascii="Arial Narrow" w:hAnsi="Arial Narrow" w:cs="Calibri"/>
                <w:sz w:val="16"/>
                <w:szCs w:val="16"/>
              </w:rPr>
            </w:pPr>
            <w:r w:rsidRPr="008F7A9E">
              <w:rPr>
                <w:rFonts w:ascii="Arial Narrow" w:hAnsi="Arial Narrow" w:cs="Calibri"/>
                <w:sz w:val="16"/>
                <w:szCs w:val="16"/>
              </w:rPr>
              <w:t>01.1/1</w:t>
            </w:r>
          </w:p>
        </w:tc>
        <w:tc>
          <w:tcPr>
            <w:tcW w:w="4419" w:type="dxa"/>
            <w:tcBorders>
              <w:top w:val="nil"/>
              <w:left w:val="nil"/>
              <w:bottom w:val="single" w:sz="4" w:space="0" w:color="auto"/>
              <w:right w:val="single" w:sz="4" w:space="0" w:color="auto"/>
            </w:tcBorders>
            <w:shd w:val="clear" w:color="auto" w:fill="auto"/>
            <w:vAlign w:val="center"/>
            <w:hideMark/>
          </w:tcPr>
          <w:p w14:paraId="74B90B32" w14:textId="77777777" w:rsidR="008F7A9E" w:rsidRPr="008F7A9E" w:rsidRDefault="008F7A9E" w:rsidP="008F7A9E">
            <w:pPr>
              <w:ind w:firstLineChars="200" w:firstLine="320"/>
              <w:rPr>
                <w:rFonts w:ascii="Arial Narrow" w:hAnsi="Arial Narrow" w:cs="Calibri"/>
                <w:sz w:val="16"/>
                <w:szCs w:val="16"/>
              </w:rPr>
            </w:pPr>
            <w:r w:rsidRPr="008F7A9E">
              <w:rPr>
                <w:rFonts w:ascii="Arial Narrow" w:hAnsi="Arial Narrow" w:cs="Calibri"/>
                <w:sz w:val="16"/>
                <w:szCs w:val="16"/>
              </w:rPr>
              <w:t>Мека пшеница</w:t>
            </w:r>
          </w:p>
        </w:tc>
        <w:tc>
          <w:tcPr>
            <w:tcW w:w="1185" w:type="dxa"/>
            <w:tcBorders>
              <w:top w:val="nil"/>
              <w:left w:val="nil"/>
              <w:bottom w:val="single" w:sz="4" w:space="0" w:color="auto"/>
              <w:right w:val="single" w:sz="4" w:space="0" w:color="auto"/>
            </w:tcBorders>
            <w:shd w:val="clear" w:color="auto" w:fill="auto"/>
            <w:vAlign w:val="center"/>
            <w:hideMark/>
          </w:tcPr>
          <w:p w14:paraId="79EF68C2" w14:textId="77777777" w:rsidR="008F7A9E" w:rsidRPr="008F7A9E" w:rsidRDefault="008F7A9E" w:rsidP="008F7A9E">
            <w:pPr>
              <w:jc w:val="right"/>
              <w:rPr>
                <w:rFonts w:ascii="Arial Narrow" w:hAnsi="Arial Narrow" w:cs="Calibri"/>
                <w:sz w:val="16"/>
                <w:szCs w:val="16"/>
              </w:rPr>
            </w:pPr>
            <w:r w:rsidRPr="008F7A9E">
              <w:rPr>
                <w:rFonts w:ascii="Arial Narrow" w:hAnsi="Arial Narrow" w:cs="Calibri"/>
                <w:sz w:val="16"/>
                <w:szCs w:val="16"/>
              </w:rPr>
              <w:t>3 607,4</w:t>
            </w:r>
          </w:p>
        </w:tc>
        <w:tc>
          <w:tcPr>
            <w:tcW w:w="1028" w:type="dxa"/>
            <w:tcBorders>
              <w:top w:val="nil"/>
              <w:left w:val="nil"/>
              <w:bottom w:val="single" w:sz="4" w:space="0" w:color="auto"/>
              <w:right w:val="single" w:sz="4" w:space="0" w:color="auto"/>
            </w:tcBorders>
            <w:shd w:val="clear" w:color="auto" w:fill="auto"/>
            <w:vAlign w:val="center"/>
            <w:hideMark/>
          </w:tcPr>
          <w:p w14:paraId="7092D462" w14:textId="77777777" w:rsidR="008F7A9E" w:rsidRPr="008F7A9E" w:rsidRDefault="008F7A9E" w:rsidP="008F7A9E">
            <w:pPr>
              <w:jc w:val="right"/>
              <w:rPr>
                <w:rFonts w:ascii="Arial Narrow" w:hAnsi="Arial Narrow" w:cs="Calibri"/>
                <w:sz w:val="16"/>
                <w:szCs w:val="16"/>
              </w:rPr>
            </w:pPr>
            <w:r w:rsidRPr="008F7A9E">
              <w:rPr>
                <w:rFonts w:ascii="Arial Narrow" w:hAnsi="Arial Narrow" w:cs="Calibri"/>
                <w:sz w:val="16"/>
                <w:szCs w:val="16"/>
              </w:rPr>
              <w:t>-27,1</w:t>
            </w:r>
          </w:p>
        </w:tc>
        <w:tc>
          <w:tcPr>
            <w:tcW w:w="1217" w:type="dxa"/>
            <w:tcBorders>
              <w:top w:val="nil"/>
              <w:left w:val="nil"/>
              <w:bottom w:val="single" w:sz="4" w:space="0" w:color="auto"/>
              <w:right w:val="single" w:sz="4" w:space="0" w:color="auto"/>
            </w:tcBorders>
            <w:shd w:val="clear" w:color="auto" w:fill="auto"/>
            <w:vAlign w:val="center"/>
            <w:hideMark/>
          </w:tcPr>
          <w:p w14:paraId="4BEAA1D2" w14:textId="77777777" w:rsidR="008F7A9E" w:rsidRPr="008F7A9E" w:rsidRDefault="008F7A9E" w:rsidP="008F7A9E">
            <w:pPr>
              <w:jc w:val="right"/>
              <w:rPr>
                <w:rFonts w:ascii="Arial Narrow" w:hAnsi="Arial Narrow" w:cs="Calibri"/>
                <w:sz w:val="16"/>
                <w:szCs w:val="16"/>
              </w:rPr>
            </w:pPr>
            <w:r w:rsidRPr="008F7A9E">
              <w:rPr>
                <w:rFonts w:ascii="Arial Narrow" w:hAnsi="Arial Narrow" w:cs="Calibri"/>
                <w:sz w:val="16"/>
                <w:szCs w:val="16"/>
              </w:rPr>
              <w:t>2 630,6</w:t>
            </w:r>
          </w:p>
        </w:tc>
        <w:tc>
          <w:tcPr>
            <w:tcW w:w="1075" w:type="dxa"/>
            <w:tcBorders>
              <w:top w:val="nil"/>
              <w:left w:val="nil"/>
              <w:bottom w:val="single" w:sz="4" w:space="0" w:color="auto"/>
              <w:right w:val="single" w:sz="4" w:space="0" w:color="auto"/>
            </w:tcBorders>
            <w:shd w:val="clear" w:color="auto" w:fill="auto"/>
            <w:vAlign w:val="center"/>
            <w:hideMark/>
          </w:tcPr>
          <w:p w14:paraId="034ED6A0" w14:textId="77777777" w:rsidR="008F7A9E" w:rsidRPr="008F7A9E" w:rsidRDefault="008F7A9E" w:rsidP="008F7A9E">
            <w:pPr>
              <w:jc w:val="right"/>
              <w:rPr>
                <w:rFonts w:ascii="Arial Narrow" w:hAnsi="Arial Narrow" w:cs="Calibri"/>
                <w:sz w:val="16"/>
                <w:szCs w:val="16"/>
              </w:rPr>
            </w:pPr>
            <w:r w:rsidRPr="008F7A9E">
              <w:rPr>
                <w:rFonts w:ascii="Arial Narrow" w:hAnsi="Arial Narrow" w:cs="Calibri"/>
                <w:sz w:val="16"/>
                <w:szCs w:val="16"/>
              </w:rPr>
              <w:t>-10,4</w:t>
            </w:r>
          </w:p>
        </w:tc>
        <w:tc>
          <w:tcPr>
            <w:tcW w:w="1233" w:type="dxa"/>
            <w:tcBorders>
              <w:top w:val="nil"/>
              <w:left w:val="nil"/>
              <w:bottom w:val="single" w:sz="4" w:space="0" w:color="auto"/>
              <w:right w:val="single" w:sz="4" w:space="0" w:color="auto"/>
            </w:tcBorders>
            <w:shd w:val="clear" w:color="auto" w:fill="auto"/>
            <w:vAlign w:val="center"/>
            <w:hideMark/>
          </w:tcPr>
          <w:p w14:paraId="028C69BB" w14:textId="77777777" w:rsidR="008F7A9E" w:rsidRPr="008F7A9E" w:rsidRDefault="008F7A9E" w:rsidP="008F7A9E">
            <w:pPr>
              <w:jc w:val="right"/>
              <w:rPr>
                <w:rFonts w:ascii="Arial Narrow" w:hAnsi="Arial Narrow" w:cs="Calibri"/>
                <w:sz w:val="16"/>
                <w:szCs w:val="16"/>
              </w:rPr>
            </w:pPr>
            <w:r w:rsidRPr="008F7A9E">
              <w:rPr>
                <w:rFonts w:ascii="Arial Narrow" w:hAnsi="Arial Narrow" w:cs="Calibri"/>
                <w:sz w:val="16"/>
                <w:szCs w:val="16"/>
              </w:rPr>
              <w:t>2 356,5</w:t>
            </w:r>
          </w:p>
        </w:tc>
      </w:tr>
      <w:tr w:rsidR="008F7A9E" w:rsidRPr="00B10684" w14:paraId="2E1FE1FD" w14:textId="77777777" w:rsidTr="005A18A5">
        <w:trPr>
          <w:trHeight w:val="251"/>
        </w:trPr>
        <w:tc>
          <w:tcPr>
            <w:tcW w:w="748" w:type="dxa"/>
            <w:tcBorders>
              <w:top w:val="nil"/>
              <w:left w:val="single" w:sz="4" w:space="0" w:color="auto"/>
              <w:bottom w:val="single" w:sz="4" w:space="0" w:color="auto"/>
              <w:right w:val="single" w:sz="4" w:space="0" w:color="auto"/>
            </w:tcBorders>
            <w:shd w:val="clear" w:color="auto" w:fill="auto"/>
            <w:vAlign w:val="center"/>
            <w:hideMark/>
          </w:tcPr>
          <w:p w14:paraId="068B7A86" w14:textId="77777777" w:rsidR="008F7A9E" w:rsidRPr="008F7A9E" w:rsidRDefault="008F7A9E" w:rsidP="008F7A9E">
            <w:pPr>
              <w:rPr>
                <w:rFonts w:ascii="Arial Narrow" w:hAnsi="Arial Narrow" w:cs="Calibri"/>
                <w:sz w:val="16"/>
                <w:szCs w:val="16"/>
              </w:rPr>
            </w:pPr>
            <w:r w:rsidRPr="008F7A9E">
              <w:rPr>
                <w:rFonts w:ascii="Arial Narrow" w:hAnsi="Arial Narrow" w:cs="Calibri"/>
                <w:sz w:val="16"/>
                <w:szCs w:val="16"/>
              </w:rPr>
              <w:t>01.1/2</w:t>
            </w:r>
          </w:p>
        </w:tc>
        <w:tc>
          <w:tcPr>
            <w:tcW w:w="4419" w:type="dxa"/>
            <w:tcBorders>
              <w:top w:val="nil"/>
              <w:left w:val="nil"/>
              <w:bottom w:val="single" w:sz="4" w:space="0" w:color="auto"/>
              <w:right w:val="single" w:sz="4" w:space="0" w:color="auto"/>
            </w:tcBorders>
            <w:shd w:val="clear" w:color="auto" w:fill="auto"/>
            <w:vAlign w:val="center"/>
            <w:hideMark/>
          </w:tcPr>
          <w:p w14:paraId="2FE81AD5" w14:textId="77777777" w:rsidR="008F7A9E" w:rsidRPr="008F7A9E" w:rsidRDefault="008F7A9E" w:rsidP="008F7A9E">
            <w:pPr>
              <w:ind w:firstLineChars="200" w:firstLine="320"/>
              <w:rPr>
                <w:rFonts w:ascii="Arial Narrow" w:hAnsi="Arial Narrow" w:cs="Calibri"/>
                <w:sz w:val="16"/>
                <w:szCs w:val="16"/>
              </w:rPr>
            </w:pPr>
            <w:r w:rsidRPr="008F7A9E">
              <w:rPr>
                <w:rFonts w:ascii="Arial Narrow" w:hAnsi="Arial Narrow" w:cs="Calibri"/>
                <w:sz w:val="16"/>
                <w:szCs w:val="16"/>
              </w:rPr>
              <w:t>Твърда пшеница</w:t>
            </w:r>
          </w:p>
        </w:tc>
        <w:tc>
          <w:tcPr>
            <w:tcW w:w="1185" w:type="dxa"/>
            <w:tcBorders>
              <w:top w:val="nil"/>
              <w:left w:val="nil"/>
              <w:bottom w:val="single" w:sz="4" w:space="0" w:color="auto"/>
              <w:right w:val="single" w:sz="4" w:space="0" w:color="auto"/>
            </w:tcBorders>
            <w:shd w:val="clear" w:color="auto" w:fill="auto"/>
            <w:vAlign w:val="center"/>
            <w:hideMark/>
          </w:tcPr>
          <w:p w14:paraId="765A2109" w14:textId="77777777" w:rsidR="008F7A9E" w:rsidRPr="008F7A9E" w:rsidRDefault="008F7A9E" w:rsidP="008F7A9E">
            <w:pPr>
              <w:jc w:val="right"/>
              <w:rPr>
                <w:rFonts w:ascii="Arial Narrow" w:hAnsi="Arial Narrow" w:cs="Calibri"/>
                <w:sz w:val="16"/>
                <w:szCs w:val="16"/>
              </w:rPr>
            </w:pPr>
            <w:r w:rsidRPr="008F7A9E">
              <w:rPr>
                <w:rFonts w:ascii="Arial Narrow" w:hAnsi="Arial Narrow" w:cs="Calibri"/>
                <w:sz w:val="16"/>
                <w:szCs w:val="16"/>
              </w:rPr>
              <w:t>37,4</w:t>
            </w:r>
          </w:p>
        </w:tc>
        <w:tc>
          <w:tcPr>
            <w:tcW w:w="1028" w:type="dxa"/>
            <w:tcBorders>
              <w:top w:val="nil"/>
              <w:left w:val="nil"/>
              <w:bottom w:val="single" w:sz="4" w:space="0" w:color="auto"/>
              <w:right w:val="single" w:sz="4" w:space="0" w:color="auto"/>
            </w:tcBorders>
            <w:shd w:val="clear" w:color="auto" w:fill="auto"/>
            <w:vAlign w:val="center"/>
            <w:hideMark/>
          </w:tcPr>
          <w:p w14:paraId="7AB2574B" w14:textId="77777777" w:rsidR="008F7A9E" w:rsidRPr="008F7A9E" w:rsidRDefault="008F7A9E" w:rsidP="008F7A9E">
            <w:pPr>
              <w:jc w:val="right"/>
              <w:rPr>
                <w:rFonts w:ascii="Arial Narrow" w:hAnsi="Arial Narrow" w:cs="Calibri"/>
                <w:sz w:val="16"/>
                <w:szCs w:val="16"/>
              </w:rPr>
            </w:pPr>
            <w:r w:rsidRPr="008F7A9E">
              <w:rPr>
                <w:rFonts w:ascii="Arial Narrow" w:hAnsi="Arial Narrow" w:cs="Calibri"/>
                <w:sz w:val="16"/>
                <w:szCs w:val="16"/>
              </w:rPr>
              <w:t>-0,8</w:t>
            </w:r>
          </w:p>
        </w:tc>
        <w:tc>
          <w:tcPr>
            <w:tcW w:w="1217" w:type="dxa"/>
            <w:tcBorders>
              <w:top w:val="nil"/>
              <w:left w:val="nil"/>
              <w:bottom w:val="single" w:sz="4" w:space="0" w:color="auto"/>
              <w:right w:val="single" w:sz="4" w:space="0" w:color="auto"/>
            </w:tcBorders>
            <w:shd w:val="clear" w:color="auto" w:fill="auto"/>
            <w:vAlign w:val="center"/>
            <w:hideMark/>
          </w:tcPr>
          <w:p w14:paraId="26CBD05C" w14:textId="77777777" w:rsidR="008F7A9E" w:rsidRPr="008F7A9E" w:rsidRDefault="008F7A9E" w:rsidP="008F7A9E">
            <w:pPr>
              <w:jc w:val="right"/>
              <w:rPr>
                <w:rFonts w:ascii="Arial Narrow" w:hAnsi="Arial Narrow" w:cs="Calibri"/>
                <w:sz w:val="16"/>
                <w:szCs w:val="16"/>
              </w:rPr>
            </w:pPr>
            <w:r w:rsidRPr="008F7A9E">
              <w:rPr>
                <w:rFonts w:ascii="Arial Narrow" w:hAnsi="Arial Narrow" w:cs="Calibri"/>
                <w:sz w:val="16"/>
                <w:szCs w:val="16"/>
              </w:rPr>
              <w:t>37,1</w:t>
            </w:r>
          </w:p>
        </w:tc>
        <w:tc>
          <w:tcPr>
            <w:tcW w:w="1075" w:type="dxa"/>
            <w:tcBorders>
              <w:top w:val="nil"/>
              <w:left w:val="nil"/>
              <w:bottom w:val="single" w:sz="4" w:space="0" w:color="auto"/>
              <w:right w:val="single" w:sz="4" w:space="0" w:color="auto"/>
            </w:tcBorders>
            <w:shd w:val="clear" w:color="auto" w:fill="auto"/>
            <w:vAlign w:val="center"/>
            <w:hideMark/>
          </w:tcPr>
          <w:p w14:paraId="7405137D" w14:textId="77777777" w:rsidR="008F7A9E" w:rsidRPr="008F7A9E" w:rsidRDefault="008F7A9E" w:rsidP="008F7A9E">
            <w:pPr>
              <w:jc w:val="right"/>
              <w:rPr>
                <w:rFonts w:ascii="Arial Narrow" w:hAnsi="Arial Narrow" w:cs="Calibri"/>
                <w:sz w:val="16"/>
                <w:szCs w:val="16"/>
              </w:rPr>
            </w:pPr>
            <w:r w:rsidRPr="008F7A9E">
              <w:rPr>
                <w:rFonts w:ascii="Arial Narrow" w:hAnsi="Arial Narrow" w:cs="Calibri"/>
                <w:sz w:val="16"/>
                <w:szCs w:val="16"/>
              </w:rPr>
              <w:t>17,3</w:t>
            </w:r>
          </w:p>
        </w:tc>
        <w:tc>
          <w:tcPr>
            <w:tcW w:w="1233" w:type="dxa"/>
            <w:tcBorders>
              <w:top w:val="nil"/>
              <w:left w:val="nil"/>
              <w:bottom w:val="single" w:sz="4" w:space="0" w:color="auto"/>
              <w:right w:val="single" w:sz="4" w:space="0" w:color="auto"/>
            </w:tcBorders>
            <w:shd w:val="clear" w:color="auto" w:fill="auto"/>
            <w:vAlign w:val="center"/>
            <w:hideMark/>
          </w:tcPr>
          <w:p w14:paraId="01C999DA" w14:textId="77777777" w:rsidR="008F7A9E" w:rsidRPr="008F7A9E" w:rsidRDefault="008F7A9E" w:rsidP="008F7A9E">
            <w:pPr>
              <w:jc w:val="right"/>
              <w:rPr>
                <w:rFonts w:ascii="Arial Narrow" w:hAnsi="Arial Narrow" w:cs="Calibri"/>
                <w:sz w:val="16"/>
                <w:szCs w:val="16"/>
              </w:rPr>
            </w:pPr>
            <w:r w:rsidRPr="008F7A9E">
              <w:rPr>
                <w:rFonts w:ascii="Arial Narrow" w:hAnsi="Arial Narrow" w:cs="Calibri"/>
                <w:sz w:val="16"/>
                <w:szCs w:val="16"/>
              </w:rPr>
              <w:t>43,5</w:t>
            </w:r>
          </w:p>
        </w:tc>
      </w:tr>
      <w:tr w:rsidR="008F7A9E" w:rsidRPr="00B10684" w14:paraId="14C6BABB" w14:textId="77777777" w:rsidTr="005A18A5">
        <w:trPr>
          <w:trHeight w:val="251"/>
        </w:trPr>
        <w:tc>
          <w:tcPr>
            <w:tcW w:w="748" w:type="dxa"/>
            <w:tcBorders>
              <w:top w:val="nil"/>
              <w:left w:val="single" w:sz="4" w:space="0" w:color="auto"/>
              <w:bottom w:val="single" w:sz="4" w:space="0" w:color="auto"/>
              <w:right w:val="single" w:sz="4" w:space="0" w:color="auto"/>
            </w:tcBorders>
            <w:shd w:val="clear" w:color="auto" w:fill="auto"/>
            <w:vAlign w:val="center"/>
            <w:hideMark/>
          </w:tcPr>
          <w:p w14:paraId="182D7DAF" w14:textId="77777777" w:rsidR="008F7A9E" w:rsidRPr="008F7A9E" w:rsidRDefault="008F7A9E" w:rsidP="008F7A9E">
            <w:pPr>
              <w:rPr>
                <w:rFonts w:ascii="Arial Narrow" w:hAnsi="Arial Narrow" w:cs="Calibri"/>
                <w:sz w:val="16"/>
                <w:szCs w:val="16"/>
              </w:rPr>
            </w:pPr>
            <w:r w:rsidRPr="008F7A9E">
              <w:rPr>
                <w:rFonts w:ascii="Arial Narrow" w:hAnsi="Arial Narrow" w:cs="Calibri"/>
                <w:sz w:val="16"/>
                <w:szCs w:val="16"/>
              </w:rPr>
              <w:t>01.2</w:t>
            </w:r>
          </w:p>
        </w:tc>
        <w:tc>
          <w:tcPr>
            <w:tcW w:w="4419" w:type="dxa"/>
            <w:tcBorders>
              <w:top w:val="nil"/>
              <w:left w:val="nil"/>
              <w:bottom w:val="single" w:sz="4" w:space="0" w:color="auto"/>
              <w:right w:val="single" w:sz="4" w:space="0" w:color="auto"/>
            </w:tcBorders>
            <w:shd w:val="clear" w:color="auto" w:fill="auto"/>
            <w:vAlign w:val="center"/>
            <w:hideMark/>
          </w:tcPr>
          <w:p w14:paraId="243B53BB" w14:textId="77777777" w:rsidR="008F7A9E" w:rsidRPr="008F7A9E" w:rsidRDefault="008F7A9E" w:rsidP="008F7A9E">
            <w:pPr>
              <w:ind w:firstLineChars="100" w:firstLine="160"/>
              <w:rPr>
                <w:rFonts w:ascii="Arial Narrow" w:hAnsi="Arial Narrow" w:cs="Calibri"/>
                <w:sz w:val="16"/>
                <w:szCs w:val="16"/>
              </w:rPr>
            </w:pPr>
            <w:r w:rsidRPr="008F7A9E">
              <w:rPr>
                <w:rFonts w:ascii="Arial Narrow" w:hAnsi="Arial Narrow" w:cs="Calibri"/>
                <w:sz w:val="16"/>
                <w:szCs w:val="16"/>
              </w:rPr>
              <w:t>Ръж</w:t>
            </w:r>
          </w:p>
        </w:tc>
        <w:tc>
          <w:tcPr>
            <w:tcW w:w="1185" w:type="dxa"/>
            <w:tcBorders>
              <w:top w:val="nil"/>
              <w:left w:val="nil"/>
              <w:bottom w:val="single" w:sz="4" w:space="0" w:color="auto"/>
              <w:right w:val="single" w:sz="4" w:space="0" w:color="auto"/>
            </w:tcBorders>
            <w:shd w:val="clear" w:color="auto" w:fill="auto"/>
            <w:vAlign w:val="center"/>
            <w:hideMark/>
          </w:tcPr>
          <w:p w14:paraId="1307E668" w14:textId="77777777" w:rsidR="008F7A9E" w:rsidRPr="008F7A9E" w:rsidRDefault="008F7A9E" w:rsidP="008F7A9E">
            <w:pPr>
              <w:jc w:val="right"/>
              <w:rPr>
                <w:rFonts w:ascii="Arial Narrow" w:hAnsi="Arial Narrow" w:cs="Calibri"/>
                <w:sz w:val="16"/>
                <w:szCs w:val="16"/>
              </w:rPr>
            </w:pPr>
            <w:r w:rsidRPr="008F7A9E">
              <w:rPr>
                <w:rFonts w:ascii="Arial Narrow" w:hAnsi="Arial Narrow" w:cs="Calibri"/>
                <w:sz w:val="16"/>
                <w:szCs w:val="16"/>
              </w:rPr>
              <w:t>9,7</w:t>
            </w:r>
          </w:p>
        </w:tc>
        <w:tc>
          <w:tcPr>
            <w:tcW w:w="1028" w:type="dxa"/>
            <w:tcBorders>
              <w:top w:val="nil"/>
              <w:left w:val="nil"/>
              <w:bottom w:val="single" w:sz="4" w:space="0" w:color="auto"/>
              <w:right w:val="single" w:sz="4" w:space="0" w:color="auto"/>
            </w:tcBorders>
            <w:shd w:val="clear" w:color="auto" w:fill="auto"/>
            <w:vAlign w:val="center"/>
            <w:hideMark/>
          </w:tcPr>
          <w:p w14:paraId="311EE379" w14:textId="77777777" w:rsidR="008F7A9E" w:rsidRPr="008F7A9E" w:rsidRDefault="008F7A9E" w:rsidP="008F7A9E">
            <w:pPr>
              <w:jc w:val="right"/>
              <w:rPr>
                <w:rFonts w:ascii="Arial Narrow" w:hAnsi="Arial Narrow" w:cs="Calibri"/>
                <w:sz w:val="16"/>
                <w:szCs w:val="16"/>
              </w:rPr>
            </w:pPr>
            <w:r w:rsidRPr="008F7A9E">
              <w:rPr>
                <w:rFonts w:ascii="Arial Narrow" w:hAnsi="Arial Narrow" w:cs="Calibri"/>
                <w:sz w:val="16"/>
                <w:szCs w:val="16"/>
              </w:rPr>
              <w:t>-45,4</w:t>
            </w:r>
          </w:p>
        </w:tc>
        <w:tc>
          <w:tcPr>
            <w:tcW w:w="1217" w:type="dxa"/>
            <w:tcBorders>
              <w:top w:val="nil"/>
              <w:left w:val="nil"/>
              <w:bottom w:val="single" w:sz="4" w:space="0" w:color="auto"/>
              <w:right w:val="single" w:sz="4" w:space="0" w:color="auto"/>
            </w:tcBorders>
            <w:shd w:val="clear" w:color="auto" w:fill="auto"/>
            <w:vAlign w:val="center"/>
            <w:hideMark/>
          </w:tcPr>
          <w:p w14:paraId="09095B92" w14:textId="77777777" w:rsidR="008F7A9E" w:rsidRPr="008F7A9E" w:rsidRDefault="008F7A9E" w:rsidP="008F7A9E">
            <w:pPr>
              <w:jc w:val="right"/>
              <w:rPr>
                <w:rFonts w:ascii="Arial Narrow" w:hAnsi="Arial Narrow" w:cs="Calibri"/>
                <w:sz w:val="16"/>
                <w:szCs w:val="16"/>
              </w:rPr>
            </w:pPr>
            <w:r w:rsidRPr="008F7A9E">
              <w:rPr>
                <w:rFonts w:ascii="Arial Narrow" w:hAnsi="Arial Narrow" w:cs="Calibri"/>
                <w:sz w:val="16"/>
                <w:szCs w:val="16"/>
              </w:rPr>
              <w:t>5,3</w:t>
            </w:r>
          </w:p>
        </w:tc>
        <w:tc>
          <w:tcPr>
            <w:tcW w:w="1075" w:type="dxa"/>
            <w:tcBorders>
              <w:top w:val="nil"/>
              <w:left w:val="nil"/>
              <w:bottom w:val="single" w:sz="4" w:space="0" w:color="auto"/>
              <w:right w:val="single" w:sz="4" w:space="0" w:color="auto"/>
            </w:tcBorders>
            <w:shd w:val="clear" w:color="auto" w:fill="auto"/>
            <w:vAlign w:val="center"/>
            <w:hideMark/>
          </w:tcPr>
          <w:p w14:paraId="470AB5DF" w14:textId="77777777" w:rsidR="008F7A9E" w:rsidRPr="008F7A9E" w:rsidRDefault="008F7A9E" w:rsidP="008F7A9E">
            <w:pPr>
              <w:jc w:val="right"/>
              <w:rPr>
                <w:rFonts w:ascii="Arial Narrow" w:hAnsi="Arial Narrow" w:cs="Calibri"/>
                <w:sz w:val="16"/>
                <w:szCs w:val="16"/>
              </w:rPr>
            </w:pPr>
            <w:r w:rsidRPr="008F7A9E">
              <w:rPr>
                <w:rFonts w:ascii="Arial Narrow" w:hAnsi="Arial Narrow" w:cs="Calibri"/>
                <w:sz w:val="16"/>
                <w:szCs w:val="16"/>
              </w:rPr>
              <w:t>-20,8</w:t>
            </w:r>
          </w:p>
        </w:tc>
        <w:tc>
          <w:tcPr>
            <w:tcW w:w="1233" w:type="dxa"/>
            <w:tcBorders>
              <w:top w:val="nil"/>
              <w:left w:val="nil"/>
              <w:bottom w:val="single" w:sz="4" w:space="0" w:color="auto"/>
              <w:right w:val="single" w:sz="4" w:space="0" w:color="auto"/>
            </w:tcBorders>
            <w:shd w:val="clear" w:color="auto" w:fill="auto"/>
            <w:vAlign w:val="center"/>
            <w:hideMark/>
          </w:tcPr>
          <w:p w14:paraId="00F010F2" w14:textId="77777777" w:rsidR="008F7A9E" w:rsidRPr="008F7A9E" w:rsidRDefault="008F7A9E" w:rsidP="008F7A9E">
            <w:pPr>
              <w:jc w:val="right"/>
              <w:rPr>
                <w:rFonts w:ascii="Arial Narrow" w:hAnsi="Arial Narrow" w:cs="Calibri"/>
                <w:sz w:val="16"/>
                <w:szCs w:val="16"/>
              </w:rPr>
            </w:pPr>
            <w:r w:rsidRPr="008F7A9E">
              <w:rPr>
                <w:rFonts w:ascii="Arial Narrow" w:hAnsi="Arial Narrow" w:cs="Calibri"/>
                <w:sz w:val="16"/>
                <w:szCs w:val="16"/>
              </w:rPr>
              <w:t>4,2</w:t>
            </w:r>
          </w:p>
        </w:tc>
      </w:tr>
      <w:tr w:rsidR="008F7A9E" w:rsidRPr="00B10684" w14:paraId="600239B1" w14:textId="77777777" w:rsidTr="005A18A5">
        <w:trPr>
          <w:trHeight w:val="251"/>
        </w:trPr>
        <w:tc>
          <w:tcPr>
            <w:tcW w:w="748" w:type="dxa"/>
            <w:tcBorders>
              <w:top w:val="nil"/>
              <w:left w:val="single" w:sz="4" w:space="0" w:color="auto"/>
              <w:bottom w:val="single" w:sz="4" w:space="0" w:color="auto"/>
              <w:right w:val="single" w:sz="4" w:space="0" w:color="auto"/>
            </w:tcBorders>
            <w:shd w:val="clear" w:color="auto" w:fill="auto"/>
            <w:vAlign w:val="center"/>
            <w:hideMark/>
          </w:tcPr>
          <w:p w14:paraId="26F64EDC" w14:textId="77777777" w:rsidR="008F7A9E" w:rsidRPr="008F7A9E" w:rsidRDefault="008F7A9E" w:rsidP="008F7A9E">
            <w:pPr>
              <w:rPr>
                <w:rFonts w:ascii="Arial Narrow" w:hAnsi="Arial Narrow" w:cs="Calibri"/>
                <w:sz w:val="16"/>
                <w:szCs w:val="16"/>
              </w:rPr>
            </w:pPr>
            <w:r w:rsidRPr="008F7A9E">
              <w:rPr>
                <w:rFonts w:ascii="Arial Narrow" w:hAnsi="Arial Narrow" w:cs="Calibri"/>
                <w:sz w:val="16"/>
                <w:szCs w:val="16"/>
              </w:rPr>
              <w:t>01.3</w:t>
            </w:r>
          </w:p>
        </w:tc>
        <w:tc>
          <w:tcPr>
            <w:tcW w:w="4419" w:type="dxa"/>
            <w:tcBorders>
              <w:top w:val="nil"/>
              <w:left w:val="nil"/>
              <w:bottom w:val="single" w:sz="4" w:space="0" w:color="auto"/>
              <w:right w:val="single" w:sz="4" w:space="0" w:color="auto"/>
            </w:tcBorders>
            <w:shd w:val="clear" w:color="auto" w:fill="auto"/>
            <w:vAlign w:val="center"/>
            <w:hideMark/>
          </w:tcPr>
          <w:p w14:paraId="523C125E" w14:textId="77777777" w:rsidR="008F7A9E" w:rsidRPr="008F7A9E" w:rsidRDefault="008F7A9E" w:rsidP="008F7A9E">
            <w:pPr>
              <w:ind w:firstLineChars="100" w:firstLine="160"/>
              <w:rPr>
                <w:rFonts w:ascii="Arial Narrow" w:hAnsi="Arial Narrow" w:cs="Calibri"/>
                <w:sz w:val="16"/>
                <w:szCs w:val="16"/>
              </w:rPr>
            </w:pPr>
            <w:r w:rsidRPr="008F7A9E">
              <w:rPr>
                <w:rFonts w:ascii="Arial Narrow" w:hAnsi="Arial Narrow" w:cs="Calibri"/>
                <w:sz w:val="16"/>
                <w:szCs w:val="16"/>
              </w:rPr>
              <w:t>Ечемик</w:t>
            </w:r>
          </w:p>
        </w:tc>
        <w:tc>
          <w:tcPr>
            <w:tcW w:w="1185" w:type="dxa"/>
            <w:tcBorders>
              <w:top w:val="nil"/>
              <w:left w:val="nil"/>
              <w:bottom w:val="single" w:sz="4" w:space="0" w:color="auto"/>
              <w:right w:val="single" w:sz="4" w:space="0" w:color="auto"/>
            </w:tcBorders>
            <w:shd w:val="clear" w:color="auto" w:fill="auto"/>
            <w:vAlign w:val="center"/>
            <w:hideMark/>
          </w:tcPr>
          <w:p w14:paraId="65998A6F" w14:textId="77777777" w:rsidR="008F7A9E" w:rsidRPr="008F7A9E" w:rsidRDefault="008F7A9E" w:rsidP="008F7A9E">
            <w:pPr>
              <w:jc w:val="right"/>
              <w:rPr>
                <w:rFonts w:ascii="Arial Narrow" w:hAnsi="Arial Narrow" w:cs="Calibri"/>
                <w:sz w:val="16"/>
                <w:szCs w:val="16"/>
              </w:rPr>
            </w:pPr>
            <w:r w:rsidRPr="008F7A9E">
              <w:rPr>
                <w:rFonts w:ascii="Arial Narrow" w:hAnsi="Arial Narrow" w:cs="Calibri"/>
                <w:sz w:val="16"/>
                <w:szCs w:val="16"/>
              </w:rPr>
              <w:t>328,7</w:t>
            </w:r>
          </w:p>
        </w:tc>
        <w:tc>
          <w:tcPr>
            <w:tcW w:w="1028" w:type="dxa"/>
            <w:tcBorders>
              <w:top w:val="nil"/>
              <w:left w:val="nil"/>
              <w:bottom w:val="single" w:sz="4" w:space="0" w:color="auto"/>
              <w:right w:val="single" w:sz="4" w:space="0" w:color="auto"/>
            </w:tcBorders>
            <w:shd w:val="clear" w:color="auto" w:fill="auto"/>
            <w:vAlign w:val="center"/>
            <w:hideMark/>
          </w:tcPr>
          <w:p w14:paraId="4E60A43B" w14:textId="77777777" w:rsidR="008F7A9E" w:rsidRPr="008F7A9E" w:rsidRDefault="008F7A9E" w:rsidP="008F7A9E">
            <w:pPr>
              <w:jc w:val="right"/>
              <w:rPr>
                <w:rFonts w:ascii="Arial Narrow" w:hAnsi="Arial Narrow" w:cs="Calibri"/>
                <w:sz w:val="16"/>
                <w:szCs w:val="16"/>
              </w:rPr>
            </w:pPr>
            <w:r w:rsidRPr="008F7A9E">
              <w:rPr>
                <w:rFonts w:ascii="Arial Narrow" w:hAnsi="Arial Narrow" w:cs="Calibri"/>
                <w:sz w:val="16"/>
                <w:szCs w:val="16"/>
              </w:rPr>
              <w:t>-13,9</w:t>
            </w:r>
          </w:p>
        </w:tc>
        <w:tc>
          <w:tcPr>
            <w:tcW w:w="1217" w:type="dxa"/>
            <w:tcBorders>
              <w:top w:val="nil"/>
              <w:left w:val="nil"/>
              <w:bottom w:val="single" w:sz="4" w:space="0" w:color="auto"/>
              <w:right w:val="single" w:sz="4" w:space="0" w:color="auto"/>
            </w:tcBorders>
            <w:shd w:val="clear" w:color="auto" w:fill="auto"/>
            <w:vAlign w:val="center"/>
            <w:hideMark/>
          </w:tcPr>
          <w:p w14:paraId="6C895874" w14:textId="77777777" w:rsidR="008F7A9E" w:rsidRPr="008F7A9E" w:rsidRDefault="008F7A9E" w:rsidP="008F7A9E">
            <w:pPr>
              <w:jc w:val="right"/>
              <w:rPr>
                <w:rFonts w:ascii="Arial Narrow" w:hAnsi="Arial Narrow" w:cs="Calibri"/>
                <w:sz w:val="16"/>
                <w:szCs w:val="16"/>
              </w:rPr>
            </w:pPr>
            <w:r w:rsidRPr="008F7A9E">
              <w:rPr>
                <w:rFonts w:ascii="Arial Narrow" w:hAnsi="Arial Narrow" w:cs="Calibri"/>
                <w:sz w:val="16"/>
                <w:szCs w:val="16"/>
              </w:rPr>
              <w:t>283,1</w:t>
            </w:r>
          </w:p>
        </w:tc>
        <w:tc>
          <w:tcPr>
            <w:tcW w:w="1075" w:type="dxa"/>
            <w:tcBorders>
              <w:top w:val="nil"/>
              <w:left w:val="nil"/>
              <w:bottom w:val="single" w:sz="4" w:space="0" w:color="auto"/>
              <w:right w:val="single" w:sz="4" w:space="0" w:color="auto"/>
            </w:tcBorders>
            <w:shd w:val="clear" w:color="auto" w:fill="auto"/>
            <w:vAlign w:val="center"/>
            <w:hideMark/>
          </w:tcPr>
          <w:p w14:paraId="6C133EFE" w14:textId="77777777" w:rsidR="008F7A9E" w:rsidRPr="008F7A9E" w:rsidRDefault="008F7A9E" w:rsidP="008F7A9E">
            <w:pPr>
              <w:jc w:val="right"/>
              <w:rPr>
                <w:rFonts w:ascii="Arial Narrow" w:hAnsi="Arial Narrow" w:cs="Calibri"/>
                <w:sz w:val="16"/>
                <w:szCs w:val="16"/>
              </w:rPr>
            </w:pPr>
            <w:r w:rsidRPr="008F7A9E">
              <w:rPr>
                <w:rFonts w:ascii="Arial Narrow" w:hAnsi="Arial Narrow" w:cs="Calibri"/>
                <w:sz w:val="16"/>
                <w:szCs w:val="16"/>
              </w:rPr>
              <w:t>15,9</w:t>
            </w:r>
          </w:p>
        </w:tc>
        <w:tc>
          <w:tcPr>
            <w:tcW w:w="1233" w:type="dxa"/>
            <w:tcBorders>
              <w:top w:val="nil"/>
              <w:left w:val="nil"/>
              <w:bottom w:val="single" w:sz="4" w:space="0" w:color="auto"/>
              <w:right w:val="single" w:sz="4" w:space="0" w:color="auto"/>
            </w:tcBorders>
            <w:shd w:val="clear" w:color="auto" w:fill="auto"/>
            <w:vAlign w:val="center"/>
            <w:hideMark/>
          </w:tcPr>
          <w:p w14:paraId="396482FF" w14:textId="77777777" w:rsidR="008F7A9E" w:rsidRPr="008F7A9E" w:rsidRDefault="008F7A9E" w:rsidP="008F7A9E">
            <w:pPr>
              <w:jc w:val="right"/>
              <w:rPr>
                <w:rFonts w:ascii="Arial Narrow" w:hAnsi="Arial Narrow" w:cs="Calibri"/>
                <w:sz w:val="16"/>
                <w:szCs w:val="16"/>
              </w:rPr>
            </w:pPr>
            <w:r w:rsidRPr="008F7A9E">
              <w:rPr>
                <w:rFonts w:ascii="Arial Narrow" w:hAnsi="Arial Narrow" w:cs="Calibri"/>
                <w:sz w:val="16"/>
                <w:szCs w:val="16"/>
              </w:rPr>
              <w:t>328,2</w:t>
            </w:r>
          </w:p>
        </w:tc>
      </w:tr>
      <w:tr w:rsidR="008F7A9E" w:rsidRPr="00B10684" w14:paraId="17737871" w14:textId="77777777" w:rsidTr="005A18A5">
        <w:trPr>
          <w:trHeight w:val="251"/>
        </w:trPr>
        <w:tc>
          <w:tcPr>
            <w:tcW w:w="748" w:type="dxa"/>
            <w:tcBorders>
              <w:top w:val="nil"/>
              <w:left w:val="single" w:sz="4" w:space="0" w:color="auto"/>
              <w:bottom w:val="single" w:sz="4" w:space="0" w:color="auto"/>
              <w:right w:val="single" w:sz="4" w:space="0" w:color="auto"/>
            </w:tcBorders>
            <w:shd w:val="clear" w:color="auto" w:fill="auto"/>
            <w:vAlign w:val="center"/>
            <w:hideMark/>
          </w:tcPr>
          <w:p w14:paraId="506C18F6" w14:textId="77777777" w:rsidR="008F7A9E" w:rsidRPr="008F7A9E" w:rsidRDefault="008F7A9E" w:rsidP="008F7A9E">
            <w:pPr>
              <w:rPr>
                <w:rFonts w:ascii="Arial Narrow" w:hAnsi="Arial Narrow" w:cs="Calibri"/>
                <w:sz w:val="16"/>
                <w:szCs w:val="16"/>
              </w:rPr>
            </w:pPr>
            <w:r w:rsidRPr="008F7A9E">
              <w:rPr>
                <w:rFonts w:ascii="Arial Narrow" w:hAnsi="Arial Narrow" w:cs="Calibri"/>
                <w:sz w:val="16"/>
                <w:szCs w:val="16"/>
              </w:rPr>
              <w:t>01.4</w:t>
            </w:r>
          </w:p>
        </w:tc>
        <w:tc>
          <w:tcPr>
            <w:tcW w:w="4419" w:type="dxa"/>
            <w:tcBorders>
              <w:top w:val="nil"/>
              <w:left w:val="nil"/>
              <w:bottom w:val="single" w:sz="4" w:space="0" w:color="auto"/>
              <w:right w:val="single" w:sz="4" w:space="0" w:color="auto"/>
            </w:tcBorders>
            <w:shd w:val="clear" w:color="auto" w:fill="auto"/>
            <w:vAlign w:val="center"/>
            <w:hideMark/>
          </w:tcPr>
          <w:p w14:paraId="5E067127" w14:textId="77777777" w:rsidR="008F7A9E" w:rsidRPr="008F7A9E" w:rsidRDefault="008F7A9E" w:rsidP="008F7A9E">
            <w:pPr>
              <w:ind w:firstLineChars="100" w:firstLine="160"/>
              <w:rPr>
                <w:rFonts w:ascii="Arial Narrow" w:hAnsi="Arial Narrow" w:cs="Calibri"/>
                <w:sz w:val="16"/>
                <w:szCs w:val="16"/>
              </w:rPr>
            </w:pPr>
            <w:r w:rsidRPr="008F7A9E">
              <w:rPr>
                <w:rFonts w:ascii="Arial Narrow" w:hAnsi="Arial Narrow" w:cs="Calibri"/>
                <w:sz w:val="16"/>
                <w:szCs w:val="16"/>
              </w:rPr>
              <w:t>Овес и зърнени смески</w:t>
            </w:r>
          </w:p>
        </w:tc>
        <w:tc>
          <w:tcPr>
            <w:tcW w:w="1185" w:type="dxa"/>
            <w:tcBorders>
              <w:top w:val="nil"/>
              <w:left w:val="nil"/>
              <w:bottom w:val="single" w:sz="4" w:space="0" w:color="auto"/>
              <w:right w:val="single" w:sz="4" w:space="0" w:color="auto"/>
            </w:tcBorders>
            <w:shd w:val="clear" w:color="auto" w:fill="auto"/>
            <w:vAlign w:val="center"/>
            <w:hideMark/>
          </w:tcPr>
          <w:p w14:paraId="382FD290" w14:textId="77777777" w:rsidR="008F7A9E" w:rsidRPr="008F7A9E" w:rsidRDefault="008F7A9E" w:rsidP="008F7A9E">
            <w:pPr>
              <w:jc w:val="right"/>
              <w:rPr>
                <w:rFonts w:ascii="Arial Narrow" w:hAnsi="Arial Narrow" w:cs="Calibri"/>
                <w:sz w:val="16"/>
                <w:szCs w:val="16"/>
              </w:rPr>
            </w:pPr>
            <w:r w:rsidRPr="008F7A9E">
              <w:rPr>
                <w:rFonts w:ascii="Arial Narrow" w:hAnsi="Arial Narrow" w:cs="Calibri"/>
                <w:sz w:val="16"/>
                <w:szCs w:val="16"/>
              </w:rPr>
              <w:t>13,1</w:t>
            </w:r>
          </w:p>
        </w:tc>
        <w:tc>
          <w:tcPr>
            <w:tcW w:w="1028" w:type="dxa"/>
            <w:tcBorders>
              <w:top w:val="nil"/>
              <w:left w:val="nil"/>
              <w:bottom w:val="single" w:sz="4" w:space="0" w:color="auto"/>
              <w:right w:val="single" w:sz="4" w:space="0" w:color="auto"/>
            </w:tcBorders>
            <w:shd w:val="clear" w:color="auto" w:fill="auto"/>
            <w:vAlign w:val="center"/>
            <w:hideMark/>
          </w:tcPr>
          <w:p w14:paraId="1DADBFA6" w14:textId="77777777" w:rsidR="008F7A9E" w:rsidRPr="008F7A9E" w:rsidRDefault="008F7A9E" w:rsidP="008F7A9E">
            <w:pPr>
              <w:jc w:val="right"/>
              <w:rPr>
                <w:rFonts w:ascii="Arial Narrow" w:hAnsi="Arial Narrow" w:cs="Calibri"/>
                <w:sz w:val="16"/>
                <w:szCs w:val="16"/>
              </w:rPr>
            </w:pPr>
            <w:r w:rsidRPr="008F7A9E">
              <w:rPr>
                <w:rFonts w:ascii="Arial Narrow" w:hAnsi="Arial Narrow" w:cs="Calibri"/>
                <w:sz w:val="16"/>
                <w:szCs w:val="16"/>
              </w:rPr>
              <w:t>-4,6</w:t>
            </w:r>
          </w:p>
        </w:tc>
        <w:tc>
          <w:tcPr>
            <w:tcW w:w="1217" w:type="dxa"/>
            <w:tcBorders>
              <w:top w:val="nil"/>
              <w:left w:val="nil"/>
              <w:bottom w:val="single" w:sz="4" w:space="0" w:color="auto"/>
              <w:right w:val="single" w:sz="4" w:space="0" w:color="auto"/>
            </w:tcBorders>
            <w:shd w:val="clear" w:color="auto" w:fill="auto"/>
            <w:vAlign w:val="center"/>
            <w:hideMark/>
          </w:tcPr>
          <w:p w14:paraId="2D9DF4E9" w14:textId="77777777" w:rsidR="008F7A9E" w:rsidRPr="008F7A9E" w:rsidRDefault="008F7A9E" w:rsidP="008F7A9E">
            <w:pPr>
              <w:jc w:val="right"/>
              <w:rPr>
                <w:rFonts w:ascii="Arial Narrow" w:hAnsi="Arial Narrow" w:cs="Calibri"/>
                <w:sz w:val="16"/>
                <w:szCs w:val="16"/>
              </w:rPr>
            </w:pPr>
            <w:r w:rsidRPr="008F7A9E">
              <w:rPr>
                <w:rFonts w:ascii="Arial Narrow" w:hAnsi="Arial Narrow" w:cs="Calibri"/>
                <w:sz w:val="16"/>
                <w:szCs w:val="16"/>
              </w:rPr>
              <w:t>12,5</w:t>
            </w:r>
          </w:p>
        </w:tc>
        <w:tc>
          <w:tcPr>
            <w:tcW w:w="1075" w:type="dxa"/>
            <w:tcBorders>
              <w:top w:val="nil"/>
              <w:left w:val="nil"/>
              <w:bottom w:val="single" w:sz="4" w:space="0" w:color="auto"/>
              <w:right w:val="single" w:sz="4" w:space="0" w:color="auto"/>
            </w:tcBorders>
            <w:shd w:val="clear" w:color="auto" w:fill="auto"/>
            <w:vAlign w:val="center"/>
            <w:hideMark/>
          </w:tcPr>
          <w:p w14:paraId="1FC94B90" w14:textId="77777777" w:rsidR="008F7A9E" w:rsidRPr="008F7A9E" w:rsidRDefault="008F7A9E" w:rsidP="008F7A9E">
            <w:pPr>
              <w:jc w:val="right"/>
              <w:rPr>
                <w:rFonts w:ascii="Arial Narrow" w:hAnsi="Arial Narrow" w:cs="Calibri"/>
                <w:sz w:val="16"/>
                <w:szCs w:val="16"/>
              </w:rPr>
            </w:pPr>
            <w:r w:rsidRPr="008F7A9E">
              <w:rPr>
                <w:rFonts w:ascii="Arial Narrow" w:hAnsi="Arial Narrow" w:cs="Calibri"/>
                <w:sz w:val="16"/>
                <w:szCs w:val="16"/>
              </w:rPr>
              <w:t>48,0</w:t>
            </w:r>
          </w:p>
        </w:tc>
        <w:tc>
          <w:tcPr>
            <w:tcW w:w="1233" w:type="dxa"/>
            <w:tcBorders>
              <w:top w:val="nil"/>
              <w:left w:val="nil"/>
              <w:bottom w:val="single" w:sz="4" w:space="0" w:color="auto"/>
              <w:right w:val="single" w:sz="4" w:space="0" w:color="auto"/>
            </w:tcBorders>
            <w:shd w:val="clear" w:color="auto" w:fill="auto"/>
            <w:vAlign w:val="center"/>
            <w:hideMark/>
          </w:tcPr>
          <w:p w14:paraId="0864A0A4" w14:textId="77777777" w:rsidR="008F7A9E" w:rsidRPr="008F7A9E" w:rsidRDefault="008F7A9E" w:rsidP="008F7A9E">
            <w:pPr>
              <w:jc w:val="right"/>
              <w:rPr>
                <w:rFonts w:ascii="Arial Narrow" w:hAnsi="Arial Narrow" w:cs="Calibri"/>
                <w:sz w:val="16"/>
                <w:szCs w:val="16"/>
              </w:rPr>
            </w:pPr>
            <w:r w:rsidRPr="008F7A9E">
              <w:rPr>
                <w:rFonts w:ascii="Arial Narrow" w:hAnsi="Arial Narrow" w:cs="Calibri"/>
                <w:sz w:val="16"/>
                <w:szCs w:val="16"/>
              </w:rPr>
              <w:t>18,5</w:t>
            </w:r>
          </w:p>
        </w:tc>
      </w:tr>
      <w:tr w:rsidR="008F7A9E" w:rsidRPr="00B10684" w14:paraId="032D7943" w14:textId="77777777" w:rsidTr="005A18A5">
        <w:trPr>
          <w:trHeight w:val="251"/>
        </w:trPr>
        <w:tc>
          <w:tcPr>
            <w:tcW w:w="748" w:type="dxa"/>
            <w:tcBorders>
              <w:top w:val="nil"/>
              <w:left w:val="single" w:sz="4" w:space="0" w:color="auto"/>
              <w:bottom w:val="single" w:sz="4" w:space="0" w:color="auto"/>
              <w:right w:val="single" w:sz="4" w:space="0" w:color="auto"/>
            </w:tcBorders>
            <w:shd w:val="clear" w:color="auto" w:fill="auto"/>
            <w:vAlign w:val="center"/>
            <w:hideMark/>
          </w:tcPr>
          <w:p w14:paraId="43E037C1" w14:textId="77777777" w:rsidR="008F7A9E" w:rsidRPr="008F7A9E" w:rsidRDefault="008F7A9E" w:rsidP="008F7A9E">
            <w:pPr>
              <w:rPr>
                <w:rFonts w:ascii="Arial Narrow" w:hAnsi="Arial Narrow" w:cs="Calibri"/>
                <w:sz w:val="16"/>
                <w:szCs w:val="16"/>
              </w:rPr>
            </w:pPr>
            <w:r w:rsidRPr="008F7A9E">
              <w:rPr>
                <w:rFonts w:ascii="Arial Narrow" w:hAnsi="Arial Narrow" w:cs="Calibri"/>
                <w:sz w:val="16"/>
                <w:szCs w:val="16"/>
              </w:rPr>
              <w:t>01.5</w:t>
            </w:r>
          </w:p>
        </w:tc>
        <w:tc>
          <w:tcPr>
            <w:tcW w:w="4419" w:type="dxa"/>
            <w:tcBorders>
              <w:top w:val="nil"/>
              <w:left w:val="nil"/>
              <w:bottom w:val="single" w:sz="4" w:space="0" w:color="auto"/>
              <w:right w:val="single" w:sz="4" w:space="0" w:color="auto"/>
            </w:tcBorders>
            <w:shd w:val="clear" w:color="auto" w:fill="auto"/>
            <w:vAlign w:val="center"/>
            <w:hideMark/>
          </w:tcPr>
          <w:p w14:paraId="0BC7C381" w14:textId="77777777" w:rsidR="008F7A9E" w:rsidRPr="008F7A9E" w:rsidRDefault="008F7A9E" w:rsidP="008F7A9E">
            <w:pPr>
              <w:ind w:firstLineChars="100" w:firstLine="160"/>
              <w:rPr>
                <w:rFonts w:ascii="Arial Narrow" w:hAnsi="Arial Narrow" w:cs="Calibri"/>
                <w:sz w:val="16"/>
                <w:szCs w:val="16"/>
              </w:rPr>
            </w:pPr>
            <w:r w:rsidRPr="008F7A9E">
              <w:rPr>
                <w:rFonts w:ascii="Arial Narrow" w:hAnsi="Arial Narrow" w:cs="Calibri"/>
                <w:sz w:val="16"/>
                <w:szCs w:val="16"/>
              </w:rPr>
              <w:t>Царевица за зърно</w:t>
            </w:r>
          </w:p>
        </w:tc>
        <w:tc>
          <w:tcPr>
            <w:tcW w:w="1185" w:type="dxa"/>
            <w:tcBorders>
              <w:top w:val="nil"/>
              <w:left w:val="nil"/>
              <w:bottom w:val="single" w:sz="4" w:space="0" w:color="auto"/>
              <w:right w:val="single" w:sz="4" w:space="0" w:color="auto"/>
            </w:tcBorders>
            <w:shd w:val="clear" w:color="auto" w:fill="auto"/>
            <w:vAlign w:val="center"/>
            <w:hideMark/>
          </w:tcPr>
          <w:p w14:paraId="09A3DDEB" w14:textId="77777777" w:rsidR="008F7A9E" w:rsidRPr="008F7A9E" w:rsidRDefault="008F7A9E" w:rsidP="008F7A9E">
            <w:pPr>
              <w:jc w:val="right"/>
              <w:rPr>
                <w:rFonts w:ascii="Arial Narrow" w:hAnsi="Arial Narrow" w:cs="Calibri"/>
                <w:sz w:val="16"/>
                <w:szCs w:val="16"/>
              </w:rPr>
            </w:pPr>
            <w:r w:rsidRPr="008F7A9E">
              <w:rPr>
                <w:rFonts w:ascii="Arial Narrow" w:hAnsi="Arial Narrow" w:cs="Calibri"/>
                <w:sz w:val="16"/>
                <w:szCs w:val="16"/>
              </w:rPr>
              <w:t>1 405,9</w:t>
            </w:r>
          </w:p>
        </w:tc>
        <w:tc>
          <w:tcPr>
            <w:tcW w:w="1028" w:type="dxa"/>
            <w:tcBorders>
              <w:top w:val="nil"/>
              <w:left w:val="nil"/>
              <w:bottom w:val="single" w:sz="4" w:space="0" w:color="auto"/>
              <w:right w:val="single" w:sz="4" w:space="0" w:color="auto"/>
            </w:tcBorders>
            <w:shd w:val="clear" w:color="auto" w:fill="auto"/>
            <w:vAlign w:val="center"/>
            <w:hideMark/>
          </w:tcPr>
          <w:p w14:paraId="6E8540BB" w14:textId="77777777" w:rsidR="008F7A9E" w:rsidRPr="008F7A9E" w:rsidRDefault="008F7A9E" w:rsidP="008F7A9E">
            <w:pPr>
              <w:jc w:val="right"/>
              <w:rPr>
                <w:rFonts w:ascii="Arial Narrow" w:hAnsi="Arial Narrow" w:cs="Calibri"/>
                <w:sz w:val="16"/>
                <w:szCs w:val="16"/>
              </w:rPr>
            </w:pPr>
            <w:r w:rsidRPr="008F7A9E">
              <w:rPr>
                <w:rFonts w:ascii="Arial Narrow" w:hAnsi="Arial Narrow" w:cs="Calibri"/>
                <w:sz w:val="16"/>
                <w:szCs w:val="16"/>
              </w:rPr>
              <w:t>-28,6</w:t>
            </w:r>
          </w:p>
        </w:tc>
        <w:tc>
          <w:tcPr>
            <w:tcW w:w="1217" w:type="dxa"/>
            <w:tcBorders>
              <w:top w:val="nil"/>
              <w:left w:val="nil"/>
              <w:bottom w:val="single" w:sz="4" w:space="0" w:color="auto"/>
              <w:right w:val="single" w:sz="4" w:space="0" w:color="auto"/>
            </w:tcBorders>
            <w:shd w:val="clear" w:color="auto" w:fill="auto"/>
            <w:vAlign w:val="center"/>
            <w:hideMark/>
          </w:tcPr>
          <w:p w14:paraId="09114743" w14:textId="77777777" w:rsidR="008F7A9E" w:rsidRPr="008F7A9E" w:rsidRDefault="008F7A9E" w:rsidP="008F7A9E">
            <w:pPr>
              <w:jc w:val="right"/>
              <w:rPr>
                <w:rFonts w:ascii="Arial Narrow" w:hAnsi="Arial Narrow" w:cs="Calibri"/>
                <w:sz w:val="16"/>
                <w:szCs w:val="16"/>
              </w:rPr>
            </w:pPr>
            <w:r w:rsidRPr="008F7A9E">
              <w:rPr>
                <w:rFonts w:ascii="Arial Narrow" w:hAnsi="Arial Narrow" w:cs="Calibri"/>
                <w:sz w:val="16"/>
                <w:szCs w:val="16"/>
              </w:rPr>
              <w:t>1 003,7</w:t>
            </w:r>
          </w:p>
        </w:tc>
        <w:tc>
          <w:tcPr>
            <w:tcW w:w="1075" w:type="dxa"/>
            <w:tcBorders>
              <w:top w:val="nil"/>
              <w:left w:val="nil"/>
              <w:bottom w:val="single" w:sz="4" w:space="0" w:color="auto"/>
              <w:right w:val="single" w:sz="4" w:space="0" w:color="auto"/>
            </w:tcBorders>
            <w:shd w:val="clear" w:color="auto" w:fill="auto"/>
            <w:vAlign w:val="center"/>
            <w:hideMark/>
          </w:tcPr>
          <w:p w14:paraId="76E79C98" w14:textId="77777777" w:rsidR="008F7A9E" w:rsidRPr="008F7A9E" w:rsidRDefault="008F7A9E" w:rsidP="008F7A9E">
            <w:pPr>
              <w:jc w:val="right"/>
              <w:rPr>
                <w:rFonts w:ascii="Arial Narrow" w:hAnsi="Arial Narrow" w:cs="Calibri"/>
                <w:sz w:val="16"/>
                <w:szCs w:val="16"/>
              </w:rPr>
            </w:pPr>
            <w:r w:rsidRPr="008F7A9E">
              <w:rPr>
                <w:rFonts w:ascii="Arial Narrow" w:hAnsi="Arial Narrow" w:cs="Calibri"/>
                <w:sz w:val="16"/>
                <w:szCs w:val="16"/>
              </w:rPr>
              <w:t>-43,8</w:t>
            </w:r>
          </w:p>
        </w:tc>
        <w:tc>
          <w:tcPr>
            <w:tcW w:w="1233" w:type="dxa"/>
            <w:tcBorders>
              <w:top w:val="nil"/>
              <w:left w:val="nil"/>
              <w:bottom w:val="single" w:sz="4" w:space="0" w:color="auto"/>
              <w:right w:val="single" w:sz="4" w:space="0" w:color="auto"/>
            </w:tcBorders>
            <w:shd w:val="clear" w:color="auto" w:fill="auto"/>
            <w:vAlign w:val="center"/>
            <w:hideMark/>
          </w:tcPr>
          <w:p w14:paraId="2E6F6975" w14:textId="77777777" w:rsidR="008F7A9E" w:rsidRPr="008F7A9E" w:rsidRDefault="008F7A9E" w:rsidP="008F7A9E">
            <w:pPr>
              <w:jc w:val="right"/>
              <w:rPr>
                <w:rFonts w:ascii="Arial Narrow" w:hAnsi="Arial Narrow" w:cs="Calibri"/>
                <w:sz w:val="16"/>
                <w:szCs w:val="16"/>
              </w:rPr>
            </w:pPr>
            <w:r w:rsidRPr="008F7A9E">
              <w:rPr>
                <w:rFonts w:ascii="Arial Narrow" w:hAnsi="Arial Narrow" w:cs="Calibri"/>
                <w:sz w:val="16"/>
                <w:szCs w:val="16"/>
              </w:rPr>
              <w:t>563,6</w:t>
            </w:r>
          </w:p>
        </w:tc>
      </w:tr>
      <w:tr w:rsidR="008F7A9E" w:rsidRPr="00B10684" w14:paraId="161C1091" w14:textId="77777777" w:rsidTr="005A18A5">
        <w:trPr>
          <w:trHeight w:val="251"/>
        </w:trPr>
        <w:tc>
          <w:tcPr>
            <w:tcW w:w="748" w:type="dxa"/>
            <w:tcBorders>
              <w:top w:val="nil"/>
              <w:left w:val="single" w:sz="4" w:space="0" w:color="auto"/>
              <w:bottom w:val="single" w:sz="4" w:space="0" w:color="auto"/>
              <w:right w:val="single" w:sz="4" w:space="0" w:color="auto"/>
            </w:tcBorders>
            <w:shd w:val="clear" w:color="auto" w:fill="auto"/>
            <w:vAlign w:val="center"/>
            <w:hideMark/>
          </w:tcPr>
          <w:p w14:paraId="0291A4F5" w14:textId="77777777" w:rsidR="008F7A9E" w:rsidRPr="008F7A9E" w:rsidRDefault="008F7A9E" w:rsidP="008F7A9E">
            <w:pPr>
              <w:rPr>
                <w:rFonts w:ascii="Arial Narrow" w:hAnsi="Arial Narrow" w:cs="Calibri"/>
                <w:sz w:val="16"/>
                <w:szCs w:val="16"/>
              </w:rPr>
            </w:pPr>
            <w:r w:rsidRPr="008F7A9E">
              <w:rPr>
                <w:rFonts w:ascii="Arial Narrow" w:hAnsi="Arial Narrow" w:cs="Calibri"/>
                <w:sz w:val="16"/>
                <w:szCs w:val="16"/>
              </w:rPr>
              <w:t>01.6</w:t>
            </w:r>
          </w:p>
        </w:tc>
        <w:tc>
          <w:tcPr>
            <w:tcW w:w="4419" w:type="dxa"/>
            <w:tcBorders>
              <w:top w:val="nil"/>
              <w:left w:val="nil"/>
              <w:bottom w:val="single" w:sz="4" w:space="0" w:color="auto"/>
              <w:right w:val="single" w:sz="4" w:space="0" w:color="auto"/>
            </w:tcBorders>
            <w:shd w:val="clear" w:color="auto" w:fill="auto"/>
            <w:vAlign w:val="center"/>
            <w:hideMark/>
          </w:tcPr>
          <w:p w14:paraId="28720587" w14:textId="77777777" w:rsidR="008F7A9E" w:rsidRPr="008F7A9E" w:rsidRDefault="008F7A9E" w:rsidP="008F7A9E">
            <w:pPr>
              <w:ind w:firstLineChars="100" w:firstLine="160"/>
              <w:rPr>
                <w:rFonts w:ascii="Arial Narrow" w:hAnsi="Arial Narrow" w:cs="Calibri"/>
                <w:sz w:val="16"/>
                <w:szCs w:val="16"/>
              </w:rPr>
            </w:pPr>
            <w:r w:rsidRPr="008F7A9E">
              <w:rPr>
                <w:rFonts w:ascii="Arial Narrow" w:hAnsi="Arial Narrow" w:cs="Calibri"/>
                <w:sz w:val="16"/>
                <w:szCs w:val="16"/>
              </w:rPr>
              <w:t>Ориз</w:t>
            </w:r>
          </w:p>
        </w:tc>
        <w:tc>
          <w:tcPr>
            <w:tcW w:w="1185" w:type="dxa"/>
            <w:tcBorders>
              <w:top w:val="nil"/>
              <w:left w:val="nil"/>
              <w:bottom w:val="single" w:sz="4" w:space="0" w:color="auto"/>
              <w:right w:val="single" w:sz="4" w:space="0" w:color="auto"/>
            </w:tcBorders>
            <w:shd w:val="clear" w:color="auto" w:fill="auto"/>
            <w:vAlign w:val="center"/>
            <w:hideMark/>
          </w:tcPr>
          <w:p w14:paraId="394AD133" w14:textId="77777777" w:rsidR="008F7A9E" w:rsidRPr="008F7A9E" w:rsidRDefault="008F7A9E" w:rsidP="008F7A9E">
            <w:pPr>
              <w:jc w:val="right"/>
              <w:rPr>
                <w:rFonts w:ascii="Arial Narrow" w:hAnsi="Arial Narrow" w:cs="Calibri"/>
                <w:sz w:val="16"/>
                <w:szCs w:val="16"/>
              </w:rPr>
            </w:pPr>
            <w:r w:rsidRPr="008F7A9E">
              <w:rPr>
                <w:rFonts w:ascii="Arial Narrow" w:hAnsi="Arial Narrow" w:cs="Calibri"/>
                <w:sz w:val="16"/>
                <w:szCs w:val="16"/>
              </w:rPr>
              <w:t>51,3</w:t>
            </w:r>
          </w:p>
        </w:tc>
        <w:tc>
          <w:tcPr>
            <w:tcW w:w="1028" w:type="dxa"/>
            <w:tcBorders>
              <w:top w:val="nil"/>
              <w:left w:val="nil"/>
              <w:bottom w:val="single" w:sz="4" w:space="0" w:color="auto"/>
              <w:right w:val="single" w:sz="4" w:space="0" w:color="auto"/>
            </w:tcBorders>
            <w:shd w:val="clear" w:color="auto" w:fill="auto"/>
            <w:vAlign w:val="center"/>
            <w:hideMark/>
          </w:tcPr>
          <w:p w14:paraId="06485677" w14:textId="77777777" w:rsidR="008F7A9E" w:rsidRPr="008F7A9E" w:rsidRDefault="008F7A9E" w:rsidP="008F7A9E">
            <w:pPr>
              <w:jc w:val="right"/>
              <w:rPr>
                <w:rFonts w:ascii="Arial Narrow" w:hAnsi="Arial Narrow" w:cs="Calibri"/>
                <w:sz w:val="16"/>
                <w:szCs w:val="16"/>
              </w:rPr>
            </w:pPr>
            <w:r w:rsidRPr="008F7A9E">
              <w:rPr>
                <w:rFonts w:ascii="Arial Narrow" w:hAnsi="Arial Narrow" w:cs="Calibri"/>
                <w:sz w:val="16"/>
                <w:szCs w:val="16"/>
              </w:rPr>
              <w:t>56,1</w:t>
            </w:r>
          </w:p>
        </w:tc>
        <w:tc>
          <w:tcPr>
            <w:tcW w:w="1217" w:type="dxa"/>
            <w:tcBorders>
              <w:top w:val="nil"/>
              <w:left w:val="nil"/>
              <w:bottom w:val="single" w:sz="4" w:space="0" w:color="auto"/>
              <w:right w:val="single" w:sz="4" w:space="0" w:color="auto"/>
            </w:tcBorders>
            <w:shd w:val="clear" w:color="auto" w:fill="auto"/>
            <w:vAlign w:val="center"/>
            <w:hideMark/>
          </w:tcPr>
          <w:p w14:paraId="2029CAE8" w14:textId="77777777" w:rsidR="008F7A9E" w:rsidRPr="008F7A9E" w:rsidRDefault="008F7A9E" w:rsidP="008F7A9E">
            <w:pPr>
              <w:jc w:val="right"/>
              <w:rPr>
                <w:rFonts w:ascii="Arial Narrow" w:hAnsi="Arial Narrow" w:cs="Calibri"/>
                <w:sz w:val="16"/>
                <w:szCs w:val="16"/>
              </w:rPr>
            </w:pPr>
            <w:r w:rsidRPr="008F7A9E">
              <w:rPr>
                <w:rFonts w:ascii="Arial Narrow" w:hAnsi="Arial Narrow" w:cs="Calibri"/>
                <w:sz w:val="16"/>
                <w:szCs w:val="16"/>
              </w:rPr>
              <w:t>80,1</w:t>
            </w:r>
          </w:p>
        </w:tc>
        <w:tc>
          <w:tcPr>
            <w:tcW w:w="1075" w:type="dxa"/>
            <w:tcBorders>
              <w:top w:val="nil"/>
              <w:left w:val="nil"/>
              <w:bottom w:val="single" w:sz="4" w:space="0" w:color="auto"/>
              <w:right w:val="single" w:sz="4" w:space="0" w:color="auto"/>
            </w:tcBorders>
            <w:shd w:val="clear" w:color="auto" w:fill="auto"/>
            <w:vAlign w:val="center"/>
            <w:hideMark/>
          </w:tcPr>
          <w:p w14:paraId="7E59D82E" w14:textId="77777777" w:rsidR="008F7A9E" w:rsidRPr="008F7A9E" w:rsidRDefault="008F7A9E" w:rsidP="008F7A9E">
            <w:pPr>
              <w:jc w:val="right"/>
              <w:rPr>
                <w:rFonts w:ascii="Arial Narrow" w:hAnsi="Arial Narrow" w:cs="Calibri"/>
                <w:sz w:val="16"/>
                <w:szCs w:val="16"/>
              </w:rPr>
            </w:pPr>
            <w:r w:rsidRPr="008F7A9E">
              <w:rPr>
                <w:rFonts w:ascii="Arial Narrow" w:hAnsi="Arial Narrow" w:cs="Calibri"/>
                <w:sz w:val="16"/>
                <w:szCs w:val="16"/>
              </w:rPr>
              <w:t>-15,6</w:t>
            </w:r>
          </w:p>
        </w:tc>
        <w:tc>
          <w:tcPr>
            <w:tcW w:w="1233" w:type="dxa"/>
            <w:tcBorders>
              <w:top w:val="nil"/>
              <w:left w:val="nil"/>
              <w:bottom w:val="single" w:sz="4" w:space="0" w:color="auto"/>
              <w:right w:val="single" w:sz="4" w:space="0" w:color="auto"/>
            </w:tcBorders>
            <w:shd w:val="clear" w:color="auto" w:fill="auto"/>
            <w:vAlign w:val="center"/>
            <w:hideMark/>
          </w:tcPr>
          <w:p w14:paraId="57C75BDD" w14:textId="77777777" w:rsidR="008F7A9E" w:rsidRPr="008F7A9E" w:rsidRDefault="008F7A9E" w:rsidP="008F7A9E">
            <w:pPr>
              <w:jc w:val="right"/>
              <w:rPr>
                <w:rFonts w:ascii="Arial Narrow" w:hAnsi="Arial Narrow" w:cs="Calibri"/>
                <w:sz w:val="16"/>
                <w:szCs w:val="16"/>
              </w:rPr>
            </w:pPr>
            <w:r w:rsidRPr="008F7A9E">
              <w:rPr>
                <w:rFonts w:ascii="Arial Narrow" w:hAnsi="Arial Narrow" w:cs="Calibri"/>
                <w:sz w:val="16"/>
                <w:szCs w:val="16"/>
              </w:rPr>
              <w:t>67,6</w:t>
            </w:r>
          </w:p>
        </w:tc>
      </w:tr>
      <w:tr w:rsidR="008F7A9E" w:rsidRPr="00B10684" w14:paraId="53875A13" w14:textId="77777777" w:rsidTr="005A18A5">
        <w:trPr>
          <w:trHeight w:val="251"/>
        </w:trPr>
        <w:tc>
          <w:tcPr>
            <w:tcW w:w="748" w:type="dxa"/>
            <w:tcBorders>
              <w:top w:val="nil"/>
              <w:left w:val="single" w:sz="4" w:space="0" w:color="auto"/>
              <w:bottom w:val="single" w:sz="4" w:space="0" w:color="auto"/>
              <w:right w:val="single" w:sz="4" w:space="0" w:color="auto"/>
            </w:tcBorders>
            <w:shd w:val="clear" w:color="auto" w:fill="auto"/>
            <w:vAlign w:val="center"/>
            <w:hideMark/>
          </w:tcPr>
          <w:p w14:paraId="4DB45800" w14:textId="77777777" w:rsidR="008F7A9E" w:rsidRPr="008F7A9E" w:rsidRDefault="008F7A9E" w:rsidP="008F7A9E">
            <w:pPr>
              <w:rPr>
                <w:rFonts w:ascii="Arial Narrow" w:hAnsi="Arial Narrow" w:cs="Calibri"/>
                <w:sz w:val="16"/>
                <w:szCs w:val="16"/>
              </w:rPr>
            </w:pPr>
            <w:r w:rsidRPr="008F7A9E">
              <w:rPr>
                <w:rFonts w:ascii="Arial Narrow" w:hAnsi="Arial Narrow" w:cs="Calibri"/>
                <w:sz w:val="16"/>
                <w:szCs w:val="16"/>
              </w:rPr>
              <w:t>01.7</w:t>
            </w:r>
          </w:p>
        </w:tc>
        <w:tc>
          <w:tcPr>
            <w:tcW w:w="4419" w:type="dxa"/>
            <w:tcBorders>
              <w:top w:val="nil"/>
              <w:left w:val="nil"/>
              <w:bottom w:val="single" w:sz="4" w:space="0" w:color="auto"/>
              <w:right w:val="single" w:sz="4" w:space="0" w:color="auto"/>
            </w:tcBorders>
            <w:shd w:val="clear" w:color="auto" w:fill="auto"/>
            <w:vAlign w:val="center"/>
            <w:hideMark/>
          </w:tcPr>
          <w:p w14:paraId="1AA0E33A" w14:textId="77777777" w:rsidR="008F7A9E" w:rsidRPr="008F7A9E" w:rsidRDefault="008F7A9E" w:rsidP="008F7A9E">
            <w:pPr>
              <w:ind w:firstLineChars="100" w:firstLine="160"/>
              <w:rPr>
                <w:rFonts w:ascii="Arial Narrow" w:hAnsi="Arial Narrow" w:cs="Calibri"/>
                <w:sz w:val="16"/>
                <w:szCs w:val="16"/>
              </w:rPr>
            </w:pPr>
            <w:r w:rsidRPr="008F7A9E">
              <w:rPr>
                <w:rFonts w:ascii="Arial Narrow" w:hAnsi="Arial Narrow" w:cs="Calibri"/>
                <w:sz w:val="16"/>
                <w:szCs w:val="16"/>
              </w:rPr>
              <w:t>Други зърнени</w:t>
            </w:r>
          </w:p>
        </w:tc>
        <w:tc>
          <w:tcPr>
            <w:tcW w:w="1185" w:type="dxa"/>
            <w:tcBorders>
              <w:top w:val="nil"/>
              <w:left w:val="nil"/>
              <w:bottom w:val="single" w:sz="4" w:space="0" w:color="auto"/>
              <w:right w:val="single" w:sz="4" w:space="0" w:color="auto"/>
            </w:tcBorders>
            <w:shd w:val="clear" w:color="auto" w:fill="auto"/>
            <w:vAlign w:val="center"/>
            <w:hideMark/>
          </w:tcPr>
          <w:p w14:paraId="2939D8C7" w14:textId="77777777" w:rsidR="008F7A9E" w:rsidRPr="008F7A9E" w:rsidRDefault="008F7A9E" w:rsidP="008F7A9E">
            <w:pPr>
              <w:jc w:val="right"/>
              <w:rPr>
                <w:rFonts w:ascii="Arial Narrow" w:hAnsi="Arial Narrow" w:cs="Calibri"/>
                <w:sz w:val="16"/>
                <w:szCs w:val="16"/>
              </w:rPr>
            </w:pPr>
            <w:r w:rsidRPr="008F7A9E">
              <w:rPr>
                <w:rFonts w:ascii="Arial Narrow" w:hAnsi="Arial Narrow" w:cs="Calibri"/>
                <w:sz w:val="16"/>
                <w:szCs w:val="16"/>
              </w:rPr>
              <w:t>31,9</w:t>
            </w:r>
          </w:p>
        </w:tc>
        <w:tc>
          <w:tcPr>
            <w:tcW w:w="1028" w:type="dxa"/>
            <w:tcBorders>
              <w:top w:val="nil"/>
              <w:left w:val="nil"/>
              <w:bottom w:val="single" w:sz="4" w:space="0" w:color="auto"/>
              <w:right w:val="single" w:sz="4" w:space="0" w:color="auto"/>
            </w:tcBorders>
            <w:shd w:val="clear" w:color="auto" w:fill="auto"/>
            <w:vAlign w:val="center"/>
            <w:hideMark/>
          </w:tcPr>
          <w:p w14:paraId="2B3E0051" w14:textId="77777777" w:rsidR="008F7A9E" w:rsidRPr="008F7A9E" w:rsidRDefault="008F7A9E" w:rsidP="008F7A9E">
            <w:pPr>
              <w:jc w:val="right"/>
              <w:rPr>
                <w:rFonts w:ascii="Arial Narrow" w:hAnsi="Arial Narrow" w:cs="Calibri"/>
                <w:sz w:val="16"/>
                <w:szCs w:val="16"/>
              </w:rPr>
            </w:pPr>
            <w:r w:rsidRPr="008F7A9E">
              <w:rPr>
                <w:rFonts w:ascii="Arial Narrow" w:hAnsi="Arial Narrow" w:cs="Calibri"/>
                <w:sz w:val="16"/>
                <w:szCs w:val="16"/>
              </w:rPr>
              <w:t>61,8</w:t>
            </w:r>
          </w:p>
        </w:tc>
        <w:tc>
          <w:tcPr>
            <w:tcW w:w="1217" w:type="dxa"/>
            <w:tcBorders>
              <w:top w:val="nil"/>
              <w:left w:val="nil"/>
              <w:bottom w:val="single" w:sz="4" w:space="0" w:color="auto"/>
              <w:right w:val="single" w:sz="4" w:space="0" w:color="auto"/>
            </w:tcBorders>
            <w:shd w:val="clear" w:color="auto" w:fill="auto"/>
            <w:vAlign w:val="center"/>
            <w:hideMark/>
          </w:tcPr>
          <w:p w14:paraId="049EFBD8" w14:textId="77777777" w:rsidR="008F7A9E" w:rsidRPr="008F7A9E" w:rsidRDefault="008F7A9E" w:rsidP="008F7A9E">
            <w:pPr>
              <w:jc w:val="right"/>
              <w:rPr>
                <w:rFonts w:ascii="Arial Narrow" w:hAnsi="Arial Narrow" w:cs="Calibri"/>
                <w:sz w:val="16"/>
                <w:szCs w:val="16"/>
              </w:rPr>
            </w:pPr>
            <w:r w:rsidRPr="008F7A9E">
              <w:rPr>
                <w:rFonts w:ascii="Arial Narrow" w:hAnsi="Arial Narrow" w:cs="Calibri"/>
                <w:sz w:val="16"/>
                <w:szCs w:val="16"/>
              </w:rPr>
              <w:t>51,6</w:t>
            </w:r>
          </w:p>
        </w:tc>
        <w:tc>
          <w:tcPr>
            <w:tcW w:w="1075" w:type="dxa"/>
            <w:tcBorders>
              <w:top w:val="nil"/>
              <w:left w:val="nil"/>
              <w:bottom w:val="single" w:sz="4" w:space="0" w:color="auto"/>
              <w:right w:val="single" w:sz="4" w:space="0" w:color="auto"/>
            </w:tcBorders>
            <w:shd w:val="clear" w:color="auto" w:fill="auto"/>
            <w:vAlign w:val="center"/>
            <w:hideMark/>
          </w:tcPr>
          <w:p w14:paraId="62304DD5" w14:textId="77777777" w:rsidR="008F7A9E" w:rsidRPr="008F7A9E" w:rsidRDefault="008F7A9E" w:rsidP="008F7A9E">
            <w:pPr>
              <w:jc w:val="right"/>
              <w:rPr>
                <w:rFonts w:ascii="Arial Narrow" w:hAnsi="Arial Narrow" w:cs="Calibri"/>
                <w:sz w:val="16"/>
                <w:szCs w:val="16"/>
              </w:rPr>
            </w:pPr>
            <w:r w:rsidRPr="008F7A9E">
              <w:rPr>
                <w:rFonts w:ascii="Arial Narrow" w:hAnsi="Arial Narrow" w:cs="Calibri"/>
                <w:sz w:val="16"/>
                <w:szCs w:val="16"/>
              </w:rPr>
              <w:t>-43,0</w:t>
            </w:r>
          </w:p>
        </w:tc>
        <w:tc>
          <w:tcPr>
            <w:tcW w:w="1233" w:type="dxa"/>
            <w:tcBorders>
              <w:top w:val="nil"/>
              <w:left w:val="nil"/>
              <w:bottom w:val="single" w:sz="4" w:space="0" w:color="auto"/>
              <w:right w:val="single" w:sz="4" w:space="0" w:color="auto"/>
            </w:tcBorders>
            <w:shd w:val="clear" w:color="auto" w:fill="auto"/>
            <w:vAlign w:val="center"/>
            <w:hideMark/>
          </w:tcPr>
          <w:p w14:paraId="7226BF57" w14:textId="77777777" w:rsidR="008F7A9E" w:rsidRPr="008F7A9E" w:rsidRDefault="008F7A9E" w:rsidP="008F7A9E">
            <w:pPr>
              <w:jc w:val="right"/>
              <w:rPr>
                <w:rFonts w:ascii="Arial Narrow" w:hAnsi="Arial Narrow" w:cs="Calibri"/>
                <w:sz w:val="16"/>
                <w:szCs w:val="16"/>
              </w:rPr>
            </w:pPr>
            <w:r w:rsidRPr="008F7A9E">
              <w:rPr>
                <w:rFonts w:ascii="Arial Narrow" w:hAnsi="Arial Narrow" w:cs="Calibri"/>
                <w:sz w:val="16"/>
                <w:szCs w:val="16"/>
              </w:rPr>
              <w:t>29,4</w:t>
            </w:r>
          </w:p>
        </w:tc>
      </w:tr>
      <w:tr w:rsidR="008F7A9E" w:rsidRPr="00B10684" w14:paraId="25F6D551" w14:textId="77777777" w:rsidTr="005A18A5">
        <w:trPr>
          <w:trHeight w:val="251"/>
        </w:trPr>
        <w:tc>
          <w:tcPr>
            <w:tcW w:w="748" w:type="dxa"/>
            <w:tcBorders>
              <w:top w:val="nil"/>
              <w:left w:val="single" w:sz="4" w:space="0" w:color="auto"/>
              <w:bottom w:val="single" w:sz="4" w:space="0" w:color="auto"/>
              <w:right w:val="single" w:sz="4" w:space="0" w:color="auto"/>
            </w:tcBorders>
            <w:shd w:val="clear" w:color="auto" w:fill="auto"/>
            <w:vAlign w:val="center"/>
            <w:hideMark/>
          </w:tcPr>
          <w:p w14:paraId="0A977348" w14:textId="77777777" w:rsidR="008F7A9E" w:rsidRPr="008F7A9E" w:rsidRDefault="008F7A9E" w:rsidP="008F7A9E">
            <w:pPr>
              <w:rPr>
                <w:rFonts w:ascii="Arial Narrow" w:hAnsi="Arial Narrow" w:cs="Calibri"/>
                <w:sz w:val="16"/>
                <w:szCs w:val="16"/>
              </w:rPr>
            </w:pPr>
            <w:r w:rsidRPr="008F7A9E">
              <w:rPr>
                <w:rFonts w:ascii="Arial Narrow" w:hAnsi="Arial Narrow" w:cs="Calibri"/>
                <w:sz w:val="16"/>
                <w:szCs w:val="16"/>
              </w:rPr>
              <w:t>02</w:t>
            </w:r>
          </w:p>
        </w:tc>
        <w:tc>
          <w:tcPr>
            <w:tcW w:w="4419" w:type="dxa"/>
            <w:tcBorders>
              <w:top w:val="nil"/>
              <w:left w:val="nil"/>
              <w:bottom w:val="single" w:sz="4" w:space="0" w:color="auto"/>
              <w:right w:val="single" w:sz="4" w:space="0" w:color="auto"/>
            </w:tcBorders>
            <w:shd w:val="clear" w:color="auto" w:fill="auto"/>
            <w:vAlign w:val="center"/>
            <w:hideMark/>
          </w:tcPr>
          <w:p w14:paraId="6F2E459A" w14:textId="77777777" w:rsidR="008F7A9E" w:rsidRPr="008F7A9E" w:rsidRDefault="008F7A9E" w:rsidP="008F7A9E">
            <w:pPr>
              <w:rPr>
                <w:rFonts w:ascii="Arial Narrow" w:hAnsi="Arial Narrow" w:cs="Calibri"/>
                <w:sz w:val="16"/>
                <w:szCs w:val="16"/>
              </w:rPr>
            </w:pPr>
            <w:r w:rsidRPr="008F7A9E">
              <w:rPr>
                <w:rFonts w:ascii="Arial Narrow" w:hAnsi="Arial Narrow" w:cs="Calibri"/>
                <w:sz w:val="16"/>
                <w:szCs w:val="16"/>
              </w:rPr>
              <w:t>Технически култури</w:t>
            </w:r>
          </w:p>
        </w:tc>
        <w:tc>
          <w:tcPr>
            <w:tcW w:w="1185" w:type="dxa"/>
            <w:tcBorders>
              <w:top w:val="nil"/>
              <w:left w:val="nil"/>
              <w:bottom w:val="single" w:sz="4" w:space="0" w:color="auto"/>
              <w:right w:val="single" w:sz="4" w:space="0" w:color="auto"/>
            </w:tcBorders>
            <w:shd w:val="clear" w:color="auto" w:fill="auto"/>
            <w:vAlign w:val="center"/>
            <w:hideMark/>
          </w:tcPr>
          <w:p w14:paraId="5D312AD7" w14:textId="77777777" w:rsidR="008F7A9E" w:rsidRPr="008F7A9E" w:rsidRDefault="008F7A9E" w:rsidP="008F7A9E">
            <w:pPr>
              <w:jc w:val="right"/>
              <w:rPr>
                <w:rFonts w:ascii="Arial Narrow" w:hAnsi="Arial Narrow" w:cs="Calibri"/>
                <w:sz w:val="16"/>
                <w:szCs w:val="16"/>
              </w:rPr>
            </w:pPr>
            <w:r w:rsidRPr="008F7A9E">
              <w:rPr>
                <w:rFonts w:ascii="Arial Narrow" w:hAnsi="Arial Narrow" w:cs="Calibri"/>
                <w:sz w:val="16"/>
                <w:szCs w:val="16"/>
              </w:rPr>
              <w:t>2 971,0</w:t>
            </w:r>
          </w:p>
        </w:tc>
        <w:tc>
          <w:tcPr>
            <w:tcW w:w="1028" w:type="dxa"/>
            <w:tcBorders>
              <w:top w:val="nil"/>
              <w:left w:val="nil"/>
              <w:bottom w:val="single" w:sz="4" w:space="0" w:color="auto"/>
              <w:right w:val="single" w:sz="4" w:space="0" w:color="auto"/>
            </w:tcBorders>
            <w:shd w:val="clear" w:color="auto" w:fill="auto"/>
            <w:vAlign w:val="center"/>
            <w:hideMark/>
          </w:tcPr>
          <w:p w14:paraId="42456AB9" w14:textId="77777777" w:rsidR="008F7A9E" w:rsidRPr="008F7A9E" w:rsidRDefault="008F7A9E" w:rsidP="008F7A9E">
            <w:pPr>
              <w:jc w:val="right"/>
              <w:rPr>
                <w:rFonts w:ascii="Arial Narrow" w:hAnsi="Arial Narrow" w:cs="Calibri"/>
                <w:sz w:val="16"/>
                <w:szCs w:val="16"/>
              </w:rPr>
            </w:pPr>
            <w:r w:rsidRPr="008F7A9E">
              <w:rPr>
                <w:rFonts w:ascii="Arial Narrow" w:hAnsi="Arial Narrow" w:cs="Calibri"/>
                <w:sz w:val="16"/>
                <w:szCs w:val="16"/>
              </w:rPr>
              <w:t>-40,0</w:t>
            </w:r>
          </w:p>
        </w:tc>
        <w:tc>
          <w:tcPr>
            <w:tcW w:w="1217" w:type="dxa"/>
            <w:tcBorders>
              <w:top w:val="nil"/>
              <w:left w:val="nil"/>
              <w:bottom w:val="single" w:sz="4" w:space="0" w:color="auto"/>
              <w:right w:val="single" w:sz="4" w:space="0" w:color="auto"/>
            </w:tcBorders>
            <w:shd w:val="clear" w:color="auto" w:fill="auto"/>
            <w:vAlign w:val="center"/>
            <w:hideMark/>
          </w:tcPr>
          <w:p w14:paraId="7C1C1544" w14:textId="77777777" w:rsidR="008F7A9E" w:rsidRPr="008F7A9E" w:rsidRDefault="008F7A9E" w:rsidP="008F7A9E">
            <w:pPr>
              <w:jc w:val="right"/>
              <w:rPr>
                <w:rFonts w:ascii="Arial Narrow" w:hAnsi="Arial Narrow" w:cs="Calibri"/>
                <w:sz w:val="16"/>
                <w:szCs w:val="16"/>
              </w:rPr>
            </w:pPr>
            <w:r w:rsidRPr="008F7A9E">
              <w:rPr>
                <w:rFonts w:ascii="Arial Narrow" w:hAnsi="Arial Narrow" w:cs="Calibri"/>
                <w:sz w:val="16"/>
                <w:szCs w:val="16"/>
              </w:rPr>
              <w:t>1 783,8</w:t>
            </w:r>
          </w:p>
        </w:tc>
        <w:tc>
          <w:tcPr>
            <w:tcW w:w="1075" w:type="dxa"/>
            <w:tcBorders>
              <w:top w:val="nil"/>
              <w:left w:val="nil"/>
              <w:bottom w:val="single" w:sz="4" w:space="0" w:color="auto"/>
              <w:right w:val="single" w:sz="4" w:space="0" w:color="auto"/>
            </w:tcBorders>
            <w:shd w:val="clear" w:color="auto" w:fill="auto"/>
            <w:vAlign w:val="center"/>
            <w:hideMark/>
          </w:tcPr>
          <w:p w14:paraId="5C68DEA4" w14:textId="77777777" w:rsidR="008F7A9E" w:rsidRPr="008F7A9E" w:rsidRDefault="008F7A9E" w:rsidP="008F7A9E">
            <w:pPr>
              <w:jc w:val="right"/>
              <w:rPr>
                <w:rFonts w:ascii="Arial Narrow" w:hAnsi="Arial Narrow" w:cs="Calibri"/>
                <w:sz w:val="16"/>
                <w:szCs w:val="16"/>
              </w:rPr>
            </w:pPr>
            <w:r w:rsidRPr="008F7A9E">
              <w:rPr>
                <w:rFonts w:ascii="Arial Narrow" w:hAnsi="Arial Narrow" w:cs="Calibri"/>
                <w:sz w:val="16"/>
                <w:szCs w:val="16"/>
              </w:rPr>
              <w:t>-1,4</w:t>
            </w:r>
          </w:p>
        </w:tc>
        <w:tc>
          <w:tcPr>
            <w:tcW w:w="1233" w:type="dxa"/>
            <w:tcBorders>
              <w:top w:val="nil"/>
              <w:left w:val="nil"/>
              <w:bottom w:val="single" w:sz="4" w:space="0" w:color="auto"/>
              <w:right w:val="single" w:sz="4" w:space="0" w:color="auto"/>
            </w:tcBorders>
            <w:shd w:val="clear" w:color="auto" w:fill="auto"/>
            <w:vAlign w:val="center"/>
            <w:hideMark/>
          </w:tcPr>
          <w:p w14:paraId="3E322D0B" w14:textId="77777777" w:rsidR="008F7A9E" w:rsidRPr="008F7A9E" w:rsidRDefault="008F7A9E" w:rsidP="008F7A9E">
            <w:pPr>
              <w:jc w:val="right"/>
              <w:rPr>
                <w:rFonts w:ascii="Arial Narrow" w:hAnsi="Arial Narrow" w:cs="Calibri"/>
                <w:sz w:val="16"/>
                <w:szCs w:val="16"/>
              </w:rPr>
            </w:pPr>
            <w:r w:rsidRPr="008F7A9E">
              <w:rPr>
                <w:rFonts w:ascii="Arial Narrow" w:hAnsi="Arial Narrow" w:cs="Calibri"/>
                <w:sz w:val="16"/>
                <w:szCs w:val="16"/>
              </w:rPr>
              <w:t>1 758,0</w:t>
            </w:r>
          </w:p>
        </w:tc>
      </w:tr>
      <w:tr w:rsidR="008F7A9E" w:rsidRPr="00B10684" w14:paraId="68958283" w14:textId="77777777" w:rsidTr="005A18A5">
        <w:trPr>
          <w:trHeight w:val="251"/>
        </w:trPr>
        <w:tc>
          <w:tcPr>
            <w:tcW w:w="748" w:type="dxa"/>
            <w:tcBorders>
              <w:top w:val="nil"/>
              <w:left w:val="single" w:sz="4" w:space="0" w:color="auto"/>
              <w:bottom w:val="single" w:sz="4" w:space="0" w:color="auto"/>
              <w:right w:val="single" w:sz="4" w:space="0" w:color="auto"/>
            </w:tcBorders>
            <w:shd w:val="clear" w:color="auto" w:fill="auto"/>
            <w:vAlign w:val="center"/>
            <w:hideMark/>
          </w:tcPr>
          <w:p w14:paraId="0962417F" w14:textId="77777777" w:rsidR="008F7A9E" w:rsidRPr="008F7A9E" w:rsidRDefault="008F7A9E" w:rsidP="008F7A9E">
            <w:pPr>
              <w:rPr>
                <w:rFonts w:ascii="Arial Narrow" w:hAnsi="Arial Narrow" w:cs="Calibri"/>
                <w:sz w:val="16"/>
                <w:szCs w:val="16"/>
              </w:rPr>
            </w:pPr>
            <w:r w:rsidRPr="008F7A9E">
              <w:rPr>
                <w:rFonts w:ascii="Arial Narrow" w:hAnsi="Arial Narrow" w:cs="Calibri"/>
                <w:sz w:val="16"/>
                <w:szCs w:val="16"/>
              </w:rPr>
              <w:t>02.1</w:t>
            </w:r>
          </w:p>
        </w:tc>
        <w:tc>
          <w:tcPr>
            <w:tcW w:w="4419" w:type="dxa"/>
            <w:tcBorders>
              <w:top w:val="nil"/>
              <w:left w:val="nil"/>
              <w:bottom w:val="single" w:sz="4" w:space="0" w:color="auto"/>
              <w:right w:val="single" w:sz="4" w:space="0" w:color="auto"/>
            </w:tcBorders>
            <w:shd w:val="clear" w:color="auto" w:fill="auto"/>
            <w:vAlign w:val="center"/>
            <w:hideMark/>
          </w:tcPr>
          <w:p w14:paraId="19775A0A" w14:textId="77777777" w:rsidR="008F7A9E" w:rsidRPr="008F7A9E" w:rsidRDefault="008F7A9E" w:rsidP="008F7A9E">
            <w:pPr>
              <w:ind w:firstLineChars="100" w:firstLine="160"/>
              <w:rPr>
                <w:rFonts w:ascii="Arial Narrow" w:hAnsi="Arial Narrow" w:cs="Calibri"/>
                <w:sz w:val="16"/>
                <w:szCs w:val="16"/>
              </w:rPr>
            </w:pPr>
            <w:r w:rsidRPr="008F7A9E">
              <w:rPr>
                <w:rFonts w:ascii="Arial Narrow" w:hAnsi="Arial Narrow" w:cs="Calibri"/>
                <w:sz w:val="16"/>
                <w:szCs w:val="16"/>
              </w:rPr>
              <w:t>Маслодайни семена</w:t>
            </w:r>
          </w:p>
        </w:tc>
        <w:tc>
          <w:tcPr>
            <w:tcW w:w="1185" w:type="dxa"/>
            <w:tcBorders>
              <w:top w:val="nil"/>
              <w:left w:val="nil"/>
              <w:bottom w:val="single" w:sz="4" w:space="0" w:color="auto"/>
              <w:right w:val="single" w:sz="4" w:space="0" w:color="auto"/>
            </w:tcBorders>
            <w:shd w:val="clear" w:color="auto" w:fill="auto"/>
            <w:vAlign w:val="center"/>
            <w:hideMark/>
          </w:tcPr>
          <w:p w14:paraId="12C5EE41" w14:textId="77777777" w:rsidR="008F7A9E" w:rsidRPr="008F7A9E" w:rsidRDefault="008F7A9E" w:rsidP="008F7A9E">
            <w:pPr>
              <w:jc w:val="right"/>
              <w:rPr>
                <w:rFonts w:ascii="Arial Narrow" w:hAnsi="Arial Narrow" w:cs="Calibri"/>
                <w:sz w:val="16"/>
                <w:szCs w:val="16"/>
              </w:rPr>
            </w:pPr>
            <w:r w:rsidRPr="008F7A9E">
              <w:rPr>
                <w:rFonts w:ascii="Arial Narrow" w:hAnsi="Arial Narrow" w:cs="Calibri"/>
                <w:sz w:val="16"/>
                <w:szCs w:val="16"/>
              </w:rPr>
              <w:t>2 754,2</w:t>
            </w:r>
          </w:p>
        </w:tc>
        <w:tc>
          <w:tcPr>
            <w:tcW w:w="1028" w:type="dxa"/>
            <w:tcBorders>
              <w:top w:val="nil"/>
              <w:left w:val="nil"/>
              <w:bottom w:val="single" w:sz="4" w:space="0" w:color="auto"/>
              <w:right w:val="single" w:sz="4" w:space="0" w:color="auto"/>
            </w:tcBorders>
            <w:shd w:val="clear" w:color="auto" w:fill="auto"/>
            <w:vAlign w:val="center"/>
            <w:hideMark/>
          </w:tcPr>
          <w:p w14:paraId="4E51E511" w14:textId="77777777" w:rsidR="008F7A9E" w:rsidRPr="008F7A9E" w:rsidRDefault="008F7A9E" w:rsidP="008F7A9E">
            <w:pPr>
              <w:jc w:val="right"/>
              <w:rPr>
                <w:rFonts w:ascii="Arial Narrow" w:hAnsi="Arial Narrow" w:cs="Calibri"/>
                <w:sz w:val="16"/>
                <w:szCs w:val="16"/>
              </w:rPr>
            </w:pPr>
            <w:r w:rsidRPr="008F7A9E">
              <w:rPr>
                <w:rFonts w:ascii="Arial Narrow" w:hAnsi="Arial Narrow" w:cs="Calibri"/>
                <w:sz w:val="16"/>
                <w:szCs w:val="16"/>
              </w:rPr>
              <w:t>-42,3</w:t>
            </w:r>
          </w:p>
        </w:tc>
        <w:tc>
          <w:tcPr>
            <w:tcW w:w="1217" w:type="dxa"/>
            <w:tcBorders>
              <w:top w:val="nil"/>
              <w:left w:val="nil"/>
              <w:bottom w:val="single" w:sz="4" w:space="0" w:color="auto"/>
              <w:right w:val="single" w:sz="4" w:space="0" w:color="auto"/>
            </w:tcBorders>
            <w:shd w:val="clear" w:color="auto" w:fill="auto"/>
            <w:vAlign w:val="center"/>
            <w:hideMark/>
          </w:tcPr>
          <w:p w14:paraId="36CD9285" w14:textId="77777777" w:rsidR="008F7A9E" w:rsidRPr="008F7A9E" w:rsidRDefault="008F7A9E" w:rsidP="008F7A9E">
            <w:pPr>
              <w:jc w:val="right"/>
              <w:rPr>
                <w:rFonts w:ascii="Arial Narrow" w:hAnsi="Arial Narrow" w:cs="Calibri"/>
                <w:sz w:val="16"/>
                <w:szCs w:val="16"/>
              </w:rPr>
            </w:pPr>
            <w:r w:rsidRPr="008F7A9E">
              <w:rPr>
                <w:rFonts w:ascii="Arial Narrow" w:hAnsi="Arial Narrow" w:cs="Calibri"/>
                <w:sz w:val="16"/>
                <w:szCs w:val="16"/>
              </w:rPr>
              <w:t>1 589,6</w:t>
            </w:r>
          </w:p>
        </w:tc>
        <w:tc>
          <w:tcPr>
            <w:tcW w:w="1075" w:type="dxa"/>
            <w:tcBorders>
              <w:top w:val="nil"/>
              <w:left w:val="nil"/>
              <w:bottom w:val="single" w:sz="4" w:space="0" w:color="auto"/>
              <w:right w:val="single" w:sz="4" w:space="0" w:color="auto"/>
            </w:tcBorders>
            <w:shd w:val="clear" w:color="auto" w:fill="auto"/>
            <w:vAlign w:val="center"/>
            <w:hideMark/>
          </w:tcPr>
          <w:p w14:paraId="077ACDE3" w14:textId="77777777" w:rsidR="008F7A9E" w:rsidRPr="008F7A9E" w:rsidRDefault="008F7A9E" w:rsidP="008F7A9E">
            <w:pPr>
              <w:jc w:val="right"/>
              <w:rPr>
                <w:rFonts w:ascii="Arial Narrow" w:hAnsi="Arial Narrow" w:cs="Calibri"/>
                <w:sz w:val="16"/>
                <w:szCs w:val="16"/>
              </w:rPr>
            </w:pPr>
            <w:r w:rsidRPr="008F7A9E">
              <w:rPr>
                <w:rFonts w:ascii="Arial Narrow" w:hAnsi="Arial Narrow" w:cs="Calibri"/>
                <w:sz w:val="16"/>
                <w:szCs w:val="16"/>
              </w:rPr>
              <w:t>-2,6</w:t>
            </w:r>
          </w:p>
        </w:tc>
        <w:tc>
          <w:tcPr>
            <w:tcW w:w="1233" w:type="dxa"/>
            <w:tcBorders>
              <w:top w:val="nil"/>
              <w:left w:val="nil"/>
              <w:bottom w:val="single" w:sz="4" w:space="0" w:color="auto"/>
              <w:right w:val="single" w:sz="4" w:space="0" w:color="auto"/>
            </w:tcBorders>
            <w:shd w:val="clear" w:color="auto" w:fill="auto"/>
            <w:vAlign w:val="center"/>
            <w:hideMark/>
          </w:tcPr>
          <w:p w14:paraId="0D394194" w14:textId="77777777" w:rsidR="008F7A9E" w:rsidRPr="008F7A9E" w:rsidRDefault="008F7A9E" w:rsidP="008F7A9E">
            <w:pPr>
              <w:jc w:val="right"/>
              <w:rPr>
                <w:rFonts w:ascii="Arial Narrow" w:hAnsi="Arial Narrow" w:cs="Calibri"/>
                <w:sz w:val="16"/>
                <w:szCs w:val="16"/>
              </w:rPr>
            </w:pPr>
            <w:r w:rsidRPr="008F7A9E">
              <w:rPr>
                <w:rFonts w:ascii="Arial Narrow" w:hAnsi="Arial Narrow" w:cs="Calibri"/>
                <w:sz w:val="16"/>
                <w:szCs w:val="16"/>
              </w:rPr>
              <w:t>1 547,9</w:t>
            </w:r>
          </w:p>
        </w:tc>
      </w:tr>
      <w:tr w:rsidR="008F7A9E" w:rsidRPr="00B10684" w14:paraId="28D0A3E5" w14:textId="77777777" w:rsidTr="005A18A5">
        <w:trPr>
          <w:trHeight w:val="251"/>
        </w:trPr>
        <w:tc>
          <w:tcPr>
            <w:tcW w:w="748" w:type="dxa"/>
            <w:tcBorders>
              <w:top w:val="nil"/>
              <w:left w:val="single" w:sz="4" w:space="0" w:color="auto"/>
              <w:bottom w:val="single" w:sz="4" w:space="0" w:color="auto"/>
              <w:right w:val="single" w:sz="4" w:space="0" w:color="auto"/>
            </w:tcBorders>
            <w:shd w:val="clear" w:color="auto" w:fill="auto"/>
            <w:vAlign w:val="center"/>
            <w:hideMark/>
          </w:tcPr>
          <w:p w14:paraId="4ABCBAD3" w14:textId="77777777" w:rsidR="008F7A9E" w:rsidRPr="008F7A9E" w:rsidRDefault="008F7A9E" w:rsidP="008F7A9E">
            <w:pPr>
              <w:rPr>
                <w:rFonts w:ascii="Arial Narrow" w:hAnsi="Arial Narrow" w:cs="Calibri"/>
                <w:sz w:val="16"/>
                <w:szCs w:val="16"/>
              </w:rPr>
            </w:pPr>
            <w:r w:rsidRPr="008F7A9E">
              <w:rPr>
                <w:rFonts w:ascii="Arial Narrow" w:hAnsi="Arial Narrow" w:cs="Calibri"/>
                <w:sz w:val="16"/>
                <w:szCs w:val="16"/>
              </w:rPr>
              <w:t>02.1/1</w:t>
            </w:r>
          </w:p>
        </w:tc>
        <w:tc>
          <w:tcPr>
            <w:tcW w:w="4419" w:type="dxa"/>
            <w:tcBorders>
              <w:top w:val="nil"/>
              <w:left w:val="nil"/>
              <w:bottom w:val="single" w:sz="4" w:space="0" w:color="auto"/>
              <w:right w:val="single" w:sz="4" w:space="0" w:color="auto"/>
            </w:tcBorders>
            <w:shd w:val="clear" w:color="auto" w:fill="auto"/>
            <w:vAlign w:val="center"/>
            <w:hideMark/>
          </w:tcPr>
          <w:p w14:paraId="45580552" w14:textId="77777777" w:rsidR="008F7A9E" w:rsidRPr="008F7A9E" w:rsidRDefault="008F7A9E" w:rsidP="008F7A9E">
            <w:pPr>
              <w:ind w:firstLineChars="200" w:firstLine="320"/>
              <w:rPr>
                <w:rFonts w:ascii="Arial Narrow" w:hAnsi="Arial Narrow" w:cs="Calibri"/>
                <w:sz w:val="16"/>
                <w:szCs w:val="16"/>
              </w:rPr>
            </w:pPr>
            <w:r w:rsidRPr="008F7A9E">
              <w:rPr>
                <w:rFonts w:ascii="Arial Narrow" w:hAnsi="Arial Narrow" w:cs="Calibri"/>
                <w:sz w:val="16"/>
                <w:szCs w:val="16"/>
              </w:rPr>
              <w:t>Рапица и репица</w:t>
            </w:r>
          </w:p>
        </w:tc>
        <w:tc>
          <w:tcPr>
            <w:tcW w:w="1185" w:type="dxa"/>
            <w:tcBorders>
              <w:top w:val="nil"/>
              <w:left w:val="nil"/>
              <w:bottom w:val="single" w:sz="4" w:space="0" w:color="auto"/>
              <w:right w:val="single" w:sz="4" w:space="0" w:color="auto"/>
            </w:tcBorders>
            <w:shd w:val="clear" w:color="auto" w:fill="auto"/>
            <w:vAlign w:val="center"/>
            <w:hideMark/>
          </w:tcPr>
          <w:p w14:paraId="5CD0FE5E" w14:textId="77777777" w:rsidR="008F7A9E" w:rsidRPr="008F7A9E" w:rsidRDefault="008F7A9E" w:rsidP="008F7A9E">
            <w:pPr>
              <w:jc w:val="right"/>
              <w:rPr>
                <w:rFonts w:ascii="Arial Narrow" w:hAnsi="Arial Narrow" w:cs="Calibri"/>
                <w:sz w:val="16"/>
                <w:szCs w:val="16"/>
              </w:rPr>
            </w:pPr>
            <w:r w:rsidRPr="008F7A9E">
              <w:rPr>
                <w:rFonts w:ascii="Arial Narrow" w:hAnsi="Arial Narrow" w:cs="Calibri"/>
                <w:sz w:val="16"/>
                <w:szCs w:val="16"/>
              </w:rPr>
              <w:t>316,3</w:t>
            </w:r>
          </w:p>
        </w:tc>
        <w:tc>
          <w:tcPr>
            <w:tcW w:w="1028" w:type="dxa"/>
            <w:tcBorders>
              <w:top w:val="nil"/>
              <w:left w:val="nil"/>
              <w:bottom w:val="single" w:sz="4" w:space="0" w:color="auto"/>
              <w:right w:val="single" w:sz="4" w:space="0" w:color="auto"/>
            </w:tcBorders>
            <w:shd w:val="clear" w:color="auto" w:fill="auto"/>
            <w:vAlign w:val="center"/>
            <w:hideMark/>
          </w:tcPr>
          <w:p w14:paraId="58BB4559" w14:textId="77777777" w:rsidR="008F7A9E" w:rsidRPr="008F7A9E" w:rsidRDefault="008F7A9E" w:rsidP="008F7A9E">
            <w:pPr>
              <w:jc w:val="right"/>
              <w:rPr>
                <w:rFonts w:ascii="Arial Narrow" w:hAnsi="Arial Narrow" w:cs="Calibri"/>
                <w:sz w:val="16"/>
                <w:szCs w:val="16"/>
              </w:rPr>
            </w:pPr>
            <w:r w:rsidRPr="008F7A9E">
              <w:rPr>
                <w:rFonts w:ascii="Arial Narrow" w:hAnsi="Arial Narrow" w:cs="Calibri"/>
                <w:sz w:val="16"/>
                <w:szCs w:val="16"/>
              </w:rPr>
              <w:t>-50,1</w:t>
            </w:r>
          </w:p>
        </w:tc>
        <w:tc>
          <w:tcPr>
            <w:tcW w:w="1217" w:type="dxa"/>
            <w:tcBorders>
              <w:top w:val="nil"/>
              <w:left w:val="nil"/>
              <w:bottom w:val="single" w:sz="4" w:space="0" w:color="auto"/>
              <w:right w:val="single" w:sz="4" w:space="0" w:color="auto"/>
            </w:tcBorders>
            <w:shd w:val="clear" w:color="auto" w:fill="auto"/>
            <w:vAlign w:val="center"/>
            <w:hideMark/>
          </w:tcPr>
          <w:p w14:paraId="23604212" w14:textId="77777777" w:rsidR="008F7A9E" w:rsidRPr="008F7A9E" w:rsidRDefault="008F7A9E" w:rsidP="008F7A9E">
            <w:pPr>
              <w:jc w:val="right"/>
              <w:rPr>
                <w:rFonts w:ascii="Arial Narrow" w:hAnsi="Arial Narrow" w:cs="Calibri"/>
                <w:sz w:val="16"/>
                <w:szCs w:val="16"/>
              </w:rPr>
            </w:pPr>
            <w:r w:rsidRPr="008F7A9E">
              <w:rPr>
                <w:rFonts w:ascii="Arial Narrow" w:hAnsi="Arial Narrow" w:cs="Calibri"/>
                <w:sz w:val="16"/>
                <w:szCs w:val="16"/>
              </w:rPr>
              <w:t>157,8</w:t>
            </w:r>
          </w:p>
        </w:tc>
        <w:tc>
          <w:tcPr>
            <w:tcW w:w="1075" w:type="dxa"/>
            <w:tcBorders>
              <w:top w:val="nil"/>
              <w:left w:val="nil"/>
              <w:bottom w:val="single" w:sz="4" w:space="0" w:color="auto"/>
              <w:right w:val="single" w:sz="4" w:space="0" w:color="auto"/>
            </w:tcBorders>
            <w:shd w:val="clear" w:color="auto" w:fill="auto"/>
            <w:vAlign w:val="center"/>
            <w:hideMark/>
          </w:tcPr>
          <w:p w14:paraId="3ED3851B" w14:textId="77777777" w:rsidR="008F7A9E" w:rsidRPr="008F7A9E" w:rsidRDefault="008F7A9E" w:rsidP="008F7A9E">
            <w:pPr>
              <w:jc w:val="right"/>
              <w:rPr>
                <w:rFonts w:ascii="Arial Narrow" w:hAnsi="Arial Narrow" w:cs="Calibri"/>
                <w:sz w:val="16"/>
                <w:szCs w:val="16"/>
              </w:rPr>
            </w:pPr>
            <w:r w:rsidRPr="008F7A9E">
              <w:rPr>
                <w:rFonts w:ascii="Arial Narrow" w:hAnsi="Arial Narrow" w:cs="Calibri"/>
                <w:sz w:val="16"/>
                <w:szCs w:val="16"/>
              </w:rPr>
              <w:t>-14,1</w:t>
            </w:r>
          </w:p>
        </w:tc>
        <w:tc>
          <w:tcPr>
            <w:tcW w:w="1233" w:type="dxa"/>
            <w:tcBorders>
              <w:top w:val="nil"/>
              <w:left w:val="nil"/>
              <w:bottom w:val="single" w:sz="4" w:space="0" w:color="auto"/>
              <w:right w:val="single" w:sz="4" w:space="0" w:color="auto"/>
            </w:tcBorders>
            <w:shd w:val="clear" w:color="auto" w:fill="auto"/>
            <w:vAlign w:val="center"/>
            <w:hideMark/>
          </w:tcPr>
          <w:p w14:paraId="53A62B1C" w14:textId="77777777" w:rsidR="008F7A9E" w:rsidRPr="008F7A9E" w:rsidRDefault="008F7A9E" w:rsidP="008F7A9E">
            <w:pPr>
              <w:jc w:val="right"/>
              <w:rPr>
                <w:rFonts w:ascii="Arial Narrow" w:hAnsi="Arial Narrow" w:cs="Calibri"/>
                <w:sz w:val="16"/>
                <w:szCs w:val="16"/>
              </w:rPr>
            </w:pPr>
            <w:r w:rsidRPr="008F7A9E">
              <w:rPr>
                <w:rFonts w:ascii="Arial Narrow" w:hAnsi="Arial Narrow" w:cs="Calibri"/>
                <w:sz w:val="16"/>
                <w:szCs w:val="16"/>
              </w:rPr>
              <w:t>135,6</w:t>
            </w:r>
          </w:p>
        </w:tc>
      </w:tr>
      <w:tr w:rsidR="008F7A9E" w:rsidRPr="00B10684" w14:paraId="70229284" w14:textId="77777777" w:rsidTr="005A18A5">
        <w:trPr>
          <w:trHeight w:val="251"/>
        </w:trPr>
        <w:tc>
          <w:tcPr>
            <w:tcW w:w="748" w:type="dxa"/>
            <w:tcBorders>
              <w:top w:val="nil"/>
              <w:left w:val="single" w:sz="4" w:space="0" w:color="auto"/>
              <w:bottom w:val="single" w:sz="4" w:space="0" w:color="auto"/>
              <w:right w:val="single" w:sz="4" w:space="0" w:color="auto"/>
            </w:tcBorders>
            <w:shd w:val="clear" w:color="auto" w:fill="auto"/>
            <w:vAlign w:val="center"/>
            <w:hideMark/>
          </w:tcPr>
          <w:p w14:paraId="672C500C" w14:textId="77777777" w:rsidR="008F7A9E" w:rsidRPr="008F7A9E" w:rsidRDefault="008F7A9E" w:rsidP="008F7A9E">
            <w:pPr>
              <w:rPr>
                <w:rFonts w:ascii="Arial Narrow" w:hAnsi="Arial Narrow" w:cs="Calibri"/>
                <w:sz w:val="16"/>
                <w:szCs w:val="16"/>
              </w:rPr>
            </w:pPr>
            <w:r w:rsidRPr="008F7A9E">
              <w:rPr>
                <w:rFonts w:ascii="Arial Narrow" w:hAnsi="Arial Narrow" w:cs="Calibri"/>
                <w:sz w:val="16"/>
                <w:szCs w:val="16"/>
              </w:rPr>
              <w:t>02.1/2</w:t>
            </w:r>
          </w:p>
        </w:tc>
        <w:tc>
          <w:tcPr>
            <w:tcW w:w="4419" w:type="dxa"/>
            <w:tcBorders>
              <w:top w:val="nil"/>
              <w:left w:val="nil"/>
              <w:bottom w:val="single" w:sz="4" w:space="0" w:color="auto"/>
              <w:right w:val="single" w:sz="4" w:space="0" w:color="auto"/>
            </w:tcBorders>
            <w:shd w:val="clear" w:color="auto" w:fill="auto"/>
            <w:vAlign w:val="center"/>
            <w:hideMark/>
          </w:tcPr>
          <w:p w14:paraId="2A07BD9E" w14:textId="77777777" w:rsidR="008F7A9E" w:rsidRPr="008F7A9E" w:rsidRDefault="008F7A9E" w:rsidP="008F7A9E">
            <w:pPr>
              <w:ind w:firstLineChars="200" w:firstLine="320"/>
              <w:rPr>
                <w:rFonts w:ascii="Arial Narrow" w:hAnsi="Arial Narrow" w:cs="Calibri"/>
                <w:sz w:val="16"/>
                <w:szCs w:val="16"/>
              </w:rPr>
            </w:pPr>
            <w:r w:rsidRPr="008F7A9E">
              <w:rPr>
                <w:rFonts w:ascii="Arial Narrow" w:hAnsi="Arial Narrow" w:cs="Calibri"/>
                <w:sz w:val="16"/>
                <w:szCs w:val="16"/>
              </w:rPr>
              <w:t>Слънчоглед</w:t>
            </w:r>
          </w:p>
        </w:tc>
        <w:tc>
          <w:tcPr>
            <w:tcW w:w="1185" w:type="dxa"/>
            <w:tcBorders>
              <w:top w:val="nil"/>
              <w:left w:val="nil"/>
              <w:bottom w:val="single" w:sz="4" w:space="0" w:color="auto"/>
              <w:right w:val="single" w:sz="4" w:space="0" w:color="auto"/>
            </w:tcBorders>
            <w:shd w:val="clear" w:color="auto" w:fill="auto"/>
            <w:vAlign w:val="center"/>
            <w:hideMark/>
          </w:tcPr>
          <w:p w14:paraId="06022766" w14:textId="77777777" w:rsidR="008F7A9E" w:rsidRPr="008F7A9E" w:rsidRDefault="008F7A9E" w:rsidP="008F7A9E">
            <w:pPr>
              <w:jc w:val="right"/>
              <w:rPr>
                <w:rFonts w:ascii="Arial Narrow" w:hAnsi="Arial Narrow" w:cs="Calibri"/>
                <w:sz w:val="16"/>
                <w:szCs w:val="16"/>
              </w:rPr>
            </w:pPr>
            <w:r w:rsidRPr="008F7A9E">
              <w:rPr>
                <w:rFonts w:ascii="Arial Narrow" w:hAnsi="Arial Narrow" w:cs="Calibri"/>
                <w:sz w:val="16"/>
                <w:szCs w:val="16"/>
              </w:rPr>
              <w:t>2 422,9</w:t>
            </w:r>
          </w:p>
        </w:tc>
        <w:tc>
          <w:tcPr>
            <w:tcW w:w="1028" w:type="dxa"/>
            <w:tcBorders>
              <w:top w:val="nil"/>
              <w:left w:val="nil"/>
              <w:bottom w:val="single" w:sz="4" w:space="0" w:color="auto"/>
              <w:right w:val="single" w:sz="4" w:space="0" w:color="auto"/>
            </w:tcBorders>
            <w:shd w:val="clear" w:color="auto" w:fill="auto"/>
            <w:vAlign w:val="center"/>
            <w:hideMark/>
          </w:tcPr>
          <w:p w14:paraId="1BAE3518" w14:textId="77777777" w:rsidR="008F7A9E" w:rsidRPr="008F7A9E" w:rsidRDefault="008F7A9E" w:rsidP="008F7A9E">
            <w:pPr>
              <w:jc w:val="right"/>
              <w:rPr>
                <w:rFonts w:ascii="Arial Narrow" w:hAnsi="Arial Narrow" w:cs="Calibri"/>
                <w:sz w:val="16"/>
                <w:szCs w:val="16"/>
              </w:rPr>
            </w:pPr>
            <w:r w:rsidRPr="008F7A9E">
              <w:rPr>
                <w:rFonts w:ascii="Arial Narrow" w:hAnsi="Arial Narrow" w:cs="Calibri"/>
                <w:sz w:val="16"/>
                <w:szCs w:val="16"/>
              </w:rPr>
              <w:t>-41,5</w:t>
            </w:r>
          </w:p>
        </w:tc>
        <w:tc>
          <w:tcPr>
            <w:tcW w:w="1217" w:type="dxa"/>
            <w:tcBorders>
              <w:top w:val="nil"/>
              <w:left w:val="nil"/>
              <w:bottom w:val="single" w:sz="4" w:space="0" w:color="auto"/>
              <w:right w:val="single" w:sz="4" w:space="0" w:color="auto"/>
            </w:tcBorders>
            <w:shd w:val="clear" w:color="auto" w:fill="auto"/>
            <w:vAlign w:val="center"/>
            <w:hideMark/>
          </w:tcPr>
          <w:p w14:paraId="0537A6AD" w14:textId="77777777" w:rsidR="008F7A9E" w:rsidRPr="008F7A9E" w:rsidRDefault="008F7A9E" w:rsidP="008F7A9E">
            <w:pPr>
              <w:jc w:val="right"/>
              <w:rPr>
                <w:rFonts w:ascii="Arial Narrow" w:hAnsi="Arial Narrow" w:cs="Calibri"/>
                <w:sz w:val="16"/>
                <w:szCs w:val="16"/>
              </w:rPr>
            </w:pPr>
            <w:r w:rsidRPr="008F7A9E">
              <w:rPr>
                <w:rFonts w:ascii="Arial Narrow" w:hAnsi="Arial Narrow" w:cs="Calibri"/>
                <w:sz w:val="16"/>
                <w:szCs w:val="16"/>
              </w:rPr>
              <w:t>1 416,3</w:t>
            </w:r>
          </w:p>
        </w:tc>
        <w:tc>
          <w:tcPr>
            <w:tcW w:w="1075" w:type="dxa"/>
            <w:tcBorders>
              <w:top w:val="nil"/>
              <w:left w:val="nil"/>
              <w:bottom w:val="single" w:sz="4" w:space="0" w:color="auto"/>
              <w:right w:val="single" w:sz="4" w:space="0" w:color="auto"/>
            </w:tcBorders>
            <w:shd w:val="clear" w:color="auto" w:fill="auto"/>
            <w:vAlign w:val="center"/>
            <w:hideMark/>
          </w:tcPr>
          <w:p w14:paraId="4301DCDE" w14:textId="77777777" w:rsidR="008F7A9E" w:rsidRPr="008F7A9E" w:rsidRDefault="008F7A9E" w:rsidP="008F7A9E">
            <w:pPr>
              <w:jc w:val="right"/>
              <w:rPr>
                <w:rFonts w:ascii="Arial Narrow" w:hAnsi="Arial Narrow" w:cs="Calibri"/>
                <w:sz w:val="16"/>
                <w:szCs w:val="16"/>
              </w:rPr>
            </w:pPr>
            <w:r w:rsidRPr="008F7A9E">
              <w:rPr>
                <w:rFonts w:ascii="Arial Narrow" w:hAnsi="Arial Narrow" w:cs="Calibri"/>
                <w:sz w:val="16"/>
                <w:szCs w:val="16"/>
              </w:rPr>
              <w:t>-1,0</w:t>
            </w:r>
          </w:p>
        </w:tc>
        <w:tc>
          <w:tcPr>
            <w:tcW w:w="1233" w:type="dxa"/>
            <w:tcBorders>
              <w:top w:val="nil"/>
              <w:left w:val="nil"/>
              <w:bottom w:val="single" w:sz="4" w:space="0" w:color="auto"/>
              <w:right w:val="single" w:sz="4" w:space="0" w:color="auto"/>
            </w:tcBorders>
            <w:shd w:val="clear" w:color="auto" w:fill="auto"/>
            <w:vAlign w:val="center"/>
            <w:hideMark/>
          </w:tcPr>
          <w:p w14:paraId="3982F5F5" w14:textId="77777777" w:rsidR="008F7A9E" w:rsidRPr="008F7A9E" w:rsidRDefault="008F7A9E" w:rsidP="008F7A9E">
            <w:pPr>
              <w:jc w:val="right"/>
              <w:rPr>
                <w:rFonts w:ascii="Arial Narrow" w:hAnsi="Arial Narrow" w:cs="Calibri"/>
                <w:sz w:val="16"/>
                <w:szCs w:val="16"/>
              </w:rPr>
            </w:pPr>
            <w:r w:rsidRPr="008F7A9E">
              <w:rPr>
                <w:rFonts w:ascii="Arial Narrow" w:hAnsi="Arial Narrow" w:cs="Calibri"/>
                <w:sz w:val="16"/>
                <w:szCs w:val="16"/>
              </w:rPr>
              <w:t>1 402,0</w:t>
            </w:r>
          </w:p>
        </w:tc>
      </w:tr>
      <w:tr w:rsidR="008F7A9E" w:rsidRPr="00B10684" w14:paraId="204674FE" w14:textId="77777777" w:rsidTr="005A18A5">
        <w:trPr>
          <w:trHeight w:val="251"/>
        </w:trPr>
        <w:tc>
          <w:tcPr>
            <w:tcW w:w="748" w:type="dxa"/>
            <w:tcBorders>
              <w:top w:val="nil"/>
              <w:left w:val="single" w:sz="4" w:space="0" w:color="auto"/>
              <w:bottom w:val="single" w:sz="4" w:space="0" w:color="auto"/>
              <w:right w:val="single" w:sz="4" w:space="0" w:color="auto"/>
            </w:tcBorders>
            <w:shd w:val="clear" w:color="auto" w:fill="auto"/>
            <w:vAlign w:val="center"/>
            <w:hideMark/>
          </w:tcPr>
          <w:p w14:paraId="795BBBF9" w14:textId="77777777" w:rsidR="008F7A9E" w:rsidRPr="008F7A9E" w:rsidRDefault="008F7A9E" w:rsidP="008F7A9E">
            <w:pPr>
              <w:rPr>
                <w:rFonts w:ascii="Arial Narrow" w:hAnsi="Arial Narrow" w:cs="Calibri"/>
                <w:sz w:val="16"/>
                <w:szCs w:val="16"/>
              </w:rPr>
            </w:pPr>
            <w:r w:rsidRPr="008F7A9E">
              <w:rPr>
                <w:rFonts w:ascii="Arial Narrow" w:hAnsi="Arial Narrow" w:cs="Calibri"/>
                <w:sz w:val="16"/>
                <w:szCs w:val="16"/>
              </w:rPr>
              <w:t>02.1/3</w:t>
            </w:r>
          </w:p>
        </w:tc>
        <w:tc>
          <w:tcPr>
            <w:tcW w:w="4419" w:type="dxa"/>
            <w:tcBorders>
              <w:top w:val="nil"/>
              <w:left w:val="nil"/>
              <w:bottom w:val="single" w:sz="4" w:space="0" w:color="auto"/>
              <w:right w:val="single" w:sz="4" w:space="0" w:color="auto"/>
            </w:tcBorders>
            <w:shd w:val="clear" w:color="auto" w:fill="auto"/>
            <w:vAlign w:val="center"/>
            <w:hideMark/>
          </w:tcPr>
          <w:p w14:paraId="4F47408F" w14:textId="77777777" w:rsidR="008F7A9E" w:rsidRPr="008F7A9E" w:rsidRDefault="008F7A9E" w:rsidP="008F7A9E">
            <w:pPr>
              <w:ind w:firstLineChars="200" w:firstLine="320"/>
              <w:rPr>
                <w:rFonts w:ascii="Arial Narrow" w:hAnsi="Arial Narrow" w:cs="Calibri"/>
                <w:sz w:val="16"/>
                <w:szCs w:val="16"/>
              </w:rPr>
            </w:pPr>
            <w:r w:rsidRPr="008F7A9E">
              <w:rPr>
                <w:rFonts w:ascii="Arial Narrow" w:hAnsi="Arial Narrow" w:cs="Calibri"/>
                <w:sz w:val="16"/>
                <w:szCs w:val="16"/>
              </w:rPr>
              <w:t>Соя</w:t>
            </w:r>
          </w:p>
        </w:tc>
        <w:tc>
          <w:tcPr>
            <w:tcW w:w="1185" w:type="dxa"/>
            <w:tcBorders>
              <w:top w:val="nil"/>
              <w:left w:val="nil"/>
              <w:bottom w:val="single" w:sz="4" w:space="0" w:color="auto"/>
              <w:right w:val="single" w:sz="4" w:space="0" w:color="auto"/>
            </w:tcBorders>
            <w:shd w:val="clear" w:color="auto" w:fill="auto"/>
            <w:vAlign w:val="center"/>
            <w:hideMark/>
          </w:tcPr>
          <w:p w14:paraId="7B848696" w14:textId="77777777" w:rsidR="008F7A9E" w:rsidRPr="008F7A9E" w:rsidRDefault="008F7A9E" w:rsidP="008F7A9E">
            <w:pPr>
              <w:jc w:val="right"/>
              <w:rPr>
                <w:rFonts w:ascii="Arial Narrow" w:hAnsi="Arial Narrow" w:cs="Calibri"/>
                <w:sz w:val="16"/>
                <w:szCs w:val="16"/>
              </w:rPr>
            </w:pPr>
            <w:r w:rsidRPr="008F7A9E">
              <w:rPr>
                <w:rFonts w:ascii="Arial Narrow" w:hAnsi="Arial Narrow" w:cs="Calibri"/>
                <w:sz w:val="16"/>
                <w:szCs w:val="16"/>
              </w:rPr>
              <w:t>12,6</w:t>
            </w:r>
          </w:p>
        </w:tc>
        <w:tc>
          <w:tcPr>
            <w:tcW w:w="1028" w:type="dxa"/>
            <w:tcBorders>
              <w:top w:val="nil"/>
              <w:left w:val="nil"/>
              <w:bottom w:val="single" w:sz="4" w:space="0" w:color="auto"/>
              <w:right w:val="single" w:sz="4" w:space="0" w:color="auto"/>
            </w:tcBorders>
            <w:shd w:val="clear" w:color="auto" w:fill="auto"/>
            <w:vAlign w:val="center"/>
            <w:hideMark/>
          </w:tcPr>
          <w:p w14:paraId="262C2420" w14:textId="77777777" w:rsidR="008F7A9E" w:rsidRPr="008F7A9E" w:rsidRDefault="008F7A9E" w:rsidP="008F7A9E">
            <w:pPr>
              <w:jc w:val="right"/>
              <w:rPr>
                <w:rFonts w:ascii="Arial Narrow" w:hAnsi="Arial Narrow" w:cs="Calibri"/>
                <w:sz w:val="16"/>
                <w:szCs w:val="16"/>
              </w:rPr>
            </w:pPr>
            <w:r w:rsidRPr="008F7A9E">
              <w:rPr>
                <w:rFonts w:ascii="Arial Narrow" w:hAnsi="Arial Narrow" w:cs="Calibri"/>
                <w:sz w:val="16"/>
                <w:szCs w:val="16"/>
              </w:rPr>
              <w:t>-50,8</w:t>
            </w:r>
          </w:p>
        </w:tc>
        <w:tc>
          <w:tcPr>
            <w:tcW w:w="1217" w:type="dxa"/>
            <w:tcBorders>
              <w:top w:val="nil"/>
              <w:left w:val="nil"/>
              <w:bottom w:val="single" w:sz="4" w:space="0" w:color="auto"/>
              <w:right w:val="single" w:sz="4" w:space="0" w:color="auto"/>
            </w:tcBorders>
            <w:shd w:val="clear" w:color="auto" w:fill="auto"/>
            <w:vAlign w:val="center"/>
            <w:hideMark/>
          </w:tcPr>
          <w:p w14:paraId="0672AE61" w14:textId="77777777" w:rsidR="008F7A9E" w:rsidRPr="008F7A9E" w:rsidRDefault="008F7A9E" w:rsidP="008F7A9E">
            <w:pPr>
              <w:jc w:val="right"/>
              <w:rPr>
                <w:rFonts w:ascii="Arial Narrow" w:hAnsi="Arial Narrow" w:cs="Calibri"/>
                <w:sz w:val="16"/>
                <w:szCs w:val="16"/>
              </w:rPr>
            </w:pPr>
            <w:r w:rsidRPr="008F7A9E">
              <w:rPr>
                <w:rFonts w:ascii="Arial Narrow" w:hAnsi="Arial Narrow" w:cs="Calibri"/>
                <w:sz w:val="16"/>
                <w:szCs w:val="16"/>
              </w:rPr>
              <w:t>6,2</w:t>
            </w:r>
          </w:p>
        </w:tc>
        <w:tc>
          <w:tcPr>
            <w:tcW w:w="1075" w:type="dxa"/>
            <w:tcBorders>
              <w:top w:val="nil"/>
              <w:left w:val="nil"/>
              <w:bottom w:val="single" w:sz="4" w:space="0" w:color="auto"/>
              <w:right w:val="single" w:sz="4" w:space="0" w:color="auto"/>
            </w:tcBorders>
            <w:shd w:val="clear" w:color="auto" w:fill="auto"/>
            <w:vAlign w:val="center"/>
            <w:hideMark/>
          </w:tcPr>
          <w:p w14:paraId="78986F0A" w14:textId="77777777" w:rsidR="008F7A9E" w:rsidRPr="008F7A9E" w:rsidRDefault="008F7A9E" w:rsidP="008F7A9E">
            <w:pPr>
              <w:jc w:val="right"/>
              <w:rPr>
                <w:rFonts w:ascii="Arial Narrow" w:hAnsi="Arial Narrow" w:cs="Calibri"/>
                <w:sz w:val="16"/>
                <w:szCs w:val="16"/>
              </w:rPr>
            </w:pPr>
            <w:r w:rsidRPr="008F7A9E">
              <w:rPr>
                <w:rFonts w:ascii="Arial Narrow" w:hAnsi="Arial Narrow" w:cs="Calibri"/>
                <w:sz w:val="16"/>
                <w:szCs w:val="16"/>
              </w:rPr>
              <w:t>-91,9</w:t>
            </w:r>
          </w:p>
        </w:tc>
        <w:tc>
          <w:tcPr>
            <w:tcW w:w="1233" w:type="dxa"/>
            <w:tcBorders>
              <w:top w:val="nil"/>
              <w:left w:val="nil"/>
              <w:bottom w:val="single" w:sz="4" w:space="0" w:color="auto"/>
              <w:right w:val="single" w:sz="4" w:space="0" w:color="auto"/>
            </w:tcBorders>
            <w:shd w:val="clear" w:color="auto" w:fill="auto"/>
            <w:vAlign w:val="center"/>
            <w:hideMark/>
          </w:tcPr>
          <w:p w14:paraId="0AE8CE7E" w14:textId="77777777" w:rsidR="008F7A9E" w:rsidRPr="008F7A9E" w:rsidRDefault="008F7A9E" w:rsidP="008F7A9E">
            <w:pPr>
              <w:jc w:val="right"/>
              <w:rPr>
                <w:rFonts w:ascii="Arial Narrow" w:hAnsi="Arial Narrow" w:cs="Calibri"/>
                <w:sz w:val="16"/>
                <w:szCs w:val="16"/>
              </w:rPr>
            </w:pPr>
            <w:r w:rsidRPr="008F7A9E">
              <w:rPr>
                <w:rFonts w:ascii="Arial Narrow" w:hAnsi="Arial Narrow" w:cs="Calibri"/>
                <w:sz w:val="16"/>
                <w:szCs w:val="16"/>
              </w:rPr>
              <w:t>0,5</w:t>
            </w:r>
          </w:p>
        </w:tc>
      </w:tr>
      <w:tr w:rsidR="008F7A9E" w:rsidRPr="00B10684" w14:paraId="1A809822" w14:textId="77777777" w:rsidTr="005A18A5">
        <w:trPr>
          <w:trHeight w:val="251"/>
        </w:trPr>
        <w:tc>
          <w:tcPr>
            <w:tcW w:w="748" w:type="dxa"/>
            <w:tcBorders>
              <w:top w:val="nil"/>
              <w:left w:val="single" w:sz="4" w:space="0" w:color="auto"/>
              <w:bottom w:val="single" w:sz="4" w:space="0" w:color="auto"/>
              <w:right w:val="single" w:sz="4" w:space="0" w:color="auto"/>
            </w:tcBorders>
            <w:shd w:val="clear" w:color="auto" w:fill="auto"/>
            <w:vAlign w:val="center"/>
            <w:hideMark/>
          </w:tcPr>
          <w:p w14:paraId="4A02F71C" w14:textId="77777777" w:rsidR="008F7A9E" w:rsidRPr="008F7A9E" w:rsidRDefault="008F7A9E" w:rsidP="008F7A9E">
            <w:pPr>
              <w:rPr>
                <w:rFonts w:ascii="Arial Narrow" w:hAnsi="Arial Narrow" w:cs="Calibri"/>
                <w:sz w:val="16"/>
                <w:szCs w:val="16"/>
              </w:rPr>
            </w:pPr>
            <w:r w:rsidRPr="008F7A9E">
              <w:rPr>
                <w:rFonts w:ascii="Arial Narrow" w:hAnsi="Arial Narrow" w:cs="Calibri"/>
                <w:sz w:val="16"/>
                <w:szCs w:val="16"/>
              </w:rPr>
              <w:t>02.1/4</w:t>
            </w:r>
          </w:p>
        </w:tc>
        <w:tc>
          <w:tcPr>
            <w:tcW w:w="4419" w:type="dxa"/>
            <w:tcBorders>
              <w:top w:val="nil"/>
              <w:left w:val="nil"/>
              <w:bottom w:val="single" w:sz="4" w:space="0" w:color="auto"/>
              <w:right w:val="single" w:sz="4" w:space="0" w:color="auto"/>
            </w:tcBorders>
            <w:shd w:val="clear" w:color="auto" w:fill="auto"/>
            <w:vAlign w:val="center"/>
            <w:hideMark/>
          </w:tcPr>
          <w:p w14:paraId="6ECEC7E8" w14:textId="77777777" w:rsidR="008F7A9E" w:rsidRPr="00CD44F3" w:rsidRDefault="008F7A9E" w:rsidP="008F7A9E">
            <w:pPr>
              <w:ind w:firstLineChars="200" w:firstLine="320"/>
              <w:rPr>
                <w:rFonts w:ascii="Arial Narrow" w:hAnsi="Arial Narrow" w:cs="Calibri"/>
                <w:sz w:val="16"/>
                <w:szCs w:val="16"/>
                <w:lang w:val="bg-BG"/>
              </w:rPr>
            </w:pPr>
            <w:r w:rsidRPr="008F7A9E">
              <w:rPr>
                <w:rFonts w:ascii="Arial Narrow" w:hAnsi="Arial Narrow" w:cs="Calibri"/>
                <w:sz w:val="16"/>
                <w:szCs w:val="16"/>
              </w:rPr>
              <w:t>Други маслодайни</w:t>
            </w:r>
            <w:r w:rsidR="00D56BD4">
              <w:rPr>
                <w:rFonts w:ascii="Arial Narrow" w:hAnsi="Arial Narrow" w:cs="Calibri"/>
                <w:sz w:val="16"/>
                <w:szCs w:val="16"/>
                <w:lang w:val="bg-BG"/>
              </w:rPr>
              <w:t xml:space="preserve"> култури</w:t>
            </w:r>
          </w:p>
        </w:tc>
        <w:tc>
          <w:tcPr>
            <w:tcW w:w="1185" w:type="dxa"/>
            <w:tcBorders>
              <w:top w:val="nil"/>
              <w:left w:val="nil"/>
              <w:bottom w:val="single" w:sz="4" w:space="0" w:color="auto"/>
              <w:right w:val="single" w:sz="4" w:space="0" w:color="auto"/>
            </w:tcBorders>
            <w:shd w:val="clear" w:color="auto" w:fill="auto"/>
            <w:vAlign w:val="center"/>
            <w:hideMark/>
          </w:tcPr>
          <w:p w14:paraId="0DD80E37" w14:textId="77777777" w:rsidR="008F7A9E" w:rsidRPr="008F7A9E" w:rsidRDefault="008F7A9E" w:rsidP="008F7A9E">
            <w:pPr>
              <w:jc w:val="right"/>
              <w:rPr>
                <w:rFonts w:ascii="Arial Narrow" w:hAnsi="Arial Narrow" w:cs="Calibri"/>
                <w:sz w:val="16"/>
                <w:szCs w:val="16"/>
              </w:rPr>
            </w:pPr>
            <w:r w:rsidRPr="008F7A9E">
              <w:rPr>
                <w:rFonts w:ascii="Arial Narrow" w:hAnsi="Arial Narrow" w:cs="Calibri"/>
                <w:sz w:val="16"/>
                <w:szCs w:val="16"/>
              </w:rPr>
              <w:t>2,4</w:t>
            </w:r>
          </w:p>
        </w:tc>
        <w:tc>
          <w:tcPr>
            <w:tcW w:w="1028" w:type="dxa"/>
            <w:tcBorders>
              <w:top w:val="nil"/>
              <w:left w:val="nil"/>
              <w:bottom w:val="single" w:sz="4" w:space="0" w:color="auto"/>
              <w:right w:val="single" w:sz="4" w:space="0" w:color="auto"/>
            </w:tcBorders>
            <w:shd w:val="clear" w:color="auto" w:fill="auto"/>
            <w:vAlign w:val="center"/>
            <w:hideMark/>
          </w:tcPr>
          <w:p w14:paraId="34A5FC11" w14:textId="77777777" w:rsidR="008F7A9E" w:rsidRPr="008F7A9E" w:rsidRDefault="008F7A9E" w:rsidP="008F7A9E">
            <w:pPr>
              <w:jc w:val="right"/>
              <w:rPr>
                <w:rFonts w:ascii="Arial Narrow" w:hAnsi="Arial Narrow" w:cs="Calibri"/>
                <w:sz w:val="16"/>
                <w:szCs w:val="16"/>
              </w:rPr>
            </w:pPr>
            <w:r w:rsidRPr="008F7A9E">
              <w:rPr>
                <w:rFonts w:ascii="Arial Narrow" w:hAnsi="Arial Narrow" w:cs="Calibri"/>
                <w:sz w:val="16"/>
                <w:szCs w:val="16"/>
              </w:rPr>
              <w:t>287,5</w:t>
            </w:r>
          </w:p>
        </w:tc>
        <w:tc>
          <w:tcPr>
            <w:tcW w:w="1217" w:type="dxa"/>
            <w:tcBorders>
              <w:top w:val="nil"/>
              <w:left w:val="nil"/>
              <w:bottom w:val="single" w:sz="4" w:space="0" w:color="auto"/>
              <w:right w:val="single" w:sz="4" w:space="0" w:color="auto"/>
            </w:tcBorders>
            <w:shd w:val="clear" w:color="auto" w:fill="auto"/>
            <w:vAlign w:val="center"/>
            <w:hideMark/>
          </w:tcPr>
          <w:p w14:paraId="5EC3F8D5" w14:textId="77777777" w:rsidR="008F7A9E" w:rsidRPr="008F7A9E" w:rsidRDefault="008F7A9E" w:rsidP="008F7A9E">
            <w:pPr>
              <w:jc w:val="right"/>
              <w:rPr>
                <w:rFonts w:ascii="Arial Narrow" w:hAnsi="Arial Narrow" w:cs="Calibri"/>
                <w:sz w:val="16"/>
                <w:szCs w:val="16"/>
              </w:rPr>
            </w:pPr>
            <w:r w:rsidRPr="008F7A9E">
              <w:rPr>
                <w:rFonts w:ascii="Arial Narrow" w:hAnsi="Arial Narrow" w:cs="Calibri"/>
                <w:sz w:val="16"/>
                <w:szCs w:val="16"/>
              </w:rPr>
              <w:t>9,3</w:t>
            </w:r>
          </w:p>
        </w:tc>
        <w:tc>
          <w:tcPr>
            <w:tcW w:w="1075" w:type="dxa"/>
            <w:tcBorders>
              <w:top w:val="nil"/>
              <w:left w:val="nil"/>
              <w:bottom w:val="single" w:sz="4" w:space="0" w:color="auto"/>
              <w:right w:val="single" w:sz="4" w:space="0" w:color="auto"/>
            </w:tcBorders>
            <w:shd w:val="clear" w:color="auto" w:fill="auto"/>
            <w:vAlign w:val="center"/>
            <w:hideMark/>
          </w:tcPr>
          <w:p w14:paraId="1F2DE95C" w14:textId="77777777" w:rsidR="008F7A9E" w:rsidRPr="008F7A9E" w:rsidRDefault="008F7A9E" w:rsidP="008F7A9E">
            <w:pPr>
              <w:jc w:val="right"/>
              <w:rPr>
                <w:rFonts w:ascii="Arial Narrow" w:hAnsi="Arial Narrow" w:cs="Calibri"/>
                <w:sz w:val="16"/>
                <w:szCs w:val="16"/>
              </w:rPr>
            </w:pPr>
            <w:r w:rsidRPr="008F7A9E">
              <w:rPr>
                <w:rFonts w:ascii="Arial Narrow" w:hAnsi="Arial Narrow" w:cs="Calibri"/>
                <w:sz w:val="16"/>
                <w:szCs w:val="16"/>
              </w:rPr>
              <w:t>5,4</w:t>
            </w:r>
          </w:p>
        </w:tc>
        <w:tc>
          <w:tcPr>
            <w:tcW w:w="1233" w:type="dxa"/>
            <w:tcBorders>
              <w:top w:val="nil"/>
              <w:left w:val="nil"/>
              <w:bottom w:val="single" w:sz="4" w:space="0" w:color="auto"/>
              <w:right w:val="single" w:sz="4" w:space="0" w:color="auto"/>
            </w:tcBorders>
            <w:shd w:val="clear" w:color="auto" w:fill="auto"/>
            <w:vAlign w:val="center"/>
            <w:hideMark/>
          </w:tcPr>
          <w:p w14:paraId="3F5E2A11" w14:textId="77777777" w:rsidR="008F7A9E" w:rsidRPr="008F7A9E" w:rsidRDefault="008F7A9E" w:rsidP="008F7A9E">
            <w:pPr>
              <w:jc w:val="right"/>
              <w:rPr>
                <w:rFonts w:ascii="Arial Narrow" w:hAnsi="Arial Narrow" w:cs="Calibri"/>
                <w:sz w:val="16"/>
                <w:szCs w:val="16"/>
              </w:rPr>
            </w:pPr>
            <w:r w:rsidRPr="008F7A9E">
              <w:rPr>
                <w:rFonts w:ascii="Arial Narrow" w:hAnsi="Arial Narrow" w:cs="Calibri"/>
                <w:sz w:val="16"/>
                <w:szCs w:val="16"/>
              </w:rPr>
              <w:t>9,8</w:t>
            </w:r>
          </w:p>
        </w:tc>
      </w:tr>
      <w:tr w:rsidR="008F7A9E" w:rsidRPr="00B10684" w14:paraId="3BBA5595" w14:textId="77777777" w:rsidTr="005A18A5">
        <w:trPr>
          <w:trHeight w:val="251"/>
        </w:trPr>
        <w:tc>
          <w:tcPr>
            <w:tcW w:w="748" w:type="dxa"/>
            <w:tcBorders>
              <w:top w:val="nil"/>
              <w:left w:val="single" w:sz="4" w:space="0" w:color="auto"/>
              <w:bottom w:val="single" w:sz="4" w:space="0" w:color="auto"/>
              <w:right w:val="single" w:sz="4" w:space="0" w:color="auto"/>
            </w:tcBorders>
            <w:shd w:val="clear" w:color="auto" w:fill="auto"/>
            <w:vAlign w:val="center"/>
            <w:hideMark/>
          </w:tcPr>
          <w:p w14:paraId="52590E8B" w14:textId="77777777" w:rsidR="008F7A9E" w:rsidRPr="008F7A9E" w:rsidRDefault="008F7A9E" w:rsidP="008F7A9E">
            <w:pPr>
              <w:rPr>
                <w:rFonts w:ascii="Arial Narrow" w:hAnsi="Arial Narrow" w:cs="Calibri"/>
                <w:sz w:val="16"/>
                <w:szCs w:val="16"/>
              </w:rPr>
            </w:pPr>
            <w:r w:rsidRPr="008F7A9E">
              <w:rPr>
                <w:rFonts w:ascii="Arial Narrow" w:hAnsi="Arial Narrow" w:cs="Calibri"/>
                <w:sz w:val="16"/>
                <w:szCs w:val="16"/>
              </w:rPr>
              <w:t>02.2</w:t>
            </w:r>
          </w:p>
        </w:tc>
        <w:tc>
          <w:tcPr>
            <w:tcW w:w="4419" w:type="dxa"/>
            <w:tcBorders>
              <w:top w:val="nil"/>
              <w:left w:val="nil"/>
              <w:bottom w:val="single" w:sz="4" w:space="0" w:color="auto"/>
              <w:right w:val="single" w:sz="4" w:space="0" w:color="auto"/>
            </w:tcBorders>
            <w:shd w:val="clear" w:color="auto" w:fill="auto"/>
            <w:vAlign w:val="center"/>
            <w:hideMark/>
          </w:tcPr>
          <w:p w14:paraId="3D8FBB32" w14:textId="77777777" w:rsidR="008F7A9E" w:rsidRPr="008F7A9E" w:rsidRDefault="008F7A9E" w:rsidP="008F7A9E">
            <w:pPr>
              <w:ind w:firstLineChars="100" w:firstLine="160"/>
              <w:rPr>
                <w:rFonts w:ascii="Arial Narrow" w:hAnsi="Arial Narrow" w:cs="Calibri"/>
                <w:sz w:val="16"/>
                <w:szCs w:val="16"/>
              </w:rPr>
            </w:pPr>
            <w:r w:rsidRPr="008F7A9E">
              <w:rPr>
                <w:rFonts w:ascii="Arial Narrow" w:hAnsi="Arial Narrow" w:cs="Calibri"/>
                <w:sz w:val="16"/>
                <w:szCs w:val="16"/>
              </w:rPr>
              <w:t>Протеинодайни култури</w:t>
            </w:r>
          </w:p>
        </w:tc>
        <w:tc>
          <w:tcPr>
            <w:tcW w:w="1185" w:type="dxa"/>
            <w:tcBorders>
              <w:top w:val="nil"/>
              <w:left w:val="nil"/>
              <w:bottom w:val="single" w:sz="4" w:space="0" w:color="auto"/>
              <w:right w:val="single" w:sz="4" w:space="0" w:color="auto"/>
            </w:tcBorders>
            <w:shd w:val="clear" w:color="auto" w:fill="auto"/>
            <w:vAlign w:val="center"/>
            <w:hideMark/>
          </w:tcPr>
          <w:p w14:paraId="4E0D38B1" w14:textId="77777777" w:rsidR="008F7A9E" w:rsidRPr="008F7A9E" w:rsidRDefault="008F7A9E" w:rsidP="008F7A9E">
            <w:pPr>
              <w:jc w:val="right"/>
              <w:rPr>
                <w:rFonts w:ascii="Arial Narrow" w:hAnsi="Arial Narrow" w:cs="Calibri"/>
                <w:sz w:val="16"/>
                <w:szCs w:val="16"/>
              </w:rPr>
            </w:pPr>
            <w:r w:rsidRPr="008F7A9E">
              <w:rPr>
                <w:rFonts w:ascii="Arial Narrow" w:hAnsi="Arial Narrow" w:cs="Calibri"/>
                <w:sz w:val="16"/>
                <w:szCs w:val="16"/>
              </w:rPr>
              <w:t>56,3</w:t>
            </w:r>
          </w:p>
        </w:tc>
        <w:tc>
          <w:tcPr>
            <w:tcW w:w="1028" w:type="dxa"/>
            <w:tcBorders>
              <w:top w:val="nil"/>
              <w:left w:val="nil"/>
              <w:bottom w:val="single" w:sz="4" w:space="0" w:color="auto"/>
              <w:right w:val="single" w:sz="4" w:space="0" w:color="auto"/>
            </w:tcBorders>
            <w:shd w:val="clear" w:color="auto" w:fill="auto"/>
            <w:vAlign w:val="center"/>
            <w:hideMark/>
          </w:tcPr>
          <w:p w14:paraId="6C44BBBC" w14:textId="77777777" w:rsidR="008F7A9E" w:rsidRPr="008F7A9E" w:rsidRDefault="008F7A9E" w:rsidP="008F7A9E">
            <w:pPr>
              <w:jc w:val="right"/>
              <w:rPr>
                <w:rFonts w:ascii="Arial Narrow" w:hAnsi="Arial Narrow" w:cs="Calibri"/>
                <w:sz w:val="16"/>
                <w:szCs w:val="16"/>
              </w:rPr>
            </w:pPr>
            <w:r w:rsidRPr="008F7A9E">
              <w:rPr>
                <w:rFonts w:ascii="Arial Narrow" w:hAnsi="Arial Narrow" w:cs="Calibri"/>
                <w:sz w:val="16"/>
                <w:szCs w:val="16"/>
              </w:rPr>
              <w:t>-0,5</w:t>
            </w:r>
          </w:p>
        </w:tc>
        <w:tc>
          <w:tcPr>
            <w:tcW w:w="1217" w:type="dxa"/>
            <w:tcBorders>
              <w:top w:val="nil"/>
              <w:left w:val="nil"/>
              <w:bottom w:val="single" w:sz="4" w:space="0" w:color="auto"/>
              <w:right w:val="single" w:sz="4" w:space="0" w:color="auto"/>
            </w:tcBorders>
            <w:shd w:val="clear" w:color="auto" w:fill="auto"/>
            <w:vAlign w:val="center"/>
            <w:hideMark/>
          </w:tcPr>
          <w:p w14:paraId="23E3088B" w14:textId="77777777" w:rsidR="008F7A9E" w:rsidRPr="008F7A9E" w:rsidRDefault="008F7A9E" w:rsidP="008F7A9E">
            <w:pPr>
              <w:jc w:val="right"/>
              <w:rPr>
                <w:rFonts w:ascii="Arial Narrow" w:hAnsi="Arial Narrow" w:cs="Calibri"/>
                <w:sz w:val="16"/>
                <w:szCs w:val="16"/>
              </w:rPr>
            </w:pPr>
            <w:r w:rsidRPr="008F7A9E">
              <w:rPr>
                <w:rFonts w:ascii="Arial Narrow" w:hAnsi="Arial Narrow" w:cs="Calibri"/>
                <w:sz w:val="16"/>
                <w:szCs w:val="16"/>
              </w:rPr>
              <w:t>56,0</w:t>
            </w:r>
          </w:p>
        </w:tc>
        <w:tc>
          <w:tcPr>
            <w:tcW w:w="1075" w:type="dxa"/>
            <w:tcBorders>
              <w:top w:val="nil"/>
              <w:left w:val="nil"/>
              <w:bottom w:val="single" w:sz="4" w:space="0" w:color="auto"/>
              <w:right w:val="single" w:sz="4" w:space="0" w:color="auto"/>
            </w:tcBorders>
            <w:shd w:val="clear" w:color="auto" w:fill="auto"/>
            <w:vAlign w:val="center"/>
            <w:hideMark/>
          </w:tcPr>
          <w:p w14:paraId="57CB900A" w14:textId="77777777" w:rsidR="008F7A9E" w:rsidRPr="008F7A9E" w:rsidRDefault="008F7A9E" w:rsidP="008F7A9E">
            <w:pPr>
              <w:jc w:val="right"/>
              <w:rPr>
                <w:rFonts w:ascii="Arial Narrow" w:hAnsi="Arial Narrow" w:cs="Calibri"/>
                <w:sz w:val="16"/>
                <w:szCs w:val="16"/>
              </w:rPr>
            </w:pPr>
            <w:r w:rsidRPr="008F7A9E">
              <w:rPr>
                <w:rFonts w:ascii="Arial Narrow" w:hAnsi="Arial Narrow" w:cs="Calibri"/>
                <w:sz w:val="16"/>
                <w:szCs w:val="16"/>
              </w:rPr>
              <w:t>19,1</w:t>
            </w:r>
          </w:p>
        </w:tc>
        <w:tc>
          <w:tcPr>
            <w:tcW w:w="1233" w:type="dxa"/>
            <w:tcBorders>
              <w:top w:val="nil"/>
              <w:left w:val="nil"/>
              <w:bottom w:val="single" w:sz="4" w:space="0" w:color="auto"/>
              <w:right w:val="single" w:sz="4" w:space="0" w:color="auto"/>
            </w:tcBorders>
            <w:shd w:val="clear" w:color="auto" w:fill="auto"/>
            <w:vAlign w:val="center"/>
            <w:hideMark/>
          </w:tcPr>
          <w:p w14:paraId="3761BDC7" w14:textId="77777777" w:rsidR="008F7A9E" w:rsidRPr="008F7A9E" w:rsidRDefault="008F7A9E" w:rsidP="008F7A9E">
            <w:pPr>
              <w:jc w:val="right"/>
              <w:rPr>
                <w:rFonts w:ascii="Arial Narrow" w:hAnsi="Arial Narrow" w:cs="Calibri"/>
                <w:sz w:val="16"/>
                <w:szCs w:val="16"/>
              </w:rPr>
            </w:pPr>
            <w:r w:rsidRPr="008F7A9E">
              <w:rPr>
                <w:rFonts w:ascii="Arial Narrow" w:hAnsi="Arial Narrow" w:cs="Calibri"/>
                <w:sz w:val="16"/>
                <w:szCs w:val="16"/>
              </w:rPr>
              <w:t>66,7</w:t>
            </w:r>
          </w:p>
        </w:tc>
      </w:tr>
      <w:tr w:rsidR="008F7A9E" w:rsidRPr="00B10684" w14:paraId="4774A480" w14:textId="77777777" w:rsidTr="005A18A5">
        <w:trPr>
          <w:trHeight w:val="251"/>
        </w:trPr>
        <w:tc>
          <w:tcPr>
            <w:tcW w:w="748" w:type="dxa"/>
            <w:tcBorders>
              <w:top w:val="nil"/>
              <w:left w:val="single" w:sz="4" w:space="0" w:color="auto"/>
              <w:bottom w:val="single" w:sz="4" w:space="0" w:color="auto"/>
              <w:right w:val="single" w:sz="4" w:space="0" w:color="auto"/>
            </w:tcBorders>
            <w:shd w:val="clear" w:color="auto" w:fill="auto"/>
            <w:vAlign w:val="center"/>
            <w:hideMark/>
          </w:tcPr>
          <w:p w14:paraId="76720A3F" w14:textId="77777777" w:rsidR="008F7A9E" w:rsidRPr="008F7A9E" w:rsidRDefault="008F7A9E" w:rsidP="008F7A9E">
            <w:pPr>
              <w:rPr>
                <w:rFonts w:ascii="Arial Narrow" w:hAnsi="Arial Narrow" w:cs="Calibri"/>
                <w:sz w:val="16"/>
                <w:szCs w:val="16"/>
              </w:rPr>
            </w:pPr>
            <w:r w:rsidRPr="008F7A9E">
              <w:rPr>
                <w:rFonts w:ascii="Arial Narrow" w:hAnsi="Arial Narrow" w:cs="Calibri"/>
                <w:sz w:val="16"/>
                <w:szCs w:val="16"/>
              </w:rPr>
              <w:t>02.3</w:t>
            </w:r>
          </w:p>
        </w:tc>
        <w:tc>
          <w:tcPr>
            <w:tcW w:w="4419" w:type="dxa"/>
            <w:tcBorders>
              <w:top w:val="nil"/>
              <w:left w:val="nil"/>
              <w:bottom w:val="single" w:sz="4" w:space="0" w:color="auto"/>
              <w:right w:val="single" w:sz="4" w:space="0" w:color="auto"/>
            </w:tcBorders>
            <w:shd w:val="clear" w:color="auto" w:fill="auto"/>
            <w:vAlign w:val="center"/>
            <w:hideMark/>
          </w:tcPr>
          <w:p w14:paraId="0FFFF9EB" w14:textId="77777777" w:rsidR="008F7A9E" w:rsidRPr="008F7A9E" w:rsidRDefault="008F7A9E" w:rsidP="008F7A9E">
            <w:pPr>
              <w:ind w:firstLineChars="100" w:firstLine="160"/>
              <w:rPr>
                <w:rFonts w:ascii="Arial Narrow" w:hAnsi="Arial Narrow" w:cs="Calibri"/>
                <w:sz w:val="16"/>
                <w:szCs w:val="16"/>
              </w:rPr>
            </w:pPr>
            <w:r w:rsidRPr="008F7A9E">
              <w:rPr>
                <w:rFonts w:ascii="Arial Narrow" w:hAnsi="Arial Narrow" w:cs="Calibri"/>
                <w:sz w:val="16"/>
                <w:szCs w:val="16"/>
              </w:rPr>
              <w:t>Тютюн</w:t>
            </w:r>
          </w:p>
        </w:tc>
        <w:tc>
          <w:tcPr>
            <w:tcW w:w="1185" w:type="dxa"/>
            <w:tcBorders>
              <w:top w:val="nil"/>
              <w:left w:val="nil"/>
              <w:bottom w:val="single" w:sz="4" w:space="0" w:color="auto"/>
              <w:right w:val="single" w:sz="4" w:space="0" w:color="auto"/>
            </w:tcBorders>
            <w:shd w:val="clear" w:color="auto" w:fill="auto"/>
            <w:vAlign w:val="center"/>
            <w:hideMark/>
          </w:tcPr>
          <w:p w14:paraId="6A23568E" w14:textId="77777777" w:rsidR="008F7A9E" w:rsidRPr="008F7A9E" w:rsidRDefault="008F7A9E" w:rsidP="008F7A9E">
            <w:pPr>
              <w:jc w:val="right"/>
              <w:rPr>
                <w:rFonts w:ascii="Arial Narrow" w:hAnsi="Arial Narrow" w:cs="Calibri"/>
                <w:sz w:val="16"/>
                <w:szCs w:val="16"/>
              </w:rPr>
            </w:pPr>
            <w:r w:rsidRPr="008F7A9E">
              <w:rPr>
                <w:rFonts w:ascii="Arial Narrow" w:hAnsi="Arial Narrow" w:cs="Calibri"/>
                <w:sz w:val="16"/>
                <w:szCs w:val="16"/>
              </w:rPr>
              <w:t>26,2</w:t>
            </w:r>
          </w:p>
        </w:tc>
        <w:tc>
          <w:tcPr>
            <w:tcW w:w="1028" w:type="dxa"/>
            <w:tcBorders>
              <w:top w:val="nil"/>
              <w:left w:val="nil"/>
              <w:bottom w:val="single" w:sz="4" w:space="0" w:color="auto"/>
              <w:right w:val="single" w:sz="4" w:space="0" w:color="auto"/>
            </w:tcBorders>
            <w:shd w:val="clear" w:color="auto" w:fill="auto"/>
            <w:vAlign w:val="center"/>
            <w:hideMark/>
          </w:tcPr>
          <w:p w14:paraId="68BC698A" w14:textId="77777777" w:rsidR="008F7A9E" w:rsidRPr="008F7A9E" w:rsidRDefault="008F7A9E" w:rsidP="008F7A9E">
            <w:pPr>
              <w:jc w:val="right"/>
              <w:rPr>
                <w:rFonts w:ascii="Arial Narrow" w:hAnsi="Arial Narrow" w:cs="Calibri"/>
                <w:sz w:val="16"/>
                <w:szCs w:val="16"/>
              </w:rPr>
            </w:pPr>
            <w:r w:rsidRPr="008F7A9E">
              <w:rPr>
                <w:rFonts w:ascii="Arial Narrow" w:hAnsi="Arial Narrow" w:cs="Calibri"/>
                <w:sz w:val="16"/>
                <w:szCs w:val="16"/>
              </w:rPr>
              <w:t>32,4</w:t>
            </w:r>
          </w:p>
        </w:tc>
        <w:tc>
          <w:tcPr>
            <w:tcW w:w="1217" w:type="dxa"/>
            <w:tcBorders>
              <w:top w:val="nil"/>
              <w:left w:val="nil"/>
              <w:bottom w:val="single" w:sz="4" w:space="0" w:color="auto"/>
              <w:right w:val="single" w:sz="4" w:space="0" w:color="auto"/>
            </w:tcBorders>
            <w:shd w:val="clear" w:color="auto" w:fill="auto"/>
            <w:vAlign w:val="center"/>
            <w:hideMark/>
          </w:tcPr>
          <w:p w14:paraId="1F29B8D0" w14:textId="77777777" w:rsidR="008F7A9E" w:rsidRPr="008F7A9E" w:rsidRDefault="008F7A9E" w:rsidP="008F7A9E">
            <w:pPr>
              <w:jc w:val="right"/>
              <w:rPr>
                <w:rFonts w:ascii="Arial Narrow" w:hAnsi="Arial Narrow" w:cs="Calibri"/>
                <w:sz w:val="16"/>
                <w:szCs w:val="16"/>
              </w:rPr>
            </w:pPr>
            <w:r w:rsidRPr="008F7A9E">
              <w:rPr>
                <w:rFonts w:ascii="Arial Narrow" w:hAnsi="Arial Narrow" w:cs="Calibri"/>
                <w:sz w:val="16"/>
                <w:szCs w:val="16"/>
              </w:rPr>
              <w:t>34,7</w:t>
            </w:r>
          </w:p>
        </w:tc>
        <w:tc>
          <w:tcPr>
            <w:tcW w:w="1075" w:type="dxa"/>
            <w:tcBorders>
              <w:top w:val="nil"/>
              <w:left w:val="nil"/>
              <w:bottom w:val="single" w:sz="4" w:space="0" w:color="auto"/>
              <w:right w:val="single" w:sz="4" w:space="0" w:color="auto"/>
            </w:tcBorders>
            <w:shd w:val="clear" w:color="auto" w:fill="auto"/>
            <w:vAlign w:val="center"/>
            <w:hideMark/>
          </w:tcPr>
          <w:p w14:paraId="1EA3C9B3" w14:textId="77777777" w:rsidR="008F7A9E" w:rsidRPr="008F7A9E" w:rsidRDefault="008F7A9E" w:rsidP="008F7A9E">
            <w:pPr>
              <w:jc w:val="right"/>
              <w:rPr>
                <w:rFonts w:ascii="Arial Narrow" w:hAnsi="Arial Narrow" w:cs="Calibri"/>
                <w:sz w:val="16"/>
                <w:szCs w:val="16"/>
              </w:rPr>
            </w:pPr>
            <w:r w:rsidRPr="008F7A9E">
              <w:rPr>
                <w:rFonts w:ascii="Arial Narrow" w:hAnsi="Arial Narrow" w:cs="Calibri"/>
                <w:sz w:val="16"/>
                <w:szCs w:val="16"/>
              </w:rPr>
              <w:t>0,3</w:t>
            </w:r>
          </w:p>
        </w:tc>
        <w:tc>
          <w:tcPr>
            <w:tcW w:w="1233" w:type="dxa"/>
            <w:tcBorders>
              <w:top w:val="nil"/>
              <w:left w:val="nil"/>
              <w:bottom w:val="single" w:sz="4" w:space="0" w:color="auto"/>
              <w:right w:val="single" w:sz="4" w:space="0" w:color="auto"/>
            </w:tcBorders>
            <w:shd w:val="clear" w:color="auto" w:fill="auto"/>
            <w:vAlign w:val="center"/>
            <w:hideMark/>
          </w:tcPr>
          <w:p w14:paraId="0C7D8C1B" w14:textId="77777777" w:rsidR="008F7A9E" w:rsidRPr="008F7A9E" w:rsidRDefault="008F7A9E" w:rsidP="008F7A9E">
            <w:pPr>
              <w:jc w:val="right"/>
              <w:rPr>
                <w:rFonts w:ascii="Arial Narrow" w:hAnsi="Arial Narrow" w:cs="Calibri"/>
                <w:sz w:val="16"/>
                <w:szCs w:val="16"/>
              </w:rPr>
            </w:pPr>
            <w:r w:rsidRPr="008F7A9E">
              <w:rPr>
                <w:rFonts w:ascii="Arial Narrow" w:hAnsi="Arial Narrow" w:cs="Calibri"/>
                <w:sz w:val="16"/>
                <w:szCs w:val="16"/>
              </w:rPr>
              <w:t>34,8</w:t>
            </w:r>
          </w:p>
        </w:tc>
      </w:tr>
      <w:tr w:rsidR="008F7A9E" w:rsidRPr="00B10684" w14:paraId="37AFD85C" w14:textId="77777777" w:rsidTr="005A18A5">
        <w:trPr>
          <w:trHeight w:val="251"/>
        </w:trPr>
        <w:tc>
          <w:tcPr>
            <w:tcW w:w="748" w:type="dxa"/>
            <w:tcBorders>
              <w:top w:val="nil"/>
              <w:left w:val="single" w:sz="4" w:space="0" w:color="auto"/>
              <w:bottom w:val="single" w:sz="4" w:space="0" w:color="auto"/>
              <w:right w:val="single" w:sz="4" w:space="0" w:color="auto"/>
            </w:tcBorders>
            <w:shd w:val="clear" w:color="auto" w:fill="auto"/>
            <w:vAlign w:val="center"/>
            <w:hideMark/>
          </w:tcPr>
          <w:p w14:paraId="60D7A148" w14:textId="77777777" w:rsidR="008F7A9E" w:rsidRPr="008F7A9E" w:rsidRDefault="008F7A9E" w:rsidP="008F7A9E">
            <w:pPr>
              <w:rPr>
                <w:rFonts w:ascii="Arial Narrow" w:hAnsi="Arial Narrow" w:cs="Calibri"/>
                <w:sz w:val="16"/>
                <w:szCs w:val="16"/>
              </w:rPr>
            </w:pPr>
            <w:r w:rsidRPr="008F7A9E">
              <w:rPr>
                <w:rFonts w:ascii="Arial Narrow" w:hAnsi="Arial Narrow" w:cs="Calibri"/>
                <w:sz w:val="16"/>
                <w:szCs w:val="16"/>
              </w:rPr>
              <w:t>02.4</w:t>
            </w:r>
          </w:p>
        </w:tc>
        <w:tc>
          <w:tcPr>
            <w:tcW w:w="4419" w:type="dxa"/>
            <w:tcBorders>
              <w:top w:val="nil"/>
              <w:left w:val="nil"/>
              <w:bottom w:val="single" w:sz="4" w:space="0" w:color="auto"/>
              <w:right w:val="single" w:sz="4" w:space="0" w:color="auto"/>
            </w:tcBorders>
            <w:shd w:val="clear" w:color="auto" w:fill="auto"/>
            <w:vAlign w:val="center"/>
            <w:hideMark/>
          </w:tcPr>
          <w:p w14:paraId="4B533EBE" w14:textId="77777777" w:rsidR="008F7A9E" w:rsidRPr="008F7A9E" w:rsidRDefault="008F7A9E" w:rsidP="008F7A9E">
            <w:pPr>
              <w:ind w:firstLineChars="100" w:firstLine="160"/>
              <w:rPr>
                <w:rFonts w:ascii="Arial Narrow" w:hAnsi="Arial Narrow" w:cs="Calibri"/>
                <w:sz w:val="16"/>
                <w:szCs w:val="16"/>
              </w:rPr>
            </w:pPr>
            <w:r w:rsidRPr="008F7A9E">
              <w:rPr>
                <w:rFonts w:ascii="Arial Narrow" w:hAnsi="Arial Narrow" w:cs="Calibri"/>
                <w:sz w:val="16"/>
                <w:szCs w:val="16"/>
              </w:rPr>
              <w:t>Захарно цвекло</w:t>
            </w:r>
          </w:p>
        </w:tc>
        <w:tc>
          <w:tcPr>
            <w:tcW w:w="1185" w:type="dxa"/>
            <w:tcBorders>
              <w:top w:val="nil"/>
              <w:left w:val="nil"/>
              <w:bottom w:val="single" w:sz="4" w:space="0" w:color="auto"/>
              <w:right w:val="single" w:sz="4" w:space="0" w:color="auto"/>
            </w:tcBorders>
            <w:shd w:val="clear" w:color="auto" w:fill="auto"/>
            <w:vAlign w:val="center"/>
            <w:hideMark/>
          </w:tcPr>
          <w:p w14:paraId="539AD4F7" w14:textId="77777777" w:rsidR="008F7A9E" w:rsidRPr="008F7A9E" w:rsidRDefault="008F7A9E" w:rsidP="008F7A9E">
            <w:pPr>
              <w:jc w:val="right"/>
              <w:rPr>
                <w:rFonts w:ascii="Arial Narrow" w:hAnsi="Arial Narrow" w:cs="Calibri"/>
                <w:sz w:val="16"/>
                <w:szCs w:val="16"/>
              </w:rPr>
            </w:pPr>
            <w:r w:rsidRPr="008F7A9E">
              <w:rPr>
                <w:rFonts w:ascii="Arial Narrow" w:hAnsi="Arial Narrow" w:cs="Calibri"/>
                <w:sz w:val="16"/>
                <w:szCs w:val="16"/>
              </w:rPr>
              <w:t> </w:t>
            </w:r>
          </w:p>
        </w:tc>
        <w:tc>
          <w:tcPr>
            <w:tcW w:w="1028" w:type="dxa"/>
            <w:tcBorders>
              <w:top w:val="nil"/>
              <w:left w:val="nil"/>
              <w:bottom w:val="single" w:sz="4" w:space="0" w:color="auto"/>
              <w:right w:val="single" w:sz="4" w:space="0" w:color="auto"/>
            </w:tcBorders>
            <w:shd w:val="clear" w:color="auto" w:fill="auto"/>
            <w:vAlign w:val="center"/>
            <w:hideMark/>
          </w:tcPr>
          <w:p w14:paraId="75E8EEAE" w14:textId="77777777" w:rsidR="008F7A9E" w:rsidRPr="008F7A9E" w:rsidRDefault="008F7A9E" w:rsidP="008F7A9E">
            <w:pPr>
              <w:rPr>
                <w:rFonts w:ascii="Arial Narrow" w:hAnsi="Arial Narrow" w:cs="Calibri"/>
                <w:sz w:val="16"/>
                <w:szCs w:val="16"/>
              </w:rPr>
            </w:pPr>
            <w:r w:rsidRPr="008F7A9E">
              <w:rPr>
                <w:rFonts w:ascii="Arial Narrow" w:hAnsi="Arial Narrow" w:cs="Calibri"/>
                <w:sz w:val="16"/>
                <w:szCs w:val="16"/>
              </w:rPr>
              <w:t> </w:t>
            </w:r>
          </w:p>
        </w:tc>
        <w:tc>
          <w:tcPr>
            <w:tcW w:w="1217" w:type="dxa"/>
            <w:tcBorders>
              <w:top w:val="nil"/>
              <w:left w:val="nil"/>
              <w:bottom w:val="single" w:sz="4" w:space="0" w:color="auto"/>
              <w:right w:val="single" w:sz="4" w:space="0" w:color="auto"/>
            </w:tcBorders>
            <w:shd w:val="clear" w:color="auto" w:fill="auto"/>
            <w:vAlign w:val="center"/>
            <w:hideMark/>
          </w:tcPr>
          <w:p w14:paraId="04197915" w14:textId="77777777" w:rsidR="008F7A9E" w:rsidRPr="008F7A9E" w:rsidRDefault="008F7A9E" w:rsidP="008F7A9E">
            <w:pPr>
              <w:jc w:val="right"/>
              <w:rPr>
                <w:rFonts w:ascii="Arial Narrow" w:hAnsi="Arial Narrow" w:cs="Calibri"/>
                <w:sz w:val="16"/>
                <w:szCs w:val="16"/>
              </w:rPr>
            </w:pPr>
            <w:r w:rsidRPr="008F7A9E">
              <w:rPr>
                <w:rFonts w:ascii="Arial Narrow" w:hAnsi="Arial Narrow" w:cs="Calibri"/>
                <w:sz w:val="16"/>
                <w:szCs w:val="16"/>
              </w:rPr>
              <w:t> </w:t>
            </w:r>
          </w:p>
        </w:tc>
        <w:tc>
          <w:tcPr>
            <w:tcW w:w="1075" w:type="dxa"/>
            <w:tcBorders>
              <w:top w:val="nil"/>
              <w:left w:val="nil"/>
              <w:bottom w:val="single" w:sz="4" w:space="0" w:color="auto"/>
              <w:right w:val="single" w:sz="4" w:space="0" w:color="auto"/>
            </w:tcBorders>
            <w:shd w:val="clear" w:color="auto" w:fill="auto"/>
            <w:vAlign w:val="center"/>
            <w:hideMark/>
          </w:tcPr>
          <w:p w14:paraId="6046D572" w14:textId="77777777" w:rsidR="008F7A9E" w:rsidRPr="008F7A9E" w:rsidRDefault="008F7A9E" w:rsidP="008F7A9E">
            <w:pPr>
              <w:rPr>
                <w:rFonts w:ascii="Arial Narrow" w:hAnsi="Arial Narrow" w:cs="Calibri"/>
                <w:sz w:val="16"/>
                <w:szCs w:val="16"/>
              </w:rPr>
            </w:pPr>
            <w:r w:rsidRPr="008F7A9E">
              <w:rPr>
                <w:rFonts w:ascii="Arial Narrow" w:hAnsi="Arial Narrow" w:cs="Calibri"/>
                <w:sz w:val="16"/>
                <w:szCs w:val="16"/>
              </w:rPr>
              <w:t> </w:t>
            </w:r>
          </w:p>
        </w:tc>
        <w:tc>
          <w:tcPr>
            <w:tcW w:w="1233" w:type="dxa"/>
            <w:tcBorders>
              <w:top w:val="nil"/>
              <w:left w:val="nil"/>
              <w:bottom w:val="single" w:sz="4" w:space="0" w:color="auto"/>
              <w:right w:val="single" w:sz="4" w:space="0" w:color="auto"/>
            </w:tcBorders>
            <w:shd w:val="clear" w:color="auto" w:fill="auto"/>
            <w:vAlign w:val="center"/>
            <w:hideMark/>
          </w:tcPr>
          <w:p w14:paraId="187766CF" w14:textId="77777777" w:rsidR="008F7A9E" w:rsidRPr="008F7A9E" w:rsidRDefault="008F7A9E" w:rsidP="008F7A9E">
            <w:pPr>
              <w:jc w:val="right"/>
              <w:rPr>
                <w:rFonts w:ascii="Arial Narrow" w:hAnsi="Arial Narrow" w:cs="Calibri"/>
                <w:sz w:val="16"/>
                <w:szCs w:val="16"/>
              </w:rPr>
            </w:pPr>
            <w:r w:rsidRPr="008F7A9E">
              <w:rPr>
                <w:rFonts w:ascii="Arial Narrow" w:hAnsi="Arial Narrow" w:cs="Calibri"/>
                <w:sz w:val="16"/>
                <w:szCs w:val="16"/>
              </w:rPr>
              <w:t> </w:t>
            </w:r>
          </w:p>
        </w:tc>
      </w:tr>
      <w:tr w:rsidR="008F7A9E" w:rsidRPr="00B10684" w14:paraId="0667CA7F" w14:textId="77777777" w:rsidTr="005A18A5">
        <w:trPr>
          <w:trHeight w:val="251"/>
        </w:trPr>
        <w:tc>
          <w:tcPr>
            <w:tcW w:w="748" w:type="dxa"/>
            <w:tcBorders>
              <w:top w:val="nil"/>
              <w:left w:val="single" w:sz="4" w:space="0" w:color="auto"/>
              <w:bottom w:val="single" w:sz="4" w:space="0" w:color="auto"/>
              <w:right w:val="single" w:sz="4" w:space="0" w:color="auto"/>
            </w:tcBorders>
            <w:shd w:val="clear" w:color="auto" w:fill="auto"/>
            <w:vAlign w:val="center"/>
            <w:hideMark/>
          </w:tcPr>
          <w:p w14:paraId="700C0DFF" w14:textId="77777777" w:rsidR="008F7A9E" w:rsidRPr="008F7A9E" w:rsidRDefault="008F7A9E" w:rsidP="008F7A9E">
            <w:pPr>
              <w:rPr>
                <w:rFonts w:ascii="Arial Narrow" w:hAnsi="Arial Narrow" w:cs="Calibri"/>
                <w:sz w:val="16"/>
                <w:szCs w:val="16"/>
              </w:rPr>
            </w:pPr>
            <w:r w:rsidRPr="008F7A9E">
              <w:rPr>
                <w:rFonts w:ascii="Arial Narrow" w:hAnsi="Arial Narrow" w:cs="Calibri"/>
                <w:sz w:val="16"/>
                <w:szCs w:val="16"/>
              </w:rPr>
              <w:t>02.5</w:t>
            </w:r>
          </w:p>
        </w:tc>
        <w:tc>
          <w:tcPr>
            <w:tcW w:w="4419" w:type="dxa"/>
            <w:tcBorders>
              <w:top w:val="nil"/>
              <w:left w:val="nil"/>
              <w:bottom w:val="single" w:sz="4" w:space="0" w:color="auto"/>
              <w:right w:val="single" w:sz="4" w:space="0" w:color="auto"/>
            </w:tcBorders>
            <w:shd w:val="clear" w:color="auto" w:fill="auto"/>
            <w:vAlign w:val="center"/>
            <w:hideMark/>
          </w:tcPr>
          <w:p w14:paraId="1981E1E8" w14:textId="77777777" w:rsidR="008F7A9E" w:rsidRPr="008F7A9E" w:rsidRDefault="008F7A9E" w:rsidP="008F7A9E">
            <w:pPr>
              <w:ind w:firstLineChars="100" w:firstLine="160"/>
              <w:rPr>
                <w:rFonts w:ascii="Arial Narrow" w:hAnsi="Arial Narrow" w:cs="Calibri"/>
                <w:sz w:val="16"/>
                <w:szCs w:val="16"/>
              </w:rPr>
            </w:pPr>
            <w:r w:rsidRPr="008F7A9E">
              <w:rPr>
                <w:rFonts w:ascii="Arial Narrow" w:hAnsi="Arial Narrow" w:cs="Calibri"/>
                <w:sz w:val="16"/>
                <w:szCs w:val="16"/>
              </w:rPr>
              <w:t xml:space="preserve">Други технически </w:t>
            </w:r>
          </w:p>
        </w:tc>
        <w:tc>
          <w:tcPr>
            <w:tcW w:w="1185" w:type="dxa"/>
            <w:tcBorders>
              <w:top w:val="nil"/>
              <w:left w:val="nil"/>
              <w:bottom w:val="single" w:sz="4" w:space="0" w:color="auto"/>
              <w:right w:val="single" w:sz="4" w:space="0" w:color="auto"/>
            </w:tcBorders>
            <w:shd w:val="clear" w:color="auto" w:fill="auto"/>
            <w:vAlign w:val="center"/>
            <w:hideMark/>
          </w:tcPr>
          <w:p w14:paraId="26C434E9" w14:textId="77777777" w:rsidR="008F7A9E" w:rsidRPr="008F7A9E" w:rsidRDefault="008F7A9E" w:rsidP="008F7A9E">
            <w:pPr>
              <w:jc w:val="right"/>
              <w:rPr>
                <w:rFonts w:ascii="Arial Narrow" w:hAnsi="Arial Narrow" w:cs="Calibri"/>
                <w:sz w:val="16"/>
                <w:szCs w:val="16"/>
              </w:rPr>
            </w:pPr>
            <w:r w:rsidRPr="008F7A9E">
              <w:rPr>
                <w:rFonts w:ascii="Arial Narrow" w:hAnsi="Arial Narrow" w:cs="Calibri"/>
                <w:sz w:val="16"/>
                <w:szCs w:val="16"/>
              </w:rPr>
              <w:t>134,3</w:t>
            </w:r>
          </w:p>
        </w:tc>
        <w:tc>
          <w:tcPr>
            <w:tcW w:w="1028" w:type="dxa"/>
            <w:tcBorders>
              <w:top w:val="nil"/>
              <w:left w:val="nil"/>
              <w:bottom w:val="single" w:sz="4" w:space="0" w:color="auto"/>
              <w:right w:val="single" w:sz="4" w:space="0" w:color="auto"/>
            </w:tcBorders>
            <w:shd w:val="clear" w:color="auto" w:fill="auto"/>
            <w:vAlign w:val="center"/>
            <w:hideMark/>
          </w:tcPr>
          <w:p w14:paraId="502E87E4" w14:textId="77777777" w:rsidR="008F7A9E" w:rsidRPr="008F7A9E" w:rsidRDefault="008F7A9E" w:rsidP="008F7A9E">
            <w:pPr>
              <w:jc w:val="right"/>
              <w:rPr>
                <w:rFonts w:ascii="Arial Narrow" w:hAnsi="Arial Narrow" w:cs="Calibri"/>
                <w:sz w:val="16"/>
                <w:szCs w:val="16"/>
              </w:rPr>
            </w:pPr>
            <w:r w:rsidRPr="008F7A9E">
              <w:rPr>
                <w:rFonts w:ascii="Arial Narrow" w:hAnsi="Arial Narrow" w:cs="Calibri"/>
                <w:sz w:val="16"/>
                <w:szCs w:val="16"/>
              </w:rPr>
              <w:t>-22,9</w:t>
            </w:r>
          </w:p>
        </w:tc>
        <w:tc>
          <w:tcPr>
            <w:tcW w:w="1217" w:type="dxa"/>
            <w:tcBorders>
              <w:top w:val="nil"/>
              <w:left w:val="nil"/>
              <w:bottom w:val="single" w:sz="4" w:space="0" w:color="auto"/>
              <w:right w:val="single" w:sz="4" w:space="0" w:color="auto"/>
            </w:tcBorders>
            <w:shd w:val="clear" w:color="auto" w:fill="auto"/>
            <w:vAlign w:val="center"/>
            <w:hideMark/>
          </w:tcPr>
          <w:p w14:paraId="242006FA" w14:textId="77777777" w:rsidR="008F7A9E" w:rsidRPr="008F7A9E" w:rsidRDefault="008F7A9E" w:rsidP="008F7A9E">
            <w:pPr>
              <w:jc w:val="right"/>
              <w:rPr>
                <w:rFonts w:ascii="Arial Narrow" w:hAnsi="Arial Narrow" w:cs="Calibri"/>
                <w:sz w:val="16"/>
                <w:szCs w:val="16"/>
              </w:rPr>
            </w:pPr>
            <w:r w:rsidRPr="008F7A9E">
              <w:rPr>
                <w:rFonts w:ascii="Arial Narrow" w:hAnsi="Arial Narrow" w:cs="Calibri"/>
                <w:sz w:val="16"/>
                <w:szCs w:val="16"/>
              </w:rPr>
              <w:t>103,5</w:t>
            </w:r>
          </w:p>
        </w:tc>
        <w:tc>
          <w:tcPr>
            <w:tcW w:w="1075" w:type="dxa"/>
            <w:tcBorders>
              <w:top w:val="nil"/>
              <w:left w:val="nil"/>
              <w:bottom w:val="single" w:sz="4" w:space="0" w:color="auto"/>
              <w:right w:val="single" w:sz="4" w:space="0" w:color="auto"/>
            </w:tcBorders>
            <w:shd w:val="clear" w:color="auto" w:fill="auto"/>
            <w:vAlign w:val="center"/>
            <w:hideMark/>
          </w:tcPr>
          <w:p w14:paraId="7BB873CB" w14:textId="77777777" w:rsidR="008F7A9E" w:rsidRPr="008F7A9E" w:rsidRDefault="008F7A9E" w:rsidP="008F7A9E">
            <w:pPr>
              <w:jc w:val="right"/>
              <w:rPr>
                <w:rFonts w:ascii="Arial Narrow" w:hAnsi="Arial Narrow" w:cs="Calibri"/>
                <w:sz w:val="16"/>
                <w:szCs w:val="16"/>
              </w:rPr>
            </w:pPr>
            <w:r w:rsidRPr="008F7A9E">
              <w:rPr>
                <w:rFonts w:ascii="Arial Narrow" w:hAnsi="Arial Narrow" w:cs="Calibri"/>
                <w:sz w:val="16"/>
                <w:szCs w:val="16"/>
              </w:rPr>
              <w:t>4,9</w:t>
            </w:r>
          </w:p>
        </w:tc>
        <w:tc>
          <w:tcPr>
            <w:tcW w:w="1233" w:type="dxa"/>
            <w:tcBorders>
              <w:top w:val="nil"/>
              <w:left w:val="nil"/>
              <w:bottom w:val="single" w:sz="4" w:space="0" w:color="auto"/>
              <w:right w:val="single" w:sz="4" w:space="0" w:color="auto"/>
            </w:tcBorders>
            <w:shd w:val="clear" w:color="auto" w:fill="auto"/>
            <w:vAlign w:val="center"/>
            <w:hideMark/>
          </w:tcPr>
          <w:p w14:paraId="6E3F1DD1" w14:textId="77777777" w:rsidR="008F7A9E" w:rsidRPr="008F7A9E" w:rsidRDefault="008F7A9E" w:rsidP="008F7A9E">
            <w:pPr>
              <w:jc w:val="right"/>
              <w:rPr>
                <w:rFonts w:ascii="Arial Narrow" w:hAnsi="Arial Narrow" w:cs="Calibri"/>
                <w:sz w:val="16"/>
                <w:szCs w:val="16"/>
              </w:rPr>
            </w:pPr>
            <w:r w:rsidRPr="008F7A9E">
              <w:rPr>
                <w:rFonts w:ascii="Arial Narrow" w:hAnsi="Arial Narrow" w:cs="Calibri"/>
                <w:sz w:val="16"/>
                <w:szCs w:val="16"/>
              </w:rPr>
              <w:t>108,6</w:t>
            </w:r>
          </w:p>
        </w:tc>
      </w:tr>
      <w:tr w:rsidR="008F7A9E" w:rsidRPr="00B10684" w14:paraId="5C7F3BDF" w14:textId="77777777" w:rsidTr="005A18A5">
        <w:trPr>
          <w:trHeight w:val="251"/>
        </w:trPr>
        <w:tc>
          <w:tcPr>
            <w:tcW w:w="748" w:type="dxa"/>
            <w:tcBorders>
              <w:top w:val="nil"/>
              <w:left w:val="single" w:sz="4" w:space="0" w:color="auto"/>
              <w:bottom w:val="single" w:sz="4" w:space="0" w:color="auto"/>
              <w:right w:val="single" w:sz="4" w:space="0" w:color="auto"/>
            </w:tcBorders>
            <w:shd w:val="clear" w:color="auto" w:fill="auto"/>
            <w:vAlign w:val="center"/>
            <w:hideMark/>
          </w:tcPr>
          <w:p w14:paraId="56D02F72" w14:textId="77777777" w:rsidR="008F7A9E" w:rsidRPr="008F7A9E" w:rsidRDefault="008F7A9E" w:rsidP="008F7A9E">
            <w:pPr>
              <w:rPr>
                <w:rFonts w:ascii="Arial Narrow" w:hAnsi="Arial Narrow" w:cs="Calibri"/>
                <w:sz w:val="16"/>
                <w:szCs w:val="16"/>
              </w:rPr>
            </w:pPr>
            <w:r w:rsidRPr="008F7A9E">
              <w:rPr>
                <w:rFonts w:ascii="Arial Narrow" w:hAnsi="Arial Narrow" w:cs="Calibri"/>
                <w:sz w:val="16"/>
                <w:szCs w:val="16"/>
              </w:rPr>
              <w:t>02.5/1</w:t>
            </w:r>
          </w:p>
        </w:tc>
        <w:tc>
          <w:tcPr>
            <w:tcW w:w="4419" w:type="dxa"/>
            <w:tcBorders>
              <w:top w:val="nil"/>
              <w:left w:val="nil"/>
              <w:bottom w:val="single" w:sz="4" w:space="0" w:color="auto"/>
              <w:right w:val="single" w:sz="4" w:space="0" w:color="auto"/>
            </w:tcBorders>
            <w:shd w:val="clear" w:color="auto" w:fill="auto"/>
            <w:vAlign w:val="center"/>
            <w:hideMark/>
          </w:tcPr>
          <w:p w14:paraId="0BB902EE" w14:textId="77777777" w:rsidR="008F7A9E" w:rsidRPr="008F7A9E" w:rsidRDefault="008F7A9E" w:rsidP="008F7A9E">
            <w:pPr>
              <w:ind w:firstLineChars="200" w:firstLine="320"/>
              <w:rPr>
                <w:rFonts w:ascii="Arial Narrow" w:hAnsi="Arial Narrow" w:cs="Calibri"/>
                <w:sz w:val="16"/>
                <w:szCs w:val="16"/>
              </w:rPr>
            </w:pPr>
            <w:r w:rsidRPr="008F7A9E">
              <w:rPr>
                <w:rFonts w:ascii="Arial Narrow" w:hAnsi="Arial Narrow" w:cs="Calibri"/>
                <w:sz w:val="16"/>
                <w:szCs w:val="16"/>
              </w:rPr>
              <w:t>Влакнодайни култури</w:t>
            </w:r>
          </w:p>
        </w:tc>
        <w:tc>
          <w:tcPr>
            <w:tcW w:w="1185" w:type="dxa"/>
            <w:tcBorders>
              <w:top w:val="nil"/>
              <w:left w:val="nil"/>
              <w:bottom w:val="single" w:sz="4" w:space="0" w:color="auto"/>
              <w:right w:val="single" w:sz="4" w:space="0" w:color="auto"/>
            </w:tcBorders>
            <w:shd w:val="clear" w:color="auto" w:fill="auto"/>
            <w:vAlign w:val="center"/>
            <w:hideMark/>
          </w:tcPr>
          <w:p w14:paraId="53B2281F" w14:textId="77777777" w:rsidR="008F7A9E" w:rsidRPr="008F7A9E" w:rsidRDefault="008F7A9E" w:rsidP="008F7A9E">
            <w:pPr>
              <w:jc w:val="right"/>
              <w:rPr>
                <w:rFonts w:ascii="Arial Narrow" w:hAnsi="Arial Narrow" w:cs="Calibri"/>
                <w:sz w:val="16"/>
                <w:szCs w:val="16"/>
              </w:rPr>
            </w:pPr>
            <w:r w:rsidRPr="008F7A9E">
              <w:rPr>
                <w:rFonts w:ascii="Arial Narrow" w:hAnsi="Arial Narrow" w:cs="Calibri"/>
                <w:sz w:val="16"/>
                <w:szCs w:val="16"/>
              </w:rPr>
              <w:t>3,3</w:t>
            </w:r>
          </w:p>
        </w:tc>
        <w:tc>
          <w:tcPr>
            <w:tcW w:w="1028" w:type="dxa"/>
            <w:tcBorders>
              <w:top w:val="nil"/>
              <w:left w:val="nil"/>
              <w:bottom w:val="single" w:sz="4" w:space="0" w:color="auto"/>
              <w:right w:val="single" w:sz="4" w:space="0" w:color="auto"/>
            </w:tcBorders>
            <w:shd w:val="clear" w:color="auto" w:fill="auto"/>
            <w:vAlign w:val="center"/>
            <w:hideMark/>
          </w:tcPr>
          <w:p w14:paraId="74BA07EC" w14:textId="77777777" w:rsidR="008F7A9E" w:rsidRPr="008F7A9E" w:rsidRDefault="008F7A9E" w:rsidP="008F7A9E">
            <w:pPr>
              <w:jc w:val="right"/>
              <w:rPr>
                <w:rFonts w:ascii="Arial Narrow" w:hAnsi="Arial Narrow" w:cs="Calibri"/>
                <w:sz w:val="16"/>
                <w:szCs w:val="16"/>
              </w:rPr>
            </w:pPr>
            <w:r w:rsidRPr="008F7A9E">
              <w:rPr>
                <w:rFonts w:ascii="Arial Narrow" w:hAnsi="Arial Narrow" w:cs="Calibri"/>
                <w:sz w:val="16"/>
                <w:szCs w:val="16"/>
              </w:rPr>
              <w:t>6,1</w:t>
            </w:r>
          </w:p>
        </w:tc>
        <w:tc>
          <w:tcPr>
            <w:tcW w:w="1217" w:type="dxa"/>
            <w:tcBorders>
              <w:top w:val="nil"/>
              <w:left w:val="nil"/>
              <w:bottom w:val="single" w:sz="4" w:space="0" w:color="auto"/>
              <w:right w:val="single" w:sz="4" w:space="0" w:color="auto"/>
            </w:tcBorders>
            <w:shd w:val="clear" w:color="auto" w:fill="auto"/>
            <w:vAlign w:val="center"/>
            <w:hideMark/>
          </w:tcPr>
          <w:p w14:paraId="1FCEE0B2" w14:textId="77777777" w:rsidR="008F7A9E" w:rsidRPr="008F7A9E" w:rsidRDefault="008F7A9E" w:rsidP="008F7A9E">
            <w:pPr>
              <w:jc w:val="right"/>
              <w:rPr>
                <w:rFonts w:ascii="Arial Narrow" w:hAnsi="Arial Narrow" w:cs="Calibri"/>
                <w:sz w:val="16"/>
                <w:szCs w:val="16"/>
              </w:rPr>
            </w:pPr>
            <w:r w:rsidRPr="008F7A9E">
              <w:rPr>
                <w:rFonts w:ascii="Arial Narrow" w:hAnsi="Arial Narrow" w:cs="Calibri"/>
                <w:sz w:val="16"/>
                <w:szCs w:val="16"/>
              </w:rPr>
              <w:t>3,5</w:t>
            </w:r>
          </w:p>
        </w:tc>
        <w:tc>
          <w:tcPr>
            <w:tcW w:w="1075" w:type="dxa"/>
            <w:tcBorders>
              <w:top w:val="nil"/>
              <w:left w:val="nil"/>
              <w:bottom w:val="single" w:sz="4" w:space="0" w:color="auto"/>
              <w:right w:val="single" w:sz="4" w:space="0" w:color="auto"/>
            </w:tcBorders>
            <w:shd w:val="clear" w:color="auto" w:fill="auto"/>
            <w:vAlign w:val="center"/>
            <w:hideMark/>
          </w:tcPr>
          <w:p w14:paraId="5E8EDF29" w14:textId="77777777" w:rsidR="008F7A9E" w:rsidRPr="008F7A9E" w:rsidRDefault="008F7A9E" w:rsidP="008F7A9E">
            <w:pPr>
              <w:jc w:val="right"/>
              <w:rPr>
                <w:rFonts w:ascii="Arial Narrow" w:hAnsi="Arial Narrow" w:cs="Calibri"/>
                <w:sz w:val="16"/>
                <w:szCs w:val="16"/>
              </w:rPr>
            </w:pPr>
            <w:r w:rsidRPr="008F7A9E">
              <w:rPr>
                <w:rFonts w:ascii="Arial Narrow" w:hAnsi="Arial Narrow" w:cs="Calibri"/>
                <w:sz w:val="16"/>
                <w:szCs w:val="16"/>
              </w:rPr>
              <w:t>28,6</w:t>
            </w:r>
          </w:p>
        </w:tc>
        <w:tc>
          <w:tcPr>
            <w:tcW w:w="1233" w:type="dxa"/>
            <w:tcBorders>
              <w:top w:val="nil"/>
              <w:left w:val="nil"/>
              <w:bottom w:val="single" w:sz="4" w:space="0" w:color="auto"/>
              <w:right w:val="single" w:sz="4" w:space="0" w:color="auto"/>
            </w:tcBorders>
            <w:shd w:val="clear" w:color="auto" w:fill="auto"/>
            <w:vAlign w:val="center"/>
            <w:hideMark/>
          </w:tcPr>
          <w:p w14:paraId="2A140136" w14:textId="77777777" w:rsidR="008F7A9E" w:rsidRPr="008F7A9E" w:rsidRDefault="008F7A9E" w:rsidP="008F7A9E">
            <w:pPr>
              <w:jc w:val="right"/>
              <w:rPr>
                <w:rFonts w:ascii="Arial Narrow" w:hAnsi="Arial Narrow" w:cs="Calibri"/>
                <w:sz w:val="16"/>
                <w:szCs w:val="16"/>
              </w:rPr>
            </w:pPr>
            <w:r w:rsidRPr="008F7A9E">
              <w:rPr>
                <w:rFonts w:ascii="Arial Narrow" w:hAnsi="Arial Narrow" w:cs="Calibri"/>
                <w:sz w:val="16"/>
                <w:szCs w:val="16"/>
              </w:rPr>
              <w:t>4,5</w:t>
            </w:r>
          </w:p>
        </w:tc>
      </w:tr>
      <w:tr w:rsidR="008F7A9E" w:rsidRPr="00B10684" w14:paraId="388909ED" w14:textId="77777777" w:rsidTr="005A18A5">
        <w:trPr>
          <w:trHeight w:val="251"/>
        </w:trPr>
        <w:tc>
          <w:tcPr>
            <w:tcW w:w="748" w:type="dxa"/>
            <w:tcBorders>
              <w:top w:val="nil"/>
              <w:left w:val="single" w:sz="4" w:space="0" w:color="auto"/>
              <w:bottom w:val="single" w:sz="4" w:space="0" w:color="auto"/>
              <w:right w:val="single" w:sz="4" w:space="0" w:color="auto"/>
            </w:tcBorders>
            <w:shd w:val="clear" w:color="auto" w:fill="auto"/>
            <w:vAlign w:val="center"/>
            <w:hideMark/>
          </w:tcPr>
          <w:p w14:paraId="1828D040" w14:textId="77777777" w:rsidR="008F7A9E" w:rsidRPr="008F7A9E" w:rsidRDefault="008F7A9E" w:rsidP="008F7A9E">
            <w:pPr>
              <w:rPr>
                <w:rFonts w:ascii="Arial Narrow" w:hAnsi="Arial Narrow" w:cs="Calibri"/>
                <w:sz w:val="16"/>
                <w:szCs w:val="16"/>
              </w:rPr>
            </w:pPr>
            <w:r w:rsidRPr="008F7A9E">
              <w:rPr>
                <w:rFonts w:ascii="Arial Narrow" w:hAnsi="Arial Narrow" w:cs="Calibri"/>
                <w:sz w:val="16"/>
                <w:szCs w:val="16"/>
              </w:rPr>
              <w:t>02.5/2</w:t>
            </w:r>
          </w:p>
        </w:tc>
        <w:tc>
          <w:tcPr>
            <w:tcW w:w="4419" w:type="dxa"/>
            <w:tcBorders>
              <w:top w:val="nil"/>
              <w:left w:val="nil"/>
              <w:bottom w:val="single" w:sz="4" w:space="0" w:color="auto"/>
              <w:right w:val="single" w:sz="4" w:space="0" w:color="auto"/>
            </w:tcBorders>
            <w:shd w:val="clear" w:color="auto" w:fill="auto"/>
            <w:vAlign w:val="center"/>
            <w:hideMark/>
          </w:tcPr>
          <w:p w14:paraId="70C9F2DA" w14:textId="77777777" w:rsidR="008F7A9E" w:rsidRPr="008F7A9E" w:rsidRDefault="008F7A9E" w:rsidP="008F7A9E">
            <w:pPr>
              <w:ind w:firstLineChars="200" w:firstLine="320"/>
              <w:rPr>
                <w:rFonts w:ascii="Arial Narrow" w:hAnsi="Arial Narrow" w:cs="Calibri"/>
                <w:sz w:val="16"/>
                <w:szCs w:val="16"/>
              </w:rPr>
            </w:pPr>
            <w:r w:rsidRPr="008F7A9E">
              <w:rPr>
                <w:rFonts w:ascii="Arial Narrow" w:hAnsi="Arial Narrow" w:cs="Calibri"/>
                <w:sz w:val="16"/>
                <w:szCs w:val="16"/>
              </w:rPr>
              <w:t>Хмел</w:t>
            </w:r>
          </w:p>
        </w:tc>
        <w:tc>
          <w:tcPr>
            <w:tcW w:w="1185" w:type="dxa"/>
            <w:tcBorders>
              <w:top w:val="nil"/>
              <w:left w:val="nil"/>
              <w:bottom w:val="single" w:sz="4" w:space="0" w:color="auto"/>
              <w:right w:val="single" w:sz="4" w:space="0" w:color="auto"/>
            </w:tcBorders>
            <w:shd w:val="clear" w:color="auto" w:fill="auto"/>
            <w:vAlign w:val="center"/>
            <w:hideMark/>
          </w:tcPr>
          <w:p w14:paraId="0E76799A" w14:textId="77777777" w:rsidR="008F7A9E" w:rsidRPr="008F7A9E" w:rsidRDefault="008F7A9E" w:rsidP="008F7A9E">
            <w:pPr>
              <w:jc w:val="right"/>
              <w:rPr>
                <w:rFonts w:ascii="Arial Narrow" w:hAnsi="Arial Narrow" w:cs="Calibri"/>
                <w:sz w:val="16"/>
                <w:szCs w:val="16"/>
              </w:rPr>
            </w:pPr>
            <w:r w:rsidRPr="008F7A9E">
              <w:rPr>
                <w:rFonts w:ascii="Arial Narrow" w:hAnsi="Arial Narrow" w:cs="Calibri"/>
                <w:sz w:val="16"/>
                <w:szCs w:val="16"/>
              </w:rPr>
              <w:t>1,3</w:t>
            </w:r>
          </w:p>
        </w:tc>
        <w:tc>
          <w:tcPr>
            <w:tcW w:w="1028" w:type="dxa"/>
            <w:tcBorders>
              <w:top w:val="nil"/>
              <w:left w:val="nil"/>
              <w:bottom w:val="single" w:sz="4" w:space="0" w:color="auto"/>
              <w:right w:val="single" w:sz="4" w:space="0" w:color="auto"/>
            </w:tcBorders>
            <w:shd w:val="clear" w:color="auto" w:fill="auto"/>
            <w:vAlign w:val="center"/>
            <w:hideMark/>
          </w:tcPr>
          <w:p w14:paraId="7223CBB4" w14:textId="77777777" w:rsidR="008F7A9E" w:rsidRPr="008F7A9E" w:rsidRDefault="008F7A9E" w:rsidP="008F7A9E">
            <w:pPr>
              <w:jc w:val="right"/>
              <w:rPr>
                <w:rFonts w:ascii="Arial Narrow" w:hAnsi="Arial Narrow" w:cs="Calibri"/>
                <w:sz w:val="16"/>
                <w:szCs w:val="16"/>
              </w:rPr>
            </w:pPr>
            <w:r w:rsidRPr="008F7A9E">
              <w:rPr>
                <w:rFonts w:ascii="Arial Narrow" w:hAnsi="Arial Narrow" w:cs="Calibri"/>
                <w:sz w:val="16"/>
                <w:szCs w:val="16"/>
              </w:rPr>
              <w:t>-23,1</w:t>
            </w:r>
          </w:p>
        </w:tc>
        <w:tc>
          <w:tcPr>
            <w:tcW w:w="1217" w:type="dxa"/>
            <w:tcBorders>
              <w:top w:val="nil"/>
              <w:left w:val="nil"/>
              <w:bottom w:val="single" w:sz="4" w:space="0" w:color="auto"/>
              <w:right w:val="single" w:sz="4" w:space="0" w:color="auto"/>
            </w:tcBorders>
            <w:shd w:val="clear" w:color="auto" w:fill="auto"/>
            <w:vAlign w:val="center"/>
            <w:hideMark/>
          </w:tcPr>
          <w:p w14:paraId="624AB286" w14:textId="77777777" w:rsidR="008F7A9E" w:rsidRPr="008F7A9E" w:rsidRDefault="008F7A9E" w:rsidP="008F7A9E">
            <w:pPr>
              <w:jc w:val="right"/>
              <w:rPr>
                <w:rFonts w:ascii="Arial Narrow" w:hAnsi="Arial Narrow" w:cs="Calibri"/>
                <w:sz w:val="16"/>
                <w:szCs w:val="16"/>
              </w:rPr>
            </w:pPr>
            <w:r w:rsidRPr="008F7A9E">
              <w:rPr>
                <w:rFonts w:ascii="Arial Narrow" w:hAnsi="Arial Narrow" w:cs="Calibri"/>
                <w:sz w:val="16"/>
                <w:szCs w:val="16"/>
              </w:rPr>
              <w:t>1,0</w:t>
            </w:r>
          </w:p>
        </w:tc>
        <w:tc>
          <w:tcPr>
            <w:tcW w:w="1075" w:type="dxa"/>
            <w:tcBorders>
              <w:top w:val="nil"/>
              <w:left w:val="nil"/>
              <w:bottom w:val="single" w:sz="4" w:space="0" w:color="auto"/>
              <w:right w:val="single" w:sz="4" w:space="0" w:color="auto"/>
            </w:tcBorders>
            <w:shd w:val="clear" w:color="auto" w:fill="auto"/>
            <w:vAlign w:val="center"/>
            <w:hideMark/>
          </w:tcPr>
          <w:p w14:paraId="66AF9B84" w14:textId="77777777" w:rsidR="008F7A9E" w:rsidRPr="008F7A9E" w:rsidRDefault="008F7A9E" w:rsidP="008F7A9E">
            <w:pPr>
              <w:rPr>
                <w:rFonts w:ascii="Arial Narrow" w:hAnsi="Arial Narrow" w:cs="Calibri"/>
                <w:sz w:val="16"/>
                <w:szCs w:val="16"/>
              </w:rPr>
            </w:pPr>
            <w:r w:rsidRPr="008F7A9E">
              <w:rPr>
                <w:rFonts w:ascii="Arial Narrow" w:hAnsi="Arial Narrow" w:cs="Calibri"/>
                <w:sz w:val="16"/>
                <w:szCs w:val="16"/>
              </w:rPr>
              <w:t> </w:t>
            </w:r>
          </w:p>
        </w:tc>
        <w:tc>
          <w:tcPr>
            <w:tcW w:w="1233" w:type="dxa"/>
            <w:tcBorders>
              <w:top w:val="nil"/>
              <w:left w:val="nil"/>
              <w:bottom w:val="single" w:sz="4" w:space="0" w:color="auto"/>
              <w:right w:val="single" w:sz="4" w:space="0" w:color="auto"/>
            </w:tcBorders>
            <w:shd w:val="clear" w:color="auto" w:fill="auto"/>
            <w:vAlign w:val="center"/>
            <w:hideMark/>
          </w:tcPr>
          <w:p w14:paraId="79EDF2D0" w14:textId="77777777" w:rsidR="008F7A9E" w:rsidRPr="008F7A9E" w:rsidRDefault="008F7A9E" w:rsidP="008F7A9E">
            <w:pPr>
              <w:jc w:val="right"/>
              <w:rPr>
                <w:rFonts w:ascii="Arial Narrow" w:hAnsi="Arial Narrow" w:cs="Calibri"/>
                <w:sz w:val="16"/>
                <w:szCs w:val="16"/>
              </w:rPr>
            </w:pPr>
            <w:r w:rsidRPr="008F7A9E">
              <w:rPr>
                <w:rFonts w:ascii="Arial Narrow" w:hAnsi="Arial Narrow" w:cs="Calibri"/>
                <w:sz w:val="16"/>
                <w:szCs w:val="16"/>
              </w:rPr>
              <w:t>1,0</w:t>
            </w:r>
          </w:p>
        </w:tc>
      </w:tr>
      <w:tr w:rsidR="008F7A9E" w:rsidRPr="00B10684" w14:paraId="3C1D84ED" w14:textId="77777777" w:rsidTr="005A18A5">
        <w:trPr>
          <w:trHeight w:val="251"/>
        </w:trPr>
        <w:tc>
          <w:tcPr>
            <w:tcW w:w="748" w:type="dxa"/>
            <w:tcBorders>
              <w:top w:val="nil"/>
              <w:left w:val="single" w:sz="4" w:space="0" w:color="auto"/>
              <w:bottom w:val="single" w:sz="4" w:space="0" w:color="auto"/>
              <w:right w:val="single" w:sz="4" w:space="0" w:color="auto"/>
            </w:tcBorders>
            <w:shd w:val="clear" w:color="auto" w:fill="auto"/>
            <w:vAlign w:val="center"/>
            <w:hideMark/>
          </w:tcPr>
          <w:p w14:paraId="7C4EA661" w14:textId="77777777" w:rsidR="008F7A9E" w:rsidRPr="008F7A9E" w:rsidRDefault="008F7A9E" w:rsidP="008F7A9E">
            <w:pPr>
              <w:rPr>
                <w:rFonts w:ascii="Arial Narrow" w:hAnsi="Arial Narrow" w:cs="Calibri"/>
                <w:sz w:val="16"/>
                <w:szCs w:val="16"/>
              </w:rPr>
            </w:pPr>
            <w:r w:rsidRPr="008F7A9E">
              <w:rPr>
                <w:rFonts w:ascii="Arial Narrow" w:hAnsi="Arial Narrow" w:cs="Calibri"/>
                <w:sz w:val="16"/>
                <w:szCs w:val="16"/>
              </w:rPr>
              <w:t>02.5/3</w:t>
            </w:r>
          </w:p>
        </w:tc>
        <w:tc>
          <w:tcPr>
            <w:tcW w:w="4419" w:type="dxa"/>
            <w:tcBorders>
              <w:top w:val="nil"/>
              <w:left w:val="nil"/>
              <w:bottom w:val="single" w:sz="4" w:space="0" w:color="auto"/>
              <w:right w:val="single" w:sz="4" w:space="0" w:color="auto"/>
            </w:tcBorders>
            <w:shd w:val="clear" w:color="auto" w:fill="auto"/>
            <w:vAlign w:val="center"/>
            <w:hideMark/>
          </w:tcPr>
          <w:p w14:paraId="7051DCE8" w14:textId="77777777" w:rsidR="008F7A9E" w:rsidRPr="00CD44F3" w:rsidRDefault="008F7A9E" w:rsidP="008F7A9E">
            <w:pPr>
              <w:ind w:firstLineChars="200" w:firstLine="320"/>
              <w:rPr>
                <w:rFonts w:ascii="Arial Narrow" w:hAnsi="Arial Narrow" w:cs="Calibri"/>
                <w:sz w:val="16"/>
                <w:szCs w:val="16"/>
                <w:lang w:val="bg-BG"/>
              </w:rPr>
            </w:pPr>
            <w:r w:rsidRPr="008F7A9E">
              <w:rPr>
                <w:rFonts w:ascii="Arial Narrow" w:hAnsi="Arial Narrow" w:cs="Calibri"/>
                <w:sz w:val="16"/>
                <w:szCs w:val="16"/>
              </w:rPr>
              <w:t xml:space="preserve">Други технически </w:t>
            </w:r>
            <w:r w:rsidR="00D56BD4">
              <w:rPr>
                <w:rFonts w:ascii="Arial Narrow" w:hAnsi="Arial Narrow" w:cs="Calibri"/>
                <w:sz w:val="16"/>
                <w:szCs w:val="16"/>
                <w:lang w:val="bg-BG"/>
              </w:rPr>
              <w:t>култури</w:t>
            </w:r>
          </w:p>
        </w:tc>
        <w:tc>
          <w:tcPr>
            <w:tcW w:w="1185" w:type="dxa"/>
            <w:tcBorders>
              <w:top w:val="nil"/>
              <w:left w:val="nil"/>
              <w:bottom w:val="single" w:sz="4" w:space="0" w:color="auto"/>
              <w:right w:val="single" w:sz="4" w:space="0" w:color="auto"/>
            </w:tcBorders>
            <w:shd w:val="clear" w:color="auto" w:fill="auto"/>
            <w:vAlign w:val="center"/>
            <w:hideMark/>
          </w:tcPr>
          <w:p w14:paraId="0F94B249" w14:textId="77777777" w:rsidR="008F7A9E" w:rsidRPr="008F7A9E" w:rsidRDefault="008F7A9E" w:rsidP="008F7A9E">
            <w:pPr>
              <w:jc w:val="right"/>
              <w:rPr>
                <w:rFonts w:ascii="Arial Narrow" w:hAnsi="Arial Narrow" w:cs="Calibri"/>
                <w:sz w:val="16"/>
                <w:szCs w:val="16"/>
              </w:rPr>
            </w:pPr>
            <w:r w:rsidRPr="008F7A9E">
              <w:rPr>
                <w:rFonts w:ascii="Arial Narrow" w:hAnsi="Arial Narrow" w:cs="Calibri"/>
                <w:sz w:val="16"/>
                <w:szCs w:val="16"/>
              </w:rPr>
              <w:t>129,7</w:t>
            </w:r>
          </w:p>
        </w:tc>
        <w:tc>
          <w:tcPr>
            <w:tcW w:w="1028" w:type="dxa"/>
            <w:tcBorders>
              <w:top w:val="nil"/>
              <w:left w:val="nil"/>
              <w:bottom w:val="single" w:sz="4" w:space="0" w:color="auto"/>
              <w:right w:val="single" w:sz="4" w:space="0" w:color="auto"/>
            </w:tcBorders>
            <w:shd w:val="clear" w:color="auto" w:fill="auto"/>
            <w:vAlign w:val="center"/>
            <w:hideMark/>
          </w:tcPr>
          <w:p w14:paraId="568853B0" w14:textId="77777777" w:rsidR="008F7A9E" w:rsidRPr="008F7A9E" w:rsidRDefault="008F7A9E" w:rsidP="008F7A9E">
            <w:pPr>
              <w:jc w:val="right"/>
              <w:rPr>
                <w:rFonts w:ascii="Arial Narrow" w:hAnsi="Arial Narrow" w:cs="Calibri"/>
                <w:sz w:val="16"/>
                <w:szCs w:val="16"/>
              </w:rPr>
            </w:pPr>
            <w:r w:rsidRPr="008F7A9E">
              <w:rPr>
                <w:rFonts w:ascii="Arial Narrow" w:hAnsi="Arial Narrow" w:cs="Calibri"/>
                <w:sz w:val="16"/>
                <w:szCs w:val="16"/>
              </w:rPr>
              <w:t>-23,7</w:t>
            </w:r>
          </w:p>
        </w:tc>
        <w:tc>
          <w:tcPr>
            <w:tcW w:w="1217" w:type="dxa"/>
            <w:tcBorders>
              <w:top w:val="nil"/>
              <w:left w:val="nil"/>
              <w:bottom w:val="single" w:sz="4" w:space="0" w:color="auto"/>
              <w:right w:val="single" w:sz="4" w:space="0" w:color="auto"/>
            </w:tcBorders>
            <w:shd w:val="clear" w:color="auto" w:fill="auto"/>
            <w:vAlign w:val="center"/>
            <w:hideMark/>
          </w:tcPr>
          <w:p w14:paraId="46FF777B" w14:textId="77777777" w:rsidR="008F7A9E" w:rsidRPr="008F7A9E" w:rsidRDefault="008F7A9E" w:rsidP="008F7A9E">
            <w:pPr>
              <w:jc w:val="right"/>
              <w:rPr>
                <w:rFonts w:ascii="Arial Narrow" w:hAnsi="Arial Narrow" w:cs="Calibri"/>
                <w:sz w:val="16"/>
                <w:szCs w:val="16"/>
              </w:rPr>
            </w:pPr>
            <w:r w:rsidRPr="008F7A9E">
              <w:rPr>
                <w:rFonts w:ascii="Arial Narrow" w:hAnsi="Arial Narrow" w:cs="Calibri"/>
                <w:sz w:val="16"/>
                <w:szCs w:val="16"/>
              </w:rPr>
              <w:t>99,0</w:t>
            </w:r>
          </w:p>
        </w:tc>
        <w:tc>
          <w:tcPr>
            <w:tcW w:w="1075" w:type="dxa"/>
            <w:tcBorders>
              <w:top w:val="nil"/>
              <w:left w:val="nil"/>
              <w:bottom w:val="single" w:sz="4" w:space="0" w:color="auto"/>
              <w:right w:val="single" w:sz="4" w:space="0" w:color="auto"/>
            </w:tcBorders>
            <w:shd w:val="clear" w:color="auto" w:fill="auto"/>
            <w:vAlign w:val="center"/>
            <w:hideMark/>
          </w:tcPr>
          <w:p w14:paraId="51977CC7" w14:textId="77777777" w:rsidR="008F7A9E" w:rsidRPr="008F7A9E" w:rsidRDefault="008F7A9E" w:rsidP="008F7A9E">
            <w:pPr>
              <w:jc w:val="right"/>
              <w:rPr>
                <w:rFonts w:ascii="Arial Narrow" w:hAnsi="Arial Narrow" w:cs="Calibri"/>
                <w:sz w:val="16"/>
                <w:szCs w:val="16"/>
              </w:rPr>
            </w:pPr>
            <w:r w:rsidRPr="008F7A9E">
              <w:rPr>
                <w:rFonts w:ascii="Arial Narrow" w:hAnsi="Arial Narrow" w:cs="Calibri"/>
                <w:sz w:val="16"/>
                <w:szCs w:val="16"/>
              </w:rPr>
              <w:t>4,1</w:t>
            </w:r>
          </w:p>
        </w:tc>
        <w:tc>
          <w:tcPr>
            <w:tcW w:w="1233" w:type="dxa"/>
            <w:tcBorders>
              <w:top w:val="nil"/>
              <w:left w:val="nil"/>
              <w:bottom w:val="single" w:sz="4" w:space="0" w:color="auto"/>
              <w:right w:val="single" w:sz="4" w:space="0" w:color="auto"/>
            </w:tcBorders>
            <w:shd w:val="clear" w:color="auto" w:fill="auto"/>
            <w:vAlign w:val="center"/>
            <w:hideMark/>
          </w:tcPr>
          <w:p w14:paraId="3B9AC8FE" w14:textId="77777777" w:rsidR="008F7A9E" w:rsidRPr="008F7A9E" w:rsidRDefault="008F7A9E" w:rsidP="008F7A9E">
            <w:pPr>
              <w:jc w:val="right"/>
              <w:rPr>
                <w:rFonts w:ascii="Arial Narrow" w:hAnsi="Arial Narrow" w:cs="Calibri"/>
                <w:sz w:val="16"/>
                <w:szCs w:val="16"/>
              </w:rPr>
            </w:pPr>
            <w:r w:rsidRPr="008F7A9E">
              <w:rPr>
                <w:rFonts w:ascii="Arial Narrow" w:hAnsi="Arial Narrow" w:cs="Calibri"/>
                <w:sz w:val="16"/>
                <w:szCs w:val="16"/>
              </w:rPr>
              <w:t>103,1</w:t>
            </w:r>
          </w:p>
        </w:tc>
      </w:tr>
      <w:tr w:rsidR="008F7A9E" w:rsidRPr="00B10684" w14:paraId="3F23243F" w14:textId="77777777" w:rsidTr="005A18A5">
        <w:trPr>
          <w:trHeight w:val="251"/>
        </w:trPr>
        <w:tc>
          <w:tcPr>
            <w:tcW w:w="748" w:type="dxa"/>
            <w:tcBorders>
              <w:top w:val="nil"/>
              <w:left w:val="single" w:sz="4" w:space="0" w:color="auto"/>
              <w:bottom w:val="single" w:sz="4" w:space="0" w:color="auto"/>
              <w:right w:val="single" w:sz="4" w:space="0" w:color="auto"/>
            </w:tcBorders>
            <w:shd w:val="clear" w:color="auto" w:fill="auto"/>
            <w:vAlign w:val="center"/>
            <w:hideMark/>
          </w:tcPr>
          <w:p w14:paraId="53814AF8" w14:textId="77777777" w:rsidR="008F7A9E" w:rsidRPr="008F7A9E" w:rsidRDefault="008F7A9E" w:rsidP="008F7A9E">
            <w:pPr>
              <w:rPr>
                <w:rFonts w:ascii="Arial Narrow" w:hAnsi="Arial Narrow" w:cs="Calibri"/>
                <w:sz w:val="16"/>
                <w:szCs w:val="16"/>
              </w:rPr>
            </w:pPr>
            <w:r w:rsidRPr="008F7A9E">
              <w:rPr>
                <w:rFonts w:ascii="Arial Narrow" w:hAnsi="Arial Narrow" w:cs="Calibri"/>
                <w:sz w:val="16"/>
                <w:szCs w:val="16"/>
              </w:rPr>
              <w:t>03</w:t>
            </w:r>
          </w:p>
        </w:tc>
        <w:tc>
          <w:tcPr>
            <w:tcW w:w="4419" w:type="dxa"/>
            <w:tcBorders>
              <w:top w:val="nil"/>
              <w:left w:val="nil"/>
              <w:bottom w:val="single" w:sz="4" w:space="0" w:color="auto"/>
              <w:right w:val="single" w:sz="4" w:space="0" w:color="auto"/>
            </w:tcBorders>
            <w:shd w:val="clear" w:color="auto" w:fill="auto"/>
            <w:vAlign w:val="center"/>
            <w:hideMark/>
          </w:tcPr>
          <w:p w14:paraId="2225E1E4" w14:textId="77777777" w:rsidR="008F7A9E" w:rsidRPr="008F7A9E" w:rsidRDefault="008F7A9E" w:rsidP="008F7A9E">
            <w:pPr>
              <w:rPr>
                <w:rFonts w:ascii="Arial Narrow" w:hAnsi="Arial Narrow" w:cs="Calibri"/>
                <w:sz w:val="16"/>
                <w:szCs w:val="16"/>
              </w:rPr>
            </w:pPr>
            <w:r w:rsidRPr="008F7A9E">
              <w:rPr>
                <w:rFonts w:ascii="Arial Narrow" w:hAnsi="Arial Narrow" w:cs="Calibri"/>
                <w:sz w:val="16"/>
                <w:szCs w:val="16"/>
              </w:rPr>
              <w:t>Фуражни култури</w:t>
            </w:r>
          </w:p>
        </w:tc>
        <w:tc>
          <w:tcPr>
            <w:tcW w:w="1185" w:type="dxa"/>
            <w:tcBorders>
              <w:top w:val="nil"/>
              <w:left w:val="nil"/>
              <w:bottom w:val="single" w:sz="4" w:space="0" w:color="auto"/>
              <w:right w:val="single" w:sz="4" w:space="0" w:color="auto"/>
            </w:tcBorders>
            <w:shd w:val="clear" w:color="auto" w:fill="auto"/>
            <w:vAlign w:val="center"/>
            <w:hideMark/>
          </w:tcPr>
          <w:p w14:paraId="22579A7B" w14:textId="77777777" w:rsidR="008F7A9E" w:rsidRPr="008F7A9E" w:rsidRDefault="008F7A9E" w:rsidP="008F7A9E">
            <w:pPr>
              <w:jc w:val="right"/>
              <w:rPr>
                <w:rFonts w:ascii="Arial Narrow" w:hAnsi="Arial Narrow" w:cs="Calibri"/>
                <w:sz w:val="16"/>
                <w:szCs w:val="16"/>
              </w:rPr>
            </w:pPr>
            <w:r w:rsidRPr="008F7A9E">
              <w:rPr>
                <w:rFonts w:ascii="Arial Narrow" w:hAnsi="Arial Narrow" w:cs="Calibri"/>
                <w:sz w:val="16"/>
                <w:szCs w:val="16"/>
              </w:rPr>
              <w:t>205,5</w:t>
            </w:r>
          </w:p>
        </w:tc>
        <w:tc>
          <w:tcPr>
            <w:tcW w:w="1028" w:type="dxa"/>
            <w:tcBorders>
              <w:top w:val="nil"/>
              <w:left w:val="nil"/>
              <w:bottom w:val="single" w:sz="4" w:space="0" w:color="auto"/>
              <w:right w:val="single" w:sz="4" w:space="0" w:color="auto"/>
            </w:tcBorders>
            <w:shd w:val="clear" w:color="auto" w:fill="auto"/>
            <w:vAlign w:val="center"/>
            <w:hideMark/>
          </w:tcPr>
          <w:p w14:paraId="15CE326F" w14:textId="77777777" w:rsidR="008F7A9E" w:rsidRPr="008F7A9E" w:rsidRDefault="008F7A9E" w:rsidP="008F7A9E">
            <w:pPr>
              <w:jc w:val="right"/>
              <w:rPr>
                <w:rFonts w:ascii="Arial Narrow" w:hAnsi="Arial Narrow" w:cs="Calibri"/>
                <w:sz w:val="16"/>
                <w:szCs w:val="16"/>
              </w:rPr>
            </w:pPr>
            <w:r w:rsidRPr="008F7A9E">
              <w:rPr>
                <w:rFonts w:ascii="Arial Narrow" w:hAnsi="Arial Narrow" w:cs="Calibri"/>
                <w:sz w:val="16"/>
                <w:szCs w:val="16"/>
              </w:rPr>
              <w:t>7,7</w:t>
            </w:r>
          </w:p>
        </w:tc>
        <w:tc>
          <w:tcPr>
            <w:tcW w:w="1217" w:type="dxa"/>
            <w:tcBorders>
              <w:top w:val="nil"/>
              <w:left w:val="nil"/>
              <w:bottom w:val="single" w:sz="4" w:space="0" w:color="auto"/>
              <w:right w:val="single" w:sz="4" w:space="0" w:color="auto"/>
            </w:tcBorders>
            <w:shd w:val="clear" w:color="auto" w:fill="auto"/>
            <w:vAlign w:val="center"/>
            <w:hideMark/>
          </w:tcPr>
          <w:p w14:paraId="22718652" w14:textId="77777777" w:rsidR="008F7A9E" w:rsidRPr="008F7A9E" w:rsidRDefault="008F7A9E" w:rsidP="008F7A9E">
            <w:pPr>
              <w:jc w:val="right"/>
              <w:rPr>
                <w:rFonts w:ascii="Arial Narrow" w:hAnsi="Arial Narrow" w:cs="Calibri"/>
                <w:sz w:val="16"/>
                <w:szCs w:val="16"/>
              </w:rPr>
            </w:pPr>
            <w:r w:rsidRPr="008F7A9E">
              <w:rPr>
                <w:rFonts w:ascii="Arial Narrow" w:hAnsi="Arial Narrow" w:cs="Calibri"/>
                <w:sz w:val="16"/>
                <w:szCs w:val="16"/>
              </w:rPr>
              <w:t>221,4</w:t>
            </w:r>
          </w:p>
        </w:tc>
        <w:tc>
          <w:tcPr>
            <w:tcW w:w="1075" w:type="dxa"/>
            <w:tcBorders>
              <w:top w:val="nil"/>
              <w:left w:val="nil"/>
              <w:bottom w:val="single" w:sz="4" w:space="0" w:color="auto"/>
              <w:right w:val="single" w:sz="4" w:space="0" w:color="auto"/>
            </w:tcBorders>
            <w:shd w:val="clear" w:color="auto" w:fill="auto"/>
            <w:vAlign w:val="center"/>
            <w:hideMark/>
          </w:tcPr>
          <w:p w14:paraId="783AC1E4" w14:textId="77777777" w:rsidR="008F7A9E" w:rsidRPr="008F7A9E" w:rsidRDefault="008F7A9E" w:rsidP="008F7A9E">
            <w:pPr>
              <w:jc w:val="right"/>
              <w:rPr>
                <w:rFonts w:ascii="Arial Narrow" w:hAnsi="Arial Narrow" w:cs="Calibri"/>
                <w:sz w:val="16"/>
                <w:szCs w:val="16"/>
              </w:rPr>
            </w:pPr>
            <w:r w:rsidRPr="008F7A9E">
              <w:rPr>
                <w:rFonts w:ascii="Arial Narrow" w:hAnsi="Arial Narrow" w:cs="Calibri"/>
                <w:sz w:val="16"/>
                <w:szCs w:val="16"/>
              </w:rPr>
              <w:t>-10,2</w:t>
            </w:r>
          </w:p>
        </w:tc>
        <w:tc>
          <w:tcPr>
            <w:tcW w:w="1233" w:type="dxa"/>
            <w:tcBorders>
              <w:top w:val="nil"/>
              <w:left w:val="nil"/>
              <w:bottom w:val="single" w:sz="4" w:space="0" w:color="auto"/>
              <w:right w:val="single" w:sz="4" w:space="0" w:color="auto"/>
            </w:tcBorders>
            <w:shd w:val="clear" w:color="auto" w:fill="auto"/>
            <w:vAlign w:val="center"/>
            <w:hideMark/>
          </w:tcPr>
          <w:p w14:paraId="012D3A53" w14:textId="77777777" w:rsidR="008F7A9E" w:rsidRPr="008F7A9E" w:rsidRDefault="008F7A9E" w:rsidP="008F7A9E">
            <w:pPr>
              <w:jc w:val="right"/>
              <w:rPr>
                <w:rFonts w:ascii="Arial Narrow" w:hAnsi="Arial Narrow" w:cs="Calibri"/>
                <w:sz w:val="16"/>
                <w:szCs w:val="16"/>
              </w:rPr>
            </w:pPr>
            <w:r w:rsidRPr="008F7A9E">
              <w:rPr>
                <w:rFonts w:ascii="Arial Narrow" w:hAnsi="Arial Narrow" w:cs="Calibri"/>
                <w:sz w:val="16"/>
                <w:szCs w:val="16"/>
              </w:rPr>
              <w:t>198,8</w:t>
            </w:r>
          </w:p>
        </w:tc>
      </w:tr>
      <w:tr w:rsidR="008F7A9E" w:rsidRPr="00B10684" w14:paraId="779EED36" w14:textId="77777777" w:rsidTr="005A18A5">
        <w:trPr>
          <w:trHeight w:val="251"/>
        </w:trPr>
        <w:tc>
          <w:tcPr>
            <w:tcW w:w="748" w:type="dxa"/>
            <w:tcBorders>
              <w:top w:val="nil"/>
              <w:left w:val="single" w:sz="4" w:space="0" w:color="auto"/>
              <w:bottom w:val="single" w:sz="4" w:space="0" w:color="auto"/>
              <w:right w:val="single" w:sz="4" w:space="0" w:color="auto"/>
            </w:tcBorders>
            <w:shd w:val="clear" w:color="auto" w:fill="auto"/>
            <w:vAlign w:val="center"/>
            <w:hideMark/>
          </w:tcPr>
          <w:p w14:paraId="4232512A" w14:textId="77777777" w:rsidR="008F7A9E" w:rsidRPr="008F7A9E" w:rsidRDefault="008F7A9E" w:rsidP="008F7A9E">
            <w:pPr>
              <w:rPr>
                <w:rFonts w:ascii="Arial Narrow" w:hAnsi="Arial Narrow" w:cs="Calibri"/>
                <w:sz w:val="16"/>
                <w:szCs w:val="16"/>
              </w:rPr>
            </w:pPr>
            <w:r w:rsidRPr="008F7A9E">
              <w:rPr>
                <w:rFonts w:ascii="Arial Narrow" w:hAnsi="Arial Narrow" w:cs="Calibri"/>
                <w:sz w:val="16"/>
                <w:szCs w:val="16"/>
              </w:rPr>
              <w:t>03.1</w:t>
            </w:r>
          </w:p>
        </w:tc>
        <w:tc>
          <w:tcPr>
            <w:tcW w:w="4419" w:type="dxa"/>
            <w:tcBorders>
              <w:top w:val="nil"/>
              <w:left w:val="nil"/>
              <w:bottom w:val="single" w:sz="4" w:space="0" w:color="auto"/>
              <w:right w:val="single" w:sz="4" w:space="0" w:color="auto"/>
            </w:tcBorders>
            <w:shd w:val="clear" w:color="auto" w:fill="auto"/>
            <w:vAlign w:val="center"/>
            <w:hideMark/>
          </w:tcPr>
          <w:p w14:paraId="1F609A1E" w14:textId="77777777" w:rsidR="008F7A9E" w:rsidRPr="008F7A9E" w:rsidRDefault="008F7A9E" w:rsidP="008F7A9E">
            <w:pPr>
              <w:ind w:firstLineChars="100" w:firstLine="160"/>
              <w:rPr>
                <w:rFonts w:ascii="Arial Narrow" w:hAnsi="Arial Narrow" w:cs="Calibri"/>
                <w:sz w:val="16"/>
                <w:szCs w:val="16"/>
              </w:rPr>
            </w:pPr>
            <w:r w:rsidRPr="008F7A9E">
              <w:rPr>
                <w:rFonts w:ascii="Arial Narrow" w:hAnsi="Arial Narrow" w:cs="Calibri"/>
                <w:sz w:val="16"/>
                <w:szCs w:val="16"/>
              </w:rPr>
              <w:t>Царевица за силаж</w:t>
            </w:r>
          </w:p>
        </w:tc>
        <w:tc>
          <w:tcPr>
            <w:tcW w:w="1185" w:type="dxa"/>
            <w:tcBorders>
              <w:top w:val="nil"/>
              <w:left w:val="nil"/>
              <w:bottom w:val="single" w:sz="4" w:space="0" w:color="auto"/>
              <w:right w:val="single" w:sz="4" w:space="0" w:color="auto"/>
            </w:tcBorders>
            <w:shd w:val="clear" w:color="auto" w:fill="auto"/>
            <w:vAlign w:val="center"/>
            <w:hideMark/>
          </w:tcPr>
          <w:p w14:paraId="58052CEA" w14:textId="77777777" w:rsidR="008F7A9E" w:rsidRPr="008F7A9E" w:rsidRDefault="008F7A9E" w:rsidP="008F7A9E">
            <w:pPr>
              <w:jc w:val="right"/>
              <w:rPr>
                <w:rFonts w:ascii="Arial Narrow" w:hAnsi="Arial Narrow" w:cs="Calibri"/>
                <w:sz w:val="16"/>
                <w:szCs w:val="16"/>
              </w:rPr>
            </w:pPr>
            <w:r w:rsidRPr="008F7A9E">
              <w:rPr>
                <w:rFonts w:ascii="Arial Narrow" w:hAnsi="Arial Narrow" w:cs="Calibri"/>
                <w:sz w:val="16"/>
                <w:szCs w:val="16"/>
              </w:rPr>
              <w:t>68,4</w:t>
            </w:r>
          </w:p>
        </w:tc>
        <w:tc>
          <w:tcPr>
            <w:tcW w:w="1028" w:type="dxa"/>
            <w:tcBorders>
              <w:top w:val="nil"/>
              <w:left w:val="nil"/>
              <w:bottom w:val="single" w:sz="4" w:space="0" w:color="auto"/>
              <w:right w:val="single" w:sz="4" w:space="0" w:color="auto"/>
            </w:tcBorders>
            <w:shd w:val="clear" w:color="auto" w:fill="auto"/>
            <w:vAlign w:val="center"/>
            <w:hideMark/>
          </w:tcPr>
          <w:p w14:paraId="5998F9CD" w14:textId="77777777" w:rsidR="008F7A9E" w:rsidRPr="008F7A9E" w:rsidRDefault="008F7A9E" w:rsidP="008F7A9E">
            <w:pPr>
              <w:jc w:val="right"/>
              <w:rPr>
                <w:rFonts w:ascii="Arial Narrow" w:hAnsi="Arial Narrow" w:cs="Calibri"/>
                <w:sz w:val="16"/>
                <w:szCs w:val="16"/>
              </w:rPr>
            </w:pPr>
            <w:r w:rsidRPr="008F7A9E">
              <w:rPr>
                <w:rFonts w:ascii="Arial Narrow" w:hAnsi="Arial Narrow" w:cs="Calibri"/>
                <w:sz w:val="16"/>
                <w:szCs w:val="16"/>
              </w:rPr>
              <w:t>4,7</w:t>
            </w:r>
          </w:p>
        </w:tc>
        <w:tc>
          <w:tcPr>
            <w:tcW w:w="1217" w:type="dxa"/>
            <w:tcBorders>
              <w:top w:val="nil"/>
              <w:left w:val="nil"/>
              <w:bottom w:val="single" w:sz="4" w:space="0" w:color="auto"/>
              <w:right w:val="single" w:sz="4" w:space="0" w:color="auto"/>
            </w:tcBorders>
            <w:shd w:val="clear" w:color="auto" w:fill="auto"/>
            <w:vAlign w:val="center"/>
            <w:hideMark/>
          </w:tcPr>
          <w:p w14:paraId="5CB423C8" w14:textId="77777777" w:rsidR="008F7A9E" w:rsidRPr="008F7A9E" w:rsidRDefault="008F7A9E" w:rsidP="008F7A9E">
            <w:pPr>
              <w:jc w:val="right"/>
              <w:rPr>
                <w:rFonts w:ascii="Arial Narrow" w:hAnsi="Arial Narrow" w:cs="Calibri"/>
                <w:sz w:val="16"/>
                <w:szCs w:val="16"/>
              </w:rPr>
            </w:pPr>
            <w:r w:rsidRPr="008F7A9E">
              <w:rPr>
                <w:rFonts w:ascii="Arial Narrow" w:hAnsi="Arial Narrow" w:cs="Calibri"/>
                <w:sz w:val="16"/>
                <w:szCs w:val="16"/>
              </w:rPr>
              <w:t>71,6</w:t>
            </w:r>
          </w:p>
        </w:tc>
        <w:tc>
          <w:tcPr>
            <w:tcW w:w="1075" w:type="dxa"/>
            <w:tcBorders>
              <w:top w:val="nil"/>
              <w:left w:val="nil"/>
              <w:bottom w:val="single" w:sz="4" w:space="0" w:color="auto"/>
              <w:right w:val="single" w:sz="4" w:space="0" w:color="auto"/>
            </w:tcBorders>
            <w:shd w:val="clear" w:color="auto" w:fill="auto"/>
            <w:vAlign w:val="center"/>
            <w:hideMark/>
          </w:tcPr>
          <w:p w14:paraId="05CDA898" w14:textId="77777777" w:rsidR="008F7A9E" w:rsidRPr="008F7A9E" w:rsidRDefault="008F7A9E" w:rsidP="008F7A9E">
            <w:pPr>
              <w:jc w:val="right"/>
              <w:rPr>
                <w:rFonts w:ascii="Arial Narrow" w:hAnsi="Arial Narrow" w:cs="Calibri"/>
                <w:sz w:val="16"/>
                <w:szCs w:val="16"/>
              </w:rPr>
            </w:pPr>
            <w:r w:rsidRPr="008F7A9E">
              <w:rPr>
                <w:rFonts w:ascii="Arial Narrow" w:hAnsi="Arial Narrow" w:cs="Calibri"/>
                <w:sz w:val="16"/>
                <w:szCs w:val="16"/>
              </w:rPr>
              <w:t>-19,8</w:t>
            </w:r>
          </w:p>
        </w:tc>
        <w:tc>
          <w:tcPr>
            <w:tcW w:w="1233" w:type="dxa"/>
            <w:tcBorders>
              <w:top w:val="nil"/>
              <w:left w:val="nil"/>
              <w:bottom w:val="single" w:sz="4" w:space="0" w:color="auto"/>
              <w:right w:val="single" w:sz="4" w:space="0" w:color="auto"/>
            </w:tcBorders>
            <w:shd w:val="clear" w:color="auto" w:fill="auto"/>
            <w:vAlign w:val="center"/>
            <w:hideMark/>
          </w:tcPr>
          <w:p w14:paraId="3DC98924" w14:textId="77777777" w:rsidR="008F7A9E" w:rsidRPr="008F7A9E" w:rsidRDefault="008F7A9E" w:rsidP="008F7A9E">
            <w:pPr>
              <w:jc w:val="right"/>
              <w:rPr>
                <w:rFonts w:ascii="Arial Narrow" w:hAnsi="Arial Narrow" w:cs="Calibri"/>
                <w:sz w:val="16"/>
                <w:szCs w:val="16"/>
              </w:rPr>
            </w:pPr>
            <w:r w:rsidRPr="008F7A9E">
              <w:rPr>
                <w:rFonts w:ascii="Arial Narrow" w:hAnsi="Arial Narrow" w:cs="Calibri"/>
                <w:sz w:val="16"/>
                <w:szCs w:val="16"/>
              </w:rPr>
              <w:t>57,4</w:t>
            </w:r>
          </w:p>
        </w:tc>
      </w:tr>
      <w:tr w:rsidR="008F7A9E" w:rsidRPr="00B10684" w14:paraId="4B2E46A1" w14:textId="77777777" w:rsidTr="005A18A5">
        <w:trPr>
          <w:trHeight w:val="251"/>
        </w:trPr>
        <w:tc>
          <w:tcPr>
            <w:tcW w:w="748" w:type="dxa"/>
            <w:tcBorders>
              <w:top w:val="nil"/>
              <w:left w:val="single" w:sz="4" w:space="0" w:color="auto"/>
              <w:bottom w:val="single" w:sz="4" w:space="0" w:color="auto"/>
              <w:right w:val="single" w:sz="4" w:space="0" w:color="auto"/>
            </w:tcBorders>
            <w:shd w:val="clear" w:color="auto" w:fill="auto"/>
            <w:vAlign w:val="center"/>
            <w:hideMark/>
          </w:tcPr>
          <w:p w14:paraId="26FF273B" w14:textId="77777777" w:rsidR="008F7A9E" w:rsidRPr="008F7A9E" w:rsidRDefault="008F7A9E" w:rsidP="008F7A9E">
            <w:pPr>
              <w:rPr>
                <w:rFonts w:ascii="Arial Narrow" w:hAnsi="Arial Narrow" w:cs="Calibri"/>
                <w:sz w:val="16"/>
                <w:szCs w:val="16"/>
              </w:rPr>
            </w:pPr>
            <w:r w:rsidRPr="008F7A9E">
              <w:rPr>
                <w:rFonts w:ascii="Arial Narrow" w:hAnsi="Arial Narrow" w:cs="Calibri"/>
                <w:sz w:val="16"/>
                <w:szCs w:val="16"/>
              </w:rPr>
              <w:t>03.2</w:t>
            </w:r>
          </w:p>
        </w:tc>
        <w:tc>
          <w:tcPr>
            <w:tcW w:w="4419" w:type="dxa"/>
            <w:tcBorders>
              <w:top w:val="nil"/>
              <w:left w:val="nil"/>
              <w:bottom w:val="single" w:sz="4" w:space="0" w:color="auto"/>
              <w:right w:val="single" w:sz="4" w:space="0" w:color="auto"/>
            </w:tcBorders>
            <w:shd w:val="clear" w:color="auto" w:fill="auto"/>
            <w:vAlign w:val="center"/>
            <w:hideMark/>
          </w:tcPr>
          <w:p w14:paraId="2590CA97" w14:textId="77777777" w:rsidR="008F7A9E" w:rsidRPr="008F7A9E" w:rsidRDefault="008F7A9E" w:rsidP="008F7A9E">
            <w:pPr>
              <w:ind w:firstLineChars="100" w:firstLine="160"/>
              <w:rPr>
                <w:rFonts w:ascii="Arial Narrow" w:hAnsi="Arial Narrow" w:cs="Calibri"/>
                <w:sz w:val="16"/>
                <w:szCs w:val="16"/>
              </w:rPr>
            </w:pPr>
            <w:r w:rsidRPr="008F7A9E">
              <w:rPr>
                <w:rFonts w:ascii="Arial Narrow" w:hAnsi="Arial Narrow" w:cs="Calibri"/>
                <w:sz w:val="16"/>
                <w:szCs w:val="16"/>
              </w:rPr>
              <w:t>Кореноплодни фуражи</w:t>
            </w:r>
          </w:p>
        </w:tc>
        <w:tc>
          <w:tcPr>
            <w:tcW w:w="1185" w:type="dxa"/>
            <w:tcBorders>
              <w:top w:val="nil"/>
              <w:left w:val="nil"/>
              <w:bottom w:val="single" w:sz="4" w:space="0" w:color="auto"/>
              <w:right w:val="single" w:sz="4" w:space="0" w:color="auto"/>
            </w:tcBorders>
            <w:shd w:val="clear" w:color="auto" w:fill="auto"/>
            <w:vAlign w:val="center"/>
            <w:hideMark/>
          </w:tcPr>
          <w:p w14:paraId="3EB8D99F" w14:textId="77777777" w:rsidR="008F7A9E" w:rsidRPr="008F7A9E" w:rsidRDefault="008F7A9E" w:rsidP="008F7A9E">
            <w:pPr>
              <w:jc w:val="right"/>
              <w:rPr>
                <w:rFonts w:ascii="Arial Narrow" w:hAnsi="Arial Narrow" w:cs="Calibri"/>
                <w:sz w:val="16"/>
                <w:szCs w:val="16"/>
              </w:rPr>
            </w:pPr>
            <w:r w:rsidRPr="008F7A9E">
              <w:rPr>
                <w:rFonts w:ascii="Arial Narrow" w:hAnsi="Arial Narrow" w:cs="Calibri"/>
                <w:sz w:val="16"/>
                <w:szCs w:val="16"/>
              </w:rPr>
              <w:t>0,1</w:t>
            </w:r>
          </w:p>
        </w:tc>
        <w:tc>
          <w:tcPr>
            <w:tcW w:w="1028" w:type="dxa"/>
            <w:tcBorders>
              <w:top w:val="nil"/>
              <w:left w:val="nil"/>
              <w:bottom w:val="single" w:sz="4" w:space="0" w:color="auto"/>
              <w:right w:val="single" w:sz="4" w:space="0" w:color="auto"/>
            </w:tcBorders>
            <w:shd w:val="clear" w:color="auto" w:fill="auto"/>
            <w:vAlign w:val="center"/>
            <w:hideMark/>
          </w:tcPr>
          <w:p w14:paraId="54818FA3" w14:textId="77777777" w:rsidR="008F7A9E" w:rsidRPr="008F7A9E" w:rsidRDefault="008F7A9E" w:rsidP="008F7A9E">
            <w:pPr>
              <w:jc w:val="right"/>
              <w:rPr>
                <w:rFonts w:ascii="Arial Narrow" w:hAnsi="Arial Narrow" w:cs="Calibri"/>
                <w:sz w:val="16"/>
                <w:szCs w:val="16"/>
              </w:rPr>
            </w:pPr>
            <w:r w:rsidRPr="008F7A9E">
              <w:rPr>
                <w:rFonts w:ascii="Arial Narrow" w:hAnsi="Arial Narrow" w:cs="Calibri"/>
                <w:sz w:val="16"/>
                <w:szCs w:val="16"/>
              </w:rPr>
              <w:t>-100,0</w:t>
            </w:r>
          </w:p>
        </w:tc>
        <w:tc>
          <w:tcPr>
            <w:tcW w:w="1217" w:type="dxa"/>
            <w:tcBorders>
              <w:top w:val="nil"/>
              <w:left w:val="nil"/>
              <w:bottom w:val="single" w:sz="4" w:space="0" w:color="auto"/>
              <w:right w:val="single" w:sz="4" w:space="0" w:color="auto"/>
            </w:tcBorders>
            <w:shd w:val="clear" w:color="auto" w:fill="auto"/>
            <w:vAlign w:val="center"/>
            <w:hideMark/>
          </w:tcPr>
          <w:p w14:paraId="0970491E" w14:textId="77777777" w:rsidR="008F7A9E" w:rsidRPr="008F7A9E" w:rsidRDefault="008F7A9E" w:rsidP="008F7A9E">
            <w:pPr>
              <w:rPr>
                <w:rFonts w:ascii="Arial Narrow" w:hAnsi="Arial Narrow" w:cs="Calibri"/>
                <w:sz w:val="16"/>
                <w:szCs w:val="16"/>
              </w:rPr>
            </w:pPr>
            <w:r w:rsidRPr="008F7A9E">
              <w:rPr>
                <w:rFonts w:ascii="Arial Narrow" w:hAnsi="Arial Narrow" w:cs="Calibri"/>
                <w:sz w:val="16"/>
                <w:szCs w:val="16"/>
              </w:rPr>
              <w:t> </w:t>
            </w:r>
          </w:p>
        </w:tc>
        <w:tc>
          <w:tcPr>
            <w:tcW w:w="1075" w:type="dxa"/>
            <w:tcBorders>
              <w:top w:val="nil"/>
              <w:left w:val="nil"/>
              <w:bottom w:val="single" w:sz="4" w:space="0" w:color="auto"/>
              <w:right w:val="single" w:sz="4" w:space="0" w:color="auto"/>
            </w:tcBorders>
            <w:shd w:val="clear" w:color="auto" w:fill="auto"/>
            <w:vAlign w:val="center"/>
            <w:hideMark/>
          </w:tcPr>
          <w:p w14:paraId="33B1C2C4" w14:textId="77777777" w:rsidR="008F7A9E" w:rsidRPr="008F7A9E" w:rsidRDefault="008F7A9E" w:rsidP="008F7A9E">
            <w:pPr>
              <w:rPr>
                <w:rFonts w:ascii="Arial Narrow" w:hAnsi="Arial Narrow" w:cs="Calibri"/>
                <w:sz w:val="16"/>
                <w:szCs w:val="16"/>
              </w:rPr>
            </w:pPr>
            <w:r w:rsidRPr="008F7A9E">
              <w:rPr>
                <w:rFonts w:ascii="Arial Narrow" w:hAnsi="Arial Narrow" w:cs="Calibri"/>
                <w:sz w:val="16"/>
                <w:szCs w:val="16"/>
              </w:rPr>
              <w:t> </w:t>
            </w:r>
          </w:p>
        </w:tc>
        <w:tc>
          <w:tcPr>
            <w:tcW w:w="1233" w:type="dxa"/>
            <w:tcBorders>
              <w:top w:val="nil"/>
              <w:left w:val="nil"/>
              <w:bottom w:val="single" w:sz="4" w:space="0" w:color="auto"/>
              <w:right w:val="single" w:sz="4" w:space="0" w:color="auto"/>
            </w:tcBorders>
            <w:shd w:val="clear" w:color="auto" w:fill="auto"/>
            <w:vAlign w:val="center"/>
            <w:hideMark/>
          </w:tcPr>
          <w:p w14:paraId="45899BE4" w14:textId="77777777" w:rsidR="008F7A9E" w:rsidRPr="008F7A9E" w:rsidRDefault="008F7A9E" w:rsidP="008F7A9E">
            <w:pPr>
              <w:jc w:val="right"/>
              <w:rPr>
                <w:rFonts w:ascii="Arial Narrow" w:hAnsi="Arial Narrow" w:cs="Calibri"/>
                <w:sz w:val="16"/>
                <w:szCs w:val="16"/>
              </w:rPr>
            </w:pPr>
            <w:r w:rsidRPr="008F7A9E">
              <w:rPr>
                <w:rFonts w:ascii="Arial Narrow" w:hAnsi="Arial Narrow" w:cs="Calibri"/>
                <w:sz w:val="16"/>
                <w:szCs w:val="16"/>
              </w:rPr>
              <w:t> </w:t>
            </w:r>
          </w:p>
        </w:tc>
      </w:tr>
      <w:tr w:rsidR="008F7A9E" w:rsidRPr="00B10684" w14:paraId="09147A26" w14:textId="77777777" w:rsidTr="005A18A5">
        <w:trPr>
          <w:trHeight w:val="251"/>
        </w:trPr>
        <w:tc>
          <w:tcPr>
            <w:tcW w:w="748" w:type="dxa"/>
            <w:tcBorders>
              <w:top w:val="nil"/>
              <w:left w:val="single" w:sz="4" w:space="0" w:color="auto"/>
              <w:bottom w:val="single" w:sz="4" w:space="0" w:color="auto"/>
              <w:right w:val="single" w:sz="4" w:space="0" w:color="auto"/>
            </w:tcBorders>
            <w:shd w:val="clear" w:color="auto" w:fill="auto"/>
            <w:vAlign w:val="center"/>
            <w:hideMark/>
          </w:tcPr>
          <w:p w14:paraId="49586F4C" w14:textId="77777777" w:rsidR="008F7A9E" w:rsidRPr="008F7A9E" w:rsidRDefault="008F7A9E" w:rsidP="008F7A9E">
            <w:pPr>
              <w:rPr>
                <w:rFonts w:ascii="Arial Narrow" w:hAnsi="Arial Narrow" w:cs="Calibri"/>
                <w:sz w:val="16"/>
                <w:szCs w:val="16"/>
              </w:rPr>
            </w:pPr>
            <w:r w:rsidRPr="008F7A9E">
              <w:rPr>
                <w:rFonts w:ascii="Arial Narrow" w:hAnsi="Arial Narrow" w:cs="Calibri"/>
                <w:sz w:val="16"/>
                <w:szCs w:val="16"/>
              </w:rPr>
              <w:t>03.3</w:t>
            </w:r>
          </w:p>
        </w:tc>
        <w:tc>
          <w:tcPr>
            <w:tcW w:w="4419" w:type="dxa"/>
            <w:tcBorders>
              <w:top w:val="nil"/>
              <w:left w:val="nil"/>
              <w:bottom w:val="single" w:sz="4" w:space="0" w:color="auto"/>
              <w:right w:val="single" w:sz="4" w:space="0" w:color="auto"/>
            </w:tcBorders>
            <w:shd w:val="clear" w:color="auto" w:fill="auto"/>
            <w:vAlign w:val="center"/>
            <w:hideMark/>
          </w:tcPr>
          <w:p w14:paraId="60B28429" w14:textId="77777777" w:rsidR="008F7A9E" w:rsidRPr="00CD44F3" w:rsidRDefault="008F7A9E" w:rsidP="008F7A9E">
            <w:pPr>
              <w:ind w:firstLineChars="100" w:firstLine="160"/>
              <w:rPr>
                <w:rFonts w:ascii="Arial Narrow" w:hAnsi="Arial Narrow" w:cs="Calibri"/>
                <w:sz w:val="16"/>
                <w:szCs w:val="16"/>
                <w:lang w:val="bg-BG"/>
              </w:rPr>
            </w:pPr>
            <w:r w:rsidRPr="008F7A9E">
              <w:rPr>
                <w:rFonts w:ascii="Arial Narrow" w:hAnsi="Arial Narrow" w:cs="Calibri"/>
                <w:sz w:val="16"/>
                <w:szCs w:val="16"/>
              </w:rPr>
              <w:t>Други фуражни</w:t>
            </w:r>
            <w:r w:rsidR="00D56BD4">
              <w:rPr>
                <w:rFonts w:ascii="Arial Narrow" w:hAnsi="Arial Narrow" w:cs="Calibri"/>
                <w:sz w:val="16"/>
                <w:szCs w:val="16"/>
                <w:lang w:val="bg-BG"/>
              </w:rPr>
              <w:t xml:space="preserve"> култури</w:t>
            </w:r>
          </w:p>
        </w:tc>
        <w:tc>
          <w:tcPr>
            <w:tcW w:w="1185" w:type="dxa"/>
            <w:tcBorders>
              <w:top w:val="nil"/>
              <w:left w:val="nil"/>
              <w:bottom w:val="single" w:sz="4" w:space="0" w:color="auto"/>
              <w:right w:val="single" w:sz="4" w:space="0" w:color="auto"/>
            </w:tcBorders>
            <w:shd w:val="clear" w:color="auto" w:fill="auto"/>
            <w:vAlign w:val="center"/>
            <w:hideMark/>
          </w:tcPr>
          <w:p w14:paraId="3B84F2A9" w14:textId="77777777" w:rsidR="008F7A9E" w:rsidRPr="008F7A9E" w:rsidRDefault="008F7A9E" w:rsidP="008F7A9E">
            <w:pPr>
              <w:jc w:val="right"/>
              <w:rPr>
                <w:rFonts w:ascii="Arial Narrow" w:hAnsi="Arial Narrow" w:cs="Calibri"/>
                <w:sz w:val="16"/>
                <w:szCs w:val="16"/>
              </w:rPr>
            </w:pPr>
            <w:r w:rsidRPr="008F7A9E">
              <w:rPr>
                <w:rFonts w:ascii="Arial Narrow" w:hAnsi="Arial Narrow" w:cs="Calibri"/>
                <w:sz w:val="16"/>
                <w:szCs w:val="16"/>
              </w:rPr>
              <w:t>137,0</w:t>
            </w:r>
          </w:p>
        </w:tc>
        <w:tc>
          <w:tcPr>
            <w:tcW w:w="1028" w:type="dxa"/>
            <w:tcBorders>
              <w:top w:val="nil"/>
              <w:left w:val="nil"/>
              <w:bottom w:val="single" w:sz="4" w:space="0" w:color="auto"/>
              <w:right w:val="single" w:sz="4" w:space="0" w:color="auto"/>
            </w:tcBorders>
            <w:shd w:val="clear" w:color="auto" w:fill="auto"/>
            <w:vAlign w:val="center"/>
            <w:hideMark/>
          </w:tcPr>
          <w:p w14:paraId="765E0818" w14:textId="77777777" w:rsidR="008F7A9E" w:rsidRPr="008F7A9E" w:rsidRDefault="008F7A9E" w:rsidP="008F7A9E">
            <w:pPr>
              <w:jc w:val="right"/>
              <w:rPr>
                <w:rFonts w:ascii="Arial Narrow" w:hAnsi="Arial Narrow" w:cs="Calibri"/>
                <w:sz w:val="16"/>
                <w:szCs w:val="16"/>
              </w:rPr>
            </w:pPr>
            <w:r w:rsidRPr="008F7A9E">
              <w:rPr>
                <w:rFonts w:ascii="Arial Narrow" w:hAnsi="Arial Narrow" w:cs="Calibri"/>
                <w:sz w:val="16"/>
                <w:szCs w:val="16"/>
              </w:rPr>
              <w:t>9,3</w:t>
            </w:r>
          </w:p>
        </w:tc>
        <w:tc>
          <w:tcPr>
            <w:tcW w:w="1217" w:type="dxa"/>
            <w:tcBorders>
              <w:top w:val="nil"/>
              <w:left w:val="nil"/>
              <w:bottom w:val="single" w:sz="4" w:space="0" w:color="auto"/>
              <w:right w:val="single" w:sz="4" w:space="0" w:color="auto"/>
            </w:tcBorders>
            <w:shd w:val="clear" w:color="auto" w:fill="auto"/>
            <w:vAlign w:val="center"/>
            <w:hideMark/>
          </w:tcPr>
          <w:p w14:paraId="10698499" w14:textId="77777777" w:rsidR="008F7A9E" w:rsidRPr="008F7A9E" w:rsidRDefault="008F7A9E" w:rsidP="008F7A9E">
            <w:pPr>
              <w:jc w:val="right"/>
              <w:rPr>
                <w:rFonts w:ascii="Arial Narrow" w:hAnsi="Arial Narrow" w:cs="Calibri"/>
                <w:sz w:val="16"/>
                <w:szCs w:val="16"/>
              </w:rPr>
            </w:pPr>
            <w:r w:rsidRPr="008F7A9E">
              <w:rPr>
                <w:rFonts w:ascii="Arial Narrow" w:hAnsi="Arial Narrow" w:cs="Calibri"/>
                <w:sz w:val="16"/>
                <w:szCs w:val="16"/>
              </w:rPr>
              <w:t>149,8</w:t>
            </w:r>
          </w:p>
        </w:tc>
        <w:tc>
          <w:tcPr>
            <w:tcW w:w="1075" w:type="dxa"/>
            <w:tcBorders>
              <w:top w:val="nil"/>
              <w:left w:val="nil"/>
              <w:bottom w:val="single" w:sz="4" w:space="0" w:color="auto"/>
              <w:right w:val="single" w:sz="4" w:space="0" w:color="auto"/>
            </w:tcBorders>
            <w:shd w:val="clear" w:color="auto" w:fill="auto"/>
            <w:vAlign w:val="center"/>
            <w:hideMark/>
          </w:tcPr>
          <w:p w14:paraId="3B108912" w14:textId="77777777" w:rsidR="008F7A9E" w:rsidRPr="008F7A9E" w:rsidRDefault="008F7A9E" w:rsidP="008F7A9E">
            <w:pPr>
              <w:jc w:val="right"/>
              <w:rPr>
                <w:rFonts w:ascii="Arial Narrow" w:hAnsi="Arial Narrow" w:cs="Calibri"/>
                <w:sz w:val="16"/>
                <w:szCs w:val="16"/>
              </w:rPr>
            </w:pPr>
            <w:r w:rsidRPr="008F7A9E">
              <w:rPr>
                <w:rFonts w:ascii="Arial Narrow" w:hAnsi="Arial Narrow" w:cs="Calibri"/>
                <w:sz w:val="16"/>
                <w:szCs w:val="16"/>
              </w:rPr>
              <w:t>-5,6</w:t>
            </w:r>
          </w:p>
        </w:tc>
        <w:tc>
          <w:tcPr>
            <w:tcW w:w="1233" w:type="dxa"/>
            <w:tcBorders>
              <w:top w:val="nil"/>
              <w:left w:val="nil"/>
              <w:bottom w:val="single" w:sz="4" w:space="0" w:color="auto"/>
              <w:right w:val="single" w:sz="4" w:space="0" w:color="auto"/>
            </w:tcBorders>
            <w:shd w:val="clear" w:color="auto" w:fill="auto"/>
            <w:vAlign w:val="center"/>
            <w:hideMark/>
          </w:tcPr>
          <w:p w14:paraId="046746D1" w14:textId="77777777" w:rsidR="008F7A9E" w:rsidRPr="008F7A9E" w:rsidRDefault="008F7A9E" w:rsidP="008F7A9E">
            <w:pPr>
              <w:jc w:val="right"/>
              <w:rPr>
                <w:rFonts w:ascii="Arial Narrow" w:hAnsi="Arial Narrow" w:cs="Calibri"/>
                <w:sz w:val="16"/>
                <w:szCs w:val="16"/>
              </w:rPr>
            </w:pPr>
            <w:r w:rsidRPr="008F7A9E">
              <w:rPr>
                <w:rFonts w:ascii="Arial Narrow" w:hAnsi="Arial Narrow" w:cs="Calibri"/>
                <w:sz w:val="16"/>
                <w:szCs w:val="16"/>
              </w:rPr>
              <w:t>141,4</w:t>
            </w:r>
          </w:p>
        </w:tc>
      </w:tr>
      <w:tr w:rsidR="008F7A9E" w:rsidRPr="00B10684" w14:paraId="5CC52448" w14:textId="77777777" w:rsidTr="005A18A5">
        <w:trPr>
          <w:trHeight w:val="251"/>
        </w:trPr>
        <w:tc>
          <w:tcPr>
            <w:tcW w:w="748" w:type="dxa"/>
            <w:tcBorders>
              <w:top w:val="nil"/>
              <w:left w:val="single" w:sz="4" w:space="0" w:color="auto"/>
              <w:bottom w:val="single" w:sz="4" w:space="0" w:color="auto"/>
              <w:right w:val="single" w:sz="4" w:space="0" w:color="auto"/>
            </w:tcBorders>
            <w:shd w:val="clear" w:color="auto" w:fill="auto"/>
            <w:vAlign w:val="center"/>
            <w:hideMark/>
          </w:tcPr>
          <w:p w14:paraId="719EBC73" w14:textId="77777777" w:rsidR="008F7A9E" w:rsidRPr="008F7A9E" w:rsidRDefault="008F7A9E" w:rsidP="008F7A9E">
            <w:pPr>
              <w:rPr>
                <w:rFonts w:ascii="Arial Narrow" w:hAnsi="Arial Narrow" w:cs="Calibri"/>
                <w:sz w:val="16"/>
                <w:szCs w:val="16"/>
              </w:rPr>
            </w:pPr>
            <w:r w:rsidRPr="008F7A9E">
              <w:rPr>
                <w:rFonts w:ascii="Arial Narrow" w:hAnsi="Arial Narrow" w:cs="Calibri"/>
                <w:sz w:val="16"/>
                <w:szCs w:val="16"/>
              </w:rPr>
              <w:t>04</w:t>
            </w:r>
          </w:p>
        </w:tc>
        <w:tc>
          <w:tcPr>
            <w:tcW w:w="4419" w:type="dxa"/>
            <w:tcBorders>
              <w:top w:val="nil"/>
              <w:left w:val="nil"/>
              <w:bottom w:val="single" w:sz="4" w:space="0" w:color="auto"/>
              <w:right w:val="single" w:sz="4" w:space="0" w:color="auto"/>
            </w:tcBorders>
            <w:shd w:val="clear" w:color="auto" w:fill="auto"/>
            <w:vAlign w:val="center"/>
            <w:hideMark/>
          </w:tcPr>
          <w:p w14:paraId="71B06DE7" w14:textId="77777777" w:rsidR="008F7A9E" w:rsidRPr="008F7A9E" w:rsidRDefault="008F7A9E" w:rsidP="008F7A9E">
            <w:pPr>
              <w:rPr>
                <w:rFonts w:ascii="Arial Narrow" w:hAnsi="Arial Narrow" w:cs="Calibri"/>
                <w:sz w:val="16"/>
                <w:szCs w:val="16"/>
              </w:rPr>
            </w:pPr>
            <w:r w:rsidRPr="008F7A9E">
              <w:rPr>
                <w:rFonts w:ascii="Arial Narrow" w:hAnsi="Arial Narrow" w:cs="Calibri"/>
                <w:sz w:val="16"/>
                <w:szCs w:val="16"/>
              </w:rPr>
              <w:t>Зеленчуци</w:t>
            </w:r>
          </w:p>
        </w:tc>
        <w:tc>
          <w:tcPr>
            <w:tcW w:w="1185" w:type="dxa"/>
            <w:tcBorders>
              <w:top w:val="nil"/>
              <w:left w:val="nil"/>
              <w:bottom w:val="single" w:sz="4" w:space="0" w:color="auto"/>
              <w:right w:val="single" w:sz="4" w:space="0" w:color="auto"/>
            </w:tcBorders>
            <w:shd w:val="clear" w:color="auto" w:fill="auto"/>
            <w:vAlign w:val="center"/>
            <w:hideMark/>
          </w:tcPr>
          <w:p w14:paraId="187526F0" w14:textId="77777777" w:rsidR="008F7A9E" w:rsidRPr="008F7A9E" w:rsidRDefault="008F7A9E" w:rsidP="008F7A9E">
            <w:pPr>
              <w:jc w:val="right"/>
              <w:rPr>
                <w:rFonts w:ascii="Arial Narrow" w:hAnsi="Arial Narrow" w:cs="Calibri"/>
                <w:sz w:val="16"/>
                <w:szCs w:val="16"/>
              </w:rPr>
            </w:pPr>
            <w:r w:rsidRPr="008F7A9E">
              <w:rPr>
                <w:rFonts w:ascii="Arial Narrow" w:hAnsi="Arial Narrow" w:cs="Calibri"/>
                <w:sz w:val="16"/>
                <w:szCs w:val="16"/>
              </w:rPr>
              <w:t>512,5</w:t>
            </w:r>
          </w:p>
        </w:tc>
        <w:tc>
          <w:tcPr>
            <w:tcW w:w="1028" w:type="dxa"/>
            <w:tcBorders>
              <w:top w:val="nil"/>
              <w:left w:val="nil"/>
              <w:bottom w:val="single" w:sz="4" w:space="0" w:color="auto"/>
              <w:right w:val="single" w:sz="4" w:space="0" w:color="auto"/>
            </w:tcBorders>
            <w:shd w:val="clear" w:color="auto" w:fill="auto"/>
            <w:vAlign w:val="center"/>
            <w:hideMark/>
          </w:tcPr>
          <w:p w14:paraId="61638DF1" w14:textId="77777777" w:rsidR="008F7A9E" w:rsidRPr="008F7A9E" w:rsidRDefault="008F7A9E" w:rsidP="008F7A9E">
            <w:pPr>
              <w:jc w:val="right"/>
              <w:rPr>
                <w:rFonts w:ascii="Arial Narrow" w:hAnsi="Arial Narrow" w:cs="Calibri"/>
                <w:sz w:val="16"/>
                <w:szCs w:val="16"/>
              </w:rPr>
            </w:pPr>
            <w:r w:rsidRPr="008F7A9E">
              <w:rPr>
                <w:rFonts w:ascii="Arial Narrow" w:hAnsi="Arial Narrow" w:cs="Calibri"/>
                <w:sz w:val="16"/>
                <w:szCs w:val="16"/>
              </w:rPr>
              <w:t>3,9</w:t>
            </w:r>
          </w:p>
        </w:tc>
        <w:tc>
          <w:tcPr>
            <w:tcW w:w="1217" w:type="dxa"/>
            <w:tcBorders>
              <w:top w:val="nil"/>
              <w:left w:val="nil"/>
              <w:bottom w:val="single" w:sz="4" w:space="0" w:color="auto"/>
              <w:right w:val="single" w:sz="4" w:space="0" w:color="auto"/>
            </w:tcBorders>
            <w:shd w:val="clear" w:color="auto" w:fill="auto"/>
            <w:vAlign w:val="center"/>
            <w:hideMark/>
          </w:tcPr>
          <w:p w14:paraId="43493EB4" w14:textId="77777777" w:rsidR="008F7A9E" w:rsidRPr="008F7A9E" w:rsidRDefault="008F7A9E" w:rsidP="008F7A9E">
            <w:pPr>
              <w:jc w:val="right"/>
              <w:rPr>
                <w:rFonts w:ascii="Arial Narrow" w:hAnsi="Arial Narrow" w:cs="Calibri"/>
                <w:sz w:val="16"/>
                <w:szCs w:val="16"/>
              </w:rPr>
            </w:pPr>
            <w:r w:rsidRPr="008F7A9E">
              <w:rPr>
                <w:rFonts w:ascii="Arial Narrow" w:hAnsi="Arial Narrow" w:cs="Calibri"/>
                <w:sz w:val="16"/>
                <w:szCs w:val="16"/>
              </w:rPr>
              <w:t>532,6</w:t>
            </w:r>
          </w:p>
        </w:tc>
        <w:tc>
          <w:tcPr>
            <w:tcW w:w="1075" w:type="dxa"/>
            <w:tcBorders>
              <w:top w:val="nil"/>
              <w:left w:val="nil"/>
              <w:bottom w:val="single" w:sz="4" w:space="0" w:color="auto"/>
              <w:right w:val="single" w:sz="4" w:space="0" w:color="auto"/>
            </w:tcBorders>
            <w:shd w:val="clear" w:color="auto" w:fill="auto"/>
            <w:vAlign w:val="center"/>
            <w:hideMark/>
          </w:tcPr>
          <w:p w14:paraId="6BF7454C" w14:textId="77777777" w:rsidR="008F7A9E" w:rsidRPr="008F7A9E" w:rsidRDefault="008F7A9E" w:rsidP="008F7A9E">
            <w:pPr>
              <w:jc w:val="right"/>
              <w:rPr>
                <w:rFonts w:ascii="Arial Narrow" w:hAnsi="Arial Narrow" w:cs="Calibri"/>
                <w:sz w:val="16"/>
                <w:szCs w:val="16"/>
              </w:rPr>
            </w:pPr>
            <w:r w:rsidRPr="008F7A9E">
              <w:rPr>
                <w:rFonts w:ascii="Arial Narrow" w:hAnsi="Arial Narrow" w:cs="Calibri"/>
                <w:sz w:val="16"/>
                <w:szCs w:val="16"/>
              </w:rPr>
              <w:t>5,0</w:t>
            </w:r>
          </w:p>
        </w:tc>
        <w:tc>
          <w:tcPr>
            <w:tcW w:w="1233" w:type="dxa"/>
            <w:tcBorders>
              <w:top w:val="nil"/>
              <w:left w:val="nil"/>
              <w:bottom w:val="single" w:sz="4" w:space="0" w:color="auto"/>
              <w:right w:val="single" w:sz="4" w:space="0" w:color="auto"/>
            </w:tcBorders>
            <w:shd w:val="clear" w:color="auto" w:fill="auto"/>
            <w:vAlign w:val="center"/>
            <w:hideMark/>
          </w:tcPr>
          <w:p w14:paraId="082A6083" w14:textId="77777777" w:rsidR="008F7A9E" w:rsidRPr="008F7A9E" w:rsidRDefault="008F7A9E" w:rsidP="008F7A9E">
            <w:pPr>
              <w:jc w:val="right"/>
              <w:rPr>
                <w:rFonts w:ascii="Arial Narrow" w:hAnsi="Arial Narrow" w:cs="Calibri"/>
                <w:sz w:val="16"/>
                <w:szCs w:val="16"/>
              </w:rPr>
            </w:pPr>
            <w:r w:rsidRPr="008F7A9E">
              <w:rPr>
                <w:rFonts w:ascii="Arial Narrow" w:hAnsi="Arial Narrow" w:cs="Calibri"/>
                <w:sz w:val="16"/>
                <w:szCs w:val="16"/>
              </w:rPr>
              <w:t>559,2</w:t>
            </w:r>
          </w:p>
        </w:tc>
      </w:tr>
      <w:tr w:rsidR="008F7A9E" w:rsidRPr="00B10684" w14:paraId="5B776967" w14:textId="77777777" w:rsidTr="005A18A5">
        <w:trPr>
          <w:trHeight w:val="251"/>
        </w:trPr>
        <w:tc>
          <w:tcPr>
            <w:tcW w:w="748" w:type="dxa"/>
            <w:tcBorders>
              <w:top w:val="nil"/>
              <w:left w:val="single" w:sz="4" w:space="0" w:color="auto"/>
              <w:bottom w:val="single" w:sz="4" w:space="0" w:color="auto"/>
              <w:right w:val="single" w:sz="4" w:space="0" w:color="auto"/>
            </w:tcBorders>
            <w:shd w:val="clear" w:color="auto" w:fill="auto"/>
            <w:vAlign w:val="center"/>
            <w:hideMark/>
          </w:tcPr>
          <w:p w14:paraId="120DBBD2" w14:textId="77777777" w:rsidR="008F7A9E" w:rsidRPr="008F7A9E" w:rsidRDefault="008F7A9E" w:rsidP="008F7A9E">
            <w:pPr>
              <w:rPr>
                <w:rFonts w:ascii="Arial Narrow" w:hAnsi="Arial Narrow" w:cs="Calibri"/>
                <w:sz w:val="16"/>
                <w:szCs w:val="16"/>
              </w:rPr>
            </w:pPr>
            <w:r w:rsidRPr="008F7A9E">
              <w:rPr>
                <w:rFonts w:ascii="Arial Narrow" w:hAnsi="Arial Narrow" w:cs="Calibri"/>
                <w:sz w:val="16"/>
                <w:szCs w:val="16"/>
              </w:rPr>
              <w:t>04.1</w:t>
            </w:r>
          </w:p>
        </w:tc>
        <w:tc>
          <w:tcPr>
            <w:tcW w:w="4419" w:type="dxa"/>
            <w:tcBorders>
              <w:top w:val="nil"/>
              <w:left w:val="nil"/>
              <w:bottom w:val="single" w:sz="4" w:space="0" w:color="auto"/>
              <w:right w:val="single" w:sz="4" w:space="0" w:color="auto"/>
            </w:tcBorders>
            <w:shd w:val="clear" w:color="auto" w:fill="auto"/>
            <w:vAlign w:val="center"/>
            <w:hideMark/>
          </w:tcPr>
          <w:p w14:paraId="33EB1CB7" w14:textId="77777777" w:rsidR="008F7A9E" w:rsidRPr="008F7A9E" w:rsidRDefault="008F7A9E" w:rsidP="008F7A9E">
            <w:pPr>
              <w:ind w:firstLineChars="100" w:firstLine="160"/>
              <w:rPr>
                <w:rFonts w:ascii="Arial Narrow" w:hAnsi="Arial Narrow" w:cs="Calibri"/>
                <w:sz w:val="16"/>
                <w:szCs w:val="16"/>
              </w:rPr>
            </w:pPr>
            <w:r w:rsidRPr="008F7A9E">
              <w:rPr>
                <w:rFonts w:ascii="Arial Narrow" w:hAnsi="Arial Narrow" w:cs="Calibri"/>
                <w:sz w:val="16"/>
                <w:szCs w:val="16"/>
              </w:rPr>
              <w:t>Пресни зеленчуци</w:t>
            </w:r>
          </w:p>
        </w:tc>
        <w:tc>
          <w:tcPr>
            <w:tcW w:w="1185" w:type="dxa"/>
            <w:tcBorders>
              <w:top w:val="nil"/>
              <w:left w:val="nil"/>
              <w:bottom w:val="single" w:sz="4" w:space="0" w:color="auto"/>
              <w:right w:val="single" w:sz="4" w:space="0" w:color="auto"/>
            </w:tcBorders>
            <w:shd w:val="clear" w:color="auto" w:fill="auto"/>
            <w:vAlign w:val="center"/>
            <w:hideMark/>
          </w:tcPr>
          <w:p w14:paraId="5DB95F83" w14:textId="77777777" w:rsidR="008F7A9E" w:rsidRPr="008F7A9E" w:rsidRDefault="008F7A9E" w:rsidP="008F7A9E">
            <w:pPr>
              <w:jc w:val="right"/>
              <w:rPr>
                <w:rFonts w:ascii="Arial Narrow" w:hAnsi="Arial Narrow" w:cs="Calibri"/>
                <w:sz w:val="16"/>
                <w:szCs w:val="16"/>
              </w:rPr>
            </w:pPr>
            <w:r w:rsidRPr="008F7A9E">
              <w:rPr>
                <w:rFonts w:ascii="Arial Narrow" w:hAnsi="Arial Narrow" w:cs="Calibri"/>
                <w:sz w:val="16"/>
                <w:szCs w:val="16"/>
              </w:rPr>
              <w:t>397,5</w:t>
            </w:r>
          </w:p>
        </w:tc>
        <w:tc>
          <w:tcPr>
            <w:tcW w:w="1028" w:type="dxa"/>
            <w:tcBorders>
              <w:top w:val="nil"/>
              <w:left w:val="nil"/>
              <w:bottom w:val="single" w:sz="4" w:space="0" w:color="auto"/>
              <w:right w:val="single" w:sz="4" w:space="0" w:color="auto"/>
            </w:tcBorders>
            <w:shd w:val="clear" w:color="auto" w:fill="auto"/>
            <w:vAlign w:val="center"/>
            <w:hideMark/>
          </w:tcPr>
          <w:p w14:paraId="2B9205EC" w14:textId="77777777" w:rsidR="008F7A9E" w:rsidRPr="008F7A9E" w:rsidRDefault="008F7A9E" w:rsidP="008F7A9E">
            <w:pPr>
              <w:jc w:val="right"/>
              <w:rPr>
                <w:rFonts w:ascii="Arial Narrow" w:hAnsi="Arial Narrow" w:cs="Calibri"/>
                <w:sz w:val="16"/>
                <w:szCs w:val="16"/>
              </w:rPr>
            </w:pPr>
            <w:r w:rsidRPr="008F7A9E">
              <w:rPr>
                <w:rFonts w:ascii="Arial Narrow" w:hAnsi="Arial Narrow" w:cs="Calibri"/>
                <w:sz w:val="16"/>
                <w:szCs w:val="16"/>
              </w:rPr>
              <w:t>9,8</w:t>
            </w:r>
          </w:p>
        </w:tc>
        <w:tc>
          <w:tcPr>
            <w:tcW w:w="1217" w:type="dxa"/>
            <w:tcBorders>
              <w:top w:val="nil"/>
              <w:left w:val="nil"/>
              <w:bottom w:val="single" w:sz="4" w:space="0" w:color="auto"/>
              <w:right w:val="single" w:sz="4" w:space="0" w:color="auto"/>
            </w:tcBorders>
            <w:shd w:val="clear" w:color="auto" w:fill="auto"/>
            <w:vAlign w:val="center"/>
            <w:hideMark/>
          </w:tcPr>
          <w:p w14:paraId="1BFA06B4" w14:textId="77777777" w:rsidR="008F7A9E" w:rsidRPr="008F7A9E" w:rsidRDefault="008F7A9E" w:rsidP="008F7A9E">
            <w:pPr>
              <w:jc w:val="right"/>
              <w:rPr>
                <w:rFonts w:ascii="Arial Narrow" w:hAnsi="Arial Narrow" w:cs="Calibri"/>
                <w:sz w:val="16"/>
                <w:szCs w:val="16"/>
              </w:rPr>
            </w:pPr>
            <w:r w:rsidRPr="008F7A9E">
              <w:rPr>
                <w:rFonts w:ascii="Arial Narrow" w:hAnsi="Arial Narrow" w:cs="Calibri"/>
                <w:sz w:val="16"/>
                <w:szCs w:val="16"/>
              </w:rPr>
              <w:t>436,6</w:t>
            </w:r>
          </w:p>
        </w:tc>
        <w:tc>
          <w:tcPr>
            <w:tcW w:w="1075" w:type="dxa"/>
            <w:tcBorders>
              <w:top w:val="nil"/>
              <w:left w:val="nil"/>
              <w:bottom w:val="single" w:sz="4" w:space="0" w:color="auto"/>
              <w:right w:val="single" w:sz="4" w:space="0" w:color="auto"/>
            </w:tcBorders>
            <w:shd w:val="clear" w:color="auto" w:fill="auto"/>
            <w:vAlign w:val="center"/>
            <w:hideMark/>
          </w:tcPr>
          <w:p w14:paraId="61DFE44E" w14:textId="77777777" w:rsidR="008F7A9E" w:rsidRPr="008F7A9E" w:rsidRDefault="008F7A9E" w:rsidP="008F7A9E">
            <w:pPr>
              <w:jc w:val="right"/>
              <w:rPr>
                <w:rFonts w:ascii="Arial Narrow" w:hAnsi="Arial Narrow" w:cs="Calibri"/>
                <w:sz w:val="16"/>
                <w:szCs w:val="16"/>
              </w:rPr>
            </w:pPr>
            <w:r w:rsidRPr="008F7A9E">
              <w:rPr>
                <w:rFonts w:ascii="Arial Narrow" w:hAnsi="Arial Narrow" w:cs="Calibri"/>
                <w:sz w:val="16"/>
                <w:szCs w:val="16"/>
              </w:rPr>
              <w:t>7,9</w:t>
            </w:r>
          </w:p>
        </w:tc>
        <w:tc>
          <w:tcPr>
            <w:tcW w:w="1233" w:type="dxa"/>
            <w:tcBorders>
              <w:top w:val="nil"/>
              <w:left w:val="nil"/>
              <w:bottom w:val="single" w:sz="4" w:space="0" w:color="auto"/>
              <w:right w:val="single" w:sz="4" w:space="0" w:color="auto"/>
            </w:tcBorders>
            <w:shd w:val="clear" w:color="auto" w:fill="auto"/>
            <w:vAlign w:val="center"/>
            <w:hideMark/>
          </w:tcPr>
          <w:p w14:paraId="65467806" w14:textId="77777777" w:rsidR="008F7A9E" w:rsidRPr="008F7A9E" w:rsidRDefault="008F7A9E" w:rsidP="008F7A9E">
            <w:pPr>
              <w:jc w:val="right"/>
              <w:rPr>
                <w:rFonts w:ascii="Arial Narrow" w:hAnsi="Arial Narrow" w:cs="Calibri"/>
                <w:sz w:val="16"/>
                <w:szCs w:val="16"/>
              </w:rPr>
            </w:pPr>
            <w:r w:rsidRPr="008F7A9E">
              <w:rPr>
                <w:rFonts w:ascii="Arial Narrow" w:hAnsi="Arial Narrow" w:cs="Calibri"/>
                <w:sz w:val="16"/>
                <w:szCs w:val="16"/>
              </w:rPr>
              <w:t>471,1</w:t>
            </w:r>
          </w:p>
        </w:tc>
      </w:tr>
      <w:tr w:rsidR="008F7A9E" w:rsidRPr="00B10684" w14:paraId="6F4A98AA" w14:textId="77777777" w:rsidTr="005A18A5">
        <w:trPr>
          <w:trHeight w:val="251"/>
        </w:trPr>
        <w:tc>
          <w:tcPr>
            <w:tcW w:w="748" w:type="dxa"/>
            <w:tcBorders>
              <w:top w:val="nil"/>
              <w:left w:val="single" w:sz="4" w:space="0" w:color="auto"/>
              <w:bottom w:val="single" w:sz="4" w:space="0" w:color="auto"/>
              <w:right w:val="single" w:sz="4" w:space="0" w:color="auto"/>
            </w:tcBorders>
            <w:shd w:val="clear" w:color="auto" w:fill="auto"/>
            <w:vAlign w:val="center"/>
            <w:hideMark/>
          </w:tcPr>
          <w:p w14:paraId="0F136B7D" w14:textId="77777777" w:rsidR="008F7A9E" w:rsidRPr="008F7A9E" w:rsidRDefault="008F7A9E" w:rsidP="008F7A9E">
            <w:pPr>
              <w:rPr>
                <w:rFonts w:ascii="Arial Narrow" w:hAnsi="Arial Narrow" w:cs="Calibri"/>
                <w:sz w:val="16"/>
                <w:szCs w:val="16"/>
              </w:rPr>
            </w:pPr>
            <w:r w:rsidRPr="008F7A9E">
              <w:rPr>
                <w:rFonts w:ascii="Arial Narrow" w:hAnsi="Arial Narrow" w:cs="Calibri"/>
                <w:sz w:val="16"/>
                <w:szCs w:val="16"/>
              </w:rPr>
              <w:t>04.1/2</w:t>
            </w:r>
          </w:p>
        </w:tc>
        <w:tc>
          <w:tcPr>
            <w:tcW w:w="4419" w:type="dxa"/>
            <w:tcBorders>
              <w:top w:val="nil"/>
              <w:left w:val="nil"/>
              <w:bottom w:val="single" w:sz="4" w:space="0" w:color="auto"/>
              <w:right w:val="single" w:sz="4" w:space="0" w:color="auto"/>
            </w:tcBorders>
            <w:shd w:val="clear" w:color="auto" w:fill="auto"/>
            <w:vAlign w:val="center"/>
            <w:hideMark/>
          </w:tcPr>
          <w:p w14:paraId="770F506E" w14:textId="77777777" w:rsidR="008F7A9E" w:rsidRPr="008F7A9E" w:rsidRDefault="008F7A9E" w:rsidP="008F7A9E">
            <w:pPr>
              <w:ind w:firstLineChars="200" w:firstLine="320"/>
              <w:rPr>
                <w:rFonts w:ascii="Arial Narrow" w:hAnsi="Arial Narrow" w:cs="Calibri"/>
                <w:sz w:val="16"/>
                <w:szCs w:val="16"/>
              </w:rPr>
            </w:pPr>
            <w:r w:rsidRPr="008F7A9E">
              <w:rPr>
                <w:rFonts w:ascii="Arial Narrow" w:hAnsi="Arial Narrow" w:cs="Calibri"/>
                <w:sz w:val="16"/>
                <w:szCs w:val="16"/>
              </w:rPr>
              <w:t>Домати</w:t>
            </w:r>
          </w:p>
        </w:tc>
        <w:tc>
          <w:tcPr>
            <w:tcW w:w="1185" w:type="dxa"/>
            <w:tcBorders>
              <w:top w:val="nil"/>
              <w:left w:val="nil"/>
              <w:bottom w:val="single" w:sz="4" w:space="0" w:color="auto"/>
              <w:right w:val="single" w:sz="4" w:space="0" w:color="auto"/>
            </w:tcBorders>
            <w:shd w:val="clear" w:color="auto" w:fill="auto"/>
            <w:vAlign w:val="center"/>
            <w:hideMark/>
          </w:tcPr>
          <w:p w14:paraId="218D8ABE" w14:textId="77777777" w:rsidR="008F7A9E" w:rsidRPr="008F7A9E" w:rsidRDefault="008F7A9E" w:rsidP="008F7A9E">
            <w:pPr>
              <w:jc w:val="right"/>
              <w:rPr>
                <w:rFonts w:ascii="Arial Narrow" w:hAnsi="Arial Narrow" w:cs="Calibri"/>
                <w:sz w:val="16"/>
                <w:szCs w:val="16"/>
              </w:rPr>
            </w:pPr>
            <w:r w:rsidRPr="008F7A9E">
              <w:rPr>
                <w:rFonts w:ascii="Arial Narrow" w:hAnsi="Arial Narrow" w:cs="Calibri"/>
                <w:sz w:val="16"/>
                <w:szCs w:val="16"/>
              </w:rPr>
              <w:t>135,1</w:t>
            </w:r>
          </w:p>
        </w:tc>
        <w:tc>
          <w:tcPr>
            <w:tcW w:w="1028" w:type="dxa"/>
            <w:tcBorders>
              <w:top w:val="nil"/>
              <w:left w:val="nil"/>
              <w:bottom w:val="single" w:sz="4" w:space="0" w:color="auto"/>
              <w:right w:val="single" w:sz="4" w:space="0" w:color="auto"/>
            </w:tcBorders>
            <w:shd w:val="clear" w:color="auto" w:fill="auto"/>
            <w:vAlign w:val="center"/>
            <w:hideMark/>
          </w:tcPr>
          <w:p w14:paraId="4E105B63" w14:textId="77777777" w:rsidR="008F7A9E" w:rsidRPr="008F7A9E" w:rsidRDefault="008F7A9E" w:rsidP="008F7A9E">
            <w:pPr>
              <w:jc w:val="right"/>
              <w:rPr>
                <w:rFonts w:ascii="Arial Narrow" w:hAnsi="Arial Narrow" w:cs="Calibri"/>
                <w:sz w:val="16"/>
                <w:szCs w:val="16"/>
              </w:rPr>
            </w:pPr>
            <w:r w:rsidRPr="008F7A9E">
              <w:rPr>
                <w:rFonts w:ascii="Arial Narrow" w:hAnsi="Arial Narrow" w:cs="Calibri"/>
                <w:sz w:val="16"/>
                <w:szCs w:val="16"/>
              </w:rPr>
              <w:t>2,2</w:t>
            </w:r>
          </w:p>
        </w:tc>
        <w:tc>
          <w:tcPr>
            <w:tcW w:w="1217" w:type="dxa"/>
            <w:tcBorders>
              <w:top w:val="nil"/>
              <w:left w:val="nil"/>
              <w:bottom w:val="single" w:sz="4" w:space="0" w:color="auto"/>
              <w:right w:val="single" w:sz="4" w:space="0" w:color="auto"/>
            </w:tcBorders>
            <w:shd w:val="clear" w:color="auto" w:fill="auto"/>
            <w:vAlign w:val="center"/>
            <w:hideMark/>
          </w:tcPr>
          <w:p w14:paraId="648EBFED" w14:textId="77777777" w:rsidR="008F7A9E" w:rsidRPr="008F7A9E" w:rsidRDefault="008F7A9E" w:rsidP="008F7A9E">
            <w:pPr>
              <w:jc w:val="right"/>
              <w:rPr>
                <w:rFonts w:ascii="Arial Narrow" w:hAnsi="Arial Narrow" w:cs="Calibri"/>
                <w:sz w:val="16"/>
                <w:szCs w:val="16"/>
              </w:rPr>
            </w:pPr>
            <w:r w:rsidRPr="008F7A9E">
              <w:rPr>
                <w:rFonts w:ascii="Arial Narrow" w:hAnsi="Arial Narrow" w:cs="Calibri"/>
                <w:sz w:val="16"/>
                <w:szCs w:val="16"/>
              </w:rPr>
              <w:t>138,1</w:t>
            </w:r>
          </w:p>
        </w:tc>
        <w:tc>
          <w:tcPr>
            <w:tcW w:w="1075" w:type="dxa"/>
            <w:tcBorders>
              <w:top w:val="nil"/>
              <w:left w:val="nil"/>
              <w:bottom w:val="single" w:sz="4" w:space="0" w:color="auto"/>
              <w:right w:val="single" w:sz="4" w:space="0" w:color="auto"/>
            </w:tcBorders>
            <w:shd w:val="clear" w:color="auto" w:fill="auto"/>
            <w:vAlign w:val="center"/>
            <w:hideMark/>
          </w:tcPr>
          <w:p w14:paraId="5365D491" w14:textId="77777777" w:rsidR="008F7A9E" w:rsidRPr="008F7A9E" w:rsidRDefault="008F7A9E" w:rsidP="008F7A9E">
            <w:pPr>
              <w:jc w:val="right"/>
              <w:rPr>
                <w:rFonts w:ascii="Arial Narrow" w:hAnsi="Arial Narrow" w:cs="Calibri"/>
                <w:sz w:val="16"/>
                <w:szCs w:val="16"/>
              </w:rPr>
            </w:pPr>
            <w:r w:rsidRPr="008F7A9E">
              <w:rPr>
                <w:rFonts w:ascii="Arial Narrow" w:hAnsi="Arial Narrow" w:cs="Calibri"/>
                <w:sz w:val="16"/>
                <w:szCs w:val="16"/>
              </w:rPr>
              <w:t>2,0</w:t>
            </w:r>
          </w:p>
        </w:tc>
        <w:tc>
          <w:tcPr>
            <w:tcW w:w="1233" w:type="dxa"/>
            <w:tcBorders>
              <w:top w:val="nil"/>
              <w:left w:val="nil"/>
              <w:bottom w:val="single" w:sz="4" w:space="0" w:color="auto"/>
              <w:right w:val="single" w:sz="4" w:space="0" w:color="auto"/>
            </w:tcBorders>
            <w:shd w:val="clear" w:color="auto" w:fill="auto"/>
            <w:vAlign w:val="center"/>
            <w:hideMark/>
          </w:tcPr>
          <w:p w14:paraId="0498A6FB" w14:textId="77777777" w:rsidR="008F7A9E" w:rsidRPr="008F7A9E" w:rsidRDefault="008F7A9E" w:rsidP="008F7A9E">
            <w:pPr>
              <w:jc w:val="right"/>
              <w:rPr>
                <w:rFonts w:ascii="Arial Narrow" w:hAnsi="Arial Narrow" w:cs="Calibri"/>
                <w:sz w:val="16"/>
                <w:szCs w:val="16"/>
              </w:rPr>
            </w:pPr>
            <w:r w:rsidRPr="008F7A9E">
              <w:rPr>
                <w:rFonts w:ascii="Arial Narrow" w:hAnsi="Arial Narrow" w:cs="Calibri"/>
                <w:sz w:val="16"/>
                <w:szCs w:val="16"/>
              </w:rPr>
              <w:t>140,8</w:t>
            </w:r>
          </w:p>
        </w:tc>
      </w:tr>
      <w:tr w:rsidR="008F7A9E" w:rsidRPr="00B10684" w14:paraId="5E062565" w14:textId="77777777" w:rsidTr="005A18A5">
        <w:trPr>
          <w:trHeight w:val="251"/>
        </w:trPr>
        <w:tc>
          <w:tcPr>
            <w:tcW w:w="748" w:type="dxa"/>
            <w:tcBorders>
              <w:top w:val="nil"/>
              <w:left w:val="single" w:sz="4" w:space="0" w:color="auto"/>
              <w:bottom w:val="single" w:sz="4" w:space="0" w:color="auto"/>
              <w:right w:val="single" w:sz="4" w:space="0" w:color="auto"/>
            </w:tcBorders>
            <w:shd w:val="clear" w:color="auto" w:fill="auto"/>
            <w:vAlign w:val="center"/>
            <w:hideMark/>
          </w:tcPr>
          <w:p w14:paraId="1BCF956A" w14:textId="77777777" w:rsidR="008F7A9E" w:rsidRPr="008F7A9E" w:rsidRDefault="008F7A9E" w:rsidP="008F7A9E">
            <w:pPr>
              <w:rPr>
                <w:rFonts w:ascii="Arial Narrow" w:hAnsi="Arial Narrow" w:cs="Calibri"/>
                <w:sz w:val="16"/>
                <w:szCs w:val="16"/>
              </w:rPr>
            </w:pPr>
            <w:r w:rsidRPr="008F7A9E">
              <w:rPr>
                <w:rFonts w:ascii="Arial Narrow" w:hAnsi="Arial Narrow" w:cs="Calibri"/>
                <w:sz w:val="16"/>
                <w:szCs w:val="16"/>
              </w:rPr>
              <w:t>04.1/3</w:t>
            </w:r>
          </w:p>
        </w:tc>
        <w:tc>
          <w:tcPr>
            <w:tcW w:w="4419" w:type="dxa"/>
            <w:tcBorders>
              <w:top w:val="nil"/>
              <w:left w:val="nil"/>
              <w:bottom w:val="single" w:sz="4" w:space="0" w:color="auto"/>
              <w:right w:val="single" w:sz="4" w:space="0" w:color="auto"/>
            </w:tcBorders>
            <w:shd w:val="clear" w:color="auto" w:fill="auto"/>
            <w:vAlign w:val="center"/>
            <w:hideMark/>
          </w:tcPr>
          <w:p w14:paraId="05A3CD77" w14:textId="77777777" w:rsidR="008F7A9E" w:rsidRPr="008F7A9E" w:rsidRDefault="008F7A9E" w:rsidP="008F7A9E">
            <w:pPr>
              <w:ind w:firstLineChars="200" w:firstLine="320"/>
              <w:rPr>
                <w:rFonts w:ascii="Arial Narrow" w:hAnsi="Arial Narrow" w:cs="Calibri"/>
                <w:sz w:val="16"/>
                <w:szCs w:val="16"/>
              </w:rPr>
            </w:pPr>
            <w:r w:rsidRPr="008F7A9E">
              <w:rPr>
                <w:rFonts w:ascii="Arial Narrow" w:hAnsi="Arial Narrow" w:cs="Calibri"/>
                <w:sz w:val="16"/>
                <w:szCs w:val="16"/>
              </w:rPr>
              <w:t>Други пресни зеленчуци</w:t>
            </w:r>
          </w:p>
        </w:tc>
        <w:tc>
          <w:tcPr>
            <w:tcW w:w="1185" w:type="dxa"/>
            <w:tcBorders>
              <w:top w:val="nil"/>
              <w:left w:val="nil"/>
              <w:bottom w:val="single" w:sz="4" w:space="0" w:color="auto"/>
              <w:right w:val="single" w:sz="4" w:space="0" w:color="auto"/>
            </w:tcBorders>
            <w:shd w:val="clear" w:color="auto" w:fill="auto"/>
            <w:vAlign w:val="center"/>
            <w:hideMark/>
          </w:tcPr>
          <w:p w14:paraId="780E0C6B" w14:textId="77777777" w:rsidR="008F7A9E" w:rsidRPr="008F7A9E" w:rsidRDefault="008F7A9E" w:rsidP="008F7A9E">
            <w:pPr>
              <w:jc w:val="right"/>
              <w:rPr>
                <w:rFonts w:ascii="Arial Narrow" w:hAnsi="Arial Narrow" w:cs="Calibri"/>
                <w:sz w:val="16"/>
                <w:szCs w:val="16"/>
              </w:rPr>
            </w:pPr>
            <w:r w:rsidRPr="008F7A9E">
              <w:rPr>
                <w:rFonts w:ascii="Arial Narrow" w:hAnsi="Arial Narrow" w:cs="Calibri"/>
                <w:sz w:val="16"/>
                <w:szCs w:val="16"/>
              </w:rPr>
              <w:t>262,4</w:t>
            </w:r>
          </w:p>
        </w:tc>
        <w:tc>
          <w:tcPr>
            <w:tcW w:w="1028" w:type="dxa"/>
            <w:tcBorders>
              <w:top w:val="nil"/>
              <w:left w:val="nil"/>
              <w:bottom w:val="single" w:sz="4" w:space="0" w:color="auto"/>
              <w:right w:val="single" w:sz="4" w:space="0" w:color="auto"/>
            </w:tcBorders>
            <w:shd w:val="clear" w:color="auto" w:fill="auto"/>
            <w:vAlign w:val="center"/>
            <w:hideMark/>
          </w:tcPr>
          <w:p w14:paraId="4DFF5BEE" w14:textId="77777777" w:rsidR="008F7A9E" w:rsidRPr="008F7A9E" w:rsidRDefault="008F7A9E" w:rsidP="008F7A9E">
            <w:pPr>
              <w:jc w:val="right"/>
              <w:rPr>
                <w:rFonts w:ascii="Arial Narrow" w:hAnsi="Arial Narrow" w:cs="Calibri"/>
                <w:sz w:val="16"/>
                <w:szCs w:val="16"/>
              </w:rPr>
            </w:pPr>
            <w:r w:rsidRPr="008F7A9E">
              <w:rPr>
                <w:rFonts w:ascii="Arial Narrow" w:hAnsi="Arial Narrow" w:cs="Calibri"/>
                <w:sz w:val="16"/>
                <w:szCs w:val="16"/>
              </w:rPr>
              <w:t>13,8</w:t>
            </w:r>
          </w:p>
        </w:tc>
        <w:tc>
          <w:tcPr>
            <w:tcW w:w="1217" w:type="dxa"/>
            <w:tcBorders>
              <w:top w:val="nil"/>
              <w:left w:val="nil"/>
              <w:bottom w:val="single" w:sz="4" w:space="0" w:color="auto"/>
              <w:right w:val="single" w:sz="4" w:space="0" w:color="auto"/>
            </w:tcBorders>
            <w:shd w:val="clear" w:color="auto" w:fill="auto"/>
            <w:vAlign w:val="center"/>
            <w:hideMark/>
          </w:tcPr>
          <w:p w14:paraId="5876AB6D" w14:textId="77777777" w:rsidR="008F7A9E" w:rsidRPr="008F7A9E" w:rsidRDefault="008F7A9E" w:rsidP="008F7A9E">
            <w:pPr>
              <w:jc w:val="right"/>
              <w:rPr>
                <w:rFonts w:ascii="Arial Narrow" w:hAnsi="Arial Narrow" w:cs="Calibri"/>
                <w:sz w:val="16"/>
                <w:szCs w:val="16"/>
              </w:rPr>
            </w:pPr>
            <w:r w:rsidRPr="008F7A9E">
              <w:rPr>
                <w:rFonts w:ascii="Arial Narrow" w:hAnsi="Arial Narrow" w:cs="Calibri"/>
                <w:sz w:val="16"/>
                <w:szCs w:val="16"/>
              </w:rPr>
              <w:t>298,5</w:t>
            </w:r>
          </w:p>
        </w:tc>
        <w:tc>
          <w:tcPr>
            <w:tcW w:w="1075" w:type="dxa"/>
            <w:tcBorders>
              <w:top w:val="nil"/>
              <w:left w:val="nil"/>
              <w:bottom w:val="single" w:sz="4" w:space="0" w:color="auto"/>
              <w:right w:val="single" w:sz="4" w:space="0" w:color="auto"/>
            </w:tcBorders>
            <w:shd w:val="clear" w:color="auto" w:fill="auto"/>
            <w:vAlign w:val="center"/>
            <w:hideMark/>
          </w:tcPr>
          <w:p w14:paraId="5B9B5900" w14:textId="77777777" w:rsidR="008F7A9E" w:rsidRPr="008F7A9E" w:rsidRDefault="008F7A9E" w:rsidP="008F7A9E">
            <w:pPr>
              <w:jc w:val="right"/>
              <w:rPr>
                <w:rFonts w:ascii="Arial Narrow" w:hAnsi="Arial Narrow" w:cs="Calibri"/>
                <w:sz w:val="16"/>
                <w:szCs w:val="16"/>
              </w:rPr>
            </w:pPr>
            <w:r w:rsidRPr="008F7A9E">
              <w:rPr>
                <w:rFonts w:ascii="Arial Narrow" w:hAnsi="Arial Narrow" w:cs="Calibri"/>
                <w:sz w:val="16"/>
                <w:szCs w:val="16"/>
              </w:rPr>
              <w:t>10,7</w:t>
            </w:r>
          </w:p>
        </w:tc>
        <w:tc>
          <w:tcPr>
            <w:tcW w:w="1233" w:type="dxa"/>
            <w:tcBorders>
              <w:top w:val="nil"/>
              <w:left w:val="nil"/>
              <w:bottom w:val="single" w:sz="4" w:space="0" w:color="auto"/>
              <w:right w:val="single" w:sz="4" w:space="0" w:color="auto"/>
            </w:tcBorders>
            <w:shd w:val="clear" w:color="auto" w:fill="auto"/>
            <w:vAlign w:val="center"/>
            <w:hideMark/>
          </w:tcPr>
          <w:p w14:paraId="71B23E1F" w14:textId="77777777" w:rsidR="008F7A9E" w:rsidRPr="008F7A9E" w:rsidRDefault="008F7A9E" w:rsidP="008F7A9E">
            <w:pPr>
              <w:jc w:val="right"/>
              <w:rPr>
                <w:rFonts w:ascii="Arial Narrow" w:hAnsi="Arial Narrow" w:cs="Calibri"/>
                <w:sz w:val="16"/>
                <w:szCs w:val="16"/>
              </w:rPr>
            </w:pPr>
            <w:r w:rsidRPr="008F7A9E">
              <w:rPr>
                <w:rFonts w:ascii="Arial Narrow" w:hAnsi="Arial Narrow" w:cs="Calibri"/>
                <w:sz w:val="16"/>
                <w:szCs w:val="16"/>
              </w:rPr>
              <w:t>330,3</w:t>
            </w:r>
          </w:p>
        </w:tc>
      </w:tr>
      <w:tr w:rsidR="008F7A9E" w:rsidRPr="00B10684" w14:paraId="2AB2267D" w14:textId="77777777" w:rsidTr="005A18A5">
        <w:trPr>
          <w:trHeight w:val="251"/>
        </w:trPr>
        <w:tc>
          <w:tcPr>
            <w:tcW w:w="748" w:type="dxa"/>
            <w:tcBorders>
              <w:top w:val="nil"/>
              <w:left w:val="single" w:sz="4" w:space="0" w:color="auto"/>
              <w:bottom w:val="single" w:sz="4" w:space="0" w:color="auto"/>
              <w:right w:val="single" w:sz="4" w:space="0" w:color="auto"/>
            </w:tcBorders>
            <w:shd w:val="clear" w:color="auto" w:fill="auto"/>
            <w:vAlign w:val="center"/>
            <w:hideMark/>
          </w:tcPr>
          <w:p w14:paraId="2CD57087" w14:textId="77777777" w:rsidR="008F7A9E" w:rsidRPr="008F7A9E" w:rsidRDefault="008F7A9E" w:rsidP="008F7A9E">
            <w:pPr>
              <w:rPr>
                <w:rFonts w:ascii="Arial Narrow" w:hAnsi="Arial Narrow" w:cs="Calibri"/>
                <w:sz w:val="16"/>
                <w:szCs w:val="16"/>
              </w:rPr>
            </w:pPr>
            <w:r w:rsidRPr="008F7A9E">
              <w:rPr>
                <w:rFonts w:ascii="Arial Narrow" w:hAnsi="Arial Narrow" w:cs="Calibri"/>
                <w:sz w:val="16"/>
                <w:szCs w:val="16"/>
              </w:rPr>
              <w:t>04.2</w:t>
            </w:r>
          </w:p>
        </w:tc>
        <w:tc>
          <w:tcPr>
            <w:tcW w:w="4419" w:type="dxa"/>
            <w:tcBorders>
              <w:top w:val="nil"/>
              <w:left w:val="nil"/>
              <w:bottom w:val="single" w:sz="4" w:space="0" w:color="auto"/>
              <w:right w:val="single" w:sz="4" w:space="0" w:color="auto"/>
            </w:tcBorders>
            <w:shd w:val="clear" w:color="auto" w:fill="auto"/>
            <w:vAlign w:val="center"/>
            <w:hideMark/>
          </w:tcPr>
          <w:p w14:paraId="134AC6E8" w14:textId="77777777" w:rsidR="008F7A9E" w:rsidRPr="008F7A9E" w:rsidRDefault="00D56BD4" w:rsidP="008F7A9E">
            <w:pPr>
              <w:ind w:firstLineChars="100" w:firstLine="160"/>
              <w:rPr>
                <w:rFonts w:ascii="Arial Narrow" w:hAnsi="Arial Narrow" w:cs="Calibri"/>
                <w:sz w:val="16"/>
                <w:szCs w:val="16"/>
              </w:rPr>
            </w:pPr>
            <w:r w:rsidRPr="00D56BD4">
              <w:rPr>
                <w:rFonts w:ascii="Arial Narrow" w:hAnsi="Arial Narrow" w:cs="Calibri"/>
                <w:sz w:val="16"/>
                <w:szCs w:val="16"/>
              </w:rPr>
              <w:t>Разсадници и Ццветя</w:t>
            </w:r>
          </w:p>
        </w:tc>
        <w:tc>
          <w:tcPr>
            <w:tcW w:w="1185" w:type="dxa"/>
            <w:tcBorders>
              <w:top w:val="nil"/>
              <w:left w:val="nil"/>
              <w:bottom w:val="single" w:sz="4" w:space="0" w:color="auto"/>
              <w:right w:val="single" w:sz="4" w:space="0" w:color="auto"/>
            </w:tcBorders>
            <w:shd w:val="clear" w:color="auto" w:fill="auto"/>
            <w:vAlign w:val="center"/>
            <w:hideMark/>
          </w:tcPr>
          <w:p w14:paraId="36BD8048" w14:textId="77777777" w:rsidR="008F7A9E" w:rsidRPr="008F7A9E" w:rsidRDefault="008F7A9E" w:rsidP="008F7A9E">
            <w:pPr>
              <w:jc w:val="right"/>
              <w:rPr>
                <w:rFonts w:ascii="Arial Narrow" w:hAnsi="Arial Narrow" w:cs="Calibri"/>
                <w:sz w:val="16"/>
                <w:szCs w:val="16"/>
              </w:rPr>
            </w:pPr>
            <w:r w:rsidRPr="008F7A9E">
              <w:rPr>
                <w:rFonts w:ascii="Arial Narrow" w:hAnsi="Arial Narrow" w:cs="Calibri"/>
                <w:sz w:val="16"/>
                <w:szCs w:val="16"/>
              </w:rPr>
              <w:t>115,0</w:t>
            </w:r>
          </w:p>
        </w:tc>
        <w:tc>
          <w:tcPr>
            <w:tcW w:w="1028" w:type="dxa"/>
            <w:tcBorders>
              <w:top w:val="nil"/>
              <w:left w:val="nil"/>
              <w:bottom w:val="single" w:sz="4" w:space="0" w:color="auto"/>
              <w:right w:val="single" w:sz="4" w:space="0" w:color="auto"/>
            </w:tcBorders>
            <w:shd w:val="clear" w:color="auto" w:fill="auto"/>
            <w:vAlign w:val="center"/>
            <w:hideMark/>
          </w:tcPr>
          <w:p w14:paraId="1EEF275F" w14:textId="77777777" w:rsidR="008F7A9E" w:rsidRPr="008F7A9E" w:rsidRDefault="008F7A9E" w:rsidP="008F7A9E">
            <w:pPr>
              <w:jc w:val="right"/>
              <w:rPr>
                <w:rFonts w:ascii="Arial Narrow" w:hAnsi="Arial Narrow" w:cs="Calibri"/>
                <w:sz w:val="16"/>
                <w:szCs w:val="16"/>
              </w:rPr>
            </w:pPr>
            <w:r w:rsidRPr="008F7A9E">
              <w:rPr>
                <w:rFonts w:ascii="Arial Narrow" w:hAnsi="Arial Narrow" w:cs="Calibri"/>
                <w:sz w:val="16"/>
                <w:szCs w:val="16"/>
              </w:rPr>
              <w:t>-16,5</w:t>
            </w:r>
          </w:p>
        </w:tc>
        <w:tc>
          <w:tcPr>
            <w:tcW w:w="1217" w:type="dxa"/>
            <w:tcBorders>
              <w:top w:val="nil"/>
              <w:left w:val="nil"/>
              <w:bottom w:val="single" w:sz="4" w:space="0" w:color="auto"/>
              <w:right w:val="single" w:sz="4" w:space="0" w:color="auto"/>
            </w:tcBorders>
            <w:shd w:val="clear" w:color="auto" w:fill="auto"/>
            <w:vAlign w:val="center"/>
            <w:hideMark/>
          </w:tcPr>
          <w:p w14:paraId="57C6197D" w14:textId="77777777" w:rsidR="008F7A9E" w:rsidRPr="008F7A9E" w:rsidRDefault="008F7A9E" w:rsidP="008F7A9E">
            <w:pPr>
              <w:jc w:val="right"/>
              <w:rPr>
                <w:rFonts w:ascii="Arial Narrow" w:hAnsi="Arial Narrow" w:cs="Calibri"/>
                <w:sz w:val="16"/>
                <w:szCs w:val="16"/>
              </w:rPr>
            </w:pPr>
            <w:r w:rsidRPr="008F7A9E">
              <w:rPr>
                <w:rFonts w:ascii="Arial Narrow" w:hAnsi="Arial Narrow" w:cs="Calibri"/>
                <w:sz w:val="16"/>
                <w:szCs w:val="16"/>
              </w:rPr>
              <w:t>96,0</w:t>
            </w:r>
          </w:p>
        </w:tc>
        <w:tc>
          <w:tcPr>
            <w:tcW w:w="1075" w:type="dxa"/>
            <w:tcBorders>
              <w:top w:val="nil"/>
              <w:left w:val="nil"/>
              <w:bottom w:val="single" w:sz="4" w:space="0" w:color="auto"/>
              <w:right w:val="single" w:sz="4" w:space="0" w:color="auto"/>
            </w:tcBorders>
            <w:shd w:val="clear" w:color="auto" w:fill="auto"/>
            <w:vAlign w:val="center"/>
            <w:hideMark/>
          </w:tcPr>
          <w:p w14:paraId="65CCB02B" w14:textId="77777777" w:rsidR="008F7A9E" w:rsidRPr="008F7A9E" w:rsidRDefault="008F7A9E" w:rsidP="008F7A9E">
            <w:pPr>
              <w:jc w:val="right"/>
              <w:rPr>
                <w:rFonts w:ascii="Arial Narrow" w:hAnsi="Arial Narrow" w:cs="Calibri"/>
                <w:sz w:val="16"/>
                <w:szCs w:val="16"/>
              </w:rPr>
            </w:pPr>
            <w:r w:rsidRPr="008F7A9E">
              <w:rPr>
                <w:rFonts w:ascii="Arial Narrow" w:hAnsi="Arial Narrow" w:cs="Calibri"/>
                <w:sz w:val="16"/>
                <w:szCs w:val="16"/>
              </w:rPr>
              <w:t>-8,2</w:t>
            </w:r>
          </w:p>
        </w:tc>
        <w:tc>
          <w:tcPr>
            <w:tcW w:w="1233" w:type="dxa"/>
            <w:tcBorders>
              <w:top w:val="nil"/>
              <w:left w:val="nil"/>
              <w:bottom w:val="single" w:sz="4" w:space="0" w:color="auto"/>
              <w:right w:val="single" w:sz="4" w:space="0" w:color="auto"/>
            </w:tcBorders>
            <w:shd w:val="clear" w:color="auto" w:fill="auto"/>
            <w:vAlign w:val="center"/>
            <w:hideMark/>
          </w:tcPr>
          <w:p w14:paraId="788F40B4" w14:textId="77777777" w:rsidR="008F7A9E" w:rsidRPr="008F7A9E" w:rsidRDefault="008F7A9E" w:rsidP="008F7A9E">
            <w:pPr>
              <w:jc w:val="right"/>
              <w:rPr>
                <w:rFonts w:ascii="Arial Narrow" w:hAnsi="Arial Narrow" w:cs="Calibri"/>
                <w:sz w:val="16"/>
                <w:szCs w:val="16"/>
              </w:rPr>
            </w:pPr>
            <w:r w:rsidRPr="008F7A9E">
              <w:rPr>
                <w:rFonts w:ascii="Arial Narrow" w:hAnsi="Arial Narrow" w:cs="Calibri"/>
                <w:sz w:val="16"/>
                <w:szCs w:val="16"/>
              </w:rPr>
              <w:t>88,1</w:t>
            </w:r>
          </w:p>
        </w:tc>
      </w:tr>
      <w:tr w:rsidR="008F7A9E" w:rsidRPr="00B10684" w14:paraId="52085692" w14:textId="77777777" w:rsidTr="005A18A5">
        <w:trPr>
          <w:trHeight w:val="251"/>
        </w:trPr>
        <w:tc>
          <w:tcPr>
            <w:tcW w:w="748" w:type="dxa"/>
            <w:tcBorders>
              <w:top w:val="nil"/>
              <w:left w:val="single" w:sz="4" w:space="0" w:color="auto"/>
              <w:bottom w:val="single" w:sz="4" w:space="0" w:color="auto"/>
              <w:right w:val="single" w:sz="4" w:space="0" w:color="auto"/>
            </w:tcBorders>
            <w:shd w:val="clear" w:color="auto" w:fill="auto"/>
            <w:vAlign w:val="center"/>
            <w:hideMark/>
          </w:tcPr>
          <w:p w14:paraId="0F7B4EDF" w14:textId="77777777" w:rsidR="008F7A9E" w:rsidRPr="008F7A9E" w:rsidRDefault="008F7A9E" w:rsidP="008F7A9E">
            <w:pPr>
              <w:rPr>
                <w:rFonts w:ascii="Arial Narrow" w:hAnsi="Arial Narrow" w:cs="Calibri"/>
                <w:sz w:val="16"/>
                <w:szCs w:val="16"/>
              </w:rPr>
            </w:pPr>
            <w:r w:rsidRPr="008F7A9E">
              <w:rPr>
                <w:rFonts w:ascii="Arial Narrow" w:hAnsi="Arial Narrow" w:cs="Calibri"/>
                <w:sz w:val="16"/>
                <w:szCs w:val="16"/>
              </w:rPr>
              <w:t>04.2/1</w:t>
            </w:r>
          </w:p>
        </w:tc>
        <w:tc>
          <w:tcPr>
            <w:tcW w:w="4419" w:type="dxa"/>
            <w:tcBorders>
              <w:top w:val="nil"/>
              <w:left w:val="nil"/>
              <w:bottom w:val="single" w:sz="4" w:space="0" w:color="auto"/>
              <w:right w:val="single" w:sz="4" w:space="0" w:color="auto"/>
            </w:tcBorders>
            <w:shd w:val="clear" w:color="auto" w:fill="auto"/>
            <w:vAlign w:val="center"/>
            <w:hideMark/>
          </w:tcPr>
          <w:p w14:paraId="088D831A" w14:textId="77777777" w:rsidR="008F7A9E" w:rsidRPr="008F7A9E" w:rsidRDefault="008F7A9E" w:rsidP="008F7A9E">
            <w:pPr>
              <w:ind w:firstLineChars="200" w:firstLine="320"/>
              <w:rPr>
                <w:rFonts w:ascii="Arial Narrow" w:hAnsi="Arial Narrow" w:cs="Calibri"/>
                <w:sz w:val="16"/>
                <w:szCs w:val="16"/>
              </w:rPr>
            </w:pPr>
            <w:r w:rsidRPr="008F7A9E">
              <w:rPr>
                <w:rFonts w:ascii="Arial Narrow" w:hAnsi="Arial Narrow" w:cs="Calibri"/>
                <w:sz w:val="16"/>
                <w:szCs w:val="16"/>
              </w:rPr>
              <w:t>Разсадници</w:t>
            </w:r>
          </w:p>
        </w:tc>
        <w:tc>
          <w:tcPr>
            <w:tcW w:w="1185" w:type="dxa"/>
            <w:tcBorders>
              <w:top w:val="nil"/>
              <w:left w:val="nil"/>
              <w:bottom w:val="single" w:sz="4" w:space="0" w:color="auto"/>
              <w:right w:val="single" w:sz="4" w:space="0" w:color="auto"/>
            </w:tcBorders>
            <w:shd w:val="clear" w:color="auto" w:fill="auto"/>
            <w:vAlign w:val="center"/>
            <w:hideMark/>
          </w:tcPr>
          <w:p w14:paraId="37EB37DD" w14:textId="77777777" w:rsidR="008F7A9E" w:rsidRPr="008F7A9E" w:rsidRDefault="008F7A9E" w:rsidP="008F7A9E">
            <w:pPr>
              <w:jc w:val="right"/>
              <w:rPr>
                <w:rFonts w:ascii="Arial Narrow" w:hAnsi="Arial Narrow" w:cs="Calibri"/>
                <w:sz w:val="16"/>
                <w:szCs w:val="16"/>
              </w:rPr>
            </w:pPr>
            <w:r w:rsidRPr="008F7A9E">
              <w:rPr>
                <w:rFonts w:ascii="Arial Narrow" w:hAnsi="Arial Narrow" w:cs="Calibri"/>
                <w:sz w:val="16"/>
                <w:szCs w:val="16"/>
              </w:rPr>
              <w:t>10,9</w:t>
            </w:r>
          </w:p>
        </w:tc>
        <w:tc>
          <w:tcPr>
            <w:tcW w:w="1028" w:type="dxa"/>
            <w:tcBorders>
              <w:top w:val="nil"/>
              <w:left w:val="nil"/>
              <w:bottom w:val="single" w:sz="4" w:space="0" w:color="auto"/>
              <w:right w:val="single" w:sz="4" w:space="0" w:color="auto"/>
            </w:tcBorders>
            <w:shd w:val="clear" w:color="auto" w:fill="auto"/>
            <w:vAlign w:val="center"/>
            <w:hideMark/>
          </w:tcPr>
          <w:p w14:paraId="55CAF4B2" w14:textId="77777777" w:rsidR="008F7A9E" w:rsidRPr="008F7A9E" w:rsidRDefault="008F7A9E" w:rsidP="008F7A9E">
            <w:pPr>
              <w:jc w:val="right"/>
              <w:rPr>
                <w:rFonts w:ascii="Arial Narrow" w:hAnsi="Arial Narrow" w:cs="Calibri"/>
                <w:sz w:val="16"/>
                <w:szCs w:val="16"/>
              </w:rPr>
            </w:pPr>
            <w:r w:rsidRPr="008F7A9E">
              <w:rPr>
                <w:rFonts w:ascii="Arial Narrow" w:hAnsi="Arial Narrow" w:cs="Calibri"/>
                <w:sz w:val="16"/>
                <w:szCs w:val="16"/>
              </w:rPr>
              <w:t>60,6</w:t>
            </w:r>
          </w:p>
        </w:tc>
        <w:tc>
          <w:tcPr>
            <w:tcW w:w="1217" w:type="dxa"/>
            <w:tcBorders>
              <w:top w:val="nil"/>
              <w:left w:val="nil"/>
              <w:bottom w:val="single" w:sz="4" w:space="0" w:color="auto"/>
              <w:right w:val="single" w:sz="4" w:space="0" w:color="auto"/>
            </w:tcBorders>
            <w:shd w:val="clear" w:color="auto" w:fill="auto"/>
            <w:vAlign w:val="center"/>
            <w:hideMark/>
          </w:tcPr>
          <w:p w14:paraId="661A4194" w14:textId="77777777" w:rsidR="008F7A9E" w:rsidRPr="008F7A9E" w:rsidRDefault="008F7A9E" w:rsidP="008F7A9E">
            <w:pPr>
              <w:jc w:val="right"/>
              <w:rPr>
                <w:rFonts w:ascii="Arial Narrow" w:hAnsi="Arial Narrow" w:cs="Calibri"/>
                <w:sz w:val="16"/>
                <w:szCs w:val="16"/>
              </w:rPr>
            </w:pPr>
            <w:r w:rsidRPr="008F7A9E">
              <w:rPr>
                <w:rFonts w:ascii="Arial Narrow" w:hAnsi="Arial Narrow" w:cs="Calibri"/>
                <w:sz w:val="16"/>
                <w:szCs w:val="16"/>
              </w:rPr>
              <w:t>17,5</w:t>
            </w:r>
          </w:p>
        </w:tc>
        <w:tc>
          <w:tcPr>
            <w:tcW w:w="1075" w:type="dxa"/>
            <w:tcBorders>
              <w:top w:val="nil"/>
              <w:left w:val="nil"/>
              <w:bottom w:val="single" w:sz="4" w:space="0" w:color="auto"/>
              <w:right w:val="single" w:sz="4" w:space="0" w:color="auto"/>
            </w:tcBorders>
            <w:shd w:val="clear" w:color="auto" w:fill="auto"/>
            <w:vAlign w:val="center"/>
            <w:hideMark/>
          </w:tcPr>
          <w:p w14:paraId="1852C0B5" w14:textId="77777777" w:rsidR="008F7A9E" w:rsidRPr="008F7A9E" w:rsidRDefault="008F7A9E" w:rsidP="008F7A9E">
            <w:pPr>
              <w:jc w:val="right"/>
              <w:rPr>
                <w:rFonts w:ascii="Arial Narrow" w:hAnsi="Arial Narrow" w:cs="Calibri"/>
                <w:sz w:val="16"/>
                <w:szCs w:val="16"/>
              </w:rPr>
            </w:pPr>
            <w:r w:rsidRPr="008F7A9E">
              <w:rPr>
                <w:rFonts w:ascii="Arial Narrow" w:hAnsi="Arial Narrow" w:cs="Calibri"/>
                <w:sz w:val="16"/>
                <w:szCs w:val="16"/>
              </w:rPr>
              <w:t>-13,7</w:t>
            </w:r>
          </w:p>
        </w:tc>
        <w:tc>
          <w:tcPr>
            <w:tcW w:w="1233" w:type="dxa"/>
            <w:tcBorders>
              <w:top w:val="nil"/>
              <w:left w:val="nil"/>
              <w:bottom w:val="single" w:sz="4" w:space="0" w:color="auto"/>
              <w:right w:val="single" w:sz="4" w:space="0" w:color="auto"/>
            </w:tcBorders>
            <w:shd w:val="clear" w:color="auto" w:fill="auto"/>
            <w:vAlign w:val="center"/>
            <w:hideMark/>
          </w:tcPr>
          <w:p w14:paraId="39B78F7C" w14:textId="77777777" w:rsidR="008F7A9E" w:rsidRPr="008F7A9E" w:rsidRDefault="008F7A9E" w:rsidP="008F7A9E">
            <w:pPr>
              <w:jc w:val="right"/>
              <w:rPr>
                <w:rFonts w:ascii="Arial Narrow" w:hAnsi="Arial Narrow" w:cs="Calibri"/>
                <w:sz w:val="16"/>
                <w:szCs w:val="16"/>
              </w:rPr>
            </w:pPr>
            <w:r w:rsidRPr="008F7A9E">
              <w:rPr>
                <w:rFonts w:ascii="Arial Narrow" w:hAnsi="Arial Narrow" w:cs="Calibri"/>
                <w:sz w:val="16"/>
                <w:szCs w:val="16"/>
              </w:rPr>
              <w:t>15,1</w:t>
            </w:r>
          </w:p>
        </w:tc>
      </w:tr>
      <w:tr w:rsidR="008F7A9E" w:rsidRPr="00B10684" w14:paraId="3E0D1075" w14:textId="77777777" w:rsidTr="005A18A5">
        <w:trPr>
          <w:trHeight w:val="237"/>
        </w:trPr>
        <w:tc>
          <w:tcPr>
            <w:tcW w:w="748" w:type="dxa"/>
            <w:tcBorders>
              <w:top w:val="nil"/>
              <w:left w:val="single" w:sz="4" w:space="0" w:color="auto"/>
              <w:bottom w:val="single" w:sz="4" w:space="0" w:color="auto"/>
              <w:right w:val="single" w:sz="4" w:space="0" w:color="auto"/>
            </w:tcBorders>
            <w:shd w:val="clear" w:color="auto" w:fill="auto"/>
            <w:vAlign w:val="center"/>
            <w:hideMark/>
          </w:tcPr>
          <w:p w14:paraId="24EE06AB" w14:textId="77777777" w:rsidR="008F7A9E" w:rsidRPr="008F7A9E" w:rsidRDefault="008F7A9E" w:rsidP="008F7A9E">
            <w:pPr>
              <w:rPr>
                <w:rFonts w:ascii="Arial Narrow" w:hAnsi="Arial Narrow" w:cs="Calibri"/>
                <w:sz w:val="16"/>
                <w:szCs w:val="16"/>
              </w:rPr>
            </w:pPr>
            <w:r w:rsidRPr="008F7A9E">
              <w:rPr>
                <w:rFonts w:ascii="Arial Narrow" w:hAnsi="Arial Narrow" w:cs="Calibri"/>
                <w:sz w:val="16"/>
                <w:szCs w:val="16"/>
              </w:rPr>
              <w:t>04.2/2</w:t>
            </w:r>
          </w:p>
        </w:tc>
        <w:tc>
          <w:tcPr>
            <w:tcW w:w="4419" w:type="dxa"/>
            <w:tcBorders>
              <w:top w:val="nil"/>
              <w:left w:val="nil"/>
              <w:bottom w:val="single" w:sz="4" w:space="0" w:color="auto"/>
              <w:right w:val="single" w:sz="4" w:space="0" w:color="auto"/>
            </w:tcBorders>
            <w:shd w:val="clear" w:color="auto" w:fill="auto"/>
            <w:vAlign w:val="center"/>
            <w:hideMark/>
          </w:tcPr>
          <w:p w14:paraId="5A82899D" w14:textId="77777777" w:rsidR="008F7A9E" w:rsidRPr="008F7A9E" w:rsidRDefault="008F7A9E" w:rsidP="008F7A9E">
            <w:pPr>
              <w:ind w:firstLineChars="200" w:firstLine="320"/>
              <w:rPr>
                <w:rFonts w:ascii="Arial Narrow" w:hAnsi="Arial Narrow" w:cs="Calibri"/>
                <w:sz w:val="16"/>
                <w:szCs w:val="16"/>
              </w:rPr>
            </w:pPr>
            <w:r w:rsidRPr="008F7A9E">
              <w:rPr>
                <w:rFonts w:ascii="Arial Narrow" w:hAnsi="Arial Narrow" w:cs="Calibri"/>
                <w:sz w:val="16"/>
                <w:szCs w:val="16"/>
              </w:rPr>
              <w:t>Декоративни растения, вкл.коледни дръвчета</w:t>
            </w:r>
          </w:p>
        </w:tc>
        <w:tc>
          <w:tcPr>
            <w:tcW w:w="1185" w:type="dxa"/>
            <w:tcBorders>
              <w:top w:val="nil"/>
              <w:left w:val="nil"/>
              <w:bottom w:val="single" w:sz="4" w:space="0" w:color="auto"/>
              <w:right w:val="single" w:sz="4" w:space="0" w:color="auto"/>
            </w:tcBorders>
            <w:shd w:val="clear" w:color="auto" w:fill="auto"/>
            <w:vAlign w:val="center"/>
            <w:hideMark/>
          </w:tcPr>
          <w:p w14:paraId="5CE62E6A" w14:textId="77777777" w:rsidR="008F7A9E" w:rsidRPr="008F7A9E" w:rsidRDefault="008F7A9E" w:rsidP="008F7A9E">
            <w:pPr>
              <w:jc w:val="right"/>
              <w:rPr>
                <w:rFonts w:ascii="Arial Narrow" w:hAnsi="Arial Narrow" w:cs="Calibri"/>
                <w:sz w:val="16"/>
                <w:szCs w:val="16"/>
              </w:rPr>
            </w:pPr>
            <w:r w:rsidRPr="008F7A9E">
              <w:rPr>
                <w:rFonts w:ascii="Arial Narrow" w:hAnsi="Arial Narrow" w:cs="Calibri"/>
                <w:sz w:val="16"/>
                <w:szCs w:val="16"/>
              </w:rPr>
              <w:t>19,2</w:t>
            </w:r>
          </w:p>
        </w:tc>
        <w:tc>
          <w:tcPr>
            <w:tcW w:w="1028" w:type="dxa"/>
            <w:tcBorders>
              <w:top w:val="nil"/>
              <w:left w:val="nil"/>
              <w:bottom w:val="single" w:sz="4" w:space="0" w:color="auto"/>
              <w:right w:val="single" w:sz="4" w:space="0" w:color="auto"/>
            </w:tcBorders>
            <w:shd w:val="clear" w:color="auto" w:fill="auto"/>
            <w:vAlign w:val="center"/>
            <w:hideMark/>
          </w:tcPr>
          <w:p w14:paraId="058F854F" w14:textId="77777777" w:rsidR="008F7A9E" w:rsidRPr="008F7A9E" w:rsidRDefault="008F7A9E" w:rsidP="008F7A9E">
            <w:pPr>
              <w:jc w:val="right"/>
              <w:rPr>
                <w:rFonts w:ascii="Arial Narrow" w:hAnsi="Arial Narrow" w:cs="Calibri"/>
                <w:sz w:val="16"/>
                <w:szCs w:val="16"/>
              </w:rPr>
            </w:pPr>
            <w:r w:rsidRPr="008F7A9E">
              <w:rPr>
                <w:rFonts w:ascii="Arial Narrow" w:hAnsi="Arial Narrow" w:cs="Calibri"/>
                <w:sz w:val="16"/>
                <w:szCs w:val="16"/>
              </w:rPr>
              <w:t>-9,9</w:t>
            </w:r>
          </w:p>
        </w:tc>
        <w:tc>
          <w:tcPr>
            <w:tcW w:w="1217" w:type="dxa"/>
            <w:tcBorders>
              <w:top w:val="nil"/>
              <w:left w:val="nil"/>
              <w:bottom w:val="single" w:sz="4" w:space="0" w:color="auto"/>
              <w:right w:val="single" w:sz="4" w:space="0" w:color="auto"/>
            </w:tcBorders>
            <w:shd w:val="clear" w:color="auto" w:fill="auto"/>
            <w:vAlign w:val="center"/>
            <w:hideMark/>
          </w:tcPr>
          <w:p w14:paraId="6DF9D148" w14:textId="77777777" w:rsidR="008F7A9E" w:rsidRPr="008F7A9E" w:rsidRDefault="008F7A9E" w:rsidP="008F7A9E">
            <w:pPr>
              <w:jc w:val="right"/>
              <w:rPr>
                <w:rFonts w:ascii="Arial Narrow" w:hAnsi="Arial Narrow" w:cs="Calibri"/>
                <w:sz w:val="16"/>
                <w:szCs w:val="16"/>
              </w:rPr>
            </w:pPr>
            <w:r w:rsidRPr="008F7A9E">
              <w:rPr>
                <w:rFonts w:ascii="Arial Narrow" w:hAnsi="Arial Narrow" w:cs="Calibri"/>
                <w:sz w:val="16"/>
                <w:szCs w:val="16"/>
              </w:rPr>
              <w:t>17,3</w:t>
            </w:r>
          </w:p>
        </w:tc>
        <w:tc>
          <w:tcPr>
            <w:tcW w:w="1075" w:type="dxa"/>
            <w:tcBorders>
              <w:top w:val="nil"/>
              <w:left w:val="nil"/>
              <w:bottom w:val="single" w:sz="4" w:space="0" w:color="auto"/>
              <w:right w:val="single" w:sz="4" w:space="0" w:color="auto"/>
            </w:tcBorders>
            <w:shd w:val="clear" w:color="auto" w:fill="auto"/>
            <w:vAlign w:val="center"/>
            <w:hideMark/>
          </w:tcPr>
          <w:p w14:paraId="23DEB018" w14:textId="77777777" w:rsidR="008F7A9E" w:rsidRPr="008F7A9E" w:rsidRDefault="008F7A9E" w:rsidP="008F7A9E">
            <w:pPr>
              <w:jc w:val="right"/>
              <w:rPr>
                <w:rFonts w:ascii="Arial Narrow" w:hAnsi="Arial Narrow" w:cs="Calibri"/>
                <w:sz w:val="16"/>
                <w:szCs w:val="16"/>
              </w:rPr>
            </w:pPr>
            <w:r w:rsidRPr="008F7A9E">
              <w:rPr>
                <w:rFonts w:ascii="Arial Narrow" w:hAnsi="Arial Narrow" w:cs="Calibri"/>
                <w:sz w:val="16"/>
                <w:szCs w:val="16"/>
              </w:rPr>
              <w:t>-22,0</w:t>
            </w:r>
          </w:p>
        </w:tc>
        <w:tc>
          <w:tcPr>
            <w:tcW w:w="1233" w:type="dxa"/>
            <w:tcBorders>
              <w:top w:val="nil"/>
              <w:left w:val="nil"/>
              <w:bottom w:val="single" w:sz="4" w:space="0" w:color="auto"/>
              <w:right w:val="single" w:sz="4" w:space="0" w:color="auto"/>
            </w:tcBorders>
            <w:shd w:val="clear" w:color="auto" w:fill="auto"/>
            <w:vAlign w:val="center"/>
            <w:hideMark/>
          </w:tcPr>
          <w:p w14:paraId="311642CA" w14:textId="77777777" w:rsidR="008F7A9E" w:rsidRPr="008F7A9E" w:rsidRDefault="008F7A9E" w:rsidP="008F7A9E">
            <w:pPr>
              <w:jc w:val="right"/>
              <w:rPr>
                <w:rFonts w:ascii="Arial Narrow" w:hAnsi="Arial Narrow" w:cs="Calibri"/>
                <w:sz w:val="16"/>
                <w:szCs w:val="16"/>
              </w:rPr>
            </w:pPr>
            <w:r w:rsidRPr="008F7A9E">
              <w:rPr>
                <w:rFonts w:ascii="Arial Narrow" w:hAnsi="Arial Narrow" w:cs="Calibri"/>
                <w:sz w:val="16"/>
                <w:szCs w:val="16"/>
              </w:rPr>
              <w:t>13,5</w:t>
            </w:r>
          </w:p>
        </w:tc>
      </w:tr>
      <w:tr w:rsidR="008F7A9E" w:rsidRPr="00B10684" w14:paraId="0AEBB2EE" w14:textId="77777777" w:rsidTr="005A18A5">
        <w:trPr>
          <w:trHeight w:val="251"/>
        </w:trPr>
        <w:tc>
          <w:tcPr>
            <w:tcW w:w="748" w:type="dxa"/>
            <w:tcBorders>
              <w:top w:val="nil"/>
              <w:left w:val="single" w:sz="4" w:space="0" w:color="auto"/>
              <w:bottom w:val="single" w:sz="4" w:space="0" w:color="auto"/>
              <w:right w:val="single" w:sz="4" w:space="0" w:color="auto"/>
            </w:tcBorders>
            <w:shd w:val="clear" w:color="auto" w:fill="auto"/>
            <w:vAlign w:val="center"/>
            <w:hideMark/>
          </w:tcPr>
          <w:p w14:paraId="163D2083" w14:textId="77777777" w:rsidR="008F7A9E" w:rsidRPr="008F7A9E" w:rsidRDefault="008F7A9E" w:rsidP="008F7A9E">
            <w:pPr>
              <w:rPr>
                <w:rFonts w:ascii="Arial Narrow" w:hAnsi="Arial Narrow" w:cs="Calibri"/>
                <w:sz w:val="16"/>
                <w:szCs w:val="16"/>
              </w:rPr>
            </w:pPr>
            <w:r w:rsidRPr="008F7A9E">
              <w:rPr>
                <w:rFonts w:ascii="Arial Narrow" w:hAnsi="Arial Narrow" w:cs="Calibri"/>
                <w:sz w:val="16"/>
                <w:szCs w:val="16"/>
              </w:rPr>
              <w:t>04.2/3</w:t>
            </w:r>
          </w:p>
        </w:tc>
        <w:tc>
          <w:tcPr>
            <w:tcW w:w="4419" w:type="dxa"/>
            <w:tcBorders>
              <w:top w:val="nil"/>
              <w:left w:val="nil"/>
              <w:bottom w:val="single" w:sz="4" w:space="0" w:color="auto"/>
              <w:right w:val="single" w:sz="4" w:space="0" w:color="auto"/>
            </w:tcBorders>
            <w:shd w:val="clear" w:color="auto" w:fill="auto"/>
            <w:vAlign w:val="center"/>
            <w:hideMark/>
          </w:tcPr>
          <w:p w14:paraId="42150A6C" w14:textId="77777777" w:rsidR="008F7A9E" w:rsidRPr="008F7A9E" w:rsidRDefault="008F7A9E" w:rsidP="008F7A9E">
            <w:pPr>
              <w:ind w:firstLineChars="200" w:firstLine="320"/>
              <w:rPr>
                <w:rFonts w:ascii="Arial Narrow" w:hAnsi="Arial Narrow" w:cs="Calibri"/>
                <w:sz w:val="16"/>
                <w:szCs w:val="16"/>
              </w:rPr>
            </w:pPr>
            <w:r w:rsidRPr="008F7A9E">
              <w:rPr>
                <w:rFonts w:ascii="Arial Narrow" w:hAnsi="Arial Narrow" w:cs="Calibri"/>
                <w:sz w:val="16"/>
                <w:szCs w:val="16"/>
              </w:rPr>
              <w:t>Създаване и отглеждане</w:t>
            </w:r>
          </w:p>
        </w:tc>
        <w:tc>
          <w:tcPr>
            <w:tcW w:w="1185" w:type="dxa"/>
            <w:tcBorders>
              <w:top w:val="nil"/>
              <w:left w:val="nil"/>
              <w:bottom w:val="single" w:sz="4" w:space="0" w:color="auto"/>
              <w:right w:val="single" w:sz="4" w:space="0" w:color="auto"/>
            </w:tcBorders>
            <w:shd w:val="clear" w:color="auto" w:fill="auto"/>
            <w:vAlign w:val="center"/>
            <w:hideMark/>
          </w:tcPr>
          <w:p w14:paraId="3C3D99FE" w14:textId="77777777" w:rsidR="008F7A9E" w:rsidRPr="008F7A9E" w:rsidRDefault="008F7A9E" w:rsidP="008F7A9E">
            <w:pPr>
              <w:jc w:val="right"/>
              <w:rPr>
                <w:rFonts w:ascii="Arial Narrow" w:hAnsi="Arial Narrow" w:cs="Calibri"/>
                <w:sz w:val="16"/>
                <w:szCs w:val="16"/>
              </w:rPr>
            </w:pPr>
            <w:r w:rsidRPr="008F7A9E">
              <w:rPr>
                <w:rFonts w:ascii="Arial Narrow" w:hAnsi="Arial Narrow" w:cs="Calibri"/>
                <w:sz w:val="16"/>
                <w:szCs w:val="16"/>
              </w:rPr>
              <w:t>84,9</w:t>
            </w:r>
          </w:p>
        </w:tc>
        <w:tc>
          <w:tcPr>
            <w:tcW w:w="1028" w:type="dxa"/>
            <w:tcBorders>
              <w:top w:val="nil"/>
              <w:left w:val="nil"/>
              <w:bottom w:val="single" w:sz="4" w:space="0" w:color="auto"/>
              <w:right w:val="single" w:sz="4" w:space="0" w:color="auto"/>
            </w:tcBorders>
            <w:shd w:val="clear" w:color="auto" w:fill="auto"/>
            <w:vAlign w:val="center"/>
            <w:hideMark/>
          </w:tcPr>
          <w:p w14:paraId="22496710" w14:textId="77777777" w:rsidR="008F7A9E" w:rsidRPr="008F7A9E" w:rsidRDefault="008F7A9E" w:rsidP="008F7A9E">
            <w:pPr>
              <w:jc w:val="right"/>
              <w:rPr>
                <w:rFonts w:ascii="Arial Narrow" w:hAnsi="Arial Narrow" w:cs="Calibri"/>
                <w:sz w:val="16"/>
                <w:szCs w:val="16"/>
              </w:rPr>
            </w:pPr>
            <w:r w:rsidRPr="008F7A9E">
              <w:rPr>
                <w:rFonts w:ascii="Arial Narrow" w:hAnsi="Arial Narrow" w:cs="Calibri"/>
                <w:sz w:val="16"/>
                <w:szCs w:val="16"/>
              </w:rPr>
              <w:t>-27,9</w:t>
            </w:r>
          </w:p>
        </w:tc>
        <w:tc>
          <w:tcPr>
            <w:tcW w:w="1217" w:type="dxa"/>
            <w:tcBorders>
              <w:top w:val="nil"/>
              <w:left w:val="nil"/>
              <w:bottom w:val="single" w:sz="4" w:space="0" w:color="auto"/>
              <w:right w:val="single" w:sz="4" w:space="0" w:color="auto"/>
            </w:tcBorders>
            <w:shd w:val="clear" w:color="auto" w:fill="auto"/>
            <w:vAlign w:val="center"/>
            <w:hideMark/>
          </w:tcPr>
          <w:p w14:paraId="750396B8" w14:textId="77777777" w:rsidR="008F7A9E" w:rsidRPr="008F7A9E" w:rsidRDefault="008F7A9E" w:rsidP="008F7A9E">
            <w:pPr>
              <w:jc w:val="right"/>
              <w:rPr>
                <w:rFonts w:ascii="Arial Narrow" w:hAnsi="Arial Narrow" w:cs="Calibri"/>
                <w:sz w:val="16"/>
                <w:szCs w:val="16"/>
              </w:rPr>
            </w:pPr>
            <w:r w:rsidRPr="008F7A9E">
              <w:rPr>
                <w:rFonts w:ascii="Arial Narrow" w:hAnsi="Arial Narrow" w:cs="Calibri"/>
                <w:sz w:val="16"/>
                <w:szCs w:val="16"/>
              </w:rPr>
              <w:t>61,2</w:t>
            </w:r>
          </w:p>
        </w:tc>
        <w:tc>
          <w:tcPr>
            <w:tcW w:w="1075" w:type="dxa"/>
            <w:tcBorders>
              <w:top w:val="nil"/>
              <w:left w:val="nil"/>
              <w:bottom w:val="single" w:sz="4" w:space="0" w:color="auto"/>
              <w:right w:val="single" w:sz="4" w:space="0" w:color="auto"/>
            </w:tcBorders>
            <w:shd w:val="clear" w:color="auto" w:fill="auto"/>
            <w:vAlign w:val="center"/>
            <w:hideMark/>
          </w:tcPr>
          <w:p w14:paraId="25B9FCBE" w14:textId="77777777" w:rsidR="008F7A9E" w:rsidRPr="008F7A9E" w:rsidRDefault="008F7A9E" w:rsidP="008F7A9E">
            <w:pPr>
              <w:jc w:val="right"/>
              <w:rPr>
                <w:rFonts w:ascii="Arial Narrow" w:hAnsi="Arial Narrow" w:cs="Calibri"/>
                <w:sz w:val="16"/>
                <w:szCs w:val="16"/>
              </w:rPr>
            </w:pPr>
            <w:r w:rsidRPr="008F7A9E">
              <w:rPr>
                <w:rFonts w:ascii="Arial Narrow" w:hAnsi="Arial Narrow" w:cs="Calibri"/>
                <w:sz w:val="16"/>
                <w:szCs w:val="16"/>
              </w:rPr>
              <w:t>-2,8</w:t>
            </w:r>
          </w:p>
        </w:tc>
        <w:tc>
          <w:tcPr>
            <w:tcW w:w="1233" w:type="dxa"/>
            <w:tcBorders>
              <w:top w:val="nil"/>
              <w:left w:val="nil"/>
              <w:bottom w:val="single" w:sz="4" w:space="0" w:color="auto"/>
              <w:right w:val="single" w:sz="4" w:space="0" w:color="auto"/>
            </w:tcBorders>
            <w:shd w:val="clear" w:color="auto" w:fill="auto"/>
            <w:vAlign w:val="center"/>
            <w:hideMark/>
          </w:tcPr>
          <w:p w14:paraId="6B21CE14" w14:textId="77777777" w:rsidR="008F7A9E" w:rsidRPr="008F7A9E" w:rsidRDefault="008F7A9E" w:rsidP="008F7A9E">
            <w:pPr>
              <w:jc w:val="right"/>
              <w:rPr>
                <w:rFonts w:ascii="Arial Narrow" w:hAnsi="Arial Narrow" w:cs="Calibri"/>
                <w:sz w:val="16"/>
                <w:szCs w:val="16"/>
              </w:rPr>
            </w:pPr>
            <w:r w:rsidRPr="008F7A9E">
              <w:rPr>
                <w:rFonts w:ascii="Arial Narrow" w:hAnsi="Arial Narrow" w:cs="Calibri"/>
                <w:sz w:val="16"/>
                <w:szCs w:val="16"/>
              </w:rPr>
              <w:t>59,5</w:t>
            </w:r>
          </w:p>
        </w:tc>
      </w:tr>
      <w:tr w:rsidR="008F7A9E" w:rsidRPr="00B10684" w14:paraId="3E06CDF1" w14:textId="77777777" w:rsidTr="005A18A5">
        <w:trPr>
          <w:trHeight w:val="251"/>
        </w:trPr>
        <w:tc>
          <w:tcPr>
            <w:tcW w:w="748" w:type="dxa"/>
            <w:tcBorders>
              <w:top w:val="nil"/>
              <w:left w:val="single" w:sz="4" w:space="0" w:color="auto"/>
              <w:bottom w:val="single" w:sz="4" w:space="0" w:color="auto"/>
              <w:right w:val="single" w:sz="4" w:space="0" w:color="auto"/>
            </w:tcBorders>
            <w:shd w:val="clear" w:color="auto" w:fill="auto"/>
            <w:vAlign w:val="center"/>
            <w:hideMark/>
          </w:tcPr>
          <w:p w14:paraId="0F3C0A0A" w14:textId="77777777" w:rsidR="008F7A9E" w:rsidRPr="008F7A9E" w:rsidRDefault="008F7A9E" w:rsidP="008F7A9E">
            <w:pPr>
              <w:rPr>
                <w:rFonts w:ascii="Arial Narrow" w:hAnsi="Arial Narrow" w:cs="Calibri"/>
                <w:sz w:val="16"/>
                <w:szCs w:val="16"/>
              </w:rPr>
            </w:pPr>
            <w:r w:rsidRPr="008F7A9E">
              <w:rPr>
                <w:rFonts w:ascii="Arial Narrow" w:hAnsi="Arial Narrow" w:cs="Calibri"/>
                <w:sz w:val="16"/>
                <w:szCs w:val="16"/>
              </w:rPr>
              <w:t>05</w:t>
            </w:r>
          </w:p>
        </w:tc>
        <w:tc>
          <w:tcPr>
            <w:tcW w:w="4419" w:type="dxa"/>
            <w:tcBorders>
              <w:top w:val="nil"/>
              <w:left w:val="nil"/>
              <w:bottom w:val="single" w:sz="4" w:space="0" w:color="auto"/>
              <w:right w:val="single" w:sz="4" w:space="0" w:color="auto"/>
            </w:tcBorders>
            <w:shd w:val="clear" w:color="auto" w:fill="auto"/>
            <w:vAlign w:val="center"/>
            <w:hideMark/>
          </w:tcPr>
          <w:p w14:paraId="0D59D03E" w14:textId="77777777" w:rsidR="008F7A9E" w:rsidRPr="008F7A9E" w:rsidRDefault="008F7A9E" w:rsidP="008F7A9E">
            <w:pPr>
              <w:rPr>
                <w:rFonts w:ascii="Arial Narrow" w:hAnsi="Arial Narrow" w:cs="Calibri"/>
                <w:sz w:val="16"/>
                <w:szCs w:val="16"/>
              </w:rPr>
            </w:pPr>
            <w:r w:rsidRPr="008F7A9E">
              <w:rPr>
                <w:rFonts w:ascii="Arial Narrow" w:hAnsi="Arial Narrow" w:cs="Calibri"/>
                <w:sz w:val="16"/>
                <w:szCs w:val="16"/>
              </w:rPr>
              <w:t>Картофи</w:t>
            </w:r>
          </w:p>
        </w:tc>
        <w:tc>
          <w:tcPr>
            <w:tcW w:w="1185" w:type="dxa"/>
            <w:tcBorders>
              <w:top w:val="nil"/>
              <w:left w:val="nil"/>
              <w:bottom w:val="single" w:sz="4" w:space="0" w:color="auto"/>
              <w:right w:val="single" w:sz="4" w:space="0" w:color="auto"/>
            </w:tcBorders>
            <w:shd w:val="clear" w:color="auto" w:fill="auto"/>
            <w:vAlign w:val="center"/>
            <w:hideMark/>
          </w:tcPr>
          <w:p w14:paraId="49968D40" w14:textId="77777777" w:rsidR="008F7A9E" w:rsidRPr="008F7A9E" w:rsidRDefault="008F7A9E" w:rsidP="008F7A9E">
            <w:pPr>
              <w:jc w:val="right"/>
              <w:rPr>
                <w:rFonts w:ascii="Arial Narrow" w:hAnsi="Arial Narrow" w:cs="Calibri"/>
                <w:sz w:val="16"/>
                <w:szCs w:val="16"/>
              </w:rPr>
            </w:pPr>
            <w:r w:rsidRPr="008F7A9E">
              <w:rPr>
                <w:rFonts w:ascii="Arial Narrow" w:hAnsi="Arial Narrow" w:cs="Calibri"/>
                <w:sz w:val="16"/>
                <w:szCs w:val="16"/>
              </w:rPr>
              <w:t>97,7</w:t>
            </w:r>
          </w:p>
        </w:tc>
        <w:tc>
          <w:tcPr>
            <w:tcW w:w="1028" w:type="dxa"/>
            <w:tcBorders>
              <w:top w:val="nil"/>
              <w:left w:val="nil"/>
              <w:bottom w:val="single" w:sz="4" w:space="0" w:color="auto"/>
              <w:right w:val="single" w:sz="4" w:space="0" w:color="auto"/>
            </w:tcBorders>
            <w:shd w:val="clear" w:color="auto" w:fill="auto"/>
            <w:vAlign w:val="center"/>
            <w:hideMark/>
          </w:tcPr>
          <w:p w14:paraId="2FB5A8F7" w14:textId="77777777" w:rsidR="008F7A9E" w:rsidRPr="008F7A9E" w:rsidRDefault="008F7A9E" w:rsidP="008F7A9E">
            <w:pPr>
              <w:jc w:val="right"/>
              <w:rPr>
                <w:rFonts w:ascii="Arial Narrow" w:hAnsi="Arial Narrow" w:cs="Calibri"/>
                <w:sz w:val="16"/>
                <w:szCs w:val="16"/>
              </w:rPr>
            </w:pPr>
            <w:r w:rsidRPr="008F7A9E">
              <w:rPr>
                <w:rFonts w:ascii="Arial Narrow" w:hAnsi="Arial Narrow" w:cs="Calibri"/>
                <w:sz w:val="16"/>
                <w:szCs w:val="16"/>
              </w:rPr>
              <w:t>-22,6</w:t>
            </w:r>
          </w:p>
        </w:tc>
        <w:tc>
          <w:tcPr>
            <w:tcW w:w="1217" w:type="dxa"/>
            <w:tcBorders>
              <w:top w:val="nil"/>
              <w:left w:val="nil"/>
              <w:bottom w:val="single" w:sz="4" w:space="0" w:color="auto"/>
              <w:right w:val="single" w:sz="4" w:space="0" w:color="auto"/>
            </w:tcBorders>
            <w:shd w:val="clear" w:color="auto" w:fill="auto"/>
            <w:vAlign w:val="center"/>
            <w:hideMark/>
          </w:tcPr>
          <w:p w14:paraId="671FE7F7" w14:textId="77777777" w:rsidR="008F7A9E" w:rsidRPr="008F7A9E" w:rsidRDefault="008F7A9E" w:rsidP="008F7A9E">
            <w:pPr>
              <w:jc w:val="right"/>
              <w:rPr>
                <w:rFonts w:ascii="Arial Narrow" w:hAnsi="Arial Narrow" w:cs="Calibri"/>
                <w:sz w:val="16"/>
                <w:szCs w:val="16"/>
              </w:rPr>
            </w:pPr>
            <w:r w:rsidRPr="008F7A9E">
              <w:rPr>
                <w:rFonts w:ascii="Arial Narrow" w:hAnsi="Arial Narrow" w:cs="Calibri"/>
                <w:sz w:val="16"/>
                <w:szCs w:val="16"/>
              </w:rPr>
              <w:t>75,6</w:t>
            </w:r>
          </w:p>
        </w:tc>
        <w:tc>
          <w:tcPr>
            <w:tcW w:w="1075" w:type="dxa"/>
            <w:tcBorders>
              <w:top w:val="nil"/>
              <w:left w:val="nil"/>
              <w:bottom w:val="single" w:sz="4" w:space="0" w:color="auto"/>
              <w:right w:val="single" w:sz="4" w:space="0" w:color="auto"/>
            </w:tcBorders>
            <w:shd w:val="clear" w:color="auto" w:fill="auto"/>
            <w:vAlign w:val="center"/>
            <w:hideMark/>
          </w:tcPr>
          <w:p w14:paraId="4E12DF92" w14:textId="77777777" w:rsidR="008F7A9E" w:rsidRPr="008F7A9E" w:rsidRDefault="008F7A9E" w:rsidP="008F7A9E">
            <w:pPr>
              <w:jc w:val="right"/>
              <w:rPr>
                <w:rFonts w:ascii="Arial Narrow" w:hAnsi="Arial Narrow" w:cs="Calibri"/>
                <w:sz w:val="16"/>
                <w:szCs w:val="16"/>
              </w:rPr>
            </w:pPr>
            <w:r w:rsidRPr="008F7A9E">
              <w:rPr>
                <w:rFonts w:ascii="Arial Narrow" w:hAnsi="Arial Narrow" w:cs="Calibri"/>
                <w:sz w:val="16"/>
                <w:szCs w:val="16"/>
              </w:rPr>
              <w:t>-0,5</w:t>
            </w:r>
          </w:p>
        </w:tc>
        <w:tc>
          <w:tcPr>
            <w:tcW w:w="1233" w:type="dxa"/>
            <w:tcBorders>
              <w:top w:val="nil"/>
              <w:left w:val="nil"/>
              <w:bottom w:val="single" w:sz="4" w:space="0" w:color="auto"/>
              <w:right w:val="single" w:sz="4" w:space="0" w:color="auto"/>
            </w:tcBorders>
            <w:shd w:val="clear" w:color="auto" w:fill="auto"/>
            <w:vAlign w:val="center"/>
            <w:hideMark/>
          </w:tcPr>
          <w:p w14:paraId="4517D302" w14:textId="77777777" w:rsidR="008F7A9E" w:rsidRPr="008F7A9E" w:rsidRDefault="008F7A9E" w:rsidP="008F7A9E">
            <w:pPr>
              <w:jc w:val="right"/>
              <w:rPr>
                <w:rFonts w:ascii="Arial Narrow" w:hAnsi="Arial Narrow" w:cs="Calibri"/>
                <w:sz w:val="16"/>
                <w:szCs w:val="16"/>
              </w:rPr>
            </w:pPr>
            <w:r w:rsidRPr="008F7A9E">
              <w:rPr>
                <w:rFonts w:ascii="Arial Narrow" w:hAnsi="Arial Narrow" w:cs="Calibri"/>
                <w:sz w:val="16"/>
                <w:szCs w:val="16"/>
              </w:rPr>
              <w:t>75,2</w:t>
            </w:r>
          </w:p>
        </w:tc>
      </w:tr>
      <w:tr w:rsidR="008F7A9E" w:rsidRPr="00B10684" w14:paraId="2DFDE19C" w14:textId="77777777" w:rsidTr="005A18A5">
        <w:trPr>
          <w:trHeight w:val="251"/>
        </w:trPr>
        <w:tc>
          <w:tcPr>
            <w:tcW w:w="748" w:type="dxa"/>
            <w:tcBorders>
              <w:top w:val="nil"/>
              <w:left w:val="single" w:sz="4" w:space="0" w:color="auto"/>
              <w:bottom w:val="single" w:sz="4" w:space="0" w:color="auto"/>
              <w:right w:val="single" w:sz="4" w:space="0" w:color="auto"/>
            </w:tcBorders>
            <w:shd w:val="clear" w:color="auto" w:fill="auto"/>
            <w:vAlign w:val="center"/>
            <w:hideMark/>
          </w:tcPr>
          <w:p w14:paraId="261764B4" w14:textId="77777777" w:rsidR="008F7A9E" w:rsidRPr="008F7A9E" w:rsidRDefault="008F7A9E" w:rsidP="008F7A9E">
            <w:pPr>
              <w:rPr>
                <w:rFonts w:ascii="Arial Narrow" w:hAnsi="Arial Narrow" w:cs="Calibri"/>
                <w:sz w:val="16"/>
                <w:szCs w:val="16"/>
              </w:rPr>
            </w:pPr>
            <w:r w:rsidRPr="008F7A9E">
              <w:rPr>
                <w:rFonts w:ascii="Arial Narrow" w:hAnsi="Arial Narrow" w:cs="Calibri"/>
                <w:sz w:val="16"/>
                <w:szCs w:val="16"/>
              </w:rPr>
              <w:t>06</w:t>
            </w:r>
          </w:p>
        </w:tc>
        <w:tc>
          <w:tcPr>
            <w:tcW w:w="4419" w:type="dxa"/>
            <w:tcBorders>
              <w:top w:val="nil"/>
              <w:left w:val="nil"/>
              <w:bottom w:val="single" w:sz="4" w:space="0" w:color="auto"/>
              <w:right w:val="single" w:sz="4" w:space="0" w:color="auto"/>
            </w:tcBorders>
            <w:shd w:val="clear" w:color="auto" w:fill="auto"/>
            <w:vAlign w:val="center"/>
            <w:hideMark/>
          </w:tcPr>
          <w:p w14:paraId="6A7F122C" w14:textId="77777777" w:rsidR="008F7A9E" w:rsidRPr="008F7A9E" w:rsidRDefault="008F7A9E" w:rsidP="008F7A9E">
            <w:pPr>
              <w:rPr>
                <w:rFonts w:ascii="Arial Narrow" w:hAnsi="Arial Narrow" w:cs="Calibri"/>
                <w:sz w:val="16"/>
                <w:szCs w:val="16"/>
              </w:rPr>
            </w:pPr>
            <w:r w:rsidRPr="008F7A9E">
              <w:rPr>
                <w:rFonts w:ascii="Arial Narrow" w:hAnsi="Arial Narrow" w:cs="Calibri"/>
                <w:sz w:val="16"/>
                <w:szCs w:val="16"/>
              </w:rPr>
              <w:t>Плодове</w:t>
            </w:r>
          </w:p>
        </w:tc>
        <w:tc>
          <w:tcPr>
            <w:tcW w:w="1185" w:type="dxa"/>
            <w:tcBorders>
              <w:top w:val="nil"/>
              <w:left w:val="nil"/>
              <w:bottom w:val="single" w:sz="4" w:space="0" w:color="auto"/>
              <w:right w:val="single" w:sz="4" w:space="0" w:color="auto"/>
            </w:tcBorders>
            <w:shd w:val="clear" w:color="auto" w:fill="auto"/>
            <w:vAlign w:val="center"/>
            <w:hideMark/>
          </w:tcPr>
          <w:p w14:paraId="27E91873" w14:textId="77777777" w:rsidR="008F7A9E" w:rsidRPr="008F7A9E" w:rsidRDefault="008F7A9E" w:rsidP="008F7A9E">
            <w:pPr>
              <w:jc w:val="right"/>
              <w:rPr>
                <w:rFonts w:ascii="Arial Narrow" w:hAnsi="Arial Narrow" w:cs="Calibri"/>
                <w:sz w:val="16"/>
                <w:szCs w:val="16"/>
              </w:rPr>
            </w:pPr>
            <w:r w:rsidRPr="008F7A9E">
              <w:rPr>
                <w:rFonts w:ascii="Arial Narrow" w:hAnsi="Arial Narrow" w:cs="Calibri"/>
                <w:sz w:val="16"/>
                <w:szCs w:val="16"/>
              </w:rPr>
              <w:t>386,4</w:t>
            </w:r>
          </w:p>
        </w:tc>
        <w:tc>
          <w:tcPr>
            <w:tcW w:w="1028" w:type="dxa"/>
            <w:tcBorders>
              <w:top w:val="nil"/>
              <w:left w:val="nil"/>
              <w:bottom w:val="single" w:sz="4" w:space="0" w:color="auto"/>
              <w:right w:val="single" w:sz="4" w:space="0" w:color="auto"/>
            </w:tcBorders>
            <w:shd w:val="clear" w:color="auto" w:fill="auto"/>
            <w:vAlign w:val="center"/>
            <w:hideMark/>
          </w:tcPr>
          <w:p w14:paraId="345BADEC" w14:textId="77777777" w:rsidR="008F7A9E" w:rsidRPr="008F7A9E" w:rsidRDefault="008F7A9E" w:rsidP="008F7A9E">
            <w:pPr>
              <w:jc w:val="right"/>
              <w:rPr>
                <w:rFonts w:ascii="Arial Narrow" w:hAnsi="Arial Narrow" w:cs="Calibri"/>
                <w:sz w:val="16"/>
                <w:szCs w:val="16"/>
              </w:rPr>
            </w:pPr>
            <w:r w:rsidRPr="008F7A9E">
              <w:rPr>
                <w:rFonts w:ascii="Arial Narrow" w:hAnsi="Arial Narrow" w:cs="Calibri"/>
                <w:sz w:val="16"/>
                <w:szCs w:val="16"/>
              </w:rPr>
              <w:t>-8,0</w:t>
            </w:r>
          </w:p>
        </w:tc>
        <w:tc>
          <w:tcPr>
            <w:tcW w:w="1217" w:type="dxa"/>
            <w:tcBorders>
              <w:top w:val="nil"/>
              <w:left w:val="nil"/>
              <w:bottom w:val="single" w:sz="4" w:space="0" w:color="auto"/>
              <w:right w:val="single" w:sz="4" w:space="0" w:color="auto"/>
            </w:tcBorders>
            <w:shd w:val="clear" w:color="auto" w:fill="auto"/>
            <w:vAlign w:val="center"/>
            <w:hideMark/>
          </w:tcPr>
          <w:p w14:paraId="3C2C0EC7" w14:textId="77777777" w:rsidR="008F7A9E" w:rsidRPr="008F7A9E" w:rsidRDefault="008F7A9E" w:rsidP="008F7A9E">
            <w:pPr>
              <w:jc w:val="right"/>
              <w:rPr>
                <w:rFonts w:ascii="Arial Narrow" w:hAnsi="Arial Narrow" w:cs="Calibri"/>
                <w:sz w:val="16"/>
                <w:szCs w:val="16"/>
              </w:rPr>
            </w:pPr>
            <w:r w:rsidRPr="008F7A9E">
              <w:rPr>
                <w:rFonts w:ascii="Arial Narrow" w:hAnsi="Arial Narrow" w:cs="Calibri"/>
                <w:sz w:val="16"/>
                <w:szCs w:val="16"/>
              </w:rPr>
              <w:t>355,4</w:t>
            </w:r>
          </w:p>
        </w:tc>
        <w:tc>
          <w:tcPr>
            <w:tcW w:w="1075" w:type="dxa"/>
            <w:tcBorders>
              <w:top w:val="nil"/>
              <w:left w:val="nil"/>
              <w:bottom w:val="single" w:sz="4" w:space="0" w:color="auto"/>
              <w:right w:val="single" w:sz="4" w:space="0" w:color="auto"/>
            </w:tcBorders>
            <w:shd w:val="clear" w:color="auto" w:fill="auto"/>
            <w:vAlign w:val="center"/>
            <w:hideMark/>
          </w:tcPr>
          <w:p w14:paraId="013FAC2F" w14:textId="77777777" w:rsidR="008F7A9E" w:rsidRPr="008F7A9E" w:rsidRDefault="008F7A9E" w:rsidP="008F7A9E">
            <w:pPr>
              <w:jc w:val="right"/>
              <w:rPr>
                <w:rFonts w:ascii="Arial Narrow" w:hAnsi="Arial Narrow" w:cs="Calibri"/>
                <w:sz w:val="16"/>
                <w:szCs w:val="16"/>
              </w:rPr>
            </w:pPr>
            <w:r w:rsidRPr="008F7A9E">
              <w:rPr>
                <w:rFonts w:ascii="Arial Narrow" w:hAnsi="Arial Narrow" w:cs="Calibri"/>
                <w:sz w:val="16"/>
                <w:szCs w:val="16"/>
              </w:rPr>
              <w:t>10,3</w:t>
            </w:r>
          </w:p>
        </w:tc>
        <w:tc>
          <w:tcPr>
            <w:tcW w:w="1233" w:type="dxa"/>
            <w:tcBorders>
              <w:top w:val="nil"/>
              <w:left w:val="nil"/>
              <w:bottom w:val="single" w:sz="4" w:space="0" w:color="auto"/>
              <w:right w:val="single" w:sz="4" w:space="0" w:color="auto"/>
            </w:tcBorders>
            <w:shd w:val="clear" w:color="auto" w:fill="auto"/>
            <w:vAlign w:val="center"/>
            <w:hideMark/>
          </w:tcPr>
          <w:p w14:paraId="02BD29EC" w14:textId="77777777" w:rsidR="008F7A9E" w:rsidRPr="008F7A9E" w:rsidRDefault="008F7A9E" w:rsidP="008F7A9E">
            <w:pPr>
              <w:jc w:val="right"/>
              <w:rPr>
                <w:rFonts w:ascii="Arial Narrow" w:hAnsi="Arial Narrow" w:cs="Calibri"/>
                <w:sz w:val="16"/>
                <w:szCs w:val="16"/>
              </w:rPr>
            </w:pPr>
            <w:r w:rsidRPr="008F7A9E">
              <w:rPr>
                <w:rFonts w:ascii="Arial Narrow" w:hAnsi="Arial Narrow" w:cs="Calibri"/>
                <w:sz w:val="16"/>
                <w:szCs w:val="16"/>
              </w:rPr>
              <w:t>391,9</w:t>
            </w:r>
          </w:p>
        </w:tc>
      </w:tr>
      <w:tr w:rsidR="008F7A9E" w:rsidRPr="00B10684" w14:paraId="2E1876B2" w14:textId="77777777" w:rsidTr="005A18A5">
        <w:trPr>
          <w:trHeight w:val="251"/>
        </w:trPr>
        <w:tc>
          <w:tcPr>
            <w:tcW w:w="748" w:type="dxa"/>
            <w:tcBorders>
              <w:top w:val="nil"/>
              <w:left w:val="single" w:sz="4" w:space="0" w:color="auto"/>
              <w:bottom w:val="single" w:sz="4" w:space="0" w:color="auto"/>
              <w:right w:val="single" w:sz="4" w:space="0" w:color="auto"/>
            </w:tcBorders>
            <w:shd w:val="clear" w:color="auto" w:fill="auto"/>
            <w:vAlign w:val="center"/>
            <w:hideMark/>
          </w:tcPr>
          <w:p w14:paraId="7FC4D659" w14:textId="77777777" w:rsidR="008F7A9E" w:rsidRPr="008F7A9E" w:rsidRDefault="008F7A9E" w:rsidP="008F7A9E">
            <w:pPr>
              <w:rPr>
                <w:rFonts w:ascii="Arial Narrow" w:hAnsi="Arial Narrow" w:cs="Calibri"/>
                <w:sz w:val="16"/>
                <w:szCs w:val="16"/>
              </w:rPr>
            </w:pPr>
            <w:r w:rsidRPr="008F7A9E">
              <w:rPr>
                <w:rFonts w:ascii="Arial Narrow" w:hAnsi="Arial Narrow" w:cs="Calibri"/>
                <w:sz w:val="16"/>
                <w:szCs w:val="16"/>
              </w:rPr>
              <w:t>06.1</w:t>
            </w:r>
          </w:p>
        </w:tc>
        <w:tc>
          <w:tcPr>
            <w:tcW w:w="4419" w:type="dxa"/>
            <w:tcBorders>
              <w:top w:val="nil"/>
              <w:left w:val="nil"/>
              <w:bottom w:val="single" w:sz="4" w:space="0" w:color="auto"/>
              <w:right w:val="single" w:sz="4" w:space="0" w:color="auto"/>
            </w:tcBorders>
            <w:shd w:val="clear" w:color="auto" w:fill="auto"/>
            <w:vAlign w:val="center"/>
            <w:hideMark/>
          </w:tcPr>
          <w:p w14:paraId="3D60207C" w14:textId="77777777" w:rsidR="008F7A9E" w:rsidRPr="008F7A9E" w:rsidRDefault="008F7A9E" w:rsidP="008F7A9E">
            <w:pPr>
              <w:ind w:firstLineChars="100" w:firstLine="160"/>
              <w:rPr>
                <w:rFonts w:ascii="Arial Narrow" w:hAnsi="Arial Narrow" w:cs="Calibri"/>
                <w:sz w:val="16"/>
                <w:szCs w:val="16"/>
              </w:rPr>
            </w:pPr>
            <w:r w:rsidRPr="008F7A9E">
              <w:rPr>
                <w:rFonts w:ascii="Arial Narrow" w:hAnsi="Arial Narrow" w:cs="Calibri"/>
                <w:sz w:val="16"/>
                <w:szCs w:val="16"/>
              </w:rPr>
              <w:t>Пресни плодове</w:t>
            </w:r>
          </w:p>
        </w:tc>
        <w:tc>
          <w:tcPr>
            <w:tcW w:w="1185" w:type="dxa"/>
            <w:tcBorders>
              <w:top w:val="nil"/>
              <w:left w:val="nil"/>
              <w:bottom w:val="single" w:sz="4" w:space="0" w:color="auto"/>
              <w:right w:val="single" w:sz="4" w:space="0" w:color="auto"/>
            </w:tcBorders>
            <w:shd w:val="clear" w:color="auto" w:fill="auto"/>
            <w:vAlign w:val="center"/>
            <w:hideMark/>
          </w:tcPr>
          <w:p w14:paraId="2BCB18EE" w14:textId="77777777" w:rsidR="008F7A9E" w:rsidRPr="008F7A9E" w:rsidRDefault="008F7A9E" w:rsidP="008F7A9E">
            <w:pPr>
              <w:jc w:val="right"/>
              <w:rPr>
                <w:rFonts w:ascii="Arial Narrow" w:hAnsi="Arial Narrow" w:cs="Calibri"/>
                <w:sz w:val="16"/>
                <w:szCs w:val="16"/>
              </w:rPr>
            </w:pPr>
            <w:r w:rsidRPr="008F7A9E">
              <w:rPr>
                <w:rFonts w:ascii="Arial Narrow" w:hAnsi="Arial Narrow" w:cs="Calibri"/>
                <w:sz w:val="16"/>
                <w:szCs w:val="16"/>
              </w:rPr>
              <w:t>278,3</w:t>
            </w:r>
          </w:p>
        </w:tc>
        <w:tc>
          <w:tcPr>
            <w:tcW w:w="1028" w:type="dxa"/>
            <w:tcBorders>
              <w:top w:val="nil"/>
              <w:left w:val="nil"/>
              <w:bottom w:val="single" w:sz="4" w:space="0" w:color="auto"/>
              <w:right w:val="single" w:sz="4" w:space="0" w:color="auto"/>
            </w:tcBorders>
            <w:shd w:val="clear" w:color="auto" w:fill="auto"/>
            <w:vAlign w:val="center"/>
            <w:hideMark/>
          </w:tcPr>
          <w:p w14:paraId="29881ACF" w14:textId="77777777" w:rsidR="008F7A9E" w:rsidRPr="008F7A9E" w:rsidRDefault="008F7A9E" w:rsidP="008F7A9E">
            <w:pPr>
              <w:jc w:val="right"/>
              <w:rPr>
                <w:rFonts w:ascii="Arial Narrow" w:hAnsi="Arial Narrow" w:cs="Calibri"/>
                <w:sz w:val="16"/>
                <w:szCs w:val="16"/>
              </w:rPr>
            </w:pPr>
            <w:r w:rsidRPr="008F7A9E">
              <w:rPr>
                <w:rFonts w:ascii="Arial Narrow" w:hAnsi="Arial Narrow" w:cs="Calibri"/>
                <w:sz w:val="16"/>
                <w:szCs w:val="16"/>
              </w:rPr>
              <w:t>-10,4</w:t>
            </w:r>
          </w:p>
        </w:tc>
        <w:tc>
          <w:tcPr>
            <w:tcW w:w="1217" w:type="dxa"/>
            <w:tcBorders>
              <w:top w:val="nil"/>
              <w:left w:val="nil"/>
              <w:bottom w:val="single" w:sz="4" w:space="0" w:color="auto"/>
              <w:right w:val="single" w:sz="4" w:space="0" w:color="auto"/>
            </w:tcBorders>
            <w:shd w:val="clear" w:color="auto" w:fill="auto"/>
            <w:vAlign w:val="center"/>
            <w:hideMark/>
          </w:tcPr>
          <w:p w14:paraId="65794174" w14:textId="77777777" w:rsidR="008F7A9E" w:rsidRPr="008F7A9E" w:rsidRDefault="008F7A9E" w:rsidP="008F7A9E">
            <w:pPr>
              <w:jc w:val="right"/>
              <w:rPr>
                <w:rFonts w:ascii="Arial Narrow" w:hAnsi="Arial Narrow" w:cs="Calibri"/>
                <w:sz w:val="16"/>
                <w:szCs w:val="16"/>
              </w:rPr>
            </w:pPr>
            <w:r w:rsidRPr="008F7A9E">
              <w:rPr>
                <w:rFonts w:ascii="Arial Narrow" w:hAnsi="Arial Narrow" w:cs="Calibri"/>
                <w:sz w:val="16"/>
                <w:szCs w:val="16"/>
              </w:rPr>
              <w:t>249,3</w:t>
            </w:r>
          </w:p>
        </w:tc>
        <w:tc>
          <w:tcPr>
            <w:tcW w:w="1075" w:type="dxa"/>
            <w:tcBorders>
              <w:top w:val="nil"/>
              <w:left w:val="nil"/>
              <w:bottom w:val="single" w:sz="4" w:space="0" w:color="auto"/>
              <w:right w:val="single" w:sz="4" w:space="0" w:color="auto"/>
            </w:tcBorders>
            <w:shd w:val="clear" w:color="auto" w:fill="auto"/>
            <w:vAlign w:val="center"/>
            <w:hideMark/>
          </w:tcPr>
          <w:p w14:paraId="77D0D934" w14:textId="77777777" w:rsidR="008F7A9E" w:rsidRPr="008F7A9E" w:rsidRDefault="008F7A9E" w:rsidP="008F7A9E">
            <w:pPr>
              <w:jc w:val="right"/>
              <w:rPr>
                <w:rFonts w:ascii="Arial Narrow" w:hAnsi="Arial Narrow" w:cs="Calibri"/>
                <w:sz w:val="16"/>
                <w:szCs w:val="16"/>
              </w:rPr>
            </w:pPr>
            <w:r w:rsidRPr="008F7A9E">
              <w:rPr>
                <w:rFonts w:ascii="Arial Narrow" w:hAnsi="Arial Narrow" w:cs="Calibri"/>
                <w:sz w:val="16"/>
                <w:szCs w:val="16"/>
              </w:rPr>
              <w:t>11,4</w:t>
            </w:r>
          </w:p>
        </w:tc>
        <w:tc>
          <w:tcPr>
            <w:tcW w:w="1233" w:type="dxa"/>
            <w:tcBorders>
              <w:top w:val="nil"/>
              <w:left w:val="nil"/>
              <w:bottom w:val="single" w:sz="4" w:space="0" w:color="auto"/>
              <w:right w:val="single" w:sz="4" w:space="0" w:color="auto"/>
            </w:tcBorders>
            <w:shd w:val="clear" w:color="auto" w:fill="auto"/>
            <w:vAlign w:val="center"/>
            <w:hideMark/>
          </w:tcPr>
          <w:p w14:paraId="22298678" w14:textId="77777777" w:rsidR="008F7A9E" w:rsidRPr="008F7A9E" w:rsidRDefault="008F7A9E" w:rsidP="008F7A9E">
            <w:pPr>
              <w:jc w:val="right"/>
              <w:rPr>
                <w:rFonts w:ascii="Arial Narrow" w:hAnsi="Arial Narrow" w:cs="Calibri"/>
                <w:sz w:val="16"/>
                <w:szCs w:val="16"/>
              </w:rPr>
            </w:pPr>
            <w:r w:rsidRPr="008F7A9E">
              <w:rPr>
                <w:rFonts w:ascii="Arial Narrow" w:hAnsi="Arial Narrow" w:cs="Calibri"/>
                <w:sz w:val="16"/>
                <w:szCs w:val="16"/>
              </w:rPr>
              <w:t>277,8</w:t>
            </w:r>
          </w:p>
        </w:tc>
      </w:tr>
      <w:tr w:rsidR="008F7A9E" w:rsidRPr="00B10684" w14:paraId="57A7BE82" w14:textId="77777777" w:rsidTr="005A18A5">
        <w:trPr>
          <w:trHeight w:val="251"/>
        </w:trPr>
        <w:tc>
          <w:tcPr>
            <w:tcW w:w="748" w:type="dxa"/>
            <w:tcBorders>
              <w:top w:val="nil"/>
              <w:left w:val="single" w:sz="4" w:space="0" w:color="auto"/>
              <w:bottom w:val="single" w:sz="4" w:space="0" w:color="auto"/>
              <w:right w:val="single" w:sz="4" w:space="0" w:color="auto"/>
            </w:tcBorders>
            <w:shd w:val="clear" w:color="auto" w:fill="auto"/>
            <w:vAlign w:val="center"/>
            <w:hideMark/>
          </w:tcPr>
          <w:p w14:paraId="7B8E60FA" w14:textId="77777777" w:rsidR="008F7A9E" w:rsidRPr="008F7A9E" w:rsidRDefault="008F7A9E" w:rsidP="008F7A9E">
            <w:pPr>
              <w:rPr>
                <w:rFonts w:ascii="Arial Narrow" w:hAnsi="Arial Narrow" w:cs="Calibri"/>
                <w:sz w:val="16"/>
                <w:szCs w:val="16"/>
              </w:rPr>
            </w:pPr>
            <w:r w:rsidRPr="008F7A9E">
              <w:rPr>
                <w:rFonts w:ascii="Arial Narrow" w:hAnsi="Arial Narrow" w:cs="Calibri"/>
                <w:sz w:val="16"/>
                <w:szCs w:val="16"/>
              </w:rPr>
              <w:t>06.1/1</w:t>
            </w:r>
          </w:p>
        </w:tc>
        <w:tc>
          <w:tcPr>
            <w:tcW w:w="4419" w:type="dxa"/>
            <w:tcBorders>
              <w:top w:val="nil"/>
              <w:left w:val="nil"/>
              <w:bottom w:val="single" w:sz="4" w:space="0" w:color="auto"/>
              <w:right w:val="single" w:sz="4" w:space="0" w:color="auto"/>
            </w:tcBorders>
            <w:shd w:val="clear" w:color="auto" w:fill="auto"/>
            <w:vAlign w:val="center"/>
            <w:hideMark/>
          </w:tcPr>
          <w:p w14:paraId="202B609E" w14:textId="77777777" w:rsidR="008F7A9E" w:rsidRPr="008F7A9E" w:rsidRDefault="008F7A9E" w:rsidP="008F7A9E">
            <w:pPr>
              <w:ind w:firstLineChars="200" w:firstLine="320"/>
              <w:rPr>
                <w:rFonts w:ascii="Arial Narrow" w:hAnsi="Arial Narrow" w:cs="Calibri"/>
                <w:sz w:val="16"/>
                <w:szCs w:val="16"/>
              </w:rPr>
            </w:pPr>
            <w:r w:rsidRPr="008F7A9E">
              <w:rPr>
                <w:rFonts w:ascii="Arial Narrow" w:hAnsi="Arial Narrow" w:cs="Calibri"/>
                <w:sz w:val="16"/>
                <w:szCs w:val="16"/>
              </w:rPr>
              <w:t>Ябълки</w:t>
            </w:r>
          </w:p>
        </w:tc>
        <w:tc>
          <w:tcPr>
            <w:tcW w:w="1185" w:type="dxa"/>
            <w:tcBorders>
              <w:top w:val="nil"/>
              <w:left w:val="nil"/>
              <w:bottom w:val="single" w:sz="4" w:space="0" w:color="auto"/>
              <w:right w:val="single" w:sz="4" w:space="0" w:color="auto"/>
            </w:tcBorders>
            <w:shd w:val="clear" w:color="auto" w:fill="auto"/>
            <w:vAlign w:val="center"/>
            <w:hideMark/>
          </w:tcPr>
          <w:p w14:paraId="3B264260" w14:textId="77777777" w:rsidR="008F7A9E" w:rsidRPr="008F7A9E" w:rsidRDefault="008F7A9E" w:rsidP="008F7A9E">
            <w:pPr>
              <w:jc w:val="right"/>
              <w:rPr>
                <w:rFonts w:ascii="Arial Narrow" w:hAnsi="Arial Narrow" w:cs="Calibri"/>
                <w:sz w:val="16"/>
                <w:szCs w:val="16"/>
              </w:rPr>
            </w:pPr>
            <w:r w:rsidRPr="008F7A9E">
              <w:rPr>
                <w:rFonts w:ascii="Arial Narrow" w:hAnsi="Arial Narrow" w:cs="Calibri"/>
                <w:sz w:val="16"/>
                <w:szCs w:val="16"/>
              </w:rPr>
              <w:t>32,5</w:t>
            </w:r>
          </w:p>
        </w:tc>
        <w:tc>
          <w:tcPr>
            <w:tcW w:w="1028" w:type="dxa"/>
            <w:tcBorders>
              <w:top w:val="nil"/>
              <w:left w:val="nil"/>
              <w:bottom w:val="single" w:sz="4" w:space="0" w:color="auto"/>
              <w:right w:val="single" w:sz="4" w:space="0" w:color="auto"/>
            </w:tcBorders>
            <w:shd w:val="clear" w:color="auto" w:fill="auto"/>
            <w:vAlign w:val="center"/>
            <w:hideMark/>
          </w:tcPr>
          <w:p w14:paraId="45CD2076" w14:textId="77777777" w:rsidR="008F7A9E" w:rsidRPr="008F7A9E" w:rsidRDefault="008F7A9E" w:rsidP="008F7A9E">
            <w:pPr>
              <w:jc w:val="right"/>
              <w:rPr>
                <w:rFonts w:ascii="Arial Narrow" w:hAnsi="Arial Narrow" w:cs="Calibri"/>
                <w:sz w:val="16"/>
                <w:szCs w:val="16"/>
              </w:rPr>
            </w:pPr>
            <w:r w:rsidRPr="008F7A9E">
              <w:rPr>
                <w:rFonts w:ascii="Arial Narrow" w:hAnsi="Arial Narrow" w:cs="Calibri"/>
                <w:sz w:val="16"/>
                <w:szCs w:val="16"/>
              </w:rPr>
              <w:t>-19,4</w:t>
            </w:r>
          </w:p>
        </w:tc>
        <w:tc>
          <w:tcPr>
            <w:tcW w:w="1217" w:type="dxa"/>
            <w:tcBorders>
              <w:top w:val="nil"/>
              <w:left w:val="nil"/>
              <w:bottom w:val="single" w:sz="4" w:space="0" w:color="auto"/>
              <w:right w:val="single" w:sz="4" w:space="0" w:color="auto"/>
            </w:tcBorders>
            <w:shd w:val="clear" w:color="auto" w:fill="auto"/>
            <w:vAlign w:val="center"/>
            <w:hideMark/>
          </w:tcPr>
          <w:p w14:paraId="6963228F" w14:textId="77777777" w:rsidR="008F7A9E" w:rsidRPr="008F7A9E" w:rsidRDefault="008F7A9E" w:rsidP="008F7A9E">
            <w:pPr>
              <w:jc w:val="right"/>
              <w:rPr>
                <w:rFonts w:ascii="Arial Narrow" w:hAnsi="Arial Narrow" w:cs="Calibri"/>
                <w:sz w:val="16"/>
                <w:szCs w:val="16"/>
              </w:rPr>
            </w:pPr>
            <w:r w:rsidRPr="008F7A9E">
              <w:rPr>
                <w:rFonts w:ascii="Arial Narrow" w:hAnsi="Arial Narrow" w:cs="Calibri"/>
                <w:sz w:val="16"/>
                <w:szCs w:val="16"/>
              </w:rPr>
              <w:t>26,2</w:t>
            </w:r>
          </w:p>
        </w:tc>
        <w:tc>
          <w:tcPr>
            <w:tcW w:w="1075" w:type="dxa"/>
            <w:tcBorders>
              <w:top w:val="nil"/>
              <w:left w:val="nil"/>
              <w:bottom w:val="single" w:sz="4" w:space="0" w:color="auto"/>
              <w:right w:val="single" w:sz="4" w:space="0" w:color="auto"/>
            </w:tcBorders>
            <w:shd w:val="clear" w:color="auto" w:fill="auto"/>
            <w:vAlign w:val="center"/>
            <w:hideMark/>
          </w:tcPr>
          <w:p w14:paraId="1B31C408" w14:textId="77777777" w:rsidR="008F7A9E" w:rsidRPr="008F7A9E" w:rsidRDefault="008F7A9E" w:rsidP="008F7A9E">
            <w:pPr>
              <w:jc w:val="right"/>
              <w:rPr>
                <w:rFonts w:ascii="Arial Narrow" w:hAnsi="Arial Narrow" w:cs="Calibri"/>
                <w:sz w:val="16"/>
                <w:szCs w:val="16"/>
              </w:rPr>
            </w:pPr>
            <w:r w:rsidRPr="008F7A9E">
              <w:rPr>
                <w:rFonts w:ascii="Arial Narrow" w:hAnsi="Arial Narrow" w:cs="Calibri"/>
                <w:sz w:val="16"/>
                <w:szCs w:val="16"/>
              </w:rPr>
              <w:t>-6,9</w:t>
            </w:r>
          </w:p>
        </w:tc>
        <w:tc>
          <w:tcPr>
            <w:tcW w:w="1233" w:type="dxa"/>
            <w:tcBorders>
              <w:top w:val="nil"/>
              <w:left w:val="nil"/>
              <w:bottom w:val="single" w:sz="4" w:space="0" w:color="auto"/>
              <w:right w:val="single" w:sz="4" w:space="0" w:color="auto"/>
            </w:tcBorders>
            <w:shd w:val="clear" w:color="auto" w:fill="auto"/>
            <w:vAlign w:val="center"/>
            <w:hideMark/>
          </w:tcPr>
          <w:p w14:paraId="5F3A38F3" w14:textId="77777777" w:rsidR="008F7A9E" w:rsidRPr="008F7A9E" w:rsidRDefault="008F7A9E" w:rsidP="008F7A9E">
            <w:pPr>
              <w:jc w:val="right"/>
              <w:rPr>
                <w:rFonts w:ascii="Arial Narrow" w:hAnsi="Arial Narrow" w:cs="Calibri"/>
                <w:sz w:val="16"/>
                <w:szCs w:val="16"/>
              </w:rPr>
            </w:pPr>
            <w:r w:rsidRPr="008F7A9E">
              <w:rPr>
                <w:rFonts w:ascii="Arial Narrow" w:hAnsi="Arial Narrow" w:cs="Calibri"/>
                <w:sz w:val="16"/>
                <w:szCs w:val="16"/>
              </w:rPr>
              <w:t>24,4</w:t>
            </w:r>
          </w:p>
        </w:tc>
      </w:tr>
      <w:tr w:rsidR="008F7A9E" w:rsidRPr="00B10684" w14:paraId="17C3E8E7" w14:textId="77777777" w:rsidTr="005A18A5">
        <w:trPr>
          <w:trHeight w:val="251"/>
        </w:trPr>
        <w:tc>
          <w:tcPr>
            <w:tcW w:w="748" w:type="dxa"/>
            <w:tcBorders>
              <w:top w:val="nil"/>
              <w:left w:val="single" w:sz="4" w:space="0" w:color="auto"/>
              <w:bottom w:val="single" w:sz="4" w:space="0" w:color="auto"/>
              <w:right w:val="single" w:sz="4" w:space="0" w:color="auto"/>
            </w:tcBorders>
            <w:shd w:val="clear" w:color="auto" w:fill="auto"/>
            <w:vAlign w:val="center"/>
            <w:hideMark/>
          </w:tcPr>
          <w:p w14:paraId="59446135" w14:textId="77777777" w:rsidR="008F7A9E" w:rsidRPr="008F7A9E" w:rsidRDefault="008F7A9E" w:rsidP="008F7A9E">
            <w:pPr>
              <w:rPr>
                <w:rFonts w:ascii="Arial Narrow" w:hAnsi="Arial Narrow" w:cs="Calibri"/>
                <w:sz w:val="16"/>
                <w:szCs w:val="16"/>
              </w:rPr>
            </w:pPr>
            <w:r w:rsidRPr="008F7A9E">
              <w:rPr>
                <w:rFonts w:ascii="Arial Narrow" w:hAnsi="Arial Narrow" w:cs="Calibri"/>
                <w:sz w:val="16"/>
                <w:szCs w:val="16"/>
              </w:rPr>
              <w:t>06.1/2</w:t>
            </w:r>
          </w:p>
        </w:tc>
        <w:tc>
          <w:tcPr>
            <w:tcW w:w="4419" w:type="dxa"/>
            <w:tcBorders>
              <w:top w:val="nil"/>
              <w:left w:val="nil"/>
              <w:bottom w:val="single" w:sz="4" w:space="0" w:color="auto"/>
              <w:right w:val="single" w:sz="4" w:space="0" w:color="auto"/>
            </w:tcBorders>
            <w:shd w:val="clear" w:color="auto" w:fill="auto"/>
            <w:vAlign w:val="center"/>
            <w:hideMark/>
          </w:tcPr>
          <w:p w14:paraId="2F52223F" w14:textId="77777777" w:rsidR="008F7A9E" w:rsidRPr="008F7A9E" w:rsidRDefault="008F7A9E" w:rsidP="008F7A9E">
            <w:pPr>
              <w:ind w:firstLineChars="200" w:firstLine="320"/>
              <w:rPr>
                <w:rFonts w:ascii="Arial Narrow" w:hAnsi="Arial Narrow" w:cs="Calibri"/>
                <w:sz w:val="16"/>
                <w:szCs w:val="16"/>
              </w:rPr>
            </w:pPr>
            <w:r w:rsidRPr="008F7A9E">
              <w:rPr>
                <w:rFonts w:ascii="Arial Narrow" w:hAnsi="Arial Narrow" w:cs="Calibri"/>
                <w:sz w:val="16"/>
                <w:szCs w:val="16"/>
              </w:rPr>
              <w:t>Круши</w:t>
            </w:r>
          </w:p>
        </w:tc>
        <w:tc>
          <w:tcPr>
            <w:tcW w:w="1185" w:type="dxa"/>
            <w:tcBorders>
              <w:top w:val="nil"/>
              <w:left w:val="nil"/>
              <w:bottom w:val="single" w:sz="4" w:space="0" w:color="auto"/>
              <w:right w:val="single" w:sz="4" w:space="0" w:color="auto"/>
            </w:tcBorders>
            <w:shd w:val="clear" w:color="auto" w:fill="auto"/>
            <w:vAlign w:val="center"/>
            <w:hideMark/>
          </w:tcPr>
          <w:p w14:paraId="7CF88541" w14:textId="77777777" w:rsidR="008F7A9E" w:rsidRPr="008F7A9E" w:rsidRDefault="008F7A9E" w:rsidP="008F7A9E">
            <w:pPr>
              <w:jc w:val="right"/>
              <w:rPr>
                <w:rFonts w:ascii="Arial Narrow" w:hAnsi="Arial Narrow" w:cs="Calibri"/>
                <w:sz w:val="16"/>
                <w:szCs w:val="16"/>
              </w:rPr>
            </w:pPr>
            <w:r w:rsidRPr="008F7A9E">
              <w:rPr>
                <w:rFonts w:ascii="Arial Narrow" w:hAnsi="Arial Narrow" w:cs="Calibri"/>
                <w:sz w:val="16"/>
                <w:szCs w:val="16"/>
              </w:rPr>
              <w:t>3,3</w:t>
            </w:r>
          </w:p>
        </w:tc>
        <w:tc>
          <w:tcPr>
            <w:tcW w:w="1028" w:type="dxa"/>
            <w:tcBorders>
              <w:top w:val="nil"/>
              <w:left w:val="nil"/>
              <w:bottom w:val="single" w:sz="4" w:space="0" w:color="auto"/>
              <w:right w:val="single" w:sz="4" w:space="0" w:color="auto"/>
            </w:tcBorders>
            <w:shd w:val="clear" w:color="auto" w:fill="auto"/>
            <w:vAlign w:val="center"/>
            <w:hideMark/>
          </w:tcPr>
          <w:p w14:paraId="651CFB8F" w14:textId="77777777" w:rsidR="008F7A9E" w:rsidRPr="008F7A9E" w:rsidRDefault="008F7A9E" w:rsidP="008F7A9E">
            <w:pPr>
              <w:jc w:val="right"/>
              <w:rPr>
                <w:rFonts w:ascii="Arial Narrow" w:hAnsi="Arial Narrow" w:cs="Calibri"/>
                <w:sz w:val="16"/>
                <w:szCs w:val="16"/>
              </w:rPr>
            </w:pPr>
            <w:r w:rsidRPr="008F7A9E">
              <w:rPr>
                <w:rFonts w:ascii="Arial Narrow" w:hAnsi="Arial Narrow" w:cs="Calibri"/>
                <w:sz w:val="16"/>
                <w:szCs w:val="16"/>
              </w:rPr>
              <w:t>-15,2</w:t>
            </w:r>
          </w:p>
        </w:tc>
        <w:tc>
          <w:tcPr>
            <w:tcW w:w="1217" w:type="dxa"/>
            <w:tcBorders>
              <w:top w:val="nil"/>
              <w:left w:val="nil"/>
              <w:bottom w:val="single" w:sz="4" w:space="0" w:color="auto"/>
              <w:right w:val="single" w:sz="4" w:space="0" w:color="auto"/>
            </w:tcBorders>
            <w:shd w:val="clear" w:color="auto" w:fill="auto"/>
            <w:vAlign w:val="center"/>
            <w:hideMark/>
          </w:tcPr>
          <w:p w14:paraId="23EB7AFC" w14:textId="77777777" w:rsidR="008F7A9E" w:rsidRPr="008F7A9E" w:rsidRDefault="008F7A9E" w:rsidP="008F7A9E">
            <w:pPr>
              <w:jc w:val="right"/>
              <w:rPr>
                <w:rFonts w:ascii="Arial Narrow" w:hAnsi="Arial Narrow" w:cs="Calibri"/>
                <w:sz w:val="16"/>
                <w:szCs w:val="16"/>
              </w:rPr>
            </w:pPr>
            <w:r w:rsidRPr="008F7A9E">
              <w:rPr>
                <w:rFonts w:ascii="Arial Narrow" w:hAnsi="Arial Narrow" w:cs="Calibri"/>
                <w:sz w:val="16"/>
                <w:szCs w:val="16"/>
              </w:rPr>
              <w:t>2,8</w:t>
            </w:r>
          </w:p>
        </w:tc>
        <w:tc>
          <w:tcPr>
            <w:tcW w:w="1075" w:type="dxa"/>
            <w:tcBorders>
              <w:top w:val="nil"/>
              <w:left w:val="nil"/>
              <w:bottom w:val="single" w:sz="4" w:space="0" w:color="auto"/>
              <w:right w:val="single" w:sz="4" w:space="0" w:color="auto"/>
            </w:tcBorders>
            <w:shd w:val="clear" w:color="auto" w:fill="auto"/>
            <w:vAlign w:val="center"/>
            <w:hideMark/>
          </w:tcPr>
          <w:p w14:paraId="1BD9EDD1" w14:textId="77777777" w:rsidR="008F7A9E" w:rsidRPr="008F7A9E" w:rsidRDefault="008F7A9E" w:rsidP="008F7A9E">
            <w:pPr>
              <w:rPr>
                <w:rFonts w:ascii="Arial Narrow" w:hAnsi="Arial Narrow" w:cs="Calibri"/>
                <w:sz w:val="16"/>
                <w:szCs w:val="16"/>
              </w:rPr>
            </w:pPr>
            <w:r w:rsidRPr="008F7A9E">
              <w:rPr>
                <w:rFonts w:ascii="Arial Narrow" w:hAnsi="Arial Narrow" w:cs="Calibri"/>
                <w:sz w:val="16"/>
                <w:szCs w:val="16"/>
              </w:rPr>
              <w:t> </w:t>
            </w:r>
          </w:p>
        </w:tc>
        <w:tc>
          <w:tcPr>
            <w:tcW w:w="1233" w:type="dxa"/>
            <w:tcBorders>
              <w:top w:val="nil"/>
              <w:left w:val="nil"/>
              <w:bottom w:val="single" w:sz="4" w:space="0" w:color="auto"/>
              <w:right w:val="single" w:sz="4" w:space="0" w:color="auto"/>
            </w:tcBorders>
            <w:shd w:val="clear" w:color="auto" w:fill="auto"/>
            <w:vAlign w:val="center"/>
            <w:hideMark/>
          </w:tcPr>
          <w:p w14:paraId="12851D5B" w14:textId="77777777" w:rsidR="008F7A9E" w:rsidRPr="008F7A9E" w:rsidRDefault="008F7A9E" w:rsidP="008F7A9E">
            <w:pPr>
              <w:jc w:val="right"/>
              <w:rPr>
                <w:rFonts w:ascii="Arial Narrow" w:hAnsi="Arial Narrow" w:cs="Calibri"/>
                <w:sz w:val="16"/>
                <w:szCs w:val="16"/>
              </w:rPr>
            </w:pPr>
            <w:r w:rsidRPr="008F7A9E">
              <w:rPr>
                <w:rFonts w:ascii="Arial Narrow" w:hAnsi="Arial Narrow" w:cs="Calibri"/>
                <w:sz w:val="16"/>
                <w:szCs w:val="16"/>
              </w:rPr>
              <w:t>2,8</w:t>
            </w:r>
          </w:p>
        </w:tc>
      </w:tr>
      <w:tr w:rsidR="008F7A9E" w:rsidRPr="00B10684" w14:paraId="57D32650" w14:textId="77777777" w:rsidTr="005A18A5">
        <w:trPr>
          <w:trHeight w:val="251"/>
        </w:trPr>
        <w:tc>
          <w:tcPr>
            <w:tcW w:w="748" w:type="dxa"/>
            <w:tcBorders>
              <w:top w:val="nil"/>
              <w:left w:val="single" w:sz="4" w:space="0" w:color="auto"/>
              <w:bottom w:val="single" w:sz="4" w:space="0" w:color="auto"/>
              <w:right w:val="single" w:sz="4" w:space="0" w:color="auto"/>
            </w:tcBorders>
            <w:shd w:val="clear" w:color="auto" w:fill="auto"/>
            <w:vAlign w:val="center"/>
            <w:hideMark/>
          </w:tcPr>
          <w:p w14:paraId="51CAAC46" w14:textId="77777777" w:rsidR="008F7A9E" w:rsidRPr="008F7A9E" w:rsidRDefault="008F7A9E" w:rsidP="008F7A9E">
            <w:pPr>
              <w:rPr>
                <w:rFonts w:ascii="Arial Narrow" w:hAnsi="Arial Narrow" w:cs="Calibri"/>
                <w:sz w:val="16"/>
                <w:szCs w:val="16"/>
              </w:rPr>
            </w:pPr>
            <w:r w:rsidRPr="008F7A9E">
              <w:rPr>
                <w:rFonts w:ascii="Arial Narrow" w:hAnsi="Arial Narrow" w:cs="Calibri"/>
                <w:sz w:val="16"/>
                <w:szCs w:val="16"/>
              </w:rPr>
              <w:t>06.1/3</w:t>
            </w:r>
          </w:p>
        </w:tc>
        <w:tc>
          <w:tcPr>
            <w:tcW w:w="4419" w:type="dxa"/>
            <w:tcBorders>
              <w:top w:val="nil"/>
              <w:left w:val="nil"/>
              <w:bottom w:val="single" w:sz="4" w:space="0" w:color="auto"/>
              <w:right w:val="single" w:sz="4" w:space="0" w:color="auto"/>
            </w:tcBorders>
            <w:shd w:val="clear" w:color="auto" w:fill="auto"/>
            <w:vAlign w:val="center"/>
            <w:hideMark/>
          </w:tcPr>
          <w:p w14:paraId="673FE8C5" w14:textId="77777777" w:rsidR="008F7A9E" w:rsidRPr="008F7A9E" w:rsidRDefault="008F7A9E" w:rsidP="008F7A9E">
            <w:pPr>
              <w:ind w:firstLineChars="200" w:firstLine="320"/>
              <w:rPr>
                <w:rFonts w:ascii="Arial Narrow" w:hAnsi="Arial Narrow" w:cs="Calibri"/>
                <w:sz w:val="16"/>
                <w:szCs w:val="16"/>
              </w:rPr>
            </w:pPr>
            <w:r w:rsidRPr="008F7A9E">
              <w:rPr>
                <w:rFonts w:ascii="Arial Narrow" w:hAnsi="Arial Narrow" w:cs="Calibri"/>
                <w:sz w:val="16"/>
                <w:szCs w:val="16"/>
              </w:rPr>
              <w:t>Праскови</w:t>
            </w:r>
          </w:p>
        </w:tc>
        <w:tc>
          <w:tcPr>
            <w:tcW w:w="1185" w:type="dxa"/>
            <w:tcBorders>
              <w:top w:val="nil"/>
              <w:left w:val="nil"/>
              <w:bottom w:val="single" w:sz="4" w:space="0" w:color="auto"/>
              <w:right w:val="single" w:sz="4" w:space="0" w:color="auto"/>
            </w:tcBorders>
            <w:shd w:val="clear" w:color="auto" w:fill="auto"/>
            <w:vAlign w:val="center"/>
            <w:hideMark/>
          </w:tcPr>
          <w:p w14:paraId="19D1CAA0" w14:textId="77777777" w:rsidR="008F7A9E" w:rsidRPr="008F7A9E" w:rsidRDefault="008F7A9E" w:rsidP="008F7A9E">
            <w:pPr>
              <w:jc w:val="right"/>
              <w:rPr>
                <w:rFonts w:ascii="Arial Narrow" w:hAnsi="Arial Narrow" w:cs="Calibri"/>
                <w:sz w:val="16"/>
                <w:szCs w:val="16"/>
              </w:rPr>
            </w:pPr>
            <w:r w:rsidRPr="008F7A9E">
              <w:rPr>
                <w:rFonts w:ascii="Arial Narrow" w:hAnsi="Arial Narrow" w:cs="Calibri"/>
                <w:sz w:val="16"/>
                <w:szCs w:val="16"/>
              </w:rPr>
              <w:t>27,1</w:t>
            </w:r>
          </w:p>
        </w:tc>
        <w:tc>
          <w:tcPr>
            <w:tcW w:w="1028" w:type="dxa"/>
            <w:tcBorders>
              <w:top w:val="nil"/>
              <w:left w:val="nil"/>
              <w:bottom w:val="single" w:sz="4" w:space="0" w:color="auto"/>
              <w:right w:val="single" w:sz="4" w:space="0" w:color="auto"/>
            </w:tcBorders>
            <w:shd w:val="clear" w:color="auto" w:fill="auto"/>
            <w:vAlign w:val="center"/>
            <w:hideMark/>
          </w:tcPr>
          <w:p w14:paraId="205715AC" w14:textId="77777777" w:rsidR="008F7A9E" w:rsidRPr="008F7A9E" w:rsidRDefault="008F7A9E" w:rsidP="008F7A9E">
            <w:pPr>
              <w:jc w:val="right"/>
              <w:rPr>
                <w:rFonts w:ascii="Arial Narrow" w:hAnsi="Arial Narrow" w:cs="Calibri"/>
                <w:sz w:val="16"/>
                <w:szCs w:val="16"/>
              </w:rPr>
            </w:pPr>
            <w:r w:rsidRPr="008F7A9E">
              <w:rPr>
                <w:rFonts w:ascii="Arial Narrow" w:hAnsi="Arial Narrow" w:cs="Calibri"/>
                <w:sz w:val="16"/>
                <w:szCs w:val="16"/>
              </w:rPr>
              <w:t>-53,1</w:t>
            </w:r>
          </w:p>
        </w:tc>
        <w:tc>
          <w:tcPr>
            <w:tcW w:w="1217" w:type="dxa"/>
            <w:tcBorders>
              <w:top w:val="nil"/>
              <w:left w:val="nil"/>
              <w:bottom w:val="single" w:sz="4" w:space="0" w:color="auto"/>
              <w:right w:val="single" w:sz="4" w:space="0" w:color="auto"/>
            </w:tcBorders>
            <w:shd w:val="clear" w:color="auto" w:fill="auto"/>
            <w:vAlign w:val="center"/>
            <w:hideMark/>
          </w:tcPr>
          <w:p w14:paraId="47E72E24" w14:textId="77777777" w:rsidR="008F7A9E" w:rsidRPr="008F7A9E" w:rsidRDefault="008F7A9E" w:rsidP="008F7A9E">
            <w:pPr>
              <w:jc w:val="right"/>
              <w:rPr>
                <w:rFonts w:ascii="Arial Narrow" w:hAnsi="Arial Narrow" w:cs="Calibri"/>
                <w:sz w:val="16"/>
                <w:szCs w:val="16"/>
              </w:rPr>
            </w:pPr>
            <w:r w:rsidRPr="008F7A9E">
              <w:rPr>
                <w:rFonts w:ascii="Arial Narrow" w:hAnsi="Arial Narrow" w:cs="Calibri"/>
                <w:sz w:val="16"/>
                <w:szCs w:val="16"/>
              </w:rPr>
              <w:t>12,7</w:t>
            </w:r>
          </w:p>
        </w:tc>
        <w:tc>
          <w:tcPr>
            <w:tcW w:w="1075" w:type="dxa"/>
            <w:tcBorders>
              <w:top w:val="nil"/>
              <w:left w:val="nil"/>
              <w:bottom w:val="single" w:sz="4" w:space="0" w:color="auto"/>
              <w:right w:val="single" w:sz="4" w:space="0" w:color="auto"/>
            </w:tcBorders>
            <w:shd w:val="clear" w:color="auto" w:fill="auto"/>
            <w:vAlign w:val="center"/>
            <w:hideMark/>
          </w:tcPr>
          <w:p w14:paraId="0AE1FFEF" w14:textId="77777777" w:rsidR="008F7A9E" w:rsidRPr="008F7A9E" w:rsidRDefault="008F7A9E" w:rsidP="008F7A9E">
            <w:pPr>
              <w:jc w:val="right"/>
              <w:rPr>
                <w:rFonts w:ascii="Arial Narrow" w:hAnsi="Arial Narrow" w:cs="Calibri"/>
                <w:sz w:val="16"/>
                <w:szCs w:val="16"/>
              </w:rPr>
            </w:pPr>
            <w:r w:rsidRPr="008F7A9E">
              <w:rPr>
                <w:rFonts w:ascii="Arial Narrow" w:hAnsi="Arial Narrow" w:cs="Calibri"/>
                <w:sz w:val="16"/>
                <w:szCs w:val="16"/>
              </w:rPr>
              <w:t>41,7</w:t>
            </w:r>
          </w:p>
        </w:tc>
        <w:tc>
          <w:tcPr>
            <w:tcW w:w="1233" w:type="dxa"/>
            <w:tcBorders>
              <w:top w:val="nil"/>
              <w:left w:val="nil"/>
              <w:bottom w:val="single" w:sz="4" w:space="0" w:color="auto"/>
              <w:right w:val="single" w:sz="4" w:space="0" w:color="auto"/>
            </w:tcBorders>
            <w:shd w:val="clear" w:color="auto" w:fill="auto"/>
            <w:vAlign w:val="center"/>
            <w:hideMark/>
          </w:tcPr>
          <w:p w14:paraId="1B243A09" w14:textId="77777777" w:rsidR="008F7A9E" w:rsidRPr="008F7A9E" w:rsidRDefault="008F7A9E" w:rsidP="008F7A9E">
            <w:pPr>
              <w:jc w:val="right"/>
              <w:rPr>
                <w:rFonts w:ascii="Arial Narrow" w:hAnsi="Arial Narrow" w:cs="Calibri"/>
                <w:sz w:val="16"/>
                <w:szCs w:val="16"/>
              </w:rPr>
            </w:pPr>
            <w:r w:rsidRPr="008F7A9E">
              <w:rPr>
                <w:rFonts w:ascii="Arial Narrow" w:hAnsi="Arial Narrow" w:cs="Calibri"/>
                <w:sz w:val="16"/>
                <w:szCs w:val="16"/>
              </w:rPr>
              <w:t>18,0</w:t>
            </w:r>
          </w:p>
        </w:tc>
      </w:tr>
      <w:tr w:rsidR="008F7A9E" w:rsidRPr="00B10684" w14:paraId="3D42646C" w14:textId="77777777" w:rsidTr="005A18A5">
        <w:trPr>
          <w:trHeight w:val="251"/>
        </w:trPr>
        <w:tc>
          <w:tcPr>
            <w:tcW w:w="748" w:type="dxa"/>
            <w:tcBorders>
              <w:top w:val="nil"/>
              <w:left w:val="single" w:sz="4" w:space="0" w:color="auto"/>
              <w:bottom w:val="single" w:sz="4" w:space="0" w:color="auto"/>
              <w:right w:val="single" w:sz="4" w:space="0" w:color="auto"/>
            </w:tcBorders>
            <w:shd w:val="clear" w:color="auto" w:fill="auto"/>
            <w:vAlign w:val="center"/>
            <w:hideMark/>
          </w:tcPr>
          <w:p w14:paraId="5A71A9FF" w14:textId="77777777" w:rsidR="008F7A9E" w:rsidRPr="008F7A9E" w:rsidRDefault="008F7A9E" w:rsidP="008F7A9E">
            <w:pPr>
              <w:rPr>
                <w:rFonts w:ascii="Arial Narrow" w:hAnsi="Arial Narrow" w:cs="Calibri"/>
                <w:sz w:val="16"/>
                <w:szCs w:val="16"/>
              </w:rPr>
            </w:pPr>
            <w:r w:rsidRPr="008F7A9E">
              <w:rPr>
                <w:rFonts w:ascii="Arial Narrow" w:hAnsi="Arial Narrow" w:cs="Calibri"/>
                <w:sz w:val="16"/>
                <w:szCs w:val="16"/>
              </w:rPr>
              <w:t>06.1/4</w:t>
            </w:r>
          </w:p>
        </w:tc>
        <w:tc>
          <w:tcPr>
            <w:tcW w:w="4419" w:type="dxa"/>
            <w:tcBorders>
              <w:top w:val="nil"/>
              <w:left w:val="nil"/>
              <w:bottom w:val="single" w:sz="4" w:space="0" w:color="auto"/>
              <w:right w:val="single" w:sz="4" w:space="0" w:color="auto"/>
            </w:tcBorders>
            <w:shd w:val="clear" w:color="auto" w:fill="auto"/>
            <w:vAlign w:val="center"/>
            <w:hideMark/>
          </w:tcPr>
          <w:p w14:paraId="55937ACB" w14:textId="77777777" w:rsidR="008F7A9E" w:rsidRPr="008F7A9E" w:rsidRDefault="008F7A9E" w:rsidP="008F7A9E">
            <w:pPr>
              <w:ind w:firstLineChars="200" w:firstLine="320"/>
              <w:rPr>
                <w:rFonts w:ascii="Arial Narrow" w:hAnsi="Arial Narrow" w:cs="Calibri"/>
                <w:sz w:val="16"/>
                <w:szCs w:val="16"/>
              </w:rPr>
            </w:pPr>
            <w:r w:rsidRPr="008F7A9E">
              <w:rPr>
                <w:rFonts w:ascii="Arial Narrow" w:hAnsi="Arial Narrow" w:cs="Calibri"/>
                <w:sz w:val="16"/>
                <w:szCs w:val="16"/>
              </w:rPr>
              <w:t>Други пресни плодове</w:t>
            </w:r>
          </w:p>
        </w:tc>
        <w:tc>
          <w:tcPr>
            <w:tcW w:w="1185" w:type="dxa"/>
            <w:tcBorders>
              <w:top w:val="nil"/>
              <w:left w:val="nil"/>
              <w:bottom w:val="single" w:sz="4" w:space="0" w:color="auto"/>
              <w:right w:val="single" w:sz="4" w:space="0" w:color="auto"/>
            </w:tcBorders>
            <w:shd w:val="clear" w:color="auto" w:fill="auto"/>
            <w:vAlign w:val="center"/>
            <w:hideMark/>
          </w:tcPr>
          <w:p w14:paraId="15DAB1D0" w14:textId="77777777" w:rsidR="008F7A9E" w:rsidRPr="008F7A9E" w:rsidRDefault="008F7A9E" w:rsidP="008F7A9E">
            <w:pPr>
              <w:jc w:val="right"/>
              <w:rPr>
                <w:rFonts w:ascii="Arial Narrow" w:hAnsi="Arial Narrow" w:cs="Calibri"/>
                <w:sz w:val="16"/>
                <w:szCs w:val="16"/>
              </w:rPr>
            </w:pPr>
            <w:r w:rsidRPr="008F7A9E">
              <w:rPr>
                <w:rFonts w:ascii="Arial Narrow" w:hAnsi="Arial Narrow" w:cs="Calibri"/>
                <w:sz w:val="16"/>
                <w:szCs w:val="16"/>
              </w:rPr>
              <w:t>215,4</w:t>
            </w:r>
          </w:p>
        </w:tc>
        <w:tc>
          <w:tcPr>
            <w:tcW w:w="1028" w:type="dxa"/>
            <w:tcBorders>
              <w:top w:val="nil"/>
              <w:left w:val="nil"/>
              <w:bottom w:val="single" w:sz="4" w:space="0" w:color="auto"/>
              <w:right w:val="single" w:sz="4" w:space="0" w:color="auto"/>
            </w:tcBorders>
            <w:shd w:val="clear" w:color="auto" w:fill="auto"/>
            <w:vAlign w:val="center"/>
            <w:hideMark/>
          </w:tcPr>
          <w:p w14:paraId="01E439E7" w14:textId="77777777" w:rsidR="008F7A9E" w:rsidRPr="008F7A9E" w:rsidRDefault="008F7A9E" w:rsidP="008F7A9E">
            <w:pPr>
              <w:jc w:val="right"/>
              <w:rPr>
                <w:rFonts w:ascii="Arial Narrow" w:hAnsi="Arial Narrow" w:cs="Calibri"/>
                <w:sz w:val="16"/>
                <w:szCs w:val="16"/>
              </w:rPr>
            </w:pPr>
            <w:r w:rsidRPr="008F7A9E">
              <w:rPr>
                <w:rFonts w:ascii="Arial Narrow" w:hAnsi="Arial Narrow" w:cs="Calibri"/>
                <w:sz w:val="16"/>
                <w:szCs w:val="16"/>
              </w:rPr>
              <w:t>-3,6</w:t>
            </w:r>
          </w:p>
        </w:tc>
        <w:tc>
          <w:tcPr>
            <w:tcW w:w="1217" w:type="dxa"/>
            <w:tcBorders>
              <w:top w:val="nil"/>
              <w:left w:val="nil"/>
              <w:bottom w:val="single" w:sz="4" w:space="0" w:color="auto"/>
              <w:right w:val="single" w:sz="4" w:space="0" w:color="auto"/>
            </w:tcBorders>
            <w:shd w:val="clear" w:color="auto" w:fill="auto"/>
            <w:vAlign w:val="center"/>
            <w:hideMark/>
          </w:tcPr>
          <w:p w14:paraId="2B8E1562" w14:textId="77777777" w:rsidR="008F7A9E" w:rsidRPr="008F7A9E" w:rsidRDefault="008F7A9E" w:rsidP="008F7A9E">
            <w:pPr>
              <w:jc w:val="right"/>
              <w:rPr>
                <w:rFonts w:ascii="Arial Narrow" w:hAnsi="Arial Narrow" w:cs="Calibri"/>
                <w:sz w:val="16"/>
                <w:szCs w:val="16"/>
              </w:rPr>
            </w:pPr>
            <w:r w:rsidRPr="008F7A9E">
              <w:rPr>
                <w:rFonts w:ascii="Arial Narrow" w:hAnsi="Arial Narrow" w:cs="Calibri"/>
                <w:sz w:val="16"/>
                <w:szCs w:val="16"/>
              </w:rPr>
              <w:t>207,6</w:t>
            </w:r>
          </w:p>
        </w:tc>
        <w:tc>
          <w:tcPr>
            <w:tcW w:w="1075" w:type="dxa"/>
            <w:tcBorders>
              <w:top w:val="nil"/>
              <w:left w:val="nil"/>
              <w:bottom w:val="single" w:sz="4" w:space="0" w:color="auto"/>
              <w:right w:val="single" w:sz="4" w:space="0" w:color="auto"/>
            </w:tcBorders>
            <w:shd w:val="clear" w:color="auto" w:fill="auto"/>
            <w:vAlign w:val="center"/>
            <w:hideMark/>
          </w:tcPr>
          <w:p w14:paraId="04D70881" w14:textId="77777777" w:rsidR="008F7A9E" w:rsidRPr="008F7A9E" w:rsidRDefault="008F7A9E" w:rsidP="008F7A9E">
            <w:pPr>
              <w:jc w:val="right"/>
              <w:rPr>
                <w:rFonts w:ascii="Arial Narrow" w:hAnsi="Arial Narrow" w:cs="Calibri"/>
                <w:sz w:val="16"/>
                <w:szCs w:val="16"/>
              </w:rPr>
            </w:pPr>
            <w:r w:rsidRPr="008F7A9E">
              <w:rPr>
                <w:rFonts w:ascii="Arial Narrow" w:hAnsi="Arial Narrow" w:cs="Calibri"/>
                <w:sz w:val="16"/>
                <w:szCs w:val="16"/>
              </w:rPr>
              <w:t>12,0</w:t>
            </w:r>
          </w:p>
        </w:tc>
        <w:tc>
          <w:tcPr>
            <w:tcW w:w="1233" w:type="dxa"/>
            <w:tcBorders>
              <w:top w:val="nil"/>
              <w:left w:val="nil"/>
              <w:bottom w:val="single" w:sz="4" w:space="0" w:color="auto"/>
              <w:right w:val="single" w:sz="4" w:space="0" w:color="auto"/>
            </w:tcBorders>
            <w:shd w:val="clear" w:color="auto" w:fill="auto"/>
            <w:vAlign w:val="center"/>
            <w:hideMark/>
          </w:tcPr>
          <w:p w14:paraId="486DF44F" w14:textId="77777777" w:rsidR="008F7A9E" w:rsidRPr="008F7A9E" w:rsidRDefault="008F7A9E" w:rsidP="008F7A9E">
            <w:pPr>
              <w:jc w:val="right"/>
              <w:rPr>
                <w:rFonts w:ascii="Arial Narrow" w:hAnsi="Arial Narrow" w:cs="Calibri"/>
                <w:sz w:val="16"/>
                <w:szCs w:val="16"/>
              </w:rPr>
            </w:pPr>
            <w:r w:rsidRPr="008F7A9E">
              <w:rPr>
                <w:rFonts w:ascii="Arial Narrow" w:hAnsi="Arial Narrow" w:cs="Calibri"/>
                <w:sz w:val="16"/>
                <w:szCs w:val="16"/>
              </w:rPr>
              <w:t>232,6</w:t>
            </w:r>
          </w:p>
        </w:tc>
      </w:tr>
      <w:tr w:rsidR="008F7A9E" w:rsidRPr="00B10684" w14:paraId="32FEAC5B" w14:textId="77777777" w:rsidTr="005A18A5">
        <w:trPr>
          <w:trHeight w:val="251"/>
        </w:trPr>
        <w:tc>
          <w:tcPr>
            <w:tcW w:w="748" w:type="dxa"/>
            <w:tcBorders>
              <w:top w:val="nil"/>
              <w:left w:val="single" w:sz="4" w:space="0" w:color="auto"/>
              <w:bottom w:val="single" w:sz="4" w:space="0" w:color="auto"/>
              <w:right w:val="single" w:sz="4" w:space="0" w:color="auto"/>
            </w:tcBorders>
            <w:shd w:val="clear" w:color="auto" w:fill="auto"/>
            <w:vAlign w:val="center"/>
            <w:hideMark/>
          </w:tcPr>
          <w:p w14:paraId="37136863" w14:textId="77777777" w:rsidR="008F7A9E" w:rsidRPr="008F7A9E" w:rsidRDefault="008F7A9E" w:rsidP="008F7A9E">
            <w:pPr>
              <w:rPr>
                <w:rFonts w:ascii="Arial Narrow" w:hAnsi="Arial Narrow" w:cs="Calibri"/>
                <w:sz w:val="16"/>
                <w:szCs w:val="16"/>
              </w:rPr>
            </w:pPr>
            <w:r w:rsidRPr="008F7A9E">
              <w:rPr>
                <w:rFonts w:ascii="Arial Narrow" w:hAnsi="Arial Narrow" w:cs="Calibri"/>
                <w:sz w:val="16"/>
                <w:szCs w:val="16"/>
              </w:rPr>
              <w:t>06.4</w:t>
            </w:r>
          </w:p>
        </w:tc>
        <w:tc>
          <w:tcPr>
            <w:tcW w:w="4419" w:type="dxa"/>
            <w:tcBorders>
              <w:top w:val="nil"/>
              <w:left w:val="nil"/>
              <w:bottom w:val="single" w:sz="4" w:space="0" w:color="auto"/>
              <w:right w:val="single" w:sz="4" w:space="0" w:color="auto"/>
            </w:tcBorders>
            <w:shd w:val="clear" w:color="auto" w:fill="auto"/>
            <w:vAlign w:val="center"/>
            <w:hideMark/>
          </w:tcPr>
          <w:p w14:paraId="7E98800B" w14:textId="77777777" w:rsidR="008F7A9E" w:rsidRPr="008F7A9E" w:rsidRDefault="008F7A9E" w:rsidP="008F7A9E">
            <w:pPr>
              <w:ind w:firstLineChars="100" w:firstLine="160"/>
              <w:rPr>
                <w:rFonts w:ascii="Arial Narrow" w:hAnsi="Arial Narrow" w:cs="Calibri"/>
                <w:sz w:val="16"/>
                <w:szCs w:val="16"/>
              </w:rPr>
            </w:pPr>
            <w:r w:rsidRPr="008F7A9E">
              <w:rPr>
                <w:rFonts w:ascii="Arial Narrow" w:hAnsi="Arial Narrow" w:cs="Calibri"/>
                <w:sz w:val="16"/>
                <w:szCs w:val="16"/>
              </w:rPr>
              <w:t>Грозде-всичко</w:t>
            </w:r>
          </w:p>
        </w:tc>
        <w:tc>
          <w:tcPr>
            <w:tcW w:w="1185" w:type="dxa"/>
            <w:tcBorders>
              <w:top w:val="nil"/>
              <w:left w:val="nil"/>
              <w:bottom w:val="single" w:sz="4" w:space="0" w:color="auto"/>
              <w:right w:val="single" w:sz="4" w:space="0" w:color="auto"/>
            </w:tcBorders>
            <w:shd w:val="clear" w:color="auto" w:fill="auto"/>
            <w:vAlign w:val="center"/>
            <w:hideMark/>
          </w:tcPr>
          <w:p w14:paraId="3B751D48" w14:textId="77777777" w:rsidR="008F7A9E" w:rsidRPr="008F7A9E" w:rsidRDefault="008F7A9E" w:rsidP="008F7A9E">
            <w:pPr>
              <w:jc w:val="right"/>
              <w:rPr>
                <w:rFonts w:ascii="Arial Narrow" w:hAnsi="Arial Narrow" w:cs="Calibri"/>
                <w:sz w:val="16"/>
                <w:szCs w:val="16"/>
              </w:rPr>
            </w:pPr>
            <w:r w:rsidRPr="008F7A9E">
              <w:rPr>
                <w:rFonts w:ascii="Arial Narrow" w:hAnsi="Arial Narrow" w:cs="Calibri"/>
                <w:sz w:val="16"/>
                <w:szCs w:val="16"/>
              </w:rPr>
              <w:t>108,1</w:t>
            </w:r>
          </w:p>
        </w:tc>
        <w:tc>
          <w:tcPr>
            <w:tcW w:w="1028" w:type="dxa"/>
            <w:tcBorders>
              <w:top w:val="nil"/>
              <w:left w:val="nil"/>
              <w:bottom w:val="single" w:sz="4" w:space="0" w:color="auto"/>
              <w:right w:val="single" w:sz="4" w:space="0" w:color="auto"/>
            </w:tcBorders>
            <w:shd w:val="clear" w:color="auto" w:fill="auto"/>
            <w:vAlign w:val="center"/>
            <w:hideMark/>
          </w:tcPr>
          <w:p w14:paraId="16F13397" w14:textId="77777777" w:rsidR="008F7A9E" w:rsidRPr="008F7A9E" w:rsidRDefault="008F7A9E" w:rsidP="008F7A9E">
            <w:pPr>
              <w:jc w:val="right"/>
              <w:rPr>
                <w:rFonts w:ascii="Arial Narrow" w:hAnsi="Arial Narrow" w:cs="Calibri"/>
                <w:sz w:val="16"/>
                <w:szCs w:val="16"/>
              </w:rPr>
            </w:pPr>
            <w:r w:rsidRPr="008F7A9E">
              <w:rPr>
                <w:rFonts w:ascii="Arial Narrow" w:hAnsi="Arial Narrow" w:cs="Calibri"/>
                <w:sz w:val="16"/>
                <w:szCs w:val="16"/>
              </w:rPr>
              <w:t>-1,9</w:t>
            </w:r>
          </w:p>
        </w:tc>
        <w:tc>
          <w:tcPr>
            <w:tcW w:w="1217" w:type="dxa"/>
            <w:tcBorders>
              <w:top w:val="nil"/>
              <w:left w:val="nil"/>
              <w:bottom w:val="single" w:sz="4" w:space="0" w:color="auto"/>
              <w:right w:val="single" w:sz="4" w:space="0" w:color="auto"/>
            </w:tcBorders>
            <w:shd w:val="clear" w:color="auto" w:fill="auto"/>
            <w:vAlign w:val="center"/>
            <w:hideMark/>
          </w:tcPr>
          <w:p w14:paraId="3E54F8EE" w14:textId="77777777" w:rsidR="008F7A9E" w:rsidRPr="008F7A9E" w:rsidRDefault="008F7A9E" w:rsidP="008F7A9E">
            <w:pPr>
              <w:jc w:val="right"/>
              <w:rPr>
                <w:rFonts w:ascii="Arial Narrow" w:hAnsi="Arial Narrow" w:cs="Calibri"/>
                <w:sz w:val="16"/>
                <w:szCs w:val="16"/>
              </w:rPr>
            </w:pPr>
            <w:r w:rsidRPr="008F7A9E">
              <w:rPr>
                <w:rFonts w:ascii="Arial Narrow" w:hAnsi="Arial Narrow" w:cs="Calibri"/>
                <w:sz w:val="16"/>
                <w:szCs w:val="16"/>
              </w:rPr>
              <w:t>106,1</w:t>
            </w:r>
          </w:p>
        </w:tc>
        <w:tc>
          <w:tcPr>
            <w:tcW w:w="1075" w:type="dxa"/>
            <w:tcBorders>
              <w:top w:val="nil"/>
              <w:left w:val="nil"/>
              <w:bottom w:val="single" w:sz="4" w:space="0" w:color="auto"/>
              <w:right w:val="single" w:sz="4" w:space="0" w:color="auto"/>
            </w:tcBorders>
            <w:shd w:val="clear" w:color="auto" w:fill="auto"/>
            <w:vAlign w:val="center"/>
            <w:hideMark/>
          </w:tcPr>
          <w:p w14:paraId="5CDE8A77" w14:textId="77777777" w:rsidR="008F7A9E" w:rsidRPr="008F7A9E" w:rsidRDefault="008F7A9E" w:rsidP="008F7A9E">
            <w:pPr>
              <w:jc w:val="right"/>
              <w:rPr>
                <w:rFonts w:ascii="Arial Narrow" w:hAnsi="Arial Narrow" w:cs="Calibri"/>
                <w:sz w:val="16"/>
                <w:szCs w:val="16"/>
              </w:rPr>
            </w:pPr>
            <w:r w:rsidRPr="008F7A9E">
              <w:rPr>
                <w:rFonts w:ascii="Arial Narrow" w:hAnsi="Arial Narrow" w:cs="Calibri"/>
                <w:sz w:val="16"/>
                <w:szCs w:val="16"/>
              </w:rPr>
              <w:t>7,5</w:t>
            </w:r>
          </w:p>
        </w:tc>
        <w:tc>
          <w:tcPr>
            <w:tcW w:w="1233" w:type="dxa"/>
            <w:tcBorders>
              <w:top w:val="nil"/>
              <w:left w:val="nil"/>
              <w:bottom w:val="single" w:sz="4" w:space="0" w:color="auto"/>
              <w:right w:val="single" w:sz="4" w:space="0" w:color="auto"/>
            </w:tcBorders>
            <w:shd w:val="clear" w:color="auto" w:fill="auto"/>
            <w:vAlign w:val="center"/>
            <w:hideMark/>
          </w:tcPr>
          <w:p w14:paraId="6072E66C" w14:textId="77777777" w:rsidR="008F7A9E" w:rsidRPr="008F7A9E" w:rsidRDefault="008F7A9E" w:rsidP="008F7A9E">
            <w:pPr>
              <w:jc w:val="right"/>
              <w:rPr>
                <w:rFonts w:ascii="Arial Narrow" w:hAnsi="Arial Narrow" w:cs="Calibri"/>
                <w:sz w:val="16"/>
                <w:szCs w:val="16"/>
              </w:rPr>
            </w:pPr>
            <w:r w:rsidRPr="008F7A9E">
              <w:rPr>
                <w:rFonts w:ascii="Arial Narrow" w:hAnsi="Arial Narrow" w:cs="Calibri"/>
                <w:sz w:val="16"/>
                <w:szCs w:val="16"/>
              </w:rPr>
              <w:t>114,1</w:t>
            </w:r>
          </w:p>
        </w:tc>
      </w:tr>
      <w:tr w:rsidR="008F7A9E" w:rsidRPr="00B10684" w14:paraId="71B000DC" w14:textId="77777777" w:rsidTr="005A18A5">
        <w:trPr>
          <w:trHeight w:val="251"/>
        </w:trPr>
        <w:tc>
          <w:tcPr>
            <w:tcW w:w="748" w:type="dxa"/>
            <w:tcBorders>
              <w:top w:val="nil"/>
              <w:left w:val="single" w:sz="4" w:space="0" w:color="auto"/>
              <w:bottom w:val="single" w:sz="4" w:space="0" w:color="auto"/>
              <w:right w:val="single" w:sz="4" w:space="0" w:color="auto"/>
            </w:tcBorders>
            <w:shd w:val="clear" w:color="auto" w:fill="auto"/>
            <w:vAlign w:val="center"/>
            <w:hideMark/>
          </w:tcPr>
          <w:p w14:paraId="6F26E0D8" w14:textId="77777777" w:rsidR="008F7A9E" w:rsidRPr="008F7A9E" w:rsidRDefault="008F7A9E" w:rsidP="008F7A9E">
            <w:pPr>
              <w:rPr>
                <w:rFonts w:ascii="Arial Narrow" w:hAnsi="Arial Narrow" w:cs="Calibri"/>
                <w:sz w:val="16"/>
                <w:szCs w:val="16"/>
              </w:rPr>
            </w:pPr>
            <w:r w:rsidRPr="008F7A9E">
              <w:rPr>
                <w:rFonts w:ascii="Arial Narrow" w:hAnsi="Arial Narrow" w:cs="Calibri"/>
                <w:sz w:val="16"/>
                <w:szCs w:val="16"/>
              </w:rPr>
              <w:lastRenderedPageBreak/>
              <w:t>06.4/1</w:t>
            </w:r>
          </w:p>
        </w:tc>
        <w:tc>
          <w:tcPr>
            <w:tcW w:w="4419" w:type="dxa"/>
            <w:tcBorders>
              <w:top w:val="nil"/>
              <w:left w:val="nil"/>
              <w:bottom w:val="single" w:sz="4" w:space="0" w:color="auto"/>
              <w:right w:val="single" w:sz="4" w:space="0" w:color="auto"/>
            </w:tcBorders>
            <w:shd w:val="clear" w:color="auto" w:fill="auto"/>
            <w:vAlign w:val="center"/>
            <w:hideMark/>
          </w:tcPr>
          <w:p w14:paraId="418CAABE" w14:textId="77777777" w:rsidR="008F7A9E" w:rsidRPr="008F7A9E" w:rsidRDefault="008F7A9E" w:rsidP="008F7A9E">
            <w:pPr>
              <w:ind w:firstLineChars="200" w:firstLine="320"/>
              <w:rPr>
                <w:rFonts w:ascii="Arial Narrow" w:hAnsi="Arial Narrow" w:cs="Calibri"/>
                <w:sz w:val="16"/>
                <w:szCs w:val="16"/>
              </w:rPr>
            </w:pPr>
            <w:r w:rsidRPr="008F7A9E">
              <w:rPr>
                <w:rFonts w:ascii="Arial Narrow" w:hAnsi="Arial Narrow" w:cs="Calibri"/>
                <w:sz w:val="16"/>
                <w:szCs w:val="16"/>
              </w:rPr>
              <w:t>Дес</w:t>
            </w:r>
            <w:r w:rsidR="00D56BD4">
              <w:rPr>
                <w:rFonts w:ascii="Arial Narrow" w:hAnsi="Arial Narrow" w:cs="Calibri"/>
                <w:sz w:val="16"/>
                <w:szCs w:val="16"/>
                <w:lang w:val="bg-BG"/>
              </w:rPr>
              <w:t>е</w:t>
            </w:r>
            <w:r w:rsidRPr="008F7A9E">
              <w:rPr>
                <w:rFonts w:ascii="Arial Narrow" w:hAnsi="Arial Narrow" w:cs="Calibri"/>
                <w:sz w:val="16"/>
                <w:szCs w:val="16"/>
              </w:rPr>
              <w:t>ртно грозде</w:t>
            </w:r>
          </w:p>
        </w:tc>
        <w:tc>
          <w:tcPr>
            <w:tcW w:w="1185" w:type="dxa"/>
            <w:tcBorders>
              <w:top w:val="nil"/>
              <w:left w:val="nil"/>
              <w:bottom w:val="single" w:sz="4" w:space="0" w:color="auto"/>
              <w:right w:val="single" w:sz="4" w:space="0" w:color="auto"/>
            </w:tcBorders>
            <w:shd w:val="clear" w:color="auto" w:fill="auto"/>
            <w:vAlign w:val="center"/>
            <w:hideMark/>
          </w:tcPr>
          <w:p w14:paraId="4C7F00A2" w14:textId="77777777" w:rsidR="008F7A9E" w:rsidRPr="008F7A9E" w:rsidRDefault="008F7A9E" w:rsidP="008F7A9E">
            <w:pPr>
              <w:jc w:val="right"/>
              <w:rPr>
                <w:rFonts w:ascii="Arial Narrow" w:hAnsi="Arial Narrow" w:cs="Calibri"/>
                <w:sz w:val="16"/>
                <w:szCs w:val="16"/>
              </w:rPr>
            </w:pPr>
            <w:r w:rsidRPr="008F7A9E">
              <w:rPr>
                <w:rFonts w:ascii="Arial Narrow" w:hAnsi="Arial Narrow" w:cs="Calibri"/>
                <w:sz w:val="16"/>
                <w:szCs w:val="16"/>
              </w:rPr>
              <w:t>15,5</w:t>
            </w:r>
          </w:p>
        </w:tc>
        <w:tc>
          <w:tcPr>
            <w:tcW w:w="1028" w:type="dxa"/>
            <w:tcBorders>
              <w:top w:val="nil"/>
              <w:left w:val="nil"/>
              <w:bottom w:val="single" w:sz="4" w:space="0" w:color="auto"/>
              <w:right w:val="single" w:sz="4" w:space="0" w:color="auto"/>
            </w:tcBorders>
            <w:shd w:val="clear" w:color="auto" w:fill="auto"/>
            <w:vAlign w:val="center"/>
            <w:hideMark/>
          </w:tcPr>
          <w:p w14:paraId="3F4816E0" w14:textId="77777777" w:rsidR="008F7A9E" w:rsidRPr="008F7A9E" w:rsidRDefault="008F7A9E" w:rsidP="008F7A9E">
            <w:pPr>
              <w:jc w:val="right"/>
              <w:rPr>
                <w:rFonts w:ascii="Arial Narrow" w:hAnsi="Arial Narrow" w:cs="Calibri"/>
                <w:sz w:val="16"/>
                <w:szCs w:val="16"/>
              </w:rPr>
            </w:pPr>
            <w:r w:rsidRPr="008F7A9E">
              <w:rPr>
                <w:rFonts w:ascii="Arial Narrow" w:hAnsi="Arial Narrow" w:cs="Calibri"/>
                <w:sz w:val="16"/>
                <w:szCs w:val="16"/>
              </w:rPr>
              <w:t>1,3</w:t>
            </w:r>
          </w:p>
        </w:tc>
        <w:tc>
          <w:tcPr>
            <w:tcW w:w="1217" w:type="dxa"/>
            <w:tcBorders>
              <w:top w:val="nil"/>
              <w:left w:val="nil"/>
              <w:bottom w:val="single" w:sz="4" w:space="0" w:color="auto"/>
              <w:right w:val="single" w:sz="4" w:space="0" w:color="auto"/>
            </w:tcBorders>
            <w:shd w:val="clear" w:color="auto" w:fill="auto"/>
            <w:vAlign w:val="center"/>
            <w:hideMark/>
          </w:tcPr>
          <w:p w14:paraId="4BA268EA" w14:textId="77777777" w:rsidR="008F7A9E" w:rsidRPr="008F7A9E" w:rsidRDefault="008F7A9E" w:rsidP="008F7A9E">
            <w:pPr>
              <w:jc w:val="right"/>
              <w:rPr>
                <w:rFonts w:ascii="Arial Narrow" w:hAnsi="Arial Narrow" w:cs="Calibri"/>
                <w:sz w:val="16"/>
                <w:szCs w:val="16"/>
              </w:rPr>
            </w:pPr>
            <w:r w:rsidRPr="008F7A9E">
              <w:rPr>
                <w:rFonts w:ascii="Arial Narrow" w:hAnsi="Arial Narrow" w:cs="Calibri"/>
                <w:sz w:val="16"/>
                <w:szCs w:val="16"/>
              </w:rPr>
              <w:t>15,7</w:t>
            </w:r>
          </w:p>
        </w:tc>
        <w:tc>
          <w:tcPr>
            <w:tcW w:w="1075" w:type="dxa"/>
            <w:tcBorders>
              <w:top w:val="nil"/>
              <w:left w:val="nil"/>
              <w:bottom w:val="single" w:sz="4" w:space="0" w:color="auto"/>
              <w:right w:val="single" w:sz="4" w:space="0" w:color="auto"/>
            </w:tcBorders>
            <w:shd w:val="clear" w:color="auto" w:fill="auto"/>
            <w:vAlign w:val="center"/>
            <w:hideMark/>
          </w:tcPr>
          <w:p w14:paraId="309FB52C" w14:textId="77777777" w:rsidR="008F7A9E" w:rsidRPr="008F7A9E" w:rsidRDefault="008F7A9E" w:rsidP="008F7A9E">
            <w:pPr>
              <w:jc w:val="right"/>
              <w:rPr>
                <w:rFonts w:ascii="Arial Narrow" w:hAnsi="Arial Narrow" w:cs="Calibri"/>
                <w:sz w:val="16"/>
                <w:szCs w:val="16"/>
              </w:rPr>
            </w:pPr>
            <w:r w:rsidRPr="008F7A9E">
              <w:rPr>
                <w:rFonts w:ascii="Arial Narrow" w:hAnsi="Arial Narrow" w:cs="Calibri"/>
                <w:sz w:val="16"/>
                <w:szCs w:val="16"/>
              </w:rPr>
              <w:t>23,6</w:t>
            </w:r>
          </w:p>
        </w:tc>
        <w:tc>
          <w:tcPr>
            <w:tcW w:w="1233" w:type="dxa"/>
            <w:tcBorders>
              <w:top w:val="nil"/>
              <w:left w:val="nil"/>
              <w:bottom w:val="single" w:sz="4" w:space="0" w:color="auto"/>
              <w:right w:val="single" w:sz="4" w:space="0" w:color="auto"/>
            </w:tcBorders>
            <w:shd w:val="clear" w:color="auto" w:fill="auto"/>
            <w:vAlign w:val="center"/>
            <w:hideMark/>
          </w:tcPr>
          <w:p w14:paraId="79F61C7E" w14:textId="77777777" w:rsidR="008F7A9E" w:rsidRPr="008F7A9E" w:rsidRDefault="008F7A9E" w:rsidP="008F7A9E">
            <w:pPr>
              <w:jc w:val="right"/>
              <w:rPr>
                <w:rFonts w:ascii="Arial Narrow" w:hAnsi="Arial Narrow" w:cs="Calibri"/>
                <w:sz w:val="16"/>
                <w:szCs w:val="16"/>
              </w:rPr>
            </w:pPr>
            <w:r w:rsidRPr="008F7A9E">
              <w:rPr>
                <w:rFonts w:ascii="Arial Narrow" w:hAnsi="Arial Narrow" w:cs="Calibri"/>
                <w:sz w:val="16"/>
                <w:szCs w:val="16"/>
              </w:rPr>
              <w:t>19,4</w:t>
            </w:r>
          </w:p>
        </w:tc>
      </w:tr>
      <w:tr w:rsidR="008F7A9E" w:rsidRPr="00B10684" w14:paraId="722B0A5D" w14:textId="77777777" w:rsidTr="005A18A5">
        <w:trPr>
          <w:trHeight w:val="251"/>
        </w:trPr>
        <w:tc>
          <w:tcPr>
            <w:tcW w:w="748" w:type="dxa"/>
            <w:tcBorders>
              <w:top w:val="nil"/>
              <w:left w:val="single" w:sz="4" w:space="0" w:color="auto"/>
              <w:bottom w:val="single" w:sz="4" w:space="0" w:color="auto"/>
              <w:right w:val="single" w:sz="4" w:space="0" w:color="auto"/>
            </w:tcBorders>
            <w:shd w:val="clear" w:color="auto" w:fill="auto"/>
            <w:vAlign w:val="center"/>
            <w:hideMark/>
          </w:tcPr>
          <w:p w14:paraId="081DF821" w14:textId="77777777" w:rsidR="008F7A9E" w:rsidRPr="008F7A9E" w:rsidRDefault="008F7A9E" w:rsidP="008F7A9E">
            <w:pPr>
              <w:rPr>
                <w:rFonts w:ascii="Arial Narrow" w:hAnsi="Arial Narrow" w:cs="Calibri"/>
                <w:sz w:val="16"/>
                <w:szCs w:val="16"/>
              </w:rPr>
            </w:pPr>
            <w:r w:rsidRPr="008F7A9E">
              <w:rPr>
                <w:rFonts w:ascii="Arial Narrow" w:hAnsi="Arial Narrow" w:cs="Calibri"/>
                <w:sz w:val="16"/>
                <w:szCs w:val="16"/>
              </w:rPr>
              <w:t>06.4/2</w:t>
            </w:r>
          </w:p>
        </w:tc>
        <w:tc>
          <w:tcPr>
            <w:tcW w:w="4419" w:type="dxa"/>
            <w:tcBorders>
              <w:top w:val="nil"/>
              <w:left w:val="nil"/>
              <w:bottom w:val="single" w:sz="4" w:space="0" w:color="auto"/>
              <w:right w:val="single" w:sz="4" w:space="0" w:color="auto"/>
            </w:tcBorders>
            <w:shd w:val="clear" w:color="auto" w:fill="auto"/>
            <w:vAlign w:val="center"/>
            <w:hideMark/>
          </w:tcPr>
          <w:p w14:paraId="00C4B560" w14:textId="77777777" w:rsidR="008F7A9E" w:rsidRPr="008F7A9E" w:rsidRDefault="008F7A9E" w:rsidP="008F7A9E">
            <w:pPr>
              <w:ind w:firstLineChars="200" w:firstLine="320"/>
              <w:rPr>
                <w:rFonts w:ascii="Arial Narrow" w:hAnsi="Arial Narrow" w:cs="Calibri"/>
                <w:sz w:val="16"/>
                <w:szCs w:val="16"/>
              </w:rPr>
            </w:pPr>
            <w:r w:rsidRPr="008F7A9E">
              <w:rPr>
                <w:rFonts w:ascii="Arial Narrow" w:hAnsi="Arial Narrow" w:cs="Calibri"/>
                <w:sz w:val="16"/>
                <w:szCs w:val="16"/>
              </w:rPr>
              <w:t>Друго грозде</w:t>
            </w:r>
          </w:p>
        </w:tc>
        <w:tc>
          <w:tcPr>
            <w:tcW w:w="1185" w:type="dxa"/>
            <w:tcBorders>
              <w:top w:val="nil"/>
              <w:left w:val="nil"/>
              <w:bottom w:val="single" w:sz="4" w:space="0" w:color="auto"/>
              <w:right w:val="single" w:sz="4" w:space="0" w:color="auto"/>
            </w:tcBorders>
            <w:shd w:val="clear" w:color="auto" w:fill="auto"/>
            <w:vAlign w:val="center"/>
            <w:hideMark/>
          </w:tcPr>
          <w:p w14:paraId="156EDDDF" w14:textId="77777777" w:rsidR="008F7A9E" w:rsidRPr="008F7A9E" w:rsidRDefault="008F7A9E" w:rsidP="008F7A9E">
            <w:pPr>
              <w:jc w:val="right"/>
              <w:rPr>
                <w:rFonts w:ascii="Arial Narrow" w:hAnsi="Arial Narrow" w:cs="Calibri"/>
                <w:sz w:val="16"/>
                <w:szCs w:val="16"/>
              </w:rPr>
            </w:pPr>
            <w:r w:rsidRPr="008F7A9E">
              <w:rPr>
                <w:rFonts w:ascii="Arial Narrow" w:hAnsi="Arial Narrow" w:cs="Calibri"/>
                <w:sz w:val="16"/>
                <w:szCs w:val="16"/>
              </w:rPr>
              <w:t>92,6</w:t>
            </w:r>
          </w:p>
        </w:tc>
        <w:tc>
          <w:tcPr>
            <w:tcW w:w="1028" w:type="dxa"/>
            <w:tcBorders>
              <w:top w:val="nil"/>
              <w:left w:val="nil"/>
              <w:bottom w:val="single" w:sz="4" w:space="0" w:color="auto"/>
              <w:right w:val="single" w:sz="4" w:space="0" w:color="auto"/>
            </w:tcBorders>
            <w:shd w:val="clear" w:color="auto" w:fill="auto"/>
            <w:vAlign w:val="center"/>
            <w:hideMark/>
          </w:tcPr>
          <w:p w14:paraId="59427E1E" w14:textId="77777777" w:rsidR="008F7A9E" w:rsidRPr="008F7A9E" w:rsidRDefault="008F7A9E" w:rsidP="008F7A9E">
            <w:pPr>
              <w:jc w:val="right"/>
              <w:rPr>
                <w:rFonts w:ascii="Arial Narrow" w:hAnsi="Arial Narrow" w:cs="Calibri"/>
                <w:sz w:val="16"/>
                <w:szCs w:val="16"/>
              </w:rPr>
            </w:pPr>
            <w:r w:rsidRPr="008F7A9E">
              <w:rPr>
                <w:rFonts w:ascii="Arial Narrow" w:hAnsi="Arial Narrow" w:cs="Calibri"/>
                <w:sz w:val="16"/>
                <w:szCs w:val="16"/>
              </w:rPr>
              <w:t>-2,4</w:t>
            </w:r>
          </w:p>
        </w:tc>
        <w:tc>
          <w:tcPr>
            <w:tcW w:w="1217" w:type="dxa"/>
            <w:tcBorders>
              <w:top w:val="nil"/>
              <w:left w:val="nil"/>
              <w:bottom w:val="single" w:sz="4" w:space="0" w:color="auto"/>
              <w:right w:val="single" w:sz="4" w:space="0" w:color="auto"/>
            </w:tcBorders>
            <w:shd w:val="clear" w:color="auto" w:fill="auto"/>
            <w:vAlign w:val="center"/>
            <w:hideMark/>
          </w:tcPr>
          <w:p w14:paraId="66ED1C86" w14:textId="77777777" w:rsidR="008F7A9E" w:rsidRPr="008F7A9E" w:rsidRDefault="008F7A9E" w:rsidP="008F7A9E">
            <w:pPr>
              <w:jc w:val="right"/>
              <w:rPr>
                <w:rFonts w:ascii="Arial Narrow" w:hAnsi="Arial Narrow" w:cs="Calibri"/>
                <w:sz w:val="16"/>
                <w:szCs w:val="16"/>
              </w:rPr>
            </w:pPr>
            <w:r w:rsidRPr="008F7A9E">
              <w:rPr>
                <w:rFonts w:ascii="Arial Narrow" w:hAnsi="Arial Narrow" w:cs="Calibri"/>
                <w:sz w:val="16"/>
                <w:szCs w:val="16"/>
              </w:rPr>
              <w:t>90,4</w:t>
            </w:r>
          </w:p>
        </w:tc>
        <w:tc>
          <w:tcPr>
            <w:tcW w:w="1075" w:type="dxa"/>
            <w:tcBorders>
              <w:top w:val="nil"/>
              <w:left w:val="nil"/>
              <w:bottom w:val="single" w:sz="4" w:space="0" w:color="auto"/>
              <w:right w:val="single" w:sz="4" w:space="0" w:color="auto"/>
            </w:tcBorders>
            <w:shd w:val="clear" w:color="auto" w:fill="auto"/>
            <w:vAlign w:val="center"/>
            <w:hideMark/>
          </w:tcPr>
          <w:p w14:paraId="316C3E1C" w14:textId="77777777" w:rsidR="008F7A9E" w:rsidRPr="008F7A9E" w:rsidRDefault="008F7A9E" w:rsidP="008F7A9E">
            <w:pPr>
              <w:jc w:val="right"/>
              <w:rPr>
                <w:rFonts w:ascii="Arial Narrow" w:hAnsi="Arial Narrow" w:cs="Calibri"/>
                <w:sz w:val="16"/>
                <w:szCs w:val="16"/>
              </w:rPr>
            </w:pPr>
            <w:r w:rsidRPr="008F7A9E">
              <w:rPr>
                <w:rFonts w:ascii="Arial Narrow" w:hAnsi="Arial Narrow" w:cs="Calibri"/>
                <w:sz w:val="16"/>
                <w:szCs w:val="16"/>
              </w:rPr>
              <w:t>4,8</w:t>
            </w:r>
          </w:p>
        </w:tc>
        <w:tc>
          <w:tcPr>
            <w:tcW w:w="1233" w:type="dxa"/>
            <w:tcBorders>
              <w:top w:val="nil"/>
              <w:left w:val="nil"/>
              <w:bottom w:val="single" w:sz="4" w:space="0" w:color="auto"/>
              <w:right w:val="single" w:sz="4" w:space="0" w:color="auto"/>
            </w:tcBorders>
            <w:shd w:val="clear" w:color="auto" w:fill="auto"/>
            <w:vAlign w:val="center"/>
            <w:hideMark/>
          </w:tcPr>
          <w:p w14:paraId="20979490" w14:textId="77777777" w:rsidR="008F7A9E" w:rsidRPr="008F7A9E" w:rsidRDefault="008F7A9E" w:rsidP="008F7A9E">
            <w:pPr>
              <w:jc w:val="right"/>
              <w:rPr>
                <w:rFonts w:ascii="Arial Narrow" w:hAnsi="Arial Narrow" w:cs="Calibri"/>
                <w:sz w:val="16"/>
                <w:szCs w:val="16"/>
              </w:rPr>
            </w:pPr>
            <w:r w:rsidRPr="008F7A9E">
              <w:rPr>
                <w:rFonts w:ascii="Arial Narrow" w:hAnsi="Arial Narrow" w:cs="Calibri"/>
                <w:sz w:val="16"/>
                <w:szCs w:val="16"/>
              </w:rPr>
              <w:t>94,7</w:t>
            </w:r>
          </w:p>
        </w:tc>
      </w:tr>
      <w:tr w:rsidR="008F7A9E" w:rsidRPr="00B10684" w14:paraId="10DF935E" w14:textId="77777777" w:rsidTr="005A18A5">
        <w:trPr>
          <w:trHeight w:val="251"/>
        </w:trPr>
        <w:tc>
          <w:tcPr>
            <w:tcW w:w="748" w:type="dxa"/>
            <w:tcBorders>
              <w:top w:val="nil"/>
              <w:left w:val="single" w:sz="4" w:space="0" w:color="auto"/>
              <w:bottom w:val="single" w:sz="4" w:space="0" w:color="auto"/>
              <w:right w:val="single" w:sz="4" w:space="0" w:color="auto"/>
            </w:tcBorders>
            <w:shd w:val="clear" w:color="auto" w:fill="auto"/>
            <w:vAlign w:val="center"/>
            <w:hideMark/>
          </w:tcPr>
          <w:p w14:paraId="78397882" w14:textId="77777777" w:rsidR="008F7A9E" w:rsidRPr="008F7A9E" w:rsidRDefault="008F7A9E" w:rsidP="008F7A9E">
            <w:pPr>
              <w:rPr>
                <w:rFonts w:ascii="Arial Narrow" w:hAnsi="Arial Narrow" w:cs="Calibri"/>
                <w:sz w:val="16"/>
                <w:szCs w:val="16"/>
              </w:rPr>
            </w:pPr>
            <w:r w:rsidRPr="008F7A9E">
              <w:rPr>
                <w:rFonts w:ascii="Arial Narrow" w:hAnsi="Arial Narrow" w:cs="Calibri"/>
                <w:sz w:val="16"/>
                <w:szCs w:val="16"/>
              </w:rPr>
              <w:t>07</w:t>
            </w:r>
          </w:p>
        </w:tc>
        <w:tc>
          <w:tcPr>
            <w:tcW w:w="4419" w:type="dxa"/>
            <w:tcBorders>
              <w:top w:val="nil"/>
              <w:left w:val="nil"/>
              <w:bottom w:val="single" w:sz="4" w:space="0" w:color="auto"/>
              <w:right w:val="single" w:sz="4" w:space="0" w:color="auto"/>
            </w:tcBorders>
            <w:shd w:val="clear" w:color="auto" w:fill="auto"/>
            <w:vAlign w:val="center"/>
            <w:hideMark/>
          </w:tcPr>
          <w:p w14:paraId="4FD114A1" w14:textId="77777777" w:rsidR="008F7A9E" w:rsidRPr="008F7A9E" w:rsidRDefault="008F7A9E" w:rsidP="008F7A9E">
            <w:pPr>
              <w:rPr>
                <w:rFonts w:ascii="Arial Narrow" w:hAnsi="Arial Narrow" w:cs="Calibri"/>
                <w:sz w:val="16"/>
                <w:szCs w:val="16"/>
              </w:rPr>
            </w:pPr>
            <w:r w:rsidRPr="008F7A9E">
              <w:rPr>
                <w:rFonts w:ascii="Arial Narrow" w:hAnsi="Arial Narrow" w:cs="Calibri"/>
                <w:sz w:val="16"/>
                <w:szCs w:val="16"/>
              </w:rPr>
              <w:t>Вино</w:t>
            </w:r>
          </w:p>
        </w:tc>
        <w:tc>
          <w:tcPr>
            <w:tcW w:w="1185" w:type="dxa"/>
            <w:tcBorders>
              <w:top w:val="nil"/>
              <w:left w:val="nil"/>
              <w:bottom w:val="single" w:sz="4" w:space="0" w:color="auto"/>
              <w:right w:val="single" w:sz="4" w:space="0" w:color="auto"/>
            </w:tcBorders>
            <w:shd w:val="clear" w:color="auto" w:fill="auto"/>
            <w:vAlign w:val="center"/>
            <w:hideMark/>
          </w:tcPr>
          <w:p w14:paraId="231132A4" w14:textId="77777777" w:rsidR="008F7A9E" w:rsidRPr="008F7A9E" w:rsidRDefault="008F7A9E" w:rsidP="008F7A9E">
            <w:pPr>
              <w:jc w:val="right"/>
              <w:rPr>
                <w:rFonts w:ascii="Arial Narrow" w:hAnsi="Arial Narrow" w:cs="Calibri"/>
                <w:sz w:val="16"/>
                <w:szCs w:val="16"/>
              </w:rPr>
            </w:pPr>
            <w:r w:rsidRPr="008F7A9E">
              <w:rPr>
                <w:rFonts w:ascii="Arial Narrow" w:hAnsi="Arial Narrow" w:cs="Calibri"/>
                <w:sz w:val="16"/>
                <w:szCs w:val="16"/>
              </w:rPr>
              <w:t> </w:t>
            </w:r>
          </w:p>
        </w:tc>
        <w:tc>
          <w:tcPr>
            <w:tcW w:w="1028" w:type="dxa"/>
            <w:tcBorders>
              <w:top w:val="nil"/>
              <w:left w:val="nil"/>
              <w:bottom w:val="single" w:sz="4" w:space="0" w:color="auto"/>
              <w:right w:val="single" w:sz="4" w:space="0" w:color="auto"/>
            </w:tcBorders>
            <w:shd w:val="clear" w:color="auto" w:fill="auto"/>
            <w:vAlign w:val="center"/>
            <w:hideMark/>
          </w:tcPr>
          <w:p w14:paraId="65D0825C" w14:textId="77777777" w:rsidR="008F7A9E" w:rsidRPr="008F7A9E" w:rsidRDefault="008F7A9E" w:rsidP="008F7A9E">
            <w:pPr>
              <w:rPr>
                <w:rFonts w:ascii="Arial Narrow" w:hAnsi="Arial Narrow" w:cs="Calibri"/>
                <w:sz w:val="16"/>
                <w:szCs w:val="16"/>
              </w:rPr>
            </w:pPr>
            <w:r w:rsidRPr="008F7A9E">
              <w:rPr>
                <w:rFonts w:ascii="Arial Narrow" w:hAnsi="Arial Narrow" w:cs="Calibri"/>
                <w:sz w:val="16"/>
                <w:szCs w:val="16"/>
              </w:rPr>
              <w:t> </w:t>
            </w:r>
          </w:p>
        </w:tc>
        <w:tc>
          <w:tcPr>
            <w:tcW w:w="1217" w:type="dxa"/>
            <w:tcBorders>
              <w:top w:val="nil"/>
              <w:left w:val="nil"/>
              <w:bottom w:val="single" w:sz="4" w:space="0" w:color="auto"/>
              <w:right w:val="single" w:sz="4" w:space="0" w:color="auto"/>
            </w:tcBorders>
            <w:shd w:val="clear" w:color="auto" w:fill="auto"/>
            <w:vAlign w:val="center"/>
            <w:hideMark/>
          </w:tcPr>
          <w:p w14:paraId="0B25F9E3" w14:textId="77777777" w:rsidR="008F7A9E" w:rsidRPr="008F7A9E" w:rsidRDefault="008F7A9E" w:rsidP="008F7A9E">
            <w:pPr>
              <w:jc w:val="right"/>
              <w:rPr>
                <w:rFonts w:ascii="Arial Narrow" w:hAnsi="Arial Narrow" w:cs="Calibri"/>
                <w:sz w:val="16"/>
                <w:szCs w:val="16"/>
              </w:rPr>
            </w:pPr>
            <w:r w:rsidRPr="008F7A9E">
              <w:rPr>
                <w:rFonts w:ascii="Arial Narrow" w:hAnsi="Arial Narrow" w:cs="Calibri"/>
                <w:sz w:val="16"/>
                <w:szCs w:val="16"/>
              </w:rPr>
              <w:t> </w:t>
            </w:r>
          </w:p>
        </w:tc>
        <w:tc>
          <w:tcPr>
            <w:tcW w:w="1075" w:type="dxa"/>
            <w:tcBorders>
              <w:top w:val="nil"/>
              <w:left w:val="nil"/>
              <w:bottom w:val="single" w:sz="4" w:space="0" w:color="auto"/>
              <w:right w:val="single" w:sz="4" w:space="0" w:color="auto"/>
            </w:tcBorders>
            <w:shd w:val="clear" w:color="auto" w:fill="auto"/>
            <w:vAlign w:val="center"/>
            <w:hideMark/>
          </w:tcPr>
          <w:p w14:paraId="4AF0339C" w14:textId="77777777" w:rsidR="008F7A9E" w:rsidRPr="008F7A9E" w:rsidRDefault="008F7A9E" w:rsidP="008F7A9E">
            <w:pPr>
              <w:rPr>
                <w:rFonts w:ascii="Arial Narrow" w:hAnsi="Arial Narrow" w:cs="Calibri"/>
                <w:sz w:val="16"/>
                <w:szCs w:val="16"/>
              </w:rPr>
            </w:pPr>
            <w:r w:rsidRPr="008F7A9E">
              <w:rPr>
                <w:rFonts w:ascii="Arial Narrow" w:hAnsi="Arial Narrow" w:cs="Calibri"/>
                <w:sz w:val="16"/>
                <w:szCs w:val="16"/>
              </w:rPr>
              <w:t> </w:t>
            </w:r>
          </w:p>
        </w:tc>
        <w:tc>
          <w:tcPr>
            <w:tcW w:w="1233" w:type="dxa"/>
            <w:tcBorders>
              <w:top w:val="nil"/>
              <w:left w:val="nil"/>
              <w:bottom w:val="single" w:sz="4" w:space="0" w:color="auto"/>
              <w:right w:val="single" w:sz="4" w:space="0" w:color="auto"/>
            </w:tcBorders>
            <w:shd w:val="clear" w:color="auto" w:fill="auto"/>
            <w:vAlign w:val="center"/>
            <w:hideMark/>
          </w:tcPr>
          <w:p w14:paraId="7BF8BFB6" w14:textId="77777777" w:rsidR="008F7A9E" w:rsidRPr="008F7A9E" w:rsidRDefault="008F7A9E" w:rsidP="008F7A9E">
            <w:pPr>
              <w:jc w:val="right"/>
              <w:rPr>
                <w:rFonts w:ascii="Arial Narrow" w:hAnsi="Arial Narrow" w:cs="Calibri"/>
                <w:sz w:val="16"/>
                <w:szCs w:val="16"/>
              </w:rPr>
            </w:pPr>
            <w:r w:rsidRPr="008F7A9E">
              <w:rPr>
                <w:rFonts w:ascii="Arial Narrow" w:hAnsi="Arial Narrow" w:cs="Calibri"/>
                <w:sz w:val="16"/>
                <w:szCs w:val="16"/>
              </w:rPr>
              <w:t> </w:t>
            </w:r>
          </w:p>
        </w:tc>
      </w:tr>
      <w:tr w:rsidR="008F7A9E" w:rsidRPr="00B10684" w14:paraId="584D2543" w14:textId="77777777" w:rsidTr="005A18A5">
        <w:trPr>
          <w:trHeight w:val="251"/>
        </w:trPr>
        <w:tc>
          <w:tcPr>
            <w:tcW w:w="748" w:type="dxa"/>
            <w:tcBorders>
              <w:top w:val="nil"/>
              <w:left w:val="single" w:sz="4" w:space="0" w:color="auto"/>
              <w:bottom w:val="single" w:sz="4" w:space="0" w:color="auto"/>
              <w:right w:val="single" w:sz="4" w:space="0" w:color="auto"/>
            </w:tcBorders>
            <w:shd w:val="clear" w:color="auto" w:fill="auto"/>
            <w:vAlign w:val="center"/>
            <w:hideMark/>
          </w:tcPr>
          <w:p w14:paraId="6C254680" w14:textId="77777777" w:rsidR="008F7A9E" w:rsidRPr="008F7A9E" w:rsidRDefault="008F7A9E" w:rsidP="008F7A9E">
            <w:pPr>
              <w:rPr>
                <w:rFonts w:ascii="Arial Narrow" w:hAnsi="Arial Narrow" w:cs="Calibri"/>
                <w:sz w:val="16"/>
                <w:szCs w:val="16"/>
              </w:rPr>
            </w:pPr>
            <w:r w:rsidRPr="008F7A9E">
              <w:rPr>
                <w:rFonts w:ascii="Arial Narrow" w:hAnsi="Arial Narrow" w:cs="Calibri"/>
                <w:sz w:val="16"/>
                <w:szCs w:val="16"/>
              </w:rPr>
              <w:t>07.1</w:t>
            </w:r>
          </w:p>
        </w:tc>
        <w:tc>
          <w:tcPr>
            <w:tcW w:w="4419" w:type="dxa"/>
            <w:tcBorders>
              <w:top w:val="nil"/>
              <w:left w:val="nil"/>
              <w:bottom w:val="single" w:sz="4" w:space="0" w:color="auto"/>
              <w:right w:val="single" w:sz="4" w:space="0" w:color="auto"/>
            </w:tcBorders>
            <w:shd w:val="clear" w:color="auto" w:fill="auto"/>
            <w:vAlign w:val="center"/>
            <w:hideMark/>
          </w:tcPr>
          <w:p w14:paraId="6D0E9608" w14:textId="77777777" w:rsidR="008F7A9E" w:rsidRPr="008F7A9E" w:rsidRDefault="008F7A9E" w:rsidP="008F7A9E">
            <w:pPr>
              <w:ind w:firstLineChars="100" w:firstLine="160"/>
              <w:rPr>
                <w:rFonts w:ascii="Arial Narrow" w:hAnsi="Arial Narrow" w:cs="Calibri"/>
                <w:sz w:val="16"/>
                <w:szCs w:val="16"/>
              </w:rPr>
            </w:pPr>
            <w:r w:rsidRPr="008F7A9E">
              <w:rPr>
                <w:rFonts w:ascii="Arial Narrow" w:hAnsi="Arial Narrow" w:cs="Calibri"/>
                <w:sz w:val="16"/>
                <w:szCs w:val="16"/>
              </w:rPr>
              <w:t>Трапезно вино</w:t>
            </w:r>
          </w:p>
        </w:tc>
        <w:tc>
          <w:tcPr>
            <w:tcW w:w="1185" w:type="dxa"/>
            <w:tcBorders>
              <w:top w:val="nil"/>
              <w:left w:val="nil"/>
              <w:bottom w:val="single" w:sz="4" w:space="0" w:color="auto"/>
              <w:right w:val="single" w:sz="4" w:space="0" w:color="auto"/>
            </w:tcBorders>
            <w:shd w:val="clear" w:color="auto" w:fill="auto"/>
            <w:vAlign w:val="center"/>
            <w:hideMark/>
          </w:tcPr>
          <w:p w14:paraId="639EA2B8" w14:textId="77777777" w:rsidR="008F7A9E" w:rsidRPr="008F7A9E" w:rsidRDefault="008F7A9E" w:rsidP="008F7A9E">
            <w:pPr>
              <w:jc w:val="right"/>
              <w:rPr>
                <w:rFonts w:ascii="Arial Narrow" w:hAnsi="Arial Narrow" w:cs="Calibri"/>
                <w:sz w:val="16"/>
                <w:szCs w:val="16"/>
              </w:rPr>
            </w:pPr>
            <w:r w:rsidRPr="008F7A9E">
              <w:rPr>
                <w:rFonts w:ascii="Arial Narrow" w:hAnsi="Arial Narrow" w:cs="Calibri"/>
                <w:sz w:val="16"/>
                <w:szCs w:val="16"/>
              </w:rPr>
              <w:t> </w:t>
            </w:r>
          </w:p>
        </w:tc>
        <w:tc>
          <w:tcPr>
            <w:tcW w:w="1028" w:type="dxa"/>
            <w:tcBorders>
              <w:top w:val="nil"/>
              <w:left w:val="nil"/>
              <w:bottom w:val="single" w:sz="4" w:space="0" w:color="auto"/>
              <w:right w:val="single" w:sz="4" w:space="0" w:color="auto"/>
            </w:tcBorders>
            <w:shd w:val="clear" w:color="auto" w:fill="auto"/>
            <w:vAlign w:val="center"/>
            <w:hideMark/>
          </w:tcPr>
          <w:p w14:paraId="57D569C0" w14:textId="77777777" w:rsidR="008F7A9E" w:rsidRPr="008F7A9E" w:rsidRDefault="008F7A9E" w:rsidP="008F7A9E">
            <w:pPr>
              <w:rPr>
                <w:rFonts w:ascii="Arial Narrow" w:hAnsi="Arial Narrow" w:cs="Calibri"/>
                <w:sz w:val="16"/>
                <w:szCs w:val="16"/>
              </w:rPr>
            </w:pPr>
            <w:r w:rsidRPr="008F7A9E">
              <w:rPr>
                <w:rFonts w:ascii="Arial Narrow" w:hAnsi="Arial Narrow" w:cs="Calibri"/>
                <w:sz w:val="16"/>
                <w:szCs w:val="16"/>
              </w:rPr>
              <w:t> </w:t>
            </w:r>
          </w:p>
        </w:tc>
        <w:tc>
          <w:tcPr>
            <w:tcW w:w="1217" w:type="dxa"/>
            <w:tcBorders>
              <w:top w:val="nil"/>
              <w:left w:val="nil"/>
              <w:bottom w:val="single" w:sz="4" w:space="0" w:color="auto"/>
              <w:right w:val="single" w:sz="4" w:space="0" w:color="auto"/>
            </w:tcBorders>
            <w:shd w:val="clear" w:color="auto" w:fill="auto"/>
            <w:vAlign w:val="center"/>
            <w:hideMark/>
          </w:tcPr>
          <w:p w14:paraId="3146BCB9" w14:textId="77777777" w:rsidR="008F7A9E" w:rsidRPr="008F7A9E" w:rsidRDefault="008F7A9E" w:rsidP="008F7A9E">
            <w:pPr>
              <w:jc w:val="right"/>
              <w:rPr>
                <w:rFonts w:ascii="Arial Narrow" w:hAnsi="Arial Narrow" w:cs="Calibri"/>
                <w:sz w:val="16"/>
                <w:szCs w:val="16"/>
              </w:rPr>
            </w:pPr>
            <w:r w:rsidRPr="008F7A9E">
              <w:rPr>
                <w:rFonts w:ascii="Arial Narrow" w:hAnsi="Arial Narrow" w:cs="Calibri"/>
                <w:sz w:val="16"/>
                <w:szCs w:val="16"/>
              </w:rPr>
              <w:t> </w:t>
            </w:r>
          </w:p>
        </w:tc>
        <w:tc>
          <w:tcPr>
            <w:tcW w:w="1075" w:type="dxa"/>
            <w:tcBorders>
              <w:top w:val="nil"/>
              <w:left w:val="nil"/>
              <w:bottom w:val="single" w:sz="4" w:space="0" w:color="auto"/>
              <w:right w:val="single" w:sz="4" w:space="0" w:color="auto"/>
            </w:tcBorders>
            <w:shd w:val="clear" w:color="auto" w:fill="auto"/>
            <w:vAlign w:val="center"/>
            <w:hideMark/>
          </w:tcPr>
          <w:p w14:paraId="01C2D41C" w14:textId="77777777" w:rsidR="008F7A9E" w:rsidRPr="008F7A9E" w:rsidRDefault="008F7A9E" w:rsidP="008F7A9E">
            <w:pPr>
              <w:rPr>
                <w:rFonts w:ascii="Arial Narrow" w:hAnsi="Arial Narrow" w:cs="Calibri"/>
                <w:sz w:val="16"/>
                <w:szCs w:val="16"/>
              </w:rPr>
            </w:pPr>
            <w:r w:rsidRPr="008F7A9E">
              <w:rPr>
                <w:rFonts w:ascii="Arial Narrow" w:hAnsi="Arial Narrow" w:cs="Calibri"/>
                <w:sz w:val="16"/>
                <w:szCs w:val="16"/>
              </w:rPr>
              <w:t> </w:t>
            </w:r>
          </w:p>
        </w:tc>
        <w:tc>
          <w:tcPr>
            <w:tcW w:w="1233" w:type="dxa"/>
            <w:tcBorders>
              <w:top w:val="nil"/>
              <w:left w:val="nil"/>
              <w:bottom w:val="single" w:sz="4" w:space="0" w:color="auto"/>
              <w:right w:val="single" w:sz="4" w:space="0" w:color="auto"/>
            </w:tcBorders>
            <w:shd w:val="clear" w:color="auto" w:fill="auto"/>
            <w:vAlign w:val="center"/>
            <w:hideMark/>
          </w:tcPr>
          <w:p w14:paraId="2A4FF3EA" w14:textId="77777777" w:rsidR="008F7A9E" w:rsidRPr="008F7A9E" w:rsidRDefault="008F7A9E" w:rsidP="008F7A9E">
            <w:pPr>
              <w:jc w:val="right"/>
              <w:rPr>
                <w:rFonts w:ascii="Arial Narrow" w:hAnsi="Arial Narrow" w:cs="Calibri"/>
                <w:sz w:val="16"/>
                <w:szCs w:val="16"/>
              </w:rPr>
            </w:pPr>
            <w:r w:rsidRPr="008F7A9E">
              <w:rPr>
                <w:rFonts w:ascii="Arial Narrow" w:hAnsi="Arial Narrow" w:cs="Calibri"/>
                <w:sz w:val="16"/>
                <w:szCs w:val="16"/>
              </w:rPr>
              <w:t> </w:t>
            </w:r>
          </w:p>
        </w:tc>
      </w:tr>
      <w:tr w:rsidR="008F7A9E" w:rsidRPr="00B10684" w14:paraId="3AECC741" w14:textId="77777777" w:rsidTr="005A18A5">
        <w:trPr>
          <w:trHeight w:val="251"/>
        </w:trPr>
        <w:tc>
          <w:tcPr>
            <w:tcW w:w="748" w:type="dxa"/>
            <w:tcBorders>
              <w:top w:val="nil"/>
              <w:left w:val="single" w:sz="4" w:space="0" w:color="auto"/>
              <w:bottom w:val="single" w:sz="4" w:space="0" w:color="auto"/>
              <w:right w:val="single" w:sz="4" w:space="0" w:color="auto"/>
            </w:tcBorders>
            <w:shd w:val="clear" w:color="auto" w:fill="auto"/>
            <w:vAlign w:val="center"/>
            <w:hideMark/>
          </w:tcPr>
          <w:p w14:paraId="229B503C" w14:textId="77777777" w:rsidR="008F7A9E" w:rsidRPr="008F7A9E" w:rsidRDefault="008F7A9E" w:rsidP="008F7A9E">
            <w:pPr>
              <w:rPr>
                <w:rFonts w:ascii="Arial Narrow" w:hAnsi="Arial Narrow" w:cs="Calibri"/>
                <w:sz w:val="16"/>
                <w:szCs w:val="16"/>
              </w:rPr>
            </w:pPr>
            <w:r w:rsidRPr="008F7A9E">
              <w:rPr>
                <w:rFonts w:ascii="Arial Narrow" w:hAnsi="Arial Narrow" w:cs="Calibri"/>
                <w:sz w:val="16"/>
                <w:szCs w:val="16"/>
              </w:rPr>
              <w:t>09</w:t>
            </w:r>
          </w:p>
        </w:tc>
        <w:tc>
          <w:tcPr>
            <w:tcW w:w="4419" w:type="dxa"/>
            <w:tcBorders>
              <w:top w:val="nil"/>
              <w:left w:val="nil"/>
              <w:bottom w:val="single" w:sz="4" w:space="0" w:color="auto"/>
              <w:right w:val="single" w:sz="4" w:space="0" w:color="auto"/>
            </w:tcBorders>
            <w:shd w:val="clear" w:color="auto" w:fill="auto"/>
            <w:vAlign w:val="center"/>
            <w:hideMark/>
          </w:tcPr>
          <w:p w14:paraId="3B61DFEB" w14:textId="77777777" w:rsidR="008F7A9E" w:rsidRPr="008F7A9E" w:rsidRDefault="008F7A9E" w:rsidP="008F7A9E">
            <w:pPr>
              <w:rPr>
                <w:rFonts w:ascii="Arial Narrow" w:hAnsi="Arial Narrow" w:cs="Calibri"/>
                <w:sz w:val="16"/>
                <w:szCs w:val="16"/>
              </w:rPr>
            </w:pPr>
            <w:r w:rsidRPr="008F7A9E">
              <w:rPr>
                <w:rFonts w:ascii="Arial Narrow" w:hAnsi="Arial Narrow" w:cs="Calibri"/>
                <w:sz w:val="16"/>
                <w:szCs w:val="16"/>
              </w:rPr>
              <w:t>Други растениевъдни култури</w:t>
            </w:r>
          </w:p>
        </w:tc>
        <w:tc>
          <w:tcPr>
            <w:tcW w:w="1185" w:type="dxa"/>
            <w:tcBorders>
              <w:top w:val="nil"/>
              <w:left w:val="nil"/>
              <w:bottom w:val="single" w:sz="4" w:space="0" w:color="auto"/>
              <w:right w:val="single" w:sz="4" w:space="0" w:color="auto"/>
            </w:tcBorders>
            <w:shd w:val="clear" w:color="auto" w:fill="auto"/>
            <w:vAlign w:val="center"/>
            <w:hideMark/>
          </w:tcPr>
          <w:p w14:paraId="34D81735" w14:textId="77777777" w:rsidR="008F7A9E" w:rsidRPr="008F7A9E" w:rsidRDefault="008F7A9E" w:rsidP="008F7A9E">
            <w:pPr>
              <w:jc w:val="right"/>
              <w:rPr>
                <w:rFonts w:ascii="Arial Narrow" w:hAnsi="Arial Narrow" w:cs="Calibri"/>
                <w:sz w:val="16"/>
                <w:szCs w:val="16"/>
              </w:rPr>
            </w:pPr>
            <w:r w:rsidRPr="008F7A9E">
              <w:rPr>
                <w:rFonts w:ascii="Arial Narrow" w:hAnsi="Arial Narrow" w:cs="Calibri"/>
                <w:sz w:val="16"/>
                <w:szCs w:val="16"/>
              </w:rPr>
              <w:t>41,3</w:t>
            </w:r>
          </w:p>
        </w:tc>
        <w:tc>
          <w:tcPr>
            <w:tcW w:w="1028" w:type="dxa"/>
            <w:tcBorders>
              <w:top w:val="nil"/>
              <w:left w:val="nil"/>
              <w:bottom w:val="single" w:sz="4" w:space="0" w:color="auto"/>
              <w:right w:val="single" w:sz="4" w:space="0" w:color="auto"/>
            </w:tcBorders>
            <w:shd w:val="clear" w:color="auto" w:fill="auto"/>
            <w:vAlign w:val="center"/>
            <w:hideMark/>
          </w:tcPr>
          <w:p w14:paraId="60FF281D" w14:textId="77777777" w:rsidR="008F7A9E" w:rsidRPr="008F7A9E" w:rsidRDefault="008F7A9E" w:rsidP="008F7A9E">
            <w:pPr>
              <w:jc w:val="right"/>
              <w:rPr>
                <w:rFonts w:ascii="Arial Narrow" w:hAnsi="Arial Narrow" w:cs="Calibri"/>
                <w:sz w:val="16"/>
                <w:szCs w:val="16"/>
              </w:rPr>
            </w:pPr>
            <w:r w:rsidRPr="008F7A9E">
              <w:rPr>
                <w:rFonts w:ascii="Arial Narrow" w:hAnsi="Arial Narrow" w:cs="Calibri"/>
                <w:sz w:val="16"/>
                <w:szCs w:val="16"/>
              </w:rPr>
              <w:t>25,2</w:t>
            </w:r>
          </w:p>
        </w:tc>
        <w:tc>
          <w:tcPr>
            <w:tcW w:w="1217" w:type="dxa"/>
            <w:tcBorders>
              <w:top w:val="nil"/>
              <w:left w:val="nil"/>
              <w:bottom w:val="single" w:sz="4" w:space="0" w:color="auto"/>
              <w:right w:val="single" w:sz="4" w:space="0" w:color="auto"/>
            </w:tcBorders>
            <w:shd w:val="clear" w:color="auto" w:fill="auto"/>
            <w:vAlign w:val="center"/>
            <w:hideMark/>
          </w:tcPr>
          <w:p w14:paraId="37B2D4E6" w14:textId="77777777" w:rsidR="008F7A9E" w:rsidRPr="008F7A9E" w:rsidRDefault="008F7A9E" w:rsidP="008F7A9E">
            <w:pPr>
              <w:jc w:val="right"/>
              <w:rPr>
                <w:rFonts w:ascii="Arial Narrow" w:hAnsi="Arial Narrow" w:cs="Calibri"/>
                <w:sz w:val="16"/>
                <w:szCs w:val="16"/>
              </w:rPr>
            </w:pPr>
            <w:r w:rsidRPr="008F7A9E">
              <w:rPr>
                <w:rFonts w:ascii="Arial Narrow" w:hAnsi="Arial Narrow" w:cs="Calibri"/>
                <w:sz w:val="16"/>
                <w:szCs w:val="16"/>
              </w:rPr>
              <w:t>51,7</w:t>
            </w:r>
          </w:p>
        </w:tc>
        <w:tc>
          <w:tcPr>
            <w:tcW w:w="1075" w:type="dxa"/>
            <w:tcBorders>
              <w:top w:val="nil"/>
              <w:left w:val="nil"/>
              <w:bottom w:val="single" w:sz="4" w:space="0" w:color="auto"/>
              <w:right w:val="single" w:sz="4" w:space="0" w:color="auto"/>
            </w:tcBorders>
            <w:shd w:val="clear" w:color="auto" w:fill="auto"/>
            <w:vAlign w:val="center"/>
            <w:hideMark/>
          </w:tcPr>
          <w:p w14:paraId="629E58C4" w14:textId="77777777" w:rsidR="008F7A9E" w:rsidRPr="008F7A9E" w:rsidRDefault="008F7A9E" w:rsidP="008F7A9E">
            <w:pPr>
              <w:jc w:val="right"/>
              <w:rPr>
                <w:rFonts w:ascii="Arial Narrow" w:hAnsi="Arial Narrow" w:cs="Calibri"/>
                <w:sz w:val="16"/>
                <w:szCs w:val="16"/>
              </w:rPr>
            </w:pPr>
            <w:r w:rsidRPr="008F7A9E">
              <w:rPr>
                <w:rFonts w:ascii="Arial Narrow" w:hAnsi="Arial Narrow" w:cs="Calibri"/>
                <w:sz w:val="16"/>
                <w:szCs w:val="16"/>
              </w:rPr>
              <w:t>2,5</w:t>
            </w:r>
          </w:p>
        </w:tc>
        <w:tc>
          <w:tcPr>
            <w:tcW w:w="1233" w:type="dxa"/>
            <w:tcBorders>
              <w:top w:val="nil"/>
              <w:left w:val="nil"/>
              <w:bottom w:val="single" w:sz="4" w:space="0" w:color="auto"/>
              <w:right w:val="single" w:sz="4" w:space="0" w:color="auto"/>
            </w:tcBorders>
            <w:shd w:val="clear" w:color="auto" w:fill="auto"/>
            <w:vAlign w:val="center"/>
            <w:hideMark/>
          </w:tcPr>
          <w:p w14:paraId="6FC02F8A" w14:textId="77777777" w:rsidR="008F7A9E" w:rsidRPr="008F7A9E" w:rsidRDefault="008F7A9E" w:rsidP="008F7A9E">
            <w:pPr>
              <w:jc w:val="right"/>
              <w:rPr>
                <w:rFonts w:ascii="Arial Narrow" w:hAnsi="Arial Narrow" w:cs="Calibri"/>
                <w:sz w:val="16"/>
                <w:szCs w:val="16"/>
              </w:rPr>
            </w:pPr>
            <w:r w:rsidRPr="008F7A9E">
              <w:rPr>
                <w:rFonts w:ascii="Arial Narrow" w:hAnsi="Arial Narrow" w:cs="Calibri"/>
                <w:sz w:val="16"/>
                <w:szCs w:val="16"/>
              </w:rPr>
              <w:t>53,0</w:t>
            </w:r>
          </w:p>
        </w:tc>
      </w:tr>
      <w:tr w:rsidR="008F7A9E" w:rsidRPr="00B10684" w14:paraId="6A0A7925" w14:textId="77777777" w:rsidTr="005A18A5">
        <w:trPr>
          <w:trHeight w:val="251"/>
        </w:trPr>
        <w:tc>
          <w:tcPr>
            <w:tcW w:w="748" w:type="dxa"/>
            <w:tcBorders>
              <w:top w:val="nil"/>
              <w:left w:val="single" w:sz="4" w:space="0" w:color="auto"/>
              <w:bottom w:val="single" w:sz="4" w:space="0" w:color="auto"/>
              <w:right w:val="single" w:sz="4" w:space="0" w:color="auto"/>
            </w:tcBorders>
            <w:shd w:val="clear" w:color="auto" w:fill="auto"/>
            <w:vAlign w:val="center"/>
            <w:hideMark/>
          </w:tcPr>
          <w:p w14:paraId="28A4E7D9" w14:textId="77777777" w:rsidR="008F7A9E" w:rsidRPr="008F7A9E" w:rsidRDefault="008F7A9E" w:rsidP="008F7A9E">
            <w:pPr>
              <w:rPr>
                <w:rFonts w:ascii="Arial Narrow" w:hAnsi="Arial Narrow" w:cs="Calibri"/>
                <w:sz w:val="16"/>
                <w:szCs w:val="16"/>
              </w:rPr>
            </w:pPr>
            <w:r w:rsidRPr="008F7A9E">
              <w:rPr>
                <w:rFonts w:ascii="Arial Narrow" w:hAnsi="Arial Narrow" w:cs="Calibri"/>
                <w:sz w:val="16"/>
                <w:szCs w:val="16"/>
              </w:rPr>
              <w:t>09.2</w:t>
            </w:r>
          </w:p>
        </w:tc>
        <w:tc>
          <w:tcPr>
            <w:tcW w:w="4419" w:type="dxa"/>
            <w:tcBorders>
              <w:top w:val="nil"/>
              <w:left w:val="nil"/>
              <w:bottom w:val="single" w:sz="4" w:space="0" w:color="auto"/>
              <w:right w:val="single" w:sz="4" w:space="0" w:color="auto"/>
            </w:tcBorders>
            <w:shd w:val="clear" w:color="auto" w:fill="auto"/>
            <w:vAlign w:val="center"/>
            <w:hideMark/>
          </w:tcPr>
          <w:p w14:paraId="595F4480" w14:textId="77777777" w:rsidR="008F7A9E" w:rsidRPr="008F7A9E" w:rsidRDefault="008F7A9E" w:rsidP="008F7A9E">
            <w:pPr>
              <w:ind w:firstLineChars="100" w:firstLine="160"/>
              <w:rPr>
                <w:rFonts w:ascii="Arial Narrow" w:hAnsi="Arial Narrow" w:cs="Calibri"/>
                <w:sz w:val="16"/>
                <w:szCs w:val="16"/>
              </w:rPr>
            </w:pPr>
            <w:r w:rsidRPr="008F7A9E">
              <w:rPr>
                <w:rFonts w:ascii="Arial Narrow" w:hAnsi="Arial Narrow" w:cs="Calibri"/>
                <w:sz w:val="16"/>
                <w:szCs w:val="16"/>
              </w:rPr>
              <w:t>Семена</w:t>
            </w:r>
          </w:p>
        </w:tc>
        <w:tc>
          <w:tcPr>
            <w:tcW w:w="1185" w:type="dxa"/>
            <w:tcBorders>
              <w:top w:val="nil"/>
              <w:left w:val="nil"/>
              <w:bottom w:val="single" w:sz="4" w:space="0" w:color="auto"/>
              <w:right w:val="single" w:sz="4" w:space="0" w:color="auto"/>
            </w:tcBorders>
            <w:shd w:val="clear" w:color="auto" w:fill="auto"/>
            <w:vAlign w:val="center"/>
            <w:hideMark/>
          </w:tcPr>
          <w:p w14:paraId="36D3C615" w14:textId="77777777" w:rsidR="008F7A9E" w:rsidRPr="008F7A9E" w:rsidRDefault="008F7A9E" w:rsidP="008F7A9E">
            <w:pPr>
              <w:jc w:val="right"/>
              <w:rPr>
                <w:rFonts w:ascii="Arial Narrow" w:hAnsi="Arial Narrow" w:cs="Calibri"/>
                <w:sz w:val="16"/>
                <w:szCs w:val="16"/>
              </w:rPr>
            </w:pPr>
            <w:r w:rsidRPr="008F7A9E">
              <w:rPr>
                <w:rFonts w:ascii="Arial Narrow" w:hAnsi="Arial Narrow" w:cs="Calibri"/>
                <w:sz w:val="16"/>
                <w:szCs w:val="16"/>
              </w:rPr>
              <w:t>41,3</w:t>
            </w:r>
          </w:p>
        </w:tc>
        <w:tc>
          <w:tcPr>
            <w:tcW w:w="1028" w:type="dxa"/>
            <w:tcBorders>
              <w:top w:val="nil"/>
              <w:left w:val="nil"/>
              <w:bottom w:val="single" w:sz="4" w:space="0" w:color="auto"/>
              <w:right w:val="single" w:sz="4" w:space="0" w:color="auto"/>
            </w:tcBorders>
            <w:shd w:val="clear" w:color="auto" w:fill="auto"/>
            <w:vAlign w:val="center"/>
            <w:hideMark/>
          </w:tcPr>
          <w:p w14:paraId="7562D676" w14:textId="77777777" w:rsidR="008F7A9E" w:rsidRPr="008F7A9E" w:rsidRDefault="008F7A9E" w:rsidP="008F7A9E">
            <w:pPr>
              <w:jc w:val="right"/>
              <w:rPr>
                <w:rFonts w:ascii="Arial Narrow" w:hAnsi="Arial Narrow" w:cs="Calibri"/>
                <w:sz w:val="16"/>
                <w:szCs w:val="16"/>
              </w:rPr>
            </w:pPr>
            <w:r w:rsidRPr="008F7A9E">
              <w:rPr>
                <w:rFonts w:ascii="Arial Narrow" w:hAnsi="Arial Narrow" w:cs="Calibri"/>
                <w:sz w:val="16"/>
                <w:szCs w:val="16"/>
              </w:rPr>
              <w:t>25,2</w:t>
            </w:r>
          </w:p>
        </w:tc>
        <w:tc>
          <w:tcPr>
            <w:tcW w:w="1217" w:type="dxa"/>
            <w:tcBorders>
              <w:top w:val="nil"/>
              <w:left w:val="nil"/>
              <w:bottom w:val="single" w:sz="4" w:space="0" w:color="auto"/>
              <w:right w:val="single" w:sz="4" w:space="0" w:color="auto"/>
            </w:tcBorders>
            <w:shd w:val="clear" w:color="auto" w:fill="auto"/>
            <w:vAlign w:val="center"/>
            <w:hideMark/>
          </w:tcPr>
          <w:p w14:paraId="6BCA6DF7" w14:textId="77777777" w:rsidR="008F7A9E" w:rsidRPr="008F7A9E" w:rsidRDefault="008F7A9E" w:rsidP="008F7A9E">
            <w:pPr>
              <w:jc w:val="right"/>
              <w:rPr>
                <w:rFonts w:ascii="Arial Narrow" w:hAnsi="Arial Narrow" w:cs="Calibri"/>
                <w:sz w:val="16"/>
                <w:szCs w:val="16"/>
              </w:rPr>
            </w:pPr>
            <w:r w:rsidRPr="008F7A9E">
              <w:rPr>
                <w:rFonts w:ascii="Arial Narrow" w:hAnsi="Arial Narrow" w:cs="Calibri"/>
                <w:sz w:val="16"/>
                <w:szCs w:val="16"/>
              </w:rPr>
              <w:t>51,7</w:t>
            </w:r>
          </w:p>
        </w:tc>
        <w:tc>
          <w:tcPr>
            <w:tcW w:w="1075" w:type="dxa"/>
            <w:tcBorders>
              <w:top w:val="nil"/>
              <w:left w:val="nil"/>
              <w:bottom w:val="single" w:sz="4" w:space="0" w:color="auto"/>
              <w:right w:val="single" w:sz="4" w:space="0" w:color="auto"/>
            </w:tcBorders>
            <w:shd w:val="clear" w:color="auto" w:fill="auto"/>
            <w:vAlign w:val="center"/>
            <w:hideMark/>
          </w:tcPr>
          <w:p w14:paraId="4FE99BBC" w14:textId="77777777" w:rsidR="008F7A9E" w:rsidRPr="008F7A9E" w:rsidRDefault="008F7A9E" w:rsidP="008F7A9E">
            <w:pPr>
              <w:jc w:val="right"/>
              <w:rPr>
                <w:rFonts w:ascii="Arial Narrow" w:hAnsi="Arial Narrow" w:cs="Calibri"/>
                <w:sz w:val="16"/>
                <w:szCs w:val="16"/>
              </w:rPr>
            </w:pPr>
            <w:r w:rsidRPr="008F7A9E">
              <w:rPr>
                <w:rFonts w:ascii="Arial Narrow" w:hAnsi="Arial Narrow" w:cs="Calibri"/>
                <w:sz w:val="16"/>
                <w:szCs w:val="16"/>
              </w:rPr>
              <w:t>2,5</w:t>
            </w:r>
          </w:p>
        </w:tc>
        <w:tc>
          <w:tcPr>
            <w:tcW w:w="1233" w:type="dxa"/>
            <w:tcBorders>
              <w:top w:val="nil"/>
              <w:left w:val="nil"/>
              <w:bottom w:val="single" w:sz="4" w:space="0" w:color="auto"/>
              <w:right w:val="single" w:sz="4" w:space="0" w:color="auto"/>
            </w:tcBorders>
            <w:shd w:val="clear" w:color="auto" w:fill="auto"/>
            <w:vAlign w:val="center"/>
            <w:hideMark/>
          </w:tcPr>
          <w:p w14:paraId="500850A4" w14:textId="77777777" w:rsidR="008F7A9E" w:rsidRPr="008F7A9E" w:rsidRDefault="008F7A9E" w:rsidP="008F7A9E">
            <w:pPr>
              <w:jc w:val="right"/>
              <w:rPr>
                <w:rFonts w:ascii="Arial Narrow" w:hAnsi="Arial Narrow" w:cs="Calibri"/>
                <w:sz w:val="16"/>
                <w:szCs w:val="16"/>
              </w:rPr>
            </w:pPr>
            <w:r w:rsidRPr="008F7A9E">
              <w:rPr>
                <w:rFonts w:ascii="Arial Narrow" w:hAnsi="Arial Narrow" w:cs="Calibri"/>
                <w:sz w:val="16"/>
                <w:szCs w:val="16"/>
              </w:rPr>
              <w:t>53,0</w:t>
            </w:r>
          </w:p>
        </w:tc>
      </w:tr>
      <w:tr w:rsidR="008F7A9E" w:rsidRPr="00B10684" w14:paraId="219A999D" w14:textId="77777777" w:rsidTr="005A18A5">
        <w:trPr>
          <w:trHeight w:val="251"/>
        </w:trPr>
        <w:tc>
          <w:tcPr>
            <w:tcW w:w="748" w:type="dxa"/>
            <w:tcBorders>
              <w:top w:val="nil"/>
              <w:left w:val="single" w:sz="4" w:space="0" w:color="auto"/>
              <w:bottom w:val="single" w:sz="4" w:space="0" w:color="auto"/>
              <w:right w:val="single" w:sz="4" w:space="0" w:color="auto"/>
            </w:tcBorders>
            <w:shd w:val="clear" w:color="auto" w:fill="auto"/>
            <w:vAlign w:val="center"/>
            <w:hideMark/>
          </w:tcPr>
          <w:p w14:paraId="2ED66AEA" w14:textId="77777777" w:rsidR="008F7A9E" w:rsidRPr="008F7A9E" w:rsidRDefault="008F7A9E" w:rsidP="008F7A9E">
            <w:pPr>
              <w:rPr>
                <w:rFonts w:ascii="Arial Narrow" w:hAnsi="Arial Narrow" w:cs="Calibri"/>
                <w:sz w:val="16"/>
                <w:szCs w:val="16"/>
              </w:rPr>
            </w:pPr>
            <w:r w:rsidRPr="008F7A9E">
              <w:rPr>
                <w:rFonts w:ascii="Arial Narrow" w:hAnsi="Arial Narrow" w:cs="Calibri"/>
                <w:sz w:val="16"/>
                <w:szCs w:val="16"/>
              </w:rPr>
              <w:t>09.3</w:t>
            </w:r>
          </w:p>
        </w:tc>
        <w:tc>
          <w:tcPr>
            <w:tcW w:w="4419" w:type="dxa"/>
            <w:tcBorders>
              <w:top w:val="nil"/>
              <w:left w:val="nil"/>
              <w:bottom w:val="single" w:sz="4" w:space="0" w:color="auto"/>
              <w:right w:val="single" w:sz="4" w:space="0" w:color="auto"/>
            </w:tcBorders>
            <w:shd w:val="clear" w:color="auto" w:fill="auto"/>
            <w:vAlign w:val="center"/>
            <w:hideMark/>
          </w:tcPr>
          <w:p w14:paraId="72D0711D" w14:textId="77777777" w:rsidR="008F7A9E" w:rsidRPr="008F7A9E" w:rsidRDefault="008F7A9E" w:rsidP="008F7A9E">
            <w:pPr>
              <w:ind w:firstLineChars="100" w:firstLine="160"/>
              <w:rPr>
                <w:rFonts w:ascii="Arial Narrow" w:hAnsi="Arial Narrow" w:cs="Calibri"/>
                <w:sz w:val="16"/>
                <w:szCs w:val="16"/>
              </w:rPr>
            </w:pPr>
            <w:r w:rsidRPr="008F7A9E">
              <w:rPr>
                <w:rFonts w:ascii="Arial Narrow" w:hAnsi="Arial Narrow" w:cs="Calibri"/>
                <w:sz w:val="16"/>
                <w:szCs w:val="16"/>
              </w:rPr>
              <w:t>Други растениевъдни продукти</w:t>
            </w:r>
          </w:p>
        </w:tc>
        <w:tc>
          <w:tcPr>
            <w:tcW w:w="1185" w:type="dxa"/>
            <w:tcBorders>
              <w:top w:val="nil"/>
              <w:left w:val="nil"/>
              <w:bottom w:val="single" w:sz="4" w:space="0" w:color="auto"/>
              <w:right w:val="single" w:sz="4" w:space="0" w:color="auto"/>
            </w:tcBorders>
            <w:shd w:val="clear" w:color="auto" w:fill="auto"/>
            <w:vAlign w:val="center"/>
            <w:hideMark/>
          </w:tcPr>
          <w:p w14:paraId="41906B22" w14:textId="77777777" w:rsidR="008F7A9E" w:rsidRPr="008F7A9E" w:rsidRDefault="008F7A9E" w:rsidP="008F7A9E">
            <w:pPr>
              <w:rPr>
                <w:rFonts w:ascii="Arial Narrow" w:hAnsi="Arial Narrow" w:cs="Calibri"/>
                <w:sz w:val="16"/>
                <w:szCs w:val="16"/>
              </w:rPr>
            </w:pPr>
            <w:r w:rsidRPr="008F7A9E">
              <w:rPr>
                <w:rFonts w:ascii="Arial Narrow" w:hAnsi="Arial Narrow" w:cs="Calibri"/>
                <w:sz w:val="16"/>
                <w:szCs w:val="16"/>
              </w:rPr>
              <w:t> </w:t>
            </w:r>
          </w:p>
        </w:tc>
        <w:tc>
          <w:tcPr>
            <w:tcW w:w="1028" w:type="dxa"/>
            <w:tcBorders>
              <w:top w:val="nil"/>
              <w:left w:val="nil"/>
              <w:bottom w:val="single" w:sz="4" w:space="0" w:color="auto"/>
              <w:right w:val="single" w:sz="4" w:space="0" w:color="auto"/>
            </w:tcBorders>
            <w:shd w:val="clear" w:color="auto" w:fill="auto"/>
            <w:vAlign w:val="center"/>
            <w:hideMark/>
          </w:tcPr>
          <w:p w14:paraId="5C6ACC18" w14:textId="77777777" w:rsidR="008F7A9E" w:rsidRPr="008F7A9E" w:rsidRDefault="008F7A9E" w:rsidP="008F7A9E">
            <w:pPr>
              <w:rPr>
                <w:rFonts w:ascii="Arial Narrow" w:hAnsi="Arial Narrow" w:cs="Calibri"/>
                <w:sz w:val="16"/>
                <w:szCs w:val="16"/>
              </w:rPr>
            </w:pPr>
            <w:r w:rsidRPr="008F7A9E">
              <w:rPr>
                <w:rFonts w:ascii="Arial Narrow" w:hAnsi="Arial Narrow" w:cs="Calibri"/>
                <w:sz w:val="16"/>
                <w:szCs w:val="16"/>
              </w:rPr>
              <w:t> </w:t>
            </w:r>
          </w:p>
        </w:tc>
        <w:tc>
          <w:tcPr>
            <w:tcW w:w="1217" w:type="dxa"/>
            <w:tcBorders>
              <w:top w:val="nil"/>
              <w:left w:val="nil"/>
              <w:bottom w:val="single" w:sz="4" w:space="0" w:color="auto"/>
              <w:right w:val="single" w:sz="4" w:space="0" w:color="auto"/>
            </w:tcBorders>
            <w:shd w:val="clear" w:color="auto" w:fill="auto"/>
            <w:vAlign w:val="center"/>
            <w:hideMark/>
          </w:tcPr>
          <w:p w14:paraId="08249F45" w14:textId="77777777" w:rsidR="008F7A9E" w:rsidRPr="008F7A9E" w:rsidRDefault="008F7A9E" w:rsidP="008F7A9E">
            <w:pPr>
              <w:rPr>
                <w:rFonts w:ascii="Arial Narrow" w:hAnsi="Arial Narrow" w:cs="Calibri"/>
                <w:sz w:val="16"/>
                <w:szCs w:val="16"/>
              </w:rPr>
            </w:pPr>
            <w:r w:rsidRPr="008F7A9E">
              <w:rPr>
                <w:rFonts w:ascii="Arial Narrow" w:hAnsi="Arial Narrow" w:cs="Calibri"/>
                <w:sz w:val="16"/>
                <w:szCs w:val="16"/>
              </w:rPr>
              <w:t> </w:t>
            </w:r>
          </w:p>
        </w:tc>
        <w:tc>
          <w:tcPr>
            <w:tcW w:w="1075" w:type="dxa"/>
            <w:tcBorders>
              <w:top w:val="nil"/>
              <w:left w:val="nil"/>
              <w:bottom w:val="single" w:sz="4" w:space="0" w:color="auto"/>
              <w:right w:val="single" w:sz="4" w:space="0" w:color="auto"/>
            </w:tcBorders>
            <w:shd w:val="clear" w:color="auto" w:fill="auto"/>
            <w:vAlign w:val="center"/>
            <w:hideMark/>
          </w:tcPr>
          <w:p w14:paraId="7FFED8C7" w14:textId="77777777" w:rsidR="008F7A9E" w:rsidRPr="008F7A9E" w:rsidRDefault="008F7A9E" w:rsidP="008F7A9E">
            <w:pPr>
              <w:rPr>
                <w:rFonts w:ascii="Arial Narrow" w:hAnsi="Arial Narrow" w:cs="Calibri"/>
                <w:sz w:val="16"/>
                <w:szCs w:val="16"/>
              </w:rPr>
            </w:pPr>
            <w:r w:rsidRPr="008F7A9E">
              <w:rPr>
                <w:rFonts w:ascii="Arial Narrow" w:hAnsi="Arial Narrow" w:cs="Calibri"/>
                <w:sz w:val="16"/>
                <w:szCs w:val="16"/>
              </w:rPr>
              <w:t> </w:t>
            </w:r>
          </w:p>
        </w:tc>
        <w:tc>
          <w:tcPr>
            <w:tcW w:w="1233" w:type="dxa"/>
            <w:tcBorders>
              <w:top w:val="nil"/>
              <w:left w:val="nil"/>
              <w:bottom w:val="single" w:sz="4" w:space="0" w:color="auto"/>
              <w:right w:val="single" w:sz="4" w:space="0" w:color="auto"/>
            </w:tcBorders>
            <w:shd w:val="clear" w:color="auto" w:fill="auto"/>
            <w:vAlign w:val="center"/>
            <w:hideMark/>
          </w:tcPr>
          <w:p w14:paraId="6ECF4BC4" w14:textId="77777777" w:rsidR="008F7A9E" w:rsidRPr="008F7A9E" w:rsidRDefault="008F7A9E" w:rsidP="008F7A9E">
            <w:pPr>
              <w:rPr>
                <w:rFonts w:ascii="Arial Narrow" w:hAnsi="Arial Narrow" w:cs="Calibri"/>
                <w:sz w:val="16"/>
                <w:szCs w:val="16"/>
              </w:rPr>
            </w:pPr>
            <w:r w:rsidRPr="008F7A9E">
              <w:rPr>
                <w:rFonts w:ascii="Arial Narrow" w:hAnsi="Arial Narrow" w:cs="Calibri"/>
                <w:sz w:val="16"/>
                <w:szCs w:val="16"/>
              </w:rPr>
              <w:t> </w:t>
            </w:r>
          </w:p>
        </w:tc>
      </w:tr>
      <w:tr w:rsidR="008F7A9E" w:rsidRPr="00B10684" w14:paraId="63EE5DB1" w14:textId="77777777" w:rsidTr="005A18A5">
        <w:trPr>
          <w:trHeight w:val="283"/>
        </w:trPr>
        <w:tc>
          <w:tcPr>
            <w:tcW w:w="748" w:type="dxa"/>
            <w:tcBorders>
              <w:top w:val="nil"/>
              <w:left w:val="single" w:sz="4" w:space="0" w:color="auto"/>
              <w:bottom w:val="single" w:sz="4" w:space="0" w:color="auto"/>
              <w:right w:val="single" w:sz="4" w:space="0" w:color="auto"/>
            </w:tcBorders>
            <w:shd w:val="clear" w:color="auto" w:fill="auto"/>
            <w:vAlign w:val="center"/>
            <w:hideMark/>
          </w:tcPr>
          <w:p w14:paraId="4303D5CE" w14:textId="77777777" w:rsidR="008F7A9E" w:rsidRPr="008F7A9E" w:rsidRDefault="008F7A9E" w:rsidP="008F7A9E">
            <w:pPr>
              <w:rPr>
                <w:rFonts w:ascii="Arial Narrow" w:hAnsi="Arial Narrow" w:cs="Calibri"/>
                <w:sz w:val="16"/>
                <w:szCs w:val="16"/>
              </w:rPr>
            </w:pPr>
            <w:r w:rsidRPr="008F7A9E">
              <w:rPr>
                <w:rFonts w:ascii="Arial Narrow" w:hAnsi="Arial Narrow" w:cs="Calibri"/>
                <w:sz w:val="16"/>
                <w:szCs w:val="16"/>
              </w:rPr>
              <w:t>10</w:t>
            </w:r>
          </w:p>
        </w:tc>
        <w:tc>
          <w:tcPr>
            <w:tcW w:w="4419" w:type="dxa"/>
            <w:tcBorders>
              <w:top w:val="nil"/>
              <w:left w:val="nil"/>
              <w:bottom w:val="single" w:sz="4" w:space="0" w:color="auto"/>
              <w:right w:val="single" w:sz="4" w:space="0" w:color="auto"/>
            </w:tcBorders>
            <w:shd w:val="clear" w:color="auto" w:fill="auto"/>
            <w:vAlign w:val="center"/>
            <w:hideMark/>
          </w:tcPr>
          <w:p w14:paraId="052E1B67" w14:textId="77777777" w:rsidR="008F7A9E" w:rsidRPr="008F7A9E" w:rsidRDefault="008F7A9E" w:rsidP="008F7A9E">
            <w:pPr>
              <w:rPr>
                <w:rFonts w:ascii="Arial Narrow" w:hAnsi="Arial Narrow" w:cs="Calibri"/>
                <w:b/>
                <w:bCs/>
                <w:sz w:val="16"/>
                <w:szCs w:val="16"/>
              </w:rPr>
            </w:pPr>
            <w:r w:rsidRPr="008F7A9E">
              <w:rPr>
                <w:rFonts w:ascii="Arial Narrow" w:hAnsi="Arial Narrow" w:cs="Calibri"/>
                <w:b/>
                <w:bCs/>
                <w:sz w:val="16"/>
                <w:szCs w:val="16"/>
              </w:rPr>
              <w:t>Продукция от растениевъдството (от 01 до 09)</w:t>
            </w:r>
          </w:p>
        </w:tc>
        <w:tc>
          <w:tcPr>
            <w:tcW w:w="1185" w:type="dxa"/>
            <w:tcBorders>
              <w:top w:val="nil"/>
              <w:left w:val="nil"/>
              <w:bottom w:val="single" w:sz="4" w:space="0" w:color="auto"/>
              <w:right w:val="single" w:sz="4" w:space="0" w:color="auto"/>
            </w:tcBorders>
            <w:shd w:val="clear" w:color="auto" w:fill="auto"/>
            <w:vAlign w:val="center"/>
            <w:hideMark/>
          </w:tcPr>
          <w:p w14:paraId="54DDF08B" w14:textId="77777777" w:rsidR="008F7A9E" w:rsidRPr="008F7A9E" w:rsidRDefault="008F7A9E" w:rsidP="008F7A9E">
            <w:pPr>
              <w:jc w:val="right"/>
              <w:rPr>
                <w:rFonts w:ascii="Arial Narrow" w:hAnsi="Arial Narrow" w:cs="Calibri"/>
                <w:b/>
                <w:bCs/>
                <w:sz w:val="16"/>
                <w:szCs w:val="16"/>
              </w:rPr>
            </w:pPr>
            <w:r w:rsidRPr="008F7A9E">
              <w:rPr>
                <w:rFonts w:ascii="Arial Narrow" w:hAnsi="Arial Narrow" w:cs="Calibri"/>
                <w:b/>
                <w:bCs/>
                <w:sz w:val="16"/>
                <w:szCs w:val="16"/>
              </w:rPr>
              <w:t>9 699,8</w:t>
            </w:r>
          </w:p>
        </w:tc>
        <w:tc>
          <w:tcPr>
            <w:tcW w:w="1028" w:type="dxa"/>
            <w:tcBorders>
              <w:top w:val="nil"/>
              <w:left w:val="nil"/>
              <w:bottom w:val="single" w:sz="4" w:space="0" w:color="auto"/>
              <w:right w:val="single" w:sz="4" w:space="0" w:color="auto"/>
            </w:tcBorders>
            <w:shd w:val="clear" w:color="auto" w:fill="auto"/>
            <w:vAlign w:val="center"/>
            <w:hideMark/>
          </w:tcPr>
          <w:p w14:paraId="6161F230" w14:textId="77777777" w:rsidR="008F7A9E" w:rsidRPr="008F7A9E" w:rsidRDefault="008F7A9E" w:rsidP="008F7A9E">
            <w:pPr>
              <w:jc w:val="right"/>
              <w:rPr>
                <w:rFonts w:ascii="Arial Narrow" w:hAnsi="Arial Narrow" w:cs="Calibri"/>
                <w:b/>
                <w:bCs/>
                <w:sz w:val="16"/>
                <w:szCs w:val="16"/>
              </w:rPr>
            </w:pPr>
            <w:r w:rsidRPr="008F7A9E">
              <w:rPr>
                <w:rFonts w:ascii="Arial Narrow" w:hAnsi="Arial Narrow" w:cs="Calibri"/>
                <w:b/>
                <w:bCs/>
                <w:sz w:val="16"/>
                <w:szCs w:val="16"/>
              </w:rPr>
              <w:t>-26,6</w:t>
            </w:r>
          </w:p>
        </w:tc>
        <w:tc>
          <w:tcPr>
            <w:tcW w:w="1217" w:type="dxa"/>
            <w:tcBorders>
              <w:top w:val="nil"/>
              <w:left w:val="nil"/>
              <w:bottom w:val="single" w:sz="4" w:space="0" w:color="auto"/>
              <w:right w:val="single" w:sz="4" w:space="0" w:color="auto"/>
            </w:tcBorders>
            <w:shd w:val="clear" w:color="auto" w:fill="auto"/>
            <w:vAlign w:val="center"/>
            <w:hideMark/>
          </w:tcPr>
          <w:p w14:paraId="059518A6" w14:textId="77777777" w:rsidR="008F7A9E" w:rsidRPr="008F7A9E" w:rsidRDefault="008F7A9E" w:rsidP="008F7A9E">
            <w:pPr>
              <w:jc w:val="right"/>
              <w:rPr>
                <w:rFonts w:ascii="Arial Narrow" w:hAnsi="Arial Narrow" w:cs="Calibri"/>
                <w:b/>
                <w:bCs/>
                <w:sz w:val="16"/>
                <w:szCs w:val="16"/>
              </w:rPr>
            </w:pPr>
            <w:r w:rsidRPr="008F7A9E">
              <w:rPr>
                <w:rFonts w:ascii="Arial Narrow" w:hAnsi="Arial Narrow" w:cs="Calibri"/>
                <w:b/>
                <w:bCs/>
                <w:sz w:val="16"/>
                <w:szCs w:val="16"/>
              </w:rPr>
              <w:t>7 124,5</w:t>
            </w:r>
          </w:p>
        </w:tc>
        <w:tc>
          <w:tcPr>
            <w:tcW w:w="1075" w:type="dxa"/>
            <w:tcBorders>
              <w:top w:val="nil"/>
              <w:left w:val="nil"/>
              <w:bottom w:val="single" w:sz="4" w:space="0" w:color="auto"/>
              <w:right w:val="single" w:sz="4" w:space="0" w:color="auto"/>
            </w:tcBorders>
            <w:shd w:val="clear" w:color="auto" w:fill="auto"/>
            <w:vAlign w:val="center"/>
            <w:hideMark/>
          </w:tcPr>
          <w:p w14:paraId="43DF396C" w14:textId="77777777" w:rsidR="008F7A9E" w:rsidRPr="008F7A9E" w:rsidRDefault="008F7A9E" w:rsidP="008F7A9E">
            <w:pPr>
              <w:jc w:val="right"/>
              <w:rPr>
                <w:rFonts w:ascii="Arial Narrow" w:hAnsi="Arial Narrow" w:cs="Calibri"/>
                <w:b/>
                <w:bCs/>
                <w:sz w:val="16"/>
                <w:szCs w:val="16"/>
              </w:rPr>
            </w:pPr>
            <w:r w:rsidRPr="008F7A9E">
              <w:rPr>
                <w:rFonts w:ascii="Arial Narrow" w:hAnsi="Arial Narrow" w:cs="Calibri"/>
                <w:b/>
                <w:bCs/>
                <w:sz w:val="16"/>
                <w:szCs w:val="16"/>
              </w:rPr>
              <w:t>-9,5</w:t>
            </w:r>
          </w:p>
        </w:tc>
        <w:tc>
          <w:tcPr>
            <w:tcW w:w="1233" w:type="dxa"/>
            <w:tcBorders>
              <w:top w:val="nil"/>
              <w:left w:val="nil"/>
              <w:bottom w:val="single" w:sz="4" w:space="0" w:color="auto"/>
              <w:right w:val="single" w:sz="4" w:space="0" w:color="auto"/>
            </w:tcBorders>
            <w:shd w:val="clear" w:color="auto" w:fill="auto"/>
            <w:vAlign w:val="center"/>
            <w:hideMark/>
          </w:tcPr>
          <w:p w14:paraId="65AAC903" w14:textId="77777777" w:rsidR="008F7A9E" w:rsidRPr="008F7A9E" w:rsidRDefault="008F7A9E" w:rsidP="008F7A9E">
            <w:pPr>
              <w:jc w:val="right"/>
              <w:rPr>
                <w:rFonts w:ascii="Arial Narrow" w:hAnsi="Arial Narrow" w:cs="Calibri"/>
                <w:b/>
                <w:bCs/>
                <w:sz w:val="16"/>
                <w:szCs w:val="16"/>
              </w:rPr>
            </w:pPr>
            <w:r w:rsidRPr="008F7A9E">
              <w:rPr>
                <w:rFonts w:ascii="Arial Narrow" w:hAnsi="Arial Narrow" w:cs="Calibri"/>
                <w:b/>
                <w:bCs/>
                <w:sz w:val="16"/>
                <w:szCs w:val="16"/>
              </w:rPr>
              <w:t>6 447,6</w:t>
            </w:r>
          </w:p>
        </w:tc>
      </w:tr>
      <w:tr w:rsidR="008F7A9E" w:rsidRPr="00B10684" w14:paraId="1AC4095E" w14:textId="77777777" w:rsidTr="005A18A5">
        <w:trPr>
          <w:trHeight w:val="251"/>
        </w:trPr>
        <w:tc>
          <w:tcPr>
            <w:tcW w:w="748" w:type="dxa"/>
            <w:tcBorders>
              <w:top w:val="nil"/>
              <w:left w:val="single" w:sz="4" w:space="0" w:color="auto"/>
              <w:bottom w:val="single" w:sz="4" w:space="0" w:color="auto"/>
              <w:right w:val="single" w:sz="4" w:space="0" w:color="auto"/>
            </w:tcBorders>
            <w:shd w:val="clear" w:color="auto" w:fill="auto"/>
            <w:vAlign w:val="center"/>
            <w:hideMark/>
          </w:tcPr>
          <w:p w14:paraId="4A8D34D4" w14:textId="77777777" w:rsidR="008F7A9E" w:rsidRPr="008F7A9E" w:rsidRDefault="008F7A9E" w:rsidP="008F7A9E">
            <w:pPr>
              <w:rPr>
                <w:rFonts w:ascii="Arial Narrow" w:hAnsi="Arial Narrow" w:cs="Calibri"/>
                <w:sz w:val="16"/>
                <w:szCs w:val="16"/>
              </w:rPr>
            </w:pPr>
            <w:r w:rsidRPr="008F7A9E">
              <w:rPr>
                <w:rFonts w:ascii="Arial Narrow" w:hAnsi="Arial Narrow" w:cs="Calibri"/>
                <w:sz w:val="16"/>
                <w:szCs w:val="16"/>
              </w:rPr>
              <w:t>11</w:t>
            </w:r>
          </w:p>
        </w:tc>
        <w:tc>
          <w:tcPr>
            <w:tcW w:w="4419" w:type="dxa"/>
            <w:tcBorders>
              <w:top w:val="nil"/>
              <w:left w:val="nil"/>
              <w:bottom w:val="single" w:sz="4" w:space="0" w:color="auto"/>
              <w:right w:val="single" w:sz="4" w:space="0" w:color="auto"/>
            </w:tcBorders>
            <w:shd w:val="clear" w:color="auto" w:fill="auto"/>
            <w:vAlign w:val="center"/>
            <w:hideMark/>
          </w:tcPr>
          <w:p w14:paraId="26308794" w14:textId="77777777" w:rsidR="008F7A9E" w:rsidRPr="008F7A9E" w:rsidRDefault="008F7A9E" w:rsidP="008F7A9E">
            <w:pPr>
              <w:rPr>
                <w:rFonts w:ascii="Arial Narrow" w:hAnsi="Arial Narrow" w:cs="Calibri"/>
                <w:sz w:val="16"/>
                <w:szCs w:val="16"/>
              </w:rPr>
            </w:pPr>
            <w:r w:rsidRPr="008F7A9E">
              <w:rPr>
                <w:rFonts w:ascii="Arial Narrow" w:hAnsi="Arial Narrow" w:cs="Calibri"/>
                <w:sz w:val="16"/>
                <w:szCs w:val="16"/>
              </w:rPr>
              <w:t>Селскостопански животни</w:t>
            </w:r>
          </w:p>
        </w:tc>
        <w:tc>
          <w:tcPr>
            <w:tcW w:w="1185" w:type="dxa"/>
            <w:tcBorders>
              <w:top w:val="nil"/>
              <w:left w:val="nil"/>
              <w:bottom w:val="single" w:sz="4" w:space="0" w:color="auto"/>
              <w:right w:val="single" w:sz="4" w:space="0" w:color="auto"/>
            </w:tcBorders>
            <w:shd w:val="clear" w:color="auto" w:fill="auto"/>
            <w:vAlign w:val="center"/>
            <w:hideMark/>
          </w:tcPr>
          <w:p w14:paraId="2ECDF516" w14:textId="77777777" w:rsidR="008F7A9E" w:rsidRPr="008F7A9E" w:rsidRDefault="008F7A9E" w:rsidP="008F7A9E">
            <w:pPr>
              <w:jc w:val="right"/>
              <w:rPr>
                <w:rFonts w:ascii="Arial Narrow" w:hAnsi="Arial Narrow" w:cs="Calibri"/>
                <w:sz w:val="16"/>
                <w:szCs w:val="16"/>
              </w:rPr>
            </w:pPr>
            <w:r w:rsidRPr="008F7A9E">
              <w:rPr>
                <w:rFonts w:ascii="Arial Narrow" w:hAnsi="Arial Narrow" w:cs="Calibri"/>
                <w:sz w:val="16"/>
                <w:szCs w:val="16"/>
              </w:rPr>
              <w:t>1 151,0</w:t>
            </w:r>
          </w:p>
        </w:tc>
        <w:tc>
          <w:tcPr>
            <w:tcW w:w="1028" w:type="dxa"/>
            <w:tcBorders>
              <w:top w:val="nil"/>
              <w:left w:val="nil"/>
              <w:bottom w:val="single" w:sz="4" w:space="0" w:color="auto"/>
              <w:right w:val="single" w:sz="4" w:space="0" w:color="auto"/>
            </w:tcBorders>
            <w:shd w:val="clear" w:color="auto" w:fill="auto"/>
            <w:vAlign w:val="center"/>
            <w:hideMark/>
          </w:tcPr>
          <w:p w14:paraId="2E4008F0" w14:textId="77777777" w:rsidR="008F7A9E" w:rsidRPr="008F7A9E" w:rsidRDefault="008F7A9E" w:rsidP="008F7A9E">
            <w:pPr>
              <w:jc w:val="right"/>
              <w:rPr>
                <w:rFonts w:ascii="Arial Narrow" w:hAnsi="Arial Narrow" w:cs="Calibri"/>
                <w:sz w:val="16"/>
                <w:szCs w:val="16"/>
              </w:rPr>
            </w:pPr>
            <w:r w:rsidRPr="008F7A9E">
              <w:rPr>
                <w:rFonts w:ascii="Arial Narrow" w:hAnsi="Arial Narrow" w:cs="Calibri"/>
                <w:sz w:val="16"/>
                <w:szCs w:val="16"/>
              </w:rPr>
              <w:t>18,4</w:t>
            </w:r>
          </w:p>
        </w:tc>
        <w:tc>
          <w:tcPr>
            <w:tcW w:w="1217" w:type="dxa"/>
            <w:tcBorders>
              <w:top w:val="nil"/>
              <w:left w:val="nil"/>
              <w:bottom w:val="single" w:sz="4" w:space="0" w:color="auto"/>
              <w:right w:val="single" w:sz="4" w:space="0" w:color="auto"/>
            </w:tcBorders>
            <w:shd w:val="clear" w:color="auto" w:fill="auto"/>
            <w:vAlign w:val="center"/>
            <w:hideMark/>
          </w:tcPr>
          <w:p w14:paraId="69A39EA6" w14:textId="77777777" w:rsidR="008F7A9E" w:rsidRPr="008F7A9E" w:rsidRDefault="008F7A9E" w:rsidP="008F7A9E">
            <w:pPr>
              <w:jc w:val="right"/>
              <w:rPr>
                <w:rFonts w:ascii="Arial Narrow" w:hAnsi="Arial Narrow" w:cs="Calibri"/>
                <w:sz w:val="16"/>
                <w:szCs w:val="16"/>
              </w:rPr>
            </w:pPr>
            <w:r w:rsidRPr="008F7A9E">
              <w:rPr>
                <w:rFonts w:ascii="Arial Narrow" w:hAnsi="Arial Narrow" w:cs="Calibri"/>
                <w:sz w:val="16"/>
                <w:szCs w:val="16"/>
              </w:rPr>
              <w:t>1 362,5</w:t>
            </w:r>
          </w:p>
        </w:tc>
        <w:tc>
          <w:tcPr>
            <w:tcW w:w="1075" w:type="dxa"/>
            <w:tcBorders>
              <w:top w:val="nil"/>
              <w:left w:val="nil"/>
              <w:bottom w:val="single" w:sz="4" w:space="0" w:color="auto"/>
              <w:right w:val="single" w:sz="4" w:space="0" w:color="auto"/>
            </w:tcBorders>
            <w:shd w:val="clear" w:color="auto" w:fill="auto"/>
            <w:vAlign w:val="center"/>
            <w:hideMark/>
          </w:tcPr>
          <w:p w14:paraId="450A40BD" w14:textId="77777777" w:rsidR="008F7A9E" w:rsidRPr="008F7A9E" w:rsidRDefault="008F7A9E" w:rsidP="008F7A9E">
            <w:pPr>
              <w:jc w:val="right"/>
              <w:rPr>
                <w:rFonts w:ascii="Arial Narrow" w:hAnsi="Arial Narrow" w:cs="Calibri"/>
                <w:sz w:val="16"/>
                <w:szCs w:val="16"/>
              </w:rPr>
            </w:pPr>
            <w:r w:rsidRPr="008F7A9E">
              <w:rPr>
                <w:rFonts w:ascii="Arial Narrow" w:hAnsi="Arial Narrow" w:cs="Calibri"/>
                <w:sz w:val="16"/>
                <w:szCs w:val="16"/>
              </w:rPr>
              <w:t>-2,3</w:t>
            </w:r>
          </w:p>
        </w:tc>
        <w:tc>
          <w:tcPr>
            <w:tcW w:w="1233" w:type="dxa"/>
            <w:tcBorders>
              <w:top w:val="nil"/>
              <w:left w:val="nil"/>
              <w:bottom w:val="single" w:sz="4" w:space="0" w:color="auto"/>
              <w:right w:val="single" w:sz="4" w:space="0" w:color="auto"/>
            </w:tcBorders>
            <w:shd w:val="clear" w:color="auto" w:fill="auto"/>
            <w:vAlign w:val="center"/>
            <w:hideMark/>
          </w:tcPr>
          <w:p w14:paraId="356264DC" w14:textId="77777777" w:rsidR="008F7A9E" w:rsidRPr="008F7A9E" w:rsidRDefault="008F7A9E" w:rsidP="008F7A9E">
            <w:pPr>
              <w:jc w:val="right"/>
              <w:rPr>
                <w:rFonts w:ascii="Arial Narrow" w:hAnsi="Arial Narrow" w:cs="Calibri"/>
                <w:sz w:val="16"/>
                <w:szCs w:val="16"/>
              </w:rPr>
            </w:pPr>
            <w:r w:rsidRPr="008F7A9E">
              <w:rPr>
                <w:rFonts w:ascii="Arial Narrow" w:hAnsi="Arial Narrow" w:cs="Calibri"/>
                <w:sz w:val="16"/>
                <w:szCs w:val="16"/>
              </w:rPr>
              <w:t>1 331,5</w:t>
            </w:r>
          </w:p>
        </w:tc>
      </w:tr>
      <w:tr w:rsidR="008F7A9E" w:rsidRPr="00B10684" w14:paraId="753166F1" w14:textId="77777777" w:rsidTr="005A18A5">
        <w:trPr>
          <w:trHeight w:val="251"/>
        </w:trPr>
        <w:tc>
          <w:tcPr>
            <w:tcW w:w="748" w:type="dxa"/>
            <w:tcBorders>
              <w:top w:val="nil"/>
              <w:left w:val="single" w:sz="4" w:space="0" w:color="auto"/>
              <w:bottom w:val="single" w:sz="4" w:space="0" w:color="auto"/>
              <w:right w:val="single" w:sz="4" w:space="0" w:color="auto"/>
            </w:tcBorders>
            <w:shd w:val="clear" w:color="auto" w:fill="auto"/>
            <w:vAlign w:val="center"/>
            <w:hideMark/>
          </w:tcPr>
          <w:p w14:paraId="6DA80C86" w14:textId="77777777" w:rsidR="008F7A9E" w:rsidRPr="008F7A9E" w:rsidRDefault="008F7A9E" w:rsidP="008F7A9E">
            <w:pPr>
              <w:rPr>
                <w:rFonts w:ascii="Arial Narrow" w:hAnsi="Arial Narrow" w:cs="Calibri"/>
                <w:sz w:val="16"/>
                <w:szCs w:val="16"/>
              </w:rPr>
            </w:pPr>
            <w:r w:rsidRPr="008F7A9E">
              <w:rPr>
                <w:rFonts w:ascii="Arial Narrow" w:hAnsi="Arial Narrow" w:cs="Calibri"/>
                <w:sz w:val="16"/>
                <w:szCs w:val="16"/>
              </w:rPr>
              <w:t>11.1</w:t>
            </w:r>
          </w:p>
        </w:tc>
        <w:tc>
          <w:tcPr>
            <w:tcW w:w="4419" w:type="dxa"/>
            <w:tcBorders>
              <w:top w:val="nil"/>
              <w:left w:val="nil"/>
              <w:bottom w:val="single" w:sz="4" w:space="0" w:color="auto"/>
              <w:right w:val="single" w:sz="4" w:space="0" w:color="auto"/>
            </w:tcBorders>
            <w:shd w:val="clear" w:color="auto" w:fill="auto"/>
            <w:vAlign w:val="center"/>
            <w:hideMark/>
          </w:tcPr>
          <w:p w14:paraId="62F5656B" w14:textId="77777777" w:rsidR="008F7A9E" w:rsidRPr="008F7A9E" w:rsidRDefault="008F7A9E" w:rsidP="008F7A9E">
            <w:pPr>
              <w:ind w:firstLineChars="100" w:firstLine="160"/>
              <w:rPr>
                <w:rFonts w:ascii="Arial Narrow" w:hAnsi="Arial Narrow" w:cs="Calibri"/>
                <w:sz w:val="16"/>
                <w:szCs w:val="16"/>
              </w:rPr>
            </w:pPr>
            <w:r w:rsidRPr="008F7A9E">
              <w:rPr>
                <w:rFonts w:ascii="Arial Narrow" w:hAnsi="Arial Narrow" w:cs="Calibri"/>
                <w:sz w:val="16"/>
                <w:szCs w:val="16"/>
              </w:rPr>
              <w:t>Едър рогат добитък</w:t>
            </w:r>
          </w:p>
        </w:tc>
        <w:tc>
          <w:tcPr>
            <w:tcW w:w="1185" w:type="dxa"/>
            <w:tcBorders>
              <w:top w:val="nil"/>
              <w:left w:val="nil"/>
              <w:bottom w:val="single" w:sz="4" w:space="0" w:color="auto"/>
              <w:right w:val="single" w:sz="4" w:space="0" w:color="auto"/>
            </w:tcBorders>
            <w:shd w:val="clear" w:color="auto" w:fill="auto"/>
            <w:vAlign w:val="center"/>
            <w:hideMark/>
          </w:tcPr>
          <w:p w14:paraId="7B4093B5" w14:textId="77777777" w:rsidR="008F7A9E" w:rsidRPr="008F7A9E" w:rsidRDefault="008F7A9E" w:rsidP="008F7A9E">
            <w:pPr>
              <w:jc w:val="right"/>
              <w:rPr>
                <w:rFonts w:ascii="Arial Narrow" w:hAnsi="Arial Narrow" w:cs="Calibri"/>
                <w:sz w:val="16"/>
                <w:szCs w:val="16"/>
              </w:rPr>
            </w:pPr>
            <w:r w:rsidRPr="008F7A9E">
              <w:rPr>
                <w:rFonts w:ascii="Arial Narrow" w:hAnsi="Arial Narrow" w:cs="Calibri"/>
                <w:sz w:val="16"/>
                <w:szCs w:val="16"/>
              </w:rPr>
              <w:t>227,5</w:t>
            </w:r>
          </w:p>
        </w:tc>
        <w:tc>
          <w:tcPr>
            <w:tcW w:w="1028" w:type="dxa"/>
            <w:tcBorders>
              <w:top w:val="nil"/>
              <w:left w:val="nil"/>
              <w:bottom w:val="single" w:sz="4" w:space="0" w:color="auto"/>
              <w:right w:val="single" w:sz="4" w:space="0" w:color="auto"/>
            </w:tcBorders>
            <w:shd w:val="clear" w:color="auto" w:fill="auto"/>
            <w:vAlign w:val="center"/>
            <w:hideMark/>
          </w:tcPr>
          <w:p w14:paraId="776F7EC9" w14:textId="77777777" w:rsidR="008F7A9E" w:rsidRPr="008F7A9E" w:rsidRDefault="008F7A9E" w:rsidP="008F7A9E">
            <w:pPr>
              <w:jc w:val="right"/>
              <w:rPr>
                <w:rFonts w:ascii="Arial Narrow" w:hAnsi="Arial Narrow" w:cs="Calibri"/>
                <w:sz w:val="16"/>
                <w:szCs w:val="16"/>
              </w:rPr>
            </w:pPr>
            <w:r w:rsidRPr="008F7A9E">
              <w:rPr>
                <w:rFonts w:ascii="Arial Narrow" w:hAnsi="Arial Narrow" w:cs="Calibri"/>
                <w:sz w:val="16"/>
                <w:szCs w:val="16"/>
              </w:rPr>
              <w:t>-4,7</w:t>
            </w:r>
          </w:p>
        </w:tc>
        <w:tc>
          <w:tcPr>
            <w:tcW w:w="1217" w:type="dxa"/>
            <w:tcBorders>
              <w:top w:val="nil"/>
              <w:left w:val="nil"/>
              <w:bottom w:val="single" w:sz="4" w:space="0" w:color="auto"/>
              <w:right w:val="single" w:sz="4" w:space="0" w:color="auto"/>
            </w:tcBorders>
            <w:shd w:val="clear" w:color="auto" w:fill="auto"/>
            <w:vAlign w:val="center"/>
            <w:hideMark/>
          </w:tcPr>
          <w:p w14:paraId="0B5FE4ED" w14:textId="77777777" w:rsidR="008F7A9E" w:rsidRPr="008F7A9E" w:rsidRDefault="008F7A9E" w:rsidP="008F7A9E">
            <w:pPr>
              <w:jc w:val="right"/>
              <w:rPr>
                <w:rFonts w:ascii="Arial Narrow" w:hAnsi="Arial Narrow" w:cs="Calibri"/>
                <w:sz w:val="16"/>
                <w:szCs w:val="16"/>
              </w:rPr>
            </w:pPr>
            <w:r w:rsidRPr="008F7A9E">
              <w:rPr>
                <w:rFonts w:ascii="Arial Narrow" w:hAnsi="Arial Narrow" w:cs="Calibri"/>
                <w:sz w:val="16"/>
                <w:szCs w:val="16"/>
              </w:rPr>
              <w:t>216,8</w:t>
            </w:r>
          </w:p>
        </w:tc>
        <w:tc>
          <w:tcPr>
            <w:tcW w:w="1075" w:type="dxa"/>
            <w:tcBorders>
              <w:top w:val="nil"/>
              <w:left w:val="nil"/>
              <w:bottom w:val="single" w:sz="4" w:space="0" w:color="auto"/>
              <w:right w:val="single" w:sz="4" w:space="0" w:color="auto"/>
            </w:tcBorders>
            <w:shd w:val="clear" w:color="auto" w:fill="auto"/>
            <w:vAlign w:val="center"/>
            <w:hideMark/>
          </w:tcPr>
          <w:p w14:paraId="78DE0DF8" w14:textId="77777777" w:rsidR="008F7A9E" w:rsidRPr="008F7A9E" w:rsidRDefault="008F7A9E" w:rsidP="008F7A9E">
            <w:pPr>
              <w:jc w:val="right"/>
              <w:rPr>
                <w:rFonts w:ascii="Arial Narrow" w:hAnsi="Arial Narrow" w:cs="Calibri"/>
                <w:sz w:val="16"/>
                <w:szCs w:val="16"/>
              </w:rPr>
            </w:pPr>
            <w:r w:rsidRPr="008F7A9E">
              <w:rPr>
                <w:rFonts w:ascii="Arial Narrow" w:hAnsi="Arial Narrow" w:cs="Calibri"/>
                <w:sz w:val="16"/>
                <w:szCs w:val="16"/>
              </w:rPr>
              <w:t>8,0</w:t>
            </w:r>
          </w:p>
        </w:tc>
        <w:tc>
          <w:tcPr>
            <w:tcW w:w="1233" w:type="dxa"/>
            <w:tcBorders>
              <w:top w:val="nil"/>
              <w:left w:val="nil"/>
              <w:bottom w:val="single" w:sz="4" w:space="0" w:color="auto"/>
              <w:right w:val="single" w:sz="4" w:space="0" w:color="auto"/>
            </w:tcBorders>
            <w:shd w:val="clear" w:color="auto" w:fill="auto"/>
            <w:vAlign w:val="center"/>
            <w:hideMark/>
          </w:tcPr>
          <w:p w14:paraId="79CAD3EF" w14:textId="77777777" w:rsidR="008F7A9E" w:rsidRPr="008F7A9E" w:rsidRDefault="008F7A9E" w:rsidP="008F7A9E">
            <w:pPr>
              <w:jc w:val="right"/>
              <w:rPr>
                <w:rFonts w:ascii="Arial Narrow" w:hAnsi="Arial Narrow" w:cs="Calibri"/>
                <w:sz w:val="16"/>
                <w:szCs w:val="16"/>
              </w:rPr>
            </w:pPr>
            <w:r w:rsidRPr="008F7A9E">
              <w:rPr>
                <w:rFonts w:ascii="Arial Narrow" w:hAnsi="Arial Narrow" w:cs="Calibri"/>
                <w:sz w:val="16"/>
                <w:szCs w:val="16"/>
              </w:rPr>
              <w:t>234,1</w:t>
            </w:r>
          </w:p>
        </w:tc>
      </w:tr>
      <w:tr w:rsidR="008F7A9E" w:rsidRPr="00B10684" w14:paraId="676C9C2B" w14:textId="77777777" w:rsidTr="005A18A5">
        <w:trPr>
          <w:trHeight w:val="251"/>
        </w:trPr>
        <w:tc>
          <w:tcPr>
            <w:tcW w:w="748" w:type="dxa"/>
            <w:tcBorders>
              <w:top w:val="nil"/>
              <w:left w:val="single" w:sz="4" w:space="0" w:color="auto"/>
              <w:bottom w:val="single" w:sz="4" w:space="0" w:color="auto"/>
              <w:right w:val="single" w:sz="4" w:space="0" w:color="auto"/>
            </w:tcBorders>
            <w:shd w:val="clear" w:color="auto" w:fill="auto"/>
            <w:vAlign w:val="center"/>
            <w:hideMark/>
          </w:tcPr>
          <w:p w14:paraId="034713C8" w14:textId="77777777" w:rsidR="008F7A9E" w:rsidRPr="008F7A9E" w:rsidRDefault="008F7A9E" w:rsidP="008F7A9E">
            <w:pPr>
              <w:rPr>
                <w:rFonts w:ascii="Arial Narrow" w:hAnsi="Arial Narrow" w:cs="Calibri"/>
                <w:sz w:val="16"/>
                <w:szCs w:val="16"/>
              </w:rPr>
            </w:pPr>
            <w:r w:rsidRPr="008F7A9E">
              <w:rPr>
                <w:rFonts w:ascii="Arial Narrow" w:hAnsi="Arial Narrow" w:cs="Calibri"/>
                <w:sz w:val="16"/>
                <w:szCs w:val="16"/>
              </w:rPr>
              <w:t>11.2</w:t>
            </w:r>
          </w:p>
        </w:tc>
        <w:tc>
          <w:tcPr>
            <w:tcW w:w="4419" w:type="dxa"/>
            <w:tcBorders>
              <w:top w:val="nil"/>
              <w:left w:val="nil"/>
              <w:bottom w:val="single" w:sz="4" w:space="0" w:color="auto"/>
              <w:right w:val="single" w:sz="4" w:space="0" w:color="auto"/>
            </w:tcBorders>
            <w:shd w:val="clear" w:color="auto" w:fill="auto"/>
            <w:vAlign w:val="center"/>
            <w:hideMark/>
          </w:tcPr>
          <w:p w14:paraId="58CE863E" w14:textId="77777777" w:rsidR="008F7A9E" w:rsidRPr="008F7A9E" w:rsidRDefault="008F7A9E" w:rsidP="008F7A9E">
            <w:pPr>
              <w:ind w:firstLineChars="100" w:firstLine="160"/>
              <w:rPr>
                <w:rFonts w:ascii="Arial Narrow" w:hAnsi="Arial Narrow" w:cs="Calibri"/>
                <w:sz w:val="16"/>
                <w:szCs w:val="16"/>
              </w:rPr>
            </w:pPr>
            <w:r w:rsidRPr="008F7A9E">
              <w:rPr>
                <w:rFonts w:ascii="Arial Narrow" w:hAnsi="Arial Narrow" w:cs="Calibri"/>
                <w:sz w:val="16"/>
                <w:szCs w:val="16"/>
              </w:rPr>
              <w:t>Свине</w:t>
            </w:r>
          </w:p>
        </w:tc>
        <w:tc>
          <w:tcPr>
            <w:tcW w:w="1185" w:type="dxa"/>
            <w:tcBorders>
              <w:top w:val="nil"/>
              <w:left w:val="nil"/>
              <w:bottom w:val="single" w:sz="4" w:space="0" w:color="auto"/>
              <w:right w:val="single" w:sz="4" w:space="0" w:color="auto"/>
            </w:tcBorders>
            <w:shd w:val="clear" w:color="auto" w:fill="auto"/>
            <w:vAlign w:val="center"/>
            <w:hideMark/>
          </w:tcPr>
          <w:p w14:paraId="0600E746" w14:textId="77777777" w:rsidR="008F7A9E" w:rsidRPr="008F7A9E" w:rsidRDefault="008F7A9E" w:rsidP="008F7A9E">
            <w:pPr>
              <w:jc w:val="right"/>
              <w:rPr>
                <w:rFonts w:ascii="Arial Narrow" w:hAnsi="Arial Narrow" w:cs="Calibri"/>
                <w:sz w:val="16"/>
                <w:szCs w:val="16"/>
              </w:rPr>
            </w:pPr>
            <w:r w:rsidRPr="008F7A9E">
              <w:rPr>
                <w:rFonts w:ascii="Arial Narrow" w:hAnsi="Arial Narrow" w:cs="Calibri"/>
                <w:sz w:val="16"/>
                <w:szCs w:val="16"/>
              </w:rPr>
              <w:t>351,5</w:t>
            </w:r>
          </w:p>
        </w:tc>
        <w:tc>
          <w:tcPr>
            <w:tcW w:w="1028" w:type="dxa"/>
            <w:tcBorders>
              <w:top w:val="nil"/>
              <w:left w:val="nil"/>
              <w:bottom w:val="single" w:sz="4" w:space="0" w:color="auto"/>
              <w:right w:val="single" w:sz="4" w:space="0" w:color="auto"/>
            </w:tcBorders>
            <w:shd w:val="clear" w:color="auto" w:fill="auto"/>
            <w:vAlign w:val="center"/>
            <w:hideMark/>
          </w:tcPr>
          <w:p w14:paraId="6BB51E60" w14:textId="77777777" w:rsidR="008F7A9E" w:rsidRPr="008F7A9E" w:rsidRDefault="008F7A9E" w:rsidP="008F7A9E">
            <w:pPr>
              <w:jc w:val="right"/>
              <w:rPr>
                <w:rFonts w:ascii="Arial Narrow" w:hAnsi="Arial Narrow" w:cs="Calibri"/>
                <w:sz w:val="16"/>
                <w:szCs w:val="16"/>
              </w:rPr>
            </w:pPr>
            <w:r w:rsidRPr="008F7A9E">
              <w:rPr>
                <w:rFonts w:ascii="Arial Narrow" w:hAnsi="Arial Narrow" w:cs="Calibri"/>
                <w:sz w:val="16"/>
                <w:szCs w:val="16"/>
              </w:rPr>
              <w:t>36,4</w:t>
            </w:r>
          </w:p>
        </w:tc>
        <w:tc>
          <w:tcPr>
            <w:tcW w:w="1217" w:type="dxa"/>
            <w:tcBorders>
              <w:top w:val="nil"/>
              <w:left w:val="nil"/>
              <w:bottom w:val="single" w:sz="4" w:space="0" w:color="auto"/>
              <w:right w:val="single" w:sz="4" w:space="0" w:color="auto"/>
            </w:tcBorders>
            <w:shd w:val="clear" w:color="auto" w:fill="auto"/>
            <w:vAlign w:val="center"/>
            <w:hideMark/>
          </w:tcPr>
          <w:p w14:paraId="1E5B40B0" w14:textId="77777777" w:rsidR="008F7A9E" w:rsidRPr="008F7A9E" w:rsidRDefault="008F7A9E" w:rsidP="008F7A9E">
            <w:pPr>
              <w:jc w:val="right"/>
              <w:rPr>
                <w:rFonts w:ascii="Arial Narrow" w:hAnsi="Arial Narrow" w:cs="Calibri"/>
                <w:sz w:val="16"/>
                <w:szCs w:val="16"/>
              </w:rPr>
            </w:pPr>
            <w:r w:rsidRPr="008F7A9E">
              <w:rPr>
                <w:rFonts w:ascii="Arial Narrow" w:hAnsi="Arial Narrow" w:cs="Calibri"/>
                <w:sz w:val="16"/>
                <w:szCs w:val="16"/>
              </w:rPr>
              <w:t>479,4</w:t>
            </w:r>
          </w:p>
        </w:tc>
        <w:tc>
          <w:tcPr>
            <w:tcW w:w="1075" w:type="dxa"/>
            <w:tcBorders>
              <w:top w:val="nil"/>
              <w:left w:val="nil"/>
              <w:bottom w:val="single" w:sz="4" w:space="0" w:color="auto"/>
              <w:right w:val="single" w:sz="4" w:space="0" w:color="auto"/>
            </w:tcBorders>
            <w:shd w:val="clear" w:color="auto" w:fill="auto"/>
            <w:vAlign w:val="center"/>
            <w:hideMark/>
          </w:tcPr>
          <w:p w14:paraId="2DCD6480" w14:textId="77777777" w:rsidR="008F7A9E" w:rsidRPr="008F7A9E" w:rsidRDefault="008F7A9E" w:rsidP="008F7A9E">
            <w:pPr>
              <w:jc w:val="right"/>
              <w:rPr>
                <w:rFonts w:ascii="Arial Narrow" w:hAnsi="Arial Narrow" w:cs="Calibri"/>
                <w:sz w:val="16"/>
                <w:szCs w:val="16"/>
              </w:rPr>
            </w:pPr>
            <w:r w:rsidRPr="008F7A9E">
              <w:rPr>
                <w:rFonts w:ascii="Arial Narrow" w:hAnsi="Arial Narrow" w:cs="Calibri"/>
                <w:sz w:val="16"/>
                <w:szCs w:val="16"/>
              </w:rPr>
              <w:t>-0,1</w:t>
            </w:r>
          </w:p>
        </w:tc>
        <w:tc>
          <w:tcPr>
            <w:tcW w:w="1233" w:type="dxa"/>
            <w:tcBorders>
              <w:top w:val="nil"/>
              <w:left w:val="nil"/>
              <w:bottom w:val="single" w:sz="4" w:space="0" w:color="auto"/>
              <w:right w:val="single" w:sz="4" w:space="0" w:color="auto"/>
            </w:tcBorders>
            <w:shd w:val="clear" w:color="auto" w:fill="auto"/>
            <w:vAlign w:val="center"/>
            <w:hideMark/>
          </w:tcPr>
          <w:p w14:paraId="3B953DB2" w14:textId="77777777" w:rsidR="008F7A9E" w:rsidRPr="008F7A9E" w:rsidRDefault="008F7A9E" w:rsidP="008F7A9E">
            <w:pPr>
              <w:jc w:val="right"/>
              <w:rPr>
                <w:rFonts w:ascii="Arial Narrow" w:hAnsi="Arial Narrow" w:cs="Calibri"/>
                <w:sz w:val="16"/>
                <w:szCs w:val="16"/>
              </w:rPr>
            </w:pPr>
            <w:r w:rsidRPr="008F7A9E">
              <w:rPr>
                <w:rFonts w:ascii="Arial Narrow" w:hAnsi="Arial Narrow" w:cs="Calibri"/>
                <w:sz w:val="16"/>
                <w:szCs w:val="16"/>
              </w:rPr>
              <w:t>478,8</w:t>
            </w:r>
          </w:p>
        </w:tc>
      </w:tr>
      <w:tr w:rsidR="008F7A9E" w:rsidRPr="00B10684" w14:paraId="42B37036" w14:textId="77777777" w:rsidTr="005A18A5">
        <w:trPr>
          <w:trHeight w:val="251"/>
        </w:trPr>
        <w:tc>
          <w:tcPr>
            <w:tcW w:w="748" w:type="dxa"/>
            <w:tcBorders>
              <w:top w:val="nil"/>
              <w:left w:val="single" w:sz="4" w:space="0" w:color="auto"/>
              <w:bottom w:val="single" w:sz="4" w:space="0" w:color="auto"/>
              <w:right w:val="single" w:sz="4" w:space="0" w:color="auto"/>
            </w:tcBorders>
            <w:shd w:val="clear" w:color="auto" w:fill="auto"/>
            <w:vAlign w:val="center"/>
            <w:hideMark/>
          </w:tcPr>
          <w:p w14:paraId="4CB01AE7" w14:textId="77777777" w:rsidR="008F7A9E" w:rsidRPr="008F7A9E" w:rsidRDefault="008F7A9E" w:rsidP="008F7A9E">
            <w:pPr>
              <w:rPr>
                <w:rFonts w:ascii="Arial Narrow" w:hAnsi="Arial Narrow" w:cs="Calibri"/>
                <w:sz w:val="16"/>
                <w:szCs w:val="16"/>
              </w:rPr>
            </w:pPr>
            <w:r w:rsidRPr="008F7A9E">
              <w:rPr>
                <w:rFonts w:ascii="Arial Narrow" w:hAnsi="Arial Narrow" w:cs="Calibri"/>
                <w:sz w:val="16"/>
                <w:szCs w:val="16"/>
              </w:rPr>
              <w:t>11.3</w:t>
            </w:r>
          </w:p>
        </w:tc>
        <w:tc>
          <w:tcPr>
            <w:tcW w:w="4419" w:type="dxa"/>
            <w:tcBorders>
              <w:top w:val="nil"/>
              <w:left w:val="nil"/>
              <w:bottom w:val="single" w:sz="4" w:space="0" w:color="auto"/>
              <w:right w:val="single" w:sz="4" w:space="0" w:color="auto"/>
            </w:tcBorders>
            <w:shd w:val="clear" w:color="auto" w:fill="auto"/>
            <w:vAlign w:val="center"/>
            <w:hideMark/>
          </w:tcPr>
          <w:p w14:paraId="1B04DE5F" w14:textId="77777777" w:rsidR="008F7A9E" w:rsidRPr="008F7A9E" w:rsidRDefault="008F7A9E" w:rsidP="008F7A9E">
            <w:pPr>
              <w:ind w:firstLineChars="100" w:firstLine="160"/>
              <w:rPr>
                <w:rFonts w:ascii="Arial Narrow" w:hAnsi="Arial Narrow" w:cs="Calibri"/>
                <w:sz w:val="16"/>
                <w:szCs w:val="16"/>
              </w:rPr>
            </w:pPr>
            <w:r w:rsidRPr="008F7A9E">
              <w:rPr>
                <w:rFonts w:ascii="Arial Narrow" w:hAnsi="Arial Narrow" w:cs="Calibri"/>
                <w:sz w:val="16"/>
                <w:szCs w:val="16"/>
              </w:rPr>
              <w:t>Коне</w:t>
            </w:r>
          </w:p>
        </w:tc>
        <w:tc>
          <w:tcPr>
            <w:tcW w:w="1185" w:type="dxa"/>
            <w:tcBorders>
              <w:top w:val="nil"/>
              <w:left w:val="nil"/>
              <w:bottom w:val="single" w:sz="4" w:space="0" w:color="auto"/>
              <w:right w:val="single" w:sz="4" w:space="0" w:color="auto"/>
            </w:tcBorders>
            <w:shd w:val="clear" w:color="auto" w:fill="auto"/>
            <w:vAlign w:val="center"/>
            <w:hideMark/>
          </w:tcPr>
          <w:p w14:paraId="24D39CCF" w14:textId="77777777" w:rsidR="008F7A9E" w:rsidRPr="008F7A9E" w:rsidRDefault="008F7A9E" w:rsidP="008F7A9E">
            <w:pPr>
              <w:jc w:val="right"/>
              <w:rPr>
                <w:rFonts w:ascii="Arial Narrow" w:hAnsi="Arial Narrow" w:cs="Calibri"/>
                <w:sz w:val="16"/>
                <w:szCs w:val="16"/>
              </w:rPr>
            </w:pPr>
            <w:r w:rsidRPr="008F7A9E">
              <w:rPr>
                <w:rFonts w:ascii="Arial Narrow" w:hAnsi="Arial Narrow" w:cs="Calibri"/>
                <w:sz w:val="16"/>
                <w:szCs w:val="16"/>
              </w:rPr>
              <w:t> </w:t>
            </w:r>
          </w:p>
        </w:tc>
        <w:tc>
          <w:tcPr>
            <w:tcW w:w="1028" w:type="dxa"/>
            <w:tcBorders>
              <w:top w:val="nil"/>
              <w:left w:val="nil"/>
              <w:bottom w:val="single" w:sz="4" w:space="0" w:color="auto"/>
              <w:right w:val="single" w:sz="4" w:space="0" w:color="auto"/>
            </w:tcBorders>
            <w:shd w:val="clear" w:color="auto" w:fill="auto"/>
            <w:vAlign w:val="center"/>
            <w:hideMark/>
          </w:tcPr>
          <w:p w14:paraId="653370D0" w14:textId="77777777" w:rsidR="008F7A9E" w:rsidRPr="008F7A9E" w:rsidRDefault="008F7A9E" w:rsidP="008F7A9E">
            <w:pPr>
              <w:rPr>
                <w:rFonts w:ascii="Arial Narrow" w:hAnsi="Arial Narrow" w:cs="Calibri"/>
                <w:sz w:val="16"/>
                <w:szCs w:val="16"/>
              </w:rPr>
            </w:pPr>
            <w:r w:rsidRPr="008F7A9E">
              <w:rPr>
                <w:rFonts w:ascii="Arial Narrow" w:hAnsi="Arial Narrow" w:cs="Calibri"/>
                <w:sz w:val="16"/>
                <w:szCs w:val="16"/>
              </w:rPr>
              <w:t> </w:t>
            </w:r>
          </w:p>
        </w:tc>
        <w:tc>
          <w:tcPr>
            <w:tcW w:w="1217" w:type="dxa"/>
            <w:tcBorders>
              <w:top w:val="nil"/>
              <w:left w:val="nil"/>
              <w:bottom w:val="single" w:sz="4" w:space="0" w:color="auto"/>
              <w:right w:val="single" w:sz="4" w:space="0" w:color="auto"/>
            </w:tcBorders>
            <w:shd w:val="clear" w:color="auto" w:fill="auto"/>
            <w:vAlign w:val="center"/>
            <w:hideMark/>
          </w:tcPr>
          <w:p w14:paraId="017BBD93" w14:textId="77777777" w:rsidR="008F7A9E" w:rsidRPr="008F7A9E" w:rsidRDefault="008F7A9E" w:rsidP="008F7A9E">
            <w:pPr>
              <w:jc w:val="right"/>
              <w:rPr>
                <w:rFonts w:ascii="Arial Narrow" w:hAnsi="Arial Narrow" w:cs="Calibri"/>
                <w:sz w:val="16"/>
                <w:szCs w:val="16"/>
              </w:rPr>
            </w:pPr>
            <w:r w:rsidRPr="008F7A9E">
              <w:rPr>
                <w:rFonts w:ascii="Arial Narrow" w:hAnsi="Arial Narrow" w:cs="Calibri"/>
                <w:sz w:val="16"/>
                <w:szCs w:val="16"/>
              </w:rPr>
              <w:t> </w:t>
            </w:r>
          </w:p>
        </w:tc>
        <w:tc>
          <w:tcPr>
            <w:tcW w:w="1075" w:type="dxa"/>
            <w:tcBorders>
              <w:top w:val="nil"/>
              <w:left w:val="nil"/>
              <w:bottom w:val="single" w:sz="4" w:space="0" w:color="auto"/>
              <w:right w:val="single" w:sz="4" w:space="0" w:color="auto"/>
            </w:tcBorders>
            <w:shd w:val="clear" w:color="auto" w:fill="auto"/>
            <w:vAlign w:val="center"/>
            <w:hideMark/>
          </w:tcPr>
          <w:p w14:paraId="032453FF" w14:textId="77777777" w:rsidR="008F7A9E" w:rsidRPr="008F7A9E" w:rsidRDefault="008F7A9E" w:rsidP="008F7A9E">
            <w:pPr>
              <w:rPr>
                <w:rFonts w:ascii="Arial Narrow" w:hAnsi="Arial Narrow" w:cs="Calibri"/>
                <w:sz w:val="16"/>
                <w:szCs w:val="16"/>
              </w:rPr>
            </w:pPr>
            <w:r w:rsidRPr="008F7A9E">
              <w:rPr>
                <w:rFonts w:ascii="Arial Narrow" w:hAnsi="Arial Narrow" w:cs="Calibri"/>
                <w:sz w:val="16"/>
                <w:szCs w:val="16"/>
              </w:rPr>
              <w:t> </w:t>
            </w:r>
          </w:p>
        </w:tc>
        <w:tc>
          <w:tcPr>
            <w:tcW w:w="1233" w:type="dxa"/>
            <w:tcBorders>
              <w:top w:val="nil"/>
              <w:left w:val="nil"/>
              <w:bottom w:val="single" w:sz="4" w:space="0" w:color="auto"/>
              <w:right w:val="single" w:sz="4" w:space="0" w:color="auto"/>
            </w:tcBorders>
            <w:shd w:val="clear" w:color="auto" w:fill="auto"/>
            <w:vAlign w:val="center"/>
            <w:hideMark/>
          </w:tcPr>
          <w:p w14:paraId="23B71BD5" w14:textId="77777777" w:rsidR="008F7A9E" w:rsidRPr="008F7A9E" w:rsidRDefault="008F7A9E" w:rsidP="008F7A9E">
            <w:pPr>
              <w:jc w:val="right"/>
              <w:rPr>
                <w:rFonts w:ascii="Arial Narrow" w:hAnsi="Arial Narrow" w:cs="Calibri"/>
                <w:sz w:val="16"/>
                <w:szCs w:val="16"/>
              </w:rPr>
            </w:pPr>
            <w:r w:rsidRPr="008F7A9E">
              <w:rPr>
                <w:rFonts w:ascii="Arial Narrow" w:hAnsi="Arial Narrow" w:cs="Calibri"/>
                <w:sz w:val="16"/>
                <w:szCs w:val="16"/>
              </w:rPr>
              <w:t> </w:t>
            </w:r>
          </w:p>
        </w:tc>
      </w:tr>
      <w:tr w:rsidR="008F7A9E" w:rsidRPr="00B10684" w14:paraId="4C5047A7" w14:textId="77777777" w:rsidTr="005A18A5">
        <w:trPr>
          <w:trHeight w:val="251"/>
        </w:trPr>
        <w:tc>
          <w:tcPr>
            <w:tcW w:w="748" w:type="dxa"/>
            <w:tcBorders>
              <w:top w:val="nil"/>
              <w:left w:val="single" w:sz="4" w:space="0" w:color="auto"/>
              <w:bottom w:val="single" w:sz="4" w:space="0" w:color="auto"/>
              <w:right w:val="single" w:sz="4" w:space="0" w:color="auto"/>
            </w:tcBorders>
            <w:shd w:val="clear" w:color="auto" w:fill="auto"/>
            <w:vAlign w:val="center"/>
            <w:hideMark/>
          </w:tcPr>
          <w:p w14:paraId="78E4B127" w14:textId="77777777" w:rsidR="008F7A9E" w:rsidRPr="008F7A9E" w:rsidRDefault="008F7A9E" w:rsidP="008F7A9E">
            <w:pPr>
              <w:rPr>
                <w:rFonts w:ascii="Arial Narrow" w:hAnsi="Arial Narrow" w:cs="Calibri"/>
                <w:sz w:val="16"/>
                <w:szCs w:val="16"/>
              </w:rPr>
            </w:pPr>
            <w:r w:rsidRPr="008F7A9E">
              <w:rPr>
                <w:rFonts w:ascii="Arial Narrow" w:hAnsi="Arial Narrow" w:cs="Calibri"/>
                <w:sz w:val="16"/>
                <w:szCs w:val="16"/>
              </w:rPr>
              <w:t>11.4</w:t>
            </w:r>
          </w:p>
        </w:tc>
        <w:tc>
          <w:tcPr>
            <w:tcW w:w="4419" w:type="dxa"/>
            <w:tcBorders>
              <w:top w:val="nil"/>
              <w:left w:val="nil"/>
              <w:bottom w:val="single" w:sz="4" w:space="0" w:color="auto"/>
              <w:right w:val="single" w:sz="4" w:space="0" w:color="auto"/>
            </w:tcBorders>
            <w:shd w:val="clear" w:color="auto" w:fill="auto"/>
            <w:vAlign w:val="center"/>
            <w:hideMark/>
          </w:tcPr>
          <w:p w14:paraId="786D0C1E" w14:textId="77777777" w:rsidR="008F7A9E" w:rsidRPr="008F7A9E" w:rsidRDefault="008F7A9E" w:rsidP="008F7A9E">
            <w:pPr>
              <w:ind w:firstLineChars="100" w:firstLine="160"/>
              <w:rPr>
                <w:rFonts w:ascii="Arial Narrow" w:hAnsi="Arial Narrow" w:cs="Calibri"/>
                <w:sz w:val="16"/>
                <w:szCs w:val="16"/>
              </w:rPr>
            </w:pPr>
            <w:r w:rsidRPr="008F7A9E">
              <w:rPr>
                <w:rFonts w:ascii="Arial Narrow" w:hAnsi="Arial Narrow" w:cs="Calibri"/>
                <w:sz w:val="16"/>
                <w:szCs w:val="16"/>
              </w:rPr>
              <w:t>Овце и кози</w:t>
            </w:r>
          </w:p>
        </w:tc>
        <w:tc>
          <w:tcPr>
            <w:tcW w:w="1185" w:type="dxa"/>
            <w:tcBorders>
              <w:top w:val="nil"/>
              <w:left w:val="nil"/>
              <w:bottom w:val="single" w:sz="4" w:space="0" w:color="auto"/>
              <w:right w:val="single" w:sz="4" w:space="0" w:color="auto"/>
            </w:tcBorders>
            <w:shd w:val="clear" w:color="auto" w:fill="auto"/>
            <w:vAlign w:val="center"/>
            <w:hideMark/>
          </w:tcPr>
          <w:p w14:paraId="0A76CAEB" w14:textId="77777777" w:rsidR="008F7A9E" w:rsidRPr="008F7A9E" w:rsidRDefault="008F7A9E" w:rsidP="008F7A9E">
            <w:pPr>
              <w:jc w:val="right"/>
              <w:rPr>
                <w:rFonts w:ascii="Arial Narrow" w:hAnsi="Arial Narrow" w:cs="Calibri"/>
                <w:sz w:val="16"/>
                <w:szCs w:val="16"/>
              </w:rPr>
            </w:pPr>
            <w:r w:rsidRPr="008F7A9E">
              <w:rPr>
                <w:rFonts w:ascii="Arial Narrow" w:hAnsi="Arial Narrow" w:cs="Calibri"/>
                <w:sz w:val="16"/>
                <w:szCs w:val="16"/>
              </w:rPr>
              <w:t>202,3</w:t>
            </w:r>
          </w:p>
        </w:tc>
        <w:tc>
          <w:tcPr>
            <w:tcW w:w="1028" w:type="dxa"/>
            <w:tcBorders>
              <w:top w:val="nil"/>
              <w:left w:val="nil"/>
              <w:bottom w:val="single" w:sz="4" w:space="0" w:color="auto"/>
              <w:right w:val="single" w:sz="4" w:space="0" w:color="auto"/>
            </w:tcBorders>
            <w:shd w:val="clear" w:color="auto" w:fill="auto"/>
            <w:vAlign w:val="center"/>
            <w:hideMark/>
          </w:tcPr>
          <w:p w14:paraId="0A536221" w14:textId="77777777" w:rsidR="008F7A9E" w:rsidRPr="008F7A9E" w:rsidRDefault="008F7A9E" w:rsidP="008F7A9E">
            <w:pPr>
              <w:jc w:val="right"/>
              <w:rPr>
                <w:rFonts w:ascii="Arial Narrow" w:hAnsi="Arial Narrow" w:cs="Calibri"/>
                <w:sz w:val="16"/>
                <w:szCs w:val="16"/>
              </w:rPr>
            </w:pPr>
            <w:r w:rsidRPr="008F7A9E">
              <w:rPr>
                <w:rFonts w:ascii="Arial Narrow" w:hAnsi="Arial Narrow" w:cs="Calibri"/>
                <w:sz w:val="16"/>
                <w:szCs w:val="16"/>
              </w:rPr>
              <w:t>13,4</w:t>
            </w:r>
          </w:p>
        </w:tc>
        <w:tc>
          <w:tcPr>
            <w:tcW w:w="1217" w:type="dxa"/>
            <w:tcBorders>
              <w:top w:val="nil"/>
              <w:left w:val="nil"/>
              <w:bottom w:val="single" w:sz="4" w:space="0" w:color="auto"/>
              <w:right w:val="single" w:sz="4" w:space="0" w:color="auto"/>
            </w:tcBorders>
            <w:shd w:val="clear" w:color="auto" w:fill="auto"/>
            <w:vAlign w:val="center"/>
            <w:hideMark/>
          </w:tcPr>
          <w:p w14:paraId="3BE84DC7" w14:textId="77777777" w:rsidR="008F7A9E" w:rsidRPr="008F7A9E" w:rsidRDefault="008F7A9E" w:rsidP="008F7A9E">
            <w:pPr>
              <w:jc w:val="right"/>
              <w:rPr>
                <w:rFonts w:ascii="Arial Narrow" w:hAnsi="Arial Narrow" w:cs="Calibri"/>
                <w:sz w:val="16"/>
                <w:szCs w:val="16"/>
              </w:rPr>
            </w:pPr>
            <w:r w:rsidRPr="008F7A9E">
              <w:rPr>
                <w:rFonts w:ascii="Arial Narrow" w:hAnsi="Arial Narrow" w:cs="Calibri"/>
                <w:sz w:val="16"/>
                <w:szCs w:val="16"/>
              </w:rPr>
              <w:t>229,4</w:t>
            </w:r>
          </w:p>
        </w:tc>
        <w:tc>
          <w:tcPr>
            <w:tcW w:w="1075" w:type="dxa"/>
            <w:tcBorders>
              <w:top w:val="nil"/>
              <w:left w:val="nil"/>
              <w:bottom w:val="single" w:sz="4" w:space="0" w:color="auto"/>
              <w:right w:val="single" w:sz="4" w:space="0" w:color="auto"/>
            </w:tcBorders>
            <w:shd w:val="clear" w:color="auto" w:fill="auto"/>
            <w:vAlign w:val="center"/>
            <w:hideMark/>
          </w:tcPr>
          <w:p w14:paraId="59FC9133" w14:textId="77777777" w:rsidR="008F7A9E" w:rsidRPr="008F7A9E" w:rsidRDefault="008F7A9E" w:rsidP="008F7A9E">
            <w:pPr>
              <w:jc w:val="right"/>
              <w:rPr>
                <w:rFonts w:ascii="Arial Narrow" w:hAnsi="Arial Narrow" w:cs="Calibri"/>
                <w:sz w:val="16"/>
                <w:szCs w:val="16"/>
              </w:rPr>
            </w:pPr>
            <w:r w:rsidRPr="008F7A9E">
              <w:rPr>
                <w:rFonts w:ascii="Arial Narrow" w:hAnsi="Arial Narrow" w:cs="Calibri"/>
                <w:sz w:val="16"/>
                <w:szCs w:val="16"/>
              </w:rPr>
              <w:t>-7,1</w:t>
            </w:r>
          </w:p>
        </w:tc>
        <w:tc>
          <w:tcPr>
            <w:tcW w:w="1233" w:type="dxa"/>
            <w:tcBorders>
              <w:top w:val="nil"/>
              <w:left w:val="nil"/>
              <w:bottom w:val="single" w:sz="4" w:space="0" w:color="auto"/>
              <w:right w:val="single" w:sz="4" w:space="0" w:color="auto"/>
            </w:tcBorders>
            <w:shd w:val="clear" w:color="auto" w:fill="auto"/>
            <w:vAlign w:val="center"/>
            <w:hideMark/>
          </w:tcPr>
          <w:p w14:paraId="495B3D6D" w14:textId="77777777" w:rsidR="008F7A9E" w:rsidRPr="008F7A9E" w:rsidRDefault="008F7A9E" w:rsidP="008F7A9E">
            <w:pPr>
              <w:jc w:val="right"/>
              <w:rPr>
                <w:rFonts w:ascii="Arial Narrow" w:hAnsi="Arial Narrow" w:cs="Calibri"/>
                <w:sz w:val="16"/>
                <w:szCs w:val="16"/>
              </w:rPr>
            </w:pPr>
            <w:r w:rsidRPr="008F7A9E">
              <w:rPr>
                <w:rFonts w:ascii="Arial Narrow" w:hAnsi="Arial Narrow" w:cs="Calibri"/>
                <w:sz w:val="16"/>
                <w:szCs w:val="16"/>
              </w:rPr>
              <w:t>213,2</w:t>
            </w:r>
          </w:p>
        </w:tc>
      </w:tr>
      <w:tr w:rsidR="008F7A9E" w:rsidRPr="00B10684" w14:paraId="34D7D026" w14:textId="77777777" w:rsidTr="005A18A5">
        <w:trPr>
          <w:trHeight w:val="251"/>
        </w:trPr>
        <w:tc>
          <w:tcPr>
            <w:tcW w:w="748" w:type="dxa"/>
            <w:tcBorders>
              <w:top w:val="nil"/>
              <w:left w:val="single" w:sz="4" w:space="0" w:color="auto"/>
              <w:bottom w:val="single" w:sz="4" w:space="0" w:color="auto"/>
              <w:right w:val="single" w:sz="4" w:space="0" w:color="auto"/>
            </w:tcBorders>
            <w:shd w:val="clear" w:color="auto" w:fill="auto"/>
            <w:vAlign w:val="center"/>
            <w:hideMark/>
          </w:tcPr>
          <w:p w14:paraId="3ED9AF54" w14:textId="77777777" w:rsidR="008F7A9E" w:rsidRPr="008F7A9E" w:rsidRDefault="008F7A9E" w:rsidP="008F7A9E">
            <w:pPr>
              <w:rPr>
                <w:rFonts w:ascii="Arial Narrow" w:hAnsi="Arial Narrow" w:cs="Calibri"/>
                <w:sz w:val="16"/>
                <w:szCs w:val="16"/>
              </w:rPr>
            </w:pPr>
            <w:r w:rsidRPr="008F7A9E">
              <w:rPr>
                <w:rFonts w:ascii="Arial Narrow" w:hAnsi="Arial Narrow" w:cs="Calibri"/>
                <w:sz w:val="16"/>
                <w:szCs w:val="16"/>
              </w:rPr>
              <w:t>11.5</w:t>
            </w:r>
          </w:p>
        </w:tc>
        <w:tc>
          <w:tcPr>
            <w:tcW w:w="4419" w:type="dxa"/>
            <w:tcBorders>
              <w:top w:val="nil"/>
              <w:left w:val="nil"/>
              <w:bottom w:val="single" w:sz="4" w:space="0" w:color="auto"/>
              <w:right w:val="single" w:sz="4" w:space="0" w:color="auto"/>
            </w:tcBorders>
            <w:shd w:val="clear" w:color="auto" w:fill="auto"/>
            <w:vAlign w:val="center"/>
            <w:hideMark/>
          </w:tcPr>
          <w:p w14:paraId="4028054E" w14:textId="77777777" w:rsidR="008F7A9E" w:rsidRPr="008F7A9E" w:rsidRDefault="008F7A9E" w:rsidP="008F7A9E">
            <w:pPr>
              <w:ind w:firstLineChars="100" w:firstLine="160"/>
              <w:rPr>
                <w:rFonts w:ascii="Arial Narrow" w:hAnsi="Arial Narrow" w:cs="Calibri"/>
                <w:sz w:val="16"/>
                <w:szCs w:val="16"/>
              </w:rPr>
            </w:pPr>
            <w:r w:rsidRPr="008F7A9E">
              <w:rPr>
                <w:rFonts w:ascii="Arial Narrow" w:hAnsi="Arial Narrow" w:cs="Calibri"/>
                <w:sz w:val="16"/>
                <w:szCs w:val="16"/>
              </w:rPr>
              <w:t>Птици</w:t>
            </w:r>
          </w:p>
        </w:tc>
        <w:tc>
          <w:tcPr>
            <w:tcW w:w="1185" w:type="dxa"/>
            <w:tcBorders>
              <w:top w:val="nil"/>
              <w:left w:val="nil"/>
              <w:bottom w:val="single" w:sz="4" w:space="0" w:color="auto"/>
              <w:right w:val="single" w:sz="4" w:space="0" w:color="auto"/>
            </w:tcBorders>
            <w:shd w:val="clear" w:color="auto" w:fill="auto"/>
            <w:vAlign w:val="center"/>
            <w:hideMark/>
          </w:tcPr>
          <w:p w14:paraId="5A60485E" w14:textId="77777777" w:rsidR="008F7A9E" w:rsidRPr="008F7A9E" w:rsidRDefault="008F7A9E" w:rsidP="008F7A9E">
            <w:pPr>
              <w:jc w:val="right"/>
              <w:rPr>
                <w:rFonts w:ascii="Arial Narrow" w:hAnsi="Arial Narrow" w:cs="Calibri"/>
                <w:sz w:val="16"/>
                <w:szCs w:val="16"/>
              </w:rPr>
            </w:pPr>
            <w:r w:rsidRPr="008F7A9E">
              <w:rPr>
                <w:rFonts w:ascii="Arial Narrow" w:hAnsi="Arial Narrow" w:cs="Calibri"/>
                <w:sz w:val="16"/>
                <w:szCs w:val="16"/>
              </w:rPr>
              <w:t>369,7</w:t>
            </w:r>
          </w:p>
        </w:tc>
        <w:tc>
          <w:tcPr>
            <w:tcW w:w="1028" w:type="dxa"/>
            <w:tcBorders>
              <w:top w:val="nil"/>
              <w:left w:val="nil"/>
              <w:bottom w:val="single" w:sz="4" w:space="0" w:color="auto"/>
              <w:right w:val="single" w:sz="4" w:space="0" w:color="auto"/>
            </w:tcBorders>
            <w:shd w:val="clear" w:color="auto" w:fill="auto"/>
            <w:vAlign w:val="center"/>
            <w:hideMark/>
          </w:tcPr>
          <w:p w14:paraId="3AC51F7B" w14:textId="77777777" w:rsidR="008F7A9E" w:rsidRPr="008F7A9E" w:rsidRDefault="008F7A9E" w:rsidP="008F7A9E">
            <w:pPr>
              <w:jc w:val="right"/>
              <w:rPr>
                <w:rFonts w:ascii="Arial Narrow" w:hAnsi="Arial Narrow" w:cs="Calibri"/>
                <w:sz w:val="16"/>
                <w:szCs w:val="16"/>
              </w:rPr>
            </w:pPr>
            <w:r w:rsidRPr="008F7A9E">
              <w:rPr>
                <w:rFonts w:ascii="Arial Narrow" w:hAnsi="Arial Narrow" w:cs="Calibri"/>
                <w:sz w:val="16"/>
                <w:szCs w:val="16"/>
              </w:rPr>
              <w:t>18,2</w:t>
            </w:r>
          </w:p>
        </w:tc>
        <w:tc>
          <w:tcPr>
            <w:tcW w:w="1217" w:type="dxa"/>
            <w:tcBorders>
              <w:top w:val="nil"/>
              <w:left w:val="nil"/>
              <w:bottom w:val="single" w:sz="4" w:space="0" w:color="auto"/>
              <w:right w:val="single" w:sz="4" w:space="0" w:color="auto"/>
            </w:tcBorders>
            <w:shd w:val="clear" w:color="auto" w:fill="auto"/>
            <w:vAlign w:val="center"/>
            <w:hideMark/>
          </w:tcPr>
          <w:p w14:paraId="375589A6" w14:textId="77777777" w:rsidR="008F7A9E" w:rsidRPr="008F7A9E" w:rsidRDefault="008F7A9E" w:rsidP="008F7A9E">
            <w:pPr>
              <w:jc w:val="right"/>
              <w:rPr>
                <w:rFonts w:ascii="Arial Narrow" w:hAnsi="Arial Narrow" w:cs="Calibri"/>
                <w:sz w:val="16"/>
                <w:szCs w:val="16"/>
              </w:rPr>
            </w:pPr>
            <w:r w:rsidRPr="008F7A9E">
              <w:rPr>
                <w:rFonts w:ascii="Arial Narrow" w:hAnsi="Arial Narrow" w:cs="Calibri"/>
                <w:sz w:val="16"/>
                <w:szCs w:val="16"/>
              </w:rPr>
              <w:t>436,9</w:t>
            </w:r>
          </w:p>
        </w:tc>
        <w:tc>
          <w:tcPr>
            <w:tcW w:w="1075" w:type="dxa"/>
            <w:tcBorders>
              <w:top w:val="nil"/>
              <w:left w:val="nil"/>
              <w:bottom w:val="single" w:sz="4" w:space="0" w:color="auto"/>
              <w:right w:val="single" w:sz="4" w:space="0" w:color="auto"/>
            </w:tcBorders>
            <w:shd w:val="clear" w:color="auto" w:fill="auto"/>
            <w:vAlign w:val="center"/>
            <w:hideMark/>
          </w:tcPr>
          <w:p w14:paraId="678E8895" w14:textId="77777777" w:rsidR="008F7A9E" w:rsidRPr="008F7A9E" w:rsidRDefault="008F7A9E" w:rsidP="008F7A9E">
            <w:pPr>
              <w:jc w:val="right"/>
              <w:rPr>
                <w:rFonts w:ascii="Arial Narrow" w:hAnsi="Arial Narrow" w:cs="Calibri"/>
                <w:sz w:val="16"/>
                <w:szCs w:val="16"/>
              </w:rPr>
            </w:pPr>
            <w:r w:rsidRPr="008F7A9E">
              <w:rPr>
                <w:rFonts w:ascii="Arial Narrow" w:hAnsi="Arial Narrow" w:cs="Calibri"/>
                <w:sz w:val="16"/>
                <w:szCs w:val="16"/>
              </w:rPr>
              <w:t>-7,2</w:t>
            </w:r>
          </w:p>
        </w:tc>
        <w:tc>
          <w:tcPr>
            <w:tcW w:w="1233" w:type="dxa"/>
            <w:tcBorders>
              <w:top w:val="nil"/>
              <w:left w:val="nil"/>
              <w:bottom w:val="single" w:sz="4" w:space="0" w:color="auto"/>
              <w:right w:val="single" w:sz="4" w:space="0" w:color="auto"/>
            </w:tcBorders>
            <w:shd w:val="clear" w:color="auto" w:fill="auto"/>
            <w:vAlign w:val="center"/>
            <w:hideMark/>
          </w:tcPr>
          <w:p w14:paraId="621AAFD1" w14:textId="77777777" w:rsidR="008F7A9E" w:rsidRPr="008F7A9E" w:rsidRDefault="008F7A9E" w:rsidP="008F7A9E">
            <w:pPr>
              <w:jc w:val="right"/>
              <w:rPr>
                <w:rFonts w:ascii="Arial Narrow" w:hAnsi="Arial Narrow" w:cs="Calibri"/>
                <w:sz w:val="16"/>
                <w:szCs w:val="16"/>
              </w:rPr>
            </w:pPr>
            <w:r w:rsidRPr="008F7A9E">
              <w:rPr>
                <w:rFonts w:ascii="Arial Narrow" w:hAnsi="Arial Narrow" w:cs="Calibri"/>
                <w:sz w:val="16"/>
                <w:szCs w:val="16"/>
              </w:rPr>
              <w:t>405,4</w:t>
            </w:r>
          </w:p>
        </w:tc>
      </w:tr>
      <w:tr w:rsidR="008F7A9E" w:rsidRPr="00B10684" w14:paraId="55035EC9" w14:textId="77777777" w:rsidTr="005A18A5">
        <w:trPr>
          <w:trHeight w:val="251"/>
        </w:trPr>
        <w:tc>
          <w:tcPr>
            <w:tcW w:w="748" w:type="dxa"/>
            <w:tcBorders>
              <w:top w:val="nil"/>
              <w:left w:val="single" w:sz="4" w:space="0" w:color="auto"/>
              <w:bottom w:val="single" w:sz="4" w:space="0" w:color="auto"/>
              <w:right w:val="single" w:sz="4" w:space="0" w:color="auto"/>
            </w:tcBorders>
            <w:shd w:val="clear" w:color="auto" w:fill="auto"/>
            <w:vAlign w:val="center"/>
            <w:hideMark/>
          </w:tcPr>
          <w:p w14:paraId="565918DF" w14:textId="77777777" w:rsidR="008F7A9E" w:rsidRPr="008F7A9E" w:rsidRDefault="008F7A9E" w:rsidP="008F7A9E">
            <w:pPr>
              <w:rPr>
                <w:rFonts w:ascii="Arial Narrow" w:hAnsi="Arial Narrow" w:cs="Calibri"/>
                <w:sz w:val="16"/>
                <w:szCs w:val="16"/>
              </w:rPr>
            </w:pPr>
            <w:r w:rsidRPr="008F7A9E">
              <w:rPr>
                <w:rFonts w:ascii="Arial Narrow" w:hAnsi="Arial Narrow" w:cs="Calibri"/>
                <w:sz w:val="16"/>
                <w:szCs w:val="16"/>
              </w:rPr>
              <w:t>11.6</w:t>
            </w:r>
          </w:p>
        </w:tc>
        <w:tc>
          <w:tcPr>
            <w:tcW w:w="4419" w:type="dxa"/>
            <w:tcBorders>
              <w:top w:val="nil"/>
              <w:left w:val="nil"/>
              <w:bottom w:val="single" w:sz="4" w:space="0" w:color="auto"/>
              <w:right w:val="single" w:sz="4" w:space="0" w:color="auto"/>
            </w:tcBorders>
            <w:shd w:val="clear" w:color="auto" w:fill="auto"/>
            <w:vAlign w:val="center"/>
            <w:hideMark/>
          </w:tcPr>
          <w:p w14:paraId="331BFF66" w14:textId="77777777" w:rsidR="008F7A9E" w:rsidRPr="008F7A9E" w:rsidRDefault="008F7A9E" w:rsidP="008F7A9E">
            <w:pPr>
              <w:ind w:firstLineChars="100" w:firstLine="160"/>
              <w:rPr>
                <w:rFonts w:ascii="Arial Narrow" w:hAnsi="Arial Narrow" w:cs="Calibri"/>
                <w:sz w:val="16"/>
                <w:szCs w:val="16"/>
              </w:rPr>
            </w:pPr>
            <w:r w:rsidRPr="008F7A9E">
              <w:rPr>
                <w:rFonts w:ascii="Arial Narrow" w:hAnsi="Arial Narrow" w:cs="Calibri"/>
                <w:sz w:val="16"/>
                <w:szCs w:val="16"/>
              </w:rPr>
              <w:t>Други животни</w:t>
            </w:r>
          </w:p>
        </w:tc>
        <w:tc>
          <w:tcPr>
            <w:tcW w:w="1185" w:type="dxa"/>
            <w:tcBorders>
              <w:top w:val="nil"/>
              <w:left w:val="nil"/>
              <w:bottom w:val="single" w:sz="4" w:space="0" w:color="auto"/>
              <w:right w:val="single" w:sz="4" w:space="0" w:color="auto"/>
            </w:tcBorders>
            <w:shd w:val="clear" w:color="auto" w:fill="auto"/>
            <w:vAlign w:val="center"/>
            <w:hideMark/>
          </w:tcPr>
          <w:p w14:paraId="5421C478" w14:textId="77777777" w:rsidR="008F7A9E" w:rsidRPr="008F7A9E" w:rsidRDefault="008F7A9E" w:rsidP="008F7A9E">
            <w:pPr>
              <w:jc w:val="right"/>
              <w:rPr>
                <w:rFonts w:ascii="Arial Narrow" w:hAnsi="Arial Narrow" w:cs="Calibri"/>
                <w:sz w:val="16"/>
                <w:szCs w:val="16"/>
              </w:rPr>
            </w:pPr>
            <w:r w:rsidRPr="008F7A9E">
              <w:rPr>
                <w:rFonts w:ascii="Arial Narrow" w:hAnsi="Arial Narrow" w:cs="Calibri"/>
                <w:sz w:val="16"/>
                <w:szCs w:val="16"/>
              </w:rPr>
              <w:t> </w:t>
            </w:r>
          </w:p>
        </w:tc>
        <w:tc>
          <w:tcPr>
            <w:tcW w:w="1028" w:type="dxa"/>
            <w:tcBorders>
              <w:top w:val="nil"/>
              <w:left w:val="nil"/>
              <w:bottom w:val="single" w:sz="4" w:space="0" w:color="auto"/>
              <w:right w:val="single" w:sz="4" w:space="0" w:color="auto"/>
            </w:tcBorders>
            <w:shd w:val="clear" w:color="auto" w:fill="auto"/>
            <w:vAlign w:val="center"/>
            <w:hideMark/>
          </w:tcPr>
          <w:p w14:paraId="2E7B1652" w14:textId="77777777" w:rsidR="008F7A9E" w:rsidRPr="008F7A9E" w:rsidRDefault="008F7A9E" w:rsidP="008F7A9E">
            <w:pPr>
              <w:rPr>
                <w:rFonts w:ascii="Arial Narrow" w:hAnsi="Arial Narrow" w:cs="Calibri"/>
                <w:sz w:val="16"/>
                <w:szCs w:val="16"/>
              </w:rPr>
            </w:pPr>
            <w:r w:rsidRPr="008F7A9E">
              <w:rPr>
                <w:rFonts w:ascii="Arial Narrow" w:hAnsi="Arial Narrow" w:cs="Calibri"/>
                <w:sz w:val="16"/>
                <w:szCs w:val="16"/>
              </w:rPr>
              <w:t> </w:t>
            </w:r>
          </w:p>
        </w:tc>
        <w:tc>
          <w:tcPr>
            <w:tcW w:w="1217" w:type="dxa"/>
            <w:tcBorders>
              <w:top w:val="nil"/>
              <w:left w:val="nil"/>
              <w:bottom w:val="single" w:sz="4" w:space="0" w:color="auto"/>
              <w:right w:val="single" w:sz="4" w:space="0" w:color="auto"/>
            </w:tcBorders>
            <w:shd w:val="clear" w:color="auto" w:fill="auto"/>
            <w:vAlign w:val="center"/>
            <w:hideMark/>
          </w:tcPr>
          <w:p w14:paraId="431422C1" w14:textId="77777777" w:rsidR="008F7A9E" w:rsidRPr="008F7A9E" w:rsidRDefault="008F7A9E" w:rsidP="008F7A9E">
            <w:pPr>
              <w:jc w:val="right"/>
              <w:rPr>
                <w:rFonts w:ascii="Arial Narrow" w:hAnsi="Arial Narrow" w:cs="Calibri"/>
                <w:sz w:val="16"/>
                <w:szCs w:val="16"/>
              </w:rPr>
            </w:pPr>
            <w:r w:rsidRPr="008F7A9E">
              <w:rPr>
                <w:rFonts w:ascii="Arial Narrow" w:hAnsi="Arial Narrow" w:cs="Calibri"/>
                <w:sz w:val="16"/>
                <w:szCs w:val="16"/>
              </w:rPr>
              <w:t> </w:t>
            </w:r>
          </w:p>
        </w:tc>
        <w:tc>
          <w:tcPr>
            <w:tcW w:w="1075" w:type="dxa"/>
            <w:tcBorders>
              <w:top w:val="nil"/>
              <w:left w:val="nil"/>
              <w:bottom w:val="single" w:sz="4" w:space="0" w:color="auto"/>
              <w:right w:val="single" w:sz="4" w:space="0" w:color="auto"/>
            </w:tcBorders>
            <w:shd w:val="clear" w:color="auto" w:fill="auto"/>
            <w:vAlign w:val="center"/>
            <w:hideMark/>
          </w:tcPr>
          <w:p w14:paraId="76860D38" w14:textId="77777777" w:rsidR="008F7A9E" w:rsidRPr="008F7A9E" w:rsidRDefault="008F7A9E" w:rsidP="008F7A9E">
            <w:pPr>
              <w:rPr>
                <w:rFonts w:ascii="Arial Narrow" w:hAnsi="Arial Narrow" w:cs="Calibri"/>
                <w:sz w:val="16"/>
                <w:szCs w:val="16"/>
              </w:rPr>
            </w:pPr>
            <w:r w:rsidRPr="008F7A9E">
              <w:rPr>
                <w:rFonts w:ascii="Arial Narrow" w:hAnsi="Arial Narrow" w:cs="Calibri"/>
                <w:sz w:val="16"/>
                <w:szCs w:val="16"/>
              </w:rPr>
              <w:t> </w:t>
            </w:r>
          </w:p>
        </w:tc>
        <w:tc>
          <w:tcPr>
            <w:tcW w:w="1233" w:type="dxa"/>
            <w:tcBorders>
              <w:top w:val="nil"/>
              <w:left w:val="nil"/>
              <w:bottom w:val="single" w:sz="4" w:space="0" w:color="auto"/>
              <w:right w:val="single" w:sz="4" w:space="0" w:color="auto"/>
            </w:tcBorders>
            <w:shd w:val="clear" w:color="auto" w:fill="auto"/>
            <w:vAlign w:val="center"/>
            <w:hideMark/>
          </w:tcPr>
          <w:p w14:paraId="0FB605A6" w14:textId="77777777" w:rsidR="008F7A9E" w:rsidRPr="008F7A9E" w:rsidRDefault="008F7A9E" w:rsidP="008F7A9E">
            <w:pPr>
              <w:jc w:val="right"/>
              <w:rPr>
                <w:rFonts w:ascii="Arial Narrow" w:hAnsi="Arial Narrow" w:cs="Calibri"/>
                <w:sz w:val="16"/>
                <w:szCs w:val="16"/>
              </w:rPr>
            </w:pPr>
            <w:r w:rsidRPr="008F7A9E">
              <w:rPr>
                <w:rFonts w:ascii="Arial Narrow" w:hAnsi="Arial Narrow" w:cs="Calibri"/>
                <w:sz w:val="16"/>
                <w:szCs w:val="16"/>
              </w:rPr>
              <w:t> </w:t>
            </w:r>
          </w:p>
        </w:tc>
      </w:tr>
      <w:tr w:rsidR="008F7A9E" w:rsidRPr="00B10684" w14:paraId="2F1C5949" w14:textId="77777777" w:rsidTr="005A18A5">
        <w:trPr>
          <w:trHeight w:val="251"/>
        </w:trPr>
        <w:tc>
          <w:tcPr>
            <w:tcW w:w="748" w:type="dxa"/>
            <w:tcBorders>
              <w:top w:val="nil"/>
              <w:left w:val="single" w:sz="4" w:space="0" w:color="auto"/>
              <w:bottom w:val="single" w:sz="4" w:space="0" w:color="auto"/>
              <w:right w:val="single" w:sz="4" w:space="0" w:color="auto"/>
            </w:tcBorders>
            <w:shd w:val="clear" w:color="auto" w:fill="auto"/>
            <w:vAlign w:val="center"/>
            <w:hideMark/>
          </w:tcPr>
          <w:p w14:paraId="7D5828AC" w14:textId="77777777" w:rsidR="008F7A9E" w:rsidRPr="008F7A9E" w:rsidRDefault="008F7A9E" w:rsidP="008F7A9E">
            <w:pPr>
              <w:rPr>
                <w:rFonts w:ascii="Arial Narrow" w:hAnsi="Arial Narrow" w:cs="Calibri"/>
                <w:sz w:val="16"/>
                <w:szCs w:val="16"/>
              </w:rPr>
            </w:pPr>
            <w:r w:rsidRPr="008F7A9E">
              <w:rPr>
                <w:rFonts w:ascii="Arial Narrow" w:hAnsi="Arial Narrow" w:cs="Calibri"/>
                <w:sz w:val="16"/>
                <w:szCs w:val="16"/>
              </w:rPr>
              <w:t>12</w:t>
            </w:r>
          </w:p>
        </w:tc>
        <w:tc>
          <w:tcPr>
            <w:tcW w:w="4419" w:type="dxa"/>
            <w:tcBorders>
              <w:top w:val="nil"/>
              <w:left w:val="nil"/>
              <w:bottom w:val="single" w:sz="4" w:space="0" w:color="auto"/>
              <w:right w:val="single" w:sz="4" w:space="0" w:color="auto"/>
            </w:tcBorders>
            <w:shd w:val="clear" w:color="auto" w:fill="auto"/>
            <w:vAlign w:val="center"/>
            <w:hideMark/>
          </w:tcPr>
          <w:p w14:paraId="3A1D3EA7" w14:textId="77777777" w:rsidR="008F7A9E" w:rsidRPr="008F7A9E" w:rsidRDefault="008F7A9E" w:rsidP="008F7A9E">
            <w:pPr>
              <w:rPr>
                <w:rFonts w:ascii="Arial Narrow" w:hAnsi="Arial Narrow" w:cs="Calibri"/>
                <w:sz w:val="16"/>
                <w:szCs w:val="16"/>
              </w:rPr>
            </w:pPr>
            <w:r w:rsidRPr="008F7A9E">
              <w:rPr>
                <w:rFonts w:ascii="Arial Narrow" w:hAnsi="Arial Narrow" w:cs="Calibri"/>
                <w:sz w:val="16"/>
                <w:szCs w:val="16"/>
              </w:rPr>
              <w:t>Продукти от животновъдството</w:t>
            </w:r>
          </w:p>
        </w:tc>
        <w:tc>
          <w:tcPr>
            <w:tcW w:w="1185" w:type="dxa"/>
            <w:tcBorders>
              <w:top w:val="nil"/>
              <w:left w:val="nil"/>
              <w:bottom w:val="single" w:sz="4" w:space="0" w:color="auto"/>
              <w:right w:val="single" w:sz="4" w:space="0" w:color="auto"/>
            </w:tcBorders>
            <w:shd w:val="clear" w:color="auto" w:fill="auto"/>
            <w:vAlign w:val="center"/>
            <w:hideMark/>
          </w:tcPr>
          <w:p w14:paraId="0EF9635D" w14:textId="77777777" w:rsidR="008F7A9E" w:rsidRPr="008F7A9E" w:rsidRDefault="008F7A9E" w:rsidP="008F7A9E">
            <w:pPr>
              <w:jc w:val="right"/>
              <w:rPr>
                <w:rFonts w:ascii="Arial Narrow" w:hAnsi="Arial Narrow" w:cs="Calibri"/>
                <w:sz w:val="16"/>
                <w:szCs w:val="16"/>
              </w:rPr>
            </w:pPr>
            <w:r w:rsidRPr="008F7A9E">
              <w:rPr>
                <w:rFonts w:ascii="Arial Narrow" w:hAnsi="Arial Narrow" w:cs="Calibri"/>
                <w:sz w:val="16"/>
                <w:szCs w:val="16"/>
              </w:rPr>
              <w:t>1 182,6</w:t>
            </w:r>
          </w:p>
        </w:tc>
        <w:tc>
          <w:tcPr>
            <w:tcW w:w="1028" w:type="dxa"/>
            <w:tcBorders>
              <w:top w:val="nil"/>
              <w:left w:val="nil"/>
              <w:bottom w:val="single" w:sz="4" w:space="0" w:color="auto"/>
              <w:right w:val="single" w:sz="4" w:space="0" w:color="auto"/>
            </w:tcBorders>
            <w:shd w:val="clear" w:color="auto" w:fill="auto"/>
            <w:vAlign w:val="center"/>
            <w:hideMark/>
          </w:tcPr>
          <w:p w14:paraId="1065A055" w14:textId="77777777" w:rsidR="008F7A9E" w:rsidRPr="008F7A9E" w:rsidRDefault="008F7A9E" w:rsidP="008F7A9E">
            <w:pPr>
              <w:jc w:val="right"/>
              <w:rPr>
                <w:rFonts w:ascii="Arial Narrow" w:hAnsi="Arial Narrow" w:cs="Calibri"/>
                <w:sz w:val="16"/>
                <w:szCs w:val="16"/>
              </w:rPr>
            </w:pPr>
            <w:r w:rsidRPr="008F7A9E">
              <w:rPr>
                <w:rFonts w:ascii="Arial Narrow" w:hAnsi="Arial Narrow" w:cs="Calibri"/>
                <w:sz w:val="16"/>
                <w:szCs w:val="16"/>
              </w:rPr>
              <w:t>-0,8</w:t>
            </w:r>
          </w:p>
        </w:tc>
        <w:tc>
          <w:tcPr>
            <w:tcW w:w="1217" w:type="dxa"/>
            <w:tcBorders>
              <w:top w:val="nil"/>
              <w:left w:val="nil"/>
              <w:bottom w:val="single" w:sz="4" w:space="0" w:color="auto"/>
              <w:right w:val="single" w:sz="4" w:space="0" w:color="auto"/>
            </w:tcBorders>
            <w:shd w:val="clear" w:color="auto" w:fill="auto"/>
            <w:vAlign w:val="center"/>
            <w:hideMark/>
          </w:tcPr>
          <w:p w14:paraId="25C4A38A" w14:textId="77777777" w:rsidR="008F7A9E" w:rsidRPr="008F7A9E" w:rsidRDefault="008F7A9E" w:rsidP="008F7A9E">
            <w:pPr>
              <w:jc w:val="right"/>
              <w:rPr>
                <w:rFonts w:ascii="Arial Narrow" w:hAnsi="Arial Narrow" w:cs="Calibri"/>
                <w:sz w:val="16"/>
                <w:szCs w:val="16"/>
              </w:rPr>
            </w:pPr>
            <w:r w:rsidRPr="008F7A9E">
              <w:rPr>
                <w:rFonts w:ascii="Arial Narrow" w:hAnsi="Arial Narrow" w:cs="Calibri"/>
                <w:sz w:val="16"/>
                <w:szCs w:val="16"/>
              </w:rPr>
              <w:t>1 172,7</w:t>
            </w:r>
          </w:p>
        </w:tc>
        <w:tc>
          <w:tcPr>
            <w:tcW w:w="1075" w:type="dxa"/>
            <w:tcBorders>
              <w:top w:val="nil"/>
              <w:left w:val="nil"/>
              <w:bottom w:val="single" w:sz="4" w:space="0" w:color="auto"/>
              <w:right w:val="single" w:sz="4" w:space="0" w:color="auto"/>
            </w:tcBorders>
            <w:shd w:val="clear" w:color="auto" w:fill="auto"/>
            <w:vAlign w:val="center"/>
            <w:hideMark/>
          </w:tcPr>
          <w:p w14:paraId="03C2A3A1" w14:textId="77777777" w:rsidR="008F7A9E" w:rsidRPr="008F7A9E" w:rsidRDefault="008F7A9E" w:rsidP="008F7A9E">
            <w:pPr>
              <w:jc w:val="right"/>
              <w:rPr>
                <w:rFonts w:ascii="Arial Narrow" w:hAnsi="Arial Narrow" w:cs="Calibri"/>
                <w:sz w:val="16"/>
                <w:szCs w:val="16"/>
              </w:rPr>
            </w:pPr>
            <w:r w:rsidRPr="008F7A9E">
              <w:rPr>
                <w:rFonts w:ascii="Arial Narrow" w:hAnsi="Arial Narrow" w:cs="Calibri"/>
                <w:sz w:val="16"/>
                <w:szCs w:val="16"/>
              </w:rPr>
              <w:t>-7,7</w:t>
            </w:r>
          </w:p>
        </w:tc>
        <w:tc>
          <w:tcPr>
            <w:tcW w:w="1233" w:type="dxa"/>
            <w:tcBorders>
              <w:top w:val="nil"/>
              <w:left w:val="nil"/>
              <w:bottom w:val="single" w:sz="4" w:space="0" w:color="auto"/>
              <w:right w:val="single" w:sz="4" w:space="0" w:color="auto"/>
            </w:tcBorders>
            <w:shd w:val="clear" w:color="auto" w:fill="auto"/>
            <w:vAlign w:val="center"/>
            <w:hideMark/>
          </w:tcPr>
          <w:p w14:paraId="5D0BF755" w14:textId="77777777" w:rsidR="008F7A9E" w:rsidRPr="008F7A9E" w:rsidRDefault="008F7A9E" w:rsidP="008F7A9E">
            <w:pPr>
              <w:jc w:val="right"/>
              <w:rPr>
                <w:rFonts w:ascii="Arial Narrow" w:hAnsi="Arial Narrow" w:cs="Calibri"/>
                <w:sz w:val="16"/>
                <w:szCs w:val="16"/>
              </w:rPr>
            </w:pPr>
            <w:r w:rsidRPr="008F7A9E">
              <w:rPr>
                <w:rFonts w:ascii="Arial Narrow" w:hAnsi="Arial Narrow" w:cs="Calibri"/>
                <w:sz w:val="16"/>
                <w:szCs w:val="16"/>
              </w:rPr>
              <w:t>1 082,5</w:t>
            </w:r>
          </w:p>
        </w:tc>
      </w:tr>
      <w:tr w:rsidR="008F7A9E" w:rsidRPr="00B10684" w14:paraId="4081E260" w14:textId="77777777" w:rsidTr="005A18A5">
        <w:trPr>
          <w:trHeight w:val="251"/>
        </w:trPr>
        <w:tc>
          <w:tcPr>
            <w:tcW w:w="748" w:type="dxa"/>
            <w:tcBorders>
              <w:top w:val="nil"/>
              <w:left w:val="single" w:sz="4" w:space="0" w:color="auto"/>
              <w:bottom w:val="single" w:sz="4" w:space="0" w:color="auto"/>
              <w:right w:val="single" w:sz="4" w:space="0" w:color="auto"/>
            </w:tcBorders>
            <w:shd w:val="clear" w:color="auto" w:fill="auto"/>
            <w:vAlign w:val="center"/>
            <w:hideMark/>
          </w:tcPr>
          <w:p w14:paraId="6D9A2474" w14:textId="77777777" w:rsidR="008F7A9E" w:rsidRPr="008F7A9E" w:rsidRDefault="008F7A9E" w:rsidP="008F7A9E">
            <w:pPr>
              <w:rPr>
                <w:rFonts w:ascii="Arial Narrow" w:hAnsi="Arial Narrow" w:cs="Calibri"/>
                <w:sz w:val="16"/>
                <w:szCs w:val="16"/>
              </w:rPr>
            </w:pPr>
            <w:r w:rsidRPr="008F7A9E">
              <w:rPr>
                <w:rFonts w:ascii="Arial Narrow" w:hAnsi="Arial Narrow" w:cs="Calibri"/>
                <w:sz w:val="16"/>
                <w:szCs w:val="16"/>
              </w:rPr>
              <w:t>12.1</w:t>
            </w:r>
          </w:p>
        </w:tc>
        <w:tc>
          <w:tcPr>
            <w:tcW w:w="4419" w:type="dxa"/>
            <w:tcBorders>
              <w:top w:val="nil"/>
              <w:left w:val="nil"/>
              <w:bottom w:val="single" w:sz="4" w:space="0" w:color="auto"/>
              <w:right w:val="single" w:sz="4" w:space="0" w:color="auto"/>
            </w:tcBorders>
            <w:shd w:val="clear" w:color="auto" w:fill="auto"/>
            <w:vAlign w:val="center"/>
            <w:hideMark/>
          </w:tcPr>
          <w:p w14:paraId="4D75554D" w14:textId="77777777" w:rsidR="008F7A9E" w:rsidRPr="008F7A9E" w:rsidRDefault="008F7A9E" w:rsidP="008F7A9E">
            <w:pPr>
              <w:ind w:firstLineChars="100" w:firstLine="160"/>
              <w:rPr>
                <w:rFonts w:ascii="Arial Narrow" w:hAnsi="Arial Narrow" w:cs="Calibri"/>
                <w:sz w:val="16"/>
                <w:szCs w:val="16"/>
              </w:rPr>
            </w:pPr>
            <w:r w:rsidRPr="008F7A9E">
              <w:rPr>
                <w:rFonts w:ascii="Arial Narrow" w:hAnsi="Arial Narrow" w:cs="Calibri"/>
                <w:sz w:val="16"/>
                <w:szCs w:val="16"/>
              </w:rPr>
              <w:t>Мляко</w:t>
            </w:r>
          </w:p>
        </w:tc>
        <w:tc>
          <w:tcPr>
            <w:tcW w:w="1185" w:type="dxa"/>
            <w:tcBorders>
              <w:top w:val="nil"/>
              <w:left w:val="nil"/>
              <w:bottom w:val="single" w:sz="4" w:space="0" w:color="auto"/>
              <w:right w:val="single" w:sz="4" w:space="0" w:color="auto"/>
            </w:tcBorders>
            <w:shd w:val="clear" w:color="auto" w:fill="auto"/>
            <w:vAlign w:val="center"/>
            <w:hideMark/>
          </w:tcPr>
          <w:p w14:paraId="295638D3" w14:textId="77777777" w:rsidR="008F7A9E" w:rsidRPr="008F7A9E" w:rsidRDefault="008F7A9E" w:rsidP="008F7A9E">
            <w:pPr>
              <w:jc w:val="right"/>
              <w:rPr>
                <w:rFonts w:ascii="Arial Narrow" w:hAnsi="Arial Narrow" w:cs="Calibri"/>
                <w:sz w:val="16"/>
                <w:szCs w:val="16"/>
              </w:rPr>
            </w:pPr>
            <w:r w:rsidRPr="008F7A9E">
              <w:rPr>
                <w:rFonts w:ascii="Arial Narrow" w:hAnsi="Arial Narrow" w:cs="Calibri"/>
                <w:sz w:val="16"/>
                <w:szCs w:val="16"/>
              </w:rPr>
              <w:t>812,9</w:t>
            </w:r>
          </w:p>
        </w:tc>
        <w:tc>
          <w:tcPr>
            <w:tcW w:w="1028" w:type="dxa"/>
            <w:tcBorders>
              <w:top w:val="nil"/>
              <w:left w:val="nil"/>
              <w:bottom w:val="single" w:sz="4" w:space="0" w:color="auto"/>
              <w:right w:val="single" w:sz="4" w:space="0" w:color="auto"/>
            </w:tcBorders>
            <w:shd w:val="clear" w:color="auto" w:fill="auto"/>
            <w:vAlign w:val="center"/>
            <w:hideMark/>
          </w:tcPr>
          <w:p w14:paraId="6BCEC5ED" w14:textId="77777777" w:rsidR="008F7A9E" w:rsidRPr="008F7A9E" w:rsidRDefault="008F7A9E" w:rsidP="008F7A9E">
            <w:pPr>
              <w:jc w:val="right"/>
              <w:rPr>
                <w:rFonts w:ascii="Arial Narrow" w:hAnsi="Arial Narrow" w:cs="Calibri"/>
                <w:sz w:val="16"/>
                <w:szCs w:val="16"/>
              </w:rPr>
            </w:pPr>
            <w:r w:rsidRPr="008F7A9E">
              <w:rPr>
                <w:rFonts w:ascii="Arial Narrow" w:hAnsi="Arial Narrow" w:cs="Calibri"/>
                <w:sz w:val="16"/>
                <w:szCs w:val="16"/>
              </w:rPr>
              <w:t>-9,6</w:t>
            </w:r>
          </w:p>
        </w:tc>
        <w:tc>
          <w:tcPr>
            <w:tcW w:w="1217" w:type="dxa"/>
            <w:tcBorders>
              <w:top w:val="nil"/>
              <w:left w:val="nil"/>
              <w:bottom w:val="single" w:sz="4" w:space="0" w:color="auto"/>
              <w:right w:val="single" w:sz="4" w:space="0" w:color="auto"/>
            </w:tcBorders>
            <w:shd w:val="clear" w:color="auto" w:fill="auto"/>
            <w:vAlign w:val="center"/>
            <w:hideMark/>
          </w:tcPr>
          <w:p w14:paraId="768BF5AD" w14:textId="77777777" w:rsidR="008F7A9E" w:rsidRPr="008F7A9E" w:rsidRDefault="008F7A9E" w:rsidP="008F7A9E">
            <w:pPr>
              <w:jc w:val="right"/>
              <w:rPr>
                <w:rFonts w:ascii="Arial Narrow" w:hAnsi="Arial Narrow" w:cs="Calibri"/>
                <w:sz w:val="16"/>
                <w:szCs w:val="16"/>
              </w:rPr>
            </w:pPr>
            <w:r w:rsidRPr="008F7A9E">
              <w:rPr>
                <w:rFonts w:ascii="Arial Narrow" w:hAnsi="Arial Narrow" w:cs="Calibri"/>
                <w:sz w:val="16"/>
                <w:szCs w:val="16"/>
              </w:rPr>
              <w:t>734,9</w:t>
            </w:r>
          </w:p>
        </w:tc>
        <w:tc>
          <w:tcPr>
            <w:tcW w:w="1075" w:type="dxa"/>
            <w:tcBorders>
              <w:top w:val="nil"/>
              <w:left w:val="nil"/>
              <w:bottom w:val="single" w:sz="4" w:space="0" w:color="auto"/>
              <w:right w:val="single" w:sz="4" w:space="0" w:color="auto"/>
            </w:tcBorders>
            <w:shd w:val="clear" w:color="auto" w:fill="auto"/>
            <w:vAlign w:val="center"/>
            <w:hideMark/>
          </w:tcPr>
          <w:p w14:paraId="725CF34B" w14:textId="77777777" w:rsidR="008F7A9E" w:rsidRPr="008F7A9E" w:rsidRDefault="008F7A9E" w:rsidP="008F7A9E">
            <w:pPr>
              <w:jc w:val="right"/>
              <w:rPr>
                <w:rFonts w:ascii="Arial Narrow" w:hAnsi="Arial Narrow" w:cs="Calibri"/>
                <w:sz w:val="16"/>
                <w:szCs w:val="16"/>
              </w:rPr>
            </w:pPr>
            <w:r w:rsidRPr="008F7A9E">
              <w:rPr>
                <w:rFonts w:ascii="Arial Narrow" w:hAnsi="Arial Narrow" w:cs="Calibri"/>
                <w:sz w:val="16"/>
                <w:szCs w:val="16"/>
              </w:rPr>
              <w:t>-1,3</w:t>
            </w:r>
          </w:p>
        </w:tc>
        <w:tc>
          <w:tcPr>
            <w:tcW w:w="1233" w:type="dxa"/>
            <w:tcBorders>
              <w:top w:val="nil"/>
              <w:left w:val="nil"/>
              <w:bottom w:val="single" w:sz="4" w:space="0" w:color="auto"/>
              <w:right w:val="single" w:sz="4" w:space="0" w:color="auto"/>
            </w:tcBorders>
            <w:shd w:val="clear" w:color="auto" w:fill="auto"/>
            <w:vAlign w:val="center"/>
            <w:hideMark/>
          </w:tcPr>
          <w:p w14:paraId="72EE716A" w14:textId="77777777" w:rsidR="008F7A9E" w:rsidRPr="008F7A9E" w:rsidRDefault="008F7A9E" w:rsidP="008F7A9E">
            <w:pPr>
              <w:jc w:val="right"/>
              <w:rPr>
                <w:rFonts w:ascii="Arial Narrow" w:hAnsi="Arial Narrow" w:cs="Calibri"/>
                <w:sz w:val="16"/>
                <w:szCs w:val="16"/>
              </w:rPr>
            </w:pPr>
            <w:r w:rsidRPr="008F7A9E">
              <w:rPr>
                <w:rFonts w:ascii="Arial Narrow" w:hAnsi="Arial Narrow" w:cs="Calibri"/>
                <w:sz w:val="16"/>
                <w:szCs w:val="16"/>
              </w:rPr>
              <w:t>725,5</w:t>
            </w:r>
          </w:p>
        </w:tc>
      </w:tr>
      <w:tr w:rsidR="008F7A9E" w:rsidRPr="00B10684" w14:paraId="5CC1FACB" w14:textId="77777777" w:rsidTr="005A18A5">
        <w:trPr>
          <w:trHeight w:val="251"/>
        </w:trPr>
        <w:tc>
          <w:tcPr>
            <w:tcW w:w="748" w:type="dxa"/>
            <w:tcBorders>
              <w:top w:val="nil"/>
              <w:left w:val="single" w:sz="4" w:space="0" w:color="auto"/>
              <w:bottom w:val="single" w:sz="4" w:space="0" w:color="auto"/>
              <w:right w:val="single" w:sz="4" w:space="0" w:color="auto"/>
            </w:tcBorders>
            <w:shd w:val="clear" w:color="auto" w:fill="auto"/>
            <w:vAlign w:val="center"/>
            <w:hideMark/>
          </w:tcPr>
          <w:p w14:paraId="51D641E2" w14:textId="77777777" w:rsidR="008F7A9E" w:rsidRPr="008F7A9E" w:rsidRDefault="008F7A9E" w:rsidP="008F7A9E">
            <w:pPr>
              <w:rPr>
                <w:rFonts w:ascii="Arial Narrow" w:hAnsi="Arial Narrow" w:cs="Calibri"/>
                <w:sz w:val="16"/>
                <w:szCs w:val="16"/>
              </w:rPr>
            </w:pPr>
            <w:r w:rsidRPr="008F7A9E">
              <w:rPr>
                <w:rFonts w:ascii="Arial Narrow" w:hAnsi="Arial Narrow" w:cs="Calibri"/>
                <w:sz w:val="16"/>
                <w:szCs w:val="16"/>
              </w:rPr>
              <w:t>12.2</w:t>
            </w:r>
          </w:p>
        </w:tc>
        <w:tc>
          <w:tcPr>
            <w:tcW w:w="4419" w:type="dxa"/>
            <w:tcBorders>
              <w:top w:val="nil"/>
              <w:left w:val="nil"/>
              <w:bottom w:val="single" w:sz="4" w:space="0" w:color="auto"/>
              <w:right w:val="single" w:sz="4" w:space="0" w:color="auto"/>
            </w:tcBorders>
            <w:shd w:val="clear" w:color="auto" w:fill="auto"/>
            <w:vAlign w:val="center"/>
            <w:hideMark/>
          </w:tcPr>
          <w:p w14:paraId="23AA601B" w14:textId="77777777" w:rsidR="008F7A9E" w:rsidRPr="008F7A9E" w:rsidRDefault="008F7A9E" w:rsidP="008F7A9E">
            <w:pPr>
              <w:ind w:firstLineChars="100" w:firstLine="160"/>
              <w:rPr>
                <w:rFonts w:ascii="Arial Narrow" w:hAnsi="Arial Narrow" w:cs="Calibri"/>
                <w:sz w:val="16"/>
                <w:szCs w:val="16"/>
              </w:rPr>
            </w:pPr>
            <w:r w:rsidRPr="008F7A9E">
              <w:rPr>
                <w:rFonts w:ascii="Arial Narrow" w:hAnsi="Arial Narrow" w:cs="Calibri"/>
                <w:sz w:val="16"/>
                <w:szCs w:val="16"/>
              </w:rPr>
              <w:t>Яйца</w:t>
            </w:r>
          </w:p>
        </w:tc>
        <w:tc>
          <w:tcPr>
            <w:tcW w:w="1185" w:type="dxa"/>
            <w:tcBorders>
              <w:top w:val="nil"/>
              <w:left w:val="nil"/>
              <w:bottom w:val="single" w:sz="4" w:space="0" w:color="auto"/>
              <w:right w:val="single" w:sz="4" w:space="0" w:color="auto"/>
            </w:tcBorders>
            <w:shd w:val="clear" w:color="auto" w:fill="auto"/>
            <w:vAlign w:val="center"/>
            <w:hideMark/>
          </w:tcPr>
          <w:p w14:paraId="5A35BFF4" w14:textId="77777777" w:rsidR="008F7A9E" w:rsidRPr="008F7A9E" w:rsidRDefault="008F7A9E" w:rsidP="008F7A9E">
            <w:pPr>
              <w:jc w:val="right"/>
              <w:rPr>
                <w:rFonts w:ascii="Arial Narrow" w:hAnsi="Arial Narrow" w:cs="Calibri"/>
                <w:sz w:val="16"/>
                <w:szCs w:val="16"/>
              </w:rPr>
            </w:pPr>
            <w:r w:rsidRPr="008F7A9E">
              <w:rPr>
                <w:rFonts w:ascii="Arial Narrow" w:hAnsi="Arial Narrow" w:cs="Calibri"/>
                <w:sz w:val="16"/>
                <w:szCs w:val="16"/>
              </w:rPr>
              <w:t>271,5</w:t>
            </w:r>
          </w:p>
        </w:tc>
        <w:tc>
          <w:tcPr>
            <w:tcW w:w="1028" w:type="dxa"/>
            <w:tcBorders>
              <w:top w:val="nil"/>
              <w:left w:val="nil"/>
              <w:bottom w:val="single" w:sz="4" w:space="0" w:color="auto"/>
              <w:right w:val="single" w:sz="4" w:space="0" w:color="auto"/>
            </w:tcBorders>
            <w:shd w:val="clear" w:color="auto" w:fill="auto"/>
            <w:vAlign w:val="center"/>
            <w:hideMark/>
          </w:tcPr>
          <w:p w14:paraId="5B11CCCE" w14:textId="77777777" w:rsidR="008F7A9E" w:rsidRPr="008F7A9E" w:rsidRDefault="008F7A9E" w:rsidP="008F7A9E">
            <w:pPr>
              <w:jc w:val="right"/>
              <w:rPr>
                <w:rFonts w:ascii="Arial Narrow" w:hAnsi="Arial Narrow" w:cs="Calibri"/>
                <w:sz w:val="16"/>
                <w:szCs w:val="16"/>
              </w:rPr>
            </w:pPr>
            <w:r w:rsidRPr="008F7A9E">
              <w:rPr>
                <w:rFonts w:ascii="Arial Narrow" w:hAnsi="Arial Narrow" w:cs="Calibri"/>
                <w:sz w:val="16"/>
                <w:szCs w:val="16"/>
              </w:rPr>
              <w:t>27,4</w:t>
            </w:r>
          </w:p>
        </w:tc>
        <w:tc>
          <w:tcPr>
            <w:tcW w:w="1217" w:type="dxa"/>
            <w:tcBorders>
              <w:top w:val="nil"/>
              <w:left w:val="nil"/>
              <w:bottom w:val="single" w:sz="4" w:space="0" w:color="auto"/>
              <w:right w:val="single" w:sz="4" w:space="0" w:color="auto"/>
            </w:tcBorders>
            <w:shd w:val="clear" w:color="auto" w:fill="auto"/>
            <w:vAlign w:val="center"/>
            <w:hideMark/>
          </w:tcPr>
          <w:p w14:paraId="54EADA85" w14:textId="77777777" w:rsidR="008F7A9E" w:rsidRPr="008F7A9E" w:rsidRDefault="008F7A9E" w:rsidP="008F7A9E">
            <w:pPr>
              <w:jc w:val="right"/>
              <w:rPr>
                <w:rFonts w:ascii="Arial Narrow" w:hAnsi="Arial Narrow" w:cs="Calibri"/>
                <w:sz w:val="16"/>
                <w:szCs w:val="16"/>
              </w:rPr>
            </w:pPr>
            <w:r w:rsidRPr="008F7A9E">
              <w:rPr>
                <w:rFonts w:ascii="Arial Narrow" w:hAnsi="Arial Narrow" w:cs="Calibri"/>
                <w:sz w:val="16"/>
                <w:szCs w:val="16"/>
              </w:rPr>
              <w:t>345,8</w:t>
            </w:r>
          </w:p>
        </w:tc>
        <w:tc>
          <w:tcPr>
            <w:tcW w:w="1075" w:type="dxa"/>
            <w:tcBorders>
              <w:top w:val="nil"/>
              <w:left w:val="nil"/>
              <w:bottom w:val="single" w:sz="4" w:space="0" w:color="auto"/>
              <w:right w:val="single" w:sz="4" w:space="0" w:color="auto"/>
            </w:tcBorders>
            <w:shd w:val="clear" w:color="auto" w:fill="auto"/>
            <w:vAlign w:val="center"/>
            <w:hideMark/>
          </w:tcPr>
          <w:p w14:paraId="50CDF86E" w14:textId="77777777" w:rsidR="008F7A9E" w:rsidRPr="008F7A9E" w:rsidRDefault="008F7A9E" w:rsidP="008F7A9E">
            <w:pPr>
              <w:jc w:val="right"/>
              <w:rPr>
                <w:rFonts w:ascii="Arial Narrow" w:hAnsi="Arial Narrow" w:cs="Calibri"/>
                <w:sz w:val="16"/>
                <w:szCs w:val="16"/>
              </w:rPr>
            </w:pPr>
            <w:r w:rsidRPr="008F7A9E">
              <w:rPr>
                <w:rFonts w:ascii="Arial Narrow" w:hAnsi="Arial Narrow" w:cs="Calibri"/>
                <w:sz w:val="16"/>
                <w:szCs w:val="16"/>
              </w:rPr>
              <w:t>-20,0</w:t>
            </w:r>
          </w:p>
        </w:tc>
        <w:tc>
          <w:tcPr>
            <w:tcW w:w="1233" w:type="dxa"/>
            <w:tcBorders>
              <w:top w:val="nil"/>
              <w:left w:val="nil"/>
              <w:bottom w:val="single" w:sz="4" w:space="0" w:color="auto"/>
              <w:right w:val="single" w:sz="4" w:space="0" w:color="auto"/>
            </w:tcBorders>
            <w:shd w:val="clear" w:color="auto" w:fill="auto"/>
            <w:vAlign w:val="center"/>
            <w:hideMark/>
          </w:tcPr>
          <w:p w14:paraId="08C0852E" w14:textId="77777777" w:rsidR="008F7A9E" w:rsidRPr="008F7A9E" w:rsidRDefault="008F7A9E" w:rsidP="008F7A9E">
            <w:pPr>
              <w:jc w:val="right"/>
              <w:rPr>
                <w:rFonts w:ascii="Arial Narrow" w:hAnsi="Arial Narrow" w:cs="Calibri"/>
                <w:sz w:val="16"/>
                <w:szCs w:val="16"/>
              </w:rPr>
            </w:pPr>
            <w:r w:rsidRPr="008F7A9E">
              <w:rPr>
                <w:rFonts w:ascii="Arial Narrow" w:hAnsi="Arial Narrow" w:cs="Calibri"/>
                <w:sz w:val="16"/>
                <w:szCs w:val="16"/>
              </w:rPr>
              <w:t>276,7</w:t>
            </w:r>
          </w:p>
        </w:tc>
      </w:tr>
      <w:tr w:rsidR="008F7A9E" w:rsidRPr="00B10684" w14:paraId="2656B579" w14:textId="77777777" w:rsidTr="005A18A5">
        <w:trPr>
          <w:trHeight w:val="251"/>
        </w:trPr>
        <w:tc>
          <w:tcPr>
            <w:tcW w:w="748" w:type="dxa"/>
            <w:tcBorders>
              <w:top w:val="nil"/>
              <w:left w:val="single" w:sz="4" w:space="0" w:color="auto"/>
              <w:bottom w:val="single" w:sz="4" w:space="0" w:color="auto"/>
              <w:right w:val="single" w:sz="4" w:space="0" w:color="auto"/>
            </w:tcBorders>
            <w:shd w:val="clear" w:color="auto" w:fill="auto"/>
            <w:vAlign w:val="center"/>
            <w:hideMark/>
          </w:tcPr>
          <w:p w14:paraId="18BF29B8" w14:textId="77777777" w:rsidR="008F7A9E" w:rsidRPr="008F7A9E" w:rsidRDefault="008F7A9E" w:rsidP="008F7A9E">
            <w:pPr>
              <w:rPr>
                <w:rFonts w:ascii="Arial Narrow" w:hAnsi="Arial Narrow" w:cs="Calibri"/>
                <w:sz w:val="16"/>
                <w:szCs w:val="16"/>
              </w:rPr>
            </w:pPr>
            <w:r w:rsidRPr="008F7A9E">
              <w:rPr>
                <w:rFonts w:ascii="Arial Narrow" w:hAnsi="Arial Narrow" w:cs="Calibri"/>
                <w:sz w:val="16"/>
                <w:szCs w:val="16"/>
              </w:rPr>
              <w:t>12.3</w:t>
            </w:r>
          </w:p>
        </w:tc>
        <w:tc>
          <w:tcPr>
            <w:tcW w:w="4419" w:type="dxa"/>
            <w:tcBorders>
              <w:top w:val="nil"/>
              <w:left w:val="nil"/>
              <w:bottom w:val="single" w:sz="4" w:space="0" w:color="auto"/>
              <w:right w:val="single" w:sz="4" w:space="0" w:color="auto"/>
            </w:tcBorders>
            <w:shd w:val="clear" w:color="auto" w:fill="auto"/>
            <w:vAlign w:val="center"/>
            <w:hideMark/>
          </w:tcPr>
          <w:p w14:paraId="78B047DD" w14:textId="77777777" w:rsidR="008F7A9E" w:rsidRPr="008F7A9E" w:rsidRDefault="008F7A9E" w:rsidP="008F7A9E">
            <w:pPr>
              <w:ind w:firstLineChars="100" w:firstLine="160"/>
              <w:rPr>
                <w:rFonts w:ascii="Arial Narrow" w:hAnsi="Arial Narrow" w:cs="Calibri"/>
                <w:sz w:val="16"/>
                <w:szCs w:val="16"/>
              </w:rPr>
            </w:pPr>
            <w:r w:rsidRPr="008F7A9E">
              <w:rPr>
                <w:rFonts w:ascii="Arial Narrow" w:hAnsi="Arial Narrow" w:cs="Calibri"/>
                <w:sz w:val="16"/>
                <w:szCs w:val="16"/>
              </w:rPr>
              <w:t>Други продукти от животновъдството</w:t>
            </w:r>
          </w:p>
        </w:tc>
        <w:tc>
          <w:tcPr>
            <w:tcW w:w="1185" w:type="dxa"/>
            <w:tcBorders>
              <w:top w:val="nil"/>
              <w:left w:val="nil"/>
              <w:bottom w:val="single" w:sz="4" w:space="0" w:color="auto"/>
              <w:right w:val="single" w:sz="4" w:space="0" w:color="auto"/>
            </w:tcBorders>
            <w:shd w:val="clear" w:color="auto" w:fill="auto"/>
            <w:vAlign w:val="center"/>
            <w:hideMark/>
          </w:tcPr>
          <w:p w14:paraId="1DC1E931" w14:textId="77777777" w:rsidR="008F7A9E" w:rsidRPr="008F7A9E" w:rsidRDefault="008F7A9E" w:rsidP="008F7A9E">
            <w:pPr>
              <w:jc w:val="right"/>
              <w:rPr>
                <w:rFonts w:ascii="Arial Narrow" w:hAnsi="Arial Narrow" w:cs="Calibri"/>
                <w:sz w:val="16"/>
                <w:szCs w:val="16"/>
              </w:rPr>
            </w:pPr>
            <w:r w:rsidRPr="008F7A9E">
              <w:rPr>
                <w:rFonts w:ascii="Arial Narrow" w:hAnsi="Arial Narrow" w:cs="Calibri"/>
                <w:sz w:val="16"/>
                <w:szCs w:val="16"/>
              </w:rPr>
              <w:t>98,2</w:t>
            </w:r>
          </w:p>
        </w:tc>
        <w:tc>
          <w:tcPr>
            <w:tcW w:w="1028" w:type="dxa"/>
            <w:tcBorders>
              <w:top w:val="nil"/>
              <w:left w:val="nil"/>
              <w:bottom w:val="single" w:sz="4" w:space="0" w:color="auto"/>
              <w:right w:val="single" w:sz="4" w:space="0" w:color="auto"/>
            </w:tcBorders>
            <w:shd w:val="clear" w:color="auto" w:fill="auto"/>
            <w:vAlign w:val="center"/>
            <w:hideMark/>
          </w:tcPr>
          <w:p w14:paraId="331BB2AD" w14:textId="77777777" w:rsidR="008F7A9E" w:rsidRPr="008F7A9E" w:rsidRDefault="008F7A9E" w:rsidP="008F7A9E">
            <w:pPr>
              <w:jc w:val="right"/>
              <w:rPr>
                <w:rFonts w:ascii="Arial Narrow" w:hAnsi="Arial Narrow" w:cs="Calibri"/>
                <w:sz w:val="16"/>
                <w:szCs w:val="16"/>
              </w:rPr>
            </w:pPr>
            <w:r w:rsidRPr="008F7A9E">
              <w:rPr>
                <w:rFonts w:ascii="Arial Narrow" w:hAnsi="Arial Narrow" w:cs="Calibri"/>
                <w:sz w:val="16"/>
                <w:szCs w:val="16"/>
              </w:rPr>
              <w:t>-6,3</w:t>
            </w:r>
          </w:p>
        </w:tc>
        <w:tc>
          <w:tcPr>
            <w:tcW w:w="1217" w:type="dxa"/>
            <w:tcBorders>
              <w:top w:val="nil"/>
              <w:left w:val="nil"/>
              <w:bottom w:val="single" w:sz="4" w:space="0" w:color="auto"/>
              <w:right w:val="single" w:sz="4" w:space="0" w:color="auto"/>
            </w:tcBorders>
            <w:shd w:val="clear" w:color="auto" w:fill="auto"/>
            <w:vAlign w:val="center"/>
            <w:hideMark/>
          </w:tcPr>
          <w:p w14:paraId="48A26154" w14:textId="77777777" w:rsidR="008F7A9E" w:rsidRPr="008F7A9E" w:rsidRDefault="008F7A9E" w:rsidP="008F7A9E">
            <w:pPr>
              <w:jc w:val="right"/>
              <w:rPr>
                <w:rFonts w:ascii="Arial Narrow" w:hAnsi="Arial Narrow" w:cs="Calibri"/>
                <w:sz w:val="16"/>
                <w:szCs w:val="16"/>
              </w:rPr>
            </w:pPr>
            <w:r w:rsidRPr="008F7A9E">
              <w:rPr>
                <w:rFonts w:ascii="Arial Narrow" w:hAnsi="Arial Narrow" w:cs="Calibri"/>
                <w:sz w:val="16"/>
                <w:szCs w:val="16"/>
              </w:rPr>
              <w:t>92,0</w:t>
            </w:r>
          </w:p>
        </w:tc>
        <w:tc>
          <w:tcPr>
            <w:tcW w:w="1075" w:type="dxa"/>
            <w:tcBorders>
              <w:top w:val="nil"/>
              <w:left w:val="nil"/>
              <w:bottom w:val="single" w:sz="4" w:space="0" w:color="auto"/>
              <w:right w:val="single" w:sz="4" w:space="0" w:color="auto"/>
            </w:tcBorders>
            <w:shd w:val="clear" w:color="auto" w:fill="auto"/>
            <w:vAlign w:val="center"/>
            <w:hideMark/>
          </w:tcPr>
          <w:p w14:paraId="187C9C20" w14:textId="77777777" w:rsidR="008F7A9E" w:rsidRPr="008F7A9E" w:rsidRDefault="008F7A9E" w:rsidP="008F7A9E">
            <w:pPr>
              <w:jc w:val="right"/>
              <w:rPr>
                <w:rFonts w:ascii="Arial Narrow" w:hAnsi="Arial Narrow" w:cs="Calibri"/>
                <w:sz w:val="16"/>
                <w:szCs w:val="16"/>
              </w:rPr>
            </w:pPr>
            <w:r w:rsidRPr="008F7A9E">
              <w:rPr>
                <w:rFonts w:ascii="Arial Narrow" w:hAnsi="Arial Narrow" w:cs="Calibri"/>
                <w:sz w:val="16"/>
                <w:szCs w:val="16"/>
              </w:rPr>
              <w:t>-12,7</w:t>
            </w:r>
          </w:p>
        </w:tc>
        <w:tc>
          <w:tcPr>
            <w:tcW w:w="1233" w:type="dxa"/>
            <w:tcBorders>
              <w:top w:val="nil"/>
              <w:left w:val="nil"/>
              <w:bottom w:val="single" w:sz="4" w:space="0" w:color="auto"/>
              <w:right w:val="single" w:sz="4" w:space="0" w:color="auto"/>
            </w:tcBorders>
            <w:shd w:val="clear" w:color="auto" w:fill="auto"/>
            <w:vAlign w:val="center"/>
            <w:hideMark/>
          </w:tcPr>
          <w:p w14:paraId="7F7E2B79" w14:textId="77777777" w:rsidR="008F7A9E" w:rsidRPr="008F7A9E" w:rsidRDefault="008F7A9E" w:rsidP="008F7A9E">
            <w:pPr>
              <w:jc w:val="right"/>
              <w:rPr>
                <w:rFonts w:ascii="Arial Narrow" w:hAnsi="Arial Narrow" w:cs="Calibri"/>
                <w:sz w:val="16"/>
                <w:szCs w:val="16"/>
              </w:rPr>
            </w:pPr>
            <w:r w:rsidRPr="008F7A9E">
              <w:rPr>
                <w:rFonts w:ascii="Arial Narrow" w:hAnsi="Arial Narrow" w:cs="Calibri"/>
                <w:sz w:val="16"/>
                <w:szCs w:val="16"/>
              </w:rPr>
              <w:t>80,3</w:t>
            </w:r>
          </w:p>
        </w:tc>
      </w:tr>
      <w:tr w:rsidR="008F7A9E" w:rsidRPr="00B10684" w14:paraId="4E497BAC" w14:textId="77777777" w:rsidTr="005A18A5">
        <w:trPr>
          <w:trHeight w:val="251"/>
        </w:trPr>
        <w:tc>
          <w:tcPr>
            <w:tcW w:w="748" w:type="dxa"/>
            <w:tcBorders>
              <w:top w:val="nil"/>
              <w:left w:val="single" w:sz="4" w:space="0" w:color="auto"/>
              <w:bottom w:val="single" w:sz="4" w:space="0" w:color="auto"/>
              <w:right w:val="single" w:sz="4" w:space="0" w:color="auto"/>
            </w:tcBorders>
            <w:shd w:val="clear" w:color="auto" w:fill="auto"/>
            <w:vAlign w:val="center"/>
            <w:hideMark/>
          </w:tcPr>
          <w:p w14:paraId="677CA7D0" w14:textId="77777777" w:rsidR="008F7A9E" w:rsidRPr="008F7A9E" w:rsidRDefault="008F7A9E" w:rsidP="008F7A9E">
            <w:pPr>
              <w:rPr>
                <w:rFonts w:ascii="Arial Narrow" w:hAnsi="Arial Narrow" w:cs="Calibri"/>
                <w:sz w:val="16"/>
                <w:szCs w:val="16"/>
              </w:rPr>
            </w:pPr>
            <w:r w:rsidRPr="008F7A9E">
              <w:rPr>
                <w:rFonts w:ascii="Arial Narrow" w:hAnsi="Arial Narrow" w:cs="Calibri"/>
                <w:sz w:val="16"/>
                <w:szCs w:val="16"/>
              </w:rPr>
              <w:t>12.3/1</w:t>
            </w:r>
          </w:p>
        </w:tc>
        <w:tc>
          <w:tcPr>
            <w:tcW w:w="4419" w:type="dxa"/>
            <w:tcBorders>
              <w:top w:val="nil"/>
              <w:left w:val="nil"/>
              <w:bottom w:val="single" w:sz="4" w:space="0" w:color="auto"/>
              <w:right w:val="single" w:sz="4" w:space="0" w:color="auto"/>
            </w:tcBorders>
            <w:shd w:val="clear" w:color="auto" w:fill="auto"/>
            <w:vAlign w:val="center"/>
            <w:hideMark/>
          </w:tcPr>
          <w:p w14:paraId="343ED3FE" w14:textId="77777777" w:rsidR="008F7A9E" w:rsidRPr="008F7A9E" w:rsidRDefault="008F7A9E" w:rsidP="008F7A9E">
            <w:pPr>
              <w:ind w:firstLineChars="200" w:firstLine="320"/>
              <w:rPr>
                <w:rFonts w:ascii="Arial Narrow" w:hAnsi="Arial Narrow" w:cs="Calibri"/>
                <w:sz w:val="16"/>
                <w:szCs w:val="16"/>
              </w:rPr>
            </w:pPr>
            <w:r w:rsidRPr="008F7A9E">
              <w:rPr>
                <w:rFonts w:ascii="Arial Narrow" w:hAnsi="Arial Narrow" w:cs="Calibri"/>
                <w:sz w:val="16"/>
                <w:szCs w:val="16"/>
              </w:rPr>
              <w:t>Непрана вълна</w:t>
            </w:r>
          </w:p>
        </w:tc>
        <w:tc>
          <w:tcPr>
            <w:tcW w:w="1185" w:type="dxa"/>
            <w:tcBorders>
              <w:top w:val="nil"/>
              <w:left w:val="nil"/>
              <w:bottom w:val="single" w:sz="4" w:space="0" w:color="auto"/>
              <w:right w:val="single" w:sz="4" w:space="0" w:color="auto"/>
            </w:tcBorders>
            <w:shd w:val="clear" w:color="auto" w:fill="auto"/>
            <w:vAlign w:val="center"/>
            <w:hideMark/>
          </w:tcPr>
          <w:p w14:paraId="695793A8" w14:textId="77777777" w:rsidR="008F7A9E" w:rsidRPr="008F7A9E" w:rsidRDefault="008F7A9E" w:rsidP="008F7A9E">
            <w:pPr>
              <w:jc w:val="right"/>
              <w:rPr>
                <w:rFonts w:ascii="Arial Narrow" w:hAnsi="Arial Narrow" w:cs="Calibri"/>
                <w:sz w:val="16"/>
                <w:szCs w:val="16"/>
              </w:rPr>
            </w:pPr>
            <w:r w:rsidRPr="008F7A9E">
              <w:rPr>
                <w:rFonts w:ascii="Arial Narrow" w:hAnsi="Arial Narrow" w:cs="Calibri"/>
                <w:sz w:val="16"/>
                <w:szCs w:val="16"/>
              </w:rPr>
              <w:t>1,5</w:t>
            </w:r>
          </w:p>
        </w:tc>
        <w:tc>
          <w:tcPr>
            <w:tcW w:w="1028" w:type="dxa"/>
            <w:tcBorders>
              <w:top w:val="nil"/>
              <w:left w:val="nil"/>
              <w:bottom w:val="single" w:sz="4" w:space="0" w:color="auto"/>
              <w:right w:val="single" w:sz="4" w:space="0" w:color="auto"/>
            </w:tcBorders>
            <w:shd w:val="clear" w:color="auto" w:fill="auto"/>
            <w:vAlign w:val="center"/>
            <w:hideMark/>
          </w:tcPr>
          <w:p w14:paraId="5FC892CF" w14:textId="77777777" w:rsidR="008F7A9E" w:rsidRPr="008F7A9E" w:rsidRDefault="008F7A9E" w:rsidP="008F7A9E">
            <w:pPr>
              <w:jc w:val="right"/>
              <w:rPr>
                <w:rFonts w:ascii="Arial Narrow" w:hAnsi="Arial Narrow" w:cs="Calibri"/>
                <w:sz w:val="16"/>
                <w:szCs w:val="16"/>
              </w:rPr>
            </w:pPr>
            <w:r w:rsidRPr="008F7A9E">
              <w:rPr>
                <w:rFonts w:ascii="Arial Narrow" w:hAnsi="Arial Narrow" w:cs="Calibri"/>
                <w:sz w:val="16"/>
                <w:szCs w:val="16"/>
              </w:rPr>
              <w:t>-6,7</w:t>
            </w:r>
          </w:p>
        </w:tc>
        <w:tc>
          <w:tcPr>
            <w:tcW w:w="1217" w:type="dxa"/>
            <w:tcBorders>
              <w:top w:val="nil"/>
              <w:left w:val="nil"/>
              <w:bottom w:val="single" w:sz="4" w:space="0" w:color="auto"/>
              <w:right w:val="single" w:sz="4" w:space="0" w:color="auto"/>
            </w:tcBorders>
            <w:shd w:val="clear" w:color="auto" w:fill="auto"/>
            <w:vAlign w:val="center"/>
            <w:hideMark/>
          </w:tcPr>
          <w:p w14:paraId="2CB4F5ED" w14:textId="77777777" w:rsidR="008F7A9E" w:rsidRPr="008F7A9E" w:rsidRDefault="008F7A9E" w:rsidP="008F7A9E">
            <w:pPr>
              <w:jc w:val="right"/>
              <w:rPr>
                <w:rFonts w:ascii="Arial Narrow" w:hAnsi="Arial Narrow" w:cs="Calibri"/>
                <w:sz w:val="16"/>
                <w:szCs w:val="16"/>
              </w:rPr>
            </w:pPr>
            <w:r w:rsidRPr="008F7A9E">
              <w:rPr>
                <w:rFonts w:ascii="Arial Narrow" w:hAnsi="Arial Narrow" w:cs="Calibri"/>
                <w:sz w:val="16"/>
                <w:szCs w:val="16"/>
              </w:rPr>
              <w:t>1,4</w:t>
            </w:r>
          </w:p>
        </w:tc>
        <w:tc>
          <w:tcPr>
            <w:tcW w:w="1075" w:type="dxa"/>
            <w:tcBorders>
              <w:top w:val="nil"/>
              <w:left w:val="nil"/>
              <w:bottom w:val="single" w:sz="4" w:space="0" w:color="auto"/>
              <w:right w:val="single" w:sz="4" w:space="0" w:color="auto"/>
            </w:tcBorders>
            <w:shd w:val="clear" w:color="auto" w:fill="auto"/>
            <w:vAlign w:val="center"/>
            <w:hideMark/>
          </w:tcPr>
          <w:p w14:paraId="354B6010" w14:textId="77777777" w:rsidR="008F7A9E" w:rsidRPr="008F7A9E" w:rsidRDefault="008F7A9E" w:rsidP="008F7A9E">
            <w:pPr>
              <w:jc w:val="right"/>
              <w:rPr>
                <w:rFonts w:ascii="Arial Narrow" w:hAnsi="Arial Narrow" w:cs="Calibri"/>
                <w:sz w:val="16"/>
                <w:szCs w:val="16"/>
              </w:rPr>
            </w:pPr>
            <w:r w:rsidRPr="008F7A9E">
              <w:rPr>
                <w:rFonts w:ascii="Arial Narrow" w:hAnsi="Arial Narrow" w:cs="Calibri"/>
                <w:sz w:val="16"/>
                <w:szCs w:val="16"/>
              </w:rPr>
              <w:t>-7,1</w:t>
            </w:r>
          </w:p>
        </w:tc>
        <w:tc>
          <w:tcPr>
            <w:tcW w:w="1233" w:type="dxa"/>
            <w:tcBorders>
              <w:top w:val="nil"/>
              <w:left w:val="nil"/>
              <w:bottom w:val="single" w:sz="4" w:space="0" w:color="auto"/>
              <w:right w:val="single" w:sz="4" w:space="0" w:color="auto"/>
            </w:tcBorders>
            <w:shd w:val="clear" w:color="auto" w:fill="auto"/>
            <w:vAlign w:val="center"/>
            <w:hideMark/>
          </w:tcPr>
          <w:p w14:paraId="27B10CEC" w14:textId="77777777" w:rsidR="008F7A9E" w:rsidRPr="008F7A9E" w:rsidRDefault="008F7A9E" w:rsidP="008F7A9E">
            <w:pPr>
              <w:jc w:val="right"/>
              <w:rPr>
                <w:rFonts w:ascii="Arial Narrow" w:hAnsi="Arial Narrow" w:cs="Calibri"/>
                <w:sz w:val="16"/>
                <w:szCs w:val="16"/>
              </w:rPr>
            </w:pPr>
            <w:r w:rsidRPr="008F7A9E">
              <w:rPr>
                <w:rFonts w:ascii="Arial Narrow" w:hAnsi="Arial Narrow" w:cs="Calibri"/>
                <w:sz w:val="16"/>
                <w:szCs w:val="16"/>
              </w:rPr>
              <w:t>1,3</w:t>
            </w:r>
          </w:p>
        </w:tc>
      </w:tr>
      <w:tr w:rsidR="008F7A9E" w:rsidRPr="00B10684" w14:paraId="0EF9C82F" w14:textId="77777777" w:rsidTr="005A18A5">
        <w:trPr>
          <w:trHeight w:val="251"/>
        </w:trPr>
        <w:tc>
          <w:tcPr>
            <w:tcW w:w="748" w:type="dxa"/>
            <w:tcBorders>
              <w:top w:val="nil"/>
              <w:left w:val="single" w:sz="4" w:space="0" w:color="auto"/>
              <w:bottom w:val="single" w:sz="4" w:space="0" w:color="auto"/>
              <w:right w:val="single" w:sz="4" w:space="0" w:color="auto"/>
            </w:tcBorders>
            <w:shd w:val="clear" w:color="auto" w:fill="auto"/>
            <w:vAlign w:val="center"/>
            <w:hideMark/>
          </w:tcPr>
          <w:p w14:paraId="741A4954" w14:textId="77777777" w:rsidR="008F7A9E" w:rsidRPr="008F7A9E" w:rsidRDefault="008F7A9E" w:rsidP="008F7A9E">
            <w:pPr>
              <w:rPr>
                <w:rFonts w:ascii="Arial Narrow" w:hAnsi="Arial Narrow" w:cs="Calibri"/>
                <w:sz w:val="16"/>
                <w:szCs w:val="16"/>
              </w:rPr>
            </w:pPr>
            <w:r w:rsidRPr="008F7A9E">
              <w:rPr>
                <w:rFonts w:ascii="Arial Narrow" w:hAnsi="Arial Narrow" w:cs="Calibri"/>
                <w:sz w:val="16"/>
                <w:szCs w:val="16"/>
              </w:rPr>
              <w:t>12.3/2</w:t>
            </w:r>
          </w:p>
        </w:tc>
        <w:tc>
          <w:tcPr>
            <w:tcW w:w="4419" w:type="dxa"/>
            <w:tcBorders>
              <w:top w:val="nil"/>
              <w:left w:val="nil"/>
              <w:bottom w:val="single" w:sz="4" w:space="0" w:color="auto"/>
              <w:right w:val="single" w:sz="4" w:space="0" w:color="auto"/>
            </w:tcBorders>
            <w:shd w:val="clear" w:color="auto" w:fill="auto"/>
            <w:vAlign w:val="center"/>
            <w:hideMark/>
          </w:tcPr>
          <w:p w14:paraId="2F7BFF2C" w14:textId="77777777" w:rsidR="008F7A9E" w:rsidRPr="008F7A9E" w:rsidRDefault="008F7A9E" w:rsidP="008F7A9E">
            <w:pPr>
              <w:ind w:firstLineChars="200" w:firstLine="320"/>
              <w:rPr>
                <w:rFonts w:ascii="Arial Narrow" w:hAnsi="Arial Narrow" w:cs="Calibri"/>
                <w:sz w:val="16"/>
                <w:szCs w:val="16"/>
              </w:rPr>
            </w:pPr>
            <w:r w:rsidRPr="008F7A9E">
              <w:rPr>
                <w:rFonts w:ascii="Arial Narrow" w:hAnsi="Arial Narrow" w:cs="Calibri"/>
                <w:sz w:val="16"/>
                <w:szCs w:val="16"/>
              </w:rPr>
              <w:t>Копринени пашкули</w:t>
            </w:r>
          </w:p>
        </w:tc>
        <w:tc>
          <w:tcPr>
            <w:tcW w:w="1185" w:type="dxa"/>
            <w:tcBorders>
              <w:top w:val="nil"/>
              <w:left w:val="nil"/>
              <w:bottom w:val="single" w:sz="4" w:space="0" w:color="auto"/>
              <w:right w:val="single" w:sz="4" w:space="0" w:color="auto"/>
            </w:tcBorders>
            <w:shd w:val="clear" w:color="auto" w:fill="auto"/>
            <w:vAlign w:val="center"/>
            <w:hideMark/>
          </w:tcPr>
          <w:p w14:paraId="42F904F0" w14:textId="77777777" w:rsidR="008F7A9E" w:rsidRPr="008F7A9E" w:rsidRDefault="008F7A9E" w:rsidP="008F7A9E">
            <w:pPr>
              <w:jc w:val="right"/>
              <w:rPr>
                <w:rFonts w:ascii="Arial Narrow" w:hAnsi="Arial Narrow" w:cs="Calibri"/>
                <w:sz w:val="16"/>
                <w:szCs w:val="16"/>
              </w:rPr>
            </w:pPr>
            <w:r w:rsidRPr="008F7A9E">
              <w:rPr>
                <w:rFonts w:ascii="Arial Narrow" w:hAnsi="Arial Narrow" w:cs="Calibri"/>
                <w:sz w:val="16"/>
                <w:szCs w:val="16"/>
              </w:rPr>
              <w:t> </w:t>
            </w:r>
          </w:p>
        </w:tc>
        <w:tc>
          <w:tcPr>
            <w:tcW w:w="1028" w:type="dxa"/>
            <w:tcBorders>
              <w:top w:val="nil"/>
              <w:left w:val="nil"/>
              <w:bottom w:val="single" w:sz="4" w:space="0" w:color="auto"/>
              <w:right w:val="single" w:sz="4" w:space="0" w:color="auto"/>
            </w:tcBorders>
            <w:shd w:val="clear" w:color="auto" w:fill="auto"/>
            <w:vAlign w:val="center"/>
            <w:hideMark/>
          </w:tcPr>
          <w:p w14:paraId="663F4FBD" w14:textId="77777777" w:rsidR="008F7A9E" w:rsidRPr="008F7A9E" w:rsidRDefault="008F7A9E" w:rsidP="008F7A9E">
            <w:pPr>
              <w:rPr>
                <w:rFonts w:ascii="Arial Narrow" w:hAnsi="Arial Narrow" w:cs="Calibri"/>
                <w:sz w:val="16"/>
                <w:szCs w:val="16"/>
              </w:rPr>
            </w:pPr>
            <w:r w:rsidRPr="008F7A9E">
              <w:rPr>
                <w:rFonts w:ascii="Arial Narrow" w:hAnsi="Arial Narrow" w:cs="Calibri"/>
                <w:sz w:val="16"/>
                <w:szCs w:val="16"/>
              </w:rPr>
              <w:t> </w:t>
            </w:r>
          </w:p>
        </w:tc>
        <w:tc>
          <w:tcPr>
            <w:tcW w:w="1217" w:type="dxa"/>
            <w:tcBorders>
              <w:top w:val="nil"/>
              <w:left w:val="nil"/>
              <w:bottom w:val="single" w:sz="4" w:space="0" w:color="auto"/>
              <w:right w:val="single" w:sz="4" w:space="0" w:color="auto"/>
            </w:tcBorders>
            <w:shd w:val="clear" w:color="auto" w:fill="auto"/>
            <w:vAlign w:val="center"/>
            <w:hideMark/>
          </w:tcPr>
          <w:p w14:paraId="25E2FCB9" w14:textId="77777777" w:rsidR="008F7A9E" w:rsidRPr="008F7A9E" w:rsidRDefault="008F7A9E" w:rsidP="008F7A9E">
            <w:pPr>
              <w:jc w:val="right"/>
              <w:rPr>
                <w:rFonts w:ascii="Arial Narrow" w:hAnsi="Arial Narrow" w:cs="Calibri"/>
                <w:sz w:val="16"/>
                <w:szCs w:val="16"/>
              </w:rPr>
            </w:pPr>
            <w:r w:rsidRPr="008F7A9E">
              <w:rPr>
                <w:rFonts w:ascii="Arial Narrow" w:hAnsi="Arial Narrow" w:cs="Calibri"/>
                <w:sz w:val="16"/>
                <w:szCs w:val="16"/>
              </w:rPr>
              <w:t> </w:t>
            </w:r>
          </w:p>
        </w:tc>
        <w:tc>
          <w:tcPr>
            <w:tcW w:w="1075" w:type="dxa"/>
            <w:tcBorders>
              <w:top w:val="nil"/>
              <w:left w:val="nil"/>
              <w:bottom w:val="single" w:sz="4" w:space="0" w:color="auto"/>
              <w:right w:val="single" w:sz="4" w:space="0" w:color="auto"/>
            </w:tcBorders>
            <w:shd w:val="clear" w:color="auto" w:fill="auto"/>
            <w:vAlign w:val="center"/>
            <w:hideMark/>
          </w:tcPr>
          <w:p w14:paraId="100610BD" w14:textId="77777777" w:rsidR="008F7A9E" w:rsidRPr="008F7A9E" w:rsidRDefault="008F7A9E" w:rsidP="008F7A9E">
            <w:pPr>
              <w:rPr>
                <w:rFonts w:ascii="Arial Narrow" w:hAnsi="Arial Narrow" w:cs="Calibri"/>
                <w:sz w:val="16"/>
                <w:szCs w:val="16"/>
              </w:rPr>
            </w:pPr>
            <w:r w:rsidRPr="008F7A9E">
              <w:rPr>
                <w:rFonts w:ascii="Arial Narrow" w:hAnsi="Arial Narrow" w:cs="Calibri"/>
                <w:sz w:val="16"/>
                <w:szCs w:val="16"/>
              </w:rPr>
              <w:t> </w:t>
            </w:r>
          </w:p>
        </w:tc>
        <w:tc>
          <w:tcPr>
            <w:tcW w:w="1233" w:type="dxa"/>
            <w:tcBorders>
              <w:top w:val="nil"/>
              <w:left w:val="nil"/>
              <w:bottom w:val="single" w:sz="4" w:space="0" w:color="auto"/>
              <w:right w:val="single" w:sz="4" w:space="0" w:color="auto"/>
            </w:tcBorders>
            <w:shd w:val="clear" w:color="auto" w:fill="auto"/>
            <w:vAlign w:val="center"/>
            <w:hideMark/>
          </w:tcPr>
          <w:p w14:paraId="53BCD9BB" w14:textId="77777777" w:rsidR="008F7A9E" w:rsidRPr="008F7A9E" w:rsidRDefault="008F7A9E" w:rsidP="008F7A9E">
            <w:pPr>
              <w:jc w:val="right"/>
              <w:rPr>
                <w:rFonts w:ascii="Arial Narrow" w:hAnsi="Arial Narrow" w:cs="Calibri"/>
                <w:sz w:val="16"/>
                <w:szCs w:val="16"/>
              </w:rPr>
            </w:pPr>
            <w:r w:rsidRPr="008F7A9E">
              <w:rPr>
                <w:rFonts w:ascii="Arial Narrow" w:hAnsi="Arial Narrow" w:cs="Calibri"/>
                <w:sz w:val="16"/>
                <w:szCs w:val="16"/>
              </w:rPr>
              <w:t> </w:t>
            </w:r>
          </w:p>
        </w:tc>
      </w:tr>
      <w:tr w:rsidR="008F7A9E" w:rsidRPr="00B10684" w14:paraId="026F0297" w14:textId="77777777" w:rsidTr="005A18A5">
        <w:trPr>
          <w:trHeight w:val="251"/>
        </w:trPr>
        <w:tc>
          <w:tcPr>
            <w:tcW w:w="748" w:type="dxa"/>
            <w:tcBorders>
              <w:top w:val="nil"/>
              <w:left w:val="single" w:sz="4" w:space="0" w:color="auto"/>
              <w:bottom w:val="single" w:sz="4" w:space="0" w:color="auto"/>
              <w:right w:val="single" w:sz="4" w:space="0" w:color="auto"/>
            </w:tcBorders>
            <w:shd w:val="clear" w:color="auto" w:fill="auto"/>
            <w:vAlign w:val="center"/>
            <w:hideMark/>
          </w:tcPr>
          <w:p w14:paraId="1F81601C" w14:textId="77777777" w:rsidR="008F7A9E" w:rsidRPr="008F7A9E" w:rsidRDefault="008F7A9E" w:rsidP="008F7A9E">
            <w:pPr>
              <w:rPr>
                <w:rFonts w:ascii="Arial Narrow" w:hAnsi="Arial Narrow" w:cs="Calibri"/>
                <w:sz w:val="16"/>
                <w:szCs w:val="16"/>
              </w:rPr>
            </w:pPr>
            <w:r w:rsidRPr="008F7A9E">
              <w:rPr>
                <w:rFonts w:ascii="Arial Narrow" w:hAnsi="Arial Narrow" w:cs="Calibri"/>
                <w:sz w:val="16"/>
                <w:szCs w:val="16"/>
              </w:rPr>
              <w:t>12.3/3</w:t>
            </w:r>
          </w:p>
        </w:tc>
        <w:tc>
          <w:tcPr>
            <w:tcW w:w="4419" w:type="dxa"/>
            <w:tcBorders>
              <w:top w:val="nil"/>
              <w:left w:val="nil"/>
              <w:bottom w:val="single" w:sz="4" w:space="0" w:color="auto"/>
              <w:right w:val="single" w:sz="4" w:space="0" w:color="auto"/>
            </w:tcBorders>
            <w:shd w:val="clear" w:color="auto" w:fill="auto"/>
            <w:vAlign w:val="center"/>
            <w:hideMark/>
          </w:tcPr>
          <w:p w14:paraId="4150CC04" w14:textId="77777777" w:rsidR="008F7A9E" w:rsidRPr="008F7A9E" w:rsidRDefault="008F7A9E" w:rsidP="008F7A9E">
            <w:pPr>
              <w:ind w:firstLineChars="200" w:firstLine="320"/>
              <w:rPr>
                <w:rFonts w:ascii="Arial Narrow" w:hAnsi="Arial Narrow" w:cs="Calibri"/>
                <w:sz w:val="16"/>
                <w:szCs w:val="16"/>
              </w:rPr>
            </w:pPr>
            <w:r w:rsidRPr="008F7A9E">
              <w:rPr>
                <w:rFonts w:ascii="Arial Narrow" w:hAnsi="Arial Narrow" w:cs="Calibri"/>
                <w:sz w:val="16"/>
                <w:szCs w:val="16"/>
              </w:rPr>
              <w:t>Други продукти от животновъдството</w:t>
            </w:r>
          </w:p>
        </w:tc>
        <w:tc>
          <w:tcPr>
            <w:tcW w:w="1185" w:type="dxa"/>
            <w:tcBorders>
              <w:top w:val="nil"/>
              <w:left w:val="nil"/>
              <w:bottom w:val="single" w:sz="4" w:space="0" w:color="auto"/>
              <w:right w:val="single" w:sz="4" w:space="0" w:color="auto"/>
            </w:tcBorders>
            <w:shd w:val="clear" w:color="auto" w:fill="auto"/>
            <w:vAlign w:val="center"/>
            <w:hideMark/>
          </w:tcPr>
          <w:p w14:paraId="53AF97FC" w14:textId="77777777" w:rsidR="008F7A9E" w:rsidRPr="008F7A9E" w:rsidRDefault="008F7A9E" w:rsidP="008F7A9E">
            <w:pPr>
              <w:jc w:val="right"/>
              <w:rPr>
                <w:rFonts w:ascii="Arial Narrow" w:hAnsi="Arial Narrow" w:cs="Calibri"/>
                <w:sz w:val="16"/>
                <w:szCs w:val="16"/>
              </w:rPr>
            </w:pPr>
            <w:r w:rsidRPr="008F7A9E">
              <w:rPr>
                <w:rFonts w:ascii="Arial Narrow" w:hAnsi="Arial Narrow" w:cs="Calibri"/>
                <w:sz w:val="16"/>
                <w:szCs w:val="16"/>
              </w:rPr>
              <w:t>96,7</w:t>
            </w:r>
          </w:p>
        </w:tc>
        <w:tc>
          <w:tcPr>
            <w:tcW w:w="1028" w:type="dxa"/>
            <w:tcBorders>
              <w:top w:val="nil"/>
              <w:left w:val="nil"/>
              <w:bottom w:val="single" w:sz="4" w:space="0" w:color="auto"/>
              <w:right w:val="single" w:sz="4" w:space="0" w:color="auto"/>
            </w:tcBorders>
            <w:shd w:val="clear" w:color="auto" w:fill="auto"/>
            <w:vAlign w:val="center"/>
            <w:hideMark/>
          </w:tcPr>
          <w:p w14:paraId="126672EB" w14:textId="77777777" w:rsidR="008F7A9E" w:rsidRPr="008F7A9E" w:rsidRDefault="008F7A9E" w:rsidP="008F7A9E">
            <w:pPr>
              <w:jc w:val="right"/>
              <w:rPr>
                <w:rFonts w:ascii="Arial Narrow" w:hAnsi="Arial Narrow" w:cs="Calibri"/>
                <w:sz w:val="16"/>
                <w:szCs w:val="16"/>
              </w:rPr>
            </w:pPr>
            <w:r w:rsidRPr="008F7A9E">
              <w:rPr>
                <w:rFonts w:ascii="Arial Narrow" w:hAnsi="Arial Narrow" w:cs="Calibri"/>
                <w:sz w:val="16"/>
                <w:szCs w:val="16"/>
              </w:rPr>
              <w:t>-6,3</w:t>
            </w:r>
          </w:p>
        </w:tc>
        <w:tc>
          <w:tcPr>
            <w:tcW w:w="1217" w:type="dxa"/>
            <w:tcBorders>
              <w:top w:val="nil"/>
              <w:left w:val="nil"/>
              <w:bottom w:val="single" w:sz="4" w:space="0" w:color="auto"/>
              <w:right w:val="single" w:sz="4" w:space="0" w:color="auto"/>
            </w:tcBorders>
            <w:shd w:val="clear" w:color="auto" w:fill="auto"/>
            <w:vAlign w:val="center"/>
            <w:hideMark/>
          </w:tcPr>
          <w:p w14:paraId="7F536913" w14:textId="77777777" w:rsidR="008F7A9E" w:rsidRPr="008F7A9E" w:rsidRDefault="008F7A9E" w:rsidP="008F7A9E">
            <w:pPr>
              <w:jc w:val="right"/>
              <w:rPr>
                <w:rFonts w:ascii="Arial Narrow" w:hAnsi="Arial Narrow" w:cs="Calibri"/>
                <w:sz w:val="16"/>
                <w:szCs w:val="16"/>
              </w:rPr>
            </w:pPr>
            <w:r w:rsidRPr="008F7A9E">
              <w:rPr>
                <w:rFonts w:ascii="Arial Narrow" w:hAnsi="Arial Narrow" w:cs="Calibri"/>
                <w:sz w:val="16"/>
                <w:szCs w:val="16"/>
              </w:rPr>
              <w:t>90,6</w:t>
            </w:r>
          </w:p>
        </w:tc>
        <w:tc>
          <w:tcPr>
            <w:tcW w:w="1075" w:type="dxa"/>
            <w:tcBorders>
              <w:top w:val="nil"/>
              <w:left w:val="nil"/>
              <w:bottom w:val="single" w:sz="4" w:space="0" w:color="auto"/>
              <w:right w:val="single" w:sz="4" w:space="0" w:color="auto"/>
            </w:tcBorders>
            <w:shd w:val="clear" w:color="auto" w:fill="auto"/>
            <w:vAlign w:val="center"/>
            <w:hideMark/>
          </w:tcPr>
          <w:p w14:paraId="3DF2F796" w14:textId="77777777" w:rsidR="008F7A9E" w:rsidRPr="008F7A9E" w:rsidRDefault="008F7A9E" w:rsidP="008F7A9E">
            <w:pPr>
              <w:jc w:val="right"/>
              <w:rPr>
                <w:rFonts w:ascii="Arial Narrow" w:hAnsi="Arial Narrow" w:cs="Calibri"/>
                <w:sz w:val="16"/>
                <w:szCs w:val="16"/>
              </w:rPr>
            </w:pPr>
            <w:r w:rsidRPr="008F7A9E">
              <w:rPr>
                <w:rFonts w:ascii="Arial Narrow" w:hAnsi="Arial Narrow" w:cs="Calibri"/>
                <w:sz w:val="16"/>
                <w:szCs w:val="16"/>
              </w:rPr>
              <w:t>-12,8</w:t>
            </w:r>
          </w:p>
        </w:tc>
        <w:tc>
          <w:tcPr>
            <w:tcW w:w="1233" w:type="dxa"/>
            <w:tcBorders>
              <w:top w:val="nil"/>
              <w:left w:val="nil"/>
              <w:bottom w:val="single" w:sz="4" w:space="0" w:color="auto"/>
              <w:right w:val="single" w:sz="4" w:space="0" w:color="auto"/>
            </w:tcBorders>
            <w:shd w:val="clear" w:color="auto" w:fill="auto"/>
            <w:vAlign w:val="center"/>
            <w:hideMark/>
          </w:tcPr>
          <w:p w14:paraId="2D110EBC" w14:textId="77777777" w:rsidR="008F7A9E" w:rsidRPr="008F7A9E" w:rsidRDefault="008F7A9E" w:rsidP="008F7A9E">
            <w:pPr>
              <w:jc w:val="right"/>
              <w:rPr>
                <w:rFonts w:ascii="Arial Narrow" w:hAnsi="Arial Narrow" w:cs="Calibri"/>
                <w:sz w:val="16"/>
                <w:szCs w:val="16"/>
              </w:rPr>
            </w:pPr>
            <w:r w:rsidRPr="008F7A9E">
              <w:rPr>
                <w:rFonts w:ascii="Arial Narrow" w:hAnsi="Arial Narrow" w:cs="Calibri"/>
                <w:sz w:val="16"/>
                <w:szCs w:val="16"/>
              </w:rPr>
              <w:t>79,0</w:t>
            </w:r>
          </w:p>
        </w:tc>
      </w:tr>
      <w:tr w:rsidR="008F7A9E" w:rsidRPr="00B10684" w14:paraId="621E648F" w14:textId="77777777" w:rsidTr="005A18A5">
        <w:trPr>
          <w:trHeight w:val="365"/>
        </w:trPr>
        <w:tc>
          <w:tcPr>
            <w:tcW w:w="748" w:type="dxa"/>
            <w:tcBorders>
              <w:top w:val="nil"/>
              <w:left w:val="single" w:sz="4" w:space="0" w:color="auto"/>
              <w:bottom w:val="single" w:sz="4" w:space="0" w:color="auto"/>
              <w:right w:val="single" w:sz="4" w:space="0" w:color="auto"/>
            </w:tcBorders>
            <w:shd w:val="clear" w:color="auto" w:fill="auto"/>
            <w:vAlign w:val="center"/>
            <w:hideMark/>
          </w:tcPr>
          <w:p w14:paraId="77C3087C" w14:textId="77777777" w:rsidR="008F7A9E" w:rsidRPr="008F7A9E" w:rsidRDefault="008F7A9E" w:rsidP="008F7A9E">
            <w:pPr>
              <w:rPr>
                <w:rFonts w:ascii="Arial Narrow" w:hAnsi="Arial Narrow" w:cs="Calibri"/>
                <w:sz w:val="16"/>
                <w:szCs w:val="16"/>
              </w:rPr>
            </w:pPr>
            <w:r w:rsidRPr="008F7A9E">
              <w:rPr>
                <w:rFonts w:ascii="Arial Narrow" w:hAnsi="Arial Narrow" w:cs="Calibri"/>
                <w:sz w:val="16"/>
                <w:szCs w:val="16"/>
              </w:rPr>
              <w:t>13</w:t>
            </w:r>
          </w:p>
        </w:tc>
        <w:tc>
          <w:tcPr>
            <w:tcW w:w="4419" w:type="dxa"/>
            <w:tcBorders>
              <w:top w:val="nil"/>
              <w:left w:val="nil"/>
              <w:bottom w:val="single" w:sz="4" w:space="0" w:color="auto"/>
              <w:right w:val="single" w:sz="4" w:space="0" w:color="auto"/>
            </w:tcBorders>
            <w:shd w:val="clear" w:color="auto" w:fill="auto"/>
            <w:vAlign w:val="center"/>
            <w:hideMark/>
          </w:tcPr>
          <w:p w14:paraId="10296EA5" w14:textId="77777777" w:rsidR="008F7A9E" w:rsidRPr="008F7A9E" w:rsidRDefault="008F7A9E" w:rsidP="008F7A9E">
            <w:pPr>
              <w:rPr>
                <w:rFonts w:ascii="Arial Narrow" w:hAnsi="Arial Narrow" w:cs="Calibri"/>
                <w:b/>
                <w:bCs/>
                <w:sz w:val="16"/>
                <w:szCs w:val="16"/>
              </w:rPr>
            </w:pPr>
            <w:r w:rsidRPr="008F7A9E">
              <w:rPr>
                <w:rFonts w:ascii="Arial Narrow" w:hAnsi="Arial Narrow" w:cs="Calibri"/>
                <w:b/>
                <w:bCs/>
                <w:sz w:val="16"/>
                <w:szCs w:val="16"/>
              </w:rPr>
              <w:t>Продукция от животновъдството (11+12)</w:t>
            </w:r>
          </w:p>
        </w:tc>
        <w:tc>
          <w:tcPr>
            <w:tcW w:w="1185" w:type="dxa"/>
            <w:tcBorders>
              <w:top w:val="nil"/>
              <w:left w:val="nil"/>
              <w:bottom w:val="single" w:sz="4" w:space="0" w:color="auto"/>
              <w:right w:val="single" w:sz="4" w:space="0" w:color="auto"/>
            </w:tcBorders>
            <w:shd w:val="clear" w:color="auto" w:fill="auto"/>
            <w:vAlign w:val="center"/>
            <w:hideMark/>
          </w:tcPr>
          <w:p w14:paraId="20866238" w14:textId="77777777" w:rsidR="008F7A9E" w:rsidRPr="008F7A9E" w:rsidRDefault="008F7A9E" w:rsidP="008F7A9E">
            <w:pPr>
              <w:jc w:val="right"/>
              <w:rPr>
                <w:rFonts w:ascii="Arial Narrow" w:hAnsi="Arial Narrow" w:cs="Calibri"/>
                <w:b/>
                <w:bCs/>
                <w:sz w:val="16"/>
                <w:szCs w:val="16"/>
              </w:rPr>
            </w:pPr>
            <w:r w:rsidRPr="008F7A9E">
              <w:rPr>
                <w:rFonts w:ascii="Arial Narrow" w:hAnsi="Arial Narrow" w:cs="Calibri"/>
                <w:b/>
                <w:bCs/>
                <w:sz w:val="16"/>
                <w:szCs w:val="16"/>
              </w:rPr>
              <w:t>2 333,6</w:t>
            </w:r>
          </w:p>
        </w:tc>
        <w:tc>
          <w:tcPr>
            <w:tcW w:w="1028" w:type="dxa"/>
            <w:tcBorders>
              <w:top w:val="nil"/>
              <w:left w:val="nil"/>
              <w:bottom w:val="single" w:sz="4" w:space="0" w:color="auto"/>
              <w:right w:val="single" w:sz="4" w:space="0" w:color="auto"/>
            </w:tcBorders>
            <w:shd w:val="clear" w:color="auto" w:fill="auto"/>
            <w:vAlign w:val="center"/>
            <w:hideMark/>
          </w:tcPr>
          <w:p w14:paraId="5E72D39C" w14:textId="77777777" w:rsidR="008F7A9E" w:rsidRPr="008F7A9E" w:rsidRDefault="008F7A9E" w:rsidP="008F7A9E">
            <w:pPr>
              <w:jc w:val="right"/>
              <w:rPr>
                <w:rFonts w:ascii="Arial Narrow" w:hAnsi="Arial Narrow" w:cs="Calibri"/>
                <w:b/>
                <w:bCs/>
                <w:sz w:val="16"/>
                <w:szCs w:val="16"/>
              </w:rPr>
            </w:pPr>
            <w:r w:rsidRPr="008F7A9E">
              <w:rPr>
                <w:rFonts w:ascii="Arial Narrow" w:hAnsi="Arial Narrow" w:cs="Calibri"/>
                <w:b/>
                <w:bCs/>
                <w:sz w:val="16"/>
                <w:szCs w:val="16"/>
              </w:rPr>
              <w:t>8,6</w:t>
            </w:r>
          </w:p>
        </w:tc>
        <w:tc>
          <w:tcPr>
            <w:tcW w:w="1217" w:type="dxa"/>
            <w:tcBorders>
              <w:top w:val="nil"/>
              <w:left w:val="nil"/>
              <w:bottom w:val="single" w:sz="4" w:space="0" w:color="auto"/>
              <w:right w:val="single" w:sz="4" w:space="0" w:color="auto"/>
            </w:tcBorders>
            <w:shd w:val="clear" w:color="auto" w:fill="auto"/>
            <w:vAlign w:val="center"/>
            <w:hideMark/>
          </w:tcPr>
          <w:p w14:paraId="762CFCA2" w14:textId="77777777" w:rsidR="008F7A9E" w:rsidRPr="008F7A9E" w:rsidRDefault="008F7A9E" w:rsidP="008F7A9E">
            <w:pPr>
              <w:jc w:val="right"/>
              <w:rPr>
                <w:rFonts w:ascii="Arial Narrow" w:hAnsi="Arial Narrow" w:cs="Calibri"/>
                <w:b/>
                <w:bCs/>
                <w:sz w:val="16"/>
                <w:szCs w:val="16"/>
              </w:rPr>
            </w:pPr>
            <w:r w:rsidRPr="008F7A9E">
              <w:rPr>
                <w:rFonts w:ascii="Arial Narrow" w:hAnsi="Arial Narrow" w:cs="Calibri"/>
                <w:b/>
                <w:bCs/>
                <w:sz w:val="16"/>
                <w:szCs w:val="16"/>
              </w:rPr>
              <w:t>2 535,2</w:t>
            </w:r>
          </w:p>
        </w:tc>
        <w:tc>
          <w:tcPr>
            <w:tcW w:w="1075" w:type="dxa"/>
            <w:tcBorders>
              <w:top w:val="nil"/>
              <w:left w:val="nil"/>
              <w:bottom w:val="single" w:sz="4" w:space="0" w:color="auto"/>
              <w:right w:val="single" w:sz="4" w:space="0" w:color="auto"/>
            </w:tcBorders>
            <w:shd w:val="clear" w:color="auto" w:fill="auto"/>
            <w:vAlign w:val="center"/>
            <w:hideMark/>
          </w:tcPr>
          <w:p w14:paraId="36E4C172" w14:textId="77777777" w:rsidR="008F7A9E" w:rsidRPr="008F7A9E" w:rsidRDefault="008F7A9E" w:rsidP="008F7A9E">
            <w:pPr>
              <w:jc w:val="right"/>
              <w:rPr>
                <w:rFonts w:ascii="Arial Narrow" w:hAnsi="Arial Narrow" w:cs="Calibri"/>
                <w:b/>
                <w:bCs/>
                <w:sz w:val="16"/>
                <w:szCs w:val="16"/>
              </w:rPr>
            </w:pPr>
            <w:r w:rsidRPr="008F7A9E">
              <w:rPr>
                <w:rFonts w:ascii="Arial Narrow" w:hAnsi="Arial Narrow" w:cs="Calibri"/>
                <w:b/>
                <w:bCs/>
                <w:sz w:val="16"/>
                <w:szCs w:val="16"/>
              </w:rPr>
              <w:t>-4,8</w:t>
            </w:r>
          </w:p>
        </w:tc>
        <w:tc>
          <w:tcPr>
            <w:tcW w:w="1233" w:type="dxa"/>
            <w:tcBorders>
              <w:top w:val="nil"/>
              <w:left w:val="nil"/>
              <w:bottom w:val="single" w:sz="4" w:space="0" w:color="auto"/>
              <w:right w:val="single" w:sz="4" w:space="0" w:color="auto"/>
            </w:tcBorders>
            <w:shd w:val="clear" w:color="auto" w:fill="auto"/>
            <w:vAlign w:val="center"/>
            <w:hideMark/>
          </w:tcPr>
          <w:p w14:paraId="00DE1027" w14:textId="77777777" w:rsidR="008F7A9E" w:rsidRPr="008F7A9E" w:rsidRDefault="008F7A9E" w:rsidP="008F7A9E">
            <w:pPr>
              <w:jc w:val="right"/>
              <w:rPr>
                <w:rFonts w:ascii="Arial Narrow" w:hAnsi="Arial Narrow" w:cs="Calibri"/>
                <w:b/>
                <w:bCs/>
                <w:sz w:val="16"/>
                <w:szCs w:val="16"/>
              </w:rPr>
            </w:pPr>
            <w:r w:rsidRPr="008F7A9E">
              <w:rPr>
                <w:rFonts w:ascii="Arial Narrow" w:hAnsi="Arial Narrow" w:cs="Calibri"/>
                <w:b/>
                <w:bCs/>
                <w:sz w:val="16"/>
                <w:szCs w:val="16"/>
              </w:rPr>
              <w:t>2 414,0</w:t>
            </w:r>
          </w:p>
        </w:tc>
      </w:tr>
      <w:tr w:rsidR="008F7A9E" w:rsidRPr="00B10684" w14:paraId="7A6848C4" w14:textId="77777777" w:rsidTr="005A18A5">
        <w:trPr>
          <w:trHeight w:val="365"/>
        </w:trPr>
        <w:tc>
          <w:tcPr>
            <w:tcW w:w="748" w:type="dxa"/>
            <w:tcBorders>
              <w:top w:val="nil"/>
              <w:left w:val="single" w:sz="4" w:space="0" w:color="auto"/>
              <w:bottom w:val="single" w:sz="4" w:space="0" w:color="auto"/>
              <w:right w:val="single" w:sz="4" w:space="0" w:color="auto"/>
            </w:tcBorders>
            <w:shd w:val="clear" w:color="auto" w:fill="auto"/>
            <w:vAlign w:val="center"/>
            <w:hideMark/>
          </w:tcPr>
          <w:p w14:paraId="4304AB3A" w14:textId="77777777" w:rsidR="008F7A9E" w:rsidRPr="008F7A9E" w:rsidRDefault="008F7A9E" w:rsidP="008F7A9E">
            <w:pPr>
              <w:rPr>
                <w:rFonts w:ascii="Arial Narrow" w:hAnsi="Arial Narrow" w:cs="Calibri"/>
                <w:sz w:val="16"/>
                <w:szCs w:val="16"/>
              </w:rPr>
            </w:pPr>
            <w:r w:rsidRPr="008F7A9E">
              <w:rPr>
                <w:rFonts w:ascii="Arial Narrow" w:hAnsi="Arial Narrow" w:cs="Calibri"/>
                <w:sz w:val="16"/>
                <w:szCs w:val="16"/>
              </w:rPr>
              <w:t>14</w:t>
            </w:r>
          </w:p>
        </w:tc>
        <w:tc>
          <w:tcPr>
            <w:tcW w:w="4419" w:type="dxa"/>
            <w:tcBorders>
              <w:top w:val="nil"/>
              <w:left w:val="nil"/>
              <w:bottom w:val="single" w:sz="4" w:space="0" w:color="auto"/>
              <w:right w:val="single" w:sz="4" w:space="0" w:color="auto"/>
            </w:tcBorders>
            <w:shd w:val="clear" w:color="auto" w:fill="auto"/>
            <w:vAlign w:val="center"/>
            <w:hideMark/>
          </w:tcPr>
          <w:p w14:paraId="252996E1" w14:textId="77777777" w:rsidR="008F7A9E" w:rsidRPr="008F7A9E" w:rsidRDefault="008F7A9E" w:rsidP="008F7A9E">
            <w:pPr>
              <w:rPr>
                <w:rFonts w:ascii="Arial Narrow" w:hAnsi="Arial Narrow" w:cs="Calibri"/>
                <w:b/>
                <w:bCs/>
                <w:sz w:val="16"/>
                <w:szCs w:val="16"/>
              </w:rPr>
            </w:pPr>
            <w:r w:rsidRPr="008F7A9E">
              <w:rPr>
                <w:rFonts w:ascii="Arial Narrow" w:hAnsi="Arial Narrow" w:cs="Calibri"/>
                <w:b/>
                <w:bCs/>
                <w:sz w:val="16"/>
                <w:szCs w:val="16"/>
              </w:rPr>
              <w:t>Продукция на селскостопански стоки</w:t>
            </w:r>
          </w:p>
        </w:tc>
        <w:tc>
          <w:tcPr>
            <w:tcW w:w="1185" w:type="dxa"/>
            <w:tcBorders>
              <w:top w:val="nil"/>
              <w:left w:val="nil"/>
              <w:bottom w:val="single" w:sz="4" w:space="0" w:color="auto"/>
              <w:right w:val="single" w:sz="4" w:space="0" w:color="auto"/>
            </w:tcBorders>
            <w:shd w:val="clear" w:color="auto" w:fill="auto"/>
            <w:vAlign w:val="center"/>
            <w:hideMark/>
          </w:tcPr>
          <w:p w14:paraId="478E022A" w14:textId="77777777" w:rsidR="008F7A9E" w:rsidRPr="008F7A9E" w:rsidRDefault="008F7A9E" w:rsidP="008F7A9E">
            <w:pPr>
              <w:jc w:val="right"/>
              <w:rPr>
                <w:rFonts w:ascii="Arial Narrow" w:hAnsi="Arial Narrow" w:cs="Calibri"/>
                <w:b/>
                <w:bCs/>
                <w:sz w:val="16"/>
                <w:szCs w:val="16"/>
              </w:rPr>
            </w:pPr>
            <w:r w:rsidRPr="008F7A9E">
              <w:rPr>
                <w:rFonts w:ascii="Arial Narrow" w:hAnsi="Arial Narrow" w:cs="Calibri"/>
                <w:b/>
                <w:bCs/>
                <w:sz w:val="16"/>
                <w:szCs w:val="16"/>
              </w:rPr>
              <w:t>12 033,4</w:t>
            </w:r>
          </w:p>
        </w:tc>
        <w:tc>
          <w:tcPr>
            <w:tcW w:w="1028" w:type="dxa"/>
            <w:tcBorders>
              <w:top w:val="nil"/>
              <w:left w:val="nil"/>
              <w:bottom w:val="single" w:sz="4" w:space="0" w:color="auto"/>
              <w:right w:val="single" w:sz="4" w:space="0" w:color="auto"/>
            </w:tcBorders>
            <w:shd w:val="clear" w:color="auto" w:fill="auto"/>
            <w:vAlign w:val="center"/>
            <w:hideMark/>
          </w:tcPr>
          <w:p w14:paraId="2DF5E997" w14:textId="77777777" w:rsidR="008F7A9E" w:rsidRPr="008F7A9E" w:rsidRDefault="008F7A9E" w:rsidP="008F7A9E">
            <w:pPr>
              <w:jc w:val="right"/>
              <w:rPr>
                <w:rFonts w:ascii="Arial Narrow" w:hAnsi="Arial Narrow" w:cs="Calibri"/>
                <w:b/>
                <w:bCs/>
                <w:sz w:val="16"/>
                <w:szCs w:val="16"/>
              </w:rPr>
            </w:pPr>
            <w:r w:rsidRPr="008F7A9E">
              <w:rPr>
                <w:rFonts w:ascii="Arial Narrow" w:hAnsi="Arial Narrow" w:cs="Calibri"/>
                <w:b/>
                <w:bCs/>
                <w:sz w:val="16"/>
                <w:szCs w:val="16"/>
              </w:rPr>
              <w:t>-19,7</w:t>
            </w:r>
          </w:p>
        </w:tc>
        <w:tc>
          <w:tcPr>
            <w:tcW w:w="1217" w:type="dxa"/>
            <w:tcBorders>
              <w:top w:val="nil"/>
              <w:left w:val="nil"/>
              <w:bottom w:val="single" w:sz="4" w:space="0" w:color="auto"/>
              <w:right w:val="single" w:sz="4" w:space="0" w:color="auto"/>
            </w:tcBorders>
            <w:shd w:val="clear" w:color="auto" w:fill="auto"/>
            <w:vAlign w:val="center"/>
            <w:hideMark/>
          </w:tcPr>
          <w:p w14:paraId="4E0F01A6" w14:textId="77777777" w:rsidR="008F7A9E" w:rsidRPr="008F7A9E" w:rsidRDefault="008F7A9E" w:rsidP="008F7A9E">
            <w:pPr>
              <w:jc w:val="right"/>
              <w:rPr>
                <w:rFonts w:ascii="Arial Narrow" w:hAnsi="Arial Narrow" w:cs="Calibri"/>
                <w:b/>
                <w:bCs/>
                <w:sz w:val="16"/>
                <w:szCs w:val="16"/>
              </w:rPr>
            </w:pPr>
            <w:r w:rsidRPr="008F7A9E">
              <w:rPr>
                <w:rFonts w:ascii="Arial Narrow" w:hAnsi="Arial Narrow" w:cs="Calibri"/>
                <w:b/>
                <w:bCs/>
                <w:sz w:val="16"/>
                <w:szCs w:val="16"/>
              </w:rPr>
              <w:t>9 659,7</w:t>
            </w:r>
          </w:p>
        </w:tc>
        <w:tc>
          <w:tcPr>
            <w:tcW w:w="1075" w:type="dxa"/>
            <w:tcBorders>
              <w:top w:val="nil"/>
              <w:left w:val="nil"/>
              <w:bottom w:val="single" w:sz="4" w:space="0" w:color="auto"/>
              <w:right w:val="single" w:sz="4" w:space="0" w:color="auto"/>
            </w:tcBorders>
            <w:shd w:val="clear" w:color="auto" w:fill="auto"/>
            <w:vAlign w:val="center"/>
            <w:hideMark/>
          </w:tcPr>
          <w:p w14:paraId="30BF1532" w14:textId="77777777" w:rsidR="008F7A9E" w:rsidRPr="008F7A9E" w:rsidRDefault="008F7A9E" w:rsidP="008F7A9E">
            <w:pPr>
              <w:jc w:val="right"/>
              <w:rPr>
                <w:rFonts w:ascii="Arial Narrow" w:hAnsi="Arial Narrow" w:cs="Calibri"/>
                <w:b/>
                <w:bCs/>
                <w:sz w:val="16"/>
                <w:szCs w:val="16"/>
              </w:rPr>
            </w:pPr>
            <w:r w:rsidRPr="008F7A9E">
              <w:rPr>
                <w:rFonts w:ascii="Arial Narrow" w:hAnsi="Arial Narrow" w:cs="Calibri"/>
                <w:b/>
                <w:bCs/>
                <w:sz w:val="16"/>
                <w:szCs w:val="16"/>
              </w:rPr>
              <w:t>-8,3</w:t>
            </w:r>
          </w:p>
        </w:tc>
        <w:tc>
          <w:tcPr>
            <w:tcW w:w="1233" w:type="dxa"/>
            <w:tcBorders>
              <w:top w:val="nil"/>
              <w:left w:val="nil"/>
              <w:bottom w:val="single" w:sz="4" w:space="0" w:color="auto"/>
              <w:right w:val="single" w:sz="4" w:space="0" w:color="auto"/>
            </w:tcBorders>
            <w:shd w:val="clear" w:color="auto" w:fill="auto"/>
            <w:vAlign w:val="center"/>
            <w:hideMark/>
          </w:tcPr>
          <w:p w14:paraId="2D9CFB7A" w14:textId="77777777" w:rsidR="008F7A9E" w:rsidRPr="008F7A9E" w:rsidRDefault="008F7A9E" w:rsidP="008F7A9E">
            <w:pPr>
              <w:jc w:val="right"/>
              <w:rPr>
                <w:rFonts w:ascii="Arial Narrow" w:hAnsi="Arial Narrow" w:cs="Calibri"/>
                <w:b/>
                <w:bCs/>
                <w:sz w:val="16"/>
                <w:szCs w:val="16"/>
              </w:rPr>
            </w:pPr>
            <w:r w:rsidRPr="008F7A9E">
              <w:rPr>
                <w:rFonts w:ascii="Arial Narrow" w:hAnsi="Arial Narrow" w:cs="Calibri"/>
                <w:b/>
                <w:bCs/>
                <w:sz w:val="16"/>
                <w:szCs w:val="16"/>
              </w:rPr>
              <w:t>8 861,6</w:t>
            </w:r>
          </w:p>
        </w:tc>
      </w:tr>
      <w:tr w:rsidR="008F7A9E" w:rsidRPr="00B10684" w14:paraId="69E65E4F" w14:textId="77777777" w:rsidTr="005A18A5">
        <w:trPr>
          <w:trHeight w:val="365"/>
        </w:trPr>
        <w:tc>
          <w:tcPr>
            <w:tcW w:w="748" w:type="dxa"/>
            <w:tcBorders>
              <w:top w:val="nil"/>
              <w:left w:val="single" w:sz="4" w:space="0" w:color="auto"/>
              <w:bottom w:val="single" w:sz="4" w:space="0" w:color="auto"/>
              <w:right w:val="single" w:sz="4" w:space="0" w:color="auto"/>
            </w:tcBorders>
            <w:shd w:val="clear" w:color="auto" w:fill="auto"/>
            <w:vAlign w:val="center"/>
            <w:hideMark/>
          </w:tcPr>
          <w:p w14:paraId="0DBC720E" w14:textId="77777777" w:rsidR="008F7A9E" w:rsidRPr="008F7A9E" w:rsidRDefault="008F7A9E" w:rsidP="008F7A9E">
            <w:pPr>
              <w:rPr>
                <w:rFonts w:ascii="Arial Narrow" w:hAnsi="Arial Narrow" w:cs="Calibri"/>
                <w:sz w:val="16"/>
                <w:szCs w:val="16"/>
              </w:rPr>
            </w:pPr>
            <w:r w:rsidRPr="008F7A9E">
              <w:rPr>
                <w:rFonts w:ascii="Arial Narrow" w:hAnsi="Arial Narrow" w:cs="Calibri"/>
                <w:sz w:val="16"/>
                <w:szCs w:val="16"/>
              </w:rPr>
              <w:t>15</w:t>
            </w:r>
          </w:p>
        </w:tc>
        <w:tc>
          <w:tcPr>
            <w:tcW w:w="4419" w:type="dxa"/>
            <w:tcBorders>
              <w:top w:val="nil"/>
              <w:left w:val="nil"/>
              <w:bottom w:val="single" w:sz="4" w:space="0" w:color="auto"/>
              <w:right w:val="single" w:sz="4" w:space="0" w:color="auto"/>
            </w:tcBorders>
            <w:shd w:val="clear" w:color="auto" w:fill="auto"/>
            <w:vAlign w:val="center"/>
            <w:hideMark/>
          </w:tcPr>
          <w:p w14:paraId="11703777" w14:textId="77777777" w:rsidR="008F7A9E" w:rsidRPr="008F7A9E" w:rsidRDefault="008F7A9E" w:rsidP="008F7A9E">
            <w:pPr>
              <w:rPr>
                <w:rFonts w:ascii="Arial Narrow" w:hAnsi="Arial Narrow" w:cs="Calibri"/>
                <w:b/>
                <w:bCs/>
                <w:sz w:val="16"/>
                <w:szCs w:val="16"/>
              </w:rPr>
            </w:pPr>
            <w:r w:rsidRPr="008F7A9E">
              <w:rPr>
                <w:rFonts w:ascii="Arial Narrow" w:hAnsi="Arial Narrow" w:cs="Calibri"/>
                <w:b/>
                <w:bCs/>
                <w:sz w:val="16"/>
                <w:szCs w:val="16"/>
              </w:rPr>
              <w:t>Продукция от селскостопански услуги</w:t>
            </w:r>
          </w:p>
        </w:tc>
        <w:tc>
          <w:tcPr>
            <w:tcW w:w="1185" w:type="dxa"/>
            <w:tcBorders>
              <w:top w:val="nil"/>
              <w:left w:val="nil"/>
              <w:bottom w:val="single" w:sz="4" w:space="0" w:color="auto"/>
              <w:right w:val="single" w:sz="4" w:space="0" w:color="auto"/>
            </w:tcBorders>
            <w:shd w:val="clear" w:color="auto" w:fill="auto"/>
            <w:vAlign w:val="center"/>
            <w:hideMark/>
          </w:tcPr>
          <w:p w14:paraId="190C826F" w14:textId="77777777" w:rsidR="008F7A9E" w:rsidRPr="008F7A9E" w:rsidRDefault="008F7A9E" w:rsidP="008F7A9E">
            <w:pPr>
              <w:jc w:val="right"/>
              <w:rPr>
                <w:rFonts w:ascii="Arial Narrow" w:hAnsi="Arial Narrow" w:cs="Calibri"/>
                <w:b/>
                <w:bCs/>
                <w:sz w:val="16"/>
                <w:szCs w:val="16"/>
              </w:rPr>
            </w:pPr>
            <w:r w:rsidRPr="008F7A9E">
              <w:rPr>
                <w:rFonts w:ascii="Arial Narrow" w:hAnsi="Arial Narrow" w:cs="Calibri"/>
                <w:b/>
                <w:bCs/>
                <w:sz w:val="16"/>
                <w:szCs w:val="16"/>
              </w:rPr>
              <w:t>595,3</w:t>
            </w:r>
          </w:p>
        </w:tc>
        <w:tc>
          <w:tcPr>
            <w:tcW w:w="1028" w:type="dxa"/>
            <w:tcBorders>
              <w:top w:val="nil"/>
              <w:left w:val="nil"/>
              <w:bottom w:val="single" w:sz="4" w:space="0" w:color="auto"/>
              <w:right w:val="single" w:sz="4" w:space="0" w:color="auto"/>
            </w:tcBorders>
            <w:shd w:val="clear" w:color="auto" w:fill="auto"/>
            <w:vAlign w:val="center"/>
            <w:hideMark/>
          </w:tcPr>
          <w:p w14:paraId="0FF4AAA1" w14:textId="77777777" w:rsidR="008F7A9E" w:rsidRPr="008F7A9E" w:rsidRDefault="008F7A9E" w:rsidP="008F7A9E">
            <w:pPr>
              <w:jc w:val="right"/>
              <w:rPr>
                <w:rFonts w:ascii="Arial Narrow" w:hAnsi="Arial Narrow" w:cs="Calibri"/>
                <w:b/>
                <w:bCs/>
                <w:sz w:val="16"/>
                <w:szCs w:val="16"/>
              </w:rPr>
            </w:pPr>
            <w:r w:rsidRPr="008F7A9E">
              <w:rPr>
                <w:rFonts w:ascii="Arial Narrow" w:hAnsi="Arial Narrow" w:cs="Calibri"/>
                <w:b/>
                <w:bCs/>
                <w:sz w:val="16"/>
                <w:szCs w:val="16"/>
              </w:rPr>
              <w:t>0,1</w:t>
            </w:r>
          </w:p>
        </w:tc>
        <w:tc>
          <w:tcPr>
            <w:tcW w:w="1217" w:type="dxa"/>
            <w:tcBorders>
              <w:top w:val="nil"/>
              <w:left w:val="nil"/>
              <w:bottom w:val="single" w:sz="4" w:space="0" w:color="auto"/>
              <w:right w:val="single" w:sz="4" w:space="0" w:color="auto"/>
            </w:tcBorders>
            <w:shd w:val="clear" w:color="auto" w:fill="auto"/>
            <w:vAlign w:val="center"/>
            <w:hideMark/>
          </w:tcPr>
          <w:p w14:paraId="38428ED9" w14:textId="77777777" w:rsidR="008F7A9E" w:rsidRPr="008F7A9E" w:rsidRDefault="008F7A9E" w:rsidP="008F7A9E">
            <w:pPr>
              <w:jc w:val="right"/>
              <w:rPr>
                <w:rFonts w:ascii="Arial Narrow" w:hAnsi="Arial Narrow" w:cs="Calibri"/>
                <w:b/>
                <w:bCs/>
                <w:sz w:val="16"/>
                <w:szCs w:val="16"/>
              </w:rPr>
            </w:pPr>
            <w:r w:rsidRPr="008F7A9E">
              <w:rPr>
                <w:rFonts w:ascii="Arial Narrow" w:hAnsi="Arial Narrow" w:cs="Calibri"/>
                <w:b/>
                <w:bCs/>
                <w:sz w:val="16"/>
                <w:szCs w:val="16"/>
              </w:rPr>
              <w:t>595,7</w:t>
            </w:r>
          </w:p>
        </w:tc>
        <w:tc>
          <w:tcPr>
            <w:tcW w:w="1075" w:type="dxa"/>
            <w:tcBorders>
              <w:top w:val="nil"/>
              <w:left w:val="nil"/>
              <w:bottom w:val="single" w:sz="4" w:space="0" w:color="auto"/>
              <w:right w:val="single" w:sz="4" w:space="0" w:color="auto"/>
            </w:tcBorders>
            <w:shd w:val="clear" w:color="auto" w:fill="auto"/>
            <w:vAlign w:val="center"/>
            <w:hideMark/>
          </w:tcPr>
          <w:p w14:paraId="6C6EE2B0" w14:textId="77777777" w:rsidR="008F7A9E" w:rsidRPr="008F7A9E" w:rsidRDefault="008F7A9E" w:rsidP="008F7A9E">
            <w:pPr>
              <w:jc w:val="right"/>
              <w:rPr>
                <w:rFonts w:ascii="Arial Narrow" w:hAnsi="Arial Narrow" w:cs="Calibri"/>
                <w:b/>
                <w:bCs/>
                <w:sz w:val="16"/>
                <w:szCs w:val="16"/>
              </w:rPr>
            </w:pPr>
            <w:r w:rsidRPr="008F7A9E">
              <w:rPr>
                <w:rFonts w:ascii="Arial Narrow" w:hAnsi="Arial Narrow" w:cs="Calibri"/>
                <w:b/>
                <w:bCs/>
                <w:sz w:val="16"/>
                <w:szCs w:val="16"/>
              </w:rPr>
              <w:t>-8,0</w:t>
            </w:r>
          </w:p>
        </w:tc>
        <w:tc>
          <w:tcPr>
            <w:tcW w:w="1233" w:type="dxa"/>
            <w:tcBorders>
              <w:top w:val="nil"/>
              <w:left w:val="nil"/>
              <w:bottom w:val="single" w:sz="4" w:space="0" w:color="auto"/>
              <w:right w:val="single" w:sz="4" w:space="0" w:color="auto"/>
            </w:tcBorders>
            <w:shd w:val="clear" w:color="auto" w:fill="auto"/>
            <w:vAlign w:val="center"/>
            <w:hideMark/>
          </w:tcPr>
          <w:p w14:paraId="74FB5B31" w14:textId="77777777" w:rsidR="008F7A9E" w:rsidRPr="008F7A9E" w:rsidRDefault="008F7A9E" w:rsidP="008F7A9E">
            <w:pPr>
              <w:jc w:val="right"/>
              <w:rPr>
                <w:rFonts w:ascii="Arial Narrow" w:hAnsi="Arial Narrow" w:cs="Calibri"/>
                <w:b/>
                <w:bCs/>
                <w:sz w:val="16"/>
                <w:szCs w:val="16"/>
              </w:rPr>
            </w:pPr>
            <w:r w:rsidRPr="008F7A9E">
              <w:rPr>
                <w:rFonts w:ascii="Arial Narrow" w:hAnsi="Arial Narrow" w:cs="Calibri"/>
                <w:b/>
                <w:bCs/>
                <w:sz w:val="16"/>
                <w:szCs w:val="16"/>
              </w:rPr>
              <w:t>547,8</w:t>
            </w:r>
          </w:p>
        </w:tc>
      </w:tr>
      <w:tr w:rsidR="008F7A9E" w:rsidRPr="00B10684" w14:paraId="24CBC7F3" w14:textId="77777777" w:rsidTr="005A18A5">
        <w:trPr>
          <w:trHeight w:val="365"/>
        </w:trPr>
        <w:tc>
          <w:tcPr>
            <w:tcW w:w="748" w:type="dxa"/>
            <w:tcBorders>
              <w:top w:val="nil"/>
              <w:left w:val="single" w:sz="4" w:space="0" w:color="auto"/>
              <w:bottom w:val="single" w:sz="4" w:space="0" w:color="auto"/>
              <w:right w:val="single" w:sz="4" w:space="0" w:color="auto"/>
            </w:tcBorders>
            <w:shd w:val="clear" w:color="auto" w:fill="auto"/>
            <w:vAlign w:val="center"/>
            <w:hideMark/>
          </w:tcPr>
          <w:p w14:paraId="45BCF21D" w14:textId="77777777" w:rsidR="008F7A9E" w:rsidRPr="008F7A9E" w:rsidRDefault="008F7A9E" w:rsidP="008F7A9E">
            <w:pPr>
              <w:rPr>
                <w:rFonts w:ascii="Arial Narrow" w:hAnsi="Arial Narrow" w:cs="Calibri"/>
                <w:sz w:val="16"/>
                <w:szCs w:val="16"/>
              </w:rPr>
            </w:pPr>
            <w:r w:rsidRPr="008F7A9E">
              <w:rPr>
                <w:rFonts w:ascii="Arial Narrow" w:hAnsi="Arial Narrow" w:cs="Calibri"/>
                <w:sz w:val="16"/>
                <w:szCs w:val="16"/>
              </w:rPr>
              <w:t>16</w:t>
            </w:r>
          </w:p>
        </w:tc>
        <w:tc>
          <w:tcPr>
            <w:tcW w:w="4419" w:type="dxa"/>
            <w:tcBorders>
              <w:top w:val="nil"/>
              <w:left w:val="nil"/>
              <w:bottom w:val="single" w:sz="4" w:space="0" w:color="auto"/>
              <w:right w:val="single" w:sz="4" w:space="0" w:color="auto"/>
            </w:tcBorders>
            <w:shd w:val="clear" w:color="auto" w:fill="auto"/>
            <w:vAlign w:val="center"/>
            <w:hideMark/>
          </w:tcPr>
          <w:p w14:paraId="7CA10E36" w14:textId="77777777" w:rsidR="008F7A9E" w:rsidRPr="008F7A9E" w:rsidRDefault="008F7A9E" w:rsidP="008F7A9E">
            <w:pPr>
              <w:rPr>
                <w:rFonts w:ascii="Arial Narrow" w:hAnsi="Arial Narrow" w:cs="Calibri"/>
                <w:b/>
                <w:bCs/>
                <w:sz w:val="16"/>
                <w:szCs w:val="16"/>
              </w:rPr>
            </w:pPr>
            <w:r w:rsidRPr="008F7A9E">
              <w:rPr>
                <w:rFonts w:ascii="Arial Narrow" w:hAnsi="Arial Narrow" w:cs="Calibri"/>
                <w:b/>
                <w:bCs/>
                <w:sz w:val="16"/>
                <w:szCs w:val="16"/>
              </w:rPr>
              <w:t>Продукция от селското стопанство (14+15)</w:t>
            </w:r>
          </w:p>
        </w:tc>
        <w:tc>
          <w:tcPr>
            <w:tcW w:w="1185" w:type="dxa"/>
            <w:tcBorders>
              <w:top w:val="nil"/>
              <w:left w:val="nil"/>
              <w:bottom w:val="single" w:sz="4" w:space="0" w:color="auto"/>
              <w:right w:val="single" w:sz="4" w:space="0" w:color="auto"/>
            </w:tcBorders>
            <w:shd w:val="clear" w:color="auto" w:fill="auto"/>
            <w:vAlign w:val="center"/>
            <w:hideMark/>
          </w:tcPr>
          <w:p w14:paraId="49AB18FD" w14:textId="77777777" w:rsidR="008F7A9E" w:rsidRPr="008F7A9E" w:rsidRDefault="008F7A9E" w:rsidP="008F7A9E">
            <w:pPr>
              <w:jc w:val="right"/>
              <w:rPr>
                <w:rFonts w:ascii="Arial Narrow" w:hAnsi="Arial Narrow" w:cs="Calibri"/>
                <w:b/>
                <w:bCs/>
                <w:sz w:val="16"/>
                <w:szCs w:val="16"/>
              </w:rPr>
            </w:pPr>
            <w:r w:rsidRPr="008F7A9E">
              <w:rPr>
                <w:rFonts w:ascii="Arial Narrow" w:hAnsi="Arial Narrow" w:cs="Calibri"/>
                <w:b/>
                <w:bCs/>
                <w:sz w:val="16"/>
                <w:szCs w:val="16"/>
              </w:rPr>
              <w:t>12 628,7</w:t>
            </w:r>
          </w:p>
        </w:tc>
        <w:tc>
          <w:tcPr>
            <w:tcW w:w="1028" w:type="dxa"/>
            <w:tcBorders>
              <w:top w:val="nil"/>
              <w:left w:val="nil"/>
              <w:bottom w:val="single" w:sz="4" w:space="0" w:color="auto"/>
              <w:right w:val="single" w:sz="4" w:space="0" w:color="auto"/>
            </w:tcBorders>
            <w:shd w:val="clear" w:color="auto" w:fill="auto"/>
            <w:vAlign w:val="center"/>
            <w:hideMark/>
          </w:tcPr>
          <w:p w14:paraId="43EA86FD" w14:textId="77777777" w:rsidR="008F7A9E" w:rsidRPr="008F7A9E" w:rsidRDefault="008F7A9E" w:rsidP="008F7A9E">
            <w:pPr>
              <w:jc w:val="right"/>
              <w:rPr>
                <w:rFonts w:ascii="Arial Narrow" w:hAnsi="Arial Narrow" w:cs="Calibri"/>
                <w:b/>
                <w:bCs/>
                <w:sz w:val="16"/>
                <w:szCs w:val="16"/>
              </w:rPr>
            </w:pPr>
            <w:r w:rsidRPr="008F7A9E">
              <w:rPr>
                <w:rFonts w:ascii="Arial Narrow" w:hAnsi="Arial Narrow" w:cs="Calibri"/>
                <w:b/>
                <w:bCs/>
                <w:sz w:val="16"/>
                <w:szCs w:val="16"/>
              </w:rPr>
              <w:t>-18,8</w:t>
            </w:r>
          </w:p>
        </w:tc>
        <w:tc>
          <w:tcPr>
            <w:tcW w:w="1217" w:type="dxa"/>
            <w:tcBorders>
              <w:top w:val="nil"/>
              <w:left w:val="nil"/>
              <w:bottom w:val="single" w:sz="4" w:space="0" w:color="auto"/>
              <w:right w:val="single" w:sz="4" w:space="0" w:color="auto"/>
            </w:tcBorders>
            <w:shd w:val="clear" w:color="auto" w:fill="auto"/>
            <w:vAlign w:val="center"/>
            <w:hideMark/>
          </w:tcPr>
          <w:p w14:paraId="17497307" w14:textId="77777777" w:rsidR="008F7A9E" w:rsidRPr="008F7A9E" w:rsidRDefault="008F7A9E" w:rsidP="008F7A9E">
            <w:pPr>
              <w:jc w:val="right"/>
              <w:rPr>
                <w:rFonts w:ascii="Arial Narrow" w:hAnsi="Arial Narrow" w:cs="Calibri"/>
                <w:b/>
                <w:bCs/>
                <w:sz w:val="16"/>
                <w:szCs w:val="16"/>
              </w:rPr>
            </w:pPr>
            <w:r w:rsidRPr="008F7A9E">
              <w:rPr>
                <w:rFonts w:ascii="Arial Narrow" w:hAnsi="Arial Narrow" w:cs="Calibri"/>
                <w:b/>
                <w:bCs/>
                <w:sz w:val="16"/>
                <w:szCs w:val="16"/>
              </w:rPr>
              <w:t>10 255,4</w:t>
            </w:r>
          </w:p>
        </w:tc>
        <w:tc>
          <w:tcPr>
            <w:tcW w:w="1075" w:type="dxa"/>
            <w:tcBorders>
              <w:top w:val="nil"/>
              <w:left w:val="nil"/>
              <w:bottom w:val="single" w:sz="4" w:space="0" w:color="auto"/>
              <w:right w:val="single" w:sz="4" w:space="0" w:color="auto"/>
            </w:tcBorders>
            <w:shd w:val="clear" w:color="auto" w:fill="auto"/>
            <w:vAlign w:val="center"/>
            <w:hideMark/>
          </w:tcPr>
          <w:p w14:paraId="77CE8238" w14:textId="77777777" w:rsidR="008F7A9E" w:rsidRPr="008F7A9E" w:rsidRDefault="008F7A9E" w:rsidP="008F7A9E">
            <w:pPr>
              <w:jc w:val="right"/>
              <w:rPr>
                <w:rFonts w:ascii="Arial Narrow" w:hAnsi="Arial Narrow" w:cs="Calibri"/>
                <w:b/>
                <w:bCs/>
                <w:sz w:val="16"/>
                <w:szCs w:val="16"/>
              </w:rPr>
            </w:pPr>
            <w:r w:rsidRPr="008F7A9E">
              <w:rPr>
                <w:rFonts w:ascii="Arial Narrow" w:hAnsi="Arial Narrow" w:cs="Calibri"/>
                <w:b/>
                <w:bCs/>
                <w:sz w:val="16"/>
                <w:szCs w:val="16"/>
              </w:rPr>
              <w:t>-8,2</w:t>
            </w:r>
          </w:p>
        </w:tc>
        <w:tc>
          <w:tcPr>
            <w:tcW w:w="1233" w:type="dxa"/>
            <w:tcBorders>
              <w:top w:val="nil"/>
              <w:left w:val="nil"/>
              <w:bottom w:val="single" w:sz="4" w:space="0" w:color="auto"/>
              <w:right w:val="single" w:sz="4" w:space="0" w:color="auto"/>
            </w:tcBorders>
            <w:shd w:val="clear" w:color="auto" w:fill="auto"/>
            <w:vAlign w:val="center"/>
            <w:hideMark/>
          </w:tcPr>
          <w:p w14:paraId="4866A4C4" w14:textId="77777777" w:rsidR="008F7A9E" w:rsidRPr="008F7A9E" w:rsidRDefault="008F7A9E" w:rsidP="008F7A9E">
            <w:pPr>
              <w:jc w:val="right"/>
              <w:rPr>
                <w:rFonts w:ascii="Arial Narrow" w:hAnsi="Arial Narrow" w:cs="Calibri"/>
                <w:b/>
                <w:bCs/>
                <w:sz w:val="16"/>
                <w:szCs w:val="16"/>
              </w:rPr>
            </w:pPr>
            <w:r w:rsidRPr="008F7A9E">
              <w:rPr>
                <w:rFonts w:ascii="Arial Narrow" w:hAnsi="Arial Narrow" w:cs="Calibri"/>
                <w:b/>
                <w:bCs/>
                <w:sz w:val="16"/>
                <w:szCs w:val="16"/>
              </w:rPr>
              <w:t>9 409,4</w:t>
            </w:r>
          </w:p>
        </w:tc>
      </w:tr>
      <w:tr w:rsidR="008F7A9E" w:rsidRPr="00B10684" w14:paraId="2C5DF617" w14:textId="77777777" w:rsidTr="005A18A5">
        <w:trPr>
          <w:trHeight w:val="328"/>
        </w:trPr>
        <w:tc>
          <w:tcPr>
            <w:tcW w:w="748" w:type="dxa"/>
            <w:tcBorders>
              <w:top w:val="nil"/>
              <w:left w:val="single" w:sz="4" w:space="0" w:color="auto"/>
              <w:bottom w:val="single" w:sz="4" w:space="0" w:color="auto"/>
              <w:right w:val="single" w:sz="4" w:space="0" w:color="auto"/>
            </w:tcBorders>
            <w:shd w:val="clear" w:color="auto" w:fill="auto"/>
            <w:vAlign w:val="center"/>
            <w:hideMark/>
          </w:tcPr>
          <w:p w14:paraId="38C27976" w14:textId="77777777" w:rsidR="008F7A9E" w:rsidRPr="008F7A9E" w:rsidRDefault="008F7A9E" w:rsidP="008F7A9E">
            <w:pPr>
              <w:rPr>
                <w:rFonts w:ascii="Arial Narrow" w:hAnsi="Arial Narrow" w:cs="Calibri"/>
                <w:sz w:val="16"/>
                <w:szCs w:val="16"/>
              </w:rPr>
            </w:pPr>
            <w:r w:rsidRPr="008F7A9E">
              <w:rPr>
                <w:rFonts w:ascii="Arial Narrow" w:hAnsi="Arial Narrow" w:cs="Calibri"/>
                <w:sz w:val="16"/>
                <w:szCs w:val="16"/>
              </w:rPr>
              <w:t>17</w:t>
            </w:r>
          </w:p>
        </w:tc>
        <w:tc>
          <w:tcPr>
            <w:tcW w:w="4419" w:type="dxa"/>
            <w:tcBorders>
              <w:top w:val="nil"/>
              <w:left w:val="nil"/>
              <w:bottom w:val="single" w:sz="4" w:space="0" w:color="auto"/>
              <w:right w:val="single" w:sz="4" w:space="0" w:color="auto"/>
            </w:tcBorders>
            <w:shd w:val="clear" w:color="auto" w:fill="auto"/>
            <w:vAlign w:val="center"/>
            <w:hideMark/>
          </w:tcPr>
          <w:p w14:paraId="17BA88F3" w14:textId="77777777" w:rsidR="008F7A9E" w:rsidRPr="008F7A9E" w:rsidRDefault="008F7A9E" w:rsidP="008F7A9E">
            <w:pPr>
              <w:rPr>
                <w:rFonts w:ascii="Arial Narrow" w:hAnsi="Arial Narrow" w:cs="Calibri"/>
                <w:b/>
                <w:bCs/>
                <w:sz w:val="16"/>
                <w:szCs w:val="16"/>
              </w:rPr>
            </w:pPr>
            <w:r w:rsidRPr="008F7A9E">
              <w:rPr>
                <w:rFonts w:ascii="Arial Narrow" w:hAnsi="Arial Narrow" w:cs="Calibri"/>
                <w:b/>
                <w:bCs/>
                <w:sz w:val="16"/>
                <w:szCs w:val="16"/>
              </w:rPr>
              <w:t>Неселскостопански неотделими второстепенни дейности</w:t>
            </w:r>
          </w:p>
        </w:tc>
        <w:tc>
          <w:tcPr>
            <w:tcW w:w="1185" w:type="dxa"/>
            <w:tcBorders>
              <w:top w:val="nil"/>
              <w:left w:val="nil"/>
              <w:bottom w:val="single" w:sz="4" w:space="0" w:color="auto"/>
              <w:right w:val="single" w:sz="4" w:space="0" w:color="auto"/>
            </w:tcBorders>
            <w:shd w:val="clear" w:color="auto" w:fill="auto"/>
            <w:vAlign w:val="center"/>
            <w:hideMark/>
          </w:tcPr>
          <w:p w14:paraId="6A248706" w14:textId="77777777" w:rsidR="008F7A9E" w:rsidRPr="008F7A9E" w:rsidRDefault="008F7A9E" w:rsidP="008F7A9E">
            <w:pPr>
              <w:jc w:val="right"/>
              <w:rPr>
                <w:rFonts w:ascii="Arial Narrow" w:hAnsi="Arial Narrow" w:cs="Calibri"/>
                <w:b/>
                <w:bCs/>
                <w:sz w:val="16"/>
                <w:szCs w:val="16"/>
              </w:rPr>
            </w:pPr>
            <w:r w:rsidRPr="008F7A9E">
              <w:rPr>
                <w:rFonts w:ascii="Arial Narrow" w:hAnsi="Arial Narrow" w:cs="Calibri"/>
                <w:b/>
                <w:bCs/>
                <w:sz w:val="16"/>
                <w:szCs w:val="16"/>
              </w:rPr>
              <w:t>273,2</w:t>
            </w:r>
          </w:p>
        </w:tc>
        <w:tc>
          <w:tcPr>
            <w:tcW w:w="1028" w:type="dxa"/>
            <w:tcBorders>
              <w:top w:val="nil"/>
              <w:left w:val="nil"/>
              <w:bottom w:val="single" w:sz="4" w:space="0" w:color="auto"/>
              <w:right w:val="single" w:sz="4" w:space="0" w:color="auto"/>
            </w:tcBorders>
            <w:shd w:val="clear" w:color="auto" w:fill="auto"/>
            <w:vAlign w:val="center"/>
            <w:hideMark/>
          </w:tcPr>
          <w:p w14:paraId="165CEC97" w14:textId="77777777" w:rsidR="008F7A9E" w:rsidRPr="008F7A9E" w:rsidRDefault="008F7A9E" w:rsidP="008F7A9E">
            <w:pPr>
              <w:jc w:val="right"/>
              <w:rPr>
                <w:rFonts w:ascii="Arial Narrow" w:hAnsi="Arial Narrow" w:cs="Calibri"/>
                <w:b/>
                <w:bCs/>
                <w:sz w:val="16"/>
                <w:szCs w:val="16"/>
              </w:rPr>
            </w:pPr>
            <w:r w:rsidRPr="008F7A9E">
              <w:rPr>
                <w:rFonts w:ascii="Arial Narrow" w:hAnsi="Arial Narrow" w:cs="Calibri"/>
                <w:b/>
                <w:bCs/>
                <w:sz w:val="16"/>
                <w:szCs w:val="16"/>
              </w:rPr>
              <w:t>9,4</w:t>
            </w:r>
          </w:p>
        </w:tc>
        <w:tc>
          <w:tcPr>
            <w:tcW w:w="1217" w:type="dxa"/>
            <w:tcBorders>
              <w:top w:val="nil"/>
              <w:left w:val="nil"/>
              <w:bottom w:val="single" w:sz="4" w:space="0" w:color="auto"/>
              <w:right w:val="single" w:sz="4" w:space="0" w:color="auto"/>
            </w:tcBorders>
            <w:shd w:val="clear" w:color="auto" w:fill="auto"/>
            <w:vAlign w:val="center"/>
            <w:hideMark/>
          </w:tcPr>
          <w:p w14:paraId="05ED168E" w14:textId="77777777" w:rsidR="008F7A9E" w:rsidRPr="008F7A9E" w:rsidRDefault="008F7A9E" w:rsidP="008F7A9E">
            <w:pPr>
              <w:jc w:val="right"/>
              <w:rPr>
                <w:rFonts w:ascii="Arial Narrow" w:hAnsi="Arial Narrow" w:cs="Calibri"/>
                <w:b/>
                <w:bCs/>
                <w:sz w:val="16"/>
                <w:szCs w:val="16"/>
              </w:rPr>
            </w:pPr>
            <w:r w:rsidRPr="008F7A9E">
              <w:rPr>
                <w:rFonts w:ascii="Arial Narrow" w:hAnsi="Arial Narrow" w:cs="Calibri"/>
                <w:b/>
                <w:bCs/>
                <w:sz w:val="16"/>
                <w:szCs w:val="16"/>
              </w:rPr>
              <w:t>299,0</w:t>
            </w:r>
          </w:p>
        </w:tc>
        <w:tc>
          <w:tcPr>
            <w:tcW w:w="1075" w:type="dxa"/>
            <w:tcBorders>
              <w:top w:val="nil"/>
              <w:left w:val="nil"/>
              <w:bottom w:val="single" w:sz="4" w:space="0" w:color="auto"/>
              <w:right w:val="single" w:sz="4" w:space="0" w:color="auto"/>
            </w:tcBorders>
            <w:shd w:val="clear" w:color="auto" w:fill="auto"/>
            <w:vAlign w:val="center"/>
            <w:hideMark/>
          </w:tcPr>
          <w:p w14:paraId="7386F3D0" w14:textId="77777777" w:rsidR="008F7A9E" w:rsidRPr="008F7A9E" w:rsidRDefault="008F7A9E" w:rsidP="008F7A9E">
            <w:pPr>
              <w:jc w:val="right"/>
              <w:rPr>
                <w:rFonts w:ascii="Arial Narrow" w:hAnsi="Arial Narrow" w:cs="Calibri"/>
                <w:b/>
                <w:bCs/>
                <w:sz w:val="16"/>
                <w:szCs w:val="16"/>
              </w:rPr>
            </w:pPr>
            <w:r w:rsidRPr="008F7A9E">
              <w:rPr>
                <w:rFonts w:ascii="Arial Narrow" w:hAnsi="Arial Narrow" w:cs="Calibri"/>
                <w:b/>
                <w:bCs/>
                <w:sz w:val="16"/>
                <w:szCs w:val="16"/>
              </w:rPr>
              <w:t>-0,3</w:t>
            </w:r>
          </w:p>
        </w:tc>
        <w:tc>
          <w:tcPr>
            <w:tcW w:w="1233" w:type="dxa"/>
            <w:tcBorders>
              <w:top w:val="nil"/>
              <w:left w:val="nil"/>
              <w:bottom w:val="single" w:sz="4" w:space="0" w:color="auto"/>
              <w:right w:val="single" w:sz="4" w:space="0" w:color="auto"/>
            </w:tcBorders>
            <w:shd w:val="clear" w:color="auto" w:fill="auto"/>
            <w:vAlign w:val="center"/>
            <w:hideMark/>
          </w:tcPr>
          <w:p w14:paraId="1B44758A" w14:textId="77777777" w:rsidR="008F7A9E" w:rsidRPr="008F7A9E" w:rsidRDefault="008F7A9E" w:rsidP="008F7A9E">
            <w:pPr>
              <w:jc w:val="right"/>
              <w:rPr>
                <w:rFonts w:ascii="Arial Narrow" w:hAnsi="Arial Narrow" w:cs="Calibri"/>
                <w:b/>
                <w:bCs/>
                <w:sz w:val="16"/>
                <w:szCs w:val="16"/>
              </w:rPr>
            </w:pPr>
            <w:r w:rsidRPr="008F7A9E">
              <w:rPr>
                <w:rFonts w:ascii="Arial Narrow" w:hAnsi="Arial Narrow" w:cs="Calibri"/>
                <w:b/>
                <w:bCs/>
                <w:sz w:val="16"/>
                <w:szCs w:val="16"/>
              </w:rPr>
              <w:t>298,1</w:t>
            </w:r>
          </w:p>
        </w:tc>
      </w:tr>
      <w:tr w:rsidR="008F7A9E" w:rsidRPr="00B10684" w14:paraId="7A2B9C2B" w14:textId="77777777" w:rsidTr="005A18A5">
        <w:trPr>
          <w:trHeight w:val="228"/>
        </w:trPr>
        <w:tc>
          <w:tcPr>
            <w:tcW w:w="748" w:type="dxa"/>
            <w:tcBorders>
              <w:top w:val="nil"/>
              <w:left w:val="single" w:sz="4" w:space="0" w:color="auto"/>
              <w:bottom w:val="single" w:sz="4" w:space="0" w:color="auto"/>
              <w:right w:val="single" w:sz="4" w:space="0" w:color="auto"/>
            </w:tcBorders>
            <w:shd w:val="clear" w:color="auto" w:fill="auto"/>
            <w:vAlign w:val="center"/>
            <w:hideMark/>
          </w:tcPr>
          <w:p w14:paraId="2BB6AAB8" w14:textId="77777777" w:rsidR="008F7A9E" w:rsidRPr="008F7A9E" w:rsidRDefault="008F7A9E" w:rsidP="008F7A9E">
            <w:pPr>
              <w:rPr>
                <w:rFonts w:ascii="Arial Narrow" w:hAnsi="Arial Narrow" w:cs="Calibri"/>
                <w:sz w:val="16"/>
                <w:szCs w:val="16"/>
              </w:rPr>
            </w:pPr>
            <w:r w:rsidRPr="008F7A9E">
              <w:rPr>
                <w:rFonts w:ascii="Arial Narrow" w:hAnsi="Arial Narrow" w:cs="Calibri"/>
                <w:sz w:val="16"/>
                <w:szCs w:val="16"/>
              </w:rPr>
              <w:t>17.1</w:t>
            </w:r>
          </w:p>
        </w:tc>
        <w:tc>
          <w:tcPr>
            <w:tcW w:w="4419" w:type="dxa"/>
            <w:tcBorders>
              <w:top w:val="nil"/>
              <w:left w:val="nil"/>
              <w:bottom w:val="single" w:sz="4" w:space="0" w:color="auto"/>
              <w:right w:val="single" w:sz="4" w:space="0" w:color="auto"/>
            </w:tcBorders>
            <w:shd w:val="clear" w:color="auto" w:fill="auto"/>
            <w:vAlign w:val="center"/>
            <w:hideMark/>
          </w:tcPr>
          <w:p w14:paraId="19C030EF" w14:textId="77777777" w:rsidR="008F7A9E" w:rsidRPr="008F7A9E" w:rsidRDefault="008F7A9E" w:rsidP="008F7A9E">
            <w:pPr>
              <w:ind w:firstLineChars="100" w:firstLine="160"/>
              <w:rPr>
                <w:rFonts w:ascii="Arial Narrow" w:hAnsi="Arial Narrow" w:cs="Calibri"/>
                <w:sz w:val="16"/>
                <w:szCs w:val="16"/>
              </w:rPr>
            </w:pPr>
            <w:r w:rsidRPr="008F7A9E">
              <w:rPr>
                <w:rFonts w:ascii="Arial Narrow" w:hAnsi="Arial Narrow" w:cs="Calibri"/>
                <w:sz w:val="16"/>
                <w:szCs w:val="16"/>
              </w:rPr>
              <w:t>Преработка на селскостопански продукти</w:t>
            </w:r>
          </w:p>
        </w:tc>
        <w:tc>
          <w:tcPr>
            <w:tcW w:w="1185" w:type="dxa"/>
            <w:tcBorders>
              <w:top w:val="nil"/>
              <w:left w:val="nil"/>
              <w:bottom w:val="single" w:sz="4" w:space="0" w:color="auto"/>
              <w:right w:val="single" w:sz="4" w:space="0" w:color="auto"/>
            </w:tcBorders>
            <w:shd w:val="clear" w:color="auto" w:fill="auto"/>
            <w:vAlign w:val="center"/>
            <w:hideMark/>
          </w:tcPr>
          <w:p w14:paraId="7D21FD5D" w14:textId="77777777" w:rsidR="008F7A9E" w:rsidRPr="008F7A9E" w:rsidRDefault="008F7A9E" w:rsidP="008F7A9E">
            <w:pPr>
              <w:jc w:val="right"/>
              <w:rPr>
                <w:rFonts w:ascii="Arial Narrow" w:hAnsi="Arial Narrow" w:cs="Calibri"/>
                <w:sz w:val="16"/>
                <w:szCs w:val="16"/>
              </w:rPr>
            </w:pPr>
            <w:r w:rsidRPr="008F7A9E">
              <w:rPr>
                <w:rFonts w:ascii="Arial Narrow" w:hAnsi="Arial Narrow" w:cs="Calibri"/>
                <w:sz w:val="16"/>
                <w:szCs w:val="16"/>
              </w:rPr>
              <w:t>273,2</w:t>
            </w:r>
          </w:p>
        </w:tc>
        <w:tc>
          <w:tcPr>
            <w:tcW w:w="1028" w:type="dxa"/>
            <w:tcBorders>
              <w:top w:val="nil"/>
              <w:left w:val="nil"/>
              <w:bottom w:val="single" w:sz="4" w:space="0" w:color="auto"/>
              <w:right w:val="single" w:sz="4" w:space="0" w:color="auto"/>
            </w:tcBorders>
            <w:shd w:val="clear" w:color="auto" w:fill="auto"/>
            <w:vAlign w:val="center"/>
            <w:hideMark/>
          </w:tcPr>
          <w:p w14:paraId="1C01D000" w14:textId="77777777" w:rsidR="008F7A9E" w:rsidRPr="008F7A9E" w:rsidRDefault="008F7A9E" w:rsidP="008F7A9E">
            <w:pPr>
              <w:jc w:val="right"/>
              <w:rPr>
                <w:rFonts w:ascii="Arial Narrow" w:hAnsi="Arial Narrow" w:cs="Calibri"/>
                <w:sz w:val="16"/>
                <w:szCs w:val="16"/>
              </w:rPr>
            </w:pPr>
            <w:r w:rsidRPr="008F7A9E">
              <w:rPr>
                <w:rFonts w:ascii="Arial Narrow" w:hAnsi="Arial Narrow" w:cs="Calibri"/>
                <w:sz w:val="16"/>
                <w:szCs w:val="16"/>
              </w:rPr>
              <w:t>9,4</w:t>
            </w:r>
          </w:p>
        </w:tc>
        <w:tc>
          <w:tcPr>
            <w:tcW w:w="1217" w:type="dxa"/>
            <w:tcBorders>
              <w:top w:val="nil"/>
              <w:left w:val="nil"/>
              <w:bottom w:val="single" w:sz="4" w:space="0" w:color="auto"/>
              <w:right w:val="single" w:sz="4" w:space="0" w:color="auto"/>
            </w:tcBorders>
            <w:shd w:val="clear" w:color="auto" w:fill="auto"/>
            <w:vAlign w:val="center"/>
            <w:hideMark/>
          </w:tcPr>
          <w:p w14:paraId="0C95432E" w14:textId="77777777" w:rsidR="008F7A9E" w:rsidRPr="008F7A9E" w:rsidRDefault="008F7A9E" w:rsidP="008F7A9E">
            <w:pPr>
              <w:jc w:val="right"/>
              <w:rPr>
                <w:rFonts w:ascii="Arial Narrow" w:hAnsi="Arial Narrow" w:cs="Calibri"/>
                <w:sz w:val="16"/>
                <w:szCs w:val="16"/>
              </w:rPr>
            </w:pPr>
            <w:r w:rsidRPr="008F7A9E">
              <w:rPr>
                <w:rFonts w:ascii="Arial Narrow" w:hAnsi="Arial Narrow" w:cs="Calibri"/>
                <w:sz w:val="16"/>
                <w:szCs w:val="16"/>
              </w:rPr>
              <w:t>299,0</w:t>
            </w:r>
          </w:p>
        </w:tc>
        <w:tc>
          <w:tcPr>
            <w:tcW w:w="1075" w:type="dxa"/>
            <w:tcBorders>
              <w:top w:val="nil"/>
              <w:left w:val="nil"/>
              <w:bottom w:val="single" w:sz="4" w:space="0" w:color="auto"/>
              <w:right w:val="single" w:sz="4" w:space="0" w:color="auto"/>
            </w:tcBorders>
            <w:shd w:val="clear" w:color="auto" w:fill="auto"/>
            <w:vAlign w:val="center"/>
            <w:hideMark/>
          </w:tcPr>
          <w:p w14:paraId="553EF182" w14:textId="77777777" w:rsidR="008F7A9E" w:rsidRPr="008F7A9E" w:rsidRDefault="008F7A9E" w:rsidP="008F7A9E">
            <w:pPr>
              <w:jc w:val="right"/>
              <w:rPr>
                <w:rFonts w:ascii="Arial Narrow" w:hAnsi="Arial Narrow" w:cs="Calibri"/>
                <w:sz w:val="16"/>
                <w:szCs w:val="16"/>
              </w:rPr>
            </w:pPr>
            <w:r w:rsidRPr="008F7A9E">
              <w:rPr>
                <w:rFonts w:ascii="Arial Narrow" w:hAnsi="Arial Narrow" w:cs="Calibri"/>
                <w:sz w:val="16"/>
                <w:szCs w:val="16"/>
              </w:rPr>
              <w:t>-0,3</w:t>
            </w:r>
          </w:p>
        </w:tc>
        <w:tc>
          <w:tcPr>
            <w:tcW w:w="1233" w:type="dxa"/>
            <w:tcBorders>
              <w:top w:val="nil"/>
              <w:left w:val="nil"/>
              <w:bottom w:val="single" w:sz="4" w:space="0" w:color="auto"/>
              <w:right w:val="single" w:sz="4" w:space="0" w:color="auto"/>
            </w:tcBorders>
            <w:shd w:val="clear" w:color="auto" w:fill="auto"/>
            <w:vAlign w:val="center"/>
            <w:hideMark/>
          </w:tcPr>
          <w:p w14:paraId="6AC3F219" w14:textId="77777777" w:rsidR="008F7A9E" w:rsidRPr="008F7A9E" w:rsidRDefault="008F7A9E" w:rsidP="008F7A9E">
            <w:pPr>
              <w:jc w:val="right"/>
              <w:rPr>
                <w:rFonts w:ascii="Arial Narrow" w:hAnsi="Arial Narrow" w:cs="Calibri"/>
                <w:sz w:val="16"/>
                <w:szCs w:val="16"/>
              </w:rPr>
            </w:pPr>
            <w:r w:rsidRPr="008F7A9E">
              <w:rPr>
                <w:rFonts w:ascii="Arial Narrow" w:hAnsi="Arial Narrow" w:cs="Calibri"/>
                <w:sz w:val="16"/>
                <w:szCs w:val="16"/>
              </w:rPr>
              <w:t>298,1</w:t>
            </w:r>
          </w:p>
        </w:tc>
      </w:tr>
      <w:tr w:rsidR="008F7A9E" w:rsidRPr="00B10684" w14:paraId="55F729AA" w14:textId="77777777" w:rsidTr="005A18A5">
        <w:trPr>
          <w:trHeight w:val="251"/>
        </w:trPr>
        <w:tc>
          <w:tcPr>
            <w:tcW w:w="748" w:type="dxa"/>
            <w:tcBorders>
              <w:top w:val="nil"/>
              <w:left w:val="single" w:sz="4" w:space="0" w:color="auto"/>
              <w:bottom w:val="single" w:sz="4" w:space="0" w:color="auto"/>
              <w:right w:val="single" w:sz="4" w:space="0" w:color="auto"/>
            </w:tcBorders>
            <w:shd w:val="clear" w:color="auto" w:fill="auto"/>
            <w:vAlign w:val="center"/>
            <w:hideMark/>
          </w:tcPr>
          <w:p w14:paraId="76131DD2" w14:textId="77777777" w:rsidR="008F7A9E" w:rsidRPr="008F7A9E" w:rsidRDefault="008F7A9E" w:rsidP="008F7A9E">
            <w:pPr>
              <w:rPr>
                <w:rFonts w:ascii="Arial Narrow" w:hAnsi="Arial Narrow" w:cs="Calibri"/>
                <w:sz w:val="16"/>
                <w:szCs w:val="16"/>
              </w:rPr>
            </w:pPr>
            <w:r w:rsidRPr="008F7A9E">
              <w:rPr>
                <w:rFonts w:ascii="Arial Narrow" w:hAnsi="Arial Narrow" w:cs="Calibri"/>
                <w:sz w:val="16"/>
                <w:szCs w:val="16"/>
              </w:rPr>
              <w:t>17.1/1</w:t>
            </w:r>
          </w:p>
        </w:tc>
        <w:tc>
          <w:tcPr>
            <w:tcW w:w="4419" w:type="dxa"/>
            <w:tcBorders>
              <w:top w:val="nil"/>
              <w:left w:val="nil"/>
              <w:bottom w:val="single" w:sz="4" w:space="0" w:color="auto"/>
              <w:right w:val="single" w:sz="4" w:space="0" w:color="auto"/>
            </w:tcBorders>
            <w:shd w:val="clear" w:color="auto" w:fill="auto"/>
            <w:vAlign w:val="center"/>
            <w:hideMark/>
          </w:tcPr>
          <w:p w14:paraId="566BF966" w14:textId="77777777" w:rsidR="008F7A9E" w:rsidRPr="008F7A9E" w:rsidRDefault="008F7A9E" w:rsidP="008F7A9E">
            <w:pPr>
              <w:ind w:firstLineChars="200" w:firstLine="320"/>
              <w:rPr>
                <w:rFonts w:ascii="Arial Narrow" w:hAnsi="Arial Narrow" w:cs="Calibri"/>
                <w:sz w:val="16"/>
                <w:szCs w:val="16"/>
              </w:rPr>
            </w:pPr>
            <w:r w:rsidRPr="008F7A9E">
              <w:rPr>
                <w:rFonts w:ascii="Arial Narrow" w:hAnsi="Arial Narrow" w:cs="Calibri"/>
                <w:sz w:val="16"/>
                <w:szCs w:val="16"/>
              </w:rPr>
              <w:t>- зърнени</w:t>
            </w:r>
          </w:p>
        </w:tc>
        <w:tc>
          <w:tcPr>
            <w:tcW w:w="1185" w:type="dxa"/>
            <w:tcBorders>
              <w:top w:val="nil"/>
              <w:left w:val="nil"/>
              <w:bottom w:val="single" w:sz="4" w:space="0" w:color="auto"/>
              <w:right w:val="single" w:sz="4" w:space="0" w:color="auto"/>
            </w:tcBorders>
            <w:shd w:val="clear" w:color="auto" w:fill="auto"/>
            <w:vAlign w:val="center"/>
            <w:hideMark/>
          </w:tcPr>
          <w:p w14:paraId="074B9E7E" w14:textId="77777777" w:rsidR="008F7A9E" w:rsidRPr="008F7A9E" w:rsidRDefault="008F7A9E" w:rsidP="008F7A9E">
            <w:pPr>
              <w:jc w:val="right"/>
              <w:rPr>
                <w:rFonts w:ascii="Arial Narrow" w:hAnsi="Arial Narrow" w:cs="Calibri"/>
                <w:sz w:val="16"/>
                <w:szCs w:val="16"/>
              </w:rPr>
            </w:pPr>
            <w:r w:rsidRPr="008F7A9E">
              <w:rPr>
                <w:rFonts w:ascii="Arial Narrow" w:hAnsi="Arial Narrow" w:cs="Calibri"/>
                <w:sz w:val="16"/>
                <w:szCs w:val="16"/>
              </w:rPr>
              <w:t>83,0</w:t>
            </w:r>
          </w:p>
        </w:tc>
        <w:tc>
          <w:tcPr>
            <w:tcW w:w="1028" w:type="dxa"/>
            <w:tcBorders>
              <w:top w:val="nil"/>
              <w:left w:val="nil"/>
              <w:bottom w:val="single" w:sz="4" w:space="0" w:color="auto"/>
              <w:right w:val="single" w:sz="4" w:space="0" w:color="auto"/>
            </w:tcBorders>
            <w:shd w:val="clear" w:color="auto" w:fill="auto"/>
            <w:vAlign w:val="center"/>
            <w:hideMark/>
          </w:tcPr>
          <w:p w14:paraId="7B0BF27B" w14:textId="77777777" w:rsidR="008F7A9E" w:rsidRPr="008F7A9E" w:rsidRDefault="008F7A9E" w:rsidP="008F7A9E">
            <w:pPr>
              <w:jc w:val="right"/>
              <w:rPr>
                <w:rFonts w:ascii="Arial Narrow" w:hAnsi="Arial Narrow" w:cs="Calibri"/>
                <w:sz w:val="16"/>
                <w:szCs w:val="16"/>
              </w:rPr>
            </w:pPr>
            <w:r w:rsidRPr="008F7A9E">
              <w:rPr>
                <w:rFonts w:ascii="Arial Narrow" w:hAnsi="Arial Narrow" w:cs="Calibri"/>
                <w:sz w:val="16"/>
                <w:szCs w:val="16"/>
              </w:rPr>
              <w:t>-86,4</w:t>
            </w:r>
          </w:p>
        </w:tc>
        <w:tc>
          <w:tcPr>
            <w:tcW w:w="1217" w:type="dxa"/>
            <w:tcBorders>
              <w:top w:val="nil"/>
              <w:left w:val="nil"/>
              <w:bottom w:val="single" w:sz="4" w:space="0" w:color="auto"/>
              <w:right w:val="single" w:sz="4" w:space="0" w:color="auto"/>
            </w:tcBorders>
            <w:shd w:val="clear" w:color="auto" w:fill="auto"/>
            <w:vAlign w:val="center"/>
            <w:hideMark/>
          </w:tcPr>
          <w:p w14:paraId="1462470E" w14:textId="77777777" w:rsidR="008F7A9E" w:rsidRPr="008F7A9E" w:rsidRDefault="008F7A9E" w:rsidP="008F7A9E">
            <w:pPr>
              <w:jc w:val="right"/>
              <w:rPr>
                <w:rFonts w:ascii="Arial Narrow" w:hAnsi="Arial Narrow" w:cs="Calibri"/>
                <w:sz w:val="16"/>
                <w:szCs w:val="16"/>
              </w:rPr>
            </w:pPr>
            <w:r w:rsidRPr="008F7A9E">
              <w:rPr>
                <w:rFonts w:ascii="Arial Narrow" w:hAnsi="Arial Narrow" w:cs="Calibri"/>
                <w:sz w:val="16"/>
                <w:szCs w:val="16"/>
              </w:rPr>
              <w:t>11,3</w:t>
            </w:r>
          </w:p>
        </w:tc>
        <w:tc>
          <w:tcPr>
            <w:tcW w:w="1075" w:type="dxa"/>
            <w:tcBorders>
              <w:top w:val="nil"/>
              <w:left w:val="nil"/>
              <w:bottom w:val="single" w:sz="4" w:space="0" w:color="auto"/>
              <w:right w:val="single" w:sz="4" w:space="0" w:color="auto"/>
            </w:tcBorders>
            <w:shd w:val="clear" w:color="auto" w:fill="auto"/>
            <w:vAlign w:val="center"/>
            <w:hideMark/>
          </w:tcPr>
          <w:p w14:paraId="194CACFE" w14:textId="77777777" w:rsidR="008F7A9E" w:rsidRPr="008F7A9E" w:rsidRDefault="008F7A9E" w:rsidP="008F7A9E">
            <w:pPr>
              <w:jc w:val="right"/>
              <w:rPr>
                <w:rFonts w:ascii="Arial Narrow" w:hAnsi="Arial Narrow" w:cs="Calibri"/>
                <w:sz w:val="16"/>
                <w:szCs w:val="16"/>
              </w:rPr>
            </w:pPr>
            <w:r w:rsidRPr="008F7A9E">
              <w:rPr>
                <w:rFonts w:ascii="Arial Narrow" w:hAnsi="Arial Narrow" w:cs="Calibri"/>
                <w:sz w:val="16"/>
                <w:szCs w:val="16"/>
              </w:rPr>
              <w:t>36,3</w:t>
            </w:r>
          </w:p>
        </w:tc>
        <w:tc>
          <w:tcPr>
            <w:tcW w:w="1233" w:type="dxa"/>
            <w:tcBorders>
              <w:top w:val="nil"/>
              <w:left w:val="nil"/>
              <w:bottom w:val="single" w:sz="4" w:space="0" w:color="auto"/>
              <w:right w:val="single" w:sz="4" w:space="0" w:color="auto"/>
            </w:tcBorders>
            <w:shd w:val="clear" w:color="auto" w:fill="auto"/>
            <w:vAlign w:val="center"/>
            <w:hideMark/>
          </w:tcPr>
          <w:p w14:paraId="2D955C00" w14:textId="77777777" w:rsidR="008F7A9E" w:rsidRPr="008F7A9E" w:rsidRDefault="008F7A9E" w:rsidP="008F7A9E">
            <w:pPr>
              <w:jc w:val="right"/>
              <w:rPr>
                <w:rFonts w:ascii="Arial Narrow" w:hAnsi="Arial Narrow" w:cs="Calibri"/>
                <w:sz w:val="16"/>
                <w:szCs w:val="16"/>
              </w:rPr>
            </w:pPr>
            <w:r w:rsidRPr="008F7A9E">
              <w:rPr>
                <w:rFonts w:ascii="Arial Narrow" w:hAnsi="Arial Narrow" w:cs="Calibri"/>
                <w:sz w:val="16"/>
                <w:szCs w:val="16"/>
              </w:rPr>
              <w:t>15,4</w:t>
            </w:r>
          </w:p>
        </w:tc>
      </w:tr>
      <w:tr w:rsidR="008F7A9E" w:rsidRPr="00B10684" w14:paraId="2D14E4DC" w14:textId="77777777" w:rsidTr="005A18A5">
        <w:trPr>
          <w:trHeight w:val="251"/>
        </w:trPr>
        <w:tc>
          <w:tcPr>
            <w:tcW w:w="748" w:type="dxa"/>
            <w:tcBorders>
              <w:top w:val="nil"/>
              <w:left w:val="single" w:sz="4" w:space="0" w:color="auto"/>
              <w:bottom w:val="single" w:sz="4" w:space="0" w:color="auto"/>
              <w:right w:val="single" w:sz="4" w:space="0" w:color="auto"/>
            </w:tcBorders>
            <w:shd w:val="clear" w:color="auto" w:fill="auto"/>
            <w:vAlign w:val="center"/>
            <w:hideMark/>
          </w:tcPr>
          <w:p w14:paraId="06064B68" w14:textId="77777777" w:rsidR="008F7A9E" w:rsidRPr="008F7A9E" w:rsidRDefault="008F7A9E" w:rsidP="008F7A9E">
            <w:pPr>
              <w:rPr>
                <w:rFonts w:ascii="Arial Narrow" w:hAnsi="Arial Narrow" w:cs="Calibri"/>
                <w:sz w:val="16"/>
                <w:szCs w:val="16"/>
              </w:rPr>
            </w:pPr>
            <w:r w:rsidRPr="008F7A9E">
              <w:rPr>
                <w:rFonts w:ascii="Arial Narrow" w:hAnsi="Arial Narrow" w:cs="Calibri"/>
                <w:sz w:val="16"/>
                <w:szCs w:val="16"/>
              </w:rPr>
              <w:t>17.1/2</w:t>
            </w:r>
          </w:p>
        </w:tc>
        <w:tc>
          <w:tcPr>
            <w:tcW w:w="4419" w:type="dxa"/>
            <w:tcBorders>
              <w:top w:val="nil"/>
              <w:left w:val="nil"/>
              <w:bottom w:val="single" w:sz="4" w:space="0" w:color="auto"/>
              <w:right w:val="single" w:sz="4" w:space="0" w:color="auto"/>
            </w:tcBorders>
            <w:shd w:val="clear" w:color="auto" w:fill="auto"/>
            <w:vAlign w:val="center"/>
            <w:hideMark/>
          </w:tcPr>
          <w:p w14:paraId="3A8796CB" w14:textId="77777777" w:rsidR="008F7A9E" w:rsidRPr="008F7A9E" w:rsidRDefault="008F7A9E" w:rsidP="008F7A9E">
            <w:pPr>
              <w:ind w:firstLineChars="200" w:firstLine="320"/>
              <w:rPr>
                <w:rFonts w:ascii="Arial Narrow" w:hAnsi="Arial Narrow" w:cs="Calibri"/>
                <w:sz w:val="16"/>
                <w:szCs w:val="16"/>
              </w:rPr>
            </w:pPr>
            <w:r w:rsidRPr="008F7A9E">
              <w:rPr>
                <w:rFonts w:ascii="Arial Narrow" w:hAnsi="Arial Narrow" w:cs="Calibri"/>
                <w:sz w:val="16"/>
                <w:szCs w:val="16"/>
              </w:rPr>
              <w:t>- зеленчуци</w:t>
            </w:r>
          </w:p>
        </w:tc>
        <w:tc>
          <w:tcPr>
            <w:tcW w:w="1185" w:type="dxa"/>
            <w:tcBorders>
              <w:top w:val="nil"/>
              <w:left w:val="nil"/>
              <w:bottom w:val="single" w:sz="4" w:space="0" w:color="auto"/>
              <w:right w:val="single" w:sz="4" w:space="0" w:color="auto"/>
            </w:tcBorders>
            <w:shd w:val="clear" w:color="auto" w:fill="auto"/>
            <w:vAlign w:val="center"/>
            <w:hideMark/>
          </w:tcPr>
          <w:p w14:paraId="7EB0C48E" w14:textId="77777777" w:rsidR="008F7A9E" w:rsidRPr="008F7A9E" w:rsidRDefault="008F7A9E" w:rsidP="008F7A9E">
            <w:pPr>
              <w:jc w:val="right"/>
              <w:rPr>
                <w:rFonts w:ascii="Arial Narrow" w:hAnsi="Arial Narrow" w:cs="Calibri"/>
                <w:sz w:val="16"/>
                <w:szCs w:val="16"/>
              </w:rPr>
            </w:pPr>
            <w:r w:rsidRPr="008F7A9E">
              <w:rPr>
                <w:rFonts w:ascii="Arial Narrow" w:hAnsi="Arial Narrow" w:cs="Calibri"/>
                <w:sz w:val="16"/>
                <w:szCs w:val="16"/>
              </w:rPr>
              <w:t>27,3</w:t>
            </w:r>
          </w:p>
        </w:tc>
        <w:tc>
          <w:tcPr>
            <w:tcW w:w="1028" w:type="dxa"/>
            <w:tcBorders>
              <w:top w:val="nil"/>
              <w:left w:val="nil"/>
              <w:bottom w:val="single" w:sz="4" w:space="0" w:color="auto"/>
              <w:right w:val="single" w:sz="4" w:space="0" w:color="auto"/>
            </w:tcBorders>
            <w:shd w:val="clear" w:color="auto" w:fill="auto"/>
            <w:vAlign w:val="center"/>
            <w:hideMark/>
          </w:tcPr>
          <w:p w14:paraId="5E71817B" w14:textId="77777777" w:rsidR="008F7A9E" w:rsidRPr="008F7A9E" w:rsidRDefault="008F7A9E" w:rsidP="008F7A9E">
            <w:pPr>
              <w:jc w:val="right"/>
              <w:rPr>
                <w:rFonts w:ascii="Arial Narrow" w:hAnsi="Arial Narrow" w:cs="Calibri"/>
                <w:sz w:val="16"/>
                <w:szCs w:val="16"/>
              </w:rPr>
            </w:pPr>
            <w:r w:rsidRPr="008F7A9E">
              <w:rPr>
                <w:rFonts w:ascii="Arial Narrow" w:hAnsi="Arial Narrow" w:cs="Calibri"/>
                <w:sz w:val="16"/>
                <w:szCs w:val="16"/>
              </w:rPr>
              <w:t>85,0</w:t>
            </w:r>
          </w:p>
        </w:tc>
        <w:tc>
          <w:tcPr>
            <w:tcW w:w="1217" w:type="dxa"/>
            <w:tcBorders>
              <w:top w:val="nil"/>
              <w:left w:val="nil"/>
              <w:bottom w:val="single" w:sz="4" w:space="0" w:color="auto"/>
              <w:right w:val="single" w:sz="4" w:space="0" w:color="auto"/>
            </w:tcBorders>
            <w:shd w:val="clear" w:color="auto" w:fill="auto"/>
            <w:vAlign w:val="center"/>
            <w:hideMark/>
          </w:tcPr>
          <w:p w14:paraId="43813C4D" w14:textId="77777777" w:rsidR="008F7A9E" w:rsidRPr="008F7A9E" w:rsidRDefault="008F7A9E" w:rsidP="008F7A9E">
            <w:pPr>
              <w:jc w:val="right"/>
              <w:rPr>
                <w:rFonts w:ascii="Arial Narrow" w:hAnsi="Arial Narrow" w:cs="Calibri"/>
                <w:sz w:val="16"/>
                <w:szCs w:val="16"/>
              </w:rPr>
            </w:pPr>
            <w:r w:rsidRPr="008F7A9E">
              <w:rPr>
                <w:rFonts w:ascii="Arial Narrow" w:hAnsi="Arial Narrow" w:cs="Calibri"/>
                <w:sz w:val="16"/>
                <w:szCs w:val="16"/>
              </w:rPr>
              <w:t>50,5</w:t>
            </w:r>
          </w:p>
        </w:tc>
        <w:tc>
          <w:tcPr>
            <w:tcW w:w="1075" w:type="dxa"/>
            <w:tcBorders>
              <w:top w:val="nil"/>
              <w:left w:val="nil"/>
              <w:bottom w:val="single" w:sz="4" w:space="0" w:color="auto"/>
              <w:right w:val="single" w:sz="4" w:space="0" w:color="auto"/>
            </w:tcBorders>
            <w:shd w:val="clear" w:color="auto" w:fill="auto"/>
            <w:vAlign w:val="center"/>
            <w:hideMark/>
          </w:tcPr>
          <w:p w14:paraId="4FF33009" w14:textId="77777777" w:rsidR="008F7A9E" w:rsidRPr="008F7A9E" w:rsidRDefault="008F7A9E" w:rsidP="008F7A9E">
            <w:pPr>
              <w:jc w:val="right"/>
              <w:rPr>
                <w:rFonts w:ascii="Arial Narrow" w:hAnsi="Arial Narrow" w:cs="Calibri"/>
                <w:sz w:val="16"/>
                <w:szCs w:val="16"/>
              </w:rPr>
            </w:pPr>
            <w:r w:rsidRPr="008F7A9E">
              <w:rPr>
                <w:rFonts w:ascii="Arial Narrow" w:hAnsi="Arial Narrow" w:cs="Calibri"/>
                <w:sz w:val="16"/>
                <w:szCs w:val="16"/>
              </w:rPr>
              <w:t>-31,5</w:t>
            </w:r>
          </w:p>
        </w:tc>
        <w:tc>
          <w:tcPr>
            <w:tcW w:w="1233" w:type="dxa"/>
            <w:tcBorders>
              <w:top w:val="nil"/>
              <w:left w:val="nil"/>
              <w:bottom w:val="single" w:sz="4" w:space="0" w:color="auto"/>
              <w:right w:val="single" w:sz="4" w:space="0" w:color="auto"/>
            </w:tcBorders>
            <w:shd w:val="clear" w:color="auto" w:fill="auto"/>
            <w:vAlign w:val="center"/>
            <w:hideMark/>
          </w:tcPr>
          <w:p w14:paraId="3F86AFD9" w14:textId="77777777" w:rsidR="008F7A9E" w:rsidRPr="008F7A9E" w:rsidRDefault="008F7A9E" w:rsidP="008F7A9E">
            <w:pPr>
              <w:jc w:val="right"/>
              <w:rPr>
                <w:rFonts w:ascii="Arial Narrow" w:hAnsi="Arial Narrow" w:cs="Calibri"/>
                <w:sz w:val="16"/>
                <w:szCs w:val="16"/>
              </w:rPr>
            </w:pPr>
            <w:r w:rsidRPr="008F7A9E">
              <w:rPr>
                <w:rFonts w:ascii="Arial Narrow" w:hAnsi="Arial Narrow" w:cs="Calibri"/>
                <w:sz w:val="16"/>
                <w:szCs w:val="16"/>
              </w:rPr>
              <w:t>34,6</w:t>
            </w:r>
          </w:p>
        </w:tc>
      </w:tr>
      <w:tr w:rsidR="008F7A9E" w:rsidRPr="00B10684" w14:paraId="06DE623F" w14:textId="77777777" w:rsidTr="005A18A5">
        <w:trPr>
          <w:trHeight w:val="251"/>
        </w:trPr>
        <w:tc>
          <w:tcPr>
            <w:tcW w:w="748" w:type="dxa"/>
            <w:tcBorders>
              <w:top w:val="nil"/>
              <w:left w:val="single" w:sz="4" w:space="0" w:color="auto"/>
              <w:bottom w:val="single" w:sz="4" w:space="0" w:color="auto"/>
              <w:right w:val="single" w:sz="4" w:space="0" w:color="auto"/>
            </w:tcBorders>
            <w:shd w:val="clear" w:color="auto" w:fill="auto"/>
            <w:vAlign w:val="center"/>
            <w:hideMark/>
          </w:tcPr>
          <w:p w14:paraId="159C9B46" w14:textId="77777777" w:rsidR="008F7A9E" w:rsidRPr="008F7A9E" w:rsidRDefault="008F7A9E" w:rsidP="008F7A9E">
            <w:pPr>
              <w:rPr>
                <w:rFonts w:ascii="Arial Narrow" w:hAnsi="Arial Narrow" w:cs="Calibri"/>
                <w:sz w:val="16"/>
                <w:szCs w:val="16"/>
              </w:rPr>
            </w:pPr>
            <w:r w:rsidRPr="008F7A9E">
              <w:rPr>
                <w:rFonts w:ascii="Arial Narrow" w:hAnsi="Arial Narrow" w:cs="Calibri"/>
                <w:sz w:val="16"/>
                <w:szCs w:val="16"/>
              </w:rPr>
              <w:t>17.1/3</w:t>
            </w:r>
          </w:p>
        </w:tc>
        <w:tc>
          <w:tcPr>
            <w:tcW w:w="4419" w:type="dxa"/>
            <w:tcBorders>
              <w:top w:val="nil"/>
              <w:left w:val="nil"/>
              <w:bottom w:val="single" w:sz="4" w:space="0" w:color="auto"/>
              <w:right w:val="single" w:sz="4" w:space="0" w:color="auto"/>
            </w:tcBorders>
            <w:shd w:val="clear" w:color="auto" w:fill="auto"/>
            <w:vAlign w:val="center"/>
            <w:hideMark/>
          </w:tcPr>
          <w:p w14:paraId="33FD8D9E" w14:textId="77777777" w:rsidR="008F7A9E" w:rsidRPr="008F7A9E" w:rsidRDefault="008F7A9E" w:rsidP="008F7A9E">
            <w:pPr>
              <w:ind w:firstLineChars="200" w:firstLine="320"/>
              <w:rPr>
                <w:rFonts w:ascii="Arial Narrow" w:hAnsi="Arial Narrow" w:cs="Calibri"/>
                <w:sz w:val="16"/>
                <w:szCs w:val="16"/>
              </w:rPr>
            </w:pPr>
            <w:r w:rsidRPr="008F7A9E">
              <w:rPr>
                <w:rFonts w:ascii="Arial Narrow" w:hAnsi="Arial Narrow" w:cs="Calibri"/>
                <w:sz w:val="16"/>
                <w:szCs w:val="16"/>
              </w:rPr>
              <w:t>- плодове</w:t>
            </w:r>
          </w:p>
        </w:tc>
        <w:tc>
          <w:tcPr>
            <w:tcW w:w="1185" w:type="dxa"/>
            <w:tcBorders>
              <w:top w:val="nil"/>
              <w:left w:val="nil"/>
              <w:bottom w:val="single" w:sz="4" w:space="0" w:color="auto"/>
              <w:right w:val="single" w:sz="4" w:space="0" w:color="auto"/>
            </w:tcBorders>
            <w:shd w:val="clear" w:color="auto" w:fill="auto"/>
            <w:vAlign w:val="center"/>
            <w:hideMark/>
          </w:tcPr>
          <w:p w14:paraId="212EC14A" w14:textId="77777777" w:rsidR="008F7A9E" w:rsidRPr="008F7A9E" w:rsidRDefault="008F7A9E" w:rsidP="008F7A9E">
            <w:pPr>
              <w:jc w:val="right"/>
              <w:rPr>
                <w:rFonts w:ascii="Arial Narrow" w:hAnsi="Arial Narrow" w:cs="Calibri"/>
                <w:sz w:val="16"/>
                <w:szCs w:val="16"/>
              </w:rPr>
            </w:pPr>
            <w:r w:rsidRPr="008F7A9E">
              <w:rPr>
                <w:rFonts w:ascii="Arial Narrow" w:hAnsi="Arial Narrow" w:cs="Calibri"/>
                <w:sz w:val="16"/>
                <w:szCs w:val="16"/>
              </w:rPr>
              <w:t>18,1</w:t>
            </w:r>
          </w:p>
        </w:tc>
        <w:tc>
          <w:tcPr>
            <w:tcW w:w="1028" w:type="dxa"/>
            <w:tcBorders>
              <w:top w:val="nil"/>
              <w:left w:val="nil"/>
              <w:bottom w:val="single" w:sz="4" w:space="0" w:color="auto"/>
              <w:right w:val="single" w:sz="4" w:space="0" w:color="auto"/>
            </w:tcBorders>
            <w:shd w:val="clear" w:color="auto" w:fill="auto"/>
            <w:vAlign w:val="center"/>
            <w:hideMark/>
          </w:tcPr>
          <w:p w14:paraId="19B9F406" w14:textId="77777777" w:rsidR="008F7A9E" w:rsidRPr="008F7A9E" w:rsidRDefault="008F7A9E" w:rsidP="008F7A9E">
            <w:pPr>
              <w:rPr>
                <w:rFonts w:ascii="Arial Narrow" w:hAnsi="Arial Narrow" w:cs="Calibri"/>
                <w:sz w:val="16"/>
                <w:szCs w:val="16"/>
              </w:rPr>
            </w:pPr>
            <w:r w:rsidRPr="008F7A9E">
              <w:rPr>
                <w:rFonts w:ascii="Arial Narrow" w:hAnsi="Arial Narrow" w:cs="Calibri"/>
                <w:sz w:val="16"/>
                <w:szCs w:val="16"/>
              </w:rPr>
              <w:t> </w:t>
            </w:r>
          </w:p>
        </w:tc>
        <w:tc>
          <w:tcPr>
            <w:tcW w:w="1217" w:type="dxa"/>
            <w:tcBorders>
              <w:top w:val="nil"/>
              <w:left w:val="nil"/>
              <w:bottom w:val="single" w:sz="4" w:space="0" w:color="auto"/>
              <w:right w:val="single" w:sz="4" w:space="0" w:color="auto"/>
            </w:tcBorders>
            <w:shd w:val="clear" w:color="auto" w:fill="auto"/>
            <w:vAlign w:val="center"/>
            <w:hideMark/>
          </w:tcPr>
          <w:p w14:paraId="0DD3503E" w14:textId="77777777" w:rsidR="008F7A9E" w:rsidRPr="008F7A9E" w:rsidRDefault="008F7A9E" w:rsidP="008F7A9E">
            <w:pPr>
              <w:jc w:val="right"/>
              <w:rPr>
                <w:rFonts w:ascii="Arial Narrow" w:hAnsi="Arial Narrow" w:cs="Calibri"/>
                <w:sz w:val="16"/>
                <w:szCs w:val="16"/>
              </w:rPr>
            </w:pPr>
            <w:r w:rsidRPr="008F7A9E">
              <w:rPr>
                <w:rFonts w:ascii="Arial Narrow" w:hAnsi="Arial Narrow" w:cs="Calibri"/>
                <w:sz w:val="16"/>
                <w:szCs w:val="16"/>
              </w:rPr>
              <w:t>18,1</w:t>
            </w:r>
          </w:p>
        </w:tc>
        <w:tc>
          <w:tcPr>
            <w:tcW w:w="1075" w:type="dxa"/>
            <w:tcBorders>
              <w:top w:val="nil"/>
              <w:left w:val="nil"/>
              <w:bottom w:val="single" w:sz="4" w:space="0" w:color="auto"/>
              <w:right w:val="single" w:sz="4" w:space="0" w:color="auto"/>
            </w:tcBorders>
            <w:shd w:val="clear" w:color="auto" w:fill="auto"/>
            <w:vAlign w:val="center"/>
            <w:hideMark/>
          </w:tcPr>
          <w:p w14:paraId="7EBA07A0" w14:textId="77777777" w:rsidR="008F7A9E" w:rsidRPr="008F7A9E" w:rsidRDefault="008F7A9E" w:rsidP="008F7A9E">
            <w:pPr>
              <w:jc w:val="right"/>
              <w:rPr>
                <w:rFonts w:ascii="Arial Narrow" w:hAnsi="Arial Narrow" w:cs="Calibri"/>
                <w:sz w:val="16"/>
                <w:szCs w:val="16"/>
              </w:rPr>
            </w:pPr>
            <w:r w:rsidRPr="008F7A9E">
              <w:rPr>
                <w:rFonts w:ascii="Arial Narrow" w:hAnsi="Arial Narrow" w:cs="Calibri"/>
                <w:sz w:val="16"/>
                <w:szCs w:val="16"/>
              </w:rPr>
              <w:t>21,0</w:t>
            </w:r>
          </w:p>
        </w:tc>
        <w:tc>
          <w:tcPr>
            <w:tcW w:w="1233" w:type="dxa"/>
            <w:tcBorders>
              <w:top w:val="nil"/>
              <w:left w:val="nil"/>
              <w:bottom w:val="single" w:sz="4" w:space="0" w:color="auto"/>
              <w:right w:val="single" w:sz="4" w:space="0" w:color="auto"/>
            </w:tcBorders>
            <w:shd w:val="clear" w:color="auto" w:fill="auto"/>
            <w:vAlign w:val="center"/>
            <w:hideMark/>
          </w:tcPr>
          <w:p w14:paraId="41C392AA" w14:textId="77777777" w:rsidR="008F7A9E" w:rsidRPr="008F7A9E" w:rsidRDefault="008F7A9E" w:rsidP="008F7A9E">
            <w:pPr>
              <w:jc w:val="right"/>
              <w:rPr>
                <w:rFonts w:ascii="Arial Narrow" w:hAnsi="Arial Narrow" w:cs="Calibri"/>
                <w:sz w:val="16"/>
                <w:szCs w:val="16"/>
              </w:rPr>
            </w:pPr>
            <w:r w:rsidRPr="008F7A9E">
              <w:rPr>
                <w:rFonts w:ascii="Arial Narrow" w:hAnsi="Arial Narrow" w:cs="Calibri"/>
                <w:sz w:val="16"/>
                <w:szCs w:val="16"/>
              </w:rPr>
              <w:t>21,9</w:t>
            </w:r>
          </w:p>
        </w:tc>
      </w:tr>
      <w:tr w:rsidR="008F7A9E" w:rsidRPr="00B10684" w14:paraId="63CF0FD9" w14:textId="77777777" w:rsidTr="005A18A5">
        <w:trPr>
          <w:trHeight w:val="251"/>
        </w:trPr>
        <w:tc>
          <w:tcPr>
            <w:tcW w:w="748" w:type="dxa"/>
            <w:tcBorders>
              <w:top w:val="nil"/>
              <w:left w:val="single" w:sz="4" w:space="0" w:color="auto"/>
              <w:bottom w:val="single" w:sz="4" w:space="0" w:color="auto"/>
              <w:right w:val="single" w:sz="4" w:space="0" w:color="auto"/>
            </w:tcBorders>
            <w:shd w:val="clear" w:color="auto" w:fill="auto"/>
            <w:vAlign w:val="center"/>
            <w:hideMark/>
          </w:tcPr>
          <w:p w14:paraId="1C6BC03D" w14:textId="77777777" w:rsidR="008F7A9E" w:rsidRPr="008F7A9E" w:rsidRDefault="008F7A9E" w:rsidP="008F7A9E">
            <w:pPr>
              <w:rPr>
                <w:rFonts w:ascii="Arial Narrow" w:hAnsi="Arial Narrow" w:cs="Calibri"/>
                <w:sz w:val="16"/>
                <w:szCs w:val="16"/>
              </w:rPr>
            </w:pPr>
            <w:r w:rsidRPr="008F7A9E">
              <w:rPr>
                <w:rFonts w:ascii="Arial Narrow" w:hAnsi="Arial Narrow" w:cs="Calibri"/>
                <w:sz w:val="16"/>
                <w:szCs w:val="16"/>
              </w:rPr>
              <w:t>17.1/4</w:t>
            </w:r>
          </w:p>
        </w:tc>
        <w:tc>
          <w:tcPr>
            <w:tcW w:w="4419" w:type="dxa"/>
            <w:tcBorders>
              <w:top w:val="nil"/>
              <w:left w:val="nil"/>
              <w:bottom w:val="single" w:sz="4" w:space="0" w:color="auto"/>
              <w:right w:val="single" w:sz="4" w:space="0" w:color="auto"/>
            </w:tcBorders>
            <w:shd w:val="clear" w:color="auto" w:fill="auto"/>
            <w:vAlign w:val="center"/>
            <w:hideMark/>
          </w:tcPr>
          <w:p w14:paraId="6CBAA439" w14:textId="77777777" w:rsidR="008F7A9E" w:rsidRPr="008F7A9E" w:rsidRDefault="008F7A9E" w:rsidP="008F7A9E">
            <w:pPr>
              <w:ind w:firstLineChars="200" w:firstLine="320"/>
              <w:rPr>
                <w:rFonts w:ascii="Arial Narrow" w:hAnsi="Arial Narrow" w:cs="Calibri"/>
                <w:sz w:val="16"/>
                <w:szCs w:val="16"/>
              </w:rPr>
            </w:pPr>
            <w:r w:rsidRPr="008F7A9E">
              <w:rPr>
                <w:rFonts w:ascii="Arial Narrow" w:hAnsi="Arial Narrow" w:cs="Calibri"/>
                <w:sz w:val="16"/>
                <w:szCs w:val="16"/>
              </w:rPr>
              <w:t>- вино</w:t>
            </w:r>
          </w:p>
        </w:tc>
        <w:tc>
          <w:tcPr>
            <w:tcW w:w="1185" w:type="dxa"/>
            <w:tcBorders>
              <w:top w:val="nil"/>
              <w:left w:val="nil"/>
              <w:bottom w:val="single" w:sz="4" w:space="0" w:color="auto"/>
              <w:right w:val="single" w:sz="4" w:space="0" w:color="auto"/>
            </w:tcBorders>
            <w:shd w:val="clear" w:color="auto" w:fill="auto"/>
            <w:vAlign w:val="center"/>
            <w:hideMark/>
          </w:tcPr>
          <w:p w14:paraId="4F3B0429" w14:textId="77777777" w:rsidR="008F7A9E" w:rsidRPr="008F7A9E" w:rsidRDefault="008F7A9E" w:rsidP="008F7A9E">
            <w:pPr>
              <w:jc w:val="right"/>
              <w:rPr>
                <w:rFonts w:ascii="Arial Narrow" w:hAnsi="Arial Narrow" w:cs="Calibri"/>
                <w:sz w:val="16"/>
                <w:szCs w:val="16"/>
              </w:rPr>
            </w:pPr>
            <w:r w:rsidRPr="008F7A9E">
              <w:rPr>
                <w:rFonts w:ascii="Arial Narrow" w:hAnsi="Arial Narrow" w:cs="Calibri"/>
                <w:sz w:val="16"/>
                <w:szCs w:val="16"/>
              </w:rPr>
              <w:t>41,1</w:t>
            </w:r>
          </w:p>
        </w:tc>
        <w:tc>
          <w:tcPr>
            <w:tcW w:w="1028" w:type="dxa"/>
            <w:tcBorders>
              <w:top w:val="nil"/>
              <w:left w:val="nil"/>
              <w:bottom w:val="single" w:sz="4" w:space="0" w:color="auto"/>
              <w:right w:val="single" w:sz="4" w:space="0" w:color="auto"/>
            </w:tcBorders>
            <w:shd w:val="clear" w:color="auto" w:fill="auto"/>
            <w:vAlign w:val="center"/>
            <w:hideMark/>
          </w:tcPr>
          <w:p w14:paraId="261B70A3" w14:textId="77777777" w:rsidR="008F7A9E" w:rsidRPr="008F7A9E" w:rsidRDefault="008F7A9E" w:rsidP="008F7A9E">
            <w:pPr>
              <w:jc w:val="right"/>
              <w:rPr>
                <w:rFonts w:ascii="Arial Narrow" w:hAnsi="Arial Narrow" w:cs="Calibri"/>
                <w:sz w:val="16"/>
                <w:szCs w:val="16"/>
              </w:rPr>
            </w:pPr>
            <w:r w:rsidRPr="008F7A9E">
              <w:rPr>
                <w:rFonts w:ascii="Arial Narrow" w:hAnsi="Arial Narrow" w:cs="Calibri"/>
                <w:sz w:val="16"/>
                <w:szCs w:val="16"/>
              </w:rPr>
              <w:t>1,9</w:t>
            </w:r>
          </w:p>
        </w:tc>
        <w:tc>
          <w:tcPr>
            <w:tcW w:w="1217" w:type="dxa"/>
            <w:tcBorders>
              <w:top w:val="nil"/>
              <w:left w:val="nil"/>
              <w:bottom w:val="single" w:sz="4" w:space="0" w:color="auto"/>
              <w:right w:val="single" w:sz="4" w:space="0" w:color="auto"/>
            </w:tcBorders>
            <w:shd w:val="clear" w:color="auto" w:fill="auto"/>
            <w:vAlign w:val="center"/>
            <w:hideMark/>
          </w:tcPr>
          <w:p w14:paraId="05BCEB98" w14:textId="77777777" w:rsidR="008F7A9E" w:rsidRPr="008F7A9E" w:rsidRDefault="008F7A9E" w:rsidP="008F7A9E">
            <w:pPr>
              <w:jc w:val="right"/>
              <w:rPr>
                <w:rFonts w:ascii="Arial Narrow" w:hAnsi="Arial Narrow" w:cs="Calibri"/>
                <w:sz w:val="16"/>
                <w:szCs w:val="16"/>
              </w:rPr>
            </w:pPr>
            <w:r w:rsidRPr="008F7A9E">
              <w:rPr>
                <w:rFonts w:ascii="Arial Narrow" w:hAnsi="Arial Narrow" w:cs="Calibri"/>
                <w:sz w:val="16"/>
                <w:szCs w:val="16"/>
              </w:rPr>
              <w:t>41,9</w:t>
            </w:r>
          </w:p>
        </w:tc>
        <w:tc>
          <w:tcPr>
            <w:tcW w:w="1075" w:type="dxa"/>
            <w:tcBorders>
              <w:top w:val="nil"/>
              <w:left w:val="nil"/>
              <w:bottom w:val="single" w:sz="4" w:space="0" w:color="auto"/>
              <w:right w:val="single" w:sz="4" w:space="0" w:color="auto"/>
            </w:tcBorders>
            <w:shd w:val="clear" w:color="auto" w:fill="auto"/>
            <w:vAlign w:val="center"/>
            <w:hideMark/>
          </w:tcPr>
          <w:p w14:paraId="3BA6D98C" w14:textId="77777777" w:rsidR="008F7A9E" w:rsidRPr="008F7A9E" w:rsidRDefault="008F7A9E" w:rsidP="008F7A9E">
            <w:pPr>
              <w:jc w:val="right"/>
              <w:rPr>
                <w:rFonts w:ascii="Arial Narrow" w:hAnsi="Arial Narrow" w:cs="Calibri"/>
                <w:sz w:val="16"/>
                <w:szCs w:val="16"/>
              </w:rPr>
            </w:pPr>
            <w:r w:rsidRPr="008F7A9E">
              <w:rPr>
                <w:rFonts w:ascii="Arial Narrow" w:hAnsi="Arial Narrow" w:cs="Calibri"/>
                <w:sz w:val="16"/>
                <w:szCs w:val="16"/>
              </w:rPr>
              <w:t>-8,1</w:t>
            </w:r>
          </w:p>
        </w:tc>
        <w:tc>
          <w:tcPr>
            <w:tcW w:w="1233" w:type="dxa"/>
            <w:tcBorders>
              <w:top w:val="nil"/>
              <w:left w:val="nil"/>
              <w:bottom w:val="single" w:sz="4" w:space="0" w:color="auto"/>
              <w:right w:val="single" w:sz="4" w:space="0" w:color="auto"/>
            </w:tcBorders>
            <w:shd w:val="clear" w:color="auto" w:fill="auto"/>
            <w:vAlign w:val="center"/>
            <w:hideMark/>
          </w:tcPr>
          <w:p w14:paraId="0AF49399" w14:textId="77777777" w:rsidR="008F7A9E" w:rsidRPr="008F7A9E" w:rsidRDefault="008F7A9E" w:rsidP="008F7A9E">
            <w:pPr>
              <w:jc w:val="right"/>
              <w:rPr>
                <w:rFonts w:ascii="Arial Narrow" w:hAnsi="Arial Narrow" w:cs="Calibri"/>
                <w:sz w:val="16"/>
                <w:szCs w:val="16"/>
              </w:rPr>
            </w:pPr>
            <w:r w:rsidRPr="008F7A9E">
              <w:rPr>
                <w:rFonts w:ascii="Arial Narrow" w:hAnsi="Arial Narrow" w:cs="Calibri"/>
                <w:sz w:val="16"/>
                <w:szCs w:val="16"/>
              </w:rPr>
              <w:t>38,5</w:t>
            </w:r>
          </w:p>
        </w:tc>
      </w:tr>
      <w:tr w:rsidR="008F7A9E" w:rsidRPr="00B10684" w14:paraId="65FFE44B" w14:textId="77777777" w:rsidTr="005A18A5">
        <w:trPr>
          <w:trHeight w:val="251"/>
        </w:trPr>
        <w:tc>
          <w:tcPr>
            <w:tcW w:w="748" w:type="dxa"/>
            <w:tcBorders>
              <w:top w:val="nil"/>
              <w:left w:val="single" w:sz="4" w:space="0" w:color="auto"/>
              <w:bottom w:val="single" w:sz="4" w:space="0" w:color="auto"/>
              <w:right w:val="single" w:sz="4" w:space="0" w:color="auto"/>
            </w:tcBorders>
            <w:shd w:val="clear" w:color="auto" w:fill="auto"/>
            <w:vAlign w:val="center"/>
            <w:hideMark/>
          </w:tcPr>
          <w:p w14:paraId="199FEBAD" w14:textId="77777777" w:rsidR="008F7A9E" w:rsidRPr="008F7A9E" w:rsidRDefault="008F7A9E" w:rsidP="008F7A9E">
            <w:pPr>
              <w:rPr>
                <w:rFonts w:ascii="Arial Narrow" w:hAnsi="Arial Narrow" w:cs="Calibri"/>
                <w:sz w:val="16"/>
                <w:szCs w:val="16"/>
              </w:rPr>
            </w:pPr>
            <w:r w:rsidRPr="008F7A9E">
              <w:rPr>
                <w:rFonts w:ascii="Arial Narrow" w:hAnsi="Arial Narrow" w:cs="Calibri"/>
                <w:sz w:val="16"/>
                <w:szCs w:val="16"/>
              </w:rPr>
              <w:t>17.1/5</w:t>
            </w:r>
          </w:p>
        </w:tc>
        <w:tc>
          <w:tcPr>
            <w:tcW w:w="4419" w:type="dxa"/>
            <w:tcBorders>
              <w:top w:val="nil"/>
              <w:left w:val="nil"/>
              <w:bottom w:val="single" w:sz="4" w:space="0" w:color="auto"/>
              <w:right w:val="single" w:sz="4" w:space="0" w:color="auto"/>
            </w:tcBorders>
            <w:shd w:val="clear" w:color="auto" w:fill="auto"/>
            <w:vAlign w:val="center"/>
            <w:hideMark/>
          </w:tcPr>
          <w:p w14:paraId="2720F848" w14:textId="77777777" w:rsidR="008F7A9E" w:rsidRPr="008F7A9E" w:rsidRDefault="008F7A9E" w:rsidP="008F7A9E">
            <w:pPr>
              <w:ind w:firstLineChars="200" w:firstLine="320"/>
              <w:rPr>
                <w:rFonts w:ascii="Arial Narrow" w:hAnsi="Arial Narrow" w:cs="Calibri"/>
                <w:sz w:val="16"/>
                <w:szCs w:val="16"/>
              </w:rPr>
            </w:pPr>
            <w:r w:rsidRPr="008F7A9E">
              <w:rPr>
                <w:rFonts w:ascii="Arial Narrow" w:hAnsi="Arial Narrow" w:cs="Calibri"/>
                <w:sz w:val="16"/>
                <w:szCs w:val="16"/>
              </w:rPr>
              <w:t>- животни</w:t>
            </w:r>
          </w:p>
        </w:tc>
        <w:tc>
          <w:tcPr>
            <w:tcW w:w="1185" w:type="dxa"/>
            <w:tcBorders>
              <w:top w:val="nil"/>
              <w:left w:val="nil"/>
              <w:bottom w:val="single" w:sz="4" w:space="0" w:color="auto"/>
              <w:right w:val="single" w:sz="4" w:space="0" w:color="auto"/>
            </w:tcBorders>
            <w:shd w:val="clear" w:color="auto" w:fill="auto"/>
            <w:vAlign w:val="center"/>
            <w:hideMark/>
          </w:tcPr>
          <w:p w14:paraId="36E1B0FB" w14:textId="77777777" w:rsidR="008F7A9E" w:rsidRPr="008F7A9E" w:rsidRDefault="008F7A9E" w:rsidP="008F7A9E">
            <w:pPr>
              <w:jc w:val="right"/>
              <w:rPr>
                <w:rFonts w:ascii="Arial Narrow" w:hAnsi="Arial Narrow" w:cs="Calibri"/>
                <w:sz w:val="16"/>
                <w:szCs w:val="16"/>
              </w:rPr>
            </w:pPr>
            <w:r w:rsidRPr="008F7A9E">
              <w:rPr>
                <w:rFonts w:ascii="Arial Narrow" w:hAnsi="Arial Narrow" w:cs="Calibri"/>
                <w:sz w:val="16"/>
                <w:szCs w:val="16"/>
              </w:rPr>
              <w:t>77,1</w:t>
            </w:r>
          </w:p>
        </w:tc>
        <w:tc>
          <w:tcPr>
            <w:tcW w:w="1028" w:type="dxa"/>
            <w:tcBorders>
              <w:top w:val="nil"/>
              <w:left w:val="nil"/>
              <w:bottom w:val="single" w:sz="4" w:space="0" w:color="auto"/>
              <w:right w:val="single" w:sz="4" w:space="0" w:color="auto"/>
            </w:tcBorders>
            <w:shd w:val="clear" w:color="auto" w:fill="auto"/>
            <w:vAlign w:val="center"/>
            <w:hideMark/>
          </w:tcPr>
          <w:p w14:paraId="0B4F6A53" w14:textId="77777777" w:rsidR="008F7A9E" w:rsidRPr="008F7A9E" w:rsidRDefault="008F7A9E" w:rsidP="008F7A9E">
            <w:pPr>
              <w:jc w:val="right"/>
              <w:rPr>
                <w:rFonts w:ascii="Arial Narrow" w:hAnsi="Arial Narrow" w:cs="Calibri"/>
                <w:sz w:val="16"/>
                <w:szCs w:val="16"/>
              </w:rPr>
            </w:pPr>
            <w:r w:rsidRPr="008F7A9E">
              <w:rPr>
                <w:rFonts w:ascii="Arial Narrow" w:hAnsi="Arial Narrow" w:cs="Calibri"/>
                <w:sz w:val="16"/>
                <w:szCs w:val="16"/>
              </w:rPr>
              <w:t>-15,4</w:t>
            </w:r>
          </w:p>
        </w:tc>
        <w:tc>
          <w:tcPr>
            <w:tcW w:w="1217" w:type="dxa"/>
            <w:tcBorders>
              <w:top w:val="nil"/>
              <w:left w:val="nil"/>
              <w:bottom w:val="single" w:sz="4" w:space="0" w:color="auto"/>
              <w:right w:val="single" w:sz="4" w:space="0" w:color="auto"/>
            </w:tcBorders>
            <w:shd w:val="clear" w:color="auto" w:fill="auto"/>
            <w:vAlign w:val="center"/>
            <w:hideMark/>
          </w:tcPr>
          <w:p w14:paraId="00AE9D2A" w14:textId="77777777" w:rsidR="008F7A9E" w:rsidRPr="008F7A9E" w:rsidRDefault="008F7A9E" w:rsidP="008F7A9E">
            <w:pPr>
              <w:jc w:val="right"/>
              <w:rPr>
                <w:rFonts w:ascii="Arial Narrow" w:hAnsi="Arial Narrow" w:cs="Calibri"/>
                <w:sz w:val="16"/>
                <w:szCs w:val="16"/>
              </w:rPr>
            </w:pPr>
            <w:r w:rsidRPr="008F7A9E">
              <w:rPr>
                <w:rFonts w:ascii="Arial Narrow" w:hAnsi="Arial Narrow" w:cs="Calibri"/>
                <w:sz w:val="16"/>
                <w:szCs w:val="16"/>
              </w:rPr>
              <w:t>65,2</w:t>
            </w:r>
          </w:p>
        </w:tc>
        <w:tc>
          <w:tcPr>
            <w:tcW w:w="1075" w:type="dxa"/>
            <w:tcBorders>
              <w:top w:val="nil"/>
              <w:left w:val="nil"/>
              <w:bottom w:val="single" w:sz="4" w:space="0" w:color="auto"/>
              <w:right w:val="single" w:sz="4" w:space="0" w:color="auto"/>
            </w:tcBorders>
            <w:shd w:val="clear" w:color="auto" w:fill="auto"/>
            <w:vAlign w:val="center"/>
            <w:hideMark/>
          </w:tcPr>
          <w:p w14:paraId="45D011C6" w14:textId="77777777" w:rsidR="008F7A9E" w:rsidRPr="008F7A9E" w:rsidRDefault="008F7A9E" w:rsidP="008F7A9E">
            <w:pPr>
              <w:jc w:val="right"/>
              <w:rPr>
                <w:rFonts w:ascii="Arial Narrow" w:hAnsi="Arial Narrow" w:cs="Calibri"/>
                <w:sz w:val="16"/>
                <w:szCs w:val="16"/>
              </w:rPr>
            </w:pPr>
            <w:r w:rsidRPr="008F7A9E">
              <w:rPr>
                <w:rFonts w:ascii="Arial Narrow" w:hAnsi="Arial Narrow" w:cs="Calibri"/>
                <w:sz w:val="16"/>
                <w:szCs w:val="16"/>
              </w:rPr>
              <w:t>-7,4</w:t>
            </w:r>
          </w:p>
        </w:tc>
        <w:tc>
          <w:tcPr>
            <w:tcW w:w="1233" w:type="dxa"/>
            <w:tcBorders>
              <w:top w:val="nil"/>
              <w:left w:val="nil"/>
              <w:bottom w:val="single" w:sz="4" w:space="0" w:color="auto"/>
              <w:right w:val="single" w:sz="4" w:space="0" w:color="auto"/>
            </w:tcBorders>
            <w:shd w:val="clear" w:color="auto" w:fill="auto"/>
            <w:vAlign w:val="center"/>
            <w:hideMark/>
          </w:tcPr>
          <w:p w14:paraId="5A46B7A4" w14:textId="77777777" w:rsidR="008F7A9E" w:rsidRPr="008F7A9E" w:rsidRDefault="008F7A9E" w:rsidP="008F7A9E">
            <w:pPr>
              <w:jc w:val="right"/>
              <w:rPr>
                <w:rFonts w:ascii="Arial Narrow" w:hAnsi="Arial Narrow" w:cs="Calibri"/>
                <w:sz w:val="16"/>
                <w:szCs w:val="16"/>
              </w:rPr>
            </w:pPr>
            <w:r w:rsidRPr="008F7A9E">
              <w:rPr>
                <w:rFonts w:ascii="Arial Narrow" w:hAnsi="Arial Narrow" w:cs="Calibri"/>
                <w:sz w:val="16"/>
                <w:szCs w:val="16"/>
              </w:rPr>
              <w:t>60,4</w:t>
            </w:r>
          </w:p>
        </w:tc>
      </w:tr>
      <w:tr w:rsidR="008F7A9E" w:rsidRPr="00B10684" w14:paraId="0653D8D7" w14:textId="77777777" w:rsidTr="005A18A5">
        <w:trPr>
          <w:trHeight w:val="251"/>
        </w:trPr>
        <w:tc>
          <w:tcPr>
            <w:tcW w:w="748" w:type="dxa"/>
            <w:tcBorders>
              <w:top w:val="nil"/>
              <w:left w:val="single" w:sz="4" w:space="0" w:color="auto"/>
              <w:bottom w:val="single" w:sz="4" w:space="0" w:color="auto"/>
              <w:right w:val="single" w:sz="4" w:space="0" w:color="auto"/>
            </w:tcBorders>
            <w:shd w:val="clear" w:color="auto" w:fill="auto"/>
            <w:vAlign w:val="center"/>
            <w:hideMark/>
          </w:tcPr>
          <w:p w14:paraId="24E609A8" w14:textId="77777777" w:rsidR="008F7A9E" w:rsidRPr="008F7A9E" w:rsidRDefault="008F7A9E" w:rsidP="008F7A9E">
            <w:pPr>
              <w:rPr>
                <w:rFonts w:ascii="Arial Narrow" w:hAnsi="Arial Narrow" w:cs="Calibri"/>
                <w:sz w:val="16"/>
                <w:szCs w:val="16"/>
              </w:rPr>
            </w:pPr>
            <w:r w:rsidRPr="008F7A9E">
              <w:rPr>
                <w:rFonts w:ascii="Arial Narrow" w:hAnsi="Arial Narrow" w:cs="Calibri"/>
                <w:sz w:val="16"/>
                <w:szCs w:val="16"/>
              </w:rPr>
              <w:t>17.1/6</w:t>
            </w:r>
          </w:p>
        </w:tc>
        <w:tc>
          <w:tcPr>
            <w:tcW w:w="4419" w:type="dxa"/>
            <w:tcBorders>
              <w:top w:val="nil"/>
              <w:left w:val="nil"/>
              <w:bottom w:val="single" w:sz="4" w:space="0" w:color="auto"/>
              <w:right w:val="single" w:sz="4" w:space="0" w:color="auto"/>
            </w:tcBorders>
            <w:shd w:val="clear" w:color="auto" w:fill="auto"/>
            <w:vAlign w:val="center"/>
            <w:hideMark/>
          </w:tcPr>
          <w:p w14:paraId="280D47E7" w14:textId="77777777" w:rsidR="008F7A9E" w:rsidRPr="008F7A9E" w:rsidRDefault="008F7A9E" w:rsidP="008F7A9E">
            <w:pPr>
              <w:ind w:firstLineChars="200" w:firstLine="320"/>
              <w:rPr>
                <w:rFonts w:ascii="Arial Narrow" w:hAnsi="Arial Narrow" w:cs="Calibri"/>
                <w:sz w:val="16"/>
                <w:szCs w:val="16"/>
              </w:rPr>
            </w:pPr>
            <w:r w:rsidRPr="008F7A9E">
              <w:rPr>
                <w:rFonts w:ascii="Arial Narrow" w:hAnsi="Arial Narrow" w:cs="Calibri"/>
                <w:sz w:val="16"/>
                <w:szCs w:val="16"/>
              </w:rPr>
              <w:t>- животински продукти</w:t>
            </w:r>
          </w:p>
        </w:tc>
        <w:tc>
          <w:tcPr>
            <w:tcW w:w="1185" w:type="dxa"/>
            <w:tcBorders>
              <w:top w:val="nil"/>
              <w:left w:val="nil"/>
              <w:bottom w:val="single" w:sz="4" w:space="0" w:color="auto"/>
              <w:right w:val="single" w:sz="4" w:space="0" w:color="auto"/>
            </w:tcBorders>
            <w:shd w:val="clear" w:color="auto" w:fill="auto"/>
            <w:vAlign w:val="center"/>
            <w:hideMark/>
          </w:tcPr>
          <w:p w14:paraId="208C228A" w14:textId="77777777" w:rsidR="008F7A9E" w:rsidRPr="008F7A9E" w:rsidRDefault="008F7A9E" w:rsidP="008F7A9E">
            <w:pPr>
              <w:jc w:val="right"/>
              <w:rPr>
                <w:rFonts w:ascii="Arial Narrow" w:hAnsi="Arial Narrow" w:cs="Calibri"/>
                <w:sz w:val="16"/>
                <w:szCs w:val="16"/>
              </w:rPr>
            </w:pPr>
            <w:r w:rsidRPr="008F7A9E">
              <w:rPr>
                <w:rFonts w:ascii="Arial Narrow" w:hAnsi="Arial Narrow" w:cs="Calibri"/>
                <w:sz w:val="16"/>
                <w:szCs w:val="16"/>
              </w:rPr>
              <w:t>18,4</w:t>
            </w:r>
          </w:p>
        </w:tc>
        <w:tc>
          <w:tcPr>
            <w:tcW w:w="1028" w:type="dxa"/>
            <w:tcBorders>
              <w:top w:val="nil"/>
              <w:left w:val="nil"/>
              <w:bottom w:val="single" w:sz="4" w:space="0" w:color="auto"/>
              <w:right w:val="single" w:sz="4" w:space="0" w:color="auto"/>
            </w:tcBorders>
            <w:shd w:val="clear" w:color="auto" w:fill="auto"/>
            <w:vAlign w:val="center"/>
            <w:hideMark/>
          </w:tcPr>
          <w:p w14:paraId="3B15D5C2" w14:textId="77777777" w:rsidR="008F7A9E" w:rsidRPr="008F7A9E" w:rsidRDefault="008F7A9E" w:rsidP="008F7A9E">
            <w:pPr>
              <w:jc w:val="right"/>
              <w:rPr>
                <w:rFonts w:ascii="Arial Narrow" w:hAnsi="Arial Narrow" w:cs="Calibri"/>
                <w:sz w:val="16"/>
                <w:szCs w:val="16"/>
              </w:rPr>
            </w:pPr>
            <w:r w:rsidRPr="008F7A9E">
              <w:rPr>
                <w:rFonts w:ascii="Arial Narrow" w:hAnsi="Arial Narrow" w:cs="Calibri"/>
                <w:sz w:val="16"/>
                <w:szCs w:val="16"/>
              </w:rPr>
              <w:t>471,2</w:t>
            </w:r>
          </w:p>
        </w:tc>
        <w:tc>
          <w:tcPr>
            <w:tcW w:w="1217" w:type="dxa"/>
            <w:tcBorders>
              <w:top w:val="nil"/>
              <w:left w:val="nil"/>
              <w:bottom w:val="single" w:sz="4" w:space="0" w:color="auto"/>
              <w:right w:val="single" w:sz="4" w:space="0" w:color="auto"/>
            </w:tcBorders>
            <w:shd w:val="clear" w:color="auto" w:fill="auto"/>
            <w:vAlign w:val="center"/>
            <w:hideMark/>
          </w:tcPr>
          <w:p w14:paraId="4FB65435" w14:textId="77777777" w:rsidR="008F7A9E" w:rsidRPr="008F7A9E" w:rsidRDefault="008F7A9E" w:rsidP="008F7A9E">
            <w:pPr>
              <w:jc w:val="right"/>
              <w:rPr>
                <w:rFonts w:ascii="Arial Narrow" w:hAnsi="Arial Narrow" w:cs="Calibri"/>
                <w:sz w:val="16"/>
                <w:szCs w:val="16"/>
              </w:rPr>
            </w:pPr>
            <w:r w:rsidRPr="008F7A9E">
              <w:rPr>
                <w:rFonts w:ascii="Arial Narrow" w:hAnsi="Arial Narrow" w:cs="Calibri"/>
                <w:sz w:val="16"/>
                <w:szCs w:val="16"/>
              </w:rPr>
              <w:t>105,1</w:t>
            </w:r>
          </w:p>
        </w:tc>
        <w:tc>
          <w:tcPr>
            <w:tcW w:w="1075" w:type="dxa"/>
            <w:tcBorders>
              <w:top w:val="nil"/>
              <w:left w:val="nil"/>
              <w:bottom w:val="single" w:sz="4" w:space="0" w:color="auto"/>
              <w:right w:val="single" w:sz="4" w:space="0" w:color="auto"/>
            </w:tcBorders>
            <w:shd w:val="clear" w:color="auto" w:fill="auto"/>
            <w:vAlign w:val="center"/>
            <w:hideMark/>
          </w:tcPr>
          <w:p w14:paraId="20C96234" w14:textId="77777777" w:rsidR="008F7A9E" w:rsidRPr="008F7A9E" w:rsidRDefault="008F7A9E" w:rsidP="008F7A9E">
            <w:pPr>
              <w:jc w:val="right"/>
              <w:rPr>
                <w:rFonts w:ascii="Arial Narrow" w:hAnsi="Arial Narrow" w:cs="Calibri"/>
                <w:sz w:val="16"/>
                <w:szCs w:val="16"/>
              </w:rPr>
            </w:pPr>
            <w:r w:rsidRPr="008F7A9E">
              <w:rPr>
                <w:rFonts w:ascii="Arial Narrow" w:hAnsi="Arial Narrow" w:cs="Calibri"/>
                <w:sz w:val="16"/>
                <w:szCs w:val="16"/>
              </w:rPr>
              <w:t>16,0</w:t>
            </w:r>
          </w:p>
        </w:tc>
        <w:tc>
          <w:tcPr>
            <w:tcW w:w="1233" w:type="dxa"/>
            <w:tcBorders>
              <w:top w:val="nil"/>
              <w:left w:val="nil"/>
              <w:bottom w:val="single" w:sz="4" w:space="0" w:color="auto"/>
              <w:right w:val="single" w:sz="4" w:space="0" w:color="auto"/>
            </w:tcBorders>
            <w:shd w:val="clear" w:color="auto" w:fill="auto"/>
            <w:vAlign w:val="center"/>
            <w:hideMark/>
          </w:tcPr>
          <w:p w14:paraId="68C91C69" w14:textId="77777777" w:rsidR="008F7A9E" w:rsidRPr="008F7A9E" w:rsidRDefault="008F7A9E" w:rsidP="008F7A9E">
            <w:pPr>
              <w:jc w:val="right"/>
              <w:rPr>
                <w:rFonts w:ascii="Arial Narrow" w:hAnsi="Arial Narrow" w:cs="Calibri"/>
                <w:sz w:val="16"/>
                <w:szCs w:val="16"/>
              </w:rPr>
            </w:pPr>
            <w:r w:rsidRPr="008F7A9E">
              <w:rPr>
                <w:rFonts w:ascii="Arial Narrow" w:hAnsi="Arial Narrow" w:cs="Calibri"/>
                <w:sz w:val="16"/>
                <w:szCs w:val="16"/>
              </w:rPr>
              <w:t>121,9</w:t>
            </w:r>
          </w:p>
        </w:tc>
      </w:tr>
      <w:tr w:rsidR="008F7A9E" w:rsidRPr="00B10684" w14:paraId="0FAE2C40" w14:textId="77777777" w:rsidTr="005A18A5">
        <w:trPr>
          <w:trHeight w:val="251"/>
        </w:trPr>
        <w:tc>
          <w:tcPr>
            <w:tcW w:w="748" w:type="dxa"/>
            <w:tcBorders>
              <w:top w:val="nil"/>
              <w:left w:val="single" w:sz="4" w:space="0" w:color="auto"/>
              <w:bottom w:val="single" w:sz="4" w:space="0" w:color="auto"/>
              <w:right w:val="single" w:sz="4" w:space="0" w:color="auto"/>
            </w:tcBorders>
            <w:shd w:val="clear" w:color="auto" w:fill="auto"/>
            <w:vAlign w:val="center"/>
            <w:hideMark/>
          </w:tcPr>
          <w:p w14:paraId="59B26AC6" w14:textId="77777777" w:rsidR="008F7A9E" w:rsidRPr="008F7A9E" w:rsidRDefault="008F7A9E" w:rsidP="008F7A9E">
            <w:pPr>
              <w:rPr>
                <w:rFonts w:ascii="Arial Narrow" w:hAnsi="Arial Narrow" w:cs="Calibri"/>
                <w:sz w:val="16"/>
                <w:szCs w:val="16"/>
              </w:rPr>
            </w:pPr>
            <w:r w:rsidRPr="008F7A9E">
              <w:rPr>
                <w:rFonts w:ascii="Arial Narrow" w:hAnsi="Arial Narrow" w:cs="Calibri"/>
                <w:sz w:val="16"/>
                <w:szCs w:val="16"/>
              </w:rPr>
              <w:t>17.1/6/1</w:t>
            </w:r>
          </w:p>
        </w:tc>
        <w:tc>
          <w:tcPr>
            <w:tcW w:w="4419" w:type="dxa"/>
            <w:tcBorders>
              <w:top w:val="nil"/>
              <w:left w:val="nil"/>
              <w:bottom w:val="single" w:sz="4" w:space="0" w:color="auto"/>
              <w:right w:val="single" w:sz="4" w:space="0" w:color="auto"/>
            </w:tcBorders>
            <w:shd w:val="clear" w:color="auto" w:fill="auto"/>
            <w:vAlign w:val="center"/>
            <w:hideMark/>
          </w:tcPr>
          <w:p w14:paraId="2CB71063" w14:textId="77777777" w:rsidR="008F7A9E" w:rsidRPr="008F7A9E" w:rsidRDefault="008F7A9E" w:rsidP="008F7A9E">
            <w:pPr>
              <w:ind w:firstLineChars="200" w:firstLine="320"/>
              <w:rPr>
                <w:rFonts w:ascii="Arial Narrow" w:hAnsi="Arial Narrow" w:cs="Calibri"/>
                <w:sz w:val="16"/>
                <w:szCs w:val="16"/>
              </w:rPr>
            </w:pPr>
            <w:r w:rsidRPr="008F7A9E">
              <w:rPr>
                <w:rFonts w:ascii="Arial Narrow" w:hAnsi="Arial Narrow" w:cs="Calibri"/>
                <w:sz w:val="16"/>
                <w:szCs w:val="16"/>
              </w:rPr>
              <w:t>- мляко</w:t>
            </w:r>
          </w:p>
        </w:tc>
        <w:tc>
          <w:tcPr>
            <w:tcW w:w="1185" w:type="dxa"/>
            <w:tcBorders>
              <w:top w:val="nil"/>
              <w:left w:val="nil"/>
              <w:bottom w:val="single" w:sz="4" w:space="0" w:color="auto"/>
              <w:right w:val="single" w:sz="4" w:space="0" w:color="auto"/>
            </w:tcBorders>
            <w:shd w:val="clear" w:color="auto" w:fill="auto"/>
            <w:vAlign w:val="center"/>
            <w:hideMark/>
          </w:tcPr>
          <w:p w14:paraId="05FC735F" w14:textId="77777777" w:rsidR="008F7A9E" w:rsidRPr="008F7A9E" w:rsidRDefault="008F7A9E" w:rsidP="008F7A9E">
            <w:pPr>
              <w:jc w:val="right"/>
              <w:rPr>
                <w:rFonts w:ascii="Arial Narrow" w:hAnsi="Arial Narrow" w:cs="Calibri"/>
                <w:sz w:val="16"/>
                <w:szCs w:val="16"/>
              </w:rPr>
            </w:pPr>
            <w:r w:rsidRPr="008F7A9E">
              <w:rPr>
                <w:rFonts w:ascii="Arial Narrow" w:hAnsi="Arial Narrow" w:cs="Calibri"/>
                <w:sz w:val="16"/>
                <w:szCs w:val="16"/>
              </w:rPr>
              <w:t>18,4</w:t>
            </w:r>
          </w:p>
        </w:tc>
        <w:tc>
          <w:tcPr>
            <w:tcW w:w="1028" w:type="dxa"/>
            <w:tcBorders>
              <w:top w:val="nil"/>
              <w:left w:val="nil"/>
              <w:bottom w:val="single" w:sz="4" w:space="0" w:color="auto"/>
              <w:right w:val="single" w:sz="4" w:space="0" w:color="auto"/>
            </w:tcBorders>
            <w:shd w:val="clear" w:color="auto" w:fill="auto"/>
            <w:vAlign w:val="center"/>
            <w:hideMark/>
          </w:tcPr>
          <w:p w14:paraId="40E2A8FA" w14:textId="77777777" w:rsidR="008F7A9E" w:rsidRPr="008F7A9E" w:rsidRDefault="008F7A9E" w:rsidP="008F7A9E">
            <w:pPr>
              <w:jc w:val="right"/>
              <w:rPr>
                <w:rFonts w:ascii="Arial Narrow" w:hAnsi="Arial Narrow" w:cs="Calibri"/>
                <w:sz w:val="16"/>
                <w:szCs w:val="16"/>
              </w:rPr>
            </w:pPr>
            <w:r w:rsidRPr="008F7A9E">
              <w:rPr>
                <w:rFonts w:ascii="Arial Narrow" w:hAnsi="Arial Narrow" w:cs="Calibri"/>
                <w:sz w:val="16"/>
                <w:szCs w:val="16"/>
              </w:rPr>
              <w:t>471,2</w:t>
            </w:r>
          </w:p>
        </w:tc>
        <w:tc>
          <w:tcPr>
            <w:tcW w:w="1217" w:type="dxa"/>
            <w:tcBorders>
              <w:top w:val="nil"/>
              <w:left w:val="nil"/>
              <w:bottom w:val="single" w:sz="4" w:space="0" w:color="auto"/>
              <w:right w:val="single" w:sz="4" w:space="0" w:color="auto"/>
            </w:tcBorders>
            <w:shd w:val="clear" w:color="auto" w:fill="auto"/>
            <w:vAlign w:val="center"/>
            <w:hideMark/>
          </w:tcPr>
          <w:p w14:paraId="527951C4" w14:textId="77777777" w:rsidR="008F7A9E" w:rsidRPr="008F7A9E" w:rsidRDefault="008F7A9E" w:rsidP="008F7A9E">
            <w:pPr>
              <w:jc w:val="right"/>
              <w:rPr>
                <w:rFonts w:ascii="Arial Narrow" w:hAnsi="Arial Narrow" w:cs="Calibri"/>
                <w:sz w:val="16"/>
                <w:szCs w:val="16"/>
              </w:rPr>
            </w:pPr>
            <w:r w:rsidRPr="008F7A9E">
              <w:rPr>
                <w:rFonts w:ascii="Arial Narrow" w:hAnsi="Arial Narrow" w:cs="Calibri"/>
                <w:sz w:val="16"/>
                <w:szCs w:val="16"/>
              </w:rPr>
              <w:t>105,1</w:t>
            </w:r>
          </w:p>
        </w:tc>
        <w:tc>
          <w:tcPr>
            <w:tcW w:w="1075" w:type="dxa"/>
            <w:tcBorders>
              <w:top w:val="nil"/>
              <w:left w:val="nil"/>
              <w:bottom w:val="single" w:sz="4" w:space="0" w:color="auto"/>
              <w:right w:val="single" w:sz="4" w:space="0" w:color="auto"/>
            </w:tcBorders>
            <w:shd w:val="clear" w:color="auto" w:fill="auto"/>
            <w:vAlign w:val="center"/>
            <w:hideMark/>
          </w:tcPr>
          <w:p w14:paraId="1342A8F8" w14:textId="77777777" w:rsidR="008F7A9E" w:rsidRPr="008F7A9E" w:rsidRDefault="008F7A9E" w:rsidP="008F7A9E">
            <w:pPr>
              <w:jc w:val="right"/>
              <w:rPr>
                <w:rFonts w:ascii="Arial Narrow" w:hAnsi="Arial Narrow" w:cs="Calibri"/>
                <w:sz w:val="16"/>
                <w:szCs w:val="16"/>
              </w:rPr>
            </w:pPr>
            <w:r w:rsidRPr="008F7A9E">
              <w:rPr>
                <w:rFonts w:ascii="Arial Narrow" w:hAnsi="Arial Narrow" w:cs="Calibri"/>
                <w:sz w:val="16"/>
                <w:szCs w:val="16"/>
              </w:rPr>
              <w:t>16,0</w:t>
            </w:r>
          </w:p>
        </w:tc>
        <w:tc>
          <w:tcPr>
            <w:tcW w:w="1233" w:type="dxa"/>
            <w:tcBorders>
              <w:top w:val="nil"/>
              <w:left w:val="nil"/>
              <w:bottom w:val="single" w:sz="4" w:space="0" w:color="auto"/>
              <w:right w:val="single" w:sz="4" w:space="0" w:color="auto"/>
            </w:tcBorders>
            <w:shd w:val="clear" w:color="auto" w:fill="auto"/>
            <w:vAlign w:val="center"/>
            <w:hideMark/>
          </w:tcPr>
          <w:p w14:paraId="7F58E09F" w14:textId="77777777" w:rsidR="008F7A9E" w:rsidRPr="008F7A9E" w:rsidRDefault="008F7A9E" w:rsidP="008F7A9E">
            <w:pPr>
              <w:jc w:val="right"/>
              <w:rPr>
                <w:rFonts w:ascii="Arial Narrow" w:hAnsi="Arial Narrow" w:cs="Calibri"/>
                <w:sz w:val="16"/>
                <w:szCs w:val="16"/>
              </w:rPr>
            </w:pPr>
            <w:r w:rsidRPr="008F7A9E">
              <w:rPr>
                <w:rFonts w:ascii="Arial Narrow" w:hAnsi="Arial Narrow" w:cs="Calibri"/>
                <w:sz w:val="16"/>
                <w:szCs w:val="16"/>
              </w:rPr>
              <w:t>121,9</w:t>
            </w:r>
          </w:p>
        </w:tc>
      </w:tr>
      <w:tr w:rsidR="008F7A9E" w:rsidRPr="00B10684" w14:paraId="79913D1A" w14:textId="77777777" w:rsidTr="005A18A5">
        <w:trPr>
          <w:trHeight w:val="251"/>
        </w:trPr>
        <w:tc>
          <w:tcPr>
            <w:tcW w:w="748" w:type="dxa"/>
            <w:tcBorders>
              <w:top w:val="nil"/>
              <w:left w:val="single" w:sz="4" w:space="0" w:color="auto"/>
              <w:bottom w:val="single" w:sz="4" w:space="0" w:color="auto"/>
              <w:right w:val="single" w:sz="4" w:space="0" w:color="auto"/>
            </w:tcBorders>
            <w:shd w:val="clear" w:color="auto" w:fill="auto"/>
            <w:vAlign w:val="center"/>
            <w:hideMark/>
          </w:tcPr>
          <w:p w14:paraId="27E449BA" w14:textId="77777777" w:rsidR="008F7A9E" w:rsidRPr="008F7A9E" w:rsidRDefault="008F7A9E" w:rsidP="008F7A9E">
            <w:pPr>
              <w:rPr>
                <w:rFonts w:ascii="Arial Narrow" w:hAnsi="Arial Narrow" w:cs="Calibri"/>
                <w:sz w:val="16"/>
                <w:szCs w:val="16"/>
              </w:rPr>
            </w:pPr>
            <w:r w:rsidRPr="008F7A9E">
              <w:rPr>
                <w:rFonts w:ascii="Arial Narrow" w:hAnsi="Arial Narrow" w:cs="Calibri"/>
                <w:sz w:val="16"/>
                <w:szCs w:val="16"/>
              </w:rPr>
              <w:t>17.1/7</w:t>
            </w:r>
          </w:p>
        </w:tc>
        <w:tc>
          <w:tcPr>
            <w:tcW w:w="4419" w:type="dxa"/>
            <w:tcBorders>
              <w:top w:val="nil"/>
              <w:left w:val="nil"/>
              <w:bottom w:val="single" w:sz="4" w:space="0" w:color="auto"/>
              <w:right w:val="single" w:sz="4" w:space="0" w:color="auto"/>
            </w:tcBorders>
            <w:shd w:val="clear" w:color="auto" w:fill="auto"/>
            <w:vAlign w:val="center"/>
            <w:hideMark/>
          </w:tcPr>
          <w:p w14:paraId="7BED1A11" w14:textId="77777777" w:rsidR="008F7A9E" w:rsidRPr="008F7A9E" w:rsidRDefault="008F7A9E" w:rsidP="008F7A9E">
            <w:pPr>
              <w:ind w:firstLineChars="200" w:firstLine="320"/>
              <w:rPr>
                <w:rFonts w:ascii="Arial Narrow" w:hAnsi="Arial Narrow" w:cs="Calibri"/>
                <w:sz w:val="16"/>
                <w:szCs w:val="16"/>
              </w:rPr>
            </w:pPr>
            <w:r w:rsidRPr="008F7A9E">
              <w:rPr>
                <w:rFonts w:ascii="Arial Narrow" w:hAnsi="Arial Narrow" w:cs="Calibri"/>
                <w:sz w:val="16"/>
                <w:szCs w:val="16"/>
              </w:rPr>
              <w:t>- друга</w:t>
            </w:r>
          </w:p>
        </w:tc>
        <w:tc>
          <w:tcPr>
            <w:tcW w:w="1185" w:type="dxa"/>
            <w:tcBorders>
              <w:top w:val="nil"/>
              <w:left w:val="nil"/>
              <w:bottom w:val="single" w:sz="4" w:space="0" w:color="auto"/>
              <w:right w:val="single" w:sz="4" w:space="0" w:color="auto"/>
            </w:tcBorders>
            <w:shd w:val="clear" w:color="auto" w:fill="auto"/>
            <w:vAlign w:val="center"/>
            <w:hideMark/>
          </w:tcPr>
          <w:p w14:paraId="520DF28A" w14:textId="77777777" w:rsidR="008F7A9E" w:rsidRPr="008F7A9E" w:rsidRDefault="008F7A9E" w:rsidP="008F7A9E">
            <w:pPr>
              <w:jc w:val="right"/>
              <w:rPr>
                <w:rFonts w:ascii="Arial Narrow" w:hAnsi="Arial Narrow" w:cs="Calibri"/>
                <w:sz w:val="16"/>
                <w:szCs w:val="16"/>
              </w:rPr>
            </w:pPr>
            <w:r w:rsidRPr="008F7A9E">
              <w:rPr>
                <w:rFonts w:ascii="Arial Narrow" w:hAnsi="Arial Narrow" w:cs="Calibri"/>
                <w:sz w:val="16"/>
                <w:szCs w:val="16"/>
              </w:rPr>
              <w:t>8,2</w:t>
            </w:r>
          </w:p>
        </w:tc>
        <w:tc>
          <w:tcPr>
            <w:tcW w:w="1028" w:type="dxa"/>
            <w:tcBorders>
              <w:top w:val="nil"/>
              <w:left w:val="nil"/>
              <w:bottom w:val="single" w:sz="4" w:space="0" w:color="auto"/>
              <w:right w:val="single" w:sz="4" w:space="0" w:color="auto"/>
            </w:tcBorders>
            <w:shd w:val="clear" w:color="auto" w:fill="auto"/>
            <w:vAlign w:val="center"/>
            <w:hideMark/>
          </w:tcPr>
          <w:p w14:paraId="7C1E756A" w14:textId="77777777" w:rsidR="008F7A9E" w:rsidRPr="008F7A9E" w:rsidRDefault="008F7A9E" w:rsidP="008F7A9E">
            <w:pPr>
              <w:jc w:val="right"/>
              <w:rPr>
                <w:rFonts w:ascii="Arial Narrow" w:hAnsi="Arial Narrow" w:cs="Calibri"/>
                <w:sz w:val="16"/>
                <w:szCs w:val="16"/>
              </w:rPr>
            </w:pPr>
            <w:r w:rsidRPr="008F7A9E">
              <w:rPr>
                <w:rFonts w:ascii="Arial Narrow" w:hAnsi="Arial Narrow" w:cs="Calibri"/>
                <w:sz w:val="16"/>
                <w:szCs w:val="16"/>
              </w:rPr>
              <w:t>-15,9</w:t>
            </w:r>
          </w:p>
        </w:tc>
        <w:tc>
          <w:tcPr>
            <w:tcW w:w="1217" w:type="dxa"/>
            <w:tcBorders>
              <w:top w:val="nil"/>
              <w:left w:val="nil"/>
              <w:bottom w:val="single" w:sz="4" w:space="0" w:color="auto"/>
              <w:right w:val="single" w:sz="4" w:space="0" w:color="auto"/>
            </w:tcBorders>
            <w:shd w:val="clear" w:color="auto" w:fill="auto"/>
            <w:vAlign w:val="center"/>
            <w:hideMark/>
          </w:tcPr>
          <w:p w14:paraId="378B692E" w14:textId="77777777" w:rsidR="008F7A9E" w:rsidRPr="008F7A9E" w:rsidRDefault="008F7A9E" w:rsidP="008F7A9E">
            <w:pPr>
              <w:jc w:val="right"/>
              <w:rPr>
                <w:rFonts w:ascii="Arial Narrow" w:hAnsi="Arial Narrow" w:cs="Calibri"/>
                <w:sz w:val="16"/>
                <w:szCs w:val="16"/>
              </w:rPr>
            </w:pPr>
            <w:r w:rsidRPr="008F7A9E">
              <w:rPr>
                <w:rFonts w:ascii="Arial Narrow" w:hAnsi="Arial Narrow" w:cs="Calibri"/>
                <w:sz w:val="16"/>
                <w:szCs w:val="16"/>
              </w:rPr>
              <w:t>6,9</w:t>
            </w:r>
          </w:p>
        </w:tc>
        <w:tc>
          <w:tcPr>
            <w:tcW w:w="1075" w:type="dxa"/>
            <w:tcBorders>
              <w:top w:val="nil"/>
              <w:left w:val="nil"/>
              <w:bottom w:val="single" w:sz="4" w:space="0" w:color="auto"/>
              <w:right w:val="single" w:sz="4" w:space="0" w:color="auto"/>
            </w:tcBorders>
            <w:shd w:val="clear" w:color="auto" w:fill="auto"/>
            <w:vAlign w:val="center"/>
            <w:hideMark/>
          </w:tcPr>
          <w:p w14:paraId="7A4EE558" w14:textId="77777777" w:rsidR="008F7A9E" w:rsidRPr="008F7A9E" w:rsidRDefault="008F7A9E" w:rsidP="008F7A9E">
            <w:pPr>
              <w:jc w:val="right"/>
              <w:rPr>
                <w:rFonts w:ascii="Arial Narrow" w:hAnsi="Arial Narrow" w:cs="Calibri"/>
                <w:sz w:val="16"/>
                <w:szCs w:val="16"/>
              </w:rPr>
            </w:pPr>
            <w:r w:rsidRPr="008F7A9E">
              <w:rPr>
                <w:rFonts w:ascii="Arial Narrow" w:hAnsi="Arial Narrow" w:cs="Calibri"/>
                <w:sz w:val="16"/>
                <w:szCs w:val="16"/>
              </w:rPr>
              <w:t>-21,7</w:t>
            </w:r>
          </w:p>
        </w:tc>
        <w:tc>
          <w:tcPr>
            <w:tcW w:w="1233" w:type="dxa"/>
            <w:tcBorders>
              <w:top w:val="nil"/>
              <w:left w:val="nil"/>
              <w:bottom w:val="single" w:sz="4" w:space="0" w:color="auto"/>
              <w:right w:val="single" w:sz="4" w:space="0" w:color="auto"/>
            </w:tcBorders>
            <w:shd w:val="clear" w:color="auto" w:fill="auto"/>
            <w:vAlign w:val="center"/>
            <w:hideMark/>
          </w:tcPr>
          <w:p w14:paraId="3FC166CB" w14:textId="77777777" w:rsidR="008F7A9E" w:rsidRPr="008F7A9E" w:rsidRDefault="008F7A9E" w:rsidP="008F7A9E">
            <w:pPr>
              <w:jc w:val="right"/>
              <w:rPr>
                <w:rFonts w:ascii="Arial Narrow" w:hAnsi="Arial Narrow" w:cs="Calibri"/>
                <w:sz w:val="16"/>
                <w:szCs w:val="16"/>
              </w:rPr>
            </w:pPr>
            <w:r w:rsidRPr="008F7A9E">
              <w:rPr>
                <w:rFonts w:ascii="Arial Narrow" w:hAnsi="Arial Narrow" w:cs="Calibri"/>
                <w:sz w:val="16"/>
                <w:szCs w:val="16"/>
              </w:rPr>
              <w:t>5,4</w:t>
            </w:r>
          </w:p>
        </w:tc>
      </w:tr>
      <w:tr w:rsidR="008F7A9E" w:rsidRPr="00B10684" w14:paraId="23691AB9" w14:textId="77777777" w:rsidTr="005A18A5">
        <w:trPr>
          <w:trHeight w:val="274"/>
        </w:trPr>
        <w:tc>
          <w:tcPr>
            <w:tcW w:w="748" w:type="dxa"/>
            <w:tcBorders>
              <w:top w:val="nil"/>
              <w:left w:val="single" w:sz="4" w:space="0" w:color="auto"/>
              <w:bottom w:val="single" w:sz="4" w:space="0" w:color="auto"/>
              <w:right w:val="single" w:sz="4" w:space="0" w:color="auto"/>
            </w:tcBorders>
            <w:shd w:val="clear" w:color="auto" w:fill="auto"/>
            <w:vAlign w:val="center"/>
            <w:hideMark/>
          </w:tcPr>
          <w:p w14:paraId="53E219F6" w14:textId="77777777" w:rsidR="008F7A9E" w:rsidRPr="008F7A9E" w:rsidRDefault="008F7A9E" w:rsidP="008F7A9E">
            <w:pPr>
              <w:rPr>
                <w:rFonts w:ascii="Arial Narrow" w:hAnsi="Arial Narrow" w:cs="Calibri"/>
                <w:sz w:val="16"/>
                <w:szCs w:val="16"/>
              </w:rPr>
            </w:pPr>
            <w:r w:rsidRPr="008F7A9E">
              <w:rPr>
                <w:rFonts w:ascii="Arial Narrow" w:hAnsi="Arial Narrow" w:cs="Calibri"/>
                <w:sz w:val="16"/>
                <w:szCs w:val="16"/>
              </w:rPr>
              <w:t>17.2</w:t>
            </w:r>
          </w:p>
        </w:tc>
        <w:tc>
          <w:tcPr>
            <w:tcW w:w="4419" w:type="dxa"/>
            <w:tcBorders>
              <w:top w:val="nil"/>
              <w:left w:val="nil"/>
              <w:bottom w:val="single" w:sz="4" w:space="0" w:color="auto"/>
              <w:right w:val="single" w:sz="4" w:space="0" w:color="auto"/>
            </w:tcBorders>
            <w:shd w:val="clear" w:color="auto" w:fill="auto"/>
            <w:vAlign w:val="center"/>
            <w:hideMark/>
          </w:tcPr>
          <w:p w14:paraId="240AD49A" w14:textId="77777777" w:rsidR="008F7A9E" w:rsidRPr="008F7A9E" w:rsidRDefault="008F7A9E" w:rsidP="008F7A9E">
            <w:pPr>
              <w:ind w:firstLineChars="100" w:firstLine="160"/>
              <w:rPr>
                <w:rFonts w:ascii="Arial Narrow" w:hAnsi="Arial Narrow" w:cs="Calibri"/>
                <w:sz w:val="16"/>
                <w:szCs w:val="16"/>
              </w:rPr>
            </w:pPr>
            <w:r w:rsidRPr="008F7A9E">
              <w:rPr>
                <w:rFonts w:ascii="Arial Narrow" w:hAnsi="Arial Narrow" w:cs="Calibri"/>
                <w:sz w:val="16"/>
                <w:szCs w:val="16"/>
              </w:rPr>
              <w:t>Други неотделими второстепенни дейности</w:t>
            </w:r>
          </w:p>
        </w:tc>
        <w:tc>
          <w:tcPr>
            <w:tcW w:w="1185" w:type="dxa"/>
            <w:tcBorders>
              <w:top w:val="nil"/>
              <w:left w:val="nil"/>
              <w:bottom w:val="single" w:sz="4" w:space="0" w:color="auto"/>
              <w:right w:val="single" w:sz="4" w:space="0" w:color="auto"/>
            </w:tcBorders>
            <w:shd w:val="clear" w:color="auto" w:fill="auto"/>
            <w:vAlign w:val="center"/>
            <w:hideMark/>
          </w:tcPr>
          <w:p w14:paraId="4E8AD071" w14:textId="77777777" w:rsidR="008F7A9E" w:rsidRPr="008F7A9E" w:rsidRDefault="008F7A9E" w:rsidP="008F7A9E">
            <w:pPr>
              <w:jc w:val="right"/>
              <w:rPr>
                <w:rFonts w:ascii="Arial Narrow" w:hAnsi="Arial Narrow" w:cs="Calibri"/>
                <w:sz w:val="16"/>
                <w:szCs w:val="16"/>
              </w:rPr>
            </w:pPr>
            <w:r w:rsidRPr="008F7A9E">
              <w:rPr>
                <w:rFonts w:ascii="Arial Narrow" w:hAnsi="Arial Narrow" w:cs="Calibri"/>
                <w:sz w:val="16"/>
                <w:szCs w:val="16"/>
              </w:rPr>
              <w:t> </w:t>
            </w:r>
          </w:p>
        </w:tc>
        <w:tc>
          <w:tcPr>
            <w:tcW w:w="1028" w:type="dxa"/>
            <w:tcBorders>
              <w:top w:val="nil"/>
              <w:left w:val="nil"/>
              <w:bottom w:val="single" w:sz="4" w:space="0" w:color="auto"/>
              <w:right w:val="single" w:sz="4" w:space="0" w:color="auto"/>
            </w:tcBorders>
            <w:shd w:val="clear" w:color="auto" w:fill="auto"/>
            <w:vAlign w:val="center"/>
            <w:hideMark/>
          </w:tcPr>
          <w:p w14:paraId="3E6B573E" w14:textId="77777777" w:rsidR="008F7A9E" w:rsidRPr="008F7A9E" w:rsidRDefault="008F7A9E" w:rsidP="008F7A9E">
            <w:pPr>
              <w:rPr>
                <w:rFonts w:ascii="Arial Narrow" w:hAnsi="Arial Narrow" w:cs="Calibri"/>
                <w:sz w:val="16"/>
                <w:szCs w:val="16"/>
              </w:rPr>
            </w:pPr>
            <w:r w:rsidRPr="008F7A9E">
              <w:rPr>
                <w:rFonts w:ascii="Arial Narrow" w:hAnsi="Arial Narrow" w:cs="Calibri"/>
                <w:sz w:val="16"/>
                <w:szCs w:val="16"/>
              </w:rPr>
              <w:t> </w:t>
            </w:r>
          </w:p>
        </w:tc>
        <w:tc>
          <w:tcPr>
            <w:tcW w:w="1217" w:type="dxa"/>
            <w:tcBorders>
              <w:top w:val="nil"/>
              <w:left w:val="nil"/>
              <w:bottom w:val="single" w:sz="4" w:space="0" w:color="auto"/>
              <w:right w:val="single" w:sz="4" w:space="0" w:color="auto"/>
            </w:tcBorders>
            <w:shd w:val="clear" w:color="auto" w:fill="auto"/>
            <w:vAlign w:val="center"/>
            <w:hideMark/>
          </w:tcPr>
          <w:p w14:paraId="36FEB759" w14:textId="77777777" w:rsidR="008F7A9E" w:rsidRPr="008F7A9E" w:rsidRDefault="008F7A9E" w:rsidP="008F7A9E">
            <w:pPr>
              <w:jc w:val="right"/>
              <w:rPr>
                <w:rFonts w:ascii="Arial Narrow" w:hAnsi="Arial Narrow" w:cs="Calibri"/>
                <w:sz w:val="16"/>
                <w:szCs w:val="16"/>
              </w:rPr>
            </w:pPr>
            <w:r w:rsidRPr="008F7A9E">
              <w:rPr>
                <w:rFonts w:ascii="Arial Narrow" w:hAnsi="Arial Narrow" w:cs="Calibri"/>
                <w:sz w:val="16"/>
                <w:szCs w:val="16"/>
              </w:rPr>
              <w:t> </w:t>
            </w:r>
          </w:p>
        </w:tc>
        <w:tc>
          <w:tcPr>
            <w:tcW w:w="1075" w:type="dxa"/>
            <w:tcBorders>
              <w:top w:val="nil"/>
              <w:left w:val="nil"/>
              <w:bottom w:val="single" w:sz="4" w:space="0" w:color="auto"/>
              <w:right w:val="single" w:sz="4" w:space="0" w:color="auto"/>
            </w:tcBorders>
            <w:shd w:val="clear" w:color="auto" w:fill="auto"/>
            <w:vAlign w:val="center"/>
            <w:hideMark/>
          </w:tcPr>
          <w:p w14:paraId="64CC924B" w14:textId="77777777" w:rsidR="008F7A9E" w:rsidRPr="008F7A9E" w:rsidRDefault="008F7A9E" w:rsidP="008F7A9E">
            <w:pPr>
              <w:rPr>
                <w:rFonts w:ascii="Arial Narrow" w:hAnsi="Arial Narrow" w:cs="Calibri"/>
                <w:sz w:val="16"/>
                <w:szCs w:val="16"/>
              </w:rPr>
            </w:pPr>
            <w:r w:rsidRPr="008F7A9E">
              <w:rPr>
                <w:rFonts w:ascii="Arial Narrow" w:hAnsi="Arial Narrow" w:cs="Calibri"/>
                <w:sz w:val="16"/>
                <w:szCs w:val="16"/>
              </w:rPr>
              <w:t> </w:t>
            </w:r>
          </w:p>
        </w:tc>
        <w:tc>
          <w:tcPr>
            <w:tcW w:w="1233" w:type="dxa"/>
            <w:tcBorders>
              <w:top w:val="nil"/>
              <w:left w:val="nil"/>
              <w:bottom w:val="single" w:sz="4" w:space="0" w:color="auto"/>
              <w:right w:val="single" w:sz="4" w:space="0" w:color="auto"/>
            </w:tcBorders>
            <w:shd w:val="clear" w:color="auto" w:fill="auto"/>
            <w:vAlign w:val="center"/>
            <w:hideMark/>
          </w:tcPr>
          <w:p w14:paraId="17153398" w14:textId="77777777" w:rsidR="008F7A9E" w:rsidRPr="008F7A9E" w:rsidRDefault="008F7A9E" w:rsidP="008F7A9E">
            <w:pPr>
              <w:jc w:val="right"/>
              <w:rPr>
                <w:rFonts w:ascii="Arial Narrow" w:hAnsi="Arial Narrow" w:cs="Calibri"/>
                <w:sz w:val="16"/>
                <w:szCs w:val="16"/>
              </w:rPr>
            </w:pPr>
            <w:r w:rsidRPr="008F7A9E">
              <w:rPr>
                <w:rFonts w:ascii="Arial Narrow" w:hAnsi="Arial Narrow" w:cs="Calibri"/>
                <w:sz w:val="16"/>
                <w:szCs w:val="16"/>
              </w:rPr>
              <w:t> </w:t>
            </w:r>
          </w:p>
        </w:tc>
      </w:tr>
      <w:tr w:rsidR="008F7A9E" w:rsidRPr="00B10684" w14:paraId="3A98D5D8" w14:textId="77777777" w:rsidTr="005A18A5">
        <w:trPr>
          <w:trHeight w:val="365"/>
        </w:trPr>
        <w:tc>
          <w:tcPr>
            <w:tcW w:w="748" w:type="dxa"/>
            <w:tcBorders>
              <w:top w:val="nil"/>
              <w:left w:val="single" w:sz="4" w:space="0" w:color="auto"/>
              <w:bottom w:val="single" w:sz="4" w:space="0" w:color="auto"/>
              <w:right w:val="single" w:sz="4" w:space="0" w:color="auto"/>
            </w:tcBorders>
            <w:shd w:val="clear" w:color="auto" w:fill="auto"/>
            <w:vAlign w:val="center"/>
            <w:hideMark/>
          </w:tcPr>
          <w:p w14:paraId="1232F025" w14:textId="77777777" w:rsidR="008F7A9E" w:rsidRPr="008F7A9E" w:rsidRDefault="008F7A9E" w:rsidP="008F7A9E">
            <w:pPr>
              <w:rPr>
                <w:rFonts w:ascii="Arial Narrow" w:hAnsi="Arial Narrow" w:cs="Calibri"/>
                <w:b/>
                <w:bCs/>
                <w:sz w:val="16"/>
                <w:szCs w:val="16"/>
              </w:rPr>
            </w:pPr>
            <w:r w:rsidRPr="008F7A9E">
              <w:rPr>
                <w:rFonts w:ascii="Arial Narrow" w:hAnsi="Arial Narrow" w:cs="Calibri"/>
                <w:b/>
                <w:bCs/>
                <w:sz w:val="16"/>
                <w:szCs w:val="16"/>
              </w:rPr>
              <w:t>18</w:t>
            </w:r>
          </w:p>
        </w:tc>
        <w:tc>
          <w:tcPr>
            <w:tcW w:w="4419" w:type="dxa"/>
            <w:tcBorders>
              <w:top w:val="nil"/>
              <w:left w:val="nil"/>
              <w:bottom w:val="single" w:sz="4" w:space="0" w:color="auto"/>
              <w:right w:val="single" w:sz="4" w:space="0" w:color="auto"/>
            </w:tcBorders>
            <w:shd w:val="clear" w:color="auto" w:fill="auto"/>
            <w:vAlign w:val="center"/>
            <w:hideMark/>
          </w:tcPr>
          <w:p w14:paraId="4733731D" w14:textId="77777777" w:rsidR="008F7A9E" w:rsidRPr="008F7A9E" w:rsidRDefault="008F7A9E" w:rsidP="008F7A9E">
            <w:pPr>
              <w:rPr>
                <w:rFonts w:ascii="Arial Narrow" w:hAnsi="Arial Narrow" w:cs="Calibri"/>
                <w:b/>
                <w:bCs/>
                <w:sz w:val="16"/>
                <w:szCs w:val="16"/>
              </w:rPr>
            </w:pPr>
            <w:r w:rsidRPr="008F7A9E">
              <w:rPr>
                <w:rFonts w:ascii="Arial Narrow" w:hAnsi="Arial Narrow" w:cs="Calibri"/>
                <w:b/>
                <w:bCs/>
                <w:sz w:val="16"/>
                <w:szCs w:val="16"/>
              </w:rPr>
              <w:t>Продукция от отрасъл 'Селско стопанство' (16+17)</w:t>
            </w:r>
          </w:p>
        </w:tc>
        <w:tc>
          <w:tcPr>
            <w:tcW w:w="1185" w:type="dxa"/>
            <w:tcBorders>
              <w:top w:val="nil"/>
              <w:left w:val="nil"/>
              <w:bottom w:val="single" w:sz="4" w:space="0" w:color="auto"/>
              <w:right w:val="single" w:sz="4" w:space="0" w:color="auto"/>
            </w:tcBorders>
            <w:shd w:val="clear" w:color="auto" w:fill="auto"/>
            <w:vAlign w:val="center"/>
            <w:hideMark/>
          </w:tcPr>
          <w:p w14:paraId="1BD3F7CE" w14:textId="77777777" w:rsidR="008F7A9E" w:rsidRPr="008F7A9E" w:rsidRDefault="008F7A9E" w:rsidP="008F7A9E">
            <w:pPr>
              <w:jc w:val="right"/>
              <w:rPr>
                <w:rFonts w:ascii="Arial Narrow" w:hAnsi="Arial Narrow" w:cs="Calibri"/>
                <w:b/>
                <w:bCs/>
                <w:sz w:val="16"/>
                <w:szCs w:val="16"/>
              </w:rPr>
            </w:pPr>
            <w:r w:rsidRPr="008F7A9E">
              <w:rPr>
                <w:rFonts w:ascii="Arial Narrow" w:hAnsi="Arial Narrow" w:cs="Calibri"/>
                <w:b/>
                <w:bCs/>
                <w:sz w:val="16"/>
                <w:szCs w:val="16"/>
              </w:rPr>
              <w:t>12 901,9</w:t>
            </w:r>
          </w:p>
        </w:tc>
        <w:tc>
          <w:tcPr>
            <w:tcW w:w="1028" w:type="dxa"/>
            <w:tcBorders>
              <w:top w:val="nil"/>
              <w:left w:val="nil"/>
              <w:bottom w:val="single" w:sz="4" w:space="0" w:color="auto"/>
              <w:right w:val="single" w:sz="4" w:space="0" w:color="auto"/>
            </w:tcBorders>
            <w:shd w:val="clear" w:color="auto" w:fill="auto"/>
            <w:vAlign w:val="center"/>
            <w:hideMark/>
          </w:tcPr>
          <w:p w14:paraId="2DD64C44" w14:textId="77777777" w:rsidR="008F7A9E" w:rsidRPr="008F7A9E" w:rsidRDefault="008F7A9E" w:rsidP="008F7A9E">
            <w:pPr>
              <w:jc w:val="right"/>
              <w:rPr>
                <w:rFonts w:ascii="Arial Narrow" w:hAnsi="Arial Narrow" w:cs="Calibri"/>
                <w:b/>
                <w:bCs/>
                <w:sz w:val="16"/>
                <w:szCs w:val="16"/>
              </w:rPr>
            </w:pPr>
            <w:r w:rsidRPr="008F7A9E">
              <w:rPr>
                <w:rFonts w:ascii="Arial Narrow" w:hAnsi="Arial Narrow" w:cs="Calibri"/>
                <w:b/>
                <w:bCs/>
                <w:sz w:val="16"/>
                <w:szCs w:val="16"/>
              </w:rPr>
              <w:t>-18,2</w:t>
            </w:r>
          </w:p>
        </w:tc>
        <w:tc>
          <w:tcPr>
            <w:tcW w:w="1217" w:type="dxa"/>
            <w:tcBorders>
              <w:top w:val="nil"/>
              <w:left w:val="nil"/>
              <w:bottom w:val="single" w:sz="4" w:space="0" w:color="auto"/>
              <w:right w:val="single" w:sz="4" w:space="0" w:color="auto"/>
            </w:tcBorders>
            <w:shd w:val="clear" w:color="auto" w:fill="auto"/>
            <w:vAlign w:val="center"/>
            <w:hideMark/>
          </w:tcPr>
          <w:p w14:paraId="1138898C" w14:textId="77777777" w:rsidR="008F7A9E" w:rsidRPr="008F7A9E" w:rsidRDefault="008F7A9E" w:rsidP="008F7A9E">
            <w:pPr>
              <w:jc w:val="right"/>
              <w:rPr>
                <w:rFonts w:ascii="Arial Narrow" w:hAnsi="Arial Narrow" w:cs="Calibri"/>
                <w:b/>
                <w:bCs/>
                <w:sz w:val="16"/>
                <w:szCs w:val="16"/>
              </w:rPr>
            </w:pPr>
            <w:r w:rsidRPr="008F7A9E">
              <w:rPr>
                <w:rFonts w:ascii="Arial Narrow" w:hAnsi="Arial Narrow" w:cs="Calibri"/>
                <w:b/>
                <w:bCs/>
                <w:sz w:val="16"/>
                <w:szCs w:val="16"/>
              </w:rPr>
              <w:t>10 554,4</w:t>
            </w:r>
          </w:p>
        </w:tc>
        <w:tc>
          <w:tcPr>
            <w:tcW w:w="1075" w:type="dxa"/>
            <w:tcBorders>
              <w:top w:val="nil"/>
              <w:left w:val="nil"/>
              <w:bottom w:val="single" w:sz="4" w:space="0" w:color="auto"/>
              <w:right w:val="single" w:sz="4" w:space="0" w:color="auto"/>
            </w:tcBorders>
            <w:shd w:val="clear" w:color="auto" w:fill="auto"/>
            <w:vAlign w:val="center"/>
            <w:hideMark/>
          </w:tcPr>
          <w:p w14:paraId="41018638" w14:textId="77777777" w:rsidR="008F7A9E" w:rsidRPr="008F7A9E" w:rsidRDefault="008F7A9E" w:rsidP="008F7A9E">
            <w:pPr>
              <w:jc w:val="right"/>
              <w:rPr>
                <w:rFonts w:ascii="Arial Narrow" w:hAnsi="Arial Narrow" w:cs="Calibri"/>
                <w:b/>
                <w:bCs/>
                <w:sz w:val="16"/>
                <w:szCs w:val="16"/>
              </w:rPr>
            </w:pPr>
            <w:r w:rsidRPr="008F7A9E">
              <w:rPr>
                <w:rFonts w:ascii="Arial Narrow" w:hAnsi="Arial Narrow" w:cs="Calibri"/>
                <w:b/>
                <w:bCs/>
                <w:sz w:val="16"/>
                <w:szCs w:val="16"/>
              </w:rPr>
              <w:t>-8,0</w:t>
            </w:r>
          </w:p>
        </w:tc>
        <w:tc>
          <w:tcPr>
            <w:tcW w:w="1233" w:type="dxa"/>
            <w:tcBorders>
              <w:top w:val="nil"/>
              <w:left w:val="nil"/>
              <w:bottom w:val="single" w:sz="4" w:space="0" w:color="auto"/>
              <w:right w:val="single" w:sz="4" w:space="0" w:color="auto"/>
            </w:tcBorders>
            <w:shd w:val="clear" w:color="auto" w:fill="auto"/>
            <w:vAlign w:val="center"/>
            <w:hideMark/>
          </w:tcPr>
          <w:p w14:paraId="7286DB52" w14:textId="77777777" w:rsidR="008F7A9E" w:rsidRPr="008F7A9E" w:rsidRDefault="008F7A9E" w:rsidP="008F7A9E">
            <w:pPr>
              <w:jc w:val="right"/>
              <w:rPr>
                <w:rFonts w:ascii="Arial Narrow" w:hAnsi="Arial Narrow" w:cs="Calibri"/>
                <w:b/>
                <w:bCs/>
                <w:sz w:val="16"/>
                <w:szCs w:val="16"/>
              </w:rPr>
            </w:pPr>
            <w:r w:rsidRPr="008F7A9E">
              <w:rPr>
                <w:rFonts w:ascii="Arial Narrow" w:hAnsi="Arial Narrow" w:cs="Calibri"/>
                <w:b/>
                <w:bCs/>
                <w:sz w:val="16"/>
                <w:szCs w:val="16"/>
              </w:rPr>
              <w:t>9 707,5</w:t>
            </w:r>
          </w:p>
        </w:tc>
      </w:tr>
      <w:tr w:rsidR="008F7A9E" w:rsidRPr="00B10684" w14:paraId="44053CD2" w14:textId="77777777" w:rsidTr="005A18A5">
        <w:trPr>
          <w:trHeight w:val="365"/>
        </w:trPr>
        <w:tc>
          <w:tcPr>
            <w:tcW w:w="748" w:type="dxa"/>
            <w:tcBorders>
              <w:top w:val="nil"/>
              <w:left w:val="single" w:sz="4" w:space="0" w:color="auto"/>
              <w:bottom w:val="single" w:sz="4" w:space="0" w:color="auto"/>
              <w:right w:val="single" w:sz="4" w:space="0" w:color="auto"/>
            </w:tcBorders>
            <w:shd w:val="clear" w:color="auto" w:fill="auto"/>
            <w:vAlign w:val="center"/>
            <w:hideMark/>
          </w:tcPr>
          <w:p w14:paraId="14509F74" w14:textId="77777777" w:rsidR="008F7A9E" w:rsidRPr="008F7A9E" w:rsidRDefault="008F7A9E" w:rsidP="008F7A9E">
            <w:pPr>
              <w:rPr>
                <w:rFonts w:ascii="Arial Narrow" w:hAnsi="Arial Narrow" w:cs="Calibri"/>
                <w:b/>
                <w:bCs/>
                <w:sz w:val="16"/>
                <w:szCs w:val="16"/>
              </w:rPr>
            </w:pPr>
            <w:r w:rsidRPr="008F7A9E">
              <w:rPr>
                <w:rFonts w:ascii="Arial Narrow" w:hAnsi="Arial Narrow" w:cs="Calibri"/>
                <w:b/>
                <w:bCs/>
                <w:sz w:val="16"/>
                <w:szCs w:val="16"/>
              </w:rPr>
              <w:t>19</w:t>
            </w:r>
          </w:p>
        </w:tc>
        <w:tc>
          <w:tcPr>
            <w:tcW w:w="4419" w:type="dxa"/>
            <w:tcBorders>
              <w:top w:val="nil"/>
              <w:left w:val="nil"/>
              <w:bottom w:val="single" w:sz="4" w:space="0" w:color="auto"/>
              <w:right w:val="single" w:sz="4" w:space="0" w:color="auto"/>
            </w:tcBorders>
            <w:shd w:val="clear" w:color="auto" w:fill="auto"/>
            <w:vAlign w:val="center"/>
            <w:hideMark/>
          </w:tcPr>
          <w:p w14:paraId="7401F2C3" w14:textId="77777777" w:rsidR="008F7A9E" w:rsidRPr="008F7A9E" w:rsidRDefault="008F7A9E" w:rsidP="008F7A9E">
            <w:pPr>
              <w:rPr>
                <w:rFonts w:ascii="Arial Narrow" w:hAnsi="Arial Narrow" w:cs="Calibri"/>
                <w:b/>
                <w:bCs/>
                <w:sz w:val="16"/>
                <w:szCs w:val="16"/>
              </w:rPr>
            </w:pPr>
            <w:r w:rsidRPr="008F7A9E">
              <w:rPr>
                <w:rFonts w:ascii="Arial Narrow" w:hAnsi="Arial Narrow" w:cs="Calibri"/>
                <w:b/>
                <w:bCs/>
                <w:sz w:val="16"/>
                <w:szCs w:val="16"/>
              </w:rPr>
              <w:t xml:space="preserve">Междинно потребление </w:t>
            </w:r>
          </w:p>
        </w:tc>
        <w:tc>
          <w:tcPr>
            <w:tcW w:w="1185" w:type="dxa"/>
            <w:tcBorders>
              <w:top w:val="nil"/>
              <w:left w:val="nil"/>
              <w:bottom w:val="single" w:sz="4" w:space="0" w:color="auto"/>
              <w:right w:val="single" w:sz="4" w:space="0" w:color="auto"/>
            </w:tcBorders>
            <w:shd w:val="clear" w:color="auto" w:fill="auto"/>
            <w:vAlign w:val="center"/>
            <w:hideMark/>
          </w:tcPr>
          <w:p w14:paraId="09CB29F0" w14:textId="77777777" w:rsidR="008F7A9E" w:rsidRPr="008F7A9E" w:rsidRDefault="008F7A9E" w:rsidP="008F7A9E">
            <w:pPr>
              <w:jc w:val="right"/>
              <w:rPr>
                <w:rFonts w:ascii="Arial Narrow" w:hAnsi="Arial Narrow" w:cs="Calibri"/>
                <w:b/>
                <w:bCs/>
                <w:sz w:val="16"/>
                <w:szCs w:val="16"/>
              </w:rPr>
            </w:pPr>
            <w:r w:rsidRPr="008F7A9E">
              <w:rPr>
                <w:rFonts w:ascii="Arial Narrow" w:hAnsi="Arial Narrow" w:cs="Calibri"/>
                <w:b/>
                <w:bCs/>
                <w:sz w:val="16"/>
                <w:szCs w:val="16"/>
              </w:rPr>
              <w:t>6 988,7</w:t>
            </w:r>
          </w:p>
        </w:tc>
        <w:tc>
          <w:tcPr>
            <w:tcW w:w="1028" w:type="dxa"/>
            <w:tcBorders>
              <w:top w:val="nil"/>
              <w:left w:val="nil"/>
              <w:bottom w:val="single" w:sz="4" w:space="0" w:color="auto"/>
              <w:right w:val="single" w:sz="4" w:space="0" w:color="auto"/>
            </w:tcBorders>
            <w:shd w:val="clear" w:color="auto" w:fill="auto"/>
            <w:vAlign w:val="center"/>
            <w:hideMark/>
          </w:tcPr>
          <w:p w14:paraId="5214A2D8" w14:textId="77777777" w:rsidR="008F7A9E" w:rsidRPr="008F7A9E" w:rsidRDefault="008F7A9E" w:rsidP="008F7A9E">
            <w:pPr>
              <w:jc w:val="right"/>
              <w:rPr>
                <w:rFonts w:ascii="Arial Narrow" w:hAnsi="Arial Narrow" w:cs="Calibri"/>
                <w:b/>
                <w:bCs/>
                <w:sz w:val="16"/>
                <w:szCs w:val="16"/>
              </w:rPr>
            </w:pPr>
            <w:r w:rsidRPr="008F7A9E">
              <w:rPr>
                <w:rFonts w:ascii="Arial Narrow" w:hAnsi="Arial Narrow" w:cs="Calibri"/>
                <w:b/>
                <w:bCs/>
                <w:sz w:val="16"/>
                <w:szCs w:val="16"/>
              </w:rPr>
              <w:t>-9,3</w:t>
            </w:r>
          </w:p>
        </w:tc>
        <w:tc>
          <w:tcPr>
            <w:tcW w:w="1217" w:type="dxa"/>
            <w:tcBorders>
              <w:top w:val="nil"/>
              <w:left w:val="nil"/>
              <w:bottom w:val="single" w:sz="4" w:space="0" w:color="auto"/>
              <w:right w:val="single" w:sz="4" w:space="0" w:color="auto"/>
            </w:tcBorders>
            <w:shd w:val="clear" w:color="auto" w:fill="auto"/>
            <w:vAlign w:val="center"/>
            <w:hideMark/>
          </w:tcPr>
          <w:p w14:paraId="7CB81D52" w14:textId="77777777" w:rsidR="008F7A9E" w:rsidRPr="008F7A9E" w:rsidRDefault="008F7A9E" w:rsidP="008F7A9E">
            <w:pPr>
              <w:jc w:val="right"/>
              <w:rPr>
                <w:rFonts w:ascii="Arial Narrow" w:hAnsi="Arial Narrow" w:cs="Calibri"/>
                <w:b/>
                <w:bCs/>
                <w:sz w:val="16"/>
                <w:szCs w:val="16"/>
              </w:rPr>
            </w:pPr>
            <w:r w:rsidRPr="008F7A9E">
              <w:rPr>
                <w:rFonts w:ascii="Arial Narrow" w:hAnsi="Arial Narrow" w:cs="Calibri"/>
                <w:b/>
                <w:bCs/>
                <w:sz w:val="16"/>
                <w:szCs w:val="16"/>
              </w:rPr>
              <w:t>6 337,4</w:t>
            </w:r>
          </w:p>
        </w:tc>
        <w:tc>
          <w:tcPr>
            <w:tcW w:w="1075" w:type="dxa"/>
            <w:tcBorders>
              <w:top w:val="nil"/>
              <w:left w:val="nil"/>
              <w:bottom w:val="single" w:sz="4" w:space="0" w:color="auto"/>
              <w:right w:val="single" w:sz="4" w:space="0" w:color="auto"/>
            </w:tcBorders>
            <w:shd w:val="clear" w:color="auto" w:fill="auto"/>
            <w:vAlign w:val="center"/>
            <w:hideMark/>
          </w:tcPr>
          <w:p w14:paraId="3E49BF5C" w14:textId="77777777" w:rsidR="008F7A9E" w:rsidRPr="008F7A9E" w:rsidRDefault="008F7A9E" w:rsidP="008F7A9E">
            <w:pPr>
              <w:jc w:val="right"/>
              <w:rPr>
                <w:rFonts w:ascii="Arial Narrow" w:hAnsi="Arial Narrow" w:cs="Calibri"/>
                <w:b/>
                <w:bCs/>
                <w:sz w:val="16"/>
                <w:szCs w:val="16"/>
              </w:rPr>
            </w:pPr>
            <w:r w:rsidRPr="008F7A9E">
              <w:rPr>
                <w:rFonts w:ascii="Arial Narrow" w:hAnsi="Arial Narrow" w:cs="Calibri"/>
                <w:b/>
                <w:bCs/>
                <w:sz w:val="16"/>
                <w:szCs w:val="16"/>
              </w:rPr>
              <w:t>-10,0</w:t>
            </w:r>
          </w:p>
        </w:tc>
        <w:tc>
          <w:tcPr>
            <w:tcW w:w="1233" w:type="dxa"/>
            <w:tcBorders>
              <w:top w:val="nil"/>
              <w:left w:val="nil"/>
              <w:bottom w:val="single" w:sz="4" w:space="0" w:color="auto"/>
              <w:right w:val="single" w:sz="4" w:space="0" w:color="auto"/>
            </w:tcBorders>
            <w:shd w:val="clear" w:color="auto" w:fill="auto"/>
            <w:vAlign w:val="center"/>
            <w:hideMark/>
          </w:tcPr>
          <w:p w14:paraId="2E3F0DE8" w14:textId="77777777" w:rsidR="008F7A9E" w:rsidRPr="008F7A9E" w:rsidRDefault="008F7A9E" w:rsidP="008F7A9E">
            <w:pPr>
              <w:jc w:val="right"/>
              <w:rPr>
                <w:rFonts w:ascii="Arial Narrow" w:hAnsi="Arial Narrow" w:cs="Calibri"/>
                <w:b/>
                <w:bCs/>
                <w:sz w:val="16"/>
                <w:szCs w:val="16"/>
              </w:rPr>
            </w:pPr>
            <w:r w:rsidRPr="008F7A9E">
              <w:rPr>
                <w:rFonts w:ascii="Arial Narrow" w:hAnsi="Arial Narrow" w:cs="Calibri"/>
                <w:b/>
                <w:bCs/>
                <w:sz w:val="16"/>
                <w:szCs w:val="16"/>
              </w:rPr>
              <w:t>5 700,8</w:t>
            </w:r>
          </w:p>
        </w:tc>
      </w:tr>
      <w:tr w:rsidR="008F7A9E" w:rsidRPr="00B10684" w14:paraId="5A50A3E2" w14:textId="77777777" w:rsidTr="005A18A5">
        <w:trPr>
          <w:trHeight w:val="251"/>
        </w:trPr>
        <w:tc>
          <w:tcPr>
            <w:tcW w:w="748" w:type="dxa"/>
            <w:tcBorders>
              <w:top w:val="nil"/>
              <w:left w:val="single" w:sz="4" w:space="0" w:color="auto"/>
              <w:bottom w:val="single" w:sz="4" w:space="0" w:color="auto"/>
              <w:right w:val="single" w:sz="4" w:space="0" w:color="auto"/>
            </w:tcBorders>
            <w:shd w:val="clear" w:color="auto" w:fill="auto"/>
            <w:vAlign w:val="center"/>
            <w:hideMark/>
          </w:tcPr>
          <w:p w14:paraId="17FB1F54" w14:textId="77777777" w:rsidR="008F7A9E" w:rsidRPr="008F7A9E" w:rsidRDefault="008F7A9E" w:rsidP="008F7A9E">
            <w:pPr>
              <w:rPr>
                <w:rFonts w:ascii="Arial Narrow" w:hAnsi="Arial Narrow" w:cs="Calibri"/>
                <w:sz w:val="16"/>
                <w:szCs w:val="16"/>
              </w:rPr>
            </w:pPr>
            <w:r w:rsidRPr="008F7A9E">
              <w:rPr>
                <w:rFonts w:ascii="Arial Narrow" w:hAnsi="Arial Narrow" w:cs="Calibri"/>
                <w:sz w:val="16"/>
                <w:szCs w:val="16"/>
              </w:rPr>
              <w:t>19.01</w:t>
            </w:r>
          </w:p>
        </w:tc>
        <w:tc>
          <w:tcPr>
            <w:tcW w:w="4419" w:type="dxa"/>
            <w:tcBorders>
              <w:top w:val="nil"/>
              <w:left w:val="nil"/>
              <w:bottom w:val="single" w:sz="4" w:space="0" w:color="auto"/>
              <w:right w:val="single" w:sz="4" w:space="0" w:color="auto"/>
            </w:tcBorders>
            <w:shd w:val="clear" w:color="auto" w:fill="auto"/>
            <w:vAlign w:val="center"/>
            <w:hideMark/>
          </w:tcPr>
          <w:p w14:paraId="17EDA798" w14:textId="77777777" w:rsidR="008F7A9E" w:rsidRPr="008F7A9E" w:rsidRDefault="008F7A9E" w:rsidP="008F7A9E">
            <w:pPr>
              <w:ind w:firstLineChars="100" w:firstLine="160"/>
              <w:rPr>
                <w:rFonts w:ascii="Arial Narrow" w:hAnsi="Arial Narrow" w:cs="Calibri"/>
                <w:sz w:val="16"/>
                <w:szCs w:val="16"/>
              </w:rPr>
            </w:pPr>
            <w:r w:rsidRPr="008F7A9E">
              <w:rPr>
                <w:rFonts w:ascii="Arial Narrow" w:hAnsi="Arial Narrow" w:cs="Calibri"/>
                <w:sz w:val="16"/>
                <w:szCs w:val="16"/>
              </w:rPr>
              <w:t>Семена и посадъчен материал</w:t>
            </w:r>
          </w:p>
        </w:tc>
        <w:tc>
          <w:tcPr>
            <w:tcW w:w="1185" w:type="dxa"/>
            <w:tcBorders>
              <w:top w:val="nil"/>
              <w:left w:val="nil"/>
              <w:bottom w:val="single" w:sz="4" w:space="0" w:color="auto"/>
              <w:right w:val="single" w:sz="4" w:space="0" w:color="auto"/>
            </w:tcBorders>
            <w:shd w:val="clear" w:color="auto" w:fill="auto"/>
            <w:vAlign w:val="center"/>
            <w:hideMark/>
          </w:tcPr>
          <w:p w14:paraId="1343300A" w14:textId="77777777" w:rsidR="008F7A9E" w:rsidRPr="008F7A9E" w:rsidRDefault="008F7A9E" w:rsidP="008F7A9E">
            <w:pPr>
              <w:jc w:val="right"/>
              <w:rPr>
                <w:rFonts w:ascii="Arial Narrow" w:hAnsi="Arial Narrow" w:cs="Calibri"/>
                <w:sz w:val="16"/>
                <w:szCs w:val="16"/>
              </w:rPr>
            </w:pPr>
            <w:r w:rsidRPr="008F7A9E">
              <w:rPr>
                <w:rFonts w:ascii="Arial Narrow" w:hAnsi="Arial Narrow" w:cs="Calibri"/>
                <w:sz w:val="16"/>
                <w:szCs w:val="16"/>
              </w:rPr>
              <w:t>325,8</w:t>
            </w:r>
          </w:p>
        </w:tc>
        <w:tc>
          <w:tcPr>
            <w:tcW w:w="1028" w:type="dxa"/>
            <w:tcBorders>
              <w:top w:val="nil"/>
              <w:left w:val="nil"/>
              <w:bottom w:val="single" w:sz="4" w:space="0" w:color="auto"/>
              <w:right w:val="single" w:sz="4" w:space="0" w:color="auto"/>
            </w:tcBorders>
            <w:shd w:val="clear" w:color="auto" w:fill="auto"/>
            <w:vAlign w:val="center"/>
            <w:hideMark/>
          </w:tcPr>
          <w:p w14:paraId="13969D7E" w14:textId="77777777" w:rsidR="008F7A9E" w:rsidRPr="008F7A9E" w:rsidRDefault="008F7A9E" w:rsidP="008F7A9E">
            <w:pPr>
              <w:jc w:val="right"/>
              <w:rPr>
                <w:rFonts w:ascii="Arial Narrow" w:hAnsi="Arial Narrow" w:cs="Calibri"/>
                <w:sz w:val="16"/>
                <w:szCs w:val="16"/>
              </w:rPr>
            </w:pPr>
            <w:r w:rsidRPr="008F7A9E">
              <w:rPr>
                <w:rFonts w:ascii="Arial Narrow" w:hAnsi="Arial Narrow" w:cs="Calibri"/>
                <w:sz w:val="16"/>
                <w:szCs w:val="16"/>
              </w:rPr>
              <w:t>16,9</w:t>
            </w:r>
          </w:p>
        </w:tc>
        <w:tc>
          <w:tcPr>
            <w:tcW w:w="1217" w:type="dxa"/>
            <w:tcBorders>
              <w:top w:val="nil"/>
              <w:left w:val="nil"/>
              <w:bottom w:val="single" w:sz="4" w:space="0" w:color="auto"/>
              <w:right w:val="single" w:sz="4" w:space="0" w:color="auto"/>
            </w:tcBorders>
            <w:shd w:val="clear" w:color="auto" w:fill="auto"/>
            <w:vAlign w:val="center"/>
            <w:hideMark/>
          </w:tcPr>
          <w:p w14:paraId="1424A48C" w14:textId="77777777" w:rsidR="008F7A9E" w:rsidRPr="008F7A9E" w:rsidRDefault="008F7A9E" w:rsidP="008F7A9E">
            <w:pPr>
              <w:jc w:val="right"/>
              <w:rPr>
                <w:rFonts w:ascii="Arial Narrow" w:hAnsi="Arial Narrow" w:cs="Calibri"/>
                <w:sz w:val="16"/>
                <w:szCs w:val="16"/>
              </w:rPr>
            </w:pPr>
            <w:r w:rsidRPr="008F7A9E">
              <w:rPr>
                <w:rFonts w:ascii="Arial Narrow" w:hAnsi="Arial Narrow" w:cs="Calibri"/>
                <w:sz w:val="16"/>
                <w:szCs w:val="16"/>
              </w:rPr>
              <w:t>380,9</w:t>
            </w:r>
          </w:p>
        </w:tc>
        <w:tc>
          <w:tcPr>
            <w:tcW w:w="1075" w:type="dxa"/>
            <w:tcBorders>
              <w:top w:val="nil"/>
              <w:left w:val="nil"/>
              <w:bottom w:val="single" w:sz="4" w:space="0" w:color="auto"/>
              <w:right w:val="single" w:sz="4" w:space="0" w:color="auto"/>
            </w:tcBorders>
            <w:shd w:val="clear" w:color="auto" w:fill="auto"/>
            <w:vAlign w:val="center"/>
            <w:hideMark/>
          </w:tcPr>
          <w:p w14:paraId="5CC9440F" w14:textId="77777777" w:rsidR="008F7A9E" w:rsidRPr="008F7A9E" w:rsidRDefault="008F7A9E" w:rsidP="008F7A9E">
            <w:pPr>
              <w:jc w:val="right"/>
              <w:rPr>
                <w:rFonts w:ascii="Arial Narrow" w:hAnsi="Arial Narrow" w:cs="Calibri"/>
                <w:sz w:val="16"/>
                <w:szCs w:val="16"/>
              </w:rPr>
            </w:pPr>
            <w:r w:rsidRPr="008F7A9E">
              <w:rPr>
                <w:rFonts w:ascii="Arial Narrow" w:hAnsi="Arial Narrow" w:cs="Calibri"/>
                <w:sz w:val="16"/>
                <w:szCs w:val="16"/>
              </w:rPr>
              <w:t>3,6</w:t>
            </w:r>
          </w:p>
        </w:tc>
        <w:tc>
          <w:tcPr>
            <w:tcW w:w="1233" w:type="dxa"/>
            <w:tcBorders>
              <w:top w:val="nil"/>
              <w:left w:val="nil"/>
              <w:bottom w:val="single" w:sz="4" w:space="0" w:color="auto"/>
              <w:right w:val="single" w:sz="4" w:space="0" w:color="auto"/>
            </w:tcBorders>
            <w:shd w:val="clear" w:color="auto" w:fill="auto"/>
            <w:vAlign w:val="center"/>
            <w:hideMark/>
          </w:tcPr>
          <w:p w14:paraId="3044CBF1" w14:textId="77777777" w:rsidR="008F7A9E" w:rsidRPr="008F7A9E" w:rsidRDefault="008F7A9E" w:rsidP="008F7A9E">
            <w:pPr>
              <w:jc w:val="right"/>
              <w:rPr>
                <w:rFonts w:ascii="Arial Narrow" w:hAnsi="Arial Narrow" w:cs="Calibri"/>
                <w:sz w:val="16"/>
                <w:szCs w:val="16"/>
              </w:rPr>
            </w:pPr>
            <w:r w:rsidRPr="008F7A9E">
              <w:rPr>
                <w:rFonts w:ascii="Arial Narrow" w:hAnsi="Arial Narrow" w:cs="Calibri"/>
                <w:sz w:val="16"/>
                <w:szCs w:val="16"/>
              </w:rPr>
              <w:t>394,8</w:t>
            </w:r>
          </w:p>
        </w:tc>
      </w:tr>
      <w:tr w:rsidR="008F7A9E" w:rsidRPr="00B10684" w14:paraId="61C148D2" w14:textId="77777777" w:rsidTr="005A18A5">
        <w:trPr>
          <w:trHeight w:val="291"/>
        </w:trPr>
        <w:tc>
          <w:tcPr>
            <w:tcW w:w="748" w:type="dxa"/>
            <w:tcBorders>
              <w:top w:val="nil"/>
              <w:left w:val="single" w:sz="4" w:space="0" w:color="auto"/>
              <w:bottom w:val="single" w:sz="4" w:space="0" w:color="auto"/>
              <w:right w:val="single" w:sz="4" w:space="0" w:color="auto"/>
            </w:tcBorders>
            <w:shd w:val="clear" w:color="auto" w:fill="auto"/>
            <w:vAlign w:val="center"/>
            <w:hideMark/>
          </w:tcPr>
          <w:p w14:paraId="62ABEBF1" w14:textId="77777777" w:rsidR="008F7A9E" w:rsidRPr="008F7A9E" w:rsidRDefault="008F7A9E" w:rsidP="008F7A9E">
            <w:pPr>
              <w:rPr>
                <w:rFonts w:ascii="Arial Narrow" w:hAnsi="Arial Narrow" w:cs="Calibri"/>
                <w:sz w:val="16"/>
                <w:szCs w:val="16"/>
              </w:rPr>
            </w:pPr>
            <w:r w:rsidRPr="008F7A9E">
              <w:rPr>
                <w:rFonts w:ascii="Arial Narrow" w:hAnsi="Arial Narrow" w:cs="Calibri"/>
                <w:sz w:val="16"/>
                <w:szCs w:val="16"/>
              </w:rPr>
              <w:t>19.01/1</w:t>
            </w:r>
          </w:p>
        </w:tc>
        <w:tc>
          <w:tcPr>
            <w:tcW w:w="4419" w:type="dxa"/>
            <w:tcBorders>
              <w:top w:val="nil"/>
              <w:left w:val="nil"/>
              <w:bottom w:val="single" w:sz="4" w:space="0" w:color="auto"/>
              <w:right w:val="single" w:sz="4" w:space="0" w:color="auto"/>
            </w:tcBorders>
            <w:shd w:val="clear" w:color="auto" w:fill="auto"/>
            <w:vAlign w:val="center"/>
            <w:hideMark/>
          </w:tcPr>
          <w:p w14:paraId="78876A64" w14:textId="77777777" w:rsidR="008F7A9E" w:rsidRPr="008F7A9E" w:rsidRDefault="008F7A9E" w:rsidP="008F7A9E">
            <w:pPr>
              <w:ind w:firstLineChars="300" w:firstLine="480"/>
              <w:rPr>
                <w:rFonts w:ascii="Arial Narrow" w:hAnsi="Arial Narrow" w:cs="Calibri"/>
                <w:sz w:val="16"/>
                <w:szCs w:val="16"/>
              </w:rPr>
            </w:pPr>
            <w:r w:rsidRPr="008F7A9E">
              <w:rPr>
                <w:rFonts w:ascii="Arial Narrow" w:hAnsi="Arial Narrow" w:cs="Calibri"/>
                <w:sz w:val="16"/>
                <w:szCs w:val="16"/>
              </w:rPr>
              <w:t>доставено от други селскостопански предприятия</w:t>
            </w:r>
          </w:p>
        </w:tc>
        <w:tc>
          <w:tcPr>
            <w:tcW w:w="1185" w:type="dxa"/>
            <w:tcBorders>
              <w:top w:val="nil"/>
              <w:left w:val="nil"/>
              <w:bottom w:val="single" w:sz="4" w:space="0" w:color="auto"/>
              <w:right w:val="single" w:sz="4" w:space="0" w:color="auto"/>
            </w:tcBorders>
            <w:shd w:val="clear" w:color="auto" w:fill="auto"/>
            <w:vAlign w:val="center"/>
            <w:hideMark/>
          </w:tcPr>
          <w:p w14:paraId="7E098977" w14:textId="77777777" w:rsidR="008F7A9E" w:rsidRPr="008F7A9E" w:rsidRDefault="008F7A9E" w:rsidP="008F7A9E">
            <w:pPr>
              <w:jc w:val="right"/>
              <w:rPr>
                <w:rFonts w:ascii="Arial Narrow" w:hAnsi="Arial Narrow" w:cs="Calibri"/>
                <w:sz w:val="16"/>
                <w:szCs w:val="16"/>
              </w:rPr>
            </w:pPr>
            <w:r w:rsidRPr="008F7A9E">
              <w:rPr>
                <w:rFonts w:ascii="Arial Narrow" w:hAnsi="Arial Narrow" w:cs="Calibri"/>
                <w:sz w:val="16"/>
                <w:szCs w:val="16"/>
              </w:rPr>
              <w:t>49,0</w:t>
            </w:r>
          </w:p>
        </w:tc>
        <w:tc>
          <w:tcPr>
            <w:tcW w:w="1028" w:type="dxa"/>
            <w:tcBorders>
              <w:top w:val="nil"/>
              <w:left w:val="nil"/>
              <w:bottom w:val="single" w:sz="4" w:space="0" w:color="auto"/>
              <w:right w:val="single" w:sz="4" w:space="0" w:color="auto"/>
            </w:tcBorders>
            <w:shd w:val="clear" w:color="auto" w:fill="auto"/>
            <w:vAlign w:val="center"/>
            <w:hideMark/>
          </w:tcPr>
          <w:p w14:paraId="4EEBA645" w14:textId="77777777" w:rsidR="008F7A9E" w:rsidRPr="008F7A9E" w:rsidRDefault="008F7A9E" w:rsidP="008F7A9E">
            <w:pPr>
              <w:jc w:val="right"/>
              <w:rPr>
                <w:rFonts w:ascii="Arial Narrow" w:hAnsi="Arial Narrow" w:cs="Calibri"/>
                <w:sz w:val="16"/>
                <w:szCs w:val="16"/>
              </w:rPr>
            </w:pPr>
            <w:r w:rsidRPr="008F7A9E">
              <w:rPr>
                <w:rFonts w:ascii="Arial Narrow" w:hAnsi="Arial Narrow" w:cs="Calibri"/>
                <w:sz w:val="16"/>
                <w:szCs w:val="16"/>
              </w:rPr>
              <w:t>39,2</w:t>
            </w:r>
          </w:p>
        </w:tc>
        <w:tc>
          <w:tcPr>
            <w:tcW w:w="1217" w:type="dxa"/>
            <w:tcBorders>
              <w:top w:val="nil"/>
              <w:left w:val="nil"/>
              <w:bottom w:val="single" w:sz="4" w:space="0" w:color="auto"/>
              <w:right w:val="single" w:sz="4" w:space="0" w:color="auto"/>
            </w:tcBorders>
            <w:shd w:val="clear" w:color="auto" w:fill="auto"/>
            <w:vAlign w:val="center"/>
            <w:hideMark/>
          </w:tcPr>
          <w:p w14:paraId="415691A3" w14:textId="77777777" w:rsidR="008F7A9E" w:rsidRPr="008F7A9E" w:rsidRDefault="008F7A9E" w:rsidP="008F7A9E">
            <w:pPr>
              <w:jc w:val="right"/>
              <w:rPr>
                <w:rFonts w:ascii="Arial Narrow" w:hAnsi="Arial Narrow" w:cs="Calibri"/>
                <w:sz w:val="16"/>
                <w:szCs w:val="16"/>
              </w:rPr>
            </w:pPr>
            <w:r w:rsidRPr="008F7A9E">
              <w:rPr>
                <w:rFonts w:ascii="Arial Narrow" w:hAnsi="Arial Narrow" w:cs="Calibri"/>
                <w:sz w:val="16"/>
                <w:szCs w:val="16"/>
              </w:rPr>
              <w:t>68,2</w:t>
            </w:r>
          </w:p>
        </w:tc>
        <w:tc>
          <w:tcPr>
            <w:tcW w:w="1075" w:type="dxa"/>
            <w:tcBorders>
              <w:top w:val="nil"/>
              <w:left w:val="nil"/>
              <w:bottom w:val="single" w:sz="4" w:space="0" w:color="auto"/>
              <w:right w:val="single" w:sz="4" w:space="0" w:color="auto"/>
            </w:tcBorders>
            <w:shd w:val="clear" w:color="auto" w:fill="auto"/>
            <w:vAlign w:val="center"/>
            <w:hideMark/>
          </w:tcPr>
          <w:p w14:paraId="311DFB9F" w14:textId="77777777" w:rsidR="008F7A9E" w:rsidRPr="008F7A9E" w:rsidRDefault="008F7A9E" w:rsidP="008F7A9E">
            <w:pPr>
              <w:jc w:val="right"/>
              <w:rPr>
                <w:rFonts w:ascii="Arial Narrow" w:hAnsi="Arial Narrow" w:cs="Calibri"/>
                <w:sz w:val="16"/>
                <w:szCs w:val="16"/>
              </w:rPr>
            </w:pPr>
            <w:r w:rsidRPr="008F7A9E">
              <w:rPr>
                <w:rFonts w:ascii="Arial Narrow" w:hAnsi="Arial Narrow" w:cs="Calibri"/>
                <w:sz w:val="16"/>
                <w:szCs w:val="16"/>
              </w:rPr>
              <w:t>5,0</w:t>
            </w:r>
          </w:p>
        </w:tc>
        <w:tc>
          <w:tcPr>
            <w:tcW w:w="1233" w:type="dxa"/>
            <w:tcBorders>
              <w:top w:val="nil"/>
              <w:left w:val="nil"/>
              <w:bottom w:val="single" w:sz="4" w:space="0" w:color="auto"/>
              <w:right w:val="single" w:sz="4" w:space="0" w:color="auto"/>
            </w:tcBorders>
            <w:shd w:val="clear" w:color="auto" w:fill="auto"/>
            <w:vAlign w:val="center"/>
            <w:hideMark/>
          </w:tcPr>
          <w:p w14:paraId="664AE1B2" w14:textId="77777777" w:rsidR="008F7A9E" w:rsidRPr="008F7A9E" w:rsidRDefault="008F7A9E" w:rsidP="008F7A9E">
            <w:pPr>
              <w:jc w:val="right"/>
              <w:rPr>
                <w:rFonts w:ascii="Arial Narrow" w:hAnsi="Arial Narrow" w:cs="Calibri"/>
                <w:sz w:val="16"/>
                <w:szCs w:val="16"/>
              </w:rPr>
            </w:pPr>
            <w:r w:rsidRPr="008F7A9E">
              <w:rPr>
                <w:rFonts w:ascii="Arial Narrow" w:hAnsi="Arial Narrow" w:cs="Calibri"/>
                <w:sz w:val="16"/>
                <w:szCs w:val="16"/>
              </w:rPr>
              <w:t>71,6</w:t>
            </w:r>
          </w:p>
        </w:tc>
      </w:tr>
      <w:tr w:rsidR="008F7A9E" w:rsidRPr="00B10684" w14:paraId="5227E334" w14:textId="77777777" w:rsidTr="005A18A5">
        <w:trPr>
          <w:trHeight w:val="251"/>
        </w:trPr>
        <w:tc>
          <w:tcPr>
            <w:tcW w:w="748" w:type="dxa"/>
            <w:tcBorders>
              <w:top w:val="nil"/>
              <w:left w:val="single" w:sz="4" w:space="0" w:color="auto"/>
              <w:bottom w:val="single" w:sz="4" w:space="0" w:color="auto"/>
              <w:right w:val="single" w:sz="4" w:space="0" w:color="auto"/>
            </w:tcBorders>
            <w:shd w:val="clear" w:color="auto" w:fill="auto"/>
            <w:vAlign w:val="center"/>
            <w:hideMark/>
          </w:tcPr>
          <w:p w14:paraId="4F13945A" w14:textId="77777777" w:rsidR="008F7A9E" w:rsidRPr="008F7A9E" w:rsidRDefault="008F7A9E" w:rsidP="008F7A9E">
            <w:pPr>
              <w:rPr>
                <w:rFonts w:ascii="Arial Narrow" w:hAnsi="Arial Narrow" w:cs="Calibri"/>
                <w:sz w:val="16"/>
                <w:szCs w:val="16"/>
              </w:rPr>
            </w:pPr>
            <w:r w:rsidRPr="008F7A9E">
              <w:rPr>
                <w:rFonts w:ascii="Arial Narrow" w:hAnsi="Arial Narrow" w:cs="Calibri"/>
                <w:sz w:val="16"/>
                <w:szCs w:val="16"/>
              </w:rPr>
              <w:t>19.01/2</w:t>
            </w:r>
          </w:p>
        </w:tc>
        <w:tc>
          <w:tcPr>
            <w:tcW w:w="4419" w:type="dxa"/>
            <w:tcBorders>
              <w:top w:val="nil"/>
              <w:left w:val="nil"/>
              <w:bottom w:val="single" w:sz="4" w:space="0" w:color="auto"/>
              <w:right w:val="single" w:sz="4" w:space="0" w:color="auto"/>
            </w:tcBorders>
            <w:shd w:val="clear" w:color="auto" w:fill="auto"/>
            <w:vAlign w:val="center"/>
            <w:hideMark/>
          </w:tcPr>
          <w:p w14:paraId="3D2F2866" w14:textId="77777777" w:rsidR="008F7A9E" w:rsidRPr="008F7A9E" w:rsidRDefault="008F7A9E" w:rsidP="008F7A9E">
            <w:pPr>
              <w:ind w:firstLineChars="300" w:firstLine="480"/>
              <w:rPr>
                <w:rFonts w:ascii="Arial Narrow" w:hAnsi="Arial Narrow" w:cs="Calibri"/>
                <w:sz w:val="16"/>
                <w:szCs w:val="16"/>
              </w:rPr>
            </w:pPr>
            <w:r w:rsidRPr="008F7A9E">
              <w:rPr>
                <w:rFonts w:ascii="Arial Narrow" w:hAnsi="Arial Narrow" w:cs="Calibri"/>
                <w:sz w:val="16"/>
                <w:szCs w:val="16"/>
              </w:rPr>
              <w:t>закупено извън сектора</w:t>
            </w:r>
          </w:p>
        </w:tc>
        <w:tc>
          <w:tcPr>
            <w:tcW w:w="1185" w:type="dxa"/>
            <w:tcBorders>
              <w:top w:val="nil"/>
              <w:left w:val="nil"/>
              <w:bottom w:val="single" w:sz="4" w:space="0" w:color="auto"/>
              <w:right w:val="single" w:sz="4" w:space="0" w:color="auto"/>
            </w:tcBorders>
            <w:shd w:val="clear" w:color="auto" w:fill="auto"/>
            <w:vAlign w:val="center"/>
            <w:hideMark/>
          </w:tcPr>
          <w:p w14:paraId="552D9384" w14:textId="77777777" w:rsidR="008F7A9E" w:rsidRPr="008F7A9E" w:rsidRDefault="008F7A9E" w:rsidP="008F7A9E">
            <w:pPr>
              <w:jc w:val="right"/>
              <w:rPr>
                <w:rFonts w:ascii="Arial Narrow" w:hAnsi="Arial Narrow" w:cs="Calibri"/>
                <w:sz w:val="16"/>
                <w:szCs w:val="16"/>
              </w:rPr>
            </w:pPr>
            <w:r w:rsidRPr="008F7A9E">
              <w:rPr>
                <w:rFonts w:ascii="Arial Narrow" w:hAnsi="Arial Narrow" w:cs="Calibri"/>
                <w:sz w:val="16"/>
                <w:szCs w:val="16"/>
              </w:rPr>
              <w:t>276,8</w:t>
            </w:r>
          </w:p>
        </w:tc>
        <w:tc>
          <w:tcPr>
            <w:tcW w:w="1028" w:type="dxa"/>
            <w:tcBorders>
              <w:top w:val="nil"/>
              <w:left w:val="nil"/>
              <w:bottom w:val="single" w:sz="4" w:space="0" w:color="auto"/>
              <w:right w:val="single" w:sz="4" w:space="0" w:color="auto"/>
            </w:tcBorders>
            <w:shd w:val="clear" w:color="auto" w:fill="auto"/>
            <w:vAlign w:val="center"/>
            <w:hideMark/>
          </w:tcPr>
          <w:p w14:paraId="50810D36" w14:textId="77777777" w:rsidR="008F7A9E" w:rsidRPr="008F7A9E" w:rsidRDefault="008F7A9E" w:rsidP="008F7A9E">
            <w:pPr>
              <w:jc w:val="right"/>
              <w:rPr>
                <w:rFonts w:ascii="Arial Narrow" w:hAnsi="Arial Narrow" w:cs="Calibri"/>
                <w:sz w:val="16"/>
                <w:szCs w:val="16"/>
              </w:rPr>
            </w:pPr>
            <w:r w:rsidRPr="008F7A9E">
              <w:rPr>
                <w:rFonts w:ascii="Arial Narrow" w:hAnsi="Arial Narrow" w:cs="Calibri"/>
                <w:sz w:val="16"/>
                <w:szCs w:val="16"/>
              </w:rPr>
              <w:t>13,0</w:t>
            </w:r>
          </w:p>
        </w:tc>
        <w:tc>
          <w:tcPr>
            <w:tcW w:w="1217" w:type="dxa"/>
            <w:tcBorders>
              <w:top w:val="nil"/>
              <w:left w:val="nil"/>
              <w:bottom w:val="single" w:sz="4" w:space="0" w:color="auto"/>
              <w:right w:val="single" w:sz="4" w:space="0" w:color="auto"/>
            </w:tcBorders>
            <w:shd w:val="clear" w:color="auto" w:fill="auto"/>
            <w:vAlign w:val="center"/>
            <w:hideMark/>
          </w:tcPr>
          <w:p w14:paraId="01E4BDCB" w14:textId="77777777" w:rsidR="008F7A9E" w:rsidRPr="008F7A9E" w:rsidRDefault="008F7A9E" w:rsidP="008F7A9E">
            <w:pPr>
              <w:jc w:val="right"/>
              <w:rPr>
                <w:rFonts w:ascii="Arial Narrow" w:hAnsi="Arial Narrow" w:cs="Calibri"/>
                <w:sz w:val="16"/>
                <w:szCs w:val="16"/>
              </w:rPr>
            </w:pPr>
            <w:r w:rsidRPr="008F7A9E">
              <w:rPr>
                <w:rFonts w:ascii="Arial Narrow" w:hAnsi="Arial Narrow" w:cs="Calibri"/>
                <w:sz w:val="16"/>
                <w:szCs w:val="16"/>
              </w:rPr>
              <w:t>312,7</w:t>
            </w:r>
          </w:p>
        </w:tc>
        <w:tc>
          <w:tcPr>
            <w:tcW w:w="1075" w:type="dxa"/>
            <w:tcBorders>
              <w:top w:val="nil"/>
              <w:left w:val="nil"/>
              <w:bottom w:val="single" w:sz="4" w:space="0" w:color="auto"/>
              <w:right w:val="single" w:sz="4" w:space="0" w:color="auto"/>
            </w:tcBorders>
            <w:shd w:val="clear" w:color="auto" w:fill="auto"/>
            <w:vAlign w:val="center"/>
            <w:hideMark/>
          </w:tcPr>
          <w:p w14:paraId="3F51BACF" w14:textId="77777777" w:rsidR="008F7A9E" w:rsidRPr="008F7A9E" w:rsidRDefault="008F7A9E" w:rsidP="008F7A9E">
            <w:pPr>
              <w:jc w:val="right"/>
              <w:rPr>
                <w:rFonts w:ascii="Arial Narrow" w:hAnsi="Arial Narrow" w:cs="Calibri"/>
                <w:sz w:val="16"/>
                <w:szCs w:val="16"/>
              </w:rPr>
            </w:pPr>
            <w:r w:rsidRPr="008F7A9E">
              <w:rPr>
                <w:rFonts w:ascii="Arial Narrow" w:hAnsi="Arial Narrow" w:cs="Calibri"/>
                <w:sz w:val="16"/>
                <w:szCs w:val="16"/>
              </w:rPr>
              <w:t>3,4</w:t>
            </w:r>
          </w:p>
        </w:tc>
        <w:tc>
          <w:tcPr>
            <w:tcW w:w="1233" w:type="dxa"/>
            <w:tcBorders>
              <w:top w:val="nil"/>
              <w:left w:val="nil"/>
              <w:bottom w:val="single" w:sz="4" w:space="0" w:color="auto"/>
              <w:right w:val="single" w:sz="4" w:space="0" w:color="auto"/>
            </w:tcBorders>
            <w:shd w:val="clear" w:color="auto" w:fill="auto"/>
            <w:vAlign w:val="center"/>
            <w:hideMark/>
          </w:tcPr>
          <w:p w14:paraId="3D787B88" w14:textId="77777777" w:rsidR="008F7A9E" w:rsidRPr="008F7A9E" w:rsidRDefault="008F7A9E" w:rsidP="008F7A9E">
            <w:pPr>
              <w:jc w:val="right"/>
              <w:rPr>
                <w:rFonts w:ascii="Arial Narrow" w:hAnsi="Arial Narrow" w:cs="Calibri"/>
                <w:sz w:val="16"/>
                <w:szCs w:val="16"/>
              </w:rPr>
            </w:pPr>
            <w:r w:rsidRPr="008F7A9E">
              <w:rPr>
                <w:rFonts w:ascii="Arial Narrow" w:hAnsi="Arial Narrow" w:cs="Calibri"/>
                <w:sz w:val="16"/>
                <w:szCs w:val="16"/>
              </w:rPr>
              <w:t>323,2</w:t>
            </w:r>
          </w:p>
        </w:tc>
      </w:tr>
      <w:tr w:rsidR="008F7A9E" w:rsidRPr="00B10684" w14:paraId="68E12D40" w14:textId="77777777" w:rsidTr="005A18A5">
        <w:trPr>
          <w:trHeight w:val="251"/>
        </w:trPr>
        <w:tc>
          <w:tcPr>
            <w:tcW w:w="748" w:type="dxa"/>
            <w:tcBorders>
              <w:top w:val="nil"/>
              <w:left w:val="single" w:sz="4" w:space="0" w:color="auto"/>
              <w:bottom w:val="single" w:sz="4" w:space="0" w:color="auto"/>
              <w:right w:val="single" w:sz="4" w:space="0" w:color="auto"/>
            </w:tcBorders>
            <w:shd w:val="clear" w:color="auto" w:fill="auto"/>
            <w:vAlign w:val="center"/>
            <w:hideMark/>
          </w:tcPr>
          <w:p w14:paraId="5F4410B7" w14:textId="77777777" w:rsidR="008F7A9E" w:rsidRPr="008F7A9E" w:rsidRDefault="008F7A9E" w:rsidP="008F7A9E">
            <w:pPr>
              <w:rPr>
                <w:rFonts w:ascii="Arial Narrow" w:hAnsi="Arial Narrow" w:cs="Calibri"/>
                <w:sz w:val="16"/>
                <w:szCs w:val="16"/>
              </w:rPr>
            </w:pPr>
            <w:r w:rsidRPr="008F7A9E">
              <w:rPr>
                <w:rFonts w:ascii="Arial Narrow" w:hAnsi="Arial Narrow" w:cs="Calibri"/>
                <w:sz w:val="16"/>
                <w:szCs w:val="16"/>
              </w:rPr>
              <w:t>19.02</w:t>
            </w:r>
          </w:p>
        </w:tc>
        <w:tc>
          <w:tcPr>
            <w:tcW w:w="4419" w:type="dxa"/>
            <w:tcBorders>
              <w:top w:val="nil"/>
              <w:left w:val="nil"/>
              <w:bottom w:val="single" w:sz="4" w:space="0" w:color="auto"/>
              <w:right w:val="single" w:sz="4" w:space="0" w:color="auto"/>
            </w:tcBorders>
            <w:shd w:val="clear" w:color="auto" w:fill="auto"/>
            <w:vAlign w:val="center"/>
            <w:hideMark/>
          </w:tcPr>
          <w:p w14:paraId="5142199E" w14:textId="77777777" w:rsidR="008F7A9E" w:rsidRPr="008F7A9E" w:rsidRDefault="008F7A9E" w:rsidP="008F7A9E">
            <w:pPr>
              <w:ind w:firstLineChars="100" w:firstLine="160"/>
              <w:rPr>
                <w:rFonts w:ascii="Arial Narrow" w:hAnsi="Arial Narrow" w:cs="Calibri"/>
                <w:sz w:val="16"/>
                <w:szCs w:val="16"/>
              </w:rPr>
            </w:pPr>
            <w:r w:rsidRPr="008F7A9E">
              <w:rPr>
                <w:rFonts w:ascii="Arial Narrow" w:hAnsi="Arial Narrow" w:cs="Calibri"/>
                <w:sz w:val="16"/>
                <w:szCs w:val="16"/>
              </w:rPr>
              <w:t>Горива и масла</w:t>
            </w:r>
          </w:p>
        </w:tc>
        <w:tc>
          <w:tcPr>
            <w:tcW w:w="1185" w:type="dxa"/>
            <w:tcBorders>
              <w:top w:val="nil"/>
              <w:left w:val="nil"/>
              <w:bottom w:val="single" w:sz="4" w:space="0" w:color="auto"/>
              <w:right w:val="single" w:sz="4" w:space="0" w:color="auto"/>
            </w:tcBorders>
            <w:shd w:val="clear" w:color="auto" w:fill="auto"/>
            <w:vAlign w:val="center"/>
            <w:hideMark/>
          </w:tcPr>
          <w:p w14:paraId="6FDD93C5" w14:textId="77777777" w:rsidR="008F7A9E" w:rsidRPr="008F7A9E" w:rsidRDefault="008F7A9E" w:rsidP="008F7A9E">
            <w:pPr>
              <w:jc w:val="right"/>
              <w:rPr>
                <w:rFonts w:ascii="Arial Narrow" w:hAnsi="Arial Narrow" w:cs="Calibri"/>
                <w:sz w:val="16"/>
                <w:szCs w:val="16"/>
              </w:rPr>
            </w:pPr>
            <w:r w:rsidRPr="008F7A9E">
              <w:rPr>
                <w:rFonts w:ascii="Arial Narrow" w:hAnsi="Arial Narrow" w:cs="Calibri"/>
                <w:sz w:val="16"/>
                <w:szCs w:val="16"/>
              </w:rPr>
              <w:t>1 305,7</w:t>
            </w:r>
          </w:p>
        </w:tc>
        <w:tc>
          <w:tcPr>
            <w:tcW w:w="1028" w:type="dxa"/>
            <w:tcBorders>
              <w:top w:val="nil"/>
              <w:left w:val="nil"/>
              <w:bottom w:val="single" w:sz="4" w:space="0" w:color="auto"/>
              <w:right w:val="single" w:sz="4" w:space="0" w:color="auto"/>
            </w:tcBorders>
            <w:shd w:val="clear" w:color="auto" w:fill="auto"/>
            <w:vAlign w:val="center"/>
            <w:hideMark/>
          </w:tcPr>
          <w:p w14:paraId="227AD073" w14:textId="77777777" w:rsidR="008F7A9E" w:rsidRPr="008F7A9E" w:rsidRDefault="008F7A9E" w:rsidP="008F7A9E">
            <w:pPr>
              <w:jc w:val="right"/>
              <w:rPr>
                <w:rFonts w:ascii="Arial Narrow" w:hAnsi="Arial Narrow" w:cs="Calibri"/>
                <w:sz w:val="16"/>
                <w:szCs w:val="16"/>
              </w:rPr>
            </w:pPr>
            <w:r w:rsidRPr="008F7A9E">
              <w:rPr>
                <w:rFonts w:ascii="Arial Narrow" w:hAnsi="Arial Narrow" w:cs="Calibri"/>
                <w:sz w:val="16"/>
                <w:szCs w:val="16"/>
              </w:rPr>
              <w:t>-10,3</w:t>
            </w:r>
          </w:p>
        </w:tc>
        <w:tc>
          <w:tcPr>
            <w:tcW w:w="1217" w:type="dxa"/>
            <w:tcBorders>
              <w:top w:val="nil"/>
              <w:left w:val="nil"/>
              <w:bottom w:val="single" w:sz="4" w:space="0" w:color="auto"/>
              <w:right w:val="single" w:sz="4" w:space="0" w:color="auto"/>
            </w:tcBorders>
            <w:shd w:val="clear" w:color="auto" w:fill="auto"/>
            <w:vAlign w:val="center"/>
            <w:hideMark/>
          </w:tcPr>
          <w:p w14:paraId="5C9B8432" w14:textId="77777777" w:rsidR="008F7A9E" w:rsidRPr="008F7A9E" w:rsidRDefault="008F7A9E" w:rsidP="008F7A9E">
            <w:pPr>
              <w:jc w:val="right"/>
              <w:rPr>
                <w:rFonts w:ascii="Arial Narrow" w:hAnsi="Arial Narrow" w:cs="Calibri"/>
                <w:sz w:val="16"/>
                <w:szCs w:val="16"/>
              </w:rPr>
            </w:pPr>
            <w:r w:rsidRPr="008F7A9E">
              <w:rPr>
                <w:rFonts w:ascii="Arial Narrow" w:hAnsi="Arial Narrow" w:cs="Calibri"/>
                <w:sz w:val="16"/>
                <w:szCs w:val="16"/>
              </w:rPr>
              <w:t>1 171,5</w:t>
            </w:r>
          </w:p>
        </w:tc>
        <w:tc>
          <w:tcPr>
            <w:tcW w:w="1075" w:type="dxa"/>
            <w:tcBorders>
              <w:top w:val="nil"/>
              <w:left w:val="nil"/>
              <w:bottom w:val="single" w:sz="4" w:space="0" w:color="auto"/>
              <w:right w:val="single" w:sz="4" w:space="0" w:color="auto"/>
            </w:tcBorders>
            <w:shd w:val="clear" w:color="auto" w:fill="auto"/>
            <w:vAlign w:val="center"/>
            <w:hideMark/>
          </w:tcPr>
          <w:p w14:paraId="552B69C0" w14:textId="77777777" w:rsidR="008F7A9E" w:rsidRPr="008F7A9E" w:rsidRDefault="008F7A9E" w:rsidP="008F7A9E">
            <w:pPr>
              <w:jc w:val="right"/>
              <w:rPr>
                <w:rFonts w:ascii="Arial Narrow" w:hAnsi="Arial Narrow" w:cs="Calibri"/>
                <w:sz w:val="16"/>
                <w:szCs w:val="16"/>
              </w:rPr>
            </w:pPr>
            <w:r w:rsidRPr="008F7A9E">
              <w:rPr>
                <w:rFonts w:ascii="Arial Narrow" w:hAnsi="Arial Narrow" w:cs="Calibri"/>
                <w:sz w:val="16"/>
                <w:szCs w:val="16"/>
              </w:rPr>
              <w:t>-10,3</w:t>
            </w:r>
          </w:p>
        </w:tc>
        <w:tc>
          <w:tcPr>
            <w:tcW w:w="1233" w:type="dxa"/>
            <w:tcBorders>
              <w:top w:val="nil"/>
              <w:left w:val="nil"/>
              <w:bottom w:val="single" w:sz="4" w:space="0" w:color="auto"/>
              <w:right w:val="single" w:sz="4" w:space="0" w:color="auto"/>
            </w:tcBorders>
            <w:shd w:val="clear" w:color="auto" w:fill="auto"/>
            <w:vAlign w:val="center"/>
            <w:hideMark/>
          </w:tcPr>
          <w:p w14:paraId="7D84C0B0" w14:textId="77777777" w:rsidR="008F7A9E" w:rsidRPr="008F7A9E" w:rsidRDefault="008F7A9E" w:rsidP="008F7A9E">
            <w:pPr>
              <w:jc w:val="right"/>
              <w:rPr>
                <w:rFonts w:ascii="Arial Narrow" w:hAnsi="Arial Narrow" w:cs="Calibri"/>
                <w:sz w:val="16"/>
                <w:szCs w:val="16"/>
              </w:rPr>
            </w:pPr>
            <w:r w:rsidRPr="008F7A9E">
              <w:rPr>
                <w:rFonts w:ascii="Arial Narrow" w:hAnsi="Arial Narrow" w:cs="Calibri"/>
                <w:sz w:val="16"/>
                <w:szCs w:val="16"/>
              </w:rPr>
              <w:t>1 051,0</w:t>
            </w:r>
          </w:p>
        </w:tc>
      </w:tr>
      <w:tr w:rsidR="008F7A9E" w:rsidRPr="00B10684" w14:paraId="2383A2E7" w14:textId="77777777" w:rsidTr="005A18A5">
        <w:trPr>
          <w:trHeight w:val="251"/>
        </w:trPr>
        <w:tc>
          <w:tcPr>
            <w:tcW w:w="748" w:type="dxa"/>
            <w:tcBorders>
              <w:top w:val="nil"/>
              <w:left w:val="single" w:sz="4" w:space="0" w:color="auto"/>
              <w:bottom w:val="single" w:sz="4" w:space="0" w:color="auto"/>
              <w:right w:val="single" w:sz="4" w:space="0" w:color="auto"/>
            </w:tcBorders>
            <w:shd w:val="clear" w:color="auto" w:fill="auto"/>
            <w:vAlign w:val="center"/>
            <w:hideMark/>
          </w:tcPr>
          <w:p w14:paraId="2191E045" w14:textId="77777777" w:rsidR="008F7A9E" w:rsidRPr="008F7A9E" w:rsidRDefault="008F7A9E" w:rsidP="008F7A9E">
            <w:pPr>
              <w:rPr>
                <w:rFonts w:ascii="Arial Narrow" w:hAnsi="Arial Narrow" w:cs="Calibri"/>
                <w:sz w:val="16"/>
                <w:szCs w:val="16"/>
              </w:rPr>
            </w:pPr>
            <w:r w:rsidRPr="008F7A9E">
              <w:rPr>
                <w:rFonts w:ascii="Arial Narrow" w:hAnsi="Arial Narrow" w:cs="Calibri"/>
                <w:sz w:val="16"/>
                <w:szCs w:val="16"/>
              </w:rPr>
              <w:t>19.02/1</w:t>
            </w:r>
          </w:p>
        </w:tc>
        <w:tc>
          <w:tcPr>
            <w:tcW w:w="4419" w:type="dxa"/>
            <w:tcBorders>
              <w:top w:val="nil"/>
              <w:left w:val="nil"/>
              <w:bottom w:val="single" w:sz="4" w:space="0" w:color="auto"/>
              <w:right w:val="single" w:sz="4" w:space="0" w:color="auto"/>
            </w:tcBorders>
            <w:shd w:val="clear" w:color="auto" w:fill="auto"/>
            <w:vAlign w:val="center"/>
            <w:hideMark/>
          </w:tcPr>
          <w:p w14:paraId="74557FBE" w14:textId="77777777" w:rsidR="008F7A9E" w:rsidRPr="008F7A9E" w:rsidRDefault="008F7A9E" w:rsidP="008F7A9E">
            <w:pPr>
              <w:ind w:firstLineChars="300" w:firstLine="480"/>
              <w:rPr>
                <w:rFonts w:ascii="Arial Narrow" w:hAnsi="Arial Narrow" w:cs="Calibri"/>
                <w:sz w:val="16"/>
                <w:szCs w:val="16"/>
              </w:rPr>
            </w:pPr>
            <w:r w:rsidRPr="008F7A9E">
              <w:rPr>
                <w:rFonts w:ascii="Arial Narrow" w:hAnsi="Arial Narrow" w:cs="Calibri"/>
                <w:sz w:val="16"/>
                <w:szCs w:val="16"/>
              </w:rPr>
              <w:t>- електричество</w:t>
            </w:r>
          </w:p>
        </w:tc>
        <w:tc>
          <w:tcPr>
            <w:tcW w:w="1185" w:type="dxa"/>
            <w:tcBorders>
              <w:top w:val="nil"/>
              <w:left w:val="nil"/>
              <w:bottom w:val="single" w:sz="4" w:space="0" w:color="auto"/>
              <w:right w:val="single" w:sz="4" w:space="0" w:color="auto"/>
            </w:tcBorders>
            <w:shd w:val="clear" w:color="auto" w:fill="auto"/>
            <w:vAlign w:val="center"/>
            <w:hideMark/>
          </w:tcPr>
          <w:p w14:paraId="0F12A392" w14:textId="77777777" w:rsidR="008F7A9E" w:rsidRPr="008F7A9E" w:rsidRDefault="008F7A9E" w:rsidP="008F7A9E">
            <w:pPr>
              <w:jc w:val="right"/>
              <w:rPr>
                <w:rFonts w:ascii="Arial Narrow" w:hAnsi="Arial Narrow" w:cs="Calibri"/>
                <w:sz w:val="16"/>
                <w:szCs w:val="16"/>
              </w:rPr>
            </w:pPr>
            <w:r w:rsidRPr="008F7A9E">
              <w:rPr>
                <w:rFonts w:ascii="Arial Narrow" w:hAnsi="Arial Narrow" w:cs="Calibri"/>
                <w:sz w:val="16"/>
                <w:szCs w:val="16"/>
              </w:rPr>
              <w:t>125,7</w:t>
            </w:r>
          </w:p>
        </w:tc>
        <w:tc>
          <w:tcPr>
            <w:tcW w:w="1028" w:type="dxa"/>
            <w:tcBorders>
              <w:top w:val="nil"/>
              <w:left w:val="nil"/>
              <w:bottom w:val="single" w:sz="4" w:space="0" w:color="auto"/>
              <w:right w:val="single" w:sz="4" w:space="0" w:color="auto"/>
            </w:tcBorders>
            <w:shd w:val="clear" w:color="auto" w:fill="auto"/>
            <w:vAlign w:val="center"/>
            <w:hideMark/>
          </w:tcPr>
          <w:p w14:paraId="5919E224" w14:textId="77777777" w:rsidR="008F7A9E" w:rsidRPr="008F7A9E" w:rsidRDefault="008F7A9E" w:rsidP="008F7A9E">
            <w:pPr>
              <w:jc w:val="right"/>
              <w:rPr>
                <w:rFonts w:ascii="Arial Narrow" w:hAnsi="Arial Narrow" w:cs="Calibri"/>
                <w:sz w:val="16"/>
                <w:szCs w:val="16"/>
              </w:rPr>
            </w:pPr>
            <w:r w:rsidRPr="008F7A9E">
              <w:rPr>
                <w:rFonts w:ascii="Arial Narrow" w:hAnsi="Arial Narrow" w:cs="Calibri"/>
                <w:sz w:val="16"/>
                <w:szCs w:val="16"/>
              </w:rPr>
              <w:t>5,9</w:t>
            </w:r>
          </w:p>
        </w:tc>
        <w:tc>
          <w:tcPr>
            <w:tcW w:w="1217" w:type="dxa"/>
            <w:tcBorders>
              <w:top w:val="nil"/>
              <w:left w:val="nil"/>
              <w:bottom w:val="single" w:sz="4" w:space="0" w:color="auto"/>
              <w:right w:val="single" w:sz="4" w:space="0" w:color="auto"/>
            </w:tcBorders>
            <w:shd w:val="clear" w:color="auto" w:fill="auto"/>
            <w:vAlign w:val="center"/>
            <w:hideMark/>
          </w:tcPr>
          <w:p w14:paraId="51057191" w14:textId="77777777" w:rsidR="008F7A9E" w:rsidRPr="008F7A9E" w:rsidRDefault="008F7A9E" w:rsidP="008F7A9E">
            <w:pPr>
              <w:jc w:val="right"/>
              <w:rPr>
                <w:rFonts w:ascii="Arial Narrow" w:hAnsi="Arial Narrow" w:cs="Calibri"/>
                <w:sz w:val="16"/>
                <w:szCs w:val="16"/>
              </w:rPr>
            </w:pPr>
            <w:r w:rsidRPr="008F7A9E">
              <w:rPr>
                <w:rFonts w:ascii="Arial Narrow" w:hAnsi="Arial Narrow" w:cs="Calibri"/>
                <w:sz w:val="16"/>
                <w:szCs w:val="16"/>
              </w:rPr>
              <w:t>133,1</w:t>
            </w:r>
          </w:p>
        </w:tc>
        <w:tc>
          <w:tcPr>
            <w:tcW w:w="1075" w:type="dxa"/>
            <w:tcBorders>
              <w:top w:val="nil"/>
              <w:left w:val="nil"/>
              <w:bottom w:val="single" w:sz="4" w:space="0" w:color="auto"/>
              <w:right w:val="single" w:sz="4" w:space="0" w:color="auto"/>
            </w:tcBorders>
            <w:shd w:val="clear" w:color="auto" w:fill="auto"/>
            <w:vAlign w:val="center"/>
            <w:hideMark/>
          </w:tcPr>
          <w:p w14:paraId="58E2B67E" w14:textId="77777777" w:rsidR="008F7A9E" w:rsidRPr="008F7A9E" w:rsidRDefault="008F7A9E" w:rsidP="008F7A9E">
            <w:pPr>
              <w:jc w:val="right"/>
              <w:rPr>
                <w:rFonts w:ascii="Arial Narrow" w:hAnsi="Arial Narrow" w:cs="Calibri"/>
                <w:sz w:val="16"/>
                <w:szCs w:val="16"/>
              </w:rPr>
            </w:pPr>
            <w:r w:rsidRPr="008F7A9E">
              <w:rPr>
                <w:rFonts w:ascii="Arial Narrow" w:hAnsi="Arial Narrow" w:cs="Calibri"/>
                <w:sz w:val="16"/>
                <w:szCs w:val="16"/>
              </w:rPr>
              <w:t>-6,5</w:t>
            </w:r>
          </w:p>
        </w:tc>
        <w:tc>
          <w:tcPr>
            <w:tcW w:w="1233" w:type="dxa"/>
            <w:tcBorders>
              <w:top w:val="nil"/>
              <w:left w:val="nil"/>
              <w:bottom w:val="single" w:sz="4" w:space="0" w:color="auto"/>
              <w:right w:val="single" w:sz="4" w:space="0" w:color="auto"/>
            </w:tcBorders>
            <w:shd w:val="clear" w:color="auto" w:fill="auto"/>
            <w:vAlign w:val="center"/>
            <w:hideMark/>
          </w:tcPr>
          <w:p w14:paraId="0C7FF26B" w14:textId="77777777" w:rsidR="008F7A9E" w:rsidRPr="008F7A9E" w:rsidRDefault="008F7A9E" w:rsidP="008F7A9E">
            <w:pPr>
              <w:jc w:val="right"/>
              <w:rPr>
                <w:rFonts w:ascii="Arial Narrow" w:hAnsi="Arial Narrow" w:cs="Calibri"/>
                <w:sz w:val="16"/>
                <w:szCs w:val="16"/>
              </w:rPr>
            </w:pPr>
            <w:r w:rsidRPr="008F7A9E">
              <w:rPr>
                <w:rFonts w:ascii="Arial Narrow" w:hAnsi="Arial Narrow" w:cs="Calibri"/>
                <w:sz w:val="16"/>
                <w:szCs w:val="16"/>
              </w:rPr>
              <w:t>124,5</w:t>
            </w:r>
          </w:p>
        </w:tc>
      </w:tr>
      <w:tr w:rsidR="008F7A9E" w:rsidRPr="00B10684" w14:paraId="20B2DE70" w14:textId="77777777" w:rsidTr="005A18A5">
        <w:trPr>
          <w:trHeight w:val="251"/>
        </w:trPr>
        <w:tc>
          <w:tcPr>
            <w:tcW w:w="748" w:type="dxa"/>
            <w:tcBorders>
              <w:top w:val="nil"/>
              <w:left w:val="single" w:sz="4" w:space="0" w:color="auto"/>
              <w:bottom w:val="single" w:sz="4" w:space="0" w:color="auto"/>
              <w:right w:val="single" w:sz="4" w:space="0" w:color="auto"/>
            </w:tcBorders>
            <w:shd w:val="clear" w:color="auto" w:fill="auto"/>
            <w:vAlign w:val="center"/>
            <w:hideMark/>
          </w:tcPr>
          <w:p w14:paraId="0C0D3BF5" w14:textId="77777777" w:rsidR="008F7A9E" w:rsidRPr="008F7A9E" w:rsidRDefault="008F7A9E" w:rsidP="008F7A9E">
            <w:pPr>
              <w:rPr>
                <w:rFonts w:ascii="Arial Narrow" w:hAnsi="Arial Narrow" w:cs="Calibri"/>
                <w:sz w:val="16"/>
                <w:szCs w:val="16"/>
              </w:rPr>
            </w:pPr>
            <w:r w:rsidRPr="008F7A9E">
              <w:rPr>
                <w:rFonts w:ascii="Arial Narrow" w:hAnsi="Arial Narrow" w:cs="Calibri"/>
                <w:sz w:val="16"/>
                <w:szCs w:val="16"/>
              </w:rPr>
              <w:t>19.02/2</w:t>
            </w:r>
          </w:p>
        </w:tc>
        <w:tc>
          <w:tcPr>
            <w:tcW w:w="4419" w:type="dxa"/>
            <w:tcBorders>
              <w:top w:val="nil"/>
              <w:left w:val="nil"/>
              <w:bottom w:val="single" w:sz="4" w:space="0" w:color="auto"/>
              <w:right w:val="single" w:sz="4" w:space="0" w:color="auto"/>
            </w:tcBorders>
            <w:shd w:val="clear" w:color="auto" w:fill="auto"/>
            <w:vAlign w:val="center"/>
            <w:hideMark/>
          </w:tcPr>
          <w:p w14:paraId="72C1D6C8" w14:textId="77777777" w:rsidR="008F7A9E" w:rsidRPr="008F7A9E" w:rsidRDefault="008F7A9E" w:rsidP="008F7A9E">
            <w:pPr>
              <w:ind w:firstLineChars="300" w:firstLine="480"/>
              <w:rPr>
                <w:rFonts w:ascii="Arial Narrow" w:hAnsi="Arial Narrow" w:cs="Calibri"/>
                <w:sz w:val="16"/>
                <w:szCs w:val="16"/>
              </w:rPr>
            </w:pPr>
            <w:r w:rsidRPr="008F7A9E">
              <w:rPr>
                <w:rFonts w:ascii="Arial Narrow" w:hAnsi="Arial Narrow" w:cs="Calibri"/>
                <w:sz w:val="16"/>
                <w:szCs w:val="16"/>
              </w:rPr>
              <w:t>- газ</w:t>
            </w:r>
          </w:p>
        </w:tc>
        <w:tc>
          <w:tcPr>
            <w:tcW w:w="1185" w:type="dxa"/>
            <w:tcBorders>
              <w:top w:val="nil"/>
              <w:left w:val="nil"/>
              <w:bottom w:val="single" w:sz="4" w:space="0" w:color="auto"/>
              <w:right w:val="single" w:sz="4" w:space="0" w:color="auto"/>
            </w:tcBorders>
            <w:shd w:val="clear" w:color="auto" w:fill="auto"/>
            <w:vAlign w:val="center"/>
            <w:hideMark/>
          </w:tcPr>
          <w:p w14:paraId="11599A04" w14:textId="77777777" w:rsidR="008F7A9E" w:rsidRPr="008F7A9E" w:rsidRDefault="008F7A9E" w:rsidP="008F7A9E">
            <w:pPr>
              <w:jc w:val="right"/>
              <w:rPr>
                <w:rFonts w:ascii="Arial Narrow" w:hAnsi="Arial Narrow" w:cs="Calibri"/>
                <w:sz w:val="16"/>
                <w:szCs w:val="16"/>
              </w:rPr>
            </w:pPr>
            <w:r w:rsidRPr="008F7A9E">
              <w:rPr>
                <w:rFonts w:ascii="Arial Narrow" w:hAnsi="Arial Narrow" w:cs="Calibri"/>
                <w:sz w:val="16"/>
                <w:szCs w:val="16"/>
              </w:rPr>
              <w:t>48,1</w:t>
            </w:r>
          </w:p>
        </w:tc>
        <w:tc>
          <w:tcPr>
            <w:tcW w:w="1028" w:type="dxa"/>
            <w:tcBorders>
              <w:top w:val="nil"/>
              <w:left w:val="nil"/>
              <w:bottom w:val="single" w:sz="4" w:space="0" w:color="auto"/>
              <w:right w:val="single" w:sz="4" w:space="0" w:color="auto"/>
            </w:tcBorders>
            <w:shd w:val="clear" w:color="auto" w:fill="auto"/>
            <w:vAlign w:val="center"/>
            <w:hideMark/>
          </w:tcPr>
          <w:p w14:paraId="35763989" w14:textId="77777777" w:rsidR="008F7A9E" w:rsidRPr="008F7A9E" w:rsidRDefault="008F7A9E" w:rsidP="008F7A9E">
            <w:pPr>
              <w:jc w:val="right"/>
              <w:rPr>
                <w:rFonts w:ascii="Arial Narrow" w:hAnsi="Arial Narrow" w:cs="Calibri"/>
                <w:sz w:val="16"/>
                <w:szCs w:val="16"/>
              </w:rPr>
            </w:pPr>
            <w:r w:rsidRPr="008F7A9E">
              <w:rPr>
                <w:rFonts w:ascii="Arial Narrow" w:hAnsi="Arial Narrow" w:cs="Calibri"/>
                <w:sz w:val="16"/>
                <w:szCs w:val="16"/>
              </w:rPr>
              <w:t>-6,2</w:t>
            </w:r>
          </w:p>
        </w:tc>
        <w:tc>
          <w:tcPr>
            <w:tcW w:w="1217" w:type="dxa"/>
            <w:tcBorders>
              <w:top w:val="nil"/>
              <w:left w:val="nil"/>
              <w:bottom w:val="single" w:sz="4" w:space="0" w:color="auto"/>
              <w:right w:val="single" w:sz="4" w:space="0" w:color="auto"/>
            </w:tcBorders>
            <w:shd w:val="clear" w:color="auto" w:fill="auto"/>
            <w:vAlign w:val="center"/>
            <w:hideMark/>
          </w:tcPr>
          <w:p w14:paraId="138A0B73" w14:textId="77777777" w:rsidR="008F7A9E" w:rsidRPr="008F7A9E" w:rsidRDefault="008F7A9E" w:rsidP="008F7A9E">
            <w:pPr>
              <w:jc w:val="right"/>
              <w:rPr>
                <w:rFonts w:ascii="Arial Narrow" w:hAnsi="Arial Narrow" w:cs="Calibri"/>
                <w:sz w:val="16"/>
                <w:szCs w:val="16"/>
              </w:rPr>
            </w:pPr>
            <w:r w:rsidRPr="008F7A9E">
              <w:rPr>
                <w:rFonts w:ascii="Arial Narrow" w:hAnsi="Arial Narrow" w:cs="Calibri"/>
                <w:sz w:val="16"/>
                <w:szCs w:val="16"/>
              </w:rPr>
              <w:t>45,1</w:t>
            </w:r>
          </w:p>
        </w:tc>
        <w:tc>
          <w:tcPr>
            <w:tcW w:w="1075" w:type="dxa"/>
            <w:tcBorders>
              <w:top w:val="nil"/>
              <w:left w:val="nil"/>
              <w:bottom w:val="single" w:sz="4" w:space="0" w:color="auto"/>
              <w:right w:val="single" w:sz="4" w:space="0" w:color="auto"/>
            </w:tcBorders>
            <w:shd w:val="clear" w:color="auto" w:fill="auto"/>
            <w:vAlign w:val="center"/>
            <w:hideMark/>
          </w:tcPr>
          <w:p w14:paraId="31E5E39D" w14:textId="77777777" w:rsidR="008F7A9E" w:rsidRPr="008F7A9E" w:rsidRDefault="008F7A9E" w:rsidP="008F7A9E">
            <w:pPr>
              <w:jc w:val="right"/>
              <w:rPr>
                <w:rFonts w:ascii="Arial Narrow" w:hAnsi="Arial Narrow" w:cs="Calibri"/>
                <w:sz w:val="16"/>
                <w:szCs w:val="16"/>
              </w:rPr>
            </w:pPr>
            <w:r w:rsidRPr="008F7A9E">
              <w:rPr>
                <w:rFonts w:ascii="Arial Narrow" w:hAnsi="Arial Narrow" w:cs="Calibri"/>
                <w:sz w:val="16"/>
                <w:szCs w:val="16"/>
              </w:rPr>
              <w:t>-9,8</w:t>
            </w:r>
          </w:p>
        </w:tc>
        <w:tc>
          <w:tcPr>
            <w:tcW w:w="1233" w:type="dxa"/>
            <w:tcBorders>
              <w:top w:val="nil"/>
              <w:left w:val="nil"/>
              <w:bottom w:val="single" w:sz="4" w:space="0" w:color="auto"/>
              <w:right w:val="single" w:sz="4" w:space="0" w:color="auto"/>
            </w:tcBorders>
            <w:shd w:val="clear" w:color="auto" w:fill="auto"/>
            <w:vAlign w:val="center"/>
            <w:hideMark/>
          </w:tcPr>
          <w:p w14:paraId="5B59D7A6" w14:textId="77777777" w:rsidR="008F7A9E" w:rsidRPr="008F7A9E" w:rsidRDefault="008F7A9E" w:rsidP="008F7A9E">
            <w:pPr>
              <w:jc w:val="right"/>
              <w:rPr>
                <w:rFonts w:ascii="Arial Narrow" w:hAnsi="Arial Narrow" w:cs="Calibri"/>
                <w:sz w:val="16"/>
                <w:szCs w:val="16"/>
              </w:rPr>
            </w:pPr>
            <w:r w:rsidRPr="008F7A9E">
              <w:rPr>
                <w:rFonts w:ascii="Arial Narrow" w:hAnsi="Arial Narrow" w:cs="Calibri"/>
                <w:sz w:val="16"/>
                <w:szCs w:val="16"/>
              </w:rPr>
              <w:t>40,7</w:t>
            </w:r>
          </w:p>
        </w:tc>
      </w:tr>
      <w:tr w:rsidR="008F7A9E" w:rsidRPr="00B10684" w14:paraId="443657A0" w14:textId="77777777" w:rsidTr="005A18A5">
        <w:trPr>
          <w:trHeight w:val="251"/>
        </w:trPr>
        <w:tc>
          <w:tcPr>
            <w:tcW w:w="748" w:type="dxa"/>
            <w:tcBorders>
              <w:top w:val="nil"/>
              <w:left w:val="single" w:sz="4" w:space="0" w:color="auto"/>
              <w:bottom w:val="single" w:sz="4" w:space="0" w:color="auto"/>
              <w:right w:val="single" w:sz="4" w:space="0" w:color="auto"/>
            </w:tcBorders>
            <w:shd w:val="clear" w:color="auto" w:fill="auto"/>
            <w:vAlign w:val="center"/>
            <w:hideMark/>
          </w:tcPr>
          <w:p w14:paraId="090C2E15" w14:textId="77777777" w:rsidR="008F7A9E" w:rsidRPr="008F7A9E" w:rsidRDefault="008F7A9E" w:rsidP="008F7A9E">
            <w:pPr>
              <w:rPr>
                <w:rFonts w:ascii="Arial Narrow" w:hAnsi="Arial Narrow" w:cs="Calibri"/>
                <w:sz w:val="16"/>
                <w:szCs w:val="16"/>
              </w:rPr>
            </w:pPr>
            <w:r w:rsidRPr="008F7A9E">
              <w:rPr>
                <w:rFonts w:ascii="Arial Narrow" w:hAnsi="Arial Narrow" w:cs="Calibri"/>
                <w:sz w:val="16"/>
                <w:szCs w:val="16"/>
              </w:rPr>
              <w:t>19.02/3</w:t>
            </w:r>
          </w:p>
        </w:tc>
        <w:tc>
          <w:tcPr>
            <w:tcW w:w="4419" w:type="dxa"/>
            <w:tcBorders>
              <w:top w:val="nil"/>
              <w:left w:val="nil"/>
              <w:bottom w:val="single" w:sz="4" w:space="0" w:color="auto"/>
              <w:right w:val="single" w:sz="4" w:space="0" w:color="auto"/>
            </w:tcBorders>
            <w:shd w:val="clear" w:color="auto" w:fill="auto"/>
            <w:vAlign w:val="center"/>
            <w:hideMark/>
          </w:tcPr>
          <w:p w14:paraId="3350825E" w14:textId="77777777" w:rsidR="008F7A9E" w:rsidRPr="008F7A9E" w:rsidRDefault="008F7A9E" w:rsidP="008F7A9E">
            <w:pPr>
              <w:ind w:firstLineChars="300" w:firstLine="480"/>
              <w:rPr>
                <w:rFonts w:ascii="Arial Narrow" w:hAnsi="Arial Narrow" w:cs="Calibri"/>
                <w:sz w:val="16"/>
                <w:szCs w:val="16"/>
              </w:rPr>
            </w:pPr>
            <w:r w:rsidRPr="008F7A9E">
              <w:rPr>
                <w:rFonts w:ascii="Arial Narrow" w:hAnsi="Arial Narrow" w:cs="Calibri"/>
                <w:sz w:val="16"/>
                <w:szCs w:val="16"/>
              </w:rPr>
              <w:t>- други горива</w:t>
            </w:r>
          </w:p>
        </w:tc>
        <w:tc>
          <w:tcPr>
            <w:tcW w:w="1185" w:type="dxa"/>
            <w:tcBorders>
              <w:top w:val="nil"/>
              <w:left w:val="nil"/>
              <w:bottom w:val="single" w:sz="4" w:space="0" w:color="auto"/>
              <w:right w:val="single" w:sz="4" w:space="0" w:color="auto"/>
            </w:tcBorders>
            <w:shd w:val="clear" w:color="auto" w:fill="auto"/>
            <w:vAlign w:val="center"/>
            <w:hideMark/>
          </w:tcPr>
          <w:p w14:paraId="32A62678" w14:textId="77777777" w:rsidR="008F7A9E" w:rsidRPr="008F7A9E" w:rsidRDefault="008F7A9E" w:rsidP="008F7A9E">
            <w:pPr>
              <w:jc w:val="right"/>
              <w:rPr>
                <w:rFonts w:ascii="Arial Narrow" w:hAnsi="Arial Narrow" w:cs="Calibri"/>
                <w:sz w:val="16"/>
                <w:szCs w:val="16"/>
              </w:rPr>
            </w:pPr>
            <w:r w:rsidRPr="008F7A9E">
              <w:rPr>
                <w:rFonts w:ascii="Arial Narrow" w:hAnsi="Arial Narrow" w:cs="Calibri"/>
                <w:sz w:val="16"/>
                <w:szCs w:val="16"/>
              </w:rPr>
              <w:t>1 126,7</w:t>
            </w:r>
          </w:p>
        </w:tc>
        <w:tc>
          <w:tcPr>
            <w:tcW w:w="1028" w:type="dxa"/>
            <w:tcBorders>
              <w:top w:val="nil"/>
              <w:left w:val="nil"/>
              <w:bottom w:val="single" w:sz="4" w:space="0" w:color="auto"/>
              <w:right w:val="single" w:sz="4" w:space="0" w:color="auto"/>
            </w:tcBorders>
            <w:shd w:val="clear" w:color="auto" w:fill="auto"/>
            <w:vAlign w:val="center"/>
            <w:hideMark/>
          </w:tcPr>
          <w:p w14:paraId="2B1E86A9" w14:textId="77777777" w:rsidR="008F7A9E" w:rsidRPr="008F7A9E" w:rsidRDefault="008F7A9E" w:rsidP="008F7A9E">
            <w:pPr>
              <w:jc w:val="right"/>
              <w:rPr>
                <w:rFonts w:ascii="Arial Narrow" w:hAnsi="Arial Narrow" w:cs="Calibri"/>
                <w:sz w:val="16"/>
                <w:szCs w:val="16"/>
              </w:rPr>
            </w:pPr>
            <w:r w:rsidRPr="008F7A9E">
              <w:rPr>
                <w:rFonts w:ascii="Arial Narrow" w:hAnsi="Arial Narrow" w:cs="Calibri"/>
                <w:sz w:val="16"/>
                <w:szCs w:val="16"/>
              </w:rPr>
              <w:t>-12,5</w:t>
            </w:r>
          </w:p>
        </w:tc>
        <w:tc>
          <w:tcPr>
            <w:tcW w:w="1217" w:type="dxa"/>
            <w:tcBorders>
              <w:top w:val="nil"/>
              <w:left w:val="nil"/>
              <w:bottom w:val="single" w:sz="4" w:space="0" w:color="auto"/>
              <w:right w:val="single" w:sz="4" w:space="0" w:color="auto"/>
            </w:tcBorders>
            <w:shd w:val="clear" w:color="auto" w:fill="auto"/>
            <w:vAlign w:val="center"/>
            <w:hideMark/>
          </w:tcPr>
          <w:p w14:paraId="4D20DCA8" w14:textId="77777777" w:rsidR="008F7A9E" w:rsidRPr="008F7A9E" w:rsidRDefault="008F7A9E" w:rsidP="008F7A9E">
            <w:pPr>
              <w:jc w:val="right"/>
              <w:rPr>
                <w:rFonts w:ascii="Arial Narrow" w:hAnsi="Arial Narrow" w:cs="Calibri"/>
                <w:sz w:val="16"/>
                <w:szCs w:val="16"/>
              </w:rPr>
            </w:pPr>
            <w:r w:rsidRPr="008F7A9E">
              <w:rPr>
                <w:rFonts w:ascii="Arial Narrow" w:hAnsi="Arial Narrow" w:cs="Calibri"/>
                <w:sz w:val="16"/>
                <w:szCs w:val="16"/>
              </w:rPr>
              <w:t>985,9</w:t>
            </w:r>
          </w:p>
        </w:tc>
        <w:tc>
          <w:tcPr>
            <w:tcW w:w="1075" w:type="dxa"/>
            <w:tcBorders>
              <w:top w:val="nil"/>
              <w:left w:val="nil"/>
              <w:bottom w:val="single" w:sz="4" w:space="0" w:color="auto"/>
              <w:right w:val="single" w:sz="4" w:space="0" w:color="auto"/>
            </w:tcBorders>
            <w:shd w:val="clear" w:color="auto" w:fill="auto"/>
            <w:vAlign w:val="center"/>
            <w:hideMark/>
          </w:tcPr>
          <w:p w14:paraId="00BDFC04" w14:textId="77777777" w:rsidR="008F7A9E" w:rsidRPr="008F7A9E" w:rsidRDefault="008F7A9E" w:rsidP="008F7A9E">
            <w:pPr>
              <w:jc w:val="right"/>
              <w:rPr>
                <w:rFonts w:ascii="Arial Narrow" w:hAnsi="Arial Narrow" w:cs="Calibri"/>
                <w:sz w:val="16"/>
                <w:szCs w:val="16"/>
              </w:rPr>
            </w:pPr>
            <w:r w:rsidRPr="008F7A9E">
              <w:rPr>
                <w:rFonts w:ascii="Arial Narrow" w:hAnsi="Arial Narrow" w:cs="Calibri"/>
                <w:sz w:val="16"/>
                <w:szCs w:val="16"/>
              </w:rPr>
              <w:t>-11,0</w:t>
            </w:r>
          </w:p>
        </w:tc>
        <w:tc>
          <w:tcPr>
            <w:tcW w:w="1233" w:type="dxa"/>
            <w:tcBorders>
              <w:top w:val="nil"/>
              <w:left w:val="nil"/>
              <w:bottom w:val="single" w:sz="4" w:space="0" w:color="auto"/>
              <w:right w:val="single" w:sz="4" w:space="0" w:color="auto"/>
            </w:tcBorders>
            <w:shd w:val="clear" w:color="auto" w:fill="auto"/>
            <w:vAlign w:val="center"/>
            <w:hideMark/>
          </w:tcPr>
          <w:p w14:paraId="1379D6E9" w14:textId="77777777" w:rsidR="008F7A9E" w:rsidRPr="008F7A9E" w:rsidRDefault="008F7A9E" w:rsidP="008F7A9E">
            <w:pPr>
              <w:jc w:val="right"/>
              <w:rPr>
                <w:rFonts w:ascii="Arial Narrow" w:hAnsi="Arial Narrow" w:cs="Calibri"/>
                <w:sz w:val="16"/>
                <w:szCs w:val="16"/>
              </w:rPr>
            </w:pPr>
            <w:r w:rsidRPr="008F7A9E">
              <w:rPr>
                <w:rFonts w:ascii="Arial Narrow" w:hAnsi="Arial Narrow" w:cs="Calibri"/>
                <w:sz w:val="16"/>
                <w:szCs w:val="16"/>
              </w:rPr>
              <w:t>877,6</w:t>
            </w:r>
          </w:p>
        </w:tc>
      </w:tr>
      <w:tr w:rsidR="008F7A9E" w:rsidRPr="00B10684" w14:paraId="4851CFAB" w14:textId="77777777" w:rsidTr="005A18A5">
        <w:trPr>
          <w:trHeight w:val="251"/>
        </w:trPr>
        <w:tc>
          <w:tcPr>
            <w:tcW w:w="748" w:type="dxa"/>
            <w:tcBorders>
              <w:top w:val="nil"/>
              <w:left w:val="single" w:sz="4" w:space="0" w:color="auto"/>
              <w:bottom w:val="single" w:sz="4" w:space="0" w:color="auto"/>
              <w:right w:val="single" w:sz="4" w:space="0" w:color="auto"/>
            </w:tcBorders>
            <w:shd w:val="clear" w:color="auto" w:fill="auto"/>
            <w:vAlign w:val="center"/>
            <w:hideMark/>
          </w:tcPr>
          <w:p w14:paraId="73CC7631" w14:textId="77777777" w:rsidR="008F7A9E" w:rsidRPr="008F7A9E" w:rsidRDefault="008F7A9E" w:rsidP="008F7A9E">
            <w:pPr>
              <w:rPr>
                <w:rFonts w:ascii="Arial Narrow" w:hAnsi="Arial Narrow" w:cs="Calibri"/>
                <w:sz w:val="16"/>
                <w:szCs w:val="16"/>
              </w:rPr>
            </w:pPr>
            <w:r w:rsidRPr="008F7A9E">
              <w:rPr>
                <w:rFonts w:ascii="Arial Narrow" w:hAnsi="Arial Narrow" w:cs="Calibri"/>
                <w:sz w:val="16"/>
                <w:szCs w:val="16"/>
              </w:rPr>
              <w:lastRenderedPageBreak/>
              <w:t>19.02/4</w:t>
            </w:r>
          </w:p>
        </w:tc>
        <w:tc>
          <w:tcPr>
            <w:tcW w:w="4419" w:type="dxa"/>
            <w:tcBorders>
              <w:top w:val="nil"/>
              <w:left w:val="nil"/>
              <w:bottom w:val="single" w:sz="4" w:space="0" w:color="auto"/>
              <w:right w:val="single" w:sz="4" w:space="0" w:color="auto"/>
            </w:tcBorders>
            <w:shd w:val="clear" w:color="auto" w:fill="auto"/>
            <w:vAlign w:val="center"/>
            <w:hideMark/>
          </w:tcPr>
          <w:p w14:paraId="05DF2EE4" w14:textId="77777777" w:rsidR="008F7A9E" w:rsidRPr="008F7A9E" w:rsidRDefault="008F7A9E" w:rsidP="008F7A9E">
            <w:pPr>
              <w:ind w:firstLineChars="300" w:firstLine="480"/>
              <w:rPr>
                <w:rFonts w:ascii="Arial Narrow" w:hAnsi="Arial Narrow" w:cs="Calibri"/>
                <w:sz w:val="16"/>
                <w:szCs w:val="16"/>
              </w:rPr>
            </w:pPr>
            <w:r w:rsidRPr="008F7A9E">
              <w:rPr>
                <w:rFonts w:ascii="Arial Narrow" w:hAnsi="Arial Narrow" w:cs="Calibri"/>
                <w:sz w:val="16"/>
                <w:szCs w:val="16"/>
              </w:rPr>
              <w:t>- други</w:t>
            </w:r>
          </w:p>
        </w:tc>
        <w:tc>
          <w:tcPr>
            <w:tcW w:w="1185" w:type="dxa"/>
            <w:tcBorders>
              <w:top w:val="nil"/>
              <w:left w:val="nil"/>
              <w:bottom w:val="single" w:sz="4" w:space="0" w:color="auto"/>
              <w:right w:val="single" w:sz="4" w:space="0" w:color="auto"/>
            </w:tcBorders>
            <w:shd w:val="clear" w:color="auto" w:fill="auto"/>
            <w:vAlign w:val="center"/>
            <w:hideMark/>
          </w:tcPr>
          <w:p w14:paraId="5E168252" w14:textId="77777777" w:rsidR="008F7A9E" w:rsidRPr="008F7A9E" w:rsidRDefault="008F7A9E" w:rsidP="008F7A9E">
            <w:pPr>
              <w:jc w:val="right"/>
              <w:rPr>
                <w:rFonts w:ascii="Arial Narrow" w:hAnsi="Arial Narrow" w:cs="Calibri"/>
                <w:sz w:val="16"/>
                <w:szCs w:val="16"/>
              </w:rPr>
            </w:pPr>
            <w:r w:rsidRPr="008F7A9E">
              <w:rPr>
                <w:rFonts w:ascii="Arial Narrow" w:hAnsi="Arial Narrow" w:cs="Calibri"/>
                <w:sz w:val="16"/>
                <w:szCs w:val="16"/>
              </w:rPr>
              <w:t>5,2</w:t>
            </w:r>
          </w:p>
        </w:tc>
        <w:tc>
          <w:tcPr>
            <w:tcW w:w="1028" w:type="dxa"/>
            <w:tcBorders>
              <w:top w:val="nil"/>
              <w:left w:val="nil"/>
              <w:bottom w:val="single" w:sz="4" w:space="0" w:color="auto"/>
              <w:right w:val="single" w:sz="4" w:space="0" w:color="auto"/>
            </w:tcBorders>
            <w:shd w:val="clear" w:color="auto" w:fill="auto"/>
            <w:vAlign w:val="center"/>
            <w:hideMark/>
          </w:tcPr>
          <w:p w14:paraId="2092650C" w14:textId="77777777" w:rsidR="008F7A9E" w:rsidRPr="008F7A9E" w:rsidRDefault="008F7A9E" w:rsidP="008F7A9E">
            <w:pPr>
              <w:jc w:val="right"/>
              <w:rPr>
                <w:rFonts w:ascii="Arial Narrow" w:hAnsi="Arial Narrow" w:cs="Calibri"/>
                <w:sz w:val="16"/>
                <w:szCs w:val="16"/>
              </w:rPr>
            </w:pPr>
            <w:r w:rsidRPr="008F7A9E">
              <w:rPr>
                <w:rFonts w:ascii="Arial Narrow" w:hAnsi="Arial Narrow" w:cs="Calibri"/>
                <w:sz w:val="16"/>
                <w:szCs w:val="16"/>
              </w:rPr>
              <w:t>42,3</w:t>
            </w:r>
          </w:p>
        </w:tc>
        <w:tc>
          <w:tcPr>
            <w:tcW w:w="1217" w:type="dxa"/>
            <w:tcBorders>
              <w:top w:val="nil"/>
              <w:left w:val="nil"/>
              <w:bottom w:val="single" w:sz="4" w:space="0" w:color="auto"/>
              <w:right w:val="single" w:sz="4" w:space="0" w:color="auto"/>
            </w:tcBorders>
            <w:shd w:val="clear" w:color="auto" w:fill="auto"/>
            <w:vAlign w:val="center"/>
            <w:hideMark/>
          </w:tcPr>
          <w:p w14:paraId="2B3B4E5C" w14:textId="77777777" w:rsidR="008F7A9E" w:rsidRPr="008F7A9E" w:rsidRDefault="008F7A9E" w:rsidP="008F7A9E">
            <w:pPr>
              <w:jc w:val="right"/>
              <w:rPr>
                <w:rFonts w:ascii="Arial Narrow" w:hAnsi="Arial Narrow" w:cs="Calibri"/>
                <w:sz w:val="16"/>
                <w:szCs w:val="16"/>
              </w:rPr>
            </w:pPr>
            <w:r w:rsidRPr="008F7A9E">
              <w:rPr>
                <w:rFonts w:ascii="Arial Narrow" w:hAnsi="Arial Narrow" w:cs="Calibri"/>
                <w:sz w:val="16"/>
                <w:szCs w:val="16"/>
              </w:rPr>
              <w:t>7,4</w:t>
            </w:r>
          </w:p>
        </w:tc>
        <w:tc>
          <w:tcPr>
            <w:tcW w:w="1075" w:type="dxa"/>
            <w:tcBorders>
              <w:top w:val="nil"/>
              <w:left w:val="nil"/>
              <w:bottom w:val="single" w:sz="4" w:space="0" w:color="auto"/>
              <w:right w:val="single" w:sz="4" w:space="0" w:color="auto"/>
            </w:tcBorders>
            <w:shd w:val="clear" w:color="auto" w:fill="auto"/>
            <w:vAlign w:val="center"/>
            <w:hideMark/>
          </w:tcPr>
          <w:p w14:paraId="1D39E076" w14:textId="77777777" w:rsidR="008F7A9E" w:rsidRPr="008F7A9E" w:rsidRDefault="008F7A9E" w:rsidP="008F7A9E">
            <w:pPr>
              <w:jc w:val="right"/>
              <w:rPr>
                <w:rFonts w:ascii="Arial Narrow" w:hAnsi="Arial Narrow" w:cs="Calibri"/>
                <w:sz w:val="16"/>
                <w:szCs w:val="16"/>
              </w:rPr>
            </w:pPr>
            <w:r w:rsidRPr="008F7A9E">
              <w:rPr>
                <w:rFonts w:ascii="Arial Narrow" w:hAnsi="Arial Narrow" w:cs="Calibri"/>
                <w:sz w:val="16"/>
                <w:szCs w:val="16"/>
              </w:rPr>
              <w:t>10,8</w:t>
            </w:r>
          </w:p>
        </w:tc>
        <w:tc>
          <w:tcPr>
            <w:tcW w:w="1233" w:type="dxa"/>
            <w:tcBorders>
              <w:top w:val="nil"/>
              <w:left w:val="nil"/>
              <w:bottom w:val="single" w:sz="4" w:space="0" w:color="auto"/>
              <w:right w:val="single" w:sz="4" w:space="0" w:color="auto"/>
            </w:tcBorders>
            <w:shd w:val="clear" w:color="auto" w:fill="auto"/>
            <w:vAlign w:val="center"/>
            <w:hideMark/>
          </w:tcPr>
          <w:p w14:paraId="5064DBD1" w14:textId="77777777" w:rsidR="008F7A9E" w:rsidRPr="008F7A9E" w:rsidRDefault="008F7A9E" w:rsidP="008F7A9E">
            <w:pPr>
              <w:jc w:val="right"/>
              <w:rPr>
                <w:rFonts w:ascii="Arial Narrow" w:hAnsi="Arial Narrow" w:cs="Calibri"/>
                <w:sz w:val="16"/>
                <w:szCs w:val="16"/>
              </w:rPr>
            </w:pPr>
            <w:r w:rsidRPr="008F7A9E">
              <w:rPr>
                <w:rFonts w:ascii="Arial Narrow" w:hAnsi="Arial Narrow" w:cs="Calibri"/>
                <w:sz w:val="16"/>
                <w:szCs w:val="16"/>
              </w:rPr>
              <w:t>8,2</w:t>
            </w:r>
          </w:p>
        </w:tc>
      </w:tr>
      <w:tr w:rsidR="008F7A9E" w:rsidRPr="00B10684" w14:paraId="16690B5D" w14:textId="77777777" w:rsidTr="005A18A5">
        <w:trPr>
          <w:trHeight w:val="251"/>
        </w:trPr>
        <w:tc>
          <w:tcPr>
            <w:tcW w:w="748" w:type="dxa"/>
            <w:tcBorders>
              <w:top w:val="nil"/>
              <w:left w:val="single" w:sz="4" w:space="0" w:color="auto"/>
              <w:bottom w:val="single" w:sz="4" w:space="0" w:color="auto"/>
              <w:right w:val="single" w:sz="4" w:space="0" w:color="auto"/>
            </w:tcBorders>
            <w:shd w:val="clear" w:color="auto" w:fill="auto"/>
            <w:vAlign w:val="center"/>
            <w:hideMark/>
          </w:tcPr>
          <w:p w14:paraId="0598BECC" w14:textId="77777777" w:rsidR="008F7A9E" w:rsidRPr="008F7A9E" w:rsidRDefault="008F7A9E" w:rsidP="008F7A9E">
            <w:pPr>
              <w:rPr>
                <w:rFonts w:ascii="Arial Narrow" w:hAnsi="Arial Narrow" w:cs="Calibri"/>
                <w:sz w:val="16"/>
                <w:szCs w:val="16"/>
              </w:rPr>
            </w:pPr>
            <w:r w:rsidRPr="008F7A9E">
              <w:rPr>
                <w:rFonts w:ascii="Arial Narrow" w:hAnsi="Arial Narrow" w:cs="Calibri"/>
                <w:sz w:val="16"/>
                <w:szCs w:val="16"/>
              </w:rPr>
              <w:t>19.03</w:t>
            </w:r>
          </w:p>
        </w:tc>
        <w:tc>
          <w:tcPr>
            <w:tcW w:w="4419" w:type="dxa"/>
            <w:tcBorders>
              <w:top w:val="nil"/>
              <w:left w:val="nil"/>
              <w:bottom w:val="single" w:sz="4" w:space="0" w:color="auto"/>
              <w:right w:val="single" w:sz="4" w:space="0" w:color="auto"/>
            </w:tcBorders>
            <w:shd w:val="clear" w:color="auto" w:fill="auto"/>
            <w:vAlign w:val="center"/>
            <w:hideMark/>
          </w:tcPr>
          <w:p w14:paraId="4FDC4C42" w14:textId="77777777" w:rsidR="008F7A9E" w:rsidRPr="008F7A9E" w:rsidRDefault="008F7A9E" w:rsidP="008F7A9E">
            <w:pPr>
              <w:ind w:firstLineChars="100" w:firstLine="160"/>
              <w:rPr>
                <w:rFonts w:ascii="Arial Narrow" w:hAnsi="Arial Narrow" w:cs="Calibri"/>
                <w:sz w:val="16"/>
                <w:szCs w:val="16"/>
              </w:rPr>
            </w:pPr>
            <w:r w:rsidRPr="008F7A9E">
              <w:rPr>
                <w:rFonts w:ascii="Arial Narrow" w:hAnsi="Arial Narrow" w:cs="Calibri"/>
                <w:sz w:val="16"/>
                <w:szCs w:val="16"/>
              </w:rPr>
              <w:t>Торове и почвени подобрители</w:t>
            </w:r>
          </w:p>
        </w:tc>
        <w:tc>
          <w:tcPr>
            <w:tcW w:w="1185" w:type="dxa"/>
            <w:tcBorders>
              <w:top w:val="nil"/>
              <w:left w:val="nil"/>
              <w:bottom w:val="single" w:sz="4" w:space="0" w:color="auto"/>
              <w:right w:val="single" w:sz="4" w:space="0" w:color="auto"/>
            </w:tcBorders>
            <w:shd w:val="clear" w:color="auto" w:fill="auto"/>
            <w:vAlign w:val="center"/>
            <w:hideMark/>
          </w:tcPr>
          <w:p w14:paraId="51666A00" w14:textId="77777777" w:rsidR="008F7A9E" w:rsidRPr="008F7A9E" w:rsidRDefault="008F7A9E" w:rsidP="008F7A9E">
            <w:pPr>
              <w:jc w:val="right"/>
              <w:rPr>
                <w:rFonts w:ascii="Arial Narrow" w:hAnsi="Arial Narrow" w:cs="Calibri"/>
                <w:sz w:val="16"/>
                <w:szCs w:val="16"/>
              </w:rPr>
            </w:pPr>
            <w:r w:rsidRPr="008F7A9E">
              <w:rPr>
                <w:rFonts w:ascii="Arial Narrow" w:hAnsi="Arial Narrow" w:cs="Calibri"/>
                <w:sz w:val="16"/>
                <w:szCs w:val="16"/>
              </w:rPr>
              <w:t>1 412,7</w:t>
            </w:r>
          </w:p>
        </w:tc>
        <w:tc>
          <w:tcPr>
            <w:tcW w:w="1028" w:type="dxa"/>
            <w:tcBorders>
              <w:top w:val="nil"/>
              <w:left w:val="nil"/>
              <w:bottom w:val="single" w:sz="4" w:space="0" w:color="auto"/>
              <w:right w:val="single" w:sz="4" w:space="0" w:color="auto"/>
            </w:tcBorders>
            <w:shd w:val="clear" w:color="auto" w:fill="auto"/>
            <w:vAlign w:val="center"/>
            <w:hideMark/>
          </w:tcPr>
          <w:p w14:paraId="60FD5CA9" w14:textId="77777777" w:rsidR="008F7A9E" w:rsidRPr="008F7A9E" w:rsidRDefault="008F7A9E" w:rsidP="008F7A9E">
            <w:pPr>
              <w:jc w:val="right"/>
              <w:rPr>
                <w:rFonts w:ascii="Arial Narrow" w:hAnsi="Arial Narrow" w:cs="Calibri"/>
                <w:sz w:val="16"/>
                <w:szCs w:val="16"/>
              </w:rPr>
            </w:pPr>
            <w:r w:rsidRPr="008F7A9E">
              <w:rPr>
                <w:rFonts w:ascii="Arial Narrow" w:hAnsi="Arial Narrow" w:cs="Calibri"/>
                <w:sz w:val="16"/>
                <w:szCs w:val="16"/>
              </w:rPr>
              <w:t>-18,4</w:t>
            </w:r>
          </w:p>
        </w:tc>
        <w:tc>
          <w:tcPr>
            <w:tcW w:w="1217" w:type="dxa"/>
            <w:tcBorders>
              <w:top w:val="nil"/>
              <w:left w:val="nil"/>
              <w:bottom w:val="single" w:sz="4" w:space="0" w:color="auto"/>
              <w:right w:val="single" w:sz="4" w:space="0" w:color="auto"/>
            </w:tcBorders>
            <w:shd w:val="clear" w:color="auto" w:fill="auto"/>
            <w:vAlign w:val="center"/>
            <w:hideMark/>
          </w:tcPr>
          <w:p w14:paraId="72D8B75A" w14:textId="77777777" w:rsidR="008F7A9E" w:rsidRPr="008F7A9E" w:rsidRDefault="008F7A9E" w:rsidP="008F7A9E">
            <w:pPr>
              <w:jc w:val="right"/>
              <w:rPr>
                <w:rFonts w:ascii="Arial Narrow" w:hAnsi="Arial Narrow" w:cs="Calibri"/>
                <w:sz w:val="16"/>
                <w:szCs w:val="16"/>
              </w:rPr>
            </w:pPr>
            <w:r w:rsidRPr="008F7A9E">
              <w:rPr>
                <w:rFonts w:ascii="Arial Narrow" w:hAnsi="Arial Narrow" w:cs="Calibri"/>
                <w:sz w:val="16"/>
                <w:szCs w:val="16"/>
              </w:rPr>
              <w:t>1 152,7</w:t>
            </w:r>
          </w:p>
        </w:tc>
        <w:tc>
          <w:tcPr>
            <w:tcW w:w="1075" w:type="dxa"/>
            <w:tcBorders>
              <w:top w:val="nil"/>
              <w:left w:val="nil"/>
              <w:bottom w:val="single" w:sz="4" w:space="0" w:color="auto"/>
              <w:right w:val="single" w:sz="4" w:space="0" w:color="auto"/>
            </w:tcBorders>
            <w:shd w:val="clear" w:color="auto" w:fill="auto"/>
            <w:vAlign w:val="center"/>
            <w:hideMark/>
          </w:tcPr>
          <w:p w14:paraId="7EFEF07A" w14:textId="77777777" w:rsidR="008F7A9E" w:rsidRPr="008F7A9E" w:rsidRDefault="008F7A9E" w:rsidP="008F7A9E">
            <w:pPr>
              <w:jc w:val="right"/>
              <w:rPr>
                <w:rFonts w:ascii="Arial Narrow" w:hAnsi="Arial Narrow" w:cs="Calibri"/>
                <w:sz w:val="16"/>
                <w:szCs w:val="16"/>
              </w:rPr>
            </w:pPr>
            <w:r w:rsidRPr="008F7A9E">
              <w:rPr>
                <w:rFonts w:ascii="Arial Narrow" w:hAnsi="Arial Narrow" w:cs="Calibri"/>
                <w:sz w:val="16"/>
                <w:szCs w:val="16"/>
              </w:rPr>
              <w:t>-17,6</w:t>
            </w:r>
          </w:p>
        </w:tc>
        <w:tc>
          <w:tcPr>
            <w:tcW w:w="1233" w:type="dxa"/>
            <w:tcBorders>
              <w:top w:val="nil"/>
              <w:left w:val="nil"/>
              <w:bottom w:val="single" w:sz="4" w:space="0" w:color="auto"/>
              <w:right w:val="single" w:sz="4" w:space="0" w:color="auto"/>
            </w:tcBorders>
            <w:shd w:val="clear" w:color="auto" w:fill="auto"/>
            <w:vAlign w:val="center"/>
            <w:hideMark/>
          </w:tcPr>
          <w:p w14:paraId="155C7108" w14:textId="77777777" w:rsidR="008F7A9E" w:rsidRPr="008F7A9E" w:rsidRDefault="008F7A9E" w:rsidP="008F7A9E">
            <w:pPr>
              <w:jc w:val="right"/>
              <w:rPr>
                <w:rFonts w:ascii="Arial Narrow" w:hAnsi="Arial Narrow" w:cs="Calibri"/>
                <w:sz w:val="16"/>
                <w:szCs w:val="16"/>
              </w:rPr>
            </w:pPr>
            <w:r w:rsidRPr="008F7A9E">
              <w:rPr>
                <w:rFonts w:ascii="Arial Narrow" w:hAnsi="Arial Narrow" w:cs="Calibri"/>
                <w:sz w:val="16"/>
                <w:szCs w:val="16"/>
              </w:rPr>
              <w:t>950,1</w:t>
            </w:r>
          </w:p>
        </w:tc>
      </w:tr>
      <w:tr w:rsidR="008F7A9E" w:rsidRPr="00B10684" w14:paraId="029AA43D" w14:textId="77777777" w:rsidTr="005A18A5">
        <w:trPr>
          <w:trHeight w:val="245"/>
        </w:trPr>
        <w:tc>
          <w:tcPr>
            <w:tcW w:w="748" w:type="dxa"/>
            <w:tcBorders>
              <w:top w:val="nil"/>
              <w:left w:val="single" w:sz="4" w:space="0" w:color="auto"/>
              <w:bottom w:val="single" w:sz="4" w:space="0" w:color="auto"/>
              <w:right w:val="single" w:sz="4" w:space="0" w:color="auto"/>
            </w:tcBorders>
            <w:shd w:val="clear" w:color="auto" w:fill="auto"/>
            <w:vAlign w:val="center"/>
            <w:hideMark/>
          </w:tcPr>
          <w:p w14:paraId="56E59EE3" w14:textId="77777777" w:rsidR="008F7A9E" w:rsidRPr="008F7A9E" w:rsidRDefault="008F7A9E" w:rsidP="008F7A9E">
            <w:pPr>
              <w:rPr>
                <w:rFonts w:ascii="Arial Narrow" w:hAnsi="Arial Narrow" w:cs="Calibri"/>
                <w:sz w:val="16"/>
                <w:szCs w:val="16"/>
              </w:rPr>
            </w:pPr>
            <w:r w:rsidRPr="008F7A9E">
              <w:rPr>
                <w:rFonts w:ascii="Arial Narrow" w:hAnsi="Arial Narrow" w:cs="Calibri"/>
                <w:sz w:val="16"/>
                <w:szCs w:val="16"/>
              </w:rPr>
              <w:t>19.03/1</w:t>
            </w:r>
          </w:p>
        </w:tc>
        <w:tc>
          <w:tcPr>
            <w:tcW w:w="4419" w:type="dxa"/>
            <w:tcBorders>
              <w:top w:val="nil"/>
              <w:left w:val="nil"/>
              <w:bottom w:val="single" w:sz="4" w:space="0" w:color="auto"/>
              <w:right w:val="single" w:sz="4" w:space="0" w:color="auto"/>
            </w:tcBorders>
            <w:shd w:val="clear" w:color="auto" w:fill="auto"/>
            <w:vAlign w:val="center"/>
            <w:hideMark/>
          </w:tcPr>
          <w:p w14:paraId="420D5BD5" w14:textId="77777777" w:rsidR="008F7A9E" w:rsidRPr="008F7A9E" w:rsidRDefault="008F7A9E" w:rsidP="008F7A9E">
            <w:pPr>
              <w:ind w:firstLineChars="300" w:firstLine="480"/>
              <w:rPr>
                <w:rFonts w:ascii="Arial Narrow" w:hAnsi="Arial Narrow" w:cs="Calibri"/>
                <w:sz w:val="16"/>
                <w:szCs w:val="16"/>
              </w:rPr>
            </w:pPr>
            <w:r w:rsidRPr="008F7A9E">
              <w:rPr>
                <w:rFonts w:ascii="Arial Narrow" w:hAnsi="Arial Narrow" w:cs="Calibri"/>
                <w:sz w:val="16"/>
                <w:szCs w:val="16"/>
              </w:rPr>
              <w:t>доставено от други селскостопански предприятия</w:t>
            </w:r>
          </w:p>
        </w:tc>
        <w:tc>
          <w:tcPr>
            <w:tcW w:w="1185" w:type="dxa"/>
            <w:tcBorders>
              <w:top w:val="nil"/>
              <w:left w:val="nil"/>
              <w:bottom w:val="single" w:sz="4" w:space="0" w:color="auto"/>
              <w:right w:val="single" w:sz="4" w:space="0" w:color="auto"/>
            </w:tcBorders>
            <w:shd w:val="clear" w:color="auto" w:fill="auto"/>
            <w:vAlign w:val="center"/>
            <w:hideMark/>
          </w:tcPr>
          <w:p w14:paraId="1588CD67" w14:textId="77777777" w:rsidR="008F7A9E" w:rsidRPr="008F7A9E" w:rsidRDefault="008F7A9E" w:rsidP="008F7A9E">
            <w:pPr>
              <w:jc w:val="right"/>
              <w:rPr>
                <w:rFonts w:ascii="Arial Narrow" w:hAnsi="Arial Narrow" w:cs="Calibri"/>
                <w:sz w:val="16"/>
                <w:szCs w:val="16"/>
              </w:rPr>
            </w:pPr>
            <w:r w:rsidRPr="008F7A9E">
              <w:rPr>
                <w:rFonts w:ascii="Arial Narrow" w:hAnsi="Arial Narrow" w:cs="Calibri"/>
                <w:sz w:val="16"/>
                <w:szCs w:val="16"/>
              </w:rPr>
              <w:t>26,5</w:t>
            </w:r>
          </w:p>
        </w:tc>
        <w:tc>
          <w:tcPr>
            <w:tcW w:w="1028" w:type="dxa"/>
            <w:tcBorders>
              <w:top w:val="nil"/>
              <w:left w:val="nil"/>
              <w:bottom w:val="single" w:sz="4" w:space="0" w:color="auto"/>
              <w:right w:val="single" w:sz="4" w:space="0" w:color="auto"/>
            </w:tcBorders>
            <w:shd w:val="clear" w:color="auto" w:fill="auto"/>
            <w:vAlign w:val="center"/>
            <w:hideMark/>
          </w:tcPr>
          <w:p w14:paraId="3C3CA5C9" w14:textId="77777777" w:rsidR="008F7A9E" w:rsidRPr="008F7A9E" w:rsidRDefault="008F7A9E" w:rsidP="008F7A9E">
            <w:pPr>
              <w:jc w:val="right"/>
              <w:rPr>
                <w:rFonts w:ascii="Arial Narrow" w:hAnsi="Arial Narrow" w:cs="Calibri"/>
                <w:sz w:val="16"/>
                <w:szCs w:val="16"/>
              </w:rPr>
            </w:pPr>
            <w:r w:rsidRPr="008F7A9E">
              <w:rPr>
                <w:rFonts w:ascii="Arial Narrow" w:hAnsi="Arial Narrow" w:cs="Calibri"/>
                <w:sz w:val="16"/>
                <w:szCs w:val="16"/>
              </w:rPr>
              <w:t>52,1</w:t>
            </w:r>
          </w:p>
        </w:tc>
        <w:tc>
          <w:tcPr>
            <w:tcW w:w="1217" w:type="dxa"/>
            <w:tcBorders>
              <w:top w:val="nil"/>
              <w:left w:val="nil"/>
              <w:bottom w:val="single" w:sz="4" w:space="0" w:color="auto"/>
              <w:right w:val="single" w:sz="4" w:space="0" w:color="auto"/>
            </w:tcBorders>
            <w:shd w:val="clear" w:color="auto" w:fill="auto"/>
            <w:vAlign w:val="center"/>
            <w:hideMark/>
          </w:tcPr>
          <w:p w14:paraId="7DB0E0CA" w14:textId="77777777" w:rsidR="008F7A9E" w:rsidRPr="008F7A9E" w:rsidRDefault="008F7A9E" w:rsidP="008F7A9E">
            <w:pPr>
              <w:jc w:val="right"/>
              <w:rPr>
                <w:rFonts w:ascii="Arial Narrow" w:hAnsi="Arial Narrow" w:cs="Calibri"/>
                <w:sz w:val="16"/>
                <w:szCs w:val="16"/>
              </w:rPr>
            </w:pPr>
            <w:r w:rsidRPr="008F7A9E">
              <w:rPr>
                <w:rFonts w:ascii="Arial Narrow" w:hAnsi="Arial Narrow" w:cs="Calibri"/>
                <w:sz w:val="16"/>
                <w:szCs w:val="16"/>
              </w:rPr>
              <w:t>40,3</w:t>
            </w:r>
          </w:p>
        </w:tc>
        <w:tc>
          <w:tcPr>
            <w:tcW w:w="1075" w:type="dxa"/>
            <w:tcBorders>
              <w:top w:val="nil"/>
              <w:left w:val="nil"/>
              <w:bottom w:val="single" w:sz="4" w:space="0" w:color="auto"/>
              <w:right w:val="single" w:sz="4" w:space="0" w:color="auto"/>
            </w:tcBorders>
            <w:shd w:val="clear" w:color="auto" w:fill="auto"/>
            <w:vAlign w:val="center"/>
            <w:hideMark/>
          </w:tcPr>
          <w:p w14:paraId="05AC9E3F" w14:textId="77777777" w:rsidR="008F7A9E" w:rsidRPr="008F7A9E" w:rsidRDefault="008F7A9E" w:rsidP="008F7A9E">
            <w:pPr>
              <w:jc w:val="right"/>
              <w:rPr>
                <w:rFonts w:ascii="Arial Narrow" w:hAnsi="Arial Narrow" w:cs="Calibri"/>
                <w:sz w:val="16"/>
                <w:szCs w:val="16"/>
              </w:rPr>
            </w:pPr>
            <w:r w:rsidRPr="008F7A9E">
              <w:rPr>
                <w:rFonts w:ascii="Arial Narrow" w:hAnsi="Arial Narrow" w:cs="Calibri"/>
                <w:sz w:val="16"/>
                <w:szCs w:val="16"/>
              </w:rPr>
              <w:t>-33,3</w:t>
            </w:r>
          </w:p>
        </w:tc>
        <w:tc>
          <w:tcPr>
            <w:tcW w:w="1233" w:type="dxa"/>
            <w:tcBorders>
              <w:top w:val="nil"/>
              <w:left w:val="nil"/>
              <w:bottom w:val="single" w:sz="4" w:space="0" w:color="auto"/>
              <w:right w:val="single" w:sz="4" w:space="0" w:color="auto"/>
            </w:tcBorders>
            <w:shd w:val="clear" w:color="auto" w:fill="auto"/>
            <w:vAlign w:val="center"/>
            <w:hideMark/>
          </w:tcPr>
          <w:p w14:paraId="4A3F89EA" w14:textId="77777777" w:rsidR="008F7A9E" w:rsidRPr="008F7A9E" w:rsidRDefault="008F7A9E" w:rsidP="008F7A9E">
            <w:pPr>
              <w:jc w:val="right"/>
              <w:rPr>
                <w:rFonts w:ascii="Arial Narrow" w:hAnsi="Arial Narrow" w:cs="Calibri"/>
                <w:sz w:val="16"/>
                <w:szCs w:val="16"/>
              </w:rPr>
            </w:pPr>
            <w:r w:rsidRPr="008F7A9E">
              <w:rPr>
                <w:rFonts w:ascii="Arial Narrow" w:hAnsi="Arial Narrow" w:cs="Calibri"/>
                <w:sz w:val="16"/>
                <w:szCs w:val="16"/>
              </w:rPr>
              <w:t>26,9</w:t>
            </w:r>
          </w:p>
        </w:tc>
      </w:tr>
      <w:tr w:rsidR="008F7A9E" w:rsidRPr="00B10684" w14:paraId="35A14991" w14:textId="77777777" w:rsidTr="005A18A5">
        <w:trPr>
          <w:trHeight w:val="251"/>
        </w:trPr>
        <w:tc>
          <w:tcPr>
            <w:tcW w:w="748" w:type="dxa"/>
            <w:tcBorders>
              <w:top w:val="nil"/>
              <w:left w:val="single" w:sz="4" w:space="0" w:color="auto"/>
              <w:bottom w:val="single" w:sz="4" w:space="0" w:color="auto"/>
              <w:right w:val="single" w:sz="4" w:space="0" w:color="auto"/>
            </w:tcBorders>
            <w:shd w:val="clear" w:color="auto" w:fill="auto"/>
            <w:vAlign w:val="center"/>
            <w:hideMark/>
          </w:tcPr>
          <w:p w14:paraId="019B5D8E" w14:textId="77777777" w:rsidR="008F7A9E" w:rsidRPr="008F7A9E" w:rsidRDefault="008F7A9E" w:rsidP="008F7A9E">
            <w:pPr>
              <w:rPr>
                <w:rFonts w:ascii="Arial Narrow" w:hAnsi="Arial Narrow" w:cs="Calibri"/>
                <w:sz w:val="16"/>
                <w:szCs w:val="16"/>
              </w:rPr>
            </w:pPr>
            <w:r w:rsidRPr="008F7A9E">
              <w:rPr>
                <w:rFonts w:ascii="Arial Narrow" w:hAnsi="Arial Narrow" w:cs="Calibri"/>
                <w:sz w:val="16"/>
                <w:szCs w:val="16"/>
              </w:rPr>
              <w:t>19.03/2</w:t>
            </w:r>
          </w:p>
        </w:tc>
        <w:tc>
          <w:tcPr>
            <w:tcW w:w="4419" w:type="dxa"/>
            <w:tcBorders>
              <w:top w:val="nil"/>
              <w:left w:val="nil"/>
              <w:bottom w:val="single" w:sz="4" w:space="0" w:color="auto"/>
              <w:right w:val="single" w:sz="4" w:space="0" w:color="auto"/>
            </w:tcBorders>
            <w:shd w:val="clear" w:color="auto" w:fill="auto"/>
            <w:vAlign w:val="center"/>
            <w:hideMark/>
          </w:tcPr>
          <w:p w14:paraId="4060B634" w14:textId="77777777" w:rsidR="008F7A9E" w:rsidRPr="008F7A9E" w:rsidRDefault="008F7A9E" w:rsidP="008F7A9E">
            <w:pPr>
              <w:ind w:firstLineChars="300" w:firstLine="480"/>
              <w:rPr>
                <w:rFonts w:ascii="Arial Narrow" w:hAnsi="Arial Narrow" w:cs="Calibri"/>
                <w:sz w:val="16"/>
                <w:szCs w:val="16"/>
              </w:rPr>
            </w:pPr>
            <w:r w:rsidRPr="008F7A9E">
              <w:rPr>
                <w:rFonts w:ascii="Arial Narrow" w:hAnsi="Arial Narrow" w:cs="Calibri"/>
                <w:sz w:val="16"/>
                <w:szCs w:val="16"/>
              </w:rPr>
              <w:t>закупено извън сектора</w:t>
            </w:r>
          </w:p>
        </w:tc>
        <w:tc>
          <w:tcPr>
            <w:tcW w:w="1185" w:type="dxa"/>
            <w:tcBorders>
              <w:top w:val="nil"/>
              <w:left w:val="nil"/>
              <w:bottom w:val="single" w:sz="4" w:space="0" w:color="auto"/>
              <w:right w:val="single" w:sz="4" w:space="0" w:color="auto"/>
            </w:tcBorders>
            <w:shd w:val="clear" w:color="auto" w:fill="auto"/>
            <w:vAlign w:val="center"/>
            <w:hideMark/>
          </w:tcPr>
          <w:p w14:paraId="593ABA68" w14:textId="77777777" w:rsidR="008F7A9E" w:rsidRPr="008F7A9E" w:rsidRDefault="008F7A9E" w:rsidP="008F7A9E">
            <w:pPr>
              <w:jc w:val="right"/>
              <w:rPr>
                <w:rFonts w:ascii="Arial Narrow" w:hAnsi="Arial Narrow" w:cs="Calibri"/>
                <w:sz w:val="16"/>
                <w:szCs w:val="16"/>
              </w:rPr>
            </w:pPr>
            <w:r w:rsidRPr="008F7A9E">
              <w:rPr>
                <w:rFonts w:ascii="Arial Narrow" w:hAnsi="Arial Narrow" w:cs="Calibri"/>
                <w:sz w:val="16"/>
                <w:szCs w:val="16"/>
              </w:rPr>
              <w:t>1 386,2</w:t>
            </w:r>
          </w:p>
        </w:tc>
        <w:tc>
          <w:tcPr>
            <w:tcW w:w="1028" w:type="dxa"/>
            <w:tcBorders>
              <w:top w:val="nil"/>
              <w:left w:val="nil"/>
              <w:bottom w:val="single" w:sz="4" w:space="0" w:color="auto"/>
              <w:right w:val="single" w:sz="4" w:space="0" w:color="auto"/>
            </w:tcBorders>
            <w:shd w:val="clear" w:color="auto" w:fill="auto"/>
            <w:vAlign w:val="center"/>
            <w:hideMark/>
          </w:tcPr>
          <w:p w14:paraId="3D0E067E" w14:textId="77777777" w:rsidR="008F7A9E" w:rsidRPr="008F7A9E" w:rsidRDefault="008F7A9E" w:rsidP="008F7A9E">
            <w:pPr>
              <w:jc w:val="right"/>
              <w:rPr>
                <w:rFonts w:ascii="Arial Narrow" w:hAnsi="Arial Narrow" w:cs="Calibri"/>
                <w:sz w:val="16"/>
                <w:szCs w:val="16"/>
              </w:rPr>
            </w:pPr>
            <w:r w:rsidRPr="008F7A9E">
              <w:rPr>
                <w:rFonts w:ascii="Arial Narrow" w:hAnsi="Arial Narrow" w:cs="Calibri"/>
                <w:sz w:val="16"/>
                <w:szCs w:val="16"/>
              </w:rPr>
              <w:t>-19,8</w:t>
            </w:r>
          </w:p>
        </w:tc>
        <w:tc>
          <w:tcPr>
            <w:tcW w:w="1217" w:type="dxa"/>
            <w:tcBorders>
              <w:top w:val="nil"/>
              <w:left w:val="nil"/>
              <w:bottom w:val="single" w:sz="4" w:space="0" w:color="auto"/>
              <w:right w:val="single" w:sz="4" w:space="0" w:color="auto"/>
            </w:tcBorders>
            <w:shd w:val="clear" w:color="auto" w:fill="auto"/>
            <w:vAlign w:val="center"/>
            <w:hideMark/>
          </w:tcPr>
          <w:p w14:paraId="5E1BDA07" w14:textId="77777777" w:rsidR="008F7A9E" w:rsidRPr="008F7A9E" w:rsidRDefault="008F7A9E" w:rsidP="008F7A9E">
            <w:pPr>
              <w:jc w:val="right"/>
              <w:rPr>
                <w:rFonts w:ascii="Arial Narrow" w:hAnsi="Arial Narrow" w:cs="Calibri"/>
                <w:sz w:val="16"/>
                <w:szCs w:val="16"/>
              </w:rPr>
            </w:pPr>
            <w:r w:rsidRPr="008F7A9E">
              <w:rPr>
                <w:rFonts w:ascii="Arial Narrow" w:hAnsi="Arial Narrow" w:cs="Calibri"/>
                <w:sz w:val="16"/>
                <w:szCs w:val="16"/>
              </w:rPr>
              <w:t>1 112,4</w:t>
            </w:r>
          </w:p>
        </w:tc>
        <w:tc>
          <w:tcPr>
            <w:tcW w:w="1075" w:type="dxa"/>
            <w:tcBorders>
              <w:top w:val="nil"/>
              <w:left w:val="nil"/>
              <w:bottom w:val="single" w:sz="4" w:space="0" w:color="auto"/>
              <w:right w:val="single" w:sz="4" w:space="0" w:color="auto"/>
            </w:tcBorders>
            <w:shd w:val="clear" w:color="auto" w:fill="auto"/>
            <w:vAlign w:val="center"/>
            <w:hideMark/>
          </w:tcPr>
          <w:p w14:paraId="6D88189B" w14:textId="77777777" w:rsidR="008F7A9E" w:rsidRPr="008F7A9E" w:rsidRDefault="008F7A9E" w:rsidP="008F7A9E">
            <w:pPr>
              <w:jc w:val="right"/>
              <w:rPr>
                <w:rFonts w:ascii="Arial Narrow" w:hAnsi="Arial Narrow" w:cs="Calibri"/>
                <w:sz w:val="16"/>
                <w:szCs w:val="16"/>
              </w:rPr>
            </w:pPr>
            <w:r w:rsidRPr="008F7A9E">
              <w:rPr>
                <w:rFonts w:ascii="Arial Narrow" w:hAnsi="Arial Narrow" w:cs="Calibri"/>
                <w:sz w:val="16"/>
                <w:szCs w:val="16"/>
              </w:rPr>
              <w:t>-17,0</w:t>
            </w:r>
          </w:p>
        </w:tc>
        <w:tc>
          <w:tcPr>
            <w:tcW w:w="1233" w:type="dxa"/>
            <w:tcBorders>
              <w:top w:val="nil"/>
              <w:left w:val="nil"/>
              <w:bottom w:val="single" w:sz="4" w:space="0" w:color="auto"/>
              <w:right w:val="single" w:sz="4" w:space="0" w:color="auto"/>
            </w:tcBorders>
            <w:shd w:val="clear" w:color="auto" w:fill="auto"/>
            <w:vAlign w:val="center"/>
            <w:hideMark/>
          </w:tcPr>
          <w:p w14:paraId="1924D8E3" w14:textId="77777777" w:rsidR="008F7A9E" w:rsidRPr="008F7A9E" w:rsidRDefault="008F7A9E" w:rsidP="008F7A9E">
            <w:pPr>
              <w:jc w:val="right"/>
              <w:rPr>
                <w:rFonts w:ascii="Arial Narrow" w:hAnsi="Arial Narrow" w:cs="Calibri"/>
                <w:sz w:val="16"/>
                <w:szCs w:val="16"/>
              </w:rPr>
            </w:pPr>
            <w:r w:rsidRPr="008F7A9E">
              <w:rPr>
                <w:rFonts w:ascii="Arial Narrow" w:hAnsi="Arial Narrow" w:cs="Calibri"/>
                <w:sz w:val="16"/>
                <w:szCs w:val="16"/>
              </w:rPr>
              <w:t>923,2</w:t>
            </w:r>
          </w:p>
        </w:tc>
      </w:tr>
      <w:tr w:rsidR="008F7A9E" w:rsidRPr="00B10684" w14:paraId="0EC141DA" w14:textId="77777777" w:rsidTr="005A18A5">
        <w:trPr>
          <w:trHeight w:val="303"/>
        </w:trPr>
        <w:tc>
          <w:tcPr>
            <w:tcW w:w="748" w:type="dxa"/>
            <w:tcBorders>
              <w:top w:val="nil"/>
              <w:left w:val="single" w:sz="4" w:space="0" w:color="auto"/>
              <w:bottom w:val="single" w:sz="4" w:space="0" w:color="auto"/>
              <w:right w:val="single" w:sz="4" w:space="0" w:color="auto"/>
            </w:tcBorders>
            <w:shd w:val="clear" w:color="auto" w:fill="auto"/>
            <w:vAlign w:val="center"/>
            <w:hideMark/>
          </w:tcPr>
          <w:p w14:paraId="079015FF" w14:textId="77777777" w:rsidR="008F7A9E" w:rsidRPr="008F7A9E" w:rsidRDefault="008F7A9E" w:rsidP="008F7A9E">
            <w:pPr>
              <w:rPr>
                <w:rFonts w:ascii="Arial Narrow" w:hAnsi="Arial Narrow" w:cs="Calibri"/>
                <w:sz w:val="16"/>
                <w:szCs w:val="16"/>
              </w:rPr>
            </w:pPr>
            <w:r w:rsidRPr="008F7A9E">
              <w:rPr>
                <w:rFonts w:ascii="Arial Narrow" w:hAnsi="Arial Narrow" w:cs="Calibri"/>
                <w:sz w:val="16"/>
                <w:szCs w:val="16"/>
              </w:rPr>
              <w:t>19.04</w:t>
            </w:r>
          </w:p>
        </w:tc>
        <w:tc>
          <w:tcPr>
            <w:tcW w:w="4419" w:type="dxa"/>
            <w:tcBorders>
              <w:top w:val="nil"/>
              <w:left w:val="nil"/>
              <w:bottom w:val="single" w:sz="4" w:space="0" w:color="auto"/>
              <w:right w:val="single" w:sz="4" w:space="0" w:color="auto"/>
            </w:tcBorders>
            <w:shd w:val="clear" w:color="auto" w:fill="auto"/>
            <w:vAlign w:val="center"/>
            <w:hideMark/>
          </w:tcPr>
          <w:p w14:paraId="3DA894B4" w14:textId="77777777" w:rsidR="008F7A9E" w:rsidRPr="008F7A9E" w:rsidRDefault="00D56BD4" w:rsidP="008F7A9E">
            <w:pPr>
              <w:ind w:firstLineChars="100" w:firstLine="160"/>
              <w:rPr>
                <w:rFonts w:ascii="Arial Narrow" w:hAnsi="Arial Narrow" w:cs="Calibri"/>
                <w:sz w:val="16"/>
                <w:szCs w:val="16"/>
              </w:rPr>
            </w:pPr>
            <w:r w:rsidRPr="00D56BD4">
              <w:rPr>
                <w:rFonts w:ascii="Arial Narrow" w:hAnsi="Arial Narrow" w:cs="Calibri"/>
                <w:sz w:val="16"/>
                <w:szCs w:val="16"/>
              </w:rPr>
              <w:t xml:space="preserve">Продукти </w:t>
            </w:r>
            <w:r w:rsidR="008F7A9E" w:rsidRPr="008F7A9E">
              <w:rPr>
                <w:rFonts w:ascii="Arial Narrow" w:hAnsi="Arial Narrow" w:cs="Calibri"/>
                <w:sz w:val="16"/>
                <w:szCs w:val="16"/>
              </w:rPr>
              <w:t>за растителна защита и пестициди</w:t>
            </w:r>
          </w:p>
        </w:tc>
        <w:tc>
          <w:tcPr>
            <w:tcW w:w="1185" w:type="dxa"/>
            <w:tcBorders>
              <w:top w:val="nil"/>
              <w:left w:val="nil"/>
              <w:bottom w:val="single" w:sz="4" w:space="0" w:color="auto"/>
              <w:right w:val="single" w:sz="4" w:space="0" w:color="auto"/>
            </w:tcBorders>
            <w:shd w:val="clear" w:color="auto" w:fill="auto"/>
            <w:vAlign w:val="center"/>
            <w:hideMark/>
          </w:tcPr>
          <w:p w14:paraId="075D98A8" w14:textId="77777777" w:rsidR="008F7A9E" w:rsidRPr="008F7A9E" w:rsidRDefault="008F7A9E" w:rsidP="008F7A9E">
            <w:pPr>
              <w:jc w:val="right"/>
              <w:rPr>
                <w:rFonts w:ascii="Arial Narrow" w:hAnsi="Arial Narrow" w:cs="Calibri"/>
                <w:sz w:val="16"/>
                <w:szCs w:val="16"/>
              </w:rPr>
            </w:pPr>
            <w:r w:rsidRPr="008F7A9E">
              <w:rPr>
                <w:rFonts w:ascii="Arial Narrow" w:hAnsi="Arial Narrow" w:cs="Calibri"/>
                <w:sz w:val="16"/>
                <w:szCs w:val="16"/>
              </w:rPr>
              <w:t>511,8</w:t>
            </w:r>
          </w:p>
        </w:tc>
        <w:tc>
          <w:tcPr>
            <w:tcW w:w="1028" w:type="dxa"/>
            <w:tcBorders>
              <w:top w:val="nil"/>
              <w:left w:val="nil"/>
              <w:bottom w:val="single" w:sz="4" w:space="0" w:color="auto"/>
              <w:right w:val="single" w:sz="4" w:space="0" w:color="auto"/>
            </w:tcBorders>
            <w:shd w:val="clear" w:color="auto" w:fill="auto"/>
            <w:vAlign w:val="center"/>
            <w:hideMark/>
          </w:tcPr>
          <w:p w14:paraId="2CB621A6" w14:textId="77777777" w:rsidR="008F7A9E" w:rsidRPr="008F7A9E" w:rsidRDefault="008F7A9E" w:rsidP="008F7A9E">
            <w:pPr>
              <w:jc w:val="right"/>
              <w:rPr>
                <w:rFonts w:ascii="Arial Narrow" w:hAnsi="Arial Narrow" w:cs="Calibri"/>
                <w:sz w:val="16"/>
                <w:szCs w:val="16"/>
              </w:rPr>
            </w:pPr>
            <w:r w:rsidRPr="008F7A9E">
              <w:rPr>
                <w:rFonts w:ascii="Arial Narrow" w:hAnsi="Arial Narrow" w:cs="Calibri"/>
                <w:sz w:val="16"/>
                <w:szCs w:val="16"/>
              </w:rPr>
              <w:t>0,4</w:t>
            </w:r>
          </w:p>
        </w:tc>
        <w:tc>
          <w:tcPr>
            <w:tcW w:w="1217" w:type="dxa"/>
            <w:tcBorders>
              <w:top w:val="nil"/>
              <w:left w:val="nil"/>
              <w:bottom w:val="single" w:sz="4" w:space="0" w:color="auto"/>
              <w:right w:val="single" w:sz="4" w:space="0" w:color="auto"/>
            </w:tcBorders>
            <w:shd w:val="clear" w:color="auto" w:fill="auto"/>
            <w:vAlign w:val="center"/>
            <w:hideMark/>
          </w:tcPr>
          <w:p w14:paraId="6235B51E" w14:textId="77777777" w:rsidR="008F7A9E" w:rsidRPr="008F7A9E" w:rsidRDefault="008F7A9E" w:rsidP="008F7A9E">
            <w:pPr>
              <w:jc w:val="right"/>
              <w:rPr>
                <w:rFonts w:ascii="Arial Narrow" w:hAnsi="Arial Narrow" w:cs="Calibri"/>
                <w:sz w:val="16"/>
                <w:szCs w:val="16"/>
              </w:rPr>
            </w:pPr>
            <w:r w:rsidRPr="008F7A9E">
              <w:rPr>
                <w:rFonts w:ascii="Arial Narrow" w:hAnsi="Arial Narrow" w:cs="Calibri"/>
                <w:sz w:val="16"/>
                <w:szCs w:val="16"/>
              </w:rPr>
              <w:t>513,8</w:t>
            </w:r>
          </w:p>
        </w:tc>
        <w:tc>
          <w:tcPr>
            <w:tcW w:w="1075" w:type="dxa"/>
            <w:tcBorders>
              <w:top w:val="nil"/>
              <w:left w:val="nil"/>
              <w:bottom w:val="single" w:sz="4" w:space="0" w:color="auto"/>
              <w:right w:val="single" w:sz="4" w:space="0" w:color="auto"/>
            </w:tcBorders>
            <w:shd w:val="clear" w:color="auto" w:fill="auto"/>
            <w:vAlign w:val="center"/>
            <w:hideMark/>
          </w:tcPr>
          <w:p w14:paraId="41723B9B" w14:textId="77777777" w:rsidR="008F7A9E" w:rsidRPr="008F7A9E" w:rsidRDefault="008F7A9E" w:rsidP="008F7A9E">
            <w:pPr>
              <w:jc w:val="right"/>
              <w:rPr>
                <w:rFonts w:ascii="Arial Narrow" w:hAnsi="Arial Narrow" w:cs="Calibri"/>
                <w:sz w:val="16"/>
                <w:szCs w:val="16"/>
              </w:rPr>
            </w:pPr>
            <w:r w:rsidRPr="008F7A9E">
              <w:rPr>
                <w:rFonts w:ascii="Arial Narrow" w:hAnsi="Arial Narrow" w:cs="Calibri"/>
                <w:sz w:val="16"/>
                <w:szCs w:val="16"/>
              </w:rPr>
              <w:t>-1,5</w:t>
            </w:r>
          </w:p>
        </w:tc>
        <w:tc>
          <w:tcPr>
            <w:tcW w:w="1233" w:type="dxa"/>
            <w:tcBorders>
              <w:top w:val="nil"/>
              <w:left w:val="nil"/>
              <w:bottom w:val="single" w:sz="4" w:space="0" w:color="auto"/>
              <w:right w:val="single" w:sz="4" w:space="0" w:color="auto"/>
            </w:tcBorders>
            <w:shd w:val="clear" w:color="auto" w:fill="auto"/>
            <w:vAlign w:val="center"/>
            <w:hideMark/>
          </w:tcPr>
          <w:p w14:paraId="56657EE0" w14:textId="77777777" w:rsidR="008F7A9E" w:rsidRPr="008F7A9E" w:rsidRDefault="008F7A9E" w:rsidP="008F7A9E">
            <w:pPr>
              <w:jc w:val="right"/>
              <w:rPr>
                <w:rFonts w:ascii="Arial Narrow" w:hAnsi="Arial Narrow" w:cs="Calibri"/>
                <w:sz w:val="16"/>
                <w:szCs w:val="16"/>
              </w:rPr>
            </w:pPr>
            <w:r w:rsidRPr="008F7A9E">
              <w:rPr>
                <w:rFonts w:ascii="Arial Narrow" w:hAnsi="Arial Narrow" w:cs="Calibri"/>
                <w:sz w:val="16"/>
                <w:szCs w:val="16"/>
              </w:rPr>
              <w:t>506,1</w:t>
            </w:r>
          </w:p>
        </w:tc>
      </w:tr>
      <w:tr w:rsidR="008F7A9E" w:rsidRPr="00B10684" w14:paraId="2A0115DF" w14:textId="77777777" w:rsidTr="005A18A5">
        <w:trPr>
          <w:trHeight w:val="251"/>
        </w:trPr>
        <w:tc>
          <w:tcPr>
            <w:tcW w:w="748" w:type="dxa"/>
            <w:tcBorders>
              <w:top w:val="nil"/>
              <w:left w:val="single" w:sz="4" w:space="0" w:color="auto"/>
              <w:bottom w:val="single" w:sz="4" w:space="0" w:color="auto"/>
              <w:right w:val="single" w:sz="4" w:space="0" w:color="auto"/>
            </w:tcBorders>
            <w:shd w:val="clear" w:color="auto" w:fill="auto"/>
            <w:vAlign w:val="center"/>
            <w:hideMark/>
          </w:tcPr>
          <w:p w14:paraId="2707FFF2" w14:textId="77777777" w:rsidR="008F7A9E" w:rsidRPr="008F7A9E" w:rsidRDefault="008F7A9E" w:rsidP="008F7A9E">
            <w:pPr>
              <w:rPr>
                <w:rFonts w:ascii="Arial Narrow" w:hAnsi="Arial Narrow" w:cs="Calibri"/>
                <w:sz w:val="16"/>
                <w:szCs w:val="16"/>
              </w:rPr>
            </w:pPr>
            <w:r w:rsidRPr="008F7A9E">
              <w:rPr>
                <w:rFonts w:ascii="Arial Narrow" w:hAnsi="Arial Narrow" w:cs="Calibri"/>
                <w:sz w:val="16"/>
                <w:szCs w:val="16"/>
              </w:rPr>
              <w:t>19.05</w:t>
            </w:r>
          </w:p>
        </w:tc>
        <w:tc>
          <w:tcPr>
            <w:tcW w:w="4419" w:type="dxa"/>
            <w:tcBorders>
              <w:top w:val="nil"/>
              <w:left w:val="nil"/>
              <w:bottom w:val="single" w:sz="4" w:space="0" w:color="auto"/>
              <w:right w:val="single" w:sz="4" w:space="0" w:color="auto"/>
            </w:tcBorders>
            <w:shd w:val="clear" w:color="auto" w:fill="auto"/>
            <w:vAlign w:val="center"/>
            <w:hideMark/>
          </w:tcPr>
          <w:p w14:paraId="78F29FC8" w14:textId="77777777" w:rsidR="008F7A9E" w:rsidRPr="008F7A9E" w:rsidRDefault="008F7A9E" w:rsidP="008F7A9E">
            <w:pPr>
              <w:ind w:firstLineChars="100" w:firstLine="160"/>
              <w:rPr>
                <w:rFonts w:ascii="Arial Narrow" w:hAnsi="Arial Narrow" w:cs="Calibri"/>
                <w:sz w:val="16"/>
                <w:szCs w:val="16"/>
              </w:rPr>
            </w:pPr>
            <w:r w:rsidRPr="008F7A9E">
              <w:rPr>
                <w:rFonts w:ascii="Arial Narrow" w:hAnsi="Arial Narrow" w:cs="Calibri"/>
                <w:sz w:val="16"/>
                <w:szCs w:val="16"/>
              </w:rPr>
              <w:t>Ветеринарни разходи</w:t>
            </w:r>
          </w:p>
        </w:tc>
        <w:tc>
          <w:tcPr>
            <w:tcW w:w="1185" w:type="dxa"/>
            <w:tcBorders>
              <w:top w:val="nil"/>
              <w:left w:val="nil"/>
              <w:bottom w:val="single" w:sz="4" w:space="0" w:color="auto"/>
              <w:right w:val="single" w:sz="4" w:space="0" w:color="auto"/>
            </w:tcBorders>
            <w:shd w:val="clear" w:color="auto" w:fill="auto"/>
            <w:vAlign w:val="center"/>
            <w:hideMark/>
          </w:tcPr>
          <w:p w14:paraId="0EE8B6B1" w14:textId="77777777" w:rsidR="008F7A9E" w:rsidRPr="008F7A9E" w:rsidRDefault="008F7A9E" w:rsidP="008F7A9E">
            <w:pPr>
              <w:jc w:val="right"/>
              <w:rPr>
                <w:rFonts w:ascii="Arial Narrow" w:hAnsi="Arial Narrow" w:cs="Calibri"/>
                <w:sz w:val="16"/>
                <w:szCs w:val="16"/>
              </w:rPr>
            </w:pPr>
            <w:r w:rsidRPr="008F7A9E">
              <w:rPr>
                <w:rFonts w:ascii="Arial Narrow" w:hAnsi="Arial Narrow" w:cs="Calibri"/>
                <w:sz w:val="16"/>
                <w:szCs w:val="16"/>
              </w:rPr>
              <w:t>221,6</w:t>
            </w:r>
          </w:p>
        </w:tc>
        <w:tc>
          <w:tcPr>
            <w:tcW w:w="1028" w:type="dxa"/>
            <w:tcBorders>
              <w:top w:val="nil"/>
              <w:left w:val="nil"/>
              <w:bottom w:val="single" w:sz="4" w:space="0" w:color="auto"/>
              <w:right w:val="single" w:sz="4" w:space="0" w:color="auto"/>
            </w:tcBorders>
            <w:shd w:val="clear" w:color="auto" w:fill="auto"/>
            <w:vAlign w:val="center"/>
            <w:hideMark/>
          </w:tcPr>
          <w:p w14:paraId="10B561AC" w14:textId="77777777" w:rsidR="008F7A9E" w:rsidRPr="008F7A9E" w:rsidRDefault="008F7A9E" w:rsidP="008F7A9E">
            <w:pPr>
              <w:jc w:val="right"/>
              <w:rPr>
                <w:rFonts w:ascii="Arial Narrow" w:hAnsi="Arial Narrow" w:cs="Calibri"/>
                <w:sz w:val="16"/>
                <w:szCs w:val="16"/>
              </w:rPr>
            </w:pPr>
            <w:r w:rsidRPr="008F7A9E">
              <w:rPr>
                <w:rFonts w:ascii="Arial Narrow" w:hAnsi="Arial Narrow" w:cs="Calibri"/>
                <w:sz w:val="16"/>
                <w:szCs w:val="16"/>
              </w:rPr>
              <w:t>-27,1</w:t>
            </w:r>
          </w:p>
        </w:tc>
        <w:tc>
          <w:tcPr>
            <w:tcW w:w="1217" w:type="dxa"/>
            <w:tcBorders>
              <w:top w:val="nil"/>
              <w:left w:val="nil"/>
              <w:bottom w:val="single" w:sz="4" w:space="0" w:color="auto"/>
              <w:right w:val="single" w:sz="4" w:space="0" w:color="auto"/>
            </w:tcBorders>
            <w:shd w:val="clear" w:color="auto" w:fill="auto"/>
            <w:vAlign w:val="center"/>
            <w:hideMark/>
          </w:tcPr>
          <w:p w14:paraId="1970ADE5" w14:textId="77777777" w:rsidR="008F7A9E" w:rsidRPr="008F7A9E" w:rsidRDefault="008F7A9E" w:rsidP="008F7A9E">
            <w:pPr>
              <w:jc w:val="right"/>
              <w:rPr>
                <w:rFonts w:ascii="Arial Narrow" w:hAnsi="Arial Narrow" w:cs="Calibri"/>
                <w:sz w:val="16"/>
                <w:szCs w:val="16"/>
              </w:rPr>
            </w:pPr>
            <w:r w:rsidRPr="008F7A9E">
              <w:rPr>
                <w:rFonts w:ascii="Arial Narrow" w:hAnsi="Arial Narrow" w:cs="Calibri"/>
                <w:sz w:val="16"/>
                <w:szCs w:val="16"/>
              </w:rPr>
              <w:t>161,6</w:t>
            </w:r>
          </w:p>
        </w:tc>
        <w:tc>
          <w:tcPr>
            <w:tcW w:w="1075" w:type="dxa"/>
            <w:tcBorders>
              <w:top w:val="nil"/>
              <w:left w:val="nil"/>
              <w:bottom w:val="single" w:sz="4" w:space="0" w:color="auto"/>
              <w:right w:val="single" w:sz="4" w:space="0" w:color="auto"/>
            </w:tcBorders>
            <w:shd w:val="clear" w:color="auto" w:fill="auto"/>
            <w:vAlign w:val="center"/>
            <w:hideMark/>
          </w:tcPr>
          <w:p w14:paraId="12CBFCB1" w14:textId="77777777" w:rsidR="008F7A9E" w:rsidRPr="008F7A9E" w:rsidRDefault="008F7A9E" w:rsidP="008F7A9E">
            <w:pPr>
              <w:jc w:val="right"/>
              <w:rPr>
                <w:rFonts w:ascii="Arial Narrow" w:hAnsi="Arial Narrow" w:cs="Calibri"/>
                <w:sz w:val="16"/>
                <w:szCs w:val="16"/>
              </w:rPr>
            </w:pPr>
            <w:r w:rsidRPr="008F7A9E">
              <w:rPr>
                <w:rFonts w:ascii="Arial Narrow" w:hAnsi="Arial Narrow" w:cs="Calibri"/>
                <w:sz w:val="16"/>
                <w:szCs w:val="16"/>
              </w:rPr>
              <w:t>-24,5</w:t>
            </w:r>
          </w:p>
        </w:tc>
        <w:tc>
          <w:tcPr>
            <w:tcW w:w="1233" w:type="dxa"/>
            <w:tcBorders>
              <w:top w:val="nil"/>
              <w:left w:val="nil"/>
              <w:bottom w:val="single" w:sz="4" w:space="0" w:color="auto"/>
              <w:right w:val="single" w:sz="4" w:space="0" w:color="auto"/>
            </w:tcBorders>
            <w:shd w:val="clear" w:color="auto" w:fill="auto"/>
            <w:vAlign w:val="center"/>
            <w:hideMark/>
          </w:tcPr>
          <w:p w14:paraId="36A9C541" w14:textId="77777777" w:rsidR="008F7A9E" w:rsidRPr="008F7A9E" w:rsidRDefault="008F7A9E" w:rsidP="008F7A9E">
            <w:pPr>
              <w:jc w:val="right"/>
              <w:rPr>
                <w:rFonts w:ascii="Arial Narrow" w:hAnsi="Arial Narrow" w:cs="Calibri"/>
                <w:sz w:val="16"/>
                <w:szCs w:val="16"/>
              </w:rPr>
            </w:pPr>
            <w:r w:rsidRPr="008F7A9E">
              <w:rPr>
                <w:rFonts w:ascii="Arial Narrow" w:hAnsi="Arial Narrow" w:cs="Calibri"/>
                <w:sz w:val="16"/>
                <w:szCs w:val="16"/>
              </w:rPr>
              <w:t>122,0</w:t>
            </w:r>
          </w:p>
        </w:tc>
      </w:tr>
      <w:tr w:rsidR="008F7A9E" w:rsidRPr="00B10684" w14:paraId="553C7784" w14:textId="77777777" w:rsidTr="005A18A5">
        <w:trPr>
          <w:trHeight w:val="251"/>
        </w:trPr>
        <w:tc>
          <w:tcPr>
            <w:tcW w:w="748" w:type="dxa"/>
            <w:tcBorders>
              <w:top w:val="nil"/>
              <w:left w:val="single" w:sz="4" w:space="0" w:color="auto"/>
              <w:bottom w:val="single" w:sz="4" w:space="0" w:color="auto"/>
              <w:right w:val="single" w:sz="4" w:space="0" w:color="auto"/>
            </w:tcBorders>
            <w:shd w:val="clear" w:color="auto" w:fill="auto"/>
            <w:vAlign w:val="center"/>
            <w:hideMark/>
          </w:tcPr>
          <w:p w14:paraId="06B0DBE4" w14:textId="77777777" w:rsidR="008F7A9E" w:rsidRPr="008F7A9E" w:rsidRDefault="008F7A9E" w:rsidP="008F7A9E">
            <w:pPr>
              <w:rPr>
                <w:rFonts w:ascii="Arial Narrow" w:hAnsi="Arial Narrow" w:cs="Calibri"/>
                <w:sz w:val="16"/>
                <w:szCs w:val="16"/>
              </w:rPr>
            </w:pPr>
            <w:r w:rsidRPr="008F7A9E">
              <w:rPr>
                <w:rFonts w:ascii="Arial Narrow" w:hAnsi="Arial Narrow" w:cs="Calibri"/>
                <w:sz w:val="16"/>
                <w:szCs w:val="16"/>
              </w:rPr>
              <w:t>19.06</w:t>
            </w:r>
          </w:p>
        </w:tc>
        <w:tc>
          <w:tcPr>
            <w:tcW w:w="4419" w:type="dxa"/>
            <w:tcBorders>
              <w:top w:val="nil"/>
              <w:left w:val="nil"/>
              <w:bottom w:val="single" w:sz="4" w:space="0" w:color="auto"/>
              <w:right w:val="single" w:sz="4" w:space="0" w:color="auto"/>
            </w:tcBorders>
            <w:shd w:val="clear" w:color="auto" w:fill="auto"/>
            <w:vAlign w:val="center"/>
            <w:hideMark/>
          </w:tcPr>
          <w:p w14:paraId="49F05F11" w14:textId="77777777" w:rsidR="008F7A9E" w:rsidRPr="008F7A9E" w:rsidRDefault="008F7A9E" w:rsidP="008F7A9E">
            <w:pPr>
              <w:ind w:firstLineChars="100" w:firstLine="160"/>
              <w:rPr>
                <w:rFonts w:ascii="Arial Narrow" w:hAnsi="Arial Narrow" w:cs="Calibri"/>
                <w:sz w:val="16"/>
                <w:szCs w:val="16"/>
              </w:rPr>
            </w:pPr>
            <w:r w:rsidRPr="008F7A9E">
              <w:rPr>
                <w:rFonts w:ascii="Arial Narrow" w:hAnsi="Arial Narrow" w:cs="Calibri"/>
                <w:sz w:val="16"/>
                <w:szCs w:val="16"/>
              </w:rPr>
              <w:t>Фуражни добавки</w:t>
            </w:r>
          </w:p>
        </w:tc>
        <w:tc>
          <w:tcPr>
            <w:tcW w:w="1185" w:type="dxa"/>
            <w:tcBorders>
              <w:top w:val="nil"/>
              <w:left w:val="nil"/>
              <w:bottom w:val="single" w:sz="4" w:space="0" w:color="auto"/>
              <w:right w:val="single" w:sz="4" w:space="0" w:color="auto"/>
            </w:tcBorders>
            <w:shd w:val="clear" w:color="auto" w:fill="auto"/>
            <w:vAlign w:val="center"/>
            <w:hideMark/>
          </w:tcPr>
          <w:p w14:paraId="257BF395" w14:textId="77777777" w:rsidR="008F7A9E" w:rsidRPr="008F7A9E" w:rsidRDefault="008F7A9E" w:rsidP="008F7A9E">
            <w:pPr>
              <w:jc w:val="right"/>
              <w:rPr>
                <w:rFonts w:ascii="Arial Narrow" w:hAnsi="Arial Narrow" w:cs="Calibri"/>
                <w:sz w:val="16"/>
                <w:szCs w:val="16"/>
              </w:rPr>
            </w:pPr>
            <w:r w:rsidRPr="008F7A9E">
              <w:rPr>
                <w:rFonts w:ascii="Arial Narrow" w:hAnsi="Arial Narrow" w:cs="Calibri"/>
                <w:sz w:val="16"/>
                <w:szCs w:val="16"/>
              </w:rPr>
              <w:t>1 479,3</w:t>
            </w:r>
          </w:p>
        </w:tc>
        <w:tc>
          <w:tcPr>
            <w:tcW w:w="1028" w:type="dxa"/>
            <w:tcBorders>
              <w:top w:val="nil"/>
              <w:left w:val="nil"/>
              <w:bottom w:val="single" w:sz="4" w:space="0" w:color="auto"/>
              <w:right w:val="single" w:sz="4" w:space="0" w:color="auto"/>
            </w:tcBorders>
            <w:shd w:val="clear" w:color="auto" w:fill="auto"/>
            <w:vAlign w:val="center"/>
            <w:hideMark/>
          </w:tcPr>
          <w:p w14:paraId="1F3C5DE4" w14:textId="77777777" w:rsidR="008F7A9E" w:rsidRPr="008F7A9E" w:rsidRDefault="008F7A9E" w:rsidP="008F7A9E">
            <w:pPr>
              <w:jc w:val="right"/>
              <w:rPr>
                <w:rFonts w:ascii="Arial Narrow" w:hAnsi="Arial Narrow" w:cs="Calibri"/>
                <w:sz w:val="16"/>
                <w:szCs w:val="16"/>
              </w:rPr>
            </w:pPr>
            <w:r w:rsidRPr="008F7A9E">
              <w:rPr>
                <w:rFonts w:ascii="Arial Narrow" w:hAnsi="Arial Narrow" w:cs="Calibri"/>
                <w:sz w:val="16"/>
                <w:szCs w:val="16"/>
              </w:rPr>
              <w:t>-8,7</w:t>
            </w:r>
          </w:p>
        </w:tc>
        <w:tc>
          <w:tcPr>
            <w:tcW w:w="1217" w:type="dxa"/>
            <w:tcBorders>
              <w:top w:val="nil"/>
              <w:left w:val="nil"/>
              <w:bottom w:val="single" w:sz="4" w:space="0" w:color="auto"/>
              <w:right w:val="single" w:sz="4" w:space="0" w:color="auto"/>
            </w:tcBorders>
            <w:shd w:val="clear" w:color="auto" w:fill="auto"/>
            <w:vAlign w:val="center"/>
            <w:hideMark/>
          </w:tcPr>
          <w:p w14:paraId="69EAC799" w14:textId="77777777" w:rsidR="008F7A9E" w:rsidRPr="008F7A9E" w:rsidRDefault="008F7A9E" w:rsidP="008F7A9E">
            <w:pPr>
              <w:jc w:val="right"/>
              <w:rPr>
                <w:rFonts w:ascii="Arial Narrow" w:hAnsi="Arial Narrow" w:cs="Calibri"/>
                <w:sz w:val="16"/>
                <w:szCs w:val="16"/>
              </w:rPr>
            </w:pPr>
            <w:r w:rsidRPr="008F7A9E">
              <w:rPr>
                <w:rFonts w:ascii="Arial Narrow" w:hAnsi="Arial Narrow" w:cs="Calibri"/>
                <w:sz w:val="16"/>
                <w:szCs w:val="16"/>
              </w:rPr>
              <w:t>1 351,0</w:t>
            </w:r>
          </w:p>
        </w:tc>
        <w:tc>
          <w:tcPr>
            <w:tcW w:w="1075" w:type="dxa"/>
            <w:tcBorders>
              <w:top w:val="nil"/>
              <w:left w:val="nil"/>
              <w:bottom w:val="single" w:sz="4" w:space="0" w:color="auto"/>
              <w:right w:val="single" w:sz="4" w:space="0" w:color="auto"/>
            </w:tcBorders>
            <w:shd w:val="clear" w:color="auto" w:fill="auto"/>
            <w:vAlign w:val="center"/>
            <w:hideMark/>
          </w:tcPr>
          <w:p w14:paraId="6EF81544" w14:textId="77777777" w:rsidR="008F7A9E" w:rsidRPr="008F7A9E" w:rsidRDefault="008F7A9E" w:rsidP="008F7A9E">
            <w:pPr>
              <w:jc w:val="right"/>
              <w:rPr>
                <w:rFonts w:ascii="Arial Narrow" w:hAnsi="Arial Narrow" w:cs="Calibri"/>
                <w:sz w:val="16"/>
                <w:szCs w:val="16"/>
              </w:rPr>
            </w:pPr>
            <w:r w:rsidRPr="008F7A9E">
              <w:rPr>
                <w:rFonts w:ascii="Arial Narrow" w:hAnsi="Arial Narrow" w:cs="Calibri"/>
                <w:sz w:val="16"/>
                <w:szCs w:val="16"/>
              </w:rPr>
              <w:t>-10,9</w:t>
            </w:r>
          </w:p>
        </w:tc>
        <w:tc>
          <w:tcPr>
            <w:tcW w:w="1233" w:type="dxa"/>
            <w:tcBorders>
              <w:top w:val="nil"/>
              <w:left w:val="nil"/>
              <w:bottom w:val="single" w:sz="4" w:space="0" w:color="auto"/>
              <w:right w:val="single" w:sz="4" w:space="0" w:color="auto"/>
            </w:tcBorders>
            <w:shd w:val="clear" w:color="auto" w:fill="auto"/>
            <w:vAlign w:val="center"/>
            <w:hideMark/>
          </w:tcPr>
          <w:p w14:paraId="3E54C5FE" w14:textId="77777777" w:rsidR="008F7A9E" w:rsidRPr="008F7A9E" w:rsidRDefault="008F7A9E" w:rsidP="008F7A9E">
            <w:pPr>
              <w:jc w:val="right"/>
              <w:rPr>
                <w:rFonts w:ascii="Arial Narrow" w:hAnsi="Arial Narrow" w:cs="Calibri"/>
                <w:sz w:val="16"/>
                <w:szCs w:val="16"/>
              </w:rPr>
            </w:pPr>
            <w:r w:rsidRPr="008F7A9E">
              <w:rPr>
                <w:rFonts w:ascii="Arial Narrow" w:hAnsi="Arial Narrow" w:cs="Calibri"/>
                <w:sz w:val="16"/>
                <w:szCs w:val="16"/>
              </w:rPr>
              <w:t>1 203,8</w:t>
            </w:r>
          </w:p>
        </w:tc>
      </w:tr>
      <w:tr w:rsidR="008F7A9E" w:rsidRPr="00B10684" w14:paraId="41314D76" w14:textId="77777777" w:rsidTr="005A18A5">
        <w:trPr>
          <w:trHeight w:val="245"/>
        </w:trPr>
        <w:tc>
          <w:tcPr>
            <w:tcW w:w="748" w:type="dxa"/>
            <w:tcBorders>
              <w:top w:val="nil"/>
              <w:left w:val="single" w:sz="4" w:space="0" w:color="auto"/>
              <w:bottom w:val="single" w:sz="4" w:space="0" w:color="auto"/>
              <w:right w:val="single" w:sz="4" w:space="0" w:color="auto"/>
            </w:tcBorders>
            <w:shd w:val="clear" w:color="auto" w:fill="auto"/>
            <w:vAlign w:val="center"/>
            <w:hideMark/>
          </w:tcPr>
          <w:p w14:paraId="0BC1DF6B" w14:textId="77777777" w:rsidR="008F7A9E" w:rsidRPr="008F7A9E" w:rsidRDefault="008F7A9E" w:rsidP="008F7A9E">
            <w:pPr>
              <w:rPr>
                <w:rFonts w:ascii="Arial Narrow" w:hAnsi="Arial Narrow" w:cs="Calibri"/>
                <w:sz w:val="16"/>
                <w:szCs w:val="16"/>
              </w:rPr>
            </w:pPr>
            <w:r w:rsidRPr="008F7A9E">
              <w:rPr>
                <w:rFonts w:ascii="Arial Narrow" w:hAnsi="Arial Narrow" w:cs="Calibri"/>
                <w:sz w:val="16"/>
                <w:szCs w:val="16"/>
              </w:rPr>
              <w:t>19.06/1</w:t>
            </w:r>
          </w:p>
        </w:tc>
        <w:tc>
          <w:tcPr>
            <w:tcW w:w="4419" w:type="dxa"/>
            <w:tcBorders>
              <w:top w:val="nil"/>
              <w:left w:val="nil"/>
              <w:bottom w:val="single" w:sz="4" w:space="0" w:color="auto"/>
              <w:right w:val="single" w:sz="4" w:space="0" w:color="auto"/>
            </w:tcBorders>
            <w:shd w:val="clear" w:color="auto" w:fill="auto"/>
            <w:vAlign w:val="center"/>
            <w:hideMark/>
          </w:tcPr>
          <w:p w14:paraId="27A4C4E5" w14:textId="77777777" w:rsidR="008F7A9E" w:rsidRPr="008F7A9E" w:rsidRDefault="008F7A9E" w:rsidP="008F7A9E">
            <w:pPr>
              <w:ind w:firstLineChars="200" w:firstLine="320"/>
              <w:rPr>
                <w:rFonts w:ascii="Arial Narrow" w:hAnsi="Arial Narrow" w:cs="Calibri"/>
                <w:sz w:val="16"/>
                <w:szCs w:val="16"/>
              </w:rPr>
            </w:pPr>
            <w:r w:rsidRPr="008F7A9E">
              <w:rPr>
                <w:rFonts w:ascii="Arial Narrow" w:hAnsi="Arial Narrow" w:cs="Calibri"/>
                <w:sz w:val="16"/>
                <w:szCs w:val="16"/>
              </w:rPr>
              <w:t>доставено от други селскостопански предприятия</w:t>
            </w:r>
          </w:p>
        </w:tc>
        <w:tc>
          <w:tcPr>
            <w:tcW w:w="1185" w:type="dxa"/>
            <w:tcBorders>
              <w:top w:val="nil"/>
              <w:left w:val="nil"/>
              <w:bottom w:val="single" w:sz="4" w:space="0" w:color="auto"/>
              <w:right w:val="single" w:sz="4" w:space="0" w:color="auto"/>
            </w:tcBorders>
            <w:shd w:val="clear" w:color="auto" w:fill="auto"/>
            <w:vAlign w:val="center"/>
            <w:hideMark/>
          </w:tcPr>
          <w:p w14:paraId="7722416E" w14:textId="77777777" w:rsidR="008F7A9E" w:rsidRPr="008F7A9E" w:rsidRDefault="008F7A9E" w:rsidP="008F7A9E">
            <w:pPr>
              <w:jc w:val="right"/>
              <w:rPr>
                <w:rFonts w:ascii="Arial Narrow" w:hAnsi="Arial Narrow" w:cs="Calibri"/>
                <w:sz w:val="16"/>
                <w:szCs w:val="16"/>
              </w:rPr>
            </w:pPr>
            <w:r w:rsidRPr="008F7A9E">
              <w:rPr>
                <w:rFonts w:ascii="Arial Narrow" w:hAnsi="Arial Narrow" w:cs="Calibri"/>
                <w:sz w:val="16"/>
                <w:szCs w:val="16"/>
              </w:rPr>
              <w:t>534,9</w:t>
            </w:r>
          </w:p>
        </w:tc>
        <w:tc>
          <w:tcPr>
            <w:tcW w:w="1028" w:type="dxa"/>
            <w:tcBorders>
              <w:top w:val="nil"/>
              <w:left w:val="nil"/>
              <w:bottom w:val="single" w:sz="4" w:space="0" w:color="auto"/>
              <w:right w:val="single" w:sz="4" w:space="0" w:color="auto"/>
            </w:tcBorders>
            <w:shd w:val="clear" w:color="auto" w:fill="auto"/>
            <w:vAlign w:val="center"/>
            <w:hideMark/>
          </w:tcPr>
          <w:p w14:paraId="78351AA9" w14:textId="77777777" w:rsidR="008F7A9E" w:rsidRPr="008F7A9E" w:rsidRDefault="008F7A9E" w:rsidP="008F7A9E">
            <w:pPr>
              <w:jc w:val="right"/>
              <w:rPr>
                <w:rFonts w:ascii="Arial Narrow" w:hAnsi="Arial Narrow" w:cs="Calibri"/>
                <w:sz w:val="16"/>
                <w:szCs w:val="16"/>
              </w:rPr>
            </w:pPr>
            <w:r w:rsidRPr="008F7A9E">
              <w:rPr>
                <w:rFonts w:ascii="Arial Narrow" w:hAnsi="Arial Narrow" w:cs="Calibri"/>
                <w:sz w:val="16"/>
                <w:szCs w:val="16"/>
              </w:rPr>
              <w:t>1,0</w:t>
            </w:r>
          </w:p>
        </w:tc>
        <w:tc>
          <w:tcPr>
            <w:tcW w:w="1217" w:type="dxa"/>
            <w:tcBorders>
              <w:top w:val="nil"/>
              <w:left w:val="nil"/>
              <w:bottom w:val="single" w:sz="4" w:space="0" w:color="auto"/>
              <w:right w:val="single" w:sz="4" w:space="0" w:color="auto"/>
            </w:tcBorders>
            <w:shd w:val="clear" w:color="auto" w:fill="auto"/>
            <w:vAlign w:val="center"/>
            <w:hideMark/>
          </w:tcPr>
          <w:p w14:paraId="284CAF6B" w14:textId="77777777" w:rsidR="008F7A9E" w:rsidRPr="008F7A9E" w:rsidRDefault="008F7A9E" w:rsidP="008F7A9E">
            <w:pPr>
              <w:jc w:val="right"/>
              <w:rPr>
                <w:rFonts w:ascii="Arial Narrow" w:hAnsi="Arial Narrow" w:cs="Calibri"/>
                <w:sz w:val="16"/>
                <w:szCs w:val="16"/>
              </w:rPr>
            </w:pPr>
            <w:r w:rsidRPr="008F7A9E">
              <w:rPr>
                <w:rFonts w:ascii="Arial Narrow" w:hAnsi="Arial Narrow" w:cs="Calibri"/>
                <w:sz w:val="16"/>
                <w:szCs w:val="16"/>
              </w:rPr>
              <w:t>540,1</w:t>
            </w:r>
          </w:p>
        </w:tc>
        <w:tc>
          <w:tcPr>
            <w:tcW w:w="1075" w:type="dxa"/>
            <w:tcBorders>
              <w:top w:val="nil"/>
              <w:left w:val="nil"/>
              <w:bottom w:val="single" w:sz="4" w:space="0" w:color="auto"/>
              <w:right w:val="single" w:sz="4" w:space="0" w:color="auto"/>
            </w:tcBorders>
            <w:shd w:val="clear" w:color="auto" w:fill="auto"/>
            <w:vAlign w:val="center"/>
            <w:hideMark/>
          </w:tcPr>
          <w:p w14:paraId="20F2769D" w14:textId="77777777" w:rsidR="008F7A9E" w:rsidRPr="008F7A9E" w:rsidRDefault="008F7A9E" w:rsidP="008F7A9E">
            <w:pPr>
              <w:jc w:val="right"/>
              <w:rPr>
                <w:rFonts w:ascii="Arial Narrow" w:hAnsi="Arial Narrow" w:cs="Calibri"/>
                <w:sz w:val="16"/>
                <w:szCs w:val="16"/>
              </w:rPr>
            </w:pPr>
            <w:r w:rsidRPr="008F7A9E">
              <w:rPr>
                <w:rFonts w:ascii="Arial Narrow" w:hAnsi="Arial Narrow" w:cs="Calibri"/>
                <w:sz w:val="16"/>
                <w:szCs w:val="16"/>
              </w:rPr>
              <w:t>-9,8</w:t>
            </w:r>
          </w:p>
        </w:tc>
        <w:tc>
          <w:tcPr>
            <w:tcW w:w="1233" w:type="dxa"/>
            <w:tcBorders>
              <w:top w:val="nil"/>
              <w:left w:val="nil"/>
              <w:bottom w:val="single" w:sz="4" w:space="0" w:color="auto"/>
              <w:right w:val="single" w:sz="4" w:space="0" w:color="auto"/>
            </w:tcBorders>
            <w:shd w:val="clear" w:color="auto" w:fill="auto"/>
            <w:vAlign w:val="center"/>
            <w:hideMark/>
          </w:tcPr>
          <w:p w14:paraId="10BD173E" w14:textId="77777777" w:rsidR="008F7A9E" w:rsidRPr="008F7A9E" w:rsidRDefault="008F7A9E" w:rsidP="008F7A9E">
            <w:pPr>
              <w:jc w:val="right"/>
              <w:rPr>
                <w:rFonts w:ascii="Arial Narrow" w:hAnsi="Arial Narrow" w:cs="Calibri"/>
                <w:sz w:val="16"/>
                <w:szCs w:val="16"/>
              </w:rPr>
            </w:pPr>
            <w:r w:rsidRPr="008F7A9E">
              <w:rPr>
                <w:rFonts w:ascii="Arial Narrow" w:hAnsi="Arial Narrow" w:cs="Calibri"/>
                <w:sz w:val="16"/>
                <w:szCs w:val="16"/>
              </w:rPr>
              <w:t>487,0</w:t>
            </w:r>
          </w:p>
        </w:tc>
      </w:tr>
      <w:tr w:rsidR="008F7A9E" w:rsidRPr="00B10684" w14:paraId="5A49808F" w14:textId="77777777" w:rsidTr="005A18A5">
        <w:trPr>
          <w:trHeight w:val="251"/>
        </w:trPr>
        <w:tc>
          <w:tcPr>
            <w:tcW w:w="748" w:type="dxa"/>
            <w:tcBorders>
              <w:top w:val="nil"/>
              <w:left w:val="single" w:sz="4" w:space="0" w:color="auto"/>
              <w:bottom w:val="single" w:sz="4" w:space="0" w:color="auto"/>
              <w:right w:val="single" w:sz="4" w:space="0" w:color="auto"/>
            </w:tcBorders>
            <w:shd w:val="clear" w:color="auto" w:fill="auto"/>
            <w:vAlign w:val="center"/>
            <w:hideMark/>
          </w:tcPr>
          <w:p w14:paraId="1B757A97" w14:textId="77777777" w:rsidR="008F7A9E" w:rsidRPr="008F7A9E" w:rsidRDefault="008F7A9E" w:rsidP="008F7A9E">
            <w:pPr>
              <w:rPr>
                <w:rFonts w:ascii="Arial Narrow" w:hAnsi="Arial Narrow" w:cs="Calibri"/>
                <w:sz w:val="16"/>
                <w:szCs w:val="16"/>
              </w:rPr>
            </w:pPr>
            <w:r w:rsidRPr="008F7A9E">
              <w:rPr>
                <w:rFonts w:ascii="Arial Narrow" w:hAnsi="Arial Narrow" w:cs="Calibri"/>
                <w:sz w:val="16"/>
                <w:szCs w:val="16"/>
              </w:rPr>
              <w:t>19.06/2</w:t>
            </w:r>
          </w:p>
        </w:tc>
        <w:tc>
          <w:tcPr>
            <w:tcW w:w="4419" w:type="dxa"/>
            <w:tcBorders>
              <w:top w:val="nil"/>
              <w:left w:val="nil"/>
              <w:bottom w:val="single" w:sz="4" w:space="0" w:color="auto"/>
              <w:right w:val="single" w:sz="4" w:space="0" w:color="auto"/>
            </w:tcBorders>
            <w:shd w:val="clear" w:color="auto" w:fill="auto"/>
            <w:vAlign w:val="center"/>
            <w:hideMark/>
          </w:tcPr>
          <w:p w14:paraId="04ECBAB7" w14:textId="77777777" w:rsidR="008F7A9E" w:rsidRPr="008F7A9E" w:rsidRDefault="008F7A9E" w:rsidP="008F7A9E">
            <w:pPr>
              <w:ind w:firstLineChars="200" w:firstLine="320"/>
              <w:rPr>
                <w:rFonts w:ascii="Arial Narrow" w:hAnsi="Arial Narrow" w:cs="Calibri"/>
                <w:sz w:val="16"/>
                <w:szCs w:val="16"/>
              </w:rPr>
            </w:pPr>
            <w:r w:rsidRPr="008F7A9E">
              <w:rPr>
                <w:rFonts w:ascii="Arial Narrow" w:hAnsi="Arial Narrow" w:cs="Calibri"/>
                <w:sz w:val="16"/>
                <w:szCs w:val="16"/>
              </w:rPr>
              <w:t>закупено извън сектора</w:t>
            </w:r>
          </w:p>
        </w:tc>
        <w:tc>
          <w:tcPr>
            <w:tcW w:w="1185" w:type="dxa"/>
            <w:tcBorders>
              <w:top w:val="nil"/>
              <w:left w:val="nil"/>
              <w:bottom w:val="single" w:sz="4" w:space="0" w:color="auto"/>
              <w:right w:val="single" w:sz="4" w:space="0" w:color="auto"/>
            </w:tcBorders>
            <w:shd w:val="clear" w:color="auto" w:fill="auto"/>
            <w:vAlign w:val="center"/>
            <w:hideMark/>
          </w:tcPr>
          <w:p w14:paraId="08C3B961" w14:textId="77777777" w:rsidR="008F7A9E" w:rsidRPr="008F7A9E" w:rsidRDefault="008F7A9E" w:rsidP="008F7A9E">
            <w:pPr>
              <w:jc w:val="right"/>
              <w:rPr>
                <w:rFonts w:ascii="Arial Narrow" w:hAnsi="Arial Narrow" w:cs="Calibri"/>
                <w:sz w:val="16"/>
                <w:szCs w:val="16"/>
              </w:rPr>
            </w:pPr>
            <w:r w:rsidRPr="008F7A9E">
              <w:rPr>
                <w:rFonts w:ascii="Arial Narrow" w:hAnsi="Arial Narrow" w:cs="Calibri"/>
                <w:sz w:val="16"/>
                <w:szCs w:val="16"/>
              </w:rPr>
              <w:t>612,0</w:t>
            </w:r>
          </w:p>
        </w:tc>
        <w:tc>
          <w:tcPr>
            <w:tcW w:w="1028" w:type="dxa"/>
            <w:tcBorders>
              <w:top w:val="nil"/>
              <w:left w:val="nil"/>
              <w:bottom w:val="single" w:sz="4" w:space="0" w:color="auto"/>
              <w:right w:val="single" w:sz="4" w:space="0" w:color="auto"/>
            </w:tcBorders>
            <w:shd w:val="clear" w:color="auto" w:fill="auto"/>
            <w:vAlign w:val="center"/>
            <w:hideMark/>
          </w:tcPr>
          <w:p w14:paraId="57AB68DF" w14:textId="77777777" w:rsidR="008F7A9E" w:rsidRPr="008F7A9E" w:rsidRDefault="008F7A9E" w:rsidP="008F7A9E">
            <w:pPr>
              <w:jc w:val="right"/>
              <w:rPr>
                <w:rFonts w:ascii="Arial Narrow" w:hAnsi="Arial Narrow" w:cs="Calibri"/>
                <w:sz w:val="16"/>
                <w:szCs w:val="16"/>
              </w:rPr>
            </w:pPr>
            <w:r w:rsidRPr="008F7A9E">
              <w:rPr>
                <w:rFonts w:ascii="Arial Narrow" w:hAnsi="Arial Narrow" w:cs="Calibri"/>
                <w:sz w:val="16"/>
                <w:szCs w:val="16"/>
              </w:rPr>
              <w:t>1,0</w:t>
            </w:r>
          </w:p>
        </w:tc>
        <w:tc>
          <w:tcPr>
            <w:tcW w:w="1217" w:type="dxa"/>
            <w:tcBorders>
              <w:top w:val="nil"/>
              <w:left w:val="nil"/>
              <w:bottom w:val="single" w:sz="4" w:space="0" w:color="auto"/>
              <w:right w:val="single" w:sz="4" w:space="0" w:color="auto"/>
            </w:tcBorders>
            <w:shd w:val="clear" w:color="auto" w:fill="auto"/>
            <w:vAlign w:val="center"/>
            <w:hideMark/>
          </w:tcPr>
          <w:p w14:paraId="65E31A69" w14:textId="77777777" w:rsidR="008F7A9E" w:rsidRPr="008F7A9E" w:rsidRDefault="008F7A9E" w:rsidP="008F7A9E">
            <w:pPr>
              <w:jc w:val="right"/>
              <w:rPr>
                <w:rFonts w:ascii="Arial Narrow" w:hAnsi="Arial Narrow" w:cs="Calibri"/>
                <w:sz w:val="16"/>
                <w:szCs w:val="16"/>
              </w:rPr>
            </w:pPr>
            <w:r w:rsidRPr="008F7A9E">
              <w:rPr>
                <w:rFonts w:ascii="Arial Narrow" w:hAnsi="Arial Narrow" w:cs="Calibri"/>
                <w:sz w:val="16"/>
                <w:szCs w:val="16"/>
              </w:rPr>
              <w:t>618,3</w:t>
            </w:r>
          </w:p>
        </w:tc>
        <w:tc>
          <w:tcPr>
            <w:tcW w:w="1075" w:type="dxa"/>
            <w:tcBorders>
              <w:top w:val="nil"/>
              <w:left w:val="nil"/>
              <w:bottom w:val="single" w:sz="4" w:space="0" w:color="auto"/>
              <w:right w:val="single" w:sz="4" w:space="0" w:color="auto"/>
            </w:tcBorders>
            <w:shd w:val="clear" w:color="auto" w:fill="auto"/>
            <w:vAlign w:val="center"/>
            <w:hideMark/>
          </w:tcPr>
          <w:p w14:paraId="54792175" w14:textId="77777777" w:rsidR="008F7A9E" w:rsidRPr="008F7A9E" w:rsidRDefault="008F7A9E" w:rsidP="008F7A9E">
            <w:pPr>
              <w:jc w:val="right"/>
              <w:rPr>
                <w:rFonts w:ascii="Arial Narrow" w:hAnsi="Arial Narrow" w:cs="Calibri"/>
                <w:sz w:val="16"/>
                <w:szCs w:val="16"/>
              </w:rPr>
            </w:pPr>
            <w:r w:rsidRPr="008F7A9E">
              <w:rPr>
                <w:rFonts w:ascii="Arial Narrow" w:hAnsi="Arial Narrow" w:cs="Calibri"/>
                <w:sz w:val="16"/>
                <w:szCs w:val="16"/>
              </w:rPr>
              <w:t>-11,8</w:t>
            </w:r>
          </w:p>
        </w:tc>
        <w:tc>
          <w:tcPr>
            <w:tcW w:w="1233" w:type="dxa"/>
            <w:tcBorders>
              <w:top w:val="nil"/>
              <w:left w:val="nil"/>
              <w:bottom w:val="single" w:sz="4" w:space="0" w:color="auto"/>
              <w:right w:val="single" w:sz="4" w:space="0" w:color="auto"/>
            </w:tcBorders>
            <w:shd w:val="clear" w:color="auto" w:fill="auto"/>
            <w:vAlign w:val="center"/>
            <w:hideMark/>
          </w:tcPr>
          <w:p w14:paraId="4605743F" w14:textId="77777777" w:rsidR="008F7A9E" w:rsidRPr="008F7A9E" w:rsidRDefault="008F7A9E" w:rsidP="008F7A9E">
            <w:pPr>
              <w:jc w:val="right"/>
              <w:rPr>
                <w:rFonts w:ascii="Arial Narrow" w:hAnsi="Arial Narrow" w:cs="Calibri"/>
                <w:sz w:val="16"/>
                <w:szCs w:val="16"/>
              </w:rPr>
            </w:pPr>
            <w:r w:rsidRPr="008F7A9E">
              <w:rPr>
                <w:rFonts w:ascii="Arial Narrow" w:hAnsi="Arial Narrow" w:cs="Calibri"/>
                <w:sz w:val="16"/>
                <w:szCs w:val="16"/>
              </w:rPr>
              <w:t>545,1</w:t>
            </w:r>
          </w:p>
        </w:tc>
      </w:tr>
      <w:tr w:rsidR="008F7A9E" w:rsidRPr="00B10684" w14:paraId="56ADFB48" w14:textId="77777777" w:rsidTr="005A18A5">
        <w:trPr>
          <w:trHeight w:val="218"/>
        </w:trPr>
        <w:tc>
          <w:tcPr>
            <w:tcW w:w="748" w:type="dxa"/>
            <w:tcBorders>
              <w:top w:val="nil"/>
              <w:left w:val="single" w:sz="4" w:space="0" w:color="auto"/>
              <w:bottom w:val="single" w:sz="4" w:space="0" w:color="auto"/>
              <w:right w:val="single" w:sz="4" w:space="0" w:color="auto"/>
            </w:tcBorders>
            <w:shd w:val="clear" w:color="auto" w:fill="auto"/>
            <w:vAlign w:val="center"/>
            <w:hideMark/>
          </w:tcPr>
          <w:p w14:paraId="50D5C876" w14:textId="77777777" w:rsidR="008F7A9E" w:rsidRPr="008F7A9E" w:rsidRDefault="008F7A9E" w:rsidP="008F7A9E">
            <w:pPr>
              <w:rPr>
                <w:rFonts w:ascii="Arial Narrow" w:hAnsi="Arial Narrow" w:cs="Calibri"/>
                <w:sz w:val="16"/>
                <w:szCs w:val="16"/>
              </w:rPr>
            </w:pPr>
            <w:r w:rsidRPr="008F7A9E">
              <w:rPr>
                <w:rFonts w:ascii="Arial Narrow" w:hAnsi="Arial Narrow" w:cs="Calibri"/>
                <w:sz w:val="16"/>
                <w:szCs w:val="16"/>
              </w:rPr>
              <w:t>19.06/3</w:t>
            </w:r>
          </w:p>
        </w:tc>
        <w:tc>
          <w:tcPr>
            <w:tcW w:w="4419" w:type="dxa"/>
            <w:tcBorders>
              <w:top w:val="nil"/>
              <w:left w:val="nil"/>
              <w:bottom w:val="single" w:sz="4" w:space="0" w:color="auto"/>
              <w:right w:val="single" w:sz="4" w:space="0" w:color="auto"/>
            </w:tcBorders>
            <w:shd w:val="clear" w:color="auto" w:fill="auto"/>
            <w:vAlign w:val="center"/>
            <w:hideMark/>
          </w:tcPr>
          <w:p w14:paraId="347840E4" w14:textId="77777777" w:rsidR="008F7A9E" w:rsidRPr="008F7A9E" w:rsidRDefault="008F7A9E" w:rsidP="008F7A9E">
            <w:pPr>
              <w:ind w:firstLineChars="200" w:firstLine="320"/>
              <w:rPr>
                <w:rFonts w:ascii="Arial Narrow" w:hAnsi="Arial Narrow" w:cs="Calibri"/>
                <w:sz w:val="16"/>
                <w:szCs w:val="16"/>
              </w:rPr>
            </w:pPr>
            <w:r w:rsidRPr="008F7A9E">
              <w:rPr>
                <w:rFonts w:ascii="Arial Narrow" w:hAnsi="Arial Narrow" w:cs="Calibri"/>
                <w:sz w:val="16"/>
                <w:szCs w:val="16"/>
              </w:rPr>
              <w:t>произведено и потребено в самото стопанство</w:t>
            </w:r>
          </w:p>
        </w:tc>
        <w:tc>
          <w:tcPr>
            <w:tcW w:w="1185" w:type="dxa"/>
            <w:tcBorders>
              <w:top w:val="nil"/>
              <w:left w:val="nil"/>
              <w:bottom w:val="single" w:sz="4" w:space="0" w:color="auto"/>
              <w:right w:val="single" w:sz="4" w:space="0" w:color="auto"/>
            </w:tcBorders>
            <w:shd w:val="clear" w:color="auto" w:fill="auto"/>
            <w:vAlign w:val="center"/>
            <w:hideMark/>
          </w:tcPr>
          <w:p w14:paraId="045E457F" w14:textId="77777777" w:rsidR="008F7A9E" w:rsidRPr="008F7A9E" w:rsidRDefault="008F7A9E" w:rsidP="008F7A9E">
            <w:pPr>
              <w:jc w:val="right"/>
              <w:rPr>
                <w:rFonts w:ascii="Arial Narrow" w:hAnsi="Arial Narrow" w:cs="Calibri"/>
                <w:sz w:val="16"/>
                <w:szCs w:val="16"/>
              </w:rPr>
            </w:pPr>
            <w:r w:rsidRPr="008F7A9E">
              <w:rPr>
                <w:rFonts w:ascii="Arial Narrow" w:hAnsi="Arial Narrow" w:cs="Calibri"/>
                <w:sz w:val="16"/>
                <w:szCs w:val="16"/>
              </w:rPr>
              <w:t>332,4</w:t>
            </w:r>
          </w:p>
        </w:tc>
        <w:tc>
          <w:tcPr>
            <w:tcW w:w="1028" w:type="dxa"/>
            <w:tcBorders>
              <w:top w:val="nil"/>
              <w:left w:val="nil"/>
              <w:bottom w:val="single" w:sz="4" w:space="0" w:color="auto"/>
              <w:right w:val="single" w:sz="4" w:space="0" w:color="auto"/>
            </w:tcBorders>
            <w:shd w:val="clear" w:color="auto" w:fill="auto"/>
            <w:vAlign w:val="center"/>
            <w:hideMark/>
          </w:tcPr>
          <w:p w14:paraId="2F9CC45F" w14:textId="77777777" w:rsidR="008F7A9E" w:rsidRPr="008F7A9E" w:rsidRDefault="008F7A9E" w:rsidP="008F7A9E">
            <w:pPr>
              <w:jc w:val="right"/>
              <w:rPr>
                <w:rFonts w:ascii="Arial Narrow" w:hAnsi="Arial Narrow" w:cs="Calibri"/>
                <w:sz w:val="16"/>
                <w:szCs w:val="16"/>
              </w:rPr>
            </w:pPr>
            <w:r w:rsidRPr="008F7A9E">
              <w:rPr>
                <w:rFonts w:ascii="Arial Narrow" w:hAnsi="Arial Narrow" w:cs="Calibri"/>
                <w:sz w:val="16"/>
                <w:szCs w:val="16"/>
              </w:rPr>
              <w:t>-42,1</w:t>
            </w:r>
          </w:p>
        </w:tc>
        <w:tc>
          <w:tcPr>
            <w:tcW w:w="1217" w:type="dxa"/>
            <w:tcBorders>
              <w:top w:val="nil"/>
              <w:left w:val="nil"/>
              <w:bottom w:val="single" w:sz="4" w:space="0" w:color="auto"/>
              <w:right w:val="single" w:sz="4" w:space="0" w:color="auto"/>
            </w:tcBorders>
            <w:shd w:val="clear" w:color="auto" w:fill="auto"/>
            <w:vAlign w:val="center"/>
            <w:hideMark/>
          </w:tcPr>
          <w:p w14:paraId="2C2642EF" w14:textId="77777777" w:rsidR="008F7A9E" w:rsidRPr="008F7A9E" w:rsidRDefault="008F7A9E" w:rsidP="008F7A9E">
            <w:pPr>
              <w:jc w:val="right"/>
              <w:rPr>
                <w:rFonts w:ascii="Arial Narrow" w:hAnsi="Arial Narrow" w:cs="Calibri"/>
                <w:sz w:val="16"/>
                <w:szCs w:val="16"/>
              </w:rPr>
            </w:pPr>
            <w:r w:rsidRPr="008F7A9E">
              <w:rPr>
                <w:rFonts w:ascii="Arial Narrow" w:hAnsi="Arial Narrow" w:cs="Calibri"/>
                <w:sz w:val="16"/>
                <w:szCs w:val="16"/>
              </w:rPr>
              <w:t>192,6</w:t>
            </w:r>
          </w:p>
        </w:tc>
        <w:tc>
          <w:tcPr>
            <w:tcW w:w="1075" w:type="dxa"/>
            <w:tcBorders>
              <w:top w:val="nil"/>
              <w:left w:val="nil"/>
              <w:bottom w:val="single" w:sz="4" w:space="0" w:color="auto"/>
              <w:right w:val="single" w:sz="4" w:space="0" w:color="auto"/>
            </w:tcBorders>
            <w:shd w:val="clear" w:color="auto" w:fill="auto"/>
            <w:vAlign w:val="center"/>
            <w:hideMark/>
          </w:tcPr>
          <w:p w14:paraId="52E29D2B" w14:textId="77777777" w:rsidR="008F7A9E" w:rsidRPr="008F7A9E" w:rsidRDefault="008F7A9E" w:rsidP="008F7A9E">
            <w:pPr>
              <w:jc w:val="right"/>
              <w:rPr>
                <w:rFonts w:ascii="Arial Narrow" w:hAnsi="Arial Narrow" w:cs="Calibri"/>
                <w:sz w:val="16"/>
                <w:szCs w:val="16"/>
              </w:rPr>
            </w:pPr>
            <w:r w:rsidRPr="008F7A9E">
              <w:rPr>
                <w:rFonts w:ascii="Arial Narrow" w:hAnsi="Arial Narrow" w:cs="Calibri"/>
                <w:sz w:val="16"/>
                <w:szCs w:val="16"/>
              </w:rPr>
              <w:t>-10,9</w:t>
            </w:r>
          </w:p>
        </w:tc>
        <w:tc>
          <w:tcPr>
            <w:tcW w:w="1233" w:type="dxa"/>
            <w:tcBorders>
              <w:top w:val="nil"/>
              <w:left w:val="nil"/>
              <w:bottom w:val="single" w:sz="4" w:space="0" w:color="auto"/>
              <w:right w:val="single" w:sz="4" w:space="0" w:color="auto"/>
            </w:tcBorders>
            <w:shd w:val="clear" w:color="auto" w:fill="auto"/>
            <w:vAlign w:val="center"/>
            <w:hideMark/>
          </w:tcPr>
          <w:p w14:paraId="5AB46C5C" w14:textId="77777777" w:rsidR="008F7A9E" w:rsidRPr="008F7A9E" w:rsidRDefault="008F7A9E" w:rsidP="008F7A9E">
            <w:pPr>
              <w:jc w:val="right"/>
              <w:rPr>
                <w:rFonts w:ascii="Arial Narrow" w:hAnsi="Arial Narrow" w:cs="Calibri"/>
                <w:sz w:val="16"/>
                <w:szCs w:val="16"/>
              </w:rPr>
            </w:pPr>
            <w:r w:rsidRPr="008F7A9E">
              <w:rPr>
                <w:rFonts w:ascii="Arial Narrow" w:hAnsi="Arial Narrow" w:cs="Calibri"/>
                <w:sz w:val="16"/>
                <w:szCs w:val="16"/>
              </w:rPr>
              <w:t>171,7</w:t>
            </w:r>
          </w:p>
        </w:tc>
      </w:tr>
      <w:tr w:rsidR="008F7A9E" w:rsidRPr="00B10684" w14:paraId="412DB0DB" w14:textId="77777777" w:rsidTr="005A18A5">
        <w:trPr>
          <w:trHeight w:val="237"/>
        </w:trPr>
        <w:tc>
          <w:tcPr>
            <w:tcW w:w="748" w:type="dxa"/>
            <w:tcBorders>
              <w:top w:val="nil"/>
              <w:left w:val="single" w:sz="4" w:space="0" w:color="auto"/>
              <w:bottom w:val="single" w:sz="4" w:space="0" w:color="auto"/>
              <w:right w:val="single" w:sz="4" w:space="0" w:color="auto"/>
            </w:tcBorders>
            <w:shd w:val="clear" w:color="auto" w:fill="auto"/>
            <w:vAlign w:val="center"/>
            <w:hideMark/>
          </w:tcPr>
          <w:p w14:paraId="6B8DEEA4" w14:textId="77777777" w:rsidR="008F7A9E" w:rsidRPr="008F7A9E" w:rsidRDefault="008F7A9E" w:rsidP="008F7A9E">
            <w:pPr>
              <w:rPr>
                <w:rFonts w:ascii="Arial Narrow" w:hAnsi="Arial Narrow" w:cs="Calibri"/>
                <w:sz w:val="16"/>
                <w:szCs w:val="16"/>
              </w:rPr>
            </w:pPr>
            <w:r w:rsidRPr="008F7A9E">
              <w:rPr>
                <w:rFonts w:ascii="Arial Narrow" w:hAnsi="Arial Narrow" w:cs="Calibri"/>
                <w:sz w:val="16"/>
                <w:szCs w:val="16"/>
              </w:rPr>
              <w:t>19.07</w:t>
            </w:r>
          </w:p>
        </w:tc>
        <w:tc>
          <w:tcPr>
            <w:tcW w:w="4419" w:type="dxa"/>
            <w:tcBorders>
              <w:top w:val="nil"/>
              <w:left w:val="nil"/>
              <w:bottom w:val="single" w:sz="4" w:space="0" w:color="auto"/>
              <w:right w:val="single" w:sz="4" w:space="0" w:color="auto"/>
            </w:tcBorders>
            <w:shd w:val="clear" w:color="auto" w:fill="auto"/>
            <w:vAlign w:val="center"/>
            <w:hideMark/>
          </w:tcPr>
          <w:p w14:paraId="3F090296" w14:textId="77777777" w:rsidR="008F7A9E" w:rsidRPr="008F7A9E" w:rsidRDefault="008F7A9E" w:rsidP="008F7A9E">
            <w:pPr>
              <w:ind w:firstLineChars="100" w:firstLine="160"/>
              <w:rPr>
                <w:rFonts w:ascii="Arial Narrow" w:hAnsi="Arial Narrow" w:cs="Calibri"/>
                <w:sz w:val="16"/>
                <w:szCs w:val="16"/>
              </w:rPr>
            </w:pPr>
            <w:r w:rsidRPr="008F7A9E">
              <w:rPr>
                <w:rFonts w:ascii="Arial Narrow" w:hAnsi="Arial Narrow" w:cs="Calibri"/>
                <w:sz w:val="16"/>
                <w:szCs w:val="16"/>
              </w:rPr>
              <w:t>Поддръжка и ремонт на машини и дребен инвентар</w:t>
            </w:r>
          </w:p>
        </w:tc>
        <w:tc>
          <w:tcPr>
            <w:tcW w:w="1185" w:type="dxa"/>
            <w:tcBorders>
              <w:top w:val="nil"/>
              <w:left w:val="nil"/>
              <w:bottom w:val="single" w:sz="4" w:space="0" w:color="auto"/>
              <w:right w:val="single" w:sz="4" w:space="0" w:color="auto"/>
            </w:tcBorders>
            <w:shd w:val="clear" w:color="auto" w:fill="auto"/>
            <w:vAlign w:val="center"/>
            <w:hideMark/>
          </w:tcPr>
          <w:p w14:paraId="57B51BD1" w14:textId="77777777" w:rsidR="008F7A9E" w:rsidRPr="008F7A9E" w:rsidRDefault="008F7A9E" w:rsidP="008F7A9E">
            <w:pPr>
              <w:jc w:val="right"/>
              <w:rPr>
                <w:rFonts w:ascii="Arial Narrow" w:hAnsi="Arial Narrow" w:cs="Calibri"/>
                <w:sz w:val="16"/>
                <w:szCs w:val="16"/>
              </w:rPr>
            </w:pPr>
            <w:r w:rsidRPr="008F7A9E">
              <w:rPr>
                <w:rFonts w:ascii="Arial Narrow" w:hAnsi="Arial Narrow" w:cs="Calibri"/>
                <w:sz w:val="16"/>
                <w:szCs w:val="16"/>
              </w:rPr>
              <w:t>415,5</w:t>
            </w:r>
          </w:p>
        </w:tc>
        <w:tc>
          <w:tcPr>
            <w:tcW w:w="1028" w:type="dxa"/>
            <w:tcBorders>
              <w:top w:val="nil"/>
              <w:left w:val="nil"/>
              <w:bottom w:val="single" w:sz="4" w:space="0" w:color="auto"/>
              <w:right w:val="single" w:sz="4" w:space="0" w:color="auto"/>
            </w:tcBorders>
            <w:shd w:val="clear" w:color="auto" w:fill="auto"/>
            <w:vAlign w:val="center"/>
            <w:hideMark/>
          </w:tcPr>
          <w:p w14:paraId="59F90D45" w14:textId="77777777" w:rsidR="008F7A9E" w:rsidRPr="008F7A9E" w:rsidRDefault="008F7A9E" w:rsidP="008F7A9E">
            <w:pPr>
              <w:jc w:val="right"/>
              <w:rPr>
                <w:rFonts w:ascii="Arial Narrow" w:hAnsi="Arial Narrow" w:cs="Calibri"/>
                <w:sz w:val="16"/>
                <w:szCs w:val="16"/>
              </w:rPr>
            </w:pPr>
            <w:r w:rsidRPr="008F7A9E">
              <w:rPr>
                <w:rFonts w:ascii="Arial Narrow" w:hAnsi="Arial Narrow" w:cs="Calibri"/>
                <w:sz w:val="16"/>
                <w:szCs w:val="16"/>
              </w:rPr>
              <w:t>-8,7</w:t>
            </w:r>
          </w:p>
        </w:tc>
        <w:tc>
          <w:tcPr>
            <w:tcW w:w="1217" w:type="dxa"/>
            <w:tcBorders>
              <w:top w:val="nil"/>
              <w:left w:val="nil"/>
              <w:bottom w:val="single" w:sz="4" w:space="0" w:color="auto"/>
              <w:right w:val="single" w:sz="4" w:space="0" w:color="auto"/>
            </w:tcBorders>
            <w:shd w:val="clear" w:color="auto" w:fill="auto"/>
            <w:vAlign w:val="center"/>
            <w:hideMark/>
          </w:tcPr>
          <w:p w14:paraId="427F02EF" w14:textId="77777777" w:rsidR="008F7A9E" w:rsidRPr="008F7A9E" w:rsidRDefault="008F7A9E" w:rsidP="008F7A9E">
            <w:pPr>
              <w:jc w:val="right"/>
              <w:rPr>
                <w:rFonts w:ascii="Arial Narrow" w:hAnsi="Arial Narrow" w:cs="Calibri"/>
                <w:sz w:val="16"/>
                <w:szCs w:val="16"/>
              </w:rPr>
            </w:pPr>
            <w:r w:rsidRPr="008F7A9E">
              <w:rPr>
                <w:rFonts w:ascii="Arial Narrow" w:hAnsi="Arial Narrow" w:cs="Calibri"/>
                <w:sz w:val="16"/>
                <w:szCs w:val="16"/>
              </w:rPr>
              <w:t>379,4</w:t>
            </w:r>
          </w:p>
        </w:tc>
        <w:tc>
          <w:tcPr>
            <w:tcW w:w="1075" w:type="dxa"/>
            <w:tcBorders>
              <w:top w:val="nil"/>
              <w:left w:val="nil"/>
              <w:bottom w:val="single" w:sz="4" w:space="0" w:color="auto"/>
              <w:right w:val="single" w:sz="4" w:space="0" w:color="auto"/>
            </w:tcBorders>
            <w:shd w:val="clear" w:color="auto" w:fill="auto"/>
            <w:vAlign w:val="center"/>
            <w:hideMark/>
          </w:tcPr>
          <w:p w14:paraId="1DA04FC3" w14:textId="77777777" w:rsidR="008F7A9E" w:rsidRPr="008F7A9E" w:rsidRDefault="008F7A9E" w:rsidP="008F7A9E">
            <w:pPr>
              <w:jc w:val="right"/>
              <w:rPr>
                <w:rFonts w:ascii="Arial Narrow" w:hAnsi="Arial Narrow" w:cs="Calibri"/>
                <w:sz w:val="16"/>
                <w:szCs w:val="16"/>
              </w:rPr>
            </w:pPr>
            <w:r w:rsidRPr="008F7A9E">
              <w:rPr>
                <w:rFonts w:ascii="Arial Narrow" w:hAnsi="Arial Narrow" w:cs="Calibri"/>
                <w:sz w:val="16"/>
                <w:szCs w:val="16"/>
              </w:rPr>
              <w:t>-8,4</w:t>
            </w:r>
          </w:p>
        </w:tc>
        <w:tc>
          <w:tcPr>
            <w:tcW w:w="1233" w:type="dxa"/>
            <w:tcBorders>
              <w:top w:val="nil"/>
              <w:left w:val="nil"/>
              <w:bottom w:val="single" w:sz="4" w:space="0" w:color="auto"/>
              <w:right w:val="single" w:sz="4" w:space="0" w:color="auto"/>
            </w:tcBorders>
            <w:shd w:val="clear" w:color="auto" w:fill="auto"/>
            <w:vAlign w:val="center"/>
            <w:hideMark/>
          </w:tcPr>
          <w:p w14:paraId="2A20A383" w14:textId="77777777" w:rsidR="008F7A9E" w:rsidRPr="008F7A9E" w:rsidRDefault="008F7A9E" w:rsidP="008F7A9E">
            <w:pPr>
              <w:jc w:val="right"/>
              <w:rPr>
                <w:rFonts w:ascii="Arial Narrow" w:hAnsi="Arial Narrow" w:cs="Calibri"/>
                <w:sz w:val="16"/>
                <w:szCs w:val="16"/>
              </w:rPr>
            </w:pPr>
            <w:r w:rsidRPr="008F7A9E">
              <w:rPr>
                <w:rFonts w:ascii="Arial Narrow" w:hAnsi="Arial Narrow" w:cs="Calibri"/>
                <w:sz w:val="16"/>
                <w:szCs w:val="16"/>
              </w:rPr>
              <w:t>347,5</w:t>
            </w:r>
          </w:p>
        </w:tc>
      </w:tr>
      <w:tr w:rsidR="008F7A9E" w:rsidRPr="00B10684" w14:paraId="5F06E581" w14:textId="77777777" w:rsidTr="005A18A5">
        <w:trPr>
          <w:trHeight w:val="251"/>
        </w:trPr>
        <w:tc>
          <w:tcPr>
            <w:tcW w:w="748" w:type="dxa"/>
            <w:tcBorders>
              <w:top w:val="nil"/>
              <w:left w:val="single" w:sz="4" w:space="0" w:color="auto"/>
              <w:bottom w:val="single" w:sz="4" w:space="0" w:color="auto"/>
              <w:right w:val="single" w:sz="4" w:space="0" w:color="auto"/>
            </w:tcBorders>
            <w:shd w:val="clear" w:color="auto" w:fill="auto"/>
            <w:vAlign w:val="center"/>
            <w:hideMark/>
          </w:tcPr>
          <w:p w14:paraId="10E69A5A" w14:textId="77777777" w:rsidR="008F7A9E" w:rsidRPr="008F7A9E" w:rsidRDefault="008F7A9E" w:rsidP="008F7A9E">
            <w:pPr>
              <w:rPr>
                <w:rFonts w:ascii="Arial Narrow" w:hAnsi="Arial Narrow" w:cs="Calibri"/>
                <w:sz w:val="16"/>
                <w:szCs w:val="16"/>
              </w:rPr>
            </w:pPr>
            <w:r w:rsidRPr="008F7A9E">
              <w:rPr>
                <w:rFonts w:ascii="Arial Narrow" w:hAnsi="Arial Narrow" w:cs="Calibri"/>
                <w:sz w:val="16"/>
                <w:szCs w:val="16"/>
              </w:rPr>
              <w:t>19.08</w:t>
            </w:r>
          </w:p>
        </w:tc>
        <w:tc>
          <w:tcPr>
            <w:tcW w:w="4419" w:type="dxa"/>
            <w:tcBorders>
              <w:top w:val="nil"/>
              <w:left w:val="nil"/>
              <w:bottom w:val="single" w:sz="4" w:space="0" w:color="auto"/>
              <w:right w:val="single" w:sz="4" w:space="0" w:color="auto"/>
            </w:tcBorders>
            <w:shd w:val="clear" w:color="auto" w:fill="auto"/>
            <w:vAlign w:val="center"/>
            <w:hideMark/>
          </w:tcPr>
          <w:p w14:paraId="79BC2B89" w14:textId="77777777" w:rsidR="008F7A9E" w:rsidRPr="008F7A9E" w:rsidRDefault="008F7A9E" w:rsidP="008F7A9E">
            <w:pPr>
              <w:ind w:firstLineChars="100" w:firstLine="160"/>
              <w:rPr>
                <w:rFonts w:ascii="Arial Narrow" w:hAnsi="Arial Narrow" w:cs="Calibri"/>
                <w:sz w:val="16"/>
                <w:szCs w:val="16"/>
              </w:rPr>
            </w:pPr>
            <w:r w:rsidRPr="008F7A9E">
              <w:rPr>
                <w:rFonts w:ascii="Arial Narrow" w:hAnsi="Arial Narrow" w:cs="Calibri"/>
                <w:sz w:val="16"/>
                <w:szCs w:val="16"/>
              </w:rPr>
              <w:t>Поддръжка на сгради</w:t>
            </w:r>
          </w:p>
        </w:tc>
        <w:tc>
          <w:tcPr>
            <w:tcW w:w="1185" w:type="dxa"/>
            <w:tcBorders>
              <w:top w:val="nil"/>
              <w:left w:val="nil"/>
              <w:bottom w:val="single" w:sz="4" w:space="0" w:color="auto"/>
              <w:right w:val="single" w:sz="4" w:space="0" w:color="auto"/>
            </w:tcBorders>
            <w:shd w:val="clear" w:color="auto" w:fill="auto"/>
            <w:vAlign w:val="center"/>
            <w:hideMark/>
          </w:tcPr>
          <w:p w14:paraId="42DF137E" w14:textId="77777777" w:rsidR="008F7A9E" w:rsidRPr="008F7A9E" w:rsidRDefault="008F7A9E" w:rsidP="008F7A9E">
            <w:pPr>
              <w:jc w:val="right"/>
              <w:rPr>
                <w:rFonts w:ascii="Arial Narrow" w:hAnsi="Arial Narrow" w:cs="Calibri"/>
                <w:sz w:val="16"/>
                <w:szCs w:val="16"/>
              </w:rPr>
            </w:pPr>
            <w:r w:rsidRPr="008F7A9E">
              <w:rPr>
                <w:rFonts w:ascii="Arial Narrow" w:hAnsi="Arial Narrow" w:cs="Calibri"/>
                <w:sz w:val="16"/>
                <w:szCs w:val="16"/>
              </w:rPr>
              <w:t>176,8</w:t>
            </w:r>
          </w:p>
        </w:tc>
        <w:tc>
          <w:tcPr>
            <w:tcW w:w="1028" w:type="dxa"/>
            <w:tcBorders>
              <w:top w:val="nil"/>
              <w:left w:val="nil"/>
              <w:bottom w:val="single" w:sz="4" w:space="0" w:color="auto"/>
              <w:right w:val="single" w:sz="4" w:space="0" w:color="auto"/>
            </w:tcBorders>
            <w:shd w:val="clear" w:color="auto" w:fill="auto"/>
            <w:vAlign w:val="center"/>
            <w:hideMark/>
          </w:tcPr>
          <w:p w14:paraId="02FB91D5" w14:textId="77777777" w:rsidR="008F7A9E" w:rsidRPr="008F7A9E" w:rsidRDefault="008F7A9E" w:rsidP="008F7A9E">
            <w:pPr>
              <w:jc w:val="right"/>
              <w:rPr>
                <w:rFonts w:ascii="Arial Narrow" w:hAnsi="Arial Narrow" w:cs="Calibri"/>
                <w:sz w:val="16"/>
                <w:szCs w:val="16"/>
              </w:rPr>
            </w:pPr>
            <w:r w:rsidRPr="008F7A9E">
              <w:rPr>
                <w:rFonts w:ascii="Arial Narrow" w:hAnsi="Arial Narrow" w:cs="Calibri"/>
                <w:sz w:val="16"/>
                <w:szCs w:val="16"/>
              </w:rPr>
              <w:t>-12,4</w:t>
            </w:r>
          </w:p>
        </w:tc>
        <w:tc>
          <w:tcPr>
            <w:tcW w:w="1217" w:type="dxa"/>
            <w:tcBorders>
              <w:top w:val="nil"/>
              <w:left w:val="nil"/>
              <w:bottom w:val="single" w:sz="4" w:space="0" w:color="auto"/>
              <w:right w:val="single" w:sz="4" w:space="0" w:color="auto"/>
            </w:tcBorders>
            <w:shd w:val="clear" w:color="auto" w:fill="auto"/>
            <w:vAlign w:val="center"/>
            <w:hideMark/>
          </w:tcPr>
          <w:p w14:paraId="08164FAE" w14:textId="77777777" w:rsidR="008F7A9E" w:rsidRPr="008F7A9E" w:rsidRDefault="008F7A9E" w:rsidP="008F7A9E">
            <w:pPr>
              <w:jc w:val="right"/>
              <w:rPr>
                <w:rFonts w:ascii="Arial Narrow" w:hAnsi="Arial Narrow" w:cs="Calibri"/>
                <w:sz w:val="16"/>
                <w:szCs w:val="16"/>
              </w:rPr>
            </w:pPr>
            <w:r w:rsidRPr="008F7A9E">
              <w:rPr>
                <w:rFonts w:ascii="Arial Narrow" w:hAnsi="Arial Narrow" w:cs="Calibri"/>
                <w:sz w:val="16"/>
                <w:szCs w:val="16"/>
              </w:rPr>
              <w:t>154,8</w:t>
            </w:r>
          </w:p>
        </w:tc>
        <w:tc>
          <w:tcPr>
            <w:tcW w:w="1075" w:type="dxa"/>
            <w:tcBorders>
              <w:top w:val="nil"/>
              <w:left w:val="nil"/>
              <w:bottom w:val="single" w:sz="4" w:space="0" w:color="auto"/>
              <w:right w:val="single" w:sz="4" w:space="0" w:color="auto"/>
            </w:tcBorders>
            <w:shd w:val="clear" w:color="auto" w:fill="auto"/>
            <w:vAlign w:val="center"/>
            <w:hideMark/>
          </w:tcPr>
          <w:p w14:paraId="5AFB7BA3" w14:textId="77777777" w:rsidR="008F7A9E" w:rsidRPr="008F7A9E" w:rsidRDefault="008F7A9E" w:rsidP="008F7A9E">
            <w:pPr>
              <w:jc w:val="right"/>
              <w:rPr>
                <w:rFonts w:ascii="Arial Narrow" w:hAnsi="Arial Narrow" w:cs="Calibri"/>
                <w:sz w:val="16"/>
                <w:szCs w:val="16"/>
              </w:rPr>
            </w:pPr>
            <w:r w:rsidRPr="008F7A9E">
              <w:rPr>
                <w:rFonts w:ascii="Arial Narrow" w:hAnsi="Arial Narrow" w:cs="Calibri"/>
                <w:sz w:val="16"/>
                <w:szCs w:val="16"/>
              </w:rPr>
              <w:t>-9,8</w:t>
            </w:r>
          </w:p>
        </w:tc>
        <w:tc>
          <w:tcPr>
            <w:tcW w:w="1233" w:type="dxa"/>
            <w:tcBorders>
              <w:top w:val="nil"/>
              <w:left w:val="nil"/>
              <w:bottom w:val="single" w:sz="4" w:space="0" w:color="auto"/>
              <w:right w:val="single" w:sz="4" w:space="0" w:color="auto"/>
            </w:tcBorders>
            <w:shd w:val="clear" w:color="auto" w:fill="auto"/>
            <w:vAlign w:val="center"/>
            <w:hideMark/>
          </w:tcPr>
          <w:p w14:paraId="7CC2FA3D" w14:textId="77777777" w:rsidR="008F7A9E" w:rsidRPr="008F7A9E" w:rsidRDefault="008F7A9E" w:rsidP="008F7A9E">
            <w:pPr>
              <w:jc w:val="right"/>
              <w:rPr>
                <w:rFonts w:ascii="Arial Narrow" w:hAnsi="Arial Narrow" w:cs="Calibri"/>
                <w:sz w:val="16"/>
                <w:szCs w:val="16"/>
              </w:rPr>
            </w:pPr>
            <w:r w:rsidRPr="008F7A9E">
              <w:rPr>
                <w:rFonts w:ascii="Arial Narrow" w:hAnsi="Arial Narrow" w:cs="Calibri"/>
                <w:sz w:val="16"/>
                <w:szCs w:val="16"/>
              </w:rPr>
              <w:t>139,6</w:t>
            </w:r>
          </w:p>
        </w:tc>
      </w:tr>
      <w:tr w:rsidR="008F7A9E" w:rsidRPr="00B10684" w14:paraId="658C6A8D" w14:textId="77777777" w:rsidTr="005A18A5">
        <w:trPr>
          <w:trHeight w:val="251"/>
        </w:trPr>
        <w:tc>
          <w:tcPr>
            <w:tcW w:w="748" w:type="dxa"/>
            <w:tcBorders>
              <w:top w:val="nil"/>
              <w:left w:val="single" w:sz="4" w:space="0" w:color="auto"/>
              <w:bottom w:val="single" w:sz="4" w:space="0" w:color="auto"/>
              <w:right w:val="single" w:sz="4" w:space="0" w:color="auto"/>
            </w:tcBorders>
            <w:shd w:val="clear" w:color="auto" w:fill="auto"/>
            <w:vAlign w:val="center"/>
            <w:hideMark/>
          </w:tcPr>
          <w:p w14:paraId="269F5CB5" w14:textId="77777777" w:rsidR="008F7A9E" w:rsidRPr="008F7A9E" w:rsidRDefault="008F7A9E" w:rsidP="008F7A9E">
            <w:pPr>
              <w:rPr>
                <w:rFonts w:ascii="Arial Narrow" w:hAnsi="Arial Narrow" w:cs="Calibri"/>
                <w:sz w:val="16"/>
                <w:szCs w:val="16"/>
              </w:rPr>
            </w:pPr>
            <w:r w:rsidRPr="008F7A9E">
              <w:rPr>
                <w:rFonts w:ascii="Arial Narrow" w:hAnsi="Arial Narrow" w:cs="Calibri"/>
                <w:sz w:val="16"/>
                <w:szCs w:val="16"/>
              </w:rPr>
              <w:t>19.09</w:t>
            </w:r>
          </w:p>
        </w:tc>
        <w:tc>
          <w:tcPr>
            <w:tcW w:w="4419" w:type="dxa"/>
            <w:tcBorders>
              <w:top w:val="nil"/>
              <w:left w:val="nil"/>
              <w:bottom w:val="single" w:sz="4" w:space="0" w:color="auto"/>
              <w:right w:val="single" w:sz="4" w:space="0" w:color="auto"/>
            </w:tcBorders>
            <w:shd w:val="clear" w:color="auto" w:fill="auto"/>
            <w:vAlign w:val="center"/>
            <w:hideMark/>
          </w:tcPr>
          <w:p w14:paraId="4AB4533C" w14:textId="77777777" w:rsidR="008F7A9E" w:rsidRPr="008F7A9E" w:rsidRDefault="008F7A9E" w:rsidP="008F7A9E">
            <w:pPr>
              <w:ind w:firstLineChars="100" w:firstLine="160"/>
              <w:rPr>
                <w:rFonts w:ascii="Arial Narrow" w:hAnsi="Arial Narrow" w:cs="Calibri"/>
                <w:sz w:val="16"/>
                <w:szCs w:val="16"/>
              </w:rPr>
            </w:pPr>
            <w:r w:rsidRPr="008F7A9E">
              <w:rPr>
                <w:rFonts w:ascii="Arial Narrow" w:hAnsi="Arial Narrow" w:cs="Calibri"/>
                <w:sz w:val="16"/>
                <w:szCs w:val="16"/>
              </w:rPr>
              <w:t>Селскостопански услуги</w:t>
            </w:r>
          </w:p>
        </w:tc>
        <w:tc>
          <w:tcPr>
            <w:tcW w:w="1185" w:type="dxa"/>
            <w:tcBorders>
              <w:top w:val="nil"/>
              <w:left w:val="nil"/>
              <w:bottom w:val="single" w:sz="4" w:space="0" w:color="auto"/>
              <w:right w:val="single" w:sz="4" w:space="0" w:color="auto"/>
            </w:tcBorders>
            <w:shd w:val="clear" w:color="auto" w:fill="auto"/>
            <w:vAlign w:val="center"/>
            <w:hideMark/>
          </w:tcPr>
          <w:p w14:paraId="02EA0994" w14:textId="77777777" w:rsidR="008F7A9E" w:rsidRPr="008F7A9E" w:rsidRDefault="008F7A9E" w:rsidP="008F7A9E">
            <w:pPr>
              <w:jc w:val="right"/>
              <w:rPr>
                <w:rFonts w:ascii="Arial Narrow" w:hAnsi="Arial Narrow" w:cs="Calibri"/>
                <w:sz w:val="16"/>
                <w:szCs w:val="16"/>
              </w:rPr>
            </w:pPr>
            <w:r w:rsidRPr="008F7A9E">
              <w:rPr>
                <w:rFonts w:ascii="Arial Narrow" w:hAnsi="Arial Narrow" w:cs="Calibri"/>
                <w:sz w:val="16"/>
                <w:szCs w:val="16"/>
              </w:rPr>
              <w:t>595,3</w:t>
            </w:r>
          </w:p>
        </w:tc>
        <w:tc>
          <w:tcPr>
            <w:tcW w:w="1028" w:type="dxa"/>
            <w:tcBorders>
              <w:top w:val="nil"/>
              <w:left w:val="nil"/>
              <w:bottom w:val="single" w:sz="4" w:space="0" w:color="auto"/>
              <w:right w:val="single" w:sz="4" w:space="0" w:color="auto"/>
            </w:tcBorders>
            <w:shd w:val="clear" w:color="auto" w:fill="auto"/>
            <w:vAlign w:val="center"/>
            <w:hideMark/>
          </w:tcPr>
          <w:p w14:paraId="677E3201" w14:textId="77777777" w:rsidR="008F7A9E" w:rsidRPr="008F7A9E" w:rsidRDefault="008F7A9E" w:rsidP="008F7A9E">
            <w:pPr>
              <w:jc w:val="right"/>
              <w:rPr>
                <w:rFonts w:ascii="Arial Narrow" w:hAnsi="Arial Narrow" w:cs="Calibri"/>
                <w:sz w:val="16"/>
                <w:szCs w:val="16"/>
              </w:rPr>
            </w:pPr>
            <w:r w:rsidRPr="008F7A9E">
              <w:rPr>
                <w:rFonts w:ascii="Arial Narrow" w:hAnsi="Arial Narrow" w:cs="Calibri"/>
                <w:sz w:val="16"/>
                <w:szCs w:val="16"/>
              </w:rPr>
              <w:t>0,1</w:t>
            </w:r>
          </w:p>
        </w:tc>
        <w:tc>
          <w:tcPr>
            <w:tcW w:w="1217" w:type="dxa"/>
            <w:tcBorders>
              <w:top w:val="nil"/>
              <w:left w:val="nil"/>
              <w:bottom w:val="single" w:sz="4" w:space="0" w:color="auto"/>
              <w:right w:val="single" w:sz="4" w:space="0" w:color="auto"/>
            </w:tcBorders>
            <w:shd w:val="clear" w:color="auto" w:fill="auto"/>
            <w:vAlign w:val="center"/>
            <w:hideMark/>
          </w:tcPr>
          <w:p w14:paraId="6F5135E4" w14:textId="77777777" w:rsidR="008F7A9E" w:rsidRPr="008F7A9E" w:rsidRDefault="008F7A9E" w:rsidP="008F7A9E">
            <w:pPr>
              <w:jc w:val="right"/>
              <w:rPr>
                <w:rFonts w:ascii="Arial Narrow" w:hAnsi="Arial Narrow" w:cs="Calibri"/>
                <w:sz w:val="16"/>
                <w:szCs w:val="16"/>
              </w:rPr>
            </w:pPr>
            <w:r w:rsidRPr="008F7A9E">
              <w:rPr>
                <w:rFonts w:ascii="Arial Narrow" w:hAnsi="Arial Narrow" w:cs="Calibri"/>
                <w:sz w:val="16"/>
                <w:szCs w:val="16"/>
              </w:rPr>
              <w:t>595,7</w:t>
            </w:r>
          </w:p>
        </w:tc>
        <w:tc>
          <w:tcPr>
            <w:tcW w:w="1075" w:type="dxa"/>
            <w:tcBorders>
              <w:top w:val="nil"/>
              <w:left w:val="nil"/>
              <w:bottom w:val="single" w:sz="4" w:space="0" w:color="auto"/>
              <w:right w:val="single" w:sz="4" w:space="0" w:color="auto"/>
            </w:tcBorders>
            <w:shd w:val="clear" w:color="auto" w:fill="auto"/>
            <w:vAlign w:val="center"/>
            <w:hideMark/>
          </w:tcPr>
          <w:p w14:paraId="198D6165" w14:textId="77777777" w:rsidR="008F7A9E" w:rsidRPr="008F7A9E" w:rsidRDefault="008F7A9E" w:rsidP="008F7A9E">
            <w:pPr>
              <w:jc w:val="right"/>
              <w:rPr>
                <w:rFonts w:ascii="Arial Narrow" w:hAnsi="Arial Narrow" w:cs="Calibri"/>
                <w:sz w:val="16"/>
                <w:szCs w:val="16"/>
              </w:rPr>
            </w:pPr>
            <w:r w:rsidRPr="008F7A9E">
              <w:rPr>
                <w:rFonts w:ascii="Arial Narrow" w:hAnsi="Arial Narrow" w:cs="Calibri"/>
                <w:sz w:val="16"/>
                <w:szCs w:val="16"/>
              </w:rPr>
              <w:t>-8,0</w:t>
            </w:r>
          </w:p>
        </w:tc>
        <w:tc>
          <w:tcPr>
            <w:tcW w:w="1233" w:type="dxa"/>
            <w:tcBorders>
              <w:top w:val="nil"/>
              <w:left w:val="nil"/>
              <w:bottom w:val="single" w:sz="4" w:space="0" w:color="auto"/>
              <w:right w:val="single" w:sz="4" w:space="0" w:color="auto"/>
            </w:tcBorders>
            <w:shd w:val="clear" w:color="auto" w:fill="auto"/>
            <w:vAlign w:val="center"/>
            <w:hideMark/>
          </w:tcPr>
          <w:p w14:paraId="5FDE1304" w14:textId="77777777" w:rsidR="008F7A9E" w:rsidRPr="008F7A9E" w:rsidRDefault="008F7A9E" w:rsidP="008F7A9E">
            <w:pPr>
              <w:jc w:val="right"/>
              <w:rPr>
                <w:rFonts w:ascii="Arial Narrow" w:hAnsi="Arial Narrow" w:cs="Calibri"/>
                <w:sz w:val="16"/>
                <w:szCs w:val="16"/>
              </w:rPr>
            </w:pPr>
            <w:r w:rsidRPr="008F7A9E">
              <w:rPr>
                <w:rFonts w:ascii="Arial Narrow" w:hAnsi="Arial Narrow" w:cs="Calibri"/>
                <w:sz w:val="16"/>
                <w:szCs w:val="16"/>
              </w:rPr>
              <w:t>547,8</w:t>
            </w:r>
          </w:p>
        </w:tc>
      </w:tr>
      <w:tr w:rsidR="008F7A9E" w:rsidRPr="00B10684" w14:paraId="5DF17717" w14:textId="77777777" w:rsidTr="005A18A5">
        <w:trPr>
          <w:trHeight w:val="251"/>
        </w:trPr>
        <w:tc>
          <w:tcPr>
            <w:tcW w:w="748" w:type="dxa"/>
            <w:tcBorders>
              <w:top w:val="nil"/>
              <w:left w:val="single" w:sz="4" w:space="0" w:color="auto"/>
              <w:bottom w:val="single" w:sz="4" w:space="0" w:color="auto"/>
              <w:right w:val="single" w:sz="4" w:space="0" w:color="auto"/>
            </w:tcBorders>
            <w:shd w:val="clear" w:color="auto" w:fill="auto"/>
            <w:vAlign w:val="center"/>
            <w:hideMark/>
          </w:tcPr>
          <w:p w14:paraId="56E084DA" w14:textId="77777777" w:rsidR="008F7A9E" w:rsidRPr="008F7A9E" w:rsidRDefault="008F7A9E" w:rsidP="008F7A9E">
            <w:pPr>
              <w:rPr>
                <w:rFonts w:ascii="Arial Narrow" w:hAnsi="Arial Narrow" w:cs="Calibri"/>
                <w:sz w:val="16"/>
                <w:szCs w:val="16"/>
              </w:rPr>
            </w:pPr>
            <w:r w:rsidRPr="008F7A9E">
              <w:rPr>
                <w:rFonts w:ascii="Arial Narrow" w:hAnsi="Arial Narrow" w:cs="Calibri"/>
                <w:sz w:val="16"/>
                <w:szCs w:val="16"/>
              </w:rPr>
              <w:t>19.10</w:t>
            </w:r>
          </w:p>
        </w:tc>
        <w:tc>
          <w:tcPr>
            <w:tcW w:w="4419" w:type="dxa"/>
            <w:tcBorders>
              <w:top w:val="nil"/>
              <w:left w:val="nil"/>
              <w:bottom w:val="single" w:sz="4" w:space="0" w:color="auto"/>
              <w:right w:val="single" w:sz="4" w:space="0" w:color="auto"/>
            </w:tcBorders>
            <w:shd w:val="clear" w:color="auto" w:fill="auto"/>
            <w:vAlign w:val="center"/>
            <w:hideMark/>
          </w:tcPr>
          <w:p w14:paraId="7E559308" w14:textId="77777777" w:rsidR="008F7A9E" w:rsidRPr="008F7A9E" w:rsidRDefault="008F7A9E" w:rsidP="008F7A9E">
            <w:pPr>
              <w:ind w:firstLineChars="100" w:firstLine="160"/>
              <w:rPr>
                <w:rFonts w:ascii="Arial Narrow" w:hAnsi="Arial Narrow" w:cs="Calibri"/>
                <w:sz w:val="16"/>
                <w:szCs w:val="16"/>
              </w:rPr>
            </w:pPr>
            <w:r w:rsidRPr="008F7A9E">
              <w:rPr>
                <w:rFonts w:ascii="Arial Narrow" w:hAnsi="Arial Narrow" w:cs="Calibri"/>
                <w:sz w:val="16"/>
                <w:szCs w:val="16"/>
              </w:rPr>
              <w:t>ФИЗИМ</w:t>
            </w:r>
          </w:p>
        </w:tc>
        <w:tc>
          <w:tcPr>
            <w:tcW w:w="1185" w:type="dxa"/>
            <w:tcBorders>
              <w:top w:val="nil"/>
              <w:left w:val="nil"/>
              <w:bottom w:val="single" w:sz="4" w:space="0" w:color="auto"/>
              <w:right w:val="single" w:sz="4" w:space="0" w:color="auto"/>
            </w:tcBorders>
            <w:shd w:val="clear" w:color="auto" w:fill="auto"/>
            <w:vAlign w:val="center"/>
            <w:hideMark/>
          </w:tcPr>
          <w:p w14:paraId="33F69311" w14:textId="77777777" w:rsidR="008F7A9E" w:rsidRPr="008F7A9E" w:rsidRDefault="008F7A9E" w:rsidP="008F7A9E">
            <w:pPr>
              <w:jc w:val="right"/>
              <w:rPr>
                <w:rFonts w:ascii="Arial Narrow" w:hAnsi="Arial Narrow" w:cs="Calibri"/>
                <w:sz w:val="16"/>
                <w:szCs w:val="16"/>
              </w:rPr>
            </w:pPr>
            <w:r w:rsidRPr="008F7A9E">
              <w:rPr>
                <w:rFonts w:ascii="Arial Narrow" w:hAnsi="Arial Narrow" w:cs="Calibri"/>
                <w:sz w:val="16"/>
                <w:szCs w:val="16"/>
              </w:rPr>
              <w:t>68,8</w:t>
            </w:r>
          </w:p>
        </w:tc>
        <w:tc>
          <w:tcPr>
            <w:tcW w:w="1028" w:type="dxa"/>
            <w:tcBorders>
              <w:top w:val="nil"/>
              <w:left w:val="nil"/>
              <w:bottom w:val="single" w:sz="4" w:space="0" w:color="auto"/>
              <w:right w:val="single" w:sz="4" w:space="0" w:color="auto"/>
            </w:tcBorders>
            <w:shd w:val="clear" w:color="auto" w:fill="auto"/>
            <w:vAlign w:val="center"/>
            <w:hideMark/>
          </w:tcPr>
          <w:p w14:paraId="1574C214" w14:textId="77777777" w:rsidR="008F7A9E" w:rsidRPr="008F7A9E" w:rsidRDefault="008F7A9E" w:rsidP="008F7A9E">
            <w:pPr>
              <w:jc w:val="right"/>
              <w:rPr>
                <w:rFonts w:ascii="Arial Narrow" w:hAnsi="Arial Narrow" w:cs="Calibri"/>
                <w:sz w:val="16"/>
                <w:szCs w:val="16"/>
              </w:rPr>
            </w:pPr>
            <w:r w:rsidRPr="008F7A9E">
              <w:rPr>
                <w:rFonts w:ascii="Arial Narrow" w:hAnsi="Arial Narrow" w:cs="Calibri"/>
                <w:sz w:val="16"/>
                <w:szCs w:val="16"/>
              </w:rPr>
              <w:t>-26,5</w:t>
            </w:r>
          </w:p>
        </w:tc>
        <w:tc>
          <w:tcPr>
            <w:tcW w:w="1217" w:type="dxa"/>
            <w:tcBorders>
              <w:top w:val="nil"/>
              <w:left w:val="nil"/>
              <w:bottom w:val="single" w:sz="4" w:space="0" w:color="auto"/>
              <w:right w:val="single" w:sz="4" w:space="0" w:color="auto"/>
            </w:tcBorders>
            <w:shd w:val="clear" w:color="auto" w:fill="auto"/>
            <w:vAlign w:val="center"/>
            <w:hideMark/>
          </w:tcPr>
          <w:p w14:paraId="3B463702" w14:textId="77777777" w:rsidR="008F7A9E" w:rsidRPr="008F7A9E" w:rsidRDefault="008F7A9E" w:rsidP="008F7A9E">
            <w:pPr>
              <w:jc w:val="right"/>
              <w:rPr>
                <w:rFonts w:ascii="Arial Narrow" w:hAnsi="Arial Narrow" w:cs="Calibri"/>
                <w:sz w:val="16"/>
                <w:szCs w:val="16"/>
              </w:rPr>
            </w:pPr>
            <w:r w:rsidRPr="008F7A9E">
              <w:rPr>
                <w:rFonts w:ascii="Arial Narrow" w:hAnsi="Arial Narrow" w:cs="Calibri"/>
                <w:sz w:val="16"/>
                <w:szCs w:val="16"/>
              </w:rPr>
              <w:t>50,6</w:t>
            </w:r>
          </w:p>
        </w:tc>
        <w:tc>
          <w:tcPr>
            <w:tcW w:w="1075" w:type="dxa"/>
            <w:tcBorders>
              <w:top w:val="nil"/>
              <w:left w:val="nil"/>
              <w:bottom w:val="single" w:sz="4" w:space="0" w:color="auto"/>
              <w:right w:val="single" w:sz="4" w:space="0" w:color="auto"/>
            </w:tcBorders>
            <w:shd w:val="clear" w:color="auto" w:fill="auto"/>
            <w:vAlign w:val="center"/>
            <w:hideMark/>
          </w:tcPr>
          <w:p w14:paraId="0FB914FB" w14:textId="77777777" w:rsidR="008F7A9E" w:rsidRPr="008F7A9E" w:rsidRDefault="008F7A9E" w:rsidP="008F7A9E">
            <w:pPr>
              <w:jc w:val="right"/>
              <w:rPr>
                <w:rFonts w:ascii="Arial Narrow" w:hAnsi="Arial Narrow" w:cs="Calibri"/>
                <w:sz w:val="16"/>
                <w:szCs w:val="16"/>
              </w:rPr>
            </w:pPr>
            <w:r w:rsidRPr="008F7A9E">
              <w:rPr>
                <w:rFonts w:ascii="Arial Narrow" w:hAnsi="Arial Narrow" w:cs="Calibri"/>
                <w:sz w:val="16"/>
                <w:szCs w:val="16"/>
              </w:rPr>
              <w:t>6,1</w:t>
            </w:r>
          </w:p>
        </w:tc>
        <w:tc>
          <w:tcPr>
            <w:tcW w:w="1233" w:type="dxa"/>
            <w:tcBorders>
              <w:top w:val="nil"/>
              <w:left w:val="nil"/>
              <w:bottom w:val="single" w:sz="4" w:space="0" w:color="auto"/>
              <w:right w:val="single" w:sz="4" w:space="0" w:color="auto"/>
            </w:tcBorders>
            <w:shd w:val="clear" w:color="auto" w:fill="auto"/>
            <w:vAlign w:val="center"/>
            <w:hideMark/>
          </w:tcPr>
          <w:p w14:paraId="4A669F13" w14:textId="77777777" w:rsidR="008F7A9E" w:rsidRPr="008F7A9E" w:rsidRDefault="008F7A9E" w:rsidP="008F7A9E">
            <w:pPr>
              <w:jc w:val="right"/>
              <w:rPr>
                <w:rFonts w:ascii="Arial Narrow" w:hAnsi="Arial Narrow" w:cs="Calibri"/>
                <w:sz w:val="16"/>
                <w:szCs w:val="16"/>
              </w:rPr>
            </w:pPr>
            <w:r w:rsidRPr="008F7A9E">
              <w:rPr>
                <w:rFonts w:ascii="Arial Narrow" w:hAnsi="Arial Narrow" w:cs="Calibri"/>
                <w:sz w:val="16"/>
                <w:szCs w:val="16"/>
              </w:rPr>
              <w:t>53,7</w:t>
            </w:r>
          </w:p>
        </w:tc>
      </w:tr>
      <w:tr w:rsidR="008F7A9E" w:rsidRPr="00B10684" w14:paraId="6920997A" w14:textId="77777777" w:rsidTr="005A18A5">
        <w:trPr>
          <w:trHeight w:val="251"/>
        </w:trPr>
        <w:tc>
          <w:tcPr>
            <w:tcW w:w="748" w:type="dxa"/>
            <w:tcBorders>
              <w:top w:val="nil"/>
              <w:left w:val="single" w:sz="4" w:space="0" w:color="auto"/>
              <w:bottom w:val="single" w:sz="4" w:space="0" w:color="auto"/>
              <w:right w:val="single" w:sz="4" w:space="0" w:color="auto"/>
            </w:tcBorders>
            <w:shd w:val="clear" w:color="auto" w:fill="auto"/>
            <w:vAlign w:val="center"/>
            <w:hideMark/>
          </w:tcPr>
          <w:p w14:paraId="1372895F" w14:textId="77777777" w:rsidR="008F7A9E" w:rsidRPr="008F7A9E" w:rsidRDefault="008F7A9E" w:rsidP="008F7A9E">
            <w:pPr>
              <w:rPr>
                <w:rFonts w:ascii="Arial Narrow" w:hAnsi="Arial Narrow" w:cs="Calibri"/>
                <w:sz w:val="16"/>
                <w:szCs w:val="16"/>
              </w:rPr>
            </w:pPr>
            <w:r w:rsidRPr="008F7A9E">
              <w:rPr>
                <w:rFonts w:ascii="Arial Narrow" w:hAnsi="Arial Narrow" w:cs="Calibri"/>
                <w:sz w:val="16"/>
                <w:szCs w:val="16"/>
              </w:rPr>
              <w:t>19.11</w:t>
            </w:r>
          </w:p>
        </w:tc>
        <w:tc>
          <w:tcPr>
            <w:tcW w:w="4419" w:type="dxa"/>
            <w:tcBorders>
              <w:top w:val="nil"/>
              <w:left w:val="nil"/>
              <w:bottom w:val="single" w:sz="4" w:space="0" w:color="auto"/>
              <w:right w:val="single" w:sz="4" w:space="0" w:color="auto"/>
            </w:tcBorders>
            <w:shd w:val="clear" w:color="auto" w:fill="auto"/>
            <w:vAlign w:val="center"/>
            <w:hideMark/>
          </w:tcPr>
          <w:p w14:paraId="2C0CB716" w14:textId="77777777" w:rsidR="008F7A9E" w:rsidRPr="008F7A9E" w:rsidRDefault="008F7A9E" w:rsidP="008F7A9E">
            <w:pPr>
              <w:ind w:firstLineChars="100" w:firstLine="160"/>
              <w:rPr>
                <w:rFonts w:ascii="Arial Narrow" w:hAnsi="Arial Narrow" w:cs="Calibri"/>
                <w:sz w:val="16"/>
                <w:szCs w:val="16"/>
              </w:rPr>
            </w:pPr>
            <w:r w:rsidRPr="008F7A9E">
              <w:rPr>
                <w:rFonts w:ascii="Arial Narrow" w:hAnsi="Arial Narrow" w:cs="Calibri"/>
                <w:sz w:val="16"/>
                <w:szCs w:val="16"/>
              </w:rPr>
              <w:t>Други стоки и услуги</w:t>
            </w:r>
          </w:p>
        </w:tc>
        <w:tc>
          <w:tcPr>
            <w:tcW w:w="1185" w:type="dxa"/>
            <w:tcBorders>
              <w:top w:val="nil"/>
              <w:left w:val="nil"/>
              <w:bottom w:val="single" w:sz="4" w:space="0" w:color="auto"/>
              <w:right w:val="single" w:sz="4" w:space="0" w:color="auto"/>
            </w:tcBorders>
            <w:shd w:val="clear" w:color="auto" w:fill="auto"/>
            <w:vAlign w:val="center"/>
            <w:hideMark/>
          </w:tcPr>
          <w:p w14:paraId="7ED89BF5" w14:textId="77777777" w:rsidR="008F7A9E" w:rsidRPr="008F7A9E" w:rsidRDefault="008F7A9E" w:rsidP="008F7A9E">
            <w:pPr>
              <w:jc w:val="right"/>
              <w:rPr>
                <w:rFonts w:ascii="Arial Narrow" w:hAnsi="Arial Narrow" w:cs="Calibri"/>
                <w:sz w:val="16"/>
                <w:szCs w:val="16"/>
              </w:rPr>
            </w:pPr>
            <w:r w:rsidRPr="008F7A9E">
              <w:rPr>
                <w:rFonts w:ascii="Arial Narrow" w:hAnsi="Arial Narrow" w:cs="Calibri"/>
                <w:sz w:val="16"/>
                <w:szCs w:val="16"/>
              </w:rPr>
              <w:t>475,4</w:t>
            </w:r>
          </w:p>
        </w:tc>
        <w:tc>
          <w:tcPr>
            <w:tcW w:w="1028" w:type="dxa"/>
            <w:tcBorders>
              <w:top w:val="nil"/>
              <w:left w:val="nil"/>
              <w:bottom w:val="single" w:sz="4" w:space="0" w:color="auto"/>
              <w:right w:val="single" w:sz="4" w:space="0" w:color="auto"/>
            </w:tcBorders>
            <w:shd w:val="clear" w:color="auto" w:fill="auto"/>
            <w:vAlign w:val="center"/>
            <w:hideMark/>
          </w:tcPr>
          <w:p w14:paraId="56E40575" w14:textId="77777777" w:rsidR="008F7A9E" w:rsidRPr="008F7A9E" w:rsidRDefault="008F7A9E" w:rsidP="008F7A9E">
            <w:pPr>
              <w:jc w:val="right"/>
              <w:rPr>
                <w:rFonts w:ascii="Arial Narrow" w:hAnsi="Arial Narrow" w:cs="Calibri"/>
                <w:sz w:val="16"/>
                <w:szCs w:val="16"/>
              </w:rPr>
            </w:pPr>
            <w:r w:rsidRPr="008F7A9E">
              <w:rPr>
                <w:rFonts w:ascii="Arial Narrow" w:hAnsi="Arial Narrow" w:cs="Calibri"/>
                <w:sz w:val="16"/>
                <w:szCs w:val="16"/>
              </w:rPr>
              <w:t>-10,5</w:t>
            </w:r>
          </w:p>
        </w:tc>
        <w:tc>
          <w:tcPr>
            <w:tcW w:w="1217" w:type="dxa"/>
            <w:tcBorders>
              <w:top w:val="nil"/>
              <w:left w:val="nil"/>
              <w:bottom w:val="single" w:sz="4" w:space="0" w:color="auto"/>
              <w:right w:val="single" w:sz="4" w:space="0" w:color="auto"/>
            </w:tcBorders>
            <w:shd w:val="clear" w:color="auto" w:fill="auto"/>
            <w:vAlign w:val="center"/>
            <w:hideMark/>
          </w:tcPr>
          <w:p w14:paraId="04B2324C" w14:textId="77777777" w:rsidR="008F7A9E" w:rsidRPr="008F7A9E" w:rsidRDefault="008F7A9E" w:rsidP="008F7A9E">
            <w:pPr>
              <w:jc w:val="right"/>
              <w:rPr>
                <w:rFonts w:ascii="Arial Narrow" w:hAnsi="Arial Narrow" w:cs="Calibri"/>
                <w:sz w:val="16"/>
                <w:szCs w:val="16"/>
              </w:rPr>
            </w:pPr>
            <w:r w:rsidRPr="008F7A9E">
              <w:rPr>
                <w:rFonts w:ascii="Arial Narrow" w:hAnsi="Arial Narrow" w:cs="Calibri"/>
                <w:sz w:val="16"/>
                <w:szCs w:val="16"/>
              </w:rPr>
              <w:t>425,4</w:t>
            </w:r>
          </w:p>
        </w:tc>
        <w:tc>
          <w:tcPr>
            <w:tcW w:w="1075" w:type="dxa"/>
            <w:tcBorders>
              <w:top w:val="nil"/>
              <w:left w:val="nil"/>
              <w:bottom w:val="single" w:sz="4" w:space="0" w:color="auto"/>
              <w:right w:val="single" w:sz="4" w:space="0" w:color="auto"/>
            </w:tcBorders>
            <w:shd w:val="clear" w:color="auto" w:fill="auto"/>
            <w:vAlign w:val="center"/>
            <w:hideMark/>
          </w:tcPr>
          <w:p w14:paraId="43404A74" w14:textId="77777777" w:rsidR="008F7A9E" w:rsidRPr="008F7A9E" w:rsidRDefault="008F7A9E" w:rsidP="008F7A9E">
            <w:pPr>
              <w:jc w:val="right"/>
              <w:rPr>
                <w:rFonts w:ascii="Arial Narrow" w:hAnsi="Arial Narrow" w:cs="Calibri"/>
                <w:sz w:val="16"/>
                <w:szCs w:val="16"/>
              </w:rPr>
            </w:pPr>
            <w:r w:rsidRPr="008F7A9E">
              <w:rPr>
                <w:rFonts w:ascii="Arial Narrow" w:hAnsi="Arial Narrow" w:cs="Calibri"/>
                <w:sz w:val="16"/>
                <w:szCs w:val="16"/>
              </w:rPr>
              <w:t>-9,6</w:t>
            </w:r>
          </w:p>
        </w:tc>
        <w:tc>
          <w:tcPr>
            <w:tcW w:w="1233" w:type="dxa"/>
            <w:tcBorders>
              <w:top w:val="nil"/>
              <w:left w:val="nil"/>
              <w:bottom w:val="single" w:sz="4" w:space="0" w:color="auto"/>
              <w:right w:val="single" w:sz="4" w:space="0" w:color="auto"/>
            </w:tcBorders>
            <w:shd w:val="clear" w:color="auto" w:fill="auto"/>
            <w:vAlign w:val="center"/>
            <w:hideMark/>
          </w:tcPr>
          <w:p w14:paraId="14750A80" w14:textId="77777777" w:rsidR="008F7A9E" w:rsidRPr="008F7A9E" w:rsidRDefault="008F7A9E" w:rsidP="008F7A9E">
            <w:pPr>
              <w:jc w:val="right"/>
              <w:rPr>
                <w:rFonts w:ascii="Arial Narrow" w:hAnsi="Arial Narrow" w:cs="Calibri"/>
                <w:sz w:val="16"/>
                <w:szCs w:val="16"/>
              </w:rPr>
            </w:pPr>
            <w:r w:rsidRPr="008F7A9E">
              <w:rPr>
                <w:rFonts w:ascii="Arial Narrow" w:hAnsi="Arial Narrow" w:cs="Calibri"/>
                <w:sz w:val="16"/>
                <w:szCs w:val="16"/>
              </w:rPr>
              <w:t>384,4</w:t>
            </w:r>
          </w:p>
        </w:tc>
      </w:tr>
      <w:tr w:rsidR="008F7A9E" w:rsidRPr="00B10684" w14:paraId="7980F508" w14:textId="77777777" w:rsidTr="005A18A5">
        <w:trPr>
          <w:trHeight w:val="328"/>
        </w:trPr>
        <w:tc>
          <w:tcPr>
            <w:tcW w:w="748" w:type="dxa"/>
            <w:tcBorders>
              <w:top w:val="nil"/>
              <w:left w:val="single" w:sz="4" w:space="0" w:color="auto"/>
              <w:bottom w:val="single" w:sz="4" w:space="0" w:color="auto"/>
              <w:right w:val="single" w:sz="4" w:space="0" w:color="auto"/>
            </w:tcBorders>
            <w:shd w:val="clear" w:color="auto" w:fill="auto"/>
            <w:vAlign w:val="center"/>
            <w:hideMark/>
          </w:tcPr>
          <w:p w14:paraId="22ACDA61" w14:textId="77777777" w:rsidR="008F7A9E" w:rsidRPr="008F7A9E" w:rsidRDefault="008F7A9E" w:rsidP="008F7A9E">
            <w:pPr>
              <w:rPr>
                <w:rFonts w:ascii="Arial Narrow" w:hAnsi="Arial Narrow" w:cs="Calibri"/>
                <w:sz w:val="16"/>
                <w:szCs w:val="16"/>
              </w:rPr>
            </w:pPr>
            <w:r w:rsidRPr="008F7A9E">
              <w:rPr>
                <w:rFonts w:ascii="Arial Narrow" w:hAnsi="Arial Narrow" w:cs="Calibri"/>
                <w:sz w:val="16"/>
                <w:szCs w:val="16"/>
              </w:rPr>
              <w:t> </w:t>
            </w:r>
          </w:p>
        </w:tc>
        <w:tc>
          <w:tcPr>
            <w:tcW w:w="4419" w:type="dxa"/>
            <w:tcBorders>
              <w:top w:val="nil"/>
              <w:left w:val="nil"/>
              <w:bottom w:val="single" w:sz="4" w:space="0" w:color="auto"/>
              <w:right w:val="single" w:sz="4" w:space="0" w:color="auto"/>
            </w:tcBorders>
            <w:shd w:val="clear" w:color="auto" w:fill="auto"/>
            <w:vAlign w:val="center"/>
            <w:hideMark/>
          </w:tcPr>
          <w:p w14:paraId="5C4274C8" w14:textId="77777777" w:rsidR="008F7A9E" w:rsidRPr="008F7A9E" w:rsidRDefault="008F7A9E" w:rsidP="008F7A9E">
            <w:pPr>
              <w:ind w:firstLineChars="200" w:firstLine="320"/>
              <w:rPr>
                <w:rFonts w:ascii="Arial Narrow" w:hAnsi="Arial Narrow" w:cs="Calibri"/>
                <w:sz w:val="16"/>
                <w:szCs w:val="16"/>
              </w:rPr>
            </w:pPr>
            <w:r w:rsidRPr="008F7A9E">
              <w:rPr>
                <w:rFonts w:ascii="Arial Narrow" w:hAnsi="Arial Narrow" w:cs="Calibri"/>
                <w:sz w:val="16"/>
                <w:szCs w:val="16"/>
              </w:rPr>
              <w:t>доставено от други селскостопански предприятия</w:t>
            </w:r>
          </w:p>
        </w:tc>
        <w:tc>
          <w:tcPr>
            <w:tcW w:w="1185" w:type="dxa"/>
            <w:tcBorders>
              <w:top w:val="nil"/>
              <w:left w:val="nil"/>
              <w:bottom w:val="single" w:sz="4" w:space="0" w:color="auto"/>
              <w:right w:val="single" w:sz="4" w:space="0" w:color="auto"/>
            </w:tcBorders>
            <w:shd w:val="clear" w:color="auto" w:fill="auto"/>
            <w:vAlign w:val="center"/>
            <w:hideMark/>
          </w:tcPr>
          <w:p w14:paraId="7C8709AC" w14:textId="77777777" w:rsidR="008F7A9E" w:rsidRPr="008F7A9E" w:rsidRDefault="008F7A9E" w:rsidP="008F7A9E">
            <w:pPr>
              <w:jc w:val="right"/>
              <w:rPr>
                <w:rFonts w:ascii="Arial Narrow" w:hAnsi="Arial Narrow" w:cs="Calibri"/>
                <w:sz w:val="16"/>
                <w:szCs w:val="16"/>
              </w:rPr>
            </w:pPr>
            <w:r w:rsidRPr="008F7A9E">
              <w:rPr>
                <w:rFonts w:ascii="Arial Narrow" w:hAnsi="Arial Narrow" w:cs="Calibri"/>
                <w:sz w:val="16"/>
                <w:szCs w:val="16"/>
              </w:rPr>
              <w:t>137,7</w:t>
            </w:r>
          </w:p>
        </w:tc>
        <w:tc>
          <w:tcPr>
            <w:tcW w:w="1028" w:type="dxa"/>
            <w:tcBorders>
              <w:top w:val="nil"/>
              <w:left w:val="nil"/>
              <w:bottom w:val="single" w:sz="4" w:space="0" w:color="auto"/>
              <w:right w:val="single" w:sz="4" w:space="0" w:color="auto"/>
            </w:tcBorders>
            <w:shd w:val="clear" w:color="auto" w:fill="auto"/>
            <w:vAlign w:val="center"/>
            <w:hideMark/>
          </w:tcPr>
          <w:p w14:paraId="638B16B3" w14:textId="77777777" w:rsidR="008F7A9E" w:rsidRPr="008F7A9E" w:rsidRDefault="008F7A9E" w:rsidP="008F7A9E">
            <w:pPr>
              <w:jc w:val="right"/>
              <w:rPr>
                <w:rFonts w:ascii="Arial Narrow" w:hAnsi="Arial Narrow" w:cs="Calibri"/>
                <w:sz w:val="16"/>
                <w:szCs w:val="16"/>
              </w:rPr>
            </w:pPr>
            <w:r w:rsidRPr="008F7A9E">
              <w:rPr>
                <w:rFonts w:ascii="Arial Narrow" w:hAnsi="Arial Narrow" w:cs="Calibri"/>
                <w:sz w:val="16"/>
                <w:szCs w:val="16"/>
              </w:rPr>
              <w:t>-17,1</w:t>
            </w:r>
          </w:p>
        </w:tc>
        <w:tc>
          <w:tcPr>
            <w:tcW w:w="1217" w:type="dxa"/>
            <w:tcBorders>
              <w:top w:val="nil"/>
              <w:left w:val="nil"/>
              <w:bottom w:val="single" w:sz="4" w:space="0" w:color="auto"/>
              <w:right w:val="single" w:sz="4" w:space="0" w:color="auto"/>
            </w:tcBorders>
            <w:shd w:val="clear" w:color="auto" w:fill="auto"/>
            <w:vAlign w:val="center"/>
            <w:hideMark/>
          </w:tcPr>
          <w:p w14:paraId="69F2BDBF" w14:textId="77777777" w:rsidR="008F7A9E" w:rsidRPr="008F7A9E" w:rsidRDefault="008F7A9E" w:rsidP="008F7A9E">
            <w:pPr>
              <w:jc w:val="right"/>
              <w:rPr>
                <w:rFonts w:ascii="Arial Narrow" w:hAnsi="Arial Narrow" w:cs="Calibri"/>
                <w:sz w:val="16"/>
                <w:szCs w:val="16"/>
              </w:rPr>
            </w:pPr>
            <w:r w:rsidRPr="008F7A9E">
              <w:rPr>
                <w:rFonts w:ascii="Arial Narrow" w:hAnsi="Arial Narrow" w:cs="Calibri"/>
                <w:sz w:val="16"/>
                <w:szCs w:val="16"/>
              </w:rPr>
              <w:t>114,2</w:t>
            </w:r>
          </w:p>
        </w:tc>
        <w:tc>
          <w:tcPr>
            <w:tcW w:w="1075" w:type="dxa"/>
            <w:tcBorders>
              <w:top w:val="nil"/>
              <w:left w:val="nil"/>
              <w:bottom w:val="single" w:sz="4" w:space="0" w:color="auto"/>
              <w:right w:val="single" w:sz="4" w:space="0" w:color="auto"/>
            </w:tcBorders>
            <w:shd w:val="clear" w:color="auto" w:fill="auto"/>
            <w:vAlign w:val="center"/>
            <w:hideMark/>
          </w:tcPr>
          <w:p w14:paraId="206637BB" w14:textId="77777777" w:rsidR="008F7A9E" w:rsidRPr="008F7A9E" w:rsidRDefault="008F7A9E" w:rsidP="008F7A9E">
            <w:pPr>
              <w:jc w:val="right"/>
              <w:rPr>
                <w:rFonts w:ascii="Arial Narrow" w:hAnsi="Arial Narrow" w:cs="Calibri"/>
                <w:sz w:val="16"/>
                <w:szCs w:val="16"/>
              </w:rPr>
            </w:pPr>
            <w:r w:rsidRPr="008F7A9E">
              <w:rPr>
                <w:rFonts w:ascii="Arial Narrow" w:hAnsi="Arial Narrow" w:cs="Calibri"/>
                <w:sz w:val="16"/>
                <w:szCs w:val="16"/>
              </w:rPr>
              <w:t>-9,2</w:t>
            </w:r>
          </w:p>
        </w:tc>
        <w:tc>
          <w:tcPr>
            <w:tcW w:w="1233" w:type="dxa"/>
            <w:tcBorders>
              <w:top w:val="nil"/>
              <w:left w:val="nil"/>
              <w:bottom w:val="single" w:sz="4" w:space="0" w:color="auto"/>
              <w:right w:val="single" w:sz="4" w:space="0" w:color="auto"/>
            </w:tcBorders>
            <w:shd w:val="clear" w:color="auto" w:fill="auto"/>
            <w:vAlign w:val="center"/>
            <w:hideMark/>
          </w:tcPr>
          <w:p w14:paraId="0C74D7A1" w14:textId="77777777" w:rsidR="008F7A9E" w:rsidRPr="008F7A9E" w:rsidRDefault="008F7A9E" w:rsidP="008F7A9E">
            <w:pPr>
              <w:jc w:val="right"/>
              <w:rPr>
                <w:rFonts w:ascii="Arial Narrow" w:hAnsi="Arial Narrow" w:cs="Calibri"/>
                <w:sz w:val="16"/>
                <w:szCs w:val="16"/>
              </w:rPr>
            </w:pPr>
            <w:r w:rsidRPr="008F7A9E">
              <w:rPr>
                <w:rFonts w:ascii="Arial Narrow" w:hAnsi="Arial Narrow" w:cs="Calibri"/>
                <w:sz w:val="16"/>
                <w:szCs w:val="16"/>
              </w:rPr>
              <w:t>103,7</w:t>
            </w:r>
          </w:p>
        </w:tc>
      </w:tr>
      <w:tr w:rsidR="008F7A9E" w:rsidRPr="00B10684" w14:paraId="5C5B9A48" w14:textId="77777777" w:rsidTr="005A18A5">
        <w:trPr>
          <w:trHeight w:val="251"/>
        </w:trPr>
        <w:tc>
          <w:tcPr>
            <w:tcW w:w="748" w:type="dxa"/>
            <w:tcBorders>
              <w:top w:val="nil"/>
              <w:left w:val="single" w:sz="4" w:space="0" w:color="auto"/>
              <w:bottom w:val="single" w:sz="4" w:space="0" w:color="auto"/>
              <w:right w:val="single" w:sz="4" w:space="0" w:color="auto"/>
            </w:tcBorders>
            <w:shd w:val="clear" w:color="auto" w:fill="auto"/>
            <w:vAlign w:val="center"/>
            <w:hideMark/>
          </w:tcPr>
          <w:p w14:paraId="634520ED" w14:textId="77777777" w:rsidR="008F7A9E" w:rsidRPr="008F7A9E" w:rsidRDefault="008F7A9E" w:rsidP="008F7A9E">
            <w:pPr>
              <w:rPr>
                <w:rFonts w:ascii="Arial Narrow" w:hAnsi="Arial Narrow" w:cs="Calibri"/>
                <w:sz w:val="16"/>
                <w:szCs w:val="16"/>
              </w:rPr>
            </w:pPr>
            <w:r w:rsidRPr="008F7A9E">
              <w:rPr>
                <w:rFonts w:ascii="Arial Narrow" w:hAnsi="Arial Narrow" w:cs="Calibri"/>
                <w:sz w:val="16"/>
                <w:szCs w:val="16"/>
              </w:rPr>
              <w:t> </w:t>
            </w:r>
          </w:p>
        </w:tc>
        <w:tc>
          <w:tcPr>
            <w:tcW w:w="4419" w:type="dxa"/>
            <w:tcBorders>
              <w:top w:val="nil"/>
              <w:left w:val="nil"/>
              <w:bottom w:val="single" w:sz="4" w:space="0" w:color="auto"/>
              <w:right w:val="single" w:sz="4" w:space="0" w:color="auto"/>
            </w:tcBorders>
            <w:shd w:val="clear" w:color="auto" w:fill="auto"/>
            <w:vAlign w:val="center"/>
            <w:hideMark/>
          </w:tcPr>
          <w:p w14:paraId="6E0D0906" w14:textId="77777777" w:rsidR="008F7A9E" w:rsidRPr="008F7A9E" w:rsidRDefault="008F7A9E" w:rsidP="008F7A9E">
            <w:pPr>
              <w:ind w:firstLineChars="200" w:firstLine="320"/>
              <w:rPr>
                <w:rFonts w:ascii="Arial Narrow" w:hAnsi="Arial Narrow" w:cs="Calibri"/>
                <w:sz w:val="16"/>
                <w:szCs w:val="16"/>
              </w:rPr>
            </w:pPr>
            <w:r w:rsidRPr="008F7A9E">
              <w:rPr>
                <w:rFonts w:ascii="Arial Narrow" w:hAnsi="Arial Narrow" w:cs="Calibri"/>
                <w:sz w:val="16"/>
                <w:szCs w:val="16"/>
              </w:rPr>
              <w:t>закупено извън сектора</w:t>
            </w:r>
          </w:p>
        </w:tc>
        <w:tc>
          <w:tcPr>
            <w:tcW w:w="1185" w:type="dxa"/>
            <w:tcBorders>
              <w:top w:val="nil"/>
              <w:left w:val="nil"/>
              <w:bottom w:val="single" w:sz="4" w:space="0" w:color="auto"/>
              <w:right w:val="single" w:sz="4" w:space="0" w:color="auto"/>
            </w:tcBorders>
            <w:shd w:val="clear" w:color="auto" w:fill="auto"/>
            <w:vAlign w:val="center"/>
            <w:hideMark/>
          </w:tcPr>
          <w:p w14:paraId="05201EB9" w14:textId="77777777" w:rsidR="008F7A9E" w:rsidRPr="008F7A9E" w:rsidRDefault="008F7A9E" w:rsidP="008F7A9E">
            <w:pPr>
              <w:jc w:val="right"/>
              <w:rPr>
                <w:rFonts w:ascii="Arial Narrow" w:hAnsi="Arial Narrow" w:cs="Calibri"/>
                <w:sz w:val="16"/>
                <w:szCs w:val="16"/>
              </w:rPr>
            </w:pPr>
            <w:r w:rsidRPr="008F7A9E">
              <w:rPr>
                <w:rFonts w:ascii="Arial Narrow" w:hAnsi="Arial Narrow" w:cs="Calibri"/>
                <w:sz w:val="16"/>
                <w:szCs w:val="16"/>
              </w:rPr>
              <w:t>337,7</w:t>
            </w:r>
          </w:p>
        </w:tc>
        <w:tc>
          <w:tcPr>
            <w:tcW w:w="1028" w:type="dxa"/>
            <w:tcBorders>
              <w:top w:val="nil"/>
              <w:left w:val="nil"/>
              <w:bottom w:val="single" w:sz="4" w:space="0" w:color="auto"/>
              <w:right w:val="single" w:sz="4" w:space="0" w:color="auto"/>
            </w:tcBorders>
            <w:shd w:val="clear" w:color="auto" w:fill="auto"/>
            <w:vAlign w:val="center"/>
            <w:hideMark/>
          </w:tcPr>
          <w:p w14:paraId="3C475648" w14:textId="77777777" w:rsidR="008F7A9E" w:rsidRPr="008F7A9E" w:rsidRDefault="008F7A9E" w:rsidP="008F7A9E">
            <w:pPr>
              <w:jc w:val="right"/>
              <w:rPr>
                <w:rFonts w:ascii="Arial Narrow" w:hAnsi="Arial Narrow" w:cs="Calibri"/>
                <w:sz w:val="16"/>
                <w:szCs w:val="16"/>
              </w:rPr>
            </w:pPr>
            <w:r w:rsidRPr="008F7A9E">
              <w:rPr>
                <w:rFonts w:ascii="Arial Narrow" w:hAnsi="Arial Narrow" w:cs="Calibri"/>
                <w:sz w:val="16"/>
                <w:szCs w:val="16"/>
              </w:rPr>
              <w:t>-7,8</w:t>
            </w:r>
          </w:p>
        </w:tc>
        <w:tc>
          <w:tcPr>
            <w:tcW w:w="1217" w:type="dxa"/>
            <w:tcBorders>
              <w:top w:val="nil"/>
              <w:left w:val="nil"/>
              <w:bottom w:val="single" w:sz="4" w:space="0" w:color="auto"/>
              <w:right w:val="single" w:sz="4" w:space="0" w:color="auto"/>
            </w:tcBorders>
            <w:shd w:val="clear" w:color="auto" w:fill="auto"/>
            <w:vAlign w:val="center"/>
            <w:hideMark/>
          </w:tcPr>
          <w:p w14:paraId="17C5CF0B" w14:textId="77777777" w:rsidR="008F7A9E" w:rsidRPr="008F7A9E" w:rsidRDefault="008F7A9E" w:rsidP="008F7A9E">
            <w:pPr>
              <w:jc w:val="right"/>
              <w:rPr>
                <w:rFonts w:ascii="Arial Narrow" w:hAnsi="Arial Narrow" w:cs="Calibri"/>
                <w:sz w:val="16"/>
                <w:szCs w:val="16"/>
              </w:rPr>
            </w:pPr>
            <w:r w:rsidRPr="008F7A9E">
              <w:rPr>
                <w:rFonts w:ascii="Arial Narrow" w:hAnsi="Arial Narrow" w:cs="Calibri"/>
                <w:sz w:val="16"/>
                <w:szCs w:val="16"/>
              </w:rPr>
              <w:t>311,2</w:t>
            </w:r>
          </w:p>
        </w:tc>
        <w:tc>
          <w:tcPr>
            <w:tcW w:w="1075" w:type="dxa"/>
            <w:tcBorders>
              <w:top w:val="nil"/>
              <w:left w:val="nil"/>
              <w:bottom w:val="single" w:sz="4" w:space="0" w:color="auto"/>
              <w:right w:val="single" w:sz="4" w:space="0" w:color="auto"/>
            </w:tcBorders>
            <w:shd w:val="clear" w:color="auto" w:fill="auto"/>
            <w:vAlign w:val="center"/>
            <w:hideMark/>
          </w:tcPr>
          <w:p w14:paraId="1AA48608" w14:textId="77777777" w:rsidR="008F7A9E" w:rsidRPr="008F7A9E" w:rsidRDefault="008F7A9E" w:rsidP="008F7A9E">
            <w:pPr>
              <w:jc w:val="right"/>
              <w:rPr>
                <w:rFonts w:ascii="Arial Narrow" w:hAnsi="Arial Narrow" w:cs="Calibri"/>
                <w:sz w:val="16"/>
                <w:szCs w:val="16"/>
              </w:rPr>
            </w:pPr>
            <w:r w:rsidRPr="008F7A9E">
              <w:rPr>
                <w:rFonts w:ascii="Arial Narrow" w:hAnsi="Arial Narrow" w:cs="Calibri"/>
                <w:sz w:val="16"/>
                <w:szCs w:val="16"/>
              </w:rPr>
              <w:t>-9,8</w:t>
            </w:r>
          </w:p>
        </w:tc>
        <w:tc>
          <w:tcPr>
            <w:tcW w:w="1233" w:type="dxa"/>
            <w:tcBorders>
              <w:top w:val="nil"/>
              <w:left w:val="nil"/>
              <w:bottom w:val="single" w:sz="4" w:space="0" w:color="auto"/>
              <w:right w:val="single" w:sz="4" w:space="0" w:color="auto"/>
            </w:tcBorders>
            <w:shd w:val="clear" w:color="auto" w:fill="auto"/>
            <w:vAlign w:val="center"/>
            <w:hideMark/>
          </w:tcPr>
          <w:p w14:paraId="34B69AC0" w14:textId="77777777" w:rsidR="008F7A9E" w:rsidRPr="008F7A9E" w:rsidRDefault="008F7A9E" w:rsidP="008F7A9E">
            <w:pPr>
              <w:jc w:val="right"/>
              <w:rPr>
                <w:rFonts w:ascii="Arial Narrow" w:hAnsi="Arial Narrow" w:cs="Calibri"/>
                <w:sz w:val="16"/>
                <w:szCs w:val="16"/>
              </w:rPr>
            </w:pPr>
            <w:r w:rsidRPr="008F7A9E">
              <w:rPr>
                <w:rFonts w:ascii="Arial Narrow" w:hAnsi="Arial Narrow" w:cs="Calibri"/>
                <w:sz w:val="16"/>
                <w:szCs w:val="16"/>
              </w:rPr>
              <w:t>280,7</w:t>
            </w:r>
          </w:p>
        </w:tc>
      </w:tr>
      <w:tr w:rsidR="008F7A9E" w:rsidRPr="00B10684" w14:paraId="370FDCF0" w14:textId="77777777" w:rsidTr="005A18A5">
        <w:trPr>
          <w:trHeight w:val="365"/>
        </w:trPr>
        <w:tc>
          <w:tcPr>
            <w:tcW w:w="748" w:type="dxa"/>
            <w:tcBorders>
              <w:top w:val="nil"/>
              <w:left w:val="single" w:sz="4" w:space="0" w:color="auto"/>
              <w:bottom w:val="single" w:sz="4" w:space="0" w:color="auto"/>
              <w:right w:val="single" w:sz="4" w:space="0" w:color="auto"/>
            </w:tcBorders>
            <w:shd w:val="clear" w:color="auto" w:fill="auto"/>
            <w:vAlign w:val="center"/>
            <w:hideMark/>
          </w:tcPr>
          <w:p w14:paraId="413A9087" w14:textId="77777777" w:rsidR="008F7A9E" w:rsidRPr="008F7A9E" w:rsidRDefault="008F7A9E" w:rsidP="008F7A9E">
            <w:pPr>
              <w:rPr>
                <w:rFonts w:ascii="Arial Narrow" w:hAnsi="Arial Narrow" w:cs="Calibri"/>
                <w:b/>
                <w:bCs/>
                <w:sz w:val="16"/>
                <w:szCs w:val="16"/>
              </w:rPr>
            </w:pPr>
            <w:r w:rsidRPr="008F7A9E">
              <w:rPr>
                <w:rFonts w:ascii="Arial Narrow" w:hAnsi="Arial Narrow" w:cs="Calibri"/>
                <w:b/>
                <w:bCs/>
                <w:sz w:val="16"/>
                <w:szCs w:val="16"/>
              </w:rPr>
              <w:t>20</w:t>
            </w:r>
          </w:p>
        </w:tc>
        <w:tc>
          <w:tcPr>
            <w:tcW w:w="4419" w:type="dxa"/>
            <w:tcBorders>
              <w:top w:val="nil"/>
              <w:left w:val="nil"/>
              <w:bottom w:val="single" w:sz="4" w:space="0" w:color="auto"/>
              <w:right w:val="single" w:sz="4" w:space="0" w:color="auto"/>
            </w:tcBorders>
            <w:shd w:val="clear" w:color="auto" w:fill="auto"/>
            <w:vAlign w:val="center"/>
            <w:hideMark/>
          </w:tcPr>
          <w:p w14:paraId="7EC752BF" w14:textId="77777777" w:rsidR="008F7A9E" w:rsidRPr="008F7A9E" w:rsidRDefault="008F7A9E" w:rsidP="008F7A9E">
            <w:pPr>
              <w:rPr>
                <w:rFonts w:ascii="Arial Narrow" w:hAnsi="Arial Narrow" w:cs="Calibri"/>
                <w:b/>
                <w:bCs/>
                <w:sz w:val="16"/>
                <w:szCs w:val="16"/>
              </w:rPr>
            </w:pPr>
            <w:r w:rsidRPr="008F7A9E">
              <w:rPr>
                <w:rFonts w:ascii="Arial Narrow" w:hAnsi="Arial Narrow" w:cs="Calibri"/>
                <w:b/>
                <w:bCs/>
                <w:sz w:val="16"/>
                <w:szCs w:val="16"/>
              </w:rPr>
              <w:t>Брутна добавена стойност по базисни цени (18-19)</w:t>
            </w:r>
          </w:p>
        </w:tc>
        <w:tc>
          <w:tcPr>
            <w:tcW w:w="1185" w:type="dxa"/>
            <w:tcBorders>
              <w:top w:val="nil"/>
              <w:left w:val="nil"/>
              <w:bottom w:val="single" w:sz="4" w:space="0" w:color="auto"/>
              <w:right w:val="single" w:sz="4" w:space="0" w:color="auto"/>
            </w:tcBorders>
            <w:shd w:val="clear" w:color="auto" w:fill="auto"/>
            <w:vAlign w:val="center"/>
            <w:hideMark/>
          </w:tcPr>
          <w:p w14:paraId="3FBE6312" w14:textId="77777777" w:rsidR="008F7A9E" w:rsidRPr="008F7A9E" w:rsidRDefault="008F7A9E" w:rsidP="008F7A9E">
            <w:pPr>
              <w:jc w:val="right"/>
              <w:rPr>
                <w:rFonts w:ascii="Arial Narrow" w:hAnsi="Arial Narrow" w:cs="Calibri"/>
                <w:b/>
                <w:bCs/>
                <w:sz w:val="16"/>
                <w:szCs w:val="16"/>
              </w:rPr>
            </w:pPr>
            <w:r w:rsidRPr="008F7A9E">
              <w:rPr>
                <w:rFonts w:ascii="Arial Narrow" w:hAnsi="Arial Narrow" w:cs="Calibri"/>
                <w:b/>
                <w:bCs/>
                <w:sz w:val="16"/>
                <w:szCs w:val="16"/>
              </w:rPr>
              <w:t>5 913,2</w:t>
            </w:r>
          </w:p>
        </w:tc>
        <w:tc>
          <w:tcPr>
            <w:tcW w:w="1028" w:type="dxa"/>
            <w:tcBorders>
              <w:top w:val="nil"/>
              <w:left w:val="nil"/>
              <w:bottom w:val="single" w:sz="4" w:space="0" w:color="auto"/>
              <w:right w:val="single" w:sz="4" w:space="0" w:color="auto"/>
            </w:tcBorders>
            <w:shd w:val="clear" w:color="auto" w:fill="auto"/>
            <w:vAlign w:val="center"/>
            <w:hideMark/>
          </w:tcPr>
          <w:p w14:paraId="05EB82C8" w14:textId="77777777" w:rsidR="008F7A9E" w:rsidRPr="008F7A9E" w:rsidRDefault="008F7A9E" w:rsidP="008F7A9E">
            <w:pPr>
              <w:jc w:val="right"/>
              <w:rPr>
                <w:rFonts w:ascii="Arial Narrow" w:hAnsi="Arial Narrow" w:cs="Calibri"/>
                <w:b/>
                <w:bCs/>
                <w:sz w:val="16"/>
                <w:szCs w:val="16"/>
              </w:rPr>
            </w:pPr>
            <w:r w:rsidRPr="008F7A9E">
              <w:rPr>
                <w:rFonts w:ascii="Arial Narrow" w:hAnsi="Arial Narrow" w:cs="Calibri"/>
                <w:b/>
                <w:bCs/>
                <w:sz w:val="16"/>
                <w:szCs w:val="16"/>
              </w:rPr>
              <w:t>-28,7</w:t>
            </w:r>
          </w:p>
        </w:tc>
        <w:tc>
          <w:tcPr>
            <w:tcW w:w="1217" w:type="dxa"/>
            <w:tcBorders>
              <w:top w:val="nil"/>
              <w:left w:val="nil"/>
              <w:bottom w:val="single" w:sz="4" w:space="0" w:color="auto"/>
              <w:right w:val="single" w:sz="4" w:space="0" w:color="auto"/>
            </w:tcBorders>
            <w:shd w:val="clear" w:color="auto" w:fill="auto"/>
            <w:vAlign w:val="center"/>
            <w:hideMark/>
          </w:tcPr>
          <w:p w14:paraId="3704F2F2" w14:textId="77777777" w:rsidR="008F7A9E" w:rsidRPr="008F7A9E" w:rsidRDefault="008F7A9E" w:rsidP="008F7A9E">
            <w:pPr>
              <w:jc w:val="right"/>
              <w:rPr>
                <w:rFonts w:ascii="Arial Narrow" w:hAnsi="Arial Narrow" w:cs="Calibri"/>
                <w:b/>
                <w:bCs/>
                <w:sz w:val="16"/>
                <w:szCs w:val="16"/>
              </w:rPr>
            </w:pPr>
            <w:r w:rsidRPr="008F7A9E">
              <w:rPr>
                <w:rFonts w:ascii="Arial Narrow" w:hAnsi="Arial Narrow" w:cs="Calibri"/>
                <w:b/>
                <w:bCs/>
                <w:sz w:val="16"/>
                <w:szCs w:val="16"/>
              </w:rPr>
              <w:t>4 217,0</w:t>
            </w:r>
          </w:p>
        </w:tc>
        <w:tc>
          <w:tcPr>
            <w:tcW w:w="1075" w:type="dxa"/>
            <w:tcBorders>
              <w:top w:val="nil"/>
              <w:left w:val="nil"/>
              <w:bottom w:val="single" w:sz="4" w:space="0" w:color="auto"/>
              <w:right w:val="single" w:sz="4" w:space="0" w:color="auto"/>
            </w:tcBorders>
            <w:shd w:val="clear" w:color="auto" w:fill="auto"/>
            <w:vAlign w:val="center"/>
            <w:hideMark/>
          </w:tcPr>
          <w:p w14:paraId="53E901E8" w14:textId="77777777" w:rsidR="008F7A9E" w:rsidRPr="008F7A9E" w:rsidRDefault="008F7A9E" w:rsidP="008F7A9E">
            <w:pPr>
              <w:jc w:val="right"/>
              <w:rPr>
                <w:rFonts w:ascii="Arial Narrow" w:hAnsi="Arial Narrow" w:cs="Calibri"/>
                <w:b/>
                <w:bCs/>
                <w:sz w:val="16"/>
                <w:szCs w:val="16"/>
              </w:rPr>
            </w:pPr>
            <w:r w:rsidRPr="008F7A9E">
              <w:rPr>
                <w:rFonts w:ascii="Arial Narrow" w:hAnsi="Arial Narrow" w:cs="Calibri"/>
                <w:b/>
                <w:bCs/>
                <w:sz w:val="16"/>
                <w:szCs w:val="16"/>
              </w:rPr>
              <w:t>-5,0</w:t>
            </w:r>
          </w:p>
        </w:tc>
        <w:tc>
          <w:tcPr>
            <w:tcW w:w="1233" w:type="dxa"/>
            <w:tcBorders>
              <w:top w:val="nil"/>
              <w:left w:val="nil"/>
              <w:bottom w:val="single" w:sz="4" w:space="0" w:color="auto"/>
              <w:right w:val="single" w:sz="4" w:space="0" w:color="auto"/>
            </w:tcBorders>
            <w:shd w:val="clear" w:color="auto" w:fill="auto"/>
            <w:vAlign w:val="center"/>
            <w:hideMark/>
          </w:tcPr>
          <w:p w14:paraId="2CFB12E0" w14:textId="77777777" w:rsidR="008F7A9E" w:rsidRPr="008F7A9E" w:rsidRDefault="008F7A9E" w:rsidP="008F7A9E">
            <w:pPr>
              <w:jc w:val="right"/>
              <w:rPr>
                <w:rFonts w:ascii="Arial Narrow" w:hAnsi="Arial Narrow" w:cs="Calibri"/>
                <w:b/>
                <w:bCs/>
                <w:sz w:val="16"/>
                <w:szCs w:val="16"/>
              </w:rPr>
            </w:pPr>
            <w:r w:rsidRPr="008F7A9E">
              <w:rPr>
                <w:rFonts w:ascii="Arial Narrow" w:hAnsi="Arial Narrow" w:cs="Calibri"/>
                <w:b/>
                <w:bCs/>
                <w:sz w:val="16"/>
                <w:szCs w:val="16"/>
              </w:rPr>
              <w:t>4 006,7</w:t>
            </w:r>
          </w:p>
        </w:tc>
      </w:tr>
      <w:tr w:rsidR="008F7A9E" w:rsidRPr="00B10684" w14:paraId="61F2903D" w14:textId="77777777" w:rsidTr="005A18A5">
        <w:trPr>
          <w:trHeight w:val="331"/>
        </w:trPr>
        <w:tc>
          <w:tcPr>
            <w:tcW w:w="748" w:type="dxa"/>
            <w:tcBorders>
              <w:top w:val="nil"/>
              <w:left w:val="single" w:sz="4" w:space="0" w:color="auto"/>
              <w:bottom w:val="single" w:sz="4" w:space="0" w:color="auto"/>
              <w:right w:val="single" w:sz="4" w:space="0" w:color="auto"/>
            </w:tcBorders>
            <w:shd w:val="clear" w:color="auto" w:fill="auto"/>
            <w:vAlign w:val="center"/>
            <w:hideMark/>
          </w:tcPr>
          <w:p w14:paraId="769BBA8D" w14:textId="77777777" w:rsidR="008F7A9E" w:rsidRPr="008F7A9E" w:rsidRDefault="008F7A9E" w:rsidP="008F7A9E">
            <w:pPr>
              <w:rPr>
                <w:rFonts w:ascii="Arial Narrow" w:hAnsi="Arial Narrow" w:cs="Calibri"/>
                <w:sz w:val="16"/>
                <w:szCs w:val="16"/>
              </w:rPr>
            </w:pPr>
            <w:r w:rsidRPr="008F7A9E">
              <w:rPr>
                <w:rFonts w:ascii="Arial Narrow" w:hAnsi="Arial Narrow" w:cs="Calibri"/>
                <w:sz w:val="16"/>
                <w:szCs w:val="16"/>
              </w:rPr>
              <w:t>21</w:t>
            </w:r>
          </w:p>
        </w:tc>
        <w:tc>
          <w:tcPr>
            <w:tcW w:w="4419" w:type="dxa"/>
            <w:tcBorders>
              <w:top w:val="nil"/>
              <w:left w:val="nil"/>
              <w:bottom w:val="single" w:sz="4" w:space="0" w:color="auto"/>
              <w:right w:val="single" w:sz="4" w:space="0" w:color="auto"/>
            </w:tcBorders>
            <w:shd w:val="clear" w:color="auto" w:fill="auto"/>
            <w:vAlign w:val="center"/>
            <w:hideMark/>
          </w:tcPr>
          <w:p w14:paraId="4F50AB7B" w14:textId="77777777" w:rsidR="008F7A9E" w:rsidRPr="008F7A9E" w:rsidRDefault="008F7A9E" w:rsidP="008F7A9E">
            <w:pPr>
              <w:rPr>
                <w:rFonts w:ascii="Arial Narrow" w:hAnsi="Arial Narrow" w:cs="Calibri"/>
                <w:sz w:val="16"/>
                <w:szCs w:val="16"/>
              </w:rPr>
            </w:pPr>
            <w:r w:rsidRPr="008F7A9E">
              <w:rPr>
                <w:rFonts w:ascii="Arial Narrow" w:hAnsi="Arial Narrow" w:cs="Calibri"/>
                <w:sz w:val="16"/>
                <w:szCs w:val="16"/>
              </w:rPr>
              <w:t>Потребление на основен капитал</w:t>
            </w:r>
          </w:p>
        </w:tc>
        <w:tc>
          <w:tcPr>
            <w:tcW w:w="1185" w:type="dxa"/>
            <w:tcBorders>
              <w:top w:val="nil"/>
              <w:left w:val="nil"/>
              <w:bottom w:val="single" w:sz="4" w:space="0" w:color="auto"/>
              <w:right w:val="single" w:sz="4" w:space="0" w:color="auto"/>
            </w:tcBorders>
            <w:shd w:val="clear" w:color="auto" w:fill="auto"/>
            <w:vAlign w:val="center"/>
            <w:hideMark/>
          </w:tcPr>
          <w:p w14:paraId="64CF7C0D" w14:textId="77777777" w:rsidR="008F7A9E" w:rsidRPr="008F7A9E" w:rsidRDefault="008F7A9E" w:rsidP="008F7A9E">
            <w:pPr>
              <w:jc w:val="right"/>
              <w:rPr>
                <w:rFonts w:ascii="Arial Narrow" w:hAnsi="Arial Narrow" w:cs="Calibri"/>
                <w:sz w:val="16"/>
                <w:szCs w:val="16"/>
              </w:rPr>
            </w:pPr>
            <w:r w:rsidRPr="008F7A9E">
              <w:rPr>
                <w:rFonts w:ascii="Arial Narrow" w:hAnsi="Arial Narrow" w:cs="Calibri"/>
                <w:sz w:val="16"/>
                <w:szCs w:val="16"/>
              </w:rPr>
              <w:t>1 124,4</w:t>
            </w:r>
          </w:p>
        </w:tc>
        <w:tc>
          <w:tcPr>
            <w:tcW w:w="1028" w:type="dxa"/>
            <w:tcBorders>
              <w:top w:val="nil"/>
              <w:left w:val="nil"/>
              <w:bottom w:val="single" w:sz="4" w:space="0" w:color="auto"/>
              <w:right w:val="single" w:sz="4" w:space="0" w:color="auto"/>
            </w:tcBorders>
            <w:shd w:val="clear" w:color="auto" w:fill="auto"/>
            <w:vAlign w:val="center"/>
            <w:hideMark/>
          </w:tcPr>
          <w:p w14:paraId="06D6EDEC" w14:textId="77777777" w:rsidR="008F7A9E" w:rsidRPr="008F7A9E" w:rsidRDefault="008F7A9E" w:rsidP="008F7A9E">
            <w:pPr>
              <w:jc w:val="right"/>
              <w:rPr>
                <w:rFonts w:ascii="Arial Narrow" w:hAnsi="Arial Narrow" w:cs="Calibri"/>
                <w:sz w:val="16"/>
                <w:szCs w:val="16"/>
              </w:rPr>
            </w:pPr>
            <w:r w:rsidRPr="008F7A9E">
              <w:rPr>
                <w:rFonts w:ascii="Arial Narrow" w:hAnsi="Arial Narrow" w:cs="Calibri"/>
                <w:sz w:val="16"/>
                <w:szCs w:val="16"/>
              </w:rPr>
              <w:t>9,6</w:t>
            </w:r>
          </w:p>
        </w:tc>
        <w:tc>
          <w:tcPr>
            <w:tcW w:w="1217" w:type="dxa"/>
            <w:tcBorders>
              <w:top w:val="nil"/>
              <w:left w:val="nil"/>
              <w:bottom w:val="single" w:sz="4" w:space="0" w:color="auto"/>
              <w:right w:val="single" w:sz="4" w:space="0" w:color="auto"/>
            </w:tcBorders>
            <w:shd w:val="clear" w:color="auto" w:fill="auto"/>
            <w:vAlign w:val="center"/>
            <w:hideMark/>
          </w:tcPr>
          <w:p w14:paraId="7E72191F" w14:textId="77777777" w:rsidR="008F7A9E" w:rsidRPr="008F7A9E" w:rsidRDefault="008F7A9E" w:rsidP="008F7A9E">
            <w:pPr>
              <w:jc w:val="right"/>
              <w:rPr>
                <w:rFonts w:ascii="Arial Narrow" w:hAnsi="Arial Narrow" w:cs="Calibri"/>
                <w:sz w:val="16"/>
                <w:szCs w:val="16"/>
              </w:rPr>
            </w:pPr>
            <w:r w:rsidRPr="008F7A9E">
              <w:rPr>
                <w:rFonts w:ascii="Arial Narrow" w:hAnsi="Arial Narrow" w:cs="Calibri"/>
                <w:sz w:val="16"/>
                <w:szCs w:val="16"/>
              </w:rPr>
              <w:t>1 232,2</w:t>
            </w:r>
          </w:p>
        </w:tc>
        <w:tc>
          <w:tcPr>
            <w:tcW w:w="1075" w:type="dxa"/>
            <w:tcBorders>
              <w:top w:val="nil"/>
              <w:left w:val="nil"/>
              <w:bottom w:val="single" w:sz="4" w:space="0" w:color="auto"/>
              <w:right w:val="single" w:sz="4" w:space="0" w:color="auto"/>
            </w:tcBorders>
            <w:shd w:val="clear" w:color="auto" w:fill="auto"/>
            <w:vAlign w:val="center"/>
            <w:hideMark/>
          </w:tcPr>
          <w:p w14:paraId="7A3AC8C6" w14:textId="77777777" w:rsidR="008F7A9E" w:rsidRPr="008F7A9E" w:rsidRDefault="008F7A9E" w:rsidP="008F7A9E">
            <w:pPr>
              <w:rPr>
                <w:rFonts w:ascii="Arial Narrow" w:hAnsi="Arial Narrow" w:cs="Calibri"/>
                <w:sz w:val="16"/>
                <w:szCs w:val="16"/>
              </w:rPr>
            </w:pPr>
            <w:r w:rsidRPr="008F7A9E">
              <w:rPr>
                <w:rFonts w:ascii="Arial Narrow" w:hAnsi="Arial Narrow" w:cs="Calibri"/>
                <w:sz w:val="16"/>
                <w:szCs w:val="16"/>
              </w:rPr>
              <w:t> </w:t>
            </w:r>
          </w:p>
        </w:tc>
        <w:tc>
          <w:tcPr>
            <w:tcW w:w="1233" w:type="dxa"/>
            <w:tcBorders>
              <w:top w:val="nil"/>
              <w:left w:val="nil"/>
              <w:bottom w:val="single" w:sz="4" w:space="0" w:color="auto"/>
              <w:right w:val="single" w:sz="4" w:space="0" w:color="auto"/>
            </w:tcBorders>
            <w:shd w:val="clear" w:color="auto" w:fill="auto"/>
            <w:vAlign w:val="center"/>
            <w:hideMark/>
          </w:tcPr>
          <w:p w14:paraId="3C35405A" w14:textId="77777777" w:rsidR="008F7A9E" w:rsidRPr="008F7A9E" w:rsidRDefault="008F7A9E" w:rsidP="008F7A9E">
            <w:pPr>
              <w:jc w:val="right"/>
              <w:rPr>
                <w:rFonts w:ascii="Arial Narrow" w:hAnsi="Arial Narrow" w:cs="Calibri"/>
                <w:sz w:val="16"/>
                <w:szCs w:val="16"/>
              </w:rPr>
            </w:pPr>
            <w:r w:rsidRPr="008F7A9E">
              <w:rPr>
                <w:rFonts w:ascii="Arial Narrow" w:hAnsi="Arial Narrow" w:cs="Calibri"/>
                <w:sz w:val="16"/>
                <w:szCs w:val="16"/>
              </w:rPr>
              <w:t>1 232,2</w:t>
            </w:r>
          </w:p>
        </w:tc>
      </w:tr>
      <w:tr w:rsidR="008F7A9E" w:rsidRPr="00B10684" w14:paraId="0151755A" w14:textId="77777777" w:rsidTr="005A18A5">
        <w:trPr>
          <w:trHeight w:val="251"/>
        </w:trPr>
        <w:tc>
          <w:tcPr>
            <w:tcW w:w="748" w:type="dxa"/>
            <w:tcBorders>
              <w:top w:val="nil"/>
              <w:left w:val="single" w:sz="4" w:space="0" w:color="auto"/>
              <w:bottom w:val="single" w:sz="4" w:space="0" w:color="auto"/>
              <w:right w:val="single" w:sz="4" w:space="0" w:color="auto"/>
            </w:tcBorders>
            <w:shd w:val="clear" w:color="auto" w:fill="auto"/>
            <w:vAlign w:val="center"/>
            <w:hideMark/>
          </w:tcPr>
          <w:p w14:paraId="3194624E" w14:textId="77777777" w:rsidR="008F7A9E" w:rsidRPr="008F7A9E" w:rsidRDefault="008F7A9E" w:rsidP="008F7A9E">
            <w:pPr>
              <w:rPr>
                <w:rFonts w:ascii="Arial Narrow" w:hAnsi="Arial Narrow" w:cs="Calibri"/>
                <w:sz w:val="16"/>
                <w:szCs w:val="16"/>
              </w:rPr>
            </w:pPr>
            <w:r w:rsidRPr="008F7A9E">
              <w:rPr>
                <w:rFonts w:ascii="Arial Narrow" w:hAnsi="Arial Narrow" w:cs="Calibri"/>
                <w:sz w:val="16"/>
                <w:szCs w:val="16"/>
              </w:rPr>
              <w:t>21.1</w:t>
            </w:r>
          </w:p>
        </w:tc>
        <w:tc>
          <w:tcPr>
            <w:tcW w:w="4419" w:type="dxa"/>
            <w:tcBorders>
              <w:top w:val="nil"/>
              <w:left w:val="nil"/>
              <w:bottom w:val="single" w:sz="4" w:space="0" w:color="auto"/>
              <w:right w:val="single" w:sz="4" w:space="0" w:color="auto"/>
            </w:tcBorders>
            <w:shd w:val="clear" w:color="auto" w:fill="auto"/>
            <w:vAlign w:val="center"/>
            <w:hideMark/>
          </w:tcPr>
          <w:p w14:paraId="248C24A0" w14:textId="77777777" w:rsidR="008F7A9E" w:rsidRPr="008F7A9E" w:rsidRDefault="008F7A9E" w:rsidP="008F7A9E">
            <w:pPr>
              <w:ind w:firstLineChars="200" w:firstLine="320"/>
              <w:rPr>
                <w:rFonts w:ascii="Arial Narrow" w:hAnsi="Arial Narrow" w:cs="Calibri"/>
                <w:sz w:val="16"/>
                <w:szCs w:val="16"/>
              </w:rPr>
            </w:pPr>
            <w:r w:rsidRPr="008F7A9E">
              <w:rPr>
                <w:rFonts w:ascii="Arial Narrow" w:hAnsi="Arial Narrow" w:cs="Calibri"/>
                <w:sz w:val="16"/>
                <w:szCs w:val="16"/>
              </w:rPr>
              <w:t>- оборудване</w:t>
            </w:r>
          </w:p>
        </w:tc>
        <w:tc>
          <w:tcPr>
            <w:tcW w:w="1185" w:type="dxa"/>
            <w:tcBorders>
              <w:top w:val="nil"/>
              <w:left w:val="nil"/>
              <w:bottom w:val="single" w:sz="4" w:space="0" w:color="auto"/>
              <w:right w:val="single" w:sz="4" w:space="0" w:color="auto"/>
            </w:tcBorders>
            <w:shd w:val="clear" w:color="auto" w:fill="auto"/>
            <w:vAlign w:val="center"/>
            <w:hideMark/>
          </w:tcPr>
          <w:p w14:paraId="2F65E33F" w14:textId="77777777" w:rsidR="008F7A9E" w:rsidRPr="008F7A9E" w:rsidRDefault="008F7A9E" w:rsidP="008F7A9E">
            <w:pPr>
              <w:jc w:val="right"/>
              <w:rPr>
                <w:rFonts w:ascii="Arial Narrow" w:hAnsi="Arial Narrow" w:cs="Calibri"/>
                <w:sz w:val="16"/>
                <w:szCs w:val="16"/>
              </w:rPr>
            </w:pPr>
            <w:r w:rsidRPr="008F7A9E">
              <w:rPr>
                <w:rFonts w:ascii="Arial Narrow" w:hAnsi="Arial Narrow" w:cs="Calibri"/>
                <w:sz w:val="16"/>
                <w:szCs w:val="16"/>
              </w:rPr>
              <w:t>894,6</w:t>
            </w:r>
          </w:p>
        </w:tc>
        <w:tc>
          <w:tcPr>
            <w:tcW w:w="1028" w:type="dxa"/>
            <w:tcBorders>
              <w:top w:val="nil"/>
              <w:left w:val="nil"/>
              <w:bottom w:val="single" w:sz="4" w:space="0" w:color="auto"/>
              <w:right w:val="single" w:sz="4" w:space="0" w:color="auto"/>
            </w:tcBorders>
            <w:shd w:val="clear" w:color="auto" w:fill="auto"/>
            <w:vAlign w:val="center"/>
            <w:hideMark/>
          </w:tcPr>
          <w:p w14:paraId="72CBA88C" w14:textId="77777777" w:rsidR="008F7A9E" w:rsidRPr="008F7A9E" w:rsidRDefault="008F7A9E" w:rsidP="008F7A9E">
            <w:pPr>
              <w:jc w:val="right"/>
              <w:rPr>
                <w:rFonts w:ascii="Arial Narrow" w:hAnsi="Arial Narrow" w:cs="Calibri"/>
                <w:sz w:val="16"/>
                <w:szCs w:val="16"/>
              </w:rPr>
            </w:pPr>
            <w:r w:rsidRPr="008F7A9E">
              <w:rPr>
                <w:rFonts w:ascii="Arial Narrow" w:hAnsi="Arial Narrow" w:cs="Calibri"/>
                <w:sz w:val="16"/>
                <w:szCs w:val="16"/>
              </w:rPr>
              <w:t>9,0</w:t>
            </w:r>
          </w:p>
        </w:tc>
        <w:tc>
          <w:tcPr>
            <w:tcW w:w="1217" w:type="dxa"/>
            <w:tcBorders>
              <w:top w:val="nil"/>
              <w:left w:val="nil"/>
              <w:bottom w:val="single" w:sz="4" w:space="0" w:color="auto"/>
              <w:right w:val="single" w:sz="4" w:space="0" w:color="auto"/>
            </w:tcBorders>
            <w:shd w:val="clear" w:color="auto" w:fill="auto"/>
            <w:vAlign w:val="center"/>
            <w:hideMark/>
          </w:tcPr>
          <w:p w14:paraId="0A0DF9B3" w14:textId="77777777" w:rsidR="008F7A9E" w:rsidRPr="008F7A9E" w:rsidRDefault="008F7A9E" w:rsidP="008F7A9E">
            <w:pPr>
              <w:jc w:val="right"/>
              <w:rPr>
                <w:rFonts w:ascii="Arial Narrow" w:hAnsi="Arial Narrow" w:cs="Calibri"/>
                <w:sz w:val="16"/>
                <w:szCs w:val="16"/>
              </w:rPr>
            </w:pPr>
            <w:r w:rsidRPr="008F7A9E">
              <w:rPr>
                <w:rFonts w:ascii="Arial Narrow" w:hAnsi="Arial Narrow" w:cs="Calibri"/>
                <w:sz w:val="16"/>
                <w:szCs w:val="16"/>
              </w:rPr>
              <w:t>975,2</w:t>
            </w:r>
          </w:p>
        </w:tc>
        <w:tc>
          <w:tcPr>
            <w:tcW w:w="1075" w:type="dxa"/>
            <w:tcBorders>
              <w:top w:val="nil"/>
              <w:left w:val="nil"/>
              <w:bottom w:val="single" w:sz="4" w:space="0" w:color="auto"/>
              <w:right w:val="single" w:sz="4" w:space="0" w:color="auto"/>
            </w:tcBorders>
            <w:shd w:val="clear" w:color="auto" w:fill="auto"/>
            <w:vAlign w:val="center"/>
            <w:hideMark/>
          </w:tcPr>
          <w:p w14:paraId="5530FECD" w14:textId="77777777" w:rsidR="008F7A9E" w:rsidRPr="008F7A9E" w:rsidRDefault="008F7A9E" w:rsidP="008F7A9E">
            <w:pPr>
              <w:jc w:val="right"/>
              <w:rPr>
                <w:rFonts w:ascii="Arial Narrow" w:hAnsi="Arial Narrow" w:cs="Calibri"/>
                <w:sz w:val="16"/>
                <w:szCs w:val="16"/>
              </w:rPr>
            </w:pPr>
            <w:r w:rsidRPr="008F7A9E">
              <w:rPr>
                <w:rFonts w:ascii="Arial Narrow" w:hAnsi="Arial Narrow" w:cs="Calibri"/>
                <w:sz w:val="16"/>
                <w:szCs w:val="16"/>
              </w:rPr>
              <w:t>1,5</w:t>
            </w:r>
          </w:p>
        </w:tc>
        <w:tc>
          <w:tcPr>
            <w:tcW w:w="1233" w:type="dxa"/>
            <w:tcBorders>
              <w:top w:val="nil"/>
              <w:left w:val="nil"/>
              <w:bottom w:val="single" w:sz="4" w:space="0" w:color="auto"/>
              <w:right w:val="single" w:sz="4" w:space="0" w:color="auto"/>
            </w:tcBorders>
            <w:shd w:val="clear" w:color="auto" w:fill="auto"/>
            <w:vAlign w:val="center"/>
            <w:hideMark/>
          </w:tcPr>
          <w:p w14:paraId="53ABCFD8" w14:textId="77777777" w:rsidR="008F7A9E" w:rsidRPr="008F7A9E" w:rsidRDefault="008F7A9E" w:rsidP="008F7A9E">
            <w:pPr>
              <w:jc w:val="right"/>
              <w:rPr>
                <w:rFonts w:ascii="Arial Narrow" w:hAnsi="Arial Narrow" w:cs="Calibri"/>
                <w:sz w:val="16"/>
                <w:szCs w:val="16"/>
              </w:rPr>
            </w:pPr>
            <w:r w:rsidRPr="008F7A9E">
              <w:rPr>
                <w:rFonts w:ascii="Arial Narrow" w:hAnsi="Arial Narrow" w:cs="Calibri"/>
                <w:sz w:val="16"/>
                <w:szCs w:val="16"/>
              </w:rPr>
              <w:t>990,2</w:t>
            </w:r>
          </w:p>
        </w:tc>
      </w:tr>
      <w:tr w:rsidR="008F7A9E" w:rsidRPr="00B10684" w14:paraId="7AE1E478" w14:textId="77777777" w:rsidTr="005A18A5">
        <w:trPr>
          <w:trHeight w:val="251"/>
        </w:trPr>
        <w:tc>
          <w:tcPr>
            <w:tcW w:w="748" w:type="dxa"/>
            <w:tcBorders>
              <w:top w:val="nil"/>
              <w:left w:val="single" w:sz="4" w:space="0" w:color="auto"/>
              <w:bottom w:val="single" w:sz="4" w:space="0" w:color="auto"/>
              <w:right w:val="single" w:sz="4" w:space="0" w:color="auto"/>
            </w:tcBorders>
            <w:shd w:val="clear" w:color="auto" w:fill="auto"/>
            <w:vAlign w:val="center"/>
            <w:hideMark/>
          </w:tcPr>
          <w:p w14:paraId="2D0FB60B" w14:textId="77777777" w:rsidR="008F7A9E" w:rsidRPr="008F7A9E" w:rsidRDefault="008F7A9E" w:rsidP="008F7A9E">
            <w:pPr>
              <w:rPr>
                <w:rFonts w:ascii="Arial Narrow" w:hAnsi="Arial Narrow" w:cs="Calibri"/>
                <w:sz w:val="16"/>
                <w:szCs w:val="16"/>
              </w:rPr>
            </w:pPr>
            <w:r w:rsidRPr="008F7A9E">
              <w:rPr>
                <w:rFonts w:ascii="Arial Narrow" w:hAnsi="Arial Narrow" w:cs="Calibri"/>
                <w:sz w:val="16"/>
                <w:szCs w:val="16"/>
              </w:rPr>
              <w:t>21.2</w:t>
            </w:r>
          </w:p>
        </w:tc>
        <w:tc>
          <w:tcPr>
            <w:tcW w:w="4419" w:type="dxa"/>
            <w:tcBorders>
              <w:top w:val="nil"/>
              <w:left w:val="nil"/>
              <w:bottom w:val="single" w:sz="4" w:space="0" w:color="auto"/>
              <w:right w:val="single" w:sz="4" w:space="0" w:color="auto"/>
            </w:tcBorders>
            <w:shd w:val="clear" w:color="auto" w:fill="auto"/>
            <w:vAlign w:val="center"/>
            <w:hideMark/>
          </w:tcPr>
          <w:p w14:paraId="4EC78E40" w14:textId="77777777" w:rsidR="008F7A9E" w:rsidRPr="008F7A9E" w:rsidRDefault="008F7A9E" w:rsidP="008F7A9E">
            <w:pPr>
              <w:ind w:firstLineChars="200" w:firstLine="320"/>
              <w:rPr>
                <w:rFonts w:ascii="Arial Narrow" w:hAnsi="Arial Narrow" w:cs="Calibri"/>
                <w:sz w:val="16"/>
                <w:szCs w:val="16"/>
              </w:rPr>
            </w:pPr>
            <w:r w:rsidRPr="008F7A9E">
              <w:rPr>
                <w:rFonts w:ascii="Arial Narrow" w:hAnsi="Arial Narrow" w:cs="Calibri"/>
                <w:sz w:val="16"/>
                <w:szCs w:val="16"/>
              </w:rPr>
              <w:t>- сгради</w:t>
            </w:r>
          </w:p>
        </w:tc>
        <w:tc>
          <w:tcPr>
            <w:tcW w:w="1185" w:type="dxa"/>
            <w:tcBorders>
              <w:top w:val="nil"/>
              <w:left w:val="nil"/>
              <w:bottom w:val="single" w:sz="4" w:space="0" w:color="auto"/>
              <w:right w:val="single" w:sz="4" w:space="0" w:color="auto"/>
            </w:tcBorders>
            <w:shd w:val="clear" w:color="auto" w:fill="auto"/>
            <w:vAlign w:val="center"/>
            <w:hideMark/>
          </w:tcPr>
          <w:p w14:paraId="58A912D0" w14:textId="77777777" w:rsidR="008F7A9E" w:rsidRPr="008F7A9E" w:rsidRDefault="008F7A9E" w:rsidP="008F7A9E">
            <w:pPr>
              <w:jc w:val="right"/>
              <w:rPr>
                <w:rFonts w:ascii="Arial Narrow" w:hAnsi="Arial Narrow" w:cs="Calibri"/>
                <w:sz w:val="16"/>
                <w:szCs w:val="16"/>
              </w:rPr>
            </w:pPr>
            <w:r w:rsidRPr="008F7A9E">
              <w:rPr>
                <w:rFonts w:ascii="Arial Narrow" w:hAnsi="Arial Narrow" w:cs="Calibri"/>
                <w:sz w:val="16"/>
                <w:szCs w:val="16"/>
              </w:rPr>
              <w:t>102,7</w:t>
            </w:r>
          </w:p>
        </w:tc>
        <w:tc>
          <w:tcPr>
            <w:tcW w:w="1028" w:type="dxa"/>
            <w:tcBorders>
              <w:top w:val="nil"/>
              <w:left w:val="nil"/>
              <w:bottom w:val="single" w:sz="4" w:space="0" w:color="auto"/>
              <w:right w:val="single" w:sz="4" w:space="0" w:color="auto"/>
            </w:tcBorders>
            <w:shd w:val="clear" w:color="auto" w:fill="auto"/>
            <w:vAlign w:val="center"/>
            <w:hideMark/>
          </w:tcPr>
          <w:p w14:paraId="6943AAC0" w14:textId="77777777" w:rsidR="008F7A9E" w:rsidRPr="008F7A9E" w:rsidRDefault="008F7A9E" w:rsidP="008F7A9E">
            <w:pPr>
              <w:jc w:val="right"/>
              <w:rPr>
                <w:rFonts w:ascii="Arial Narrow" w:hAnsi="Arial Narrow" w:cs="Calibri"/>
                <w:sz w:val="16"/>
                <w:szCs w:val="16"/>
              </w:rPr>
            </w:pPr>
            <w:r w:rsidRPr="008F7A9E">
              <w:rPr>
                <w:rFonts w:ascii="Arial Narrow" w:hAnsi="Arial Narrow" w:cs="Calibri"/>
                <w:sz w:val="16"/>
                <w:szCs w:val="16"/>
              </w:rPr>
              <w:t>12,9</w:t>
            </w:r>
          </w:p>
        </w:tc>
        <w:tc>
          <w:tcPr>
            <w:tcW w:w="1217" w:type="dxa"/>
            <w:tcBorders>
              <w:top w:val="nil"/>
              <w:left w:val="nil"/>
              <w:bottom w:val="single" w:sz="4" w:space="0" w:color="auto"/>
              <w:right w:val="single" w:sz="4" w:space="0" w:color="auto"/>
            </w:tcBorders>
            <w:shd w:val="clear" w:color="auto" w:fill="auto"/>
            <w:vAlign w:val="center"/>
            <w:hideMark/>
          </w:tcPr>
          <w:p w14:paraId="63FA64E2" w14:textId="77777777" w:rsidR="008F7A9E" w:rsidRPr="008F7A9E" w:rsidRDefault="008F7A9E" w:rsidP="008F7A9E">
            <w:pPr>
              <w:jc w:val="right"/>
              <w:rPr>
                <w:rFonts w:ascii="Arial Narrow" w:hAnsi="Arial Narrow" w:cs="Calibri"/>
                <w:sz w:val="16"/>
                <w:szCs w:val="16"/>
              </w:rPr>
            </w:pPr>
            <w:r w:rsidRPr="008F7A9E">
              <w:rPr>
                <w:rFonts w:ascii="Arial Narrow" w:hAnsi="Arial Narrow" w:cs="Calibri"/>
                <w:sz w:val="16"/>
                <w:szCs w:val="16"/>
              </w:rPr>
              <w:t>115,9</w:t>
            </w:r>
          </w:p>
        </w:tc>
        <w:tc>
          <w:tcPr>
            <w:tcW w:w="1075" w:type="dxa"/>
            <w:tcBorders>
              <w:top w:val="nil"/>
              <w:left w:val="nil"/>
              <w:bottom w:val="single" w:sz="4" w:space="0" w:color="auto"/>
              <w:right w:val="single" w:sz="4" w:space="0" w:color="auto"/>
            </w:tcBorders>
            <w:shd w:val="clear" w:color="auto" w:fill="auto"/>
            <w:vAlign w:val="center"/>
            <w:hideMark/>
          </w:tcPr>
          <w:p w14:paraId="17FD29D7" w14:textId="77777777" w:rsidR="008F7A9E" w:rsidRPr="008F7A9E" w:rsidRDefault="008F7A9E" w:rsidP="008F7A9E">
            <w:pPr>
              <w:jc w:val="right"/>
              <w:rPr>
                <w:rFonts w:ascii="Arial Narrow" w:hAnsi="Arial Narrow" w:cs="Calibri"/>
                <w:sz w:val="16"/>
                <w:szCs w:val="16"/>
              </w:rPr>
            </w:pPr>
            <w:r w:rsidRPr="008F7A9E">
              <w:rPr>
                <w:rFonts w:ascii="Arial Narrow" w:hAnsi="Arial Narrow" w:cs="Calibri"/>
                <w:sz w:val="16"/>
                <w:szCs w:val="16"/>
              </w:rPr>
              <w:t>-6,1</w:t>
            </w:r>
          </w:p>
        </w:tc>
        <w:tc>
          <w:tcPr>
            <w:tcW w:w="1233" w:type="dxa"/>
            <w:tcBorders>
              <w:top w:val="nil"/>
              <w:left w:val="nil"/>
              <w:bottom w:val="single" w:sz="4" w:space="0" w:color="auto"/>
              <w:right w:val="single" w:sz="4" w:space="0" w:color="auto"/>
            </w:tcBorders>
            <w:shd w:val="clear" w:color="auto" w:fill="auto"/>
            <w:vAlign w:val="center"/>
            <w:hideMark/>
          </w:tcPr>
          <w:p w14:paraId="663ADA9F" w14:textId="77777777" w:rsidR="008F7A9E" w:rsidRPr="008F7A9E" w:rsidRDefault="008F7A9E" w:rsidP="008F7A9E">
            <w:pPr>
              <w:jc w:val="right"/>
              <w:rPr>
                <w:rFonts w:ascii="Arial Narrow" w:hAnsi="Arial Narrow" w:cs="Calibri"/>
                <w:sz w:val="16"/>
                <w:szCs w:val="16"/>
              </w:rPr>
            </w:pPr>
            <w:r w:rsidRPr="008F7A9E">
              <w:rPr>
                <w:rFonts w:ascii="Arial Narrow" w:hAnsi="Arial Narrow" w:cs="Calibri"/>
                <w:sz w:val="16"/>
                <w:szCs w:val="16"/>
              </w:rPr>
              <w:t>108,8</w:t>
            </w:r>
          </w:p>
        </w:tc>
      </w:tr>
      <w:tr w:rsidR="008F7A9E" w:rsidRPr="00B10684" w14:paraId="57FA4D29" w14:textId="77777777" w:rsidTr="005A18A5">
        <w:trPr>
          <w:trHeight w:val="251"/>
        </w:trPr>
        <w:tc>
          <w:tcPr>
            <w:tcW w:w="748" w:type="dxa"/>
            <w:tcBorders>
              <w:top w:val="nil"/>
              <w:left w:val="single" w:sz="4" w:space="0" w:color="auto"/>
              <w:bottom w:val="single" w:sz="4" w:space="0" w:color="auto"/>
              <w:right w:val="single" w:sz="4" w:space="0" w:color="auto"/>
            </w:tcBorders>
            <w:shd w:val="clear" w:color="auto" w:fill="auto"/>
            <w:vAlign w:val="center"/>
            <w:hideMark/>
          </w:tcPr>
          <w:p w14:paraId="4706C036" w14:textId="77777777" w:rsidR="008F7A9E" w:rsidRPr="008F7A9E" w:rsidRDefault="008F7A9E" w:rsidP="008F7A9E">
            <w:pPr>
              <w:rPr>
                <w:rFonts w:ascii="Arial Narrow" w:hAnsi="Arial Narrow" w:cs="Calibri"/>
                <w:sz w:val="16"/>
                <w:szCs w:val="16"/>
              </w:rPr>
            </w:pPr>
            <w:r w:rsidRPr="008F7A9E">
              <w:rPr>
                <w:rFonts w:ascii="Arial Narrow" w:hAnsi="Arial Narrow" w:cs="Calibri"/>
                <w:sz w:val="16"/>
                <w:szCs w:val="16"/>
              </w:rPr>
              <w:t>21.3</w:t>
            </w:r>
          </w:p>
        </w:tc>
        <w:tc>
          <w:tcPr>
            <w:tcW w:w="4419" w:type="dxa"/>
            <w:tcBorders>
              <w:top w:val="nil"/>
              <w:left w:val="nil"/>
              <w:bottom w:val="single" w:sz="4" w:space="0" w:color="auto"/>
              <w:right w:val="single" w:sz="4" w:space="0" w:color="auto"/>
            </w:tcBorders>
            <w:shd w:val="clear" w:color="auto" w:fill="auto"/>
            <w:vAlign w:val="center"/>
            <w:hideMark/>
          </w:tcPr>
          <w:p w14:paraId="6908B1C1" w14:textId="77777777" w:rsidR="008F7A9E" w:rsidRPr="008F7A9E" w:rsidRDefault="008F7A9E" w:rsidP="008F7A9E">
            <w:pPr>
              <w:ind w:firstLineChars="200" w:firstLine="320"/>
              <w:rPr>
                <w:rFonts w:ascii="Arial Narrow" w:hAnsi="Arial Narrow" w:cs="Calibri"/>
                <w:sz w:val="16"/>
                <w:szCs w:val="16"/>
              </w:rPr>
            </w:pPr>
            <w:r w:rsidRPr="008F7A9E">
              <w:rPr>
                <w:rFonts w:ascii="Arial Narrow" w:hAnsi="Arial Narrow" w:cs="Calibri"/>
                <w:sz w:val="16"/>
                <w:szCs w:val="16"/>
              </w:rPr>
              <w:t>- създаване и отглеждане</w:t>
            </w:r>
          </w:p>
        </w:tc>
        <w:tc>
          <w:tcPr>
            <w:tcW w:w="1185" w:type="dxa"/>
            <w:tcBorders>
              <w:top w:val="nil"/>
              <w:left w:val="nil"/>
              <w:bottom w:val="single" w:sz="4" w:space="0" w:color="auto"/>
              <w:right w:val="single" w:sz="4" w:space="0" w:color="auto"/>
            </w:tcBorders>
            <w:shd w:val="clear" w:color="auto" w:fill="auto"/>
            <w:vAlign w:val="center"/>
            <w:hideMark/>
          </w:tcPr>
          <w:p w14:paraId="0D9826A9" w14:textId="77777777" w:rsidR="008F7A9E" w:rsidRPr="008F7A9E" w:rsidRDefault="008F7A9E" w:rsidP="008F7A9E">
            <w:pPr>
              <w:jc w:val="right"/>
              <w:rPr>
                <w:rFonts w:ascii="Arial Narrow" w:hAnsi="Arial Narrow" w:cs="Calibri"/>
                <w:sz w:val="16"/>
                <w:szCs w:val="16"/>
              </w:rPr>
            </w:pPr>
            <w:r w:rsidRPr="008F7A9E">
              <w:rPr>
                <w:rFonts w:ascii="Arial Narrow" w:hAnsi="Arial Narrow" w:cs="Calibri"/>
                <w:sz w:val="16"/>
                <w:szCs w:val="16"/>
              </w:rPr>
              <w:t>21,3</w:t>
            </w:r>
          </w:p>
        </w:tc>
        <w:tc>
          <w:tcPr>
            <w:tcW w:w="1028" w:type="dxa"/>
            <w:tcBorders>
              <w:top w:val="nil"/>
              <w:left w:val="nil"/>
              <w:bottom w:val="single" w:sz="4" w:space="0" w:color="auto"/>
              <w:right w:val="single" w:sz="4" w:space="0" w:color="auto"/>
            </w:tcBorders>
            <w:shd w:val="clear" w:color="auto" w:fill="auto"/>
            <w:vAlign w:val="center"/>
            <w:hideMark/>
          </w:tcPr>
          <w:p w14:paraId="210FEA4D" w14:textId="77777777" w:rsidR="008F7A9E" w:rsidRPr="008F7A9E" w:rsidRDefault="008F7A9E" w:rsidP="008F7A9E">
            <w:pPr>
              <w:jc w:val="right"/>
              <w:rPr>
                <w:rFonts w:ascii="Arial Narrow" w:hAnsi="Arial Narrow" w:cs="Calibri"/>
                <w:sz w:val="16"/>
                <w:szCs w:val="16"/>
              </w:rPr>
            </w:pPr>
            <w:r w:rsidRPr="008F7A9E">
              <w:rPr>
                <w:rFonts w:ascii="Arial Narrow" w:hAnsi="Arial Narrow" w:cs="Calibri"/>
                <w:sz w:val="16"/>
                <w:szCs w:val="16"/>
              </w:rPr>
              <w:t>17,4</w:t>
            </w:r>
          </w:p>
        </w:tc>
        <w:tc>
          <w:tcPr>
            <w:tcW w:w="1217" w:type="dxa"/>
            <w:tcBorders>
              <w:top w:val="nil"/>
              <w:left w:val="nil"/>
              <w:bottom w:val="single" w:sz="4" w:space="0" w:color="auto"/>
              <w:right w:val="single" w:sz="4" w:space="0" w:color="auto"/>
            </w:tcBorders>
            <w:shd w:val="clear" w:color="auto" w:fill="auto"/>
            <w:vAlign w:val="center"/>
            <w:hideMark/>
          </w:tcPr>
          <w:p w14:paraId="7A9C5BB1" w14:textId="77777777" w:rsidR="008F7A9E" w:rsidRPr="008F7A9E" w:rsidRDefault="008F7A9E" w:rsidP="008F7A9E">
            <w:pPr>
              <w:jc w:val="right"/>
              <w:rPr>
                <w:rFonts w:ascii="Arial Narrow" w:hAnsi="Arial Narrow" w:cs="Calibri"/>
                <w:sz w:val="16"/>
                <w:szCs w:val="16"/>
              </w:rPr>
            </w:pPr>
            <w:r w:rsidRPr="008F7A9E">
              <w:rPr>
                <w:rFonts w:ascii="Arial Narrow" w:hAnsi="Arial Narrow" w:cs="Calibri"/>
                <w:sz w:val="16"/>
                <w:szCs w:val="16"/>
              </w:rPr>
              <w:t>25,0</w:t>
            </w:r>
          </w:p>
        </w:tc>
        <w:tc>
          <w:tcPr>
            <w:tcW w:w="1075" w:type="dxa"/>
            <w:tcBorders>
              <w:top w:val="nil"/>
              <w:left w:val="nil"/>
              <w:bottom w:val="single" w:sz="4" w:space="0" w:color="auto"/>
              <w:right w:val="single" w:sz="4" w:space="0" w:color="auto"/>
            </w:tcBorders>
            <w:shd w:val="clear" w:color="auto" w:fill="auto"/>
            <w:vAlign w:val="center"/>
            <w:hideMark/>
          </w:tcPr>
          <w:p w14:paraId="5B769FB1" w14:textId="77777777" w:rsidR="008F7A9E" w:rsidRPr="008F7A9E" w:rsidRDefault="008F7A9E" w:rsidP="008F7A9E">
            <w:pPr>
              <w:jc w:val="right"/>
              <w:rPr>
                <w:rFonts w:ascii="Arial Narrow" w:hAnsi="Arial Narrow" w:cs="Calibri"/>
                <w:sz w:val="16"/>
                <w:szCs w:val="16"/>
              </w:rPr>
            </w:pPr>
            <w:r w:rsidRPr="008F7A9E">
              <w:rPr>
                <w:rFonts w:ascii="Arial Narrow" w:hAnsi="Arial Narrow" w:cs="Calibri"/>
                <w:sz w:val="16"/>
                <w:szCs w:val="16"/>
              </w:rPr>
              <w:t>-22,0</w:t>
            </w:r>
          </w:p>
        </w:tc>
        <w:tc>
          <w:tcPr>
            <w:tcW w:w="1233" w:type="dxa"/>
            <w:tcBorders>
              <w:top w:val="nil"/>
              <w:left w:val="nil"/>
              <w:bottom w:val="single" w:sz="4" w:space="0" w:color="auto"/>
              <w:right w:val="single" w:sz="4" w:space="0" w:color="auto"/>
            </w:tcBorders>
            <w:shd w:val="clear" w:color="auto" w:fill="auto"/>
            <w:vAlign w:val="center"/>
            <w:hideMark/>
          </w:tcPr>
          <w:p w14:paraId="70D93605" w14:textId="77777777" w:rsidR="008F7A9E" w:rsidRPr="008F7A9E" w:rsidRDefault="008F7A9E" w:rsidP="008F7A9E">
            <w:pPr>
              <w:jc w:val="right"/>
              <w:rPr>
                <w:rFonts w:ascii="Arial Narrow" w:hAnsi="Arial Narrow" w:cs="Calibri"/>
                <w:sz w:val="16"/>
                <w:szCs w:val="16"/>
              </w:rPr>
            </w:pPr>
            <w:r w:rsidRPr="008F7A9E">
              <w:rPr>
                <w:rFonts w:ascii="Arial Narrow" w:hAnsi="Arial Narrow" w:cs="Calibri"/>
                <w:sz w:val="16"/>
                <w:szCs w:val="16"/>
              </w:rPr>
              <w:t>19,5</w:t>
            </w:r>
          </w:p>
        </w:tc>
      </w:tr>
      <w:tr w:rsidR="008F7A9E" w:rsidRPr="00B10684" w14:paraId="790A7EE7" w14:textId="77777777" w:rsidTr="005A18A5">
        <w:trPr>
          <w:trHeight w:val="251"/>
        </w:trPr>
        <w:tc>
          <w:tcPr>
            <w:tcW w:w="748" w:type="dxa"/>
            <w:tcBorders>
              <w:top w:val="nil"/>
              <w:left w:val="single" w:sz="4" w:space="0" w:color="auto"/>
              <w:bottom w:val="single" w:sz="4" w:space="0" w:color="auto"/>
              <w:right w:val="single" w:sz="4" w:space="0" w:color="auto"/>
            </w:tcBorders>
            <w:shd w:val="clear" w:color="auto" w:fill="auto"/>
            <w:vAlign w:val="center"/>
            <w:hideMark/>
          </w:tcPr>
          <w:p w14:paraId="386EF4BD" w14:textId="77777777" w:rsidR="008F7A9E" w:rsidRPr="008F7A9E" w:rsidRDefault="008F7A9E" w:rsidP="008F7A9E">
            <w:pPr>
              <w:rPr>
                <w:rFonts w:ascii="Arial Narrow" w:hAnsi="Arial Narrow" w:cs="Calibri"/>
                <w:sz w:val="16"/>
                <w:szCs w:val="16"/>
              </w:rPr>
            </w:pPr>
            <w:r w:rsidRPr="008F7A9E">
              <w:rPr>
                <w:rFonts w:ascii="Arial Narrow" w:hAnsi="Arial Narrow" w:cs="Calibri"/>
                <w:sz w:val="16"/>
                <w:szCs w:val="16"/>
              </w:rPr>
              <w:t>21.4</w:t>
            </w:r>
          </w:p>
        </w:tc>
        <w:tc>
          <w:tcPr>
            <w:tcW w:w="4419" w:type="dxa"/>
            <w:tcBorders>
              <w:top w:val="nil"/>
              <w:left w:val="nil"/>
              <w:bottom w:val="single" w:sz="4" w:space="0" w:color="auto"/>
              <w:right w:val="single" w:sz="4" w:space="0" w:color="auto"/>
            </w:tcBorders>
            <w:shd w:val="clear" w:color="auto" w:fill="auto"/>
            <w:vAlign w:val="center"/>
            <w:hideMark/>
          </w:tcPr>
          <w:p w14:paraId="13AFBE25" w14:textId="77777777" w:rsidR="008F7A9E" w:rsidRPr="008F7A9E" w:rsidRDefault="008F7A9E" w:rsidP="008F7A9E">
            <w:pPr>
              <w:ind w:firstLineChars="200" w:firstLine="320"/>
              <w:rPr>
                <w:rFonts w:ascii="Arial Narrow" w:hAnsi="Arial Narrow" w:cs="Calibri"/>
                <w:sz w:val="16"/>
                <w:szCs w:val="16"/>
              </w:rPr>
            </w:pPr>
            <w:r w:rsidRPr="008F7A9E">
              <w:rPr>
                <w:rFonts w:ascii="Arial Narrow" w:hAnsi="Arial Narrow" w:cs="Calibri"/>
                <w:sz w:val="16"/>
                <w:szCs w:val="16"/>
              </w:rPr>
              <w:t>- други</w:t>
            </w:r>
          </w:p>
        </w:tc>
        <w:tc>
          <w:tcPr>
            <w:tcW w:w="1185" w:type="dxa"/>
            <w:tcBorders>
              <w:top w:val="nil"/>
              <w:left w:val="nil"/>
              <w:bottom w:val="single" w:sz="4" w:space="0" w:color="auto"/>
              <w:right w:val="single" w:sz="4" w:space="0" w:color="auto"/>
            </w:tcBorders>
            <w:shd w:val="clear" w:color="auto" w:fill="auto"/>
            <w:vAlign w:val="center"/>
            <w:hideMark/>
          </w:tcPr>
          <w:p w14:paraId="581E4FDB" w14:textId="77777777" w:rsidR="008F7A9E" w:rsidRPr="008F7A9E" w:rsidRDefault="008F7A9E" w:rsidP="008F7A9E">
            <w:pPr>
              <w:jc w:val="right"/>
              <w:rPr>
                <w:rFonts w:ascii="Arial Narrow" w:hAnsi="Arial Narrow" w:cs="Calibri"/>
                <w:sz w:val="16"/>
                <w:szCs w:val="16"/>
              </w:rPr>
            </w:pPr>
            <w:r w:rsidRPr="008F7A9E">
              <w:rPr>
                <w:rFonts w:ascii="Arial Narrow" w:hAnsi="Arial Narrow" w:cs="Calibri"/>
                <w:sz w:val="16"/>
                <w:szCs w:val="16"/>
              </w:rPr>
              <w:t>105,8</w:t>
            </w:r>
          </w:p>
        </w:tc>
        <w:tc>
          <w:tcPr>
            <w:tcW w:w="1028" w:type="dxa"/>
            <w:tcBorders>
              <w:top w:val="nil"/>
              <w:left w:val="nil"/>
              <w:bottom w:val="single" w:sz="4" w:space="0" w:color="auto"/>
              <w:right w:val="single" w:sz="4" w:space="0" w:color="auto"/>
            </w:tcBorders>
            <w:shd w:val="clear" w:color="auto" w:fill="auto"/>
            <w:vAlign w:val="center"/>
            <w:hideMark/>
          </w:tcPr>
          <w:p w14:paraId="1DEA6A2A" w14:textId="77777777" w:rsidR="008F7A9E" w:rsidRPr="008F7A9E" w:rsidRDefault="008F7A9E" w:rsidP="008F7A9E">
            <w:pPr>
              <w:jc w:val="right"/>
              <w:rPr>
                <w:rFonts w:ascii="Arial Narrow" w:hAnsi="Arial Narrow" w:cs="Calibri"/>
                <w:sz w:val="16"/>
                <w:szCs w:val="16"/>
              </w:rPr>
            </w:pPr>
            <w:r w:rsidRPr="008F7A9E">
              <w:rPr>
                <w:rFonts w:ascii="Arial Narrow" w:hAnsi="Arial Narrow" w:cs="Calibri"/>
                <w:sz w:val="16"/>
                <w:szCs w:val="16"/>
              </w:rPr>
              <w:t>9,7</w:t>
            </w:r>
          </w:p>
        </w:tc>
        <w:tc>
          <w:tcPr>
            <w:tcW w:w="1217" w:type="dxa"/>
            <w:tcBorders>
              <w:top w:val="nil"/>
              <w:left w:val="nil"/>
              <w:bottom w:val="single" w:sz="4" w:space="0" w:color="auto"/>
              <w:right w:val="single" w:sz="4" w:space="0" w:color="auto"/>
            </w:tcBorders>
            <w:shd w:val="clear" w:color="auto" w:fill="auto"/>
            <w:vAlign w:val="center"/>
            <w:hideMark/>
          </w:tcPr>
          <w:p w14:paraId="44F78C6C" w14:textId="77777777" w:rsidR="008F7A9E" w:rsidRPr="008F7A9E" w:rsidRDefault="008F7A9E" w:rsidP="008F7A9E">
            <w:pPr>
              <w:jc w:val="right"/>
              <w:rPr>
                <w:rFonts w:ascii="Arial Narrow" w:hAnsi="Arial Narrow" w:cs="Calibri"/>
                <w:sz w:val="16"/>
                <w:szCs w:val="16"/>
              </w:rPr>
            </w:pPr>
            <w:r w:rsidRPr="008F7A9E">
              <w:rPr>
                <w:rFonts w:ascii="Arial Narrow" w:hAnsi="Arial Narrow" w:cs="Calibri"/>
                <w:sz w:val="16"/>
                <w:szCs w:val="16"/>
              </w:rPr>
              <w:t>116,1</w:t>
            </w:r>
          </w:p>
        </w:tc>
        <w:tc>
          <w:tcPr>
            <w:tcW w:w="1075" w:type="dxa"/>
            <w:tcBorders>
              <w:top w:val="nil"/>
              <w:left w:val="nil"/>
              <w:bottom w:val="single" w:sz="4" w:space="0" w:color="auto"/>
              <w:right w:val="single" w:sz="4" w:space="0" w:color="auto"/>
            </w:tcBorders>
            <w:shd w:val="clear" w:color="auto" w:fill="auto"/>
            <w:vAlign w:val="center"/>
            <w:hideMark/>
          </w:tcPr>
          <w:p w14:paraId="67D2E9CB" w14:textId="77777777" w:rsidR="008F7A9E" w:rsidRPr="008F7A9E" w:rsidRDefault="008F7A9E" w:rsidP="008F7A9E">
            <w:pPr>
              <w:jc w:val="right"/>
              <w:rPr>
                <w:rFonts w:ascii="Arial Narrow" w:hAnsi="Arial Narrow" w:cs="Calibri"/>
                <w:sz w:val="16"/>
                <w:szCs w:val="16"/>
              </w:rPr>
            </w:pPr>
            <w:r w:rsidRPr="008F7A9E">
              <w:rPr>
                <w:rFonts w:ascii="Arial Narrow" w:hAnsi="Arial Narrow" w:cs="Calibri"/>
                <w:sz w:val="16"/>
                <w:szCs w:val="16"/>
              </w:rPr>
              <w:t>-2,1</w:t>
            </w:r>
          </w:p>
        </w:tc>
        <w:tc>
          <w:tcPr>
            <w:tcW w:w="1233" w:type="dxa"/>
            <w:tcBorders>
              <w:top w:val="nil"/>
              <w:left w:val="nil"/>
              <w:bottom w:val="single" w:sz="4" w:space="0" w:color="auto"/>
              <w:right w:val="single" w:sz="4" w:space="0" w:color="auto"/>
            </w:tcBorders>
            <w:shd w:val="clear" w:color="auto" w:fill="auto"/>
            <w:vAlign w:val="center"/>
            <w:hideMark/>
          </w:tcPr>
          <w:p w14:paraId="215FF36E" w14:textId="77777777" w:rsidR="008F7A9E" w:rsidRPr="008F7A9E" w:rsidRDefault="008F7A9E" w:rsidP="008F7A9E">
            <w:pPr>
              <w:jc w:val="right"/>
              <w:rPr>
                <w:rFonts w:ascii="Arial Narrow" w:hAnsi="Arial Narrow" w:cs="Calibri"/>
                <w:sz w:val="16"/>
                <w:szCs w:val="16"/>
              </w:rPr>
            </w:pPr>
            <w:r w:rsidRPr="008F7A9E">
              <w:rPr>
                <w:rFonts w:ascii="Arial Narrow" w:hAnsi="Arial Narrow" w:cs="Calibri"/>
                <w:sz w:val="16"/>
                <w:szCs w:val="16"/>
              </w:rPr>
              <w:t>113,7</w:t>
            </w:r>
          </w:p>
        </w:tc>
      </w:tr>
      <w:tr w:rsidR="008F7A9E" w:rsidRPr="00B10684" w14:paraId="5A93F02B" w14:textId="77777777" w:rsidTr="005A18A5">
        <w:trPr>
          <w:trHeight w:val="365"/>
        </w:trPr>
        <w:tc>
          <w:tcPr>
            <w:tcW w:w="748" w:type="dxa"/>
            <w:tcBorders>
              <w:top w:val="nil"/>
              <w:left w:val="single" w:sz="4" w:space="0" w:color="auto"/>
              <w:bottom w:val="single" w:sz="4" w:space="0" w:color="auto"/>
              <w:right w:val="single" w:sz="4" w:space="0" w:color="auto"/>
            </w:tcBorders>
            <w:shd w:val="clear" w:color="auto" w:fill="auto"/>
            <w:vAlign w:val="center"/>
            <w:hideMark/>
          </w:tcPr>
          <w:p w14:paraId="22B349BF" w14:textId="77777777" w:rsidR="008F7A9E" w:rsidRPr="008F7A9E" w:rsidRDefault="008F7A9E" w:rsidP="008F7A9E">
            <w:pPr>
              <w:rPr>
                <w:rFonts w:ascii="Arial Narrow" w:hAnsi="Arial Narrow" w:cs="Calibri"/>
                <w:b/>
                <w:bCs/>
                <w:sz w:val="16"/>
                <w:szCs w:val="16"/>
              </w:rPr>
            </w:pPr>
            <w:r w:rsidRPr="008F7A9E">
              <w:rPr>
                <w:rFonts w:ascii="Arial Narrow" w:hAnsi="Arial Narrow" w:cs="Calibri"/>
                <w:b/>
                <w:bCs/>
                <w:sz w:val="16"/>
                <w:szCs w:val="16"/>
              </w:rPr>
              <w:t>22</w:t>
            </w:r>
          </w:p>
        </w:tc>
        <w:tc>
          <w:tcPr>
            <w:tcW w:w="4419" w:type="dxa"/>
            <w:tcBorders>
              <w:top w:val="nil"/>
              <w:left w:val="nil"/>
              <w:bottom w:val="single" w:sz="4" w:space="0" w:color="auto"/>
              <w:right w:val="single" w:sz="4" w:space="0" w:color="auto"/>
            </w:tcBorders>
            <w:shd w:val="clear" w:color="auto" w:fill="auto"/>
            <w:vAlign w:val="center"/>
            <w:hideMark/>
          </w:tcPr>
          <w:p w14:paraId="5320F888" w14:textId="77777777" w:rsidR="008F7A9E" w:rsidRPr="008F7A9E" w:rsidRDefault="008F7A9E" w:rsidP="008F7A9E">
            <w:pPr>
              <w:rPr>
                <w:rFonts w:ascii="Arial Narrow" w:hAnsi="Arial Narrow" w:cs="Calibri"/>
                <w:b/>
                <w:bCs/>
                <w:sz w:val="16"/>
                <w:szCs w:val="16"/>
              </w:rPr>
            </w:pPr>
            <w:r w:rsidRPr="008F7A9E">
              <w:rPr>
                <w:rFonts w:ascii="Arial Narrow" w:hAnsi="Arial Narrow" w:cs="Calibri"/>
                <w:b/>
                <w:bCs/>
                <w:sz w:val="16"/>
                <w:szCs w:val="16"/>
              </w:rPr>
              <w:t>Нетна добавена стойност по базисни цени (20 - 21)</w:t>
            </w:r>
          </w:p>
        </w:tc>
        <w:tc>
          <w:tcPr>
            <w:tcW w:w="1185" w:type="dxa"/>
            <w:tcBorders>
              <w:top w:val="nil"/>
              <w:left w:val="nil"/>
              <w:bottom w:val="single" w:sz="4" w:space="0" w:color="auto"/>
              <w:right w:val="single" w:sz="4" w:space="0" w:color="auto"/>
            </w:tcBorders>
            <w:shd w:val="clear" w:color="auto" w:fill="auto"/>
            <w:vAlign w:val="center"/>
            <w:hideMark/>
          </w:tcPr>
          <w:p w14:paraId="32EB5292" w14:textId="77777777" w:rsidR="008F7A9E" w:rsidRPr="008F7A9E" w:rsidRDefault="008F7A9E" w:rsidP="008F7A9E">
            <w:pPr>
              <w:jc w:val="right"/>
              <w:rPr>
                <w:rFonts w:ascii="Arial Narrow" w:hAnsi="Arial Narrow" w:cs="Calibri"/>
                <w:b/>
                <w:bCs/>
                <w:sz w:val="16"/>
                <w:szCs w:val="16"/>
              </w:rPr>
            </w:pPr>
            <w:r w:rsidRPr="008F7A9E">
              <w:rPr>
                <w:rFonts w:ascii="Arial Narrow" w:hAnsi="Arial Narrow" w:cs="Calibri"/>
                <w:b/>
                <w:bCs/>
                <w:sz w:val="16"/>
                <w:szCs w:val="16"/>
              </w:rPr>
              <w:t>4 788,8</w:t>
            </w:r>
          </w:p>
        </w:tc>
        <w:tc>
          <w:tcPr>
            <w:tcW w:w="1028" w:type="dxa"/>
            <w:tcBorders>
              <w:top w:val="nil"/>
              <w:left w:val="nil"/>
              <w:bottom w:val="single" w:sz="4" w:space="0" w:color="auto"/>
              <w:right w:val="single" w:sz="4" w:space="0" w:color="auto"/>
            </w:tcBorders>
            <w:shd w:val="clear" w:color="auto" w:fill="auto"/>
            <w:vAlign w:val="center"/>
            <w:hideMark/>
          </w:tcPr>
          <w:p w14:paraId="08CB8ABA" w14:textId="77777777" w:rsidR="008F7A9E" w:rsidRPr="008F7A9E" w:rsidRDefault="008F7A9E" w:rsidP="008F7A9E">
            <w:pPr>
              <w:jc w:val="right"/>
              <w:rPr>
                <w:rFonts w:ascii="Arial Narrow" w:hAnsi="Arial Narrow" w:cs="Calibri"/>
                <w:b/>
                <w:bCs/>
                <w:sz w:val="16"/>
                <w:szCs w:val="16"/>
              </w:rPr>
            </w:pPr>
            <w:r w:rsidRPr="008F7A9E">
              <w:rPr>
                <w:rFonts w:ascii="Arial Narrow" w:hAnsi="Arial Narrow" w:cs="Calibri"/>
                <w:b/>
                <w:bCs/>
                <w:sz w:val="16"/>
                <w:szCs w:val="16"/>
              </w:rPr>
              <w:t>-37,7</w:t>
            </w:r>
          </w:p>
        </w:tc>
        <w:tc>
          <w:tcPr>
            <w:tcW w:w="1217" w:type="dxa"/>
            <w:tcBorders>
              <w:top w:val="nil"/>
              <w:left w:val="nil"/>
              <w:bottom w:val="single" w:sz="4" w:space="0" w:color="auto"/>
              <w:right w:val="single" w:sz="4" w:space="0" w:color="auto"/>
            </w:tcBorders>
            <w:shd w:val="clear" w:color="auto" w:fill="auto"/>
            <w:vAlign w:val="center"/>
            <w:hideMark/>
          </w:tcPr>
          <w:p w14:paraId="0395B354" w14:textId="77777777" w:rsidR="008F7A9E" w:rsidRPr="008F7A9E" w:rsidRDefault="008F7A9E" w:rsidP="008F7A9E">
            <w:pPr>
              <w:jc w:val="right"/>
              <w:rPr>
                <w:rFonts w:ascii="Arial Narrow" w:hAnsi="Arial Narrow" w:cs="Calibri"/>
                <w:b/>
                <w:bCs/>
                <w:sz w:val="16"/>
                <w:szCs w:val="16"/>
              </w:rPr>
            </w:pPr>
            <w:r w:rsidRPr="008F7A9E">
              <w:rPr>
                <w:rFonts w:ascii="Arial Narrow" w:hAnsi="Arial Narrow" w:cs="Calibri"/>
                <w:b/>
                <w:bCs/>
                <w:sz w:val="16"/>
                <w:szCs w:val="16"/>
              </w:rPr>
              <w:t>2 984,8</w:t>
            </w:r>
          </w:p>
        </w:tc>
        <w:tc>
          <w:tcPr>
            <w:tcW w:w="1075" w:type="dxa"/>
            <w:tcBorders>
              <w:top w:val="nil"/>
              <w:left w:val="nil"/>
              <w:bottom w:val="single" w:sz="4" w:space="0" w:color="auto"/>
              <w:right w:val="single" w:sz="4" w:space="0" w:color="auto"/>
            </w:tcBorders>
            <w:shd w:val="clear" w:color="auto" w:fill="auto"/>
            <w:vAlign w:val="center"/>
            <w:hideMark/>
          </w:tcPr>
          <w:p w14:paraId="210D4202" w14:textId="77777777" w:rsidR="008F7A9E" w:rsidRPr="008F7A9E" w:rsidRDefault="008F7A9E" w:rsidP="008F7A9E">
            <w:pPr>
              <w:jc w:val="right"/>
              <w:rPr>
                <w:rFonts w:ascii="Arial Narrow" w:hAnsi="Arial Narrow" w:cs="Calibri"/>
                <w:b/>
                <w:bCs/>
                <w:sz w:val="16"/>
                <w:szCs w:val="16"/>
              </w:rPr>
            </w:pPr>
            <w:r w:rsidRPr="008F7A9E">
              <w:rPr>
                <w:rFonts w:ascii="Arial Narrow" w:hAnsi="Arial Narrow" w:cs="Calibri"/>
                <w:b/>
                <w:bCs/>
                <w:sz w:val="16"/>
                <w:szCs w:val="16"/>
              </w:rPr>
              <w:t>-7,0</w:t>
            </w:r>
          </w:p>
        </w:tc>
        <w:tc>
          <w:tcPr>
            <w:tcW w:w="1233" w:type="dxa"/>
            <w:tcBorders>
              <w:top w:val="nil"/>
              <w:left w:val="nil"/>
              <w:bottom w:val="single" w:sz="4" w:space="0" w:color="auto"/>
              <w:right w:val="single" w:sz="4" w:space="0" w:color="auto"/>
            </w:tcBorders>
            <w:shd w:val="clear" w:color="auto" w:fill="auto"/>
            <w:vAlign w:val="center"/>
            <w:hideMark/>
          </w:tcPr>
          <w:p w14:paraId="14AA0BD0" w14:textId="77777777" w:rsidR="008F7A9E" w:rsidRPr="008F7A9E" w:rsidRDefault="008F7A9E" w:rsidP="008F7A9E">
            <w:pPr>
              <w:jc w:val="right"/>
              <w:rPr>
                <w:rFonts w:ascii="Arial Narrow" w:hAnsi="Arial Narrow" w:cs="Calibri"/>
                <w:b/>
                <w:bCs/>
                <w:sz w:val="16"/>
                <w:szCs w:val="16"/>
              </w:rPr>
            </w:pPr>
            <w:r w:rsidRPr="008F7A9E">
              <w:rPr>
                <w:rFonts w:ascii="Arial Narrow" w:hAnsi="Arial Narrow" w:cs="Calibri"/>
                <w:b/>
                <w:bCs/>
                <w:sz w:val="16"/>
                <w:szCs w:val="16"/>
              </w:rPr>
              <w:t>2 774,5</w:t>
            </w:r>
          </w:p>
        </w:tc>
      </w:tr>
      <w:tr w:rsidR="008F7A9E" w:rsidRPr="00B10684" w14:paraId="601356B1" w14:textId="77777777" w:rsidTr="005A18A5">
        <w:trPr>
          <w:trHeight w:val="251"/>
        </w:trPr>
        <w:tc>
          <w:tcPr>
            <w:tcW w:w="748" w:type="dxa"/>
            <w:tcBorders>
              <w:top w:val="nil"/>
              <w:left w:val="single" w:sz="4" w:space="0" w:color="auto"/>
              <w:bottom w:val="single" w:sz="4" w:space="0" w:color="auto"/>
              <w:right w:val="single" w:sz="4" w:space="0" w:color="auto"/>
            </w:tcBorders>
            <w:shd w:val="clear" w:color="auto" w:fill="auto"/>
            <w:vAlign w:val="center"/>
            <w:hideMark/>
          </w:tcPr>
          <w:p w14:paraId="78719801" w14:textId="77777777" w:rsidR="008F7A9E" w:rsidRPr="008F7A9E" w:rsidRDefault="008F7A9E" w:rsidP="008F7A9E">
            <w:pPr>
              <w:rPr>
                <w:rFonts w:ascii="Arial Narrow" w:hAnsi="Arial Narrow" w:cs="Calibri"/>
                <w:sz w:val="16"/>
                <w:szCs w:val="16"/>
              </w:rPr>
            </w:pPr>
            <w:r w:rsidRPr="008F7A9E">
              <w:rPr>
                <w:rFonts w:ascii="Arial Narrow" w:hAnsi="Arial Narrow" w:cs="Calibri"/>
                <w:sz w:val="16"/>
                <w:szCs w:val="16"/>
              </w:rPr>
              <w:t>23</w:t>
            </w:r>
          </w:p>
        </w:tc>
        <w:tc>
          <w:tcPr>
            <w:tcW w:w="4419" w:type="dxa"/>
            <w:tcBorders>
              <w:top w:val="nil"/>
              <w:left w:val="nil"/>
              <w:bottom w:val="single" w:sz="4" w:space="0" w:color="auto"/>
              <w:right w:val="single" w:sz="4" w:space="0" w:color="auto"/>
            </w:tcBorders>
            <w:shd w:val="clear" w:color="auto" w:fill="auto"/>
            <w:vAlign w:val="center"/>
            <w:hideMark/>
          </w:tcPr>
          <w:p w14:paraId="38E15E44" w14:textId="77777777" w:rsidR="008F7A9E" w:rsidRPr="008F7A9E" w:rsidRDefault="008F7A9E" w:rsidP="008F7A9E">
            <w:pPr>
              <w:rPr>
                <w:rFonts w:ascii="Arial Narrow" w:hAnsi="Arial Narrow" w:cs="Calibri"/>
                <w:sz w:val="16"/>
                <w:szCs w:val="16"/>
              </w:rPr>
            </w:pPr>
            <w:r w:rsidRPr="008F7A9E">
              <w:rPr>
                <w:rFonts w:ascii="Arial Narrow" w:hAnsi="Arial Narrow" w:cs="Calibri"/>
                <w:sz w:val="16"/>
                <w:szCs w:val="16"/>
              </w:rPr>
              <w:t>Компенсации на наетите</w:t>
            </w:r>
          </w:p>
        </w:tc>
        <w:tc>
          <w:tcPr>
            <w:tcW w:w="1185" w:type="dxa"/>
            <w:tcBorders>
              <w:top w:val="nil"/>
              <w:left w:val="nil"/>
              <w:bottom w:val="single" w:sz="4" w:space="0" w:color="auto"/>
              <w:right w:val="single" w:sz="4" w:space="0" w:color="auto"/>
            </w:tcBorders>
            <w:shd w:val="clear" w:color="auto" w:fill="auto"/>
            <w:vAlign w:val="center"/>
            <w:hideMark/>
          </w:tcPr>
          <w:p w14:paraId="38EA32F1" w14:textId="77777777" w:rsidR="008F7A9E" w:rsidRPr="008F7A9E" w:rsidRDefault="008F7A9E" w:rsidP="008F7A9E">
            <w:pPr>
              <w:jc w:val="right"/>
              <w:rPr>
                <w:rFonts w:ascii="Arial Narrow" w:hAnsi="Arial Narrow" w:cs="Calibri"/>
                <w:sz w:val="16"/>
                <w:szCs w:val="16"/>
              </w:rPr>
            </w:pPr>
            <w:r w:rsidRPr="008F7A9E">
              <w:rPr>
                <w:rFonts w:ascii="Arial Narrow" w:hAnsi="Arial Narrow" w:cs="Calibri"/>
                <w:sz w:val="16"/>
                <w:szCs w:val="16"/>
              </w:rPr>
              <w:t>1 393,2</w:t>
            </w:r>
          </w:p>
        </w:tc>
        <w:tc>
          <w:tcPr>
            <w:tcW w:w="1028" w:type="dxa"/>
            <w:tcBorders>
              <w:top w:val="nil"/>
              <w:left w:val="nil"/>
              <w:bottom w:val="single" w:sz="4" w:space="0" w:color="auto"/>
              <w:right w:val="single" w:sz="4" w:space="0" w:color="auto"/>
            </w:tcBorders>
            <w:shd w:val="clear" w:color="auto" w:fill="auto"/>
            <w:vAlign w:val="center"/>
            <w:hideMark/>
          </w:tcPr>
          <w:p w14:paraId="0BB11208" w14:textId="77777777" w:rsidR="008F7A9E" w:rsidRPr="008F7A9E" w:rsidRDefault="008F7A9E" w:rsidP="008F7A9E">
            <w:pPr>
              <w:jc w:val="right"/>
              <w:rPr>
                <w:rFonts w:ascii="Arial Narrow" w:hAnsi="Arial Narrow" w:cs="Calibri"/>
                <w:sz w:val="16"/>
                <w:szCs w:val="16"/>
              </w:rPr>
            </w:pPr>
            <w:r w:rsidRPr="008F7A9E">
              <w:rPr>
                <w:rFonts w:ascii="Arial Narrow" w:hAnsi="Arial Narrow" w:cs="Calibri"/>
                <w:sz w:val="16"/>
                <w:szCs w:val="16"/>
              </w:rPr>
              <w:t>17,3</w:t>
            </w:r>
          </w:p>
        </w:tc>
        <w:tc>
          <w:tcPr>
            <w:tcW w:w="1217" w:type="dxa"/>
            <w:tcBorders>
              <w:top w:val="nil"/>
              <w:left w:val="nil"/>
              <w:bottom w:val="single" w:sz="4" w:space="0" w:color="auto"/>
              <w:right w:val="single" w:sz="4" w:space="0" w:color="auto"/>
            </w:tcBorders>
            <w:shd w:val="clear" w:color="auto" w:fill="auto"/>
            <w:vAlign w:val="center"/>
            <w:hideMark/>
          </w:tcPr>
          <w:p w14:paraId="230D8584" w14:textId="77777777" w:rsidR="008F7A9E" w:rsidRPr="008F7A9E" w:rsidRDefault="008F7A9E" w:rsidP="008F7A9E">
            <w:pPr>
              <w:jc w:val="right"/>
              <w:rPr>
                <w:rFonts w:ascii="Arial Narrow" w:hAnsi="Arial Narrow" w:cs="Calibri"/>
                <w:sz w:val="16"/>
                <w:szCs w:val="16"/>
              </w:rPr>
            </w:pPr>
            <w:r w:rsidRPr="008F7A9E">
              <w:rPr>
                <w:rFonts w:ascii="Arial Narrow" w:hAnsi="Arial Narrow" w:cs="Calibri"/>
                <w:sz w:val="16"/>
                <w:szCs w:val="16"/>
              </w:rPr>
              <w:t>1 634,9</w:t>
            </w:r>
          </w:p>
        </w:tc>
        <w:tc>
          <w:tcPr>
            <w:tcW w:w="1075" w:type="dxa"/>
            <w:tcBorders>
              <w:top w:val="nil"/>
              <w:left w:val="nil"/>
              <w:bottom w:val="single" w:sz="4" w:space="0" w:color="auto"/>
              <w:right w:val="single" w:sz="4" w:space="0" w:color="auto"/>
            </w:tcBorders>
            <w:shd w:val="clear" w:color="auto" w:fill="auto"/>
            <w:vAlign w:val="center"/>
            <w:hideMark/>
          </w:tcPr>
          <w:p w14:paraId="58C7CCCD" w14:textId="77777777" w:rsidR="008F7A9E" w:rsidRPr="008F7A9E" w:rsidRDefault="008F7A9E" w:rsidP="008F7A9E">
            <w:pPr>
              <w:jc w:val="right"/>
              <w:rPr>
                <w:rFonts w:ascii="Arial Narrow" w:hAnsi="Arial Narrow" w:cs="Calibri"/>
                <w:sz w:val="16"/>
                <w:szCs w:val="16"/>
              </w:rPr>
            </w:pPr>
            <w:r w:rsidRPr="008F7A9E">
              <w:rPr>
                <w:rFonts w:ascii="Arial Narrow" w:hAnsi="Arial Narrow" w:cs="Calibri"/>
                <w:sz w:val="16"/>
                <w:szCs w:val="16"/>
              </w:rPr>
              <w:t>11,5</w:t>
            </w:r>
          </w:p>
        </w:tc>
        <w:tc>
          <w:tcPr>
            <w:tcW w:w="1233" w:type="dxa"/>
            <w:tcBorders>
              <w:top w:val="nil"/>
              <w:left w:val="nil"/>
              <w:bottom w:val="single" w:sz="4" w:space="0" w:color="auto"/>
              <w:right w:val="single" w:sz="4" w:space="0" w:color="auto"/>
            </w:tcBorders>
            <w:shd w:val="clear" w:color="auto" w:fill="auto"/>
            <w:vAlign w:val="center"/>
            <w:hideMark/>
          </w:tcPr>
          <w:p w14:paraId="0408C8FD" w14:textId="77777777" w:rsidR="008F7A9E" w:rsidRPr="008F7A9E" w:rsidRDefault="008F7A9E" w:rsidP="008F7A9E">
            <w:pPr>
              <w:jc w:val="right"/>
              <w:rPr>
                <w:rFonts w:ascii="Arial Narrow" w:hAnsi="Arial Narrow" w:cs="Calibri"/>
                <w:sz w:val="16"/>
                <w:szCs w:val="16"/>
              </w:rPr>
            </w:pPr>
            <w:r w:rsidRPr="008F7A9E">
              <w:rPr>
                <w:rFonts w:ascii="Arial Narrow" w:hAnsi="Arial Narrow" w:cs="Calibri"/>
                <w:sz w:val="16"/>
                <w:szCs w:val="16"/>
              </w:rPr>
              <w:t>1 822,9</w:t>
            </w:r>
          </w:p>
        </w:tc>
      </w:tr>
      <w:tr w:rsidR="008F7A9E" w:rsidRPr="00B10684" w14:paraId="2339B4E1" w14:textId="77777777" w:rsidTr="005A18A5">
        <w:trPr>
          <w:trHeight w:val="251"/>
        </w:trPr>
        <w:tc>
          <w:tcPr>
            <w:tcW w:w="748" w:type="dxa"/>
            <w:tcBorders>
              <w:top w:val="nil"/>
              <w:left w:val="single" w:sz="4" w:space="0" w:color="auto"/>
              <w:bottom w:val="single" w:sz="4" w:space="0" w:color="auto"/>
              <w:right w:val="single" w:sz="4" w:space="0" w:color="auto"/>
            </w:tcBorders>
            <w:shd w:val="clear" w:color="auto" w:fill="auto"/>
            <w:vAlign w:val="center"/>
            <w:hideMark/>
          </w:tcPr>
          <w:p w14:paraId="60F1BAC3" w14:textId="77777777" w:rsidR="008F7A9E" w:rsidRPr="008F7A9E" w:rsidRDefault="008F7A9E" w:rsidP="008F7A9E">
            <w:pPr>
              <w:rPr>
                <w:rFonts w:ascii="Arial Narrow" w:hAnsi="Arial Narrow" w:cs="Calibri"/>
                <w:sz w:val="16"/>
                <w:szCs w:val="16"/>
              </w:rPr>
            </w:pPr>
            <w:r w:rsidRPr="008F7A9E">
              <w:rPr>
                <w:rFonts w:ascii="Arial Narrow" w:hAnsi="Arial Narrow" w:cs="Calibri"/>
                <w:sz w:val="16"/>
                <w:szCs w:val="16"/>
              </w:rPr>
              <w:t>24</w:t>
            </w:r>
          </w:p>
        </w:tc>
        <w:tc>
          <w:tcPr>
            <w:tcW w:w="4419" w:type="dxa"/>
            <w:tcBorders>
              <w:top w:val="nil"/>
              <w:left w:val="nil"/>
              <w:bottom w:val="single" w:sz="4" w:space="0" w:color="auto"/>
              <w:right w:val="single" w:sz="4" w:space="0" w:color="auto"/>
            </w:tcBorders>
            <w:shd w:val="clear" w:color="auto" w:fill="auto"/>
            <w:vAlign w:val="center"/>
            <w:hideMark/>
          </w:tcPr>
          <w:p w14:paraId="3496AB59" w14:textId="77777777" w:rsidR="008F7A9E" w:rsidRPr="008F7A9E" w:rsidRDefault="008F7A9E" w:rsidP="008F7A9E">
            <w:pPr>
              <w:rPr>
                <w:rFonts w:ascii="Arial Narrow" w:hAnsi="Arial Narrow" w:cs="Calibri"/>
                <w:sz w:val="16"/>
                <w:szCs w:val="16"/>
              </w:rPr>
            </w:pPr>
            <w:r w:rsidRPr="008F7A9E">
              <w:rPr>
                <w:rFonts w:ascii="Arial Narrow" w:hAnsi="Arial Narrow" w:cs="Calibri"/>
                <w:sz w:val="16"/>
                <w:szCs w:val="16"/>
              </w:rPr>
              <w:t>Други данъци върху производството</w:t>
            </w:r>
          </w:p>
        </w:tc>
        <w:tc>
          <w:tcPr>
            <w:tcW w:w="1185" w:type="dxa"/>
            <w:tcBorders>
              <w:top w:val="nil"/>
              <w:left w:val="nil"/>
              <w:bottom w:val="single" w:sz="4" w:space="0" w:color="auto"/>
              <w:right w:val="single" w:sz="4" w:space="0" w:color="auto"/>
            </w:tcBorders>
            <w:shd w:val="clear" w:color="auto" w:fill="auto"/>
            <w:vAlign w:val="center"/>
            <w:hideMark/>
          </w:tcPr>
          <w:p w14:paraId="13384D60" w14:textId="77777777" w:rsidR="008F7A9E" w:rsidRPr="008F7A9E" w:rsidRDefault="008F7A9E" w:rsidP="008F7A9E">
            <w:pPr>
              <w:jc w:val="right"/>
              <w:rPr>
                <w:rFonts w:ascii="Arial Narrow" w:hAnsi="Arial Narrow" w:cs="Calibri"/>
                <w:sz w:val="16"/>
                <w:szCs w:val="16"/>
              </w:rPr>
            </w:pPr>
            <w:r w:rsidRPr="008F7A9E">
              <w:rPr>
                <w:rFonts w:ascii="Arial Narrow" w:hAnsi="Arial Narrow" w:cs="Calibri"/>
                <w:sz w:val="16"/>
                <w:szCs w:val="16"/>
              </w:rPr>
              <w:t>73,4</w:t>
            </w:r>
          </w:p>
        </w:tc>
        <w:tc>
          <w:tcPr>
            <w:tcW w:w="1028" w:type="dxa"/>
            <w:tcBorders>
              <w:top w:val="nil"/>
              <w:left w:val="nil"/>
              <w:bottom w:val="single" w:sz="4" w:space="0" w:color="auto"/>
              <w:right w:val="single" w:sz="4" w:space="0" w:color="auto"/>
            </w:tcBorders>
            <w:shd w:val="clear" w:color="auto" w:fill="auto"/>
            <w:vAlign w:val="center"/>
            <w:hideMark/>
          </w:tcPr>
          <w:p w14:paraId="71FD1FC2" w14:textId="77777777" w:rsidR="008F7A9E" w:rsidRPr="008F7A9E" w:rsidRDefault="008F7A9E" w:rsidP="008F7A9E">
            <w:pPr>
              <w:jc w:val="right"/>
              <w:rPr>
                <w:rFonts w:ascii="Arial Narrow" w:hAnsi="Arial Narrow" w:cs="Calibri"/>
                <w:sz w:val="16"/>
                <w:szCs w:val="16"/>
              </w:rPr>
            </w:pPr>
            <w:r w:rsidRPr="008F7A9E">
              <w:rPr>
                <w:rFonts w:ascii="Arial Narrow" w:hAnsi="Arial Narrow" w:cs="Calibri"/>
                <w:sz w:val="16"/>
                <w:szCs w:val="16"/>
              </w:rPr>
              <w:t>-44,4</w:t>
            </w:r>
          </w:p>
        </w:tc>
        <w:tc>
          <w:tcPr>
            <w:tcW w:w="1217" w:type="dxa"/>
            <w:tcBorders>
              <w:top w:val="nil"/>
              <w:left w:val="nil"/>
              <w:bottom w:val="single" w:sz="4" w:space="0" w:color="auto"/>
              <w:right w:val="single" w:sz="4" w:space="0" w:color="auto"/>
            </w:tcBorders>
            <w:shd w:val="clear" w:color="auto" w:fill="auto"/>
            <w:vAlign w:val="center"/>
            <w:hideMark/>
          </w:tcPr>
          <w:p w14:paraId="16B8450C" w14:textId="77777777" w:rsidR="008F7A9E" w:rsidRPr="008F7A9E" w:rsidRDefault="008F7A9E" w:rsidP="008F7A9E">
            <w:pPr>
              <w:jc w:val="right"/>
              <w:rPr>
                <w:rFonts w:ascii="Arial Narrow" w:hAnsi="Arial Narrow" w:cs="Calibri"/>
                <w:sz w:val="16"/>
                <w:szCs w:val="16"/>
              </w:rPr>
            </w:pPr>
            <w:r w:rsidRPr="008F7A9E">
              <w:rPr>
                <w:rFonts w:ascii="Arial Narrow" w:hAnsi="Arial Narrow" w:cs="Calibri"/>
                <w:sz w:val="16"/>
                <w:szCs w:val="16"/>
              </w:rPr>
              <w:t>40,8</w:t>
            </w:r>
          </w:p>
        </w:tc>
        <w:tc>
          <w:tcPr>
            <w:tcW w:w="1075" w:type="dxa"/>
            <w:tcBorders>
              <w:top w:val="nil"/>
              <w:left w:val="nil"/>
              <w:bottom w:val="single" w:sz="4" w:space="0" w:color="auto"/>
              <w:right w:val="single" w:sz="4" w:space="0" w:color="auto"/>
            </w:tcBorders>
            <w:shd w:val="clear" w:color="auto" w:fill="auto"/>
            <w:vAlign w:val="center"/>
            <w:hideMark/>
          </w:tcPr>
          <w:p w14:paraId="363DA2AB" w14:textId="77777777" w:rsidR="008F7A9E" w:rsidRPr="008F7A9E" w:rsidRDefault="008F7A9E" w:rsidP="008F7A9E">
            <w:pPr>
              <w:jc w:val="right"/>
              <w:rPr>
                <w:rFonts w:ascii="Arial Narrow" w:hAnsi="Arial Narrow" w:cs="Calibri"/>
                <w:sz w:val="16"/>
                <w:szCs w:val="16"/>
              </w:rPr>
            </w:pPr>
            <w:r w:rsidRPr="008F7A9E">
              <w:rPr>
                <w:rFonts w:ascii="Arial Narrow" w:hAnsi="Arial Narrow" w:cs="Calibri"/>
                <w:sz w:val="16"/>
                <w:szCs w:val="16"/>
              </w:rPr>
              <w:t>-31,4</w:t>
            </w:r>
          </w:p>
        </w:tc>
        <w:tc>
          <w:tcPr>
            <w:tcW w:w="1233" w:type="dxa"/>
            <w:tcBorders>
              <w:top w:val="nil"/>
              <w:left w:val="nil"/>
              <w:bottom w:val="single" w:sz="4" w:space="0" w:color="auto"/>
              <w:right w:val="single" w:sz="4" w:space="0" w:color="auto"/>
            </w:tcBorders>
            <w:shd w:val="clear" w:color="auto" w:fill="auto"/>
            <w:vAlign w:val="center"/>
            <w:hideMark/>
          </w:tcPr>
          <w:p w14:paraId="759654A2" w14:textId="77777777" w:rsidR="008F7A9E" w:rsidRPr="008F7A9E" w:rsidRDefault="008F7A9E" w:rsidP="008F7A9E">
            <w:pPr>
              <w:jc w:val="right"/>
              <w:rPr>
                <w:rFonts w:ascii="Arial Narrow" w:hAnsi="Arial Narrow" w:cs="Calibri"/>
                <w:sz w:val="16"/>
                <w:szCs w:val="16"/>
              </w:rPr>
            </w:pPr>
            <w:r w:rsidRPr="008F7A9E">
              <w:rPr>
                <w:rFonts w:ascii="Arial Narrow" w:hAnsi="Arial Narrow" w:cs="Calibri"/>
                <w:sz w:val="16"/>
                <w:szCs w:val="16"/>
              </w:rPr>
              <w:t>28,0</w:t>
            </w:r>
          </w:p>
        </w:tc>
      </w:tr>
      <w:tr w:rsidR="008F7A9E" w:rsidRPr="00B10684" w14:paraId="59A89E2D" w14:textId="77777777" w:rsidTr="005A18A5">
        <w:trPr>
          <w:trHeight w:val="251"/>
        </w:trPr>
        <w:tc>
          <w:tcPr>
            <w:tcW w:w="748" w:type="dxa"/>
            <w:tcBorders>
              <w:top w:val="nil"/>
              <w:left w:val="single" w:sz="4" w:space="0" w:color="auto"/>
              <w:bottom w:val="single" w:sz="4" w:space="0" w:color="auto"/>
              <w:right w:val="single" w:sz="4" w:space="0" w:color="auto"/>
            </w:tcBorders>
            <w:shd w:val="clear" w:color="auto" w:fill="auto"/>
            <w:vAlign w:val="center"/>
            <w:hideMark/>
          </w:tcPr>
          <w:p w14:paraId="77DCD01C" w14:textId="77777777" w:rsidR="008F7A9E" w:rsidRPr="008F7A9E" w:rsidRDefault="008F7A9E" w:rsidP="008F7A9E">
            <w:pPr>
              <w:rPr>
                <w:rFonts w:ascii="Arial Narrow" w:hAnsi="Arial Narrow" w:cs="Calibri"/>
                <w:sz w:val="16"/>
                <w:szCs w:val="16"/>
              </w:rPr>
            </w:pPr>
            <w:r w:rsidRPr="008F7A9E">
              <w:rPr>
                <w:rFonts w:ascii="Arial Narrow" w:hAnsi="Arial Narrow" w:cs="Calibri"/>
                <w:sz w:val="16"/>
                <w:szCs w:val="16"/>
              </w:rPr>
              <w:t>25</w:t>
            </w:r>
          </w:p>
        </w:tc>
        <w:tc>
          <w:tcPr>
            <w:tcW w:w="4419" w:type="dxa"/>
            <w:tcBorders>
              <w:top w:val="nil"/>
              <w:left w:val="nil"/>
              <w:bottom w:val="single" w:sz="4" w:space="0" w:color="auto"/>
              <w:right w:val="single" w:sz="4" w:space="0" w:color="auto"/>
            </w:tcBorders>
            <w:shd w:val="clear" w:color="auto" w:fill="auto"/>
            <w:vAlign w:val="center"/>
            <w:hideMark/>
          </w:tcPr>
          <w:p w14:paraId="6D28C119" w14:textId="77777777" w:rsidR="008F7A9E" w:rsidRPr="008F7A9E" w:rsidRDefault="008F7A9E" w:rsidP="008F7A9E">
            <w:pPr>
              <w:rPr>
                <w:rFonts w:ascii="Arial Narrow" w:hAnsi="Arial Narrow" w:cs="Calibri"/>
                <w:sz w:val="16"/>
                <w:szCs w:val="16"/>
              </w:rPr>
            </w:pPr>
            <w:r w:rsidRPr="008F7A9E">
              <w:rPr>
                <w:rFonts w:ascii="Arial Narrow" w:hAnsi="Arial Narrow" w:cs="Calibri"/>
                <w:sz w:val="16"/>
                <w:szCs w:val="16"/>
              </w:rPr>
              <w:t>Други субсидии върху производството</w:t>
            </w:r>
          </w:p>
        </w:tc>
        <w:tc>
          <w:tcPr>
            <w:tcW w:w="1185" w:type="dxa"/>
            <w:tcBorders>
              <w:top w:val="nil"/>
              <w:left w:val="nil"/>
              <w:bottom w:val="single" w:sz="4" w:space="0" w:color="auto"/>
              <w:right w:val="single" w:sz="4" w:space="0" w:color="auto"/>
            </w:tcBorders>
            <w:shd w:val="clear" w:color="auto" w:fill="auto"/>
            <w:vAlign w:val="center"/>
            <w:hideMark/>
          </w:tcPr>
          <w:p w14:paraId="4F84D0E5" w14:textId="77777777" w:rsidR="008F7A9E" w:rsidRPr="008F7A9E" w:rsidRDefault="008F7A9E" w:rsidP="008F7A9E">
            <w:pPr>
              <w:jc w:val="right"/>
              <w:rPr>
                <w:rFonts w:ascii="Arial Narrow" w:hAnsi="Arial Narrow" w:cs="Calibri"/>
                <w:sz w:val="16"/>
                <w:szCs w:val="16"/>
              </w:rPr>
            </w:pPr>
            <w:r w:rsidRPr="008F7A9E">
              <w:rPr>
                <w:rFonts w:ascii="Arial Narrow" w:hAnsi="Arial Narrow" w:cs="Calibri"/>
                <w:sz w:val="16"/>
                <w:szCs w:val="16"/>
              </w:rPr>
              <w:t>2 468,2</w:t>
            </w:r>
          </w:p>
        </w:tc>
        <w:tc>
          <w:tcPr>
            <w:tcW w:w="1028" w:type="dxa"/>
            <w:tcBorders>
              <w:top w:val="nil"/>
              <w:left w:val="nil"/>
              <w:bottom w:val="single" w:sz="4" w:space="0" w:color="auto"/>
              <w:right w:val="single" w:sz="4" w:space="0" w:color="auto"/>
            </w:tcBorders>
            <w:shd w:val="clear" w:color="auto" w:fill="auto"/>
            <w:vAlign w:val="center"/>
            <w:hideMark/>
          </w:tcPr>
          <w:p w14:paraId="354EC1ED" w14:textId="77777777" w:rsidR="008F7A9E" w:rsidRPr="008F7A9E" w:rsidRDefault="008F7A9E" w:rsidP="008F7A9E">
            <w:pPr>
              <w:jc w:val="right"/>
              <w:rPr>
                <w:rFonts w:ascii="Arial Narrow" w:hAnsi="Arial Narrow" w:cs="Calibri"/>
                <w:sz w:val="16"/>
                <w:szCs w:val="16"/>
              </w:rPr>
            </w:pPr>
            <w:r w:rsidRPr="008F7A9E">
              <w:rPr>
                <w:rFonts w:ascii="Arial Narrow" w:hAnsi="Arial Narrow" w:cs="Calibri"/>
                <w:sz w:val="16"/>
                <w:szCs w:val="16"/>
              </w:rPr>
              <w:t>-6,7</w:t>
            </w:r>
          </w:p>
        </w:tc>
        <w:tc>
          <w:tcPr>
            <w:tcW w:w="1217" w:type="dxa"/>
            <w:tcBorders>
              <w:top w:val="nil"/>
              <w:left w:val="nil"/>
              <w:bottom w:val="single" w:sz="4" w:space="0" w:color="auto"/>
              <w:right w:val="single" w:sz="4" w:space="0" w:color="auto"/>
            </w:tcBorders>
            <w:shd w:val="clear" w:color="auto" w:fill="auto"/>
            <w:vAlign w:val="center"/>
            <w:hideMark/>
          </w:tcPr>
          <w:p w14:paraId="297267AF" w14:textId="77777777" w:rsidR="008F7A9E" w:rsidRPr="008F7A9E" w:rsidRDefault="008F7A9E" w:rsidP="008F7A9E">
            <w:pPr>
              <w:jc w:val="right"/>
              <w:rPr>
                <w:rFonts w:ascii="Arial Narrow" w:hAnsi="Arial Narrow" w:cs="Calibri"/>
                <w:sz w:val="16"/>
                <w:szCs w:val="16"/>
              </w:rPr>
            </w:pPr>
            <w:r w:rsidRPr="008F7A9E">
              <w:rPr>
                <w:rFonts w:ascii="Arial Narrow" w:hAnsi="Arial Narrow" w:cs="Calibri"/>
                <w:sz w:val="16"/>
                <w:szCs w:val="16"/>
              </w:rPr>
              <w:t>2 302,5</w:t>
            </w:r>
          </w:p>
        </w:tc>
        <w:tc>
          <w:tcPr>
            <w:tcW w:w="1075" w:type="dxa"/>
            <w:tcBorders>
              <w:top w:val="nil"/>
              <w:left w:val="nil"/>
              <w:bottom w:val="single" w:sz="4" w:space="0" w:color="auto"/>
              <w:right w:val="single" w:sz="4" w:space="0" w:color="auto"/>
            </w:tcBorders>
            <w:shd w:val="clear" w:color="auto" w:fill="auto"/>
            <w:vAlign w:val="center"/>
            <w:hideMark/>
          </w:tcPr>
          <w:p w14:paraId="25005C19" w14:textId="77777777" w:rsidR="008F7A9E" w:rsidRPr="008F7A9E" w:rsidRDefault="008F7A9E" w:rsidP="008F7A9E">
            <w:pPr>
              <w:jc w:val="right"/>
              <w:rPr>
                <w:rFonts w:ascii="Arial Narrow" w:hAnsi="Arial Narrow" w:cs="Calibri"/>
                <w:sz w:val="16"/>
                <w:szCs w:val="16"/>
              </w:rPr>
            </w:pPr>
            <w:r w:rsidRPr="008F7A9E">
              <w:rPr>
                <w:rFonts w:ascii="Arial Narrow" w:hAnsi="Arial Narrow" w:cs="Calibri"/>
                <w:sz w:val="16"/>
                <w:szCs w:val="16"/>
              </w:rPr>
              <w:t>7,1</w:t>
            </w:r>
          </w:p>
        </w:tc>
        <w:tc>
          <w:tcPr>
            <w:tcW w:w="1233" w:type="dxa"/>
            <w:tcBorders>
              <w:top w:val="nil"/>
              <w:left w:val="nil"/>
              <w:bottom w:val="single" w:sz="4" w:space="0" w:color="auto"/>
              <w:right w:val="single" w:sz="4" w:space="0" w:color="auto"/>
            </w:tcBorders>
            <w:shd w:val="clear" w:color="auto" w:fill="auto"/>
            <w:vAlign w:val="center"/>
            <w:hideMark/>
          </w:tcPr>
          <w:p w14:paraId="19D9F56A" w14:textId="77777777" w:rsidR="008F7A9E" w:rsidRPr="008F7A9E" w:rsidRDefault="008F7A9E" w:rsidP="008F7A9E">
            <w:pPr>
              <w:jc w:val="right"/>
              <w:rPr>
                <w:rFonts w:ascii="Arial Narrow" w:hAnsi="Arial Narrow" w:cs="Calibri"/>
                <w:sz w:val="16"/>
                <w:szCs w:val="16"/>
              </w:rPr>
            </w:pPr>
            <w:r w:rsidRPr="008F7A9E">
              <w:rPr>
                <w:rFonts w:ascii="Arial Narrow" w:hAnsi="Arial Narrow" w:cs="Calibri"/>
                <w:sz w:val="16"/>
                <w:szCs w:val="16"/>
              </w:rPr>
              <w:t>2 466,0</w:t>
            </w:r>
          </w:p>
        </w:tc>
      </w:tr>
      <w:tr w:rsidR="008F7A9E" w:rsidRPr="00B10684" w14:paraId="34EB655F" w14:textId="77777777" w:rsidTr="005A18A5">
        <w:trPr>
          <w:trHeight w:val="365"/>
        </w:trPr>
        <w:tc>
          <w:tcPr>
            <w:tcW w:w="748" w:type="dxa"/>
            <w:tcBorders>
              <w:top w:val="nil"/>
              <w:left w:val="single" w:sz="4" w:space="0" w:color="auto"/>
              <w:bottom w:val="single" w:sz="4" w:space="0" w:color="auto"/>
              <w:right w:val="single" w:sz="4" w:space="0" w:color="auto"/>
            </w:tcBorders>
            <w:shd w:val="clear" w:color="auto" w:fill="auto"/>
            <w:vAlign w:val="center"/>
            <w:hideMark/>
          </w:tcPr>
          <w:p w14:paraId="34C906CE" w14:textId="77777777" w:rsidR="008F7A9E" w:rsidRPr="008F7A9E" w:rsidRDefault="008F7A9E" w:rsidP="008F7A9E">
            <w:pPr>
              <w:rPr>
                <w:rFonts w:ascii="Arial Narrow" w:hAnsi="Arial Narrow" w:cs="Calibri"/>
                <w:b/>
                <w:bCs/>
                <w:sz w:val="16"/>
                <w:szCs w:val="16"/>
              </w:rPr>
            </w:pPr>
            <w:r w:rsidRPr="008F7A9E">
              <w:rPr>
                <w:rFonts w:ascii="Arial Narrow" w:hAnsi="Arial Narrow" w:cs="Calibri"/>
                <w:b/>
                <w:bCs/>
                <w:sz w:val="16"/>
                <w:szCs w:val="16"/>
              </w:rPr>
              <w:t>26</w:t>
            </w:r>
          </w:p>
        </w:tc>
        <w:tc>
          <w:tcPr>
            <w:tcW w:w="4419" w:type="dxa"/>
            <w:tcBorders>
              <w:top w:val="nil"/>
              <w:left w:val="nil"/>
              <w:bottom w:val="single" w:sz="4" w:space="0" w:color="auto"/>
              <w:right w:val="single" w:sz="4" w:space="0" w:color="auto"/>
            </w:tcBorders>
            <w:shd w:val="clear" w:color="auto" w:fill="auto"/>
            <w:vAlign w:val="center"/>
            <w:hideMark/>
          </w:tcPr>
          <w:p w14:paraId="1F16DA3D" w14:textId="77777777" w:rsidR="008F7A9E" w:rsidRPr="008F7A9E" w:rsidRDefault="008F7A9E" w:rsidP="008F7A9E">
            <w:pPr>
              <w:rPr>
                <w:rFonts w:ascii="Arial Narrow" w:hAnsi="Arial Narrow" w:cs="Calibri"/>
                <w:b/>
                <w:bCs/>
                <w:sz w:val="16"/>
                <w:szCs w:val="16"/>
              </w:rPr>
            </w:pPr>
            <w:r w:rsidRPr="008F7A9E">
              <w:rPr>
                <w:rFonts w:ascii="Arial Narrow" w:hAnsi="Arial Narrow" w:cs="Calibri"/>
                <w:b/>
                <w:bCs/>
                <w:sz w:val="16"/>
                <w:szCs w:val="16"/>
              </w:rPr>
              <w:t>Доход по фактори (22 - 24 + 25)</w:t>
            </w:r>
          </w:p>
        </w:tc>
        <w:tc>
          <w:tcPr>
            <w:tcW w:w="1185" w:type="dxa"/>
            <w:tcBorders>
              <w:top w:val="nil"/>
              <w:left w:val="nil"/>
              <w:bottom w:val="single" w:sz="4" w:space="0" w:color="auto"/>
              <w:right w:val="single" w:sz="4" w:space="0" w:color="auto"/>
            </w:tcBorders>
            <w:shd w:val="clear" w:color="auto" w:fill="auto"/>
            <w:vAlign w:val="center"/>
            <w:hideMark/>
          </w:tcPr>
          <w:p w14:paraId="4ABF21FD" w14:textId="77777777" w:rsidR="008F7A9E" w:rsidRPr="008F7A9E" w:rsidRDefault="008F7A9E" w:rsidP="008F7A9E">
            <w:pPr>
              <w:jc w:val="right"/>
              <w:rPr>
                <w:rFonts w:ascii="Arial Narrow" w:hAnsi="Arial Narrow" w:cs="Calibri"/>
                <w:b/>
                <w:bCs/>
                <w:sz w:val="16"/>
                <w:szCs w:val="16"/>
              </w:rPr>
            </w:pPr>
            <w:r w:rsidRPr="008F7A9E">
              <w:rPr>
                <w:rFonts w:ascii="Arial Narrow" w:hAnsi="Arial Narrow" w:cs="Calibri"/>
                <w:b/>
                <w:bCs/>
                <w:sz w:val="16"/>
                <w:szCs w:val="16"/>
              </w:rPr>
              <w:t>7 183,6</w:t>
            </w:r>
          </w:p>
        </w:tc>
        <w:tc>
          <w:tcPr>
            <w:tcW w:w="1028" w:type="dxa"/>
            <w:tcBorders>
              <w:top w:val="nil"/>
              <w:left w:val="nil"/>
              <w:bottom w:val="single" w:sz="4" w:space="0" w:color="auto"/>
              <w:right w:val="single" w:sz="4" w:space="0" w:color="auto"/>
            </w:tcBorders>
            <w:shd w:val="clear" w:color="auto" w:fill="auto"/>
            <w:vAlign w:val="center"/>
            <w:hideMark/>
          </w:tcPr>
          <w:p w14:paraId="2187B9DC" w14:textId="77777777" w:rsidR="008F7A9E" w:rsidRPr="008F7A9E" w:rsidRDefault="008F7A9E" w:rsidP="008F7A9E">
            <w:pPr>
              <w:jc w:val="right"/>
              <w:rPr>
                <w:rFonts w:ascii="Arial Narrow" w:hAnsi="Arial Narrow" w:cs="Calibri"/>
                <w:b/>
                <w:bCs/>
                <w:sz w:val="16"/>
                <w:szCs w:val="16"/>
              </w:rPr>
            </w:pPr>
            <w:r w:rsidRPr="008F7A9E">
              <w:rPr>
                <w:rFonts w:ascii="Arial Narrow" w:hAnsi="Arial Narrow" w:cs="Calibri"/>
                <w:b/>
                <w:bCs/>
                <w:sz w:val="16"/>
                <w:szCs w:val="16"/>
              </w:rPr>
              <w:t>-27,0</w:t>
            </w:r>
          </w:p>
        </w:tc>
        <w:tc>
          <w:tcPr>
            <w:tcW w:w="1217" w:type="dxa"/>
            <w:tcBorders>
              <w:top w:val="nil"/>
              <w:left w:val="nil"/>
              <w:bottom w:val="single" w:sz="4" w:space="0" w:color="auto"/>
              <w:right w:val="single" w:sz="4" w:space="0" w:color="auto"/>
            </w:tcBorders>
            <w:shd w:val="clear" w:color="auto" w:fill="auto"/>
            <w:vAlign w:val="center"/>
            <w:hideMark/>
          </w:tcPr>
          <w:p w14:paraId="6EF1E351" w14:textId="77777777" w:rsidR="008F7A9E" w:rsidRPr="008F7A9E" w:rsidRDefault="008F7A9E" w:rsidP="008F7A9E">
            <w:pPr>
              <w:jc w:val="right"/>
              <w:rPr>
                <w:rFonts w:ascii="Arial Narrow" w:hAnsi="Arial Narrow" w:cs="Calibri"/>
                <w:b/>
                <w:bCs/>
                <w:sz w:val="16"/>
                <w:szCs w:val="16"/>
              </w:rPr>
            </w:pPr>
            <w:r w:rsidRPr="008F7A9E">
              <w:rPr>
                <w:rFonts w:ascii="Arial Narrow" w:hAnsi="Arial Narrow" w:cs="Calibri"/>
                <w:b/>
                <w:bCs/>
                <w:sz w:val="16"/>
                <w:szCs w:val="16"/>
              </w:rPr>
              <w:t>5 246,5</w:t>
            </w:r>
          </w:p>
        </w:tc>
        <w:tc>
          <w:tcPr>
            <w:tcW w:w="1075" w:type="dxa"/>
            <w:tcBorders>
              <w:top w:val="nil"/>
              <w:left w:val="nil"/>
              <w:bottom w:val="single" w:sz="4" w:space="0" w:color="auto"/>
              <w:right w:val="single" w:sz="4" w:space="0" w:color="auto"/>
            </w:tcBorders>
            <w:shd w:val="clear" w:color="auto" w:fill="auto"/>
            <w:vAlign w:val="center"/>
            <w:hideMark/>
          </w:tcPr>
          <w:p w14:paraId="50AA95AF" w14:textId="77777777" w:rsidR="008F7A9E" w:rsidRPr="008F7A9E" w:rsidRDefault="008F7A9E" w:rsidP="008F7A9E">
            <w:pPr>
              <w:jc w:val="right"/>
              <w:rPr>
                <w:rFonts w:ascii="Arial Narrow" w:hAnsi="Arial Narrow" w:cs="Calibri"/>
                <w:b/>
                <w:bCs/>
                <w:sz w:val="16"/>
                <w:szCs w:val="16"/>
              </w:rPr>
            </w:pPr>
            <w:r w:rsidRPr="008F7A9E">
              <w:rPr>
                <w:rFonts w:ascii="Arial Narrow" w:hAnsi="Arial Narrow" w:cs="Calibri"/>
                <w:b/>
                <w:bCs/>
                <w:sz w:val="16"/>
                <w:szCs w:val="16"/>
              </w:rPr>
              <w:t>-0,6</w:t>
            </w:r>
          </w:p>
        </w:tc>
        <w:tc>
          <w:tcPr>
            <w:tcW w:w="1233" w:type="dxa"/>
            <w:tcBorders>
              <w:top w:val="nil"/>
              <w:left w:val="nil"/>
              <w:bottom w:val="single" w:sz="4" w:space="0" w:color="auto"/>
              <w:right w:val="single" w:sz="4" w:space="0" w:color="auto"/>
            </w:tcBorders>
            <w:shd w:val="clear" w:color="auto" w:fill="auto"/>
            <w:vAlign w:val="center"/>
            <w:hideMark/>
          </w:tcPr>
          <w:p w14:paraId="3B3D2CC5" w14:textId="77777777" w:rsidR="008F7A9E" w:rsidRPr="008F7A9E" w:rsidRDefault="008F7A9E" w:rsidP="008F7A9E">
            <w:pPr>
              <w:jc w:val="right"/>
              <w:rPr>
                <w:rFonts w:ascii="Arial Narrow" w:hAnsi="Arial Narrow" w:cs="Calibri"/>
                <w:b/>
                <w:bCs/>
                <w:sz w:val="16"/>
                <w:szCs w:val="16"/>
              </w:rPr>
            </w:pPr>
            <w:r w:rsidRPr="008F7A9E">
              <w:rPr>
                <w:rFonts w:ascii="Arial Narrow" w:hAnsi="Arial Narrow" w:cs="Calibri"/>
                <w:b/>
                <w:bCs/>
                <w:sz w:val="16"/>
                <w:szCs w:val="16"/>
              </w:rPr>
              <w:t>5 212,5</w:t>
            </w:r>
          </w:p>
        </w:tc>
      </w:tr>
      <w:tr w:rsidR="008F7A9E" w:rsidRPr="00B10684" w14:paraId="529A63F1" w14:textId="77777777" w:rsidTr="005A18A5">
        <w:trPr>
          <w:trHeight w:val="365"/>
        </w:trPr>
        <w:tc>
          <w:tcPr>
            <w:tcW w:w="748" w:type="dxa"/>
            <w:tcBorders>
              <w:top w:val="nil"/>
              <w:left w:val="single" w:sz="4" w:space="0" w:color="auto"/>
              <w:bottom w:val="single" w:sz="4" w:space="0" w:color="auto"/>
              <w:right w:val="single" w:sz="4" w:space="0" w:color="auto"/>
            </w:tcBorders>
            <w:shd w:val="clear" w:color="auto" w:fill="auto"/>
            <w:vAlign w:val="center"/>
            <w:hideMark/>
          </w:tcPr>
          <w:p w14:paraId="459CC541" w14:textId="77777777" w:rsidR="008F7A9E" w:rsidRPr="008F7A9E" w:rsidRDefault="008F7A9E" w:rsidP="008F7A9E">
            <w:pPr>
              <w:rPr>
                <w:rFonts w:ascii="Arial Narrow" w:hAnsi="Arial Narrow" w:cs="Calibri"/>
                <w:b/>
                <w:bCs/>
                <w:sz w:val="16"/>
                <w:szCs w:val="16"/>
              </w:rPr>
            </w:pPr>
            <w:r w:rsidRPr="008F7A9E">
              <w:rPr>
                <w:rFonts w:ascii="Arial Narrow" w:hAnsi="Arial Narrow" w:cs="Calibri"/>
                <w:b/>
                <w:bCs/>
                <w:sz w:val="16"/>
                <w:szCs w:val="16"/>
              </w:rPr>
              <w:t>27</w:t>
            </w:r>
          </w:p>
        </w:tc>
        <w:tc>
          <w:tcPr>
            <w:tcW w:w="4419" w:type="dxa"/>
            <w:tcBorders>
              <w:top w:val="nil"/>
              <w:left w:val="nil"/>
              <w:bottom w:val="single" w:sz="4" w:space="0" w:color="auto"/>
              <w:right w:val="single" w:sz="4" w:space="0" w:color="auto"/>
            </w:tcBorders>
            <w:shd w:val="clear" w:color="auto" w:fill="auto"/>
            <w:vAlign w:val="center"/>
            <w:hideMark/>
          </w:tcPr>
          <w:p w14:paraId="2A481CFD" w14:textId="77777777" w:rsidR="008F7A9E" w:rsidRPr="008F7A9E" w:rsidRDefault="00D56BD4" w:rsidP="008F7A9E">
            <w:pPr>
              <w:rPr>
                <w:rFonts w:ascii="Arial Narrow" w:hAnsi="Arial Narrow" w:cs="Calibri"/>
                <w:b/>
                <w:bCs/>
                <w:sz w:val="16"/>
                <w:szCs w:val="16"/>
              </w:rPr>
            </w:pPr>
            <w:r w:rsidRPr="00D56BD4">
              <w:rPr>
                <w:rFonts w:ascii="Arial Narrow" w:hAnsi="Arial Narrow" w:cs="Calibri"/>
                <w:b/>
                <w:bCs/>
                <w:sz w:val="16"/>
                <w:szCs w:val="16"/>
              </w:rPr>
              <w:t>Нетен опериращ излишък / Нетен смесен доход (22 - 23 + 25)</w:t>
            </w:r>
          </w:p>
        </w:tc>
        <w:tc>
          <w:tcPr>
            <w:tcW w:w="1185" w:type="dxa"/>
            <w:tcBorders>
              <w:top w:val="nil"/>
              <w:left w:val="nil"/>
              <w:bottom w:val="single" w:sz="4" w:space="0" w:color="auto"/>
              <w:right w:val="single" w:sz="4" w:space="0" w:color="auto"/>
            </w:tcBorders>
            <w:shd w:val="clear" w:color="auto" w:fill="auto"/>
            <w:vAlign w:val="center"/>
            <w:hideMark/>
          </w:tcPr>
          <w:p w14:paraId="2B8CEF9A" w14:textId="77777777" w:rsidR="008F7A9E" w:rsidRPr="008F7A9E" w:rsidRDefault="008F7A9E" w:rsidP="008F7A9E">
            <w:pPr>
              <w:jc w:val="right"/>
              <w:rPr>
                <w:rFonts w:ascii="Arial Narrow" w:hAnsi="Arial Narrow" w:cs="Calibri"/>
                <w:b/>
                <w:bCs/>
                <w:sz w:val="16"/>
                <w:szCs w:val="16"/>
              </w:rPr>
            </w:pPr>
            <w:r w:rsidRPr="008F7A9E">
              <w:rPr>
                <w:rFonts w:ascii="Arial Narrow" w:hAnsi="Arial Narrow" w:cs="Calibri"/>
                <w:b/>
                <w:bCs/>
                <w:sz w:val="16"/>
                <w:szCs w:val="16"/>
              </w:rPr>
              <w:t>5 790,4</w:t>
            </w:r>
          </w:p>
        </w:tc>
        <w:tc>
          <w:tcPr>
            <w:tcW w:w="1028" w:type="dxa"/>
            <w:tcBorders>
              <w:top w:val="nil"/>
              <w:left w:val="nil"/>
              <w:bottom w:val="single" w:sz="4" w:space="0" w:color="auto"/>
              <w:right w:val="single" w:sz="4" w:space="0" w:color="auto"/>
            </w:tcBorders>
            <w:shd w:val="clear" w:color="auto" w:fill="auto"/>
            <w:vAlign w:val="center"/>
            <w:hideMark/>
          </w:tcPr>
          <w:p w14:paraId="58D0AAAE" w14:textId="77777777" w:rsidR="008F7A9E" w:rsidRPr="008F7A9E" w:rsidRDefault="008F7A9E" w:rsidP="008F7A9E">
            <w:pPr>
              <w:jc w:val="right"/>
              <w:rPr>
                <w:rFonts w:ascii="Arial Narrow" w:hAnsi="Arial Narrow" w:cs="Calibri"/>
                <w:b/>
                <w:bCs/>
                <w:sz w:val="16"/>
                <w:szCs w:val="16"/>
              </w:rPr>
            </w:pPr>
            <w:r w:rsidRPr="008F7A9E">
              <w:rPr>
                <w:rFonts w:ascii="Arial Narrow" w:hAnsi="Arial Narrow" w:cs="Calibri"/>
                <w:b/>
                <w:bCs/>
                <w:sz w:val="16"/>
                <w:szCs w:val="16"/>
              </w:rPr>
              <w:t>-37,6</w:t>
            </w:r>
          </w:p>
        </w:tc>
        <w:tc>
          <w:tcPr>
            <w:tcW w:w="1217" w:type="dxa"/>
            <w:tcBorders>
              <w:top w:val="nil"/>
              <w:left w:val="nil"/>
              <w:bottom w:val="single" w:sz="4" w:space="0" w:color="auto"/>
              <w:right w:val="single" w:sz="4" w:space="0" w:color="auto"/>
            </w:tcBorders>
            <w:shd w:val="clear" w:color="auto" w:fill="auto"/>
            <w:vAlign w:val="center"/>
            <w:hideMark/>
          </w:tcPr>
          <w:p w14:paraId="5830B6D7" w14:textId="77777777" w:rsidR="008F7A9E" w:rsidRPr="008F7A9E" w:rsidRDefault="008F7A9E" w:rsidP="008F7A9E">
            <w:pPr>
              <w:jc w:val="right"/>
              <w:rPr>
                <w:rFonts w:ascii="Arial Narrow" w:hAnsi="Arial Narrow" w:cs="Calibri"/>
                <w:b/>
                <w:bCs/>
                <w:sz w:val="16"/>
                <w:szCs w:val="16"/>
              </w:rPr>
            </w:pPr>
            <w:r w:rsidRPr="008F7A9E">
              <w:rPr>
                <w:rFonts w:ascii="Arial Narrow" w:hAnsi="Arial Narrow" w:cs="Calibri"/>
                <w:b/>
                <w:bCs/>
                <w:sz w:val="16"/>
                <w:szCs w:val="16"/>
              </w:rPr>
              <w:t>3 611,6</w:t>
            </w:r>
          </w:p>
        </w:tc>
        <w:tc>
          <w:tcPr>
            <w:tcW w:w="1075" w:type="dxa"/>
            <w:tcBorders>
              <w:top w:val="nil"/>
              <w:left w:val="nil"/>
              <w:bottom w:val="single" w:sz="4" w:space="0" w:color="auto"/>
              <w:right w:val="single" w:sz="4" w:space="0" w:color="auto"/>
            </w:tcBorders>
            <w:shd w:val="clear" w:color="auto" w:fill="auto"/>
            <w:vAlign w:val="center"/>
            <w:hideMark/>
          </w:tcPr>
          <w:p w14:paraId="5FE349F1" w14:textId="77777777" w:rsidR="008F7A9E" w:rsidRPr="008F7A9E" w:rsidRDefault="008F7A9E" w:rsidP="008F7A9E">
            <w:pPr>
              <w:jc w:val="right"/>
              <w:rPr>
                <w:rFonts w:ascii="Arial Narrow" w:hAnsi="Arial Narrow" w:cs="Calibri"/>
                <w:b/>
                <w:bCs/>
                <w:sz w:val="16"/>
                <w:szCs w:val="16"/>
              </w:rPr>
            </w:pPr>
            <w:r w:rsidRPr="008F7A9E">
              <w:rPr>
                <w:rFonts w:ascii="Arial Narrow" w:hAnsi="Arial Narrow" w:cs="Calibri"/>
                <w:b/>
                <w:bCs/>
                <w:sz w:val="16"/>
                <w:szCs w:val="16"/>
              </w:rPr>
              <w:t>-6,1</w:t>
            </w:r>
          </w:p>
        </w:tc>
        <w:tc>
          <w:tcPr>
            <w:tcW w:w="1233" w:type="dxa"/>
            <w:tcBorders>
              <w:top w:val="nil"/>
              <w:left w:val="nil"/>
              <w:bottom w:val="single" w:sz="4" w:space="0" w:color="auto"/>
              <w:right w:val="single" w:sz="4" w:space="0" w:color="auto"/>
            </w:tcBorders>
            <w:shd w:val="clear" w:color="auto" w:fill="auto"/>
            <w:vAlign w:val="center"/>
            <w:hideMark/>
          </w:tcPr>
          <w:p w14:paraId="2D989BB6" w14:textId="77777777" w:rsidR="008F7A9E" w:rsidRPr="008F7A9E" w:rsidRDefault="008F7A9E" w:rsidP="008F7A9E">
            <w:pPr>
              <w:jc w:val="right"/>
              <w:rPr>
                <w:rFonts w:ascii="Arial Narrow" w:hAnsi="Arial Narrow" w:cs="Calibri"/>
                <w:b/>
                <w:bCs/>
                <w:sz w:val="16"/>
                <w:szCs w:val="16"/>
              </w:rPr>
            </w:pPr>
            <w:r w:rsidRPr="008F7A9E">
              <w:rPr>
                <w:rFonts w:ascii="Arial Narrow" w:hAnsi="Arial Narrow" w:cs="Calibri"/>
                <w:b/>
                <w:bCs/>
                <w:sz w:val="16"/>
                <w:szCs w:val="16"/>
              </w:rPr>
              <w:t>3 389,6</w:t>
            </w:r>
          </w:p>
        </w:tc>
      </w:tr>
      <w:tr w:rsidR="008F7A9E" w:rsidRPr="00B10684" w14:paraId="763F2797" w14:textId="77777777" w:rsidTr="005A18A5">
        <w:trPr>
          <w:trHeight w:val="251"/>
        </w:trPr>
        <w:tc>
          <w:tcPr>
            <w:tcW w:w="748" w:type="dxa"/>
            <w:tcBorders>
              <w:top w:val="nil"/>
              <w:left w:val="single" w:sz="4" w:space="0" w:color="auto"/>
              <w:bottom w:val="single" w:sz="4" w:space="0" w:color="auto"/>
              <w:right w:val="single" w:sz="4" w:space="0" w:color="auto"/>
            </w:tcBorders>
            <w:shd w:val="clear" w:color="auto" w:fill="auto"/>
            <w:vAlign w:val="center"/>
            <w:hideMark/>
          </w:tcPr>
          <w:p w14:paraId="07F8F1B1" w14:textId="77777777" w:rsidR="008F7A9E" w:rsidRPr="008F7A9E" w:rsidRDefault="008F7A9E" w:rsidP="008F7A9E">
            <w:pPr>
              <w:rPr>
                <w:rFonts w:ascii="Arial Narrow" w:hAnsi="Arial Narrow" w:cs="Calibri"/>
                <w:sz w:val="16"/>
                <w:szCs w:val="16"/>
              </w:rPr>
            </w:pPr>
            <w:r w:rsidRPr="008F7A9E">
              <w:rPr>
                <w:rFonts w:ascii="Arial Narrow" w:hAnsi="Arial Narrow" w:cs="Calibri"/>
                <w:sz w:val="16"/>
                <w:szCs w:val="16"/>
              </w:rPr>
              <w:t>28</w:t>
            </w:r>
          </w:p>
        </w:tc>
        <w:tc>
          <w:tcPr>
            <w:tcW w:w="4419" w:type="dxa"/>
            <w:tcBorders>
              <w:top w:val="nil"/>
              <w:left w:val="nil"/>
              <w:bottom w:val="single" w:sz="4" w:space="0" w:color="auto"/>
              <w:right w:val="single" w:sz="4" w:space="0" w:color="auto"/>
            </w:tcBorders>
            <w:shd w:val="clear" w:color="auto" w:fill="auto"/>
            <w:vAlign w:val="center"/>
            <w:hideMark/>
          </w:tcPr>
          <w:p w14:paraId="745CBE4F" w14:textId="77777777" w:rsidR="008F7A9E" w:rsidRPr="008F7A9E" w:rsidRDefault="008F7A9E" w:rsidP="008F7A9E">
            <w:pPr>
              <w:rPr>
                <w:rFonts w:ascii="Arial Narrow" w:hAnsi="Arial Narrow" w:cs="Calibri"/>
                <w:sz w:val="16"/>
                <w:szCs w:val="16"/>
              </w:rPr>
            </w:pPr>
            <w:r w:rsidRPr="008F7A9E">
              <w:rPr>
                <w:rFonts w:ascii="Arial Narrow" w:hAnsi="Arial Narrow" w:cs="Calibri"/>
                <w:sz w:val="16"/>
                <w:szCs w:val="16"/>
              </w:rPr>
              <w:t>Аренда</w:t>
            </w:r>
          </w:p>
        </w:tc>
        <w:tc>
          <w:tcPr>
            <w:tcW w:w="1185" w:type="dxa"/>
            <w:tcBorders>
              <w:top w:val="nil"/>
              <w:left w:val="nil"/>
              <w:bottom w:val="single" w:sz="4" w:space="0" w:color="auto"/>
              <w:right w:val="single" w:sz="4" w:space="0" w:color="auto"/>
            </w:tcBorders>
            <w:shd w:val="clear" w:color="auto" w:fill="auto"/>
            <w:vAlign w:val="center"/>
            <w:hideMark/>
          </w:tcPr>
          <w:p w14:paraId="24FDC095" w14:textId="77777777" w:rsidR="008F7A9E" w:rsidRPr="008F7A9E" w:rsidRDefault="008F7A9E" w:rsidP="008F7A9E">
            <w:pPr>
              <w:jc w:val="right"/>
              <w:rPr>
                <w:rFonts w:ascii="Arial Narrow" w:hAnsi="Arial Narrow" w:cs="Calibri"/>
                <w:sz w:val="16"/>
                <w:szCs w:val="16"/>
              </w:rPr>
            </w:pPr>
            <w:r w:rsidRPr="008F7A9E">
              <w:rPr>
                <w:rFonts w:ascii="Arial Narrow" w:hAnsi="Arial Narrow" w:cs="Calibri"/>
                <w:sz w:val="16"/>
                <w:szCs w:val="16"/>
              </w:rPr>
              <w:t>2 490,7</w:t>
            </w:r>
          </w:p>
        </w:tc>
        <w:tc>
          <w:tcPr>
            <w:tcW w:w="1028" w:type="dxa"/>
            <w:tcBorders>
              <w:top w:val="nil"/>
              <w:left w:val="nil"/>
              <w:bottom w:val="single" w:sz="4" w:space="0" w:color="auto"/>
              <w:right w:val="single" w:sz="4" w:space="0" w:color="auto"/>
            </w:tcBorders>
            <w:shd w:val="clear" w:color="auto" w:fill="auto"/>
            <w:vAlign w:val="center"/>
            <w:hideMark/>
          </w:tcPr>
          <w:p w14:paraId="35D1CC8D" w14:textId="77777777" w:rsidR="008F7A9E" w:rsidRPr="008F7A9E" w:rsidRDefault="008F7A9E" w:rsidP="008F7A9E">
            <w:pPr>
              <w:jc w:val="right"/>
              <w:rPr>
                <w:rFonts w:ascii="Arial Narrow" w:hAnsi="Arial Narrow" w:cs="Calibri"/>
                <w:sz w:val="16"/>
                <w:szCs w:val="16"/>
              </w:rPr>
            </w:pPr>
            <w:r w:rsidRPr="008F7A9E">
              <w:rPr>
                <w:rFonts w:ascii="Arial Narrow" w:hAnsi="Arial Narrow" w:cs="Calibri"/>
                <w:sz w:val="16"/>
                <w:szCs w:val="16"/>
              </w:rPr>
              <w:t>1,7</w:t>
            </w:r>
          </w:p>
        </w:tc>
        <w:tc>
          <w:tcPr>
            <w:tcW w:w="1217" w:type="dxa"/>
            <w:tcBorders>
              <w:top w:val="nil"/>
              <w:left w:val="nil"/>
              <w:bottom w:val="single" w:sz="4" w:space="0" w:color="auto"/>
              <w:right w:val="single" w:sz="4" w:space="0" w:color="auto"/>
            </w:tcBorders>
            <w:shd w:val="clear" w:color="auto" w:fill="auto"/>
            <w:vAlign w:val="center"/>
            <w:hideMark/>
          </w:tcPr>
          <w:p w14:paraId="4CA10E72" w14:textId="77777777" w:rsidR="008F7A9E" w:rsidRPr="008F7A9E" w:rsidRDefault="008F7A9E" w:rsidP="008F7A9E">
            <w:pPr>
              <w:jc w:val="right"/>
              <w:rPr>
                <w:rFonts w:ascii="Arial Narrow" w:hAnsi="Arial Narrow" w:cs="Calibri"/>
                <w:sz w:val="16"/>
                <w:szCs w:val="16"/>
              </w:rPr>
            </w:pPr>
            <w:r w:rsidRPr="008F7A9E">
              <w:rPr>
                <w:rFonts w:ascii="Arial Narrow" w:hAnsi="Arial Narrow" w:cs="Calibri"/>
                <w:sz w:val="16"/>
                <w:szCs w:val="16"/>
              </w:rPr>
              <w:t>2 532,2</w:t>
            </w:r>
          </w:p>
        </w:tc>
        <w:tc>
          <w:tcPr>
            <w:tcW w:w="1075" w:type="dxa"/>
            <w:tcBorders>
              <w:top w:val="nil"/>
              <w:left w:val="nil"/>
              <w:bottom w:val="single" w:sz="4" w:space="0" w:color="auto"/>
              <w:right w:val="single" w:sz="4" w:space="0" w:color="auto"/>
            </w:tcBorders>
            <w:shd w:val="clear" w:color="auto" w:fill="auto"/>
            <w:vAlign w:val="center"/>
            <w:hideMark/>
          </w:tcPr>
          <w:p w14:paraId="59B4015B" w14:textId="77777777" w:rsidR="008F7A9E" w:rsidRPr="008F7A9E" w:rsidRDefault="008F7A9E" w:rsidP="008F7A9E">
            <w:pPr>
              <w:jc w:val="right"/>
              <w:rPr>
                <w:rFonts w:ascii="Arial Narrow" w:hAnsi="Arial Narrow" w:cs="Calibri"/>
                <w:sz w:val="16"/>
                <w:szCs w:val="16"/>
              </w:rPr>
            </w:pPr>
            <w:r w:rsidRPr="008F7A9E">
              <w:rPr>
                <w:rFonts w:ascii="Arial Narrow" w:hAnsi="Arial Narrow" w:cs="Calibri"/>
                <w:sz w:val="16"/>
                <w:szCs w:val="16"/>
              </w:rPr>
              <w:t>-8,7</w:t>
            </w:r>
          </w:p>
        </w:tc>
        <w:tc>
          <w:tcPr>
            <w:tcW w:w="1233" w:type="dxa"/>
            <w:tcBorders>
              <w:top w:val="nil"/>
              <w:left w:val="nil"/>
              <w:bottom w:val="single" w:sz="4" w:space="0" w:color="auto"/>
              <w:right w:val="single" w:sz="4" w:space="0" w:color="auto"/>
            </w:tcBorders>
            <w:shd w:val="clear" w:color="auto" w:fill="auto"/>
            <w:vAlign w:val="center"/>
            <w:hideMark/>
          </w:tcPr>
          <w:p w14:paraId="69A4E702" w14:textId="77777777" w:rsidR="008F7A9E" w:rsidRPr="008F7A9E" w:rsidRDefault="008F7A9E" w:rsidP="008F7A9E">
            <w:pPr>
              <w:jc w:val="right"/>
              <w:rPr>
                <w:rFonts w:ascii="Arial Narrow" w:hAnsi="Arial Narrow" w:cs="Calibri"/>
                <w:sz w:val="16"/>
                <w:szCs w:val="16"/>
              </w:rPr>
            </w:pPr>
            <w:r w:rsidRPr="008F7A9E">
              <w:rPr>
                <w:rFonts w:ascii="Arial Narrow" w:hAnsi="Arial Narrow" w:cs="Calibri"/>
                <w:sz w:val="16"/>
                <w:szCs w:val="16"/>
              </w:rPr>
              <w:t>2 312,8</w:t>
            </w:r>
          </w:p>
        </w:tc>
      </w:tr>
      <w:tr w:rsidR="008F7A9E" w:rsidRPr="00B10684" w14:paraId="76A4B44D" w14:textId="77777777" w:rsidTr="005A18A5">
        <w:trPr>
          <w:trHeight w:val="251"/>
        </w:trPr>
        <w:tc>
          <w:tcPr>
            <w:tcW w:w="748" w:type="dxa"/>
            <w:tcBorders>
              <w:top w:val="nil"/>
              <w:left w:val="single" w:sz="4" w:space="0" w:color="auto"/>
              <w:bottom w:val="single" w:sz="4" w:space="0" w:color="auto"/>
              <w:right w:val="single" w:sz="4" w:space="0" w:color="auto"/>
            </w:tcBorders>
            <w:shd w:val="clear" w:color="auto" w:fill="auto"/>
            <w:vAlign w:val="center"/>
            <w:hideMark/>
          </w:tcPr>
          <w:p w14:paraId="6FDED353" w14:textId="77777777" w:rsidR="008F7A9E" w:rsidRPr="008F7A9E" w:rsidRDefault="008F7A9E" w:rsidP="008F7A9E">
            <w:pPr>
              <w:rPr>
                <w:rFonts w:ascii="Arial Narrow" w:hAnsi="Arial Narrow" w:cs="Calibri"/>
                <w:sz w:val="16"/>
                <w:szCs w:val="16"/>
              </w:rPr>
            </w:pPr>
            <w:r w:rsidRPr="008F7A9E">
              <w:rPr>
                <w:rFonts w:ascii="Arial Narrow" w:hAnsi="Arial Narrow" w:cs="Calibri"/>
                <w:sz w:val="16"/>
                <w:szCs w:val="16"/>
              </w:rPr>
              <w:t>29</w:t>
            </w:r>
          </w:p>
        </w:tc>
        <w:tc>
          <w:tcPr>
            <w:tcW w:w="4419" w:type="dxa"/>
            <w:tcBorders>
              <w:top w:val="nil"/>
              <w:left w:val="nil"/>
              <w:bottom w:val="single" w:sz="4" w:space="0" w:color="auto"/>
              <w:right w:val="single" w:sz="4" w:space="0" w:color="auto"/>
            </w:tcBorders>
            <w:shd w:val="clear" w:color="auto" w:fill="auto"/>
            <w:vAlign w:val="center"/>
            <w:hideMark/>
          </w:tcPr>
          <w:p w14:paraId="525E0093" w14:textId="77777777" w:rsidR="008F7A9E" w:rsidRPr="008F7A9E" w:rsidRDefault="008F7A9E" w:rsidP="008F7A9E">
            <w:pPr>
              <w:rPr>
                <w:rFonts w:ascii="Arial Narrow" w:hAnsi="Arial Narrow" w:cs="Calibri"/>
                <w:sz w:val="16"/>
                <w:szCs w:val="16"/>
              </w:rPr>
            </w:pPr>
            <w:r w:rsidRPr="008F7A9E">
              <w:rPr>
                <w:rFonts w:ascii="Arial Narrow" w:hAnsi="Arial Narrow" w:cs="Calibri"/>
                <w:sz w:val="16"/>
                <w:szCs w:val="16"/>
              </w:rPr>
              <w:t>Платени лихви</w:t>
            </w:r>
          </w:p>
        </w:tc>
        <w:tc>
          <w:tcPr>
            <w:tcW w:w="1185" w:type="dxa"/>
            <w:tcBorders>
              <w:top w:val="nil"/>
              <w:left w:val="nil"/>
              <w:bottom w:val="single" w:sz="4" w:space="0" w:color="auto"/>
              <w:right w:val="single" w:sz="4" w:space="0" w:color="auto"/>
            </w:tcBorders>
            <w:shd w:val="clear" w:color="auto" w:fill="auto"/>
            <w:vAlign w:val="center"/>
            <w:hideMark/>
          </w:tcPr>
          <w:p w14:paraId="7B48F71E" w14:textId="77777777" w:rsidR="008F7A9E" w:rsidRPr="008F7A9E" w:rsidRDefault="008F7A9E" w:rsidP="008F7A9E">
            <w:pPr>
              <w:jc w:val="right"/>
              <w:rPr>
                <w:rFonts w:ascii="Arial Narrow" w:hAnsi="Arial Narrow" w:cs="Calibri"/>
                <w:sz w:val="16"/>
                <w:szCs w:val="16"/>
              </w:rPr>
            </w:pPr>
            <w:r w:rsidRPr="008F7A9E">
              <w:rPr>
                <w:rFonts w:ascii="Arial Narrow" w:hAnsi="Arial Narrow" w:cs="Calibri"/>
                <w:sz w:val="16"/>
                <w:szCs w:val="16"/>
              </w:rPr>
              <w:t>103,0</w:t>
            </w:r>
          </w:p>
        </w:tc>
        <w:tc>
          <w:tcPr>
            <w:tcW w:w="1028" w:type="dxa"/>
            <w:tcBorders>
              <w:top w:val="nil"/>
              <w:left w:val="nil"/>
              <w:bottom w:val="single" w:sz="4" w:space="0" w:color="auto"/>
              <w:right w:val="single" w:sz="4" w:space="0" w:color="auto"/>
            </w:tcBorders>
            <w:shd w:val="clear" w:color="auto" w:fill="auto"/>
            <w:vAlign w:val="center"/>
            <w:hideMark/>
          </w:tcPr>
          <w:p w14:paraId="393D336F" w14:textId="77777777" w:rsidR="008F7A9E" w:rsidRPr="008F7A9E" w:rsidRDefault="008F7A9E" w:rsidP="008F7A9E">
            <w:pPr>
              <w:jc w:val="right"/>
              <w:rPr>
                <w:rFonts w:ascii="Arial Narrow" w:hAnsi="Arial Narrow" w:cs="Calibri"/>
                <w:sz w:val="16"/>
                <w:szCs w:val="16"/>
              </w:rPr>
            </w:pPr>
            <w:r w:rsidRPr="008F7A9E">
              <w:rPr>
                <w:rFonts w:ascii="Arial Narrow" w:hAnsi="Arial Narrow" w:cs="Calibri"/>
                <w:sz w:val="16"/>
                <w:szCs w:val="16"/>
              </w:rPr>
              <w:t>81,9</w:t>
            </w:r>
          </w:p>
        </w:tc>
        <w:tc>
          <w:tcPr>
            <w:tcW w:w="1217" w:type="dxa"/>
            <w:tcBorders>
              <w:top w:val="nil"/>
              <w:left w:val="nil"/>
              <w:bottom w:val="single" w:sz="4" w:space="0" w:color="auto"/>
              <w:right w:val="single" w:sz="4" w:space="0" w:color="auto"/>
            </w:tcBorders>
            <w:shd w:val="clear" w:color="auto" w:fill="auto"/>
            <w:vAlign w:val="center"/>
            <w:hideMark/>
          </w:tcPr>
          <w:p w14:paraId="7BEAF4C6" w14:textId="77777777" w:rsidR="008F7A9E" w:rsidRPr="008F7A9E" w:rsidRDefault="008F7A9E" w:rsidP="008F7A9E">
            <w:pPr>
              <w:jc w:val="right"/>
              <w:rPr>
                <w:rFonts w:ascii="Arial Narrow" w:hAnsi="Arial Narrow" w:cs="Calibri"/>
                <w:sz w:val="16"/>
                <w:szCs w:val="16"/>
              </w:rPr>
            </w:pPr>
            <w:r w:rsidRPr="008F7A9E">
              <w:rPr>
                <w:rFonts w:ascii="Arial Narrow" w:hAnsi="Arial Narrow" w:cs="Calibri"/>
                <w:sz w:val="16"/>
                <w:szCs w:val="16"/>
              </w:rPr>
              <w:t>187,4</w:t>
            </w:r>
          </w:p>
        </w:tc>
        <w:tc>
          <w:tcPr>
            <w:tcW w:w="1075" w:type="dxa"/>
            <w:tcBorders>
              <w:top w:val="nil"/>
              <w:left w:val="nil"/>
              <w:bottom w:val="single" w:sz="4" w:space="0" w:color="auto"/>
              <w:right w:val="single" w:sz="4" w:space="0" w:color="auto"/>
            </w:tcBorders>
            <w:shd w:val="clear" w:color="auto" w:fill="auto"/>
            <w:vAlign w:val="center"/>
            <w:hideMark/>
          </w:tcPr>
          <w:p w14:paraId="7FBD4CC2" w14:textId="77777777" w:rsidR="008F7A9E" w:rsidRPr="008F7A9E" w:rsidRDefault="008F7A9E" w:rsidP="008F7A9E">
            <w:pPr>
              <w:jc w:val="right"/>
              <w:rPr>
                <w:rFonts w:ascii="Arial Narrow" w:hAnsi="Arial Narrow" w:cs="Calibri"/>
                <w:sz w:val="16"/>
                <w:szCs w:val="16"/>
              </w:rPr>
            </w:pPr>
            <w:r w:rsidRPr="008F7A9E">
              <w:rPr>
                <w:rFonts w:ascii="Arial Narrow" w:hAnsi="Arial Narrow" w:cs="Calibri"/>
                <w:sz w:val="16"/>
                <w:szCs w:val="16"/>
              </w:rPr>
              <w:t>-0,1</w:t>
            </w:r>
          </w:p>
        </w:tc>
        <w:tc>
          <w:tcPr>
            <w:tcW w:w="1233" w:type="dxa"/>
            <w:tcBorders>
              <w:top w:val="nil"/>
              <w:left w:val="nil"/>
              <w:bottom w:val="single" w:sz="4" w:space="0" w:color="auto"/>
              <w:right w:val="single" w:sz="4" w:space="0" w:color="auto"/>
            </w:tcBorders>
            <w:shd w:val="clear" w:color="auto" w:fill="auto"/>
            <w:vAlign w:val="center"/>
            <w:hideMark/>
          </w:tcPr>
          <w:p w14:paraId="1C369FFF" w14:textId="77777777" w:rsidR="008F7A9E" w:rsidRPr="008F7A9E" w:rsidRDefault="008F7A9E" w:rsidP="008F7A9E">
            <w:pPr>
              <w:jc w:val="right"/>
              <w:rPr>
                <w:rFonts w:ascii="Arial Narrow" w:hAnsi="Arial Narrow" w:cs="Calibri"/>
                <w:sz w:val="16"/>
                <w:szCs w:val="16"/>
              </w:rPr>
            </w:pPr>
            <w:r w:rsidRPr="008F7A9E">
              <w:rPr>
                <w:rFonts w:ascii="Arial Narrow" w:hAnsi="Arial Narrow" w:cs="Calibri"/>
                <w:sz w:val="16"/>
                <w:szCs w:val="16"/>
              </w:rPr>
              <w:t>187,2</w:t>
            </w:r>
          </w:p>
        </w:tc>
      </w:tr>
      <w:tr w:rsidR="008F7A9E" w:rsidRPr="00B10684" w14:paraId="4A7894C7" w14:textId="77777777" w:rsidTr="005A18A5">
        <w:trPr>
          <w:trHeight w:val="251"/>
        </w:trPr>
        <w:tc>
          <w:tcPr>
            <w:tcW w:w="748" w:type="dxa"/>
            <w:tcBorders>
              <w:top w:val="nil"/>
              <w:left w:val="single" w:sz="4" w:space="0" w:color="auto"/>
              <w:bottom w:val="single" w:sz="4" w:space="0" w:color="auto"/>
              <w:right w:val="single" w:sz="4" w:space="0" w:color="auto"/>
            </w:tcBorders>
            <w:shd w:val="clear" w:color="auto" w:fill="auto"/>
            <w:vAlign w:val="center"/>
            <w:hideMark/>
          </w:tcPr>
          <w:p w14:paraId="27A5F6CB" w14:textId="77777777" w:rsidR="008F7A9E" w:rsidRPr="008F7A9E" w:rsidRDefault="008F7A9E" w:rsidP="008F7A9E">
            <w:pPr>
              <w:rPr>
                <w:rFonts w:ascii="Arial Narrow" w:hAnsi="Arial Narrow" w:cs="Calibri"/>
                <w:sz w:val="16"/>
                <w:szCs w:val="16"/>
              </w:rPr>
            </w:pPr>
            <w:r w:rsidRPr="008F7A9E">
              <w:rPr>
                <w:rFonts w:ascii="Arial Narrow" w:hAnsi="Arial Narrow" w:cs="Calibri"/>
                <w:sz w:val="16"/>
                <w:szCs w:val="16"/>
              </w:rPr>
              <w:t>30</w:t>
            </w:r>
          </w:p>
        </w:tc>
        <w:tc>
          <w:tcPr>
            <w:tcW w:w="4419" w:type="dxa"/>
            <w:tcBorders>
              <w:top w:val="nil"/>
              <w:left w:val="nil"/>
              <w:bottom w:val="single" w:sz="4" w:space="0" w:color="auto"/>
              <w:right w:val="single" w:sz="4" w:space="0" w:color="auto"/>
            </w:tcBorders>
            <w:shd w:val="clear" w:color="auto" w:fill="auto"/>
            <w:vAlign w:val="center"/>
            <w:hideMark/>
          </w:tcPr>
          <w:p w14:paraId="24F9974D" w14:textId="77777777" w:rsidR="008F7A9E" w:rsidRPr="008F7A9E" w:rsidRDefault="008F7A9E" w:rsidP="008F7A9E">
            <w:pPr>
              <w:rPr>
                <w:rFonts w:ascii="Arial Narrow" w:hAnsi="Arial Narrow" w:cs="Calibri"/>
                <w:sz w:val="16"/>
                <w:szCs w:val="16"/>
              </w:rPr>
            </w:pPr>
            <w:r w:rsidRPr="008F7A9E">
              <w:rPr>
                <w:rFonts w:ascii="Arial Narrow" w:hAnsi="Arial Narrow" w:cs="Calibri"/>
                <w:sz w:val="16"/>
                <w:szCs w:val="16"/>
              </w:rPr>
              <w:t>Получени лихви</w:t>
            </w:r>
          </w:p>
        </w:tc>
        <w:tc>
          <w:tcPr>
            <w:tcW w:w="1185" w:type="dxa"/>
            <w:tcBorders>
              <w:top w:val="nil"/>
              <w:left w:val="nil"/>
              <w:bottom w:val="single" w:sz="4" w:space="0" w:color="auto"/>
              <w:right w:val="single" w:sz="4" w:space="0" w:color="auto"/>
            </w:tcBorders>
            <w:shd w:val="clear" w:color="auto" w:fill="auto"/>
            <w:vAlign w:val="center"/>
            <w:hideMark/>
          </w:tcPr>
          <w:p w14:paraId="162E1860" w14:textId="77777777" w:rsidR="008F7A9E" w:rsidRPr="008F7A9E" w:rsidRDefault="008F7A9E" w:rsidP="008F7A9E">
            <w:pPr>
              <w:jc w:val="right"/>
              <w:rPr>
                <w:rFonts w:ascii="Arial Narrow" w:hAnsi="Arial Narrow" w:cs="Calibri"/>
                <w:sz w:val="16"/>
                <w:szCs w:val="16"/>
              </w:rPr>
            </w:pPr>
            <w:r w:rsidRPr="008F7A9E">
              <w:rPr>
                <w:rFonts w:ascii="Arial Narrow" w:hAnsi="Arial Narrow" w:cs="Calibri"/>
                <w:sz w:val="16"/>
                <w:szCs w:val="16"/>
              </w:rPr>
              <w:t>42,5</w:t>
            </w:r>
          </w:p>
        </w:tc>
        <w:tc>
          <w:tcPr>
            <w:tcW w:w="1028" w:type="dxa"/>
            <w:tcBorders>
              <w:top w:val="nil"/>
              <w:left w:val="nil"/>
              <w:bottom w:val="single" w:sz="4" w:space="0" w:color="auto"/>
              <w:right w:val="single" w:sz="4" w:space="0" w:color="auto"/>
            </w:tcBorders>
            <w:shd w:val="clear" w:color="auto" w:fill="auto"/>
            <w:vAlign w:val="center"/>
            <w:hideMark/>
          </w:tcPr>
          <w:p w14:paraId="0169E595" w14:textId="77777777" w:rsidR="008F7A9E" w:rsidRPr="008F7A9E" w:rsidRDefault="008F7A9E" w:rsidP="008F7A9E">
            <w:pPr>
              <w:jc w:val="right"/>
              <w:rPr>
                <w:rFonts w:ascii="Arial Narrow" w:hAnsi="Arial Narrow" w:cs="Calibri"/>
                <w:sz w:val="16"/>
                <w:szCs w:val="16"/>
              </w:rPr>
            </w:pPr>
            <w:r w:rsidRPr="008F7A9E">
              <w:rPr>
                <w:rFonts w:ascii="Arial Narrow" w:hAnsi="Arial Narrow" w:cs="Calibri"/>
                <w:sz w:val="16"/>
                <w:szCs w:val="16"/>
              </w:rPr>
              <w:t>94,6</w:t>
            </w:r>
          </w:p>
        </w:tc>
        <w:tc>
          <w:tcPr>
            <w:tcW w:w="1217" w:type="dxa"/>
            <w:tcBorders>
              <w:top w:val="nil"/>
              <w:left w:val="nil"/>
              <w:bottom w:val="single" w:sz="4" w:space="0" w:color="auto"/>
              <w:right w:val="single" w:sz="4" w:space="0" w:color="auto"/>
            </w:tcBorders>
            <w:shd w:val="clear" w:color="auto" w:fill="auto"/>
            <w:vAlign w:val="center"/>
            <w:hideMark/>
          </w:tcPr>
          <w:p w14:paraId="56993C46" w14:textId="77777777" w:rsidR="008F7A9E" w:rsidRPr="008F7A9E" w:rsidRDefault="008F7A9E" w:rsidP="008F7A9E">
            <w:pPr>
              <w:jc w:val="right"/>
              <w:rPr>
                <w:rFonts w:ascii="Arial Narrow" w:hAnsi="Arial Narrow" w:cs="Calibri"/>
                <w:sz w:val="16"/>
                <w:szCs w:val="16"/>
              </w:rPr>
            </w:pPr>
            <w:r w:rsidRPr="008F7A9E">
              <w:rPr>
                <w:rFonts w:ascii="Arial Narrow" w:hAnsi="Arial Narrow" w:cs="Calibri"/>
                <w:sz w:val="16"/>
                <w:szCs w:val="16"/>
              </w:rPr>
              <w:t>82,7</w:t>
            </w:r>
          </w:p>
        </w:tc>
        <w:tc>
          <w:tcPr>
            <w:tcW w:w="1075" w:type="dxa"/>
            <w:tcBorders>
              <w:top w:val="nil"/>
              <w:left w:val="nil"/>
              <w:bottom w:val="single" w:sz="4" w:space="0" w:color="auto"/>
              <w:right w:val="single" w:sz="4" w:space="0" w:color="auto"/>
            </w:tcBorders>
            <w:shd w:val="clear" w:color="auto" w:fill="auto"/>
            <w:vAlign w:val="center"/>
            <w:hideMark/>
          </w:tcPr>
          <w:p w14:paraId="4FAA3DA5" w14:textId="77777777" w:rsidR="008F7A9E" w:rsidRPr="008F7A9E" w:rsidRDefault="008F7A9E" w:rsidP="008F7A9E">
            <w:pPr>
              <w:jc w:val="right"/>
              <w:rPr>
                <w:rFonts w:ascii="Arial Narrow" w:hAnsi="Arial Narrow" w:cs="Calibri"/>
                <w:sz w:val="16"/>
                <w:szCs w:val="16"/>
              </w:rPr>
            </w:pPr>
            <w:r w:rsidRPr="008F7A9E">
              <w:rPr>
                <w:rFonts w:ascii="Arial Narrow" w:hAnsi="Arial Narrow" w:cs="Calibri"/>
                <w:sz w:val="16"/>
                <w:szCs w:val="16"/>
              </w:rPr>
              <w:t>5,7</w:t>
            </w:r>
          </w:p>
        </w:tc>
        <w:tc>
          <w:tcPr>
            <w:tcW w:w="1233" w:type="dxa"/>
            <w:tcBorders>
              <w:top w:val="nil"/>
              <w:left w:val="nil"/>
              <w:bottom w:val="single" w:sz="4" w:space="0" w:color="auto"/>
              <w:right w:val="single" w:sz="4" w:space="0" w:color="auto"/>
            </w:tcBorders>
            <w:shd w:val="clear" w:color="auto" w:fill="auto"/>
            <w:vAlign w:val="center"/>
            <w:hideMark/>
          </w:tcPr>
          <w:p w14:paraId="510BBDAE" w14:textId="77777777" w:rsidR="008F7A9E" w:rsidRPr="008F7A9E" w:rsidRDefault="008F7A9E" w:rsidP="008F7A9E">
            <w:pPr>
              <w:jc w:val="right"/>
              <w:rPr>
                <w:rFonts w:ascii="Arial Narrow" w:hAnsi="Arial Narrow" w:cs="Calibri"/>
                <w:sz w:val="16"/>
                <w:szCs w:val="16"/>
              </w:rPr>
            </w:pPr>
            <w:r w:rsidRPr="008F7A9E">
              <w:rPr>
                <w:rFonts w:ascii="Arial Narrow" w:hAnsi="Arial Narrow" w:cs="Calibri"/>
                <w:sz w:val="16"/>
                <w:szCs w:val="16"/>
              </w:rPr>
              <w:t>87,4</w:t>
            </w:r>
          </w:p>
        </w:tc>
      </w:tr>
      <w:tr w:rsidR="008F7A9E" w:rsidRPr="00B10684" w14:paraId="238DA441" w14:textId="77777777" w:rsidTr="005A18A5">
        <w:trPr>
          <w:trHeight w:val="375"/>
        </w:trPr>
        <w:tc>
          <w:tcPr>
            <w:tcW w:w="748" w:type="dxa"/>
            <w:tcBorders>
              <w:top w:val="nil"/>
              <w:left w:val="single" w:sz="4" w:space="0" w:color="auto"/>
              <w:bottom w:val="single" w:sz="4" w:space="0" w:color="auto"/>
              <w:right w:val="single" w:sz="4" w:space="0" w:color="auto"/>
            </w:tcBorders>
            <w:shd w:val="clear" w:color="auto" w:fill="auto"/>
            <w:vAlign w:val="center"/>
            <w:hideMark/>
          </w:tcPr>
          <w:p w14:paraId="0EF06499" w14:textId="77777777" w:rsidR="008F7A9E" w:rsidRPr="008F7A9E" w:rsidRDefault="008F7A9E" w:rsidP="008F7A9E">
            <w:pPr>
              <w:rPr>
                <w:rFonts w:ascii="Arial Narrow" w:hAnsi="Arial Narrow" w:cs="Calibri"/>
                <w:sz w:val="16"/>
                <w:szCs w:val="16"/>
              </w:rPr>
            </w:pPr>
            <w:r w:rsidRPr="008F7A9E">
              <w:rPr>
                <w:rFonts w:ascii="Arial Narrow" w:hAnsi="Arial Narrow" w:cs="Calibri"/>
                <w:sz w:val="16"/>
                <w:szCs w:val="16"/>
              </w:rPr>
              <w:t>31</w:t>
            </w:r>
          </w:p>
        </w:tc>
        <w:tc>
          <w:tcPr>
            <w:tcW w:w="4419" w:type="dxa"/>
            <w:tcBorders>
              <w:top w:val="nil"/>
              <w:left w:val="nil"/>
              <w:bottom w:val="single" w:sz="4" w:space="0" w:color="auto"/>
              <w:right w:val="single" w:sz="4" w:space="0" w:color="auto"/>
            </w:tcBorders>
            <w:shd w:val="clear" w:color="auto" w:fill="auto"/>
            <w:vAlign w:val="center"/>
            <w:hideMark/>
          </w:tcPr>
          <w:p w14:paraId="374FEDF1" w14:textId="77777777" w:rsidR="008F7A9E" w:rsidRPr="008F7A9E" w:rsidRDefault="008F7A9E" w:rsidP="008F7A9E">
            <w:pPr>
              <w:rPr>
                <w:rFonts w:ascii="Arial Narrow" w:hAnsi="Arial Narrow" w:cs="Calibri"/>
                <w:b/>
                <w:bCs/>
                <w:sz w:val="16"/>
                <w:szCs w:val="16"/>
              </w:rPr>
            </w:pPr>
            <w:r w:rsidRPr="008F7A9E">
              <w:rPr>
                <w:rFonts w:ascii="Arial Narrow" w:hAnsi="Arial Narrow" w:cs="Calibri"/>
                <w:b/>
                <w:bCs/>
                <w:sz w:val="16"/>
                <w:szCs w:val="16"/>
              </w:rPr>
              <w:t>Предприемачески доход (27 - 28 - 29 + 30)</w:t>
            </w:r>
          </w:p>
        </w:tc>
        <w:tc>
          <w:tcPr>
            <w:tcW w:w="1185" w:type="dxa"/>
            <w:tcBorders>
              <w:top w:val="nil"/>
              <w:left w:val="nil"/>
              <w:bottom w:val="single" w:sz="4" w:space="0" w:color="auto"/>
              <w:right w:val="single" w:sz="4" w:space="0" w:color="auto"/>
            </w:tcBorders>
            <w:shd w:val="clear" w:color="auto" w:fill="auto"/>
            <w:vAlign w:val="center"/>
            <w:hideMark/>
          </w:tcPr>
          <w:p w14:paraId="1067FE69" w14:textId="77777777" w:rsidR="008F7A9E" w:rsidRPr="008F7A9E" w:rsidRDefault="008F7A9E" w:rsidP="008F7A9E">
            <w:pPr>
              <w:jc w:val="right"/>
              <w:rPr>
                <w:rFonts w:ascii="Arial Narrow" w:hAnsi="Arial Narrow" w:cs="Calibri"/>
                <w:b/>
                <w:bCs/>
                <w:sz w:val="16"/>
                <w:szCs w:val="16"/>
              </w:rPr>
            </w:pPr>
            <w:r w:rsidRPr="008F7A9E">
              <w:rPr>
                <w:rFonts w:ascii="Arial Narrow" w:hAnsi="Arial Narrow" w:cs="Calibri"/>
                <w:b/>
                <w:bCs/>
                <w:sz w:val="16"/>
                <w:szCs w:val="16"/>
              </w:rPr>
              <w:t>3 239,2</w:t>
            </w:r>
          </w:p>
        </w:tc>
        <w:tc>
          <w:tcPr>
            <w:tcW w:w="1028" w:type="dxa"/>
            <w:tcBorders>
              <w:top w:val="nil"/>
              <w:left w:val="nil"/>
              <w:bottom w:val="single" w:sz="4" w:space="0" w:color="auto"/>
              <w:right w:val="single" w:sz="4" w:space="0" w:color="auto"/>
            </w:tcBorders>
            <w:shd w:val="clear" w:color="auto" w:fill="auto"/>
            <w:vAlign w:val="center"/>
            <w:hideMark/>
          </w:tcPr>
          <w:p w14:paraId="0097BD0B" w14:textId="77777777" w:rsidR="008F7A9E" w:rsidRPr="008F7A9E" w:rsidRDefault="008F7A9E" w:rsidP="008F7A9E">
            <w:pPr>
              <w:jc w:val="right"/>
              <w:rPr>
                <w:rFonts w:ascii="Arial Narrow" w:hAnsi="Arial Narrow" w:cs="Calibri"/>
                <w:b/>
                <w:bCs/>
                <w:sz w:val="16"/>
                <w:szCs w:val="16"/>
              </w:rPr>
            </w:pPr>
            <w:r w:rsidRPr="008F7A9E">
              <w:rPr>
                <w:rFonts w:ascii="Arial Narrow" w:hAnsi="Arial Narrow" w:cs="Calibri"/>
                <w:b/>
                <w:bCs/>
                <w:sz w:val="16"/>
                <w:szCs w:val="16"/>
              </w:rPr>
              <w:t>-69,9</w:t>
            </w:r>
          </w:p>
        </w:tc>
        <w:tc>
          <w:tcPr>
            <w:tcW w:w="1217" w:type="dxa"/>
            <w:tcBorders>
              <w:top w:val="nil"/>
              <w:left w:val="nil"/>
              <w:bottom w:val="single" w:sz="4" w:space="0" w:color="auto"/>
              <w:right w:val="single" w:sz="4" w:space="0" w:color="auto"/>
            </w:tcBorders>
            <w:shd w:val="clear" w:color="auto" w:fill="auto"/>
            <w:vAlign w:val="center"/>
            <w:hideMark/>
          </w:tcPr>
          <w:p w14:paraId="583BF9A1" w14:textId="77777777" w:rsidR="008F7A9E" w:rsidRPr="008F7A9E" w:rsidRDefault="008F7A9E" w:rsidP="008F7A9E">
            <w:pPr>
              <w:jc w:val="right"/>
              <w:rPr>
                <w:rFonts w:ascii="Arial Narrow" w:hAnsi="Arial Narrow" w:cs="Calibri"/>
                <w:b/>
                <w:bCs/>
                <w:sz w:val="16"/>
                <w:szCs w:val="16"/>
              </w:rPr>
            </w:pPr>
            <w:r w:rsidRPr="008F7A9E">
              <w:rPr>
                <w:rFonts w:ascii="Arial Narrow" w:hAnsi="Arial Narrow" w:cs="Calibri"/>
                <w:b/>
                <w:bCs/>
                <w:sz w:val="16"/>
                <w:szCs w:val="16"/>
              </w:rPr>
              <w:t>974,7</w:t>
            </w:r>
          </w:p>
        </w:tc>
        <w:tc>
          <w:tcPr>
            <w:tcW w:w="1075" w:type="dxa"/>
            <w:tcBorders>
              <w:top w:val="nil"/>
              <w:left w:val="nil"/>
              <w:bottom w:val="single" w:sz="4" w:space="0" w:color="auto"/>
              <w:right w:val="single" w:sz="4" w:space="0" w:color="auto"/>
            </w:tcBorders>
            <w:shd w:val="clear" w:color="auto" w:fill="auto"/>
            <w:vAlign w:val="center"/>
            <w:hideMark/>
          </w:tcPr>
          <w:p w14:paraId="0FE47CE5" w14:textId="77777777" w:rsidR="008F7A9E" w:rsidRPr="008F7A9E" w:rsidRDefault="008F7A9E" w:rsidP="008F7A9E">
            <w:pPr>
              <w:jc w:val="right"/>
              <w:rPr>
                <w:rFonts w:ascii="Arial Narrow" w:hAnsi="Arial Narrow" w:cs="Calibri"/>
                <w:b/>
                <w:bCs/>
                <w:sz w:val="16"/>
                <w:szCs w:val="16"/>
              </w:rPr>
            </w:pPr>
            <w:r w:rsidRPr="008F7A9E">
              <w:rPr>
                <w:rFonts w:ascii="Arial Narrow" w:hAnsi="Arial Narrow" w:cs="Calibri"/>
                <w:b/>
                <w:bCs/>
                <w:sz w:val="16"/>
                <w:szCs w:val="16"/>
              </w:rPr>
              <w:t>0,2</w:t>
            </w:r>
          </w:p>
        </w:tc>
        <w:tc>
          <w:tcPr>
            <w:tcW w:w="1233" w:type="dxa"/>
            <w:tcBorders>
              <w:top w:val="nil"/>
              <w:left w:val="nil"/>
              <w:bottom w:val="single" w:sz="4" w:space="0" w:color="auto"/>
              <w:right w:val="single" w:sz="4" w:space="0" w:color="auto"/>
            </w:tcBorders>
            <w:shd w:val="clear" w:color="auto" w:fill="auto"/>
            <w:vAlign w:val="center"/>
            <w:hideMark/>
          </w:tcPr>
          <w:p w14:paraId="4B980F3E" w14:textId="77777777" w:rsidR="008F7A9E" w:rsidRPr="008F7A9E" w:rsidRDefault="008F7A9E" w:rsidP="008F7A9E">
            <w:pPr>
              <w:jc w:val="right"/>
              <w:rPr>
                <w:rFonts w:ascii="Arial Narrow" w:hAnsi="Arial Narrow" w:cs="Calibri"/>
                <w:b/>
                <w:bCs/>
                <w:sz w:val="16"/>
                <w:szCs w:val="16"/>
              </w:rPr>
            </w:pPr>
            <w:r w:rsidRPr="008F7A9E">
              <w:rPr>
                <w:rFonts w:ascii="Arial Narrow" w:hAnsi="Arial Narrow" w:cs="Calibri"/>
                <w:b/>
                <w:bCs/>
                <w:sz w:val="16"/>
                <w:szCs w:val="16"/>
              </w:rPr>
              <w:t>977,0</w:t>
            </w:r>
          </w:p>
        </w:tc>
      </w:tr>
    </w:tbl>
    <w:p w14:paraId="0BE30637" w14:textId="77777777" w:rsidR="008F7A9E" w:rsidRPr="004A0B2E" w:rsidRDefault="00012C3E" w:rsidP="00CD44F3">
      <w:pPr>
        <w:jc w:val="both"/>
        <w:rPr>
          <w:rFonts w:ascii="Arial Narrow" w:hAnsi="Arial Narrow"/>
          <w:sz w:val="16"/>
          <w:szCs w:val="16"/>
          <w:lang w:val="bg-BG"/>
        </w:rPr>
      </w:pPr>
      <w:r w:rsidRPr="00C1041D">
        <w:rPr>
          <w:rFonts w:ascii="Arial Narrow" w:hAnsi="Arial Narrow"/>
          <w:i/>
          <w:sz w:val="18"/>
          <w:szCs w:val="18"/>
          <w:lang w:val="bg-BG"/>
        </w:rPr>
        <w:t xml:space="preserve">Източник: </w:t>
      </w:r>
      <w:r w:rsidRPr="00C1041D">
        <w:rPr>
          <w:rFonts w:ascii="Arial Narrow" w:hAnsi="Arial Narrow"/>
          <w:sz w:val="18"/>
          <w:szCs w:val="18"/>
          <w:lang w:val="bg-BG"/>
        </w:rPr>
        <w:t>НСИ</w:t>
      </w:r>
      <w:r w:rsidRPr="00C1041D">
        <w:rPr>
          <w:rFonts w:ascii="Arial Narrow" w:hAnsi="Arial Narrow"/>
          <w:i/>
          <w:sz w:val="18"/>
          <w:szCs w:val="18"/>
          <w:lang w:val="bg-BG"/>
        </w:rPr>
        <w:tab/>
      </w:r>
      <w:r w:rsidR="008F7A9E" w:rsidRPr="008F7A9E">
        <w:rPr>
          <w:rFonts w:ascii="Arial Narrow" w:hAnsi="Arial Narrow"/>
          <w:sz w:val="16"/>
          <w:szCs w:val="16"/>
          <w:lang w:val="bg-BG"/>
        </w:rPr>
        <w:tab/>
      </w:r>
      <w:r w:rsidR="008F7A9E">
        <w:rPr>
          <w:rFonts w:ascii="Arial Narrow" w:hAnsi="Arial Narrow"/>
          <w:b/>
          <w:color w:val="FF0000"/>
          <w:sz w:val="18"/>
          <w:szCs w:val="18"/>
          <w:lang w:val="bg-BG"/>
        </w:rPr>
        <w:tab/>
      </w:r>
      <w:r w:rsidR="008F7A9E">
        <w:rPr>
          <w:rFonts w:ascii="Arial Narrow" w:hAnsi="Arial Narrow"/>
          <w:b/>
          <w:color w:val="FF0000"/>
          <w:sz w:val="18"/>
          <w:szCs w:val="18"/>
          <w:lang w:val="bg-BG"/>
        </w:rPr>
        <w:tab/>
      </w:r>
      <w:r w:rsidR="008F7A9E">
        <w:rPr>
          <w:rFonts w:ascii="Arial Narrow" w:hAnsi="Arial Narrow"/>
          <w:b/>
          <w:color w:val="FF0000"/>
          <w:sz w:val="18"/>
          <w:szCs w:val="18"/>
          <w:lang w:val="bg-BG"/>
        </w:rPr>
        <w:tab/>
      </w:r>
      <w:r w:rsidR="008F7A9E">
        <w:rPr>
          <w:rFonts w:ascii="Arial Narrow" w:hAnsi="Arial Narrow"/>
          <w:b/>
          <w:color w:val="FF0000"/>
          <w:sz w:val="18"/>
          <w:szCs w:val="18"/>
          <w:lang w:val="bg-BG"/>
        </w:rPr>
        <w:tab/>
      </w:r>
      <w:r w:rsidR="008F7A9E">
        <w:rPr>
          <w:rFonts w:ascii="Arial Narrow" w:hAnsi="Arial Narrow"/>
          <w:b/>
          <w:color w:val="FF0000"/>
          <w:sz w:val="18"/>
          <w:szCs w:val="18"/>
          <w:lang w:val="bg-BG"/>
        </w:rPr>
        <w:tab/>
      </w:r>
    </w:p>
    <w:p w14:paraId="1F723317" w14:textId="77777777" w:rsidR="00012C3E" w:rsidRPr="00B10684" w:rsidRDefault="00012C3E" w:rsidP="00012C3E">
      <w:pPr>
        <w:jc w:val="both"/>
        <w:rPr>
          <w:rFonts w:ascii="Arial Narrow" w:hAnsi="Arial Narrow"/>
          <w:i/>
          <w:color w:val="FF0000"/>
          <w:sz w:val="18"/>
          <w:szCs w:val="18"/>
          <w:lang w:val="bg-BG"/>
        </w:rPr>
        <w:sectPr w:rsidR="00012C3E" w:rsidRPr="00B10684" w:rsidSect="00194313">
          <w:pgSz w:w="12240" w:h="15840"/>
          <w:pgMar w:top="992" w:right="1134" w:bottom="567" w:left="1304" w:header="720" w:footer="720" w:gutter="0"/>
          <w:cols w:space="720"/>
          <w:titlePg/>
          <w:docGrid w:linePitch="360"/>
        </w:sectPr>
      </w:pPr>
      <w:r w:rsidRPr="00B10684">
        <w:rPr>
          <w:rFonts w:ascii="Arial Narrow" w:hAnsi="Arial Narrow"/>
          <w:i/>
          <w:color w:val="FF0000"/>
          <w:sz w:val="18"/>
          <w:szCs w:val="18"/>
          <w:lang w:val="bg-BG"/>
        </w:rPr>
        <w:tab/>
      </w:r>
    </w:p>
    <w:p w14:paraId="7B1EBB4A" w14:textId="77777777" w:rsidR="00012C3E" w:rsidRPr="008F7A9E" w:rsidRDefault="00012C3E" w:rsidP="00012C3E">
      <w:pPr>
        <w:spacing w:after="120"/>
        <w:rPr>
          <w:rFonts w:ascii="Arial Narrow" w:hAnsi="Arial Narrow"/>
          <w:b/>
          <w:sz w:val="18"/>
          <w:szCs w:val="18"/>
          <w:lang w:val="bg-BG"/>
        </w:rPr>
      </w:pPr>
      <w:r w:rsidRPr="008F7A9E">
        <w:rPr>
          <w:rFonts w:ascii="Arial Narrow" w:hAnsi="Arial Narrow"/>
          <w:b/>
          <w:sz w:val="18"/>
          <w:szCs w:val="18"/>
          <w:lang w:val="bg-BG"/>
        </w:rPr>
        <w:lastRenderedPageBreak/>
        <w:t>ПРИЛОЖЕНИЕ 5</w:t>
      </w:r>
      <w:r w:rsidRPr="008F7A9E">
        <w:rPr>
          <w:rFonts w:ascii="Arial Narrow" w:hAnsi="Arial Narrow"/>
          <w:b/>
          <w:sz w:val="18"/>
          <w:szCs w:val="18"/>
          <w:lang w:val="bg-BG"/>
        </w:rPr>
        <w:tab/>
      </w:r>
      <w:r w:rsidRPr="008F7A9E">
        <w:rPr>
          <w:rFonts w:ascii="Arial Narrow" w:hAnsi="Arial Narrow"/>
          <w:b/>
          <w:sz w:val="18"/>
          <w:szCs w:val="18"/>
          <w:lang w:val="bg-BG"/>
        </w:rPr>
        <w:tab/>
      </w:r>
      <w:r w:rsidRPr="008F7A9E">
        <w:rPr>
          <w:rFonts w:ascii="Arial Narrow" w:hAnsi="Arial Narrow"/>
          <w:b/>
          <w:sz w:val="18"/>
          <w:szCs w:val="18"/>
          <w:lang w:val="bg-BG"/>
        </w:rPr>
        <w:tab/>
      </w:r>
      <w:r w:rsidRPr="008F7A9E">
        <w:rPr>
          <w:rFonts w:ascii="Arial Narrow" w:hAnsi="Arial Narrow"/>
          <w:b/>
          <w:sz w:val="18"/>
          <w:szCs w:val="18"/>
          <w:lang w:val="bg-BG"/>
        </w:rPr>
        <w:tab/>
      </w:r>
      <w:r w:rsidRPr="008F7A9E">
        <w:rPr>
          <w:rFonts w:ascii="Arial Narrow" w:hAnsi="Arial Narrow"/>
          <w:b/>
          <w:sz w:val="18"/>
          <w:szCs w:val="18"/>
          <w:lang w:val="bg-BG"/>
        </w:rPr>
        <w:tab/>
      </w:r>
      <w:r w:rsidRPr="008F7A9E">
        <w:rPr>
          <w:rFonts w:ascii="Arial Narrow" w:hAnsi="Arial Narrow"/>
          <w:b/>
          <w:sz w:val="18"/>
          <w:szCs w:val="18"/>
          <w:lang w:val="bg-BG"/>
        </w:rPr>
        <w:tab/>
      </w:r>
      <w:r w:rsidRPr="008F7A9E">
        <w:rPr>
          <w:rFonts w:ascii="Arial Narrow" w:hAnsi="Arial Narrow"/>
          <w:b/>
          <w:sz w:val="18"/>
          <w:szCs w:val="18"/>
          <w:lang w:val="bg-BG"/>
        </w:rPr>
        <w:tab/>
      </w:r>
      <w:r w:rsidRPr="008F7A9E">
        <w:rPr>
          <w:rFonts w:ascii="Arial Narrow" w:hAnsi="Arial Narrow"/>
          <w:b/>
          <w:sz w:val="18"/>
          <w:szCs w:val="18"/>
          <w:lang w:val="bg-BG"/>
        </w:rPr>
        <w:tab/>
      </w:r>
    </w:p>
    <w:p w14:paraId="65040017" w14:textId="77777777" w:rsidR="00012C3E" w:rsidRPr="00B10684" w:rsidRDefault="00012C3E" w:rsidP="00012C3E">
      <w:pPr>
        <w:spacing w:after="120"/>
        <w:ind w:right="312"/>
        <w:jc w:val="both"/>
        <w:rPr>
          <w:rFonts w:ascii="Arial Narrow" w:hAnsi="Arial Narrow"/>
          <w:b/>
          <w:color w:val="FF0000"/>
          <w:sz w:val="18"/>
          <w:szCs w:val="18"/>
          <w:lang w:val="bg-BG"/>
        </w:rPr>
      </w:pPr>
      <w:r w:rsidRPr="008F7A9E">
        <w:rPr>
          <w:rFonts w:ascii="Arial Narrow" w:hAnsi="Arial Narrow"/>
          <w:b/>
          <w:sz w:val="18"/>
          <w:szCs w:val="18"/>
          <w:lang w:val="bg-BG"/>
        </w:rPr>
        <w:t>КРАЙНА ПРОДУКЦИЯ И БРУТНА ДОБАВЕНА СТОЙНОСТ (ПО БАЗИСНИ ЦЕНИ) - 202</w:t>
      </w:r>
      <w:r w:rsidR="008F7A9E" w:rsidRPr="008F7A9E">
        <w:rPr>
          <w:rFonts w:ascii="Arial Narrow" w:hAnsi="Arial Narrow"/>
          <w:b/>
          <w:sz w:val="18"/>
          <w:szCs w:val="18"/>
          <w:lang w:val="bg-BG"/>
        </w:rPr>
        <w:t>3</w:t>
      </w:r>
      <w:r w:rsidRPr="008F7A9E">
        <w:rPr>
          <w:rFonts w:ascii="Arial Narrow" w:hAnsi="Arial Narrow"/>
          <w:b/>
          <w:sz w:val="18"/>
          <w:szCs w:val="18"/>
          <w:lang w:val="bg-BG"/>
        </w:rPr>
        <w:t xml:space="preserve"> – 202</w:t>
      </w:r>
      <w:r w:rsidR="008F7A9E" w:rsidRPr="008F7A9E">
        <w:rPr>
          <w:rFonts w:ascii="Arial Narrow" w:hAnsi="Arial Narrow"/>
          <w:b/>
          <w:sz w:val="18"/>
          <w:szCs w:val="18"/>
          <w:lang w:val="bg-BG"/>
        </w:rPr>
        <w:t>4</w:t>
      </w:r>
      <w:r w:rsidRPr="008F7A9E">
        <w:rPr>
          <w:rFonts w:ascii="Arial Narrow" w:hAnsi="Arial Narrow"/>
          <w:b/>
          <w:sz w:val="18"/>
          <w:szCs w:val="18"/>
          <w:lang w:val="bg-BG"/>
        </w:rPr>
        <w:t xml:space="preserve"> Г. - СТОЙНОСТ И ИНДЕКСИ НА ИЗМЕНЕНИЕ - 202</w:t>
      </w:r>
      <w:r w:rsidR="008F7A9E" w:rsidRPr="008F7A9E">
        <w:rPr>
          <w:rFonts w:ascii="Arial Narrow" w:hAnsi="Arial Narrow"/>
          <w:b/>
          <w:sz w:val="18"/>
          <w:szCs w:val="18"/>
          <w:lang w:val="bg-BG"/>
        </w:rPr>
        <w:t>4</w:t>
      </w:r>
      <w:r w:rsidRPr="008F7A9E">
        <w:rPr>
          <w:rFonts w:ascii="Arial Narrow" w:hAnsi="Arial Narrow"/>
          <w:b/>
          <w:sz w:val="18"/>
          <w:szCs w:val="18"/>
          <w:lang w:val="bg-BG"/>
        </w:rPr>
        <w:t xml:space="preserve"> СПРЯМО 202</w:t>
      </w:r>
      <w:r w:rsidR="008F7A9E" w:rsidRPr="008F7A9E">
        <w:rPr>
          <w:rFonts w:ascii="Arial Narrow" w:hAnsi="Arial Narrow"/>
          <w:b/>
          <w:sz w:val="18"/>
          <w:szCs w:val="18"/>
          <w:lang w:val="bg-BG"/>
        </w:rPr>
        <w:t>3</w:t>
      </w:r>
      <w:r w:rsidRPr="008F7A9E">
        <w:rPr>
          <w:rFonts w:ascii="Arial Narrow" w:hAnsi="Arial Narrow"/>
          <w:b/>
          <w:sz w:val="18"/>
          <w:szCs w:val="18"/>
          <w:lang w:val="bg-BG"/>
        </w:rPr>
        <w:t xml:space="preserve"> Г.</w:t>
      </w:r>
      <w:r w:rsidRPr="00B10684">
        <w:rPr>
          <w:rFonts w:ascii="Arial Narrow" w:hAnsi="Arial Narrow"/>
          <w:b/>
          <w:color w:val="FF0000"/>
          <w:sz w:val="18"/>
          <w:szCs w:val="18"/>
          <w:lang w:val="bg-BG"/>
        </w:rPr>
        <w:tab/>
      </w:r>
    </w:p>
    <w:tbl>
      <w:tblPr>
        <w:tblW w:w="11163" w:type="dxa"/>
        <w:tblInd w:w="-459" w:type="dxa"/>
        <w:tblLook w:val="04A0" w:firstRow="1" w:lastRow="0" w:firstColumn="1" w:lastColumn="0" w:noHBand="0" w:noVBand="1"/>
      </w:tblPr>
      <w:tblGrid>
        <w:gridCol w:w="781"/>
        <w:gridCol w:w="3016"/>
        <w:gridCol w:w="1180"/>
        <w:gridCol w:w="1170"/>
        <w:gridCol w:w="1300"/>
        <w:gridCol w:w="1220"/>
        <w:gridCol w:w="1236"/>
        <w:gridCol w:w="1260"/>
      </w:tblGrid>
      <w:tr w:rsidR="0043709B" w:rsidRPr="0043709B" w14:paraId="5E5E311D" w14:textId="77777777" w:rsidTr="005A18A5">
        <w:trPr>
          <w:trHeight w:val="1473"/>
          <w:tblHeader/>
        </w:trPr>
        <w:tc>
          <w:tcPr>
            <w:tcW w:w="78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5845615" w14:textId="77777777" w:rsidR="00012C3E" w:rsidRPr="0043709B" w:rsidRDefault="00012C3E" w:rsidP="005A18A5">
            <w:pPr>
              <w:jc w:val="center"/>
              <w:rPr>
                <w:rFonts w:ascii="Arial Narrow" w:hAnsi="Arial Narrow" w:cs="Arial"/>
                <w:b/>
                <w:bCs/>
                <w:sz w:val="16"/>
                <w:szCs w:val="16"/>
              </w:rPr>
            </w:pPr>
            <w:r w:rsidRPr="0043709B">
              <w:rPr>
                <w:rFonts w:ascii="Arial Narrow" w:hAnsi="Arial Narrow" w:cs="Arial"/>
                <w:b/>
                <w:bCs/>
                <w:sz w:val="16"/>
                <w:szCs w:val="16"/>
              </w:rPr>
              <w:t>Код</w:t>
            </w:r>
          </w:p>
        </w:tc>
        <w:tc>
          <w:tcPr>
            <w:tcW w:w="3016" w:type="dxa"/>
            <w:tcBorders>
              <w:top w:val="single" w:sz="4" w:space="0" w:color="auto"/>
              <w:left w:val="nil"/>
              <w:bottom w:val="single" w:sz="4" w:space="0" w:color="auto"/>
              <w:right w:val="single" w:sz="4" w:space="0" w:color="auto"/>
            </w:tcBorders>
            <w:shd w:val="clear" w:color="000000" w:fill="FFFFFF"/>
            <w:vAlign w:val="center"/>
            <w:hideMark/>
          </w:tcPr>
          <w:p w14:paraId="20E75AC4" w14:textId="77777777" w:rsidR="00012C3E" w:rsidRPr="0043709B" w:rsidRDefault="00012C3E" w:rsidP="005A18A5">
            <w:pPr>
              <w:jc w:val="center"/>
              <w:rPr>
                <w:rFonts w:ascii="Arial Narrow" w:hAnsi="Arial Narrow" w:cs="Arial"/>
                <w:b/>
                <w:bCs/>
                <w:sz w:val="16"/>
                <w:szCs w:val="16"/>
              </w:rPr>
            </w:pPr>
            <w:r w:rsidRPr="0043709B">
              <w:rPr>
                <w:rFonts w:ascii="Arial Narrow" w:hAnsi="Arial Narrow" w:cs="Arial"/>
                <w:b/>
                <w:bCs/>
                <w:sz w:val="16"/>
                <w:szCs w:val="16"/>
              </w:rPr>
              <w:t>Продукти</w:t>
            </w:r>
          </w:p>
        </w:tc>
        <w:tc>
          <w:tcPr>
            <w:tcW w:w="1180" w:type="dxa"/>
            <w:tcBorders>
              <w:top w:val="single" w:sz="4" w:space="0" w:color="auto"/>
              <w:left w:val="nil"/>
              <w:bottom w:val="single" w:sz="4" w:space="0" w:color="auto"/>
              <w:right w:val="single" w:sz="4" w:space="0" w:color="auto"/>
            </w:tcBorders>
            <w:shd w:val="clear" w:color="000000" w:fill="FFFFFF"/>
            <w:vAlign w:val="center"/>
          </w:tcPr>
          <w:p w14:paraId="6691E3B2" w14:textId="77777777" w:rsidR="00012C3E" w:rsidRPr="0043709B" w:rsidRDefault="00012C3E" w:rsidP="008F7A9E">
            <w:pPr>
              <w:jc w:val="center"/>
              <w:rPr>
                <w:rFonts w:ascii="Arial Narrow" w:hAnsi="Arial Narrow" w:cs="Arial"/>
                <w:b/>
                <w:bCs/>
                <w:sz w:val="16"/>
                <w:szCs w:val="16"/>
              </w:rPr>
            </w:pPr>
            <w:r w:rsidRPr="0043709B">
              <w:rPr>
                <w:rFonts w:ascii="Arial Narrow" w:hAnsi="Arial Narrow" w:cs="Arial"/>
                <w:b/>
                <w:bCs/>
                <w:sz w:val="16"/>
                <w:szCs w:val="16"/>
              </w:rPr>
              <w:t>Текуща стойност за 202</w:t>
            </w:r>
            <w:r w:rsidR="008F7A9E" w:rsidRPr="0043709B">
              <w:rPr>
                <w:rFonts w:ascii="Arial Narrow" w:hAnsi="Arial Narrow" w:cs="Arial"/>
                <w:b/>
                <w:bCs/>
                <w:sz w:val="16"/>
                <w:szCs w:val="16"/>
                <w:lang w:val="bg-BG"/>
              </w:rPr>
              <w:t>3</w:t>
            </w:r>
            <w:r w:rsidRPr="0043709B">
              <w:rPr>
                <w:rFonts w:ascii="Arial Narrow" w:hAnsi="Arial Narrow" w:cs="Arial"/>
                <w:b/>
                <w:bCs/>
                <w:sz w:val="16"/>
                <w:szCs w:val="16"/>
              </w:rPr>
              <w:t xml:space="preserve"> г. - млн. лв.</w:t>
            </w:r>
          </w:p>
        </w:tc>
        <w:tc>
          <w:tcPr>
            <w:tcW w:w="117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5D92359" w14:textId="77777777" w:rsidR="00012C3E" w:rsidRPr="0043709B" w:rsidRDefault="00012C3E" w:rsidP="005A18A5">
            <w:pPr>
              <w:jc w:val="center"/>
              <w:rPr>
                <w:rFonts w:ascii="Arial Narrow" w:hAnsi="Arial Narrow" w:cs="Arial"/>
                <w:b/>
                <w:bCs/>
                <w:sz w:val="16"/>
                <w:szCs w:val="16"/>
              </w:rPr>
            </w:pPr>
            <w:r w:rsidRPr="0043709B">
              <w:rPr>
                <w:rFonts w:ascii="Arial Narrow" w:hAnsi="Arial Narrow" w:cs="Arial"/>
                <w:b/>
                <w:bCs/>
                <w:sz w:val="16"/>
                <w:szCs w:val="16"/>
              </w:rPr>
              <w:t xml:space="preserve">Индекс на физическия обем </w:t>
            </w:r>
            <w:r w:rsidRPr="0043709B">
              <w:rPr>
                <w:rFonts w:ascii="Arial Narrow" w:hAnsi="Arial Narrow" w:cs="Arial"/>
                <w:b/>
                <w:bCs/>
                <w:sz w:val="16"/>
                <w:szCs w:val="16"/>
              </w:rPr>
              <w:br/>
              <w:t>(предх. година =100)</w:t>
            </w:r>
          </w:p>
        </w:tc>
        <w:tc>
          <w:tcPr>
            <w:tcW w:w="1300" w:type="dxa"/>
            <w:tcBorders>
              <w:top w:val="single" w:sz="4" w:space="0" w:color="auto"/>
              <w:left w:val="nil"/>
              <w:bottom w:val="single" w:sz="4" w:space="0" w:color="auto"/>
              <w:right w:val="single" w:sz="4" w:space="0" w:color="auto"/>
            </w:tcBorders>
            <w:shd w:val="clear" w:color="000000" w:fill="FFFFFF"/>
            <w:vAlign w:val="center"/>
            <w:hideMark/>
          </w:tcPr>
          <w:p w14:paraId="762DAE39" w14:textId="77777777" w:rsidR="00012C3E" w:rsidRPr="0043709B" w:rsidRDefault="00012C3E" w:rsidP="008F7A9E">
            <w:pPr>
              <w:jc w:val="center"/>
              <w:rPr>
                <w:rFonts w:ascii="Arial Narrow" w:hAnsi="Arial Narrow" w:cs="Arial"/>
                <w:b/>
                <w:bCs/>
                <w:sz w:val="16"/>
                <w:szCs w:val="16"/>
              </w:rPr>
            </w:pPr>
            <w:r w:rsidRPr="0043709B">
              <w:rPr>
                <w:rFonts w:ascii="Arial Narrow" w:hAnsi="Arial Narrow" w:cs="Arial"/>
                <w:b/>
                <w:bCs/>
                <w:sz w:val="16"/>
                <w:szCs w:val="16"/>
              </w:rPr>
              <w:t>Стойност за 202</w:t>
            </w:r>
            <w:r w:rsidR="002178FD">
              <w:rPr>
                <w:rFonts w:ascii="Arial Narrow" w:hAnsi="Arial Narrow" w:cs="Arial"/>
                <w:b/>
                <w:bCs/>
                <w:sz w:val="16"/>
                <w:szCs w:val="16"/>
                <w:lang w:val="bg-BG"/>
              </w:rPr>
              <w:t>4</w:t>
            </w:r>
            <w:r w:rsidRPr="0043709B">
              <w:rPr>
                <w:rFonts w:ascii="Arial Narrow" w:hAnsi="Arial Narrow" w:cs="Arial"/>
                <w:b/>
                <w:bCs/>
                <w:sz w:val="16"/>
                <w:szCs w:val="16"/>
              </w:rPr>
              <w:t xml:space="preserve"> г. по цени на предходна година - млн. лв.</w:t>
            </w:r>
          </w:p>
        </w:tc>
        <w:tc>
          <w:tcPr>
            <w:tcW w:w="1220" w:type="dxa"/>
            <w:tcBorders>
              <w:top w:val="single" w:sz="4" w:space="0" w:color="auto"/>
              <w:left w:val="nil"/>
              <w:bottom w:val="single" w:sz="4" w:space="0" w:color="auto"/>
              <w:right w:val="single" w:sz="4" w:space="0" w:color="auto"/>
            </w:tcBorders>
            <w:shd w:val="clear" w:color="000000" w:fill="FFFFFF"/>
            <w:vAlign w:val="center"/>
            <w:hideMark/>
          </w:tcPr>
          <w:p w14:paraId="5181B6F1" w14:textId="77777777" w:rsidR="00012C3E" w:rsidRPr="0043709B" w:rsidRDefault="00012C3E" w:rsidP="005A18A5">
            <w:pPr>
              <w:jc w:val="center"/>
              <w:rPr>
                <w:rFonts w:ascii="Arial Narrow" w:hAnsi="Arial Narrow" w:cs="Arial"/>
                <w:b/>
                <w:bCs/>
                <w:sz w:val="16"/>
                <w:szCs w:val="16"/>
              </w:rPr>
            </w:pPr>
            <w:r w:rsidRPr="0043709B">
              <w:rPr>
                <w:rFonts w:ascii="Arial Narrow" w:hAnsi="Arial Narrow" w:cs="Arial"/>
                <w:b/>
                <w:bCs/>
                <w:sz w:val="16"/>
                <w:szCs w:val="16"/>
              </w:rPr>
              <w:t xml:space="preserve">Индекс на цените </w:t>
            </w:r>
            <w:r w:rsidRPr="0043709B">
              <w:rPr>
                <w:rFonts w:ascii="Arial Narrow" w:hAnsi="Arial Narrow" w:cs="Arial"/>
                <w:b/>
                <w:bCs/>
                <w:sz w:val="16"/>
                <w:szCs w:val="16"/>
              </w:rPr>
              <w:br/>
              <w:t>(предх. година =100)</w:t>
            </w:r>
          </w:p>
        </w:tc>
        <w:tc>
          <w:tcPr>
            <w:tcW w:w="1236" w:type="dxa"/>
            <w:tcBorders>
              <w:top w:val="single" w:sz="4" w:space="0" w:color="auto"/>
              <w:left w:val="nil"/>
              <w:bottom w:val="single" w:sz="4" w:space="0" w:color="auto"/>
              <w:right w:val="single" w:sz="4" w:space="0" w:color="auto"/>
            </w:tcBorders>
            <w:shd w:val="clear" w:color="000000" w:fill="FFFFFF"/>
            <w:vAlign w:val="center"/>
            <w:hideMark/>
          </w:tcPr>
          <w:p w14:paraId="78542DAA" w14:textId="77777777" w:rsidR="00012C3E" w:rsidRPr="0043709B" w:rsidRDefault="00012C3E" w:rsidP="008F7A9E">
            <w:pPr>
              <w:jc w:val="center"/>
              <w:rPr>
                <w:rFonts w:ascii="Arial Narrow" w:hAnsi="Arial Narrow" w:cs="Arial"/>
                <w:b/>
                <w:bCs/>
                <w:sz w:val="16"/>
                <w:szCs w:val="16"/>
              </w:rPr>
            </w:pPr>
            <w:r w:rsidRPr="0043709B">
              <w:rPr>
                <w:rFonts w:ascii="Arial Narrow" w:hAnsi="Arial Narrow" w:cs="Arial"/>
                <w:b/>
                <w:bCs/>
                <w:sz w:val="16"/>
                <w:szCs w:val="16"/>
              </w:rPr>
              <w:t>Текуща стойност за 202</w:t>
            </w:r>
            <w:r w:rsidR="00870123">
              <w:rPr>
                <w:rFonts w:ascii="Arial Narrow" w:hAnsi="Arial Narrow" w:cs="Arial"/>
                <w:b/>
                <w:bCs/>
                <w:sz w:val="16"/>
                <w:szCs w:val="16"/>
                <w:lang w:val="bg-BG"/>
              </w:rPr>
              <w:t>4</w:t>
            </w:r>
            <w:r w:rsidRPr="0043709B">
              <w:rPr>
                <w:rFonts w:ascii="Arial Narrow" w:hAnsi="Arial Narrow" w:cs="Arial"/>
                <w:b/>
                <w:bCs/>
                <w:sz w:val="16"/>
                <w:szCs w:val="16"/>
              </w:rPr>
              <w:t xml:space="preserve"> г. -  млн. лв.</w:t>
            </w:r>
          </w:p>
        </w:tc>
        <w:tc>
          <w:tcPr>
            <w:tcW w:w="1260" w:type="dxa"/>
            <w:tcBorders>
              <w:top w:val="single" w:sz="4" w:space="0" w:color="auto"/>
              <w:left w:val="nil"/>
              <w:bottom w:val="single" w:sz="4" w:space="0" w:color="auto"/>
              <w:right w:val="single" w:sz="4" w:space="0" w:color="auto"/>
            </w:tcBorders>
            <w:shd w:val="clear" w:color="000000" w:fill="FFFFFF"/>
            <w:vAlign w:val="center"/>
            <w:hideMark/>
          </w:tcPr>
          <w:p w14:paraId="5068C519" w14:textId="77777777" w:rsidR="00012C3E" w:rsidRPr="0043709B" w:rsidRDefault="00012C3E" w:rsidP="008F7A9E">
            <w:pPr>
              <w:jc w:val="center"/>
              <w:rPr>
                <w:rFonts w:ascii="Arial Narrow" w:hAnsi="Arial Narrow" w:cs="Arial"/>
                <w:b/>
                <w:bCs/>
                <w:sz w:val="16"/>
                <w:szCs w:val="16"/>
              </w:rPr>
            </w:pPr>
            <w:r w:rsidRPr="0043709B">
              <w:rPr>
                <w:rFonts w:ascii="Arial Narrow" w:hAnsi="Arial Narrow" w:cs="Arial"/>
                <w:b/>
                <w:bCs/>
                <w:sz w:val="16"/>
                <w:szCs w:val="16"/>
              </w:rPr>
              <w:t>Индекс на изменение на текущата стойност</w:t>
            </w:r>
            <w:r w:rsidRPr="0043709B">
              <w:rPr>
                <w:rFonts w:ascii="Arial Narrow" w:hAnsi="Arial Narrow" w:cs="Arial"/>
                <w:b/>
                <w:bCs/>
                <w:sz w:val="16"/>
                <w:szCs w:val="16"/>
              </w:rPr>
              <w:br/>
              <w:t xml:space="preserve"> (202</w:t>
            </w:r>
            <w:r w:rsidR="008F7A9E" w:rsidRPr="0043709B">
              <w:rPr>
                <w:rFonts w:ascii="Arial Narrow" w:hAnsi="Arial Narrow" w:cs="Arial"/>
                <w:b/>
                <w:bCs/>
                <w:sz w:val="16"/>
                <w:szCs w:val="16"/>
                <w:lang w:val="bg-BG"/>
              </w:rPr>
              <w:t>3</w:t>
            </w:r>
            <w:r w:rsidRPr="0043709B">
              <w:rPr>
                <w:rFonts w:ascii="Arial Narrow" w:hAnsi="Arial Narrow" w:cs="Arial"/>
                <w:b/>
                <w:bCs/>
                <w:sz w:val="16"/>
                <w:szCs w:val="16"/>
              </w:rPr>
              <w:t xml:space="preserve"> = 100)</w:t>
            </w:r>
          </w:p>
        </w:tc>
      </w:tr>
      <w:tr w:rsidR="0043709B" w:rsidRPr="0043709B" w14:paraId="55D40470" w14:textId="77777777" w:rsidTr="008F7A9E">
        <w:trPr>
          <w:trHeight w:val="208"/>
          <w:tblHeader/>
        </w:trPr>
        <w:tc>
          <w:tcPr>
            <w:tcW w:w="781" w:type="dxa"/>
            <w:tcBorders>
              <w:top w:val="nil"/>
              <w:left w:val="single" w:sz="4" w:space="0" w:color="auto"/>
              <w:bottom w:val="single" w:sz="4" w:space="0" w:color="auto"/>
              <w:right w:val="single" w:sz="4" w:space="0" w:color="auto"/>
            </w:tcBorders>
            <w:shd w:val="clear" w:color="auto" w:fill="auto"/>
            <w:vAlign w:val="center"/>
          </w:tcPr>
          <w:p w14:paraId="5E8F07FD" w14:textId="77777777" w:rsidR="008F7A9E" w:rsidRPr="0043709B" w:rsidRDefault="008F7A9E" w:rsidP="008F7A9E">
            <w:pPr>
              <w:jc w:val="center"/>
              <w:rPr>
                <w:rFonts w:ascii="Arial" w:hAnsi="Arial" w:cs="Arial"/>
                <w:sz w:val="16"/>
                <w:szCs w:val="16"/>
              </w:rPr>
            </w:pPr>
            <w:r w:rsidRPr="0043709B">
              <w:rPr>
                <w:rFonts w:ascii="Arial" w:hAnsi="Arial" w:cs="Arial"/>
                <w:sz w:val="16"/>
                <w:szCs w:val="16"/>
              </w:rPr>
              <w:t>а</w:t>
            </w:r>
          </w:p>
        </w:tc>
        <w:tc>
          <w:tcPr>
            <w:tcW w:w="3016" w:type="dxa"/>
            <w:tcBorders>
              <w:top w:val="nil"/>
              <w:left w:val="nil"/>
              <w:bottom w:val="single" w:sz="4" w:space="0" w:color="auto"/>
              <w:right w:val="single" w:sz="4" w:space="0" w:color="auto"/>
            </w:tcBorders>
            <w:shd w:val="clear" w:color="auto" w:fill="auto"/>
            <w:vAlign w:val="center"/>
          </w:tcPr>
          <w:p w14:paraId="303268AD" w14:textId="77777777" w:rsidR="008F7A9E" w:rsidRPr="0043709B" w:rsidRDefault="008F7A9E" w:rsidP="008F7A9E">
            <w:pPr>
              <w:jc w:val="center"/>
              <w:rPr>
                <w:rFonts w:ascii="Arial" w:hAnsi="Arial" w:cs="Arial"/>
                <w:sz w:val="16"/>
                <w:szCs w:val="16"/>
              </w:rPr>
            </w:pPr>
            <w:r w:rsidRPr="0043709B">
              <w:rPr>
                <w:rFonts w:ascii="Arial" w:hAnsi="Arial" w:cs="Arial"/>
                <w:sz w:val="16"/>
                <w:szCs w:val="16"/>
              </w:rPr>
              <w:t>б</w:t>
            </w:r>
          </w:p>
        </w:tc>
        <w:tc>
          <w:tcPr>
            <w:tcW w:w="1180" w:type="dxa"/>
            <w:tcBorders>
              <w:top w:val="nil"/>
              <w:left w:val="nil"/>
              <w:bottom w:val="single" w:sz="4" w:space="0" w:color="auto"/>
              <w:right w:val="single" w:sz="4" w:space="0" w:color="auto"/>
            </w:tcBorders>
            <w:shd w:val="clear" w:color="auto" w:fill="auto"/>
            <w:vAlign w:val="center"/>
          </w:tcPr>
          <w:p w14:paraId="18E680AE" w14:textId="77777777" w:rsidR="008F7A9E" w:rsidRPr="0043709B" w:rsidRDefault="008F7A9E" w:rsidP="008F7A9E">
            <w:pPr>
              <w:jc w:val="center"/>
              <w:rPr>
                <w:rFonts w:ascii="Arial" w:hAnsi="Arial" w:cs="Arial"/>
                <w:sz w:val="16"/>
                <w:szCs w:val="16"/>
              </w:rPr>
            </w:pPr>
            <w:r w:rsidRPr="0043709B">
              <w:rPr>
                <w:rFonts w:ascii="Arial" w:hAnsi="Arial" w:cs="Arial"/>
                <w:sz w:val="16"/>
                <w:szCs w:val="16"/>
              </w:rPr>
              <w:t>1</w:t>
            </w:r>
          </w:p>
        </w:tc>
        <w:tc>
          <w:tcPr>
            <w:tcW w:w="1170" w:type="dxa"/>
            <w:tcBorders>
              <w:top w:val="nil"/>
              <w:left w:val="nil"/>
              <w:bottom w:val="single" w:sz="4" w:space="0" w:color="auto"/>
              <w:right w:val="single" w:sz="4" w:space="0" w:color="auto"/>
            </w:tcBorders>
            <w:shd w:val="clear" w:color="auto" w:fill="auto"/>
            <w:vAlign w:val="center"/>
          </w:tcPr>
          <w:p w14:paraId="5DE33FCB" w14:textId="77777777" w:rsidR="008F7A9E" w:rsidRPr="0043709B" w:rsidRDefault="008F7A9E" w:rsidP="008F7A9E">
            <w:pPr>
              <w:jc w:val="center"/>
              <w:rPr>
                <w:rFonts w:ascii="Arial" w:hAnsi="Arial" w:cs="Arial"/>
                <w:sz w:val="16"/>
                <w:szCs w:val="16"/>
              </w:rPr>
            </w:pPr>
            <w:r w:rsidRPr="0043709B">
              <w:rPr>
                <w:rFonts w:ascii="Arial" w:hAnsi="Arial" w:cs="Arial"/>
                <w:sz w:val="16"/>
                <w:szCs w:val="16"/>
              </w:rPr>
              <w:t>2</w:t>
            </w:r>
          </w:p>
        </w:tc>
        <w:tc>
          <w:tcPr>
            <w:tcW w:w="1300" w:type="dxa"/>
            <w:tcBorders>
              <w:top w:val="nil"/>
              <w:left w:val="nil"/>
              <w:bottom w:val="single" w:sz="4" w:space="0" w:color="auto"/>
              <w:right w:val="single" w:sz="4" w:space="0" w:color="auto"/>
            </w:tcBorders>
            <w:shd w:val="clear" w:color="auto" w:fill="auto"/>
            <w:vAlign w:val="center"/>
          </w:tcPr>
          <w:p w14:paraId="72132B81" w14:textId="77777777" w:rsidR="008F7A9E" w:rsidRPr="0043709B" w:rsidRDefault="008F7A9E" w:rsidP="008F7A9E">
            <w:pPr>
              <w:jc w:val="center"/>
              <w:rPr>
                <w:rFonts w:ascii="Arial" w:hAnsi="Arial" w:cs="Arial"/>
                <w:sz w:val="16"/>
                <w:szCs w:val="16"/>
              </w:rPr>
            </w:pPr>
            <w:r w:rsidRPr="0043709B">
              <w:rPr>
                <w:rFonts w:ascii="Arial" w:hAnsi="Arial" w:cs="Arial"/>
                <w:sz w:val="16"/>
                <w:szCs w:val="16"/>
              </w:rPr>
              <w:t>3</w:t>
            </w:r>
          </w:p>
        </w:tc>
        <w:tc>
          <w:tcPr>
            <w:tcW w:w="1220" w:type="dxa"/>
            <w:tcBorders>
              <w:top w:val="nil"/>
              <w:left w:val="nil"/>
              <w:bottom w:val="single" w:sz="4" w:space="0" w:color="auto"/>
              <w:right w:val="single" w:sz="4" w:space="0" w:color="auto"/>
            </w:tcBorders>
            <w:shd w:val="clear" w:color="auto" w:fill="auto"/>
            <w:vAlign w:val="center"/>
          </w:tcPr>
          <w:p w14:paraId="6478EF1E" w14:textId="77777777" w:rsidR="008F7A9E" w:rsidRPr="0043709B" w:rsidRDefault="008F7A9E" w:rsidP="008F7A9E">
            <w:pPr>
              <w:jc w:val="center"/>
              <w:rPr>
                <w:rFonts w:ascii="Arial" w:hAnsi="Arial" w:cs="Arial"/>
                <w:sz w:val="16"/>
                <w:szCs w:val="16"/>
              </w:rPr>
            </w:pPr>
            <w:r w:rsidRPr="0043709B">
              <w:rPr>
                <w:rFonts w:ascii="Arial" w:hAnsi="Arial" w:cs="Arial"/>
                <w:sz w:val="16"/>
                <w:szCs w:val="16"/>
              </w:rPr>
              <w:t>4</w:t>
            </w:r>
          </w:p>
        </w:tc>
        <w:tc>
          <w:tcPr>
            <w:tcW w:w="1236" w:type="dxa"/>
            <w:tcBorders>
              <w:top w:val="nil"/>
              <w:left w:val="nil"/>
              <w:bottom w:val="single" w:sz="4" w:space="0" w:color="auto"/>
              <w:right w:val="single" w:sz="4" w:space="0" w:color="auto"/>
            </w:tcBorders>
            <w:shd w:val="clear" w:color="auto" w:fill="auto"/>
            <w:vAlign w:val="center"/>
          </w:tcPr>
          <w:p w14:paraId="0E7A4A76" w14:textId="77777777" w:rsidR="008F7A9E" w:rsidRPr="0043709B" w:rsidRDefault="008F7A9E" w:rsidP="008F7A9E">
            <w:pPr>
              <w:jc w:val="center"/>
              <w:rPr>
                <w:rFonts w:ascii="Arial" w:hAnsi="Arial" w:cs="Arial"/>
                <w:sz w:val="16"/>
                <w:szCs w:val="16"/>
              </w:rPr>
            </w:pPr>
            <w:r w:rsidRPr="0043709B">
              <w:rPr>
                <w:rFonts w:ascii="Arial" w:hAnsi="Arial" w:cs="Arial"/>
                <w:sz w:val="16"/>
                <w:szCs w:val="16"/>
              </w:rPr>
              <w:t>5</w:t>
            </w:r>
          </w:p>
        </w:tc>
        <w:tc>
          <w:tcPr>
            <w:tcW w:w="1260" w:type="dxa"/>
            <w:tcBorders>
              <w:top w:val="nil"/>
              <w:left w:val="nil"/>
              <w:bottom w:val="single" w:sz="4" w:space="0" w:color="auto"/>
              <w:right w:val="single" w:sz="4" w:space="0" w:color="auto"/>
            </w:tcBorders>
            <w:shd w:val="clear" w:color="auto" w:fill="auto"/>
            <w:vAlign w:val="center"/>
          </w:tcPr>
          <w:p w14:paraId="04874E50" w14:textId="77777777" w:rsidR="008F7A9E" w:rsidRPr="0043709B" w:rsidRDefault="008F7A9E" w:rsidP="008F7A9E">
            <w:pPr>
              <w:jc w:val="center"/>
              <w:rPr>
                <w:rFonts w:ascii="Arial" w:hAnsi="Arial" w:cs="Arial"/>
                <w:sz w:val="16"/>
                <w:szCs w:val="16"/>
              </w:rPr>
            </w:pPr>
            <w:r w:rsidRPr="0043709B">
              <w:rPr>
                <w:rFonts w:ascii="Arial" w:hAnsi="Arial" w:cs="Arial"/>
                <w:sz w:val="16"/>
                <w:szCs w:val="16"/>
              </w:rPr>
              <w:t>6</w:t>
            </w:r>
          </w:p>
        </w:tc>
      </w:tr>
      <w:tr w:rsidR="0043709B" w:rsidRPr="0043709B" w14:paraId="77EB18D2" w14:textId="77777777" w:rsidTr="0043709B">
        <w:trPr>
          <w:trHeight w:val="250"/>
        </w:trPr>
        <w:tc>
          <w:tcPr>
            <w:tcW w:w="7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BB316D" w14:textId="77777777" w:rsidR="0043709B" w:rsidRPr="0043709B" w:rsidRDefault="0043709B" w:rsidP="0043709B">
            <w:pPr>
              <w:rPr>
                <w:rFonts w:ascii="Arial Narrow" w:hAnsi="Arial Narrow" w:cs="Arial"/>
                <w:sz w:val="16"/>
                <w:szCs w:val="16"/>
              </w:rPr>
            </w:pPr>
            <w:r w:rsidRPr="0043709B">
              <w:rPr>
                <w:rFonts w:ascii="Arial Narrow" w:hAnsi="Arial Narrow" w:cs="Arial"/>
                <w:sz w:val="16"/>
                <w:szCs w:val="16"/>
              </w:rPr>
              <w:t>01</w:t>
            </w:r>
          </w:p>
        </w:tc>
        <w:tc>
          <w:tcPr>
            <w:tcW w:w="3016" w:type="dxa"/>
            <w:tcBorders>
              <w:top w:val="single" w:sz="4" w:space="0" w:color="auto"/>
              <w:left w:val="nil"/>
              <w:bottom w:val="single" w:sz="4" w:space="0" w:color="auto"/>
              <w:right w:val="single" w:sz="4" w:space="0" w:color="auto"/>
            </w:tcBorders>
            <w:shd w:val="clear" w:color="000000" w:fill="FFFFFF"/>
            <w:noWrap/>
            <w:vAlign w:val="center"/>
            <w:hideMark/>
          </w:tcPr>
          <w:p w14:paraId="4563FC49" w14:textId="77777777" w:rsidR="0043709B" w:rsidRPr="0043709B" w:rsidRDefault="0043709B" w:rsidP="0043709B">
            <w:pPr>
              <w:rPr>
                <w:rFonts w:ascii="Arial Narrow" w:hAnsi="Arial Narrow" w:cs="Calibri"/>
                <w:b/>
                <w:bCs/>
                <w:sz w:val="16"/>
                <w:szCs w:val="16"/>
              </w:rPr>
            </w:pPr>
            <w:r w:rsidRPr="0043709B">
              <w:rPr>
                <w:rFonts w:ascii="Arial Narrow" w:hAnsi="Arial Narrow" w:cs="Calibri"/>
                <w:b/>
                <w:bCs/>
                <w:sz w:val="16"/>
                <w:szCs w:val="16"/>
              </w:rPr>
              <w:t>ЗЪРНЕНИ КУЛТУРИ</w:t>
            </w:r>
          </w:p>
        </w:tc>
        <w:tc>
          <w:tcPr>
            <w:tcW w:w="1180" w:type="dxa"/>
            <w:tcBorders>
              <w:top w:val="single" w:sz="4" w:space="0" w:color="auto"/>
              <w:left w:val="nil"/>
              <w:bottom w:val="single" w:sz="4" w:space="0" w:color="auto"/>
              <w:right w:val="single" w:sz="4" w:space="0" w:color="auto"/>
            </w:tcBorders>
            <w:shd w:val="clear" w:color="auto" w:fill="auto"/>
            <w:vAlign w:val="center"/>
          </w:tcPr>
          <w:p w14:paraId="27D2669F" w14:textId="77777777" w:rsidR="0043709B" w:rsidRPr="0043709B" w:rsidRDefault="0043709B" w:rsidP="0043709B">
            <w:pPr>
              <w:jc w:val="right"/>
              <w:rPr>
                <w:rFonts w:ascii="Arial Narrow" w:hAnsi="Arial Narrow" w:cs="Calibri"/>
                <w:sz w:val="16"/>
                <w:szCs w:val="16"/>
              </w:rPr>
            </w:pPr>
            <w:r w:rsidRPr="0043709B">
              <w:rPr>
                <w:rFonts w:ascii="Arial Narrow" w:hAnsi="Arial Narrow" w:cs="Calibri"/>
                <w:sz w:val="16"/>
                <w:szCs w:val="16"/>
              </w:rPr>
              <w:t>4 104,0</w:t>
            </w:r>
          </w:p>
        </w:tc>
        <w:tc>
          <w:tcPr>
            <w:tcW w:w="1170" w:type="dxa"/>
            <w:tcBorders>
              <w:top w:val="single" w:sz="4" w:space="0" w:color="auto"/>
              <w:left w:val="nil"/>
              <w:bottom w:val="single" w:sz="4" w:space="0" w:color="auto"/>
              <w:right w:val="single" w:sz="4" w:space="0" w:color="auto"/>
            </w:tcBorders>
            <w:shd w:val="clear" w:color="auto" w:fill="auto"/>
            <w:noWrap/>
            <w:vAlign w:val="center"/>
            <w:hideMark/>
          </w:tcPr>
          <w:p w14:paraId="4DB79D08" w14:textId="77777777" w:rsidR="0043709B" w:rsidRPr="0043709B" w:rsidRDefault="0043709B" w:rsidP="0043709B">
            <w:pPr>
              <w:jc w:val="right"/>
              <w:rPr>
                <w:rFonts w:ascii="Arial Narrow" w:hAnsi="Arial Narrow" w:cs="Calibri"/>
                <w:sz w:val="16"/>
                <w:szCs w:val="16"/>
              </w:rPr>
            </w:pPr>
            <w:r w:rsidRPr="0043709B">
              <w:rPr>
                <w:rFonts w:ascii="Arial Narrow" w:hAnsi="Arial Narrow" w:cs="Calibri"/>
                <w:sz w:val="16"/>
                <w:szCs w:val="16"/>
              </w:rPr>
              <w:t>96,1</w:t>
            </w:r>
          </w:p>
        </w:tc>
        <w:tc>
          <w:tcPr>
            <w:tcW w:w="1300" w:type="dxa"/>
            <w:tcBorders>
              <w:top w:val="single" w:sz="4" w:space="0" w:color="auto"/>
              <w:left w:val="nil"/>
              <w:bottom w:val="single" w:sz="4" w:space="0" w:color="auto"/>
              <w:right w:val="single" w:sz="4" w:space="0" w:color="auto"/>
            </w:tcBorders>
            <w:shd w:val="clear" w:color="auto" w:fill="auto"/>
            <w:noWrap/>
            <w:vAlign w:val="center"/>
            <w:hideMark/>
          </w:tcPr>
          <w:p w14:paraId="18100963" w14:textId="77777777" w:rsidR="0043709B" w:rsidRPr="0043709B" w:rsidRDefault="0043709B" w:rsidP="0043709B">
            <w:pPr>
              <w:jc w:val="right"/>
              <w:rPr>
                <w:rFonts w:ascii="Arial Narrow" w:hAnsi="Arial Narrow" w:cs="Calibri"/>
                <w:sz w:val="16"/>
                <w:szCs w:val="16"/>
              </w:rPr>
            </w:pPr>
            <w:r w:rsidRPr="0043709B">
              <w:rPr>
                <w:rFonts w:ascii="Arial Narrow" w:hAnsi="Arial Narrow" w:cs="Calibri"/>
                <w:sz w:val="16"/>
                <w:szCs w:val="16"/>
              </w:rPr>
              <w:t>3 942,7</w:t>
            </w:r>
          </w:p>
        </w:tc>
        <w:tc>
          <w:tcPr>
            <w:tcW w:w="1220" w:type="dxa"/>
            <w:tcBorders>
              <w:top w:val="single" w:sz="4" w:space="0" w:color="auto"/>
              <w:left w:val="nil"/>
              <w:bottom w:val="single" w:sz="4" w:space="0" w:color="auto"/>
              <w:right w:val="single" w:sz="4" w:space="0" w:color="auto"/>
            </w:tcBorders>
            <w:shd w:val="clear" w:color="auto" w:fill="auto"/>
            <w:noWrap/>
            <w:vAlign w:val="center"/>
            <w:hideMark/>
          </w:tcPr>
          <w:p w14:paraId="3A44C766" w14:textId="77777777" w:rsidR="0043709B" w:rsidRPr="0043709B" w:rsidRDefault="0043709B" w:rsidP="0043709B">
            <w:pPr>
              <w:jc w:val="right"/>
              <w:rPr>
                <w:rFonts w:ascii="Arial Narrow" w:hAnsi="Arial Narrow" w:cs="Calibri"/>
                <w:sz w:val="16"/>
                <w:szCs w:val="16"/>
              </w:rPr>
            </w:pPr>
            <w:r w:rsidRPr="0043709B">
              <w:rPr>
                <w:rFonts w:ascii="Arial Narrow" w:hAnsi="Arial Narrow" w:cs="Calibri"/>
                <w:sz w:val="16"/>
                <w:szCs w:val="16"/>
              </w:rPr>
              <w:t>86,5</w:t>
            </w:r>
          </w:p>
        </w:tc>
        <w:tc>
          <w:tcPr>
            <w:tcW w:w="1236" w:type="dxa"/>
            <w:tcBorders>
              <w:top w:val="single" w:sz="4" w:space="0" w:color="auto"/>
              <w:left w:val="nil"/>
              <w:bottom w:val="single" w:sz="4" w:space="0" w:color="auto"/>
              <w:right w:val="single" w:sz="4" w:space="0" w:color="auto"/>
            </w:tcBorders>
            <w:shd w:val="clear" w:color="auto" w:fill="auto"/>
            <w:noWrap/>
            <w:vAlign w:val="center"/>
            <w:hideMark/>
          </w:tcPr>
          <w:p w14:paraId="7BA262E0" w14:textId="77777777" w:rsidR="0043709B" w:rsidRPr="0043709B" w:rsidRDefault="0043709B" w:rsidP="0043709B">
            <w:pPr>
              <w:jc w:val="right"/>
              <w:rPr>
                <w:rFonts w:ascii="Arial Narrow" w:hAnsi="Arial Narrow" w:cs="Calibri"/>
                <w:sz w:val="16"/>
                <w:szCs w:val="16"/>
              </w:rPr>
            </w:pPr>
            <w:r w:rsidRPr="0043709B">
              <w:rPr>
                <w:rFonts w:ascii="Arial Narrow" w:hAnsi="Arial Narrow" w:cs="Calibri"/>
                <w:sz w:val="16"/>
                <w:szCs w:val="16"/>
              </w:rPr>
              <w:t>3 411,5</w:t>
            </w:r>
          </w:p>
        </w:tc>
        <w:tc>
          <w:tcPr>
            <w:tcW w:w="1260" w:type="dxa"/>
            <w:tcBorders>
              <w:top w:val="single" w:sz="4" w:space="0" w:color="auto"/>
              <w:left w:val="nil"/>
              <w:bottom w:val="single" w:sz="4" w:space="0" w:color="auto"/>
              <w:right w:val="single" w:sz="4" w:space="0" w:color="auto"/>
            </w:tcBorders>
            <w:shd w:val="clear" w:color="auto" w:fill="auto"/>
            <w:noWrap/>
            <w:vAlign w:val="center"/>
            <w:hideMark/>
          </w:tcPr>
          <w:p w14:paraId="1FB82EE0" w14:textId="77777777" w:rsidR="0043709B" w:rsidRPr="0043709B" w:rsidRDefault="0043709B" w:rsidP="0043709B">
            <w:pPr>
              <w:jc w:val="right"/>
              <w:rPr>
                <w:rFonts w:ascii="Arial Narrow" w:hAnsi="Arial Narrow" w:cs="Arial"/>
                <w:sz w:val="16"/>
                <w:szCs w:val="16"/>
              </w:rPr>
            </w:pPr>
            <w:r w:rsidRPr="0043709B">
              <w:rPr>
                <w:rFonts w:ascii="Arial Narrow" w:hAnsi="Arial Narrow" w:cs="Arial"/>
                <w:sz w:val="16"/>
                <w:szCs w:val="16"/>
              </w:rPr>
              <w:t>83,1</w:t>
            </w:r>
          </w:p>
        </w:tc>
      </w:tr>
      <w:tr w:rsidR="0043709B" w:rsidRPr="0043709B" w14:paraId="11AA1591" w14:textId="77777777" w:rsidTr="0043709B">
        <w:trPr>
          <w:trHeight w:val="250"/>
        </w:trPr>
        <w:tc>
          <w:tcPr>
            <w:tcW w:w="781" w:type="dxa"/>
            <w:tcBorders>
              <w:top w:val="nil"/>
              <w:left w:val="single" w:sz="4" w:space="0" w:color="auto"/>
              <w:bottom w:val="single" w:sz="4" w:space="0" w:color="auto"/>
              <w:right w:val="single" w:sz="4" w:space="0" w:color="auto"/>
            </w:tcBorders>
            <w:shd w:val="clear" w:color="auto" w:fill="auto"/>
            <w:noWrap/>
            <w:vAlign w:val="center"/>
            <w:hideMark/>
          </w:tcPr>
          <w:p w14:paraId="11241B24" w14:textId="77777777" w:rsidR="0043709B" w:rsidRPr="0043709B" w:rsidRDefault="0043709B" w:rsidP="0043709B">
            <w:pPr>
              <w:rPr>
                <w:rFonts w:ascii="Arial Narrow" w:hAnsi="Arial Narrow" w:cs="Arial"/>
                <w:sz w:val="16"/>
                <w:szCs w:val="16"/>
              </w:rPr>
            </w:pPr>
            <w:r w:rsidRPr="0043709B">
              <w:rPr>
                <w:rFonts w:ascii="Arial Narrow" w:hAnsi="Arial Narrow" w:cs="Arial"/>
                <w:sz w:val="16"/>
                <w:szCs w:val="16"/>
              </w:rPr>
              <w:t>01.1</w:t>
            </w:r>
          </w:p>
        </w:tc>
        <w:tc>
          <w:tcPr>
            <w:tcW w:w="3016" w:type="dxa"/>
            <w:tcBorders>
              <w:top w:val="nil"/>
              <w:left w:val="nil"/>
              <w:bottom w:val="single" w:sz="4" w:space="0" w:color="auto"/>
              <w:right w:val="single" w:sz="4" w:space="0" w:color="auto"/>
            </w:tcBorders>
            <w:shd w:val="clear" w:color="auto" w:fill="auto"/>
            <w:noWrap/>
            <w:vAlign w:val="center"/>
            <w:hideMark/>
          </w:tcPr>
          <w:p w14:paraId="3131E874" w14:textId="77777777" w:rsidR="0043709B" w:rsidRPr="0043709B" w:rsidRDefault="0043709B" w:rsidP="00CD44F3">
            <w:pPr>
              <w:ind w:firstLine="138"/>
              <w:rPr>
                <w:rFonts w:ascii="Arial Narrow" w:hAnsi="Arial Narrow" w:cs="Calibri"/>
                <w:sz w:val="16"/>
                <w:szCs w:val="16"/>
              </w:rPr>
            </w:pPr>
            <w:r w:rsidRPr="0043709B">
              <w:rPr>
                <w:rFonts w:ascii="Arial Narrow" w:hAnsi="Arial Narrow" w:cs="Calibri"/>
                <w:sz w:val="16"/>
                <w:szCs w:val="16"/>
              </w:rPr>
              <w:t>Пшеница и лимец</w:t>
            </w:r>
          </w:p>
        </w:tc>
        <w:tc>
          <w:tcPr>
            <w:tcW w:w="1180" w:type="dxa"/>
            <w:tcBorders>
              <w:top w:val="nil"/>
              <w:left w:val="nil"/>
              <w:bottom w:val="single" w:sz="4" w:space="0" w:color="auto"/>
              <w:right w:val="single" w:sz="4" w:space="0" w:color="auto"/>
            </w:tcBorders>
            <w:shd w:val="clear" w:color="auto" w:fill="auto"/>
            <w:vAlign w:val="center"/>
          </w:tcPr>
          <w:p w14:paraId="62AF82B4" w14:textId="77777777" w:rsidR="0043709B" w:rsidRPr="0043709B" w:rsidRDefault="0043709B" w:rsidP="0043709B">
            <w:pPr>
              <w:jc w:val="right"/>
              <w:rPr>
                <w:rFonts w:ascii="Arial Narrow" w:hAnsi="Arial Narrow" w:cs="Calibri"/>
                <w:sz w:val="16"/>
                <w:szCs w:val="16"/>
              </w:rPr>
            </w:pPr>
            <w:r w:rsidRPr="0043709B">
              <w:rPr>
                <w:rFonts w:ascii="Arial Narrow" w:hAnsi="Arial Narrow" w:cs="Calibri"/>
                <w:sz w:val="16"/>
                <w:szCs w:val="16"/>
              </w:rPr>
              <w:t>2 667,7</w:t>
            </w:r>
          </w:p>
        </w:tc>
        <w:tc>
          <w:tcPr>
            <w:tcW w:w="1170" w:type="dxa"/>
            <w:tcBorders>
              <w:top w:val="nil"/>
              <w:left w:val="nil"/>
              <w:bottom w:val="single" w:sz="4" w:space="0" w:color="auto"/>
              <w:right w:val="single" w:sz="4" w:space="0" w:color="auto"/>
            </w:tcBorders>
            <w:shd w:val="clear" w:color="auto" w:fill="auto"/>
            <w:noWrap/>
            <w:vAlign w:val="center"/>
            <w:hideMark/>
          </w:tcPr>
          <w:p w14:paraId="0236280F" w14:textId="77777777" w:rsidR="0043709B" w:rsidRPr="0043709B" w:rsidRDefault="0043709B" w:rsidP="0043709B">
            <w:pPr>
              <w:jc w:val="right"/>
              <w:rPr>
                <w:rFonts w:ascii="Arial Narrow" w:hAnsi="Arial Narrow" w:cs="Calibri"/>
                <w:sz w:val="16"/>
                <w:szCs w:val="16"/>
              </w:rPr>
            </w:pPr>
            <w:r w:rsidRPr="0043709B">
              <w:rPr>
                <w:rFonts w:ascii="Arial Narrow" w:hAnsi="Arial Narrow" w:cs="Calibri"/>
                <w:sz w:val="16"/>
                <w:szCs w:val="16"/>
              </w:rPr>
              <w:t>103,2</w:t>
            </w:r>
          </w:p>
        </w:tc>
        <w:tc>
          <w:tcPr>
            <w:tcW w:w="1300" w:type="dxa"/>
            <w:tcBorders>
              <w:top w:val="nil"/>
              <w:left w:val="nil"/>
              <w:bottom w:val="single" w:sz="4" w:space="0" w:color="auto"/>
              <w:right w:val="single" w:sz="4" w:space="0" w:color="auto"/>
            </w:tcBorders>
            <w:shd w:val="clear" w:color="auto" w:fill="auto"/>
            <w:noWrap/>
            <w:vAlign w:val="center"/>
            <w:hideMark/>
          </w:tcPr>
          <w:p w14:paraId="72AB73CE" w14:textId="77777777" w:rsidR="0043709B" w:rsidRPr="0043709B" w:rsidRDefault="0043709B" w:rsidP="0043709B">
            <w:pPr>
              <w:jc w:val="right"/>
              <w:rPr>
                <w:rFonts w:ascii="Arial Narrow" w:hAnsi="Arial Narrow" w:cs="Calibri"/>
                <w:sz w:val="16"/>
                <w:szCs w:val="16"/>
              </w:rPr>
            </w:pPr>
            <w:r w:rsidRPr="0043709B">
              <w:rPr>
                <w:rFonts w:ascii="Arial Narrow" w:hAnsi="Arial Narrow" w:cs="Calibri"/>
                <w:sz w:val="16"/>
                <w:szCs w:val="16"/>
              </w:rPr>
              <w:t>2 752,6</w:t>
            </w:r>
          </w:p>
        </w:tc>
        <w:tc>
          <w:tcPr>
            <w:tcW w:w="1220" w:type="dxa"/>
            <w:tcBorders>
              <w:top w:val="nil"/>
              <w:left w:val="nil"/>
              <w:bottom w:val="single" w:sz="4" w:space="0" w:color="auto"/>
              <w:right w:val="single" w:sz="4" w:space="0" w:color="auto"/>
            </w:tcBorders>
            <w:shd w:val="clear" w:color="auto" w:fill="auto"/>
            <w:noWrap/>
            <w:vAlign w:val="center"/>
            <w:hideMark/>
          </w:tcPr>
          <w:p w14:paraId="3686940F" w14:textId="77777777" w:rsidR="0043709B" w:rsidRPr="0043709B" w:rsidRDefault="0043709B" w:rsidP="0043709B">
            <w:pPr>
              <w:jc w:val="right"/>
              <w:rPr>
                <w:rFonts w:ascii="Arial Narrow" w:hAnsi="Arial Narrow" w:cs="Calibri"/>
                <w:sz w:val="16"/>
                <w:szCs w:val="16"/>
              </w:rPr>
            </w:pPr>
            <w:r w:rsidRPr="0043709B">
              <w:rPr>
                <w:rFonts w:ascii="Arial Narrow" w:hAnsi="Arial Narrow" w:cs="Calibri"/>
                <w:sz w:val="16"/>
                <w:szCs w:val="16"/>
              </w:rPr>
              <w:t>87,2</w:t>
            </w:r>
          </w:p>
        </w:tc>
        <w:tc>
          <w:tcPr>
            <w:tcW w:w="1236" w:type="dxa"/>
            <w:tcBorders>
              <w:top w:val="nil"/>
              <w:left w:val="nil"/>
              <w:bottom w:val="single" w:sz="4" w:space="0" w:color="auto"/>
              <w:right w:val="single" w:sz="4" w:space="0" w:color="auto"/>
            </w:tcBorders>
            <w:shd w:val="clear" w:color="auto" w:fill="auto"/>
            <w:noWrap/>
            <w:vAlign w:val="center"/>
            <w:hideMark/>
          </w:tcPr>
          <w:p w14:paraId="63EAD558" w14:textId="77777777" w:rsidR="0043709B" w:rsidRPr="0043709B" w:rsidRDefault="0043709B" w:rsidP="0043709B">
            <w:pPr>
              <w:jc w:val="right"/>
              <w:rPr>
                <w:rFonts w:ascii="Arial Narrow" w:hAnsi="Arial Narrow" w:cs="Calibri"/>
                <w:sz w:val="16"/>
                <w:szCs w:val="16"/>
              </w:rPr>
            </w:pPr>
            <w:r w:rsidRPr="0043709B">
              <w:rPr>
                <w:rFonts w:ascii="Arial Narrow" w:hAnsi="Arial Narrow" w:cs="Calibri"/>
                <w:sz w:val="16"/>
                <w:szCs w:val="16"/>
              </w:rPr>
              <w:t>2 400,0</w:t>
            </w:r>
          </w:p>
        </w:tc>
        <w:tc>
          <w:tcPr>
            <w:tcW w:w="1260" w:type="dxa"/>
            <w:tcBorders>
              <w:top w:val="nil"/>
              <w:left w:val="nil"/>
              <w:bottom w:val="single" w:sz="4" w:space="0" w:color="auto"/>
              <w:right w:val="single" w:sz="4" w:space="0" w:color="auto"/>
            </w:tcBorders>
            <w:shd w:val="clear" w:color="auto" w:fill="auto"/>
            <w:noWrap/>
            <w:vAlign w:val="center"/>
            <w:hideMark/>
          </w:tcPr>
          <w:p w14:paraId="43077F43" w14:textId="77777777" w:rsidR="0043709B" w:rsidRPr="0043709B" w:rsidRDefault="0043709B" w:rsidP="0043709B">
            <w:pPr>
              <w:jc w:val="right"/>
              <w:rPr>
                <w:rFonts w:ascii="Arial Narrow" w:hAnsi="Arial Narrow" w:cs="Arial"/>
                <w:sz w:val="16"/>
                <w:szCs w:val="16"/>
              </w:rPr>
            </w:pPr>
            <w:r w:rsidRPr="0043709B">
              <w:rPr>
                <w:rFonts w:ascii="Arial Narrow" w:hAnsi="Arial Narrow" w:cs="Arial"/>
                <w:sz w:val="16"/>
                <w:szCs w:val="16"/>
              </w:rPr>
              <w:t>90,0</w:t>
            </w:r>
          </w:p>
        </w:tc>
      </w:tr>
      <w:tr w:rsidR="0043709B" w:rsidRPr="0043709B" w14:paraId="0500EB4F" w14:textId="77777777" w:rsidTr="0043709B">
        <w:trPr>
          <w:trHeight w:val="250"/>
        </w:trPr>
        <w:tc>
          <w:tcPr>
            <w:tcW w:w="781" w:type="dxa"/>
            <w:tcBorders>
              <w:top w:val="nil"/>
              <w:left w:val="single" w:sz="4" w:space="0" w:color="auto"/>
              <w:bottom w:val="single" w:sz="4" w:space="0" w:color="auto"/>
              <w:right w:val="single" w:sz="4" w:space="0" w:color="auto"/>
            </w:tcBorders>
            <w:shd w:val="clear" w:color="auto" w:fill="auto"/>
            <w:noWrap/>
            <w:vAlign w:val="center"/>
            <w:hideMark/>
          </w:tcPr>
          <w:p w14:paraId="450A288D" w14:textId="77777777" w:rsidR="0043709B" w:rsidRPr="0043709B" w:rsidRDefault="0043709B" w:rsidP="0043709B">
            <w:pPr>
              <w:rPr>
                <w:rFonts w:ascii="Arial Narrow" w:hAnsi="Arial Narrow" w:cs="Arial"/>
                <w:sz w:val="16"/>
                <w:szCs w:val="16"/>
              </w:rPr>
            </w:pPr>
            <w:r w:rsidRPr="0043709B">
              <w:rPr>
                <w:rFonts w:ascii="Arial Narrow" w:hAnsi="Arial Narrow" w:cs="Arial"/>
                <w:sz w:val="16"/>
                <w:szCs w:val="16"/>
              </w:rPr>
              <w:t>01.1/1</w:t>
            </w:r>
          </w:p>
        </w:tc>
        <w:tc>
          <w:tcPr>
            <w:tcW w:w="3016" w:type="dxa"/>
            <w:tcBorders>
              <w:top w:val="nil"/>
              <w:left w:val="nil"/>
              <w:bottom w:val="single" w:sz="4" w:space="0" w:color="auto"/>
              <w:right w:val="single" w:sz="4" w:space="0" w:color="auto"/>
            </w:tcBorders>
            <w:shd w:val="clear" w:color="auto" w:fill="auto"/>
            <w:noWrap/>
            <w:vAlign w:val="center"/>
            <w:hideMark/>
          </w:tcPr>
          <w:p w14:paraId="31C29100" w14:textId="77777777" w:rsidR="0043709B" w:rsidRPr="0043709B" w:rsidRDefault="0043709B" w:rsidP="00CD44F3">
            <w:pPr>
              <w:ind w:firstLine="422"/>
              <w:rPr>
                <w:rFonts w:ascii="Arial Narrow" w:hAnsi="Arial Narrow" w:cs="Calibri"/>
                <w:sz w:val="16"/>
                <w:szCs w:val="16"/>
              </w:rPr>
            </w:pPr>
            <w:r w:rsidRPr="0043709B">
              <w:rPr>
                <w:rFonts w:ascii="Arial Narrow" w:hAnsi="Arial Narrow" w:cs="Calibri"/>
                <w:sz w:val="16"/>
                <w:szCs w:val="16"/>
              </w:rPr>
              <w:t>Мека пшеница</w:t>
            </w:r>
          </w:p>
        </w:tc>
        <w:tc>
          <w:tcPr>
            <w:tcW w:w="1180" w:type="dxa"/>
            <w:tcBorders>
              <w:top w:val="nil"/>
              <w:left w:val="nil"/>
              <w:bottom w:val="single" w:sz="4" w:space="0" w:color="auto"/>
              <w:right w:val="single" w:sz="4" w:space="0" w:color="auto"/>
            </w:tcBorders>
            <w:shd w:val="clear" w:color="auto" w:fill="auto"/>
            <w:vAlign w:val="center"/>
          </w:tcPr>
          <w:p w14:paraId="1041766F" w14:textId="77777777" w:rsidR="0043709B" w:rsidRPr="0043709B" w:rsidRDefault="0043709B" w:rsidP="0043709B">
            <w:pPr>
              <w:jc w:val="right"/>
              <w:rPr>
                <w:rFonts w:ascii="Arial Narrow" w:hAnsi="Arial Narrow" w:cs="Calibri"/>
                <w:sz w:val="16"/>
                <w:szCs w:val="16"/>
              </w:rPr>
            </w:pPr>
            <w:r w:rsidRPr="0043709B">
              <w:rPr>
                <w:rFonts w:ascii="Arial Narrow" w:hAnsi="Arial Narrow" w:cs="Calibri"/>
                <w:sz w:val="16"/>
                <w:szCs w:val="16"/>
              </w:rPr>
              <w:t>2 630,6</w:t>
            </w:r>
          </w:p>
        </w:tc>
        <w:tc>
          <w:tcPr>
            <w:tcW w:w="1170" w:type="dxa"/>
            <w:tcBorders>
              <w:top w:val="nil"/>
              <w:left w:val="nil"/>
              <w:bottom w:val="single" w:sz="4" w:space="0" w:color="auto"/>
              <w:right w:val="single" w:sz="4" w:space="0" w:color="auto"/>
            </w:tcBorders>
            <w:shd w:val="clear" w:color="auto" w:fill="auto"/>
            <w:noWrap/>
            <w:vAlign w:val="center"/>
            <w:hideMark/>
          </w:tcPr>
          <w:p w14:paraId="3A69341A" w14:textId="77777777" w:rsidR="0043709B" w:rsidRPr="0043709B" w:rsidRDefault="0043709B" w:rsidP="0043709B">
            <w:pPr>
              <w:jc w:val="right"/>
              <w:rPr>
                <w:rFonts w:ascii="Arial Narrow" w:hAnsi="Arial Narrow" w:cs="Calibri"/>
                <w:sz w:val="16"/>
                <w:szCs w:val="16"/>
              </w:rPr>
            </w:pPr>
            <w:r w:rsidRPr="0043709B">
              <w:rPr>
                <w:rFonts w:ascii="Arial Narrow" w:hAnsi="Arial Narrow" w:cs="Calibri"/>
                <w:sz w:val="16"/>
                <w:szCs w:val="16"/>
              </w:rPr>
              <w:t>102,7</w:t>
            </w:r>
          </w:p>
        </w:tc>
        <w:tc>
          <w:tcPr>
            <w:tcW w:w="1300" w:type="dxa"/>
            <w:tcBorders>
              <w:top w:val="nil"/>
              <w:left w:val="nil"/>
              <w:bottom w:val="single" w:sz="4" w:space="0" w:color="auto"/>
              <w:right w:val="single" w:sz="4" w:space="0" w:color="auto"/>
            </w:tcBorders>
            <w:shd w:val="clear" w:color="auto" w:fill="auto"/>
            <w:noWrap/>
            <w:vAlign w:val="center"/>
            <w:hideMark/>
          </w:tcPr>
          <w:p w14:paraId="710090A0" w14:textId="77777777" w:rsidR="0043709B" w:rsidRPr="0043709B" w:rsidRDefault="0043709B" w:rsidP="0043709B">
            <w:pPr>
              <w:jc w:val="right"/>
              <w:rPr>
                <w:rFonts w:ascii="Arial Narrow" w:hAnsi="Arial Narrow" w:cs="Calibri"/>
                <w:sz w:val="16"/>
                <w:szCs w:val="16"/>
              </w:rPr>
            </w:pPr>
            <w:r w:rsidRPr="0043709B">
              <w:rPr>
                <w:rFonts w:ascii="Arial Narrow" w:hAnsi="Arial Narrow" w:cs="Calibri"/>
                <w:sz w:val="16"/>
                <w:szCs w:val="16"/>
              </w:rPr>
              <w:t>2 702,1</w:t>
            </w:r>
          </w:p>
        </w:tc>
        <w:tc>
          <w:tcPr>
            <w:tcW w:w="1220" w:type="dxa"/>
            <w:tcBorders>
              <w:top w:val="nil"/>
              <w:left w:val="nil"/>
              <w:bottom w:val="single" w:sz="4" w:space="0" w:color="auto"/>
              <w:right w:val="single" w:sz="4" w:space="0" w:color="auto"/>
            </w:tcBorders>
            <w:shd w:val="clear" w:color="auto" w:fill="auto"/>
            <w:noWrap/>
            <w:vAlign w:val="center"/>
            <w:hideMark/>
          </w:tcPr>
          <w:p w14:paraId="3DB93965" w14:textId="77777777" w:rsidR="0043709B" w:rsidRPr="0043709B" w:rsidRDefault="0043709B" w:rsidP="0043709B">
            <w:pPr>
              <w:jc w:val="right"/>
              <w:rPr>
                <w:rFonts w:ascii="Arial Narrow" w:hAnsi="Arial Narrow" w:cs="Calibri"/>
                <w:sz w:val="16"/>
                <w:szCs w:val="16"/>
              </w:rPr>
            </w:pPr>
            <w:r w:rsidRPr="0043709B">
              <w:rPr>
                <w:rFonts w:ascii="Arial Narrow" w:hAnsi="Arial Narrow" w:cs="Calibri"/>
                <w:sz w:val="16"/>
                <w:szCs w:val="16"/>
              </w:rPr>
              <w:t>87,2</w:t>
            </w:r>
          </w:p>
        </w:tc>
        <w:tc>
          <w:tcPr>
            <w:tcW w:w="1236" w:type="dxa"/>
            <w:tcBorders>
              <w:top w:val="nil"/>
              <w:left w:val="nil"/>
              <w:bottom w:val="single" w:sz="4" w:space="0" w:color="auto"/>
              <w:right w:val="single" w:sz="4" w:space="0" w:color="auto"/>
            </w:tcBorders>
            <w:shd w:val="clear" w:color="auto" w:fill="auto"/>
            <w:noWrap/>
            <w:vAlign w:val="center"/>
            <w:hideMark/>
          </w:tcPr>
          <w:p w14:paraId="05DBA77E" w14:textId="77777777" w:rsidR="0043709B" w:rsidRPr="0043709B" w:rsidRDefault="0043709B" w:rsidP="0043709B">
            <w:pPr>
              <w:jc w:val="right"/>
              <w:rPr>
                <w:rFonts w:ascii="Arial Narrow" w:hAnsi="Arial Narrow" w:cs="Calibri"/>
                <w:sz w:val="16"/>
                <w:szCs w:val="16"/>
              </w:rPr>
            </w:pPr>
            <w:r w:rsidRPr="0043709B">
              <w:rPr>
                <w:rFonts w:ascii="Arial Narrow" w:hAnsi="Arial Narrow" w:cs="Calibri"/>
                <w:sz w:val="16"/>
                <w:szCs w:val="16"/>
              </w:rPr>
              <w:t>2 356,5</w:t>
            </w:r>
          </w:p>
        </w:tc>
        <w:tc>
          <w:tcPr>
            <w:tcW w:w="1260" w:type="dxa"/>
            <w:tcBorders>
              <w:top w:val="nil"/>
              <w:left w:val="nil"/>
              <w:bottom w:val="single" w:sz="4" w:space="0" w:color="auto"/>
              <w:right w:val="single" w:sz="4" w:space="0" w:color="auto"/>
            </w:tcBorders>
            <w:shd w:val="clear" w:color="auto" w:fill="auto"/>
            <w:noWrap/>
            <w:vAlign w:val="center"/>
            <w:hideMark/>
          </w:tcPr>
          <w:p w14:paraId="56B55168" w14:textId="77777777" w:rsidR="0043709B" w:rsidRPr="0043709B" w:rsidRDefault="0043709B" w:rsidP="0043709B">
            <w:pPr>
              <w:jc w:val="right"/>
              <w:rPr>
                <w:rFonts w:ascii="Arial Narrow" w:hAnsi="Arial Narrow" w:cs="Arial"/>
                <w:sz w:val="16"/>
                <w:szCs w:val="16"/>
              </w:rPr>
            </w:pPr>
            <w:r w:rsidRPr="0043709B">
              <w:rPr>
                <w:rFonts w:ascii="Arial Narrow" w:hAnsi="Arial Narrow" w:cs="Arial"/>
                <w:sz w:val="16"/>
                <w:szCs w:val="16"/>
              </w:rPr>
              <w:t>89,6</w:t>
            </w:r>
          </w:p>
        </w:tc>
      </w:tr>
      <w:tr w:rsidR="0043709B" w:rsidRPr="0043709B" w14:paraId="79D32B10" w14:textId="77777777" w:rsidTr="0043709B">
        <w:trPr>
          <w:trHeight w:val="250"/>
        </w:trPr>
        <w:tc>
          <w:tcPr>
            <w:tcW w:w="781" w:type="dxa"/>
            <w:tcBorders>
              <w:top w:val="nil"/>
              <w:left w:val="single" w:sz="4" w:space="0" w:color="auto"/>
              <w:bottom w:val="single" w:sz="4" w:space="0" w:color="auto"/>
              <w:right w:val="single" w:sz="4" w:space="0" w:color="auto"/>
            </w:tcBorders>
            <w:shd w:val="clear" w:color="auto" w:fill="auto"/>
            <w:noWrap/>
            <w:vAlign w:val="center"/>
            <w:hideMark/>
          </w:tcPr>
          <w:p w14:paraId="0F4FF817" w14:textId="77777777" w:rsidR="0043709B" w:rsidRPr="0043709B" w:rsidRDefault="0043709B" w:rsidP="0043709B">
            <w:pPr>
              <w:rPr>
                <w:rFonts w:ascii="Arial Narrow" w:hAnsi="Arial Narrow" w:cs="Arial"/>
                <w:sz w:val="16"/>
                <w:szCs w:val="16"/>
              </w:rPr>
            </w:pPr>
            <w:r w:rsidRPr="0043709B">
              <w:rPr>
                <w:rFonts w:ascii="Arial Narrow" w:hAnsi="Arial Narrow" w:cs="Arial"/>
                <w:sz w:val="16"/>
                <w:szCs w:val="16"/>
              </w:rPr>
              <w:t>01.1/2</w:t>
            </w:r>
          </w:p>
        </w:tc>
        <w:tc>
          <w:tcPr>
            <w:tcW w:w="3016" w:type="dxa"/>
            <w:tcBorders>
              <w:top w:val="nil"/>
              <w:left w:val="nil"/>
              <w:bottom w:val="single" w:sz="4" w:space="0" w:color="auto"/>
              <w:right w:val="single" w:sz="4" w:space="0" w:color="auto"/>
            </w:tcBorders>
            <w:shd w:val="clear" w:color="auto" w:fill="auto"/>
            <w:noWrap/>
            <w:vAlign w:val="center"/>
            <w:hideMark/>
          </w:tcPr>
          <w:p w14:paraId="09ED3B4A" w14:textId="77777777" w:rsidR="0043709B" w:rsidRPr="0043709B" w:rsidRDefault="0043709B" w:rsidP="00CD44F3">
            <w:pPr>
              <w:ind w:firstLine="422"/>
              <w:rPr>
                <w:rFonts w:ascii="Arial Narrow" w:hAnsi="Arial Narrow" w:cs="Calibri"/>
                <w:sz w:val="16"/>
                <w:szCs w:val="16"/>
              </w:rPr>
            </w:pPr>
            <w:r w:rsidRPr="0043709B">
              <w:rPr>
                <w:rFonts w:ascii="Arial Narrow" w:hAnsi="Arial Narrow" w:cs="Calibri"/>
                <w:sz w:val="16"/>
                <w:szCs w:val="16"/>
              </w:rPr>
              <w:t>Твърда пшеница</w:t>
            </w:r>
          </w:p>
        </w:tc>
        <w:tc>
          <w:tcPr>
            <w:tcW w:w="1180" w:type="dxa"/>
            <w:tcBorders>
              <w:top w:val="nil"/>
              <w:left w:val="nil"/>
              <w:bottom w:val="single" w:sz="4" w:space="0" w:color="auto"/>
              <w:right w:val="single" w:sz="4" w:space="0" w:color="auto"/>
            </w:tcBorders>
            <w:shd w:val="clear" w:color="auto" w:fill="auto"/>
            <w:vAlign w:val="center"/>
          </w:tcPr>
          <w:p w14:paraId="6D082A72" w14:textId="77777777" w:rsidR="0043709B" w:rsidRPr="0043709B" w:rsidRDefault="0043709B" w:rsidP="0043709B">
            <w:pPr>
              <w:jc w:val="right"/>
              <w:rPr>
                <w:rFonts w:ascii="Arial Narrow" w:hAnsi="Arial Narrow" w:cs="Calibri"/>
                <w:sz w:val="16"/>
                <w:szCs w:val="16"/>
              </w:rPr>
            </w:pPr>
            <w:r w:rsidRPr="0043709B">
              <w:rPr>
                <w:rFonts w:ascii="Arial Narrow" w:hAnsi="Arial Narrow" w:cs="Calibri"/>
                <w:sz w:val="16"/>
                <w:szCs w:val="16"/>
              </w:rPr>
              <w:t>37,1</w:t>
            </w:r>
          </w:p>
        </w:tc>
        <w:tc>
          <w:tcPr>
            <w:tcW w:w="1170" w:type="dxa"/>
            <w:tcBorders>
              <w:top w:val="nil"/>
              <w:left w:val="nil"/>
              <w:bottom w:val="single" w:sz="4" w:space="0" w:color="auto"/>
              <w:right w:val="single" w:sz="4" w:space="0" w:color="auto"/>
            </w:tcBorders>
            <w:shd w:val="clear" w:color="auto" w:fill="auto"/>
            <w:noWrap/>
            <w:vAlign w:val="center"/>
            <w:hideMark/>
          </w:tcPr>
          <w:p w14:paraId="6D5149D4" w14:textId="77777777" w:rsidR="0043709B" w:rsidRPr="0043709B" w:rsidRDefault="0043709B" w:rsidP="0043709B">
            <w:pPr>
              <w:jc w:val="right"/>
              <w:rPr>
                <w:rFonts w:ascii="Arial Narrow" w:hAnsi="Arial Narrow" w:cs="Calibri"/>
                <w:sz w:val="16"/>
                <w:szCs w:val="16"/>
              </w:rPr>
            </w:pPr>
            <w:r w:rsidRPr="0043709B">
              <w:rPr>
                <w:rFonts w:ascii="Arial Narrow" w:hAnsi="Arial Narrow" w:cs="Calibri"/>
                <w:sz w:val="16"/>
                <w:szCs w:val="16"/>
              </w:rPr>
              <w:t>136,1</w:t>
            </w:r>
          </w:p>
        </w:tc>
        <w:tc>
          <w:tcPr>
            <w:tcW w:w="1300" w:type="dxa"/>
            <w:tcBorders>
              <w:top w:val="nil"/>
              <w:left w:val="nil"/>
              <w:bottom w:val="single" w:sz="4" w:space="0" w:color="auto"/>
              <w:right w:val="single" w:sz="4" w:space="0" w:color="auto"/>
            </w:tcBorders>
            <w:shd w:val="clear" w:color="auto" w:fill="auto"/>
            <w:noWrap/>
            <w:vAlign w:val="center"/>
            <w:hideMark/>
          </w:tcPr>
          <w:p w14:paraId="628A31F0" w14:textId="77777777" w:rsidR="0043709B" w:rsidRPr="0043709B" w:rsidRDefault="0043709B" w:rsidP="0043709B">
            <w:pPr>
              <w:jc w:val="right"/>
              <w:rPr>
                <w:rFonts w:ascii="Arial Narrow" w:hAnsi="Arial Narrow" w:cs="Calibri"/>
                <w:sz w:val="16"/>
                <w:szCs w:val="16"/>
              </w:rPr>
            </w:pPr>
            <w:r w:rsidRPr="0043709B">
              <w:rPr>
                <w:rFonts w:ascii="Arial Narrow" w:hAnsi="Arial Narrow" w:cs="Calibri"/>
                <w:sz w:val="16"/>
                <w:szCs w:val="16"/>
              </w:rPr>
              <w:t>50,5</w:t>
            </w:r>
          </w:p>
        </w:tc>
        <w:tc>
          <w:tcPr>
            <w:tcW w:w="1220" w:type="dxa"/>
            <w:tcBorders>
              <w:top w:val="nil"/>
              <w:left w:val="nil"/>
              <w:bottom w:val="single" w:sz="4" w:space="0" w:color="auto"/>
              <w:right w:val="single" w:sz="4" w:space="0" w:color="auto"/>
            </w:tcBorders>
            <w:shd w:val="clear" w:color="auto" w:fill="auto"/>
            <w:noWrap/>
            <w:vAlign w:val="center"/>
            <w:hideMark/>
          </w:tcPr>
          <w:p w14:paraId="6AAAC1FD" w14:textId="77777777" w:rsidR="0043709B" w:rsidRPr="0043709B" w:rsidRDefault="0043709B" w:rsidP="0043709B">
            <w:pPr>
              <w:jc w:val="right"/>
              <w:rPr>
                <w:rFonts w:ascii="Arial Narrow" w:hAnsi="Arial Narrow" w:cs="Calibri"/>
                <w:sz w:val="16"/>
                <w:szCs w:val="16"/>
              </w:rPr>
            </w:pPr>
            <w:r w:rsidRPr="0043709B">
              <w:rPr>
                <w:rFonts w:ascii="Arial Narrow" w:hAnsi="Arial Narrow" w:cs="Calibri"/>
                <w:sz w:val="16"/>
                <w:szCs w:val="16"/>
              </w:rPr>
              <w:t>86,1</w:t>
            </w:r>
          </w:p>
        </w:tc>
        <w:tc>
          <w:tcPr>
            <w:tcW w:w="1236" w:type="dxa"/>
            <w:tcBorders>
              <w:top w:val="nil"/>
              <w:left w:val="nil"/>
              <w:bottom w:val="single" w:sz="4" w:space="0" w:color="auto"/>
              <w:right w:val="single" w:sz="4" w:space="0" w:color="auto"/>
            </w:tcBorders>
            <w:shd w:val="clear" w:color="auto" w:fill="auto"/>
            <w:noWrap/>
            <w:vAlign w:val="center"/>
            <w:hideMark/>
          </w:tcPr>
          <w:p w14:paraId="33E10624" w14:textId="77777777" w:rsidR="0043709B" w:rsidRPr="0043709B" w:rsidRDefault="0043709B" w:rsidP="0043709B">
            <w:pPr>
              <w:jc w:val="right"/>
              <w:rPr>
                <w:rFonts w:ascii="Arial Narrow" w:hAnsi="Arial Narrow" w:cs="Calibri"/>
                <w:sz w:val="16"/>
                <w:szCs w:val="16"/>
              </w:rPr>
            </w:pPr>
            <w:r w:rsidRPr="0043709B">
              <w:rPr>
                <w:rFonts w:ascii="Arial Narrow" w:hAnsi="Arial Narrow" w:cs="Calibri"/>
                <w:sz w:val="16"/>
                <w:szCs w:val="16"/>
              </w:rPr>
              <w:t>43,5</w:t>
            </w:r>
          </w:p>
        </w:tc>
        <w:tc>
          <w:tcPr>
            <w:tcW w:w="1260" w:type="dxa"/>
            <w:tcBorders>
              <w:top w:val="nil"/>
              <w:left w:val="nil"/>
              <w:bottom w:val="single" w:sz="4" w:space="0" w:color="auto"/>
              <w:right w:val="single" w:sz="4" w:space="0" w:color="auto"/>
            </w:tcBorders>
            <w:shd w:val="clear" w:color="auto" w:fill="auto"/>
            <w:noWrap/>
            <w:vAlign w:val="center"/>
            <w:hideMark/>
          </w:tcPr>
          <w:p w14:paraId="5AB556E3" w14:textId="77777777" w:rsidR="0043709B" w:rsidRPr="0043709B" w:rsidRDefault="0043709B" w:rsidP="0043709B">
            <w:pPr>
              <w:jc w:val="right"/>
              <w:rPr>
                <w:rFonts w:ascii="Arial Narrow" w:hAnsi="Arial Narrow" w:cs="Arial"/>
                <w:sz w:val="16"/>
                <w:szCs w:val="16"/>
              </w:rPr>
            </w:pPr>
            <w:r w:rsidRPr="0043709B">
              <w:rPr>
                <w:rFonts w:ascii="Arial Narrow" w:hAnsi="Arial Narrow" w:cs="Arial"/>
                <w:sz w:val="16"/>
                <w:szCs w:val="16"/>
              </w:rPr>
              <w:t>117,3</w:t>
            </w:r>
          </w:p>
        </w:tc>
      </w:tr>
      <w:tr w:rsidR="0043709B" w:rsidRPr="0043709B" w14:paraId="2455E73C" w14:textId="77777777" w:rsidTr="0043709B">
        <w:trPr>
          <w:trHeight w:val="250"/>
        </w:trPr>
        <w:tc>
          <w:tcPr>
            <w:tcW w:w="781" w:type="dxa"/>
            <w:tcBorders>
              <w:top w:val="nil"/>
              <w:left w:val="single" w:sz="4" w:space="0" w:color="auto"/>
              <w:bottom w:val="single" w:sz="4" w:space="0" w:color="auto"/>
              <w:right w:val="single" w:sz="4" w:space="0" w:color="auto"/>
            </w:tcBorders>
            <w:shd w:val="clear" w:color="auto" w:fill="auto"/>
            <w:noWrap/>
            <w:vAlign w:val="center"/>
            <w:hideMark/>
          </w:tcPr>
          <w:p w14:paraId="3527F488" w14:textId="77777777" w:rsidR="0043709B" w:rsidRPr="0043709B" w:rsidRDefault="0043709B" w:rsidP="0043709B">
            <w:pPr>
              <w:rPr>
                <w:rFonts w:ascii="Arial Narrow" w:hAnsi="Arial Narrow" w:cs="Arial"/>
                <w:sz w:val="16"/>
                <w:szCs w:val="16"/>
              </w:rPr>
            </w:pPr>
            <w:r w:rsidRPr="0043709B">
              <w:rPr>
                <w:rFonts w:ascii="Arial Narrow" w:hAnsi="Arial Narrow" w:cs="Arial"/>
                <w:sz w:val="16"/>
                <w:szCs w:val="16"/>
              </w:rPr>
              <w:t>01.2</w:t>
            </w:r>
          </w:p>
        </w:tc>
        <w:tc>
          <w:tcPr>
            <w:tcW w:w="3016" w:type="dxa"/>
            <w:tcBorders>
              <w:top w:val="nil"/>
              <w:left w:val="nil"/>
              <w:bottom w:val="single" w:sz="4" w:space="0" w:color="auto"/>
              <w:right w:val="single" w:sz="4" w:space="0" w:color="auto"/>
            </w:tcBorders>
            <w:shd w:val="clear" w:color="auto" w:fill="auto"/>
            <w:noWrap/>
            <w:vAlign w:val="center"/>
            <w:hideMark/>
          </w:tcPr>
          <w:p w14:paraId="58DCD8A7" w14:textId="77777777" w:rsidR="0043709B" w:rsidRPr="0043709B" w:rsidRDefault="0043709B" w:rsidP="00CD44F3">
            <w:pPr>
              <w:ind w:firstLine="138"/>
              <w:rPr>
                <w:rFonts w:ascii="Arial Narrow" w:hAnsi="Arial Narrow" w:cs="Calibri"/>
                <w:sz w:val="16"/>
                <w:szCs w:val="16"/>
              </w:rPr>
            </w:pPr>
            <w:r w:rsidRPr="0043709B">
              <w:rPr>
                <w:rFonts w:ascii="Arial Narrow" w:hAnsi="Arial Narrow" w:cs="Calibri"/>
                <w:sz w:val="16"/>
                <w:szCs w:val="16"/>
              </w:rPr>
              <w:t>Ръж</w:t>
            </w:r>
          </w:p>
        </w:tc>
        <w:tc>
          <w:tcPr>
            <w:tcW w:w="1180" w:type="dxa"/>
            <w:tcBorders>
              <w:top w:val="nil"/>
              <w:left w:val="nil"/>
              <w:bottom w:val="single" w:sz="4" w:space="0" w:color="auto"/>
              <w:right w:val="single" w:sz="4" w:space="0" w:color="auto"/>
            </w:tcBorders>
            <w:shd w:val="clear" w:color="auto" w:fill="auto"/>
            <w:vAlign w:val="center"/>
          </w:tcPr>
          <w:p w14:paraId="2B7050F1" w14:textId="77777777" w:rsidR="0043709B" w:rsidRPr="0043709B" w:rsidRDefault="0043709B" w:rsidP="0043709B">
            <w:pPr>
              <w:jc w:val="right"/>
              <w:rPr>
                <w:rFonts w:ascii="Arial Narrow" w:hAnsi="Arial Narrow" w:cs="Calibri"/>
                <w:sz w:val="16"/>
                <w:szCs w:val="16"/>
              </w:rPr>
            </w:pPr>
            <w:r w:rsidRPr="0043709B">
              <w:rPr>
                <w:rFonts w:ascii="Arial Narrow" w:hAnsi="Arial Narrow" w:cs="Calibri"/>
                <w:sz w:val="16"/>
                <w:szCs w:val="16"/>
              </w:rPr>
              <w:t>5,3</w:t>
            </w:r>
          </w:p>
        </w:tc>
        <w:tc>
          <w:tcPr>
            <w:tcW w:w="1170" w:type="dxa"/>
            <w:tcBorders>
              <w:top w:val="nil"/>
              <w:left w:val="nil"/>
              <w:bottom w:val="single" w:sz="4" w:space="0" w:color="auto"/>
              <w:right w:val="single" w:sz="4" w:space="0" w:color="auto"/>
            </w:tcBorders>
            <w:shd w:val="clear" w:color="auto" w:fill="auto"/>
            <w:noWrap/>
            <w:vAlign w:val="center"/>
            <w:hideMark/>
          </w:tcPr>
          <w:p w14:paraId="0EDDF1F7" w14:textId="77777777" w:rsidR="0043709B" w:rsidRPr="0043709B" w:rsidRDefault="0043709B" w:rsidP="0043709B">
            <w:pPr>
              <w:jc w:val="right"/>
              <w:rPr>
                <w:rFonts w:ascii="Arial Narrow" w:hAnsi="Arial Narrow" w:cs="Calibri"/>
                <w:sz w:val="16"/>
                <w:szCs w:val="16"/>
              </w:rPr>
            </w:pPr>
            <w:r w:rsidRPr="0043709B">
              <w:rPr>
                <w:rFonts w:ascii="Arial Narrow" w:hAnsi="Arial Narrow" w:cs="Calibri"/>
                <w:sz w:val="16"/>
                <w:szCs w:val="16"/>
              </w:rPr>
              <w:t>84,9</w:t>
            </w:r>
          </w:p>
        </w:tc>
        <w:tc>
          <w:tcPr>
            <w:tcW w:w="1300" w:type="dxa"/>
            <w:tcBorders>
              <w:top w:val="nil"/>
              <w:left w:val="nil"/>
              <w:bottom w:val="single" w:sz="4" w:space="0" w:color="auto"/>
              <w:right w:val="single" w:sz="4" w:space="0" w:color="auto"/>
            </w:tcBorders>
            <w:shd w:val="clear" w:color="auto" w:fill="auto"/>
            <w:noWrap/>
            <w:vAlign w:val="center"/>
            <w:hideMark/>
          </w:tcPr>
          <w:p w14:paraId="73983DFC" w14:textId="77777777" w:rsidR="0043709B" w:rsidRPr="0043709B" w:rsidRDefault="0043709B" w:rsidP="0043709B">
            <w:pPr>
              <w:jc w:val="right"/>
              <w:rPr>
                <w:rFonts w:ascii="Arial Narrow" w:hAnsi="Arial Narrow" w:cs="Calibri"/>
                <w:sz w:val="16"/>
                <w:szCs w:val="16"/>
              </w:rPr>
            </w:pPr>
            <w:r w:rsidRPr="0043709B">
              <w:rPr>
                <w:rFonts w:ascii="Arial Narrow" w:hAnsi="Arial Narrow" w:cs="Calibri"/>
                <w:sz w:val="16"/>
                <w:szCs w:val="16"/>
              </w:rPr>
              <w:t>4,5</w:t>
            </w:r>
          </w:p>
        </w:tc>
        <w:tc>
          <w:tcPr>
            <w:tcW w:w="1220" w:type="dxa"/>
            <w:tcBorders>
              <w:top w:val="nil"/>
              <w:left w:val="nil"/>
              <w:bottom w:val="single" w:sz="4" w:space="0" w:color="auto"/>
              <w:right w:val="single" w:sz="4" w:space="0" w:color="auto"/>
            </w:tcBorders>
            <w:shd w:val="clear" w:color="auto" w:fill="auto"/>
            <w:noWrap/>
            <w:vAlign w:val="center"/>
            <w:hideMark/>
          </w:tcPr>
          <w:p w14:paraId="328EE1A9" w14:textId="77777777" w:rsidR="0043709B" w:rsidRPr="0043709B" w:rsidRDefault="0043709B" w:rsidP="0043709B">
            <w:pPr>
              <w:jc w:val="right"/>
              <w:rPr>
                <w:rFonts w:ascii="Arial Narrow" w:hAnsi="Arial Narrow" w:cs="Calibri"/>
                <w:sz w:val="16"/>
                <w:szCs w:val="16"/>
              </w:rPr>
            </w:pPr>
            <w:r w:rsidRPr="0043709B">
              <w:rPr>
                <w:rFonts w:ascii="Arial Narrow" w:hAnsi="Arial Narrow" w:cs="Calibri"/>
                <w:sz w:val="16"/>
                <w:szCs w:val="16"/>
              </w:rPr>
              <w:t>93,3</w:t>
            </w:r>
          </w:p>
        </w:tc>
        <w:tc>
          <w:tcPr>
            <w:tcW w:w="1236" w:type="dxa"/>
            <w:tcBorders>
              <w:top w:val="nil"/>
              <w:left w:val="nil"/>
              <w:bottom w:val="single" w:sz="4" w:space="0" w:color="auto"/>
              <w:right w:val="single" w:sz="4" w:space="0" w:color="auto"/>
            </w:tcBorders>
            <w:shd w:val="clear" w:color="auto" w:fill="auto"/>
            <w:noWrap/>
            <w:vAlign w:val="center"/>
            <w:hideMark/>
          </w:tcPr>
          <w:p w14:paraId="2E73E6A3" w14:textId="77777777" w:rsidR="0043709B" w:rsidRPr="0043709B" w:rsidRDefault="0043709B" w:rsidP="0043709B">
            <w:pPr>
              <w:jc w:val="right"/>
              <w:rPr>
                <w:rFonts w:ascii="Arial Narrow" w:hAnsi="Arial Narrow" w:cs="Calibri"/>
                <w:sz w:val="16"/>
                <w:szCs w:val="16"/>
              </w:rPr>
            </w:pPr>
            <w:r w:rsidRPr="0043709B">
              <w:rPr>
                <w:rFonts w:ascii="Arial Narrow" w:hAnsi="Arial Narrow" w:cs="Calibri"/>
                <w:sz w:val="16"/>
                <w:szCs w:val="16"/>
              </w:rPr>
              <w:t>4,2</w:t>
            </w:r>
          </w:p>
        </w:tc>
        <w:tc>
          <w:tcPr>
            <w:tcW w:w="1260" w:type="dxa"/>
            <w:tcBorders>
              <w:top w:val="nil"/>
              <w:left w:val="nil"/>
              <w:bottom w:val="single" w:sz="4" w:space="0" w:color="auto"/>
              <w:right w:val="single" w:sz="4" w:space="0" w:color="auto"/>
            </w:tcBorders>
            <w:shd w:val="clear" w:color="auto" w:fill="auto"/>
            <w:noWrap/>
            <w:vAlign w:val="center"/>
            <w:hideMark/>
          </w:tcPr>
          <w:p w14:paraId="2F63D7AD" w14:textId="77777777" w:rsidR="0043709B" w:rsidRPr="0043709B" w:rsidRDefault="0043709B" w:rsidP="0043709B">
            <w:pPr>
              <w:jc w:val="right"/>
              <w:rPr>
                <w:rFonts w:ascii="Arial Narrow" w:hAnsi="Arial Narrow" w:cs="Arial"/>
                <w:sz w:val="16"/>
                <w:szCs w:val="16"/>
              </w:rPr>
            </w:pPr>
            <w:r w:rsidRPr="0043709B">
              <w:rPr>
                <w:rFonts w:ascii="Arial Narrow" w:hAnsi="Arial Narrow" w:cs="Arial"/>
                <w:sz w:val="16"/>
                <w:szCs w:val="16"/>
              </w:rPr>
              <w:t>79,2</w:t>
            </w:r>
          </w:p>
        </w:tc>
      </w:tr>
      <w:tr w:rsidR="0043709B" w:rsidRPr="0043709B" w14:paraId="7EF3A89A" w14:textId="77777777" w:rsidTr="0043709B">
        <w:trPr>
          <w:trHeight w:val="250"/>
        </w:trPr>
        <w:tc>
          <w:tcPr>
            <w:tcW w:w="781" w:type="dxa"/>
            <w:tcBorders>
              <w:top w:val="nil"/>
              <w:left w:val="single" w:sz="4" w:space="0" w:color="auto"/>
              <w:bottom w:val="single" w:sz="4" w:space="0" w:color="auto"/>
              <w:right w:val="single" w:sz="4" w:space="0" w:color="auto"/>
            </w:tcBorders>
            <w:shd w:val="clear" w:color="auto" w:fill="auto"/>
            <w:noWrap/>
            <w:vAlign w:val="center"/>
            <w:hideMark/>
          </w:tcPr>
          <w:p w14:paraId="0E94A50B" w14:textId="77777777" w:rsidR="0043709B" w:rsidRPr="0043709B" w:rsidRDefault="0043709B" w:rsidP="0043709B">
            <w:pPr>
              <w:rPr>
                <w:rFonts w:ascii="Arial Narrow" w:hAnsi="Arial Narrow" w:cs="Arial"/>
                <w:sz w:val="16"/>
                <w:szCs w:val="16"/>
              </w:rPr>
            </w:pPr>
            <w:r w:rsidRPr="0043709B">
              <w:rPr>
                <w:rFonts w:ascii="Arial Narrow" w:hAnsi="Arial Narrow" w:cs="Arial"/>
                <w:sz w:val="16"/>
                <w:szCs w:val="16"/>
              </w:rPr>
              <w:t>01.3</w:t>
            </w:r>
          </w:p>
        </w:tc>
        <w:tc>
          <w:tcPr>
            <w:tcW w:w="3016" w:type="dxa"/>
            <w:tcBorders>
              <w:top w:val="nil"/>
              <w:left w:val="nil"/>
              <w:bottom w:val="single" w:sz="4" w:space="0" w:color="auto"/>
              <w:right w:val="single" w:sz="4" w:space="0" w:color="auto"/>
            </w:tcBorders>
            <w:shd w:val="clear" w:color="auto" w:fill="auto"/>
            <w:noWrap/>
            <w:vAlign w:val="center"/>
            <w:hideMark/>
          </w:tcPr>
          <w:p w14:paraId="778C4BF8" w14:textId="77777777" w:rsidR="0043709B" w:rsidRPr="0043709B" w:rsidRDefault="0043709B" w:rsidP="00CD44F3">
            <w:pPr>
              <w:ind w:firstLine="138"/>
              <w:rPr>
                <w:rFonts w:ascii="Arial Narrow" w:hAnsi="Arial Narrow" w:cs="Calibri"/>
                <w:sz w:val="16"/>
                <w:szCs w:val="16"/>
              </w:rPr>
            </w:pPr>
            <w:r w:rsidRPr="0043709B">
              <w:rPr>
                <w:rFonts w:ascii="Arial Narrow" w:hAnsi="Arial Narrow" w:cs="Calibri"/>
                <w:sz w:val="16"/>
                <w:szCs w:val="16"/>
              </w:rPr>
              <w:t>Ечемик</w:t>
            </w:r>
          </w:p>
        </w:tc>
        <w:tc>
          <w:tcPr>
            <w:tcW w:w="1180" w:type="dxa"/>
            <w:tcBorders>
              <w:top w:val="nil"/>
              <w:left w:val="nil"/>
              <w:bottom w:val="single" w:sz="4" w:space="0" w:color="auto"/>
              <w:right w:val="single" w:sz="4" w:space="0" w:color="auto"/>
            </w:tcBorders>
            <w:shd w:val="clear" w:color="auto" w:fill="auto"/>
            <w:vAlign w:val="center"/>
          </w:tcPr>
          <w:p w14:paraId="5C4B530A" w14:textId="77777777" w:rsidR="0043709B" w:rsidRPr="0043709B" w:rsidRDefault="0043709B" w:rsidP="0043709B">
            <w:pPr>
              <w:jc w:val="right"/>
              <w:rPr>
                <w:rFonts w:ascii="Arial Narrow" w:hAnsi="Arial Narrow" w:cs="Calibri"/>
                <w:sz w:val="16"/>
                <w:szCs w:val="16"/>
              </w:rPr>
            </w:pPr>
            <w:r w:rsidRPr="0043709B">
              <w:rPr>
                <w:rFonts w:ascii="Arial Narrow" w:hAnsi="Arial Narrow" w:cs="Calibri"/>
                <w:sz w:val="16"/>
                <w:szCs w:val="16"/>
              </w:rPr>
              <w:t>283,1</w:t>
            </w:r>
          </w:p>
        </w:tc>
        <w:tc>
          <w:tcPr>
            <w:tcW w:w="1170" w:type="dxa"/>
            <w:tcBorders>
              <w:top w:val="nil"/>
              <w:left w:val="nil"/>
              <w:bottom w:val="single" w:sz="4" w:space="0" w:color="auto"/>
              <w:right w:val="single" w:sz="4" w:space="0" w:color="auto"/>
            </w:tcBorders>
            <w:shd w:val="clear" w:color="auto" w:fill="auto"/>
            <w:noWrap/>
            <w:vAlign w:val="center"/>
            <w:hideMark/>
          </w:tcPr>
          <w:p w14:paraId="50BDA0D7" w14:textId="77777777" w:rsidR="0043709B" w:rsidRPr="0043709B" w:rsidRDefault="0043709B" w:rsidP="0043709B">
            <w:pPr>
              <w:jc w:val="right"/>
              <w:rPr>
                <w:rFonts w:ascii="Arial Narrow" w:hAnsi="Arial Narrow" w:cs="Calibri"/>
                <w:sz w:val="16"/>
                <w:szCs w:val="16"/>
              </w:rPr>
            </w:pPr>
            <w:r w:rsidRPr="0043709B">
              <w:rPr>
                <w:rFonts w:ascii="Arial Narrow" w:hAnsi="Arial Narrow" w:cs="Calibri"/>
                <w:sz w:val="16"/>
                <w:szCs w:val="16"/>
              </w:rPr>
              <w:t>136,6</w:t>
            </w:r>
          </w:p>
        </w:tc>
        <w:tc>
          <w:tcPr>
            <w:tcW w:w="1300" w:type="dxa"/>
            <w:tcBorders>
              <w:top w:val="nil"/>
              <w:left w:val="nil"/>
              <w:bottom w:val="single" w:sz="4" w:space="0" w:color="auto"/>
              <w:right w:val="single" w:sz="4" w:space="0" w:color="auto"/>
            </w:tcBorders>
            <w:shd w:val="clear" w:color="auto" w:fill="auto"/>
            <w:noWrap/>
            <w:vAlign w:val="center"/>
            <w:hideMark/>
          </w:tcPr>
          <w:p w14:paraId="15D03BC3" w14:textId="77777777" w:rsidR="0043709B" w:rsidRPr="0043709B" w:rsidRDefault="0043709B" w:rsidP="0043709B">
            <w:pPr>
              <w:jc w:val="right"/>
              <w:rPr>
                <w:rFonts w:ascii="Arial Narrow" w:hAnsi="Arial Narrow" w:cs="Calibri"/>
                <w:sz w:val="16"/>
                <w:szCs w:val="16"/>
              </w:rPr>
            </w:pPr>
            <w:r w:rsidRPr="0043709B">
              <w:rPr>
                <w:rFonts w:ascii="Arial Narrow" w:hAnsi="Arial Narrow" w:cs="Calibri"/>
                <w:sz w:val="16"/>
                <w:szCs w:val="16"/>
              </w:rPr>
              <w:t>386,7</w:t>
            </w:r>
          </w:p>
        </w:tc>
        <w:tc>
          <w:tcPr>
            <w:tcW w:w="1220" w:type="dxa"/>
            <w:tcBorders>
              <w:top w:val="nil"/>
              <w:left w:val="nil"/>
              <w:bottom w:val="single" w:sz="4" w:space="0" w:color="auto"/>
              <w:right w:val="single" w:sz="4" w:space="0" w:color="auto"/>
            </w:tcBorders>
            <w:shd w:val="clear" w:color="auto" w:fill="auto"/>
            <w:noWrap/>
            <w:vAlign w:val="center"/>
            <w:hideMark/>
          </w:tcPr>
          <w:p w14:paraId="709171A4" w14:textId="77777777" w:rsidR="0043709B" w:rsidRPr="0043709B" w:rsidRDefault="0043709B" w:rsidP="0043709B">
            <w:pPr>
              <w:jc w:val="right"/>
              <w:rPr>
                <w:rFonts w:ascii="Arial Narrow" w:hAnsi="Arial Narrow" w:cs="Calibri"/>
                <w:sz w:val="16"/>
                <w:szCs w:val="16"/>
              </w:rPr>
            </w:pPr>
            <w:r w:rsidRPr="0043709B">
              <w:rPr>
                <w:rFonts w:ascii="Arial Narrow" w:hAnsi="Arial Narrow" w:cs="Calibri"/>
                <w:sz w:val="16"/>
                <w:szCs w:val="16"/>
              </w:rPr>
              <w:t>84,9</w:t>
            </w:r>
          </w:p>
        </w:tc>
        <w:tc>
          <w:tcPr>
            <w:tcW w:w="1236" w:type="dxa"/>
            <w:tcBorders>
              <w:top w:val="nil"/>
              <w:left w:val="nil"/>
              <w:bottom w:val="single" w:sz="4" w:space="0" w:color="auto"/>
              <w:right w:val="single" w:sz="4" w:space="0" w:color="auto"/>
            </w:tcBorders>
            <w:shd w:val="clear" w:color="auto" w:fill="auto"/>
            <w:noWrap/>
            <w:vAlign w:val="center"/>
            <w:hideMark/>
          </w:tcPr>
          <w:p w14:paraId="16C19D90" w14:textId="77777777" w:rsidR="0043709B" w:rsidRPr="0043709B" w:rsidRDefault="0043709B" w:rsidP="0043709B">
            <w:pPr>
              <w:jc w:val="right"/>
              <w:rPr>
                <w:rFonts w:ascii="Arial Narrow" w:hAnsi="Arial Narrow" w:cs="Calibri"/>
                <w:sz w:val="16"/>
                <w:szCs w:val="16"/>
              </w:rPr>
            </w:pPr>
            <w:r w:rsidRPr="0043709B">
              <w:rPr>
                <w:rFonts w:ascii="Arial Narrow" w:hAnsi="Arial Narrow" w:cs="Calibri"/>
                <w:sz w:val="16"/>
                <w:szCs w:val="16"/>
              </w:rPr>
              <w:t>328,2</w:t>
            </w:r>
          </w:p>
        </w:tc>
        <w:tc>
          <w:tcPr>
            <w:tcW w:w="1260" w:type="dxa"/>
            <w:tcBorders>
              <w:top w:val="nil"/>
              <w:left w:val="nil"/>
              <w:bottom w:val="single" w:sz="4" w:space="0" w:color="auto"/>
              <w:right w:val="single" w:sz="4" w:space="0" w:color="auto"/>
            </w:tcBorders>
            <w:shd w:val="clear" w:color="auto" w:fill="auto"/>
            <w:noWrap/>
            <w:vAlign w:val="center"/>
            <w:hideMark/>
          </w:tcPr>
          <w:p w14:paraId="1CC64FE4" w14:textId="77777777" w:rsidR="0043709B" w:rsidRPr="0043709B" w:rsidRDefault="0043709B" w:rsidP="0043709B">
            <w:pPr>
              <w:jc w:val="right"/>
              <w:rPr>
                <w:rFonts w:ascii="Arial Narrow" w:hAnsi="Arial Narrow" w:cs="Arial"/>
                <w:sz w:val="16"/>
                <w:szCs w:val="16"/>
              </w:rPr>
            </w:pPr>
            <w:r w:rsidRPr="0043709B">
              <w:rPr>
                <w:rFonts w:ascii="Arial Narrow" w:hAnsi="Arial Narrow" w:cs="Arial"/>
                <w:sz w:val="16"/>
                <w:szCs w:val="16"/>
              </w:rPr>
              <w:t>115,9</w:t>
            </w:r>
          </w:p>
        </w:tc>
      </w:tr>
      <w:tr w:rsidR="0043709B" w:rsidRPr="0043709B" w14:paraId="3B41AC8A" w14:textId="77777777" w:rsidTr="0043709B">
        <w:trPr>
          <w:trHeight w:val="250"/>
        </w:trPr>
        <w:tc>
          <w:tcPr>
            <w:tcW w:w="781" w:type="dxa"/>
            <w:tcBorders>
              <w:top w:val="nil"/>
              <w:left w:val="single" w:sz="4" w:space="0" w:color="auto"/>
              <w:bottom w:val="single" w:sz="4" w:space="0" w:color="auto"/>
              <w:right w:val="single" w:sz="4" w:space="0" w:color="auto"/>
            </w:tcBorders>
            <w:shd w:val="clear" w:color="auto" w:fill="auto"/>
            <w:noWrap/>
            <w:vAlign w:val="center"/>
            <w:hideMark/>
          </w:tcPr>
          <w:p w14:paraId="649826C9" w14:textId="77777777" w:rsidR="0043709B" w:rsidRPr="0043709B" w:rsidRDefault="0043709B" w:rsidP="0043709B">
            <w:pPr>
              <w:rPr>
                <w:rFonts w:ascii="Arial Narrow" w:hAnsi="Arial Narrow" w:cs="Arial"/>
                <w:sz w:val="16"/>
                <w:szCs w:val="16"/>
              </w:rPr>
            </w:pPr>
            <w:r w:rsidRPr="0043709B">
              <w:rPr>
                <w:rFonts w:ascii="Arial Narrow" w:hAnsi="Arial Narrow" w:cs="Arial"/>
                <w:sz w:val="16"/>
                <w:szCs w:val="16"/>
              </w:rPr>
              <w:t>01.4</w:t>
            </w:r>
          </w:p>
        </w:tc>
        <w:tc>
          <w:tcPr>
            <w:tcW w:w="3016" w:type="dxa"/>
            <w:tcBorders>
              <w:top w:val="nil"/>
              <w:left w:val="nil"/>
              <w:bottom w:val="single" w:sz="4" w:space="0" w:color="auto"/>
              <w:right w:val="single" w:sz="4" w:space="0" w:color="auto"/>
            </w:tcBorders>
            <w:shd w:val="clear" w:color="auto" w:fill="auto"/>
            <w:noWrap/>
            <w:vAlign w:val="center"/>
            <w:hideMark/>
          </w:tcPr>
          <w:p w14:paraId="3C14DD30" w14:textId="77777777" w:rsidR="0043709B" w:rsidRPr="0043709B" w:rsidRDefault="0043709B" w:rsidP="00CD44F3">
            <w:pPr>
              <w:ind w:firstLine="138"/>
              <w:rPr>
                <w:rFonts w:ascii="Arial Narrow" w:hAnsi="Arial Narrow" w:cs="Calibri"/>
                <w:sz w:val="16"/>
                <w:szCs w:val="16"/>
              </w:rPr>
            </w:pPr>
            <w:r w:rsidRPr="0043709B">
              <w:rPr>
                <w:rFonts w:ascii="Arial Narrow" w:hAnsi="Arial Narrow" w:cs="Calibri"/>
                <w:sz w:val="16"/>
                <w:szCs w:val="16"/>
              </w:rPr>
              <w:t>Овес и зърнени смески</w:t>
            </w:r>
          </w:p>
        </w:tc>
        <w:tc>
          <w:tcPr>
            <w:tcW w:w="1180" w:type="dxa"/>
            <w:tcBorders>
              <w:top w:val="nil"/>
              <w:left w:val="nil"/>
              <w:bottom w:val="single" w:sz="4" w:space="0" w:color="auto"/>
              <w:right w:val="single" w:sz="4" w:space="0" w:color="auto"/>
            </w:tcBorders>
            <w:shd w:val="clear" w:color="auto" w:fill="auto"/>
            <w:vAlign w:val="center"/>
          </w:tcPr>
          <w:p w14:paraId="0776510F" w14:textId="77777777" w:rsidR="0043709B" w:rsidRPr="0043709B" w:rsidRDefault="0043709B" w:rsidP="0043709B">
            <w:pPr>
              <w:jc w:val="right"/>
              <w:rPr>
                <w:rFonts w:ascii="Arial Narrow" w:hAnsi="Arial Narrow" w:cs="Calibri"/>
                <w:sz w:val="16"/>
                <w:szCs w:val="16"/>
              </w:rPr>
            </w:pPr>
            <w:r w:rsidRPr="0043709B">
              <w:rPr>
                <w:rFonts w:ascii="Arial Narrow" w:hAnsi="Arial Narrow" w:cs="Calibri"/>
                <w:sz w:val="16"/>
                <w:szCs w:val="16"/>
              </w:rPr>
              <w:t>12,5</w:t>
            </w:r>
          </w:p>
        </w:tc>
        <w:tc>
          <w:tcPr>
            <w:tcW w:w="1170" w:type="dxa"/>
            <w:tcBorders>
              <w:top w:val="nil"/>
              <w:left w:val="nil"/>
              <w:bottom w:val="single" w:sz="4" w:space="0" w:color="auto"/>
              <w:right w:val="single" w:sz="4" w:space="0" w:color="auto"/>
            </w:tcBorders>
            <w:shd w:val="clear" w:color="auto" w:fill="auto"/>
            <w:noWrap/>
            <w:vAlign w:val="center"/>
            <w:hideMark/>
          </w:tcPr>
          <w:p w14:paraId="61105F06" w14:textId="77777777" w:rsidR="0043709B" w:rsidRPr="0043709B" w:rsidRDefault="0043709B" w:rsidP="0043709B">
            <w:pPr>
              <w:jc w:val="right"/>
              <w:rPr>
                <w:rFonts w:ascii="Arial Narrow" w:hAnsi="Arial Narrow" w:cs="Calibri"/>
                <w:sz w:val="16"/>
                <w:szCs w:val="16"/>
              </w:rPr>
            </w:pPr>
            <w:r w:rsidRPr="0043709B">
              <w:rPr>
                <w:rFonts w:ascii="Arial Narrow" w:hAnsi="Arial Narrow" w:cs="Calibri"/>
                <w:sz w:val="16"/>
                <w:szCs w:val="16"/>
              </w:rPr>
              <w:t>183,2</w:t>
            </w:r>
          </w:p>
        </w:tc>
        <w:tc>
          <w:tcPr>
            <w:tcW w:w="1300" w:type="dxa"/>
            <w:tcBorders>
              <w:top w:val="nil"/>
              <w:left w:val="nil"/>
              <w:bottom w:val="single" w:sz="4" w:space="0" w:color="auto"/>
              <w:right w:val="single" w:sz="4" w:space="0" w:color="auto"/>
            </w:tcBorders>
            <w:shd w:val="clear" w:color="auto" w:fill="auto"/>
            <w:noWrap/>
            <w:vAlign w:val="center"/>
            <w:hideMark/>
          </w:tcPr>
          <w:p w14:paraId="4C1A5A52" w14:textId="77777777" w:rsidR="0043709B" w:rsidRPr="0043709B" w:rsidRDefault="0043709B" w:rsidP="0043709B">
            <w:pPr>
              <w:jc w:val="right"/>
              <w:rPr>
                <w:rFonts w:ascii="Arial Narrow" w:hAnsi="Arial Narrow" w:cs="Calibri"/>
                <w:sz w:val="16"/>
                <w:szCs w:val="16"/>
              </w:rPr>
            </w:pPr>
            <w:r w:rsidRPr="0043709B">
              <w:rPr>
                <w:rFonts w:ascii="Arial Narrow" w:hAnsi="Arial Narrow" w:cs="Calibri"/>
                <w:sz w:val="16"/>
                <w:szCs w:val="16"/>
              </w:rPr>
              <w:t>22,9</w:t>
            </w:r>
          </w:p>
        </w:tc>
        <w:tc>
          <w:tcPr>
            <w:tcW w:w="1220" w:type="dxa"/>
            <w:tcBorders>
              <w:top w:val="nil"/>
              <w:left w:val="nil"/>
              <w:bottom w:val="single" w:sz="4" w:space="0" w:color="auto"/>
              <w:right w:val="single" w:sz="4" w:space="0" w:color="auto"/>
            </w:tcBorders>
            <w:shd w:val="clear" w:color="auto" w:fill="auto"/>
            <w:noWrap/>
            <w:vAlign w:val="center"/>
            <w:hideMark/>
          </w:tcPr>
          <w:p w14:paraId="2A07E045" w14:textId="77777777" w:rsidR="0043709B" w:rsidRPr="0043709B" w:rsidRDefault="0043709B" w:rsidP="0043709B">
            <w:pPr>
              <w:jc w:val="right"/>
              <w:rPr>
                <w:rFonts w:ascii="Arial Narrow" w:hAnsi="Arial Narrow" w:cs="Calibri"/>
                <w:sz w:val="16"/>
                <w:szCs w:val="16"/>
              </w:rPr>
            </w:pPr>
            <w:r w:rsidRPr="0043709B">
              <w:rPr>
                <w:rFonts w:ascii="Arial Narrow" w:hAnsi="Arial Narrow" w:cs="Calibri"/>
                <w:sz w:val="16"/>
                <w:szCs w:val="16"/>
              </w:rPr>
              <w:t>80,8</w:t>
            </w:r>
          </w:p>
        </w:tc>
        <w:tc>
          <w:tcPr>
            <w:tcW w:w="1236" w:type="dxa"/>
            <w:tcBorders>
              <w:top w:val="nil"/>
              <w:left w:val="nil"/>
              <w:bottom w:val="single" w:sz="4" w:space="0" w:color="auto"/>
              <w:right w:val="single" w:sz="4" w:space="0" w:color="auto"/>
            </w:tcBorders>
            <w:shd w:val="clear" w:color="auto" w:fill="auto"/>
            <w:noWrap/>
            <w:vAlign w:val="center"/>
            <w:hideMark/>
          </w:tcPr>
          <w:p w14:paraId="0B3380CD" w14:textId="77777777" w:rsidR="0043709B" w:rsidRPr="0043709B" w:rsidRDefault="0043709B" w:rsidP="0043709B">
            <w:pPr>
              <w:jc w:val="right"/>
              <w:rPr>
                <w:rFonts w:ascii="Arial Narrow" w:hAnsi="Arial Narrow" w:cs="Calibri"/>
                <w:sz w:val="16"/>
                <w:szCs w:val="16"/>
              </w:rPr>
            </w:pPr>
            <w:r w:rsidRPr="0043709B">
              <w:rPr>
                <w:rFonts w:ascii="Arial Narrow" w:hAnsi="Arial Narrow" w:cs="Calibri"/>
                <w:sz w:val="16"/>
                <w:szCs w:val="16"/>
              </w:rPr>
              <w:t>18,5</w:t>
            </w:r>
          </w:p>
        </w:tc>
        <w:tc>
          <w:tcPr>
            <w:tcW w:w="1260" w:type="dxa"/>
            <w:tcBorders>
              <w:top w:val="nil"/>
              <w:left w:val="nil"/>
              <w:bottom w:val="single" w:sz="4" w:space="0" w:color="auto"/>
              <w:right w:val="single" w:sz="4" w:space="0" w:color="auto"/>
            </w:tcBorders>
            <w:shd w:val="clear" w:color="auto" w:fill="auto"/>
            <w:noWrap/>
            <w:vAlign w:val="center"/>
            <w:hideMark/>
          </w:tcPr>
          <w:p w14:paraId="51E0E1C2" w14:textId="77777777" w:rsidR="0043709B" w:rsidRPr="0043709B" w:rsidRDefault="0043709B" w:rsidP="0043709B">
            <w:pPr>
              <w:jc w:val="right"/>
              <w:rPr>
                <w:rFonts w:ascii="Arial Narrow" w:hAnsi="Arial Narrow" w:cs="Arial"/>
                <w:sz w:val="16"/>
                <w:szCs w:val="16"/>
              </w:rPr>
            </w:pPr>
            <w:r w:rsidRPr="0043709B">
              <w:rPr>
                <w:rFonts w:ascii="Arial Narrow" w:hAnsi="Arial Narrow" w:cs="Arial"/>
                <w:sz w:val="16"/>
                <w:szCs w:val="16"/>
              </w:rPr>
              <w:t>148,0</w:t>
            </w:r>
          </w:p>
        </w:tc>
      </w:tr>
      <w:tr w:rsidR="0043709B" w:rsidRPr="0043709B" w14:paraId="6F28C1DF" w14:textId="77777777" w:rsidTr="0043709B">
        <w:trPr>
          <w:trHeight w:val="250"/>
        </w:trPr>
        <w:tc>
          <w:tcPr>
            <w:tcW w:w="781" w:type="dxa"/>
            <w:tcBorders>
              <w:top w:val="nil"/>
              <w:left w:val="single" w:sz="4" w:space="0" w:color="auto"/>
              <w:bottom w:val="single" w:sz="4" w:space="0" w:color="auto"/>
              <w:right w:val="single" w:sz="4" w:space="0" w:color="auto"/>
            </w:tcBorders>
            <w:shd w:val="clear" w:color="auto" w:fill="auto"/>
            <w:noWrap/>
            <w:vAlign w:val="center"/>
            <w:hideMark/>
          </w:tcPr>
          <w:p w14:paraId="6184F489" w14:textId="77777777" w:rsidR="0043709B" w:rsidRPr="0043709B" w:rsidRDefault="0043709B" w:rsidP="0043709B">
            <w:pPr>
              <w:rPr>
                <w:rFonts w:ascii="Arial Narrow" w:hAnsi="Arial Narrow" w:cs="Arial"/>
                <w:sz w:val="16"/>
                <w:szCs w:val="16"/>
              </w:rPr>
            </w:pPr>
            <w:r w:rsidRPr="0043709B">
              <w:rPr>
                <w:rFonts w:ascii="Arial Narrow" w:hAnsi="Arial Narrow" w:cs="Arial"/>
                <w:sz w:val="16"/>
                <w:szCs w:val="16"/>
              </w:rPr>
              <w:t>01.5</w:t>
            </w:r>
          </w:p>
        </w:tc>
        <w:tc>
          <w:tcPr>
            <w:tcW w:w="3016" w:type="dxa"/>
            <w:tcBorders>
              <w:top w:val="nil"/>
              <w:left w:val="nil"/>
              <w:bottom w:val="single" w:sz="4" w:space="0" w:color="auto"/>
              <w:right w:val="single" w:sz="4" w:space="0" w:color="auto"/>
            </w:tcBorders>
            <w:shd w:val="clear" w:color="auto" w:fill="auto"/>
            <w:noWrap/>
            <w:vAlign w:val="center"/>
            <w:hideMark/>
          </w:tcPr>
          <w:p w14:paraId="44A613C5" w14:textId="77777777" w:rsidR="0043709B" w:rsidRPr="0043709B" w:rsidRDefault="0043709B" w:rsidP="00CD44F3">
            <w:pPr>
              <w:ind w:firstLine="138"/>
              <w:rPr>
                <w:rFonts w:ascii="Arial Narrow" w:hAnsi="Arial Narrow" w:cs="Calibri"/>
                <w:sz w:val="16"/>
                <w:szCs w:val="16"/>
              </w:rPr>
            </w:pPr>
            <w:r w:rsidRPr="0043709B">
              <w:rPr>
                <w:rFonts w:ascii="Arial Narrow" w:hAnsi="Arial Narrow" w:cs="Calibri"/>
                <w:sz w:val="16"/>
                <w:szCs w:val="16"/>
              </w:rPr>
              <w:t>Царевица за зърно</w:t>
            </w:r>
          </w:p>
        </w:tc>
        <w:tc>
          <w:tcPr>
            <w:tcW w:w="1180" w:type="dxa"/>
            <w:tcBorders>
              <w:top w:val="nil"/>
              <w:left w:val="nil"/>
              <w:bottom w:val="single" w:sz="4" w:space="0" w:color="auto"/>
              <w:right w:val="single" w:sz="4" w:space="0" w:color="auto"/>
            </w:tcBorders>
            <w:shd w:val="clear" w:color="auto" w:fill="auto"/>
            <w:vAlign w:val="center"/>
          </w:tcPr>
          <w:p w14:paraId="32514AE7" w14:textId="77777777" w:rsidR="0043709B" w:rsidRPr="0043709B" w:rsidRDefault="0043709B" w:rsidP="0043709B">
            <w:pPr>
              <w:jc w:val="right"/>
              <w:rPr>
                <w:rFonts w:ascii="Arial Narrow" w:hAnsi="Arial Narrow" w:cs="Calibri"/>
                <w:sz w:val="16"/>
                <w:szCs w:val="16"/>
              </w:rPr>
            </w:pPr>
            <w:r w:rsidRPr="0043709B">
              <w:rPr>
                <w:rFonts w:ascii="Arial Narrow" w:hAnsi="Arial Narrow" w:cs="Calibri"/>
                <w:sz w:val="16"/>
                <w:szCs w:val="16"/>
              </w:rPr>
              <w:t>1 003,7</w:t>
            </w:r>
          </w:p>
        </w:tc>
        <w:tc>
          <w:tcPr>
            <w:tcW w:w="1170" w:type="dxa"/>
            <w:tcBorders>
              <w:top w:val="nil"/>
              <w:left w:val="nil"/>
              <w:bottom w:val="single" w:sz="4" w:space="0" w:color="auto"/>
              <w:right w:val="single" w:sz="4" w:space="0" w:color="auto"/>
            </w:tcBorders>
            <w:shd w:val="clear" w:color="auto" w:fill="auto"/>
            <w:noWrap/>
            <w:vAlign w:val="center"/>
            <w:hideMark/>
          </w:tcPr>
          <w:p w14:paraId="73B34DB1" w14:textId="77777777" w:rsidR="0043709B" w:rsidRPr="0043709B" w:rsidRDefault="0043709B" w:rsidP="0043709B">
            <w:pPr>
              <w:jc w:val="right"/>
              <w:rPr>
                <w:rFonts w:ascii="Arial Narrow" w:hAnsi="Arial Narrow" w:cs="Calibri"/>
                <w:sz w:val="16"/>
                <w:szCs w:val="16"/>
              </w:rPr>
            </w:pPr>
            <w:r w:rsidRPr="0043709B">
              <w:rPr>
                <w:rFonts w:ascii="Arial Narrow" w:hAnsi="Arial Narrow" w:cs="Calibri"/>
                <w:sz w:val="16"/>
                <w:szCs w:val="16"/>
              </w:rPr>
              <w:t>66,5</w:t>
            </w:r>
          </w:p>
        </w:tc>
        <w:tc>
          <w:tcPr>
            <w:tcW w:w="1300" w:type="dxa"/>
            <w:tcBorders>
              <w:top w:val="nil"/>
              <w:left w:val="nil"/>
              <w:bottom w:val="single" w:sz="4" w:space="0" w:color="auto"/>
              <w:right w:val="single" w:sz="4" w:space="0" w:color="auto"/>
            </w:tcBorders>
            <w:shd w:val="clear" w:color="auto" w:fill="auto"/>
            <w:noWrap/>
            <w:vAlign w:val="center"/>
            <w:hideMark/>
          </w:tcPr>
          <w:p w14:paraId="40B86DF8" w14:textId="77777777" w:rsidR="0043709B" w:rsidRPr="0043709B" w:rsidRDefault="0043709B" w:rsidP="0043709B">
            <w:pPr>
              <w:jc w:val="right"/>
              <w:rPr>
                <w:rFonts w:ascii="Arial Narrow" w:hAnsi="Arial Narrow" w:cs="Calibri"/>
                <w:sz w:val="16"/>
                <w:szCs w:val="16"/>
              </w:rPr>
            </w:pPr>
            <w:r w:rsidRPr="0043709B">
              <w:rPr>
                <w:rFonts w:ascii="Arial Narrow" w:hAnsi="Arial Narrow" w:cs="Calibri"/>
                <w:sz w:val="16"/>
                <w:szCs w:val="16"/>
              </w:rPr>
              <w:t>667,3</w:t>
            </w:r>
          </w:p>
        </w:tc>
        <w:tc>
          <w:tcPr>
            <w:tcW w:w="1220" w:type="dxa"/>
            <w:tcBorders>
              <w:top w:val="nil"/>
              <w:left w:val="nil"/>
              <w:bottom w:val="single" w:sz="4" w:space="0" w:color="auto"/>
              <w:right w:val="single" w:sz="4" w:space="0" w:color="auto"/>
            </w:tcBorders>
            <w:shd w:val="clear" w:color="auto" w:fill="auto"/>
            <w:noWrap/>
            <w:vAlign w:val="center"/>
            <w:hideMark/>
          </w:tcPr>
          <w:p w14:paraId="7E5FA7DE" w14:textId="77777777" w:rsidR="0043709B" w:rsidRPr="0043709B" w:rsidRDefault="0043709B" w:rsidP="0043709B">
            <w:pPr>
              <w:jc w:val="right"/>
              <w:rPr>
                <w:rFonts w:ascii="Arial Narrow" w:hAnsi="Arial Narrow" w:cs="Calibri"/>
                <w:sz w:val="16"/>
                <w:szCs w:val="16"/>
              </w:rPr>
            </w:pPr>
            <w:r w:rsidRPr="0043709B">
              <w:rPr>
                <w:rFonts w:ascii="Arial Narrow" w:hAnsi="Arial Narrow" w:cs="Calibri"/>
                <w:sz w:val="16"/>
                <w:szCs w:val="16"/>
              </w:rPr>
              <w:t>84,5</w:t>
            </w:r>
          </w:p>
        </w:tc>
        <w:tc>
          <w:tcPr>
            <w:tcW w:w="1236" w:type="dxa"/>
            <w:tcBorders>
              <w:top w:val="nil"/>
              <w:left w:val="nil"/>
              <w:bottom w:val="single" w:sz="4" w:space="0" w:color="auto"/>
              <w:right w:val="single" w:sz="4" w:space="0" w:color="auto"/>
            </w:tcBorders>
            <w:shd w:val="clear" w:color="auto" w:fill="auto"/>
            <w:noWrap/>
            <w:vAlign w:val="center"/>
            <w:hideMark/>
          </w:tcPr>
          <w:p w14:paraId="36B7FB9E" w14:textId="77777777" w:rsidR="0043709B" w:rsidRPr="0043709B" w:rsidRDefault="0043709B" w:rsidP="0043709B">
            <w:pPr>
              <w:jc w:val="right"/>
              <w:rPr>
                <w:rFonts w:ascii="Arial Narrow" w:hAnsi="Arial Narrow" w:cs="Calibri"/>
                <w:sz w:val="16"/>
                <w:szCs w:val="16"/>
              </w:rPr>
            </w:pPr>
            <w:r w:rsidRPr="0043709B">
              <w:rPr>
                <w:rFonts w:ascii="Arial Narrow" w:hAnsi="Arial Narrow" w:cs="Calibri"/>
                <w:sz w:val="16"/>
                <w:szCs w:val="16"/>
              </w:rPr>
              <w:t>563,6</w:t>
            </w:r>
          </w:p>
        </w:tc>
        <w:tc>
          <w:tcPr>
            <w:tcW w:w="1260" w:type="dxa"/>
            <w:tcBorders>
              <w:top w:val="nil"/>
              <w:left w:val="nil"/>
              <w:bottom w:val="single" w:sz="4" w:space="0" w:color="auto"/>
              <w:right w:val="single" w:sz="4" w:space="0" w:color="auto"/>
            </w:tcBorders>
            <w:shd w:val="clear" w:color="auto" w:fill="auto"/>
            <w:noWrap/>
            <w:vAlign w:val="center"/>
            <w:hideMark/>
          </w:tcPr>
          <w:p w14:paraId="4B3C9B90" w14:textId="77777777" w:rsidR="0043709B" w:rsidRPr="0043709B" w:rsidRDefault="0043709B" w:rsidP="0043709B">
            <w:pPr>
              <w:jc w:val="right"/>
              <w:rPr>
                <w:rFonts w:ascii="Arial Narrow" w:hAnsi="Arial Narrow" w:cs="Arial"/>
                <w:sz w:val="16"/>
                <w:szCs w:val="16"/>
              </w:rPr>
            </w:pPr>
            <w:r w:rsidRPr="0043709B">
              <w:rPr>
                <w:rFonts w:ascii="Arial Narrow" w:hAnsi="Arial Narrow" w:cs="Arial"/>
                <w:sz w:val="16"/>
                <w:szCs w:val="16"/>
              </w:rPr>
              <w:t>56,2</w:t>
            </w:r>
          </w:p>
        </w:tc>
      </w:tr>
      <w:tr w:rsidR="0043709B" w:rsidRPr="0043709B" w14:paraId="5EAC417B" w14:textId="77777777" w:rsidTr="0043709B">
        <w:trPr>
          <w:trHeight w:val="250"/>
        </w:trPr>
        <w:tc>
          <w:tcPr>
            <w:tcW w:w="781" w:type="dxa"/>
            <w:tcBorders>
              <w:top w:val="nil"/>
              <w:left w:val="single" w:sz="4" w:space="0" w:color="auto"/>
              <w:bottom w:val="single" w:sz="4" w:space="0" w:color="auto"/>
              <w:right w:val="single" w:sz="4" w:space="0" w:color="auto"/>
            </w:tcBorders>
            <w:shd w:val="clear" w:color="auto" w:fill="auto"/>
            <w:noWrap/>
            <w:vAlign w:val="center"/>
            <w:hideMark/>
          </w:tcPr>
          <w:p w14:paraId="09A26AB2" w14:textId="77777777" w:rsidR="0043709B" w:rsidRPr="0043709B" w:rsidRDefault="0043709B" w:rsidP="0043709B">
            <w:pPr>
              <w:rPr>
                <w:rFonts w:ascii="Arial Narrow" w:hAnsi="Arial Narrow" w:cs="Arial"/>
                <w:sz w:val="16"/>
                <w:szCs w:val="16"/>
              </w:rPr>
            </w:pPr>
            <w:r w:rsidRPr="0043709B">
              <w:rPr>
                <w:rFonts w:ascii="Arial Narrow" w:hAnsi="Arial Narrow" w:cs="Arial"/>
                <w:sz w:val="16"/>
                <w:szCs w:val="16"/>
              </w:rPr>
              <w:t>01.6</w:t>
            </w:r>
          </w:p>
        </w:tc>
        <w:tc>
          <w:tcPr>
            <w:tcW w:w="3016" w:type="dxa"/>
            <w:tcBorders>
              <w:top w:val="nil"/>
              <w:left w:val="nil"/>
              <w:bottom w:val="single" w:sz="4" w:space="0" w:color="auto"/>
              <w:right w:val="single" w:sz="4" w:space="0" w:color="auto"/>
            </w:tcBorders>
            <w:shd w:val="clear" w:color="auto" w:fill="auto"/>
            <w:noWrap/>
            <w:vAlign w:val="center"/>
            <w:hideMark/>
          </w:tcPr>
          <w:p w14:paraId="36E3EAAF" w14:textId="77777777" w:rsidR="0043709B" w:rsidRPr="0043709B" w:rsidRDefault="0043709B" w:rsidP="00CD44F3">
            <w:pPr>
              <w:ind w:firstLine="138"/>
              <w:rPr>
                <w:rFonts w:ascii="Arial Narrow" w:hAnsi="Arial Narrow" w:cs="Calibri"/>
                <w:sz w:val="16"/>
                <w:szCs w:val="16"/>
              </w:rPr>
            </w:pPr>
            <w:r w:rsidRPr="0043709B">
              <w:rPr>
                <w:rFonts w:ascii="Arial Narrow" w:hAnsi="Arial Narrow" w:cs="Calibri"/>
                <w:sz w:val="16"/>
                <w:szCs w:val="16"/>
              </w:rPr>
              <w:t>Ориз</w:t>
            </w:r>
          </w:p>
        </w:tc>
        <w:tc>
          <w:tcPr>
            <w:tcW w:w="1180" w:type="dxa"/>
            <w:tcBorders>
              <w:top w:val="nil"/>
              <w:left w:val="nil"/>
              <w:bottom w:val="single" w:sz="4" w:space="0" w:color="auto"/>
              <w:right w:val="single" w:sz="4" w:space="0" w:color="auto"/>
            </w:tcBorders>
            <w:shd w:val="clear" w:color="auto" w:fill="auto"/>
            <w:vAlign w:val="center"/>
          </w:tcPr>
          <w:p w14:paraId="60AF0201" w14:textId="77777777" w:rsidR="0043709B" w:rsidRPr="0043709B" w:rsidRDefault="0043709B" w:rsidP="0043709B">
            <w:pPr>
              <w:jc w:val="right"/>
              <w:rPr>
                <w:rFonts w:ascii="Arial Narrow" w:hAnsi="Arial Narrow" w:cs="Calibri"/>
                <w:sz w:val="16"/>
                <w:szCs w:val="16"/>
              </w:rPr>
            </w:pPr>
            <w:r w:rsidRPr="0043709B">
              <w:rPr>
                <w:rFonts w:ascii="Arial Narrow" w:hAnsi="Arial Narrow" w:cs="Calibri"/>
                <w:sz w:val="16"/>
                <w:szCs w:val="16"/>
              </w:rPr>
              <w:t>80,1</w:t>
            </w:r>
          </w:p>
        </w:tc>
        <w:tc>
          <w:tcPr>
            <w:tcW w:w="1170" w:type="dxa"/>
            <w:tcBorders>
              <w:top w:val="nil"/>
              <w:left w:val="nil"/>
              <w:bottom w:val="single" w:sz="4" w:space="0" w:color="auto"/>
              <w:right w:val="single" w:sz="4" w:space="0" w:color="auto"/>
            </w:tcBorders>
            <w:shd w:val="clear" w:color="auto" w:fill="auto"/>
            <w:noWrap/>
            <w:vAlign w:val="center"/>
            <w:hideMark/>
          </w:tcPr>
          <w:p w14:paraId="34ECD6AD" w14:textId="77777777" w:rsidR="0043709B" w:rsidRPr="0043709B" w:rsidRDefault="0043709B" w:rsidP="0043709B">
            <w:pPr>
              <w:jc w:val="right"/>
              <w:rPr>
                <w:rFonts w:ascii="Arial Narrow" w:hAnsi="Arial Narrow" w:cs="Calibri"/>
                <w:sz w:val="16"/>
                <w:szCs w:val="16"/>
              </w:rPr>
            </w:pPr>
            <w:r w:rsidRPr="0043709B">
              <w:rPr>
                <w:rFonts w:ascii="Arial Narrow" w:hAnsi="Arial Narrow" w:cs="Calibri"/>
                <w:sz w:val="16"/>
                <w:szCs w:val="16"/>
              </w:rPr>
              <w:t>95,3</w:t>
            </w:r>
          </w:p>
        </w:tc>
        <w:tc>
          <w:tcPr>
            <w:tcW w:w="1300" w:type="dxa"/>
            <w:tcBorders>
              <w:top w:val="nil"/>
              <w:left w:val="nil"/>
              <w:bottom w:val="single" w:sz="4" w:space="0" w:color="auto"/>
              <w:right w:val="single" w:sz="4" w:space="0" w:color="auto"/>
            </w:tcBorders>
            <w:shd w:val="clear" w:color="auto" w:fill="auto"/>
            <w:noWrap/>
            <w:vAlign w:val="center"/>
            <w:hideMark/>
          </w:tcPr>
          <w:p w14:paraId="7CF47D6A" w14:textId="77777777" w:rsidR="0043709B" w:rsidRPr="0043709B" w:rsidRDefault="0043709B" w:rsidP="0043709B">
            <w:pPr>
              <w:jc w:val="right"/>
              <w:rPr>
                <w:rFonts w:ascii="Arial Narrow" w:hAnsi="Arial Narrow" w:cs="Calibri"/>
                <w:sz w:val="16"/>
                <w:szCs w:val="16"/>
              </w:rPr>
            </w:pPr>
            <w:r w:rsidRPr="0043709B">
              <w:rPr>
                <w:rFonts w:ascii="Arial Narrow" w:hAnsi="Arial Narrow" w:cs="Calibri"/>
                <w:sz w:val="16"/>
                <w:szCs w:val="16"/>
              </w:rPr>
              <w:t>76,3</w:t>
            </w:r>
          </w:p>
        </w:tc>
        <w:tc>
          <w:tcPr>
            <w:tcW w:w="1220" w:type="dxa"/>
            <w:tcBorders>
              <w:top w:val="nil"/>
              <w:left w:val="nil"/>
              <w:bottom w:val="single" w:sz="4" w:space="0" w:color="auto"/>
              <w:right w:val="single" w:sz="4" w:space="0" w:color="auto"/>
            </w:tcBorders>
            <w:shd w:val="clear" w:color="auto" w:fill="auto"/>
            <w:noWrap/>
            <w:vAlign w:val="center"/>
            <w:hideMark/>
          </w:tcPr>
          <w:p w14:paraId="4A7C5227" w14:textId="77777777" w:rsidR="0043709B" w:rsidRPr="0043709B" w:rsidRDefault="0043709B" w:rsidP="0043709B">
            <w:pPr>
              <w:jc w:val="right"/>
              <w:rPr>
                <w:rFonts w:ascii="Arial Narrow" w:hAnsi="Arial Narrow" w:cs="Calibri"/>
                <w:sz w:val="16"/>
                <w:szCs w:val="16"/>
              </w:rPr>
            </w:pPr>
            <w:r w:rsidRPr="0043709B">
              <w:rPr>
                <w:rFonts w:ascii="Arial Narrow" w:hAnsi="Arial Narrow" w:cs="Calibri"/>
                <w:sz w:val="16"/>
                <w:szCs w:val="16"/>
              </w:rPr>
              <w:t>88,6</w:t>
            </w:r>
          </w:p>
        </w:tc>
        <w:tc>
          <w:tcPr>
            <w:tcW w:w="1236" w:type="dxa"/>
            <w:tcBorders>
              <w:top w:val="nil"/>
              <w:left w:val="nil"/>
              <w:bottom w:val="single" w:sz="4" w:space="0" w:color="auto"/>
              <w:right w:val="single" w:sz="4" w:space="0" w:color="auto"/>
            </w:tcBorders>
            <w:shd w:val="clear" w:color="auto" w:fill="auto"/>
            <w:noWrap/>
            <w:vAlign w:val="center"/>
            <w:hideMark/>
          </w:tcPr>
          <w:p w14:paraId="1E688BBF" w14:textId="77777777" w:rsidR="0043709B" w:rsidRPr="0043709B" w:rsidRDefault="0043709B" w:rsidP="0043709B">
            <w:pPr>
              <w:jc w:val="right"/>
              <w:rPr>
                <w:rFonts w:ascii="Arial Narrow" w:hAnsi="Arial Narrow" w:cs="Calibri"/>
                <w:sz w:val="16"/>
                <w:szCs w:val="16"/>
              </w:rPr>
            </w:pPr>
            <w:r w:rsidRPr="0043709B">
              <w:rPr>
                <w:rFonts w:ascii="Arial Narrow" w:hAnsi="Arial Narrow" w:cs="Calibri"/>
                <w:sz w:val="16"/>
                <w:szCs w:val="16"/>
              </w:rPr>
              <w:t>67,6</w:t>
            </w:r>
          </w:p>
        </w:tc>
        <w:tc>
          <w:tcPr>
            <w:tcW w:w="1260" w:type="dxa"/>
            <w:tcBorders>
              <w:top w:val="nil"/>
              <w:left w:val="nil"/>
              <w:bottom w:val="single" w:sz="4" w:space="0" w:color="auto"/>
              <w:right w:val="single" w:sz="4" w:space="0" w:color="auto"/>
            </w:tcBorders>
            <w:shd w:val="clear" w:color="auto" w:fill="auto"/>
            <w:noWrap/>
            <w:vAlign w:val="center"/>
            <w:hideMark/>
          </w:tcPr>
          <w:p w14:paraId="2BC5CF3E" w14:textId="77777777" w:rsidR="0043709B" w:rsidRPr="0043709B" w:rsidRDefault="0043709B" w:rsidP="0043709B">
            <w:pPr>
              <w:jc w:val="right"/>
              <w:rPr>
                <w:rFonts w:ascii="Arial Narrow" w:hAnsi="Arial Narrow" w:cs="Arial"/>
                <w:sz w:val="16"/>
                <w:szCs w:val="16"/>
              </w:rPr>
            </w:pPr>
            <w:r w:rsidRPr="0043709B">
              <w:rPr>
                <w:rFonts w:ascii="Arial Narrow" w:hAnsi="Arial Narrow" w:cs="Arial"/>
                <w:sz w:val="16"/>
                <w:szCs w:val="16"/>
              </w:rPr>
              <w:t>84,4</w:t>
            </w:r>
          </w:p>
        </w:tc>
      </w:tr>
      <w:tr w:rsidR="0043709B" w:rsidRPr="0043709B" w14:paraId="345BA56B" w14:textId="77777777" w:rsidTr="0043709B">
        <w:trPr>
          <w:trHeight w:val="250"/>
        </w:trPr>
        <w:tc>
          <w:tcPr>
            <w:tcW w:w="781" w:type="dxa"/>
            <w:tcBorders>
              <w:top w:val="nil"/>
              <w:left w:val="single" w:sz="4" w:space="0" w:color="auto"/>
              <w:bottom w:val="single" w:sz="4" w:space="0" w:color="auto"/>
              <w:right w:val="single" w:sz="4" w:space="0" w:color="auto"/>
            </w:tcBorders>
            <w:shd w:val="clear" w:color="auto" w:fill="auto"/>
            <w:noWrap/>
            <w:vAlign w:val="center"/>
            <w:hideMark/>
          </w:tcPr>
          <w:p w14:paraId="11590239" w14:textId="77777777" w:rsidR="0043709B" w:rsidRPr="0043709B" w:rsidRDefault="0043709B" w:rsidP="0043709B">
            <w:pPr>
              <w:rPr>
                <w:rFonts w:ascii="Arial Narrow" w:hAnsi="Arial Narrow" w:cs="Arial"/>
                <w:sz w:val="16"/>
                <w:szCs w:val="16"/>
              </w:rPr>
            </w:pPr>
            <w:r w:rsidRPr="0043709B">
              <w:rPr>
                <w:rFonts w:ascii="Arial Narrow" w:hAnsi="Arial Narrow" w:cs="Arial"/>
                <w:sz w:val="16"/>
                <w:szCs w:val="16"/>
              </w:rPr>
              <w:t>01.7</w:t>
            </w:r>
          </w:p>
        </w:tc>
        <w:tc>
          <w:tcPr>
            <w:tcW w:w="3016" w:type="dxa"/>
            <w:tcBorders>
              <w:top w:val="nil"/>
              <w:left w:val="nil"/>
              <w:bottom w:val="single" w:sz="4" w:space="0" w:color="auto"/>
              <w:right w:val="single" w:sz="4" w:space="0" w:color="auto"/>
            </w:tcBorders>
            <w:shd w:val="clear" w:color="auto" w:fill="auto"/>
            <w:noWrap/>
            <w:vAlign w:val="center"/>
            <w:hideMark/>
          </w:tcPr>
          <w:p w14:paraId="1EB705D2" w14:textId="77777777" w:rsidR="0043709B" w:rsidRPr="0043709B" w:rsidRDefault="0043709B" w:rsidP="00CD44F3">
            <w:pPr>
              <w:ind w:firstLine="138"/>
              <w:rPr>
                <w:rFonts w:ascii="Arial Narrow" w:hAnsi="Arial Narrow" w:cs="Calibri"/>
                <w:sz w:val="16"/>
                <w:szCs w:val="16"/>
              </w:rPr>
            </w:pPr>
            <w:r w:rsidRPr="0043709B">
              <w:rPr>
                <w:rFonts w:ascii="Arial Narrow" w:hAnsi="Arial Narrow" w:cs="Calibri"/>
                <w:sz w:val="16"/>
                <w:szCs w:val="16"/>
              </w:rPr>
              <w:t>Други зърнени</w:t>
            </w:r>
          </w:p>
        </w:tc>
        <w:tc>
          <w:tcPr>
            <w:tcW w:w="1180" w:type="dxa"/>
            <w:tcBorders>
              <w:top w:val="nil"/>
              <w:left w:val="nil"/>
              <w:bottom w:val="single" w:sz="4" w:space="0" w:color="auto"/>
              <w:right w:val="single" w:sz="4" w:space="0" w:color="auto"/>
            </w:tcBorders>
            <w:shd w:val="clear" w:color="auto" w:fill="auto"/>
            <w:vAlign w:val="center"/>
          </w:tcPr>
          <w:p w14:paraId="6E671D35" w14:textId="77777777" w:rsidR="0043709B" w:rsidRPr="0043709B" w:rsidRDefault="0043709B" w:rsidP="0043709B">
            <w:pPr>
              <w:jc w:val="right"/>
              <w:rPr>
                <w:rFonts w:ascii="Arial Narrow" w:hAnsi="Arial Narrow" w:cs="Calibri"/>
                <w:sz w:val="16"/>
                <w:szCs w:val="16"/>
              </w:rPr>
            </w:pPr>
            <w:r w:rsidRPr="0043709B">
              <w:rPr>
                <w:rFonts w:ascii="Arial Narrow" w:hAnsi="Arial Narrow" w:cs="Calibri"/>
                <w:sz w:val="16"/>
                <w:szCs w:val="16"/>
              </w:rPr>
              <w:t>51,6</w:t>
            </w:r>
          </w:p>
        </w:tc>
        <w:tc>
          <w:tcPr>
            <w:tcW w:w="1170" w:type="dxa"/>
            <w:tcBorders>
              <w:top w:val="nil"/>
              <w:left w:val="nil"/>
              <w:bottom w:val="single" w:sz="4" w:space="0" w:color="auto"/>
              <w:right w:val="single" w:sz="4" w:space="0" w:color="auto"/>
            </w:tcBorders>
            <w:shd w:val="clear" w:color="auto" w:fill="auto"/>
            <w:noWrap/>
            <w:vAlign w:val="center"/>
            <w:hideMark/>
          </w:tcPr>
          <w:p w14:paraId="04D864E1" w14:textId="77777777" w:rsidR="0043709B" w:rsidRPr="0043709B" w:rsidRDefault="0043709B" w:rsidP="0043709B">
            <w:pPr>
              <w:jc w:val="right"/>
              <w:rPr>
                <w:rFonts w:ascii="Arial Narrow" w:hAnsi="Arial Narrow" w:cs="Calibri"/>
                <w:sz w:val="16"/>
                <w:szCs w:val="16"/>
              </w:rPr>
            </w:pPr>
            <w:r w:rsidRPr="0043709B">
              <w:rPr>
                <w:rFonts w:ascii="Arial Narrow" w:hAnsi="Arial Narrow" w:cs="Calibri"/>
                <w:sz w:val="16"/>
                <w:szCs w:val="16"/>
              </w:rPr>
              <w:t>62,8</w:t>
            </w:r>
          </w:p>
        </w:tc>
        <w:tc>
          <w:tcPr>
            <w:tcW w:w="1300" w:type="dxa"/>
            <w:tcBorders>
              <w:top w:val="nil"/>
              <w:left w:val="nil"/>
              <w:bottom w:val="single" w:sz="4" w:space="0" w:color="auto"/>
              <w:right w:val="single" w:sz="4" w:space="0" w:color="auto"/>
            </w:tcBorders>
            <w:shd w:val="clear" w:color="auto" w:fill="auto"/>
            <w:noWrap/>
            <w:vAlign w:val="center"/>
            <w:hideMark/>
          </w:tcPr>
          <w:p w14:paraId="7CA2D17E" w14:textId="77777777" w:rsidR="0043709B" w:rsidRPr="0043709B" w:rsidRDefault="0043709B" w:rsidP="0043709B">
            <w:pPr>
              <w:jc w:val="right"/>
              <w:rPr>
                <w:rFonts w:ascii="Arial Narrow" w:hAnsi="Arial Narrow" w:cs="Calibri"/>
                <w:sz w:val="16"/>
                <w:szCs w:val="16"/>
              </w:rPr>
            </w:pPr>
            <w:r w:rsidRPr="0043709B">
              <w:rPr>
                <w:rFonts w:ascii="Arial Narrow" w:hAnsi="Arial Narrow" w:cs="Calibri"/>
                <w:sz w:val="16"/>
                <w:szCs w:val="16"/>
              </w:rPr>
              <w:t>32,4</w:t>
            </w:r>
          </w:p>
        </w:tc>
        <w:tc>
          <w:tcPr>
            <w:tcW w:w="1220" w:type="dxa"/>
            <w:tcBorders>
              <w:top w:val="nil"/>
              <w:left w:val="nil"/>
              <w:bottom w:val="single" w:sz="4" w:space="0" w:color="auto"/>
              <w:right w:val="single" w:sz="4" w:space="0" w:color="auto"/>
            </w:tcBorders>
            <w:shd w:val="clear" w:color="auto" w:fill="auto"/>
            <w:noWrap/>
            <w:vAlign w:val="center"/>
            <w:hideMark/>
          </w:tcPr>
          <w:p w14:paraId="0D4BD31A" w14:textId="77777777" w:rsidR="0043709B" w:rsidRPr="0043709B" w:rsidRDefault="0043709B" w:rsidP="0043709B">
            <w:pPr>
              <w:jc w:val="right"/>
              <w:rPr>
                <w:rFonts w:ascii="Arial Narrow" w:hAnsi="Arial Narrow" w:cs="Calibri"/>
                <w:sz w:val="16"/>
                <w:szCs w:val="16"/>
              </w:rPr>
            </w:pPr>
            <w:r w:rsidRPr="0043709B">
              <w:rPr>
                <w:rFonts w:ascii="Arial Narrow" w:hAnsi="Arial Narrow" w:cs="Calibri"/>
                <w:sz w:val="16"/>
                <w:szCs w:val="16"/>
              </w:rPr>
              <w:t>90,7</w:t>
            </w:r>
          </w:p>
        </w:tc>
        <w:tc>
          <w:tcPr>
            <w:tcW w:w="1236" w:type="dxa"/>
            <w:tcBorders>
              <w:top w:val="nil"/>
              <w:left w:val="nil"/>
              <w:bottom w:val="single" w:sz="4" w:space="0" w:color="auto"/>
              <w:right w:val="single" w:sz="4" w:space="0" w:color="auto"/>
            </w:tcBorders>
            <w:shd w:val="clear" w:color="auto" w:fill="auto"/>
            <w:noWrap/>
            <w:vAlign w:val="center"/>
            <w:hideMark/>
          </w:tcPr>
          <w:p w14:paraId="30EE3788" w14:textId="77777777" w:rsidR="0043709B" w:rsidRPr="0043709B" w:rsidRDefault="0043709B" w:rsidP="0043709B">
            <w:pPr>
              <w:jc w:val="right"/>
              <w:rPr>
                <w:rFonts w:ascii="Arial Narrow" w:hAnsi="Arial Narrow" w:cs="Calibri"/>
                <w:sz w:val="16"/>
                <w:szCs w:val="16"/>
              </w:rPr>
            </w:pPr>
            <w:r w:rsidRPr="0043709B">
              <w:rPr>
                <w:rFonts w:ascii="Arial Narrow" w:hAnsi="Arial Narrow" w:cs="Calibri"/>
                <w:sz w:val="16"/>
                <w:szCs w:val="16"/>
              </w:rPr>
              <w:t>29,4</w:t>
            </w:r>
          </w:p>
        </w:tc>
        <w:tc>
          <w:tcPr>
            <w:tcW w:w="1260" w:type="dxa"/>
            <w:tcBorders>
              <w:top w:val="nil"/>
              <w:left w:val="nil"/>
              <w:bottom w:val="single" w:sz="4" w:space="0" w:color="auto"/>
              <w:right w:val="single" w:sz="4" w:space="0" w:color="auto"/>
            </w:tcBorders>
            <w:shd w:val="clear" w:color="auto" w:fill="auto"/>
            <w:noWrap/>
            <w:vAlign w:val="center"/>
            <w:hideMark/>
          </w:tcPr>
          <w:p w14:paraId="3DD520E4" w14:textId="77777777" w:rsidR="0043709B" w:rsidRPr="0043709B" w:rsidRDefault="0043709B" w:rsidP="0043709B">
            <w:pPr>
              <w:jc w:val="right"/>
              <w:rPr>
                <w:rFonts w:ascii="Arial Narrow" w:hAnsi="Arial Narrow" w:cs="Arial"/>
                <w:sz w:val="16"/>
                <w:szCs w:val="16"/>
              </w:rPr>
            </w:pPr>
            <w:r w:rsidRPr="0043709B">
              <w:rPr>
                <w:rFonts w:ascii="Arial Narrow" w:hAnsi="Arial Narrow" w:cs="Arial"/>
                <w:sz w:val="16"/>
                <w:szCs w:val="16"/>
              </w:rPr>
              <w:t>57,0</w:t>
            </w:r>
          </w:p>
        </w:tc>
      </w:tr>
      <w:tr w:rsidR="0043709B" w:rsidRPr="0043709B" w14:paraId="35D240ED" w14:textId="77777777" w:rsidTr="0043709B">
        <w:trPr>
          <w:trHeight w:val="250"/>
        </w:trPr>
        <w:tc>
          <w:tcPr>
            <w:tcW w:w="781" w:type="dxa"/>
            <w:tcBorders>
              <w:top w:val="nil"/>
              <w:left w:val="single" w:sz="4" w:space="0" w:color="auto"/>
              <w:bottom w:val="single" w:sz="4" w:space="0" w:color="auto"/>
              <w:right w:val="single" w:sz="4" w:space="0" w:color="auto"/>
            </w:tcBorders>
            <w:shd w:val="clear" w:color="auto" w:fill="auto"/>
            <w:noWrap/>
            <w:vAlign w:val="center"/>
            <w:hideMark/>
          </w:tcPr>
          <w:p w14:paraId="3AE5C480" w14:textId="77777777" w:rsidR="0043709B" w:rsidRPr="0043709B" w:rsidRDefault="0043709B" w:rsidP="0043709B">
            <w:pPr>
              <w:rPr>
                <w:rFonts w:ascii="Arial Narrow" w:hAnsi="Arial Narrow" w:cs="Arial"/>
                <w:sz w:val="16"/>
                <w:szCs w:val="16"/>
              </w:rPr>
            </w:pPr>
            <w:r w:rsidRPr="0043709B">
              <w:rPr>
                <w:rFonts w:ascii="Arial Narrow" w:hAnsi="Arial Narrow" w:cs="Arial"/>
                <w:sz w:val="16"/>
                <w:szCs w:val="16"/>
              </w:rPr>
              <w:t>02</w:t>
            </w:r>
          </w:p>
        </w:tc>
        <w:tc>
          <w:tcPr>
            <w:tcW w:w="3016" w:type="dxa"/>
            <w:tcBorders>
              <w:top w:val="nil"/>
              <w:left w:val="nil"/>
              <w:bottom w:val="single" w:sz="4" w:space="0" w:color="auto"/>
              <w:right w:val="single" w:sz="4" w:space="0" w:color="auto"/>
            </w:tcBorders>
            <w:shd w:val="clear" w:color="000000" w:fill="FFFFFF"/>
            <w:noWrap/>
            <w:vAlign w:val="center"/>
            <w:hideMark/>
          </w:tcPr>
          <w:p w14:paraId="1BB0390B" w14:textId="77777777" w:rsidR="0043709B" w:rsidRPr="0043709B" w:rsidRDefault="0043709B" w:rsidP="0043709B">
            <w:pPr>
              <w:rPr>
                <w:rFonts w:ascii="Arial Narrow" w:hAnsi="Arial Narrow" w:cs="Calibri"/>
                <w:b/>
                <w:bCs/>
                <w:sz w:val="16"/>
                <w:szCs w:val="16"/>
              </w:rPr>
            </w:pPr>
            <w:r w:rsidRPr="0043709B">
              <w:rPr>
                <w:rFonts w:ascii="Arial Narrow" w:hAnsi="Arial Narrow" w:cs="Calibri"/>
                <w:b/>
                <w:bCs/>
                <w:sz w:val="16"/>
                <w:szCs w:val="16"/>
              </w:rPr>
              <w:t>ТЕХНИЧЕСКИ КУЛТУРИ</w:t>
            </w:r>
          </w:p>
        </w:tc>
        <w:tc>
          <w:tcPr>
            <w:tcW w:w="1180" w:type="dxa"/>
            <w:tcBorders>
              <w:top w:val="nil"/>
              <w:left w:val="nil"/>
              <w:bottom w:val="single" w:sz="4" w:space="0" w:color="auto"/>
              <w:right w:val="single" w:sz="4" w:space="0" w:color="auto"/>
            </w:tcBorders>
            <w:shd w:val="clear" w:color="auto" w:fill="auto"/>
            <w:vAlign w:val="center"/>
          </w:tcPr>
          <w:p w14:paraId="52892CF8" w14:textId="77777777" w:rsidR="0043709B" w:rsidRPr="0043709B" w:rsidRDefault="0043709B" w:rsidP="0043709B">
            <w:pPr>
              <w:jc w:val="right"/>
              <w:rPr>
                <w:rFonts w:ascii="Arial Narrow" w:hAnsi="Arial Narrow" w:cs="Calibri"/>
                <w:sz w:val="16"/>
                <w:szCs w:val="16"/>
              </w:rPr>
            </w:pPr>
            <w:r w:rsidRPr="0043709B">
              <w:rPr>
                <w:rFonts w:ascii="Arial Narrow" w:hAnsi="Arial Narrow" w:cs="Calibri"/>
                <w:sz w:val="16"/>
                <w:szCs w:val="16"/>
              </w:rPr>
              <w:t>1 783,8</w:t>
            </w:r>
          </w:p>
        </w:tc>
        <w:tc>
          <w:tcPr>
            <w:tcW w:w="1170" w:type="dxa"/>
            <w:tcBorders>
              <w:top w:val="nil"/>
              <w:left w:val="nil"/>
              <w:bottom w:val="single" w:sz="4" w:space="0" w:color="auto"/>
              <w:right w:val="single" w:sz="4" w:space="0" w:color="auto"/>
            </w:tcBorders>
            <w:shd w:val="clear" w:color="auto" w:fill="auto"/>
            <w:noWrap/>
            <w:vAlign w:val="center"/>
            <w:hideMark/>
          </w:tcPr>
          <w:p w14:paraId="738EF4FE" w14:textId="77777777" w:rsidR="0043709B" w:rsidRPr="0043709B" w:rsidRDefault="0043709B" w:rsidP="0043709B">
            <w:pPr>
              <w:jc w:val="right"/>
              <w:rPr>
                <w:rFonts w:ascii="Arial Narrow" w:hAnsi="Arial Narrow" w:cs="Calibri"/>
                <w:sz w:val="16"/>
                <w:szCs w:val="16"/>
              </w:rPr>
            </w:pPr>
            <w:r w:rsidRPr="0043709B">
              <w:rPr>
                <w:rFonts w:ascii="Arial Narrow" w:hAnsi="Arial Narrow" w:cs="Calibri"/>
                <w:sz w:val="16"/>
                <w:szCs w:val="16"/>
              </w:rPr>
              <w:t>91,3</w:t>
            </w:r>
          </w:p>
        </w:tc>
        <w:tc>
          <w:tcPr>
            <w:tcW w:w="1300" w:type="dxa"/>
            <w:tcBorders>
              <w:top w:val="nil"/>
              <w:left w:val="nil"/>
              <w:bottom w:val="single" w:sz="4" w:space="0" w:color="auto"/>
              <w:right w:val="single" w:sz="4" w:space="0" w:color="auto"/>
            </w:tcBorders>
            <w:shd w:val="clear" w:color="auto" w:fill="auto"/>
            <w:noWrap/>
            <w:vAlign w:val="center"/>
            <w:hideMark/>
          </w:tcPr>
          <w:p w14:paraId="4E599861" w14:textId="77777777" w:rsidR="0043709B" w:rsidRPr="0043709B" w:rsidRDefault="0043709B" w:rsidP="0043709B">
            <w:pPr>
              <w:jc w:val="right"/>
              <w:rPr>
                <w:rFonts w:ascii="Arial Narrow" w:hAnsi="Arial Narrow" w:cs="Calibri"/>
                <w:sz w:val="16"/>
                <w:szCs w:val="16"/>
              </w:rPr>
            </w:pPr>
            <w:r w:rsidRPr="0043709B">
              <w:rPr>
                <w:rFonts w:ascii="Arial Narrow" w:hAnsi="Arial Narrow" w:cs="Calibri"/>
                <w:sz w:val="16"/>
                <w:szCs w:val="16"/>
              </w:rPr>
              <w:t>1 628,6</w:t>
            </w:r>
          </w:p>
        </w:tc>
        <w:tc>
          <w:tcPr>
            <w:tcW w:w="1220" w:type="dxa"/>
            <w:tcBorders>
              <w:top w:val="nil"/>
              <w:left w:val="nil"/>
              <w:bottom w:val="single" w:sz="4" w:space="0" w:color="auto"/>
              <w:right w:val="single" w:sz="4" w:space="0" w:color="auto"/>
            </w:tcBorders>
            <w:shd w:val="clear" w:color="auto" w:fill="auto"/>
            <w:noWrap/>
            <w:vAlign w:val="center"/>
            <w:hideMark/>
          </w:tcPr>
          <w:p w14:paraId="5E378E7D" w14:textId="77777777" w:rsidR="0043709B" w:rsidRPr="0043709B" w:rsidRDefault="0043709B" w:rsidP="0043709B">
            <w:pPr>
              <w:jc w:val="right"/>
              <w:rPr>
                <w:rFonts w:ascii="Arial Narrow" w:hAnsi="Arial Narrow" w:cs="Calibri"/>
                <w:sz w:val="16"/>
                <w:szCs w:val="16"/>
              </w:rPr>
            </w:pPr>
            <w:r w:rsidRPr="0043709B">
              <w:rPr>
                <w:rFonts w:ascii="Arial Narrow" w:hAnsi="Arial Narrow" w:cs="Calibri"/>
                <w:sz w:val="16"/>
                <w:szCs w:val="16"/>
              </w:rPr>
              <w:t>107,9</w:t>
            </w:r>
          </w:p>
        </w:tc>
        <w:tc>
          <w:tcPr>
            <w:tcW w:w="1236" w:type="dxa"/>
            <w:tcBorders>
              <w:top w:val="nil"/>
              <w:left w:val="nil"/>
              <w:bottom w:val="single" w:sz="4" w:space="0" w:color="auto"/>
              <w:right w:val="single" w:sz="4" w:space="0" w:color="auto"/>
            </w:tcBorders>
            <w:shd w:val="clear" w:color="auto" w:fill="auto"/>
            <w:noWrap/>
            <w:vAlign w:val="center"/>
            <w:hideMark/>
          </w:tcPr>
          <w:p w14:paraId="146235AB" w14:textId="77777777" w:rsidR="0043709B" w:rsidRPr="0043709B" w:rsidRDefault="0043709B" w:rsidP="0043709B">
            <w:pPr>
              <w:jc w:val="right"/>
              <w:rPr>
                <w:rFonts w:ascii="Arial Narrow" w:hAnsi="Arial Narrow" w:cs="Calibri"/>
                <w:sz w:val="16"/>
                <w:szCs w:val="16"/>
              </w:rPr>
            </w:pPr>
            <w:r w:rsidRPr="0043709B">
              <w:rPr>
                <w:rFonts w:ascii="Arial Narrow" w:hAnsi="Arial Narrow" w:cs="Calibri"/>
                <w:sz w:val="16"/>
                <w:szCs w:val="16"/>
              </w:rPr>
              <w:t>1 758,0</w:t>
            </w:r>
          </w:p>
        </w:tc>
        <w:tc>
          <w:tcPr>
            <w:tcW w:w="1260" w:type="dxa"/>
            <w:tcBorders>
              <w:top w:val="nil"/>
              <w:left w:val="nil"/>
              <w:bottom w:val="single" w:sz="4" w:space="0" w:color="auto"/>
              <w:right w:val="single" w:sz="4" w:space="0" w:color="auto"/>
            </w:tcBorders>
            <w:shd w:val="clear" w:color="auto" w:fill="auto"/>
            <w:noWrap/>
            <w:vAlign w:val="center"/>
            <w:hideMark/>
          </w:tcPr>
          <w:p w14:paraId="16B195F3" w14:textId="77777777" w:rsidR="0043709B" w:rsidRPr="0043709B" w:rsidRDefault="0043709B" w:rsidP="0043709B">
            <w:pPr>
              <w:jc w:val="right"/>
              <w:rPr>
                <w:rFonts w:ascii="Arial Narrow" w:hAnsi="Arial Narrow" w:cs="Arial"/>
                <w:sz w:val="16"/>
                <w:szCs w:val="16"/>
              </w:rPr>
            </w:pPr>
            <w:r w:rsidRPr="0043709B">
              <w:rPr>
                <w:rFonts w:ascii="Arial Narrow" w:hAnsi="Arial Narrow" w:cs="Arial"/>
                <w:sz w:val="16"/>
                <w:szCs w:val="16"/>
              </w:rPr>
              <w:t>98,6</w:t>
            </w:r>
          </w:p>
        </w:tc>
      </w:tr>
      <w:tr w:rsidR="0043709B" w:rsidRPr="0043709B" w14:paraId="73878EA1" w14:textId="77777777" w:rsidTr="0043709B">
        <w:trPr>
          <w:trHeight w:val="250"/>
        </w:trPr>
        <w:tc>
          <w:tcPr>
            <w:tcW w:w="781" w:type="dxa"/>
            <w:tcBorders>
              <w:top w:val="nil"/>
              <w:left w:val="single" w:sz="4" w:space="0" w:color="auto"/>
              <w:bottom w:val="single" w:sz="4" w:space="0" w:color="auto"/>
              <w:right w:val="single" w:sz="4" w:space="0" w:color="auto"/>
            </w:tcBorders>
            <w:shd w:val="clear" w:color="auto" w:fill="auto"/>
            <w:noWrap/>
            <w:vAlign w:val="center"/>
            <w:hideMark/>
          </w:tcPr>
          <w:p w14:paraId="5E11A008" w14:textId="77777777" w:rsidR="0043709B" w:rsidRPr="0043709B" w:rsidRDefault="0043709B" w:rsidP="0043709B">
            <w:pPr>
              <w:rPr>
                <w:rFonts w:ascii="Arial Narrow" w:hAnsi="Arial Narrow" w:cs="Arial"/>
                <w:sz w:val="16"/>
                <w:szCs w:val="16"/>
              </w:rPr>
            </w:pPr>
            <w:r w:rsidRPr="0043709B">
              <w:rPr>
                <w:rFonts w:ascii="Arial Narrow" w:hAnsi="Arial Narrow" w:cs="Arial"/>
                <w:sz w:val="16"/>
                <w:szCs w:val="16"/>
              </w:rPr>
              <w:t>02.1</w:t>
            </w:r>
          </w:p>
        </w:tc>
        <w:tc>
          <w:tcPr>
            <w:tcW w:w="3016" w:type="dxa"/>
            <w:tcBorders>
              <w:top w:val="nil"/>
              <w:left w:val="nil"/>
              <w:bottom w:val="single" w:sz="4" w:space="0" w:color="auto"/>
              <w:right w:val="single" w:sz="4" w:space="0" w:color="auto"/>
            </w:tcBorders>
            <w:shd w:val="clear" w:color="auto" w:fill="auto"/>
            <w:noWrap/>
            <w:vAlign w:val="center"/>
            <w:hideMark/>
          </w:tcPr>
          <w:p w14:paraId="65354E3C" w14:textId="77777777" w:rsidR="0043709B" w:rsidRPr="0043709B" w:rsidRDefault="0043709B" w:rsidP="00CD44F3">
            <w:pPr>
              <w:ind w:firstLine="138"/>
              <w:rPr>
                <w:rFonts w:ascii="Arial Narrow" w:hAnsi="Arial Narrow" w:cs="Calibri"/>
                <w:sz w:val="16"/>
                <w:szCs w:val="16"/>
              </w:rPr>
            </w:pPr>
            <w:r w:rsidRPr="0043709B">
              <w:rPr>
                <w:rFonts w:ascii="Arial Narrow" w:hAnsi="Arial Narrow" w:cs="Calibri"/>
                <w:sz w:val="16"/>
                <w:szCs w:val="16"/>
              </w:rPr>
              <w:t>Маслодайни семена</w:t>
            </w:r>
          </w:p>
        </w:tc>
        <w:tc>
          <w:tcPr>
            <w:tcW w:w="1180" w:type="dxa"/>
            <w:tcBorders>
              <w:top w:val="nil"/>
              <w:left w:val="nil"/>
              <w:bottom w:val="single" w:sz="4" w:space="0" w:color="auto"/>
              <w:right w:val="single" w:sz="4" w:space="0" w:color="auto"/>
            </w:tcBorders>
            <w:shd w:val="clear" w:color="auto" w:fill="auto"/>
            <w:vAlign w:val="center"/>
          </w:tcPr>
          <w:p w14:paraId="49075340" w14:textId="77777777" w:rsidR="0043709B" w:rsidRPr="0043709B" w:rsidRDefault="0043709B" w:rsidP="0043709B">
            <w:pPr>
              <w:jc w:val="right"/>
              <w:rPr>
                <w:rFonts w:ascii="Arial Narrow" w:hAnsi="Arial Narrow" w:cs="Calibri"/>
                <w:sz w:val="16"/>
                <w:szCs w:val="16"/>
              </w:rPr>
            </w:pPr>
            <w:r w:rsidRPr="0043709B">
              <w:rPr>
                <w:rFonts w:ascii="Arial Narrow" w:hAnsi="Arial Narrow" w:cs="Calibri"/>
                <w:sz w:val="16"/>
                <w:szCs w:val="16"/>
              </w:rPr>
              <w:t>1 589,6</w:t>
            </w:r>
          </w:p>
        </w:tc>
        <w:tc>
          <w:tcPr>
            <w:tcW w:w="1170" w:type="dxa"/>
            <w:tcBorders>
              <w:top w:val="nil"/>
              <w:left w:val="nil"/>
              <w:bottom w:val="single" w:sz="4" w:space="0" w:color="auto"/>
              <w:right w:val="single" w:sz="4" w:space="0" w:color="auto"/>
            </w:tcBorders>
            <w:shd w:val="clear" w:color="auto" w:fill="auto"/>
            <w:noWrap/>
            <w:vAlign w:val="center"/>
            <w:hideMark/>
          </w:tcPr>
          <w:p w14:paraId="391196F7" w14:textId="77777777" w:rsidR="0043709B" w:rsidRPr="0043709B" w:rsidRDefault="0043709B" w:rsidP="0043709B">
            <w:pPr>
              <w:jc w:val="right"/>
              <w:rPr>
                <w:rFonts w:ascii="Arial Narrow" w:hAnsi="Arial Narrow" w:cs="Calibri"/>
                <w:sz w:val="16"/>
                <w:szCs w:val="16"/>
              </w:rPr>
            </w:pPr>
            <w:r w:rsidRPr="0043709B">
              <w:rPr>
                <w:rFonts w:ascii="Arial Narrow" w:hAnsi="Arial Narrow" w:cs="Calibri"/>
                <w:sz w:val="16"/>
                <w:szCs w:val="16"/>
              </w:rPr>
              <w:t>89,6</w:t>
            </w:r>
          </w:p>
        </w:tc>
        <w:tc>
          <w:tcPr>
            <w:tcW w:w="1300" w:type="dxa"/>
            <w:tcBorders>
              <w:top w:val="nil"/>
              <w:left w:val="nil"/>
              <w:bottom w:val="single" w:sz="4" w:space="0" w:color="auto"/>
              <w:right w:val="single" w:sz="4" w:space="0" w:color="auto"/>
            </w:tcBorders>
            <w:shd w:val="clear" w:color="auto" w:fill="auto"/>
            <w:noWrap/>
            <w:vAlign w:val="center"/>
            <w:hideMark/>
          </w:tcPr>
          <w:p w14:paraId="72D95DF7" w14:textId="77777777" w:rsidR="0043709B" w:rsidRPr="0043709B" w:rsidRDefault="0043709B" w:rsidP="0043709B">
            <w:pPr>
              <w:jc w:val="right"/>
              <w:rPr>
                <w:rFonts w:ascii="Arial Narrow" w:hAnsi="Arial Narrow" w:cs="Calibri"/>
                <w:sz w:val="16"/>
                <w:szCs w:val="16"/>
              </w:rPr>
            </w:pPr>
            <w:r w:rsidRPr="0043709B">
              <w:rPr>
                <w:rFonts w:ascii="Arial Narrow" w:hAnsi="Arial Narrow" w:cs="Calibri"/>
                <w:sz w:val="16"/>
                <w:szCs w:val="16"/>
              </w:rPr>
              <w:t>1 423,6</w:t>
            </w:r>
          </w:p>
        </w:tc>
        <w:tc>
          <w:tcPr>
            <w:tcW w:w="1220" w:type="dxa"/>
            <w:tcBorders>
              <w:top w:val="nil"/>
              <w:left w:val="nil"/>
              <w:bottom w:val="single" w:sz="4" w:space="0" w:color="auto"/>
              <w:right w:val="single" w:sz="4" w:space="0" w:color="auto"/>
            </w:tcBorders>
            <w:shd w:val="clear" w:color="auto" w:fill="auto"/>
            <w:noWrap/>
            <w:vAlign w:val="center"/>
            <w:hideMark/>
          </w:tcPr>
          <w:p w14:paraId="17F6BD93" w14:textId="77777777" w:rsidR="0043709B" w:rsidRPr="0043709B" w:rsidRDefault="0043709B" w:rsidP="0043709B">
            <w:pPr>
              <w:jc w:val="right"/>
              <w:rPr>
                <w:rFonts w:ascii="Arial Narrow" w:hAnsi="Arial Narrow" w:cs="Calibri"/>
                <w:sz w:val="16"/>
                <w:szCs w:val="16"/>
              </w:rPr>
            </w:pPr>
            <w:r w:rsidRPr="0043709B">
              <w:rPr>
                <w:rFonts w:ascii="Arial Narrow" w:hAnsi="Arial Narrow" w:cs="Calibri"/>
                <w:sz w:val="16"/>
                <w:szCs w:val="16"/>
              </w:rPr>
              <w:t>108,7</w:t>
            </w:r>
          </w:p>
        </w:tc>
        <w:tc>
          <w:tcPr>
            <w:tcW w:w="1236" w:type="dxa"/>
            <w:tcBorders>
              <w:top w:val="nil"/>
              <w:left w:val="nil"/>
              <w:bottom w:val="single" w:sz="4" w:space="0" w:color="auto"/>
              <w:right w:val="single" w:sz="4" w:space="0" w:color="auto"/>
            </w:tcBorders>
            <w:shd w:val="clear" w:color="auto" w:fill="auto"/>
            <w:noWrap/>
            <w:vAlign w:val="center"/>
            <w:hideMark/>
          </w:tcPr>
          <w:p w14:paraId="6FD37928" w14:textId="77777777" w:rsidR="0043709B" w:rsidRPr="0043709B" w:rsidRDefault="0043709B" w:rsidP="0043709B">
            <w:pPr>
              <w:jc w:val="right"/>
              <w:rPr>
                <w:rFonts w:ascii="Arial Narrow" w:hAnsi="Arial Narrow" w:cs="Calibri"/>
                <w:sz w:val="16"/>
                <w:szCs w:val="16"/>
              </w:rPr>
            </w:pPr>
            <w:r w:rsidRPr="0043709B">
              <w:rPr>
                <w:rFonts w:ascii="Arial Narrow" w:hAnsi="Arial Narrow" w:cs="Calibri"/>
                <w:sz w:val="16"/>
                <w:szCs w:val="16"/>
              </w:rPr>
              <w:t>1 547,9</w:t>
            </w:r>
          </w:p>
        </w:tc>
        <w:tc>
          <w:tcPr>
            <w:tcW w:w="1260" w:type="dxa"/>
            <w:tcBorders>
              <w:top w:val="nil"/>
              <w:left w:val="nil"/>
              <w:bottom w:val="single" w:sz="4" w:space="0" w:color="auto"/>
              <w:right w:val="single" w:sz="4" w:space="0" w:color="auto"/>
            </w:tcBorders>
            <w:shd w:val="clear" w:color="auto" w:fill="auto"/>
            <w:noWrap/>
            <w:vAlign w:val="center"/>
            <w:hideMark/>
          </w:tcPr>
          <w:p w14:paraId="1EDBDBAF" w14:textId="77777777" w:rsidR="0043709B" w:rsidRPr="0043709B" w:rsidRDefault="0043709B" w:rsidP="0043709B">
            <w:pPr>
              <w:jc w:val="right"/>
              <w:rPr>
                <w:rFonts w:ascii="Arial Narrow" w:hAnsi="Arial Narrow" w:cs="Arial"/>
                <w:sz w:val="16"/>
                <w:szCs w:val="16"/>
              </w:rPr>
            </w:pPr>
            <w:r w:rsidRPr="0043709B">
              <w:rPr>
                <w:rFonts w:ascii="Arial Narrow" w:hAnsi="Arial Narrow" w:cs="Arial"/>
                <w:sz w:val="16"/>
                <w:szCs w:val="16"/>
              </w:rPr>
              <w:t>97,4</w:t>
            </w:r>
          </w:p>
        </w:tc>
      </w:tr>
      <w:tr w:rsidR="0043709B" w:rsidRPr="0043709B" w14:paraId="2937366B" w14:textId="77777777" w:rsidTr="0043709B">
        <w:trPr>
          <w:trHeight w:val="250"/>
        </w:trPr>
        <w:tc>
          <w:tcPr>
            <w:tcW w:w="781" w:type="dxa"/>
            <w:tcBorders>
              <w:top w:val="nil"/>
              <w:left w:val="single" w:sz="4" w:space="0" w:color="auto"/>
              <w:bottom w:val="single" w:sz="4" w:space="0" w:color="auto"/>
              <w:right w:val="single" w:sz="4" w:space="0" w:color="auto"/>
            </w:tcBorders>
            <w:shd w:val="clear" w:color="auto" w:fill="auto"/>
            <w:noWrap/>
            <w:vAlign w:val="center"/>
            <w:hideMark/>
          </w:tcPr>
          <w:p w14:paraId="3277B053" w14:textId="77777777" w:rsidR="0043709B" w:rsidRPr="0043709B" w:rsidRDefault="0043709B" w:rsidP="0043709B">
            <w:pPr>
              <w:rPr>
                <w:rFonts w:ascii="Arial Narrow" w:hAnsi="Arial Narrow" w:cs="Arial"/>
                <w:sz w:val="16"/>
                <w:szCs w:val="16"/>
              </w:rPr>
            </w:pPr>
            <w:r w:rsidRPr="0043709B">
              <w:rPr>
                <w:rFonts w:ascii="Arial Narrow" w:hAnsi="Arial Narrow" w:cs="Arial"/>
                <w:sz w:val="16"/>
                <w:szCs w:val="16"/>
              </w:rPr>
              <w:t>02.1/1</w:t>
            </w:r>
          </w:p>
        </w:tc>
        <w:tc>
          <w:tcPr>
            <w:tcW w:w="3016" w:type="dxa"/>
            <w:tcBorders>
              <w:top w:val="nil"/>
              <w:left w:val="nil"/>
              <w:bottom w:val="single" w:sz="4" w:space="0" w:color="auto"/>
              <w:right w:val="single" w:sz="4" w:space="0" w:color="auto"/>
            </w:tcBorders>
            <w:shd w:val="clear" w:color="auto" w:fill="auto"/>
            <w:noWrap/>
            <w:vAlign w:val="center"/>
            <w:hideMark/>
          </w:tcPr>
          <w:p w14:paraId="34B4211E" w14:textId="77777777" w:rsidR="0043709B" w:rsidRPr="0043709B" w:rsidRDefault="0043709B" w:rsidP="00CD44F3">
            <w:pPr>
              <w:ind w:firstLine="422"/>
              <w:rPr>
                <w:rFonts w:ascii="Arial Narrow" w:hAnsi="Arial Narrow" w:cs="Calibri"/>
                <w:sz w:val="16"/>
                <w:szCs w:val="16"/>
              </w:rPr>
            </w:pPr>
            <w:r w:rsidRPr="0043709B">
              <w:rPr>
                <w:rFonts w:ascii="Arial Narrow" w:hAnsi="Arial Narrow" w:cs="Calibri"/>
                <w:sz w:val="16"/>
                <w:szCs w:val="16"/>
              </w:rPr>
              <w:t>Рапица и репица</w:t>
            </w:r>
          </w:p>
        </w:tc>
        <w:tc>
          <w:tcPr>
            <w:tcW w:w="1180" w:type="dxa"/>
            <w:tcBorders>
              <w:top w:val="nil"/>
              <w:left w:val="nil"/>
              <w:bottom w:val="single" w:sz="4" w:space="0" w:color="auto"/>
              <w:right w:val="single" w:sz="4" w:space="0" w:color="auto"/>
            </w:tcBorders>
            <w:shd w:val="clear" w:color="auto" w:fill="auto"/>
            <w:vAlign w:val="center"/>
          </w:tcPr>
          <w:p w14:paraId="7D6741E1" w14:textId="77777777" w:rsidR="0043709B" w:rsidRPr="0043709B" w:rsidRDefault="0043709B" w:rsidP="0043709B">
            <w:pPr>
              <w:jc w:val="right"/>
              <w:rPr>
                <w:rFonts w:ascii="Arial Narrow" w:hAnsi="Arial Narrow" w:cs="Calibri"/>
                <w:sz w:val="16"/>
                <w:szCs w:val="16"/>
              </w:rPr>
            </w:pPr>
            <w:r w:rsidRPr="0043709B">
              <w:rPr>
                <w:rFonts w:ascii="Arial Narrow" w:hAnsi="Arial Narrow" w:cs="Calibri"/>
                <w:sz w:val="16"/>
                <w:szCs w:val="16"/>
              </w:rPr>
              <w:t>157,8</w:t>
            </w:r>
          </w:p>
        </w:tc>
        <w:tc>
          <w:tcPr>
            <w:tcW w:w="1170" w:type="dxa"/>
            <w:tcBorders>
              <w:top w:val="nil"/>
              <w:left w:val="nil"/>
              <w:bottom w:val="single" w:sz="4" w:space="0" w:color="auto"/>
              <w:right w:val="single" w:sz="4" w:space="0" w:color="auto"/>
            </w:tcBorders>
            <w:shd w:val="clear" w:color="auto" w:fill="auto"/>
            <w:noWrap/>
            <w:vAlign w:val="center"/>
            <w:hideMark/>
          </w:tcPr>
          <w:p w14:paraId="7D57479A" w14:textId="77777777" w:rsidR="0043709B" w:rsidRPr="0043709B" w:rsidRDefault="0043709B" w:rsidP="0043709B">
            <w:pPr>
              <w:jc w:val="right"/>
              <w:rPr>
                <w:rFonts w:ascii="Arial Narrow" w:hAnsi="Arial Narrow" w:cs="Calibri"/>
                <w:sz w:val="16"/>
                <w:szCs w:val="16"/>
              </w:rPr>
            </w:pPr>
            <w:r w:rsidRPr="0043709B">
              <w:rPr>
                <w:rFonts w:ascii="Arial Narrow" w:hAnsi="Arial Narrow" w:cs="Calibri"/>
                <w:sz w:val="16"/>
                <w:szCs w:val="16"/>
              </w:rPr>
              <w:t>77,2</w:t>
            </w:r>
          </w:p>
        </w:tc>
        <w:tc>
          <w:tcPr>
            <w:tcW w:w="1300" w:type="dxa"/>
            <w:tcBorders>
              <w:top w:val="nil"/>
              <w:left w:val="nil"/>
              <w:bottom w:val="single" w:sz="4" w:space="0" w:color="auto"/>
              <w:right w:val="single" w:sz="4" w:space="0" w:color="auto"/>
            </w:tcBorders>
            <w:shd w:val="clear" w:color="auto" w:fill="auto"/>
            <w:noWrap/>
            <w:vAlign w:val="center"/>
            <w:hideMark/>
          </w:tcPr>
          <w:p w14:paraId="1862CA52" w14:textId="77777777" w:rsidR="0043709B" w:rsidRPr="0043709B" w:rsidRDefault="0043709B" w:rsidP="0043709B">
            <w:pPr>
              <w:jc w:val="right"/>
              <w:rPr>
                <w:rFonts w:ascii="Arial Narrow" w:hAnsi="Arial Narrow" w:cs="Calibri"/>
                <w:sz w:val="16"/>
                <w:szCs w:val="16"/>
              </w:rPr>
            </w:pPr>
            <w:r w:rsidRPr="0043709B">
              <w:rPr>
                <w:rFonts w:ascii="Arial Narrow" w:hAnsi="Arial Narrow" w:cs="Calibri"/>
                <w:sz w:val="16"/>
                <w:szCs w:val="16"/>
              </w:rPr>
              <w:t>121,9</w:t>
            </w:r>
          </w:p>
        </w:tc>
        <w:tc>
          <w:tcPr>
            <w:tcW w:w="1220" w:type="dxa"/>
            <w:tcBorders>
              <w:top w:val="nil"/>
              <w:left w:val="nil"/>
              <w:bottom w:val="single" w:sz="4" w:space="0" w:color="auto"/>
              <w:right w:val="single" w:sz="4" w:space="0" w:color="auto"/>
            </w:tcBorders>
            <w:shd w:val="clear" w:color="auto" w:fill="auto"/>
            <w:noWrap/>
            <w:vAlign w:val="center"/>
            <w:hideMark/>
          </w:tcPr>
          <w:p w14:paraId="20F86A82" w14:textId="77777777" w:rsidR="0043709B" w:rsidRPr="0043709B" w:rsidRDefault="0043709B" w:rsidP="0043709B">
            <w:pPr>
              <w:jc w:val="right"/>
              <w:rPr>
                <w:rFonts w:ascii="Arial Narrow" w:hAnsi="Arial Narrow" w:cs="Calibri"/>
                <w:sz w:val="16"/>
                <w:szCs w:val="16"/>
              </w:rPr>
            </w:pPr>
            <w:r w:rsidRPr="0043709B">
              <w:rPr>
                <w:rFonts w:ascii="Arial Narrow" w:hAnsi="Arial Narrow" w:cs="Calibri"/>
                <w:sz w:val="16"/>
                <w:szCs w:val="16"/>
              </w:rPr>
              <w:t>111,2</w:t>
            </w:r>
          </w:p>
        </w:tc>
        <w:tc>
          <w:tcPr>
            <w:tcW w:w="1236" w:type="dxa"/>
            <w:tcBorders>
              <w:top w:val="nil"/>
              <w:left w:val="nil"/>
              <w:bottom w:val="single" w:sz="4" w:space="0" w:color="auto"/>
              <w:right w:val="single" w:sz="4" w:space="0" w:color="auto"/>
            </w:tcBorders>
            <w:shd w:val="clear" w:color="auto" w:fill="auto"/>
            <w:noWrap/>
            <w:vAlign w:val="center"/>
            <w:hideMark/>
          </w:tcPr>
          <w:p w14:paraId="751AB1F9" w14:textId="77777777" w:rsidR="0043709B" w:rsidRPr="0043709B" w:rsidRDefault="0043709B" w:rsidP="0043709B">
            <w:pPr>
              <w:jc w:val="right"/>
              <w:rPr>
                <w:rFonts w:ascii="Arial Narrow" w:hAnsi="Arial Narrow" w:cs="Calibri"/>
                <w:sz w:val="16"/>
                <w:szCs w:val="16"/>
              </w:rPr>
            </w:pPr>
            <w:r w:rsidRPr="0043709B">
              <w:rPr>
                <w:rFonts w:ascii="Arial Narrow" w:hAnsi="Arial Narrow" w:cs="Calibri"/>
                <w:sz w:val="16"/>
                <w:szCs w:val="16"/>
              </w:rPr>
              <w:t>135,6</w:t>
            </w:r>
          </w:p>
        </w:tc>
        <w:tc>
          <w:tcPr>
            <w:tcW w:w="1260" w:type="dxa"/>
            <w:tcBorders>
              <w:top w:val="nil"/>
              <w:left w:val="nil"/>
              <w:bottom w:val="single" w:sz="4" w:space="0" w:color="auto"/>
              <w:right w:val="single" w:sz="4" w:space="0" w:color="auto"/>
            </w:tcBorders>
            <w:shd w:val="clear" w:color="auto" w:fill="auto"/>
            <w:noWrap/>
            <w:vAlign w:val="center"/>
            <w:hideMark/>
          </w:tcPr>
          <w:p w14:paraId="1C2A98DE" w14:textId="77777777" w:rsidR="0043709B" w:rsidRPr="0043709B" w:rsidRDefault="0043709B" w:rsidP="0043709B">
            <w:pPr>
              <w:jc w:val="right"/>
              <w:rPr>
                <w:rFonts w:ascii="Arial Narrow" w:hAnsi="Arial Narrow" w:cs="Arial"/>
                <w:sz w:val="16"/>
                <w:szCs w:val="16"/>
              </w:rPr>
            </w:pPr>
            <w:r w:rsidRPr="0043709B">
              <w:rPr>
                <w:rFonts w:ascii="Arial Narrow" w:hAnsi="Arial Narrow" w:cs="Arial"/>
                <w:sz w:val="16"/>
                <w:szCs w:val="16"/>
              </w:rPr>
              <w:t>85,9</w:t>
            </w:r>
          </w:p>
        </w:tc>
      </w:tr>
      <w:tr w:rsidR="0043709B" w:rsidRPr="0043709B" w14:paraId="18C1BB22" w14:textId="77777777" w:rsidTr="0043709B">
        <w:trPr>
          <w:trHeight w:val="250"/>
        </w:trPr>
        <w:tc>
          <w:tcPr>
            <w:tcW w:w="781" w:type="dxa"/>
            <w:tcBorders>
              <w:top w:val="nil"/>
              <w:left w:val="single" w:sz="4" w:space="0" w:color="auto"/>
              <w:bottom w:val="single" w:sz="4" w:space="0" w:color="auto"/>
              <w:right w:val="single" w:sz="4" w:space="0" w:color="auto"/>
            </w:tcBorders>
            <w:shd w:val="clear" w:color="auto" w:fill="auto"/>
            <w:noWrap/>
            <w:vAlign w:val="center"/>
            <w:hideMark/>
          </w:tcPr>
          <w:p w14:paraId="462F826F" w14:textId="77777777" w:rsidR="0043709B" w:rsidRPr="0043709B" w:rsidRDefault="0043709B" w:rsidP="0043709B">
            <w:pPr>
              <w:rPr>
                <w:rFonts w:ascii="Arial Narrow" w:hAnsi="Arial Narrow" w:cs="Arial"/>
                <w:sz w:val="16"/>
                <w:szCs w:val="16"/>
              </w:rPr>
            </w:pPr>
            <w:r w:rsidRPr="0043709B">
              <w:rPr>
                <w:rFonts w:ascii="Arial Narrow" w:hAnsi="Arial Narrow" w:cs="Arial"/>
                <w:sz w:val="16"/>
                <w:szCs w:val="16"/>
              </w:rPr>
              <w:t>02.1/2</w:t>
            </w:r>
          </w:p>
        </w:tc>
        <w:tc>
          <w:tcPr>
            <w:tcW w:w="3016" w:type="dxa"/>
            <w:tcBorders>
              <w:top w:val="nil"/>
              <w:left w:val="nil"/>
              <w:bottom w:val="single" w:sz="4" w:space="0" w:color="auto"/>
              <w:right w:val="single" w:sz="4" w:space="0" w:color="auto"/>
            </w:tcBorders>
            <w:shd w:val="clear" w:color="auto" w:fill="auto"/>
            <w:noWrap/>
            <w:vAlign w:val="center"/>
            <w:hideMark/>
          </w:tcPr>
          <w:p w14:paraId="27ABB4D1" w14:textId="77777777" w:rsidR="0043709B" w:rsidRPr="0043709B" w:rsidRDefault="0043709B" w:rsidP="00CD44F3">
            <w:pPr>
              <w:ind w:firstLine="422"/>
              <w:rPr>
                <w:rFonts w:ascii="Arial Narrow" w:hAnsi="Arial Narrow" w:cs="Calibri"/>
                <w:sz w:val="16"/>
                <w:szCs w:val="16"/>
              </w:rPr>
            </w:pPr>
            <w:r w:rsidRPr="0043709B">
              <w:rPr>
                <w:rFonts w:ascii="Arial Narrow" w:hAnsi="Arial Narrow" w:cs="Calibri"/>
                <w:sz w:val="16"/>
                <w:szCs w:val="16"/>
              </w:rPr>
              <w:t>Слънчоглед</w:t>
            </w:r>
          </w:p>
        </w:tc>
        <w:tc>
          <w:tcPr>
            <w:tcW w:w="1180" w:type="dxa"/>
            <w:tcBorders>
              <w:top w:val="nil"/>
              <w:left w:val="nil"/>
              <w:bottom w:val="single" w:sz="4" w:space="0" w:color="auto"/>
              <w:right w:val="single" w:sz="4" w:space="0" w:color="auto"/>
            </w:tcBorders>
            <w:shd w:val="clear" w:color="auto" w:fill="auto"/>
            <w:vAlign w:val="center"/>
          </w:tcPr>
          <w:p w14:paraId="01447D43" w14:textId="77777777" w:rsidR="0043709B" w:rsidRPr="0043709B" w:rsidRDefault="0043709B" w:rsidP="0043709B">
            <w:pPr>
              <w:jc w:val="right"/>
              <w:rPr>
                <w:rFonts w:ascii="Arial Narrow" w:hAnsi="Arial Narrow" w:cs="Calibri"/>
                <w:sz w:val="16"/>
                <w:szCs w:val="16"/>
              </w:rPr>
            </w:pPr>
            <w:r w:rsidRPr="0043709B">
              <w:rPr>
                <w:rFonts w:ascii="Arial Narrow" w:hAnsi="Arial Narrow" w:cs="Calibri"/>
                <w:sz w:val="16"/>
                <w:szCs w:val="16"/>
              </w:rPr>
              <w:t>1 416,3</w:t>
            </w:r>
          </w:p>
        </w:tc>
        <w:tc>
          <w:tcPr>
            <w:tcW w:w="1170" w:type="dxa"/>
            <w:tcBorders>
              <w:top w:val="nil"/>
              <w:left w:val="nil"/>
              <w:bottom w:val="single" w:sz="4" w:space="0" w:color="auto"/>
              <w:right w:val="single" w:sz="4" w:space="0" w:color="auto"/>
            </w:tcBorders>
            <w:shd w:val="clear" w:color="auto" w:fill="auto"/>
            <w:noWrap/>
            <w:vAlign w:val="center"/>
            <w:hideMark/>
          </w:tcPr>
          <w:p w14:paraId="3B8623D2" w14:textId="77777777" w:rsidR="0043709B" w:rsidRPr="0043709B" w:rsidRDefault="0043709B" w:rsidP="0043709B">
            <w:pPr>
              <w:jc w:val="right"/>
              <w:rPr>
                <w:rFonts w:ascii="Arial Narrow" w:hAnsi="Arial Narrow" w:cs="Calibri"/>
                <w:sz w:val="16"/>
                <w:szCs w:val="16"/>
              </w:rPr>
            </w:pPr>
            <w:r w:rsidRPr="0043709B">
              <w:rPr>
                <w:rFonts w:ascii="Arial Narrow" w:hAnsi="Arial Narrow" w:cs="Calibri"/>
                <w:sz w:val="16"/>
                <w:szCs w:val="16"/>
              </w:rPr>
              <w:t>91,2</w:t>
            </w:r>
          </w:p>
        </w:tc>
        <w:tc>
          <w:tcPr>
            <w:tcW w:w="1300" w:type="dxa"/>
            <w:tcBorders>
              <w:top w:val="nil"/>
              <w:left w:val="nil"/>
              <w:bottom w:val="single" w:sz="4" w:space="0" w:color="auto"/>
              <w:right w:val="single" w:sz="4" w:space="0" w:color="auto"/>
            </w:tcBorders>
            <w:shd w:val="clear" w:color="auto" w:fill="auto"/>
            <w:noWrap/>
            <w:vAlign w:val="center"/>
            <w:hideMark/>
          </w:tcPr>
          <w:p w14:paraId="2418F6C6" w14:textId="77777777" w:rsidR="0043709B" w:rsidRPr="0043709B" w:rsidRDefault="0043709B" w:rsidP="0043709B">
            <w:pPr>
              <w:jc w:val="right"/>
              <w:rPr>
                <w:rFonts w:ascii="Arial Narrow" w:hAnsi="Arial Narrow" w:cs="Calibri"/>
                <w:sz w:val="16"/>
                <w:szCs w:val="16"/>
              </w:rPr>
            </w:pPr>
            <w:r w:rsidRPr="0043709B">
              <w:rPr>
                <w:rFonts w:ascii="Arial Narrow" w:hAnsi="Arial Narrow" w:cs="Calibri"/>
                <w:sz w:val="16"/>
                <w:szCs w:val="16"/>
              </w:rPr>
              <w:t>1 292,1</w:t>
            </w:r>
          </w:p>
        </w:tc>
        <w:tc>
          <w:tcPr>
            <w:tcW w:w="1220" w:type="dxa"/>
            <w:tcBorders>
              <w:top w:val="nil"/>
              <w:left w:val="nil"/>
              <w:bottom w:val="single" w:sz="4" w:space="0" w:color="auto"/>
              <w:right w:val="single" w:sz="4" w:space="0" w:color="auto"/>
            </w:tcBorders>
            <w:shd w:val="clear" w:color="auto" w:fill="auto"/>
            <w:noWrap/>
            <w:vAlign w:val="center"/>
            <w:hideMark/>
          </w:tcPr>
          <w:p w14:paraId="6CBFD3CE" w14:textId="77777777" w:rsidR="0043709B" w:rsidRPr="0043709B" w:rsidRDefault="0043709B" w:rsidP="0043709B">
            <w:pPr>
              <w:jc w:val="right"/>
              <w:rPr>
                <w:rFonts w:ascii="Arial Narrow" w:hAnsi="Arial Narrow" w:cs="Calibri"/>
                <w:sz w:val="16"/>
                <w:szCs w:val="16"/>
              </w:rPr>
            </w:pPr>
            <w:r w:rsidRPr="0043709B">
              <w:rPr>
                <w:rFonts w:ascii="Arial Narrow" w:hAnsi="Arial Narrow" w:cs="Calibri"/>
                <w:sz w:val="16"/>
                <w:szCs w:val="16"/>
              </w:rPr>
              <w:t>108,5</w:t>
            </w:r>
          </w:p>
        </w:tc>
        <w:tc>
          <w:tcPr>
            <w:tcW w:w="1236" w:type="dxa"/>
            <w:tcBorders>
              <w:top w:val="nil"/>
              <w:left w:val="nil"/>
              <w:bottom w:val="single" w:sz="4" w:space="0" w:color="auto"/>
              <w:right w:val="single" w:sz="4" w:space="0" w:color="auto"/>
            </w:tcBorders>
            <w:shd w:val="clear" w:color="auto" w:fill="auto"/>
            <w:noWrap/>
            <w:vAlign w:val="center"/>
            <w:hideMark/>
          </w:tcPr>
          <w:p w14:paraId="162D89CA" w14:textId="77777777" w:rsidR="0043709B" w:rsidRPr="0043709B" w:rsidRDefault="0043709B" w:rsidP="0043709B">
            <w:pPr>
              <w:jc w:val="right"/>
              <w:rPr>
                <w:rFonts w:ascii="Arial Narrow" w:hAnsi="Arial Narrow" w:cs="Calibri"/>
                <w:sz w:val="16"/>
                <w:szCs w:val="16"/>
              </w:rPr>
            </w:pPr>
            <w:r w:rsidRPr="0043709B">
              <w:rPr>
                <w:rFonts w:ascii="Arial Narrow" w:hAnsi="Arial Narrow" w:cs="Calibri"/>
                <w:sz w:val="16"/>
                <w:szCs w:val="16"/>
              </w:rPr>
              <w:t>1 402,0</w:t>
            </w:r>
          </w:p>
        </w:tc>
        <w:tc>
          <w:tcPr>
            <w:tcW w:w="1260" w:type="dxa"/>
            <w:tcBorders>
              <w:top w:val="nil"/>
              <w:left w:val="nil"/>
              <w:bottom w:val="single" w:sz="4" w:space="0" w:color="auto"/>
              <w:right w:val="single" w:sz="4" w:space="0" w:color="auto"/>
            </w:tcBorders>
            <w:shd w:val="clear" w:color="auto" w:fill="auto"/>
            <w:noWrap/>
            <w:vAlign w:val="center"/>
            <w:hideMark/>
          </w:tcPr>
          <w:p w14:paraId="6C0BB8E9" w14:textId="77777777" w:rsidR="0043709B" w:rsidRPr="0043709B" w:rsidRDefault="0043709B" w:rsidP="0043709B">
            <w:pPr>
              <w:jc w:val="right"/>
              <w:rPr>
                <w:rFonts w:ascii="Arial Narrow" w:hAnsi="Arial Narrow" w:cs="Arial"/>
                <w:sz w:val="16"/>
                <w:szCs w:val="16"/>
              </w:rPr>
            </w:pPr>
            <w:r w:rsidRPr="0043709B">
              <w:rPr>
                <w:rFonts w:ascii="Arial Narrow" w:hAnsi="Arial Narrow" w:cs="Arial"/>
                <w:sz w:val="16"/>
                <w:szCs w:val="16"/>
              </w:rPr>
              <w:t>99,0</w:t>
            </w:r>
          </w:p>
        </w:tc>
      </w:tr>
      <w:tr w:rsidR="0043709B" w:rsidRPr="0043709B" w14:paraId="129BDF73" w14:textId="77777777" w:rsidTr="0043709B">
        <w:trPr>
          <w:trHeight w:val="250"/>
        </w:trPr>
        <w:tc>
          <w:tcPr>
            <w:tcW w:w="781" w:type="dxa"/>
            <w:tcBorders>
              <w:top w:val="nil"/>
              <w:left w:val="single" w:sz="4" w:space="0" w:color="auto"/>
              <w:bottom w:val="single" w:sz="4" w:space="0" w:color="auto"/>
              <w:right w:val="single" w:sz="4" w:space="0" w:color="auto"/>
            </w:tcBorders>
            <w:shd w:val="clear" w:color="auto" w:fill="auto"/>
            <w:noWrap/>
            <w:vAlign w:val="center"/>
            <w:hideMark/>
          </w:tcPr>
          <w:p w14:paraId="5B34BDD3" w14:textId="77777777" w:rsidR="0043709B" w:rsidRPr="0043709B" w:rsidRDefault="0043709B" w:rsidP="0043709B">
            <w:pPr>
              <w:rPr>
                <w:rFonts w:ascii="Arial Narrow" w:hAnsi="Arial Narrow" w:cs="Arial"/>
                <w:sz w:val="16"/>
                <w:szCs w:val="16"/>
              </w:rPr>
            </w:pPr>
            <w:r w:rsidRPr="0043709B">
              <w:rPr>
                <w:rFonts w:ascii="Arial Narrow" w:hAnsi="Arial Narrow" w:cs="Arial"/>
                <w:sz w:val="16"/>
                <w:szCs w:val="16"/>
              </w:rPr>
              <w:t>02.1/3</w:t>
            </w:r>
          </w:p>
        </w:tc>
        <w:tc>
          <w:tcPr>
            <w:tcW w:w="3016" w:type="dxa"/>
            <w:tcBorders>
              <w:top w:val="nil"/>
              <w:left w:val="nil"/>
              <w:bottom w:val="single" w:sz="4" w:space="0" w:color="auto"/>
              <w:right w:val="single" w:sz="4" w:space="0" w:color="auto"/>
            </w:tcBorders>
            <w:shd w:val="clear" w:color="auto" w:fill="auto"/>
            <w:noWrap/>
            <w:vAlign w:val="center"/>
            <w:hideMark/>
          </w:tcPr>
          <w:p w14:paraId="11632385" w14:textId="77777777" w:rsidR="0043709B" w:rsidRPr="0043709B" w:rsidRDefault="0043709B" w:rsidP="00CD44F3">
            <w:pPr>
              <w:ind w:firstLine="422"/>
              <w:rPr>
                <w:rFonts w:ascii="Arial Narrow" w:hAnsi="Arial Narrow" w:cs="Calibri"/>
                <w:sz w:val="16"/>
                <w:szCs w:val="16"/>
              </w:rPr>
            </w:pPr>
            <w:r w:rsidRPr="0043709B">
              <w:rPr>
                <w:rFonts w:ascii="Arial Narrow" w:hAnsi="Arial Narrow" w:cs="Calibri"/>
                <w:sz w:val="16"/>
                <w:szCs w:val="16"/>
              </w:rPr>
              <w:t>Соя</w:t>
            </w:r>
          </w:p>
        </w:tc>
        <w:tc>
          <w:tcPr>
            <w:tcW w:w="1180" w:type="dxa"/>
            <w:tcBorders>
              <w:top w:val="nil"/>
              <w:left w:val="nil"/>
              <w:bottom w:val="single" w:sz="4" w:space="0" w:color="auto"/>
              <w:right w:val="single" w:sz="4" w:space="0" w:color="auto"/>
            </w:tcBorders>
            <w:shd w:val="clear" w:color="auto" w:fill="auto"/>
            <w:vAlign w:val="center"/>
          </w:tcPr>
          <w:p w14:paraId="23564CF5" w14:textId="77777777" w:rsidR="0043709B" w:rsidRPr="0043709B" w:rsidRDefault="0043709B" w:rsidP="0043709B">
            <w:pPr>
              <w:jc w:val="right"/>
              <w:rPr>
                <w:rFonts w:ascii="Arial Narrow" w:hAnsi="Arial Narrow" w:cs="Calibri"/>
                <w:sz w:val="16"/>
                <w:szCs w:val="16"/>
              </w:rPr>
            </w:pPr>
            <w:r w:rsidRPr="0043709B">
              <w:rPr>
                <w:rFonts w:ascii="Arial Narrow" w:hAnsi="Arial Narrow" w:cs="Calibri"/>
                <w:sz w:val="16"/>
                <w:szCs w:val="16"/>
              </w:rPr>
              <w:t>6,2</w:t>
            </w:r>
          </w:p>
        </w:tc>
        <w:tc>
          <w:tcPr>
            <w:tcW w:w="1170" w:type="dxa"/>
            <w:tcBorders>
              <w:top w:val="nil"/>
              <w:left w:val="nil"/>
              <w:bottom w:val="single" w:sz="4" w:space="0" w:color="auto"/>
              <w:right w:val="single" w:sz="4" w:space="0" w:color="auto"/>
            </w:tcBorders>
            <w:shd w:val="clear" w:color="auto" w:fill="auto"/>
            <w:noWrap/>
            <w:vAlign w:val="center"/>
            <w:hideMark/>
          </w:tcPr>
          <w:p w14:paraId="40D309DA" w14:textId="77777777" w:rsidR="0043709B" w:rsidRPr="0043709B" w:rsidRDefault="0043709B" w:rsidP="0043709B">
            <w:pPr>
              <w:jc w:val="right"/>
              <w:rPr>
                <w:rFonts w:ascii="Arial Narrow" w:hAnsi="Arial Narrow" w:cs="Calibri"/>
                <w:sz w:val="16"/>
                <w:szCs w:val="16"/>
              </w:rPr>
            </w:pPr>
            <w:r w:rsidRPr="0043709B">
              <w:rPr>
                <w:rFonts w:ascii="Arial Narrow" w:hAnsi="Arial Narrow" w:cs="Calibri"/>
                <w:sz w:val="16"/>
                <w:szCs w:val="16"/>
              </w:rPr>
              <w:t>9,7</w:t>
            </w:r>
          </w:p>
        </w:tc>
        <w:tc>
          <w:tcPr>
            <w:tcW w:w="1300" w:type="dxa"/>
            <w:tcBorders>
              <w:top w:val="nil"/>
              <w:left w:val="nil"/>
              <w:bottom w:val="single" w:sz="4" w:space="0" w:color="auto"/>
              <w:right w:val="single" w:sz="4" w:space="0" w:color="auto"/>
            </w:tcBorders>
            <w:shd w:val="clear" w:color="auto" w:fill="auto"/>
            <w:noWrap/>
            <w:vAlign w:val="center"/>
            <w:hideMark/>
          </w:tcPr>
          <w:p w14:paraId="7B2DC888" w14:textId="77777777" w:rsidR="0043709B" w:rsidRPr="0043709B" w:rsidRDefault="0043709B" w:rsidP="0043709B">
            <w:pPr>
              <w:jc w:val="right"/>
              <w:rPr>
                <w:rFonts w:ascii="Arial Narrow" w:hAnsi="Arial Narrow" w:cs="Calibri"/>
                <w:sz w:val="16"/>
                <w:szCs w:val="16"/>
              </w:rPr>
            </w:pPr>
            <w:r w:rsidRPr="0043709B">
              <w:rPr>
                <w:rFonts w:ascii="Arial Narrow" w:hAnsi="Arial Narrow" w:cs="Calibri"/>
                <w:sz w:val="16"/>
                <w:szCs w:val="16"/>
              </w:rPr>
              <w:t>0,6</w:t>
            </w:r>
          </w:p>
        </w:tc>
        <w:tc>
          <w:tcPr>
            <w:tcW w:w="1220" w:type="dxa"/>
            <w:tcBorders>
              <w:top w:val="nil"/>
              <w:left w:val="nil"/>
              <w:bottom w:val="single" w:sz="4" w:space="0" w:color="auto"/>
              <w:right w:val="single" w:sz="4" w:space="0" w:color="auto"/>
            </w:tcBorders>
            <w:shd w:val="clear" w:color="auto" w:fill="auto"/>
            <w:noWrap/>
            <w:vAlign w:val="center"/>
            <w:hideMark/>
          </w:tcPr>
          <w:p w14:paraId="26730F88" w14:textId="77777777" w:rsidR="0043709B" w:rsidRPr="0043709B" w:rsidRDefault="0043709B" w:rsidP="0043709B">
            <w:pPr>
              <w:jc w:val="right"/>
              <w:rPr>
                <w:rFonts w:ascii="Arial Narrow" w:hAnsi="Arial Narrow" w:cs="Calibri"/>
                <w:sz w:val="16"/>
                <w:szCs w:val="16"/>
              </w:rPr>
            </w:pPr>
            <w:r w:rsidRPr="0043709B">
              <w:rPr>
                <w:rFonts w:ascii="Arial Narrow" w:hAnsi="Arial Narrow" w:cs="Calibri"/>
                <w:sz w:val="16"/>
                <w:szCs w:val="16"/>
              </w:rPr>
              <w:t>83,3</w:t>
            </w:r>
          </w:p>
        </w:tc>
        <w:tc>
          <w:tcPr>
            <w:tcW w:w="1236" w:type="dxa"/>
            <w:tcBorders>
              <w:top w:val="nil"/>
              <w:left w:val="nil"/>
              <w:bottom w:val="single" w:sz="4" w:space="0" w:color="auto"/>
              <w:right w:val="single" w:sz="4" w:space="0" w:color="auto"/>
            </w:tcBorders>
            <w:shd w:val="clear" w:color="auto" w:fill="auto"/>
            <w:noWrap/>
            <w:vAlign w:val="center"/>
            <w:hideMark/>
          </w:tcPr>
          <w:p w14:paraId="27278D47" w14:textId="77777777" w:rsidR="0043709B" w:rsidRPr="0043709B" w:rsidRDefault="0043709B" w:rsidP="0043709B">
            <w:pPr>
              <w:jc w:val="right"/>
              <w:rPr>
                <w:rFonts w:ascii="Arial Narrow" w:hAnsi="Arial Narrow" w:cs="Calibri"/>
                <w:sz w:val="16"/>
                <w:szCs w:val="16"/>
              </w:rPr>
            </w:pPr>
            <w:r w:rsidRPr="0043709B">
              <w:rPr>
                <w:rFonts w:ascii="Arial Narrow" w:hAnsi="Arial Narrow" w:cs="Calibri"/>
                <w:sz w:val="16"/>
                <w:szCs w:val="16"/>
              </w:rPr>
              <w:t>0,5</w:t>
            </w:r>
          </w:p>
        </w:tc>
        <w:tc>
          <w:tcPr>
            <w:tcW w:w="1260" w:type="dxa"/>
            <w:tcBorders>
              <w:top w:val="nil"/>
              <w:left w:val="nil"/>
              <w:bottom w:val="single" w:sz="4" w:space="0" w:color="auto"/>
              <w:right w:val="single" w:sz="4" w:space="0" w:color="auto"/>
            </w:tcBorders>
            <w:shd w:val="clear" w:color="auto" w:fill="auto"/>
            <w:noWrap/>
            <w:vAlign w:val="center"/>
            <w:hideMark/>
          </w:tcPr>
          <w:p w14:paraId="3363B177" w14:textId="77777777" w:rsidR="0043709B" w:rsidRPr="0043709B" w:rsidRDefault="0043709B" w:rsidP="0043709B">
            <w:pPr>
              <w:jc w:val="right"/>
              <w:rPr>
                <w:rFonts w:ascii="Arial Narrow" w:hAnsi="Arial Narrow" w:cs="Arial"/>
                <w:sz w:val="16"/>
                <w:szCs w:val="16"/>
              </w:rPr>
            </w:pPr>
            <w:r w:rsidRPr="0043709B">
              <w:rPr>
                <w:rFonts w:ascii="Arial Narrow" w:hAnsi="Arial Narrow" w:cs="Arial"/>
                <w:sz w:val="16"/>
                <w:szCs w:val="16"/>
              </w:rPr>
              <w:t>8,1</w:t>
            </w:r>
          </w:p>
        </w:tc>
      </w:tr>
      <w:tr w:rsidR="0043709B" w:rsidRPr="0043709B" w14:paraId="585ADBDB" w14:textId="77777777" w:rsidTr="0043709B">
        <w:trPr>
          <w:trHeight w:val="250"/>
        </w:trPr>
        <w:tc>
          <w:tcPr>
            <w:tcW w:w="781" w:type="dxa"/>
            <w:tcBorders>
              <w:top w:val="nil"/>
              <w:left w:val="single" w:sz="4" w:space="0" w:color="auto"/>
              <w:bottom w:val="single" w:sz="4" w:space="0" w:color="auto"/>
              <w:right w:val="single" w:sz="4" w:space="0" w:color="auto"/>
            </w:tcBorders>
            <w:shd w:val="clear" w:color="auto" w:fill="auto"/>
            <w:noWrap/>
            <w:vAlign w:val="center"/>
            <w:hideMark/>
          </w:tcPr>
          <w:p w14:paraId="00D8019E" w14:textId="77777777" w:rsidR="0043709B" w:rsidRPr="0043709B" w:rsidRDefault="0043709B" w:rsidP="0043709B">
            <w:pPr>
              <w:rPr>
                <w:rFonts w:ascii="Arial Narrow" w:hAnsi="Arial Narrow" w:cs="Arial"/>
                <w:sz w:val="16"/>
                <w:szCs w:val="16"/>
              </w:rPr>
            </w:pPr>
            <w:r w:rsidRPr="0043709B">
              <w:rPr>
                <w:rFonts w:ascii="Arial Narrow" w:hAnsi="Arial Narrow" w:cs="Arial"/>
                <w:sz w:val="16"/>
                <w:szCs w:val="16"/>
              </w:rPr>
              <w:t>02.1/4</w:t>
            </w:r>
          </w:p>
        </w:tc>
        <w:tc>
          <w:tcPr>
            <w:tcW w:w="3016" w:type="dxa"/>
            <w:tcBorders>
              <w:top w:val="nil"/>
              <w:left w:val="nil"/>
              <w:bottom w:val="single" w:sz="4" w:space="0" w:color="auto"/>
              <w:right w:val="single" w:sz="4" w:space="0" w:color="auto"/>
            </w:tcBorders>
            <w:shd w:val="clear" w:color="auto" w:fill="auto"/>
            <w:noWrap/>
            <w:vAlign w:val="center"/>
            <w:hideMark/>
          </w:tcPr>
          <w:p w14:paraId="79C2BEC5" w14:textId="77777777" w:rsidR="0043709B" w:rsidRPr="00DF5C10" w:rsidRDefault="0043709B" w:rsidP="00CD44F3">
            <w:pPr>
              <w:ind w:firstLine="422"/>
              <w:rPr>
                <w:rFonts w:ascii="Arial Narrow" w:hAnsi="Arial Narrow" w:cs="Calibri"/>
                <w:sz w:val="16"/>
                <w:szCs w:val="16"/>
              </w:rPr>
            </w:pPr>
            <w:r w:rsidRPr="0043709B">
              <w:rPr>
                <w:rFonts w:ascii="Arial Narrow" w:hAnsi="Arial Narrow" w:cs="Calibri"/>
                <w:sz w:val="16"/>
                <w:szCs w:val="16"/>
              </w:rPr>
              <w:t>Други маслодайни</w:t>
            </w:r>
            <w:r w:rsidR="00DF5C10" w:rsidRPr="00CD44F3">
              <w:rPr>
                <w:rFonts w:ascii="Arial Narrow" w:hAnsi="Arial Narrow" w:cs="Calibri"/>
                <w:sz w:val="16"/>
                <w:szCs w:val="16"/>
              </w:rPr>
              <w:t xml:space="preserve"> култири</w:t>
            </w:r>
          </w:p>
        </w:tc>
        <w:tc>
          <w:tcPr>
            <w:tcW w:w="1180" w:type="dxa"/>
            <w:tcBorders>
              <w:top w:val="nil"/>
              <w:left w:val="nil"/>
              <w:bottom w:val="single" w:sz="4" w:space="0" w:color="auto"/>
              <w:right w:val="single" w:sz="4" w:space="0" w:color="auto"/>
            </w:tcBorders>
            <w:shd w:val="clear" w:color="auto" w:fill="auto"/>
            <w:vAlign w:val="center"/>
          </w:tcPr>
          <w:p w14:paraId="3F1D8A7F" w14:textId="77777777" w:rsidR="0043709B" w:rsidRPr="0043709B" w:rsidRDefault="0043709B" w:rsidP="0043709B">
            <w:pPr>
              <w:jc w:val="right"/>
              <w:rPr>
                <w:rFonts w:ascii="Arial Narrow" w:hAnsi="Arial Narrow" w:cs="Calibri"/>
                <w:sz w:val="16"/>
                <w:szCs w:val="16"/>
              </w:rPr>
            </w:pPr>
            <w:r w:rsidRPr="0043709B">
              <w:rPr>
                <w:rFonts w:ascii="Arial Narrow" w:hAnsi="Arial Narrow" w:cs="Calibri"/>
                <w:sz w:val="16"/>
                <w:szCs w:val="16"/>
              </w:rPr>
              <w:t>9,3</w:t>
            </w:r>
          </w:p>
        </w:tc>
        <w:tc>
          <w:tcPr>
            <w:tcW w:w="1170" w:type="dxa"/>
            <w:tcBorders>
              <w:top w:val="nil"/>
              <w:left w:val="nil"/>
              <w:bottom w:val="single" w:sz="4" w:space="0" w:color="auto"/>
              <w:right w:val="single" w:sz="4" w:space="0" w:color="auto"/>
            </w:tcBorders>
            <w:shd w:val="clear" w:color="auto" w:fill="auto"/>
            <w:noWrap/>
            <w:vAlign w:val="center"/>
            <w:hideMark/>
          </w:tcPr>
          <w:p w14:paraId="6B5703F9" w14:textId="77777777" w:rsidR="0043709B" w:rsidRPr="0043709B" w:rsidRDefault="0043709B" w:rsidP="0043709B">
            <w:pPr>
              <w:jc w:val="right"/>
              <w:rPr>
                <w:rFonts w:ascii="Arial Narrow" w:hAnsi="Arial Narrow" w:cs="Calibri"/>
                <w:sz w:val="16"/>
                <w:szCs w:val="16"/>
              </w:rPr>
            </w:pPr>
            <w:r w:rsidRPr="0043709B">
              <w:rPr>
                <w:rFonts w:ascii="Arial Narrow" w:hAnsi="Arial Narrow" w:cs="Calibri"/>
                <w:sz w:val="16"/>
                <w:szCs w:val="16"/>
              </w:rPr>
              <w:t>96,8</w:t>
            </w:r>
          </w:p>
        </w:tc>
        <w:tc>
          <w:tcPr>
            <w:tcW w:w="1300" w:type="dxa"/>
            <w:tcBorders>
              <w:top w:val="nil"/>
              <w:left w:val="nil"/>
              <w:bottom w:val="single" w:sz="4" w:space="0" w:color="auto"/>
              <w:right w:val="single" w:sz="4" w:space="0" w:color="auto"/>
            </w:tcBorders>
            <w:shd w:val="clear" w:color="auto" w:fill="auto"/>
            <w:noWrap/>
            <w:vAlign w:val="center"/>
            <w:hideMark/>
          </w:tcPr>
          <w:p w14:paraId="04405F7F" w14:textId="77777777" w:rsidR="0043709B" w:rsidRPr="0043709B" w:rsidRDefault="0043709B" w:rsidP="0043709B">
            <w:pPr>
              <w:jc w:val="right"/>
              <w:rPr>
                <w:rFonts w:ascii="Arial Narrow" w:hAnsi="Arial Narrow" w:cs="Calibri"/>
                <w:sz w:val="16"/>
                <w:szCs w:val="16"/>
              </w:rPr>
            </w:pPr>
            <w:r w:rsidRPr="0043709B">
              <w:rPr>
                <w:rFonts w:ascii="Arial Narrow" w:hAnsi="Arial Narrow" w:cs="Calibri"/>
                <w:sz w:val="16"/>
                <w:szCs w:val="16"/>
              </w:rPr>
              <w:t>9,0</w:t>
            </w:r>
          </w:p>
        </w:tc>
        <w:tc>
          <w:tcPr>
            <w:tcW w:w="1220" w:type="dxa"/>
            <w:tcBorders>
              <w:top w:val="nil"/>
              <w:left w:val="nil"/>
              <w:bottom w:val="single" w:sz="4" w:space="0" w:color="auto"/>
              <w:right w:val="single" w:sz="4" w:space="0" w:color="auto"/>
            </w:tcBorders>
            <w:shd w:val="clear" w:color="auto" w:fill="auto"/>
            <w:noWrap/>
            <w:vAlign w:val="center"/>
            <w:hideMark/>
          </w:tcPr>
          <w:p w14:paraId="349C3E50" w14:textId="77777777" w:rsidR="0043709B" w:rsidRPr="0043709B" w:rsidRDefault="0043709B" w:rsidP="0043709B">
            <w:pPr>
              <w:jc w:val="right"/>
              <w:rPr>
                <w:rFonts w:ascii="Arial Narrow" w:hAnsi="Arial Narrow" w:cs="Calibri"/>
                <w:sz w:val="16"/>
                <w:szCs w:val="16"/>
              </w:rPr>
            </w:pPr>
            <w:r w:rsidRPr="0043709B">
              <w:rPr>
                <w:rFonts w:ascii="Arial Narrow" w:hAnsi="Arial Narrow" w:cs="Calibri"/>
                <w:sz w:val="16"/>
                <w:szCs w:val="16"/>
              </w:rPr>
              <w:t>108,9</w:t>
            </w:r>
          </w:p>
        </w:tc>
        <w:tc>
          <w:tcPr>
            <w:tcW w:w="1236" w:type="dxa"/>
            <w:tcBorders>
              <w:top w:val="nil"/>
              <w:left w:val="nil"/>
              <w:bottom w:val="single" w:sz="4" w:space="0" w:color="auto"/>
              <w:right w:val="single" w:sz="4" w:space="0" w:color="auto"/>
            </w:tcBorders>
            <w:shd w:val="clear" w:color="auto" w:fill="auto"/>
            <w:noWrap/>
            <w:vAlign w:val="center"/>
            <w:hideMark/>
          </w:tcPr>
          <w:p w14:paraId="690F5F39" w14:textId="77777777" w:rsidR="0043709B" w:rsidRPr="0043709B" w:rsidRDefault="0043709B" w:rsidP="0043709B">
            <w:pPr>
              <w:jc w:val="right"/>
              <w:rPr>
                <w:rFonts w:ascii="Arial Narrow" w:hAnsi="Arial Narrow" w:cs="Calibri"/>
                <w:sz w:val="16"/>
                <w:szCs w:val="16"/>
              </w:rPr>
            </w:pPr>
            <w:r w:rsidRPr="0043709B">
              <w:rPr>
                <w:rFonts w:ascii="Arial Narrow" w:hAnsi="Arial Narrow" w:cs="Calibri"/>
                <w:sz w:val="16"/>
                <w:szCs w:val="16"/>
              </w:rPr>
              <w:t>9,8</w:t>
            </w:r>
          </w:p>
        </w:tc>
        <w:tc>
          <w:tcPr>
            <w:tcW w:w="1260" w:type="dxa"/>
            <w:tcBorders>
              <w:top w:val="nil"/>
              <w:left w:val="nil"/>
              <w:bottom w:val="single" w:sz="4" w:space="0" w:color="auto"/>
              <w:right w:val="single" w:sz="4" w:space="0" w:color="auto"/>
            </w:tcBorders>
            <w:shd w:val="clear" w:color="auto" w:fill="auto"/>
            <w:noWrap/>
            <w:vAlign w:val="center"/>
            <w:hideMark/>
          </w:tcPr>
          <w:p w14:paraId="0DC4F796" w14:textId="77777777" w:rsidR="0043709B" w:rsidRPr="0043709B" w:rsidRDefault="0043709B" w:rsidP="0043709B">
            <w:pPr>
              <w:jc w:val="right"/>
              <w:rPr>
                <w:rFonts w:ascii="Arial Narrow" w:hAnsi="Arial Narrow" w:cs="Arial"/>
                <w:sz w:val="16"/>
                <w:szCs w:val="16"/>
              </w:rPr>
            </w:pPr>
            <w:r w:rsidRPr="0043709B">
              <w:rPr>
                <w:rFonts w:ascii="Arial Narrow" w:hAnsi="Arial Narrow" w:cs="Arial"/>
                <w:sz w:val="16"/>
                <w:szCs w:val="16"/>
              </w:rPr>
              <w:t>105,4</w:t>
            </w:r>
          </w:p>
        </w:tc>
      </w:tr>
      <w:tr w:rsidR="0043709B" w:rsidRPr="0043709B" w14:paraId="3E3C8E93" w14:textId="77777777" w:rsidTr="0043709B">
        <w:trPr>
          <w:trHeight w:val="250"/>
        </w:trPr>
        <w:tc>
          <w:tcPr>
            <w:tcW w:w="781" w:type="dxa"/>
            <w:tcBorders>
              <w:top w:val="nil"/>
              <w:left w:val="single" w:sz="4" w:space="0" w:color="auto"/>
              <w:bottom w:val="single" w:sz="4" w:space="0" w:color="auto"/>
              <w:right w:val="single" w:sz="4" w:space="0" w:color="auto"/>
            </w:tcBorders>
            <w:shd w:val="clear" w:color="auto" w:fill="auto"/>
            <w:noWrap/>
            <w:vAlign w:val="center"/>
            <w:hideMark/>
          </w:tcPr>
          <w:p w14:paraId="30B13A66" w14:textId="77777777" w:rsidR="0043709B" w:rsidRPr="0043709B" w:rsidRDefault="0043709B" w:rsidP="0043709B">
            <w:pPr>
              <w:rPr>
                <w:rFonts w:ascii="Arial Narrow" w:hAnsi="Arial Narrow" w:cs="Arial"/>
                <w:sz w:val="16"/>
                <w:szCs w:val="16"/>
              </w:rPr>
            </w:pPr>
            <w:r w:rsidRPr="0043709B">
              <w:rPr>
                <w:rFonts w:ascii="Arial Narrow" w:hAnsi="Arial Narrow" w:cs="Arial"/>
                <w:sz w:val="16"/>
                <w:szCs w:val="16"/>
              </w:rPr>
              <w:t>02.2</w:t>
            </w:r>
          </w:p>
        </w:tc>
        <w:tc>
          <w:tcPr>
            <w:tcW w:w="3016" w:type="dxa"/>
            <w:tcBorders>
              <w:top w:val="nil"/>
              <w:left w:val="nil"/>
              <w:bottom w:val="single" w:sz="4" w:space="0" w:color="auto"/>
              <w:right w:val="single" w:sz="4" w:space="0" w:color="auto"/>
            </w:tcBorders>
            <w:shd w:val="clear" w:color="auto" w:fill="auto"/>
            <w:noWrap/>
            <w:vAlign w:val="center"/>
            <w:hideMark/>
          </w:tcPr>
          <w:p w14:paraId="1A1A2CBB" w14:textId="77777777" w:rsidR="0043709B" w:rsidRPr="0043709B" w:rsidRDefault="0043709B" w:rsidP="00CD44F3">
            <w:pPr>
              <w:ind w:firstLine="138"/>
              <w:rPr>
                <w:rFonts w:ascii="Arial Narrow" w:hAnsi="Arial Narrow" w:cs="Calibri"/>
                <w:sz w:val="16"/>
                <w:szCs w:val="16"/>
              </w:rPr>
            </w:pPr>
            <w:r w:rsidRPr="0043709B">
              <w:rPr>
                <w:rFonts w:ascii="Arial Narrow" w:hAnsi="Arial Narrow" w:cs="Calibri"/>
                <w:sz w:val="16"/>
                <w:szCs w:val="16"/>
              </w:rPr>
              <w:t>Протеинодайни култури</w:t>
            </w:r>
          </w:p>
        </w:tc>
        <w:tc>
          <w:tcPr>
            <w:tcW w:w="1180" w:type="dxa"/>
            <w:tcBorders>
              <w:top w:val="nil"/>
              <w:left w:val="nil"/>
              <w:bottom w:val="single" w:sz="4" w:space="0" w:color="auto"/>
              <w:right w:val="single" w:sz="4" w:space="0" w:color="auto"/>
            </w:tcBorders>
            <w:shd w:val="clear" w:color="auto" w:fill="auto"/>
            <w:vAlign w:val="center"/>
          </w:tcPr>
          <w:p w14:paraId="7932B4F5" w14:textId="77777777" w:rsidR="0043709B" w:rsidRPr="0043709B" w:rsidRDefault="0043709B" w:rsidP="0043709B">
            <w:pPr>
              <w:jc w:val="right"/>
              <w:rPr>
                <w:rFonts w:ascii="Arial Narrow" w:hAnsi="Arial Narrow" w:cs="Calibri"/>
                <w:sz w:val="16"/>
                <w:szCs w:val="16"/>
              </w:rPr>
            </w:pPr>
            <w:r w:rsidRPr="0043709B">
              <w:rPr>
                <w:rFonts w:ascii="Arial Narrow" w:hAnsi="Arial Narrow" w:cs="Calibri"/>
                <w:sz w:val="16"/>
                <w:szCs w:val="16"/>
              </w:rPr>
              <w:t>56,0</w:t>
            </w:r>
          </w:p>
        </w:tc>
        <w:tc>
          <w:tcPr>
            <w:tcW w:w="1170" w:type="dxa"/>
            <w:tcBorders>
              <w:top w:val="nil"/>
              <w:left w:val="nil"/>
              <w:bottom w:val="single" w:sz="4" w:space="0" w:color="auto"/>
              <w:right w:val="single" w:sz="4" w:space="0" w:color="auto"/>
            </w:tcBorders>
            <w:shd w:val="clear" w:color="auto" w:fill="auto"/>
            <w:noWrap/>
            <w:vAlign w:val="center"/>
            <w:hideMark/>
          </w:tcPr>
          <w:p w14:paraId="29550F98" w14:textId="77777777" w:rsidR="0043709B" w:rsidRPr="0043709B" w:rsidRDefault="0043709B" w:rsidP="0043709B">
            <w:pPr>
              <w:jc w:val="right"/>
              <w:rPr>
                <w:rFonts w:ascii="Arial Narrow" w:hAnsi="Arial Narrow" w:cs="Calibri"/>
                <w:sz w:val="16"/>
                <w:szCs w:val="16"/>
              </w:rPr>
            </w:pPr>
            <w:r w:rsidRPr="0043709B">
              <w:rPr>
                <w:rFonts w:ascii="Arial Narrow" w:hAnsi="Arial Narrow" w:cs="Calibri"/>
                <w:sz w:val="16"/>
                <w:szCs w:val="16"/>
              </w:rPr>
              <w:t>136,4</w:t>
            </w:r>
          </w:p>
        </w:tc>
        <w:tc>
          <w:tcPr>
            <w:tcW w:w="1300" w:type="dxa"/>
            <w:tcBorders>
              <w:top w:val="nil"/>
              <w:left w:val="nil"/>
              <w:bottom w:val="single" w:sz="4" w:space="0" w:color="auto"/>
              <w:right w:val="single" w:sz="4" w:space="0" w:color="auto"/>
            </w:tcBorders>
            <w:shd w:val="clear" w:color="auto" w:fill="auto"/>
            <w:noWrap/>
            <w:vAlign w:val="center"/>
            <w:hideMark/>
          </w:tcPr>
          <w:p w14:paraId="3F4405F9" w14:textId="77777777" w:rsidR="0043709B" w:rsidRPr="0043709B" w:rsidRDefault="0043709B" w:rsidP="0043709B">
            <w:pPr>
              <w:jc w:val="right"/>
              <w:rPr>
                <w:rFonts w:ascii="Arial Narrow" w:hAnsi="Arial Narrow" w:cs="Calibri"/>
                <w:sz w:val="16"/>
                <w:szCs w:val="16"/>
              </w:rPr>
            </w:pPr>
            <w:r w:rsidRPr="0043709B">
              <w:rPr>
                <w:rFonts w:ascii="Arial Narrow" w:hAnsi="Arial Narrow" w:cs="Calibri"/>
                <w:sz w:val="16"/>
                <w:szCs w:val="16"/>
              </w:rPr>
              <w:t>76,4</w:t>
            </w:r>
          </w:p>
        </w:tc>
        <w:tc>
          <w:tcPr>
            <w:tcW w:w="1220" w:type="dxa"/>
            <w:tcBorders>
              <w:top w:val="nil"/>
              <w:left w:val="nil"/>
              <w:bottom w:val="single" w:sz="4" w:space="0" w:color="auto"/>
              <w:right w:val="single" w:sz="4" w:space="0" w:color="auto"/>
            </w:tcBorders>
            <w:shd w:val="clear" w:color="auto" w:fill="auto"/>
            <w:noWrap/>
            <w:vAlign w:val="center"/>
            <w:hideMark/>
          </w:tcPr>
          <w:p w14:paraId="2FA5ED70" w14:textId="77777777" w:rsidR="0043709B" w:rsidRPr="0043709B" w:rsidRDefault="0043709B" w:rsidP="0043709B">
            <w:pPr>
              <w:jc w:val="right"/>
              <w:rPr>
                <w:rFonts w:ascii="Arial Narrow" w:hAnsi="Arial Narrow" w:cs="Calibri"/>
                <w:sz w:val="16"/>
                <w:szCs w:val="16"/>
              </w:rPr>
            </w:pPr>
            <w:r w:rsidRPr="0043709B">
              <w:rPr>
                <w:rFonts w:ascii="Arial Narrow" w:hAnsi="Arial Narrow" w:cs="Calibri"/>
                <w:sz w:val="16"/>
                <w:szCs w:val="16"/>
              </w:rPr>
              <w:t>87,3</w:t>
            </w:r>
          </w:p>
        </w:tc>
        <w:tc>
          <w:tcPr>
            <w:tcW w:w="1236" w:type="dxa"/>
            <w:tcBorders>
              <w:top w:val="nil"/>
              <w:left w:val="nil"/>
              <w:bottom w:val="single" w:sz="4" w:space="0" w:color="auto"/>
              <w:right w:val="single" w:sz="4" w:space="0" w:color="auto"/>
            </w:tcBorders>
            <w:shd w:val="clear" w:color="auto" w:fill="auto"/>
            <w:noWrap/>
            <w:vAlign w:val="center"/>
            <w:hideMark/>
          </w:tcPr>
          <w:p w14:paraId="0B929C36" w14:textId="77777777" w:rsidR="0043709B" w:rsidRPr="0043709B" w:rsidRDefault="0043709B" w:rsidP="0043709B">
            <w:pPr>
              <w:jc w:val="right"/>
              <w:rPr>
                <w:rFonts w:ascii="Arial Narrow" w:hAnsi="Arial Narrow" w:cs="Calibri"/>
                <w:sz w:val="16"/>
                <w:szCs w:val="16"/>
              </w:rPr>
            </w:pPr>
            <w:r w:rsidRPr="0043709B">
              <w:rPr>
                <w:rFonts w:ascii="Arial Narrow" w:hAnsi="Arial Narrow" w:cs="Calibri"/>
                <w:sz w:val="16"/>
                <w:szCs w:val="16"/>
              </w:rPr>
              <w:t>66,7</w:t>
            </w:r>
          </w:p>
        </w:tc>
        <w:tc>
          <w:tcPr>
            <w:tcW w:w="1260" w:type="dxa"/>
            <w:tcBorders>
              <w:top w:val="nil"/>
              <w:left w:val="nil"/>
              <w:bottom w:val="single" w:sz="4" w:space="0" w:color="auto"/>
              <w:right w:val="single" w:sz="4" w:space="0" w:color="auto"/>
            </w:tcBorders>
            <w:shd w:val="clear" w:color="auto" w:fill="auto"/>
            <w:noWrap/>
            <w:vAlign w:val="center"/>
            <w:hideMark/>
          </w:tcPr>
          <w:p w14:paraId="127F71C7" w14:textId="77777777" w:rsidR="0043709B" w:rsidRPr="0043709B" w:rsidRDefault="0043709B" w:rsidP="0043709B">
            <w:pPr>
              <w:jc w:val="right"/>
              <w:rPr>
                <w:rFonts w:ascii="Arial Narrow" w:hAnsi="Arial Narrow" w:cs="Arial"/>
                <w:sz w:val="16"/>
                <w:szCs w:val="16"/>
              </w:rPr>
            </w:pPr>
            <w:r w:rsidRPr="0043709B">
              <w:rPr>
                <w:rFonts w:ascii="Arial Narrow" w:hAnsi="Arial Narrow" w:cs="Arial"/>
                <w:sz w:val="16"/>
                <w:szCs w:val="16"/>
              </w:rPr>
              <w:t>119,1</w:t>
            </w:r>
          </w:p>
        </w:tc>
      </w:tr>
      <w:tr w:rsidR="0043709B" w:rsidRPr="0043709B" w14:paraId="6FF93C3E" w14:textId="77777777" w:rsidTr="0043709B">
        <w:trPr>
          <w:trHeight w:val="250"/>
        </w:trPr>
        <w:tc>
          <w:tcPr>
            <w:tcW w:w="781" w:type="dxa"/>
            <w:tcBorders>
              <w:top w:val="nil"/>
              <w:left w:val="single" w:sz="4" w:space="0" w:color="auto"/>
              <w:bottom w:val="single" w:sz="4" w:space="0" w:color="auto"/>
              <w:right w:val="single" w:sz="4" w:space="0" w:color="auto"/>
            </w:tcBorders>
            <w:shd w:val="clear" w:color="auto" w:fill="auto"/>
            <w:noWrap/>
            <w:vAlign w:val="center"/>
            <w:hideMark/>
          </w:tcPr>
          <w:p w14:paraId="3436687B" w14:textId="77777777" w:rsidR="0043709B" w:rsidRPr="0043709B" w:rsidRDefault="0043709B" w:rsidP="0043709B">
            <w:pPr>
              <w:rPr>
                <w:rFonts w:ascii="Arial Narrow" w:hAnsi="Arial Narrow" w:cs="Arial"/>
                <w:sz w:val="16"/>
                <w:szCs w:val="16"/>
              </w:rPr>
            </w:pPr>
            <w:r w:rsidRPr="0043709B">
              <w:rPr>
                <w:rFonts w:ascii="Arial Narrow" w:hAnsi="Arial Narrow" w:cs="Arial"/>
                <w:sz w:val="16"/>
                <w:szCs w:val="16"/>
              </w:rPr>
              <w:t>02.3</w:t>
            </w:r>
          </w:p>
        </w:tc>
        <w:tc>
          <w:tcPr>
            <w:tcW w:w="3016" w:type="dxa"/>
            <w:tcBorders>
              <w:top w:val="nil"/>
              <w:left w:val="nil"/>
              <w:bottom w:val="single" w:sz="4" w:space="0" w:color="auto"/>
              <w:right w:val="single" w:sz="4" w:space="0" w:color="auto"/>
            </w:tcBorders>
            <w:shd w:val="clear" w:color="auto" w:fill="auto"/>
            <w:noWrap/>
            <w:vAlign w:val="center"/>
            <w:hideMark/>
          </w:tcPr>
          <w:p w14:paraId="265310AD" w14:textId="77777777" w:rsidR="0043709B" w:rsidRPr="0043709B" w:rsidRDefault="0043709B" w:rsidP="00CD44F3">
            <w:pPr>
              <w:ind w:firstLine="138"/>
              <w:rPr>
                <w:rFonts w:ascii="Arial Narrow" w:hAnsi="Arial Narrow" w:cs="Calibri"/>
                <w:sz w:val="16"/>
                <w:szCs w:val="16"/>
              </w:rPr>
            </w:pPr>
            <w:r w:rsidRPr="0043709B">
              <w:rPr>
                <w:rFonts w:ascii="Arial Narrow" w:hAnsi="Arial Narrow" w:cs="Calibri"/>
                <w:sz w:val="16"/>
                <w:szCs w:val="16"/>
              </w:rPr>
              <w:t>Тютюн</w:t>
            </w:r>
          </w:p>
        </w:tc>
        <w:tc>
          <w:tcPr>
            <w:tcW w:w="1180" w:type="dxa"/>
            <w:tcBorders>
              <w:top w:val="nil"/>
              <w:left w:val="nil"/>
              <w:bottom w:val="single" w:sz="4" w:space="0" w:color="auto"/>
              <w:right w:val="single" w:sz="4" w:space="0" w:color="auto"/>
            </w:tcBorders>
            <w:shd w:val="clear" w:color="auto" w:fill="auto"/>
            <w:vAlign w:val="center"/>
          </w:tcPr>
          <w:p w14:paraId="5BB37617" w14:textId="77777777" w:rsidR="0043709B" w:rsidRPr="0043709B" w:rsidRDefault="0043709B" w:rsidP="0043709B">
            <w:pPr>
              <w:jc w:val="right"/>
              <w:rPr>
                <w:rFonts w:ascii="Arial Narrow" w:hAnsi="Arial Narrow" w:cs="Calibri"/>
                <w:sz w:val="16"/>
                <w:szCs w:val="16"/>
              </w:rPr>
            </w:pPr>
            <w:r w:rsidRPr="0043709B">
              <w:rPr>
                <w:rFonts w:ascii="Arial Narrow" w:hAnsi="Arial Narrow" w:cs="Calibri"/>
                <w:sz w:val="16"/>
                <w:szCs w:val="16"/>
              </w:rPr>
              <w:t>34,7</w:t>
            </w:r>
          </w:p>
        </w:tc>
        <w:tc>
          <w:tcPr>
            <w:tcW w:w="1170" w:type="dxa"/>
            <w:tcBorders>
              <w:top w:val="nil"/>
              <w:left w:val="nil"/>
              <w:bottom w:val="single" w:sz="4" w:space="0" w:color="auto"/>
              <w:right w:val="single" w:sz="4" w:space="0" w:color="auto"/>
            </w:tcBorders>
            <w:shd w:val="clear" w:color="auto" w:fill="auto"/>
            <w:noWrap/>
            <w:vAlign w:val="center"/>
            <w:hideMark/>
          </w:tcPr>
          <w:p w14:paraId="0EC647DF" w14:textId="77777777" w:rsidR="0043709B" w:rsidRPr="0043709B" w:rsidRDefault="0043709B" w:rsidP="0043709B">
            <w:pPr>
              <w:jc w:val="right"/>
              <w:rPr>
                <w:rFonts w:ascii="Arial Narrow" w:hAnsi="Arial Narrow" w:cs="Calibri"/>
                <w:sz w:val="16"/>
                <w:szCs w:val="16"/>
              </w:rPr>
            </w:pPr>
            <w:r w:rsidRPr="0043709B">
              <w:rPr>
                <w:rFonts w:ascii="Arial Narrow" w:hAnsi="Arial Narrow" w:cs="Calibri"/>
                <w:sz w:val="16"/>
                <w:szCs w:val="16"/>
              </w:rPr>
              <w:t>86,2</w:t>
            </w:r>
          </w:p>
        </w:tc>
        <w:tc>
          <w:tcPr>
            <w:tcW w:w="1300" w:type="dxa"/>
            <w:tcBorders>
              <w:top w:val="nil"/>
              <w:left w:val="nil"/>
              <w:bottom w:val="single" w:sz="4" w:space="0" w:color="auto"/>
              <w:right w:val="single" w:sz="4" w:space="0" w:color="auto"/>
            </w:tcBorders>
            <w:shd w:val="clear" w:color="auto" w:fill="auto"/>
            <w:noWrap/>
            <w:vAlign w:val="center"/>
            <w:hideMark/>
          </w:tcPr>
          <w:p w14:paraId="67BFDE9F" w14:textId="77777777" w:rsidR="0043709B" w:rsidRPr="0043709B" w:rsidRDefault="0043709B" w:rsidP="0043709B">
            <w:pPr>
              <w:jc w:val="right"/>
              <w:rPr>
                <w:rFonts w:ascii="Arial Narrow" w:hAnsi="Arial Narrow" w:cs="Calibri"/>
                <w:sz w:val="16"/>
                <w:szCs w:val="16"/>
              </w:rPr>
            </w:pPr>
            <w:r w:rsidRPr="0043709B">
              <w:rPr>
                <w:rFonts w:ascii="Arial Narrow" w:hAnsi="Arial Narrow" w:cs="Calibri"/>
                <w:sz w:val="16"/>
                <w:szCs w:val="16"/>
              </w:rPr>
              <w:t>29,9</w:t>
            </w:r>
          </w:p>
        </w:tc>
        <w:tc>
          <w:tcPr>
            <w:tcW w:w="1220" w:type="dxa"/>
            <w:tcBorders>
              <w:top w:val="nil"/>
              <w:left w:val="nil"/>
              <w:bottom w:val="single" w:sz="4" w:space="0" w:color="auto"/>
              <w:right w:val="single" w:sz="4" w:space="0" w:color="auto"/>
            </w:tcBorders>
            <w:shd w:val="clear" w:color="auto" w:fill="auto"/>
            <w:noWrap/>
            <w:vAlign w:val="center"/>
            <w:hideMark/>
          </w:tcPr>
          <w:p w14:paraId="46CC64D6" w14:textId="77777777" w:rsidR="0043709B" w:rsidRPr="0043709B" w:rsidRDefault="0043709B" w:rsidP="0043709B">
            <w:pPr>
              <w:jc w:val="right"/>
              <w:rPr>
                <w:rFonts w:ascii="Arial Narrow" w:hAnsi="Arial Narrow" w:cs="Calibri"/>
                <w:sz w:val="16"/>
                <w:szCs w:val="16"/>
              </w:rPr>
            </w:pPr>
            <w:r w:rsidRPr="0043709B">
              <w:rPr>
                <w:rFonts w:ascii="Arial Narrow" w:hAnsi="Arial Narrow" w:cs="Calibri"/>
                <w:sz w:val="16"/>
                <w:szCs w:val="16"/>
              </w:rPr>
              <w:t>116,4</w:t>
            </w:r>
          </w:p>
        </w:tc>
        <w:tc>
          <w:tcPr>
            <w:tcW w:w="1236" w:type="dxa"/>
            <w:tcBorders>
              <w:top w:val="nil"/>
              <w:left w:val="nil"/>
              <w:bottom w:val="single" w:sz="4" w:space="0" w:color="auto"/>
              <w:right w:val="single" w:sz="4" w:space="0" w:color="auto"/>
            </w:tcBorders>
            <w:shd w:val="clear" w:color="auto" w:fill="auto"/>
            <w:noWrap/>
            <w:vAlign w:val="center"/>
            <w:hideMark/>
          </w:tcPr>
          <w:p w14:paraId="2A452EE0" w14:textId="77777777" w:rsidR="0043709B" w:rsidRPr="0043709B" w:rsidRDefault="0043709B" w:rsidP="0043709B">
            <w:pPr>
              <w:jc w:val="right"/>
              <w:rPr>
                <w:rFonts w:ascii="Arial Narrow" w:hAnsi="Arial Narrow" w:cs="Calibri"/>
                <w:sz w:val="16"/>
                <w:szCs w:val="16"/>
              </w:rPr>
            </w:pPr>
            <w:r w:rsidRPr="0043709B">
              <w:rPr>
                <w:rFonts w:ascii="Arial Narrow" w:hAnsi="Arial Narrow" w:cs="Calibri"/>
                <w:sz w:val="16"/>
                <w:szCs w:val="16"/>
              </w:rPr>
              <w:t>34,8</w:t>
            </w:r>
          </w:p>
        </w:tc>
        <w:tc>
          <w:tcPr>
            <w:tcW w:w="1260" w:type="dxa"/>
            <w:tcBorders>
              <w:top w:val="nil"/>
              <w:left w:val="nil"/>
              <w:bottom w:val="single" w:sz="4" w:space="0" w:color="auto"/>
              <w:right w:val="single" w:sz="4" w:space="0" w:color="auto"/>
            </w:tcBorders>
            <w:shd w:val="clear" w:color="auto" w:fill="auto"/>
            <w:noWrap/>
            <w:vAlign w:val="center"/>
            <w:hideMark/>
          </w:tcPr>
          <w:p w14:paraId="3B2405A4" w14:textId="77777777" w:rsidR="0043709B" w:rsidRPr="0043709B" w:rsidRDefault="0043709B" w:rsidP="0043709B">
            <w:pPr>
              <w:jc w:val="right"/>
              <w:rPr>
                <w:rFonts w:ascii="Arial Narrow" w:hAnsi="Arial Narrow" w:cs="Arial"/>
                <w:sz w:val="16"/>
                <w:szCs w:val="16"/>
              </w:rPr>
            </w:pPr>
            <w:r w:rsidRPr="0043709B">
              <w:rPr>
                <w:rFonts w:ascii="Arial Narrow" w:hAnsi="Arial Narrow" w:cs="Arial"/>
                <w:sz w:val="16"/>
                <w:szCs w:val="16"/>
              </w:rPr>
              <w:t>100,3</w:t>
            </w:r>
          </w:p>
        </w:tc>
      </w:tr>
      <w:tr w:rsidR="0043709B" w:rsidRPr="0043709B" w14:paraId="532A43F3" w14:textId="77777777" w:rsidTr="0043709B">
        <w:trPr>
          <w:trHeight w:val="250"/>
        </w:trPr>
        <w:tc>
          <w:tcPr>
            <w:tcW w:w="781" w:type="dxa"/>
            <w:tcBorders>
              <w:top w:val="nil"/>
              <w:left w:val="single" w:sz="4" w:space="0" w:color="auto"/>
              <w:bottom w:val="single" w:sz="4" w:space="0" w:color="auto"/>
              <w:right w:val="single" w:sz="4" w:space="0" w:color="auto"/>
            </w:tcBorders>
            <w:shd w:val="clear" w:color="auto" w:fill="auto"/>
            <w:noWrap/>
            <w:vAlign w:val="center"/>
            <w:hideMark/>
          </w:tcPr>
          <w:p w14:paraId="4789044B" w14:textId="77777777" w:rsidR="0043709B" w:rsidRPr="0043709B" w:rsidRDefault="0043709B" w:rsidP="0043709B">
            <w:pPr>
              <w:rPr>
                <w:rFonts w:ascii="Arial Narrow" w:hAnsi="Arial Narrow" w:cs="Arial"/>
                <w:sz w:val="16"/>
                <w:szCs w:val="16"/>
              </w:rPr>
            </w:pPr>
            <w:r w:rsidRPr="0043709B">
              <w:rPr>
                <w:rFonts w:ascii="Arial Narrow" w:hAnsi="Arial Narrow" w:cs="Arial"/>
                <w:sz w:val="16"/>
                <w:szCs w:val="16"/>
              </w:rPr>
              <w:t>02.4</w:t>
            </w:r>
          </w:p>
        </w:tc>
        <w:tc>
          <w:tcPr>
            <w:tcW w:w="3016" w:type="dxa"/>
            <w:tcBorders>
              <w:top w:val="nil"/>
              <w:left w:val="nil"/>
              <w:bottom w:val="single" w:sz="4" w:space="0" w:color="auto"/>
              <w:right w:val="single" w:sz="4" w:space="0" w:color="auto"/>
            </w:tcBorders>
            <w:shd w:val="clear" w:color="auto" w:fill="auto"/>
            <w:noWrap/>
            <w:vAlign w:val="center"/>
            <w:hideMark/>
          </w:tcPr>
          <w:p w14:paraId="6E768F21" w14:textId="77777777" w:rsidR="0043709B" w:rsidRPr="0043709B" w:rsidRDefault="0043709B" w:rsidP="00CD44F3">
            <w:pPr>
              <w:ind w:firstLine="138"/>
              <w:rPr>
                <w:rFonts w:ascii="Arial Narrow" w:hAnsi="Arial Narrow" w:cs="Calibri"/>
                <w:sz w:val="16"/>
                <w:szCs w:val="16"/>
              </w:rPr>
            </w:pPr>
            <w:r w:rsidRPr="0043709B">
              <w:rPr>
                <w:rFonts w:ascii="Arial Narrow" w:hAnsi="Arial Narrow" w:cs="Calibri"/>
                <w:sz w:val="16"/>
                <w:szCs w:val="16"/>
              </w:rPr>
              <w:t>Захарно цвекло</w:t>
            </w:r>
          </w:p>
        </w:tc>
        <w:tc>
          <w:tcPr>
            <w:tcW w:w="1180" w:type="dxa"/>
            <w:tcBorders>
              <w:top w:val="nil"/>
              <w:left w:val="nil"/>
              <w:bottom w:val="single" w:sz="4" w:space="0" w:color="auto"/>
              <w:right w:val="single" w:sz="4" w:space="0" w:color="auto"/>
            </w:tcBorders>
            <w:shd w:val="clear" w:color="auto" w:fill="auto"/>
            <w:vAlign w:val="center"/>
          </w:tcPr>
          <w:p w14:paraId="555DD5AE" w14:textId="77777777" w:rsidR="0043709B" w:rsidRPr="0043709B" w:rsidRDefault="0043709B" w:rsidP="0043709B">
            <w:pPr>
              <w:jc w:val="right"/>
              <w:rPr>
                <w:rFonts w:ascii="Arial Narrow" w:hAnsi="Arial Narrow" w:cs="Calibri"/>
                <w:sz w:val="16"/>
                <w:szCs w:val="16"/>
              </w:rPr>
            </w:pPr>
            <w:r w:rsidRPr="0043709B">
              <w:rPr>
                <w:rFonts w:ascii="Arial Narrow" w:hAnsi="Arial Narrow" w:cs="Calibri"/>
                <w:sz w:val="16"/>
                <w:szCs w:val="16"/>
              </w:rPr>
              <w:t> </w:t>
            </w:r>
          </w:p>
        </w:tc>
        <w:tc>
          <w:tcPr>
            <w:tcW w:w="1170" w:type="dxa"/>
            <w:tcBorders>
              <w:top w:val="nil"/>
              <w:left w:val="nil"/>
              <w:bottom w:val="single" w:sz="4" w:space="0" w:color="auto"/>
              <w:right w:val="single" w:sz="4" w:space="0" w:color="auto"/>
            </w:tcBorders>
            <w:shd w:val="clear" w:color="auto" w:fill="auto"/>
            <w:noWrap/>
            <w:vAlign w:val="center"/>
            <w:hideMark/>
          </w:tcPr>
          <w:p w14:paraId="0BDB553F" w14:textId="77777777" w:rsidR="0043709B" w:rsidRPr="0043709B" w:rsidRDefault="0043709B" w:rsidP="0043709B">
            <w:pPr>
              <w:jc w:val="right"/>
              <w:rPr>
                <w:rFonts w:ascii="Arial Narrow" w:hAnsi="Arial Narrow" w:cs="Calibri"/>
                <w:sz w:val="16"/>
                <w:szCs w:val="16"/>
              </w:rPr>
            </w:pPr>
            <w:r w:rsidRPr="0043709B">
              <w:rPr>
                <w:rFonts w:ascii="Arial Narrow" w:hAnsi="Arial Narrow" w:cs="Calibri"/>
                <w:sz w:val="16"/>
                <w:szCs w:val="16"/>
              </w:rPr>
              <w:t> </w:t>
            </w:r>
          </w:p>
        </w:tc>
        <w:tc>
          <w:tcPr>
            <w:tcW w:w="1300" w:type="dxa"/>
            <w:tcBorders>
              <w:top w:val="nil"/>
              <w:left w:val="nil"/>
              <w:bottom w:val="single" w:sz="4" w:space="0" w:color="auto"/>
              <w:right w:val="single" w:sz="4" w:space="0" w:color="auto"/>
            </w:tcBorders>
            <w:shd w:val="clear" w:color="auto" w:fill="auto"/>
            <w:noWrap/>
            <w:vAlign w:val="center"/>
            <w:hideMark/>
          </w:tcPr>
          <w:p w14:paraId="78620DFA" w14:textId="77777777" w:rsidR="0043709B" w:rsidRPr="0043709B" w:rsidRDefault="0043709B" w:rsidP="0043709B">
            <w:pPr>
              <w:jc w:val="right"/>
              <w:rPr>
                <w:rFonts w:ascii="Arial Narrow" w:hAnsi="Arial Narrow" w:cs="Calibri"/>
                <w:sz w:val="16"/>
                <w:szCs w:val="16"/>
              </w:rPr>
            </w:pPr>
            <w:r w:rsidRPr="0043709B">
              <w:rPr>
                <w:rFonts w:ascii="Arial Narrow" w:hAnsi="Arial Narrow" w:cs="Calibri"/>
                <w:sz w:val="16"/>
                <w:szCs w:val="16"/>
              </w:rPr>
              <w:t> </w:t>
            </w:r>
          </w:p>
        </w:tc>
        <w:tc>
          <w:tcPr>
            <w:tcW w:w="1220" w:type="dxa"/>
            <w:tcBorders>
              <w:top w:val="nil"/>
              <w:left w:val="nil"/>
              <w:bottom w:val="single" w:sz="4" w:space="0" w:color="auto"/>
              <w:right w:val="single" w:sz="4" w:space="0" w:color="auto"/>
            </w:tcBorders>
            <w:shd w:val="clear" w:color="auto" w:fill="auto"/>
            <w:noWrap/>
            <w:vAlign w:val="center"/>
            <w:hideMark/>
          </w:tcPr>
          <w:p w14:paraId="64BF2395" w14:textId="77777777" w:rsidR="0043709B" w:rsidRPr="0043709B" w:rsidRDefault="0043709B" w:rsidP="0043709B">
            <w:pPr>
              <w:jc w:val="right"/>
              <w:rPr>
                <w:rFonts w:ascii="Arial Narrow" w:hAnsi="Arial Narrow" w:cs="Calibri"/>
                <w:sz w:val="16"/>
                <w:szCs w:val="16"/>
              </w:rPr>
            </w:pPr>
            <w:r w:rsidRPr="0043709B">
              <w:rPr>
                <w:rFonts w:ascii="Arial Narrow" w:hAnsi="Arial Narrow" w:cs="Calibri"/>
                <w:sz w:val="16"/>
                <w:szCs w:val="16"/>
              </w:rPr>
              <w:t> </w:t>
            </w:r>
          </w:p>
        </w:tc>
        <w:tc>
          <w:tcPr>
            <w:tcW w:w="1236" w:type="dxa"/>
            <w:tcBorders>
              <w:top w:val="nil"/>
              <w:left w:val="nil"/>
              <w:bottom w:val="single" w:sz="4" w:space="0" w:color="auto"/>
              <w:right w:val="single" w:sz="4" w:space="0" w:color="auto"/>
            </w:tcBorders>
            <w:shd w:val="clear" w:color="auto" w:fill="auto"/>
            <w:noWrap/>
            <w:vAlign w:val="center"/>
            <w:hideMark/>
          </w:tcPr>
          <w:p w14:paraId="13C4FD66" w14:textId="77777777" w:rsidR="0043709B" w:rsidRPr="0043709B" w:rsidRDefault="0043709B" w:rsidP="0043709B">
            <w:pPr>
              <w:jc w:val="right"/>
              <w:rPr>
                <w:rFonts w:ascii="Arial Narrow" w:hAnsi="Arial Narrow" w:cs="Calibri"/>
                <w:sz w:val="16"/>
                <w:szCs w:val="16"/>
              </w:rPr>
            </w:pPr>
            <w:r w:rsidRPr="0043709B">
              <w:rPr>
                <w:rFonts w:ascii="Arial Narrow" w:hAnsi="Arial Narrow" w:cs="Calibri"/>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14:paraId="0739E59C" w14:textId="77777777" w:rsidR="0043709B" w:rsidRPr="0043709B" w:rsidRDefault="0043709B" w:rsidP="0043709B">
            <w:pPr>
              <w:jc w:val="right"/>
              <w:rPr>
                <w:rFonts w:ascii="Arial Narrow" w:hAnsi="Arial Narrow" w:cs="Arial"/>
                <w:sz w:val="16"/>
                <w:szCs w:val="16"/>
              </w:rPr>
            </w:pPr>
            <w:r w:rsidRPr="0043709B">
              <w:rPr>
                <w:rFonts w:ascii="Arial Narrow" w:hAnsi="Arial Narrow" w:cs="Arial"/>
                <w:sz w:val="16"/>
                <w:szCs w:val="16"/>
              </w:rPr>
              <w:t>.</w:t>
            </w:r>
          </w:p>
        </w:tc>
      </w:tr>
      <w:tr w:rsidR="0043709B" w:rsidRPr="0043709B" w14:paraId="7035E09F" w14:textId="77777777" w:rsidTr="0043709B">
        <w:trPr>
          <w:trHeight w:val="250"/>
        </w:trPr>
        <w:tc>
          <w:tcPr>
            <w:tcW w:w="781" w:type="dxa"/>
            <w:tcBorders>
              <w:top w:val="nil"/>
              <w:left w:val="single" w:sz="4" w:space="0" w:color="auto"/>
              <w:bottom w:val="single" w:sz="4" w:space="0" w:color="auto"/>
              <w:right w:val="single" w:sz="4" w:space="0" w:color="auto"/>
            </w:tcBorders>
            <w:shd w:val="clear" w:color="auto" w:fill="auto"/>
            <w:noWrap/>
            <w:vAlign w:val="center"/>
            <w:hideMark/>
          </w:tcPr>
          <w:p w14:paraId="177D968C" w14:textId="77777777" w:rsidR="0043709B" w:rsidRPr="0043709B" w:rsidRDefault="0043709B" w:rsidP="0043709B">
            <w:pPr>
              <w:rPr>
                <w:rFonts w:ascii="Arial Narrow" w:hAnsi="Arial Narrow" w:cs="Arial"/>
                <w:sz w:val="16"/>
                <w:szCs w:val="16"/>
              </w:rPr>
            </w:pPr>
            <w:r w:rsidRPr="0043709B">
              <w:rPr>
                <w:rFonts w:ascii="Arial Narrow" w:hAnsi="Arial Narrow" w:cs="Arial"/>
                <w:sz w:val="16"/>
                <w:szCs w:val="16"/>
              </w:rPr>
              <w:t>02.5</w:t>
            </w:r>
          </w:p>
        </w:tc>
        <w:tc>
          <w:tcPr>
            <w:tcW w:w="3016" w:type="dxa"/>
            <w:tcBorders>
              <w:top w:val="nil"/>
              <w:left w:val="nil"/>
              <w:bottom w:val="single" w:sz="4" w:space="0" w:color="auto"/>
              <w:right w:val="single" w:sz="4" w:space="0" w:color="auto"/>
            </w:tcBorders>
            <w:shd w:val="clear" w:color="auto" w:fill="auto"/>
            <w:noWrap/>
            <w:vAlign w:val="center"/>
            <w:hideMark/>
          </w:tcPr>
          <w:p w14:paraId="48054776" w14:textId="77777777" w:rsidR="0043709B" w:rsidRPr="0043709B" w:rsidRDefault="0043709B" w:rsidP="00CD44F3">
            <w:pPr>
              <w:ind w:firstLine="138"/>
              <w:rPr>
                <w:rFonts w:ascii="Arial Narrow" w:hAnsi="Arial Narrow" w:cs="Calibri"/>
                <w:sz w:val="16"/>
                <w:szCs w:val="16"/>
              </w:rPr>
            </w:pPr>
            <w:r w:rsidRPr="0043709B">
              <w:rPr>
                <w:rFonts w:ascii="Arial Narrow" w:hAnsi="Arial Narrow" w:cs="Calibri"/>
                <w:sz w:val="16"/>
                <w:szCs w:val="16"/>
              </w:rPr>
              <w:t xml:space="preserve">Други технически </w:t>
            </w:r>
          </w:p>
        </w:tc>
        <w:tc>
          <w:tcPr>
            <w:tcW w:w="1180" w:type="dxa"/>
            <w:tcBorders>
              <w:top w:val="nil"/>
              <w:left w:val="nil"/>
              <w:bottom w:val="single" w:sz="4" w:space="0" w:color="auto"/>
              <w:right w:val="single" w:sz="4" w:space="0" w:color="auto"/>
            </w:tcBorders>
            <w:shd w:val="clear" w:color="auto" w:fill="auto"/>
            <w:vAlign w:val="center"/>
          </w:tcPr>
          <w:p w14:paraId="0D93421A" w14:textId="77777777" w:rsidR="0043709B" w:rsidRPr="0043709B" w:rsidRDefault="0043709B" w:rsidP="0043709B">
            <w:pPr>
              <w:jc w:val="right"/>
              <w:rPr>
                <w:rFonts w:ascii="Arial Narrow" w:hAnsi="Arial Narrow" w:cs="Calibri"/>
                <w:sz w:val="16"/>
                <w:szCs w:val="16"/>
              </w:rPr>
            </w:pPr>
            <w:r w:rsidRPr="0043709B">
              <w:rPr>
                <w:rFonts w:ascii="Arial Narrow" w:hAnsi="Arial Narrow" w:cs="Calibri"/>
                <w:sz w:val="16"/>
                <w:szCs w:val="16"/>
              </w:rPr>
              <w:t>103,5</w:t>
            </w:r>
          </w:p>
        </w:tc>
        <w:tc>
          <w:tcPr>
            <w:tcW w:w="1170" w:type="dxa"/>
            <w:tcBorders>
              <w:top w:val="nil"/>
              <w:left w:val="nil"/>
              <w:bottom w:val="single" w:sz="4" w:space="0" w:color="auto"/>
              <w:right w:val="single" w:sz="4" w:space="0" w:color="auto"/>
            </w:tcBorders>
            <w:shd w:val="clear" w:color="auto" w:fill="auto"/>
            <w:noWrap/>
            <w:vAlign w:val="center"/>
            <w:hideMark/>
          </w:tcPr>
          <w:p w14:paraId="655B96D1" w14:textId="77777777" w:rsidR="0043709B" w:rsidRPr="0043709B" w:rsidRDefault="0043709B" w:rsidP="0043709B">
            <w:pPr>
              <w:jc w:val="right"/>
              <w:rPr>
                <w:rFonts w:ascii="Arial Narrow" w:hAnsi="Arial Narrow" w:cs="Calibri"/>
                <w:sz w:val="16"/>
                <w:szCs w:val="16"/>
              </w:rPr>
            </w:pPr>
            <w:r w:rsidRPr="0043709B">
              <w:rPr>
                <w:rFonts w:ascii="Arial Narrow" w:hAnsi="Arial Narrow" w:cs="Calibri"/>
                <w:sz w:val="16"/>
                <w:szCs w:val="16"/>
              </w:rPr>
              <w:t>95,4</w:t>
            </w:r>
          </w:p>
        </w:tc>
        <w:tc>
          <w:tcPr>
            <w:tcW w:w="1300" w:type="dxa"/>
            <w:tcBorders>
              <w:top w:val="nil"/>
              <w:left w:val="nil"/>
              <w:bottom w:val="single" w:sz="4" w:space="0" w:color="auto"/>
              <w:right w:val="single" w:sz="4" w:space="0" w:color="auto"/>
            </w:tcBorders>
            <w:shd w:val="clear" w:color="auto" w:fill="auto"/>
            <w:noWrap/>
            <w:vAlign w:val="center"/>
            <w:hideMark/>
          </w:tcPr>
          <w:p w14:paraId="05B5B2AF" w14:textId="77777777" w:rsidR="0043709B" w:rsidRPr="0043709B" w:rsidRDefault="0043709B" w:rsidP="0043709B">
            <w:pPr>
              <w:jc w:val="right"/>
              <w:rPr>
                <w:rFonts w:ascii="Arial Narrow" w:hAnsi="Arial Narrow" w:cs="Calibri"/>
                <w:sz w:val="16"/>
                <w:szCs w:val="16"/>
              </w:rPr>
            </w:pPr>
            <w:r w:rsidRPr="0043709B">
              <w:rPr>
                <w:rFonts w:ascii="Arial Narrow" w:hAnsi="Arial Narrow" w:cs="Calibri"/>
                <w:sz w:val="16"/>
                <w:szCs w:val="16"/>
              </w:rPr>
              <w:t>98,7</w:t>
            </w:r>
          </w:p>
        </w:tc>
        <w:tc>
          <w:tcPr>
            <w:tcW w:w="1220" w:type="dxa"/>
            <w:tcBorders>
              <w:top w:val="nil"/>
              <w:left w:val="nil"/>
              <w:bottom w:val="single" w:sz="4" w:space="0" w:color="auto"/>
              <w:right w:val="single" w:sz="4" w:space="0" w:color="auto"/>
            </w:tcBorders>
            <w:shd w:val="clear" w:color="auto" w:fill="auto"/>
            <w:noWrap/>
            <w:vAlign w:val="center"/>
            <w:hideMark/>
          </w:tcPr>
          <w:p w14:paraId="2694A67D" w14:textId="77777777" w:rsidR="0043709B" w:rsidRPr="0043709B" w:rsidRDefault="0043709B" w:rsidP="0043709B">
            <w:pPr>
              <w:jc w:val="right"/>
              <w:rPr>
                <w:rFonts w:ascii="Arial Narrow" w:hAnsi="Arial Narrow" w:cs="Calibri"/>
                <w:sz w:val="16"/>
                <w:szCs w:val="16"/>
              </w:rPr>
            </w:pPr>
            <w:r w:rsidRPr="0043709B">
              <w:rPr>
                <w:rFonts w:ascii="Arial Narrow" w:hAnsi="Arial Narrow" w:cs="Calibri"/>
                <w:sz w:val="16"/>
                <w:szCs w:val="16"/>
              </w:rPr>
              <w:t>110,0</w:t>
            </w:r>
          </w:p>
        </w:tc>
        <w:tc>
          <w:tcPr>
            <w:tcW w:w="1236" w:type="dxa"/>
            <w:tcBorders>
              <w:top w:val="nil"/>
              <w:left w:val="nil"/>
              <w:bottom w:val="single" w:sz="4" w:space="0" w:color="auto"/>
              <w:right w:val="single" w:sz="4" w:space="0" w:color="auto"/>
            </w:tcBorders>
            <w:shd w:val="clear" w:color="auto" w:fill="auto"/>
            <w:noWrap/>
            <w:vAlign w:val="center"/>
            <w:hideMark/>
          </w:tcPr>
          <w:p w14:paraId="2FC3C4C1" w14:textId="77777777" w:rsidR="0043709B" w:rsidRPr="0043709B" w:rsidRDefault="0043709B" w:rsidP="0043709B">
            <w:pPr>
              <w:jc w:val="right"/>
              <w:rPr>
                <w:rFonts w:ascii="Arial Narrow" w:hAnsi="Arial Narrow" w:cs="Calibri"/>
                <w:sz w:val="16"/>
                <w:szCs w:val="16"/>
              </w:rPr>
            </w:pPr>
            <w:r w:rsidRPr="0043709B">
              <w:rPr>
                <w:rFonts w:ascii="Arial Narrow" w:hAnsi="Arial Narrow" w:cs="Calibri"/>
                <w:sz w:val="16"/>
                <w:szCs w:val="16"/>
              </w:rPr>
              <w:t>108,6</w:t>
            </w:r>
          </w:p>
        </w:tc>
        <w:tc>
          <w:tcPr>
            <w:tcW w:w="1260" w:type="dxa"/>
            <w:tcBorders>
              <w:top w:val="nil"/>
              <w:left w:val="nil"/>
              <w:bottom w:val="single" w:sz="4" w:space="0" w:color="auto"/>
              <w:right w:val="single" w:sz="4" w:space="0" w:color="auto"/>
            </w:tcBorders>
            <w:shd w:val="clear" w:color="auto" w:fill="auto"/>
            <w:noWrap/>
            <w:vAlign w:val="center"/>
            <w:hideMark/>
          </w:tcPr>
          <w:p w14:paraId="045FF490" w14:textId="77777777" w:rsidR="0043709B" w:rsidRPr="0043709B" w:rsidRDefault="0043709B" w:rsidP="0043709B">
            <w:pPr>
              <w:jc w:val="right"/>
              <w:rPr>
                <w:rFonts w:ascii="Arial Narrow" w:hAnsi="Arial Narrow" w:cs="Arial"/>
                <w:sz w:val="16"/>
                <w:szCs w:val="16"/>
              </w:rPr>
            </w:pPr>
            <w:r w:rsidRPr="0043709B">
              <w:rPr>
                <w:rFonts w:ascii="Arial Narrow" w:hAnsi="Arial Narrow" w:cs="Arial"/>
                <w:sz w:val="16"/>
                <w:szCs w:val="16"/>
              </w:rPr>
              <w:t>104,9</w:t>
            </w:r>
          </w:p>
        </w:tc>
      </w:tr>
      <w:tr w:rsidR="0043709B" w:rsidRPr="0043709B" w14:paraId="5BC21065" w14:textId="77777777" w:rsidTr="0043709B">
        <w:trPr>
          <w:trHeight w:val="250"/>
        </w:trPr>
        <w:tc>
          <w:tcPr>
            <w:tcW w:w="781" w:type="dxa"/>
            <w:tcBorders>
              <w:top w:val="nil"/>
              <w:left w:val="single" w:sz="4" w:space="0" w:color="auto"/>
              <w:bottom w:val="single" w:sz="4" w:space="0" w:color="auto"/>
              <w:right w:val="single" w:sz="4" w:space="0" w:color="auto"/>
            </w:tcBorders>
            <w:shd w:val="clear" w:color="auto" w:fill="auto"/>
            <w:noWrap/>
            <w:vAlign w:val="center"/>
            <w:hideMark/>
          </w:tcPr>
          <w:p w14:paraId="5DF72953" w14:textId="77777777" w:rsidR="0043709B" w:rsidRPr="0043709B" w:rsidRDefault="0043709B" w:rsidP="0043709B">
            <w:pPr>
              <w:rPr>
                <w:rFonts w:ascii="Arial Narrow" w:hAnsi="Arial Narrow" w:cs="Arial"/>
                <w:sz w:val="16"/>
                <w:szCs w:val="16"/>
              </w:rPr>
            </w:pPr>
            <w:r w:rsidRPr="0043709B">
              <w:rPr>
                <w:rFonts w:ascii="Arial Narrow" w:hAnsi="Arial Narrow" w:cs="Arial"/>
                <w:sz w:val="16"/>
                <w:szCs w:val="16"/>
              </w:rPr>
              <w:t>02.5/1</w:t>
            </w:r>
          </w:p>
        </w:tc>
        <w:tc>
          <w:tcPr>
            <w:tcW w:w="3016" w:type="dxa"/>
            <w:tcBorders>
              <w:top w:val="nil"/>
              <w:left w:val="nil"/>
              <w:bottom w:val="single" w:sz="4" w:space="0" w:color="auto"/>
              <w:right w:val="single" w:sz="4" w:space="0" w:color="auto"/>
            </w:tcBorders>
            <w:shd w:val="clear" w:color="auto" w:fill="auto"/>
            <w:noWrap/>
            <w:vAlign w:val="center"/>
            <w:hideMark/>
          </w:tcPr>
          <w:p w14:paraId="6DF92ED7" w14:textId="77777777" w:rsidR="0043709B" w:rsidRPr="0043709B" w:rsidRDefault="0043709B" w:rsidP="00CD44F3">
            <w:pPr>
              <w:ind w:firstLine="422"/>
              <w:rPr>
                <w:rFonts w:ascii="Arial Narrow" w:hAnsi="Arial Narrow" w:cs="Calibri"/>
                <w:sz w:val="16"/>
                <w:szCs w:val="16"/>
              </w:rPr>
            </w:pPr>
            <w:r w:rsidRPr="0043709B">
              <w:rPr>
                <w:rFonts w:ascii="Arial Narrow" w:hAnsi="Arial Narrow" w:cs="Calibri"/>
                <w:sz w:val="16"/>
                <w:szCs w:val="16"/>
              </w:rPr>
              <w:t>Влакнодайни култури</w:t>
            </w:r>
          </w:p>
        </w:tc>
        <w:tc>
          <w:tcPr>
            <w:tcW w:w="1180" w:type="dxa"/>
            <w:tcBorders>
              <w:top w:val="nil"/>
              <w:left w:val="nil"/>
              <w:bottom w:val="single" w:sz="4" w:space="0" w:color="auto"/>
              <w:right w:val="single" w:sz="4" w:space="0" w:color="auto"/>
            </w:tcBorders>
            <w:shd w:val="clear" w:color="auto" w:fill="auto"/>
            <w:vAlign w:val="center"/>
          </w:tcPr>
          <w:p w14:paraId="0B86D835" w14:textId="77777777" w:rsidR="0043709B" w:rsidRPr="0043709B" w:rsidRDefault="0043709B" w:rsidP="0043709B">
            <w:pPr>
              <w:jc w:val="right"/>
              <w:rPr>
                <w:rFonts w:ascii="Arial Narrow" w:hAnsi="Arial Narrow" w:cs="Calibri"/>
                <w:sz w:val="16"/>
                <w:szCs w:val="16"/>
              </w:rPr>
            </w:pPr>
            <w:r w:rsidRPr="0043709B">
              <w:rPr>
                <w:rFonts w:ascii="Arial Narrow" w:hAnsi="Arial Narrow" w:cs="Calibri"/>
                <w:sz w:val="16"/>
                <w:szCs w:val="16"/>
              </w:rPr>
              <w:t>3,5</w:t>
            </w:r>
          </w:p>
        </w:tc>
        <w:tc>
          <w:tcPr>
            <w:tcW w:w="1170" w:type="dxa"/>
            <w:tcBorders>
              <w:top w:val="nil"/>
              <w:left w:val="nil"/>
              <w:bottom w:val="single" w:sz="4" w:space="0" w:color="auto"/>
              <w:right w:val="single" w:sz="4" w:space="0" w:color="auto"/>
            </w:tcBorders>
            <w:shd w:val="clear" w:color="auto" w:fill="auto"/>
            <w:noWrap/>
            <w:vAlign w:val="center"/>
            <w:hideMark/>
          </w:tcPr>
          <w:p w14:paraId="4F212486" w14:textId="77777777" w:rsidR="0043709B" w:rsidRPr="0043709B" w:rsidRDefault="0043709B" w:rsidP="0043709B">
            <w:pPr>
              <w:jc w:val="right"/>
              <w:rPr>
                <w:rFonts w:ascii="Arial Narrow" w:hAnsi="Arial Narrow" w:cs="Calibri"/>
                <w:sz w:val="16"/>
                <w:szCs w:val="16"/>
              </w:rPr>
            </w:pPr>
            <w:r w:rsidRPr="0043709B">
              <w:rPr>
                <w:rFonts w:ascii="Arial Narrow" w:hAnsi="Arial Narrow" w:cs="Calibri"/>
                <w:sz w:val="16"/>
                <w:szCs w:val="16"/>
              </w:rPr>
              <w:t>125,7</w:t>
            </w:r>
          </w:p>
        </w:tc>
        <w:tc>
          <w:tcPr>
            <w:tcW w:w="1300" w:type="dxa"/>
            <w:tcBorders>
              <w:top w:val="nil"/>
              <w:left w:val="nil"/>
              <w:bottom w:val="single" w:sz="4" w:space="0" w:color="auto"/>
              <w:right w:val="single" w:sz="4" w:space="0" w:color="auto"/>
            </w:tcBorders>
            <w:shd w:val="clear" w:color="auto" w:fill="auto"/>
            <w:noWrap/>
            <w:vAlign w:val="center"/>
            <w:hideMark/>
          </w:tcPr>
          <w:p w14:paraId="4582F628" w14:textId="77777777" w:rsidR="0043709B" w:rsidRPr="0043709B" w:rsidRDefault="0043709B" w:rsidP="0043709B">
            <w:pPr>
              <w:jc w:val="right"/>
              <w:rPr>
                <w:rFonts w:ascii="Arial Narrow" w:hAnsi="Arial Narrow" w:cs="Calibri"/>
                <w:sz w:val="16"/>
                <w:szCs w:val="16"/>
              </w:rPr>
            </w:pPr>
            <w:r w:rsidRPr="0043709B">
              <w:rPr>
                <w:rFonts w:ascii="Arial Narrow" w:hAnsi="Arial Narrow" w:cs="Calibri"/>
                <w:sz w:val="16"/>
                <w:szCs w:val="16"/>
              </w:rPr>
              <w:t>4,4</w:t>
            </w:r>
          </w:p>
        </w:tc>
        <w:tc>
          <w:tcPr>
            <w:tcW w:w="1220" w:type="dxa"/>
            <w:tcBorders>
              <w:top w:val="nil"/>
              <w:left w:val="nil"/>
              <w:bottom w:val="single" w:sz="4" w:space="0" w:color="auto"/>
              <w:right w:val="single" w:sz="4" w:space="0" w:color="auto"/>
            </w:tcBorders>
            <w:shd w:val="clear" w:color="auto" w:fill="auto"/>
            <w:noWrap/>
            <w:vAlign w:val="center"/>
            <w:hideMark/>
          </w:tcPr>
          <w:p w14:paraId="4C2A2F54" w14:textId="77777777" w:rsidR="0043709B" w:rsidRPr="0043709B" w:rsidRDefault="0043709B" w:rsidP="0043709B">
            <w:pPr>
              <w:jc w:val="right"/>
              <w:rPr>
                <w:rFonts w:ascii="Arial Narrow" w:hAnsi="Arial Narrow" w:cs="Calibri"/>
                <w:sz w:val="16"/>
                <w:szCs w:val="16"/>
              </w:rPr>
            </w:pPr>
            <w:r w:rsidRPr="0043709B">
              <w:rPr>
                <w:rFonts w:ascii="Arial Narrow" w:hAnsi="Arial Narrow" w:cs="Calibri"/>
                <w:sz w:val="16"/>
                <w:szCs w:val="16"/>
              </w:rPr>
              <w:t>102,3</w:t>
            </w:r>
          </w:p>
        </w:tc>
        <w:tc>
          <w:tcPr>
            <w:tcW w:w="1236" w:type="dxa"/>
            <w:tcBorders>
              <w:top w:val="nil"/>
              <w:left w:val="nil"/>
              <w:bottom w:val="single" w:sz="4" w:space="0" w:color="auto"/>
              <w:right w:val="single" w:sz="4" w:space="0" w:color="auto"/>
            </w:tcBorders>
            <w:shd w:val="clear" w:color="auto" w:fill="auto"/>
            <w:noWrap/>
            <w:vAlign w:val="center"/>
            <w:hideMark/>
          </w:tcPr>
          <w:p w14:paraId="09667858" w14:textId="77777777" w:rsidR="0043709B" w:rsidRPr="0043709B" w:rsidRDefault="0043709B" w:rsidP="0043709B">
            <w:pPr>
              <w:jc w:val="right"/>
              <w:rPr>
                <w:rFonts w:ascii="Arial Narrow" w:hAnsi="Arial Narrow" w:cs="Calibri"/>
                <w:sz w:val="16"/>
                <w:szCs w:val="16"/>
              </w:rPr>
            </w:pPr>
            <w:r w:rsidRPr="0043709B">
              <w:rPr>
                <w:rFonts w:ascii="Arial Narrow" w:hAnsi="Arial Narrow" w:cs="Calibri"/>
                <w:sz w:val="16"/>
                <w:szCs w:val="16"/>
              </w:rPr>
              <w:t>4,5</w:t>
            </w:r>
          </w:p>
        </w:tc>
        <w:tc>
          <w:tcPr>
            <w:tcW w:w="1260" w:type="dxa"/>
            <w:tcBorders>
              <w:top w:val="nil"/>
              <w:left w:val="nil"/>
              <w:bottom w:val="single" w:sz="4" w:space="0" w:color="auto"/>
              <w:right w:val="single" w:sz="4" w:space="0" w:color="auto"/>
            </w:tcBorders>
            <w:shd w:val="clear" w:color="auto" w:fill="auto"/>
            <w:noWrap/>
            <w:vAlign w:val="center"/>
            <w:hideMark/>
          </w:tcPr>
          <w:p w14:paraId="3B237EBE" w14:textId="77777777" w:rsidR="0043709B" w:rsidRPr="0043709B" w:rsidRDefault="0043709B" w:rsidP="0043709B">
            <w:pPr>
              <w:jc w:val="right"/>
              <w:rPr>
                <w:rFonts w:ascii="Arial Narrow" w:hAnsi="Arial Narrow" w:cs="Arial"/>
                <w:sz w:val="16"/>
                <w:szCs w:val="16"/>
              </w:rPr>
            </w:pPr>
            <w:r w:rsidRPr="0043709B">
              <w:rPr>
                <w:rFonts w:ascii="Arial Narrow" w:hAnsi="Arial Narrow" w:cs="Arial"/>
                <w:sz w:val="16"/>
                <w:szCs w:val="16"/>
              </w:rPr>
              <w:t>128,6</w:t>
            </w:r>
          </w:p>
        </w:tc>
      </w:tr>
      <w:tr w:rsidR="0043709B" w:rsidRPr="0043709B" w14:paraId="562DBF24" w14:textId="77777777" w:rsidTr="0043709B">
        <w:trPr>
          <w:trHeight w:val="250"/>
        </w:trPr>
        <w:tc>
          <w:tcPr>
            <w:tcW w:w="781" w:type="dxa"/>
            <w:tcBorders>
              <w:top w:val="nil"/>
              <w:left w:val="single" w:sz="4" w:space="0" w:color="auto"/>
              <w:bottom w:val="single" w:sz="4" w:space="0" w:color="auto"/>
              <w:right w:val="single" w:sz="4" w:space="0" w:color="auto"/>
            </w:tcBorders>
            <w:shd w:val="clear" w:color="auto" w:fill="auto"/>
            <w:noWrap/>
            <w:vAlign w:val="center"/>
            <w:hideMark/>
          </w:tcPr>
          <w:p w14:paraId="3EFBD692" w14:textId="77777777" w:rsidR="0043709B" w:rsidRPr="0043709B" w:rsidRDefault="0043709B" w:rsidP="0043709B">
            <w:pPr>
              <w:rPr>
                <w:rFonts w:ascii="Arial Narrow" w:hAnsi="Arial Narrow" w:cs="Arial"/>
                <w:sz w:val="16"/>
                <w:szCs w:val="16"/>
              </w:rPr>
            </w:pPr>
            <w:r w:rsidRPr="0043709B">
              <w:rPr>
                <w:rFonts w:ascii="Arial Narrow" w:hAnsi="Arial Narrow" w:cs="Arial"/>
                <w:sz w:val="16"/>
                <w:szCs w:val="16"/>
              </w:rPr>
              <w:t>02.5/2</w:t>
            </w:r>
          </w:p>
        </w:tc>
        <w:tc>
          <w:tcPr>
            <w:tcW w:w="3016" w:type="dxa"/>
            <w:tcBorders>
              <w:top w:val="nil"/>
              <w:left w:val="nil"/>
              <w:bottom w:val="single" w:sz="4" w:space="0" w:color="auto"/>
              <w:right w:val="single" w:sz="4" w:space="0" w:color="auto"/>
            </w:tcBorders>
            <w:shd w:val="clear" w:color="auto" w:fill="auto"/>
            <w:noWrap/>
            <w:vAlign w:val="center"/>
            <w:hideMark/>
          </w:tcPr>
          <w:p w14:paraId="5E637DBF" w14:textId="77777777" w:rsidR="0043709B" w:rsidRPr="0043709B" w:rsidRDefault="0043709B" w:rsidP="00CD44F3">
            <w:pPr>
              <w:ind w:firstLine="422"/>
              <w:rPr>
                <w:rFonts w:ascii="Arial Narrow" w:hAnsi="Arial Narrow" w:cs="Calibri"/>
                <w:sz w:val="16"/>
                <w:szCs w:val="16"/>
              </w:rPr>
            </w:pPr>
            <w:r w:rsidRPr="0043709B">
              <w:rPr>
                <w:rFonts w:ascii="Arial Narrow" w:hAnsi="Arial Narrow" w:cs="Calibri"/>
                <w:sz w:val="16"/>
                <w:szCs w:val="16"/>
              </w:rPr>
              <w:t>Хмел</w:t>
            </w:r>
          </w:p>
        </w:tc>
        <w:tc>
          <w:tcPr>
            <w:tcW w:w="1180" w:type="dxa"/>
            <w:tcBorders>
              <w:top w:val="nil"/>
              <w:left w:val="nil"/>
              <w:bottom w:val="single" w:sz="4" w:space="0" w:color="auto"/>
              <w:right w:val="single" w:sz="4" w:space="0" w:color="auto"/>
            </w:tcBorders>
            <w:shd w:val="clear" w:color="auto" w:fill="auto"/>
            <w:vAlign w:val="center"/>
          </w:tcPr>
          <w:p w14:paraId="29DBF901" w14:textId="77777777" w:rsidR="0043709B" w:rsidRPr="0043709B" w:rsidRDefault="0043709B" w:rsidP="0043709B">
            <w:pPr>
              <w:jc w:val="right"/>
              <w:rPr>
                <w:rFonts w:ascii="Arial Narrow" w:hAnsi="Arial Narrow" w:cs="Calibri"/>
                <w:sz w:val="16"/>
                <w:szCs w:val="16"/>
              </w:rPr>
            </w:pPr>
            <w:r w:rsidRPr="0043709B">
              <w:rPr>
                <w:rFonts w:ascii="Arial Narrow" w:hAnsi="Arial Narrow" w:cs="Calibri"/>
                <w:sz w:val="16"/>
                <w:szCs w:val="16"/>
              </w:rPr>
              <w:t>1,0</w:t>
            </w:r>
          </w:p>
        </w:tc>
        <w:tc>
          <w:tcPr>
            <w:tcW w:w="1170" w:type="dxa"/>
            <w:tcBorders>
              <w:top w:val="nil"/>
              <w:left w:val="nil"/>
              <w:bottom w:val="single" w:sz="4" w:space="0" w:color="auto"/>
              <w:right w:val="single" w:sz="4" w:space="0" w:color="auto"/>
            </w:tcBorders>
            <w:shd w:val="clear" w:color="auto" w:fill="auto"/>
            <w:noWrap/>
            <w:vAlign w:val="center"/>
            <w:hideMark/>
          </w:tcPr>
          <w:p w14:paraId="76EC756D" w14:textId="77777777" w:rsidR="0043709B" w:rsidRPr="0043709B" w:rsidRDefault="0043709B" w:rsidP="0043709B">
            <w:pPr>
              <w:jc w:val="right"/>
              <w:rPr>
                <w:rFonts w:ascii="Arial Narrow" w:hAnsi="Arial Narrow" w:cs="Calibri"/>
                <w:sz w:val="16"/>
                <w:szCs w:val="16"/>
              </w:rPr>
            </w:pPr>
            <w:r w:rsidRPr="0043709B">
              <w:rPr>
                <w:rFonts w:ascii="Arial Narrow" w:hAnsi="Arial Narrow" w:cs="Calibri"/>
                <w:sz w:val="16"/>
                <w:szCs w:val="16"/>
              </w:rPr>
              <w:t>90,0</w:t>
            </w:r>
          </w:p>
        </w:tc>
        <w:tc>
          <w:tcPr>
            <w:tcW w:w="1300" w:type="dxa"/>
            <w:tcBorders>
              <w:top w:val="nil"/>
              <w:left w:val="nil"/>
              <w:bottom w:val="single" w:sz="4" w:space="0" w:color="auto"/>
              <w:right w:val="single" w:sz="4" w:space="0" w:color="auto"/>
            </w:tcBorders>
            <w:shd w:val="clear" w:color="auto" w:fill="auto"/>
            <w:noWrap/>
            <w:vAlign w:val="center"/>
            <w:hideMark/>
          </w:tcPr>
          <w:p w14:paraId="6861BD2C" w14:textId="77777777" w:rsidR="0043709B" w:rsidRPr="0043709B" w:rsidRDefault="0043709B" w:rsidP="0043709B">
            <w:pPr>
              <w:jc w:val="right"/>
              <w:rPr>
                <w:rFonts w:ascii="Arial Narrow" w:hAnsi="Arial Narrow" w:cs="Calibri"/>
                <w:sz w:val="16"/>
                <w:szCs w:val="16"/>
              </w:rPr>
            </w:pPr>
            <w:r w:rsidRPr="0043709B">
              <w:rPr>
                <w:rFonts w:ascii="Arial Narrow" w:hAnsi="Arial Narrow" w:cs="Calibri"/>
                <w:sz w:val="16"/>
                <w:szCs w:val="16"/>
              </w:rPr>
              <w:t>0,9</w:t>
            </w:r>
          </w:p>
        </w:tc>
        <w:tc>
          <w:tcPr>
            <w:tcW w:w="1220" w:type="dxa"/>
            <w:tcBorders>
              <w:top w:val="nil"/>
              <w:left w:val="nil"/>
              <w:bottom w:val="single" w:sz="4" w:space="0" w:color="auto"/>
              <w:right w:val="single" w:sz="4" w:space="0" w:color="auto"/>
            </w:tcBorders>
            <w:shd w:val="clear" w:color="auto" w:fill="auto"/>
            <w:noWrap/>
            <w:vAlign w:val="center"/>
            <w:hideMark/>
          </w:tcPr>
          <w:p w14:paraId="08A33474" w14:textId="77777777" w:rsidR="0043709B" w:rsidRPr="0043709B" w:rsidRDefault="0043709B" w:rsidP="0043709B">
            <w:pPr>
              <w:jc w:val="right"/>
              <w:rPr>
                <w:rFonts w:ascii="Arial Narrow" w:hAnsi="Arial Narrow" w:cs="Calibri"/>
                <w:sz w:val="16"/>
                <w:szCs w:val="16"/>
              </w:rPr>
            </w:pPr>
            <w:r w:rsidRPr="0043709B">
              <w:rPr>
                <w:rFonts w:ascii="Arial Narrow" w:hAnsi="Arial Narrow" w:cs="Calibri"/>
                <w:sz w:val="16"/>
                <w:szCs w:val="16"/>
              </w:rPr>
              <w:t>111,1</w:t>
            </w:r>
          </w:p>
        </w:tc>
        <w:tc>
          <w:tcPr>
            <w:tcW w:w="1236" w:type="dxa"/>
            <w:tcBorders>
              <w:top w:val="nil"/>
              <w:left w:val="nil"/>
              <w:bottom w:val="single" w:sz="4" w:space="0" w:color="auto"/>
              <w:right w:val="single" w:sz="4" w:space="0" w:color="auto"/>
            </w:tcBorders>
            <w:shd w:val="clear" w:color="auto" w:fill="auto"/>
            <w:noWrap/>
            <w:vAlign w:val="center"/>
            <w:hideMark/>
          </w:tcPr>
          <w:p w14:paraId="781FF617" w14:textId="77777777" w:rsidR="0043709B" w:rsidRPr="0043709B" w:rsidRDefault="0043709B" w:rsidP="0043709B">
            <w:pPr>
              <w:jc w:val="right"/>
              <w:rPr>
                <w:rFonts w:ascii="Arial Narrow" w:hAnsi="Arial Narrow" w:cs="Calibri"/>
                <w:sz w:val="16"/>
                <w:szCs w:val="16"/>
              </w:rPr>
            </w:pPr>
            <w:r w:rsidRPr="0043709B">
              <w:rPr>
                <w:rFonts w:ascii="Arial Narrow" w:hAnsi="Arial Narrow" w:cs="Calibri"/>
                <w:sz w:val="16"/>
                <w:szCs w:val="16"/>
              </w:rPr>
              <w:t>1,0</w:t>
            </w:r>
          </w:p>
        </w:tc>
        <w:tc>
          <w:tcPr>
            <w:tcW w:w="1260" w:type="dxa"/>
            <w:tcBorders>
              <w:top w:val="nil"/>
              <w:left w:val="nil"/>
              <w:bottom w:val="single" w:sz="4" w:space="0" w:color="auto"/>
              <w:right w:val="single" w:sz="4" w:space="0" w:color="auto"/>
            </w:tcBorders>
            <w:shd w:val="clear" w:color="auto" w:fill="auto"/>
            <w:noWrap/>
            <w:vAlign w:val="center"/>
            <w:hideMark/>
          </w:tcPr>
          <w:p w14:paraId="7D30DA25" w14:textId="77777777" w:rsidR="0043709B" w:rsidRPr="0043709B" w:rsidRDefault="0043709B" w:rsidP="0043709B">
            <w:pPr>
              <w:jc w:val="right"/>
              <w:rPr>
                <w:rFonts w:ascii="Arial Narrow" w:hAnsi="Arial Narrow" w:cs="Arial"/>
                <w:sz w:val="16"/>
                <w:szCs w:val="16"/>
              </w:rPr>
            </w:pPr>
            <w:r w:rsidRPr="0043709B">
              <w:rPr>
                <w:rFonts w:ascii="Arial Narrow" w:hAnsi="Arial Narrow" w:cs="Arial"/>
                <w:sz w:val="16"/>
                <w:szCs w:val="16"/>
              </w:rPr>
              <w:t>100,0</w:t>
            </w:r>
          </w:p>
        </w:tc>
      </w:tr>
      <w:tr w:rsidR="0043709B" w:rsidRPr="0043709B" w14:paraId="6F6DC58C" w14:textId="77777777" w:rsidTr="0043709B">
        <w:trPr>
          <w:trHeight w:val="250"/>
        </w:trPr>
        <w:tc>
          <w:tcPr>
            <w:tcW w:w="781" w:type="dxa"/>
            <w:tcBorders>
              <w:top w:val="nil"/>
              <w:left w:val="single" w:sz="4" w:space="0" w:color="auto"/>
              <w:bottom w:val="single" w:sz="4" w:space="0" w:color="auto"/>
              <w:right w:val="single" w:sz="4" w:space="0" w:color="auto"/>
            </w:tcBorders>
            <w:shd w:val="clear" w:color="auto" w:fill="auto"/>
            <w:noWrap/>
            <w:vAlign w:val="center"/>
            <w:hideMark/>
          </w:tcPr>
          <w:p w14:paraId="340AB21A" w14:textId="77777777" w:rsidR="0043709B" w:rsidRPr="0043709B" w:rsidRDefault="0043709B" w:rsidP="0043709B">
            <w:pPr>
              <w:rPr>
                <w:rFonts w:ascii="Arial Narrow" w:hAnsi="Arial Narrow" w:cs="Arial"/>
                <w:sz w:val="16"/>
                <w:szCs w:val="16"/>
              </w:rPr>
            </w:pPr>
            <w:r w:rsidRPr="0043709B">
              <w:rPr>
                <w:rFonts w:ascii="Arial Narrow" w:hAnsi="Arial Narrow" w:cs="Arial"/>
                <w:sz w:val="16"/>
                <w:szCs w:val="16"/>
              </w:rPr>
              <w:t>02.5/3</w:t>
            </w:r>
          </w:p>
        </w:tc>
        <w:tc>
          <w:tcPr>
            <w:tcW w:w="3016" w:type="dxa"/>
            <w:tcBorders>
              <w:top w:val="nil"/>
              <w:left w:val="nil"/>
              <w:bottom w:val="single" w:sz="4" w:space="0" w:color="auto"/>
              <w:right w:val="single" w:sz="4" w:space="0" w:color="auto"/>
            </w:tcBorders>
            <w:shd w:val="clear" w:color="auto" w:fill="auto"/>
            <w:noWrap/>
            <w:vAlign w:val="center"/>
            <w:hideMark/>
          </w:tcPr>
          <w:p w14:paraId="195F6A1C" w14:textId="77777777" w:rsidR="0043709B" w:rsidRPr="00E347C5" w:rsidRDefault="0043709B" w:rsidP="00CD44F3">
            <w:pPr>
              <w:ind w:firstLine="422"/>
              <w:rPr>
                <w:rFonts w:ascii="Arial Narrow" w:hAnsi="Arial Narrow" w:cs="Calibri"/>
                <w:sz w:val="16"/>
                <w:szCs w:val="16"/>
              </w:rPr>
            </w:pPr>
            <w:r w:rsidRPr="0043709B">
              <w:rPr>
                <w:rFonts w:ascii="Arial Narrow" w:hAnsi="Arial Narrow" w:cs="Calibri"/>
                <w:sz w:val="16"/>
                <w:szCs w:val="16"/>
              </w:rPr>
              <w:t xml:space="preserve">Други технически </w:t>
            </w:r>
            <w:r w:rsidR="00E347C5" w:rsidRPr="00CD44F3">
              <w:rPr>
                <w:rFonts w:ascii="Arial Narrow" w:hAnsi="Arial Narrow" w:cs="Calibri"/>
                <w:sz w:val="16"/>
                <w:szCs w:val="16"/>
              </w:rPr>
              <w:t>култури</w:t>
            </w:r>
          </w:p>
        </w:tc>
        <w:tc>
          <w:tcPr>
            <w:tcW w:w="1180" w:type="dxa"/>
            <w:tcBorders>
              <w:top w:val="nil"/>
              <w:left w:val="nil"/>
              <w:bottom w:val="single" w:sz="4" w:space="0" w:color="auto"/>
              <w:right w:val="single" w:sz="4" w:space="0" w:color="auto"/>
            </w:tcBorders>
            <w:shd w:val="clear" w:color="auto" w:fill="auto"/>
            <w:vAlign w:val="center"/>
          </w:tcPr>
          <w:p w14:paraId="7C7685C4" w14:textId="77777777" w:rsidR="0043709B" w:rsidRPr="0043709B" w:rsidRDefault="0043709B" w:rsidP="0043709B">
            <w:pPr>
              <w:jc w:val="right"/>
              <w:rPr>
                <w:rFonts w:ascii="Arial Narrow" w:hAnsi="Arial Narrow" w:cs="Calibri"/>
                <w:sz w:val="16"/>
                <w:szCs w:val="16"/>
              </w:rPr>
            </w:pPr>
            <w:r w:rsidRPr="0043709B">
              <w:rPr>
                <w:rFonts w:ascii="Arial Narrow" w:hAnsi="Arial Narrow" w:cs="Calibri"/>
                <w:sz w:val="16"/>
                <w:szCs w:val="16"/>
              </w:rPr>
              <w:t>99,0</w:t>
            </w:r>
          </w:p>
        </w:tc>
        <w:tc>
          <w:tcPr>
            <w:tcW w:w="1170" w:type="dxa"/>
            <w:tcBorders>
              <w:top w:val="nil"/>
              <w:left w:val="nil"/>
              <w:bottom w:val="single" w:sz="4" w:space="0" w:color="auto"/>
              <w:right w:val="single" w:sz="4" w:space="0" w:color="auto"/>
            </w:tcBorders>
            <w:shd w:val="clear" w:color="auto" w:fill="auto"/>
            <w:noWrap/>
            <w:vAlign w:val="center"/>
            <w:hideMark/>
          </w:tcPr>
          <w:p w14:paraId="69F6A8FC" w14:textId="77777777" w:rsidR="0043709B" w:rsidRPr="0043709B" w:rsidRDefault="0043709B" w:rsidP="0043709B">
            <w:pPr>
              <w:jc w:val="right"/>
              <w:rPr>
                <w:rFonts w:ascii="Arial Narrow" w:hAnsi="Arial Narrow" w:cs="Calibri"/>
                <w:sz w:val="16"/>
                <w:szCs w:val="16"/>
              </w:rPr>
            </w:pPr>
            <w:r w:rsidRPr="0043709B">
              <w:rPr>
                <w:rFonts w:ascii="Arial Narrow" w:hAnsi="Arial Narrow" w:cs="Calibri"/>
                <w:sz w:val="16"/>
                <w:szCs w:val="16"/>
              </w:rPr>
              <w:t>94,3</w:t>
            </w:r>
          </w:p>
        </w:tc>
        <w:tc>
          <w:tcPr>
            <w:tcW w:w="1300" w:type="dxa"/>
            <w:tcBorders>
              <w:top w:val="nil"/>
              <w:left w:val="nil"/>
              <w:bottom w:val="single" w:sz="4" w:space="0" w:color="auto"/>
              <w:right w:val="single" w:sz="4" w:space="0" w:color="auto"/>
            </w:tcBorders>
            <w:shd w:val="clear" w:color="auto" w:fill="auto"/>
            <w:noWrap/>
            <w:vAlign w:val="center"/>
            <w:hideMark/>
          </w:tcPr>
          <w:p w14:paraId="36BDC442" w14:textId="77777777" w:rsidR="0043709B" w:rsidRPr="0043709B" w:rsidRDefault="0043709B" w:rsidP="0043709B">
            <w:pPr>
              <w:jc w:val="right"/>
              <w:rPr>
                <w:rFonts w:ascii="Arial Narrow" w:hAnsi="Arial Narrow" w:cs="Calibri"/>
                <w:sz w:val="16"/>
                <w:szCs w:val="16"/>
              </w:rPr>
            </w:pPr>
            <w:r w:rsidRPr="0043709B">
              <w:rPr>
                <w:rFonts w:ascii="Arial Narrow" w:hAnsi="Arial Narrow" w:cs="Calibri"/>
                <w:sz w:val="16"/>
                <w:szCs w:val="16"/>
              </w:rPr>
              <w:t>93,4</w:t>
            </w:r>
          </w:p>
        </w:tc>
        <w:tc>
          <w:tcPr>
            <w:tcW w:w="1220" w:type="dxa"/>
            <w:tcBorders>
              <w:top w:val="nil"/>
              <w:left w:val="nil"/>
              <w:bottom w:val="single" w:sz="4" w:space="0" w:color="auto"/>
              <w:right w:val="single" w:sz="4" w:space="0" w:color="auto"/>
            </w:tcBorders>
            <w:shd w:val="clear" w:color="auto" w:fill="auto"/>
            <w:noWrap/>
            <w:vAlign w:val="center"/>
            <w:hideMark/>
          </w:tcPr>
          <w:p w14:paraId="291EE35B" w14:textId="77777777" w:rsidR="0043709B" w:rsidRPr="0043709B" w:rsidRDefault="0043709B" w:rsidP="0043709B">
            <w:pPr>
              <w:jc w:val="right"/>
              <w:rPr>
                <w:rFonts w:ascii="Arial Narrow" w:hAnsi="Arial Narrow" w:cs="Calibri"/>
                <w:sz w:val="16"/>
                <w:szCs w:val="16"/>
              </w:rPr>
            </w:pPr>
            <w:r w:rsidRPr="0043709B">
              <w:rPr>
                <w:rFonts w:ascii="Arial Narrow" w:hAnsi="Arial Narrow" w:cs="Calibri"/>
                <w:sz w:val="16"/>
                <w:szCs w:val="16"/>
              </w:rPr>
              <w:t>110,4</w:t>
            </w:r>
          </w:p>
        </w:tc>
        <w:tc>
          <w:tcPr>
            <w:tcW w:w="1236" w:type="dxa"/>
            <w:tcBorders>
              <w:top w:val="nil"/>
              <w:left w:val="nil"/>
              <w:bottom w:val="single" w:sz="4" w:space="0" w:color="auto"/>
              <w:right w:val="single" w:sz="4" w:space="0" w:color="auto"/>
            </w:tcBorders>
            <w:shd w:val="clear" w:color="auto" w:fill="auto"/>
            <w:noWrap/>
            <w:vAlign w:val="center"/>
            <w:hideMark/>
          </w:tcPr>
          <w:p w14:paraId="2104E98F" w14:textId="77777777" w:rsidR="0043709B" w:rsidRPr="0043709B" w:rsidRDefault="0043709B" w:rsidP="0043709B">
            <w:pPr>
              <w:jc w:val="right"/>
              <w:rPr>
                <w:rFonts w:ascii="Arial Narrow" w:hAnsi="Arial Narrow" w:cs="Calibri"/>
                <w:sz w:val="16"/>
                <w:szCs w:val="16"/>
              </w:rPr>
            </w:pPr>
            <w:r w:rsidRPr="0043709B">
              <w:rPr>
                <w:rFonts w:ascii="Arial Narrow" w:hAnsi="Arial Narrow" w:cs="Calibri"/>
                <w:sz w:val="16"/>
                <w:szCs w:val="16"/>
              </w:rPr>
              <w:t>103,1</w:t>
            </w:r>
          </w:p>
        </w:tc>
        <w:tc>
          <w:tcPr>
            <w:tcW w:w="1260" w:type="dxa"/>
            <w:tcBorders>
              <w:top w:val="nil"/>
              <w:left w:val="nil"/>
              <w:bottom w:val="single" w:sz="4" w:space="0" w:color="auto"/>
              <w:right w:val="single" w:sz="4" w:space="0" w:color="auto"/>
            </w:tcBorders>
            <w:shd w:val="clear" w:color="auto" w:fill="auto"/>
            <w:noWrap/>
            <w:vAlign w:val="center"/>
            <w:hideMark/>
          </w:tcPr>
          <w:p w14:paraId="5480E213" w14:textId="77777777" w:rsidR="0043709B" w:rsidRPr="0043709B" w:rsidRDefault="0043709B" w:rsidP="0043709B">
            <w:pPr>
              <w:jc w:val="right"/>
              <w:rPr>
                <w:rFonts w:ascii="Arial Narrow" w:hAnsi="Arial Narrow" w:cs="Arial"/>
                <w:sz w:val="16"/>
                <w:szCs w:val="16"/>
              </w:rPr>
            </w:pPr>
            <w:r w:rsidRPr="0043709B">
              <w:rPr>
                <w:rFonts w:ascii="Arial Narrow" w:hAnsi="Arial Narrow" w:cs="Arial"/>
                <w:sz w:val="16"/>
                <w:szCs w:val="16"/>
              </w:rPr>
              <w:t>104,1</w:t>
            </w:r>
          </w:p>
        </w:tc>
      </w:tr>
      <w:tr w:rsidR="0043709B" w:rsidRPr="0043709B" w14:paraId="7C5F1B13" w14:textId="77777777" w:rsidTr="0043709B">
        <w:trPr>
          <w:trHeight w:val="250"/>
        </w:trPr>
        <w:tc>
          <w:tcPr>
            <w:tcW w:w="781" w:type="dxa"/>
            <w:tcBorders>
              <w:top w:val="nil"/>
              <w:left w:val="single" w:sz="4" w:space="0" w:color="auto"/>
              <w:bottom w:val="single" w:sz="4" w:space="0" w:color="auto"/>
              <w:right w:val="single" w:sz="4" w:space="0" w:color="auto"/>
            </w:tcBorders>
            <w:shd w:val="clear" w:color="auto" w:fill="auto"/>
            <w:noWrap/>
            <w:vAlign w:val="center"/>
            <w:hideMark/>
          </w:tcPr>
          <w:p w14:paraId="6140731C" w14:textId="77777777" w:rsidR="0043709B" w:rsidRPr="0043709B" w:rsidRDefault="0043709B" w:rsidP="0043709B">
            <w:pPr>
              <w:rPr>
                <w:rFonts w:ascii="Arial Narrow" w:hAnsi="Arial Narrow" w:cs="Arial"/>
                <w:sz w:val="16"/>
                <w:szCs w:val="16"/>
              </w:rPr>
            </w:pPr>
            <w:r w:rsidRPr="0043709B">
              <w:rPr>
                <w:rFonts w:ascii="Arial Narrow" w:hAnsi="Arial Narrow" w:cs="Arial"/>
                <w:sz w:val="16"/>
                <w:szCs w:val="16"/>
              </w:rPr>
              <w:t>03</w:t>
            </w:r>
          </w:p>
        </w:tc>
        <w:tc>
          <w:tcPr>
            <w:tcW w:w="3016" w:type="dxa"/>
            <w:tcBorders>
              <w:top w:val="nil"/>
              <w:left w:val="nil"/>
              <w:bottom w:val="single" w:sz="4" w:space="0" w:color="auto"/>
              <w:right w:val="single" w:sz="4" w:space="0" w:color="auto"/>
            </w:tcBorders>
            <w:shd w:val="clear" w:color="000000" w:fill="FFFFFF"/>
            <w:noWrap/>
            <w:vAlign w:val="center"/>
            <w:hideMark/>
          </w:tcPr>
          <w:p w14:paraId="008CDEB4" w14:textId="77777777" w:rsidR="0043709B" w:rsidRPr="0043709B" w:rsidRDefault="0043709B" w:rsidP="0043709B">
            <w:pPr>
              <w:rPr>
                <w:rFonts w:ascii="Arial Narrow" w:hAnsi="Arial Narrow" w:cs="Calibri"/>
                <w:b/>
                <w:bCs/>
                <w:sz w:val="16"/>
                <w:szCs w:val="16"/>
              </w:rPr>
            </w:pPr>
            <w:r w:rsidRPr="0043709B">
              <w:rPr>
                <w:rFonts w:ascii="Arial Narrow" w:hAnsi="Arial Narrow" w:cs="Calibri"/>
                <w:b/>
                <w:bCs/>
                <w:sz w:val="16"/>
                <w:szCs w:val="16"/>
              </w:rPr>
              <w:t>ФУРАЖНИ КУЛТУРИ</w:t>
            </w:r>
          </w:p>
        </w:tc>
        <w:tc>
          <w:tcPr>
            <w:tcW w:w="1180" w:type="dxa"/>
            <w:tcBorders>
              <w:top w:val="nil"/>
              <w:left w:val="nil"/>
              <w:bottom w:val="single" w:sz="4" w:space="0" w:color="auto"/>
              <w:right w:val="single" w:sz="4" w:space="0" w:color="auto"/>
            </w:tcBorders>
            <w:shd w:val="clear" w:color="auto" w:fill="auto"/>
            <w:vAlign w:val="center"/>
          </w:tcPr>
          <w:p w14:paraId="37485796" w14:textId="77777777" w:rsidR="0043709B" w:rsidRPr="0043709B" w:rsidRDefault="0043709B" w:rsidP="0043709B">
            <w:pPr>
              <w:jc w:val="right"/>
              <w:rPr>
                <w:rFonts w:ascii="Arial Narrow" w:hAnsi="Arial Narrow" w:cs="Calibri"/>
                <w:sz w:val="16"/>
                <w:szCs w:val="16"/>
              </w:rPr>
            </w:pPr>
            <w:r w:rsidRPr="0043709B">
              <w:rPr>
                <w:rFonts w:ascii="Arial Narrow" w:hAnsi="Arial Narrow" w:cs="Calibri"/>
                <w:sz w:val="16"/>
                <w:szCs w:val="16"/>
              </w:rPr>
              <w:t>221,4</w:t>
            </w:r>
          </w:p>
        </w:tc>
        <w:tc>
          <w:tcPr>
            <w:tcW w:w="1170" w:type="dxa"/>
            <w:tcBorders>
              <w:top w:val="nil"/>
              <w:left w:val="nil"/>
              <w:bottom w:val="single" w:sz="4" w:space="0" w:color="auto"/>
              <w:right w:val="single" w:sz="4" w:space="0" w:color="auto"/>
            </w:tcBorders>
            <w:shd w:val="clear" w:color="auto" w:fill="auto"/>
            <w:noWrap/>
            <w:vAlign w:val="center"/>
            <w:hideMark/>
          </w:tcPr>
          <w:p w14:paraId="6D54F82C" w14:textId="77777777" w:rsidR="0043709B" w:rsidRPr="0043709B" w:rsidRDefault="0043709B" w:rsidP="0043709B">
            <w:pPr>
              <w:jc w:val="right"/>
              <w:rPr>
                <w:rFonts w:ascii="Arial Narrow" w:hAnsi="Arial Narrow" w:cs="Calibri"/>
                <w:sz w:val="16"/>
                <w:szCs w:val="16"/>
              </w:rPr>
            </w:pPr>
            <w:r w:rsidRPr="0043709B">
              <w:rPr>
                <w:rFonts w:ascii="Arial Narrow" w:hAnsi="Arial Narrow" w:cs="Calibri"/>
                <w:sz w:val="16"/>
                <w:szCs w:val="16"/>
              </w:rPr>
              <w:t>92,2</w:t>
            </w:r>
          </w:p>
        </w:tc>
        <w:tc>
          <w:tcPr>
            <w:tcW w:w="1300" w:type="dxa"/>
            <w:tcBorders>
              <w:top w:val="nil"/>
              <w:left w:val="nil"/>
              <w:bottom w:val="single" w:sz="4" w:space="0" w:color="auto"/>
              <w:right w:val="single" w:sz="4" w:space="0" w:color="auto"/>
            </w:tcBorders>
            <w:shd w:val="clear" w:color="auto" w:fill="auto"/>
            <w:noWrap/>
            <w:vAlign w:val="center"/>
            <w:hideMark/>
          </w:tcPr>
          <w:p w14:paraId="6FC19DC0" w14:textId="77777777" w:rsidR="0043709B" w:rsidRPr="0043709B" w:rsidRDefault="0043709B" w:rsidP="0043709B">
            <w:pPr>
              <w:jc w:val="right"/>
              <w:rPr>
                <w:rFonts w:ascii="Arial Narrow" w:hAnsi="Arial Narrow" w:cs="Calibri"/>
                <w:sz w:val="16"/>
                <w:szCs w:val="16"/>
              </w:rPr>
            </w:pPr>
            <w:r w:rsidRPr="0043709B">
              <w:rPr>
                <w:rFonts w:ascii="Arial Narrow" w:hAnsi="Arial Narrow" w:cs="Calibri"/>
                <w:sz w:val="16"/>
                <w:szCs w:val="16"/>
              </w:rPr>
              <w:t>204,1</w:t>
            </w:r>
          </w:p>
        </w:tc>
        <w:tc>
          <w:tcPr>
            <w:tcW w:w="1220" w:type="dxa"/>
            <w:tcBorders>
              <w:top w:val="nil"/>
              <w:left w:val="nil"/>
              <w:bottom w:val="single" w:sz="4" w:space="0" w:color="auto"/>
              <w:right w:val="single" w:sz="4" w:space="0" w:color="auto"/>
            </w:tcBorders>
            <w:shd w:val="clear" w:color="auto" w:fill="auto"/>
            <w:noWrap/>
            <w:vAlign w:val="center"/>
            <w:hideMark/>
          </w:tcPr>
          <w:p w14:paraId="71CDD2FF" w14:textId="77777777" w:rsidR="0043709B" w:rsidRPr="0043709B" w:rsidRDefault="0043709B" w:rsidP="0043709B">
            <w:pPr>
              <w:jc w:val="right"/>
              <w:rPr>
                <w:rFonts w:ascii="Arial Narrow" w:hAnsi="Arial Narrow" w:cs="Calibri"/>
                <w:sz w:val="16"/>
                <w:szCs w:val="16"/>
              </w:rPr>
            </w:pPr>
            <w:r w:rsidRPr="0043709B">
              <w:rPr>
                <w:rFonts w:ascii="Arial Narrow" w:hAnsi="Arial Narrow" w:cs="Calibri"/>
                <w:sz w:val="16"/>
                <w:szCs w:val="16"/>
              </w:rPr>
              <w:t>97,4</w:t>
            </w:r>
          </w:p>
        </w:tc>
        <w:tc>
          <w:tcPr>
            <w:tcW w:w="1236" w:type="dxa"/>
            <w:tcBorders>
              <w:top w:val="nil"/>
              <w:left w:val="nil"/>
              <w:bottom w:val="single" w:sz="4" w:space="0" w:color="auto"/>
              <w:right w:val="single" w:sz="4" w:space="0" w:color="auto"/>
            </w:tcBorders>
            <w:shd w:val="clear" w:color="auto" w:fill="auto"/>
            <w:noWrap/>
            <w:vAlign w:val="center"/>
            <w:hideMark/>
          </w:tcPr>
          <w:p w14:paraId="00247168" w14:textId="77777777" w:rsidR="0043709B" w:rsidRPr="0043709B" w:rsidRDefault="0043709B" w:rsidP="0043709B">
            <w:pPr>
              <w:jc w:val="right"/>
              <w:rPr>
                <w:rFonts w:ascii="Arial Narrow" w:hAnsi="Arial Narrow" w:cs="Calibri"/>
                <w:sz w:val="16"/>
                <w:szCs w:val="16"/>
              </w:rPr>
            </w:pPr>
            <w:r w:rsidRPr="0043709B">
              <w:rPr>
                <w:rFonts w:ascii="Arial Narrow" w:hAnsi="Arial Narrow" w:cs="Calibri"/>
                <w:sz w:val="16"/>
                <w:szCs w:val="16"/>
              </w:rPr>
              <w:t>198,8</w:t>
            </w:r>
          </w:p>
        </w:tc>
        <w:tc>
          <w:tcPr>
            <w:tcW w:w="1260" w:type="dxa"/>
            <w:tcBorders>
              <w:top w:val="nil"/>
              <w:left w:val="nil"/>
              <w:bottom w:val="single" w:sz="4" w:space="0" w:color="auto"/>
              <w:right w:val="single" w:sz="4" w:space="0" w:color="auto"/>
            </w:tcBorders>
            <w:shd w:val="clear" w:color="auto" w:fill="auto"/>
            <w:noWrap/>
            <w:vAlign w:val="center"/>
            <w:hideMark/>
          </w:tcPr>
          <w:p w14:paraId="111F647F" w14:textId="77777777" w:rsidR="0043709B" w:rsidRPr="0043709B" w:rsidRDefault="0043709B" w:rsidP="0043709B">
            <w:pPr>
              <w:jc w:val="right"/>
              <w:rPr>
                <w:rFonts w:ascii="Arial Narrow" w:hAnsi="Arial Narrow" w:cs="Arial"/>
                <w:sz w:val="16"/>
                <w:szCs w:val="16"/>
              </w:rPr>
            </w:pPr>
            <w:r w:rsidRPr="0043709B">
              <w:rPr>
                <w:rFonts w:ascii="Arial Narrow" w:hAnsi="Arial Narrow" w:cs="Arial"/>
                <w:sz w:val="16"/>
                <w:szCs w:val="16"/>
              </w:rPr>
              <w:t>89,8</w:t>
            </w:r>
          </w:p>
        </w:tc>
      </w:tr>
      <w:tr w:rsidR="0043709B" w:rsidRPr="0043709B" w14:paraId="11036C0B" w14:textId="77777777" w:rsidTr="0043709B">
        <w:trPr>
          <w:trHeight w:val="250"/>
        </w:trPr>
        <w:tc>
          <w:tcPr>
            <w:tcW w:w="781" w:type="dxa"/>
            <w:tcBorders>
              <w:top w:val="nil"/>
              <w:left w:val="single" w:sz="4" w:space="0" w:color="auto"/>
              <w:bottom w:val="single" w:sz="4" w:space="0" w:color="auto"/>
              <w:right w:val="single" w:sz="4" w:space="0" w:color="auto"/>
            </w:tcBorders>
            <w:shd w:val="clear" w:color="auto" w:fill="auto"/>
            <w:noWrap/>
            <w:vAlign w:val="center"/>
            <w:hideMark/>
          </w:tcPr>
          <w:p w14:paraId="679EA649" w14:textId="77777777" w:rsidR="0043709B" w:rsidRPr="0043709B" w:rsidRDefault="0043709B" w:rsidP="0043709B">
            <w:pPr>
              <w:rPr>
                <w:rFonts w:ascii="Arial Narrow" w:hAnsi="Arial Narrow" w:cs="Arial"/>
                <w:sz w:val="16"/>
                <w:szCs w:val="16"/>
              </w:rPr>
            </w:pPr>
            <w:r w:rsidRPr="0043709B">
              <w:rPr>
                <w:rFonts w:ascii="Arial Narrow" w:hAnsi="Arial Narrow" w:cs="Arial"/>
                <w:sz w:val="16"/>
                <w:szCs w:val="16"/>
              </w:rPr>
              <w:t>03.1</w:t>
            </w:r>
          </w:p>
        </w:tc>
        <w:tc>
          <w:tcPr>
            <w:tcW w:w="3016" w:type="dxa"/>
            <w:tcBorders>
              <w:top w:val="nil"/>
              <w:left w:val="nil"/>
              <w:bottom w:val="single" w:sz="4" w:space="0" w:color="auto"/>
              <w:right w:val="single" w:sz="4" w:space="0" w:color="auto"/>
            </w:tcBorders>
            <w:shd w:val="clear" w:color="auto" w:fill="auto"/>
            <w:noWrap/>
            <w:vAlign w:val="center"/>
            <w:hideMark/>
          </w:tcPr>
          <w:p w14:paraId="4C5E30A3" w14:textId="77777777" w:rsidR="0043709B" w:rsidRPr="0043709B" w:rsidRDefault="0043709B" w:rsidP="00CD44F3">
            <w:pPr>
              <w:ind w:firstLine="138"/>
              <w:rPr>
                <w:rFonts w:ascii="Arial Narrow" w:hAnsi="Arial Narrow" w:cs="Calibri"/>
                <w:sz w:val="16"/>
                <w:szCs w:val="16"/>
              </w:rPr>
            </w:pPr>
            <w:r w:rsidRPr="0043709B">
              <w:rPr>
                <w:rFonts w:ascii="Arial Narrow" w:hAnsi="Arial Narrow" w:cs="Calibri"/>
                <w:sz w:val="16"/>
                <w:szCs w:val="16"/>
              </w:rPr>
              <w:t>Царевица за силаж</w:t>
            </w:r>
          </w:p>
        </w:tc>
        <w:tc>
          <w:tcPr>
            <w:tcW w:w="1180" w:type="dxa"/>
            <w:tcBorders>
              <w:top w:val="nil"/>
              <w:left w:val="nil"/>
              <w:bottom w:val="single" w:sz="4" w:space="0" w:color="auto"/>
              <w:right w:val="single" w:sz="4" w:space="0" w:color="auto"/>
            </w:tcBorders>
            <w:shd w:val="clear" w:color="auto" w:fill="auto"/>
            <w:vAlign w:val="center"/>
          </w:tcPr>
          <w:p w14:paraId="547CA931" w14:textId="77777777" w:rsidR="0043709B" w:rsidRPr="0043709B" w:rsidRDefault="0043709B" w:rsidP="0043709B">
            <w:pPr>
              <w:jc w:val="right"/>
              <w:rPr>
                <w:rFonts w:ascii="Arial Narrow" w:hAnsi="Arial Narrow" w:cs="Calibri"/>
                <w:sz w:val="16"/>
                <w:szCs w:val="16"/>
              </w:rPr>
            </w:pPr>
            <w:r w:rsidRPr="0043709B">
              <w:rPr>
                <w:rFonts w:ascii="Arial Narrow" w:hAnsi="Arial Narrow" w:cs="Calibri"/>
                <w:sz w:val="16"/>
                <w:szCs w:val="16"/>
              </w:rPr>
              <w:t>71,6</w:t>
            </w:r>
          </w:p>
        </w:tc>
        <w:tc>
          <w:tcPr>
            <w:tcW w:w="1170" w:type="dxa"/>
            <w:tcBorders>
              <w:top w:val="nil"/>
              <w:left w:val="nil"/>
              <w:bottom w:val="single" w:sz="4" w:space="0" w:color="auto"/>
              <w:right w:val="single" w:sz="4" w:space="0" w:color="auto"/>
            </w:tcBorders>
            <w:shd w:val="clear" w:color="auto" w:fill="auto"/>
            <w:noWrap/>
            <w:vAlign w:val="center"/>
            <w:hideMark/>
          </w:tcPr>
          <w:p w14:paraId="4D739DAF" w14:textId="77777777" w:rsidR="0043709B" w:rsidRPr="0043709B" w:rsidRDefault="0043709B" w:rsidP="0043709B">
            <w:pPr>
              <w:jc w:val="right"/>
              <w:rPr>
                <w:rFonts w:ascii="Arial Narrow" w:hAnsi="Arial Narrow" w:cs="Calibri"/>
                <w:sz w:val="16"/>
                <w:szCs w:val="16"/>
              </w:rPr>
            </w:pPr>
            <w:r w:rsidRPr="0043709B">
              <w:rPr>
                <w:rFonts w:ascii="Arial Narrow" w:hAnsi="Arial Narrow" w:cs="Calibri"/>
                <w:sz w:val="16"/>
                <w:szCs w:val="16"/>
              </w:rPr>
              <w:t>81,4</w:t>
            </w:r>
          </w:p>
        </w:tc>
        <w:tc>
          <w:tcPr>
            <w:tcW w:w="1300" w:type="dxa"/>
            <w:tcBorders>
              <w:top w:val="nil"/>
              <w:left w:val="nil"/>
              <w:bottom w:val="single" w:sz="4" w:space="0" w:color="auto"/>
              <w:right w:val="single" w:sz="4" w:space="0" w:color="auto"/>
            </w:tcBorders>
            <w:shd w:val="clear" w:color="auto" w:fill="auto"/>
            <w:noWrap/>
            <w:vAlign w:val="center"/>
            <w:hideMark/>
          </w:tcPr>
          <w:p w14:paraId="67751717" w14:textId="77777777" w:rsidR="0043709B" w:rsidRPr="0043709B" w:rsidRDefault="0043709B" w:rsidP="0043709B">
            <w:pPr>
              <w:jc w:val="right"/>
              <w:rPr>
                <w:rFonts w:ascii="Arial Narrow" w:hAnsi="Arial Narrow" w:cs="Calibri"/>
                <w:sz w:val="16"/>
                <w:szCs w:val="16"/>
              </w:rPr>
            </w:pPr>
            <w:r w:rsidRPr="0043709B">
              <w:rPr>
                <w:rFonts w:ascii="Arial Narrow" w:hAnsi="Arial Narrow" w:cs="Calibri"/>
                <w:sz w:val="16"/>
                <w:szCs w:val="16"/>
              </w:rPr>
              <w:t>58,3</w:t>
            </w:r>
          </w:p>
        </w:tc>
        <w:tc>
          <w:tcPr>
            <w:tcW w:w="1220" w:type="dxa"/>
            <w:tcBorders>
              <w:top w:val="nil"/>
              <w:left w:val="nil"/>
              <w:bottom w:val="single" w:sz="4" w:space="0" w:color="auto"/>
              <w:right w:val="single" w:sz="4" w:space="0" w:color="auto"/>
            </w:tcBorders>
            <w:shd w:val="clear" w:color="auto" w:fill="auto"/>
            <w:noWrap/>
            <w:vAlign w:val="center"/>
            <w:hideMark/>
          </w:tcPr>
          <w:p w14:paraId="1203C95D" w14:textId="77777777" w:rsidR="0043709B" w:rsidRPr="0043709B" w:rsidRDefault="0043709B" w:rsidP="0043709B">
            <w:pPr>
              <w:jc w:val="right"/>
              <w:rPr>
                <w:rFonts w:ascii="Arial Narrow" w:hAnsi="Arial Narrow" w:cs="Calibri"/>
                <w:sz w:val="16"/>
                <w:szCs w:val="16"/>
              </w:rPr>
            </w:pPr>
            <w:r w:rsidRPr="0043709B">
              <w:rPr>
                <w:rFonts w:ascii="Arial Narrow" w:hAnsi="Arial Narrow" w:cs="Calibri"/>
                <w:sz w:val="16"/>
                <w:szCs w:val="16"/>
              </w:rPr>
              <w:t>98,5</w:t>
            </w:r>
          </w:p>
        </w:tc>
        <w:tc>
          <w:tcPr>
            <w:tcW w:w="1236" w:type="dxa"/>
            <w:tcBorders>
              <w:top w:val="nil"/>
              <w:left w:val="nil"/>
              <w:bottom w:val="single" w:sz="4" w:space="0" w:color="auto"/>
              <w:right w:val="single" w:sz="4" w:space="0" w:color="auto"/>
            </w:tcBorders>
            <w:shd w:val="clear" w:color="auto" w:fill="auto"/>
            <w:noWrap/>
            <w:vAlign w:val="center"/>
            <w:hideMark/>
          </w:tcPr>
          <w:p w14:paraId="3650BFDD" w14:textId="77777777" w:rsidR="0043709B" w:rsidRPr="0043709B" w:rsidRDefault="0043709B" w:rsidP="0043709B">
            <w:pPr>
              <w:jc w:val="right"/>
              <w:rPr>
                <w:rFonts w:ascii="Arial Narrow" w:hAnsi="Arial Narrow" w:cs="Calibri"/>
                <w:sz w:val="16"/>
                <w:szCs w:val="16"/>
              </w:rPr>
            </w:pPr>
            <w:r w:rsidRPr="0043709B">
              <w:rPr>
                <w:rFonts w:ascii="Arial Narrow" w:hAnsi="Arial Narrow" w:cs="Calibri"/>
                <w:sz w:val="16"/>
                <w:szCs w:val="16"/>
              </w:rPr>
              <w:t>57,4</w:t>
            </w:r>
          </w:p>
        </w:tc>
        <w:tc>
          <w:tcPr>
            <w:tcW w:w="1260" w:type="dxa"/>
            <w:tcBorders>
              <w:top w:val="nil"/>
              <w:left w:val="nil"/>
              <w:bottom w:val="single" w:sz="4" w:space="0" w:color="auto"/>
              <w:right w:val="single" w:sz="4" w:space="0" w:color="auto"/>
            </w:tcBorders>
            <w:shd w:val="clear" w:color="auto" w:fill="auto"/>
            <w:noWrap/>
            <w:vAlign w:val="center"/>
            <w:hideMark/>
          </w:tcPr>
          <w:p w14:paraId="52DD5B46" w14:textId="77777777" w:rsidR="0043709B" w:rsidRPr="0043709B" w:rsidRDefault="0043709B" w:rsidP="0043709B">
            <w:pPr>
              <w:jc w:val="right"/>
              <w:rPr>
                <w:rFonts w:ascii="Arial Narrow" w:hAnsi="Arial Narrow" w:cs="Arial"/>
                <w:sz w:val="16"/>
                <w:szCs w:val="16"/>
              </w:rPr>
            </w:pPr>
            <w:r w:rsidRPr="0043709B">
              <w:rPr>
                <w:rFonts w:ascii="Arial Narrow" w:hAnsi="Arial Narrow" w:cs="Arial"/>
                <w:sz w:val="16"/>
                <w:szCs w:val="16"/>
              </w:rPr>
              <w:t>80,2</w:t>
            </w:r>
          </w:p>
        </w:tc>
      </w:tr>
      <w:tr w:rsidR="0043709B" w:rsidRPr="0043709B" w14:paraId="1CE090C2" w14:textId="77777777" w:rsidTr="00CD44F3">
        <w:trPr>
          <w:trHeight w:val="250"/>
        </w:trPr>
        <w:tc>
          <w:tcPr>
            <w:tcW w:w="781" w:type="dxa"/>
            <w:tcBorders>
              <w:top w:val="nil"/>
              <w:left w:val="single" w:sz="4" w:space="0" w:color="auto"/>
              <w:bottom w:val="single" w:sz="4" w:space="0" w:color="auto"/>
              <w:right w:val="single" w:sz="4" w:space="0" w:color="auto"/>
            </w:tcBorders>
            <w:shd w:val="clear" w:color="auto" w:fill="auto"/>
            <w:noWrap/>
            <w:vAlign w:val="center"/>
            <w:hideMark/>
          </w:tcPr>
          <w:p w14:paraId="4B548CC8" w14:textId="77777777" w:rsidR="0043709B" w:rsidRPr="0043709B" w:rsidRDefault="0043709B" w:rsidP="0043709B">
            <w:pPr>
              <w:rPr>
                <w:rFonts w:ascii="Arial Narrow" w:hAnsi="Arial Narrow" w:cs="Arial"/>
                <w:sz w:val="16"/>
                <w:szCs w:val="16"/>
              </w:rPr>
            </w:pPr>
            <w:r w:rsidRPr="0043709B">
              <w:rPr>
                <w:rFonts w:ascii="Arial Narrow" w:hAnsi="Arial Narrow" w:cs="Arial"/>
                <w:sz w:val="16"/>
                <w:szCs w:val="16"/>
              </w:rPr>
              <w:t>03.2</w:t>
            </w:r>
          </w:p>
        </w:tc>
        <w:tc>
          <w:tcPr>
            <w:tcW w:w="3016" w:type="dxa"/>
            <w:tcBorders>
              <w:top w:val="nil"/>
              <w:left w:val="nil"/>
              <w:bottom w:val="single" w:sz="4" w:space="0" w:color="auto"/>
              <w:right w:val="single" w:sz="4" w:space="0" w:color="auto"/>
            </w:tcBorders>
            <w:shd w:val="clear" w:color="auto" w:fill="auto"/>
            <w:noWrap/>
            <w:vAlign w:val="center"/>
            <w:hideMark/>
          </w:tcPr>
          <w:p w14:paraId="05A9A3A2" w14:textId="77777777" w:rsidR="0043709B" w:rsidRPr="0043709B" w:rsidRDefault="0043709B" w:rsidP="00CD44F3">
            <w:pPr>
              <w:ind w:firstLine="138"/>
              <w:rPr>
                <w:rFonts w:ascii="Arial Narrow" w:hAnsi="Arial Narrow" w:cs="Calibri"/>
                <w:sz w:val="16"/>
                <w:szCs w:val="16"/>
              </w:rPr>
            </w:pPr>
            <w:r w:rsidRPr="0043709B">
              <w:rPr>
                <w:rFonts w:ascii="Arial Narrow" w:hAnsi="Arial Narrow" w:cs="Calibri"/>
                <w:sz w:val="16"/>
                <w:szCs w:val="16"/>
              </w:rPr>
              <w:t>Кореноплодни фуражи</w:t>
            </w:r>
          </w:p>
        </w:tc>
        <w:tc>
          <w:tcPr>
            <w:tcW w:w="1180" w:type="dxa"/>
            <w:tcBorders>
              <w:top w:val="nil"/>
              <w:left w:val="nil"/>
              <w:bottom w:val="single" w:sz="4" w:space="0" w:color="auto"/>
              <w:right w:val="single" w:sz="4" w:space="0" w:color="auto"/>
            </w:tcBorders>
            <w:shd w:val="clear" w:color="auto" w:fill="auto"/>
            <w:vAlign w:val="center"/>
          </w:tcPr>
          <w:p w14:paraId="57F7428F" w14:textId="77777777" w:rsidR="0043709B" w:rsidRPr="0043709B" w:rsidRDefault="0043709B" w:rsidP="0043709B">
            <w:pPr>
              <w:jc w:val="right"/>
              <w:rPr>
                <w:rFonts w:ascii="Arial Narrow" w:hAnsi="Arial Narrow" w:cs="Calibri"/>
                <w:sz w:val="16"/>
                <w:szCs w:val="16"/>
              </w:rPr>
            </w:pPr>
            <w:r w:rsidRPr="0043709B">
              <w:rPr>
                <w:rFonts w:ascii="Arial Narrow" w:hAnsi="Arial Narrow" w:cs="Calibri"/>
                <w:sz w:val="16"/>
                <w:szCs w:val="16"/>
              </w:rPr>
              <w:t>0,0</w:t>
            </w:r>
          </w:p>
        </w:tc>
        <w:tc>
          <w:tcPr>
            <w:tcW w:w="1170" w:type="dxa"/>
            <w:tcBorders>
              <w:top w:val="nil"/>
              <w:left w:val="nil"/>
              <w:bottom w:val="single" w:sz="4" w:space="0" w:color="auto"/>
              <w:right w:val="single" w:sz="4" w:space="0" w:color="auto"/>
            </w:tcBorders>
            <w:shd w:val="clear" w:color="auto" w:fill="auto"/>
            <w:noWrap/>
            <w:vAlign w:val="center"/>
          </w:tcPr>
          <w:p w14:paraId="43C15771" w14:textId="77777777" w:rsidR="0043709B" w:rsidRPr="0043709B" w:rsidRDefault="0043709B" w:rsidP="0043709B">
            <w:pPr>
              <w:rPr>
                <w:rFonts w:ascii="Arial Narrow" w:hAnsi="Arial Narrow" w:cs="Calibri"/>
                <w:sz w:val="16"/>
                <w:szCs w:val="16"/>
              </w:rPr>
            </w:pPr>
          </w:p>
        </w:tc>
        <w:tc>
          <w:tcPr>
            <w:tcW w:w="1300" w:type="dxa"/>
            <w:tcBorders>
              <w:top w:val="nil"/>
              <w:left w:val="nil"/>
              <w:bottom w:val="single" w:sz="4" w:space="0" w:color="auto"/>
              <w:right w:val="single" w:sz="4" w:space="0" w:color="auto"/>
            </w:tcBorders>
            <w:shd w:val="clear" w:color="auto" w:fill="auto"/>
            <w:noWrap/>
            <w:vAlign w:val="center"/>
            <w:hideMark/>
          </w:tcPr>
          <w:p w14:paraId="6B446EAD" w14:textId="77777777" w:rsidR="0043709B" w:rsidRPr="0043709B" w:rsidRDefault="0043709B" w:rsidP="0043709B">
            <w:pPr>
              <w:jc w:val="right"/>
              <w:rPr>
                <w:rFonts w:ascii="Arial Narrow" w:hAnsi="Arial Narrow" w:cs="Calibri"/>
                <w:sz w:val="16"/>
                <w:szCs w:val="16"/>
              </w:rPr>
            </w:pPr>
            <w:r w:rsidRPr="0043709B">
              <w:rPr>
                <w:rFonts w:ascii="Arial Narrow" w:hAnsi="Arial Narrow" w:cs="Calibri"/>
                <w:sz w:val="16"/>
                <w:szCs w:val="16"/>
              </w:rPr>
              <w:t>0,0</w:t>
            </w:r>
          </w:p>
        </w:tc>
        <w:tc>
          <w:tcPr>
            <w:tcW w:w="1220" w:type="dxa"/>
            <w:tcBorders>
              <w:top w:val="nil"/>
              <w:left w:val="nil"/>
              <w:bottom w:val="single" w:sz="4" w:space="0" w:color="auto"/>
              <w:right w:val="single" w:sz="4" w:space="0" w:color="auto"/>
            </w:tcBorders>
            <w:shd w:val="clear" w:color="auto" w:fill="auto"/>
            <w:noWrap/>
            <w:vAlign w:val="center"/>
          </w:tcPr>
          <w:p w14:paraId="3B56E0E1" w14:textId="77777777" w:rsidR="0043709B" w:rsidRPr="0043709B" w:rsidRDefault="0043709B" w:rsidP="0043709B">
            <w:pPr>
              <w:rPr>
                <w:rFonts w:ascii="Arial Narrow" w:hAnsi="Arial Narrow" w:cs="Calibri"/>
                <w:sz w:val="16"/>
                <w:szCs w:val="16"/>
              </w:rPr>
            </w:pPr>
          </w:p>
        </w:tc>
        <w:tc>
          <w:tcPr>
            <w:tcW w:w="1236" w:type="dxa"/>
            <w:tcBorders>
              <w:top w:val="nil"/>
              <w:left w:val="nil"/>
              <w:bottom w:val="single" w:sz="4" w:space="0" w:color="auto"/>
              <w:right w:val="single" w:sz="4" w:space="0" w:color="auto"/>
            </w:tcBorders>
            <w:shd w:val="clear" w:color="auto" w:fill="auto"/>
            <w:noWrap/>
            <w:vAlign w:val="center"/>
            <w:hideMark/>
          </w:tcPr>
          <w:p w14:paraId="0EFDDF4C" w14:textId="77777777" w:rsidR="0043709B" w:rsidRPr="0043709B" w:rsidRDefault="0043709B" w:rsidP="0043709B">
            <w:pPr>
              <w:jc w:val="right"/>
              <w:rPr>
                <w:rFonts w:ascii="Arial Narrow" w:hAnsi="Arial Narrow" w:cs="Calibri"/>
                <w:sz w:val="16"/>
                <w:szCs w:val="16"/>
              </w:rPr>
            </w:pPr>
            <w:r w:rsidRPr="0043709B">
              <w:rPr>
                <w:rFonts w:ascii="Arial Narrow" w:hAnsi="Arial Narrow" w:cs="Calibri"/>
                <w:sz w:val="16"/>
                <w:szCs w:val="16"/>
              </w:rPr>
              <w:t>0,0</w:t>
            </w:r>
          </w:p>
        </w:tc>
        <w:tc>
          <w:tcPr>
            <w:tcW w:w="1260" w:type="dxa"/>
            <w:tcBorders>
              <w:top w:val="nil"/>
              <w:left w:val="nil"/>
              <w:bottom w:val="single" w:sz="4" w:space="0" w:color="auto"/>
              <w:right w:val="single" w:sz="4" w:space="0" w:color="auto"/>
            </w:tcBorders>
            <w:shd w:val="clear" w:color="auto" w:fill="auto"/>
            <w:noWrap/>
            <w:vAlign w:val="center"/>
            <w:hideMark/>
          </w:tcPr>
          <w:p w14:paraId="3C6C2BFE" w14:textId="77777777" w:rsidR="0043709B" w:rsidRPr="0043709B" w:rsidRDefault="0043709B" w:rsidP="0043709B">
            <w:pPr>
              <w:rPr>
                <w:rFonts w:ascii="Arial Narrow" w:hAnsi="Arial Narrow" w:cs="Arial"/>
                <w:sz w:val="16"/>
                <w:szCs w:val="16"/>
              </w:rPr>
            </w:pPr>
          </w:p>
        </w:tc>
      </w:tr>
      <w:tr w:rsidR="0043709B" w:rsidRPr="0043709B" w14:paraId="0FF09AAA" w14:textId="77777777" w:rsidTr="0043709B">
        <w:trPr>
          <w:trHeight w:val="250"/>
        </w:trPr>
        <w:tc>
          <w:tcPr>
            <w:tcW w:w="781" w:type="dxa"/>
            <w:tcBorders>
              <w:top w:val="nil"/>
              <w:left w:val="single" w:sz="4" w:space="0" w:color="auto"/>
              <w:bottom w:val="single" w:sz="4" w:space="0" w:color="auto"/>
              <w:right w:val="single" w:sz="4" w:space="0" w:color="auto"/>
            </w:tcBorders>
            <w:shd w:val="clear" w:color="auto" w:fill="auto"/>
            <w:noWrap/>
            <w:vAlign w:val="center"/>
            <w:hideMark/>
          </w:tcPr>
          <w:p w14:paraId="6E1E2203" w14:textId="77777777" w:rsidR="0043709B" w:rsidRPr="0043709B" w:rsidRDefault="0043709B" w:rsidP="0043709B">
            <w:pPr>
              <w:rPr>
                <w:rFonts w:ascii="Arial Narrow" w:hAnsi="Arial Narrow" w:cs="Arial"/>
                <w:sz w:val="16"/>
                <w:szCs w:val="16"/>
              </w:rPr>
            </w:pPr>
            <w:r w:rsidRPr="0043709B">
              <w:rPr>
                <w:rFonts w:ascii="Arial Narrow" w:hAnsi="Arial Narrow" w:cs="Arial"/>
                <w:sz w:val="16"/>
                <w:szCs w:val="16"/>
              </w:rPr>
              <w:t>03.3</w:t>
            </w:r>
          </w:p>
        </w:tc>
        <w:tc>
          <w:tcPr>
            <w:tcW w:w="3016" w:type="dxa"/>
            <w:tcBorders>
              <w:top w:val="nil"/>
              <w:left w:val="nil"/>
              <w:bottom w:val="single" w:sz="4" w:space="0" w:color="auto"/>
              <w:right w:val="single" w:sz="4" w:space="0" w:color="auto"/>
            </w:tcBorders>
            <w:shd w:val="clear" w:color="auto" w:fill="auto"/>
            <w:noWrap/>
            <w:vAlign w:val="center"/>
            <w:hideMark/>
          </w:tcPr>
          <w:p w14:paraId="150BCE7E" w14:textId="77777777" w:rsidR="0043709B" w:rsidRPr="00CD44F3" w:rsidRDefault="0043709B" w:rsidP="00CD44F3">
            <w:pPr>
              <w:ind w:firstLine="138"/>
              <w:rPr>
                <w:rFonts w:ascii="Arial Narrow" w:hAnsi="Arial Narrow" w:cs="Calibri"/>
                <w:sz w:val="16"/>
                <w:szCs w:val="16"/>
                <w:lang w:val="bg-BG"/>
              </w:rPr>
            </w:pPr>
            <w:r w:rsidRPr="0043709B">
              <w:rPr>
                <w:rFonts w:ascii="Arial Narrow" w:hAnsi="Arial Narrow" w:cs="Calibri"/>
                <w:sz w:val="16"/>
                <w:szCs w:val="16"/>
              </w:rPr>
              <w:t>Други фуражни</w:t>
            </w:r>
            <w:r w:rsidR="007F2E1A">
              <w:rPr>
                <w:rFonts w:ascii="Arial Narrow" w:hAnsi="Arial Narrow" w:cs="Calibri"/>
                <w:sz w:val="16"/>
                <w:szCs w:val="16"/>
                <w:lang w:val="bg-BG"/>
              </w:rPr>
              <w:t xml:space="preserve"> култури</w:t>
            </w:r>
          </w:p>
        </w:tc>
        <w:tc>
          <w:tcPr>
            <w:tcW w:w="1180" w:type="dxa"/>
            <w:tcBorders>
              <w:top w:val="nil"/>
              <w:left w:val="nil"/>
              <w:bottom w:val="single" w:sz="4" w:space="0" w:color="auto"/>
              <w:right w:val="single" w:sz="4" w:space="0" w:color="auto"/>
            </w:tcBorders>
            <w:shd w:val="clear" w:color="auto" w:fill="auto"/>
            <w:vAlign w:val="center"/>
          </w:tcPr>
          <w:p w14:paraId="00FD85EE" w14:textId="77777777" w:rsidR="0043709B" w:rsidRPr="0043709B" w:rsidRDefault="0043709B" w:rsidP="0043709B">
            <w:pPr>
              <w:jc w:val="right"/>
              <w:rPr>
                <w:rFonts w:ascii="Arial Narrow" w:hAnsi="Arial Narrow" w:cs="Calibri"/>
                <w:sz w:val="16"/>
                <w:szCs w:val="16"/>
              </w:rPr>
            </w:pPr>
            <w:r w:rsidRPr="0043709B">
              <w:rPr>
                <w:rFonts w:ascii="Arial Narrow" w:hAnsi="Arial Narrow" w:cs="Calibri"/>
                <w:sz w:val="16"/>
                <w:szCs w:val="16"/>
              </w:rPr>
              <w:t>149,8</w:t>
            </w:r>
          </w:p>
        </w:tc>
        <w:tc>
          <w:tcPr>
            <w:tcW w:w="1170" w:type="dxa"/>
            <w:tcBorders>
              <w:top w:val="nil"/>
              <w:left w:val="nil"/>
              <w:bottom w:val="single" w:sz="4" w:space="0" w:color="auto"/>
              <w:right w:val="single" w:sz="4" w:space="0" w:color="auto"/>
            </w:tcBorders>
            <w:shd w:val="clear" w:color="auto" w:fill="auto"/>
            <w:noWrap/>
            <w:vAlign w:val="center"/>
            <w:hideMark/>
          </w:tcPr>
          <w:p w14:paraId="190799E2" w14:textId="77777777" w:rsidR="0043709B" w:rsidRPr="0043709B" w:rsidRDefault="0043709B" w:rsidP="0043709B">
            <w:pPr>
              <w:jc w:val="right"/>
              <w:rPr>
                <w:rFonts w:ascii="Arial Narrow" w:hAnsi="Arial Narrow" w:cs="Calibri"/>
                <w:sz w:val="16"/>
                <w:szCs w:val="16"/>
              </w:rPr>
            </w:pPr>
            <w:r w:rsidRPr="0043709B">
              <w:rPr>
                <w:rFonts w:ascii="Arial Narrow" w:hAnsi="Arial Narrow" w:cs="Calibri"/>
                <w:sz w:val="16"/>
                <w:szCs w:val="16"/>
              </w:rPr>
              <w:t>97,3</w:t>
            </w:r>
          </w:p>
        </w:tc>
        <w:tc>
          <w:tcPr>
            <w:tcW w:w="1300" w:type="dxa"/>
            <w:tcBorders>
              <w:top w:val="nil"/>
              <w:left w:val="nil"/>
              <w:bottom w:val="single" w:sz="4" w:space="0" w:color="auto"/>
              <w:right w:val="single" w:sz="4" w:space="0" w:color="auto"/>
            </w:tcBorders>
            <w:shd w:val="clear" w:color="auto" w:fill="auto"/>
            <w:noWrap/>
            <w:vAlign w:val="center"/>
            <w:hideMark/>
          </w:tcPr>
          <w:p w14:paraId="53A74333" w14:textId="77777777" w:rsidR="0043709B" w:rsidRPr="0043709B" w:rsidRDefault="0043709B" w:rsidP="0043709B">
            <w:pPr>
              <w:jc w:val="right"/>
              <w:rPr>
                <w:rFonts w:ascii="Arial Narrow" w:hAnsi="Arial Narrow" w:cs="Calibri"/>
                <w:sz w:val="16"/>
                <w:szCs w:val="16"/>
              </w:rPr>
            </w:pPr>
            <w:r w:rsidRPr="0043709B">
              <w:rPr>
                <w:rFonts w:ascii="Arial Narrow" w:hAnsi="Arial Narrow" w:cs="Calibri"/>
                <w:sz w:val="16"/>
                <w:szCs w:val="16"/>
              </w:rPr>
              <w:t>145,8</w:t>
            </w:r>
          </w:p>
        </w:tc>
        <w:tc>
          <w:tcPr>
            <w:tcW w:w="1220" w:type="dxa"/>
            <w:tcBorders>
              <w:top w:val="nil"/>
              <w:left w:val="nil"/>
              <w:bottom w:val="single" w:sz="4" w:space="0" w:color="auto"/>
              <w:right w:val="single" w:sz="4" w:space="0" w:color="auto"/>
            </w:tcBorders>
            <w:shd w:val="clear" w:color="auto" w:fill="auto"/>
            <w:noWrap/>
            <w:vAlign w:val="center"/>
            <w:hideMark/>
          </w:tcPr>
          <w:p w14:paraId="52C9E789" w14:textId="77777777" w:rsidR="0043709B" w:rsidRPr="0043709B" w:rsidRDefault="0043709B" w:rsidP="0043709B">
            <w:pPr>
              <w:jc w:val="right"/>
              <w:rPr>
                <w:rFonts w:ascii="Arial Narrow" w:hAnsi="Arial Narrow" w:cs="Calibri"/>
                <w:sz w:val="16"/>
                <w:szCs w:val="16"/>
              </w:rPr>
            </w:pPr>
            <w:r w:rsidRPr="0043709B">
              <w:rPr>
                <w:rFonts w:ascii="Arial Narrow" w:hAnsi="Arial Narrow" w:cs="Calibri"/>
                <w:sz w:val="16"/>
                <w:szCs w:val="16"/>
              </w:rPr>
              <w:t>97,0</w:t>
            </w:r>
          </w:p>
        </w:tc>
        <w:tc>
          <w:tcPr>
            <w:tcW w:w="1236" w:type="dxa"/>
            <w:tcBorders>
              <w:top w:val="nil"/>
              <w:left w:val="nil"/>
              <w:bottom w:val="single" w:sz="4" w:space="0" w:color="auto"/>
              <w:right w:val="single" w:sz="4" w:space="0" w:color="auto"/>
            </w:tcBorders>
            <w:shd w:val="clear" w:color="auto" w:fill="auto"/>
            <w:noWrap/>
            <w:vAlign w:val="center"/>
            <w:hideMark/>
          </w:tcPr>
          <w:p w14:paraId="26C4596C" w14:textId="77777777" w:rsidR="0043709B" w:rsidRPr="0043709B" w:rsidRDefault="0043709B" w:rsidP="0043709B">
            <w:pPr>
              <w:jc w:val="right"/>
              <w:rPr>
                <w:rFonts w:ascii="Arial Narrow" w:hAnsi="Arial Narrow" w:cs="Calibri"/>
                <w:sz w:val="16"/>
                <w:szCs w:val="16"/>
              </w:rPr>
            </w:pPr>
            <w:r w:rsidRPr="0043709B">
              <w:rPr>
                <w:rFonts w:ascii="Arial Narrow" w:hAnsi="Arial Narrow" w:cs="Calibri"/>
                <w:sz w:val="16"/>
                <w:szCs w:val="16"/>
              </w:rPr>
              <w:t>141,4</w:t>
            </w:r>
          </w:p>
        </w:tc>
        <w:tc>
          <w:tcPr>
            <w:tcW w:w="1260" w:type="dxa"/>
            <w:tcBorders>
              <w:top w:val="nil"/>
              <w:left w:val="nil"/>
              <w:bottom w:val="single" w:sz="4" w:space="0" w:color="auto"/>
              <w:right w:val="single" w:sz="4" w:space="0" w:color="auto"/>
            </w:tcBorders>
            <w:shd w:val="clear" w:color="auto" w:fill="auto"/>
            <w:noWrap/>
            <w:vAlign w:val="center"/>
            <w:hideMark/>
          </w:tcPr>
          <w:p w14:paraId="55A7583A" w14:textId="77777777" w:rsidR="0043709B" w:rsidRPr="0043709B" w:rsidRDefault="0043709B" w:rsidP="0043709B">
            <w:pPr>
              <w:jc w:val="right"/>
              <w:rPr>
                <w:rFonts w:ascii="Arial Narrow" w:hAnsi="Arial Narrow" w:cs="Arial"/>
                <w:sz w:val="16"/>
                <w:szCs w:val="16"/>
              </w:rPr>
            </w:pPr>
            <w:r w:rsidRPr="0043709B">
              <w:rPr>
                <w:rFonts w:ascii="Arial Narrow" w:hAnsi="Arial Narrow" w:cs="Arial"/>
                <w:sz w:val="16"/>
                <w:szCs w:val="16"/>
              </w:rPr>
              <w:t>94,4</w:t>
            </w:r>
          </w:p>
        </w:tc>
      </w:tr>
      <w:tr w:rsidR="0043709B" w:rsidRPr="0043709B" w14:paraId="5B37CB26" w14:textId="77777777" w:rsidTr="0043709B">
        <w:trPr>
          <w:trHeight w:val="250"/>
        </w:trPr>
        <w:tc>
          <w:tcPr>
            <w:tcW w:w="781" w:type="dxa"/>
            <w:tcBorders>
              <w:top w:val="nil"/>
              <w:left w:val="single" w:sz="4" w:space="0" w:color="auto"/>
              <w:bottom w:val="single" w:sz="4" w:space="0" w:color="auto"/>
              <w:right w:val="single" w:sz="4" w:space="0" w:color="auto"/>
            </w:tcBorders>
            <w:shd w:val="clear" w:color="auto" w:fill="auto"/>
            <w:noWrap/>
            <w:vAlign w:val="center"/>
            <w:hideMark/>
          </w:tcPr>
          <w:p w14:paraId="1C6A2D53" w14:textId="77777777" w:rsidR="0043709B" w:rsidRPr="0043709B" w:rsidRDefault="0043709B" w:rsidP="0043709B">
            <w:pPr>
              <w:rPr>
                <w:rFonts w:ascii="Arial Narrow" w:hAnsi="Arial Narrow" w:cs="Arial"/>
                <w:sz w:val="16"/>
                <w:szCs w:val="16"/>
              </w:rPr>
            </w:pPr>
            <w:r w:rsidRPr="0043709B">
              <w:rPr>
                <w:rFonts w:ascii="Arial Narrow" w:hAnsi="Arial Narrow" w:cs="Arial"/>
                <w:sz w:val="16"/>
                <w:szCs w:val="16"/>
              </w:rPr>
              <w:t>04</w:t>
            </w:r>
          </w:p>
        </w:tc>
        <w:tc>
          <w:tcPr>
            <w:tcW w:w="3016" w:type="dxa"/>
            <w:tcBorders>
              <w:top w:val="nil"/>
              <w:left w:val="nil"/>
              <w:bottom w:val="single" w:sz="4" w:space="0" w:color="auto"/>
              <w:right w:val="single" w:sz="4" w:space="0" w:color="auto"/>
            </w:tcBorders>
            <w:shd w:val="clear" w:color="auto" w:fill="auto"/>
            <w:noWrap/>
            <w:vAlign w:val="center"/>
            <w:hideMark/>
          </w:tcPr>
          <w:p w14:paraId="30597A28" w14:textId="77777777" w:rsidR="0043709B" w:rsidRPr="0043709B" w:rsidRDefault="0043709B" w:rsidP="0043709B">
            <w:pPr>
              <w:rPr>
                <w:rFonts w:ascii="Arial Narrow" w:hAnsi="Arial Narrow" w:cs="Calibri"/>
                <w:b/>
                <w:bCs/>
                <w:sz w:val="16"/>
                <w:szCs w:val="16"/>
              </w:rPr>
            </w:pPr>
            <w:r w:rsidRPr="0043709B">
              <w:rPr>
                <w:rFonts w:ascii="Arial Narrow" w:hAnsi="Arial Narrow" w:cs="Calibri"/>
                <w:b/>
                <w:bCs/>
                <w:sz w:val="16"/>
                <w:szCs w:val="16"/>
              </w:rPr>
              <w:t>ЗЕЛЕНЧУЦИ</w:t>
            </w:r>
          </w:p>
        </w:tc>
        <w:tc>
          <w:tcPr>
            <w:tcW w:w="1180" w:type="dxa"/>
            <w:tcBorders>
              <w:top w:val="nil"/>
              <w:left w:val="nil"/>
              <w:bottom w:val="single" w:sz="4" w:space="0" w:color="auto"/>
              <w:right w:val="single" w:sz="4" w:space="0" w:color="auto"/>
            </w:tcBorders>
            <w:shd w:val="clear" w:color="auto" w:fill="auto"/>
            <w:vAlign w:val="center"/>
          </w:tcPr>
          <w:p w14:paraId="73B0226D" w14:textId="77777777" w:rsidR="0043709B" w:rsidRPr="0043709B" w:rsidRDefault="0043709B" w:rsidP="0043709B">
            <w:pPr>
              <w:jc w:val="right"/>
              <w:rPr>
                <w:rFonts w:ascii="Arial Narrow" w:hAnsi="Arial Narrow" w:cs="Calibri"/>
                <w:sz w:val="16"/>
                <w:szCs w:val="16"/>
              </w:rPr>
            </w:pPr>
            <w:r w:rsidRPr="0043709B">
              <w:rPr>
                <w:rFonts w:ascii="Arial Narrow" w:hAnsi="Arial Narrow" w:cs="Calibri"/>
                <w:sz w:val="16"/>
                <w:szCs w:val="16"/>
              </w:rPr>
              <w:t>532,6</w:t>
            </w:r>
          </w:p>
        </w:tc>
        <w:tc>
          <w:tcPr>
            <w:tcW w:w="1170" w:type="dxa"/>
            <w:tcBorders>
              <w:top w:val="nil"/>
              <w:left w:val="nil"/>
              <w:bottom w:val="single" w:sz="4" w:space="0" w:color="auto"/>
              <w:right w:val="single" w:sz="4" w:space="0" w:color="auto"/>
            </w:tcBorders>
            <w:shd w:val="clear" w:color="auto" w:fill="auto"/>
            <w:noWrap/>
            <w:vAlign w:val="center"/>
            <w:hideMark/>
          </w:tcPr>
          <w:p w14:paraId="47259DE4" w14:textId="77777777" w:rsidR="0043709B" w:rsidRPr="0043709B" w:rsidRDefault="0043709B" w:rsidP="0043709B">
            <w:pPr>
              <w:jc w:val="right"/>
              <w:rPr>
                <w:rFonts w:ascii="Arial Narrow" w:hAnsi="Arial Narrow" w:cs="Calibri"/>
                <w:sz w:val="16"/>
                <w:szCs w:val="16"/>
              </w:rPr>
            </w:pPr>
            <w:r w:rsidRPr="0043709B">
              <w:rPr>
                <w:rFonts w:ascii="Arial Narrow" w:hAnsi="Arial Narrow" w:cs="Calibri"/>
                <w:sz w:val="16"/>
                <w:szCs w:val="16"/>
              </w:rPr>
              <w:t>106,5</w:t>
            </w:r>
          </w:p>
        </w:tc>
        <w:tc>
          <w:tcPr>
            <w:tcW w:w="1300" w:type="dxa"/>
            <w:tcBorders>
              <w:top w:val="nil"/>
              <w:left w:val="nil"/>
              <w:bottom w:val="single" w:sz="4" w:space="0" w:color="auto"/>
              <w:right w:val="single" w:sz="4" w:space="0" w:color="auto"/>
            </w:tcBorders>
            <w:shd w:val="clear" w:color="auto" w:fill="auto"/>
            <w:noWrap/>
            <w:vAlign w:val="center"/>
            <w:hideMark/>
          </w:tcPr>
          <w:p w14:paraId="09271C0F" w14:textId="77777777" w:rsidR="0043709B" w:rsidRPr="0043709B" w:rsidRDefault="0043709B" w:rsidP="0043709B">
            <w:pPr>
              <w:jc w:val="right"/>
              <w:rPr>
                <w:rFonts w:ascii="Arial Narrow" w:hAnsi="Arial Narrow" w:cs="Calibri"/>
                <w:sz w:val="16"/>
                <w:szCs w:val="16"/>
              </w:rPr>
            </w:pPr>
            <w:r w:rsidRPr="0043709B">
              <w:rPr>
                <w:rFonts w:ascii="Arial Narrow" w:hAnsi="Arial Narrow" w:cs="Calibri"/>
                <w:sz w:val="16"/>
                <w:szCs w:val="16"/>
              </w:rPr>
              <w:t>567,1</w:t>
            </w:r>
          </w:p>
        </w:tc>
        <w:tc>
          <w:tcPr>
            <w:tcW w:w="1220" w:type="dxa"/>
            <w:tcBorders>
              <w:top w:val="nil"/>
              <w:left w:val="nil"/>
              <w:bottom w:val="single" w:sz="4" w:space="0" w:color="auto"/>
              <w:right w:val="single" w:sz="4" w:space="0" w:color="auto"/>
            </w:tcBorders>
            <w:shd w:val="clear" w:color="auto" w:fill="auto"/>
            <w:noWrap/>
            <w:vAlign w:val="center"/>
            <w:hideMark/>
          </w:tcPr>
          <w:p w14:paraId="3C6C11F7" w14:textId="77777777" w:rsidR="0043709B" w:rsidRPr="0043709B" w:rsidRDefault="0043709B" w:rsidP="0043709B">
            <w:pPr>
              <w:jc w:val="right"/>
              <w:rPr>
                <w:rFonts w:ascii="Arial Narrow" w:hAnsi="Arial Narrow" w:cs="Calibri"/>
                <w:sz w:val="16"/>
                <w:szCs w:val="16"/>
              </w:rPr>
            </w:pPr>
            <w:r w:rsidRPr="0043709B">
              <w:rPr>
                <w:rFonts w:ascii="Arial Narrow" w:hAnsi="Arial Narrow" w:cs="Calibri"/>
                <w:sz w:val="16"/>
                <w:szCs w:val="16"/>
              </w:rPr>
              <w:t>98,6</w:t>
            </w:r>
          </w:p>
        </w:tc>
        <w:tc>
          <w:tcPr>
            <w:tcW w:w="1236" w:type="dxa"/>
            <w:tcBorders>
              <w:top w:val="nil"/>
              <w:left w:val="nil"/>
              <w:bottom w:val="single" w:sz="4" w:space="0" w:color="auto"/>
              <w:right w:val="single" w:sz="4" w:space="0" w:color="auto"/>
            </w:tcBorders>
            <w:shd w:val="clear" w:color="auto" w:fill="auto"/>
            <w:noWrap/>
            <w:vAlign w:val="center"/>
            <w:hideMark/>
          </w:tcPr>
          <w:p w14:paraId="18F9F225" w14:textId="77777777" w:rsidR="0043709B" w:rsidRPr="0043709B" w:rsidRDefault="0043709B" w:rsidP="0043709B">
            <w:pPr>
              <w:jc w:val="right"/>
              <w:rPr>
                <w:rFonts w:ascii="Arial Narrow" w:hAnsi="Arial Narrow" w:cs="Calibri"/>
                <w:sz w:val="16"/>
                <w:szCs w:val="16"/>
              </w:rPr>
            </w:pPr>
            <w:r w:rsidRPr="0043709B">
              <w:rPr>
                <w:rFonts w:ascii="Arial Narrow" w:hAnsi="Arial Narrow" w:cs="Calibri"/>
                <w:sz w:val="16"/>
                <w:szCs w:val="16"/>
              </w:rPr>
              <w:t>559,2</w:t>
            </w:r>
          </w:p>
        </w:tc>
        <w:tc>
          <w:tcPr>
            <w:tcW w:w="1260" w:type="dxa"/>
            <w:tcBorders>
              <w:top w:val="nil"/>
              <w:left w:val="nil"/>
              <w:bottom w:val="single" w:sz="4" w:space="0" w:color="auto"/>
              <w:right w:val="single" w:sz="4" w:space="0" w:color="auto"/>
            </w:tcBorders>
            <w:shd w:val="clear" w:color="auto" w:fill="auto"/>
            <w:noWrap/>
            <w:vAlign w:val="center"/>
            <w:hideMark/>
          </w:tcPr>
          <w:p w14:paraId="47CB3EDF" w14:textId="77777777" w:rsidR="0043709B" w:rsidRPr="0043709B" w:rsidRDefault="0043709B" w:rsidP="0043709B">
            <w:pPr>
              <w:jc w:val="right"/>
              <w:rPr>
                <w:rFonts w:ascii="Arial Narrow" w:hAnsi="Arial Narrow" w:cs="Arial"/>
                <w:sz w:val="16"/>
                <w:szCs w:val="16"/>
              </w:rPr>
            </w:pPr>
            <w:r w:rsidRPr="0043709B">
              <w:rPr>
                <w:rFonts w:ascii="Arial Narrow" w:hAnsi="Arial Narrow" w:cs="Arial"/>
                <w:sz w:val="16"/>
                <w:szCs w:val="16"/>
              </w:rPr>
              <w:t>105,0</w:t>
            </w:r>
          </w:p>
        </w:tc>
      </w:tr>
      <w:tr w:rsidR="0043709B" w:rsidRPr="0043709B" w14:paraId="4D1B0306" w14:textId="77777777" w:rsidTr="0043709B">
        <w:trPr>
          <w:trHeight w:val="250"/>
        </w:trPr>
        <w:tc>
          <w:tcPr>
            <w:tcW w:w="781" w:type="dxa"/>
            <w:tcBorders>
              <w:top w:val="nil"/>
              <w:left w:val="single" w:sz="4" w:space="0" w:color="auto"/>
              <w:bottom w:val="single" w:sz="4" w:space="0" w:color="auto"/>
              <w:right w:val="single" w:sz="4" w:space="0" w:color="auto"/>
            </w:tcBorders>
            <w:shd w:val="clear" w:color="auto" w:fill="auto"/>
            <w:noWrap/>
            <w:vAlign w:val="center"/>
            <w:hideMark/>
          </w:tcPr>
          <w:p w14:paraId="06795E5B" w14:textId="77777777" w:rsidR="0043709B" w:rsidRPr="0043709B" w:rsidRDefault="0043709B" w:rsidP="0043709B">
            <w:pPr>
              <w:rPr>
                <w:rFonts w:ascii="Arial Narrow" w:hAnsi="Arial Narrow" w:cs="Arial"/>
                <w:sz w:val="16"/>
                <w:szCs w:val="16"/>
              </w:rPr>
            </w:pPr>
            <w:r w:rsidRPr="0043709B">
              <w:rPr>
                <w:rFonts w:ascii="Arial Narrow" w:hAnsi="Arial Narrow" w:cs="Arial"/>
                <w:sz w:val="16"/>
                <w:szCs w:val="16"/>
              </w:rPr>
              <w:t>04.1</w:t>
            </w:r>
          </w:p>
        </w:tc>
        <w:tc>
          <w:tcPr>
            <w:tcW w:w="3016" w:type="dxa"/>
            <w:tcBorders>
              <w:top w:val="nil"/>
              <w:left w:val="nil"/>
              <w:bottom w:val="single" w:sz="4" w:space="0" w:color="auto"/>
              <w:right w:val="single" w:sz="4" w:space="0" w:color="auto"/>
            </w:tcBorders>
            <w:shd w:val="clear" w:color="auto" w:fill="auto"/>
            <w:noWrap/>
            <w:vAlign w:val="center"/>
            <w:hideMark/>
          </w:tcPr>
          <w:p w14:paraId="79256B99" w14:textId="77777777" w:rsidR="0043709B" w:rsidRPr="0043709B" w:rsidRDefault="0043709B" w:rsidP="00CD44F3">
            <w:pPr>
              <w:ind w:firstLine="138"/>
              <w:rPr>
                <w:rFonts w:ascii="Arial Narrow" w:hAnsi="Arial Narrow" w:cs="Calibri"/>
                <w:sz w:val="16"/>
                <w:szCs w:val="16"/>
              </w:rPr>
            </w:pPr>
            <w:r w:rsidRPr="0043709B">
              <w:rPr>
                <w:rFonts w:ascii="Arial Narrow" w:hAnsi="Arial Narrow" w:cs="Calibri"/>
                <w:sz w:val="16"/>
                <w:szCs w:val="16"/>
              </w:rPr>
              <w:t>Пресни зеленчуци</w:t>
            </w:r>
          </w:p>
        </w:tc>
        <w:tc>
          <w:tcPr>
            <w:tcW w:w="1180" w:type="dxa"/>
            <w:tcBorders>
              <w:top w:val="nil"/>
              <w:left w:val="nil"/>
              <w:bottom w:val="single" w:sz="4" w:space="0" w:color="auto"/>
              <w:right w:val="single" w:sz="4" w:space="0" w:color="auto"/>
            </w:tcBorders>
            <w:shd w:val="clear" w:color="auto" w:fill="auto"/>
            <w:vAlign w:val="center"/>
          </w:tcPr>
          <w:p w14:paraId="2B9DC2AC" w14:textId="77777777" w:rsidR="0043709B" w:rsidRPr="0043709B" w:rsidRDefault="0043709B" w:rsidP="0043709B">
            <w:pPr>
              <w:jc w:val="right"/>
              <w:rPr>
                <w:rFonts w:ascii="Arial Narrow" w:hAnsi="Arial Narrow" w:cs="Calibri"/>
                <w:sz w:val="16"/>
                <w:szCs w:val="16"/>
              </w:rPr>
            </w:pPr>
            <w:r w:rsidRPr="0043709B">
              <w:rPr>
                <w:rFonts w:ascii="Arial Narrow" w:hAnsi="Arial Narrow" w:cs="Calibri"/>
                <w:sz w:val="16"/>
                <w:szCs w:val="16"/>
              </w:rPr>
              <w:t>436,6</w:t>
            </w:r>
          </w:p>
        </w:tc>
        <w:tc>
          <w:tcPr>
            <w:tcW w:w="1170" w:type="dxa"/>
            <w:tcBorders>
              <w:top w:val="nil"/>
              <w:left w:val="nil"/>
              <w:bottom w:val="single" w:sz="4" w:space="0" w:color="auto"/>
              <w:right w:val="single" w:sz="4" w:space="0" w:color="auto"/>
            </w:tcBorders>
            <w:shd w:val="clear" w:color="auto" w:fill="auto"/>
            <w:noWrap/>
            <w:vAlign w:val="center"/>
            <w:hideMark/>
          </w:tcPr>
          <w:p w14:paraId="5E41FE26" w14:textId="77777777" w:rsidR="0043709B" w:rsidRPr="0043709B" w:rsidRDefault="0043709B" w:rsidP="0043709B">
            <w:pPr>
              <w:jc w:val="right"/>
              <w:rPr>
                <w:rFonts w:ascii="Arial Narrow" w:hAnsi="Arial Narrow" w:cs="Calibri"/>
                <w:sz w:val="16"/>
                <w:szCs w:val="16"/>
              </w:rPr>
            </w:pPr>
            <w:r w:rsidRPr="0043709B">
              <w:rPr>
                <w:rFonts w:ascii="Arial Narrow" w:hAnsi="Arial Narrow" w:cs="Calibri"/>
                <w:sz w:val="16"/>
                <w:szCs w:val="16"/>
              </w:rPr>
              <w:t>110,2</w:t>
            </w:r>
          </w:p>
        </w:tc>
        <w:tc>
          <w:tcPr>
            <w:tcW w:w="1300" w:type="dxa"/>
            <w:tcBorders>
              <w:top w:val="nil"/>
              <w:left w:val="nil"/>
              <w:bottom w:val="single" w:sz="4" w:space="0" w:color="auto"/>
              <w:right w:val="single" w:sz="4" w:space="0" w:color="auto"/>
            </w:tcBorders>
            <w:shd w:val="clear" w:color="auto" w:fill="auto"/>
            <w:noWrap/>
            <w:vAlign w:val="center"/>
            <w:hideMark/>
          </w:tcPr>
          <w:p w14:paraId="24BFE474" w14:textId="77777777" w:rsidR="0043709B" w:rsidRPr="0043709B" w:rsidRDefault="0043709B" w:rsidP="0043709B">
            <w:pPr>
              <w:jc w:val="right"/>
              <w:rPr>
                <w:rFonts w:ascii="Arial Narrow" w:hAnsi="Arial Narrow" w:cs="Calibri"/>
                <w:sz w:val="16"/>
                <w:szCs w:val="16"/>
              </w:rPr>
            </w:pPr>
            <w:r w:rsidRPr="0043709B">
              <w:rPr>
                <w:rFonts w:ascii="Arial Narrow" w:hAnsi="Arial Narrow" w:cs="Calibri"/>
                <w:sz w:val="16"/>
                <w:szCs w:val="16"/>
              </w:rPr>
              <w:t>481,1</w:t>
            </w:r>
          </w:p>
        </w:tc>
        <w:tc>
          <w:tcPr>
            <w:tcW w:w="1220" w:type="dxa"/>
            <w:tcBorders>
              <w:top w:val="nil"/>
              <w:left w:val="nil"/>
              <w:bottom w:val="single" w:sz="4" w:space="0" w:color="auto"/>
              <w:right w:val="single" w:sz="4" w:space="0" w:color="auto"/>
            </w:tcBorders>
            <w:shd w:val="clear" w:color="auto" w:fill="auto"/>
            <w:noWrap/>
            <w:vAlign w:val="center"/>
            <w:hideMark/>
          </w:tcPr>
          <w:p w14:paraId="70ABF826" w14:textId="77777777" w:rsidR="0043709B" w:rsidRPr="0043709B" w:rsidRDefault="0043709B" w:rsidP="0043709B">
            <w:pPr>
              <w:jc w:val="right"/>
              <w:rPr>
                <w:rFonts w:ascii="Arial Narrow" w:hAnsi="Arial Narrow" w:cs="Calibri"/>
                <w:sz w:val="16"/>
                <w:szCs w:val="16"/>
              </w:rPr>
            </w:pPr>
            <w:r w:rsidRPr="0043709B">
              <w:rPr>
                <w:rFonts w:ascii="Arial Narrow" w:hAnsi="Arial Narrow" w:cs="Calibri"/>
                <w:sz w:val="16"/>
                <w:szCs w:val="16"/>
              </w:rPr>
              <w:t>97,9</w:t>
            </w:r>
          </w:p>
        </w:tc>
        <w:tc>
          <w:tcPr>
            <w:tcW w:w="1236" w:type="dxa"/>
            <w:tcBorders>
              <w:top w:val="nil"/>
              <w:left w:val="nil"/>
              <w:bottom w:val="single" w:sz="4" w:space="0" w:color="auto"/>
              <w:right w:val="single" w:sz="4" w:space="0" w:color="auto"/>
            </w:tcBorders>
            <w:shd w:val="clear" w:color="auto" w:fill="auto"/>
            <w:noWrap/>
            <w:vAlign w:val="center"/>
            <w:hideMark/>
          </w:tcPr>
          <w:p w14:paraId="105BCAFC" w14:textId="77777777" w:rsidR="0043709B" w:rsidRPr="0043709B" w:rsidRDefault="0043709B" w:rsidP="0043709B">
            <w:pPr>
              <w:jc w:val="right"/>
              <w:rPr>
                <w:rFonts w:ascii="Arial Narrow" w:hAnsi="Arial Narrow" w:cs="Calibri"/>
                <w:sz w:val="16"/>
                <w:szCs w:val="16"/>
              </w:rPr>
            </w:pPr>
            <w:r w:rsidRPr="0043709B">
              <w:rPr>
                <w:rFonts w:ascii="Arial Narrow" w:hAnsi="Arial Narrow" w:cs="Calibri"/>
                <w:sz w:val="16"/>
                <w:szCs w:val="16"/>
              </w:rPr>
              <w:t>471,1</w:t>
            </w:r>
          </w:p>
        </w:tc>
        <w:tc>
          <w:tcPr>
            <w:tcW w:w="1260" w:type="dxa"/>
            <w:tcBorders>
              <w:top w:val="nil"/>
              <w:left w:val="nil"/>
              <w:bottom w:val="single" w:sz="4" w:space="0" w:color="auto"/>
              <w:right w:val="single" w:sz="4" w:space="0" w:color="auto"/>
            </w:tcBorders>
            <w:shd w:val="clear" w:color="auto" w:fill="auto"/>
            <w:noWrap/>
            <w:vAlign w:val="center"/>
            <w:hideMark/>
          </w:tcPr>
          <w:p w14:paraId="2C86DEB8" w14:textId="77777777" w:rsidR="0043709B" w:rsidRPr="0043709B" w:rsidRDefault="0043709B" w:rsidP="0043709B">
            <w:pPr>
              <w:jc w:val="right"/>
              <w:rPr>
                <w:rFonts w:ascii="Arial Narrow" w:hAnsi="Arial Narrow" w:cs="Arial"/>
                <w:sz w:val="16"/>
                <w:szCs w:val="16"/>
              </w:rPr>
            </w:pPr>
            <w:r w:rsidRPr="0043709B">
              <w:rPr>
                <w:rFonts w:ascii="Arial Narrow" w:hAnsi="Arial Narrow" w:cs="Arial"/>
                <w:sz w:val="16"/>
                <w:szCs w:val="16"/>
              </w:rPr>
              <w:t>107,9</w:t>
            </w:r>
          </w:p>
        </w:tc>
      </w:tr>
      <w:tr w:rsidR="0043709B" w:rsidRPr="0043709B" w14:paraId="68C16CC3" w14:textId="77777777" w:rsidTr="0043709B">
        <w:trPr>
          <w:trHeight w:val="250"/>
        </w:trPr>
        <w:tc>
          <w:tcPr>
            <w:tcW w:w="781" w:type="dxa"/>
            <w:tcBorders>
              <w:top w:val="nil"/>
              <w:left w:val="single" w:sz="4" w:space="0" w:color="auto"/>
              <w:bottom w:val="single" w:sz="4" w:space="0" w:color="auto"/>
              <w:right w:val="single" w:sz="4" w:space="0" w:color="auto"/>
            </w:tcBorders>
            <w:shd w:val="clear" w:color="auto" w:fill="auto"/>
            <w:noWrap/>
            <w:vAlign w:val="center"/>
            <w:hideMark/>
          </w:tcPr>
          <w:p w14:paraId="204FD047" w14:textId="77777777" w:rsidR="0043709B" w:rsidRPr="0043709B" w:rsidRDefault="0043709B" w:rsidP="0043709B">
            <w:pPr>
              <w:rPr>
                <w:rFonts w:ascii="Arial Narrow" w:hAnsi="Arial Narrow" w:cs="Arial"/>
                <w:sz w:val="16"/>
                <w:szCs w:val="16"/>
              </w:rPr>
            </w:pPr>
            <w:r w:rsidRPr="0043709B">
              <w:rPr>
                <w:rFonts w:ascii="Arial Narrow" w:hAnsi="Arial Narrow" w:cs="Arial"/>
                <w:sz w:val="16"/>
                <w:szCs w:val="16"/>
              </w:rPr>
              <w:t>04.1/2</w:t>
            </w:r>
          </w:p>
        </w:tc>
        <w:tc>
          <w:tcPr>
            <w:tcW w:w="3016" w:type="dxa"/>
            <w:tcBorders>
              <w:top w:val="nil"/>
              <w:left w:val="nil"/>
              <w:bottom w:val="single" w:sz="4" w:space="0" w:color="auto"/>
              <w:right w:val="single" w:sz="4" w:space="0" w:color="auto"/>
            </w:tcBorders>
            <w:shd w:val="clear" w:color="auto" w:fill="auto"/>
            <w:noWrap/>
            <w:vAlign w:val="center"/>
            <w:hideMark/>
          </w:tcPr>
          <w:p w14:paraId="30F5F821" w14:textId="77777777" w:rsidR="0043709B" w:rsidRPr="0043709B" w:rsidRDefault="0043709B" w:rsidP="00CD44F3">
            <w:pPr>
              <w:ind w:firstLine="422"/>
              <w:rPr>
                <w:rFonts w:ascii="Arial Narrow" w:hAnsi="Arial Narrow" w:cs="Calibri"/>
                <w:sz w:val="16"/>
                <w:szCs w:val="16"/>
              </w:rPr>
            </w:pPr>
            <w:r w:rsidRPr="0043709B">
              <w:rPr>
                <w:rFonts w:ascii="Arial Narrow" w:hAnsi="Arial Narrow" w:cs="Calibri"/>
                <w:sz w:val="16"/>
                <w:szCs w:val="16"/>
              </w:rPr>
              <w:t>Домати</w:t>
            </w:r>
          </w:p>
        </w:tc>
        <w:tc>
          <w:tcPr>
            <w:tcW w:w="1180" w:type="dxa"/>
            <w:tcBorders>
              <w:top w:val="nil"/>
              <w:left w:val="nil"/>
              <w:bottom w:val="single" w:sz="4" w:space="0" w:color="auto"/>
              <w:right w:val="single" w:sz="4" w:space="0" w:color="auto"/>
            </w:tcBorders>
            <w:shd w:val="clear" w:color="auto" w:fill="auto"/>
            <w:vAlign w:val="center"/>
          </w:tcPr>
          <w:p w14:paraId="673CD6A3" w14:textId="77777777" w:rsidR="0043709B" w:rsidRPr="0043709B" w:rsidRDefault="0043709B" w:rsidP="0043709B">
            <w:pPr>
              <w:jc w:val="right"/>
              <w:rPr>
                <w:rFonts w:ascii="Arial Narrow" w:hAnsi="Arial Narrow" w:cs="Calibri"/>
                <w:sz w:val="16"/>
                <w:szCs w:val="16"/>
              </w:rPr>
            </w:pPr>
            <w:r w:rsidRPr="0043709B">
              <w:rPr>
                <w:rFonts w:ascii="Arial Narrow" w:hAnsi="Arial Narrow" w:cs="Calibri"/>
                <w:sz w:val="16"/>
                <w:szCs w:val="16"/>
              </w:rPr>
              <w:t>138,1</w:t>
            </w:r>
          </w:p>
        </w:tc>
        <w:tc>
          <w:tcPr>
            <w:tcW w:w="1170" w:type="dxa"/>
            <w:tcBorders>
              <w:top w:val="nil"/>
              <w:left w:val="nil"/>
              <w:bottom w:val="single" w:sz="4" w:space="0" w:color="auto"/>
              <w:right w:val="single" w:sz="4" w:space="0" w:color="auto"/>
            </w:tcBorders>
            <w:shd w:val="clear" w:color="auto" w:fill="auto"/>
            <w:noWrap/>
            <w:vAlign w:val="center"/>
            <w:hideMark/>
          </w:tcPr>
          <w:p w14:paraId="24032473" w14:textId="77777777" w:rsidR="0043709B" w:rsidRPr="0043709B" w:rsidRDefault="0043709B" w:rsidP="0043709B">
            <w:pPr>
              <w:jc w:val="right"/>
              <w:rPr>
                <w:rFonts w:ascii="Arial Narrow" w:hAnsi="Arial Narrow" w:cs="Calibri"/>
                <w:sz w:val="16"/>
                <w:szCs w:val="16"/>
              </w:rPr>
            </w:pPr>
            <w:r w:rsidRPr="0043709B">
              <w:rPr>
                <w:rFonts w:ascii="Arial Narrow" w:hAnsi="Arial Narrow" w:cs="Calibri"/>
                <w:sz w:val="16"/>
                <w:szCs w:val="16"/>
              </w:rPr>
              <w:t>111,1</w:t>
            </w:r>
          </w:p>
        </w:tc>
        <w:tc>
          <w:tcPr>
            <w:tcW w:w="1300" w:type="dxa"/>
            <w:tcBorders>
              <w:top w:val="nil"/>
              <w:left w:val="nil"/>
              <w:bottom w:val="single" w:sz="4" w:space="0" w:color="auto"/>
              <w:right w:val="single" w:sz="4" w:space="0" w:color="auto"/>
            </w:tcBorders>
            <w:shd w:val="clear" w:color="auto" w:fill="auto"/>
            <w:noWrap/>
            <w:vAlign w:val="center"/>
            <w:hideMark/>
          </w:tcPr>
          <w:p w14:paraId="279A2592" w14:textId="77777777" w:rsidR="0043709B" w:rsidRPr="0043709B" w:rsidRDefault="0043709B" w:rsidP="0043709B">
            <w:pPr>
              <w:jc w:val="right"/>
              <w:rPr>
                <w:rFonts w:ascii="Arial Narrow" w:hAnsi="Arial Narrow" w:cs="Calibri"/>
                <w:sz w:val="16"/>
                <w:szCs w:val="16"/>
              </w:rPr>
            </w:pPr>
            <w:r w:rsidRPr="0043709B">
              <w:rPr>
                <w:rFonts w:ascii="Arial Narrow" w:hAnsi="Arial Narrow" w:cs="Calibri"/>
                <w:sz w:val="16"/>
                <w:szCs w:val="16"/>
              </w:rPr>
              <w:t>153,4</w:t>
            </w:r>
          </w:p>
        </w:tc>
        <w:tc>
          <w:tcPr>
            <w:tcW w:w="1220" w:type="dxa"/>
            <w:tcBorders>
              <w:top w:val="nil"/>
              <w:left w:val="nil"/>
              <w:bottom w:val="single" w:sz="4" w:space="0" w:color="auto"/>
              <w:right w:val="single" w:sz="4" w:space="0" w:color="auto"/>
            </w:tcBorders>
            <w:shd w:val="clear" w:color="auto" w:fill="auto"/>
            <w:noWrap/>
            <w:vAlign w:val="center"/>
            <w:hideMark/>
          </w:tcPr>
          <w:p w14:paraId="5FA02B0D" w14:textId="77777777" w:rsidR="0043709B" w:rsidRPr="0043709B" w:rsidRDefault="0043709B" w:rsidP="0043709B">
            <w:pPr>
              <w:jc w:val="right"/>
              <w:rPr>
                <w:rFonts w:ascii="Arial Narrow" w:hAnsi="Arial Narrow" w:cs="Calibri"/>
                <w:sz w:val="16"/>
                <w:szCs w:val="16"/>
              </w:rPr>
            </w:pPr>
            <w:r w:rsidRPr="0043709B">
              <w:rPr>
                <w:rFonts w:ascii="Arial Narrow" w:hAnsi="Arial Narrow" w:cs="Calibri"/>
                <w:sz w:val="16"/>
                <w:szCs w:val="16"/>
              </w:rPr>
              <w:t>91,8</w:t>
            </w:r>
          </w:p>
        </w:tc>
        <w:tc>
          <w:tcPr>
            <w:tcW w:w="1236" w:type="dxa"/>
            <w:tcBorders>
              <w:top w:val="nil"/>
              <w:left w:val="nil"/>
              <w:bottom w:val="single" w:sz="4" w:space="0" w:color="auto"/>
              <w:right w:val="single" w:sz="4" w:space="0" w:color="auto"/>
            </w:tcBorders>
            <w:shd w:val="clear" w:color="auto" w:fill="auto"/>
            <w:noWrap/>
            <w:vAlign w:val="center"/>
            <w:hideMark/>
          </w:tcPr>
          <w:p w14:paraId="1EA089D6" w14:textId="77777777" w:rsidR="0043709B" w:rsidRPr="0043709B" w:rsidRDefault="0043709B" w:rsidP="0043709B">
            <w:pPr>
              <w:jc w:val="right"/>
              <w:rPr>
                <w:rFonts w:ascii="Arial Narrow" w:hAnsi="Arial Narrow" w:cs="Calibri"/>
                <w:sz w:val="16"/>
                <w:szCs w:val="16"/>
              </w:rPr>
            </w:pPr>
            <w:r w:rsidRPr="0043709B">
              <w:rPr>
                <w:rFonts w:ascii="Arial Narrow" w:hAnsi="Arial Narrow" w:cs="Calibri"/>
                <w:sz w:val="16"/>
                <w:szCs w:val="16"/>
              </w:rPr>
              <w:t>140,8</w:t>
            </w:r>
          </w:p>
        </w:tc>
        <w:tc>
          <w:tcPr>
            <w:tcW w:w="1260" w:type="dxa"/>
            <w:tcBorders>
              <w:top w:val="nil"/>
              <w:left w:val="nil"/>
              <w:bottom w:val="single" w:sz="4" w:space="0" w:color="auto"/>
              <w:right w:val="single" w:sz="4" w:space="0" w:color="auto"/>
            </w:tcBorders>
            <w:shd w:val="clear" w:color="auto" w:fill="auto"/>
            <w:noWrap/>
            <w:vAlign w:val="center"/>
            <w:hideMark/>
          </w:tcPr>
          <w:p w14:paraId="0FD490BD" w14:textId="77777777" w:rsidR="0043709B" w:rsidRPr="0043709B" w:rsidRDefault="0043709B" w:rsidP="0043709B">
            <w:pPr>
              <w:jc w:val="right"/>
              <w:rPr>
                <w:rFonts w:ascii="Arial Narrow" w:hAnsi="Arial Narrow" w:cs="Arial"/>
                <w:sz w:val="16"/>
                <w:szCs w:val="16"/>
              </w:rPr>
            </w:pPr>
            <w:r w:rsidRPr="0043709B">
              <w:rPr>
                <w:rFonts w:ascii="Arial Narrow" w:hAnsi="Arial Narrow" w:cs="Arial"/>
                <w:sz w:val="16"/>
                <w:szCs w:val="16"/>
              </w:rPr>
              <w:t>102,0</w:t>
            </w:r>
          </w:p>
        </w:tc>
      </w:tr>
      <w:tr w:rsidR="0043709B" w:rsidRPr="0043709B" w14:paraId="0C573AB6" w14:textId="77777777" w:rsidTr="0043709B">
        <w:trPr>
          <w:trHeight w:val="250"/>
        </w:trPr>
        <w:tc>
          <w:tcPr>
            <w:tcW w:w="781" w:type="dxa"/>
            <w:tcBorders>
              <w:top w:val="nil"/>
              <w:left w:val="single" w:sz="4" w:space="0" w:color="auto"/>
              <w:bottom w:val="single" w:sz="4" w:space="0" w:color="auto"/>
              <w:right w:val="single" w:sz="4" w:space="0" w:color="auto"/>
            </w:tcBorders>
            <w:shd w:val="clear" w:color="auto" w:fill="auto"/>
            <w:noWrap/>
            <w:vAlign w:val="center"/>
            <w:hideMark/>
          </w:tcPr>
          <w:p w14:paraId="5F766754" w14:textId="77777777" w:rsidR="0043709B" w:rsidRPr="0043709B" w:rsidRDefault="0043709B" w:rsidP="0043709B">
            <w:pPr>
              <w:rPr>
                <w:rFonts w:ascii="Arial Narrow" w:hAnsi="Arial Narrow" w:cs="Arial"/>
                <w:sz w:val="16"/>
                <w:szCs w:val="16"/>
              </w:rPr>
            </w:pPr>
            <w:r w:rsidRPr="0043709B">
              <w:rPr>
                <w:rFonts w:ascii="Arial Narrow" w:hAnsi="Arial Narrow" w:cs="Arial"/>
                <w:sz w:val="16"/>
                <w:szCs w:val="16"/>
              </w:rPr>
              <w:t>04.1/3</w:t>
            </w:r>
          </w:p>
        </w:tc>
        <w:tc>
          <w:tcPr>
            <w:tcW w:w="3016" w:type="dxa"/>
            <w:tcBorders>
              <w:top w:val="nil"/>
              <w:left w:val="nil"/>
              <w:bottom w:val="single" w:sz="4" w:space="0" w:color="auto"/>
              <w:right w:val="single" w:sz="4" w:space="0" w:color="auto"/>
            </w:tcBorders>
            <w:shd w:val="clear" w:color="auto" w:fill="auto"/>
            <w:noWrap/>
            <w:vAlign w:val="center"/>
            <w:hideMark/>
          </w:tcPr>
          <w:p w14:paraId="5C66F055" w14:textId="77777777" w:rsidR="0043709B" w:rsidRPr="0043709B" w:rsidRDefault="0043709B" w:rsidP="00CD44F3">
            <w:pPr>
              <w:ind w:firstLine="422"/>
              <w:rPr>
                <w:rFonts w:ascii="Arial Narrow" w:hAnsi="Arial Narrow" w:cs="Calibri"/>
                <w:sz w:val="16"/>
                <w:szCs w:val="16"/>
              </w:rPr>
            </w:pPr>
            <w:r w:rsidRPr="0043709B">
              <w:rPr>
                <w:rFonts w:ascii="Arial Narrow" w:hAnsi="Arial Narrow" w:cs="Calibri"/>
                <w:sz w:val="16"/>
                <w:szCs w:val="16"/>
              </w:rPr>
              <w:t>Други пресни зеленчуци</w:t>
            </w:r>
          </w:p>
        </w:tc>
        <w:tc>
          <w:tcPr>
            <w:tcW w:w="1180" w:type="dxa"/>
            <w:tcBorders>
              <w:top w:val="nil"/>
              <w:left w:val="nil"/>
              <w:bottom w:val="single" w:sz="4" w:space="0" w:color="auto"/>
              <w:right w:val="single" w:sz="4" w:space="0" w:color="auto"/>
            </w:tcBorders>
            <w:shd w:val="clear" w:color="auto" w:fill="auto"/>
            <w:vAlign w:val="center"/>
          </w:tcPr>
          <w:p w14:paraId="741EDF84" w14:textId="77777777" w:rsidR="0043709B" w:rsidRPr="0043709B" w:rsidRDefault="0043709B" w:rsidP="0043709B">
            <w:pPr>
              <w:jc w:val="right"/>
              <w:rPr>
                <w:rFonts w:ascii="Arial Narrow" w:hAnsi="Arial Narrow" w:cs="Calibri"/>
                <w:sz w:val="16"/>
                <w:szCs w:val="16"/>
              </w:rPr>
            </w:pPr>
            <w:r w:rsidRPr="0043709B">
              <w:rPr>
                <w:rFonts w:ascii="Arial Narrow" w:hAnsi="Arial Narrow" w:cs="Calibri"/>
                <w:sz w:val="16"/>
                <w:szCs w:val="16"/>
              </w:rPr>
              <w:t>298,5</w:t>
            </w:r>
          </w:p>
        </w:tc>
        <w:tc>
          <w:tcPr>
            <w:tcW w:w="1170" w:type="dxa"/>
            <w:tcBorders>
              <w:top w:val="nil"/>
              <w:left w:val="nil"/>
              <w:bottom w:val="single" w:sz="4" w:space="0" w:color="auto"/>
              <w:right w:val="single" w:sz="4" w:space="0" w:color="auto"/>
            </w:tcBorders>
            <w:shd w:val="clear" w:color="auto" w:fill="auto"/>
            <w:noWrap/>
            <w:vAlign w:val="center"/>
            <w:hideMark/>
          </w:tcPr>
          <w:p w14:paraId="5F71C7B5" w14:textId="77777777" w:rsidR="0043709B" w:rsidRPr="0043709B" w:rsidRDefault="0043709B" w:rsidP="0043709B">
            <w:pPr>
              <w:jc w:val="right"/>
              <w:rPr>
                <w:rFonts w:ascii="Arial Narrow" w:hAnsi="Arial Narrow" w:cs="Calibri"/>
                <w:sz w:val="16"/>
                <w:szCs w:val="16"/>
              </w:rPr>
            </w:pPr>
            <w:r w:rsidRPr="0043709B">
              <w:rPr>
                <w:rFonts w:ascii="Arial Narrow" w:hAnsi="Arial Narrow" w:cs="Calibri"/>
                <w:sz w:val="16"/>
                <w:szCs w:val="16"/>
              </w:rPr>
              <w:t>109,8</w:t>
            </w:r>
          </w:p>
        </w:tc>
        <w:tc>
          <w:tcPr>
            <w:tcW w:w="1300" w:type="dxa"/>
            <w:tcBorders>
              <w:top w:val="nil"/>
              <w:left w:val="nil"/>
              <w:bottom w:val="single" w:sz="4" w:space="0" w:color="auto"/>
              <w:right w:val="single" w:sz="4" w:space="0" w:color="auto"/>
            </w:tcBorders>
            <w:shd w:val="clear" w:color="auto" w:fill="auto"/>
            <w:noWrap/>
            <w:vAlign w:val="center"/>
            <w:hideMark/>
          </w:tcPr>
          <w:p w14:paraId="2B07553B" w14:textId="77777777" w:rsidR="0043709B" w:rsidRPr="0043709B" w:rsidRDefault="0043709B" w:rsidP="0043709B">
            <w:pPr>
              <w:jc w:val="right"/>
              <w:rPr>
                <w:rFonts w:ascii="Arial Narrow" w:hAnsi="Arial Narrow" w:cs="Calibri"/>
                <w:sz w:val="16"/>
                <w:szCs w:val="16"/>
              </w:rPr>
            </w:pPr>
            <w:r w:rsidRPr="0043709B">
              <w:rPr>
                <w:rFonts w:ascii="Arial Narrow" w:hAnsi="Arial Narrow" w:cs="Calibri"/>
                <w:sz w:val="16"/>
                <w:szCs w:val="16"/>
              </w:rPr>
              <w:t>327,7</w:t>
            </w:r>
          </w:p>
        </w:tc>
        <w:tc>
          <w:tcPr>
            <w:tcW w:w="1220" w:type="dxa"/>
            <w:tcBorders>
              <w:top w:val="nil"/>
              <w:left w:val="nil"/>
              <w:bottom w:val="single" w:sz="4" w:space="0" w:color="auto"/>
              <w:right w:val="single" w:sz="4" w:space="0" w:color="auto"/>
            </w:tcBorders>
            <w:shd w:val="clear" w:color="auto" w:fill="auto"/>
            <w:noWrap/>
            <w:vAlign w:val="center"/>
            <w:hideMark/>
          </w:tcPr>
          <w:p w14:paraId="535D702E" w14:textId="77777777" w:rsidR="0043709B" w:rsidRPr="0043709B" w:rsidRDefault="0043709B" w:rsidP="0043709B">
            <w:pPr>
              <w:jc w:val="right"/>
              <w:rPr>
                <w:rFonts w:ascii="Arial Narrow" w:hAnsi="Arial Narrow" w:cs="Calibri"/>
                <w:sz w:val="16"/>
                <w:szCs w:val="16"/>
              </w:rPr>
            </w:pPr>
            <w:r w:rsidRPr="0043709B">
              <w:rPr>
                <w:rFonts w:ascii="Arial Narrow" w:hAnsi="Arial Narrow" w:cs="Calibri"/>
                <w:sz w:val="16"/>
                <w:szCs w:val="16"/>
              </w:rPr>
              <w:t>100,8</w:t>
            </w:r>
          </w:p>
        </w:tc>
        <w:tc>
          <w:tcPr>
            <w:tcW w:w="1236" w:type="dxa"/>
            <w:tcBorders>
              <w:top w:val="nil"/>
              <w:left w:val="nil"/>
              <w:bottom w:val="single" w:sz="4" w:space="0" w:color="auto"/>
              <w:right w:val="single" w:sz="4" w:space="0" w:color="auto"/>
            </w:tcBorders>
            <w:shd w:val="clear" w:color="auto" w:fill="auto"/>
            <w:noWrap/>
            <w:vAlign w:val="center"/>
            <w:hideMark/>
          </w:tcPr>
          <w:p w14:paraId="42A573F2" w14:textId="77777777" w:rsidR="0043709B" w:rsidRPr="0043709B" w:rsidRDefault="0043709B" w:rsidP="0043709B">
            <w:pPr>
              <w:jc w:val="right"/>
              <w:rPr>
                <w:rFonts w:ascii="Arial Narrow" w:hAnsi="Arial Narrow" w:cs="Calibri"/>
                <w:sz w:val="16"/>
                <w:szCs w:val="16"/>
              </w:rPr>
            </w:pPr>
            <w:r w:rsidRPr="0043709B">
              <w:rPr>
                <w:rFonts w:ascii="Arial Narrow" w:hAnsi="Arial Narrow" w:cs="Calibri"/>
                <w:sz w:val="16"/>
                <w:szCs w:val="16"/>
              </w:rPr>
              <w:t>330,3</w:t>
            </w:r>
          </w:p>
        </w:tc>
        <w:tc>
          <w:tcPr>
            <w:tcW w:w="1260" w:type="dxa"/>
            <w:tcBorders>
              <w:top w:val="nil"/>
              <w:left w:val="nil"/>
              <w:bottom w:val="single" w:sz="4" w:space="0" w:color="auto"/>
              <w:right w:val="single" w:sz="4" w:space="0" w:color="auto"/>
            </w:tcBorders>
            <w:shd w:val="clear" w:color="auto" w:fill="auto"/>
            <w:noWrap/>
            <w:vAlign w:val="center"/>
            <w:hideMark/>
          </w:tcPr>
          <w:p w14:paraId="605DDF95" w14:textId="77777777" w:rsidR="0043709B" w:rsidRPr="0043709B" w:rsidRDefault="0043709B" w:rsidP="0043709B">
            <w:pPr>
              <w:jc w:val="right"/>
              <w:rPr>
                <w:rFonts w:ascii="Arial Narrow" w:hAnsi="Arial Narrow" w:cs="Arial"/>
                <w:sz w:val="16"/>
                <w:szCs w:val="16"/>
              </w:rPr>
            </w:pPr>
            <w:r w:rsidRPr="0043709B">
              <w:rPr>
                <w:rFonts w:ascii="Arial Narrow" w:hAnsi="Arial Narrow" w:cs="Arial"/>
                <w:sz w:val="16"/>
                <w:szCs w:val="16"/>
              </w:rPr>
              <w:t>110,7</w:t>
            </w:r>
          </w:p>
        </w:tc>
      </w:tr>
      <w:tr w:rsidR="0043709B" w:rsidRPr="0043709B" w14:paraId="241F9CD9" w14:textId="77777777" w:rsidTr="0043709B">
        <w:trPr>
          <w:trHeight w:val="250"/>
        </w:trPr>
        <w:tc>
          <w:tcPr>
            <w:tcW w:w="781" w:type="dxa"/>
            <w:tcBorders>
              <w:top w:val="nil"/>
              <w:left w:val="single" w:sz="4" w:space="0" w:color="auto"/>
              <w:bottom w:val="single" w:sz="4" w:space="0" w:color="auto"/>
              <w:right w:val="single" w:sz="4" w:space="0" w:color="auto"/>
            </w:tcBorders>
            <w:shd w:val="clear" w:color="auto" w:fill="auto"/>
            <w:noWrap/>
            <w:vAlign w:val="center"/>
            <w:hideMark/>
          </w:tcPr>
          <w:p w14:paraId="09741AF5" w14:textId="77777777" w:rsidR="0043709B" w:rsidRPr="0043709B" w:rsidRDefault="0043709B" w:rsidP="0043709B">
            <w:pPr>
              <w:rPr>
                <w:rFonts w:ascii="Arial Narrow" w:hAnsi="Arial Narrow" w:cs="Arial"/>
                <w:sz w:val="16"/>
                <w:szCs w:val="16"/>
              </w:rPr>
            </w:pPr>
            <w:r w:rsidRPr="0043709B">
              <w:rPr>
                <w:rFonts w:ascii="Arial Narrow" w:hAnsi="Arial Narrow" w:cs="Arial"/>
                <w:sz w:val="16"/>
                <w:szCs w:val="16"/>
              </w:rPr>
              <w:t>04.2</w:t>
            </w:r>
          </w:p>
        </w:tc>
        <w:tc>
          <w:tcPr>
            <w:tcW w:w="3016" w:type="dxa"/>
            <w:tcBorders>
              <w:top w:val="nil"/>
              <w:left w:val="nil"/>
              <w:bottom w:val="single" w:sz="4" w:space="0" w:color="auto"/>
              <w:right w:val="single" w:sz="4" w:space="0" w:color="auto"/>
            </w:tcBorders>
            <w:shd w:val="clear" w:color="auto" w:fill="auto"/>
            <w:noWrap/>
            <w:vAlign w:val="center"/>
            <w:hideMark/>
          </w:tcPr>
          <w:p w14:paraId="463ADD61" w14:textId="77777777" w:rsidR="0043709B" w:rsidRPr="0043709B" w:rsidRDefault="007F2E1A" w:rsidP="0043709B">
            <w:pPr>
              <w:ind w:firstLineChars="100" w:firstLine="160"/>
              <w:rPr>
                <w:rFonts w:ascii="Arial Narrow" w:hAnsi="Arial Narrow" w:cs="Calibri"/>
                <w:sz w:val="16"/>
                <w:szCs w:val="16"/>
              </w:rPr>
            </w:pPr>
            <w:r w:rsidRPr="007F2E1A">
              <w:rPr>
                <w:rFonts w:ascii="Arial Narrow" w:hAnsi="Arial Narrow" w:cs="Calibri"/>
                <w:sz w:val="16"/>
                <w:szCs w:val="16"/>
              </w:rPr>
              <w:t>Разсадници и цветя</w:t>
            </w:r>
          </w:p>
        </w:tc>
        <w:tc>
          <w:tcPr>
            <w:tcW w:w="1180" w:type="dxa"/>
            <w:tcBorders>
              <w:top w:val="nil"/>
              <w:left w:val="nil"/>
              <w:bottom w:val="single" w:sz="4" w:space="0" w:color="auto"/>
              <w:right w:val="single" w:sz="4" w:space="0" w:color="auto"/>
            </w:tcBorders>
            <w:shd w:val="clear" w:color="auto" w:fill="auto"/>
            <w:vAlign w:val="center"/>
          </w:tcPr>
          <w:p w14:paraId="5B4BAACD" w14:textId="77777777" w:rsidR="0043709B" w:rsidRPr="0043709B" w:rsidRDefault="0043709B" w:rsidP="0043709B">
            <w:pPr>
              <w:jc w:val="right"/>
              <w:rPr>
                <w:rFonts w:ascii="Arial Narrow" w:hAnsi="Arial Narrow" w:cs="Calibri"/>
                <w:sz w:val="16"/>
                <w:szCs w:val="16"/>
              </w:rPr>
            </w:pPr>
            <w:r w:rsidRPr="0043709B">
              <w:rPr>
                <w:rFonts w:ascii="Arial Narrow" w:hAnsi="Arial Narrow" w:cs="Calibri"/>
                <w:sz w:val="16"/>
                <w:szCs w:val="16"/>
              </w:rPr>
              <w:t>96,0</w:t>
            </w:r>
          </w:p>
        </w:tc>
        <w:tc>
          <w:tcPr>
            <w:tcW w:w="1170" w:type="dxa"/>
            <w:tcBorders>
              <w:top w:val="nil"/>
              <w:left w:val="nil"/>
              <w:bottom w:val="single" w:sz="4" w:space="0" w:color="auto"/>
              <w:right w:val="single" w:sz="4" w:space="0" w:color="auto"/>
            </w:tcBorders>
            <w:shd w:val="clear" w:color="auto" w:fill="auto"/>
            <w:noWrap/>
            <w:vAlign w:val="center"/>
            <w:hideMark/>
          </w:tcPr>
          <w:p w14:paraId="00E46F24" w14:textId="77777777" w:rsidR="0043709B" w:rsidRPr="0043709B" w:rsidRDefault="0043709B" w:rsidP="0043709B">
            <w:pPr>
              <w:jc w:val="right"/>
              <w:rPr>
                <w:rFonts w:ascii="Arial Narrow" w:hAnsi="Arial Narrow" w:cs="Calibri"/>
                <w:sz w:val="16"/>
                <w:szCs w:val="16"/>
              </w:rPr>
            </w:pPr>
            <w:r w:rsidRPr="0043709B">
              <w:rPr>
                <w:rFonts w:ascii="Arial Narrow" w:hAnsi="Arial Narrow" w:cs="Calibri"/>
                <w:sz w:val="16"/>
                <w:szCs w:val="16"/>
              </w:rPr>
              <w:t>89,6</w:t>
            </w:r>
          </w:p>
        </w:tc>
        <w:tc>
          <w:tcPr>
            <w:tcW w:w="1300" w:type="dxa"/>
            <w:tcBorders>
              <w:top w:val="nil"/>
              <w:left w:val="nil"/>
              <w:bottom w:val="single" w:sz="4" w:space="0" w:color="auto"/>
              <w:right w:val="single" w:sz="4" w:space="0" w:color="auto"/>
            </w:tcBorders>
            <w:shd w:val="clear" w:color="auto" w:fill="auto"/>
            <w:noWrap/>
            <w:vAlign w:val="center"/>
            <w:hideMark/>
          </w:tcPr>
          <w:p w14:paraId="5688646F" w14:textId="77777777" w:rsidR="0043709B" w:rsidRPr="0043709B" w:rsidRDefault="0043709B" w:rsidP="0043709B">
            <w:pPr>
              <w:jc w:val="right"/>
              <w:rPr>
                <w:rFonts w:ascii="Arial Narrow" w:hAnsi="Arial Narrow" w:cs="Calibri"/>
                <w:sz w:val="16"/>
                <w:szCs w:val="16"/>
              </w:rPr>
            </w:pPr>
            <w:r w:rsidRPr="0043709B">
              <w:rPr>
                <w:rFonts w:ascii="Arial Narrow" w:hAnsi="Arial Narrow" w:cs="Calibri"/>
                <w:sz w:val="16"/>
                <w:szCs w:val="16"/>
              </w:rPr>
              <w:t>86,0</w:t>
            </w:r>
          </w:p>
        </w:tc>
        <w:tc>
          <w:tcPr>
            <w:tcW w:w="1220" w:type="dxa"/>
            <w:tcBorders>
              <w:top w:val="nil"/>
              <w:left w:val="nil"/>
              <w:bottom w:val="single" w:sz="4" w:space="0" w:color="auto"/>
              <w:right w:val="single" w:sz="4" w:space="0" w:color="auto"/>
            </w:tcBorders>
            <w:shd w:val="clear" w:color="auto" w:fill="auto"/>
            <w:noWrap/>
            <w:vAlign w:val="center"/>
            <w:hideMark/>
          </w:tcPr>
          <w:p w14:paraId="4981E48B" w14:textId="77777777" w:rsidR="0043709B" w:rsidRPr="0043709B" w:rsidRDefault="0043709B" w:rsidP="0043709B">
            <w:pPr>
              <w:jc w:val="right"/>
              <w:rPr>
                <w:rFonts w:ascii="Arial Narrow" w:hAnsi="Arial Narrow" w:cs="Calibri"/>
                <w:sz w:val="16"/>
                <w:szCs w:val="16"/>
              </w:rPr>
            </w:pPr>
            <w:r w:rsidRPr="0043709B">
              <w:rPr>
                <w:rFonts w:ascii="Arial Narrow" w:hAnsi="Arial Narrow" w:cs="Calibri"/>
                <w:sz w:val="16"/>
                <w:szCs w:val="16"/>
              </w:rPr>
              <w:t>102,4</w:t>
            </w:r>
          </w:p>
        </w:tc>
        <w:tc>
          <w:tcPr>
            <w:tcW w:w="1236" w:type="dxa"/>
            <w:tcBorders>
              <w:top w:val="nil"/>
              <w:left w:val="nil"/>
              <w:bottom w:val="single" w:sz="4" w:space="0" w:color="auto"/>
              <w:right w:val="single" w:sz="4" w:space="0" w:color="auto"/>
            </w:tcBorders>
            <w:shd w:val="clear" w:color="auto" w:fill="auto"/>
            <w:noWrap/>
            <w:vAlign w:val="center"/>
            <w:hideMark/>
          </w:tcPr>
          <w:p w14:paraId="17299538" w14:textId="77777777" w:rsidR="0043709B" w:rsidRPr="0043709B" w:rsidRDefault="0043709B" w:rsidP="0043709B">
            <w:pPr>
              <w:jc w:val="right"/>
              <w:rPr>
                <w:rFonts w:ascii="Arial Narrow" w:hAnsi="Arial Narrow" w:cs="Calibri"/>
                <w:sz w:val="16"/>
                <w:szCs w:val="16"/>
              </w:rPr>
            </w:pPr>
            <w:r w:rsidRPr="0043709B">
              <w:rPr>
                <w:rFonts w:ascii="Arial Narrow" w:hAnsi="Arial Narrow" w:cs="Calibri"/>
                <w:sz w:val="16"/>
                <w:szCs w:val="16"/>
              </w:rPr>
              <w:t>88,1</w:t>
            </w:r>
          </w:p>
        </w:tc>
        <w:tc>
          <w:tcPr>
            <w:tcW w:w="1260" w:type="dxa"/>
            <w:tcBorders>
              <w:top w:val="nil"/>
              <w:left w:val="nil"/>
              <w:bottom w:val="single" w:sz="4" w:space="0" w:color="auto"/>
              <w:right w:val="single" w:sz="4" w:space="0" w:color="auto"/>
            </w:tcBorders>
            <w:shd w:val="clear" w:color="auto" w:fill="auto"/>
            <w:noWrap/>
            <w:vAlign w:val="center"/>
            <w:hideMark/>
          </w:tcPr>
          <w:p w14:paraId="314E4E53" w14:textId="77777777" w:rsidR="0043709B" w:rsidRPr="0043709B" w:rsidRDefault="0043709B" w:rsidP="0043709B">
            <w:pPr>
              <w:jc w:val="right"/>
              <w:rPr>
                <w:rFonts w:ascii="Arial Narrow" w:hAnsi="Arial Narrow" w:cs="Arial"/>
                <w:sz w:val="16"/>
                <w:szCs w:val="16"/>
              </w:rPr>
            </w:pPr>
            <w:r w:rsidRPr="0043709B">
              <w:rPr>
                <w:rFonts w:ascii="Arial Narrow" w:hAnsi="Arial Narrow" w:cs="Arial"/>
                <w:sz w:val="16"/>
                <w:szCs w:val="16"/>
              </w:rPr>
              <w:t>91,8</w:t>
            </w:r>
          </w:p>
        </w:tc>
      </w:tr>
      <w:tr w:rsidR="0043709B" w:rsidRPr="0043709B" w14:paraId="2B3F26A0" w14:textId="77777777" w:rsidTr="0043709B">
        <w:trPr>
          <w:trHeight w:val="250"/>
        </w:trPr>
        <w:tc>
          <w:tcPr>
            <w:tcW w:w="781" w:type="dxa"/>
            <w:tcBorders>
              <w:top w:val="nil"/>
              <w:left w:val="single" w:sz="4" w:space="0" w:color="auto"/>
              <w:bottom w:val="single" w:sz="4" w:space="0" w:color="auto"/>
              <w:right w:val="single" w:sz="4" w:space="0" w:color="auto"/>
            </w:tcBorders>
            <w:shd w:val="clear" w:color="auto" w:fill="auto"/>
            <w:noWrap/>
            <w:vAlign w:val="center"/>
            <w:hideMark/>
          </w:tcPr>
          <w:p w14:paraId="6BD0EA60" w14:textId="77777777" w:rsidR="0043709B" w:rsidRPr="0043709B" w:rsidRDefault="0043709B" w:rsidP="0043709B">
            <w:pPr>
              <w:rPr>
                <w:rFonts w:ascii="Arial Narrow" w:hAnsi="Arial Narrow" w:cs="Arial"/>
                <w:sz w:val="16"/>
                <w:szCs w:val="16"/>
              </w:rPr>
            </w:pPr>
            <w:r w:rsidRPr="0043709B">
              <w:rPr>
                <w:rFonts w:ascii="Arial Narrow" w:hAnsi="Arial Narrow" w:cs="Arial"/>
                <w:sz w:val="16"/>
                <w:szCs w:val="16"/>
              </w:rPr>
              <w:t>04.2/1</w:t>
            </w:r>
          </w:p>
        </w:tc>
        <w:tc>
          <w:tcPr>
            <w:tcW w:w="3016" w:type="dxa"/>
            <w:tcBorders>
              <w:top w:val="nil"/>
              <w:left w:val="nil"/>
              <w:bottom w:val="single" w:sz="4" w:space="0" w:color="auto"/>
              <w:right w:val="single" w:sz="4" w:space="0" w:color="auto"/>
            </w:tcBorders>
            <w:shd w:val="clear" w:color="auto" w:fill="auto"/>
            <w:noWrap/>
            <w:vAlign w:val="center"/>
            <w:hideMark/>
          </w:tcPr>
          <w:p w14:paraId="48BC51E5" w14:textId="77777777" w:rsidR="0043709B" w:rsidRPr="0043709B" w:rsidRDefault="0043709B" w:rsidP="00CD44F3">
            <w:pPr>
              <w:ind w:firstLine="422"/>
              <w:rPr>
                <w:rFonts w:ascii="Arial Narrow" w:hAnsi="Arial Narrow" w:cs="Calibri"/>
                <w:sz w:val="16"/>
                <w:szCs w:val="16"/>
              </w:rPr>
            </w:pPr>
            <w:r w:rsidRPr="0043709B">
              <w:rPr>
                <w:rFonts w:ascii="Arial Narrow" w:hAnsi="Arial Narrow" w:cs="Calibri"/>
                <w:sz w:val="16"/>
                <w:szCs w:val="16"/>
              </w:rPr>
              <w:t>Разсадници</w:t>
            </w:r>
          </w:p>
        </w:tc>
        <w:tc>
          <w:tcPr>
            <w:tcW w:w="1180" w:type="dxa"/>
            <w:tcBorders>
              <w:top w:val="nil"/>
              <w:left w:val="nil"/>
              <w:bottom w:val="single" w:sz="4" w:space="0" w:color="auto"/>
              <w:right w:val="single" w:sz="4" w:space="0" w:color="auto"/>
            </w:tcBorders>
            <w:shd w:val="clear" w:color="auto" w:fill="auto"/>
            <w:vAlign w:val="center"/>
          </w:tcPr>
          <w:p w14:paraId="7B9EA31E" w14:textId="77777777" w:rsidR="0043709B" w:rsidRPr="0043709B" w:rsidRDefault="0043709B" w:rsidP="0043709B">
            <w:pPr>
              <w:jc w:val="right"/>
              <w:rPr>
                <w:rFonts w:ascii="Arial Narrow" w:hAnsi="Arial Narrow" w:cs="Calibri"/>
                <w:sz w:val="16"/>
                <w:szCs w:val="16"/>
              </w:rPr>
            </w:pPr>
            <w:r w:rsidRPr="0043709B">
              <w:rPr>
                <w:rFonts w:ascii="Arial Narrow" w:hAnsi="Arial Narrow" w:cs="Calibri"/>
                <w:sz w:val="16"/>
                <w:szCs w:val="16"/>
              </w:rPr>
              <w:t>17,5</w:t>
            </w:r>
          </w:p>
        </w:tc>
        <w:tc>
          <w:tcPr>
            <w:tcW w:w="1170" w:type="dxa"/>
            <w:tcBorders>
              <w:top w:val="nil"/>
              <w:left w:val="nil"/>
              <w:bottom w:val="single" w:sz="4" w:space="0" w:color="auto"/>
              <w:right w:val="single" w:sz="4" w:space="0" w:color="auto"/>
            </w:tcBorders>
            <w:shd w:val="clear" w:color="auto" w:fill="auto"/>
            <w:noWrap/>
            <w:vAlign w:val="center"/>
            <w:hideMark/>
          </w:tcPr>
          <w:p w14:paraId="0FE4A971" w14:textId="77777777" w:rsidR="0043709B" w:rsidRPr="0043709B" w:rsidRDefault="0043709B" w:rsidP="0043709B">
            <w:pPr>
              <w:jc w:val="right"/>
              <w:rPr>
                <w:rFonts w:ascii="Arial Narrow" w:hAnsi="Arial Narrow" w:cs="Calibri"/>
                <w:sz w:val="16"/>
                <w:szCs w:val="16"/>
              </w:rPr>
            </w:pPr>
            <w:r w:rsidRPr="0043709B">
              <w:rPr>
                <w:rFonts w:ascii="Arial Narrow" w:hAnsi="Arial Narrow" w:cs="Calibri"/>
                <w:sz w:val="16"/>
                <w:szCs w:val="16"/>
              </w:rPr>
              <w:t>79,4</w:t>
            </w:r>
          </w:p>
        </w:tc>
        <w:tc>
          <w:tcPr>
            <w:tcW w:w="1300" w:type="dxa"/>
            <w:tcBorders>
              <w:top w:val="nil"/>
              <w:left w:val="nil"/>
              <w:bottom w:val="single" w:sz="4" w:space="0" w:color="auto"/>
              <w:right w:val="single" w:sz="4" w:space="0" w:color="auto"/>
            </w:tcBorders>
            <w:shd w:val="clear" w:color="auto" w:fill="auto"/>
            <w:noWrap/>
            <w:vAlign w:val="center"/>
            <w:hideMark/>
          </w:tcPr>
          <w:p w14:paraId="52450B1F" w14:textId="77777777" w:rsidR="0043709B" w:rsidRPr="0043709B" w:rsidRDefault="0043709B" w:rsidP="0043709B">
            <w:pPr>
              <w:jc w:val="right"/>
              <w:rPr>
                <w:rFonts w:ascii="Arial Narrow" w:hAnsi="Arial Narrow" w:cs="Calibri"/>
                <w:sz w:val="16"/>
                <w:szCs w:val="16"/>
              </w:rPr>
            </w:pPr>
            <w:r w:rsidRPr="0043709B">
              <w:rPr>
                <w:rFonts w:ascii="Arial Narrow" w:hAnsi="Arial Narrow" w:cs="Calibri"/>
                <w:sz w:val="16"/>
                <w:szCs w:val="16"/>
              </w:rPr>
              <w:t>13,9</w:t>
            </w:r>
          </w:p>
        </w:tc>
        <w:tc>
          <w:tcPr>
            <w:tcW w:w="1220" w:type="dxa"/>
            <w:tcBorders>
              <w:top w:val="nil"/>
              <w:left w:val="nil"/>
              <w:bottom w:val="single" w:sz="4" w:space="0" w:color="auto"/>
              <w:right w:val="single" w:sz="4" w:space="0" w:color="auto"/>
            </w:tcBorders>
            <w:shd w:val="clear" w:color="auto" w:fill="auto"/>
            <w:noWrap/>
            <w:vAlign w:val="center"/>
            <w:hideMark/>
          </w:tcPr>
          <w:p w14:paraId="3DC89182" w14:textId="77777777" w:rsidR="0043709B" w:rsidRPr="0043709B" w:rsidRDefault="0043709B" w:rsidP="0043709B">
            <w:pPr>
              <w:jc w:val="right"/>
              <w:rPr>
                <w:rFonts w:ascii="Arial Narrow" w:hAnsi="Arial Narrow" w:cs="Calibri"/>
                <w:sz w:val="16"/>
                <w:szCs w:val="16"/>
              </w:rPr>
            </w:pPr>
            <w:r w:rsidRPr="0043709B">
              <w:rPr>
                <w:rFonts w:ascii="Arial Narrow" w:hAnsi="Arial Narrow" w:cs="Calibri"/>
                <w:sz w:val="16"/>
                <w:szCs w:val="16"/>
              </w:rPr>
              <w:t>108,6</w:t>
            </w:r>
          </w:p>
        </w:tc>
        <w:tc>
          <w:tcPr>
            <w:tcW w:w="1236" w:type="dxa"/>
            <w:tcBorders>
              <w:top w:val="nil"/>
              <w:left w:val="nil"/>
              <w:bottom w:val="single" w:sz="4" w:space="0" w:color="auto"/>
              <w:right w:val="single" w:sz="4" w:space="0" w:color="auto"/>
            </w:tcBorders>
            <w:shd w:val="clear" w:color="auto" w:fill="auto"/>
            <w:noWrap/>
            <w:vAlign w:val="center"/>
            <w:hideMark/>
          </w:tcPr>
          <w:p w14:paraId="5282FB9F" w14:textId="77777777" w:rsidR="0043709B" w:rsidRPr="0043709B" w:rsidRDefault="0043709B" w:rsidP="0043709B">
            <w:pPr>
              <w:jc w:val="right"/>
              <w:rPr>
                <w:rFonts w:ascii="Arial Narrow" w:hAnsi="Arial Narrow" w:cs="Calibri"/>
                <w:sz w:val="16"/>
                <w:szCs w:val="16"/>
              </w:rPr>
            </w:pPr>
            <w:r w:rsidRPr="0043709B">
              <w:rPr>
                <w:rFonts w:ascii="Arial Narrow" w:hAnsi="Arial Narrow" w:cs="Calibri"/>
                <w:sz w:val="16"/>
                <w:szCs w:val="16"/>
              </w:rPr>
              <w:t>15,1</w:t>
            </w:r>
          </w:p>
        </w:tc>
        <w:tc>
          <w:tcPr>
            <w:tcW w:w="1260" w:type="dxa"/>
            <w:tcBorders>
              <w:top w:val="nil"/>
              <w:left w:val="nil"/>
              <w:bottom w:val="single" w:sz="4" w:space="0" w:color="auto"/>
              <w:right w:val="single" w:sz="4" w:space="0" w:color="auto"/>
            </w:tcBorders>
            <w:shd w:val="clear" w:color="auto" w:fill="auto"/>
            <w:noWrap/>
            <w:vAlign w:val="center"/>
            <w:hideMark/>
          </w:tcPr>
          <w:p w14:paraId="05FBE2F9" w14:textId="77777777" w:rsidR="0043709B" w:rsidRPr="0043709B" w:rsidRDefault="0043709B" w:rsidP="0043709B">
            <w:pPr>
              <w:jc w:val="right"/>
              <w:rPr>
                <w:rFonts w:ascii="Arial Narrow" w:hAnsi="Arial Narrow" w:cs="Arial"/>
                <w:sz w:val="16"/>
                <w:szCs w:val="16"/>
              </w:rPr>
            </w:pPr>
            <w:r w:rsidRPr="0043709B">
              <w:rPr>
                <w:rFonts w:ascii="Arial Narrow" w:hAnsi="Arial Narrow" w:cs="Arial"/>
                <w:sz w:val="16"/>
                <w:szCs w:val="16"/>
              </w:rPr>
              <w:t>86,3</w:t>
            </w:r>
          </w:p>
        </w:tc>
      </w:tr>
      <w:tr w:rsidR="0043709B" w:rsidRPr="0043709B" w14:paraId="7F71E1AA" w14:textId="77777777" w:rsidTr="0043709B">
        <w:trPr>
          <w:trHeight w:val="250"/>
        </w:trPr>
        <w:tc>
          <w:tcPr>
            <w:tcW w:w="781" w:type="dxa"/>
            <w:tcBorders>
              <w:top w:val="nil"/>
              <w:left w:val="single" w:sz="4" w:space="0" w:color="auto"/>
              <w:bottom w:val="single" w:sz="4" w:space="0" w:color="auto"/>
              <w:right w:val="single" w:sz="4" w:space="0" w:color="auto"/>
            </w:tcBorders>
            <w:shd w:val="clear" w:color="auto" w:fill="auto"/>
            <w:noWrap/>
            <w:vAlign w:val="center"/>
            <w:hideMark/>
          </w:tcPr>
          <w:p w14:paraId="30B99C7F" w14:textId="77777777" w:rsidR="0043709B" w:rsidRPr="0043709B" w:rsidRDefault="0043709B" w:rsidP="0043709B">
            <w:pPr>
              <w:rPr>
                <w:rFonts w:ascii="Arial Narrow" w:hAnsi="Arial Narrow" w:cs="Arial"/>
                <w:sz w:val="16"/>
                <w:szCs w:val="16"/>
              </w:rPr>
            </w:pPr>
            <w:r w:rsidRPr="0043709B">
              <w:rPr>
                <w:rFonts w:ascii="Arial Narrow" w:hAnsi="Arial Narrow" w:cs="Arial"/>
                <w:sz w:val="16"/>
                <w:szCs w:val="16"/>
              </w:rPr>
              <w:t>04.2/2</w:t>
            </w:r>
          </w:p>
        </w:tc>
        <w:tc>
          <w:tcPr>
            <w:tcW w:w="3016" w:type="dxa"/>
            <w:tcBorders>
              <w:top w:val="nil"/>
              <w:left w:val="nil"/>
              <w:bottom w:val="single" w:sz="4" w:space="0" w:color="auto"/>
              <w:right w:val="single" w:sz="4" w:space="0" w:color="auto"/>
            </w:tcBorders>
            <w:shd w:val="clear" w:color="auto" w:fill="auto"/>
            <w:noWrap/>
            <w:vAlign w:val="center"/>
            <w:hideMark/>
          </w:tcPr>
          <w:p w14:paraId="5BB57BD7" w14:textId="77777777" w:rsidR="0043709B" w:rsidRPr="0043709B" w:rsidRDefault="0043709B" w:rsidP="00CD44F3">
            <w:pPr>
              <w:ind w:firstLine="422"/>
              <w:rPr>
                <w:rFonts w:ascii="Arial Narrow" w:hAnsi="Arial Narrow" w:cs="Calibri"/>
                <w:sz w:val="16"/>
                <w:szCs w:val="16"/>
              </w:rPr>
            </w:pPr>
            <w:r w:rsidRPr="0043709B">
              <w:rPr>
                <w:rFonts w:ascii="Arial Narrow" w:hAnsi="Arial Narrow" w:cs="Calibri"/>
                <w:sz w:val="16"/>
                <w:szCs w:val="16"/>
              </w:rPr>
              <w:t>Декоративни растения, вкл.коледни дръвчета</w:t>
            </w:r>
          </w:p>
        </w:tc>
        <w:tc>
          <w:tcPr>
            <w:tcW w:w="1180" w:type="dxa"/>
            <w:tcBorders>
              <w:top w:val="nil"/>
              <w:left w:val="nil"/>
              <w:bottom w:val="single" w:sz="4" w:space="0" w:color="auto"/>
              <w:right w:val="single" w:sz="4" w:space="0" w:color="auto"/>
            </w:tcBorders>
            <w:shd w:val="clear" w:color="auto" w:fill="auto"/>
            <w:vAlign w:val="center"/>
          </w:tcPr>
          <w:p w14:paraId="5C5CE0CA" w14:textId="77777777" w:rsidR="0043709B" w:rsidRPr="0043709B" w:rsidRDefault="0043709B" w:rsidP="0043709B">
            <w:pPr>
              <w:jc w:val="right"/>
              <w:rPr>
                <w:rFonts w:ascii="Arial Narrow" w:hAnsi="Arial Narrow" w:cs="Calibri"/>
                <w:sz w:val="16"/>
                <w:szCs w:val="16"/>
              </w:rPr>
            </w:pPr>
            <w:r w:rsidRPr="0043709B">
              <w:rPr>
                <w:rFonts w:ascii="Arial Narrow" w:hAnsi="Arial Narrow" w:cs="Calibri"/>
                <w:sz w:val="16"/>
                <w:szCs w:val="16"/>
              </w:rPr>
              <w:t>17,3</w:t>
            </w:r>
          </w:p>
        </w:tc>
        <w:tc>
          <w:tcPr>
            <w:tcW w:w="1170" w:type="dxa"/>
            <w:tcBorders>
              <w:top w:val="nil"/>
              <w:left w:val="nil"/>
              <w:bottom w:val="single" w:sz="4" w:space="0" w:color="auto"/>
              <w:right w:val="single" w:sz="4" w:space="0" w:color="auto"/>
            </w:tcBorders>
            <w:shd w:val="clear" w:color="auto" w:fill="auto"/>
            <w:noWrap/>
            <w:vAlign w:val="center"/>
            <w:hideMark/>
          </w:tcPr>
          <w:p w14:paraId="72287E9F" w14:textId="77777777" w:rsidR="0043709B" w:rsidRPr="0043709B" w:rsidRDefault="0043709B" w:rsidP="0043709B">
            <w:pPr>
              <w:jc w:val="right"/>
              <w:rPr>
                <w:rFonts w:ascii="Arial Narrow" w:hAnsi="Arial Narrow" w:cs="Calibri"/>
                <w:sz w:val="16"/>
                <w:szCs w:val="16"/>
              </w:rPr>
            </w:pPr>
            <w:r w:rsidRPr="0043709B">
              <w:rPr>
                <w:rFonts w:ascii="Arial Narrow" w:hAnsi="Arial Narrow" w:cs="Calibri"/>
                <w:sz w:val="16"/>
                <w:szCs w:val="16"/>
              </w:rPr>
              <w:t>101,7</w:t>
            </w:r>
          </w:p>
        </w:tc>
        <w:tc>
          <w:tcPr>
            <w:tcW w:w="1300" w:type="dxa"/>
            <w:tcBorders>
              <w:top w:val="nil"/>
              <w:left w:val="nil"/>
              <w:bottom w:val="single" w:sz="4" w:space="0" w:color="auto"/>
              <w:right w:val="single" w:sz="4" w:space="0" w:color="auto"/>
            </w:tcBorders>
            <w:shd w:val="clear" w:color="auto" w:fill="auto"/>
            <w:noWrap/>
            <w:vAlign w:val="center"/>
            <w:hideMark/>
          </w:tcPr>
          <w:p w14:paraId="168E806B" w14:textId="77777777" w:rsidR="0043709B" w:rsidRPr="0043709B" w:rsidRDefault="0043709B" w:rsidP="0043709B">
            <w:pPr>
              <w:jc w:val="right"/>
              <w:rPr>
                <w:rFonts w:ascii="Arial Narrow" w:hAnsi="Arial Narrow" w:cs="Calibri"/>
                <w:sz w:val="16"/>
                <w:szCs w:val="16"/>
              </w:rPr>
            </w:pPr>
            <w:r w:rsidRPr="0043709B">
              <w:rPr>
                <w:rFonts w:ascii="Arial Narrow" w:hAnsi="Arial Narrow" w:cs="Calibri"/>
                <w:sz w:val="16"/>
                <w:szCs w:val="16"/>
              </w:rPr>
              <w:t>17,6</w:t>
            </w:r>
          </w:p>
        </w:tc>
        <w:tc>
          <w:tcPr>
            <w:tcW w:w="1220" w:type="dxa"/>
            <w:tcBorders>
              <w:top w:val="nil"/>
              <w:left w:val="nil"/>
              <w:bottom w:val="single" w:sz="4" w:space="0" w:color="auto"/>
              <w:right w:val="single" w:sz="4" w:space="0" w:color="auto"/>
            </w:tcBorders>
            <w:shd w:val="clear" w:color="auto" w:fill="auto"/>
            <w:noWrap/>
            <w:vAlign w:val="center"/>
            <w:hideMark/>
          </w:tcPr>
          <w:p w14:paraId="73E136A6" w14:textId="77777777" w:rsidR="0043709B" w:rsidRPr="0043709B" w:rsidRDefault="0043709B" w:rsidP="0043709B">
            <w:pPr>
              <w:jc w:val="right"/>
              <w:rPr>
                <w:rFonts w:ascii="Arial Narrow" w:hAnsi="Arial Narrow" w:cs="Calibri"/>
                <w:sz w:val="16"/>
                <w:szCs w:val="16"/>
              </w:rPr>
            </w:pPr>
            <w:r w:rsidRPr="0043709B">
              <w:rPr>
                <w:rFonts w:ascii="Arial Narrow" w:hAnsi="Arial Narrow" w:cs="Calibri"/>
                <w:sz w:val="16"/>
                <w:szCs w:val="16"/>
              </w:rPr>
              <w:t>76,7</w:t>
            </w:r>
          </w:p>
        </w:tc>
        <w:tc>
          <w:tcPr>
            <w:tcW w:w="1236" w:type="dxa"/>
            <w:tcBorders>
              <w:top w:val="nil"/>
              <w:left w:val="nil"/>
              <w:bottom w:val="single" w:sz="4" w:space="0" w:color="auto"/>
              <w:right w:val="single" w:sz="4" w:space="0" w:color="auto"/>
            </w:tcBorders>
            <w:shd w:val="clear" w:color="auto" w:fill="auto"/>
            <w:noWrap/>
            <w:vAlign w:val="center"/>
            <w:hideMark/>
          </w:tcPr>
          <w:p w14:paraId="21FA7DD6" w14:textId="77777777" w:rsidR="0043709B" w:rsidRPr="0043709B" w:rsidRDefault="0043709B" w:rsidP="0043709B">
            <w:pPr>
              <w:jc w:val="right"/>
              <w:rPr>
                <w:rFonts w:ascii="Arial Narrow" w:hAnsi="Arial Narrow" w:cs="Calibri"/>
                <w:sz w:val="16"/>
                <w:szCs w:val="16"/>
              </w:rPr>
            </w:pPr>
            <w:r w:rsidRPr="0043709B">
              <w:rPr>
                <w:rFonts w:ascii="Arial Narrow" w:hAnsi="Arial Narrow" w:cs="Calibri"/>
                <w:sz w:val="16"/>
                <w:szCs w:val="16"/>
              </w:rPr>
              <w:t>13,5</w:t>
            </w:r>
          </w:p>
        </w:tc>
        <w:tc>
          <w:tcPr>
            <w:tcW w:w="1260" w:type="dxa"/>
            <w:tcBorders>
              <w:top w:val="nil"/>
              <w:left w:val="nil"/>
              <w:bottom w:val="single" w:sz="4" w:space="0" w:color="auto"/>
              <w:right w:val="single" w:sz="4" w:space="0" w:color="auto"/>
            </w:tcBorders>
            <w:shd w:val="clear" w:color="auto" w:fill="auto"/>
            <w:noWrap/>
            <w:vAlign w:val="center"/>
            <w:hideMark/>
          </w:tcPr>
          <w:p w14:paraId="21BA3437" w14:textId="77777777" w:rsidR="0043709B" w:rsidRPr="0043709B" w:rsidRDefault="0043709B" w:rsidP="0043709B">
            <w:pPr>
              <w:jc w:val="right"/>
              <w:rPr>
                <w:rFonts w:ascii="Arial Narrow" w:hAnsi="Arial Narrow" w:cs="Arial"/>
                <w:sz w:val="16"/>
                <w:szCs w:val="16"/>
              </w:rPr>
            </w:pPr>
            <w:r w:rsidRPr="0043709B">
              <w:rPr>
                <w:rFonts w:ascii="Arial Narrow" w:hAnsi="Arial Narrow" w:cs="Arial"/>
                <w:sz w:val="16"/>
                <w:szCs w:val="16"/>
              </w:rPr>
              <w:t>78,0</w:t>
            </w:r>
          </w:p>
        </w:tc>
      </w:tr>
      <w:tr w:rsidR="0043709B" w:rsidRPr="0043709B" w14:paraId="58502E7D" w14:textId="77777777" w:rsidTr="0043709B">
        <w:trPr>
          <w:trHeight w:val="250"/>
        </w:trPr>
        <w:tc>
          <w:tcPr>
            <w:tcW w:w="781" w:type="dxa"/>
            <w:tcBorders>
              <w:top w:val="nil"/>
              <w:left w:val="single" w:sz="4" w:space="0" w:color="auto"/>
              <w:bottom w:val="single" w:sz="4" w:space="0" w:color="auto"/>
              <w:right w:val="single" w:sz="4" w:space="0" w:color="auto"/>
            </w:tcBorders>
            <w:shd w:val="clear" w:color="auto" w:fill="auto"/>
            <w:noWrap/>
            <w:vAlign w:val="center"/>
            <w:hideMark/>
          </w:tcPr>
          <w:p w14:paraId="4EEB4618" w14:textId="77777777" w:rsidR="0043709B" w:rsidRPr="0043709B" w:rsidRDefault="0043709B" w:rsidP="0043709B">
            <w:pPr>
              <w:rPr>
                <w:rFonts w:ascii="Arial Narrow" w:hAnsi="Arial Narrow" w:cs="Arial"/>
                <w:sz w:val="16"/>
                <w:szCs w:val="16"/>
              </w:rPr>
            </w:pPr>
            <w:r w:rsidRPr="0043709B">
              <w:rPr>
                <w:rFonts w:ascii="Arial Narrow" w:hAnsi="Arial Narrow" w:cs="Arial"/>
                <w:sz w:val="16"/>
                <w:szCs w:val="16"/>
              </w:rPr>
              <w:t>04.2/3</w:t>
            </w:r>
          </w:p>
        </w:tc>
        <w:tc>
          <w:tcPr>
            <w:tcW w:w="3016" w:type="dxa"/>
            <w:tcBorders>
              <w:top w:val="nil"/>
              <w:left w:val="nil"/>
              <w:bottom w:val="single" w:sz="4" w:space="0" w:color="auto"/>
              <w:right w:val="single" w:sz="4" w:space="0" w:color="auto"/>
            </w:tcBorders>
            <w:shd w:val="clear" w:color="auto" w:fill="auto"/>
            <w:noWrap/>
            <w:vAlign w:val="center"/>
            <w:hideMark/>
          </w:tcPr>
          <w:p w14:paraId="32ECF2FE" w14:textId="77777777" w:rsidR="0043709B" w:rsidRPr="0043709B" w:rsidRDefault="0043709B" w:rsidP="00CD44F3">
            <w:pPr>
              <w:ind w:firstLine="422"/>
              <w:rPr>
                <w:rFonts w:ascii="Arial Narrow" w:hAnsi="Arial Narrow" w:cs="Calibri"/>
                <w:sz w:val="16"/>
                <w:szCs w:val="16"/>
              </w:rPr>
            </w:pPr>
            <w:r w:rsidRPr="0043709B">
              <w:rPr>
                <w:rFonts w:ascii="Arial Narrow" w:hAnsi="Arial Narrow" w:cs="Calibri"/>
                <w:sz w:val="16"/>
                <w:szCs w:val="16"/>
              </w:rPr>
              <w:t>Създаване и отглеждане</w:t>
            </w:r>
          </w:p>
        </w:tc>
        <w:tc>
          <w:tcPr>
            <w:tcW w:w="1180" w:type="dxa"/>
            <w:tcBorders>
              <w:top w:val="nil"/>
              <w:left w:val="nil"/>
              <w:bottom w:val="single" w:sz="4" w:space="0" w:color="auto"/>
              <w:right w:val="single" w:sz="4" w:space="0" w:color="auto"/>
            </w:tcBorders>
            <w:shd w:val="clear" w:color="auto" w:fill="auto"/>
            <w:vAlign w:val="center"/>
          </w:tcPr>
          <w:p w14:paraId="4732BFCF" w14:textId="77777777" w:rsidR="0043709B" w:rsidRPr="0043709B" w:rsidRDefault="0043709B" w:rsidP="0043709B">
            <w:pPr>
              <w:jc w:val="right"/>
              <w:rPr>
                <w:rFonts w:ascii="Arial Narrow" w:hAnsi="Arial Narrow" w:cs="Calibri"/>
                <w:sz w:val="16"/>
                <w:szCs w:val="16"/>
              </w:rPr>
            </w:pPr>
            <w:r w:rsidRPr="0043709B">
              <w:rPr>
                <w:rFonts w:ascii="Arial Narrow" w:hAnsi="Arial Narrow" w:cs="Calibri"/>
                <w:sz w:val="16"/>
                <w:szCs w:val="16"/>
              </w:rPr>
              <w:t>61,2</w:t>
            </w:r>
          </w:p>
        </w:tc>
        <w:tc>
          <w:tcPr>
            <w:tcW w:w="1170" w:type="dxa"/>
            <w:tcBorders>
              <w:top w:val="nil"/>
              <w:left w:val="nil"/>
              <w:bottom w:val="single" w:sz="4" w:space="0" w:color="auto"/>
              <w:right w:val="single" w:sz="4" w:space="0" w:color="auto"/>
            </w:tcBorders>
            <w:shd w:val="clear" w:color="auto" w:fill="auto"/>
            <w:noWrap/>
            <w:vAlign w:val="center"/>
            <w:hideMark/>
          </w:tcPr>
          <w:p w14:paraId="00F53142" w14:textId="77777777" w:rsidR="0043709B" w:rsidRPr="0043709B" w:rsidRDefault="0043709B" w:rsidP="0043709B">
            <w:pPr>
              <w:jc w:val="right"/>
              <w:rPr>
                <w:rFonts w:ascii="Arial Narrow" w:hAnsi="Arial Narrow" w:cs="Calibri"/>
                <w:sz w:val="16"/>
                <w:szCs w:val="16"/>
              </w:rPr>
            </w:pPr>
            <w:r w:rsidRPr="0043709B">
              <w:rPr>
                <w:rFonts w:ascii="Arial Narrow" w:hAnsi="Arial Narrow" w:cs="Calibri"/>
                <w:sz w:val="16"/>
                <w:szCs w:val="16"/>
              </w:rPr>
              <w:t>89,1</w:t>
            </w:r>
          </w:p>
        </w:tc>
        <w:tc>
          <w:tcPr>
            <w:tcW w:w="1300" w:type="dxa"/>
            <w:tcBorders>
              <w:top w:val="nil"/>
              <w:left w:val="nil"/>
              <w:bottom w:val="single" w:sz="4" w:space="0" w:color="auto"/>
              <w:right w:val="single" w:sz="4" w:space="0" w:color="auto"/>
            </w:tcBorders>
            <w:shd w:val="clear" w:color="auto" w:fill="auto"/>
            <w:noWrap/>
            <w:vAlign w:val="center"/>
            <w:hideMark/>
          </w:tcPr>
          <w:p w14:paraId="596F6846" w14:textId="77777777" w:rsidR="0043709B" w:rsidRPr="0043709B" w:rsidRDefault="0043709B" w:rsidP="0043709B">
            <w:pPr>
              <w:jc w:val="right"/>
              <w:rPr>
                <w:rFonts w:ascii="Arial Narrow" w:hAnsi="Arial Narrow" w:cs="Calibri"/>
                <w:sz w:val="16"/>
                <w:szCs w:val="16"/>
              </w:rPr>
            </w:pPr>
            <w:r w:rsidRPr="0043709B">
              <w:rPr>
                <w:rFonts w:ascii="Arial Narrow" w:hAnsi="Arial Narrow" w:cs="Calibri"/>
                <w:sz w:val="16"/>
                <w:szCs w:val="16"/>
              </w:rPr>
              <w:t>54,5</w:t>
            </w:r>
          </w:p>
        </w:tc>
        <w:tc>
          <w:tcPr>
            <w:tcW w:w="1220" w:type="dxa"/>
            <w:tcBorders>
              <w:top w:val="nil"/>
              <w:left w:val="nil"/>
              <w:bottom w:val="single" w:sz="4" w:space="0" w:color="auto"/>
              <w:right w:val="single" w:sz="4" w:space="0" w:color="auto"/>
            </w:tcBorders>
            <w:shd w:val="clear" w:color="auto" w:fill="auto"/>
            <w:noWrap/>
            <w:vAlign w:val="center"/>
            <w:hideMark/>
          </w:tcPr>
          <w:p w14:paraId="22002138" w14:textId="77777777" w:rsidR="0043709B" w:rsidRPr="0043709B" w:rsidRDefault="0043709B" w:rsidP="0043709B">
            <w:pPr>
              <w:jc w:val="right"/>
              <w:rPr>
                <w:rFonts w:ascii="Arial Narrow" w:hAnsi="Arial Narrow" w:cs="Calibri"/>
                <w:sz w:val="16"/>
                <w:szCs w:val="16"/>
              </w:rPr>
            </w:pPr>
            <w:r w:rsidRPr="0043709B">
              <w:rPr>
                <w:rFonts w:ascii="Arial Narrow" w:hAnsi="Arial Narrow" w:cs="Calibri"/>
                <w:sz w:val="16"/>
                <w:szCs w:val="16"/>
              </w:rPr>
              <w:t>109,2</w:t>
            </w:r>
          </w:p>
        </w:tc>
        <w:tc>
          <w:tcPr>
            <w:tcW w:w="1236" w:type="dxa"/>
            <w:tcBorders>
              <w:top w:val="nil"/>
              <w:left w:val="nil"/>
              <w:bottom w:val="single" w:sz="4" w:space="0" w:color="auto"/>
              <w:right w:val="single" w:sz="4" w:space="0" w:color="auto"/>
            </w:tcBorders>
            <w:shd w:val="clear" w:color="auto" w:fill="auto"/>
            <w:noWrap/>
            <w:vAlign w:val="center"/>
            <w:hideMark/>
          </w:tcPr>
          <w:p w14:paraId="7A0733D6" w14:textId="77777777" w:rsidR="0043709B" w:rsidRPr="0043709B" w:rsidRDefault="0043709B" w:rsidP="0043709B">
            <w:pPr>
              <w:jc w:val="right"/>
              <w:rPr>
                <w:rFonts w:ascii="Arial Narrow" w:hAnsi="Arial Narrow" w:cs="Calibri"/>
                <w:sz w:val="16"/>
                <w:szCs w:val="16"/>
              </w:rPr>
            </w:pPr>
            <w:r w:rsidRPr="0043709B">
              <w:rPr>
                <w:rFonts w:ascii="Arial Narrow" w:hAnsi="Arial Narrow" w:cs="Calibri"/>
                <w:sz w:val="16"/>
                <w:szCs w:val="16"/>
              </w:rPr>
              <w:t>59,5</w:t>
            </w:r>
          </w:p>
        </w:tc>
        <w:tc>
          <w:tcPr>
            <w:tcW w:w="1260" w:type="dxa"/>
            <w:tcBorders>
              <w:top w:val="nil"/>
              <w:left w:val="nil"/>
              <w:bottom w:val="single" w:sz="4" w:space="0" w:color="auto"/>
              <w:right w:val="single" w:sz="4" w:space="0" w:color="auto"/>
            </w:tcBorders>
            <w:shd w:val="clear" w:color="auto" w:fill="auto"/>
            <w:noWrap/>
            <w:vAlign w:val="center"/>
            <w:hideMark/>
          </w:tcPr>
          <w:p w14:paraId="015C986D" w14:textId="77777777" w:rsidR="0043709B" w:rsidRPr="0043709B" w:rsidRDefault="0043709B" w:rsidP="0043709B">
            <w:pPr>
              <w:jc w:val="right"/>
              <w:rPr>
                <w:rFonts w:ascii="Arial Narrow" w:hAnsi="Arial Narrow" w:cs="Arial"/>
                <w:sz w:val="16"/>
                <w:szCs w:val="16"/>
              </w:rPr>
            </w:pPr>
            <w:r w:rsidRPr="0043709B">
              <w:rPr>
                <w:rFonts w:ascii="Arial Narrow" w:hAnsi="Arial Narrow" w:cs="Arial"/>
                <w:sz w:val="16"/>
                <w:szCs w:val="16"/>
              </w:rPr>
              <w:t>97,2</w:t>
            </w:r>
          </w:p>
        </w:tc>
      </w:tr>
      <w:tr w:rsidR="0043709B" w:rsidRPr="0043709B" w14:paraId="5A056087" w14:textId="77777777" w:rsidTr="0043709B">
        <w:trPr>
          <w:trHeight w:val="250"/>
        </w:trPr>
        <w:tc>
          <w:tcPr>
            <w:tcW w:w="781" w:type="dxa"/>
            <w:tcBorders>
              <w:top w:val="nil"/>
              <w:left w:val="single" w:sz="4" w:space="0" w:color="auto"/>
              <w:bottom w:val="single" w:sz="4" w:space="0" w:color="auto"/>
              <w:right w:val="single" w:sz="4" w:space="0" w:color="auto"/>
            </w:tcBorders>
            <w:shd w:val="clear" w:color="auto" w:fill="auto"/>
            <w:noWrap/>
            <w:vAlign w:val="center"/>
            <w:hideMark/>
          </w:tcPr>
          <w:p w14:paraId="171467A7" w14:textId="77777777" w:rsidR="0043709B" w:rsidRPr="0043709B" w:rsidRDefault="0043709B" w:rsidP="0043709B">
            <w:pPr>
              <w:rPr>
                <w:rFonts w:ascii="Arial Narrow" w:hAnsi="Arial Narrow" w:cs="Arial"/>
                <w:sz w:val="16"/>
                <w:szCs w:val="16"/>
              </w:rPr>
            </w:pPr>
            <w:r w:rsidRPr="0043709B">
              <w:rPr>
                <w:rFonts w:ascii="Arial Narrow" w:hAnsi="Arial Narrow" w:cs="Arial"/>
                <w:sz w:val="16"/>
                <w:szCs w:val="16"/>
              </w:rPr>
              <w:t>05</w:t>
            </w:r>
          </w:p>
        </w:tc>
        <w:tc>
          <w:tcPr>
            <w:tcW w:w="3016" w:type="dxa"/>
            <w:tcBorders>
              <w:top w:val="nil"/>
              <w:left w:val="nil"/>
              <w:bottom w:val="single" w:sz="4" w:space="0" w:color="auto"/>
              <w:right w:val="single" w:sz="4" w:space="0" w:color="auto"/>
            </w:tcBorders>
            <w:shd w:val="clear" w:color="auto" w:fill="auto"/>
            <w:noWrap/>
            <w:vAlign w:val="center"/>
            <w:hideMark/>
          </w:tcPr>
          <w:p w14:paraId="04D92260" w14:textId="77777777" w:rsidR="0043709B" w:rsidRPr="0043709B" w:rsidRDefault="0043709B" w:rsidP="0043709B">
            <w:pPr>
              <w:rPr>
                <w:rFonts w:ascii="Arial Narrow" w:hAnsi="Arial Narrow" w:cs="Calibri"/>
                <w:b/>
                <w:bCs/>
                <w:sz w:val="16"/>
                <w:szCs w:val="16"/>
              </w:rPr>
            </w:pPr>
            <w:r w:rsidRPr="0043709B">
              <w:rPr>
                <w:rFonts w:ascii="Arial Narrow" w:hAnsi="Arial Narrow" w:cs="Calibri"/>
                <w:b/>
                <w:bCs/>
                <w:sz w:val="16"/>
                <w:szCs w:val="16"/>
              </w:rPr>
              <w:t>КАРТОФИ</w:t>
            </w:r>
          </w:p>
        </w:tc>
        <w:tc>
          <w:tcPr>
            <w:tcW w:w="1180" w:type="dxa"/>
            <w:tcBorders>
              <w:top w:val="nil"/>
              <w:left w:val="nil"/>
              <w:bottom w:val="single" w:sz="4" w:space="0" w:color="auto"/>
              <w:right w:val="single" w:sz="4" w:space="0" w:color="auto"/>
            </w:tcBorders>
            <w:shd w:val="clear" w:color="auto" w:fill="auto"/>
            <w:vAlign w:val="center"/>
          </w:tcPr>
          <w:p w14:paraId="190872E7" w14:textId="77777777" w:rsidR="0043709B" w:rsidRPr="0043709B" w:rsidRDefault="0043709B" w:rsidP="0043709B">
            <w:pPr>
              <w:jc w:val="right"/>
              <w:rPr>
                <w:rFonts w:ascii="Arial Narrow" w:hAnsi="Arial Narrow" w:cs="Calibri"/>
                <w:sz w:val="16"/>
                <w:szCs w:val="16"/>
              </w:rPr>
            </w:pPr>
            <w:r w:rsidRPr="0043709B">
              <w:rPr>
                <w:rFonts w:ascii="Arial Narrow" w:hAnsi="Arial Narrow" w:cs="Calibri"/>
                <w:sz w:val="16"/>
                <w:szCs w:val="16"/>
              </w:rPr>
              <w:t>75,6</w:t>
            </w:r>
          </w:p>
        </w:tc>
        <w:tc>
          <w:tcPr>
            <w:tcW w:w="1170" w:type="dxa"/>
            <w:tcBorders>
              <w:top w:val="nil"/>
              <w:left w:val="nil"/>
              <w:bottom w:val="single" w:sz="4" w:space="0" w:color="auto"/>
              <w:right w:val="single" w:sz="4" w:space="0" w:color="auto"/>
            </w:tcBorders>
            <w:shd w:val="clear" w:color="auto" w:fill="auto"/>
            <w:noWrap/>
            <w:vAlign w:val="center"/>
            <w:hideMark/>
          </w:tcPr>
          <w:p w14:paraId="742CB9F8" w14:textId="77777777" w:rsidR="0043709B" w:rsidRPr="0043709B" w:rsidRDefault="0043709B" w:rsidP="0043709B">
            <w:pPr>
              <w:jc w:val="right"/>
              <w:rPr>
                <w:rFonts w:ascii="Arial Narrow" w:hAnsi="Arial Narrow" w:cs="Calibri"/>
                <w:sz w:val="16"/>
                <w:szCs w:val="16"/>
              </w:rPr>
            </w:pPr>
            <w:r w:rsidRPr="0043709B">
              <w:rPr>
                <w:rFonts w:ascii="Arial Narrow" w:hAnsi="Arial Narrow" w:cs="Calibri"/>
                <w:sz w:val="16"/>
                <w:szCs w:val="16"/>
              </w:rPr>
              <w:t>96,7</w:t>
            </w:r>
          </w:p>
        </w:tc>
        <w:tc>
          <w:tcPr>
            <w:tcW w:w="1300" w:type="dxa"/>
            <w:tcBorders>
              <w:top w:val="nil"/>
              <w:left w:val="nil"/>
              <w:bottom w:val="single" w:sz="4" w:space="0" w:color="auto"/>
              <w:right w:val="single" w:sz="4" w:space="0" w:color="auto"/>
            </w:tcBorders>
            <w:shd w:val="clear" w:color="auto" w:fill="auto"/>
            <w:noWrap/>
            <w:vAlign w:val="center"/>
            <w:hideMark/>
          </w:tcPr>
          <w:p w14:paraId="72E745D1" w14:textId="77777777" w:rsidR="0043709B" w:rsidRPr="0043709B" w:rsidRDefault="0043709B" w:rsidP="0043709B">
            <w:pPr>
              <w:jc w:val="right"/>
              <w:rPr>
                <w:rFonts w:ascii="Arial Narrow" w:hAnsi="Arial Narrow" w:cs="Calibri"/>
                <w:sz w:val="16"/>
                <w:szCs w:val="16"/>
              </w:rPr>
            </w:pPr>
            <w:r w:rsidRPr="0043709B">
              <w:rPr>
                <w:rFonts w:ascii="Arial Narrow" w:hAnsi="Arial Narrow" w:cs="Calibri"/>
                <w:sz w:val="16"/>
                <w:szCs w:val="16"/>
              </w:rPr>
              <w:t>73,1</w:t>
            </w:r>
          </w:p>
        </w:tc>
        <w:tc>
          <w:tcPr>
            <w:tcW w:w="1220" w:type="dxa"/>
            <w:tcBorders>
              <w:top w:val="nil"/>
              <w:left w:val="nil"/>
              <w:bottom w:val="single" w:sz="4" w:space="0" w:color="auto"/>
              <w:right w:val="single" w:sz="4" w:space="0" w:color="auto"/>
            </w:tcBorders>
            <w:shd w:val="clear" w:color="auto" w:fill="auto"/>
            <w:noWrap/>
            <w:vAlign w:val="center"/>
            <w:hideMark/>
          </w:tcPr>
          <w:p w14:paraId="2D6E6454" w14:textId="77777777" w:rsidR="0043709B" w:rsidRPr="0043709B" w:rsidRDefault="0043709B" w:rsidP="0043709B">
            <w:pPr>
              <w:jc w:val="right"/>
              <w:rPr>
                <w:rFonts w:ascii="Arial Narrow" w:hAnsi="Arial Narrow" w:cs="Calibri"/>
                <w:sz w:val="16"/>
                <w:szCs w:val="16"/>
              </w:rPr>
            </w:pPr>
            <w:r w:rsidRPr="0043709B">
              <w:rPr>
                <w:rFonts w:ascii="Arial Narrow" w:hAnsi="Arial Narrow" w:cs="Calibri"/>
                <w:sz w:val="16"/>
                <w:szCs w:val="16"/>
              </w:rPr>
              <w:t>102,9</w:t>
            </w:r>
          </w:p>
        </w:tc>
        <w:tc>
          <w:tcPr>
            <w:tcW w:w="1236" w:type="dxa"/>
            <w:tcBorders>
              <w:top w:val="nil"/>
              <w:left w:val="nil"/>
              <w:bottom w:val="single" w:sz="4" w:space="0" w:color="auto"/>
              <w:right w:val="single" w:sz="4" w:space="0" w:color="auto"/>
            </w:tcBorders>
            <w:shd w:val="clear" w:color="auto" w:fill="auto"/>
            <w:noWrap/>
            <w:vAlign w:val="center"/>
            <w:hideMark/>
          </w:tcPr>
          <w:p w14:paraId="7F0BB8AA" w14:textId="77777777" w:rsidR="0043709B" w:rsidRPr="0043709B" w:rsidRDefault="0043709B" w:rsidP="0043709B">
            <w:pPr>
              <w:jc w:val="right"/>
              <w:rPr>
                <w:rFonts w:ascii="Arial Narrow" w:hAnsi="Arial Narrow" w:cs="Calibri"/>
                <w:sz w:val="16"/>
                <w:szCs w:val="16"/>
              </w:rPr>
            </w:pPr>
            <w:r w:rsidRPr="0043709B">
              <w:rPr>
                <w:rFonts w:ascii="Arial Narrow" w:hAnsi="Arial Narrow" w:cs="Calibri"/>
                <w:sz w:val="16"/>
                <w:szCs w:val="16"/>
              </w:rPr>
              <w:t>75,2</w:t>
            </w:r>
          </w:p>
        </w:tc>
        <w:tc>
          <w:tcPr>
            <w:tcW w:w="1260" w:type="dxa"/>
            <w:tcBorders>
              <w:top w:val="nil"/>
              <w:left w:val="nil"/>
              <w:bottom w:val="single" w:sz="4" w:space="0" w:color="auto"/>
              <w:right w:val="single" w:sz="4" w:space="0" w:color="auto"/>
            </w:tcBorders>
            <w:shd w:val="clear" w:color="auto" w:fill="auto"/>
            <w:noWrap/>
            <w:vAlign w:val="center"/>
            <w:hideMark/>
          </w:tcPr>
          <w:p w14:paraId="7FB83CE7" w14:textId="77777777" w:rsidR="0043709B" w:rsidRPr="0043709B" w:rsidRDefault="0043709B" w:rsidP="0043709B">
            <w:pPr>
              <w:jc w:val="right"/>
              <w:rPr>
                <w:rFonts w:ascii="Arial Narrow" w:hAnsi="Arial Narrow" w:cs="Arial"/>
                <w:sz w:val="16"/>
                <w:szCs w:val="16"/>
              </w:rPr>
            </w:pPr>
            <w:r w:rsidRPr="0043709B">
              <w:rPr>
                <w:rFonts w:ascii="Arial Narrow" w:hAnsi="Arial Narrow" w:cs="Arial"/>
                <w:sz w:val="16"/>
                <w:szCs w:val="16"/>
              </w:rPr>
              <w:t>99,5</w:t>
            </w:r>
          </w:p>
        </w:tc>
      </w:tr>
      <w:tr w:rsidR="0043709B" w:rsidRPr="0043709B" w14:paraId="1543AF0F" w14:textId="77777777" w:rsidTr="0043709B">
        <w:trPr>
          <w:trHeight w:val="250"/>
        </w:trPr>
        <w:tc>
          <w:tcPr>
            <w:tcW w:w="781" w:type="dxa"/>
            <w:tcBorders>
              <w:top w:val="nil"/>
              <w:left w:val="single" w:sz="4" w:space="0" w:color="auto"/>
              <w:bottom w:val="single" w:sz="4" w:space="0" w:color="auto"/>
              <w:right w:val="single" w:sz="4" w:space="0" w:color="auto"/>
            </w:tcBorders>
            <w:shd w:val="clear" w:color="auto" w:fill="auto"/>
            <w:noWrap/>
            <w:vAlign w:val="center"/>
            <w:hideMark/>
          </w:tcPr>
          <w:p w14:paraId="1B550991" w14:textId="77777777" w:rsidR="0043709B" w:rsidRPr="0043709B" w:rsidRDefault="0043709B" w:rsidP="0043709B">
            <w:pPr>
              <w:rPr>
                <w:rFonts w:ascii="Arial Narrow" w:hAnsi="Arial Narrow" w:cs="Arial"/>
                <w:sz w:val="16"/>
                <w:szCs w:val="16"/>
              </w:rPr>
            </w:pPr>
            <w:r w:rsidRPr="0043709B">
              <w:rPr>
                <w:rFonts w:ascii="Arial Narrow" w:hAnsi="Arial Narrow" w:cs="Arial"/>
                <w:sz w:val="16"/>
                <w:szCs w:val="16"/>
              </w:rPr>
              <w:t>06</w:t>
            </w:r>
          </w:p>
        </w:tc>
        <w:tc>
          <w:tcPr>
            <w:tcW w:w="3016" w:type="dxa"/>
            <w:tcBorders>
              <w:top w:val="nil"/>
              <w:left w:val="nil"/>
              <w:bottom w:val="single" w:sz="4" w:space="0" w:color="auto"/>
              <w:right w:val="single" w:sz="4" w:space="0" w:color="auto"/>
            </w:tcBorders>
            <w:shd w:val="clear" w:color="000000" w:fill="FFFFFF"/>
            <w:noWrap/>
            <w:vAlign w:val="center"/>
            <w:hideMark/>
          </w:tcPr>
          <w:p w14:paraId="285CB015" w14:textId="77777777" w:rsidR="0043709B" w:rsidRPr="0043709B" w:rsidRDefault="0043709B" w:rsidP="0043709B">
            <w:pPr>
              <w:rPr>
                <w:rFonts w:ascii="Arial Narrow" w:hAnsi="Arial Narrow" w:cs="Calibri"/>
                <w:b/>
                <w:bCs/>
                <w:sz w:val="16"/>
                <w:szCs w:val="16"/>
              </w:rPr>
            </w:pPr>
            <w:r w:rsidRPr="0043709B">
              <w:rPr>
                <w:rFonts w:ascii="Arial Narrow" w:hAnsi="Arial Narrow" w:cs="Calibri"/>
                <w:b/>
                <w:bCs/>
                <w:sz w:val="16"/>
                <w:szCs w:val="16"/>
              </w:rPr>
              <w:t>ПЛОДОВЕ</w:t>
            </w:r>
          </w:p>
        </w:tc>
        <w:tc>
          <w:tcPr>
            <w:tcW w:w="1180" w:type="dxa"/>
            <w:tcBorders>
              <w:top w:val="nil"/>
              <w:left w:val="nil"/>
              <w:bottom w:val="single" w:sz="4" w:space="0" w:color="auto"/>
              <w:right w:val="single" w:sz="4" w:space="0" w:color="auto"/>
            </w:tcBorders>
            <w:shd w:val="clear" w:color="auto" w:fill="auto"/>
            <w:vAlign w:val="center"/>
          </w:tcPr>
          <w:p w14:paraId="06DBD625" w14:textId="77777777" w:rsidR="0043709B" w:rsidRPr="0043709B" w:rsidRDefault="0043709B" w:rsidP="0043709B">
            <w:pPr>
              <w:jc w:val="right"/>
              <w:rPr>
                <w:rFonts w:ascii="Arial Narrow" w:hAnsi="Arial Narrow" w:cs="Calibri"/>
                <w:sz w:val="16"/>
                <w:szCs w:val="16"/>
              </w:rPr>
            </w:pPr>
            <w:r w:rsidRPr="0043709B">
              <w:rPr>
                <w:rFonts w:ascii="Arial Narrow" w:hAnsi="Arial Narrow" w:cs="Calibri"/>
                <w:sz w:val="16"/>
                <w:szCs w:val="16"/>
              </w:rPr>
              <w:t>355,4</w:t>
            </w:r>
          </w:p>
        </w:tc>
        <w:tc>
          <w:tcPr>
            <w:tcW w:w="1170" w:type="dxa"/>
            <w:tcBorders>
              <w:top w:val="nil"/>
              <w:left w:val="nil"/>
              <w:bottom w:val="single" w:sz="4" w:space="0" w:color="auto"/>
              <w:right w:val="single" w:sz="4" w:space="0" w:color="auto"/>
            </w:tcBorders>
            <w:shd w:val="clear" w:color="auto" w:fill="auto"/>
            <w:noWrap/>
            <w:vAlign w:val="center"/>
            <w:hideMark/>
          </w:tcPr>
          <w:p w14:paraId="3AB30BFA" w14:textId="77777777" w:rsidR="0043709B" w:rsidRPr="0043709B" w:rsidRDefault="0043709B" w:rsidP="0043709B">
            <w:pPr>
              <w:jc w:val="right"/>
              <w:rPr>
                <w:rFonts w:ascii="Arial Narrow" w:hAnsi="Arial Narrow" w:cs="Calibri"/>
                <w:sz w:val="16"/>
                <w:szCs w:val="16"/>
              </w:rPr>
            </w:pPr>
            <w:r w:rsidRPr="0043709B">
              <w:rPr>
                <w:rFonts w:ascii="Arial Narrow" w:hAnsi="Arial Narrow" w:cs="Calibri"/>
                <w:sz w:val="16"/>
                <w:szCs w:val="16"/>
              </w:rPr>
              <w:t>113,7</w:t>
            </w:r>
          </w:p>
        </w:tc>
        <w:tc>
          <w:tcPr>
            <w:tcW w:w="1300" w:type="dxa"/>
            <w:tcBorders>
              <w:top w:val="nil"/>
              <w:left w:val="nil"/>
              <w:bottom w:val="single" w:sz="4" w:space="0" w:color="auto"/>
              <w:right w:val="single" w:sz="4" w:space="0" w:color="auto"/>
            </w:tcBorders>
            <w:shd w:val="clear" w:color="auto" w:fill="auto"/>
            <w:noWrap/>
            <w:vAlign w:val="center"/>
            <w:hideMark/>
          </w:tcPr>
          <w:p w14:paraId="01DF5B0D" w14:textId="77777777" w:rsidR="0043709B" w:rsidRPr="0043709B" w:rsidRDefault="0043709B" w:rsidP="0043709B">
            <w:pPr>
              <w:jc w:val="right"/>
              <w:rPr>
                <w:rFonts w:ascii="Arial Narrow" w:hAnsi="Arial Narrow" w:cs="Calibri"/>
                <w:sz w:val="16"/>
                <w:szCs w:val="16"/>
              </w:rPr>
            </w:pPr>
            <w:r w:rsidRPr="0043709B">
              <w:rPr>
                <w:rFonts w:ascii="Arial Narrow" w:hAnsi="Arial Narrow" w:cs="Calibri"/>
                <w:sz w:val="16"/>
                <w:szCs w:val="16"/>
              </w:rPr>
              <w:t>404,1</w:t>
            </w:r>
          </w:p>
        </w:tc>
        <w:tc>
          <w:tcPr>
            <w:tcW w:w="1220" w:type="dxa"/>
            <w:tcBorders>
              <w:top w:val="nil"/>
              <w:left w:val="nil"/>
              <w:bottom w:val="single" w:sz="4" w:space="0" w:color="auto"/>
              <w:right w:val="single" w:sz="4" w:space="0" w:color="auto"/>
            </w:tcBorders>
            <w:shd w:val="clear" w:color="auto" w:fill="auto"/>
            <w:noWrap/>
            <w:vAlign w:val="center"/>
            <w:hideMark/>
          </w:tcPr>
          <w:p w14:paraId="70B4C468" w14:textId="77777777" w:rsidR="0043709B" w:rsidRPr="0043709B" w:rsidRDefault="0043709B" w:rsidP="0043709B">
            <w:pPr>
              <w:jc w:val="right"/>
              <w:rPr>
                <w:rFonts w:ascii="Arial Narrow" w:hAnsi="Arial Narrow" w:cs="Calibri"/>
                <w:sz w:val="16"/>
                <w:szCs w:val="16"/>
              </w:rPr>
            </w:pPr>
            <w:r w:rsidRPr="0043709B">
              <w:rPr>
                <w:rFonts w:ascii="Arial Narrow" w:hAnsi="Arial Narrow" w:cs="Calibri"/>
                <w:sz w:val="16"/>
                <w:szCs w:val="16"/>
              </w:rPr>
              <w:t>97,0</w:t>
            </w:r>
          </w:p>
        </w:tc>
        <w:tc>
          <w:tcPr>
            <w:tcW w:w="1236" w:type="dxa"/>
            <w:tcBorders>
              <w:top w:val="nil"/>
              <w:left w:val="nil"/>
              <w:bottom w:val="single" w:sz="4" w:space="0" w:color="auto"/>
              <w:right w:val="single" w:sz="4" w:space="0" w:color="auto"/>
            </w:tcBorders>
            <w:shd w:val="clear" w:color="auto" w:fill="auto"/>
            <w:noWrap/>
            <w:vAlign w:val="center"/>
            <w:hideMark/>
          </w:tcPr>
          <w:p w14:paraId="61DFBCF2" w14:textId="77777777" w:rsidR="0043709B" w:rsidRPr="0043709B" w:rsidRDefault="0043709B" w:rsidP="0043709B">
            <w:pPr>
              <w:jc w:val="right"/>
              <w:rPr>
                <w:rFonts w:ascii="Arial Narrow" w:hAnsi="Arial Narrow" w:cs="Calibri"/>
                <w:sz w:val="16"/>
                <w:szCs w:val="16"/>
              </w:rPr>
            </w:pPr>
            <w:r w:rsidRPr="0043709B">
              <w:rPr>
                <w:rFonts w:ascii="Arial Narrow" w:hAnsi="Arial Narrow" w:cs="Calibri"/>
                <w:sz w:val="16"/>
                <w:szCs w:val="16"/>
              </w:rPr>
              <w:t>391,9</w:t>
            </w:r>
          </w:p>
        </w:tc>
        <w:tc>
          <w:tcPr>
            <w:tcW w:w="1260" w:type="dxa"/>
            <w:tcBorders>
              <w:top w:val="nil"/>
              <w:left w:val="nil"/>
              <w:bottom w:val="single" w:sz="4" w:space="0" w:color="auto"/>
              <w:right w:val="single" w:sz="4" w:space="0" w:color="auto"/>
            </w:tcBorders>
            <w:shd w:val="clear" w:color="auto" w:fill="auto"/>
            <w:noWrap/>
            <w:vAlign w:val="center"/>
            <w:hideMark/>
          </w:tcPr>
          <w:p w14:paraId="5F6087B9" w14:textId="77777777" w:rsidR="0043709B" w:rsidRPr="0043709B" w:rsidRDefault="0043709B" w:rsidP="0043709B">
            <w:pPr>
              <w:jc w:val="right"/>
              <w:rPr>
                <w:rFonts w:ascii="Arial Narrow" w:hAnsi="Arial Narrow" w:cs="Arial"/>
                <w:sz w:val="16"/>
                <w:szCs w:val="16"/>
              </w:rPr>
            </w:pPr>
            <w:r w:rsidRPr="0043709B">
              <w:rPr>
                <w:rFonts w:ascii="Arial Narrow" w:hAnsi="Arial Narrow" w:cs="Arial"/>
                <w:sz w:val="16"/>
                <w:szCs w:val="16"/>
              </w:rPr>
              <w:t>110,3</w:t>
            </w:r>
          </w:p>
        </w:tc>
      </w:tr>
      <w:tr w:rsidR="0043709B" w:rsidRPr="0043709B" w14:paraId="04B040BC" w14:textId="77777777" w:rsidTr="0043709B">
        <w:trPr>
          <w:trHeight w:val="250"/>
        </w:trPr>
        <w:tc>
          <w:tcPr>
            <w:tcW w:w="781" w:type="dxa"/>
            <w:tcBorders>
              <w:top w:val="nil"/>
              <w:left w:val="single" w:sz="4" w:space="0" w:color="auto"/>
              <w:bottom w:val="single" w:sz="4" w:space="0" w:color="auto"/>
              <w:right w:val="single" w:sz="4" w:space="0" w:color="auto"/>
            </w:tcBorders>
            <w:shd w:val="clear" w:color="auto" w:fill="auto"/>
            <w:noWrap/>
            <w:vAlign w:val="center"/>
            <w:hideMark/>
          </w:tcPr>
          <w:p w14:paraId="609F86AC" w14:textId="77777777" w:rsidR="0043709B" w:rsidRPr="0043709B" w:rsidRDefault="0043709B" w:rsidP="0043709B">
            <w:pPr>
              <w:rPr>
                <w:rFonts w:ascii="Arial Narrow" w:hAnsi="Arial Narrow" w:cs="Arial"/>
                <w:sz w:val="16"/>
                <w:szCs w:val="16"/>
              </w:rPr>
            </w:pPr>
            <w:r w:rsidRPr="0043709B">
              <w:rPr>
                <w:rFonts w:ascii="Arial Narrow" w:hAnsi="Arial Narrow" w:cs="Arial"/>
                <w:sz w:val="16"/>
                <w:szCs w:val="16"/>
              </w:rPr>
              <w:t>06.1</w:t>
            </w:r>
          </w:p>
        </w:tc>
        <w:tc>
          <w:tcPr>
            <w:tcW w:w="3016" w:type="dxa"/>
            <w:tcBorders>
              <w:top w:val="nil"/>
              <w:left w:val="nil"/>
              <w:bottom w:val="single" w:sz="4" w:space="0" w:color="auto"/>
              <w:right w:val="single" w:sz="4" w:space="0" w:color="auto"/>
            </w:tcBorders>
            <w:shd w:val="clear" w:color="000000" w:fill="FFFFFF"/>
            <w:noWrap/>
            <w:vAlign w:val="center"/>
            <w:hideMark/>
          </w:tcPr>
          <w:p w14:paraId="62FE6579" w14:textId="77777777" w:rsidR="0043709B" w:rsidRPr="0043709B" w:rsidRDefault="0043709B" w:rsidP="00CD44F3">
            <w:pPr>
              <w:ind w:firstLine="138"/>
              <w:rPr>
                <w:rFonts w:ascii="Arial Narrow" w:hAnsi="Arial Narrow" w:cs="Calibri"/>
                <w:sz w:val="16"/>
                <w:szCs w:val="16"/>
              </w:rPr>
            </w:pPr>
            <w:r w:rsidRPr="0043709B">
              <w:rPr>
                <w:rFonts w:ascii="Arial Narrow" w:hAnsi="Arial Narrow" w:cs="Calibri"/>
                <w:sz w:val="16"/>
                <w:szCs w:val="16"/>
              </w:rPr>
              <w:t>Пресни плодове</w:t>
            </w:r>
          </w:p>
        </w:tc>
        <w:tc>
          <w:tcPr>
            <w:tcW w:w="1180" w:type="dxa"/>
            <w:tcBorders>
              <w:top w:val="nil"/>
              <w:left w:val="nil"/>
              <w:bottom w:val="single" w:sz="4" w:space="0" w:color="auto"/>
              <w:right w:val="single" w:sz="4" w:space="0" w:color="auto"/>
            </w:tcBorders>
            <w:shd w:val="clear" w:color="auto" w:fill="auto"/>
            <w:vAlign w:val="center"/>
          </w:tcPr>
          <w:p w14:paraId="5487CFDD" w14:textId="77777777" w:rsidR="0043709B" w:rsidRPr="0043709B" w:rsidRDefault="0043709B" w:rsidP="0043709B">
            <w:pPr>
              <w:jc w:val="right"/>
              <w:rPr>
                <w:rFonts w:ascii="Arial Narrow" w:hAnsi="Arial Narrow" w:cs="Calibri"/>
                <w:sz w:val="16"/>
                <w:szCs w:val="16"/>
              </w:rPr>
            </w:pPr>
            <w:r w:rsidRPr="0043709B">
              <w:rPr>
                <w:rFonts w:ascii="Arial Narrow" w:hAnsi="Arial Narrow" w:cs="Calibri"/>
                <w:sz w:val="16"/>
                <w:szCs w:val="16"/>
              </w:rPr>
              <w:t>249,3</w:t>
            </w:r>
          </w:p>
        </w:tc>
        <w:tc>
          <w:tcPr>
            <w:tcW w:w="1170" w:type="dxa"/>
            <w:tcBorders>
              <w:top w:val="nil"/>
              <w:left w:val="nil"/>
              <w:bottom w:val="single" w:sz="4" w:space="0" w:color="auto"/>
              <w:right w:val="single" w:sz="4" w:space="0" w:color="auto"/>
            </w:tcBorders>
            <w:shd w:val="clear" w:color="auto" w:fill="auto"/>
            <w:noWrap/>
            <w:vAlign w:val="center"/>
            <w:hideMark/>
          </w:tcPr>
          <w:p w14:paraId="793E2341" w14:textId="77777777" w:rsidR="0043709B" w:rsidRPr="0043709B" w:rsidRDefault="0043709B" w:rsidP="0043709B">
            <w:pPr>
              <w:jc w:val="right"/>
              <w:rPr>
                <w:rFonts w:ascii="Arial Narrow" w:hAnsi="Arial Narrow" w:cs="Calibri"/>
                <w:sz w:val="16"/>
                <w:szCs w:val="16"/>
              </w:rPr>
            </w:pPr>
            <w:r w:rsidRPr="0043709B">
              <w:rPr>
                <w:rFonts w:ascii="Arial Narrow" w:hAnsi="Arial Narrow" w:cs="Calibri"/>
                <w:sz w:val="16"/>
                <w:szCs w:val="16"/>
              </w:rPr>
              <w:t>118,5</w:t>
            </w:r>
          </w:p>
        </w:tc>
        <w:tc>
          <w:tcPr>
            <w:tcW w:w="1300" w:type="dxa"/>
            <w:tcBorders>
              <w:top w:val="nil"/>
              <w:left w:val="nil"/>
              <w:bottom w:val="single" w:sz="4" w:space="0" w:color="auto"/>
              <w:right w:val="single" w:sz="4" w:space="0" w:color="auto"/>
            </w:tcBorders>
            <w:shd w:val="clear" w:color="auto" w:fill="auto"/>
            <w:noWrap/>
            <w:vAlign w:val="center"/>
            <w:hideMark/>
          </w:tcPr>
          <w:p w14:paraId="5FDB69E0" w14:textId="77777777" w:rsidR="0043709B" w:rsidRPr="0043709B" w:rsidRDefault="0043709B" w:rsidP="0043709B">
            <w:pPr>
              <w:jc w:val="right"/>
              <w:rPr>
                <w:rFonts w:ascii="Arial Narrow" w:hAnsi="Arial Narrow" w:cs="Calibri"/>
                <w:sz w:val="16"/>
                <w:szCs w:val="16"/>
              </w:rPr>
            </w:pPr>
            <w:r w:rsidRPr="0043709B">
              <w:rPr>
                <w:rFonts w:ascii="Arial Narrow" w:hAnsi="Arial Narrow" w:cs="Calibri"/>
                <w:sz w:val="16"/>
                <w:szCs w:val="16"/>
              </w:rPr>
              <w:t>295,3</w:t>
            </w:r>
          </w:p>
        </w:tc>
        <w:tc>
          <w:tcPr>
            <w:tcW w:w="1220" w:type="dxa"/>
            <w:tcBorders>
              <w:top w:val="nil"/>
              <w:left w:val="nil"/>
              <w:bottom w:val="single" w:sz="4" w:space="0" w:color="auto"/>
              <w:right w:val="single" w:sz="4" w:space="0" w:color="auto"/>
            </w:tcBorders>
            <w:shd w:val="clear" w:color="auto" w:fill="auto"/>
            <w:noWrap/>
            <w:vAlign w:val="center"/>
            <w:hideMark/>
          </w:tcPr>
          <w:p w14:paraId="7F799A8D" w14:textId="77777777" w:rsidR="0043709B" w:rsidRPr="0043709B" w:rsidRDefault="0043709B" w:rsidP="0043709B">
            <w:pPr>
              <w:jc w:val="right"/>
              <w:rPr>
                <w:rFonts w:ascii="Arial Narrow" w:hAnsi="Arial Narrow" w:cs="Calibri"/>
                <w:sz w:val="16"/>
                <w:szCs w:val="16"/>
              </w:rPr>
            </w:pPr>
            <w:r w:rsidRPr="0043709B">
              <w:rPr>
                <w:rFonts w:ascii="Arial Narrow" w:hAnsi="Arial Narrow" w:cs="Calibri"/>
                <w:sz w:val="16"/>
                <w:szCs w:val="16"/>
              </w:rPr>
              <w:t>94,1</w:t>
            </w:r>
          </w:p>
        </w:tc>
        <w:tc>
          <w:tcPr>
            <w:tcW w:w="1236" w:type="dxa"/>
            <w:tcBorders>
              <w:top w:val="nil"/>
              <w:left w:val="nil"/>
              <w:bottom w:val="single" w:sz="4" w:space="0" w:color="auto"/>
              <w:right w:val="single" w:sz="4" w:space="0" w:color="auto"/>
            </w:tcBorders>
            <w:shd w:val="clear" w:color="auto" w:fill="auto"/>
            <w:noWrap/>
            <w:vAlign w:val="center"/>
            <w:hideMark/>
          </w:tcPr>
          <w:p w14:paraId="772B0DCD" w14:textId="77777777" w:rsidR="0043709B" w:rsidRPr="0043709B" w:rsidRDefault="0043709B" w:rsidP="0043709B">
            <w:pPr>
              <w:jc w:val="right"/>
              <w:rPr>
                <w:rFonts w:ascii="Arial Narrow" w:hAnsi="Arial Narrow" w:cs="Calibri"/>
                <w:sz w:val="16"/>
                <w:szCs w:val="16"/>
              </w:rPr>
            </w:pPr>
            <w:r w:rsidRPr="0043709B">
              <w:rPr>
                <w:rFonts w:ascii="Arial Narrow" w:hAnsi="Arial Narrow" w:cs="Calibri"/>
                <w:sz w:val="16"/>
                <w:szCs w:val="16"/>
              </w:rPr>
              <w:t>277,8</w:t>
            </w:r>
          </w:p>
        </w:tc>
        <w:tc>
          <w:tcPr>
            <w:tcW w:w="1260" w:type="dxa"/>
            <w:tcBorders>
              <w:top w:val="nil"/>
              <w:left w:val="nil"/>
              <w:bottom w:val="single" w:sz="4" w:space="0" w:color="auto"/>
              <w:right w:val="single" w:sz="4" w:space="0" w:color="auto"/>
            </w:tcBorders>
            <w:shd w:val="clear" w:color="auto" w:fill="auto"/>
            <w:noWrap/>
            <w:vAlign w:val="center"/>
            <w:hideMark/>
          </w:tcPr>
          <w:p w14:paraId="49BD77F8" w14:textId="77777777" w:rsidR="0043709B" w:rsidRPr="0043709B" w:rsidRDefault="0043709B" w:rsidP="0043709B">
            <w:pPr>
              <w:jc w:val="right"/>
              <w:rPr>
                <w:rFonts w:ascii="Arial Narrow" w:hAnsi="Arial Narrow" w:cs="Arial"/>
                <w:sz w:val="16"/>
                <w:szCs w:val="16"/>
              </w:rPr>
            </w:pPr>
            <w:r w:rsidRPr="0043709B">
              <w:rPr>
                <w:rFonts w:ascii="Arial Narrow" w:hAnsi="Arial Narrow" w:cs="Arial"/>
                <w:sz w:val="16"/>
                <w:szCs w:val="16"/>
              </w:rPr>
              <w:t>111,4</w:t>
            </w:r>
          </w:p>
        </w:tc>
      </w:tr>
      <w:tr w:rsidR="0043709B" w:rsidRPr="0043709B" w14:paraId="0C5BD20A" w14:textId="77777777" w:rsidTr="0043709B">
        <w:trPr>
          <w:trHeight w:val="250"/>
        </w:trPr>
        <w:tc>
          <w:tcPr>
            <w:tcW w:w="781" w:type="dxa"/>
            <w:tcBorders>
              <w:top w:val="nil"/>
              <w:left w:val="single" w:sz="4" w:space="0" w:color="auto"/>
              <w:bottom w:val="single" w:sz="4" w:space="0" w:color="auto"/>
              <w:right w:val="single" w:sz="4" w:space="0" w:color="auto"/>
            </w:tcBorders>
            <w:shd w:val="clear" w:color="auto" w:fill="auto"/>
            <w:noWrap/>
            <w:vAlign w:val="center"/>
            <w:hideMark/>
          </w:tcPr>
          <w:p w14:paraId="78B02564" w14:textId="77777777" w:rsidR="0043709B" w:rsidRPr="0043709B" w:rsidRDefault="0043709B" w:rsidP="0043709B">
            <w:pPr>
              <w:rPr>
                <w:rFonts w:ascii="Arial Narrow" w:hAnsi="Arial Narrow" w:cs="Arial"/>
                <w:sz w:val="16"/>
                <w:szCs w:val="16"/>
              </w:rPr>
            </w:pPr>
            <w:r w:rsidRPr="0043709B">
              <w:rPr>
                <w:rFonts w:ascii="Arial Narrow" w:hAnsi="Arial Narrow" w:cs="Arial"/>
                <w:sz w:val="16"/>
                <w:szCs w:val="16"/>
              </w:rPr>
              <w:t>06.1/1</w:t>
            </w:r>
          </w:p>
        </w:tc>
        <w:tc>
          <w:tcPr>
            <w:tcW w:w="3016" w:type="dxa"/>
            <w:tcBorders>
              <w:top w:val="nil"/>
              <w:left w:val="nil"/>
              <w:bottom w:val="single" w:sz="4" w:space="0" w:color="auto"/>
              <w:right w:val="single" w:sz="4" w:space="0" w:color="auto"/>
            </w:tcBorders>
            <w:shd w:val="clear" w:color="000000" w:fill="FFFFFF"/>
            <w:noWrap/>
            <w:vAlign w:val="center"/>
            <w:hideMark/>
          </w:tcPr>
          <w:p w14:paraId="189756E8" w14:textId="77777777" w:rsidR="0043709B" w:rsidRPr="0043709B" w:rsidRDefault="0043709B" w:rsidP="00CD44F3">
            <w:pPr>
              <w:ind w:firstLine="422"/>
              <w:rPr>
                <w:rFonts w:ascii="Arial Narrow" w:hAnsi="Arial Narrow" w:cs="Calibri"/>
                <w:sz w:val="16"/>
                <w:szCs w:val="16"/>
              </w:rPr>
            </w:pPr>
            <w:r w:rsidRPr="0043709B">
              <w:rPr>
                <w:rFonts w:ascii="Arial Narrow" w:hAnsi="Arial Narrow" w:cs="Calibri"/>
                <w:sz w:val="16"/>
                <w:szCs w:val="16"/>
              </w:rPr>
              <w:t>Ябълки</w:t>
            </w:r>
          </w:p>
        </w:tc>
        <w:tc>
          <w:tcPr>
            <w:tcW w:w="1180" w:type="dxa"/>
            <w:tcBorders>
              <w:top w:val="nil"/>
              <w:left w:val="nil"/>
              <w:bottom w:val="single" w:sz="4" w:space="0" w:color="auto"/>
              <w:right w:val="single" w:sz="4" w:space="0" w:color="auto"/>
            </w:tcBorders>
            <w:shd w:val="clear" w:color="auto" w:fill="auto"/>
            <w:vAlign w:val="center"/>
          </w:tcPr>
          <w:p w14:paraId="00EDB337" w14:textId="77777777" w:rsidR="0043709B" w:rsidRPr="0043709B" w:rsidRDefault="0043709B" w:rsidP="0043709B">
            <w:pPr>
              <w:jc w:val="right"/>
              <w:rPr>
                <w:rFonts w:ascii="Arial Narrow" w:hAnsi="Arial Narrow" w:cs="Calibri"/>
                <w:sz w:val="16"/>
                <w:szCs w:val="16"/>
              </w:rPr>
            </w:pPr>
            <w:r w:rsidRPr="0043709B">
              <w:rPr>
                <w:rFonts w:ascii="Arial Narrow" w:hAnsi="Arial Narrow" w:cs="Calibri"/>
                <w:sz w:val="16"/>
                <w:szCs w:val="16"/>
              </w:rPr>
              <w:t>26,2</w:t>
            </w:r>
          </w:p>
        </w:tc>
        <w:tc>
          <w:tcPr>
            <w:tcW w:w="1170" w:type="dxa"/>
            <w:tcBorders>
              <w:top w:val="nil"/>
              <w:left w:val="nil"/>
              <w:bottom w:val="single" w:sz="4" w:space="0" w:color="auto"/>
              <w:right w:val="single" w:sz="4" w:space="0" w:color="auto"/>
            </w:tcBorders>
            <w:shd w:val="clear" w:color="auto" w:fill="auto"/>
            <w:noWrap/>
            <w:vAlign w:val="center"/>
            <w:hideMark/>
          </w:tcPr>
          <w:p w14:paraId="3A00E98C" w14:textId="77777777" w:rsidR="0043709B" w:rsidRPr="0043709B" w:rsidRDefault="0043709B" w:rsidP="0043709B">
            <w:pPr>
              <w:jc w:val="right"/>
              <w:rPr>
                <w:rFonts w:ascii="Arial Narrow" w:hAnsi="Arial Narrow" w:cs="Calibri"/>
                <w:sz w:val="16"/>
                <w:szCs w:val="16"/>
              </w:rPr>
            </w:pPr>
            <w:r w:rsidRPr="0043709B">
              <w:rPr>
                <w:rFonts w:ascii="Arial Narrow" w:hAnsi="Arial Narrow" w:cs="Calibri"/>
                <w:sz w:val="16"/>
                <w:szCs w:val="16"/>
              </w:rPr>
              <w:t>104,6</w:t>
            </w:r>
          </w:p>
        </w:tc>
        <w:tc>
          <w:tcPr>
            <w:tcW w:w="1300" w:type="dxa"/>
            <w:tcBorders>
              <w:top w:val="nil"/>
              <w:left w:val="nil"/>
              <w:bottom w:val="single" w:sz="4" w:space="0" w:color="auto"/>
              <w:right w:val="single" w:sz="4" w:space="0" w:color="auto"/>
            </w:tcBorders>
            <w:shd w:val="clear" w:color="auto" w:fill="auto"/>
            <w:noWrap/>
            <w:vAlign w:val="center"/>
            <w:hideMark/>
          </w:tcPr>
          <w:p w14:paraId="500C6BE9" w14:textId="77777777" w:rsidR="0043709B" w:rsidRPr="0043709B" w:rsidRDefault="0043709B" w:rsidP="0043709B">
            <w:pPr>
              <w:jc w:val="right"/>
              <w:rPr>
                <w:rFonts w:ascii="Arial Narrow" w:hAnsi="Arial Narrow" w:cs="Calibri"/>
                <w:sz w:val="16"/>
                <w:szCs w:val="16"/>
              </w:rPr>
            </w:pPr>
            <w:r w:rsidRPr="0043709B">
              <w:rPr>
                <w:rFonts w:ascii="Arial Narrow" w:hAnsi="Arial Narrow" w:cs="Calibri"/>
                <w:sz w:val="16"/>
                <w:szCs w:val="16"/>
              </w:rPr>
              <w:t>27,4</w:t>
            </w:r>
          </w:p>
        </w:tc>
        <w:tc>
          <w:tcPr>
            <w:tcW w:w="1220" w:type="dxa"/>
            <w:tcBorders>
              <w:top w:val="nil"/>
              <w:left w:val="nil"/>
              <w:bottom w:val="single" w:sz="4" w:space="0" w:color="auto"/>
              <w:right w:val="single" w:sz="4" w:space="0" w:color="auto"/>
            </w:tcBorders>
            <w:shd w:val="clear" w:color="auto" w:fill="auto"/>
            <w:noWrap/>
            <w:vAlign w:val="center"/>
            <w:hideMark/>
          </w:tcPr>
          <w:p w14:paraId="0794BCF7" w14:textId="77777777" w:rsidR="0043709B" w:rsidRPr="0043709B" w:rsidRDefault="0043709B" w:rsidP="0043709B">
            <w:pPr>
              <w:jc w:val="right"/>
              <w:rPr>
                <w:rFonts w:ascii="Arial Narrow" w:hAnsi="Arial Narrow" w:cs="Calibri"/>
                <w:sz w:val="16"/>
                <w:szCs w:val="16"/>
              </w:rPr>
            </w:pPr>
            <w:r w:rsidRPr="0043709B">
              <w:rPr>
                <w:rFonts w:ascii="Arial Narrow" w:hAnsi="Arial Narrow" w:cs="Calibri"/>
                <w:sz w:val="16"/>
                <w:szCs w:val="16"/>
              </w:rPr>
              <w:t>89,1</w:t>
            </w:r>
          </w:p>
        </w:tc>
        <w:tc>
          <w:tcPr>
            <w:tcW w:w="1236" w:type="dxa"/>
            <w:tcBorders>
              <w:top w:val="nil"/>
              <w:left w:val="nil"/>
              <w:bottom w:val="single" w:sz="4" w:space="0" w:color="auto"/>
              <w:right w:val="single" w:sz="4" w:space="0" w:color="auto"/>
            </w:tcBorders>
            <w:shd w:val="clear" w:color="auto" w:fill="auto"/>
            <w:noWrap/>
            <w:vAlign w:val="center"/>
            <w:hideMark/>
          </w:tcPr>
          <w:p w14:paraId="7021F1BF" w14:textId="77777777" w:rsidR="0043709B" w:rsidRPr="0043709B" w:rsidRDefault="0043709B" w:rsidP="0043709B">
            <w:pPr>
              <w:jc w:val="right"/>
              <w:rPr>
                <w:rFonts w:ascii="Arial Narrow" w:hAnsi="Arial Narrow" w:cs="Calibri"/>
                <w:sz w:val="16"/>
                <w:szCs w:val="16"/>
              </w:rPr>
            </w:pPr>
            <w:r w:rsidRPr="0043709B">
              <w:rPr>
                <w:rFonts w:ascii="Arial Narrow" w:hAnsi="Arial Narrow" w:cs="Calibri"/>
                <w:sz w:val="16"/>
                <w:szCs w:val="16"/>
              </w:rPr>
              <w:t>24,4</w:t>
            </w:r>
          </w:p>
        </w:tc>
        <w:tc>
          <w:tcPr>
            <w:tcW w:w="1260" w:type="dxa"/>
            <w:tcBorders>
              <w:top w:val="nil"/>
              <w:left w:val="nil"/>
              <w:bottom w:val="single" w:sz="4" w:space="0" w:color="auto"/>
              <w:right w:val="single" w:sz="4" w:space="0" w:color="auto"/>
            </w:tcBorders>
            <w:shd w:val="clear" w:color="auto" w:fill="auto"/>
            <w:noWrap/>
            <w:vAlign w:val="center"/>
            <w:hideMark/>
          </w:tcPr>
          <w:p w14:paraId="6144180F" w14:textId="77777777" w:rsidR="0043709B" w:rsidRPr="0043709B" w:rsidRDefault="0043709B" w:rsidP="0043709B">
            <w:pPr>
              <w:jc w:val="right"/>
              <w:rPr>
                <w:rFonts w:ascii="Arial Narrow" w:hAnsi="Arial Narrow" w:cs="Arial"/>
                <w:sz w:val="16"/>
                <w:szCs w:val="16"/>
              </w:rPr>
            </w:pPr>
            <w:r w:rsidRPr="0043709B">
              <w:rPr>
                <w:rFonts w:ascii="Arial Narrow" w:hAnsi="Arial Narrow" w:cs="Arial"/>
                <w:sz w:val="16"/>
                <w:szCs w:val="16"/>
              </w:rPr>
              <w:t>93,1</w:t>
            </w:r>
          </w:p>
        </w:tc>
      </w:tr>
      <w:tr w:rsidR="0043709B" w:rsidRPr="0043709B" w14:paraId="1181324F" w14:textId="77777777" w:rsidTr="0043709B">
        <w:trPr>
          <w:trHeight w:val="250"/>
        </w:trPr>
        <w:tc>
          <w:tcPr>
            <w:tcW w:w="781" w:type="dxa"/>
            <w:tcBorders>
              <w:top w:val="nil"/>
              <w:left w:val="single" w:sz="4" w:space="0" w:color="auto"/>
              <w:bottom w:val="single" w:sz="4" w:space="0" w:color="auto"/>
              <w:right w:val="single" w:sz="4" w:space="0" w:color="auto"/>
            </w:tcBorders>
            <w:shd w:val="clear" w:color="auto" w:fill="auto"/>
            <w:noWrap/>
            <w:vAlign w:val="center"/>
            <w:hideMark/>
          </w:tcPr>
          <w:p w14:paraId="39959443" w14:textId="77777777" w:rsidR="0043709B" w:rsidRPr="0043709B" w:rsidRDefault="0043709B" w:rsidP="0043709B">
            <w:pPr>
              <w:rPr>
                <w:rFonts w:ascii="Arial Narrow" w:hAnsi="Arial Narrow" w:cs="Arial"/>
                <w:sz w:val="16"/>
                <w:szCs w:val="16"/>
              </w:rPr>
            </w:pPr>
            <w:r w:rsidRPr="0043709B">
              <w:rPr>
                <w:rFonts w:ascii="Arial Narrow" w:hAnsi="Arial Narrow" w:cs="Arial"/>
                <w:sz w:val="16"/>
                <w:szCs w:val="16"/>
              </w:rPr>
              <w:t>06.1/2</w:t>
            </w:r>
          </w:p>
        </w:tc>
        <w:tc>
          <w:tcPr>
            <w:tcW w:w="3016" w:type="dxa"/>
            <w:tcBorders>
              <w:top w:val="nil"/>
              <w:left w:val="nil"/>
              <w:bottom w:val="single" w:sz="4" w:space="0" w:color="auto"/>
              <w:right w:val="single" w:sz="4" w:space="0" w:color="auto"/>
            </w:tcBorders>
            <w:shd w:val="clear" w:color="000000" w:fill="FFFFFF"/>
            <w:noWrap/>
            <w:vAlign w:val="center"/>
            <w:hideMark/>
          </w:tcPr>
          <w:p w14:paraId="3A65A4E2" w14:textId="77777777" w:rsidR="0043709B" w:rsidRPr="0043709B" w:rsidRDefault="0043709B" w:rsidP="00CD44F3">
            <w:pPr>
              <w:ind w:firstLine="422"/>
              <w:rPr>
                <w:rFonts w:ascii="Arial Narrow" w:hAnsi="Arial Narrow" w:cs="Calibri"/>
                <w:sz w:val="16"/>
                <w:szCs w:val="16"/>
              </w:rPr>
            </w:pPr>
            <w:r w:rsidRPr="0043709B">
              <w:rPr>
                <w:rFonts w:ascii="Arial Narrow" w:hAnsi="Arial Narrow" w:cs="Calibri"/>
                <w:sz w:val="16"/>
                <w:szCs w:val="16"/>
              </w:rPr>
              <w:t>Круши</w:t>
            </w:r>
          </w:p>
        </w:tc>
        <w:tc>
          <w:tcPr>
            <w:tcW w:w="1180" w:type="dxa"/>
            <w:tcBorders>
              <w:top w:val="nil"/>
              <w:left w:val="nil"/>
              <w:bottom w:val="single" w:sz="4" w:space="0" w:color="auto"/>
              <w:right w:val="single" w:sz="4" w:space="0" w:color="auto"/>
            </w:tcBorders>
            <w:shd w:val="clear" w:color="auto" w:fill="auto"/>
            <w:vAlign w:val="center"/>
          </w:tcPr>
          <w:p w14:paraId="68734412" w14:textId="77777777" w:rsidR="0043709B" w:rsidRPr="0043709B" w:rsidRDefault="0043709B" w:rsidP="0043709B">
            <w:pPr>
              <w:jc w:val="right"/>
              <w:rPr>
                <w:rFonts w:ascii="Arial Narrow" w:hAnsi="Arial Narrow" w:cs="Calibri"/>
                <w:sz w:val="16"/>
                <w:szCs w:val="16"/>
              </w:rPr>
            </w:pPr>
            <w:r w:rsidRPr="0043709B">
              <w:rPr>
                <w:rFonts w:ascii="Arial Narrow" w:hAnsi="Arial Narrow" w:cs="Calibri"/>
                <w:sz w:val="16"/>
                <w:szCs w:val="16"/>
              </w:rPr>
              <w:t>2,8</w:t>
            </w:r>
          </w:p>
        </w:tc>
        <w:tc>
          <w:tcPr>
            <w:tcW w:w="1170" w:type="dxa"/>
            <w:tcBorders>
              <w:top w:val="nil"/>
              <w:left w:val="nil"/>
              <w:bottom w:val="single" w:sz="4" w:space="0" w:color="auto"/>
              <w:right w:val="single" w:sz="4" w:space="0" w:color="auto"/>
            </w:tcBorders>
            <w:shd w:val="clear" w:color="auto" w:fill="auto"/>
            <w:noWrap/>
            <w:vAlign w:val="center"/>
            <w:hideMark/>
          </w:tcPr>
          <w:p w14:paraId="29075BCE" w14:textId="77777777" w:rsidR="0043709B" w:rsidRPr="0043709B" w:rsidRDefault="0043709B" w:rsidP="0043709B">
            <w:pPr>
              <w:jc w:val="right"/>
              <w:rPr>
                <w:rFonts w:ascii="Arial Narrow" w:hAnsi="Arial Narrow" w:cs="Calibri"/>
                <w:sz w:val="16"/>
                <w:szCs w:val="16"/>
              </w:rPr>
            </w:pPr>
            <w:r w:rsidRPr="0043709B">
              <w:rPr>
                <w:rFonts w:ascii="Arial Narrow" w:hAnsi="Arial Narrow" w:cs="Calibri"/>
                <w:sz w:val="16"/>
                <w:szCs w:val="16"/>
              </w:rPr>
              <w:t>121,4</w:t>
            </w:r>
          </w:p>
        </w:tc>
        <w:tc>
          <w:tcPr>
            <w:tcW w:w="1300" w:type="dxa"/>
            <w:tcBorders>
              <w:top w:val="nil"/>
              <w:left w:val="nil"/>
              <w:bottom w:val="single" w:sz="4" w:space="0" w:color="auto"/>
              <w:right w:val="single" w:sz="4" w:space="0" w:color="auto"/>
            </w:tcBorders>
            <w:shd w:val="clear" w:color="auto" w:fill="auto"/>
            <w:noWrap/>
            <w:vAlign w:val="center"/>
            <w:hideMark/>
          </w:tcPr>
          <w:p w14:paraId="1A59AB94" w14:textId="77777777" w:rsidR="0043709B" w:rsidRPr="0043709B" w:rsidRDefault="0043709B" w:rsidP="0043709B">
            <w:pPr>
              <w:jc w:val="right"/>
              <w:rPr>
                <w:rFonts w:ascii="Arial Narrow" w:hAnsi="Arial Narrow" w:cs="Calibri"/>
                <w:sz w:val="16"/>
                <w:szCs w:val="16"/>
              </w:rPr>
            </w:pPr>
            <w:r w:rsidRPr="0043709B">
              <w:rPr>
                <w:rFonts w:ascii="Arial Narrow" w:hAnsi="Arial Narrow" w:cs="Calibri"/>
                <w:sz w:val="16"/>
                <w:szCs w:val="16"/>
              </w:rPr>
              <w:t>3,4</w:t>
            </w:r>
          </w:p>
        </w:tc>
        <w:tc>
          <w:tcPr>
            <w:tcW w:w="1220" w:type="dxa"/>
            <w:tcBorders>
              <w:top w:val="nil"/>
              <w:left w:val="nil"/>
              <w:bottom w:val="single" w:sz="4" w:space="0" w:color="auto"/>
              <w:right w:val="single" w:sz="4" w:space="0" w:color="auto"/>
            </w:tcBorders>
            <w:shd w:val="clear" w:color="auto" w:fill="auto"/>
            <w:noWrap/>
            <w:vAlign w:val="center"/>
            <w:hideMark/>
          </w:tcPr>
          <w:p w14:paraId="7D181A03" w14:textId="77777777" w:rsidR="0043709B" w:rsidRPr="0043709B" w:rsidRDefault="0043709B" w:rsidP="0043709B">
            <w:pPr>
              <w:jc w:val="right"/>
              <w:rPr>
                <w:rFonts w:ascii="Arial Narrow" w:hAnsi="Arial Narrow" w:cs="Calibri"/>
                <w:sz w:val="16"/>
                <w:szCs w:val="16"/>
              </w:rPr>
            </w:pPr>
            <w:r w:rsidRPr="0043709B">
              <w:rPr>
                <w:rFonts w:ascii="Arial Narrow" w:hAnsi="Arial Narrow" w:cs="Calibri"/>
                <w:sz w:val="16"/>
                <w:szCs w:val="16"/>
              </w:rPr>
              <w:t>82,4</w:t>
            </w:r>
          </w:p>
        </w:tc>
        <w:tc>
          <w:tcPr>
            <w:tcW w:w="1236" w:type="dxa"/>
            <w:tcBorders>
              <w:top w:val="nil"/>
              <w:left w:val="nil"/>
              <w:bottom w:val="single" w:sz="4" w:space="0" w:color="auto"/>
              <w:right w:val="single" w:sz="4" w:space="0" w:color="auto"/>
            </w:tcBorders>
            <w:shd w:val="clear" w:color="auto" w:fill="auto"/>
            <w:noWrap/>
            <w:vAlign w:val="center"/>
            <w:hideMark/>
          </w:tcPr>
          <w:p w14:paraId="20AAEFB6" w14:textId="77777777" w:rsidR="0043709B" w:rsidRPr="0043709B" w:rsidRDefault="0043709B" w:rsidP="0043709B">
            <w:pPr>
              <w:jc w:val="right"/>
              <w:rPr>
                <w:rFonts w:ascii="Arial Narrow" w:hAnsi="Arial Narrow" w:cs="Calibri"/>
                <w:sz w:val="16"/>
                <w:szCs w:val="16"/>
              </w:rPr>
            </w:pPr>
            <w:r w:rsidRPr="0043709B">
              <w:rPr>
                <w:rFonts w:ascii="Arial Narrow" w:hAnsi="Arial Narrow" w:cs="Calibri"/>
                <w:sz w:val="16"/>
                <w:szCs w:val="16"/>
              </w:rPr>
              <w:t>2,8</w:t>
            </w:r>
          </w:p>
        </w:tc>
        <w:tc>
          <w:tcPr>
            <w:tcW w:w="1260" w:type="dxa"/>
            <w:tcBorders>
              <w:top w:val="nil"/>
              <w:left w:val="nil"/>
              <w:bottom w:val="single" w:sz="4" w:space="0" w:color="auto"/>
              <w:right w:val="single" w:sz="4" w:space="0" w:color="auto"/>
            </w:tcBorders>
            <w:shd w:val="clear" w:color="auto" w:fill="auto"/>
            <w:noWrap/>
            <w:vAlign w:val="center"/>
            <w:hideMark/>
          </w:tcPr>
          <w:p w14:paraId="58BACE17" w14:textId="77777777" w:rsidR="0043709B" w:rsidRPr="0043709B" w:rsidRDefault="0043709B" w:rsidP="0043709B">
            <w:pPr>
              <w:jc w:val="right"/>
              <w:rPr>
                <w:rFonts w:ascii="Arial Narrow" w:hAnsi="Arial Narrow" w:cs="Arial"/>
                <w:sz w:val="16"/>
                <w:szCs w:val="16"/>
              </w:rPr>
            </w:pPr>
            <w:r w:rsidRPr="0043709B">
              <w:rPr>
                <w:rFonts w:ascii="Arial Narrow" w:hAnsi="Arial Narrow" w:cs="Arial"/>
                <w:sz w:val="16"/>
                <w:szCs w:val="16"/>
              </w:rPr>
              <w:t>100,0</w:t>
            </w:r>
          </w:p>
        </w:tc>
      </w:tr>
      <w:tr w:rsidR="0043709B" w:rsidRPr="0043709B" w14:paraId="4704C181" w14:textId="77777777" w:rsidTr="0043709B">
        <w:trPr>
          <w:trHeight w:val="250"/>
        </w:trPr>
        <w:tc>
          <w:tcPr>
            <w:tcW w:w="781" w:type="dxa"/>
            <w:tcBorders>
              <w:top w:val="nil"/>
              <w:left w:val="single" w:sz="4" w:space="0" w:color="auto"/>
              <w:bottom w:val="single" w:sz="4" w:space="0" w:color="auto"/>
              <w:right w:val="single" w:sz="4" w:space="0" w:color="auto"/>
            </w:tcBorders>
            <w:shd w:val="clear" w:color="auto" w:fill="auto"/>
            <w:noWrap/>
            <w:vAlign w:val="center"/>
            <w:hideMark/>
          </w:tcPr>
          <w:p w14:paraId="2473AE08" w14:textId="77777777" w:rsidR="0043709B" w:rsidRPr="0043709B" w:rsidRDefault="0043709B" w:rsidP="0043709B">
            <w:pPr>
              <w:rPr>
                <w:rFonts w:ascii="Arial Narrow" w:hAnsi="Arial Narrow" w:cs="Arial"/>
                <w:sz w:val="16"/>
                <w:szCs w:val="16"/>
              </w:rPr>
            </w:pPr>
            <w:r w:rsidRPr="0043709B">
              <w:rPr>
                <w:rFonts w:ascii="Arial Narrow" w:hAnsi="Arial Narrow" w:cs="Arial"/>
                <w:sz w:val="16"/>
                <w:szCs w:val="16"/>
              </w:rPr>
              <w:t>06.1/3</w:t>
            </w:r>
          </w:p>
        </w:tc>
        <w:tc>
          <w:tcPr>
            <w:tcW w:w="3016" w:type="dxa"/>
            <w:tcBorders>
              <w:top w:val="nil"/>
              <w:left w:val="nil"/>
              <w:bottom w:val="single" w:sz="4" w:space="0" w:color="auto"/>
              <w:right w:val="single" w:sz="4" w:space="0" w:color="auto"/>
            </w:tcBorders>
            <w:shd w:val="clear" w:color="000000" w:fill="FFFFFF"/>
            <w:noWrap/>
            <w:vAlign w:val="center"/>
            <w:hideMark/>
          </w:tcPr>
          <w:p w14:paraId="04E83EA1" w14:textId="77777777" w:rsidR="0043709B" w:rsidRPr="0043709B" w:rsidRDefault="0043709B" w:rsidP="00CD44F3">
            <w:pPr>
              <w:ind w:firstLine="422"/>
              <w:rPr>
                <w:rFonts w:ascii="Arial Narrow" w:hAnsi="Arial Narrow" w:cs="Calibri"/>
                <w:sz w:val="16"/>
                <w:szCs w:val="16"/>
              </w:rPr>
            </w:pPr>
            <w:r w:rsidRPr="0043709B">
              <w:rPr>
                <w:rFonts w:ascii="Arial Narrow" w:hAnsi="Arial Narrow" w:cs="Calibri"/>
                <w:sz w:val="16"/>
                <w:szCs w:val="16"/>
              </w:rPr>
              <w:t>Праскови</w:t>
            </w:r>
          </w:p>
        </w:tc>
        <w:tc>
          <w:tcPr>
            <w:tcW w:w="1180" w:type="dxa"/>
            <w:tcBorders>
              <w:top w:val="nil"/>
              <w:left w:val="nil"/>
              <w:bottom w:val="single" w:sz="4" w:space="0" w:color="auto"/>
              <w:right w:val="single" w:sz="4" w:space="0" w:color="auto"/>
            </w:tcBorders>
            <w:shd w:val="clear" w:color="auto" w:fill="auto"/>
            <w:vAlign w:val="center"/>
          </w:tcPr>
          <w:p w14:paraId="5CB7522C" w14:textId="77777777" w:rsidR="0043709B" w:rsidRPr="0043709B" w:rsidRDefault="0043709B" w:rsidP="0043709B">
            <w:pPr>
              <w:jc w:val="right"/>
              <w:rPr>
                <w:rFonts w:ascii="Arial Narrow" w:hAnsi="Arial Narrow" w:cs="Calibri"/>
                <w:sz w:val="16"/>
                <w:szCs w:val="16"/>
              </w:rPr>
            </w:pPr>
            <w:r w:rsidRPr="0043709B">
              <w:rPr>
                <w:rFonts w:ascii="Arial Narrow" w:hAnsi="Arial Narrow" w:cs="Calibri"/>
                <w:sz w:val="16"/>
                <w:szCs w:val="16"/>
              </w:rPr>
              <w:t>12,7</w:t>
            </w:r>
          </w:p>
        </w:tc>
        <w:tc>
          <w:tcPr>
            <w:tcW w:w="1170" w:type="dxa"/>
            <w:tcBorders>
              <w:top w:val="nil"/>
              <w:left w:val="nil"/>
              <w:bottom w:val="single" w:sz="4" w:space="0" w:color="auto"/>
              <w:right w:val="single" w:sz="4" w:space="0" w:color="auto"/>
            </w:tcBorders>
            <w:shd w:val="clear" w:color="auto" w:fill="auto"/>
            <w:noWrap/>
            <w:vAlign w:val="center"/>
            <w:hideMark/>
          </w:tcPr>
          <w:p w14:paraId="7FD837D9" w14:textId="77777777" w:rsidR="0043709B" w:rsidRPr="0043709B" w:rsidRDefault="0043709B" w:rsidP="0043709B">
            <w:pPr>
              <w:jc w:val="right"/>
              <w:rPr>
                <w:rFonts w:ascii="Arial Narrow" w:hAnsi="Arial Narrow" w:cs="Calibri"/>
                <w:sz w:val="16"/>
                <w:szCs w:val="16"/>
              </w:rPr>
            </w:pPr>
            <w:r w:rsidRPr="0043709B">
              <w:rPr>
                <w:rFonts w:ascii="Arial Narrow" w:hAnsi="Arial Narrow" w:cs="Calibri"/>
                <w:sz w:val="16"/>
                <w:szCs w:val="16"/>
              </w:rPr>
              <w:t>167,7</w:t>
            </w:r>
          </w:p>
        </w:tc>
        <w:tc>
          <w:tcPr>
            <w:tcW w:w="1300" w:type="dxa"/>
            <w:tcBorders>
              <w:top w:val="nil"/>
              <w:left w:val="nil"/>
              <w:bottom w:val="single" w:sz="4" w:space="0" w:color="auto"/>
              <w:right w:val="single" w:sz="4" w:space="0" w:color="auto"/>
            </w:tcBorders>
            <w:shd w:val="clear" w:color="auto" w:fill="auto"/>
            <w:noWrap/>
            <w:vAlign w:val="center"/>
            <w:hideMark/>
          </w:tcPr>
          <w:p w14:paraId="24E3862E" w14:textId="77777777" w:rsidR="0043709B" w:rsidRPr="0043709B" w:rsidRDefault="0043709B" w:rsidP="0043709B">
            <w:pPr>
              <w:jc w:val="right"/>
              <w:rPr>
                <w:rFonts w:ascii="Arial Narrow" w:hAnsi="Arial Narrow" w:cs="Calibri"/>
                <w:sz w:val="16"/>
                <w:szCs w:val="16"/>
              </w:rPr>
            </w:pPr>
            <w:r w:rsidRPr="0043709B">
              <w:rPr>
                <w:rFonts w:ascii="Arial Narrow" w:hAnsi="Arial Narrow" w:cs="Calibri"/>
                <w:sz w:val="16"/>
                <w:szCs w:val="16"/>
              </w:rPr>
              <w:t>21,3</w:t>
            </w:r>
          </w:p>
        </w:tc>
        <w:tc>
          <w:tcPr>
            <w:tcW w:w="1220" w:type="dxa"/>
            <w:tcBorders>
              <w:top w:val="nil"/>
              <w:left w:val="nil"/>
              <w:bottom w:val="single" w:sz="4" w:space="0" w:color="auto"/>
              <w:right w:val="single" w:sz="4" w:space="0" w:color="auto"/>
            </w:tcBorders>
            <w:shd w:val="clear" w:color="auto" w:fill="auto"/>
            <w:noWrap/>
            <w:vAlign w:val="center"/>
            <w:hideMark/>
          </w:tcPr>
          <w:p w14:paraId="479F6069" w14:textId="77777777" w:rsidR="0043709B" w:rsidRPr="0043709B" w:rsidRDefault="0043709B" w:rsidP="0043709B">
            <w:pPr>
              <w:jc w:val="right"/>
              <w:rPr>
                <w:rFonts w:ascii="Arial Narrow" w:hAnsi="Arial Narrow" w:cs="Calibri"/>
                <w:sz w:val="16"/>
                <w:szCs w:val="16"/>
              </w:rPr>
            </w:pPr>
            <w:r w:rsidRPr="0043709B">
              <w:rPr>
                <w:rFonts w:ascii="Arial Narrow" w:hAnsi="Arial Narrow" w:cs="Calibri"/>
                <w:sz w:val="16"/>
                <w:szCs w:val="16"/>
              </w:rPr>
              <w:t>84,5</w:t>
            </w:r>
          </w:p>
        </w:tc>
        <w:tc>
          <w:tcPr>
            <w:tcW w:w="1236" w:type="dxa"/>
            <w:tcBorders>
              <w:top w:val="nil"/>
              <w:left w:val="nil"/>
              <w:bottom w:val="single" w:sz="4" w:space="0" w:color="auto"/>
              <w:right w:val="single" w:sz="4" w:space="0" w:color="auto"/>
            </w:tcBorders>
            <w:shd w:val="clear" w:color="auto" w:fill="auto"/>
            <w:noWrap/>
            <w:vAlign w:val="center"/>
            <w:hideMark/>
          </w:tcPr>
          <w:p w14:paraId="484283D8" w14:textId="77777777" w:rsidR="0043709B" w:rsidRPr="0043709B" w:rsidRDefault="0043709B" w:rsidP="0043709B">
            <w:pPr>
              <w:jc w:val="right"/>
              <w:rPr>
                <w:rFonts w:ascii="Arial Narrow" w:hAnsi="Arial Narrow" w:cs="Calibri"/>
                <w:sz w:val="16"/>
                <w:szCs w:val="16"/>
              </w:rPr>
            </w:pPr>
            <w:r w:rsidRPr="0043709B">
              <w:rPr>
                <w:rFonts w:ascii="Arial Narrow" w:hAnsi="Arial Narrow" w:cs="Calibri"/>
                <w:sz w:val="16"/>
                <w:szCs w:val="16"/>
              </w:rPr>
              <w:t>18,0</w:t>
            </w:r>
          </w:p>
        </w:tc>
        <w:tc>
          <w:tcPr>
            <w:tcW w:w="1260" w:type="dxa"/>
            <w:tcBorders>
              <w:top w:val="nil"/>
              <w:left w:val="nil"/>
              <w:bottom w:val="single" w:sz="4" w:space="0" w:color="auto"/>
              <w:right w:val="single" w:sz="4" w:space="0" w:color="auto"/>
            </w:tcBorders>
            <w:shd w:val="clear" w:color="auto" w:fill="auto"/>
            <w:noWrap/>
            <w:vAlign w:val="center"/>
            <w:hideMark/>
          </w:tcPr>
          <w:p w14:paraId="3AC8DE4B" w14:textId="77777777" w:rsidR="0043709B" w:rsidRPr="0043709B" w:rsidRDefault="0043709B" w:rsidP="0043709B">
            <w:pPr>
              <w:jc w:val="right"/>
              <w:rPr>
                <w:rFonts w:ascii="Arial Narrow" w:hAnsi="Arial Narrow" w:cs="Arial"/>
                <w:sz w:val="16"/>
                <w:szCs w:val="16"/>
              </w:rPr>
            </w:pPr>
            <w:r w:rsidRPr="0043709B">
              <w:rPr>
                <w:rFonts w:ascii="Arial Narrow" w:hAnsi="Arial Narrow" w:cs="Arial"/>
                <w:sz w:val="16"/>
                <w:szCs w:val="16"/>
              </w:rPr>
              <w:t>141,7</w:t>
            </w:r>
          </w:p>
        </w:tc>
      </w:tr>
      <w:tr w:rsidR="0043709B" w:rsidRPr="0043709B" w14:paraId="45CDD878" w14:textId="77777777" w:rsidTr="0043709B">
        <w:trPr>
          <w:trHeight w:val="250"/>
        </w:trPr>
        <w:tc>
          <w:tcPr>
            <w:tcW w:w="781" w:type="dxa"/>
            <w:tcBorders>
              <w:top w:val="nil"/>
              <w:left w:val="single" w:sz="4" w:space="0" w:color="auto"/>
              <w:bottom w:val="single" w:sz="4" w:space="0" w:color="auto"/>
              <w:right w:val="single" w:sz="4" w:space="0" w:color="auto"/>
            </w:tcBorders>
            <w:shd w:val="clear" w:color="auto" w:fill="auto"/>
            <w:noWrap/>
            <w:vAlign w:val="center"/>
            <w:hideMark/>
          </w:tcPr>
          <w:p w14:paraId="1C805F09" w14:textId="77777777" w:rsidR="0043709B" w:rsidRPr="0043709B" w:rsidRDefault="0043709B" w:rsidP="0043709B">
            <w:pPr>
              <w:rPr>
                <w:rFonts w:ascii="Arial Narrow" w:hAnsi="Arial Narrow" w:cs="Arial"/>
                <w:sz w:val="16"/>
                <w:szCs w:val="16"/>
              </w:rPr>
            </w:pPr>
            <w:r w:rsidRPr="0043709B">
              <w:rPr>
                <w:rFonts w:ascii="Arial Narrow" w:hAnsi="Arial Narrow" w:cs="Arial"/>
                <w:sz w:val="16"/>
                <w:szCs w:val="16"/>
              </w:rPr>
              <w:t>06.1/4</w:t>
            </w:r>
          </w:p>
        </w:tc>
        <w:tc>
          <w:tcPr>
            <w:tcW w:w="3016" w:type="dxa"/>
            <w:tcBorders>
              <w:top w:val="nil"/>
              <w:left w:val="nil"/>
              <w:bottom w:val="single" w:sz="4" w:space="0" w:color="auto"/>
              <w:right w:val="single" w:sz="4" w:space="0" w:color="auto"/>
            </w:tcBorders>
            <w:shd w:val="clear" w:color="000000" w:fill="FFFFFF"/>
            <w:noWrap/>
            <w:vAlign w:val="center"/>
            <w:hideMark/>
          </w:tcPr>
          <w:p w14:paraId="03CAA8B3" w14:textId="77777777" w:rsidR="0043709B" w:rsidRPr="0043709B" w:rsidRDefault="0043709B" w:rsidP="00CD44F3">
            <w:pPr>
              <w:ind w:firstLine="422"/>
              <w:rPr>
                <w:rFonts w:ascii="Arial Narrow" w:hAnsi="Arial Narrow" w:cs="Calibri"/>
                <w:sz w:val="16"/>
                <w:szCs w:val="16"/>
              </w:rPr>
            </w:pPr>
            <w:r w:rsidRPr="0043709B">
              <w:rPr>
                <w:rFonts w:ascii="Arial Narrow" w:hAnsi="Arial Narrow" w:cs="Calibri"/>
                <w:sz w:val="16"/>
                <w:szCs w:val="16"/>
              </w:rPr>
              <w:t>Други пресни плодове</w:t>
            </w:r>
          </w:p>
        </w:tc>
        <w:tc>
          <w:tcPr>
            <w:tcW w:w="1180" w:type="dxa"/>
            <w:tcBorders>
              <w:top w:val="nil"/>
              <w:left w:val="nil"/>
              <w:bottom w:val="single" w:sz="4" w:space="0" w:color="auto"/>
              <w:right w:val="single" w:sz="4" w:space="0" w:color="auto"/>
            </w:tcBorders>
            <w:shd w:val="clear" w:color="auto" w:fill="auto"/>
            <w:vAlign w:val="center"/>
          </w:tcPr>
          <w:p w14:paraId="10B698FF" w14:textId="77777777" w:rsidR="0043709B" w:rsidRPr="0043709B" w:rsidRDefault="0043709B" w:rsidP="0043709B">
            <w:pPr>
              <w:jc w:val="right"/>
              <w:rPr>
                <w:rFonts w:ascii="Arial Narrow" w:hAnsi="Arial Narrow" w:cs="Calibri"/>
                <w:sz w:val="16"/>
                <w:szCs w:val="16"/>
              </w:rPr>
            </w:pPr>
            <w:r w:rsidRPr="0043709B">
              <w:rPr>
                <w:rFonts w:ascii="Arial Narrow" w:hAnsi="Arial Narrow" w:cs="Calibri"/>
                <w:sz w:val="16"/>
                <w:szCs w:val="16"/>
              </w:rPr>
              <w:t>207,6</w:t>
            </w:r>
          </w:p>
        </w:tc>
        <w:tc>
          <w:tcPr>
            <w:tcW w:w="1170" w:type="dxa"/>
            <w:tcBorders>
              <w:top w:val="nil"/>
              <w:left w:val="nil"/>
              <w:bottom w:val="single" w:sz="4" w:space="0" w:color="auto"/>
              <w:right w:val="single" w:sz="4" w:space="0" w:color="auto"/>
            </w:tcBorders>
            <w:shd w:val="clear" w:color="auto" w:fill="auto"/>
            <w:noWrap/>
            <w:vAlign w:val="center"/>
            <w:hideMark/>
          </w:tcPr>
          <w:p w14:paraId="48182A6E" w14:textId="77777777" w:rsidR="0043709B" w:rsidRPr="0043709B" w:rsidRDefault="0043709B" w:rsidP="0043709B">
            <w:pPr>
              <w:jc w:val="right"/>
              <w:rPr>
                <w:rFonts w:ascii="Arial Narrow" w:hAnsi="Arial Narrow" w:cs="Calibri"/>
                <w:sz w:val="16"/>
                <w:szCs w:val="16"/>
              </w:rPr>
            </w:pPr>
            <w:r w:rsidRPr="0043709B">
              <w:rPr>
                <w:rFonts w:ascii="Arial Narrow" w:hAnsi="Arial Narrow" w:cs="Calibri"/>
                <w:sz w:val="16"/>
                <w:szCs w:val="16"/>
              </w:rPr>
              <w:t>117,1</w:t>
            </w:r>
          </w:p>
        </w:tc>
        <w:tc>
          <w:tcPr>
            <w:tcW w:w="1300" w:type="dxa"/>
            <w:tcBorders>
              <w:top w:val="nil"/>
              <w:left w:val="nil"/>
              <w:bottom w:val="single" w:sz="4" w:space="0" w:color="auto"/>
              <w:right w:val="single" w:sz="4" w:space="0" w:color="auto"/>
            </w:tcBorders>
            <w:shd w:val="clear" w:color="auto" w:fill="auto"/>
            <w:noWrap/>
            <w:vAlign w:val="center"/>
            <w:hideMark/>
          </w:tcPr>
          <w:p w14:paraId="622095DA" w14:textId="77777777" w:rsidR="0043709B" w:rsidRPr="0043709B" w:rsidRDefault="0043709B" w:rsidP="0043709B">
            <w:pPr>
              <w:jc w:val="right"/>
              <w:rPr>
                <w:rFonts w:ascii="Arial Narrow" w:hAnsi="Arial Narrow" w:cs="Calibri"/>
                <w:sz w:val="16"/>
                <w:szCs w:val="16"/>
              </w:rPr>
            </w:pPr>
            <w:r w:rsidRPr="0043709B">
              <w:rPr>
                <w:rFonts w:ascii="Arial Narrow" w:hAnsi="Arial Narrow" w:cs="Calibri"/>
                <w:sz w:val="16"/>
                <w:szCs w:val="16"/>
              </w:rPr>
              <w:t>243,2</w:t>
            </w:r>
          </w:p>
        </w:tc>
        <w:tc>
          <w:tcPr>
            <w:tcW w:w="1220" w:type="dxa"/>
            <w:tcBorders>
              <w:top w:val="nil"/>
              <w:left w:val="nil"/>
              <w:bottom w:val="single" w:sz="4" w:space="0" w:color="auto"/>
              <w:right w:val="single" w:sz="4" w:space="0" w:color="auto"/>
            </w:tcBorders>
            <w:shd w:val="clear" w:color="auto" w:fill="auto"/>
            <w:noWrap/>
            <w:vAlign w:val="center"/>
            <w:hideMark/>
          </w:tcPr>
          <w:p w14:paraId="1721A883" w14:textId="77777777" w:rsidR="0043709B" w:rsidRPr="0043709B" w:rsidRDefault="0043709B" w:rsidP="0043709B">
            <w:pPr>
              <w:jc w:val="right"/>
              <w:rPr>
                <w:rFonts w:ascii="Arial Narrow" w:hAnsi="Arial Narrow" w:cs="Calibri"/>
                <w:sz w:val="16"/>
                <w:szCs w:val="16"/>
              </w:rPr>
            </w:pPr>
            <w:r w:rsidRPr="0043709B">
              <w:rPr>
                <w:rFonts w:ascii="Arial Narrow" w:hAnsi="Arial Narrow" w:cs="Calibri"/>
                <w:sz w:val="16"/>
                <w:szCs w:val="16"/>
              </w:rPr>
              <w:t>95,6</w:t>
            </w:r>
          </w:p>
        </w:tc>
        <w:tc>
          <w:tcPr>
            <w:tcW w:w="1236" w:type="dxa"/>
            <w:tcBorders>
              <w:top w:val="nil"/>
              <w:left w:val="nil"/>
              <w:bottom w:val="single" w:sz="4" w:space="0" w:color="auto"/>
              <w:right w:val="single" w:sz="4" w:space="0" w:color="auto"/>
            </w:tcBorders>
            <w:shd w:val="clear" w:color="auto" w:fill="auto"/>
            <w:noWrap/>
            <w:vAlign w:val="center"/>
            <w:hideMark/>
          </w:tcPr>
          <w:p w14:paraId="014A54AE" w14:textId="77777777" w:rsidR="0043709B" w:rsidRPr="0043709B" w:rsidRDefault="0043709B" w:rsidP="0043709B">
            <w:pPr>
              <w:jc w:val="right"/>
              <w:rPr>
                <w:rFonts w:ascii="Arial Narrow" w:hAnsi="Arial Narrow" w:cs="Calibri"/>
                <w:sz w:val="16"/>
                <w:szCs w:val="16"/>
              </w:rPr>
            </w:pPr>
            <w:r w:rsidRPr="0043709B">
              <w:rPr>
                <w:rFonts w:ascii="Arial Narrow" w:hAnsi="Arial Narrow" w:cs="Calibri"/>
                <w:sz w:val="16"/>
                <w:szCs w:val="16"/>
              </w:rPr>
              <w:t>232,6</w:t>
            </w:r>
          </w:p>
        </w:tc>
        <w:tc>
          <w:tcPr>
            <w:tcW w:w="1260" w:type="dxa"/>
            <w:tcBorders>
              <w:top w:val="nil"/>
              <w:left w:val="nil"/>
              <w:bottom w:val="single" w:sz="4" w:space="0" w:color="auto"/>
              <w:right w:val="single" w:sz="4" w:space="0" w:color="auto"/>
            </w:tcBorders>
            <w:shd w:val="clear" w:color="auto" w:fill="auto"/>
            <w:noWrap/>
            <w:vAlign w:val="center"/>
            <w:hideMark/>
          </w:tcPr>
          <w:p w14:paraId="1B9F3556" w14:textId="77777777" w:rsidR="0043709B" w:rsidRPr="0043709B" w:rsidRDefault="0043709B" w:rsidP="0043709B">
            <w:pPr>
              <w:jc w:val="right"/>
              <w:rPr>
                <w:rFonts w:ascii="Arial Narrow" w:hAnsi="Arial Narrow" w:cs="Arial"/>
                <w:sz w:val="16"/>
                <w:szCs w:val="16"/>
              </w:rPr>
            </w:pPr>
            <w:r w:rsidRPr="0043709B">
              <w:rPr>
                <w:rFonts w:ascii="Arial Narrow" w:hAnsi="Arial Narrow" w:cs="Arial"/>
                <w:sz w:val="16"/>
                <w:szCs w:val="16"/>
              </w:rPr>
              <w:t>112,0</w:t>
            </w:r>
          </w:p>
        </w:tc>
      </w:tr>
      <w:tr w:rsidR="0043709B" w:rsidRPr="0043709B" w14:paraId="67C61CAF" w14:textId="77777777" w:rsidTr="0043709B">
        <w:trPr>
          <w:trHeight w:val="250"/>
        </w:trPr>
        <w:tc>
          <w:tcPr>
            <w:tcW w:w="781" w:type="dxa"/>
            <w:tcBorders>
              <w:top w:val="nil"/>
              <w:left w:val="single" w:sz="4" w:space="0" w:color="auto"/>
              <w:bottom w:val="single" w:sz="4" w:space="0" w:color="auto"/>
              <w:right w:val="single" w:sz="4" w:space="0" w:color="auto"/>
            </w:tcBorders>
            <w:shd w:val="clear" w:color="auto" w:fill="auto"/>
            <w:noWrap/>
            <w:vAlign w:val="center"/>
            <w:hideMark/>
          </w:tcPr>
          <w:p w14:paraId="04F649BA" w14:textId="77777777" w:rsidR="0043709B" w:rsidRPr="0043709B" w:rsidRDefault="0043709B" w:rsidP="0043709B">
            <w:pPr>
              <w:rPr>
                <w:rFonts w:ascii="Arial Narrow" w:hAnsi="Arial Narrow" w:cs="Arial"/>
                <w:sz w:val="16"/>
                <w:szCs w:val="16"/>
              </w:rPr>
            </w:pPr>
            <w:r w:rsidRPr="0043709B">
              <w:rPr>
                <w:rFonts w:ascii="Arial Narrow" w:hAnsi="Arial Narrow" w:cs="Arial"/>
                <w:sz w:val="16"/>
                <w:szCs w:val="16"/>
              </w:rPr>
              <w:t>06.4</w:t>
            </w:r>
          </w:p>
        </w:tc>
        <w:tc>
          <w:tcPr>
            <w:tcW w:w="3016" w:type="dxa"/>
            <w:tcBorders>
              <w:top w:val="nil"/>
              <w:left w:val="nil"/>
              <w:bottom w:val="single" w:sz="4" w:space="0" w:color="auto"/>
              <w:right w:val="single" w:sz="4" w:space="0" w:color="auto"/>
            </w:tcBorders>
            <w:shd w:val="clear" w:color="000000" w:fill="FFFFFF"/>
            <w:noWrap/>
            <w:vAlign w:val="center"/>
            <w:hideMark/>
          </w:tcPr>
          <w:p w14:paraId="7777235B" w14:textId="77777777" w:rsidR="0043709B" w:rsidRPr="0043709B" w:rsidRDefault="0043709B" w:rsidP="00CD44F3">
            <w:pPr>
              <w:ind w:firstLine="138"/>
              <w:rPr>
                <w:rFonts w:ascii="Arial Narrow" w:hAnsi="Arial Narrow" w:cs="Calibri"/>
                <w:sz w:val="16"/>
                <w:szCs w:val="16"/>
              </w:rPr>
            </w:pPr>
            <w:r w:rsidRPr="0043709B">
              <w:rPr>
                <w:rFonts w:ascii="Arial Narrow" w:hAnsi="Arial Narrow" w:cs="Calibri"/>
                <w:sz w:val="16"/>
                <w:szCs w:val="16"/>
              </w:rPr>
              <w:t>Грозде-всичко</w:t>
            </w:r>
          </w:p>
        </w:tc>
        <w:tc>
          <w:tcPr>
            <w:tcW w:w="1180" w:type="dxa"/>
            <w:tcBorders>
              <w:top w:val="nil"/>
              <w:left w:val="nil"/>
              <w:bottom w:val="single" w:sz="4" w:space="0" w:color="auto"/>
              <w:right w:val="single" w:sz="4" w:space="0" w:color="auto"/>
            </w:tcBorders>
            <w:shd w:val="clear" w:color="auto" w:fill="auto"/>
            <w:vAlign w:val="center"/>
          </w:tcPr>
          <w:p w14:paraId="30946281" w14:textId="77777777" w:rsidR="0043709B" w:rsidRPr="0043709B" w:rsidRDefault="0043709B" w:rsidP="0043709B">
            <w:pPr>
              <w:jc w:val="right"/>
              <w:rPr>
                <w:rFonts w:ascii="Arial Narrow" w:hAnsi="Arial Narrow" w:cs="Calibri"/>
                <w:sz w:val="16"/>
                <w:szCs w:val="16"/>
              </w:rPr>
            </w:pPr>
            <w:r w:rsidRPr="0043709B">
              <w:rPr>
                <w:rFonts w:ascii="Arial Narrow" w:hAnsi="Arial Narrow" w:cs="Calibri"/>
                <w:sz w:val="16"/>
                <w:szCs w:val="16"/>
              </w:rPr>
              <w:t>106,1</w:t>
            </w:r>
          </w:p>
        </w:tc>
        <w:tc>
          <w:tcPr>
            <w:tcW w:w="1170" w:type="dxa"/>
            <w:tcBorders>
              <w:top w:val="nil"/>
              <w:left w:val="nil"/>
              <w:bottom w:val="single" w:sz="4" w:space="0" w:color="auto"/>
              <w:right w:val="single" w:sz="4" w:space="0" w:color="auto"/>
            </w:tcBorders>
            <w:shd w:val="clear" w:color="auto" w:fill="auto"/>
            <w:noWrap/>
            <w:vAlign w:val="center"/>
            <w:hideMark/>
          </w:tcPr>
          <w:p w14:paraId="4793BFDC" w14:textId="77777777" w:rsidR="0043709B" w:rsidRPr="0043709B" w:rsidRDefault="0043709B" w:rsidP="0043709B">
            <w:pPr>
              <w:jc w:val="right"/>
              <w:rPr>
                <w:rFonts w:ascii="Arial Narrow" w:hAnsi="Arial Narrow" w:cs="Calibri"/>
                <w:sz w:val="16"/>
                <w:szCs w:val="16"/>
              </w:rPr>
            </w:pPr>
            <w:r w:rsidRPr="0043709B">
              <w:rPr>
                <w:rFonts w:ascii="Arial Narrow" w:hAnsi="Arial Narrow" w:cs="Calibri"/>
                <w:sz w:val="16"/>
                <w:szCs w:val="16"/>
              </w:rPr>
              <w:t>102,5</w:t>
            </w:r>
          </w:p>
        </w:tc>
        <w:tc>
          <w:tcPr>
            <w:tcW w:w="1300" w:type="dxa"/>
            <w:tcBorders>
              <w:top w:val="nil"/>
              <w:left w:val="nil"/>
              <w:bottom w:val="single" w:sz="4" w:space="0" w:color="auto"/>
              <w:right w:val="single" w:sz="4" w:space="0" w:color="auto"/>
            </w:tcBorders>
            <w:shd w:val="clear" w:color="auto" w:fill="auto"/>
            <w:noWrap/>
            <w:vAlign w:val="center"/>
            <w:hideMark/>
          </w:tcPr>
          <w:p w14:paraId="0A344254" w14:textId="77777777" w:rsidR="0043709B" w:rsidRPr="0043709B" w:rsidRDefault="0043709B" w:rsidP="0043709B">
            <w:pPr>
              <w:jc w:val="right"/>
              <w:rPr>
                <w:rFonts w:ascii="Arial Narrow" w:hAnsi="Arial Narrow" w:cs="Calibri"/>
                <w:sz w:val="16"/>
                <w:szCs w:val="16"/>
              </w:rPr>
            </w:pPr>
            <w:r w:rsidRPr="0043709B">
              <w:rPr>
                <w:rFonts w:ascii="Arial Narrow" w:hAnsi="Arial Narrow" w:cs="Calibri"/>
                <w:sz w:val="16"/>
                <w:szCs w:val="16"/>
              </w:rPr>
              <w:t>108,8</w:t>
            </w:r>
          </w:p>
        </w:tc>
        <w:tc>
          <w:tcPr>
            <w:tcW w:w="1220" w:type="dxa"/>
            <w:tcBorders>
              <w:top w:val="nil"/>
              <w:left w:val="nil"/>
              <w:bottom w:val="single" w:sz="4" w:space="0" w:color="auto"/>
              <w:right w:val="single" w:sz="4" w:space="0" w:color="auto"/>
            </w:tcBorders>
            <w:shd w:val="clear" w:color="auto" w:fill="auto"/>
            <w:noWrap/>
            <w:vAlign w:val="center"/>
            <w:hideMark/>
          </w:tcPr>
          <w:p w14:paraId="11E1371B" w14:textId="77777777" w:rsidR="0043709B" w:rsidRPr="0043709B" w:rsidRDefault="0043709B" w:rsidP="0043709B">
            <w:pPr>
              <w:jc w:val="right"/>
              <w:rPr>
                <w:rFonts w:ascii="Arial Narrow" w:hAnsi="Arial Narrow" w:cs="Calibri"/>
                <w:sz w:val="16"/>
                <w:szCs w:val="16"/>
              </w:rPr>
            </w:pPr>
            <w:r w:rsidRPr="0043709B">
              <w:rPr>
                <w:rFonts w:ascii="Arial Narrow" w:hAnsi="Arial Narrow" w:cs="Calibri"/>
                <w:sz w:val="16"/>
                <w:szCs w:val="16"/>
              </w:rPr>
              <w:t>104,9</w:t>
            </w:r>
          </w:p>
        </w:tc>
        <w:tc>
          <w:tcPr>
            <w:tcW w:w="1236" w:type="dxa"/>
            <w:tcBorders>
              <w:top w:val="nil"/>
              <w:left w:val="nil"/>
              <w:bottom w:val="single" w:sz="4" w:space="0" w:color="auto"/>
              <w:right w:val="single" w:sz="4" w:space="0" w:color="auto"/>
            </w:tcBorders>
            <w:shd w:val="clear" w:color="auto" w:fill="auto"/>
            <w:noWrap/>
            <w:vAlign w:val="center"/>
            <w:hideMark/>
          </w:tcPr>
          <w:p w14:paraId="080BCF31" w14:textId="77777777" w:rsidR="0043709B" w:rsidRPr="0043709B" w:rsidRDefault="0043709B" w:rsidP="0043709B">
            <w:pPr>
              <w:jc w:val="right"/>
              <w:rPr>
                <w:rFonts w:ascii="Arial Narrow" w:hAnsi="Arial Narrow" w:cs="Calibri"/>
                <w:sz w:val="16"/>
                <w:szCs w:val="16"/>
              </w:rPr>
            </w:pPr>
            <w:r w:rsidRPr="0043709B">
              <w:rPr>
                <w:rFonts w:ascii="Arial Narrow" w:hAnsi="Arial Narrow" w:cs="Calibri"/>
                <w:sz w:val="16"/>
                <w:szCs w:val="16"/>
              </w:rPr>
              <w:t>114,1</w:t>
            </w:r>
          </w:p>
        </w:tc>
        <w:tc>
          <w:tcPr>
            <w:tcW w:w="1260" w:type="dxa"/>
            <w:tcBorders>
              <w:top w:val="nil"/>
              <w:left w:val="nil"/>
              <w:bottom w:val="single" w:sz="4" w:space="0" w:color="auto"/>
              <w:right w:val="single" w:sz="4" w:space="0" w:color="auto"/>
            </w:tcBorders>
            <w:shd w:val="clear" w:color="auto" w:fill="auto"/>
            <w:noWrap/>
            <w:vAlign w:val="center"/>
            <w:hideMark/>
          </w:tcPr>
          <w:p w14:paraId="4818501C" w14:textId="77777777" w:rsidR="0043709B" w:rsidRPr="0043709B" w:rsidRDefault="0043709B" w:rsidP="0043709B">
            <w:pPr>
              <w:jc w:val="right"/>
              <w:rPr>
                <w:rFonts w:ascii="Arial Narrow" w:hAnsi="Arial Narrow" w:cs="Arial"/>
                <w:sz w:val="16"/>
                <w:szCs w:val="16"/>
              </w:rPr>
            </w:pPr>
            <w:r w:rsidRPr="0043709B">
              <w:rPr>
                <w:rFonts w:ascii="Arial Narrow" w:hAnsi="Arial Narrow" w:cs="Arial"/>
                <w:sz w:val="16"/>
                <w:szCs w:val="16"/>
              </w:rPr>
              <w:t>107,5</w:t>
            </w:r>
          </w:p>
        </w:tc>
      </w:tr>
      <w:tr w:rsidR="0043709B" w:rsidRPr="0043709B" w14:paraId="1E96FA6C" w14:textId="77777777" w:rsidTr="0043709B">
        <w:trPr>
          <w:trHeight w:val="250"/>
        </w:trPr>
        <w:tc>
          <w:tcPr>
            <w:tcW w:w="781" w:type="dxa"/>
            <w:tcBorders>
              <w:top w:val="nil"/>
              <w:left w:val="single" w:sz="4" w:space="0" w:color="auto"/>
              <w:bottom w:val="single" w:sz="4" w:space="0" w:color="auto"/>
              <w:right w:val="single" w:sz="4" w:space="0" w:color="auto"/>
            </w:tcBorders>
            <w:shd w:val="clear" w:color="auto" w:fill="auto"/>
            <w:noWrap/>
            <w:vAlign w:val="center"/>
            <w:hideMark/>
          </w:tcPr>
          <w:p w14:paraId="36474F99" w14:textId="77777777" w:rsidR="0043709B" w:rsidRPr="0043709B" w:rsidRDefault="0043709B" w:rsidP="0043709B">
            <w:pPr>
              <w:rPr>
                <w:rFonts w:ascii="Arial Narrow" w:hAnsi="Arial Narrow" w:cs="Arial"/>
                <w:sz w:val="16"/>
                <w:szCs w:val="16"/>
              </w:rPr>
            </w:pPr>
            <w:r w:rsidRPr="0043709B">
              <w:rPr>
                <w:rFonts w:ascii="Arial Narrow" w:hAnsi="Arial Narrow" w:cs="Arial"/>
                <w:sz w:val="16"/>
                <w:szCs w:val="16"/>
              </w:rPr>
              <w:t>06.4/1</w:t>
            </w:r>
          </w:p>
        </w:tc>
        <w:tc>
          <w:tcPr>
            <w:tcW w:w="3016" w:type="dxa"/>
            <w:tcBorders>
              <w:top w:val="nil"/>
              <w:left w:val="nil"/>
              <w:bottom w:val="single" w:sz="4" w:space="0" w:color="auto"/>
              <w:right w:val="single" w:sz="4" w:space="0" w:color="auto"/>
            </w:tcBorders>
            <w:shd w:val="clear" w:color="000000" w:fill="FFFFFF"/>
            <w:noWrap/>
            <w:vAlign w:val="center"/>
            <w:hideMark/>
          </w:tcPr>
          <w:p w14:paraId="68C57B3E" w14:textId="77777777" w:rsidR="0043709B" w:rsidRPr="0043709B" w:rsidRDefault="0043709B" w:rsidP="00CD44F3">
            <w:pPr>
              <w:ind w:firstLine="422"/>
              <w:rPr>
                <w:rFonts w:ascii="Arial Narrow" w:hAnsi="Arial Narrow" w:cs="Calibri"/>
                <w:sz w:val="16"/>
                <w:szCs w:val="16"/>
              </w:rPr>
            </w:pPr>
            <w:r w:rsidRPr="0043709B">
              <w:rPr>
                <w:rFonts w:ascii="Arial Narrow" w:hAnsi="Arial Narrow" w:cs="Calibri"/>
                <w:sz w:val="16"/>
                <w:szCs w:val="16"/>
              </w:rPr>
              <w:t>Дес</w:t>
            </w:r>
            <w:r w:rsidR="00CA3B9D">
              <w:rPr>
                <w:rFonts w:ascii="Arial Narrow" w:hAnsi="Arial Narrow" w:cs="Calibri"/>
                <w:sz w:val="16"/>
                <w:szCs w:val="16"/>
                <w:lang w:val="bg-BG"/>
              </w:rPr>
              <w:t>е</w:t>
            </w:r>
            <w:r w:rsidRPr="0043709B">
              <w:rPr>
                <w:rFonts w:ascii="Arial Narrow" w:hAnsi="Arial Narrow" w:cs="Calibri"/>
                <w:sz w:val="16"/>
                <w:szCs w:val="16"/>
              </w:rPr>
              <w:t>ртно грозде</w:t>
            </w:r>
          </w:p>
        </w:tc>
        <w:tc>
          <w:tcPr>
            <w:tcW w:w="1180" w:type="dxa"/>
            <w:tcBorders>
              <w:top w:val="nil"/>
              <w:left w:val="nil"/>
              <w:bottom w:val="single" w:sz="4" w:space="0" w:color="auto"/>
              <w:right w:val="single" w:sz="4" w:space="0" w:color="auto"/>
            </w:tcBorders>
            <w:shd w:val="clear" w:color="auto" w:fill="auto"/>
            <w:vAlign w:val="center"/>
          </w:tcPr>
          <w:p w14:paraId="7B15F17B" w14:textId="77777777" w:rsidR="0043709B" w:rsidRPr="0043709B" w:rsidRDefault="0043709B" w:rsidP="0043709B">
            <w:pPr>
              <w:jc w:val="right"/>
              <w:rPr>
                <w:rFonts w:ascii="Arial Narrow" w:hAnsi="Arial Narrow" w:cs="Calibri"/>
                <w:sz w:val="16"/>
                <w:szCs w:val="16"/>
              </w:rPr>
            </w:pPr>
            <w:r w:rsidRPr="0043709B">
              <w:rPr>
                <w:rFonts w:ascii="Arial Narrow" w:hAnsi="Arial Narrow" w:cs="Calibri"/>
                <w:sz w:val="16"/>
                <w:szCs w:val="16"/>
              </w:rPr>
              <w:t>15,7</w:t>
            </w:r>
          </w:p>
        </w:tc>
        <w:tc>
          <w:tcPr>
            <w:tcW w:w="1170" w:type="dxa"/>
            <w:tcBorders>
              <w:top w:val="nil"/>
              <w:left w:val="nil"/>
              <w:bottom w:val="single" w:sz="4" w:space="0" w:color="auto"/>
              <w:right w:val="single" w:sz="4" w:space="0" w:color="auto"/>
            </w:tcBorders>
            <w:shd w:val="clear" w:color="auto" w:fill="auto"/>
            <w:noWrap/>
            <w:vAlign w:val="center"/>
            <w:hideMark/>
          </w:tcPr>
          <w:p w14:paraId="13DDF479" w14:textId="77777777" w:rsidR="0043709B" w:rsidRPr="0043709B" w:rsidRDefault="0043709B" w:rsidP="0043709B">
            <w:pPr>
              <w:jc w:val="right"/>
              <w:rPr>
                <w:rFonts w:ascii="Arial Narrow" w:hAnsi="Arial Narrow" w:cs="Calibri"/>
                <w:sz w:val="16"/>
                <w:szCs w:val="16"/>
              </w:rPr>
            </w:pPr>
            <w:r w:rsidRPr="0043709B">
              <w:rPr>
                <w:rFonts w:ascii="Arial Narrow" w:hAnsi="Arial Narrow" w:cs="Calibri"/>
                <w:sz w:val="16"/>
                <w:szCs w:val="16"/>
              </w:rPr>
              <w:t>85,4</w:t>
            </w:r>
          </w:p>
        </w:tc>
        <w:tc>
          <w:tcPr>
            <w:tcW w:w="1300" w:type="dxa"/>
            <w:tcBorders>
              <w:top w:val="nil"/>
              <w:left w:val="nil"/>
              <w:bottom w:val="single" w:sz="4" w:space="0" w:color="auto"/>
              <w:right w:val="single" w:sz="4" w:space="0" w:color="auto"/>
            </w:tcBorders>
            <w:shd w:val="clear" w:color="auto" w:fill="auto"/>
            <w:noWrap/>
            <w:vAlign w:val="center"/>
            <w:hideMark/>
          </w:tcPr>
          <w:p w14:paraId="44F871F1" w14:textId="77777777" w:rsidR="0043709B" w:rsidRPr="0043709B" w:rsidRDefault="0043709B" w:rsidP="0043709B">
            <w:pPr>
              <w:jc w:val="right"/>
              <w:rPr>
                <w:rFonts w:ascii="Arial Narrow" w:hAnsi="Arial Narrow" w:cs="Calibri"/>
                <w:sz w:val="16"/>
                <w:szCs w:val="16"/>
              </w:rPr>
            </w:pPr>
            <w:r w:rsidRPr="0043709B">
              <w:rPr>
                <w:rFonts w:ascii="Arial Narrow" w:hAnsi="Arial Narrow" w:cs="Calibri"/>
                <w:sz w:val="16"/>
                <w:szCs w:val="16"/>
              </w:rPr>
              <w:t>13,4</w:t>
            </w:r>
          </w:p>
        </w:tc>
        <w:tc>
          <w:tcPr>
            <w:tcW w:w="1220" w:type="dxa"/>
            <w:tcBorders>
              <w:top w:val="nil"/>
              <w:left w:val="nil"/>
              <w:bottom w:val="single" w:sz="4" w:space="0" w:color="auto"/>
              <w:right w:val="single" w:sz="4" w:space="0" w:color="auto"/>
            </w:tcBorders>
            <w:shd w:val="clear" w:color="auto" w:fill="auto"/>
            <w:noWrap/>
            <w:vAlign w:val="center"/>
            <w:hideMark/>
          </w:tcPr>
          <w:p w14:paraId="0A37F5EF" w14:textId="77777777" w:rsidR="0043709B" w:rsidRPr="0043709B" w:rsidRDefault="0043709B" w:rsidP="0043709B">
            <w:pPr>
              <w:jc w:val="right"/>
              <w:rPr>
                <w:rFonts w:ascii="Arial Narrow" w:hAnsi="Arial Narrow" w:cs="Calibri"/>
                <w:sz w:val="16"/>
                <w:szCs w:val="16"/>
              </w:rPr>
            </w:pPr>
            <w:r w:rsidRPr="0043709B">
              <w:rPr>
                <w:rFonts w:ascii="Arial Narrow" w:hAnsi="Arial Narrow" w:cs="Calibri"/>
                <w:sz w:val="16"/>
                <w:szCs w:val="16"/>
              </w:rPr>
              <w:t>144,8</w:t>
            </w:r>
          </w:p>
        </w:tc>
        <w:tc>
          <w:tcPr>
            <w:tcW w:w="1236" w:type="dxa"/>
            <w:tcBorders>
              <w:top w:val="nil"/>
              <w:left w:val="nil"/>
              <w:bottom w:val="single" w:sz="4" w:space="0" w:color="auto"/>
              <w:right w:val="single" w:sz="4" w:space="0" w:color="auto"/>
            </w:tcBorders>
            <w:shd w:val="clear" w:color="auto" w:fill="auto"/>
            <w:noWrap/>
            <w:vAlign w:val="center"/>
            <w:hideMark/>
          </w:tcPr>
          <w:p w14:paraId="1FE27AF6" w14:textId="77777777" w:rsidR="0043709B" w:rsidRPr="0043709B" w:rsidRDefault="0043709B" w:rsidP="0043709B">
            <w:pPr>
              <w:jc w:val="right"/>
              <w:rPr>
                <w:rFonts w:ascii="Arial Narrow" w:hAnsi="Arial Narrow" w:cs="Calibri"/>
                <w:sz w:val="16"/>
                <w:szCs w:val="16"/>
              </w:rPr>
            </w:pPr>
            <w:r w:rsidRPr="0043709B">
              <w:rPr>
                <w:rFonts w:ascii="Arial Narrow" w:hAnsi="Arial Narrow" w:cs="Calibri"/>
                <w:sz w:val="16"/>
                <w:szCs w:val="16"/>
              </w:rPr>
              <w:t>19,4</w:t>
            </w:r>
          </w:p>
        </w:tc>
        <w:tc>
          <w:tcPr>
            <w:tcW w:w="1260" w:type="dxa"/>
            <w:tcBorders>
              <w:top w:val="nil"/>
              <w:left w:val="nil"/>
              <w:bottom w:val="single" w:sz="4" w:space="0" w:color="auto"/>
              <w:right w:val="single" w:sz="4" w:space="0" w:color="auto"/>
            </w:tcBorders>
            <w:shd w:val="clear" w:color="auto" w:fill="auto"/>
            <w:noWrap/>
            <w:vAlign w:val="center"/>
            <w:hideMark/>
          </w:tcPr>
          <w:p w14:paraId="4E93FE7E" w14:textId="77777777" w:rsidR="0043709B" w:rsidRPr="0043709B" w:rsidRDefault="0043709B" w:rsidP="0043709B">
            <w:pPr>
              <w:jc w:val="right"/>
              <w:rPr>
                <w:rFonts w:ascii="Arial Narrow" w:hAnsi="Arial Narrow" w:cs="Arial"/>
                <w:sz w:val="16"/>
                <w:szCs w:val="16"/>
              </w:rPr>
            </w:pPr>
            <w:r w:rsidRPr="0043709B">
              <w:rPr>
                <w:rFonts w:ascii="Arial Narrow" w:hAnsi="Arial Narrow" w:cs="Arial"/>
                <w:sz w:val="16"/>
                <w:szCs w:val="16"/>
              </w:rPr>
              <w:t>123,6</w:t>
            </w:r>
          </w:p>
        </w:tc>
      </w:tr>
      <w:tr w:rsidR="0043709B" w:rsidRPr="0043709B" w14:paraId="10E1A8B3" w14:textId="77777777" w:rsidTr="0043709B">
        <w:trPr>
          <w:trHeight w:val="250"/>
        </w:trPr>
        <w:tc>
          <w:tcPr>
            <w:tcW w:w="781" w:type="dxa"/>
            <w:tcBorders>
              <w:top w:val="nil"/>
              <w:left w:val="single" w:sz="4" w:space="0" w:color="auto"/>
              <w:bottom w:val="single" w:sz="4" w:space="0" w:color="auto"/>
              <w:right w:val="single" w:sz="4" w:space="0" w:color="auto"/>
            </w:tcBorders>
            <w:shd w:val="clear" w:color="auto" w:fill="auto"/>
            <w:noWrap/>
            <w:vAlign w:val="center"/>
            <w:hideMark/>
          </w:tcPr>
          <w:p w14:paraId="2111C220" w14:textId="77777777" w:rsidR="0043709B" w:rsidRPr="0043709B" w:rsidRDefault="0043709B" w:rsidP="0043709B">
            <w:pPr>
              <w:rPr>
                <w:rFonts w:ascii="Arial Narrow" w:hAnsi="Arial Narrow" w:cs="Arial"/>
                <w:sz w:val="16"/>
                <w:szCs w:val="16"/>
              </w:rPr>
            </w:pPr>
            <w:r w:rsidRPr="0043709B">
              <w:rPr>
                <w:rFonts w:ascii="Arial Narrow" w:hAnsi="Arial Narrow" w:cs="Arial"/>
                <w:sz w:val="16"/>
                <w:szCs w:val="16"/>
              </w:rPr>
              <w:lastRenderedPageBreak/>
              <w:t>06.4/2</w:t>
            </w:r>
          </w:p>
        </w:tc>
        <w:tc>
          <w:tcPr>
            <w:tcW w:w="3016" w:type="dxa"/>
            <w:tcBorders>
              <w:top w:val="nil"/>
              <w:left w:val="nil"/>
              <w:bottom w:val="single" w:sz="4" w:space="0" w:color="auto"/>
              <w:right w:val="single" w:sz="4" w:space="0" w:color="auto"/>
            </w:tcBorders>
            <w:shd w:val="clear" w:color="000000" w:fill="FFFFFF"/>
            <w:noWrap/>
            <w:vAlign w:val="center"/>
            <w:hideMark/>
          </w:tcPr>
          <w:p w14:paraId="415104A4" w14:textId="77777777" w:rsidR="0043709B" w:rsidRPr="0043709B" w:rsidRDefault="0043709B" w:rsidP="00CD44F3">
            <w:pPr>
              <w:ind w:firstLine="422"/>
              <w:rPr>
                <w:rFonts w:ascii="Arial Narrow" w:hAnsi="Arial Narrow" w:cs="Calibri"/>
                <w:sz w:val="16"/>
                <w:szCs w:val="16"/>
              </w:rPr>
            </w:pPr>
            <w:r w:rsidRPr="0043709B">
              <w:rPr>
                <w:rFonts w:ascii="Arial Narrow" w:hAnsi="Arial Narrow" w:cs="Calibri"/>
                <w:sz w:val="16"/>
                <w:szCs w:val="16"/>
              </w:rPr>
              <w:t>Друго грозде</w:t>
            </w:r>
          </w:p>
        </w:tc>
        <w:tc>
          <w:tcPr>
            <w:tcW w:w="1180" w:type="dxa"/>
            <w:tcBorders>
              <w:top w:val="nil"/>
              <w:left w:val="nil"/>
              <w:bottom w:val="single" w:sz="4" w:space="0" w:color="auto"/>
              <w:right w:val="single" w:sz="4" w:space="0" w:color="auto"/>
            </w:tcBorders>
            <w:shd w:val="clear" w:color="auto" w:fill="auto"/>
            <w:vAlign w:val="center"/>
          </w:tcPr>
          <w:p w14:paraId="5C2BD833" w14:textId="77777777" w:rsidR="0043709B" w:rsidRPr="0043709B" w:rsidRDefault="0043709B" w:rsidP="0043709B">
            <w:pPr>
              <w:jc w:val="right"/>
              <w:rPr>
                <w:rFonts w:ascii="Arial Narrow" w:hAnsi="Arial Narrow" w:cs="Calibri"/>
                <w:sz w:val="16"/>
                <w:szCs w:val="16"/>
              </w:rPr>
            </w:pPr>
            <w:r w:rsidRPr="0043709B">
              <w:rPr>
                <w:rFonts w:ascii="Arial Narrow" w:hAnsi="Arial Narrow" w:cs="Calibri"/>
                <w:sz w:val="16"/>
                <w:szCs w:val="16"/>
              </w:rPr>
              <w:t>90,4</w:t>
            </w:r>
          </w:p>
        </w:tc>
        <w:tc>
          <w:tcPr>
            <w:tcW w:w="1170" w:type="dxa"/>
            <w:tcBorders>
              <w:top w:val="nil"/>
              <w:left w:val="nil"/>
              <w:bottom w:val="single" w:sz="4" w:space="0" w:color="auto"/>
              <w:right w:val="single" w:sz="4" w:space="0" w:color="auto"/>
            </w:tcBorders>
            <w:shd w:val="clear" w:color="auto" w:fill="auto"/>
            <w:noWrap/>
            <w:vAlign w:val="center"/>
            <w:hideMark/>
          </w:tcPr>
          <w:p w14:paraId="19120774" w14:textId="77777777" w:rsidR="0043709B" w:rsidRPr="0043709B" w:rsidRDefault="0043709B" w:rsidP="0043709B">
            <w:pPr>
              <w:jc w:val="right"/>
              <w:rPr>
                <w:rFonts w:ascii="Arial Narrow" w:hAnsi="Arial Narrow" w:cs="Calibri"/>
                <w:sz w:val="16"/>
                <w:szCs w:val="16"/>
              </w:rPr>
            </w:pPr>
            <w:r w:rsidRPr="0043709B">
              <w:rPr>
                <w:rFonts w:ascii="Arial Narrow" w:hAnsi="Arial Narrow" w:cs="Calibri"/>
                <w:sz w:val="16"/>
                <w:szCs w:val="16"/>
              </w:rPr>
              <w:t>105,5</w:t>
            </w:r>
          </w:p>
        </w:tc>
        <w:tc>
          <w:tcPr>
            <w:tcW w:w="1300" w:type="dxa"/>
            <w:tcBorders>
              <w:top w:val="nil"/>
              <w:left w:val="nil"/>
              <w:bottom w:val="single" w:sz="4" w:space="0" w:color="auto"/>
              <w:right w:val="single" w:sz="4" w:space="0" w:color="auto"/>
            </w:tcBorders>
            <w:shd w:val="clear" w:color="auto" w:fill="auto"/>
            <w:noWrap/>
            <w:vAlign w:val="center"/>
            <w:hideMark/>
          </w:tcPr>
          <w:p w14:paraId="63B4A855" w14:textId="77777777" w:rsidR="0043709B" w:rsidRPr="0043709B" w:rsidRDefault="0043709B" w:rsidP="0043709B">
            <w:pPr>
              <w:jc w:val="right"/>
              <w:rPr>
                <w:rFonts w:ascii="Arial Narrow" w:hAnsi="Arial Narrow" w:cs="Calibri"/>
                <w:sz w:val="16"/>
                <w:szCs w:val="16"/>
              </w:rPr>
            </w:pPr>
            <w:r w:rsidRPr="0043709B">
              <w:rPr>
                <w:rFonts w:ascii="Arial Narrow" w:hAnsi="Arial Narrow" w:cs="Calibri"/>
                <w:sz w:val="16"/>
                <w:szCs w:val="16"/>
              </w:rPr>
              <w:t>95,4</w:t>
            </w:r>
          </w:p>
        </w:tc>
        <w:tc>
          <w:tcPr>
            <w:tcW w:w="1220" w:type="dxa"/>
            <w:tcBorders>
              <w:top w:val="nil"/>
              <w:left w:val="nil"/>
              <w:bottom w:val="single" w:sz="4" w:space="0" w:color="auto"/>
              <w:right w:val="single" w:sz="4" w:space="0" w:color="auto"/>
            </w:tcBorders>
            <w:shd w:val="clear" w:color="auto" w:fill="auto"/>
            <w:noWrap/>
            <w:vAlign w:val="center"/>
            <w:hideMark/>
          </w:tcPr>
          <w:p w14:paraId="24AAB1C0" w14:textId="77777777" w:rsidR="0043709B" w:rsidRPr="0043709B" w:rsidRDefault="0043709B" w:rsidP="0043709B">
            <w:pPr>
              <w:jc w:val="right"/>
              <w:rPr>
                <w:rFonts w:ascii="Arial Narrow" w:hAnsi="Arial Narrow" w:cs="Calibri"/>
                <w:sz w:val="16"/>
                <w:szCs w:val="16"/>
              </w:rPr>
            </w:pPr>
            <w:r w:rsidRPr="0043709B">
              <w:rPr>
                <w:rFonts w:ascii="Arial Narrow" w:hAnsi="Arial Narrow" w:cs="Calibri"/>
                <w:sz w:val="16"/>
                <w:szCs w:val="16"/>
              </w:rPr>
              <w:t>99,3</w:t>
            </w:r>
          </w:p>
        </w:tc>
        <w:tc>
          <w:tcPr>
            <w:tcW w:w="1236" w:type="dxa"/>
            <w:tcBorders>
              <w:top w:val="nil"/>
              <w:left w:val="nil"/>
              <w:bottom w:val="single" w:sz="4" w:space="0" w:color="auto"/>
              <w:right w:val="single" w:sz="4" w:space="0" w:color="auto"/>
            </w:tcBorders>
            <w:shd w:val="clear" w:color="auto" w:fill="auto"/>
            <w:noWrap/>
            <w:vAlign w:val="center"/>
            <w:hideMark/>
          </w:tcPr>
          <w:p w14:paraId="4371E9AB" w14:textId="77777777" w:rsidR="0043709B" w:rsidRPr="0043709B" w:rsidRDefault="0043709B" w:rsidP="0043709B">
            <w:pPr>
              <w:jc w:val="right"/>
              <w:rPr>
                <w:rFonts w:ascii="Arial Narrow" w:hAnsi="Arial Narrow" w:cs="Calibri"/>
                <w:sz w:val="16"/>
                <w:szCs w:val="16"/>
              </w:rPr>
            </w:pPr>
            <w:r w:rsidRPr="0043709B">
              <w:rPr>
                <w:rFonts w:ascii="Arial Narrow" w:hAnsi="Arial Narrow" w:cs="Calibri"/>
                <w:sz w:val="16"/>
                <w:szCs w:val="16"/>
              </w:rPr>
              <w:t>94,7</w:t>
            </w:r>
          </w:p>
        </w:tc>
        <w:tc>
          <w:tcPr>
            <w:tcW w:w="1260" w:type="dxa"/>
            <w:tcBorders>
              <w:top w:val="nil"/>
              <w:left w:val="nil"/>
              <w:bottom w:val="single" w:sz="4" w:space="0" w:color="auto"/>
              <w:right w:val="single" w:sz="4" w:space="0" w:color="auto"/>
            </w:tcBorders>
            <w:shd w:val="clear" w:color="auto" w:fill="auto"/>
            <w:noWrap/>
            <w:vAlign w:val="center"/>
            <w:hideMark/>
          </w:tcPr>
          <w:p w14:paraId="041E1393" w14:textId="77777777" w:rsidR="0043709B" w:rsidRPr="0043709B" w:rsidRDefault="0043709B" w:rsidP="0043709B">
            <w:pPr>
              <w:jc w:val="right"/>
              <w:rPr>
                <w:rFonts w:ascii="Arial Narrow" w:hAnsi="Arial Narrow" w:cs="Arial"/>
                <w:sz w:val="16"/>
                <w:szCs w:val="16"/>
              </w:rPr>
            </w:pPr>
            <w:r w:rsidRPr="0043709B">
              <w:rPr>
                <w:rFonts w:ascii="Arial Narrow" w:hAnsi="Arial Narrow" w:cs="Arial"/>
                <w:sz w:val="16"/>
                <w:szCs w:val="16"/>
              </w:rPr>
              <w:t>104,8</w:t>
            </w:r>
          </w:p>
        </w:tc>
      </w:tr>
      <w:tr w:rsidR="0043709B" w:rsidRPr="0043709B" w14:paraId="19F4A6CE" w14:textId="77777777" w:rsidTr="00CD44F3">
        <w:trPr>
          <w:trHeight w:val="250"/>
        </w:trPr>
        <w:tc>
          <w:tcPr>
            <w:tcW w:w="781" w:type="dxa"/>
            <w:tcBorders>
              <w:top w:val="nil"/>
              <w:left w:val="single" w:sz="4" w:space="0" w:color="auto"/>
              <w:bottom w:val="single" w:sz="4" w:space="0" w:color="auto"/>
              <w:right w:val="single" w:sz="4" w:space="0" w:color="auto"/>
            </w:tcBorders>
            <w:shd w:val="clear" w:color="auto" w:fill="auto"/>
            <w:noWrap/>
            <w:vAlign w:val="center"/>
            <w:hideMark/>
          </w:tcPr>
          <w:p w14:paraId="3C119AA4" w14:textId="77777777" w:rsidR="0043709B" w:rsidRPr="0043709B" w:rsidRDefault="0043709B" w:rsidP="0043709B">
            <w:pPr>
              <w:rPr>
                <w:rFonts w:ascii="Arial Narrow" w:hAnsi="Arial Narrow" w:cs="Arial"/>
                <w:sz w:val="16"/>
                <w:szCs w:val="16"/>
              </w:rPr>
            </w:pPr>
            <w:r w:rsidRPr="0043709B">
              <w:rPr>
                <w:rFonts w:ascii="Arial Narrow" w:hAnsi="Arial Narrow" w:cs="Arial"/>
                <w:sz w:val="16"/>
                <w:szCs w:val="16"/>
              </w:rPr>
              <w:t>07</w:t>
            </w:r>
          </w:p>
        </w:tc>
        <w:tc>
          <w:tcPr>
            <w:tcW w:w="3016" w:type="dxa"/>
            <w:tcBorders>
              <w:top w:val="nil"/>
              <w:left w:val="nil"/>
              <w:bottom w:val="single" w:sz="4" w:space="0" w:color="auto"/>
              <w:right w:val="single" w:sz="4" w:space="0" w:color="auto"/>
            </w:tcBorders>
            <w:shd w:val="clear" w:color="000000" w:fill="FFFFFF"/>
            <w:noWrap/>
            <w:vAlign w:val="center"/>
            <w:hideMark/>
          </w:tcPr>
          <w:p w14:paraId="0A666797" w14:textId="77777777" w:rsidR="0043709B" w:rsidRPr="0043709B" w:rsidRDefault="0043709B" w:rsidP="0043709B">
            <w:pPr>
              <w:rPr>
                <w:rFonts w:ascii="Arial Narrow" w:hAnsi="Arial Narrow" w:cs="Calibri"/>
                <w:b/>
                <w:bCs/>
                <w:sz w:val="16"/>
                <w:szCs w:val="16"/>
              </w:rPr>
            </w:pPr>
            <w:r w:rsidRPr="0043709B">
              <w:rPr>
                <w:rFonts w:ascii="Arial Narrow" w:hAnsi="Arial Narrow" w:cs="Calibri"/>
                <w:b/>
                <w:bCs/>
                <w:sz w:val="16"/>
                <w:szCs w:val="16"/>
              </w:rPr>
              <w:t>ВИНО</w:t>
            </w:r>
          </w:p>
        </w:tc>
        <w:tc>
          <w:tcPr>
            <w:tcW w:w="1180" w:type="dxa"/>
            <w:tcBorders>
              <w:top w:val="nil"/>
              <w:left w:val="nil"/>
              <w:bottom w:val="single" w:sz="4" w:space="0" w:color="auto"/>
              <w:right w:val="single" w:sz="4" w:space="0" w:color="auto"/>
            </w:tcBorders>
            <w:shd w:val="clear" w:color="auto" w:fill="auto"/>
            <w:vAlign w:val="center"/>
          </w:tcPr>
          <w:p w14:paraId="15A0AF73" w14:textId="77777777" w:rsidR="0043709B" w:rsidRPr="0043709B" w:rsidRDefault="0043709B" w:rsidP="0043709B">
            <w:pPr>
              <w:jc w:val="right"/>
              <w:rPr>
                <w:rFonts w:ascii="Arial Narrow" w:hAnsi="Arial Narrow" w:cs="Calibri"/>
                <w:sz w:val="16"/>
                <w:szCs w:val="16"/>
              </w:rPr>
            </w:pPr>
            <w:r w:rsidRPr="0043709B">
              <w:rPr>
                <w:rFonts w:ascii="Arial Narrow" w:hAnsi="Arial Narrow" w:cs="Calibri"/>
                <w:sz w:val="16"/>
                <w:szCs w:val="16"/>
              </w:rPr>
              <w:t> </w:t>
            </w:r>
          </w:p>
        </w:tc>
        <w:tc>
          <w:tcPr>
            <w:tcW w:w="1170" w:type="dxa"/>
            <w:tcBorders>
              <w:top w:val="nil"/>
              <w:left w:val="nil"/>
              <w:bottom w:val="single" w:sz="4" w:space="0" w:color="auto"/>
              <w:right w:val="single" w:sz="4" w:space="0" w:color="auto"/>
            </w:tcBorders>
            <w:shd w:val="clear" w:color="auto" w:fill="auto"/>
            <w:noWrap/>
            <w:vAlign w:val="center"/>
          </w:tcPr>
          <w:p w14:paraId="50778CF8" w14:textId="77777777" w:rsidR="0043709B" w:rsidRPr="0043709B" w:rsidRDefault="0043709B" w:rsidP="0043709B">
            <w:pPr>
              <w:jc w:val="right"/>
              <w:rPr>
                <w:rFonts w:ascii="Arial Narrow" w:hAnsi="Arial Narrow" w:cs="Calibri"/>
                <w:sz w:val="16"/>
                <w:szCs w:val="16"/>
              </w:rPr>
            </w:pPr>
          </w:p>
        </w:tc>
        <w:tc>
          <w:tcPr>
            <w:tcW w:w="1300" w:type="dxa"/>
            <w:tcBorders>
              <w:top w:val="nil"/>
              <w:left w:val="nil"/>
              <w:bottom w:val="single" w:sz="4" w:space="0" w:color="auto"/>
              <w:right w:val="single" w:sz="4" w:space="0" w:color="auto"/>
            </w:tcBorders>
            <w:shd w:val="clear" w:color="auto" w:fill="auto"/>
            <w:noWrap/>
            <w:vAlign w:val="center"/>
          </w:tcPr>
          <w:p w14:paraId="1567D6CB" w14:textId="77777777" w:rsidR="0043709B" w:rsidRPr="0043709B" w:rsidRDefault="0043709B" w:rsidP="0043709B">
            <w:pPr>
              <w:jc w:val="right"/>
              <w:rPr>
                <w:rFonts w:ascii="Arial Narrow" w:hAnsi="Arial Narrow" w:cs="Calibri"/>
                <w:sz w:val="16"/>
                <w:szCs w:val="16"/>
              </w:rPr>
            </w:pPr>
          </w:p>
        </w:tc>
        <w:tc>
          <w:tcPr>
            <w:tcW w:w="1220" w:type="dxa"/>
            <w:tcBorders>
              <w:top w:val="nil"/>
              <w:left w:val="nil"/>
              <w:bottom w:val="single" w:sz="4" w:space="0" w:color="auto"/>
              <w:right w:val="single" w:sz="4" w:space="0" w:color="auto"/>
            </w:tcBorders>
            <w:shd w:val="clear" w:color="auto" w:fill="auto"/>
            <w:noWrap/>
            <w:vAlign w:val="center"/>
          </w:tcPr>
          <w:p w14:paraId="4BA7F546" w14:textId="77777777" w:rsidR="0043709B" w:rsidRPr="0043709B" w:rsidRDefault="0043709B" w:rsidP="0043709B">
            <w:pPr>
              <w:jc w:val="right"/>
              <w:rPr>
                <w:rFonts w:ascii="Arial Narrow" w:hAnsi="Arial Narrow" w:cs="Calibri"/>
                <w:sz w:val="16"/>
                <w:szCs w:val="16"/>
              </w:rPr>
            </w:pPr>
          </w:p>
        </w:tc>
        <w:tc>
          <w:tcPr>
            <w:tcW w:w="1236" w:type="dxa"/>
            <w:tcBorders>
              <w:top w:val="nil"/>
              <w:left w:val="nil"/>
              <w:bottom w:val="single" w:sz="4" w:space="0" w:color="auto"/>
              <w:right w:val="single" w:sz="4" w:space="0" w:color="auto"/>
            </w:tcBorders>
            <w:shd w:val="clear" w:color="auto" w:fill="auto"/>
            <w:noWrap/>
            <w:vAlign w:val="center"/>
            <w:hideMark/>
          </w:tcPr>
          <w:p w14:paraId="05795BDF" w14:textId="77777777" w:rsidR="0043709B" w:rsidRPr="0043709B" w:rsidRDefault="0043709B" w:rsidP="0043709B">
            <w:pPr>
              <w:jc w:val="right"/>
              <w:rPr>
                <w:rFonts w:ascii="Arial Narrow" w:hAnsi="Arial Narrow" w:cs="Calibri"/>
                <w:sz w:val="16"/>
                <w:szCs w:val="16"/>
              </w:rPr>
            </w:pPr>
            <w:r w:rsidRPr="0043709B">
              <w:rPr>
                <w:rFonts w:ascii="Arial Narrow" w:hAnsi="Arial Narrow" w:cs="Calibri"/>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14:paraId="1BC61A88" w14:textId="77777777" w:rsidR="0043709B" w:rsidRPr="0043709B" w:rsidRDefault="0043709B" w:rsidP="0043709B">
            <w:pPr>
              <w:jc w:val="right"/>
              <w:rPr>
                <w:rFonts w:ascii="Arial Narrow" w:hAnsi="Arial Narrow" w:cs="Arial"/>
                <w:sz w:val="16"/>
                <w:szCs w:val="16"/>
              </w:rPr>
            </w:pPr>
            <w:r w:rsidRPr="0043709B">
              <w:rPr>
                <w:rFonts w:ascii="Arial Narrow" w:hAnsi="Arial Narrow" w:cs="Arial"/>
                <w:sz w:val="16"/>
                <w:szCs w:val="16"/>
              </w:rPr>
              <w:t>.</w:t>
            </w:r>
          </w:p>
        </w:tc>
      </w:tr>
      <w:tr w:rsidR="0043709B" w:rsidRPr="0043709B" w14:paraId="7F4A6FE9" w14:textId="77777777" w:rsidTr="00CD44F3">
        <w:trPr>
          <w:trHeight w:val="250"/>
        </w:trPr>
        <w:tc>
          <w:tcPr>
            <w:tcW w:w="781" w:type="dxa"/>
            <w:tcBorders>
              <w:top w:val="nil"/>
              <w:left w:val="single" w:sz="4" w:space="0" w:color="auto"/>
              <w:bottom w:val="single" w:sz="4" w:space="0" w:color="auto"/>
              <w:right w:val="single" w:sz="4" w:space="0" w:color="auto"/>
            </w:tcBorders>
            <w:shd w:val="clear" w:color="auto" w:fill="auto"/>
            <w:noWrap/>
            <w:vAlign w:val="center"/>
            <w:hideMark/>
          </w:tcPr>
          <w:p w14:paraId="59AFE6AE" w14:textId="77777777" w:rsidR="0043709B" w:rsidRPr="0043709B" w:rsidRDefault="0043709B" w:rsidP="0043709B">
            <w:pPr>
              <w:rPr>
                <w:rFonts w:ascii="Arial Narrow" w:hAnsi="Arial Narrow" w:cs="Arial"/>
                <w:sz w:val="16"/>
                <w:szCs w:val="16"/>
              </w:rPr>
            </w:pPr>
            <w:r w:rsidRPr="0043709B">
              <w:rPr>
                <w:rFonts w:ascii="Arial Narrow" w:hAnsi="Arial Narrow" w:cs="Arial"/>
                <w:sz w:val="16"/>
                <w:szCs w:val="16"/>
              </w:rPr>
              <w:t>07.1</w:t>
            </w:r>
          </w:p>
        </w:tc>
        <w:tc>
          <w:tcPr>
            <w:tcW w:w="3016" w:type="dxa"/>
            <w:tcBorders>
              <w:top w:val="nil"/>
              <w:left w:val="nil"/>
              <w:bottom w:val="single" w:sz="4" w:space="0" w:color="auto"/>
              <w:right w:val="single" w:sz="4" w:space="0" w:color="auto"/>
            </w:tcBorders>
            <w:shd w:val="clear" w:color="000000" w:fill="FFFFFF"/>
            <w:noWrap/>
            <w:vAlign w:val="center"/>
            <w:hideMark/>
          </w:tcPr>
          <w:p w14:paraId="4C3183BE" w14:textId="77777777" w:rsidR="0043709B" w:rsidRPr="0043709B" w:rsidRDefault="0043709B" w:rsidP="00CD44F3">
            <w:pPr>
              <w:ind w:firstLine="138"/>
              <w:rPr>
                <w:rFonts w:ascii="Arial Narrow" w:hAnsi="Arial Narrow" w:cs="Calibri"/>
                <w:sz w:val="16"/>
                <w:szCs w:val="16"/>
              </w:rPr>
            </w:pPr>
            <w:r w:rsidRPr="0043709B">
              <w:rPr>
                <w:rFonts w:ascii="Arial Narrow" w:hAnsi="Arial Narrow" w:cs="Calibri"/>
                <w:sz w:val="16"/>
                <w:szCs w:val="16"/>
              </w:rPr>
              <w:t>Трапезно вино</w:t>
            </w:r>
          </w:p>
        </w:tc>
        <w:tc>
          <w:tcPr>
            <w:tcW w:w="1180" w:type="dxa"/>
            <w:tcBorders>
              <w:top w:val="nil"/>
              <w:left w:val="nil"/>
              <w:bottom w:val="single" w:sz="4" w:space="0" w:color="auto"/>
              <w:right w:val="single" w:sz="4" w:space="0" w:color="auto"/>
            </w:tcBorders>
            <w:shd w:val="clear" w:color="auto" w:fill="auto"/>
            <w:vAlign w:val="center"/>
          </w:tcPr>
          <w:p w14:paraId="2297E465" w14:textId="77777777" w:rsidR="0043709B" w:rsidRPr="0043709B" w:rsidRDefault="0043709B" w:rsidP="0043709B">
            <w:pPr>
              <w:jc w:val="right"/>
              <w:rPr>
                <w:rFonts w:ascii="Arial Narrow" w:hAnsi="Arial Narrow" w:cs="Calibri"/>
                <w:sz w:val="16"/>
                <w:szCs w:val="16"/>
              </w:rPr>
            </w:pPr>
            <w:r w:rsidRPr="0043709B">
              <w:rPr>
                <w:rFonts w:ascii="Arial Narrow" w:hAnsi="Arial Narrow" w:cs="Calibri"/>
                <w:sz w:val="16"/>
                <w:szCs w:val="16"/>
              </w:rPr>
              <w:t> </w:t>
            </w:r>
          </w:p>
        </w:tc>
        <w:tc>
          <w:tcPr>
            <w:tcW w:w="1170" w:type="dxa"/>
            <w:tcBorders>
              <w:top w:val="nil"/>
              <w:left w:val="nil"/>
              <w:bottom w:val="single" w:sz="4" w:space="0" w:color="auto"/>
              <w:right w:val="single" w:sz="4" w:space="0" w:color="auto"/>
            </w:tcBorders>
            <w:shd w:val="clear" w:color="auto" w:fill="auto"/>
            <w:noWrap/>
            <w:vAlign w:val="center"/>
          </w:tcPr>
          <w:p w14:paraId="3821BE66" w14:textId="77777777" w:rsidR="0043709B" w:rsidRPr="0043709B" w:rsidRDefault="0043709B" w:rsidP="0043709B">
            <w:pPr>
              <w:jc w:val="right"/>
              <w:rPr>
                <w:rFonts w:ascii="Arial Narrow" w:hAnsi="Arial Narrow" w:cs="Calibri"/>
                <w:sz w:val="16"/>
                <w:szCs w:val="16"/>
              </w:rPr>
            </w:pPr>
          </w:p>
        </w:tc>
        <w:tc>
          <w:tcPr>
            <w:tcW w:w="1300" w:type="dxa"/>
            <w:tcBorders>
              <w:top w:val="nil"/>
              <w:left w:val="nil"/>
              <w:bottom w:val="single" w:sz="4" w:space="0" w:color="auto"/>
              <w:right w:val="single" w:sz="4" w:space="0" w:color="auto"/>
            </w:tcBorders>
            <w:shd w:val="clear" w:color="auto" w:fill="auto"/>
            <w:noWrap/>
            <w:vAlign w:val="center"/>
          </w:tcPr>
          <w:p w14:paraId="01922261" w14:textId="77777777" w:rsidR="0043709B" w:rsidRPr="0043709B" w:rsidRDefault="0043709B" w:rsidP="0043709B">
            <w:pPr>
              <w:jc w:val="right"/>
              <w:rPr>
                <w:rFonts w:ascii="Arial Narrow" w:hAnsi="Arial Narrow" w:cs="Calibri"/>
                <w:sz w:val="16"/>
                <w:szCs w:val="16"/>
              </w:rPr>
            </w:pPr>
          </w:p>
        </w:tc>
        <w:tc>
          <w:tcPr>
            <w:tcW w:w="1220" w:type="dxa"/>
            <w:tcBorders>
              <w:top w:val="nil"/>
              <w:left w:val="nil"/>
              <w:bottom w:val="single" w:sz="4" w:space="0" w:color="auto"/>
              <w:right w:val="single" w:sz="4" w:space="0" w:color="auto"/>
            </w:tcBorders>
            <w:shd w:val="clear" w:color="auto" w:fill="auto"/>
            <w:noWrap/>
            <w:vAlign w:val="center"/>
          </w:tcPr>
          <w:p w14:paraId="5E3D961D" w14:textId="77777777" w:rsidR="0043709B" w:rsidRPr="0043709B" w:rsidRDefault="0043709B" w:rsidP="0043709B">
            <w:pPr>
              <w:jc w:val="right"/>
              <w:rPr>
                <w:rFonts w:ascii="Arial Narrow" w:hAnsi="Arial Narrow" w:cs="Calibri"/>
                <w:sz w:val="16"/>
                <w:szCs w:val="16"/>
              </w:rPr>
            </w:pPr>
          </w:p>
        </w:tc>
        <w:tc>
          <w:tcPr>
            <w:tcW w:w="1236" w:type="dxa"/>
            <w:tcBorders>
              <w:top w:val="nil"/>
              <w:left w:val="nil"/>
              <w:bottom w:val="single" w:sz="4" w:space="0" w:color="auto"/>
              <w:right w:val="single" w:sz="4" w:space="0" w:color="auto"/>
            </w:tcBorders>
            <w:shd w:val="clear" w:color="auto" w:fill="auto"/>
            <w:noWrap/>
            <w:vAlign w:val="center"/>
            <w:hideMark/>
          </w:tcPr>
          <w:p w14:paraId="7BB4BD2F" w14:textId="77777777" w:rsidR="0043709B" w:rsidRPr="0043709B" w:rsidRDefault="0043709B" w:rsidP="0043709B">
            <w:pPr>
              <w:jc w:val="right"/>
              <w:rPr>
                <w:rFonts w:ascii="Arial Narrow" w:hAnsi="Arial Narrow" w:cs="Calibri"/>
                <w:sz w:val="16"/>
                <w:szCs w:val="16"/>
              </w:rPr>
            </w:pPr>
            <w:r w:rsidRPr="0043709B">
              <w:rPr>
                <w:rFonts w:ascii="Arial Narrow" w:hAnsi="Arial Narrow" w:cs="Calibri"/>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14:paraId="5FCAB9E5" w14:textId="77777777" w:rsidR="0043709B" w:rsidRPr="0043709B" w:rsidRDefault="0043709B" w:rsidP="0043709B">
            <w:pPr>
              <w:jc w:val="right"/>
              <w:rPr>
                <w:rFonts w:ascii="Arial Narrow" w:hAnsi="Arial Narrow" w:cs="Arial"/>
                <w:sz w:val="16"/>
                <w:szCs w:val="16"/>
              </w:rPr>
            </w:pPr>
            <w:r w:rsidRPr="0043709B">
              <w:rPr>
                <w:rFonts w:ascii="Arial Narrow" w:hAnsi="Arial Narrow" w:cs="Arial"/>
                <w:sz w:val="16"/>
                <w:szCs w:val="16"/>
              </w:rPr>
              <w:t>.</w:t>
            </w:r>
          </w:p>
        </w:tc>
      </w:tr>
      <w:tr w:rsidR="0043709B" w:rsidRPr="0043709B" w14:paraId="34F0A737" w14:textId="77777777" w:rsidTr="0043709B">
        <w:trPr>
          <w:trHeight w:val="250"/>
        </w:trPr>
        <w:tc>
          <w:tcPr>
            <w:tcW w:w="781" w:type="dxa"/>
            <w:tcBorders>
              <w:top w:val="nil"/>
              <w:left w:val="single" w:sz="4" w:space="0" w:color="auto"/>
              <w:bottom w:val="single" w:sz="4" w:space="0" w:color="auto"/>
              <w:right w:val="single" w:sz="4" w:space="0" w:color="auto"/>
            </w:tcBorders>
            <w:shd w:val="clear" w:color="auto" w:fill="auto"/>
            <w:noWrap/>
            <w:vAlign w:val="center"/>
            <w:hideMark/>
          </w:tcPr>
          <w:p w14:paraId="65B44929" w14:textId="77777777" w:rsidR="0043709B" w:rsidRPr="0043709B" w:rsidRDefault="0043709B" w:rsidP="0043709B">
            <w:pPr>
              <w:rPr>
                <w:rFonts w:ascii="Arial Narrow" w:hAnsi="Arial Narrow" w:cs="Arial"/>
                <w:sz w:val="16"/>
                <w:szCs w:val="16"/>
              </w:rPr>
            </w:pPr>
            <w:r w:rsidRPr="0043709B">
              <w:rPr>
                <w:rFonts w:ascii="Arial Narrow" w:hAnsi="Arial Narrow" w:cs="Arial"/>
                <w:sz w:val="16"/>
                <w:szCs w:val="16"/>
              </w:rPr>
              <w:t>09</w:t>
            </w:r>
          </w:p>
        </w:tc>
        <w:tc>
          <w:tcPr>
            <w:tcW w:w="3016" w:type="dxa"/>
            <w:tcBorders>
              <w:top w:val="nil"/>
              <w:left w:val="nil"/>
              <w:bottom w:val="single" w:sz="4" w:space="0" w:color="auto"/>
              <w:right w:val="single" w:sz="4" w:space="0" w:color="auto"/>
            </w:tcBorders>
            <w:shd w:val="clear" w:color="000000" w:fill="FFFFFF"/>
            <w:noWrap/>
            <w:vAlign w:val="center"/>
            <w:hideMark/>
          </w:tcPr>
          <w:p w14:paraId="50678C20" w14:textId="77777777" w:rsidR="0043709B" w:rsidRPr="0043709B" w:rsidRDefault="0043709B" w:rsidP="0043709B">
            <w:pPr>
              <w:rPr>
                <w:rFonts w:ascii="Arial Narrow" w:hAnsi="Arial Narrow" w:cs="Calibri"/>
                <w:b/>
                <w:bCs/>
                <w:sz w:val="16"/>
                <w:szCs w:val="16"/>
              </w:rPr>
            </w:pPr>
            <w:r w:rsidRPr="0043709B">
              <w:rPr>
                <w:rFonts w:ascii="Arial Narrow" w:hAnsi="Arial Narrow" w:cs="Calibri"/>
                <w:b/>
                <w:bCs/>
                <w:sz w:val="16"/>
                <w:szCs w:val="16"/>
              </w:rPr>
              <w:t>ДРУГИ РАСТЕНИЕВЪДНИ КУЛТУРИ</w:t>
            </w:r>
          </w:p>
        </w:tc>
        <w:tc>
          <w:tcPr>
            <w:tcW w:w="1180" w:type="dxa"/>
            <w:tcBorders>
              <w:top w:val="nil"/>
              <w:left w:val="nil"/>
              <w:bottom w:val="single" w:sz="4" w:space="0" w:color="auto"/>
              <w:right w:val="single" w:sz="4" w:space="0" w:color="auto"/>
            </w:tcBorders>
            <w:shd w:val="clear" w:color="auto" w:fill="auto"/>
            <w:vAlign w:val="center"/>
          </w:tcPr>
          <w:p w14:paraId="2F77867C" w14:textId="77777777" w:rsidR="0043709B" w:rsidRPr="0043709B" w:rsidRDefault="0043709B" w:rsidP="0043709B">
            <w:pPr>
              <w:jc w:val="right"/>
              <w:rPr>
                <w:rFonts w:ascii="Arial Narrow" w:hAnsi="Arial Narrow" w:cs="Calibri"/>
                <w:sz w:val="16"/>
                <w:szCs w:val="16"/>
              </w:rPr>
            </w:pPr>
            <w:r w:rsidRPr="0043709B">
              <w:rPr>
                <w:rFonts w:ascii="Arial Narrow" w:hAnsi="Arial Narrow" w:cs="Calibri"/>
                <w:sz w:val="16"/>
                <w:szCs w:val="16"/>
              </w:rPr>
              <w:t>51,7</w:t>
            </w:r>
          </w:p>
        </w:tc>
        <w:tc>
          <w:tcPr>
            <w:tcW w:w="1170" w:type="dxa"/>
            <w:tcBorders>
              <w:top w:val="nil"/>
              <w:left w:val="nil"/>
              <w:bottom w:val="single" w:sz="4" w:space="0" w:color="auto"/>
              <w:right w:val="single" w:sz="4" w:space="0" w:color="auto"/>
            </w:tcBorders>
            <w:shd w:val="clear" w:color="auto" w:fill="auto"/>
            <w:noWrap/>
            <w:vAlign w:val="center"/>
            <w:hideMark/>
          </w:tcPr>
          <w:p w14:paraId="176F1B3E" w14:textId="77777777" w:rsidR="0043709B" w:rsidRPr="0043709B" w:rsidRDefault="0043709B" w:rsidP="0043709B">
            <w:pPr>
              <w:jc w:val="right"/>
              <w:rPr>
                <w:rFonts w:ascii="Arial Narrow" w:hAnsi="Arial Narrow" w:cs="Calibri"/>
                <w:sz w:val="16"/>
                <w:szCs w:val="16"/>
              </w:rPr>
            </w:pPr>
            <w:r w:rsidRPr="0043709B">
              <w:rPr>
                <w:rFonts w:ascii="Arial Narrow" w:hAnsi="Arial Narrow" w:cs="Calibri"/>
                <w:sz w:val="16"/>
                <w:szCs w:val="16"/>
              </w:rPr>
              <w:t>95,4</w:t>
            </w:r>
          </w:p>
        </w:tc>
        <w:tc>
          <w:tcPr>
            <w:tcW w:w="1300" w:type="dxa"/>
            <w:tcBorders>
              <w:top w:val="nil"/>
              <w:left w:val="nil"/>
              <w:bottom w:val="single" w:sz="4" w:space="0" w:color="auto"/>
              <w:right w:val="single" w:sz="4" w:space="0" w:color="auto"/>
            </w:tcBorders>
            <w:shd w:val="clear" w:color="auto" w:fill="auto"/>
            <w:noWrap/>
            <w:vAlign w:val="center"/>
            <w:hideMark/>
          </w:tcPr>
          <w:p w14:paraId="1C74C4FC" w14:textId="77777777" w:rsidR="0043709B" w:rsidRPr="0043709B" w:rsidRDefault="0043709B" w:rsidP="0043709B">
            <w:pPr>
              <w:jc w:val="right"/>
              <w:rPr>
                <w:rFonts w:ascii="Arial Narrow" w:hAnsi="Arial Narrow" w:cs="Calibri"/>
                <w:sz w:val="16"/>
                <w:szCs w:val="16"/>
              </w:rPr>
            </w:pPr>
            <w:r w:rsidRPr="0043709B">
              <w:rPr>
                <w:rFonts w:ascii="Arial Narrow" w:hAnsi="Arial Narrow" w:cs="Calibri"/>
                <w:sz w:val="16"/>
                <w:szCs w:val="16"/>
              </w:rPr>
              <w:t>49,3</w:t>
            </w:r>
          </w:p>
        </w:tc>
        <w:tc>
          <w:tcPr>
            <w:tcW w:w="1220" w:type="dxa"/>
            <w:tcBorders>
              <w:top w:val="nil"/>
              <w:left w:val="nil"/>
              <w:bottom w:val="single" w:sz="4" w:space="0" w:color="auto"/>
              <w:right w:val="single" w:sz="4" w:space="0" w:color="auto"/>
            </w:tcBorders>
            <w:shd w:val="clear" w:color="auto" w:fill="auto"/>
            <w:noWrap/>
            <w:vAlign w:val="center"/>
            <w:hideMark/>
          </w:tcPr>
          <w:p w14:paraId="46B5B882" w14:textId="77777777" w:rsidR="0043709B" w:rsidRPr="0043709B" w:rsidRDefault="0043709B" w:rsidP="0043709B">
            <w:pPr>
              <w:jc w:val="right"/>
              <w:rPr>
                <w:rFonts w:ascii="Arial Narrow" w:hAnsi="Arial Narrow" w:cs="Calibri"/>
                <w:sz w:val="16"/>
                <w:szCs w:val="16"/>
              </w:rPr>
            </w:pPr>
            <w:r w:rsidRPr="0043709B">
              <w:rPr>
                <w:rFonts w:ascii="Arial Narrow" w:hAnsi="Arial Narrow" w:cs="Calibri"/>
                <w:sz w:val="16"/>
                <w:szCs w:val="16"/>
              </w:rPr>
              <w:t>107,5</w:t>
            </w:r>
          </w:p>
        </w:tc>
        <w:tc>
          <w:tcPr>
            <w:tcW w:w="1236" w:type="dxa"/>
            <w:tcBorders>
              <w:top w:val="nil"/>
              <w:left w:val="nil"/>
              <w:bottom w:val="single" w:sz="4" w:space="0" w:color="auto"/>
              <w:right w:val="single" w:sz="4" w:space="0" w:color="auto"/>
            </w:tcBorders>
            <w:shd w:val="clear" w:color="auto" w:fill="auto"/>
            <w:noWrap/>
            <w:vAlign w:val="center"/>
            <w:hideMark/>
          </w:tcPr>
          <w:p w14:paraId="44743F93" w14:textId="77777777" w:rsidR="0043709B" w:rsidRPr="0043709B" w:rsidRDefault="0043709B" w:rsidP="0043709B">
            <w:pPr>
              <w:jc w:val="right"/>
              <w:rPr>
                <w:rFonts w:ascii="Arial Narrow" w:hAnsi="Arial Narrow" w:cs="Calibri"/>
                <w:sz w:val="16"/>
                <w:szCs w:val="16"/>
              </w:rPr>
            </w:pPr>
            <w:r w:rsidRPr="0043709B">
              <w:rPr>
                <w:rFonts w:ascii="Arial Narrow" w:hAnsi="Arial Narrow" w:cs="Calibri"/>
                <w:sz w:val="16"/>
                <w:szCs w:val="16"/>
              </w:rPr>
              <w:t>53,0</w:t>
            </w:r>
          </w:p>
        </w:tc>
        <w:tc>
          <w:tcPr>
            <w:tcW w:w="1260" w:type="dxa"/>
            <w:tcBorders>
              <w:top w:val="nil"/>
              <w:left w:val="nil"/>
              <w:bottom w:val="single" w:sz="4" w:space="0" w:color="auto"/>
              <w:right w:val="single" w:sz="4" w:space="0" w:color="auto"/>
            </w:tcBorders>
            <w:shd w:val="clear" w:color="auto" w:fill="auto"/>
            <w:noWrap/>
            <w:vAlign w:val="center"/>
            <w:hideMark/>
          </w:tcPr>
          <w:p w14:paraId="3AB7B6E8" w14:textId="77777777" w:rsidR="0043709B" w:rsidRPr="0043709B" w:rsidRDefault="0043709B" w:rsidP="0043709B">
            <w:pPr>
              <w:jc w:val="right"/>
              <w:rPr>
                <w:rFonts w:ascii="Arial Narrow" w:hAnsi="Arial Narrow" w:cs="Arial"/>
                <w:sz w:val="16"/>
                <w:szCs w:val="16"/>
              </w:rPr>
            </w:pPr>
            <w:r w:rsidRPr="0043709B">
              <w:rPr>
                <w:rFonts w:ascii="Arial Narrow" w:hAnsi="Arial Narrow" w:cs="Arial"/>
                <w:sz w:val="16"/>
                <w:szCs w:val="16"/>
              </w:rPr>
              <w:t>102,5</w:t>
            </w:r>
          </w:p>
        </w:tc>
      </w:tr>
      <w:tr w:rsidR="0043709B" w:rsidRPr="0043709B" w14:paraId="67F87944" w14:textId="77777777" w:rsidTr="0043709B">
        <w:trPr>
          <w:trHeight w:val="250"/>
        </w:trPr>
        <w:tc>
          <w:tcPr>
            <w:tcW w:w="781" w:type="dxa"/>
            <w:tcBorders>
              <w:top w:val="nil"/>
              <w:left w:val="single" w:sz="4" w:space="0" w:color="auto"/>
              <w:bottom w:val="single" w:sz="4" w:space="0" w:color="auto"/>
              <w:right w:val="single" w:sz="4" w:space="0" w:color="auto"/>
            </w:tcBorders>
            <w:shd w:val="clear" w:color="auto" w:fill="auto"/>
            <w:noWrap/>
            <w:vAlign w:val="center"/>
            <w:hideMark/>
          </w:tcPr>
          <w:p w14:paraId="0F4BC705" w14:textId="77777777" w:rsidR="0043709B" w:rsidRPr="0043709B" w:rsidRDefault="0043709B" w:rsidP="0043709B">
            <w:pPr>
              <w:rPr>
                <w:rFonts w:ascii="Arial Narrow" w:hAnsi="Arial Narrow" w:cs="Arial"/>
                <w:sz w:val="16"/>
                <w:szCs w:val="16"/>
              </w:rPr>
            </w:pPr>
            <w:r w:rsidRPr="0043709B">
              <w:rPr>
                <w:rFonts w:ascii="Arial Narrow" w:hAnsi="Arial Narrow" w:cs="Arial"/>
                <w:sz w:val="16"/>
                <w:szCs w:val="16"/>
              </w:rPr>
              <w:t>09.2</w:t>
            </w:r>
          </w:p>
        </w:tc>
        <w:tc>
          <w:tcPr>
            <w:tcW w:w="3016" w:type="dxa"/>
            <w:tcBorders>
              <w:top w:val="nil"/>
              <w:left w:val="nil"/>
              <w:bottom w:val="single" w:sz="4" w:space="0" w:color="auto"/>
              <w:right w:val="single" w:sz="4" w:space="0" w:color="auto"/>
            </w:tcBorders>
            <w:shd w:val="clear" w:color="000000" w:fill="FFFFFF"/>
            <w:noWrap/>
            <w:vAlign w:val="center"/>
            <w:hideMark/>
          </w:tcPr>
          <w:p w14:paraId="691EBCB7" w14:textId="77777777" w:rsidR="0043709B" w:rsidRPr="0043709B" w:rsidRDefault="0043709B" w:rsidP="00CD44F3">
            <w:pPr>
              <w:ind w:firstLine="138"/>
              <w:rPr>
                <w:rFonts w:ascii="Arial Narrow" w:hAnsi="Arial Narrow" w:cs="Calibri"/>
                <w:sz w:val="16"/>
                <w:szCs w:val="16"/>
              </w:rPr>
            </w:pPr>
            <w:r w:rsidRPr="0043709B">
              <w:rPr>
                <w:rFonts w:ascii="Arial Narrow" w:hAnsi="Arial Narrow" w:cs="Calibri"/>
                <w:sz w:val="16"/>
                <w:szCs w:val="16"/>
              </w:rPr>
              <w:t>Семена</w:t>
            </w:r>
          </w:p>
        </w:tc>
        <w:tc>
          <w:tcPr>
            <w:tcW w:w="1180" w:type="dxa"/>
            <w:tcBorders>
              <w:top w:val="nil"/>
              <w:left w:val="nil"/>
              <w:bottom w:val="single" w:sz="4" w:space="0" w:color="auto"/>
              <w:right w:val="single" w:sz="4" w:space="0" w:color="auto"/>
            </w:tcBorders>
            <w:shd w:val="clear" w:color="auto" w:fill="auto"/>
            <w:vAlign w:val="center"/>
          </w:tcPr>
          <w:p w14:paraId="5B3AB7A2" w14:textId="77777777" w:rsidR="0043709B" w:rsidRPr="0043709B" w:rsidRDefault="0043709B" w:rsidP="0043709B">
            <w:pPr>
              <w:jc w:val="right"/>
              <w:rPr>
                <w:rFonts w:ascii="Arial Narrow" w:hAnsi="Arial Narrow" w:cs="Calibri"/>
                <w:sz w:val="16"/>
                <w:szCs w:val="16"/>
              </w:rPr>
            </w:pPr>
            <w:r w:rsidRPr="0043709B">
              <w:rPr>
                <w:rFonts w:ascii="Arial Narrow" w:hAnsi="Arial Narrow" w:cs="Calibri"/>
                <w:sz w:val="16"/>
                <w:szCs w:val="16"/>
              </w:rPr>
              <w:t>51,7</w:t>
            </w:r>
          </w:p>
        </w:tc>
        <w:tc>
          <w:tcPr>
            <w:tcW w:w="1170" w:type="dxa"/>
            <w:tcBorders>
              <w:top w:val="nil"/>
              <w:left w:val="nil"/>
              <w:bottom w:val="single" w:sz="4" w:space="0" w:color="auto"/>
              <w:right w:val="single" w:sz="4" w:space="0" w:color="auto"/>
            </w:tcBorders>
            <w:shd w:val="clear" w:color="auto" w:fill="auto"/>
            <w:noWrap/>
            <w:vAlign w:val="center"/>
            <w:hideMark/>
          </w:tcPr>
          <w:p w14:paraId="76A3A50E" w14:textId="77777777" w:rsidR="0043709B" w:rsidRPr="0043709B" w:rsidRDefault="0043709B" w:rsidP="0043709B">
            <w:pPr>
              <w:jc w:val="right"/>
              <w:rPr>
                <w:rFonts w:ascii="Arial Narrow" w:hAnsi="Arial Narrow" w:cs="Calibri"/>
                <w:sz w:val="16"/>
                <w:szCs w:val="16"/>
              </w:rPr>
            </w:pPr>
            <w:r w:rsidRPr="0043709B">
              <w:rPr>
                <w:rFonts w:ascii="Arial Narrow" w:hAnsi="Arial Narrow" w:cs="Calibri"/>
                <w:sz w:val="16"/>
                <w:szCs w:val="16"/>
              </w:rPr>
              <w:t>95,4</w:t>
            </w:r>
          </w:p>
        </w:tc>
        <w:tc>
          <w:tcPr>
            <w:tcW w:w="1300" w:type="dxa"/>
            <w:tcBorders>
              <w:top w:val="nil"/>
              <w:left w:val="nil"/>
              <w:bottom w:val="single" w:sz="4" w:space="0" w:color="auto"/>
              <w:right w:val="single" w:sz="4" w:space="0" w:color="auto"/>
            </w:tcBorders>
            <w:shd w:val="clear" w:color="auto" w:fill="auto"/>
            <w:noWrap/>
            <w:vAlign w:val="center"/>
            <w:hideMark/>
          </w:tcPr>
          <w:p w14:paraId="7EFFF6CE" w14:textId="77777777" w:rsidR="0043709B" w:rsidRPr="0043709B" w:rsidRDefault="0043709B" w:rsidP="0043709B">
            <w:pPr>
              <w:jc w:val="right"/>
              <w:rPr>
                <w:rFonts w:ascii="Arial Narrow" w:hAnsi="Arial Narrow" w:cs="Calibri"/>
                <w:sz w:val="16"/>
                <w:szCs w:val="16"/>
              </w:rPr>
            </w:pPr>
            <w:r w:rsidRPr="0043709B">
              <w:rPr>
                <w:rFonts w:ascii="Arial Narrow" w:hAnsi="Arial Narrow" w:cs="Calibri"/>
                <w:sz w:val="16"/>
                <w:szCs w:val="16"/>
              </w:rPr>
              <w:t>49,3</w:t>
            </w:r>
          </w:p>
        </w:tc>
        <w:tc>
          <w:tcPr>
            <w:tcW w:w="1220" w:type="dxa"/>
            <w:tcBorders>
              <w:top w:val="nil"/>
              <w:left w:val="nil"/>
              <w:bottom w:val="single" w:sz="4" w:space="0" w:color="auto"/>
              <w:right w:val="single" w:sz="4" w:space="0" w:color="auto"/>
            </w:tcBorders>
            <w:shd w:val="clear" w:color="auto" w:fill="auto"/>
            <w:noWrap/>
            <w:vAlign w:val="center"/>
            <w:hideMark/>
          </w:tcPr>
          <w:p w14:paraId="3CAC2C41" w14:textId="77777777" w:rsidR="0043709B" w:rsidRPr="0043709B" w:rsidRDefault="0043709B" w:rsidP="0043709B">
            <w:pPr>
              <w:jc w:val="right"/>
              <w:rPr>
                <w:rFonts w:ascii="Arial Narrow" w:hAnsi="Arial Narrow" w:cs="Calibri"/>
                <w:sz w:val="16"/>
                <w:szCs w:val="16"/>
              </w:rPr>
            </w:pPr>
            <w:r w:rsidRPr="0043709B">
              <w:rPr>
                <w:rFonts w:ascii="Arial Narrow" w:hAnsi="Arial Narrow" w:cs="Calibri"/>
                <w:sz w:val="16"/>
                <w:szCs w:val="16"/>
              </w:rPr>
              <w:t>107,5</w:t>
            </w:r>
          </w:p>
        </w:tc>
        <w:tc>
          <w:tcPr>
            <w:tcW w:w="1236" w:type="dxa"/>
            <w:tcBorders>
              <w:top w:val="nil"/>
              <w:left w:val="nil"/>
              <w:bottom w:val="single" w:sz="4" w:space="0" w:color="auto"/>
              <w:right w:val="single" w:sz="4" w:space="0" w:color="auto"/>
            </w:tcBorders>
            <w:shd w:val="clear" w:color="auto" w:fill="auto"/>
            <w:noWrap/>
            <w:vAlign w:val="center"/>
            <w:hideMark/>
          </w:tcPr>
          <w:p w14:paraId="342A975A" w14:textId="77777777" w:rsidR="0043709B" w:rsidRPr="0043709B" w:rsidRDefault="0043709B" w:rsidP="0043709B">
            <w:pPr>
              <w:jc w:val="right"/>
              <w:rPr>
                <w:rFonts w:ascii="Arial Narrow" w:hAnsi="Arial Narrow" w:cs="Calibri"/>
                <w:sz w:val="16"/>
                <w:szCs w:val="16"/>
              </w:rPr>
            </w:pPr>
            <w:r w:rsidRPr="0043709B">
              <w:rPr>
                <w:rFonts w:ascii="Arial Narrow" w:hAnsi="Arial Narrow" w:cs="Calibri"/>
                <w:sz w:val="16"/>
                <w:szCs w:val="16"/>
              </w:rPr>
              <w:t>53,0</w:t>
            </w:r>
          </w:p>
        </w:tc>
        <w:tc>
          <w:tcPr>
            <w:tcW w:w="1260" w:type="dxa"/>
            <w:tcBorders>
              <w:top w:val="nil"/>
              <w:left w:val="nil"/>
              <w:bottom w:val="single" w:sz="4" w:space="0" w:color="auto"/>
              <w:right w:val="single" w:sz="4" w:space="0" w:color="auto"/>
            </w:tcBorders>
            <w:shd w:val="clear" w:color="auto" w:fill="auto"/>
            <w:noWrap/>
            <w:vAlign w:val="center"/>
            <w:hideMark/>
          </w:tcPr>
          <w:p w14:paraId="60FD1416" w14:textId="77777777" w:rsidR="0043709B" w:rsidRPr="0043709B" w:rsidRDefault="0043709B" w:rsidP="0043709B">
            <w:pPr>
              <w:jc w:val="right"/>
              <w:rPr>
                <w:rFonts w:ascii="Arial Narrow" w:hAnsi="Arial Narrow" w:cs="Arial"/>
                <w:sz w:val="16"/>
                <w:szCs w:val="16"/>
              </w:rPr>
            </w:pPr>
            <w:r w:rsidRPr="0043709B">
              <w:rPr>
                <w:rFonts w:ascii="Arial Narrow" w:hAnsi="Arial Narrow" w:cs="Arial"/>
                <w:sz w:val="16"/>
                <w:szCs w:val="16"/>
              </w:rPr>
              <w:t>102,5</w:t>
            </w:r>
          </w:p>
        </w:tc>
      </w:tr>
      <w:tr w:rsidR="0043709B" w:rsidRPr="0043709B" w14:paraId="250BC36F" w14:textId="77777777" w:rsidTr="0043709B">
        <w:trPr>
          <w:trHeight w:val="250"/>
        </w:trPr>
        <w:tc>
          <w:tcPr>
            <w:tcW w:w="781" w:type="dxa"/>
            <w:tcBorders>
              <w:top w:val="nil"/>
              <w:left w:val="single" w:sz="4" w:space="0" w:color="auto"/>
              <w:bottom w:val="single" w:sz="4" w:space="0" w:color="auto"/>
              <w:right w:val="single" w:sz="4" w:space="0" w:color="auto"/>
            </w:tcBorders>
            <w:shd w:val="clear" w:color="auto" w:fill="auto"/>
            <w:noWrap/>
            <w:vAlign w:val="center"/>
            <w:hideMark/>
          </w:tcPr>
          <w:p w14:paraId="42510769" w14:textId="77777777" w:rsidR="0043709B" w:rsidRPr="0043709B" w:rsidRDefault="0043709B" w:rsidP="0043709B">
            <w:pPr>
              <w:rPr>
                <w:rFonts w:ascii="Arial Narrow" w:hAnsi="Arial Narrow" w:cs="Arial"/>
                <w:sz w:val="16"/>
                <w:szCs w:val="16"/>
              </w:rPr>
            </w:pPr>
            <w:r w:rsidRPr="0043709B">
              <w:rPr>
                <w:rFonts w:ascii="Arial Narrow" w:hAnsi="Arial Narrow" w:cs="Arial"/>
                <w:sz w:val="16"/>
                <w:szCs w:val="16"/>
              </w:rPr>
              <w:t>09.3</w:t>
            </w:r>
          </w:p>
        </w:tc>
        <w:tc>
          <w:tcPr>
            <w:tcW w:w="3016" w:type="dxa"/>
            <w:tcBorders>
              <w:top w:val="nil"/>
              <w:left w:val="nil"/>
              <w:bottom w:val="single" w:sz="4" w:space="0" w:color="auto"/>
              <w:right w:val="single" w:sz="4" w:space="0" w:color="auto"/>
            </w:tcBorders>
            <w:shd w:val="clear" w:color="000000" w:fill="FFFFFF"/>
            <w:noWrap/>
            <w:vAlign w:val="center"/>
            <w:hideMark/>
          </w:tcPr>
          <w:p w14:paraId="39961B97" w14:textId="77777777" w:rsidR="0043709B" w:rsidRPr="0043709B" w:rsidRDefault="0043709B" w:rsidP="00CD44F3">
            <w:pPr>
              <w:ind w:firstLine="138"/>
              <w:rPr>
                <w:rFonts w:ascii="Arial Narrow" w:hAnsi="Arial Narrow" w:cs="Calibri"/>
                <w:sz w:val="16"/>
                <w:szCs w:val="16"/>
              </w:rPr>
            </w:pPr>
            <w:r w:rsidRPr="0043709B">
              <w:rPr>
                <w:rFonts w:ascii="Arial Narrow" w:hAnsi="Arial Narrow" w:cs="Calibri"/>
                <w:sz w:val="16"/>
                <w:szCs w:val="16"/>
              </w:rPr>
              <w:t>Други растениевъдни продукти</w:t>
            </w:r>
          </w:p>
        </w:tc>
        <w:tc>
          <w:tcPr>
            <w:tcW w:w="1180" w:type="dxa"/>
            <w:tcBorders>
              <w:top w:val="nil"/>
              <w:left w:val="nil"/>
              <w:bottom w:val="single" w:sz="4" w:space="0" w:color="auto"/>
              <w:right w:val="single" w:sz="4" w:space="0" w:color="auto"/>
            </w:tcBorders>
            <w:shd w:val="clear" w:color="auto" w:fill="auto"/>
            <w:vAlign w:val="center"/>
          </w:tcPr>
          <w:p w14:paraId="4EAD3E88" w14:textId="77777777" w:rsidR="0043709B" w:rsidRPr="0043709B" w:rsidRDefault="0043709B" w:rsidP="0043709B">
            <w:pPr>
              <w:jc w:val="right"/>
              <w:rPr>
                <w:rFonts w:ascii="Arial Narrow" w:hAnsi="Arial Narrow" w:cs="Calibri"/>
                <w:sz w:val="16"/>
                <w:szCs w:val="16"/>
              </w:rPr>
            </w:pPr>
          </w:p>
        </w:tc>
        <w:tc>
          <w:tcPr>
            <w:tcW w:w="1170" w:type="dxa"/>
            <w:tcBorders>
              <w:top w:val="nil"/>
              <w:left w:val="nil"/>
              <w:bottom w:val="single" w:sz="4" w:space="0" w:color="auto"/>
              <w:right w:val="single" w:sz="4" w:space="0" w:color="auto"/>
            </w:tcBorders>
            <w:shd w:val="clear" w:color="auto" w:fill="auto"/>
            <w:noWrap/>
            <w:vAlign w:val="center"/>
            <w:hideMark/>
          </w:tcPr>
          <w:p w14:paraId="6744B69A" w14:textId="77777777" w:rsidR="0043709B" w:rsidRPr="0043709B" w:rsidRDefault="0043709B" w:rsidP="0043709B">
            <w:pPr>
              <w:jc w:val="right"/>
              <w:rPr>
                <w:rFonts w:ascii="Arial Narrow" w:hAnsi="Arial Narrow" w:cs="Calibri"/>
                <w:sz w:val="16"/>
                <w:szCs w:val="16"/>
              </w:rPr>
            </w:pPr>
          </w:p>
        </w:tc>
        <w:tc>
          <w:tcPr>
            <w:tcW w:w="1300" w:type="dxa"/>
            <w:tcBorders>
              <w:top w:val="nil"/>
              <w:left w:val="nil"/>
              <w:bottom w:val="single" w:sz="4" w:space="0" w:color="auto"/>
              <w:right w:val="single" w:sz="4" w:space="0" w:color="auto"/>
            </w:tcBorders>
            <w:shd w:val="clear" w:color="auto" w:fill="auto"/>
            <w:noWrap/>
            <w:vAlign w:val="center"/>
            <w:hideMark/>
          </w:tcPr>
          <w:p w14:paraId="521E31EC" w14:textId="77777777" w:rsidR="0043709B" w:rsidRPr="0043709B" w:rsidRDefault="0043709B" w:rsidP="0043709B">
            <w:pPr>
              <w:jc w:val="right"/>
              <w:rPr>
                <w:rFonts w:ascii="Arial Narrow" w:hAnsi="Arial Narrow" w:cs="Calibri"/>
                <w:sz w:val="16"/>
                <w:szCs w:val="16"/>
              </w:rPr>
            </w:pPr>
            <w:r w:rsidRPr="0043709B">
              <w:rPr>
                <w:rFonts w:ascii="Arial Narrow" w:hAnsi="Arial Narrow" w:cs="Calibri"/>
                <w:sz w:val="16"/>
                <w:szCs w:val="16"/>
              </w:rPr>
              <w:t> </w:t>
            </w:r>
          </w:p>
        </w:tc>
        <w:tc>
          <w:tcPr>
            <w:tcW w:w="1220" w:type="dxa"/>
            <w:tcBorders>
              <w:top w:val="nil"/>
              <w:left w:val="nil"/>
              <w:bottom w:val="single" w:sz="4" w:space="0" w:color="auto"/>
              <w:right w:val="single" w:sz="4" w:space="0" w:color="auto"/>
            </w:tcBorders>
            <w:shd w:val="clear" w:color="auto" w:fill="auto"/>
            <w:noWrap/>
            <w:vAlign w:val="center"/>
            <w:hideMark/>
          </w:tcPr>
          <w:p w14:paraId="6B6E0DDD" w14:textId="77777777" w:rsidR="0043709B" w:rsidRPr="0043709B" w:rsidRDefault="0043709B" w:rsidP="0043709B">
            <w:pPr>
              <w:jc w:val="right"/>
              <w:rPr>
                <w:rFonts w:ascii="Arial Narrow" w:hAnsi="Arial Narrow" w:cs="Calibri"/>
                <w:sz w:val="16"/>
                <w:szCs w:val="16"/>
              </w:rPr>
            </w:pPr>
          </w:p>
        </w:tc>
        <w:tc>
          <w:tcPr>
            <w:tcW w:w="1236" w:type="dxa"/>
            <w:tcBorders>
              <w:top w:val="nil"/>
              <w:left w:val="nil"/>
              <w:bottom w:val="single" w:sz="4" w:space="0" w:color="auto"/>
              <w:right w:val="single" w:sz="4" w:space="0" w:color="auto"/>
            </w:tcBorders>
            <w:shd w:val="clear" w:color="auto" w:fill="auto"/>
            <w:noWrap/>
            <w:vAlign w:val="center"/>
            <w:hideMark/>
          </w:tcPr>
          <w:p w14:paraId="7816BD09" w14:textId="77777777" w:rsidR="0043709B" w:rsidRPr="0043709B" w:rsidRDefault="0043709B" w:rsidP="0043709B">
            <w:pPr>
              <w:jc w:val="right"/>
              <w:rPr>
                <w:rFonts w:ascii="Arial Narrow" w:hAnsi="Arial Narrow" w:cs="Calibri"/>
                <w:sz w:val="16"/>
                <w:szCs w:val="16"/>
              </w:rPr>
            </w:pPr>
            <w:r w:rsidRPr="0043709B">
              <w:rPr>
                <w:rFonts w:ascii="Arial Narrow" w:hAnsi="Arial Narrow" w:cs="Calibri"/>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14:paraId="1B5EF5E3" w14:textId="77777777" w:rsidR="0043709B" w:rsidRPr="0043709B" w:rsidRDefault="0043709B" w:rsidP="0043709B">
            <w:pPr>
              <w:jc w:val="right"/>
              <w:rPr>
                <w:rFonts w:ascii="Arial Narrow" w:hAnsi="Arial Narrow" w:cs="Arial"/>
                <w:sz w:val="16"/>
                <w:szCs w:val="16"/>
              </w:rPr>
            </w:pPr>
            <w:r w:rsidRPr="0043709B">
              <w:rPr>
                <w:rFonts w:ascii="Arial Narrow" w:hAnsi="Arial Narrow" w:cs="Arial"/>
                <w:sz w:val="16"/>
                <w:szCs w:val="16"/>
              </w:rPr>
              <w:t>.</w:t>
            </w:r>
          </w:p>
        </w:tc>
      </w:tr>
      <w:tr w:rsidR="0043709B" w:rsidRPr="0043709B" w14:paraId="26F58CE9" w14:textId="77777777" w:rsidTr="0043709B">
        <w:trPr>
          <w:trHeight w:val="420"/>
        </w:trPr>
        <w:tc>
          <w:tcPr>
            <w:tcW w:w="781" w:type="dxa"/>
            <w:tcBorders>
              <w:top w:val="nil"/>
              <w:left w:val="single" w:sz="4" w:space="0" w:color="auto"/>
              <w:bottom w:val="single" w:sz="4" w:space="0" w:color="auto"/>
              <w:right w:val="single" w:sz="4" w:space="0" w:color="auto"/>
            </w:tcBorders>
            <w:shd w:val="clear" w:color="auto" w:fill="auto"/>
            <w:noWrap/>
            <w:vAlign w:val="center"/>
            <w:hideMark/>
          </w:tcPr>
          <w:p w14:paraId="4F55351E" w14:textId="77777777" w:rsidR="0043709B" w:rsidRPr="0043709B" w:rsidRDefault="0043709B" w:rsidP="0043709B">
            <w:pPr>
              <w:rPr>
                <w:rFonts w:ascii="Arial Narrow" w:hAnsi="Arial Narrow" w:cs="Arial"/>
                <w:b/>
                <w:bCs/>
                <w:sz w:val="16"/>
                <w:szCs w:val="16"/>
              </w:rPr>
            </w:pPr>
            <w:r w:rsidRPr="0043709B">
              <w:rPr>
                <w:rFonts w:ascii="Arial Narrow" w:hAnsi="Arial Narrow" w:cs="Arial"/>
                <w:b/>
                <w:bCs/>
                <w:sz w:val="16"/>
                <w:szCs w:val="16"/>
              </w:rPr>
              <w:t>10</w:t>
            </w:r>
          </w:p>
        </w:tc>
        <w:tc>
          <w:tcPr>
            <w:tcW w:w="3016" w:type="dxa"/>
            <w:tcBorders>
              <w:top w:val="nil"/>
              <w:left w:val="nil"/>
              <w:bottom w:val="single" w:sz="4" w:space="0" w:color="auto"/>
              <w:right w:val="single" w:sz="4" w:space="0" w:color="auto"/>
            </w:tcBorders>
            <w:shd w:val="clear" w:color="000000" w:fill="FFFFFF"/>
            <w:noWrap/>
            <w:vAlign w:val="center"/>
            <w:hideMark/>
          </w:tcPr>
          <w:p w14:paraId="12E397CB" w14:textId="77777777" w:rsidR="0043709B" w:rsidRPr="0043709B" w:rsidRDefault="0043709B" w:rsidP="0043709B">
            <w:pPr>
              <w:rPr>
                <w:rFonts w:ascii="Arial Narrow" w:hAnsi="Arial Narrow" w:cs="Calibri"/>
                <w:b/>
                <w:bCs/>
                <w:sz w:val="16"/>
                <w:szCs w:val="16"/>
              </w:rPr>
            </w:pPr>
            <w:r w:rsidRPr="0043709B">
              <w:rPr>
                <w:rFonts w:ascii="Arial Narrow" w:hAnsi="Arial Narrow" w:cs="Calibri"/>
                <w:b/>
                <w:bCs/>
                <w:sz w:val="16"/>
                <w:szCs w:val="16"/>
              </w:rPr>
              <w:t>ПРОДУКЦИЯ ОТ РАСТЕНИЕВЪДСТВОТО (ОТ 01 ДО 09)</w:t>
            </w:r>
          </w:p>
        </w:tc>
        <w:tc>
          <w:tcPr>
            <w:tcW w:w="1180" w:type="dxa"/>
            <w:tcBorders>
              <w:top w:val="nil"/>
              <w:left w:val="nil"/>
              <w:bottom w:val="single" w:sz="4" w:space="0" w:color="auto"/>
              <w:right w:val="single" w:sz="4" w:space="0" w:color="auto"/>
            </w:tcBorders>
            <w:shd w:val="clear" w:color="auto" w:fill="auto"/>
            <w:vAlign w:val="center"/>
          </w:tcPr>
          <w:p w14:paraId="4042FCB2" w14:textId="77777777" w:rsidR="0043709B" w:rsidRPr="0043709B" w:rsidRDefault="0043709B" w:rsidP="0043709B">
            <w:pPr>
              <w:jc w:val="right"/>
              <w:rPr>
                <w:rFonts w:ascii="Arial Narrow" w:hAnsi="Arial Narrow" w:cs="Calibri"/>
                <w:sz w:val="16"/>
                <w:szCs w:val="16"/>
              </w:rPr>
            </w:pPr>
            <w:r w:rsidRPr="0043709B">
              <w:rPr>
                <w:rFonts w:ascii="Arial Narrow" w:hAnsi="Arial Narrow" w:cs="Calibri"/>
                <w:sz w:val="16"/>
                <w:szCs w:val="16"/>
              </w:rPr>
              <w:t>7 124,5</w:t>
            </w:r>
          </w:p>
        </w:tc>
        <w:tc>
          <w:tcPr>
            <w:tcW w:w="1170" w:type="dxa"/>
            <w:tcBorders>
              <w:top w:val="nil"/>
              <w:left w:val="nil"/>
              <w:bottom w:val="single" w:sz="4" w:space="0" w:color="auto"/>
              <w:right w:val="single" w:sz="4" w:space="0" w:color="auto"/>
            </w:tcBorders>
            <w:shd w:val="clear" w:color="auto" w:fill="auto"/>
            <w:noWrap/>
            <w:vAlign w:val="center"/>
            <w:hideMark/>
          </w:tcPr>
          <w:p w14:paraId="64E50A1C" w14:textId="77777777" w:rsidR="0043709B" w:rsidRPr="0043709B" w:rsidRDefault="0043709B" w:rsidP="0043709B">
            <w:pPr>
              <w:jc w:val="right"/>
              <w:rPr>
                <w:rFonts w:ascii="Arial Narrow" w:hAnsi="Arial Narrow" w:cs="Calibri"/>
                <w:sz w:val="16"/>
                <w:szCs w:val="16"/>
              </w:rPr>
            </w:pPr>
            <w:r w:rsidRPr="0043709B">
              <w:rPr>
                <w:rFonts w:ascii="Arial Narrow" w:hAnsi="Arial Narrow" w:cs="Calibri"/>
                <w:sz w:val="16"/>
                <w:szCs w:val="16"/>
              </w:rPr>
              <w:t>96,4</w:t>
            </w:r>
          </w:p>
        </w:tc>
        <w:tc>
          <w:tcPr>
            <w:tcW w:w="1300" w:type="dxa"/>
            <w:tcBorders>
              <w:top w:val="nil"/>
              <w:left w:val="nil"/>
              <w:bottom w:val="single" w:sz="4" w:space="0" w:color="auto"/>
              <w:right w:val="single" w:sz="4" w:space="0" w:color="auto"/>
            </w:tcBorders>
            <w:shd w:val="clear" w:color="auto" w:fill="auto"/>
            <w:noWrap/>
            <w:vAlign w:val="center"/>
            <w:hideMark/>
          </w:tcPr>
          <w:p w14:paraId="41C1BF05" w14:textId="77777777" w:rsidR="0043709B" w:rsidRPr="0043709B" w:rsidRDefault="0043709B" w:rsidP="0043709B">
            <w:pPr>
              <w:jc w:val="right"/>
              <w:rPr>
                <w:rFonts w:ascii="Arial Narrow" w:hAnsi="Arial Narrow" w:cs="Calibri"/>
                <w:sz w:val="16"/>
                <w:szCs w:val="16"/>
              </w:rPr>
            </w:pPr>
            <w:r w:rsidRPr="0043709B">
              <w:rPr>
                <w:rFonts w:ascii="Arial Narrow" w:hAnsi="Arial Narrow" w:cs="Calibri"/>
                <w:sz w:val="16"/>
                <w:szCs w:val="16"/>
              </w:rPr>
              <w:t>6 869,0</w:t>
            </w:r>
          </w:p>
        </w:tc>
        <w:tc>
          <w:tcPr>
            <w:tcW w:w="1220" w:type="dxa"/>
            <w:tcBorders>
              <w:top w:val="nil"/>
              <w:left w:val="nil"/>
              <w:bottom w:val="single" w:sz="4" w:space="0" w:color="auto"/>
              <w:right w:val="single" w:sz="4" w:space="0" w:color="auto"/>
            </w:tcBorders>
            <w:shd w:val="clear" w:color="auto" w:fill="auto"/>
            <w:noWrap/>
            <w:vAlign w:val="center"/>
            <w:hideMark/>
          </w:tcPr>
          <w:p w14:paraId="40C9FD68" w14:textId="77777777" w:rsidR="0043709B" w:rsidRPr="0043709B" w:rsidRDefault="0043709B" w:rsidP="0043709B">
            <w:pPr>
              <w:jc w:val="right"/>
              <w:rPr>
                <w:rFonts w:ascii="Arial Narrow" w:hAnsi="Arial Narrow" w:cs="Calibri"/>
                <w:sz w:val="16"/>
                <w:szCs w:val="16"/>
              </w:rPr>
            </w:pPr>
            <w:r w:rsidRPr="0043709B">
              <w:rPr>
                <w:rFonts w:ascii="Arial Narrow" w:hAnsi="Arial Narrow" w:cs="Calibri"/>
                <w:sz w:val="16"/>
                <w:szCs w:val="16"/>
              </w:rPr>
              <w:t>93,9</w:t>
            </w:r>
          </w:p>
        </w:tc>
        <w:tc>
          <w:tcPr>
            <w:tcW w:w="1236" w:type="dxa"/>
            <w:tcBorders>
              <w:top w:val="nil"/>
              <w:left w:val="nil"/>
              <w:bottom w:val="single" w:sz="4" w:space="0" w:color="auto"/>
              <w:right w:val="single" w:sz="4" w:space="0" w:color="auto"/>
            </w:tcBorders>
            <w:shd w:val="clear" w:color="auto" w:fill="auto"/>
            <w:noWrap/>
            <w:vAlign w:val="center"/>
            <w:hideMark/>
          </w:tcPr>
          <w:p w14:paraId="200B4969" w14:textId="77777777" w:rsidR="0043709B" w:rsidRPr="0043709B" w:rsidRDefault="0043709B" w:rsidP="0043709B">
            <w:pPr>
              <w:jc w:val="right"/>
              <w:rPr>
                <w:rFonts w:ascii="Arial Narrow" w:hAnsi="Arial Narrow" w:cs="Calibri"/>
                <w:sz w:val="16"/>
                <w:szCs w:val="16"/>
              </w:rPr>
            </w:pPr>
            <w:r w:rsidRPr="0043709B">
              <w:rPr>
                <w:rFonts w:ascii="Arial Narrow" w:hAnsi="Arial Narrow" w:cs="Calibri"/>
                <w:sz w:val="16"/>
                <w:szCs w:val="16"/>
              </w:rPr>
              <w:t>6 447,6</w:t>
            </w:r>
          </w:p>
        </w:tc>
        <w:tc>
          <w:tcPr>
            <w:tcW w:w="1260" w:type="dxa"/>
            <w:tcBorders>
              <w:top w:val="nil"/>
              <w:left w:val="nil"/>
              <w:bottom w:val="single" w:sz="4" w:space="0" w:color="auto"/>
              <w:right w:val="single" w:sz="4" w:space="0" w:color="auto"/>
            </w:tcBorders>
            <w:shd w:val="clear" w:color="auto" w:fill="auto"/>
            <w:noWrap/>
            <w:vAlign w:val="center"/>
            <w:hideMark/>
          </w:tcPr>
          <w:p w14:paraId="6C0C17AF" w14:textId="77777777" w:rsidR="0043709B" w:rsidRPr="0043709B" w:rsidRDefault="0043709B" w:rsidP="0043709B">
            <w:pPr>
              <w:jc w:val="right"/>
              <w:rPr>
                <w:rFonts w:ascii="Arial Narrow" w:hAnsi="Arial Narrow" w:cs="Arial"/>
                <w:sz w:val="16"/>
                <w:szCs w:val="16"/>
              </w:rPr>
            </w:pPr>
            <w:r w:rsidRPr="0043709B">
              <w:rPr>
                <w:rFonts w:ascii="Arial Narrow" w:hAnsi="Arial Narrow" w:cs="Arial"/>
                <w:sz w:val="16"/>
                <w:szCs w:val="16"/>
              </w:rPr>
              <w:t>90,5</w:t>
            </w:r>
          </w:p>
        </w:tc>
      </w:tr>
      <w:tr w:rsidR="0043709B" w:rsidRPr="0043709B" w14:paraId="48C0EF64" w14:textId="77777777" w:rsidTr="0043709B">
        <w:trPr>
          <w:trHeight w:val="250"/>
        </w:trPr>
        <w:tc>
          <w:tcPr>
            <w:tcW w:w="781" w:type="dxa"/>
            <w:tcBorders>
              <w:top w:val="nil"/>
              <w:left w:val="single" w:sz="4" w:space="0" w:color="auto"/>
              <w:bottom w:val="single" w:sz="4" w:space="0" w:color="auto"/>
              <w:right w:val="single" w:sz="4" w:space="0" w:color="auto"/>
            </w:tcBorders>
            <w:shd w:val="clear" w:color="auto" w:fill="auto"/>
            <w:noWrap/>
            <w:vAlign w:val="center"/>
            <w:hideMark/>
          </w:tcPr>
          <w:p w14:paraId="352B95B2" w14:textId="77777777" w:rsidR="0043709B" w:rsidRPr="0043709B" w:rsidRDefault="0043709B" w:rsidP="0043709B">
            <w:pPr>
              <w:rPr>
                <w:rFonts w:ascii="Arial Narrow" w:hAnsi="Arial Narrow" w:cs="Arial"/>
                <w:sz w:val="16"/>
                <w:szCs w:val="16"/>
              </w:rPr>
            </w:pPr>
            <w:r w:rsidRPr="0043709B">
              <w:rPr>
                <w:rFonts w:ascii="Arial Narrow" w:hAnsi="Arial Narrow" w:cs="Arial"/>
                <w:sz w:val="16"/>
                <w:szCs w:val="16"/>
              </w:rPr>
              <w:t>11</w:t>
            </w:r>
          </w:p>
        </w:tc>
        <w:tc>
          <w:tcPr>
            <w:tcW w:w="3016" w:type="dxa"/>
            <w:tcBorders>
              <w:top w:val="nil"/>
              <w:left w:val="nil"/>
              <w:bottom w:val="single" w:sz="4" w:space="0" w:color="auto"/>
              <w:right w:val="single" w:sz="4" w:space="0" w:color="auto"/>
            </w:tcBorders>
            <w:shd w:val="clear" w:color="000000" w:fill="FFFFFF"/>
            <w:noWrap/>
            <w:vAlign w:val="center"/>
            <w:hideMark/>
          </w:tcPr>
          <w:p w14:paraId="641A9957" w14:textId="77777777" w:rsidR="0043709B" w:rsidRPr="0043709B" w:rsidRDefault="0043709B" w:rsidP="0043709B">
            <w:pPr>
              <w:rPr>
                <w:rFonts w:ascii="Arial Narrow" w:hAnsi="Arial Narrow" w:cs="Calibri"/>
                <w:b/>
                <w:bCs/>
                <w:sz w:val="16"/>
                <w:szCs w:val="16"/>
              </w:rPr>
            </w:pPr>
            <w:r w:rsidRPr="0043709B">
              <w:rPr>
                <w:rFonts w:ascii="Arial Narrow" w:hAnsi="Arial Narrow" w:cs="Calibri"/>
                <w:b/>
                <w:bCs/>
                <w:sz w:val="16"/>
                <w:szCs w:val="16"/>
              </w:rPr>
              <w:t>СЕЛСКОСТОПАНСКИ ЖИВОТНИ</w:t>
            </w:r>
          </w:p>
        </w:tc>
        <w:tc>
          <w:tcPr>
            <w:tcW w:w="1180" w:type="dxa"/>
            <w:tcBorders>
              <w:top w:val="nil"/>
              <w:left w:val="nil"/>
              <w:bottom w:val="single" w:sz="4" w:space="0" w:color="auto"/>
              <w:right w:val="single" w:sz="4" w:space="0" w:color="auto"/>
            </w:tcBorders>
            <w:shd w:val="clear" w:color="auto" w:fill="auto"/>
            <w:vAlign w:val="center"/>
          </w:tcPr>
          <w:p w14:paraId="6B7989FA" w14:textId="77777777" w:rsidR="0043709B" w:rsidRPr="0043709B" w:rsidRDefault="0043709B" w:rsidP="0043709B">
            <w:pPr>
              <w:jc w:val="right"/>
              <w:rPr>
                <w:rFonts w:ascii="Arial Narrow" w:hAnsi="Arial Narrow" w:cs="Calibri"/>
                <w:sz w:val="16"/>
                <w:szCs w:val="16"/>
              </w:rPr>
            </w:pPr>
            <w:r w:rsidRPr="0043709B">
              <w:rPr>
                <w:rFonts w:ascii="Arial Narrow" w:hAnsi="Arial Narrow" w:cs="Calibri"/>
                <w:sz w:val="16"/>
                <w:szCs w:val="16"/>
              </w:rPr>
              <w:t>1 362,5</w:t>
            </w:r>
          </w:p>
        </w:tc>
        <w:tc>
          <w:tcPr>
            <w:tcW w:w="1170" w:type="dxa"/>
            <w:tcBorders>
              <w:top w:val="nil"/>
              <w:left w:val="nil"/>
              <w:bottom w:val="single" w:sz="4" w:space="0" w:color="auto"/>
              <w:right w:val="single" w:sz="4" w:space="0" w:color="auto"/>
            </w:tcBorders>
            <w:shd w:val="clear" w:color="auto" w:fill="auto"/>
            <w:noWrap/>
            <w:vAlign w:val="center"/>
            <w:hideMark/>
          </w:tcPr>
          <w:p w14:paraId="30AF20D3" w14:textId="77777777" w:rsidR="0043709B" w:rsidRPr="0043709B" w:rsidRDefault="0043709B" w:rsidP="0043709B">
            <w:pPr>
              <w:jc w:val="right"/>
              <w:rPr>
                <w:rFonts w:ascii="Arial Narrow" w:hAnsi="Arial Narrow" w:cs="Calibri"/>
                <w:sz w:val="16"/>
                <w:szCs w:val="16"/>
              </w:rPr>
            </w:pPr>
            <w:r w:rsidRPr="0043709B">
              <w:rPr>
                <w:rFonts w:ascii="Arial Narrow" w:hAnsi="Arial Narrow" w:cs="Calibri"/>
                <w:sz w:val="16"/>
                <w:szCs w:val="16"/>
              </w:rPr>
              <w:t>101,2</w:t>
            </w:r>
          </w:p>
        </w:tc>
        <w:tc>
          <w:tcPr>
            <w:tcW w:w="1300" w:type="dxa"/>
            <w:tcBorders>
              <w:top w:val="nil"/>
              <w:left w:val="nil"/>
              <w:bottom w:val="single" w:sz="4" w:space="0" w:color="auto"/>
              <w:right w:val="single" w:sz="4" w:space="0" w:color="auto"/>
            </w:tcBorders>
            <w:shd w:val="clear" w:color="auto" w:fill="auto"/>
            <w:noWrap/>
            <w:vAlign w:val="center"/>
            <w:hideMark/>
          </w:tcPr>
          <w:p w14:paraId="498B12CC" w14:textId="77777777" w:rsidR="0043709B" w:rsidRPr="0043709B" w:rsidRDefault="0043709B" w:rsidP="0043709B">
            <w:pPr>
              <w:jc w:val="right"/>
              <w:rPr>
                <w:rFonts w:ascii="Arial Narrow" w:hAnsi="Arial Narrow" w:cs="Calibri"/>
                <w:sz w:val="16"/>
                <w:szCs w:val="16"/>
              </w:rPr>
            </w:pPr>
            <w:r w:rsidRPr="0043709B">
              <w:rPr>
                <w:rFonts w:ascii="Arial Narrow" w:hAnsi="Arial Narrow" w:cs="Calibri"/>
                <w:sz w:val="16"/>
                <w:szCs w:val="16"/>
              </w:rPr>
              <w:t>1 379,4</w:t>
            </w:r>
          </w:p>
        </w:tc>
        <w:tc>
          <w:tcPr>
            <w:tcW w:w="1220" w:type="dxa"/>
            <w:tcBorders>
              <w:top w:val="nil"/>
              <w:left w:val="nil"/>
              <w:bottom w:val="single" w:sz="4" w:space="0" w:color="auto"/>
              <w:right w:val="single" w:sz="4" w:space="0" w:color="auto"/>
            </w:tcBorders>
            <w:shd w:val="clear" w:color="auto" w:fill="auto"/>
            <w:noWrap/>
            <w:vAlign w:val="center"/>
            <w:hideMark/>
          </w:tcPr>
          <w:p w14:paraId="775CF545" w14:textId="77777777" w:rsidR="0043709B" w:rsidRPr="0043709B" w:rsidRDefault="0043709B" w:rsidP="0043709B">
            <w:pPr>
              <w:jc w:val="right"/>
              <w:rPr>
                <w:rFonts w:ascii="Arial Narrow" w:hAnsi="Arial Narrow" w:cs="Calibri"/>
                <w:sz w:val="16"/>
                <w:szCs w:val="16"/>
              </w:rPr>
            </w:pPr>
            <w:r w:rsidRPr="0043709B">
              <w:rPr>
                <w:rFonts w:ascii="Arial Narrow" w:hAnsi="Arial Narrow" w:cs="Calibri"/>
                <w:sz w:val="16"/>
                <w:szCs w:val="16"/>
              </w:rPr>
              <w:t>96,5</w:t>
            </w:r>
          </w:p>
        </w:tc>
        <w:tc>
          <w:tcPr>
            <w:tcW w:w="1236" w:type="dxa"/>
            <w:tcBorders>
              <w:top w:val="nil"/>
              <w:left w:val="nil"/>
              <w:bottom w:val="single" w:sz="4" w:space="0" w:color="auto"/>
              <w:right w:val="single" w:sz="4" w:space="0" w:color="auto"/>
            </w:tcBorders>
            <w:shd w:val="clear" w:color="auto" w:fill="auto"/>
            <w:noWrap/>
            <w:vAlign w:val="center"/>
            <w:hideMark/>
          </w:tcPr>
          <w:p w14:paraId="443A5E1D" w14:textId="77777777" w:rsidR="0043709B" w:rsidRPr="0043709B" w:rsidRDefault="0043709B" w:rsidP="0043709B">
            <w:pPr>
              <w:jc w:val="right"/>
              <w:rPr>
                <w:rFonts w:ascii="Arial Narrow" w:hAnsi="Arial Narrow" w:cs="Calibri"/>
                <w:sz w:val="16"/>
                <w:szCs w:val="16"/>
              </w:rPr>
            </w:pPr>
            <w:r w:rsidRPr="0043709B">
              <w:rPr>
                <w:rFonts w:ascii="Arial Narrow" w:hAnsi="Arial Narrow" w:cs="Calibri"/>
                <w:sz w:val="16"/>
                <w:szCs w:val="16"/>
              </w:rPr>
              <w:t>1 331,5</w:t>
            </w:r>
          </w:p>
        </w:tc>
        <w:tc>
          <w:tcPr>
            <w:tcW w:w="1260" w:type="dxa"/>
            <w:tcBorders>
              <w:top w:val="nil"/>
              <w:left w:val="nil"/>
              <w:bottom w:val="single" w:sz="4" w:space="0" w:color="auto"/>
              <w:right w:val="single" w:sz="4" w:space="0" w:color="auto"/>
            </w:tcBorders>
            <w:shd w:val="clear" w:color="auto" w:fill="auto"/>
            <w:noWrap/>
            <w:vAlign w:val="center"/>
            <w:hideMark/>
          </w:tcPr>
          <w:p w14:paraId="0E3956BB" w14:textId="77777777" w:rsidR="0043709B" w:rsidRPr="0043709B" w:rsidRDefault="0043709B" w:rsidP="0043709B">
            <w:pPr>
              <w:jc w:val="right"/>
              <w:rPr>
                <w:rFonts w:ascii="Arial Narrow" w:hAnsi="Arial Narrow" w:cs="Arial"/>
                <w:sz w:val="16"/>
                <w:szCs w:val="16"/>
              </w:rPr>
            </w:pPr>
            <w:r w:rsidRPr="0043709B">
              <w:rPr>
                <w:rFonts w:ascii="Arial Narrow" w:hAnsi="Arial Narrow" w:cs="Arial"/>
                <w:sz w:val="16"/>
                <w:szCs w:val="16"/>
              </w:rPr>
              <w:t>97,7</w:t>
            </w:r>
          </w:p>
        </w:tc>
      </w:tr>
      <w:tr w:rsidR="0043709B" w:rsidRPr="0043709B" w14:paraId="2AA91E81" w14:textId="77777777" w:rsidTr="0043709B">
        <w:trPr>
          <w:trHeight w:val="250"/>
        </w:trPr>
        <w:tc>
          <w:tcPr>
            <w:tcW w:w="781" w:type="dxa"/>
            <w:tcBorders>
              <w:top w:val="nil"/>
              <w:left w:val="single" w:sz="4" w:space="0" w:color="auto"/>
              <w:bottom w:val="single" w:sz="4" w:space="0" w:color="auto"/>
              <w:right w:val="single" w:sz="4" w:space="0" w:color="auto"/>
            </w:tcBorders>
            <w:shd w:val="clear" w:color="auto" w:fill="auto"/>
            <w:noWrap/>
            <w:vAlign w:val="center"/>
            <w:hideMark/>
          </w:tcPr>
          <w:p w14:paraId="2CACB6A8" w14:textId="77777777" w:rsidR="0043709B" w:rsidRPr="0043709B" w:rsidRDefault="0043709B" w:rsidP="0043709B">
            <w:pPr>
              <w:rPr>
                <w:rFonts w:ascii="Arial Narrow" w:hAnsi="Arial Narrow" w:cs="Arial"/>
                <w:sz w:val="16"/>
                <w:szCs w:val="16"/>
              </w:rPr>
            </w:pPr>
            <w:r w:rsidRPr="0043709B">
              <w:rPr>
                <w:rFonts w:ascii="Arial Narrow" w:hAnsi="Arial Narrow" w:cs="Arial"/>
                <w:sz w:val="16"/>
                <w:szCs w:val="16"/>
              </w:rPr>
              <w:t>11.1</w:t>
            </w:r>
          </w:p>
        </w:tc>
        <w:tc>
          <w:tcPr>
            <w:tcW w:w="3016" w:type="dxa"/>
            <w:tcBorders>
              <w:top w:val="nil"/>
              <w:left w:val="nil"/>
              <w:bottom w:val="single" w:sz="4" w:space="0" w:color="auto"/>
              <w:right w:val="single" w:sz="4" w:space="0" w:color="auto"/>
            </w:tcBorders>
            <w:shd w:val="clear" w:color="000000" w:fill="FFFFFF"/>
            <w:noWrap/>
            <w:vAlign w:val="center"/>
            <w:hideMark/>
          </w:tcPr>
          <w:p w14:paraId="78E81103" w14:textId="77777777" w:rsidR="0043709B" w:rsidRPr="0043709B" w:rsidRDefault="0043709B" w:rsidP="00CD44F3">
            <w:pPr>
              <w:ind w:firstLine="138"/>
              <w:rPr>
                <w:rFonts w:ascii="Arial Narrow" w:hAnsi="Arial Narrow" w:cs="Calibri"/>
                <w:sz w:val="16"/>
                <w:szCs w:val="16"/>
              </w:rPr>
            </w:pPr>
            <w:r w:rsidRPr="0043709B">
              <w:rPr>
                <w:rFonts w:ascii="Arial Narrow" w:hAnsi="Arial Narrow" w:cs="Calibri"/>
                <w:sz w:val="16"/>
                <w:szCs w:val="16"/>
              </w:rPr>
              <w:t>Едър рогат добитък</w:t>
            </w:r>
          </w:p>
        </w:tc>
        <w:tc>
          <w:tcPr>
            <w:tcW w:w="1180" w:type="dxa"/>
            <w:tcBorders>
              <w:top w:val="nil"/>
              <w:left w:val="nil"/>
              <w:bottom w:val="single" w:sz="4" w:space="0" w:color="auto"/>
              <w:right w:val="single" w:sz="4" w:space="0" w:color="auto"/>
            </w:tcBorders>
            <w:shd w:val="clear" w:color="auto" w:fill="auto"/>
            <w:vAlign w:val="center"/>
          </w:tcPr>
          <w:p w14:paraId="79E192F4" w14:textId="77777777" w:rsidR="0043709B" w:rsidRPr="0043709B" w:rsidRDefault="0043709B" w:rsidP="0043709B">
            <w:pPr>
              <w:jc w:val="right"/>
              <w:rPr>
                <w:rFonts w:ascii="Arial Narrow" w:hAnsi="Arial Narrow" w:cs="Calibri"/>
                <w:sz w:val="16"/>
                <w:szCs w:val="16"/>
              </w:rPr>
            </w:pPr>
            <w:r w:rsidRPr="0043709B">
              <w:rPr>
                <w:rFonts w:ascii="Arial Narrow" w:hAnsi="Arial Narrow" w:cs="Calibri"/>
                <w:sz w:val="16"/>
                <w:szCs w:val="16"/>
              </w:rPr>
              <w:t>216,8</w:t>
            </w:r>
          </w:p>
        </w:tc>
        <w:tc>
          <w:tcPr>
            <w:tcW w:w="1170" w:type="dxa"/>
            <w:tcBorders>
              <w:top w:val="nil"/>
              <w:left w:val="nil"/>
              <w:bottom w:val="single" w:sz="4" w:space="0" w:color="auto"/>
              <w:right w:val="single" w:sz="4" w:space="0" w:color="auto"/>
            </w:tcBorders>
            <w:shd w:val="clear" w:color="auto" w:fill="auto"/>
            <w:noWrap/>
            <w:vAlign w:val="center"/>
            <w:hideMark/>
          </w:tcPr>
          <w:p w14:paraId="5DCF8603" w14:textId="77777777" w:rsidR="0043709B" w:rsidRPr="0043709B" w:rsidRDefault="0043709B" w:rsidP="0043709B">
            <w:pPr>
              <w:jc w:val="right"/>
              <w:rPr>
                <w:rFonts w:ascii="Arial Narrow" w:hAnsi="Arial Narrow" w:cs="Calibri"/>
                <w:sz w:val="16"/>
                <w:szCs w:val="16"/>
              </w:rPr>
            </w:pPr>
            <w:r w:rsidRPr="0043709B">
              <w:rPr>
                <w:rFonts w:ascii="Arial Narrow" w:hAnsi="Arial Narrow" w:cs="Calibri"/>
                <w:sz w:val="16"/>
                <w:szCs w:val="16"/>
              </w:rPr>
              <w:t>103,0</w:t>
            </w:r>
          </w:p>
        </w:tc>
        <w:tc>
          <w:tcPr>
            <w:tcW w:w="1300" w:type="dxa"/>
            <w:tcBorders>
              <w:top w:val="nil"/>
              <w:left w:val="nil"/>
              <w:bottom w:val="single" w:sz="4" w:space="0" w:color="auto"/>
              <w:right w:val="single" w:sz="4" w:space="0" w:color="auto"/>
            </w:tcBorders>
            <w:shd w:val="clear" w:color="auto" w:fill="auto"/>
            <w:noWrap/>
            <w:vAlign w:val="center"/>
            <w:hideMark/>
          </w:tcPr>
          <w:p w14:paraId="7D55062A" w14:textId="77777777" w:rsidR="0043709B" w:rsidRPr="0043709B" w:rsidRDefault="0043709B" w:rsidP="0043709B">
            <w:pPr>
              <w:jc w:val="right"/>
              <w:rPr>
                <w:rFonts w:ascii="Arial Narrow" w:hAnsi="Arial Narrow" w:cs="Calibri"/>
                <w:sz w:val="16"/>
                <w:szCs w:val="16"/>
              </w:rPr>
            </w:pPr>
            <w:r w:rsidRPr="0043709B">
              <w:rPr>
                <w:rFonts w:ascii="Arial Narrow" w:hAnsi="Arial Narrow" w:cs="Calibri"/>
                <w:sz w:val="16"/>
                <w:szCs w:val="16"/>
              </w:rPr>
              <w:t>223,3</w:t>
            </w:r>
          </w:p>
        </w:tc>
        <w:tc>
          <w:tcPr>
            <w:tcW w:w="1220" w:type="dxa"/>
            <w:tcBorders>
              <w:top w:val="nil"/>
              <w:left w:val="nil"/>
              <w:bottom w:val="single" w:sz="4" w:space="0" w:color="auto"/>
              <w:right w:val="single" w:sz="4" w:space="0" w:color="auto"/>
            </w:tcBorders>
            <w:shd w:val="clear" w:color="auto" w:fill="auto"/>
            <w:noWrap/>
            <w:vAlign w:val="center"/>
            <w:hideMark/>
          </w:tcPr>
          <w:p w14:paraId="41DA7ABC" w14:textId="77777777" w:rsidR="0043709B" w:rsidRPr="0043709B" w:rsidRDefault="0043709B" w:rsidP="0043709B">
            <w:pPr>
              <w:jc w:val="right"/>
              <w:rPr>
                <w:rFonts w:ascii="Arial Narrow" w:hAnsi="Arial Narrow" w:cs="Calibri"/>
                <w:sz w:val="16"/>
                <w:szCs w:val="16"/>
              </w:rPr>
            </w:pPr>
            <w:r w:rsidRPr="0043709B">
              <w:rPr>
                <w:rFonts w:ascii="Arial Narrow" w:hAnsi="Arial Narrow" w:cs="Calibri"/>
                <w:sz w:val="16"/>
                <w:szCs w:val="16"/>
              </w:rPr>
              <w:t>104,8</w:t>
            </w:r>
          </w:p>
        </w:tc>
        <w:tc>
          <w:tcPr>
            <w:tcW w:w="1236" w:type="dxa"/>
            <w:tcBorders>
              <w:top w:val="nil"/>
              <w:left w:val="nil"/>
              <w:bottom w:val="single" w:sz="4" w:space="0" w:color="auto"/>
              <w:right w:val="single" w:sz="4" w:space="0" w:color="auto"/>
            </w:tcBorders>
            <w:shd w:val="clear" w:color="auto" w:fill="auto"/>
            <w:noWrap/>
            <w:vAlign w:val="center"/>
            <w:hideMark/>
          </w:tcPr>
          <w:p w14:paraId="75A35356" w14:textId="77777777" w:rsidR="0043709B" w:rsidRPr="0043709B" w:rsidRDefault="0043709B" w:rsidP="0043709B">
            <w:pPr>
              <w:jc w:val="right"/>
              <w:rPr>
                <w:rFonts w:ascii="Arial Narrow" w:hAnsi="Arial Narrow" w:cs="Calibri"/>
                <w:sz w:val="16"/>
                <w:szCs w:val="16"/>
              </w:rPr>
            </w:pPr>
            <w:r w:rsidRPr="0043709B">
              <w:rPr>
                <w:rFonts w:ascii="Arial Narrow" w:hAnsi="Arial Narrow" w:cs="Calibri"/>
                <w:sz w:val="16"/>
                <w:szCs w:val="16"/>
              </w:rPr>
              <w:t>234,1</w:t>
            </w:r>
          </w:p>
        </w:tc>
        <w:tc>
          <w:tcPr>
            <w:tcW w:w="1260" w:type="dxa"/>
            <w:tcBorders>
              <w:top w:val="nil"/>
              <w:left w:val="nil"/>
              <w:bottom w:val="single" w:sz="4" w:space="0" w:color="auto"/>
              <w:right w:val="single" w:sz="4" w:space="0" w:color="auto"/>
            </w:tcBorders>
            <w:shd w:val="clear" w:color="auto" w:fill="auto"/>
            <w:noWrap/>
            <w:vAlign w:val="center"/>
            <w:hideMark/>
          </w:tcPr>
          <w:p w14:paraId="15C110AB" w14:textId="77777777" w:rsidR="0043709B" w:rsidRPr="0043709B" w:rsidRDefault="0043709B" w:rsidP="0043709B">
            <w:pPr>
              <w:jc w:val="right"/>
              <w:rPr>
                <w:rFonts w:ascii="Arial Narrow" w:hAnsi="Arial Narrow" w:cs="Arial"/>
                <w:sz w:val="16"/>
                <w:szCs w:val="16"/>
              </w:rPr>
            </w:pPr>
            <w:r w:rsidRPr="0043709B">
              <w:rPr>
                <w:rFonts w:ascii="Arial Narrow" w:hAnsi="Arial Narrow" w:cs="Arial"/>
                <w:sz w:val="16"/>
                <w:szCs w:val="16"/>
              </w:rPr>
              <w:t>108,0</w:t>
            </w:r>
          </w:p>
        </w:tc>
      </w:tr>
      <w:tr w:rsidR="0043709B" w:rsidRPr="0043709B" w14:paraId="3B6BF54C" w14:textId="77777777" w:rsidTr="0043709B">
        <w:trPr>
          <w:trHeight w:val="250"/>
        </w:trPr>
        <w:tc>
          <w:tcPr>
            <w:tcW w:w="781" w:type="dxa"/>
            <w:tcBorders>
              <w:top w:val="nil"/>
              <w:left w:val="single" w:sz="4" w:space="0" w:color="auto"/>
              <w:bottom w:val="single" w:sz="4" w:space="0" w:color="auto"/>
              <w:right w:val="single" w:sz="4" w:space="0" w:color="auto"/>
            </w:tcBorders>
            <w:shd w:val="clear" w:color="auto" w:fill="auto"/>
            <w:noWrap/>
            <w:vAlign w:val="center"/>
            <w:hideMark/>
          </w:tcPr>
          <w:p w14:paraId="3503FF0D" w14:textId="77777777" w:rsidR="0043709B" w:rsidRPr="0043709B" w:rsidRDefault="0043709B" w:rsidP="0043709B">
            <w:pPr>
              <w:rPr>
                <w:rFonts w:ascii="Arial Narrow" w:hAnsi="Arial Narrow" w:cs="Arial"/>
                <w:sz w:val="16"/>
                <w:szCs w:val="16"/>
              </w:rPr>
            </w:pPr>
            <w:r w:rsidRPr="0043709B">
              <w:rPr>
                <w:rFonts w:ascii="Arial Narrow" w:hAnsi="Arial Narrow" w:cs="Arial"/>
                <w:sz w:val="16"/>
                <w:szCs w:val="16"/>
              </w:rPr>
              <w:t>11.2</w:t>
            </w:r>
          </w:p>
        </w:tc>
        <w:tc>
          <w:tcPr>
            <w:tcW w:w="3016" w:type="dxa"/>
            <w:tcBorders>
              <w:top w:val="nil"/>
              <w:left w:val="nil"/>
              <w:bottom w:val="single" w:sz="4" w:space="0" w:color="auto"/>
              <w:right w:val="single" w:sz="4" w:space="0" w:color="auto"/>
            </w:tcBorders>
            <w:shd w:val="clear" w:color="000000" w:fill="FFFFFF"/>
            <w:noWrap/>
            <w:vAlign w:val="center"/>
            <w:hideMark/>
          </w:tcPr>
          <w:p w14:paraId="755C546F" w14:textId="77777777" w:rsidR="0043709B" w:rsidRPr="0043709B" w:rsidRDefault="0043709B" w:rsidP="00CD44F3">
            <w:pPr>
              <w:ind w:firstLine="138"/>
              <w:rPr>
                <w:rFonts w:ascii="Arial Narrow" w:hAnsi="Arial Narrow" w:cs="Calibri"/>
                <w:sz w:val="16"/>
                <w:szCs w:val="16"/>
              </w:rPr>
            </w:pPr>
            <w:r w:rsidRPr="0043709B">
              <w:rPr>
                <w:rFonts w:ascii="Arial Narrow" w:hAnsi="Arial Narrow" w:cs="Calibri"/>
                <w:sz w:val="16"/>
                <w:szCs w:val="16"/>
              </w:rPr>
              <w:t>Свине</w:t>
            </w:r>
          </w:p>
        </w:tc>
        <w:tc>
          <w:tcPr>
            <w:tcW w:w="1180" w:type="dxa"/>
            <w:tcBorders>
              <w:top w:val="nil"/>
              <w:left w:val="nil"/>
              <w:bottom w:val="single" w:sz="4" w:space="0" w:color="auto"/>
              <w:right w:val="single" w:sz="4" w:space="0" w:color="auto"/>
            </w:tcBorders>
            <w:shd w:val="clear" w:color="auto" w:fill="auto"/>
            <w:vAlign w:val="center"/>
          </w:tcPr>
          <w:p w14:paraId="722027CC" w14:textId="77777777" w:rsidR="0043709B" w:rsidRPr="0043709B" w:rsidRDefault="0043709B" w:rsidP="0043709B">
            <w:pPr>
              <w:jc w:val="right"/>
              <w:rPr>
                <w:rFonts w:ascii="Arial Narrow" w:hAnsi="Arial Narrow" w:cs="Calibri"/>
                <w:sz w:val="16"/>
                <w:szCs w:val="16"/>
              </w:rPr>
            </w:pPr>
            <w:r w:rsidRPr="0043709B">
              <w:rPr>
                <w:rFonts w:ascii="Arial Narrow" w:hAnsi="Arial Narrow" w:cs="Calibri"/>
                <w:sz w:val="16"/>
                <w:szCs w:val="16"/>
              </w:rPr>
              <w:t>479,4</w:t>
            </w:r>
          </w:p>
        </w:tc>
        <w:tc>
          <w:tcPr>
            <w:tcW w:w="1170" w:type="dxa"/>
            <w:tcBorders>
              <w:top w:val="nil"/>
              <w:left w:val="nil"/>
              <w:bottom w:val="single" w:sz="4" w:space="0" w:color="auto"/>
              <w:right w:val="single" w:sz="4" w:space="0" w:color="auto"/>
            </w:tcBorders>
            <w:shd w:val="clear" w:color="auto" w:fill="auto"/>
            <w:noWrap/>
            <w:vAlign w:val="center"/>
            <w:hideMark/>
          </w:tcPr>
          <w:p w14:paraId="56A3B884" w14:textId="77777777" w:rsidR="0043709B" w:rsidRPr="0043709B" w:rsidRDefault="0043709B" w:rsidP="0043709B">
            <w:pPr>
              <w:jc w:val="right"/>
              <w:rPr>
                <w:rFonts w:ascii="Arial Narrow" w:hAnsi="Arial Narrow" w:cs="Calibri"/>
                <w:sz w:val="16"/>
                <w:szCs w:val="16"/>
              </w:rPr>
            </w:pPr>
            <w:r w:rsidRPr="0043709B">
              <w:rPr>
                <w:rFonts w:ascii="Arial Narrow" w:hAnsi="Arial Narrow" w:cs="Calibri"/>
                <w:sz w:val="16"/>
                <w:szCs w:val="16"/>
              </w:rPr>
              <w:t>107,4</w:t>
            </w:r>
          </w:p>
        </w:tc>
        <w:tc>
          <w:tcPr>
            <w:tcW w:w="1300" w:type="dxa"/>
            <w:tcBorders>
              <w:top w:val="nil"/>
              <w:left w:val="nil"/>
              <w:bottom w:val="single" w:sz="4" w:space="0" w:color="auto"/>
              <w:right w:val="single" w:sz="4" w:space="0" w:color="auto"/>
            </w:tcBorders>
            <w:shd w:val="clear" w:color="auto" w:fill="auto"/>
            <w:noWrap/>
            <w:vAlign w:val="center"/>
            <w:hideMark/>
          </w:tcPr>
          <w:p w14:paraId="61EA8016" w14:textId="77777777" w:rsidR="0043709B" w:rsidRPr="0043709B" w:rsidRDefault="0043709B" w:rsidP="0043709B">
            <w:pPr>
              <w:jc w:val="right"/>
              <w:rPr>
                <w:rFonts w:ascii="Arial Narrow" w:hAnsi="Arial Narrow" w:cs="Calibri"/>
                <w:sz w:val="16"/>
                <w:szCs w:val="16"/>
              </w:rPr>
            </w:pPr>
            <w:r w:rsidRPr="0043709B">
              <w:rPr>
                <w:rFonts w:ascii="Arial Narrow" w:hAnsi="Arial Narrow" w:cs="Calibri"/>
                <w:sz w:val="16"/>
                <w:szCs w:val="16"/>
              </w:rPr>
              <w:t>515,1</w:t>
            </w:r>
          </w:p>
        </w:tc>
        <w:tc>
          <w:tcPr>
            <w:tcW w:w="1220" w:type="dxa"/>
            <w:tcBorders>
              <w:top w:val="nil"/>
              <w:left w:val="nil"/>
              <w:bottom w:val="single" w:sz="4" w:space="0" w:color="auto"/>
              <w:right w:val="single" w:sz="4" w:space="0" w:color="auto"/>
            </w:tcBorders>
            <w:shd w:val="clear" w:color="auto" w:fill="auto"/>
            <w:noWrap/>
            <w:vAlign w:val="center"/>
            <w:hideMark/>
          </w:tcPr>
          <w:p w14:paraId="7C40A78D" w14:textId="77777777" w:rsidR="0043709B" w:rsidRPr="0043709B" w:rsidRDefault="0043709B" w:rsidP="0043709B">
            <w:pPr>
              <w:jc w:val="right"/>
              <w:rPr>
                <w:rFonts w:ascii="Arial Narrow" w:hAnsi="Arial Narrow" w:cs="Calibri"/>
                <w:sz w:val="16"/>
                <w:szCs w:val="16"/>
              </w:rPr>
            </w:pPr>
            <w:r w:rsidRPr="0043709B">
              <w:rPr>
                <w:rFonts w:ascii="Arial Narrow" w:hAnsi="Arial Narrow" w:cs="Calibri"/>
                <w:sz w:val="16"/>
                <w:szCs w:val="16"/>
              </w:rPr>
              <w:t>93,0</w:t>
            </w:r>
          </w:p>
        </w:tc>
        <w:tc>
          <w:tcPr>
            <w:tcW w:w="1236" w:type="dxa"/>
            <w:tcBorders>
              <w:top w:val="nil"/>
              <w:left w:val="nil"/>
              <w:bottom w:val="single" w:sz="4" w:space="0" w:color="auto"/>
              <w:right w:val="single" w:sz="4" w:space="0" w:color="auto"/>
            </w:tcBorders>
            <w:shd w:val="clear" w:color="auto" w:fill="auto"/>
            <w:noWrap/>
            <w:vAlign w:val="center"/>
            <w:hideMark/>
          </w:tcPr>
          <w:p w14:paraId="5768CB13" w14:textId="77777777" w:rsidR="0043709B" w:rsidRPr="0043709B" w:rsidRDefault="0043709B" w:rsidP="0043709B">
            <w:pPr>
              <w:jc w:val="right"/>
              <w:rPr>
                <w:rFonts w:ascii="Arial Narrow" w:hAnsi="Arial Narrow" w:cs="Calibri"/>
                <w:sz w:val="16"/>
                <w:szCs w:val="16"/>
              </w:rPr>
            </w:pPr>
            <w:r w:rsidRPr="0043709B">
              <w:rPr>
                <w:rFonts w:ascii="Arial Narrow" w:hAnsi="Arial Narrow" w:cs="Calibri"/>
                <w:sz w:val="16"/>
                <w:szCs w:val="16"/>
              </w:rPr>
              <w:t>478,8</w:t>
            </w:r>
          </w:p>
        </w:tc>
        <w:tc>
          <w:tcPr>
            <w:tcW w:w="1260" w:type="dxa"/>
            <w:tcBorders>
              <w:top w:val="nil"/>
              <w:left w:val="nil"/>
              <w:bottom w:val="single" w:sz="4" w:space="0" w:color="auto"/>
              <w:right w:val="single" w:sz="4" w:space="0" w:color="auto"/>
            </w:tcBorders>
            <w:shd w:val="clear" w:color="auto" w:fill="auto"/>
            <w:noWrap/>
            <w:vAlign w:val="center"/>
            <w:hideMark/>
          </w:tcPr>
          <w:p w14:paraId="6A4385AC" w14:textId="77777777" w:rsidR="0043709B" w:rsidRPr="0043709B" w:rsidRDefault="0043709B" w:rsidP="0043709B">
            <w:pPr>
              <w:jc w:val="right"/>
              <w:rPr>
                <w:rFonts w:ascii="Arial Narrow" w:hAnsi="Arial Narrow" w:cs="Arial"/>
                <w:sz w:val="16"/>
                <w:szCs w:val="16"/>
              </w:rPr>
            </w:pPr>
            <w:r w:rsidRPr="0043709B">
              <w:rPr>
                <w:rFonts w:ascii="Arial Narrow" w:hAnsi="Arial Narrow" w:cs="Arial"/>
                <w:sz w:val="16"/>
                <w:szCs w:val="16"/>
              </w:rPr>
              <w:t>99,9</w:t>
            </w:r>
          </w:p>
        </w:tc>
      </w:tr>
      <w:tr w:rsidR="0043709B" w:rsidRPr="0043709B" w14:paraId="0D6EC767" w14:textId="77777777" w:rsidTr="0043709B">
        <w:trPr>
          <w:trHeight w:val="250"/>
        </w:trPr>
        <w:tc>
          <w:tcPr>
            <w:tcW w:w="781" w:type="dxa"/>
            <w:tcBorders>
              <w:top w:val="nil"/>
              <w:left w:val="single" w:sz="4" w:space="0" w:color="auto"/>
              <w:bottom w:val="single" w:sz="4" w:space="0" w:color="auto"/>
              <w:right w:val="single" w:sz="4" w:space="0" w:color="auto"/>
            </w:tcBorders>
            <w:shd w:val="clear" w:color="auto" w:fill="auto"/>
            <w:noWrap/>
            <w:vAlign w:val="center"/>
            <w:hideMark/>
          </w:tcPr>
          <w:p w14:paraId="37AE27F9" w14:textId="77777777" w:rsidR="0043709B" w:rsidRPr="0043709B" w:rsidRDefault="0043709B" w:rsidP="0043709B">
            <w:pPr>
              <w:rPr>
                <w:rFonts w:ascii="Arial Narrow" w:hAnsi="Arial Narrow" w:cs="Arial"/>
                <w:sz w:val="16"/>
                <w:szCs w:val="16"/>
              </w:rPr>
            </w:pPr>
            <w:r w:rsidRPr="0043709B">
              <w:rPr>
                <w:rFonts w:ascii="Arial Narrow" w:hAnsi="Arial Narrow" w:cs="Arial"/>
                <w:sz w:val="16"/>
                <w:szCs w:val="16"/>
              </w:rPr>
              <w:t>11.3</w:t>
            </w:r>
          </w:p>
        </w:tc>
        <w:tc>
          <w:tcPr>
            <w:tcW w:w="3016" w:type="dxa"/>
            <w:tcBorders>
              <w:top w:val="nil"/>
              <w:left w:val="nil"/>
              <w:bottom w:val="single" w:sz="4" w:space="0" w:color="auto"/>
              <w:right w:val="single" w:sz="4" w:space="0" w:color="auto"/>
            </w:tcBorders>
            <w:shd w:val="clear" w:color="000000" w:fill="FFFFFF"/>
            <w:noWrap/>
            <w:vAlign w:val="center"/>
            <w:hideMark/>
          </w:tcPr>
          <w:p w14:paraId="2F403A40" w14:textId="77777777" w:rsidR="0043709B" w:rsidRPr="0043709B" w:rsidRDefault="0043709B" w:rsidP="00CD44F3">
            <w:pPr>
              <w:ind w:firstLine="138"/>
              <w:rPr>
                <w:rFonts w:ascii="Arial Narrow" w:hAnsi="Arial Narrow" w:cs="Calibri"/>
                <w:sz w:val="16"/>
                <w:szCs w:val="16"/>
              </w:rPr>
            </w:pPr>
            <w:r w:rsidRPr="0043709B">
              <w:rPr>
                <w:rFonts w:ascii="Arial Narrow" w:hAnsi="Arial Narrow" w:cs="Calibri"/>
                <w:sz w:val="16"/>
                <w:szCs w:val="16"/>
              </w:rPr>
              <w:t>Коне</w:t>
            </w:r>
          </w:p>
        </w:tc>
        <w:tc>
          <w:tcPr>
            <w:tcW w:w="1180" w:type="dxa"/>
            <w:tcBorders>
              <w:top w:val="nil"/>
              <w:left w:val="nil"/>
              <w:bottom w:val="single" w:sz="4" w:space="0" w:color="auto"/>
              <w:right w:val="single" w:sz="4" w:space="0" w:color="auto"/>
            </w:tcBorders>
            <w:shd w:val="clear" w:color="auto" w:fill="auto"/>
            <w:vAlign w:val="center"/>
          </w:tcPr>
          <w:p w14:paraId="4E0764F8" w14:textId="77777777" w:rsidR="0043709B" w:rsidRPr="0043709B" w:rsidRDefault="0043709B" w:rsidP="006A05D6">
            <w:pPr>
              <w:jc w:val="right"/>
              <w:rPr>
                <w:rFonts w:ascii="Arial Narrow" w:hAnsi="Arial Narrow" w:cs="Calibri"/>
                <w:sz w:val="16"/>
                <w:szCs w:val="16"/>
              </w:rPr>
            </w:pPr>
          </w:p>
        </w:tc>
        <w:tc>
          <w:tcPr>
            <w:tcW w:w="1170" w:type="dxa"/>
            <w:tcBorders>
              <w:top w:val="nil"/>
              <w:left w:val="nil"/>
              <w:bottom w:val="single" w:sz="4" w:space="0" w:color="auto"/>
              <w:right w:val="single" w:sz="4" w:space="0" w:color="auto"/>
            </w:tcBorders>
            <w:shd w:val="clear" w:color="auto" w:fill="auto"/>
            <w:noWrap/>
            <w:vAlign w:val="center"/>
            <w:hideMark/>
          </w:tcPr>
          <w:p w14:paraId="0CB94F05" w14:textId="77777777" w:rsidR="0043709B" w:rsidRPr="0043709B" w:rsidRDefault="0043709B" w:rsidP="0043709B">
            <w:pPr>
              <w:jc w:val="right"/>
              <w:rPr>
                <w:rFonts w:ascii="Arial Narrow" w:hAnsi="Arial Narrow" w:cs="Calibri"/>
                <w:sz w:val="16"/>
                <w:szCs w:val="16"/>
              </w:rPr>
            </w:pPr>
          </w:p>
        </w:tc>
        <w:tc>
          <w:tcPr>
            <w:tcW w:w="1300" w:type="dxa"/>
            <w:tcBorders>
              <w:top w:val="nil"/>
              <w:left w:val="nil"/>
              <w:bottom w:val="single" w:sz="4" w:space="0" w:color="auto"/>
              <w:right w:val="single" w:sz="4" w:space="0" w:color="auto"/>
            </w:tcBorders>
            <w:shd w:val="clear" w:color="auto" w:fill="auto"/>
            <w:noWrap/>
            <w:vAlign w:val="center"/>
            <w:hideMark/>
          </w:tcPr>
          <w:p w14:paraId="3C192CE3" w14:textId="77777777" w:rsidR="0043709B" w:rsidRPr="0043709B" w:rsidRDefault="0043709B" w:rsidP="0043709B">
            <w:pPr>
              <w:jc w:val="right"/>
              <w:rPr>
                <w:rFonts w:ascii="Arial Narrow" w:hAnsi="Arial Narrow" w:cs="Calibri"/>
                <w:sz w:val="16"/>
                <w:szCs w:val="16"/>
              </w:rPr>
            </w:pPr>
            <w:r w:rsidRPr="0043709B">
              <w:rPr>
                <w:rFonts w:ascii="Arial Narrow" w:hAnsi="Arial Narrow" w:cs="Calibri"/>
                <w:sz w:val="16"/>
                <w:szCs w:val="16"/>
              </w:rPr>
              <w:t> </w:t>
            </w:r>
          </w:p>
        </w:tc>
        <w:tc>
          <w:tcPr>
            <w:tcW w:w="1220" w:type="dxa"/>
            <w:tcBorders>
              <w:top w:val="nil"/>
              <w:left w:val="nil"/>
              <w:bottom w:val="single" w:sz="4" w:space="0" w:color="auto"/>
              <w:right w:val="single" w:sz="4" w:space="0" w:color="auto"/>
            </w:tcBorders>
            <w:shd w:val="clear" w:color="auto" w:fill="auto"/>
            <w:noWrap/>
            <w:vAlign w:val="center"/>
            <w:hideMark/>
          </w:tcPr>
          <w:p w14:paraId="2CDBD18A" w14:textId="77777777" w:rsidR="0043709B" w:rsidRPr="0043709B" w:rsidRDefault="0043709B" w:rsidP="0043709B">
            <w:pPr>
              <w:jc w:val="right"/>
              <w:rPr>
                <w:rFonts w:ascii="Arial Narrow" w:hAnsi="Arial Narrow" w:cs="Calibri"/>
                <w:sz w:val="16"/>
                <w:szCs w:val="16"/>
              </w:rPr>
            </w:pPr>
          </w:p>
        </w:tc>
        <w:tc>
          <w:tcPr>
            <w:tcW w:w="1236" w:type="dxa"/>
            <w:tcBorders>
              <w:top w:val="nil"/>
              <w:left w:val="nil"/>
              <w:bottom w:val="single" w:sz="4" w:space="0" w:color="auto"/>
              <w:right w:val="single" w:sz="4" w:space="0" w:color="auto"/>
            </w:tcBorders>
            <w:shd w:val="clear" w:color="auto" w:fill="auto"/>
            <w:noWrap/>
            <w:vAlign w:val="center"/>
            <w:hideMark/>
          </w:tcPr>
          <w:p w14:paraId="08026325" w14:textId="77777777" w:rsidR="0043709B" w:rsidRPr="0043709B" w:rsidRDefault="0043709B" w:rsidP="0043709B">
            <w:pPr>
              <w:jc w:val="right"/>
              <w:rPr>
                <w:rFonts w:ascii="Arial Narrow" w:hAnsi="Arial Narrow" w:cs="Calibri"/>
                <w:sz w:val="16"/>
                <w:szCs w:val="16"/>
              </w:rPr>
            </w:pPr>
            <w:r w:rsidRPr="0043709B">
              <w:rPr>
                <w:rFonts w:ascii="Arial Narrow" w:hAnsi="Arial Narrow" w:cs="Calibri"/>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14:paraId="5EA224E8" w14:textId="77777777" w:rsidR="0043709B" w:rsidRPr="0043709B" w:rsidRDefault="0043709B" w:rsidP="0043709B">
            <w:pPr>
              <w:jc w:val="right"/>
              <w:rPr>
                <w:rFonts w:ascii="Arial Narrow" w:hAnsi="Arial Narrow" w:cs="Arial"/>
                <w:sz w:val="16"/>
                <w:szCs w:val="16"/>
              </w:rPr>
            </w:pPr>
          </w:p>
        </w:tc>
      </w:tr>
      <w:tr w:rsidR="0043709B" w:rsidRPr="0043709B" w14:paraId="20707F11" w14:textId="77777777" w:rsidTr="0043709B">
        <w:trPr>
          <w:trHeight w:val="250"/>
        </w:trPr>
        <w:tc>
          <w:tcPr>
            <w:tcW w:w="781" w:type="dxa"/>
            <w:tcBorders>
              <w:top w:val="nil"/>
              <w:left w:val="single" w:sz="4" w:space="0" w:color="auto"/>
              <w:bottom w:val="single" w:sz="4" w:space="0" w:color="auto"/>
              <w:right w:val="single" w:sz="4" w:space="0" w:color="auto"/>
            </w:tcBorders>
            <w:shd w:val="clear" w:color="auto" w:fill="auto"/>
            <w:noWrap/>
            <w:vAlign w:val="center"/>
            <w:hideMark/>
          </w:tcPr>
          <w:p w14:paraId="6DE47C34" w14:textId="77777777" w:rsidR="0043709B" w:rsidRPr="0043709B" w:rsidRDefault="0043709B" w:rsidP="0043709B">
            <w:pPr>
              <w:rPr>
                <w:rFonts w:ascii="Arial Narrow" w:hAnsi="Arial Narrow" w:cs="Arial"/>
                <w:sz w:val="16"/>
                <w:szCs w:val="16"/>
              </w:rPr>
            </w:pPr>
            <w:r w:rsidRPr="0043709B">
              <w:rPr>
                <w:rFonts w:ascii="Arial Narrow" w:hAnsi="Arial Narrow" w:cs="Arial"/>
                <w:sz w:val="16"/>
                <w:szCs w:val="16"/>
              </w:rPr>
              <w:t>11.4</w:t>
            </w:r>
          </w:p>
        </w:tc>
        <w:tc>
          <w:tcPr>
            <w:tcW w:w="3016" w:type="dxa"/>
            <w:tcBorders>
              <w:top w:val="nil"/>
              <w:left w:val="nil"/>
              <w:bottom w:val="single" w:sz="4" w:space="0" w:color="auto"/>
              <w:right w:val="single" w:sz="4" w:space="0" w:color="auto"/>
            </w:tcBorders>
            <w:shd w:val="clear" w:color="000000" w:fill="FFFFFF"/>
            <w:noWrap/>
            <w:vAlign w:val="center"/>
            <w:hideMark/>
          </w:tcPr>
          <w:p w14:paraId="717DC329" w14:textId="77777777" w:rsidR="0043709B" w:rsidRPr="0043709B" w:rsidRDefault="0043709B" w:rsidP="00CD44F3">
            <w:pPr>
              <w:ind w:firstLine="138"/>
              <w:rPr>
                <w:rFonts w:ascii="Arial Narrow" w:hAnsi="Arial Narrow" w:cs="Calibri"/>
                <w:sz w:val="16"/>
                <w:szCs w:val="16"/>
              </w:rPr>
            </w:pPr>
            <w:r w:rsidRPr="0043709B">
              <w:rPr>
                <w:rFonts w:ascii="Arial Narrow" w:hAnsi="Arial Narrow" w:cs="Calibri"/>
                <w:sz w:val="16"/>
                <w:szCs w:val="16"/>
              </w:rPr>
              <w:t>Овце и кози</w:t>
            </w:r>
          </w:p>
        </w:tc>
        <w:tc>
          <w:tcPr>
            <w:tcW w:w="1180" w:type="dxa"/>
            <w:tcBorders>
              <w:top w:val="nil"/>
              <w:left w:val="nil"/>
              <w:bottom w:val="single" w:sz="4" w:space="0" w:color="auto"/>
              <w:right w:val="single" w:sz="4" w:space="0" w:color="auto"/>
            </w:tcBorders>
            <w:shd w:val="clear" w:color="auto" w:fill="auto"/>
            <w:vAlign w:val="center"/>
          </w:tcPr>
          <w:p w14:paraId="00B4E7DF" w14:textId="77777777" w:rsidR="0043709B" w:rsidRPr="0043709B" w:rsidRDefault="0043709B" w:rsidP="0043709B">
            <w:pPr>
              <w:jc w:val="right"/>
              <w:rPr>
                <w:rFonts w:ascii="Arial Narrow" w:hAnsi="Arial Narrow" w:cs="Calibri"/>
                <w:sz w:val="16"/>
                <w:szCs w:val="16"/>
              </w:rPr>
            </w:pPr>
            <w:r w:rsidRPr="0043709B">
              <w:rPr>
                <w:rFonts w:ascii="Arial Narrow" w:hAnsi="Arial Narrow" w:cs="Calibri"/>
                <w:sz w:val="16"/>
                <w:szCs w:val="16"/>
              </w:rPr>
              <w:t>229,4</w:t>
            </w:r>
          </w:p>
        </w:tc>
        <w:tc>
          <w:tcPr>
            <w:tcW w:w="1170" w:type="dxa"/>
            <w:tcBorders>
              <w:top w:val="nil"/>
              <w:left w:val="nil"/>
              <w:bottom w:val="single" w:sz="4" w:space="0" w:color="auto"/>
              <w:right w:val="single" w:sz="4" w:space="0" w:color="auto"/>
            </w:tcBorders>
            <w:shd w:val="clear" w:color="auto" w:fill="auto"/>
            <w:noWrap/>
            <w:vAlign w:val="center"/>
            <w:hideMark/>
          </w:tcPr>
          <w:p w14:paraId="372FFFBF" w14:textId="77777777" w:rsidR="0043709B" w:rsidRPr="0043709B" w:rsidRDefault="0043709B" w:rsidP="0043709B">
            <w:pPr>
              <w:jc w:val="right"/>
              <w:rPr>
                <w:rFonts w:ascii="Arial Narrow" w:hAnsi="Arial Narrow" w:cs="Calibri"/>
                <w:sz w:val="16"/>
                <w:szCs w:val="16"/>
              </w:rPr>
            </w:pPr>
            <w:r w:rsidRPr="0043709B">
              <w:rPr>
                <w:rFonts w:ascii="Arial Narrow" w:hAnsi="Arial Narrow" w:cs="Calibri"/>
                <w:sz w:val="16"/>
                <w:szCs w:val="16"/>
              </w:rPr>
              <w:t>85,5</w:t>
            </w:r>
          </w:p>
        </w:tc>
        <w:tc>
          <w:tcPr>
            <w:tcW w:w="1300" w:type="dxa"/>
            <w:tcBorders>
              <w:top w:val="nil"/>
              <w:left w:val="nil"/>
              <w:bottom w:val="single" w:sz="4" w:space="0" w:color="auto"/>
              <w:right w:val="single" w:sz="4" w:space="0" w:color="auto"/>
            </w:tcBorders>
            <w:shd w:val="clear" w:color="auto" w:fill="auto"/>
            <w:noWrap/>
            <w:vAlign w:val="center"/>
            <w:hideMark/>
          </w:tcPr>
          <w:p w14:paraId="477322E5" w14:textId="77777777" w:rsidR="0043709B" w:rsidRPr="0043709B" w:rsidRDefault="0043709B" w:rsidP="0043709B">
            <w:pPr>
              <w:jc w:val="right"/>
              <w:rPr>
                <w:rFonts w:ascii="Arial Narrow" w:hAnsi="Arial Narrow" w:cs="Calibri"/>
                <w:sz w:val="16"/>
                <w:szCs w:val="16"/>
              </w:rPr>
            </w:pPr>
            <w:r w:rsidRPr="0043709B">
              <w:rPr>
                <w:rFonts w:ascii="Arial Narrow" w:hAnsi="Arial Narrow" w:cs="Calibri"/>
                <w:sz w:val="16"/>
                <w:szCs w:val="16"/>
              </w:rPr>
              <w:t>196,2</w:t>
            </w:r>
          </w:p>
        </w:tc>
        <w:tc>
          <w:tcPr>
            <w:tcW w:w="1220" w:type="dxa"/>
            <w:tcBorders>
              <w:top w:val="nil"/>
              <w:left w:val="nil"/>
              <w:bottom w:val="single" w:sz="4" w:space="0" w:color="auto"/>
              <w:right w:val="single" w:sz="4" w:space="0" w:color="auto"/>
            </w:tcBorders>
            <w:shd w:val="clear" w:color="auto" w:fill="auto"/>
            <w:noWrap/>
            <w:vAlign w:val="center"/>
            <w:hideMark/>
          </w:tcPr>
          <w:p w14:paraId="270E8EB3" w14:textId="77777777" w:rsidR="0043709B" w:rsidRPr="0043709B" w:rsidRDefault="0043709B" w:rsidP="0043709B">
            <w:pPr>
              <w:jc w:val="right"/>
              <w:rPr>
                <w:rFonts w:ascii="Arial Narrow" w:hAnsi="Arial Narrow" w:cs="Calibri"/>
                <w:sz w:val="16"/>
                <w:szCs w:val="16"/>
              </w:rPr>
            </w:pPr>
            <w:r w:rsidRPr="0043709B">
              <w:rPr>
                <w:rFonts w:ascii="Arial Narrow" w:hAnsi="Arial Narrow" w:cs="Calibri"/>
                <w:sz w:val="16"/>
                <w:szCs w:val="16"/>
              </w:rPr>
              <w:t>108,7</w:t>
            </w:r>
          </w:p>
        </w:tc>
        <w:tc>
          <w:tcPr>
            <w:tcW w:w="1236" w:type="dxa"/>
            <w:tcBorders>
              <w:top w:val="nil"/>
              <w:left w:val="nil"/>
              <w:bottom w:val="single" w:sz="4" w:space="0" w:color="auto"/>
              <w:right w:val="single" w:sz="4" w:space="0" w:color="auto"/>
            </w:tcBorders>
            <w:shd w:val="clear" w:color="auto" w:fill="auto"/>
            <w:noWrap/>
            <w:vAlign w:val="center"/>
            <w:hideMark/>
          </w:tcPr>
          <w:p w14:paraId="748524E4" w14:textId="77777777" w:rsidR="0043709B" w:rsidRPr="0043709B" w:rsidRDefault="0043709B" w:rsidP="0043709B">
            <w:pPr>
              <w:jc w:val="right"/>
              <w:rPr>
                <w:rFonts w:ascii="Arial Narrow" w:hAnsi="Arial Narrow" w:cs="Calibri"/>
                <w:sz w:val="16"/>
                <w:szCs w:val="16"/>
              </w:rPr>
            </w:pPr>
            <w:r w:rsidRPr="0043709B">
              <w:rPr>
                <w:rFonts w:ascii="Arial Narrow" w:hAnsi="Arial Narrow" w:cs="Calibri"/>
                <w:sz w:val="16"/>
                <w:szCs w:val="16"/>
              </w:rPr>
              <w:t>213,2</w:t>
            </w:r>
          </w:p>
        </w:tc>
        <w:tc>
          <w:tcPr>
            <w:tcW w:w="1260" w:type="dxa"/>
            <w:tcBorders>
              <w:top w:val="nil"/>
              <w:left w:val="nil"/>
              <w:bottom w:val="single" w:sz="4" w:space="0" w:color="auto"/>
              <w:right w:val="single" w:sz="4" w:space="0" w:color="auto"/>
            </w:tcBorders>
            <w:shd w:val="clear" w:color="auto" w:fill="auto"/>
            <w:noWrap/>
            <w:vAlign w:val="center"/>
            <w:hideMark/>
          </w:tcPr>
          <w:p w14:paraId="32E5440D" w14:textId="77777777" w:rsidR="0043709B" w:rsidRPr="0043709B" w:rsidRDefault="0043709B" w:rsidP="0043709B">
            <w:pPr>
              <w:jc w:val="right"/>
              <w:rPr>
                <w:rFonts w:ascii="Arial Narrow" w:hAnsi="Arial Narrow" w:cs="Arial"/>
                <w:sz w:val="16"/>
                <w:szCs w:val="16"/>
              </w:rPr>
            </w:pPr>
            <w:r w:rsidRPr="0043709B">
              <w:rPr>
                <w:rFonts w:ascii="Arial Narrow" w:hAnsi="Arial Narrow" w:cs="Arial"/>
                <w:sz w:val="16"/>
                <w:szCs w:val="16"/>
              </w:rPr>
              <w:t>92,9</w:t>
            </w:r>
          </w:p>
        </w:tc>
      </w:tr>
      <w:tr w:rsidR="0043709B" w:rsidRPr="0043709B" w14:paraId="0666A17C" w14:textId="77777777" w:rsidTr="0043709B">
        <w:trPr>
          <w:trHeight w:val="250"/>
        </w:trPr>
        <w:tc>
          <w:tcPr>
            <w:tcW w:w="781" w:type="dxa"/>
            <w:tcBorders>
              <w:top w:val="nil"/>
              <w:left w:val="single" w:sz="4" w:space="0" w:color="auto"/>
              <w:bottom w:val="single" w:sz="4" w:space="0" w:color="auto"/>
              <w:right w:val="single" w:sz="4" w:space="0" w:color="auto"/>
            </w:tcBorders>
            <w:shd w:val="clear" w:color="auto" w:fill="auto"/>
            <w:noWrap/>
            <w:vAlign w:val="center"/>
            <w:hideMark/>
          </w:tcPr>
          <w:p w14:paraId="16C76893" w14:textId="77777777" w:rsidR="0043709B" w:rsidRPr="0043709B" w:rsidRDefault="0043709B" w:rsidP="0043709B">
            <w:pPr>
              <w:rPr>
                <w:rFonts w:ascii="Arial Narrow" w:hAnsi="Arial Narrow" w:cs="Arial"/>
                <w:sz w:val="16"/>
                <w:szCs w:val="16"/>
              </w:rPr>
            </w:pPr>
            <w:r w:rsidRPr="0043709B">
              <w:rPr>
                <w:rFonts w:ascii="Arial Narrow" w:hAnsi="Arial Narrow" w:cs="Arial"/>
                <w:sz w:val="16"/>
                <w:szCs w:val="16"/>
              </w:rPr>
              <w:t>11.5</w:t>
            </w:r>
          </w:p>
        </w:tc>
        <w:tc>
          <w:tcPr>
            <w:tcW w:w="3016" w:type="dxa"/>
            <w:tcBorders>
              <w:top w:val="nil"/>
              <w:left w:val="nil"/>
              <w:bottom w:val="single" w:sz="4" w:space="0" w:color="auto"/>
              <w:right w:val="single" w:sz="4" w:space="0" w:color="auto"/>
            </w:tcBorders>
            <w:shd w:val="clear" w:color="000000" w:fill="FFFFFF"/>
            <w:noWrap/>
            <w:vAlign w:val="center"/>
            <w:hideMark/>
          </w:tcPr>
          <w:p w14:paraId="7B03881F" w14:textId="77777777" w:rsidR="0043709B" w:rsidRPr="0043709B" w:rsidRDefault="0043709B" w:rsidP="00CD44F3">
            <w:pPr>
              <w:ind w:firstLine="138"/>
              <w:rPr>
                <w:rFonts w:ascii="Arial Narrow" w:hAnsi="Arial Narrow" w:cs="Calibri"/>
                <w:sz w:val="16"/>
                <w:szCs w:val="16"/>
              </w:rPr>
            </w:pPr>
            <w:r w:rsidRPr="0043709B">
              <w:rPr>
                <w:rFonts w:ascii="Arial Narrow" w:hAnsi="Arial Narrow" w:cs="Calibri"/>
                <w:sz w:val="16"/>
                <w:szCs w:val="16"/>
              </w:rPr>
              <w:t>Птици</w:t>
            </w:r>
          </w:p>
        </w:tc>
        <w:tc>
          <w:tcPr>
            <w:tcW w:w="1180" w:type="dxa"/>
            <w:tcBorders>
              <w:top w:val="nil"/>
              <w:left w:val="nil"/>
              <w:bottom w:val="single" w:sz="4" w:space="0" w:color="auto"/>
              <w:right w:val="single" w:sz="4" w:space="0" w:color="auto"/>
            </w:tcBorders>
            <w:shd w:val="clear" w:color="auto" w:fill="auto"/>
            <w:vAlign w:val="center"/>
          </w:tcPr>
          <w:p w14:paraId="5189FA5B" w14:textId="77777777" w:rsidR="0043709B" w:rsidRPr="0043709B" w:rsidRDefault="0043709B" w:rsidP="0043709B">
            <w:pPr>
              <w:jc w:val="right"/>
              <w:rPr>
                <w:rFonts w:ascii="Arial Narrow" w:hAnsi="Arial Narrow" w:cs="Calibri"/>
                <w:sz w:val="16"/>
                <w:szCs w:val="16"/>
              </w:rPr>
            </w:pPr>
            <w:r w:rsidRPr="0043709B">
              <w:rPr>
                <w:rFonts w:ascii="Arial Narrow" w:hAnsi="Arial Narrow" w:cs="Calibri"/>
                <w:sz w:val="16"/>
                <w:szCs w:val="16"/>
              </w:rPr>
              <w:t>436,9</w:t>
            </w:r>
          </w:p>
        </w:tc>
        <w:tc>
          <w:tcPr>
            <w:tcW w:w="1170" w:type="dxa"/>
            <w:tcBorders>
              <w:top w:val="nil"/>
              <w:left w:val="nil"/>
              <w:bottom w:val="single" w:sz="4" w:space="0" w:color="auto"/>
              <w:right w:val="single" w:sz="4" w:space="0" w:color="auto"/>
            </w:tcBorders>
            <w:shd w:val="clear" w:color="auto" w:fill="auto"/>
            <w:noWrap/>
            <w:vAlign w:val="center"/>
            <w:hideMark/>
          </w:tcPr>
          <w:p w14:paraId="355660E2" w14:textId="77777777" w:rsidR="0043709B" w:rsidRPr="0043709B" w:rsidRDefault="0043709B" w:rsidP="0043709B">
            <w:pPr>
              <w:jc w:val="right"/>
              <w:rPr>
                <w:rFonts w:ascii="Arial Narrow" w:hAnsi="Arial Narrow" w:cs="Calibri"/>
                <w:sz w:val="16"/>
                <w:szCs w:val="16"/>
              </w:rPr>
            </w:pPr>
            <w:r w:rsidRPr="0043709B">
              <w:rPr>
                <w:rFonts w:ascii="Arial Narrow" w:hAnsi="Arial Narrow" w:cs="Calibri"/>
                <w:sz w:val="16"/>
                <w:szCs w:val="16"/>
              </w:rPr>
              <w:t>101,8</w:t>
            </w:r>
          </w:p>
        </w:tc>
        <w:tc>
          <w:tcPr>
            <w:tcW w:w="1300" w:type="dxa"/>
            <w:tcBorders>
              <w:top w:val="nil"/>
              <w:left w:val="nil"/>
              <w:bottom w:val="single" w:sz="4" w:space="0" w:color="auto"/>
              <w:right w:val="single" w:sz="4" w:space="0" w:color="auto"/>
            </w:tcBorders>
            <w:shd w:val="clear" w:color="auto" w:fill="auto"/>
            <w:noWrap/>
            <w:vAlign w:val="center"/>
            <w:hideMark/>
          </w:tcPr>
          <w:p w14:paraId="4DCF8030" w14:textId="77777777" w:rsidR="0043709B" w:rsidRPr="0043709B" w:rsidRDefault="0043709B" w:rsidP="0043709B">
            <w:pPr>
              <w:jc w:val="right"/>
              <w:rPr>
                <w:rFonts w:ascii="Arial Narrow" w:hAnsi="Arial Narrow" w:cs="Calibri"/>
                <w:sz w:val="16"/>
                <w:szCs w:val="16"/>
              </w:rPr>
            </w:pPr>
            <w:r w:rsidRPr="0043709B">
              <w:rPr>
                <w:rFonts w:ascii="Arial Narrow" w:hAnsi="Arial Narrow" w:cs="Calibri"/>
                <w:sz w:val="16"/>
                <w:szCs w:val="16"/>
              </w:rPr>
              <w:t>444,8</w:t>
            </w:r>
          </w:p>
        </w:tc>
        <w:tc>
          <w:tcPr>
            <w:tcW w:w="1220" w:type="dxa"/>
            <w:tcBorders>
              <w:top w:val="nil"/>
              <w:left w:val="nil"/>
              <w:bottom w:val="single" w:sz="4" w:space="0" w:color="auto"/>
              <w:right w:val="single" w:sz="4" w:space="0" w:color="auto"/>
            </w:tcBorders>
            <w:shd w:val="clear" w:color="auto" w:fill="auto"/>
            <w:noWrap/>
            <w:vAlign w:val="center"/>
            <w:hideMark/>
          </w:tcPr>
          <w:p w14:paraId="2C759338" w14:textId="77777777" w:rsidR="0043709B" w:rsidRPr="0043709B" w:rsidRDefault="0043709B" w:rsidP="0043709B">
            <w:pPr>
              <w:jc w:val="right"/>
              <w:rPr>
                <w:rFonts w:ascii="Arial Narrow" w:hAnsi="Arial Narrow" w:cs="Calibri"/>
                <w:sz w:val="16"/>
                <w:szCs w:val="16"/>
              </w:rPr>
            </w:pPr>
            <w:r w:rsidRPr="0043709B">
              <w:rPr>
                <w:rFonts w:ascii="Arial Narrow" w:hAnsi="Arial Narrow" w:cs="Calibri"/>
                <w:sz w:val="16"/>
                <w:szCs w:val="16"/>
              </w:rPr>
              <w:t>91,1</w:t>
            </w:r>
          </w:p>
        </w:tc>
        <w:tc>
          <w:tcPr>
            <w:tcW w:w="1236" w:type="dxa"/>
            <w:tcBorders>
              <w:top w:val="nil"/>
              <w:left w:val="nil"/>
              <w:bottom w:val="single" w:sz="4" w:space="0" w:color="auto"/>
              <w:right w:val="single" w:sz="4" w:space="0" w:color="auto"/>
            </w:tcBorders>
            <w:shd w:val="clear" w:color="auto" w:fill="auto"/>
            <w:noWrap/>
            <w:vAlign w:val="center"/>
            <w:hideMark/>
          </w:tcPr>
          <w:p w14:paraId="359DA6C2" w14:textId="77777777" w:rsidR="0043709B" w:rsidRPr="0043709B" w:rsidRDefault="0043709B" w:rsidP="0043709B">
            <w:pPr>
              <w:jc w:val="right"/>
              <w:rPr>
                <w:rFonts w:ascii="Arial Narrow" w:hAnsi="Arial Narrow" w:cs="Calibri"/>
                <w:sz w:val="16"/>
                <w:szCs w:val="16"/>
              </w:rPr>
            </w:pPr>
            <w:r w:rsidRPr="0043709B">
              <w:rPr>
                <w:rFonts w:ascii="Arial Narrow" w:hAnsi="Arial Narrow" w:cs="Calibri"/>
                <w:sz w:val="16"/>
                <w:szCs w:val="16"/>
              </w:rPr>
              <w:t>405,4</w:t>
            </w:r>
          </w:p>
        </w:tc>
        <w:tc>
          <w:tcPr>
            <w:tcW w:w="1260" w:type="dxa"/>
            <w:tcBorders>
              <w:top w:val="nil"/>
              <w:left w:val="nil"/>
              <w:bottom w:val="single" w:sz="4" w:space="0" w:color="auto"/>
              <w:right w:val="single" w:sz="4" w:space="0" w:color="auto"/>
            </w:tcBorders>
            <w:shd w:val="clear" w:color="auto" w:fill="auto"/>
            <w:noWrap/>
            <w:vAlign w:val="center"/>
            <w:hideMark/>
          </w:tcPr>
          <w:p w14:paraId="7C132B07" w14:textId="77777777" w:rsidR="0043709B" w:rsidRPr="0043709B" w:rsidRDefault="0043709B" w:rsidP="0043709B">
            <w:pPr>
              <w:jc w:val="right"/>
              <w:rPr>
                <w:rFonts w:ascii="Arial Narrow" w:hAnsi="Arial Narrow" w:cs="Arial"/>
                <w:sz w:val="16"/>
                <w:szCs w:val="16"/>
              </w:rPr>
            </w:pPr>
            <w:r w:rsidRPr="0043709B">
              <w:rPr>
                <w:rFonts w:ascii="Arial Narrow" w:hAnsi="Arial Narrow" w:cs="Arial"/>
                <w:sz w:val="16"/>
                <w:szCs w:val="16"/>
              </w:rPr>
              <w:t>92,8</w:t>
            </w:r>
          </w:p>
        </w:tc>
      </w:tr>
      <w:tr w:rsidR="0043709B" w:rsidRPr="0043709B" w14:paraId="7BC7F766" w14:textId="77777777" w:rsidTr="0043709B">
        <w:trPr>
          <w:trHeight w:val="250"/>
        </w:trPr>
        <w:tc>
          <w:tcPr>
            <w:tcW w:w="781" w:type="dxa"/>
            <w:tcBorders>
              <w:top w:val="nil"/>
              <w:left w:val="single" w:sz="4" w:space="0" w:color="auto"/>
              <w:bottom w:val="single" w:sz="4" w:space="0" w:color="auto"/>
              <w:right w:val="single" w:sz="4" w:space="0" w:color="auto"/>
            </w:tcBorders>
            <w:shd w:val="clear" w:color="auto" w:fill="auto"/>
            <w:noWrap/>
            <w:vAlign w:val="center"/>
            <w:hideMark/>
          </w:tcPr>
          <w:p w14:paraId="2A4DC1ED" w14:textId="77777777" w:rsidR="0043709B" w:rsidRPr="0043709B" w:rsidRDefault="0043709B" w:rsidP="0043709B">
            <w:pPr>
              <w:rPr>
                <w:rFonts w:ascii="Arial Narrow" w:hAnsi="Arial Narrow" w:cs="Arial"/>
                <w:sz w:val="16"/>
                <w:szCs w:val="16"/>
              </w:rPr>
            </w:pPr>
            <w:r w:rsidRPr="0043709B">
              <w:rPr>
                <w:rFonts w:ascii="Arial Narrow" w:hAnsi="Arial Narrow" w:cs="Arial"/>
                <w:sz w:val="16"/>
                <w:szCs w:val="16"/>
              </w:rPr>
              <w:t>11.6</w:t>
            </w:r>
          </w:p>
        </w:tc>
        <w:tc>
          <w:tcPr>
            <w:tcW w:w="3016" w:type="dxa"/>
            <w:tcBorders>
              <w:top w:val="nil"/>
              <w:left w:val="nil"/>
              <w:bottom w:val="single" w:sz="4" w:space="0" w:color="auto"/>
              <w:right w:val="single" w:sz="4" w:space="0" w:color="auto"/>
            </w:tcBorders>
            <w:shd w:val="clear" w:color="000000" w:fill="FFFFFF"/>
            <w:noWrap/>
            <w:vAlign w:val="center"/>
            <w:hideMark/>
          </w:tcPr>
          <w:p w14:paraId="04157D90" w14:textId="77777777" w:rsidR="0043709B" w:rsidRPr="0043709B" w:rsidRDefault="0043709B" w:rsidP="00CD44F3">
            <w:pPr>
              <w:ind w:firstLine="138"/>
              <w:rPr>
                <w:rFonts w:ascii="Arial Narrow" w:hAnsi="Arial Narrow" w:cs="Calibri"/>
                <w:sz w:val="16"/>
                <w:szCs w:val="16"/>
              </w:rPr>
            </w:pPr>
            <w:r w:rsidRPr="0043709B">
              <w:rPr>
                <w:rFonts w:ascii="Arial Narrow" w:hAnsi="Arial Narrow" w:cs="Calibri"/>
                <w:sz w:val="16"/>
                <w:szCs w:val="16"/>
              </w:rPr>
              <w:t>Други животни</w:t>
            </w:r>
          </w:p>
        </w:tc>
        <w:tc>
          <w:tcPr>
            <w:tcW w:w="1180" w:type="dxa"/>
            <w:tcBorders>
              <w:top w:val="nil"/>
              <w:left w:val="nil"/>
              <w:bottom w:val="single" w:sz="4" w:space="0" w:color="auto"/>
              <w:right w:val="single" w:sz="4" w:space="0" w:color="auto"/>
            </w:tcBorders>
            <w:shd w:val="clear" w:color="auto" w:fill="auto"/>
            <w:vAlign w:val="center"/>
          </w:tcPr>
          <w:p w14:paraId="477EB655" w14:textId="77777777" w:rsidR="0043709B" w:rsidRPr="0043709B" w:rsidRDefault="0043709B" w:rsidP="0043709B">
            <w:pPr>
              <w:jc w:val="right"/>
              <w:rPr>
                <w:rFonts w:ascii="Arial Narrow" w:hAnsi="Arial Narrow" w:cs="Calibri"/>
                <w:sz w:val="16"/>
                <w:szCs w:val="16"/>
              </w:rPr>
            </w:pPr>
            <w:r w:rsidRPr="0043709B">
              <w:rPr>
                <w:rFonts w:ascii="Arial Narrow" w:hAnsi="Arial Narrow" w:cs="Calibri"/>
                <w:sz w:val="16"/>
                <w:szCs w:val="16"/>
              </w:rPr>
              <w:t> </w:t>
            </w:r>
          </w:p>
        </w:tc>
        <w:tc>
          <w:tcPr>
            <w:tcW w:w="1170" w:type="dxa"/>
            <w:tcBorders>
              <w:top w:val="nil"/>
              <w:left w:val="nil"/>
              <w:bottom w:val="single" w:sz="4" w:space="0" w:color="auto"/>
              <w:right w:val="single" w:sz="4" w:space="0" w:color="auto"/>
            </w:tcBorders>
            <w:shd w:val="clear" w:color="auto" w:fill="auto"/>
            <w:noWrap/>
            <w:vAlign w:val="center"/>
            <w:hideMark/>
          </w:tcPr>
          <w:p w14:paraId="6325BD7C" w14:textId="77777777" w:rsidR="0043709B" w:rsidRPr="0043709B" w:rsidRDefault="0043709B" w:rsidP="0043709B">
            <w:pPr>
              <w:jc w:val="right"/>
              <w:rPr>
                <w:rFonts w:ascii="Arial Narrow" w:hAnsi="Arial Narrow" w:cs="Calibri"/>
                <w:sz w:val="16"/>
                <w:szCs w:val="16"/>
              </w:rPr>
            </w:pPr>
          </w:p>
        </w:tc>
        <w:tc>
          <w:tcPr>
            <w:tcW w:w="1300" w:type="dxa"/>
            <w:tcBorders>
              <w:top w:val="nil"/>
              <w:left w:val="nil"/>
              <w:bottom w:val="single" w:sz="4" w:space="0" w:color="auto"/>
              <w:right w:val="single" w:sz="4" w:space="0" w:color="auto"/>
            </w:tcBorders>
            <w:shd w:val="clear" w:color="auto" w:fill="auto"/>
            <w:noWrap/>
            <w:vAlign w:val="center"/>
            <w:hideMark/>
          </w:tcPr>
          <w:p w14:paraId="39E31963" w14:textId="77777777" w:rsidR="0043709B" w:rsidRPr="0043709B" w:rsidRDefault="0043709B" w:rsidP="0043709B">
            <w:pPr>
              <w:jc w:val="right"/>
              <w:rPr>
                <w:rFonts w:ascii="Arial Narrow" w:hAnsi="Arial Narrow" w:cs="Calibri"/>
                <w:sz w:val="16"/>
                <w:szCs w:val="16"/>
              </w:rPr>
            </w:pPr>
            <w:r w:rsidRPr="0043709B">
              <w:rPr>
                <w:rFonts w:ascii="Arial Narrow" w:hAnsi="Arial Narrow" w:cs="Calibri"/>
                <w:sz w:val="16"/>
                <w:szCs w:val="16"/>
              </w:rPr>
              <w:t> </w:t>
            </w:r>
          </w:p>
        </w:tc>
        <w:tc>
          <w:tcPr>
            <w:tcW w:w="1220" w:type="dxa"/>
            <w:tcBorders>
              <w:top w:val="nil"/>
              <w:left w:val="nil"/>
              <w:bottom w:val="single" w:sz="4" w:space="0" w:color="auto"/>
              <w:right w:val="single" w:sz="4" w:space="0" w:color="auto"/>
            </w:tcBorders>
            <w:shd w:val="clear" w:color="auto" w:fill="auto"/>
            <w:noWrap/>
            <w:vAlign w:val="center"/>
            <w:hideMark/>
          </w:tcPr>
          <w:p w14:paraId="5851AE8D" w14:textId="77777777" w:rsidR="0043709B" w:rsidRPr="0043709B" w:rsidRDefault="0043709B" w:rsidP="0043709B">
            <w:pPr>
              <w:jc w:val="right"/>
              <w:rPr>
                <w:rFonts w:ascii="Arial Narrow" w:hAnsi="Arial Narrow" w:cs="Calibri"/>
                <w:sz w:val="16"/>
                <w:szCs w:val="16"/>
              </w:rPr>
            </w:pPr>
          </w:p>
        </w:tc>
        <w:tc>
          <w:tcPr>
            <w:tcW w:w="1236" w:type="dxa"/>
            <w:tcBorders>
              <w:top w:val="nil"/>
              <w:left w:val="nil"/>
              <w:bottom w:val="single" w:sz="4" w:space="0" w:color="auto"/>
              <w:right w:val="single" w:sz="4" w:space="0" w:color="auto"/>
            </w:tcBorders>
            <w:shd w:val="clear" w:color="auto" w:fill="auto"/>
            <w:noWrap/>
            <w:vAlign w:val="center"/>
            <w:hideMark/>
          </w:tcPr>
          <w:p w14:paraId="50A22AEB" w14:textId="77777777" w:rsidR="0043709B" w:rsidRPr="0043709B" w:rsidRDefault="0043709B" w:rsidP="0043709B">
            <w:pPr>
              <w:jc w:val="right"/>
              <w:rPr>
                <w:rFonts w:ascii="Arial Narrow" w:hAnsi="Arial Narrow" w:cs="Calibri"/>
                <w:sz w:val="16"/>
                <w:szCs w:val="16"/>
              </w:rPr>
            </w:pPr>
            <w:r w:rsidRPr="0043709B">
              <w:rPr>
                <w:rFonts w:ascii="Arial Narrow" w:hAnsi="Arial Narrow" w:cs="Calibri"/>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14:paraId="78554F16" w14:textId="77777777" w:rsidR="0043709B" w:rsidRPr="0043709B" w:rsidRDefault="0043709B" w:rsidP="0043709B">
            <w:pPr>
              <w:jc w:val="right"/>
              <w:rPr>
                <w:rFonts w:ascii="Arial Narrow" w:hAnsi="Arial Narrow" w:cs="Arial"/>
                <w:sz w:val="16"/>
                <w:szCs w:val="16"/>
              </w:rPr>
            </w:pPr>
          </w:p>
        </w:tc>
      </w:tr>
      <w:tr w:rsidR="0043709B" w:rsidRPr="0043709B" w14:paraId="2F18E11C" w14:textId="77777777" w:rsidTr="0043709B">
        <w:trPr>
          <w:trHeight w:val="250"/>
        </w:trPr>
        <w:tc>
          <w:tcPr>
            <w:tcW w:w="781" w:type="dxa"/>
            <w:tcBorders>
              <w:top w:val="nil"/>
              <w:left w:val="single" w:sz="4" w:space="0" w:color="auto"/>
              <w:bottom w:val="single" w:sz="4" w:space="0" w:color="auto"/>
              <w:right w:val="single" w:sz="4" w:space="0" w:color="auto"/>
            </w:tcBorders>
            <w:shd w:val="clear" w:color="auto" w:fill="auto"/>
            <w:noWrap/>
            <w:vAlign w:val="center"/>
            <w:hideMark/>
          </w:tcPr>
          <w:p w14:paraId="416B005C" w14:textId="77777777" w:rsidR="0043709B" w:rsidRPr="0043709B" w:rsidRDefault="0043709B" w:rsidP="0043709B">
            <w:pPr>
              <w:rPr>
                <w:rFonts w:ascii="Arial Narrow" w:hAnsi="Arial Narrow" w:cs="Arial"/>
                <w:sz w:val="16"/>
                <w:szCs w:val="16"/>
              </w:rPr>
            </w:pPr>
            <w:r w:rsidRPr="0043709B">
              <w:rPr>
                <w:rFonts w:ascii="Arial Narrow" w:hAnsi="Arial Narrow" w:cs="Arial"/>
                <w:sz w:val="16"/>
                <w:szCs w:val="16"/>
              </w:rPr>
              <w:t>12</w:t>
            </w:r>
          </w:p>
        </w:tc>
        <w:tc>
          <w:tcPr>
            <w:tcW w:w="3016" w:type="dxa"/>
            <w:tcBorders>
              <w:top w:val="nil"/>
              <w:left w:val="nil"/>
              <w:bottom w:val="single" w:sz="4" w:space="0" w:color="auto"/>
              <w:right w:val="single" w:sz="4" w:space="0" w:color="auto"/>
            </w:tcBorders>
            <w:shd w:val="clear" w:color="000000" w:fill="FFFFFF"/>
            <w:noWrap/>
            <w:vAlign w:val="center"/>
            <w:hideMark/>
          </w:tcPr>
          <w:p w14:paraId="40F9B073" w14:textId="77777777" w:rsidR="0043709B" w:rsidRPr="0043709B" w:rsidRDefault="0043709B" w:rsidP="0043709B">
            <w:pPr>
              <w:rPr>
                <w:rFonts w:ascii="Arial Narrow" w:hAnsi="Arial Narrow" w:cs="Calibri"/>
                <w:b/>
                <w:bCs/>
                <w:sz w:val="16"/>
                <w:szCs w:val="16"/>
              </w:rPr>
            </w:pPr>
            <w:r w:rsidRPr="0043709B">
              <w:rPr>
                <w:rFonts w:ascii="Arial Narrow" w:hAnsi="Arial Narrow" w:cs="Calibri"/>
                <w:b/>
                <w:bCs/>
                <w:sz w:val="16"/>
                <w:szCs w:val="16"/>
              </w:rPr>
              <w:t>ПРОДУКТИ ОТ ЖИВОТНОВЪДСТВОТО</w:t>
            </w:r>
          </w:p>
        </w:tc>
        <w:tc>
          <w:tcPr>
            <w:tcW w:w="1180" w:type="dxa"/>
            <w:tcBorders>
              <w:top w:val="nil"/>
              <w:left w:val="nil"/>
              <w:bottom w:val="single" w:sz="4" w:space="0" w:color="auto"/>
              <w:right w:val="single" w:sz="4" w:space="0" w:color="auto"/>
            </w:tcBorders>
            <w:shd w:val="clear" w:color="auto" w:fill="auto"/>
            <w:vAlign w:val="center"/>
          </w:tcPr>
          <w:p w14:paraId="45F2FC40" w14:textId="77777777" w:rsidR="0043709B" w:rsidRPr="0043709B" w:rsidRDefault="0043709B" w:rsidP="0043709B">
            <w:pPr>
              <w:jc w:val="right"/>
              <w:rPr>
                <w:rFonts w:ascii="Arial Narrow" w:hAnsi="Arial Narrow" w:cs="Calibri"/>
                <w:sz w:val="16"/>
                <w:szCs w:val="16"/>
              </w:rPr>
            </w:pPr>
            <w:r w:rsidRPr="0043709B">
              <w:rPr>
                <w:rFonts w:ascii="Arial Narrow" w:hAnsi="Arial Narrow" w:cs="Calibri"/>
                <w:sz w:val="16"/>
                <w:szCs w:val="16"/>
              </w:rPr>
              <w:t>1 172,7</w:t>
            </w:r>
          </w:p>
        </w:tc>
        <w:tc>
          <w:tcPr>
            <w:tcW w:w="1170" w:type="dxa"/>
            <w:tcBorders>
              <w:top w:val="nil"/>
              <w:left w:val="nil"/>
              <w:bottom w:val="single" w:sz="4" w:space="0" w:color="auto"/>
              <w:right w:val="single" w:sz="4" w:space="0" w:color="auto"/>
            </w:tcBorders>
            <w:shd w:val="clear" w:color="auto" w:fill="auto"/>
            <w:noWrap/>
            <w:vAlign w:val="center"/>
            <w:hideMark/>
          </w:tcPr>
          <w:p w14:paraId="15C4003D" w14:textId="77777777" w:rsidR="0043709B" w:rsidRPr="0043709B" w:rsidRDefault="0043709B" w:rsidP="0043709B">
            <w:pPr>
              <w:jc w:val="right"/>
              <w:rPr>
                <w:rFonts w:ascii="Arial Narrow" w:hAnsi="Arial Narrow" w:cs="Calibri"/>
                <w:sz w:val="16"/>
                <w:szCs w:val="16"/>
              </w:rPr>
            </w:pPr>
            <w:r w:rsidRPr="0043709B">
              <w:rPr>
                <w:rFonts w:ascii="Arial Narrow" w:hAnsi="Arial Narrow" w:cs="Calibri"/>
                <w:sz w:val="16"/>
                <w:szCs w:val="16"/>
              </w:rPr>
              <w:t>94,9</w:t>
            </w:r>
          </w:p>
        </w:tc>
        <w:tc>
          <w:tcPr>
            <w:tcW w:w="1300" w:type="dxa"/>
            <w:tcBorders>
              <w:top w:val="nil"/>
              <w:left w:val="nil"/>
              <w:bottom w:val="single" w:sz="4" w:space="0" w:color="auto"/>
              <w:right w:val="single" w:sz="4" w:space="0" w:color="auto"/>
            </w:tcBorders>
            <w:shd w:val="clear" w:color="auto" w:fill="auto"/>
            <w:noWrap/>
            <w:vAlign w:val="center"/>
            <w:hideMark/>
          </w:tcPr>
          <w:p w14:paraId="1B49E799" w14:textId="77777777" w:rsidR="0043709B" w:rsidRPr="0043709B" w:rsidRDefault="0043709B" w:rsidP="0043709B">
            <w:pPr>
              <w:jc w:val="right"/>
              <w:rPr>
                <w:rFonts w:ascii="Arial Narrow" w:hAnsi="Arial Narrow" w:cs="Calibri"/>
                <w:sz w:val="16"/>
                <w:szCs w:val="16"/>
              </w:rPr>
            </w:pPr>
            <w:r w:rsidRPr="0043709B">
              <w:rPr>
                <w:rFonts w:ascii="Arial Narrow" w:hAnsi="Arial Narrow" w:cs="Calibri"/>
                <w:sz w:val="16"/>
                <w:szCs w:val="16"/>
              </w:rPr>
              <w:t>1 112,9</w:t>
            </w:r>
          </w:p>
        </w:tc>
        <w:tc>
          <w:tcPr>
            <w:tcW w:w="1220" w:type="dxa"/>
            <w:tcBorders>
              <w:top w:val="nil"/>
              <w:left w:val="nil"/>
              <w:bottom w:val="single" w:sz="4" w:space="0" w:color="auto"/>
              <w:right w:val="single" w:sz="4" w:space="0" w:color="auto"/>
            </w:tcBorders>
            <w:shd w:val="clear" w:color="auto" w:fill="auto"/>
            <w:noWrap/>
            <w:vAlign w:val="center"/>
            <w:hideMark/>
          </w:tcPr>
          <w:p w14:paraId="7D469E56" w14:textId="77777777" w:rsidR="0043709B" w:rsidRPr="0043709B" w:rsidRDefault="0043709B" w:rsidP="0043709B">
            <w:pPr>
              <w:jc w:val="right"/>
              <w:rPr>
                <w:rFonts w:ascii="Arial Narrow" w:hAnsi="Arial Narrow" w:cs="Calibri"/>
                <w:sz w:val="16"/>
                <w:szCs w:val="16"/>
              </w:rPr>
            </w:pPr>
            <w:r w:rsidRPr="0043709B">
              <w:rPr>
                <w:rFonts w:ascii="Arial Narrow" w:hAnsi="Arial Narrow" w:cs="Calibri"/>
                <w:sz w:val="16"/>
                <w:szCs w:val="16"/>
              </w:rPr>
              <w:t>97,3</w:t>
            </w:r>
          </w:p>
        </w:tc>
        <w:tc>
          <w:tcPr>
            <w:tcW w:w="1236" w:type="dxa"/>
            <w:tcBorders>
              <w:top w:val="nil"/>
              <w:left w:val="nil"/>
              <w:bottom w:val="single" w:sz="4" w:space="0" w:color="auto"/>
              <w:right w:val="single" w:sz="4" w:space="0" w:color="auto"/>
            </w:tcBorders>
            <w:shd w:val="clear" w:color="auto" w:fill="auto"/>
            <w:noWrap/>
            <w:vAlign w:val="center"/>
            <w:hideMark/>
          </w:tcPr>
          <w:p w14:paraId="19354D91" w14:textId="77777777" w:rsidR="0043709B" w:rsidRPr="0043709B" w:rsidRDefault="0043709B" w:rsidP="0043709B">
            <w:pPr>
              <w:jc w:val="right"/>
              <w:rPr>
                <w:rFonts w:ascii="Arial Narrow" w:hAnsi="Arial Narrow" w:cs="Calibri"/>
                <w:sz w:val="16"/>
                <w:szCs w:val="16"/>
              </w:rPr>
            </w:pPr>
            <w:r w:rsidRPr="0043709B">
              <w:rPr>
                <w:rFonts w:ascii="Arial Narrow" w:hAnsi="Arial Narrow" w:cs="Calibri"/>
                <w:sz w:val="16"/>
                <w:szCs w:val="16"/>
              </w:rPr>
              <w:t>1 082,5</w:t>
            </w:r>
          </w:p>
        </w:tc>
        <w:tc>
          <w:tcPr>
            <w:tcW w:w="1260" w:type="dxa"/>
            <w:tcBorders>
              <w:top w:val="nil"/>
              <w:left w:val="nil"/>
              <w:bottom w:val="single" w:sz="4" w:space="0" w:color="auto"/>
              <w:right w:val="single" w:sz="4" w:space="0" w:color="auto"/>
            </w:tcBorders>
            <w:shd w:val="clear" w:color="auto" w:fill="auto"/>
            <w:noWrap/>
            <w:vAlign w:val="center"/>
            <w:hideMark/>
          </w:tcPr>
          <w:p w14:paraId="2CED8520" w14:textId="77777777" w:rsidR="0043709B" w:rsidRPr="0043709B" w:rsidRDefault="0043709B" w:rsidP="0043709B">
            <w:pPr>
              <w:jc w:val="right"/>
              <w:rPr>
                <w:rFonts w:ascii="Arial Narrow" w:hAnsi="Arial Narrow" w:cs="Arial"/>
                <w:sz w:val="16"/>
                <w:szCs w:val="16"/>
              </w:rPr>
            </w:pPr>
            <w:r w:rsidRPr="0043709B">
              <w:rPr>
                <w:rFonts w:ascii="Arial Narrow" w:hAnsi="Arial Narrow" w:cs="Arial"/>
                <w:sz w:val="16"/>
                <w:szCs w:val="16"/>
              </w:rPr>
              <w:t>92,3</w:t>
            </w:r>
          </w:p>
        </w:tc>
      </w:tr>
      <w:tr w:rsidR="0043709B" w:rsidRPr="0043709B" w14:paraId="74E26B61" w14:textId="77777777" w:rsidTr="0043709B">
        <w:trPr>
          <w:trHeight w:val="250"/>
        </w:trPr>
        <w:tc>
          <w:tcPr>
            <w:tcW w:w="781" w:type="dxa"/>
            <w:tcBorders>
              <w:top w:val="nil"/>
              <w:left w:val="single" w:sz="4" w:space="0" w:color="auto"/>
              <w:bottom w:val="single" w:sz="4" w:space="0" w:color="auto"/>
              <w:right w:val="single" w:sz="4" w:space="0" w:color="auto"/>
            </w:tcBorders>
            <w:shd w:val="clear" w:color="auto" w:fill="auto"/>
            <w:noWrap/>
            <w:vAlign w:val="center"/>
            <w:hideMark/>
          </w:tcPr>
          <w:p w14:paraId="6880C9C2" w14:textId="77777777" w:rsidR="0043709B" w:rsidRPr="0043709B" w:rsidRDefault="0043709B" w:rsidP="0043709B">
            <w:pPr>
              <w:rPr>
                <w:rFonts w:ascii="Arial Narrow" w:hAnsi="Arial Narrow" w:cs="Arial"/>
                <w:sz w:val="16"/>
                <w:szCs w:val="16"/>
              </w:rPr>
            </w:pPr>
            <w:r w:rsidRPr="0043709B">
              <w:rPr>
                <w:rFonts w:ascii="Arial Narrow" w:hAnsi="Arial Narrow" w:cs="Arial"/>
                <w:sz w:val="16"/>
                <w:szCs w:val="16"/>
              </w:rPr>
              <w:t>12.1</w:t>
            </w:r>
          </w:p>
        </w:tc>
        <w:tc>
          <w:tcPr>
            <w:tcW w:w="3016" w:type="dxa"/>
            <w:tcBorders>
              <w:top w:val="nil"/>
              <w:left w:val="nil"/>
              <w:bottom w:val="single" w:sz="4" w:space="0" w:color="auto"/>
              <w:right w:val="single" w:sz="4" w:space="0" w:color="auto"/>
            </w:tcBorders>
            <w:shd w:val="clear" w:color="000000" w:fill="FFFFFF"/>
            <w:noWrap/>
            <w:vAlign w:val="center"/>
            <w:hideMark/>
          </w:tcPr>
          <w:p w14:paraId="2FC90878" w14:textId="77777777" w:rsidR="0043709B" w:rsidRPr="0043709B" w:rsidRDefault="0043709B" w:rsidP="00CD44F3">
            <w:pPr>
              <w:ind w:firstLine="138"/>
              <w:rPr>
                <w:rFonts w:ascii="Arial Narrow" w:hAnsi="Arial Narrow" w:cs="Calibri"/>
                <w:sz w:val="16"/>
                <w:szCs w:val="16"/>
              </w:rPr>
            </w:pPr>
            <w:r w:rsidRPr="0043709B">
              <w:rPr>
                <w:rFonts w:ascii="Arial Narrow" w:hAnsi="Arial Narrow" w:cs="Calibri"/>
                <w:sz w:val="16"/>
                <w:szCs w:val="16"/>
              </w:rPr>
              <w:t>Мляко</w:t>
            </w:r>
          </w:p>
        </w:tc>
        <w:tc>
          <w:tcPr>
            <w:tcW w:w="1180" w:type="dxa"/>
            <w:tcBorders>
              <w:top w:val="nil"/>
              <w:left w:val="nil"/>
              <w:bottom w:val="single" w:sz="4" w:space="0" w:color="auto"/>
              <w:right w:val="single" w:sz="4" w:space="0" w:color="auto"/>
            </w:tcBorders>
            <w:shd w:val="clear" w:color="auto" w:fill="auto"/>
            <w:vAlign w:val="center"/>
          </w:tcPr>
          <w:p w14:paraId="4E56BA23" w14:textId="77777777" w:rsidR="0043709B" w:rsidRPr="0043709B" w:rsidRDefault="0043709B" w:rsidP="0043709B">
            <w:pPr>
              <w:jc w:val="right"/>
              <w:rPr>
                <w:rFonts w:ascii="Arial Narrow" w:hAnsi="Arial Narrow" w:cs="Calibri"/>
                <w:sz w:val="16"/>
                <w:szCs w:val="16"/>
              </w:rPr>
            </w:pPr>
            <w:r w:rsidRPr="0043709B">
              <w:rPr>
                <w:rFonts w:ascii="Arial Narrow" w:hAnsi="Arial Narrow" w:cs="Calibri"/>
                <w:sz w:val="16"/>
                <w:szCs w:val="16"/>
              </w:rPr>
              <w:t>734,9</w:t>
            </w:r>
          </w:p>
        </w:tc>
        <w:tc>
          <w:tcPr>
            <w:tcW w:w="1170" w:type="dxa"/>
            <w:tcBorders>
              <w:top w:val="nil"/>
              <w:left w:val="nil"/>
              <w:bottom w:val="single" w:sz="4" w:space="0" w:color="auto"/>
              <w:right w:val="single" w:sz="4" w:space="0" w:color="auto"/>
            </w:tcBorders>
            <w:shd w:val="clear" w:color="auto" w:fill="auto"/>
            <w:noWrap/>
            <w:vAlign w:val="center"/>
            <w:hideMark/>
          </w:tcPr>
          <w:p w14:paraId="702FA2AF" w14:textId="77777777" w:rsidR="0043709B" w:rsidRPr="0043709B" w:rsidRDefault="0043709B" w:rsidP="0043709B">
            <w:pPr>
              <w:jc w:val="right"/>
              <w:rPr>
                <w:rFonts w:ascii="Arial Narrow" w:hAnsi="Arial Narrow" w:cs="Calibri"/>
                <w:sz w:val="16"/>
                <w:szCs w:val="16"/>
              </w:rPr>
            </w:pPr>
            <w:r w:rsidRPr="0043709B">
              <w:rPr>
                <w:rFonts w:ascii="Arial Narrow" w:hAnsi="Arial Narrow" w:cs="Calibri"/>
                <w:sz w:val="16"/>
                <w:szCs w:val="16"/>
              </w:rPr>
              <w:t>97,4</w:t>
            </w:r>
          </w:p>
        </w:tc>
        <w:tc>
          <w:tcPr>
            <w:tcW w:w="1300" w:type="dxa"/>
            <w:tcBorders>
              <w:top w:val="nil"/>
              <w:left w:val="nil"/>
              <w:bottom w:val="single" w:sz="4" w:space="0" w:color="auto"/>
              <w:right w:val="single" w:sz="4" w:space="0" w:color="auto"/>
            </w:tcBorders>
            <w:shd w:val="clear" w:color="auto" w:fill="auto"/>
            <w:noWrap/>
            <w:vAlign w:val="center"/>
            <w:hideMark/>
          </w:tcPr>
          <w:p w14:paraId="6E8108D6" w14:textId="77777777" w:rsidR="0043709B" w:rsidRPr="0043709B" w:rsidRDefault="0043709B" w:rsidP="0043709B">
            <w:pPr>
              <w:jc w:val="right"/>
              <w:rPr>
                <w:rFonts w:ascii="Arial Narrow" w:hAnsi="Arial Narrow" w:cs="Calibri"/>
                <w:sz w:val="16"/>
                <w:szCs w:val="16"/>
              </w:rPr>
            </w:pPr>
            <w:r w:rsidRPr="0043709B">
              <w:rPr>
                <w:rFonts w:ascii="Arial Narrow" w:hAnsi="Arial Narrow" w:cs="Calibri"/>
                <w:sz w:val="16"/>
                <w:szCs w:val="16"/>
              </w:rPr>
              <w:t>715,6</w:t>
            </w:r>
          </w:p>
        </w:tc>
        <w:tc>
          <w:tcPr>
            <w:tcW w:w="1220" w:type="dxa"/>
            <w:tcBorders>
              <w:top w:val="nil"/>
              <w:left w:val="nil"/>
              <w:bottom w:val="single" w:sz="4" w:space="0" w:color="auto"/>
              <w:right w:val="single" w:sz="4" w:space="0" w:color="auto"/>
            </w:tcBorders>
            <w:shd w:val="clear" w:color="auto" w:fill="auto"/>
            <w:noWrap/>
            <w:vAlign w:val="center"/>
            <w:hideMark/>
          </w:tcPr>
          <w:p w14:paraId="673CDDEB" w14:textId="77777777" w:rsidR="0043709B" w:rsidRPr="0043709B" w:rsidRDefault="0043709B" w:rsidP="0043709B">
            <w:pPr>
              <w:jc w:val="right"/>
              <w:rPr>
                <w:rFonts w:ascii="Arial Narrow" w:hAnsi="Arial Narrow" w:cs="Calibri"/>
                <w:sz w:val="16"/>
                <w:szCs w:val="16"/>
              </w:rPr>
            </w:pPr>
            <w:r w:rsidRPr="0043709B">
              <w:rPr>
                <w:rFonts w:ascii="Arial Narrow" w:hAnsi="Arial Narrow" w:cs="Calibri"/>
                <w:sz w:val="16"/>
                <w:szCs w:val="16"/>
              </w:rPr>
              <w:t>101,4</w:t>
            </w:r>
          </w:p>
        </w:tc>
        <w:tc>
          <w:tcPr>
            <w:tcW w:w="1236" w:type="dxa"/>
            <w:tcBorders>
              <w:top w:val="nil"/>
              <w:left w:val="nil"/>
              <w:bottom w:val="single" w:sz="4" w:space="0" w:color="auto"/>
              <w:right w:val="single" w:sz="4" w:space="0" w:color="auto"/>
            </w:tcBorders>
            <w:shd w:val="clear" w:color="auto" w:fill="auto"/>
            <w:noWrap/>
            <w:vAlign w:val="center"/>
            <w:hideMark/>
          </w:tcPr>
          <w:p w14:paraId="251A7B08" w14:textId="77777777" w:rsidR="0043709B" w:rsidRPr="0043709B" w:rsidRDefault="0043709B" w:rsidP="0043709B">
            <w:pPr>
              <w:jc w:val="right"/>
              <w:rPr>
                <w:rFonts w:ascii="Arial Narrow" w:hAnsi="Arial Narrow" w:cs="Calibri"/>
                <w:sz w:val="16"/>
                <w:szCs w:val="16"/>
              </w:rPr>
            </w:pPr>
            <w:r w:rsidRPr="0043709B">
              <w:rPr>
                <w:rFonts w:ascii="Arial Narrow" w:hAnsi="Arial Narrow" w:cs="Calibri"/>
                <w:sz w:val="16"/>
                <w:szCs w:val="16"/>
              </w:rPr>
              <w:t>725,5</w:t>
            </w:r>
          </w:p>
        </w:tc>
        <w:tc>
          <w:tcPr>
            <w:tcW w:w="1260" w:type="dxa"/>
            <w:tcBorders>
              <w:top w:val="nil"/>
              <w:left w:val="nil"/>
              <w:bottom w:val="single" w:sz="4" w:space="0" w:color="auto"/>
              <w:right w:val="single" w:sz="4" w:space="0" w:color="auto"/>
            </w:tcBorders>
            <w:shd w:val="clear" w:color="auto" w:fill="auto"/>
            <w:noWrap/>
            <w:vAlign w:val="center"/>
            <w:hideMark/>
          </w:tcPr>
          <w:p w14:paraId="03EEA2A6" w14:textId="77777777" w:rsidR="0043709B" w:rsidRPr="0043709B" w:rsidRDefault="0043709B" w:rsidP="0043709B">
            <w:pPr>
              <w:jc w:val="right"/>
              <w:rPr>
                <w:rFonts w:ascii="Arial Narrow" w:hAnsi="Arial Narrow" w:cs="Arial"/>
                <w:sz w:val="16"/>
                <w:szCs w:val="16"/>
              </w:rPr>
            </w:pPr>
            <w:r w:rsidRPr="0043709B">
              <w:rPr>
                <w:rFonts w:ascii="Arial Narrow" w:hAnsi="Arial Narrow" w:cs="Arial"/>
                <w:sz w:val="16"/>
                <w:szCs w:val="16"/>
              </w:rPr>
              <w:t>98,7</w:t>
            </w:r>
          </w:p>
        </w:tc>
      </w:tr>
      <w:tr w:rsidR="0043709B" w:rsidRPr="0043709B" w14:paraId="68BB5155" w14:textId="77777777" w:rsidTr="0043709B">
        <w:trPr>
          <w:trHeight w:val="250"/>
        </w:trPr>
        <w:tc>
          <w:tcPr>
            <w:tcW w:w="781" w:type="dxa"/>
            <w:tcBorders>
              <w:top w:val="nil"/>
              <w:left w:val="single" w:sz="4" w:space="0" w:color="auto"/>
              <w:bottom w:val="single" w:sz="4" w:space="0" w:color="auto"/>
              <w:right w:val="single" w:sz="4" w:space="0" w:color="auto"/>
            </w:tcBorders>
            <w:shd w:val="clear" w:color="auto" w:fill="auto"/>
            <w:noWrap/>
            <w:vAlign w:val="center"/>
            <w:hideMark/>
          </w:tcPr>
          <w:p w14:paraId="2D3E6778" w14:textId="77777777" w:rsidR="0043709B" w:rsidRPr="0043709B" w:rsidRDefault="0043709B" w:rsidP="0043709B">
            <w:pPr>
              <w:rPr>
                <w:rFonts w:ascii="Arial Narrow" w:hAnsi="Arial Narrow" w:cs="Arial"/>
                <w:sz w:val="16"/>
                <w:szCs w:val="16"/>
              </w:rPr>
            </w:pPr>
            <w:r w:rsidRPr="0043709B">
              <w:rPr>
                <w:rFonts w:ascii="Arial Narrow" w:hAnsi="Arial Narrow" w:cs="Arial"/>
                <w:sz w:val="16"/>
                <w:szCs w:val="16"/>
              </w:rPr>
              <w:t>12.2</w:t>
            </w:r>
          </w:p>
        </w:tc>
        <w:tc>
          <w:tcPr>
            <w:tcW w:w="3016" w:type="dxa"/>
            <w:tcBorders>
              <w:top w:val="nil"/>
              <w:left w:val="nil"/>
              <w:bottom w:val="single" w:sz="4" w:space="0" w:color="auto"/>
              <w:right w:val="single" w:sz="4" w:space="0" w:color="auto"/>
            </w:tcBorders>
            <w:shd w:val="clear" w:color="000000" w:fill="FFFFFF"/>
            <w:noWrap/>
            <w:vAlign w:val="center"/>
            <w:hideMark/>
          </w:tcPr>
          <w:p w14:paraId="4E142A8E" w14:textId="77777777" w:rsidR="0043709B" w:rsidRPr="0043709B" w:rsidRDefault="0043709B" w:rsidP="00CD44F3">
            <w:pPr>
              <w:ind w:firstLine="138"/>
              <w:rPr>
                <w:rFonts w:ascii="Arial Narrow" w:hAnsi="Arial Narrow" w:cs="Calibri"/>
                <w:sz w:val="16"/>
                <w:szCs w:val="16"/>
              </w:rPr>
            </w:pPr>
            <w:r w:rsidRPr="0043709B">
              <w:rPr>
                <w:rFonts w:ascii="Arial Narrow" w:hAnsi="Arial Narrow" w:cs="Calibri"/>
                <w:sz w:val="16"/>
                <w:szCs w:val="16"/>
              </w:rPr>
              <w:t>Яйца</w:t>
            </w:r>
          </w:p>
        </w:tc>
        <w:tc>
          <w:tcPr>
            <w:tcW w:w="1180" w:type="dxa"/>
            <w:tcBorders>
              <w:top w:val="nil"/>
              <w:left w:val="nil"/>
              <w:bottom w:val="single" w:sz="4" w:space="0" w:color="auto"/>
              <w:right w:val="single" w:sz="4" w:space="0" w:color="auto"/>
            </w:tcBorders>
            <w:shd w:val="clear" w:color="auto" w:fill="auto"/>
            <w:vAlign w:val="center"/>
          </w:tcPr>
          <w:p w14:paraId="76B159C2" w14:textId="77777777" w:rsidR="0043709B" w:rsidRPr="0043709B" w:rsidRDefault="0043709B" w:rsidP="0043709B">
            <w:pPr>
              <w:jc w:val="right"/>
              <w:rPr>
                <w:rFonts w:ascii="Arial Narrow" w:hAnsi="Arial Narrow" w:cs="Calibri"/>
                <w:sz w:val="16"/>
                <w:szCs w:val="16"/>
              </w:rPr>
            </w:pPr>
            <w:r w:rsidRPr="0043709B">
              <w:rPr>
                <w:rFonts w:ascii="Arial Narrow" w:hAnsi="Arial Narrow" w:cs="Calibri"/>
                <w:sz w:val="16"/>
                <w:szCs w:val="16"/>
              </w:rPr>
              <w:t>345,8</w:t>
            </w:r>
          </w:p>
        </w:tc>
        <w:tc>
          <w:tcPr>
            <w:tcW w:w="1170" w:type="dxa"/>
            <w:tcBorders>
              <w:top w:val="nil"/>
              <w:left w:val="nil"/>
              <w:bottom w:val="single" w:sz="4" w:space="0" w:color="auto"/>
              <w:right w:val="single" w:sz="4" w:space="0" w:color="auto"/>
            </w:tcBorders>
            <w:shd w:val="clear" w:color="auto" w:fill="auto"/>
            <w:noWrap/>
            <w:vAlign w:val="center"/>
            <w:hideMark/>
          </w:tcPr>
          <w:p w14:paraId="0CCD4EF5" w14:textId="77777777" w:rsidR="0043709B" w:rsidRPr="0043709B" w:rsidRDefault="0043709B" w:rsidP="0043709B">
            <w:pPr>
              <w:jc w:val="right"/>
              <w:rPr>
                <w:rFonts w:ascii="Arial Narrow" w:hAnsi="Arial Narrow" w:cs="Calibri"/>
                <w:sz w:val="16"/>
                <w:szCs w:val="16"/>
              </w:rPr>
            </w:pPr>
            <w:r w:rsidRPr="0043709B">
              <w:rPr>
                <w:rFonts w:ascii="Arial Narrow" w:hAnsi="Arial Narrow" w:cs="Calibri"/>
                <w:sz w:val="16"/>
                <w:szCs w:val="16"/>
              </w:rPr>
              <w:t>91,0</w:t>
            </w:r>
          </w:p>
        </w:tc>
        <w:tc>
          <w:tcPr>
            <w:tcW w:w="1300" w:type="dxa"/>
            <w:tcBorders>
              <w:top w:val="nil"/>
              <w:left w:val="nil"/>
              <w:bottom w:val="single" w:sz="4" w:space="0" w:color="auto"/>
              <w:right w:val="single" w:sz="4" w:space="0" w:color="auto"/>
            </w:tcBorders>
            <w:shd w:val="clear" w:color="auto" w:fill="auto"/>
            <w:noWrap/>
            <w:vAlign w:val="center"/>
            <w:hideMark/>
          </w:tcPr>
          <w:p w14:paraId="3B5ABAA3" w14:textId="77777777" w:rsidR="0043709B" w:rsidRPr="0043709B" w:rsidRDefault="0043709B" w:rsidP="0043709B">
            <w:pPr>
              <w:jc w:val="right"/>
              <w:rPr>
                <w:rFonts w:ascii="Arial Narrow" w:hAnsi="Arial Narrow" w:cs="Calibri"/>
                <w:sz w:val="16"/>
                <w:szCs w:val="16"/>
              </w:rPr>
            </w:pPr>
            <w:r w:rsidRPr="0043709B">
              <w:rPr>
                <w:rFonts w:ascii="Arial Narrow" w:hAnsi="Arial Narrow" w:cs="Calibri"/>
                <w:sz w:val="16"/>
                <w:szCs w:val="16"/>
              </w:rPr>
              <w:t>314,6</w:t>
            </w:r>
          </w:p>
        </w:tc>
        <w:tc>
          <w:tcPr>
            <w:tcW w:w="1220" w:type="dxa"/>
            <w:tcBorders>
              <w:top w:val="nil"/>
              <w:left w:val="nil"/>
              <w:bottom w:val="single" w:sz="4" w:space="0" w:color="auto"/>
              <w:right w:val="single" w:sz="4" w:space="0" w:color="auto"/>
            </w:tcBorders>
            <w:shd w:val="clear" w:color="auto" w:fill="auto"/>
            <w:noWrap/>
            <w:vAlign w:val="center"/>
            <w:hideMark/>
          </w:tcPr>
          <w:p w14:paraId="22B6CA72" w14:textId="77777777" w:rsidR="0043709B" w:rsidRPr="0043709B" w:rsidRDefault="0043709B" w:rsidP="0043709B">
            <w:pPr>
              <w:jc w:val="right"/>
              <w:rPr>
                <w:rFonts w:ascii="Arial Narrow" w:hAnsi="Arial Narrow" w:cs="Calibri"/>
                <w:sz w:val="16"/>
                <w:szCs w:val="16"/>
              </w:rPr>
            </w:pPr>
            <w:r w:rsidRPr="0043709B">
              <w:rPr>
                <w:rFonts w:ascii="Arial Narrow" w:hAnsi="Arial Narrow" w:cs="Calibri"/>
                <w:sz w:val="16"/>
                <w:szCs w:val="16"/>
              </w:rPr>
              <w:t>88,0</w:t>
            </w:r>
          </w:p>
        </w:tc>
        <w:tc>
          <w:tcPr>
            <w:tcW w:w="1236" w:type="dxa"/>
            <w:tcBorders>
              <w:top w:val="nil"/>
              <w:left w:val="nil"/>
              <w:bottom w:val="single" w:sz="4" w:space="0" w:color="auto"/>
              <w:right w:val="single" w:sz="4" w:space="0" w:color="auto"/>
            </w:tcBorders>
            <w:shd w:val="clear" w:color="auto" w:fill="auto"/>
            <w:noWrap/>
            <w:vAlign w:val="center"/>
            <w:hideMark/>
          </w:tcPr>
          <w:p w14:paraId="598138FA" w14:textId="77777777" w:rsidR="0043709B" w:rsidRPr="0043709B" w:rsidRDefault="0043709B" w:rsidP="0043709B">
            <w:pPr>
              <w:jc w:val="right"/>
              <w:rPr>
                <w:rFonts w:ascii="Arial Narrow" w:hAnsi="Arial Narrow" w:cs="Calibri"/>
                <w:sz w:val="16"/>
                <w:szCs w:val="16"/>
              </w:rPr>
            </w:pPr>
            <w:r w:rsidRPr="0043709B">
              <w:rPr>
                <w:rFonts w:ascii="Arial Narrow" w:hAnsi="Arial Narrow" w:cs="Calibri"/>
                <w:sz w:val="16"/>
                <w:szCs w:val="16"/>
              </w:rPr>
              <w:t>276,7</w:t>
            </w:r>
          </w:p>
        </w:tc>
        <w:tc>
          <w:tcPr>
            <w:tcW w:w="1260" w:type="dxa"/>
            <w:tcBorders>
              <w:top w:val="nil"/>
              <w:left w:val="nil"/>
              <w:bottom w:val="single" w:sz="4" w:space="0" w:color="auto"/>
              <w:right w:val="single" w:sz="4" w:space="0" w:color="auto"/>
            </w:tcBorders>
            <w:shd w:val="clear" w:color="auto" w:fill="auto"/>
            <w:noWrap/>
            <w:vAlign w:val="center"/>
            <w:hideMark/>
          </w:tcPr>
          <w:p w14:paraId="4D73A630" w14:textId="77777777" w:rsidR="0043709B" w:rsidRPr="0043709B" w:rsidRDefault="0043709B" w:rsidP="0043709B">
            <w:pPr>
              <w:jc w:val="right"/>
              <w:rPr>
                <w:rFonts w:ascii="Arial Narrow" w:hAnsi="Arial Narrow" w:cs="Arial"/>
                <w:sz w:val="16"/>
                <w:szCs w:val="16"/>
              </w:rPr>
            </w:pPr>
            <w:r w:rsidRPr="0043709B">
              <w:rPr>
                <w:rFonts w:ascii="Arial Narrow" w:hAnsi="Arial Narrow" w:cs="Arial"/>
                <w:sz w:val="16"/>
                <w:szCs w:val="16"/>
              </w:rPr>
              <w:t>80,0</w:t>
            </w:r>
          </w:p>
        </w:tc>
      </w:tr>
      <w:tr w:rsidR="0043709B" w:rsidRPr="0043709B" w14:paraId="4AFA2A1B" w14:textId="77777777" w:rsidTr="0043709B">
        <w:trPr>
          <w:trHeight w:val="250"/>
        </w:trPr>
        <w:tc>
          <w:tcPr>
            <w:tcW w:w="781" w:type="dxa"/>
            <w:tcBorders>
              <w:top w:val="nil"/>
              <w:left w:val="single" w:sz="4" w:space="0" w:color="auto"/>
              <w:bottom w:val="single" w:sz="4" w:space="0" w:color="auto"/>
              <w:right w:val="single" w:sz="4" w:space="0" w:color="auto"/>
            </w:tcBorders>
            <w:shd w:val="clear" w:color="auto" w:fill="auto"/>
            <w:noWrap/>
            <w:vAlign w:val="center"/>
            <w:hideMark/>
          </w:tcPr>
          <w:p w14:paraId="752C182C" w14:textId="77777777" w:rsidR="0043709B" w:rsidRPr="0043709B" w:rsidRDefault="0043709B" w:rsidP="0043709B">
            <w:pPr>
              <w:rPr>
                <w:rFonts w:ascii="Arial Narrow" w:hAnsi="Arial Narrow" w:cs="Arial"/>
                <w:sz w:val="16"/>
                <w:szCs w:val="16"/>
              </w:rPr>
            </w:pPr>
            <w:r w:rsidRPr="0043709B">
              <w:rPr>
                <w:rFonts w:ascii="Arial Narrow" w:hAnsi="Arial Narrow" w:cs="Arial"/>
                <w:sz w:val="16"/>
                <w:szCs w:val="16"/>
              </w:rPr>
              <w:t>12.3</w:t>
            </w:r>
          </w:p>
        </w:tc>
        <w:tc>
          <w:tcPr>
            <w:tcW w:w="3016" w:type="dxa"/>
            <w:tcBorders>
              <w:top w:val="nil"/>
              <w:left w:val="nil"/>
              <w:bottom w:val="single" w:sz="4" w:space="0" w:color="auto"/>
              <w:right w:val="single" w:sz="4" w:space="0" w:color="auto"/>
            </w:tcBorders>
            <w:shd w:val="clear" w:color="000000" w:fill="FFFFFF"/>
            <w:noWrap/>
            <w:vAlign w:val="center"/>
            <w:hideMark/>
          </w:tcPr>
          <w:p w14:paraId="37A83836" w14:textId="77777777" w:rsidR="0043709B" w:rsidRPr="0043709B" w:rsidRDefault="0043709B" w:rsidP="00CD44F3">
            <w:pPr>
              <w:ind w:firstLine="138"/>
              <w:rPr>
                <w:rFonts w:ascii="Arial Narrow" w:hAnsi="Arial Narrow" w:cs="Calibri"/>
                <w:sz w:val="16"/>
                <w:szCs w:val="16"/>
              </w:rPr>
            </w:pPr>
            <w:r w:rsidRPr="0043709B">
              <w:rPr>
                <w:rFonts w:ascii="Arial Narrow" w:hAnsi="Arial Narrow" w:cs="Calibri"/>
                <w:sz w:val="16"/>
                <w:szCs w:val="16"/>
              </w:rPr>
              <w:t>Други продукти от животновъдството</w:t>
            </w:r>
          </w:p>
        </w:tc>
        <w:tc>
          <w:tcPr>
            <w:tcW w:w="1180" w:type="dxa"/>
            <w:tcBorders>
              <w:top w:val="nil"/>
              <w:left w:val="nil"/>
              <w:bottom w:val="single" w:sz="4" w:space="0" w:color="auto"/>
              <w:right w:val="single" w:sz="4" w:space="0" w:color="auto"/>
            </w:tcBorders>
            <w:shd w:val="clear" w:color="auto" w:fill="auto"/>
            <w:vAlign w:val="center"/>
          </w:tcPr>
          <w:p w14:paraId="4B813C91" w14:textId="77777777" w:rsidR="0043709B" w:rsidRPr="0043709B" w:rsidRDefault="0043709B" w:rsidP="0043709B">
            <w:pPr>
              <w:jc w:val="right"/>
              <w:rPr>
                <w:rFonts w:ascii="Arial Narrow" w:hAnsi="Arial Narrow" w:cs="Calibri"/>
                <w:sz w:val="16"/>
                <w:szCs w:val="16"/>
              </w:rPr>
            </w:pPr>
            <w:r w:rsidRPr="0043709B">
              <w:rPr>
                <w:rFonts w:ascii="Arial Narrow" w:hAnsi="Arial Narrow" w:cs="Calibri"/>
                <w:sz w:val="16"/>
                <w:szCs w:val="16"/>
              </w:rPr>
              <w:t>92,0</w:t>
            </w:r>
          </w:p>
        </w:tc>
        <w:tc>
          <w:tcPr>
            <w:tcW w:w="1170" w:type="dxa"/>
            <w:tcBorders>
              <w:top w:val="nil"/>
              <w:left w:val="nil"/>
              <w:bottom w:val="single" w:sz="4" w:space="0" w:color="auto"/>
              <w:right w:val="single" w:sz="4" w:space="0" w:color="auto"/>
            </w:tcBorders>
            <w:shd w:val="clear" w:color="auto" w:fill="auto"/>
            <w:noWrap/>
            <w:vAlign w:val="center"/>
            <w:hideMark/>
          </w:tcPr>
          <w:p w14:paraId="37FD756C" w14:textId="77777777" w:rsidR="0043709B" w:rsidRPr="0043709B" w:rsidRDefault="0043709B" w:rsidP="0043709B">
            <w:pPr>
              <w:jc w:val="right"/>
              <w:rPr>
                <w:rFonts w:ascii="Arial Narrow" w:hAnsi="Arial Narrow" w:cs="Calibri"/>
                <w:sz w:val="16"/>
                <w:szCs w:val="16"/>
              </w:rPr>
            </w:pPr>
            <w:r w:rsidRPr="0043709B">
              <w:rPr>
                <w:rFonts w:ascii="Arial Narrow" w:hAnsi="Arial Narrow" w:cs="Calibri"/>
                <w:sz w:val="16"/>
                <w:szCs w:val="16"/>
              </w:rPr>
              <w:t>89,9</w:t>
            </w:r>
          </w:p>
        </w:tc>
        <w:tc>
          <w:tcPr>
            <w:tcW w:w="1300" w:type="dxa"/>
            <w:tcBorders>
              <w:top w:val="nil"/>
              <w:left w:val="nil"/>
              <w:bottom w:val="single" w:sz="4" w:space="0" w:color="auto"/>
              <w:right w:val="single" w:sz="4" w:space="0" w:color="auto"/>
            </w:tcBorders>
            <w:shd w:val="clear" w:color="auto" w:fill="auto"/>
            <w:noWrap/>
            <w:vAlign w:val="center"/>
            <w:hideMark/>
          </w:tcPr>
          <w:p w14:paraId="118E758C" w14:textId="77777777" w:rsidR="0043709B" w:rsidRPr="0043709B" w:rsidRDefault="0043709B" w:rsidP="0043709B">
            <w:pPr>
              <w:jc w:val="right"/>
              <w:rPr>
                <w:rFonts w:ascii="Arial Narrow" w:hAnsi="Arial Narrow" w:cs="Calibri"/>
                <w:sz w:val="16"/>
                <w:szCs w:val="16"/>
              </w:rPr>
            </w:pPr>
            <w:r w:rsidRPr="0043709B">
              <w:rPr>
                <w:rFonts w:ascii="Arial Narrow" w:hAnsi="Arial Narrow" w:cs="Calibri"/>
                <w:sz w:val="16"/>
                <w:szCs w:val="16"/>
              </w:rPr>
              <w:t>82,7</w:t>
            </w:r>
          </w:p>
        </w:tc>
        <w:tc>
          <w:tcPr>
            <w:tcW w:w="1220" w:type="dxa"/>
            <w:tcBorders>
              <w:top w:val="nil"/>
              <w:left w:val="nil"/>
              <w:bottom w:val="single" w:sz="4" w:space="0" w:color="auto"/>
              <w:right w:val="single" w:sz="4" w:space="0" w:color="auto"/>
            </w:tcBorders>
            <w:shd w:val="clear" w:color="auto" w:fill="auto"/>
            <w:noWrap/>
            <w:vAlign w:val="center"/>
            <w:hideMark/>
          </w:tcPr>
          <w:p w14:paraId="21403003" w14:textId="77777777" w:rsidR="0043709B" w:rsidRPr="0043709B" w:rsidRDefault="0043709B" w:rsidP="0043709B">
            <w:pPr>
              <w:jc w:val="right"/>
              <w:rPr>
                <w:rFonts w:ascii="Arial Narrow" w:hAnsi="Arial Narrow" w:cs="Calibri"/>
                <w:sz w:val="16"/>
                <w:szCs w:val="16"/>
              </w:rPr>
            </w:pPr>
            <w:r w:rsidRPr="0043709B">
              <w:rPr>
                <w:rFonts w:ascii="Arial Narrow" w:hAnsi="Arial Narrow" w:cs="Calibri"/>
                <w:sz w:val="16"/>
                <w:szCs w:val="16"/>
              </w:rPr>
              <w:t>97,1</w:t>
            </w:r>
          </w:p>
        </w:tc>
        <w:tc>
          <w:tcPr>
            <w:tcW w:w="1236" w:type="dxa"/>
            <w:tcBorders>
              <w:top w:val="nil"/>
              <w:left w:val="nil"/>
              <w:bottom w:val="single" w:sz="4" w:space="0" w:color="auto"/>
              <w:right w:val="single" w:sz="4" w:space="0" w:color="auto"/>
            </w:tcBorders>
            <w:shd w:val="clear" w:color="auto" w:fill="auto"/>
            <w:noWrap/>
            <w:vAlign w:val="center"/>
            <w:hideMark/>
          </w:tcPr>
          <w:p w14:paraId="367EA6C0" w14:textId="77777777" w:rsidR="0043709B" w:rsidRPr="0043709B" w:rsidRDefault="0043709B" w:rsidP="0043709B">
            <w:pPr>
              <w:jc w:val="right"/>
              <w:rPr>
                <w:rFonts w:ascii="Arial Narrow" w:hAnsi="Arial Narrow" w:cs="Calibri"/>
                <w:sz w:val="16"/>
                <w:szCs w:val="16"/>
              </w:rPr>
            </w:pPr>
            <w:r w:rsidRPr="0043709B">
              <w:rPr>
                <w:rFonts w:ascii="Arial Narrow" w:hAnsi="Arial Narrow" w:cs="Calibri"/>
                <w:sz w:val="16"/>
                <w:szCs w:val="16"/>
              </w:rPr>
              <w:t>80,3</w:t>
            </w:r>
          </w:p>
        </w:tc>
        <w:tc>
          <w:tcPr>
            <w:tcW w:w="1260" w:type="dxa"/>
            <w:tcBorders>
              <w:top w:val="nil"/>
              <w:left w:val="nil"/>
              <w:bottom w:val="single" w:sz="4" w:space="0" w:color="auto"/>
              <w:right w:val="single" w:sz="4" w:space="0" w:color="auto"/>
            </w:tcBorders>
            <w:shd w:val="clear" w:color="auto" w:fill="auto"/>
            <w:noWrap/>
            <w:vAlign w:val="center"/>
            <w:hideMark/>
          </w:tcPr>
          <w:p w14:paraId="33CFEE6A" w14:textId="77777777" w:rsidR="0043709B" w:rsidRPr="0043709B" w:rsidRDefault="0043709B" w:rsidP="0043709B">
            <w:pPr>
              <w:jc w:val="right"/>
              <w:rPr>
                <w:rFonts w:ascii="Arial Narrow" w:hAnsi="Arial Narrow" w:cs="Arial"/>
                <w:sz w:val="16"/>
                <w:szCs w:val="16"/>
              </w:rPr>
            </w:pPr>
            <w:r w:rsidRPr="0043709B">
              <w:rPr>
                <w:rFonts w:ascii="Arial Narrow" w:hAnsi="Arial Narrow" w:cs="Arial"/>
                <w:sz w:val="16"/>
                <w:szCs w:val="16"/>
              </w:rPr>
              <w:t>87,3</w:t>
            </w:r>
          </w:p>
        </w:tc>
      </w:tr>
      <w:tr w:rsidR="0043709B" w:rsidRPr="0043709B" w14:paraId="2BAFF632" w14:textId="77777777" w:rsidTr="0043709B">
        <w:trPr>
          <w:trHeight w:val="250"/>
        </w:trPr>
        <w:tc>
          <w:tcPr>
            <w:tcW w:w="781" w:type="dxa"/>
            <w:tcBorders>
              <w:top w:val="nil"/>
              <w:left w:val="single" w:sz="4" w:space="0" w:color="auto"/>
              <w:bottom w:val="single" w:sz="4" w:space="0" w:color="auto"/>
              <w:right w:val="single" w:sz="4" w:space="0" w:color="auto"/>
            </w:tcBorders>
            <w:shd w:val="clear" w:color="auto" w:fill="auto"/>
            <w:noWrap/>
            <w:vAlign w:val="center"/>
            <w:hideMark/>
          </w:tcPr>
          <w:p w14:paraId="7A2E203A" w14:textId="77777777" w:rsidR="0043709B" w:rsidRPr="0043709B" w:rsidRDefault="0043709B" w:rsidP="0043709B">
            <w:pPr>
              <w:rPr>
                <w:rFonts w:ascii="Arial Narrow" w:hAnsi="Arial Narrow" w:cs="Arial"/>
                <w:sz w:val="16"/>
                <w:szCs w:val="16"/>
              </w:rPr>
            </w:pPr>
            <w:r w:rsidRPr="0043709B">
              <w:rPr>
                <w:rFonts w:ascii="Arial Narrow" w:hAnsi="Arial Narrow" w:cs="Arial"/>
                <w:sz w:val="16"/>
                <w:szCs w:val="16"/>
              </w:rPr>
              <w:t>12.3/1</w:t>
            </w:r>
          </w:p>
        </w:tc>
        <w:tc>
          <w:tcPr>
            <w:tcW w:w="3016" w:type="dxa"/>
            <w:tcBorders>
              <w:top w:val="nil"/>
              <w:left w:val="nil"/>
              <w:bottom w:val="single" w:sz="4" w:space="0" w:color="auto"/>
              <w:right w:val="single" w:sz="4" w:space="0" w:color="auto"/>
            </w:tcBorders>
            <w:shd w:val="clear" w:color="000000" w:fill="FFFFFF"/>
            <w:noWrap/>
            <w:vAlign w:val="center"/>
            <w:hideMark/>
          </w:tcPr>
          <w:p w14:paraId="569749C7" w14:textId="77777777" w:rsidR="0043709B" w:rsidRPr="0043709B" w:rsidRDefault="0043709B" w:rsidP="00CD44F3">
            <w:pPr>
              <w:ind w:firstLine="422"/>
              <w:rPr>
                <w:rFonts w:ascii="Arial Narrow" w:hAnsi="Arial Narrow" w:cs="Calibri"/>
                <w:sz w:val="16"/>
                <w:szCs w:val="16"/>
              </w:rPr>
            </w:pPr>
            <w:r w:rsidRPr="0043709B">
              <w:rPr>
                <w:rFonts w:ascii="Arial Narrow" w:hAnsi="Arial Narrow" w:cs="Calibri"/>
                <w:sz w:val="16"/>
                <w:szCs w:val="16"/>
              </w:rPr>
              <w:t>Непрана вълна</w:t>
            </w:r>
          </w:p>
        </w:tc>
        <w:tc>
          <w:tcPr>
            <w:tcW w:w="1180" w:type="dxa"/>
            <w:tcBorders>
              <w:top w:val="nil"/>
              <w:left w:val="nil"/>
              <w:bottom w:val="single" w:sz="4" w:space="0" w:color="auto"/>
              <w:right w:val="single" w:sz="4" w:space="0" w:color="auto"/>
            </w:tcBorders>
            <w:shd w:val="clear" w:color="auto" w:fill="auto"/>
            <w:vAlign w:val="center"/>
          </w:tcPr>
          <w:p w14:paraId="04F6491D" w14:textId="77777777" w:rsidR="0043709B" w:rsidRPr="0043709B" w:rsidRDefault="0043709B" w:rsidP="0043709B">
            <w:pPr>
              <w:jc w:val="right"/>
              <w:rPr>
                <w:rFonts w:ascii="Arial Narrow" w:hAnsi="Arial Narrow" w:cs="Calibri"/>
                <w:sz w:val="16"/>
                <w:szCs w:val="16"/>
              </w:rPr>
            </w:pPr>
            <w:r w:rsidRPr="0043709B">
              <w:rPr>
                <w:rFonts w:ascii="Arial Narrow" w:hAnsi="Arial Narrow" w:cs="Calibri"/>
                <w:sz w:val="16"/>
                <w:szCs w:val="16"/>
              </w:rPr>
              <w:t>1,4</w:t>
            </w:r>
          </w:p>
        </w:tc>
        <w:tc>
          <w:tcPr>
            <w:tcW w:w="1170" w:type="dxa"/>
            <w:tcBorders>
              <w:top w:val="nil"/>
              <w:left w:val="nil"/>
              <w:bottom w:val="single" w:sz="4" w:space="0" w:color="auto"/>
              <w:right w:val="single" w:sz="4" w:space="0" w:color="auto"/>
            </w:tcBorders>
            <w:shd w:val="clear" w:color="auto" w:fill="auto"/>
            <w:noWrap/>
            <w:vAlign w:val="center"/>
            <w:hideMark/>
          </w:tcPr>
          <w:p w14:paraId="775F8DA3" w14:textId="77777777" w:rsidR="0043709B" w:rsidRPr="0043709B" w:rsidRDefault="0043709B" w:rsidP="0043709B">
            <w:pPr>
              <w:jc w:val="right"/>
              <w:rPr>
                <w:rFonts w:ascii="Arial Narrow" w:hAnsi="Arial Narrow" w:cs="Calibri"/>
                <w:sz w:val="16"/>
                <w:szCs w:val="16"/>
              </w:rPr>
            </w:pPr>
            <w:r w:rsidRPr="0043709B">
              <w:rPr>
                <w:rFonts w:ascii="Arial Narrow" w:hAnsi="Arial Narrow" w:cs="Calibri"/>
                <w:sz w:val="16"/>
                <w:szCs w:val="16"/>
              </w:rPr>
              <w:t>100,0</w:t>
            </w:r>
          </w:p>
        </w:tc>
        <w:tc>
          <w:tcPr>
            <w:tcW w:w="1300" w:type="dxa"/>
            <w:tcBorders>
              <w:top w:val="nil"/>
              <w:left w:val="nil"/>
              <w:bottom w:val="single" w:sz="4" w:space="0" w:color="auto"/>
              <w:right w:val="single" w:sz="4" w:space="0" w:color="auto"/>
            </w:tcBorders>
            <w:shd w:val="clear" w:color="auto" w:fill="auto"/>
            <w:noWrap/>
            <w:vAlign w:val="center"/>
            <w:hideMark/>
          </w:tcPr>
          <w:p w14:paraId="27C99795" w14:textId="77777777" w:rsidR="0043709B" w:rsidRPr="0043709B" w:rsidRDefault="0043709B" w:rsidP="0043709B">
            <w:pPr>
              <w:jc w:val="right"/>
              <w:rPr>
                <w:rFonts w:ascii="Arial Narrow" w:hAnsi="Arial Narrow" w:cs="Calibri"/>
                <w:sz w:val="16"/>
                <w:szCs w:val="16"/>
              </w:rPr>
            </w:pPr>
            <w:r w:rsidRPr="0043709B">
              <w:rPr>
                <w:rFonts w:ascii="Arial Narrow" w:hAnsi="Arial Narrow" w:cs="Calibri"/>
                <w:sz w:val="16"/>
                <w:szCs w:val="16"/>
              </w:rPr>
              <w:t>1,4</w:t>
            </w:r>
          </w:p>
        </w:tc>
        <w:tc>
          <w:tcPr>
            <w:tcW w:w="1220" w:type="dxa"/>
            <w:tcBorders>
              <w:top w:val="nil"/>
              <w:left w:val="nil"/>
              <w:bottom w:val="single" w:sz="4" w:space="0" w:color="auto"/>
              <w:right w:val="single" w:sz="4" w:space="0" w:color="auto"/>
            </w:tcBorders>
            <w:shd w:val="clear" w:color="auto" w:fill="auto"/>
            <w:noWrap/>
            <w:vAlign w:val="center"/>
            <w:hideMark/>
          </w:tcPr>
          <w:p w14:paraId="7BC90239" w14:textId="77777777" w:rsidR="0043709B" w:rsidRPr="0043709B" w:rsidRDefault="0043709B" w:rsidP="0043709B">
            <w:pPr>
              <w:jc w:val="right"/>
              <w:rPr>
                <w:rFonts w:ascii="Arial Narrow" w:hAnsi="Arial Narrow" w:cs="Calibri"/>
                <w:sz w:val="16"/>
                <w:szCs w:val="16"/>
              </w:rPr>
            </w:pPr>
            <w:r w:rsidRPr="0043709B">
              <w:rPr>
                <w:rFonts w:ascii="Arial Narrow" w:hAnsi="Arial Narrow" w:cs="Calibri"/>
                <w:sz w:val="16"/>
                <w:szCs w:val="16"/>
              </w:rPr>
              <w:t>92,9</w:t>
            </w:r>
          </w:p>
        </w:tc>
        <w:tc>
          <w:tcPr>
            <w:tcW w:w="1236" w:type="dxa"/>
            <w:tcBorders>
              <w:top w:val="nil"/>
              <w:left w:val="nil"/>
              <w:bottom w:val="single" w:sz="4" w:space="0" w:color="auto"/>
              <w:right w:val="single" w:sz="4" w:space="0" w:color="auto"/>
            </w:tcBorders>
            <w:shd w:val="clear" w:color="auto" w:fill="auto"/>
            <w:noWrap/>
            <w:vAlign w:val="center"/>
            <w:hideMark/>
          </w:tcPr>
          <w:p w14:paraId="69672F67" w14:textId="77777777" w:rsidR="0043709B" w:rsidRPr="0043709B" w:rsidRDefault="0043709B" w:rsidP="0043709B">
            <w:pPr>
              <w:jc w:val="right"/>
              <w:rPr>
                <w:rFonts w:ascii="Arial Narrow" w:hAnsi="Arial Narrow" w:cs="Calibri"/>
                <w:sz w:val="16"/>
                <w:szCs w:val="16"/>
              </w:rPr>
            </w:pPr>
            <w:r w:rsidRPr="0043709B">
              <w:rPr>
                <w:rFonts w:ascii="Arial Narrow" w:hAnsi="Arial Narrow" w:cs="Calibri"/>
                <w:sz w:val="16"/>
                <w:szCs w:val="16"/>
              </w:rPr>
              <w:t>1,3</w:t>
            </w:r>
          </w:p>
        </w:tc>
        <w:tc>
          <w:tcPr>
            <w:tcW w:w="1260" w:type="dxa"/>
            <w:tcBorders>
              <w:top w:val="nil"/>
              <w:left w:val="nil"/>
              <w:bottom w:val="single" w:sz="4" w:space="0" w:color="auto"/>
              <w:right w:val="single" w:sz="4" w:space="0" w:color="auto"/>
            </w:tcBorders>
            <w:shd w:val="clear" w:color="auto" w:fill="auto"/>
            <w:noWrap/>
            <w:vAlign w:val="center"/>
            <w:hideMark/>
          </w:tcPr>
          <w:p w14:paraId="3692756F" w14:textId="77777777" w:rsidR="0043709B" w:rsidRPr="0043709B" w:rsidRDefault="0043709B" w:rsidP="0043709B">
            <w:pPr>
              <w:jc w:val="right"/>
              <w:rPr>
                <w:rFonts w:ascii="Arial Narrow" w:hAnsi="Arial Narrow" w:cs="Arial"/>
                <w:sz w:val="16"/>
                <w:szCs w:val="16"/>
              </w:rPr>
            </w:pPr>
            <w:r w:rsidRPr="0043709B">
              <w:rPr>
                <w:rFonts w:ascii="Arial Narrow" w:hAnsi="Arial Narrow" w:cs="Arial"/>
                <w:sz w:val="16"/>
                <w:szCs w:val="16"/>
              </w:rPr>
              <w:t>92,9</w:t>
            </w:r>
          </w:p>
        </w:tc>
      </w:tr>
      <w:tr w:rsidR="0043709B" w:rsidRPr="0043709B" w14:paraId="14D299F9" w14:textId="77777777" w:rsidTr="0043709B">
        <w:trPr>
          <w:trHeight w:val="250"/>
        </w:trPr>
        <w:tc>
          <w:tcPr>
            <w:tcW w:w="781" w:type="dxa"/>
            <w:tcBorders>
              <w:top w:val="nil"/>
              <w:left w:val="single" w:sz="4" w:space="0" w:color="auto"/>
              <w:bottom w:val="single" w:sz="4" w:space="0" w:color="auto"/>
              <w:right w:val="single" w:sz="4" w:space="0" w:color="auto"/>
            </w:tcBorders>
            <w:shd w:val="clear" w:color="auto" w:fill="auto"/>
            <w:noWrap/>
            <w:vAlign w:val="center"/>
            <w:hideMark/>
          </w:tcPr>
          <w:p w14:paraId="1884B1F6" w14:textId="77777777" w:rsidR="0043709B" w:rsidRPr="0043709B" w:rsidRDefault="0043709B" w:rsidP="0043709B">
            <w:pPr>
              <w:rPr>
                <w:rFonts w:ascii="Arial Narrow" w:hAnsi="Arial Narrow" w:cs="Arial"/>
                <w:sz w:val="16"/>
                <w:szCs w:val="16"/>
              </w:rPr>
            </w:pPr>
            <w:r w:rsidRPr="0043709B">
              <w:rPr>
                <w:rFonts w:ascii="Arial Narrow" w:hAnsi="Arial Narrow" w:cs="Arial"/>
                <w:sz w:val="16"/>
                <w:szCs w:val="16"/>
              </w:rPr>
              <w:t>12.3/2</w:t>
            </w:r>
          </w:p>
        </w:tc>
        <w:tc>
          <w:tcPr>
            <w:tcW w:w="3016" w:type="dxa"/>
            <w:tcBorders>
              <w:top w:val="nil"/>
              <w:left w:val="nil"/>
              <w:bottom w:val="single" w:sz="4" w:space="0" w:color="auto"/>
              <w:right w:val="single" w:sz="4" w:space="0" w:color="auto"/>
            </w:tcBorders>
            <w:shd w:val="clear" w:color="000000" w:fill="FFFFFF"/>
            <w:noWrap/>
            <w:vAlign w:val="center"/>
            <w:hideMark/>
          </w:tcPr>
          <w:p w14:paraId="35ABDD05" w14:textId="77777777" w:rsidR="0043709B" w:rsidRPr="0043709B" w:rsidRDefault="0043709B" w:rsidP="00CD44F3">
            <w:pPr>
              <w:ind w:firstLine="422"/>
              <w:rPr>
                <w:rFonts w:ascii="Arial Narrow" w:hAnsi="Arial Narrow" w:cs="Calibri"/>
                <w:sz w:val="16"/>
                <w:szCs w:val="16"/>
              </w:rPr>
            </w:pPr>
            <w:r w:rsidRPr="0043709B">
              <w:rPr>
                <w:rFonts w:ascii="Arial Narrow" w:hAnsi="Arial Narrow" w:cs="Calibri"/>
                <w:sz w:val="16"/>
                <w:szCs w:val="16"/>
              </w:rPr>
              <w:t>Копринени пашкули</w:t>
            </w:r>
          </w:p>
        </w:tc>
        <w:tc>
          <w:tcPr>
            <w:tcW w:w="1180" w:type="dxa"/>
            <w:tcBorders>
              <w:top w:val="nil"/>
              <w:left w:val="nil"/>
              <w:bottom w:val="single" w:sz="4" w:space="0" w:color="auto"/>
              <w:right w:val="single" w:sz="4" w:space="0" w:color="auto"/>
            </w:tcBorders>
            <w:shd w:val="clear" w:color="auto" w:fill="auto"/>
            <w:vAlign w:val="center"/>
          </w:tcPr>
          <w:p w14:paraId="1D4ADA91" w14:textId="77777777" w:rsidR="0043709B" w:rsidRPr="0043709B" w:rsidRDefault="0043709B" w:rsidP="0043709B">
            <w:pPr>
              <w:jc w:val="right"/>
              <w:rPr>
                <w:rFonts w:ascii="Arial Narrow" w:hAnsi="Arial Narrow" w:cs="Calibri"/>
                <w:sz w:val="16"/>
                <w:szCs w:val="16"/>
              </w:rPr>
            </w:pPr>
            <w:r w:rsidRPr="0043709B">
              <w:rPr>
                <w:rFonts w:ascii="Arial Narrow" w:hAnsi="Arial Narrow" w:cs="Calibri"/>
                <w:sz w:val="16"/>
                <w:szCs w:val="16"/>
              </w:rPr>
              <w:t> </w:t>
            </w:r>
          </w:p>
        </w:tc>
        <w:tc>
          <w:tcPr>
            <w:tcW w:w="1170" w:type="dxa"/>
            <w:tcBorders>
              <w:top w:val="nil"/>
              <w:left w:val="nil"/>
              <w:bottom w:val="single" w:sz="4" w:space="0" w:color="auto"/>
              <w:right w:val="single" w:sz="4" w:space="0" w:color="auto"/>
            </w:tcBorders>
            <w:shd w:val="clear" w:color="auto" w:fill="auto"/>
            <w:noWrap/>
            <w:vAlign w:val="center"/>
            <w:hideMark/>
          </w:tcPr>
          <w:p w14:paraId="5BAFA6AB" w14:textId="77777777" w:rsidR="0043709B" w:rsidRPr="0043709B" w:rsidRDefault="0043709B" w:rsidP="0043709B">
            <w:pPr>
              <w:jc w:val="right"/>
              <w:rPr>
                <w:rFonts w:ascii="Arial Narrow" w:hAnsi="Arial Narrow" w:cs="Calibri"/>
                <w:sz w:val="16"/>
                <w:szCs w:val="16"/>
              </w:rPr>
            </w:pPr>
          </w:p>
        </w:tc>
        <w:tc>
          <w:tcPr>
            <w:tcW w:w="1300" w:type="dxa"/>
            <w:tcBorders>
              <w:top w:val="nil"/>
              <w:left w:val="nil"/>
              <w:bottom w:val="single" w:sz="4" w:space="0" w:color="auto"/>
              <w:right w:val="single" w:sz="4" w:space="0" w:color="auto"/>
            </w:tcBorders>
            <w:shd w:val="clear" w:color="auto" w:fill="auto"/>
            <w:noWrap/>
            <w:vAlign w:val="center"/>
            <w:hideMark/>
          </w:tcPr>
          <w:p w14:paraId="7C99DE96" w14:textId="77777777" w:rsidR="0043709B" w:rsidRPr="0043709B" w:rsidRDefault="0043709B" w:rsidP="0043709B">
            <w:pPr>
              <w:jc w:val="right"/>
              <w:rPr>
                <w:rFonts w:ascii="Arial Narrow" w:hAnsi="Arial Narrow" w:cs="Calibri"/>
                <w:sz w:val="16"/>
                <w:szCs w:val="16"/>
              </w:rPr>
            </w:pPr>
            <w:r w:rsidRPr="0043709B">
              <w:rPr>
                <w:rFonts w:ascii="Arial Narrow" w:hAnsi="Arial Narrow" w:cs="Calibri"/>
                <w:sz w:val="16"/>
                <w:szCs w:val="16"/>
              </w:rPr>
              <w:t> </w:t>
            </w:r>
          </w:p>
        </w:tc>
        <w:tc>
          <w:tcPr>
            <w:tcW w:w="1220" w:type="dxa"/>
            <w:tcBorders>
              <w:top w:val="nil"/>
              <w:left w:val="nil"/>
              <w:bottom w:val="single" w:sz="4" w:space="0" w:color="auto"/>
              <w:right w:val="single" w:sz="4" w:space="0" w:color="auto"/>
            </w:tcBorders>
            <w:shd w:val="clear" w:color="auto" w:fill="auto"/>
            <w:noWrap/>
            <w:vAlign w:val="center"/>
            <w:hideMark/>
          </w:tcPr>
          <w:p w14:paraId="35FD12FC" w14:textId="77777777" w:rsidR="0043709B" w:rsidRPr="0043709B" w:rsidRDefault="0043709B" w:rsidP="0043709B">
            <w:pPr>
              <w:jc w:val="right"/>
              <w:rPr>
                <w:rFonts w:ascii="Arial Narrow" w:hAnsi="Arial Narrow" w:cs="Calibri"/>
                <w:sz w:val="16"/>
                <w:szCs w:val="16"/>
              </w:rPr>
            </w:pPr>
          </w:p>
        </w:tc>
        <w:tc>
          <w:tcPr>
            <w:tcW w:w="1236" w:type="dxa"/>
            <w:tcBorders>
              <w:top w:val="nil"/>
              <w:left w:val="nil"/>
              <w:bottom w:val="single" w:sz="4" w:space="0" w:color="auto"/>
              <w:right w:val="single" w:sz="4" w:space="0" w:color="auto"/>
            </w:tcBorders>
            <w:shd w:val="clear" w:color="auto" w:fill="auto"/>
            <w:noWrap/>
            <w:vAlign w:val="center"/>
            <w:hideMark/>
          </w:tcPr>
          <w:p w14:paraId="48CE1601" w14:textId="77777777" w:rsidR="0043709B" w:rsidRPr="0043709B" w:rsidRDefault="0043709B" w:rsidP="0043709B">
            <w:pPr>
              <w:jc w:val="right"/>
              <w:rPr>
                <w:rFonts w:ascii="Arial Narrow" w:hAnsi="Arial Narrow" w:cs="Calibri"/>
                <w:sz w:val="16"/>
                <w:szCs w:val="16"/>
              </w:rPr>
            </w:pPr>
            <w:r w:rsidRPr="0043709B">
              <w:rPr>
                <w:rFonts w:ascii="Arial Narrow" w:hAnsi="Arial Narrow" w:cs="Calibri"/>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14:paraId="252EF0A4" w14:textId="77777777" w:rsidR="0043709B" w:rsidRPr="0043709B" w:rsidRDefault="0043709B" w:rsidP="0043709B">
            <w:pPr>
              <w:jc w:val="right"/>
              <w:rPr>
                <w:rFonts w:ascii="Arial Narrow" w:hAnsi="Arial Narrow" w:cs="Arial"/>
                <w:sz w:val="16"/>
                <w:szCs w:val="16"/>
              </w:rPr>
            </w:pPr>
          </w:p>
        </w:tc>
      </w:tr>
      <w:tr w:rsidR="0043709B" w:rsidRPr="0043709B" w14:paraId="241D6AF3" w14:textId="77777777" w:rsidTr="0043709B">
        <w:trPr>
          <w:trHeight w:val="250"/>
        </w:trPr>
        <w:tc>
          <w:tcPr>
            <w:tcW w:w="781" w:type="dxa"/>
            <w:tcBorders>
              <w:top w:val="nil"/>
              <w:left w:val="single" w:sz="4" w:space="0" w:color="auto"/>
              <w:bottom w:val="single" w:sz="4" w:space="0" w:color="auto"/>
              <w:right w:val="single" w:sz="4" w:space="0" w:color="auto"/>
            </w:tcBorders>
            <w:shd w:val="clear" w:color="auto" w:fill="auto"/>
            <w:noWrap/>
            <w:vAlign w:val="center"/>
            <w:hideMark/>
          </w:tcPr>
          <w:p w14:paraId="6E69A97D" w14:textId="77777777" w:rsidR="0043709B" w:rsidRPr="0043709B" w:rsidRDefault="0043709B" w:rsidP="0043709B">
            <w:pPr>
              <w:rPr>
                <w:rFonts w:ascii="Arial Narrow" w:hAnsi="Arial Narrow" w:cs="Arial"/>
                <w:sz w:val="16"/>
                <w:szCs w:val="16"/>
              </w:rPr>
            </w:pPr>
            <w:r w:rsidRPr="0043709B">
              <w:rPr>
                <w:rFonts w:ascii="Arial Narrow" w:hAnsi="Arial Narrow" w:cs="Arial"/>
                <w:sz w:val="16"/>
                <w:szCs w:val="16"/>
              </w:rPr>
              <w:t>12.3/3</w:t>
            </w:r>
          </w:p>
        </w:tc>
        <w:tc>
          <w:tcPr>
            <w:tcW w:w="3016" w:type="dxa"/>
            <w:tcBorders>
              <w:top w:val="nil"/>
              <w:left w:val="nil"/>
              <w:bottom w:val="single" w:sz="4" w:space="0" w:color="auto"/>
              <w:right w:val="single" w:sz="4" w:space="0" w:color="auto"/>
            </w:tcBorders>
            <w:shd w:val="clear" w:color="000000" w:fill="FFFFFF"/>
            <w:noWrap/>
            <w:vAlign w:val="center"/>
            <w:hideMark/>
          </w:tcPr>
          <w:p w14:paraId="66981DEA" w14:textId="77777777" w:rsidR="0043709B" w:rsidRPr="0043709B" w:rsidRDefault="0043709B" w:rsidP="00CD44F3">
            <w:pPr>
              <w:ind w:firstLine="422"/>
              <w:rPr>
                <w:rFonts w:ascii="Arial Narrow" w:hAnsi="Arial Narrow" w:cs="Calibri"/>
                <w:sz w:val="16"/>
                <w:szCs w:val="16"/>
              </w:rPr>
            </w:pPr>
            <w:r w:rsidRPr="0043709B">
              <w:rPr>
                <w:rFonts w:ascii="Arial Narrow" w:hAnsi="Arial Narrow" w:cs="Calibri"/>
                <w:sz w:val="16"/>
                <w:szCs w:val="16"/>
              </w:rPr>
              <w:t>Други продукти от животновъдството</w:t>
            </w:r>
          </w:p>
        </w:tc>
        <w:tc>
          <w:tcPr>
            <w:tcW w:w="1180" w:type="dxa"/>
            <w:tcBorders>
              <w:top w:val="nil"/>
              <w:left w:val="nil"/>
              <w:bottom w:val="single" w:sz="4" w:space="0" w:color="auto"/>
              <w:right w:val="single" w:sz="4" w:space="0" w:color="auto"/>
            </w:tcBorders>
            <w:shd w:val="clear" w:color="auto" w:fill="auto"/>
            <w:vAlign w:val="center"/>
          </w:tcPr>
          <w:p w14:paraId="74C07D6F" w14:textId="77777777" w:rsidR="0043709B" w:rsidRPr="0043709B" w:rsidRDefault="0043709B" w:rsidP="0043709B">
            <w:pPr>
              <w:jc w:val="right"/>
              <w:rPr>
                <w:rFonts w:ascii="Arial Narrow" w:hAnsi="Arial Narrow" w:cs="Calibri"/>
                <w:sz w:val="16"/>
                <w:szCs w:val="16"/>
              </w:rPr>
            </w:pPr>
            <w:r w:rsidRPr="0043709B">
              <w:rPr>
                <w:rFonts w:ascii="Arial Narrow" w:hAnsi="Arial Narrow" w:cs="Calibri"/>
                <w:sz w:val="16"/>
                <w:szCs w:val="16"/>
              </w:rPr>
              <w:t>90,6</w:t>
            </w:r>
          </w:p>
        </w:tc>
        <w:tc>
          <w:tcPr>
            <w:tcW w:w="1170" w:type="dxa"/>
            <w:tcBorders>
              <w:top w:val="nil"/>
              <w:left w:val="nil"/>
              <w:bottom w:val="single" w:sz="4" w:space="0" w:color="auto"/>
              <w:right w:val="single" w:sz="4" w:space="0" w:color="auto"/>
            </w:tcBorders>
            <w:shd w:val="clear" w:color="auto" w:fill="auto"/>
            <w:noWrap/>
            <w:vAlign w:val="center"/>
            <w:hideMark/>
          </w:tcPr>
          <w:p w14:paraId="17990CF4" w14:textId="77777777" w:rsidR="0043709B" w:rsidRPr="0043709B" w:rsidRDefault="0043709B" w:rsidP="0043709B">
            <w:pPr>
              <w:jc w:val="right"/>
              <w:rPr>
                <w:rFonts w:ascii="Arial Narrow" w:hAnsi="Arial Narrow" w:cs="Calibri"/>
                <w:sz w:val="16"/>
                <w:szCs w:val="16"/>
              </w:rPr>
            </w:pPr>
            <w:r w:rsidRPr="0043709B">
              <w:rPr>
                <w:rFonts w:ascii="Arial Narrow" w:hAnsi="Arial Narrow" w:cs="Calibri"/>
                <w:sz w:val="16"/>
                <w:szCs w:val="16"/>
              </w:rPr>
              <w:t>89,7</w:t>
            </w:r>
          </w:p>
        </w:tc>
        <w:tc>
          <w:tcPr>
            <w:tcW w:w="1300" w:type="dxa"/>
            <w:tcBorders>
              <w:top w:val="nil"/>
              <w:left w:val="nil"/>
              <w:bottom w:val="single" w:sz="4" w:space="0" w:color="auto"/>
              <w:right w:val="single" w:sz="4" w:space="0" w:color="auto"/>
            </w:tcBorders>
            <w:shd w:val="clear" w:color="auto" w:fill="auto"/>
            <w:noWrap/>
            <w:vAlign w:val="center"/>
            <w:hideMark/>
          </w:tcPr>
          <w:p w14:paraId="6592A968" w14:textId="77777777" w:rsidR="0043709B" w:rsidRPr="0043709B" w:rsidRDefault="0043709B" w:rsidP="0043709B">
            <w:pPr>
              <w:jc w:val="right"/>
              <w:rPr>
                <w:rFonts w:ascii="Arial Narrow" w:hAnsi="Arial Narrow" w:cs="Calibri"/>
                <w:sz w:val="16"/>
                <w:szCs w:val="16"/>
              </w:rPr>
            </w:pPr>
            <w:r w:rsidRPr="0043709B">
              <w:rPr>
                <w:rFonts w:ascii="Arial Narrow" w:hAnsi="Arial Narrow" w:cs="Calibri"/>
                <w:sz w:val="16"/>
                <w:szCs w:val="16"/>
              </w:rPr>
              <w:t>81,3</w:t>
            </w:r>
          </w:p>
        </w:tc>
        <w:tc>
          <w:tcPr>
            <w:tcW w:w="1220" w:type="dxa"/>
            <w:tcBorders>
              <w:top w:val="nil"/>
              <w:left w:val="nil"/>
              <w:bottom w:val="single" w:sz="4" w:space="0" w:color="auto"/>
              <w:right w:val="single" w:sz="4" w:space="0" w:color="auto"/>
            </w:tcBorders>
            <w:shd w:val="clear" w:color="auto" w:fill="auto"/>
            <w:noWrap/>
            <w:vAlign w:val="center"/>
            <w:hideMark/>
          </w:tcPr>
          <w:p w14:paraId="4679E089" w14:textId="77777777" w:rsidR="0043709B" w:rsidRPr="0043709B" w:rsidRDefault="0043709B" w:rsidP="0043709B">
            <w:pPr>
              <w:jc w:val="right"/>
              <w:rPr>
                <w:rFonts w:ascii="Arial Narrow" w:hAnsi="Arial Narrow" w:cs="Calibri"/>
                <w:sz w:val="16"/>
                <w:szCs w:val="16"/>
              </w:rPr>
            </w:pPr>
            <w:r w:rsidRPr="0043709B">
              <w:rPr>
                <w:rFonts w:ascii="Arial Narrow" w:hAnsi="Arial Narrow" w:cs="Calibri"/>
                <w:sz w:val="16"/>
                <w:szCs w:val="16"/>
              </w:rPr>
              <w:t>97,2</w:t>
            </w:r>
          </w:p>
        </w:tc>
        <w:tc>
          <w:tcPr>
            <w:tcW w:w="1236" w:type="dxa"/>
            <w:tcBorders>
              <w:top w:val="nil"/>
              <w:left w:val="nil"/>
              <w:bottom w:val="single" w:sz="4" w:space="0" w:color="auto"/>
              <w:right w:val="single" w:sz="4" w:space="0" w:color="auto"/>
            </w:tcBorders>
            <w:shd w:val="clear" w:color="auto" w:fill="auto"/>
            <w:noWrap/>
            <w:vAlign w:val="center"/>
            <w:hideMark/>
          </w:tcPr>
          <w:p w14:paraId="4CA7B4DF" w14:textId="77777777" w:rsidR="0043709B" w:rsidRPr="0043709B" w:rsidRDefault="0043709B" w:rsidP="0043709B">
            <w:pPr>
              <w:jc w:val="right"/>
              <w:rPr>
                <w:rFonts w:ascii="Arial Narrow" w:hAnsi="Arial Narrow" w:cs="Calibri"/>
                <w:sz w:val="16"/>
                <w:szCs w:val="16"/>
              </w:rPr>
            </w:pPr>
            <w:r w:rsidRPr="0043709B">
              <w:rPr>
                <w:rFonts w:ascii="Arial Narrow" w:hAnsi="Arial Narrow" w:cs="Calibri"/>
                <w:sz w:val="16"/>
                <w:szCs w:val="16"/>
              </w:rPr>
              <w:t>79,0</w:t>
            </w:r>
          </w:p>
        </w:tc>
        <w:tc>
          <w:tcPr>
            <w:tcW w:w="1260" w:type="dxa"/>
            <w:tcBorders>
              <w:top w:val="nil"/>
              <w:left w:val="nil"/>
              <w:bottom w:val="single" w:sz="4" w:space="0" w:color="auto"/>
              <w:right w:val="single" w:sz="4" w:space="0" w:color="auto"/>
            </w:tcBorders>
            <w:shd w:val="clear" w:color="auto" w:fill="auto"/>
            <w:noWrap/>
            <w:vAlign w:val="center"/>
            <w:hideMark/>
          </w:tcPr>
          <w:p w14:paraId="58D2A554" w14:textId="77777777" w:rsidR="0043709B" w:rsidRPr="0043709B" w:rsidRDefault="0043709B" w:rsidP="0043709B">
            <w:pPr>
              <w:jc w:val="right"/>
              <w:rPr>
                <w:rFonts w:ascii="Arial Narrow" w:hAnsi="Arial Narrow" w:cs="Arial"/>
                <w:sz w:val="16"/>
                <w:szCs w:val="16"/>
              </w:rPr>
            </w:pPr>
            <w:r w:rsidRPr="0043709B">
              <w:rPr>
                <w:rFonts w:ascii="Arial Narrow" w:hAnsi="Arial Narrow" w:cs="Arial"/>
                <w:sz w:val="16"/>
                <w:szCs w:val="16"/>
              </w:rPr>
              <w:t>87,2</w:t>
            </w:r>
          </w:p>
        </w:tc>
      </w:tr>
      <w:tr w:rsidR="0043709B" w:rsidRPr="0043709B" w14:paraId="265422F7" w14:textId="77777777" w:rsidTr="0043709B">
        <w:trPr>
          <w:trHeight w:val="537"/>
        </w:trPr>
        <w:tc>
          <w:tcPr>
            <w:tcW w:w="781" w:type="dxa"/>
            <w:tcBorders>
              <w:top w:val="nil"/>
              <w:left w:val="single" w:sz="4" w:space="0" w:color="auto"/>
              <w:bottom w:val="single" w:sz="4" w:space="0" w:color="auto"/>
              <w:right w:val="single" w:sz="4" w:space="0" w:color="auto"/>
            </w:tcBorders>
            <w:shd w:val="clear" w:color="auto" w:fill="auto"/>
            <w:noWrap/>
            <w:vAlign w:val="center"/>
            <w:hideMark/>
          </w:tcPr>
          <w:p w14:paraId="179CA12E" w14:textId="77777777" w:rsidR="0043709B" w:rsidRPr="0043709B" w:rsidRDefault="0043709B" w:rsidP="0043709B">
            <w:pPr>
              <w:rPr>
                <w:rFonts w:ascii="Arial Narrow" w:hAnsi="Arial Narrow" w:cs="Arial"/>
                <w:b/>
                <w:bCs/>
                <w:sz w:val="16"/>
                <w:szCs w:val="16"/>
              </w:rPr>
            </w:pPr>
            <w:r w:rsidRPr="0043709B">
              <w:rPr>
                <w:rFonts w:ascii="Arial Narrow" w:hAnsi="Arial Narrow" w:cs="Arial"/>
                <w:b/>
                <w:bCs/>
                <w:sz w:val="16"/>
                <w:szCs w:val="16"/>
              </w:rPr>
              <w:t>13</w:t>
            </w:r>
          </w:p>
        </w:tc>
        <w:tc>
          <w:tcPr>
            <w:tcW w:w="3016" w:type="dxa"/>
            <w:tcBorders>
              <w:top w:val="nil"/>
              <w:left w:val="nil"/>
              <w:bottom w:val="single" w:sz="4" w:space="0" w:color="auto"/>
              <w:right w:val="single" w:sz="4" w:space="0" w:color="auto"/>
            </w:tcBorders>
            <w:shd w:val="clear" w:color="000000" w:fill="FFFFFF"/>
            <w:noWrap/>
            <w:vAlign w:val="center"/>
            <w:hideMark/>
          </w:tcPr>
          <w:p w14:paraId="6EE01E53" w14:textId="77777777" w:rsidR="0043709B" w:rsidRPr="0043709B" w:rsidRDefault="0043709B" w:rsidP="0043709B">
            <w:pPr>
              <w:rPr>
                <w:rFonts w:ascii="Arial Narrow" w:hAnsi="Arial Narrow" w:cs="Calibri"/>
                <w:b/>
                <w:bCs/>
                <w:sz w:val="16"/>
                <w:szCs w:val="16"/>
              </w:rPr>
            </w:pPr>
            <w:r w:rsidRPr="0043709B">
              <w:rPr>
                <w:rFonts w:ascii="Arial Narrow" w:hAnsi="Arial Narrow" w:cs="Calibri"/>
                <w:b/>
                <w:bCs/>
                <w:sz w:val="16"/>
                <w:szCs w:val="16"/>
              </w:rPr>
              <w:t>ПРОДУКЦИЯ ОТ ЖИВОТНОВЪДСТВОТО (11+12)</w:t>
            </w:r>
          </w:p>
        </w:tc>
        <w:tc>
          <w:tcPr>
            <w:tcW w:w="1180" w:type="dxa"/>
            <w:tcBorders>
              <w:top w:val="nil"/>
              <w:left w:val="nil"/>
              <w:bottom w:val="single" w:sz="4" w:space="0" w:color="auto"/>
              <w:right w:val="single" w:sz="4" w:space="0" w:color="auto"/>
            </w:tcBorders>
            <w:shd w:val="clear" w:color="000000" w:fill="FFFFFF"/>
            <w:vAlign w:val="center"/>
          </w:tcPr>
          <w:p w14:paraId="26F85455" w14:textId="77777777" w:rsidR="0043709B" w:rsidRPr="0043709B" w:rsidRDefault="0043709B" w:rsidP="0043709B">
            <w:pPr>
              <w:jc w:val="right"/>
              <w:rPr>
                <w:rFonts w:ascii="Arial Narrow" w:hAnsi="Arial Narrow" w:cs="Calibri"/>
                <w:b/>
                <w:bCs/>
                <w:sz w:val="16"/>
                <w:szCs w:val="16"/>
              </w:rPr>
            </w:pPr>
            <w:r w:rsidRPr="0043709B">
              <w:rPr>
                <w:rFonts w:ascii="Arial Narrow" w:hAnsi="Arial Narrow" w:cs="Calibri"/>
                <w:b/>
                <w:bCs/>
                <w:sz w:val="16"/>
                <w:szCs w:val="16"/>
              </w:rPr>
              <w:t>2 535,2</w:t>
            </w:r>
          </w:p>
        </w:tc>
        <w:tc>
          <w:tcPr>
            <w:tcW w:w="1170" w:type="dxa"/>
            <w:tcBorders>
              <w:top w:val="nil"/>
              <w:left w:val="nil"/>
              <w:bottom w:val="single" w:sz="4" w:space="0" w:color="auto"/>
              <w:right w:val="single" w:sz="4" w:space="0" w:color="auto"/>
            </w:tcBorders>
            <w:shd w:val="clear" w:color="000000" w:fill="FFFFFF"/>
            <w:noWrap/>
            <w:vAlign w:val="center"/>
            <w:hideMark/>
          </w:tcPr>
          <w:p w14:paraId="1FC81639" w14:textId="77777777" w:rsidR="0043709B" w:rsidRPr="0043709B" w:rsidRDefault="0043709B" w:rsidP="0043709B">
            <w:pPr>
              <w:jc w:val="right"/>
              <w:rPr>
                <w:rFonts w:ascii="Arial Narrow" w:hAnsi="Arial Narrow" w:cs="Calibri"/>
                <w:b/>
                <w:bCs/>
                <w:sz w:val="16"/>
                <w:szCs w:val="16"/>
              </w:rPr>
            </w:pPr>
            <w:r w:rsidRPr="0043709B">
              <w:rPr>
                <w:rFonts w:ascii="Arial Narrow" w:hAnsi="Arial Narrow" w:cs="Calibri"/>
                <w:b/>
                <w:bCs/>
                <w:sz w:val="16"/>
                <w:szCs w:val="16"/>
              </w:rPr>
              <w:t>98,3</w:t>
            </w:r>
          </w:p>
        </w:tc>
        <w:tc>
          <w:tcPr>
            <w:tcW w:w="1300" w:type="dxa"/>
            <w:tcBorders>
              <w:top w:val="nil"/>
              <w:left w:val="nil"/>
              <w:bottom w:val="single" w:sz="4" w:space="0" w:color="auto"/>
              <w:right w:val="single" w:sz="4" w:space="0" w:color="auto"/>
            </w:tcBorders>
            <w:shd w:val="clear" w:color="000000" w:fill="FFFFFF"/>
            <w:noWrap/>
            <w:vAlign w:val="center"/>
            <w:hideMark/>
          </w:tcPr>
          <w:p w14:paraId="5A095E46" w14:textId="77777777" w:rsidR="0043709B" w:rsidRPr="0043709B" w:rsidRDefault="0043709B" w:rsidP="0043709B">
            <w:pPr>
              <w:jc w:val="right"/>
              <w:rPr>
                <w:rFonts w:ascii="Arial Narrow" w:hAnsi="Arial Narrow" w:cs="Calibri"/>
                <w:b/>
                <w:bCs/>
                <w:sz w:val="16"/>
                <w:szCs w:val="16"/>
              </w:rPr>
            </w:pPr>
            <w:r w:rsidRPr="0043709B">
              <w:rPr>
                <w:rFonts w:ascii="Arial Narrow" w:hAnsi="Arial Narrow" w:cs="Calibri"/>
                <w:b/>
                <w:bCs/>
                <w:sz w:val="16"/>
                <w:szCs w:val="16"/>
              </w:rPr>
              <w:t>2 492,3</w:t>
            </w:r>
          </w:p>
        </w:tc>
        <w:tc>
          <w:tcPr>
            <w:tcW w:w="1220" w:type="dxa"/>
            <w:tcBorders>
              <w:top w:val="nil"/>
              <w:left w:val="nil"/>
              <w:bottom w:val="single" w:sz="4" w:space="0" w:color="auto"/>
              <w:right w:val="single" w:sz="4" w:space="0" w:color="auto"/>
            </w:tcBorders>
            <w:shd w:val="clear" w:color="000000" w:fill="FFFFFF"/>
            <w:noWrap/>
            <w:vAlign w:val="center"/>
            <w:hideMark/>
          </w:tcPr>
          <w:p w14:paraId="34728DE7" w14:textId="77777777" w:rsidR="0043709B" w:rsidRPr="0043709B" w:rsidRDefault="0043709B" w:rsidP="0043709B">
            <w:pPr>
              <w:jc w:val="right"/>
              <w:rPr>
                <w:rFonts w:ascii="Arial Narrow" w:hAnsi="Arial Narrow" w:cs="Calibri"/>
                <w:b/>
                <w:bCs/>
                <w:sz w:val="16"/>
                <w:szCs w:val="16"/>
              </w:rPr>
            </w:pPr>
            <w:r w:rsidRPr="0043709B">
              <w:rPr>
                <w:rFonts w:ascii="Arial Narrow" w:hAnsi="Arial Narrow" w:cs="Calibri"/>
                <w:b/>
                <w:bCs/>
                <w:sz w:val="16"/>
                <w:szCs w:val="16"/>
              </w:rPr>
              <w:t>96,9</w:t>
            </w:r>
          </w:p>
        </w:tc>
        <w:tc>
          <w:tcPr>
            <w:tcW w:w="1236" w:type="dxa"/>
            <w:tcBorders>
              <w:top w:val="nil"/>
              <w:left w:val="nil"/>
              <w:bottom w:val="single" w:sz="4" w:space="0" w:color="auto"/>
              <w:right w:val="single" w:sz="4" w:space="0" w:color="auto"/>
            </w:tcBorders>
            <w:shd w:val="clear" w:color="000000" w:fill="FFFFFF"/>
            <w:noWrap/>
            <w:vAlign w:val="center"/>
            <w:hideMark/>
          </w:tcPr>
          <w:p w14:paraId="29BAB508" w14:textId="77777777" w:rsidR="0043709B" w:rsidRPr="0043709B" w:rsidRDefault="0043709B" w:rsidP="0043709B">
            <w:pPr>
              <w:jc w:val="right"/>
              <w:rPr>
                <w:rFonts w:ascii="Arial Narrow" w:hAnsi="Arial Narrow" w:cs="Calibri"/>
                <w:b/>
                <w:bCs/>
                <w:sz w:val="16"/>
                <w:szCs w:val="16"/>
              </w:rPr>
            </w:pPr>
            <w:r w:rsidRPr="0043709B">
              <w:rPr>
                <w:rFonts w:ascii="Arial Narrow" w:hAnsi="Arial Narrow" w:cs="Calibri"/>
                <w:b/>
                <w:bCs/>
                <w:sz w:val="16"/>
                <w:szCs w:val="16"/>
              </w:rPr>
              <w:t>2 414,0</w:t>
            </w:r>
          </w:p>
        </w:tc>
        <w:tc>
          <w:tcPr>
            <w:tcW w:w="1260" w:type="dxa"/>
            <w:tcBorders>
              <w:top w:val="nil"/>
              <w:left w:val="nil"/>
              <w:bottom w:val="single" w:sz="4" w:space="0" w:color="auto"/>
              <w:right w:val="single" w:sz="4" w:space="0" w:color="auto"/>
            </w:tcBorders>
            <w:shd w:val="clear" w:color="auto" w:fill="auto"/>
            <w:noWrap/>
            <w:vAlign w:val="center"/>
            <w:hideMark/>
          </w:tcPr>
          <w:p w14:paraId="7ABFACC6" w14:textId="77777777" w:rsidR="0043709B" w:rsidRPr="0043709B" w:rsidRDefault="0043709B" w:rsidP="0043709B">
            <w:pPr>
              <w:jc w:val="right"/>
              <w:rPr>
                <w:rFonts w:ascii="Arial Narrow" w:hAnsi="Arial Narrow" w:cs="Arial"/>
                <w:sz w:val="16"/>
                <w:szCs w:val="16"/>
              </w:rPr>
            </w:pPr>
            <w:r w:rsidRPr="0043709B">
              <w:rPr>
                <w:rFonts w:ascii="Arial Narrow" w:hAnsi="Arial Narrow" w:cs="Arial"/>
                <w:sz w:val="16"/>
                <w:szCs w:val="16"/>
              </w:rPr>
              <w:t>95,2</w:t>
            </w:r>
          </w:p>
        </w:tc>
      </w:tr>
      <w:tr w:rsidR="0043709B" w:rsidRPr="0043709B" w14:paraId="1782E659" w14:textId="77777777" w:rsidTr="0043709B">
        <w:trPr>
          <w:trHeight w:val="417"/>
        </w:trPr>
        <w:tc>
          <w:tcPr>
            <w:tcW w:w="781" w:type="dxa"/>
            <w:tcBorders>
              <w:top w:val="nil"/>
              <w:left w:val="single" w:sz="4" w:space="0" w:color="auto"/>
              <w:bottom w:val="single" w:sz="4" w:space="0" w:color="auto"/>
              <w:right w:val="single" w:sz="4" w:space="0" w:color="auto"/>
            </w:tcBorders>
            <w:shd w:val="clear" w:color="auto" w:fill="auto"/>
            <w:noWrap/>
            <w:vAlign w:val="center"/>
            <w:hideMark/>
          </w:tcPr>
          <w:p w14:paraId="04CE1B1A" w14:textId="77777777" w:rsidR="0043709B" w:rsidRPr="0043709B" w:rsidRDefault="0043709B" w:rsidP="0043709B">
            <w:pPr>
              <w:rPr>
                <w:rFonts w:ascii="Arial Narrow" w:hAnsi="Arial Narrow" w:cs="Arial"/>
                <w:sz w:val="16"/>
                <w:szCs w:val="16"/>
              </w:rPr>
            </w:pPr>
            <w:r w:rsidRPr="0043709B">
              <w:rPr>
                <w:rFonts w:ascii="Arial Narrow" w:hAnsi="Arial Narrow" w:cs="Arial"/>
                <w:sz w:val="16"/>
                <w:szCs w:val="16"/>
              </w:rPr>
              <w:t>14</w:t>
            </w:r>
          </w:p>
        </w:tc>
        <w:tc>
          <w:tcPr>
            <w:tcW w:w="3016" w:type="dxa"/>
            <w:tcBorders>
              <w:top w:val="nil"/>
              <w:left w:val="nil"/>
              <w:bottom w:val="single" w:sz="4" w:space="0" w:color="auto"/>
              <w:right w:val="single" w:sz="4" w:space="0" w:color="auto"/>
            </w:tcBorders>
            <w:shd w:val="clear" w:color="000000" w:fill="FFFFFF"/>
            <w:noWrap/>
            <w:vAlign w:val="center"/>
            <w:hideMark/>
          </w:tcPr>
          <w:p w14:paraId="71F25EDA" w14:textId="77777777" w:rsidR="0043709B" w:rsidRPr="0043709B" w:rsidRDefault="0043709B" w:rsidP="0043709B">
            <w:pPr>
              <w:rPr>
                <w:rFonts w:ascii="Arial Narrow" w:hAnsi="Arial Narrow" w:cs="Calibri"/>
                <w:b/>
                <w:bCs/>
                <w:sz w:val="16"/>
                <w:szCs w:val="16"/>
              </w:rPr>
            </w:pPr>
            <w:r w:rsidRPr="0043709B">
              <w:rPr>
                <w:rFonts w:ascii="Arial Narrow" w:hAnsi="Arial Narrow" w:cs="Calibri"/>
                <w:b/>
                <w:bCs/>
                <w:sz w:val="16"/>
                <w:szCs w:val="16"/>
              </w:rPr>
              <w:t>ПРОДУКЦИЯ НА СЕЛСКОСТОПАНСКИ СТОКИ (10+13)</w:t>
            </w:r>
          </w:p>
        </w:tc>
        <w:tc>
          <w:tcPr>
            <w:tcW w:w="1180" w:type="dxa"/>
            <w:tcBorders>
              <w:top w:val="nil"/>
              <w:left w:val="nil"/>
              <w:bottom w:val="single" w:sz="4" w:space="0" w:color="auto"/>
              <w:right w:val="single" w:sz="4" w:space="0" w:color="auto"/>
            </w:tcBorders>
            <w:shd w:val="clear" w:color="auto" w:fill="auto"/>
            <w:vAlign w:val="center"/>
          </w:tcPr>
          <w:p w14:paraId="7A2DCA0D" w14:textId="77777777" w:rsidR="0043709B" w:rsidRPr="0043709B" w:rsidRDefault="0043709B" w:rsidP="0043709B">
            <w:pPr>
              <w:jc w:val="right"/>
              <w:rPr>
                <w:rFonts w:ascii="Arial Narrow" w:hAnsi="Arial Narrow" w:cs="Calibri"/>
                <w:b/>
                <w:bCs/>
                <w:sz w:val="16"/>
                <w:szCs w:val="16"/>
              </w:rPr>
            </w:pPr>
            <w:r w:rsidRPr="0043709B">
              <w:rPr>
                <w:rFonts w:ascii="Arial Narrow" w:hAnsi="Arial Narrow" w:cs="Calibri"/>
                <w:b/>
                <w:bCs/>
                <w:sz w:val="16"/>
                <w:szCs w:val="16"/>
              </w:rPr>
              <w:t>9 659,7</w:t>
            </w:r>
          </w:p>
        </w:tc>
        <w:tc>
          <w:tcPr>
            <w:tcW w:w="1170" w:type="dxa"/>
            <w:tcBorders>
              <w:top w:val="nil"/>
              <w:left w:val="nil"/>
              <w:bottom w:val="single" w:sz="4" w:space="0" w:color="auto"/>
              <w:right w:val="single" w:sz="4" w:space="0" w:color="auto"/>
            </w:tcBorders>
            <w:shd w:val="clear" w:color="auto" w:fill="auto"/>
            <w:noWrap/>
            <w:vAlign w:val="center"/>
            <w:hideMark/>
          </w:tcPr>
          <w:p w14:paraId="49AD547A" w14:textId="77777777" w:rsidR="0043709B" w:rsidRPr="0043709B" w:rsidRDefault="0043709B" w:rsidP="0043709B">
            <w:pPr>
              <w:jc w:val="right"/>
              <w:rPr>
                <w:rFonts w:ascii="Arial Narrow" w:hAnsi="Arial Narrow" w:cs="Calibri"/>
                <w:b/>
                <w:bCs/>
                <w:sz w:val="16"/>
                <w:szCs w:val="16"/>
              </w:rPr>
            </w:pPr>
            <w:r w:rsidRPr="0043709B">
              <w:rPr>
                <w:rFonts w:ascii="Arial Narrow" w:hAnsi="Arial Narrow" w:cs="Calibri"/>
                <w:b/>
                <w:bCs/>
                <w:sz w:val="16"/>
                <w:szCs w:val="16"/>
              </w:rPr>
              <w:t>96,9</w:t>
            </w:r>
          </w:p>
        </w:tc>
        <w:tc>
          <w:tcPr>
            <w:tcW w:w="1300" w:type="dxa"/>
            <w:tcBorders>
              <w:top w:val="nil"/>
              <w:left w:val="nil"/>
              <w:bottom w:val="single" w:sz="4" w:space="0" w:color="auto"/>
              <w:right w:val="single" w:sz="4" w:space="0" w:color="auto"/>
            </w:tcBorders>
            <w:shd w:val="clear" w:color="auto" w:fill="auto"/>
            <w:noWrap/>
            <w:vAlign w:val="center"/>
            <w:hideMark/>
          </w:tcPr>
          <w:p w14:paraId="198E9AA0" w14:textId="77777777" w:rsidR="0043709B" w:rsidRPr="0043709B" w:rsidRDefault="0043709B" w:rsidP="0043709B">
            <w:pPr>
              <w:jc w:val="right"/>
              <w:rPr>
                <w:rFonts w:ascii="Arial Narrow" w:hAnsi="Arial Narrow" w:cs="Calibri"/>
                <w:b/>
                <w:bCs/>
                <w:sz w:val="16"/>
                <w:szCs w:val="16"/>
              </w:rPr>
            </w:pPr>
            <w:r w:rsidRPr="0043709B">
              <w:rPr>
                <w:rFonts w:ascii="Arial Narrow" w:hAnsi="Arial Narrow" w:cs="Calibri"/>
                <w:b/>
                <w:bCs/>
                <w:sz w:val="16"/>
                <w:szCs w:val="16"/>
              </w:rPr>
              <w:t>9 361,3</w:t>
            </w:r>
          </w:p>
        </w:tc>
        <w:tc>
          <w:tcPr>
            <w:tcW w:w="1220" w:type="dxa"/>
            <w:tcBorders>
              <w:top w:val="nil"/>
              <w:left w:val="nil"/>
              <w:bottom w:val="single" w:sz="4" w:space="0" w:color="auto"/>
              <w:right w:val="single" w:sz="4" w:space="0" w:color="auto"/>
            </w:tcBorders>
            <w:shd w:val="clear" w:color="auto" w:fill="auto"/>
            <w:noWrap/>
            <w:vAlign w:val="center"/>
            <w:hideMark/>
          </w:tcPr>
          <w:p w14:paraId="0ECE987C" w14:textId="77777777" w:rsidR="0043709B" w:rsidRPr="0043709B" w:rsidRDefault="0043709B" w:rsidP="0043709B">
            <w:pPr>
              <w:jc w:val="right"/>
              <w:rPr>
                <w:rFonts w:ascii="Arial Narrow" w:hAnsi="Arial Narrow" w:cs="Calibri"/>
                <w:b/>
                <w:bCs/>
                <w:sz w:val="16"/>
                <w:szCs w:val="16"/>
              </w:rPr>
            </w:pPr>
            <w:r w:rsidRPr="0043709B">
              <w:rPr>
                <w:rFonts w:ascii="Arial Narrow" w:hAnsi="Arial Narrow" w:cs="Calibri"/>
                <w:b/>
                <w:bCs/>
                <w:sz w:val="16"/>
                <w:szCs w:val="16"/>
              </w:rPr>
              <w:t>94,7</w:t>
            </w:r>
          </w:p>
        </w:tc>
        <w:tc>
          <w:tcPr>
            <w:tcW w:w="1236" w:type="dxa"/>
            <w:tcBorders>
              <w:top w:val="nil"/>
              <w:left w:val="nil"/>
              <w:bottom w:val="single" w:sz="4" w:space="0" w:color="auto"/>
              <w:right w:val="single" w:sz="4" w:space="0" w:color="auto"/>
            </w:tcBorders>
            <w:shd w:val="clear" w:color="auto" w:fill="auto"/>
            <w:noWrap/>
            <w:vAlign w:val="center"/>
            <w:hideMark/>
          </w:tcPr>
          <w:p w14:paraId="26BC94E8" w14:textId="77777777" w:rsidR="0043709B" w:rsidRPr="0043709B" w:rsidRDefault="0043709B" w:rsidP="0043709B">
            <w:pPr>
              <w:jc w:val="right"/>
              <w:rPr>
                <w:rFonts w:ascii="Arial Narrow" w:hAnsi="Arial Narrow" w:cs="Calibri"/>
                <w:b/>
                <w:bCs/>
                <w:sz w:val="16"/>
                <w:szCs w:val="16"/>
              </w:rPr>
            </w:pPr>
            <w:r w:rsidRPr="0043709B">
              <w:rPr>
                <w:rFonts w:ascii="Arial Narrow" w:hAnsi="Arial Narrow" w:cs="Calibri"/>
                <w:b/>
                <w:bCs/>
                <w:sz w:val="16"/>
                <w:szCs w:val="16"/>
              </w:rPr>
              <w:t>8 861,6</w:t>
            </w:r>
          </w:p>
        </w:tc>
        <w:tc>
          <w:tcPr>
            <w:tcW w:w="1260" w:type="dxa"/>
            <w:tcBorders>
              <w:top w:val="nil"/>
              <w:left w:val="nil"/>
              <w:bottom w:val="single" w:sz="4" w:space="0" w:color="auto"/>
              <w:right w:val="single" w:sz="4" w:space="0" w:color="auto"/>
            </w:tcBorders>
            <w:shd w:val="clear" w:color="auto" w:fill="auto"/>
            <w:noWrap/>
            <w:vAlign w:val="center"/>
            <w:hideMark/>
          </w:tcPr>
          <w:p w14:paraId="2BA9432D" w14:textId="77777777" w:rsidR="0043709B" w:rsidRPr="0043709B" w:rsidRDefault="0043709B" w:rsidP="0043709B">
            <w:pPr>
              <w:jc w:val="right"/>
              <w:rPr>
                <w:rFonts w:ascii="Arial Narrow" w:hAnsi="Arial Narrow" w:cs="Arial"/>
                <w:b/>
                <w:bCs/>
                <w:sz w:val="16"/>
                <w:szCs w:val="16"/>
              </w:rPr>
            </w:pPr>
            <w:r w:rsidRPr="0043709B">
              <w:rPr>
                <w:rFonts w:ascii="Arial Narrow" w:hAnsi="Arial Narrow" w:cs="Arial"/>
                <w:b/>
                <w:bCs/>
                <w:sz w:val="16"/>
                <w:szCs w:val="16"/>
              </w:rPr>
              <w:t>91,7</w:t>
            </w:r>
          </w:p>
        </w:tc>
      </w:tr>
      <w:tr w:rsidR="0043709B" w:rsidRPr="0043709B" w14:paraId="44BE8696" w14:textId="77777777" w:rsidTr="0043709B">
        <w:trPr>
          <w:trHeight w:val="409"/>
        </w:trPr>
        <w:tc>
          <w:tcPr>
            <w:tcW w:w="781" w:type="dxa"/>
            <w:tcBorders>
              <w:top w:val="nil"/>
              <w:left w:val="single" w:sz="4" w:space="0" w:color="auto"/>
              <w:bottom w:val="single" w:sz="4" w:space="0" w:color="auto"/>
              <w:right w:val="single" w:sz="4" w:space="0" w:color="auto"/>
            </w:tcBorders>
            <w:shd w:val="clear" w:color="auto" w:fill="auto"/>
            <w:noWrap/>
            <w:vAlign w:val="center"/>
            <w:hideMark/>
          </w:tcPr>
          <w:p w14:paraId="13CBA55F" w14:textId="77777777" w:rsidR="0043709B" w:rsidRPr="0043709B" w:rsidRDefault="0043709B" w:rsidP="0043709B">
            <w:pPr>
              <w:rPr>
                <w:rFonts w:ascii="Arial Narrow" w:hAnsi="Arial Narrow" w:cs="Arial"/>
                <w:sz w:val="16"/>
                <w:szCs w:val="16"/>
              </w:rPr>
            </w:pPr>
            <w:r w:rsidRPr="0043709B">
              <w:rPr>
                <w:rFonts w:ascii="Arial Narrow" w:hAnsi="Arial Narrow" w:cs="Arial"/>
                <w:sz w:val="16"/>
                <w:szCs w:val="16"/>
              </w:rPr>
              <w:t>15</w:t>
            </w:r>
          </w:p>
        </w:tc>
        <w:tc>
          <w:tcPr>
            <w:tcW w:w="3016" w:type="dxa"/>
            <w:tcBorders>
              <w:top w:val="nil"/>
              <w:left w:val="nil"/>
              <w:bottom w:val="single" w:sz="4" w:space="0" w:color="auto"/>
              <w:right w:val="single" w:sz="4" w:space="0" w:color="auto"/>
            </w:tcBorders>
            <w:shd w:val="clear" w:color="000000" w:fill="FFFFFF"/>
            <w:noWrap/>
            <w:vAlign w:val="center"/>
            <w:hideMark/>
          </w:tcPr>
          <w:p w14:paraId="0693FA78" w14:textId="77777777" w:rsidR="0043709B" w:rsidRPr="0043709B" w:rsidRDefault="0043709B" w:rsidP="0043709B">
            <w:pPr>
              <w:rPr>
                <w:rFonts w:ascii="Arial Narrow" w:hAnsi="Arial Narrow" w:cs="Calibri"/>
                <w:b/>
                <w:bCs/>
                <w:sz w:val="16"/>
                <w:szCs w:val="16"/>
              </w:rPr>
            </w:pPr>
            <w:r w:rsidRPr="0043709B">
              <w:rPr>
                <w:rFonts w:ascii="Arial Narrow" w:hAnsi="Arial Narrow" w:cs="Calibri"/>
                <w:b/>
                <w:bCs/>
                <w:sz w:val="16"/>
                <w:szCs w:val="16"/>
              </w:rPr>
              <w:t>ПРОДУКЦИЯ НА СЕЛСКОСТОПАНСКИ УСЛУГИ</w:t>
            </w:r>
          </w:p>
        </w:tc>
        <w:tc>
          <w:tcPr>
            <w:tcW w:w="1180" w:type="dxa"/>
            <w:tcBorders>
              <w:top w:val="nil"/>
              <w:left w:val="nil"/>
              <w:bottom w:val="single" w:sz="4" w:space="0" w:color="auto"/>
              <w:right w:val="single" w:sz="4" w:space="0" w:color="auto"/>
            </w:tcBorders>
            <w:shd w:val="clear" w:color="auto" w:fill="auto"/>
            <w:vAlign w:val="center"/>
          </w:tcPr>
          <w:p w14:paraId="75FC6F9C" w14:textId="77777777" w:rsidR="0043709B" w:rsidRPr="0043709B" w:rsidRDefault="0043709B" w:rsidP="0043709B">
            <w:pPr>
              <w:jc w:val="right"/>
              <w:rPr>
                <w:rFonts w:ascii="Arial Narrow" w:hAnsi="Arial Narrow" w:cs="Calibri"/>
                <w:b/>
                <w:bCs/>
                <w:sz w:val="16"/>
                <w:szCs w:val="16"/>
              </w:rPr>
            </w:pPr>
            <w:r w:rsidRPr="0043709B">
              <w:rPr>
                <w:rFonts w:ascii="Arial Narrow" w:hAnsi="Arial Narrow" w:cs="Calibri"/>
                <w:b/>
                <w:bCs/>
                <w:sz w:val="16"/>
                <w:szCs w:val="16"/>
              </w:rPr>
              <w:t>595,7</w:t>
            </w:r>
          </w:p>
        </w:tc>
        <w:tc>
          <w:tcPr>
            <w:tcW w:w="1170" w:type="dxa"/>
            <w:tcBorders>
              <w:top w:val="nil"/>
              <w:left w:val="nil"/>
              <w:bottom w:val="single" w:sz="4" w:space="0" w:color="auto"/>
              <w:right w:val="single" w:sz="4" w:space="0" w:color="auto"/>
            </w:tcBorders>
            <w:shd w:val="clear" w:color="auto" w:fill="auto"/>
            <w:noWrap/>
            <w:vAlign w:val="center"/>
            <w:hideMark/>
          </w:tcPr>
          <w:p w14:paraId="70529F57" w14:textId="77777777" w:rsidR="0043709B" w:rsidRPr="0043709B" w:rsidRDefault="0043709B" w:rsidP="0043709B">
            <w:pPr>
              <w:jc w:val="right"/>
              <w:rPr>
                <w:rFonts w:ascii="Arial Narrow" w:hAnsi="Arial Narrow" w:cs="Calibri"/>
                <w:b/>
                <w:bCs/>
                <w:sz w:val="16"/>
                <w:szCs w:val="16"/>
              </w:rPr>
            </w:pPr>
            <w:r w:rsidRPr="0043709B">
              <w:rPr>
                <w:rFonts w:ascii="Arial Narrow" w:hAnsi="Arial Narrow" w:cs="Calibri"/>
                <w:b/>
                <w:bCs/>
                <w:sz w:val="16"/>
                <w:szCs w:val="16"/>
              </w:rPr>
              <w:t>89,5</w:t>
            </w:r>
          </w:p>
        </w:tc>
        <w:tc>
          <w:tcPr>
            <w:tcW w:w="1300" w:type="dxa"/>
            <w:tcBorders>
              <w:top w:val="nil"/>
              <w:left w:val="nil"/>
              <w:bottom w:val="single" w:sz="4" w:space="0" w:color="auto"/>
              <w:right w:val="single" w:sz="4" w:space="0" w:color="auto"/>
            </w:tcBorders>
            <w:shd w:val="clear" w:color="auto" w:fill="auto"/>
            <w:noWrap/>
            <w:vAlign w:val="center"/>
            <w:hideMark/>
          </w:tcPr>
          <w:p w14:paraId="2CB7CD8F" w14:textId="77777777" w:rsidR="0043709B" w:rsidRPr="0043709B" w:rsidRDefault="0043709B" w:rsidP="0043709B">
            <w:pPr>
              <w:jc w:val="right"/>
              <w:rPr>
                <w:rFonts w:ascii="Arial Narrow" w:hAnsi="Arial Narrow" w:cs="Calibri"/>
                <w:b/>
                <w:bCs/>
                <w:sz w:val="16"/>
                <w:szCs w:val="16"/>
              </w:rPr>
            </w:pPr>
            <w:r w:rsidRPr="0043709B">
              <w:rPr>
                <w:rFonts w:ascii="Arial Narrow" w:hAnsi="Arial Narrow" w:cs="Calibri"/>
                <w:b/>
                <w:bCs/>
                <w:sz w:val="16"/>
                <w:szCs w:val="16"/>
              </w:rPr>
              <w:t>532,9</w:t>
            </w:r>
          </w:p>
        </w:tc>
        <w:tc>
          <w:tcPr>
            <w:tcW w:w="1220" w:type="dxa"/>
            <w:tcBorders>
              <w:top w:val="nil"/>
              <w:left w:val="nil"/>
              <w:bottom w:val="single" w:sz="4" w:space="0" w:color="auto"/>
              <w:right w:val="single" w:sz="4" w:space="0" w:color="auto"/>
            </w:tcBorders>
            <w:shd w:val="clear" w:color="auto" w:fill="auto"/>
            <w:noWrap/>
            <w:vAlign w:val="center"/>
            <w:hideMark/>
          </w:tcPr>
          <w:p w14:paraId="2255B1A8" w14:textId="77777777" w:rsidR="0043709B" w:rsidRPr="0043709B" w:rsidRDefault="0043709B" w:rsidP="0043709B">
            <w:pPr>
              <w:jc w:val="right"/>
              <w:rPr>
                <w:rFonts w:ascii="Arial Narrow" w:hAnsi="Arial Narrow" w:cs="Calibri"/>
                <w:b/>
                <w:bCs/>
                <w:sz w:val="16"/>
                <w:szCs w:val="16"/>
              </w:rPr>
            </w:pPr>
            <w:r w:rsidRPr="0043709B">
              <w:rPr>
                <w:rFonts w:ascii="Arial Narrow" w:hAnsi="Arial Narrow" w:cs="Calibri"/>
                <w:b/>
                <w:bCs/>
                <w:sz w:val="16"/>
                <w:szCs w:val="16"/>
              </w:rPr>
              <w:t>102,8</w:t>
            </w:r>
          </w:p>
        </w:tc>
        <w:tc>
          <w:tcPr>
            <w:tcW w:w="1236" w:type="dxa"/>
            <w:tcBorders>
              <w:top w:val="nil"/>
              <w:left w:val="nil"/>
              <w:bottom w:val="single" w:sz="4" w:space="0" w:color="auto"/>
              <w:right w:val="single" w:sz="4" w:space="0" w:color="auto"/>
            </w:tcBorders>
            <w:shd w:val="clear" w:color="auto" w:fill="auto"/>
            <w:noWrap/>
            <w:vAlign w:val="center"/>
            <w:hideMark/>
          </w:tcPr>
          <w:p w14:paraId="4C8D312E" w14:textId="77777777" w:rsidR="0043709B" w:rsidRPr="0043709B" w:rsidRDefault="0043709B" w:rsidP="0043709B">
            <w:pPr>
              <w:jc w:val="right"/>
              <w:rPr>
                <w:rFonts w:ascii="Arial Narrow" w:hAnsi="Arial Narrow" w:cs="Calibri"/>
                <w:b/>
                <w:bCs/>
                <w:sz w:val="16"/>
                <w:szCs w:val="16"/>
              </w:rPr>
            </w:pPr>
            <w:r w:rsidRPr="0043709B">
              <w:rPr>
                <w:rFonts w:ascii="Arial Narrow" w:hAnsi="Arial Narrow" w:cs="Calibri"/>
                <w:b/>
                <w:bCs/>
                <w:sz w:val="16"/>
                <w:szCs w:val="16"/>
              </w:rPr>
              <w:t>547,8</w:t>
            </w:r>
          </w:p>
        </w:tc>
        <w:tc>
          <w:tcPr>
            <w:tcW w:w="1260" w:type="dxa"/>
            <w:tcBorders>
              <w:top w:val="nil"/>
              <w:left w:val="nil"/>
              <w:bottom w:val="single" w:sz="4" w:space="0" w:color="auto"/>
              <w:right w:val="single" w:sz="4" w:space="0" w:color="auto"/>
            </w:tcBorders>
            <w:shd w:val="clear" w:color="auto" w:fill="auto"/>
            <w:noWrap/>
            <w:vAlign w:val="center"/>
            <w:hideMark/>
          </w:tcPr>
          <w:p w14:paraId="5FA47F8F" w14:textId="77777777" w:rsidR="0043709B" w:rsidRPr="0043709B" w:rsidRDefault="0043709B" w:rsidP="0043709B">
            <w:pPr>
              <w:jc w:val="right"/>
              <w:rPr>
                <w:rFonts w:ascii="Arial Narrow" w:hAnsi="Arial Narrow" w:cs="Arial"/>
                <w:b/>
                <w:bCs/>
                <w:sz w:val="16"/>
                <w:szCs w:val="16"/>
              </w:rPr>
            </w:pPr>
            <w:r w:rsidRPr="0043709B">
              <w:rPr>
                <w:rFonts w:ascii="Arial Narrow" w:hAnsi="Arial Narrow" w:cs="Arial"/>
                <w:b/>
                <w:bCs/>
                <w:sz w:val="16"/>
                <w:szCs w:val="16"/>
              </w:rPr>
              <w:t>92,0</w:t>
            </w:r>
          </w:p>
        </w:tc>
      </w:tr>
      <w:tr w:rsidR="0043709B" w:rsidRPr="0043709B" w14:paraId="6E3A9D8E" w14:textId="77777777" w:rsidTr="0043709B">
        <w:trPr>
          <w:trHeight w:val="416"/>
        </w:trPr>
        <w:tc>
          <w:tcPr>
            <w:tcW w:w="781" w:type="dxa"/>
            <w:tcBorders>
              <w:top w:val="nil"/>
              <w:left w:val="single" w:sz="4" w:space="0" w:color="auto"/>
              <w:bottom w:val="single" w:sz="4" w:space="0" w:color="auto"/>
              <w:right w:val="single" w:sz="4" w:space="0" w:color="auto"/>
            </w:tcBorders>
            <w:shd w:val="clear" w:color="auto" w:fill="auto"/>
            <w:noWrap/>
            <w:vAlign w:val="center"/>
            <w:hideMark/>
          </w:tcPr>
          <w:p w14:paraId="5C3E0913" w14:textId="77777777" w:rsidR="0043709B" w:rsidRPr="0043709B" w:rsidRDefault="0043709B" w:rsidP="0043709B">
            <w:pPr>
              <w:rPr>
                <w:rFonts w:ascii="Arial Narrow" w:hAnsi="Arial Narrow" w:cs="Arial"/>
                <w:sz w:val="16"/>
                <w:szCs w:val="16"/>
              </w:rPr>
            </w:pPr>
            <w:r w:rsidRPr="0043709B">
              <w:rPr>
                <w:rFonts w:ascii="Arial Narrow" w:hAnsi="Arial Narrow" w:cs="Arial"/>
                <w:sz w:val="16"/>
                <w:szCs w:val="16"/>
              </w:rPr>
              <w:t>16</w:t>
            </w:r>
          </w:p>
        </w:tc>
        <w:tc>
          <w:tcPr>
            <w:tcW w:w="3016" w:type="dxa"/>
            <w:tcBorders>
              <w:top w:val="nil"/>
              <w:left w:val="nil"/>
              <w:bottom w:val="single" w:sz="4" w:space="0" w:color="auto"/>
              <w:right w:val="single" w:sz="4" w:space="0" w:color="auto"/>
            </w:tcBorders>
            <w:shd w:val="clear" w:color="000000" w:fill="FFFFFF"/>
            <w:noWrap/>
            <w:vAlign w:val="center"/>
            <w:hideMark/>
          </w:tcPr>
          <w:p w14:paraId="52EEFCE9" w14:textId="77777777" w:rsidR="0043709B" w:rsidRPr="0043709B" w:rsidRDefault="0043709B" w:rsidP="0043709B">
            <w:pPr>
              <w:rPr>
                <w:rFonts w:ascii="Arial Narrow" w:hAnsi="Arial Narrow" w:cs="Calibri"/>
                <w:b/>
                <w:bCs/>
                <w:sz w:val="16"/>
                <w:szCs w:val="16"/>
              </w:rPr>
            </w:pPr>
            <w:r w:rsidRPr="0043709B">
              <w:rPr>
                <w:rFonts w:ascii="Arial Narrow" w:hAnsi="Arial Narrow" w:cs="Calibri"/>
                <w:b/>
                <w:bCs/>
                <w:sz w:val="16"/>
                <w:szCs w:val="16"/>
              </w:rPr>
              <w:t>ПРОДУКЦИЯ ОТ СЕЛСКОТО СТОПАНСТВО (14+15)</w:t>
            </w:r>
          </w:p>
        </w:tc>
        <w:tc>
          <w:tcPr>
            <w:tcW w:w="1180" w:type="dxa"/>
            <w:tcBorders>
              <w:top w:val="nil"/>
              <w:left w:val="nil"/>
              <w:bottom w:val="single" w:sz="4" w:space="0" w:color="auto"/>
              <w:right w:val="single" w:sz="4" w:space="0" w:color="auto"/>
            </w:tcBorders>
            <w:shd w:val="clear" w:color="auto" w:fill="auto"/>
            <w:vAlign w:val="center"/>
          </w:tcPr>
          <w:p w14:paraId="35695CC6" w14:textId="77777777" w:rsidR="0043709B" w:rsidRPr="0043709B" w:rsidRDefault="0043709B" w:rsidP="0043709B">
            <w:pPr>
              <w:jc w:val="right"/>
              <w:rPr>
                <w:rFonts w:ascii="Arial Narrow" w:hAnsi="Arial Narrow" w:cs="Calibri"/>
                <w:b/>
                <w:bCs/>
                <w:sz w:val="16"/>
                <w:szCs w:val="16"/>
              </w:rPr>
            </w:pPr>
            <w:r w:rsidRPr="0043709B">
              <w:rPr>
                <w:rFonts w:ascii="Arial Narrow" w:hAnsi="Arial Narrow" w:cs="Calibri"/>
                <w:b/>
                <w:bCs/>
                <w:sz w:val="16"/>
                <w:szCs w:val="16"/>
              </w:rPr>
              <w:t>10 255,4</w:t>
            </w:r>
          </w:p>
        </w:tc>
        <w:tc>
          <w:tcPr>
            <w:tcW w:w="1170" w:type="dxa"/>
            <w:tcBorders>
              <w:top w:val="nil"/>
              <w:left w:val="nil"/>
              <w:bottom w:val="single" w:sz="4" w:space="0" w:color="auto"/>
              <w:right w:val="single" w:sz="4" w:space="0" w:color="auto"/>
            </w:tcBorders>
            <w:shd w:val="clear" w:color="auto" w:fill="auto"/>
            <w:noWrap/>
            <w:vAlign w:val="center"/>
            <w:hideMark/>
          </w:tcPr>
          <w:p w14:paraId="2618E183" w14:textId="77777777" w:rsidR="0043709B" w:rsidRPr="0043709B" w:rsidRDefault="0043709B" w:rsidP="0043709B">
            <w:pPr>
              <w:jc w:val="right"/>
              <w:rPr>
                <w:rFonts w:ascii="Arial Narrow" w:hAnsi="Arial Narrow" w:cs="Calibri"/>
                <w:b/>
                <w:bCs/>
                <w:sz w:val="16"/>
                <w:szCs w:val="16"/>
              </w:rPr>
            </w:pPr>
            <w:r w:rsidRPr="0043709B">
              <w:rPr>
                <w:rFonts w:ascii="Arial Narrow" w:hAnsi="Arial Narrow" w:cs="Calibri"/>
                <w:b/>
                <w:bCs/>
                <w:sz w:val="16"/>
                <w:szCs w:val="16"/>
              </w:rPr>
              <w:t>96,5</w:t>
            </w:r>
          </w:p>
        </w:tc>
        <w:tc>
          <w:tcPr>
            <w:tcW w:w="1300" w:type="dxa"/>
            <w:tcBorders>
              <w:top w:val="nil"/>
              <w:left w:val="nil"/>
              <w:bottom w:val="single" w:sz="4" w:space="0" w:color="auto"/>
              <w:right w:val="single" w:sz="4" w:space="0" w:color="auto"/>
            </w:tcBorders>
            <w:shd w:val="clear" w:color="auto" w:fill="auto"/>
            <w:noWrap/>
            <w:vAlign w:val="center"/>
            <w:hideMark/>
          </w:tcPr>
          <w:p w14:paraId="2390204E" w14:textId="77777777" w:rsidR="0043709B" w:rsidRPr="0043709B" w:rsidRDefault="0043709B" w:rsidP="0043709B">
            <w:pPr>
              <w:jc w:val="right"/>
              <w:rPr>
                <w:rFonts w:ascii="Arial Narrow" w:hAnsi="Arial Narrow" w:cs="Calibri"/>
                <w:b/>
                <w:bCs/>
                <w:sz w:val="16"/>
                <w:szCs w:val="16"/>
              </w:rPr>
            </w:pPr>
            <w:r w:rsidRPr="0043709B">
              <w:rPr>
                <w:rFonts w:ascii="Arial Narrow" w:hAnsi="Arial Narrow" w:cs="Calibri"/>
                <w:b/>
                <w:bCs/>
                <w:sz w:val="16"/>
                <w:szCs w:val="16"/>
              </w:rPr>
              <w:t>9 894,2</w:t>
            </w:r>
          </w:p>
        </w:tc>
        <w:tc>
          <w:tcPr>
            <w:tcW w:w="1220" w:type="dxa"/>
            <w:tcBorders>
              <w:top w:val="nil"/>
              <w:left w:val="nil"/>
              <w:bottom w:val="single" w:sz="4" w:space="0" w:color="auto"/>
              <w:right w:val="single" w:sz="4" w:space="0" w:color="auto"/>
            </w:tcBorders>
            <w:shd w:val="clear" w:color="auto" w:fill="auto"/>
            <w:noWrap/>
            <w:vAlign w:val="center"/>
            <w:hideMark/>
          </w:tcPr>
          <w:p w14:paraId="6B340F46" w14:textId="77777777" w:rsidR="0043709B" w:rsidRPr="0043709B" w:rsidRDefault="0043709B" w:rsidP="0043709B">
            <w:pPr>
              <w:jc w:val="right"/>
              <w:rPr>
                <w:rFonts w:ascii="Arial Narrow" w:hAnsi="Arial Narrow" w:cs="Calibri"/>
                <w:b/>
                <w:bCs/>
                <w:sz w:val="16"/>
                <w:szCs w:val="16"/>
              </w:rPr>
            </w:pPr>
            <w:r w:rsidRPr="0043709B">
              <w:rPr>
                <w:rFonts w:ascii="Arial Narrow" w:hAnsi="Arial Narrow" w:cs="Calibri"/>
                <w:b/>
                <w:bCs/>
                <w:sz w:val="16"/>
                <w:szCs w:val="16"/>
              </w:rPr>
              <w:t>95,1</w:t>
            </w:r>
          </w:p>
        </w:tc>
        <w:tc>
          <w:tcPr>
            <w:tcW w:w="1236" w:type="dxa"/>
            <w:tcBorders>
              <w:top w:val="nil"/>
              <w:left w:val="nil"/>
              <w:bottom w:val="single" w:sz="4" w:space="0" w:color="auto"/>
              <w:right w:val="single" w:sz="4" w:space="0" w:color="auto"/>
            </w:tcBorders>
            <w:shd w:val="clear" w:color="auto" w:fill="auto"/>
            <w:noWrap/>
            <w:vAlign w:val="center"/>
            <w:hideMark/>
          </w:tcPr>
          <w:p w14:paraId="473AE073" w14:textId="77777777" w:rsidR="0043709B" w:rsidRPr="0043709B" w:rsidRDefault="0043709B" w:rsidP="0043709B">
            <w:pPr>
              <w:jc w:val="right"/>
              <w:rPr>
                <w:rFonts w:ascii="Arial Narrow" w:hAnsi="Arial Narrow" w:cs="Calibri"/>
                <w:b/>
                <w:bCs/>
                <w:sz w:val="16"/>
                <w:szCs w:val="16"/>
              </w:rPr>
            </w:pPr>
            <w:r w:rsidRPr="0043709B">
              <w:rPr>
                <w:rFonts w:ascii="Arial Narrow" w:hAnsi="Arial Narrow" w:cs="Calibri"/>
                <w:b/>
                <w:bCs/>
                <w:sz w:val="16"/>
                <w:szCs w:val="16"/>
              </w:rPr>
              <w:t>9 409,4</w:t>
            </w:r>
          </w:p>
        </w:tc>
        <w:tc>
          <w:tcPr>
            <w:tcW w:w="1260" w:type="dxa"/>
            <w:tcBorders>
              <w:top w:val="nil"/>
              <w:left w:val="nil"/>
              <w:bottom w:val="single" w:sz="4" w:space="0" w:color="auto"/>
              <w:right w:val="single" w:sz="4" w:space="0" w:color="auto"/>
            </w:tcBorders>
            <w:shd w:val="clear" w:color="auto" w:fill="auto"/>
            <w:noWrap/>
            <w:vAlign w:val="center"/>
            <w:hideMark/>
          </w:tcPr>
          <w:p w14:paraId="38C16489" w14:textId="77777777" w:rsidR="0043709B" w:rsidRPr="0043709B" w:rsidRDefault="0043709B" w:rsidP="0043709B">
            <w:pPr>
              <w:jc w:val="right"/>
              <w:rPr>
                <w:rFonts w:ascii="Arial Narrow" w:hAnsi="Arial Narrow" w:cs="Arial"/>
                <w:b/>
                <w:bCs/>
                <w:sz w:val="16"/>
                <w:szCs w:val="16"/>
              </w:rPr>
            </w:pPr>
            <w:r w:rsidRPr="0043709B">
              <w:rPr>
                <w:rFonts w:ascii="Arial Narrow" w:hAnsi="Arial Narrow" w:cs="Arial"/>
                <w:b/>
                <w:bCs/>
                <w:sz w:val="16"/>
                <w:szCs w:val="16"/>
              </w:rPr>
              <w:t>91,8</w:t>
            </w:r>
          </w:p>
        </w:tc>
      </w:tr>
      <w:tr w:rsidR="0043709B" w:rsidRPr="0043709B" w14:paraId="76644A62" w14:textId="77777777" w:rsidTr="0043709B">
        <w:trPr>
          <w:trHeight w:val="501"/>
        </w:trPr>
        <w:tc>
          <w:tcPr>
            <w:tcW w:w="781" w:type="dxa"/>
            <w:tcBorders>
              <w:top w:val="nil"/>
              <w:left w:val="single" w:sz="4" w:space="0" w:color="auto"/>
              <w:bottom w:val="single" w:sz="4" w:space="0" w:color="auto"/>
              <w:right w:val="single" w:sz="4" w:space="0" w:color="auto"/>
            </w:tcBorders>
            <w:shd w:val="clear" w:color="auto" w:fill="auto"/>
            <w:noWrap/>
            <w:vAlign w:val="center"/>
            <w:hideMark/>
          </w:tcPr>
          <w:p w14:paraId="59BB3CDB" w14:textId="77777777" w:rsidR="0043709B" w:rsidRPr="0043709B" w:rsidRDefault="0043709B" w:rsidP="0043709B">
            <w:pPr>
              <w:rPr>
                <w:rFonts w:ascii="Arial Narrow" w:hAnsi="Arial Narrow" w:cs="Arial"/>
                <w:sz w:val="16"/>
                <w:szCs w:val="16"/>
              </w:rPr>
            </w:pPr>
            <w:r w:rsidRPr="0043709B">
              <w:rPr>
                <w:rFonts w:ascii="Arial Narrow" w:hAnsi="Arial Narrow" w:cs="Arial"/>
                <w:sz w:val="16"/>
                <w:szCs w:val="16"/>
              </w:rPr>
              <w:t>17</w:t>
            </w:r>
          </w:p>
        </w:tc>
        <w:tc>
          <w:tcPr>
            <w:tcW w:w="3016" w:type="dxa"/>
            <w:tcBorders>
              <w:top w:val="nil"/>
              <w:left w:val="nil"/>
              <w:bottom w:val="single" w:sz="4" w:space="0" w:color="auto"/>
              <w:right w:val="single" w:sz="4" w:space="0" w:color="auto"/>
            </w:tcBorders>
            <w:shd w:val="clear" w:color="000000" w:fill="FFFFFF"/>
            <w:vAlign w:val="center"/>
            <w:hideMark/>
          </w:tcPr>
          <w:p w14:paraId="7F1A8987" w14:textId="77777777" w:rsidR="0043709B" w:rsidRPr="0043709B" w:rsidRDefault="0043709B" w:rsidP="0043709B">
            <w:pPr>
              <w:rPr>
                <w:rFonts w:ascii="Arial Narrow" w:hAnsi="Arial Narrow" w:cs="Calibri"/>
                <w:b/>
                <w:bCs/>
                <w:sz w:val="16"/>
                <w:szCs w:val="16"/>
              </w:rPr>
            </w:pPr>
            <w:r w:rsidRPr="0043709B">
              <w:rPr>
                <w:rFonts w:ascii="Arial Narrow" w:hAnsi="Arial Narrow" w:cs="Calibri"/>
                <w:b/>
                <w:bCs/>
                <w:sz w:val="16"/>
                <w:szCs w:val="16"/>
              </w:rPr>
              <w:t>НЕСЕЛСКОСТОПАНСКИ НЕОТДЕЛИМИ ВТОРОСТЕПЕННИ ДЕЙНОСТИ</w:t>
            </w:r>
          </w:p>
        </w:tc>
        <w:tc>
          <w:tcPr>
            <w:tcW w:w="1180" w:type="dxa"/>
            <w:tcBorders>
              <w:top w:val="nil"/>
              <w:left w:val="nil"/>
              <w:bottom w:val="single" w:sz="4" w:space="0" w:color="auto"/>
              <w:right w:val="single" w:sz="4" w:space="0" w:color="auto"/>
            </w:tcBorders>
            <w:shd w:val="clear" w:color="auto" w:fill="auto"/>
            <w:vAlign w:val="center"/>
          </w:tcPr>
          <w:p w14:paraId="381AF66E" w14:textId="77777777" w:rsidR="0043709B" w:rsidRPr="0043709B" w:rsidRDefault="0043709B" w:rsidP="0043709B">
            <w:pPr>
              <w:jc w:val="right"/>
              <w:rPr>
                <w:rFonts w:ascii="Arial Narrow" w:hAnsi="Arial Narrow" w:cs="Calibri"/>
                <w:b/>
                <w:bCs/>
                <w:sz w:val="16"/>
                <w:szCs w:val="16"/>
              </w:rPr>
            </w:pPr>
            <w:r w:rsidRPr="0043709B">
              <w:rPr>
                <w:rFonts w:ascii="Arial Narrow" w:hAnsi="Arial Narrow" w:cs="Calibri"/>
                <w:b/>
                <w:bCs/>
                <w:sz w:val="16"/>
                <w:szCs w:val="16"/>
              </w:rPr>
              <w:t>299,0</w:t>
            </w:r>
          </w:p>
        </w:tc>
        <w:tc>
          <w:tcPr>
            <w:tcW w:w="1170" w:type="dxa"/>
            <w:tcBorders>
              <w:top w:val="nil"/>
              <w:left w:val="nil"/>
              <w:bottom w:val="single" w:sz="4" w:space="0" w:color="auto"/>
              <w:right w:val="single" w:sz="4" w:space="0" w:color="auto"/>
            </w:tcBorders>
            <w:shd w:val="clear" w:color="auto" w:fill="auto"/>
            <w:noWrap/>
            <w:vAlign w:val="center"/>
            <w:hideMark/>
          </w:tcPr>
          <w:p w14:paraId="7D6CB37F" w14:textId="77777777" w:rsidR="0043709B" w:rsidRPr="0043709B" w:rsidRDefault="0043709B" w:rsidP="0043709B">
            <w:pPr>
              <w:jc w:val="right"/>
              <w:rPr>
                <w:rFonts w:ascii="Arial Narrow" w:hAnsi="Arial Narrow" w:cs="Calibri"/>
                <w:b/>
                <w:bCs/>
                <w:sz w:val="16"/>
                <w:szCs w:val="16"/>
              </w:rPr>
            </w:pPr>
            <w:r w:rsidRPr="0043709B">
              <w:rPr>
                <w:rFonts w:ascii="Arial Narrow" w:hAnsi="Arial Narrow" w:cs="Calibri"/>
                <w:b/>
                <w:bCs/>
                <w:sz w:val="16"/>
                <w:szCs w:val="16"/>
              </w:rPr>
              <w:t>97,8</w:t>
            </w:r>
          </w:p>
        </w:tc>
        <w:tc>
          <w:tcPr>
            <w:tcW w:w="1300" w:type="dxa"/>
            <w:tcBorders>
              <w:top w:val="nil"/>
              <w:left w:val="nil"/>
              <w:bottom w:val="single" w:sz="4" w:space="0" w:color="auto"/>
              <w:right w:val="single" w:sz="4" w:space="0" w:color="auto"/>
            </w:tcBorders>
            <w:shd w:val="clear" w:color="auto" w:fill="auto"/>
            <w:noWrap/>
            <w:vAlign w:val="center"/>
            <w:hideMark/>
          </w:tcPr>
          <w:p w14:paraId="4E2F11A9" w14:textId="77777777" w:rsidR="0043709B" w:rsidRPr="0043709B" w:rsidRDefault="0043709B" w:rsidP="0043709B">
            <w:pPr>
              <w:jc w:val="right"/>
              <w:rPr>
                <w:rFonts w:ascii="Arial Narrow" w:hAnsi="Arial Narrow" w:cs="Calibri"/>
                <w:b/>
                <w:bCs/>
                <w:sz w:val="16"/>
                <w:szCs w:val="16"/>
              </w:rPr>
            </w:pPr>
            <w:r w:rsidRPr="0043709B">
              <w:rPr>
                <w:rFonts w:ascii="Arial Narrow" w:hAnsi="Arial Narrow" w:cs="Calibri"/>
                <w:b/>
                <w:bCs/>
                <w:sz w:val="16"/>
                <w:szCs w:val="16"/>
              </w:rPr>
              <w:t>292,3</w:t>
            </w:r>
          </w:p>
        </w:tc>
        <w:tc>
          <w:tcPr>
            <w:tcW w:w="1220" w:type="dxa"/>
            <w:tcBorders>
              <w:top w:val="nil"/>
              <w:left w:val="nil"/>
              <w:bottom w:val="single" w:sz="4" w:space="0" w:color="auto"/>
              <w:right w:val="single" w:sz="4" w:space="0" w:color="auto"/>
            </w:tcBorders>
            <w:shd w:val="clear" w:color="auto" w:fill="auto"/>
            <w:noWrap/>
            <w:vAlign w:val="center"/>
            <w:hideMark/>
          </w:tcPr>
          <w:p w14:paraId="7EC56A6A" w14:textId="77777777" w:rsidR="0043709B" w:rsidRPr="0043709B" w:rsidRDefault="0043709B" w:rsidP="0043709B">
            <w:pPr>
              <w:jc w:val="right"/>
              <w:rPr>
                <w:rFonts w:ascii="Arial Narrow" w:hAnsi="Arial Narrow" w:cs="Calibri"/>
                <w:b/>
                <w:bCs/>
                <w:sz w:val="16"/>
                <w:szCs w:val="16"/>
              </w:rPr>
            </w:pPr>
            <w:r w:rsidRPr="0043709B">
              <w:rPr>
                <w:rFonts w:ascii="Arial Narrow" w:hAnsi="Arial Narrow" w:cs="Calibri"/>
                <w:b/>
                <w:bCs/>
                <w:sz w:val="16"/>
                <w:szCs w:val="16"/>
              </w:rPr>
              <w:t>102,0</w:t>
            </w:r>
          </w:p>
        </w:tc>
        <w:tc>
          <w:tcPr>
            <w:tcW w:w="1236" w:type="dxa"/>
            <w:tcBorders>
              <w:top w:val="nil"/>
              <w:left w:val="nil"/>
              <w:bottom w:val="single" w:sz="4" w:space="0" w:color="auto"/>
              <w:right w:val="single" w:sz="4" w:space="0" w:color="auto"/>
            </w:tcBorders>
            <w:shd w:val="clear" w:color="auto" w:fill="auto"/>
            <w:noWrap/>
            <w:vAlign w:val="center"/>
            <w:hideMark/>
          </w:tcPr>
          <w:p w14:paraId="76906588" w14:textId="77777777" w:rsidR="0043709B" w:rsidRPr="0043709B" w:rsidRDefault="0043709B" w:rsidP="0043709B">
            <w:pPr>
              <w:jc w:val="right"/>
              <w:rPr>
                <w:rFonts w:ascii="Arial Narrow" w:hAnsi="Arial Narrow" w:cs="Calibri"/>
                <w:b/>
                <w:bCs/>
                <w:sz w:val="16"/>
                <w:szCs w:val="16"/>
              </w:rPr>
            </w:pPr>
            <w:r w:rsidRPr="0043709B">
              <w:rPr>
                <w:rFonts w:ascii="Arial Narrow" w:hAnsi="Arial Narrow" w:cs="Calibri"/>
                <w:b/>
                <w:bCs/>
                <w:sz w:val="16"/>
                <w:szCs w:val="16"/>
              </w:rPr>
              <w:t>298,1</w:t>
            </w:r>
          </w:p>
        </w:tc>
        <w:tc>
          <w:tcPr>
            <w:tcW w:w="1260" w:type="dxa"/>
            <w:tcBorders>
              <w:top w:val="nil"/>
              <w:left w:val="nil"/>
              <w:bottom w:val="single" w:sz="4" w:space="0" w:color="auto"/>
              <w:right w:val="single" w:sz="4" w:space="0" w:color="auto"/>
            </w:tcBorders>
            <w:shd w:val="clear" w:color="auto" w:fill="auto"/>
            <w:noWrap/>
            <w:vAlign w:val="center"/>
            <w:hideMark/>
          </w:tcPr>
          <w:p w14:paraId="1C940A85" w14:textId="77777777" w:rsidR="0043709B" w:rsidRPr="0043709B" w:rsidRDefault="0043709B" w:rsidP="0043709B">
            <w:pPr>
              <w:jc w:val="right"/>
              <w:rPr>
                <w:rFonts w:ascii="Arial Narrow" w:hAnsi="Arial Narrow" w:cs="Arial"/>
                <w:b/>
                <w:bCs/>
                <w:sz w:val="16"/>
                <w:szCs w:val="16"/>
              </w:rPr>
            </w:pPr>
            <w:r w:rsidRPr="0043709B">
              <w:rPr>
                <w:rFonts w:ascii="Arial Narrow" w:hAnsi="Arial Narrow" w:cs="Arial"/>
                <w:b/>
                <w:bCs/>
                <w:sz w:val="16"/>
                <w:szCs w:val="16"/>
              </w:rPr>
              <w:t>99,7</w:t>
            </w:r>
          </w:p>
        </w:tc>
      </w:tr>
      <w:tr w:rsidR="0043709B" w:rsidRPr="0043709B" w14:paraId="1DA28528" w14:textId="77777777" w:rsidTr="0043709B">
        <w:trPr>
          <w:trHeight w:val="264"/>
        </w:trPr>
        <w:tc>
          <w:tcPr>
            <w:tcW w:w="781" w:type="dxa"/>
            <w:tcBorders>
              <w:top w:val="nil"/>
              <w:left w:val="single" w:sz="4" w:space="0" w:color="auto"/>
              <w:bottom w:val="single" w:sz="4" w:space="0" w:color="auto"/>
              <w:right w:val="single" w:sz="4" w:space="0" w:color="auto"/>
            </w:tcBorders>
            <w:shd w:val="clear" w:color="auto" w:fill="auto"/>
            <w:noWrap/>
            <w:vAlign w:val="center"/>
            <w:hideMark/>
          </w:tcPr>
          <w:p w14:paraId="0086890B" w14:textId="77777777" w:rsidR="0043709B" w:rsidRPr="0043709B" w:rsidRDefault="0043709B" w:rsidP="0043709B">
            <w:pPr>
              <w:rPr>
                <w:rFonts w:ascii="Arial Narrow" w:hAnsi="Arial Narrow" w:cs="Arial"/>
                <w:sz w:val="16"/>
                <w:szCs w:val="16"/>
              </w:rPr>
            </w:pPr>
            <w:r w:rsidRPr="0043709B">
              <w:rPr>
                <w:rFonts w:ascii="Arial Narrow" w:hAnsi="Arial Narrow" w:cs="Arial"/>
                <w:sz w:val="16"/>
                <w:szCs w:val="16"/>
              </w:rPr>
              <w:t>17.1</w:t>
            </w:r>
          </w:p>
        </w:tc>
        <w:tc>
          <w:tcPr>
            <w:tcW w:w="3016" w:type="dxa"/>
            <w:tcBorders>
              <w:top w:val="nil"/>
              <w:left w:val="nil"/>
              <w:bottom w:val="single" w:sz="4" w:space="0" w:color="auto"/>
              <w:right w:val="single" w:sz="4" w:space="0" w:color="auto"/>
            </w:tcBorders>
            <w:shd w:val="clear" w:color="auto" w:fill="auto"/>
            <w:noWrap/>
            <w:vAlign w:val="center"/>
            <w:hideMark/>
          </w:tcPr>
          <w:p w14:paraId="44440CCA" w14:textId="77777777" w:rsidR="0043709B" w:rsidRPr="0043709B" w:rsidRDefault="0043709B" w:rsidP="0043709B">
            <w:pPr>
              <w:rPr>
                <w:rFonts w:ascii="Arial Narrow" w:hAnsi="Arial Narrow" w:cs="Calibri"/>
                <w:sz w:val="16"/>
                <w:szCs w:val="16"/>
              </w:rPr>
            </w:pPr>
            <w:r w:rsidRPr="0043709B">
              <w:rPr>
                <w:rFonts w:ascii="Arial Narrow" w:hAnsi="Arial Narrow" w:cs="Calibri"/>
                <w:sz w:val="16"/>
                <w:szCs w:val="16"/>
              </w:rPr>
              <w:t>Преработка на селскостопански продукти</w:t>
            </w:r>
          </w:p>
        </w:tc>
        <w:tc>
          <w:tcPr>
            <w:tcW w:w="1180" w:type="dxa"/>
            <w:tcBorders>
              <w:top w:val="nil"/>
              <w:left w:val="nil"/>
              <w:bottom w:val="single" w:sz="4" w:space="0" w:color="auto"/>
              <w:right w:val="single" w:sz="4" w:space="0" w:color="auto"/>
            </w:tcBorders>
            <w:shd w:val="clear" w:color="auto" w:fill="auto"/>
            <w:vAlign w:val="center"/>
          </w:tcPr>
          <w:p w14:paraId="01AB7828" w14:textId="77777777" w:rsidR="0043709B" w:rsidRPr="0043709B" w:rsidRDefault="0043709B" w:rsidP="0043709B">
            <w:pPr>
              <w:jc w:val="right"/>
              <w:rPr>
                <w:rFonts w:ascii="Arial Narrow" w:hAnsi="Arial Narrow" w:cs="Calibri"/>
                <w:sz w:val="16"/>
                <w:szCs w:val="16"/>
              </w:rPr>
            </w:pPr>
            <w:r w:rsidRPr="0043709B">
              <w:rPr>
                <w:rFonts w:ascii="Arial Narrow" w:hAnsi="Arial Narrow" w:cs="Calibri"/>
                <w:sz w:val="16"/>
                <w:szCs w:val="16"/>
              </w:rPr>
              <w:t>299,0</w:t>
            </w:r>
          </w:p>
        </w:tc>
        <w:tc>
          <w:tcPr>
            <w:tcW w:w="1170" w:type="dxa"/>
            <w:tcBorders>
              <w:top w:val="nil"/>
              <w:left w:val="nil"/>
              <w:bottom w:val="single" w:sz="4" w:space="0" w:color="auto"/>
              <w:right w:val="single" w:sz="4" w:space="0" w:color="auto"/>
            </w:tcBorders>
            <w:shd w:val="clear" w:color="auto" w:fill="auto"/>
            <w:noWrap/>
            <w:vAlign w:val="center"/>
            <w:hideMark/>
          </w:tcPr>
          <w:p w14:paraId="2A2D3C26" w14:textId="77777777" w:rsidR="0043709B" w:rsidRPr="0043709B" w:rsidRDefault="0043709B" w:rsidP="0043709B">
            <w:pPr>
              <w:jc w:val="right"/>
              <w:rPr>
                <w:rFonts w:ascii="Arial Narrow" w:hAnsi="Arial Narrow" w:cs="Calibri"/>
                <w:sz w:val="16"/>
                <w:szCs w:val="16"/>
              </w:rPr>
            </w:pPr>
            <w:r w:rsidRPr="0043709B">
              <w:rPr>
                <w:rFonts w:ascii="Arial Narrow" w:hAnsi="Arial Narrow" w:cs="Calibri"/>
                <w:sz w:val="16"/>
                <w:szCs w:val="16"/>
              </w:rPr>
              <w:t>97,8</w:t>
            </w:r>
          </w:p>
        </w:tc>
        <w:tc>
          <w:tcPr>
            <w:tcW w:w="1300" w:type="dxa"/>
            <w:tcBorders>
              <w:top w:val="nil"/>
              <w:left w:val="nil"/>
              <w:bottom w:val="single" w:sz="4" w:space="0" w:color="auto"/>
              <w:right w:val="single" w:sz="4" w:space="0" w:color="auto"/>
            </w:tcBorders>
            <w:shd w:val="clear" w:color="auto" w:fill="auto"/>
            <w:noWrap/>
            <w:vAlign w:val="center"/>
            <w:hideMark/>
          </w:tcPr>
          <w:p w14:paraId="24693854" w14:textId="77777777" w:rsidR="0043709B" w:rsidRPr="0043709B" w:rsidRDefault="0043709B" w:rsidP="0043709B">
            <w:pPr>
              <w:jc w:val="right"/>
              <w:rPr>
                <w:rFonts w:ascii="Arial Narrow" w:hAnsi="Arial Narrow" w:cs="Calibri"/>
                <w:sz w:val="16"/>
                <w:szCs w:val="16"/>
              </w:rPr>
            </w:pPr>
            <w:r w:rsidRPr="0043709B">
              <w:rPr>
                <w:rFonts w:ascii="Arial Narrow" w:hAnsi="Arial Narrow" w:cs="Calibri"/>
                <w:sz w:val="16"/>
                <w:szCs w:val="16"/>
              </w:rPr>
              <w:t>292,3</w:t>
            </w:r>
          </w:p>
        </w:tc>
        <w:tc>
          <w:tcPr>
            <w:tcW w:w="1220" w:type="dxa"/>
            <w:tcBorders>
              <w:top w:val="nil"/>
              <w:left w:val="nil"/>
              <w:bottom w:val="single" w:sz="4" w:space="0" w:color="auto"/>
              <w:right w:val="single" w:sz="4" w:space="0" w:color="auto"/>
            </w:tcBorders>
            <w:shd w:val="clear" w:color="auto" w:fill="auto"/>
            <w:noWrap/>
            <w:vAlign w:val="center"/>
            <w:hideMark/>
          </w:tcPr>
          <w:p w14:paraId="73A2B3AC" w14:textId="77777777" w:rsidR="0043709B" w:rsidRPr="0043709B" w:rsidRDefault="0043709B" w:rsidP="0043709B">
            <w:pPr>
              <w:jc w:val="right"/>
              <w:rPr>
                <w:rFonts w:ascii="Arial Narrow" w:hAnsi="Arial Narrow" w:cs="Calibri"/>
                <w:sz w:val="16"/>
                <w:szCs w:val="16"/>
              </w:rPr>
            </w:pPr>
            <w:r w:rsidRPr="0043709B">
              <w:rPr>
                <w:rFonts w:ascii="Arial Narrow" w:hAnsi="Arial Narrow" w:cs="Calibri"/>
                <w:sz w:val="16"/>
                <w:szCs w:val="16"/>
              </w:rPr>
              <w:t>102,0</w:t>
            </w:r>
          </w:p>
        </w:tc>
        <w:tc>
          <w:tcPr>
            <w:tcW w:w="1236" w:type="dxa"/>
            <w:tcBorders>
              <w:top w:val="nil"/>
              <w:left w:val="nil"/>
              <w:bottom w:val="single" w:sz="4" w:space="0" w:color="auto"/>
              <w:right w:val="single" w:sz="4" w:space="0" w:color="auto"/>
            </w:tcBorders>
            <w:shd w:val="clear" w:color="auto" w:fill="auto"/>
            <w:noWrap/>
            <w:vAlign w:val="center"/>
            <w:hideMark/>
          </w:tcPr>
          <w:p w14:paraId="43D3C06D" w14:textId="77777777" w:rsidR="0043709B" w:rsidRPr="0043709B" w:rsidRDefault="0043709B" w:rsidP="0043709B">
            <w:pPr>
              <w:jc w:val="right"/>
              <w:rPr>
                <w:rFonts w:ascii="Arial Narrow" w:hAnsi="Arial Narrow" w:cs="Calibri"/>
                <w:sz w:val="16"/>
                <w:szCs w:val="16"/>
              </w:rPr>
            </w:pPr>
            <w:r w:rsidRPr="0043709B">
              <w:rPr>
                <w:rFonts w:ascii="Arial Narrow" w:hAnsi="Arial Narrow" w:cs="Calibri"/>
                <w:sz w:val="16"/>
                <w:szCs w:val="16"/>
              </w:rPr>
              <w:t>298,1</w:t>
            </w:r>
          </w:p>
        </w:tc>
        <w:tc>
          <w:tcPr>
            <w:tcW w:w="1260" w:type="dxa"/>
            <w:tcBorders>
              <w:top w:val="nil"/>
              <w:left w:val="nil"/>
              <w:bottom w:val="single" w:sz="4" w:space="0" w:color="auto"/>
              <w:right w:val="single" w:sz="4" w:space="0" w:color="auto"/>
            </w:tcBorders>
            <w:shd w:val="clear" w:color="auto" w:fill="auto"/>
            <w:noWrap/>
            <w:vAlign w:val="center"/>
            <w:hideMark/>
          </w:tcPr>
          <w:p w14:paraId="2D89E1A7" w14:textId="77777777" w:rsidR="0043709B" w:rsidRPr="0043709B" w:rsidRDefault="0043709B" w:rsidP="0043709B">
            <w:pPr>
              <w:jc w:val="right"/>
              <w:rPr>
                <w:rFonts w:ascii="Arial Narrow" w:hAnsi="Arial Narrow" w:cs="Arial"/>
                <w:sz w:val="16"/>
                <w:szCs w:val="16"/>
              </w:rPr>
            </w:pPr>
            <w:r w:rsidRPr="0043709B">
              <w:rPr>
                <w:rFonts w:ascii="Arial Narrow" w:hAnsi="Arial Narrow" w:cs="Arial"/>
                <w:sz w:val="16"/>
                <w:szCs w:val="16"/>
              </w:rPr>
              <w:t>99,7</w:t>
            </w:r>
          </w:p>
        </w:tc>
      </w:tr>
      <w:tr w:rsidR="0043709B" w:rsidRPr="0043709B" w14:paraId="096226DA" w14:textId="77777777" w:rsidTr="0043709B">
        <w:trPr>
          <w:trHeight w:val="250"/>
        </w:trPr>
        <w:tc>
          <w:tcPr>
            <w:tcW w:w="781" w:type="dxa"/>
            <w:tcBorders>
              <w:top w:val="nil"/>
              <w:left w:val="single" w:sz="4" w:space="0" w:color="auto"/>
              <w:bottom w:val="single" w:sz="4" w:space="0" w:color="auto"/>
              <w:right w:val="single" w:sz="4" w:space="0" w:color="auto"/>
            </w:tcBorders>
            <w:shd w:val="clear" w:color="auto" w:fill="auto"/>
            <w:noWrap/>
            <w:vAlign w:val="center"/>
            <w:hideMark/>
          </w:tcPr>
          <w:p w14:paraId="7EDB1FED" w14:textId="77777777" w:rsidR="0043709B" w:rsidRPr="0043709B" w:rsidRDefault="0043709B" w:rsidP="0043709B">
            <w:pPr>
              <w:rPr>
                <w:rFonts w:ascii="Arial Narrow" w:hAnsi="Arial Narrow" w:cs="Arial"/>
                <w:sz w:val="16"/>
                <w:szCs w:val="16"/>
              </w:rPr>
            </w:pPr>
            <w:r w:rsidRPr="0043709B">
              <w:rPr>
                <w:rFonts w:ascii="Arial Narrow" w:hAnsi="Arial Narrow" w:cs="Arial"/>
                <w:sz w:val="16"/>
                <w:szCs w:val="16"/>
              </w:rPr>
              <w:t>17.1/1</w:t>
            </w:r>
          </w:p>
        </w:tc>
        <w:tc>
          <w:tcPr>
            <w:tcW w:w="3016" w:type="dxa"/>
            <w:tcBorders>
              <w:top w:val="nil"/>
              <w:left w:val="nil"/>
              <w:bottom w:val="single" w:sz="4" w:space="0" w:color="auto"/>
              <w:right w:val="single" w:sz="4" w:space="0" w:color="auto"/>
            </w:tcBorders>
            <w:shd w:val="clear" w:color="auto" w:fill="auto"/>
            <w:noWrap/>
            <w:vAlign w:val="center"/>
            <w:hideMark/>
          </w:tcPr>
          <w:p w14:paraId="3764C37B" w14:textId="77777777" w:rsidR="0043709B" w:rsidRPr="0043709B" w:rsidRDefault="0043709B" w:rsidP="0043709B">
            <w:pPr>
              <w:ind w:firstLineChars="100" w:firstLine="160"/>
              <w:rPr>
                <w:rFonts w:ascii="Arial Narrow" w:hAnsi="Arial Narrow" w:cs="Calibri"/>
                <w:sz w:val="16"/>
                <w:szCs w:val="16"/>
              </w:rPr>
            </w:pPr>
            <w:r w:rsidRPr="0043709B">
              <w:rPr>
                <w:rFonts w:ascii="Arial Narrow" w:hAnsi="Arial Narrow" w:cs="Calibri"/>
                <w:sz w:val="16"/>
                <w:szCs w:val="16"/>
              </w:rPr>
              <w:t>- зърнени</w:t>
            </w:r>
          </w:p>
        </w:tc>
        <w:tc>
          <w:tcPr>
            <w:tcW w:w="1180" w:type="dxa"/>
            <w:tcBorders>
              <w:top w:val="nil"/>
              <w:left w:val="nil"/>
              <w:bottom w:val="single" w:sz="4" w:space="0" w:color="auto"/>
              <w:right w:val="single" w:sz="4" w:space="0" w:color="auto"/>
            </w:tcBorders>
            <w:shd w:val="clear" w:color="auto" w:fill="auto"/>
            <w:vAlign w:val="center"/>
          </w:tcPr>
          <w:p w14:paraId="2FAC0D3E" w14:textId="77777777" w:rsidR="0043709B" w:rsidRPr="0043709B" w:rsidRDefault="0043709B" w:rsidP="0043709B">
            <w:pPr>
              <w:jc w:val="right"/>
              <w:rPr>
                <w:rFonts w:ascii="Arial Narrow" w:hAnsi="Arial Narrow" w:cs="Calibri"/>
                <w:sz w:val="16"/>
                <w:szCs w:val="16"/>
              </w:rPr>
            </w:pPr>
            <w:r w:rsidRPr="0043709B">
              <w:rPr>
                <w:rFonts w:ascii="Arial Narrow" w:hAnsi="Arial Narrow" w:cs="Calibri"/>
                <w:sz w:val="16"/>
                <w:szCs w:val="16"/>
              </w:rPr>
              <w:t>11,3</w:t>
            </w:r>
          </w:p>
        </w:tc>
        <w:tc>
          <w:tcPr>
            <w:tcW w:w="1170" w:type="dxa"/>
            <w:tcBorders>
              <w:top w:val="nil"/>
              <w:left w:val="nil"/>
              <w:bottom w:val="single" w:sz="4" w:space="0" w:color="auto"/>
              <w:right w:val="single" w:sz="4" w:space="0" w:color="auto"/>
            </w:tcBorders>
            <w:shd w:val="clear" w:color="auto" w:fill="auto"/>
            <w:noWrap/>
            <w:vAlign w:val="center"/>
            <w:hideMark/>
          </w:tcPr>
          <w:p w14:paraId="7684C8E7" w14:textId="77777777" w:rsidR="0043709B" w:rsidRPr="0043709B" w:rsidRDefault="0043709B" w:rsidP="0043709B">
            <w:pPr>
              <w:jc w:val="right"/>
              <w:rPr>
                <w:rFonts w:ascii="Arial Narrow" w:hAnsi="Arial Narrow" w:cs="Calibri"/>
                <w:sz w:val="16"/>
                <w:szCs w:val="16"/>
              </w:rPr>
            </w:pPr>
            <w:r w:rsidRPr="0043709B">
              <w:rPr>
                <w:rFonts w:ascii="Arial Narrow" w:hAnsi="Arial Narrow" w:cs="Calibri"/>
                <w:sz w:val="16"/>
                <w:szCs w:val="16"/>
              </w:rPr>
              <w:t>136,3</w:t>
            </w:r>
          </w:p>
        </w:tc>
        <w:tc>
          <w:tcPr>
            <w:tcW w:w="1300" w:type="dxa"/>
            <w:tcBorders>
              <w:top w:val="nil"/>
              <w:left w:val="nil"/>
              <w:bottom w:val="single" w:sz="4" w:space="0" w:color="auto"/>
              <w:right w:val="single" w:sz="4" w:space="0" w:color="auto"/>
            </w:tcBorders>
            <w:shd w:val="clear" w:color="auto" w:fill="auto"/>
            <w:noWrap/>
            <w:vAlign w:val="center"/>
            <w:hideMark/>
          </w:tcPr>
          <w:p w14:paraId="5F1C4DC3" w14:textId="77777777" w:rsidR="0043709B" w:rsidRPr="0043709B" w:rsidRDefault="0043709B" w:rsidP="0043709B">
            <w:pPr>
              <w:jc w:val="right"/>
              <w:rPr>
                <w:rFonts w:ascii="Arial Narrow" w:hAnsi="Arial Narrow" w:cs="Calibri"/>
                <w:sz w:val="16"/>
                <w:szCs w:val="16"/>
              </w:rPr>
            </w:pPr>
            <w:r w:rsidRPr="0043709B">
              <w:rPr>
                <w:rFonts w:ascii="Arial Narrow" w:hAnsi="Arial Narrow" w:cs="Calibri"/>
                <w:sz w:val="16"/>
                <w:szCs w:val="16"/>
              </w:rPr>
              <w:t>15,4</w:t>
            </w:r>
          </w:p>
        </w:tc>
        <w:tc>
          <w:tcPr>
            <w:tcW w:w="1220" w:type="dxa"/>
            <w:tcBorders>
              <w:top w:val="nil"/>
              <w:left w:val="nil"/>
              <w:bottom w:val="single" w:sz="4" w:space="0" w:color="auto"/>
              <w:right w:val="single" w:sz="4" w:space="0" w:color="auto"/>
            </w:tcBorders>
            <w:shd w:val="clear" w:color="auto" w:fill="auto"/>
            <w:noWrap/>
            <w:vAlign w:val="center"/>
            <w:hideMark/>
          </w:tcPr>
          <w:p w14:paraId="5BE017D1" w14:textId="77777777" w:rsidR="0043709B" w:rsidRPr="0043709B" w:rsidRDefault="0043709B" w:rsidP="0043709B">
            <w:pPr>
              <w:jc w:val="right"/>
              <w:rPr>
                <w:rFonts w:ascii="Arial Narrow" w:hAnsi="Arial Narrow" w:cs="Calibri"/>
                <w:sz w:val="16"/>
                <w:szCs w:val="16"/>
              </w:rPr>
            </w:pPr>
            <w:r w:rsidRPr="0043709B">
              <w:rPr>
                <w:rFonts w:ascii="Arial Narrow" w:hAnsi="Arial Narrow" w:cs="Calibri"/>
                <w:sz w:val="16"/>
                <w:szCs w:val="16"/>
              </w:rPr>
              <w:t>100,0</w:t>
            </w:r>
          </w:p>
        </w:tc>
        <w:tc>
          <w:tcPr>
            <w:tcW w:w="1236" w:type="dxa"/>
            <w:tcBorders>
              <w:top w:val="nil"/>
              <w:left w:val="nil"/>
              <w:bottom w:val="single" w:sz="4" w:space="0" w:color="auto"/>
              <w:right w:val="single" w:sz="4" w:space="0" w:color="auto"/>
            </w:tcBorders>
            <w:shd w:val="clear" w:color="auto" w:fill="auto"/>
            <w:noWrap/>
            <w:vAlign w:val="center"/>
            <w:hideMark/>
          </w:tcPr>
          <w:p w14:paraId="3EFE8EEF" w14:textId="77777777" w:rsidR="0043709B" w:rsidRPr="0043709B" w:rsidRDefault="0043709B" w:rsidP="0043709B">
            <w:pPr>
              <w:jc w:val="right"/>
              <w:rPr>
                <w:rFonts w:ascii="Arial Narrow" w:hAnsi="Arial Narrow" w:cs="Calibri"/>
                <w:sz w:val="16"/>
                <w:szCs w:val="16"/>
              </w:rPr>
            </w:pPr>
            <w:r w:rsidRPr="0043709B">
              <w:rPr>
                <w:rFonts w:ascii="Arial Narrow" w:hAnsi="Arial Narrow" w:cs="Calibri"/>
                <w:sz w:val="16"/>
                <w:szCs w:val="16"/>
              </w:rPr>
              <w:t>15,4</w:t>
            </w:r>
          </w:p>
        </w:tc>
        <w:tc>
          <w:tcPr>
            <w:tcW w:w="1260" w:type="dxa"/>
            <w:tcBorders>
              <w:top w:val="nil"/>
              <w:left w:val="nil"/>
              <w:bottom w:val="single" w:sz="4" w:space="0" w:color="auto"/>
              <w:right w:val="single" w:sz="4" w:space="0" w:color="auto"/>
            </w:tcBorders>
            <w:shd w:val="clear" w:color="auto" w:fill="auto"/>
            <w:noWrap/>
            <w:vAlign w:val="center"/>
            <w:hideMark/>
          </w:tcPr>
          <w:p w14:paraId="46BE30C7" w14:textId="77777777" w:rsidR="0043709B" w:rsidRPr="0043709B" w:rsidRDefault="0043709B" w:rsidP="0043709B">
            <w:pPr>
              <w:jc w:val="right"/>
              <w:rPr>
                <w:rFonts w:ascii="Arial Narrow" w:hAnsi="Arial Narrow" w:cs="Arial"/>
                <w:sz w:val="16"/>
                <w:szCs w:val="16"/>
              </w:rPr>
            </w:pPr>
            <w:r w:rsidRPr="0043709B">
              <w:rPr>
                <w:rFonts w:ascii="Arial Narrow" w:hAnsi="Arial Narrow" w:cs="Arial"/>
                <w:sz w:val="16"/>
                <w:szCs w:val="16"/>
              </w:rPr>
              <w:t>136,3</w:t>
            </w:r>
          </w:p>
        </w:tc>
      </w:tr>
      <w:tr w:rsidR="0043709B" w:rsidRPr="0043709B" w14:paraId="6C777942" w14:textId="77777777" w:rsidTr="0043709B">
        <w:trPr>
          <w:trHeight w:val="250"/>
        </w:trPr>
        <w:tc>
          <w:tcPr>
            <w:tcW w:w="781" w:type="dxa"/>
            <w:tcBorders>
              <w:top w:val="nil"/>
              <w:left w:val="single" w:sz="4" w:space="0" w:color="auto"/>
              <w:bottom w:val="single" w:sz="4" w:space="0" w:color="auto"/>
              <w:right w:val="single" w:sz="4" w:space="0" w:color="auto"/>
            </w:tcBorders>
            <w:shd w:val="clear" w:color="auto" w:fill="auto"/>
            <w:noWrap/>
            <w:vAlign w:val="center"/>
            <w:hideMark/>
          </w:tcPr>
          <w:p w14:paraId="15792388" w14:textId="77777777" w:rsidR="0043709B" w:rsidRPr="0043709B" w:rsidRDefault="0043709B" w:rsidP="0043709B">
            <w:pPr>
              <w:rPr>
                <w:rFonts w:ascii="Arial Narrow" w:hAnsi="Arial Narrow" w:cs="Arial"/>
                <w:sz w:val="16"/>
                <w:szCs w:val="16"/>
              </w:rPr>
            </w:pPr>
            <w:r w:rsidRPr="0043709B">
              <w:rPr>
                <w:rFonts w:ascii="Arial Narrow" w:hAnsi="Arial Narrow" w:cs="Arial"/>
                <w:sz w:val="16"/>
                <w:szCs w:val="16"/>
              </w:rPr>
              <w:t>17.1/2</w:t>
            </w:r>
          </w:p>
        </w:tc>
        <w:tc>
          <w:tcPr>
            <w:tcW w:w="3016" w:type="dxa"/>
            <w:tcBorders>
              <w:top w:val="nil"/>
              <w:left w:val="nil"/>
              <w:bottom w:val="single" w:sz="4" w:space="0" w:color="auto"/>
              <w:right w:val="single" w:sz="4" w:space="0" w:color="auto"/>
            </w:tcBorders>
            <w:shd w:val="clear" w:color="auto" w:fill="auto"/>
            <w:noWrap/>
            <w:vAlign w:val="center"/>
            <w:hideMark/>
          </w:tcPr>
          <w:p w14:paraId="6354E3EF" w14:textId="77777777" w:rsidR="0043709B" w:rsidRPr="0043709B" w:rsidRDefault="0043709B" w:rsidP="0043709B">
            <w:pPr>
              <w:ind w:firstLineChars="100" w:firstLine="160"/>
              <w:rPr>
                <w:rFonts w:ascii="Arial Narrow" w:hAnsi="Arial Narrow" w:cs="Calibri"/>
                <w:sz w:val="16"/>
                <w:szCs w:val="16"/>
              </w:rPr>
            </w:pPr>
            <w:r w:rsidRPr="0043709B">
              <w:rPr>
                <w:rFonts w:ascii="Arial Narrow" w:hAnsi="Arial Narrow" w:cs="Calibri"/>
                <w:sz w:val="16"/>
                <w:szCs w:val="16"/>
              </w:rPr>
              <w:t>- зеленчуци</w:t>
            </w:r>
          </w:p>
        </w:tc>
        <w:tc>
          <w:tcPr>
            <w:tcW w:w="1180" w:type="dxa"/>
            <w:tcBorders>
              <w:top w:val="nil"/>
              <w:left w:val="nil"/>
              <w:bottom w:val="single" w:sz="4" w:space="0" w:color="auto"/>
              <w:right w:val="single" w:sz="4" w:space="0" w:color="auto"/>
            </w:tcBorders>
            <w:shd w:val="clear" w:color="auto" w:fill="auto"/>
            <w:vAlign w:val="center"/>
          </w:tcPr>
          <w:p w14:paraId="4AB92542" w14:textId="77777777" w:rsidR="0043709B" w:rsidRPr="0043709B" w:rsidRDefault="0043709B" w:rsidP="0043709B">
            <w:pPr>
              <w:jc w:val="right"/>
              <w:rPr>
                <w:rFonts w:ascii="Arial Narrow" w:hAnsi="Arial Narrow" w:cs="Calibri"/>
                <w:sz w:val="16"/>
                <w:szCs w:val="16"/>
              </w:rPr>
            </w:pPr>
            <w:r w:rsidRPr="0043709B">
              <w:rPr>
                <w:rFonts w:ascii="Arial Narrow" w:hAnsi="Arial Narrow" w:cs="Calibri"/>
                <w:sz w:val="16"/>
                <w:szCs w:val="16"/>
              </w:rPr>
              <w:t>50,5</w:t>
            </w:r>
          </w:p>
        </w:tc>
        <w:tc>
          <w:tcPr>
            <w:tcW w:w="1170" w:type="dxa"/>
            <w:tcBorders>
              <w:top w:val="nil"/>
              <w:left w:val="nil"/>
              <w:bottom w:val="single" w:sz="4" w:space="0" w:color="auto"/>
              <w:right w:val="single" w:sz="4" w:space="0" w:color="auto"/>
            </w:tcBorders>
            <w:shd w:val="clear" w:color="auto" w:fill="auto"/>
            <w:noWrap/>
            <w:vAlign w:val="center"/>
            <w:hideMark/>
          </w:tcPr>
          <w:p w14:paraId="3BD74239" w14:textId="77777777" w:rsidR="0043709B" w:rsidRPr="0043709B" w:rsidRDefault="0043709B" w:rsidP="0043709B">
            <w:pPr>
              <w:jc w:val="right"/>
              <w:rPr>
                <w:rFonts w:ascii="Arial Narrow" w:hAnsi="Arial Narrow" w:cs="Calibri"/>
                <w:sz w:val="16"/>
                <w:szCs w:val="16"/>
              </w:rPr>
            </w:pPr>
            <w:r w:rsidRPr="0043709B">
              <w:rPr>
                <w:rFonts w:ascii="Arial Narrow" w:hAnsi="Arial Narrow" w:cs="Calibri"/>
                <w:sz w:val="16"/>
                <w:szCs w:val="16"/>
              </w:rPr>
              <w:t>68,1</w:t>
            </w:r>
          </w:p>
        </w:tc>
        <w:tc>
          <w:tcPr>
            <w:tcW w:w="1300" w:type="dxa"/>
            <w:tcBorders>
              <w:top w:val="nil"/>
              <w:left w:val="nil"/>
              <w:bottom w:val="single" w:sz="4" w:space="0" w:color="auto"/>
              <w:right w:val="single" w:sz="4" w:space="0" w:color="auto"/>
            </w:tcBorders>
            <w:shd w:val="clear" w:color="auto" w:fill="auto"/>
            <w:noWrap/>
            <w:vAlign w:val="center"/>
            <w:hideMark/>
          </w:tcPr>
          <w:p w14:paraId="4C14581A" w14:textId="77777777" w:rsidR="0043709B" w:rsidRPr="0043709B" w:rsidRDefault="0043709B" w:rsidP="0043709B">
            <w:pPr>
              <w:jc w:val="right"/>
              <w:rPr>
                <w:rFonts w:ascii="Arial Narrow" w:hAnsi="Arial Narrow" w:cs="Calibri"/>
                <w:sz w:val="16"/>
                <w:szCs w:val="16"/>
              </w:rPr>
            </w:pPr>
            <w:r w:rsidRPr="0043709B">
              <w:rPr>
                <w:rFonts w:ascii="Arial Narrow" w:hAnsi="Arial Narrow" w:cs="Calibri"/>
                <w:sz w:val="16"/>
                <w:szCs w:val="16"/>
              </w:rPr>
              <w:t>34,4</w:t>
            </w:r>
          </w:p>
        </w:tc>
        <w:tc>
          <w:tcPr>
            <w:tcW w:w="1220" w:type="dxa"/>
            <w:tcBorders>
              <w:top w:val="nil"/>
              <w:left w:val="nil"/>
              <w:bottom w:val="single" w:sz="4" w:space="0" w:color="auto"/>
              <w:right w:val="single" w:sz="4" w:space="0" w:color="auto"/>
            </w:tcBorders>
            <w:shd w:val="clear" w:color="auto" w:fill="auto"/>
            <w:noWrap/>
            <w:vAlign w:val="center"/>
            <w:hideMark/>
          </w:tcPr>
          <w:p w14:paraId="4384BDA7" w14:textId="77777777" w:rsidR="0043709B" w:rsidRPr="0043709B" w:rsidRDefault="0043709B" w:rsidP="0043709B">
            <w:pPr>
              <w:jc w:val="right"/>
              <w:rPr>
                <w:rFonts w:ascii="Arial Narrow" w:hAnsi="Arial Narrow" w:cs="Calibri"/>
                <w:sz w:val="16"/>
                <w:szCs w:val="16"/>
              </w:rPr>
            </w:pPr>
            <w:r w:rsidRPr="0043709B">
              <w:rPr>
                <w:rFonts w:ascii="Arial Narrow" w:hAnsi="Arial Narrow" w:cs="Calibri"/>
                <w:sz w:val="16"/>
                <w:szCs w:val="16"/>
              </w:rPr>
              <w:t>100,6</w:t>
            </w:r>
          </w:p>
        </w:tc>
        <w:tc>
          <w:tcPr>
            <w:tcW w:w="1236" w:type="dxa"/>
            <w:tcBorders>
              <w:top w:val="nil"/>
              <w:left w:val="nil"/>
              <w:bottom w:val="single" w:sz="4" w:space="0" w:color="auto"/>
              <w:right w:val="single" w:sz="4" w:space="0" w:color="auto"/>
            </w:tcBorders>
            <w:shd w:val="clear" w:color="auto" w:fill="auto"/>
            <w:noWrap/>
            <w:vAlign w:val="center"/>
            <w:hideMark/>
          </w:tcPr>
          <w:p w14:paraId="566C9233" w14:textId="77777777" w:rsidR="0043709B" w:rsidRPr="0043709B" w:rsidRDefault="0043709B" w:rsidP="0043709B">
            <w:pPr>
              <w:jc w:val="right"/>
              <w:rPr>
                <w:rFonts w:ascii="Arial Narrow" w:hAnsi="Arial Narrow" w:cs="Calibri"/>
                <w:sz w:val="16"/>
                <w:szCs w:val="16"/>
              </w:rPr>
            </w:pPr>
            <w:r w:rsidRPr="0043709B">
              <w:rPr>
                <w:rFonts w:ascii="Arial Narrow" w:hAnsi="Arial Narrow" w:cs="Calibri"/>
                <w:sz w:val="16"/>
                <w:szCs w:val="16"/>
              </w:rPr>
              <w:t>34,6</w:t>
            </w:r>
          </w:p>
        </w:tc>
        <w:tc>
          <w:tcPr>
            <w:tcW w:w="1260" w:type="dxa"/>
            <w:tcBorders>
              <w:top w:val="nil"/>
              <w:left w:val="nil"/>
              <w:bottom w:val="single" w:sz="4" w:space="0" w:color="auto"/>
              <w:right w:val="single" w:sz="4" w:space="0" w:color="auto"/>
            </w:tcBorders>
            <w:shd w:val="clear" w:color="auto" w:fill="auto"/>
            <w:noWrap/>
            <w:vAlign w:val="center"/>
            <w:hideMark/>
          </w:tcPr>
          <w:p w14:paraId="1E3182E6" w14:textId="77777777" w:rsidR="0043709B" w:rsidRPr="0043709B" w:rsidRDefault="0043709B" w:rsidP="0043709B">
            <w:pPr>
              <w:jc w:val="right"/>
              <w:rPr>
                <w:rFonts w:ascii="Arial Narrow" w:hAnsi="Arial Narrow" w:cs="Arial"/>
                <w:sz w:val="16"/>
                <w:szCs w:val="16"/>
              </w:rPr>
            </w:pPr>
            <w:r w:rsidRPr="0043709B">
              <w:rPr>
                <w:rFonts w:ascii="Arial Narrow" w:hAnsi="Arial Narrow" w:cs="Arial"/>
                <w:sz w:val="16"/>
                <w:szCs w:val="16"/>
              </w:rPr>
              <w:t>68,5</w:t>
            </w:r>
          </w:p>
        </w:tc>
      </w:tr>
      <w:tr w:rsidR="0043709B" w:rsidRPr="0043709B" w14:paraId="505D97C1" w14:textId="77777777" w:rsidTr="0043709B">
        <w:trPr>
          <w:trHeight w:val="250"/>
        </w:trPr>
        <w:tc>
          <w:tcPr>
            <w:tcW w:w="781" w:type="dxa"/>
            <w:tcBorders>
              <w:top w:val="nil"/>
              <w:left w:val="single" w:sz="4" w:space="0" w:color="auto"/>
              <w:bottom w:val="single" w:sz="4" w:space="0" w:color="auto"/>
              <w:right w:val="single" w:sz="4" w:space="0" w:color="auto"/>
            </w:tcBorders>
            <w:shd w:val="clear" w:color="auto" w:fill="auto"/>
            <w:noWrap/>
            <w:vAlign w:val="center"/>
            <w:hideMark/>
          </w:tcPr>
          <w:p w14:paraId="3E73D2A9" w14:textId="77777777" w:rsidR="0043709B" w:rsidRPr="0043709B" w:rsidRDefault="0043709B" w:rsidP="0043709B">
            <w:pPr>
              <w:rPr>
                <w:rFonts w:ascii="Arial Narrow" w:hAnsi="Arial Narrow" w:cs="Arial"/>
                <w:sz w:val="16"/>
                <w:szCs w:val="16"/>
              </w:rPr>
            </w:pPr>
            <w:r w:rsidRPr="0043709B">
              <w:rPr>
                <w:rFonts w:ascii="Arial Narrow" w:hAnsi="Arial Narrow" w:cs="Arial"/>
                <w:sz w:val="16"/>
                <w:szCs w:val="16"/>
              </w:rPr>
              <w:t>17.1/3</w:t>
            </w:r>
          </w:p>
        </w:tc>
        <w:tc>
          <w:tcPr>
            <w:tcW w:w="3016" w:type="dxa"/>
            <w:tcBorders>
              <w:top w:val="nil"/>
              <w:left w:val="nil"/>
              <w:bottom w:val="single" w:sz="4" w:space="0" w:color="auto"/>
              <w:right w:val="single" w:sz="4" w:space="0" w:color="auto"/>
            </w:tcBorders>
            <w:shd w:val="clear" w:color="auto" w:fill="auto"/>
            <w:noWrap/>
            <w:vAlign w:val="center"/>
            <w:hideMark/>
          </w:tcPr>
          <w:p w14:paraId="7C6576A1" w14:textId="77777777" w:rsidR="0043709B" w:rsidRPr="0043709B" w:rsidRDefault="0043709B" w:rsidP="0043709B">
            <w:pPr>
              <w:ind w:firstLineChars="100" w:firstLine="160"/>
              <w:rPr>
                <w:rFonts w:ascii="Arial Narrow" w:hAnsi="Arial Narrow" w:cs="Calibri"/>
                <w:sz w:val="16"/>
                <w:szCs w:val="16"/>
              </w:rPr>
            </w:pPr>
            <w:r w:rsidRPr="0043709B">
              <w:rPr>
                <w:rFonts w:ascii="Arial Narrow" w:hAnsi="Arial Narrow" w:cs="Calibri"/>
                <w:sz w:val="16"/>
                <w:szCs w:val="16"/>
              </w:rPr>
              <w:t>- плодове</w:t>
            </w:r>
          </w:p>
        </w:tc>
        <w:tc>
          <w:tcPr>
            <w:tcW w:w="1180" w:type="dxa"/>
            <w:tcBorders>
              <w:top w:val="nil"/>
              <w:left w:val="nil"/>
              <w:bottom w:val="single" w:sz="4" w:space="0" w:color="auto"/>
              <w:right w:val="single" w:sz="4" w:space="0" w:color="auto"/>
            </w:tcBorders>
            <w:shd w:val="clear" w:color="auto" w:fill="auto"/>
            <w:vAlign w:val="center"/>
          </w:tcPr>
          <w:p w14:paraId="5B850B81" w14:textId="77777777" w:rsidR="0043709B" w:rsidRPr="0043709B" w:rsidRDefault="0043709B" w:rsidP="0043709B">
            <w:pPr>
              <w:jc w:val="right"/>
              <w:rPr>
                <w:rFonts w:ascii="Arial Narrow" w:hAnsi="Arial Narrow" w:cs="Calibri"/>
                <w:sz w:val="16"/>
                <w:szCs w:val="16"/>
              </w:rPr>
            </w:pPr>
            <w:r w:rsidRPr="0043709B">
              <w:rPr>
                <w:rFonts w:ascii="Arial Narrow" w:hAnsi="Arial Narrow" w:cs="Calibri"/>
                <w:sz w:val="16"/>
                <w:szCs w:val="16"/>
              </w:rPr>
              <w:t>18,1</w:t>
            </w:r>
          </w:p>
        </w:tc>
        <w:tc>
          <w:tcPr>
            <w:tcW w:w="1170" w:type="dxa"/>
            <w:tcBorders>
              <w:top w:val="nil"/>
              <w:left w:val="nil"/>
              <w:bottom w:val="single" w:sz="4" w:space="0" w:color="auto"/>
              <w:right w:val="single" w:sz="4" w:space="0" w:color="auto"/>
            </w:tcBorders>
            <w:shd w:val="clear" w:color="auto" w:fill="auto"/>
            <w:noWrap/>
            <w:vAlign w:val="center"/>
            <w:hideMark/>
          </w:tcPr>
          <w:p w14:paraId="1A172803" w14:textId="77777777" w:rsidR="0043709B" w:rsidRPr="0043709B" w:rsidRDefault="0043709B" w:rsidP="0043709B">
            <w:pPr>
              <w:jc w:val="right"/>
              <w:rPr>
                <w:rFonts w:ascii="Arial Narrow" w:hAnsi="Arial Narrow" w:cs="Calibri"/>
                <w:sz w:val="16"/>
                <w:szCs w:val="16"/>
              </w:rPr>
            </w:pPr>
            <w:r w:rsidRPr="0043709B">
              <w:rPr>
                <w:rFonts w:ascii="Arial Narrow" w:hAnsi="Arial Narrow" w:cs="Calibri"/>
                <w:sz w:val="16"/>
                <w:szCs w:val="16"/>
              </w:rPr>
              <w:t>113,3</w:t>
            </w:r>
          </w:p>
        </w:tc>
        <w:tc>
          <w:tcPr>
            <w:tcW w:w="1300" w:type="dxa"/>
            <w:tcBorders>
              <w:top w:val="nil"/>
              <w:left w:val="nil"/>
              <w:bottom w:val="single" w:sz="4" w:space="0" w:color="auto"/>
              <w:right w:val="single" w:sz="4" w:space="0" w:color="auto"/>
            </w:tcBorders>
            <w:shd w:val="clear" w:color="auto" w:fill="auto"/>
            <w:noWrap/>
            <w:vAlign w:val="center"/>
            <w:hideMark/>
          </w:tcPr>
          <w:p w14:paraId="0566ADE5" w14:textId="77777777" w:rsidR="0043709B" w:rsidRPr="0043709B" w:rsidRDefault="0043709B" w:rsidP="0043709B">
            <w:pPr>
              <w:jc w:val="right"/>
              <w:rPr>
                <w:rFonts w:ascii="Arial Narrow" w:hAnsi="Arial Narrow" w:cs="Calibri"/>
                <w:sz w:val="16"/>
                <w:szCs w:val="16"/>
              </w:rPr>
            </w:pPr>
            <w:r w:rsidRPr="0043709B">
              <w:rPr>
                <w:rFonts w:ascii="Arial Narrow" w:hAnsi="Arial Narrow" w:cs="Calibri"/>
                <w:sz w:val="16"/>
                <w:szCs w:val="16"/>
              </w:rPr>
              <w:t>20,5</w:t>
            </w:r>
          </w:p>
        </w:tc>
        <w:tc>
          <w:tcPr>
            <w:tcW w:w="1220" w:type="dxa"/>
            <w:tcBorders>
              <w:top w:val="nil"/>
              <w:left w:val="nil"/>
              <w:bottom w:val="single" w:sz="4" w:space="0" w:color="auto"/>
              <w:right w:val="single" w:sz="4" w:space="0" w:color="auto"/>
            </w:tcBorders>
            <w:shd w:val="clear" w:color="auto" w:fill="auto"/>
            <w:noWrap/>
            <w:vAlign w:val="center"/>
            <w:hideMark/>
          </w:tcPr>
          <w:p w14:paraId="4F29E383" w14:textId="77777777" w:rsidR="0043709B" w:rsidRPr="0043709B" w:rsidRDefault="0043709B" w:rsidP="0043709B">
            <w:pPr>
              <w:jc w:val="right"/>
              <w:rPr>
                <w:rFonts w:ascii="Arial Narrow" w:hAnsi="Arial Narrow" w:cs="Calibri"/>
                <w:sz w:val="16"/>
                <w:szCs w:val="16"/>
              </w:rPr>
            </w:pPr>
            <w:r w:rsidRPr="0043709B">
              <w:rPr>
                <w:rFonts w:ascii="Arial Narrow" w:hAnsi="Arial Narrow" w:cs="Calibri"/>
                <w:sz w:val="16"/>
                <w:szCs w:val="16"/>
              </w:rPr>
              <w:t>106,8</w:t>
            </w:r>
          </w:p>
        </w:tc>
        <w:tc>
          <w:tcPr>
            <w:tcW w:w="1236" w:type="dxa"/>
            <w:tcBorders>
              <w:top w:val="nil"/>
              <w:left w:val="nil"/>
              <w:bottom w:val="single" w:sz="4" w:space="0" w:color="auto"/>
              <w:right w:val="single" w:sz="4" w:space="0" w:color="auto"/>
            </w:tcBorders>
            <w:shd w:val="clear" w:color="auto" w:fill="auto"/>
            <w:noWrap/>
            <w:vAlign w:val="center"/>
            <w:hideMark/>
          </w:tcPr>
          <w:p w14:paraId="1509F0B5" w14:textId="77777777" w:rsidR="0043709B" w:rsidRPr="0043709B" w:rsidRDefault="0043709B" w:rsidP="0043709B">
            <w:pPr>
              <w:jc w:val="right"/>
              <w:rPr>
                <w:rFonts w:ascii="Arial Narrow" w:hAnsi="Arial Narrow" w:cs="Calibri"/>
                <w:sz w:val="16"/>
                <w:szCs w:val="16"/>
              </w:rPr>
            </w:pPr>
            <w:r w:rsidRPr="0043709B">
              <w:rPr>
                <w:rFonts w:ascii="Arial Narrow" w:hAnsi="Arial Narrow" w:cs="Calibri"/>
                <w:sz w:val="16"/>
                <w:szCs w:val="16"/>
              </w:rPr>
              <w:t>21,9</w:t>
            </w:r>
          </w:p>
        </w:tc>
        <w:tc>
          <w:tcPr>
            <w:tcW w:w="1260" w:type="dxa"/>
            <w:tcBorders>
              <w:top w:val="nil"/>
              <w:left w:val="nil"/>
              <w:bottom w:val="single" w:sz="4" w:space="0" w:color="auto"/>
              <w:right w:val="single" w:sz="4" w:space="0" w:color="auto"/>
            </w:tcBorders>
            <w:shd w:val="clear" w:color="auto" w:fill="auto"/>
            <w:noWrap/>
            <w:vAlign w:val="center"/>
            <w:hideMark/>
          </w:tcPr>
          <w:p w14:paraId="39641A9C" w14:textId="77777777" w:rsidR="0043709B" w:rsidRPr="0043709B" w:rsidRDefault="0043709B" w:rsidP="0043709B">
            <w:pPr>
              <w:jc w:val="right"/>
              <w:rPr>
                <w:rFonts w:ascii="Arial Narrow" w:hAnsi="Arial Narrow" w:cs="Arial"/>
                <w:sz w:val="16"/>
                <w:szCs w:val="16"/>
              </w:rPr>
            </w:pPr>
            <w:r w:rsidRPr="0043709B">
              <w:rPr>
                <w:rFonts w:ascii="Arial Narrow" w:hAnsi="Arial Narrow" w:cs="Arial"/>
                <w:sz w:val="16"/>
                <w:szCs w:val="16"/>
              </w:rPr>
              <w:t>121,0</w:t>
            </w:r>
          </w:p>
        </w:tc>
      </w:tr>
      <w:tr w:rsidR="0043709B" w:rsidRPr="0043709B" w14:paraId="3458F8D3" w14:textId="77777777" w:rsidTr="0043709B">
        <w:trPr>
          <w:trHeight w:val="250"/>
        </w:trPr>
        <w:tc>
          <w:tcPr>
            <w:tcW w:w="781" w:type="dxa"/>
            <w:tcBorders>
              <w:top w:val="nil"/>
              <w:left w:val="single" w:sz="4" w:space="0" w:color="auto"/>
              <w:bottom w:val="single" w:sz="4" w:space="0" w:color="auto"/>
              <w:right w:val="single" w:sz="4" w:space="0" w:color="auto"/>
            </w:tcBorders>
            <w:shd w:val="clear" w:color="auto" w:fill="auto"/>
            <w:noWrap/>
            <w:vAlign w:val="center"/>
            <w:hideMark/>
          </w:tcPr>
          <w:p w14:paraId="3193B316" w14:textId="77777777" w:rsidR="0043709B" w:rsidRPr="0043709B" w:rsidRDefault="0043709B" w:rsidP="0043709B">
            <w:pPr>
              <w:rPr>
                <w:rFonts w:ascii="Arial Narrow" w:hAnsi="Arial Narrow" w:cs="Arial"/>
                <w:sz w:val="16"/>
                <w:szCs w:val="16"/>
              </w:rPr>
            </w:pPr>
            <w:r w:rsidRPr="0043709B">
              <w:rPr>
                <w:rFonts w:ascii="Arial Narrow" w:hAnsi="Arial Narrow" w:cs="Arial"/>
                <w:sz w:val="16"/>
                <w:szCs w:val="16"/>
              </w:rPr>
              <w:t>17.1/4</w:t>
            </w:r>
          </w:p>
        </w:tc>
        <w:tc>
          <w:tcPr>
            <w:tcW w:w="3016" w:type="dxa"/>
            <w:tcBorders>
              <w:top w:val="nil"/>
              <w:left w:val="nil"/>
              <w:bottom w:val="single" w:sz="4" w:space="0" w:color="auto"/>
              <w:right w:val="single" w:sz="4" w:space="0" w:color="auto"/>
            </w:tcBorders>
            <w:shd w:val="clear" w:color="auto" w:fill="auto"/>
            <w:noWrap/>
            <w:vAlign w:val="center"/>
            <w:hideMark/>
          </w:tcPr>
          <w:p w14:paraId="0A4A2305" w14:textId="77777777" w:rsidR="0043709B" w:rsidRPr="0043709B" w:rsidRDefault="0043709B" w:rsidP="0043709B">
            <w:pPr>
              <w:ind w:firstLineChars="100" w:firstLine="160"/>
              <w:rPr>
                <w:rFonts w:ascii="Arial Narrow" w:hAnsi="Arial Narrow" w:cs="Calibri"/>
                <w:sz w:val="16"/>
                <w:szCs w:val="16"/>
              </w:rPr>
            </w:pPr>
            <w:r w:rsidRPr="0043709B">
              <w:rPr>
                <w:rFonts w:ascii="Arial Narrow" w:hAnsi="Arial Narrow" w:cs="Calibri"/>
                <w:sz w:val="16"/>
                <w:szCs w:val="16"/>
              </w:rPr>
              <w:t>- вино</w:t>
            </w:r>
          </w:p>
        </w:tc>
        <w:tc>
          <w:tcPr>
            <w:tcW w:w="1180" w:type="dxa"/>
            <w:tcBorders>
              <w:top w:val="nil"/>
              <w:left w:val="nil"/>
              <w:bottom w:val="single" w:sz="4" w:space="0" w:color="auto"/>
              <w:right w:val="single" w:sz="4" w:space="0" w:color="auto"/>
            </w:tcBorders>
            <w:shd w:val="clear" w:color="auto" w:fill="auto"/>
            <w:vAlign w:val="center"/>
          </w:tcPr>
          <w:p w14:paraId="592E29FE" w14:textId="77777777" w:rsidR="0043709B" w:rsidRPr="0043709B" w:rsidRDefault="0043709B" w:rsidP="0043709B">
            <w:pPr>
              <w:jc w:val="right"/>
              <w:rPr>
                <w:rFonts w:ascii="Arial Narrow" w:hAnsi="Arial Narrow" w:cs="Calibri"/>
                <w:sz w:val="16"/>
                <w:szCs w:val="16"/>
              </w:rPr>
            </w:pPr>
            <w:r w:rsidRPr="0043709B">
              <w:rPr>
                <w:rFonts w:ascii="Arial Narrow" w:hAnsi="Arial Narrow" w:cs="Calibri"/>
                <w:sz w:val="16"/>
                <w:szCs w:val="16"/>
              </w:rPr>
              <w:t>41,9</w:t>
            </w:r>
          </w:p>
        </w:tc>
        <w:tc>
          <w:tcPr>
            <w:tcW w:w="1170" w:type="dxa"/>
            <w:tcBorders>
              <w:top w:val="nil"/>
              <w:left w:val="nil"/>
              <w:bottom w:val="single" w:sz="4" w:space="0" w:color="auto"/>
              <w:right w:val="single" w:sz="4" w:space="0" w:color="auto"/>
            </w:tcBorders>
            <w:shd w:val="clear" w:color="auto" w:fill="auto"/>
            <w:noWrap/>
            <w:vAlign w:val="center"/>
            <w:hideMark/>
          </w:tcPr>
          <w:p w14:paraId="5B0DD16F" w14:textId="77777777" w:rsidR="0043709B" w:rsidRPr="0043709B" w:rsidRDefault="0043709B" w:rsidP="0043709B">
            <w:pPr>
              <w:jc w:val="right"/>
              <w:rPr>
                <w:rFonts w:ascii="Arial Narrow" w:hAnsi="Arial Narrow" w:cs="Calibri"/>
                <w:sz w:val="16"/>
                <w:szCs w:val="16"/>
              </w:rPr>
            </w:pPr>
            <w:r w:rsidRPr="0043709B">
              <w:rPr>
                <w:rFonts w:ascii="Arial Narrow" w:hAnsi="Arial Narrow" w:cs="Calibri"/>
                <w:sz w:val="16"/>
                <w:szCs w:val="16"/>
              </w:rPr>
              <w:t>84,2</w:t>
            </w:r>
          </w:p>
        </w:tc>
        <w:tc>
          <w:tcPr>
            <w:tcW w:w="1300" w:type="dxa"/>
            <w:tcBorders>
              <w:top w:val="nil"/>
              <w:left w:val="nil"/>
              <w:bottom w:val="single" w:sz="4" w:space="0" w:color="auto"/>
              <w:right w:val="single" w:sz="4" w:space="0" w:color="auto"/>
            </w:tcBorders>
            <w:shd w:val="clear" w:color="auto" w:fill="auto"/>
            <w:noWrap/>
            <w:vAlign w:val="center"/>
            <w:hideMark/>
          </w:tcPr>
          <w:p w14:paraId="3C287933" w14:textId="77777777" w:rsidR="0043709B" w:rsidRPr="0043709B" w:rsidRDefault="0043709B" w:rsidP="0043709B">
            <w:pPr>
              <w:jc w:val="right"/>
              <w:rPr>
                <w:rFonts w:ascii="Arial Narrow" w:hAnsi="Arial Narrow" w:cs="Calibri"/>
                <w:sz w:val="16"/>
                <w:szCs w:val="16"/>
              </w:rPr>
            </w:pPr>
            <w:r w:rsidRPr="0043709B">
              <w:rPr>
                <w:rFonts w:ascii="Arial Narrow" w:hAnsi="Arial Narrow" w:cs="Calibri"/>
                <w:sz w:val="16"/>
                <w:szCs w:val="16"/>
              </w:rPr>
              <w:t>35,3</w:t>
            </w:r>
          </w:p>
        </w:tc>
        <w:tc>
          <w:tcPr>
            <w:tcW w:w="1220" w:type="dxa"/>
            <w:tcBorders>
              <w:top w:val="nil"/>
              <w:left w:val="nil"/>
              <w:bottom w:val="single" w:sz="4" w:space="0" w:color="auto"/>
              <w:right w:val="single" w:sz="4" w:space="0" w:color="auto"/>
            </w:tcBorders>
            <w:shd w:val="clear" w:color="auto" w:fill="auto"/>
            <w:noWrap/>
            <w:vAlign w:val="center"/>
            <w:hideMark/>
          </w:tcPr>
          <w:p w14:paraId="77BE6640" w14:textId="77777777" w:rsidR="0043709B" w:rsidRPr="0043709B" w:rsidRDefault="0043709B" w:rsidP="0043709B">
            <w:pPr>
              <w:jc w:val="right"/>
              <w:rPr>
                <w:rFonts w:ascii="Arial Narrow" w:hAnsi="Arial Narrow" w:cs="Calibri"/>
                <w:sz w:val="16"/>
                <w:szCs w:val="16"/>
              </w:rPr>
            </w:pPr>
            <w:r w:rsidRPr="0043709B">
              <w:rPr>
                <w:rFonts w:ascii="Arial Narrow" w:hAnsi="Arial Narrow" w:cs="Calibri"/>
                <w:sz w:val="16"/>
                <w:szCs w:val="16"/>
              </w:rPr>
              <w:t>109,1</w:t>
            </w:r>
          </w:p>
        </w:tc>
        <w:tc>
          <w:tcPr>
            <w:tcW w:w="1236" w:type="dxa"/>
            <w:tcBorders>
              <w:top w:val="nil"/>
              <w:left w:val="nil"/>
              <w:bottom w:val="single" w:sz="4" w:space="0" w:color="auto"/>
              <w:right w:val="single" w:sz="4" w:space="0" w:color="auto"/>
            </w:tcBorders>
            <w:shd w:val="clear" w:color="auto" w:fill="auto"/>
            <w:noWrap/>
            <w:vAlign w:val="center"/>
            <w:hideMark/>
          </w:tcPr>
          <w:p w14:paraId="5E65A573" w14:textId="77777777" w:rsidR="0043709B" w:rsidRPr="0043709B" w:rsidRDefault="0043709B" w:rsidP="0043709B">
            <w:pPr>
              <w:jc w:val="right"/>
              <w:rPr>
                <w:rFonts w:ascii="Arial Narrow" w:hAnsi="Arial Narrow" w:cs="Calibri"/>
                <w:sz w:val="16"/>
                <w:szCs w:val="16"/>
              </w:rPr>
            </w:pPr>
            <w:r w:rsidRPr="0043709B">
              <w:rPr>
                <w:rFonts w:ascii="Arial Narrow" w:hAnsi="Arial Narrow" w:cs="Calibri"/>
                <w:sz w:val="16"/>
                <w:szCs w:val="16"/>
              </w:rPr>
              <w:t>38,5</w:t>
            </w:r>
          </w:p>
        </w:tc>
        <w:tc>
          <w:tcPr>
            <w:tcW w:w="1260" w:type="dxa"/>
            <w:tcBorders>
              <w:top w:val="nil"/>
              <w:left w:val="nil"/>
              <w:bottom w:val="single" w:sz="4" w:space="0" w:color="auto"/>
              <w:right w:val="single" w:sz="4" w:space="0" w:color="auto"/>
            </w:tcBorders>
            <w:shd w:val="clear" w:color="auto" w:fill="auto"/>
            <w:noWrap/>
            <w:vAlign w:val="center"/>
            <w:hideMark/>
          </w:tcPr>
          <w:p w14:paraId="7C8924E2" w14:textId="77777777" w:rsidR="0043709B" w:rsidRPr="0043709B" w:rsidRDefault="0043709B" w:rsidP="0043709B">
            <w:pPr>
              <w:jc w:val="right"/>
              <w:rPr>
                <w:rFonts w:ascii="Arial Narrow" w:hAnsi="Arial Narrow" w:cs="Arial"/>
                <w:sz w:val="16"/>
                <w:szCs w:val="16"/>
              </w:rPr>
            </w:pPr>
            <w:r w:rsidRPr="0043709B">
              <w:rPr>
                <w:rFonts w:ascii="Arial Narrow" w:hAnsi="Arial Narrow" w:cs="Arial"/>
                <w:sz w:val="16"/>
                <w:szCs w:val="16"/>
              </w:rPr>
              <w:t>91,9</w:t>
            </w:r>
          </w:p>
        </w:tc>
      </w:tr>
      <w:tr w:rsidR="0043709B" w:rsidRPr="0043709B" w14:paraId="6FB41D96" w14:textId="77777777" w:rsidTr="0043709B">
        <w:trPr>
          <w:trHeight w:val="250"/>
        </w:trPr>
        <w:tc>
          <w:tcPr>
            <w:tcW w:w="781" w:type="dxa"/>
            <w:tcBorders>
              <w:top w:val="nil"/>
              <w:left w:val="single" w:sz="4" w:space="0" w:color="auto"/>
              <w:bottom w:val="single" w:sz="4" w:space="0" w:color="auto"/>
              <w:right w:val="single" w:sz="4" w:space="0" w:color="auto"/>
            </w:tcBorders>
            <w:shd w:val="clear" w:color="auto" w:fill="auto"/>
            <w:noWrap/>
            <w:vAlign w:val="center"/>
            <w:hideMark/>
          </w:tcPr>
          <w:p w14:paraId="544E80E8" w14:textId="77777777" w:rsidR="0043709B" w:rsidRPr="0043709B" w:rsidRDefault="0043709B" w:rsidP="0043709B">
            <w:pPr>
              <w:rPr>
                <w:rFonts w:ascii="Arial Narrow" w:hAnsi="Arial Narrow" w:cs="Arial"/>
                <w:sz w:val="16"/>
                <w:szCs w:val="16"/>
              </w:rPr>
            </w:pPr>
            <w:r w:rsidRPr="0043709B">
              <w:rPr>
                <w:rFonts w:ascii="Arial Narrow" w:hAnsi="Arial Narrow" w:cs="Arial"/>
                <w:sz w:val="16"/>
                <w:szCs w:val="16"/>
              </w:rPr>
              <w:t>17.1/5</w:t>
            </w:r>
          </w:p>
        </w:tc>
        <w:tc>
          <w:tcPr>
            <w:tcW w:w="3016" w:type="dxa"/>
            <w:tcBorders>
              <w:top w:val="nil"/>
              <w:left w:val="nil"/>
              <w:bottom w:val="single" w:sz="4" w:space="0" w:color="auto"/>
              <w:right w:val="single" w:sz="4" w:space="0" w:color="auto"/>
            </w:tcBorders>
            <w:shd w:val="clear" w:color="auto" w:fill="auto"/>
            <w:noWrap/>
            <w:vAlign w:val="center"/>
            <w:hideMark/>
          </w:tcPr>
          <w:p w14:paraId="62B41E58" w14:textId="77777777" w:rsidR="0043709B" w:rsidRPr="0043709B" w:rsidRDefault="0043709B" w:rsidP="0043709B">
            <w:pPr>
              <w:ind w:firstLineChars="100" w:firstLine="160"/>
              <w:rPr>
                <w:rFonts w:ascii="Arial Narrow" w:hAnsi="Arial Narrow" w:cs="Calibri"/>
                <w:sz w:val="16"/>
                <w:szCs w:val="16"/>
              </w:rPr>
            </w:pPr>
            <w:r w:rsidRPr="0043709B">
              <w:rPr>
                <w:rFonts w:ascii="Arial Narrow" w:hAnsi="Arial Narrow" w:cs="Calibri"/>
                <w:sz w:val="16"/>
                <w:szCs w:val="16"/>
              </w:rPr>
              <w:t>- животни</w:t>
            </w:r>
          </w:p>
        </w:tc>
        <w:tc>
          <w:tcPr>
            <w:tcW w:w="1180" w:type="dxa"/>
            <w:tcBorders>
              <w:top w:val="nil"/>
              <w:left w:val="nil"/>
              <w:bottom w:val="single" w:sz="4" w:space="0" w:color="auto"/>
              <w:right w:val="single" w:sz="4" w:space="0" w:color="auto"/>
            </w:tcBorders>
            <w:shd w:val="clear" w:color="auto" w:fill="auto"/>
            <w:vAlign w:val="center"/>
          </w:tcPr>
          <w:p w14:paraId="32FCFC8C" w14:textId="77777777" w:rsidR="0043709B" w:rsidRPr="0043709B" w:rsidRDefault="0043709B" w:rsidP="0043709B">
            <w:pPr>
              <w:jc w:val="right"/>
              <w:rPr>
                <w:rFonts w:ascii="Arial Narrow" w:hAnsi="Arial Narrow" w:cs="Calibri"/>
                <w:sz w:val="16"/>
                <w:szCs w:val="16"/>
              </w:rPr>
            </w:pPr>
            <w:r w:rsidRPr="0043709B">
              <w:rPr>
                <w:rFonts w:ascii="Arial Narrow" w:hAnsi="Arial Narrow" w:cs="Calibri"/>
                <w:sz w:val="16"/>
                <w:szCs w:val="16"/>
              </w:rPr>
              <w:t>65,2</w:t>
            </w:r>
          </w:p>
        </w:tc>
        <w:tc>
          <w:tcPr>
            <w:tcW w:w="1170" w:type="dxa"/>
            <w:tcBorders>
              <w:top w:val="nil"/>
              <w:left w:val="nil"/>
              <w:bottom w:val="single" w:sz="4" w:space="0" w:color="auto"/>
              <w:right w:val="single" w:sz="4" w:space="0" w:color="auto"/>
            </w:tcBorders>
            <w:shd w:val="clear" w:color="auto" w:fill="auto"/>
            <w:noWrap/>
            <w:vAlign w:val="center"/>
            <w:hideMark/>
          </w:tcPr>
          <w:p w14:paraId="2E7153E3" w14:textId="77777777" w:rsidR="0043709B" w:rsidRPr="0043709B" w:rsidRDefault="0043709B" w:rsidP="0043709B">
            <w:pPr>
              <w:jc w:val="right"/>
              <w:rPr>
                <w:rFonts w:ascii="Arial Narrow" w:hAnsi="Arial Narrow" w:cs="Calibri"/>
                <w:sz w:val="16"/>
                <w:szCs w:val="16"/>
              </w:rPr>
            </w:pPr>
            <w:r w:rsidRPr="0043709B">
              <w:rPr>
                <w:rFonts w:ascii="Arial Narrow" w:hAnsi="Arial Narrow" w:cs="Calibri"/>
                <w:sz w:val="16"/>
                <w:szCs w:val="16"/>
              </w:rPr>
              <w:t>90,0</w:t>
            </w:r>
          </w:p>
        </w:tc>
        <w:tc>
          <w:tcPr>
            <w:tcW w:w="1300" w:type="dxa"/>
            <w:tcBorders>
              <w:top w:val="nil"/>
              <w:left w:val="nil"/>
              <w:bottom w:val="single" w:sz="4" w:space="0" w:color="auto"/>
              <w:right w:val="single" w:sz="4" w:space="0" w:color="auto"/>
            </w:tcBorders>
            <w:shd w:val="clear" w:color="auto" w:fill="auto"/>
            <w:noWrap/>
            <w:vAlign w:val="center"/>
            <w:hideMark/>
          </w:tcPr>
          <w:p w14:paraId="4CABFAD0" w14:textId="77777777" w:rsidR="0043709B" w:rsidRPr="0043709B" w:rsidRDefault="0043709B" w:rsidP="0043709B">
            <w:pPr>
              <w:jc w:val="right"/>
              <w:rPr>
                <w:rFonts w:ascii="Arial Narrow" w:hAnsi="Arial Narrow" w:cs="Calibri"/>
                <w:sz w:val="16"/>
                <w:szCs w:val="16"/>
              </w:rPr>
            </w:pPr>
            <w:r w:rsidRPr="0043709B">
              <w:rPr>
                <w:rFonts w:ascii="Arial Narrow" w:hAnsi="Arial Narrow" w:cs="Calibri"/>
                <w:sz w:val="16"/>
                <w:szCs w:val="16"/>
              </w:rPr>
              <w:t>58,7</w:t>
            </w:r>
          </w:p>
        </w:tc>
        <w:tc>
          <w:tcPr>
            <w:tcW w:w="1220" w:type="dxa"/>
            <w:tcBorders>
              <w:top w:val="nil"/>
              <w:left w:val="nil"/>
              <w:bottom w:val="single" w:sz="4" w:space="0" w:color="auto"/>
              <w:right w:val="single" w:sz="4" w:space="0" w:color="auto"/>
            </w:tcBorders>
            <w:shd w:val="clear" w:color="auto" w:fill="auto"/>
            <w:noWrap/>
            <w:vAlign w:val="center"/>
            <w:hideMark/>
          </w:tcPr>
          <w:p w14:paraId="7CC1E51C" w14:textId="77777777" w:rsidR="0043709B" w:rsidRPr="0043709B" w:rsidRDefault="0043709B" w:rsidP="0043709B">
            <w:pPr>
              <w:jc w:val="right"/>
              <w:rPr>
                <w:rFonts w:ascii="Arial Narrow" w:hAnsi="Arial Narrow" w:cs="Calibri"/>
                <w:sz w:val="16"/>
                <w:szCs w:val="16"/>
              </w:rPr>
            </w:pPr>
            <w:r w:rsidRPr="0043709B">
              <w:rPr>
                <w:rFonts w:ascii="Arial Narrow" w:hAnsi="Arial Narrow" w:cs="Calibri"/>
                <w:sz w:val="16"/>
                <w:szCs w:val="16"/>
              </w:rPr>
              <w:t>102,9</w:t>
            </w:r>
          </w:p>
        </w:tc>
        <w:tc>
          <w:tcPr>
            <w:tcW w:w="1236" w:type="dxa"/>
            <w:tcBorders>
              <w:top w:val="nil"/>
              <w:left w:val="nil"/>
              <w:bottom w:val="single" w:sz="4" w:space="0" w:color="auto"/>
              <w:right w:val="single" w:sz="4" w:space="0" w:color="auto"/>
            </w:tcBorders>
            <w:shd w:val="clear" w:color="auto" w:fill="auto"/>
            <w:noWrap/>
            <w:vAlign w:val="center"/>
            <w:hideMark/>
          </w:tcPr>
          <w:p w14:paraId="357F646D" w14:textId="77777777" w:rsidR="0043709B" w:rsidRPr="0043709B" w:rsidRDefault="0043709B" w:rsidP="0043709B">
            <w:pPr>
              <w:jc w:val="right"/>
              <w:rPr>
                <w:rFonts w:ascii="Arial Narrow" w:hAnsi="Arial Narrow" w:cs="Calibri"/>
                <w:sz w:val="16"/>
                <w:szCs w:val="16"/>
              </w:rPr>
            </w:pPr>
            <w:r w:rsidRPr="0043709B">
              <w:rPr>
                <w:rFonts w:ascii="Arial Narrow" w:hAnsi="Arial Narrow" w:cs="Calibri"/>
                <w:sz w:val="16"/>
                <w:szCs w:val="16"/>
              </w:rPr>
              <w:t>60,4</w:t>
            </w:r>
          </w:p>
        </w:tc>
        <w:tc>
          <w:tcPr>
            <w:tcW w:w="1260" w:type="dxa"/>
            <w:tcBorders>
              <w:top w:val="nil"/>
              <w:left w:val="nil"/>
              <w:bottom w:val="single" w:sz="4" w:space="0" w:color="auto"/>
              <w:right w:val="single" w:sz="4" w:space="0" w:color="auto"/>
            </w:tcBorders>
            <w:shd w:val="clear" w:color="auto" w:fill="auto"/>
            <w:noWrap/>
            <w:vAlign w:val="center"/>
            <w:hideMark/>
          </w:tcPr>
          <w:p w14:paraId="733C69CF" w14:textId="77777777" w:rsidR="0043709B" w:rsidRPr="0043709B" w:rsidRDefault="0043709B" w:rsidP="0043709B">
            <w:pPr>
              <w:jc w:val="right"/>
              <w:rPr>
                <w:rFonts w:ascii="Arial Narrow" w:hAnsi="Arial Narrow" w:cs="Arial"/>
                <w:sz w:val="16"/>
                <w:szCs w:val="16"/>
              </w:rPr>
            </w:pPr>
            <w:r w:rsidRPr="0043709B">
              <w:rPr>
                <w:rFonts w:ascii="Arial Narrow" w:hAnsi="Arial Narrow" w:cs="Arial"/>
                <w:sz w:val="16"/>
                <w:szCs w:val="16"/>
              </w:rPr>
              <w:t>92,6</w:t>
            </w:r>
          </w:p>
        </w:tc>
      </w:tr>
      <w:tr w:rsidR="0043709B" w:rsidRPr="0043709B" w14:paraId="16905908" w14:textId="77777777" w:rsidTr="0043709B">
        <w:trPr>
          <w:trHeight w:val="250"/>
        </w:trPr>
        <w:tc>
          <w:tcPr>
            <w:tcW w:w="781" w:type="dxa"/>
            <w:tcBorders>
              <w:top w:val="nil"/>
              <w:left w:val="single" w:sz="4" w:space="0" w:color="auto"/>
              <w:bottom w:val="single" w:sz="4" w:space="0" w:color="auto"/>
              <w:right w:val="single" w:sz="4" w:space="0" w:color="auto"/>
            </w:tcBorders>
            <w:shd w:val="clear" w:color="auto" w:fill="auto"/>
            <w:noWrap/>
            <w:vAlign w:val="center"/>
            <w:hideMark/>
          </w:tcPr>
          <w:p w14:paraId="6BDFF934" w14:textId="77777777" w:rsidR="0043709B" w:rsidRPr="0043709B" w:rsidRDefault="0043709B" w:rsidP="0043709B">
            <w:pPr>
              <w:rPr>
                <w:rFonts w:ascii="Arial Narrow" w:hAnsi="Arial Narrow" w:cs="Arial"/>
                <w:sz w:val="16"/>
                <w:szCs w:val="16"/>
              </w:rPr>
            </w:pPr>
            <w:r w:rsidRPr="0043709B">
              <w:rPr>
                <w:rFonts w:ascii="Arial Narrow" w:hAnsi="Arial Narrow" w:cs="Arial"/>
                <w:sz w:val="16"/>
                <w:szCs w:val="16"/>
              </w:rPr>
              <w:t>17.1/6</w:t>
            </w:r>
          </w:p>
        </w:tc>
        <w:tc>
          <w:tcPr>
            <w:tcW w:w="3016" w:type="dxa"/>
            <w:tcBorders>
              <w:top w:val="nil"/>
              <w:left w:val="nil"/>
              <w:bottom w:val="single" w:sz="4" w:space="0" w:color="auto"/>
              <w:right w:val="single" w:sz="4" w:space="0" w:color="auto"/>
            </w:tcBorders>
            <w:shd w:val="clear" w:color="auto" w:fill="auto"/>
            <w:noWrap/>
            <w:vAlign w:val="center"/>
            <w:hideMark/>
          </w:tcPr>
          <w:p w14:paraId="0A682785" w14:textId="77777777" w:rsidR="0043709B" w:rsidRPr="0043709B" w:rsidRDefault="0043709B" w:rsidP="0043709B">
            <w:pPr>
              <w:ind w:firstLineChars="100" w:firstLine="160"/>
              <w:rPr>
                <w:rFonts w:ascii="Arial Narrow" w:hAnsi="Arial Narrow" w:cs="Calibri"/>
                <w:sz w:val="16"/>
                <w:szCs w:val="16"/>
              </w:rPr>
            </w:pPr>
            <w:r w:rsidRPr="0043709B">
              <w:rPr>
                <w:rFonts w:ascii="Arial Narrow" w:hAnsi="Arial Narrow" w:cs="Calibri"/>
                <w:sz w:val="16"/>
                <w:szCs w:val="16"/>
              </w:rPr>
              <w:t>- животински продукти</w:t>
            </w:r>
          </w:p>
        </w:tc>
        <w:tc>
          <w:tcPr>
            <w:tcW w:w="1180" w:type="dxa"/>
            <w:tcBorders>
              <w:top w:val="nil"/>
              <w:left w:val="nil"/>
              <w:bottom w:val="single" w:sz="4" w:space="0" w:color="auto"/>
              <w:right w:val="single" w:sz="4" w:space="0" w:color="auto"/>
            </w:tcBorders>
            <w:shd w:val="clear" w:color="auto" w:fill="auto"/>
            <w:vAlign w:val="center"/>
          </w:tcPr>
          <w:p w14:paraId="58C0D4E2" w14:textId="77777777" w:rsidR="0043709B" w:rsidRPr="0043709B" w:rsidRDefault="0043709B" w:rsidP="0043709B">
            <w:pPr>
              <w:jc w:val="right"/>
              <w:rPr>
                <w:rFonts w:ascii="Arial Narrow" w:hAnsi="Arial Narrow" w:cs="Calibri"/>
                <w:sz w:val="16"/>
                <w:szCs w:val="16"/>
              </w:rPr>
            </w:pPr>
            <w:r w:rsidRPr="0043709B">
              <w:rPr>
                <w:rFonts w:ascii="Arial Narrow" w:hAnsi="Arial Narrow" w:cs="Calibri"/>
                <w:sz w:val="16"/>
                <w:szCs w:val="16"/>
              </w:rPr>
              <w:t>105,1</w:t>
            </w:r>
          </w:p>
        </w:tc>
        <w:tc>
          <w:tcPr>
            <w:tcW w:w="1170" w:type="dxa"/>
            <w:tcBorders>
              <w:top w:val="nil"/>
              <w:left w:val="nil"/>
              <w:bottom w:val="single" w:sz="4" w:space="0" w:color="auto"/>
              <w:right w:val="single" w:sz="4" w:space="0" w:color="auto"/>
            </w:tcBorders>
            <w:shd w:val="clear" w:color="auto" w:fill="auto"/>
            <w:noWrap/>
            <w:vAlign w:val="center"/>
            <w:hideMark/>
          </w:tcPr>
          <w:p w14:paraId="78B3CB73" w14:textId="77777777" w:rsidR="0043709B" w:rsidRPr="0043709B" w:rsidRDefault="0043709B" w:rsidP="0043709B">
            <w:pPr>
              <w:jc w:val="right"/>
              <w:rPr>
                <w:rFonts w:ascii="Arial Narrow" w:hAnsi="Arial Narrow" w:cs="Calibri"/>
                <w:sz w:val="16"/>
                <w:szCs w:val="16"/>
              </w:rPr>
            </w:pPr>
            <w:r w:rsidRPr="0043709B">
              <w:rPr>
                <w:rFonts w:ascii="Arial Narrow" w:hAnsi="Arial Narrow" w:cs="Calibri"/>
                <w:sz w:val="16"/>
                <w:szCs w:val="16"/>
              </w:rPr>
              <w:t>116,6</w:t>
            </w:r>
          </w:p>
        </w:tc>
        <w:tc>
          <w:tcPr>
            <w:tcW w:w="1300" w:type="dxa"/>
            <w:tcBorders>
              <w:top w:val="nil"/>
              <w:left w:val="nil"/>
              <w:bottom w:val="single" w:sz="4" w:space="0" w:color="auto"/>
              <w:right w:val="single" w:sz="4" w:space="0" w:color="auto"/>
            </w:tcBorders>
            <w:shd w:val="clear" w:color="auto" w:fill="auto"/>
            <w:noWrap/>
            <w:vAlign w:val="center"/>
            <w:hideMark/>
          </w:tcPr>
          <w:p w14:paraId="2490E374" w14:textId="77777777" w:rsidR="0043709B" w:rsidRPr="0043709B" w:rsidRDefault="0043709B" w:rsidP="0043709B">
            <w:pPr>
              <w:jc w:val="right"/>
              <w:rPr>
                <w:rFonts w:ascii="Arial Narrow" w:hAnsi="Arial Narrow" w:cs="Calibri"/>
                <w:sz w:val="16"/>
                <w:szCs w:val="16"/>
              </w:rPr>
            </w:pPr>
            <w:r w:rsidRPr="0043709B">
              <w:rPr>
                <w:rFonts w:ascii="Arial Narrow" w:hAnsi="Arial Narrow" w:cs="Calibri"/>
                <w:sz w:val="16"/>
                <w:szCs w:val="16"/>
              </w:rPr>
              <w:t>122,5</w:t>
            </w:r>
          </w:p>
        </w:tc>
        <w:tc>
          <w:tcPr>
            <w:tcW w:w="1220" w:type="dxa"/>
            <w:tcBorders>
              <w:top w:val="nil"/>
              <w:left w:val="nil"/>
              <w:bottom w:val="single" w:sz="4" w:space="0" w:color="auto"/>
              <w:right w:val="single" w:sz="4" w:space="0" w:color="auto"/>
            </w:tcBorders>
            <w:shd w:val="clear" w:color="auto" w:fill="auto"/>
            <w:noWrap/>
            <w:vAlign w:val="center"/>
            <w:hideMark/>
          </w:tcPr>
          <w:p w14:paraId="6572A989" w14:textId="77777777" w:rsidR="0043709B" w:rsidRPr="0043709B" w:rsidRDefault="0043709B" w:rsidP="0043709B">
            <w:pPr>
              <w:jc w:val="right"/>
              <w:rPr>
                <w:rFonts w:ascii="Arial Narrow" w:hAnsi="Arial Narrow" w:cs="Calibri"/>
                <w:sz w:val="16"/>
                <w:szCs w:val="16"/>
              </w:rPr>
            </w:pPr>
            <w:r w:rsidRPr="0043709B">
              <w:rPr>
                <w:rFonts w:ascii="Arial Narrow" w:hAnsi="Arial Narrow" w:cs="Calibri"/>
                <w:sz w:val="16"/>
                <w:szCs w:val="16"/>
              </w:rPr>
              <w:t>99,5</w:t>
            </w:r>
          </w:p>
        </w:tc>
        <w:tc>
          <w:tcPr>
            <w:tcW w:w="1236" w:type="dxa"/>
            <w:tcBorders>
              <w:top w:val="nil"/>
              <w:left w:val="nil"/>
              <w:bottom w:val="single" w:sz="4" w:space="0" w:color="auto"/>
              <w:right w:val="single" w:sz="4" w:space="0" w:color="auto"/>
            </w:tcBorders>
            <w:shd w:val="clear" w:color="auto" w:fill="auto"/>
            <w:noWrap/>
            <w:vAlign w:val="center"/>
            <w:hideMark/>
          </w:tcPr>
          <w:p w14:paraId="7ADEE926" w14:textId="77777777" w:rsidR="0043709B" w:rsidRPr="0043709B" w:rsidRDefault="0043709B" w:rsidP="0043709B">
            <w:pPr>
              <w:jc w:val="right"/>
              <w:rPr>
                <w:rFonts w:ascii="Arial Narrow" w:hAnsi="Arial Narrow" w:cs="Calibri"/>
                <w:sz w:val="16"/>
                <w:szCs w:val="16"/>
              </w:rPr>
            </w:pPr>
            <w:r w:rsidRPr="0043709B">
              <w:rPr>
                <w:rFonts w:ascii="Arial Narrow" w:hAnsi="Arial Narrow" w:cs="Calibri"/>
                <w:sz w:val="16"/>
                <w:szCs w:val="16"/>
              </w:rPr>
              <w:t>121,9</w:t>
            </w:r>
          </w:p>
        </w:tc>
        <w:tc>
          <w:tcPr>
            <w:tcW w:w="1260" w:type="dxa"/>
            <w:tcBorders>
              <w:top w:val="nil"/>
              <w:left w:val="nil"/>
              <w:bottom w:val="single" w:sz="4" w:space="0" w:color="auto"/>
              <w:right w:val="single" w:sz="4" w:space="0" w:color="auto"/>
            </w:tcBorders>
            <w:shd w:val="clear" w:color="auto" w:fill="auto"/>
            <w:noWrap/>
            <w:vAlign w:val="center"/>
            <w:hideMark/>
          </w:tcPr>
          <w:p w14:paraId="54A344B9" w14:textId="77777777" w:rsidR="0043709B" w:rsidRPr="0043709B" w:rsidRDefault="0043709B" w:rsidP="0043709B">
            <w:pPr>
              <w:jc w:val="right"/>
              <w:rPr>
                <w:rFonts w:ascii="Arial Narrow" w:hAnsi="Arial Narrow" w:cs="Arial"/>
                <w:sz w:val="16"/>
                <w:szCs w:val="16"/>
              </w:rPr>
            </w:pPr>
            <w:r w:rsidRPr="0043709B">
              <w:rPr>
                <w:rFonts w:ascii="Arial Narrow" w:hAnsi="Arial Narrow" w:cs="Arial"/>
                <w:sz w:val="16"/>
                <w:szCs w:val="16"/>
              </w:rPr>
              <w:t>116,0</w:t>
            </w:r>
          </w:p>
        </w:tc>
      </w:tr>
      <w:tr w:rsidR="0043709B" w:rsidRPr="0043709B" w14:paraId="6B9D2165" w14:textId="77777777" w:rsidTr="0043709B">
        <w:trPr>
          <w:trHeight w:val="250"/>
        </w:trPr>
        <w:tc>
          <w:tcPr>
            <w:tcW w:w="781" w:type="dxa"/>
            <w:tcBorders>
              <w:top w:val="nil"/>
              <w:left w:val="single" w:sz="4" w:space="0" w:color="auto"/>
              <w:bottom w:val="single" w:sz="4" w:space="0" w:color="auto"/>
              <w:right w:val="single" w:sz="4" w:space="0" w:color="auto"/>
            </w:tcBorders>
            <w:shd w:val="clear" w:color="auto" w:fill="auto"/>
            <w:noWrap/>
            <w:vAlign w:val="center"/>
            <w:hideMark/>
          </w:tcPr>
          <w:p w14:paraId="3AB449FE" w14:textId="77777777" w:rsidR="0043709B" w:rsidRPr="0043709B" w:rsidRDefault="0043709B" w:rsidP="0043709B">
            <w:pPr>
              <w:rPr>
                <w:rFonts w:ascii="Arial Narrow" w:hAnsi="Arial Narrow" w:cs="Arial"/>
                <w:sz w:val="16"/>
                <w:szCs w:val="16"/>
              </w:rPr>
            </w:pPr>
            <w:r w:rsidRPr="0043709B">
              <w:rPr>
                <w:rFonts w:ascii="Arial Narrow" w:hAnsi="Arial Narrow" w:cs="Arial"/>
                <w:sz w:val="16"/>
                <w:szCs w:val="16"/>
              </w:rPr>
              <w:t>17.1/6/1</w:t>
            </w:r>
          </w:p>
        </w:tc>
        <w:tc>
          <w:tcPr>
            <w:tcW w:w="3016" w:type="dxa"/>
            <w:tcBorders>
              <w:top w:val="nil"/>
              <w:left w:val="nil"/>
              <w:bottom w:val="single" w:sz="4" w:space="0" w:color="auto"/>
              <w:right w:val="single" w:sz="4" w:space="0" w:color="auto"/>
            </w:tcBorders>
            <w:shd w:val="clear" w:color="auto" w:fill="auto"/>
            <w:noWrap/>
            <w:vAlign w:val="center"/>
            <w:hideMark/>
          </w:tcPr>
          <w:p w14:paraId="3187770E" w14:textId="77777777" w:rsidR="0043709B" w:rsidRPr="0043709B" w:rsidRDefault="0043709B" w:rsidP="0043709B">
            <w:pPr>
              <w:ind w:firstLineChars="100" w:firstLine="160"/>
              <w:rPr>
                <w:rFonts w:ascii="Arial Narrow" w:hAnsi="Arial Narrow" w:cs="Calibri"/>
                <w:sz w:val="16"/>
                <w:szCs w:val="16"/>
              </w:rPr>
            </w:pPr>
            <w:r w:rsidRPr="0043709B">
              <w:rPr>
                <w:rFonts w:ascii="Arial Narrow" w:hAnsi="Arial Narrow" w:cs="Calibri"/>
                <w:sz w:val="16"/>
                <w:szCs w:val="16"/>
              </w:rPr>
              <w:t>- мляко</w:t>
            </w:r>
          </w:p>
        </w:tc>
        <w:tc>
          <w:tcPr>
            <w:tcW w:w="1180" w:type="dxa"/>
            <w:tcBorders>
              <w:top w:val="nil"/>
              <w:left w:val="nil"/>
              <w:bottom w:val="single" w:sz="4" w:space="0" w:color="auto"/>
              <w:right w:val="single" w:sz="4" w:space="0" w:color="auto"/>
            </w:tcBorders>
            <w:shd w:val="clear" w:color="auto" w:fill="auto"/>
            <w:vAlign w:val="center"/>
          </w:tcPr>
          <w:p w14:paraId="34EF2F80" w14:textId="77777777" w:rsidR="0043709B" w:rsidRPr="0043709B" w:rsidRDefault="0043709B" w:rsidP="0043709B">
            <w:pPr>
              <w:jc w:val="right"/>
              <w:rPr>
                <w:rFonts w:ascii="Arial Narrow" w:hAnsi="Arial Narrow" w:cs="Calibri"/>
                <w:sz w:val="16"/>
                <w:szCs w:val="16"/>
              </w:rPr>
            </w:pPr>
            <w:r w:rsidRPr="0043709B">
              <w:rPr>
                <w:rFonts w:ascii="Arial Narrow" w:hAnsi="Arial Narrow" w:cs="Calibri"/>
                <w:sz w:val="16"/>
                <w:szCs w:val="16"/>
              </w:rPr>
              <w:t>105,1</w:t>
            </w:r>
          </w:p>
        </w:tc>
        <w:tc>
          <w:tcPr>
            <w:tcW w:w="1170" w:type="dxa"/>
            <w:tcBorders>
              <w:top w:val="nil"/>
              <w:left w:val="nil"/>
              <w:bottom w:val="single" w:sz="4" w:space="0" w:color="auto"/>
              <w:right w:val="single" w:sz="4" w:space="0" w:color="auto"/>
            </w:tcBorders>
            <w:shd w:val="clear" w:color="auto" w:fill="auto"/>
            <w:noWrap/>
            <w:vAlign w:val="center"/>
            <w:hideMark/>
          </w:tcPr>
          <w:p w14:paraId="56FE0C0D" w14:textId="77777777" w:rsidR="0043709B" w:rsidRPr="0043709B" w:rsidRDefault="0043709B" w:rsidP="0043709B">
            <w:pPr>
              <w:jc w:val="right"/>
              <w:rPr>
                <w:rFonts w:ascii="Arial Narrow" w:hAnsi="Arial Narrow" w:cs="Calibri"/>
                <w:sz w:val="16"/>
                <w:szCs w:val="16"/>
              </w:rPr>
            </w:pPr>
            <w:r w:rsidRPr="0043709B">
              <w:rPr>
                <w:rFonts w:ascii="Arial Narrow" w:hAnsi="Arial Narrow" w:cs="Calibri"/>
                <w:sz w:val="16"/>
                <w:szCs w:val="16"/>
              </w:rPr>
              <w:t>116,6</w:t>
            </w:r>
          </w:p>
        </w:tc>
        <w:tc>
          <w:tcPr>
            <w:tcW w:w="1300" w:type="dxa"/>
            <w:tcBorders>
              <w:top w:val="nil"/>
              <w:left w:val="nil"/>
              <w:bottom w:val="single" w:sz="4" w:space="0" w:color="auto"/>
              <w:right w:val="single" w:sz="4" w:space="0" w:color="auto"/>
            </w:tcBorders>
            <w:shd w:val="clear" w:color="auto" w:fill="auto"/>
            <w:noWrap/>
            <w:vAlign w:val="center"/>
            <w:hideMark/>
          </w:tcPr>
          <w:p w14:paraId="6B2144A8" w14:textId="77777777" w:rsidR="0043709B" w:rsidRPr="0043709B" w:rsidRDefault="0043709B" w:rsidP="0043709B">
            <w:pPr>
              <w:jc w:val="right"/>
              <w:rPr>
                <w:rFonts w:ascii="Arial Narrow" w:hAnsi="Arial Narrow" w:cs="Calibri"/>
                <w:sz w:val="16"/>
                <w:szCs w:val="16"/>
              </w:rPr>
            </w:pPr>
            <w:r w:rsidRPr="0043709B">
              <w:rPr>
                <w:rFonts w:ascii="Arial Narrow" w:hAnsi="Arial Narrow" w:cs="Calibri"/>
                <w:sz w:val="16"/>
                <w:szCs w:val="16"/>
              </w:rPr>
              <w:t>122,5</w:t>
            </w:r>
          </w:p>
        </w:tc>
        <w:tc>
          <w:tcPr>
            <w:tcW w:w="1220" w:type="dxa"/>
            <w:tcBorders>
              <w:top w:val="nil"/>
              <w:left w:val="nil"/>
              <w:bottom w:val="single" w:sz="4" w:space="0" w:color="auto"/>
              <w:right w:val="single" w:sz="4" w:space="0" w:color="auto"/>
            </w:tcBorders>
            <w:shd w:val="clear" w:color="auto" w:fill="auto"/>
            <w:noWrap/>
            <w:vAlign w:val="center"/>
            <w:hideMark/>
          </w:tcPr>
          <w:p w14:paraId="7653DD7C" w14:textId="77777777" w:rsidR="0043709B" w:rsidRPr="0043709B" w:rsidRDefault="0043709B" w:rsidP="0043709B">
            <w:pPr>
              <w:jc w:val="right"/>
              <w:rPr>
                <w:rFonts w:ascii="Arial Narrow" w:hAnsi="Arial Narrow" w:cs="Calibri"/>
                <w:sz w:val="16"/>
                <w:szCs w:val="16"/>
              </w:rPr>
            </w:pPr>
            <w:r w:rsidRPr="0043709B">
              <w:rPr>
                <w:rFonts w:ascii="Arial Narrow" w:hAnsi="Arial Narrow" w:cs="Calibri"/>
                <w:sz w:val="16"/>
                <w:szCs w:val="16"/>
              </w:rPr>
              <w:t>99,5</w:t>
            </w:r>
          </w:p>
        </w:tc>
        <w:tc>
          <w:tcPr>
            <w:tcW w:w="1236" w:type="dxa"/>
            <w:tcBorders>
              <w:top w:val="nil"/>
              <w:left w:val="nil"/>
              <w:bottom w:val="single" w:sz="4" w:space="0" w:color="auto"/>
              <w:right w:val="single" w:sz="4" w:space="0" w:color="auto"/>
            </w:tcBorders>
            <w:shd w:val="clear" w:color="auto" w:fill="auto"/>
            <w:noWrap/>
            <w:vAlign w:val="center"/>
            <w:hideMark/>
          </w:tcPr>
          <w:p w14:paraId="0A64D303" w14:textId="77777777" w:rsidR="0043709B" w:rsidRPr="0043709B" w:rsidRDefault="0043709B" w:rsidP="0043709B">
            <w:pPr>
              <w:jc w:val="right"/>
              <w:rPr>
                <w:rFonts w:ascii="Arial Narrow" w:hAnsi="Arial Narrow" w:cs="Calibri"/>
                <w:sz w:val="16"/>
                <w:szCs w:val="16"/>
              </w:rPr>
            </w:pPr>
            <w:r w:rsidRPr="0043709B">
              <w:rPr>
                <w:rFonts w:ascii="Arial Narrow" w:hAnsi="Arial Narrow" w:cs="Calibri"/>
                <w:sz w:val="16"/>
                <w:szCs w:val="16"/>
              </w:rPr>
              <w:t>121,9</w:t>
            </w:r>
          </w:p>
        </w:tc>
        <w:tc>
          <w:tcPr>
            <w:tcW w:w="1260" w:type="dxa"/>
            <w:tcBorders>
              <w:top w:val="nil"/>
              <w:left w:val="nil"/>
              <w:bottom w:val="single" w:sz="4" w:space="0" w:color="auto"/>
              <w:right w:val="single" w:sz="4" w:space="0" w:color="auto"/>
            </w:tcBorders>
            <w:shd w:val="clear" w:color="auto" w:fill="auto"/>
            <w:noWrap/>
            <w:vAlign w:val="center"/>
            <w:hideMark/>
          </w:tcPr>
          <w:p w14:paraId="58FFE265" w14:textId="77777777" w:rsidR="0043709B" w:rsidRPr="0043709B" w:rsidRDefault="0043709B" w:rsidP="0043709B">
            <w:pPr>
              <w:jc w:val="right"/>
              <w:rPr>
                <w:rFonts w:ascii="Arial Narrow" w:hAnsi="Arial Narrow" w:cs="Arial"/>
                <w:sz w:val="16"/>
                <w:szCs w:val="16"/>
              </w:rPr>
            </w:pPr>
            <w:r w:rsidRPr="0043709B">
              <w:rPr>
                <w:rFonts w:ascii="Arial Narrow" w:hAnsi="Arial Narrow" w:cs="Arial"/>
                <w:sz w:val="16"/>
                <w:szCs w:val="16"/>
              </w:rPr>
              <w:t>116,0</w:t>
            </w:r>
          </w:p>
        </w:tc>
      </w:tr>
      <w:tr w:rsidR="0043709B" w:rsidRPr="0043709B" w14:paraId="463A6A75" w14:textId="77777777" w:rsidTr="0043709B">
        <w:trPr>
          <w:trHeight w:val="250"/>
        </w:trPr>
        <w:tc>
          <w:tcPr>
            <w:tcW w:w="781" w:type="dxa"/>
            <w:tcBorders>
              <w:top w:val="nil"/>
              <w:left w:val="single" w:sz="4" w:space="0" w:color="auto"/>
              <w:bottom w:val="single" w:sz="4" w:space="0" w:color="auto"/>
              <w:right w:val="single" w:sz="4" w:space="0" w:color="auto"/>
            </w:tcBorders>
            <w:shd w:val="clear" w:color="auto" w:fill="auto"/>
            <w:noWrap/>
            <w:vAlign w:val="center"/>
            <w:hideMark/>
          </w:tcPr>
          <w:p w14:paraId="0616FE54" w14:textId="77777777" w:rsidR="0043709B" w:rsidRPr="0043709B" w:rsidRDefault="0043709B" w:rsidP="0043709B">
            <w:pPr>
              <w:rPr>
                <w:rFonts w:ascii="Arial Narrow" w:hAnsi="Arial Narrow" w:cs="Arial"/>
                <w:sz w:val="16"/>
                <w:szCs w:val="16"/>
              </w:rPr>
            </w:pPr>
            <w:r w:rsidRPr="0043709B">
              <w:rPr>
                <w:rFonts w:ascii="Arial Narrow" w:hAnsi="Arial Narrow" w:cs="Arial"/>
                <w:sz w:val="16"/>
                <w:szCs w:val="16"/>
              </w:rPr>
              <w:t>17.1/7</w:t>
            </w:r>
          </w:p>
        </w:tc>
        <w:tc>
          <w:tcPr>
            <w:tcW w:w="3016" w:type="dxa"/>
            <w:tcBorders>
              <w:top w:val="nil"/>
              <w:left w:val="nil"/>
              <w:bottom w:val="single" w:sz="4" w:space="0" w:color="auto"/>
              <w:right w:val="single" w:sz="4" w:space="0" w:color="auto"/>
            </w:tcBorders>
            <w:shd w:val="clear" w:color="auto" w:fill="auto"/>
            <w:noWrap/>
            <w:vAlign w:val="center"/>
            <w:hideMark/>
          </w:tcPr>
          <w:p w14:paraId="3B279FE0" w14:textId="77777777" w:rsidR="0043709B" w:rsidRPr="0043709B" w:rsidRDefault="0043709B" w:rsidP="0043709B">
            <w:pPr>
              <w:ind w:firstLineChars="100" w:firstLine="160"/>
              <w:rPr>
                <w:rFonts w:ascii="Arial Narrow" w:hAnsi="Arial Narrow" w:cs="Calibri"/>
                <w:sz w:val="16"/>
                <w:szCs w:val="16"/>
              </w:rPr>
            </w:pPr>
            <w:r w:rsidRPr="0043709B">
              <w:rPr>
                <w:rFonts w:ascii="Arial Narrow" w:hAnsi="Arial Narrow" w:cs="Calibri"/>
                <w:sz w:val="16"/>
                <w:szCs w:val="16"/>
              </w:rPr>
              <w:t>- друга</w:t>
            </w:r>
          </w:p>
        </w:tc>
        <w:tc>
          <w:tcPr>
            <w:tcW w:w="1180" w:type="dxa"/>
            <w:tcBorders>
              <w:top w:val="nil"/>
              <w:left w:val="nil"/>
              <w:bottom w:val="single" w:sz="4" w:space="0" w:color="auto"/>
              <w:right w:val="single" w:sz="4" w:space="0" w:color="auto"/>
            </w:tcBorders>
            <w:shd w:val="clear" w:color="auto" w:fill="auto"/>
            <w:vAlign w:val="center"/>
          </w:tcPr>
          <w:p w14:paraId="7A2D3986" w14:textId="77777777" w:rsidR="0043709B" w:rsidRPr="0043709B" w:rsidRDefault="0043709B" w:rsidP="0043709B">
            <w:pPr>
              <w:jc w:val="right"/>
              <w:rPr>
                <w:rFonts w:ascii="Arial Narrow" w:hAnsi="Arial Narrow" w:cs="Calibri"/>
                <w:sz w:val="16"/>
                <w:szCs w:val="16"/>
              </w:rPr>
            </w:pPr>
            <w:r w:rsidRPr="0043709B">
              <w:rPr>
                <w:rFonts w:ascii="Arial Narrow" w:hAnsi="Arial Narrow" w:cs="Calibri"/>
                <w:sz w:val="16"/>
                <w:szCs w:val="16"/>
              </w:rPr>
              <w:t>6,9</w:t>
            </w:r>
          </w:p>
        </w:tc>
        <w:tc>
          <w:tcPr>
            <w:tcW w:w="1170" w:type="dxa"/>
            <w:tcBorders>
              <w:top w:val="nil"/>
              <w:left w:val="nil"/>
              <w:bottom w:val="single" w:sz="4" w:space="0" w:color="auto"/>
              <w:right w:val="single" w:sz="4" w:space="0" w:color="auto"/>
            </w:tcBorders>
            <w:shd w:val="clear" w:color="auto" w:fill="auto"/>
            <w:noWrap/>
            <w:vAlign w:val="center"/>
            <w:hideMark/>
          </w:tcPr>
          <w:p w14:paraId="3404D220" w14:textId="77777777" w:rsidR="0043709B" w:rsidRPr="0043709B" w:rsidRDefault="0043709B" w:rsidP="0043709B">
            <w:pPr>
              <w:jc w:val="right"/>
              <w:rPr>
                <w:rFonts w:ascii="Arial Narrow" w:hAnsi="Arial Narrow" w:cs="Calibri"/>
                <w:sz w:val="16"/>
                <w:szCs w:val="16"/>
              </w:rPr>
            </w:pPr>
            <w:r w:rsidRPr="0043709B">
              <w:rPr>
                <w:rFonts w:ascii="Arial Narrow" w:hAnsi="Arial Narrow" w:cs="Calibri"/>
                <w:sz w:val="16"/>
                <w:szCs w:val="16"/>
              </w:rPr>
              <w:t>79,7</w:t>
            </w:r>
          </w:p>
        </w:tc>
        <w:tc>
          <w:tcPr>
            <w:tcW w:w="1300" w:type="dxa"/>
            <w:tcBorders>
              <w:top w:val="nil"/>
              <w:left w:val="nil"/>
              <w:bottom w:val="single" w:sz="4" w:space="0" w:color="auto"/>
              <w:right w:val="single" w:sz="4" w:space="0" w:color="auto"/>
            </w:tcBorders>
            <w:shd w:val="clear" w:color="auto" w:fill="auto"/>
            <w:noWrap/>
            <w:vAlign w:val="center"/>
            <w:hideMark/>
          </w:tcPr>
          <w:p w14:paraId="37FDE6A0" w14:textId="77777777" w:rsidR="0043709B" w:rsidRPr="0043709B" w:rsidRDefault="0043709B" w:rsidP="0043709B">
            <w:pPr>
              <w:jc w:val="right"/>
              <w:rPr>
                <w:rFonts w:ascii="Arial Narrow" w:hAnsi="Arial Narrow" w:cs="Calibri"/>
                <w:sz w:val="16"/>
                <w:szCs w:val="16"/>
              </w:rPr>
            </w:pPr>
            <w:r w:rsidRPr="0043709B">
              <w:rPr>
                <w:rFonts w:ascii="Arial Narrow" w:hAnsi="Arial Narrow" w:cs="Calibri"/>
                <w:sz w:val="16"/>
                <w:szCs w:val="16"/>
              </w:rPr>
              <w:t>5,5</w:t>
            </w:r>
          </w:p>
        </w:tc>
        <w:tc>
          <w:tcPr>
            <w:tcW w:w="1220" w:type="dxa"/>
            <w:tcBorders>
              <w:top w:val="nil"/>
              <w:left w:val="nil"/>
              <w:bottom w:val="single" w:sz="4" w:space="0" w:color="auto"/>
              <w:right w:val="single" w:sz="4" w:space="0" w:color="auto"/>
            </w:tcBorders>
            <w:shd w:val="clear" w:color="auto" w:fill="auto"/>
            <w:noWrap/>
            <w:vAlign w:val="center"/>
            <w:hideMark/>
          </w:tcPr>
          <w:p w14:paraId="2285492A" w14:textId="77777777" w:rsidR="0043709B" w:rsidRPr="0043709B" w:rsidRDefault="0043709B" w:rsidP="0043709B">
            <w:pPr>
              <w:jc w:val="right"/>
              <w:rPr>
                <w:rFonts w:ascii="Arial Narrow" w:hAnsi="Arial Narrow" w:cs="Calibri"/>
                <w:sz w:val="16"/>
                <w:szCs w:val="16"/>
              </w:rPr>
            </w:pPr>
            <w:r w:rsidRPr="0043709B">
              <w:rPr>
                <w:rFonts w:ascii="Arial Narrow" w:hAnsi="Arial Narrow" w:cs="Calibri"/>
                <w:sz w:val="16"/>
                <w:szCs w:val="16"/>
              </w:rPr>
              <w:t>98,2</w:t>
            </w:r>
          </w:p>
        </w:tc>
        <w:tc>
          <w:tcPr>
            <w:tcW w:w="1236" w:type="dxa"/>
            <w:tcBorders>
              <w:top w:val="nil"/>
              <w:left w:val="nil"/>
              <w:bottom w:val="single" w:sz="4" w:space="0" w:color="auto"/>
              <w:right w:val="single" w:sz="4" w:space="0" w:color="auto"/>
            </w:tcBorders>
            <w:shd w:val="clear" w:color="auto" w:fill="auto"/>
            <w:noWrap/>
            <w:vAlign w:val="center"/>
            <w:hideMark/>
          </w:tcPr>
          <w:p w14:paraId="6E549D35" w14:textId="77777777" w:rsidR="0043709B" w:rsidRPr="0043709B" w:rsidRDefault="0043709B" w:rsidP="0043709B">
            <w:pPr>
              <w:jc w:val="right"/>
              <w:rPr>
                <w:rFonts w:ascii="Arial Narrow" w:hAnsi="Arial Narrow" w:cs="Calibri"/>
                <w:sz w:val="16"/>
                <w:szCs w:val="16"/>
              </w:rPr>
            </w:pPr>
            <w:r w:rsidRPr="0043709B">
              <w:rPr>
                <w:rFonts w:ascii="Arial Narrow" w:hAnsi="Arial Narrow" w:cs="Calibri"/>
                <w:sz w:val="16"/>
                <w:szCs w:val="16"/>
              </w:rPr>
              <w:t>5,4</w:t>
            </w:r>
          </w:p>
        </w:tc>
        <w:tc>
          <w:tcPr>
            <w:tcW w:w="1260" w:type="dxa"/>
            <w:tcBorders>
              <w:top w:val="nil"/>
              <w:left w:val="nil"/>
              <w:bottom w:val="single" w:sz="4" w:space="0" w:color="auto"/>
              <w:right w:val="single" w:sz="4" w:space="0" w:color="auto"/>
            </w:tcBorders>
            <w:shd w:val="clear" w:color="auto" w:fill="auto"/>
            <w:noWrap/>
            <w:vAlign w:val="center"/>
            <w:hideMark/>
          </w:tcPr>
          <w:p w14:paraId="3F1FE900" w14:textId="77777777" w:rsidR="0043709B" w:rsidRPr="0043709B" w:rsidRDefault="0043709B" w:rsidP="0043709B">
            <w:pPr>
              <w:jc w:val="right"/>
              <w:rPr>
                <w:rFonts w:ascii="Arial Narrow" w:hAnsi="Arial Narrow" w:cs="Arial"/>
                <w:sz w:val="16"/>
                <w:szCs w:val="16"/>
              </w:rPr>
            </w:pPr>
            <w:r w:rsidRPr="0043709B">
              <w:rPr>
                <w:rFonts w:ascii="Arial Narrow" w:hAnsi="Arial Narrow" w:cs="Arial"/>
                <w:sz w:val="16"/>
                <w:szCs w:val="16"/>
              </w:rPr>
              <w:t>78,3</w:t>
            </w:r>
          </w:p>
        </w:tc>
      </w:tr>
      <w:tr w:rsidR="0043709B" w:rsidRPr="0043709B" w14:paraId="0DF1C15A" w14:textId="77777777" w:rsidTr="0043709B">
        <w:trPr>
          <w:trHeight w:val="326"/>
        </w:trPr>
        <w:tc>
          <w:tcPr>
            <w:tcW w:w="781" w:type="dxa"/>
            <w:tcBorders>
              <w:top w:val="nil"/>
              <w:left w:val="single" w:sz="4" w:space="0" w:color="auto"/>
              <w:bottom w:val="single" w:sz="4" w:space="0" w:color="auto"/>
              <w:right w:val="single" w:sz="4" w:space="0" w:color="auto"/>
            </w:tcBorders>
            <w:shd w:val="clear" w:color="auto" w:fill="auto"/>
            <w:noWrap/>
            <w:vAlign w:val="center"/>
            <w:hideMark/>
          </w:tcPr>
          <w:p w14:paraId="4A12F2F4" w14:textId="77777777" w:rsidR="0043709B" w:rsidRPr="0043709B" w:rsidRDefault="0043709B" w:rsidP="0043709B">
            <w:pPr>
              <w:rPr>
                <w:rFonts w:ascii="Arial Narrow" w:hAnsi="Arial Narrow" w:cs="Arial"/>
                <w:sz w:val="16"/>
                <w:szCs w:val="16"/>
              </w:rPr>
            </w:pPr>
            <w:r w:rsidRPr="0043709B">
              <w:rPr>
                <w:rFonts w:ascii="Arial Narrow" w:hAnsi="Arial Narrow" w:cs="Arial"/>
                <w:sz w:val="16"/>
                <w:szCs w:val="16"/>
              </w:rPr>
              <w:t>17.2</w:t>
            </w:r>
          </w:p>
        </w:tc>
        <w:tc>
          <w:tcPr>
            <w:tcW w:w="3016" w:type="dxa"/>
            <w:tcBorders>
              <w:top w:val="nil"/>
              <w:left w:val="nil"/>
              <w:bottom w:val="single" w:sz="4" w:space="0" w:color="auto"/>
              <w:right w:val="single" w:sz="4" w:space="0" w:color="auto"/>
            </w:tcBorders>
            <w:shd w:val="clear" w:color="auto" w:fill="auto"/>
            <w:noWrap/>
            <w:vAlign w:val="center"/>
            <w:hideMark/>
          </w:tcPr>
          <w:p w14:paraId="53FF5C6C" w14:textId="77777777" w:rsidR="0043709B" w:rsidRPr="0043709B" w:rsidRDefault="0043709B" w:rsidP="0043709B">
            <w:pPr>
              <w:rPr>
                <w:rFonts w:ascii="Arial Narrow" w:hAnsi="Arial Narrow" w:cs="Calibri"/>
                <w:sz w:val="16"/>
                <w:szCs w:val="16"/>
              </w:rPr>
            </w:pPr>
            <w:r w:rsidRPr="0043709B">
              <w:rPr>
                <w:rFonts w:ascii="Arial Narrow" w:hAnsi="Arial Narrow" w:cs="Calibri"/>
                <w:sz w:val="16"/>
                <w:szCs w:val="16"/>
              </w:rPr>
              <w:t>Други неотделими второстепенни дейности</w:t>
            </w:r>
          </w:p>
        </w:tc>
        <w:tc>
          <w:tcPr>
            <w:tcW w:w="1180" w:type="dxa"/>
            <w:tcBorders>
              <w:top w:val="nil"/>
              <w:left w:val="nil"/>
              <w:bottom w:val="single" w:sz="4" w:space="0" w:color="auto"/>
              <w:right w:val="single" w:sz="4" w:space="0" w:color="auto"/>
            </w:tcBorders>
            <w:shd w:val="clear" w:color="auto" w:fill="auto"/>
            <w:vAlign w:val="center"/>
          </w:tcPr>
          <w:p w14:paraId="068976A7" w14:textId="77777777" w:rsidR="0043709B" w:rsidRPr="0043709B" w:rsidRDefault="0043709B" w:rsidP="0043709B">
            <w:pPr>
              <w:jc w:val="right"/>
              <w:rPr>
                <w:rFonts w:ascii="Arial Narrow" w:hAnsi="Arial Narrow" w:cs="Calibri"/>
                <w:sz w:val="16"/>
                <w:szCs w:val="16"/>
              </w:rPr>
            </w:pPr>
            <w:r w:rsidRPr="0043709B">
              <w:rPr>
                <w:rFonts w:ascii="Arial Narrow" w:hAnsi="Arial Narrow" w:cs="Calibri"/>
                <w:sz w:val="16"/>
                <w:szCs w:val="16"/>
              </w:rPr>
              <w:t> </w:t>
            </w:r>
          </w:p>
        </w:tc>
        <w:tc>
          <w:tcPr>
            <w:tcW w:w="1170" w:type="dxa"/>
            <w:tcBorders>
              <w:top w:val="nil"/>
              <w:left w:val="nil"/>
              <w:bottom w:val="single" w:sz="4" w:space="0" w:color="auto"/>
              <w:right w:val="single" w:sz="4" w:space="0" w:color="auto"/>
            </w:tcBorders>
            <w:shd w:val="clear" w:color="auto" w:fill="auto"/>
            <w:noWrap/>
            <w:vAlign w:val="center"/>
            <w:hideMark/>
          </w:tcPr>
          <w:p w14:paraId="629988DB" w14:textId="77777777" w:rsidR="0043709B" w:rsidRPr="0043709B" w:rsidRDefault="0043709B" w:rsidP="0043709B">
            <w:pPr>
              <w:jc w:val="right"/>
              <w:rPr>
                <w:rFonts w:ascii="Arial Narrow" w:hAnsi="Arial Narrow" w:cs="Calibri"/>
                <w:sz w:val="16"/>
                <w:szCs w:val="16"/>
              </w:rPr>
            </w:pPr>
          </w:p>
        </w:tc>
        <w:tc>
          <w:tcPr>
            <w:tcW w:w="1300" w:type="dxa"/>
            <w:tcBorders>
              <w:top w:val="nil"/>
              <w:left w:val="nil"/>
              <w:bottom w:val="single" w:sz="4" w:space="0" w:color="auto"/>
              <w:right w:val="single" w:sz="4" w:space="0" w:color="auto"/>
            </w:tcBorders>
            <w:shd w:val="clear" w:color="auto" w:fill="auto"/>
            <w:noWrap/>
            <w:vAlign w:val="center"/>
            <w:hideMark/>
          </w:tcPr>
          <w:p w14:paraId="37242F7F" w14:textId="77777777" w:rsidR="0043709B" w:rsidRPr="0043709B" w:rsidRDefault="0043709B" w:rsidP="0043709B">
            <w:pPr>
              <w:jc w:val="right"/>
              <w:rPr>
                <w:rFonts w:ascii="Arial Narrow" w:hAnsi="Arial Narrow" w:cs="Calibri"/>
                <w:sz w:val="16"/>
                <w:szCs w:val="16"/>
              </w:rPr>
            </w:pPr>
            <w:r w:rsidRPr="0043709B">
              <w:rPr>
                <w:rFonts w:ascii="Arial Narrow" w:hAnsi="Arial Narrow" w:cs="Calibri"/>
                <w:sz w:val="16"/>
                <w:szCs w:val="16"/>
              </w:rPr>
              <w:t> </w:t>
            </w:r>
          </w:p>
        </w:tc>
        <w:tc>
          <w:tcPr>
            <w:tcW w:w="1220" w:type="dxa"/>
            <w:tcBorders>
              <w:top w:val="nil"/>
              <w:left w:val="nil"/>
              <w:bottom w:val="single" w:sz="4" w:space="0" w:color="auto"/>
              <w:right w:val="single" w:sz="4" w:space="0" w:color="auto"/>
            </w:tcBorders>
            <w:shd w:val="clear" w:color="auto" w:fill="auto"/>
            <w:noWrap/>
            <w:vAlign w:val="center"/>
            <w:hideMark/>
          </w:tcPr>
          <w:p w14:paraId="023EF13C" w14:textId="77777777" w:rsidR="0043709B" w:rsidRPr="0043709B" w:rsidRDefault="0043709B" w:rsidP="0043709B">
            <w:pPr>
              <w:jc w:val="right"/>
              <w:rPr>
                <w:rFonts w:ascii="Arial Narrow" w:hAnsi="Arial Narrow" w:cs="Calibri"/>
                <w:sz w:val="16"/>
                <w:szCs w:val="16"/>
              </w:rPr>
            </w:pPr>
          </w:p>
        </w:tc>
        <w:tc>
          <w:tcPr>
            <w:tcW w:w="1236" w:type="dxa"/>
            <w:tcBorders>
              <w:top w:val="nil"/>
              <w:left w:val="nil"/>
              <w:bottom w:val="single" w:sz="4" w:space="0" w:color="auto"/>
              <w:right w:val="single" w:sz="4" w:space="0" w:color="auto"/>
            </w:tcBorders>
            <w:shd w:val="clear" w:color="auto" w:fill="auto"/>
            <w:noWrap/>
            <w:vAlign w:val="center"/>
            <w:hideMark/>
          </w:tcPr>
          <w:p w14:paraId="43B932F5" w14:textId="77777777" w:rsidR="0043709B" w:rsidRPr="0043709B" w:rsidRDefault="0043709B" w:rsidP="0043709B">
            <w:pPr>
              <w:jc w:val="right"/>
              <w:rPr>
                <w:rFonts w:ascii="Arial Narrow" w:hAnsi="Arial Narrow" w:cs="Calibri"/>
                <w:sz w:val="16"/>
                <w:szCs w:val="16"/>
              </w:rPr>
            </w:pPr>
            <w:r w:rsidRPr="0043709B">
              <w:rPr>
                <w:rFonts w:ascii="Arial Narrow" w:hAnsi="Arial Narrow" w:cs="Calibri"/>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14:paraId="32E4C8A2" w14:textId="77777777" w:rsidR="0043709B" w:rsidRPr="0043709B" w:rsidRDefault="0043709B" w:rsidP="0043709B">
            <w:pPr>
              <w:jc w:val="right"/>
              <w:rPr>
                <w:rFonts w:ascii="Arial Narrow" w:hAnsi="Arial Narrow" w:cs="Arial"/>
                <w:sz w:val="16"/>
                <w:szCs w:val="16"/>
              </w:rPr>
            </w:pPr>
          </w:p>
        </w:tc>
      </w:tr>
      <w:tr w:rsidR="0043709B" w:rsidRPr="0043709B" w14:paraId="662DFC07" w14:textId="77777777" w:rsidTr="0043709B">
        <w:trPr>
          <w:trHeight w:val="467"/>
        </w:trPr>
        <w:tc>
          <w:tcPr>
            <w:tcW w:w="781" w:type="dxa"/>
            <w:tcBorders>
              <w:top w:val="nil"/>
              <w:left w:val="single" w:sz="4" w:space="0" w:color="auto"/>
              <w:bottom w:val="single" w:sz="4" w:space="0" w:color="auto"/>
              <w:right w:val="single" w:sz="4" w:space="0" w:color="auto"/>
            </w:tcBorders>
            <w:shd w:val="clear" w:color="auto" w:fill="auto"/>
            <w:noWrap/>
            <w:vAlign w:val="center"/>
            <w:hideMark/>
          </w:tcPr>
          <w:p w14:paraId="0E934CA6" w14:textId="77777777" w:rsidR="0043709B" w:rsidRPr="0043709B" w:rsidRDefault="0043709B" w:rsidP="0043709B">
            <w:pPr>
              <w:rPr>
                <w:rFonts w:ascii="Arial Narrow" w:hAnsi="Arial Narrow" w:cs="Arial"/>
                <w:b/>
                <w:bCs/>
                <w:sz w:val="16"/>
                <w:szCs w:val="16"/>
              </w:rPr>
            </w:pPr>
            <w:r w:rsidRPr="0043709B">
              <w:rPr>
                <w:rFonts w:ascii="Arial Narrow" w:hAnsi="Arial Narrow" w:cs="Arial"/>
                <w:b/>
                <w:bCs/>
                <w:sz w:val="16"/>
                <w:szCs w:val="16"/>
              </w:rPr>
              <w:t>18</w:t>
            </w:r>
          </w:p>
        </w:tc>
        <w:tc>
          <w:tcPr>
            <w:tcW w:w="3016" w:type="dxa"/>
            <w:tcBorders>
              <w:top w:val="nil"/>
              <w:left w:val="nil"/>
              <w:bottom w:val="single" w:sz="4" w:space="0" w:color="auto"/>
              <w:right w:val="single" w:sz="4" w:space="0" w:color="auto"/>
            </w:tcBorders>
            <w:shd w:val="clear" w:color="000000" w:fill="FFFFFF"/>
            <w:vAlign w:val="center"/>
            <w:hideMark/>
          </w:tcPr>
          <w:p w14:paraId="43F04390" w14:textId="77777777" w:rsidR="0043709B" w:rsidRPr="0043709B" w:rsidRDefault="0043709B" w:rsidP="0043709B">
            <w:pPr>
              <w:rPr>
                <w:rFonts w:ascii="Arial Narrow" w:hAnsi="Arial Narrow" w:cs="Calibri"/>
                <w:b/>
                <w:bCs/>
                <w:sz w:val="16"/>
                <w:szCs w:val="16"/>
              </w:rPr>
            </w:pPr>
            <w:r w:rsidRPr="0043709B">
              <w:rPr>
                <w:rFonts w:ascii="Arial Narrow" w:hAnsi="Arial Narrow" w:cs="Calibri"/>
                <w:b/>
                <w:bCs/>
                <w:sz w:val="16"/>
                <w:szCs w:val="16"/>
              </w:rPr>
              <w:t>ПРОДУКЦИЯ ОТ ОТРАСЪЛ 'СЕЛСКО СТОПАНСТВО' (16+17)</w:t>
            </w:r>
          </w:p>
        </w:tc>
        <w:tc>
          <w:tcPr>
            <w:tcW w:w="1180" w:type="dxa"/>
            <w:tcBorders>
              <w:top w:val="nil"/>
              <w:left w:val="nil"/>
              <w:bottom w:val="single" w:sz="4" w:space="0" w:color="auto"/>
              <w:right w:val="single" w:sz="4" w:space="0" w:color="auto"/>
            </w:tcBorders>
            <w:shd w:val="clear" w:color="auto" w:fill="auto"/>
            <w:vAlign w:val="center"/>
          </w:tcPr>
          <w:p w14:paraId="735CBB2F" w14:textId="77777777" w:rsidR="0043709B" w:rsidRPr="0043709B" w:rsidRDefault="0043709B" w:rsidP="0043709B">
            <w:pPr>
              <w:jc w:val="right"/>
              <w:rPr>
                <w:rFonts w:ascii="Arial Narrow" w:hAnsi="Arial Narrow" w:cs="Calibri"/>
                <w:b/>
                <w:bCs/>
                <w:sz w:val="16"/>
                <w:szCs w:val="16"/>
              </w:rPr>
            </w:pPr>
            <w:r w:rsidRPr="0043709B">
              <w:rPr>
                <w:rFonts w:ascii="Arial Narrow" w:hAnsi="Arial Narrow" w:cs="Calibri"/>
                <w:b/>
                <w:bCs/>
                <w:sz w:val="16"/>
                <w:szCs w:val="16"/>
              </w:rPr>
              <w:t>10 554,4</w:t>
            </w:r>
          </w:p>
        </w:tc>
        <w:tc>
          <w:tcPr>
            <w:tcW w:w="1170" w:type="dxa"/>
            <w:tcBorders>
              <w:top w:val="nil"/>
              <w:left w:val="nil"/>
              <w:bottom w:val="single" w:sz="4" w:space="0" w:color="auto"/>
              <w:right w:val="single" w:sz="4" w:space="0" w:color="auto"/>
            </w:tcBorders>
            <w:shd w:val="clear" w:color="auto" w:fill="auto"/>
            <w:noWrap/>
            <w:vAlign w:val="center"/>
            <w:hideMark/>
          </w:tcPr>
          <w:p w14:paraId="4785EC0A" w14:textId="77777777" w:rsidR="0043709B" w:rsidRPr="0043709B" w:rsidRDefault="0043709B" w:rsidP="0043709B">
            <w:pPr>
              <w:jc w:val="right"/>
              <w:rPr>
                <w:rFonts w:ascii="Arial Narrow" w:hAnsi="Arial Narrow" w:cs="Calibri"/>
                <w:b/>
                <w:bCs/>
                <w:sz w:val="16"/>
                <w:szCs w:val="16"/>
              </w:rPr>
            </w:pPr>
            <w:r w:rsidRPr="0043709B">
              <w:rPr>
                <w:rFonts w:ascii="Arial Narrow" w:hAnsi="Arial Narrow" w:cs="Calibri"/>
                <w:b/>
                <w:bCs/>
                <w:sz w:val="16"/>
                <w:szCs w:val="16"/>
              </w:rPr>
              <w:t>96,5</w:t>
            </w:r>
          </w:p>
        </w:tc>
        <w:tc>
          <w:tcPr>
            <w:tcW w:w="1300" w:type="dxa"/>
            <w:tcBorders>
              <w:top w:val="nil"/>
              <w:left w:val="nil"/>
              <w:bottom w:val="single" w:sz="4" w:space="0" w:color="auto"/>
              <w:right w:val="single" w:sz="4" w:space="0" w:color="auto"/>
            </w:tcBorders>
            <w:shd w:val="clear" w:color="auto" w:fill="auto"/>
            <w:noWrap/>
            <w:vAlign w:val="center"/>
            <w:hideMark/>
          </w:tcPr>
          <w:p w14:paraId="77BD201C" w14:textId="77777777" w:rsidR="0043709B" w:rsidRPr="0043709B" w:rsidRDefault="0043709B" w:rsidP="0043709B">
            <w:pPr>
              <w:jc w:val="right"/>
              <w:rPr>
                <w:rFonts w:ascii="Arial Narrow" w:hAnsi="Arial Narrow" w:cs="Calibri"/>
                <w:b/>
                <w:bCs/>
                <w:sz w:val="16"/>
                <w:szCs w:val="16"/>
              </w:rPr>
            </w:pPr>
            <w:r w:rsidRPr="0043709B">
              <w:rPr>
                <w:rFonts w:ascii="Arial Narrow" w:hAnsi="Arial Narrow" w:cs="Calibri"/>
                <w:b/>
                <w:bCs/>
                <w:sz w:val="16"/>
                <w:szCs w:val="16"/>
              </w:rPr>
              <w:t>10 186,5</w:t>
            </w:r>
          </w:p>
        </w:tc>
        <w:tc>
          <w:tcPr>
            <w:tcW w:w="1220" w:type="dxa"/>
            <w:tcBorders>
              <w:top w:val="nil"/>
              <w:left w:val="nil"/>
              <w:bottom w:val="single" w:sz="4" w:space="0" w:color="auto"/>
              <w:right w:val="single" w:sz="4" w:space="0" w:color="auto"/>
            </w:tcBorders>
            <w:shd w:val="clear" w:color="auto" w:fill="auto"/>
            <w:noWrap/>
            <w:vAlign w:val="center"/>
            <w:hideMark/>
          </w:tcPr>
          <w:p w14:paraId="2D85C244" w14:textId="77777777" w:rsidR="0043709B" w:rsidRPr="0043709B" w:rsidRDefault="0043709B" w:rsidP="0043709B">
            <w:pPr>
              <w:jc w:val="right"/>
              <w:rPr>
                <w:rFonts w:ascii="Arial Narrow" w:hAnsi="Arial Narrow" w:cs="Calibri"/>
                <w:b/>
                <w:bCs/>
                <w:sz w:val="16"/>
                <w:szCs w:val="16"/>
              </w:rPr>
            </w:pPr>
            <w:r w:rsidRPr="0043709B">
              <w:rPr>
                <w:rFonts w:ascii="Arial Narrow" w:hAnsi="Arial Narrow" w:cs="Calibri"/>
                <w:b/>
                <w:bCs/>
                <w:sz w:val="16"/>
                <w:szCs w:val="16"/>
              </w:rPr>
              <w:t>95,3</w:t>
            </w:r>
          </w:p>
        </w:tc>
        <w:tc>
          <w:tcPr>
            <w:tcW w:w="1236" w:type="dxa"/>
            <w:tcBorders>
              <w:top w:val="nil"/>
              <w:left w:val="nil"/>
              <w:bottom w:val="single" w:sz="4" w:space="0" w:color="auto"/>
              <w:right w:val="single" w:sz="4" w:space="0" w:color="auto"/>
            </w:tcBorders>
            <w:shd w:val="clear" w:color="auto" w:fill="auto"/>
            <w:noWrap/>
            <w:vAlign w:val="center"/>
            <w:hideMark/>
          </w:tcPr>
          <w:p w14:paraId="7F7A7A59" w14:textId="77777777" w:rsidR="0043709B" w:rsidRPr="0043709B" w:rsidRDefault="0043709B" w:rsidP="0043709B">
            <w:pPr>
              <w:jc w:val="right"/>
              <w:rPr>
                <w:rFonts w:ascii="Arial Narrow" w:hAnsi="Arial Narrow" w:cs="Calibri"/>
                <w:b/>
                <w:bCs/>
                <w:sz w:val="16"/>
                <w:szCs w:val="16"/>
              </w:rPr>
            </w:pPr>
            <w:r w:rsidRPr="0043709B">
              <w:rPr>
                <w:rFonts w:ascii="Arial Narrow" w:hAnsi="Arial Narrow" w:cs="Calibri"/>
                <w:b/>
                <w:bCs/>
                <w:sz w:val="16"/>
                <w:szCs w:val="16"/>
              </w:rPr>
              <w:t>9 707,5</w:t>
            </w:r>
          </w:p>
        </w:tc>
        <w:tc>
          <w:tcPr>
            <w:tcW w:w="1260" w:type="dxa"/>
            <w:tcBorders>
              <w:top w:val="nil"/>
              <w:left w:val="nil"/>
              <w:bottom w:val="single" w:sz="4" w:space="0" w:color="auto"/>
              <w:right w:val="single" w:sz="4" w:space="0" w:color="auto"/>
            </w:tcBorders>
            <w:shd w:val="clear" w:color="auto" w:fill="auto"/>
            <w:noWrap/>
            <w:vAlign w:val="center"/>
            <w:hideMark/>
          </w:tcPr>
          <w:p w14:paraId="18B4ABC2" w14:textId="77777777" w:rsidR="0043709B" w:rsidRPr="0043709B" w:rsidRDefault="0043709B" w:rsidP="0043709B">
            <w:pPr>
              <w:jc w:val="right"/>
              <w:rPr>
                <w:rFonts w:ascii="Arial Narrow" w:hAnsi="Arial Narrow" w:cs="Arial"/>
                <w:b/>
                <w:bCs/>
                <w:sz w:val="16"/>
                <w:szCs w:val="16"/>
              </w:rPr>
            </w:pPr>
            <w:r w:rsidRPr="0043709B">
              <w:rPr>
                <w:rFonts w:ascii="Arial Narrow" w:hAnsi="Arial Narrow" w:cs="Arial"/>
                <w:b/>
                <w:bCs/>
                <w:sz w:val="16"/>
                <w:szCs w:val="16"/>
              </w:rPr>
              <w:t>92,0</w:t>
            </w:r>
          </w:p>
        </w:tc>
      </w:tr>
      <w:tr w:rsidR="0043709B" w:rsidRPr="0043709B" w14:paraId="5EFEA2A6" w14:textId="77777777" w:rsidTr="0043709B">
        <w:trPr>
          <w:trHeight w:val="250"/>
        </w:trPr>
        <w:tc>
          <w:tcPr>
            <w:tcW w:w="781" w:type="dxa"/>
            <w:tcBorders>
              <w:top w:val="nil"/>
              <w:left w:val="single" w:sz="4" w:space="0" w:color="auto"/>
              <w:bottom w:val="single" w:sz="4" w:space="0" w:color="auto"/>
              <w:right w:val="single" w:sz="4" w:space="0" w:color="auto"/>
            </w:tcBorders>
            <w:shd w:val="clear" w:color="auto" w:fill="auto"/>
            <w:noWrap/>
            <w:vAlign w:val="center"/>
            <w:hideMark/>
          </w:tcPr>
          <w:p w14:paraId="0D2A8E7C" w14:textId="77777777" w:rsidR="0043709B" w:rsidRPr="0043709B" w:rsidRDefault="0043709B" w:rsidP="0043709B">
            <w:pPr>
              <w:rPr>
                <w:rFonts w:ascii="Arial Narrow" w:hAnsi="Arial Narrow" w:cs="Arial"/>
                <w:sz w:val="16"/>
                <w:szCs w:val="16"/>
              </w:rPr>
            </w:pPr>
            <w:r w:rsidRPr="0043709B">
              <w:rPr>
                <w:rFonts w:ascii="Arial Narrow" w:hAnsi="Arial Narrow" w:cs="Arial"/>
                <w:sz w:val="16"/>
                <w:szCs w:val="16"/>
              </w:rPr>
              <w:t>19</w:t>
            </w:r>
          </w:p>
        </w:tc>
        <w:tc>
          <w:tcPr>
            <w:tcW w:w="3016" w:type="dxa"/>
            <w:tcBorders>
              <w:top w:val="nil"/>
              <w:left w:val="nil"/>
              <w:bottom w:val="single" w:sz="4" w:space="0" w:color="auto"/>
              <w:right w:val="single" w:sz="4" w:space="0" w:color="auto"/>
            </w:tcBorders>
            <w:shd w:val="clear" w:color="000000" w:fill="FFFFFF"/>
            <w:noWrap/>
            <w:vAlign w:val="center"/>
            <w:hideMark/>
          </w:tcPr>
          <w:p w14:paraId="34A8DAC7" w14:textId="77777777" w:rsidR="0043709B" w:rsidRPr="0043709B" w:rsidRDefault="0043709B" w:rsidP="0043709B">
            <w:pPr>
              <w:rPr>
                <w:rFonts w:ascii="Arial Narrow" w:hAnsi="Arial Narrow" w:cs="Calibri"/>
                <w:b/>
                <w:bCs/>
                <w:sz w:val="16"/>
                <w:szCs w:val="16"/>
              </w:rPr>
            </w:pPr>
            <w:r w:rsidRPr="0043709B">
              <w:rPr>
                <w:rFonts w:ascii="Arial Narrow" w:hAnsi="Arial Narrow" w:cs="Calibri"/>
                <w:b/>
                <w:bCs/>
                <w:sz w:val="16"/>
                <w:szCs w:val="16"/>
              </w:rPr>
              <w:t xml:space="preserve">МЕЖДИННО ПОТРЕБЛЕНИЕ </w:t>
            </w:r>
          </w:p>
        </w:tc>
        <w:tc>
          <w:tcPr>
            <w:tcW w:w="1180" w:type="dxa"/>
            <w:tcBorders>
              <w:top w:val="nil"/>
              <w:left w:val="nil"/>
              <w:bottom w:val="single" w:sz="4" w:space="0" w:color="auto"/>
              <w:right w:val="single" w:sz="4" w:space="0" w:color="auto"/>
            </w:tcBorders>
            <w:shd w:val="clear" w:color="000000" w:fill="FFFFFF"/>
            <w:vAlign w:val="center"/>
          </w:tcPr>
          <w:p w14:paraId="4CDDD2D1" w14:textId="77777777" w:rsidR="0043709B" w:rsidRPr="0043709B" w:rsidRDefault="0043709B" w:rsidP="0043709B">
            <w:pPr>
              <w:jc w:val="right"/>
              <w:rPr>
                <w:rFonts w:ascii="Arial Narrow" w:hAnsi="Arial Narrow" w:cs="Calibri"/>
                <w:b/>
                <w:bCs/>
                <w:sz w:val="16"/>
                <w:szCs w:val="16"/>
              </w:rPr>
            </w:pPr>
            <w:r w:rsidRPr="0043709B">
              <w:rPr>
                <w:rFonts w:ascii="Arial Narrow" w:hAnsi="Arial Narrow" w:cs="Calibri"/>
                <w:b/>
                <w:bCs/>
                <w:sz w:val="16"/>
                <w:szCs w:val="16"/>
              </w:rPr>
              <w:t>6 337,4</w:t>
            </w:r>
          </w:p>
        </w:tc>
        <w:tc>
          <w:tcPr>
            <w:tcW w:w="1170" w:type="dxa"/>
            <w:tcBorders>
              <w:top w:val="nil"/>
              <w:left w:val="nil"/>
              <w:bottom w:val="single" w:sz="4" w:space="0" w:color="auto"/>
              <w:right w:val="single" w:sz="4" w:space="0" w:color="auto"/>
            </w:tcBorders>
            <w:shd w:val="clear" w:color="000000" w:fill="FFFFFF"/>
            <w:noWrap/>
            <w:vAlign w:val="center"/>
            <w:hideMark/>
          </w:tcPr>
          <w:p w14:paraId="74ED838C" w14:textId="77777777" w:rsidR="0043709B" w:rsidRPr="0043709B" w:rsidRDefault="0043709B" w:rsidP="0043709B">
            <w:pPr>
              <w:jc w:val="right"/>
              <w:rPr>
                <w:rFonts w:ascii="Arial Narrow" w:hAnsi="Arial Narrow" w:cs="Calibri"/>
                <w:b/>
                <w:bCs/>
                <w:sz w:val="16"/>
                <w:szCs w:val="16"/>
              </w:rPr>
            </w:pPr>
            <w:r w:rsidRPr="0043709B">
              <w:rPr>
                <w:rFonts w:ascii="Arial Narrow" w:hAnsi="Arial Narrow" w:cs="Calibri"/>
                <w:b/>
                <w:bCs/>
                <w:sz w:val="16"/>
                <w:szCs w:val="16"/>
              </w:rPr>
              <w:t>92,7</w:t>
            </w:r>
          </w:p>
        </w:tc>
        <w:tc>
          <w:tcPr>
            <w:tcW w:w="1300" w:type="dxa"/>
            <w:tcBorders>
              <w:top w:val="nil"/>
              <w:left w:val="nil"/>
              <w:bottom w:val="single" w:sz="4" w:space="0" w:color="auto"/>
              <w:right w:val="single" w:sz="4" w:space="0" w:color="auto"/>
            </w:tcBorders>
            <w:shd w:val="clear" w:color="000000" w:fill="FFFFFF"/>
            <w:noWrap/>
            <w:vAlign w:val="center"/>
            <w:hideMark/>
          </w:tcPr>
          <w:p w14:paraId="56DC9A14" w14:textId="77777777" w:rsidR="0043709B" w:rsidRPr="0043709B" w:rsidRDefault="0043709B" w:rsidP="0043709B">
            <w:pPr>
              <w:jc w:val="right"/>
              <w:rPr>
                <w:rFonts w:ascii="Arial Narrow" w:hAnsi="Arial Narrow" w:cs="Calibri"/>
                <w:b/>
                <w:bCs/>
                <w:sz w:val="16"/>
                <w:szCs w:val="16"/>
              </w:rPr>
            </w:pPr>
            <w:r w:rsidRPr="0043709B">
              <w:rPr>
                <w:rFonts w:ascii="Arial Narrow" w:hAnsi="Arial Narrow" w:cs="Calibri"/>
                <w:b/>
                <w:bCs/>
                <w:sz w:val="16"/>
                <w:szCs w:val="16"/>
              </w:rPr>
              <w:t>5 873,2</w:t>
            </w:r>
          </w:p>
        </w:tc>
        <w:tc>
          <w:tcPr>
            <w:tcW w:w="1220" w:type="dxa"/>
            <w:tcBorders>
              <w:top w:val="nil"/>
              <w:left w:val="nil"/>
              <w:bottom w:val="single" w:sz="4" w:space="0" w:color="auto"/>
              <w:right w:val="single" w:sz="4" w:space="0" w:color="auto"/>
            </w:tcBorders>
            <w:shd w:val="clear" w:color="000000" w:fill="FFFFFF"/>
            <w:noWrap/>
            <w:vAlign w:val="center"/>
            <w:hideMark/>
          </w:tcPr>
          <w:p w14:paraId="680FD3CB" w14:textId="77777777" w:rsidR="0043709B" w:rsidRPr="0043709B" w:rsidRDefault="0043709B" w:rsidP="0043709B">
            <w:pPr>
              <w:jc w:val="right"/>
              <w:rPr>
                <w:rFonts w:ascii="Arial Narrow" w:hAnsi="Arial Narrow" w:cs="Calibri"/>
                <w:b/>
                <w:bCs/>
                <w:sz w:val="16"/>
                <w:szCs w:val="16"/>
              </w:rPr>
            </w:pPr>
            <w:r w:rsidRPr="0043709B">
              <w:rPr>
                <w:rFonts w:ascii="Arial Narrow" w:hAnsi="Arial Narrow" w:cs="Calibri"/>
                <w:b/>
                <w:bCs/>
                <w:sz w:val="16"/>
                <w:szCs w:val="16"/>
              </w:rPr>
              <w:t>97,1</w:t>
            </w:r>
          </w:p>
        </w:tc>
        <w:tc>
          <w:tcPr>
            <w:tcW w:w="1236" w:type="dxa"/>
            <w:tcBorders>
              <w:top w:val="nil"/>
              <w:left w:val="nil"/>
              <w:bottom w:val="single" w:sz="4" w:space="0" w:color="auto"/>
              <w:right w:val="single" w:sz="4" w:space="0" w:color="auto"/>
            </w:tcBorders>
            <w:shd w:val="clear" w:color="000000" w:fill="FFFFFF"/>
            <w:noWrap/>
            <w:vAlign w:val="center"/>
            <w:hideMark/>
          </w:tcPr>
          <w:p w14:paraId="423D0D7B" w14:textId="77777777" w:rsidR="0043709B" w:rsidRPr="0043709B" w:rsidRDefault="0043709B" w:rsidP="0043709B">
            <w:pPr>
              <w:jc w:val="right"/>
              <w:rPr>
                <w:rFonts w:ascii="Arial Narrow" w:hAnsi="Arial Narrow" w:cs="Calibri"/>
                <w:b/>
                <w:bCs/>
                <w:sz w:val="16"/>
                <w:szCs w:val="16"/>
              </w:rPr>
            </w:pPr>
            <w:r w:rsidRPr="0043709B">
              <w:rPr>
                <w:rFonts w:ascii="Arial Narrow" w:hAnsi="Arial Narrow" w:cs="Calibri"/>
                <w:b/>
                <w:bCs/>
                <w:sz w:val="16"/>
                <w:szCs w:val="16"/>
              </w:rPr>
              <w:t>5 700,8</w:t>
            </w:r>
          </w:p>
        </w:tc>
        <w:tc>
          <w:tcPr>
            <w:tcW w:w="1260" w:type="dxa"/>
            <w:tcBorders>
              <w:top w:val="nil"/>
              <w:left w:val="nil"/>
              <w:bottom w:val="single" w:sz="4" w:space="0" w:color="auto"/>
              <w:right w:val="single" w:sz="4" w:space="0" w:color="auto"/>
            </w:tcBorders>
            <w:shd w:val="clear" w:color="auto" w:fill="auto"/>
            <w:noWrap/>
            <w:vAlign w:val="center"/>
            <w:hideMark/>
          </w:tcPr>
          <w:p w14:paraId="3B3AEF64" w14:textId="77777777" w:rsidR="0043709B" w:rsidRPr="0043709B" w:rsidRDefault="0043709B" w:rsidP="0043709B">
            <w:pPr>
              <w:jc w:val="right"/>
              <w:rPr>
                <w:rFonts w:ascii="Arial Narrow" w:hAnsi="Arial Narrow" w:cs="Arial"/>
                <w:b/>
                <w:bCs/>
                <w:sz w:val="16"/>
                <w:szCs w:val="16"/>
              </w:rPr>
            </w:pPr>
            <w:r w:rsidRPr="0043709B">
              <w:rPr>
                <w:rFonts w:ascii="Arial Narrow" w:hAnsi="Arial Narrow" w:cs="Arial"/>
                <w:b/>
                <w:bCs/>
                <w:sz w:val="16"/>
                <w:szCs w:val="16"/>
              </w:rPr>
              <w:t>90,0</w:t>
            </w:r>
          </w:p>
        </w:tc>
      </w:tr>
      <w:tr w:rsidR="0043709B" w:rsidRPr="0043709B" w14:paraId="46D216F6" w14:textId="77777777" w:rsidTr="0043709B">
        <w:trPr>
          <w:trHeight w:val="250"/>
        </w:trPr>
        <w:tc>
          <w:tcPr>
            <w:tcW w:w="781" w:type="dxa"/>
            <w:tcBorders>
              <w:top w:val="nil"/>
              <w:left w:val="single" w:sz="4" w:space="0" w:color="auto"/>
              <w:bottom w:val="single" w:sz="4" w:space="0" w:color="auto"/>
              <w:right w:val="single" w:sz="4" w:space="0" w:color="auto"/>
            </w:tcBorders>
            <w:shd w:val="clear" w:color="auto" w:fill="auto"/>
            <w:noWrap/>
            <w:vAlign w:val="center"/>
            <w:hideMark/>
          </w:tcPr>
          <w:p w14:paraId="69B2938B" w14:textId="77777777" w:rsidR="0043709B" w:rsidRPr="0043709B" w:rsidRDefault="0043709B" w:rsidP="0043709B">
            <w:pPr>
              <w:rPr>
                <w:rFonts w:ascii="Arial Narrow" w:hAnsi="Arial Narrow" w:cs="Arial"/>
                <w:sz w:val="16"/>
                <w:szCs w:val="16"/>
              </w:rPr>
            </w:pPr>
            <w:r w:rsidRPr="0043709B">
              <w:rPr>
                <w:rFonts w:ascii="Arial Narrow" w:hAnsi="Arial Narrow" w:cs="Arial"/>
                <w:sz w:val="16"/>
                <w:szCs w:val="16"/>
              </w:rPr>
              <w:t>19.01</w:t>
            </w:r>
          </w:p>
        </w:tc>
        <w:tc>
          <w:tcPr>
            <w:tcW w:w="3016" w:type="dxa"/>
            <w:tcBorders>
              <w:top w:val="nil"/>
              <w:left w:val="nil"/>
              <w:bottom w:val="single" w:sz="4" w:space="0" w:color="auto"/>
              <w:right w:val="single" w:sz="4" w:space="0" w:color="auto"/>
            </w:tcBorders>
            <w:shd w:val="clear" w:color="000000" w:fill="FFFFFF"/>
            <w:noWrap/>
            <w:vAlign w:val="center"/>
            <w:hideMark/>
          </w:tcPr>
          <w:p w14:paraId="02D32227" w14:textId="77777777" w:rsidR="0043709B" w:rsidRPr="0043709B" w:rsidRDefault="0043709B" w:rsidP="0043709B">
            <w:pPr>
              <w:ind w:firstLineChars="100" w:firstLine="161"/>
              <w:rPr>
                <w:rFonts w:ascii="Arial Narrow" w:hAnsi="Arial Narrow" w:cs="Calibri"/>
                <w:b/>
                <w:bCs/>
                <w:sz w:val="16"/>
                <w:szCs w:val="16"/>
              </w:rPr>
            </w:pPr>
            <w:r w:rsidRPr="0043709B">
              <w:rPr>
                <w:rFonts w:ascii="Arial Narrow" w:hAnsi="Arial Narrow" w:cs="Calibri"/>
                <w:b/>
                <w:bCs/>
                <w:sz w:val="16"/>
                <w:szCs w:val="16"/>
              </w:rPr>
              <w:t>СЕМЕНА И ПОСАДЪЧЕН МАТЕРИАЛ</w:t>
            </w:r>
          </w:p>
        </w:tc>
        <w:tc>
          <w:tcPr>
            <w:tcW w:w="1180" w:type="dxa"/>
            <w:tcBorders>
              <w:top w:val="nil"/>
              <w:left w:val="nil"/>
              <w:bottom w:val="single" w:sz="4" w:space="0" w:color="auto"/>
              <w:right w:val="single" w:sz="4" w:space="0" w:color="auto"/>
            </w:tcBorders>
            <w:shd w:val="clear" w:color="auto" w:fill="auto"/>
            <w:vAlign w:val="center"/>
          </w:tcPr>
          <w:p w14:paraId="78D1DFCC" w14:textId="77777777" w:rsidR="0043709B" w:rsidRPr="0043709B" w:rsidRDefault="0043709B" w:rsidP="0043709B">
            <w:pPr>
              <w:jc w:val="right"/>
              <w:rPr>
                <w:rFonts w:ascii="Arial Narrow" w:hAnsi="Arial Narrow" w:cs="Calibri"/>
                <w:sz w:val="16"/>
                <w:szCs w:val="16"/>
              </w:rPr>
            </w:pPr>
            <w:r w:rsidRPr="0043709B">
              <w:rPr>
                <w:rFonts w:ascii="Arial Narrow" w:hAnsi="Arial Narrow" w:cs="Calibri"/>
                <w:sz w:val="16"/>
                <w:szCs w:val="16"/>
              </w:rPr>
              <w:t>380,9</w:t>
            </w:r>
          </w:p>
        </w:tc>
        <w:tc>
          <w:tcPr>
            <w:tcW w:w="1170" w:type="dxa"/>
            <w:tcBorders>
              <w:top w:val="nil"/>
              <w:left w:val="nil"/>
              <w:bottom w:val="single" w:sz="4" w:space="0" w:color="auto"/>
              <w:right w:val="single" w:sz="4" w:space="0" w:color="auto"/>
            </w:tcBorders>
            <w:shd w:val="clear" w:color="auto" w:fill="auto"/>
            <w:noWrap/>
            <w:vAlign w:val="center"/>
            <w:hideMark/>
          </w:tcPr>
          <w:p w14:paraId="268386B4" w14:textId="77777777" w:rsidR="0043709B" w:rsidRPr="0043709B" w:rsidRDefault="0043709B" w:rsidP="0043709B">
            <w:pPr>
              <w:jc w:val="right"/>
              <w:rPr>
                <w:rFonts w:ascii="Arial Narrow" w:hAnsi="Arial Narrow" w:cs="Calibri"/>
                <w:sz w:val="16"/>
                <w:szCs w:val="16"/>
              </w:rPr>
            </w:pPr>
            <w:r w:rsidRPr="0043709B">
              <w:rPr>
                <w:rFonts w:ascii="Arial Narrow" w:hAnsi="Arial Narrow" w:cs="Calibri"/>
                <w:sz w:val="16"/>
                <w:szCs w:val="16"/>
              </w:rPr>
              <w:t>96,1</w:t>
            </w:r>
          </w:p>
        </w:tc>
        <w:tc>
          <w:tcPr>
            <w:tcW w:w="1300" w:type="dxa"/>
            <w:tcBorders>
              <w:top w:val="nil"/>
              <w:left w:val="nil"/>
              <w:bottom w:val="single" w:sz="4" w:space="0" w:color="auto"/>
              <w:right w:val="single" w:sz="4" w:space="0" w:color="auto"/>
            </w:tcBorders>
            <w:shd w:val="clear" w:color="auto" w:fill="auto"/>
            <w:noWrap/>
            <w:vAlign w:val="center"/>
            <w:hideMark/>
          </w:tcPr>
          <w:p w14:paraId="1ED38008" w14:textId="77777777" w:rsidR="0043709B" w:rsidRPr="0043709B" w:rsidRDefault="0043709B" w:rsidP="0043709B">
            <w:pPr>
              <w:jc w:val="right"/>
              <w:rPr>
                <w:rFonts w:ascii="Arial Narrow" w:hAnsi="Arial Narrow" w:cs="Calibri"/>
                <w:sz w:val="16"/>
                <w:szCs w:val="16"/>
              </w:rPr>
            </w:pPr>
            <w:r w:rsidRPr="0043709B">
              <w:rPr>
                <w:rFonts w:ascii="Arial Narrow" w:hAnsi="Arial Narrow" w:cs="Calibri"/>
                <w:sz w:val="16"/>
                <w:szCs w:val="16"/>
              </w:rPr>
              <w:t>365,9</w:t>
            </w:r>
          </w:p>
        </w:tc>
        <w:tc>
          <w:tcPr>
            <w:tcW w:w="1220" w:type="dxa"/>
            <w:tcBorders>
              <w:top w:val="nil"/>
              <w:left w:val="nil"/>
              <w:bottom w:val="single" w:sz="4" w:space="0" w:color="auto"/>
              <w:right w:val="single" w:sz="4" w:space="0" w:color="auto"/>
            </w:tcBorders>
            <w:shd w:val="clear" w:color="auto" w:fill="auto"/>
            <w:noWrap/>
            <w:vAlign w:val="center"/>
            <w:hideMark/>
          </w:tcPr>
          <w:p w14:paraId="32E3882D" w14:textId="77777777" w:rsidR="0043709B" w:rsidRPr="0043709B" w:rsidRDefault="0043709B" w:rsidP="0043709B">
            <w:pPr>
              <w:jc w:val="right"/>
              <w:rPr>
                <w:rFonts w:ascii="Arial Narrow" w:hAnsi="Arial Narrow" w:cs="Calibri"/>
                <w:sz w:val="16"/>
                <w:szCs w:val="16"/>
              </w:rPr>
            </w:pPr>
            <w:r w:rsidRPr="0043709B">
              <w:rPr>
                <w:rFonts w:ascii="Arial Narrow" w:hAnsi="Arial Narrow" w:cs="Calibri"/>
                <w:sz w:val="16"/>
                <w:szCs w:val="16"/>
              </w:rPr>
              <w:t>107,9</w:t>
            </w:r>
          </w:p>
        </w:tc>
        <w:tc>
          <w:tcPr>
            <w:tcW w:w="1236" w:type="dxa"/>
            <w:tcBorders>
              <w:top w:val="nil"/>
              <w:left w:val="nil"/>
              <w:bottom w:val="single" w:sz="4" w:space="0" w:color="auto"/>
              <w:right w:val="single" w:sz="4" w:space="0" w:color="auto"/>
            </w:tcBorders>
            <w:shd w:val="clear" w:color="auto" w:fill="auto"/>
            <w:noWrap/>
            <w:vAlign w:val="center"/>
            <w:hideMark/>
          </w:tcPr>
          <w:p w14:paraId="5DEBF4F2" w14:textId="77777777" w:rsidR="0043709B" w:rsidRPr="0043709B" w:rsidRDefault="0043709B" w:rsidP="0043709B">
            <w:pPr>
              <w:jc w:val="right"/>
              <w:rPr>
                <w:rFonts w:ascii="Arial Narrow" w:hAnsi="Arial Narrow" w:cs="Calibri"/>
                <w:sz w:val="16"/>
                <w:szCs w:val="16"/>
              </w:rPr>
            </w:pPr>
            <w:r w:rsidRPr="0043709B">
              <w:rPr>
                <w:rFonts w:ascii="Arial Narrow" w:hAnsi="Arial Narrow" w:cs="Calibri"/>
                <w:sz w:val="16"/>
                <w:szCs w:val="16"/>
              </w:rPr>
              <w:t>394,8</w:t>
            </w:r>
          </w:p>
        </w:tc>
        <w:tc>
          <w:tcPr>
            <w:tcW w:w="1260" w:type="dxa"/>
            <w:tcBorders>
              <w:top w:val="nil"/>
              <w:left w:val="nil"/>
              <w:bottom w:val="single" w:sz="4" w:space="0" w:color="auto"/>
              <w:right w:val="single" w:sz="4" w:space="0" w:color="auto"/>
            </w:tcBorders>
            <w:shd w:val="clear" w:color="auto" w:fill="auto"/>
            <w:noWrap/>
            <w:vAlign w:val="center"/>
            <w:hideMark/>
          </w:tcPr>
          <w:p w14:paraId="4020D682" w14:textId="77777777" w:rsidR="0043709B" w:rsidRPr="0043709B" w:rsidRDefault="0043709B" w:rsidP="0043709B">
            <w:pPr>
              <w:jc w:val="right"/>
              <w:rPr>
                <w:rFonts w:ascii="Arial Narrow" w:hAnsi="Arial Narrow" w:cs="Arial"/>
                <w:sz w:val="16"/>
                <w:szCs w:val="16"/>
              </w:rPr>
            </w:pPr>
            <w:r w:rsidRPr="0043709B">
              <w:rPr>
                <w:rFonts w:ascii="Arial Narrow" w:hAnsi="Arial Narrow" w:cs="Arial"/>
                <w:sz w:val="16"/>
                <w:szCs w:val="16"/>
              </w:rPr>
              <w:t>103,6</w:t>
            </w:r>
          </w:p>
        </w:tc>
      </w:tr>
      <w:tr w:rsidR="0043709B" w:rsidRPr="0043709B" w14:paraId="2E2444C6" w14:textId="77777777" w:rsidTr="0043709B">
        <w:trPr>
          <w:trHeight w:val="501"/>
        </w:trPr>
        <w:tc>
          <w:tcPr>
            <w:tcW w:w="781" w:type="dxa"/>
            <w:tcBorders>
              <w:top w:val="nil"/>
              <w:left w:val="single" w:sz="4" w:space="0" w:color="auto"/>
              <w:bottom w:val="single" w:sz="4" w:space="0" w:color="auto"/>
              <w:right w:val="single" w:sz="4" w:space="0" w:color="auto"/>
            </w:tcBorders>
            <w:shd w:val="clear" w:color="auto" w:fill="auto"/>
            <w:noWrap/>
            <w:vAlign w:val="center"/>
            <w:hideMark/>
          </w:tcPr>
          <w:p w14:paraId="04C7BE20" w14:textId="77777777" w:rsidR="0043709B" w:rsidRPr="0043709B" w:rsidRDefault="0043709B" w:rsidP="0043709B">
            <w:pPr>
              <w:rPr>
                <w:rFonts w:ascii="Arial Narrow" w:hAnsi="Arial Narrow" w:cs="Arial"/>
                <w:sz w:val="16"/>
                <w:szCs w:val="16"/>
              </w:rPr>
            </w:pPr>
            <w:r w:rsidRPr="0043709B">
              <w:rPr>
                <w:rFonts w:ascii="Arial Narrow" w:hAnsi="Arial Narrow" w:cs="Arial"/>
                <w:sz w:val="16"/>
                <w:szCs w:val="16"/>
              </w:rPr>
              <w:lastRenderedPageBreak/>
              <w:t>19.01/1</w:t>
            </w:r>
          </w:p>
        </w:tc>
        <w:tc>
          <w:tcPr>
            <w:tcW w:w="3016" w:type="dxa"/>
            <w:tcBorders>
              <w:top w:val="nil"/>
              <w:left w:val="nil"/>
              <w:bottom w:val="single" w:sz="4" w:space="0" w:color="auto"/>
              <w:right w:val="single" w:sz="4" w:space="0" w:color="auto"/>
            </w:tcBorders>
            <w:shd w:val="clear" w:color="000000" w:fill="FFFFFF"/>
            <w:vAlign w:val="center"/>
            <w:hideMark/>
          </w:tcPr>
          <w:p w14:paraId="7DD59488" w14:textId="77777777" w:rsidR="0043709B" w:rsidRPr="0043709B" w:rsidRDefault="0043709B" w:rsidP="00CD44F3">
            <w:pPr>
              <w:ind w:firstLineChars="100" w:firstLine="160"/>
              <w:rPr>
                <w:rFonts w:ascii="Arial Narrow" w:hAnsi="Arial Narrow" w:cs="Calibri"/>
                <w:sz w:val="16"/>
                <w:szCs w:val="16"/>
              </w:rPr>
            </w:pPr>
            <w:r w:rsidRPr="0043709B">
              <w:rPr>
                <w:rFonts w:ascii="Arial Narrow" w:hAnsi="Arial Narrow" w:cs="Calibri"/>
                <w:sz w:val="16"/>
                <w:szCs w:val="16"/>
              </w:rPr>
              <w:t>- семена и посадъчен материал, доставени от други селскостопански предприятия</w:t>
            </w:r>
          </w:p>
        </w:tc>
        <w:tc>
          <w:tcPr>
            <w:tcW w:w="1180" w:type="dxa"/>
            <w:tcBorders>
              <w:top w:val="nil"/>
              <w:left w:val="nil"/>
              <w:bottom w:val="single" w:sz="4" w:space="0" w:color="auto"/>
              <w:right w:val="single" w:sz="4" w:space="0" w:color="auto"/>
            </w:tcBorders>
            <w:shd w:val="clear" w:color="auto" w:fill="auto"/>
            <w:vAlign w:val="center"/>
          </w:tcPr>
          <w:p w14:paraId="05B02D7B" w14:textId="77777777" w:rsidR="0043709B" w:rsidRPr="0043709B" w:rsidRDefault="0043709B" w:rsidP="0043709B">
            <w:pPr>
              <w:jc w:val="right"/>
              <w:rPr>
                <w:rFonts w:ascii="Arial Narrow" w:hAnsi="Arial Narrow" w:cs="Calibri"/>
                <w:sz w:val="16"/>
                <w:szCs w:val="16"/>
              </w:rPr>
            </w:pPr>
            <w:r w:rsidRPr="0043709B">
              <w:rPr>
                <w:rFonts w:ascii="Arial Narrow" w:hAnsi="Arial Narrow" w:cs="Calibri"/>
                <w:sz w:val="16"/>
                <w:szCs w:val="16"/>
              </w:rPr>
              <w:t>68,2</w:t>
            </w:r>
          </w:p>
        </w:tc>
        <w:tc>
          <w:tcPr>
            <w:tcW w:w="1170" w:type="dxa"/>
            <w:tcBorders>
              <w:top w:val="nil"/>
              <w:left w:val="nil"/>
              <w:bottom w:val="single" w:sz="4" w:space="0" w:color="auto"/>
              <w:right w:val="single" w:sz="4" w:space="0" w:color="auto"/>
            </w:tcBorders>
            <w:shd w:val="clear" w:color="auto" w:fill="auto"/>
            <w:noWrap/>
            <w:vAlign w:val="center"/>
            <w:hideMark/>
          </w:tcPr>
          <w:p w14:paraId="52CD75C4" w14:textId="77777777" w:rsidR="0043709B" w:rsidRPr="0043709B" w:rsidRDefault="0043709B" w:rsidP="0043709B">
            <w:pPr>
              <w:jc w:val="right"/>
              <w:rPr>
                <w:rFonts w:ascii="Arial Narrow" w:hAnsi="Arial Narrow" w:cs="Calibri"/>
                <w:sz w:val="16"/>
                <w:szCs w:val="16"/>
              </w:rPr>
            </w:pPr>
            <w:r w:rsidRPr="0043709B">
              <w:rPr>
                <w:rFonts w:ascii="Arial Narrow" w:hAnsi="Arial Narrow" w:cs="Calibri"/>
                <w:sz w:val="16"/>
                <w:szCs w:val="16"/>
              </w:rPr>
              <w:t>97,4</w:t>
            </w:r>
          </w:p>
        </w:tc>
        <w:tc>
          <w:tcPr>
            <w:tcW w:w="1300" w:type="dxa"/>
            <w:tcBorders>
              <w:top w:val="nil"/>
              <w:left w:val="nil"/>
              <w:bottom w:val="single" w:sz="4" w:space="0" w:color="auto"/>
              <w:right w:val="single" w:sz="4" w:space="0" w:color="auto"/>
            </w:tcBorders>
            <w:shd w:val="clear" w:color="auto" w:fill="auto"/>
            <w:noWrap/>
            <w:vAlign w:val="center"/>
            <w:hideMark/>
          </w:tcPr>
          <w:p w14:paraId="2F2BAEE1" w14:textId="77777777" w:rsidR="0043709B" w:rsidRPr="0043709B" w:rsidRDefault="0043709B" w:rsidP="0043709B">
            <w:pPr>
              <w:jc w:val="right"/>
              <w:rPr>
                <w:rFonts w:ascii="Arial Narrow" w:hAnsi="Arial Narrow" w:cs="Calibri"/>
                <w:sz w:val="16"/>
                <w:szCs w:val="16"/>
              </w:rPr>
            </w:pPr>
            <w:r w:rsidRPr="0043709B">
              <w:rPr>
                <w:rFonts w:ascii="Arial Narrow" w:hAnsi="Arial Narrow" w:cs="Calibri"/>
                <w:sz w:val="16"/>
                <w:szCs w:val="16"/>
              </w:rPr>
              <w:t>66,4</w:t>
            </w:r>
          </w:p>
        </w:tc>
        <w:tc>
          <w:tcPr>
            <w:tcW w:w="1220" w:type="dxa"/>
            <w:tcBorders>
              <w:top w:val="nil"/>
              <w:left w:val="nil"/>
              <w:bottom w:val="single" w:sz="4" w:space="0" w:color="auto"/>
              <w:right w:val="single" w:sz="4" w:space="0" w:color="auto"/>
            </w:tcBorders>
            <w:shd w:val="clear" w:color="auto" w:fill="auto"/>
            <w:noWrap/>
            <w:vAlign w:val="center"/>
            <w:hideMark/>
          </w:tcPr>
          <w:p w14:paraId="39E0BCF0" w14:textId="77777777" w:rsidR="0043709B" w:rsidRPr="0043709B" w:rsidRDefault="0043709B" w:rsidP="0043709B">
            <w:pPr>
              <w:jc w:val="right"/>
              <w:rPr>
                <w:rFonts w:ascii="Arial Narrow" w:hAnsi="Arial Narrow" w:cs="Calibri"/>
                <w:sz w:val="16"/>
                <w:szCs w:val="16"/>
              </w:rPr>
            </w:pPr>
            <w:r w:rsidRPr="0043709B">
              <w:rPr>
                <w:rFonts w:ascii="Arial Narrow" w:hAnsi="Arial Narrow" w:cs="Calibri"/>
                <w:sz w:val="16"/>
                <w:szCs w:val="16"/>
              </w:rPr>
              <w:t>107,8</w:t>
            </w:r>
          </w:p>
        </w:tc>
        <w:tc>
          <w:tcPr>
            <w:tcW w:w="1236" w:type="dxa"/>
            <w:tcBorders>
              <w:top w:val="nil"/>
              <w:left w:val="nil"/>
              <w:bottom w:val="single" w:sz="4" w:space="0" w:color="auto"/>
              <w:right w:val="single" w:sz="4" w:space="0" w:color="auto"/>
            </w:tcBorders>
            <w:shd w:val="clear" w:color="auto" w:fill="auto"/>
            <w:noWrap/>
            <w:vAlign w:val="center"/>
            <w:hideMark/>
          </w:tcPr>
          <w:p w14:paraId="7DBD1CCC" w14:textId="77777777" w:rsidR="0043709B" w:rsidRPr="0043709B" w:rsidRDefault="0043709B" w:rsidP="0043709B">
            <w:pPr>
              <w:jc w:val="right"/>
              <w:rPr>
                <w:rFonts w:ascii="Arial Narrow" w:hAnsi="Arial Narrow" w:cs="Calibri"/>
                <w:sz w:val="16"/>
                <w:szCs w:val="16"/>
              </w:rPr>
            </w:pPr>
            <w:r w:rsidRPr="0043709B">
              <w:rPr>
                <w:rFonts w:ascii="Arial Narrow" w:hAnsi="Arial Narrow" w:cs="Calibri"/>
                <w:sz w:val="16"/>
                <w:szCs w:val="16"/>
              </w:rPr>
              <w:t>71,6</w:t>
            </w:r>
          </w:p>
        </w:tc>
        <w:tc>
          <w:tcPr>
            <w:tcW w:w="1260" w:type="dxa"/>
            <w:tcBorders>
              <w:top w:val="nil"/>
              <w:left w:val="nil"/>
              <w:bottom w:val="single" w:sz="4" w:space="0" w:color="auto"/>
              <w:right w:val="single" w:sz="4" w:space="0" w:color="auto"/>
            </w:tcBorders>
            <w:shd w:val="clear" w:color="auto" w:fill="auto"/>
            <w:noWrap/>
            <w:vAlign w:val="center"/>
            <w:hideMark/>
          </w:tcPr>
          <w:p w14:paraId="5B06C79A" w14:textId="77777777" w:rsidR="0043709B" w:rsidRPr="0043709B" w:rsidRDefault="0043709B" w:rsidP="0043709B">
            <w:pPr>
              <w:jc w:val="right"/>
              <w:rPr>
                <w:rFonts w:ascii="Arial Narrow" w:hAnsi="Arial Narrow" w:cs="Arial"/>
                <w:sz w:val="16"/>
                <w:szCs w:val="16"/>
              </w:rPr>
            </w:pPr>
            <w:r w:rsidRPr="0043709B">
              <w:rPr>
                <w:rFonts w:ascii="Arial Narrow" w:hAnsi="Arial Narrow" w:cs="Arial"/>
                <w:sz w:val="16"/>
                <w:szCs w:val="16"/>
              </w:rPr>
              <w:t>105,0</w:t>
            </w:r>
          </w:p>
        </w:tc>
      </w:tr>
      <w:tr w:rsidR="0043709B" w:rsidRPr="0043709B" w14:paraId="694832E2" w14:textId="77777777" w:rsidTr="0043709B">
        <w:trPr>
          <w:trHeight w:val="250"/>
        </w:trPr>
        <w:tc>
          <w:tcPr>
            <w:tcW w:w="781" w:type="dxa"/>
            <w:tcBorders>
              <w:top w:val="nil"/>
              <w:left w:val="single" w:sz="4" w:space="0" w:color="auto"/>
              <w:bottom w:val="single" w:sz="4" w:space="0" w:color="auto"/>
              <w:right w:val="single" w:sz="4" w:space="0" w:color="auto"/>
            </w:tcBorders>
            <w:shd w:val="clear" w:color="auto" w:fill="auto"/>
            <w:noWrap/>
            <w:vAlign w:val="center"/>
            <w:hideMark/>
          </w:tcPr>
          <w:p w14:paraId="406F3400" w14:textId="77777777" w:rsidR="0043709B" w:rsidRPr="0043709B" w:rsidRDefault="0043709B" w:rsidP="0043709B">
            <w:pPr>
              <w:rPr>
                <w:rFonts w:ascii="Arial Narrow" w:hAnsi="Arial Narrow" w:cs="Arial"/>
                <w:sz w:val="16"/>
                <w:szCs w:val="16"/>
              </w:rPr>
            </w:pPr>
            <w:r w:rsidRPr="0043709B">
              <w:rPr>
                <w:rFonts w:ascii="Arial Narrow" w:hAnsi="Arial Narrow" w:cs="Arial"/>
                <w:sz w:val="16"/>
                <w:szCs w:val="16"/>
              </w:rPr>
              <w:t>19.01/2</w:t>
            </w:r>
          </w:p>
        </w:tc>
        <w:tc>
          <w:tcPr>
            <w:tcW w:w="3016" w:type="dxa"/>
            <w:tcBorders>
              <w:top w:val="nil"/>
              <w:left w:val="nil"/>
              <w:bottom w:val="single" w:sz="4" w:space="0" w:color="auto"/>
              <w:right w:val="single" w:sz="4" w:space="0" w:color="auto"/>
            </w:tcBorders>
            <w:shd w:val="clear" w:color="000000" w:fill="FFFFFF"/>
            <w:vAlign w:val="center"/>
            <w:hideMark/>
          </w:tcPr>
          <w:p w14:paraId="052AB633" w14:textId="77777777" w:rsidR="0043709B" w:rsidRPr="0043709B" w:rsidRDefault="0043709B" w:rsidP="00CD44F3">
            <w:pPr>
              <w:ind w:firstLineChars="100" w:firstLine="160"/>
              <w:rPr>
                <w:rFonts w:ascii="Arial Narrow" w:hAnsi="Arial Narrow" w:cs="Calibri"/>
                <w:sz w:val="16"/>
                <w:szCs w:val="16"/>
              </w:rPr>
            </w:pPr>
            <w:r w:rsidRPr="0043709B">
              <w:rPr>
                <w:rFonts w:ascii="Arial Narrow" w:hAnsi="Arial Narrow" w:cs="Calibri"/>
                <w:sz w:val="16"/>
                <w:szCs w:val="16"/>
              </w:rPr>
              <w:t>- семена и посадъчен материал, закупени извън сектора</w:t>
            </w:r>
          </w:p>
        </w:tc>
        <w:tc>
          <w:tcPr>
            <w:tcW w:w="1180" w:type="dxa"/>
            <w:tcBorders>
              <w:top w:val="nil"/>
              <w:left w:val="nil"/>
              <w:bottom w:val="single" w:sz="4" w:space="0" w:color="auto"/>
              <w:right w:val="single" w:sz="4" w:space="0" w:color="auto"/>
            </w:tcBorders>
            <w:shd w:val="clear" w:color="auto" w:fill="auto"/>
            <w:vAlign w:val="center"/>
          </w:tcPr>
          <w:p w14:paraId="529C7FF8" w14:textId="77777777" w:rsidR="0043709B" w:rsidRPr="0043709B" w:rsidRDefault="0043709B" w:rsidP="0043709B">
            <w:pPr>
              <w:jc w:val="right"/>
              <w:rPr>
                <w:rFonts w:ascii="Arial Narrow" w:hAnsi="Arial Narrow" w:cs="Calibri"/>
                <w:sz w:val="16"/>
                <w:szCs w:val="16"/>
              </w:rPr>
            </w:pPr>
            <w:r w:rsidRPr="0043709B">
              <w:rPr>
                <w:rFonts w:ascii="Arial Narrow" w:hAnsi="Arial Narrow" w:cs="Calibri"/>
                <w:sz w:val="16"/>
                <w:szCs w:val="16"/>
              </w:rPr>
              <w:t>312,7</w:t>
            </w:r>
          </w:p>
        </w:tc>
        <w:tc>
          <w:tcPr>
            <w:tcW w:w="1170" w:type="dxa"/>
            <w:tcBorders>
              <w:top w:val="nil"/>
              <w:left w:val="nil"/>
              <w:bottom w:val="single" w:sz="4" w:space="0" w:color="auto"/>
              <w:right w:val="single" w:sz="4" w:space="0" w:color="auto"/>
            </w:tcBorders>
            <w:shd w:val="clear" w:color="auto" w:fill="auto"/>
            <w:noWrap/>
            <w:vAlign w:val="center"/>
            <w:hideMark/>
          </w:tcPr>
          <w:p w14:paraId="58E624D5" w14:textId="77777777" w:rsidR="0043709B" w:rsidRPr="0043709B" w:rsidRDefault="0043709B" w:rsidP="0043709B">
            <w:pPr>
              <w:jc w:val="right"/>
              <w:rPr>
                <w:rFonts w:ascii="Arial Narrow" w:hAnsi="Arial Narrow" w:cs="Calibri"/>
                <w:sz w:val="16"/>
                <w:szCs w:val="16"/>
              </w:rPr>
            </w:pPr>
            <w:r w:rsidRPr="0043709B">
              <w:rPr>
                <w:rFonts w:ascii="Arial Narrow" w:hAnsi="Arial Narrow" w:cs="Calibri"/>
                <w:sz w:val="16"/>
                <w:szCs w:val="16"/>
              </w:rPr>
              <w:t>95,8</w:t>
            </w:r>
          </w:p>
        </w:tc>
        <w:tc>
          <w:tcPr>
            <w:tcW w:w="1300" w:type="dxa"/>
            <w:tcBorders>
              <w:top w:val="nil"/>
              <w:left w:val="nil"/>
              <w:bottom w:val="single" w:sz="4" w:space="0" w:color="auto"/>
              <w:right w:val="single" w:sz="4" w:space="0" w:color="auto"/>
            </w:tcBorders>
            <w:shd w:val="clear" w:color="auto" w:fill="auto"/>
            <w:noWrap/>
            <w:vAlign w:val="center"/>
            <w:hideMark/>
          </w:tcPr>
          <w:p w14:paraId="101FF41F" w14:textId="77777777" w:rsidR="0043709B" w:rsidRPr="0043709B" w:rsidRDefault="0043709B" w:rsidP="0043709B">
            <w:pPr>
              <w:jc w:val="right"/>
              <w:rPr>
                <w:rFonts w:ascii="Arial Narrow" w:hAnsi="Arial Narrow" w:cs="Calibri"/>
                <w:sz w:val="16"/>
                <w:szCs w:val="16"/>
              </w:rPr>
            </w:pPr>
            <w:r w:rsidRPr="0043709B">
              <w:rPr>
                <w:rFonts w:ascii="Arial Narrow" w:hAnsi="Arial Narrow" w:cs="Calibri"/>
                <w:sz w:val="16"/>
                <w:szCs w:val="16"/>
              </w:rPr>
              <w:t>299,5</w:t>
            </w:r>
          </w:p>
        </w:tc>
        <w:tc>
          <w:tcPr>
            <w:tcW w:w="1220" w:type="dxa"/>
            <w:tcBorders>
              <w:top w:val="nil"/>
              <w:left w:val="nil"/>
              <w:bottom w:val="single" w:sz="4" w:space="0" w:color="auto"/>
              <w:right w:val="single" w:sz="4" w:space="0" w:color="auto"/>
            </w:tcBorders>
            <w:shd w:val="clear" w:color="auto" w:fill="auto"/>
            <w:noWrap/>
            <w:vAlign w:val="center"/>
            <w:hideMark/>
          </w:tcPr>
          <w:p w14:paraId="34E4FC97" w14:textId="77777777" w:rsidR="0043709B" w:rsidRPr="0043709B" w:rsidRDefault="0043709B" w:rsidP="0043709B">
            <w:pPr>
              <w:jc w:val="right"/>
              <w:rPr>
                <w:rFonts w:ascii="Arial Narrow" w:hAnsi="Arial Narrow" w:cs="Calibri"/>
                <w:sz w:val="16"/>
                <w:szCs w:val="16"/>
              </w:rPr>
            </w:pPr>
            <w:r w:rsidRPr="0043709B">
              <w:rPr>
                <w:rFonts w:ascii="Arial Narrow" w:hAnsi="Arial Narrow" w:cs="Calibri"/>
                <w:sz w:val="16"/>
                <w:szCs w:val="16"/>
              </w:rPr>
              <w:t>107,9</w:t>
            </w:r>
          </w:p>
        </w:tc>
        <w:tc>
          <w:tcPr>
            <w:tcW w:w="1236" w:type="dxa"/>
            <w:tcBorders>
              <w:top w:val="nil"/>
              <w:left w:val="nil"/>
              <w:bottom w:val="single" w:sz="4" w:space="0" w:color="auto"/>
              <w:right w:val="single" w:sz="4" w:space="0" w:color="auto"/>
            </w:tcBorders>
            <w:shd w:val="clear" w:color="auto" w:fill="auto"/>
            <w:noWrap/>
            <w:vAlign w:val="center"/>
            <w:hideMark/>
          </w:tcPr>
          <w:p w14:paraId="4FBAF097" w14:textId="77777777" w:rsidR="0043709B" w:rsidRPr="0043709B" w:rsidRDefault="0043709B" w:rsidP="0043709B">
            <w:pPr>
              <w:jc w:val="right"/>
              <w:rPr>
                <w:rFonts w:ascii="Arial Narrow" w:hAnsi="Arial Narrow" w:cs="Calibri"/>
                <w:sz w:val="16"/>
                <w:szCs w:val="16"/>
              </w:rPr>
            </w:pPr>
            <w:r w:rsidRPr="0043709B">
              <w:rPr>
                <w:rFonts w:ascii="Arial Narrow" w:hAnsi="Arial Narrow" w:cs="Calibri"/>
                <w:sz w:val="16"/>
                <w:szCs w:val="16"/>
              </w:rPr>
              <w:t>323,2</w:t>
            </w:r>
          </w:p>
        </w:tc>
        <w:tc>
          <w:tcPr>
            <w:tcW w:w="1260" w:type="dxa"/>
            <w:tcBorders>
              <w:top w:val="nil"/>
              <w:left w:val="nil"/>
              <w:bottom w:val="single" w:sz="4" w:space="0" w:color="auto"/>
              <w:right w:val="single" w:sz="4" w:space="0" w:color="auto"/>
            </w:tcBorders>
            <w:shd w:val="clear" w:color="auto" w:fill="auto"/>
            <w:noWrap/>
            <w:vAlign w:val="center"/>
            <w:hideMark/>
          </w:tcPr>
          <w:p w14:paraId="51ACB27C" w14:textId="77777777" w:rsidR="0043709B" w:rsidRPr="0043709B" w:rsidRDefault="0043709B" w:rsidP="0043709B">
            <w:pPr>
              <w:jc w:val="right"/>
              <w:rPr>
                <w:rFonts w:ascii="Arial Narrow" w:hAnsi="Arial Narrow" w:cs="Arial"/>
                <w:sz w:val="16"/>
                <w:szCs w:val="16"/>
              </w:rPr>
            </w:pPr>
            <w:r w:rsidRPr="0043709B">
              <w:rPr>
                <w:rFonts w:ascii="Arial Narrow" w:hAnsi="Arial Narrow" w:cs="Arial"/>
                <w:sz w:val="16"/>
                <w:szCs w:val="16"/>
              </w:rPr>
              <w:t>103,4</w:t>
            </w:r>
          </w:p>
        </w:tc>
      </w:tr>
      <w:tr w:rsidR="0043709B" w:rsidRPr="0043709B" w14:paraId="47086C7C" w14:textId="77777777" w:rsidTr="0043709B">
        <w:trPr>
          <w:trHeight w:val="250"/>
        </w:trPr>
        <w:tc>
          <w:tcPr>
            <w:tcW w:w="781" w:type="dxa"/>
            <w:tcBorders>
              <w:top w:val="nil"/>
              <w:left w:val="single" w:sz="4" w:space="0" w:color="auto"/>
              <w:bottom w:val="single" w:sz="4" w:space="0" w:color="auto"/>
              <w:right w:val="single" w:sz="4" w:space="0" w:color="auto"/>
            </w:tcBorders>
            <w:shd w:val="clear" w:color="auto" w:fill="auto"/>
            <w:noWrap/>
            <w:vAlign w:val="center"/>
            <w:hideMark/>
          </w:tcPr>
          <w:p w14:paraId="11D50144" w14:textId="77777777" w:rsidR="0043709B" w:rsidRPr="0043709B" w:rsidRDefault="0043709B" w:rsidP="0043709B">
            <w:pPr>
              <w:rPr>
                <w:rFonts w:ascii="Arial Narrow" w:hAnsi="Arial Narrow" w:cs="Arial"/>
                <w:sz w:val="16"/>
                <w:szCs w:val="16"/>
              </w:rPr>
            </w:pPr>
            <w:r w:rsidRPr="0043709B">
              <w:rPr>
                <w:rFonts w:ascii="Arial Narrow" w:hAnsi="Arial Narrow" w:cs="Arial"/>
                <w:sz w:val="16"/>
                <w:szCs w:val="16"/>
              </w:rPr>
              <w:t>19.02</w:t>
            </w:r>
          </w:p>
        </w:tc>
        <w:tc>
          <w:tcPr>
            <w:tcW w:w="3016" w:type="dxa"/>
            <w:tcBorders>
              <w:top w:val="nil"/>
              <w:left w:val="nil"/>
              <w:bottom w:val="single" w:sz="4" w:space="0" w:color="auto"/>
              <w:right w:val="single" w:sz="4" w:space="0" w:color="auto"/>
            </w:tcBorders>
            <w:shd w:val="clear" w:color="000000" w:fill="FFFFFF"/>
            <w:noWrap/>
            <w:vAlign w:val="center"/>
            <w:hideMark/>
          </w:tcPr>
          <w:p w14:paraId="339E362A" w14:textId="77777777" w:rsidR="0043709B" w:rsidRPr="0043709B" w:rsidRDefault="0043709B" w:rsidP="0043709B">
            <w:pPr>
              <w:ind w:firstLineChars="100" w:firstLine="161"/>
              <w:rPr>
                <w:rFonts w:ascii="Arial Narrow" w:hAnsi="Arial Narrow" w:cs="Calibri"/>
                <w:b/>
                <w:bCs/>
                <w:sz w:val="16"/>
                <w:szCs w:val="16"/>
              </w:rPr>
            </w:pPr>
            <w:r w:rsidRPr="0043709B">
              <w:rPr>
                <w:rFonts w:ascii="Arial Narrow" w:hAnsi="Arial Narrow" w:cs="Calibri"/>
                <w:b/>
                <w:bCs/>
                <w:sz w:val="16"/>
                <w:szCs w:val="16"/>
              </w:rPr>
              <w:t>ГОРИВА И МАСЛА</w:t>
            </w:r>
          </w:p>
        </w:tc>
        <w:tc>
          <w:tcPr>
            <w:tcW w:w="1180" w:type="dxa"/>
            <w:tcBorders>
              <w:top w:val="nil"/>
              <w:left w:val="nil"/>
              <w:bottom w:val="single" w:sz="4" w:space="0" w:color="auto"/>
              <w:right w:val="single" w:sz="4" w:space="0" w:color="auto"/>
            </w:tcBorders>
            <w:shd w:val="clear" w:color="auto" w:fill="auto"/>
            <w:vAlign w:val="center"/>
          </w:tcPr>
          <w:p w14:paraId="5790C664" w14:textId="77777777" w:rsidR="0043709B" w:rsidRPr="0043709B" w:rsidRDefault="0043709B" w:rsidP="0043709B">
            <w:pPr>
              <w:jc w:val="right"/>
              <w:rPr>
                <w:rFonts w:ascii="Arial Narrow" w:hAnsi="Arial Narrow" w:cs="Calibri"/>
                <w:sz w:val="16"/>
                <w:szCs w:val="16"/>
              </w:rPr>
            </w:pPr>
            <w:r w:rsidRPr="0043709B">
              <w:rPr>
                <w:rFonts w:ascii="Arial Narrow" w:hAnsi="Arial Narrow" w:cs="Calibri"/>
                <w:sz w:val="16"/>
                <w:szCs w:val="16"/>
              </w:rPr>
              <w:t>1 171,5</w:t>
            </w:r>
          </w:p>
        </w:tc>
        <w:tc>
          <w:tcPr>
            <w:tcW w:w="1170" w:type="dxa"/>
            <w:tcBorders>
              <w:top w:val="nil"/>
              <w:left w:val="nil"/>
              <w:bottom w:val="single" w:sz="4" w:space="0" w:color="auto"/>
              <w:right w:val="single" w:sz="4" w:space="0" w:color="auto"/>
            </w:tcBorders>
            <w:shd w:val="clear" w:color="auto" w:fill="auto"/>
            <w:noWrap/>
            <w:vAlign w:val="center"/>
            <w:hideMark/>
          </w:tcPr>
          <w:p w14:paraId="6817E210" w14:textId="77777777" w:rsidR="0043709B" w:rsidRPr="0043709B" w:rsidRDefault="0043709B" w:rsidP="0043709B">
            <w:pPr>
              <w:jc w:val="right"/>
              <w:rPr>
                <w:rFonts w:ascii="Arial Narrow" w:hAnsi="Arial Narrow" w:cs="Calibri"/>
                <w:sz w:val="16"/>
                <w:szCs w:val="16"/>
              </w:rPr>
            </w:pPr>
            <w:r w:rsidRPr="0043709B">
              <w:rPr>
                <w:rFonts w:ascii="Arial Narrow" w:hAnsi="Arial Narrow" w:cs="Calibri"/>
                <w:sz w:val="16"/>
                <w:szCs w:val="16"/>
              </w:rPr>
              <w:t>91,5</w:t>
            </w:r>
          </w:p>
        </w:tc>
        <w:tc>
          <w:tcPr>
            <w:tcW w:w="1300" w:type="dxa"/>
            <w:tcBorders>
              <w:top w:val="nil"/>
              <w:left w:val="nil"/>
              <w:bottom w:val="single" w:sz="4" w:space="0" w:color="auto"/>
              <w:right w:val="single" w:sz="4" w:space="0" w:color="auto"/>
            </w:tcBorders>
            <w:shd w:val="clear" w:color="auto" w:fill="auto"/>
            <w:noWrap/>
            <w:vAlign w:val="center"/>
            <w:hideMark/>
          </w:tcPr>
          <w:p w14:paraId="774863B0" w14:textId="77777777" w:rsidR="0043709B" w:rsidRPr="0043709B" w:rsidRDefault="0043709B" w:rsidP="0043709B">
            <w:pPr>
              <w:jc w:val="right"/>
              <w:rPr>
                <w:rFonts w:ascii="Arial Narrow" w:hAnsi="Arial Narrow" w:cs="Calibri"/>
                <w:sz w:val="16"/>
                <w:szCs w:val="16"/>
              </w:rPr>
            </w:pPr>
            <w:r w:rsidRPr="0043709B">
              <w:rPr>
                <w:rFonts w:ascii="Arial Narrow" w:hAnsi="Arial Narrow" w:cs="Calibri"/>
                <w:sz w:val="16"/>
                <w:szCs w:val="16"/>
              </w:rPr>
              <w:t>1 072,0</w:t>
            </w:r>
          </w:p>
        </w:tc>
        <w:tc>
          <w:tcPr>
            <w:tcW w:w="1220" w:type="dxa"/>
            <w:tcBorders>
              <w:top w:val="nil"/>
              <w:left w:val="nil"/>
              <w:bottom w:val="single" w:sz="4" w:space="0" w:color="auto"/>
              <w:right w:val="single" w:sz="4" w:space="0" w:color="auto"/>
            </w:tcBorders>
            <w:shd w:val="clear" w:color="auto" w:fill="auto"/>
            <w:noWrap/>
            <w:vAlign w:val="center"/>
            <w:hideMark/>
          </w:tcPr>
          <w:p w14:paraId="2F255C03" w14:textId="77777777" w:rsidR="0043709B" w:rsidRPr="0043709B" w:rsidRDefault="0043709B" w:rsidP="0043709B">
            <w:pPr>
              <w:jc w:val="right"/>
              <w:rPr>
                <w:rFonts w:ascii="Arial Narrow" w:hAnsi="Arial Narrow" w:cs="Calibri"/>
                <w:sz w:val="16"/>
                <w:szCs w:val="16"/>
              </w:rPr>
            </w:pPr>
            <w:r w:rsidRPr="0043709B">
              <w:rPr>
                <w:rFonts w:ascii="Arial Narrow" w:hAnsi="Arial Narrow" w:cs="Calibri"/>
                <w:sz w:val="16"/>
                <w:szCs w:val="16"/>
              </w:rPr>
              <w:t>98,0</w:t>
            </w:r>
          </w:p>
        </w:tc>
        <w:tc>
          <w:tcPr>
            <w:tcW w:w="1236" w:type="dxa"/>
            <w:tcBorders>
              <w:top w:val="nil"/>
              <w:left w:val="nil"/>
              <w:bottom w:val="single" w:sz="4" w:space="0" w:color="auto"/>
              <w:right w:val="single" w:sz="4" w:space="0" w:color="auto"/>
            </w:tcBorders>
            <w:shd w:val="clear" w:color="auto" w:fill="auto"/>
            <w:noWrap/>
            <w:vAlign w:val="center"/>
            <w:hideMark/>
          </w:tcPr>
          <w:p w14:paraId="4747A958" w14:textId="77777777" w:rsidR="0043709B" w:rsidRPr="0043709B" w:rsidRDefault="0043709B" w:rsidP="0043709B">
            <w:pPr>
              <w:jc w:val="right"/>
              <w:rPr>
                <w:rFonts w:ascii="Arial Narrow" w:hAnsi="Arial Narrow" w:cs="Calibri"/>
                <w:sz w:val="16"/>
                <w:szCs w:val="16"/>
              </w:rPr>
            </w:pPr>
            <w:r w:rsidRPr="0043709B">
              <w:rPr>
                <w:rFonts w:ascii="Arial Narrow" w:hAnsi="Arial Narrow" w:cs="Calibri"/>
                <w:sz w:val="16"/>
                <w:szCs w:val="16"/>
              </w:rPr>
              <w:t>1 051,0</w:t>
            </w:r>
          </w:p>
        </w:tc>
        <w:tc>
          <w:tcPr>
            <w:tcW w:w="1260" w:type="dxa"/>
            <w:tcBorders>
              <w:top w:val="nil"/>
              <w:left w:val="nil"/>
              <w:bottom w:val="single" w:sz="4" w:space="0" w:color="auto"/>
              <w:right w:val="single" w:sz="4" w:space="0" w:color="auto"/>
            </w:tcBorders>
            <w:shd w:val="clear" w:color="auto" w:fill="auto"/>
            <w:noWrap/>
            <w:vAlign w:val="center"/>
            <w:hideMark/>
          </w:tcPr>
          <w:p w14:paraId="23386F09" w14:textId="77777777" w:rsidR="0043709B" w:rsidRPr="0043709B" w:rsidRDefault="0043709B" w:rsidP="0043709B">
            <w:pPr>
              <w:jc w:val="right"/>
              <w:rPr>
                <w:rFonts w:ascii="Arial Narrow" w:hAnsi="Arial Narrow" w:cs="Arial"/>
                <w:sz w:val="16"/>
                <w:szCs w:val="16"/>
              </w:rPr>
            </w:pPr>
            <w:r w:rsidRPr="0043709B">
              <w:rPr>
                <w:rFonts w:ascii="Arial Narrow" w:hAnsi="Arial Narrow" w:cs="Arial"/>
                <w:sz w:val="16"/>
                <w:szCs w:val="16"/>
              </w:rPr>
              <w:t>89,7</w:t>
            </w:r>
          </w:p>
        </w:tc>
      </w:tr>
      <w:tr w:rsidR="0043709B" w:rsidRPr="0043709B" w14:paraId="07BFAFA7" w14:textId="77777777" w:rsidTr="0043709B">
        <w:trPr>
          <w:trHeight w:val="250"/>
        </w:trPr>
        <w:tc>
          <w:tcPr>
            <w:tcW w:w="781" w:type="dxa"/>
            <w:tcBorders>
              <w:top w:val="nil"/>
              <w:left w:val="single" w:sz="4" w:space="0" w:color="auto"/>
              <w:bottom w:val="single" w:sz="4" w:space="0" w:color="auto"/>
              <w:right w:val="single" w:sz="4" w:space="0" w:color="auto"/>
            </w:tcBorders>
            <w:shd w:val="clear" w:color="auto" w:fill="auto"/>
            <w:noWrap/>
            <w:vAlign w:val="center"/>
            <w:hideMark/>
          </w:tcPr>
          <w:p w14:paraId="29369E13" w14:textId="77777777" w:rsidR="0043709B" w:rsidRPr="0043709B" w:rsidRDefault="0043709B" w:rsidP="0043709B">
            <w:pPr>
              <w:rPr>
                <w:rFonts w:ascii="Arial Narrow" w:hAnsi="Arial Narrow" w:cs="Arial"/>
                <w:sz w:val="16"/>
                <w:szCs w:val="16"/>
              </w:rPr>
            </w:pPr>
            <w:r w:rsidRPr="0043709B">
              <w:rPr>
                <w:rFonts w:ascii="Arial Narrow" w:hAnsi="Arial Narrow" w:cs="Arial"/>
                <w:sz w:val="16"/>
                <w:szCs w:val="16"/>
              </w:rPr>
              <w:t>19.02/1</w:t>
            </w:r>
          </w:p>
        </w:tc>
        <w:tc>
          <w:tcPr>
            <w:tcW w:w="3016" w:type="dxa"/>
            <w:tcBorders>
              <w:top w:val="nil"/>
              <w:left w:val="nil"/>
              <w:bottom w:val="single" w:sz="4" w:space="0" w:color="auto"/>
              <w:right w:val="single" w:sz="4" w:space="0" w:color="auto"/>
            </w:tcBorders>
            <w:shd w:val="clear" w:color="000000" w:fill="FFFFFF"/>
            <w:noWrap/>
            <w:vAlign w:val="center"/>
            <w:hideMark/>
          </w:tcPr>
          <w:p w14:paraId="2F5B0E41" w14:textId="77777777" w:rsidR="0043709B" w:rsidRPr="0043709B" w:rsidRDefault="0043709B" w:rsidP="00CD44F3">
            <w:pPr>
              <w:ind w:firstLineChars="100" w:firstLine="160"/>
              <w:rPr>
                <w:rFonts w:ascii="Arial Narrow" w:hAnsi="Arial Narrow" w:cs="Calibri"/>
                <w:sz w:val="16"/>
                <w:szCs w:val="16"/>
              </w:rPr>
            </w:pPr>
            <w:r w:rsidRPr="0043709B">
              <w:rPr>
                <w:rFonts w:ascii="Arial Narrow" w:hAnsi="Arial Narrow" w:cs="Calibri"/>
                <w:sz w:val="16"/>
                <w:szCs w:val="16"/>
              </w:rPr>
              <w:t>- електричество</w:t>
            </w:r>
          </w:p>
        </w:tc>
        <w:tc>
          <w:tcPr>
            <w:tcW w:w="1180" w:type="dxa"/>
            <w:tcBorders>
              <w:top w:val="nil"/>
              <w:left w:val="nil"/>
              <w:bottom w:val="single" w:sz="4" w:space="0" w:color="auto"/>
              <w:right w:val="single" w:sz="4" w:space="0" w:color="auto"/>
            </w:tcBorders>
            <w:shd w:val="clear" w:color="auto" w:fill="auto"/>
            <w:vAlign w:val="center"/>
          </w:tcPr>
          <w:p w14:paraId="533E94CD" w14:textId="77777777" w:rsidR="0043709B" w:rsidRPr="0043709B" w:rsidRDefault="0043709B" w:rsidP="0043709B">
            <w:pPr>
              <w:jc w:val="right"/>
              <w:rPr>
                <w:rFonts w:ascii="Arial Narrow" w:hAnsi="Arial Narrow" w:cs="Calibri"/>
                <w:sz w:val="16"/>
                <w:szCs w:val="16"/>
              </w:rPr>
            </w:pPr>
            <w:r w:rsidRPr="0043709B">
              <w:rPr>
                <w:rFonts w:ascii="Arial Narrow" w:hAnsi="Arial Narrow" w:cs="Calibri"/>
                <w:sz w:val="16"/>
                <w:szCs w:val="16"/>
              </w:rPr>
              <w:t>133,1</w:t>
            </w:r>
          </w:p>
        </w:tc>
        <w:tc>
          <w:tcPr>
            <w:tcW w:w="1170" w:type="dxa"/>
            <w:tcBorders>
              <w:top w:val="nil"/>
              <w:left w:val="nil"/>
              <w:bottom w:val="single" w:sz="4" w:space="0" w:color="auto"/>
              <w:right w:val="single" w:sz="4" w:space="0" w:color="auto"/>
            </w:tcBorders>
            <w:shd w:val="clear" w:color="auto" w:fill="auto"/>
            <w:noWrap/>
            <w:vAlign w:val="center"/>
            <w:hideMark/>
          </w:tcPr>
          <w:p w14:paraId="22DF575D" w14:textId="77777777" w:rsidR="0043709B" w:rsidRPr="0043709B" w:rsidRDefault="0043709B" w:rsidP="0043709B">
            <w:pPr>
              <w:jc w:val="right"/>
              <w:rPr>
                <w:rFonts w:ascii="Arial Narrow" w:hAnsi="Arial Narrow" w:cs="Calibri"/>
                <w:sz w:val="16"/>
                <w:szCs w:val="16"/>
              </w:rPr>
            </w:pPr>
            <w:r w:rsidRPr="0043709B">
              <w:rPr>
                <w:rFonts w:ascii="Arial Narrow" w:hAnsi="Arial Narrow" w:cs="Calibri"/>
                <w:sz w:val="16"/>
                <w:szCs w:val="16"/>
              </w:rPr>
              <w:t>90,8</w:t>
            </w:r>
          </w:p>
        </w:tc>
        <w:tc>
          <w:tcPr>
            <w:tcW w:w="1300" w:type="dxa"/>
            <w:tcBorders>
              <w:top w:val="nil"/>
              <w:left w:val="nil"/>
              <w:bottom w:val="single" w:sz="4" w:space="0" w:color="auto"/>
              <w:right w:val="single" w:sz="4" w:space="0" w:color="auto"/>
            </w:tcBorders>
            <w:shd w:val="clear" w:color="auto" w:fill="auto"/>
            <w:noWrap/>
            <w:vAlign w:val="center"/>
            <w:hideMark/>
          </w:tcPr>
          <w:p w14:paraId="6D274AEC" w14:textId="77777777" w:rsidR="0043709B" w:rsidRPr="0043709B" w:rsidRDefault="0043709B" w:rsidP="0043709B">
            <w:pPr>
              <w:jc w:val="right"/>
              <w:rPr>
                <w:rFonts w:ascii="Arial Narrow" w:hAnsi="Arial Narrow" w:cs="Calibri"/>
                <w:sz w:val="16"/>
                <w:szCs w:val="16"/>
              </w:rPr>
            </w:pPr>
            <w:r w:rsidRPr="0043709B">
              <w:rPr>
                <w:rFonts w:ascii="Arial Narrow" w:hAnsi="Arial Narrow" w:cs="Calibri"/>
                <w:sz w:val="16"/>
                <w:szCs w:val="16"/>
              </w:rPr>
              <w:t>120,8</w:t>
            </w:r>
          </w:p>
        </w:tc>
        <w:tc>
          <w:tcPr>
            <w:tcW w:w="1220" w:type="dxa"/>
            <w:tcBorders>
              <w:top w:val="nil"/>
              <w:left w:val="nil"/>
              <w:bottom w:val="single" w:sz="4" w:space="0" w:color="auto"/>
              <w:right w:val="single" w:sz="4" w:space="0" w:color="auto"/>
            </w:tcBorders>
            <w:shd w:val="clear" w:color="auto" w:fill="auto"/>
            <w:noWrap/>
            <w:vAlign w:val="center"/>
            <w:hideMark/>
          </w:tcPr>
          <w:p w14:paraId="17722C29" w14:textId="77777777" w:rsidR="0043709B" w:rsidRPr="0043709B" w:rsidRDefault="0043709B" w:rsidP="0043709B">
            <w:pPr>
              <w:jc w:val="right"/>
              <w:rPr>
                <w:rFonts w:ascii="Arial Narrow" w:hAnsi="Arial Narrow" w:cs="Calibri"/>
                <w:sz w:val="16"/>
                <w:szCs w:val="16"/>
              </w:rPr>
            </w:pPr>
            <w:r w:rsidRPr="0043709B">
              <w:rPr>
                <w:rFonts w:ascii="Arial Narrow" w:hAnsi="Arial Narrow" w:cs="Calibri"/>
                <w:sz w:val="16"/>
                <w:szCs w:val="16"/>
              </w:rPr>
              <w:t>103,1</w:t>
            </w:r>
          </w:p>
        </w:tc>
        <w:tc>
          <w:tcPr>
            <w:tcW w:w="1236" w:type="dxa"/>
            <w:tcBorders>
              <w:top w:val="nil"/>
              <w:left w:val="nil"/>
              <w:bottom w:val="single" w:sz="4" w:space="0" w:color="auto"/>
              <w:right w:val="single" w:sz="4" w:space="0" w:color="auto"/>
            </w:tcBorders>
            <w:shd w:val="clear" w:color="auto" w:fill="auto"/>
            <w:noWrap/>
            <w:vAlign w:val="center"/>
            <w:hideMark/>
          </w:tcPr>
          <w:p w14:paraId="1214CE14" w14:textId="77777777" w:rsidR="0043709B" w:rsidRPr="0043709B" w:rsidRDefault="0043709B" w:rsidP="0043709B">
            <w:pPr>
              <w:jc w:val="right"/>
              <w:rPr>
                <w:rFonts w:ascii="Arial Narrow" w:hAnsi="Arial Narrow" w:cs="Calibri"/>
                <w:sz w:val="16"/>
                <w:szCs w:val="16"/>
              </w:rPr>
            </w:pPr>
            <w:r w:rsidRPr="0043709B">
              <w:rPr>
                <w:rFonts w:ascii="Arial Narrow" w:hAnsi="Arial Narrow" w:cs="Calibri"/>
                <w:sz w:val="16"/>
                <w:szCs w:val="16"/>
              </w:rPr>
              <w:t>124,5</w:t>
            </w:r>
          </w:p>
        </w:tc>
        <w:tc>
          <w:tcPr>
            <w:tcW w:w="1260" w:type="dxa"/>
            <w:tcBorders>
              <w:top w:val="nil"/>
              <w:left w:val="nil"/>
              <w:bottom w:val="single" w:sz="4" w:space="0" w:color="auto"/>
              <w:right w:val="single" w:sz="4" w:space="0" w:color="auto"/>
            </w:tcBorders>
            <w:shd w:val="clear" w:color="auto" w:fill="auto"/>
            <w:noWrap/>
            <w:vAlign w:val="center"/>
            <w:hideMark/>
          </w:tcPr>
          <w:p w14:paraId="43329D0C" w14:textId="77777777" w:rsidR="0043709B" w:rsidRPr="0043709B" w:rsidRDefault="0043709B" w:rsidP="0043709B">
            <w:pPr>
              <w:jc w:val="right"/>
              <w:rPr>
                <w:rFonts w:ascii="Arial Narrow" w:hAnsi="Arial Narrow" w:cs="Arial"/>
                <w:sz w:val="16"/>
                <w:szCs w:val="16"/>
              </w:rPr>
            </w:pPr>
            <w:r w:rsidRPr="0043709B">
              <w:rPr>
                <w:rFonts w:ascii="Arial Narrow" w:hAnsi="Arial Narrow" w:cs="Arial"/>
                <w:sz w:val="16"/>
                <w:szCs w:val="16"/>
              </w:rPr>
              <w:t>93,5</w:t>
            </w:r>
          </w:p>
        </w:tc>
      </w:tr>
      <w:tr w:rsidR="0043709B" w:rsidRPr="0043709B" w14:paraId="16FC0EAE" w14:textId="77777777" w:rsidTr="0043709B">
        <w:trPr>
          <w:trHeight w:val="250"/>
        </w:trPr>
        <w:tc>
          <w:tcPr>
            <w:tcW w:w="781" w:type="dxa"/>
            <w:tcBorders>
              <w:top w:val="nil"/>
              <w:left w:val="single" w:sz="4" w:space="0" w:color="auto"/>
              <w:bottom w:val="single" w:sz="4" w:space="0" w:color="auto"/>
              <w:right w:val="single" w:sz="4" w:space="0" w:color="auto"/>
            </w:tcBorders>
            <w:shd w:val="clear" w:color="auto" w:fill="auto"/>
            <w:noWrap/>
            <w:vAlign w:val="center"/>
            <w:hideMark/>
          </w:tcPr>
          <w:p w14:paraId="5FC2486C" w14:textId="77777777" w:rsidR="0043709B" w:rsidRPr="0043709B" w:rsidRDefault="0043709B" w:rsidP="0043709B">
            <w:pPr>
              <w:rPr>
                <w:rFonts w:ascii="Arial Narrow" w:hAnsi="Arial Narrow" w:cs="Arial"/>
                <w:sz w:val="16"/>
                <w:szCs w:val="16"/>
              </w:rPr>
            </w:pPr>
            <w:r w:rsidRPr="0043709B">
              <w:rPr>
                <w:rFonts w:ascii="Arial Narrow" w:hAnsi="Arial Narrow" w:cs="Arial"/>
                <w:sz w:val="16"/>
                <w:szCs w:val="16"/>
              </w:rPr>
              <w:t>19.02/2</w:t>
            </w:r>
          </w:p>
        </w:tc>
        <w:tc>
          <w:tcPr>
            <w:tcW w:w="3016" w:type="dxa"/>
            <w:tcBorders>
              <w:top w:val="nil"/>
              <w:left w:val="nil"/>
              <w:bottom w:val="single" w:sz="4" w:space="0" w:color="auto"/>
              <w:right w:val="single" w:sz="4" w:space="0" w:color="auto"/>
            </w:tcBorders>
            <w:shd w:val="clear" w:color="000000" w:fill="FFFFFF"/>
            <w:noWrap/>
            <w:vAlign w:val="center"/>
            <w:hideMark/>
          </w:tcPr>
          <w:p w14:paraId="3B613E43" w14:textId="77777777" w:rsidR="0043709B" w:rsidRPr="0043709B" w:rsidRDefault="0043709B" w:rsidP="00CD44F3">
            <w:pPr>
              <w:ind w:firstLineChars="100" w:firstLine="160"/>
              <w:rPr>
                <w:rFonts w:ascii="Arial Narrow" w:hAnsi="Arial Narrow" w:cs="Calibri"/>
                <w:sz w:val="16"/>
                <w:szCs w:val="16"/>
              </w:rPr>
            </w:pPr>
            <w:r w:rsidRPr="0043709B">
              <w:rPr>
                <w:rFonts w:ascii="Arial Narrow" w:hAnsi="Arial Narrow" w:cs="Calibri"/>
                <w:sz w:val="16"/>
                <w:szCs w:val="16"/>
              </w:rPr>
              <w:t>- газ</w:t>
            </w:r>
          </w:p>
        </w:tc>
        <w:tc>
          <w:tcPr>
            <w:tcW w:w="1180" w:type="dxa"/>
            <w:tcBorders>
              <w:top w:val="nil"/>
              <w:left w:val="nil"/>
              <w:bottom w:val="single" w:sz="4" w:space="0" w:color="auto"/>
              <w:right w:val="single" w:sz="4" w:space="0" w:color="auto"/>
            </w:tcBorders>
            <w:shd w:val="clear" w:color="auto" w:fill="auto"/>
            <w:vAlign w:val="center"/>
          </w:tcPr>
          <w:p w14:paraId="1C9E60D1" w14:textId="77777777" w:rsidR="0043709B" w:rsidRPr="0043709B" w:rsidRDefault="0043709B" w:rsidP="0043709B">
            <w:pPr>
              <w:jc w:val="right"/>
              <w:rPr>
                <w:rFonts w:ascii="Arial Narrow" w:hAnsi="Arial Narrow" w:cs="Calibri"/>
                <w:sz w:val="16"/>
                <w:szCs w:val="16"/>
              </w:rPr>
            </w:pPr>
            <w:r w:rsidRPr="0043709B">
              <w:rPr>
                <w:rFonts w:ascii="Arial Narrow" w:hAnsi="Arial Narrow" w:cs="Calibri"/>
                <w:sz w:val="16"/>
                <w:szCs w:val="16"/>
              </w:rPr>
              <w:t>45,1</w:t>
            </w:r>
          </w:p>
        </w:tc>
        <w:tc>
          <w:tcPr>
            <w:tcW w:w="1170" w:type="dxa"/>
            <w:tcBorders>
              <w:top w:val="nil"/>
              <w:left w:val="nil"/>
              <w:bottom w:val="single" w:sz="4" w:space="0" w:color="auto"/>
              <w:right w:val="single" w:sz="4" w:space="0" w:color="auto"/>
            </w:tcBorders>
            <w:shd w:val="clear" w:color="auto" w:fill="auto"/>
            <w:noWrap/>
            <w:vAlign w:val="center"/>
            <w:hideMark/>
          </w:tcPr>
          <w:p w14:paraId="02F4E88D" w14:textId="77777777" w:rsidR="0043709B" w:rsidRPr="0043709B" w:rsidRDefault="0043709B" w:rsidP="0043709B">
            <w:pPr>
              <w:jc w:val="right"/>
              <w:rPr>
                <w:rFonts w:ascii="Arial Narrow" w:hAnsi="Arial Narrow" w:cs="Calibri"/>
                <w:sz w:val="16"/>
                <w:szCs w:val="16"/>
              </w:rPr>
            </w:pPr>
            <w:r w:rsidRPr="0043709B">
              <w:rPr>
                <w:rFonts w:ascii="Arial Narrow" w:hAnsi="Arial Narrow" w:cs="Calibri"/>
                <w:sz w:val="16"/>
                <w:szCs w:val="16"/>
              </w:rPr>
              <w:t>95,6</w:t>
            </w:r>
          </w:p>
        </w:tc>
        <w:tc>
          <w:tcPr>
            <w:tcW w:w="1300" w:type="dxa"/>
            <w:tcBorders>
              <w:top w:val="nil"/>
              <w:left w:val="nil"/>
              <w:bottom w:val="single" w:sz="4" w:space="0" w:color="auto"/>
              <w:right w:val="single" w:sz="4" w:space="0" w:color="auto"/>
            </w:tcBorders>
            <w:shd w:val="clear" w:color="auto" w:fill="auto"/>
            <w:noWrap/>
            <w:vAlign w:val="center"/>
            <w:hideMark/>
          </w:tcPr>
          <w:p w14:paraId="088A2CA9" w14:textId="77777777" w:rsidR="0043709B" w:rsidRPr="0043709B" w:rsidRDefault="0043709B" w:rsidP="0043709B">
            <w:pPr>
              <w:jc w:val="right"/>
              <w:rPr>
                <w:rFonts w:ascii="Arial Narrow" w:hAnsi="Arial Narrow" w:cs="Calibri"/>
                <w:sz w:val="16"/>
                <w:szCs w:val="16"/>
              </w:rPr>
            </w:pPr>
            <w:r w:rsidRPr="0043709B">
              <w:rPr>
                <w:rFonts w:ascii="Arial Narrow" w:hAnsi="Arial Narrow" w:cs="Calibri"/>
                <w:sz w:val="16"/>
                <w:szCs w:val="16"/>
              </w:rPr>
              <w:t>43,1</w:t>
            </w:r>
          </w:p>
        </w:tc>
        <w:tc>
          <w:tcPr>
            <w:tcW w:w="1220" w:type="dxa"/>
            <w:tcBorders>
              <w:top w:val="nil"/>
              <w:left w:val="nil"/>
              <w:bottom w:val="single" w:sz="4" w:space="0" w:color="auto"/>
              <w:right w:val="single" w:sz="4" w:space="0" w:color="auto"/>
            </w:tcBorders>
            <w:shd w:val="clear" w:color="auto" w:fill="auto"/>
            <w:noWrap/>
            <w:vAlign w:val="center"/>
            <w:hideMark/>
          </w:tcPr>
          <w:p w14:paraId="37E01528" w14:textId="77777777" w:rsidR="0043709B" w:rsidRPr="0043709B" w:rsidRDefault="0043709B" w:rsidP="0043709B">
            <w:pPr>
              <w:jc w:val="right"/>
              <w:rPr>
                <w:rFonts w:ascii="Arial Narrow" w:hAnsi="Arial Narrow" w:cs="Calibri"/>
                <w:sz w:val="16"/>
                <w:szCs w:val="16"/>
              </w:rPr>
            </w:pPr>
            <w:r w:rsidRPr="0043709B">
              <w:rPr>
                <w:rFonts w:ascii="Arial Narrow" w:hAnsi="Arial Narrow" w:cs="Calibri"/>
                <w:sz w:val="16"/>
                <w:szCs w:val="16"/>
              </w:rPr>
              <w:t>94,4</w:t>
            </w:r>
          </w:p>
        </w:tc>
        <w:tc>
          <w:tcPr>
            <w:tcW w:w="1236" w:type="dxa"/>
            <w:tcBorders>
              <w:top w:val="nil"/>
              <w:left w:val="nil"/>
              <w:bottom w:val="single" w:sz="4" w:space="0" w:color="auto"/>
              <w:right w:val="single" w:sz="4" w:space="0" w:color="auto"/>
            </w:tcBorders>
            <w:shd w:val="clear" w:color="auto" w:fill="auto"/>
            <w:noWrap/>
            <w:vAlign w:val="center"/>
            <w:hideMark/>
          </w:tcPr>
          <w:p w14:paraId="2A986E20" w14:textId="77777777" w:rsidR="0043709B" w:rsidRPr="0043709B" w:rsidRDefault="0043709B" w:rsidP="0043709B">
            <w:pPr>
              <w:jc w:val="right"/>
              <w:rPr>
                <w:rFonts w:ascii="Arial Narrow" w:hAnsi="Arial Narrow" w:cs="Calibri"/>
                <w:sz w:val="16"/>
                <w:szCs w:val="16"/>
              </w:rPr>
            </w:pPr>
            <w:r w:rsidRPr="0043709B">
              <w:rPr>
                <w:rFonts w:ascii="Arial Narrow" w:hAnsi="Arial Narrow" w:cs="Calibri"/>
                <w:sz w:val="16"/>
                <w:szCs w:val="16"/>
              </w:rPr>
              <w:t>40,7</w:t>
            </w:r>
          </w:p>
        </w:tc>
        <w:tc>
          <w:tcPr>
            <w:tcW w:w="1260" w:type="dxa"/>
            <w:tcBorders>
              <w:top w:val="nil"/>
              <w:left w:val="nil"/>
              <w:bottom w:val="single" w:sz="4" w:space="0" w:color="auto"/>
              <w:right w:val="single" w:sz="4" w:space="0" w:color="auto"/>
            </w:tcBorders>
            <w:shd w:val="clear" w:color="auto" w:fill="auto"/>
            <w:noWrap/>
            <w:vAlign w:val="center"/>
            <w:hideMark/>
          </w:tcPr>
          <w:p w14:paraId="34C57A92" w14:textId="77777777" w:rsidR="0043709B" w:rsidRPr="0043709B" w:rsidRDefault="0043709B" w:rsidP="0043709B">
            <w:pPr>
              <w:jc w:val="right"/>
              <w:rPr>
                <w:rFonts w:ascii="Arial Narrow" w:hAnsi="Arial Narrow" w:cs="Arial"/>
                <w:sz w:val="16"/>
                <w:szCs w:val="16"/>
              </w:rPr>
            </w:pPr>
            <w:r w:rsidRPr="0043709B">
              <w:rPr>
                <w:rFonts w:ascii="Arial Narrow" w:hAnsi="Arial Narrow" w:cs="Arial"/>
                <w:sz w:val="16"/>
                <w:szCs w:val="16"/>
              </w:rPr>
              <w:t>90,2</w:t>
            </w:r>
          </w:p>
        </w:tc>
      </w:tr>
      <w:tr w:rsidR="0043709B" w:rsidRPr="0043709B" w14:paraId="3ADC61F3" w14:textId="77777777" w:rsidTr="0043709B">
        <w:trPr>
          <w:trHeight w:val="250"/>
        </w:trPr>
        <w:tc>
          <w:tcPr>
            <w:tcW w:w="781" w:type="dxa"/>
            <w:tcBorders>
              <w:top w:val="nil"/>
              <w:left w:val="single" w:sz="4" w:space="0" w:color="auto"/>
              <w:bottom w:val="single" w:sz="4" w:space="0" w:color="auto"/>
              <w:right w:val="single" w:sz="4" w:space="0" w:color="auto"/>
            </w:tcBorders>
            <w:shd w:val="clear" w:color="auto" w:fill="auto"/>
            <w:noWrap/>
            <w:vAlign w:val="center"/>
            <w:hideMark/>
          </w:tcPr>
          <w:p w14:paraId="5ECBE24E" w14:textId="77777777" w:rsidR="0043709B" w:rsidRPr="0043709B" w:rsidRDefault="0043709B" w:rsidP="0043709B">
            <w:pPr>
              <w:rPr>
                <w:rFonts w:ascii="Arial Narrow" w:hAnsi="Arial Narrow" w:cs="Arial"/>
                <w:sz w:val="16"/>
                <w:szCs w:val="16"/>
              </w:rPr>
            </w:pPr>
            <w:r w:rsidRPr="0043709B">
              <w:rPr>
                <w:rFonts w:ascii="Arial Narrow" w:hAnsi="Arial Narrow" w:cs="Arial"/>
                <w:sz w:val="16"/>
                <w:szCs w:val="16"/>
              </w:rPr>
              <w:t>19.02/3</w:t>
            </w:r>
          </w:p>
        </w:tc>
        <w:tc>
          <w:tcPr>
            <w:tcW w:w="3016" w:type="dxa"/>
            <w:tcBorders>
              <w:top w:val="nil"/>
              <w:left w:val="nil"/>
              <w:bottom w:val="single" w:sz="4" w:space="0" w:color="auto"/>
              <w:right w:val="single" w:sz="4" w:space="0" w:color="auto"/>
            </w:tcBorders>
            <w:shd w:val="clear" w:color="000000" w:fill="FFFFFF"/>
            <w:noWrap/>
            <w:vAlign w:val="center"/>
            <w:hideMark/>
          </w:tcPr>
          <w:p w14:paraId="4EB5B3E9" w14:textId="77777777" w:rsidR="0043709B" w:rsidRPr="0043709B" w:rsidRDefault="0043709B" w:rsidP="00CD44F3">
            <w:pPr>
              <w:ind w:firstLineChars="100" w:firstLine="160"/>
              <w:rPr>
                <w:rFonts w:ascii="Arial Narrow" w:hAnsi="Arial Narrow" w:cs="Calibri"/>
                <w:sz w:val="16"/>
                <w:szCs w:val="16"/>
              </w:rPr>
            </w:pPr>
            <w:r w:rsidRPr="0043709B">
              <w:rPr>
                <w:rFonts w:ascii="Arial Narrow" w:hAnsi="Arial Narrow" w:cs="Calibri"/>
                <w:sz w:val="16"/>
                <w:szCs w:val="16"/>
              </w:rPr>
              <w:t>- други горива</w:t>
            </w:r>
          </w:p>
        </w:tc>
        <w:tc>
          <w:tcPr>
            <w:tcW w:w="1180" w:type="dxa"/>
            <w:tcBorders>
              <w:top w:val="nil"/>
              <w:left w:val="nil"/>
              <w:bottom w:val="single" w:sz="4" w:space="0" w:color="auto"/>
              <w:right w:val="single" w:sz="4" w:space="0" w:color="auto"/>
            </w:tcBorders>
            <w:shd w:val="clear" w:color="auto" w:fill="auto"/>
            <w:vAlign w:val="center"/>
          </w:tcPr>
          <w:p w14:paraId="2BC3C8DD" w14:textId="77777777" w:rsidR="0043709B" w:rsidRPr="0043709B" w:rsidRDefault="0043709B" w:rsidP="0043709B">
            <w:pPr>
              <w:jc w:val="right"/>
              <w:rPr>
                <w:rFonts w:ascii="Arial Narrow" w:hAnsi="Arial Narrow" w:cs="Calibri"/>
                <w:sz w:val="16"/>
                <w:szCs w:val="16"/>
              </w:rPr>
            </w:pPr>
            <w:r w:rsidRPr="0043709B">
              <w:rPr>
                <w:rFonts w:ascii="Arial Narrow" w:hAnsi="Arial Narrow" w:cs="Calibri"/>
                <w:sz w:val="16"/>
                <w:szCs w:val="16"/>
              </w:rPr>
              <w:t>985,9</w:t>
            </w:r>
          </w:p>
        </w:tc>
        <w:tc>
          <w:tcPr>
            <w:tcW w:w="1170" w:type="dxa"/>
            <w:tcBorders>
              <w:top w:val="nil"/>
              <w:left w:val="nil"/>
              <w:bottom w:val="single" w:sz="4" w:space="0" w:color="auto"/>
              <w:right w:val="single" w:sz="4" w:space="0" w:color="auto"/>
            </w:tcBorders>
            <w:shd w:val="clear" w:color="auto" w:fill="auto"/>
            <w:noWrap/>
            <w:vAlign w:val="center"/>
            <w:hideMark/>
          </w:tcPr>
          <w:p w14:paraId="10FD8A40" w14:textId="77777777" w:rsidR="0043709B" w:rsidRPr="0043709B" w:rsidRDefault="0043709B" w:rsidP="0043709B">
            <w:pPr>
              <w:jc w:val="right"/>
              <w:rPr>
                <w:rFonts w:ascii="Arial Narrow" w:hAnsi="Arial Narrow" w:cs="Calibri"/>
                <w:sz w:val="16"/>
                <w:szCs w:val="16"/>
              </w:rPr>
            </w:pPr>
            <w:r w:rsidRPr="0043709B">
              <w:rPr>
                <w:rFonts w:ascii="Arial Narrow" w:hAnsi="Arial Narrow" w:cs="Calibri"/>
                <w:sz w:val="16"/>
                <w:szCs w:val="16"/>
              </w:rPr>
              <w:t>91,3</w:t>
            </w:r>
          </w:p>
        </w:tc>
        <w:tc>
          <w:tcPr>
            <w:tcW w:w="1300" w:type="dxa"/>
            <w:tcBorders>
              <w:top w:val="nil"/>
              <w:left w:val="nil"/>
              <w:bottom w:val="single" w:sz="4" w:space="0" w:color="auto"/>
              <w:right w:val="single" w:sz="4" w:space="0" w:color="auto"/>
            </w:tcBorders>
            <w:shd w:val="clear" w:color="auto" w:fill="auto"/>
            <w:noWrap/>
            <w:vAlign w:val="center"/>
            <w:hideMark/>
          </w:tcPr>
          <w:p w14:paraId="69AD630F" w14:textId="77777777" w:rsidR="0043709B" w:rsidRPr="0043709B" w:rsidRDefault="0043709B" w:rsidP="0043709B">
            <w:pPr>
              <w:jc w:val="right"/>
              <w:rPr>
                <w:rFonts w:ascii="Arial Narrow" w:hAnsi="Arial Narrow" w:cs="Calibri"/>
                <w:sz w:val="16"/>
                <w:szCs w:val="16"/>
              </w:rPr>
            </w:pPr>
            <w:r w:rsidRPr="0043709B">
              <w:rPr>
                <w:rFonts w:ascii="Arial Narrow" w:hAnsi="Arial Narrow" w:cs="Calibri"/>
                <w:sz w:val="16"/>
                <w:szCs w:val="16"/>
              </w:rPr>
              <w:t>900,3</w:t>
            </w:r>
          </w:p>
        </w:tc>
        <w:tc>
          <w:tcPr>
            <w:tcW w:w="1220" w:type="dxa"/>
            <w:tcBorders>
              <w:top w:val="nil"/>
              <w:left w:val="nil"/>
              <w:bottom w:val="single" w:sz="4" w:space="0" w:color="auto"/>
              <w:right w:val="single" w:sz="4" w:space="0" w:color="auto"/>
            </w:tcBorders>
            <w:shd w:val="clear" w:color="auto" w:fill="auto"/>
            <w:noWrap/>
            <w:vAlign w:val="center"/>
            <w:hideMark/>
          </w:tcPr>
          <w:p w14:paraId="3BBE1DED" w14:textId="77777777" w:rsidR="0043709B" w:rsidRPr="0043709B" w:rsidRDefault="0043709B" w:rsidP="0043709B">
            <w:pPr>
              <w:jc w:val="right"/>
              <w:rPr>
                <w:rFonts w:ascii="Arial Narrow" w:hAnsi="Arial Narrow" w:cs="Calibri"/>
                <w:sz w:val="16"/>
                <w:szCs w:val="16"/>
              </w:rPr>
            </w:pPr>
            <w:r w:rsidRPr="0043709B">
              <w:rPr>
                <w:rFonts w:ascii="Arial Narrow" w:hAnsi="Arial Narrow" w:cs="Calibri"/>
                <w:sz w:val="16"/>
                <w:szCs w:val="16"/>
              </w:rPr>
              <w:t>97,5</w:t>
            </w:r>
          </w:p>
        </w:tc>
        <w:tc>
          <w:tcPr>
            <w:tcW w:w="1236" w:type="dxa"/>
            <w:tcBorders>
              <w:top w:val="nil"/>
              <w:left w:val="nil"/>
              <w:bottom w:val="single" w:sz="4" w:space="0" w:color="auto"/>
              <w:right w:val="single" w:sz="4" w:space="0" w:color="auto"/>
            </w:tcBorders>
            <w:shd w:val="clear" w:color="auto" w:fill="auto"/>
            <w:noWrap/>
            <w:vAlign w:val="center"/>
            <w:hideMark/>
          </w:tcPr>
          <w:p w14:paraId="078EE105" w14:textId="77777777" w:rsidR="0043709B" w:rsidRPr="0043709B" w:rsidRDefault="0043709B" w:rsidP="0043709B">
            <w:pPr>
              <w:jc w:val="right"/>
              <w:rPr>
                <w:rFonts w:ascii="Arial Narrow" w:hAnsi="Arial Narrow" w:cs="Calibri"/>
                <w:sz w:val="16"/>
                <w:szCs w:val="16"/>
              </w:rPr>
            </w:pPr>
            <w:r w:rsidRPr="0043709B">
              <w:rPr>
                <w:rFonts w:ascii="Arial Narrow" w:hAnsi="Arial Narrow" w:cs="Calibri"/>
                <w:sz w:val="16"/>
                <w:szCs w:val="16"/>
              </w:rPr>
              <w:t>877,6</w:t>
            </w:r>
          </w:p>
        </w:tc>
        <w:tc>
          <w:tcPr>
            <w:tcW w:w="1260" w:type="dxa"/>
            <w:tcBorders>
              <w:top w:val="nil"/>
              <w:left w:val="nil"/>
              <w:bottom w:val="single" w:sz="4" w:space="0" w:color="auto"/>
              <w:right w:val="single" w:sz="4" w:space="0" w:color="auto"/>
            </w:tcBorders>
            <w:shd w:val="clear" w:color="auto" w:fill="auto"/>
            <w:noWrap/>
            <w:vAlign w:val="center"/>
            <w:hideMark/>
          </w:tcPr>
          <w:p w14:paraId="0F5B4114" w14:textId="77777777" w:rsidR="0043709B" w:rsidRPr="0043709B" w:rsidRDefault="0043709B" w:rsidP="0043709B">
            <w:pPr>
              <w:jc w:val="right"/>
              <w:rPr>
                <w:rFonts w:ascii="Arial Narrow" w:hAnsi="Arial Narrow" w:cs="Arial"/>
                <w:sz w:val="16"/>
                <w:szCs w:val="16"/>
              </w:rPr>
            </w:pPr>
            <w:r w:rsidRPr="0043709B">
              <w:rPr>
                <w:rFonts w:ascii="Arial Narrow" w:hAnsi="Arial Narrow" w:cs="Arial"/>
                <w:sz w:val="16"/>
                <w:szCs w:val="16"/>
              </w:rPr>
              <w:t>89,0</w:t>
            </w:r>
          </w:p>
        </w:tc>
      </w:tr>
      <w:tr w:rsidR="0043709B" w:rsidRPr="0043709B" w14:paraId="4E572BF9" w14:textId="77777777" w:rsidTr="0043709B">
        <w:trPr>
          <w:trHeight w:val="250"/>
        </w:trPr>
        <w:tc>
          <w:tcPr>
            <w:tcW w:w="781" w:type="dxa"/>
            <w:tcBorders>
              <w:top w:val="nil"/>
              <w:left w:val="single" w:sz="4" w:space="0" w:color="auto"/>
              <w:bottom w:val="single" w:sz="4" w:space="0" w:color="auto"/>
              <w:right w:val="single" w:sz="4" w:space="0" w:color="auto"/>
            </w:tcBorders>
            <w:shd w:val="clear" w:color="auto" w:fill="auto"/>
            <w:noWrap/>
            <w:vAlign w:val="center"/>
            <w:hideMark/>
          </w:tcPr>
          <w:p w14:paraId="33A67E45" w14:textId="77777777" w:rsidR="0043709B" w:rsidRPr="0043709B" w:rsidRDefault="0043709B" w:rsidP="0043709B">
            <w:pPr>
              <w:rPr>
                <w:rFonts w:ascii="Arial Narrow" w:hAnsi="Arial Narrow" w:cs="Arial"/>
                <w:sz w:val="16"/>
                <w:szCs w:val="16"/>
              </w:rPr>
            </w:pPr>
            <w:r w:rsidRPr="0043709B">
              <w:rPr>
                <w:rFonts w:ascii="Arial Narrow" w:hAnsi="Arial Narrow" w:cs="Arial"/>
                <w:sz w:val="16"/>
                <w:szCs w:val="16"/>
              </w:rPr>
              <w:t>19.02/4</w:t>
            </w:r>
          </w:p>
        </w:tc>
        <w:tc>
          <w:tcPr>
            <w:tcW w:w="3016" w:type="dxa"/>
            <w:tcBorders>
              <w:top w:val="nil"/>
              <w:left w:val="nil"/>
              <w:bottom w:val="single" w:sz="4" w:space="0" w:color="auto"/>
              <w:right w:val="single" w:sz="4" w:space="0" w:color="auto"/>
            </w:tcBorders>
            <w:shd w:val="clear" w:color="000000" w:fill="FFFFFF"/>
            <w:noWrap/>
            <w:vAlign w:val="center"/>
            <w:hideMark/>
          </w:tcPr>
          <w:p w14:paraId="1546F27D" w14:textId="77777777" w:rsidR="0043709B" w:rsidRPr="0043709B" w:rsidRDefault="0043709B" w:rsidP="00CD44F3">
            <w:pPr>
              <w:ind w:firstLineChars="100" w:firstLine="160"/>
              <w:rPr>
                <w:rFonts w:ascii="Arial Narrow" w:hAnsi="Arial Narrow" w:cs="Calibri"/>
                <w:sz w:val="16"/>
                <w:szCs w:val="16"/>
              </w:rPr>
            </w:pPr>
            <w:r w:rsidRPr="0043709B">
              <w:rPr>
                <w:rFonts w:ascii="Arial Narrow" w:hAnsi="Arial Narrow" w:cs="Calibri"/>
                <w:sz w:val="16"/>
                <w:szCs w:val="16"/>
              </w:rPr>
              <w:t>- други</w:t>
            </w:r>
          </w:p>
        </w:tc>
        <w:tc>
          <w:tcPr>
            <w:tcW w:w="1180" w:type="dxa"/>
            <w:tcBorders>
              <w:top w:val="nil"/>
              <w:left w:val="nil"/>
              <w:bottom w:val="single" w:sz="4" w:space="0" w:color="auto"/>
              <w:right w:val="single" w:sz="4" w:space="0" w:color="auto"/>
            </w:tcBorders>
            <w:shd w:val="clear" w:color="auto" w:fill="auto"/>
            <w:vAlign w:val="center"/>
          </w:tcPr>
          <w:p w14:paraId="5DD15B95" w14:textId="77777777" w:rsidR="0043709B" w:rsidRPr="0043709B" w:rsidRDefault="0043709B" w:rsidP="0043709B">
            <w:pPr>
              <w:jc w:val="right"/>
              <w:rPr>
                <w:rFonts w:ascii="Arial Narrow" w:hAnsi="Arial Narrow" w:cs="Calibri"/>
                <w:sz w:val="16"/>
                <w:szCs w:val="16"/>
              </w:rPr>
            </w:pPr>
            <w:r w:rsidRPr="0043709B">
              <w:rPr>
                <w:rFonts w:ascii="Arial Narrow" w:hAnsi="Arial Narrow" w:cs="Calibri"/>
                <w:sz w:val="16"/>
                <w:szCs w:val="16"/>
              </w:rPr>
              <w:t>7,4</w:t>
            </w:r>
          </w:p>
        </w:tc>
        <w:tc>
          <w:tcPr>
            <w:tcW w:w="1170" w:type="dxa"/>
            <w:tcBorders>
              <w:top w:val="nil"/>
              <w:left w:val="nil"/>
              <w:bottom w:val="single" w:sz="4" w:space="0" w:color="auto"/>
              <w:right w:val="single" w:sz="4" w:space="0" w:color="auto"/>
            </w:tcBorders>
            <w:shd w:val="clear" w:color="auto" w:fill="auto"/>
            <w:noWrap/>
            <w:vAlign w:val="center"/>
            <w:hideMark/>
          </w:tcPr>
          <w:p w14:paraId="43B3497B" w14:textId="77777777" w:rsidR="0043709B" w:rsidRPr="0043709B" w:rsidRDefault="0043709B" w:rsidP="0043709B">
            <w:pPr>
              <w:jc w:val="right"/>
              <w:rPr>
                <w:rFonts w:ascii="Arial Narrow" w:hAnsi="Arial Narrow" w:cs="Calibri"/>
                <w:sz w:val="16"/>
                <w:szCs w:val="16"/>
              </w:rPr>
            </w:pPr>
            <w:r w:rsidRPr="0043709B">
              <w:rPr>
                <w:rFonts w:ascii="Arial Narrow" w:hAnsi="Arial Narrow" w:cs="Calibri"/>
                <w:sz w:val="16"/>
                <w:szCs w:val="16"/>
              </w:rPr>
              <w:t>105,4</w:t>
            </w:r>
          </w:p>
        </w:tc>
        <w:tc>
          <w:tcPr>
            <w:tcW w:w="1300" w:type="dxa"/>
            <w:tcBorders>
              <w:top w:val="nil"/>
              <w:left w:val="nil"/>
              <w:bottom w:val="single" w:sz="4" w:space="0" w:color="auto"/>
              <w:right w:val="single" w:sz="4" w:space="0" w:color="auto"/>
            </w:tcBorders>
            <w:shd w:val="clear" w:color="auto" w:fill="auto"/>
            <w:noWrap/>
            <w:vAlign w:val="center"/>
            <w:hideMark/>
          </w:tcPr>
          <w:p w14:paraId="5016D22B" w14:textId="77777777" w:rsidR="0043709B" w:rsidRPr="0043709B" w:rsidRDefault="0043709B" w:rsidP="0043709B">
            <w:pPr>
              <w:jc w:val="right"/>
              <w:rPr>
                <w:rFonts w:ascii="Arial Narrow" w:hAnsi="Arial Narrow" w:cs="Calibri"/>
                <w:sz w:val="16"/>
                <w:szCs w:val="16"/>
              </w:rPr>
            </w:pPr>
            <w:r w:rsidRPr="0043709B">
              <w:rPr>
                <w:rFonts w:ascii="Arial Narrow" w:hAnsi="Arial Narrow" w:cs="Calibri"/>
                <w:sz w:val="16"/>
                <w:szCs w:val="16"/>
              </w:rPr>
              <w:t>7,8</w:t>
            </w:r>
          </w:p>
        </w:tc>
        <w:tc>
          <w:tcPr>
            <w:tcW w:w="1220" w:type="dxa"/>
            <w:tcBorders>
              <w:top w:val="nil"/>
              <w:left w:val="nil"/>
              <w:bottom w:val="single" w:sz="4" w:space="0" w:color="auto"/>
              <w:right w:val="single" w:sz="4" w:space="0" w:color="auto"/>
            </w:tcBorders>
            <w:shd w:val="clear" w:color="auto" w:fill="auto"/>
            <w:noWrap/>
            <w:vAlign w:val="center"/>
            <w:hideMark/>
          </w:tcPr>
          <w:p w14:paraId="16899756" w14:textId="77777777" w:rsidR="0043709B" w:rsidRPr="0043709B" w:rsidRDefault="0043709B" w:rsidP="0043709B">
            <w:pPr>
              <w:jc w:val="right"/>
              <w:rPr>
                <w:rFonts w:ascii="Arial Narrow" w:hAnsi="Arial Narrow" w:cs="Calibri"/>
                <w:sz w:val="16"/>
                <w:szCs w:val="16"/>
              </w:rPr>
            </w:pPr>
            <w:r w:rsidRPr="0043709B">
              <w:rPr>
                <w:rFonts w:ascii="Arial Narrow" w:hAnsi="Arial Narrow" w:cs="Calibri"/>
                <w:sz w:val="16"/>
                <w:szCs w:val="16"/>
              </w:rPr>
              <w:t>105,1</w:t>
            </w:r>
          </w:p>
        </w:tc>
        <w:tc>
          <w:tcPr>
            <w:tcW w:w="1236" w:type="dxa"/>
            <w:tcBorders>
              <w:top w:val="nil"/>
              <w:left w:val="nil"/>
              <w:bottom w:val="single" w:sz="4" w:space="0" w:color="auto"/>
              <w:right w:val="single" w:sz="4" w:space="0" w:color="auto"/>
            </w:tcBorders>
            <w:shd w:val="clear" w:color="auto" w:fill="auto"/>
            <w:noWrap/>
            <w:vAlign w:val="center"/>
            <w:hideMark/>
          </w:tcPr>
          <w:p w14:paraId="377F7E4F" w14:textId="77777777" w:rsidR="0043709B" w:rsidRPr="0043709B" w:rsidRDefault="0043709B" w:rsidP="0043709B">
            <w:pPr>
              <w:jc w:val="right"/>
              <w:rPr>
                <w:rFonts w:ascii="Arial Narrow" w:hAnsi="Arial Narrow" w:cs="Calibri"/>
                <w:sz w:val="16"/>
                <w:szCs w:val="16"/>
              </w:rPr>
            </w:pPr>
            <w:r w:rsidRPr="0043709B">
              <w:rPr>
                <w:rFonts w:ascii="Arial Narrow" w:hAnsi="Arial Narrow" w:cs="Calibri"/>
                <w:sz w:val="16"/>
                <w:szCs w:val="16"/>
              </w:rPr>
              <w:t>8,2</w:t>
            </w:r>
          </w:p>
        </w:tc>
        <w:tc>
          <w:tcPr>
            <w:tcW w:w="1260" w:type="dxa"/>
            <w:tcBorders>
              <w:top w:val="nil"/>
              <w:left w:val="nil"/>
              <w:bottom w:val="single" w:sz="4" w:space="0" w:color="auto"/>
              <w:right w:val="single" w:sz="4" w:space="0" w:color="auto"/>
            </w:tcBorders>
            <w:shd w:val="clear" w:color="auto" w:fill="auto"/>
            <w:noWrap/>
            <w:vAlign w:val="center"/>
            <w:hideMark/>
          </w:tcPr>
          <w:p w14:paraId="311D5BCA" w14:textId="77777777" w:rsidR="0043709B" w:rsidRPr="0043709B" w:rsidRDefault="0043709B" w:rsidP="0043709B">
            <w:pPr>
              <w:jc w:val="right"/>
              <w:rPr>
                <w:rFonts w:ascii="Arial Narrow" w:hAnsi="Arial Narrow" w:cs="Arial"/>
                <w:sz w:val="16"/>
                <w:szCs w:val="16"/>
              </w:rPr>
            </w:pPr>
            <w:r w:rsidRPr="0043709B">
              <w:rPr>
                <w:rFonts w:ascii="Arial Narrow" w:hAnsi="Arial Narrow" w:cs="Arial"/>
                <w:sz w:val="16"/>
                <w:szCs w:val="16"/>
              </w:rPr>
              <w:t>110,8</w:t>
            </w:r>
          </w:p>
        </w:tc>
      </w:tr>
      <w:tr w:rsidR="0043709B" w:rsidRPr="0043709B" w14:paraId="1BB0C4EF" w14:textId="77777777" w:rsidTr="0043709B">
        <w:trPr>
          <w:trHeight w:val="250"/>
        </w:trPr>
        <w:tc>
          <w:tcPr>
            <w:tcW w:w="781" w:type="dxa"/>
            <w:tcBorders>
              <w:top w:val="nil"/>
              <w:left w:val="single" w:sz="4" w:space="0" w:color="auto"/>
              <w:bottom w:val="single" w:sz="4" w:space="0" w:color="auto"/>
              <w:right w:val="single" w:sz="4" w:space="0" w:color="auto"/>
            </w:tcBorders>
            <w:shd w:val="clear" w:color="auto" w:fill="auto"/>
            <w:noWrap/>
            <w:vAlign w:val="center"/>
            <w:hideMark/>
          </w:tcPr>
          <w:p w14:paraId="013ED643" w14:textId="77777777" w:rsidR="0043709B" w:rsidRPr="0043709B" w:rsidRDefault="0043709B" w:rsidP="0043709B">
            <w:pPr>
              <w:rPr>
                <w:rFonts w:ascii="Arial Narrow" w:hAnsi="Arial Narrow" w:cs="Arial"/>
                <w:sz w:val="16"/>
                <w:szCs w:val="16"/>
              </w:rPr>
            </w:pPr>
            <w:r w:rsidRPr="0043709B">
              <w:rPr>
                <w:rFonts w:ascii="Arial Narrow" w:hAnsi="Arial Narrow" w:cs="Arial"/>
                <w:sz w:val="16"/>
                <w:szCs w:val="16"/>
              </w:rPr>
              <w:t>19.03</w:t>
            </w:r>
          </w:p>
        </w:tc>
        <w:tc>
          <w:tcPr>
            <w:tcW w:w="3016" w:type="dxa"/>
            <w:tcBorders>
              <w:top w:val="nil"/>
              <w:left w:val="nil"/>
              <w:bottom w:val="single" w:sz="4" w:space="0" w:color="auto"/>
              <w:right w:val="single" w:sz="4" w:space="0" w:color="auto"/>
            </w:tcBorders>
            <w:shd w:val="clear" w:color="000000" w:fill="FFFFFF"/>
            <w:noWrap/>
            <w:vAlign w:val="center"/>
            <w:hideMark/>
          </w:tcPr>
          <w:p w14:paraId="62AE83E8" w14:textId="77777777" w:rsidR="0043709B" w:rsidRPr="0043709B" w:rsidRDefault="0043709B" w:rsidP="0043709B">
            <w:pPr>
              <w:ind w:firstLineChars="100" w:firstLine="161"/>
              <w:rPr>
                <w:rFonts w:ascii="Arial Narrow" w:hAnsi="Arial Narrow" w:cs="Calibri"/>
                <w:b/>
                <w:bCs/>
                <w:sz w:val="16"/>
                <w:szCs w:val="16"/>
              </w:rPr>
            </w:pPr>
            <w:r w:rsidRPr="0043709B">
              <w:rPr>
                <w:rFonts w:ascii="Arial Narrow" w:hAnsi="Arial Narrow" w:cs="Calibri"/>
                <w:b/>
                <w:bCs/>
                <w:sz w:val="16"/>
                <w:szCs w:val="16"/>
              </w:rPr>
              <w:t>ТОРОВЕ И ПОЧВЕНИ ПОДОБРИТЕЛИ</w:t>
            </w:r>
          </w:p>
        </w:tc>
        <w:tc>
          <w:tcPr>
            <w:tcW w:w="1180" w:type="dxa"/>
            <w:tcBorders>
              <w:top w:val="nil"/>
              <w:left w:val="nil"/>
              <w:bottom w:val="single" w:sz="4" w:space="0" w:color="auto"/>
              <w:right w:val="single" w:sz="4" w:space="0" w:color="auto"/>
            </w:tcBorders>
            <w:shd w:val="clear" w:color="auto" w:fill="auto"/>
            <w:vAlign w:val="center"/>
          </w:tcPr>
          <w:p w14:paraId="5C0744A1" w14:textId="77777777" w:rsidR="0043709B" w:rsidRPr="0043709B" w:rsidRDefault="0043709B" w:rsidP="0043709B">
            <w:pPr>
              <w:jc w:val="right"/>
              <w:rPr>
                <w:rFonts w:ascii="Arial Narrow" w:hAnsi="Arial Narrow" w:cs="Calibri"/>
                <w:sz w:val="16"/>
                <w:szCs w:val="16"/>
              </w:rPr>
            </w:pPr>
            <w:r w:rsidRPr="0043709B">
              <w:rPr>
                <w:rFonts w:ascii="Arial Narrow" w:hAnsi="Arial Narrow" w:cs="Calibri"/>
                <w:sz w:val="16"/>
                <w:szCs w:val="16"/>
              </w:rPr>
              <w:t>1 152,7</w:t>
            </w:r>
          </w:p>
        </w:tc>
        <w:tc>
          <w:tcPr>
            <w:tcW w:w="1170" w:type="dxa"/>
            <w:tcBorders>
              <w:top w:val="nil"/>
              <w:left w:val="nil"/>
              <w:bottom w:val="single" w:sz="4" w:space="0" w:color="auto"/>
              <w:right w:val="single" w:sz="4" w:space="0" w:color="auto"/>
            </w:tcBorders>
            <w:shd w:val="clear" w:color="auto" w:fill="auto"/>
            <w:noWrap/>
            <w:vAlign w:val="center"/>
            <w:hideMark/>
          </w:tcPr>
          <w:p w14:paraId="1DE0C8A1" w14:textId="77777777" w:rsidR="0043709B" w:rsidRPr="0043709B" w:rsidRDefault="0043709B" w:rsidP="0043709B">
            <w:pPr>
              <w:jc w:val="right"/>
              <w:rPr>
                <w:rFonts w:ascii="Arial Narrow" w:hAnsi="Arial Narrow" w:cs="Calibri"/>
                <w:sz w:val="16"/>
                <w:szCs w:val="16"/>
              </w:rPr>
            </w:pPr>
            <w:r w:rsidRPr="0043709B">
              <w:rPr>
                <w:rFonts w:ascii="Arial Narrow" w:hAnsi="Arial Narrow" w:cs="Calibri"/>
                <w:sz w:val="16"/>
                <w:szCs w:val="16"/>
              </w:rPr>
              <w:t>100,9</w:t>
            </w:r>
          </w:p>
        </w:tc>
        <w:tc>
          <w:tcPr>
            <w:tcW w:w="1300" w:type="dxa"/>
            <w:tcBorders>
              <w:top w:val="nil"/>
              <w:left w:val="nil"/>
              <w:bottom w:val="single" w:sz="4" w:space="0" w:color="auto"/>
              <w:right w:val="single" w:sz="4" w:space="0" w:color="auto"/>
            </w:tcBorders>
            <w:shd w:val="clear" w:color="auto" w:fill="auto"/>
            <w:noWrap/>
            <w:vAlign w:val="center"/>
            <w:hideMark/>
          </w:tcPr>
          <w:p w14:paraId="537D90CB" w14:textId="77777777" w:rsidR="0043709B" w:rsidRPr="0043709B" w:rsidRDefault="0043709B" w:rsidP="0043709B">
            <w:pPr>
              <w:jc w:val="right"/>
              <w:rPr>
                <w:rFonts w:ascii="Arial Narrow" w:hAnsi="Arial Narrow" w:cs="Calibri"/>
                <w:sz w:val="16"/>
                <w:szCs w:val="16"/>
              </w:rPr>
            </w:pPr>
            <w:r w:rsidRPr="0043709B">
              <w:rPr>
                <w:rFonts w:ascii="Arial Narrow" w:hAnsi="Arial Narrow" w:cs="Calibri"/>
                <w:sz w:val="16"/>
                <w:szCs w:val="16"/>
              </w:rPr>
              <w:t>1 162,9</w:t>
            </w:r>
          </w:p>
        </w:tc>
        <w:tc>
          <w:tcPr>
            <w:tcW w:w="1220" w:type="dxa"/>
            <w:tcBorders>
              <w:top w:val="nil"/>
              <w:left w:val="nil"/>
              <w:bottom w:val="single" w:sz="4" w:space="0" w:color="auto"/>
              <w:right w:val="single" w:sz="4" w:space="0" w:color="auto"/>
            </w:tcBorders>
            <w:shd w:val="clear" w:color="auto" w:fill="auto"/>
            <w:noWrap/>
            <w:vAlign w:val="center"/>
            <w:hideMark/>
          </w:tcPr>
          <w:p w14:paraId="1328A074" w14:textId="77777777" w:rsidR="0043709B" w:rsidRPr="0043709B" w:rsidRDefault="0043709B" w:rsidP="0043709B">
            <w:pPr>
              <w:jc w:val="right"/>
              <w:rPr>
                <w:rFonts w:ascii="Arial Narrow" w:hAnsi="Arial Narrow" w:cs="Calibri"/>
                <w:sz w:val="16"/>
                <w:szCs w:val="16"/>
              </w:rPr>
            </w:pPr>
            <w:r w:rsidRPr="0043709B">
              <w:rPr>
                <w:rFonts w:ascii="Arial Narrow" w:hAnsi="Arial Narrow" w:cs="Calibri"/>
                <w:sz w:val="16"/>
                <w:szCs w:val="16"/>
              </w:rPr>
              <w:t>81,7</w:t>
            </w:r>
          </w:p>
        </w:tc>
        <w:tc>
          <w:tcPr>
            <w:tcW w:w="1236" w:type="dxa"/>
            <w:tcBorders>
              <w:top w:val="nil"/>
              <w:left w:val="nil"/>
              <w:bottom w:val="single" w:sz="4" w:space="0" w:color="auto"/>
              <w:right w:val="single" w:sz="4" w:space="0" w:color="auto"/>
            </w:tcBorders>
            <w:shd w:val="clear" w:color="auto" w:fill="auto"/>
            <w:noWrap/>
            <w:vAlign w:val="center"/>
            <w:hideMark/>
          </w:tcPr>
          <w:p w14:paraId="18A03A6A" w14:textId="77777777" w:rsidR="0043709B" w:rsidRPr="0043709B" w:rsidRDefault="0043709B" w:rsidP="0043709B">
            <w:pPr>
              <w:jc w:val="right"/>
              <w:rPr>
                <w:rFonts w:ascii="Arial Narrow" w:hAnsi="Arial Narrow" w:cs="Calibri"/>
                <w:sz w:val="16"/>
                <w:szCs w:val="16"/>
              </w:rPr>
            </w:pPr>
            <w:r w:rsidRPr="0043709B">
              <w:rPr>
                <w:rFonts w:ascii="Arial Narrow" w:hAnsi="Arial Narrow" w:cs="Calibri"/>
                <w:sz w:val="16"/>
                <w:szCs w:val="16"/>
              </w:rPr>
              <w:t>950,1</w:t>
            </w:r>
          </w:p>
        </w:tc>
        <w:tc>
          <w:tcPr>
            <w:tcW w:w="1260" w:type="dxa"/>
            <w:tcBorders>
              <w:top w:val="nil"/>
              <w:left w:val="nil"/>
              <w:bottom w:val="single" w:sz="4" w:space="0" w:color="auto"/>
              <w:right w:val="single" w:sz="4" w:space="0" w:color="auto"/>
            </w:tcBorders>
            <w:shd w:val="clear" w:color="auto" w:fill="auto"/>
            <w:noWrap/>
            <w:vAlign w:val="center"/>
            <w:hideMark/>
          </w:tcPr>
          <w:p w14:paraId="55EDB7CB" w14:textId="77777777" w:rsidR="0043709B" w:rsidRPr="0043709B" w:rsidRDefault="0043709B" w:rsidP="0043709B">
            <w:pPr>
              <w:jc w:val="right"/>
              <w:rPr>
                <w:rFonts w:ascii="Arial Narrow" w:hAnsi="Arial Narrow" w:cs="Arial"/>
                <w:sz w:val="16"/>
                <w:szCs w:val="16"/>
              </w:rPr>
            </w:pPr>
            <w:r w:rsidRPr="0043709B">
              <w:rPr>
                <w:rFonts w:ascii="Arial Narrow" w:hAnsi="Arial Narrow" w:cs="Arial"/>
                <w:sz w:val="16"/>
                <w:szCs w:val="16"/>
              </w:rPr>
              <w:t>82,4</w:t>
            </w:r>
          </w:p>
        </w:tc>
      </w:tr>
      <w:tr w:rsidR="0043709B" w:rsidRPr="0043709B" w14:paraId="692778CE" w14:textId="77777777" w:rsidTr="0043709B">
        <w:trPr>
          <w:trHeight w:val="250"/>
        </w:trPr>
        <w:tc>
          <w:tcPr>
            <w:tcW w:w="781" w:type="dxa"/>
            <w:tcBorders>
              <w:top w:val="nil"/>
              <w:left w:val="single" w:sz="4" w:space="0" w:color="auto"/>
              <w:bottom w:val="single" w:sz="4" w:space="0" w:color="auto"/>
              <w:right w:val="single" w:sz="4" w:space="0" w:color="auto"/>
            </w:tcBorders>
            <w:shd w:val="clear" w:color="auto" w:fill="auto"/>
            <w:noWrap/>
            <w:vAlign w:val="center"/>
            <w:hideMark/>
          </w:tcPr>
          <w:p w14:paraId="677FC4A9" w14:textId="77777777" w:rsidR="0043709B" w:rsidRPr="0043709B" w:rsidRDefault="0043709B" w:rsidP="0043709B">
            <w:pPr>
              <w:rPr>
                <w:rFonts w:ascii="Arial Narrow" w:hAnsi="Arial Narrow" w:cs="Arial"/>
                <w:sz w:val="16"/>
                <w:szCs w:val="16"/>
              </w:rPr>
            </w:pPr>
            <w:r w:rsidRPr="0043709B">
              <w:rPr>
                <w:rFonts w:ascii="Arial Narrow" w:hAnsi="Arial Narrow" w:cs="Arial"/>
                <w:sz w:val="16"/>
                <w:szCs w:val="16"/>
              </w:rPr>
              <w:t>19.03/1</w:t>
            </w:r>
          </w:p>
        </w:tc>
        <w:tc>
          <w:tcPr>
            <w:tcW w:w="3016" w:type="dxa"/>
            <w:tcBorders>
              <w:top w:val="nil"/>
              <w:left w:val="nil"/>
              <w:bottom w:val="single" w:sz="4" w:space="0" w:color="auto"/>
              <w:right w:val="single" w:sz="4" w:space="0" w:color="auto"/>
            </w:tcBorders>
            <w:shd w:val="clear" w:color="000000" w:fill="FFFFFF"/>
            <w:vAlign w:val="center"/>
            <w:hideMark/>
          </w:tcPr>
          <w:p w14:paraId="2BA87E4F" w14:textId="77777777" w:rsidR="0043709B" w:rsidRPr="0043709B" w:rsidRDefault="0043709B" w:rsidP="00CD44F3">
            <w:pPr>
              <w:ind w:firstLineChars="100" w:firstLine="160"/>
              <w:rPr>
                <w:rFonts w:ascii="Arial Narrow" w:hAnsi="Arial Narrow" w:cs="Calibri"/>
                <w:sz w:val="16"/>
                <w:szCs w:val="16"/>
              </w:rPr>
            </w:pPr>
            <w:r w:rsidRPr="0043709B">
              <w:rPr>
                <w:rFonts w:ascii="Arial Narrow" w:hAnsi="Arial Narrow" w:cs="Calibri"/>
                <w:sz w:val="16"/>
                <w:szCs w:val="16"/>
              </w:rPr>
              <w:t>- торове, доставени от други селскостопански предприятия</w:t>
            </w:r>
          </w:p>
        </w:tc>
        <w:tc>
          <w:tcPr>
            <w:tcW w:w="1180" w:type="dxa"/>
            <w:tcBorders>
              <w:top w:val="nil"/>
              <w:left w:val="nil"/>
              <w:bottom w:val="single" w:sz="4" w:space="0" w:color="auto"/>
              <w:right w:val="single" w:sz="4" w:space="0" w:color="auto"/>
            </w:tcBorders>
            <w:shd w:val="clear" w:color="auto" w:fill="auto"/>
            <w:vAlign w:val="center"/>
          </w:tcPr>
          <w:p w14:paraId="7A025A49" w14:textId="77777777" w:rsidR="0043709B" w:rsidRPr="0043709B" w:rsidRDefault="0043709B" w:rsidP="0043709B">
            <w:pPr>
              <w:jc w:val="right"/>
              <w:rPr>
                <w:rFonts w:ascii="Arial Narrow" w:hAnsi="Arial Narrow" w:cs="Calibri"/>
                <w:sz w:val="16"/>
                <w:szCs w:val="16"/>
              </w:rPr>
            </w:pPr>
            <w:r w:rsidRPr="0043709B">
              <w:rPr>
                <w:rFonts w:ascii="Arial Narrow" w:hAnsi="Arial Narrow" w:cs="Calibri"/>
                <w:sz w:val="16"/>
                <w:szCs w:val="16"/>
              </w:rPr>
              <w:t>40,3</w:t>
            </w:r>
          </w:p>
        </w:tc>
        <w:tc>
          <w:tcPr>
            <w:tcW w:w="1170" w:type="dxa"/>
            <w:tcBorders>
              <w:top w:val="nil"/>
              <w:left w:val="nil"/>
              <w:bottom w:val="single" w:sz="4" w:space="0" w:color="auto"/>
              <w:right w:val="single" w:sz="4" w:space="0" w:color="auto"/>
            </w:tcBorders>
            <w:shd w:val="clear" w:color="auto" w:fill="auto"/>
            <w:noWrap/>
            <w:vAlign w:val="center"/>
            <w:hideMark/>
          </w:tcPr>
          <w:p w14:paraId="474EAE8F" w14:textId="77777777" w:rsidR="0043709B" w:rsidRPr="0043709B" w:rsidRDefault="0043709B" w:rsidP="0043709B">
            <w:pPr>
              <w:jc w:val="right"/>
              <w:rPr>
                <w:rFonts w:ascii="Arial Narrow" w:hAnsi="Arial Narrow" w:cs="Calibri"/>
                <w:sz w:val="16"/>
                <w:szCs w:val="16"/>
              </w:rPr>
            </w:pPr>
            <w:r w:rsidRPr="0043709B">
              <w:rPr>
                <w:rFonts w:ascii="Arial Narrow" w:hAnsi="Arial Narrow" w:cs="Calibri"/>
                <w:sz w:val="16"/>
                <w:szCs w:val="16"/>
              </w:rPr>
              <w:t>81,6</w:t>
            </w:r>
          </w:p>
        </w:tc>
        <w:tc>
          <w:tcPr>
            <w:tcW w:w="1300" w:type="dxa"/>
            <w:tcBorders>
              <w:top w:val="nil"/>
              <w:left w:val="nil"/>
              <w:bottom w:val="single" w:sz="4" w:space="0" w:color="auto"/>
              <w:right w:val="single" w:sz="4" w:space="0" w:color="auto"/>
            </w:tcBorders>
            <w:shd w:val="clear" w:color="auto" w:fill="auto"/>
            <w:noWrap/>
            <w:vAlign w:val="center"/>
            <w:hideMark/>
          </w:tcPr>
          <w:p w14:paraId="308B9086" w14:textId="77777777" w:rsidR="0043709B" w:rsidRPr="0043709B" w:rsidRDefault="0043709B" w:rsidP="0043709B">
            <w:pPr>
              <w:jc w:val="right"/>
              <w:rPr>
                <w:rFonts w:ascii="Arial Narrow" w:hAnsi="Arial Narrow" w:cs="Calibri"/>
                <w:sz w:val="16"/>
                <w:szCs w:val="16"/>
              </w:rPr>
            </w:pPr>
            <w:r w:rsidRPr="0043709B">
              <w:rPr>
                <w:rFonts w:ascii="Arial Narrow" w:hAnsi="Arial Narrow" w:cs="Calibri"/>
                <w:sz w:val="16"/>
                <w:szCs w:val="16"/>
              </w:rPr>
              <w:t>32,9</w:t>
            </w:r>
          </w:p>
        </w:tc>
        <w:tc>
          <w:tcPr>
            <w:tcW w:w="1220" w:type="dxa"/>
            <w:tcBorders>
              <w:top w:val="nil"/>
              <w:left w:val="nil"/>
              <w:bottom w:val="single" w:sz="4" w:space="0" w:color="auto"/>
              <w:right w:val="single" w:sz="4" w:space="0" w:color="auto"/>
            </w:tcBorders>
            <w:shd w:val="clear" w:color="auto" w:fill="auto"/>
            <w:noWrap/>
            <w:vAlign w:val="center"/>
            <w:hideMark/>
          </w:tcPr>
          <w:p w14:paraId="75341FB8" w14:textId="77777777" w:rsidR="0043709B" w:rsidRPr="0043709B" w:rsidRDefault="0043709B" w:rsidP="0043709B">
            <w:pPr>
              <w:jc w:val="right"/>
              <w:rPr>
                <w:rFonts w:ascii="Arial Narrow" w:hAnsi="Arial Narrow" w:cs="Calibri"/>
                <w:sz w:val="16"/>
                <w:szCs w:val="16"/>
              </w:rPr>
            </w:pPr>
            <w:r w:rsidRPr="0043709B">
              <w:rPr>
                <w:rFonts w:ascii="Arial Narrow" w:hAnsi="Arial Narrow" w:cs="Calibri"/>
                <w:sz w:val="16"/>
                <w:szCs w:val="16"/>
              </w:rPr>
              <w:t>81,8</w:t>
            </w:r>
          </w:p>
        </w:tc>
        <w:tc>
          <w:tcPr>
            <w:tcW w:w="1236" w:type="dxa"/>
            <w:tcBorders>
              <w:top w:val="nil"/>
              <w:left w:val="nil"/>
              <w:bottom w:val="single" w:sz="4" w:space="0" w:color="auto"/>
              <w:right w:val="single" w:sz="4" w:space="0" w:color="auto"/>
            </w:tcBorders>
            <w:shd w:val="clear" w:color="auto" w:fill="auto"/>
            <w:noWrap/>
            <w:vAlign w:val="center"/>
            <w:hideMark/>
          </w:tcPr>
          <w:p w14:paraId="6BB1DB24" w14:textId="77777777" w:rsidR="0043709B" w:rsidRPr="0043709B" w:rsidRDefault="0043709B" w:rsidP="0043709B">
            <w:pPr>
              <w:jc w:val="right"/>
              <w:rPr>
                <w:rFonts w:ascii="Arial Narrow" w:hAnsi="Arial Narrow" w:cs="Calibri"/>
                <w:sz w:val="16"/>
                <w:szCs w:val="16"/>
              </w:rPr>
            </w:pPr>
            <w:r w:rsidRPr="0043709B">
              <w:rPr>
                <w:rFonts w:ascii="Arial Narrow" w:hAnsi="Arial Narrow" w:cs="Calibri"/>
                <w:sz w:val="16"/>
                <w:szCs w:val="16"/>
              </w:rPr>
              <w:t>26,9</w:t>
            </w:r>
          </w:p>
        </w:tc>
        <w:tc>
          <w:tcPr>
            <w:tcW w:w="1260" w:type="dxa"/>
            <w:tcBorders>
              <w:top w:val="nil"/>
              <w:left w:val="nil"/>
              <w:bottom w:val="single" w:sz="4" w:space="0" w:color="auto"/>
              <w:right w:val="single" w:sz="4" w:space="0" w:color="auto"/>
            </w:tcBorders>
            <w:shd w:val="clear" w:color="auto" w:fill="auto"/>
            <w:noWrap/>
            <w:vAlign w:val="center"/>
            <w:hideMark/>
          </w:tcPr>
          <w:p w14:paraId="2130D350" w14:textId="77777777" w:rsidR="0043709B" w:rsidRPr="0043709B" w:rsidRDefault="0043709B" w:rsidP="0043709B">
            <w:pPr>
              <w:jc w:val="right"/>
              <w:rPr>
                <w:rFonts w:ascii="Arial Narrow" w:hAnsi="Arial Narrow" w:cs="Arial"/>
                <w:sz w:val="16"/>
                <w:szCs w:val="16"/>
              </w:rPr>
            </w:pPr>
            <w:r w:rsidRPr="0043709B">
              <w:rPr>
                <w:rFonts w:ascii="Arial Narrow" w:hAnsi="Arial Narrow" w:cs="Arial"/>
                <w:sz w:val="16"/>
                <w:szCs w:val="16"/>
              </w:rPr>
              <w:t>66,7</w:t>
            </w:r>
          </w:p>
        </w:tc>
      </w:tr>
      <w:tr w:rsidR="0043709B" w:rsidRPr="0043709B" w14:paraId="41DFCDB6" w14:textId="77777777" w:rsidTr="0043709B">
        <w:trPr>
          <w:trHeight w:val="250"/>
        </w:trPr>
        <w:tc>
          <w:tcPr>
            <w:tcW w:w="781" w:type="dxa"/>
            <w:tcBorders>
              <w:top w:val="nil"/>
              <w:left w:val="single" w:sz="4" w:space="0" w:color="auto"/>
              <w:bottom w:val="single" w:sz="4" w:space="0" w:color="auto"/>
              <w:right w:val="single" w:sz="4" w:space="0" w:color="auto"/>
            </w:tcBorders>
            <w:shd w:val="clear" w:color="auto" w:fill="auto"/>
            <w:noWrap/>
            <w:vAlign w:val="center"/>
            <w:hideMark/>
          </w:tcPr>
          <w:p w14:paraId="2A526163" w14:textId="77777777" w:rsidR="0043709B" w:rsidRPr="0043709B" w:rsidRDefault="0043709B" w:rsidP="0043709B">
            <w:pPr>
              <w:rPr>
                <w:rFonts w:ascii="Arial Narrow" w:hAnsi="Arial Narrow" w:cs="Arial"/>
                <w:sz w:val="16"/>
                <w:szCs w:val="16"/>
              </w:rPr>
            </w:pPr>
            <w:r w:rsidRPr="0043709B">
              <w:rPr>
                <w:rFonts w:ascii="Arial Narrow" w:hAnsi="Arial Narrow" w:cs="Arial"/>
                <w:sz w:val="16"/>
                <w:szCs w:val="16"/>
              </w:rPr>
              <w:t>19.03/2</w:t>
            </w:r>
          </w:p>
        </w:tc>
        <w:tc>
          <w:tcPr>
            <w:tcW w:w="3016" w:type="dxa"/>
            <w:tcBorders>
              <w:top w:val="nil"/>
              <w:left w:val="nil"/>
              <w:bottom w:val="single" w:sz="4" w:space="0" w:color="auto"/>
              <w:right w:val="single" w:sz="4" w:space="0" w:color="auto"/>
            </w:tcBorders>
            <w:shd w:val="clear" w:color="000000" w:fill="FFFFFF"/>
            <w:noWrap/>
            <w:vAlign w:val="center"/>
            <w:hideMark/>
          </w:tcPr>
          <w:p w14:paraId="356ED1AE" w14:textId="77777777" w:rsidR="0043709B" w:rsidRPr="0043709B" w:rsidRDefault="0043709B" w:rsidP="00CD44F3">
            <w:pPr>
              <w:ind w:firstLineChars="100" w:firstLine="160"/>
              <w:rPr>
                <w:rFonts w:ascii="Arial Narrow" w:hAnsi="Arial Narrow" w:cs="Calibri"/>
                <w:sz w:val="16"/>
                <w:szCs w:val="16"/>
              </w:rPr>
            </w:pPr>
            <w:r w:rsidRPr="0043709B">
              <w:rPr>
                <w:rFonts w:ascii="Arial Narrow" w:hAnsi="Arial Narrow" w:cs="Calibri"/>
                <w:sz w:val="16"/>
                <w:szCs w:val="16"/>
              </w:rPr>
              <w:t>- торове, закупени извън сектора</w:t>
            </w:r>
          </w:p>
        </w:tc>
        <w:tc>
          <w:tcPr>
            <w:tcW w:w="1180" w:type="dxa"/>
            <w:tcBorders>
              <w:top w:val="nil"/>
              <w:left w:val="nil"/>
              <w:bottom w:val="single" w:sz="4" w:space="0" w:color="auto"/>
              <w:right w:val="single" w:sz="4" w:space="0" w:color="auto"/>
            </w:tcBorders>
            <w:shd w:val="clear" w:color="auto" w:fill="auto"/>
            <w:vAlign w:val="center"/>
          </w:tcPr>
          <w:p w14:paraId="776EDB52" w14:textId="77777777" w:rsidR="0043709B" w:rsidRPr="0043709B" w:rsidRDefault="0043709B" w:rsidP="0043709B">
            <w:pPr>
              <w:jc w:val="right"/>
              <w:rPr>
                <w:rFonts w:ascii="Arial Narrow" w:hAnsi="Arial Narrow" w:cs="Calibri"/>
                <w:sz w:val="16"/>
                <w:szCs w:val="16"/>
              </w:rPr>
            </w:pPr>
            <w:r w:rsidRPr="0043709B">
              <w:rPr>
                <w:rFonts w:ascii="Arial Narrow" w:hAnsi="Arial Narrow" w:cs="Calibri"/>
                <w:sz w:val="16"/>
                <w:szCs w:val="16"/>
              </w:rPr>
              <w:t>1 112,4</w:t>
            </w:r>
          </w:p>
        </w:tc>
        <w:tc>
          <w:tcPr>
            <w:tcW w:w="1170" w:type="dxa"/>
            <w:tcBorders>
              <w:top w:val="nil"/>
              <w:left w:val="nil"/>
              <w:bottom w:val="single" w:sz="4" w:space="0" w:color="auto"/>
              <w:right w:val="single" w:sz="4" w:space="0" w:color="auto"/>
            </w:tcBorders>
            <w:shd w:val="clear" w:color="auto" w:fill="auto"/>
            <w:noWrap/>
            <w:vAlign w:val="center"/>
            <w:hideMark/>
          </w:tcPr>
          <w:p w14:paraId="72E0D431" w14:textId="77777777" w:rsidR="0043709B" w:rsidRPr="0043709B" w:rsidRDefault="0043709B" w:rsidP="0043709B">
            <w:pPr>
              <w:jc w:val="right"/>
              <w:rPr>
                <w:rFonts w:ascii="Arial Narrow" w:hAnsi="Arial Narrow" w:cs="Calibri"/>
                <w:sz w:val="16"/>
                <w:szCs w:val="16"/>
              </w:rPr>
            </w:pPr>
            <w:r w:rsidRPr="0043709B">
              <w:rPr>
                <w:rFonts w:ascii="Arial Narrow" w:hAnsi="Arial Narrow" w:cs="Calibri"/>
                <w:sz w:val="16"/>
                <w:szCs w:val="16"/>
              </w:rPr>
              <w:t>101,6</w:t>
            </w:r>
          </w:p>
        </w:tc>
        <w:tc>
          <w:tcPr>
            <w:tcW w:w="1300" w:type="dxa"/>
            <w:tcBorders>
              <w:top w:val="nil"/>
              <w:left w:val="nil"/>
              <w:bottom w:val="single" w:sz="4" w:space="0" w:color="auto"/>
              <w:right w:val="single" w:sz="4" w:space="0" w:color="auto"/>
            </w:tcBorders>
            <w:shd w:val="clear" w:color="auto" w:fill="auto"/>
            <w:noWrap/>
            <w:vAlign w:val="center"/>
            <w:hideMark/>
          </w:tcPr>
          <w:p w14:paraId="3639624C" w14:textId="77777777" w:rsidR="0043709B" w:rsidRPr="0043709B" w:rsidRDefault="0043709B" w:rsidP="0043709B">
            <w:pPr>
              <w:jc w:val="right"/>
              <w:rPr>
                <w:rFonts w:ascii="Arial Narrow" w:hAnsi="Arial Narrow" w:cs="Calibri"/>
                <w:sz w:val="16"/>
                <w:szCs w:val="16"/>
              </w:rPr>
            </w:pPr>
            <w:r w:rsidRPr="0043709B">
              <w:rPr>
                <w:rFonts w:ascii="Arial Narrow" w:hAnsi="Arial Narrow" w:cs="Calibri"/>
                <w:sz w:val="16"/>
                <w:szCs w:val="16"/>
              </w:rPr>
              <w:t>1 130,0</w:t>
            </w:r>
          </w:p>
        </w:tc>
        <w:tc>
          <w:tcPr>
            <w:tcW w:w="1220" w:type="dxa"/>
            <w:tcBorders>
              <w:top w:val="nil"/>
              <w:left w:val="nil"/>
              <w:bottom w:val="single" w:sz="4" w:space="0" w:color="auto"/>
              <w:right w:val="single" w:sz="4" w:space="0" w:color="auto"/>
            </w:tcBorders>
            <w:shd w:val="clear" w:color="auto" w:fill="auto"/>
            <w:noWrap/>
            <w:vAlign w:val="center"/>
            <w:hideMark/>
          </w:tcPr>
          <w:p w14:paraId="527CD93F" w14:textId="77777777" w:rsidR="0043709B" w:rsidRPr="0043709B" w:rsidRDefault="0043709B" w:rsidP="0043709B">
            <w:pPr>
              <w:jc w:val="right"/>
              <w:rPr>
                <w:rFonts w:ascii="Arial Narrow" w:hAnsi="Arial Narrow" w:cs="Calibri"/>
                <w:sz w:val="16"/>
                <w:szCs w:val="16"/>
              </w:rPr>
            </w:pPr>
            <w:r w:rsidRPr="0043709B">
              <w:rPr>
                <w:rFonts w:ascii="Arial Narrow" w:hAnsi="Arial Narrow" w:cs="Calibri"/>
                <w:sz w:val="16"/>
                <w:szCs w:val="16"/>
              </w:rPr>
              <w:t>81,7</w:t>
            </w:r>
          </w:p>
        </w:tc>
        <w:tc>
          <w:tcPr>
            <w:tcW w:w="1236" w:type="dxa"/>
            <w:tcBorders>
              <w:top w:val="nil"/>
              <w:left w:val="nil"/>
              <w:bottom w:val="single" w:sz="4" w:space="0" w:color="auto"/>
              <w:right w:val="single" w:sz="4" w:space="0" w:color="auto"/>
            </w:tcBorders>
            <w:shd w:val="clear" w:color="auto" w:fill="auto"/>
            <w:noWrap/>
            <w:vAlign w:val="center"/>
            <w:hideMark/>
          </w:tcPr>
          <w:p w14:paraId="1AA72559" w14:textId="77777777" w:rsidR="0043709B" w:rsidRPr="0043709B" w:rsidRDefault="0043709B" w:rsidP="0043709B">
            <w:pPr>
              <w:jc w:val="right"/>
              <w:rPr>
                <w:rFonts w:ascii="Arial Narrow" w:hAnsi="Arial Narrow" w:cs="Calibri"/>
                <w:sz w:val="16"/>
                <w:szCs w:val="16"/>
              </w:rPr>
            </w:pPr>
            <w:r w:rsidRPr="0043709B">
              <w:rPr>
                <w:rFonts w:ascii="Arial Narrow" w:hAnsi="Arial Narrow" w:cs="Calibri"/>
                <w:sz w:val="16"/>
                <w:szCs w:val="16"/>
              </w:rPr>
              <w:t>923,2</w:t>
            </w:r>
          </w:p>
        </w:tc>
        <w:tc>
          <w:tcPr>
            <w:tcW w:w="1260" w:type="dxa"/>
            <w:tcBorders>
              <w:top w:val="nil"/>
              <w:left w:val="nil"/>
              <w:bottom w:val="single" w:sz="4" w:space="0" w:color="auto"/>
              <w:right w:val="single" w:sz="4" w:space="0" w:color="auto"/>
            </w:tcBorders>
            <w:shd w:val="clear" w:color="auto" w:fill="auto"/>
            <w:noWrap/>
            <w:vAlign w:val="center"/>
            <w:hideMark/>
          </w:tcPr>
          <w:p w14:paraId="19508A8C" w14:textId="77777777" w:rsidR="0043709B" w:rsidRPr="0043709B" w:rsidRDefault="0043709B" w:rsidP="0043709B">
            <w:pPr>
              <w:jc w:val="right"/>
              <w:rPr>
                <w:rFonts w:ascii="Arial Narrow" w:hAnsi="Arial Narrow" w:cs="Arial"/>
                <w:sz w:val="16"/>
                <w:szCs w:val="16"/>
              </w:rPr>
            </w:pPr>
            <w:r w:rsidRPr="0043709B">
              <w:rPr>
                <w:rFonts w:ascii="Arial Narrow" w:hAnsi="Arial Narrow" w:cs="Arial"/>
                <w:sz w:val="16"/>
                <w:szCs w:val="16"/>
              </w:rPr>
              <w:t>83,0</w:t>
            </w:r>
          </w:p>
        </w:tc>
      </w:tr>
      <w:tr w:rsidR="0043709B" w:rsidRPr="0043709B" w14:paraId="2F3F2A08" w14:textId="77777777" w:rsidTr="0043709B">
        <w:trPr>
          <w:trHeight w:val="531"/>
        </w:trPr>
        <w:tc>
          <w:tcPr>
            <w:tcW w:w="781" w:type="dxa"/>
            <w:tcBorders>
              <w:top w:val="nil"/>
              <w:left w:val="single" w:sz="4" w:space="0" w:color="auto"/>
              <w:bottom w:val="single" w:sz="4" w:space="0" w:color="auto"/>
              <w:right w:val="single" w:sz="4" w:space="0" w:color="auto"/>
            </w:tcBorders>
            <w:shd w:val="clear" w:color="auto" w:fill="auto"/>
            <w:noWrap/>
            <w:vAlign w:val="center"/>
            <w:hideMark/>
          </w:tcPr>
          <w:p w14:paraId="41E3A971" w14:textId="77777777" w:rsidR="0043709B" w:rsidRPr="0043709B" w:rsidRDefault="0043709B" w:rsidP="0043709B">
            <w:pPr>
              <w:rPr>
                <w:rFonts w:ascii="Arial Narrow" w:hAnsi="Arial Narrow" w:cs="Arial"/>
                <w:sz w:val="16"/>
                <w:szCs w:val="16"/>
              </w:rPr>
            </w:pPr>
            <w:r w:rsidRPr="0043709B">
              <w:rPr>
                <w:rFonts w:ascii="Arial Narrow" w:hAnsi="Arial Narrow" w:cs="Arial"/>
                <w:sz w:val="16"/>
                <w:szCs w:val="16"/>
              </w:rPr>
              <w:t>19.04</w:t>
            </w:r>
          </w:p>
        </w:tc>
        <w:tc>
          <w:tcPr>
            <w:tcW w:w="3016" w:type="dxa"/>
            <w:tcBorders>
              <w:top w:val="nil"/>
              <w:left w:val="nil"/>
              <w:bottom w:val="single" w:sz="4" w:space="0" w:color="auto"/>
              <w:right w:val="single" w:sz="4" w:space="0" w:color="auto"/>
            </w:tcBorders>
            <w:shd w:val="clear" w:color="000000" w:fill="FFFFFF"/>
            <w:noWrap/>
            <w:vAlign w:val="center"/>
            <w:hideMark/>
          </w:tcPr>
          <w:p w14:paraId="55E82439" w14:textId="77777777" w:rsidR="0043709B" w:rsidRPr="0043709B" w:rsidRDefault="0043709B" w:rsidP="006A05D6">
            <w:pPr>
              <w:ind w:firstLineChars="100" w:firstLine="161"/>
              <w:rPr>
                <w:rFonts w:ascii="Arial Narrow" w:hAnsi="Arial Narrow" w:cs="Calibri"/>
                <w:b/>
                <w:bCs/>
                <w:sz w:val="16"/>
                <w:szCs w:val="16"/>
              </w:rPr>
            </w:pPr>
            <w:r w:rsidRPr="0043709B">
              <w:rPr>
                <w:rFonts w:ascii="Arial Narrow" w:hAnsi="Arial Narrow" w:cs="Calibri"/>
                <w:b/>
                <w:bCs/>
                <w:sz w:val="16"/>
                <w:szCs w:val="16"/>
              </w:rPr>
              <w:t>П</w:t>
            </w:r>
            <w:r w:rsidR="003A0854" w:rsidRPr="00CD44F3">
              <w:rPr>
                <w:rFonts w:ascii="Arial Narrow" w:hAnsi="Arial Narrow" w:cs="Calibri"/>
                <w:b/>
                <w:bCs/>
                <w:sz w:val="16"/>
                <w:szCs w:val="16"/>
              </w:rPr>
              <w:t>РОДУКТИ</w:t>
            </w:r>
            <w:r w:rsidRPr="0043709B">
              <w:rPr>
                <w:rFonts w:ascii="Arial Narrow" w:hAnsi="Arial Narrow" w:cs="Calibri"/>
                <w:b/>
                <w:bCs/>
                <w:sz w:val="16"/>
                <w:szCs w:val="16"/>
              </w:rPr>
              <w:t xml:space="preserve"> ЗА РАСТИТЕЛНА ЗАЩИТА </w:t>
            </w:r>
            <w:r w:rsidRPr="00CD44F3">
              <w:rPr>
                <w:rFonts w:ascii="Arial Narrow" w:hAnsi="Arial Narrow" w:cs="Calibri"/>
                <w:b/>
                <w:bCs/>
                <w:sz w:val="16"/>
                <w:szCs w:val="16"/>
              </w:rPr>
              <w:t xml:space="preserve">  </w:t>
            </w:r>
            <w:r w:rsidRPr="0043709B">
              <w:rPr>
                <w:rFonts w:ascii="Arial Narrow" w:hAnsi="Arial Narrow" w:cs="Calibri"/>
                <w:b/>
                <w:bCs/>
                <w:sz w:val="16"/>
                <w:szCs w:val="16"/>
              </w:rPr>
              <w:t>И ПЕСТИЦИДИ</w:t>
            </w:r>
          </w:p>
        </w:tc>
        <w:tc>
          <w:tcPr>
            <w:tcW w:w="1180" w:type="dxa"/>
            <w:tcBorders>
              <w:top w:val="nil"/>
              <w:left w:val="nil"/>
              <w:bottom w:val="single" w:sz="4" w:space="0" w:color="auto"/>
              <w:right w:val="single" w:sz="4" w:space="0" w:color="auto"/>
            </w:tcBorders>
            <w:shd w:val="clear" w:color="auto" w:fill="auto"/>
            <w:vAlign w:val="center"/>
          </w:tcPr>
          <w:p w14:paraId="45C2862F" w14:textId="77777777" w:rsidR="0043709B" w:rsidRPr="0043709B" w:rsidRDefault="0043709B" w:rsidP="0043709B">
            <w:pPr>
              <w:jc w:val="right"/>
              <w:rPr>
                <w:rFonts w:ascii="Arial Narrow" w:hAnsi="Arial Narrow" w:cs="Calibri"/>
                <w:sz w:val="16"/>
                <w:szCs w:val="16"/>
              </w:rPr>
            </w:pPr>
            <w:r w:rsidRPr="0043709B">
              <w:rPr>
                <w:rFonts w:ascii="Arial Narrow" w:hAnsi="Arial Narrow" w:cs="Calibri"/>
                <w:sz w:val="16"/>
                <w:szCs w:val="16"/>
              </w:rPr>
              <w:t>513,8</w:t>
            </w:r>
          </w:p>
        </w:tc>
        <w:tc>
          <w:tcPr>
            <w:tcW w:w="1170" w:type="dxa"/>
            <w:tcBorders>
              <w:top w:val="nil"/>
              <w:left w:val="nil"/>
              <w:bottom w:val="single" w:sz="4" w:space="0" w:color="auto"/>
              <w:right w:val="single" w:sz="4" w:space="0" w:color="auto"/>
            </w:tcBorders>
            <w:shd w:val="clear" w:color="auto" w:fill="auto"/>
            <w:noWrap/>
            <w:vAlign w:val="center"/>
            <w:hideMark/>
          </w:tcPr>
          <w:p w14:paraId="52A28CFE" w14:textId="77777777" w:rsidR="0043709B" w:rsidRPr="0043709B" w:rsidRDefault="0043709B" w:rsidP="0043709B">
            <w:pPr>
              <w:jc w:val="right"/>
              <w:rPr>
                <w:rFonts w:ascii="Arial Narrow" w:hAnsi="Arial Narrow" w:cs="Calibri"/>
                <w:sz w:val="16"/>
                <w:szCs w:val="16"/>
              </w:rPr>
            </w:pPr>
            <w:r w:rsidRPr="0043709B">
              <w:rPr>
                <w:rFonts w:ascii="Arial Narrow" w:hAnsi="Arial Narrow" w:cs="Calibri"/>
                <w:sz w:val="16"/>
                <w:szCs w:val="16"/>
              </w:rPr>
              <w:t>85,9</w:t>
            </w:r>
          </w:p>
        </w:tc>
        <w:tc>
          <w:tcPr>
            <w:tcW w:w="1300" w:type="dxa"/>
            <w:tcBorders>
              <w:top w:val="nil"/>
              <w:left w:val="nil"/>
              <w:bottom w:val="single" w:sz="4" w:space="0" w:color="auto"/>
              <w:right w:val="single" w:sz="4" w:space="0" w:color="auto"/>
            </w:tcBorders>
            <w:shd w:val="clear" w:color="auto" w:fill="auto"/>
            <w:noWrap/>
            <w:vAlign w:val="center"/>
            <w:hideMark/>
          </w:tcPr>
          <w:p w14:paraId="4107D6E6" w14:textId="77777777" w:rsidR="0043709B" w:rsidRPr="0043709B" w:rsidRDefault="0043709B" w:rsidP="0043709B">
            <w:pPr>
              <w:jc w:val="right"/>
              <w:rPr>
                <w:rFonts w:ascii="Arial Narrow" w:hAnsi="Arial Narrow" w:cs="Calibri"/>
                <w:sz w:val="16"/>
                <w:szCs w:val="16"/>
              </w:rPr>
            </w:pPr>
            <w:r w:rsidRPr="0043709B">
              <w:rPr>
                <w:rFonts w:ascii="Arial Narrow" w:hAnsi="Arial Narrow" w:cs="Calibri"/>
                <w:sz w:val="16"/>
                <w:szCs w:val="16"/>
              </w:rPr>
              <w:t>441,3</w:t>
            </w:r>
          </w:p>
        </w:tc>
        <w:tc>
          <w:tcPr>
            <w:tcW w:w="1220" w:type="dxa"/>
            <w:tcBorders>
              <w:top w:val="nil"/>
              <w:left w:val="nil"/>
              <w:bottom w:val="single" w:sz="4" w:space="0" w:color="auto"/>
              <w:right w:val="single" w:sz="4" w:space="0" w:color="auto"/>
            </w:tcBorders>
            <w:shd w:val="clear" w:color="auto" w:fill="auto"/>
            <w:noWrap/>
            <w:vAlign w:val="center"/>
            <w:hideMark/>
          </w:tcPr>
          <w:p w14:paraId="64CBFB3C" w14:textId="77777777" w:rsidR="0043709B" w:rsidRPr="0043709B" w:rsidRDefault="0043709B" w:rsidP="0043709B">
            <w:pPr>
              <w:jc w:val="right"/>
              <w:rPr>
                <w:rFonts w:ascii="Arial Narrow" w:hAnsi="Arial Narrow" w:cs="Calibri"/>
                <w:sz w:val="16"/>
                <w:szCs w:val="16"/>
              </w:rPr>
            </w:pPr>
            <w:r w:rsidRPr="0043709B">
              <w:rPr>
                <w:rFonts w:ascii="Arial Narrow" w:hAnsi="Arial Narrow" w:cs="Calibri"/>
                <w:sz w:val="16"/>
                <w:szCs w:val="16"/>
              </w:rPr>
              <w:t>114,7</w:t>
            </w:r>
          </w:p>
        </w:tc>
        <w:tc>
          <w:tcPr>
            <w:tcW w:w="1236" w:type="dxa"/>
            <w:tcBorders>
              <w:top w:val="nil"/>
              <w:left w:val="nil"/>
              <w:bottom w:val="single" w:sz="4" w:space="0" w:color="auto"/>
              <w:right w:val="single" w:sz="4" w:space="0" w:color="auto"/>
            </w:tcBorders>
            <w:shd w:val="clear" w:color="auto" w:fill="auto"/>
            <w:noWrap/>
            <w:vAlign w:val="center"/>
            <w:hideMark/>
          </w:tcPr>
          <w:p w14:paraId="00722A28" w14:textId="77777777" w:rsidR="0043709B" w:rsidRPr="0043709B" w:rsidRDefault="0043709B" w:rsidP="0043709B">
            <w:pPr>
              <w:jc w:val="right"/>
              <w:rPr>
                <w:rFonts w:ascii="Arial Narrow" w:hAnsi="Arial Narrow" w:cs="Calibri"/>
                <w:sz w:val="16"/>
                <w:szCs w:val="16"/>
              </w:rPr>
            </w:pPr>
            <w:r w:rsidRPr="0043709B">
              <w:rPr>
                <w:rFonts w:ascii="Arial Narrow" w:hAnsi="Arial Narrow" w:cs="Calibri"/>
                <w:sz w:val="16"/>
                <w:szCs w:val="16"/>
              </w:rPr>
              <w:t>506,1</w:t>
            </w:r>
          </w:p>
        </w:tc>
        <w:tc>
          <w:tcPr>
            <w:tcW w:w="1260" w:type="dxa"/>
            <w:tcBorders>
              <w:top w:val="nil"/>
              <w:left w:val="nil"/>
              <w:bottom w:val="single" w:sz="4" w:space="0" w:color="auto"/>
              <w:right w:val="single" w:sz="4" w:space="0" w:color="auto"/>
            </w:tcBorders>
            <w:shd w:val="clear" w:color="auto" w:fill="auto"/>
            <w:noWrap/>
            <w:vAlign w:val="center"/>
            <w:hideMark/>
          </w:tcPr>
          <w:p w14:paraId="36C7EF96" w14:textId="77777777" w:rsidR="0043709B" w:rsidRPr="0043709B" w:rsidRDefault="0043709B" w:rsidP="0043709B">
            <w:pPr>
              <w:jc w:val="right"/>
              <w:rPr>
                <w:rFonts w:ascii="Arial Narrow" w:hAnsi="Arial Narrow" w:cs="Arial"/>
                <w:sz w:val="16"/>
                <w:szCs w:val="16"/>
              </w:rPr>
            </w:pPr>
            <w:r w:rsidRPr="0043709B">
              <w:rPr>
                <w:rFonts w:ascii="Arial Narrow" w:hAnsi="Arial Narrow" w:cs="Arial"/>
                <w:sz w:val="16"/>
                <w:szCs w:val="16"/>
              </w:rPr>
              <w:t>98,5</w:t>
            </w:r>
          </w:p>
        </w:tc>
      </w:tr>
      <w:tr w:rsidR="0043709B" w:rsidRPr="0043709B" w14:paraId="53B0ED25" w14:textId="77777777" w:rsidTr="0043709B">
        <w:trPr>
          <w:trHeight w:val="250"/>
        </w:trPr>
        <w:tc>
          <w:tcPr>
            <w:tcW w:w="781" w:type="dxa"/>
            <w:tcBorders>
              <w:top w:val="nil"/>
              <w:left w:val="single" w:sz="4" w:space="0" w:color="auto"/>
              <w:bottom w:val="single" w:sz="4" w:space="0" w:color="auto"/>
              <w:right w:val="single" w:sz="4" w:space="0" w:color="auto"/>
            </w:tcBorders>
            <w:shd w:val="clear" w:color="auto" w:fill="auto"/>
            <w:noWrap/>
            <w:vAlign w:val="center"/>
            <w:hideMark/>
          </w:tcPr>
          <w:p w14:paraId="253C405C" w14:textId="77777777" w:rsidR="0043709B" w:rsidRPr="0043709B" w:rsidRDefault="0043709B" w:rsidP="0043709B">
            <w:pPr>
              <w:rPr>
                <w:rFonts w:ascii="Arial Narrow" w:hAnsi="Arial Narrow" w:cs="Arial"/>
                <w:sz w:val="16"/>
                <w:szCs w:val="16"/>
              </w:rPr>
            </w:pPr>
            <w:r w:rsidRPr="0043709B">
              <w:rPr>
                <w:rFonts w:ascii="Arial Narrow" w:hAnsi="Arial Narrow" w:cs="Arial"/>
                <w:sz w:val="16"/>
                <w:szCs w:val="16"/>
              </w:rPr>
              <w:t>19.05</w:t>
            </w:r>
          </w:p>
        </w:tc>
        <w:tc>
          <w:tcPr>
            <w:tcW w:w="3016" w:type="dxa"/>
            <w:tcBorders>
              <w:top w:val="nil"/>
              <w:left w:val="nil"/>
              <w:bottom w:val="single" w:sz="4" w:space="0" w:color="auto"/>
              <w:right w:val="single" w:sz="4" w:space="0" w:color="auto"/>
            </w:tcBorders>
            <w:shd w:val="clear" w:color="000000" w:fill="FFFFFF"/>
            <w:noWrap/>
            <w:vAlign w:val="center"/>
            <w:hideMark/>
          </w:tcPr>
          <w:p w14:paraId="137DDFE4" w14:textId="77777777" w:rsidR="0043709B" w:rsidRPr="0043709B" w:rsidRDefault="0043709B" w:rsidP="0043709B">
            <w:pPr>
              <w:ind w:firstLineChars="100" w:firstLine="161"/>
              <w:rPr>
                <w:rFonts w:ascii="Arial Narrow" w:hAnsi="Arial Narrow" w:cs="Calibri"/>
                <w:b/>
                <w:bCs/>
                <w:sz w:val="16"/>
                <w:szCs w:val="16"/>
              </w:rPr>
            </w:pPr>
            <w:r w:rsidRPr="0043709B">
              <w:rPr>
                <w:rFonts w:ascii="Arial Narrow" w:hAnsi="Arial Narrow" w:cs="Calibri"/>
                <w:b/>
                <w:bCs/>
                <w:sz w:val="16"/>
                <w:szCs w:val="16"/>
              </w:rPr>
              <w:t>ВЕТЕРИНАРНИ РАЗХОДИ</w:t>
            </w:r>
          </w:p>
        </w:tc>
        <w:tc>
          <w:tcPr>
            <w:tcW w:w="1180" w:type="dxa"/>
            <w:tcBorders>
              <w:top w:val="nil"/>
              <w:left w:val="nil"/>
              <w:bottom w:val="single" w:sz="4" w:space="0" w:color="auto"/>
              <w:right w:val="single" w:sz="4" w:space="0" w:color="auto"/>
            </w:tcBorders>
            <w:shd w:val="clear" w:color="auto" w:fill="auto"/>
            <w:vAlign w:val="center"/>
          </w:tcPr>
          <w:p w14:paraId="5F02F8D4" w14:textId="77777777" w:rsidR="0043709B" w:rsidRPr="0043709B" w:rsidRDefault="0043709B" w:rsidP="0043709B">
            <w:pPr>
              <w:jc w:val="right"/>
              <w:rPr>
                <w:rFonts w:ascii="Arial Narrow" w:hAnsi="Arial Narrow" w:cs="Calibri"/>
                <w:sz w:val="16"/>
                <w:szCs w:val="16"/>
              </w:rPr>
            </w:pPr>
            <w:r w:rsidRPr="0043709B">
              <w:rPr>
                <w:rFonts w:ascii="Arial Narrow" w:hAnsi="Arial Narrow" w:cs="Calibri"/>
                <w:sz w:val="16"/>
                <w:szCs w:val="16"/>
              </w:rPr>
              <w:t>161,6</w:t>
            </w:r>
          </w:p>
        </w:tc>
        <w:tc>
          <w:tcPr>
            <w:tcW w:w="1170" w:type="dxa"/>
            <w:tcBorders>
              <w:top w:val="nil"/>
              <w:left w:val="nil"/>
              <w:bottom w:val="single" w:sz="4" w:space="0" w:color="auto"/>
              <w:right w:val="single" w:sz="4" w:space="0" w:color="auto"/>
            </w:tcBorders>
            <w:shd w:val="clear" w:color="auto" w:fill="auto"/>
            <w:noWrap/>
            <w:vAlign w:val="center"/>
            <w:hideMark/>
          </w:tcPr>
          <w:p w14:paraId="1010D667" w14:textId="77777777" w:rsidR="0043709B" w:rsidRPr="0043709B" w:rsidRDefault="0043709B" w:rsidP="0043709B">
            <w:pPr>
              <w:jc w:val="right"/>
              <w:rPr>
                <w:rFonts w:ascii="Arial Narrow" w:hAnsi="Arial Narrow" w:cs="Calibri"/>
                <w:sz w:val="16"/>
                <w:szCs w:val="16"/>
              </w:rPr>
            </w:pPr>
            <w:r w:rsidRPr="0043709B">
              <w:rPr>
                <w:rFonts w:ascii="Arial Narrow" w:hAnsi="Arial Narrow" w:cs="Calibri"/>
                <w:sz w:val="16"/>
                <w:szCs w:val="16"/>
              </w:rPr>
              <w:t>72,1</w:t>
            </w:r>
          </w:p>
        </w:tc>
        <w:tc>
          <w:tcPr>
            <w:tcW w:w="1300" w:type="dxa"/>
            <w:tcBorders>
              <w:top w:val="nil"/>
              <w:left w:val="nil"/>
              <w:bottom w:val="single" w:sz="4" w:space="0" w:color="auto"/>
              <w:right w:val="single" w:sz="4" w:space="0" w:color="auto"/>
            </w:tcBorders>
            <w:shd w:val="clear" w:color="auto" w:fill="auto"/>
            <w:noWrap/>
            <w:vAlign w:val="center"/>
            <w:hideMark/>
          </w:tcPr>
          <w:p w14:paraId="70FDEAC8" w14:textId="77777777" w:rsidR="0043709B" w:rsidRPr="0043709B" w:rsidRDefault="0043709B" w:rsidP="0043709B">
            <w:pPr>
              <w:jc w:val="right"/>
              <w:rPr>
                <w:rFonts w:ascii="Arial Narrow" w:hAnsi="Arial Narrow" w:cs="Calibri"/>
                <w:sz w:val="16"/>
                <w:szCs w:val="16"/>
              </w:rPr>
            </w:pPr>
            <w:r w:rsidRPr="0043709B">
              <w:rPr>
                <w:rFonts w:ascii="Arial Narrow" w:hAnsi="Arial Narrow" w:cs="Calibri"/>
                <w:sz w:val="16"/>
                <w:szCs w:val="16"/>
              </w:rPr>
              <w:t>116,5</w:t>
            </w:r>
          </w:p>
        </w:tc>
        <w:tc>
          <w:tcPr>
            <w:tcW w:w="1220" w:type="dxa"/>
            <w:tcBorders>
              <w:top w:val="nil"/>
              <w:left w:val="nil"/>
              <w:bottom w:val="single" w:sz="4" w:space="0" w:color="auto"/>
              <w:right w:val="single" w:sz="4" w:space="0" w:color="auto"/>
            </w:tcBorders>
            <w:shd w:val="clear" w:color="auto" w:fill="auto"/>
            <w:noWrap/>
            <w:vAlign w:val="center"/>
            <w:hideMark/>
          </w:tcPr>
          <w:p w14:paraId="5824F1CB" w14:textId="77777777" w:rsidR="0043709B" w:rsidRPr="0043709B" w:rsidRDefault="0043709B" w:rsidP="0043709B">
            <w:pPr>
              <w:jc w:val="right"/>
              <w:rPr>
                <w:rFonts w:ascii="Arial Narrow" w:hAnsi="Arial Narrow" w:cs="Calibri"/>
                <w:sz w:val="16"/>
                <w:szCs w:val="16"/>
              </w:rPr>
            </w:pPr>
            <w:r w:rsidRPr="0043709B">
              <w:rPr>
                <w:rFonts w:ascii="Arial Narrow" w:hAnsi="Arial Narrow" w:cs="Calibri"/>
                <w:sz w:val="16"/>
                <w:szCs w:val="16"/>
              </w:rPr>
              <w:t>104,7</w:t>
            </w:r>
          </w:p>
        </w:tc>
        <w:tc>
          <w:tcPr>
            <w:tcW w:w="1236" w:type="dxa"/>
            <w:tcBorders>
              <w:top w:val="nil"/>
              <w:left w:val="nil"/>
              <w:bottom w:val="single" w:sz="4" w:space="0" w:color="auto"/>
              <w:right w:val="single" w:sz="4" w:space="0" w:color="auto"/>
            </w:tcBorders>
            <w:shd w:val="clear" w:color="auto" w:fill="auto"/>
            <w:noWrap/>
            <w:vAlign w:val="center"/>
            <w:hideMark/>
          </w:tcPr>
          <w:p w14:paraId="1C5CCB65" w14:textId="77777777" w:rsidR="0043709B" w:rsidRPr="0043709B" w:rsidRDefault="0043709B" w:rsidP="0043709B">
            <w:pPr>
              <w:jc w:val="right"/>
              <w:rPr>
                <w:rFonts w:ascii="Arial Narrow" w:hAnsi="Arial Narrow" w:cs="Calibri"/>
                <w:sz w:val="16"/>
                <w:szCs w:val="16"/>
              </w:rPr>
            </w:pPr>
            <w:r w:rsidRPr="0043709B">
              <w:rPr>
                <w:rFonts w:ascii="Arial Narrow" w:hAnsi="Arial Narrow" w:cs="Calibri"/>
                <w:sz w:val="16"/>
                <w:szCs w:val="16"/>
              </w:rPr>
              <w:t>122,0</w:t>
            </w:r>
          </w:p>
        </w:tc>
        <w:tc>
          <w:tcPr>
            <w:tcW w:w="1260" w:type="dxa"/>
            <w:tcBorders>
              <w:top w:val="nil"/>
              <w:left w:val="nil"/>
              <w:bottom w:val="single" w:sz="4" w:space="0" w:color="auto"/>
              <w:right w:val="single" w:sz="4" w:space="0" w:color="auto"/>
            </w:tcBorders>
            <w:shd w:val="clear" w:color="auto" w:fill="auto"/>
            <w:noWrap/>
            <w:vAlign w:val="center"/>
            <w:hideMark/>
          </w:tcPr>
          <w:p w14:paraId="2EF3A295" w14:textId="77777777" w:rsidR="0043709B" w:rsidRPr="0043709B" w:rsidRDefault="0043709B" w:rsidP="0043709B">
            <w:pPr>
              <w:jc w:val="right"/>
              <w:rPr>
                <w:rFonts w:ascii="Arial Narrow" w:hAnsi="Arial Narrow" w:cs="Arial"/>
                <w:sz w:val="16"/>
                <w:szCs w:val="16"/>
              </w:rPr>
            </w:pPr>
            <w:r w:rsidRPr="0043709B">
              <w:rPr>
                <w:rFonts w:ascii="Arial Narrow" w:hAnsi="Arial Narrow" w:cs="Arial"/>
                <w:sz w:val="16"/>
                <w:szCs w:val="16"/>
              </w:rPr>
              <w:t>75,5</w:t>
            </w:r>
          </w:p>
        </w:tc>
      </w:tr>
      <w:tr w:rsidR="0043709B" w:rsidRPr="0043709B" w14:paraId="7AD8F076" w14:textId="77777777" w:rsidTr="0043709B">
        <w:trPr>
          <w:trHeight w:val="250"/>
        </w:trPr>
        <w:tc>
          <w:tcPr>
            <w:tcW w:w="781" w:type="dxa"/>
            <w:tcBorders>
              <w:top w:val="nil"/>
              <w:left w:val="single" w:sz="4" w:space="0" w:color="auto"/>
              <w:bottom w:val="single" w:sz="4" w:space="0" w:color="auto"/>
              <w:right w:val="single" w:sz="4" w:space="0" w:color="auto"/>
            </w:tcBorders>
            <w:shd w:val="clear" w:color="auto" w:fill="auto"/>
            <w:noWrap/>
            <w:vAlign w:val="center"/>
            <w:hideMark/>
          </w:tcPr>
          <w:p w14:paraId="45867510" w14:textId="77777777" w:rsidR="0043709B" w:rsidRPr="0043709B" w:rsidRDefault="0043709B" w:rsidP="0043709B">
            <w:pPr>
              <w:rPr>
                <w:rFonts w:ascii="Arial Narrow" w:hAnsi="Arial Narrow" w:cs="Arial"/>
                <w:sz w:val="16"/>
                <w:szCs w:val="16"/>
              </w:rPr>
            </w:pPr>
            <w:r w:rsidRPr="0043709B">
              <w:rPr>
                <w:rFonts w:ascii="Arial Narrow" w:hAnsi="Arial Narrow" w:cs="Arial"/>
                <w:sz w:val="16"/>
                <w:szCs w:val="16"/>
              </w:rPr>
              <w:t>19.06</w:t>
            </w:r>
          </w:p>
        </w:tc>
        <w:tc>
          <w:tcPr>
            <w:tcW w:w="3016" w:type="dxa"/>
            <w:tcBorders>
              <w:top w:val="nil"/>
              <w:left w:val="nil"/>
              <w:bottom w:val="single" w:sz="4" w:space="0" w:color="auto"/>
              <w:right w:val="single" w:sz="4" w:space="0" w:color="auto"/>
            </w:tcBorders>
            <w:shd w:val="clear" w:color="000000" w:fill="FFFFFF"/>
            <w:noWrap/>
            <w:vAlign w:val="center"/>
            <w:hideMark/>
          </w:tcPr>
          <w:p w14:paraId="5245D1BC" w14:textId="77777777" w:rsidR="0043709B" w:rsidRPr="0043709B" w:rsidRDefault="0043709B" w:rsidP="0043709B">
            <w:pPr>
              <w:ind w:firstLineChars="100" w:firstLine="161"/>
              <w:rPr>
                <w:rFonts w:ascii="Arial Narrow" w:hAnsi="Arial Narrow" w:cs="Calibri"/>
                <w:b/>
                <w:bCs/>
                <w:sz w:val="16"/>
                <w:szCs w:val="16"/>
              </w:rPr>
            </w:pPr>
            <w:r w:rsidRPr="0043709B">
              <w:rPr>
                <w:rFonts w:ascii="Arial Narrow" w:hAnsi="Arial Narrow" w:cs="Calibri"/>
                <w:b/>
                <w:bCs/>
                <w:sz w:val="16"/>
                <w:szCs w:val="16"/>
              </w:rPr>
              <w:t>ФУРАЖНИ ДОБАВКИ</w:t>
            </w:r>
          </w:p>
        </w:tc>
        <w:tc>
          <w:tcPr>
            <w:tcW w:w="1180" w:type="dxa"/>
            <w:tcBorders>
              <w:top w:val="nil"/>
              <w:left w:val="nil"/>
              <w:bottom w:val="single" w:sz="4" w:space="0" w:color="auto"/>
              <w:right w:val="single" w:sz="4" w:space="0" w:color="auto"/>
            </w:tcBorders>
            <w:shd w:val="clear" w:color="auto" w:fill="auto"/>
            <w:vAlign w:val="center"/>
          </w:tcPr>
          <w:p w14:paraId="5B8BFADA" w14:textId="77777777" w:rsidR="0043709B" w:rsidRPr="0043709B" w:rsidRDefault="0043709B" w:rsidP="0043709B">
            <w:pPr>
              <w:jc w:val="right"/>
              <w:rPr>
                <w:rFonts w:ascii="Arial Narrow" w:hAnsi="Arial Narrow" w:cs="Calibri"/>
                <w:sz w:val="16"/>
                <w:szCs w:val="16"/>
              </w:rPr>
            </w:pPr>
            <w:r w:rsidRPr="0043709B">
              <w:rPr>
                <w:rFonts w:ascii="Arial Narrow" w:hAnsi="Arial Narrow" w:cs="Calibri"/>
                <w:sz w:val="16"/>
                <w:szCs w:val="16"/>
              </w:rPr>
              <w:t>1 351,0</w:t>
            </w:r>
          </w:p>
        </w:tc>
        <w:tc>
          <w:tcPr>
            <w:tcW w:w="1170" w:type="dxa"/>
            <w:tcBorders>
              <w:top w:val="nil"/>
              <w:left w:val="nil"/>
              <w:bottom w:val="single" w:sz="4" w:space="0" w:color="auto"/>
              <w:right w:val="single" w:sz="4" w:space="0" w:color="auto"/>
            </w:tcBorders>
            <w:shd w:val="clear" w:color="auto" w:fill="auto"/>
            <w:noWrap/>
            <w:vAlign w:val="center"/>
            <w:hideMark/>
          </w:tcPr>
          <w:p w14:paraId="24236A11" w14:textId="77777777" w:rsidR="0043709B" w:rsidRPr="0043709B" w:rsidRDefault="0043709B" w:rsidP="0043709B">
            <w:pPr>
              <w:jc w:val="right"/>
              <w:rPr>
                <w:rFonts w:ascii="Arial Narrow" w:hAnsi="Arial Narrow" w:cs="Calibri"/>
                <w:sz w:val="16"/>
                <w:szCs w:val="16"/>
              </w:rPr>
            </w:pPr>
            <w:r w:rsidRPr="0043709B">
              <w:rPr>
                <w:rFonts w:ascii="Arial Narrow" w:hAnsi="Arial Narrow" w:cs="Calibri"/>
                <w:sz w:val="16"/>
                <w:szCs w:val="16"/>
              </w:rPr>
              <w:t>95,6</w:t>
            </w:r>
          </w:p>
        </w:tc>
        <w:tc>
          <w:tcPr>
            <w:tcW w:w="1300" w:type="dxa"/>
            <w:tcBorders>
              <w:top w:val="nil"/>
              <w:left w:val="nil"/>
              <w:bottom w:val="single" w:sz="4" w:space="0" w:color="auto"/>
              <w:right w:val="single" w:sz="4" w:space="0" w:color="auto"/>
            </w:tcBorders>
            <w:shd w:val="clear" w:color="auto" w:fill="auto"/>
            <w:noWrap/>
            <w:vAlign w:val="center"/>
            <w:hideMark/>
          </w:tcPr>
          <w:p w14:paraId="7DA8E517" w14:textId="77777777" w:rsidR="0043709B" w:rsidRPr="0043709B" w:rsidRDefault="0043709B" w:rsidP="0043709B">
            <w:pPr>
              <w:jc w:val="right"/>
              <w:rPr>
                <w:rFonts w:ascii="Arial Narrow" w:hAnsi="Arial Narrow" w:cs="Calibri"/>
                <w:sz w:val="16"/>
                <w:szCs w:val="16"/>
              </w:rPr>
            </w:pPr>
            <w:r w:rsidRPr="0043709B">
              <w:rPr>
                <w:rFonts w:ascii="Arial Narrow" w:hAnsi="Arial Narrow" w:cs="Calibri"/>
                <w:sz w:val="16"/>
                <w:szCs w:val="16"/>
              </w:rPr>
              <w:t>1 291,6</w:t>
            </w:r>
          </w:p>
        </w:tc>
        <w:tc>
          <w:tcPr>
            <w:tcW w:w="1220" w:type="dxa"/>
            <w:tcBorders>
              <w:top w:val="nil"/>
              <w:left w:val="nil"/>
              <w:bottom w:val="single" w:sz="4" w:space="0" w:color="auto"/>
              <w:right w:val="single" w:sz="4" w:space="0" w:color="auto"/>
            </w:tcBorders>
            <w:shd w:val="clear" w:color="auto" w:fill="auto"/>
            <w:noWrap/>
            <w:vAlign w:val="center"/>
            <w:hideMark/>
          </w:tcPr>
          <w:p w14:paraId="5369982B" w14:textId="77777777" w:rsidR="0043709B" w:rsidRPr="0043709B" w:rsidRDefault="0043709B" w:rsidP="0043709B">
            <w:pPr>
              <w:jc w:val="right"/>
              <w:rPr>
                <w:rFonts w:ascii="Arial Narrow" w:hAnsi="Arial Narrow" w:cs="Calibri"/>
                <w:sz w:val="16"/>
                <w:szCs w:val="16"/>
              </w:rPr>
            </w:pPr>
            <w:r w:rsidRPr="0043709B">
              <w:rPr>
                <w:rFonts w:ascii="Arial Narrow" w:hAnsi="Arial Narrow" w:cs="Calibri"/>
                <w:sz w:val="16"/>
                <w:szCs w:val="16"/>
              </w:rPr>
              <w:t>93,2</w:t>
            </w:r>
          </w:p>
        </w:tc>
        <w:tc>
          <w:tcPr>
            <w:tcW w:w="1236" w:type="dxa"/>
            <w:tcBorders>
              <w:top w:val="nil"/>
              <w:left w:val="nil"/>
              <w:bottom w:val="single" w:sz="4" w:space="0" w:color="auto"/>
              <w:right w:val="single" w:sz="4" w:space="0" w:color="auto"/>
            </w:tcBorders>
            <w:shd w:val="clear" w:color="auto" w:fill="auto"/>
            <w:noWrap/>
            <w:vAlign w:val="center"/>
            <w:hideMark/>
          </w:tcPr>
          <w:p w14:paraId="14FF8A5B" w14:textId="77777777" w:rsidR="0043709B" w:rsidRPr="0043709B" w:rsidRDefault="0043709B" w:rsidP="0043709B">
            <w:pPr>
              <w:jc w:val="right"/>
              <w:rPr>
                <w:rFonts w:ascii="Arial Narrow" w:hAnsi="Arial Narrow" w:cs="Calibri"/>
                <w:sz w:val="16"/>
                <w:szCs w:val="16"/>
              </w:rPr>
            </w:pPr>
            <w:r w:rsidRPr="0043709B">
              <w:rPr>
                <w:rFonts w:ascii="Arial Narrow" w:hAnsi="Arial Narrow" w:cs="Calibri"/>
                <w:sz w:val="16"/>
                <w:szCs w:val="16"/>
              </w:rPr>
              <w:t>1 203,8</w:t>
            </w:r>
          </w:p>
        </w:tc>
        <w:tc>
          <w:tcPr>
            <w:tcW w:w="1260" w:type="dxa"/>
            <w:tcBorders>
              <w:top w:val="nil"/>
              <w:left w:val="nil"/>
              <w:bottom w:val="single" w:sz="4" w:space="0" w:color="auto"/>
              <w:right w:val="single" w:sz="4" w:space="0" w:color="auto"/>
            </w:tcBorders>
            <w:shd w:val="clear" w:color="auto" w:fill="auto"/>
            <w:noWrap/>
            <w:vAlign w:val="center"/>
            <w:hideMark/>
          </w:tcPr>
          <w:p w14:paraId="2A6B8BA5" w14:textId="77777777" w:rsidR="0043709B" w:rsidRPr="0043709B" w:rsidRDefault="0043709B" w:rsidP="0043709B">
            <w:pPr>
              <w:jc w:val="right"/>
              <w:rPr>
                <w:rFonts w:ascii="Arial Narrow" w:hAnsi="Arial Narrow" w:cs="Arial"/>
                <w:sz w:val="16"/>
                <w:szCs w:val="16"/>
              </w:rPr>
            </w:pPr>
            <w:r w:rsidRPr="0043709B">
              <w:rPr>
                <w:rFonts w:ascii="Arial Narrow" w:hAnsi="Arial Narrow" w:cs="Arial"/>
                <w:sz w:val="16"/>
                <w:szCs w:val="16"/>
              </w:rPr>
              <w:t>89,1</w:t>
            </w:r>
          </w:p>
        </w:tc>
      </w:tr>
      <w:tr w:rsidR="0043709B" w:rsidRPr="0043709B" w14:paraId="4DB70E9E" w14:textId="77777777" w:rsidTr="0043709B">
        <w:trPr>
          <w:trHeight w:val="501"/>
        </w:trPr>
        <w:tc>
          <w:tcPr>
            <w:tcW w:w="781" w:type="dxa"/>
            <w:tcBorders>
              <w:top w:val="nil"/>
              <w:left w:val="single" w:sz="4" w:space="0" w:color="auto"/>
              <w:bottom w:val="single" w:sz="4" w:space="0" w:color="auto"/>
              <w:right w:val="single" w:sz="4" w:space="0" w:color="auto"/>
            </w:tcBorders>
            <w:shd w:val="clear" w:color="auto" w:fill="auto"/>
            <w:noWrap/>
            <w:vAlign w:val="center"/>
            <w:hideMark/>
          </w:tcPr>
          <w:p w14:paraId="6F8DCF8F" w14:textId="77777777" w:rsidR="0043709B" w:rsidRPr="0043709B" w:rsidRDefault="0043709B" w:rsidP="0043709B">
            <w:pPr>
              <w:rPr>
                <w:rFonts w:ascii="Arial Narrow" w:hAnsi="Arial Narrow" w:cs="Arial"/>
                <w:sz w:val="16"/>
                <w:szCs w:val="16"/>
              </w:rPr>
            </w:pPr>
            <w:r w:rsidRPr="0043709B">
              <w:rPr>
                <w:rFonts w:ascii="Arial Narrow" w:hAnsi="Arial Narrow" w:cs="Arial"/>
                <w:sz w:val="16"/>
                <w:szCs w:val="16"/>
              </w:rPr>
              <w:t>19.06/1</w:t>
            </w:r>
          </w:p>
        </w:tc>
        <w:tc>
          <w:tcPr>
            <w:tcW w:w="3016" w:type="dxa"/>
            <w:tcBorders>
              <w:top w:val="nil"/>
              <w:left w:val="nil"/>
              <w:bottom w:val="single" w:sz="4" w:space="0" w:color="auto"/>
              <w:right w:val="single" w:sz="4" w:space="0" w:color="auto"/>
            </w:tcBorders>
            <w:shd w:val="clear" w:color="000000" w:fill="FFFFFF"/>
            <w:vAlign w:val="center"/>
            <w:hideMark/>
          </w:tcPr>
          <w:p w14:paraId="2E6081FC" w14:textId="77777777" w:rsidR="0043709B" w:rsidRPr="0043709B" w:rsidRDefault="0043709B" w:rsidP="00CD44F3">
            <w:pPr>
              <w:ind w:firstLineChars="100" w:firstLine="160"/>
              <w:rPr>
                <w:rFonts w:ascii="Arial Narrow" w:hAnsi="Arial Narrow" w:cs="Calibri"/>
                <w:sz w:val="16"/>
                <w:szCs w:val="16"/>
              </w:rPr>
            </w:pPr>
            <w:r w:rsidRPr="0043709B">
              <w:rPr>
                <w:rFonts w:ascii="Arial Narrow" w:hAnsi="Arial Narrow" w:cs="Calibri"/>
                <w:sz w:val="16"/>
                <w:szCs w:val="16"/>
              </w:rPr>
              <w:t>- фуражни добавки, доставени от други селскостопански предприятия</w:t>
            </w:r>
          </w:p>
        </w:tc>
        <w:tc>
          <w:tcPr>
            <w:tcW w:w="1180" w:type="dxa"/>
            <w:tcBorders>
              <w:top w:val="nil"/>
              <w:left w:val="nil"/>
              <w:bottom w:val="single" w:sz="4" w:space="0" w:color="auto"/>
              <w:right w:val="single" w:sz="4" w:space="0" w:color="auto"/>
            </w:tcBorders>
            <w:shd w:val="clear" w:color="auto" w:fill="auto"/>
            <w:vAlign w:val="center"/>
          </w:tcPr>
          <w:p w14:paraId="47675CB7" w14:textId="77777777" w:rsidR="0043709B" w:rsidRPr="0043709B" w:rsidRDefault="0043709B" w:rsidP="0043709B">
            <w:pPr>
              <w:jc w:val="right"/>
              <w:rPr>
                <w:rFonts w:ascii="Arial Narrow" w:hAnsi="Arial Narrow" w:cs="Calibri"/>
                <w:sz w:val="16"/>
                <w:szCs w:val="16"/>
              </w:rPr>
            </w:pPr>
            <w:r w:rsidRPr="0043709B">
              <w:rPr>
                <w:rFonts w:ascii="Arial Narrow" w:hAnsi="Arial Narrow" w:cs="Calibri"/>
                <w:sz w:val="16"/>
                <w:szCs w:val="16"/>
              </w:rPr>
              <w:t>540,1</w:t>
            </w:r>
          </w:p>
        </w:tc>
        <w:tc>
          <w:tcPr>
            <w:tcW w:w="1170" w:type="dxa"/>
            <w:tcBorders>
              <w:top w:val="nil"/>
              <w:left w:val="nil"/>
              <w:bottom w:val="single" w:sz="4" w:space="0" w:color="auto"/>
              <w:right w:val="single" w:sz="4" w:space="0" w:color="auto"/>
            </w:tcBorders>
            <w:shd w:val="clear" w:color="auto" w:fill="auto"/>
            <w:noWrap/>
            <w:vAlign w:val="center"/>
            <w:hideMark/>
          </w:tcPr>
          <w:p w14:paraId="635CACD9" w14:textId="77777777" w:rsidR="0043709B" w:rsidRPr="0043709B" w:rsidRDefault="0043709B" w:rsidP="0043709B">
            <w:pPr>
              <w:jc w:val="right"/>
              <w:rPr>
                <w:rFonts w:ascii="Arial Narrow" w:hAnsi="Arial Narrow" w:cs="Calibri"/>
                <w:sz w:val="16"/>
                <w:szCs w:val="16"/>
              </w:rPr>
            </w:pPr>
            <w:r w:rsidRPr="0043709B">
              <w:rPr>
                <w:rFonts w:ascii="Arial Narrow" w:hAnsi="Arial Narrow" w:cs="Calibri"/>
                <w:sz w:val="16"/>
                <w:szCs w:val="16"/>
              </w:rPr>
              <w:t>96,7</w:t>
            </w:r>
          </w:p>
        </w:tc>
        <w:tc>
          <w:tcPr>
            <w:tcW w:w="1300" w:type="dxa"/>
            <w:tcBorders>
              <w:top w:val="nil"/>
              <w:left w:val="nil"/>
              <w:bottom w:val="single" w:sz="4" w:space="0" w:color="auto"/>
              <w:right w:val="single" w:sz="4" w:space="0" w:color="auto"/>
            </w:tcBorders>
            <w:shd w:val="clear" w:color="auto" w:fill="auto"/>
            <w:noWrap/>
            <w:vAlign w:val="center"/>
            <w:hideMark/>
          </w:tcPr>
          <w:p w14:paraId="755FEEE6" w14:textId="77777777" w:rsidR="0043709B" w:rsidRPr="0043709B" w:rsidRDefault="0043709B" w:rsidP="0043709B">
            <w:pPr>
              <w:jc w:val="right"/>
              <w:rPr>
                <w:rFonts w:ascii="Arial Narrow" w:hAnsi="Arial Narrow" w:cs="Calibri"/>
                <w:sz w:val="16"/>
                <w:szCs w:val="16"/>
              </w:rPr>
            </w:pPr>
            <w:r w:rsidRPr="0043709B">
              <w:rPr>
                <w:rFonts w:ascii="Arial Narrow" w:hAnsi="Arial Narrow" w:cs="Calibri"/>
                <w:sz w:val="16"/>
                <w:szCs w:val="16"/>
              </w:rPr>
              <w:t>522,5</w:t>
            </w:r>
          </w:p>
        </w:tc>
        <w:tc>
          <w:tcPr>
            <w:tcW w:w="1220" w:type="dxa"/>
            <w:tcBorders>
              <w:top w:val="nil"/>
              <w:left w:val="nil"/>
              <w:bottom w:val="single" w:sz="4" w:space="0" w:color="auto"/>
              <w:right w:val="single" w:sz="4" w:space="0" w:color="auto"/>
            </w:tcBorders>
            <w:shd w:val="clear" w:color="auto" w:fill="auto"/>
            <w:noWrap/>
            <w:vAlign w:val="center"/>
            <w:hideMark/>
          </w:tcPr>
          <w:p w14:paraId="7C5CE73C" w14:textId="77777777" w:rsidR="0043709B" w:rsidRPr="0043709B" w:rsidRDefault="0043709B" w:rsidP="0043709B">
            <w:pPr>
              <w:jc w:val="right"/>
              <w:rPr>
                <w:rFonts w:ascii="Arial Narrow" w:hAnsi="Arial Narrow" w:cs="Calibri"/>
                <w:sz w:val="16"/>
                <w:szCs w:val="16"/>
              </w:rPr>
            </w:pPr>
            <w:r w:rsidRPr="0043709B">
              <w:rPr>
                <w:rFonts w:ascii="Arial Narrow" w:hAnsi="Arial Narrow" w:cs="Calibri"/>
                <w:sz w:val="16"/>
                <w:szCs w:val="16"/>
              </w:rPr>
              <w:t>93,2</w:t>
            </w:r>
          </w:p>
        </w:tc>
        <w:tc>
          <w:tcPr>
            <w:tcW w:w="1236" w:type="dxa"/>
            <w:tcBorders>
              <w:top w:val="nil"/>
              <w:left w:val="nil"/>
              <w:bottom w:val="single" w:sz="4" w:space="0" w:color="auto"/>
              <w:right w:val="single" w:sz="4" w:space="0" w:color="auto"/>
            </w:tcBorders>
            <w:shd w:val="clear" w:color="auto" w:fill="auto"/>
            <w:noWrap/>
            <w:vAlign w:val="center"/>
            <w:hideMark/>
          </w:tcPr>
          <w:p w14:paraId="131FE867" w14:textId="77777777" w:rsidR="0043709B" w:rsidRPr="0043709B" w:rsidRDefault="0043709B" w:rsidP="0043709B">
            <w:pPr>
              <w:jc w:val="right"/>
              <w:rPr>
                <w:rFonts w:ascii="Arial Narrow" w:hAnsi="Arial Narrow" w:cs="Calibri"/>
                <w:sz w:val="16"/>
                <w:szCs w:val="16"/>
              </w:rPr>
            </w:pPr>
            <w:r w:rsidRPr="0043709B">
              <w:rPr>
                <w:rFonts w:ascii="Arial Narrow" w:hAnsi="Arial Narrow" w:cs="Calibri"/>
                <w:sz w:val="16"/>
                <w:szCs w:val="16"/>
              </w:rPr>
              <w:t>487,0</w:t>
            </w:r>
          </w:p>
        </w:tc>
        <w:tc>
          <w:tcPr>
            <w:tcW w:w="1260" w:type="dxa"/>
            <w:tcBorders>
              <w:top w:val="nil"/>
              <w:left w:val="nil"/>
              <w:bottom w:val="single" w:sz="4" w:space="0" w:color="auto"/>
              <w:right w:val="single" w:sz="4" w:space="0" w:color="auto"/>
            </w:tcBorders>
            <w:shd w:val="clear" w:color="auto" w:fill="auto"/>
            <w:noWrap/>
            <w:vAlign w:val="center"/>
            <w:hideMark/>
          </w:tcPr>
          <w:p w14:paraId="4A2377C8" w14:textId="77777777" w:rsidR="0043709B" w:rsidRPr="0043709B" w:rsidRDefault="0043709B" w:rsidP="0043709B">
            <w:pPr>
              <w:jc w:val="right"/>
              <w:rPr>
                <w:rFonts w:ascii="Arial Narrow" w:hAnsi="Arial Narrow" w:cs="Arial"/>
                <w:sz w:val="16"/>
                <w:szCs w:val="16"/>
              </w:rPr>
            </w:pPr>
            <w:r w:rsidRPr="0043709B">
              <w:rPr>
                <w:rFonts w:ascii="Arial Narrow" w:hAnsi="Arial Narrow" w:cs="Arial"/>
                <w:sz w:val="16"/>
                <w:szCs w:val="16"/>
              </w:rPr>
              <w:t>90,2</w:t>
            </w:r>
          </w:p>
        </w:tc>
      </w:tr>
      <w:tr w:rsidR="0043709B" w:rsidRPr="0043709B" w14:paraId="588F9EF0" w14:textId="77777777" w:rsidTr="0043709B">
        <w:trPr>
          <w:trHeight w:val="250"/>
        </w:trPr>
        <w:tc>
          <w:tcPr>
            <w:tcW w:w="781" w:type="dxa"/>
            <w:tcBorders>
              <w:top w:val="nil"/>
              <w:left w:val="single" w:sz="4" w:space="0" w:color="auto"/>
              <w:bottom w:val="single" w:sz="4" w:space="0" w:color="auto"/>
              <w:right w:val="single" w:sz="4" w:space="0" w:color="auto"/>
            </w:tcBorders>
            <w:shd w:val="clear" w:color="auto" w:fill="auto"/>
            <w:noWrap/>
            <w:vAlign w:val="center"/>
            <w:hideMark/>
          </w:tcPr>
          <w:p w14:paraId="02B8B0DF" w14:textId="77777777" w:rsidR="0043709B" w:rsidRPr="0043709B" w:rsidRDefault="0043709B" w:rsidP="0043709B">
            <w:pPr>
              <w:rPr>
                <w:rFonts w:ascii="Arial Narrow" w:hAnsi="Arial Narrow" w:cs="Arial"/>
                <w:sz w:val="16"/>
                <w:szCs w:val="16"/>
              </w:rPr>
            </w:pPr>
            <w:r w:rsidRPr="0043709B">
              <w:rPr>
                <w:rFonts w:ascii="Arial Narrow" w:hAnsi="Arial Narrow" w:cs="Arial"/>
                <w:sz w:val="16"/>
                <w:szCs w:val="16"/>
              </w:rPr>
              <w:t>19.06/2</w:t>
            </w:r>
          </w:p>
        </w:tc>
        <w:tc>
          <w:tcPr>
            <w:tcW w:w="3016" w:type="dxa"/>
            <w:tcBorders>
              <w:top w:val="nil"/>
              <w:left w:val="nil"/>
              <w:bottom w:val="single" w:sz="4" w:space="0" w:color="auto"/>
              <w:right w:val="single" w:sz="4" w:space="0" w:color="auto"/>
            </w:tcBorders>
            <w:shd w:val="clear" w:color="000000" w:fill="FFFFFF"/>
            <w:noWrap/>
            <w:vAlign w:val="center"/>
            <w:hideMark/>
          </w:tcPr>
          <w:p w14:paraId="02661CF4" w14:textId="77777777" w:rsidR="0043709B" w:rsidRPr="0043709B" w:rsidRDefault="0043709B" w:rsidP="00CD44F3">
            <w:pPr>
              <w:ind w:firstLineChars="100" w:firstLine="160"/>
              <w:rPr>
                <w:rFonts w:ascii="Arial Narrow" w:hAnsi="Arial Narrow" w:cs="Calibri"/>
                <w:sz w:val="16"/>
                <w:szCs w:val="16"/>
              </w:rPr>
            </w:pPr>
            <w:r w:rsidRPr="0043709B">
              <w:rPr>
                <w:rFonts w:ascii="Arial Narrow" w:hAnsi="Arial Narrow" w:cs="Calibri"/>
                <w:sz w:val="16"/>
                <w:szCs w:val="16"/>
              </w:rPr>
              <w:t>- фуражни добавки, закупени извън сектора</w:t>
            </w:r>
          </w:p>
        </w:tc>
        <w:tc>
          <w:tcPr>
            <w:tcW w:w="1180" w:type="dxa"/>
            <w:tcBorders>
              <w:top w:val="nil"/>
              <w:left w:val="nil"/>
              <w:bottom w:val="single" w:sz="4" w:space="0" w:color="auto"/>
              <w:right w:val="single" w:sz="4" w:space="0" w:color="auto"/>
            </w:tcBorders>
            <w:shd w:val="clear" w:color="auto" w:fill="auto"/>
            <w:vAlign w:val="center"/>
          </w:tcPr>
          <w:p w14:paraId="22716A20" w14:textId="77777777" w:rsidR="0043709B" w:rsidRPr="0043709B" w:rsidRDefault="0043709B" w:rsidP="0043709B">
            <w:pPr>
              <w:jc w:val="right"/>
              <w:rPr>
                <w:rFonts w:ascii="Arial Narrow" w:hAnsi="Arial Narrow" w:cs="Calibri"/>
                <w:sz w:val="16"/>
                <w:szCs w:val="16"/>
              </w:rPr>
            </w:pPr>
            <w:r w:rsidRPr="0043709B">
              <w:rPr>
                <w:rFonts w:ascii="Arial Narrow" w:hAnsi="Arial Narrow" w:cs="Calibri"/>
                <w:sz w:val="16"/>
                <w:szCs w:val="16"/>
              </w:rPr>
              <w:t>618,3</w:t>
            </w:r>
          </w:p>
        </w:tc>
        <w:tc>
          <w:tcPr>
            <w:tcW w:w="1170" w:type="dxa"/>
            <w:tcBorders>
              <w:top w:val="nil"/>
              <w:left w:val="nil"/>
              <w:bottom w:val="single" w:sz="4" w:space="0" w:color="auto"/>
              <w:right w:val="single" w:sz="4" w:space="0" w:color="auto"/>
            </w:tcBorders>
            <w:shd w:val="clear" w:color="auto" w:fill="auto"/>
            <w:noWrap/>
            <w:vAlign w:val="center"/>
            <w:hideMark/>
          </w:tcPr>
          <w:p w14:paraId="740121E9" w14:textId="77777777" w:rsidR="0043709B" w:rsidRPr="0043709B" w:rsidRDefault="0043709B" w:rsidP="0043709B">
            <w:pPr>
              <w:jc w:val="right"/>
              <w:rPr>
                <w:rFonts w:ascii="Arial Narrow" w:hAnsi="Arial Narrow" w:cs="Calibri"/>
                <w:sz w:val="16"/>
                <w:szCs w:val="16"/>
              </w:rPr>
            </w:pPr>
            <w:r w:rsidRPr="0043709B">
              <w:rPr>
                <w:rFonts w:ascii="Arial Narrow" w:hAnsi="Arial Narrow" w:cs="Calibri"/>
                <w:sz w:val="16"/>
                <w:szCs w:val="16"/>
              </w:rPr>
              <w:t>94,6</w:t>
            </w:r>
          </w:p>
        </w:tc>
        <w:tc>
          <w:tcPr>
            <w:tcW w:w="1300" w:type="dxa"/>
            <w:tcBorders>
              <w:top w:val="nil"/>
              <w:left w:val="nil"/>
              <w:bottom w:val="single" w:sz="4" w:space="0" w:color="auto"/>
              <w:right w:val="single" w:sz="4" w:space="0" w:color="auto"/>
            </w:tcBorders>
            <w:shd w:val="clear" w:color="auto" w:fill="auto"/>
            <w:noWrap/>
            <w:vAlign w:val="center"/>
            <w:hideMark/>
          </w:tcPr>
          <w:p w14:paraId="6A7EED77" w14:textId="77777777" w:rsidR="0043709B" w:rsidRPr="0043709B" w:rsidRDefault="0043709B" w:rsidP="0043709B">
            <w:pPr>
              <w:jc w:val="right"/>
              <w:rPr>
                <w:rFonts w:ascii="Arial Narrow" w:hAnsi="Arial Narrow" w:cs="Calibri"/>
                <w:sz w:val="16"/>
                <w:szCs w:val="16"/>
              </w:rPr>
            </w:pPr>
            <w:r w:rsidRPr="0043709B">
              <w:rPr>
                <w:rFonts w:ascii="Arial Narrow" w:hAnsi="Arial Narrow" w:cs="Calibri"/>
                <w:sz w:val="16"/>
                <w:szCs w:val="16"/>
              </w:rPr>
              <w:t>584,8</w:t>
            </w:r>
          </w:p>
        </w:tc>
        <w:tc>
          <w:tcPr>
            <w:tcW w:w="1220" w:type="dxa"/>
            <w:tcBorders>
              <w:top w:val="nil"/>
              <w:left w:val="nil"/>
              <w:bottom w:val="single" w:sz="4" w:space="0" w:color="auto"/>
              <w:right w:val="single" w:sz="4" w:space="0" w:color="auto"/>
            </w:tcBorders>
            <w:shd w:val="clear" w:color="auto" w:fill="auto"/>
            <w:noWrap/>
            <w:vAlign w:val="center"/>
            <w:hideMark/>
          </w:tcPr>
          <w:p w14:paraId="2268D7F5" w14:textId="77777777" w:rsidR="0043709B" w:rsidRPr="0043709B" w:rsidRDefault="0043709B" w:rsidP="0043709B">
            <w:pPr>
              <w:jc w:val="right"/>
              <w:rPr>
                <w:rFonts w:ascii="Arial Narrow" w:hAnsi="Arial Narrow" w:cs="Calibri"/>
                <w:sz w:val="16"/>
                <w:szCs w:val="16"/>
              </w:rPr>
            </w:pPr>
            <w:r w:rsidRPr="0043709B">
              <w:rPr>
                <w:rFonts w:ascii="Arial Narrow" w:hAnsi="Arial Narrow" w:cs="Calibri"/>
                <w:sz w:val="16"/>
                <w:szCs w:val="16"/>
              </w:rPr>
              <w:t>93,2</w:t>
            </w:r>
          </w:p>
        </w:tc>
        <w:tc>
          <w:tcPr>
            <w:tcW w:w="1236" w:type="dxa"/>
            <w:tcBorders>
              <w:top w:val="nil"/>
              <w:left w:val="nil"/>
              <w:bottom w:val="single" w:sz="4" w:space="0" w:color="auto"/>
              <w:right w:val="single" w:sz="4" w:space="0" w:color="auto"/>
            </w:tcBorders>
            <w:shd w:val="clear" w:color="auto" w:fill="auto"/>
            <w:noWrap/>
            <w:vAlign w:val="center"/>
            <w:hideMark/>
          </w:tcPr>
          <w:p w14:paraId="2B3190CC" w14:textId="77777777" w:rsidR="0043709B" w:rsidRPr="0043709B" w:rsidRDefault="0043709B" w:rsidP="0043709B">
            <w:pPr>
              <w:jc w:val="right"/>
              <w:rPr>
                <w:rFonts w:ascii="Arial Narrow" w:hAnsi="Arial Narrow" w:cs="Calibri"/>
                <w:sz w:val="16"/>
                <w:szCs w:val="16"/>
              </w:rPr>
            </w:pPr>
            <w:r w:rsidRPr="0043709B">
              <w:rPr>
                <w:rFonts w:ascii="Arial Narrow" w:hAnsi="Arial Narrow" w:cs="Calibri"/>
                <w:sz w:val="16"/>
                <w:szCs w:val="16"/>
              </w:rPr>
              <w:t>545,1</w:t>
            </w:r>
          </w:p>
        </w:tc>
        <w:tc>
          <w:tcPr>
            <w:tcW w:w="1260" w:type="dxa"/>
            <w:tcBorders>
              <w:top w:val="nil"/>
              <w:left w:val="nil"/>
              <w:bottom w:val="single" w:sz="4" w:space="0" w:color="auto"/>
              <w:right w:val="single" w:sz="4" w:space="0" w:color="auto"/>
            </w:tcBorders>
            <w:shd w:val="clear" w:color="auto" w:fill="auto"/>
            <w:noWrap/>
            <w:vAlign w:val="center"/>
            <w:hideMark/>
          </w:tcPr>
          <w:p w14:paraId="278C9DD4" w14:textId="77777777" w:rsidR="0043709B" w:rsidRPr="0043709B" w:rsidRDefault="0043709B" w:rsidP="0043709B">
            <w:pPr>
              <w:jc w:val="right"/>
              <w:rPr>
                <w:rFonts w:ascii="Arial Narrow" w:hAnsi="Arial Narrow" w:cs="Arial"/>
                <w:sz w:val="16"/>
                <w:szCs w:val="16"/>
              </w:rPr>
            </w:pPr>
            <w:r w:rsidRPr="0043709B">
              <w:rPr>
                <w:rFonts w:ascii="Arial Narrow" w:hAnsi="Arial Narrow" w:cs="Arial"/>
                <w:sz w:val="16"/>
                <w:szCs w:val="16"/>
              </w:rPr>
              <w:t>88,2</w:t>
            </w:r>
          </w:p>
        </w:tc>
      </w:tr>
      <w:tr w:rsidR="0043709B" w:rsidRPr="0043709B" w14:paraId="6A6A4609" w14:textId="77777777" w:rsidTr="0043709B">
        <w:trPr>
          <w:trHeight w:val="501"/>
        </w:trPr>
        <w:tc>
          <w:tcPr>
            <w:tcW w:w="781" w:type="dxa"/>
            <w:tcBorders>
              <w:top w:val="nil"/>
              <w:left w:val="single" w:sz="4" w:space="0" w:color="auto"/>
              <w:bottom w:val="single" w:sz="4" w:space="0" w:color="auto"/>
              <w:right w:val="single" w:sz="4" w:space="0" w:color="auto"/>
            </w:tcBorders>
            <w:shd w:val="clear" w:color="auto" w:fill="auto"/>
            <w:noWrap/>
            <w:vAlign w:val="center"/>
            <w:hideMark/>
          </w:tcPr>
          <w:p w14:paraId="18D13D9F" w14:textId="77777777" w:rsidR="0043709B" w:rsidRPr="0043709B" w:rsidRDefault="0043709B" w:rsidP="0043709B">
            <w:pPr>
              <w:rPr>
                <w:rFonts w:ascii="Arial Narrow" w:hAnsi="Arial Narrow" w:cs="Arial"/>
                <w:sz w:val="16"/>
                <w:szCs w:val="16"/>
              </w:rPr>
            </w:pPr>
            <w:r w:rsidRPr="0043709B">
              <w:rPr>
                <w:rFonts w:ascii="Arial Narrow" w:hAnsi="Arial Narrow" w:cs="Arial"/>
                <w:sz w:val="16"/>
                <w:szCs w:val="16"/>
              </w:rPr>
              <w:t>19.06/3</w:t>
            </w:r>
          </w:p>
        </w:tc>
        <w:tc>
          <w:tcPr>
            <w:tcW w:w="3016" w:type="dxa"/>
            <w:tcBorders>
              <w:top w:val="nil"/>
              <w:left w:val="nil"/>
              <w:bottom w:val="single" w:sz="4" w:space="0" w:color="auto"/>
              <w:right w:val="single" w:sz="4" w:space="0" w:color="auto"/>
            </w:tcBorders>
            <w:shd w:val="clear" w:color="000000" w:fill="FFFFFF"/>
            <w:vAlign w:val="center"/>
            <w:hideMark/>
          </w:tcPr>
          <w:p w14:paraId="2E35CDD6" w14:textId="77777777" w:rsidR="0043709B" w:rsidRPr="0043709B" w:rsidRDefault="0043709B" w:rsidP="00CD44F3">
            <w:pPr>
              <w:ind w:firstLineChars="100" w:firstLine="160"/>
              <w:rPr>
                <w:rFonts w:ascii="Arial Narrow" w:hAnsi="Arial Narrow" w:cs="Calibri"/>
                <w:sz w:val="16"/>
                <w:szCs w:val="16"/>
              </w:rPr>
            </w:pPr>
            <w:r w:rsidRPr="0043709B">
              <w:rPr>
                <w:rFonts w:ascii="Arial Narrow" w:hAnsi="Arial Narrow" w:cs="Calibri"/>
                <w:sz w:val="16"/>
                <w:szCs w:val="16"/>
              </w:rPr>
              <w:t>- фуражни добавки, произведени и потребени в стопанството</w:t>
            </w:r>
          </w:p>
        </w:tc>
        <w:tc>
          <w:tcPr>
            <w:tcW w:w="1180" w:type="dxa"/>
            <w:tcBorders>
              <w:top w:val="nil"/>
              <w:left w:val="nil"/>
              <w:bottom w:val="single" w:sz="4" w:space="0" w:color="auto"/>
              <w:right w:val="single" w:sz="4" w:space="0" w:color="auto"/>
            </w:tcBorders>
            <w:shd w:val="clear" w:color="auto" w:fill="auto"/>
            <w:vAlign w:val="center"/>
          </w:tcPr>
          <w:p w14:paraId="612652BF" w14:textId="77777777" w:rsidR="0043709B" w:rsidRPr="0043709B" w:rsidRDefault="0043709B" w:rsidP="0043709B">
            <w:pPr>
              <w:jc w:val="right"/>
              <w:rPr>
                <w:rFonts w:ascii="Arial Narrow" w:hAnsi="Arial Narrow" w:cs="Calibri"/>
                <w:sz w:val="16"/>
                <w:szCs w:val="16"/>
              </w:rPr>
            </w:pPr>
            <w:r w:rsidRPr="0043709B">
              <w:rPr>
                <w:rFonts w:ascii="Arial Narrow" w:hAnsi="Arial Narrow" w:cs="Calibri"/>
                <w:sz w:val="16"/>
                <w:szCs w:val="16"/>
              </w:rPr>
              <w:t>192,6</w:t>
            </w:r>
          </w:p>
        </w:tc>
        <w:tc>
          <w:tcPr>
            <w:tcW w:w="1170" w:type="dxa"/>
            <w:tcBorders>
              <w:top w:val="nil"/>
              <w:left w:val="nil"/>
              <w:bottom w:val="single" w:sz="4" w:space="0" w:color="auto"/>
              <w:right w:val="single" w:sz="4" w:space="0" w:color="auto"/>
            </w:tcBorders>
            <w:shd w:val="clear" w:color="auto" w:fill="auto"/>
            <w:noWrap/>
            <w:vAlign w:val="center"/>
            <w:hideMark/>
          </w:tcPr>
          <w:p w14:paraId="16415895" w14:textId="77777777" w:rsidR="0043709B" w:rsidRPr="0043709B" w:rsidRDefault="0043709B" w:rsidP="0043709B">
            <w:pPr>
              <w:jc w:val="right"/>
              <w:rPr>
                <w:rFonts w:ascii="Arial Narrow" w:hAnsi="Arial Narrow" w:cs="Calibri"/>
                <w:sz w:val="16"/>
                <w:szCs w:val="16"/>
              </w:rPr>
            </w:pPr>
            <w:r w:rsidRPr="0043709B">
              <w:rPr>
                <w:rFonts w:ascii="Arial Narrow" w:hAnsi="Arial Narrow" w:cs="Calibri"/>
                <w:sz w:val="16"/>
                <w:szCs w:val="16"/>
              </w:rPr>
              <w:t>95,7</w:t>
            </w:r>
          </w:p>
        </w:tc>
        <w:tc>
          <w:tcPr>
            <w:tcW w:w="1300" w:type="dxa"/>
            <w:tcBorders>
              <w:top w:val="nil"/>
              <w:left w:val="nil"/>
              <w:bottom w:val="single" w:sz="4" w:space="0" w:color="auto"/>
              <w:right w:val="single" w:sz="4" w:space="0" w:color="auto"/>
            </w:tcBorders>
            <w:shd w:val="clear" w:color="auto" w:fill="auto"/>
            <w:noWrap/>
            <w:vAlign w:val="center"/>
            <w:hideMark/>
          </w:tcPr>
          <w:p w14:paraId="63F014E2" w14:textId="77777777" w:rsidR="0043709B" w:rsidRPr="0043709B" w:rsidRDefault="0043709B" w:rsidP="0043709B">
            <w:pPr>
              <w:jc w:val="right"/>
              <w:rPr>
                <w:rFonts w:ascii="Arial Narrow" w:hAnsi="Arial Narrow" w:cs="Calibri"/>
                <w:sz w:val="16"/>
                <w:szCs w:val="16"/>
              </w:rPr>
            </w:pPr>
            <w:r w:rsidRPr="0043709B">
              <w:rPr>
                <w:rFonts w:ascii="Arial Narrow" w:hAnsi="Arial Narrow" w:cs="Calibri"/>
                <w:sz w:val="16"/>
                <w:szCs w:val="16"/>
              </w:rPr>
              <w:t>184,3</w:t>
            </w:r>
          </w:p>
        </w:tc>
        <w:tc>
          <w:tcPr>
            <w:tcW w:w="1220" w:type="dxa"/>
            <w:tcBorders>
              <w:top w:val="nil"/>
              <w:left w:val="nil"/>
              <w:bottom w:val="single" w:sz="4" w:space="0" w:color="auto"/>
              <w:right w:val="single" w:sz="4" w:space="0" w:color="auto"/>
            </w:tcBorders>
            <w:shd w:val="clear" w:color="auto" w:fill="auto"/>
            <w:noWrap/>
            <w:vAlign w:val="center"/>
            <w:hideMark/>
          </w:tcPr>
          <w:p w14:paraId="0C5E0A41" w14:textId="77777777" w:rsidR="0043709B" w:rsidRPr="0043709B" w:rsidRDefault="0043709B" w:rsidP="0043709B">
            <w:pPr>
              <w:jc w:val="right"/>
              <w:rPr>
                <w:rFonts w:ascii="Arial Narrow" w:hAnsi="Arial Narrow" w:cs="Calibri"/>
                <w:sz w:val="16"/>
                <w:szCs w:val="16"/>
              </w:rPr>
            </w:pPr>
            <w:r w:rsidRPr="0043709B">
              <w:rPr>
                <w:rFonts w:ascii="Arial Narrow" w:hAnsi="Arial Narrow" w:cs="Calibri"/>
                <w:sz w:val="16"/>
                <w:szCs w:val="16"/>
              </w:rPr>
              <w:t>93,2</w:t>
            </w:r>
          </w:p>
        </w:tc>
        <w:tc>
          <w:tcPr>
            <w:tcW w:w="1236" w:type="dxa"/>
            <w:tcBorders>
              <w:top w:val="nil"/>
              <w:left w:val="nil"/>
              <w:bottom w:val="single" w:sz="4" w:space="0" w:color="auto"/>
              <w:right w:val="single" w:sz="4" w:space="0" w:color="auto"/>
            </w:tcBorders>
            <w:shd w:val="clear" w:color="auto" w:fill="auto"/>
            <w:noWrap/>
            <w:vAlign w:val="center"/>
            <w:hideMark/>
          </w:tcPr>
          <w:p w14:paraId="0EBC2586" w14:textId="77777777" w:rsidR="0043709B" w:rsidRPr="0043709B" w:rsidRDefault="0043709B" w:rsidP="0043709B">
            <w:pPr>
              <w:jc w:val="right"/>
              <w:rPr>
                <w:rFonts w:ascii="Arial Narrow" w:hAnsi="Arial Narrow" w:cs="Calibri"/>
                <w:sz w:val="16"/>
                <w:szCs w:val="16"/>
              </w:rPr>
            </w:pPr>
            <w:r w:rsidRPr="0043709B">
              <w:rPr>
                <w:rFonts w:ascii="Arial Narrow" w:hAnsi="Arial Narrow" w:cs="Calibri"/>
                <w:sz w:val="16"/>
                <w:szCs w:val="16"/>
              </w:rPr>
              <w:t>171,7</w:t>
            </w:r>
          </w:p>
        </w:tc>
        <w:tc>
          <w:tcPr>
            <w:tcW w:w="1260" w:type="dxa"/>
            <w:tcBorders>
              <w:top w:val="nil"/>
              <w:left w:val="nil"/>
              <w:bottom w:val="single" w:sz="4" w:space="0" w:color="auto"/>
              <w:right w:val="single" w:sz="4" w:space="0" w:color="auto"/>
            </w:tcBorders>
            <w:shd w:val="clear" w:color="auto" w:fill="auto"/>
            <w:noWrap/>
            <w:vAlign w:val="center"/>
            <w:hideMark/>
          </w:tcPr>
          <w:p w14:paraId="62F84B36" w14:textId="77777777" w:rsidR="0043709B" w:rsidRPr="0043709B" w:rsidRDefault="0043709B" w:rsidP="0043709B">
            <w:pPr>
              <w:jc w:val="right"/>
              <w:rPr>
                <w:rFonts w:ascii="Arial Narrow" w:hAnsi="Arial Narrow" w:cs="Arial"/>
                <w:sz w:val="16"/>
                <w:szCs w:val="16"/>
              </w:rPr>
            </w:pPr>
            <w:r w:rsidRPr="0043709B">
              <w:rPr>
                <w:rFonts w:ascii="Arial Narrow" w:hAnsi="Arial Narrow" w:cs="Arial"/>
                <w:sz w:val="16"/>
                <w:szCs w:val="16"/>
              </w:rPr>
              <w:t>89,1</w:t>
            </w:r>
          </w:p>
        </w:tc>
      </w:tr>
      <w:tr w:rsidR="0043709B" w:rsidRPr="0043709B" w14:paraId="67E16710" w14:textId="77777777" w:rsidTr="0043709B">
        <w:trPr>
          <w:trHeight w:val="501"/>
        </w:trPr>
        <w:tc>
          <w:tcPr>
            <w:tcW w:w="781" w:type="dxa"/>
            <w:tcBorders>
              <w:top w:val="nil"/>
              <w:left w:val="single" w:sz="4" w:space="0" w:color="auto"/>
              <w:bottom w:val="single" w:sz="4" w:space="0" w:color="auto"/>
              <w:right w:val="single" w:sz="4" w:space="0" w:color="auto"/>
            </w:tcBorders>
            <w:shd w:val="clear" w:color="auto" w:fill="auto"/>
            <w:noWrap/>
            <w:vAlign w:val="center"/>
            <w:hideMark/>
          </w:tcPr>
          <w:p w14:paraId="0A0DA4EF" w14:textId="77777777" w:rsidR="0043709B" w:rsidRPr="0043709B" w:rsidRDefault="0043709B" w:rsidP="0043709B">
            <w:pPr>
              <w:rPr>
                <w:rFonts w:ascii="Arial Narrow" w:hAnsi="Arial Narrow" w:cs="Arial"/>
                <w:sz w:val="16"/>
                <w:szCs w:val="16"/>
              </w:rPr>
            </w:pPr>
            <w:r w:rsidRPr="0043709B">
              <w:rPr>
                <w:rFonts w:ascii="Arial Narrow" w:hAnsi="Arial Narrow" w:cs="Arial"/>
                <w:sz w:val="16"/>
                <w:szCs w:val="16"/>
              </w:rPr>
              <w:t>19.07</w:t>
            </w:r>
          </w:p>
        </w:tc>
        <w:tc>
          <w:tcPr>
            <w:tcW w:w="3016" w:type="dxa"/>
            <w:tcBorders>
              <w:top w:val="nil"/>
              <w:left w:val="nil"/>
              <w:bottom w:val="single" w:sz="4" w:space="0" w:color="auto"/>
              <w:right w:val="single" w:sz="4" w:space="0" w:color="auto"/>
            </w:tcBorders>
            <w:shd w:val="clear" w:color="000000" w:fill="FFFFFF"/>
            <w:vAlign w:val="center"/>
            <w:hideMark/>
          </w:tcPr>
          <w:p w14:paraId="487D1A3F" w14:textId="77777777" w:rsidR="0043709B" w:rsidRPr="0043709B" w:rsidRDefault="0043709B" w:rsidP="0043709B">
            <w:pPr>
              <w:ind w:firstLineChars="100" w:firstLine="161"/>
              <w:rPr>
                <w:rFonts w:ascii="Arial Narrow" w:hAnsi="Arial Narrow" w:cs="Calibri"/>
                <w:b/>
                <w:bCs/>
                <w:sz w:val="16"/>
                <w:szCs w:val="16"/>
              </w:rPr>
            </w:pPr>
            <w:r w:rsidRPr="0043709B">
              <w:rPr>
                <w:rFonts w:ascii="Arial Narrow" w:hAnsi="Arial Narrow" w:cs="Calibri"/>
                <w:b/>
                <w:bCs/>
                <w:sz w:val="16"/>
                <w:szCs w:val="16"/>
              </w:rPr>
              <w:t>ПОДДРЪЖКА И РЕМОНТ НА МАШИНИ И ДРЕБЕН ИНВЕНТАР</w:t>
            </w:r>
          </w:p>
        </w:tc>
        <w:tc>
          <w:tcPr>
            <w:tcW w:w="1180" w:type="dxa"/>
            <w:tcBorders>
              <w:top w:val="nil"/>
              <w:left w:val="nil"/>
              <w:bottom w:val="single" w:sz="4" w:space="0" w:color="auto"/>
              <w:right w:val="single" w:sz="4" w:space="0" w:color="auto"/>
            </w:tcBorders>
            <w:shd w:val="clear" w:color="auto" w:fill="auto"/>
            <w:vAlign w:val="center"/>
          </w:tcPr>
          <w:p w14:paraId="0264D049" w14:textId="77777777" w:rsidR="0043709B" w:rsidRPr="0043709B" w:rsidRDefault="0043709B" w:rsidP="0043709B">
            <w:pPr>
              <w:jc w:val="right"/>
              <w:rPr>
                <w:rFonts w:ascii="Arial Narrow" w:hAnsi="Arial Narrow" w:cs="Calibri"/>
                <w:sz w:val="16"/>
                <w:szCs w:val="16"/>
              </w:rPr>
            </w:pPr>
            <w:r w:rsidRPr="0043709B">
              <w:rPr>
                <w:rFonts w:ascii="Arial Narrow" w:hAnsi="Arial Narrow" w:cs="Calibri"/>
                <w:sz w:val="16"/>
                <w:szCs w:val="16"/>
              </w:rPr>
              <w:t>379,4</w:t>
            </w:r>
          </w:p>
        </w:tc>
        <w:tc>
          <w:tcPr>
            <w:tcW w:w="1170" w:type="dxa"/>
            <w:tcBorders>
              <w:top w:val="nil"/>
              <w:left w:val="nil"/>
              <w:bottom w:val="single" w:sz="4" w:space="0" w:color="auto"/>
              <w:right w:val="single" w:sz="4" w:space="0" w:color="auto"/>
            </w:tcBorders>
            <w:shd w:val="clear" w:color="auto" w:fill="auto"/>
            <w:noWrap/>
            <w:vAlign w:val="center"/>
            <w:hideMark/>
          </w:tcPr>
          <w:p w14:paraId="70973B7C" w14:textId="77777777" w:rsidR="0043709B" w:rsidRPr="0043709B" w:rsidRDefault="0043709B" w:rsidP="0043709B">
            <w:pPr>
              <w:jc w:val="right"/>
              <w:rPr>
                <w:rFonts w:ascii="Arial Narrow" w:hAnsi="Arial Narrow" w:cs="Calibri"/>
                <w:sz w:val="16"/>
                <w:szCs w:val="16"/>
              </w:rPr>
            </w:pPr>
            <w:r w:rsidRPr="0043709B">
              <w:rPr>
                <w:rFonts w:ascii="Arial Narrow" w:hAnsi="Arial Narrow" w:cs="Calibri"/>
                <w:sz w:val="16"/>
                <w:szCs w:val="16"/>
              </w:rPr>
              <w:t>86,8</w:t>
            </w:r>
          </w:p>
        </w:tc>
        <w:tc>
          <w:tcPr>
            <w:tcW w:w="1300" w:type="dxa"/>
            <w:tcBorders>
              <w:top w:val="nil"/>
              <w:left w:val="nil"/>
              <w:bottom w:val="single" w:sz="4" w:space="0" w:color="auto"/>
              <w:right w:val="single" w:sz="4" w:space="0" w:color="auto"/>
            </w:tcBorders>
            <w:shd w:val="clear" w:color="auto" w:fill="auto"/>
            <w:noWrap/>
            <w:vAlign w:val="center"/>
            <w:hideMark/>
          </w:tcPr>
          <w:p w14:paraId="74D20260" w14:textId="77777777" w:rsidR="0043709B" w:rsidRPr="0043709B" w:rsidRDefault="0043709B" w:rsidP="0043709B">
            <w:pPr>
              <w:jc w:val="right"/>
              <w:rPr>
                <w:rFonts w:ascii="Arial Narrow" w:hAnsi="Arial Narrow" w:cs="Calibri"/>
                <w:sz w:val="16"/>
                <w:szCs w:val="16"/>
              </w:rPr>
            </w:pPr>
            <w:r w:rsidRPr="0043709B">
              <w:rPr>
                <w:rFonts w:ascii="Arial Narrow" w:hAnsi="Arial Narrow" w:cs="Calibri"/>
                <w:sz w:val="16"/>
                <w:szCs w:val="16"/>
              </w:rPr>
              <w:t>329,4</w:t>
            </w:r>
          </w:p>
        </w:tc>
        <w:tc>
          <w:tcPr>
            <w:tcW w:w="1220" w:type="dxa"/>
            <w:tcBorders>
              <w:top w:val="nil"/>
              <w:left w:val="nil"/>
              <w:bottom w:val="single" w:sz="4" w:space="0" w:color="auto"/>
              <w:right w:val="single" w:sz="4" w:space="0" w:color="auto"/>
            </w:tcBorders>
            <w:shd w:val="clear" w:color="auto" w:fill="auto"/>
            <w:noWrap/>
            <w:vAlign w:val="center"/>
            <w:hideMark/>
          </w:tcPr>
          <w:p w14:paraId="37B2173C" w14:textId="77777777" w:rsidR="0043709B" w:rsidRPr="0043709B" w:rsidRDefault="0043709B" w:rsidP="0043709B">
            <w:pPr>
              <w:jc w:val="right"/>
              <w:rPr>
                <w:rFonts w:ascii="Arial Narrow" w:hAnsi="Arial Narrow" w:cs="Calibri"/>
                <w:sz w:val="16"/>
                <w:szCs w:val="16"/>
              </w:rPr>
            </w:pPr>
            <w:r w:rsidRPr="0043709B">
              <w:rPr>
                <w:rFonts w:ascii="Arial Narrow" w:hAnsi="Arial Narrow" w:cs="Calibri"/>
                <w:sz w:val="16"/>
                <w:szCs w:val="16"/>
              </w:rPr>
              <w:t>105,5</w:t>
            </w:r>
          </w:p>
        </w:tc>
        <w:tc>
          <w:tcPr>
            <w:tcW w:w="1236" w:type="dxa"/>
            <w:tcBorders>
              <w:top w:val="nil"/>
              <w:left w:val="nil"/>
              <w:bottom w:val="single" w:sz="4" w:space="0" w:color="auto"/>
              <w:right w:val="single" w:sz="4" w:space="0" w:color="auto"/>
            </w:tcBorders>
            <w:shd w:val="clear" w:color="auto" w:fill="auto"/>
            <w:noWrap/>
            <w:vAlign w:val="center"/>
            <w:hideMark/>
          </w:tcPr>
          <w:p w14:paraId="4632241A" w14:textId="77777777" w:rsidR="0043709B" w:rsidRPr="0043709B" w:rsidRDefault="0043709B" w:rsidP="0043709B">
            <w:pPr>
              <w:jc w:val="right"/>
              <w:rPr>
                <w:rFonts w:ascii="Arial Narrow" w:hAnsi="Arial Narrow" w:cs="Calibri"/>
                <w:sz w:val="16"/>
                <w:szCs w:val="16"/>
              </w:rPr>
            </w:pPr>
            <w:r w:rsidRPr="0043709B">
              <w:rPr>
                <w:rFonts w:ascii="Arial Narrow" w:hAnsi="Arial Narrow" w:cs="Calibri"/>
                <w:sz w:val="16"/>
                <w:szCs w:val="16"/>
              </w:rPr>
              <w:t>347,5</w:t>
            </w:r>
          </w:p>
        </w:tc>
        <w:tc>
          <w:tcPr>
            <w:tcW w:w="1260" w:type="dxa"/>
            <w:tcBorders>
              <w:top w:val="nil"/>
              <w:left w:val="nil"/>
              <w:bottom w:val="single" w:sz="4" w:space="0" w:color="auto"/>
              <w:right w:val="single" w:sz="4" w:space="0" w:color="auto"/>
            </w:tcBorders>
            <w:shd w:val="clear" w:color="auto" w:fill="auto"/>
            <w:noWrap/>
            <w:vAlign w:val="center"/>
            <w:hideMark/>
          </w:tcPr>
          <w:p w14:paraId="0C9FC1FB" w14:textId="77777777" w:rsidR="0043709B" w:rsidRPr="0043709B" w:rsidRDefault="0043709B" w:rsidP="0043709B">
            <w:pPr>
              <w:jc w:val="right"/>
              <w:rPr>
                <w:rFonts w:ascii="Arial Narrow" w:hAnsi="Arial Narrow" w:cs="Arial"/>
                <w:sz w:val="16"/>
                <w:szCs w:val="16"/>
              </w:rPr>
            </w:pPr>
            <w:r w:rsidRPr="0043709B">
              <w:rPr>
                <w:rFonts w:ascii="Arial Narrow" w:hAnsi="Arial Narrow" w:cs="Arial"/>
                <w:sz w:val="16"/>
                <w:szCs w:val="16"/>
              </w:rPr>
              <w:t>91,6</w:t>
            </w:r>
          </w:p>
        </w:tc>
      </w:tr>
      <w:tr w:rsidR="0043709B" w:rsidRPr="0043709B" w14:paraId="02C1EE5D" w14:textId="77777777" w:rsidTr="0043709B">
        <w:trPr>
          <w:trHeight w:val="250"/>
        </w:trPr>
        <w:tc>
          <w:tcPr>
            <w:tcW w:w="781" w:type="dxa"/>
            <w:tcBorders>
              <w:top w:val="nil"/>
              <w:left w:val="single" w:sz="4" w:space="0" w:color="auto"/>
              <w:bottom w:val="single" w:sz="4" w:space="0" w:color="auto"/>
              <w:right w:val="single" w:sz="4" w:space="0" w:color="auto"/>
            </w:tcBorders>
            <w:shd w:val="clear" w:color="auto" w:fill="auto"/>
            <w:noWrap/>
            <w:vAlign w:val="center"/>
            <w:hideMark/>
          </w:tcPr>
          <w:p w14:paraId="4D3BC972" w14:textId="77777777" w:rsidR="0043709B" w:rsidRPr="0043709B" w:rsidRDefault="0043709B" w:rsidP="0043709B">
            <w:pPr>
              <w:rPr>
                <w:rFonts w:ascii="Arial Narrow" w:hAnsi="Arial Narrow" w:cs="Arial"/>
                <w:sz w:val="16"/>
                <w:szCs w:val="16"/>
              </w:rPr>
            </w:pPr>
            <w:r w:rsidRPr="0043709B">
              <w:rPr>
                <w:rFonts w:ascii="Arial Narrow" w:hAnsi="Arial Narrow" w:cs="Arial"/>
                <w:sz w:val="16"/>
                <w:szCs w:val="16"/>
              </w:rPr>
              <w:t>19.08</w:t>
            </w:r>
          </w:p>
        </w:tc>
        <w:tc>
          <w:tcPr>
            <w:tcW w:w="3016" w:type="dxa"/>
            <w:tcBorders>
              <w:top w:val="nil"/>
              <w:left w:val="nil"/>
              <w:bottom w:val="single" w:sz="4" w:space="0" w:color="auto"/>
              <w:right w:val="single" w:sz="4" w:space="0" w:color="auto"/>
            </w:tcBorders>
            <w:shd w:val="clear" w:color="000000" w:fill="FFFFFF"/>
            <w:noWrap/>
            <w:vAlign w:val="center"/>
            <w:hideMark/>
          </w:tcPr>
          <w:p w14:paraId="09AC0531" w14:textId="77777777" w:rsidR="0043709B" w:rsidRPr="0043709B" w:rsidRDefault="0043709B" w:rsidP="0043709B">
            <w:pPr>
              <w:ind w:firstLineChars="100" w:firstLine="161"/>
              <w:rPr>
                <w:rFonts w:ascii="Arial Narrow" w:hAnsi="Arial Narrow" w:cs="Calibri"/>
                <w:b/>
                <w:bCs/>
                <w:sz w:val="16"/>
                <w:szCs w:val="16"/>
              </w:rPr>
            </w:pPr>
            <w:r w:rsidRPr="0043709B">
              <w:rPr>
                <w:rFonts w:ascii="Arial Narrow" w:hAnsi="Arial Narrow" w:cs="Calibri"/>
                <w:b/>
                <w:bCs/>
                <w:sz w:val="16"/>
                <w:szCs w:val="16"/>
              </w:rPr>
              <w:t>ПОДДРЪЖКА НА СГРАДИ</w:t>
            </w:r>
          </w:p>
        </w:tc>
        <w:tc>
          <w:tcPr>
            <w:tcW w:w="1180" w:type="dxa"/>
            <w:tcBorders>
              <w:top w:val="nil"/>
              <w:left w:val="nil"/>
              <w:bottom w:val="single" w:sz="4" w:space="0" w:color="auto"/>
              <w:right w:val="single" w:sz="4" w:space="0" w:color="auto"/>
            </w:tcBorders>
            <w:shd w:val="clear" w:color="auto" w:fill="auto"/>
            <w:vAlign w:val="center"/>
          </w:tcPr>
          <w:p w14:paraId="274FD60F" w14:textId="77777777" w:rsidR="0043709B" w:rsidRPr="0043709B" w:rsidRDefault="0043709B" w:rsidP="0043709B">
            <w:pPr>
              <w:jc w:val="right"/>
              <w:rPr>
                <w:rFonts w:ascii="Arial Narrow" w:hAnsi="Arial Narrow" w:cs="Calibri"/>
                <w:sz w:val="16"/>
                <w:szCs w:val="16"/>
              </w:rPr>
            </w:pPr>
            <w:r w:rsidRPr="0043709B">
              <w:rPr>
                <w:rFonts w:ascii="Arial Narrow" w:hAnsi="Arial Narrow" w:cs="Calibri"/>
                <w:sz w:val="16"/>
                <w:szCs w:val="16"/>
              </w:rPr>
              <w:t>154,8</w:t>
            </w:r>
          </w:p>
        </w:tc>
        <w:tc>
          <w:tcPr>
            <w:tcW w:w="1170" w:type="dxa"/>
            <w:tcBorders>
              <w:top w:val="nil"/>
              <w:left w:val="nil"/>
              <w:bottom w:val="single" w:sz="4" w:space="0" w:color="auto"/>
              <w:right w:val="single" w:sz="4" w:space="0" w:color="auto"/>
            </w:tcBorders>
            <w:shd w:val="clear" w:color="auto" w:fill="auto"/>
            <w:noWrap/>
            <w:vAlign w:val="center"/>
            <w:hideMark/>
          </w:tcPr>
          <w:p w14:paraId="3CD3CC33" w14:textId="77777777" w:rsidR="0043709B" w:rsidRPr="0043709B" w:rsidRDefault="0043709B" w:rsidP="0043709B">
            <w:pPr>
              <w:jc w:val="right"/>
              <w:rPr>
                <w:rFonts w:ascii="Arial Narrow" w:hAnsi="Arial Narrow" w:cs="Calibri"/>
                <w:sz w:val="16"/>
                <w:szCs w:val="16"/>
              </w:rPr>
            </w:pPr>
            <w:r w:rsidRPr="0043709B">
              <w:rPr>
                <w:rFonts w:ascii="Arial Narrow" w:hAnsi="Arial Narrow" w:cs="Calibri"/>
                <w:sz w:val="16"/>
                <w:szCs w:val="16"/>
              </w:rPr>
              <w:t>86,9</w:t>
            </w:r>
          </w:p>
        </w:tc>
        <w:tc>
          <w:tcPr>
            <w:tcW w:w="1300" w:type="dxa"/>
            <w:tcBorders>
              <w:top w:val="nil"/>
              <w:left w:val="nil"/>
              <w:bottom w:val="single" w:sz="4" w:space="0" w:color="auto"/>
              <w:right w:val="single" w:sz="4" w:space="0" w:color="auto"/>
            </w:tcBorders>
            <w:shd w:val="clear" w:color="auto" w:fill="auto"/>
            <w:noWrap/>
            <w:vAlign w:val="center"/>
            <w:hideMark/>
          </w:tcPr>
          <w:p w14:paraId="244D96B2" w14:textId="77777777" w:rsidR="0043709B" w:rsidRPr="0043709B" w:rsidRDefault="0043709B" w:rsidP="0043709B">
            <w:pPr>
              <w:jc w:val="right"/>
              <w:rPr>
                <w:rFonts w:ascii="Arial Narrow" w:hAnsi="Arial Narrow" w:cs="Calibri"/>
                <w:sz w:val="16"/>
                <w:szCs w:val="16"/>
              </w:rPr>
            </w:pPr>
            <w:r w:rsidRPr="0043709B">
              <w:rPr>
                <w:rFonts w:ascii="Arial Narrow" w:hAnsi="Arial Narrow" w:cs="Calibri"/>
                <w:sz w:val="16"/>
                <w:szCs w:val="16"/>
              </w:rPr>
              <w:t>134,5</w:t>
            </w:r>
          </w:p>
        </w:tc>
        <w:tc>
          <w:tcPr>
            <w:tcW w:w="1220" w:type="dxa"/>
            <w:tcBorders>
              <w:top w:val="nil"/>
              <w:left w:val="nil"/>
              <w:bottom w:val="single" w:sz="4" w:space="0" w:color="auto"/>
              <w:right w:val="single" w:sz="4" w:space="0" w:color="auto"/>
            </w:tcBorders>
            <w:shd w:val="clear" w:color="auto" w:fill="auto"/>
            <w:noWrap/>
            <w:vAlign w:val="center"/>
            <w:hideMark/>
          </w:tcPr>
          <w:p w14:paraId="4F9B0028" w14:textId="77777777" w:rsidR="0043709B" w:rsidRPr="0043709B" w:rsidRDefault="0043709B" w:rsidP="0043709B">
            <w:pPr>
              <w:jc w:val="right"/>
              <w:rPr>
                <w:rFonts w:ascii="Arial Narrow" w:hAnsi="Arial Narrow" w:cs="Calibri"/>
                <w:sz w:val="16"/>
                <w:szCs w:val="16"/>
              </w:rPr>
            </w:pPr>
            <w:r w:rsidRPr="0043709B">
              <w:rPr>
                <w:rFonts w:ascii="Arial Narrow" w:hAnsi="Arial Narrow" w:cs="Calibri"/>
                <w:sz w:val="16"/>
                <w:szCs w:val="16"/>
              </w:rPr>
              <w:t>103,8</w:t>
            </w:r>
          </w:p>
        </w:tc>
        <w:tc>
          <w:tcPr>
            <w:tcW w:w="1236" w:type="dxa"/>
            <w:tcBorders>
              <w:top w:val="nil"/>
              <w:left w:val="nil"/>
              <w:bottom w:val="single" w:sz="4" w:space="0" w:color="auto"/>
              <w:right w:val="single" w:sz="4" w:space="0" w:color="auto"/>
            </w:tcBorders>
            <w:shd w:val="clear" w:color="auto" w:fill="auto"/>
            <w:noWrap/>
            <w:vAlign w:val="center"/>
            <w:hideMark/>
          </w:tcPr>
          <w:p w14:paraId="0861E20A" w14:textId="77777777" w:rsidR="0043709B" w:rsidRPr="0043709B" w:rsidRDefault="0043709B" w:rsidP="0043709B">
            <w:pPr>
              <w:jc w:val="right"/>
              <w:rPr>
                <w:rFonts w:ascii="Arial Narrow" w:hAnsi="Arial Narrow" w:cs="Calibri"/>
                <w:sz w:val="16"/>
                <w:szCs w:val="16"/>
              </w:rPr>
            </w:pPr>
            <w:r w:rsidRPr="0043709B">
              <w:rPr>
                <w:rFonts w:ascii="Arial Narrow" w:hAnsi="Arial Narrow" w:cs="Calibri"/>
                <w:sz w:val="16"/>
                <w:szCs w:val="16"/>
              </w:rPr>
              <w:t>139,6</w:t>
            </w:r>
          </w:p>
        </w:tc>
        <w:tc>
          <w:tcPr>
            <w:tcW w:w="1260" w:type="dxa"/>
            <w:tcBorders>
              <w:top w:val="nil"/>
              <w:left w:val="nil"/>
              <w:bottom w:val="single" w:sz="4" w:space="0" w:color="auto"/>
              <w:right w:val="single" w:sz="4" w:space="0" w:color="auto"/>
            </w:tcBorders>
            <w:shd w:val="clear" w:color="auto" w:fill="auto"/>
            <w:noWrap/>
            <w:vAlign w:val="center"/>
            <w:hideMark/>
          </w:tcPr>
          <w:p w14:paraId="2E295580" w14:textId="77777777" w:rsidR="0043709B" w:rsidRPr="0043709B" w:rsidRDefault="0043709B" w:rsidP="0043709B">
            <w:pPr>
              <w:jc w:val="right"/>
              <w:rPr>
                <w:rFonts w:ascii="Arial Narrow" w:hAnsi="Arial Narrow" w:cs="Arial"/>
                <w:sz w:val="16"/>
                <w:szCs w:val="16"/>
              </w:rPr>
            </w:pPr>
            <w:r w:rsidRPr="0043709B">
              <w:rPr>
                <w:rFonts w:ascii="Arial Narrow" w:hAnsi="Arial Narrow" w:cs="Arial"/>
                <w:sz w:val="16"/>
                <w:szCs w:val="16"/>
              </w:rPr>
              <w:t>90,2</w:t>
            </w:r>
          </w:p>
        </w:tc>
      </w:tr>
      <w:tr w:rsidR="0043709B" w:rsidRPr="0043709B" w14:paraId="0CBEDF6E" w14:textId="77777777" w:rsidTr="0043709B">
        <w:trPr>
          <w:trHeight w:val="250"/>
        </w:trPr>
        <w:tc>
          <w:tcPr>
            <w:tcW w:w="781" w:type="dxa"/>
            <w:tcBorders>
              <w:top w:val="nil"/>
              <w:left w:val="single" w:sz="4" w:space="0" w:color="auto"/>
              <w:bottom w:val="single" w:sz="4" w:space="0" w:color="auto"/>
              <w:right w:val="single" w:sz="4" w:space="0" w:color="auto"/>
            </w:tcBorders>
            <w:shd w:val="clear" w:color="auto" w:fill="auto"/>
            <w:noWrap/>
            <w:vAlign w:val="center"/>
            <w:hideMark/>
          </w:tcPr>
          <w:p w14:paraId="64E2179C" w14:textId="77777777" w:rsidR="0043709B" w:rsidRPr="0043709B" w:rsidRDefault="0043709B" w:rsidP="0043709B">
            <w:pPr>
              <w:rPr>
                <w:rFonts w:ascii="Arial Narrow" w:hAnsi="Arial Narrow" w:cs="Arial"/>
                <w:sz w:val="16"/>
                <w:szCs w:val="16"/>
              </w:rPr>
            </w:pPr>
            <w:r w:rsidRPr="0043709B">
              <w:rPr>
                <w:rFonts w:ascii="Arial Narrow" w:hAnsi="Arial Narrow" w:cs="Arial"/>
                <w:sz w:val="16"/>
                <w:szCs w:val="16"/>
              </w:rPr>
              <w:t>19.09</w:t>
            </w:r>
          </w:p>
        </w:tc>
        <w:tc>
          <w:tcPr>
            <w:tcW w:w="3016" w:type="dxa"/>
            <w:tcBorders>
              <w:top w:val="nil"/>
              <w:left w:val="nil"/>
              <w:bottom w:val="single" w:sz="4" w:space="0" w:color="auto"/>
              <w:right w:val="single" w:sz="4" w:space="0" w:color="auto"/>
            </w:tcBorders>
            <w:shd w:val="clear" w:color="000000" w:fill="FFFFFF"/>
            <w:noWrap/>
            <w:vAlign w:val="center"/>
            <w:hideMark/>
          </w:tcPr>
          <w:p w14:paraId="50B0B3DC" w14:textId="77777777" w:rsidR="0043709B" w:rsidRPr="0043709B" w:rsidRDefault="0043709B" w:rsidP="0043709B">
            <w:pPr>
              <w:ind w:firstLineChars="100" w:firstLine="161"/>
              <w:rPr>
                <w:rFonts w:ascii="Arial Narrow" w:hAnsi="Arial Narrow" w:cs="Calibri"/>
                <w:b/>
                <w:bCs/>
                <w:sz w:val="16"/>
                <w:szCs w:val="16"/>
              </w:rPr>
            </w:pPr>
            <w:r w:rsidRPr="0043709B">
              <w:rPr>
                <w:rFonts w:ascii="Arial Narrow" w:hAnsi="Arial Narrow" w:cs="Calibri"/>
                <w:b/>
                <w:bCs/>
                <w:sz w:val="16"/>
                <w:szCs w:val="16"/>
              </w:rPr>
              <w:t>СЕЛСКОСТОПАНСКИ УСЛУГИ</w:t>
            </w:r>
          </w:p>
        </w:tc>
        <w:tc>
          <w:tcPr>
            <w:tcW w:w="1180" w:type="dxa"/>
            <w:tcBorders>
              <w:top w:val="nil"/>
              <w:left w:val="nil"/>
              <w:bottom w:val="single" w:sz="4" w:space="0" w:color="auto"/>
              <w:right w:val="single" w:sz="4" w:space="0" w:color="auto"/>
            </w:tcBorders>
            <w:shd w:val="clear" w:color="auto" w:fill="auto"/>
            <w:vAlign w:val="center"/>
          </w:tcPr>
          <w:p w14:paraId="25F0D6E4" w14:textId="77777777" w:rsidR="0043709B" w:rsidRPr="0043709B" w:rsidRDefault="0043709B" w:rsidP="0043709B">
            <w:pPr>
              <w:jc w:val="right"/>
              <w:rPr>
                <w:rFonts w:ascii="Arial Narrow" w:hAnsi="Arial Narrow" w:cs="Calibri"/>
                <w:sz w:val="16"/>
                <w:szCs w:val="16"/>
              </w:rPr>
            </w:pPr>
            <w:r w:rsidRPr="0043709B">
              <w:rPr>
                <w:rFonts w:ascii="Arial Narrow" w:hAnsi="Arial Narrow" w:cs="Calibri"/>
                <w:sz w:val="16"/>
                <w:szCs w:val="16"/>
              </w:rPr>
              <w:t>595,7</w:t>
            </w:r>
          </w:p>
        </w:tc>
        <w:tc>
          <w:tcPr>
            <w:tcW w:w="1170" w:type="dxa"/>
            <w:tcBorders>
              <w:top w:val="nil"/>
              <w:left w:val="nil"/>
              <w:bottom w:val="single" w:sz="4" w:space="0" w:color="auto"/>
              <w:right w:val="single" w:sz="4" w:space="0" w:color="auto"/>
            </w:tcBorders>
            <w:shd w:val="clear" w:color="auto" w:fill="auto"/>
            <w:noWrap/>
            <w:vAlign w:val="center"/>
            <w:hideMark/>
          </w:tcPr>
          <w:p w14:paraId="2370A5BF" w14:textId="77777777" w:rsidR="0043709B" w:rsidRPr="0043709B" w:rsidRDefault="0043709B" w:rsidP="0043709B">
            <w:pPr>
              <w:jc w:val="right"/>
              <w:rPr>
                <w:rFonts w:ascii="Arial Narrow" w:hAnsi="Arial Narrow" w:cs="Calibri"/>
                <w:sz w:val="16"/>
                <w:szCs w:val="16"/>
              </w:rPr>
            </w:pPr>
            <w:r w:rsidRPr="0043709B">
              <w:rPr>
                <w:rFonts w:ascii="Arial Narrow" w:hAnsi="Arial Narrow" w:cs="Calibri"/>
                <w:sz w:val="16"/>
                <w:szCs w:val="16"/>
              </w:rPr>
              <w:t>89,5</w:t>
            </w:r>
          </w:p>
        </w:tc>
        <w:tc>
          <w:tcPr>
            <w:tcW w:w="1300" w:type="dxa"/>
            <w:tcBorders>
              <w:top w:val="nil"/>
              <w:left w:val="nil"/>
              <w:bottom w:val="single" w:sz="4" w:space="0" w:color="auto"/>
              <w:right w:val="single" w:sz="4" w:space="0" w:color="auto"/>
            </w:tcBorders>
            <w:shd w:val="clear" w:color="auto" w:fill="auto"/>
            <w:noWrap/>
            <w:vAlign w:val="center"/>
            <w:hideMark/>
          </w:tcPr>
          <w:p w14:paraId="33935DB7" w14:textId="77777777" w:rsidR="0043709B" w:rsidRPr="0043709B" w:rsidRDefault="0043709B" w:rsidP="0043709B">
            <w:pPr>
              <w:jc w:val="right"/>
              <w:rPr>
                <w:rFonts w:ascii="Arial Narrow" w:hAnsi="Arial Narrow" w:cs="Calibri"/>
                <w:sz w:val="16"/>
                <w:szCs w:val="16"/>
              </w:rPr>
            </w:pPr>
            <w:r w:rsidRPr="0043709B">
              <w:rPr>
                <w:rFonts w:ascii="Arial Narrow" w:hAnsi="Arial Narrow" w:cs="Calibri"/>
                <w:sz w:val="16"/>
                <w:szCs w:val="16"/>
              </w:rPr>
              <w:t>532,9</w:t>
            </w:r>
          </w:p>
        </w:tc>
        <w:tc>
          <w:tcPr>
            <w:tcW w:w="1220" w:type="dxa"/>
            <w:tcBorders>
              <w:top w:val="nil"/>
              <w:left w:val="nil"/>
              <w:bottom w:val="single" w:sz="4" w:space="0" w:color="auto"/>
              <w:right w:val="single" w:sz="4" w:space="0" w:color="auto"/>
            </w:tcBorders>
            <w:shd w:val="clear" w:color="auto" w:fill="auto"/>
            <w:noWrap/>
            <w:vAlign w:val="center"/>
            <w:hideMark/>
          </w:tcPr>
          <w:p w14:paraId="377EFA57" w14:textId="77777777" w:rsidR="0043709B" w:rsidRPr="0043709B" w:rsidRDefault="0043709B" w:rsidP="0043709B">
            <w:pPr>
              <w:jc w:val="right"/>
              <w:rPr>
                <w:rFonts w:ascii="Arial Narrow" w:hAnsi="Arial Narrow" w:cs="Calibri"/>
                <w:sz w:val="16"/>
                <w:szCs w:val="16"/>
              </w:rPr>
            </w:pPr>
            <w:r w:rsidRPr="0043709B">
              <w:rPr>
                <w:rFonts w:ascii="Arial Narrow" w:hAnsi="Arial Narrow" w:cs="Calibri"/>
                <w:sz w:val="16"/>
                <w:szCs w:val="16"/>
              </w:rPr>
              <w:t>102,8</w:t>
            </w:r>
          </w:p>
        </w:tc>
        <w:tc>
          <w:tcPr>
            <w:tcW w:w="1236" w:type="dxa"/>
            <w:tcBorders>
              <w:top w:val="nil"/>
              <w:left w:val="nil"/>
              <w:bottom w:val="single" w:sz="4" w:space="0" w:color="auto"/>
              <w:right w:val="single" w:sz="4" w:space="0" w:color="auto"/>
            </w:tcBorders>
            <w:shd w:val="clear" w:color="auto" w:fill="auto"/>
            <w:noWrap/>
            <w:vAlign w:val="center"/>
            <w:hideMark/>
          </w:tcPr>
          <w:p w14:paraId="1D56B2AD" w14:textId="77777777" w:rsidR="0043709B" w:rsidRPr="0043709B" w:rsidRDefault="0043709B" w:rsidP="0043709B">
            <w:pPr>
              <w:jc w:val="right"/>
              <w:rPr>
                <w:rFonts w:ascii="Arial Narrow" w:hAnsi="Arial Narrow" w:cs="Calibri"/>
                <w:sz w:val="16"/>
                <w:szCs w:val="16"/>
              </w:rPr>
            </w:pPr>
            <w:r w:rsidRPr="0043709B">
              <w:rPr>
                <w:rFonts w:ascii="Arial Narrow" w:hAnsi="Arial Narrow" w:cs="Calibri"/>
                <w:sz w:val="16"/>
                <w:szCs w:val="16"/>
              </w:rPr>
              <w:t>547,8</w:t>
            </w:r>
          </w:p>
        </w:tc>
        <w:tc>
          <w:tcPr>
            <w:tcW w:w="1260" w:type="dxa"/>
            <w:tcBorders>
              <w:top w:val="nil"/>
              <w:left w:val="nil"/>
              <w:bottom w:val="single" w:sz="4" w:space="0" w:color="auto"/>
              <w:right w:val="single" w:sz="4" w:space="0" w:color="auto"/>
            </w:tcBorders>
            <w:shd w:val="clear" w:color="auto" w:fill="auto"/>
            <w:noWrap/>
            <w:vAlign w:val="center"/>
            <w:hideMark/>
          </w:tcPr>
          <w:p w14:paraId="22114CE0" w14:textId="77777777" w:rsidR="0043709B" w:rsidRPr="0043709B" w:rsidRDefault="0043709B" w:rsidP="0043709B">
            <w:pPr>
              <w:jc w:val="right"/>
              <w:rPr>
                <w:rFonts w:ascii="Arial Narrow" w:hAnsi="Arial Narrow" w:cs="Arial"/>
                <w:sz w:val="16"/>
                <w:szCs w:val="16"/>
              </w:rPr>
            </w:pPr>
            <w:r w:rsidRPr="0043709B">
              <w:rPr>
                <w:rFonts w:ascii="Arial Narrow" w:hAnsi="Arial Narrow" w:cs="Arial"/>
                <w:sz w:val="16"/>
                <w:szCs w:val="16"/>
              </w:rPr>
              <w:t>92,0</w:t>
            </w:r>
          </w:p>
        </w:tc>
      </w:tr>
      <w:tr w:rsidR="0043709B" w:rsidRPr="0043709B" w14:paraId="5EE59056" w14:textId="77777777" w:rsidTr="0043709B">
        <w:trPr>
          <w:trHeight w:val="250"/>
        </w:trPr>
        <w:tc>
          <w:tcPr>
            <w:tcW w:w="781" w:type="dxa"/>
            <w:tcBorders>
              <w:top w:val="nil"/>
              <w:left w:val="single" w:sz="4" w:space="0" w:color="auto"/>
              <w:bottom w:val="single" w:sz="4" w:space="0" w:color="auto"/>
              <w:right w:val="single" w:sz="4" w:space="0" w:color="auto"/>
            </w:tcBorders>
            <w:shd w:val="clear" w:color="auto" w:fill="auto"/>
            <w:noWrap/>
            <w:vAlign w:val="center"/>
            <w:hideMark/>
          </w:tcPr>
          <w:p w14:paraId="118E3F54" w14:textId="77777777" w:rsidR="0043709B" w:rsidRPr="0043709B" w:rsidRDefault="0043709B" w:rsidP="0043709B">
            <w:pPr>
              <w:rPr>
                <w:rFonts w:ascii="Arial Narrow" w:hAnsi="Arial Narrow" w:cs="Arial"/>
                <w:sz w:val="16"/>
                <w:szCs w:val="16"/>
              </w:rPr>
            </w:pPr>
            <w:r w:rsidRPr="0043709B">
              <w:rPr>
                <w:rFonts w:ascii="Arial Narrow" w:hAnsi="Arial Narrow" w:cs="Arial"/>
                <w:sz w:val="16"/>
                <w:szCs w:val="16"/>
              </w:rPr>
              <w:t>19.10</w:t>
            </w:r>
          </w:p>
        </w:tc>
        <w:tc>
          <w:tcPr>
            <w:tcW w:w="3016" w:type="dxa"/>
            <w:tcBorders>
              <w:top w:val="nil"/>
              <w:left w:val="nil"/>
              <w:bottom w:val="single" w:sz="4" w:space="0" w:color="auto"/>
              <w:right w:val="single" w:sz="4" w:space="0" w:color="auto"/>
            </w:tcBorders>
            <w:shd w:val="clear" w:color="auto" w:fill="auto"/>
            <w:noWrap/>
            <w:vAlign w:val="center"/>
            <w:hideMark/>
          </w:tcPr>
          <w:p w14:paraId="19202E1E" w14:textId="77777777" w:rsidR="0043709B" w:rsidRPr="0043709B" w:rsidRDefault="0043709B" w:rsidP="0043709B">
            <w:pPr>
              <w:ind w:firstLineChars="100" w:firstLine="161"/>
              <w:rPr>
                <w:rFonts w:ascii="Arial Narrow" w:hAnsi="Arial Narrow" w:cs="Calibri"/>
                <w:b/>
                <w:bCs/>
                <w:sz w:val="16"/>
                <w:szCs w:val="16"/>
              </w:rPr>
            </w:pPr>
            <w:r w:rsidRPr="0043709B">
              <w:rPr>
                <w:rFonts w:ascii="Arial Narrow" w:hAnsi="Arial Narrow" w:cs="Calibri"/>
                <w:b/>
                <w:bCs/>
                <w:sz w:val="16"/>
                <w:szCs w:val="16"/>
              </w:rPr>
              <w:t>ФИЗИМ</w:t>
            </w:r>
          </w:p>
        </w:tc>
        <w:tc>
          <w:tcPr>
            <w:tcW w:w="1180" w:type="dxa"/>
            <w:tcBorders>
              <w:top w:val="nil"/>
              <w:left w:val="nil"/>
              <w:bottom w:val="single" w:sz="4" w:space="0" w:color="auto"/>
              <w:right w:val="single" w:sz="4" w:space="0" w:color="auto"/>
            </w:tcBorders>
            <w:shd w:val="clear" w:color="auto" w:fill="auto"/>
            <w:vAlign w:val="center"/>
          </w:tcPr>
          <w:p w14:paraId="0295FC02" w14:textId="77777777" w:rsidR="0043709B" w:rsidRPr="0043709B" w:rsidRDefault="0043709B" w:rsidP="0043709B">
            <w:pPr>
              <w:jc w:val="right"/>
              <w:rPr>
                <w:rFonts w:ascii="Arial Narrow" w:hAnsi="Arial Narrow" w:cs="Calibri"/>
                <w:sz w:val="16"/>
                <w:szCs w:val="16"/>
              </w:rPr>
            </w:pPr>
            <w:r w:rsidRPr="0043709B">
              <w:rPr>
                <w:rFonts w:ascii="Arial Narrow" w:hAnsi="Arial Narrow" w:cs="Calibri"/>
                <w:sz w:val="16"/>
                <w:szCs w:val="16"/>
              </w:rPr>
              <w:t>50,6</w:t>
            </w:r>
          </w:p>
        </w:tc>
        <w:tc>
          <w:tcPr>
            <w:tcW w:w="1170" w:type="dxa"/>
            <w:tcBorders>
              <w:top w:val="nil"/>
              <w:left w:val="nil"/>
              <w:bottom w:val="single" w:sz="4" w:space="0" w:color="auto"/>
              <w:right w:val="single" w:sz="4" w:space="0" w:color="auto"/>
            </w:tcBorders>
            <w:shd w:val="clear" w:color="auto" w:fill="auto"/>
            <w:noWrap/>
            <w:vAlign w:val="center"/>
            <w:hideMark/>
          </w:tcPr>
          <w:p w14:paraId="4EF19AAA" w14:textId="77777777" w:rsidR="0043709B" w:rsidRPr="0043709B" w:rsidRDefault="0043709B" w:rsidP="0043709B">
            <w:pPr>
              <w:jc w:val="right"/>
              <w:rPr>
                <w:rFonts w:ascii="Arial Narrow" w:hAnsi="Arial Narrow" w:cs="Calibri"/>
                <w:sz w:val="16"/>
                <w:szCs w:val="16"/>
              </w:rPr>
            </w:pPr>
            <w:r w:rsidRPr="0043709B">
              <w:rPr>
                <w:rFonts w:ascii="Arial Narrow" w:hAnsi="Arial Narrow" w:cs="Calibri"/>
                <w:sz w:val="16"/>
                <w:szCs w:val="16"/>
              </w:rPr>
              <w:t>103,2</w:t>
            </w:r>
          </w:p>
        </w:tc>
        <w:tc>
          <w:tcPr>
            <w:tcW w:w="1300" w:type="dxa"/>
            <w:tcBorders>
              <w:top w:val="nil"/>
              <w:left w:val="nil"/>
              <w:bottom w:val="single" w:sz="4" w:space="0" w:color="auto"/>
              <w:right w:val="single" w:sz="4" w:space="0" w:color="auto"/>
            </w:tcBorders>
            <w:shd w:val="clear" w:color="auto" w:fill="auto"/>
            <w:noWrap/>
            <w:vAlign w:val="center"/>
            <w:hideMark/>
          </w:tcPr>
          <w:p w14:paraId="25C73F9B" w14:textId="77777777" w:rsidR="0043709B" w:rsidRPr="0043709B" w:rsidRDefault="0043709B" w:rsidP="0043709B">
            <w:pPr>
              <w:jc w:val="right"/>
              <w:rPr>
                <w:rFonts w:ascii="Arial Narrow" w:hAnsi="Arial Narrow" w:cs="Calibri"/>
                <w:sz w:val="16"/>
                <w:szCs w:val="16"/>
              </w:rPr>
            </w:pPr>
            <w:r w:rsidRPr="0043709B">
              <w:rPr>
                <w:rFonts w:ascii="Arial Narrow" w:hAnsi="Arial Narrow" w:cs="Calibri"/>
                <w:sz w:val="16"/>
                <w:szCs w:val="16"/>
              </w:rPr>
              <w:t>52,2</w:t>
            </w:r>
          </w:p>
        </w:tc>
        <w:tc>
          <w:tcPr>
            <w:tcW w:w="1220" w:type="dxa"/>
            <w:tcBorders>
              <w:top w:val="nil"/>
              <w:left w:val="nil"/>
              <w:bottom w:val="single" w:sz="4" w:space="0" w:color="auto"/>
              <w:right w:val="single" w:sz="4" w:space="0" w:color="auto"/>
            </w:tcBorders>
            <w:shd w:val="clear" w:color="auto" w:fill="auto"/>
            <w:noWrap/>
            <w:vAlign w:val="center"/>
            <w:hideMark/>
          </w:tcPr>
          <w:p w14:paraId="67DFF19A" w14:textId="77777777" w:rsidR="0043709B" w:rsidRPr="0043709B" w:rsidRDefault="0043709B" w:rsidP="0043709B">
            <w:pPr>
              <w:jc w:val="right"/>
              <w:rPr>
                <w:rFonts w:ascii="Arial Narrow" w:hAnsi="Arial Narrow" w:cs="Calibri"/>
                <w:sz w:val="16"/>
                <w:szCs w:val="16"/>
              </w:rPr>
            </w:pPr>
            <w:r w:rsidRPr="0043709B">
              <w:rPr>
                <w:rFonts w:ascii="Arial Narrow" w:hAnsi="Arial Narrow" w:cs="Calibri"/>
                <w:sz w:val="16"/>
                <w:szCs w:val="16"/>
              </w:rPr>
              <w:t>102,9</w:t>
            </w:r>
          </w:p>
        </w:tc>
        <w:tc>
          <w:tcPr>
            <w:tcW w:w="1236" w:type="dxa"/>
            <w:tcBorders>
              <w:top w:val="nil"/>
              <w:left w:val="nil"/>
              <w:bottom w:val="single" w:sz="4" w:space="0" w:color="auto"/>
              <w:right w:val="single" w:sz="4" w:space="0" w:color="auto"/>
            </w:tcBorders>
            <w:shd w:val="clear" w:color="auto" w:fill="auto"/>
            <w:noWrap/>
            <w:vAlign w:val="center"/>
            <w:hideMark/>
          </w:tcPr>
          <w:p w14:paraId="1544880D" w14:textId="77777777" w:rsidR="0043709B" w:rsidRPr="0043709B" w:rsidRDefault="0043709B" w:rsidP="0043709B">
            <w:pPr>
              <w:jc w:val="right"/>
              <w:rPr>
                <w:rFonts w:ascii="Arial Narrow" w:hAnsi="Arial Narrow" w:cs="Calibri"/>
                <w:sz w:val="16"/>
                <w:szCs w:val="16"/>
              </w:rPr>
            </w:pPr>
            <w:r w:rsidRPr="0043709B">
              <w:rPr>
                <w:rFonts w:ascii="Arial Narrow" w:hAnsi="Arial Narrow" w:cs="Calibri"/>
                <w:sz w:val="16"/>
                <w:szCs w:val="16"/>
              </w:rPr>
              <w:t>53,7</w:t>
            </w:r>
          </w:p>
        </w:tc>
        <w:tc>
          <w:tcPr>
            <w:tcW w:w="1260" w:type="dxa"/>
            <w:tcBorders>
              <w:top w:val="nil"/>
              <w:left w:val="nil"/>
              <w:bottom w:val="single" w:sz="4" w:space="0" w:color="auto"/>
              <w:right w:val="single" w:sz="4" w:space="0" w:color="auto"/>
            </w:tcBorders>
            <w:shd w:val="clear" w:color="auto" w:fill="auto"/>
            <w:noWrap/>
            <w:vAlign w:val="center"/>
            <w:hideMark/>
          </w:tcPr>
          <w:p w14:paraId="01240BCE" w14:textId="77777777" w:rsidR="0043709B" w:rsidRPr="0043709B" w:rsidRDefault="0043709B" w:rsidP="0043709B">
            <w:pPr>
              <w:jc w:val="right"/>
              <w:rPr>
                <w:rFonts w:ascii="Arial Narrow" w:hAnsi="Arial Narrow" w:cs="Arial"/>
                <w:sz w:val="16"/>
                <w:szCs w:val="16"/>
              </w:rPr>
            </w:pPr>
            <w:r w:rsidRPr="0043709B">
              <w:rPr>
                <w:rFonts w:ascii="Arial Narrow" w:hAnsi="Arial Narrow" w:cs="Arial"/>
                <w:sz w:val="16"/>
                <w:szCs w:val="16"/>
              </w:rPr>
              <w:t>106,1</w:t>
            </w:r>
          </w:p>
        </w:tc>
      </w:tr>
      <w:tr w:rsidR="0043709B" w:rsidRPr="0043709B" w14:paraId="6722BFCA" w14:textId="77777777" w:rsidTr="0043709B">
        <w:trPr>
          <w:trHeight w:val="358"/>
        </w:trPr>
        <w:tc>
          <w:tcPr>
            <w:tcW w:w="781" w:type="dxa"/>
            <w:tcBorders>
              <w:top w:val="nil"/>
              <w:left w:val="single" w:sz="4" w:space="0" w:color="auto"/>
              <w:bottom w:val="single" w:sz="4" w:space="0" w:color="auto"/>
              <w:right w:val="single" w:sz="4" w:space="0" w:color="auto"/>
            </w:tcBorders>
            <w:shd w:val="clear" w:color="auto" w:fill="auto"/>
            <w:noWrap/>
            <w:vAlign w:val="center"/>
            <w:hideMark/>
          </w:tcPr>
          <w:p w14:paraId="27DF1D6B" w14:textId="77777777" w:rsidR="0043709B" w:rsidRPr="0043709B" w:rsidRDefault="0043709B" w:rsidP="0043709B">
            <w:pPr>
              <w:rPr>
                <w:rFonts w:ascii="Arial Narrow" w:hAnsi="Arial Narrow" w:cs="Arial"/>
                <w:sz w:val="16"/>
                <w:szCs w:val="16"/>
              </w:rPr>
            </w:pPr>
            <w:r w:rsidRPr="0043709B">
              <w:rPr>
                <w:rFonts w:ascii="Arial Narrow" w:hAnsi="Arial Narrow" w:cs="Arial"/>
                <w:sz w:val="16"/>
                <w:szCs w:val="16"/>
              </w:rPr>
              <w:t>19.11</w:t>
            </w:r>
          </w:p>
        </w:tc>
        <w:tc>
          <w:tcPr>
            <w:tcW w:w="3016" w:type="dxa"/>
            <w:tcBorders>
              <w:top w:val="nil"/>
              <w:left w:val="nil"/>
              <w:bottom w:val="single" w:sz="4" w:space="0" w:color="auto"/>
              <w:right w:val="single" w:sz="4" w:space="0" w:color="auto"/>
            </w:tcBorders>
            <w:shd w:val="clear" w:color="000000" w:fill="FFFFFF"/>
            <w:vAlign w:val="center"/>
            <w:hideMark/>
          </w:tcPr>
          <w:p w14:paraId="35785F93" w14:textId="77777777" w:rsidR="0043709B" w:rsidRPr="0043709B" w:rsidRDefault="0043709B" w:rsidP="0043709B">
            <w:pPr>
              <w:ind w:firstLineChars="100" w:firstLine="161"/>
              <w:rPr>
                <w:rFonts w:ascii="Arial Narrow" w:hAnsi="Arial Narrow" w:cs="Calibri"/>
                <w:b/>
                <w:bCs/>
                <w:sz w:val="16"/>
                <w:szCs w:val="16"/>
              </w:rPr>
            </w:pPr>
            <w:r w:rsidRPr="0043709B">
              <w:rPr>
                <w:rFonts w:ascii="Arial Narrow" w:hAnsi="Arial Narrow" w:cs="Calibri"/>
                <w:b/>
                <w:bCs/>
                <w:sz w:val="16"/>
                <w:szCs w:val="16"/>
              </w:rPr>
              <w:t>ДРУГИ СТОКИ И УСЛУГИ</w:t>
            </w:r>
          </w:p>
        </w:tc>
        <w:tc>
          <w:tcPr>
            <w:tcW w:w="1180" w:type="dxa"/>
            <w:tcBorders>
              <w:top w:val="nil"/>
              <w:left w:val="nil"/>
              <w:bottom w:val="single" w:sz="4" w:space="0" w:color="auto"/>
              <w:right w:val="single" w:sz="4" w:space="0" w:color="auto"/>
            </w:tcBorders>
            <w:shd w:val="clear" w:color="auto" w:fill="auto"/>
            <w:vAlign w:val="center"/>
          </w:tcPr>
          <w:p w14:paraId="65F74BBD" w14:textId="77777777" w:rsidR="0043709B" w:rsidRPr="0043709B" w:rsidRDefault="0043709B" w:rsidP="0043709B">
            <w:pPr>
              <w:jc w:val="right"/>
              <w:rPr>
                <w:rFonts w:ascii="Arial Narrow" w:hAnsi="Arial Narrow" w:cs="Calibri"/>
                <w:sz w:val="16"/>
                <w:szCs w:val="16"/>
              </w:rPr>
            </w:pPr>
            <w:r w:rsidRPr="0043709B">
              <w:rPr>
                <w:rFonts w:ascii="Arial Narrow" w:hAnsi="Arial Narrow" w:cs="Calibri"/>
                <w:sz w:val="16"/>
                <w:szCs w:val="16"/>
              </w:rPr>
              <w:t>425,4</w:t>
            </w:r>
          </w:p>
        </w:tc>
        <w:tc>
          <w:tcPr>
            <w:tcW w:w="1170" w:type="dxa"/>
            <w:tcBorders>
              <w:top w:val="nil"/>
              <w:left w:val="nil"/>
              <w:bottom w:val="single" w:sz="4" w:space="0" w:color="auto"/>
              <w:right w:val="single" w:sz="4" w:space="0" w:color="auto"/>
            </w:tcBorders>
            <w:shd w:val="clear" w:color="auto" w:fill="auto"/>
            <w:noWrap/>
            <w:vAlign w:val="center"/>
            <w:hideMark/>
          </w:tcPr>
          <w:p w14:paraId="5B217A7C" w14:textId="77777777" w:rsidR="0043709B" w:rsidRPr="0043709B" w:rsidRDefault="0043709B" w:rsidP="0043709B">
            <w:pPr>
              <w:jc w:val="right"/>
              <w:rPr>
                <w:rFonts w:ascii="Arial Narrow" w:hAnsi="Arial Narrow" w:cs="Calibri"/>
                <w:sz w:val="16"/>
                <w:szCs w:val="16"/>
              </w:rPr>
            </w:pPr>
            <w:r w:rsidRPr="0043709B">
              <w:rPr>
                <w:rFonts w:ascii="Arial Narrow" w:hAnsi="Arial Narrow" w:cs="Calibri"/>
                <w:sz w:val="16"/>
                <w:szCs w:val="16"/>
              </w:rPr>
              <w:t>87,9</w:t>
            </w:r>
          </w:p>
        </w:tc>
        <w:tc>
          <w:tcPr>
            <w:tcW w:w="1300" w:type="dxa"/>
            <w:tcBorders>
              <w:top w:val="nil"/>
              <w:left w:val="nil"/>
              <w:bottom w:val="single" w:sz="4" w:space="0" w:color="auto"/>
              <w:right w:val="single" w:sz="4" w:space="0" w:color="auto"/>
            </w:tcBorders>
            <w:shd w:val="clear" w:color="auto" w:fill="auto"/>
            <w:noWrap/>
            <w:vAlign w:val="center"/>
            <w:hideMark/>
          </w:tcPr>
          <w:p w14:paraId="2E64C54F" w14:textId="77777777" w:rsidR="0043709B" w:rsidRPr="0043709B" w:rsidRDefault="0043709B" w:rsidP="0043709B">
            <w:pPr>
              <w:jc w:val="right"/>
              <w:rPr>
                <w:rFonts w:ascii="Arial Narrow" w:hAnsi="Arial Narrow" w:cs="Calibri"/>
                <w:sz w:val="16"/>
                <w:szCs w:val="16"/>
              </w:rPr>
            </w:pPr>
            <w:r w:rsidRPr="0043709B">
              <w:rPr>
                <w:rFonts w:ascii="Arial Narrow" w:hAnsi="Arial Narrow" w:cs="Calibri"/>
                <w:sz w:val="16"/>
                <w:szCs w:val="16"/>
              </w:rPr>
              <w:t>374,0</w:t>
            </w:r>
          </w:p>
        </w:tc>
        <w:tc>
          <w:tcPr>
            <w:tcW w:w="1220" w:type="dxa"/>
            <w:tcBorders>
              <w:top w:val="nil"/>
              <w:left w:val="nil"/>
              <w:bottom w:val="single" w:sz="4" w:space="0" w:color="auto"/>
              <w:right w:val="single" w:sz="4" w:space="0" w:color="auto"/>
            </w:tcBorders>
            <w:shd w:val="clear" w:color="auto" w:fill="auto"/>
            <w:noWrap/>
            <w:vAlign w:val="center"/>
            <w:hideMark/>
          </w:tcPr>
          <w:p w14:paraId="6AF22E81" w14:textId="77777777" w:rsidR="0043709B" w:rsidRPr="0043709B" w:rsidRDefault="0043709B" w:rsidP="0043709B">
            <w:pPr>
              <w:jc w:val="right"/>
              <w:rPr>
                <w:rFonts w:ascii="Arial Narrow" w:hAnsi="Arial Narrow" w:cs="Calibri"/>
                <w:sz w:val="16"/>
                <w:szCs w:val="16"/>
              </w:rPr>
            </w:pPr>
            <w:r w:rsidRPr="0043709B">
              <w:rPr>
                <w:rFonts w:ascii="Arial Narrow" w:hAnsi="Arial Narrow" w:cs="Calibri"/>
                <w:sz w:val="16"/>
                <w:szCs w:val="16"/>
              </w:rPr>
              <w:t>102,8</w:t>
            </w:r>
          </w:p>
        </w:tc>
        <w:tc>
          <w:tcPr>
            <w:tcW w:w="1236" w:type="dxa"/>
            <w:tcBorders>
              <w:top w:val="nil"/>
              <w:left w:val="nil"/>
              <w:bottom w:val="single" w:sz="4" w:space="0" w:color="auto"/>
              <w:right w:val="single" w:sz="4" w:space="0" w:color="auto"/>
            </w:tcBorders>
            <w:shd w:val="clear" w:color="auto" w:fill="auto"/>
            <w:noWrap/>
            <w:vAlign w:val="center"/>
            <w:hideMark/>
          </w:tcPr>
          <w:p w14:paraId="67EEFDA7" w14:textId="77777777" w:rsidR="0043709B" w:rsidRPr="0043709B" w:rsidRDefault="0043709B" w:rsidP="0043709B">
            <w:pPr>
              <w:jc w:val="right"/>
              <w:rPr>
                <w:rFonts w:ascii="Arial Narrow" w:hAnsi="Arial Narrow" w:cs="Calibri"/>
                <w:sz w:val="16"/>
                <w:szCs w:val="16"/>
              </w:rPr>
            </w:pPr>
            <w:r w:rsidRPr="0043709B">
              <w:rPr>
                <w:rFonts w:ascii="Arial Narrow" w:hAnsi="Arial Narrow" w:cs="Calibri"/>
                <w:sz w:val="16"/>
                <w:szCs w:val="16"/>
              </w:rPr>
              <w:t>384,4</w:t>
            </w:r>
          </w:p>
        </w:tc>
        <w:tc>
          <w:tcPr>
            <w:tcW w:w="1260" w:type="dxa"/>
            <w:tcBorders>
              <w:top w:val="nil"/>
              <w:left w:val="nil"/>
              <w:bottom w:val="single" w:sz="4" w:space="0" w:color="auto"/>
              <w:right w:val="single" w:sz="4" w:space="0" w:color="auto"/>
            </w:tcBorders>
            <w:shd w:val="clear" w:color="auto" w:fill="auto"/>
            <w:noWrap/>
            <w:vAlign w:val="center"/>
            <w:hideMark/>
          </w:tcPr>
          <w:p w14:paraId="5685D3FF" w14:textId="77777777" w:rsidR="0043709B" w:rsidRPr="0043709B" w:rsidRDefault="0043709B" w:rsidP="0043709B">
            <w:pPr>
              <w:jc w:val="right"/>
              <w:rPr>
                <w:rFonts w:ascii="Arial Narrow" w:hAnsi="Arial Narrow" w:cs="Arial"/>
                <w:sz w:val="16"/>
                <w:szCs w:val="16"/>
              </w:rPr>
            </w:pPr>
            <w:r w:rsidRPr="0043709B">
              <w:rPr>
                <w:rFonts w:ascii="Arial Narrow" w:hAnsi="Arial Narrow" w:cs="Arial"/>
                <w:sz w:val="16"/>
                <w:szCs w:val="16"/>
              </w:rPr>
              <w:t>90,4</w:t>
            </w:r>
          </w:p>
        </w:tc>
      </w:tr>
      <w:tr w:rsidR="0043709B" w:rsidRPr="0043709B" w14:paraId="5B0E0404" w14:textId="77777777" w:rsidTr="0043709B">
        <w:trPr>
          <w:trHeight w:val="471"/>
        </w:trPr>
        <w:tc>
          <w:tcPr>
            <w:tcW w:w="781" w:type="dxa"/>
            <w:tcBorders>
              <w:top w:val="nil"/>
              <w:left w:val="single" w:sz="4" w:space="0" w:color="auto"/>
              <w:bottom w:val="single" w:sz="4" w:space="0" w:color="auto"/>
              <w:right w:val="single" w:sz="4" w:space="0" w:color="auto"/>
            </w:tcBorders>
            <w:shd w:val="clear" w:color="auto" w:fill="auto"/>
            <w:noWrap/>
            <w:vAlign w:val="center"/>
          </w:tcPr>
          <w:p w14:paraId="3B24A6A3" w14:textId="77777777" w:rsidR="0043709B" w:rsidRPr="0043709B" w:rsidRDefault="0043709B" w:rsidP="0043709B">
            <w:pPr>
              <w:rPr>
                <w:rFonts w:ascii="Arial Narrow" w:hAnsi="Arial Narrow" w:cs="Arial"/>
                <w:b/>
                <w:bCs/>
                <w:sz w:val="16"/>
                <w:szCs w:val="16"/>
              </w:rPr>
            </w:pPr>
            <w:r w:rsidRPr="0043709B">
              <w:rPr>
                <w:rFonts w:ascii="Arial Narrow" w:hAnsi="Arial Narrow" w:cs="Arial"/>
                <w:b/>
                <w:bCs/>
                <w:sz w:val="16"/>
                <w:szCs w:val="16"/>
              </w:rPr>
              <w:t>20</w:t>
            </w:r>
          </w:p>
        </w:tc>
        <w:tc>
          <w:tcPr>
            <w:tcW w:w="3016" w:type="dxa"/>
            <w:tcBorders>
              <w:top w:val="nil"/>
              <w:left w:val="nil"/>
              <w:bottom w:val="single" w:sz="4" w:space="0" w:color="auto"/>
              <w:right w:val="single" w:sz="4" w:space="0" w:color="auto"/>
            </w:tcBorders>
            <w:shd w:val="clear" w:color="000000" w:fill="FFFFFF"/>
            <w:vAlign w:val="center"/>
          </w:tcPr>
          <w:p w14:paraId="08199788" w14:textId="77777777" w:rsidR="0043709B" w:rsidRPr="0043709B" w:rsidRDefault="0043709B" w:rsidP="0043709B">
            <w:pPr>
              <w:rPr>
                <w:rFonts w:ascii="Arial Narrow" w:hAnsi="Arial Narrow" w:cs="Calibri"/>
                <w:b/>
                <w:bCs/>
                <w:sz w:val="16"/>
                <w:szCs w:val="16"/>
              </w:rPr>
            </w:pPr>
            <w:r w:rsidRPr="0043709B">
              <w:rPr>
                <w:rFonts w:ascii="Arial Narrow" w:hAnsi="Arial Narrow" w:cs="Calibri"/>
                <w:b/>
                <w:bCs/>
                <w:sz w:val="16"/>
                <w:szCs w:val="16"/>
              </w:rPr>
              <w:t>БРУТНА ДОБАВЕНА СТОЙНОСТ ПО БАЗИСНИ ЦЕНИ (18-19)</w:t>
            </w:r>
          </w:p>
        </w:tc>
        <w:tc>
          <w:tcPr>
            <w:tcW w:w="1180" w:type="dxa"/>
            <w:tcBorders>
              <w:top w:val="nil"/>
              <w:left w:val="nil"/>
              <w:bottom w:val="single" w:sz="4" w:space="0" w:color="auto"/>
              <w:right w:val="single" w:sz="4" w:space="0" w:color="auto"/>
            </w:tcBorders>
            <w:shd w:val="clear" w:color="000000" w:fill="FFFFFF"/>
            <w:vAlign w:val="center"/>
          </w:tcPr>
          <w:p w14:paraId="58D6E77D" w14:textId="77777777" w:rsidR="0043709B" w:rsidRPr="0043709B" w:rsidRDefault="0043709B" w:rsidP="0043709B">
            <w:pPr>
              <w:jc w:val="right"/>
              <w:rPr>
                <w:rFonts w:ascii="Arial Narrow" w:hAnsi="Arial Narrow" w:cs="Calibri"/>
                <w:b/>
                <w:bCs/>
                <w:sz w:val="16"/>
                <w:szCs w:val="16"/>
              </w:rPr>
            </w:pPr>
            <w:r w:rsidRPr="0043709B">
              <w:rPr>
                <w:rFonts w:ascii="Arial Narrow" w:hAnsi="Arial Narrow" w:cs="Calibri"/>
                <w:b/>
                <w:bCs/>
                <w:sz w:val="16"/>
                <w:szCs w:val="16"/>
              </w:rPr>
              <w:t>4 217,0</w:t>
            </w:r>
          </w:p>
        </w:tc>
        <w:tc>
          <w:tcPr>
            <w:tcW w:w="1170" w:type="dxa"/>
            <w:tcBorders>
              <w:top w:val="nil"/>
              <w:left w:val="nil"/>
              <w:bottom w:val="single" w:sz="4" w:space="0" w:color="auto"/>
              <w:right w:val="single" w:sz="4" w:space="0" w:color="auto"/>
            </w:tcBorders>
            <w:shd w:val="clear" w:color="000000" w:fill="FFFFFF"/>
            <w:noWrap/>
            <w:vAlign w:val="center"/>
          </w:tcPr>
          <w:p w14:paraId="477B9142" w14:textId="77777777" w:rsidR="0043709B" w:rsidRPr="0043709B" w:rsidRDefault="0043709B" w:rsidP="0043709B">
            <w:pPr>
              <w:jc w:val="right"/>
              <w:rPr>
                <w:rFonts w:ascii="Arial Narrow" w:hAnsi="Arial Narrow" w:cs="Calibri"/>
                <w:b/>
                <w:bCs/>
                <w:sz w:val="16"/>
                <w:szCs w:val="16"/>
              </w:rPr>
            </w:pPr>
            <w:r w:rsidRPr="0043709B">
              <w:rPr>
                <w:rFonts w:ascii="Arial Narrow" w:hAnsi="Arial Narrow" w:cs="Calibri"/>
                <w:b/>
                <w:bCs/>
                <w:sz w:val="16"/>
                <w:szCs w:val="16"/>
              </w:rPr>
              <w:t>102,3</w:t>
            </w:r>
          </w:p>
        </w:tc>
        <w:tc>
          <w:tcPr>
            <w:tcW w:w="1300" w:type="dxa"/>
            <w:tcBorders>
              <w:top w:val="nil"/>
              <w:left w:val="nil"/>
              <w:bottom w:val="single" w:sz="4" w:space="0" w:color="auto"/>
              <w:right w:val="single" w:sz="4" w:space="0" w:color="auto"/>
            </w:tcBorders>
            <w:shd w:val="clear" w:color="000000" w:fill="FFFFFF"/>
            <w:noWrap/>
            <w:vAlign w:val="center"/>
          </w:tcPr>
          <w:p w14:paraId="6A806B90" w14:textId="77777777" w:rsidR="0043709B" w:rsidRPr="0043709B" w:rsidRDefault="0043709B" w:rsidP="0043709B">
            <w:pPr>
              <w:jc w:val="right"/>
              <w:rPr>
                <w:rFonts w:ascii="Arial Narrow" w:hAnsi="Arial Narrow" w:cs="Calibri"/>
                <w:b/>
                <w:bCs/>
                <w:sz w:val="16"/>
                <w:szCs w:val="16"/>
              </w:rPr>
            </w:pPr>
            <w:r w:rsidRPr="0043709B">
              <w:rPr>
                <w:rFonts w:ascii="Arial Narrow" w:hAnsi="Arial Narrow" w:cs="Calibri"/>
                <w:b/>
                <w:bCs/>
                <w:sz w:val="16"/>
                <w:szCs w:val="16"/>
              </w:rPr>
              <w:t>4 313,3</w:t>
            </w:r>
          </w:p>
        </w:tc>
        <w:tc>
          <w:tcPr>
            <w:tcW w:w="1220" w:type="dxa"/>
            <w:tcBorders>
              <w:top w:val="nil"/>
              <w:left w:val="nil"/>
              <w:bottom w:val="single" w:sz="4" w:space="0" w:color="auto"/>
              <w:right w:val="single" w:sz="4" w:space="0" w:color="auto"/>
            </w:tcBorders>
            <w:shd w:val="clear" w:color="000000" w:fill="FFFFFF"/>
            <w:noWrap/>
            <w:vAlign w:val="center"/>
          </w:tcPr>
          <w:p w14:paraId="5BAB644E" w14:textId="77777777" w:rsidR="0043709B" w:rsidRPr="0043709B" w:rsidRDefault="0043709B" w:rsidP="0043709B">
            <w:pPr>
              <w:jc w:val="right"/>
              <w:rPr>
                <w:rFonts w:ascii="Arial Narrow" w:hAnsi="Arial Narrow" w:cs="Calibri"/>
                <w:b/>
                <w:bCs/>
                <w:sz w:val="16"/>
                <w:szCs w:val="16"/>
              </w:rPr>
            </w:pPr>
            <w:r w:rsidRPr="0043709B">
              <w:rPr>
                <w:rFonts w:ascii="Arial Narrow" w:hAnsi="Arial Narrow" w:cs="Calibri"/>
                <w:b/>
                <w:bCs/>
                <w:sz w:val="16"/>
                <w:szCs w:val="16"/>
              </w:rPr>
              <w:t>92,9</w:t>
            </w:r>
          </w:p>
        </w:tc>
        <w:tc>
          <w:tcPr>
            <w:tcW w:w="1236" w:type="dxa"/>
            <w:tcBorders>
              <w:top w:val="nil"/>
              <w:left w:val="nil"/>
              <w:bottom w:val="single" w:sz="4" w:space="0" w:color="auto"/>
              <w:right w:val="single" w:sz="4" w:space="0" w:color="auto"/>
            </w:tcBorders>
            <w:shd w:val="clear" w:color="000000" w:fill="FFFFFF"/>
            <w:noWrap/>
            <w:vAlign w:val="center"/>
          </w:tcPr>
          <w:p w14:paraId="5933DAE0" w14:textId="77777777" w:rsidR="0043709B" w:rsidRPr="0043709B" w:rsidRDefault="0043709B" w:rsidP="0043709B">
            <w:pPr>
              <w:jc w:val="right"/>
              <w:rPr>
                <w:rFonts w:ascii="Arial Narrow" w:hAnsi="Arial Narrow" w:cs="Calibri"/>
                <w:b/>
                <w:bCs/>
                <w:sz w:val="16"/>
                <w:szCs w:val="16"/>
              </w:rPr>
            </w:pPr>
            <w:r w:rsidRPr="0043709B">
              <w:rPr>
                <w:rFonts w:ascii="Arial Narrow" w:hAnsi="Arial Narrow" w:cs="Calibri"/>
                <w:b/>
                <w:bCs/>
                <w:sz w:val="16"/>
                <w:szCs w:val="16"/>
              </w:rPr>
              <w:t>4 006,7</w:t>
            </w:r>
          </w:p>
        </w:tc>
        <w:tc>
          <w:tcPr>
            <w:tcW w:w="1260" w:type="dxa"/>
            <w:tcBorders>
              <w:top w:val="nil"/>
              <w:left w:val="nil"/>
              <w:bottom w:val="single" w:sz="4" w:space="0" w:color="auto"/>
              <w:right w:val="single" w:sz="4" w:space="0" w:color="auto"/>
            </w:tcBorders>
            <w:shd w:val="clear" w:color="auto" w:fill="auto"/>
            <w:noWrap/>
            <w:vAlign w:val="center"/>
          </w:tcPr>
          <w:p w14:paraId="3560BBB6" w14:textId="77777777" w:rsidR="0043709B" w:rsidRPr="0043709B" w:rsidRDefault="0043709B" w:rsidP="0043709B">
            <w:pPr>
              <w:jc w:val="right"/>
              <w:rPr>
                <w:rFonts w:ascii="Arial Narrow" w:hAnsi="Arial Narrow" w:cs="Arial"/>
                <w:b/>
                <w:bCs/>
                <w:sz w:val="16"/>
                <w:szCs w:val="16"/>
              </w:rPr>
            </w:pPr>
            <w:r w:rsidRPr="0043709B">
              <w:rPr>
                <w:rFonts w:ascii="Arial Narrow" w:hAnsi="Arial Narrow" w:cs="Arial"/>
                <w:b/>
                <w:bCs/>
                <w:sz w:val="16"/>
                <w:szCs w:val="16"/>
              </w:rPr>
              <w:t>95,0</w:t>
            </w:r>
          </w:p>
        </w:tc>
      </w:tr>
    </w:tbl>
    <w:p w14:paraId="43BCF18F" w14:textId="77777777" w:rsidR="00012C3E" w:rsidRPr="00C1041D" w:rsidRDefault="00012C3E" w:rsidP="00012C3E">
      <w:pPr>
        <w:jc w:val="both"/>
        <w:rPr>
          <w:rFonts w:ascii="Arial Narrow" w:hAnsi="Arial Narrow"/>
          <w:i/>
          <w:sz w:val="18"/>
          <w:szCs w:val="18"/>
          <w:lang w:val="bg-BG"/>
        </w:rPr>
      </w:pPr>
      <w:r w:rsidRPr="00C1041D">
        <w:rPr>
          <w:rFonts w:ascii="Arial Narrow" w:hAnsi="Arial Narrow"/>
          <w:i/>
          <w:sz w:val="18"/>
          <w:szCs w:val="18"/>
          <w:lang w:val="bg-BG"/>
        </w:rPr>
        <w:t>Източник:</w:t>
      </w:r>
      <w:r w:rsidRPr="00C1041D">
        <w:rPr>
          <w:rFonts w:ascii="Arial Narrow" w:hAnsi="Arial Narrow"/>
          <w:b/>
          <w:i/>
          <w:sz w:val="18"/>
          <w:szCs w:val="18"/>
          <w:lang w:val="bg-BG"/>
        </w:rPr>
        <w:t xml:space="preserve"> </w:t>
      </w:r>
      <w:r w:rsidRPr="00C1041D">
        <w:rPr>
          <w:rFonts w:ascii="Arial Narrow" w:hAnsi="Arial Narrow"/>
          <w:sz w:val="18"/>
          <w:szCs w:val="18"/>
          <w:lang w:val="bg-BG"/>
        </w:rPr>
        <w:t>НСИ</w:t>
      </w:r>
      <w:r w:rsidRPr="00C1041D">
        <w:rPr>
          <w:rFonts w:ascii="Arial Narrow" w:hAnsi="Arial Narrow"/>
          <w:i/>
          <w:sz w:val="18"/>
          <w:szCs w:val="18"/>
          <w:lang w:val="bg-BG"/>
        </w:rPr>
        <w:tab/>
      </w:r>
    </w:p>
    <w:p w14:paraId="428BC833" w14:textId="77777777" w:rsidR="0043709B" w:rsidRPr="0043709B" w:rsidRDefault="0043709B" w:rsidP="0043709B">
      <w:pPr>
        <w:spacing w:after="120"/>
        <w:jc w:val="both"/>
        <w:rPr>
          <w:rFonts w:ascii="Arial Narrow" w:hAnsi="Arial Narrow"/>
          <w:sz w:val="16"/>
          <w:szCs w:val="16"/>
          <w:lang w:val="bg-BG"/>
        </w:rPr>
      </w:pPr>
      <w:r w:rsidRPr="00C1041D">
        <w:rPr>
          <w:rFonts w:ascii="Arial Narrow" w:hAnsi="Arial Narrow"/>
          <w:sz w:val="18"/>
          <w:szCs w:val="18"/>
          <w:lang w:val="bg-BG"/>
        </w:rPr>
        <w:tab/>
      </w:r>
      <w:r w:rsidRPr="0043709B">
        <w:rPr>
          <w:rFonts w:ascii="Arial Narrow" w:hAnsi="Arial Narrow"/>
          <w:b/>
          <w:sz w:val="18"/>
          <w:szCs w:val="18"/>
          <w:lang w:val="bg-BG"/>
        </w:rPr>
        <w:tab/>
      </w:r>
      <w:r w:rsidRPr="0043709B">
        <w:rPr>
          <w:rFonts w:ascii="Arial Narrow" w:hAnsi="Arial Narrow"/>
          <w:b/>
          <w:sz w:val="18"/>
          <w:szCs w:val="18"/>
          <w:lang w:val="bg-BG"/>
        </w:rPr>
        <w:tab/>
      </w:r>
      <w:r w:rsidRPr="0043709B">
        <w:rPr>
          <w:rFonts w:ascii="Arial Narrow" w:hAnsi="Arial Narrow"/>
          <w:b/>
          <w:sz w:val="18"/>
          <w:szCs w:val="18"/>
          <w:lang w:val="bg-BG"/>
        </w:rPr>
        <w:tab/>
      </w:r>
      <w:r w:rsidRPr="0043709B">
        <w:rPr>
          <w:rFonts w:ascii="Arial Narrow" w:hAnsi="Arial Narrow"/>
          <w:b/>
          <w:sz w:val="18"/>
          <w:szCs w:val="18"/>
          <w:lang w:val="bg-BG"/>
        </w:rPr>
        <w:tab/>
      </w:r>
      <w:r w:rsidRPr="0043709B">
        <w:rPr>
          <w:rFonts w:ascii="Arial Narrow" w:hAnsi="Arial Narrow"/>
          <w:b/>
          <w:sz w:val="18"/>
          <w:szCs w:val="18"/>
          <w:lang w:val="bg-BG"/>
        </w:rPr>
        <w:tab/>
      </w:r>
    </w:p>
    <w:p w14:paraId="078C30C9" w14:textId="77777777" w:rsidR="00012C3E" w:rsidRPr="0043709B" w:rsidRDefault="00012C3E" w:rsidP="00012C3E">
      <w:pPr>
        <w:spacing w:after="60"/>
        <w:rPr>
          <w:rFonts w:ascii="Arial Narrow" w:hAnsi="Arial Narrow"/>
          <w:b/>
          <w:i/>
          <w:sz w:val="18"/>
          <w:szCs w:val="18"/>
          <w:lang w:val="bg-BG"/>
        </w:rPr>
      </w:pPr>
    </w:p>
    <w:p w14:paraId="283843D9" w14:textId="77777777" w:rsidR="00012C3E" w:rsidRPr="00B10684" w:rsidRDefault="00012C3E" w:rsidP="00C53060">
      <w:pPr>
        <w:spacing w:after="120"/>
        <w:rPr>
          <w:rFonts w:ascii="Arial Narrow" w:hAnsi="Arial Narrow"/>
          <w:b/>
          <w:color w:val="FF0000"/>
          <w:sz w:val="18"/>
          <w:szCs w:val="18"/>
          <w:lang w:val="bg-BG"/>
        </w:rPr>
      </w:pPr>
    </w:p>
    <w:p w14:paraId="118F917C" w14:textId="77777777" w:rsidR="00012C3E" w:rsidRPr="00B10684" w:rsidRDefault="00012C3E" w:rsidP="00C53060">
      <w:pPr>
        <w:spacing w:after="120"/>
        <w:rPr>
          <w:rFonts w:ascii="Arial Narrow" w:hAnsi="Arial Narrow"/>
          <w:b/>
          <w:color w:val="FF0000"/>
          <w:sz w:val="18"/>
          <w:szCs w:val="18"/>
          <w:lang w:val="bg-BG"/>
        </w:rPr>
      </w:pPr>
    </w:p>
    <w:p w14:paraId="4BCCF79F" w14:textId="77777777" w:rsidR="00012C3E" w:rsidRPr="00B10684" w:rsidRDefault="00012C3E" w:rsidP="00C53060">
      <w:pPr>
        <w:spacing w:after="120"/>
        <w:rPr>
          <w:rFonts w:ascii="Arial Narrow" w:hAnsi="Arial Narrow"/>
          <w:b/>
          <w:color w:val="FF0000"/>
          <w:sz w:val="18"/>
          <w:szCs w:val="18"/>
          <w:lang w:val="bg-BG"/>
        </w:rPr>
      </w:pPr>
    </w:p>
    <w:p w14:paraId="114463BC" w14:textId="77777777" w:rsidR="00012C3E" w:rsidRPr="00B10684" w:rsidRDefault="00012C3E" w:rsidP="00C53060">
      <w:pPr>
        <w:spacing w:after="120"/>
        <w:rPr>
          <w:rFonts w:ascii="Arial Narrow" w:hAnsi="Arial Narrow"/>
          <w:b/>
          <w:color w:val="FF0000"/>
          <w:sz w:val="18"/>
          <w:szCs w:val="18"/>
          <w:lang w:val="bg-BG"/>
        </w:rPr>
      </w:pPr>
    </w:p>
    <w:p w14:paraId="07B2D607" w14:textId="77777777" w:rsidR="00012C3E" w:rsidRPr="00B10684" w:rsidRDefault="00012C3E" w:rsidP="00C53060">
      <w:pPr>
        <w:spacing w:after="120"/>
        <w:rPr>
          <w:rFonts w:ascii="Arial Narrow" w:hAnsi="Arial Narrow"/>
          <w:b/>
          <w:color w:val="FF0000"/>
          <w:sz w:val="18"/>
          <w:szCs w:val="18"/>
          <w:lang w:val="bg-BG"/>
        </w:rPr>
      </w:pPr>
    </w:p>
    <w:p w14:paraId="72C97CE4" w14:textId="77777777" w:rsidR="00C53060" w:rsidRPr="00B10684" w:rsidRDefault="00C53060" w:rsidP="00F90BCD">
      <w:pPr>
        <w:spacing w:after="120"/>
        <w:rPr>
          <w:rFonts w:ascii="Arial Narrow" w:hAnsi="Arial Narrow"/>
          <w:b/>
          <w:i/>
          <w:color w:val="FF0000"/>
          <w:sz w:val="18"/>
          <w:szCs w:val="18"/>
          <w:lang w:val="bg-BG"/>
        </w:rPr>
      </w:pPr>
    </w:p>
    <w:sectPr w:rsidR="00C53060" w:rsidRPr="00B10684" w:rsidSect="00CF10F2">
      <w:pgSz w:w="12240" w:h="15840"/>
      <w:pgMar w:top="992" w:right="333" w:bottom="567" w:left="1247"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B97CE8" w14:textId="77777777" w:rsidR="002E0DEF" w:rsidRDefault="002E0DEF" w:rsidP="00C86867">
      <w:r>
        <w:separator/>
      </w:r>
    </w:p>
  </w:endnote>
  <w:endnote w:type="continuationSeparator" w:id="0">
    <w:p w14:paraId="1B7DD9B2" w14:textId="77777777" w:rsidR="002E0DEF" w:rsidRDefault="002E0DEF" w:rsidP="00C868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CC"/>
    <w:family w:val="swiss"/>
    <w:pitch w:val="variable"/>
    <w:sig w:usb0="00000287" w:usb1="00000800" w:usb2="00000000" w:usb3="00000000" w:csb0="0000009F" w:csb1="00000000"/>
  </w:font>
  <w:font w:name="ArialNarrow">
    <w:altName w:val="Yu Gothic"/>
    <w:panose1 w:val="00000000000000000000"/>
    <w:charset w:val="80"/>
    <w:family w:val="auto"/>
    <w:notTrueType/>
    <w:pitch w:val="default"/>
    <w:sig w:usb0="00000001" w:usb1="08070000" w:usb2="00000010" w:usb3="00000000" w:csb0="0002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EUAlbertina">
    <w:altName w:val="Times New Roman"/>
    <w:panose1 w:val="00000000000000000000"/>
    <w:charset w:val="CC"/>
    <w:family w:val="roman"/>
    <w:notTrueType/>
    <w:pitch w:val="default"/>
    <w:sig w:usb0="00000203" w:usb1="00000000" w:usb2="00000000" w:usb3="00000000" w:csb0="00000005" w:csb1="00000000"/>
  </w:font>
  <w:font w:name="Hebar">
    <w:altName w:val="Courier New"/>
    <w:charset w:val="00"/>
    <w:family w:val="swiss"/>
    <w:pitch w:val="variable"/>
    <w:sig w:usb0="00000003" w:usb1="00000000" w:usb2="00000000" w:usb3="00000000" w:csb0="00000001" w:csb1="00000000"/>
  </w:font>
  <w:font w:name="Sentry">
    <w:altName w:val="Courier New"/>
    <w:charset w:val="00"/>
    <w:family w:val="swiss"/>
    <w:pitch w:val="variable"/>
    <w:sig w:usb0="00000003" w:usb1="00000000" w:usb2="00000000" w:usb3="00000000" w:csb0="00000001" w:csb1="00000000"/>
  </w:font>
  <w:font w:name="TimokU">
    <w:charset w:val="00"/>
    <w:family w:val="auto"/>
    <w:pitch w:val="variable"/>
    <w:sig w:usb0="00000287" w:usb1="00000000" w:usb2="00000000" w:usb3="00000000" w:csb0="0000009F" w:csb1="00000000"/>
  </w:font>
  <w:font w:name="HebarU">
    <w:altName w:val="Calibri"/>
    <w:charset w:val="00"/>
    <w:family w:val="auto"/>
    <w:pitch w:val="variable"/>
    <w:sig w:usb0="00000001"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SP_Helicon_Narrow">
    <w:altName w:val="Arial Narrow"/>
    <w:panose1 w:val="00000000000000000000"/>
    <w:charset w:val="00"/>
    <w:family w:val="swiss"/>
    <w:notTrueType/>
    <w:pitch w:val="variable"/>
    <w:sig w:usb0="00000003" w:usb1="00000000" w:usb2="00000000" w:usb3="00000000" w:csb0="00000001" w:csb1="00000000"/>
  </w:font>
  <w:font w:name="A4p">
    <w:altName w:val="Arial"/>
    <w:charset w:val="CC"/>
    <w:family w:val="swiss"/>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ArialNarrow-Bold">
    <w:altName w:val="Times New Roman"/>
    <w:panose1 w:val="00000000000000000000"/>
    <w:charset w:val="CC"/>
    <w:family w:val="auto"/>
    <w:notTrueType/>
    <w:pitch w:val="default"/>
    <w:sig w:usb0="00000203" w:usb1="00000000" w:usb2="00000000" w:usb3="00000000" w:csb0="00000005" w:csb1="00000000"/>
  </w:font>
  <w:font w:name="TimesNewRoman">
    <w:altName w:val="Arial Unicode MS"/>
    <w:panose1 w:val="00000000000000000000"/>
    <w:charset w:val="00"/>
    <w:family w:val="roman"/>
    <w:notTrueType/>
    <w:pitch w:val="default"/>
    <w:sig w:usb0="00000003" w:usb1="08070000" w:usb2="00000010" w:usb3="00000000" w:csb0="00020001" w:csb1="00000000"/>
  </w:font>
  <w:font w:name="TimesNewRomanUnicode,Italic">
    <w:panose1 w:val="00000000000000000000"/>
    <w:charset w:val="CC"/>
    <w:family w:val="auto"/>
    <w:notTrueType/>
    <w:pitch w:val="default"/>
    <w:sig w:usb0="00000201" w:usb1="00000000" w:usb2="00000000" w:usb3="00000000" w:csb0="00000004" w:csb1="00000000"/>
  </w:font>
  <w:font w:name="TimesNewRomanUnicode,Bold,Itali">
    <w:panose1 w:val="00000000000000000000"/>
    <w:charset w:val="CC"/>
    <w:family w:val="auto"/>
    <w:notTrueType/>
    <w:pitch w:val="default"/>
    <w:sig w:usb0="00000201" w:usb1="00000000" w:usb2="00000000" w:usb3="00000000" w:csb0="00000004" w:csb1="00000000"/>
  </w:font>
  <w:font w:name="ArialNarrow,Bold">
    <w:altName w:val="Arial"/>
    <w:panose1 w:val="00000000000000000000"/>
    <w:charset w:val="00"/>
    <w:family w:val="swiss"/>
    <w:notTrueType/>
    <w:pitch w:val="default"/>
    <w:sig w:usb0="00000203" w:usb1="00000000" w:usb2="00000000" w:usb3="00000000" w:csb0="00000005" w:csb1="00000000"/>
  </w:font>
  <w:font w:name="Bahnschrift SemiLight SemiConde">
    <w:panose1 w:val="020B0502040204020203"/>
    <w:charset w:val="CC"/>
    <w:family w:val="swiss"/>
    <w:pitch w:val="variable"/>
    <w:sig w:usb0="A00002C7" w:usb1="00000002" w:usb2="00000000" w:usb3="00000000" w:csb0="0000019F" w:csb1="00000000"/>
  </w:font>
  <w:font w:name="All Times New Roman">
    <w:altName w:val="Times New Roman"/>
    <w:panose1 w:val="00000000000000000000"/>
    <w:charset w:val="CC"/>
    <w:family w:val="roman"/>
    <w:notTrueType/>
    <w:pitch w:val="variable"/>
    <w:sig w:usb0="00000203" w:usb1="00000000" w:usb2="00000000" w:usb3="00000000" w:csb0="00000005" w:csb1="00000000"/>
  </w:font>
  <w:font w:name="Bahnschrift Light SemiCondensed">
    <w:panose1 w:val="020B0502040204020203"/>
    <w:charset w:val="CC"/>
    <w:family w:val="swiss"/>
    <w:pitch w:val="variable"/>
    <w:sig w:usb0="A00002C7" w:usb1="00000002" w:usb2="00000000" w:usb3="00000000" w:csb0="0000019F" w:csb1="00000000"/>
  </w:font>
  <w:font w:name="Calibri Light">
    <w:panose1 w:val="020F0302020204030204"/>
    <w:charset w:val="CC"/>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31171947"/>
      <w:docPartObj>
        <w:docPartGallery w:val="Page Numbers (Bottom of Page)"/>
        <w:docPartUnique/>
      </w:docPartObj>
    </w:sdtPr>
    <w:sdtEndPr>
      <w:rPr>
        <w:rFonts w:ascii="Arial Narrow" w:hAnsi="Arial Narrow"/>
        <w:noProof/>
        <w:sz w:val="20"/>
      </w:rPr>
    </w:sdtEndPr>
    <w:sdtContent>
      <w:p w14:paraId="49D504F4" w14:textId="77777777" w:rsidR="00211D64" w:rsidRPr="00A506D2" w:rsidRDefault="00211D64">
        <w:pPr>
          <w:pStyle w:val="Footer"/>
          <w:jc w:val="right"/>
          <w:rPr>
            <w:rFonts w:ascii="Arial Narrow" w:hAnsi="Arial Narrow"/>
            <w:sz w:val="20"/>
          </w:rPr>
        </w:pPr>
        <w:r w:rsidRPr="00A506D2">
          <w:rPr>
            <w:rFonts w:ascii="Arial Narrow" w:hAnsi="Arial Narrow"/>
            <w:sz w:val="20"/>
          </w:rPr>
          <w:fldChar w:fldCharType="begin"/>
        </w:r>
        <w:r w:rsidRPr="00A506D2">
          <w:rPr>
            <w:rFonts w:ascii="Arial Narrow" w:hAnsi="Arial Narrow"/>
            <w:sz w:val="20"/>
          </w:rPr>
          <w:instrText xml:space="preserve"> PAGE   \* MERGEFORMAT </w:instrText>
        </w:r>
        <w:r w:rsidRPr="00A506D2">
          <w:rPr>
            <w:rFonts w:ascii="Arial Narrow" w:hAnsi="Arial Narrow"/>
            <w:sz w:val="20"/>
          </w:rPr>
          <w:fldChar w:fldCharType="separate"/>
        </w:r>
        <w:r w:rsidR="004B1E8C">
          <w:rPr>
            <w:rFonts w:ascii="Arial Narrow" w:hAnsi="Arial Narrow"/>
            <w:noProof/>
            <w:sz w:val="20"/>
          </w:rPr>
          <w:t>268</w:t>
        </w:r>
        <w:r w:rsidRPr="00A506D2">
          <w:rPr>
            <w:rFonts w:ascii="Arial Narrow" w:hAnsi="Arial Narrow"/>
            <w:noProof/>
            <w:sz w:val="20"/>
          </w:rPr>
          <w:fldChar w:fldCharType="end"/>
        </w:r>
      </w:p>
    </w:sdtContent>
  </w:sdt>
  <w:p w14:paraId="0C2BE0CE" w14:textId="77777777" w:rsidR="00211D64" w:rsidRDefault="00211D6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F0FB06" w14:textId="77777777" w:rsidR="002E0DEF" w:rsidRDefault="002E0DEF" w:rsidP="00C86867">
      <w:r>
        <w:separator/>
      </w:r>
    </w:p>
  </w:footnote>
  <w:footnote w:type="continuationSeparator" w:id="0">
    <w:p w14:paraId="59BCB138" w14:textId="77777777" w:rsidR="002E0DEF" w:rsidRDefault="002E0DEF" w:rsidP="00C8686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47F95C" w14:textId="77777777" w:rsidR="00211D64" w:rsidRDefault="00211D64" w:rsidP="007B5F49">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07F5A"/>
    <w:multiLevelType w:val="hybridMultilevel"/>
    <w:tmpl w:val="0062F352"/>
    <w:lvl w:ilvl="0" w:tplc="C7C2D660">
      <w:numFmt w:val="bullet"/>
      <w:lvlText w:val="-"/>
      <w:lvlJc w:val="left"/>
      <w:pPr>
        <w:ind w:left="720" w:hanging="360"/>
      </w:pPr>
      <w:rPr>
        <w:rFonts w:ascii="Times New Roman" w:eastAsia="Times New Roman" w:hAnsi="Times New Roman" w:cs="Times New Roman" w:hint="default"/>
        <w:b/>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FA1233"/>
    <w:multiLevelType w:val="hybridMultilevel"/>
    <w:tmpl w:val="BF906FC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B93FDC"/>
    <w:multiLevelType w:val="hybridMultilevel"/>
    <w:tmpl w:val="846A5272"/>
    <w:lvl w:ilvl="0" w:tplc="6FD25606">
      <w:start w:val="2"/>
      <w:numFmt w:val="bullet"/>
      <w:lvlText w:val="-"/>
      <w:lvlJc w:val="left"/>
      <w:pPr>
        <w:ind w:left="1068" w:hanging="360"/>
      </w:pPr>
      <w:rPr>
        <w:rFonts w:ascii="Arial Narrow" w:eastAsia="Times New Roman" w:hAnsi="Arial Narrow" w:cs="Times New Roman" w:hint="default"/>
        <w:b w:val="0"/>
        <w:u w:val="none"/>
      </w:rPr>
    </w:lvl>
    <w:lvl w:ilvl="1" w:tplc="04020003" w:tentative="1">
      <w:start w:val="1"/>
      <w:numFmt w:val="bullet"/>
      <w:lvlText w:val="o"/>
      <w:lvlJc w:val="left"/>
      <w:pPr>
        <w:ind w:left="1788" w:hanging="360"/>
      </w:pPr>
      <w:rPr>
        <w:rFonts w:ascii="Courier New" w:hAnsi="Courier New" w:cs="Courier New" w:hint="default"/>
      </w:rPr>
    </w:lvl>
    <w:lvl w:ilvl="2" w:tplc="04020005" w:tentative="1">
      <w:start w:val="1"/>
      <w:numFmt w:val="bullet"/>
      <w:lvlText w:val=""/>
      <w:lvlJc w:val="left"/>
      <w:pPr>
        <w:ind w:left="2508" w:hanging="360"/>
      </w:pPr>
      <w:rPr>
        <w:rFonts w:ascii="Wingdings" w:hAnsi="Wingdings" w:hint="default"/>
      </w:rPr>
    </w:lvl>
    <w:lvl w:ilvl="3" w:tplc="04020001" w:tentative="1">
      <w:start w:val="1"/>
      <w:numFmt w:val="bullet"/>
      <w:lvlText w:val=""/>
      <w:lvlJc w:val="left"/>
      <w:pPr>
        <w:ind w:left="3228" w:hanging="360"/>
      </w:pPr>
      <w:rPr>
        <w:rFonts w:ascii="Symbol" w:hAnsi="Symbol" w:hint="default"/>
      </w:rPr>
    </w:lvl>
    <w:lvl w:ilvl="4" w:tplc="04020003" w:tentative="1">
      <w:start w:val="1"/>
      <w:numFmt w:val="bullet"/>
      <w:lvlText w:val="o"/>
      <w:lvlJc w:val="left"/>
      <w:pPr>
        <w:ind w:left="3948" w:hanging="360"/>
      </w:pPr>
      <w:rPr>
        <w:rFonts w:ascii="Courier New" w:hAnsi="Courier New" w:cs="Courier New" w:hint="default"/>
      </w:rPr>
    </w:lvl>
    <w:lvl w:ilvl="5" w:tplc="04020005" w:tentative="1">
      <w:start w:val="1"/>
      <w:numFmt w:val="bullet"/>
      <w:lvlText w:val=""/>
      <w:lvlJc w:val="left"/>
      <w:pPr>
        <w:ind w:left="4668" w:hanging="360"/>
      </w:pPr>
      <w:rPr>
        <w:rFonts w:ascii="Wingdings" w:hAnsi="Wingdings" w:hint="default"/>
      </w:rPr>
    </w:lvl>
    <w:lvl w:ilvl="6" w:tplc="04020001" w:tentative="1">
      <w:start w:val="1"/>
      <w:numFmt w:val="bullet"/>
      <w:lvlText w:val=""/>
      <w:lvlJc w:val="left"/>
      <w:pPr>
        <w:ind w:left="5388" w:hanging="360"/>
      </w:pPr>
      <w:rPr>
        <w:rFonts w:ascii="Symbol" w:hAnsi="Symbol" w:hint="default"/>
      </w:rPr>
    </w:lvl>
    <w:lvl w:ilvl="7" w:tplc="04020003" w:tentative="1">
      <w:start w:val="1"/>
      <w:numFmt w:val="bullet"/>
      <w:lvlText w:val="o"/>
      <w:lvlJc w:val="left"/>
      <w:pPr>
        <w:ind w:left="6108" w:hanging="360"/>
      </w:pPr>
      <w:rPr>
        <w:rFonts w:ascii="Courier New" w:hAnsi="Courier New" w:cs="Courier New" w:hint="default"/>
      </w:rPr>
    </w:lvl>
    <w:lvl w:ilvl="8" w:tplc="04020005" w:tentative="1">
      <w:start w:val="1"/>
      <w:numFmt w:val="bullet"/>
      <w:lvlText w:val=""/>
      <w:lvlJc w:val="left"/>
      <w:pPr>
        <w:ind w:left="6828" w:hanging="360"/>
      </w:pPr>
      <w:rPr>
        <w:rFonts w:ascii="Wingdings" w:hAnsi="Wingdings" w:hint="default"/>
      </w:rPr>
    </w:lvl>
  </w:abstractNum>
  <w:abstractNum w:abstractNumId="3" w15:restartNumberingAfterBreak="0">
    <w:nsid w:val="0AA871C5"/>
    <w:multiLevelType w:val="multilevel"/>
    <w:tmpl w:val="B98CCE18"/>
    <w:numStyleLink w:val="Style1"/>
  </w:abstractNum>
  <w:abstractNum w:abstractNumId="4" w15:restartNumberingAfterBreak="0">
    <w:nsid w:val="0C875746"/>
    <w:multiLevelType w:val="hybridMultilevel"/>
    <w:tmpl w:val="2D6026DA"/>
    <w:lvl w:ilvl="0" w:tplc="04090001">
      <w:start w:val="1"/>
      <w:numFmt w:val="bullet"/>
      <w:lvlText w:val=""/>
      <w:lvlJc w:val="left"/>
      <w:pPr>
        <w:ind w:left="720" w:hanging="360"/>
      </w:pPr>
      <w:rPr>
        <w:rFonts w:ascii="Symbol" w:hAnsi="Symbol" w:hint="default"/>
      </w:rPr>
    </w:lvl>
    <w:lvl w:ilvl="1" w:tplc="E6340912">
      <w:numFmt w:val="bullet"/>
      <w:lvlText w:val="-"/>
      <w:lvlJc w:val="left"/>
      <w:pPr>
        <w:ind w:left="1590" w:hanging="510"/>
      </w:pPr>
      <w:rPr>
        <w:rFonts w:ascii="Arial Narrow" w:eastAsia="Times New Roman" w:hAnsi="Arial Narrow" w:cs="ArialNarro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E242B9F"/>
    <w:multiLevelType w:val="hybridMultilevel"/>
    <w:tmpl w:val="57AE2E0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0E6160F0"/>
    <w:multiLevelType w:val="hybridMultilevel"/>
    <w:tmpl w:val="2C60C4C0"/>
    <w:styleLink w:val="111111"/>
    <w:lvl w:ilvl="0" w:tplc="04090001">
      <w:start w:val="1"/>
      <w:numFmt w:val="bullet"/>
      <w:lvlText w:val=""/>
      <w:lvlJc w:val="left"/>
      <w:pPr>
        <w:ind w:left="1077" w:hanging="360"/>
      </w:pPr>
      <w:rPr>
        <w:rFonts w:ascii="Symbol" w:hAnsi="Symbol" w:hint="default"/>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7" w15:restartNumberingAfterBreak="0">
    <w:nsid w:val="10F3623E"/>
    <w:multiLevelType w:val="multilevel"/>
    <w:tmpl w:val="6B005BC4"/>
    <w:lvl w:ilvl="0">
      <w:start w:val="12"/>
      <w:numFmt w:val="decimal"/>
      <w:lvlText w:val="%1."/>
      <w:lvlJc w:val="left"/>
      <w:pPr>
        <w:ind w:left="435" w:hanging="435"/>
      </w:pPr>
      <w:rPr>
        <w:rFonts w:hint="default"/>
      </w:rPr>
    </w:lvl>
    <w:lvl w:ilvl="1">
      <w:start w:val="1"/>
      <w:numFmt w:val="decimal"/>
      <w:lvlText w:val="%1.%2."/>
      <w:lvlJc w:val="left"/>
      <w:pPr>
        <w:ind w:left="795" w:hanging="43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8" w15:restartNumberingAfterBreak="0">
    <w:nsid w:val="119D65C9"/>
    <w:multiLevelType w:val="hybridMultilevel"/>
    <w:tmpl w:val="88AC933A"/>
    <w:lvl w:ilvl="0" w:tplc="12D4BC76">
      <w:numFmt w:val="bullet"/>
      <w:lvlText w:val="-"/>
      <w:lvlJc w:val="left"/>
      <w:pPr>
        <w:ind w:left="720" w:hanging="360"/>
      </w:pPr>
      <w:rPr>
        <w:rFonts w:ascii="Arial Narrow" w:eastAsia="Times New Roman" w:hAnsi="Arial Narrow" w:hint="default"/>
        <w:sz w:val="22"/>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9" w15:restartNumberingAfterBreak="0">
    <w:nsid w:val="135B4B1A"/>
    <w:multiLevelType w:val="hybridMultilevel"/>
    <w:tmpl w:val="0CF460CA"/>
    <w:lvl w:ilvl="0" w:tplc="9308009A">
      <w:start w:val="1"/>
      <w:numFmt w:val="bullet"/>
      <w:lvlText w:val=""/>
      <w:lvlJc w:val="left"/>
      <w:pPr>
        <w:ind w:left="1080" w:hanging="360"/>
      </w:pPr>
      <w:rPr>
        <w:rFonts w:ascii="Symbol" w:hAnsi="Symbol" w:hint="default"/>
        <w:sz w:val="2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1603165D"/>
    <w:multiLevelType w:val="hybridMultilevel"/>
    <w:tmpl w:val="312A7C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6D76701"/>
    <w:multiLevelType w:val="hybridMultilevel"/>
    <w:tmpl w:val="B06CAD9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76B1707"/>
    <w:multiLevelType w:val="hybridMultilevel"/>
    <w:tmpl w:val="A4EA484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8483E07"/>
    <w:multiLevelType w:val="hybridMultilevel"/>
    <w:tmpl w:val="8B8635DE"/>
    <w:lvl w:ilvl="0" w:tplc="B29C9592">
      <w:start w:val="1"/>
      <w:numFmt w:val="bullet"/>
      <w:lvlText w:val="-"/>
      <w:lvlJc w:val="left"/>
      <w:pPr>
        <w:ind w:left="450" w:hanging="360"/>
      </w:pPr>
      <w:rPr>
        <w:rFonts w:ascii="Arial Narrow" w:eastAsia="Times New Roman" w:hAnsi="Arial Narrow" w:cs="Arial Narrow" w:hint="default"/>
      </w:rPr>
    </w:lvl>
    <w:lvl w:ilvl="1" w:tplc="04020003" w:tentative="1">
      <w:start w:val="1"/>
      <w:numFmt w:val="bullet"/>
      <w:lvlText w:val="o"/>
      <w:lvlJc w:val="left"/>
      <w:pPr>
        <w:ind w:left="1170" w:hanging="360"/>
      </w:pPr>
      <w:rPr>
        <w:rFonts w:ascii="Courier New" w:hAnsi="Courier New" w:cs="Courier New" w:hint="default"/>
      </w:rPr>
    </w:lvl>
    <w:lvl w:ilvl="2" w:tplc="04020005" w:tentative="1">
      <w:start w:val="1"/>
      <w:numFmt w:val="bullet"/>
      <w:lvlText w:val=""/>
      <w:lvlJc w:val="left"/>
      <w:pPr>
        <w:ind w:left="1890" w:hanging="360"/>
      </w:pPr>
      <w:rPr>
        <w:rFonts w:ascii="Wingdings" w:hAnsi="Wingdings" w:hint="default"/>
      </w:rPr>
    </w:lvl>
    <w:lvl w:ilvl="3" w:tplc="04020001" w:tentative="1">
      <w:start w:val="1"/>
      <w:numFmt w:val="bullet"/>
      <w:lvlText w:val=""/>
      <w:lvlJc w:val="left"/>
      <w:pPr>
        <w:ind w:left="2610" w:hanging="360"/>
      </w:pPr>
      <w:rPr>
        <w:rFonts w:ascii="Symbol" w:hAnsi="Symbol" w:hint="default"/>
      </w:rPr>
    </w:lvl>
    <w:lvl w:ilvl="4" w:tplc="04020003" w:tentative="1">
      <w:start w:val="1"/>
      <w:numFmt w:val="bullet"/>
      <w:lvlText w:val="o"/>
      <w:lvlJc w:val="left"/>
      <w:pPr>
        <w:ind w:left="3330" w:hanging="360"/>
      </w:pPr>
      <w:rPr>
        <w:rFonts w:ascii="Courier New" w:hAnsi="Courier New" w:cs="Courier New" w:hint="default"/>
      </w:rPr>
    </w:lvl>
    <w:lvl w:ilvl="5" w:tplc="04020005" w:tentative="1">
      <w:start w:val="1"/>
      <w:numFmt w:val="bullet"/>
      <w:lvlText w:val=""/>
      <w:lvlJc w:val="left"/>
      <w:pPr>
        <w:ind w:left="4050" w:hanging="360"/>
      </w:pPr>
      <w:rPr>
        <w:rFonts w:ascii="Wingdings" w:hAnsi="Wingdings" w:hint="default"/>
      </w:rPr>
    </w:lvl>
    <w:lvl w:ilvl="6" w:tplc="04020001" w:tentative="1">
      <w:start w:val="1"/>
      <w:numFmt w:val="bullet"/>
      <w:lvlText w:val=""/>
      <w:lvlJc w:val="left"/>
      <w:pPr>
        <w:ind w:left="4770" w:hanging="360"/>
      </w:pPr>
      <w:rPr>
        <w:rFonts w:ascii="Symbol" w:hAnsi="Symbol" w:hint="default"/>
      </w:rPr>
    </w:lvl>
    <w:lvl w:ilvl="7" w:tplc="04020003" w:tentative="1">
      <w:start w:val="1"/>
      <w:numFmt w:val="bullet"/>
      <w:lvlText w:val="o"/>
      <w:lvlJc w:val="left"/>
      <w:pPr>
        <w:ind w:left="5490" w:hanging="360"/>
      </w:pPr>
      <w:rPr>
        <w:rFonts w:ascii="Courier New" w:hAnsi="Courier New" w:cs="Courier New" w:hint="default"/>
      </w:rPr>
    </w:lvl>
    <w:lvl w:ilvl="8" w:tplc="04020005" w:tentative="1">
      <w:start w:val="1"/>
      <w:numFmt w:val="bullet"/>
      <w:lvlText w:val=""/>
      <w:lvlJc w:val="left"/>
      <w:pPr>
        <w:ind w:left="6210" w:hanging="360"/>
      </w:pPr>
      <w:rPr>
        <w:rFonts w:ascii="Wingdings" w:hAnsi="Wingdings" w:hint="default"/>
      </w:rPr>
    </w:lvl>
  </w:abstractNum>
  <w:abstractNum w:abstractNumId="14" w15:restartNumberingAfterBreak="0">
    <w:nsid w:val="18A52710"/>
    <w:multiLevelType w:val="hybridMultilevel"/>
    <w:tmpl w:val="982C35AC"/>
    <w:lvl w:ilvl="0" w:tplc="9126E892">
      <w:start w:val="3"/>
      <w:numFmt w:val="bullet"/>
      <w:lvlText w:val="-"/>
      <w:lvlJc w:val="left"/>
      <w:pPr>
        <w:ind w:left="1440" w:hanging="360"/>
      </w:pPr>
      <w:rPr>
        <w:rFonts w:ascii="Times New Roman" w:eastAsia="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191C7BCB"/>
    <w:multiLevelType w:val="multilevel"/>
    <w:tmpl w:val="F00CB614"/>
    <w:lvl w:ilvl="0">
      <w:start w:val="4"/>
      <w:numFmt w:val="decimal"/>
      <w:lvlText w:val="%1."/>
      <w:lvlJc w:val="left"/>
      <w:pPr>
        <w:ind w:left="360" w:hanging="360"/>
      </w:pPr>
      <w:rPr>
        <w:rFonts w:hint="default"/>
      </w:rPr>
    </w:lvl>
    <w:lvl w:ilvl="1">
      <w:start w:val="1"/>
      <w:numFmt w:val="decimal"/>
      <w:lvlText w:val="%1.%2."/>
      <w:lvlJc w:val="left"/>
      <w:pPr>
        <w:ind w:left="990" w:hanging="360"/>
      </w:pPr>
      <w:rPr>
        <w:rFonts w:hint="default"/>
        <w:b/>
      </w:rPr>
    </w:lvl>
    <w:lvl w:ilvl="2">
      <w:start w:val="1"/>
      <w:numFmt w:val="decimal"/>
      <w:lvlText w:val="%1.%2.%3."/>
      <w:lvlJc w:val="left"/>
      <w:pPr>
        <w:ind w:left="1080" w:hanging="720"/>
      </w:pPr>
      <w:rPr>
        <w:rFonts w:hint="default"/>
        <w:b/>
        <w:color w:val="auto"/>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16" w15:restartNumberingAfterBreak="0">
    <w:nsid w:val="1A3174FE"/>
    <w:multiLevelType w:val="hybridMultilevel"/>
    <w:tmpl w:val="02F6ED9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DDB0762"/>
    <w:multiLevelType w:val="hybridMultilevel"/>
    <w:tmpl w:val="EBA2598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FA41A9B"/>
    <w:multiLevelType w:val="hybridMultilevel"/>
    <w:tmpl w:val="B916149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02851FD"/>
    <w:multiLevelType w:val="hybridMultilevel"/>
    <w:tmpl w:val="221E3122"/>
    <w:lvl w:ilvl="0" w:tplc="B97A209C">
      <w:numFmt w:val="bullet"/>
      <w:lvlText w:val="-"/>
      <w:lvlJc w:val="left"/>
      <w:pPr>
        <w:ind w:left="1429" w:hanging="360"/>
      </w:pPr>
      <w:rPr>
        <w:rFonts w:ascii="Times New Roman" w:eastAsia="Times New Roman" w:hAnsi="Times New Roman" w:hint="default"/>
        <w:b/>
        <w:bCs/>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0" w15:restartNumberingAfterBreak="0">
    <w:nsid w:val="205B7573"/>
    <w:multiLevelType w:val="hybridMultilevel"/>
    <w:tmpl w:val="D1E852DC"/>
    <w:lvl w:ilvl="0" w:tplc="C9F8A3DE">
      <w:start w:val="1"/>
      <w:numFmt w:val="bullet"/>
      <w:lvlText w:val=""/>
      <w:lvlJc w:val="left"/>
      <w:pPr>
        <w:ind w:left="720" w:hanging="360"/>
      </w:pPr>
      <w:rPr>
        <w:rFonts w:ascii="Symbol" w:hAnsi="Symbol" w:hint="default"/>
        <w:sz w:val="20"/>
        <w:szCs w:val="20"/>
      </w:rPr>
    </w:lvl>
    <w:lvl w:ilvl="1" w:tplc="36664282">
      <w:start w:val="1"/>
      <w:numFmt w:val="bullet"/>
      <w:lvlText w:val="o"/>
      <w:lvlJc w:val="left"/>
      <w:pPr>
        <w:ind w:left="1440" w:hanging="360"/>
      </w:pPr>
      <w:rPr>
        <w:rFonts w:ascii="Symbol" w:hAnsi="Symbol" w:cs="Courier New" w:hint="default"/>
        <w:sz w:val="20"/>
        <w:szCs w:val="20"/>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15D2416"/>
    <w:multiLevelType w:val="hybridMultilevel"/>
    <w:tmpl w:val="287439B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37E63EB"/>
    <w:multiLevelType w:val="hybridMultilevel"/>
    <w:tmpl w:val="861096B6"/>
    <w:lvl w:ilvl="0" w:tplc="0409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3" w15:restartNumberingAfterBreak="0">
    <w:nsid w:val="23FA54C4"/>
    <w:multiLevelType w:val="hybridMultilevel"/>
    <w:tmpl w:val="4CC6D65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5944D3B"/>
    <w:multiLevelType w:val="hybridMultilevel"/>
    <w:tmpl w:val="19C03A3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5FE38BF"/>
    <w:multiLevelType w:val="hybridMultilevel"/>
    <w:tmpl w:val="6E064BD8"/>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6" w15:restartNumberingAfterBreak="0">
    <w:nsid w:val="262814FE"/>
    <w:multiLevelType w:val="multilevel"/>
    <w:tmpl w:val="FB1C2A46"/>
    <w:lvl w:ilvl="0">
      <w:start w:val="1"/>
      <w:numFmt w:val="decimal"/>
      <w:lvlText w:val="%1."/>
      <w:lvlJc w:val="left"/>
      <w:pPr>
        <w:tabs>
          <w:tab w:val="num" w:pos="720"/>
        </w:tabs>
        <w:ind w:left="720" w:hanging="360"/>
      </w:pPr>
      <w:rPr>
        <w:rFonts w:ascii="Arial Narrow" w:hAnsi="Arial Narrow" w:cs="Times New Roman" w:hint="default"/>
        <w:b/>
      </w:rPr>
    </w:lvl>
    <w:lvl w:ilvl="1">
      <w:start w:val="1"/>
      <w:numFmt w:val="decimal"/>
      <w:isLgl/>
      <w:lvlText w:val="%1.%2."/>
      <w:lvlJc w:val="left"/>
      <w:pPr>
        <w:tabs>
          <w:tab w:val="num" w:pos="750"/>
        </w:tabs>
        <w:ind w:left="750" w:hanging="390"/>
      </w:pPr>
      <w:rPr>
        <w:rFonts w:ascii="Arial Narrow" w:hAnsi="Arial Narrow" w:cs="Times New Roman" w:hint="default"/>
        <w:b/>
        <w:i w:val="0"/>
        <w:sz w:val="24"/>
        <w:szCs w:val="24"/>
      </w:rPr>
    </w:lvl>
    <w:lvl w:ilvl="2">
      <w:start w:val="1"/>
      <w:numFmt w:val="decimal"/>
      <w:isLgl/>
      <w:lvlText w:val="%1.%2.%3."/>
      <w:lvlJc w:val="left"/>
      <w:pPr>
        <w:tabs>
          <w:tab w:val="num" w:pos="1260"/>
        </w:tabs>
        <w:ind w:left="1260" w:hanging="720"/>
      </w:pPr>
      <w:rPr>
        <w:rFonts w:ascii="Arial Narrow" w:hAnsi="Arial Narrow" w:cs="Times New Roman" w:hint="default"/>
        <w:b/>
        <w:sz w:val="24"/>
        <w:szCs w:val="24"/>
      </w:rPr>
    </w:lvl>
    <w:lvl w:ilvl="3">
      <w:start w:val="1"/>
      <w:numFmt w:val="decimal"/>
      <w:isLgl/>
      <w:lvlText w:val="%1.%2.%3.%4."/>
      <w:lvlJc w:val="left"/>
      <w:pPr>
        <w:tabs>
          <w:tab w:val="num" w:pos="1080"/>
        </w:tabs>
        <w:ind w:left="1080" w:hanging="720"/>
      </w:pPr>
      <w:rPr>
        <w:rFonts w:cs="Times New Roman" w:hint="default"/>
      </w:rPr>
    </w:lvl>
    <w:lvl w:ilvl="4">
      <w:start w:val="1"/>
      <w:numFmt w:val="decimal"/>
      <w:isLgl/>
      <w:lvlText w:val="%1.%2.%3.%4.%5."/>
      <w:lvlJc w:val="left"/>
      <w:pPr>
        <w:tabs>
          <w:tab w:val="num" w:pos="1440"/>
        </w:tabs>
        <w:ind w:left="1440" w:hanging="1080"/>
      </w:pPr>
      <w:rPr>
        <w:rFonts w:cs="Times New Roman" w:hint="default"/>
      </w:rPr>
    </w:lvl>
    <w:lvl w:ilvl="5">
      <w:start w:val="1"/>
      <w:numFmt w:val="decimal"/>
      <w:isLgl/>
      <w:lvlText w:val="%1.%2.%3.%4.%5.%6."/>
      <w:lvlJc w:val="left"/>
      <w:pPr>
        <w:tabs>
          <w:tab w:val="num" w:pos="1440"/>
        </w:tabs>
        <w:ind w:left="1440" w:hanging="1080"/>
      </w:pPr>
      <w:rPr>
        <w:rFonts w:cs="Times New Roman" w:hint="default"/>
      </w:rPr>
    </w:lvl>
    <w:lvl w:ilvl="6">
      <w:start w:val="1"/>
      <w:numFmt w:val="decimal"/>
      <w:isLgl/>
      <w:lvlText w:val="%1.%2.%3.%4.%5.%6.%7."/>
      <w:lvlJc w:val="left"/>
      <w:pPr>
        <w:tabs>
          <w:tab w:val="num" w:pos="1800"/>
        </w:tabs>
        <w:ind w:left="1800" w:hanging="1440"/>
      </w:pPr>
      <w:rPr>
        <w:rFonts w:cs="Times New Roman" w:hint="default"/>
      </w:rPr>
    </w:lvl>
    <w:lvl w:ilvl="7">
      <w:start w:val="1"/>
      <w:numFmt w:val="decimal"/>
      <w:isLgl/>
      <w:lvlText w:val="%1.%2.%3.%4.%5.%6.%7.%8."/>
      <w:lvlJc w:val="left"/>
      <w:pPr>
        <w:tabs>
          <w:tab w:val="num" w:pos="1800"/>
        </w:tabs>
        <w:ind w:left="1800" w:hanging="1440"/>
      </w:pPr>
      <w:rPr>
        <w:rFonts w:cs="Times New Roman" w:hint="default"/>
      </w:rPr>
    </w:lvl>
    <w:lvl w:ilvl="8">
      <w:start w:val="1"/>
      <w:numFmt w:val="decimal"/>
      <w:isLgl/>
      <w:lvlText w:val="%1.%2.%3.%4.%5.%6.%7.%8.%9."/>
      <w:lvlJc w:val="left"/>
      <w:pPr>
        <w:tabs>
          <w:tab w:val="num" w:pos="2160"/>
        </w:tabs>
        <w:ind w:left="2160" w:hanging="1800"/>
      </w:pPr>
      <w:rPr>
        <w:rFonts w:cs="Times New Roman" w:hint="default"/>
      </w:rPr>
    </w:lvl>
  </w:abstractNum>
  <w:abstractNum w:abstractNumId="27" w15:restartNumberingAfterBreak="0">
    <w:nsid w:val="28A320A5"/>
    <w:multiLevelType w:val="multilevel"/>
    <w:tmpl w:val="B98CCE18"/>
    <w:styleLink w:val="Style1"/>
    <w:lvl w:ilvl="0">
      <w:start w:val="4"/>
      <w:numFmt w:val="decimal"/>
      <w:lvlText w:val="%1."/>
      <w:lvlJc w:val="left"/>
      <w:pPr>
        <w:ind w:left="360" w:hanging="360"/>
      </w:pPr>
      <w:rPr>
        <w:rFonts w:hint="default"/>
      </w:rPr>
    </w:lvl>
    <w:lvl w:ilvl="1">
      <w:start w:val="1"/>
      <w:numFmt w:val="decimal"/>
      <w:lvlText w:val="%1.%2."/>
      <w:lvlJc w:val="left"/>
      <w:pPr>
        <w:ind w:left="540" w:hanging="36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28" w15:restartNumberingAfterBreak="0">
    <w:nsid w:val="28AB5B89"/>
    <w:multiLevelType w:val="hybridMultilevel"/>
    <w:tmpl w:val="1696E95A"/>
    <w:lvl w:ilvl="0" w:tplc="7A0203B8">
      <w:start w:val="1"/>
      <w:numFmt w:val="decimal"/>
      <w:pStyle w:val="LisrPtext"/>
      <w:lvlText w:val="%1."/>
      <w:lvlJc w:val="left"/>
      <w:pPr>
        <w:ind w:left="2160" w:hanging="360"/>
      </w:pPr>
      <w:rPr>
        <w:rFonts w:hint="default"/>
        <w:color w:val="auto"/>
        <w:sz w:val="22"/>
        <w:szCs w:val="22"/>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9" w15:restartNumberingAfterBreak="0">
    <w:nsid w:val="2A175EED"/>
    <w:multiLevelType w:val="hybridMultilevel"/>
    <w:tmpl w:val="F8D48F8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2A472101"/>
    <w:multiLevelType w:val="hybridMultilevel"/>
    <w:tmpl w:val="C4BAA00C"/>
    <w:lvl w:ilvl="0" w:tplc="9126E892">
      <w:start w:val="3"/>
      <w:numFmt w:val="bullet"/>
      <w:lvlText w:val="-"/>
      <w:lvlJc w:val="left"/>
      <w:pPr>
        <w:ind w:left="1145" w:hanging="360"/>
      </w:pPr>
      <w:rPr>
        <w:rFonts w:ascii="Times New Roman" w:eastAsia="Times New Roman" w:hAnsi="Times New Roman" w:cs="Times New Roman" w:hint="default"/>
      </w:rPr>
    </w:lvl>
    <w:lvl w:ilvl="1" w:tplc="04090003" w:tentative="1">
      <w:start w:val="1"/>
      <w:numFmt w:val="bullet"/>
      <w:lvlText w:val="o"/>
      <w:lvlJc w:val="left"/>
      <w:pPr>
        <w:ind w:left="1865" w:hanging="360"/>
      </w:pPr>
      <w:rPr>
        <w:rFonts w:ascii="Courier New" w:hAnsi="Courier New" w:cs="Courier New" w:hint="default"/>
      </w:rPr>
    </w:lvl>
    <w:lvl w:ilvl="2" w:tplc="04090005" w:tentative="1">
      <w:start w:val="1"/>
      <w:numFmt w:val="bullet"/>
      <w:lvlText w:val=""/>
      <w:lvlJc w:val="left"/>
      <w:pPr>
        <w:ind w:left="2585" w:hanging="360"/>
      </w:pPr>
      <w:rPr>
        <w:rFonts w:ascii="Wingdings" w:hAnsi="Wingdings" w:hint="default"/>
      </w:rPr>
    </w:lvl>
    <w:lvl w:ilvl="3" w:tplc="04090001" w:tentative="1">
      <w:start w:val="1"/>
      <w:numFmt w:val="bullet"/>
      <w:lvlText w:val=""/>
      <w:lvlJc w:val="left"/>
      <w:pPr>
        <w:ind w:left="3305" w:hanging="360"/>
      </w:pPr>
      <w:rPr>
        <w:rFonts w:ascii="Symbol" w:hAnsi="Symbol" w:hint="default"/>
      </w:rPr>
    </w:lvl>
    <w:lvl w:ilvl="4" w:tplc="04090003" w:tentative="1">
      <w:start w:val="1"/>
      <w:numFmt w:val="bullet"/>
      <w:lvlText w:val="o"/>
      <w:lvlJc w:val="left"/>
      <w:pPr>
        <w:ind w:left="4025" w:hanging="360"/>
      </w:pPr>
      <w:rPr>
        <w:rFonts w:ascii="Courier New" w:hAnsi="Courier New" w:cs="Courier New" w:hint="default"/>
      </w:rPr>
    </w:lvl>
    <w:lvl w:ilvl="5" w:tplc="04090005" w:tentative="1">
      <w:start w:val="1"/>
      <w:numFmt w:val="bullet"/>
      <w:lvlText w:val=""/>
      <w:lvlJc w:val="left"/>
      <w:pPr>
        <w:ind w:left="4745" w:hanging="360"/>
      </w:pPr>
      <w:rPr>
        <w:rFonts w:ascii="Wingdings" w:hAnsi="Wingdings" w:hint="default"/>
      </w:rPr>
    </w:lvl>
    <w:lvl w:ilvl="6" w:tplc="04090001" w:tentative="1">
      <w:start w:val="1"/>
      <w:numFmt w:val="bullet"/>
      <w:lvlText w:val=""/>
      <w:lvlJc w:val="left"/>
      <w:pPr>
        <w:ind w:left="5465" w:hanging="360"/>
      </w:pPr>
      <w:rPr>
        <w:rFonts w:ascii="Symbol" w:hAnsi="Symbol" w:hint="default"/>
      </w:rPr>
    </w:lvl>
    <w:lvl w:ilvl="7" w:tplc="04090003" w:tentative="1">
      <w:start w:val="1"/>
      <w:numFmt w:val="bullet"/>
      <w:lvlText w:val="o"/>
      <w:lvlJc w:val="left"/>
      <w:pPr>
        <w:ind w:left="6185" w:hanging="360"/>
      </w:pPr>
      <w:rPr>
        <w:rFonts w:ascii="Courier New" w:hAnsi="Courier New" w:cs="Courier New" w:hint="default"/>
      </w:rPr>
    </w:lvl>
    <w:lvl w:ilvl="8" w:tplc="04090005" w:tentative="1">
      <w:start w:val="1"/>
      <w:numFmt w:val="bullet"/>
      <w:lvlText w:val=""/>
      <w:lvlJc w:val="left"/>
      <w:pPr>
        <w:ind w:left="6905" w:hanging="360"/>
      </w:pPr>
      <w:rPr>
        <w:rFonts w:ascii="Wingdings" w:hAnsi="Wingdings" w:hint="default"/>
      </w:rPr>
    </w:lvl>
  </w:abstractNum>
  <w:abstractNum w:abstractNumId="31" w15:restartNumberingAfterBreak="0">
    <w:nsid w:val="2ACF04C0"/>
    <w:multiLevelType w:val="hybridMultilevel"/>
    <w:tmpl w:val="5704AE62"/>
    <w:lvl w:ilvl="0" w:tplc="04020001">
      <w:start w:val="4"/>
      <w:numFmt w:val="decimal"/>
      <w:pStyle w:val="ListParagraph1"/>
      <w:lvlText w:val="Таблица № %1: "/>
      <w:lvlJc w:val="left"/>
      <w:pPr>
        <w:ind w:left="432" w:hanging="216"/>
      </w:pPr>
      <w:rPr>
        <w:rFonts w:ascii="Arial" w:hAnsi="Arial" w:hint="default"/>
        <w:b/>
        <w:i w:val="0"/>
        <w:sz w:val="24"/>
      </w:rPr>
    </w:lvl>
    <w:lvl w:ilvl="1" w:tplc="04020003" w:tentative="1">
      <w:start w:val="1"/>
      <w:numFmt w:val="lowerLetter"/>
      <w:lvlText w:val="%2."/>
      <w:lvlJc w:val="left"/>
      <w:pPr>
        <w:ind w:left="1440" w:hanging="360"/>
      </w:pPr>
    </w:lvl>
    <w:lvl w:ilvl="2" w:tplc="04020005" w:tentative="1">
      <w:start w:val="1"/>
      <w:numFmt w:val="lowerRoman"/>
      <w:lvlText w:val="%3."/>
      <w:lvlJc w:val="right"/>
      <w:pPr>
        <w:ind w:left="2160" w:hanging="180"/>
      </w:pPr>
    </w:lvl>
    <w:lvl w:ilvl="3" w:tplc="04020001" w:tentative="1">
      <w:start w:val="1"/>
      <w:numFmt w:val="decimal"/>
      <w:lvlText w:val="%4."/>
      <w:lvlJc w:val="left"/>
      <w:pPr>
        <w:ind w:left="2880" w:hanging="360"/>
      </w:pPr>
    </w:lvl>
    <w:lvl w:ilvl="4" w:tplc="04020003" w:tentative="1">
      <w:start w:val="1"/>
      <w:numFmt w:val="lowerLetter"/>
      <w:lvlText w:val="%5."/>
      <w:lvlJc w:val="left"/>
      <w:pPr>
        <w:ind w:left="3600" w:hanging="360"/>
      </w:pPr>
    </w:lvl>
    <w:lvl w:ilvl="5" w:tplc="04020005" w:tentative="1">
      <w:start w:val="1"/>
      <w:numFmt w:val="lowerRoman"/>
      <w:lvlText w:val="%6."/>
      <w:lvlJc w:val="right"/>
      <w:pPr>
        <w:ind w:left="4320" w:hanging="180"/>
      </w:pPr>
    </w:lvl>
    <w:lvl w:ilvl="6" w:tplc="04020001" w:tentative="1">
      <w:start w:val="1"/>
      <w:numFmt w:val="decimal"/>
      <w:lvlText w:val="%7."/>
      <w:lvlJc w:val="left"/>
      <w:pPr>
        <w:ind w:left="5040" w:hanging="360"/>
      </w:pPr>
    </w:lvl>
    <w:lvl w:ilvl="7" w:tplc="04020003" w:tentative="1">
      <w:start w:val="1"/>
      <w:numFmt w:val="lowerLetter"/>
      <w:lvlText w:val="%8."/>
      <w:lvlJc w:val="left"/>
      <w:pPr>
        <w:ind w:left="5760" w:hanging="360"/>
      </w:pPr>
    </w:lvl>
    <w:lvl w:ilvl="8" w:tplc="04020005" w:tentative="1">
      <w:start w:val="1"/>
      <w:numFmt w:val="lowerRoman"/>
      <w:lvlText w:val="%9."/>
      <w:lvlJc w:val="right"/>
      <w:pPr>
        <w:ind w:left="6480" w:hanging="180"/>
      </w:pPr>
    </w:lvl>
  </w:abstractNum>
  <w:abstractNum w:abstractNumId="32" w15:restartNumberingAfterBreak="0">
    <w:nsid w:val="2B481C76"/>
    <w:multiLevelType w:val="hybridMultilevel"/>
    <w:tmpl w:val="F4E8ECE8"/>
    <w:lvl w:ilvl="0" w:tplc="E6340912">
      <w:numFmt w:val="bullet"/>
      <w:lvlText w:val="-"/>
      <w:lvlJc w:val="left"/>
      <w:pPr>
        <w:ind w:left="720" w:hanging="360"/>
      </w:pPr>
      <w:rPr>
        <w:rFonts w:ascii="Arial Narrow" w:eastAsia="Times New Roman" w:hAnsi="Arial Narrow" w:cs="ArialNarrow"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3" w15:restartNumberingAfterBreak="0">
    <w:nsid w:val="2DB77D18"/>
    <w:multiLevelType w:val="hybridMultilevel"/>
    <w:tmpl w:val="A98CCEC2"/>
    <w:lvl w:ilvl="0" w:tplc="92AAEA60">
      <w:start w:val="13"/>
      <w:numFmt w:val="bullet"/>
      <w:lvlText w:val="-"/>
      <w:lvlJc w:val="left"/>
      <w:pPr>
        <w:ind w:left="720" w:hanging="360"/>
      </w:pPr>
      <w:rPr>
        <w:rFonts w:ascii="Times New Roman" w:eastAsia="Times New Roman" w:hAnsi="Times New Roman" w:cs="Times New Roman" w:hint="default"/>
        <w:b/>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2FA04432"/>
    <w:multiLevelType w:val="hybridMultilevel"/>
    <w:tmpl w:val="E826B06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2FC01BC7"/>
    <w:multiLevelType w:val="hybridMultilevel"/>
    <w:tmpl w:val="472266E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15:restartNumberingAfterBreak="0">
    <w:nsid w:val="30C541F9"/>
    <w:multiLevelType w:val="hybridMultilevel"/>
    <w:tmpl w:val="7F3C94D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314C7119"/>
    <w:multiLevelType w:val="hybridMultilevel"/>
    <w:tmpl w:val="FCDAE4C2"/>
    <w:lvl w:ilvl="0" w:tplc="A948A8AC">
      <w:start w:val="1"/>
      <w:numFmt w:val="bullet"/>
      <w:lvlText w:val=""/>
      <w:lvlJc w:val="left"/>
      <w:pPr>
        <w:ind w:left="720" w:hanging="360"/>
      </w:pPr>
      <w:rPr>
        <w:rFonts w:ascii="Symbol" w:hAnsi="Symbol" w:hint="default"/>
        <w:b/>
        <w:bCs/>
        <w:sz w:val="20"/>
        <w:szCs w:val="20"/>
      </w:rPr>
    </w:lvl>
    <w:lvl w:ilvl="1" w:tplc="4BD6B6F4">
      <w:start w:val="1"/>
      <w:numFmt w:val="bullet"/>
      <w:lvlText w:val="o"/>
      <w:lvlJc w:val="left"/>
      <w:pPr>
        <w:ind w:left="1440" w:hanging="360"/>
      </w:pPr>
      <w:rPr>
        <w:rFonts w:ascii="Courier New" w:hAnsi="Courier New" w:cs="Courier New" w:hint="default"/>
        <w:sz w:val="20"/>
        <w:szCs w:val="20"/>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8" w15:restartNumberingAfterBreak="0">
    <w:nsid w:val="35541D7D"/>
    <w:multiLevelType w:val="hybridMultilevel"/>
    <w:tmpl w:val="9E34C010"/>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15:restartNumberingAfterBreak="0">
    <w:nsid w:val="35FB235A"/>
    <w:multiLevelType w:val="hybridMultilevel"/>
    <w:tmpl w:val="1020F38A"/>
    <w:lvl w:ilvl="0" w:tplc="04020005">
      <w:start w:val="1"/>
      <w:numFmt w:val="bullet"/>
      <w:lvlText w:val=""/>
      <w:lvlJc w:val="left"/>
      <w:pPr>
        <w:ind w:left="1145" w:hanging="360"/>
      </w:pPr>
      <w:rPr>
        <w:rFonts w:ascii="Wingdings" w:hAnsi="Wingdings" w:cs="Wingdings" w:hint="default"/>
      </w:rPr>
    </w:lvl>
    <w:lvl w:ilvl="1" w:tplc="04090003" w:tentative="1">
      <w:start w:val="1"/>
      <w:numFmt w:val="bullet"/>
      <w:lvlText w:val="o"/>
      <w:lvlJc w:val="left"/>
      <w:pPr>
        <w:ind w:left="1865" w:hanging="360"/>
      </w:pPr>
      <w:rPr>
        <w:rFonts w:ascii="Courier New" w:hAnsi="Courier New" w:cs="Courier New" w:hint="default"/>
      </w:rPr>
    </w:lvl>
    <w:lvl w:ilvl="2" w:tplc="04090005" w:tentative="1">
      <w:start w:val="1"/>
      <w:numFmt w:val="bullet"/>
      <w:lvlText w:val=""/>
      <w:lvlJc w:val="left"/>
      <w:pPr>
        <w:ind w:left="2585" w:hanging="360"/>
      </w:pPr>
      <w:rPr>
        <w:rFonts w:ascii="Wingdings" w:hAnsi="Wingdings" w:hint="default"/>
      </w:rPr>
    </w:lvl>
    <w:lvl w:ilvl="3" w:tplc="04090001" w:tentative="1">
      <w:start w:val="1"/>
      <w:numFmt w:val="bullet"/>
      <w:lvlText w:val=""/>
      <w:lvlJc w:val="left"/>
      <w:pPr>
        <w:ind w:left="3305" w:hanging="360"/>
      </w:pPr>
      <w:rPr>
        <w:rFonts w:ascii="Symbol" w:hAnsi="Symbol" w:hint="default"/>
      </w:rPr>
    </w:lvl>
    <w:lvl w:ilvl="4" w:tplc="04090003" w:tentative="1">
      <w:start w:val="1"/>
      <w:numFmt w:val="bullet"/>
      <w:lvlText w:val="o"/>
      <w:lvlJc w:val="left"/>
      <w:pPr>
        <w:ind w:left="4025" w:hanging="360"/>
      </w:pPr>
      <w:rPr>
        <w:rFonts w:ascii="Courier New" w:hAnsi="Courier New" w:cs="Courier New" w:hint="default"/>
      </w:rPr>
    </w:lvl>
    <w:lvl w:ilvl="5" w:tplc="04090005" w:tentative="1">
      <w:start w:val="1"/>
      <w:numFmt w:val="bullet"/>
      <w:lvlText w:val=""/>
      <w:lvlJc w:val="left"/>
      <w:pPr>
        <w:ind w:left="4745" w:hanging="360"/>
      </w:pPr>
      <w:rPr>
        <w:rFonts w:ascii="Wingdings" w:hAnsi="Wingdings" w:hint="default"/>
      </w:rPr>
    </w:lvl>
    <w:lvl w:ilvl="6" w:tplc="04090001" w:tentative="1">
      <w:start w:val="1"/>
      <w:numFmt w:val="bullet"/>
      <w:lvlText w:val=""/>
      <w:lvlJc w:val="left"/>
      <w:pPr>
        <w:ind w:left="5465" w:hanging="360"/>
      </w:pPr>
      <w:rPr>
        <w:rFonts w:ascii="Symbol" w:hAnsi="Symbol" w:hint="default"/>
      </w:rPr>
    </w:lvl>
    <w:lvl w:ilvl="7" w:tplc="04090003" w:tentative="1">
      <w:start w:val="1"/>
      <w:numFmt w:val="bullet"/>
      <w:lvlText w:val="o"/>
      <w:lvlJc w:val="left"/>
      <w:pPr>
        <w:ind w:left="6185" w:hanging="360"/>
      </w:pPr>
      <w:rPr>
        <w:rFonts w:ascii="Courier New" w:hAnsi="Courier New" w:cs="Courier New" w:hint="default"/>
      </w:rPr>
    </w:lvl>
    <w:lvl w:ilvl="8" w:tplc="04090005" w:tentative="1">
      <w:start w:val="1"/>
      <w:numFmt w:val="bullet"/>
      <w:lvlText w:val=""/>
      <w:lvlJc w:val="left"/>
      <w:pPr>
        <w:ind w:left="6905" w:hanging="360"/>
      </w:pPr>
      <w:rPr>
        <w:rFonts w:ascii="Wingdings" w:hAnsi="Wingdings" w:hint="default"/>
      </w:rPr>
    </w:lvl>
  </w:abstractNum>
  <w:abstractNum w:abstractNumId="40" w15:restartNumberingAfterBreak="0">
    <w:nsid w:val="37601FD8"/>
    <w:multiLevelType w:val="hybridMultilevel"/>
    <w:tmpl w:val="B8E252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385F4E05"/>
    <w:multiLevelType w:val="multilevel"/>
    <w:tmpl w:val="0409001F"/>
    <w:styleLink w:val="Style11"/>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2" w15:restartNumberingAfterBreak="0">
    <w:nsid w:val="3B8B7C21"/>
    <w:multiLevelType w:val="multilevel"/>
    <w:tmpl w:val="910E3892"/>
    <w:lvl w:ilvl="0">
      <w:start w:val="1"/>
      <w:numFmt w:val="decimal"/>
      <w:lvlText w:val="%1."/>
      <w:lvlJc w:val="left"/>
      <w:pPr>
        <w:ind w:left="720" w:hanging="360"/>
      </w:pPr>
      <w:rPr>
        <w:rFonts w:ascii="Arial Narrow" w:hAnsi="Arial Narrow" w:hint="default"/>
        <w:b/>
        <w:sz w:val="24"/>
        <w:szCs w:val="24"/>
      </w:rPr>
    </w:lvl>
    <w:lvl w:ilvl="1">
      <w:start w:val="1"/>
      <w:numFmt w:val="decimal"/>
      <w:isLgl/>
      <w:lvlText w:val="%1.%2."/>
      <w:lvlJc w:val="left"/>
      <w:pPr>
        <w:ind w:left="720" w:hanging="360"/>
      </w:pPr>
      <w:rPr>
        <w:rFonts w:hint="default"/>
        <w:color w:val="auto"/>
      </w:rPr>
    </w:lvl>
    <w:lvl w:ilvl="2">
      <w:start w:val="1"/>
      <w:numFmt w:val="decimal"/>
      <w:isLgl/>
      <w:lvlText w:val="%1.%2.%3."/>
      <w:lvlJc w:val="left"/>
      <w:pPr>
        <w:ind w:left="2705" w:hanging="720"/>
      </w:pPr>
      <w:rPr>
        <w:rFonts w:ascii="Arial Narrow" w:hAnsi="Arial Narrow" w:hint="default"/>
        <w:b/>
        <w:color w:val="auto"/>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3" w15:restartNumberingAfterBreak="0">
    <w:nsid w:val="3DF93612"/>
    <w:multiLevelType w:val="hybridMultilevel"/>
    <w:tmpl w:val="E9784754"/>
    <w:lvl w:ilvl="0" w:tplc="DFA20B78">
      <w:start w:val="1"/>
      <w:numFmt w:val="bullet"/>
      <w:lvlText w:val="-"/>
      <w:lvlJc w:val="left"/>
      <w:pPr>
        <w:ind w:left="993" w:hanging="360"/>
      </w:pPr>
      <w:rPr>
        <w:rFonts w:ascii="Arial Narrow" w:hAnsi="Arial Narrow" w:hint="default"/>
      </w:rPr>
    </w:lvl>
    <w:lvl w:ilvl="1" w:tplc="04020003" w:tentative="1">
      <w:start w:val="1"/>
      <w:numFmt w:val="bullet"/>
      <w:lvlText w:val="o"/>
      <w:lvlJc w:val="left"/>
      <w:pPr>
        <w:ind w:left="1713" w:hanging="360"/>
      </w:pPr>
      <w:rPr>
        <w:rFonts w:ascii="Courier New" w:hAnsi="Courier New" w:cs="Courier New" w:hint="default"/>
      </w:rPr>
    </w:lvl>
    <w:lvl w:ilvl="2" w:tplc="04020005" w:tentative="1">
      <w:start w:val="1"/>
      <w:numFmt w:val="bullet"/>
      <w:lvlText w:val=""/>
      <w:lvlJc w:val="left"/>
      <w:pPr>
        <w:ind w:left="2433" w:hanging="360"/>
      </w:pPr>
      <w:rPr>
        <w:rFonts w:ascii="Wingdings" w:hAnsi="Wingdings" w:hint="default"/>
      </w:rPr>
    </w:lvl>
    <w:lvl w:ilvl="3" w:tplc="04020001" w:tentative="1">
      <w:start w:val="1"/>
      <w:numFmt w:val="bullet"/>
      <w:lvlText w:val=""/>
      <w:lvlJc w:val="left"/>
      <w:pPr>
        <w:ind w:left="3153" w:hanging="360"/>
      </w:pPr>
      <w:rPr>
        <w:rFonts w:ascii="Symbol" w:hAnsi="Symbol" w:hint="default"/>
      </w:rPr>
    </w:lvl>
    <w:lvl w:ilvl="4" w:tplc="04020003" w:tentative="1">
      <w:start w:val="1"/>
      <w:numFmt w:val="bullet"/>
      <w:lvlText w:val="o"/>
      <w:lvlJc w:val="left"/>
      <w:pPr>
        <w:ind w:left="3873" w:hanging="360"/>
      </w:pPr>
      <w:rPr>
        <w:rFonts w:ascii="Courier New" w:hAnsi="Courier New" w:cs="Courier New" w:hint="default"/>
      </w:rPr>
    </w:lvl>
    <w:lvl w:ilvl="5" w:tplc="04020005" w:tentative="1">
      <w:start w:val="1"/>
      <w:numFmt w:val="bullet"/>
      <w:lvlText w:val=""/>
      <w:lvlJc w:val="left"/>
      <w:pPr>
        <w:ind w:left="4593" w:hanging="360"/>
      </w:pPr>
      <w:rPr>
        <w:rFonts w:ascii="Wingdings" w:hAnsi="Wingdings" w:hint="default"/>
      </w:rPr>
    </w:lvl>
    <w:lvl w:ilvl="6" w:tplc="04020001" w:tentative="1">
      <w:start w:val="1"/>
      <w:numFmt w:val="bullet"/>
      <w:lvlText w:val=""/>
      <w:lvlJc w:val="left"/>
      <w:pPr>
        <w:ind w:left="5313" w:hanging="360"/>
      </w:pPr>
      <w:rPr>
        <w:rFonts w:ascii="Symbol" w:hAnsi="Symbol" w:hint="default"/>
      </w:rPr>
    </w:lvl>
    <w:lvl w:ilvl="7" w:tplc="04020003" w:tentative="1">
      <w:start w:val="1"/>
      <w:numFmt w:val="bullet"/>
      <w:lvlText w:val="o"/>
      <w:lvlJc w:val="left"/>
      <w:pPr>
        <w:ind w:left="6033" w:hanging="360"/>
      </w:pPr>
      <w:rPr>
        <w:rFonts w:ascii="Courier New" w:hAnsi="Courier New" w:cs="Courier New" w:hint="default"/>
      </w:rPr>
    </w:lvl>
    <w:lvl w:ilvl="8" w:tplc="04020005" w:tentative="1">
      <w:start w:val="1"/>
      <w:numFmt w:val="bullet"/>
      <w:lvlText w:val=""/>
      <w:lvlJc w:val="left"/>
      <w:pPr>
        <w:ind w:left="6753" w:hanging="360"/>
      </w:pPr>
      <w:rPr>
        <w:rFonts w:ascii="Wingdings" w:hAnsi="Wingdings" w:hint="default"/>
      </w:rPr>
    </w:lvl>
  </w:abstractNum>
  <w:abstractNum w:abstractNumId="44" w15:restartNumberingAfterBreak="0">
    <w:nsid w:val="3E923A6D"/>
    <w:multiLevelType w:val="multilevel"/>
    <w:tmpl w:val="39F61514"/>
    <w:lvl w:ilvl="0">
      <w:start w:val="5"/>
      <w:numFmt w:val="decimal"/>
      <w:lvlText w:val="%1."/>
      <w:lvlJc w:val="left"/>
      <w:pPr>
        <w:ind w:left="360" w:hanging="360"/>
      </w:pPr>
      <w:rPr>
        <w:rFonts w:hint="default"/>
      </w:rPr>
    </w:lvl>
    <w:lvl w:ilvl="1">
      <w:start w:val="1"/>
      <w:numFmt w:val="decimal"/>
      <w:lvlText w:val="%1.%2."/>
      <w:lvlJc w:val="left"/>
      <w:pPr>
        <w:ind w:left="540" w:hanging="36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45" w15:restartNumberingAfterBreak="0">
    <w:nsid w:val="4103633E"/>
    <w:multiLevelType w:val="hybridMultilevel"/>
    <w:tmpl w:val="48B246BC"/>
    <w:lvl w:ilvl="0" w:tplc="E8DA985A">
      <w:start w:val="1"/>
      <w:numFmt w:val="bullet"/>
      <w:lvlText w:val=""/>
      <w:lvlJc w:val="left"/>
      <w:pPr>
        <w:ind w:left="720" w:hanging="360"/>
      </w:pPr>
      <w:rPr>
        <w:rFonts w:ascii="Symbol" w:hAnsi="Symbol" w:hint="default"/>
        <w:color w:val="auto"/>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6" w15:restartNumberingAfterBreak="0">
    <w:nsid w:val="434C7BAC"/>
    <w:multiLevelType w:val="hybridMultilevel"/>
    <w:tmpl w:val="783C0E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480650E2"/>
    <w:multiLevelType w:val="hybridMultilevel"/>
    <w:tmpl w:val="69DEFB00"/>
    <w:lvl w:ilvl="0" w:tplc="04020001">
      <w:start w:val="1"/>
      <w:numFmt w:val="bullet"/>
      <w:lvlText w:val=""/>
      <w:lvlJc w:val="left"/>
      <w:pPr>
        <w:ind w:left="1429" w:hanging="360"/>
      </w:pPr>
      <w:rPr>
        <w:rFonts w:ascii="Symbol" w:hAnsi="Symbol" w:hint="default"/>
      </w:rPr>
    </w:lvl>
    <w:lvl w:ilvl="1" w:tplc="04020003" w:tentative="1">
      <w:start w:val="1"/>
      <w:numFmt w:val="bullet"/>
      <w:lvlText w:val="o"/>
      <w:lvlJc w:val="left"/>
      <w:pPr>
        <w:ind w:left="2149" w:hanging="360"/>
      </w:pPr>
      <w:rPr>
        <w:rFonts w:ascii="Courier New" w:hAnsi="Courier New" w:cs="Courier New" w:hint="default"/>
      </w:rPr>
    </w:lvl>
    <w:lvl w:ilvl="2" w:tplc="04020005" w:tentative="1">
      <w:start w:val="1"/>
      <w:numFmt w:val="bullet"/>
      <w:lvlText w:val=""/>
      <w:lvlJc w:val="left"/>
      <w:pPr>
        <w:ind w:left="2869" w:hanging="360"/>
      </w:pPr>
      <w:rPr>
        <w:rFonts w:ascii="Wingdings" w:hAnsi="Wingdings" w:hint="default"/>
      </w:rPr>
    </w:lvl>
    <w:lvl w:ilvl="3" w:tplc="04020001" w:tentative="1">
      <w:start w:val="1"/>
      <w:numFmt w:val="bullet"/>
      <w:lvlText w:val=""/>
      <w:lvlJc w:val="left"/>
      <w:pPr>
        <w:ind w:left="3589" w:hanging="360"/>
      </w:pPr>
      <w:rPr>
        <w:rFonts w:ascii="Symbol" w:hAnsi="Symbol" w:hint="default"/>
      </w:rPr>
    </w:lvl>
    <w:lvl w:ilvl="4" w:tplc="04020003" w:tentative="1">
      <w:start w:val="1"/>
      <w:numFmt w:val="bullet"/>
      <w:lvlText w:val="o"/>
      <w:lvlJc w:val="left"/>
      <w:pPr>
        <w:ind w:left="4309" w:hanging="360"/>
      </w:pPr>
      <w:rPr>
        <w:rFonts w:ascii="Courier New" w:hAnsi="Courier New" w:cs="Courier New" w:hint="default"/>
      </w:rPr>
    </w:lvl>
    <w:lvl w:ilvl="5" w:tplc="04020005" w:tentative="1">
      <w:start w:val="1"/>
      <w:numFmt w:val="bullet"/>
      <w:lvlText w:val=""/>
      <w:lvlJc w:val="left"/>
      <w:pPr>
        <w:ind w:left="5029" w:hanging="360"/>
      </w:pPr>
      <w:rPr>
        <w:rFonts w:ascii="Wingdings" w:hAnsi="Wingdings" w:hint="default"/>
      </w:rPr>
    </w:lvl>
    <w:lvl w:ilvl="6" w:tplc="04020001" w:tentative="1">
      <w:start w:val="1"/>
      <w:numFmt w:val="bullet"/>
      <w:lvlText w:val=""/>
      <w:lvlJc w:val="left"/>
      <w:pPr>
        <w:ind w:left="5749" w:hanging="360"/>
      </w:pPr>
      <w:rPr>
        <w:rFonts w:ascii="Symbol" w:hAnsi="Symbol" w:hint="default"/>
      </w:rPr>
    </w:lvl>
    <w:lvl w:ilvl="7" w:tplc="04020003" w:tentative="1">
      <w:start w:val="1"/>
      <w:numFmt w:val="bullet"/>
      <w:lvlText w:val="o"/>
      <w:lvlJc w:val="left"/>
      <w:pPr>
        <w:ind w:left="6469" w:hanging="360"/>
      </w:pPr>
      <w:rPr>
        <w:rFonts w:ascii="Courier New" w:hAnsi="Courier New" w:cs="Courier New" w:hint="default"/>
      </w:rPr>
    </w:lvl>
    <w:lvl w:ilvl="8" w:tplc="04020005" w:tentative="1">
      <w:start w:val="1"/>
      <w:numFmt w:val="bullet"/>
      <w:lvlText w:val=""/>
      <w:lvlJc w:val="left"/>
      <w:pPr>
        <w:ind w:left="7189" w:hanging="360"/>
      </w:pPr>
      <w:rPr>
        <w:rFonts w:ascii="Wingdings" w:hAnsi="Wingdings" w:hint="default"/>
      </w:rPr>
    </w:lvl>
  </w:abstractNum>
  <w:abstractNum w:abstractNumId="48" w15:restartNumberingAfterBreak="0">
    <w:nsid w:val="488B4094"/>
    <w:multiLevelType w:val="multilevel"/>
    <w:tmpl w:val="4B14A502"/>
    <w:lvl w:ilvl="0">
      <w:start w:val="1"/>
      <w:numFmt w:val="decimal"/>
      <w:lvlText w:val="%1"/>
      <w:lvlJc w:val="left"/>
      <w:pPr>
        <w:ind w:left="360" w:hanging="360"/>
      </w:pPr>
      <w:rPr>
        <w:rFonts w:hint="default"/>
      </w:rPr>
    </w:lvl>
    <w:lvl w:ilvl="1">
      <w:start w:val="1"/>
      <w:numFmt w:val="decimal"/>
      <w:lvlText w:val="1.%2."/>
      <w:lvlJc w:val="left"/>
      <w:pPr>
        <w:ind w:left="630" w:hanging="360"/>
      </w:pPr>
      <w:rPr>
        <w:rFonts w:hint="default"/>
      </w:rPr>
    </w:lvl>
    <w:lvl w:ilvl="2">
      <w:start w:val="1"/>
      <w:numFmt w:val="decimal"/>
      <w:lvlText w:val="%1.%2.%3"/>
      <w:lvlJc w:val="left"/>
      <w:pPr>
        <w:ind w:left="1260" w:hanging="720"/>
      </w:pPr>
      <w:rPr>
        <w:rFonts w:hint="default"/>
      </w:rPr>
    </w:lvl>
    <w:lvl w:ilvl="3">
      <w:start w:val="1"/>
      <w:numFmt w:val="decimal"/>
      <w:lvlText w:val="%1.%2.%3.%4"/>
      <w:lvlJc w:val="left"/>
      <w:pPr>
        <w:ind w:left="1530" w:hanging="72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430" w:hanging="108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330" w:hanging="1440"/>
      </w:pPr>
      <w:rPr>
        <w:rFonts w:hint="default"/>
      </w:rPr>
    </w:lvl>
    <w:lvl w:ilvl="8">
      <w:start w:val="1"/>
      <w:numFmt w:val="decimal"/>
      <w:lvlText w:val="%1.%2.%3.%4.%5.%6.%7.%8.%9"/>
      <w:lvlJc w:val="left"/>
      <w:pPr>
        <w:ind w:left="3600" w:hanging="1440"/>
      </w:pPr>
      <w:rPr>
        <w:rFonts w:hint="default"/>
      </w:rPr>
    </w:lvl>
  </w:abstractNum>
  <w:abstractNum w:abstractNumId="49" w15:restartNumberingAfterBreak="0">
    <w:nsid w:val="4D7F4755"/>
    <w:multiLevelType w:val="hybridMultilevel"/>
    <w:tmpl w:val="9ABCA7A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4DC83468"/>
    <w:multiLevelType w:val="multilevel"/>
    <w:tmpl w:val="0409001F"/>
    <w:lvl w:ilvl="0">
      <w:start w:val="1"/>
      <w:numFmt w:val="decimal"/>
      <w:pStyle w:val="11"/>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51" w15:restartNumberingAfterBreak="0">
    <w:nsid w:val="4E6007DF"/>
    <w:multiLevelType w:val="hybridMultilevel"/>
    <w:tmpl w:val="CCC8CE84"/>
    <w:lvl w:ilvl="0" w:tplc="25241F92">
      <w:start w:val="1"/>
      <w:numFmt w:val="bullet"/>
      <w:lvlText w:val=""/>
      <w:lvlJc w:val="left"/>
      <w:pPr>
        <w:ind w:left="720" w:hanging="360"/>
      </w:pPr>
      <w:rPr>
        <w:rFonts w:ascii="Symbol" w:hAnsi="Symbol"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529741D1"/>
    <w:multiLevelType w:val="multilevel"/>
    <w:tmpl w:val="19A656A0"/>
    <w:lvl w:ilvl="0">
      <w:start w:val="1"/>
      <w:numFmt w:val="decimal"/>
      <w:lvlText w:val="%1)"/>
      <w:lvlJc w:val="left"/>
      <w:pPr>
        <w:ind w:left="717" w:hanging="360"/>
      </w:pPr>
      <w:rPr>
        <w:b/>
      </w:rPr>
    </w:lvl>
    <w:lvl w:ilvl="1">
      <w:start w:val="1"/>
      <w:numFmt w:val="lowerLetter"/>
      <w:lvlText w:val="%2)"/>
      <w:lvlJc w:val="left"/>
      <w:pPr>
        <w:ind w:left="1077" w:hanging="360"/>
      </w:pPr>
    </w:lvl>
    <w:lvl w:ilvl="2">
      <w:start w:val="1"/>
      <w:numFmt w:val="lowerRoman"/>
      <w:lvlText w:val="%3)"/>
      <w:lvlJc w:val="left"/>
      <w:pPr>
        <w:ind w:left="1437" w:hanging="360"/>
      </w:pPr>
    </w:lvl>
    <w:lvl w:ilvl="3">
      <w:start w:val="1"/>
      <w:numFmt w:val="decimal"/>
      <w:lvlText w:val="(%4)"/>
      <w:lvlJc w:val="left"/>
      <w:pPr>
        <w:ind w:left="1797" w:hanging="360"/>
      </w:pPr>
    </w:lvl>
    <w:lvl w:ilvl="4">
      <w:start w:val="1"/>
      <w:numFmt w:val="lowerLetter"/>
      <w:lvlText w:val="(%5)"/>
      <w:lvlJc w:val="left"/>
      <w:pPr>
        <w:ind w:left="2157" w:hanging="360"/>
      </w:pPr>
    </w:lvl>
    <w:lvl w:ilvl="5">
      <w:start w:val="1"/>
      <w:numFmt w:val="lowerRoman"/>
      <w:lvlText w:val="(%6)"/>
      <w:lvlJc w:val="left"/>
      <w:pPr>
        <w:ind w:left="2517" w:hanging="360"/>
      </w:pPr>
    </w:lvl>
    <w:lvl w:ilvl="6">
      <w:start w:val="1"/>
      <w:numFmt w:val="decimal"/>
      <w:lvlText w:val="%7."/>
      <w:lvlJc w:val="left"/>
      <w:pPr>
        <w:ind w:left="2877" w:hanging="360"/>
      </w:pPr>
    </w:lvl>
    <w:lvl w:ilvl="7">
      <w:start w:val="1"/>
      <w:numFmt w:val="lowerLetter"/>
      <w:lvlText w:val="%8."/>
      <w:lvlJc w:val="left"/>
      <w:pPr>
        <w:ind w:left="3237" w:hanging="360"/>
      </w:pPr>
    </w:lvl>
    <w:lvl w:ilvl="8">
      <w:start w:val="1"/>
      <w:numFmt w:val="lowerRoman"/>
      <w:lvlText w:val="%9."/>
      <w:lvlJc w:val="left"/>
      <w:pPr>
        <w:ind w:left="3597" w:hanging="360"/>
      </w:pPr>
    </w:lvl>
  </w:abstractNum>
  <w:abstractNum w:abstractNumId="53" w15:restartNumberingAfterBreak="0">
    <w:nsid w:val="52D57D8E"/>
    <w:multiLevelType w:val="hybridMultilevel"/>
    <w:tmpl w:val="E8522ED2"/>
    <w:lvl w:ilvl="0" w:tplc="C7C2D660">
      <w:numFmt w:val="bullet"/>
      <w:lvlText w:val="-"/>
      <w:lvlJc w:val="left"/>
      <w:pPr>
        <w:ind w:left="720" w:hanging="360"/>
      </w:pPr>
      <w:rPr>
        <w:rFonts w:ascii="Times New Roman" w:eastAsia="Times New Roman" w:hAnsi="Times New Roman" w:cs="Times New Roman" w:hint="default"/>
        <w:b/>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52DA43A5"/>
    <w:multiLevelType w:val="hybridMultilevel"/>
    <w:tmpl w:val="882A5398"/>
    <w:lvl w:ilvl="0" w:tplc="CBC25CBC">
      <w:start w:val="9"/>
      <w:numFmt w:val="bullet"/>
      <w:lvlText w:val="-"/>
      <w:lvlJc w:val="left"/>
      <w:pPr>
        <w:ind w:left="720" w:hanging="360"/>
      </w:pPr>
      <w:rPr>
        <w:rFonts w:ascii="Arial Narrow" w:eastAsia="Times New Roman" w:hAnsi="Arial Narrow"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54404F9C"/>
    <w:multiLevelType w:val="hybridMultilevel"/>
    <w:tmpl w:val="D1C8A3B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554F769D"/>
    <w:multiLevelType w:val="multilevel"/>
    <w:tmpl w:val="732859B6"/>
    <w:lvl w:ilvl="0">
      <w:start w:val="1"/>
      <w:numFmt w:val="decimal"/>
      <w:lvlText w:val="%1."/>
      <w:lvlJc w:val="left"/>
      <w:pPr>
        <w:ind w:left="720" w:hanging="360"/>
      </w:pPr>
      <w:rPr>
        <w:rFonts w:ascii="Arial Narrow" w:hAnsi="Arial Narrow" w:hint="default"/>
        <w:b/>
        <w:color w:val="auto"/>
        <w:sz w:val="24"/>
        <w:szCs w:val="24"/>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7" w15:restartNumberingAfterBreak="0">
    <w:nsid w:val="5587633A"/>
    <w:multiLevelType w:val="hybridMultilevel"/>
    <w:tmpl w:val="E11EB6E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55902D65"/>
    <w:multiLevelType w:val="hybridMultilevel"/>
    <w:tmpl w:val="86EC7BA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565835F9"/>
    <w:multiLevelType w:val="hybridMultilevel"/>
    <w:tmpl w:val="67409900"/>
    <w:lvl w:ilvl="0" w:tplc="0C14CA9C">
      <w:start w:val="8"/>
      <w:numFmt w:val="bullet"/>
      <w:lvlText w:val="-"/>
      <w:lvlJc w:val="left"/>
      <w:pPr>
        <w:ind w:left="720" w:hanging="360"/>
      </w:pPr>
      <w:rPr>
        <w:rFonts w:ascii="Arial Narrow" w:eastAsia="Times New Roman" w:hAnsi="Arial Narrow"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60" w15:restartNumberingAfterBreak="0">
    <w:nsid w:val="56F657F6"/>
    <w:multiLevelType w:val="hybridMultilevel"/>
    <w:tmpl w:val="A4B0796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59B8206E"/>
    <w:multiLevelType w:val="hybridMultilevel"/>
    <w:tmpl w:val="C2D0196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5A635059"/>
    <w:multiLevelType w:val="hybridMultilevel"/>
    <w:tmpl w:val="7DF82C3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5BEE121B"/>
    <w:multiLevelType w:val="multilevel"/>
    <w:tmpl w:val="8C1EEA5C"/>
    <w:lvl w:ilvl="0">
      <w:start w:val="3"/>
      <w:numFmt w:val="decimal"/>
      <w:lvlText w:val="%1."/>
      <w:lvlJc w:val="left"/>
      <w:pPr>
        <w:ind w:left="360" w:hanging="360"/>
      </w:pPr>
      <w:rPr>
        <w:rFonts w:hint="default"/>
      </w:rPr>
    </w:lvl>
    <w:lvl w:ilvl="1">
      <w:start w:val="2"/>
      <w:numFmt w:val="decimal"/>
      <w:lvlText w:val="%1.%2."/>
      <w:lvlJc w:val="left"/>
      <w:pPr>
        <w:ind w:left="540" w:hanging="36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64" w15:restartNumberingAfterBreak="0">
    <w:nsid w:val="5DE31B1B"/>
    <w:multiLevelType w:val="hybridMultilevel"/>
    <w:tmpl w:val="47B0951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5E11015C"/>
    <w:multiLevelType w:val="hybridMultilevel"/>
    <w:tmpl w:val="837224A6"/>
    <w:styleLink w:val="1111112"/>
    <w:lvl w:ilvl="0" w:tplc="5008B986">
      <w:start w:val="1"/>
      <w:numFmt w:val="upperRoman"/>
      <w:lvlText w:val="%1."/>
      <w:lvlJc w:val="right"/>
      <w:pPr>
        <w:tabs>
          <w:tab w:val="num" w:pos="180"/>
        </w:tabs>
        <w:ind w:left="180" w:hanging="180"/>
      </w:pPr>
      <w:rPr>
        <w:rFonts w:cs="Times New Roman"/>
        <w:color w:val="auto"/>
      </w:rPr>
    </w:lvl>
    <w:lvl w:ilvl="1" w:tplc="04020003">
      <w:numFmt w:val="none"/>
      <w:lvlText w:val=""/>
      <w:lvlJc w:val="left"/>
      <w:pPr>
        <w:tabs>
          <w:tab w:val="num" w:pos="360"/>
        </w:tabs>
      </w:pPr>
      <w:rPr>
        <w:rFonts w:cs="Times New Roman"/>
      </w:rPr>
    </w:lvl>
    <w:lvl w:ilvl="2" w:tplc="04020005">
      <w:numFmt w:val="none"/>
      <w:lvlText w:val=""/>
      <w:lvlJc w:val="left"/>
      <w:pPr>
        <w:tabs>
          <w:tab w:val="num" w:pos="360"/>
        </w:tabs>
      </w:pPr>
      <w:rPr>
        <w:rFonts w:cs="Times New Roman"/>
      </w:rPr>
    </w:lvl>
    <w:lvl w:ilvl="3" w:tplc="04020001">
      <w:numFmt w:val="none"/>
      <w:lvlText w:val=""/>
      <w:lvlJc w:val="left"/>
      <w:pPr>
        <w:tabs>
          <w:tab w:val="num" w:pos="360"/>
        </w:tabs>
      </w:pPr>
      <w:rPr>
        <w:rFonts w:cs="Times New Roman"/>
      </w:rPr>
    </w:lvl>
    <w:lvl w:ilvl="4" w:tplc="04020003">
      <w:numFmt w:val="none"/>
      <w:lvlText w:val=""/>
      <w:lvlJc w:val="left"/>
      <w:pPr>
        <w:tabs>
          <w:tab w:val="num" w:pos="360"/>
        </w:tabs>
      </w:pPr>
      <w:rPr>
        <w:rFonts w:cs="Times New Roman"/>
      </w:rPr>
    </w:lvl>
    <w:lvl w:ilvl="5" w:tplc="04020005">
      <w:numFmt w:val="none"/>
      <w:lvlText w:val=""/>
      <w:lvlJc w:val="left"/>
      <w:pPr>
        <w:tabs>
          <w:tab w:val="num" w:pos="360"/>
        </w:tabs>
      </w:pPr>
      <w:rPr>
        <w:rFonts w:cs="Times New Roman"/>
      </w:rPr>
    </w:lvl>
    <w:lvl w:ilvl="6" w:tplc="04020001">
      <w:numFmt w:val="none"/>
      <w:lvlText w:val=""/>
      <w:lvlJc w:val="left"/>
      <w:pPr>
        <w:tabs>
          <w:tab w:val="num" w:pos="360"/>
        </w:tabs>
      </w:pPr>
      <w:rPr>
        <w:rFonts w:cs="Times New Roman"/>
      </w:rPr>
    </w:lvl>
    <w:lvl w:ilvl="7" w:tplc="04020003">
      <w:numFmt w:val="none"/>
      <w:lvlText w:val=""/>
      <w:lvlJc w:val="left"/>
      <w:pPr>
        <w:tabs>
          <w:tab w:val="num" w:pos="360"/>
        </w:tabs>
      </w:pPr>
      <w:rPr>
        <w:rFonts w:cs="Times New Roman"/>
      </w:rPr>
    </w:lvl>
    <w:lvl w:ilvl="8" w:tplc="04020005">
      <w:numFmt w:val="none"/>
      <w:lvlText w:val=""/>
      <w:lvlJc w:val="left"/>
      <w:pPr>
        <w:tabs>
          <w:tab w:val="num" w:pos="360"/>
        </w:tabs>
      </w:pPr>
      <w:rPr>
        <w:rFonts w:cs="Times New Roman"/>
      </w:rPr>
    </w:lvl>
  </w:abstractNum>
  <w:abstractNum w:abstractNumId="66" w15:restartNumberingAfterBreak="0">
    <w:nsid w:val="5F9C40AA"/>
    <w:multiLevelType w:val="singleLevel"/>
    <w:tmpl w:val="B89CB5A2"/>
    <w:name w:val="Bullet 2"/>
    <w:lvl w:ilvl="0">
      <w:start w:val="1"/>
      <w:numFmt w:val="bullet"/>
      <w:pStyle w:val="Bullet2"/>
      <w:lvlText w:val=""/>
      <w:lvlJc w:val="left"/>
      <w:pPr>
        <w:tabs>
          <w:tab w:val="num" w:pos="1984"/>
        </w:tabs>
        <w:ind w:left="1984" w:hanging="567"/>
      </w:pPr>
      <w:rPr>
        <w:rFonts w:ascii="Symbol" w:hAnsi="Symbol" w:hint="default"/>
      </w:rPr>
    </w:lvl>
  </w:abstractNum>
  <w:abstractNum w:abstractNumId="67" w15:restartNumberingAfterBreak="0">
    <w:nsid w:val="60057C70"/>
    <w:multiLevelType w:val="hybridMultilevel"/>
    <w:tmpl w:val="58BEF03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605B3DD5"/>
    <w:multiLevelType w:val="hybridMultilevel"/>
    <w:tmpl w:val="1C648F98"/>
    <w:lvl w:ilvl="0" w:tplc="3DBEEFB8">
      <w:start w:val="1"/>
      <w:numFmt w:val="bullet"/>
      <w:lvlText w:val="-"/>
      <w:lvlJc w:val="left"/>
      <w:pPr>
        <w:ind w:left="1080" w:hanging="360"/>
      </w:pPr>
      <w:rPr>
        <w:rFonts w:ascii="Arial Narrow" w:hAnsi="Arial Narro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9" w15:restartNumberingAfterBreak="0">
    <w:nsid w:val="63592789"/>
    <w:multiLevelType w:val="hybridMultilevel"/>
    <w:tmpl w:val="55A2783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63685DC7"/>
    <w:multiLevelType w:val="hybridMultilevel"/>
    <w:tmpl w:val="C58AC176"/>
    <w:lvl w:ilvl="0" w:tplc="E886246A">
      <w:numFmt w:val="bullet"/>
      <w:lvlText w:val="-"/>
      <w:lvlJc w:val="left"/>
      <w:pPr>
        <w:ind w:left="720" w:hanging="360"/>
      </w:pPr>
      <w:rPr>
        <w:rFonts w:ascii="Times New Roman" w:eastAsia="Calibri"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640C6D3C"/>
    <w:multiLevelType w:val="hybridMultilevel"/>
    <w:tmpl w:val="3AC88F20"/>
    <w:lvl w:ilvl="0" w:tplc="2A3A55C2">
      <w:start w:val="1"/>
      <w:numFmt w:val="bullet"/>
      <w:lvlText w:val=""/>
      <w:lvlJc w:val="left"/>
      <w:pPr>
        <w:ind w:left="720" w:hanging="360"/>
      </w:pPr>
      <w:rPr>
        <w:rFonts w:ascii="Symbol" w:hAnsi="Symbol" w:hint="default"/>
        <w:sz w:val="20"/>
        <w:szCs w:val="20"/>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72" w15:restartNumberingAfterBreak="0">
    <w:nsid w:val="647A6535"/>
    <w:multiLevelType w:val="multilevel"/>
    <w:tmpl w:val="ABE26EB6"/>
    <w:lvl w:ilvl="0">
      <w:start w:val="1"/>
      <w:numFmt w:val="decimal"/>
      <w:lvlText w:val="%1."/>
      <w:lvlJc w:val="left"/>
      <w:pPr>
        <w:tabs>
          <w:tab w:val="num" w:pos="360"/>
        </w:tabs>
        <w:ind w:left="360" w:hanging="360"/>
      </w:pPr>
      <w:rPr>
        <w:rFonts w:ascii="Arial Narrow" w:eastAsia="Times New Roman" w:hAnsi="Arial Narrow" w:cs="Times New Roman"/>
      </w:rPr>
    </w:lvl>
    <w:lvl w:ilvl="1">
      <w:start w:val="1"/>
      <w:numFmt w:val="decimal"/>
      <w:lvlText w:val="2.%2."/>
      <w:lvlJc w:val="left"/>
      <w:pPr>
        <w:tabs>
          <w:tab w:val="num" w:pos="1080"/>
        </w:tabs>
        <w:ind w:left="1080" w:hanging="720"/>
      </w:pPr>
      <w:rPr>
        <w:rFonts w:hint="default"/>
        <w:b/>
        <w:color w:val="auto"/>
        <w:sz w:val="24"/>
        <w:szCs w:val="24"/>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2782"/>
        </w:tabs>
        <w:ind w:left="2782" w:hanging="1080"/>
      </w:pPr>
      <w:rPr>
        <w:rFonts w:hint="default"/>
        <w:color w:val="auto"/>
      </w:rPr>
    </w:lvl>
    <w:lvl w:ilvl="4">
      <w:start w:val="1"/>
      <w:numFmt w:val="decimal"/>
      <w:isLgl/>
      <w:lvlText w:val="%1.%2.%3.%4.%5."/>
      <w:lvlJc w:val="left"/>
      <w:pPr>
        <w:tabs>
          <w:tab w:val="num" w:pos="1800"/>
        </w:tabs>
        <w:ind w:left="1800" w:hanging="144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2160"/>
        </w:tabs>
        <w:ind w:left="2160" w:hanging="1800"/>
      </w:pPr>
      <w:rPr>
        <w:rFonts w:hint="default"/>
      </w:rPr>
    </w:lvl>
    <w:lvl w:ilvl="7">
      <w:start w:val="1"/>
      <w:numFmt w:val="decimal"/>
      <w:isLgl/>
      <w:lvlText w:val="%1.%2.%3.%4.%5.%6.%7.%8."/>
      <w:lvlJc w:val="left"/>
      <w:pPr>
        <w:tabs>
          <w:tab w:val="num" w:pos="2520"/>
        </w:tabs>
        <w:ind w:left="2520" w:hanging="2160"/>
      </w:pPr>
      <w:rPr>
        <w:rFonts w:hint="default"/>
      </w:rPr>
    </w:lvl>
    <w:lvl w:ilvl="8">
      <w:start w:val="1"/>
      <w:numFmt w:val="decimal"/>
      <w:isLgl/>
      <w:lvlText w:val="%1.%2.%3.%4.%5.%6.%7.%8.%9."/>
      <w:lvlJc w:val="left"/>
      <w:pPr>
        <w:tabs>
          <w:tab w:val="num" w:pos="2520"/>
        </w:tabs>
        <w:ind w:left="2520" w:hanging="2160"/>
      </w:pPr>
      <w:rPr>
        <w:rFonts w:hint="default"/>
      </w:rPr>
    </w:lvl>
  </w:abstractNum>
  <w:abstractNum w:abstractNumId="73" w15:restartNumberingAfterBreak="0">
    <w:nsid w:val="6639772C"/>
    <w:multiLevelType w:val="multilevel"/>
    <w:tmpl w:val="6B227D6A"/>
    <w:lvl w:ilvl="0">
      <w:start w:val="4"/>
      <w:numFmt w:val="decimal"/>
      <w:lvlText w:val="%1."/>
      <w:lvlJc w:val="left"/>
      <w:pPr>
        <w:ind w:left="360" w:hanging="360"/>
      </w:pPr>
      <w:rPr>
        <w:rFonts w:hint="default"/>
      </w:rPr>
    </w:lvl>
    <w:lvl w:ilvl="1">
      <w:start w:val="1"/>
      <w:numFmt w:val="decimal"/>
      <w:lvlText w:val="%1.%2."/>
      <w:lvlJc w:val="left"/>
      <w:pPr>
        <w:ind w:left="540" w:hanging="36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74" w15:restartNumberingAfterBreak="0">
    <w:nsid w:val="686C37E9"/>
    <w:multiLevelType w:val="multilevel"/>
    <w:tmpl w:val="73F610C6"/>
    <w:lvl w:ilvl="0">
      <w:start w:val="1"/>
      <w:numFmt w:val="decimal"/>
      <w:lvlText w:val="%1."/>
      <w:lvlJc w:val="left"/>
      <w:pPr>
        <w:ind w:left="5889" w:hanging="360"/>
      </w:pPr>
      <w:rPr>
        <w:rFonts w:ascii="Arial Narrow" w:eastAsia="Calibri" w:hAnsi="Arial Narrow" w:cs="Arial"/>
      </w:rPr>
    </w:lvl>
    <w:lvl w:ilvl="1">
      <w:start w:val="1"/>
      <w:numFmt w:val="decimal"/>
      <w:lvlText w:val="%1.%2."/>
      <w:lvlJc w:val="left"/>
      <w:pPr>
        <w:ind w:left="792" w:hanging="432"/>
      </w:pPr>
      <w:rPr>
        <w:b/>
        <w:color w:val="auto"/>
      </w:rPr>
    </w:lvl>
    <w:lvl w:ilvl="2">
      <w:start w:val="1"/>
      <w:numFmt w:val="decimal"/>
      <w:lvlText w:val="%1.%2.%3."/>
      <w:lvlJc w:val="left"/>
      <w:pPr>
        <w:ind w:left="1224" w:hanging="504"/>
      </w:pPr>
      <w:rPr>
        <w:b/>
      </w:rPr>
    </w:lvl>
    <w:lvl w:ilvl="3">
      <w:start w:val="1"/>
      <w:numFmt w:val="decimal"/>
      <w:lvlText w:val="%1.%2.%3.%4."/>
      <w:lvlJc w:val="left"/>
      <w:pPr>
        <w:ind w:left="1728" w:hanging="648"/>
      </w:pPr>
      <w:rPr>
        <w:b/>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5" w15:restartNumberingAfterBreak="0">
    <w:nsid w:val="6A12154A"/>
    <w:multiLevelType w:val="hybridMultilevel"/>
    <w:tmpl w:val="8764A96C"/>
    <w:lvl w:ilvl="0" w:tplc="15D01E08">
      <w:start w:val="1"/>
      <w:numFmt w:val="bullet"/>
      <w:lvlText w:val="-"/>
      <w:lvlJc w:val="left"/>
      <w:pPr>
        <w:ind w:left="1068" w:hanging="360"/>
      </w:pPr>
      <w:rPr>
        <w:rFonts w:ascii="Arial Narrow" w:hAnsi="Arial Narrow"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76" w15:restartNumberingAfterBreak="0">
    <w:nsid w:val="6B3C2EFD"/>
    <w:multiLevelType w:val="hybridMultilevel"/>
    <w:tmpl w:val="B9DE30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7" w15:restartNumberingAfterBreak="0">
    <w:nsid w:val="6CC173DF"/>
    <w:multiLevelType w:val="hybridMultilevel"/>
    <w:tmpl w:val="0D76ADF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8" w15:restartNumberingAfterBreak="0">
    <w:nsid w:val="6D372BD4"/>
    <w:multiLevelType w:val="multilevel"/>
    <w:tmpl w:val="2E6EA752"/>
    <w:lvl w:ilvl="0">
      <w:start w:val="3"/>
      <w:numFmt w:val="decimal"/>
      <w:lvlText w:val="%1."/>
      <w:lvlJc w:val="left"/>
      <w:pPr>
        <w:ind w:left="360" w:hanging="360"/>
      </w:pPr>
      <w:rPr>
        <w:rFonts w:hint="default"/>
      </w:rPr>
    </w:lvl>
    <w:lvl w:ilvl="1">
      <w:start w:val="1"/>
      <w:numFmt w:val="decimal"/>
      <w:lvlText w:val="%1.%2."/>
      <w:lvlJc w:val="left"/>
      <w:pPr>
        <w:ind w:left="540" w:hanging="36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79" w15:restartNumberingAfterBreak="0">
    <w:nsid w:val="70874CBF"/>
    <w:multiLevelType w:val="hybridMultilevel"/>
    <w:tmpl w:val="1B8A038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75341D26"/>
    <w:multiLevelType w:val="hybridMultilevel"/>
    <w:tmpl w:val="C4AA5064"/>
    <w:lvl w:ilvl="0" w:tplc="CEE239F6">
      <w:start w:val="3"/>
      <w:numFmt w:val="upperRoman"/>
      <w:lvlText w:val="%1."/>
      <w:lvlJc w:val="right"/>
      <w:pPr>
        <w:tabs>
          <w:tab w:val="num" w:pos="4433"/>
        </w:tabs>
        <w:ind w:left="4433" w:hanging="180"/>
      </w:pPr>
      <w:rPr>
        <w:rFonts w:cs="Times New Roman" w:hint="default"/>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766A002C"/>
    <w:multiLevelType w:val="hybridMultilevel"/>
    <w:tmpl w:val="8B2CB86A"/>
    <w:lvl w:ilvl="0" w:tplc="04090005">
      <w:start w:val="1"/>
      <w:numFmt w:val="bullet"/>
      <w:lvlText w:val=""/>
      <w:lvlJc w:val="left"/>
      <w:pPr>
        <w:ind w:left="1446" w:hanging="360"/>
      </w:pPr>
      <w:rPr>
        <w:rFonts w:ascii="Wingdings" w:hAnsi="Wingdings" w:hint="default"/>
      </w:rPr>
    </w:lvl>
    <w:lvl w:ilvl="1" w:tplc="04090003" w:tentative="1">
      <w:start w:val="1"/>
      <w:numFmt w:val="bullet"/>
      <w:lvlText w:val="o"/>
      <w:lvlJc w:val="left"/>
      <w:pPr>
        <w:ind w:left="2166" w:hanging="360"/>
      </w:pPr>
      <w:rPr>
        <w:rFonts w:ascii="Courier New" w:hAnsi="Courier New" w:cs="Courier New" w:hint="default"/>
      </w:rPr>
    </w:lvl>
    <w:lvl w:ilvl="2" w:tplc="04090005" w:tentative="1">
      <w:start w:val="1"/>
      <w:numFmt w:val="bullet"/>
      <w:lvlText w:val=""/>
      <w:lvlJc w:val="left"/>
      <w:pPr>
        <w:ind w:left="2886" w:hanging="360"/>
      </w:pPr>
      <w:rPr>
        <w:rFonts w:ascii="Wingdings" w:hAnsi="Wingdings" w:hint="default"/>
      </w:rPr>
    </w:lvl>
    <w:lvl w:ilvl="3" w:tplc="04090001" w:tentative="1">
      <w:start w:val="1"/>
      <w:numFmt w:val="bullet"/>
      <w:lvlText w:val=""/>
      <w:lvlJc w:val="left"/>
      <w:pPr>
        <w:ind w:left="3606" w:hanging="360"/>
      </w:pPr>
      <w:rPr>
        <w:rFonts w:ascii="Symbol" w:hAnsi="Symbol" w:hint="default"/>
      </w:rPr>
    </w:lvl>
    <w:lvl w:ilvl="4" w:tplc="04090003" w:tentative="1">
      <w:start w:val="1"/>
      <w:numFmt w:val="bullet"/>
      <w:lvlText w:val="o"/>
      <w:lvlJc w:val="left"/>
      <w:pPr>
        <w:ind w:left="4326" w:hanging="360"/>
      </w:pPr>
      <w:rPr>
        <w:rFonts w:ascii="Courier New" w:hAnsi="Courier New" w:cs="Courier New" w:hint="default"/>
      </w:rPr>
    </w:lvl>
    <w:lvl w:ilvl="5" w:tplc="04090005" w:tentative="1">
      <w:start w:val="1"/>
      <w:numFmt w:val="bullet"/>
      <w:lvlText w:val=""/>
      <w:lvlJc w:val="left"/>
      <w:pPr>
        <w:ind w:left="5046" w:hanging="360"/>
      </w:pPr>
      <w:rPr>
        <w:rFonts w:ascii="Wingdings" w:hAnsi="Wingdings" w:hint="default"/>
      </w:rPr>
    </w:lvl>
    <w:lvl w:ilvl="6" w:tplc="04090001" w:tentative="1">
      <w:start w:val="1"/>
      <w:numFmt w:val="bullet"/>
      <w:lvlText w:val=""/>
      <w:lvlJc w:val="left"/>
      <w:pPr>
        <w:ind w:left="5766" w:hanging="360"/>
      </w:pPr>
      <w:rPr>
        <w:rFonts w:ascii="Symbol" w:hAnsi="Symbol" w:hint="default"/>
      </w:rPr>
    </w:lvl>
    <w:lvl w:ilvl="7" w:tplc="04090003" w:tentative="1">
      <w:start w:val="1"/>
      <w:numFmt w:val="bullet"/>
      <w:lvlText w:val="o"/>
      <w:lvlJc w:val="left"/>
      <w:pPr>
        <w:ind w:left="6486" w:hanging="360"/>
      </w:pPr>
      <w:rPr>
        <w:rFonts w:ascii="Courier New" w:hAnsi="Courier New" w:cs="Courier New" w:hint="default"/>
      </w:rPr>
    </w:lvl>
    <w:lvl w:ilvl="8" w:tplc="04090005" w:tentative="1">
      <w:start w:val="1"/>
      <w:numFmt w:val="bullet"/>
      <w:lvlText w:val=""/>
      <w:lvlJc w:val="left"/>
      <w:pPr>
        <w:ind w:left="7206" w:hanging="360"/>
      </w:pPr>
      <w:rPr>
        <w:rFonts w:ascii="Wingdings" w:hAnsi="Wingdings" w:hint="default"/>
      </w:rPr>
    </w:lvl>
  </w:abstractNum>
  <w:abstractNum w:abstractNumId="82" w15:restartNumberingAfterBreak="0">
    <w:nsid w:val="76D525D8"/>
    <w:multiLevelType w:val="multilevel"/>
    <w:tmpl w:val="52E6C6A2"/>
    <w:lvl w:ilvl="0">
      <w:start w:val="1"/>
      <w:numFmt w:val="decimal"/>
      <w:lvlText w:val="%1."/>
      <w:lvlJc w:val="left"/>
      <w:pPr>
        <w:ind w:left="504" w:hanging="504"/>
      </w:pPr>
      <w:rPr>
        <w:rFonts w:hint="default"/>
      </w:rPr>
    </w:lvl>
    <w:lvl w:ilvl="1">
      <w:start w:val="2"/>
      <w:numFmt w:val="decimal"/>
      <w:lvlText w:val="%1.%2."/>
      <w:lvlJc w:val="left"/>
      <w:pPr>
        <w:ind w:left="858" w:hanging="504"/>
      </w:pPr>
      <w:rPr>
        <w:rFonts w:hint="default"/>
        <w:b/>
        <w:color w:val="auto"/>
        <w:sz w:val="24"/>
        <w:szCs w:val="24"/>
      </w:rPr>
    </w:lvl>
    <w:lvl w:ilvl="2">
      <w:start w:val="1"/>
      <w:numFmt w:val="decimal"/>
      <w:lvlText w:val="%1.%2.%3."/>
      <w:lvlJc w:val="left"/>
      <w:pPr>
        <w:ind w:left="1428" w:hanging="720"/>
      </w:pPr>
      <w:rPr>
        <w:rFonts w:hint="default"/>
        <w:sz w:val="24"/>
      </w:rPr>
    </w:lvl>
    <w:lvl w:ilvl="3">
      <w:start w:val="1"/>
      <w:numFmt w:val="decimal"/>
      <w:lvlText w:val="%1.%2.%3.%4."/>
      <w:lvlJc w:val="left"/>
      <w:pPr>
        <w:ind w:left="1782" w:hanging="720"/>
      </w:pPr>
      <w:rPr>
        <w:rFonts w:hint="default"/>
        <w:color w:val="auto"/>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83" w15:restartNumberingAfterBreak="0">
    <w:nsid w:val="77DC7595"/>
    <w:multiLevelType w:val="hybridMultilevel"/>
    <w:tmpl w:val="3CC4A98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78BC2853"/>
    <w:multiLevelType w:val="hybridMultilevel"/>
    <w:tmpl w:val="2326B0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5" w15:restartNumberingAfterBreak="0">
    <w:nsid w:val="78CC0A95"/>
    <w:multiLevelType w:val="hybridMultilevel"/>
    <w:tmpl w:val="3F7C002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7BF9649E"/>
    <w:multiLevelType w:val="hybridMultilevel"/>
    <w:tmpl w:val="BAE447C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7D7F3372"/>
    <w:multiLevelType w:val="hybridMultilevel"/>
    <w:tmpl w:val="E19E2222"/>
    <w:lvl w:ilvl="0" w:tplc="DBA28F5E">
      <w:start w:val="1"/>
      <w:numFmt w:val="bullet"/>
      <w:lvlText w:val=""/>
      <w:lvlJc w:val="righ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88" w15:restartNumberingAfterBreak="0">
    <w:nsid w:val="7E056CE5"/>
    <w:multiLevelType w:val="hybridMultilevel"/>
    <w:tmpl w:val="6D54B2C2"/>
    <w:lvl w:ilvl="0" w:tplc="B97A209C">
      <w:numFmt w:val="bullet"/>
      <w:lvlText w:val="-"/>
      <w:lvlJc w:val="left"/>
      <w:pPr>
        <w:ind w:left="720" w:hanging="360"/>
      </w:pPr>
      <w:rPr>
        <w:rFonts w:ascii="Times New Roman" w:eastAsia="Times New Roman" w:hAnsi="Times New Roman" w:hint="default"/>
        <w:b/>
        <w:bCs/>
      </w:rPr>
    </w:lvl>
    <w:lvl w:ilvl="1" w:tplc="4BD6B6F4">
      <w:start w:val="1"/>
      <w:numFmt w:val="bullet"/>
      <w:lvlText w:val="o"/>
      <w:lvlJc w:val="left"/>
      <w:pPr>
        <w:ind w:left="1440" w:hanging="360"/>
      </w:pPr>
      <w:rPr>
        <w:rFonts w:ascii="Courier New" w:hAnsi="Courier New" w:cs="Courier New" w:hint="default"/>
        <w:sz w:val="20"/>
        <w:szCs w:val="20"/>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89" w15:restartNumberingAfterBreak="0">
    <w:nsid w:val="7F3560A7"/>
    <w:multiLevelType w:val="hybridMultilevel"/>
    <w:tmpl w:val="6D4EE982"/>
    <w:lvl w:ilvl="0" w:tplc="A71E963C">
      <w:start w:val="1"/>
      <w:numFmt w:val="decimal"/>
      <w:lvlText w:val="3.%1."/>
      <w:lvlJc w:val="left"/>
      <w:pPr>
        <w:ind w:left="117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7FED6A63"/>
    <w:multiLevelType w:val="hybridMultilevel"/>
    <w:tmpl w:val="6B84471E"/>
    <w:lvl w:ilvl="0" w:tplc="04020001">
      <w:start w:val="1"/>
      <w:numFmt w:val="bullet"/>
      <w:lvlText w:val=""/>
      <w:lvlJc w:val="left"/>
      <w:pPr>
        <w:tabs>
          <w:tab w:val="num" w:pos="720"/>
        </w:tabs>
        <w:ind w:left="720" w:hanging="360"/>
      </w:pPr>
      <w:rPr>
        <w:rFonts w:ascii="Symbol" w:hAnsi="Symbol" w:hint="default"/>
      </w:rPr>
    </w:lvl>
    <w:lvl w:ilvl="1" w:tplc="04020003" w:tentative="1">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num w:numId="1" w16cid:durableId="1812093234">
    <w:abstractNumId w:val="65"/>
  </w:num>
  <w:num w:numId="2" w16cid:durableId="377972052">
    <w:abstractNumId w:val="4"/>
  </w:num>
  <w:num w:numId="3" w16cid:durableId="183785658">
    <w:abstractNumId w:val="74"/>
  </w:num>
  <w:num w:numId="4" w16cid:durableId="1359819155">
    <w:abstractNumId w:val="35"/>
  </w:num>
  <w:num w:numId="5" w16cid:durableId="1862164997">
    <w:abstractNumId w:val="10"/>
  </w:num>
  <w:num w:numId="6" w16cid:durableId="1654530639">
    <w:abstractNumId w:val="72"/>
  </w:num>
  <w:num w:numId="7" w16cid:durableId="1789616760">
    <w:abstractNumId w:val="28"/>
  </w:num>
  <w:num w:numId="8" w16cid:durableId="1152796840">
    <w:abstractNumId w:val="42"/>
  </w:num>
  <w:num w:numId="9" w16cid:durableId="2049211516">
    <w:abstractNumId w:val="31"/>
  </w:num>
  <w:num w:numId="10" w16cid:durableId="1703674917">
    <w:abstractNumId w:val="50"/>
  </w:num>
  <w:num w:numId="11" w16cid:durableId="1128091501">
    <w:abstractNumId w:val="8"/>
  </w:num>
  <w:num w:numId="12" w16cid:durableId="37975715">
    <w:abstractNumId w:val="69"/>
  </w:num>
  <w:num w:numId="13" w16cid:durableId="1903245936">
    <w:abstractNumId w:val="26"/>
  </w:num>
  <w:num w:numId="14" w16cid:durableId="1300846005">
    <w:abstractNumId w:val="80"/>
  </w:num>
  <w:num w:numId="15" w16cid:durableId="377124712">
    <w:abstractNumId w:val="81"/>
  </w:num>
  <w:num w:numId="16" w16cid:durableId="84613533">
    <w:abstractNumId w:val="15"/>
  </w:num>
  <w:num w:numId="17" w16cid:durableId="473450960">
    <w:abstractNumId w:val="45"/>
  </w:num>
  <w:num w:numId="18" w16cid:durableId="1071926352">
    <w:abstractNumId w:val="56"/>
  </w:num>
  <w:num w:numId="19" w16cid:durableId="1308318305">
    <w:abstractNumId w:val="3"/>
  </w:num>
  <w:num w:numId="20" w16cid:durableId="429086662">
    <w:abstractNumId w:val="12"/>
  </w:num>
  <w:num w:numId="21" w16cid:durableId="1380322032">
    <w:abstractNumId w:val="78"/>
  </w:num>
  <w:num w:numId="22" w16cid:durableId="199050431">
    <w:abstractNumId w:val="7"/>
  </w:num>
  <w:num w:numId="23" w16cid:durableId="1850098108">
    <w:abstractNumId w:val="13"/>
  </w:num>
  <w:num w:numId="24" w16cid:durableId="804808497">
    <w:abstractNumId w:val="73"/>
  </w:num>
  <w:num w:numId="25" w16cid:durableId="557670521">
    <w:abstractNumId w:val="44"/>
  </w:num>
  <w:num w:numId="26" w16cid:durableId="1731998815">
    <w:abstractNumId w:val="25"/>
  </w:num>
  <w:num w:numId="27" w16cid:durableId="1953511120">
    <w:abstractNumId w:val="39"/>
  </w:num>
  <w:num w:numId="28" w16cid:durableId="1134641577">
    <w:abstractNumId w:val="66"/>
  </w:num>
  <w:num w:numId="29" w16cid:durableId="201359206">
    <w:abstractNumId w:val="2"/>
  </w:num>
  <w:num w:numId="30" w16cid:durableId="126238423">
    <w:abstractNumId w:val="6"/>
  </w:num>
  <w:num w:numId="31" w16cid:durableId="1489318774">
    <w:abstractNumId w:val="33"/>
  </w:num>
  <w:num w:numId="32" w16cid:durableId="2094012421">
    <w:abstractNumId w:val="89"/>
  </w:num>
  <w:num w:numId="33" w16cid:durableId="892814667">
    <w:abstractNumId w:val="82"/>
  </w:num>
  <w:num w:numId="34" w16cid:durableId="1911649642">
    <w:abstractNumId w:val="48"/>
  </w:num>
  <w:num w:numId="35" w16cid:durableId="396975627">
    <w:abstractNumId w:val="71"/>
  </w:num>
  <w:num w:numId="36" w16cid:durableId="2078624421">
    <w:abstractNumId w:val="19"/>
  </w:num>
  <w:num w:numId="37" w16cid:durableId="50228346">
    <w:abstractNumId w:val="88"/>
  </w:num>
  <w:num w:numId="38" w16cid:durableId="2138451021">
    <w:abstractNumId w:val="54"/>
  </w:num>
  <w:num w:numId="39" w16cid:durableId="1690179305">
    <w:abstractNumId w:val="70"/>
  </w:num>
  <w:num w:numId="40" w16cid:durableId="2033071812">
    <w:abstractNumId w:val="0"/>
  </w:num>
  <w:num w:numId="41" w16cid:durableId="419568715">
    <w:abstractNumId w:val="27"/>
  </w:num>
  <w:num w:numId="42" w16cid:durableId="774834937">
    <w:abstractNumId w:val="32"/>
  </w:num>
  <w:num w:numId="43" w16cid:durableId="146560961">
    <w:abstractNumId w:val="40"/>
  </w:num>
  <w:num w:numId="44" w16cid:durableId="972903088">
    <w:abstractNumId w:val="22"/>
  </w:num>
  <w:num w:numId="45" w16cid:durableId="1128668215">
    <w:abstractNumId w:val="30"/>
  </w:num>
  <w:num w:numId="46" w16cid:durableId="1173490226">
    <w:abstractNumId w:val="14"/>
  </w:num>
  <w:num w:numId="47" w16cid:durableId="79373610">
    <w:abstractNumId w:val="87"/>
  </w:num>
  <w:num w:numId="48" w16cid:durableId="1708601379">
    <w:abstractNumId w:val="84"/>
  </w:num>
  <w:num w:numId="49" w16cid:durableId="650257006">
    <w:abstractNumId w:val="77"/>
  </w:num>
  <w:num w:numId="50" w16cid:durableId="794444004">
    <w:abstractNumId w:val="5"/>
  </w:num>
  <w:num w:numId="51" w16cid:durableId="1834878024">
    <w:abstractNumId w:val="76"/>
  </w:num>
  <w:num w:numId="52" w16cid:durableId="868568379">
    <w:abstractNumId w:val="51"/>
  </w:num>
  <w:num w:numId="53" w16cid:durableId="1937979789">
    <w:abstractNumId w:val="9"/>
  </w:num>
  <w:num w:numId="54" w16cid:durableId="1304694544">
    <w:abstractNumId w:val="20"/>
  </w:num>
  <w:num w:numId="55" w16cid:durableId="1422019799">
    <w:abstractNumId w:val="52"/>
  </w:num>
  <w:num w:numId="56" w16cid:durableId="769424746">
    <w:abstractNumId w:val="90"/>
  </w:num>
  <w:num w:numId="57" w16cid:durableId="340862457">
    <w:abstractNumId w:val="59"/>
  </w:num>
  <w:num w:numId="58" w16cid:durableId="1683779558">
    <w:abstractNumId w:val="46"/>
  </w:num>
  <w:num w:numId="59" w16cid:durableId="416709042">
    <w:abstractNumId w:val="53"/>
  </w:num>
  <w:num w:numId="60" w16cid:durableId="2136365004">
    <w:abstractNumId w:val="63"/>
  </w:num>
  <w:num w:numId="61" w16cid:durableId="661811197">
    <w:abstractNumId w:val="38"/>
  </w:num>
  <w:num w:numId="62" w16cid:durableId="1774353752">
    <w:abstractNumId w:val="23"/>
  </w:num>
  <w:num w:numId="63" w16cid:durableId="1824807534">
    <w:abstractNumId w:val="86"/>
  </w:num>
  <w:num w:numId="64" w16cid:durableId="957101141">
    <w:abstractNumId w:val="24"/>
  </w:num>
  <w:num w:numId="65" w16cid:durableId="2071226206">
    <w:abstractNumId w:val="58"/>
  </w:num>
  <w:num w:numId="66" w16cid:durableId="1565601277">
    <w:abstractNumId w:val="34"/>
  </w:num>
  <w:num w:numId="67" w16cid:durableId="1439179090">
    <w:abstractNumId w:val="29"/>
  </w:num>
  <w:num w:numId="68" w16cid:durableId="1489639130">
    <w:abstractNumId w:val="64"/>
  </w:num>
  <w:num w:numId="69" w16cid:durableId="1298608010">
    <w:abstractNumId w:val="17"/>
  </w:num>
  <w:num w:numId="70" w16cid:durableId="544098067">
    <w:abstractNumId w:val="16"/>
  </w:num>
  <w:num w:numId="71" w16cid:durableId="634262236">
    <w:abstractNumId w:val="61"/>
  </w:num>
  <w:num w:numId="72" w16cid:durableId="1972055925">
    <w:abstractNumId w:val="55"/>
  </w:num>
  <w:num w:numId="73" w16cid:durableId="2140762319">
    <w:abstractNumId w:val="85"/>
  </w:num>
  <w:num w:numId="74" w16cid:durableId="96020861">
    <w:abstractNumId w:val="60"/>
  </w:num>
  <w:num w:numId="75" w16cid:durableId="207762806">
    <w:abstractNumId w:val="83"/>
  </w:num>
  <w:num w:numId="76" w16cid:durableId="1477528305">
    <w:abstractNumId w:val="79"/>
  </w:num>
  <w:num w:numId="77" w16cid:durableId="1332760913">
    <w:abstractNumId w:val="62"/>
  </w:num>
  <w:num w:numId="78" w16cid:durableId="1262572549">
    <w:abstractNumId w:val="57"/>
  </w:num>
  <w:num w:numId="79" w16cid:durableId="2018730452">
    <w:abstractNumId w:val="1"/>
  </w:num>
  <w:num w:numId="80" w16cid:durableId="1171674327">
    <w:abstractNumId w:val="11"/>
  </w:num>
  <w:num w:numId="81" w16cid:durableId="382603124">
    <w:abstractNumId w:val="67"/>
  </w:num>
  <w:num w:numId="82" w16cid:durableId="1523394627">
    <w:abstractNumId w:val="36"/>
  </w:num>
  <w:num w:numId="83" w16cid:durableId="396248051">
    <w:abstractNumId w:val="21"/>
  </w:num>
  <w:num w:numId="84" w16cid:durableId="1790204255">
    <w:abstractNumId w:val="49"/>
  </w:num>
  <w:num w:numId="85" w16cid:durableId="2050258038">
    <w:abstractNumId w:val="18"/>
  </w:num>
  <w:num w:numId="86" w16cid:durableId="1116093874">
    <w:abstractNumId w:val="68"/>
  </w:num>
  <w:num w:numId="87" w16cid:durableId="940382783">
    <w:abstractNumId w:val="43"/>
  </w:num>
  <w:num w:numId="88" w16cid:durableId="1374237042">
    <w:abstractNumId w:val="75"/>
  </w:num>
  <w:num w:numId="89" w16cid:durableId="1735659099">
    <w:abstractNumId w:val="37"/>
  </w:num>
  <w:num w:numId="90" w16cid:durableId="772243044">
    <w:abstractNumId w:val="47"/>
  </w:num>
  <w:num w:numId="91" w16cid:durableId="1542549085">
    <w:abstractNumId w:val="41"/>
  </w:num>
  <w:numIdMacAtCleanup w:val="9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hideSpellingErrors/>
  <w:hideGrammaticalErrors/>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502F"/>
    <w:rsid w:val="00000225"/>
    <w:rsid w:val="00000291"/>
    <w:rsid w:val="00001CA0"/>
    <w:rsid w:val="00002589"/>
    <w:rsid w:val="00003162"/>
    <w:rsid w:val="00003C58"/>
    <w:rsid w:val="00003D09"/>
    <w:rsid w:val="00004B2D"/>
    <w:rsid w:val="00004B6A"/>
    <w:rsid w:val="00004CF7"/>
    <w:rsid w:val="000052E6"/>
    <w:rsid w:val="0000564C"/>
    <w:rsid w:val="00005F2A"/>
    <w:rsid w:val="00006321"/>
    <w:rsid w:val="00006630"/>
    <w:rsid w:val="00006DE1"/>
    <w:rsid w:val="000079E5"/>
    <w:rsid w:val="00007F21"/>
    <w:rsid w:val="00010F61"/>
    <w:rsid w:val="000111BE"/>
    <w:rsid w:val="00011687"/>
    <w:rsid w:val="00011CBC"/>
    <w:rsid w:val="00011D92"/>
    <w:rsid w:val="00011F23"/>
    <w:rsid w:val="00012A2B"/>
    <w:rsid w:val="00012C3E"/>
    <w:rsid w:val="00013528"/>
    <w:rsid w:val="00013A8B"/>
    <w:rsid w:val="00014354"/>
    <w:rsid w:val="0001476B"/>
    <w:rsid w:val="0001624D"/>
    <w:rsid w:val="00016297"/>
    <w:rsid w:val="00016769"/>
    <w:rsid w:val="00016900"/>
    <w:rsid w:val="00016B4F"/>
    <w:rsid w:val="00017769"/>
    <w:rsid w:val="00017AA9"/>
    <w:rsid w:val="000204C7"/>
    <w:rsid w:val="00020C2C"/>
    <w:rsid w:val="00020D1F"/>
    <w:rsid w:val="00020F95"/>
    <w:rsid w:val="00021F96"/>
    <w:rsid w:val="00022059"/>
    <w:rsid w:val="0002228D"/>
    <w:rsid w:val="00022DA1"/>
    <w:rsid w:val="000234E2"/>
    <w:rsid w:val="00024D76"/>
    <w:rsid w:val="00025B73"/>
    <w:rsid w:val="0002746D"/>
    <w:rsid w:val="0002797B"/>
    <w:rsid w:val="00027ABB"/>
    <w:rsid w:val="00027BAE"/>
    <w:rsid w:val="00027C03"/>
    <w:rsid w:val="00027F10"/>
    <w:rsid w:val="000301ED"/>
    <w:rsid w:val="000303EC"/>
    <w:rsid w:val="000305E7"/>
    <w:rsid w:val="00030991"/>
    <w:rsid w:val="00030C60"/>
    <w:rsid w:val="0003243C"/>
    <w:rsid w:val="00032B83"/>
    <w:rsid w:val="000335D3"/>
    <w:rsid w:val="000337A3"/>
    <w:rsid w:val="00033EC2"/>
    <w:rsid w:val="00034248"/>
    <w:rsid w:val="000344E2"/>
    <w:rsid w:val="000358E2"/>
    <w:rsid w:val="00035BBD"/>
    <w:rsid w:val="00036533"/>
    <w:rsid w:val="00036DBD"/>
    <w:rsid w:val="00036F04"/>
    <w:rsid w:val="00036F11"/>
    <w:rsid w:val="00036F9D"/>
    <w:rsid w:val="00037501"/>
    <w:rsid w:val="00040BF7"/>
    <w:rsid w:val="00041175"/>
    <w:rsid w:val="00041763"/>
    <w:rsid w:val="00042B47"/>
    <w:rsid w:val="00042C20"/>
    <w:rsid w:val="0004371B"/>
    <w:rsid w:val="00044246"/>
    <w:rsid w:val="00044F8C"/>
    <w:rsid w:val="000453A0"/>
    <w:rsid w:val="000455D2"/>
    <w:rsid w:val="00046122"/>
    <w:rsid w:val="000465DB"/>
    <w:rsid w:val="000472EA"/>
    <w:rsid w:val="00047A95"/>
    <w:rsid w:val="000507C7"/>
    <w:rsid w:val="00051C31"/>
    <w:rsid w:val="00051C70"/>
    <w:rsid w:val="00051DFA"/>
    <w:rsid w:val="000522E7"/>
    <w:rsid w:val="00052B78"/>
    <w:rsid w:val="00053378"/>
    <w:rsid w:val="00053F60"/>
    <w:rsid w:val="000559B6"/>
    <w:rsid w:val="0005600A"/>
    <w:rsid w:val="000564C8"/>
    <w:rsid w:val="00056600"/>
    <w:rsid w:val="000569B7"/>
    <w:rsid w:val="00056CCF"/>
    <w:rsid w:val="00057691"/>
    <w:rsid w:val="00057817"/>
    <w:rsid w:val="00057B12"/>
    <w:rsid w:val="00061169"/>
    <w:rsid w:val="000618C2"/>
    <w:rsid w:val="00061A8B"/>
    <w:rsid w:val="00061F1C"/>
    <w:rsid w:val="0006254B"/>
    <w:rsid w:val="00062A32"/>
    <w:rsid w:val="00062AAC"/>
    <w:rsid w:val="0006312F"/>
    <w:rsid w:val="00064298"/>
    <w:rsid w:val="000642DA"/>
    <w:rsid w:val="00064381"/>
    <w:rsid w:val="000650E2"/>
    <w:rsid w:val="00065B4A"/>
    <w:rsid w:val="000661DB"/>
    <w:rsid w:val="000666B3"/>
    <w:rsid w:val="000668E8"/>
    <w:rsid w:val="000669CB"/>
    <w:rsid w:val="00066AAB"/>
    <w:rsid w:val="00070A0A"/>
    <w:rsid w:val="00071256"/>
    <w:rsid w:val="000716DE"/>
    <w:rsid w:val="00071907"/>
    <w:rsid w:val="00072EFE"/>
    <w:rsid w:val="00073105"/>
    <w:rsid w:val="00073532"/>
    <w:rsid w:val="00073C45"/>
    <w:rsid w:val="00074795"/>
    <w:rsid w:val="00074884"/>
    <w:rsid w:val="000750B9"/>
    <w:rsid w:val="000753AC"/>
    <w:rsid w:val="000758A9"/>
    <w:rsid w:val="0007641A"/>
    <w:rsid w:val="0007643D"/>
    <w:rsid w:val="0007687E"/>
    <w:rsid w:val="00076D94"/>
    <w:rsid w:val="00080EBA"/>
    <w:rsid w:val="0008166E"/>
    <w:rsid w:val="000819FD"/>
    <w:rsid w:val="00081A49"/>
    <w:rsid w:val="00081D47"/>
    <w:rsid w:val="0008206B"/>
    <w:rsid w:val="00082539"/>
    <w:rsid w:val="000829A0"/>
    <w:rsid w:val="00082AA5"/>
    <w:rsid w:val="0008449B"/>
    <w:rsid w:val="000845E2"/>
    <w:rsid w:val="000846AD"/>
    <w:rsid w:val="00085003"/>
    <w:rsid w:val="000862DA"/>
    <w:rsid w:val="00087474"/>
    <w:rsid w:val="00090745"/>
    <w:rsid w:val="000914FD"/>
    <w:rsid w:val="00091A58"/>
    <w:rsid w:val="00091FFC"/>
    <w:rsid w:val="0009317D"/>
    <w:rsid w:val="00093291"/>
    <w:rsid w:val="000932D6"/>
    <w:rsid w:val="00093374"/>
    <w:rsid w:val="00093755"/>
    <w:rsid w:val="0009440D"/>
    <w:rsid w:val="00094A6F"/>
    <w:rsid w:val="0009502F"/>
    <w:rsid w:val="0009534E"/>
    <w:rsid w:val="00095566"/>
    <w:rsid w:val="00096A09"/>
    <w:rsid w:val="00096C73"/>
    <w:rsid w:val="00096FA4"/>
    <w:rsid w:val="000A0B40"/>
    <w:rsid w:val="000A11D6"/>
    <w:rsid w:val="000A13FD"/>
    <w:rsid w:val="000A1857"/>
    <w:rsid w:val="000A195F"/>
    <w:rsid w:val="000A19E9"/>
    <w:rsid w:val="000A20EB"/>
    <w:rsid w:val="000A25E2"/>
    <w:rsid w:val="000A328E"/>
    <w:rsid w:val="000A34D8"/>
    <w:rsid w:val="000A3550"/>
    <w:rsid w:val="000A3A22"/>
    <w:rsid w:val="000A3A94"/>
    <w:rsid w:val="000A44F0"/>
    <w:rsid w:val="000A4BF1"/>
    <w:rsid w:val="000A6033"/>
    <w:rsid w:val="000A6059"/>
    <w:rsid w:val="000A60EE"/>
    <w:rsid w:val="000A6609"/>
    <w:rsid w:val="000A7662"/>
    <w:rsid w:val="000B1530"/>
    <w:rsid w:val="000B175A"/>
    <w:rsid w:val="000B1C49"/>
    <w:rsid w:val="000B1FBA"/>
    <w:rsid w:val="000B2CAB"/>
    <w:rsid w:val="000B37E7"/>
    <w:rsid w:val="000B3865"/>
    <w:rsid w:val="000B3AB8"/>
    <w:rsid w:val="000B3CF0"/>
    <w:rsid w:val="000B4154"/>
    <w:rsid w:val="000B4BE4"/>
    <w:rsid w:val="000B4BE6"/>
    <w:rsid w:val="000B50F7"/>
    <w:rsid w:val="000B5611"/>
    <w:rsid w:val="000B636B"/>
    <w:rsid w:val="000B752E"/>
    <w:rsid w:val="000B7C59"/>
    <w:rsid w:val="000B7C63"/>
    <w:rsid w:val="000B7F9F"/>
    <w:rsid w:val="000C0112"/>
    <w:rsid w:val="000C07B7"/>
    <w:rsid w:val="000C092E"/>
    <w:rsid w:val="000C0CD9"/>
    <w:rsid w:val="000C11FD"/>
    <w:rsid w:val="000C186A"/>
    <w:rsid w:val="000C2447"/>
    <w:rsid w:val="000C2611"/>
    <w:rsid w:val="000C2916"/>
    <w:rsid w:val="000C2B48"/>
    <w:rsid w:val="000C3109"/>
    <w:rsid w:val="000C431A"/>
    <w:rsid w:val="000C479B"/>
    <w:rsid w:val="000C4EBD"/>
    <w:rsid w:val="000C532D"/>
    <w:rsid w:val="000C53E1"/>
    <w:rsid w:val="000C5615"/>
    <w:rsid w:val="000C612C"/>
    <w:rsid w:val="000C7638"/>
    <w:rsid w:val="000C78B0"/>
    <w:rsid w:val="000C7D03"/>
    <w:rsid w:val="000D000F"/>
    <w:rsid w:val="000D006C"/>
    <w:rsid w:val="000D0A8E"/>
    <w:rsid w:val="000D1A29"/>
    <w:rsid w:val="000D1F97"/>
    <w:rsid w:val="000D266B"/>
    <w:rsid w:val="000D26A8"/>
    <w:rsid w:val="000D2F96"/>
    <w:rsid w:val="000D3989"/>
    <w:rsid w:val="000D41C9"/>
    <w:rsid w:val="000D53A0"/>
    <w:rsid w:val="000D5944"/>
    <w:rsid w:val="000D75BB"/>
    <w:rsid w:val="000D7887"/>
    <w:rsid w:val="000D7B20"/>
    <w:rsid w:val="000E0865"/>
    <w:rsid w:val="000E08CF"/>
    <w:rsid w:val="000E0C4D"/>
    <w:rsid w:val="000E0EA7"/>
    <w:rsid w:val="000E1215"/>
    <w:rsid w:val="000E15D8"/>
    <w:rsid w:val="000E1B1B"/>
    <w:rsid w:val="000E1C87"/>
    <w:rsid w:val="000E2446"/>
    <w:rsid w:val="000E394C"/>
    <w:rsid w:val="000E396E"/>
    <w:rsid w:val="000E3DC1"/>
    <w:rsid w:val="000E4852"/>
    <w:rsid w:val="000E5579"/>
    <w:rsid w:val="000E63F0"/>
    <w:rsid w:val="000E6438"/>
    <w:rsid w:val="000E693B"/>
    <w:rsid w:val="000E6963"/>
    <w:rsid w:val="000E6DE1"/>
    <w:rsid w:val="000E710C"/>
    <w:rsid w:val="000E7602"/>
    <w:rsid w:val="000E7963"/>
    <w:rsid w:val="000F00BB"/>
    <w:rsid w:val="000F052A"/>
    <w:rsid w:val="000F08EB"/>
    <w:rsid w:val="000F08FB"/>
    <w:rsid w:val="000F0D4A"/>
    <w:rsid w:val="000F0FE9"/>
    <w:rsid w:val="000F1A53"/>
    <w:rsid w:val="000F246B"/>
    <w:rsid w:val="000F303E"/>
    <w:rsid w:val="000F3054"/>
    <w:rsid w:val="000F3317"/>
    <w:rsid w:val="000F338A"/>
    <w:rsid w:val="000F3D38"/>
    <w:rsid w:val="000F41F3"/>
    <w:rsid w:val="000F438D"/>
    <w:rsid w:val="000F48F1"/>
    <w:rsid w:val="000F4AC8"/>
    <w:rsid w:val="000F5205"/>
    <w:rsid w:val="000F53A8"/>
    <w:rsid w:val="000F7A51"/>
    <w:rsid w:val="000F7A63"/>
    <w:rsid w:val="00100493"/>
    <w:rsid w:val="0010057A"/>
    <w:rsid w:val="00100EF4"/>
    <w:rsid w:val="00101213"/>
    <w:rsid w:val="00101565"/>
    <w:rsid w:val="00101CBC"/>
    <w:rsid w:val="00103FC7"/>
    <w:rsid w:val="001046C6"/>
    <w:rsid w:val="001048DF"/>
    <w:rsid w:val="00104C1A"/>
    <w:rsid w:val="001055A1"/>
    <w:rsid w:val="0010565D"/>
    <w:rsid w:val="0010600D"/>
    <w:rsid w:val="00106315"/>
    <w:rsid w:val="001065A5"/>
    <w:rsid w:val="001068D1"/>
    <w:rsid w:val="00106BAA"/>
    <w:rsid w:val="00107287"/>
    <w:rsid w:val="00107379"/>
    <w:rsid w:val="0011135E"/>
    <w:rsid w:val="00112248"/>
    <w:rsid w:val="00112679"/>
    <w:rsid w:val="00112C13"/>
    <w:rsid w:val="00112DE2"/>
    <w:rsid w:val="001132C7"/>
    <w:rsid w:val="00114803"/>
    <w:rsid w:val="00114D14"/>
    <w:rsid w:val="00116146"/>
    <w:rsid w:val="00116192"/>
    <w:rsid w:val="001176A8"/>
    <w:rsid w:val="00117A01"/>
    <w:rsid w:val="001209D8"/>
    <w:rsid w:val="00121CC1"/>
    <w:rsid w:val="0012244F"/>
    <w:rsid w:val="001224E0"/>
    <w:rsid w:val="00122A9B"/>
    <w:rsid w:val="0012303B"/>
    <w:rsid w:val="00123531"/>
    <w:rsid w:val="0012390A"/>
    <w:rsid w:val="0012396B"/>
    <w:rsid w:val="001239F4"/>
    <w:rsid w:val="001244C0"/>
    <w:rsid w:val="001249CE"/>
    <w:rsid w:val="0012514D"/>
    <w:rsid w:val="00125D23"/>
    <w:rsid w:val="00126EA0"/>
    <w:rsid w:val="00127A4E"/>
    <w:rsid w:val="00130979"/>
    <w:rsid w:val="00130A1A"/>
    <w:rsid w:val="00130D36"/>
    <w:rsid w:val="0013200D"/>
    <w:rsid w:val="00132366"/>
    <w:rsid w:val="0013251F"/>
    <w:rsid w:val="00132608"/>
    <w:rsid w:val="00132E54"/>
    <w:rsid w:val="00133002"/>
    <w:rsid w:val="00133723"/>
    <w:rsid w:val="00133A77"/>
    <w:rsid w:val="001343E2"/>
    <w:rsid w:val="001345E1"/>
    <w:rsid w:val="0013486B"/>
    <w:rsid w:val="00134E94"/>
    <w:rsid w:val="00135142"/>
    <w:rsid w:val="0013541C"/>
    <w:rsid w:val="00135C7D"/>
    <w:rsid w:val="00136004"/>
    <w:rsid w:val="00136767"/>
    <w:rsid w:val="00136BA6"/>
    <w:rsid w:val="0013741E"/>
    <w:rsid w:val="00137568"/>
    <w:rsid w:val="00140595"/>
    <w:rsid w:val="00140CDA"/>
    <w:rsid w:val="0014118B"/>
    <w:rsid w:val="00141F19"/>
    <w:rsid w:val="001420BC"/>
    <w:rsid w:val="001436CF"/>
    <w:rsid w:val="001437F8"/>
    <w:rsid w:val="0014399B"/>
    <w:rsid w:val="001440A2"/>
    <w:rsid w:val="00144A45"/>
    <w:rsid w:val="00144C9B"/>
    <w:rsid w:val="0014567B"/>
    <w:rsid w:val="00145CE2"/>
    <w:rsid w:val="00146B0A"/>
    <w:rsid w:val="00146C74"/>
    <w:rsid w:val="0014760C"/>
    <w:rsid w:val="0014769F"/>
    <w:rsid w:val="00147AB5"/>
    <w:rsid w:val="00147B74"/>
    <w:rsid w:val="00150515"/>
    <w:rsid w:val="00151B4D"/>
    <w:rsid w:val="001521C8"/>
    <w:rsid w:val="00152CB4"/>
    <w:rsid w:val="0015365E"/>
    <w:rsid w:val="001547E6"/>
    <w:rsid w:val="001548FF"/>
    <w:rsid w:val="00155DFE"/>
    <w:rsid w:val="00155F4E"/>
    <w:rsid w:val="0015605B"/>
    <w:rsid w:val="0015665E"/>
    <w:rsid w:val="00156A33"/>
    <w:rsid w:val="001576E4"/>
    <w:rsid w:val="00157888"/>
    <w:rsid w:val="00157984"/>
    <w:rsid w:val="001608DD"/>
    <w:rsid w:val="0016091C"/>
    <w:rsid w:val="00160B2E"/>
    <w:rsid w:val="00161128"/>
    <w:rsid w:val="001611CC"/>
    <w:rsid w:val="001618AA"/>
    <w:rsid w:val="00161E07"/>
    <w:rsid w:val="00162295"/>
    <w:rsid w:val="00162F21"/>
    <w:rsid w:val="0016342D"/>
    <w:rsid w:val="00163E8E"/>
    <w:rsid w:val="001645B9"/>
    <w:rsid w:val="001652BA"/>
    <w:rsid w:val="0016567F"/>
    <w:rsid w:val="001659FA"/>
    <w:rsid w:val="00165F7D"/>
    <w:rsid w:val="001662C2"/>
    <w:rsid w:val="00166556"/>
    <w:rsid w:val="00166FF2"/>
    <w:rsid w:val="001679C2"/>
    <w:rsid w:val="00167A7B"/>
    <w:rsid w:val="00167E46"/>
    <w:rsid w:val="00170084"/>
    <w:rsid w:val="001706E0"/>
    <w:rsid w:val="00170CE2"/>
    <w:rsid w:val="00170EE0"/>
    <w:rsid w:val="00170EFA"/>
    <w:rsid w:val="00171790"/>
    <w:rsid w:val="001717DA"/>
    <w:rsid w:val="00171852"/>
    <w:rsid w:val="0017186E"/>
    <w:rsid w:val="001718EB"/>
    <w:rsid w:val="0017190F"/>
    <w:rsid w:val="00171C63"/>
    <w:rsid w:val="00171D56"/>
    <w:rsid w:val="00171F7F"/>
    <w:rsid w:val="00172663"/>
    <w:rsid w:val="00172A43"/>
    <w:rsid w:val="00172E46"/>
    <w:rsid w:val="0017368E"/>
    <w:rsid w:val="00173C77"/>
    <w:rsid w:val="00174338"/>
    <w:rsid w:val="001749BB"/>
    <w:rsid w:val="00174FE8"/>
    <w:rsid w:val="00175783"/>
    <w:rsid w:val="001757AD"/>
    <w:rsid w:val="00175B9F"/>
    <w:rsid w:val="00175FC1"/>
    <w:rsid w:val="00176AA8"/>
    <w:rsid w:val="00176CC6"/>
    <w:rsid w:val="00176D2A"/>
    <w:rsid w:val="00176D45"/>
    <w:rsid w:val="001774A1"/>
    <w:rsid w:val="001774F2"/>
    <w:rsid w:val="001778F6"/>
    <w:rsid w:val="00180D43"/>
    <w:rsid w:val="00181082"/>
    <w:rsid w:val="001820E9"/>
    <w:rsid w:val="001825AD"/>
    <w:rsid w:val="0018306F"/>
    <w:rsid w:val="00183858"/>
    <w:rsid w:val="00184253"/>
    <w:rsid w:val="001845CC"/>
    <w:rsid w:val="00184AB8"/>
    <w:rsid w:val="00185C26"/>
    <w:rsid w:val="001860D0"/>
    <w:rsid w:val="00186725"/>
    <w:rsid w:val="001879B3"/>
    <w:rsid w:val="0019065A"/>
    <w:rsid w:val="00190712"/>
    <w:rsid w:val="00190958"/>
    <w:rsid w:val="00190B40"/>
    <w:rsid w:val="00190DA1"/>
    <w:rsid w:val="00190DDB"/>
    <w:rsid w:val="0019107F"/>
    <w:rsid w:val="00191D9D"/>
    <w:rsid w:val="00193204"/>
    <w:rsid w:val="0019416D"/>
    <w:rsid w:val="00194313"/>
    <w:rsid w:val="0019440B"/>
    <w:rsid w:val="00194C86"/>
    <w:rsid w:val="00194F68"/>
    <w:rsid w:val="001952BE"/>
    <w:rsid w:val="00195E07"/>
    <w:rsid w:val="001961CC"/>
    <w:rsid w:val="00196D1D"/>
    <w:rsid w:val="001A0FFF"/>
    <w:rsid w:val="001A1119"/>
    <w:rsid w:val="001A1660"/>
    <w:rsid w:val="001A2423"/>
    <w:rsid w:val="001A25E9"/>
    <w:rsid w:val="001A2697"/>
    <w:rsid w:val="001A2921"/>
    <w:rsid w:val="001A3095"/>
    <w:rsid w:val="001A3425"/>
    <w:rsid w:val="001A36E7"/>
    <w:rsid w:val="001A3702"/>
    <w:rsid w:val="001A383B"/>
    <w:rsid w:val="001A3A11"/>
    <w:rsid w:val="001A40F9"/>
    <w:rsid w:val="001A4792"/>
    <w:rsid w:val="001A4FE0"/>
    <w:rsid w:val="001A557D"/>
    <w:rsid w:val="001A5F32"/>
    <w:rsid w:val="001A6613"/>
    <w:rsid w:val="001A6D6D"/>
    <w:rsid w:val="001A71B4"/>
    <w:rsid w:val="001A759C"/>
    <w:rsid w:val="001A779A"/>
    <w:rsid w:val="001A77B3"/>
    <w:rsid w:val="001A7889"/>
    <w:rsid w:val="001A7966"/>
    <w:rsid w:val="001A7B1F"/>
    <w:rsid w:val="001A7F52"/>
    <w:rsid w:val="001B0B0F"/>
    <w:rsid w:val="001B1B07"/>
    <w:rsid w:val="001B2E16"/>
    <w:rsid w:val="001B321B"/>
    <w:rsid w:val="001B4A7E"/>
    <w:rsid w:val="001B4ABF"/>
    <w:rsid w:val="001B5466"/>
    <w:rsid w:val="001B57AF"/>
    <w:rsid w:val="001B5857"/>
    <w:rsid w:val="001B60B3"/>
    <w:rsid w:val="001B6ED3"/>
    <w:rsid w:val="001B721D"/>
    <w:rsid w:val="001B77C9"/>
    <w:rsid w:val="001B7D55"/>
    <w:rsid w:val="001B7E67"/>
    <w:rsid w:val="001C02C9"/>
    <w:rsid w:val="001C0925"/>
    <w:rsid w:val="001C1B8A"/>
    <w:rsid w:val="001C246D"/>
    <w:rsid w:val="001C2C1C"/>
    <w:rsid w:val="001C2EF2"/>
    <w:rsid w:val="001C348E"/>
    <w:rsid w:val="001C3632"/>
    <w:rsid w:val="001C3E8C"/>
    <w:rsid w:val="001C4994"/>
    <w:rsid w:val="001C4B6E"/>
    <w:rsid w:val="001C53C7"/>
    <w:rsid w:val="001C5577"/>
    <w:rsid w:val="001C55BC"/>
    <w:rsid w:val="001C5ADA"/>
    <w:rsid w:val="001C61F0"/>
    <w:rsid w:val="001C6BD2"/>
    <w:rsid w:val="001C6CD0"/>
    <w:rsid w:val="001C7646"/>
    <w:rsid w:val="001C7853"/>
    <w:rsid w:val="001C78AB"/>
    <w:rsid w:val="001C7D7C"/>
    <w:rsid w:val="001D086A"/>
    <w:rsid w:val="001D0B93"/>
    <w:rsid w:val="001D1199"/>
    <w:rsid w:val="001D1618"/>
    <w:rsid w:val="001D16C1"/>
    <w:rsid w:val="001D1997"/>
    <w:rsid w:val="001D1DE2"/>
    <w:rsid w:val="001D1E8E"/>
    <w:rsid w:val="001D24EA"/>
    <w:rsid w:val="001D3513"/>
    <w:rsid w:val="001D4078"/>
    <w:rsid w:val="001D4416"/>
    <w:rsid w:val="001D54CE"/>
    <w:rsid w:val="001D58A3"/>
    <w:rsid w:val="001D66F0"/>
    <w:rsid w:val="001D6921"/>
    <w:rsid w:val="001D6B88"/>
    <w:rsid w:val="001D6E52"/>
    <w:rsid w:val="001D718B"/>
    <w:rsid w:val="001D7C08"/>
    <w:rsid w:val="001D7D32"/>
    <w:rsid w:val="001D7F79"/>
    <w:rsid w:val="001E02DB"/>
    <w:rsid w:val="001E063F"/>
    <w:rsid w:val="001E0A87"/>
    <w:rsid w:val="001E127B"/>
    <w:rsid w:val="001E2ACA"/>
    <w:rsid w:val="001E2B46"/>
    <w:rsid w:val="001E38D3"/>
    <w:rsid w:val="001E3FDE"/>
    <w:rsid w:val="001E445A"/>
    <w:rsid w:val="001E471B"/>
    <w:rsid w:val="001E489E"/>
    <w:rsid w:val="001E4B23"/>
    <w:rsid w:val="001E4BD7"/>
    <w:rsid w:val="001E4DE6"/>
    <w:rsid w:val="001E53F7"/>
    <w:rsid w:val="001E5DAB"/>
    <w:rsid w:val="001E5DEC"/>
    <w:rsid w:val="001E6308"/>
    <w:rsid w:val="001E6C7D"/>
    <w:rsid w:val="001E6DFC"/>
    <w:rsid w:val="001E762A"/>
    <w:rsid w:val="001E76C7"/>
    <w:rsid w:val="001F0330"/>
    <w:rsid w:val="001F0D5B"/>
    <w:rsid w:val="001F2F3E"/>
    <w:rsid w:val="001F3463"/>
    <w:rsid w:val="001F42AF"/>
    <w:rsid w:val="001F44A0"/>
    <w:rsid w:val="001F4F2A"/>
    <w:rsid w:val="001F5C6E"/>
    <w:rsid w:val="001F5E89"/>
    <w:rsid w:val="001F728C"/>
    <w:rsid w:val="001F7937"/>
    <w:rsid w:val="001F7BC1"/>
    <w:rsid w:val="002004AC"/>
    <w:rsid w:val="002007C4"/>
    <w:rsid w:val="00200A85"/>
    <w:rsid w:val="00201BC1"/>
    <w:rsid w:val="00203146"/>
    <w:rsid w:val="0020322D"/>
    <w:rsid w:val="00203598"/>
    <w:rsid w:val="002036C8"/>
    <w:rsid w:val="00203B28"/>
    <w:rsid w:val="00204017"/>
    <w:rsid w:val="0020465E"/>
    <w:rsid w:val="00204D35"/>
    <w:rsid w:val="002051DD"/>
    <w:rsid w:val="0020582C"/>
    <w:rsid w:val="00205AC6"/>
    <w:rsid w:val="00206A1A"/>
    <w:rsid w:val="00206BBC"/>
    <w:rsid w:val="0021064C"/>
    <w:rsid w:val="00211823"/>
    <w:rsid w:val="00211AD8"/>
    <w:rsid w:val="00211C7C"/>
    <w:rsid w:val="00211D64"/>
    <w:rsid w:val="0021206D"/>
    <w:rsid w:val="002122AF"/>
    <w:rsid w:val="0021307A"/>
    <w:rsid w:val="00213ACC"/>
    <w:rsid w:val="00213B05"/>
    <w:rsid w:val="00215E14"/>
    <w:rsid w:val="002160EE"/>
    <w:rsid w:val="00216C82"/>
    <w:rsid w:val="002178FD"/>
    <w:rsid w:val="00220826"/>
    <w:rsid w:val="00220ADF"/>
    <w:rsid w:val="00220B4B"/>
    <w:rsid w:val="00220D0C"/>
    <w:rsid w:val="00221286"/>
    <w:rsid w:val="00221909"/>
    <w:rsid w:val="00221BBC"/>
    <w:rsid w:val="00222685"/>
    <w:rsid w:val="00222715"/>
    <w:rsid w:val="00222948"/>
    <w:rsid w:val="002239D0"/>
    <w:rsid w:val="00223A65"/>
    <w:rsid w:val="00223ACD"/>
    <w:rsid w:val="002243FD"/>
    <w:rsid w:val="0022481E"/>
    <w:rsid w:val="00225287"/>
    <w:rsid w:val="00225F28"/>
    <w:rsid w:val="002276D8"/>
    <w:rsid w:val="00227E4E"/>
    <w:rsid w:val="002301F6"/>
    <w:rsid w:val="002302FA"/>
    <w:rsid w:val="002311A3"/>
    <w:rsid w:val="00231FA3"/>
    <w:rsid w:val="002329CE"/>
    <w:rsid w:val="00232B8E"/>
    <w:rsid w:val="00232C28"/>
    <w:rsid w:val="0023324B"/>
    <w:rsid w:val="00233BFB"/>
    <w:rsid w:val="0023516F"/>
    <w:rsid w:val="002351EE"/>
    <w:rsid w:val="002363D0"/>
    <w:rsid w:val="00236FFB"/>
    <w:rsid w:val="00237094"/>
    <w:rsid w:val="002373B7"/>
    <w:rsid w:val="0023791D"/>
    <w:rsid w:val="00237EFC"/>
    <w:rsid w:val="002402E0"/>
    <w:rsid w:val="00240409"/>
    <w:rsid w:val="00240F2B"/>
    <w:rsid w:val="00241291"/>
    <w:rsid w:val="00241A23"/>
    <w:rsid w:val="00242FFE"/>
    <w:rsid w:val="002435A3"/>
    <w:rsid w:val="002437F4"/>
    <w:rsid w:val="0024387D"/>
    <w:rsid w:val="0024481E"/>
    <w:rsid w:val="002451E4"/>
    <w:rsid w:val="00245315"/>
    <w:rsid w:val="00246571"/>
    <w:rsid w:val="00246A98"/>
    <w:rsid w:val="0024770C"/>
    <w:rsid w:val="00250452"/>
    <w:rsid w:val="0025092B"/>
    <w:rsid w:val="00250ADA"/>
    <w:rsid w:val="00250BF6"/>
    <w:rsid w:val="00251911"/>
    <w:rsid w:val="00252397"/>
    <w:rsid w:val="0025332A"/>
    <w:rsid w:val="002537B5"/>
    <w:rsid w:val="00253C08"/>
    <w:rsid w:val="00254018"/>
    <w:rsid w:val="0025419A"/>
    <w:rsid w:val="0025450F"/>
    <w:rsid w:val="00254A8C"/>
    <w:rsid w:val="00254D40"/>
    <w:rsid w:val="00254D59"/>
    <w:rsid w:val="00254F2E"/>
    <w:rsid w:val="002553C0"/>
    <w:rsid w:val="00256728"/>
    <w:rsid w:val="002568D9"/>
    <w:rsid w:val="00256B31"/>
    <w:rsid w:val="00256C1B"/>
    <w:rsid w:val="00256FC4"/>
    <w:rsid w:val="00257403"/>
    <w:rsid w:val="00257991"/>
    <w:rsid w:val="00257E86"/>
    <w:rsid w:val="00260057"/>
    <w:rsid w:val="00260E3E"/>
    <w:rsid w:val="002622B0"/>
    <w:rsid w:val="002623A2"/>
    <w:rsid w:val="0026310A"/>
    <w:rsid w:val="00263562"/>
    <w:rsid w:val="0026387B"/>
    <w:rsid w:val="002639AC"/>
    <w:rsid w:val="00264137"/>
    <w:rsid w:val="00264E01"/>
    <w:rsid w:val="00264FCE"/>
    <w:rsid w:val="00265162"/>
    <w:rsid w:val="002654EB"/>
    <w:rsid w:val="00266547"/>
    <w:rsid w:val="0026681F"/>
    <w:rsid w:val="00266D35"/>
    <w:rsid w:val="00267241"/>
    <w:rsid w:val="0026783D"/>
    <w:rsid w:val="002678D1"/>
    <w:rsid w:val="00270235"/>
    <w:rsid w:val="00270622"/>
    <w:rsid w:val="0027081C"/>
    <w:rsid w:val="0027154F"/>
    <w:rsid w:val="00271574"/>
    <w:rsid w:val="002719AC"/>
    <w:rsid w:val="00271C7B"/>
    <w:rsid w:val="002723DD"/>
    <w:rsid w:val="00272DFB"/>
    <w:rsid w:val="00273099"/>
    <w:rsid w:val="00273D59"/>
    <w:rsid w:val="0027422A"/>
    <w:rsid w:val="00274836"/>
    <w:rsid w:val="00274C93"/>
    <w:rsid w:val="00274E8E"/>
    <w:rsid w:val="002750E6"/>
    <w:rsid w:val="00275501"/>
    <w:rsid w:val="00275AA6"/>
    <w:rsid w:val="00275BF6"/>
    <w:rsid w:val="00275C26"/>
    <w:rsid w:val="00275FE8"/>
    <w:rsid w:val="002769F4"/>
    <w:rsid w:val="00277B53"/>
    <w:rsid w:val="00280042"/>
    <w:rsid w:val="00280705"/>
    <w:rsid w:val="00280A77"/>
    <w:rsid w:val="00280DAD"/>
    <w:rsid w:val="00280F2B"/>
    <w:rsid w:val="00281FB0"/>
    <w:rsid w:val="002820F9"/>
    <w:rsid w:val="00282567"/>
    <w:rsid w:val="00283A3C"/>
    <w:rsid w:val="00283E81"/>
    <w:rsid w:val="00283EDC"/>
    <w:rsid w:val="002840C9"/>
    <w:rsid w:val="002844F0"/>
    <w:rsid w:val="00284CC7"/>
    <w:rsid w:val="00284D6D"/>
    <w:rsid w:val="002856F4"/>
    <w:rsid w:val="00285AFB"/>
    <w:rsid w:val="00286457"/>
    <w:rsid w:val="0028689C"/>
    <w:rsid w:val="00286DAB"/>
    <w:rsid w:val="00286F67"/>
    <w:rsid w:val="0028735E"/>
    <w:rsid w:val="00287493"/>
    <w:rsid w:val="00290A0C"/>
    <w:rsid w:val="00290A72"/>
    <w:rsid w:val="0029125A"/>
    <w:rsid w:val="00291848"/>
    <w:rsid w:val="002920C0"/>
    <w:rsid w:val="002925C9"/>
    <w:rsid w:val="002928C6"/>
    <w:rsid w:val="00292FEE"/>
    <w:rsid w:val="00293731"/>
    <w:rsid w:val="00293FE0"/>
    <w:rsid w:val="002948CA"/>
    <w:rsid w:val="00294DB8"/>
    <w:rsid w:val="00295273"/>
    <w:rsid w:val="002958EA"/>
    <w:rsid w:val="002958F5"/>
    <w:rsid w:val="0029594B"/>
    <w:rsid w:val="00295990"/>
    <w:rsid w:val="00295A2A"/>
    <w:rsid w:val="00295AD5"/>
    <w:rsid w:val="00296B59"/>
    <w:rsid w:val="0029743C"/>
    <w:rsid w:val="002A0280"/>
    <w:rsid w:val="002A0581"/>
    <w:rsid w:val="002A081F"/>
    <w:rsid w:val="002A190A"/>
    <w:rsid w:val="002A1A1D"/>
    <w:rsid w:val="002A1FC7"/>
    <w:rsid w:val="002A2476"/>
    <w:rsid w:val="002A248F"/>
    <w:rsid w:val="002A299B"/>
    <w:rsid w:val="002A324D"/>
    <w:rsid w:val="002A4213"/>
    <w:rsid w:val="002A42B3"/>
    <w:rsid w:val="002A46C9"/>
    <w:rsid w:val="002A4A77"/>
    <w:rsid w:val="002A54E8"/>
    <w:rsid w:val="002A5554"/>
    <w:rsid w:val="002A57B2"/>
    <w:rsid w:val="002A5F15"/>
    <w:rsid w:val="002A6B87"/>
    <w:rsid w:val="002A6D8C"/>
    <w:rsid w:val="002A6E34"/>
    <w:rsid w:val="002B0160"/>
    <w:rsid w:val="002B0BA9"/>
    <w:rsid w:val="002B17AA"/>
    <w:rsid w:val="002B20B3"/>
    <w:rsid w:val="002B35DC"/>
    <w:rsid w:val="002B36A7"/>
    <w:rsid w:val="002B3E90"/>
    <w:rsid w:val="002B3E92"/>
    <w:rsid w:val="002B430E"/>
    <w:rsid w:val="002B43AB"/>
    <w:rsid w:val="002B43D3"/>
    <w:rsid w:val="002B5C0D"/>
    <w:rsid w:val="002B6201"/>
    <w:rsid w:val="002B69B0"/>
    <w:rsid w:val="002B6E75"/>
    <w:rsid w:val="002B72E0"/>
    <w:rsid w:val="002B7733"/>
    <w:rsid w:val="002B7F90"/>
    <w:rsid w:val="002C02C4"/>
    <w:rsid w:val="002C1015"/>
    <w:rsid w:val="002C14CD"/>
    <w:rsid w:val="002C1FAB"/>
    <w:rsid w:val="002C218E"/>
    <w:rsid w:val="002C2786"/>
    <w:rsid w:val="002C45BD"/>
    <w:rsid w:val="002C4F1E"/>
    <w:rsid w:val="002C560F"/>
    <w:rsid w:val="002C58FF"/>
    <w:rsid w:val="002C619E"/>
    <w:rsid w:val="002C64A5"/>
    <w:rsid w:val="002C6B51"/>
    <w:rsid w:val="002C722B"/>
    <w:rsid w:val="002C7D12"/>
    <w:rsid w:val="002D0B63"/>
    <w:rsid w:val="002D0E39"/>
    <w:rsid w:val="002D0F6B"/>
    <w:rsid w:val="002D181F"/>
    <w:rsid w:val="002D1D8F"/>
    <w:rsid w:val="002D2723"/>
    <w:rsid w:val="002D33A3"/>
    <w:rsid w:val="002D4466"/>
    <w:rsid w:val="002D44B9"/>
    <w:rsid w:val="002D513F"/>
    <w:rsid w:val="002D572D"/>
    <w:rsid w:val="002D58E4"/>
    <w:rsid w:val="002D624F"/>
    <w:rsid w:val="002D65A5"/>
    <w:rsid w:val="002D6C93"/>
    <w:rsid w:val="002D7694"/>
    <w:rsid w:val="002D7977"/>
    <w:rsid w:val="002D7C73"/>
    <w:rsid w:val="002D7FEA"/>
    <w:rsid w:val="002E093B"/>
    <w:rsid w:val="002E0986"/>
    <w:rsid w:val="002E0A24"/>
    <w:rsid w:val="002E0DEF"/>
    <w:rsid w:val="002E1354"/>
    <w:rsid w:val="002E1756"/>
    <w:rsid w:val="002E199E"/>
    <w:rsid w:val="002E222D"/>
    <w:rsid w:val="002E27A4"/>
    <w:rsid w:val="002E3317"/>
    <w:rsid w:val="002E3BD4"/>
    <w:rsid w:val="002E3F64"/>
    <w:rsid w:val="002E459C"/>
    <w:rsid w:val="002E5052"/>
    <w:rsid w:val="002E53AD"/>
    <w:rsid w:val="002E580F"/>
    <w:rsid w:val="002E5A76"/>
    <w:rsid w:val="002E5F3D"/>
    <w:rsid w:val="002E6C70"/>
    <w:rsid w:val="002E74C0"/>
    <w:rsid w:val="002E769B"/>
    <w:rsid w:val="002F059F"/>
    <w:rsid w:val="002F064B"/>
    <w:rsid w:val="002F1808"/>
    <w:rsid w:val="002F1D75"/>
    <w:rsid w:val="002F2B96"/>
    <w:rsid w:val="002F2F7B"/>
    <w:rsid w:val="002F3A94"/>
    <w:rsid w:val="002F3F49"/>
    <w:rsid w:val="002F45FD"/>
    <w:rsid w:val="002F467F"/>
    <w:rsid w:val="002F4FC9"/>
    <w:rsid w:val="002F52D7"/>
    <w:rsid w:val="002F567A"/>
    <w:rsid w:val="002F5A10"/>
    <w:rsid w:val="002F5A48"/>
    <w:rsid w:val="002F6966"/>
    <w:rsid w:val="002F6A4B"/>
    <w:rsid w:val="002F6D46"/>
    <w:rsid w:val="002F7457"/>
    <w:rsid w:val="002F7618"/>
    <w:rsid w:val="002F775E"/>
    <w:rsid w:val="002F7AAE"/>
    <w:rsid w:val="002F7C47"/>
    <w:rsid w:val="002F7D54"/>
    <w:rsid w:val="003000F8"/>
    <w:rsid w:val="003010A3"/>
    <w:rsid w:val="00302816"/>
    <w:rsid w:val="00302B95"/>
    <w:rsid w:val="00303938"/>
    <w:rsid w:val="00303DD0"/>
    <w:rsid w:val="003046D9"/>
    <w:rsid w:val="00304927"/>
    <w:rsid w:val="0030506C"/>
    <w:rsid w:val="0030534E"/>
    <w:rsid w:val="00305E62"/>
    <w:rsid w:val="00305E70"/>
    <w:rsid w:val="00306291"/>
    <w:rsid w:val="00306E7E"/>
    <w:rsid w:val="003070B2"/>
    <w:rsid w:val="00307FCF"/>
    <w:rsid w:val="00310B08"/>
    <w:rsid w:val="00311A59"/>
    <w:rsid w:val="00311BB1"/>
    <w:rsid w:val="003124BC"/>
    <w:rsid w:val="003124E0"/>
    <w:rsid w:val="00313443"/>
    <w:rsid w:val="00313CC1"/>
    <w:rsid w:val="003141BC"/>
    <w:rsid w:val="0031475C"/>
    <w:rsid w:val="00314D3C"/>
    <w:rsid w:val="00314F4F"/>
    <w:rsid w:val="00315200"/>
    <w:rsid w:val="00315B40"/>
    <w:rsid w:val="003165A5"/>
    <w:rsid w:val="00316B8F"/>
    <w:rsid w:val="003171C0"/>
    <w:rsid w:val="0031794D"/>
    <w:rsid w:val="00320343"/>
    <w:rsid w:val="003206ED"/>
    <w:rsid w:val="00320A10"/>
    <w:rsid w:val="00321A6A"/>
    <w:rsid w:val="00321F14"/>
    <w:rsid w:val="00322493"/>
    <w:rsid w:val="0032299C"/>
    <w:rsid w:val="00322C9B"/>
    <w:rsid w:val="00322D8C"/>
    <w:rsid w:val="0032314C"/>
    <w:rsid w:val="00323FEA"/>
    <w:rsid w:val="00325DCB"/>
    <w:rsid w:val="00325F17"/>
    <w:rsid w:val="0032645D"/>
    <w:rsid w:val="003264BC"/>
    <w:rsid w:val="003270C7"/>
    <w:rsid w:val="003273AC"/>
    <w:rsid w:val="00330084"/>
    <w:rsid w:val="00330C46"/>
    <w:rsid w:val="0033204B"/>
    <w:rsid w:val="00332855"/>
    <w:rsid w:val="0033342F"/>
    <w:rsid w:val="00334328"/>
    <w:rsid w:val="00334AEC"/>
    <w:rsid w:val="00334E9D"/>
    <w:rsid w:val="00335441"/>
    <w:rsid w:val="003354C8"/>
    <w:rsid w:val="0033595E"/>
    <w:rsid w:val="00336445"/>
    <w:rsid w:val="00336807"/>
    <w:rsid w:val="00337041"/>
    <w:rsid w:val="00337106"/>
    <w:rsid w:val="00342D43"/>
    <w:rsid w:val="00342F2B"/>
    <w:rsid w:val="0034311A"/>
    <w:rsid w:val="00343194"/>
    <w:rsid w:val="0034360C"/>
    <w:rsid w:val="00343A84"/>
    <w:rsid w:val="00343DB2"/>
    <w:rsid w:val="00343FDC"/>
    <w:rsid w:val="00344F3F"/>
    <w:rsid w:val="00345EE3"/>
    <w:rsid w:val="00347623"/>
    <w:rsid w:val="00347E6D"/>
    <w:rsid w:val="00347E81"/>
    <w:rsid w:val="0035019E"/>
    <w:rsid w:val="00350371"/>
    <w:rsid w:val="00350E50"/>
    <w:rsid w:val="00351047"/>
    <w:rsid w:val="00351255"/>
    <w:rsid w:val="00351990"/>
    <w:rsid w:val="00351BAB"/>
    <w:rsid w:val="00352927"/>
    <w:rsid w:val="00352E63"/>
    <w:rsid w:val="0035333E"/>
    <w:rsid w:val="00353F28"/>
    <w:rsid w:val="00354276"/>
    <w:rsid w:val="00354289"/>
    <w:rsid w:val="0035477A"/>
    <w:rsid w:val="003556F6"/>
    <w:rsid w:val="003556FB"/>
    <w:rsid w:val="00357107"/>
    <w:rsid w:val="00357485"/>
    <w:rsid w:val="003576F8"/>
    <w:rsid w:val="003577A2"/>
    <w:rsid w:val="003578F2"/>
    <w:rsid w:val="00357A1C"/>
    <w:rsid w:val="00357BCB"/>
    <w:rsid w:val="00357E59"/>
    <w:rsid w:val="00360903"/>
    <w:rsid w:val="0036124B"/>
    <w:rsid w:val="00361268"/>
    <w:rsid w:val="00361922"/>
    <w:rsid w:val="00362B1E"/>
    <w:rsid w:val="00362C70"/>
    <w:rsid w:val="00362D48"/>
    <w:rsid w:val="003634F8"/>
    <w:rsid w:val="00363FBF"/>
    <w:rsid w:val="003640AB"/>
    <w:rsid w:val="003645A2"/>
    <w:rsid w:val="003649BA"/>
    <w:rsid w:val="00364A78"/>
    <w:rsid w:val="00364E34"/>
    <w:rsid w:val="00364F43"/>
    <w:rsid w:val="003651F1"/>
    <w:rsid w:val="00365460"/>
    <w:rsid w:val="003654B5"/>
    <w:rsid w:val="00365D62"/>
    <w:rsid w:val="00365DDE"/>
    <w:rsid w:val="00366A9B"/>
    <w:rsid w:val="00366D3B"/>
    <w:rsid w:val="003674D6"/>
    <w:rsid w:val="00367866"/>
    <w:rsid w:val="00370E32"/>
    <w:rsid w:val="00371661"/>
    <w:rsid w:val="003718E0"/>
    <w:rsid w:val="00371F7E"/>
    <w:rsid w:val="003722E3"/>
    <w:rsid w:val="00372663"/>
    <w:rsid w:val="00372EF2"/>
    <w:rsid w:val="0037353B"/>
    <w:rsid w:val="00374597"/>
    <w:rsid w:val="00374C48"/>
    <w:rsid w:val="0037525A"/>
    <w:rsid w:val="00375281"/>
    <w:rsid w:val="0037602B"/>
    <w:rsid w:val="003762A7"/>
    <w:rsid w:val="003767F8"/>
    <w:rsid w:val="00376BC5"/>
    <w:rsid w:val="00377344"/>
    <w:rsid w:val="0037772F"/>
    <w:rsid w:val="00377931"/>
    <w:rsid w:val="00377FEF"/>
    <w:rsid w:val="003806E1"/>
    <w:rsid w:val="00380D2D"/>
    <w:rsid w:val="00380E87"/>
    <w:rsid w:val="00382A79"/>
    <w:rsid w:val="00383094"/>
    <w:rsid w:val="003836C8"/>
    <w:rsid w:val="003840CF"/>
    <w:rsid w:val="00384413"/>
    <w:rsid w:val="0038499D"/>
    <w:rsid w:val="00385181"/>
    <w:rsid w:val="00386717"/>
    <w:rsid w:val="003867BA"/>
    <w:rsid w:val="00387EED"/>
    <w:rsid w:val="003905AA"/>
    <w:rsid w:val="003906B6"/>
    <w:rsid w:val="00390894"/>
    <w:rsid w:val="003920CE"/>
    <w:rsid w:val="00392464"/>
    <w:rsid w:val="00392577"/>
    <w:rsid w:val="0039299D"/>
    <w:rsid w:val="003954A8"/>
    <w:rsid w:val="00395568"/>
    <w:rsid w:val="0039570B"/>
    <w:rsid w:val="003959CF"/>
    <w:rsid w:val="00395AF1"/>
    <w:rsid w:val="00395B51"/>
    <w:rsid w:val="00396292"/>
    <w:rsid w:val="00396643"/>
    <w:rsid w:val="0039769B"/>
    <w:rsid w:val="003A014D"/>
    <w:rsid w:val="003A0854"/>
    <w:rsid w:val="003A1901"/>
    <w:rsid w:val="003A1C01"/>
    <w:rsid w:val="003A243C"/>
    <w:rsid w:val="003A2D79"/>
    <w:rsid w:val="003A452E"/>
    <w:rsid w:val="003A4A20"/>
    <w:rsid w:val="003A53F5"/>
    <w:rsid w:val="003A57A5"/>
    <w:rsid w:val="003A6936"/>
    <w:rsid w:val="003A6945"/>
    <w:rsid w:val="003A7A1F"/>
    <w:rsid w:val="003B006E"/>
    <w:rsid w:val="003B02EF"/>
    <w:rsid w:val="003B0C17"/>
    <w:rsid w:val="003B11BE"/>
    <w:rsid w:val="003B173F"/>
    <w:rsid w:val="003B18E9"/>
    <w:rsid w:val="003B19FF"/>
    <w:rsid w:val="003B2D18"/>
    <w:rsid w:val="003B37C2"/>
    <w:rsid w:val="003B5069"/>
    <w:rsid w:val="003B5086"/>
    <w:rsid w:val="003B53D6"/>
    <w:rsid w:val="003B59AC"/>
    <w:rsid w:val="003B66B2"/>
    <w:rsid w:val="003B688D"/>
    <w:rsid w:val="003B68A0"/>
    <w:rsid w:val="003B6C9C"/>
    <w:rsid w:val="003C0F7F"/>
    <w:rsid w:val="003C1C0B"/>
    <w:rsid w:val="003C23EB"/>
    <w:rsid w:val="003C2DED"/>
    <w:rsid w:val="003C2F37"/>
    <w:rsid w:val="003C2F70"/>
    <w:rsid w:val="003C2FA4"/>
    <w:rsid w:val="003C37D8"/>
    <w:rsid w:val="003C38D1"/>
    <w:rsid w:val="003C595F"/>
    <w:rsid w:val="003C5993"/>
    <w:rsid w:val="003C637F"/>
    <w:rsid w:val="003C6D3E"/>
    <w:rsid w:val="003D0A14"/>
    <w:rsid w:val="003D0F81"/>
    <w:rsid w:val="003D1110"/>
    <w:rsid w:val="003D12D3"/>
    <w:rsid w:val="003D18B9"/>
    <w:rsid w:val="003D2724"/>
    <w:rsid w:val="003D29F7"/>
    <w:rsid w:val="003D2CF9"/>
    <w:rsid w:val="003D34BE"/>
    <w:rsid w:val="003D3778"/>
    <w:rsid w:val="003D3844"/>
    <w:rsid w:val="003D3ADA"/>
    <w:rsid w:val="003D3C48"/>
    <w:rsid w:val="003D4095"/>
    <w:rsid w:val="003D40E5"/>
    <w:rsid w:val="003D4218"/>
    <w:rsid w:val="003D4B56"/>
    <w:rsid w:val="003D4C61"/>
    <w:rsid w:val="003D4DFB"/>
    <w:rsid w:val="003D554C"/>
    <w:rsid w:val="003D5730"/>
    <w:rsid w:val="003D6018"/>
    <w:rsid w:val="003D6AE6"/>
    <w:rsid w:val="003D7334"/>
    <w:rsid w:val="003D747C"/>
    <w:rsid w:val="003E0201"/>
    <w:rsid w:val="003E0DD3"/>
    <w:rsid w:val="003E1405"/>
    <w:rsid w:val="003E1F92"/>
    <w:rsid w:val="003E2028"/>
    <w:rsid w:val="003E21E0"/>
    <w:rsid w:val="003E253F"/>
    <w:rsid w:val="003E2EC5"/>
    <w:rsid w:val="003E33C3"/>
    <w:rsid w:val="003E37D8"/>
    <w:rsid w:val="003E49FE"/>
    <w:rsid w:val="003E509A"/>
    <w:rsid w:val="003E52B1"/>
    <w:rsid w:val="003E5A52"/>
    <w:rsid w:val="003E5E95"/>
    <w:rsid w:val="003E6EDC"/>
    <w:rsid w:val="003E75B8"/>
    <w:rsid w:val="003F0792"/>
    <w:rsid w:val="003F225F"/>
    <w:rsid w:val="003F23B9"/>
    <w:rsid w:val="003F2E42"/>
    <w:rsid w:val="003F32A1"/>
    <w:rsid w:val="003F3468"/>
    <w:rsid w:val="003F35A3"/>
    <w:rsid w:val="003F3624"/>
    <w:rsid w:val="003F3768"/>
    <w:rsid w:val="003F3CAE"/>
    <w:rsid w:val="003F4241"/>
    <w:rsid w:val="003F454C"/>
    <w:rsid w:val="003F47C3"/>
    <w:rsid w:val="003F5307"/>
    <w:rsid w:val="003F5391"/>
    <w:rsid w:val="003F603F"/>
    <w:rsid w:val="003F6212"/>
    <w:rsid w:val="003F6898"/>
    <w:rsid w:val="003F719A"/>
    <w:rsid w:val="00400075"/>
    <w:rsid w:val="004001B1"/>
    <w:rsid w:val="00400858"/>
    <w:rsid w:val="0040097E"/>
    <w:rsid w:val="00400B85"/>
    <w:rsid w:val="00401794"/>
    <w:rsid w:val="00401D7E"/>
    <w:rsid w:val="004021DE"/>
    <w:rsid w:val="0040421E"/>
    <w:rsid w:val="004044E5"/>
    <w:rsid w:val="004045ED"/>
    <w:rsid w:val="0040535B"/>
    <w:rsid w:val="00406B1F"/>
    <w:rsid w:val="004072F4"/>
    <w:rsid w:val="0040779A"/>
    <w:rsid w:val="004078DB"/>
    <w:rsid w:val="0041062F"/>
    <w:rsid w:val="00410F3B"/>
    <w:rsid w:val="004115D1"/>
    <w:rsid w:val="00411680"/>
    <w:rsid w:val="0041211E"/>
    <w:rsid w:val="0041298A"/>
    <w:rsid w:val="00412CD9"/>
    <w:rsid w:val="0041300A"/>
    <w:rsid w:val="004135E8"/>
    <w:rsid w:val="00413655"/>
    <w:rsid w:val="0041365E"/>
    <w:rsid w:val="004136CC"/>
    <w:rsid w:val="0041415B"/>
    <w:rsid w:val="0041427C"/>
    <w:rsid w:val="00415172"/>
    <w:rsid w:val="00415549"/>
    <w:rsid w:val="004156BF"/>
    <w:rsid w:val="004156E6"/>
    <w:rsid w:val="004157C7"/>
    <w:rsid w:val="00415DAD"/>
    <w:rsid w:val="00416040"/>
    <w:rsid w:val="00416051"/>
    <w:rsid w:val="00416221"/>
    <w:rsid w:val="00416603"/>
    <w:rsid w:val="00416CAF"/>
    <w:rsid w:val="00416EF1"/>
    <w:rsid w:val="00417CC2"/>
    <w:rsid w:val="00420332"/>
    <w:rsid w:val="00421460"/>
    <w:rsid w:val="00421C25"/>
    <w:rsid w:val="00421DC1"/>
    <w:rsid w:val="00422367"/>
    <w:rsid w:val="0042286E"/>
    <w:rsid w:val="00423E41"/>
    <w:rsid w:val="0042452B"/>
    <w:rsid w:val="00425141"/>
    <w:rsid w:val="00425503"/>
    <w:rsid w:val="0042579B"/>
    <w:rsid w:val="004259F6"/>
    <w:rsid w:val="00425FD6"/>
    <w:rsid w:val="00426E82"/>
    <w:rsid w:val="0043018A"/>
    <w:rsid w:val="004309EC"/>
    <w:rsid w:val="00430D17"/>
    <w:rsid w:val="004314BC"/>
    <w:rsid w:val="004316B7"/>
    <w:rsid w:val="004317BF"/>
    <w:rsid w:val="00431D73"/>
    <w:rsid w:val="00431E99"/>
    <w:rsid w:val="00432500"/>
    <w:rsid w:val="00432B82"/>
    <w:rsid w:val="00433249"/>
    <w:rsid w:val="004340B3"/>
    <w:rsid w:val="004344B0"/>
    <w:rsid w:val="00434E0F"/>
    <w:rsid w:val="00435108"/>
    <w:rsid w:val="00435113"/>
    <w:rsid w:val="00435467"/>
    <w:rsid w:val="0043558C"/>
    <w:rsid w:val="00435915"/>
    <w:rsid w:val="0043605B"/>
    <w:rsid w:val="004360E5"/>
    <w:rsid w:val="00436976"/>
    <w:rsid w:val="0043709B"/>
    <w:rsid w:val="00437390"/>
    <w:rsid w:val="00437634"/>
    <w:rsid w:val="00437798"/>
    <w:rsid w:val="00437829"/>
    <w:rsid w:val="00440842"/>
    <w:rsid w:val="00440867"/>
    <w:rsid w:val="00440A4D"/>
    <w:rsid w:val="00440AC5"/>
    <w:rsid w:val="00440D92"/>
    <w:rsid w:val="00441502"/>
    <w:rsid w:val="0044151C"/>
    <w:rsid w:val="00441711"/>
    <w:rsid w:val="004417B2"/>
    <w:rsid w:val="004417C2"/>
    <w:rsid w:val="00441852"/>
    <w:rsid w:val="0044185E"/>
    <w:rsid w:val="0044229D"/>
    <w:rsid w:val="004422CD"/>
    <w:rsid w:val="00442F02"/>
    <w:rsid w:val="00443D0B"/>
    <w:rsid w:val="00444751"/>
    <w:rsid w:val="00444985"/>
    <w:rsid w:val="004457B2"/>
    <w:rsid w:val="00445BE3"/>
    <w:rsid w:val="00446170"/>
    <w:rsid w:val="00446355"/>
    <w:rsid w:val="004468B8"/>
    <w:rsid w:val="004468C2"/>
    <w:rsid w:val="004469FA"/>
    <w:rsid w:val="00446A6D"/>
    <w:rsid w:val="00446F42"/>
    <w:rsid w:val="00447ED2"/>
    <w:rsid w:val="00450D6D"/>
    <w:rsid w:val="00450EDC"/>
    <w:rsid w:val="00451026"/>
    <w:rsid w:val="00451319"/>
    <w:rsid w:val="0045191D"/>
    <w:rsid w:val="00451B49"/>
    <w:rsid w:val="0045266F"/>
    <w:rsid w:val="00452975"/>
    <w:rsid w:val="00452F91"/>
    <w:rsid w:val="00453621"/>
    <w:rsid w:val="00453727"/>
    <w:rsid w:val="00453C27"/>
    <w:rsid w:val="0045408F"/>
    <w:rsid w:val="00454097"/>
    <w:rsid w:val="00455187"/>
    <w:rsid w:val="004559E6"/>
    <w:rsid w:val="004571EB"/>
    <w:rsid w:val="0045772B"/>
    <w:rsid w:val="00457E2B"/>
    <w:rsid w:val="004605ED"/>
    <w:rsid w:val="004611AE"/>
    <w:rsid w:val="004612FA"/>
    <w:rsid w:val="004615A7"/>
    <w:rsid w:val="00462491"/>
    <w:rsid w:val="00462D2A"/>
    <w:rsid w:val="0046431A"/>
    <w:rsid w:val="00464CEF"/>
    <w:rsid w:val="004650D3"/>
    <w:rsid w:val="004651FC"/>
    <w:rsid w:val="00465A1A"/>
    <w:rsid w:val="00466316"/>
    <w:rsid w:val="00466D84"/>
    <w:rsid w:val="004672A2"/>
    <w:rsid w:val="00467FE3"/>
    <w:rsid w:val="004706EF"/>
    <w:rsid w:val="004714B8"/>
    <w:rsid w:val="004715C0"/>
    <w:rsid w:val="004721D6"/>
    <w:rsid w:val="00472527"/>
    <w:rsid w:val="0047298B"/>
    <w:rsid w:val="00472C6B"/>
    <w:rsid w:val="0047339E"/>
    <w:rsid w:val="004739CE"/>
    <w:rsid w:val="00473C22"/>
    <w:rsid w:val="00473C62"/>
    <w:rsid w:val="00473DEC"/>
    <w:rsid w:val="00473F31"/>
    <w:rsid w:val="004764D9"/>
    <w:rsid w:val="004765D9"/>
    <w:rsid w:val="00476B90"/>
    <w:rsid w:val="00476DFE"/>
    <w:rsid w:val="00476F70"/>
    <w:rsid w:val="004770EA"/>
    <w:rsid w:val="00477C46"/>
    <w:rsid w:val="00477E2D"/>
    <w:rsid w:val="00477F09"/>
    <w:rsid w:val="00480937"/>
    <w:rsid w:val="00480B6A"/>
    <w:rsid w:val="00480F73"/>
    <w:rsid w:val="00481832"/>
    <w:rsid w:val="00482229"/>
    <w:rsid w:val="004829F4"/>
    <w:rsid w:val="00482C31"/>
    <w:rsid w:val="00482F7A"/>
    <w:rsid w:val="004830A9"/>
    <w:rsid w:val="00483544"/>
    <w:rsid w:val="00483F69"/>
    <w:rsid w:val="0048403A"/>
    <w:rsid w:val="00484E58"/>
    <w:rsid w:val="00484FCC"/>
    <w:rsid w:val="0048557B"/>
    <w:rsid w:val="004857B0"/>
    <w:rsid w:val="0048697C"/>
    <w:rsid w:val="0048775D"/>
    <w:rsid w:val="0049012B"/>
    <w:rsid w:val="004902B8"/>
    <w:rsid w:val="004908A4"/>
    <w:rsid w:val="00490E87"/>
    <w:rsid w:val="00491094"/>
    <w:rsid w:val="00491338"/>
    <w:rsid w:val="004915A8"/>
    <w:rsid w:val="004916C6"/>
    <w:rsid w:val="00492280"/>
    <w:rsid w:val="00492746"/>
    <w:rsid w:val="00492AAC"/>
    <w:rsid w:val="00492F6A"/>
    <w:rsid w:val="0049354C"/>
    <w:rsid w:val="004935FE"/>
    <w:rsid w:val="004936E2"/>
    <w:rsid w:val="004936F0"/>
    <w:rsid w:val="00493F73"/>
    <w:rsid w:val="0049400D"/>
    <w:rsid w:val="00494E72"/>
    <w:rsid w:val="004960F6"/>
    <w:rsid w:val="00496803"/>
    <w:rsid w:val="00496E16"/>
    <w:rsid w:val="004973A8"/>
    <w:rsid w:val="004979BB"/>
    <w:rsid w:val="004A011F"/>
    <w:rsid w:val="004A0B2E"/>
    <w:rsid w:val="004A0B7B"/>
    <w:rsid w:val="004A0DF6"/>
    <w:rsid w:val="004A1383"/>
    <w:rsid w:val="004A1992"/>
    <w:rsid w:val="004A1DA2"/>
    <w:rsid w:val="004A21FF"/>
    <w:rsid w:val="004A323B"/>
    <w:rsid w:val="004A37FA"/>
    <w:rsid w:val="004A3BBC"/>
    <w:rsid w:val="004A3DA9"/>
    <w:rsid w:val="004A43ED"/>
    <w:rsid w:val="004A5267"/>
    <w:rsid w:val="004A5E84"/>
    <w:rsid w:val="004A660F"/>
    <w:rsid w:val="004A734B"/>
    <w:rsid w:val="004A7549"/>
    <w:rsid w:val="004A7700"/>
    <w:rsid w:val="004A7F7E"/>
    <w:rsid w:val="004B01F7"/>
    <w:rsid w:val="004B0888"/>
    <w:rsid w:val="004B10B0"/>
    <w:rsid w:val="004B1E8C"/>
    <w:rsid w:val="004B258E"/>
    <w:rsid w:val="004B28D7"/>
    <w:rsid w:val="004B4307"/>
    <w:rsid w:val="004B46BD"/>
    <w:rsid w:val="004B47CC"/>
    <w:rsid w:val="004B5217"/>
    <w:rsid w:val="004B57C2"/>
    <w:rsid w:val="004B5E30"/>
    <w:rsid w:val="004B6138"/>
    <w:rsid w:val="004B62B7"/>
    <w:rsid w:val="004B63B2"/>
    <w:rsid w:val="004B685D"/>
    <w:rsid w:val="004B6F73"/>
    <w:rsid w:val="004B7892"/>
    <w:rsid w:val="004C09FB"/>
    <w:rsid w:val="004C0FE0"/>
    <w:rsid w:val="004C1269"/>
    <w:rsid w:val="004C130E"/>
    <w:rsid w:val="004C14C7"/>
    <w:rsid w:val="004C230F"/>
    <w:rsid w:val="004C3145"/>
    <w:rsid w:val="004C31B3"/>
    <w:rsid w:val="004C3B1F"/>
    <w:rsid w:val="004C3C3D"/>
    <w:rsid w:val="004C3F61"/>
    <w:rsid w:val="004C4515"/>
    <w:rsid w:val="004C4AB1"/>
    <w:rsid w:val="004C4B2A"/>
    <w:rsid w:val="004C4E8F"/>
    <w:rsid w:val="004C57B8"/>
    <w:rsid w:val="004C5D36"/>
    <w:rsid w:val="004C63E9"/>
    <w:rsid w:val="004C65B8"/>
    <w:rsid w:val="004C7750"/>
    <w:rsid w:val="004C7C8B"/>
    <w:rsid w:val="004D0274"/>
    <w:rsid w:val="004D047D"/>
    <w:rsid w:val="004D0BDC"/>
    <w:rsid w:val="004D0DA6"/>
    <w:rsid w:val="004D103E"/>
    <w:rsid w:val="004D20AE"/>
    <w:rsid w:val="004D23AD"/>
    <w:rsid w:val="004D38B0"/>
    <w:rsid w:val="004D411C"/>
    <w:rsid w:val="004D6017"/>
    <w:rsid w:val="004D63AA"/>
    <w:rsid w:val="004D6962"/>
    <w:rsid w:val="004D6A87"/>
    <w:rsid w:val="004D7CD3"/>
    <w:rsid w:val="004D7D01"/>
    <w:rsid w:val="004D7FB3"/>
    <w:rsid w:val="004E19FF"/>
    <w:rsid w:val="004E1C10"/>
    <w:rsid w:val="004E1C36"/>
    <w:rsid w:val="004E1D4D"/>
    <w:rsid w:val="004E2216"/>
    <w:rsid w:val="004E2AC3"/>
    <w:rsid w:val="004E30CA"/>
    <w:rsid w:val="004E3856"/>
    <w:rsid w:val="004E38CB"/>
    <w:rsid w:val="004E3941"/>
    <w:rsid w:val="004E3D56"/>
    <w:rsid w:val="004E47C9"/>
    <w:rsid w:val="004E5081"/>
    <w:rsid w:val="004E7EEC"/>
    <w:rsid w:val="004F03B7"/>
    <w:rsid w:val="004F093A"/>
    <w:rsid w:val="004F0965"/>
    <w:rsid w:val="004F0D24"/>
    <w:rsid w:val="004F12F5"/>
    <w:rsid w:val="004F1965"/>
    <w:rsid w:val="004F19FB"/>
    <w:rsid w:val="004F1A0B"/>
    <w:rsid w:val="004F1A4A"/>
    <w:rsid w:val="004F2885"/>
    <w:rsid w:val="004F2EF5"/>
    <w:rsid w:val="004F2F67"/>
    <w:rsid w:val="004F38E1"/>
    <w:rsid w:val="004F3A92"/>
    <w:rsid w:val="004F3D0A"/>
    <w:rsid w:val="004F3DF7"/>
    <w:rsid w:val="004F4988"/>
    <w:rsid w:val="004F561A"/>
    <w:rsid w:val="004F6174"/>
    <w:rsid w:val="004F75F3"/>
    <w:rsid w:val="004F7A06"/>
    <w:rsid w:val="004F7F51"/>
    <w:rsid w:val="004F7FC8"/>
    <w:rsid w:val="00501378"/>
    <w:rsid w:val="005013E6"/>
    <w:rsid w:val="00501771"/>
    <w:rsid w:val="005019BE"/>
    <w:rsid w:val="00501BBA"/>
    <w:rsid w:val="00501E48"/>
    <w:rsid w:val="00502179"/>
    <w:rsid w:val="005024AE"/>
    <w:rsid w:val="00502514"/>
    <w:rsid w:val="005027FC"/>
    <w:rsid w:val="00502B15"/>
    <w:rsid w:val="00502C3A"/>
    <w:rsid w:val="00503B09"/>
    <w:rsid w:val="00504236"/>
    <w:rsid w:val="00504A0C"/>
    <w:rsid w:val="005050EE"/>
    <w:rsid w:val="005053EC"/>
    <w:rsid w:val="0050551B"/>
    <w:rsid w:val="00505F70"/>
    <w:rsid w:val="00505FC5"/>
    <w:rsid w:val="00506740"/>
    <w:rsid w:val="005069D7"/>
    <w:rsid w:val="00506A55"/>
    <w:rsid w:val="00506B52"/>
    <w:rsid w:val="005073EF"/>
    <w:rsid w:val="0050782B"/>
    <w:rsid w:val="00507F59"/>
    <w:rsid w:val="00507FB0"/>
    <w:rsid w:val="00510316"/>
    <w:rsid w:val="00510495"/>
    <w:rsid w:val="005115DB"/>
    <w:rsid w:val="005115E3"/>
    <w:rsid w:val="005118F0"/>
    <w:rsid w:val="00511A61"/>
    <w:rsid w:val="00511E4B"/>
    <w:rsid w:val="00511FE6"/>
    <w:rsid w:val="0051203F"/>
    <w:rsid w:val="00512F1C"/>
    <w:rsid w:val="005132AE"/>
    <w:rsid w:val="005132EA"/>
    <w:rsid w:val="00513FF4"/>
    <w:rsid w:val="00514CF3"/>
    <w:rsid w:val="00515192"/>
    <w:rsid w:val="00515688"/>
    <w:rsid w:val="00515DEC"/>
    <w:rsid w:val="0051688D"/>
    <w:rsid w:val="00516CDE"/>
    <w:rsid w:val="005178DE"/>
    <w:rsid w:val="00517982"/>
    <w:rsid w:val="00517D02"/>
    <w:rsid w:val="0052001B"/>
    <w:rsid w:val="00520900"/>
    <w:rsid w:val="005211C2"/>
    <w:rsid w:val="0052138A"/>
    <w:rsid w:val="0052230C"/>
    <w:rsid w:val="00522340"/>
    <w:rsid w:val="00522DCB"/>
    <w:rsid w:val="005232AE"/>
    <w:rsid w:val="0052351B"/>
    <w:rsid w:val="0052475A"/>
    <w:rsid w:val="00524FEF"/>
    <w:rsid w:val="00525753"/>
    <w:rsid w:val="00527A16"/>
    <w:rsid w:val="00527B91"/>
    <w:rsid w:val="00527CF9"/>
    <w:rsid w:val="0053025A"/>
    <w:rsid w:val="00530F78"/>
    <w:rsid w:val="00531632"/>
    <w:rsid w:val="005317C4"/>
    <w:rsid w:val="005319B8"/>
    <w:rsid w:val="00531E4C"/>
    <w:rsid w:val="00532365"/>
    <w:rsid w:val="0053285F"/>
    <w:rsid w:val="00532AC5"/>
    <w:rsid w:val="00532BCB"/>
    <w:rsid w:val="005334A3"/>
    <w:rsid w:val="005338A3"/>
    <w:rsid w:val="00533D18"/>
    <w:rsid w:val="005341F8"/>
    <w:rsid w:val="00534C87"/>
    <w:rsid w:val="00535723"/>
    <w:rsid w:val="00535BAE"/>
    <w:rsid w:val="005365BF"/>
    <w:rsid w:val="00536647"/>
    <w:rsid w:val="00536E8D"/>
    <w:rsid w:val="005372DA"/>
    <w:rsid w:val="005376E6"/>
    <w:rsid w:val="005401CE"/>
    <w:rsid w:val="005405C6"/>
    <w:rsid w:val="00540774"/>
    <w:rsid w:val="00540B24"/>
    <w:rsid w:val="005418EC"/>
    <w:rsid w:val="005423C7"/>
    <w:rsid w:val="00543D07"/>
    <w:rsid w:val="00543F17"/>
    <w:rsid w:val="00543F3A"/>
    <w:rsid w:val="00544416"/>
    <w:rsid w:val="00544634"/>
    <w:rsid w:val="00544E74"/>
    <w:rsid w:val="005451F8"/>
    <w:rsid w:val="00545721"/>
    <w:rsid w:val="0054586B"/>
    <w:rsid w:val="00545922"/>
    <w:rsid w:val="005459F5"/>
    <w:rsid w:val="00546814"/>
    <w:rsid w:val="00546A14"/>
    <w:rsid w:val="00546C05"/>
    <w:rsid w:val="00547F0E"/>
    <w:rsid w:val="0055026D"/>
    <w:rsid w:val="005502F2"/>
    <w:rsid w:val="00550426"/>
    <w:rsid w:val="00550A6B"/>
    <w:rsid w:val="00552351"/>
    <w:rsid w:val="00552475"/>
    <w:rsid w:val="00552828"/>
    <w:rsid w:val="00553992"/>
    <w:rsid w:val="00553A4E"/>
    <w:rsid w:val="00554300"/>
    <w:rsid w:val="005545E1"/>
    <w:rsid w:val="00554AA0"/>
    <w:rsid w:val="00554AC6"/>
    <w:rsid w:val="00554F02"/>
    <w:rsid w:val="00555072"/>
    <w:rsid w:val="005556F0"/>
    <w:rsid w:val="00555873"/>
    <w:rsid w:val="00555CD4"/>
    <w:rsid w:val="00556522"/>
    <w:rsid w:val="005566E1"/>
    <w:rsid w:val="005577AB"/>
    <w:rsid w:val="00560184"/>
    <w:rsid w:val="005602FC"/>
    <w:rsid w:val="00560C88"/>
    <w:rsid w:val="00560CE9"/>
    <w:rsid w:val="0056180A"/>
    <w:rsid w:val="00561C55"/>
    <w:rsid w:val="005625A1"/>
    <w:rsid w:val="005636DC"/>
    <w:rsid w:val="00563B14"/>
    <w:rsid w:val="0056484A"/>
    <w:rsid w:val="00564D32"/>
    <w:rsid w:val="005657A9"/>
    <w:rsid w:val="00566A21"/>
    <w:rsid w:val="005677EB"/>
    <w:rsid w:val="00570146"/>
    <w:rsid w:val="00570272"/>
    <w:rsid w:val="00570762"/>
    <w:rsid w:val="00570841"/>
    <w:rsid w:val="00570D98"/>
    <w:rsid w:val="00571694"/>
    <w:rsid w:val="005720DF"/>
    <w:rsid w:val="00572C17"/>
    <w:rsid w:val="00573435"/>
    <w:rsid w:val="005739EC"/>
    <w:rsid w:val="005744B9"/>
    <w:rsid w:val="00574752"/>
    <w:rsid w:val="00574DFE"/>
    <w:rsid w:val="00575C1C"/>
    <w:rsid w:val="00576183"/>
    <w:rsid w:val="00576486"/>
    <w:rsid w:val="005776EA"/>
    <w:rsid w:val="00580699"/>
    <w:rsid w:val="00581BF7"/>
    <w:rsid w:val="00582586"/>
    <w:rsid w:val="005827ED"/>
    <w:rsid w:val="00583462"/>
    <w:rsid w:val="00583B44"/>
    <w:rsid w:val="00584551"/>
    <w:rsid w:val="0058545D"/>
    <w:rsid w:val="00585ED5"/>
    <w:rsid w:val="00586170"/>
    <w:rsid w:val="0058620D"/>
    <w:rsid w:val="005863AE"/>
    <w:rsid w:val="00586467"/>
    <w:rsid w:val="00586900"/>
    <w:rsid w:val="005869DD"/>
    <w:rsid w:val="00586B86"/>
    <w:rsid w:val="00586E95"/>
    <w:rsid w:val="0058702C"/>
    <w:rsid w:val="00587050"/>
    <w:rsid w:val="00587669"/>
    <w:rsid w:val="00587E7A"/>
    <w:rsid w:val="00587FDA"/>
    <w:rsid w:val="00590379"/>
    <w:rsid w:val="00591223"/>
    <w:rsid w:val="00591303"/>
    <w:rsid w:val="005926A2"/>
    <w:rsid w:val="005928F0"/>
    <w:rsid w:val="00592E13"/>
    <w:rsid w:val="00594285"/>
    <w:rsid w:val="0059440E"/>
    <w:rsid w:val="00594E82"/>
    <w:rsid w:val="00595649"/>
    <w:rsid w:val="00595D22"/>
    <w:rsid w:val="0059612E"/>
    <w:rsid w:val="0059698E"/>
    <w:rsid w:val="00596F59"/>
    <w:rsid w:val="00597359"/>
    <w:rsid w:val="005A02E0"/>
    <w:rsid w:val="005A18A5"/>
    <w:rsid w:val="005A2E7F"/>
    <w:rsid w:val="005A318D"/>
    <w:rsid w:val="005A3507"/>
    <w:rsid w:val="005A3EB3"/>
    <w:rsid w:val="005A3EF1"/>
    <w:rsid w:val="005A4880"/>
    <w:rsid w:val="005A4EF9"/>
    <w:rsid w:val="005A64D2"/>
    <w:rsid w:val="005A6C65"/>
    <w:rsid w:val="005A7558"/>
    <w:rsid w:val="005A7721"/>
    <w:rsid w:val="005B0531"/>
    <w:rsid w:val="005B11BF"/>
    <w:rsid w:val="005B2843"/>
    <w:rsid w:val="005B3987"/>
    <w:rsid w:val="005B6314"/>
    <w:rsid w:val="005B64EF"/>
    <w:rsid w:val="005B6B32"/>
    <w:rsid w:val="005B756B"/>
    <w:rsid w:val="005B77C4"/>
    <w:rsid w:val="005B7ACE"/>
    <w:rsid w:val="005B7BCA"/>
    <w:rsid w:val="005B7D1C"/>
    <w:rsid w:val="005C0545"/>
    <w:rsid w:val="005C101F"/>
    <w:rsid w:val="005C1116"/>
    <w:rsid w:val="005C169B"/>
    <w:rsid w:val="005C1729"/>
    <w:rsid w:val="005C1C63"/>
    <w:rsid w:val="005C2957"/>
    <w:rsid w:val="005C29B6"/>
    <w:rsid w:val="005C2D3A"/>
    <w:rsid w:val="005C360B"/>
    <w:rsid w:val="005C36E1"/>
    <w:rsid w:val="005C37E0"/>
    <w:rsid w:val="005C3C22"/>
    <w:rsid w:val="005C3F87"/>
    <w:rsid w:val="005C4403"/>
    <w:rsid w:val="005C458C"/>
    <w:rsid w:val="005C4A8F"/>
    <w:rsid w:val="005C4D4E"/>
    <w:rsid w:val="005C56A5"/>
    <w:rsid w:val="005C60DF"/>
    <w:rsid w:val="005C65D5"/>
    <w:rsid w:val="005C688C"/>
    <w:rsid w:val="005C7528"/>
    <w:rsid w:val="005C7877"/>
    <w:rsid w:val="005D1420"/>
    <w:rsid w:val="005D1423"/>
    <w:rsid w:val="005D27CC"/>
    <w:rsid w:val="005D2E26"/>
    <w:rsid w:val="005D3351"/>
    <w:rsid w:val="005D397D"/>
    <w:rsid w:val="005D3B42"/>
    <w:rsid w:val="005D5204"/>
    <w:rsid w:val="005D56FF"/>
    <w:rsid w:val="005D5A20"/>
    <w:rsid w:val="005D5CDF"/>
    <w:rsid w:val="005D658D"/>
    <w:rsid w:val="005D6607"/>
    <w:rsid w:val="005D6CA6"/>
    <w:rsid w:val="005D78A9"/>
    <w:rsid w:val="005E090D"/>
    <w:rsid w:val="005E1178"/>
    <w:rsid w:val="005E1555"/>
    <w:rsid w:val="005E197C"/>
    <w:rsid w:val="005E1F06"/>
    <w:rsid w:val="005E1F74"/>
    <w:rsid w:val="005E2140"/>
    <w:rsid w:val="005E2E63"/>
    <w:rsid w:val="005E32E6"/>
    <w:rsid w:val="005E4536"/>
    <w:rsid w:val="005E45BD"/>
    <w:rsid w:val="005E4E37"/>
    <w:rsid w:val="005E501A"/>
    <w:rsid w:val="005E5179"/>
    <w:rsid w:val="005E51B9"/>
    <w:rsid w:val="005E60B9"/>
    <w:rsid w:val="005E60E3"/>
    <w:rsid w:val="005E62DF"/>
    <w:rsid w:val="005E6C30"/>
    <w:rsid w:val="005E72AE"/>
    <w:rsid w:val="005E7949"/>
    <w:rsid w:val="005F040F"/>
    <w:rsid w:val="005F1089"/>
    <w:rsid w:val="005F117C"/>
    <w:rsid w:val="005F1490"/>
    <w:rsid w:val="005F180E"/>
    <w:rsid w:val="005F182E"/>
    <w:rsid w:val="005F1FB0"/>
    <w:rsid w:val="005F3AF6"/>
    <w:rsid w:val="005F3CF1"/>
    <w:rsid w:val="005F3E49"/>
    <w:rsid w:val="005F4021"/>
    <w:rsid w:val="005F44B8"/>
    <w:rsid w:val="005F4CE1"/>
    <w:rsid w:val="005F4CFC"/>
    <w:rsid w:val="005F4D10"/>
    <w:rsid w:val="005F6AD1"/>
    <w:rsid w:val="005F788A"/>
    <w:rsid w:val="00600CBC"/>
    <w:rsid w:val="006014E1"/>
    <w:rsid w:val="006024E1"/>
    <w:rsid w:val="00602D07"/>
    <w:rsid w:val="00602E94"/>
    <w:rsid w:val="006030D4"/>
    <w:rsid w:val="00603181"/>
    <w:rsid w:val="006043E0"/>
    <w:rsid w:val="00604B8D"/>
    <w:rsid w:val="006051C1"/>
    <w:rsid w:val="006058BB"/>
    <w:rsid w:val="00605E8E"/>
    <w:rsid w:val="00606019"/>
    <w:rsid w:val="006070E2"/>
    <w:rsid w:val="006072F7"/>
    <w:rsid w:val="006104CB"/>
    <w:rsid w:val="006109F8"/>
    <w:rsid w:val="00611489"/>
    <w:rsid w:val="00611EF8"/>
    <w:rsid w:val="00612741"/>
    <w:rsid w:val="00612978"/>
    <w:rsid w:val="00612DDF"/>
    <w:rsid w:val="00612FEB"/>
    <w:rsid w:val="00613336"/>
    <w:rsid w:val="0061376D"/>
    <w:rsid w:val="00613F9D"/>
    <w:rsid w:val="0061446C"/>
    <w:rsid w:val="006150B3"/>
    <w:rsid w:val="00615BC5"/>
    <w:rsid w:val="006165FE"/>
    <w:rsid w:val="006167E6"/>
    <w:rsid w:val="00616978"/>
    <w:rsid w:val="00616C72"/>
    <w:rsid w:val="00616D10"/>
    <w:rsid w:val="00617BB5"/>
    <w:rsid w:val="00620028"/>
    <w:rsid w:val="0062111A"/>
    <w:rsid w:val="006211C9"/>
    <w:rsid w:val="006214CD"/>
    <w:rsid w:val="00621E3F"/>
    <w:rsid w:val="00621F22"/>
    <w:rsid w:val="00622113"/>
    <w:rsid w:val="006227B0"/>
    <w:rsid w:val="006235E3"/>
    <w:rsid w:val="00623E84"/>
    <w:rsid w:val="006245A0"/>
    <w:rsid w:val="006248A5"/>
    <w:rsid w:val="00624B19"/>
    <w:rsid w:val="00624DE7"/>
    <w:rsid w:val="0062567F"/>
    <w:rsid w:val="00626037"/>
    <w:rsid w:val="00627205"/>
    <w:rsid w:val="00627A9F"/>
    <w:rsid w:val="00627C8C"/>
    <w:rsid w:val="00630B0A"/>
    <w:rsid w:val="00631230"/>
    <w:rsid w:val="006312ED"/>
    <w:rsid w:val="0063277F"/>
    <w:rsid w:val="00632D5A"/>
    <w:rsid w:val="00633798"/>
    <w:rsid w:val="00634934"/>
    <w:rsid w:val="00635487"/>
    <w:rsid w:val="00635E4F"/>
    <w:rsid w:val="006360FC"/>
    <w:rsid w:val="00636AC6"/>
    <w:rsid w:val="00636F93"/>
    <w:rsid w:val="00637744"/>
    <w:rsid w:val="00640FEF"/>
    <w:rsid w:val="006414D4"/>
    <w:rsid w:val="00641751"/>
    <w:rsid w:val="006417EA"/>
    <w:rsid w:val="00641ACC"/>
    <w:rsid w:val="006432CA"/>
    <w:rsid w:val="006433A0"/>
    <w:rsid w:val="00644168"/>
    <w:rsid w:val="00644386"/>
    <w:rsid w:val="006444E5"/>
    <w:rsid w:val="00644608"/>
    <w:rsid w:val="00644CC8"/>
    <w:rsid w:val="00645B67"/>
    <w:rsid w:val="00646F4B"/>
    <w:rsid w:val="006512E1"/>
    <w:rsid w:val="006513C8"/>
    <w:rsid w:val="00651AFE"/>
    <w:rsid w:val="00651FA3"/>
    <w:rsid w:val="00652305"/>
    <w:rsid w:val="00652AD5"/>
    <w:rsid w:val="00653EDB"/>
    <w:rsid w:val="00654038"/>
    <w:rsid w:val="00654890"/>
    <w:rsid w:val="00654D08"/>
    <w:rsid w:val="006555EC"/>
    <w:rsid w:val="00655A06"/>
    <w:rsid w:val="00655F31"/>
    <w:rsid w:val="0065612C"/>
    <w:rsid w:val="006565BC"/>
    <w:rsid w:val="00656F93"/>
    <w:rsid w:val="00657275"/>
    <w:rsid w:val="00660FD4"/>
    <w:rsid w:val="00661C30"/>
    <w:rsid w:val="00661E2D"/>
    <w:rsid w:val="006623C2"/>
    <w:rsid w:val="006628E0"/>
    <w:rsid w:val="00662BEE"/>
    <w:rsid w:val="006636AE"/>
    <w:rsid w:val="0066404A"/>
    <w:rsid w:val="00665074"/>
    <w:rsid w:val="00666947"/>
    <w:rsid w:val="00667189"/>
    <w:rsid w:val="0067017D"/>
    <w:rsid w:val="00670DF6"/>
    <w:rsid w:val="00671109"/>
    <w:rsid w:val="00671334"/>
    <w:rsid w:val="00671742"/>
    <w:rsid w:val="00671D2C"/>
    <w:rsid w:val="00672541"/>
    <w:rsid w:val="00672B2A"/>
    <w:rsid w:val="00672F29"/>
    <w:rsid w:val="006739B7"/>
    <w:rsid w:val="0067455A"/>
    <w:rsid w:val="0067494D"/>
    <w:rsid w:val="00674C51"/>
    <w:rsid w:val="0067525B"/>
    <w:rsid w:val="006753A9"/>
    <w:rsid w:val="00675B54"/>
    <w:rsid w:val="00675CDF"/>
    <w:rsid w:val="00676C05"/>
    <w:rsid w:val="00676EC2"/>
    <w:rsid w:val="006770DF"/>
    <w:rsid w:val="0067735B"/>
    <w:rsid w:val="00677CB7"/>
    <w:rsid w:val="00677D77"/>
    <w:rsid w:val="00677DFE"/>
    <w:rsid w:val="00677FEC"/>
    <w:rsid w:val="006802FB"/>
    <w:rsid w:val="00680927"/>
    <w:rsid w:val="00681882"/>
    <w:rsid w:val="0068294D"/>
    <w:rsid w:val="00682C8A"/>
    <w:rsid w:val="00683215"/>
    <w:rsid w:val="00683325"/>
    <w:rsid w:val="00683D35"/>
    <w:rsid w:val="00684410"/>
    <w:rsid w:val="00684536"/>
    <w:rsid w:val="006848A8"/>
    <w:rsid w:val="00684DB4"/>
    <w:rsid w:val="00684DE2"/>
    <w:rsid w:val="00685ACE"/>
    <w:rsid w:val="00686390"/>
    <w:rsid w:val="0068670E"/>
    <w:rsid w:val="0068741F"/>
    <w:rsid w:val="0068747C"/>
    <w:rsid w:val="00687544"/>
    <w:rsid w:val="00690C5C"/>
    <w:rsid w:val="00691AE7"/>
    <w:rsid w:val="00691AF1"/>
    <w:rsid w:val="00691B86"/>
    <w:rsid w:val="00692435"/>
    <w:rsid w:val="00693D0C"/>
    <w:rsid w:val="00693F47"/>
    <w:rsid w:val="0069443C"/>
    <w:rsid w:val="0069482A"/>
    <w:rsid w:val="006949AA"/>
    <w:rsid w:val="00694CA7"/>
    <w:rsid w:val="00695779"/>
    <w:rsid w:val="00695BCC"/>
    <w:rsid w:val="0069601B"/>
    <w:rsid w:val="00696213"/>
    <w:rsid w:val="00696A23"/>
    <w:rsid w:val="006971A0"/>
    <w:rsid w:val="00697CAE"/>
    <w:rsid w:val="006A05D6"/>
    <w:rsid w:val="006A07DE"/>
    <w:rsid w:val="006A0AEE"/>
    <w:rsid w:val="006A0B64"/>
    <w:rsid w:val="006A11EF"/>
    <w:rsid w:val="006A2D3F"/>
    <w:rsid w:val="006A37C9"/>
    <w:rsid w:val="006A3DBD"/>
    <w:rsid w:val="006A3F3A"/>
    <w:rsid w:val="006A3F85"/>
    <w:rsid w:val="006A4CEB"/>
    <w:rsid w:val="006A4D1C"/>
    <w:rsid w:val="006A51EB"/>
    <w:rsid w:val="006A6159"/>
    <w:rsid w:val="006A69AD"/>
    <w:rsid w:val="006A6C58"/>
    <w:rsid w:val="006A755B"/>
    <w:rsid w:val="006A78FD"/>
    <w:rsid w:val="006B0282"/>
    <w:rsid w:val="006B0B15"/>
    <w:rsid w:val="006B0E28"/>
    <w:rsid w:val="006B0F6F"/>
    <w:rsid w:val="006B2460"/>
    <w:rsid w:val="006B3597"/>
    <w:rsid w:val="006B371D"/>
    <w:rsid w:val="006B3877"/>
    <w:rsid w:val="006B39BE"/>
    <w:rsid w:val="006B4085"/>
    <w:rsid w:val="006B576E"/>
    <w:rsid w:val="006B5959"/>
    <w:rsid w:val="006B637A"/>
    <w:rsid w:val="006B781A"/>
    <w:rsid w:val="006B7A22"/>
    <w:rsid w:val="006B7B71"/>
    <w:rsid w:val="006C02C0"/>
    <w:rsid w:val="006C0501"/>
    <w:rsid w:val="006C0E0D"/>
    <w:rsid w:val="006C1376"/>
    <w:rsid w:val="006C16CC"/>
    <w:rsid w:val="006C1A5A"/>
    <w:rsid w:val="006C1F52"/>
    <w:rsid w:val="006C1FCC"/>
    <w:rsid w:val="006C207D"/>
    <w:rsid w:val="006C2254"/>
    <w:rsid w:val="006C238D"/>
    <w:rsid w:val="006C2C88"/>
    <w:rsid w:val="006C2D91"/>
    <w:rsid w:val="006C3202"/>
    <w:rsid w:val="006C43AB"/>
    <w:rsid w:val="006C4516"/>
    <w:rsid w:val="006C478C"/>
    <w:rsid w:val="006C4A93"/>
    <w:rsid w:val="006C4BC8"/>
    <w:rsid w:val="006C5123"/>
    <w:rsid w:val="006C5667"/>
    <w:rsid w:val="006C595D"/>
    <w:rsid w:val="006C5FBA"/>
    <w:rsid w:val="006C63A2"/>
    <w:rsid w:val="006C6402"/>
    <w:rsid w:val="006C6522"/>
    <w:rsid w:val="006C686C"/>
    <w:rsid w:val="006C71F9"/>
    <w:rsid w:val="006C798C"/>
    <w:rsid w:val="006D05DF"/>
    <w:rsid w:val="006D0EAB"/>
    <w:rsid w:val="006D11D4"/>
    <w:rsid w:val="006D1710"/>
    <w:rsid w:val="006D25CC"/>
    <w:rsid w:val="006D2984"/>
    <w:rsid w:val="006D3B73"/>
    <w:rsid w:val="006D3F33"/>
    <w:rsid w:val="006D440D"/>
    <w:rsid w:val="006D4685"/>
    <w:rsid w:val="006D4A1B"/>
    <w:rsid w:val="006D5426"/>
    <w:rsid w:val="006D57AA"/>
    <w:rsid w:val="006D595E"/>
    <w:rsid w:val="006D670A"/>
    <w:rsid w:val="006D69B6"/>
    <w:rsid w:val="006D7EE2"/>
    <w:rsid w:val="006E0415"/>
    <w:rsid w:val="006E054B"/>
    <w:rsid w:val="006E060A"/>
    <w:rsid w:val="006E0819"/>
    <w:rsid w:val="006E11F9"/>
    <w:rsid w:val="006E18AC"/>
    <w:rsid w:val="006E1A60"/>
    <w:rsid w:val="006E1BB9"/>
    <w:rsid w:val="006E229D"/>
    <w:rsid w:val="006E26BE"/>
    <w:rsid w:val="006E2F02"/>
    <w:rsid w:val="006E2F85"/>
    <w:rsid w:val="006E321F"/>
    <w:rsid w:val="006E35F1"/>
    <w:rsid w:val="006E3CC1"/>
    <w:rsid w:val="006E4E47"/>
    <w:rsid w:val="006E52B6"/>
    <w:rsid w:val="006E55DA"/>
    <w:rsid w:val="006E5A3B"/>
    <w:rsid w:val="006E5A4F"/>
    <w:rsid w:val="006E5DBF"/>
    <w:rsid w:val="006E68C0"/>
    <w:rsid w:val="006E6C52"/>
    <w:rsid w:val="006E6F43"/>
    <w:rsid w:val="006E71A8"/>
    <w:rsid w:val="006E728B"/>
    <w:rsid w:val="006E7364"/>
    <w:rsid w:val="006F0069"/>
    <w:rsid w:val="006F078D"/>
    <w:rsid w:val="006F0A56"/>
    <w:rsid w:val="006F1567"/>
    <w:rsid w:val="006F1656"/>
    <w:rsid w:val="006F217E"/>
    <w:rsid w:val="006F29E7"/>
    <w:rsid w:val="006F3342"/>
    <w:rsid w:val="006F434A"/>
    <w:rsid w:val="006F4878"/>
    <w:rsid w:val="006F4DAE"/>
    <w:rsid w:val="006F52D3"/>
    <w:rsid w:val="006F5A20"/>
    <w:rsid w:val="006F5A28"/>
    <w:rsid w:val="006F5A39"/>
    <w:rsid w:val="006F5D96"/>
    <w:rsid w:val="006F6E60"/>
    <w:rsid w:val="006F6FA1"/>
    <w:rsid w:val="006F78B8"/>
    <w:rsid w:val="0070012A"/>
    <w:rsid w:val="00700A38"/>
    <w:rsid w:val="007010B9"/>
    <w:rsid w:val="0070154A"/>
    <w:rsid w:val="0070161B"/>
    <w:rsid w:val="00701BC6"/>
    <w:rsid w:val="007020C8"/>
    <w:rsid w:val="0070247C"/>
    <w:rsid w:val="00702DD9"/>
    <w:rsid w:val="00702F92"/>
    <w:rsid w:val="00703FBE"/>
    <w:rsid w:val="007049A4"/>
    <w:rsid w:val="0070549F"/>
    <w:rsid w:val="007068F9"/>
    <w:rsid w:val="00706CA9"/>
    <w:rsid w:val="00707436"/>
    <w:rsid w:val="007075D4"/>
    <w:rsid w:val="00707721"/>
    <w:rsid w:val="00707B70"/>
    <w:rsid w:val="00707BB3"/>
    <w:rsid w:val="00710305"/>
    <w:rsid w:val="00710787"/>
    <w:rsid w:val="00710B2F"/>
    <w:rsid w:val="00710D5B"/>
    <w:rsid w:val="00711990"/>
    <w:rsid w:val="0071263B"/>
    <w:rsid w:val="0071298E"/>
    <w:rsid w:val="00712B4B"/>
    <w:rsid w:val="00713377"/>
    <w:rsid w:val="00713A0E"/>
    <w:rsid w:val="00713BA3"/>
    <w:rsid w:val="00714E47"/>
    <w:rsid w:val="00715548"/>
    <w:rsid w:val="00715732"/>
    <w:rsid w:val="00716542"/>
    <w:rsid w:val="007175E0"/>
    <w:rsid w:val="00717B8D"/>
    <w:rsid w:val="0072028B"/>
    <w:rsid w:val="00720370"/>
    <w:rsid w:val="007209AC"/>
    <w:rsid w:val="00720A29"/>
    <w:rsid w:val="00721659"/>
    <w:rsid w:val="007219F7"/>
    <w:rsid w:val="00721F74"/>
    <w:rsid w:val="00722E3B"/>
    <w:rsid w:val="00722F82"/>
    <w:rsid w:val="007235B4"/>
    <w:rsid w:val="00723A55"/>
    <w:rsid w:val="0072409C"/>
    <w:rsid w:val="0072450C"/>
    <w:rsid w:val="00724797"/>
    <w:rsid w:val="00725099"/>
    <w:rsid w:val="0072566E"/>
    <w:rsid w:val="00725DAC"/>
    <w:rsid w:val="00726323"/>
    <w:rsid w:val="00726C1A"/>
    <w:rsid w:val="00727860"/>
    <w:rsid w:val="00727E53"/>
    <w:rsid w:val="00727F35"/>
    <w:rsid w:val="0073033F"/>
    <w:rsid w:val="0073046E"/>
    <w:rsid w:val="00730920"/>
    <w:rsid w:val="00731292"/>
    <w:rsid w:val="0073149D"/>
    <w:rsid w:val="0073158C"/>
    <w:rsid w:val="007315C9"/>
    <w:rsid w:val="007321B1"/>
    <w:rsid w:val="00732FA9"/>
    <w:rsid w:val="007337D2"/>
    <w:rsid w:val="00734220"/>
    <w:rsid w:val="00734379"/>
    <w:rsid w:val="00735ACE"/>
    <w:rsid w:val="0073607A"/>
    <w:rsid w:val="00736113"/>
    <w:rsid w:val="00737C61"/>
    <w:rsid w:val="007401F3"/>
    <w:rsid w:val="007402F6"/>
    <w:rsid w:val="007407CF"/>
    <w:rsid w:val="00740E63"/>
    <w:rsid w:val="00741193"/>
    <w:rsid w:val="007411E6"/>
    <w:rsid w:val="007420FE"/>
    <w:rsid w:val="00742E7C"/>
    <w:rsid w:val="00743FED"/>
    <w:rsid w:val="00745F2E"/>
    <w:rsid w:val="007463BC"/>
    <w:rsid w:val="007472F4"/>
    <w:rsid w:val="00747E29"/>
    <w:rsid w:val="007506F6"/>
    <w:rsid w:val="00750F1B"/>
    <w:rsid w:val="0075102E"/>
    <w:rsid w:val="00751188"/>
    <w:rsid w:val="0075134F"/>
    <w:rsid w:val="00751BBB"/>
    <w:rsid w:val="00751FA2"/>
    <w:rsid w:val="007527A4"/>
    <w:rsid w:val="007529CA"/>
    <w:rsid w:val="00753FD5"/>
    <w:rsid w:val="007543AA"/>
    <w:rsid w:val="007543B2"/>
    <w:rsid w:val="00754439"/>
    <w:rsid w:val="00754F6C"/>
    <w:rsid w:val="0075536A"/>
    <w:rsid w:val="007559E4"/>
    <w:rsid w:val="00755BFE"/>
    <w:rsid w:val="00755F09"/>
    <w:rsid w:val="00755F64"/>
    <w:rsid w:val="0075724D"/>
    <w:rsid w:val="007576AE"/>
    <w:rsid w:val="007576CC"/>
    <w:rsid w:val="00757A6D"/>
    <w:rsid w:val="00757EFD"/>
    <w:rsid w:val="007601E4"/>
    <w:rsid w:val="00760A68"/>
    <w:rsid w:val="007610CC"/>
    <w:rsid w:val="00761BF1"/>
    <w:rsid w:val="007635EF"/>
    <w:rsid w:val="00763A24"/>
    <w:rsid w:val="00764049"/>
    <w:rsid w:val="0076405C"/>
    <w:rsid w:val="00764943"/>
    <w:rsid w:val="00764D17"/>
    <w:rsid w:val="00765B82"/>
    <w:rsid w:val="00765D19"/>
    <w:rsid w:val="00766438"/>
    <w:rsid w:val="00766573"/>
    <w:rsid w:val="00766C91"/>
    <w:rsid w:val="00767485"/>
    <w:rsid w:val="00767F6D"/>
    <w:rsid w:val="00770319"/>
    <w:rsid w:val="007718C5"/>
    <w:rsid w:val="0077259B"/>
    <w:rsid w:val="007726C4"/>
    <w:rsid w:val="007729AB"/>
    <w:rsid w:val="007729F5"/>
    <w:rsid w:val="0077315A"/>
    <w:rsid w:val="007733AA"/>
    <w:rsid w:val="00773E14"/>
    <w:rsid w:val="00774301"/>
    <w:rsid w:val="0077496E"/>
    <w:rsid w:val="00774ACD"/>
    <w:rsid w:val="00774C16"/>
    <w:rsid w:val="00774E84"/>
    <w:rsid w:val="0077551B"/>
    <w:rsid w:val="0077567F"/>
    <w:rsid w:val="00776808"/>
    <w:rsid w:val="0077689D"/>
    <w:rsid w:val="0077736C"/>
    <w:rsid w:val="007773AD"/>
    <w:rsid w:val="00777A1F"/>
    <w:rsid w:val="00780011"/>
    <w:rsid w:val="007808EE"/>
    <w:rsid w:val="007809CD"/>
    <w:rsid w:val="007817CF"/>
    <w:rsid w:val="00781CF4"/>
    <w:rsid w:val="00781D25"/>
    <w:rsid w:val="00781E47"/>
    <w:rsid w:val="00781F74"/>
    <w:rsid w:val="00782253"/>
    <w:rsid w:val="00782E56"/>
    <w:rsid w:val="0078398A"/>
    <w:rsid w:val="00783A43"/>
    <w:rsid w:val="00783D1B"/>
    <w:rsid w:val="00783FF4"/>
    <w:rsid w:val="00784228"/>
    <w:rsid w:val="007849C0"/>
    <w:rsid w:val="00784BC5"/>
    <w:rsid w:val="007853D2"/>
    <w:rsid w:val="007858D9"/>
    <w:rsid w:val="00785998"/>
    <w:rsid w:val="007869A7"/>
    <w:rsid w:val="00786D8F"/>
    <w:rsid w:val="007878D4"/>
    <w:rsid w:val="0078794C"/>
    <w:rsid w:val="00787E0F"/>
    <w:rsid w:val="0079145E"/>
    <w:rsid w:val="0079152A"/>
    <w:rsid w:val="007916BC"/>
    <w:rsid w:val="0079207D"/>
    <w:rsid w:val="007920E7"/>
    <w:rsid w:val="007920F6"/>
    <w:rsid w:val="00792EEE"/>
    <w:rsid w:val="007936D7"/>
    <w:rsid w:val="0079384A"/>
    <w:rsid w:val="00793AD3"/>
    <w:rsid w:val="00794438"/>
    <w:rsid w:val="00794A22"/>
    <w:rsid w:val="00795233"/>
    <w:rsid w:val="00795676"/>
    <w:rsid w:val="00795A69"/>
    <w:rsid w:val="007964F0"/>
    <w:rsid w:val="00796CBD"/>
    <w:rsid w:val="00796EA7"/>
    <w:rsid w:val="007A0F7E"/>
    <w:rsid w:val="007A1413"/>
    <w:rsid w:val="007A145C"/>
    <w:rsid w:val="007A1F5C"/>
    <w:rsid w:val="007A242A"/>
    <w:rsid w:val="007A2DAD"/>
    <w:rsid w:val="007A3591"/>
    <w:rsid w:val="007A4FA1"/>
    <w:rsid w:val="007A4FEE"/>
    <w:rsid w:val="007A50D3"/>
    <w:rsid w:val="007A585E"/>
    <w:rsid w:val="007A5A11"/>
    <w:rsid w:val="007A6750"/>
    <w:rsid w:val="007A67BF"/>
    <w:rsid w:val="007A7890"/>
    <w:rsid w:val="007B09A6"/>
    <w:rsid w:val="007B0B72"/>
    <w:rsid w:val="007B0B89"/>
    <w:rsid w:val="007B10F2"/>
    <w:rsid w:val="007B14EB"/>
    <w:rsid w:val="007B1930"/>
    <w:rsid w:val="007B2187"/>
    <w:rsid w:val="007B246A"/>
    <w:rsid w:val="007B3E82"/>
    <w:rsid w:val="007B3F86"/>
    <w:rsid w:val="007B4AF3"/>
    <w:rsid w:val="007B4BD3"/>
    <w:rsid w:val="007B5236"/>
    <w:rsid w:val="007B579A"/>
    <w:rsid w:val="007B5F49"/>
    <w:rsid w:val="007B683E"/>
    <w:rsid w:val="007B6B89"/>
    <w:rsid w:val="007B79CE"/>
    <w:rsid w:val="007C0745"/>
    <w:rsid w:val="007C0D60"/>
    <w:rsid w:val="007C1712"/>
    <w:rsid w:val="007C1AF5"/>
    <w:rsid w:val="007C1C35"/>
    <w:rsid w:val="007C1DE2"/>
    <w:rsid w:val="007C27A9"/>
    <w:rsid w:val="007C2931"/>
    <w:rsid w:val="007C3206"/>
    <w:rsid w:val="007C3921"/>
    <w:rsid w:val="007C431D"/>
    <w:rsid w:val="007C461E"/>
    <w:rsid w:val="007C4C25"/>
    <w:rsid w:val="007C5080"/>
    <w:rsid w:val="007C68EC"/>
    <w:rsid w:val="007C76E4"/>
    <w:rsid w:val="007D01F8"/>
    <w:rsid w:val="007D0684"/>
    <w:rsid w:val="007D0816"/>
    <w:rsid w:val="007D11F5"/>
    <w:rsid w:val="007D2AED"/>
    <w:rsid w:val="007D2FB1"/>
    <w:rsid w:val="007D3119"/>
    <w:rsid w:val="007D3550"/>
    <w:rsid w:val="007D4486"/>
    <w:rsid w:val="007D53E3"/>
    <w:rsid w:val="007D546D"/>
    <w:rsid w:val="007D584F"/>
    <w:rsid w:val="007D7433"/>
    <w:rsid w:val="007D74E4"/>
    <w:rsid w:val="007D7782"/>
    <w:rsid w:val="007E07FE"/>
    <w:rsid w:val="007E09C9"/>
    <w:rsid w:val="007E0AFA"/>
    <w:rsid w:val="007E0D51"/>
    <w:rsid w:val="007E1709"/>
    <w:rsid w:val="007E1E52"/>
    <w:rsid w:val="007E20EF"/>
    <w:rsid w:val="007E27CE"/>
    <w:rsid w:val="007E3070"/>
    <w:rsid w:val="007E336A"/>
    <w:rsid w:val="007E39C4"/>
    <w:rsid w:val="007E3A66"/>
    <w:rsid w:val="007E45B8"/>
    <w:rsid w:val="007E4D5F"/>
    <w:rsid w:val="007E5C71"/>
    <w:rsid w:val="007E6102"/>
    <w:rsid w:val="007E6134"/>
    <w:rsid w:val="007E7290"/>
    <w:rsid w:val="007E764D"/>
    <w:rsid w:val="007E76F4"/>
    <w:rsid w:val="007E77C7"/>
    <w:rsid w:val="007E7A61"/>
    <w:rsid w:val="007E7ABE"/>
    <w:rsid w:val="007F030B"/>
    <w:rsid w:val="007F06D3"/>
    <w:rsid w:val="007F1DEF"/>
    <w:rsid w:val="007F2288"/>
    <w:rsid w:val="007F29A0"/>
    <w:rsid w:val="007F2E1A"/>
    <w:rsid w:val="007F2F8D"/>
    <w:rsid w:val="007F3F70"/>
    <w:rsid w:val="007F400E"/>
    <w:rsid w:val="007F47C2"/>
    <w:rsid w:val="007F4D62"/>
    <w:rsid w:val="007F595E"/>
    <w:rsid w:val="007F5D27"/>
    <w:rsid w:val="007F7D4C"/>
    <w:rsid w:val="00800759"/>
    <w:rsid w:val="008009F8"/>
    <w:rsid w:val="00800A0D"/>
    <w:rsid w:val="008015BD"/>
    <w:rsid w:val="008015D7"/>
    <w:rsid w:val="00801D96"/>
    <w:rsid w:val="00801FE3"/>
    <w:rsid w:val="00802F48"/>
    <w:rsid w:val="008036F9"/>
    <w:rsid w:val="0080385D"/>
    <w:rsid w:val="00804170"/>
    <w:rsid w:val="008042A4"/>
    <w:rsid w:val="0080599C"/>
    <w:rsid w:val="00805D2C"/>
    <w:rsid w:val="00806DAB"/>
    <w:rsid w:val="0080756B"/>
    <w:rsid w:val="00807684"/>
    <w:rsid w:val="008100CB"/>
    <w:rsid w:val="00810351"/>
    <w:rsid w:val="00810973"/>
    <w:rsid w:val="00810C2B"/>
    <w:rsid w:val="008124C8"/>
    <w:rsid w:val="00812B5B"/>
    <w:rsid w:val="00812B8C"/>
    <w:rsid w:val="00812BB5"/>
    <w:rsid w:val="008130C4"/>
    <w:rsid w:val="0081385B"/>
    <w:rsid w:val="008138F6"/>
    <w:rsid w:val="00813DDA"/>
    <w:rsid w:val="00813E06"/>
    <w:rsid w:val="00814102"/>
    <w:rsid w:val="008142B7"/>
    <w:rsid w:val="00814B31"/>
    <w:rsid w:val="00814BE4"/>
    <w:rsid w:val="0081583E"/>
    <w:rsid w:val="00815A7F"/>
    <w:rsid w:val="00815B86"/>
    <w:rsid w:val="00815CAE"/>
    <w:rsid w:val="00815EA4"/>
    <w:rsid w:val="00816772"/>
    <w:rsid w:val="00816B15"/>
    <w:rsid w:val="00816B55"/>
    <w:rsid w:val="00817B94"/>
    <w:rsid w:val="00817BED"/>
    <w:rsid w:val="00817EE3"/>
    <w:rsid w:val="0082005B"/>
    <w:rsid w:val="00820E07"/>
    <w:rsid w:val="008219F8"/>
    <w:rsid w:val="00821C93"/>
    <w:rsid w:val="00821ED2"/>
    <w:rsid w:val="008222D6"/>
    <w:rsid w:val="008223B0"/>
    <w:rsid w:val="00822472"/>
    <w:rsid w:val="00822777"/>
    <w:rsid w:val="00822820"/>
    <w:rsid w:val="00822BD1"/>
    <w:rsid w:val="00822CB9"/>
    <w:rsid w:val="00822F46"/>
    <w:rsid w:val="0082374A"/>
    <w:rsid w:val="00823804"/>
    <w:rsid w:val="0082404D"/>
    <w:rsid w:val="00824187"/>
    <w:rsid w:val="0082422B"/>
    <w:rsid w:val="008242D1"/>
    <w:rsid w:val="00824723"/>
    <w:rsid w:val="00825500"/>
    <w:rsid w:val="0082579A"/>
    <w:rsid w:val="00825807"/>
    <w:rsid w:val="008259DA"/>
    <w:rsid w:val="00825AA7"/>
    <w:rsid w:val="00826488"/>
    <w:rsid w:val="00826919"/>
    <w:rsid w:val="008274C6"/>
    <w:rsid w:val="0082767D"/>
    <w:rsid w:val="00827FD7"/>
    <w:rsid w:val="0083033A"/>
    <w:rsid w:val="00830B27"/>
    <w:rsid w:val="00830C5C"/>
    <w:rsid w:val="00831AD0"/>
    <w:rsid w:val="00832844"/>
    <w:rsid w:val="00833085"/>
    <w:rsid w:val="008335F7"/>
    <w:rsid w:val="00833CCA"/>
    <w:rsid w:val="00834BD1"/>
    <w:rsid w:val="008350A4"/>
    <w:rsid w:val="00835B12"/>
    <w:rsid w:val="00835D94"/>
    <w:rsid w:val="0083682A"/>
    <w:rsid w:val="00836DEB"/>
    <w:rsid w:val="00840CA6"/>
    <w:rsid w:val="00840EC5"/>
    <w:rsid w:val="00841172"/>
    <w:rsid w:val="008411EE"/>
    <w:rsid w:val="00841AF6"/>
    <w:rsid w:val="0084217D"/>
    <w:rsid w:val="0084254E"/>
    <w:rsid w:val="008435A2"/>
    <w:rsid w:val="0084466E"/>
    <w:rsid w:val="008447E2"/>
    <w:rsid w:val="0084526F"/>
    <w:rsid w:val="00845719"/>
    <w:rsid w:val="00845C06"/>
    <w:rsid w:val="00845F45"/>
    <w:rsid w:val="0084613C"/>
    <w:rsid w:val="0084630F"/>
    <w:rsid w:val="00846945"/>
    <w:rsid w:val="00846B5E"/>
    <w:rsid w:val="00846D93"/>
    <w:rsid w:val="00846F25"/>
    <w:rsid w:val="0084711B"/>
    <w:rsid w:val="0084767E"/>
    <w:rsid w:val="00847870"/>
    <w:rsid w:val="00850B3E"/>
    <w:rsid w:val="00850BF6"/>
    <w:rsid w:val="00850DD6"/>
    <w:rsid w:val="00852082"/>
    <w:rsid w:val="0085211B"/>
    <w:rsid w:val="0085232F"/>
    <w:rsid w:val="008529F9"/>
    <w:rsid w:val="00852D92"/>
    <w:rsid w:val="00853AD9"/>
    <w:rsid w:val="00853B17"/>
    <w:rsid w:val="00853E6B"/>
    <w:rsid w:val="00854058"/>
    <w:rsid w:val="0085415E"/>
    <w:rsid w:val="0085494D"/>
    <w:rsid w:val="00854E97"/>
    <w:rsid w:val="00855FDA"/>
    <w:rsid w:val="008568D1"/>
    <w:rsid w:val="00856E9F"/>
    <w:rsid w:val="00856F1A"/>
    <w:rsid w:val="008570FC"/>
    <w:rsid w:val="008577A9"/>
    <w:rsid w:val="00857816"/>
    <w:rsid w:val="00857DD7"/>
    <w:rsid w:val="008603A7"/>
    <w:rsid w:val="00860477"/>
    <w:rsid w:val="00861A5B"/>
    <w:rsid w:val="00861EA4"/>
    <w:rsid w:val="00862281"/>
    <w:rsid w:val="008629D3"/>
    <w:rsid w:val="008637BB"/>
    <w:rsid w:val="008646BA"/>
    <w:rsid w:val="00864916"/>
    <w:rsid w:val="00864928"/>
    <w:rsid w:val="00865011"/>
    <w:rsid w:val="00865CE8"/>
    <w:rsid w:val="00865D95"/>
    <w:rsid w:val="00865DA4"/>
    <w:rsid w:val="008661D0"/>
    <w:rsid w:val="008663F2"/>
    <w:rsid w:val="008670B9"/>
    <w:rsid w:val="008675A4"/>
    <w:rsid w:val="00867BD5"/>
    <w:rsid w:val="00870123"/>
    <w:rsid w:val="00870375"/>
    <w:rsid w:val="008705CA"/>
    <w:rsid w:val="00870655"/>
    <w:rsid w:val="00870D0F"/>
    <w:rsid w:val="00871269"/>
    <w:rsid w:val="0087241B"/>
    <w:rsid w:val="00872CBC"/>
    <w:rsid w:val="00872E7A"/>
    <w:rsid w:val="008732FF"/>
    <w:rsid w:val="00873343"/>
    <w:rsid w:val="00873858"/>
    <w:rsid w:val="00873AE3"/>
    <w:rsid w:val="00873FCB"/>
    <w:rsid w:val="0087454B"/>
    <w:rsid w:val="00875585"/>
    <w:rsid w:val="008762B5"/>
    <w:rsid w:val="008762FA"/>
    <w:rsid w:val="008767C5"/>
    <w:rsid w:val="00876E48"/>
    <w:rsid w:val="00876EEF"/>
    <w:rsid w:val="00877C49"/>
    <w:rsid w:val="00877C9A"/>
    <w:rsid w:val="00877E8C"/>
    <w:rsid w:val="0088025D"/>
    <w:rsid w:val="008809B2"/>
    <w:rsid w:val="00881ABF"/>
    <w:rsid w:val="00882CF0"/>
    <w:rsid w:val="0088330F"/>
    <w:rsid w:val="00883334"/>
    <w:rsid w:val="00883952"/>
    <w:rsid w:val="00884332"/>
    <w:rsid w:val="008855C0"/>
    <w:rsid w:val="00885C23"/>
    <w:rsid w:val="00886183"/>
    <w:rsid w:val="00886706"/>
    <w:rsid w:val="00886BCA"/>
    <w:rsid w:val="00887E7D"/>
    <w:rsid w:val="008905AE"/>
    <w:rsid w:val="008909DB"/>
    <w:rsid w:val="00890E01"/>
    <w:rsid w:val="00890FF7"/>
    <w:rsid w:val="00891801"/>
    <w:rsid w:val="008921B3"/>
    <w:rsid w:val="0089257E"/>
    <w:rsid w:val="0089267C"/>
    <w:rsid w:val="0089283E"/>
    <w:rsid w:val="00892872"/>
    <w:rsid w:val="008947EA"/>
    <w:rsid w:val="00894968"/>
    <w:rsid w:val="00894B97"/>
    <w:rsid w:val="00895806"/>
    <w:rsid w:val="008964A6"/>
    <w:rsid w:val="008970DF"/>
    <w:rsid w:val="0089790F"/>
    <w:rsid w:val="008A07C0"/>
    <w:rsid w:val="008A0809"/>
    <w:rsid w:val="008A10A0"/>
    <w:rsid w:val="008A10D9"/>
    <w:rsid w:val="008A1CD6"/>
    <w:rsid w:val="008A1EC2"/>
    <w:rsid w:val="008A21B4"/>
    <w:rsid w:val="008A2581"/>
    <w:rsid w:val="008A2683"/>
    <w:rsid w:val="008A2E49"/>
    <w:rsid w:val="008A3141"/>
    <w:rsid w:val="008A374A"/>
    <w:rsid w:val="008A39F0"/>
    <w:rsid w:val="008A3AB9"/>
    <w:rsid w:val="008A48DA"/>
    <w:rsid w:val="008A4EFE"/>
    <w:rsid w:val="008A57CE"/>
    <w:rsid w:val="008A5CB5"/>
    <w:rsid w:val="008A643E"/>
    <w:rsid w:val="008A66EB"/>
    <w:rsid w:val="008A6F1C"/>
    <w:rsid w:val="008A7B1B"/>
    <w:rsid w:val="008B04F9"/>
    <w:rsid w:val="008B0DEE"/>
    <w:rsid w:val="008B1265"/>
    <w:rsid w:val="008B1290"/>
    <w:rsid w:val="008B142D"/>
    <w:rsid w:val="008B1A67"/>
    <w:rsid w:val="008B3065"/>
    <w:rsid w:val="008B3D14"/>
    <w:rsid w:val="008B3F4C"/>
    <w:rsid w:val="008B3FAE"/>
    <w:rsid w:val="008B416D"/>
    <w:rsid w:val="008B439D"/>
    <w:rsid w:val="008B4855"/>
    <w:rsid w:val="008B48C4"/>
    <w:rsid w:val="008B4DBE"/>
    <w:rsid w:val="008B5A27"/>
    <w:rsid w:val="008B5A29"/>
    <w:rsid w:val="008B5AE1"/>
    <w:rsid w:val="008B5C7E"/>
    <w:rsid w:val="008B6EB6"/>
    <w:rsid w:val="008B7C13"/>
    <w:rsid w:val="008B7D61"/>
    <w:rsid w:val="008C0C41"/>
    <w:rsid w:val="008C1120"/>
    <w:rsid w:val="008C1344"/>
    <w:rsid w:val="008C39D7"/>
    <w:rsid w:val="008C413B"/>
    <w:rsid w:val="008C48F8"/>
    <w:rsid w:val="008C4B3A"/>
    <w:rsid w:val="008C5E3F"/>
    <w:rsid w:val="008C6014"/>
    <w:rsid w:val="008C6028"/>
    <w:rsid w:val="008C6D29"/>
    <w:rsid w:val="008C6F63"/>
    <w:rsid w:val="008C792A"/>
    <w:rsid w:val="008D020E"/>
    <w:rsid w:val="008D0238"/>
    <w:rsid w:val="008D078D"/>
    <w:rsid w:val="008D0B97"/>
    <w:rsid w:val="008D0BC1"/>
    <w:rsid w:val="008D0F01"/>
    <w:rsid w:val="008D10EF"/>
    <w:rsid w:val="008D25EA"/>
    <w:rsid w:val="008D3134"/>
    <w:rsid w:val="008D321D"/>
    <w:rsid w:val="008D3692"/>
    <w:rsid w:val="008D3B3A"/>
    <w:rsid w:val="008D47AD"/>
    <w:rsid w:val="008D4D86"/>
    <w:rsid w:val="008D500E"/>
    <w:rsid w:val="008D5C20"/>
    <w:rsid w:val="008D6BBB"/>
    <w:rsid w:val="008D6FCA"/>
    <w:rsid w:val="008D700E"/>
    <w:rsid w:val="008D77C4"/>
    <w:rsid w:val="008D79C4"/>
    <w:rsid w:val="008E039F"/>
    <w:rsid w:val="008E03AF"/>
    <w:rsid w:val="008E069F"/>
    <w:rsid w:val="008E0915"/>
    <w:rsid w:val="008E0938"/>
    <w:rsid w:val="008E0BAA"/>
    <w:rsid w:val="008E0C82"/>
    <w:rsid w:val="008E166E"/>
    <w:rsid w:val="008E17AF"/>
    <w:rsid w:val="008E26A1"/>
    <w:rsid w:val="008E28A9"/>
    <w:rsid w:val="008E2941"/>
    <w:rsid w:val="008E2A76"/>
    <w:rsid w:val="008E2E74"/>
    <w:rsid w:val="008E3088"/>
    <w:rsid w:val="008E3A14"/>
    <w:rsid w:val="008E404F"/>
    <w:rsid w:val="008E4755"/>
    <w:rsid w:val="008E6036"/>
    <w:rsid w:val="008E6E25"/>
    <w:rsid w:val="008E7034"/>
    <w:rsid w:val="008E7446"/>
    <w:rsid w:val="008E7650"/>
    <w:rsid w:val="008E7D72"/>
    <w:rsid w:val="008F0015"/>
    <w:rsid w:val="008F0628"/>
    <w:rsid w:val="008F07D9"/>
    <w:rsid w:val="008F0899"/>
    <w:rsid w:val="008F09DC"/>
    <w:rsid w:val="008F112E"/>
    <w:rsid w:val="008F13CB"/>
    <w:rsid w:val="008F17C4"/>
    <w:rsid w:val="008F1B62"/>
    <w:rsid w:val="008F26ED"/>
    <w:rsid w:val="008F2CFD"/>
    <w:rsid w:val="008F3117"/>
    <w:rsid w:val="008F3173"/>
    <w:rsid w:val="008F32D5"/>
    <w:rsid w:val="008F36A9"/>
    <w:rsid w:val="008F3D7C"/>
    <w:rsid w:val="008F48A2"/>
    <w:rsid w:val="008F4AAD"/>
    <w:rsid w:val="008F513F"/>
    <w:rsid w:val="008F526C"/>
    <w:rsid w:val="008F560F"/>
    <w:rsid w:val="008F65AD"/>
    <w:rsid w:val="008F6AA6"/>
    <w:rsid w:val="008F760A"/>
    <w:rsid w:val="008F7A9E"/>
    <w:rsid w:val="008F7C59"/>
    <w:rsid w:val="0090049C"/>
    <w:rsid w:val="00900503"/>
    <w:rsid w:val="00901890"/>
    <w:rsid w:val="00901E5F"/>
    <w:rsid w:val="00902393"/>
    <w:rsid w:val="00902395"/>
    <w:rsid w:val="00902B27"/>
    <w:rsid w:val="00903964"/>
    <w:rsid w:val="00904078"/>
    <w:rsid w:val="0090455F"/>
    <w:rsid w:val="009046EE"/>
    <w:rsid w:val="009049FE"/>
    <w:rsid w:val="00905583"/>
    <w:rsid w:val="009055C8"/>
    <w:rsid w:val="00906643"/>
    <w:rsid w:val="00906A6C"/>
    <w:rsid w:val="00906BEE"/>
    <w:rsid w:val="009072FF"/>
    <w:rsid w:val="00907B5B"/>
    <w:rsid w:val="009102E5"/>
    <w:rsid w:val="009103B2"/>
    <w:rsid w:val="00910563"/>
    <w:rsid w:val="0091107D"/>
    <w:rsid w:val="00911170"/>
    <w:rsid w:val="00911393"/>
    <w:rsid w:val="00911BCC"/>
    <w:rsid w:val="00912BFF"/>
    <w:rsid w:val="00912C69"/>
    <w:rsid w:val="00913164"/>
    <w:rsid w:val="009148D7"/>
    <w:rsid w:val="009155FE"/>
    <w:rsid w:val="00915988"/>
    <w:rsid w:val="00915B09"/>
    <w:rsid w:val="00916557"/>
    <w:rsid w:val="0091661F"/>
    <w:rsid w:val="00916E37"/>
    <w:rsid w:val="0091740A"/>
    <w:rsid w:val="009213C0"/>
    <w:rsid w:val="0092180C"/>
    <w:rsid w:val="00922226"/>
    <w:rsid w:val="00922B6B"/>
    <w:rsid w:val="00922D2A"/>
    <w:rsid w:val="009238C0"/>
    <w:rsid w:val="00923948"/>
    <w:rsid w:val="00923A7C"/>
    <w:rsid w:val="00924054"/>
    <w:rsid w:val="0092516C"/>
    <w:rsid w:val="009253ED"/>
    <w:rsid w:val="009257E5"/>
    <w:rsid w:val="009279EB"/>
    <w:rsid w:val="00927E34"/>
    <w:rsid w:val="00930266"/>
    <w:rsid w:val="00930AE3"/>
    <w:rsid w:val="009311C7"/>
    <w:rsid w:val="00931BA7"/>
    <w:rsid w:val="00931D63"/>
    <w:rsid w:val="00932DA5"/>
    <w:rsid w:val="00933351"/>
    <w:rsid w:val="009336F4"/>
    <w:rsid w:val="0093462C"/>
    <w:rsid w:val="009348EE"/>
    <w:rsid w:val="00934948"/>
    <w:rsid w:val="00934989"/>
    <w:rsid w:val="00934EC0"/>
    <w:rsid w:val="00935ADC"/>
    <w:rsid w:val="00936CB0"/>
    <w:rsid w:val="00937119"/>
    <w:rsid w:val="0093739D"/>
    <w:rsid w:val="009402F7"/>
    <w:rsid w:val="00942297"/>
    <w:rsid w:val="0094286B"/>
    <w:rsid w:val="009442E2"/>
    <w:rsid w:val="009446A4"/>
    <w:rsid w:val="00944BAC"/>
    <w:rsid w:val="00944BCB"/>
    <w:rsid w:val="00944EC4"/>
    <w:rsid w:val="00945296"/>
    <w:rsid w:val="009456C8"/>
    <w:rsid w:val="00945F8E"/>
    <w:rsid w:val="009462DC"/>
    <w:rsid w:val="00946638"/>
    <w:rsid w:val="00946EDA"/>
    <w:rsid w:val="00947626"/>
    <w:rsid w:val="009510C0"/>
    <w:rsid w:val="00951C5F"/>
    <w:rsid w:val="00952150"/>
    <w:rsid w:val="009529EF"/>
    <w:rsid w:val="00952D30"/>
    <w:rsid w:val="00953789"/>
    <w:rsid w:val="009539E3"/>
    <w:rsid w:val="00953B07"/>
    <w:rsid w:val="00953B8D"/>
    <w:rsid w:val="00954041"/>
    <w:rsid w:val="009540B9"/>
    <w:rsid w:val="009545A8"/>
    <w:rsid w:val="00954879"/>
    <w:rsid w:val="00954EFC"/>
    <w:rsid w:val="00954F1E"/>
    <w:rsid w:val="00955165"/>
    <w:rsid w:val="0095534E"/>
    <w:rsid w:val="00955EFD"/>
    <w:rsid w:val="00955F46"/>
    <w:rsid w:val="0095633B"/>
    <w:rsid w:val="00956CC2"/>
    <w:rsid w:val="00956E0E"/>
    <w:rsid w:val="009570D2"/>
    <w:rsid w:val="00957501"/>
    <w:rsid w:val="00957A59"/>
    <w:rsid w:val="0096044D"/>
    <w:rsid w:val="00960BCB"/>
    <w:rsid w:val="00960DCA"/>
    <w:rsid w:val="00960DE3"/>
    <w:rsid w:val="00961467"/>
    <w:rsid w:val="00961638"/>
    <w:rsid w:val="0096192D"/>
    <w:rsid w:val="009625AC"/>
    <w:rsid w:val="009629E4"/>
    <w:rsid w:val="00962CDD"/>
    <w:rsid w:val="00962D67"/>
    <w:rsid w:val="00962E2A"/>
    <w:rsid w:val="00962F68"/>
    <w:rsid w:val="0096317A"/>
    <w:rsid w:val="00964158"/>
    <w:rsid w:val="009645BB"/>
    <w:rsid w:val="0096509A"/>
    <w:rsid w:val="00966923"/>
    <w:rsid w:val="00966965"/>
    <w:rsid w:val="00967811"/>
    <w:rsid w:val="009679A3"/>
    <w:rsid w:val="00967E21"/>
    <w:rsid w:val="0097034A"/>
    <w:rsid w:val="00970A54"/>
    <w:rsid w:val="00970DEF"/>
    <w:rsid w:val="00970F47"/>
    <w:rsid w:val="0097144B"/>
    <w:rsid w:val="009717D7"/>
    <w:rsid w:val="00971A57"/>
    <w:rsid w:val="00971D92"/>
    <w:rsid w:val="00971F32"/>
    <w:rsid w:val="00972589"/>
    <w:rsid w:val="00972894"/>
    <w:rsid w:val="0097389F"/>
    <w:rsid w:val="009739F3"/>
    <w:rsid w:val="00974318"/>
    <w:rsid w:val="00974532"/>
    <w:rsid w:val="009745A7"/>
    <w:rsid w:val="009747FB"/>
    <w:rsid w:val="00974BEA"/>
    <w:rsid w:val="00975186"/>
    <w:rsid w:val="009752AA"/>
    <w:rsid w:val="009753FF"/>
    <w:rsid w:val="00975863"/>
    <w:rsid w:val="0097652C"/>
    <w:rsid w:val="0097674B"/>
    <w:rsid w:val="009769B3"/>
    <w:rsid w:val="0097703B"/>
    <w:rsid w:val="0098095B"/>
    <w:rsid w:val="009809AA"/>
    <w:rsid w:val="009813E6"/>
    <w:rsid w:val="0098251C"/>
    <w:rsid w:val="00983169"/>
    <w:rsid w:val="009839C5"/>
    <w:rsid w:val="009846AE"/>
    <w:rsid w:val="00984764"/>
    <w:rsid w:val="0098506E"/>
    <w:rsid w:val="00985277"/>
    <w:rsid w:val="009853E9"/>
    <w:rsid w:val="009853F1"/>
    <w:rsid w:val="00985725"/>
    <w:rsid w:val="00985D40"/>
    <w:rsid w:val="00985EE3"/>
    <w:rsid w:val="0098675E"/>
    <w:rsid w:val="00986B19"/>
    <w:rsid w:val="00987253"/>
    <w:rsid w:val="00987793"/>
    <w:rsid w:val="00987983"/>
    <w:rsid w:val="00987A51"/>
    <w:rsid w:val="00987B04"/>
    <w:rsid w:val="00987BC3"/>
    <w:rsid w:val="009904A8"/>
    <w:rsid w:val="0099089B"/>
    <w:rsid w:val="00990AD6"/>
    <w:rsid w:val="00990D71"/>
    <w:rsid w:val="00992420"/>
    <w:rsid w:val="00992733"/>
    <w:rsid w:val="0099278B"/>
    <w:rsid w:val="009928BA"/>
    <w:rsid w:val="00992D21"/>
    <w:rsid w:val="00992D91"/>
    <w:rsid w:val="0099360B"/>
    <w:rsid w:val="00993EF9"/>
    <w:rsid w:val="0099442C"/>
    <w:rsid w:val="009949EB"/>
    <w:rsid w:val="00994DF0"/>
    <w:rsid w:val="00995DFB"/>
    <w:rsid w:val="00996400"/>
    <w:rsid w:val="00996810"/>
    <w:rsid w:val="009972F8"/>
    <w:rsid w:val="009A0CFC"/>
    <w:rsid w:val="009A0D91"/>
    <w:rsid w:val="009A16A3"/>
    <w:rsid w:val="009A1FAF"/>
    <w:rsid w:val="009A21C1"/>
    <w:rsid w:val="009A2242"/>
    <w:rsid w:val="009A2278"/>
    <w:rsid w:val="009A4043"/>
    <w:rsid w:val="009A496A"/>
    <w:rsid w:val="009A4A7E"/>
    <w:rsid w:val="009A4A90"/>
    <w:rsid w:val="009A4DEF"/>
    <w:rsid w:val="009A5027"/>
    <w:rsid w:val="009A5447"/>
    <w:rsid w:val="009A5DC5"/>
    <w:rsid w:val="009A6179"/>
    <w:rsid w:val="009A716E"/>
    <w:rsid w:val="009A741C"/>
    <w:rsid w:val="009A74E8"/>
    <w:rsid w:val="009B089D"/>
    <w:rsid w:val="009B0A9F"/>
    <w:rsid w:val="009B0C74"/>
    <w:rsid w:val="009B2617"/>
    <w:rsid w:val="009B2D30"/>
    <w:rsid w:val="009B2E7E"/>
    <w:rsid w:val="009B3703"/>
    <w:rsid w:val="009B3898"/>
    <w:rsid w:val="009B46FA"/>
    <w:rsid w:val="009B4987"/>
    <w:rsid w:val="009B5CAB"/>
    <w:rsid w:val="009B6AE0"/>
    <w:rsid w:val="009B6D5D"/>
    <w:rsid w:val="009B6F05"/>
    <w:rsid w:val="009B724D"/>
    <w:rsid w:val="009C004A"/>
    <w:rsid w:val="009C03AA"/>
    <w:rsid w:val="009C09AC"/>
    <w:rsid w:val="009C0AE3"/>
    <w:rsid w:val="009C1EC8"/>
    <w:rsid w:val="009C2040"/>
    <w:rsid w:val="009C2400"/>
    <w:rsid w:val="009C2900"/>
    <w:rsid w:val="009C2B5D"/>
    <w:rsid w:val="009C33D9"/>
    <w:rsid w:val="009C3B75"/>
    <w:rsid w:val="009C4E7D"/>
    <w:rsid w:val="009C4EA0"/>
    <w:rsid w:val="009C58DE"/>
    <w:rsid w:val="009C5E9D"/>
    <w:rsid w:val="009C61E1"/>
    <w:rsid w:val="009C6577"/>
    <w:rsid w:val="009C6653"/>
    <w:rsid w:val="009C75CA"/>
    <w:rsid w:val="009C7702"/>
    <w:rsid w:val="009C777E"/>
    <w:rsid w:val="009C7C5C"/>
    <w:rsid w:val="009C7E58"/>
    <w:rsid w:val="009D01D3"/>
    <w:rsid w:val="009D04CC"/>
    <w:rsid w:val="009D1726"/>
    <w:rsid w:val="009D1977"/>
    <w:rsid w:val="009D226F"/>
    <w:rsid w:val="009D2558"/>
    <w:rsid w:val="009D2750"/>
    <w:rsid w:val="009D2B6B"/>
    <w:rsid w:val="009D2CA3"/>
    <w:rsid w:val="009D3048"/>
    <w:rsid w:val="009D44B7"/>
    <w:rsid w:val="009D4613"/>
    <w:rsid w:val="009D4E1C"/>
    <w:rsid w:val="009D502C"/>
    <w:rsid w:val="009D5453"/>
    <w:rsid w:val="009D5DF8"/>
    <w:rsid w:val="009D61D3"/>
    <w:rsid w:val="009D644A"/>
    <w:rsid w:val="009D6A15"/>
    <w:rsid w:val="009D75B8"/>
    <w:rsid w:val="009E0F6B"/>
    <w:rsid w:val="009E1E42"/>
    <w:rsid w:val="009E1F3D"/>
    <w:rsid w:val="009E205C"/>
    <w:rsid w:val="009E2C2D"/>
    <w:rsid w:val="009E3009"/>
    <w:rsid w:val="009E333D"/>
    <w:rsid w:val="009E374B"/>
    <w:rsid w:val="009E3B94"/>
    <w:rsid w:val="009E3E4B"/>
    <w:rsid w:val="009E4179"/>
    <w:rsid w:val="009E58B8"/>
    <w:rsid w:val="009E63EA"/>
    <w:rsid w:val="009E68CD"/>
    <w:rsid w:val="009E7007"/>
    <w:rsid w:val="009E7355"/>
    <w:rsid w:val="009E75C5"/>
    <w:rsid w:val="009E7809"/>
    <w:rsid w:val="009E7B76"/>
    <w:rsid w:val="009F0CBD"/>
    <w:rsid w:val="009F16F5"/>
    <w:rsid w:val="009F1E73"/>
    <w:rsid w:val="009F226D"/>
    <w:rsid w:val="009F297E"/>
    <w:rsid w:val="009F29A7"/>
    <w:rsid w:val="009F316B"/>
    <w:rsid w:val="009F316F"/>
    <w:rsid w:val="009F3EBE"/>
    <w:rsid w:val="009F40AE"/>
    <w:rsid w:val="009F46B4"/>
    <w:rsid w:val="009F4B9A"/>
    <w:rsid w:val="009F4D2E"/>
    <w:rsid w:val="009F4F8E"/>
    <w:rsid w:val="009F5238"/>
    <w:rsid w:val="009F61CC"/>
    <w:rsid w:val="009F6872"/>
    <w:rsid w:val="009F6894"/>
    <w:rsid w:val="009F6A32"/>
    <w:rsid w:val="009F79A9"/>
    <w:rsid w:val="009F7E0E"/>
    <w:rsid w:val="00A0059B"/>
    <w:rsid w:val="00A00DE1"/>
    <w:rsid w:val="00A02310"/>
    <w:rsid w:val="00A02330"/>
    <w:rsid w:val="00A035BD"/>
    <w:rsid w:val="00A03BA8"/>
    <w:rsid w:val="00A040D3"/>
    <w:rsid w:val="00A04269"/>
    <w:rsid w:val="00A04F6F"/>
    <w:rsid w:val="00A058CB"/>
    <w:rsid w:val="00A05FA0"/>
    <w:rsid w:val="00A06C72"/>
    <w:rsid w:val="00A0766F"/>
    <w:rsid w:val="00A07BD6"/>
    <w:rsid w:val="00A07ECF"/>
    <w:rsid w:val="00A1050C"/>
    <w:rsid w:val="00A10A3C"/>
    <w:rsid w:val="00A1136E"/>
    <w:rsid w:val="00A1150A"/>
    <w:rsid w:val="00A11710"/>
    <w:rsid w:val="00A11BE8"/>
    <w:rsid w:val="00A11E57"/>
    <w:rsid w:val="00A121BE"/>
    <w:rsid w:val="00A12572"/>
    <w:rsid w:val="00A12952"/>
    <w:rsid w:val="00A1333E"/>
    <w:rsid w:val="00A1339D"/>
    <w:rsid w:val="00A13AED"/>
    <w:rsid w:val="00A1402C"/>
    <w:rsid w:val="00A1465D"/>
    <w:rsid w:val="00A1491A"/>
    <w:rsid w:val="00A1525E"/>
    <w:rsid w:val="00A162EF"/>
    <w:rsid w:val="00A16BF5"/>
    <w:rsid w:val="00A17093"/>
    <w:rsid w:val="00A17461"/>
    <w:rsid w:val="00A1755D"/>
    <w:rsid w:val="00A17D0F"/>
    <w:rsid w:val="00A17E86"/>
    <w:rsid w:val="00A20B69"/>
    <w:rsid w:val="00A219CC"/>
    <w:rsid w:val="00A22892"/>
    <w:rsid w:val="00A24485"/>
    <w:rsid w:val="00A2503E"/>
    <w:rsid w:val="00A251DB"/>
    <w:rsid w:val="00A2630C"/>
    <w:rsid w:val="00A2726B"/>
    <w:rsid w:val="00A27367"/>
    <w:rsid w:val="00A27D4A"/>
    <w:rsid w:val="00A27D86"/>
    <w:rsid w:val="00A3130C"/>
    <w:rsid w:val="00A3240C"/>
    <w:rsid w:val="00A327C7"/>
    <w:rsid w:val="00A32D8F"/>
    <w:rsid w:val="00A331CF"/>
    <w:rsid w:val="00A33BC4"/>
    <w:rsid w:val="00A34385"/>
    <w:rsid w:val="00A3538A"/>
    <w:rsid w:val="00A35768"/>
    <w:rsid w:val="00A35BEE"/>
    <w:rsid w:val="00A3614C"/>
    <w:rsid w:val="00A36820"/>
    <w:rsid w:val="00A36B29"/>
    <w:rsid w:val="00A37B2F"/>
    <w:rsid w:val="00A403D4"/>
    <w:rsid w:val="00A409B6"/>
    <w:rsid w:val="00A41EAC"/>
    <w:rsid w:val="00A420DB"/>
    <w:rsid w:val="00A42DBB"/>
    <w:rsid w:val="00A4315A"/>
    <w:rsid w:val="00A43C31"/>
    <w:rsid w:val="00A4464E"/>
    <w:rsid w:val="00A44E39"/>
    <w:rsid w:val="00A44F16"/>
    <w:rsid w:val="00A4517E"/>
    <w:rsid w:val="00A456CA"/>
    <w:rsid w:val="00A45BCF"/>
    <w:rsid w:val="00A45C6B"/>
    <w:rsid w:val="00A45E36"/>
    <w:rsid w:val="00A46342"/>
    <w:rsid w:val="00A46542"/>
    <w:rsid w:val="00A479A7"/>
    <w:rsid w:val="00A47B80"/>
    <w:rsid w:val="00A506D2"/>
    <w:rsid w:val="00A50927"/>
    <w:rsid w:val="00A50A67"/>
    <w:rsid w:val="00A50BF4"/>
    <w:rsid w:val="00A50EAD"/>
    <w:rsid w:val="00A50ECF"/>
    <w:rsid w:val="00A5122A"/>
    <w:rsid w:val="00A516FB"/>
    <w:rsid w:val="00A51AE3"/>
    <w:rsid w:val="00A5263A"/>
    <w:rsid w:val="00A52CF9"/>
    <w:rsid w:val="00A53004"/>
    <w:rsid w:val="00A533D6"/>
    <w:rsid w:val="00A53420"/>
    <w:rsid w:val="00A53FC3"/>
    <w:rsid w:val="00A5409D"/>
    <w:rsid w:val="00A54A05"/>
    <w:rsid w:val="00A54AB6"/>
    <w:rsid w:val="00A55464"/>
    <w:rsid w:val="00A55947"/>
    <w:rsid w:val="00A55DF0"/>
    <w:rsid w:val="00A55EC3"/>
    <w:rsid w:val="00A562D4"/>
    <w:rsid w:val="00A56B3B"/>
    <w:rsid w:val="00A56DCE"/>
    <w:rsid w:val="00A57DE2"/>
    <w:rsid w:val="00A57FF6"/>
    <w:rsid w:val="00A601DF"/>
    <w:rsid w:val="00A6082E"/>
    <w:rsid w:val="00A60D31"/>
    <w:rsid w:val="00A615B0"/>
    <w:rsid w:val="00A61929"/>
    <w:rsid w:val="00A61CBD"/>
    <w:rsid w:val="00A62BB5"/>
    <w:rsid w:val="00A63905"/>
    <w:rsid w:val="00A6477A"/>
    <w:rsid w:val="00A64BC5"/>
    <w:rsid w:val="00A64FDF"/>
    <w:rsid w:val="00A65158"/>
    <w:rsid w:val="00A657F4"/>
    <w:rsid w:val="00A65E61"/>
    <w:rsid w:val="00A667AF"/>
    <w:rsid w:val="00A66F04"/>
    <w:rsid w:val="00A67792"/>
    <w:rsid w:val="00A70269"/>
    <w:rsid w:val="00A7043C"/>
    <w:rsid w:val="00A71150"/>
    <w:rsid w:val="00A7131D"/>
    <w:rsid w:val="00A71368"/>
    <w:rsid w:val="00A71479"/>
    <w:rsid w:val="00A71919"/>
    <w:rsid w:val="00A71F06"/>
    <w:rsid w:val="00A724C0"/>
    <w:rsid w:val="00A73117"/>
    <w:rsid w:val="00A732E6"/>
    <w:rsid w:val="00A7550C"/>
    <w:rsid w:val="00A75863"/>
    <w:rsid w:val="00A75929"/>
    <w:rsid w:val="00A75C50"/>
    <w:rsid w:val="00A763A5"/>
    <w:rsid w:val="00A769D1"/>
    <w:rsid w:val="00A7772D"/>
    <w:rsid w:val="00A777CA"/>
    <w:rsid w:val="00A80C13"/>
    <w:rsid w:val="00A80E3E"/>
    <w:rsid w:val="00A81462"/>
    <w:rsid w:val="00A81C61"/>
    <w:rsid w:val="00A81FC2"/>
    <w:rsid w:val="00A8298E"/>
    <w:rsid w:val="00A82992"/>
    <w:rsid w:val="00A82DE0"/>
    <w:rsid w:val="00A83AED"/>
    <w:rsid w:val="00A84146"/>
    <w:rsid w:val="00A842EB"/>
    <w:rsid w:val="00A843AB"/>
    <w:rsid w:val="00A843C1"/>
    <w:rsid w:val="00A84CCF"/>
    <w:rsid w:val="00A8501E"/>
    <w:rsid w:val="00A8519D"/>
    <w:rsid w:val="00A85E6B"/>
    <w:rsid w:val="00A866C1"/>
    <w:rsid w:val="00A86803"/>
    <w:rsid w:val="00A9047C"/>
    <w:rsid w:val="00A905D8"/>
    <w:rsid w:val="00A90C2E"/>
    <w:rsid w:val="00A91254"/>
    <w:rsid w:val="00A93142"/>
    <w:rsid w:val="00A93725"/>
    <w:rsid w:val="00A9389A"/>
    <w:rsid w:val="00A93BB1"/>
    <w:rsid w:val="00A94713"/>
    <w:rsid w:val="00A952E5"/>
    <w:rsid w:val="00A955ED"/>
    <w:rsid w:val="00A95729"/>
    <w:rsid w:val="00A95C48"/>
    <w:rsid w:val="00A95C72"/>
    <w:rsid w:val="00A95EBB"/>
    <w:rsid w:val="00A95F7B"/>
    <w:rsid w:val="00A965C7"/>
    <w:rsid w:val="00A9738D"/>
    <w:rsid w:val="00AA03AB"/>
    <w:rsid w:val="00AA043F"/>
    <w:rsid w:val="00AA081D"/>
    <w:rsid w:val="00AA0DD4"/>
    <w:rsid w:val="00AA1A63"/>
    <w:rsid w:val="00AA1C99"/>
    <w:rsid w:val="00AA2E20"/>
    <w:rsid w:val="00AA312F"/>
    <w:rsid w:val="00AA4184"/>
    <w:rsid w:val="00AA46DB"/>
    <w:rsid w:val="00AA4B26"/>
    <w:rsid w:val="00AA4D53"/>
    <w:rsid w:val="00AA4EAD"/>
    <w:rsid w:val="00AA5D7D"/>
    <w:rsid w:val="00AA5DDC"/>
    <w:rsid w:val="00AA5F37"/>
    <w:rsid w:val="00AA6761"/>
    <w:rsid w:val="00AA794E"/>
    <w:rsid w:val="00AA79CC"/>
    <w:rsid w:val="00AA79E0"/>
    <w:rsid w:val="00AA7E1F"/>
    <w:rsid w:val="00AB00AF"/>
    <w:rsid w:val="00AB0B8E"/>
    <w:rsid w:val="00AB1C76"/>
    <w:rsid w:val="00AB20E0"/>
    <w:rsid w:val="00AB2106"/>
    <w:rsid w:val="00AB2221"/>
    <w:rsid w:val="00AB318A"/>
    <w:rsid w:val="00AB31A9"/>
    <w:rsid w:val="00AB32ED"/>
    <w:rsid w:val="00AB4A2A"/>
    <w:rsid w:val="00AB5812"/>
    <w:rsid w:val="00AB5BFC"/>
    <w:rsid w:val="00AB6963"/>
    <w:rsid w:val="00AB70DE"/>
    <w:rsid w:val="00AB7BA6"/>
    <w:rsid w:val="00AB7DA8"/>
    <w:rsid w:val="00AB7F57"/>
    <w:rsid w:val="00AC0A4D"/>
    <w:rsid w:val="00AC0D03"/>
    <w:rsid w:val="00AC0DE0"/>
    <w:rsid w:val="00AC0EF6"/>
    <w:rsid w:val="00AC0FC2"/>
    <w:rsid w:val="00AC1422"/>
    <w:rsid w:val="00AC1D99"/>
    <w:rsid w:val="00AC304D"/>
    <w:rsid w:val="00AC3155"/>
    <w:rsid w:val="00AC3DF5"/>
    <w:rsid w:val="00AC459D"/>
    <w:rsid w:val="00AC5C39"/>
    <w:rsid w:val="00AC5C4C"/>
    <w:rsid w:val="00AC67A4"/>
    <w:rsid w:val="00AC688A"/>
    <w:rsid w:val="00AC757A"/>
    <w:rsid w:val="00AC7A03"/>
    <w:rsid w:val="00AD01AC"/>
    <w:rsid w:val="00AD06D3"/>
    <w:rsid w:val="00AD0927"/>
    <w:rsid w:val="00AD0EB0"/>
    <w:rsid w:val="00AD1053"/>
    <w:rsid w:val="00AD1076"/>
    <w:rsid w:val="00AD186E"/>
    <w:rsid w:val="00AD1A3F"/>
    <w:rsid w:val="00AD24CF"/>
    <w:rsid w:val="00AD2AFD"/>
    <w:rsid w:val="00AD32FD"/>
    <w:rsid w:val="00AD4DAB"/>
    <w:rsid w:val="00AD5327"/>
    <w:rsid w:val="00AD602B"/>
    <w:rsid w:val="00AD604F"/>
    <w:rsid w:val="00AD65EE"/>
    <w:rsid w:val="00AD7884"/>
    <w:rsid w:val="00AD78E0"/>
    <w:rsid w:val="00AE0853"/>
    <w:rsid w:val="00AE1362"/>
    <w:rsid w:val="00AE18D9"/>
    <w:rsid w:val="00AE1D9D"/>
    <w:rsid w:val="00AE1F58"/>
    <w:rsid w:val="00AE203E"/>
    <w:rsid w:val="00AE283E"/>
    <w:rsid w:val="00AE29F6"/>
    <w:rsid w:val="00AE2C63"/>
    <w:rsid w:val="00AE2DAF"/>
    <w:rsid w:val="00AE2FC6"/>
    <w:rsid w:val="00AE3D8A"/>
    <w:rsid w:val="00AE490B"/>
    <w:rsid w:val="00AE54FF"/>
    <w:rsid w:val="00AE5F93"/>
    <w:rsid w:val="00AE6809"/>
    <w:rsid w:val="00AE6F4F"/>
    <w:rsid w:val="00AE760E"/>
    <w:rsid w:val="00AE783D"/>
    <w:rsid w:val="00AE7BA7"/>
    <w:rsid w:val="00AF0583"/>
    <w:rsid w:val="00AF0C06"/>
    <w:rsid w:val="00AF0CED"/>
    <w:rsid w:val="00AF0E60"/>
    <w:rsid w:val="00AF1065"/>
    <w:rsid w:val="00AF137D"/>
    <w:rsid w:val="00AF13A6"/>
    <w:rsid w:val="00AF26DE"/>
    <w:rsid w:val="00AF28D8"/>
    <w:rsid w:val="00AF2AC2"/>
    <w:rsid w:val="00AF4953"/>
    <w:rsid w:val="00AF4C5F"/>
    <w:rsid w:val="00AF5693"/>
    <w:rsid w:val="00AF5A16"/>
    <w:rsid w:val="00AF67ED"/>
    <w:rsid w:val="00AF6901"/>
    <w:rsid w:val="00AF7282"/>
    <w:rsid w:val="00AF762D"/>
    <w:rsid w:val="00B0007F"/>
    <w:rsid w:val="00B001B5"/>
    <w:rsid w:val="00B00338"/>
    <w:rsid w:val="00B00B68"/>
    <w:rsid w:val="00B00C2B"/>
    <w:rsid w:val="00B00E42"/>
    <w:rsid w:val="00B011F5"/>
    <w:rsid w:val="00B0190E"/>
    <w:rsid w:val="00B022C5"/>
    <w:rsid w:val="00B02A32"/>
    <w:rsid w:val="00B03B46"/>
    <w:rsid w:val="00B04E49"/>
    <w:rsid w:val="00B059B9"/>
    <w:rsid w:val="00B05FD4"/>
    <w:rsid w:val="00B060AA"/>
    <w:rsid w:val="00B06955"/>
    <w:rsid w:val="00B06D6E"/>
    <w:rsid w:val="00B06EF3"/>
    <w:rsid w:val="00B074D1"/>
    <w:rsid w:val="00B0765F"/>
    <w:rsid w:val="00B07A61"/>
    <w:rsid w:val="00B07E6C"/>
    <w:rsid w:val="00B1005D"/>
    <w:rsid w:val="00B10684"/>
    <w:rsid w:val="00B10EC7"/>
    <w:rsid w:val="00B10EF4"/>
    <w:rsid w:val="00B11688"/>
    <w:rsid w:val="00B117BF"/>
    <w:rsid w:val="00B11FFC"/>
    <w:rsid w:val="00B13457"/>
    <w:rsid w:val="00B137A7"/>
    <w:rsid w:val="00B13F61"/>
    <w:rsid w:val="00B1413B"/>
    <w:rsid w:val="00B144DE"/>
    <w:rsid w:val="00B14A38"/>
    <w:rsid w:val="00B15236"/>
    <w:rsid w:val="00B15EDF"/>
    <w:rsid w:val="00B16797"/>
    <w:rsid w:val="00B168F9"/>
    <w:rsid w:val="00B16C1A"/>
    <w:rsid w:val="00B17372"/>
    <w:rsid w:val="00B17AD9"/>
    <w:rsid w:val="00B17D7D"/>
    <w:rsid w:val="00B17EA8"/>
    <w:rsid w:val="00B20F8F"/>
    <w:rsid w:val="00B20FA1"/>
    <w:rsid w:val="00B21AAB"/>
    <w:rsid w:val="00B22190"/>
    <w:rsid w:val="00B22A39"/>
    <w:rsid w:val="00B22C0F"/>
    <w:rsid w:val="00B22C61"/>
    <w:rsid w:val="00B24773"/>
    <w:rsid w:val="00B24AC0"/>
    <w:rsid w:val="00B2540B"/>
    <w:rsid w:val="00B255E7"/>
    <w:rsid w:val="00B2586C"/>
    <w:rsid w:val="00B25B1C"/>
    <w:rsid w:val="00B25F4F"/>
    <w:rsid w:val="00B26D48"/>
    <w:rsid w:val="00B26F5D"/>
    <w:rsid w:val="00B270B8"/>
    <w:rsid w:val="00B277E7"/>
    <w:rsid w:val="00B27950"/>
    <w:rsid w:val="00B27D33"/>
    <w:rsid w:val="00B300DB"/>
    <w:rsid w:val="00B30239"/>
    <w:rsid w:val="00B305B4"/>
    <w:rsid w:val="00B30D8D"/>
    <w:rsid w:val="00B30E61"/>
    <w:rsid w:val="00B314A0"/>
    <w:rsid w:val="00B318A8"/>
    <w:rsid w:val="00B31CD3"/>
    <w:rsid w:val="00B31CE0"/>
    <w:rsid w:val="00B31F8D"/>
    <w:rsid w:val="00B32467"/>
    <w:rsid w:val="00B32672"/>
    <w:rsid w:val="00B327F9"/>
    <w:rsid w:val="00B34C63"/>
    <w:rsid w:val="00B3663B"/>
    <w:rsid w:val="00B36A6E"/>
    <w:rsid w:val="00B37491"/>
    <w:rsid w:val="00B37610"/>
    <w:rsid w:val="00B37935"/>
    <w:rsid w:val="00B37AEC"/>
    <w:rsid w:val="00B40077"/>
    <w:rsid w:val="00B408B5"/>
    <w:rsid w:val="00B420B4"/>
    <w:rsid w:val="00B420BE"/>
    <w:rsid w:val="00B42320"/>
    <w:rsid w:val="00B42632"/>
    <w:rsid w:val="00B43DE0"/>
    <w:rsid w:val="00B44A14"/>
    <w:rsid w:val="00B44C0E"/>
    <w:rsid w:val="00B45D54"/>
    <w:rsid w:val="00B4652A"/>
    <w:rsid w:val="00B468F2"/>
    <w:rsid w:val="00B4739C"/>
    <w:rsid w:val="00B50240"/>
    <w:rsid w:val="00B502CD"/>
    <w:rsid w:val="00B51909"/>
    <w:rsid w:val="00B519AC"/>
    <w:rsid w:val="00B52952"/>
    <w:rsid w:val="00B52C18"/>
    <w:rsid w:val="00B54200"/>
    <w:rsid w:val="00B54243"/>
    <w:rsid w:val="00B5473C"/>
    <w:rsid w:val="00B54749"/>
    <w:rsid w:val="00B54983"/>
    <w:rsid w:val="00B54DF2"/>
    <w:rsid w:val="00B55745"/>
    <w:rsid w:val="00B55FC2"/>
    <w:rsid w:val="00B56293"/>
    <w:rsid w:val="00B57807"/>
    <w:rsid w:val="00B5794C"/>
    <w:rsid w:val="00B60122"/>
    <w:rsid w:val="00B60CA4"/>
    <w:rsid w:val="00B611D9"/>
    <w:rsid w:val="00B6148B"/>
    <w:rsid w:val="00B61ACD"/>
    <w:rsid w:val="00B61D29"/>
    <w:rsid w:val="00B625B8"/>
    <w:rsid w:val="00B629A1"/>
    <w:rsid w:val="00B63E41"/>
    <w:rsid w:val="00B644B2"/>
    <w:rsid w:val="00B65050"/>
    <w:rsid w:val="00B65185"/>
    <w:rsid w:val="00B673D1"/>
    <w:rsid w:val="00B67423"/>
    <w:rsid w:val="00B677C1"/>
    <w:rsid w:val="00B71A0D"/>
    <w:rsid w:val="00B71D05"/>
    <w:rsid w:val="00B72010"/>
    <w:rsid w:val="00B731A7"/>
    <w:rsid w:val="00B73324"/>
    <w:rsid w:val="00B735CA"/>
    <w:rsid w:val="00B74EA3"/>
    <w:rsid w:val="00B75E67"/>
    <w:rsid w:val="00B761EE"/>
    <w:rsid w:val="00B763CD"/>
    <w:rsid w:val="00B76710"/>
    <w:rsid w:val="00B77590"/>
    <w:rsid w:val="00B7767F"/>
    <w:rsid w:val="00B776E6"/>
    <w:rsid w:val="00B77A14"/>
    <w:rsid w:val="00B8062A"/>
    <w:rsid w:val="00B8088F"/>
    <w:rsid w:val="00B80B3F"/>
    <w:rsid w:val="00B80F1B"/>
    <w:rsid w:val="00B81BD2"/>
    <w:rsid w:val="00B82804"/>
    <w:rsid w:val="00B831DE"/>
    <w:rsid w:val="00B8334A"/>
    <w:rsid w:val="00B849E0"/>
    <w:rsid w:val="00B860DB"/>
    <w:rsid w:val="00B86AC0"/>
    <w:rsid w:val="00B86DFF"/>
    <w:rsid w:val="00B86FA6"/>
    <w:rsid w:val="00B87D09"/>
    <w:rsid w:val="00B87E43"/>
    <w:rsid w:val="00B91532"/>
    <w:rsid w:val="00B939BA"/>
    <w:rsid w:val="00B945CB"/>
    <w:rsid w:val="00B94DC2"/>
    <w:rsid w:val="00B94F8E"/>
    <w:rsid w:val="00B955F2"/>
    <w:rsid w:val="00B9575C"/>
    <w:rsid w:val="00B95F91"/>
    <w:rsid w:val="00B95FC6"/>
    <w:rsid w:val="00B96118"/>
    <w:rsid w:val="00B9680F"/>
    <w:rsid w:val="00B96A37"/>
    <w:rsid w:val="00B96C07"/>
    <w:rsid w:val="00B97058"/>
    <w:rsid w:val="00B97683"/>
    <w:rsid w:val="00BA0644"/>
    <w:rsid w:val="00BA0DC0"/>
    <w:rsid w:val="00BA0F20"/>
    <w:rsid w:val="00BA1378"/>
    <w:rsid w:val="00BA179F"/>
    <w:rsid w:val="00BA1B26"/>
    <w:rsid w:val="00BA2E12"/>
    <w:rsid w:val="00BA328C"/>
    <w:rsid w:val="00BA39C8"/>
    <w:rsid w:val="00BA4AD4"/>
    <w:rsid w:val="00BA51C5"/>
    <w:rsid w:val="00BA560E"/>
    <w:rsid w:val="00BA578A"/>
    <w:rsid w:val="00BA58AD"/>
    <w:rsid w:val="00BA7C7F"/>
    <w:rsid w:val="00BB127E"/>
    <w:rsid w:val="00BB1311"/>
    <w:rsid w:val="00BB1A43"/>
    <w:rsid w:val="00BB23AC"/>
    <w:rsid w:val="00BB25A3"/>
    <w:rsid w:val="00BB3BC2"/>
    <w:rsid w:val="00BB421D"/>
    <w:rsid w:val="00BB4B4C"/>
    <w:rsid w:val="00BB503D"/>
    <w:rsid w:val="00BB5D31"/>
    <w:rsid w:val="00BB6494"/>
    <w:rsid w:val="00BB6EC8"/>
    <w:rsid w:val="00BB7442"/>
    <w:rsid w:val="00BB7BD0"/>
    <w:rsid w:val="00BB7ECB"/>
    <w:rsid w:val="00BC067F"/>
    <w:rsid w:val="00BC07A5"/>
    <w:rsid w:val="00BC0AD3"/>
    <w:rsid w:val="00BC0BBC"/>
    <w:rsid w:val="00BC23E1"/>
    <w:rsid w:val="00BC291E"/>
    <w:rsid w:val="00BC2E5C"/>
    <w:rsid w:val="00BC3612"/>
    <w:rsid w:val="00BC3A85"/>
    <w:rsid w:val="00BC3AD0"/>
    <w:rsid w:val="00BC3ADA"/>
    <w:rsid w:val="00BC5119"/>
    <w:rsid w:val="00BC547E"/>
    <w:rsid w:val="00BC5BA0"/>
    <w:rsid w:val="00BC5DBB"/>
    <w:rsid w:val="00BC5E6F"/>
    <w:rsid w:val="00BC6A97"/>
    <w:rsid w:val="00BC70B8"/>
    <w:rsid w:val="00BC76D5"/>
    <w:rsid w:val="00BC7F4A"/>
    <w:rsid w:val="00BD0BAB"/>
    <w:rsid w:val="00BD0C5D"/>
    <w:rsid w:val="00BD0C7A"/>
    <w:rsid w:val="00BD2091"/>
    <w:rsid w:val="00BD2112"/>
    <w:rsid w:val="00BD22D0"/>
    <w:rsid w:val="00BD244E"/>
    <w:rsid w:val="00BD2532"/>
    <w:rsid w:val="00BD2718"/>
    <w:rsid w:val="00BD30EA"/>
    <w:rsid w:val="00BD3A3D"/>
    <w:rsid w:val="00BD3BC4"/>
    <w:rsid w:val="00BD4322"/>
    <w:rsid w:val="00BD6342"/>
    <w:rsid w:val="00BD6CEE"/>
    <w:rsid w:val="00BD753F"/>
    <w:rsid w:val="00BD7893"/>
    <w:rsid w:val="00BD7A81"/>
    <w:rsid w:val="00BD7C37"/>
    <w:rsid w:val="00BD7C68"/>
    <w:rsid w:val="00BE0DB6"/>
    <w:rsid w:val="00BE0EE3"/>
    <w:rsid w:val="00BE14C8"/>
    <w:rsid w:val="00BE16B5"/>
    <w:rsid w:val="00BE23EC"/>
    <w:rsid w:val="00BE3A4E"/>
    <w:rsid w:val="00BE3E00"/>
    <w:rsid w:val="00BE4D8A"/>
    <w:rsid w:val="00BE4ED2"/>
    <w:rsid w:val="00BE50DF"/>
    <w:rsid w:val="00BE5311"/>
    <w:rsid w:val="00BE63E9"/>
    <w:rsid w:val="00BE6C31"/>
    <w:rsid w:val="00BE70C9"/>
    <w:rsid w:val="00BE7122"/>
    <w:rsid w:val="00BF0842"/>
    <w:rsid w:val="00BF08B8"/>
    <w:rsid w:val="00BF097E"/>
    <w:rsid w:val="00BF0A41"/>
    <w:rsid w:val="00BF0CDE"/>
    <w:rsid w:val="00BF118E"/>
    <w:rsid w:val="00BF1588"/>
    <w:rsid w:val="00BF15FB"/>
    <w:rsid w:val="00BF17D2"/>
    <w:rsid w:val="00BF1BD1"/>
    <w:rsid w:val="00BF1D6C"/>
    <w:rsid w:val="00BF242D"/>
    <w:rsid w:val="00BF28F2"/>
    <w:rsid w:val="00BF2B41"/>
    <w:rsid w:val="00BF2DD1"/>
    <w:rsid w:val="00BF318D"/>
    <w:rsid w:val="00BF3589"/>
    <w:rsid w:val="00BF3882"/>
    <w:rsid w:val="00BF3B76"/>
    <w:rsid w:val="00BF3C90"/>
    <w:rsid w:val="00BF43B7"/>
    <w:rsid w:val="00BF5008"/>
    <w:rsid w:val="00BF530E"/>
    <w:rsid w:val="00BF55F4"/>
    <w:rsid w:val="00BF5B75"/>
    <w:rsid w:val="00BF5FF9"/>
    <w:rsid w:val="00BF6176"/>
    <w:rsid w:val="00BF6DBE"/>
    <w:rsid w:val="00BF795C"/>
    <w:rsid w:val="00C002BE"/>
    <w:rsid w:val="00C01113"/>
    <w:rsid w:val="00C01416"/>
    <w:rsid w:val="00C02CDD"/>
    <w:rsid w:val="00C02DC5"/>
    <w:rsid w:val="00C02E5B"/>
    <w:rsid w:val="00C03167"/>
    <w:rsid w:val="00C034C1"/>
    <w:rsid w:val="00C036DE"/>
    <w:rsid w:val="00C04B73"/>
    <w:rsid w:val="00C05200"/>
    <w:rsid w:val="00C05699"/>
    <w:rsid w:val="00C05DD3"/>
    <w:rsid w:val="00C061B4"/>
    <w:rsid w:val="00C06225"/>
    <w:rsid w:val="00C06A10"/>
    <w:rsid w:val="00C06BE9"/>
    <w:rsid w:val="00C06F9A"/>
    <w:rsid w:val="00C074E8"/>
    <w:rsid w:val="00C0754C"/>
    <w:rsid w:val="00C1041D"/>
    <w:rsid w:val="00C1041F"/>
    <w:rsid w:val="00C10C5D"/>
    <w:rsid w:val="00C11235"/>
    <w:rsid w:val="00C1139D"/>
    <w:rsid w:val="00C1180C"/>
    <w:rsid w:val="00C11B3A"/>
    <w:rsid w:val="00C12F79"/>
    <w:rsid w:val="00C1360C"/>
    <w:rsid w:val="00C13C8D"/>
    <w:rsid w:val="00C149DE"/>
    <w:rsid w:val="00C15700"/>
    <w:rsid w:val="00C15743"/>
    <w:rsid w:val="00C16103"/>
    <w:rsid w:val="00C163DF"/>
    <w:rsid w:val="00C167AD"/>
    <w:rsid w:val="00C16C2D"/>
    <w:rsid w:val="00C17496"/>
    <w:rsid w:val="00C17CF8"/>
    <w:rsid w:val="00C2064A"/>
    <w:rsid w:val="00C20867"/>
    <w:rsid w:val="00C20A65"/>
    <w:rsid w:val="00C20B98"/>
    <w:rsid w:val="00C21172"/>
    <w:rsid w:val="00C21C20"/>
    <w:rsid w:val="00C2250D"/>
    <w:rsid w:val="00C226F7"/>
    <w:rsid w:val="00C231B1"/>
    <w:rsid w:val="00C23A6A"/>
    <w:rsid w:val="00C2552D"/>
    <w:rsid w:val="00C2554B"/>
    <w:rsid w:val="00C25609"/>
    <w:rsid w:val="00C25B08"/>
    <w:rsid w:val="00C25B2C"/>
    <w:rsid w:val="00C25D3E"/>
    <w:rsid w:val="00C26DE9"/>
    <w:rsid w:val="00C2726A"/>
    <w:rsid w:val="00C27F2E"/>
    <w:rsid w:val="00C27FA0"/>
    <w:rsid w:val="00C30072"/>
    <w:rsid w:val="00C305A1"/>
    <w:rsid w:val="00C30B75"/>
    <w:rsid w:val="00C30D8F"/>
    <w:rsid w:val="00C30E9A"/>
    <w:rsid w:val="00C31191"/>
    <w:rsid w:val="00C314F6"/>
    <w:rsid w:val="00C31683"/>
    <w:rsid w:val="00C32378"/>
    <w:rsid w:val="00C32FEA"/>
    <w:rsid w:val="00C34B85"/>
    <w:rsid w:val="00C3522F"/>
    <w:rsid w:val="00C36722"/>
    <w:rsid w:val="00C36C90"/>
    <w:rsid w:val="00C36D70"/>
    <w:rsid w:val="00C3739C"/>
    <w:rsid w:val="00C37D0F"/>
    <w:rsid w:val="00C402B2"/>
    <w:rsid w:val="00C40587"/>
    <w:rsid w:val="00C40CF7"/>
    <w:rsid w:val="00C415A0"/>
    <w:rsid w:val="00C41B95"/>
    <w:rsid w:val="00C41BD0"/>
    <w:rsid w:val="00C41EF6"/>
    <w:rsid w:val="00C42D56"/>
    <w:rsid w:val="00C42ED7"/>
    <w:rsid w:val="00C4307A"/>
    <w:rsid w:val="00C431BB"/>
    <w:rsid w:val="00C43412"/>
    <w:rsid w:val="00C43905"/>
    <w:rsid w:val="00C43F3C"/>
    <w:rsid w:val="00C4436F"/>
    <w:rsid w:val="00C4596D"/>
    <w:rsid w:val="00C45C58"/>
    <w:rsid w:val="00C465BF"/>
    <w:rsid w:val="00C4663B"/>
    <w:rsid w:val="00C46897"/>
    <w:rsid w:val="00C46CFB"/>
    <w:rsid w:val="00C47393"/>
    <w:rsid w:val="00C4764A"/>
    <w:rsid w:val="00C47E57"/>
    <w:rsid w:val="00C5068C"/>
    <w:rsid w:val="00C50B43"/>
    <w:rsid w:val="00C511FD"/>
    <w:rsid w:val="00C51E6A"/>
    <w:rsid w:val="00C51FDF"/>
    <w:rsid w:val="00C52C52"/>
    <w:rsid w:val="00C52D9B"/>
    <w:rsid w:val="00C53060"/>
    <w:rsid w:val="00C5322A"/>
    <w:rsid w:val="00C533C5"/>
    <w:rsid w:val="00C534DF"/>
    <w:rsid w:val="00C53A8F"/>
    <w:rsid w:val="00C53DD3"/>
    <w:rsid w:val="00C5417D"/>
    <w:rsid w:val="00C542C4"/>
    <w:rsid w:val="00C5485B"/>
    <w:rsid w:val="00C54F91"/>
    <w:rsid w:val="00C55CAC"/>
    <w:rsid w:val="00C55F76"/>
    <w:rsid w:val="00C563C4"/>
    <w:rsid w:val="00C563D8"/>
    <w:rsid w:val="00C56BA7"/>
    <w:rsid w:val="00C574DE"/>
    <w:rsid w:val="00C57665"/>
    <w:rsid w:val="00C57865"/>
    <w:rsid w:val="00C604F2"/>
    <w:rsid w:val="00C6050E"/>
    <w:rsid w:val="00C605BB"/>
    <w:rsid w:val="00C6062C"/>
    <w:rsid w:val="00C6088C"/>
    <w:rsid w:val="00C60EDF"/>
    <w:rsid w:val="00C612F9"/>
    <w:rsid w:val="00C61E03"/>
    <w:rsid w:val="00C62856"/>
    <w:rsid w:val="00C62935"/>
    <w:rsid w:val="00C62D3A"/>
    <w:rsid w:val="00C63093"/>
    <w:rsid w:val="00C6366E"/>
    <w:rsid w:val="00C64292"/>
    <w:rsid w:val="00C649F2"/>
    <w:rsid w:val="00C64AF9"/>
    <w:rsid w:val="00C64DC2"/>
    <w:rsid w:val="00C655BF"/>
    <w:rsid w:val="00C6694C"/>
    <w:rsid w:val="00C66C3C"/>
    <w:rsid w:val="00C67976"/>
    <w:rsid w:val="00C704E5"/>
    <w:rsid w:val="00C7057B"/>
    <w:rsid w:val="00C70E40"/>
    <w:rsid w:val="00C71631"/>
    <w:rsid w:val="00C71F25"/>
    <w:rsid w:val="00C729A0"/>
    <w:rsid w:val="00C737C0"/>
    <w:rsid w:val="00C73E81"/>
    <w:rsid w:val="00C7420B"/>
    <w:rsid w:val="00C749CB"/>
    <w:rsid w:val="00C74C9D"/>
    <w:rsid w:val="00C74E29"/>
    <w:rsid w:val="00C7564C"/>
    <w:rsid w:val="00C75842"/>
    <w:rsid w:val="00C7587F"/>
    <w:rsid w:val="00C75C51"/>
    <w:rsid w:val="00C76117"/>
    <w:rsid w:val="00C76AF1"/>
    <w:rsid w:val="00C80072"/>
    <w:rsid w:val="00C80C58"/>
    <w:rsid w:val="00C8132E"/>
    <w:rsid w:val="00C818B4"/>
    <w:rsid w:val="00C82890"/>
    <w:rsid w:val="00C8392F"/>
    <w:rsid w:val="00C849E4"/>
    <w:rsid w:val="00C84D19"/>
    <w:rsid w:val="00C84F46"/>
    <w:rsid w:val="00C85ECC"/>
    <w:rsid w:val="00C85F67"/>
    <w:rsid w:val="00C86867"/>
    <w:rsid w:val="00C871CF"/>
    <w:rsid w:val="00C8759E"/>
    <w:rsid w:val="00C90314"/>
    <w:rsid w:val="00C90698"/>
    <w:rsid w:val="00C907B6"/>
    <w:rsid w:val="00C90EB4"/>
    <w:rsid w:val="00C912BC"/>
    <w:rsid w:val="00C91803"/>
    <w:rsid w:val="00C91BDD"/>
    <w:rsid w:val="00C921C4"/>
    <w:rsid w:val="00C929A4"/>
    <w:rsid w:val="00C9360A"/>
    <w:rsid w:val="00C9439A"/>
    <w:rsid w:val="00C94D7E"/>
    <w:rsid w:val="00C96511"/>
    <w:rsid w:val="00C96651"/>
    <w:rsid w:val="00C96797"/>
    <w:rsid w:val="00C96DE5"/>
    <w:rsid w:val="00C97326"/>
    <w:rsid w:val="00C9779F"/>
    <w:rsid w:val="00C97878"/>
    <w:rsid w:val="00C97A16"/>
    <w:rsid w:val="00CA00C5"/>
    <w:rsid w:val="00CA0AEB"/>
    <w:rsid w:val="00CA0C0D"/>
    <w:rsid w:val="00CA0D9D"/>
    <w:rsid w:val="00CA171B"/>
    <w:rsid w:val="00CA19C1"/>
    <w:rsid w:val="00CA1A1A"/>
    <w:rsid w:val="00CA222D"/>
    <w:rsid w:val="00CA2244"/>
    <w:rsid w:val="00CA2307"/>
    <w:rsid w:val="00CA2661"/>
    <w:rsid w:val="00CA32C6"/>
    <w:rsid w:val="00CA3B9D"/>
    <w:rsid w:val="00CA4006"/>
    <w:rsid w:val="00CA45F8"/>
    <w:rsid w:val="00CA4FD5"/>
    <w:rsid w:val="00CA6462"/>
    <w:rsid w:val="00CA6B8E"/>
    <w:rsid w:val="00CA7781"/>
    <w:rsid w:val="00CA7BA8"/>
    <w:rsid w:val="00CB0795"/>
    <w:rsid w:val="00CB0BB2"/>
    <w:rsid w:val="00CB1096"/>
    <w:rsid w:val="00CB1ED6"/>
    <w:rsid w:val="00CB308B"/>
    <w:rsid w:val="00CB3E1D"/>
    <w:rsid w:val="00CB3FA2"/>
    <w:rsid w:val="00CB5737"/>
    <w:rsid w:val="00CB5CB2"/>
    <w:rsid w:val="00CB5CB4"/>
    <w:rsid w:val="00CB6864"/>
    <w:rsid w:val="00CB703F"/>
    <w:rsid w:val="00CB7583"/>
    <w:rsid w:val="00CC1C97"/>
    <w:rsid w:val="00CC27AD"/>
    <w:rsid w:val="00CC29D4"/>
    <w:rsid w:val="00CC34B6"/>
    <w:rsid w:val="00CC3552"/>
    <w:rsid w:val="00CC35A3"/>
    <w:rsid w:val="00CC3AB9"/>
    <w:rsid w:val="00CC3AF4"/>
    <w:rsid w:val="00CC3E7C"/>
    <w:rsid w:val="00CC4638"/>
    <w:rsid w:val="00CC4A61"/>
    <w:rsid w:val="00CC4CAC"/>
    <w:rsid w:val="00CC51F5"/>
    <w:rsid w:val="00CC55F6"/>
    <w:rsid w:val="00CC5983"/>
    <w:rsid w:val="00CC5AC7"/>
    <w:rsid w:val="00CC609C"/>
    <w:rsid w:val="00CC61DF"/>
    <w:rsid w:val="00CC65C0"/>
    <w:rsid w:val="00CC65D4"/>
    <w:rsid w:val="00CC6C68"/>
    <w:rsid w:val="00CC6F6C"/>
    <w:rsid w:val="00CD0055"/>
    <w:rsid w:val="00CD05B5"/>
    <w:rsid w:val="00CD2203"/>
    <w:rsid w:val="00CD23FC"/>
    <w:rsid w:val="00CD3E75"/>
    <w:rsid w:val="00CD3ED4"/>
    <w:rsid w:val="00CD3FE8"/>
    <w:rsid w:val="00CD4428"/>
    <w:rsid w:val="00CD44F3"/>
    <w:rsid w:val="00CD491E"/>
    <w:rsid w:val="00CD5988"/>
    <w:rsid w:val="00CD5C8C"/>
    <w:rsid w:val="00CD63FB"/>
    <w:rsid w:val="00CD6B1D"/>
    <w:rsid w:val="00CD7CA3"/>
    <w:rsid w:val="00CE0360"/>
    <w:rsid w:val="00CE0690"/>
    <w:rsid w:val="00CE0F45"/>
    <w:rsid w:val="00CE1064"/>
    <w:rsid w:val="00CE14F6"/>
    <w:rsid w:val="00CE21DB"/>
    <w:rsid w:val="00CE232C"/>
    <w:rsid w:val="00CE2576"/>
    <w:rsid w:val="00CE38B6"/>
    <w:rsid w:val="00CE3CE0"/>
    <w:rsid w:val="00CE42B7"/>
    <w:rsid w:val="00CE46A3"/>
    <w:rsid w:val="00CE4966"/>
    <w:rsid w:val="00CE5770"/>
    <w:rsid w:val="00CE6B08"/>
    <w:rsid w:val="00CE6CBB"/>
    <w:rsid w:val="00CE6DAA"/>
    <w:rsid w:val="00CE79BD"/>
    <w:rsid w:val="00CE7C6F"/>
    <w:rsid w:val="00CF050F"/>
    <w:rsid w:val="00CF075C"/>
    <w:rsid w:val="00CF0CD5"/>
    <w:rsid w:val="00CF0D02"/>
    <w:rsid w:val="00CF10F2"/>
    <w:rsid w:val="00CF14B6"/>
    <w:rsid w:val="00CF1B10"/>
    <w:rsid w:val="00CF2268"/>
    <w:rsid w:val="00CF2813"/>
    <w:rsid w:val="00CF457E"/>
    <w:rsid w:val="00CF45DF"/>
    <w:rsid w:val="00CF5691"/>
    <w:rsid w:val="00CF5C66"/>
    <w:rsid w:val="00CF6195"/>
    <w:rsid w:val="00CF6B3E"/>
    <w:rsid w:val="00CF6C6D"/>
    <w:rsid w:val="00CF7748"/>
    <w:rsid w:val="00CF7B7F"/>
    <w:rsid w:val="00D001A1"/>
    <w:rsid w:val="00D00A3D"/>
    <w:rsid w:val="00D00C4A"/>
    <w:rsid w:val="00D020AF"/>
    <w:rsid w:val="00D020C1"/>
    <w:rsid w:val="00D043B4"/>
    <w:rsid w:val="00D044A7"/>
    <w:rsid w:val="00D04719"/>
    <w:rsid w:val="00D049D9"/>
    <w:rsid w:val="00D052D3"/>
    <w:rsid w:val="00D05AA1"/>
    <w:rsid w:val="00D05D84"/>
    <w:rsid w:val="00D064F0"/>
    <w:rsid w:val="00D065FC"/>
    <w:rsid w:val="00D06631"/>
    <w:rsid w:val="00D0692E"/>
    <w:rsid w:val="00D06B10"/>
    <w:rsid w:val="00D073F7"/>
    <w:rsid w:val="00D0784C"/>
    <w:rsid w:val="00D07C76"/>
    <w:rsid w:val="00D1025A"/>
    <w:rsid w:val="00D1089E"/>
    <w:rsid w:val="00D10B2D"/>
    <w:rsid w:val="00D10D2E"/>
    <w:rsid w:val="00D10FD2"/>
    <w:rsid w:val="00D1167D"/>
    <w:rsid w:val="00D11A72"/>
    <w:rsid w:val="00D121F9"/>
    <w:rsid w:val="00D143D2"/>
    <w:rsid w:val="00D1473B"/>
    <w:rsid w:val="00D14CCD"/>
    <w:rsid w:val="00D14E32"/>
    <w:rsid w:val="00D15834"/>
    <w:rsid w:val="00D16A92"/>
    <w:rsid w:val="00D17B0B"/>
    <w:rsid w:val="00D208F8"/>
    <w:rsid w:val="00D20A93"/>
    <w:rsid w:val="00D20B13"/>
    <w:rsid w:val="00D20D94"/>
    <w:rsid w:val="00D21F5E"/>
    <w:rsid w:val="00D22B33"/>
    <w:rsid w:val="00D22D94"/>
    <w:rsid w:val="00D240E5"/>
    <w:rsid w:val="00D250CD"/>
    <w:rsid w:val="00D26B6E"/>
    <w:rsid w:val="00D273D2"/>
    <w:rsid w:val="00D2783A"/>
    <w:rsid w:val="00D30123"/>
    <w:rsid w:val="00D30779"/>
    <w:rsid w:val="00D312F1"/>
    <w:rsid w:val="00D31530"/>
    <w:rsid w:val="00D32E2D"/>
    <w:rsid w:val="00D32FB4"/>
    <w:rsid w:val="00D32FEB"/>
    <w:rsid w:val="00D338B5"/>
    <w:rsid w:val="00D33A0E"/>
    <w:rsid w:val="00D33CF1"/>
    <w:rsid w:val="00D34460"/>
    <w:rsid w:val="00D3463C"/>
    <w:rsid w:val="00D34B17"/>
    <w:rsid w:val="00D353D0"/>
    <w:rsid w:val="00D354C2"/>
    <w:rsid w:val="00D35B6C"/>
    <w:rsid w:val="00D35E06"/>
    <w:rsid w:val="00D37E11"/>
    <w:rsid w:val="00D400E8"/>
    <w:rsid w:val="00D41087"/>
    <w:rsid w:val="00D41353"/>
    <w:rsid w:val="00D41C9F"/>
    <w:rsid w:val="00D42C78"/>
    <w:rsid w:val="00D43443"/>
    <w:rsid w:val="00D44659"/>
    <w:rsid w:val="00D44DE1"/>
    <w:rsid w:val="00D44E94"/>
    <w:rsid w:val="00D4541C"/>
    <w:rsid w:val="00D45888"/>
    <w:rsid w:val="00D45F33"/>
    <w:rsid w:val="00D465A4"/>
    <w:rsid w:val="00D46CC1"/>
    <w:rsid w:val="00D46DED"/>
    <w:rsid w:val="00D46EB8"/>
    <w:rsid w:val="00D47082"/>
    <w:rsid w:val="00D4791D"/>
    <w:rsid w:val="00D479A5"/>
    <w:rsid w:val="00D47A62"/>
    <w:rsid w:val="00D47E62"/>
    <w:rsid w:val="00D50E38"/>
    <w:rsid w:val="00D51C81"/>
    <w:rsid w:val="00D52636"/>
    <w:rsid w:val="00D526F5"/>
    <w:rsid w:val="00D52A03"/>
    <w:rsid w:val="00D54180"/>
    <w:rsid w:val="00D54B30"/>
    <w:rsid w:val="00D550DB"/>
    <w:rsid w:val="00D551A2"/>
    <w:rsid w:val="00D551F0"/>
    <w:rsid w:val="00D55286"/>
    <w:rsid w:val="00D5540E"/>
    <w:rsid w:val="00D55F93"/>
    <w:rsid w:val="00D56274"/>
    <w:rsid w:val="00D565AB"/>
    <w:rsid w:val="00D56BD4"/>
    <w:rsid w:val="00D5723D"/>
    <w:rsid w:val="00D573BF"/>
    <w:rsid w:val="00D57912"/>
    <w:rsid w:val="00D60184"/>
    <w:rsid w:val="00D601FF"/>
    <w:rsid w:val="00D607C6"/>
    <w:rsid w:val="00D621B2"/>
    <w:rsid w:val="00D62382"/>
    <w:rsid w:val="00D6274C"/>
    <w:rsid w:val="00D629C3"/>
    <w:rsid w:val="00D62E89"/>
    <w:rsid w:val="00D639B8"/>
    <w:rsid w:val="00D63FE7"/>
    <w:rsid w:val="00D64B63"/>
    <w:rsid w:val="00D64CD9"/>
    <w:rsid w:val="00D64F33"/>
    <w:rsid w:val="00D654F3"/>
    <w:rsid w:val="00D65ACF"/>
    <w:rsid w:val="00D661C0"/>
    <w:rsid w:val="00D66333"/>
    <w:rsid w:val="00D66F15"/>
    <w:rsid w:val="00D67507"/>
    <w:rsid w:val="00D6763C"/>
    <w:rsid w:val="00D70165"/>
    <w:rsid w:val="00D705DA"/>
    <w:rsid w:val="00D70D6D"/>
    <w:rsid w:val="00D71371"/>
    <w:rsid w:val="00D71A4B"/>
    <w:rsid w:val="00D71FBB"/>
    <w:rsid w:val="00D72019"/>
    <w:rsid w:val="00D7291D"/>
    <w:rsid w:val="00D72C02"/>
    <w:rsid w:val="00D734C4"/>
    <w:rsid w:val="00D73867"/>
    <w:rsid w:val="00D7438A"/>
    <w:rsid w:val="00D74B7B"/>
    <w:rsid w:val="00D75346"/>
    <w:rsid w:val="00D75862"/>
    <w:rsid w:val="00D760E5"/>
    <w:rsid w:val="00D765C9"/>
    <w:rsid w:val="00D76A44"/>
    <w:rsid w:val="00D76E39"/>
    <w:rsid w:val="00D7711D"/>
    <w:rsid w:val="00D77BD8"/>
    <w:rsid w:val="00D77D4F"/>
    <w:rsid w:val="00D77E18"/>
    <w:rsid w:val="00D800E9"/>
    <w:rsid w:val="00D805FC"/>
    <w:rsid w:val="00D812CE"/>
    <w:rsid w:val="00D8131D"/>
    <w:rsid w:val="00D823E6"/>
    <w:rsid w:val="00D8245C"/>
    <w:rsid w:val="00D8329F"/>
    <w:rsid w:val="00D83972"/>
    <w:rsid w:val="00D83E7B"/>
    <w:rsid w:val="00D84CC5"/>
    <w:rsid w:val="00D84D06"/>
    <w:rsid w:val="00D855B2"/>
    <w:rsid w:val="00D85D54"/>
    <w:rsid w:val="00D86E6A"/>
    <w:rsid w:val="00D87197"/>
    <w:rsid w:val="00D87263"/>
    <w:rsid w:val="00D875D3"/>
    <w:rsid w:val="00D87608"/>
    <w:rsid w:val="00D877DC"/>
    <w:rsid w:val="00D877F8"/>
    <w:rsid w:val="00D8782A"/>
    <w:rsid w:val="00D87D7C"/>
    <w:rsid w:val="00D87E76"/>
    <w:rsid w:val="00D87FC3"/>
    <w:rsid w:val="00D90435"/>
    <w:rsid w:val="00D90904"/>
    <w:rsid w:val="00D90ED0"/>
    <w:rsid w:val="00D91244"/>
    <w:rsid w:val="00D91A47"/>
    <w:rsid w:val="00D91E02"/>
    <w:rsid w:val="00D92759"/>
    <w:rsid w:val="00D9337C"/>
    <w:rsid w:val="00D93525"/>
    <w:rsid w:val="00D93F87"/>
    <w:rsid w:val="00D94FD9"/>
    <w:rsid w:val="00D96418"/>
    <w:rsid w:val="00D9650A"/>
    <w:rsid w:val="00D96B92"/>
    <w:rsid w:val="00D97694"/>
    <w:rsid w:val="00DA0014"/>
    <w:rsid w:val="00DA032C"/>
    <w:rsid w:val="00DA0392"/>
    <w:rsid w:val="00DA0ECE"/>
    <w:rsid w:val="00DA0F15"/>
    <w:rsid w:val="00DA10AA"/>
    <w:rsid w:val="00DA1278"/>
    <w:rsid w:val="00DA1842"/>
    <w:rsid w:val="00DA1A2C"/>
    <w:rsid w:val="00DA1F01"/>
    <w:rsid w:val="00DA211F"/>
    <w:rsid w:val="00DA28EA"/>
    <w:rsid w:val="00DA2A6E"/>
    <w:rsid w:val="00DA3478"/>
    <w:rsid w:val="00DA370E"/>
    <w:rsid w:val="00DA41BC"/>
    <w:rsid w:val="00DA4E40"/>
    <w:rsid w:val="00DA538C"/>
    <w:rsid w:val="00DA5753"/>
    <w:rsid w:val="00DA5814"/>
    <w:rsid w:val="00DA5962"/>
    <w:rsid w:val="00DA5E70"/>
    <w:rsid w:val="00DA6048"/>
    <w:rsid w:val="00DA6710"/>
    <w:rsid w:val="00DA69D2"/>
    <w:rsid w:val="00DA6DCA"/>
    <w:rsid w:val="00DA770A"/>
    <w:rsid w:val="00DA7B44"/>
    <w:rsid w:val="00DB068C"/>
    <w:rsid w:val="00DB074E"/>
    <w:rsid w:val="00DB0FFE"/>
    <w:rsid w:val="00DB141B"/>
    <w:rsid w:val="00DB1BD8"/>
    <w:rsid w:val="00DB1CB9"/>
    <w:rsid w:val="00DB1DF3"/>
    <w:rsid w:val="00DB203E"/>
    <w:rsid w:val="00DB240E"/>
    <w:rsid w:val="00DB2FAD"/>
    <w:rsid w:val="00DB3541"/>
    <w:rsid w:val="00DB3714"/>
    <w:rsid w:val="00DB43CE"/>
    <w:rsid w:val="00DB4445"/>
    <w:rsid w:val="00DB44D6"/>
    <w:rsid w:val="00DB4F5D"/>
    <w:rsid w:val="00DB4F7F"/>
    <w:rsid w:val="00DB5365"/>
    <w:rsid w:val="00DB5C60"/>
    <w:rsid w:val="00DB63DC"/>
    <w:rsid w:val="00DB6711"/>
    <w:rsid w:val="00DB6F2B"/>
    <w:rsid w:val="00DB70F7"/>
    <w:rsid w:val="00DB7297"/>
    <w:rsid w:val="00DB7C26"/>
    <w:rsid w:val="00DC006E"/>
    <w:rsid w:val="00DC0216"/>
    <w:rsid w:val="00DC04E3"/>
    <w:rsid w:val="00DC0564"/>
    <w:rsid w:val="00DC07AD"/>
    <w:rsid w:val="00DC10A5"/>
    <w:rsid w:val="00DC150C"/>
    <w:rsid w:val="00DC18C6"/>
    <w:rsid w:val="00DC1CCE"/>
    <w:rsid w:val="00DC1DA0"/>
    <w:rsid w:val="00DC1F63"/>
    <w:rsid w:val="00DC22F9"/>
    <w:rsid w:val="00DC306C"/>
    <w:rsid w:val="00DC492E"/>
    <w:rsid w:val="00DC4D65"/>
    <w:rsid w:val="00DC5070"/>
    <w:rsid w:val="00DC62BA"/>
    <w:rsid w:val="00DC66E3"/>
    <w:rsid w:val="00DC75BA"/>
    <w:rsid w:val="00DC7CBF"/>
    <w:rsid w:val="00DD0561"/>
    <w:rsid w:val="00DD0A85"/>
    <w:rsid w:val="00DD0CD6"/>
    <w:rsid w:val="00DD19FB"/>
    <w:rsid w:val="00DD1B3A"/>
    <w:rsid w:val="00DD1EA3"/>
    <w:rsid w:val="00DD2605"/>
    <w:rsid w:val="00DD2AA8"/>
    <w:rsid w:val="00DD2B5E"/>
    <w:rsid w:val="00DD2B8C"/>
    <w:rsid w:val="00DD43DB"/>
    <w:rsid w:val="00DD46B4"/>
    <w:rsid w:val="00DD48BB"/>
    <w:rsid w:val="00DD4E65"/>
    <w:rsid w:val="00DD5366"/>
    <w:rsid w:val="00DD5BB8"/>
    <w:rsid w:val="00DD5E2E"/>
    <w:rsid w:val="00DD5FCE"/>
    <w:rsid w:val="00DD6090"/>
    <w:rsid w:val="00DD6109"/>
    <w:rsid w:val="00DD6258"/>
    <w:rsid w:val="00DD6D8D"/>
    <w:rsid w:val="00DD6EF1"/>
    <w:rsid w:val="00DD71DF"/>
    <w:rsid w:val="00DD72B7"/>
    <w:rsid w:val="00DD7F11"/>
    <w:rsid w:val="00DE0134"/>
    <w:rsid w:val="00DE1058"/>
    <w:rsid w:val="00DE1A92"/>
    <w:rsid w:val="00DE289C"/>
    <w:rsid w:val="00DE2FFC"/>
    <w:rsid w:val="00DE3209"/>
    <w:rsid w:val="00DE3ADE"/>
    <w:rsid w:val="00DE3B82"/>
    <w:rsid w:val="00DE4211"/>
    <w:rsid w:val="00DE45BA"/>
    <w:rsid w:val="00DE4AB9"/>
    <w:rsid w:val="00DE51B2"/>
    <w:rsid w:val="00DE6256"/>
    <w:rsid w:val="00DE6304"/>
    <w:rsid w:val="00DE63C9"/>
    <w:rsid w:val="00DE63FA"/>
    <w:rsid w:val="00DE67FD"/>
    <w:rsid w:val="00DE7487"/>
    <w:rsid w:val="00DE77CD"/>
    <w:rsid w:val="00DF01DB"/>
    <w:rsid w:val="00DF0677"/>
    <w:rsid w:val="00DF076F"/>
    <w:rsid w:val="00DF0AF9"/>
    <w:rsid w:val="00DF0C67"/>
    <w:rsid w:val="00DF1397"/>
    <w:rsid w:val="00DF19C4"/>
    <w:rsid w:val="00DF1CAB"/>
    <w:rsid w:val="00DF2048"/>
    <w:rsid w:val="00DF207E"/>
    <w:rsid w:val="00DF2FFE"/>
    <w:rsid w:val="00DF31C0"/>
    <w:rsid w:val="00DF34E3"/>
    <w:rsid w:val="00DF365E"/>
    <w:rsid w:val="00DF3E99"/>
    <w:rsid w:val="00DF4597"/>
    <w:rsid w:val="00DF4936"/>
    <w:rsid w:val="00DF5C10"/>
    <w:rsid w:val="00DF5F24"/>
    <w:rsid w:val="00DF645F"/>
    <w:rsid w:val="00DF698F"/>
    <w:rsid w:val="00DF6ADA"/>
    <w:rsid w:val="00DF72F4"/>
    <w:rsid w:val="00DF7751"/>
    <w:rsid w:val="00E007B3"/>
    <w:rsid w:val="00E00AE8"/>
    <w:rsid w:val="00E00C6D"/>
    <w:rsid w:val="00E016BF"/>
    <w:rsid w:val="00E01BBF"/>
    <w:rsid w:val="00E020D5"/>
    <w:rsid w:val="00E021C3"/>
    <w:rsid w:val="00E02C10"/>
    <w:rsid w:val="00E031C5"/>
    <w:rsid w:val="00E03276"/>
    <w:rsid w:val="00E0453E"/>
    <w:rsid w:val="00E056D0"/>
    <w:rsid w:val="00E0587A"/>
    <w:rsid w:val="00E05F00"/>
    <w:rsid w:val="00E06010"/>
    <w:rsid w:val="00E06986"/>
    <w:rsid w:val="00E06B84"/>
    <w:rsid w:val="00E06D19"/>
    <w:rsid w:val="00E07935"/>
    <w:rsid w:val="00E10086"/>
    <w:rsid w:val="00E100A5"/>
    <w:rsid w:val="00E1030F"/>
    <w:rsid w:val="00E10353"/>
    <w:rsid w:val="00E108F6"/>
    <w:rsid w:val="00E10DD8"/>
    <w:rsid w:val="00E113E1"/>
    <w:rsid w:val="00E1169D"/>
    <w:rsid w:val="00E11CA8"/>
    <w:rsid w:val="00E11F5D"/>
    <w:rsid w:val="00E120B0"/>
    <w:rsid w:val="00E129C0"/>
    <w:rsid w:val="00E12C41"/>
    <w:rsid w:val="00E142F8"/>
    <w:rsid w:val="00E148D4"/>
    <w:rsid w:val="00E1557A"/>
    <w:rsid w:val="00E15F6C"/>
    <w:rsid w:val="00E166FB"/>
    <w:rsid w:val="00E16A7D"/>
    <w:rsid w:val="00E17058"/>
    <w:rsid w:val="00E17673"/>
    <w:rsid w:val="00E17CDE"/>
    <w:rsid w:val="00E207D1"/>
    <w:rsid w:val="00E207EF"/>
    <w:rsid w:val="00E20D7D"/>
    <w:rsid w:val="00E2159F"/>
    <w:rsid w:val="00E215F8"/>
    <w:rsid w:val="00E216E3"/>
    <w:rsid w:val="00E228FA"/>
    <w:rsid w:val="00E22DF5"/>
    <w:rsid w:val="00E232AA"/>
    <w:rsid w:val="00E23766"/>
    <w:rsid w:val="00E24C16"/>
    <w:rsid w:val="00E24CEA"/>
    <w:rsid w:val="00E253FB"/>
    <w:rsid w:val="00E25A9A"/>
    <w:rsid w:val="00E25C08"/>
    <w:rsid w:val="00E260E9"/>
    <w:rsid w:val="00E26184"/>
    <w:rsid w:val="00E26F7C"/>
    <w:rsid w:val="00E3029F"/>
    <w:rsid w:val="00E3057F"/>
    <w:rsid w:val="00E3099C"/>
    <w:rsid w:val="00E30CBE"/>
    <w:rsid w:val="00E315FD"/>
    <w:rsid w:val="00E324AD"/>
    <w:rsid w:val="00E32D06"/>
    <w:rsid w:val="00E3338F"/>
    <w:rsid w:val="00E3342C"/>
    <w:rsid w:val="00E3382B"/>
    <w:rsid w:val="00E3440E"/>
    <w:rsid w:val="00E347C5"/>
    <w:rsid w:val="00E359EE"/>
    <w:rsid w:val="00E3603F"/>
    <w:rsid w:val="00E37010"/>
    <w:rsid w:val="00E37144"/>
    <w:rsid w:val="00E407EE"/>
    <w:rsid w:val="00E4119C"/>
    <w:rsid w:val="00E416A1"/>
    <w:rsid w:val="00E417A4"/>
    <w:rsid w:val="00E41F54"/>
    <w:rsid w:val="00E42DA5"/>
    <w:rsid w:val="00E43206"/>
    <w:rsid w:val="00E43CF1"/>
    <w:rsid w:val="00E44019"/>
    <w:rsid w:val="00E4431F"/>
    <w:rsid w:val="00E44377"/>
    <w:rsid w:val="00E44480"/>
    <w:rsid w:val="00E44BE0"/>
    <w:rsid w:val="00E44FAB"/>
    <w:rsid w:val="00E450C5"/>
    <w:rsid w:val="00E45143"/>
    <w:rsid w:val="00E45DEE"/>
    <w:rsid w:val="00E4623F"/>
    <w:rsid w:val="00E47014"/>
    <w:rsid w:val="00E47375"/>
    <w:rsid w:val="00E51AE5"/>
    <w:rsid w:val="00E54852"/>
    <w:rsid w:val="00E54B51"/>
    <w:rsid w:val="00E54B59"/>
    <w:rsid w:val="00E54CA3"/>
    <w:rsid w:val="00E54D0F"/>
    <w:rsid w:val="00E54DFC"/>
    <w:rsid w:val="00E54EDD"/>
    <w:rsid w:val="00E54F11"/>
    <w:rsid w:val="00E54F30"/>
    <w:rsid w:val="00E553FE"/>
    <w:rsid w:val="00E555B1"/>
    <w:rsid w:val="00E55B22"/>
    <w:rsid w:val="00E55CD1"/>
    <w:rsid w:val="00E55FDD"/>
    <w:rsid w:val="00E57C21"/>
    <w:rsid w:val="00E57D24"/>
    <w:rsid w:val="00E60350"/>
    <w:rsid w:val="00E60B32"/>
    <w:rsid w:val="00E611E3"/>
    <w:rsid w:val="00E61F73"/>
    <w:rsid w:val="00E62562"/>
    <w:rsid w:val="00E6293E"/>
    <w:rsid w:val="00E637A0"/>
    <w:rsid w:val="00E63A36"/>
    <w:rsid w:val="00E63FC4"/>
    <w:rsid w:val="00E64251"/>
    <w:rsid w:val="00E646A8"/>
    <w:rsid w:val="00E656EE"/>
    <w:rsid w:val="00E65868"/>
    <w:rsid w:val="00E65B46"/>
    <w:rsid w:val="00E66868"/>
    <w:rsid w:val="00E669C4"/>
    <w:rsid w:val="00E66C10"/>
    <w:rsid w:val="00E675E2"/>
    <w:rsid w:val="00E67875"/>
    <w:rsid w:val="00E67898"/>
    <w:rsid w:val="00E70A4B"/>
    <w:rsid w:val="00E70CA1"/>
    <w:rsid w:val="00E71277"/>
    <w:rsid w:val="00E71F22"/>
    <w:rsid w:val="00E72281"/>
    <w:rsid w:val="00E731EA"/>
    <w:rsid w:val="00E737B1"/>
    <w:rsid w:val="00E74089"/>
    <w:rsid w:val="00E7497F"/>
    <w:rsid w:val="00E75234"/>
    <w:rsid w:val="00E75370"/>
    <w:rsid w:val="00E753B9"/>
    <w:rsid w:val="00E75B2F"/>
    <w:rsid w:val="00E76652"/>
    <w:rsid w:val="00E7699E"/>
    <w:rsid w:val="00E774EE"/>
    <w:rsid w:val="00E7778D"/>
    <w:rsid w:val="00E777F3"/>
    <w:rsid w:val="00E77D2D"/>
    <w:rsid w:val="00E77D63"/>
    <w:rsid w:val="00E80057"/>
    <w:rsid w:val="00E8016E"/>
    <w:rsid w:val="00E80667"/>
    <w:rsid w:val="00E806C2"/>
    <w:rsid w:val="00E8076F"/>
    <w:rsid w:val="00E80AD5"/>
    <w:rsid w:val="00E80D83"/>
    <w:rsid w:val="00E80DD4"/>
    <w:rsid w:val="00E81449"/>
    <w:rsid w:val="00E8194F"/>
    <w:rsid w:val="00E82467"/>
    <w:rsid w:val="00E82D46"/>
    <w:rsid w:val="00E82D7D"/>
    <w:rsid w:val="00E82EDE"/>
    <w:rsid w:val="00E82F0C"/>
    <w:rsid w:val="00E830D9"/>
    <w:rsid w:val="00E83178"/>
    <w:rsid w:val="00E833FC"/>
    <w:rsid w:val="00E83B17"/>
    <w:rsid w:val="00E83F81"/>
    <w:rsid w:val="00E841A5"/>
    <w:rsid w:val="00E84447"/>
    <w:rsid w:val="00E847D4"/>
    <w:rsid w:val="00E857A9"/>
    <w:rsid w:val="00E858DF"/>
    <w:rsid w:val="00E861AA"/>
    <w:rsid w:val="00E865A5"/>
    <w:rsid w:val="00E902CB"/>
    <w:rsid w:val="00E906CA"/>
    <w:rsid w:val="00E90940"/>
    <w:rsid w:val="00E90F8A"/>
    <w:rsid w:val="00E910F7"/>
    <w:rsid w:val="00E92296"/>
    <w:rsid w:val="00E928DB"/>
    <w:rsid w:val="00E93481"/>
    <w:rsid w:val="00E93AA8"/>
    <w:rsid w:val="00E94237"/>
    <w:rsid w:val="00E94C6C"/>
    <w:rsid w:val="00E9502F"/>
    <w:rsid w:val="00E951FD"/>
    <w:rsid w:val="00E957BB"/>
    <w:rsid w:val="00E95D66"/>
    <w:rsid w:val="00E96421"/>
    <w:rsid w:val="00E96ADC"/>
    <w:rsid w:val="00E96B9D"/>
    <w:rsid w:val="00E976B2"/>
    <w:rsid w:val="00EA01C3"/>
    <w:rsid w:val="00EA0298"/>
    <w:rsid w:val="00EA02A3"/>
    <w:rsid w:val="00EA02F6"/>
    <w:rsid w:val="00EA0339"/>
    <w:rsid w:val="00EA065E"/>
    <w:rsid w:val="00EA0FB2"/>
    <w:rsid w:val="00EA185E"/>
    <w:rsid w:val="00EA21C6"/>
    <w:rsid w:val="00EA236B"/>
    <w:rsid w:val="00EA253A"/>
    <w:rsid w:val="00EA28DD"/>
    <w:rsid w:val="00EA2E98"/>
    <w:rsid w:val="00EA38C0"/>
    <w:rsid w:val="00EA3BEF"/>
    <w:rsid w:val="00EA4450"/>
    <w:rsid w:val="00EA4D38"/>
    <w:rsid w:val="00EA6412"/>
    <w:rsid w:val="00EA72E8"/>
    <w:rsid w:val="00EA793B"/>
    <w:rsid w:val="00EA7B22"/>
    <w:rsid w:val="00EB088E"/>
    <w:rsid w:val="00EB148E"/>
    <w:rsid w:val="00EB1C3C"/>
    <w:rsid w:val="00EB1CD9"/>
    <w:rsid w:val="00EB3114"/>
    <w:rsid w:val="00EB3EC3"/>
    <w:rsid w:val="00EB49E6"/>
    <w:rsid w:val="00EB66BE"/>
    <w:rsid w:val="00EB69AE"/>
    <w:rsid w:val="00EB719D"/>
    <w:rsid w:val="00EB7202"/>
    <w:rsid w:val="00EB7411"/>
    <w:rsid w:val="00EB76AA"/>
    <w:rsid w:val="00EB76ED"/>
    <w:rsid w:val="00EB79A2"/>
    <w:rsid w:val="00EB7E81"/>
    <w:rsid w:val="00EC0082"/>
    <w:rsid w:val="00EC0298"/>
    <w:rsid w:val="00EC0434"/>
    <w:rsid w:val="00EC066F"/>
    <w:rsid w:val="00EC06FA"/>
    <w:rsid w:val="00EC0E3E"/>
    <w:rsid w:val="00EC121B"/>
    <w:rsid w:val="00EC13F1"/>
    <w:rsid w:val="00EC1FE6"/>
    <w:rsid w:val="00EC2215"/>
    <w:rsid w:val="00EC235D"/>
    <w:rsid w:val="00EC259E"/>
    <w:rsid w:val="00EC279C"/>
    <w:rsid w:val="00EC33D5"/>
    <w:rsid w:val="00EC4895"/>
    <w:rsid w:val="00EC48B6"/>
    <w:rsid w:val="00EC4D93"/>
    <w:rsid w:val="00EC5116"/>
    <w:rsid w:val="00EC66E9"/>
    <w:rsid w:val="00EC6AD5"/>
    <w:rsid w:val="00EC6ADA"/>
    <w:rsid w:val="00EC7838"/>
    <w:rsid w:val="00EC7B74"/>
    <w:rsid w:val="00ED05D6"/>
    <w:rsid w:val="00ED0C1F"/>
    <w:rsid w:val="00ED0F5E"/>
    <w:rsid w:val="00ED0FFA"/>
    <w:rsid w:val="00ED1128"/>
    <w:rsid w:val="00ED1867"/>
    <w:rsid w:val="00ED24AD"/>
    <w:rsid w:val="00ED36D5"/>
    <w:rsid w:val="00ED3DB0"/>
    <w:rsid w:val="00ED41A3"/>
    <w:rsid w:val="00ED422B"/>
    <w:rsid w:val="00ED42F8"/>
    <w:rsid w:val="00ED5011"/>
    <w:rsid w:val="00ED5132"/>
    <w:rsid w:val="00ED5560"/>
    <w:rsid w:val="00ED5A86"/>
    <w:rsid w:val="00ED6D25"/>
    <w:rsid w:val="00ED701F"/>
    <w:rsid w:val="00ED7107"/>
    <w:rsid w:val="00ED71E9"/>
    <w:rsid w:val="00ED72F1"/>
    <w:rsid w:val="00ED7703"/>
    <w:rsid w:val="00EE0618"/>
    <w:rsid w:val="00EE0DEB"/>
    <w:rsid w:val="00EE1276"/>
    <w:rsid w:val="00EE13BE"/>
    <w:rsid w:val="00EE305C"/>
    <w:rsid w:val="00EE32DD"/>
    <w:rsid w:val="00EE37F8"/>
    <w:rsid w:val="00EE430A"/>
    <w:rsid w:val="00EE4557"/>
    <w:rsid w:val="00EE4F31"/>
    <w:rsid w:val="00EE56CF"/>
    <w:rsid w:val="00EE593B"/>
    <w:rsid w:val="00EE5E0C"/>
    <w:rsid w:val="00EE6036"/>
    <w:rsid w:val="00EE6888"/>
    <w:rsid w:val="00EE75D6"/>
    <w:rsid w:val="00EE7897"/>
    <w:rsid w:val="00EE7A94"/>
    <w:rsid w:val="00EF048C"/>
    <w:rsid w:val="00EF081A"/>
    <w:rsid w:val="00EF0E47"/>
    <w:rsid w:val="00EF19FD"/>
    <w:rsid w:val="00EF1AA7"/>
    <w:rsid w:val="00EF2604"/>
    <w:rsid w:val="00EF266C"/>
    <w:rsid w:val="00EF2F0F"/>
    <w:rsid w:val="00EF2F69"/>
    <w:rsid w:val="00EF3CA9"/>
    <w:rsid w:val="00EF425B"/>
    <w:rsid w:val="00EF4CAF"/>
    <w:rsid w:val="00EF4D0F"/>
    <w:rsid w:val="00EF5312"/>
    <w:rsid w:val="00EF72C1"/>
    <w:rsid w:val="00F006AB"/>
    <w:rsid w:val="00F00781"/>
    <w:rsid w:val="00F01C39"/>
    <w:rsid w:val="00F01E10"/>
    <w:rsid w:val="00F021B2"/>
    <w:rsid w:val="00F022EB"/>
    <w:rsid w:val="00F023F7"/>
    <w:rsid w:val="00F031DF"/>
    <w:rsid w:val="00F033D2"/>
    <w:rsid w:val="00F034B5"/>
    <w:rsid w:val="00F03919"/>
    <w:rsid w:val="00F03D01"/>
    <w:rsid w:val="00F044BD"/>
    <w:rsid w:val="00F04515"/>
    <w:rsid w:val="00F04E70"/>
    <w:rsid w:val="00F0580F"/>
    <w:rsid w:val="00F05B48"/>
    <w:rsid w:val="00F05C2B"/>
    <w:rsid w:val="00F05E66"/>
    <w:rsid w:val="00F05EFB"/>
    <w:rsid w:val="00F061FD"/>
    <w:rsid w:val="00F066BE"/>
    <w:rsid w:val="00F06F8A"/>
    <w:rsid w:val="00F070AC"/>
    <w:rsid w:val="00F07566"/>
    <w:rsid w:val="00F076F2"/>
    <w:rsid w:val="00F0789D"/>
    <w:rsid w:val="00F1001D"/>
    <w:rsid w:val="00F10C2E"/>
    <w:rsid w:val="00F10FC2"/>
    <w:rsid w:val="00F11429"/>
    <w:rsid w:val="00F126CE"/>
    <w:rsid w:val="00F1298F"/>
    <w:rsid w:val="00F12A56"/>
    <w:rsid w:val="00F147AA"/>
    <w:rsid w:val="00F158D3"/>
    <w:rsid w:val="00F15B25"/>
    <w:rsid w:val="00F16022"/>
    <w:rsid w:val="00F16113"/>
    <w:rsid w:val="00F1644F"/>
    <w:rsid w:val="00F16568"/>
    <w:rsid w:val="00F166F7"/>
    <w:rsid w:val="00F16D27"/>
    <w:rsid w:val="00F17F24"/>
    <w:rsid w:val="00F200EE"/>
    <w:rsid w:val="00F20129"/>
    <w:rsid w:val="00F2020D"/>
    <w:rsid w:val="00F21331"/>
    <w:rsid w:val="00F214AB"/>
    <w:rsid w:val="00F21806"/>
    <w:rsid w:val="00F2184D"/>
    <w:rsid w:val="00F2246E"/>
    <w:rsid w:val="00F22B04"/>
    <w:rsid w:val="00F22FA6"/>
    <w:rsid w:val="00F2410F"/>
    <w:rsid w:val="00F24216"/>
    <w:rsid w:val="00F2436F"/>
    <w:rsid w:val="00F24FD2"/>
    <w:rsid w:val="00F2502B"/>
    <w:rsid w:val="00F2586A"/>
    <w:rsid w:val="00F25D8C"/>
    <w:rsid w:val="00F25EF9"/>
    <w:rsid w:val="00F2601C"/>
    <w:rsid w:val="00F262D9"/>
    <w:rsid w:val="00F26714"/>
    <w:rsid w:val="00F2697D"/>
    <w:rsid w:val="00F275D5"/>
    <w:rsid w:val="00F27844"/>
    <w:rsid w:val="00F27D70"/>
    <w:rsid w:val="00F30790"/>
    <w:rsid w:val="00F30FE9"/>
    <w:rsid w:val="00F31061"/>
    <w:rsid w:val="00F3106F"/>
    <w:rsid w:val="00F31225"/>
    <w:rsid w:val="00F316B7"/>
    <w:rsid w:val="00F31D4E"/>
    <w:rsid w:val="00F32614"/>
    <w:rsid w:val="00F32644"/>
    <w:rsid w:val="00F326AC"/>
    <w:rsid w:val="00F331BB"/>
    <w:rsid w:val="00F338F1"/>
    <w:rsid w:val="00F33ACB"/>
    <w:rsid w:val="00F33EC5"/>
    <w:rsid w:val="00F34A77"/>
    <w:rsid w:val="00F35678"/>
    <w:rsid w:val="00F367B9"/>
    <w:rsid w:val="00F36BFC"/>
    <w:rsid w:val="00F40450"/>
    <w:rsid w:val="00F4123A"/>
    <w:rsid w:val="00F4149D"/>
    <w:rsid w:val="00F41554"/>
    <w:rsid w:val="00F42198"/>
    <w:rsid w:val="00F42A08"/>
    <w:rsid w:val="00F42F0E"/>
    <w:rsid w:val="00F43345"/>
    <w:rsid w:val="00F43F86"/>
    <w:rsid w:val="00F443FD"/>
    <w:rsid w:val="00F44BFC"/>
    <w:rsid w:val="00F46B59"/>
    <w:rsid w:val="00F46C62"/>
    <w:rsid w:val="00F46E62"/>
    <w:rsid w:val="00F47ABD"/>
    <w:rsid w:val="00F47FF2"/>
    <w:rsid w:val="00F50329"/>
    <w:rsid w:val="00F50545"/>
    <w:rsid w:val="00F52541"/>
    <w:rsid w:val="00F530C0"/>
    <w:rsid w:val="00F531F9"/>
    <w:rsid w:val="00F53940"/>
    <w:rsid w:val="00F5405B"/>
    <w:rsid w:val="00F54164"/>
    <w:rsid w:val="00F54A68"/>
    <w:rsid w:val="00F54B85"/>
    <w:rsid w:val="00F54E42"/>
    <w:rsid w:val="00F54EAD"/>
    <w:rsid w:val="00F5533F"/>
    <w:rsid w:val="00F55707"/>
    <w:rsid w:val="00F559E6"/>
    <w:rsid w:val="00F55C30"/>
    <w:rsid w:val="00F55DBC"/>
    <w:rsid w:val="00F564C8"/>
    <w:rsid w:val="00F564D3"/>
    <w:rsid w:val="00F56A96"/>
    <w:rsid w:val="00F56C31"/>
    <w:rsid w:val="00F57B5F"/>
    <w:rsid w:val="00F60469"/>
    <w:rsid w:val="00F60E8B"/>
    <w:rsid w:val="00F618A9"/>
    <w:rsid w:val="00F61948"/>
    <w:rsid w:val="00F62300"/>
    <w:rsid w:val="00F623D2"/>
    <w:rsid w:val="00F623DB"/>
    <w:rsid w:val="00F62A3C"/>
    <w:rsid w:val="00F634A0"/>
    <w:rsid w:val="00F63997"/>
    <w:rsid w:val="00F63C54"/>
    <w:rsid w:val="00F6418A"/>
    <w:rsid w:val="00F643CF"/>
    <w:rsid w:val="00F649AD"/>
    <w:rsid w:val="00F64AB7"/>
    <w:rsid w:val="00F66564"/>
    <w:rsid w:val="00F66863"/>
    <w:rsid w:val="00F668A8"/>
    <w:rsid w:val="00F66E47"/>
    <w:rsid w:val="00F66E81"/>
    <w:rsid w:val="00F66F45"/>
    <w:rsid w:val="00F67E4A"/>
    <w:rsid w:val="00F67EA8"/>
    <w:rsid w:val="00F70344"/>
    <w:rsid w:val="00F70BB2"/>
    <w:rsid w:val="00F714DB"/>
    <w:rsid w:val="00F72BD4"/>
    <w:rsid w:val="00F72E02"/>
    <w:rsid w:val="00F73396"/>
    <w:rsid w:val="00F73920"/>
    <w:rsid w:val="00F73D10"/>
    <w:rsid w:val="00F73DD6"/>
    <w:rsid w:val="00F7414D"/>
    <w:rsid w:val="00F74332"/>
    <w:rsid w:val="00F746B9"/>
    <w:rsid w:val="00F74D24"/>
    <w:rsid w:val="00F75278"/>
    <w:rsid w:val="00F756BB"/>
    <w:rsid w:val="00F76DD7"/>
    <w:rsid w:val="00F76EE5"/>
    <w:rsid w:val="00F776E1"/>
    <w:rsid w:val="00F806E5"/>
    <w:rsid w:val="00F809CB"/>
    <w:rsid w:val="00F809E7"/>
    <w:rsid w:val="00F82527"/>
    <w:rsid w:val="00F82ACB"/>
    <w:rsid w:val="00F82BF1"/>
    <w:rsid w:val="00F82FC8"/>
    <w:rsid w:val="00F8317D"/>
    <w:rsid w:val="00F84508"/>
    <w:rsid w:val="00F8472C"/>
    <w:rsid w:val="00F852C3"/>
    <w:rsid w:val="00F8781A"/>
    <w:rsid w:val="00F90BCD"/>
    <w:rsid w:val="00F91E59"/>
    <w:rsid w:val="00F923DA"/>
    <w:rsid w:val="00F92442"/>
    <w:rsid w:val="00F927AB"/>
    <w:rsid w:val="00F92ED9"/>
    <w:rsid w:val="00F93095"/>
    <w:rsid w:val="00F936C6"/>
    <w:rsid w:val="00F94365"/>
    <w:rsid w:val="00F94C8A"/>
    <w:rsid w:val="00F95389"/>
    <w:rsid w:val="00F955DC"/>
    <w:rsid w:val="00F95622"/>
    <w:rsid w:val="00F95A0E"/>
    <w:rsid w:val="00F96FD3"/>
    <w:rsid w:val="00F971C9"/>
    <w:rsid w:val="00F9745E"/>
    <w:rsid w:val="00F9779E"/>
    <w:rsid w:val="00F97841"/>
    <w:rsid w:val="00F97968"/>
    <w:rsid w:val="00F97E95"/>
    <w:rsid w:val="00FA02C5"/>
    <w:rsid w:val="00FA0499"/>
    <w:rsid w:val="00FA05D4"/>
    <w:rsid w:val="00FA08D0"/>
    <w:rsid w:val="00FA09C3"/>
    <w:rsid w:val="00FA1162"/>
    <w:rsid w:val="00FA119D"/>
    <w:rsid w:val="00FA1277"/>
    <w:rsid w:val="00FA1306"/>
    <w:rsid w:val="00FA18BC"/>
    <w:rsid w:val="00FA1A92"/>
    <w:rsid w:val="00FA2860"/>
    <w:rsid w:val="00FA294A"/>
    <w:rsid w:val="00FA2D09"/>
    <w:rsid w:val="00FA2D92"/>
    <w:rsid w:val="00FA35EC"/>
    <w:rsid w:val="00FA3EC7"/>
    <w:rsid w:val="00FA42C8"/>
    <w:rsid w:val="00FA5676"/>
    <w:rsid w:val="00FA5A67"/>
    <w:rsid w:val="00FA6136"/>
    <w:rsid w:val="00FA6541"/>
    <w:rsid w:val="00FA68A6"/>
    <w:rsid w:val="00FA6B85"/>
    <w:rsid w:val="00FA70B6"/>
    <w:rsid w:val="00FA7219"/>
    <w:rsid w:val="00FA778C"/>
    <w:rsid w:val="00FA77DC"/>
    <w:rsid w:val="00FB1107"/>
    <w:rsid w:val="00FB1A59"/>
    <w:rsid w:val="00FB20E6"/>
    <w:rsid w:val="00FB2125"/>
    <w:rsid w:val="00FB227F"/>
    <w:rsid w:val="00FB3AC1"/>
    <w:rsid w:val="00FB44F2"/>
    <w:rsid w:val="00FB4CE2"/>
    <w:rsid w:val="00FB50FA"/>
    <w:rsid w:val="00FB67BC"/>
    <w:rsid w:val="00FB6EBF"/>
    <w:rsid w:val="00FB7798"/>
    <w:rsid w:val="00FB7915"/>
    <w:rsid w:val="00FB7DD4"/>
    <w:rsid w:val="00FC0D08"/>
    <w:rsid w:val="00FC0D4F"/>
    <w:rsid w:val="00FC0E06"/>
    <w:rsid w:val="00FC2235"/>
    <w:rsid w:val="00FC2785"/>
    <w:rsid w:val="00FC27C9"/>
    <w:rsid w:val="00FC327D"/>
    <w:rsid w:val="00FC3383"/>
    <w:rsid w:val="00FC3612"/>
    <w:rsid w:val="00FC380E"/>
    <w:rsid w:val="00FC3EAE"/>
    <w:rsid w:val="00FC498A"/>
    <w:rsid w:val="00FC68B0"/>
    <w:rsid w:val="00FC6CF8"/>
    <w:rsid w:val="00FC6DC9"/>
    <w:rsid w:val="00FC6E2B"/>
    <w:rsid w:val="00FC6E39"/>
    <w:rsid w:val="00FC709E"/>
    <w:rsid w:val="00FC70C2"/>
    <w:rsid w:val="00FD03BD"/>
    <w:rsid w:val="00FD0B46"/>
    <w:rsid w:val="00FD0B81"/>
    <w:rsid w:val="00FD13AF"/>
    <w:rsid w:val="00FD1AC9"/>
    <w:rsid w:val="00FD1CCC"/>
    <w:rsid w:val="00FD1DBB"/>
    <w:rsid w:val="00FD2A07"/>
    <w:rsid w:val="00FD2D48"/>
    <w:rsid w:val="00FD2E75"/>
    <w:rsid w:val="00FD300B"/>
    <w:rsid w:val="00FD311F"/>
    <w:rsid w:val="00FD373B"/>
    <w:rsid w:val="00FD3882"/>
    <w:rsid w:val="00FD3D95"/>
    <w:rsid w:val="00FD41AF"/>
    <w:rsid w:val="00FD496D"/>
    <w:rsid w:val="00FD4FCF"/>
    <w:rsid w:val="00FD5560"/>
    <w:rsid w:val="00FD5D70"/>
    <w:rsid w:val="00FD5DEE"/>
    <w:rsid w:val="00FD689F"/>
    <w:rsid w:val="00FD6A9D"/>
    <w:rsid w:val="00FD6B29"/>
    <w:rsid w:val="00FD78B1"/>
    <w:rsid w:val="00FD7C68"/>
    <w:rsid w:val="00FE123E"/>
    <w:rsid w:val="00FE1D02"/>
    <w:rsid w:val="00FE1E49"/>
    <w:rsid w:val="00FE20C4"/>
    <w:rsid w:val="00FE2B45"/>
    <w:rsid w:val="00FE2C03"/>
    <w:rsid w:val="00FE2C69"/>
    <w:rsid w:val="00FE2D0D"/>
    <w:rsid w:val="00FE3234"/>
    <w:rsid w:val="00FE41E9"/>
    <w:rsid w:val="00FE4A36"/>
    <w:rsid w:val="00FE55D1"/>
    <w:rsid w:val="00FE5E92"/>
    <w:rsid w:val="00FE637B"/>
    <w:rsid w:val="00FE6681"/>
    <w:rsid w:val="00FE7650"/>
    <w:rsid w:val="00FE7D49"/>
    <w:rsid w:val="00FF0700"/>
    <w:rsid w:val="00FF0981"/>
    <w:rsid w:val="00FF1B76"/>
    <w:rsid w:val="00FF1C4C"/>
    <w:rsid w:val="00FF1F54"/>
    <w:rsid w:val="00FF21E3"/>
    <w:rsid w:val="00FF3702"/>
    <w:rsid w:val="00FF4A5F"/>
    <w:rsid w:val="00FF4EFE"/>
    <w:rsid w:val="00FF5DBE"/>
    <w:rsid w:val="00FF6537"/>
    <w:rsid w:val="00FF6776"/>
    <w:rsid w:val="00FF6B4E"/>
    <w:rsid w:val="00FF6D92"/>
    <w:rsid w:val="00FF7631"/>
    <w:rsid w:val="00FF7B7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3DFC41"/>
  <w15:docId w15:val="{351499B4-A0D5-49C3-8CA3-78837A824D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iPriority="0"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3709B"/>
    <w:pPr>
      <w:spacing w:after="0" w:line="240" w:lineRule="auto"/>
    </w:pPr>
    <w:rPr>
      <w:rFonts w:ascii="Times New Roman" w:eastAsia="Times New Roman" w:hAnsi="Times New Roman" w:cs="Times New Roman"/>
      <w:sz w:val="24"/>
      <w:szCs w:val="24"/>
    </w:rPr>
  </w:style>
  <w:style w:type="paragraph" w:styleId="Heading1">
    <w:name w:val="heading 1"/>
    <w:aliases w:val="Заглавие 1 Знак,Заглавие 1 Знак2 Знак,Заглавие 1 Знак2"/>
    <w:basedOn w:val="Normal"/>
    <w:next w:val="Normal"/>
    <w:link w:val="Heading1Char"/>
    <w:uiPriority w:val="9"/>
    <w:qFormat/>
    <w:rsid w:val="0009502F"/>
    <w:pPr>
      <w:keepNext/>
      <w:keepLines/>
      <w:spacing w:before="480"/>
      <w:outlineLvl w:val="0"/>
    </w:pPr>
    <w:rPr>
      <w:rFonts w:ascii="Cambria" w:eastAsia="SimSun" w:hAnsi="Cambria"/>
      <w:b/>
      <w:bCs/>
      <w:color w:val="365F91"/>
      <w:sz w:val="28"/>
      <w:szCs w:val="28"/>
    </w:rPr>
  </w:style>
  <w:style w:type="paragraph" w:styleId="Heading2">
    <w:name w:val="heading 2"/>
    <w:basedOn w:val="Normal"/>
    <w:next w:val="Normal"/>
    <w:link w:val="Heading2Char"/>
    <w:uiPriority w:val="9"/>
    <w:qFormat/>
    <w:rsid w:val="002E222D"/>
    <w:pPr>
      <w:keepNext/>
      <w:outlineLvl w:val="1"/>
    </w:pPr>
    <w:rPr>
      <w:b/>
      <w:bCs/>
      <w:i/>
      <w:iCs/>
      <w:lang w:val="bg-BG"/>
    </w:rPr>
  </w:style>
  <w:style w:type="paragraph" w:styleId="Heading3">
    <w:name w:val="heading 3"/>
    <w:basedOn w:val="Normal"/>
    <w:next w:val="Normal"/>
    <w:link w:val="Heading3Char"/>
    <w:uiPriority w:val="99"/>
    <w:unhideWhenUsed/>
    <w:qFormat/>
    <w:rsid w:val="00E05F00"/>
    <w:pPr>
      <w:keepNext/>
      <w:keepLines/>
      <w:spacing w:before="200"/>
      <w:outlineLvl w:val="2"/>
    </w:pPr>
    <w:rPr>
      <w:rFonts w:asciiTheme="majorHAnsi" w:eastAsiaTheme="majorEastAsia" w:hAnsiTheme="majorHAnsi" w:cstheme="majorBidi"/>
      <w:b/>
      <w:bCs/>
      <w:color w:val="DDDDDD" w:themeColor="accent1"/>
      <w:sz w:val="20"/>
      <w:szCs w:val="20"/>
    </w:rPr>
  </w:style>
  <w:style w:type="paragraph" w:styleId="Heading4">
    <w:name w:val="heading 4"/>
    <w:aliases w:val="Tabel"/>
    <w:basedOn w:val="Normal"/>
    <w:next w:val="Normal"/>
    <w:link w:val="Heading4Char"/>
    <w:uiPriority w:val="99"/>
    <w:unhideWhenUsed/>
    <w:qFormat/>
    <w:rsid w:val="00EA01C3"/>
    <w:pPr>
      <w:keepNext/>
      <w:keepLines/>
      <w:spacing w:before="200"/>
      <w:outlineLvl w:val="3"/>
    </w:pPr>
    <w:rPr>
      <w:rFonts w:asciiTheme="majorHAnsi" w:eastAsiaTheme="majorEastAsia" w:hAnsiTheme="majorHAnsi" w:cstheme="majorBidi"/>
      <w:b/>
      <w:bCs/>
      <w:i/>
      <w:iCs/>
      <w:color w:val="DDDDDD" w:themeColor="accent1"/>
    </w:rPr>
  </w:style>
  <w:style w:type="paragraph" w:styleId="Heading5">
    <w:name w:val="heading 5"/>
    <w:basedOn w:val="Normal"/>
    <w:next w:val="Normal"/>
    <w:link w:val="Heading5Char"/>
    <w:uiPriority w:val="99"/>
    <w:qFormat/>
    <w:rsid w:val="00E05F00"/>
    <w:pPr>
      <w:spacing w:before="240" w:after="60"/>
      <w:outlineLvl w:val="4"/>
    </w:pPr>
    <w:rPr>
      <w:b/>
      <w:bCs/>
      <w:i/>
      <w:iCs/>
      <w:noProof/>
      <w:sz w:val="26"/>
      <w:szCs w:val="26"/>
    </w:rPr>
  </w:style>
  <w:style w:type="paragraph" w:styleId="Heading6">
    <w:name w:val="heading 6"/>
    <w:basedOn w:val="Normal"/>
    <w:next w:val="Normal"/>
    <w:link w:val="Heading6Char"/>
    <w:uiPriority w:val="99"/>
    <w:qFormat/>
    <w:rsid w:val="002E222D"/>
    <w:pPr>
      <w:keepNext/>
      <w:jc w:val="both"/>
      <w:outlineLvl w:val="5"/>
    </w:pPr>
    <w:rPr>
      <w:rFonts w:ascii="Arial" w:hAnsi="Arial"/>
      <w:b/>
      <w:szCs w:val="20"/>
      <w:lang w:val="bg-BG" w:eastAsia="bg-BG"/>
    </w:rPr>
  </w:style>
  <w:style w:type="paragraph" w:styleId="Heading7">
    <w:name w:val="heading 7"/>
    <w:basedOn w:val="Normal"/>
    <w:next w:val="Normal"/>
    <w:link w:val="Heading7Char"/>
    <w:uiPriority w:val="99"/>
    <w:qFormat/>
    <w:rsid w:val="002E222D"/>
    <w:pPr>
      <w:keepNext/>
      <w:jc w:val="center"/>
      <w:outlineLvl w:val="6"/>
    </w:pPr>
    <w:rPr>
      <w:rFonts w:ascii="Arial" w:hAnsi="Arial"/>
      <w:b/>
      <w:snapToGrid w:val="0"/>
      <w:color w:val="000000"/>
      <w:szCs w:val="20"/>
      <w:lang w:val="bg-BG" w:eastAsia="bg-BG"/>
    </w:rPr>
  </w:style>
  <w:style w:type="paragraph" w:styleId="Heading8">
    <w:name w:val="heading 8"/>
    <w:basedOn w:val="Normal"/>
    <w:next w:val="Normal"/>
    <w:link w:val="Heading8Char"/>
    <w:uiPriority w:val="99"/>
    <w:qFormat/>
    <w:rsid w:val="002E222D"/>
    <w:pPr>
      <w:spacing w:before="240" w:after="60"/>
      <w:outlineLvl w:val="7"/>
    </w:pPr>
    <w:rPr>
      <w:i/>
      <w:iCs/>
      <w:lang w:val="bg-BG" w:eastAsia="bg-BG"/>
    </w:rPr>
  </w:style>
  <w:style w:type="paragraph" w:styleId="Heading9">
    <w:name w:val="heading 9"/>
    <w:basedOn w:val="Normal"/>
    <w:next w:val="Normal"/>
    <w:link w:val="Heading9Char"/>
    <w:uiPriority w:val="99"/>
    <w:qFormat/>
    <w:rsid w:val="002E222D"/>
    <w:pPr>
      <w:spacing w:before="240" w:after="60"/>
      <w:outlineLvl w:val="8"/>
    </w:pPr>
    <w:rPr>
      <w:rFonts w:ascii="Arial" w:hAnsi="Arial" w:cs="Arial"/>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Заглавие 1 Знак Char,Заглавие 1 Знак2 Знак Char,Заглавие 1 Знак2 Char"/>
    <w:basedOn w:val="DefaultParagraphFont"/>
    <w:link w:val="Heading1"/>
    <w:uiPriority w:val="9"/>
    <w:rsid w:val="0009502F"/>
    <w:rPr>
      <w:rFonts w:ascii="Cambria" w:eastAsia="SimSun" w:hAnsi="Cambria" w:cs="Times New Roman"/>
      <w:b/>
      <w:bCs/>
      <w:color w:val="365F91"/>
      <w:sz w:val="28"/>
      <w:szCs w:val="28"/>
    </w:rPr>
  </w:style>
  <w:style w:type="paragraph" w:styleId="BalloonText">
    <w:name w:val="Balloon Text"/>
    <w:basedOn w:val="Normal"/>
    <w:link w:val="BalloonTextChar"/>
    <w:uiPriority w:val="99"/>
    <w:unhideWhenUsed/>
    <w:rsid w:val="0009502F"/>
    <w:rPr>
      <w:rFonts w:ascii="Tahoma" w:hAnsi="Tahoma" w:cs="Tahoma"/>
      <w:sz w:val="16"/>
      <w:szCs w:val="16"/>
    </w:rPr>
  </w:style>
  <w:style w:type="character" w:customStyle="1" w:styleId="BalloonTextChar">
    <w:name w:val="Balloon Text Char"/>
    <w:basedOn w:val="DefaultParagraphFont"/>
    <w:link w:val="BalloonText"/>
    <w:uiPriority w:val="99"/>
    <w:rsid w:val="0009502F"/>
    <w:rPr>
      <w:rFonts w:ascii="Tahoma" w:eastAsia="Calibri" w:hAnsi="Tahoma" w:cs="Tahoma"/>
      <w:sz w:val="16"/>
      <w:szCs w:val="16"/>
    </w:rPr>
  </w:style>
  <w:style w:type="paragraph" w:styleId="FootnoteText">
    <w:name w:val="footnote text"/>
    <w:aliases w:val="Fußnotentext arial,Footnote Text Char Char Char Char Char Char,fn,single space,FOOTNOTES,Footnote Text Char Char,ft,Texto nota pie Car,Footnote Text Char1,Fußnotentext Char,ALTS FOOTNOTE,ADB,pod carou,Footnote text,Schriftart: 9 pt,f,A"/>
    <w:basedOn w:val="Normal"/>
    <w:link w:val="FootnoteTextChar"/>
    <w:qFormat/>
    <w:rsid w:val="00C86867"/>
    <w:rPr>
      <w:sz w:val="20"/>
      <w:szCs w:val="20"/>
      <w:lang w:val="bg-BG" w:eastAsia="bg-BG"/>
    </w:rPr>
  </w:style>
  <w:style w:type="character" w:customStyle="1" w:styleId="FootnoteTextChar">
    <w:name w:val="Footnote Text Char"/>
    <w:aliases w:val="Fußnotentext arial Char,Footnote Text Char Char Char Char Char Char Char1,fn Char1,single space Char1,FOOTNOTES Char1,Footnote Text Char Char Char1,ft Char1,Texto nota pie Car Char1,Footnote Text Char1 Char1,Fußnotentext Char Char1"/>
    <w:basedOn w:val="DefaultParagraphFont"/>
    <w:link w:val="FootnoteText"/>
    <w:rsid w:val="00C86867"/>
    <w:rPr>
      <w:rFonts w:ascii="Times New Roman" w:eastAsia="Times New Roman" w:hAnsi="Times New Roman" w:cs="Times New Roman"/>
      <w:sz w:val="20"/>
      <w:szCs w:val="20"/>
      <w:lang w:val="bg-BG" w:eastAsia="bg-BG"/>
    </w:rPr>
  </w:style>
  <w:style w:type="character" w:styleId="FootnoteReference">
    <w:name w:val="footnote reference"/>
    <w:aliases w:val="Footnote,Footnote symbol,Char1 Char Char Char Char,Times 10 Point,Exposant 3 Point,Appel note de bas de p,SUPERS,Nota,(NECG) Footnote Reference,Voetnootverwijzing,Footnote Reference Superscript,BVI fnr,ftre,ftref,16 Point"/>
    <w:rsid w:val="00C86867"/>
    <w:rPr>
      <w:vertAlign w:val="superscript"/>
    </w:rPr>
  </w:style>
  <w:style w:type="paragraph" w:customStyle="1" w:styleId="CharChar6CharCharCharChar">
    <w:name w:val="Char Char6 Char Char Char Char"/>
    <w:basedOn w:val="Normal"/>
    <w:rsid w:val="00C86867"/>
    <w:pPr>
      <w:tabs>
        <w:tab w:val="left" w:pos="709"/>
      </w:tabs>
    </w:pPr>
    <w:rPr>
      <w:rFonts w:ascii="Tahoma" w:hAnsi="Tahoma" w:cs="Tahoma"/>
      <w:lang w:val="pl-PL" w:eastAsia="pl-PL"/>
    </w:rPr>
  </w:style>
  <w:style w:type="paragraph" w:customStyle="1" w:styleId="CharChar6CharCharCharChar0">
    <w:name w:val="Char Char6 Char Char Char Char"/>
    <w:basedOn w:val="Normal"/>
    <w:rsid w:val="00D75862"/>
    <w:pPr>
      <w:tabs>
        <w:tab w:val="left" w:pos="709"/>
      </w:tabs>
    </w:pPr>
    <w:rPr>
      <w:rFonts w:ascii="Tahoma" w:hAnsi="Tahoma" w:cs="Tahoma"/>
      <w:lang w:val="pl-PL" w:eastAsia="pl-PL"/>
    </w:rPr>
  </w:style>
  <w:style w:type="paragraph" w:styleId="TOCHeading">
    <w:name w:val="TOC Heading"/>
    <w:basedOn w:val="Heading1"/>
    <w:next w:val="Normal"/>
    <w:uiPriority w:val="99"/>
    <w:unhideWhenUsed/>
    <w:qFormat/>
    <w:rsid w:val="0047339E"/>
    <w:pPr>
      <w:outlineLvl w:val="9"/>
    </w:pPr>
    <w:rPr>
      <w:rFonts w:asciiTheme="majorHAnsi" w:eastAsiaTheme="majorEastAsia" w:hAnsiTheme="majorHAnsi" w:cstheme="majorBidi"/>
      <w:color w:val="A5A5A5" w:themeColor="accent1" w:themeShade="BF"/>
      <w:lang w:eastAsia="ja-JP"/>
    </w:rPr>
  </w:style>
  <w:style w:type="paragraph" w:styleId="TOC1">
    <w:name w:val="toc 1"/>
    <w:basedOn w:val="Normal"/>
    <w:next w:val="Normal"/>
    <w:autoRedefine/>
    <w:uiPriority w:val="39"/>
    <w:unhideWhenUsed/>
    <w:qFormat/>
    <w:rsid w:val="00E54D0F"/>
    <w:pPr>
      <w:keepNext/>
      <w:tabs>
        <w:tab w:val="left" w:pos="660"/>
        <w:tab w:val="right" w:leader="dot" w:pos="9792"/>
      </w:tabs>
      <w:spacing w:after="100"/>
    </w:pPr>
  </w:style>
  <w:style w:type="character" w:styleId="Hyperlink">
    <w:name w:val="Hyperlink"/>
    <w:basedOn w:val="DefaultParagraphFont"/>
    <w:uiPriority w:val="99"/>
    <w:unhideWhenUsed/>
    <w:rsid w:val="0047339E"/>
    <w:rPr>
      <w:color w:val="5F5F5F" w:themeColor="hyperlink"/>
      <w:u w:val="single"/>
    </w:rPr>
  </w:style>
  <w:style w:type="paragraph" w:styleId="TOC2">
    <w:name w:val="toc 2"/>
    <w:basedOn w:val="Normal"/>
    <w:next w:val="Normal"/>
    <w:autoRedefine/>
    <w:uiPriority w:val="39"/>
    <w:unhideWhenUsed/>
    <w:qFormat/>
    <w:rsid w:val="0047339E"/>
    <w:pPr>
      <w:spacing w:after="100"/>
      <w:ind w:left="220"/>
    </w:pPr>
    <w:rPr>
      <w:rFonts w:asciiTheme="minorHAnsi" w:eastAsiaTheme="minorEastAsia" w:hAnsiTheme="minorHAnsi" w:cstheme="minorBidi"/>
      <w:lang w:eastAsia="ja-JP"/>
    </w:rPr>
  </w:style>
  <w:style w:type="paragraph" w:styleId="TOC3">
    <w:name w:val="toc 3"/>
    <w:basedOn w:val="Normal"/>
    <w:next w:val="Normal"/>
    <w:autoRedefine/>
    <w:uiPriority w:val="39"/>
    <w:unhideWhenUsed/>
    <w:qFormat/>
    <w:rsid w:val="0047339E"/>
    <w:pPr>
      <w:spacing w:after="100"/>
      <w:ind w:left="440"/>
    </w:pPr>
    <w:rPr>
      <w:rFonts w:asciiTheme="minorHAnsi" w:eastAsiaTheme="minorEastAsia" w:hAnsiTheme="minorHAnsi" w:cstheme="minorBidi"/>
      <w:lang w:eastAsia="ja-JP"/>
    </w:rPr>
  </w:style>
  <w:style w:type="paragraph" w:styleId="ListParagraph">
    <w:name w:val="List Paragraph"/>
    <w:aliases w:val="List1,List Paragraph11,bullet2,Гл точки,Style 1,C 1,Normal List,Endnote,Indent,ПАРАГРАФ,Colorful List - Accent 11,List Paragraph111,List Paragraph1111"/>
    <w:basedOn w:val="Normal"/>
    <w:uiPriority w:val="34"/>
    <w:qFormat/>
    <w:rsid w:val="000819FD"/>
    <w:pPr>
      <w:ind w:left="720"/>
      <w:contextualSpacing/>
    </w:pPr>
  </w:style>
  <w:style w:type="paragraph" w:styleId="BodyTextIndent">
    <w:name w:val="Body Text Indent"/>
    <w:basedOn w:val="Normal"/>
    <w:link w:val="BodyTextIndentChar"/>
    <w:rsid w:val="00974BEA"/>
    <w:pPr>
      <w:spacing w:after="120"/>
      <w:ind w:left="283"/>
    </w:pPr>
    <w:rPr>
      <w:lang w:val="bg-BG" w:eastAsia="bg-BG"/>
    </w:rPr>
  </w:style>
  <w:style w:type="character" w:customStyle="1" w:styleId="BodyTextIndentChar">
    <w:name w:val="Body Text Indent Char"/>
    <w:basedOn w:val="DefaultParagraphFont"/>
    <w:link w:val="BodyTextIndent"/>
    <w:rsid w:val="00974BEA"/>
    <w:rPr>
      <w:rFonts w:ascii="Times New Roman" w:eastAsia="Times New Roman" w:hAnsi="Times New Roman" w:cs="Times New Roman"/>
      <w:sz w:val="24"/>
      <w:szCs w:val="24"/>
      <w:lang w:val="bg-BG" w:eastAsia="bg-BG"/>
    </w:rPr>
  </w:style>
  <w:style w:type="numbering" w:customStyle="1" w:styleId="NoList1">
    <w:name w:val="No List1"/>
    <w:next w:val="NoList"/>
    <w:uiPriority w:val="99"/>
    <w:semiHidden/>
    <w:rsid w:val="0019107F"/>
  </w:style>
  <w:style w:type="paragraph" w:styleId="BodyText">
    <w:name w:val="Body Text"/>
    <w:aliases w:val="block style,Body,by,Text"/>
    <w:basedOn w:val="Normal"/>
    <w:link w:val="BodyTextChar"/>
    <w:rsid w:val="0019107F"/>
    <w:rPr>
      <w:szCs w:val="20"/>
      <w:lang w:val="bg-BG" w:eastAsia="bg-BG"/>
    </w:rPr>
  </w:style>
  <w:style w:type="character" w:customStyle="1" w:styleId="BodyTextChar">
    <w:name w:val="Body Text Char"/>
    <w:aliases w:val="block style Char,Body Char,by Char,Text Char"/>
    <w:basedOn w:val="DefaultParagraphFont"/>
    <w:link w:val="BodyText"/>
    <w:uiPriority w:val="99"/>
    <w:rsid w:val="0019107F"/>
    <w:rPr>
      <w:rFonts w:ascii="Times New Roman" w:eastAsia="Times New Roman" w:hAnsi="Times New Roman" w:cs="Times New Roman"/>
      <w:sz w:val="24"/>
      <w:szCs w:val="20"/>
      <w:lang w:val="bg-BG" w:eastAsia="bg-BG"/>
    </w:rPr>
  </w:style>
  <w:style w:type="paragraph" w:styleId="BodyText3">
    <w:name w:val="Body Text 3"/>
    <w:basedOn w:val="Normal"/>
    <w:link w:val="BodyText3Char"/>
    <w:rsid w:val="0019107F"/>
    <w:pPr>
      <w:spacing w:after="120"/>
    </w:pPr>
    <w:rPr>
      <w:sz w:val="16"/>
      <w:szCs w:val="16"/>
      <w:lang w:val="bg-BG" w:eastAsia="bg-BG"/>
    </w:rPr>
  </w:style>
  <w:style w:type="character" w:customStyle="1" w:styleId="BodyText3Char">
    <w:name w:val="Body Text 3 Char"/>
    <w:basedOn w:val="DefaultParagraphFont"/>
    <w:link w:val="BodyText3"/>
    <w:uiPriority w:val="99"/>
    <w:rsid w:val="0019107F"/>
    <w:rPr>
      <w:rFonts w:ascii="Times New Roman" w:eastAsia="Times New Roman" w:hAnsi="Times New Roman" w:cs="Times New Roman"/>
      <w:sz w:val="16"/>
      <w:szCs w:val="16"/>
      <w:lang w:val="bg-BG" w:eastAsia="bg-BG"/>
    </w:rPr>
  </w:style>
  <w:style w:type="paragraph" w:styleId="Footer">
    <w:name w:val="footer"/>
    <w:basedOn w:val="Normal"/>
    <w:link w:val="FooterChar"/>
    <w:rsid w:val="0019107F"/>
    <w:pPr>
      <w:tabs>
        <w:tab w:val="center" w:pos="4536"/>
        <w:tab w:val="right" w:pos="9072"/>
      </w:tabs>
    </w:pPr>
    <w:rPr>
      <w:sz w:val="28"/>
      <w:szCs w:val="20"/>
      <w:lang w:val="bg-BG" w:eastAsia="bg-BG"/>
    </w:rPr>
  </w:style>
  <w:style w:type="character" w:customStyle="1" w:styleId="FooterChar">
    <w:name w:val="Footer Char"/>
    <w:basedOn w:val="DefaultParagraphFont"/>
    <w:link w:val="Footer"/>
    <w:rsid w:val="0019107F"/>
    <w:rPr>
      <w:rFonts w:ascii="Times New Roman" w:eastAsia="Times New Roman" w:hAnsi="Times New Roman" w:cs="Times New Roman"/>
      <w:sz w:val="28"/>
      <w:szCs w:val="20"/>
      <w:lang w:val="bg-BG" w:eastAsia="bg-BG"/>
    </w:rPr>
  </w:style>
  <w:style w:type="paragraph" w:customStyle="1" w:styleId="Default">
    <w:name w:val="Default"/>
    <w:link w:val="DefaultChar"/>
    <w:rsid w:val="0019107F"/>
    <w:pPr>
      <w:autoSpaceDE w:val="0"/>
      <w:autoSpaceDN w:val="0"/>
      <w:adjustRightInd w:val="0"/>
      <w:spacing w:after="0" w:line="240" w:lineRule="auto"/>
    </w:pPr>
    <w:rPr>
      <w:rFonts w:ascii="Times New Roman" w:eastAsia="Times New Roman" w:hAnsi="Times New Roman" w:cs="Times New Roman"/>
      <w:color w:val="000000"/>
      <w:sz w:val="24"/>
      <w:szCs w:val="24"/>
      <w:lang w:val="bg-BG" w:eastAsia="bg-BG"/>
    </w:rPr>
  </w:style>
  <w:style w:type="table" w:styleId="TableGrid">
    <w:name w:val="Table Grid"/>
    <w:basedOn w:val="TableNormal"/>
    <w:rsid w:val="0019107F"/>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rsid w:val="0019107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efaultChar">
    <w:name w:val="Default Char"/>
    <w:link w:val="Default"/>
    <w:rsid w:val="0019107F"/>
    <w:rPr>
      <w:rFonts w:ascii="Times New Roman" w:eastAsia="Times New Roman" w:hAnsi="Times New Roman" w:cs="Times New Roman"/>
      <w:color w:val="000000"/>
      <w:sz w:val="24"/>
      <w:szCs w:val="24"/>
      <w:lang w:val="bg-BG" w:eastAsia="bg-BG"/>
    </w:rPr>
  </w:style>
  <w:style w:type="paragraph" w:styleId="NormalWeb">
    <w:name w:val="Normal (Web)"/>
    <w:basedOn w:val="Normal"/>
    <w:uiPriority w:val="99"/>
    <w:rsid w:val="0019107F"/>
    <w:pPr>
      <w:spacing w:before="100" w:beforeAutospacing="1" w:after="100" w:afterAutospacing="1"/>
    </w:pPr>
    <w:rPr>
      <w:lang w:val="bg-BG" w:eastAsia="bg-BG"/>
    </w:rPr>
  </w:style>
  <w:style w:type="paragraph" w:styleId="Header">
    <w:name w:val="header"/>
    <w:aliases w:val=" Char9,Char9"/>
    <w:basedOn w:val="Normal"/>
    <w:link w:val="HeaderChar"/>
    <w:rsid w:val="0019107F"/>
    <w:pPr>
      <w:tabs>
        <w:tab w:val="center" w:pos="4703"/>
        <w:tab w:val="right" w:pos="9406"/>
      </w:tabs>
    </w:pPr>
    <w:rPr>
      <w:sz w:val="28"/>
      <w:szCs w:val="20"/>
      <w:lang w:val="bg-BG" w:eastAsia="bg-BG"/>
    </w:rPr>
  </w:style>
  <w:style w:type="character" w:customStyle="1" w:styleId="HeaderChar">
    <w:name w:val="Header Char"/>
    <w:aliases w:val=" Char9 Char,Char9 Char"/>
    <w:basedOn w:val="DefaultParagraphFont"/>
    <w:link w:val="Header"/>
    <w:rsid w:val="0019107F"/>
    <w:rPr>
      <w:rFonts w:ascii="Times New Roman" w:eastAsia="Times New Roman" w:hAnsi="Times New Roman" w:cs="Times New Roman"/>
      <w:sz w:val="28"/>
      <w:szCs w:val="20"/>
      <w:lang w:val="bg-BG" w:eastAsia="bg-BG"/>
    </w:rPr>
  </w:style>
  <w:style w:type="numbering" w:customStyle="1" w:styleId="NoList11">
    <w:name w:val="No List11"/>
    <w:next w:val="NoList"/>
    <w:uiPriority w:val="99"/>
    <w:semiHidden/>
    <w:unhideWhenUsed/>
    <w:rsid w:val="0019107F"/>
  </w:style>
  <w:style w:type="numbering" w:customStyle="1" w:styleId="NoList2">
    <w:name w:val="No List2"/>
    <w:next w:val="NoList"/>
    <w:uiPriority w:val="99"/>
    <w:semiHidden/>
    <w:unhideWhenUsed/>
    <w:rsid w:val="0019107F"/>
  </w:style>
  <w:style w:type="paragraph" w:customStyle="1" w:styleId="CharChar6CharCharCharChar1">
    <w:name w:val="Char Char6 Char Char Char Char"/>
    <w:basedOn w:val="Normal"/>
    <w:rsid w:val="0019107F"/>
    <w:pPr>
      <w:tabs>
        <w:tab w:val="left" w:pos="709"/>
      </w:tabs>
    </w:pPr>
    <w:rPr>
      <w:rFonts w:ascii="Tahoma" w:hAnsi="Tahoma" w:cs="Tahoma"/>
      <w:lang w:val="pl-PL" w:eastAsia="pl-PL"/>
    </w:rPr>
  </w:style>
  <w:style w:type="character" w:customStyle="1" w:styleId="Heading4Char">
    <w:name w:val="Heading 4 Char"/>
    <w:aliases w:val="Tabel Char"/>
    <w:basedOn w:val="DefaultParagraphFont"/>
    <w:link w:val="Heading4"/>
    <w:uiPriority w:val="99"/>
    <w:rsid w:val="00EA01C3"/>
    <w:rPr>
      <w:rFonts w:asciiTheme="majorHAnsi" w:eastAsiaTheme="majorEastAsia" w:hAnsiTheme="majorHAnsi" w:cstheme="majorBidi"/>
      <w:b/>
      <w:bCs/>
      <w:i/>
      <w:iCs/>
      <w:color w:val="DDDDDD" w:themeColor="accent1"/>
    </w:rPr>
  </w:style>
  <w:style w:type="paragraph" w:styleId="TOC4">
    <w:name w:val="toc 4"/>
    <w:basedOn w:val="Normal"/>
    <w:next w:val="Normal"/>
    <w:autoRedefine/>
    <w:uiPriority w:val="39"/>
    <w:unhideWhenUsed/>
    <w:rsid w:val="004F3A92"/>
    <w:pPr>
      <w:spacing w:after="100"/>
      <w:ind w:left="660"/>
    </w:pPr>
    <w:rPr>
      <w:rFonts w:asciiTheme="minorHAnsi" w:eastAsiaTheme="minorEastAsia" w:hAnsiTheme="minorHAnsi" w:cstheme="minorBidi"/>
    </w:rPr>
  </w:style>
  <w:style w:type="paragraph" w:styleId="TOC5">
    <w:name w:val="toc 5"/>
    <w:basedOn w:val="Normal"/>
    <w:next w:val="Normal"/>
    <w:autoRedefine/>
    <w:uiPriority w:val="39"/>
    <w:unhideWhenUsed/>
    <w:rsid w:val="004F3A92"/>
    <w:pPr>
      <w:spacing w:after="100"/>
      <w:ind w:left="880"/>
    </w:pPr>
    <w:rPr>
      <w:rFonts w:asciiTheme="minorHAnsi" w:eastAsiaTheme="minorEastAsia" w:hAnsiTheme="minorHAnsi" w:cstheme="minorBidi"/>
    </w:rPr>
  </w:style>
  <w:style w:type="paragraph" w:styleId="TOC6">
    <w:name w:val="toc 6"/>
    <w:basedOn w:val="Normal"/>
    <w:next w:val="Normal"/>
    <w:autoRedefine/>
    <w:uiPriority w:val="39"/>
    <w:unhideWhenUsed/>
    <w:rsid w:val="004F3A92"/>
    <w:pPr>
      <w:spacing w:after="100"/>
      <w:ind w:left="1100"/>
    </w:pPr>
    <w:rPr>
      <w:rFonts w:asciiTheme="minorHAnsi" w:eastAsiaTheme="minorEastAsia" w:hAnsiTheme="minorHAnsi" w:cstheme="minorBidi"/>
    </w:rPr>
  </w:style>
  <w:style w:type="paragraph" w:styleId="TOC7">
    <w:name w:val="toc 7"/>
    <w:basedOn w:val="Normal"/>
    <w:next w:val="Normal"/>
    <w:autoRedefine/>
    <w:uiPriority w:val="39"/>
    <w:unhideWhenUsed/>
    <w:rsid w:val="004F3A92"/>
    <w:pPr>
      <w:spacing w:after="100"/>
      <w:ind w:left="1320"/>
    </w:pPr>
    <w:rPr>
      <w:rFonts w:asciiTheme="minorHAnsi" w:eastAsiaTheme="minorEastAsia" w:hAnsiTheme="minorHAnsi" w:cstheme="minorBidi"/>
    </w:rPr>
  </w:style>
  <w:style w:type="paragraph" w:styleId="TOC8">
    <w:name w:val="toc 8"/>
    <w:basedOn w:val="Normal"/>
    <w:next w:val="Normal"/>
    <w:autoRedefine/>
    <w:uiPriority w:val="39"/>
    <w:unhideWhenUsed/>
    <w:rsid w:val="004F3A92"/>
    <w:pPr>
      <w:spacing w:after="100"/>
      <w:ind w:left="1540"/>
    </w:pPr>
    <w:rPr>
      <w:rFonts w:asciiTheme="minorHAnsi" w:eastAsiaTheme="minorEastAsia" w:hAnsiTheme="minorHAnsi" w:cstheme="minorBidi"/>
    </w:rPr>
  </w:style>
  <w:style w:type="paragraph" w:styleId="TOC9">
    <w:name w:val="toc 9"/>
    <w:basedOn w:val="Normal"/>
    <w:next w:val="Normal"/>
    <w:autoRedefine/>
    <w:uiPriority w:val="39"/>
    <w:unhideWhenUsed/>
    <w:rsid w:val="004F3A92"/>
    <w:pPr>
      <w:spacing w:after="100"/>
      <w:ind w:left="1760"/>
    </w:pPr>
    <w:rPr>
      <w:rFonts w:asciiTheme="minorHAnsi" w:eastAsiaTheme="minorEastAsia" w:hAnsiTheme="minorHAnsi" w:cstheme="minorBidi"/>
    </w:rPr>
  </w:style>
  <w:style w:type="character" w:customStyle="1" w:styleId="Heading3Char">
    <w:name w:val="Heading 3 Char"/>
    <w:basedOn w:val="DefaultParagraphFont"/>
    <w:link w:val="Heading3"/>
    <w:uiPriority w:val="99"/>
    <w:rsid w:val="00E05F00"/>
    <w:rPr>
      <w:rFonts w:asciiTheme="majorHAnsi" w:eastAsiaTheme="majorEastAsia" w:hAnsiTheme="majorHAnsi" w:cstheme="majorBidi"/>
      <w:b/>
      <w:bCs/>
      <w:color w:val="DDDDDD" w:themeColor="accent1"/>
      <w:sz w:val="20"/>
      <w:szCs w:val="20"/>
    </w:rPr>
  </w:style>
  <w:style w:type="character" w:customStyle="1" w:styleId="Heading5Char">
    <w:name w:val="Heading 5 Char"/>
    <w:basedOn w:val="DefaultParagraphFont"/>
    <w:link w:val="Heading5"/>
    <w:uiPriority w:val="99"/>
    <w:rsid w:val="00E05F00"/>
    <w:rPr>
      <w:rFonts w:ascii="Times New Roman" w:eastAsia="Times New Roman" w:hAnsi="Times New Roman" w:cs="Times New Roman"/>
      <w:b/>
      <w:bCs/>
      <w:i/>
      <w:iCs/>
      <w:noProof/>
      <w:sz w:val="26"/>
      <w:szCs w:val="26"/>
    </w:rPr>
  </w:style>
  <w:style w:type="numbering" w:customStyle="1" w:styleId="NoList3">
    <w:name w:val="No List3"/>
    <w:next w:val="NoList"/>
    <w:semiHidden/>
    <w:unhideWhenUsed/>
    <w:rsid w:val="00E05F00"/>
  </w:style>
  <w:style w:type="table" w:customStyle="1" w:styleId="TableGrid11">
    <w:name w:val="Table Grid11"/>
    <w:basedOn w:val="TableNormal"/>
    <w:next w:val="TableGrid"/>
    <w:rsid w:val="00E05F00"/>
    <w:pPr>
      <w:spacing w:after="0" w:line="240" w:lineRule="auto"/>
      <w:jc w:val="both"/>
    </w:pPr>
    <w:rPr>
      <w:rFonts w:ascii="Calibri" w:eastAsia="Calibri" w:hAnsi="Calibri" w:cs="Times New Roman"/>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E05F00"/>
    <w:pPr>
      <w:spacing w:after="0" w:line="240" w:lineRule="auto"/>
    </w:pPr>
    <w:rPr>
      <w:rFonts w:ascii="Verdana" w:eastAsia="Times New Roman" w:hAnsi="Verdana" w:cs="Times New Roman"/>
      <w:sz w:val="20"/>
      <w:szCs w:val="20"/>
      <w:lang w:val="bg-B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earch01">
    <w:name w:val="search01"/>
    <w:basedOn w:val="DefaultParagraphFont"/>
    <w:rsid w:val="00E05F00"/>
    <w:rPr>
      <w:shd w:val="clear" w:color="auto" w:fill="FFFF66"/>
    </w:rPr>
  </w:style>
  <w:style w:type="numbering" w:customStyle="1" w:styleId="NoList12">
    <w:name w:val="No List12"/>
    <w:next w:val="NoList"/>
    <w:semiHidden/>
    <w:rsid w:val="00E05F00"/>
  </w:style>
  <w:style w:type="paragraph" w:customStyle="1" w:styleId="Char">
    <w:name w:val="Char"/>
    <w:basedOn w:val="Normal"/>
    <w:rsid w:val="00E05F00"/>
    <w:pPr>
      <w:tabs>
        <w:tab w:val="left" w:pos="709"/>
      </w:tabs>
    </w:pPr>
    <w:rPr>
      <w:rFonts w:ascii="Tahoma" w:hAnsi="Tahoma"/>
      <w:lang w:val="pl-PL" w:eastAsia="pl-PL"/>
    </w:rPr>
  </w:style>
  <w:style w:type="paragraph" w:customStyle="1" w:styleId="CharChar">
    <w:name w:val="Char Char Знак"/>
    <w:basedOn w:val="Normal"/>
    <w:rsid w:val="00E05F00"/>
    <w:pPr>
      <w:spacing w:after="160" w:line="240" w:lineRule="exact"/>
    </w:pPr>
    <w:rPr>
      <w:rFonts w:ascii="Tahoma" w:hAnsi="Tahoma"/>
      <w:sz w:val="20"/>
      <w:szCs w:val="20"/>
    </w:rPr>
  </w:style>
  <w:style w:type="paragraph" w:customStyle="1" w:styleId="CharCharCharCharCharCharCharCharCharChar">
    <w:name w:val="Char Char Char Char Char Char Char Char Char Char"/>
    <w:basedOn w:val="Normal"/>
    <w:rsid w:val="00E05F00"/>
    <w:pPr>
      <w:tabs>
        <w:tab w:val="left" w:pos="709"/>
      </w:tabs>
    </w:pPr>
    <w:rPr>
      <w:rFonts w:ascii="Tahoma" w:hAnsi="Tahoma"/>
      <w:lang w:val="pl-PL" w:eastAsia="pl-PL"/>
    </w:rPr>
  </w:style>
  <w:style w:type="paragraph" w:customStyle="1" w:styleId="CharChar1CharChar">
    <w:name w:val="Char Char1 Знак Знак Char Char Знак Знак"/>
    <w:basedOn w:val="Normal"/>
    <w:rsid w:val="00E05F00"/>
    <w:pPr>
      <w:tabs>
        <w:tab w:val="left" w:pos="709"/>
      </w:tabs>
    </w:pPr>
    <w:rPr>
      <w:rFonts w:ascii="Tahoma" w:hAnsi="Tahoma"/>
      <w:lang w:val="pl-PL" w:eastAsia="pl-PL"/>
    </w:rPr>
  </w:style>
  <w:style w:type="paragraph" w:customStyle="1" w:styleId="a">
    <w:name w:val="Знак"/>
    <w:basedOn w:val="Normal"/>
    <w:uiPriority w:val="99"/>
    <w:rsid w:val="00E05F00"/>
    <w:pPr>
      <w:autoSpaceDE w:val="0"/>
      <w:autoSpaceDN w:val="0"/>
      <w:adjustRightInd w:val="0"/>
      <w:spacing w:after="160" w:line="240" w:lineRule="exact"/>
      <w:ind w:right="-470"/>
    </w:pPr>
    <w:rPr>
      <w:rFonts w:ascii="Tahoma" w:hAnsi="Tahoma"/>
      <w:sz w:val="20"/>
      <w:szCs w:val="20"/>
    </w:rPr>
  </w:style>
  <w:style w:type="character" w:styleId="Emphasis">
    <w:name w:val="Emphasis"/>
    <w:qFormat/>
    <w:rsid w:val="00E05F00"/>
    <w:rPr>
      <w:i/>
      <w:iCs/>
    </w:rPr>
  </w:style>
  <w:style w:type="paragraph" w:customStyle="1" w:styleId="Char0">
    <w:name w:val="Char Знак"/>
    <w:basedOn w:val="Normal"/>
    <w:rsid w:val="00E05F00"/>
    <w:pPr>
      <w:tabs>
        <w:tab w:val="left" w:pos="709"/>
      </w:tabs>
    </w:pPr>
    <w:rPr>
      <w:rFonts w:ascii="Tahoma" w:hAnsi="Tahoma"/>
      <w:lang w:val="pl-PL" w:eastAsia="pl-PL"/>
    </w:rPr>
  </w:style>
  <w:style w:type="paragraph" w:customStyle="1" w:styleId="Char11">
    <w:name w:val="Char11"/>
    <w:basedOn w:val="Normal"/>
    <w:rsid w:val="00E05F00"/>
    <w:pPr>
      <w:tabs>
        <w:tab w:val="left" w:pos="709"/>
      </w:tabs>
    </w:pPr>
    <w:rPr>
      <w:rFonts w:ascii="Tahoma" w:hAnsi="Tahoma"/>
      <w:lang w:val="pl-PL" w:eastAsia="pl-PL"/>
    </w:rPr>
  </w:style>
  <w:style w:type="paragraph" w:customStyle="1" w:styleId="CharChar0">
    <w:name w:val="Знак Char Char Знак"/>
    <w:basedOn w:val="Normal"/>
    <w:rsid w:val="00E05F00"/>
    <w:pPr>
      <w:tabs>
        <w:tab w:val="left" w:pos="709"/>
      </w:tabs>
    </w:pPr>
    <w:rPr>
      <w:rFonts w:ascii="Tahoma" w:hAnsi="Tahoma"/>
      <w:lang w:val="pl-PL" w:eastAsia="pl-PL"/>
    </w:rPr>
  </w:style>
  <w:style w:type="paragraph" w:customStyle="1" w:styleId="1">
    <w:name w:val="Знак Знак1"/>
    <w:basedOn w:val="Normal"/>
    <w:uiPriority w:val="99"/>
    <w:rsid w:val="00E05F00"/>
    <w:pPr>
      <w:tabs>
        <w:tab w:val="left" w:pos="709"/>
      </w:tabs>
    </w:pPr>
    <w:rPr>
      <w:rFonts w:ascii="Tahoma" w:hAnsi="Tahoma"/>
      <w:lang w:val="pl-PL" w:eastAsia="pl-PL"/>
    </w:rPr>
  </w:style>
  <w:style w:type="paragraph" w:customStyle="1" w:styleId="CM1">
    <w:name w:val="CM1"/>
    <w:basedOn w:val="Normal"/>
    <w:next w:val="Normal"/>
    <w:rsid w:val="00E05F00"/>
    <w:pPr>
      <w:autoSpaceDE w:val="0"/>
      <w:autoSpaceDN w:val="0"/>
      <w:adjustRightInd w:val="0"/>
    </w:pPr>
    <w:rPr>
      <w:rFonts w:ascii="EUAlbertina" w:hAnsi="EUAlbertina"/>
      <w:lang w:val="bg-BG" w:eastAsia="bg-BG"/>
    </w:rPr>
  </w:style>
  <w:style w:type="character" w:styleId="Strong">
    <w:name w:val="Strong"/>
    <w:uiPriority w:val="99"/>
    <w:qFormat/>
    <w:rsid w:val="00E05F00"/>
    <w:rPr>
      <w:b/>
      <w:bCs/>
    </w:rPr>
  </w:style>
  <w:style w:type="character" w:customStyle="1" w:styleId="FootnoteTextChar2">
    <w:name w:val="Footnote Text Char2"/>
    <w:aliases w:val="Footnote Text Char Char Char Char Char Char Char,fn Char,single space Char,FOOTNOTES Char,Footnote Text Char Char Char,ft Char,Footnote Char,Texto nota pie Car Char,Footnote Text Char1 Char,Fußnotentext Char Char,ALTS FOOTNOTE Char"/>
    <w:uiPriority w:val="99"/>
    <w:locked/>
    <w:rsid w:val="00E05F00"/>
    <w:rPr>
      <w:rFonts w:ascii="Times New Roman" w:eastAsia="Calibri" w:hAnsi="Times New Roman"/>
      <w:lang w:val="en-US" w:eastAsia="en-US"/>
    </w:rPr>
  </w:style>
  <w:style w:type="paragraph" w:customStyle="1" w:styleId="LisrPtext">
    <w:name w:val="Lisr P text"/>
    <w:basedOn w:val="ListParagraph"/>
    <w:link w:val="LisrPtextChar"/>
    <w:autoRedefine/>
    <w:qFormat/>
    <w:rsid w:val="00E05F00"/>
    <w:pPr>
      <w:numPr>
        <w:numId w:val="7"/>
      </w:numPr>
      <w:tabs>
        <w:tab w:val="left" w:pos="360"/>
      </w:tabs>
      <w:spacing w:before="240" w:after="160"/>
      <w:ind w:left="0" w:firstLine="0"/>
      <w:contextualSpacing w:val="0"/>
      <w:jc w:val="both"/>
    </w:pPr>
    <w:rPr>
      <w:lang w:val="bg-BG"/>
    </w:rPr>
  </w:style>
  <w:style w:type="character" w:customStyle="1" w:styleId="LisrPtextChar">
    <w:name w:val="Lisr P text Char"/>
    <w:link w:val="LisrPtext"/>
    <w:rsid w:val="00E05F00"/>
    <w:rPr>
      <w:rFonts w:ascii="Times New Roman" w:eastAsia="Times New Roman" w:hAnsi="Times New Roman" w:cs="Times New Roman"/>
      <w:sz w:val="24"/>
      <w:szCs w:val="24"/>
      <w:lang w:val="bg-BG"/>
    </w:rPr>
  </w:style>
  <w:style w:type="character" w:customStyle="1" w:styleId="apple-style-span">
    <w:name w:val="apple-style-span"/>
    <w:basedOn w:val="DefaultParagraphFont"/>
    <w:uiPriority w:val="99"/>
    <w:rsid w:val="00E05F00"/>
  </w:style>
  <w:style w:type="character" w:customStyle="1" w:styleId="Heading2Char">
    <w:name w:val="Heading 2 Char"/>
    <w:basedOn w:val="DefaultParagraphFont"/>
    <w:link w:val="Heading2"/>
    <w:uiPriority w:val="9"/>
    <w:rsid w:val="002E222D"/>
    <w:rPr>
      <w:rFonts w:ascii="Times New Roman" w:eastAsia="Times New Roman" w:hAnsi="Times New Roman" w:cs="Times New Roman"/>
      <w:b/>
      <w:bCs/>
      <w:i/>
      <w:iCs/>
      <w:sz w:val="24"/>
      <w:szCs w:val="24"/>
      <w:lang w:val="bg-BG"/>
    </w:rPr>
  </w:style>
  <w:style w:type="character" w:customStyle="1" w:styleId="Heading6Char">
    <w:name w:val="Heading 6 Char"/>
    <w:basedOn w:val="DefaultParagraphFont"/>
    <w:link w:val="Heading6"/>
    <w:uiPriority w:val="99"/>
    <w:rsid w:val="002E222D"/>
    <w:rPr>
      <w:rFonts w:ascii="Arial" w:eastAsia="Times New Roman" w:hAnsi="Arial" w:cs="Times New Roman"/>
      <w:b/>
      <w:sz w:val="24"/>
      <w:szCs w:val="20"/>
      <w:lang w:val="bg-BG" w:eastAsia="bg-BG"/>
    </w:rPr>
  </w:style>
  <w:style w:type="character" w:customStyle="1" w:styleId="Heading7Char">
    <w:name w:val="Heading 7 Char"/>
    <w:basedOn w:val="DefaultParagraphFont"/>
    <w:link w:val="Heading7"/>
    <w:uiPriority w:val="99"/>
    <w:rsid w:val="002E222D"/>
    <w:rPr>
      <w:rFonts w:ascii="Arial" w:eastAsia="Times New Roman" w:hAnsi="Arial" w:cs="Times New Roman"/>
      <w:b/>
      <w:snapToGrid w:val="0"/>
      <w:color w:val="000000"/>
      <w:sz w:val="24"/>
      <w:szCs w:val="20"/>
      <w:lang w:val="bg-BG" w:eastAsia="bg-BG"/>
    </w:rPr>
  </w:style>
  <w:style w:type="character" w:customStyle="1" w:styleId="Heading8Char">
    <w:name w:val="Heading 8 Char"/>
    <w:basedOn w:val="DefaultParagraphFont"/>
    <w:link w:val="Heading8"/>
    <w:uiPriority w:val="99"/>
    <w:rsid w:val="002E222D"/>
    <w:rPr>
      <w:rFonts w:ascii="Times New Roman" w:eastAsia="Times New Roman" w:hAnsi="Times New Roman" w:cs="Times New Roman"/>
      <w:i/>
      <w:iCs/>
      <w:sz w:val="24"/>
      <w:szCs w:val="24"/>
      <w:lang w:val="bg-BG" w:eastAsia="bg-BG"/>
    </w:rPr>
  </w:style>
  <w:style w:type="character" w:customStyle="1" w:styleId="Heading9Char">
    <w:name w:val="Heading 9 Char"/>
    <w:basedOn w:val="DefaultParagraphFont"/>
    <w:link w:val="Heading9"/>
    <w:uiPriority w:val="99"/>
    <w:rsid w:val="002E222D"/>
    <w:rPr>
      <w:rFonts w:ascii="Arial" w:eastAsia="Times New Roman" w:hAnsi="Arial" w:cs="Arial"/>
      <w:lang w:val="en-AU"/>
    </w:rPr>
  </w:style>
  <w:style w:type="numbering" w:customStyle="1" w:styleId="NoList4">
    <w:name w:val="No List4"/>
    <w:next w:val="NoList"/>
    <w:uiPriority w:val="99"/>
    <w:semiHidden/>
    <w:unhideWhenUsed/>
    <w:rsid w:val="002E222D"/>
  </w:style>
  <w:style w:type="numbering" w:customStyle="1" w:styleId="NoList13">
    <w:name w:val="No List13"/>
    <w:next w:val="NoList"/>
    <w:semiHidden/>
    <w:rsid w:val="002E222D"/>
  </w:style>
  <w:style w:type="table" w:customStyle="1" w:styleId="TableGrid3">
    <w:name w:val="Table Grid3"/>
    <w:basedOn w:val="TableNormal"/>
    <w:next w:val="TableGrid"/>
    <w:uiPriority w:val="99"/>
    <w:rsid w:val="002E222D"/>
    <w:pPr>
      <w:spacing w:after="0" w:line="240" w:lineRule="auto"/>
    </w:pPr>
    <w:rPr>
      <w:rFonts w:ascii="Times New Roman" w:eastAsia="Times New Roman" w:hAnsi="Times New Roman" w:cs="Times New Roman"/>
      <w:sz w:val="20"/>
      <w:szCs w:val="20"/>
      <w:lang w:val="bg-B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0">
    <w:name w:val="Знак Знак"/>
    <w:basedOn w:val="Normal"/>
    <w:uiPriority w:val="99"/>
    <w:rsid w:val="002E222D"/>
    <w:pPr>
      <w:tabs>
        <w:tab w:val="left" w:pos="709"/>
      </w:tabs>
    </w:pPr>
    <w:rPr>
      <w:rFonts w:ascii="Tahoma" w:hAnsi="Tahoma"/>
      <w:lang w:val="pl-PL" w:eastAsia="pl-PL"/>
    </w:rPr>
  </w:style>
  <w:style w:type="paragraph" w:customStyle="1" w:styleId="xl26">
    <w:name w:val="xl26"/>
    <w:basedOn w:val="Normal"/>
    <w:uiPriority w:val="99"/>
    <w:rsid w:val="002E222D"/>
    <w:pPr>
      <w:pBdr>
        <w:bottom w:val="single" w:sz="4" w:space="0" w:color="000000"/>
      </w:pBdr>
      <w:spacing w:before="100" w:beforeAutospacing="1" w:after="100" w:afterAutospacing="1"/>
      <w:jc w:val="center"/>
      <w:textAlignment w:val="top"/>
    </w:pPr>
    <w:rPr>
      <w:rFonts w:ascii="Hebar" w:hAnsi="Hebar"/>
      <w:b/>
      <w:bCs/>
      <w:lang w:val="en-GB"/>
    </w:rPr>
  </w:style>
  <w:style w:type="paragraph" w:customStyle="1" w:styleId="10">
    <w:name w:val="Знак Знак10"/>
    <w:basedOn w:val="Normal"/>
    <w:uiPriority w:val="99"/>
    <w:rsid w:val="002E222D"/>
    <w:pPr>
      <w:tabs>
        <w:tab w:val="left" w:pos="709"/>
      </w:tabs>
    </w:pPr>
    <w:rPr>
      <w:rFonts w:ascii="Tahoma" w:hAnsi="Tahoma"/>
      <w:lang w:val="pl-PL" w:eastAsia="pl-PL"/>
    </w:rPr>
  </w:style>
  <w:style w:type="paragraph" w:styleId="BodyTextIndent2">
    <w:name w:val="Body Text Indent 2"/>
    <w:basedOn w:val="Normal"/>
    <w:link w:val="BodyTextIndent2Char"/>
    <w:uiPriority w:val="99"/>
    <w:rsid w:val="002E222D"/>
    <w:pPr>
      <w:overflowPunct w:val="0"/>
      <w:autoSpaceDE w:val="0"/>
      <w:autoSpaceDN w:val="0"/>
      <w:adjustRightInd w:val="0"/>
      <w:spacing w:after="120" w:line="480" w:lineRule="auto"/>
      <w:ind w:left="283"/>
      <w:textAlignment w:val="baseline"/>
    </w:pPr>
    <w:rPr>
      <w:rFonts w:ascii="Sentry" w:hAnsi="Sentry"/>
      <w:szCs w:val="20"/>
    </w:rPr>
  </w:style>
  <w:style w:type="character" w:customStyle="1" w:styleId="BodyTextIndent2Char">
    <w:name w:val="Body Text Indent 2 Char"/>
    <w:basedOn w:val="DefaultParagraphFont"/>
    <w:link w:val="BodyTextIndent2"/>
    <w:uiPriority w:val="99"/>
    <w:rsid w:val="002E222D"/>
    <w:rPr>
      <w:rFonts w:ascii="Sentry" w:eastAsia="Times New Roman" w:hAnsi="Sentry" w:cs="Times New Roman"/>
      <w:sz w:val="24"/>
      <w:szCs w:val="20"/>
    </w:rPr>
  </w:style>
  <w:style w:type="paragraph" w:customStyle="1" w:styleId="CharCharCharCharCharCharCharCharChar">
    <w:name w:val="Char Char Char Char Char Char Char Char Char"/>
    <w:basedOn w:val="Normal"/>
    <w:uiPriority w:val="99"/>
    <w:rsid w:val="002E222D"/>
    <w:pPr>
      <w:tabs>
        <w:tab w:val="left" w:pos="709"/>
      </w:tabs>
    </w:pPr>
    <w:rPr>
      <w:rFonts w:ascii="Tahoma" w:hAnsi="Tahoma"/>
      <w:lang w:val="pl-PL" w:eastAsia="pl-PL"/>
    </w:rPr>
  </w:style>
  <w:style w:type="paragraph" w:styleId="BodyText2">
    <w:name w:val="Body Text 2"/>
    <w:basedOn w:val="Normal"/>
    <w:link w:val="BodyText2Char"/>
    <w:uiPriority w:val="99"/>
    <w:rsid w:val="002E222D"/>
    <w:pPr>
      <w:spacing w:after="120" w:line="480" w:lineRule="auto"/>
    </w:pPr>
    <w:rPr>
      <w:lang w:val="bg-BG" w:eastAsia="bg-BG"/>
    </w:rPr>
  </w:style>
  <w:style w:type="character" w:customStyle="1" w:styleId="BodyText2Char">
    <w:name w:val="Body Text 2 Char"/>
    <w:basedOn w:val="DefaultParagraphFont"/>
    <w:link w:val="BodyText2"/>
    <w:uiPriority w:val="99"/>
    <w:rsid w:val="002E222D"/>
    <w:rPr>
      <w:rFonts w:ascii="Times New Roman" w:eastAsia="Times New Roman" w:hAnsi="Times New Roman" w:cs="Times New Roman"/>
      <w:sz w:val="24"/>
      <w:szCs w:val="24"/>
      <w:lang w:val="bg-BG" w:eastAsia="bg-BG"/>
    </w:rPr>
  </w:style>
  <w:style w:type="paragraph" w:customStyle="1" w:styleId="CharCharCharCharChar">
    <w:name w:val="Char Знак Знак Char Char Char Char"/>
    <w:basedOn w:val="Normal"/>
    <w:uiPriority w:val="99"/>
    <w:rsid w:val="002E222D"/>
    <w:pPr>
      <w:tabs>
        <w:tab w:val="left" w:pos="709"/>
      </w:tabs>
    </w:pPr>
    <w:rPr>
      <w:rFonts w:ascii="Tahoma" w:hAnsi="Tahoma"/>
      <w:lang w:val="pl-PL" w:eastAsia="pl-PL"/>
    </w:rPr>
  </w:style>
  <w:style w:type="paragraph" w:styleId="BodyTextIndent3">
    <w:name w:val="Body Text Indent 3"/>
    <w:basedOn w:val="Normal"/>
    <w:link w:val="BodyTextIndent3Char"/>
    <w:uiPriority w:val="99"/>
    <w:rsid w:val="002E222D"/>
    <w:pPr>
      <w:spacing w:after="120"/>
      <w:ind w:left="283"/>
    </w:pPr>
    <w:rPr>
      <w:sz w:val="16"/>
      <w:szCs w:val="16"/>
      <w:lang w:val="en-GB"/>
    </w:rPr>
  </w:style>
  <w:style w:type="character" w:customStyle="1" w:styleId="BodyTextIndent3Char">
    <w:name w:val="Body Text Indent 3 Char"/>
    <w:basedOn w:val="DefaultParagraphFont"/>
    <w:link w:val="BodyTextIndent3"/>
    <w:uiPriority w:val="99"/>
    <w:rsid w:val="002E222D"/>
    <w:rPr>
      <w:rFonts w:ascii="Times New Roman" w:eastAsia="Times New Roman" w:hAnsi="Times New Roman" w:cs="Times New Roman"/>
      <w:sz w:val="16"/>
      <w:szCs w:val="16"/>
      <w:lang w:val="en-GB"/>
    </w:rPr>
  </w:style>
  <w:style w:type="paragraph" w:customStyle="1" w:styleId="BodyText21">
    <w:name w:val="Body Text 21"/>
    <w:basedOn w:val="Normal"/>
    <w:uiPriority w:val="99"/>
    <w:rsid w:val="002E222D"/>
    <w:pPr>
      <w:overflowPunct w:val="0"/>
      <w:autoSpaceDE w:val="0"/>
      <w:autoSpaceDN w:val="0"/>
      <w:adjustRightInd w:val="0"/>
      <w:jc w:val="both"/>
      <w:textAlignment w:val="baseline"/>
    </w:pPr>
    <w:rPr>
      <w:b/>
      <w:i/>
      <w:szCs w:val="20"/>
      <w:lang w:val="bg-BG" w:eastAsia="bg-BG"/>
    </w:rPr>
  </w:style>
  <w:style w:type="paragraph" w:styleId="Caption">
    <w:name w:val="caption"/>
    <w:basedOn w:val="Normal"/>
    <w:next w:val="Normal"/>
    <w:uiPriority w:val="99"/>
    <w:qFormat/>
    <w:rsid w:val="002E222D"/>
    <w:pPr>
      <w:ind w:left="3600" w:firstLine="720"/>
      <w:jc w:val="both"/>
    </w:pPr>
    <w:rPr>
      <w:bCs/>
      <w:i/>
      <w:lang w:val="bg-BG"/>
    </w:rPr>
  </w:style>
  <w:style w:type="paragraph" w:customStyle="1" w:styleId="Style">
    <w:name w:val="Style"/>
    <w:uiPriority w:val="99"/>
    <w:rsid w:val="002E222D"/>
    <w:pPr>
      <w:autoSpaceDE w:val="0"/>
      <w:autoSpaceDN w:val="0"/>
      <w:adjustRightInd w:val="0"/>
      <w:spacing w:after="0" w:line="240" w:lineRule="auto"/>
      <w:ind w:left="140" w:right="140" w:firstLine="840"/>
      <w:jc w:val="both"/>
    </w:pPr>
    <w:rPr>
      <w:rFonts w:ascii="Times New Roman" w:eastAsia="Times New Roman" w:hAnsi="Times New Roman" w:cs="Times New Roman"/>
      <w:sz w:val="24"/>
      <w:szCs w:val="24"/>
    </w:rPr>
  </w:style>
  <w:style w:type="paragraph" w:customStyle="1" w:styleId="Normalen">
    <w:name w:val="Normalen"/>
    <w:basedOn w:val="Normal"/>
    <w:uiPriority w:val="99"/>
    <w:rsid w:val="002E222D"/>
    <w:pPr>
      <w:widowControl w:val="0"/>
      <w:overflowPunct w:val="0"/>
      <w:autoSpaceDE w:val="0"/>
      <w:autoSpaceDN w:val="0"/>
      <w:adjustRightInd w:val="0"/>
      <w:spacing w:line="360" w:lineRule="auto"/>
      <w:textAlignment w:val="baseline"/>
    </w:pPr>
    <w:rPr>
      <w:rFonts w:ascii="TimokU" w:hAnsi="TimokU"/>
      <w:b/>
      <w:szCs w:val="20"/>
      <w:lang w:val="en-AU"/>
    </w:rPr>
  </w:style>
  <w:style w:type="paragraph" w:customStyle="1" w:styleId="CharCharChar">
    <w:name w:val="Char Char Char"/>
    <w:basedOn w:val="Normal"/>
    <w:link w:val="CharCharCharChar1"/>
    <w:rsid w:val="002E222D"/>
    <w:pPr>
      <w:tabs>
        <w:tab w:val="left" w:pos="709"/>
      </w:tabs>
    </w:pPr>
    <w:rPr>
      <w:rFonts w:ascii="Tahoma" w:hAnsi="Tahoma"/>
      <w:lang w:val="pl-PL" w:eastAsia="pl-PL"/>
    </w:rPr>
  </w:style>
  <w:style w:type="character" w:customStyle="1" w:styleId="CharCharCharChar1">
    <w:name w:val="Char Char Char Char1"/>
    <w:link w:val="CharCharChar"/>
    <w:rsid w:val="002E222D"/>
    <w:rPr>
      <w:rFonts w:ascii="Tahoma" w:eastAsia="Times New Roman" w:hAnsi="Tahoma" w:cs="Times New Roman"/>
      <w:sz w:val="24"/>
      <w:szCs w:val="24"/>
      <w:lang w:val="pl-PL" w:eastAsia="pl-PL"/>
    </w:rPr>
  </w:style>
  <w:style w:type="paragraph" w:customStyle="1" w:styleId="xl22">
    <w:name w:val="xl22"/>
    <w:basedOn w:val="Normal"/>
    <w:uiPriority w:val="99"/>
    <w:rsid w:val="002E222D"/>
    <w:pPr>
      <w:spacing w:before="100" w:beforeAutospacing="1" w:after="100" w:afterAutospacing="1"/>
    </w:pPr>
    <w:rPr>
      <w:rFonts w:ascii="Arial" w:hAnsi="Arial" w:cs="Arial"/>
      <w:lang w:val="en-GB"/>
    </w:rPr>
  </w:style>
  <w:style w:type="paragraph" w:customStyle="1" w:styleId="CharCharCharCharCharCharCharCharCharCharCharCharCharCharCharCharCharCharCharCharCharChar1CharCharCharChar">
    <w:name w:val="Char Char Char Char Char Char Char Char Char Char Char Char Char Char Char Char Char Char Char Char Char Char1 Char Char Char Char"/>
    <w:basedOn w:val="Normal"/>
    <w:uiPriority w:val="99"/>
    <w:rsid w:val="002E222D"/>
    <w:rPr>
      <w:lang w:val="pl-PL" w:eastAsia="pl-PL"/>
    </w:rPr>
  </w:style>
  <w:style w:type="paragraph" w:customStyle="1" w:styleId="xl33">
    <w:name w:val="xl33"/>
    <w:basedOn w:val="Normal"/>
    <w:uiPriority w:val="99"/>
    <w:rsid w:val="002E222D"/>
    <w:pPr>
      <w:spacing w:before="100" w:after="100"/>
    </w:pPr>
    <w:rPr>
      <w:rFonts w:ascii="Arial" w:hAnsi="Arial"/>
      <w:b/>
      <w:szCs w:val="20"/>
      <w:lang w:val="bg-BG"/>
    </w:rPr>
  </w:style>
  <w:style w:type="paragraph" w:customStyle="1" w:styleId="a1">
    <w:name w:val="Знак Знак Знак"/>
    <w:basedOn w:val="Normal"/>
    <w:uiPriority w:val="99"/>
    <w:rsid w:val="002E222D"/>
    <w:pPr>
      <w:tabs>
        <w:tab w:val="left" w:pos="709"/>
      </w:tabs>
    </w:pPr>
    <w:rPr>
      <w:rFonts w:ascii="Tahoma" w:hAnsi="Tahoma"/>
      <w:lang w:val="pl-PL" w:eastAsia="pl-PL"/>
    </w:rPr>
  </w:style>
  <w:style w:type="paragraph" w:customStyle="1" w:styleId="xl53">
    <w:name w:val="xl53"/>
    <w:basedOn w:val="Normal"/>
    <w:uiPriority w:val="99"/>
    <w:rsid w:val="002E222D"/>
    <w:pPr>
      <w:pBdr>
        <w:left w:val="single" w:sz="6" w:space="0" w:color="auto"/>
        <w:right w:val="single" w:sz="6" w:space="0" w:color="auto"/>
      </w:pBdr>
      <w:overflowPunct w:val="0"/>
      <w:autoSpaceDE w:val="0"/>
      <w:autoSpaceDN w:val="0"/>
      <w:adjustRightInd w:val="0"/>
      <w:spacing w:before="100" w:after="100"/>
      <w:jc w:val="center"/>
      <w:textAlignment w:val="baseline"/>
    </w:pPr>
    <w:rPr>
      <w:rFonts w:ascii="Arial" w:hAnsi="Arial"/>
      <w:b/>
      <w:szCs w:val="20"/>
      <w:lang w:eastAsia="bg-BG"/>
    </w:rPr>
  </w:style>
  <w:style w:type="paragraph" w:styleId="Title">
    <w:name w:val="Title"/>
    <w:basedOn w:val="Normal"/>
    <w:link w:val="TitleChar"/>
    <w:uiPriority w:val="99"/>
    <w:qFormat/>
    <w:rsid w:val="002E222D"/>
    <w:pPr>
      <w:widowControl w:val="0"/>
      <w:shd w:val="clear" w:color="auto" w:fill="FFFFFF"/>
      <w:autoSpaceDE w:val="0"/>
      <w:autoSpaceDN w:val="0"/>
      <w:adjustRightInd w:val="0"/>
      <w:spacing w:line="413" w:lineRule="exact"/>
      <w:ind w:left="14"/>
      <w:jc w:val="center"/>
    </w:pPr>
    <w:rPr>
      <w:b/>
      <w:bCs/>
      <w:color w:val="000000"/>
      <w:spacing w:val="-6"/>
      <w:szCs w:val="23"/>
      <w:lang w:val="bg-BG"/>
    </w:rPr>
  </w:style>
  <w:style w:type="character" w:customStyle="1" w:styleId="TitleChar">
    <w:name w:val="Title Char"/>
    <w:basedOn w:val="DefaultParagraphFont"/>
    <w:link w:val="Title"/>
    <w:uiPriority w:val="99"/>
    <w:rsid w:val="002E222D"/>
    <w:rPr>
      <w:rFonts w:ascii="Times New Roman" w:eastAsia="Times New Roman" w:hAnsi="Times New Roman" w:cs="Times New Roman"/>
      <w:b/>
      <w:bCs/>
      <w:color w:val="000000"/>
      <w:spacing w:val="-6"/>
      <w:sz w:val="24"/>
      <w:szCs w:val="23"/>
      <w:shd w:val="clear" w:color="auto" w:fill="FFFFFF"/>
      <w:lang w:val="bg-BG"/>
    </w:rPr>
  </w:style>
  <w:style w:type="paragraph" w:styleId="List2">
    <w:name w:val="List 2"/>
    <w:basedOn w:val="List"/>
    <w:uiPriority w:val="99"/>
    <w:rsid w:val="002E222D"/>
    <w:pPr>
      <w:tabs>
        <w:tab w:val="num" w:pos="180"/>
        <w:tab w:val="left" w:pos="2342"/>
        <w:tab w:val="left" w:pos="2694"/>
      </w:tabs>
      <w:spacing w:line="260" w:lineRule="exact"/>
      <w:ind w:left="180" w:hanging="180"/>
    </w:pPr>
    <w:rPr>
      <w:rFonts w:ascii="Arial" w:hAnsi="Arial"/>
      <w:sz w:val="22"/>
      <w:szCs w:val="20"/>
      <w:lang w:val="en-GB" w:eastAsia="fi-FI"/>
    </w:rPr>
  </w:style>
  <w:style w:type="paragraph" w:styleId="List">
    <w:name w:val="List"/>
    <w:basedOn w:val="Normal"/>
    <w:uiPriority w:val="99"/>
    <w:rsid w:val="002E222D"/>
    <w:pPr>
      <w:ind w:left="283" w:hanging="283"/>
    </w:pPr>
    <w:rPr>
      <w:lang w:val="bg-BG" w:eastAsia="bg-BG"/>
    </w:rPr>
  </w:style>
  <w:style w:type="paragraph" w:customStyle="1" w:styleId="xl88">
    <w:name w:val="xl88"/>
    <w:basedOn w:val="Normal"/>
    <w:rsid w:val="002E222D"/>
    <w:pPr>
      <w:pBdr>
        <w:left w:val="single" w:sz="4" w:space="0" w:color="auto"/>
        <w:bottom w:val="single" w:sz="8" w:space="0" w:color="auto"/>
        <w:right w:val="single" w:sz="4" w:space="0" w:color="auto"/>
      </w:pBdr>
      <w:spacing w:before="100" w:after="100"/>
    </w:pPr>
    <w:rPr>
      <w:rFonts w:ascii="Arial" w:hAnsi="Arial"/>
      <w:szCs w:val="20"/>
    </w:rPr>
  </w:style>
  <w:style w:type="paragraph" w:customStyle="1" w:styleId="Normal1">
    <w:name w:val="Normal1"/>
    <w:basedOn w:val="Normal"/>
    <w:uiPriority w:val="99"/>
    <w:rsid w:val="002E222D"/>
    <w:pPr>
      <w:jc w:val="both"/>
    </w:pPr>
    <w:rPr>
      <w:szCs w:val="20"/>
      <w:lang w:val="bg-BG" w:eastAsia="bg-BG"/>
    </w:rPr>
  </w:style>
  <w:style w:type="paragraph" w:customStyle="1" w:styleId="H5">
    <w:name w:val="H5"/>
    <w:basedOn w:val="Normal"/>
    <w:next w:val="Normal"/>
    <w:uiPriority w:val="99"/>
    <w:rsid w:val="002E222D"/>
    <w:pPr>
      <w:keepNext/>
      <w:spacing w:before="100" w:after="100"/>
      <w:outlineLvl w:val="5"/>
    </w:pPr>
    <w:rPr>
      <w:b/>
      <w:snapToGrid w:val="0"/>
      <w:sz w:val="20"/>
      <w:szCs w:val="20"/>
      <w:lang w:val="bg-BG" w:eastAsia="bg-BG"/>
    </w:rPr>
  </w:style>
  <w:style w:type="paragraph" w:styleId="List3">
    <w:name w:val="List 3"/>
    <w:basedOn w:val="Normal"/>
    <w:uiPriority w:val="99"/>
    <w:rsid w:val="002E222D"/>
    <w:pPr>
      <w:ind w:left="849" w:hanging="283"/>
    </w:pPr>
    <w:rPr>
      <w:sz w:val="28"/>
      <w:szCs w:val="20"/>
      <w:lang w:val="bg-BG" w:eastAsia="bg-BG"/>
    </w:rPr>
  </w:style>
  <w:style w:type="paragraph" w:styleId="List4">
    <w:name w:val="List 4"/>
    <w:basedOn w:val="Normal"/>
    <w:uiPriority w:val="99"/>
    <w:rsid w:val="002E222D"/>
    <w:pPr>
      <w:ind w:left="1132" w:hanging="283"/>
    </w:pPr>
    <w:rPr>
      <w:sz w:val="28"/>
      <w:szCs w:val="20"/>
      <w:lang w:val="bg-BG" w:eastAsia="bg-BG"/>
    </w:rPr>
  </w:style>
  <w:style w:type="paragraph" w:styleId="List5">
    <w:name w:val="List 5"/>
    <w:basedOn w:val="Normal"/>
    <w:uiPriority w:val="99"/>
    <w:rsid w:val="002E222D"/>
    <w:pPr>
      <w:ind w:left="1415" w:hanging="283"/>
    </w:pPr>
    <w:rPr>
      <w:sz w:val="28"/>
      <w:szCs w:val="20"/>
      <w:lang w:val="bg-BG" w:eastAsia="bg-BG"/>
    </w:rPr>
  </w:style>
  <w:style w:type="paragraph" w:styleId="ListBullet2">
    <w:name w:val="List Bullet 2"/>
    <w:basedOn w:val="Normal"/>
    <w:autoRedefine/>
    <w:uiPriority w:val="99"/>
    <w:rsid w:val="002E222D"/>
    <w:pPr>
      <w:tabs>
        <w:tab w:val="num" w:pos="643"/>
      </w:tabs>
      <w:ind w:left="643" w:hanging="360"/>
    </w:pPr>
    <w:rPr>
      <w:sz w:val="28"/>
      <w:szCs w:val="20"/>
      <w:lang w:val="bg-BG" w:eastAsia="bg-BG"/>
    </w:rPr>
  </w:style>
  <w:style w:type="paragraph" w:styleId="ListBullet5">
    <w:name w:val="List Bullet 5"/>
    <w:basedOn w:val="Normal"/>
    <w:autoRedefine/>
    <w:uiPriority w:val="99"/>
    <w:rsid w:val="002E222D"/>
    <w:pPr>
      <w:tabs>
        <w:tab w:val="num" w:pos="1492"/>
      </w:tabs>
      <w:ind w:left="1492" w:hanging="360"/>
    </w:pPr>
    <w:rPr>
      <w:sz w:val="28"/>
      <w:szCs w:val="20"/>
      <w:lang w:val="bg-BG" w:eastAsia="bg-BG"/>
    </w:rPr>
  </w:style>
  <w:style w:type="paragraph" w:styleId="ListContinue4">
    <w:name w:val="List Continue 4"/>
    <w:basedOn w:val="Normal"/>
    <w:uiPriority w:val="99"/>
    <w:rsid w:val="002E222D"/>
    <w:pPr>
      <w:spacing w:after="120"/>
      <w:ind w:left="1132"/>
    </w:pPr>
    <w:rPr>
      <w:sz w:val="28"/>
      <w:szCs w:val="20"/>
      <w:lang w:val="bg-BG" w:eastAsia="bg-BG"/>
    </w:rPr>
  </w:style>
  <w:style w:type="paragraph" w:customStyle="1" w:styleId="CharCharCharChar">
    <w:name w:val="Char Char Char Знак Знак Char"/>
    <w:basedOn w:val="Normal"/>
    <w:uiPriority w:val="99"/>
    <w:rsid w:val="002E222D"/>
    <w:pPr>
      <w:tabs>
        <w:tab w:val="left" w:pos="709"/>
      </w:tabs>
    </w:pPr>
    <w:rPr>
      <w:rFonts w:ascii="Tahoma" w:hAnsi="Tahoma"/>
      <w:lang w:val="pl-PL" w:eastAsia="pl-PL"/>
    </w:rPr>
  </w:style>
  <w:style w:type="paragraph" w:customStyle="1" w:styleId="CharCharCharChar0">
    <w:name w:val="Знак Char Знак Знак Знак Char Char Char"/>
    <w:basedOn w:val="Normal"/>
    <w:uiPriority w:val="99"/>
    <w:rsid w:val="002E222D"/>
    <w:pPr>
      <w:tabs>
        <w:tab w:val="left" w:pos="709"/>
      </w:tabs>
    </w:pPr>
    <w:rPr>
      <w:rFonts w:ascii="Tahoma" w:hAnsi="Tahoma"/>
      <w:lang w:val="pl-PL" w:eastAsia="pl-PL"/>
    </w:rPr>
  </w:style>
  <w:style w:type="paragraph" w:customStyle="1" w:styleId="firstline">
    <w:name w:val="firstline"/>
    <w:basedOn w:val="Normal"/>
    <w:rsid w:val="002E222D"/>
    <w:pPr>
      <w:spacing w:line="240" w:lineRule="atLeast"/>
      <w:ind w:firstLine="640"/>
      <w:jc w:val="both"/>
    </w:pPr>
    <w:rPr>
      <w:rFonts w:ascii="Arial" w:hAnsi="Arial" w:cs="Arial"/>
      <w:color w:val="000000"/>
      <w:lang w:val="bg-BG" w:eastAsia="bg-BG"/>
    </w:rPr>
  </w:style>
  <w:style w:type="paragraph" w:customStyle="1" w:styleId="StyleAfter6pt">
    <w:name w:val="Style After:  6 pt"/>
    <w:basedOn w:val="Normal"/>
    <w:uiPriority w:val="99"/>
    <w:rsid w:val="002E222D"/>
    <w:pPr>
      <w:tabs>
        <w:tab w:val="num" w:pos="720"/>
      </w:tabs>
      <w:ind w:left="720" w:hanging="360"/>
    </w:pPr>
    <w:rPr>
      <w:szCs w:val="20"/>
      <w:lang w:val="en-GB"/>
    </w:rPr>
  </w:style>
  <w:style w:type="paragraph" w:customStyle="1" w:styleId="naisf">
    <w:name w:val="naisf"/>
    <w:basedOn w:val="Normal"/>
    <w:uiPriority w:val="99"/>
    <w:rsid w:val="002E222D"/>
    <w:pPr>
      <w:spacing w:before="75" w:after="75"/>
      <w:ind w:firstLine="375"/>
      <w:jc w:val="both"/>
    </w:pPr>
    <w:rPr>
      <w:szCs w:val="20"/>
      <w:lang w:val="lv-LV" w:eastAsia="bg-BG"/>
    </w:rPr>
  </w:style>
  <w:style w:type="paragraph" w:customStyle="1" w:styleId="N1">
    <w:name w:val="N1"/>
    <w:basedOn w:val="Normal"/>
    <w:uiPriority w:val="99"/>
    <w:rsid w:val="002E222D"/>
    <w:pPr>
      <w:spacing w:after="120" w:line="360" w:lineRule="auto"/>
      <w:ind w:firstLine="720"/>
      <w:jc w:val="both"/>
    </w:pPr>
    <w:rPr>
      <w:szCs w:val="20"/>
      <w:lang w:val="bg-BG"/>
    </w:rPr>
  </w:style>
  <w:style w:type="paragraph" w:customStyle="1" w:styleId="N">
    <w:name w:val="N"/>
    <w:uiPriority w:val="99"/>
    <w:rsid w:val="002E222D"/>
    <w:pPr>
      <w:spacing w:after="120" w:line="360" w:lineRule="auto"/>
      <w:ind w:firstLine="720"/>
      <w:jc w:val="both"/>
    </w:pPr>
    <w:rPr>
      <w:rFonts w:ascii="Times New Roman" w:eastAsia="Times New Roman" w:hAnsi="Times New Roman" w:cs="Times New Roman"/>
      <w:sz w:val="24"/>
      <w:szCs w:val="20"/>
    </w:rPr>
  </w:style>
  <w:style w:type="paragraph" w:customStyle="1" w:styleId="style3">
    <w:name w:val="style3"/>
    <w:basedOn w:val="Normal"/>
    <w:uiPriority w:val="99"/>
    <w:rsid w:val="002E222D"/>
    <w:pPr>
      <w:spacing w:before="100" w:beforeAutospacing="1" w:after="100" w:afterAutospacing="1"/>
    </w:pPr>
    <w:rPr>
      <w:rFonts w:ascii="Verdana" w:hAnsi="Verdana"/>
      <w:sz w:val="18"/>
      <w:szCs w:val="18"/>
      <w:lang w:val="bg-BG" w:eastAsia="bg-BG"/>
    </w:rPr>
  </w:style>
  <w:style w:type="paragraph" w:styleId="Subtitle">
    <w:name w:val="Subtitle"/>
    <w:basedOn w:val="Normal"/>
    <w:link w:val="SubtitleChar"/>
    <w:uiPriority w:val="99"/>
    <w:qFormat/>
    <w:rsid w:val="002E222D"/>
    <w:pPr>
      <w:jc w:val="both"/>
    </w:pPr>
    <w:rPr>
      <w:rFonts w:ascii="HebarU" w:hAnsi="HebarU"/>
      <w:b/>
      <w:sz w:val="28"/>
      <w:szCs w:val="20"/>
      <w:lang w:val="bg-BG" w:eastAsia="bg-BG"/>
    </w:rPr>
  </w:style>
  <w:style w:type="character" w:customStyle="1" w:styleId="SubtitleChar">
    <w:name w:val="Subtitle Char"/>
    <w:basedOn w:val="DefaultParagraphFont"/>
    <w:link w:val="Subtitle"/>
    <w:uiPriority w:val="99"/>
    <w:rsid w:val="002E222D"/>
    <w:rPr>
      <w:rFonts w:ascii="HebarU" w:eastAsia="Times New Roman" w:hAnsi="HebarU" w:cs="Times New Roman"/>
      <w:b/>
      <w:sz w:val="28"/>
      <w:szCs w:val="20"/>
      <w:lang w:val="bg-BG" w:eastAsia="bg-BG"/>
    </w:rPr>
  </w:style>
  <w:style w:type="paragraph" w:customStyle="1" w:styleId="CharChar1">
    <w:name w:val="Char Char1 Знак Знак"/>
    <w:basedOn w:val="Normal"/>
    <w:uiPriority w:val="99"/>
    <w:rsid w:val="002E222D"/>
    <w:pPr>
      <w:tabs>
        <w:tab w:val="left" w:pos="709"/>
      </w:tabs>
    </w:pPr>
    <w:rPr>
      <w:rFonts w:ascii="Tahoma" w:hAnsi="Tahoma"/>
      <w:lang w:val="pl-PL" w:eastAsia="pl-PL"/>
    </w:rPr>
  </w:style>
  <w:style w:type="paragraph" w:customStyle="1" w:styleId="CharCharCharCharCharCharChar">
    <w:name w:val="Char Char Знак Знак Char Знак Знак Char Char Char Знак Знак Char"/>
    <w:basedOn w:val="Normal"/>
    <w:uiPriority w:val="99"/>
    <w:rsid w:val="002E222D"/>
    <w:pPr>
      <w:tabs>
        <w:tab w:val="left" w:pos="709"/>
      </w:tabs>
    </w:pPr>
    <w:rPr>
      <w:rFonts w:ascii="Tahoma" w:hAnsi="Tahoma"/>
      <w:lang w:val="pl-PL" w:eastAsia="pl-PL"/>
    </w:rPr>
  </w:style>
  <w:style w:type="paragraph" w:customStyle="1" w:styleId="TxBrp1">
    <w:name w:val="TxBr_p1"/>
    <w:basedOn w:val="Normal"/>
    <w:uiPriority w:val="99"/>
    <w:rsid w:val="002E222D"/>
    <w:pPr>
      <w:widowControl w:val="0"/>
      <w:tabs>
        <w:tab w:val="left" w:pos="204"/>
      </w:tabs>
      <w:overflowPunct w:val="0"/>
      <w:autoSpaceDE w:val="0"/>
      <w:autoSpaceDN w:val="0"/>
      <w:adjustRightInd w:val="0"/>
      <w:spacing w:line="425" w:lineRule="atLeast"/>
      <w:textAlignment w:val="baseline"/>
    </w:pPr>
    <w:rPr>
      <w:szCs w:val="20"/>
      <w:lang w:eastAsia="bg-BG"/>
    </w:rPr>
  </w:style>
  <w:style w:type="paragraph" w:styleId="PlainText">
    <w:name w:val="Plain Text"/>
    <w:basedOn w:val="Normal"/>
    <w:link w:val="PlainTextChar"/>
    <w:uiPriority w:val="99"/>
    <w:rsid w:val="002E222D"/>
    <w:rPr>
      <w:rFonts w:ascii="Courier New" w:hAnsi="Courier New" w:cs="Courier New"/>
      <w:sz w:val="20"/>
      <w:szCs w:val="20"/>
      <w:lang w:val="bg-BG" w:eastAsia="bg-BG"/>
    </w:rPr>
  </w:style>
  <w:style w:type="character" w:customStyle="1" w:styleId="PlainTextChar">
    <w:name w:val="Plain Text Char"/>
    <w:basedOn w:val="DefaultParagraphFont"/>
    <w:link w:val="PlainText"/>
    <w:uiPriority w:val="99"/>
    <w:rsid w:val="002E222D"/>
    <w:rPr>
      <w:rFonts w:ascii="Courier New" w:eastAsia="Times New Roman" w:hAnsi="Courier New" w:cs="Courier New"/>
      <w:sz w:val="20"/>
      <w:szCs w:val="20"/>
      <w:lang w:val="bg-BG" w:eastAsia="bg-BG"/>
    </w:rPr>
  </w:style>
  <w:style w:type="paragraph" w:customStyle="1" w:styleId="CharChar2">
    <w:name w:val="Char Знак Char Знак Знак"/>
    <w:basedOn w:val="Normal"/>
    <w:uiPriority w:val="99"/>
    <w:rsid w:val="002E222D"/>
    <w:rPr>
      <w:lang w:val="pl-PL" w:eastAsia="pl-PL"/>
    </w:rPr>
  </w:style>
  <w:style w:type="paragraph" w:customStyle="1" w:styleId="BlockText1">
    <w:name w:val="Block Text1"/>
    <w:basedOn w:val="Normal"/>
    <w:uiPriority w:val="99"/>
    <w:rsid w:val="002E222D"/>
    <w:pPr>
      <w:overflowPunct w:val="0"/>
      <w:autoSpaceDE w:val="0"/>
      <w:autoSpaceDN w:val="0"/>
      <w:adjustRightInd w:val="0"/>
      <w:spacing w:before="120"/>
      <w:ind w:left="60" w:right="84"/>
      <w:jc w:val="both"/>
      <w:textAlignment w:val="baseline"/>
    </w:pPr>
    <w:rPr>
      <w:szCs w:val="20"/>
      <w:lang w:val="bg-BG" w:eastAsia="bg-BG"/>
    </w:rPr>
  </w:style>
  <w:style w:type="paragraph" w:customStyle="1" w:styleId="CharCharCharChar1CharChar">
    <w:name w:val="Char Знак Знак Char Знак Знак Char Знак Знак Char1 Знак Знак Char Знак Знак Char Знак Знак"/>
    <w:basedOn w:val="Normal"/>
    <w:uiPriority w:val="99"/>
    <w:rsid w:val="002E222D"/>
    <w:pPr>
      <w:tabs>
        <w:tab w:val="left" w:pos="709"/>
      </w:tabs>
    </w:pPr>
    <w:rPr>
      <w:rFonts w:ascii="Tahoma" w:hAnsi="Tahoma"/>
      <w:lang w:val="pl-PL" w:eastAsia="pl-PL"/>
    </w:rPr>
  </w:style>
  <w:style w:type="paragraph" w:customStyle="1" w:styleId="CharChar1CharCharChar">
    <w:name w:val="Char Char1 Char Знак Знак Char Char Знак Знак"/>
    <w:basedOn w:val="Normal"/>
    <w:uiPriority w:val="99"/>
    <w:rsid w:val="002E222D"/>
    <w:pPr>
      <w:tabs>
        <w:tab w:val="left" w:pos="709"/>
      </w:tabs>
    </w:pPr>
    <w:rPr>
      <w:rFonts w:ascii="Tahoma" w:hAnsi="Tahoma"/>
      <w:lang w:val="pl-PL" w:eastAsia="pl-PL"/>
    </w:rPr>
  </w:style>
  <w:style w:type="paragraph" w:customStyle="1" w:styleId="CharCharCharCharChar0">
    <w:name w:val="Char Char Char Char Char Знак Знак"/>
    <w:basedOn w:val="Normal"/>
    <w:uiPriority w:val="99"/>
    <w:rsid w:val="002E222D"/>
    <w:rPr>
      <w:lang w:val="pl-PL" w:eastAsia="pl-PL"/>
    </w:rPr>
  </w:style>
  <w:style w:type="paragraph" w:customStyle="1" w:styleId="CharChar1Char">
    <w:name w:val="Char Char1 Char Знак Знак"/>
    <w:basedOn w:val="Normal"/>
    <w:uiPriority w:val="99"/>
    <w:rsid w:val="002E222D"/>
    <w:pPr>
      <w:tabs>
        <w:tab w:val="left" w:pos="709"/>
      </w:tabs>
    </w:pPr>
    <w:rPr>
      <w:rFonts w:ascii="Tahoma" w:hAnsi="Tahoma"/>
      <w:lang w:val="pl-PL" w:eastAsia="pl-PL"/>
    </w:rPr>
  </w:style>
  <w:style w:type="paragraph" w:customStyle="1" w:styleId="Web1">
    <w:name w:val="Нормален (Web)1"/>
    <w:basedOn w:val="Normal"/>
    <w:uiPriority w:val="99"/>
    <w:rsid w:val="002E222D"/>
    <w:pPr>
      <w:spacing w:before="100" w:after="100"/>
    </w:pPr>
    <w:rPr>
      <w:rFonts w:ascii="Arial Unicode MS" w:eastAsia="Arial Unicode MS" w:hAnsi="Arial Unicode MS"/>
      <w:szCs w:val="20"/>
    </w:rPr>
  </w:style>
  <w:style w:type="paragraph" w:styleId="BodyTextFirstIndent">
    <w:name w:val="Body Text First Indent"/>
    <w:basedOn w:val="BodyText"/>
    <w:link w:val="BodyTextFirstIndentChar"/>
    <w:uiPriority w:val="99"/>
    <w:rsid w:val="002E222D"/>
    <w:pPr>
      <w:spacing w:after="120"/>
      <w:ind w:firstLine="210"/>
    </w:pPr>
    <w:rPr>
      <w:szCs w:val="24"/>
      <w:lang w:eastAsia="en-US"/>
    </w:rPr>
  </w:style>
  <w:style w:type="character" w:customStyle="1" w:styleId="BodyTextFirstIndentChar">
    <w:name w:val="Body Text First Indent Char"/>
    <w:basedOn w:val="BodyTextChar"/>
    <w:link w:val="BodyTextFirstIndent"/>
    <w:uiPriority w:val="99"/>
    <w:rsid w:val="002E222D"/>
    <w:rPr>
      <w:rFonts w:ascii="Times New Roman" w:eastAsia="Times New Roman" w:hAnsi="Times New Roman" w:cs="Times New Roman"/>
      <w:sz w:val="24"/>
      <w:szCs w:val="24"/>
      <w:lang w:val="bg-BG" w:eastAsia="bg-BG"/>
    </w:rPr>
  </w:style>
  <w:style w:type="paragraph" w:styleId="BodyTextFirstIndent2">
    <w:name w:val="Body Text First Indent 2"/>
    <w:basedOn w:val="BodyTextIndent"/>
    <w:link w:val="BodyTextFirstIndent2Char"/>
    <w:uiPriority w:val="99"/>
    <w:rsid w:val="002E222D"/>
    <w:pPr>
      <w:ind w:firstLine="210"/>
    </w:pPr>
    <w:rPr>
      <w:lang w:eastAsia="en-US"/>
    </w:rPr>
  </w:style>
  <w:style w:type="character" w:customStyle="1" w:styleId="BodyTextFirstIndent2Char">
    <w:name w:val="Body Text First Indent 2 Char"/>
    <w:basedOn w:val="BodyTextIndentChar"/>
    <w:link w:val="BodyTextFirstIndent2"/>
    <w:uiPriority w:val="99"/>
    <w:rsid w:val="002E222D"/>
    <w:rPr>
      <w:rFonts w:ascii="Times New Roman" w:eastAsia="Times New Roman" w:hAnsi="Times New Roman" w:cs="Times New Roman"/>
      <w:sz w:val="24"/>
      <w:szCs w:val="24"/>
      <w:lang w:val="bg-BG" w:eastAsia="bg-BG"/>
    </w:rPr>
  </w:style>
  <w:style w:type="paragraph" w:customStyle="1" w:styleId="CharCharCharCharCharCharCharChar">
    <w:name w:val="Char Char Char Знак Знак Char Char Char Char Char Знак Знак"/>
    <w:basedOn w:val="Normal"/>
    <w:uiPriority w:val="99"/>
    <w:rsid w:val="002E222D"/>
    <w:rPr>
      <w:lang w:val="pl-PL" w:eastAsia="pl-PL"/>
    </w:rPr>
  </w:style>
  <w:style w:type="paragraph" w:styleId="NoSpacing">
    <w:name w:val="No Spacing"/>
    <w:link w:val="NoSpacingChar"/>
    <w:uiPriority w:val="1"/>
    <w:qFormat/>
    <w:rsid w:val="002E222D"/>
    <w:pPr>
      <w:suppressAutoHyphens/>
      <w:spacing w:after="0" w:line="240" w:lineRule="auto"/>
    </w:pPr>
    <w:rPr>
      <w:rFonts w:ascii="Calibri" w:eastAsia="Calibri" w:hAnsi="Calibri" w:cs="Calibri"/>
      <w:kern w:val="1"/>
      <w:lang w:val="bg-BG" w:eastAsia="ar-SA"/>
    </w:rPr>
  </w:style>
  <w:style w:type="character" w:styleId="PageNumber">
    <w:name w:val="page number"/>
    <w:basedOn w:val="DefaultParagraphFont"/>
    <w:uiPriority w:val="99"/>
    <w:rsid w:val="002E222D"/>
  </w:style>
  <w:style w:type="paragraph" w:customStyle="1" w:styleId="2CharChar">
    <w:name w:val="Знак Знак2 Char Char"/>
    <w:basedOn w:val="Normal"/>
    <w:uiPriority w:val="99"/>
    <w:rsid w:val="002E222D"/>
    <w:pPr>
      <w:tabs>
        <w:tab w:val="left" w:pos="709"/>
      </w:tabs>
    </w:pPr>
    <w:rPr>
      <w:rFonts w:ascii="Tahoma" w:hAnsi="Tahoma"/>
      <w:lang w:val="pl-PL" w:eastAsia="pl-PL"/>
    </w:rPr>
  </w:style>
  <w:style w:type="character" w:customStyle="1" w:styleId="postbody">
    <w:name w:val="postbody"/>
    <w:basedOn w:val="DefaultParagraphFont"/>
    <w:uiPriority w:val="99"/>
    <w:rsid w:val="002E222D"/>
  </w:style>
  <w:style w:type="character" w:customStyle="1" w:styleId="scnt">
    <w:name w:val="scnt"/>
    <w:basedOn w:val="DefaultParagraphFont"/>
    <w:uiPriority w:val="99"/>
    <w:rsid w:val="002E222D"/>
  </w:style>
  <w:style w:type="paragraph" w:customStyle="1" w:styleId="2">
    <w:name w:val="Знак Знак2"/>
    <w:basedOn w:val="Normal"/>
    <w:uiPriority w:val="99"/>
    <w:rsid w:val="002E222D"/>
    <w:pPr>
      <w:tabs>
        <w:tab w:val="left" w:pos="709"/>
      </w:tabs>
    </w:pPr>
    <w:rPr>
      <w:rFonts w:ascii="Tahoma" w:hAnsi="Tahoma"/>
      <w:lang w:val="pl-PL" w:eastAsia="pl-PL"/>
    </w:rPr>
  </w:style>
  <w:style w:type="character" w:styleId="FollowedHyperlink">
    <w:name w:val="FollowedHyperlink"/>
    <w:uiPriority w:val="99"/>
    <w:rsid w:val="002E222D"/>
    <w:rPr>
      <w:color w:val="800080"/>
      <w:u w:val="single"/>
    </w:rPr>
  </w:style>
  <w:style w:type="character" w:customStyle="1" w:styleId="BodyTextCharCharChar">
    <w:name w:val="Body Text Char Char Char"/>
    <w:uiPriority w:val="99"/>
    <w:rsid w:val="002E222D"/>
    <w:rPr>
      <w:sz w:val="24"/>
      <w:szCs w:val="24"/>
      <w:lang w:val="bg-BG" w:eastAsia="bg-BG" w:bidi="ar-SA"/>
    </w:rPr>
  </w:style>
  <w:style w:type="paragraph" w:customStyle="1" w:styleId="Titreobjet">
    <w:name w:val="Titre objet"/>
    <w:basedOn w:val="Normal"/>
    <w:next w:val="Normal"/>
    <w:uiPriority w:val="99"/>
    <w:rsid w:val="002E222D"/>
    <w:pPr>
      <w:spacing w:before="360" w:after="360"/>
      <w:jc w:val="center"/>
    </w:pPr>
    <w:rPr>
      <w:b/>
      <w:szCs w:val="20"/>
      <w:lang w:val="en-GB" w:eastAsia="en-GB"/>
    </w:rPr>
  </w:style>
  <w:style w:type="paragraph" w:customStyle="1" w:styleId="Char1CharCharCharCharCharCharCharChar">
    <w:name w:val="Char1 Знак Знак Char Знак Знак Char Char Char Char Char Char Char"/>
    <w:basedOn w:val="Normal"/>
    <w:uiPriority w:val="99"/>
    <w:rsid w:val="002E222D"/>
    <w:pPr>
      <w:tabs>
        <w:tab w:val="left" w:pos="709"/>
      </w:tabs>
    </w:pPr>
    <w:rPr>
      <w:rFonts w:ascii="Tahoma" w:hAnsi="Tahoma"/>
      <w:lang w:val="pl-PL" w:eastAsia="pl-PL"/>
    </w:rPr>
  </w:style>
  <w:style w:type="paragraph" w:customStyle="1" w:styleId="1CharChar">
    <w:name w:val="Знак Знак1 Char Char Знак Знак"/>
    <w:basedOn w:val="Normal"/>
    <w:uiPriority w:val="99"/>
    <w:rsid w:val="002E222D"/>
    <w:pPr>
      <w:spacing w:after="160" w:line="240" w:lineRule="exact"/>
    </w:pPr>
    <w:rPr>
      <w:rFonts w:ascii="Tahoma" w:hAnsi="Tahoma"/>
      <w:sz w:val="20"/>
      <w:szCs w:val="20"/>
    </w:rPr>
  </w:style>
  <w:style w:type="paragraph" w:customStyle="1" w:styleId="CharCharChar0">
    <w:name w:val="Char Char Знак Знак Char"/>
    <w:basedOn w:val="Normal"/>
    <w:uiPriority w:val="99"/>
    <w:rsid w:val="002E222D"/>
    <w:pPr>
      <w:tabs>
        <w:tab w:val="left" w:pos="709"/>
      </w:tabs>
    </w:pPr>
    <w:rPr>
      <w:rFonts w:ascii="Tahoma" w:hAnsi="Tahoma"/>
      <w:lang w:val="pl-PL" w:eastAsia="pl-PL"/>
    </w:rPr>
  </w:style>
  <w:style w:type="character" w:customStyle="1" w:styleId="blockstyleCharChar">
    <w:name w:val="block style Char Char"/>
    <w:uiPriority w:val="99"/>
    <w:locked/>
    <w:rsid w:val="002E222D"/>
    <w:rPr>
      <w:lang w:val="bg-BG" w:eastAsia="en-US" w:bidi="ar-SA"/>
    </w:rPr>
  </w:style>
  <w:style w:type="paragraph" w:customStyle="1" w:styleId="CharChar3">
    <w:name w:val="Char Char Знак Знак"/>
    <w:basedOn w:val="Normal"/>
    <w:uiPriority w:val="99"/>
    <w:rsid w:val="002E222D"/>
    <w:rPr>
      <w:lang w:val="pl-PL" w:eastAsia="pl-PL"/>
    </w:rPr>
  </w:style>
  <w:style w:type="paragraph" w:customStyle="1" w:styleId="NormalJustified">
    <w:name w:val="Normal + Justified"/>
    <w:aliases w:val="First line:  0,63 cm"/>
    <w:basedOn w:val="Normal"/>
    <w:uiPriority w:val="99"/>
    <w:rsid w:val="002E222D"/>
    <w:pPr>
      <w:ind w:firstLine="360"/>
      <w:jc w:val="both"/>
    </w:pPr>
    <w:rPr>
      <w:rFonts w:eastAsia="SimSun"/>
      <w:color w:val="000000"/>
      <w:spacing w:val="-14"/>
      <w:lang w:val="bg-BG" w:eastAsia="zh-CN"/>
    </w:rPr>
  </w:style>
  <w:style w:type="paragraph" w:customStyle="1" w:styleId="CharCharCharChar2">
    <w:name w:val="Char Char Char Char"/>
    <w:basedOn w:val="Normal"/>
    <w:uiPriority w:val="99"/>
    <w:rsid w:val="002E222D"/>
    <w:rPr>
      <w:lang w:val="pl-PL" w:eastAsia="pl-PL"/>
    </w:rPr>
  </w:style>
  <w:style w:type="paragraph" w:customStyle="1" w:styleId="CharCharChar1CharCharCharCharCharCharCharCharCharCharCharCharCharCharCharCharCharCharChar">
    <w:name w:val="Char Char Char1 Char Char Char Char Char Char Char Char Char Char Char Char Char Char Char Char Char Char Char"/>
    <w:basedOn w:val="Normal"/>
    <w:uiPriority w:val="99"/>
    <w:rsid w:val="002E222D"/>
    <w:pPr>
      <w:tabs>
        <w:tab w:val="left" w:pos="709"/>
      </w:tabs>
    </w:pPr>
    <w:rPr>
      <w:rFonts w:ascii="Tahoma" w:hAnsi="Tahoma"/>
      <w:lang w:val="pl-PL" w:eastAsia="pl-PL"/>
    </w:rPr>
  </w:style>
  <w:style w:type="character" w:customStyle="1" w:styleId="CharChar16">
    <w:name w:val="Char Char16"/>
    <w:uiPriority w:val="99"/>
    <w:rsid w:val="002E222D"/>
    <w:rPr>
      <w:rFonts w:ascii="Arial" w:hAnsi="Arial" w:cs="Arial"/>
      <w:b/>
      <w:bCs/>
      <w:kern w:val="32"/>
      <w:sz w:val="32"/>
      <w:szCs w:val="32"/>
      <w:lang w:val="bg-BG" w:eastAsia="bg-BG" w:bidi="ar-SA"/>
    </w:rPr>
  </w:style>
  <w:style w:type="character" w:customStyle="1" w:styleId="CharChar15">
    <w:name w:val="Char Char15"/>
    <w:uiPriority w:val="99"/>
    <w:rsid w:val="002E222D"/>
    <w:rPr>
      <w:rFonts w:ascii="Arial" w:hAnsi="Arial" w:cs="Arial"/>
      <w:b/>
      <w:bCs/>
      <w:i/>
      <w:iCs/>
      <w:sz w:val="28"/>
      <w:szCs w:val="28"/>
      <w:lang w:val="bg-BG" w:eastAsia="bg-BG" w:bidi="ar-SA"/>
    </w:rPr>
  </w:style>
  <w:style w:type="character" w:customStyle="1" w:styleId="CharChar14">
    <w:name w:val="Char Char14"/>
    <w:uiPriority w:val="99"/>
    <w:rsid w:val="002E222D"/>
    <w:rPr>
      <w:rFonts w:ascii="Arial" w:hAnsi="Arial"/>
      <w:b/>
      <w:sz w:val="26"/>
      <w:lang w:val="en-US" w:eastAsia="en-US" w:bidi="ar-SA"/>
    </w:rPr>
  </w:style>
  <w:style w:type="character" w:customStyle="1" w:styleId="CharChar13">
    <w:name w:val="Char Char13"/>
    <w:uiPriority w:val="99"/>
    <w:rsid w:val="002E222D"/>
    <w:rPr>
      <w:rFonts w:ascii="HebarU" w:hAnsi="HebarU"/>
      <w:b/>
      <w:i/>
      <w:sz w:val="26"/>
      <w:lang w:val="en-US" w:eastAsia="en-US" w:bidi="ar-SA"/>
    </w:rPr>
  </w:style>
  <w:style w:type="paragraph" w:customStyle="1" w:styleId="CharChar4">
    <w:name w:val="Знак Знак Char Char Знак Знак"/>
    <w:basedOn w:val="Normal"/>
    <w:uiPriority w:val="99"/>
    <w:rsid w:val="002E222D"/>
    <w:pPr>
      <w:tabs>
        <w:tab w:val="left" w:pos="709"/>
      </w:tabs>
    </w:pPr>
    <w:rPr>
      <w:rFonts w:ascii="Tahoma" w:hAnsi="Tahoma"/>
      <w:lang w:val="pl-PL" w:eastAsia="pl-PL"/>
    </w:rPr>
  </w:style>
  <w:style w:type="character" w:styleId="CommentReference">
    <w:name w:val="annotation reference"/>
    <w:uiPriority w:val="99"/>
    <w:rsid w:val="002E222D"/>
    <w:rPr>
      <w:sz w:val="16"/>
      <w:szCs w:val="16"/>
    </w:rPr>
  </w:style>
  <w:style w:type="paragraph" w:styleId="CommentText">
    <w:name w:val="annotation text"/>
    <w:basedOn w:val="Normal"/>
    <w:link w:val="CommentTextChar"/>
    <w:uiPriority w:val="99"/>
    <w:rsid w:val="002E222D"/>
    <w:rPr>
      <w:sz w:val="20"/>
      <w:szCs w:val="20"/>
    </w:rPr>
  </w:style>
  <w:style w:type="character" w:customStyle="1" w:styleId="CommentTextChar">
    <w:name w:val="Comment Text Char"/>
    <w:basedOn w:val="DefaultParagraphFont"/>
    <w:link w:val="CommentText"/>
    <w:uiPriority w:val="99"/>
    <w:rsid w:val="002E222D"/>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rsid w:val="002E222D"/>
    <w:rPr>
      <w:b/>
      <w:bCs/>
    </w:rPr>
  </w:style>
  <w:style w:type="character" w:customStyle="1" w:styleId="CommentSubjectChar">
    <w:name w:val="Comment Subject Char"/>
    <w:basedOn w:val="CommentTextChar"/>
    <w:link w:val="CommentSubject"/>
    <w:uiPriority w:val="99"/>
    <w:rsid w:val="002E222D"/>
    <w:rPr>
      <w:rFonts w:ascii="Times New Roman" w:eastAsia="Times New Roman" w:hAnsi="Times New Roman" w:cs="Times New Roman"/>
      <w:b/>
      <w:bCs/>
      <w:sz w:val="20"/>
      <w:szCs w:val="20"/>
    </w:rPr>
  </w:style>
  <w:style w:type="paragraph" w:customStyle="1" w:styleId="ZchnZchnCharCharCharChar">
    <w:name w:val="Zchn Zchn Char Char Char Char Знак Знак"/>
    <w:basedOn w:val="Normal"/>
    <w:uiPriority w:val="99"/>
    <w:rsid w:val="002E222D"/>
    <w:rPr>
      <w:lang w:val="pl-PL" w:eastAsia="pl-PL"/>
    </w:rPr>
  </w:style>
  <w:style w:type="paragraph" w:customStyle="1" w:styleId="CharCharCharCharCharCharCharCharCharCharCharCharCharCharCharCharCharCharCharCharCharChar1CharCharCharChar0">
    <w:name w:val="Char Char Char Char Char Char Char Char Char Char Char Char Char Char Char Char Char Char Char Char Char Char1 Char Char Char Char Знак Знак Знак Знак Знак Знак"/>
    <w:basedOn w:val="Normal"/>
    <w:uiPriority w:val="99"/>
    <w:rsid w:val="002E222D"/>
    <w:rPr>
      <w:sz w:val="20"/>
      <w:szCs w:val="20"/>
      <w:lang w:val="pl-PL" w:eastAsia="pl-PL"/>
    </w:rPr>
  </w:style>
  <w:style w:type="character" w:customStyle="1" w:styleId="BodyTextCharCharCharChar2">
    <w:name w:val="Body Text Char Char Char Char2"/>
    <w:aliases w:val="Body Text Char Char Char Char Char Char Char2,Body Text Char Char Char Char Char Char Char Char1,Body Text Char Char Char Char Char Char2,Body Text Char Char Char2,Body Text Char Char2"/>
    <w:uiPriority w:val="99"/>
    <w:rsid w:val="002E222D"/>
    <w:rPr>
      <w:sz w:val="28"/>
      <w:szCs w:val="28"/>
      <w:lang w:val="bg-BG" w:eastAsia="en-US"/>
    </w:rPr>
  </w:style>
  <w:style w:type="paragraph" w:customStyle="1" w:styleId="Char1CharChar1CharCharCharChar1">
    <w:name w:val="Char1 Char Char1 Char Char Char Char1"/>
    <w:basedOn w:val="Normal"/>
    <w:uiPriority w:val="99"/>
    <w:rsid w:val="002E222D"/>
    <w:pPr>
      <w:tabs>
        <w:tab w:val="left" w:pos="709"/>
      </w:tabs>
      <w:spacing w:line="360" w:lineRule="auto"/>
    </w:pPr>
    <w:rPr>
      <w:rFonts w:ascii="Tahoma" w:hAnsi="Tahoma" w:cs="Tahoma"/>
      <w:lang w:val="pl-PL" w:eastAsia="pl-PL"/>
    </w:rPr>
  </w:style>
  <w:style w:type="paragraph" w:customStyle="1" w:styleId="NormalIndent">
    <w:name w:val="Normal_Indent"/>
    <w:basedOn w:val="Normal"/>
    <w:uiPriority w:val="99"/>
    <w:rsid w:val="002E222D"/>
    <w:pPr>
      <w:spacing w:after="120"/>
      <w:ind w:firstLine="397"/>
      <w:jc w:val="both"/>
    </w:pPr>
    <w:rPr>
      <w:szCs w:val="20"/>
      <w:lang w:val="bg-BG" w:eastAsia="bg-BG"/>
    </w:rPr>
  </w:style>
  <w:style w:type="paragraph" w:customStyle="1" w:styleId="Tablzagl">
    <w:name w:val="Tabl_zagl"/>
    <w:basedOn w:val="Normal"/>
    <w:uiPriority w:val="99"/>
    <w:rsid w:val="002E222D"/>
    <w:pPr>
      <w:keepNext/>
      <w:keepLines/>
      <w:tabs>
        <w:tab w:val="left" w:pos="9288"/>
      </w:tabs>
      <w:spacing w:before="120" w:after="240"/>
      <w:jc w:val="center"/>
    </w:pPr>
    <w:rPr>
      <w:rFonts w:ascii="SP_Helicon_Narrow" w:hAnsi="SP_Helicon_Narrow"/>
      <w:b/>
      <w:szCs w:val="20"/>
      <w:lang w:val="bg-BG" w:eastAsia="bg-BG"/>
    </w:rPr>
  </w:style>
  <w:style w:type="paragraph" w:customStyle="1" w:styleId="style0">
    <w:name w:val="style0"/>
    <w:basedOn w:val="Normal"/>
    <w:uiPriority w:val="99"/>
    <w:rsid w:val="002E222D"/>
    <w:pPr>
      <w:ind w:firstLine="1200"/>
      <w:jc w:val="both"/>
    </w:pPr>
  </w:style>
  <w:style w:type="character" w:customStyle="1" w:styleId="st1">
    <w:name w:val="st1"/>
    <w:basedOn w:val="DefaultParagraphFont"/>
    <w:uiPriority w:val="99"/>
    <w:rsid w:val="002E222D"/>
  </w:style>
  <w:style w:type="character" w:customStyle="1" w:styleId="Char9CharChar">
    <w:name w:val="Char9 Char Char"/>
    <w:uiPriority w:val="99"/>
    <w:rsid w:val="002E222D"/>
    <w:rPr>
      <w:rFonts w:ascii="Arial Narrow" w:hAnsi="Arial Narrow"/>
      <w:sz w:val="28"/>
      <w:lang w:val="en-US" w:eastAsia="en-US" w:bidi="ar-SA"/>
    </w:rPr>
  </w:style>
  <w:style w:type="paragraph" w:customStyle="1" w:styleId="CharCharCharCharCharCharCharCharCharCharChar">
    <w:name w:val="Знак Знак Char Char Char Char Char Char Char Char Char Char Char Знак"/>
    <w:basedOn w:val="Normal"/>
    <w:uiPriority w:val="99"/>
    <w:rsid w:val="002E222D"/>
    <w:rPr>
      <w:lang w:val="pl-PL" w:eastAsia="pl-PL"/>
    </w:rPr>
  </w:style>
  <w:style w:type="paragraph" w:customStyle="1" w:styleId="12">
    <w:name w:val="Списък на абзаци1"/>
    <w:basedOn w:val="Normal"/>
    <w:uiPriority w:val="99"/>
    <w:qFormat/>
    <w:rsid w:val="002E222D"/>
    <w:pPr>
      <w:ind w:left="720"/>
      <w:contextualSpacing/>
    </w:pPr>
    <w:rPr>
      <w:lang w:val="bg-BG"/>
    </w:rPr>
  </w:style>
  <w:style w:type="paragraph" w:customStyle="1" w:styleId="CharCharChar1CharCharCharCharCharCharCharCharCharCharCharCharCharCharCharCharCharCharCharCharCharCharCharZchnZchnChar">
    <w:name w:val="Char Char Char1 Char Char Char Char Char Char Char Char Char Char Char Char Char Char Char Char Char Char Char Char Char Char Char Zchn Zchn Char"/>
    <w:basedOn w:val="Normal"/>
    <w:uiPriority w:val="99"/>
    <w:rsid w:val="002E222D"/>
    <w:pPr>
      <w:tabs>
        <w:tab w:val="left" w:pos="709"/>
      </w:tabs>
    </w:pPr>
    <w:rPr>
      <w:rFonts w:ascii="Tahoma" w:hAnsi="Tahoma"/>
      <w:lang w:val="pl-PL" w:eastAsia="pl-PL"/>
    </w:rPr>
  </w:style>
  <w:style w:type="character" w:customStyle="1" w:styleId="st">
    <w:name w:val="st"/>
    <w:basedOn w:val="DefaultParagraphFont"/>
    <w:uiPriority w:val="99"/>
    <w:rsid w:val="002E222D"/>
  </w:style>
  <w:style w:type="paragraph" w:customStyle="1" w:styleId="CharChar5">
    <w:name w:val="Знак Знак Знак Знак Char Char Знак Знак"/>
    <w:basedOn w:val="Normal"/>
    <w:uiPriority w:val="99"/>
    <w:rsid w:val="002E222D"/>
    <w:pPr>
      <w:tabs>
        <w:tab w:val="left" w:pos="709"/>
      </w:tabs>
    </w:pPr>
    <w:rPr>
      <w:rFonts w:ascii="Tahoma" w:hAnsi="Tahoma"/>
      <w:lang w:val="pl-PL" w:eastAsia="pl-PL"/>
    </w:rPr>
  </w:style>
  <w:style w:type="paragraph" w:customStyle="1" w:styleId="3">
    <w:name w:val="Знак Знак3"/>
    <w:basedOn w:val="Normal"/>
    <w:uiPriority w:val="99"/>
    <w:rsid w:val="002E222D"/>
    <w:pPr>
      <w:tabs>
        <w:tab w:val="left" w:pos="709"/>
      </w:tabs>
    </w:pPr>
    <w:rPr>
      <w:rFonts w:ascii="Tahoma" w:hAnsi="Tahoma"/>
      <w:lang w:val="pl-PL" w:eastAsia="pl-PL"/>
    </w:rPr>
  </w:style>
  <w:style w:type="paragraph" w:customStyle="1" w:styleId="font5">
    <w:name w:val="font5"/>
    <w:basedOn w:val="Normal"/>
    <w:uiPriority w:val="99"/>
    <w:rsid w:val="002E222D"/>
    <w:pPr>
      <w:spacing w:before="100" w:beforeAutospacing="1" w:after="100" w:afterAutospacing="1"/>
    </w:pPr>
    <w:rPr>
      <w:rFonts w:ascii="A4p" w:hAnsi="A4p"/>
      <w:sz w:val="18"/>
      <w:szCs w:val="18"/>
      <w:lang w:val="bg-BG" w:eastAsia="bg-BG"/>
    </w:rPr>
  </w:style>
  <w:style w:type="paragraph" w:customStyle="1" w:styleId="font6">
    <w:name w:val="font6"/>
    <w:basedOn w:val="Normal"/>
    <w:uiPriority w:val="99"/>
    <w:rsid w:val="002E222D"/>
    <w:pPr>
      <w:spacing w:before="100" w:beforeAutospacing="1" w:after="100" w:afterAutospacing="1"/>
    </w:pPr>
    <w:rPr>
      <w:rFonts w:ascii="A4p" w:hAnsi="A4p"/>
      <w:b/>
      <w:bCs/>
      <w:i/>
      <w:iCs/>
      <w:sz w:val="18"/>
      <w:szCs w:val="18"/>
      <w:lang w:val="bg-BG" w:eastAsia="bg-BG"/>
    </w:rPr>
  </w:style>
  <w:style w:type="paragraph" w:customStyle="1" w:styleId="xl27">
    <w:name w:val="xl27"/>
    <w:basedOn w:val="Normal"/>
    <w:uiPriority w:val="99"/>
    <w:rsid w:val="002E222D"/>
    <w:pPr>
      <w:spacing w:before="100" w:beforeAutospacing="1" w:after="100" w:afterAutospacing="1"/>
      <w:textAlignment w:val="center"/>
    </w:pPr>
    <w:rPr>
      <w:rFonts w:ascii="Arial" w:hAnsi="Arial" w:cs="Arial"/>
      <w:sz w:val="18"/>
      <w:szCs w:val="18"/>
      <w:lang w:val="bg-BG" w:eastAsia="bg-BG"/>
    </w:rPr>
  </w:style>
  <w:style w:type="paragraph" w:customStyle="1" w:styleId="xl28">
    <w:name w:val="xl28"/>
    <w:basedOn w:val="Normal"/>
    <w:uiPriority w:val="99"/>
    <w:rsid w:val="002E222D"/>
    <w:pPr>
      <w:spacing w:before="100" w:beforeAutospacing="1" w:after="100" w:afterAutospacing="1"/>
    </w:pPr>
    <w:rPr>
      <w:lang w:val="bg-BG" w:eastAsia="bg-BG"/>
    </w:rPr>
  </w:style>
  <w:style w:type="paragraph" w:customStyle="1" w:styleId="xl29">
    <w:name w:val="xl29"/>
    <w:basedOn w:val="Normal"/>
    <w:uiPriority w:val="99"/>
    <w:rsid w:val="002E222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4p" w:hAnsi="A4p"/>
      <w:sz w:val="18"/>
      <w:szCs w:val="18"/>
      <w:lang w:val="bg-BG" w:eastAsia="bg-BG"/>
    </w:rPr>
  </w:style>
  <w:style w:type="paragraph" w:customStyle="1" w:styleId="xl30">
    <w:name w:val="xl30"/>
    <w:basedOn w:val="Normal"/>
    <w:uiPriority w:val="99"/>
    <w:rsid w:val="002E222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4p" w:hAnsi="A4p"/>
      <w:sz w:val="18"/>
      <w:szCs w:val="18"/>
      <w:lang w:val="bg-BG" w:eastAsia="bg-BG"/>
    </w:rPr>
  </w:style>
  <w:style w:type="paragraph" w:customStyle="1" w:styleId="xl31">
    <w:name w:val="xl31"/>
    <w:basedOn w:val="Normal"/>
    <w:uiPriority w:val="99"/>
    <w:rsid w:val="002E222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4p" w:hAnsi="A4p"/>
      <w:sz w:val="14"/>
      <w:szCs w:val="14"/>
      <w:lang w:val="bg-BG" w:eastAsia="bg-BG"/>
    </w:rPr>
  </w:style>
  <w:style w:type="paragraph" w:customStyle="1" w:styleId="xl32">
    <w:name w:val="xl32"/>
    <w:basedOn w:val="Normal"/>
    <w:uiPriority w:val="99"/>
    <w:rsid w:val="002E222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4p" w:hAnsi="A4p"/>
      <w:sz w:val="14"/>
      <w:szCs w:val="14"/>
      <w:lang w:val="bg-BG" w:eastAsia="bg-BG"/>
    </w:rPr>
  </w:style>
  <w:style w:type="paragraph" w:customStyle="1" w:styleId="xl34">
    <w:name w:val="xl34"/>
    <w:basedOn w:val="Normal"/>
    <w:uiPriority w:val="99"/>
    <w:rsid w:val="002E222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4p" w:hAnsi="A4p"/>
      <w:sz w:val="18"/>
      <w:szCs w:val="18"/>
      <w:lang w:val="bg-BG" w:eastAsia="bg-BG"/>
    </w:rPr>
  </w:style>
  <w:style w:type="paragraph" w:customStyle="1" w:styleId="xl35">
    <w:name w:val="xl35"/>
    <w:basedOn w:val="Normal"/>
    <w:uiPriority w:val="99"/>
    <w:rsid w:val="002E222D"/>
    <w:pPr>
      <w:pBdr>
        <w:top w:val="single" w:sz="4" w:space="0" w:color="auto"/>
        <w:left w:val="single" w:sz="4" w:space="0" w:color="auto"/>
        <w:bottom w:val="single" w:sz="4" w:space="0" w:color="auto"/>
        <w:right w:val="single" w:sz="4" w:space="0" w:color="auto"/>
      </w:pBdr>
      <w:spacing w:before="100" w:beforeAutospacing="1" w:after="100" w:afterAutospacing="1"/>
    </w:pPr>
    <w:rPr>
      <w:rFonts w:ascii="A4p" w:hAnsi="A4p"/>
      <w:sz w:val="18"/>
      <w:szCs w:val="18"/>
      <w:lang w:val="bg-BG" w:eastAsia="bg-BG"/>
    </w:rPr>
  </w:style>
  <w:style w:type="paragraph" w:customStyle="1" w:styleId="xl36">
    <w:name w:val="xl36"/>
    <w:basedOn w:val="Normal"/>
    <w:uiPriority w:val="99"/>
    <w:rsid w:val="002E222D"/>
    <w:pPr>
      <w:pBdr>
        <w:top w:val="single" w:sz="4" w:space="0" w:color="auto"/>
        <w:left w:val="single" w:sz="4" w:space="0" w:color="auto"/>
        <w:bottom w:val="single" w:sz="4" w:space="0" w:color="auto"/>
        <w:right w:val="single" w:sz="4" w:space="0" w:color="auto"/>
      </w:pBdr>
      <w:spacing w:before="100" w:beforeAutospacing="1" w:after="100" w:afterAutospacing="1"/>
    </w:pPr>
    <w:rPr>
      <w:rFonts w:ascii="A4p" w:hAnsi="A4p"/>
      <w:sz w:val="18"/>
      <w:szCs w:val="18"/>
      <w:lang w:val="bg-BG" w:eastAsia="bg-BG"/>
    </w:rPr>
  </w:style>
  <w:style w:type="paragraph" w:customStyle="1" w:styleId="xl37">
    <w:name w:val="xl37"/>
    <w:basedOn w:val="Normal"/>
    <w:uiPriority w:val="99"/>
    <w:rsid w:val="002E222D"/>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4p" w:hAnsi="A4p"/>
      <w:sz w:val="18"/>
      <w:szCs w:val="18"/>
      <w:lang w:val="bg-BG" w:eastAsia="bg-BG"/>
    </w:rPr>
  </w:style>
  <w:style w:type="paragraph" w:customStyle="1" w:styleId="xl38">
    <w:name w:val="xl38"/>
    <w:basedOn w:val="Normal"/>
    <w:uiPriority w:val="99"/>
    <w:rsid w:val="002E222D"/>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4p" w:hAnsi="A4p"/>
      <w:sz w:val="18"/>
      <w:szCs w:val="18"/>
      <w:lang w:val="bg-BG" w:eastAsia="bg-BG"/>
    </w:rPr>
  </w:style>
  <w:style w:type="paragraph" w:customStyle="1" w:styleId="xl39">
    <w:name w:val="xl39"/>
    <w:basedOn w:val="Normal"/>
    <w:uiPriority w:val="99"/>
    <w:rsid w:val="002E222D"/>
    <w:pPr>
      <w:pBdr>
        <w:top w:val="single" w:sz="4" w:space="0" w:color="auto"/>
        <w:left w:val="single" w:sz="4" w:space="0" w:color="auto"/>
        <w:bottom w:val="single" w:sz="4" w:space="0" w:color="auto"/>
        <w:right w:val="single" w:sz="4" w:space="0" w:color="auto"/>
      </w:pBdr>
      <w:spacing w:before="100" w:beforeAutospacing="1" w:after="100" w:afterAutospacing="1"/>
    </w:pPr>
    <w:rPr>
      <w:rFonts w:ascii="A4p" w:hAnsi="A4p"/>
      <w:b/>
      <w:bCs/>
      <w:sz w:val="18"/>
      <w:szCs w:val="18"/>
      <w:lang w:val="bg-BG" w:eastAsia="bg-BG"/>
    </w:rPr>
  </w:style>
  <w:style w:type="paragraph" w:customStyle="1" w:styleId="xl40">
    <w:name w:val="xl40"/>
    <w:basedOn w:val="Normal"/>
    <w:uiPriority w:val="99"/>
    <w:rsid w:val="002E222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4p" w:hAnsi="A4p"/>
      <w:b/>
      <w:bCs/>
      <w:sz w:val="18"/>
      <w:szCs w:val="18"/>
      <w:lang w:val="bg-BG" w:eastAsia="bg-BG"/>
    </w:rPr>
  </w:style>
  <w:style w:type="paragraph" w:customStyle="1" w:styleId="xl41">
    <w:name w:val="xl41"/>
    <w:basedOn w:val="Normal"/>
    <w:uiPriority w:val="99"/>
    <w:rsid w:val="002E222D"/>
    <w:pPr>
      <w:pBdr>
        <w:top w:val="single" w:sz="4" w:space="0" w:color="auto"/>
        <w:left w:val="single" w:sz="4" w:space="0" w:color="auto"/>
        <w:bottom w:val="single" w:sz="4" w:space="0" w:color="auto"/>
        <w:right w:val="single" w:sz="4" w:space="0" w:color="auto"/>
      </w:pBdr>
      <w:spacing w:before="100" w:beforeAutospacing="1" w:after="100" w:afterAutospacing="1"/>
    </w:pPr>
    <w:rPr>
      <w:rFonts w:ascii="A4p" w:hAnsi="A4p"/>
      <w:b/>
      <w:bCs/>
      <w:sz w:val="18"/>
      <w:szCs w:val="18"/>
      <w:lang w:val="bg-BG" w:eastAsia="bg-BG"/>
    </w:rPr>
  </w:style>
  <w:style w:type="paragraph" w:customStyle="1" w:styleId="xl42">
    <w:name w:val="xl42"/>
    <w:basedOn w:val="Normal"/>
    <w:uiPriority w:val="99"/>
    <w:rsid w:val="002E222D"/>
    <w:pPr>
      <w:pBdr>
        <w:top w:val="single" w:sz="4" w:space="0" w:color="auto"/>
        <w:left w:val="single" w:sz="4" w:space="0" w:color="auto"/>
        <w:bottom w:val="single" w:sz="4" w:space="0" w:color="auto"/>
        <w:right w:val="single" w:sz="4" w:space="0" w:color="auto"/>
      </w:pBdr>
      <w:spacing w:before="100" w:beforeAutospacing="1" w:after="100" w:afterAutospacing="1"/>
    </w:pPr>
    <w:rPr>
      <w:rFonts w:ascii="A4p" w:hAnsi="A4p"/>
      <w:b/>
      <w:bCs/>
      <w:sz w:val="18"/>
      <w:szCs w:val="18"/>
      <w:lang w:val="bg-BG" w:eastAsia="bg-BG"/>
    </w:rPr>
  </w:style>
  <w:style w:type="paragraph" w:customStyle="1" w:styleId="xl43">
    <w:name w:val="xl43"/>
    <w:basedOn w:val="Normal"/>
    <w:uiPriority w:val="99"/>
    <w:rsid w:val="002E222D"/>
    <w:pPr>
      <w:pBdr>
        <w:top w:val="single" w:sz="4" w:space="0" w:color="auto"/>
        <w:left w:val="single" w:sz="4" w:space="0" w:color="auto"/>
        <w:bottom w:val="single" w:sz="4" w:space="0" w:color="auto"/>
        <w:right w:val="single" w:sz="4" w:space="0" w:color="auto"/>
      </w:pBdr>
      <w:spacing w:before="100" w:beforeAutospacing="1" w:after="100" w:afterAutospacing="1"/>
    </w:pPr>
    <w:rPr>
      <w:b/>
      <w:bCs/>
      <w:lang w:val="bg-BG" w:eastAsia="bg-BG"/>
    </w:rPr>
  </w:style>
  <w:style w:type="paragraph" w:customStyle="1" w:styleId="xl44">
    <w:name w:val="xl44"/>
    <w:basedOn w:val="Normal"/>
    <w:uiPriority w:val="99"/>
    <w:rsid w:val="002E222D"/>
    <w:pPr>
      <w:spacing w:before="100" w:beforeAutospacing="1" w:after="100" w:afterAutospacing="1"/>
      <w:textAlignment w:val="top"/>
    </w:pPr>
    <w:rPr>
      <w:rFonts w:ascii="A4p" w:hAnsi="A4p"/>
      <w:b/>
      <w:bCs/>
      <w:sz w:val="18"/>
      <w:szCs w:val="18"/>
      <w:lang w:val="bg-BG" w:eastAsia="bg-BG"/>
    </w:rPr>
  </w:style>
  <w:style w:type="paragraph" w:customStyle="1" w:styleId="xl45">
    <w:name w:val="xl45"/>
    <w:basedOn w:val="Normal"/>
    <w:uiPriority w:val="99"/>
    <w:rsid w:val="002E222D"/>
    <w:pPr>
      <w:spacing w:before="100" w:beforeAutospacing="1" w:after="100" w:afterAutospacing="1"/>
    </w:pPr>
    <w:rPr>
      <w:b/>
      <w:bCs/>
      <w:lang w:val="bg-BG" w:eastAsia="bg-BG"/>
    </w:rPr>
  </w:style>
  <w:style w:type="paragraph" w:customStyle="1" w:styleId="xl46">
    <w:name w:val="xl46"/>
    <w:basedOn w:val="Normal"/>
    <w:uiPriority w:val="99"/>
    <w:rsid w:val="002E222D"/>
    <w:pPr>
      <w:spacing w:before="100" w:beforeAutospacing="1" w:after="100" w:afterAutospacing="1"/>
    </w:pPr>
    <w:rPr>
      <w:rFonts w:ascii="A4p" w:hAnsi="A4p"/>
      <w:i/>
      <w:iCs/>
      <w:sz w:val="18"/>
      <w:szCs w:val="18"/>
      <w:lang w:val="bg-BG" w:eastAsia="bg-BG"/>
    </w:rPr>
  </w:style>
  <w:style w:type="paragraph" w:customStyle="1" w:styleId="xl47">
    <w:name w:val="xl47"/>
    <w:basedOn w:val="Normal"/>
    <w:uiPriority w:val="99"/>
    <w:rsid w:val="002E222D"/>
    <w:pPr>
      <w:spacing w:before="100" w:beforeAutospacing="1" w:after="100" w:afterAutospacing="1"/>
    </w:pPr>
    <w:rPr>
      <w:rFonts w:ascii="Arial" w:hAnsi="Arial" w:cs="Arial"/>
      <w:b/>
      <w:bCs/>
      <w:i/>
      <w:iCs/>
      <w:sz w:val="28"/>
      <w:szCs w:val="28"/>
      <w:lang w:val="bg-BG" w:eastAsia="bg-BG"/>
    </w:rPr>
  </w:style>
  <w:style w:type="paragraph" w:customStyle="1" w:styleId="xl48">
    <w:name w:val="xl48"/>
    <w:basedOn w:val="Normal"/>
    <w:uiPriority w:val="99"/>
    <w:rsid w:val="002E222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4p" w:hAnsi="A4p"/>
      <w:lang w:val="bg-BG" w:eastAsia="bg-BG"/>
    </w:rPr>
  </w:style>
  <w:style w:type="paragraph" w:customStyle="1" w:styleId="xl49">
    <w:name w:val="xl49"/>
    <w:basedOn w:val="Normal"/>
    <w:uiPriority w:val="99"/>
    <w:rsid w:val="002E222D"/>
    <w:pPr>
      <w:spacing w:before="100" w:beforeAutospacing="1" w:after="100" w:afterAutospacing="1"/>
      <w:textAlignment w:val="center"/>
    </w:pPr>
    <w:rPr>
      <w:rFonts w:ascii="Arial Narrow" w:hAnsi="Arial Narrow"/>
      <w:b/>
      <w:bCs/>
      <w:sz w:val="28"/>
      <w:szCs w:val="28"/>
      <w:lang w:val="bg-BG" w:eastAsia="bg-BG"/>
    </w:rPr>
  </w:style>
  <w:style w:type="paragraph" w:customStyle="1" w:styleId="xl50">
    <w:name w:val="xl50"/>
    <w:basedOn w:val="Normal"/>
    <w:uiPriority w:val="99"/>
    <w:rsid w:val="002E222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4p" w:hAnsi="A4p"/>
      <w:sz w:val="16"/>
      <w:szCs w:val="16"/>
      <w:lang w:val="bg-BG" w:eastAsia="bg-BG"/>
    </w:rPr>
  </w:style>
  <w:style w:type="paragraph" w:customStyle="1" w:styleId="msonormalcxspmiddle">
    <w:name w:val="msonormalcxspmiddle"/>
    <w:basedOn w:val="Normal"/>
    <w:uiPriority w:val="99"/>
    <w:rsid w:val="002E222D"/>
    <w:pPr>
      <w:spacing w:before="100" w:beforeAutospacing="1" w:after="100" w:afterAutospacing="1"/>
    </w:pPr>
    <w:rPr>
      <w:lang w:val="bg-BG" w:eastAsia="bg-BG"/>
    </w:rPr>
  </w:style>
  <w:style w:type="paragraph" w:customStyle="1" w:styleId="msonormalcxsplast">
    <w:name w:val="msonormalcxsplast"/>
    <w:basedOn w:val="Normal"/>
    <w:uiPriority w:val="99"/>
    <w:rsid w:val="002E222D"/>
    <w:pPr>
      <w:spacing w:before="100" w:beforeAutospacing="1" w:after="100" w:afterAutospacing="1"/>
    </w:pPr>
    <w:rPr>
      <w:lang w:val="bg-BG" w:eastAsia="bg-BG"/>
    </w:rPr>
  </w:style>
  <w:style w:type="paragraph" w:customStyle="1" w:styleId="CharCharCharCharCharCharChar0">
    <w:name w:val="Char Char Знак Знак Char Char Char Знак Знак Char Знак Знак Char"/>
    <w:basedOn w:val="Normal"/>
    <w:uiPriority w:val="99"/>
    <w:rsid w:val="002E222D"/>
    <w:rPr>
      <w:lang w:val="pl-PL" w:eastAsia="pl-PL"/>
    </w:rPr>
  </w:style>
  <w:style w:type="paragraph" w:customStyle="1" w:styleId="20">
    <w:name w:val="2"/>
    <w:basedOn w:val="Normal"/>
    <w:uiPriority w:val="99"/>
    <w:rsid w:val="002E222D"/>
    <w:pPr>
      <w:tabs>
        <w:tab w:val="left" w:pos="709"/>
      </w:tabs>
    </w:pPr>
    <w:rPr>
      <w:rFonts w:ascii="Tahoma" w:hAnsi="Tahoma"/>
      <w:lang w:val="pl-PL" w:eastAsia="pl-PL"/>
    </w:rPr>
  </w:style>
  <w:style w:type="paragraph" w:customStyle="1" w:styleId="style2">
    <w:name w:val="style"/>
    <w:basedOn w:val="Normal"/>
    <w:uiPriority w:val="99"/>
    <w:rsid w:val="002E222D"/>
    <w:pPr>
      <w:spacing w:before="100" w:beforeAutospacing="1" w:after="100" w:afterAutospacing="1"/>
    </w:pPr>
    <w:rPr>
      <w:lang w:val="bg-BG" w:eastAsia="bg-BG"/>
    </w:rPr>
  </w:style>
  <w:style w:type="paragraph" w:styleId="EndnoteText">
    <w:name w:val="endnote text"/>
    <w:basedOn w:val="Normal"/>
    <w:link w:val="EndnoteTextChar"/>
    <w:uiPriority w:val="99"/>
    <w:semiHidden/>
    <w:rsid w:val="002E222D"/>
    <w:rPr>
      <w:caps/>
      <w:sz w:val="20"/>
      <w:szCs w:val="20"/>
      <w:lang w:val="bg-BG"/>
    </w:rPr>
  </w:style>
  <w:style w:type="character" w:customStyle="1" w:styleId="EndnoteTextChar">
    <w:name w:val="Endnote Text Char"/>
    <w:basedOn w:val="DefaultParagraphFont"/>
    <w:link w:val="EndnoteText"/>
    <w:uiPriority w:val="99"/>
    <w:semiHidden/>
    <w:rsid w:val="002E222D"/>
    <w:rPr>
      <w:rFonts w:ascii="Times New Roman" w:eastAsia="Times New Roman" w:hAnsi="Times New Roman" w:cs="Times New Roman"/>
      <w:caps/>
      <w:sz w:val="20"/>
      <w:szCs w:val="20"/>
      <w:lang w:val="bg-BG"/>
    </w:rPr>
  </w:style>
  <w:style w:type="paragraph" w:customStyle="1" w:styleId="style10">
    <w:name w:val="style1"/>
    <w:basedOn w:val="Normal"/>
    <w:uiPriority w:val="99"/>
    <w:rsid w:val="002E222D"/>
    <w:pPr>
      <w:spacing w:before="100" w:beforeAutospacing="1" w:after="100" w:afterAutospacing="1"/>
    </w:pPr>
    <w:rPr>
      <w:lang w:val="bg-BG" w:eastAsia="bg-BG"/>
    </w:rPr>
  </w:style>
  <w:style w:type="table" w:styleId="TableWeb3">
    <w:name w:val="Table Web 3"/>
    <w:basedOn w:val="TableNormal"/>
    <w:rsid w:val="002E222D"/>
    <w:pPr>
      <w:spacing w:after="0" w:line="240" w:lineRule="auto"/>
    </w:pPr>
    <w:rPr>
      <w:rFonts w:ascii="Times New Roman" w:eastAsia="Times New Roman" w:hAnsi="Times New Roman" w:cs="Times New Roman"/>
      <w:sz w:val="20"/>
      <w:szCs w:val="20"/>
      <w:lang w:val="bg-BG" w:eastAsia="bg-BG"/>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CharCharChar1">
    <w:name w:val="Char Char Знак Char"/>
    <w:basedOn w:val="Normal"/>
    <w:uiPriority w:val="99"/>
    <w:rsid w:val="002E222D"/>
    <w:pPr>
      <w:tabs>
        <w:tab w:val="left" w:pos="709"/>
      </w:tabs>
    </w:pPr>
    <w:rPr>
      <w:rFonts w:ascii="Tahoma" w:hAnsi="Tahoma"/>
      <w:lang w:val="pl-PL" w:eastAsia="pl-PL"/>
    </w:rPr>
  </w:style>
  <w:style w:type="character" w:customStyle="1" w:styleId="hps">
    <w:name w:val="hps"/>
    <w:basedOn w:val="DefaultParagraphFont"/>
    <w:uiPriority w:val="99"/>
    <w:rsid w:val="002E222D"/>
  </w:style>
  <w:style w:type="paragraph" w:customStyle="1" w:styleId="CharCharCharCharChar1">
    <w:name w:val="Char Char Char Char Char"/>
    <w:basedOn w:val="Normal"/>
    <w:uiPriority w:val="99"/>
    <w:rsid w:val="002E222D"/>
    <w:pPr>
      <w:tabs>
        <w:tab w:val="left" w:pos="709"/>
      </w:tabs>
    </w:pPr>
    <w:rPr>
      <w:rFonts w:ascii="Tahoma" w:hAnsi="Tahoma"/>
      <w:lang w:val="pl-PL" w:eastAsia="pl-PL"/>
    </w:rPr>
  </w:style>
  <w:style w:type="character" w:customStyle="1" w:styleId="longtext">
    <w:name w:val="long_text"/>
    <w:basedOn w:val="DefaultParagraphFont"/>
    <w:uiPriority w:val="99"/>
    <w:rsid w:val="002E222D"/>
  </w:style>
  <w:style w:type="character" w:customStyle="1" w:styleId="hpsatn">
    <w:name w:val="hps atn"/>
    <w:basedOn w:val="DefaultParagraphFont"/>
    <w:uiPriority w:val="99"/>
    <w:rsid w:val="002E222D"/>
  </w:style>
  <w:style w:type="paragraph" w:customStyle="1" w:styleId="CharCharCharCharCharChar1">
    <w:name w:val="Char Char Знак Знак Char Char Знак Знак Char Char1 Знак Знак"/>
    <w:basedOn w:val="Normal"/>
    <w:uiPriority w:val="99"/>
    <w:rsid w:val="002E222D"/>
    <w:rPr>
      <w:lang w:val="pl-PL" w:eastAsia="pl-PL"/>
    </w:rPr>
  </w:style>
  <w:style w:type="character" w:customStyle="1" w:styleId="notranslate">
    <w:name w:val="notranslate"/>
    <w:basedOn w:val="DefaultParagraphFont"/>
    <w:uiPriority w:val="99"/>
    <w:rsid w:val="002E222D"/>
  </w:style>
  <w:style w:type="paragraph" w:customStyle="1" w:styleId="ListParagraph1">
    <w:name w:val="List Paragraph1"/>
    <w:basedOn w:val="Normal"/>
    <w:link w:val="ListParagraphChar"/>
    <w:uiPriority w:val="99"/>
    <w:rsid w:val="002E222D"/>
    <w:pPr>
      <w:numPr>
        <w:numId w:val="9"/>
      </w:numPr>
      <w:tabs>
        <w:tab w:val="left" w:pos="1800"/>
      </w:tabs>
      <w:contextualSpacing/>
      <w:jc w:val="both"/>
    </w:pPr>
    <w:rPr>
      <w:rFonts w:ascii="Arial" w:hAnsi="Arial"/>
      <w:b/>
      <w:lang w:val="bg-BG" w:eastAsia="bg-BG"/>
    </w:rPr>
  </w:style>
  <w:style w:type="character" w:customStyle="1" w:styleId="ListParagraphChar">
    <w:name w:val="List Paragraph Char"/>
    <w:aliases w:val="List Paragraph1 Char,List1 Char,List Paragraph11 Char,bullet2 Char,Гл точки Char,Style 1 Char,C 1 Char,Normal List Char,Endnote Char,Indent Char,ПАРАГРАФ Char,Colorful List - Accent 11 Char,List Paragraph111 Char"/>
    <w:link w:val="ListParagraph1"/>
    <w:uiPriority w:val="99"/>
    <w:qFormat/>
    <w:locked/>
    <w:rsid w:val="002E222D"/>
    <w:rPr>
      <w:rFonts w:ascii="Arial" w:eastAsia="Times New Roman" w:hAnsi="Arial" w:cs="Times New Roman"/>
      <w:b/>
      <w:sz w:val="24"/>
      <w:szCs w:val="24"/>
      <w:lang w:val="bg-BG" w:eastAsia="bg-BG"/>
    </w:rPr>
  </w:style>
  <w:style w:type="paragraph" w:customStyle="1" w:styleId="title1">
    <w:name w:val="title1"/>
    <w:basedOn w:val="Normal"/>
    <w:uiPriority w:val="99"/>
    <w:rsid w:val="002E222D"/>
    <w:pPr>
      <w:spacing w:after="100" w:afterAutospacing="1"/>
      <w:jc w:val="center"/>
      <w:textAlignment w:val="center"/>
    </w:pPr>
    <w:rPr>
      <w:b/>
      <w:bCs/>
      <w:sz w:val="30"/>
      <w:szCs w:val="30"/>
      <w:lang w:val="bg-BG" w:eastAsia="bg-BG"/>
    </w:rPr>
  </w:style>
  <w:style w:type="paragraph" w:customStyle="1" w:styleId="CharCharCharCharCharCharCharCharCharCharCharChar">
    <w:name w:val="Char Знак Знак Char Char Char Char Char Char Char Char Char Char Char Знак Знак"/>
    <w:basedOn w:val="Normal"/>
    <w:uiPriority w:val="99"/>
    <w:rsid w:val="002E222D"/>
    <w:pPr>
      <w:tabs>
        <w:tab w:val="left" w:pos="709"/>
      </w:tabs>
    </w:pPr>
    <w:rPr>
      <w:rFonts w:ascii="Tahoma" w:hAnsi="Tahoma"/>
      <w:lang w:val="pl-PL" w:eastAsia="pl-PL"/>
    </w:rPr>
  </w:style>
  <w:style w:type="character" w:customStyle="1" w:styleId="CharChar18">
    <w:name w:val="Char Char18"/>
    <w:semiHidden/>
    <w:rsid w:val="002E222D"/>
    <w:rPr>
      <w:b/>
      <w:bCs/>
      <w:sz w:val="28"/>
      <w:szCs w:val="28"/>
      <w:lang w:val="en-GB" w:eastAsia="en-US" w:bidi="ar-SA"/>
    </w:rPr>
  </w:style>
  <w:style w:type="character" w:customStyle="1" w:styleId="13">
    <w:name w:val="Основен текст1"/>
    <w:uiPriority w:val="99"/>
    <w:rsid w:val="002E222D"/>
    <w:rPr>
      <w:rFonts w:ascii="Times New Roman" w:eastAsia="Times New Roman" w:hAnsi="Times New Roman" w:cs="Times New Roman"/>
      <w:b w:val="0"/>
      <w:bCs w:val="0"/>
      <w:i w:val="0"/>
      <w:iCs w:val="0"/>
      <w:smallCaps w:val="0"/>
      <w:strike w:val="0"/>
      <w:spacing w:val="0"/>
      <w:sz w:val="24"/>
      <w:szCs w:val="24"/>
    </w:rPr>
  </w:style>
  <w:style w:type="character" w:customStyle="1" w:styleId="FontStyle137">
    <w:name w:val="Font Style137"/>
    <w:uiPriority w:val="99"/>
    <w:rsid w:val="002E222D"/>
    <w:rPr>
      <w:rFonts w:ascii="Times New Roman" w:hAnsi="Times New Roman" w:cs="Times New Roman"/>
      <w:sz w:val="20"/>
      <w:szCs w:val="20"/>
    </w:rPr>
  </w:style>
  <w:style w:type="paragraph" w:customStyle="1" w:styleId="Style17">
    <w:name w:val="Style17"/>
    <w:basedOn w:val="Normal"/>
    <w:uiPriority w:val="99"/>
    <w:rsid w:val="002E222D"/>
    <w:pPr>
      <w:widowControl w:val="0"/>
      <w:autoSpaceDE w:val="0"/>
      <w:autoSpaceDN w:val="0"/>
      <w:adjustRightInd w:val="0"/>
      <w:spacing w:line="275" w:lineRule="exact"/>
      <w:ind w:firstLine="715"/>
      <w:jc w:val="both"/>
    </w:pPr>
    <w:rPr>
      <w:rFonts w:ascii="Arial" w:hAnsi="Arial" w:cs="Arial"/>
      <w:lang w:val="bg-BG" w:eastAsia="bg-BG"/>
    </w:rPr>
  </w:style>
  <w:style w:type="paragraph" w:customStyle="1" w:styleId="Style4">
    <w:name w:val="Style4"/>
    <w:basedOn w:val="Normal"/>
    <w:uiPriority w:val="99"/>
    <w:rsid w:val="002E222D"/>
    <w:pPr>
      <w:widowControl w:val="0"/>
      <w:autoSpaceDE w:val="0"/>
      <w:autoSpaceDN w:val="0"/>
      <w:adjustRightInd w:val="0"/>
    </w:pPr>
    <w:rPr>
      <w:rFonts w:ascii="Arial" w:hAnsi="Arial"/>
      <w:lang w:val="bg-BG" w:eastAsia="bg-BG"/>
    </w:rPr>
  </w:style>
  <w:style w:type="character" w:customStyle="1" w:styleId="FontStyle91">
    <w:name w:val="Font Style91"/>
    <w:uiPriority w:val="99"/>
    <w:rsid w:val="002E222D"/>
    <w:rPr>
      <w:rFonts w:ascii="Times New Roman" w:hAnsi="Times New Roman" w:cs="Times New Roman"/>
      <w:b/>
      <w:bCs/>
      <w:sz w:val="38"/>
      <w:szCs w:val="38"/>
    </w:rPr>
  </w:style>
  <w:style w:type="paragraph" w:customStyle="1" w:styleId="Char2CharCharCharCharCharCharCharCharChar">
    <w:name w:val="Char2 Char Char Char Char Char Char Char Char Char"/>
    <w:basedOn w:val="Normal"/>
    <w:rsid w:val="002E222D"/>
    <w:pPr>
      <w:tabs>
        <w:tab w:val="left" w:pos="709"/>
      </w:tabs>
    </w:pPr>
    <w:rPr>
      <w:rFonts w:ascii="Tahoma" w:hAnsi="Tahoma" w:cs="Tahoma"/>
      <w:lang w:val="pl-PL" w:eastAsia="pl-PL"/>
    </w:rPr>
  </w:style>
  <w:style w:type="table" w:customStyle="1" w:styleId="TableGrid12">
    <w:name w:val="Table Grid12"/>
    <w:basedOn w:val="TableNormal"/>
    <w:next w:val="TableGrid"/>
    <w:rsid w:val="002E222D"/>
    <w:pPr>
      <w:spacing w:after="0" w:line="240" w:lineRule="auto"/>
    </w:pPr>
    <w:rPr>
      <w:rFonts w:ascii="Times New Roman" w:eastAsia="Times New Roman" w:hAnsi="Times New Roman" w:cs="Times New Roman"/>
      <w:sz w:val="20"/>
      <w:szCs w:val="20"/>
      <w:lang w:val="bg-B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10">
    <w:name w:val="Char Char Char1"/>
    <w:basedOn w:val="Normal"/>
    <w:link w:val="CharCharCharChar11"/>
    <w:uiPriority w:val="99"/>
    <w:rsid w:val="002E222D"/>
    <w:pPr>
      <w:tabs>
        <w:tab w:val="left" w:pos="709"/>
      </w:tabs>
    </w:pPr>
    <w:rPr>
      <w:rFonts w:ascii="Tahoma" w:hAnsi="Tahoma"/>
      <w:lang w:val="pl-PL" w:eastAsia="pl-PL"/>
    </w:rPr>
  </w:style>
  <w:style w:type="character" w:customStyle="1" w:styleId="CharCharCharChar11">
    <w:name w:val="Char Char Char Char11"/>
    <w:link w:val="CharCharChar10"/>
    <w:uiPriority w:val="99"/>
    <w:locked/>
    <w:rsid w:val="002E222D"/>
    <w:rPr>
      <w:rFonts w:ascii="Tahoma" w:eastAsia="Times New Roman" w:hAnsi="Tahoma" w:cs="Times New Roman"/>
      <w:sz w:val="24"/>
      <w:szCs w:val="24"/>
      <w:lang w:val="pl-PL" w:eastAsia="pl-PL"/>
    </w:rPr>
  </w:style>
  <w:style w:type="paragraph" w:customStyle="1" w:styleId="FVOStandardParagraph">
    <w:name w:val="FVOStandardParagraph"/>
    <w:basedOn w:val="Normal"/>
    <w:uiPriority w:val="99"/>
    <w:rsid w:val="002E222D"/>
    <w:pPr>
      <w:widowControl w:val="0"/>
      <w:autoSpaceDN w:val="0"/>
      <w:adjustRightInd w:val="0"/>
      <w:spacing w:after="283"/>
      <w:jc w:val="both"/>
    </w:pPr>
    <w:rPr>
      <w:rFonts w:eastAsia="Arial Unicode MS"/>
      <w:lang w:eastAsia="en-GB"/>
    </w:rPr>
  </w:style>
  <w:style w:type="numbering" w:customStyle="1" w:styleId="NoList21">
    <w:name w:val="No List21"/>
    <w:next w:val="NoList"/>
    <w:uiPriority w:val="99"/>
    <w:semiHidden/>
    <w:unhideWhenUsed/>
    <w:rsid w:val="002E222D"/>
  </w:style>
  <w:style w:type="character" w:styleId="LineNumber">
    <w:name w:val="line number"/>
    <w:basedOn w:val="DefaultParagraphFont"/>
    <w:uiPriority w:val="99"/>
    <w:semiHidden/>
    <w:rsid w:val="002E222D"/>
    <w:rPr>
      <w:rFonts w:cs="Times New Roman"/>
    </w:rPr>
  </w:style>
  <w:style w:type="paragraph" w:customStyle="1" w:styleId="CharChar6CharCharCharChar10">
    <w:name w:val="Char Char6 Char Char Char Char1"/>
    <w:basedOn w:val="Normal"/>
    <w:uiPriority w:val="99"/>
    <w:rsid w:val="002E222D"/>
    <w:pPr>
      <w:tabs>
        <w:tab w:val="left" w:pos="709"/>
      </w:tabs>
    </w:pPr>
    <w:rPr>
      <w:rFonts w:ascii="Tahoma" w:hAnsi="Tahoma" w:cs="Tahoma"/>
      <w:lang w:val="pl-PL" w:eastAsia="pl-PL"/>
    </w:rPr>
  </w:style>
  <w:style w:type="table" w:customStyle="1" w:styleId="TableGrid21">
    <w:name w:val="Table Grid21"/>
    <w:basedOn w:val="TableNormal"/>
    <w:next w:val="TableGrid"/>
    <w:uiPriority w:val="99"/>
    <w:rsid w:val="002E222D"/>
    <w:pPr>
      <w:spacing w:after="0" w:line="240" w:lineRule="auto"/>
    </w:pPr>
    <w:rPr>
      <w:rFonts w:ascii="Times New Roman" w:eastAsia="Times New Roman" w:hAnsi="Times New Roman" w:cs="Times New Roman"/>
      <w:sz w:val="20"/>
      <w:szCs w:val="20"/>
      <w:lang w:val="bg-B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
    <w:name w:val="Знак Знак4"/>
    <w:basedOn w:val="Normal"/>
    <w:uiPriority w:val="99"/>
    <w:rsid w:val="002E222D"/>
    <w:pPr>
      <w:tabs>
        <w:tab w:val="left" w:pos="709"/>
      </w:tabs>
    </w:pPr>
    <w:rPr>
      <w:rFonts w:ascii="Tahoma" w:hAnsi="Tahoma"/>
      <w:lang w:val="pl-PL" w:eastAsia="pl-PL"/>
    </w:rPr>
  </w:style>
  <w:style w:type="paragraph" w:customStyle="1" w:styleId="11">
    <w:name w:val="Знак Знак11"/>
    <w:basedOn w:val="Normal"/>
    <w:uiPriority w:val="99"/>
    <w:rsid w:val="002E222D"/>
    <w:pPr>
      <w:numPr>
        <w:numId w:val="10"/>
      </w:numPr>
      <w:tabs>
        <w:tab w:val="left" w:pos="709"/>
      </w:tabs>
      <w:ind w:left="0" w:firstLine="0"/>
    </w:pPr>
    <w:rPr>
      <w:rFonts w:ascii="Tahoma" w:hAnsi="Tahoma"/>
      <w:lang w:val="pl-PL" w:eastAsia="pl-PL"/>
    </w:rPr>
  </w:style>
  <w:style w:type="paragraph" w:customStyle="1" w:styleId="CharCharCharChar20">
    <w:name w:val="Char Char Char Char2"/>
    <w:basedOn w:val="Normal"/>
    <w:uiPriority w:val="99"/>
    <w:rsid w:val="002E222D"/>
    <w:pPr>
      <w:spacing w:after="160" w:line="240" w:lineRule="exact"/>
    </w:pPr>
    <w:rPr>
      <w:rFonts w:ascii="Tahoma" w:hAnsi="Tahoma"/>
      <w:sz w:val="20"/>
      <w:szCs w:val="20"/>
    </w:rPr>
  </w:style>
  <w:style w:type="table" w:customStyle="1" w:styleId="TableWeb31">
    <w:name w:val="Table Web 31"/>
    <w:basedOn w:val="TableNormal"/>
    <w:next w:val="TableWeb3"/>
    <w:uiPriority w:val="99"/>
    <w:rsid w:val="002E222D"/>
    <w:pPr>
      <w:spacing w:after="0" w:line="240" w:lineRule="auto"/>
    </w:pPr>
    <w:rPr>
      <w:rFonts w:ascii="Times New Roman" w:eastAsia="Times New Roman" w:hAnsi="Times New Roman" w:cs="Times New Roman"/>
      <w:sz w:val="20"/>
      <w:szCs w:val="20"/>
      <w:lang w:val="bg-BG" w:eastAsia="bg-BG"/>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TableGrid111">
    <w:name w:val="Table Grid111"/>
    <w:uiPriority w:val="99"/>
    <w:rsid w:val="002E222D"/>
    <w:pPr>
      <w:spacing w:after="0" w:line="240" w:lineRule="auto"/>
    </w:pPr>
    <w:rPr>
      <w:rFonts w:ascii="Times New Roman" w:eastAsia="Times New Roman" w:hAnsi="Times New Roman" w:cs="Times New Roman"/>
      <w:sz w:val="20"/>
      <w:szCs w:val="20"/>
      <w:lang w:val="bg-BG" w:eastAsia="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2">
    <w:name w:val="Char Char Char2"/>
    <w:basedOn w:val="Normal"/>
    <w:link w:val="CharCharCharChar12"/>
    <w:uiPriority w:val="99"/>
    <w:rsid w:val="002E222D"/>
    <w:pPr>
      <w:tabs>
        <w:tab w:val="left" w:pos="709"/>
      </w:tabs>
    </w:pPr>
    <w:rPr>
      <w:rFonts w:ascii="Tahoma" w:hAnsi="Tahoma"/>
      <w:szCs w:val="20"/>
      <w:lang w:val="pl-PL" w:eastAsia="pl-PL"/>
    </w:rPr>
  </w:style>
  <w:style w:type="character" w:customStyle="1" w:styleId="CharCharCharChar12">
    <w:name w:val="Char Char Char Char12"/>
    <w:link w:val="CharCharChar2"/>
    <w:uiPriority w:val="99"/>
    <w:locked/>
    <w:rsid w:val="002E222D"/>
    <w:rPr>
      <w:rFonts w:ascii="Tahoma" w:eastAsia="Calibri" w:hAnsi="Tahoma" w:cs="Times New Roman"/>
      <w:sz w:val="24"/>
      <w:szCs w:val="20"/>
      <w:lang w:val="pl-PL" w:eastAsia="pl-PL"/>
    </w:rPr>
  </w:style>
  <w:style w:type="table" w:customStyle="1" w:styleId="TableGrid211">
    <w:name w:val="Table Grid211"/>
    <w:uiPriority w:val="99"/>
    <w:rsid w:val="002E222D"/>
    <w:pPr>
      <w:spacing w:after="0" w:line="240" w:lineRule="auto"/>
    </w:pPr>
    <w:rPr>
      <w:rFonts w:ascii="Calibri" w:eastAsia="Calibri" w:hAnsi="Calibri" w:cs="Times New Roman"/>
      <w:sz w:val="20"/>
      <w:szCs w:val="20"/>
      <w:lang w:val="bg-BG" w:eastAsia="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hidden/>
    <w:uiPriority w:val="99"/>
    <w:semiHidden/>
    <w:rsid w:val="002E222D"/>
    <w:pPr>
      <w:spacing w:after="0" w:line="240" w:lineRule="auto"/>
    </w:pPr>
    <w:rPr>
      <w:rFonts w:ascii="Times New Roman" w:eastAsia="Times New Roman" w:hAnsi="Times New Roman" w:cs="Times New Roman"/>
      <w:sz w:val="24"/>
      <w:szCs w:val="24"/>
      <w:lang w:val="bg-BG" w:eastAsia="bg-BG"/>
    </w:rPr>
  </w:style>
  <w:style w:type="paragraph" w:customStyle="1" w:styleId="Char2CharCharCharCharCharCharCharCharCharCharCharCharChar">
    <w:name w:val="Char2 Char Char Char Char Char Char Char Char Char Char Char Char Char"/>
    <w:basedOn w:val="Normal"/>
    <w:rsid w:val="002E222D"/>
    <w:pPr>
      <w:tabs>
        <w:tab w:val="left" w:pos="709"/>
      </w:tabs>
    </w:pPr>
    <w:rPr>
      <w:rFonts w:ascii="Tahoma" w:hAnsi="Tahoma" w:cs="Tahoma"/>
      <w:lang w:val="pl-PL" w:eastAsia="pl-PL"/>
    </w:rPr>
  </w:style>
  <w:style w:type="paragraph" w:customStyle="1" w:styleId="Char2CharCharCharCharCharCharCharCharChar1">
    <w:name w:val="Char2 Char Char Char Char Char Char Char Char Char1"/>
    <w:basedOn w:val="Normal"/>
    <w:uiPriority w:val="99"/>
    <w:rsid w:val="002E222D"/>
    <w:pPr>
      <w:tabs>
        <w:tab w:val="left" w:pos="709"/>
      </w:tabs>
    </w:pPr>
    <w:rPr>
      <w:rFonts w:ascii="Tahoma" w:hAnsi="Tahoma" w:cs="Tahoma"/>
      <w:lang w:val="pl-PL" w:eastAsia="pl-PL"/>
    </w:rPr>
  </w:style>
  <w:style w:type="paragraph" w:customStyle="1" w:styleId="CharCharChar3">
    <w:name w:val="Char Знак Знак Char Char Знак Знак"/>
    <w:basedOn w:val="Normal"/>
    <w:uiPriority w:val="99"/>
    <w:rsid w:val="002E222D"/>
    <w:pPr>
      <w:tabs>
        <w:tab w:val="left" w:pos="709"/>
      </w:tabs>
    </w:pPr>
    <w:rPr>
      <w:rFonts w:ascii="Tahoma" w:hAnsi="Tahoma"/>
      <w:lang w:val="pl-PL" w:eastAsia="pl-PL"/>
    </w:rPr>
  </w:style>
  <w:style w:type="paragraph" w:customStyle="1" w:styleId="CharChar6CharCharCharChar2">
    <w:name w:val="Char Char6 Char Char Char Char2"/>
    <w:basedOn w:val="Normal"/>
    <w:uiPriority w:val="99"/>
    <w:rsid w:val="002E222D"/>
    <w:pPr>
      <w:tabs>
        <w:tab w:val="left" w:pos="709"/>
      </w:tabs>
    </w:pPr>
    <w:rPr>
      <w:rFonts w:ascii="Tahoma" w:hAnsi="Tahoma" w:cs="Tahoma"/>
      <w:lang w:val="pl-PL" w:eastAsia="pl-PL"/>
    </w:rPr>
  </w:style>
  <w:style w:type="paragraph" w:customStyle="1" w:styleId="CharChar50">
    <w:name w:val="Char Char5"/>
    <w:basedOn w:val="Normal"/>
    <w:rsid w:val="002E222D"/>
    <w:pPr>
      <w:widowControl w:val="0"/>
      <w:autoSpaceDE w:val="0"/>
      <w:autoSpaceDN w:val="0"/>
      <w:adjustRightInd w:val="0"/>
    </w:pPr>
    <w:rPr>
      <w:sz w:val="20"/>
      <w:szCs w:val="20"/>
      <w:lang w:val="pl-PL" w:eastAsia="pl-PL"/>
    </w:rPr>
  </w:style>
  <w:style w:type="numbering" w:customStyle="1" w:styleId="NoList31">
    <w:name w:val="No List31"/>
    <w:next w:val="NoList"/>
    <w:uiPriority w:val="99"/>
    <w:semiHidden/>
    <w:unhideWhenUsed/>
    <w:rsid w:val="002E222D"/>
  </w:style>
  <w:style w:type="table" w:customStyle="1" w:styleId="TableGrid4">
    <w:name w:val="Table Grid4"/>
    <w:basedOn w:val="TableNormal"/>
    <w:next w:val="TableGrid"/>
    <w:uiPriority w:val="99"/>
    <w:rsid w:val="002E222D"/>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32">
    <w:name w:val="Table Web 32"/>
    <w:basedOn w:val="TableNormal"/>
    <w:next w:val="TableWeb3"/>
    <w:uiPriority w:val="99"/>
    <w:rsid w:val="002E222D"/>
    <w:pPr>
      <w:spacing w:after="0" w:line="240" w:lineRule="auto"/>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TableGrid22">
    <w:name w:val="Table Grid22"/>
    <w:uiPriority w:val="99"/>
    <w:rsid w:val="002E222D"/>
    <w:pPr>
      <w:spacing w:after="0" w:line="240" w:lineRule="auto"/>
    </w:pPr>
    <w:rPr>
      <w:rFonts w:ascii="Calibri" w:eastAsia="Calibri" w:hAnsi="Calibri" w:cs="Times New Roman"/>
      <w:sz w:val="20"/>
      <w:szCs w:val="20"/>
      <w:lang w:val="bg-BG" w:eastAsia="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uiPriority w:val="99"/>
    <w:rsid w:val="002E222D"/>
    <w:pPr>
      <w:spacing w:after="0" w:line="240" w:lineRule="auto"/>
    </w:pPr>
    <w:rPr>
      <w:rFonts w:ascii="Times New Roman" w:eastAsia="Times New Roman" w:hAnsi="Times New Roman" w:cs="Times New Roman"/>
      <w:sz w:val="20"/>
      <w:szCs w:val="20"/>
      <w:lang w:val="bg-BG" w:eastAsia="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
    <w:name w:val="No List111"/>
    <w:next w:val="NoList"/>
    <w:uiPriority w:val="99"/>
    <w:semiHidden/>
    <w:unhideWhenUsed/>
    <w:rsid w:val="002E222D"/>
  </w:style>
  <w:style w:type="numbering" w:customStyle="1" w:styleId="NoList211">
    <w:name w:val="No List211"/>
    <w:next w:val="NoList"/>
    <w:uiPriority w:val="99"/>
    <w:semiHidden/>
    <w:unhideWhenUsed/>
    <w:rsid w:val="002E222D"/>
  </w:style>
  <w:style w:type="numbering" w:customStyle="1" w:styleId="NoList311">
    <w:name w:val="No List311"/>
    <w:next w:val="NoList"/>
    <w:semiHidden/>
    <w:rsid w:val="002E222D"/>
  </w:style>
  <w:style w:type="numbering" w:customStyle="1" w:styleId="NoList41">
    <w:name w:val="No List41"/>
    <w:next w:val="NoList"/>
    <w:uiPriority w:val="99"/>
    <w:semiHidden/>
    <w:unhideWhenUsed/>
    <w:rsid w:val="002E222D"/>
  </w:style>
  <w:style w:type="table" w:customStyle="1" w:styleId="TableWeb311">
    <w:name w:val="Table Web 311"/>
    <w:basedOn w:val="TableNormal"/>
    <w:next w:val="TableWeb3"/>
    <w:uiPriority w:val="99"/>
    <w:rsid w:val="002E222D"/>
    <w:pPr>
      <w:spacing w:after="0" w:line="240" w:lineRule="auto"/>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character" w:customStyle="1" w:styleId="21">
    <w:name w:val="Основен текст (2)_"/>
    <w:link w:val="210"/>
    <w:locked/>
    <w:rsid w:val="002E222D"/>
    <w:rPr>
      <w:rFonts w:ascii="Lucida Sans Unicode" w:hAnsi="Lucida Sans Unicode"/>
      <w:sz w:val="19"/>
      <w:szCs w:val="19"/>
      <w:shd w:val="clear" w:color="auto" w:fill="FFFFFF"/>
    </w:rPr>
  </w:style>
  <w:style w:type="paragraph" w:customStyle="1" w:styleId="210">
    <w:name w:val="Основен текст (2)1"/>
    <w:basedOn w:val="Normal"/>
    <w:link w:val="21"/>
    <w:rsid w:val="002E222D"/>
    <w:pPr>
      <w:widowControl w:val="0"/>
      <w:shd w:val="clear" w:color="auto" w:fill="FFFFFF"/>
      <w:spacing w:before="300" w:after="600" w:line="259" w:lineRule="exact"/>
      <w:ind w:hanging="1060"/>
    </w:pPr>
    <w:rPr>
      <w:rFonts w:ascii="Lucida Sans Unicode" w:eastAsiaTheme="minorHAnsi" w:hAnsi="Lucida Sans Unicode" w:cstheme="minorBidi"/>
      <w:sz w:val="19"/>
      <w:szCs w:val="19"/>
    </w:rPr>
  </w:style>
  <w:style w:type="table" w:customStyle="1" w:styleId="TableGrid5">
    <w:name w:val="Table Grid5"/>
    <w:basedOn w:val="TableNormal"/>
    <w:next w:val="TableGrid"/>
    <w:uiPriority w:val="59"/>
    <w:rsid w:val="002E222D"/>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
    <w:name w:val="No List5"/>
    <w:next w:val="NoList"/>
    <w:uiPriority w:val="99"/>
    <w:semiHidden/>
    <w:unhideWhenUsed/>
    <w:rsid w:val="00175B9F"/>
  </w:style>
  <w:style w:type="numbering" w:customStyle="1" w:styleId="NoList14">
    <w:name w:val="No List14"/>
    <w:next w:val="NoList"/>
    <w:semiHidden/>
    <w:rsid w:val="00175B9F"/>
  </w:style>
  <w:style w:type="table" w:customStyle="1" w:styleId="TableGrid6">
    <w:name w:val="Table Grid6"/>
    <w:basedOn w:val="TableNormal"/>
    <w:next w:val="TableGrid"/>
    <w:rsid w:val="00175B9F"/>
    <w:pPr>
      <w:spacing w:after="0" w:line="240" w:lineRule="auto"/>
    </w:pPr>
    <w:rPr>
      <w:rFonts w:ascii="Times New Roman" w:eastAsia="Times New Roman" w:hAnsi="Times New Roman" w:cs="Times New Roman"/>
      <w:sz w:val="20"/>
      <w:szCs w:val="20"/>
      <w:lang w:val="bg-B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33">
    <w:name w:val="Table Web 33"/>
    <w:basedOn w:val="TableNormal"/>
    <w:next w:val="TableWeb3"/>
    <w:rsid w:val="00175B9F"/>
    <w:pPr>
      <w:spacing w:after="0" w:line="240" w:lineRule="auto"/>
    </w:pPr>
    <w:rPr>
      <w:rFonts w:ascii="Times New Roman" w:eastAsia="Times New Roman" w:hAnsi="Times New Roman" w:cs="Times New Roman"/>
      <w:sz w:val="20"/>
      <w:szCs w:val="20"/>
      <w:lang w:val="bg-BG" w:eastAsia="bg-BG"/>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13">
    <w:name w:val="Table Grid13"/>
    <w:basedOn w:val="TableNormal"/>
    <w:next w:val="TableGrid"/>
    <w:rsid w:val="00175B9F"/>
    <w:pPr>
      <w:spacing w:after="0" w:line="240" w:lineRule="auto"/>
    </w:pPr>
    <w:rPr>
      <w:rFonts w:ascii="Times New Roman" w:eastAsia="Times New Roman" w:hAnsi="Times New Roman" w:cs="Times New Roman"/>
      <w:sz w:val="20"/>
      <w:szCs w:val="20"/>
      <w:lang w:val="bg-B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
    <w:name w:val="No List22"/>
    <w:next w:val="NoList"/>
    <w:uiPriority w:val="99"/>
    <w:semiHidden/>
    <w:unhideWhenUsed/>
    <w:rsid w:val="00175B9F"/>
  </w:style>
  <w:style w:type="table" w:customStyle="1" w:styleId="TableGrid23">
    <w:name w:val="Table Grid23"/>
    <w:basedOn w:val="TableNormal"/>
    <w:next w:val="TableGrid"/>
    <w:uiPriority w:val="99"/>
    <w:rsid w:val="00175B9F"/>
    <w:pPr>
      <w:spacing w:after="0" w:line="240" w:lineRule="auto"/>
    </w:pPr>
    <w:rPr>
      <w:rFonts w:ascii="Times New Roman" w:eastAsia="Times New Roman" w:hAnsi="Times New Roman" w:cs="Times New Roman"/>
      <w:sz w:val="20"/>
      <w:szCs w:val="20"/>
      <w:lang w:val="bg-B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312">
    <w:name w:val="Table Web 312"/>
    <w:basedOn w:val="TableNormal"/>
    <w:next w:val="TableWeb3"/>
    <w:uiPriority w:val="99"/>
    <w:rsid w:val="00175B9F"/>
    <w:pPr>
      <w:spacing w:after="0" w:line="240" w:lineRule="auto"/>
    </w:pPr>
    <w:rPr>
      <w:rFonts w:ascii="Times New Roman" w:eastAsia="Times New Roman" w:hAnsi="Times New Roman" w:cs="Times New Roman"/>
      <w:sz w:val="20"/>
      <w:szCs w:val="20"/>
      <w:lang w:val="bg-BG" w:eastAsia="bg-BG"/>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TableGrid112">
    <w:name w:val="Table Grid112"/>
    <w:uiPriority w:val="99"/>
    <w:rsid w:val="00175B9F"/>
    <w:pPr>
      <w:spacing w:after="0" w:line="240" w:lineRule="auto"/>
    </w:pPr>
    <w:rPr>
      <w:rFonts w:ascii="Times New Roman" w:eastAsia="Times New Roman" w:hAnsi="Times New Roman" w:cs="Times New Roman"/>
      <w:sz w:val="20"/>
      <w:szCs w:val="20"/>
      <w:lang w:val="bg-BG" w:eastAsia="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
    <w:name w:val="Table Grid212"/>
    <w:uiPriority w:val="99"/>
    <w:rsid w:val="00175B9F"/>
    <w:pPr>
      <w:spacing w:after="0" w:line="240" w:lineRule="auto"/>
    </w:pPr>
    <w:rPr>
      <w:rFonts w:ascii="Calibri" w:eastAsia="Calibri" w:hAnsi="Calibri" w:cs="Times New Roman"/>
      <w:sz w:val="20"/>
      <w:szCs w:val="20"/>
      <w:lang w:val="bg-BG" w:eastAsia="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
    <w:name w:val="Table Grid32"/>
    <w:uiPriority w:val="99"/>
    <w:rsid w:val="00175B9F"/>
    <w:pPr>
      <w:spacing w:after="0" w:line="240" w:lineRule="auto"/>
    </w:pPr>
    <w:rPr>
      <w:rFonts w:ascii="Times New Roman" w:eastAsia="Times New Roman" w:hAnsi="Times New Roman" w:cs="Times New Roman"/>
      <w:sz w:val="20"/>
      <w:szCs w:val="20"/>
      <w:lang w:val="bg-BG" w:eastAsia="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
    <w:name w:val="No List32"/>
    <w:next w:val="NoList"/>
    <w:uiPriority w:val="99"/>
    <w:semiHidden/>
    <w:unhideWhenUsed/>
    <w:rsid w:val="00175B9F"/>
  </w:style>
  <w:style w:type="table" w:customStyle="1" w:styleId="TableGrid41">
    <w:name w:val="Table Grid41"/>
    <w:basedOn w:val="TableNormal"/>
    <w:next w:val="TableGrid"/>
    <w:uiPriority w:val="99"/>
    <w:rsid w:val="00175B9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321">
    <w:name w:val="Table Web 321"/>
    <w:basedOn w:val="TableNormal"/>
    <w:next w:val="TableWeb3"/>
    <w:uiPriority w:val="99"/>
    <w:rsid w:val="00175B9F"/>
    <w:pPr>
      <w:spacing w:after="0" w:line="240" w:lineRule="auto"/>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TableGrid121">
    <w:name w:val="Table Grid121"/>
    <w:rsid w:val="00175B9F"/>
    <w:pPr>
      <w:spacing w:after="0" w:line="240" w:lineRule="auto"/>
    </w:pPr>
    <w:rPr>
      <w:rFonts w:ascii="Times New Roman" w:eastAsia="Times New Roman" w:hAnsi="Times New Roman" w:cs="Times New Roman"/>
      <w:sz w:val="20"/>
      <w:szCs w:val="20"/>
      <w:lang w:val="bg-BG" w:eastAsia="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
    <w:name w:val="Table Grid221"/>
    <w:uiPriority w:val="99"/>
    <w:rsid w:val="00175B9F"/>
    <w:pPr>
      <w:spacing w:after="0" w:line="240" w:lineRule="auto"/>
    </w:pPr>
    <w:rPr>
      <w:rFonts w:ascii="Calibri" w:eastAsia="Calibri" w:hAnsi="Calibri" w:cs="Times New Roman"/>
      <w:sz w:val="20"/>
      <w:szCs w:val="20"/>
      <w:lang w:val="bg-BG" w:eastAsia="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
    <w:name w:val="Table Grid311"/>
    <w:uiPriority w:val="99"/>
    <w:rsid w:val="00175B9F"/>
    <w:pPr>
      <w:spacing w:after="0" w:line="240" w:lineRule="auto"/>
    </w:pPr>
    <w:rPr>
      <w:rFonts w:ascii="Times New Roman" w:eastAsia="Times New Roman" w:hAnsi="Times New Roman" w:cs="Times New Roman"/>
      <w:sz w:val="20"/>
      <w:szCs w:val="20"/>
      <w:lang w:val="bg-BG" w:eastAsia="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
    <w:name w:val="No List112"/>
    <w:next w:val="NoList"/>
    <w:uiPriority w:val="99"/>
    <w:semiHidden/>
    <w:unhideWhenUsed/>
    <w:rsid w:val="00175B9F"/>
  </w:style>
  <w:style w:type="numbering" w:customStyle="1" w:styleId="NoList212">
    <w:name w:val="No List212"/>
    <w:next w:val="NoList"/>
    <w:uiPriority w:val="99"/>
    <w:semiHidden/>
    <w:unhideWhenUsed/>
    <w:rsid w:val="00175B9F"/>
  </w:style>
  <w:style w:type="numbering" w:customStyle="1" w:styleId="NoList312">
    <w:name w:val="No List312"/>
    <w:next w:val="NoList"/>
    <w:semiHidden/>
    <w:rsid w:val="00175B9F"/>
  </w:style>
  <w:style w:type="numbering" w:customStyle="1" w:styleId="NoList42">
    <w:name w:val="No List42"/>
    <w:next w:val="NoList"/>
    <w:uiPriority w:val="99"/>
    <w:semiHidden/>
    <w:unhideWhenUsed/>
    <w:rsid w:val="00175B9F"/>
  </w:style>
  <w:style w:type="table" w:customStyle="1" w:styleId="TableWeb3111">
    <w:name w:val="Table Web 3111"/>
    <w:basedOn w:val="TableNormal"/>
    <w:next w:val="TableWeb3"/>
    <w:uiPriority w:val="99"/>
    <w:rsid w:val="00175B9F"/>
    <w:pPr>
      <w:spacing w:after="0" w:line="240" w:lineRule="auto"/>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TableGrid1111">
    <w:name w:val="Table Grid1111"/>
    <w:uiPriority w:val="99"/>
    <w:rsid w:val="00175B9F"/>
    <w:pPr>
      <w:spacing w:after="0" w:line="240" w:lineRule="auto"/>
    </w:pPr>
    <w:rPr>
      <w:rFonts w:ascii="Times New Roman" w:eastAsia="Times New Roman" w:hAnsi="Times New Roman" w:cs="Times New Roman"/>
      <w:sz w:val="20"/>
      <w:szCs w:val="20"/>
      <w:lang w:val="bg-BG" w:eastAsia="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
    <w:name w:val="Table Grid2111"/>
    <w:uiPriority w:val="99"/>
    <w:rsid w:val="00175B9F"/>
    <w:pPr>
      <w:spacing w:after="0" w:line="240" w:lineRule="auto"/>
    </w:pPr>
    <w:rPr>
      <w:rFonts w:ascii="Calibri" w:eastAsia="Calibri" w:hAnsi="Calibri" w:cs="Times New Roman"/>
      <w:sz w:val="20"/>
      <w:szCs w:val="20"/>
      <w:lang w:val="bg-BG" w:eastAsia="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
    <w:name w:val="Table Grid51"/>
    <w:basedOn w:val="TableNormal"/>
    <w:next w:val="TableGrid"/>
    <w:uiPriority w:val="59"/>
    <w:rsid w:val="00175B9F"/>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rsid w:val="00184A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1">
    <w:name w:val="Body Text Char1"/>
    <w:aliases w:val="block style Char1,Body Char1,by Char1,Text Char1"/>
    <w:uiPriority w:val="99"/>
    <w:locked/>
    <w:rsid w:val="00184AB8"/>
    <w:rPr>
      <w:rFonts w:ascii="Sentry" w:eastAsia="Calibri" w:hAnsi="Sentry" w:cs="Times New Roman"/>
      <w:sz w:val="20"/>
      <w:szCs w:val="20"/>
      <w:lang w:val="bg-BG" w:eastAsia="bg-BG"/>
    </w:rPr>
  </w:style>
  <w:style w:type="table" w:customStyle="1" w:styleId="TableWeb34">
    <w:name w:val="Table Web 34"/>
    <w:basedOn w:val="TableNormal"/>
    <w:next w:val="TableWeb3"/>
    <w:uiPriority w:val="99"/>
    <w:rsid w:val="00184AB8"/>
    <w:pPr>
      <w:spacing w:after="0" w:line="240" w:lineRule="auto"/>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TableGrid24">
    <w:name w:val="Table Grid24"/>
    <w:uiPriority w:val="99"/>
    <w:rsid w:val="00184AB8"/>
    <w:pPr>
      <w:spacing w:after="0" w:line="240" w:lineRule="auto"/>
    </w:pPr>
    <w:rPr>
      <w:rFonts w:ascii="Calibri" w:eastAsia="Calibri" w:hAnsi="Calibri" w:cs="Times New Roman"/>
      <w:sz w:val="20"/>
      <w:szCs w:val="20"/>
      <w:lang w:val="bg-BG" w:eastAsia="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
    <w:name w:val="Table Grid113"/>
    <w:uiPriority w:val="99"/>
    <w:rsid w:val="00184AB8"/>
    <w:pPr>
      <w:spacing w:after="0" w:line="240" w:lineRule="auto"/>
    </w:pPr>
    <w:rPr>
      <w:rFonts w:ascii="Times New Roman" w:eastAsia="Times New Roman" w:hAnsi="Times New Roman" w:cs="Times New Roman"/>
      <w:sz w:val="20"/>
      <w:szCs w:val="20"/>
      <w:lang w:val="bg-BG" w:eastAsia="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
    <w:name w:val="Table Grid213"/>
    <w:uiPriority w:val="99"/>
    <w:rsid w:val="00184AB8"/>
    <w:pPr>
      <w:spacing w:after="0" w:line="240" w:lineRule="auto"/>
    </w:pPr>
    <w:rPr>
      <w:rFonts w:ascii="Calibri" w:eastAsia="Calibri" w:hAnsi="Calibri" w:cs="Times New Roman"/>
      <w:sz w:val="20"/>
      <w:szCs w:val="20"/>
      <w:lang w:val="bg-BG" w:eastAsia="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70">
    <w:name w:val="xl70"/>
    <w:basedOn w:val="Normal"/>
    <w:rsid w:val="00EE4F31"/>
    <w:pPr>
      <w:spacing w:before="100" w:beforeAutospacing="1" w:after="100" w:afterAutospacing="1"/>
    </w:pPr>
    <w:rPr>
      <w:rFonts w:ascii="Arial" w:hAnsi="Arial" w:cs="Arial"/>
      <w:sz w:val="18"/>
      <w:szCs w:val="18"/>
      <w:lang w:eastAsia="zh-CN"/>
    </w:rPr>
  </w:style>
  <w:style w:type="paragraph" w:customStyle="1" w:styleId="xl71">
    <w:name w:val="xl71"/>
    <w:basedOn w:val="Normal"/>
    <w:rsid w:val="00EE4F31"/>
    <w:pPr>
      <w:spacing w:before="100" w:beforeAutospacing="1" w:after="100" w:afterAutospacing="1"/>
    </w:pPr>
    <w:rPr>
      <w:rFonts w:ascii="Arial" w:hAnsi="Arial" w:cs="Arial"/>
      <w:sz w:val="18"/>
      <w:szCs w:val="18"/>
      <w:lang w:eastAsia="zh-CN"/>
    </w:rPr>
  </w:style>
  <w:style w:type="paragraph" w:customStyle="1" w:styleId="xl72">
    <w:name w:val="xl72"/>
    <w:basedOn w:val="Normal"/>
    <w:rsid w:val="00EE4F31"/>
    <w:pPr>
      <w:spacing w:before="100" w:beforeAutospacing="1" w:after="100" w:afterAutospacing="1"/>
      <w:textAlignment w:val="center"/>
    </w:pPr>
    <w:rPr>
      <w:rFonts w:ascii="Arial" w:hAnsi="Arial" w:cs="Arial"/>
      <w:sz w:val="18"/>
      <w:szCs w:val="18"/>
      <w:lang w:eastAsia="zh-CN"/>
    </w:rPr>
  </w:style>
  <w:style w:type="paragraph" w:customStyle="1" w:styleId="xl73">
    <w:name w:val="xl73"/>
    <w:basedOn w:val="Normal"/>
    <w:rsid w:val="00EE4F31"/>
    <w:pPr>
      <w:spacing w:before="100" w:beforeAutospacing="1" w:after="100" w:afterAutospacing="1"/>
    </w:pPr>
    <w:rPr>
      <w:rFonts w:ascii="Arial" w:hAnsi="Arial" w:cs="Arial"/>
      <w:sz w:val="18"/>
      <w:szCs w:val="18"/>
      <w:lang w:eastAsia="zh-CN"/>
    </w:rPr>
  </w:style>
  <w:style w:type="paragraph" w:customStyle="1" w:styleId="xl74">
    <w:name w:val="xl74"/>
    <w:basedOn w:val="Normal"/>
    <w:rsid w:val="00EE4F31"/>
    <w:pPr>
      <w:spacing w:before="100" w:beforeAutospacing="1" w:after="100" w:afterAutospacing="1"/>
    </w:pPr>
    <w:rPr>
      <w:rFonts w:ascii="Arial" w:hAnsi="Arial" w:cs="Arial"/>
      <w:sz w:val="18"/>
      <w:szCs w:val="18"/>
      <w:lang w:eastAsia="zh-CN"/>
    </w:rPr>
  </w:style>
  <w:style w:type="paragraph" w:customStyle="1" w:styleId="xl75">
    <w:name w:val="xl75"/>
    <w:basedOn w:val="Normal"/>
    <w:rsid w:val="00EE4F3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lang w:eastAsia="zh-CN"/>
    </w:rPr>
  </w:style>
  <w:style w:type="paragraph" w:customStyle="1" w:styleId="xl76">
    <w:name w:val="xl76"/>
    <w:basedOn w:val="Normal"/>
    <w:rsid w:val="00EE4F31"/>
    <w:pPr>
      <w:pBdr>
        <w:top w:val="single" w:sz="4" w:space="0" w:color="auto"/>
        <w:left w:val="single" w:sz="4" w:space="9" w:color="auto"/>
        <w:bottom w:val="single" w:sz="4" w:space="0" w:color="auto"/>
        <w:right w:val="single" w:sz="4" w:space="0" w:color="auto"/>
      </w:pBdr>
      <w:spacing w:before="100" w:beforeAutospacing="1" w:after="100" w:afterAutospacing="1"/>
      <w:ind w:firstLineChars="100" w:firstLine="100"/>
      <w:textAlignment w:val="center"/>
    </w:pPr>
    <w:rPr>
      <w:rFonts w:ascii="Arial Narrow" w:hAnsi="Arial Narrow"/>
      <w:lang w:eastAsia="zh-CN"/>
    </w:rPr>
  </w:style>
  <w:style w:type="paragraph" w:customStyle="1" w:styleId="xl77">
    <w:name w:val="xl77"/>
    <w:basedOn w:val="Normal"/>
    <w:rsid w:val="00EE4F31"/>
    <w:pPr>
      <w:spacing w:before="100" w:beforeAutospacing="1" w:after="100" w:afterAutospacing="1"/>
    </w:pPr>
    <w:rPr>
      <w:rFonts w:ascii="Arial" w:hAnsi="Arial" w:cs="Arial"/>
      <w:sz w:val="18"/>
      <w:szCs w:val="18"/>
      <w:lang w:eastAsia="zh-CN"/>
    </w:rPr>
  </w:style>
  <w:style w:type="paragraph" w:customStyle="1" w:styleId="xl78">
    <w:name w:val="xl78"/>
    <w:basedOn w:val="Normal"/>
    <w:rsid w:val="00EE4F3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b/>
      <w:bCs/>
      <w:sz w:val="18"/>
      <w:szCs w:val="18"/>
      <w:lang w:eastAsia="zh-CN"/>
    </w:rPr>
  </w:style>
  <w:style w:type="paragraph" w:customStyle="1" w:styleId="xl79">
    <w:name w:val="xl79"/>
    <w:basedOn w:val="Normal"/>
    <w:rsid w:val="00EE4F31"/>
    <w:pPr>
      <w:spacing w:before="100" w:beforeAutospacing="1" w:after="100" w:afterAutospacing="1"/>
    </w:pPr>
    <w:rPr>
      <w:rFonts w:ascii="Arial Narrow" w:hAnsi="Arial Narrow"/>
      <w:sz w:val="18"/>
      <w:szCs w:val="18"/>
      <w:lang w:eastAsia="zh-CN"/>
    </w:rPr>
  </w:style>
  <w:style w:type="paragraph" w:customStyle="1" w:styleId="xl80">
    <w:name w:val="xl80"/>
    <w:basedOn w:val="Normal"/>
    <w:rsid w:val="00EE4F31"/>
    <w:pPr>
      <w:pBdr>
        <w:top w:val="single" w:sz="4" w:space="0" w:color="auto"/>
        <w:left w:val="single" w:sz="4" w:space="18" w:color="auto"/>
        <w:bottom w:val="single" w:sz="4" w:space="0" w:color="auto"/>
        <w:right w:val="single" w:sz="4" w:space="0" w:color="auto"/>
      </w:pBdr>
      <w:spacing w:before="100" w:beforeAutospacing="1" w:after="100" w:afterAutospacing="1"/>
      <w:ind w:firstLineChars="200" w:firstLine="200"/>
      <w:textAlignment w:val="center"/>
    </w:pPr>
    <w:rPr>
      <w:rFonts w:ascii="Arial Narrow" w:hAnsi="Arial Narrow"/>
      <w:lang w:eastAsia="zh-CN"/>
    </w:rPr>
  </w:style>
  <w:style w:type="paragraph" w:customStyle="1" w:styleId="xl81">
    <w:name w:val="xl81"/>
    <w:basedOn w:val="Normal"/>
    <w:rsid w:val="00EE4F3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b/>
      <w:bCs/>
      <w:lang w:eastAsia="zh-CN"/>
    </w:rPr>
  </w:style>
  <w:style w:type="paragraph" w:customStyle="1" w:styleId="xl82">
    <w:name w:val="xl82"/>
    <w:basedOn w:val="Normal"/>
    <w:rsid w:val="00EE4F31"/>
    <w:pPr>
      <w:spacing w:before="100" w:beforeAutospacing="1" w:after="100" w:afterAutospacing="1"/>
    </w:pPr>
    <w:rPr>
      <w:rFonts w:ascii="Arial" w:hAnsi="Arial" w:cs="Arial"/>
      <w:b/>
      <w:bCs/>
      <w:sz w:val="18"/>
      <w:szCs w:val="18"/>
      <w:lang w:eastAsia="zh-CN"/>
    </w:rPr>
  </w:style>
  <w:style w:type="paragraph" w:customStyle="1" w:styleId="xl83">
    <w:name w:val="xl83"/>
    <w:basedOn w:val="Normal"/>
    <w:rsid w:val="00EE4F31"/>
    <w:pPr>
      <w:spacing w:before="100" w:beforeAutospacing="1" w:after="100" w:afterAutospacing="1"/>
    </w:pPr>
    <w:rPr>
      <w:rFonts w:ascii="Arial Narrow" w:hAnsi="Arial Narrow"/>
      <w:b/>
      <w:bCs/>
      <w:sz w:val="18"/>
      <w:szCs w:val="18"/>
      <w:lang w:eastAsia="zh-CN"/>
    </w:rPr>
  </w:style>
  <w:style w:type="paragraph" w:customStyle="1" w:styleId="xl84">
    <w:name w:val="xl84"/>
    <w:basedOn w:val="Normal"/>
    <w:rsid w:val="00EE4F31"/>
    <w:pPr>
      <w:spacing w:before="100" w:beforeAutospacing="1" w:after="100" w:afterAutospacing="1"/>
      <w:textAlignment w:val="center"/>
    </w:pPr>
    <w:rPr>
      <w:rFonts w:ascii="Arial Narrow" w:hAnsi="Arial Narrow"/>
      <w:sz w:val="18"/>
      <w:szCs w:val="18"/>
      <w:lang w:eastAsia="zh-CN"/>
    </w:rPr>
  </w:style>
  <w:style w:type="paragraph" w:customStyle="1" w:styleId="xl85">
    <w:name w:val="xl85"/>
    <w:basedOn w:val="Normal"/>
    <w:rsid w:val="00EE4F31"/>
    <w:pPr>
      <w:spacing w:before="100" w:beforeAutospacing="1" w:after="100" w:afterAutospacing="1"/>
      <w:jc w:val="right"/>
    </w:pPr>
    <w:rPr>
      <w:rFonts w:ascii="Arial Narrow" w:hAnsi="Arial Narrow"/>
      <w:b/>
      <w:bCs/>
      <w:sz w:val="18"/>
      <w:szCs w:val="18"/>
      <w:lang w:eastAsia="zh-CN"/>
    </w:rPr>
  </w:style>
  <w:style w:type="paragraph" w:customStyle="1" w:styleId="xl86">
    <w:name w:val="xl86"/>
    <w:basedOn w:val="Normal"/>
    <w:rsid w:val="00EE4F3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8"/>
      <w:szCs w:val="18"/>
      <w:lang w:eastAsia="zh-CN"/>
    </w:rPr>
  </w:style>
  <w:style w:type="paragraph" w:customStyle="1" w:styleId="xl87">
    <w:name w:val="xl87"/>
    <w:basedOn w:val="Normal"/>
    <w:rsid w:val="00EE4F3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sz w:val="18"/>
      <w:szCs w:val="18"/>
      <w:lang w:eastAsia="zh-CN"/>
    </w:rPr>
  </w:style>
  <w:style w:type="paragraph" w:customStyle="1" w:styleId="xl89">
    <w:name w:val="xl89"/>
    <w:basedOn w:val="Normal"/>
    <w:rsid w:val="00EE4F3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sz w:val="18"/>
      <w:szCs w:val="18"/>
      <w:lang w:eastAsia="zh-CN"/>
    </w:rPr>
  </w:style>
  <w:style w:type="paragraph" w:customStyle="1" w:styleId="xl90">
    <w:name w:val="xl90"/>
    <w:basedOn w:val="Normal"/>
    <w:rsid w:val="00EE4F3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hAnsi="Arial Narrow"/>
      <w:sz w:val="18"/>
      <w:szCs w:val="18"/>
      <w:lang w:eastAsia="zh-CN"/>
    </w:rPr>
  </w:style>
  <w:style w:type="paragraph" w:customStyle="1" w:styleId="xl91">
    <w:name w:val="xl91"/>
    <w:basedOn w:val="Normal"/>
    <w:rsid w:val="00EE4F3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hAnsi="Arial Narrow"/>
      <w:sz w:val="18"/>
      <w:szCs w:val="18"/>
      <w:lang w:eastAsia="zh-CN"/>
    </w:rPr>
  </w:style>
  <w:style w:type="paragraph" w:customStyle="1" w:styleId="xl92">
    <w:name w:val="xl92"/>
    <w:basedOn w:val="Normal"/>
    <w:rsid w:val="00EE4F31"/>
    <w:pPr>
      <w:spacing w:before="100" w:beforeAutospacing="1" w:after="100" w:afterAutospacing="1"/>
      <w:textAlignment w:val="center"/>
    </w:pPr>
    <w:rPr>
      <w:rFonts w:ascii="Arial Narrow" w:hAnsi="Arial Narrow"/>
      <w:i/>
      <w:iCs/>
      <w:sz w:val="18"/>
      <w:szCs w:val="18"/>
      <w:lang w:eastAsia="zh-CN"/>
    </w:rPr>
  </w:style>
  <w:style w:type="paragraph" w:customStyle="1" w:styleId="xl93">
    <w:name w:val="xl93"/>
    <w:basedOn w:val="Normal"/>
    <w:rsid w:val="00EE4F31"/>
    <w:pPr>
      <w:spacing w:before="100" w:beforeAutospacing="1" w:after="100" w:afterAutospacing="1"/>
    </w:pPr>
    <w:rPr>
      <w:rFonts w:ascii="Arial Narrow" w:hAnsi="Arial Narrow"/>
      <w:b/>
      <w:bCs/>
      <w:i/>
      <w:iCs/>
      <w:sz w:val="18"/>
      <w:szCs w:val="18"/>
      <w:lang w:eastAsia="zh-CN"/>
    </w:rPr>
  </w:style>
  <w:style w:type="paragraph" w:customStyle="1" w:styleId="xl94">
    <w:name w:val="xl94"/>
    <w:basedOn w:val="Normal"/>
    <w:rsid w:val="00EE4F31"/>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Narrow" w:hAnsi="Arial Narrow"/>
      <w:b/>
      <w:bCs/>
      <w:sz w:val="18"/>
      <w:szCs w:val="18"/>
      <w:lang w:eastAsia="zh-CN"/>
    </w:rPr>
  </w:style>
  <w:style w:type="paragraph" w:customStyle="1" w:styleId="xl95">
    <w:name w:val="xl95"/>
    <w:basedOn w:val="Normal"/>
    <w:rsid w:val="00EE4F31"/>
    <w:pPr>
      <w:pBdr>
        <w:left w:val="single" w:sz="4" w:space="0" w:color="auto"/>
        <w:right w:val="single" w:sz="4" w:space="0" w:color="auto"/>
      </w:pBdr>
      <w:spacing w:before="100" w:beforeAutospacing="1" w:after="100" w:afterAutospacing="1"/>
      <w:jc w:val="center"/>
      <w:textAlignment w:val="center"/>
    </w:pPr>
    <w:rPr>
      <w:rFonts w:ascii="Arial Narrow" w:hAnsi="Arial Narrow"/>
      <w:b/>
      <w:bCs/>
      <w:sz w:val="18"/>
      <w:szCs w:val="18"/>
      <w:lang w:eastAsia="zh-CN"/>
    </w:rPr>
  </w:style>
  <w:style w:type="paragraph" w:customStyle="1" w:styleId="xl96">
    <w:name w:val="xl96"/>
    <w:basedOn w:val="Normal"/>
    <w:rsid w:val="00EE4F31"/>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b/>
      <w:bCs/>
      <w:sz w:val="18"/>
      <w:szCs w:val="18"/>
      <w:lang w:eastAsia="zh-CN"/>
    </w:rPr>
  </w:style>
  <w:style w:type="paragraph" w:customStyle="1" w:styleId="xl97">
    <w:name w:val="xl97"/>
    <w:basedOn w:val="Normal"/>
    <w:rsid w:val="00EE4F31"/>
    <w:pPr>
      <w:spacing w:before="100" w:beforeAutospacing="1" w:after="100" w:afterAutospacing="1"/>
      <w:textAlignment w:val="center"/>
    </w:pPr>
    <w:rPr>
      <w:rFonts w:ascii="Arial Narrow" w:hAnsi="Arial Narrow"/>
      <w:b/>
      <w:bCs/>
      <w:sz w:val="18"/>
      <w:szCs w:val="18"/>
      <w:lang w:eastAsia="zh-CN"/>
    </w:rPr>
  </w:style>
  <w:style w:type="paragraph" w:customStyle="1" w:styleId="xl98">
    <w:name w:val="xl98"/>
    <w:basedOn w:val="Normal"/>
    <w:rsid w:val="004B78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sz w:val="18"/>
      <w:szCs w:val="18"/>
      <w:lang w:eastAsia="zh-CN"/>
    </w:rPr>
  </w:style>
  <w:style w:type="paragraph" w:customStyle="1" w:styleId="xl99">
    <w:name w:val="xl99"/>
    <w:basedOn w:val="Normal"/>
    <w:rsid w:val="004B78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b/>
      <w:bCs/>
      <w:sz w:val="18"/>
      <w:szCs w:val="18"/>
      <w:lang w:eastAsia="zh-CN"/>
    </w:rPr>
  </w:style>
  <w:style w:type="paragraph" w:customStyle="1" w:styleId="xl100">
    <w:name w:val="xl100"/>
    <w:basedOn w:val="Normal"/>
    <w:rsid w:val="004B78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sz w:val="18"/>
      <w:szCs w:val="18"/>
      <w:lang w:eastAsia="zh-CN"/>
    </w:rPr>
  </w:style>
  <w:style w:type="paragraph" w:customStyle="1" w:styleId="xl101">
    <w:name w:val="xl101"/>
    <w:basedOn w:val="Normal"/>
    <w:rsid w:val="004B7892"/>
    <w:pPr>
      <w:spacing w:before="100" w:beforeAutospacing="1" w:after="100" w:afterAutospacing="1"/>
    </w:pPr>
    <w:rPr>
      <w:rFonts w:ascii="Arial Narrow" w:hAnsi="Arial Narrow"/>
      <w:sz w:val="18"/>
      <w:szCs w:val="18"/>
      <w:lang w:eastAsia="zh-CN"/>
    </w:rPr>
  </w:style>
  <w:style w:type="paragraph" w:customStyle="1" w:styleId="xl102">
    <w:name w:val="xl102"/>
    <w:basedOn w:val="Normal"/>
    <w:rsid w:val="004B7892"/>
    <w:pPr>
      <w:spacing w:before="100" w:beforeAutospacing="1" w:after="100" w:afterAutospacing="1"/>
      <w:textAlignment w:val="center"/>
    </w:pPr>
    <w:rPr>
      <w:rFonts w:ascii="Arial Narrow" w:hAnsi="Arial Narrow"/>
      <w:b/>
      <w:bCs/>
      <w:lang w:eastAsia="zh-CN"/>
    </w:rPr>
  </w:style>
  <w:style w:type="paragraph" w:customStyle="1" w:styleId="xl103">
    <w:name w:val="xl103"/>
    <w:basedOn w:val="Normal"/>
    <w:rsid w:val="004B7892"/>
    <w:pPr>
      <w:pBdr>
        <w:bottom w:val="single" w:sz="4" w:space="0" w:color="auto"/>
      </w:pBdr>
      <w:spacing w:before="100" w:beforeAutospacing="1" w:after="100" w:afterAutospacing="1"/>
      <w:jc w:val="right"/>
    </w:pPr>
    <w:rPr>
      <w:rFonts w:ascii="Arial Narrow" w:hAnsi="Arial Narrow"/>
      <w:b/>
      <w:bCs/>
      <w:lang w:eastAsia="zh-CN"/>
    </w:rPr>
  </w:style>
  <w:style w:type="numbering" w:customStyle="1" w:styleId="NoList6">
    <w:name w:val="No List6"/>
    <w:next w:val="NoList"/>
    <w:uiPriority w:val="99"/>
    <w:semiHidden/>
    <w:unhideWhenUsed/>
    <w:rsid w:val="00BC5E6F"/>
  </w:style>
  <w:style w:type="numbering" w:customStyle="1" w:styleId="NoList15">
    <w:name w:val="No List15"/>
    <w:next w:val="NoList"/>
    <w:uiPriority w:val="99"/>
    <w:semiHidden/>
    <w:rsid w:val="00BC5E6F"/>
  </w:style>
  <w:style w:type="table" w:customStyle="1" w:styleId="TableGrid8">
    <w:name w:val="Table Grid8"/>
    <w:basedOn w:val="TableNormal"/>
    <w:next w:val="TableGrid"/>
    <w:rsid w:val="00BC5E6F"/>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rsid w:val="00BC5E6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3">
    <w:name w:val="No List113"/>
    <w:next w:val="NoList"/>
    <w:uiPriority w:val="99"/>
    <w:semiHidden/>
    <w:unhideWhenUsed/>
    <w:rsid w:val="00BC5E6F"/>
  </w:style>
  <w:style w:type="numbering" w:customStyle="1" w:styleId="NoList23">
    <w:name w:val="No List23"/>
    <w:next w:val="NoList"/>
    <w:uiPriority w:val="99"/>
    <w:semiHidden/>
    <w:unhideWhenUsed/>
    <w:rsid w:val="00BC5E6F"/>
  </w:style>
  <w:style w:type="numbering" w:customStyle="1" w:styleId="NoList33">
    <w:name w:val="No List33"/>
    <w:next w:val="NoList"/>
    <w:semiHidden/>
    <w:unhideWhenUsed/>
    <w:rsid w:val="00BC5E6F"/>
  </w:style>
  <w:style w:type="table" w:customStyle="1" w:styleId="TableGrid114">
    <w:name w:val="Table Grid114"/>
    <w:basedOn w:val="TableNormal"/>
    <w:next w:val="TableGrid"/>
    <w:rsid w:val="00BC5E6F"/>
    <w:pPr>
      <w:spacing w:after="0" w:line="240" w:lineRule="auto"/>
      <w:jc w:val="both"/>
    </w:pPr>
    <w:rPr>
      <w:rFonts w:ascii="Calibri" w:eastAsia="Calibri" w:hAnsi="Calibri" w:cs="Times New Roman"/>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TableNormal"/>
    <w:next w:val="TableGrid"/>
    <w:rsid w:val="00BC5E6F"/>
    <w:pPr>
      <w:spacing w:after="0" w:line="240" w:lineRule="auto"/>
    </w:pPr>
    <w:rPr>
      <w:rFonts w:ascii="Verdana" w:eastAsia="Times New Roman" w:hAnsi="Verdana" w:cs="Times New Roman"/>
      <w:sz w:val="20"/>
      <w:szCs w:val="20"/>
      <w:lang w:val="bg-B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
    <w:name w:val="No List121"/>
    <w:next w:val="NoList"/>
    <w:semiHidden/>
    <w:rsid w:val="00BC5E6F"/>
  </w:style>
  <w:style w:type="numbering" w:customStyle="1" w:styleId="NoList43">
    <w:name w:val="No List43"/>
    <w:next w:val="NoList"/>
    <w:uiPriority w:val="99"/>
    <w:semiHidden/>
    <w:unhideWhenUsed/>
    <w:rsid w:val="00BC5E6F"/>
  </w:style>
  <w:style w:type="numbering" w:customStyle="1" w:styleId="NoList131">
    <w:name w:val="No List131"/>
    <w:next w:val="NoList"/>
    <w:semiHidden/>
    <w:rsid w:val="00BC5E6F"/>
  </w:style>
  <w:style w:type="table" w:customStyle="1" w:styleId="TableGrid33">
    <w:name w:val="Table Grid33"/>
    <w:basedOn w:val="TableNormal"/>
    <w:next w:val="TableGrid"/>
    <w:uiPriority w:val="99"/>
    <w:rsid w:val="00BC5E6F"/>
    <w:pPr>
      <w:spacing w:after="0" w:line="240" w:lineRule="auto"/>
    </w:pPr>
    <w:rPr>
      <w:rFonts w:ascii="Times New Roman" w:eastAsia="Times New Roman" w:hAnsi="Times New Roman" w:cs="Times New Roman"/>
      <w:sz w:val="20"/>
      <w:szCs w:val="20"/>
      <w:lang w:val="bg-B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35">
    <w:name w:val="Table Web 35"/>
    <w:basedOn w:val="TableNormal"/>
    <w:next w:val="TableWeb3"/>
    <w:rsid w:val="00BC5E6F"/>
    <w:pPr>
      <w:spacing w:after="0" w:line="240" w:lineRule="auto"/>
    </w:pPr>
    <w:rPr>
      <w:rFonts w:ascii="Times New Roman" w:eastAsia="Times New Roman" w:hAnsi="Times New Roman" w:cs="Times New Roman"/>
      <w:sz w:val="20"/>
      <w:szCs w:val="20"/>
      <w:lang w:val="bg-BG" w:eastAsia="bg-BG"/>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122">
    <w:name w:val="Table Grid122"/>
    <w:basedOn w:val="TableNormal"/>
    <w:next w:val="TableGrid"/>
    <w:rsid w:val="00BC5E6F"/>
    <w:pPr>
      <w:spacing w:after="0" w:line="240" w:lineRule="auto"/>
    </w:pPr>
    <w:rPr>
      <w:rFonts w:ascii="Times New Roman" w:eastAsia="Times New Roman" w:hAnsi="Times New Roman" w:cs="Times New Roman"/>
      <w:sz w:val="20"/>
      <w:szCs w:val="20"/>
      <w:lang w:val="bg-B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3">
    <w:name w:val="No List213"/>
    <w:next w:val="NoList"/>
    <w:uiPriority w:val="99"/>
    <w:semiHidden/>
    <w:unhideWhenUsed/>
    <w:rsid w:val="00BC5E6F"/>
  </w:style>
  <w:style w:type="table" w:customStyle="1" w:styleId="TableGrid214">
    <w:name w:val="Table Grid214"/>
    <w:basedOn w:val="TableNormal"/>
    <w:next w:val="TableGrid"/>
    <w:uiPriority w:val="99"/>
    <w:rsid w:val="00BC5E6F"/>
    <w:pPr>
      <w:spacing w:after="0" w:line="240" w:lineRule="auto"/>
    </w:pPr>
    <w:rPr>
      <w:rFonts w:ascii="Times New Roman" w:eastAsia="Times New Roman" w:hAnsi="Times New Roman" w:cs="Times New Roman"/>
      <w:sz w:val="20"/>
      <w:szCs w:val="20"/>
      <w:lang w:val="bg-B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313">
    <w:name w:val="Table Web 313"/>
    <w:basedOn w:val="TableNormal"/>
    <w:next w:val="TableWeb3"/>
    <w:uiPriority w:val="99"/>
    <w:rsid w:val="00BC5E6F"/>
    <w:pPr>
      <w:spacing w:after="0" w:line="240" w:lineRule="auto"/>
    </w:pPr>
    <w:rPr>
      <w:rFonts w:ascii="Times New Roman" w:eastAsia="Times New Roman" w:hAnsi="Times New Roman" w:cs="Times New Roman"/>
      <w:sz w:val="20"/>
      <w:szCs w:val="20"/>
      <w:lang w:val="bg-BG" w:eastAsia="bg-BG"/>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TableGrid1112">
    <w:name w:val="Table Grid1112"/>
    <w:uiPriority w:val="99"/>
    <w:rsid w:val="00BC5E6F"/>
    <w:pPr>
      <w:spacing w:after="0" w:line="240" w:lineRule="auto"/>
    </w:pPr>
    <w:rPr>
      <w:rFonts w:ascii="Times New Roman" w:eastAsia="Times New Roman" w:hAnsi="Times New Roman" w:cs="Times New Roman"/>
      <w:sz w:val="20"/>
      <w:szCs w:val="20"/>
      <w:lang w:val="bg-BG" w:eastAsia="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
    <w:name w:val="Table Grid2112"/>
    <w:uiPriority w:val="99"/>
    <w:rsid w:val="00BC5E6F"/>
    <w:pPr>
      <w:spacing w:after="0" w:line="240" w:lineRule="auto"/>
    </w:pPr>
    <w:rPr>
      <w:rFonts w:ascii="Calibri" w:eastAsia="Calibri" w:hAnsi="Calibri" w:cs="Times New Roman"/>
      <w:sz w:val="20"/>
      <w:szCs w:val="20"/>
      <w:lang w:val="bg-BG" w:eastAsia="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3">
    <w:name w:val="No List313"/>
    <w:next w:val="NoList"/>
    <w:uiPriority w:val="99"/>
    <w:semiHidden/>
    <w:unhideWhenUsed/>
    <w:rsid w:val="00BC5E6F"/>
  </w:style>
  <w:style w:type="table" w:customStyle="1" w:styleId="TableGrid42">
    <w:name w:val="Table Grid42"/>
    <w:basedOn w:val="TableNormal"/>
    <w:next w:val="TableGrid"/>
    <w:uiPriority w:val="99"/>
    <w:rsid w:val="00BC5E6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322">
    <w:name w:val="Table Web 322"/>
    <w:basedOn w:val="TableNormal"/>
    <w:next w:val="TableWeb3"/>
    <w:uiPriority w:val="99"/>
    <w:rsid w:val="00BC5E6F"/>
    <w:pPr>
      <w:spacing w:after="0" w:line="240" w:lineRule="auto"/>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TableGrid222">
    <w:name w:val="Table Grid222"/>
    <w:uiPriority w:val="99"/>
    <w:rsid w:val="00BC5E6F"/>
    <w:pPr>
      <w:spacing w:after="0" w:line="240" w:lineRule="auto"/>
    </w:pPr>
    <w:rPr>
      <w:rFonts w:ascii="Calibri" w:eastAsia="Calibri" w:hAnsi="Calibri" w:cs="Times New Roman"/>
      <w:sz w:val="20"/>
      <w:szCs w:val="20"/>
      <w:lang w:val="bg-BG" w:eastAsia="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
    <w:name w:val="Table Grid312"/>
    <w:uiPriority w:val="99"/>
    <w:rsid w:val="00BC5E6F"/>
    <w:pPr>
      <w:spacing w:after="0" w:line="240" w:lineRule="auto"/>
    </w:pPr>
    <w:rPr>
      <w:rFonts w:ascii="Times New Roman" w:eastAsia="Times New Roman" w:hAnsi="Times New Roman" w:cs="Times New Roman"/>
      <w:sz w:val="20"/>
      <w:szCs w:val="20"/>
      <w:lang w:val="bg-BG" w:eastAsia="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
    <w:name w:val="No List1111"/>
    <w:next w:val="NoList"/>
    <w:uiPriority w:val="99"/>
    <w:semiHidden/>
    <w:unhideWhenUsed/>
    <w:rsid w:val="00BC5E6F"/>
  </w:style>
  <w:style w:type="numbering" w:customStyle="1" w:styleId="NoList2111">
    <w:name w:val="No List2111"/>
    <w:next w:val="NoList"/>
    <w:uiPriority w:val="99"/>
    <w:semiHidden/>
    <w:unhideWhenUsed/>
    <w:rsid w:val="00BC5E6F"/>
  </w:style>
  <w:style w:type="numbering" w:customStyle="1" w:styleId="NoList3111">
    <w:name w:val="No List3111"/>
    <w:next w:val="NoList"/>
    <w:semiHidden/>
    <w:rsid w:val="00BC5E6F"/>
  </w:style>
  <w:style w:type="numbering" w:customStyle="1" w:styleId="NoList411">
    <w:name w:val="No List411"/>
    <w:next w:val="NoList"/>
    <w:uiPriority w:val="99"/>
    <w:semiHidden/>
    <w:unhideWhenUsed/>
    <w:rsid w:val="00BC5E6F"/>
  </w:style>
  <w:style w:type="table" w:customStyle="1" w:styleId="TableWeb3112">
    <w:name w:val="Table Web 3112"/>
    <w:basedOn w:val="TableNormal"/>
    <w:next w:val="TableWeb3"/>
    <w:uiPriority w:val="99"/>
    <w:rsid w:val="00BC5E6F"/>
    <w:pPr>
      <w:spacing w:after="0" w:line="240" w:lineRule="auto"/>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TableGrid52">
    <w:name w:val="Table Grid52"/>
    <w:basedOn w:val="TableNormal"/>
    <w:next w:val="TableGrid"/>
    <w:uiPriority w:val="59"/>
    <w:rsid w:val="00BC5E6F"/>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
    <w:name w:val="No List51"/>
    <w:next w:val="NoList"/>
    <w:uiPriority w:val="99"/>
    <w:semiHidden/>
    <w:unhideWhenUsed/>
    <w:rsid w:val="00BC5E6F"/>
  </w:style>
  <w:style w:type="numbering" w:customStyle="1" w:styleId="NoList141">
    <w:name w:val="No List141"/>
    <w:next w:val="NoList"/>
    <w:semiHidden/>
    <w:rsid w:val="00BC5E6F"/>
  </w:style>
  <w:style w:type="table" w:customStyle="1" w:styleId="TableGrid61">
    <w:name w:val="Table Grid61"/>
    <w:basedOn w:val="TableNormal"/>
    <w:next w:val="TableGrid"/>
    <w:rsid w:val="00BC5E6F"/>
    <w:pPr>
      <w:spacing w:after="0" w:line="240" w:lineRule="auto"/>
    </w:pPr>
    <w:rPr>
      <w:rFonts w:ascii="Times New Roman" w:eastAsia="Times New Roman" w:hAnsi="Times New Roman" w:cs="Times New Roman"/>
      <w:sz w:val="20"/>
      <w:szCs w:val="20"/>
      <w:lang w:val="bg-B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331">
    <w:name w:val="Table Web 331"/>
    <w:basedOn w:val="TableNormal"/>
    <w:next w:val="TableWeb3"/>
    <w:rsid w:val="00BC5E6F"/>
    <w:pPr>
      <w:spacing w:after="0" w:line="240" w:lineRule="auto"/>
    </w:pPr>
    <w:rPr>
      <w:rFonts w:ascii="Times New Roman" w:eastAsia="Times New Roman" w:hAnsi="Times New Roman" w:cs="Times New Roman"/>
      <w:sz w:val="20"/>
      <w:szCs w:val="20"/>
      <w:lang w:val="bg-BG" w:eastAsia="bg-BG"/>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131">
    <w:name w:val="Table Grid131"/>
    <w:basedOn w:val="TableNormal"/>
    <w:next w:val="TableGrid"/>
    <w:rsid w:val="00BC5E6F"/>
    <w:pPr>
      <w:spacing w:after="0" w:line="240" w:lineRule="auto"/>
    </w:pPr>
    <w:rPr>
      <w:rFonts w:ascii="Times New Roman" w:eastAsia="Times New Roman" w:hAnsi="Times New Roman" w:cs="Times New Roman"/>
      <w:sz w:val="20"/>
      <w:szCs w:val="20"/>
      <w:lang w:val="bg-B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1">
    <w:name w:val="No List221"/>
    <w:next w:val="NoList"/>
    <w:uiPriority w:val="99"/>
    <w:semiHidden/>
    <w:unhideWhenUsed/>
    <w:rsid w:val="00BC5E6F"/>
  </w:style>
  <w:style w:type="table" w:customStyle="1" w:styleId="TableGrid231">
    <w:name w:val="Table Grid231"/>
    <w:basedOn w:val="TableNormal"/>
    <w:next w:val="TableGrid"/>
    <w:uiPriority w:val="99"/>
    <w:rsid w:val="00BC5E6F"/>
    <w:pPr>
      <w:spacing w:after="0" w:line="240" w:lineRule="auto"/>
    </w:pPr>
    <w:rPr>
      <w:rFonts w:ascii="Times New Roman" w:eastAsia="Times New Roman" w:hAnsi="Times New Roman" w:cs="Times New Roman"/>
      <w:sz w:val="20"/>
      <w:szCs w:val="20"/>
      <w:lang w:val="bg-B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3121">
    <w:name w:val="Table Web 3121"/>
    <w:basedOn w:val="TableNormal"/>
    <w:next w:val="TableWeb3"/>
    <w:uiPriority w:val="99"/>
    <w:rsid w:val="00BC5E6F"/>
    <w:pPr>
      <w:spacing w:after="0" w:line="240" w:lineRule="auto"/>
    </w:pPr>
    <w:rPr>
      <w:rFonts w:ascii="Times New Roman" w:eastAsia="Times New Roman" w:hAnsi="Times New Roman" w:cs="Times New Roman"/>
      <w:sz w:val="20"/>
      <w:szCs w:val="20"/>
      <w:lang w:val="bg-BG" w:eastAsia="bg-BG"/>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TableGrid1121">
    <w:name w:val="Table Grid1121"/>
    <w:uiPriority w:val="99"/>
    <w:rsid w:val="00BC5E6F"/>
    <w:pPr>
      <w:spacing w:after="0" w:line="240" w:lineRule="auto"/>
    </w:pPr>
    <w:rPr>
      <w:rFonts w:ascii="Times New Roman" w:eastAsia="Times New Roman" w:hAnsi="Times New Roman" w:cs="Times New Roman"/>
      <w:sz w:val="20"/>
      <w:szCs w:val="20"/>
      <w:lang w:val="bg-BG" w:eastAsia="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1">
    <w:name w:val="Table Grid2121"/>
    <w:uiPriority w:val="99"/>
    <w:rsid w:val="00BC5E6F"/>
    <w:pPr>
      <w:spacing w:after="0" w:line="240" w:lineRule="auto"/>
    </w:pPr>
    <w:rPr>
      <w:rFonts w:ascii="Calibri" w:eastAsia="Calibri" w:hAnsi="Calibri" w:cs="Times New Roman"/>
      <w:sz w:val="20"/>
      <w:szCs w:val="20"/>
      <w:lang w:val="bg-BG" w:eastAsia="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
    <w:name w:val="Table Grid321"/>
    <w:uiPriority w:val="99"/>
    <w:rsid w:val="00BC5E6F"/>
    <w:pPr>
      <w:spacing w:after="0" w:line="240" w:lineRule="auto"/>
    </w:pPr>
    <w:rPr>
      <w:rFonts w:ascii="Times New Roman" w:eastAsia="Times New Roman" w:hAnsi="Times New Roman" w:cs="Times New Roman"/>
      <w:sz w:val="20"/>
      <w:szCs w:val="20"/>
      <w:lang w:val="bg-BG" w:eastAsia="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1">
    <w:name w:val="No List321"/>
    <w:next w:val="NoList"/>
    <w:uiPriority w:val="99"/>
    <w:semiHidden/>
    <w:unhideWhenUsed/>
    <w:rsid w:val="00BC5E6F"/>
  </w:style>
  <w:style w:type="table" w:customStyle="1" w:styleId="TableGrid411">
    <w:name w:val="Table Grid411"/>
    <w:basedOn w:val="TableNormal"/>
    <w:next w:val="TableGrid"/>
    <w:uiPriority w:val="99"/>
    <w:rsid w:val="00BC5E6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3211">
    <w:name w:val="Table Web 3211"/>
    <w:basedOn w:val="TableNormal"/>
    <w:next w:val="TableWeb3"/>
    <w:uiPriority w:val="99"/>
    <w:rsid w:val="00BC5E6F"/>
    <w:pPr>
      <w:spacing w:after="0" w:line="240" w:lineRule="auto"/>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TableGrid1211">
    <w:name w:val="Table Grid1211"/>
    <w:rsid w:val="00BC5E6F"/>
    <w:pPr>
      <w:spacing w:after="0" w:line="240" w:lineRule="auto"/>
    </w:pPr>
    <w:rPr>
      <w:rFonts w:ascii="Times New Roman" w:eastAsia="Times New Roman" w:hAnsi="Times New Roman" w:cs="Times New Roman"/>
      <w:sz w:val="20"/>
      <w:szCs w:val="20"/>
      <w:lang w:val="bg-BG" w:eastAsia="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
    <w:name w:val="Table Grid2211"/>
    <w:uiPriority w:val="99"/>
    <w:rsid w:val="00BC5E6F"/>
    <w:pPr>
      <w:spacing w:after="0" w:line="240" w:lineRule="auto"/>
    </w:pPr>
    <w:rPr>
      <w:rFonts w:ascii="Calibri" w:eastAsia="Calibri" w:hAnsi="Calibri" w:cs="Times New Roman"/>
      <w:sz w:val="20"/>
      <w:szCs w:val="20"/>
      <w:lang w:val="bg-BG" w:eastAsia="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
    <w:name w:val="Table Grid3111"/>
    <w:uiPriority w:val="99"/>
    <w:rsid w:val="00BC5E6F"/>
    <w:pPr>
      <w:spacing w:after="0" w:line="240" w:lineRule="auto"/>
    </w:pPr>
    <w:rPr>
      <w:rFonts w:ascii="Times New Roman" w:eastAsia="Times New Roman" w:hAnsi="Times New Roman" w:cs="Times New Roman"/>
      <w:sz w:val="20"/>
      <w:szCs w:val="20"/>
      <w:lang w:val="bg-BG" w:eastAsia="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1">
    <w:name w:val="No List1121"/>
    <w:next w:val="NoList"/>
    <w:uiPriority w:val="99"/>
    <w:semiHidden/>
    <w:unhideWhenUsed/>
    <w:rsid w:val="00BC5E6F"/>
  </w:style>
  <w:style w:type="numbering" w:customStyle="1" w:styleId="NoList2121">
    <w:name w:val="No List2121"/>
    <w:next w:val="NoList"/>
    <w:uiPriority w:val="99"/>
    <w:semiHidden/>
    <w:unhideWhenUsed/>
    <w:rsid w:val="00BC5E6F"/>
  </w:style>
  <w:style w:type="numbering" w:customStyle="1" w:styleId="NoList3121">
    <w:name w:val="No List3121"/>
    <w:next w:val="NoList"/>
    <w:semiHidden/>
    <w:rsid w:val="00BC5E6F"/>
  </w:style>
  <w:style w:type="numbering" w:customStyle="1" w:styleId="NoList421">
    <w:name w:val="No List421"/>
    <w:next w:val="NoList"/>
    <w:uiPriority w:val="99"/>
    <w:semiHidden/>
    <w:unhideWhenUsed/>
    <w:rsid w:val="00BC5E6F"/>
  </w:style>
  <w:style w:type="table" w:customStyle="1" w:styleId="TableWeb31111">
    <w:name w:val="Table Web 31111"/>
    <w:basedOn w:val="TableNormal"/>
    <w:next w:val="TableWeb3"/>
    <w:uiPriority w:val="99"/>
    <w:rsid w:val="00BC5E6F"/>
    <w:pPr>
      <w:spacing w:after="0" w:line="240" w:lineRule="auto"/>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TableGrid11111">
    <w:name w:val="Table Grid11111"/>
    <w:uiPriority w:val="99"/>
    <w:rsid w:val="00BC5E6F"/>
    <w:pPr>
      <w:spacing w:after="0" w:line="240" w:lineRule="auto"/>
    </w:pPr>
    <w:rPr>
      <w:rFonts w:ascii="Times New Roman" w:eastAsia="Times New Roman" w:hAnsi="Times New Roman" w:cs="Times New Roman"/>
      <w:sz w:val="20"/>
      <w:szCs w:val="20"/>
      <w:lang w:val="bg-BG" w:eastAsia="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
    <w:name w:val="Table Grid21111"/>
    <w:uiPriority w:val="99"/>
    <w:rsid w:val="00BC5E6F"/>
    <w:pPr>
      <w:spacing w:after="0" w:line="240" w:lineRule="auto"/>
    </w:pPr>
    <w:rPr>
      <w:rFonts w:ascii="Calibri" w:eastAsia="Calibri" w:hAnsi="Calibri" w:cs="Times New Roman"/>
      <w:sz w:val="20"/>
      <w:szCs w:val="20"/>
      <w:lang w:val="bg-BG" w:eastAsia="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
    <w:name w:val="Table Grid511"/>
    <w:basedOn w:val="TableNormal"/>
    <w:next w:val="TableGrid"/>
    <w:uiPriority w:val="59"/>
    <w:rsid w:val="00BC5E6F"/>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next w:val="TableGrid"/>
    <w:rsid w:val="00BC5E6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341">
    <w:name w:val="Table Web 341"/>
    <w:basedOn w:val="TableNormal"/>
    <w:next w:val="TableWeb3"/>
    <w:uiPriority w:val="99"/>
    <w:rsid w:val="00BC5E6F"/>
    <w:pPr>
      <w:spacing w:after="0" w:line="240" w:lineRule="auto"/>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TableGrid241">
    <w:name w:val="Table Grid241"/>
    <w:uiPriority w:val="99"/>
    <w:rsid w:val="00BC5E6F"/>
    <w:pPr>
      <w:spacing w:after="0" w:line="240" w:lineRule="auto"/>
    </w:pPr>
    <w:rPr>
      <w:rFonts w:ascii="Calibri" w:eastAsia="Calibri" w:hAnsi="Calibri" w:cs="Times New Roman"/>
      <w:sz w:val="20"/>
      <w:szCs w:val="20"/>
      <w:lang w:val="bg-BG" w:eastAsia="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1">
    <w:name w:val="Table Grid1131"/>
    <w:uiPriority w:val="99"/>
    <w:rsid w:val="00BC5E6F"/>
    <w:pPr>
      <w:spacing w:after="0" w:line="240" w:lineRule="auto"/>
    </w:pPr>
    <w:rPr>
      <w:rFonts w:ascii="Times New Roman" w:eastAsia="Times New Roman" w:hAnsi="Times New Roman" w:cs="Times New Roman"/>
      <w:sz w:val="20"/>
      <w:szCs w:val="20"/>
      <w:lang w:val="bg-BG" w:eastAsia="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1">
    <w:name w:val="Table Grid2131"/>
    <w:uiPriority w:val="99"/>
    <w:rsid w:val="00BC5E6F"/>
    <w:pPr>
      <w:spacing w:after="0" w:line="240" w:lineRule="auto"/>
    </w:pPr>
    <w:rPr>
      <w:rFonts w:ascii="Calibri" w:eastAsia="Calibri" w:hAnsi="Calibri" w:cs="Times New Roman"/>
      <w:sz w:val="20"/>
      <w:szCs w:val="20"/>
      <w:lang w:val="bg-BG" w:eastAsia="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
    <w:name w:val="No List7"/>
    <w:next w:val="NoList"/>
    <w:uiPriority w:val="99"/>
    <w:semiHidden/>
    <w:unhideWhenUsed/>
    <w:rsid w:val="00412CD9"/>
  </w:style>
  <w:style w:type="numbering" w:customStyle="1" w:styleId="NoList16">
    <w:name w:val="No List16"/>
    <w:next w:val="NoList"/>
    <w:uiPriority w:val="99"/>
    <w:semiHidden/>
    <w:unhideWhenUsed/>
    <w:rsid w:val="00412CD9"/>
  </w:style>
  <w:style w:type="numbering" w:customStyle="1" w:styleId="NoList114">
    <w:name w:val="No List114"/>
    <w:next w:val="NoList"/>
    <w:uiPriority w:val="99"/>
    <w:semiHidden/>
    <w:rsid w:val="00412CD9"/>
  </w:style>
  <w:style w:type="table" w:customStyle="1" w:styleId="TableGrid9">
    <w:name w:val="Table Grid9"/>
    <w:basedOn w:val="TableNormal"/>
    <w:next w:val="TableGrid"/>
    <w:rsid w:val="00412CD9"/>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rsid w:val="00412CD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2">
    <w:name w:val="No List1112"/>
    <w:next w:val="NoList"/>
    <w:uiPriority w:val="99"/>
    <w:semiHidden/>
    <w:unhideWhenUsed/>
    <w:rsid w:val="00412CD9"/>
  </w:style>
  <w:style w:type="numbering" w:customStyle="1" w:styleId="NoList24">
    <w:name w:val="No List24"/>
    <w:next w:val="NoList"/>
    <w:uiPriority w:val="99"/>
    <w:semiHidden/>
    <w:unhideWhenUsed/>
    <w:rsid w:val="00412CD9"/>
  </w:style>
  <w:style w:type="numbering" w:customStyle="1" w:styleId="NoList34">
    <w:name w:val="No List34"/>
    <w:next w:val="NoList"/>
    <w:semiHidden/>
    <w:unhideWhenUsed/>
    <w:rsid w:val="00412CD9"/>
  </w:style>
  <w:style w:type="table" w:customStyle="1" w:styleId="TableGrid115">
    <w:name w:val="Table Grid115"/>
    <w:basedOn w:val="TableNormal"/>
    <w:next w:val="TableGrid"/>
    <w:rsid w:val="00412CD9"/>
    <w:pPr>
      <w:spacing w:after="0" w:line="240" w:lineRule="auto"/>
      <w:jc w:val="both"/>
    </w:pPr>
    <w:rPr>
      <w:rFonts w:ascii="Calibri" w:eastAsia="Calibri" w:hAnsi="Calibri" w:cs="Times New Roman"/>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Normal"/>
    <w:next w:val="TableGrid"/>
    <w:rsid w:val="00412CD9"/>
    <w:pPr>
      <w:spacing w:after="0" w:line="240" w:lineRule="auto"/>
    </w:pPr>
    <w:rPr>
      <w:rFonts w:ascii="Verdana" w:eastAsia="Times New Roman" w:hAnsi="Verdana" w:cs="Times New Roman"/>
      <w:sz w:val="20"/>
      <w:szCs w:val="20"/>
      <w:lang w:val="bg-B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2">
    <w:name w:val="No List122"/>
    <w:next w:val="NoList"/>
    <w:semiHidden/>
    <w:rsid w:val="00412CD9"/>
  </w:style>
  <w:style w:type="numbering" w:customStyle="1" w:styleId="NoList44">
    <w:name w:val="No List44"/>
    <w:next w:val="NoList"/>
    <w:uiPriority w:val="99"/>
    <w:semiHidden/>
    <w:unhideWhenUsed/>
    <w:rsid w:val="00412CD9"/>
  </w:style>
  <w:style w:type="numbering" w:customStyle="1" w:styleId="NoList132">
    <w:name w:val="No List132"/>
    <w:next w:val="NoList"/>
    <w:semiHidden/>
    <w:rsid w:val="00412CD9"/>
  </w:style>
  <w:style w:type="table" w:customStyle="1" w:styleId="TableGrid34">
    <w:name w:val="Table Grid34"/>
    <w:basedOn w:val="TableNormal"/>
    <w:next w:val="TableGrid"/>
    <w:uiPriority w:val="99"/>
    <w:rsid w:val="00412CD9"/>
    <w:pPr>
      <w:spacing w:after="0" w:line="240" w:lineRule="auto"/>
    </w:pPr>
    <w:rPr>
      <w:rFonts w:ascii="Times New Roman" w:eastAsia="Times New Roman" w:hAnsi="Times New Roman" w:cs="Times New Roman"/>
      <w:sz w:val="20"/>
      <w:szCs w:val="20"/>
      <w:lang w:val="bg-B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36">
    <w:name w:val="Table Web 36"/>
    <w:basedOn w:val="TableNormal"/>
    <w:next w:val="TableWeb3"/>
    <w:rsid w:val="00412CD9"/>
    <w:pPr>
      <w:spacing w:after="0" w:line="240" w:lineRule="auto"/>
    </w:pPr>
    <w:rPr>
      <w:rFonts w:ascii="Times New Roman" w:eastAsia="Times New Roman" w:hAnsi="Times New Roman" w:cs="Times New Roman"/>
      <w:sz w:val="20"/>
      <w:szCs w:val="20"/>
      <w:lang w:val="bg-BG" w:eastAsia="bg-BG"/>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123">
    <w:name w:val="Table Grid123"/>
    <w:basedOn w:val="TableNormal"/>
    <w:next w:val="TableGrid"/>
    <w:rsid w:val="00412CD9"/>
    <w:pPr>
      <w:spacing w:after="0" w:line="240" w:lineRule="auto"/>
    </w:pPr>
    <w:rPr>
      <w:rFonts w:ascii="Times New Roman" w:eastAsia="Times New Roman" w:hAnsi="Times New Roman" w:cs="Times New Roman"/>
      <w:sz w:val="20"/>
      <w:szCs w:val="20"/>
      <w:lang w:val="bg-B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4">
    <w:name w:val="No List214"/>
    <w:next w:val="NoList"/>
    <w:uiPriority w:val="99"/>
    <w:semiHidden/>
    <w:unhideWhenUsed/>
    <w:rsid w:val="00412CD9"/>
  </w:style>
  <w:style w:type="table" w:customStyle="1" w:styleId="TableGrid215">
    <w:name w:val="Table Grid215"/>
    <w:basedOn w:val="TableNormal"/>
    <w:next w:val="TableGrid"/>
    <w:uiPriority w:val="99"/>
    <w:rsid w:val="00412CD9"/>
    <w:pPr>
      <w:spacing w:after="0" w:line="240" w:lineRule="auto"/>
    </w:pPr>
    <w:rPr>
      <w:rFonts w:ascii="Times New Roman" w:eastAsia="Times New Roman" w:hAnsi="Times New Roman" w:cs="Times New Roman"/>
      <w:sz w:val="20"/>
      <w:szCs w:val="20"/>
      <w:lang w:val="bg-B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314">
    <w:name w:val="Table Web 314"/>
    <w:basedOn w:val="TableNormal"/>
    <w:next w:val="TableWeb3"/>
    <w:uiPriority w:val="99"/>
    <w:rsid w:val="00412CD9"/>
    <w:pPr>
      <w:spacing w:after="0" w:line="240" w:lineRule="auto"/>
    </w:pPr>
    <w:rPr>
      <w:rFonts w:ascii="Times New Roman" w:eastAsia="Times New Roman" w:hAnsi="Times New Roman" w:cs="Times New Roman"/>
      <w:sz w:val="20"/>
      <w:szCs w:val="20"/>
      <w:lang w:val="bg-BG" w:eastAsia="bg-BG"/>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TableGrid1113">
    <w:name w:val="Table Grid1113"/>
    <w:uiPriority w:val="99"/>
    <w:rsid w:val="00412CD9"/>
    <w:pPr>
      <w:spacing w:after="0" w:line="240" w:lineRule="auto"/>
    </w:pPr>
    <w:rPr>
      <w:rFonts w:ascii="Times New Roman" w:eastAsia="Times New Roman" w:hAnsi="Times New Roman" w:cs="Times New Roman"/>
      <w:sz w:val="20"/>
      <w:szCs w:val="20"/>
      <w:lang w:val="bg-BG" w:eastAsia="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3">
    <w:name w:val="Table Grid2113"/>
    <w:uiPriority w:val="99"/>
    <w:rsid w:val="00412CD9"/>
    <w:pPr>
      <w:spacing w:after="0" w:line="240" w:lineRule="auto"/>
    </w:pPr>
    <w:rPr>
      <w:rFonts w:ascii="Calibri" w:eastAsia="Calibri" w:hAnsi="Calibri" w:cs="Times New Roman"/>
      <w:sz w:val="20"/>
      <w:szCs w:val="20"/>
      <w:lang w:val="bg-BG" w:eastAsia="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4">
    <w:name w:val="No List314"/>
    <w:next w:val="NoList"/>
    <w:uiPriority w:val="99"/>
    <w:semiHidden/>
    <w:unhideWhenUsed/>
    <w:rsid w:val="00412CD9"/>
  </w:style>
  <w:style w:type="table" w:customStyle="1" w:styleId="TableGrid43">
    <w:name w:val="Table Grid43"/>
    <w:basedOn w:val="TableNormal"/>
    <w:next w:val="TableGrid"/>
    <w:uiPriority w:val="99"/>
    <w:rsid w:val="00412CD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323">
    <w:name w:val="Table Web 323"/>
    <w:basedOn w:val="TableNormal"/>
    <w:next w:val="TableWeb3"/>
    <w:uiPriority w:val="99"/>
    <w:rsid w:val="00412CD9"/>
    <w:pPr>
      <w:spacing w:after="0" w:line="240" w:lineRule="auto"/>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TableGrid223">
    <w:name w:val="Table Grid223"/>
    <w:uiPriority w:val="99"/>
    <w:rsid w:val="00412CD9"/>
    <w:pPr>
      <w:spacing w:after="0" w:line="240" w:lineRule="auto"/>
    </w:pPr>
    <w:rPr>
      <w:rFonts w:ascii="Calibri" w:eastAsia="Calibri" w:hAnsi="Calibri" w:cs="Times New Roman"/>
      <w:sz w:val="20"/>
      <w:szCs w:val="20"/>
      <w:lang w:val="bg-BG" w:eastAsia="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
    <w:name w:val="Table Grid313"/>
    <w:uiPriority w:val="99"/>
    <w:rsid w:val="00412CD9"/>
    <w:pPr>
      <w:spacing w:after="0" w:line="240" w:lineRule="auto"/>
    </w:pPr>
    <w:rPr>
      <w:rFonts w:ascii="Times New Roman" w:eastAsia="Times New Roman" w:hAnsi="Times New Roman" w:cs="Times New Roman"/>
      <w:sz w:val="20"/>
      <w:szCs w:val="20"/>
      <w:lang w:val="bg-BG" w:eastAsia="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1">
    <w:name w:val="No List11111"/>
    <w:next w:val="NoList"/>
    <w:uiPriority w:val="99"/>
    <w:semiHidden/>
    <w:unhideWhenUsed/>
    <w:rsid w:val="00412CD9"/>
  </w:style>
  <w:style w:type="numbering" w:customStyle="1" w:styleId="NoList2112">
    <w:name w:val="No List2112"/>
    <w:next w:val="NoList"/>
    <w:uiPriority w:val="99"/>
    <w:semiHidden/>
    <w:unhideWhenUsed/>
    <w:rsid w:val="00412CD9"/>
  </w:style>
  <w:style w:type="numbering" w:customStyle="1" w:styleId="NoList3112">
    <w:name w:val="No List3112"/>
    <w:next w:val="NoList"/>
    <w:semiHidden/>
    <w:rsid w:val="00412CD9"/>
  </w:style>
  <w:style w:type="numbering" w:customStyle="1" w:styleId="NoList412">
    <w:name w:val="No List412"/>
    <w:next w:val="NoList"/>
    <w:uiPriority w:val="99"/>
    <w:semiHidden/>
    <w:unhideWhenUsed/>
    <w:rsid w:val="00412CD9"/>
  </w:style>
  <w:style w:type="table" w:customStyle="1" w:styleId="TableWeb3113">
    <w:name w:val="Table Web 3113"/>
    <w:basedOn w:val="TableNormal"/>
    <w:next w:val="TableWeb3"/>
    <w:uiPriority w:val="99"/>
    <w:rsid w:val="00412CD9"/>
    <w:pPr>
      <w:spacing w:after="0" w:line="240" w:lineRule="auto"/>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TableGrid53">
    <w:name w:val="Table Grid53"/>
    <w:basedOn w:val="TableNormal"/>
    <w:next w:val="TableGrid"/>
    <w:uiPriority w:val="59"/>
    <w:rsid w:val="00412CD9"/>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
    <w:name w:val="No List52"/>
    <w:next w:val="NoList"/>
    <w:uiPriority w:val="99"/>
    <w:semiHidden/>
    <w:unhideWhenUsed/>
    <w:rsid w:val="00412CD9"/>
  </w:style>
  <w:style w:type="numbering" w:customStyle="1" w:styleId="NoList142">
    <w:name w:val="No List142"/>
    <w:next w:val="NoList"/>
    <w:semiHidden/>
    <w:rsid w:val="00412CD9"/>
  </w:style>
  <w:style w:type="table" w:customStyle="1" w:styleId="TableGrid62">
    <w:name w:val="Table Grid62"/>
    <w:basedOn w:val="TableNormal"/>
    <w:next w:val="TableGrid"/>
    <w:rsid w:val="00412CD9"/>
    <w:pPr>
      <w:spacing w:after="0" w:line="240" w:lineRule="auto"/>
    </w:pPr>
    <w:rPr>
      <w:rFonts w:ascii="Times New Roman" w:eastAsia="Times New Roman" w:hAnsi="Times New Roman" w:cs="Times New Roman"/>
      <w:sz w:val="20"/>
      <w:szCs w:val="20"/>
      <w:lang w:val="bg-B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332">
    <w:name w:val="Table Web 332"/>
    <w:basedOn w:val="TableNormal"/>
    <w:next w:val="TableWeb3"/>
    <w:rsid w:val="00412CD9"/>
    <w:pPr>
      <w:spacing w:after="0" w:line="240" w:lineRule="auto"/>
    </w:pPr>
    <w:rPr>
      <w:rFonts w:ascii="Times New Roman" w:eastAsia="Times New Roman" w:hAnsi="Times New Roman" w:cs="Times New Roman"/>
      <w:sz w:val="20"/>
      <w:szCs w:val="20"/>
      <w:lang w:val="bg-BG" w:eastAsia="bg-BG"/>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132">
    <w:name w:val="Table Grid132"/>
    <w:basedOn w:val="TableNormal"/>
    <w:next w:val="TableGrid"/>
    <w:rsid w:val="00412CD9"/>
    <w:pPr>
      <w:spacing w:after="0" w:line="240" w:lineRule="auto"/>
    </w:pPr>
    <w:rPr>
      <w:rFonts w:ascii="Times New Roman" w:eastAsia="Times New Roman" w:hAnsi="Times New Roman" w:cs="Times New Roman"/>
      <w:sz w:val="20"/>
      <w:szCs w:val="20"/>
      <w:lang w:val="bg-B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2">
    <w:name w:val="No List222"/>
    <w:next w:val="NoList"/>
    <w:uiPriority w:val="99"/>
    <w:semiHidden/>
    <w:unhideWhenUsed/>
    <w:rsid w:val="00412CD9"/>
  </w:style>
  <w:style w:type="table" w:customStyle="1" w:styleId="TableGrid232">
    <w:name w:val="Table Grid232"/>
    <w:basedOn w:val="TableNormal"/>
    <w:next w:val="TableGrid"/>
    <w:uiPriority w:val="99"/>
    <w:rsid w:val="00412CD9"/>
    <w:pPr>
      <w:spacing w:after="0" w:line="240" w:lineRule="auto"/>
    </w:pPr>
    <w:rPr>
      <w:rFonts w:ascii="Times New Roman" w:eastAsia="Times New Roman" w:hAnsi="Times New Roman" w:cs="Times New Roman"/>
      <w:sz w:val="20"/>
      <w:szCs w:val="20"/>
      <w:lang w:val="bg-B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3122">
    <w:name w:val="Table Web 3122"/>
    <w:basedOn w:val="TableNormal"/>
    <w:next w:val="TableWeb3"/>
    <w:uiPriority w:val="99"/>
    <w:rsid w:val="00412CD9"/>
    <w:pPr>
      <w:spacing w:after="0" w:line="240" w:lineRule="auto"/>
    </w:pPr>
    <w:rPr>
      <w:rFonts w:ascii="Times New Roman" w:eastAsia="Times New Roman" w:hAnsi="Times New Roman" w:cs="Times New Roman"/>
      <w:sz w:val="20"/>
      <w:szCs w:val="20"/>
      <w:lang w:val="bg-BG" w:eastAsia="bg-BG"/>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TableGrid1122">
    <w:name w:val="Table Grid1122"/>
    <w:uiPriority w:val="99"/>
    <w:rsid w:val="00412CD9"/>
    <w:pPr>
      <w:spacing w:after="0" w:line="240" w:lineRule="auto"/>
    </w:pPr>
    <w:rPr>
      <w:rFonts w:ascii="Times New Roman" w:eastAsia="Times New Roman" w:hAnsi="Times New Roman" w:cs="Times New Roman"/>
      <w:sz w:val="20"/>
      <w:szCs w:val="20"/>
      <w:lang w:val="bg-BG" w:eastAsia="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2">
    <w:name w:val="Table Grid2122"/>
    <w:uiPriority w:val="99"/>
    <w:rsid w:val="00412CD9"/>
    <w:pPr>
      <w:spacing w:after="0" w:line="240" w:lineRule="auto"/>
    </w:pPr>
    <w:rPr>
      <w:rFonts w:ascii="Calibri" w:eastAsia="Calibri" w:hAnsi="Calibri" w:cs="Times New Roman"/>
      <w:sz w:val="20"/>
      <w:szCs w:val="20"/>
      <w:lang w:val="bg-BG" w:eastAsia="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2">
    <w:name w:val="Table Grid322"/>
    <w:uiPriority w:val="99"/>
    <w:rsid w:val="00412CD9"/>
    <w:pPr>
      <w:spacing w:after="0" w:line="240" w:lineRule="auto"/>
    </w:pPr>
    <w:rPr>
      <w:rFonts w:ascii="Times New Roman" w:eastAsia="Times New Roman" w:hAnsi="Times New Roman" w:cs="Times New Roman"/>
      <w:sz w:val="20"/>
      <w:szCs w:val="20"/>
      <w:lang w:val="bg-BG" w:eastAsia="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2">
    <w:name w:val="No List322"/>
    <w:next w:val="NoList"/>
    <w:uiPriority w:val="99"/>
    <w:semiHidden/>
    <w:unhideWhenUsed/>
    <w:rsid w:val="00412CD9"/>
  </w:style>
  <w:style w:type="table" w:customStyle="1" w:styleId="TableGrid412">
    <w:name w:val="Table Grid412"/>
    <w:basedOn w:val="TableNormal"/>
    <w:next w:val="TableGrid"/>
    <w:uiPriority w:val="99"/>
    <w:rsid w:val="00412CD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3212">
    <w:name w:val="Table Web 3212"/>
    <w:basedOn w:val="TableNormal"/>
    <w:next w:val="TableWeb3"/>
    <w:uiPriority w:val="99"/>
    <w:rsid w:val="00412CD9"/>
    <w:pPr>
      <w:spacing w:after="0" w:line="240" w:lineRule="auto"/>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TableGrid1212">
    <w:name w:val="Table Grid1212"/>
    <w:rsid w:val="00412CD9"/>
    <w:pPr>
      <w:spacing w:after="0" w:line="240" w:lineRule="auto"/>
    </w:pPr>
    <w:rPr>
      <w:rFonts w:ascii="Times New Roman" w:eastAsia="Times New Roman" w:hAnsi="Times New Roman" w:cs="Times New Roman"/>
      <w:sz w:val="20"/>
      <w:szCs w:val="20"/>
      <w:lang w:val="bg-BG" w:eastAsia="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2">
    <w:name w:val="Table Grid2212"/>
    <w:uiPriority w:val="99"/>
    <w:rsid w:val="00412CD9"/>
    <w:pPr>
      <w:spacing w:after="0" w:line="240" w:lineRule="auto"/>
    </w:pPr>
    <w:rPr>
      <w:rFonts w:ascii="Calibri" w:eastAsia="Calibri" w:hAnsi="Calibri" w:cs="Times New Roman"/>
      <w:sz w:val="20"/>
      <w:szCs w:val="20"/>
      <w:lang w:val="bg-BG" w:eastAsia="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2">
    <w:name w:val="Table Grid3112"/>
    <w:uiPriority w:val="99"/>
    <w:rsid w:val="00412CD9"/>
    <w:pPr>
      <w:spacing w:after="0" w:line="240" w:lineRule="auto"/>
    </w:pPr>
    <w:rPr>
      <w:rFonts w:ascii="Times New Roman" w:eastAsia="Times New Roman" w:hAnsi="Times New Roman" w:cs="Times New Roman"/>
      <w:sz w:val="20"/>
      <w:szCs w:val="20"/>
      <w:lang w:val="bg-BG" w:eastAsia="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2">
    <w:name w:val="No List1122"/>
    <w:next w:val="NoList"/>
    <w:uiPriority w:val="99"/>
    <w:semiHidden/>
    <w:unhideWhenUsed/>
    <w:rsid w:val="00412CD9"/>
  </w:style>
  <w:style w:type="numbering" w:customStyle="1" w:styleId="NoList2122">
    <w:name w:val="No List2122"/>
    <w:next w:val="NoList"/>
    <w:uiPriority w:val="99"/>
    <w:semiHidden/>
    <w:unhideWhenUsed/>
    <w:rsid w:val="00412CD9"/>
  </w:style>
  <w:style w:type="numbering" w:customStyle="1" w:styleId="NoList3122">
    <w:name w:val="No List3122"/>
    <w:next w:val="NoList"/>
    <w:semiHidden/>
    <w:rsid w:val="00412CD9"/>
  </w:style>
  <w:style w:type="numbering" w:customStyle="1" w:styleId="NoList422">
    <w:name w:val="No List422"/>
    <w:next w:val="NoList"/>
    <w:uiPriority w:val="99"/>
    <w:semiHidden/>
    <w:unhideWhenUsed/>
    <w:rsid w:val="00412CD9"/>
  </w:style>
  <w:style w:type="table" w:customStyle="1" w:styleId="TableWeb31112">
    <w:name w:val="Table Web 31112"/>
    <w:basedOn w:val="TableNormal"/>
    <w:next w:val="TableWeb3"/>
    <w:uiPriority w:val="99"/>
    <w:rsid w:val="00412CD9"/>
    <w:pPr>
      <w:spacing w:after="0" w:line="240" w:lineRule="auto"/>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TableGrid11112">
    <w:name w:val="Table Grid11112"/>
    <w:uiPriority w:val="99"/>
    <w:rsid w:val="00412CD9"/>
    <w:pPr>
      <w:spacing w:after="0" w:line="240" w:lineRule="auto"/>
    </w:pPr>
    <w:rPr>
      <w:rFonts w:ascii="Times New Roman" w:eastAsia="Times New Roman" w:hAnsi="Times New Roman" w:cs="Times New Roman"/>
      <w:sz w:val="20"/>
      <w:szCs w:val="20"/>
      <w:lang w:val="bg-BG" w:eastAsia="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2">
    <w:name w:val="Table Grid21112"/>
    <w:uiPriority w:val="99"/>
    <w:rsid w:val="00412CD9"/>
    <w:pPr>
      <w:spacing w:after="0" w:line="240" w:lineRule="auto"/>
    </w:pPr>
    <w:rPr>
      <w:rFonts w:ascii="Calibri" w:eastAsia="Calibri" w:hAnsi="Calibri" w:cs="Times New Roman"/>
      <w:sz w:val="20"/>
      <w:szCs w:val="20"/>
      <w:lang w:val="bg-BG" w:eastAsia="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2">
    <w:name w:val="Table Grid512"/>
    <w:basedOn w:val="TableNormal"/>
    <w:next w:val="TableGrid"/>
    <w:uiPriority w:val="59"/>
    <w:rsid w:val="00412CD9"/>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
    <w:name w:val="Table Grid72"/>
    <w:basedOn w:val="TableNormal"/>
    <w:next w:val="TableGrid"/>
    <w:rsid w:val="00412CD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342">
    <w:name w:val="Table Web 342"/>
    <w:basedOn w:val="TableNormal"/>
    <w:next w:val="TableWeb3"/>
    <w:uiPriority w:val="99"/>
    <w:rsid w:val="00412CD9"/>
    <w:pPr>
      <w:spacing w:after="0" w:line="240" w:lineRule="auto"/>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TableGrid242">
    <w:name w:val="Table Grid242"/>
    <w:uiPriority w:val="99"/>
    <w:rsid w:val="00412CD9"/>
    <w:pPr>
      <w:spacing w:after="0" w:line="240" w:lineRule="auto"/>
    </w:pPr>
    <w:rPr>
      <w:rFonts w:ascii="Calibri" w:eastAsia="Calibri" w:hAnsi="Calibri" w:cs="Times New Roman"/>
      <w:sz w:val="20"/>
      <w:szCs w:val="20"/>
      <w:lang w:val="bg-BG" w:eastAsia="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2">
    <w:name w:val="Table Grid1132"/>
    <w:uiPriority w:val="99"/>
    <w:rsid w:val="00412CD9"/>
    <w:pPr>
      <w:spacing w:after="0" w:line="240" w:lineRule="auto"/>
    </w:pPr>
    <w:rPr>
      <w:rFonts w:ascii="Times New Roman" w:eastAsia="Times New Roman" w:hAnsi="Times New Roman" w:cs="Times New Roman"/>
      <w:sz w:val="20"/>
      <w:szCs w:val="20"/>
      <w:lang w:val="bg-BG" w:eastAsia="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2">
    <w:name w:val="Table Grid2132"/>
    <w:uiPriority w:val="99"/>
    <w:rsid w:val="00412CD9"/>
    <w:pPr>
      <w:spacing w:after="0" w:line="240" w:lineRule="auto"/>
    </w:pPr>
    <w:rPr>
      <w:rFonts w:ascii="Calibri" w:eastAsia="Calibri" w:hAnsi="Calibri" w:cs="Times New Roman"/>
      <w:sz w:val="20"/>
      <w:szCs w:val="20"/>
      <w:lang w:val="bg-BG" w:eastAsia="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
    <w:name w:val="No List8"/>
    <w:next w:val="NoList"/>
    <w:uiPriority w:val="99"/>
    <w:semiHidden/>
    <w:unhideWhenUsed/>
    <w:rsid w:val="00612FEB"/>
  </w:style>
  <w:style w:type="table" w:customStyle="1" w:styleId="TableGrid10">
    <w:name w:val="Table Grid10"/>
    <w:basedOn w:val="TableNormal"/>
    <w:next w:val="TableGrid"/>
    <w:rsid w:val="00612FEB"/>
    <w:rPr>
      <w:rFonts w:ascii="Calibri" w:eastAsia="Calibri" w:hAnsi="Calibri" w:cs="Times New Roman"/>
      <w:sz w:val="20"/>
      <w:szCs w:val="20"/>
      <w:lang w:val="bg-B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rsid w:val="00612FEB"/>
    <w:pPr>
      <w:spacing w:after="0" w:line="240" w:lineRule="auto"/>
    </w:pPr>
    <w:rPr>
      <w:rFonts w:ascii="Times New Roman" w:eastAsia="Times New Roman" w:hAnsi="Times New Roman" w:cs="Times New Roman"/>
      <w:sz w:val="20"/>
      <w:szCs w:val="20"/>
      <w:lang w:val="bg-B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7">
    <w:name w:val="No List17"/>
    <w:next w:val="NoList"/>
    <w:uiPriority w:val="99"/>
    <w:semiHidden/>
    <w:unhideWhenUsed/>
    <w:rsid w:val="00612FEB"/>
  </w:style>
  <w:style w:type="numbering" w:customStyle="1" w:styleId="NoList25">
    <w:name w:val="No List25"/>
    <w:next w:val="NoList"/>
    <w:uiPriority w:val="99"/>
    <w:semiHidden/>
    <w:unhideWhenUsed/>
    <w:rsid w:val="00612FEB"/>
  </w:style>
  <w:style w:type="numbering" w:customStyle="1" w:styleId="NoList35">
    <w:name w:val="No List35"/>
    <w:next w:val="NoList"/>
    <w:uiPriority w:val="99"/>
    <w:semiHidden/>
    <w:unhideWhenUsed/>
    <w:rsid w:val="00612FEB"/>
  </w:style>
  <w:style w:type="numbering" w:customStyle="1" w:styleId="NoList9">
    <w:name w:val="No List9"/>
    <w:next w:val="NoList"/>
    <w:uiPriority w:val="99"/>
    <w:semiHidden/>
    <w:unhideWhenUsed/>
    <w:rsid w:val="004615A7"/>
  </w:style>
  <w:style w:type="numbering" w:customStyle="1" w:styleId="NoList10">
    <w:name w:val="No List10"/>
    <w:next w:val="NoList"/>
    <w:uiPriority w:val="99"/>
    <w:semiHidden/>
    <w:unhideWhenUsed/>
    <w:rsid w:val="007B3E82"/>
  </w:style>
  <w:style w:type="table" w:customStyle="1" w:styleId="TableGrid17">
    <w:name w:val="Table Grid17"/>
    <w:basedOn w:val="TableNormal"/>
    <w:next w:val="TableGrid"/>
    <w:rsid w:val="007B3E82"/>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rsid w:val="007B3E82"/>
    <w:pPr>
      <w:spacing w:after="0" w:line="240" w:lineRule="auto"/>
      <w:jc w:val="both"/>
    </w:pPr>
    <w:rPr>
      <w:rFonts w:ascii="Calibri" w:eastAsia="Calibri" w:hAnsi="Calibri" w:cs="Times New Roman"/>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8">
    <w:name w:val="No List18"/>
    <w:next w:val="NoList"/>
    <w:uiPriority w:val="99"/>
    <w:semiHidden/>
    <w:unhideWhenUsed/>
    <w:rsid w:val="00836DEB"/>
  </w:style>
  <w:style w:type="table" w:customStyle="1" w:styleId="TableGrid19">
    <w:name w:val="Table Grid19"/>
    <w:basedOn w:val="TableNormal"/>
    <w:next w:val="TableGrid"/>
    <w:rsid w:val="00836DE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istoryitem">
    <w:name w:val="historyitem"/>
    <w:basedOn w:val="DefaultParagraphFont"/>
    <w:rsid w:val="00836DEB"/>
  </w:style>
  <w:style w:type="numbering" w:customStyle="1" w:styleId="NoList19">
    <w:name w:val="No List19"/>
    <w:next w:val="NoList"/>
    <w:uiPriority w:val="99"/>
    <w:semiHidden/>
    <w:unhideWhenUsed/>
    <w:rsid w:val="007D0816"/>
  </w:style>
  <w:style w:type="numbering" w:customStyle="1" w:styleId="NoList110">
    <w:name w:val="No List110"/>
    <w:next w:val="NoList"/>
    <w:uiPriority w:val="99"/>
    <w:semiHidden/>
    <w:rsid w:val="007D0816"/>
  </w:style>
  <w:style w:type="table" w:customStyle="1" w:styleId="TableGrid20">
    <w:name w:val="Table Grid20"/>
    <w:basedOn w:val="TableNormal"/>
    <w:next w:val="TableGrid"/>
    <w:rsid w:val="007D0816"/>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 Grid110"/>
    <w:basedOn w:val="TableNormal"/>
    <w:next w:val="TableGrid"/>
    <w:rsid w:val="007D0816"/>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5">
    <w:name w:val="No List115"/>
    <w:next w:val="NoList"/>
    <w:uiPriority w:val="99"/>
    <w:semiHidden/>
    <w:unhideWhenUsed/>
    <w:rsid w:val="007D0816"/>
  </w:style>
  <w:style w:type="numbering" w:customStyle="1" w:styleId="NoList26">
    <w:name w:val="No List26"/>
    <w:next w:val="NoList"/>
    <w:uiPriority w:val="99"/>
    <w:semiHidden/>
    <w:unhideWhenUsed/>
    <w:rsid w:val="007D0816"/>
  </w:style>
  <w:style w:type="numbering" w:customStyle="1" w:styleId="NoList36">
    <w:name w:val="No List36"/>
    <w:next w:val="NoList"/>
    <w:semiHidden/>
    <w:unhideWhenUsed/>
    <w:rsid w:val="007D0816"/>
  </w:style>
  <w:style w:type="table" w:customStyle="1" w:styleId="TableGrid116">
    <w:name w:val="Table Grid116"/>
    <w:basedOn w:val="TableNormal"/>
    <w:next w:val="TableGrid"/>
    <w:rsid w:val="007D0816"/>
    <w:pPr>
      <w:spacing w:after="0" w:line="240" w:lineRule="auto"/>
      <w:jc w:val="both"/>
    </w:pPr>
    <w:rPr>
      <w:rFonts w:ascii="Calibri" w:eastAsia="Calibri" w:hAnsi="Calibri" w:cs="Times New Roman"/>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27"/>
    <w:basedOn w:val="TableNormal"/>
    <w:next w:val="TableGrid"/>
    <w:rsid w:val="007D0816"/>
    <w:pPr>
      <w:spacing w:after="0" w:line="240" w:lineRule="auto"/>
    </w:pPr>
    <w:rPr>
      <w:rFonts w:ascii="Verdana" w:eastAsia="Times New Roman" w:hAnsi="Verdana" w:cs="Times New Roman"/>
      <w:sz w:val="20"/>
      <w:szCs w:val="20"/>
      <w:lang w:val="bg-B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3">
    <w:name w:val="No List123"/>
    <w:next w:val="NoList"/>
    <w:semiHidden/>
    <w:rsid w:val="007D0816"/>
  </w:style>
  <w:style w:type="numbering" w:customStyle="1" w:styleId="NoList45">
    <w:name w:val="No List45"/>
    <w:next w:val="NoList"/>
    <w:uiPriority w:val="99"/>
    <w:semiHidden/>
    <w:unhideWhenUsed/>
    <w:rsid w:val="007D0816"/>
  </w:style>
  <w:style w:type="numbering" w:customStyle="1" w:styleId="NoList133">
    <w:name w:val="No List133"/>
    <w:next w:val="NoList"/>
    <w:semiHidden/>
    <w:rsid w:val="007D0816"/>
  </w:style>
  <w:style w:type="table" w:customStyle="1" w:styleId="TableGrid35">
    <w:name w:val="Table Grid35"/>
    <w:basedOn w:val="TableNormal"/>
    <w:next w:val="TableGrid"/>
    <w:uiPriority w:val="99"/>
    <w:rsid w:val="007D0816"/>
    <w:pPr>
      <w:spacing w:after="0" w:line="240" w:lineRule="auto"/>
    </w:pPr>
    <w:rPr>
      <w:rFonts w:ascii="Times New Roman" w:eastAsia="Times New Roman" w:hAnsi="Times New Roman" w:cs="Times New Roman"/>
      <w:sz w:val="20"/>
      <w:szCs w:val="20"/>
      <w:lang w:val="bg-B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37">
    <w:name w:val="Table Web 37"/>
    <w:basedOn w:val="TableNormal"/>
    <w:next w:val="TableWeb3"/>
    <w:rsid w:val="007D0816"/>
    <w:pPr>
      <w:spacing w:after="0" w:line="240" w:lineRule="auto"/>
    </w:pPr>
    <w:rPr>
      <w:rFonts w:ascii="Times New Roman" w:eastAsia="Times New Roman" w:hAnsi="Times New Roman" w:cs="Times New Roman"/>
      <w:sz w:val="20"/>
      <w:szCs w:val="20"/>
      <w:lang w:val="bg-BG" w:eastAsia="bg-BG"/>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124">
    <w:name w:val="Table Grid124"/>
    <w:basedOn w:val="TableNormal"/>
    <w:next w:val="TableGrid"/>
    <w:rsid w:val="007D0816"/>
    <w:pPr>
      <w:spacing w:after="0" w:line="240" w:lineRule="auto"/>
    </w:pPr>
    <w:rPr>
      <w:rFonts w:ascii="Times New Roman" w:eastAsia="Times New Roman" w:hAnsi="Times New Roman" w:cs="Times New Roman"/>
      <w:sz w:val="20"/>
      <w:szCs w:val="20"/>
      <w:lang w:val="bg-B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5">
    <w:name w:val="No List215"/>
    <w:next w:val="NoList"/>
    <w:uiPriority w:val="99"/>
    <w:semiHidden/>
    <w:unhideWhenUsed/>
    <w:rsid w:val="007D0816"/>
  </w:style>
  <w:style w:type="table" w:customStyle="1" w:styleId="TableGrid216">
    <w:name w:val="Table Grid216"/>
    <w:basedOn w:val="TableNormal"/>
    <w:next w:val="TableGrid"/>
    <w:uiPriority w:val="99"/>
    <w:rsid w:val="007D0816"/>
    <w:pPr>
      <w:spacing w:after="0" w:line="240" w:lineRule="auto"/>
    </w:pPr>
    <w:rPr>
      <w:rFonts w:ascii="Times New Roman" w:eastAsia="Times New Roman" w:hAnsi="Times New Roman" w:cs="Times New Roman"/>
      <w:sz w:val="20"/>
      <w:szCs w:val="20"/>
      <w:lang w:val="bg-B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315">
    <w:name w:val="Table Web 315"/>
    <w:basedOn w:val="TableNormal"/>
    <w:next w:val="TableWeb3"/>
    <w:uiPriority w:val="99"/>
    <w:rsid w:val="007D0816"/>
    <w:pPr>
      <w:spacing w:after="0" w:line="240" w:lineRule="auto"/>
    </w:pPr>
    <w:rPr>
      <w:rFonts w:ascii="Times New Roman" w:eastAsia="Times New Roman" w:hAnsi="Times New Roman" w:cs="Times New Roman"/>
      <w:sz w:val="20"/>
      <w:szCs w:val="20"/>
      <w:lang w:val="bg-BG" w:eastAsia="bg-BG"/>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TableGrid1114">
    <w:name w:val="Table Grid1114"/>
    <w:uiPriority w:val="99"/>
    <w:rsid w:val="007D0816"/>
    <w:pPr>
      <w:spacing w:after="0" w:line="240" w:lineRule="auto"/>
    </w:pPr>
    <w:rPr>
      <w:rFonts w:ascii="Times New Roman" w:eastAsia="Times New Roman" w:hAnsi="Times New Roman" w:cs="Times New Roman"/>
      <w:sz w:val="20"/>
      <w:szCs w:val="20"/>
      <w:lang w:val="bg-BG" w:eastAsia="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4">
    <w:name w:val="Table Grid2114"/>
    <w:uiPriority w:val="99"/>
    <w:rsid w:val="007D0816"/>
    <w:pPr>
      <w:spacing w:after="0" w:line="240" w:lineRule="auto"/>
    </w:pPr>
    <w:rPr>
      <w:rFonts w:ascii="Calibri" w:eastAsia="Calibri" w:hAnsi="Calibri" w:cs="Times New Roman"/>
      <w:sz w:val="20"/>
      <w:szCs w:val="20"/>
      <w:lang w:val="bg-BG" w:eastAsia="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5">
    <w:name w:val="No List315"/>
    <w:next w:val="NoList"/>
    <w:uiPriority w:val="99"/>
    <w:semiHidden/>
    <w:unhideWhenUsed/>
    <w:rsid w:val="007D0816"/>
  </w:style>
  <w:style w:type="table" w:customStyle="1" w:styleId="TableGrid44">
    <w:name w:val="Table Grid44"/>
    <w:basedOn w:val="TableNormal"/>
    <w:next w:val="TableGrid"/>
    <w:uiPriority w:val="99"/>
    <w:rsid w:val="007D0816"/>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324">
    <w:name w:val="Table Web 324"/>
    <w:basedOn w:val="TableNormal"/>
    <w:next w:val="TableWeb3"/>
    <w:uiPriority w:val="99"/>
    <w:rsid w:val="007D0816"/>
    <w:pPr>
      <w:spacing w:after="0" w:line="240" w:lineRule="auto"/>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TableGrid224">
    <w:name w:val="Table Grid224"/>
    <w:uiPriority w:val="99"/>
    <w:rsid w:val="007D0816"/>
    <w:pPr>
      <w:spacing w:after="0" w:line="240" w:lineRule="auto"/>
    </w:pPr>
    <w:rPr>
      <w:rFonts w:ascii="Calibri" w:eastAsia="Calibri" w:hAnsi="Calibri" w:cs="Times New Roman"/>
      <w:sz w:val="20"/>
      <w:szCs w:val="20"/>
      <w:lang w:val="bg-BG" w:eastAsia="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4">
    <w:name w:val="Table Grid314"/>
    <w:uiPriority w:val="99"/>
    <w:rsid w:val="007D0816"/>
    <w:pPr>
      <w:spacing w:after="0" w:line="240" w:lineRule="auto"/>
    </w:pPr>
    <w:rPr>
      <w:rFonts w:ascii="Times New Roman" w:eastAsia="Times New Roman" w:hAnsi="Times New Roman" w:cs="Times New Roman"/>
      <w:sz w:val="20"/>
      <w:szCs w:val="20"/>
      <w:lang w:val="bg-BG" w:eastAsia="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3">
    <w:name w:val="No List1113"/>
    <w:next w:val="NoList"/>
    <w:uiPriority w:val="99"/>
    <w:semiHidden/>
    <w:unhideWhenUsed/>
    <w:rsid w:val="007D0816"/>
  </w:style>
  <w:style w:type="numbering" w:customStyle="1" w:styleId="NoList2113">
    <w:name w:val="No List2113"/>
    <w:next w:val="NoList"/>
    <w:uiPriority w:val="99"/>
    <w:semiHidden/>
    <w:unhideWhenUsed/>
    <w:rsid w:val="007D0816"/>
  </w:style>
  <w:style w:type="numbering" w:customStyle="1" w:styleId="NoList3113">
    <w:name w:val="No List3113"/>
    <w:next w:val="NoList"/>
    <w:semiHidden/>
    <w:rsid w:val="007D0816"/>
  </w:style>
  <w:style w:type="numbering" w:customStyle="1" w:styleId="NoList413">
    <w:name w:val="No List413"/>
    <w:next w:val="NoList"/>
    <w:uiPriority w:val="99"/>
    <w:semiHidden/>
    <w:unhideWhenUsed/>
    <w:rsid w:val="007D0816"/>
  </w:style>
  <w:style w:type="table" w:customStyle="1" w:styleId="TableWeb3114">
    <w:name w:val="Table Web 3114"/>
    <w:basedOn w:val="TableNormal"/>
    <w:next w:val="TableWeb3"/>
    <w:uiPriority w:val="99"/>
    <w:rsid w:val="007D0816"/>
    <w:pPr>
      <w:spacing w:after="0" w:line="240" w:lineRule="auto"/>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TableGrid54">
    <w:name w:val="Table Grid54"/>
    <w:basedOn w:val="TableNormal"/>
    <w:next w:val="TableGrid"/>
    <w:uiPriority w:val="59"/>
    <w:rsid w:val="007D0816"/>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3">
    <w:name w:val="No List53"/>
    <w:next w:val="NoList"/>
    <w:uiPriority w:val="99"/>
    <w:semiHidden/>
    <w:unhideWhenUsed/>
    <w:rsid w:val="007D0816"/>
  </w:style>
  <w:style w:type="numbering" w:customStyle="1" w:styleId="NoList143">
    <w:name w:val="No List143"/>
    <w:next w:val="NoList"/>
    <w:semiHidden/>
    <w:rsid w:val="007D0816"/>
  </w:style>
  <w:style w:type="table" w:customStyle="1" w:styleId="TableGrid63">
    <w:name w:val="Table Grid63"/>
    <w:basedOn w:val="TableNormal"/>
    <w:next w:val="TableGrid"/>
    <w:rsid w:val="007D0816"/>
    <w:pPr>
      <w:spacing w:after="0" w:line="240" w:lineRule="auto"/>
    </w:pPr>
    <w:rPr>
      <w:rFonts w:ascii="Times New Roman" w:eastAsia="Times New Roman" w:hAnsi="Times New Roman" w:cs="Times New Roman"/>
      <w:sz w:val="20"/>
      <w:szCs w:val="20"/>
      <w:lang w:val="bg-B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333">
    <w:name w:val="Table Web 333"/>
    <w:basedOn w:val="TableNormal"/>
    <w:next w:val="TableWeb3"/>
    <w:rsid w:val="007D0816"/>
    <w:pPr>
      <w:spacing w:after="0" w:line="240" w:lineRule="auto"/>
    </w:pPr>
    <w:rPr>
      <w:rFonts w:ascii="Times New Roman" w:eastAsia="Times New Roman" w:hAnsi="Times New Roman" w:cs="Times New Roman"/>
      <w:sz w:val="20"/>
      <w:szCs w:val="20"/>
      <w:lang w:val="bg-BG" w:eastAsia="bg-BG"/>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133">
    <w:name w:val="Table Grid133"/>
    <w:basedOn w:val="TableNormal"/>
    <w:next w:val="TableGrid"/>
    <w:rsid w:val="007D0816"/>
    <w:pPr>
      <w:spacing w:after="0" w:line="240" w:lineRule="auto"/>
    </w:pPr>
    <w:rPr>
      <w:rFonts w:ascii="Times New Roman" w:eastAsia="Times New Roman" w:hAnsi="Times New Roman" w:cs="Times New Roman"/>
      <w:sz w:val="20"/>
      <w:szCs w:val="20"/>
      <w:lang w:val="bg-B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3">
    <w:name w:val="No List223"/>
    <w:next w:val="NoList"/>
    <w:uiPriority w:val="99"/>
    <w:semiHidden/>
    <w:unhideWhenUsed/>
    <w:rsid w:val="007D0816"/>
  </w:style>
  <w:style w:type="table" w:customStyle="1" w:styleId="TableGrid233">
    <w:name w:val="Table Grid233"/>
    <w:basedOn w:val="TableNormal"/>
    <w:next w:val="TableGrid"/>
    <w:uiPriority w:val="99"/>
    <w:rsid w:val="007D0816"/>
    <w:pPr>
      <w:spacing w:after="0" w:line="240" w:lineRule="auto"/>
    </w:pPr>
    <w:rPr>
      <w:rFonts w:ascii="Times New Roman" w:eastAsia="Times New Roman" w:hAnsi="Times New Roman" w:cs="Times New Roman"/>
      <w:sz w:val="20"/>
      <w:szCs w:val="20"/>
      <w:lang w:val="bg-B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3123">
    <w:name w:val="Table Web 3123"/>
    <w:basedOn w:val="TableNormal"/>
    <w:next w:val="TableWeb3"/>
    <w:uiPriority w:val="99"/>
    <w:rsid w:val="007D0816"/>
    <w:pPr>
      <w:spacing w:after="0" w:line="240" w:lineRule="auto"/>
    </w:pPr>
    <w:rPr>
      <w:rFonts w:ascii="Times New Roman" w:eastAsia="Times New Roman" w:hAnsi="Times New Roman" w:cs="Times New Roman"/>
      <w:sz w:val="20"/>
      <w:szCs w:val="20"/>
      <w:lang w:val="bg-BG" w:eastAsia="bg-BG"/>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TableGrid1123">
    <w:name w:val="Table Grid1123"/>
    <w:uiPriority w:val="99"/>
    <w:rsid w:val="007D0816"/>
    <w:pPr>
      <w:spacing w:after="0" w:line="240" w:lineRule="auto"/>
    </w:pPr>
    <w:rPr>
      <w:rFonts w:ascii="Times New Roman" w:eastAsia="Times New Roman" w:hAnsi="Times New Roman" w:cs="Times New Roman"/>
      <w:sz w:val="20"/>
      <w:szCs w:val="20"/>
      <w:lang w:val="bg-BG" w:eastAsia="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3">
    <w:name w:val="Table Grid2123"/>
    <w:uiPriority w:val="99"/>
    <w:rsid w:val="007D0816"/>
    <w:pPr>
      <w:spacing w:after="0" w:line="240" w:lineRule="auto"/>
    </w:pPr>
    <w:rPr>
      <w:rFonts w:ascii="Calibri" w:eastAsia="Calibri" w:hAnsi="Calibri" w:cs="Times New Roman"/>
      <w:sz w:val="20"/>
      <w:szCs w:val="20"/>
      <w:lang w:val="bg-BG" w:eastAsia="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3">
    <w:name w:val="Table Grid323"/>
    <w:uiPriority w:val="99"/>
    <w:rsid w:val="007D0816"/>
    <w:pPr>
      <w:spacing w:after="0" w:line="240" w:lineRule="auto"/>
    </w:pPr>
    <w:rPr>
      <w:rFonts w:ascii="Times New Roman" w:eastAsia="Times New Roman" w:hAnsi="Times New Roman" w:cs="Times New Roman"/>
      <w:sz w:val="20"/>
      <w:szCs w:val="20"/>
      <w:lang w:val="bg-BG" w:eastAsia="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3">
    <w:name w:val="No List323"/>
    <w:next w:val="NoList"/>
    <w:uiPriority w:val="99"/>
    <w:semiHidden/>
    <w:unhideWhenUsed/>
    <w:rsid w:val="007D0816"/>
  </w:style>
  <w:style w:type="table" w:customStyle="1" w:styleId="TableGrid413">
    <w:name w:val="Table Grid413"/>
    <w:basedOn w:val="TableNormal"/>
    <w:next w:val="TableGrid"/>
    <w:uiPriority w:val="99"/>
    <w:rsid w:val="007D0816"/>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3213">
    <w:name w:val="Table Web 3213"/>
    <w:basedOn w:val="TableNormal"/>
    <w:next w:val="TableWeb3"/>
    <w:uiPriority w:val="99"/>
    <w:rsid w:val="007D0816"/>
    <w:pPr>
      <w:spacing w:after="0" w:line="240" w:lineRule="auto"/>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TableGrid1213">
    <w:name w:val="Table Grid1213"/>
    <w:rsid w:val="007D0816"/>
    <w:pPr>
      <w:spacing w:after="0" w:line="240" w:lineRule="auto"/>
    </w:pPr>
    <w:rPr>
      <w:rFonts w:ascii="Times New Roman" w:eastAsia="Times New Roman" w:hAnsi="Times New Roman" w:cs="Times New Roman"/>
      <w:sz w:val="20"/>
      <w:szCs w:val="20"/>
      <w:lang w:val="bg-BG" w:eastAsia="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3">
    <w:name w:val="Table Grid2213"/>
    <w:uiPriority w:val="99"/>
    <w:rsid w:val="007D0816"/>
    <w:pPr>
      <w:spacing w:after="0" w:line="240" w:lineRule="auto"/>
    </w:pPr>
    <w:rPr>
      <w:rFonts w:ascii="Calibri" w:eastAsia="Calibri" w:hAnsi="Calibri" w:cs="Times New Roman"/>
      <w:sz w:val="20"/>
      <w:szCs w:val="20"/>
      <w:lang w:val="bg-BG" w:eastAsia="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3">
    <w:name w:val="Table Grid3113"/>
    <w:uiPriority w:val="99"/>
    <w:rsid w:val="007D0816"/>
    <w:pPr>
      <w:spacing w:after="0" w:line="240" w:lineRule="auto"/>
    </w:pPr>
    <w:rPr>
      <w:rFonts w:ascii="Times New Roman" w:eastAsia="Times New Roman" w:hAnsi="Times New Roman" w:cs="Times New Roman"/>
      <w:sz w:val="20"/>
      <w:szCs w:val="20"/>
      <w:lang w:val="bg-BG" w:eastAsia="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3">
    <w:name w:val="No List1123"/>
    <w:next w:val="NoList"/>
    <w:uiPriority w:val="99"/>
    <w:semiHidden/>
    <w:unhideWhenUsed/>
    <w:rsid w:val="007D0816"/>
  </w:style>
  <w:style w:type="numbering" w:customStyle="1" w:styleId="NoList2123">
    <w:name w:val="No List2123"/>
    <w:next w:val="NoList"/>
    <w:uiPriority w:val="99"/>
    <w:semiHidden/>
    <w:unhideWhenUsed/>
    <w:rsid w:val="007D0816"/>
  </w:style>
  <w:style w:type="numbering" w:customStyle="1" w:styleId="NoList3123">
    <w:name w:val="No List3123"/>
    <w:next w:val="NoList"/>
    <w:semiHidden/>
    <w:rsid w:val="007D0816"/>
  </w:style>
  <w:style w:type="numbering" w:customStyle="1" w:styleId="NoList423">
    <w:name w:val="No List423"/>
    <w:next w:val="NoList"/>
    <w:uiPriority w:val="99"/>
    <w:semiHidden/>
    <w:unhideWhenUsed/>
    <w:rsid w:val="007D0816"/>
  </w:style>
  <w:style w:type="table" w:customStyle="1" w:styleId="TableWeb31113">
    <w:name w:val="Table Web 31113"/>
    <w:basedOn w:val="TableNormal"/>
    <w:next w:val="TableWeb3"/>
    <w:uiPriority w:val="99"/>
    <w:rsid w:val="007D0816"/>
    <w:pPr>
      <w:spacing w:after="0" w:line="240" w:lineRule="auto"/>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TableGrid11113">
    <w:name w:val="Table Grid11113"/>
    <w:uiPriority w:val="99"/>
    <w:rsid w:val="007D0816"/>
    <w:pPr>
      <w:spacing w:after="0" w:line="240" w:lineRule="auto"/>
    </w:pPr>
    <w:rPr>
      <w:rFonts w:ascii="Times New Roman" w:eastAsia="Times New Roman" w:hAnsi="Times New Roman" w:cs="Times New Roman"/>
      <w:sz w:val="20"/>
      <w:szCs w:val="20"/>
      <w:lang w:val="bg-BG" w:eastAsia="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3">
    <w:name w:val="Table Grid21113"/>
    <w:uiPriority w:val="99"/>
    <w:rsid w:val="007D0816"/>
    <w:pPr>
      <w:spacing w:after="0" w:line="240" w:lineRule="auto"/>
    </w:pPr>
    <w:rPr>
      <w:rFonts w:ascii="Calibri" w:eastAsia="Calibri" w:hAnsi="Calibri" w:cs="Times New Roman"/>
      <w:sz w:val="20"/>
      <w:szCs w:val="20"/>
      <w:lang w:val="bg-BG" w:eastAsia="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3">
    <w:name w:val="Table Grid513"/>
    <w:basedOn w:val="TableNormal"/>
    <w:next w:val="TableGrid"/>
    <w:uiPriority w:val="59"/>
    <w:rsid w:val="007D0816"/>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3">
    <w:name w:val="Table Grid73"/>
    <w:basedOn w:val="TableNormal"/>
    <w:next w:val="TableGrid"/>
    <w:rsid w:val="007D0816"/>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343">
    <w:name w:val="Table Web 343"/>
    <w:basedOn w:val="TableNormal"/>
    <w:next w:val="TableWeb3"/>
    <w:uiPriority w:val="99"/>
    <w:rsid w:val="007D0816"/>
    <w:pPr>
      <w:spacing w:after="0" w:line="240" w:lineRule="auto"/>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TableGrid243">
    <w:name w:val="Table Grid243"/>
    <w:uiPriority w:val="99"/>
    <w:rsid w:val="007D0816"/>
    <w:pPr>
      <w:spacing w:after="0" w:line="240" w:lineRule="auto"/>
    </w:pPr>
    <w:rPr>
      <w:rFonts w:ascii="Calibri" w:eastAsia="Calibri" w:hAnsi="Calibri" w:cs="Times New Roman"/>
      <w:sz w:val="20"/>
      <w:szCs w:val="20"/>
      <w:lang w:val="bg-BG" w:eastAsia="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3">
    <w:name w:val="Table Grid1133"/>
    <w:uiPriority w:val="99"/>
    <w:rsid w:val="007D0816"/>
    <w:pPr>
      <w:spacing w:after="0" w:line="240" w:lineRule="auto"/>
    </w:pPr>
    <w:rPr>
      <w:rFonts w:ascii="Times New Roman" w:eastAsia="Times New Roman" w:hAnsi="Times New Roman" w:cs="Times New Roman"/>
      <w:sz w:val="20"/>
      <w:szCs w:val="20"/>
      <w:lang w:val="bg-BG" w:eastAsia="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3">
    <w:name w:val="Table Grid2133"/>
    <w:uiPriority w:val="99"/>
    <w:rsid w:val="007D0816"/>
    <w:pPr>
      <w:spacing w:after="0" w:line="240" w:lineRule="auto"/>
    </w:pPr>
    <w:rPr>
      <w:rFonts w:ascii="Calibri" w:eastAsia="Calibri" w:hAnsi="Calibri" w:cs="Times New Roman"/>
      <w:sz w:val="20"/>
      <w:szCs w:val="20"/>
      <w:lang w:val="bg-BG" w:eastAsia="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rzxr">
    <w:name w:val="lrzxr"/>
    <w:basedOn w:val="DefaultParagraphFont"/>
    <w:rsid w:val="007D0816"/>
  </w:style>
  <w:style w:type="numbering" w:customStyle="1" w:styleId="NoList20">
    <w:name w:val="No List20"/>
    <w:next w:val="NoList"/>
    <w:uiPriority w:val="99"/>
    <w:semiHidden/>
    <w:unhideWhenUsed/>
    <w:rsid w:val="00C41BD0"/>
  </w:style>
  <w:style w:type="numbering" w:customStyle="1" w:styleId="NoList27">
    <w:name w:val="No List27"/>
    <w:next w:val="NoList"/>
    <w:uiPriority w:val="99"/>
    <w:semiHidden/>
    <w:unhideWhenUsed/>
    <w:rsid w:val="00C80072"/>
  </w:style>
  <w:style w:type="numbering" w:customStyle="1" w:styleId="NoList116">
    <w:name w:val="No List116"/>
    <w:next w:val="NoList"/>
    <w:uiPriority w:val="99"/>
    <w:semiHidden/>
    <w:unhideWhenUsed/>
    <w:rsid w:val="00C80072"/>
  </w:style>
  <w:style w:type="numbering" w:customStyle="1" w:styleId="NoList117">
    <w:name w:val="No List117"/>
    <w:next w:val="NoList"/>
    <w:uiPriority w:val="99"/>
    <w:semiHidden/>
    <w:rsid w:val="00C80072"/>
  </w:style>
  <w:style w:type="table" w:customStyle="1" w:styleId="TableGrid28">
    <w:name w:val="Table Grid28"/>
    <w:basedOn w:val="TableNormal"/>
    <w:next w:val="TableGrid"/>
    <w:rsid w:val="00C80072"/>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7">
    <w:name w:val="Table Grid117"/>
    <w:basedOn w:val="TableNormal"/>
    <w:next w:val="TableGrid"/>
    <w:rsid w:val="00C8007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4">
    <w:name w:val="No List1114"/>
    <w:next w:val="NoList"/>
    <w:uiPriority w:val="99"/>
    <w:semiHidden/>
    <w:unhideWhenUsed/>
    <w:rsid w:val="00C80072"/>
  </w:style>
  <w:style w:type="numbering" w:customStyle="1" w:styleId="NoList28">
    <w:name w:val="No List28"/>
    <w:next w:val="NoList"/>
    <w:uiPriority w:val="99"/>
    <w:semiHidden/>
    <w:unhideWhenUsed/>
    <w:rsid w:val="00C80072"/>
  </w:style>
  <w:style w:type="numbering" w:customStyle="1" w:styleId="NoList37">
    <w:name w:val="No List37"/>
    <w:next w:val="NoList"/>
    <w:semiHidden/>
    <w:unhideWhenUsed/>
    <w:rsid w:val="00C80072"/>
  </w:style>
  <w:style w:type="table" w:customStyle="1" w:styleId="TableGrid118">
    <w:name w:val="Table Grid118"/>
    <w:basedOn w:val="TableNormal"/>
    <w:next w:val="TableGrid"/>
    <w:rsid w:val="00C80072"/>
    <w:pPr>
      <w:spacing w:after="0" w:line="240" w:lineRule="auto"/>
      <w:jc w:val="both"/>
    </w:pPr>
    <w:rPr>
      <w:rFonts w:ascii="Calibri" w:eastAsia="Calibri" w:hAnsi="Calibri" w:cs="Times New Roman"/>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
    <w:name w:val="Table Grid29"/>
    <w:basedOn w:val="TableNormal"/>
    <w:next w:val="TableGrid"/>
    <w:rsid w:val="00C80072"/>
    <w:pPr>
      <w:spacing w:after="0" w:line="240" w:lineRule="auto"/>
    </w:pPr>
    <w:rPr>
      <w:rFonts w:ascii="Verdana" w:eastAsia="Times New Roman" w:hAnsi="Verdana" w:cs="Times New Roman"/>
      <w:sz w:val="20"/>
      <w:szCs w:val="20"/>
      <w:lang w:val="bg-B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4">
    <w:name w:val="No List124"/>
    <w:next w:val="NoList"/>
    <w:semiHidden/>
    <w:rsid w:val="00C80072"/>
  </w:style>
  <w:style w:type="numbering" w:customStyle="1" w:styleId="NoList46">
    <w:name w:val="No List46"/>
    <w:next w:val="NoList"/>
    <w:uiPriority w:val="99"/>
    <w:semiHidden/>
    <w:unhideWhenUsed/>
    <w:rsid w:val="00C80072"/>
  </w:style>
  <w:style w:type="numbering" w:customStyle="1" w:styleId="NoList134">
    <w:name w:val="No List134"/>
    <w:next w:val="NoList"/>
    <w:semiHidden/>
    <w:rsid w:val="00C80072"/>
  </w:style>
  <w:style w:type="table" w:customStyle="1" w:styleId="TableGrid36">
    <w:name w:val="Table Grid36"/>
    <w:basedOn w:val="TableNormal"/>
    <w:next w:val="TableGrid"/>
    <w:uiPriority w:val="99"/>
    <w:rsid w:val="00C80072"/>
    <w:pPr>
      <w:spacing w:after="0" w:line="240" w:lineRule="auto"/>
    </w:pPr>
    <w:rPr>
      <w:rFonts w:ascii="Times New Roman" w:eastAsia="Times New Roman" w:hAnsi="Times New Roman" w:cs="Times New Roman"/>
      <w:sz w:val="20"/>
      <w:szCs w:val="20"/>
      <w:lang w:val="bg-B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38">
    <w:name w:val="Table Web 38"/>
    <w:basedOn w:val="TableNormal"/>
    <w:next w:val="TableWeb3"/>
    <w:rsid w:val="00C80072"/>
    <w:pPr>
      <w:spacing w:after="0" w:line="240" w:lineRule="auto"/>
    </w:pPr>
    <w:rPr>
      <w:rFonts w:ascii="Times New Roman" w:eastAsia="Times New Roman" w:hAnsi="Times New Roman" w:cs="Times New Roman"/>
      <w:sz w:val="20"/>
      <w:szCs w:val="20"/>
      <w:lang w:val="bg-BG" w:eastAsia="bg-BG"/>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125">
    <w:name w:val="Table Grid125"/>
    <w:basedOn w:val="TableNormal"/>
    <w:next w:val="TableGrid"/>
    <w:rsid w:val="00C80072"/>
    <w:pPr>
      <w:spacing w:after="0" w:line="240" w:lineRule="auto"/>
    </w:pPr>
    <w:rPr>
      <w:rFonts w:ascii="Times New Roman" w:eastAsia="Times New Roman" w:hAnsi="Times New Roman" w:cs="Times New Roman"/>
      <w:sz w:val="20"/>
      <w:szCs w:val="20"/>
      <w:lang w:val="bg-B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6">
    <w:name w:val="No List216"/>
    <w:next w:val="NoList"/>
    <w:uiPriority w:val="99"/>
    <w:semiHidden/>
    <w:unhideWhenUsed/>
    <w:rsid w:val="00C80072"/>
  </w:style>
  <w:style w:type="table" w:customStyle="1" w:styleId="TableGrid217">
    <w:name w:val="Table Grid217"/>
    <w:basedOn w:val="TableNormal"/>
    <w:next w:val="TableGrid"/>
    <w:uiPriority w:val="99"/>
    <w:rsid w:val="00C80072"/>
    <w:pPr>
      <w:spacing w:after="0" w:line="240" w:lineRule="auto"/>
    </w:pPr>
    <w:rPr>
      <w:rFonts w:ascii="Times New Roman" w:eastAsia="Times New Roman" w:hAnsi="Times New Roman" w:cs="Times New Roman"/>
      <w:sz w:val="20"/>
      <w:szCs w:val="20"/>
      <w:lang w:val="bg-B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316">
    <w:name w:val="Table Web 316"/>
    <w:basedOn w:val="TableNormal"/>
    <w:next w:val="TableWeb3"/>
    <w:uiPriority w:val="99"/>
    <w:rsid w:val="00C80072"/>
    <w:pPr>
      <w:spacing w:after="0" w:line="240" w:lineRule="auto"/>
    </w:pPr>
    <w:rPr>
      <w:rFonts w:ascii="Times New Roman" w:eastAsia="Times New Roman" w:hAnsi="Times New Roman" w:cs="Times New Roman"/>
      <w:sz w:val="20"/>
      <w:szCs w:val="20"/>
      <w:lang w:val="bg-BG" w:eastAsia="bg-BG"/>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TableGrid1115">
    <w:name w:val="Table Grid1115"/>
    <w:uiPriority w:val="99"/>
    <w:rsid w:val="00C80072"/>
    <w:pPr>
      <w:spacing w:after="0" w:line="240" w:lineRule="auto"/>
    </w:pPr>
    <w:rPr>
      <w:rFonts w:ascii="Times New Roman" w:eastAsia="Times New Roman" w:hAnsi="Times New Roman" w:cs="Times New Roman"/>
      <w:sz w:val="20"/>
      <w:szCs w:val="20"/>
      <w:lang w:val="bg-BG" w:eastAsia="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5">
    <w:name w:val="Table Grid2115"/>
    <w:uiPriority w:val="99"/>
    <w:rsid w:val="00C80072"/>
    <w:pPr>
      <w:spacing w:after="0" w:line="240" w:lineRule="auto"/>
    </w:pPr>
    <w:rPr>
      <w:rFonts w:ascii="Calibri" w:eastAsia="Calibri" w:hAnsi="Calibri" w:cs="Times New Roman"/>
      <w:sz w:val="20"/>
      <w:szCs w:val="20"/>
      <w:lang w:val="bg-BG" w:eastAsia="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6">
    <w:name w:val="No List316"/>
    <w:next w:val="NoList"/>
    <w:uiPriority w:val="99"/>
    <w:semiHidden/>
    <w:unhideWhenUsed/>
    <w:rsid w:val="00C80072"/>
  </w:style>
  <w:style w:type="table" w:customStyle="1" w:styleId="TableGrid45">
    <w:name w:val="Table Grid45"/>
    <w:basedOn w:val="TableNormal"/>
    <w:next w:val="TableGrid"/>
    <w:uiPriority w:val="99"/>
    <w:rsid w:val="00C8007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325">
    <w:name w:val="Table Web 325"/>
    <w:basedOn w:val="TableNormal"/>
    <w:next w:val="TableWeb3"/>
    <w:uiPriority w:val="99"/>
    <w:rsid w:val="00C80072"/>
    <w:pPr>
      <w:spacing w:after="0" w:line="240" w:lineRule="auto"/>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TableGrid225">
    <w:name w:val="Table Grid225"/>
    <w:uiPriority w:val="99"/>
    <w:rsid w:val="00C80072"/>
    <w:pPr>
      <w:spacing w:after="0" w:line="240" w:lineRule="auto"/>
    </w:pPr>
    <w:rPr>
      <w:rFonts w:ascii="Calibri" w:eastAsia="Calibri" w:hAnsi="Calibri" w:cs="Times New Roman"/>
      <w:sz w:val="20"/>
      <w:szCs w:val="20"/>
      <w:lang w:val="bg-BG" w:eastAsia="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5">
    <w:name w:val="Table Grid315"/>
    <w:uiPriority w:val="99"/>
    <w:rsid w:val="00C80072"/>
    <w:pPr>
      <w:spacing w:after="0" w:line="240" w:lineRule="auto"/>
    </w:pPr>
    <w:rPr>
      <w:rFonts w:ascii="Times New Roman" w:eastAsia="Times New Roman" w:hAnsi="Times New Roman" w:cs="Times New Roman"/>
      <w:sz w:val="20"/>
      <w:szCs w:val="20"/>
      <w:lang w:val="bg-BG" w:eastAsia="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2">
    <w:name w:val="No List11112"/>
    <w:next w:val="NoList"/>
    <w:uiPriority w:val="99"/>
    <w:semiHidden/>
    <w:unhideWhenUsed/>
    <w:rsid w:val="00C80072"/>
  </w:style>
  <w:style w:type="numbering" w:customStyle="1" w:styleId="NoList2114">
    <w:name w:val="No List2114"/>
    <w:next w:val="NoList"/>
    <w:uiPriority w:val="99"/>
    <w:semiHidden/>
    <w:unhideWhenUsed/>
    <w:rsid w:val="00C80072"/>
  </w:style>
  <w:style w:type="numbering" w:customStyle="1" w:styleId="NoList3114">
    <w:name w:val="No List3114"/>
    <w:next w:val="NoList"/>
    <w:semiHidden/>
    <w:rsid w:val="00C80072"/>
  </w:style>
  <w:style w:type="numbering" w:customStyle="1" w:styleId="NoList414">
    <w:name w:val="No List414"/>
    <w:next w:val="NoList"/>
    <w:uiPriority w:val="99"/>
    <w:semiHidden/>
    <w:unhideWhenUsed/>
    <w:rsid w:val="00C80072"/>
  </w:style>
  <w:style w:type="table" w:customStyle="1" w:styleId="TableWeb3115">
    <w:name w:val="Table Web 3115"/>
    <w:basedOn w:val="TableNormal"/>
    <w:next w:val="TableWeb3"/>
    <w:uiPriority w:val="99"/>
    <w:rsid w:val="00C80072"/>
    <w:pPr>
      <w:spacing w:after="0" w:line="240" w:lineRule="auto"/>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TableGrid55">
    <w:name w:val="Table Grid55"/>
    <w:basedOn w:val="TableNormal"/>
    <w:next w:val="TableGrid"/>
    <w:uiPriority w:val="59"/>
    <w:rsid w:val="00C80072"/>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4">
    <w:name w:val="No List54"/>
    <w:next w:val="NoList"/>
    <w:uiPriority w:val="99"/>
    <w:semiHidden/>
    <w:unhideWhenUsed/>
    <w:rsid w:val="00C80072"/>
  </w:style>
  <w:style w:type="numbering" w:customStyle="1" w:styleId="NoList144">
    <w:name w:val="No List144"/>
    <w:next w:val="NoList"/>
    <w:semiHidden/>
    <w:rsid w:val="00C80072"/>
  </w:style>
  <w:style w:type="table" w:customStyle="1" w:styleId="TableGrid64">
    <w:name w:val="Table Grid64"/>
    <w:basedOn w:val="TableNormal"/>
    <w:next w:val="TableGrid"/>
    <w:rsid w:val="00C80072"/>
    <w:pPr>
      <w:spacing w:after="0" w:line="240" w:lineRule="auto"/>
    </w:pPr>
    <w:rPr>
      <w:rFonts w:ascii="Times New Roman" w:eastAsia="Times New Roman" w:hAnsi="Times New Roman" w:cs="Times New Roman"/>
      <w:sz w:val="20"/>
      <w:szCs w:val="20"/>
      <w:lang w:val="bg-B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334">
    <w:name w:val="Table Web 334"/>
    <w:basedOn w:val="TableNormal"/>
    <w:next w:val="TableWeb3"/>
    <w:rsid w:val="00C80072"/>
    <w:pPr>
      <w:spacing w:after="0" w:line="240" w:lineRule="auto"/>
    </w:pPr>
    <w:rPr>
      <w:rFonts w:ascii="Times New Roman" w:eastAsia="Times New Roman" w:hAnsi="Times New Roman" w:cs="Times New Roman"/>
      <w:sz w:val="20"/>
      <w:szCs w:val="20"/>
      <w:lang w:val="bg-BG" w:eastAsia="bg-BG"/>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134">
    <w:name w:val="Table Grid134"/>
    <w:basedOn w:val="TableNormal"/>
    <w:next w:val="TableGrid"/>
    <w:rsid w:val="00C80072"/>
    <w:pPr>
      <w:spacing w:after="0" w:line="240" w:lineRule="auto"/>
    </w:pPr>
    <w:rPr>
      <w:rFonts w:ascii="Times New Roman" w:eastAsia="Times New Roman" w:hAnsi="Times New Roman" w:cs="Times New Roman"/>
      <w:sz w:val="20"/>
      <w:szCs w:val="20"/>
      <w:lang w:val="bg-B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4">
    <w:name w:val="No List224"/>
    <w:next w:val="NoList"/>
    <w:uiPriority w:val="99"/>
    <w:semiHidden/>
    <w:unhideWhenUsed/>
    <w:rsid w:val="00C80072"/>
  </w:style>
  <w:style w:type="table" w:customStyle="1" w:styleId="TableGrid234">
    <w:name w:val="Table Grid234"/>
    <w:basedOn w:val="TableNormal"/>
    <w:next w:val="TableGrid"/>
    <w:uiPriority w:val="99"/>
    <w:rsid w:val="00C80072"/>
    <w:pPr>
      <w:spacing w:after="0" w:line="240" w:lineRule="auto"/>
    </w:pPr>
    <w:rPr>
      <w:rFonts w:ascii="Times New Roman" w:eastAsia="Times New Roman" w:hAnsi="Times New Roman" w:cs="Times New Roman"/>
      <w:sz w:val="20"/>
      <w:szCs w:val="20"/>
      <w:lang w:val="bg-B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3124">
    <w:name w:val="Table Web 3124"/>
    <w:basedOn w:val="TableNormal"/>
    <w:next w:val="TableWeb3"/>
    <w:uiPriority w:val="99"/>
    <w:rsid w:val="00C80072"/>
    <w:pPr>
      <w:spacing w:after="0" w:line="240" w:lineRule="auto"/>
    </w:pPr>
    <w:rPr>
      <w:rFonts w:ascii="Times New Roman" w:eastAsia="Times New Roman" w:hAnsi="Times New Roman" w:cs="Times New Roman"/>
      <w:sz w:val="20"/>
      <w:szCs w:val="20"/>
      <w:lang w:val="bg-BG" w:eastAsia="bg-BG"/>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TableGrid1124">
    <w:name w:val="Table Grid1124"/>
    <w:uiPriority w:val="99"/>
    <w:rsid w:val="00C80072"/>
    <w:pPr>
      <w:spacing w:after="0" w:line="240" w:lineRule="auto"/>
    </w:pPr>
    <w:rPr>
      <w:rFonts w:ascii="Times New Roman" w:eastAsia="Times New Roman" w:hAnsi="Times New Roman" w:cs="Times New Roman"/>
      <w:sz w:val="20"/>
      <w:szCs w:val="20"/>
      <w:lang w:val="bg-BG" w:eastAsia="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4">
    <w:name w:val="Table Grid2124"/>
    <w:uiPriority w:val="99"/>
    <w:rsid w:val="00C80072"/>
    <w:pPr>
      <w:spacing w:after="0" w:line="240" w:lineRule="auto"/>
    </w:pPr>
    <w:rPr>
      <w:rFonts w:ascii="Calibri" w:eastAsia="Calibri" w:hAnsi="Calibri" w:cs="Times New Roman"/>
      <w:sz w:val="20"/>
      <w:szCs w:val="20"/>
      <w:lang w:val="bg-BG" w:eastAsia="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4">
    <w:name w:val="Table Grid324"/>
    <w:uiPriority w:val="99"/>
    <w:rsid w:val="00C80072"/>
    <w:pPr>
      <w:spacing w:after="0" w:line="240" w:lineRule="auto"/>
    </w:pPr>
    <w:rPr>
      <w:rFonts w:ascii="Times New Roman" w:eastAsia="Times New Roman" w:hAnsi="Times New Roman" w:cs="Times New Roman"/>
      <w:sz w:val="20"/>
      <w:szCs w:val="20"/>
      <w:lang w:val="bg-BG" w:eastAsia="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4">
    <w:name w:val="No List324"/>
    <w:next w:val="NoList"/>
    <w:uiPriority w:val="99"/>
    <w:semiHidden/>
    <w:unhideWhenUsed/>
    <w:rsid w:val="00C80072"/>
  </w:style>
  <w:style w:type="table" w:customStyle="1" w:styleId="TableGrid414">
    <w:name w:val="Table Grid414"/>
    <w:basedOn w:val="TableNormal"/>
    <w:next w:val="TableGrid"/>
    <w:uiPriority w:val="99"/>
    <w:rsid w:val="00C8007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3214">
    <w:name w:val="Table Web 3214"/>
    <w:basedOn w:val="TableNormal"/>
    <w:next w:val="TableWeb3"/>
    <w:uiPriority w:val="99"/>
    <w:rsid w:val="00C80072"/>
    <w:pPr>
      <w:spacing w:after="0" w:line="240" w:lineRule="auto"/>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TableGrid1214">
    <w:name w:val="Table Grid1214"/>
    <w:rsid w:val="00C80072"/>
    <w:pPr>
      <w:spacing w:after="0" w:line="240" w:lineRule="auto"/>
    </w:pPr>
    <w:rPr>
      <w:rFonts w:ascii="Times New Roman" w:eastAsia="Times New Roman" w:hAnsi="Times New Roman" w:cs="Times New Roman"/>
      <w:sz w:val="20"/>
      <w:szCs w:val="20"/>
      <w:lang w:val="bg-BG" w:eastAsia="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4">
    <w:name w:val="Table Grid2214"/>
    <w:uiPriority w:val="99"/>
    <w:rsid w:val="00C80072"/>
    <w:pPr>
      <w:spacing w:after="0" w:line="240" w:lineRule="auto"/>
    </w:pPr>
    <w:rPr>
      <w:rFonts w:ascii="Calibri" w:eastAsia="Calibri" w:hAnsi="Calibri" w:cs="Times New Roman"/>
      <w:sz w:val="20"/>
      <w:szCs w:val="20"/>
      <w:lang w:val="bg-BG" w:eastAsia="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4">
    <w:name w:val="Table Grid3114"/>
    <w:uiPriority w:val="99"/>
    <w:rsid w:val="00C80072"/>
    <w:pPr>
      <w:spacing w:after="0" w:line="240" w:lineRule="auto"/>
    </w:pPr>
    <w:rPr>
      <w:rFonts w:ascii="Times New Roman" w:eastAsia="Times New Roman" w:hAnsi="Times New Roman" w:cs="Times New Roman"/>
      <w:sz w:val="20"/>
      <w:szCs w:val="20"/>
      <w:lang w:val="bg-BG" w:eastAsia="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4">
    <w:name w:val="No List1124"/>
    <w:next w:val="NoList"/>
    <w:uiPriority w:val="99"/>
    <w:semiHidden/>
    <w:unhideWhenUsed/>
    <w:rsid w:val="00C80072"/>
  </w:style>
  <w:style w:type="numbering" w:customStyle="1" w:styleId="NoList2124">
    <w:name w:val="No List2124"/>
    <w:next w:val="NoList"/>
    <w:uiPriority w:val="99"/>
    <w:semiHidden/>
    <w:unhideWhenUsed/>
    <w:rsid w:val="00C80072"/>
  </w:style>
  <w:style w:type="numbering" w:customStyle="1" w:styleId="NoList3124">
    <w:name w:val="No List3124"/>
    <w:next w:val="NoList"/>
    <w:semiHidden/>
    <w:rsid w:val="00C80072"/>
  </w:style>
  <w:style w:type="numbering" w:customStyle="1" w:styleId="NoList424">
    <w:name w:val="No List424"/>
    <w:next w:val="NoList"/>
    <w:uiPriority w:val="99"/>
    <w:semiHidden/>
    <w:unhideWhenUsed/>
    <w:rsid w:val="00C80072"/>
  </w:style>
  <w:style w:type="table" w:customStyle="1" w:styleId="TableWeb31114">
    <w:name w:val="Table Web 31114"/>
    <w:basedOn w:val="TableNormal"/>
    <w:next w:val="TableWeb3"/>
    <w:uiPriority w:val="99"/>
    <w:rsid w:val="00C80072"/>
    <w:pPr>
      <w:spacing w:after="0" w:line="240" w:lineRule="auto"/>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TableGrid11114">
    <w:name w:val="Table Grid11114"/>
    <w:uiPriority w:val="99"/>
    <w:rsid w:val="00C80072"/>
    <w:pPr>
      <w:spacing w:after="0" w:line="240" w:lineRule="auto"/>
    </w:pPr>
    <w:rPr>
      <w:rFonts w:ascii="Times New Roman" w:eastAsia="Times New Roman" w:hAnsi="Times New Roman" w:cs="Times New Roman"/>
      <w:sz w:val="20"/>
      <w:szCs w:val="20"/>
      <w:lang w:val="bg-BG" w:eastAsia="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4">
    <w:name w:val="Table Grid21114"/>
    <w:uiPriority w:val="99"/>
    <w:rsid w:val="00C80072"/>
    <w:pPr>
      <w:spacing w:after="0" w:line="240" w:lineRule="auto"/>
    </w:pPr>
    <w:rPr>
      <w:rFonts w:ascii="Calibri" w:eastAsia="Calibri" w:hAnsi="Calibri" w:cs="Times New Roman"/>
      <w:sz w:val="20"/>
      <w:szCs w:val="20"/>
      <w:lang w:val="bg-BG" w:eastAsia="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4">
    <w:name w:val="Table Grid514"/>
    <w:basedOn w:val="TableNormal"/>
    <w:next w:val="TableGrid"/>
    <w:uiPriority w:val="59"/>
    <w:rsid w:val="00C80072"/>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4">
    <w:name w:val="Table Grid74"/>
    <w:basedOn w:val="TableNormal"/>
    <w:next w:val="TableGrid"/>
    <w:rsid w:val="00C8007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344">
    <w:name w:val="Table Web 344"/>
    <w:basedOn w:val="TableNormal"/>
    <w:next w:val="TableWeb3"/>
    <w:uiPriority w:val="99"/>
    <w:rsid w:val="00C80072"/>
    <w:pPr>
      <w:spacing w:after="0" w:line="240" w:lineRule="auto"/>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TableGrid244">
    <w:name w:val="Table Grid244"/>
    <w:uiPriority w:val="99"/>
    <w:rsid w:val="00C80072"/>
    <w:pPr>
      <w:spacing w:after="0" w:line="240" w:lineRule="auto"/>
    </w:pPr>
    <w:rPr>
      <w:rFonts w:ascii="Calibri" w:eastAsia="Calibri" w:hAnsi="Calibri" w:cs="Times New Roman"/>
      <w:sz w:val="20"/>
      <w:szCs w:val="20"/>
      <w:lang w:val="bg-BG" w:eastAsia="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4">
    <w:name w:val="Table Grid1134"/>
    <w:uiPriority w:val="99"/>
    <w:rsid w:val="00C80072"/>
    <w:pPr>
      <w:spacing w:after="0" w:line="240" w:lineRule="auto"/>
    </w:pPr>
    <w:rPr>
      <w:rFonts w:ascii="Times New Roman" w:eastAsia="Times New Roman" w:hAnsi="Times New Roman" w:cs="Times New Roman"/>
      <w:sz w:val="20"/>
      <w:szCs w:val="20"/>
      <w:lang w:val="bg-BG" w:eastAsia="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4">
    <w:name w:val="Table Grid2134"/>
    <w:uiPriority w:val="99"/>
    <w:rsid w:val="00C80072"/>
    <w:pPr>
      <w:spacing w:after="0" w:line="240" w:lineRule="auto"/>
    </w:pPr>
    <w:rPr>
      <w:rFonts w:ascii="Calibri" w:eastAsia="Calibri" w:hAnsi="Calibri" w:cs="Times New Roman"/>
      <w:sz w:val="20"/>
      <w:szCs w:val="20"/>
      <w:lang w:val="bg-BG" w:eastAsia="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04">
    <w:name w:val="xl104"/>
    <w:basedOn w:val="Normal"/>
    <w:rsid w:val="00C80072"/>
    <w:pPr>
      <w:pBdr>
        <w:top w:val="single" w:sz="4" w:space="0" w:color="auto"/>
        <w:left w:val="single" w:sz="4" w:space="27" w:color="auto"/>
        <w:bottom w:val="single" w:sz="4" w:space="0" w:color="auto"/>
        <w:right w:val="single" w:sz="4" w:space="0" w:color="auto"/>
      </w:pBdr>
      <w:spacing w:before="100" w:beforeAutospacing="1" w:after="100" w:afterAutospacing="1"/>
      <w:ind w:firstLineChars="300" w:firstLine="300"/>
      <w:textAlignment w:val="center"/>
    </w:pPr>
    <w:rPr>
      <w:rFonts w:ascii="Arial Narrow" w:hAnsi="Arial Narrow"/>
    </w:rPr>
  </w:style>
  <w:style w:type="paragraph" w:customStyle="1" w:styleId="xl105">
    <w:name w:val="xl105"/>
    <w:basedOn w:val="Normal"/>
    <w:rsid w:val="00C80072"/>
    <w:pPr>
      <w:pBdr>
        <w:top w:val="single" w:sz="4" w:space="0" w:color="auto"/>
        <w:left w:val="single" w:sz="4" w:space="9" w:color="auto"/>
        <w:bottom w:val="single" w:sz="4" w:space="0" w:color="auto"/>
        <w:right w:val="single" w:sz="4" w:space="0" w:color="auto"/>
      </w:pBdr>
      <w:spacing w:before="100" w:beforeAutospacing="1" w:after="100" w:afterAutospacing="1"/>
      <w:ind w:firstLineChars="100" w:firstLine="100"/>
      <w:textAlignment w:val="center"/>
    </w:pPr>
    <w:rPr>
      <w:rFonts w:ascii="Arial Narrow" w:hAnsi="Arial Narrow"/>
    </w:rPr>
  </w:style>
  <w:style w:type="paragraph" w:customStyle="1" w:styleId="xl106">
    <w:name w:val="xl106"/>
    <w:basedOn w:val="Normal"/>
    <w:rsid w:val="00C80072"/>
    <w:pPr>
      <w:pBdr>
        <w:top w:val="single" w:sz="4" w:space="0" w:color="auto"/>
        <w:left w:val="single" w:sz="4" w:space="9" w:color="auto"/>
        <w:bottom w:val="single" w:sz="4" w:space="0" w:color="auto"/>
        <w:right w:val="single" w:sz="4" w:space="0" w:color="auto"/>
      </w:pBdr>
      <w:spacing w:before="100" w:beforeAutospacing="1" w:after="100" w:afterAutospacing="1"/>
      <w:ind w:firstLineChars="100" w:firstLine="100"/>
      <w:textAlignment w:val="center"/>
    </w:pPr>
    <w:rPr>
      <w:rFonts w:ascii="Arial Narrow" w:hAnsi="Arial Narrow"/>
    </w:rPr>
  </w:style>
  <w:style w:type="table" w:customStyle="1" w:styleId="TableGrid30">
    <w:name w:val="Table Grid30"/>
    <w:basedOn w:val="TableNormal"/>
    <w:next w:val="TableGrid"/>
    <w:rsid w:val="008675A4"/>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
    <w:name w:val="Table Grid37"/>
    <w:basedOn w:val="TableNormal"/>
    <w:next w:val="TableGrid"/>
    <w:rsid w:val="00171F7F"/>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8">
    <w:name w:val="Table Grid38"/>
    <w:basedOn w:val="TableNormal"/>
    <w:next w:val="TableGrid"/>
    <w:rsid w:val="00171F7F"/>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9">
    <w:name w:val="No List29"/>
    <w:next w:val="NoList"/>
    <w:uiPriority w:val="99"/>
    <w:semiHidden/>
    <w:unhideWhenUsed/>
    <w:rsid w:val="00C871CF"/>
  </w:style>
  <w:style w:type="numbering" w:customStyle="1" w:styleId="NoList30">
    <w:name w:val="No List30"/>
    <w:next w:val="NoList"/>
    <w:uiPriority w:val="99"/>
    <w:semiHidden/>
    <w:unhideWhenUsed/>
    <w:rsid w:val="0013541C"/>
  </w:style>
  <w:style w:type="numbering" w:customStyle="1" w:styleId="NoList118">
    <w:name w:val="No List118"/>
    <w:next w:val="NoList"/>
    <w:uiPriority w:val="99"/>
    <w:semiHidden/>
    <w:unhideWhenUsed/>
    <w:rsid w:val="0013541C"/>
  </w:style>
  <w:style w:type="numbering" w:customStyle="1" w:styleId="NoList119">
    <w:name w:val="No List119"/>
    <w:next w:val="NoList"/>
    <w:uiPriority w:val="99"/>
    <w:semiHidden/>
    <w:rsid w:val="0013541C"/>
  </w:style>
  <w:style w:type="numbering" w:customStyle="1" w:styleId="NoList1115">
    <w:name w:val="No List1115"/>
    <w:next w:val="NoList"/>
    <w:uiPriority w:val="99"/>
    <w:semiHidden/>
    <w:unhideWhenUsed/>
    <w:rsid w:val="0013541C"/>
  </w:style>
  <w:style w:type="numbering" w:customStyle="1" w:styleId="NoList210">
    <w:name w:val="No List210"/>
    <w:next w:val="NoList"/>
    <w:uiPriority w:val="99"/>
    <w:semiHidden/>
    <w:unhideWhenUsed/>
    <w:rsid w:val="0013541C"/>
  </w:style>
  <w:style w:type="numbering" w:customStyle="1" w:styleId="NoList38">
    <w:name w:val="No List38"/>
    <w:next w:val="NoList"/>
    <w:semiHidden/>
    <w:unhideWhenUsed/>
    <w:rsid w:val="0013541C"/>
  </w:style>
  <w:style w:type="numbering" w:customStyle="1" w:styleId="NoList125">
    <w:name w:val="No List125"/>
    <w:next w:val="NoList"/>
    <w:semiHidden/>
    <w:rsid w:val="0013541C"/>
  </w:style>
  <w:style w:type="numbering" w:customStyle="1" w:styleId="NoList47">
    <w:name w:val="No List47"/>
    <w:next w:val="NoList"/>
    <w:uiPriority w:val="99"/>
    <w:semiHidden/>
    <w:unhideWhenUsed/>
    <w:rsid w:val="0013541C"/>
  </w:style>
  <w:style w:type="numbering" w:customStyle="1" w:styleId="NoList135">
    <w:name w:val="No List135"/>
    <w:next w:val="NoList"/>
    <w:semiHidden/>
    <w:rsid w:val="0013541C"/>
  </w:style>
  <w:style w:type="numbering" w:customStyle="1" w:styleId="NoList217">
    <w:name w:val="No List217"/>
    <w:next w:val="NoList"/>
    <w:uiPriority w:val="99"/>
    <w:semiHidden/>
    <w:unhideWhenUsed/>
    <w:rsid w:val="0013541C"/>
  </w:style>
  <w:style w:type="numbering" w:customStyle="1" w:styleId="NoList317">
    <w:name w:val="No List317"/>
    <w:next w:val="NoList"/>
    <w:uiPriority w:val="99"/>
    <w:semiHidden/>
    <w:unhideWhenUsed/>
    <w:rsid w:val="0013541C"/>
  </w:style>
  <w:style w:type="numbering" w:customStyle="1" w:styleId="NoList11113">
    <w:name w:val="No List11113"/>
    <w:next w:val="NoList"/>
    <w:uiPriority w:val="99"/>
    <w:semiHidden/>
    <w:unhideWhenUsed/>
    <w:rsid w:val="0013541C"/>
  </w:style>
  <w:style w:type="numbering" w:customStyle="1" w:styleId="NoList2115">
    <w:name w:val="No List2115"/>
    <w:next w:val="NoList"/>
    <w:uiPriority w:val="99"/>
    <w:semiHidden/>
    <w:unhideWhenUsed/>
    <w:rsid w:val="0013541C"/>
  </w:style>
  <w:style w:type="numbering" w:customStyle="1" w:styleId="NoList3115">
    <w:name w:val="No List3115"/>
    <w:next w:val="NoList"/>
    <w:semiHidden/>
    <w:rsid w:val="0013541C"/>
  </w:style>
  <w:style w:type="numbering" w:customStyle="1" w:styleId="NoList415">
    <w:name w:val="No List415"/>
    <w:next w:val="NoList"/>
    <w:uiPriority w:val="99"/>
    <w:semiHidden/>
    <w:unhideWhenUsed/>
    <w:rsid w:val="0013541C"/>
  </w:style>
  <w:style w:type="numbering" w:customStyle="1" w:styleId="NoList55">
    <w:name w:val="No List55"/>
    <w:next w:val="NoList"/>
    <w:uiPriority w:val="99"/>
    <w:semiHidden/>
    <w:unhideWhenUsed/>
    <w:rsid w:val="0013541C"/>
  </w:style>
  <w:style w:type="numbering" w:customStyle="1" w:styleId="NoList145">
    <w:name w:val="No List145"/>
    <w:next w:val="NoList"/>
    <w:semiHidden/>
    <w:rsid w:val="0013541C"/>
  </w:style>
  <w:style w:type="numbering" w:customStyle="1" w:styleId="NoList225">
    <w:name w:val="No List225"/>
    <w:next w:val="NoList"/>
    <w:uiPriority w:val="99"/>
    <w:semiHidden/>
    <w:unhideWhenUsed/>
    <w:rsid w:val="0013541C"/>
  </w:style>
  <w:style w:type="numbering" w:customStyle="1" w:styleId="NoList325">
    <w:name w:val="No List325"/>
    <w:next w:val="NoList"/>
    <w:uiPriority w:val="99"/>
    <w:semiHidden/>
    <w:unhideWhenUsed/>
    <w:rsid w:val="0013541C"/>
  </w:style>
  <w:style w:type="numbering" w:customStyle="1" w:styleId="NoList1125">
    <w:name w:val="No List1125"/>
    <w:next w:val="NoList"/>
    <w:uiPriority w:val="99"/>
    <w:semiHidden/>
    <w:unhideWhenUsed/>
    <w:rsid w:val="0013541C"/>
  </w:style>
  <w:style w:type="numbering" w:customStyle="1" w:styleId="NoList2125">
    <w:name w:val="No List2125"/>
    <w:next w:val="NoList"/>
    <w:uiPriority w:val="99"/>
    <w:semiHidden/>
    <w:unhideWhenUsed/>
    <w:rsid w:val="0013541C"/>
  </w:style>
  <w:style w:type="numbering" w:customStyle="1" w:styleId="NoList3125">
    <w:name w:val="No List3125"/>
    <w:next w:val="NoList"/>
    <w:semiHidden/>
    <w:rsid w:val="0013541C"/>
  </w:style>
  <w:style w:type="numbering" w:customStyle="1" w:styleId="NoList425">
    <w:name w:val="No List425"/>
    <w:next w:val="NoList"/>
    <w:uiPriority w:val="99"/>
    <w:semiHidden/>
    <w:unhideWhenUsed/>
    <w:rsid w:val="0013541C"/>
  </w:style>
  <w:style w:type="numbering" w:customStyle="1" w:styleId="NoList61">
    <w:name w:val="No List61"/>
    <w:next w:val="NoList"/>
    <w:uiPriority w:val="99"/>
    <w:semiHidden/>
    <w:unhideWhenUsed/>
    <w:rsid w:val="0013541C"/>
  </w:style>
  <w:style w:type="numbering" w:customStyle="1" w:styleId="NoList151">
    <w:name w:val="No List151"/>
    <w:next w:val="NoList"/>
    <w:uiPriority w:val="99"/>
    <w:semiHidden/>
    <w:rsid w:val="0013541C"/>
  </w:style>
  <w:style w:type="numbering" w:customStyle="1" w:styleId="NoList1131">
    <w:name w:val="No List1131"/>
    <w:next w:val="NoList"/>
    <w:uiPriority w:val="99"/>
    <w:semiHidden/>
    <w:unhideWhenUsed/>
    <w:rsid w:val="0013541C"/>
  </w:style>
  <w:style w:type="numbering" w:customStyle="1" w:styleId="NoList231">
    <w:name w:val="No List231"/>
    <w:next w:val="NoList"/>
    <w:uiPriority w:val="99"/>
    <w:semiHidden/>
    <w:unhideWhenUsed/>
    <w:rsid w:val="0013541C"/>
  </w:style>
  <w:style w:type="numbering" w:customStyle="1" w:styleId="NoList331">
    <w:name w:val="No List331"/>
    <w:next w:val="NoList"/>
    <w:semiHidden/>
    <w:unhideWhenUsed/>
    <w:rsid w:val="0013541C"/>
  </w:style>
  <w:style w:type="numbering" w:customStyle="1" w:styleId="NoList1211">
    <w:name w:val="No List1211"/>
    <w:next w:val="NoList"/>
    <w:semiHidden/>
    <w:rsid w:val="0013541C"/>
  </w:style>
  <w:style w:type="numbering" w:customStyle="1" w:styleId="NoList431">
    <w:name w:val="No List431"/>
    <w:next w:val="NoList"/>
    <w:uiPriority w:val="99"/>
    <w:semiHidden/>
    <w:unhideWhenUsed/>
    <w:rsid w:val="0013541C"/>
  </w:style>
  <w:style w:type="numbering" w:customStyle="1" w:styleId="NoList1311">
    <w:name w:val="No List1311"/>
    <w:next w:val="NoList"/>
    <w:semiHidden/>
    <w:rsid w:val="0013541C"/>
  </w:style>
  <w:style w:type="numbering" w:customStyle="1" w:styleId="NoList2131">
    <w:name w:val="No List2131"/>
    <w:next w:val="NoList"/>
    <w:uiPriority w:val="99"/>
    <w:semiHidden/>
    <w:unhideWhenUsed/>
    <w:rsid w:val="0013541C"/>
  </w:style>
  <w:style w:type="numbering" w:customStyle="1" w:styleId="NoList3131">
    <w:name w:val="No List3131"/>
    <w:next w:val="NoList"/>
    <w:uiPriority w:val="99"/>
    <w:semiHidden/>
    <w:unhideWhenUsed/>
    <w:rsid w:val="0013541C"/>
  </w:style>
  <w:style w:type="numbering" w:customStyle="1" w:styleId="NoList111111">
    <w:name w:val="No List111111"/>
    <w:next w:val="NoList"/>
    <w:uiPriority w:val="99"/>
    <w:semiHidden/>
    <w:unhideWhenUsed/>
    <w:rsid w:val="0013541C"/>
  </w:style>
  <w:style w:type="numbering" w:customStyle="1" w:styleId="NoList21111">
    <w:name w:val="No List21111"/>
    <w:next w:val="NoList"/>
    <w:uiPriority w:val="99"/>
    <w:semiHidden/>
    <w:unhideWhenUsed/>
    <w:rsid w:val="0013541C"/>
  </w:style>
  <w:style w:type="numbering" w:customStyle="1" w:styleId="NoList31111">
    <w:name w:val="No List31111"/>
    <w:next w:val="NoList"/>
    <w:semiHidden/>
    <w:rsid w:val="0013541C"/>
  </w:style>
  <w:style w:type="numbering" w:customStyle="1" w:styleId="NoList4111">
    <w:name w:val="No List4111"/>
    <w:next w:val="NoList"/>
    <w:uiPriority w:val="99"/>
    <w:semiHidden/>
    <w:unhideWhenUsed/>
    <w:rsid w:val="0013541C"/>
  </w:style>
  <w:style w:type="numbering" w:customStyle="1" w:styleId="NoList511">
    <w:name w:val="No List511"/>
    <w:next w:val="NoList"/>
    <w:uiPriority w:val="99"/>
    <w:semiHidden/>
    <w:unhideWhenUsed/>
    <w:rsid w:val="0013541C"/>
  </w:style>
  <w:style w:type="numbering" w:customStyle="1" w:styleId="NoList1411">
    <w:name w:val="No List1411"/>
    <w:next w:val="NoList"/>
    <w:semiHidden/>
    <w:rsid w:val="0013541C"/>
  </w:style>
  <w:style w:type="numbering" w:customStyle="1" w:styleId="NoList2211">
    <w:name w:val="No List2211"/>
    <w:next w:val="NoList"/>
    <w:uiPriority w:val="99"/>
    <w:semiHidden/>
    <w:unhideWhenUsed/>
    <w:rsid w:val="0013541C"/>
  </w:style>
  <w:style w:type="numbering" w:customStyle="1" w:styleId="NoList3211">
    <w:name w:val="No List3211"/>
    <w:next w:val="NoList"/>
    <w:uiPriority w:val="99"/>
    <w:semiHidden/>
    <w:unhideWhenUsed/>
    <w:rsid w:val="0013541C"/>
  </w:style>
  <w:style w:type="numbering" w:customStyle="1" w:styleId="NoList11211">
    <w:name w:val="No List11211"/>
    <w:next w:val="NoList"/>
    <w:uiPriority w:val="99"/>
    <w:semiHidden/>
    <w:unhideWhenUsed/>
    <w:rsid w:val="0013541C"/>
  </w:style>
  <w:style w:type="numbering" w:customStyle="1" w:styleId="NoList21211">
    <w:name w:val="No List21211"/>
    <w:next w:val="NoList"/>
    <w:uiPriority w:val="99"/>
    <w:semiHidden/>
    <w:unhideWhenUsed/>
    <w:rsid w:val="0013541C"/>
  </w:style>
  <w:style w:type="numbering" w:customStyle="1" w:styleId="NoList31211">
    <w:name w:val="No List31211"/>
    <w:next w:val="NoList"/>
    <w:semiHidden/>
    <w:rsid w:val="0013541C"/>
  </w:style>
  <w:style w:type="numbering" w:customStyle="1" w:styleId="NoList4211">
    <w:name w:val="No List4211"/>
    <w:next w:val="NoList"/>
    <w:uiPriority w:val="99"/>
    <w:semiHidden/>
    <w:unhideWhenUsed/>
    <w:rsid w:val="0013541C"/>
  </w:style>
  <w:style w:type="numbering" w:customStyle="1" w:styleId="NoList71">
    <w:name w:val="No List71"/>
    <w:next w:val="NoList"/>
    <w:uiPriority w:val="99"/>
    <w:semiHidden/>
    <w:unhideWhenUsed/>
    <w:rsid w:val="0013541C"/>
  </w:style>
  <w:style w:type="numbering" w:customStyle="1" w:styleId="NoList161">
    <w:name w:val="No List161"/>
    <w:next w:val="NoList"/>
    <w:uiPriority w:val="99"/>
    <w:semiHidden/>
    <w:unhideWhenUsed/>
    <w:rsid w:val="0013541C"/>
  </w:style>
  <w:style w:type="numbering" w:customStyle="1" w:styleId="NoList1141">
    <w:name w:val="No List1141"/>
    <w:next w:val="NoList"/>
    <w:uiPriority w:val="99"/>
    <w:semiHidden/>
    <w:rsid w:val="0013541C"/>
  </w:style>
  <w:style w:type="numbering" w:customStyle="1" w:styleId="NoList11121">
    <w:name w:val="No List11121"/>
    <w:next w:val="NoList"/>
    <w:uiPriority w:val="99"/>
    <w:semiHidden/>
    <w:unhideWhenUsed/>
    <w:rsid w:val="0013541C"/>
  </w:style>
  <w:style w:type="numbering" w:customStyle="1" w:styleId="NoList241">
    <w:name w:val="No List241"/>
    <w:next w:val="NoList"/>
    <w:uiPriority w:val="99"/>
    <w:semiHidden/>
    <w:unhideWhenUsed/>
    <w:rsid w:val="0013541C"/>
  </w:style>
  <w:style w:type="numbering" w:customStyle="1" w:styleId="NoList341">
    <w:name w:val="No List341"/>
    <w:next w:val="NoList"/>
    <w:semiHidden/>
    <w:unhideWhenUsed/>
    <w:rsid w:val="0013541C"/>
  </w:style>
  <w:style w:type="numbering" w:customStyle="1" w:styleId="NoList1221">
    <w:name w:val="No List1221"/>
    <w:next w:val="NoList"/>
    <w:semiHidden/>
    <w:rsid w:val="0013541C"/>
  </w:style>
  <w:style w:type="numbering" w:customStyle="1" w:styleId="NoList441">
    <w:name w:val="No List441"/>
    <w:next w:val="NoList"/>
    <w:uiPriority w:val="99"/>
    <w:semiHidden/>
    <w:unhideWhenUsed/>
    <w:rsid w:val="0013541C"/>
  </w:style>
  <w:style w:type="numbering" w:customStyle="1" w:styleId="NoList1321">
    <w:name w:val="No List1321"/>
    <w:next w:val="NoList"/>
    <w:semiHidden/>
    <w:rsid w:val="0013541C"/>
  </w:style>
  <w:style w:type="numbering" w:customStyle="1" w:styleId="NoList2141">
    <w:name w:val="No List2141"/>
    <w:next w:val="NoList"/>
    <w:uiPriority w:val="99"/>
    <w:semiHidden/>
    <w:unhideWhenUsed/>
    <w:rsid w:val="0013541C"/>
  </w:style>
  <w:style w:type="numbering" w:customStyle="1" w:styleId="NoList3141">
    <w:name w:val="No List3141"/>
    <w:next w:val="NoList"/>
    <w:uiPriority w:val="99"/>
    <w:semiHidden/>
    <w:unhideWhenUsed/>
    <w:rsid w:val="0013541C"/>
  </w:style>
  <w:style w:type="numbering" w:customStyle="1" w:styleId="NoList1111111">
    <w:name w:val="No List1111111"/>
    <w:next w:val="NoList"/>
    <w:uiPriority w:val="99"/>
    <w:semiHidden/>
    <w:unhideWhenUsed/>
    <w:rsid w:val="0013541C"/>
  </w:style>
  <w:style w:type="numbering" w:customStyle="1" w:styleId="NoList21121">
    <w:name w:val="No List21121"/>
    <w:next w:val="NoList"/>
    <w:uiPriority w:val="99"/>
    <w:semiHidden/>
    <w:unhideWhenUsed/>
    <w:rsid w:val="0013541C"/>
  </w:style>
  <w:style w:type="numbering" w:customStyle="1" w:styleId="NoList31121">
    <w:name w:val="No List31121"/>
    <w:next w:val="NoList"/>
    <w:semiHidden/>
    <w:rsid w:val="0013541C"/>
  </w:style>
  <w:style w:type="numbering" w:customStyle="1" w:styleId="NoList4121">
    <w:name w:val="No List4121"/>
    <w:next w:val="NoList"/>
    <w:uiPriority w:val="99"/>
    <w:semiHidden/>
    <w:unhideWhenUsed/>
    <w:rsid w:val="0013541C"/>
  </w:style>
  <w:style w:type="numbering" w:customStyle="1" w:styleId="NoList521">
    <w:name w:val="No List521"/>
    <w:next w:val="NoList"/>
    <w:uiPriority w:val="99"/>
    <w:semiHidden/>
    <w:unhideWhenUsed/>
    <w:rsid w:val="0013541C"/>
  </w:style>
  <w:style w:type="numbering" w:customStyle="1" w:styleId="NoList1421">
    <w:name w:val="No List1421"/>
    <w:next w:val="NoList"/>
    <w:semiHidden/>
    <w:rsid w:val="0013541C"/>
  </w:style>
  <w:style w:type="numbering" w:customStyle="1" w:styleId="NoList2221">
    <w:name w:val="No List2221"/>
    <w:next w:val="NoList"/>
    <w:uiPriority w:val="99"/>
    <w:semiHidden/>
    <w:unhideWhenUsed/>
    <w:rsid w:val="0013541C"/>
  </w:style>
  <w:style w:type="numbering" w:customStyle="1" w:styleId="NoList3221">
    <w:name w:val="No List3221"/>
    <w:next w:val="NoList"/>
    <w:uiPriority w:val="99"/>
    <w:semiHidden/>
    <w:unhideWhenUsed/>
    <w:rsid w:val="0013541C"/>
  </w:style>
  <w:style w:type="numbering" w:customStyle="1" w:styleId="NoList11221">
    <w:name w:val="No List11221"/>
    <w:next w:val="NoList"/>
    <w:uiPriority w:val="99"/>
    <w:semiHidden/>
    <w:unhideWhenUsed/>
    <w:rsid w:val="0013541C"/>
  </w:style>
  <w:style w:type="numbering" w:customStyle="1" w:styleId="NoList21221">
    <w:name w:val="No List21221"/>
    <w:next w:val="NoList"/>
    <w:uiPriority w:val="99"/>
    <w:semiHidden/>
    <w:unhideWhenUsed/>
    <w:rsid w:val="0013541C"/>
  </w:style>
  <w:style w:type="numbering" w:customStyle="1" w:styleId="NoList31221">
    <w:name w:val="No List31221"/>
    <w:next w:val="NoList"/>
    <w:semiHidden/>
    <w:rsid w:val="0013541C"/>
  </w:style>
  <w:style w:type="numbering" w:customStyle="1" w:styleId="NoList4221">
    <w:name w:val="No List4221"/>
    <w:next w:val="NoList"/>
    <w:uiPriority w:val="99"/>
    <w:semiHidden/>
    <w:unhideWhenUsed/>
    <w:rsid w:val="0013541C"/>
  </w:style>
  <w:style w:type="numbering" w:customStyle="1" w:styleId="NoList81">
    <w:name w:val="No List81"/>
    <w:next w:val="NoList"/>
    <w:uiPriority w:val="99"/>
    <w:semiHidden/>
    <w:unhideWhenUsed/>
    <w:rsid w:val="0013541C"/>
  </w:style>
  <w:style w:type="numbering" w:customStyle="1" w:styleId="NoList171">
    <w:name w:val="No List171"/>
    <w:next w:val="NoList"/>
    <w:uiPriority w:val="99"/>
    <w:semiHidden/>
    <w:unhideWhenUsed/>
    <w:rsid w:val="0013541C"/>
  </w:style>
  <w:style w:type="numbering" w:customStyle="1" w:styleId="NoList251">
    <w:name w:val="No List251"/>
    <w:next w:val="NoList"/>
    <w:uiPriority w:val="99"/>
    <w:semiHidden/>
    <w:unhideWhenUsed/>
    <w:rsid w:val="0013541C"/>
  </w:style>
  <w:style w:type="numbering" w:customStyle="1" w:styleId="NoList351">
    <w:name w:val="No List351"/>
    <w:next w:val="NoList"/>
    <w:uiPriority w:val="99"/>
    <w:semiHidden/>
    <w:unhideWhenUsed/>
    <w:rsid w:val="0013541C"/>
  </w:style>
  <w:style w:type="numbering" w:customStyle="1" w:styleId="NoList91">
    <w:name w:val="No List91"/>
    <w:next w:val="NoList"/>
    <w:uiPriority w:val="99"/>
    <w:semiHidden/>
    <w:unhideWhenUsed/>
    <w:rsid w:val="0013541C"/>
  </w:style>
  <w:style w:type="numbering" w:customStyle="1" w:styleId="NoList101">
    <w:name w:val="No List101"/>
    <w:next w:val="NoList"/>
    <w:uiPriority w:val="99"/>
    <w:semiHidden/>
    <w:unhideWhenUsed/>
    <w:rsid w:val="0013541C"/>
  </w:style>
  <w:style w:type="numbering" w:customStyle="1" w:styleId="NoList181">
    <w:name w:val="No List181"/>
    <w:next w:val="NoList"/>
    <w:uiPriority w:val="99"/>
    <w:semiHidden/>
    <w:unhideWhenUsed/>
    <w:rsid w:val="0013541C"/>
  </w:style>
  <w:style w:type="numbering" w:customStyle="1" w:styleId="NoList191">
    <w:name w:val="No List191"/>
    <w:next w:val="NoList"/>
    <w:uiPriority w:val="99"/>
    <w:semiHidden/>
    <w:unhideWhenUsed/>
    <w:rsid w:val="0013541C"/>
  </w:style>
  <w:style w:type="numbering" w:customStyle="1" w:styleId="NoList1101">
    <w:name w:val="No List1101"/>
    <w:next w:val="NoList"/>
    <w:uiPriority w:val="99"/>
    <w:semiHidden/>
    <w:rsid w:val="0013541C"/>
  </w:style>
  <w:style w:type="numbering" w:customStyle="1" w:styleId="NoList1151">
    <w:name w:val="No List1151"/>
    <w:next w:val="NoList"/>
    <w:uiPriority w:val="99"/>
    <w:semiHidden/>
    <w:unhideWhenUsed/>
    <w:rsid w:val="0013541C"/>
  </w:style>
  <w:style w:type="numbering" w:customStyle="1" w:styleId="NoList261">
    <w:name w:val="No List261"/>
    <w:next w:val="NoList"/>
    <w:uiPriority w:val="99"/>
    <w:semiHidden/>
    <w:unhideWhenUsed/>
    <w:rsid w:val="0013541C"/>
  </w:style>
  <w:style w:type="numbering" w:customStyle="1" w:styleId="NoList361">
    <w:name w:val="No List361"/>
    <w:next w:val="NoList"/>
    <w:semiHidden/>
    <w:unhideWhenUsed/>
    <w:rsid w:val="0013541C"/>
  </w:style>
  <w:style w:type="numbering" w:customStyle="1" w:styleId="NoList1231">
    <w:name w:val="No List1231"/>
    <w:next w:val="NoList"/>
    <w:semiHidden/>
    <w:rsid w:val="0013541C"/>
  </w:style>
  <w:style w:type="numbering" w:customStyle="1" w:styleId="NoList451">
    <w:name w:val="No List451"/>
    <w:next w:val="NoList"/>
    <w:uiPriority w:val="99"/>
    <w:semiHidden/>
    <w:unhideWhenUsed/>
    <w:rsid w:val="0013541C"/>
  </w:style>
  <w:style w:type="numbering" w:customStyle="1" w:styleId="NoList1331">
    <w:name w:val="No List1331"/>
    <w:next w:val="NoList"/>
    <w:semiHidden/>
    <w:rsid w:val="0013541C"/>
  </w:style>
  <w:style w:type="numbering" w:customStyle="1" w:styleId="NoList2151">
    <w:name w:val="No List2151"/>
    <w:next w:val="NoList"/>
    <w:uiPriority w:val="99"/>
    <w:semiHidden/>
    <w:unhideWhenUsed/>
    <w:rsid w:val="0013541C"/>
  </w:style>
  <w:style w:type="numbering" w:customStyle="1" w:styleId="NoList3151">
    <w:name w:val="No List3151"/>
    <w:next w:val="NoList"/>
    <w:uiPriority w:val="99"/>
    <w:semiHidden/>
    <w:unhideWhenUsed/>
    <w:rsid w:val="0013541C"/>
  </w:style>
  <w:style w:type="numbering" w:customStyle="1" w:styleId="NoList11131">
    <w:name w:val="No List11131"/>
    <w:next w:val="NoList"/>
    <w:uiPriority w:val="99"/>
    <w:semiHidden/>
    <w:unhideWhenUsed/>
    <w:rsid w:val="0013541C"/>
  </w:style>
  <w:style w:type="numbering" w:customStyle="1" w:styleId="NoList21131">
    <w:name w:val="No List21131"/>
    <w:next w:val="NoList"/>
    <w:uiPriority w:val="99"/>
    <w:semiHidden/>
    <w:unhideWhenUsed/>
    <w:rsid w:val="0013541C"/>
  </w:style>
  <w:style w:type="numbering" w:customStyle="1" w:styleId="NoList31131">
    <w:name w:val="No List31131"/>
    <w:next w:val="NoList"/>
    <w:semiHidden/>
    <w:rsid w:val="0013541C"/>
  </w:style>
  <w:style w:type="numbering" w:customStyle="1" w:styleId="NoList4131">
    <w:name w:val="No List4131"/>
    <w:next w:val="NoList"/>
    <w:uiPriority w:val="99"/>
    <w:semiHidden/>
    <w:unhideWhenUsed/>
    <w:rsid w:val="0013541C"/>
  </w:style>
  <w:style w:type="numbering" w:customStyle="1" w:styleId="NoList531">
    <w:name w:val="No List531"/>
    <w:next w:val="NoList"/>
    <w:uiPriority w:val="99"/>
    <w:semiHidden/>
    <w:unhideWhenUsed/>
    <w:rsid w:val="0013541C"/>
  </w:style>
  <w:style w:type="numbering" w:customStyle="1" w:styleId="NoList1431">
    <w:name w:val="No List1431"/>
    <w:next w:val="NoList"/>
    <w:semiHidden/>
    <w:rsid w:val="0013541C"/>
  </w:style>
  <w:style w:type="numbering" w:customStyle="1" w:styleId="NoList2231">
    <w:name w:val="No List2231"/>
    <w:next w:val="NoList"/>
    <w:uiPriority w:val="99"/>
    <w:semiHidden/>
    <w:unhideWhenUsed/>
    <w:rsid w:val="0013541C"/>
  </w:style>
  <w:style w:type="numbering" w:customStyle="1" w:styleId="NoList3231">
    <w:name w:val="No List3231"/>
    <w:next w:val="NoList"/>
    <w:uiPriority w:val="99"/>
    <w:semiHidden/>
    <w:unhideWhenUsed/>
    <w:rsid w:val="0013541C"/>
  </w:style>
  <w:style w:type="numbering" w:customStyle="1" w:styleId="NoList11231">
    <w:name w:val="No List11231"/>
    <w:next w:val="NoList"/>
    <w:uiPriority w:val="99"/>
    <w:semiHidden/>
    <w:unhideWhenUsed/>
    <w:rsid w:val="0013541C"/>
  </w:style>
  <w:style w:type="numbering" w:customStyle="1" w:styleId="NoList21231">
    <w:name w:val="No List21231"/>
    <w:next w:val="NoList"/>
    <w:uiPriority w:val="99"/>
    <w:semiHidden/>
    <w:unhideWhenUsed/>
    <w:rsid w:val="0013541C"/>
  </w:style>
  <w:style w:type="numbering" w:customStyle="1" w:styleId="NoList31231">
    <w:name w:val="No List31231"/>
    <w:next w:val="NoList"/>
    <w:semiHidden/>
    <w:rsid w:val="0013541C"/>
  </w:style>
  <w:style w:type="numbering" w:customStyle="1" w:styleId="NoList4231">
    <w:name w:val="No List4231"/>
    <w:next w:val="NoList"/>
    <w:uiPriority w:val="99"/>
    <w:semiHidden/>
    <w:unhideWhenUsed/>
    <w:rsid w:val="0013541C"/>
  </w:style>
  <w:style w:type="numbering" w:customStyle="1" w:styleId="NoList201">
    <w:name w:val="No List201"/>
    <w:next w:val="NoList"/>
    <w:uiPriority w:val="99"/>
    <w:semiHidden/>
    <w:unhideWhenUsed/>
    <w:rsid w:val="0013541C"/>
  </w:style>
  <w:style w:type="numbering" w:customStyle="1" w:styleId="NoList271">
    <w:name w:val="No List271"/>
    <w:next w:val="NoList"/>
    <w:uiPriority w:val="99"/>
    <w:semiHidden/>
    <w:unhideWhenUsed/>
    <w:rsid w:val="0013541C"/>
  </w:style>
  <w:style w:type="numbering" w:customStyle="1" w:styleId="NoList1161">
    <w:name w:val="No List1161"/>
    <w:next w:val="NoList"/>
    <w:uiPriority w:val="99"/>
    <w:semiHidden/>
    <w:unhideWhenUsed/>
    <w:rsid w:val="0013541C"/>
  </w:style>
  <w:style w:type="numbering" w:customStyle="1" w:styleId="NoList1171">
    <w:name w:val="No List1171"/>
    <w:next w:val="NoList"/>
    <w:uiPriority w:val="99"/>
    <w:semiHidden/>
    <w:rsid w:val="0013541C"/>
  </w:style>
  <w:style w:type="numbering" w:customStyle="1" w:styleId="NoList11141">
    <w:name w:val="No List11141"/>
    <w:next w:val="NoList"/>
    <w:uiPriority w:val="99"/>
    <w:semiHidden/>
    <w:unhideWhenUsed/>
    <w:rsid w:val="0013541C"/>
  </w:style>
  <w:style w:type="numbering" w:customStyle="1" w:styleId="NoList281">
    <w:name w:val="No List281"/>
    <w:next w:val="NoList"/>
    <w:uiPriority w:val="99"/>
    <w:semiHidden/>
    <w:unhideWhenUsed/>
    <w:rsid w:val="0013541C"/>
  </w:style>
  <w:style w:type="numbering" w:customStyle="1" w:styleId="NoList371">
    <w:name w:val="No List371"/>
    <w:next w:val="NoList"/>
    <w:semiHidden/>
    <w:unhideWhenUsed/>
    <w:rsid w:val="0013541C"/>
  </w:style>
  <w:style w:type="numbering" w:customStyle="1" w:styleId="NoList1241">
    <w:name w:val="No List1241"/>
    <w:next w:val="NoList"/>
    <w:semiHidden/>
    <w:rsid w:val="0013541C"/>
  </w:style>
  <w:style w:type="numbering" w:customStyle="1" w:styleId="NoList461">
    <w:name w:val="No List461"/>
    <w:next w:val="NoList"/>
    <w:uiPriority w:val="99"/>
    <w:semiHidden/>
    <w:unhideWhenUsed/>
    <w:rsid w:val="0013541C"/>
  </w:style>
  <w:style w:type="numbering" w:customStyle="1" w:styleId="NoList1341">
    <w:name w:val="No List1341"/>
    <w:next w:val="NoList"/>
    <w:semiHidden/>
    <w:rsid w:val="0013541C"/>
  </w:style>
  <w:style w:type="numbering" w:customStyle="1" w:styleId="NoList2161">
    <w:name w:val="No List2161"/>
    <w:next w:val="NoList"/>
    <w:uiPriority w:val="99"/>
    <w:semiHidden/>
    <w:unhideWhenUsed/>
    <w:rsid w:val="0013541C"/>
  </w:style>
  <w:style w:type="numbering" w:customStyle="1" w:styleId="NoList3161">
    <w:name w:val="No List3161"/>
    <w:next w:val="NoList"/>
    <w:uiPriority w:val="99"/>
    <w:semiHidden/>
    <w:unhideWhenUsed/>
    <w:rsid w:val="0013541C"/>
  </w:style>
  <w:style w:type="numbering" w:customStyle="1" w:styleId="NoList111121">
    <w:name w:val="No List111121"/>
    <w:next w:val="NoList"/>
    <w:uiPriority w:val="99"/>
    <w:semiHidden/>
    <w:unhideWhenUsed/>
    <w:rsid w:val="0013541C"/>
  </w:style>
  <w:style w:type="numbering" w:customStyle="1" w:styleId="NoList21141">
    <w:name w:val="No List21141"/>
    <w:next w:val="NoList"/>
    <w:uiPriority w:val="99"/>
    <w:semiHidden/>
    <w:unhideWhenUsed/>
    <w:rsid w:val="0013541C"/>
  </w:style>
  <w:style w:type="numbering" w:customStyle="1" w:styleId="NoList31141">
    <w:name w:val="No List31141"/>
    <w:next w:val="NoList"/>
    <w:semiHidden/>
    <w:rsid w:val="0013541C"/>
  </w:style>
  <w:style w:type="numbering" w:customStyle="1" w:styleId="NoList4141">
    <w:name w:val="No List4141"/>
    <w:next w:val="NoList"/>
    <w:uiPriority w:val="99"/>
    <w:semiHidden/>
    <w:unhideWhenUsed/>
    <w:rsid w:val="0013541C"/>
  </w:style>
  <w:style w:type="numbering" w:customStyle="1" w:styleId="NoList541">
    <w:name w:val="No List541"/>
    <w:next w:val="NoList"/>
    <w:uiPriority w:val="99"/>
    <w:semiHidden/>
    <w:unhideWhenUsed/>
    <w:rsid w:val="0013541C"/>
  </w:style>
  <w:style w:type="numbering" w:customStyle="1" w:styleId="NoList1441">
    <w:name w:val="No List1441"/>
    <w:next w:val="NoList"/>
    <w:semiHidden/>
    <w:rsid w:val="0013541C"/>
  </w:style>
  <w:style w:type="numbering" w:customStyle="1" w:styleId="NoList2241">
    <w:name w:val="No List2241"/>
    <w:next w:val="NoList"/>
    <w:uiPriority w:val="99"/>
    <w:semiHidden/>
    <w:unhideWhenUsed/>
    <w:rsid w:val="0013541C"/>
  </w:style>
  <w:style w:type="numbering" w:customStyle="1" w:styleId="NoList3241">
    <w:name w:val="No List3241"/>
    <w:next w:val="NoList"/>
    <w:uiPriority w:val="99"/>
    <w:semiHidden/>
    <w:unhideWhenUsed/>
    <w:rsid w:val="0013541C"/>
  </w:style>
  <w:style w:type="numbering" w:customStyle="1" w:styleId="NoList11241">
    <w:name w:val="No List11241"/>
    <w:next w:val="NoList"/>
    <w:uiPriority w:val="99"/>
    <w:semiHidden/>
    <w:unhideWhenUsed/>
    <w:rsid w:val="0013541C"/>
  </w:style>
  <w:style w:type="numbering" w:customStyle="1" w:styleId="NoList21241">
    <w:name w:val="No List21241"/>
    <w:next w:val="NoList"/>
    <w:uiPriority w:val="99"/>
    <w:semiHidden/>
    <w:unhideWhenUsed/>
    <w:rsid w:val="0013541C"/>
  </w:style>
  <w:style w:type="numbering" w:customStyle="1" w:styleId="NoList31241">
    <w:name w:val="No List31241"/>
    <w:next w:val="NoList"/>
    <w:semiHidden/>
    <w:rsid w:val="0013541C"/>
  </w:style>
  <w:style w:type="numbering" w:customStyle="1" w:styleId="NoList4241">
    <w:name w:val="No List4241"/>
    <w:next w:val="NoList"/>
    <w:uiPriority w:val="99"/>
    <w:semiHidden/>
    <w:unhideWhenUsed/>
    <w:rsid w:val="0013541C"/>
  </w:style>
  <w:style w:type="numbering" w:customStyle="1" w:styleId="NoList39">
    <w:name w:val="No List39"/>
    <w:next w:val="NoList"/>
    <w:uiPriority w:val="99"/>
    <w:semiHidden/>
    <w:unhideWhenUsed/>
    <w:rsid w:val="00492280"/>
  </w:style>
  <w:style w:type="numbering" w:customStyle="1" w:styleId="NoList120">
    <w:name w:val="No List120"/>
    <w:next w:val="NoList"/>
    <w:uiPriority w:val="99"/>
    <w:semiHidden/>
    <w:unhideWhenUsed/>
    <w:rsid w:val="00492280"/>
  </w:style>
  <w:style w:type="numbering" w:customStyle="1" w:styleId="NoList1110">
    <w:name w:val="No List1110"/>
    <w:next w:val="NoList"/>
    <w:uiPriority w:val="99"/>
    <w:semiHidden/>
    <w:rsid w:val="00492280"/>
  </w:style>
  <w:style w:type="table" w:customStyle="1" w:styleId="TableGrid39">
    <w:name w:val="Table Grid39"/>
    <w:basedOn w:val="TableNormal"/>
    <w:next w:val="TableGrid"/>
    <w:rsid w:val="00492280"/>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9">
    <w:name w:val="Table Grid119"/>
    <w:basedOn w:val="TableNormal"/>
    <w:next w:val="TableGrid"/>
    <w:rsid w:val="0049228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6">
    <w:name w:val="No List1116"/>
    <w:next w:val="NoList"/>
    <w:uiPriority w:val="99"/>
    <w:semiHidden/>
    <w:unhideWhenUsed/>
    <w:rsid w:val="00492280"/>
  </w:style>
  <w:style w:type="numbering" w:customStyle="1" w:styleId="NoList218">
    <w:name w:val="No List218"/>
    <w:next w:val="NoList"/>
    <w:uiPriority w:val="99"/>
    <w:semiHidden/>
    <w:unhideWhenUsed/>
    <w:rsid w:val="00492280"/>
  </w:style>
  <w:style w:type="numbering" w:customStyle="1" w:styleId="NoList310">
    <w:name w:val="No List310"/>
    <w:next w:val="NoList"/>
    <w:semiHidden/>
    <w:unhideWhenUsed/>
    <w:rsid w:val="00492280"/>
  </w:style>
  <w:style w:type="table" w:customStyle="1" w:styleId="TableGrid1110">
    <w:name w:val="Table Grid1110"/>
    <w:basedOn w:val="TableNormal"/>
    <w:next w:val="TableGrid"/>
    <w:rsid w:val="00492280"/>
    <w:pPr>
      <w:spacing w:after="0" w:line="240" w:lineRule="auto"/>
      <w:jc w:val="both"/>
    </w:pPr>
    <w:rPr>
      <w:rFonts w:ascii="Calibri" w:eastAsia="Calibri" w:hAnsi="Calibri" w:cs="Times New Roman"/>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0">
    <w:name w:val="Table Grid210"/>
    <w:basedOn w:val="TableNormal"/>
    <w:next w:val="TableGrid"/>
    <w:rsid w:val="00492280"/>
    <w:pPr>
      <w:spacing w:after="0" w:line="240" w:lineRule="auto"/>
    </w:pPr>
    <w:rPr>
      <w:rFonts w:ascii="Verdana" w:eastAsia="Times New Roman" w:hAnsi="Verdana" w:cs="Times New Roman"/>
      <w:sz w:val="20"/>
      <w:szCs w:val="20"/>
      <w:lang w:val="bg-B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6">
    <w:name w:val="No List126"/>
    <w:next w:val="NoList"/>
    <w:semiHidden/>
    <w:rsid w:val="00492280"/>
  </w:style>
  <w:style w:type="numbering" w:customStyle="1" w:styleId="NoList48">
    <w:name w:val="No List48"/>
    <w:next w:val="NoList"/>
    <w:uiPriority w:val="99"/>
    <w:semiHidden/>
    <w:unhideWhenUsed/>
    <w:rsid w:val="00492280"/>
  </w:style>
  <w:style w:type="numbering" w:customStyle="1" w:styleId="NoList136">
    <w:name w:val="No List136"/>
    <w:next w:val="NoList"/>
    <w:semiHidden/>
    <w:rsid w:val="00492280"/>
  </w:style>
  <w:style w:type="table" w:customStyle="1" w:styleId="TableGrid310">
    <w:name w:val="Table Grid310"/>
    <w:basedOn w:val="TableNormal"/>
    <w:next w:val="TableGrid"/>
    <w:uiPriority w:val="99"/>
    <w:rsid w:val="00492280"/>
    <w:pPr>
      <w:spacing w:after="0" w:line="240" w:lineRule="auto"/>
    </w:pPr>
    <w:rPr>
      <w:rFonts w:ascii="Times New Roman" w:eastAsia="Times New Roman" w:hAnsi="Times New Roman" w:cs="Times New Roman"/>
      <w:sz w:val="20"/>
      <w:szCs w:val="20"/>
      <w:lang w:val="bg-B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39">
    <w:name w:val="Table Web 39"/>
    <w:basedOn w:val="TableNormal"/>
    <w:next w:val="TableWeb3"/>
    <w:rsid w:val="00492280"/>
    <w:pPr>
      <w:spacing w:after="0" w:line="240" w:lineRule="auto"/>
    </w:pPr>
    <w:rPr>
      <w:rFonts w:ascii="Times New Roman" w:eastAsia="Times New Roman" w:hAnsi="Times New Roman" w:cs="Times New Roman"/>
      <w:sz w:val="20"/>
      <w:szCs w:val="20"/>
      <w:lang w:val="bg-BG" w:eastAsia="bg-BG"/>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126">
    <w:name w:val="Table Grid126"/>
    <w:basedOn w:val="TableNormal"/>
    <w:next w:val="TableGrid"/>
    <w:rsid w:val="00492280"/>
    <w:pPr>
      <w:spacing w:after="0" w:line="240" w:lineRule="auto"/>
    </w:pPr>
    <w:rPr>
      <w:rFonts w:ascii="Times New Roman" w:eastAsia="Times New Roman" w:hAnsi="Times New Roman" w:cs="Times New Roman"/>
      <w:sz w:val="20"/>
      <w:szCs w:val="20"/>
      <w:lang w:val="bg-B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9">
    <w:name w:val="No List219"/>
    <w:next w:val="NoList"/>
    <w:uiPriority w:val="99"/>
    <w:semiHidden/>
    <w:unhideWhenUsed/>
    <w:rsid w:val="00492280"/>
  </w:style>
  <w:style w:type="table" w:customStyle="1" w:styleId="TableGrid218">
    <w:name w:val="Table Grid218"/>
    <w:basedOn w:val="TableNormal"/>
    <w:next w:val="TableGrid"/>
    <w:uiPriority w:val="99"/>
    <w:rsid w:val="00492280"/>
    <w:pPr>
      <w:spacing w:after="0" w:line="240" w:lineRule="auto"/>
    </w:pPr>
    <w:rPr>
      <w:rFonts w:ascii="Times New Roman" w:eastAsia="Times New Roman" w:hAnsi="Times New Roman" w:cs="Times New Roman"/>
      <w:sz w:val="20"/>
      <w:szCs w:val="20"/>
      <w:lang w:val="bg-B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317">
    <w:name w:val="Table Web 317"/>
    <w:basedOn w:val="TableNormal"/>
    <w:next w:val="TableWeb3"/>
    <w:uiPriority w:val="99"/>
    <w:rsid w:val="00492280"/>
    <w:pPr>
      <w:spacing w:after="0" w:line="240" w:lineRule="auto"/>
    </w:pPr>
    <w:rPr>
      <w:rFonts w:ascii="Times New Roman" w:eastAsia="Times New Roman" w:hAnsi="Times New Roman" w:cs="Times New Roman"/>
      <w:sz w:val="20"/>
      <w:szCs w:val="20"/>
      <w:lang w:val="bg-BG" w:eastAsia="bg-BG"/>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TableGrid1116">
    <w:name w:val="Table Grid1116"/>
    <w:uiPriority w:val="99"/>
    <w:rsid w:val="00492280"/>
    <w:pPr>
      <w:spacing w:after="0" w:line="240" w:lineRule="auto"/>
    </w:pPr>
    <w:rPr>
      <w:rFonts w:ascii="Times New Roman" w:eastAsia="Times New Roman" w:hAnsi="Times New Roman" w:cs="Times New Roman"/>
      <w:sz w:val="20"/>
      <w:szCs w:val="20"/>
      <w:lang w:val="bg-BG" w:eastAsia="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6">
    <w:name w:val="Table Grid2116"/>
    <w:uiPriority w:val="99"/>
    <w:rsid w:val="00492280"/>
    <w:pPr>
      <w:spacing w:after="0" w:line="240" w:lineRule="auto"/>
    </w:pPr>
    <w:rPr>
      <w:rFonts w:ascii="Calibri" w:eastAsia="Calibri" w:hAnsi="Calibri" w:cs="Times New Roman"/>
      <w:sz w:val="20"/>
      <w:szCs w:val="20"/>
      <w:lang w:val="bg-BG" w:eastAsia="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8">
    <w:name w:val="No List318"/>
    <w:next w:val="NoList"/>
    <w:uiPriority w:val="99"/>
    <w:semiHidden/>
    <w:unhideWhenUsed/>
    <w:rsid w:val="00492280"/>
  </w:style>
  <w:style w:type="table" w:customStyle="1" w:styleId="TableGrid46">
    <w:name w:val="Table Grid46"/>
    <w:basedOn w:val="TableNormal"/>
    <w:next w:val="TableGrid"/>
    <w:uiPriority w:val="99"/>
    <w:rsid w:val="0049228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326">
    <w:name w:val="Table Web 326"/>
    <w:basedOn w:val="TableNormal"/>
    <w:next w:val="TableWeb3"/>
    <w:uiPriority w:val="99"/>
    <w:rsid w:val="00492280"/>
    <w:pPr>
      <w:spacing w:after="0" w:line="240" w:lineRule="auto"/>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TableGrid226">
    <w:name w:val="Table Grid226"/>
    <w:uiPriority w:val="99"/>
    <w:rsid w:val="00492280"/>
    <w:pPr>
      <w:spacing w:after="0" w:line="240" w:lineRule="auto"/>
    </w:pPr>
    <w:rPr>
      <w:rFonts w:ascii="Calibri" w:eastAsia="Calibri" w:hAnsi="Calibri" w:cs="Times New Roman"/>
      <w:sz w:val="20"/>
      <w:szCs w:val="20"/>
      <w:lang w:val="bg-BG" w:eastAsia="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6">
    <w:name w:val="Table Grid316"/>
    <w:uiPriority w:val="99"/>
    <w:rsid w:val="00492280"/>
    <w:pPr>
      <w:spacing w:after="0" w:line="240" w:lineRule="auto"/>
    </w:pPr>
    <w:rPr>
      <w:rFonts w:ascii="Times New Roman" w:eastAsia="Times New Roman" w:hAnsi="Times New Roman" w:cs="Times New Roman"/>
      <w:sz w:val="20"/>
      <w:szCs w:val="20"/>
      <w:lang w:val="bg-BG" w:eastAsia="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4">
    <w:name w:val="No List11114"/>
    <w:next w:val="NoList"/>
    <w:uiPriority w:val="99"/>
    <w:semiHidden/>
    <w:unhideWhenUsed/>
    <w:rsid w:val="00492280"/>
  </w:style>
  <w:style w:type="numbering" w:customStyle="1" w:styleId="NoList2116">
    <w:name w:val="No List2116"/>
    <w:next w:val="NoList"/>
    <w:uiPriority w:val="99"/>
    <w:semiHidden/>
    <w:unhideWhenUsed/>
    <w:rsid w:val="00492280"/>
  </w:style>
  <w:style w:type="numbering" w:customStyle="1" w:styleId="NoList3116">
    <w:name w:val="No List3116"/>
    <w:next w:val="NoList"/>
    <w:semiHidden/>
    <w:rsid w:val="00492280"/>
  </w:style>
  <w:style w:type="numbering" w:customStyle="1" w:styleId="NoList416">
    <w:name w:val="No List416"/>
    <w:next w:val="NoList"/>
    <w:uiPriority w:val="99"/>
    <w:semiHidden/>
    <w:unhideWhenUsed/>
    <w:rsid w:val="00492280"/>
  </w:style>
  <w:style w:type="table" w:customStyle="1" w:styleId="TableWeb3116">
    <w:name w:val="Table Web 3116"/>
    <w:basedOn w:val="TableNormal"/>
    <w:next w:val="TableWeb3"/>
    <w:uiPriority w:val="99"/>
    <w:rsid w:val="00492280"/>
    <w:pPr>
      <w:spacing w:after="0" w:line="240" w:lineRule="auto"/>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TableGrid56">
    <w:name w:val="Table Grid56"/>
    <w:basedOn w:val="TableNormal"/>
    <w:next w:val="TableGrid"/>
    <w:uiPriority w:val="59"/>
    <w:rsid w:val="0049228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6">
    <w:name w:val="No List56"/>
    <w:next w:val="NoList"/>
    <w:uiPriority w:val="99"/>
    <w:semiHidden/>
    <w:unhideWhenUsed/>
    <w:rsid w:val="00492280"/>
  </w:style>
  <w:style w:type="numbering" w:customStyle="1" w:styleId="NoList146">
    <w:name w:val="No List146"/>
    <w:next w:val="NoList"/>
    <w:semiHidden/>
    <w:rsid w:val="00492280"/>
  </w:style>
  <w:style w:type="table" w:customStyle="1" w:styleId="TableGrid65">
    <w:name w:val="Table Grid65"/>
    <w:basedOn w:val="TableNormal"/>
    <w:next w:val="TableGrid"/>
    <w:rsid w:val="00492280"/>
    <w:pPr>
      <w:spacing w:after="0" w:line="240" w:lineRule="auto"/>
    </w:pPr>
    <w:rPr>
      <w:rFonts w:ascii="Times New Roman" w:eastAsia="Times New Roman" w:hAnsi="Times New Roman" w:cs="Times New Roman"/>
      <w:sz w:val="20"/>
      <w:szCs w:val="20"/>
      <w:lang w:val="bg-B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335">
    <w:name w:val="Table Web 335"/>
    <w:basedOn w:val="TableNormal"/>
    <w:next w:val="TableWeb3"/>
    <w:rsid w:val="00492280"/>
    <w:pPr>
      <w:spacing w:after="0" w:line="240" w:lineRule="auto"/>
    </w:pPr>
    <w:rPr>
      <w:rFonts w:ascii="Times New Roman" w:eastAsia="Times New Roman" w:hAnsi="Times New Roman" w:cs="Times New Roman"/>
      <w:sz w:val="20"/>
      <w:szCs w:val="20"/>
      <w:lang w:val="bg-BG" w:eastAsia="bg-BG"/>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135">
    <w:name w:val="Table Grid135"/>
    <w:basedOn w:val="TableNormal"/>
    <w:next w:val="TableGrid"/>
    <w:rsid w:val="00492280"/>
    <w:pPr>
      <w:spacing w:after="0" w:line="240" w:lineRule="auto"/>
    </w:pPr>
    <w:rPr>
      <w:rFonts w:ascii="Times New Roman" w:eastAsia="Times New Roman" w:hAnsi="Times New Roman" w:cs="Times New Roman"/>
      <w:sz w:val="20"/>
      <w:szCs w:val="20"/>
      <w:lang w:val="bg-B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6">
    <w:name w:val="No List226"/>
    <w:next w:val="NoList"/>
    <w:uiPriority w:val="99"/>
    <w:semiHidden/>
    <w:unhideWhenUsed/>
    <w:rsid w:val="00492280"/>
  </w:style>
  <w:style w:type="table" w:customStyle="1" w:styleId="TableGrid235">
    <w:name w:val="Table Grid235"/>
    <w:basedOn w:val="TableNormal"/>
    <w:next w:val="TableGrid"/>
    <w:uiPriority w:val="99"/>
    <w:rsid w:val="00492280"/>
    <w:pPr>
      <w:spacing w:after="0" w:line="240" w:lineRule="auto"/>
    </w:pPr>
    <w:rPr>
      <w:rFonts w:ascii="Times New Roman" w:eastAsia="Times New Roman" w:hAnsi="Times New Roman" w:cs="Times New Roman"/>
      <w:sz w:val="20"/>
      <w:szCs w:val="20"/>
      <w:lang w:val="bg-B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3125">
    <w:name w:val="Table Web 3125"/>
    <w:basedOn w:val="TableNormal"/>
    <w:next w:val="TableWeb3"/>
    <w:uiPriority w:val="99"/>
    <w:rsid w:val="00492280"/>
    <w:pPr>
      <w:spacing w:after="0" w:line="240" w:lineRule="auto"/>
    </w:pPr>
    <w:rPr>
      <w:rFonts w:ascii="Times New Roman" w:eastAsia="Times New Roman" w:hAnsi="Times New Roman" w:cs="Times New Roman"/>
      <w:sz w:val="20"/>
      <w:szCs w:val="20"/>
      <w:lang w:val="bg-BG" w:eastAsia="bg-BG"/>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TableGrid1125">
    <w:name w:val="Table Grid1125"/>
    <w:uiPriority w:val="99"/>
    <w:rsid w:val="00492280"/>
    <w:pPr>
      <w:spacing w:after="0" w:line="240" w:lineRule="auto"/>
    </w:pPr>
    <w:rPr>
      <w:rFonts w:ascii="Times New Roman" w:eastAsia="Times New Roman" w:hAnsi="Times New Roman" w:cs="Times New Roman"/>
      <w:sz w:val="20"/>
      <w:szCs w:val="20"/>
      <w:lang w:val="bg-BG" w:eastAsia="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5">
    <w:name w:val="Table Grid2125"/>
    <w:uiPriority w:val="99"/>
    <w:rsid w:val="00492280"/>
    <w:pPr>
      <w:spacing w:after="0" w:line="240" w:lineRule="auto"/>
    </w:pPr>
    <w:rPr>
      <w:rFonts w:ascii="Calibri" w:eastAsia="Calibri" w:hAnsi="Calibri" w:cs="Times New Roman"/>
      <w:sz w:val="20"/>
      <w:szCs w:val="20"/>
      <w:lang w:val="bg-BG" w:eastAsia="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5">
    <w:name w:val="Table Grid325"/>
    <w:uiPriority w:val="99"/>
    <w:rsid w:val="00492280"/>
    <w:pPr>
      <w:spacing w:after="0" w:line="240" w:lineRule="auto"/>
    </w:pPr>
    <w:rPr>
      <w:rFonts w:ascii="Times New Roman" w:eastAsia="Times New Roman" w:hAnsi="Times New Roman" w:cs="Times New Roman"/>
      <w:sz w:val="20"/>
      <w:szCs w:val="20"/>
      <w:lang w:val="bg-BG" w:eastAsia="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6">
    <w:name w:val="No List326"/>
    <w:next w:val="NoList"/>
    <w:uiPriority w:val="99"/>
    <w:semiHidden/>
    <w:unhideWhenUsed/>
    <w:rsid w:val="00492280"/>
  </w:style>
  <w:style w:type="table" w:customStyle="1" w:styleId="TableGrid415">
    <w:name w:val="Table Grid415"/>
    <w:basedOn w:val="TableNormal"/>
    <w:next w:val="TableGrid"/>
    <w:uiPriority w:val="99"/>
    <w:rsid w:val="0049228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3215">
    <w:name w:val="Table Web 3215"/>
    <w:basedOn w:val="TableNormal"/>
    <w:next w:val="TableWeb3"/>
    <w:uiPriority w:val="99"/>
    <w:rsid w:val="00492280"/>
    <w:pPr>
      <w:spacing w:after="0" w:line="240" w:lineRule="auto"/>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TableGrid1215">
    <w:name w:val="Table Grid1215"/>
    <w:rsid w:val="00492280"/>
    <w:pPr>
      <w:spacing w:after="0" w:line="240" w:lineRule="auto"/>
    </w:pPr>
    <w:rPr>
      <w:rFonts w:ascii="Times New Roman" w:eastAsia="Times New Roman" w:hAnsi="Times New Roman" w:cs="Times New Roman"/>
      <w:sz w:val="20"/>
      <w:szCs w:val="20"/>
      <w:lang w:val="bg-BG" w:eastAsia="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5">
    <w:name w:val="Table Grid2215"/>
    <w:uiPriority w:val="99"/>
    <w:rsid w:val="00492280"/>
    <w:pPr>
      <w:spacing w:after="0" w:line="240" w:lineRule="auto"/>
    </w:pPr>
    <w:rPr>
      <w:rFonts w:ascii="Calibri" w:eastAsia="Calibri" w:hAnsi="Calibri" w:cs="Times New Roman"/>
      <w:sz w:val="20"/>
      <w:szCs w:val="20"/>
      <w:lang w:val="bg-BG" w:eastAsia="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5">
    <w:name w:val="Table Grid3115"/>
    <w:uiPriority w:val="99"/>
    <w:rsid w:val="00492280"/>
    <w:pPr>
      <w:spacing w:after="0" w:line="240" w:lineRule="auto"/>
    </w:pPr>
    <w:rPr>
      <w:rFonts w:ascii="Times New Roman" w:eastAsia="Times New Roman" w:hAnsi="Times New Roman" w:cs="Times New Roman"/>
      <w:sz w:val="20"/>
      <w:szCs w:val="20"/>
      <w:lang w:val="bg-BG" w:eastAsia="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6">
    <w:name w:val="No List1126"/>
    <w:next w:val="NoList"/>
    <w:uiPriority w:val="99"/>
    <w:semiHidden/>
    <w:unhideWhenUsed/>
    <w:rsid w:val="00492280"/>
  </w:style>
  <w:style w:type="numbering" w:customStyle="1" w:styleId="NoList2126">
    <w:name w:val="No List2126"/>
    <w:next w:val="NoList"/>
    <w:uiPriority w:val="99"/>
    <w:semiHidden/>
    <w:unhideWhenUsed/>
    <w:rsid w:val="00492280"/>
  </w:style>
  <w:style w:type="numbering" w:customStyle="1" w:styleId="NoList3126">
    <w:name w:val="No List3126"/>
    <w:next w:val="NoList"/>
    <w:semiHidden/>
    <w:rsid w:val="00492280"/>
  </w:style>
  <w:style w:type="numbering" w:customStyle="1" w:styleId="NoList426">
    <w:name w:val="No List426"/>
    <w:next w:val="NoList"/>
    <w:uiPriority w:val="99"/>
    <w:semiHidden/>
    <w:unhideWhenUsed/>
    <w:rsid w:val="00492280"/>
  </w:style>
  <w:style w:type="table" w:customStyle="1" w:styleId="TableWeb31115">
    <w:name w:val="Table Web 31115"/>
    <w:basedOn w:val="TableNormal"/>
    <w:next w:val="TableWeb3"/>
    <w:uiPriority w:val="99"/>
    <w:rsid w:val="00492280"/>
    <w:pPr>
      <w:spacing w:after="0" w:line="240" w:lineRule="auto"/>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TableGrid11115">
    <w:name w:val="Table Grid11115"/>
    <w:uiPriority w:val="99"/>
    <w:rsid w:val="00492280"/>
    <w:pPr>
      <w:spacing w:after="0" w:line="240" w:lineRule="auto"/>
    </w:pPr>
    <w:rPr>
      <w:rFonts w:ascii="Times New Roman" w:eastAsia="Times New Roman" w:hAnsi="Times New Roman" w:cs="Times New Roman"/>
      <w:sz w:val="20"/>
      <w:szCs w:val="20"/>
      <w:lang w:val="bg-BG" w:eastAsia="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5">
    <w:name w:val="Table Grid21115"/>
    <w:uiPriority w:val="99"/>
    <w:rsid w:val="00492280"/>
    <w:pPr>
      <w:spacing w:after="0" w:line="240" w:lineRule="auto"/>
    </w:pPr>
    <w:rPr>
      <w:rFonts w:ascii="Calibri" w:eastAsia="Calibri" w:hAnsi="Calibri" w:cs="Times New Roman"/>
      <w:sz w:val="20"/>
      <w:szCs w:val="20"/>
      <w:lang w:val="bg-BG" w:eastAsia="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5">
    <w:name w:val="Table Grid515"/>
    <w:basedOn w:val="TableNormal"/>
    <w:next w:val="TableGrid"/>
    <w:uiPriority w:val="59"/>
    <w:rsid w:val="0049228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5">
    <w:name w:val="Table Grid75"/>
    <w:basedOn w:val="TableNormal"/>
    <w:next w:val="TableGrid"/>
    <w:rsid w:val="0049228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345">
    <w:name w:val="Table Web 345"/>
    <w:basedOn w:val="TableNormal"/>
    <w:next w:val="TableWeb3"/>
    <w:uiPriority w:val="99"/>
    <w:rsid w:val="00492280"/>
    <w:pPr>
      <w:spacing w:after="0" w:line="240" w:lineRule="auto"/>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TableGrid245">
    <w:name w:val="Table Grid245"/>
    <w:uiPriority w:val="99"/>
    <w:rsid w:val="00492280"/>
    <w:pPr>
      <w:spacing w:after="0" w:line="240" w:lineRule="auto"/>
    </w:pPr>
    <w:rPr>
      <w:rFonts w:ascii="Calibri" w:eastAsia="Calibri" w:hAnsi="Calibri" w:cs="Times New Roman"/>
      <w:sz w:val="20"/>
      <w:szCs w:val="20"/>
      <w:lang w:val="bg-BG" w:eastAsia="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5">
    <w:name w:val="Table Grid1135"/>
    <w:uiPriority w:val="99"/>
    <w:rsid w:val="00492280"/>
    <w:pPr>
      <w:spacing w:after="0" w:line="240" w:lineRule="auto"/>
    </w:pPr>
    <w:rPr>
      <w:rFonts w:ascii="Times New Roman" w:eastAsia="Times New Roman" w:hAnsi="Times New Roman" w:cs="Times New Roman"/>
      <w:sz w:val="20"/>
      <w:szCs w:val="20"/>
      <w:lang w:val="bg-BG" w:eastAsia="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5">
    <w:name w:val="Table Grid2135"/>
    <w:uiPriority w:val="99"/>
    <w:rsid w:val="00492280"/>
    <w:pPr>
      <w:spacing w:after="0" w:line="240" w:lineRule="auto"/>
    </w:pPr>
    <w:rPr>
      <w:rFonts w:ascii="Calibri" w:eastAsia="Calibri" w:hAnsi="Calibri" w:cs="Times New Roman"/>
      <w:sz w:val="20"/>
      <w:szCs w:val="20"/>
      <w:lang w:val="bg-BG" w:eastAsia="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2">
    <w:name w:val="No List62"/>
    <w:next w:val="NoList"/>
    <w:uiPriority w:val="99"/>
    <w:semiHidden/>
    <w:unhideWhenUsed/>
    <w:rsid w:val="00492280"/>
  </w:style>
  <w:style w:type="numbering" w:customStyle="1" w:styleId="NoList152">
    <w:name w:val="No List152"/>
    <w:next w:val="NoList"/>
    <w:uiPriority w:val="99"/>
    <w:semiHidden/>
    <w:rsid w:val="00492280"/>
  </w:style>
  <w:style w:type="table" w:customStyle="1" w:styleId="TableGrid81">
    <w:name w:val="Table Grid81"/>
    <w:basedOn w:val="TableNormal"/>
    <w:next w:val="TableGrid"/>
    <w:rsid w:val="00492280"/>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
    <w:name w:val="Table Grid141"/>
    <w:basedOn w:val="TableNormal"/>
    <w:next w:val="TableGrid"/>
    <w:rsid w:val="0049228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32">
    <w:name w:val="No List1132"/>
    <w:next w:val="NoList"/>
    <w:uiPriority w:val="99"/>
    <w:semiHidden/>
    <w:unhideWhenUsed/>
    <w:rsid w:val="00492280"/>
  </w:style>
  <w:style w:type="numbering" w:customStyle="1" w:styleId="NoList232">
    <w:name w:val="No List232"/>
    <w:next w:val="NoList"/>
    <w:uiPriority w:val="99"/>
    <w:semiHidden/>
    <w:unhideWhenUsed/>
    <w:rsid w:val="00492280"/>
  </w:style>
  <w:style w:type="numbering" w:customStyle="1" w:styleId="NoList332">
    <w:name w:val="No List332"/>
    <w:next w:val="NoList"/>
    <w:semiHidden/>
    <w:unhideWhenUsed/>
    <w:rsid w:val="00492280"/>
  </w:style>
  <w:style w:type="table" w:customStyle="1" w:styleId="TableGrid1141">
    <w:name w:val="Table Grid1141"/>
    <w:basedOn w:val="TableNormal"/>
    <w:next w:val="TableGrid"/>
    <w:rsid w:val="00492280"/>
    <w:pPr>
      <w:spacing w:after="0" w:line="240" w:lineRule="auto"/>
      <w:jc w:val="both"/>
    </w:pPr>
    <w:rPr>
      <w:rFonts w:ascii="Calibri" w:eastAsia="Calibri" w:hAnsi="Calibri" w:cs="Times New Roman"/>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1">
    <w:name w:val="Table Grid251"/>
    <w:basedOn w:val="TableNormal"/>
    <w:next w:val="TableGrid"/>
    <w:rsid w:val="00492280"/>
    <w:pPr>
      <w:spacing w:after="0" w:line="240" w:lineRule="auto"/>
    </w:pPr>
    <w:rPr>
      <w:rFonts w:ascii="Verdana" w:eastAsia="Times New Roman" w:hAnsi="Verdana" w:cs="Times New Roman"/>
      <w:sz w:val="20"/>
      <w:szCs w:val="20"/>
      <w:lang w:val="bg-B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2">
    <w:name w:val="No List1212"/>
    <w:next w:val="NoList"/>
    <w:semiHidden/>
    <w:rsid w:val="00492280"/>
  </w:style>
  <w:style w:type="numbering" w:customStyle="1" w:styleId="NoList432">
    <w:name w:val="No List432"/>
    <w:next w:val="NoList"/>
    <w:uiPriority w:val="99"/>
    <w:semiHidden/>
    <w:unhideWhenUsed/>
    <w:rsid w:val="00492280"/>
  </w:style>
  <w:style w:type="numbering" w:customStyle="1" w:styleId="NoList1312">
    <w:name w:val="No List1312"/>
    <w:next w:val="NoList"/>
    <w:semiHidden/>
    <w:rsid w:val="00492280"/>
  </w:style>
  <w:style w:type="table" w:customStyle="1" w:styleId="TableGrid331">
    <w:name w:val="Table Grid331"/>
    <w:basedOn w:val="TableNormal"/>
    <w:next w:val="TableGrid"/>
    <w:uiPriority w:val="99"/>
    <w:rsid w:val="00492280"/>
    <w:pPr>
      <w:spacing w:after="0" w:line="240" w:lineRule="auto"/>
    </w:pPr>
    <w:rPr>
      <w:rFonts w:ascii="Times New Roman" w:eastAsia="Times New Roman" w:hAnsi="Times New Roman" w:cs="Times New Roman"/>
      <w:sz w:val="20"/>
      <w:szCs w:val="20"/>
      <w:lang w:val="bg-B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351">
    <w:name w:val="Table Web 351"/>
    <w:basedOn w:val="TableNormal"/>
    <w:next w:val="TableWeb3"/>
    <w:rsid w:val="00492280"/>
    <w:pPr>
      <w:spacing w:after="0" w:line="240" w:lineRule="auto"/>
    </w:pPr>
    <w:rPr>
      <w:rFonts w:ascii="Times New Roman" w:eastAsia="Times New Roman" w:hAnsi="Times New Roman" w:cs="Times New Roman"/>
      <w:sz w:val="20"/>
      <w:szCs w:val="20"/>
      <w:lang w:val="bg-BG" w:eastAsia="bg-BG"/>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1221">
    <w:name w:val="Table Grid1221"/>
    <w:basedOn w:val="TableNormal"/>
    <w:next w:val="TableGrid"/>
    <w:rsid w:val="00492280"/>
    <w:pPr>
      <w:spacing w:after="0" w:line="240" w:lineRule="auto"/>
    </w:pPr>
    <w:rPr>
      <w:rFonts w:ascii="Times New Roman" w:eastAsia="Times New Roman" w:hAnsi="Times New Roman" w:cs="Times New Roman"/>
      <w:sz w:val="20"/>
      <w:szCs w:val="20"/>
      <w:lang w:val="bg-B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32">
    <w:name w:val="No List2132"/>
    <w:next w:val="NoList"/>
    <w:uiPriority w:val="99"/>
    <w:semiHidden/>
    <w:unhideWhenUsed/>
    <w:rsid w:val="00492280"/>
  </w:style>
  <w:style w:type="table" w:customStyle="1" w:styleId="TableGrid2141">
    <w:name w:val="Table Grid2141"/>
    <w:basedOn w:val="TableNormal"/>
    <w:next w:val="TableGrid"/>
    <w:uiPriority w:val="99"/>
    <w:rsid w:val="00492280"/>
    <w:pPr>
      <w:spacing w:after="0" w:line="240" w:lineRule="auto"/>
    </w:pPr>
    <w:rPr>
      <w:rFonts w:ascii="Times New Roman" w:eastAsia="Times New Roman" w:hAnsi="Times New Roman" w:cs="Times New Roman"/>
      <w:sz w:val="20"/>
      <w:szCs w:val="20"/>
      <w:lang w:val="bg-B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3131">
    <w:name w:val="Table Web 3131"/>
    <w:basedOn w:val="TableNormal"/>
    <w:next w:val="TableWeb3"/>
    <w:uiPriority w:val="99"/>
    <w:rsid w:val="00492280"/>
    <w:pPr>
      <w:spacing w:after="0" w:line="240" w:lineRule="auto"/>
    </w:pPr>
    <w:rPr>
      <w:rFonts w:ascii="Times New Roman" w:eastAsia="Times New Roman" w:hAnsi="Times New Roman" w:cs="Times New Roman"/>
      <w:sz w:val="20"/>
      <w:szCs w:val="20"/>
      <w:lang w:val="bg-BG" w:eastAsia="bg-BG"/>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TableGrid11121">
    <w:name w:val="Table Grid11121"/>
    <w:uiPriority w:val="99"/>
    <w:rsid w:val="00492280"/>
    <w:pPr>
      <w:spacing w:after="0" w:line="240" w:lineRule="auto"/>
    </w:pPr>
    <w:rPr>
      <w:rFonts w:ascii="Times New Roman" w:eastAsia="Times New Roman" w:hAnsi="Times New Roman" w:cs="Times New Roman"/>
      <w:sz w:val="20"/>
      <w:szCs w:val="20"/>
      <w:lang w:val="bg-BG" w:eastAsia="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1">
    <w:name w:val="Table Grid21121"/>
    <w:uiPriority w:val="99"/>
    <w:rsid w:val="00492280"/>
    <w:pPr>
      <w:spacing w:after="0" w:line="240" w:lineRule="auto"/>
    </w:pPr>
    <w:rPr>
      <w:rFonts w:ascii="Calibri" w:eastAsia="Calibri" w:hAnsi="Calibri" w:cs="Times New Roman"/>
      <w:sz w:val="20"/>
      <w:szCs w:val="20"/>
      <w:lang w:val="bg-BG" w:eastAsia="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32">
    <w:name w:val="No List3132"/>
    <w:next w:val="NoList"/>
    <w:uiPriority w:val="99"/>
    <w:semiHidden/>
    <w:unhideWhenUsed/>
    <w:rsid w:val="00492280"/>
  </w:style>
  <w:style w:type="table" w:customStyle="1" w:styleId="TableGrid421">
    <w:name w:val="Table Grid421"/>
    <w:basedOn w:val="TableNormal"/>
    <w:next w:val="TableGrid"/>
    <w:uiPriority w:val="99"/>
    <w:rsid w:val="0049228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3221">
    <w:name w:val="Table Web 3221"/>
    <w:basedOn w:val="TableNormal"/>
    <w:next w:val="TableWeb3"/>
    <w:uiPriority w:val="99"/>
    <w:rsid w:val="00492280"/>
    <w:pPr>
      <w:spacing w:after="0" w:line="240" w:lineRule="auto"/>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TableGrid2221">
    <w:name w:val="Table Grid2221"/>
    <w:uiPriority w:val="99"/>
    <w:rsid w:val="00492280"/>
    <w:pPr>
      <w:spacing w:after="0" w:line="240" w:lineRule="auto"/>
    </w:pPr>
    <w:rPr>
      <w:rFonts w:ascii="Calibri" w:eastAsia="Calibri" w:hAnsi="Calibri" w:cs="Times New Roman"/>
      <w:sz w:val="20"/>
      <w:szCs w:val="20"/>
      <w:lang w:val="bg-BG" w:eastAsia="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1">
    <w:name w:val="Table Grid3121"/>
    <w:uiPriority w:val="99"/>
    <w:rsid w:val="00492280"/>
    <w:pPr>
      <w:spacing w:after="0" w:line="240" w:lineRule="auto"/>
    </w:pPr>
    <w:rPr>
      <w:rFonts w:ascii="Times New Roman" w:eastAsia="Times New Roman" w:hAnsi="Times New Roman" w:cs="Times New Roman"/>
      <w:sz w:val="20"/>
      <w:szCs w:val="20"/>
      <w:lang w:val="bg-BG" w:eastAsia="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12">
    <w:name w:val="No List111112"/>
    <w:next w:val="NoList"/>
    <w:uiPriority w:val="99"/>
    <w:semiHidden/>
    <w:unhideWhenUsed/>
    <w:rsid w:val="00492280"/>
  </w:style>
  <w:style w:type="numbering" w:customStyle="1" w:styleId="NoList21112">
    <w:name w:val="No List21112"/>
    <w:next w:val="NoList"/>
    <w:uiPriority w:val="99"/>
    <w:semiHidden/>
    <w:unhideWhenUsed/>
    <w:rsid w:val="00492280"/>
  </w:style>
  <w:style w:type="numbering" w:customStyle="1" w:styleId="NoList31112">
    <w:name w:val="No List31112"/>
    <w:next w:val="NoList"/>
    <w:semiHidden/>
    <w:rsid w:val="00492280"/>
  </w:style>
  <w:style w:type="numbering" w:customStyle="1" w:styleId="NoList4112">
    <w:name w:val="No List4112"/>
    <w:next w:val="NoList"/>
    <w:uiPriority w:val="99"/>
    <w:semiHidden/>
    <w:unhideWhenUsed/>
    <w:rsid w:val="00492280"/>
  </w:style>
  <w:style w:type="table" w:customStyle="1" w:styleId="TableWeb31121">
    <w:name w:val="Table Web 31121"/>
    <w:basedOn w:val="TableNormal"/>
    <w:next w:val="TableWeb3"/>
    <w:uiPriority w:val="99"/>
    <w:rsid w:val="00492280"/>
    <w:pPr>
      <w:spacing w:after="0" w:line="240" w:lineRule="auto"/>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TableGrid521">
    <w:name w:val="Table Grid521"/>
    <w:basedOn w:val="TableNormal"/>
    <w:next w:val="TableGrid"/>
    <w:uiPriority w:val="59"/>
    <w:rsid w:val="0049228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2">
    <w:name w:val="No List512"/>
    <w:next w:val="NoList"/>
    <w:uiPriority w:val="99"/>
    <w:semiHidden/>
    <w:unhideWhenUsed/>
    <w:rsid w:val="00492280"/>
  </w:style>
  <w:style w:type="numbering" w:customStyle="1" w:styleId="NoList1412">
    <w:name w:val="No List1412"/>
    <w:next w:val="NoList"/>
    <w:semiHidden/>
    <w:rsid w:val="00492280"/>
  </w:style>
  <w:style w:type="table" w:customStyle="1" w:styleId="TableGrid611">
    <w:name w:val="Table Grid611"/>
    <w:basedOn w:val="TableNormal"/>
    <w:next w:val="TableGrid"/>
    <w:rsid w:val="00492280"/>
    <w:pPr>
      <w:spacing w:after="0" w:line="240" w:lineRule="auto"/>
    </w:pPr>
    <w:rPr>
      <w:rFonts w:ascii="Times New Roman" w:eastAsia="Times New Roman" w:hAnsi="Times New Roman" w:cs="Times New Roman"/>
      <w:sz w:val="20"/>
      <w:szCs w:val="20"/>
      <w:lang w:val="bg-B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3311">
    <w:name w:val="Table Web 3311"/>
    <w:basedOn w:val="TableNormal"/>
    <w:next w:val="TableWeb3"/>
    <w:rsid w:val="00492280"/>
    <w:pPr>
      <w:spacing w:after="0" w:line="240" w:lineRule="auto"/>
    </w:pPr>
    <w:rPr>
      <w:rFonts w:ascii="Times New Roman" w:eastAsia="Times New Roman" w:hAnsi="Times New Roman" w:cs="Times New Roman"/>
      <w:sz w:val="20"/>
      <w:szCs w:val="20"/>
      <w:lang w:val="bg-BG" w:eastAsia="bg-BG"/>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1311">
    <w:name w:val="Table Grid1311"/>
    <w:basedOn w:val="TableNormal"/>
    <w:next w:val="TableGrid"/>
    <w:rsid w:val="00492280"/>
    <w:pPr>
      <w:spacing w:after="0" w:line="240" w:lineRule="auto"/>
    </w:pPr>
    <w:rPr>
      <w:rFonts w:ascii="Times New Roman" w:eastAsia="Times New Roman" w:hAnsi="Times New Roman" w:cs="Times New Roman"/>
      <w:sz w:val="20"/>
      <w:szCs w:val="20"/>
      <w:lang w:val="bg-B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12">
    <w:name w:val="No List2212"/>
    <w:next w:val="NoList"/>
    <w:uiPriority w:val="99"/>
    <w:semiHidden/>
    <w:unhideWhenUsed/>
    <w:rsid w:val="00492280"/>
  </w:style>
  <w:style w:type="table" w:customStyle="1" w:styleId="TableGrid2311">
    <w:name w:val="Table Grid2311"/>
    <w:basedOn w:val="TableNormal"/>
    <w:next w:val="TableGrid"/>
    <w:uiPriority w:val="99"/>
    <w:rsid w:val="00492280"/>
    <w:pPr>
      <w:spacing w:after="0" w:line="240" w:lineRule="auto"/>
    </w:pPr>
    <w:rPr>
      <w:rFonts w:ascii="Times New Roman" w:eastAsia="Times New Roman" w:hAnsi="Times New Roman" w:cs="Times New Roman"/>
      <w:sz w:val="20"/>
      <w:szCs w:val="20"/>
      <w:lang w:val="bg-B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31211">
    <w:name w:val="Table Web 31211"/>
    <w:basedOn w:val="TableNormal"/>
    <w:next w:val="TableWeb3"/>
    <w:uiPriority w:val="99"/>
    <w:rsid w:val="00492280"/>
    <w:pPr>
      <w:spacing w:after="0" w:line="240" w:lineRule="auto"/>
    </w:pPr>
    <w:rPr>
      <w:rFonts w:ascii="Times New Roman" w:eastAsia="Times New Roman" w:hAnsi="Times New Roman" w:cs="Times New Roman"/>
      <w:sz w:val="20"/>
      <w:szCs w:val="20"/>
      <w:lang w:val="bg-BG" w:eastAsia="bg-BG"/>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TableGrid11211">
    <w:name w:val="Table Grid11211"/>
    <w:uiPriority w:val="99"/>
    <w:rsid w:val="00492280"/>
    <w:pPr>
      <w:spacing w:after="0" w:line="240" w:lineRule="auto"/>
    </w:pPr>
    <w:rPr>
      <w:rFonts w:ascii="Times New Roman" w:eastAsia="Times New Roman" w:hAnsi="Times New Roman" w:cs="Times New Roman"/>
      <w:sz w:val="20"/>
      <w:szCs w:val="20"/>
      <w:lang w:val="bg-BG" w:eastAsia="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11">
    <w:name w:val="Table Grid21211"/>
    <w:uiPriority w:val="99"/>
    <w:rsid w:val="00492280"/>
    <w:pPr>
      <w:spacing w:after="0" w:line="240" w:lineRule="auto"/>
    </w:pPr>
    <w:rPr>
      <w:rFonts w:ascii="Calibri" w:eastAsia="Calibri" w:hAnsi="Calibri" w:cs="Times New Roman"/>
      <w:sz w:val="20"/>
      <w:szCs w:val="20"/>
      <w:lang w:val="bg-BG" w:eastAsia="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1">
    <w:name w:val="Table Grid3211"/>
    <w:uiPriority w:val="99"/>
    <w:rsid w:val="00492280"/>
    <w:pPr>
      <w:spacing w:after="0" w:line="240" w:lineRule="auto"/>
    </w:pPr>
    <w:rPr>
      <w:rFonts w:ascii="Times New Roman" w:eastAsia="Times New Roman" w:hAnsi="Times New Roman" w:cs="Times New Roman"/>
      <w:sz w:val="20"/>
      <w:szCs w:val="20"/>
      <w:lang w:val="bg-BG" w:eastAsia="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12">
    <w:name w:val="No List3212"/>
    <w:next w:val="NoList"/>
    <w:uiPriority w:val="99"/>
    <w:semiHidden/>
    <w:unhideWhenUsed/>
    <w:rsid w:val="00492280"/>
  </w:style>
  <w:style w:type="table" w:customStyle="1" w:styleId="TableGrid4111">
    <w:name w:val="Table Grid4111"/>
    <w:basedOn w:val="TableNormal"/>
    <w:next w:val="TableGrid"/>
    <w:uiPriority w:val="99"/>
    <w:rsid w:val="0049228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32111">
    <w:name w:val="Table Web 32111"/>
    <w:basedOn w:val="TableNormal"/>
    <w:next w:val="TableWeb3"/>
    <w:uiPriority w:val="99"/>
    <w:rsid w:val="00492280"/>
    <w:pPr>
      <w:spacing w:after="0" w:line="240" w:lineRule="auto"/>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TableGrid12111">
    <w:name w:val="Table Grid12111"/>
    <w:rsid w:val="00492280"/>
    <w:pPr>
      <w:spacing w:after="0" w:line="240" w:lineRule="auto"/>
    </w:pPr>
    <w:rPr>
      <w:rFonts w:ascii="Times New Roman" w:eastAsia="Times New Roman" w:hAnsi="Times New Roman" w:cs="Times New Roman"/>
      <w:sz w:val="20"/>
      <w:szCs w:val="20"/>
      <w:lang w:val="bg-BG" w:eastAsia="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1">
    <w:name w:val="Table Grid22111"/>
    <w:uiPriority w:val="99"/>
    <w:rsid w:val="00492280"/>
    <w:pPr>
      <w:spacing w:after="0" w:line="240" w:lineRule="auto"/>
    </w:pPr>
    <w:rPr>
      <w:rFonts w:ascii="Calibri" w:eastAsia="Calibri" w:hAnsi="Calibri" w:cs="Times New Roman"/>
      <w:sz w:val="20"/>
      <w:szCs w:val="20"/>
      <w:lang w:val="bg-BG" w:eastAsia="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1">
    <w:name w:val="Table Grid31111"/>
    <w:uiPriority w:val="99"/>
    <w:rsid w:val="00492280"/>
    <w:pPr>
      <w:spacing w:after="0" w:line="240" w:lineRule="auto"/>
    </w:pPr>
    <w:rPr>
      <w:rFonts w:ascii="Times New Roman" w:eastAsia="Times New Roman" w:hAnsi="Times New Roman" w:cs="Times New Roman"/>
      <w:sz w:val="20"/>
      <w:szCs w:val="20"/>
      <w:lang w:val="bg-BG" w:eastAsia="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12">
    <w:name w:val="No List11212"/>
    <w:next w:val="NoList"/>
    <w:uiPriority w:val="99"/>
    <w:semiHidden/>
    <w:unhideWhenUsed/>
    <w:rsid w:val="00492280"/>
  </w:style>
  <w:style w:type="numbering" w:customStyle="1" w:styleId="NoList21212">
    <w:name w:val="No List21212"/>
    <w:next w:val="NoList"/>
    <w:uiPriority w:val="99"/>
    <w:semiHidden/>
    <w:unhideWhenUsed/>
    <w:rsid w:val="00492280"/>
  </w:style>
  <w:style w:type="numbering" w:customStyle="1" w:styleId="NoList31212">
    <w:name w:val="No List31212"/>
    <w:next w:val="NoList"/>
    <w:semiHidden/>
    <w:rsid w:val="00492280"/>
  </w:style>
  <w:style w:type="numbering" w:customStyle="1" w:styleId="NoList4212">
    <w:name w:val="No List4212"/>
    <w:next w:val="NoList"/>
    <w:uiPriority w:val="99"/>
    <w:semiHidden/>
    <w:unhideWhenUsed/>
    <w:rsid w:val="00492280"/>
  </w:style>
  <w:style w:type="table" w:customStyle="1" w:styleId="TableWeb311111">
    <w:name w:val="Table Web 311111"/>
    <w:basedOn w:val="TableNormal"/>
    <w:next w:val="TableWeb3"/>
    <w:uiPriority w:val="99"/>
    <w:rsid w:val="00492280"/>
    <w:pPr>
      <w:spacing w:after="0" w:line="240" w:lineRule="auto"/>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TableGrid111111">
    <w:name w:val="Table Grid111111"/>
    <w:uiPriority w:val="99"/>
    <w:rsid w:val="00492280"/>
    <w:pPr>
      <w:spacing w:after="0" w:line="240" w:lineRule="auto"/>
    </w:pPr>
    <w:rPr>
      <w:rFonts w:ascii="Times New Roman" w:eastAsia="Times New Roman" w:hAnsi="Times New Roman" w:cs="Times New Roman"/>
      <w:sz w:val="20"/>
      <w:szCs w:val="20"/>
      <w:lang w:val="bg-BG" w:eastAsia="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1">
    <w:name w:val="Table Grid211111"/>
    <w:uiPriority w:val="99"/>
    <w:rsid w:val="00492280"/>
    <w:pPr>
      <w:spacing w:after="0" w:line="240" w:lineRule="auto"/>
    </w:pPr>
    <w:rPr>
      <w:rFonts w:ascii="Calibri" w:eastAsia="Calibri" w:hAnsi="Calibri" w:cs="Times New Roman"/>
      <w:sz w:val="20"/>
      <w:szCs w:val="20"/>
      <w:lang w:val="bg-BG" w:eastAsia="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1">
    <w:name w:val="Table Grid5111"/>
    <w:basedOn w:val="TableNormal"/>
    <w:next w:val="TableGrid"/>
    <w:uiPriority w:val="59"/>
    <w:rsid w:val="0049228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1">
    <w:name w:val="Table Grid711"/>
    <w:basedOn w:val="TableNormal"/>
    <w:next w:val="TableGrid"/>
    <w:rsid w:val="0049228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3411">
    <w:name w:val="Table Web 3411"/>
    <w:basedOn w:val="TableNormal"/>
    <w:next w:val="TableWeb3"/>
    <w:uiPriority w:val="99"/>
    <w:rsid w:val="00492280"/>
    <w:pPr>
      <w:spacing w:after="0" w:line="240" w:lineRule="auto"/>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TableGrid2411">
    <w:name w:val="Table Grid2411"/>
    <w:uiPriority w:val="99"/>
    <w:rsid w:val="00492280"/>
    <w:pPr>
      <w:spacing w:after="0" w:line="240" w:lineRule="auto"/>
    </w:pPr>
    <w:rPr>
      <w:rFonts w:ascii="Calibri" w:eastAsia="Calibri" w:hAnsi="Calibri" w:cs="Times New Roman"/>
      <w:sz w:val="20"/>
      <w:szCs w:val="20"/>
      <w:lang w:val="bg-BG" w:eastAsia="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11">
    <w:name w:val="Table Grid11311"/>
    <w:uiPriority w:val="99"/>
    <w:rsid w:val="00492280"/>
    <w:pPr>
      <w:spacing w:after="0" w:line="240" w:lineRule="auto"/>
    </w:pPr>
    <w:rPr>
      <w:rFonts w:ascii="Times New Roman" w:eastAsia="Times New Roman" w:hAnsi="Times New Roman" w:cs="Times New Roman"/>
      <w:sz w:val="20"/>
      <w:szCs w:val="20"/>
      <w:lang w:val="bg-BG" w:eastAsia="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11">
    <w:name w:val="Table Grid21311"/>
    <w:uiPriority w:val="99"/>
    <w:rsid w:val="00492280"/>
    <w:pPr>
      <w:spacing w:after="0" w:line="240" w:lineRule="auto"/>
    </w:pPr>
    <w:rPr>
      <w:rFonts w:ascii="Calibri" w:eastAsia="Calibri" w:hAnsi="Calibri" w:cs="Times New Roman"/>
      <w:sz w:val="20"/>
      <w:szCs w:val="20"/>
      <w:lang w:val="bg-BG" w:eastAsia="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2">
    <w:name w:val="No List72"/>
    <w:next w:val="NoList"/>
    <w:uiPriority w:val="99"/>
    <w:semiHidden/>
    <w:unhideWhenUsed/>
    <w:rsid w:val="00492280"/>
  </w:style>
  <w:style w:type="numbering" w:customStyle="1" w:styleId="NoList162">
    <w:name w:val="No List162"/>
    <w:next w:val="NoList"/>
    <w:uiPriority w:val="99"/>
    <w:semiHidden/>
    <w:unhideWhenUsed/>
    <w:rsid w:val="00492280"/>
  </w:style>
  <w:style w:type="numbering" w:customStyle="1" w:styleId="NoList1142">
    <w:name w:val="No List1142"/>
    <w:next w:val="NoList"/>
    <w:uiPriority w:val="99"/>
    <w:semiHidden/>
    <w:rsid w:val="00492280"/>
  </w:style>
  <w:style w:type="table" w:customStyle="1" w:styleId="TableGrid91">
    <w:name w:val="Table Grid91"/>
    <w:basedOn w:val="TableNormal"/>
    <w:next w:val="TableGrid"/>
    <w:rsid w:val="00492280"/>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
    <w:name w:val="Table Grid151"/>
    <w:basedOn w:val="TableNormal"/>
    <w:next w:val="TableGrid"/>
    <w:rsid w:val="0049228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22">
    <w:name w:val="No List11122"/>
    <w:next w:val="NoList"/>
    <w:uiPriority w:val="99"/>
    <w:semiHidden/>
    <w:unhideWhenUsed/>
    <w:rsid w:val="00492280"/>
  </w:style>
  <w:style w:type="numbering" w:customStyle="1" w:styleId="NoList242">
    <w:name w:val="No List242"/>
    <w:next w:val="NoList"/>
    <w:uiPriority w:val="99"/>
    <w:semiHidden/>
    <w:unhideWhenUsed/>
    <w:rsid w:val="00492280"/>
  </w:style>
  <w:style w:type="numbering" w:customStyle="1" w:styleId="NoList342">
    <w:name w:val="No List342"/>
    <w:next w:val="NoList"/>
    <w:semiHidden/>
    <w:unhideWhenUsed/>
    <w:rsid w:val="00492280"/>
  </w:style>
  <w:style w:type="table" w:customStyle="1" w:styleId="TableGrid1151">
    <w:name w:val="Table Grid1151"/>
    <w:basedOn w:val="TableNormal"/>
    <w:next w:val="TableGrid"/>
    <w:rsid w:val="00492280"/>
    <w:pPr>
      <w:spacing w:after="0" w:line="240" w:lineRule="auto"/>
      <w:jc w:val="both"/>
    </w:pPr>
    <w:rPr>
      <w:rFonts w:ascii="Calibri" w:eastAsia="Calibri" w:hAnsi="Calibri" w:cs="Times New Roman"/>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1">
    <w:name w:val="Table Grid261"/>
    <w:basedOn w:val="TableNormal"/>
    <w:next w:val="TableGrid"/>
    <w:rsid w:val="00492280"/>
    <w:pPr>
      <w:spacing w:after="0" w:line="240" w:lineRule="auto"/>
    </w:pPr>
    <w:rPr>
      <w:rFonts w:ascii="Verdana" w:eastAsia="Times New Roman" w:hAnsi="Verdana" w:cs="Times New Roman"/>
      <w:sz w:val="20"/>
      <w:szCs w:val="20"/>
      <w:lang w:val="bg-B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22">
    <w:name w:val="No List1222"/>
    <w:next w:val="NoList"/>
    <w:semiHidden/>
    <w:rsid w:val="00492280"/>
  </w:style>
  <w:style w:type="numbering" w:customStyle="1" w:styleId="NoList442">
    <w:name w:val="No List442"/>
    <w:next w:val="NoList"/>
    <w:uiPriority w:val="99"/>
    <w:semiHidden/>
    <w:unhideWhenUsed/>
    <w:rsid w:val="00492280"/>
  </w:style>
  <w:style w:type="numbering" w:customStyle="1" w:styleId="NoList1322">
    <w:name w:val="No List1322"/>
    <w:next w:val="NoList"/>
    <w:semiHidden/>
    <w:rsid w:val="00492280"/>
  </w:style>
  <w:style w:type="table" w:customStyle="1" w:styleId="TableGrid341">
    <w:name w:val="Table Grid341"/>
    <w:basedOn w:val="TableNormal"/>
    <w:next w:val="TableGrid"/>
    <w:uiPriority w:val="99"/>
    <w:rsid w:val="00492280"/>
    <w:pPr>
      <w:spacing w:after="0" w:line="240" w:lineRule="auto"/>
    </w:pPr>
    <w:rPr>
      <w:rFonts w:ascii="Times New Roman" w:eastAsia="Times New Roman" w:hAnsi="Times New Roman" w:cs="Times New Roman"/>
      <w:sz w:val="20"/>
      <w:szCs w:val="20"/>
      <w:lang w:val="bg-B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361">
    <w:name w:val="Table Web 361"/>
    <w:basedOn w:val="TableNormal"/>
    <w:next w:val="TableWeb3"/>
    <w:rsid w:val="00492280"/>
    <w:pPr>
      <w:spacing w:after="0" w:line="240" w:lineRule="auto"/>
    </w:pPr>
    <w:rPr>
      <w:rFonts w:ascii="Times New Roman" w:eastAsia="Times New Roman" w:hAnsi="Times New Roman" w:cs="Times New Roman"/>
      <w:sz w:val="20"/>
      <w:szCs w:val="20"/>
      <w:lang w:val="bg-BG" w:eastAsia="bg-BG"/>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1231">
    <w:name w:val="Table Grid1231"/>
    <w:basedOn w:val="TableNormal"/>
    <w:next w:val="TableGrid"/>
    <w:rsid w:val="00492280"/>
    <w:pPr>
      <w:spacing w:after="0" w:line="240" w:lineRule="auto"/>
    </w:pPr>
    <w:rPr>
      <w:rFonts w:ascii="Times New Roman" w:eastAsia="Times New Roman" w:hAnsi="Times New Roman" w:cs="Times New Roman"/>
      <w:sz w:val="20"/>
      <w:szCs w:val="20"/>
      <w:lang w:val="bg-B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42">
    <w:name w:val="No List2142"/>
    <w:next w:val="NoList"/>
    <w:uiPriority w:val="99"/>
    <w:semiHidden/>
    <w:unhideWhenUsed/>
    <w:rsid w:val="00492280"/>
  </w:style>
  <w:style w:type="table" w:customStyle="1" w:styleId="TableGrid2151">
    <w:name w:val="Table Grid2151"/>
    <w:basedOn w:val="TableNormal"/>
    <w:next w:val="TableGrid"/>
    <w:uiPriority w:val="99"/>
    <w:rsid w:val="00492280"/>
    <w:pPr>
      <w:spacing w:after="0" w:line="240" w:lineRule="auto"/>
    </w:pPr>
    <w:rPr>
      <w:rFonts w:ascii="Times New Roman" w:eastAsia="Times New Roman" w:hAnsi="Times New Roman" w:cs="Times New Roman"/>
      <w:sz w:val="20"/>
      <w:szCs w:val="20"/>
      <w:lang w:val="bg-B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3141">
    <w:name w:val="Table Web 3141"/>
    <w:basedOn w:val="TableNormal"/>
    <w:next w:val="TableWeb3"/>
    <w:uiPriority w:val="99"/>
    <w:rsid w:val="00492280"/>
    <w:pPr>
      <w:spacing w:after="0" w:line="240" w:lineRule="auto"/>
    </w:pPr>
    <w:rPr>
      <w:rFonts w:ascii="Times New Roman" w:eastAsia="Times New Roman" w:hAnsi="Times New Roman" w:cs="Times New Roman"/>
      <w:sz w:val="20"/>
      <w:szCs w:val="20"/>
      <w:lang w:val="bg-BG" w:eastAsia="bg-BG"/>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TableGrid11131">
    <w:name w:val="Table Grid11131"/>
    <w:uiPriority w:val="99"/>
    <w:rsid w:val="00492280"/>
    <w:pPr>
      <w:spacing w:after="0" w:line="240" w:lineRule="auto"/>
    </w:pPr>
    <w:rPr>
      <w:rFonts w:ascii="Times New Roman" w:eastAsia="Times New Roman" w:hAnsi="Times New Roman" w:cs="Times New Roman"/>
      <w:sz w:val="20"/>
      <w:szCs w:val="20"/>
      <w:lang w:val="bg-BG" w:eastAsia="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31">
    <w:name w:val="Table Grid21131"/>
    <w:uiPriority w:val="99"/>
    <w:rsid w:val="00492280"/>
    <w:pPr>
      <w:spacing w:after="0" w:line="240" w:lineRule="auto"/>
    </w:pPr>
    <w:rPr>
      <w:rFonts w:ascii="Calibri" w:eastAsia="Calibri" w:hAnsi="Calibri" w:cs="Times New Roman"/>
      <w:sz w:val="20"/>
      <w:szCs w:val="20"/>
      <w:lang w:val="bg-BG" w:eastAsia="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42">
    <w:name w:val="No List3142"/>
    <w:next w:val="NoList"/>
    <w:uiPriority w:val="99"/>
    <w:semiHidden/>
    <w:unhideWhenUsed/>
    <w:rsid w:val="00492280"/>
  </w:style>
  <w:style w:type="table" w:customStyle="1" w:styleId="TableGrid431">
    <w:name w:val="Table Grid431"/>
    <w:basedOn w:val="TableNormal"/>
    <w:next w:val="TableGrid"/>
    <w:uiPriority w:val="99"/>
    <w:rsid w:val="0049228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3231">
    <w:name w:val="Table Web 3231"/>
    <w:basedOn w:val="TableNormal"/>
    <w:next w:val="TableWeb3"/>
    <w:uiPriority w:val="99"/>
    <w:rsid w:val="00492280"/>
    <w:pPr>
      <w:spacing w:after="0" w:line="240" w:lineRule="auto"/>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TableGrid2231">
    <w:name w:val="Table Grid2231"/>
    <w:uiPriority w:val="99"/>
    <w:rsid w:val="00492280"/>
    <w:pPr>
      <w:spacing w:after="0" w:line="240" w:lineRule="auto"/>
    </w:pPr>
    <w:rPr>
      <w:rFonts w:ascii="Calibri" w:eastAsia="Calibri" w:hAnsi="Calibri" w:cs="Times New Roman"/>
      <w:sz w:val="20"/>
      <w:szCs w:val="20"/>
      <w:lang w:val="bg-BG" w:eastAsia="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1">
    <w:name w:val="Table Grid3131"/>
    <w:uiPriority w:val="99"/>
    <w:rsid w:val="00492280"/>
    <w:pPr>
      <w:spacing w:after="0" w:line="240" w:lineRule="auto"/>
    </w:pPr>
    <w:rPr>
      <w:rFonts w:ascii="Times New Roman" w:eastAsia="Times New Roman" w:hAnsi="Times New Roman" w:cs="Times New Roman"/>
      <w:sz w:val="20"/>
      <w:szCs w:val="20"/>
      <w:lang w:val="bg-BG" w:eastAsia="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112">
    <w:name w:val="No List1111112"/>
    <w:next w:val="NoList"/>
    <w:uiPriority w:val="99"/>
    <w:semiHidden/>
    <w:unhideWhenUsed/>
    <w:rsid w:val="00492280"/>
  </w:style>
  <w:style w:type="numbering" w:customStyle="1" w:styleId="NoList21122">
    <w:name w:val="No List21122"/>
    <w:next w:val="NoList"/>
    <w:uiPriority w:val="99"/>
    <w:semiHidden/>
    <w:unhideWhenUsed/>
    <w:rsid w:val="00492280"/>
  </w:style>
  <w:style w:type="numbering" w:customStyle="1" w:styleId="NoList31122">
    <w:name w:val="No List31122"/>
    <w:next w:val="NoList"/>
    <w:semiHidden/>
    <w:rsid w:val="00492280"/>
  </w:style>
  <w:style w:type="numbering" w:customStyle="1" w:styleId="NoList4122">
    <w:name w:val="No List4122"/>
    <w:next w:val="NoList"/>
    <w:uiPriority w:val="99"/>
    <w:semiHidden/>
    <w:unhideWhenUsed/>
    <w:rsid w:val="00492280"/>
  </w:style>
  <w:style w:type="table" w:customStyle="1" w:styleId="TableWeb31131">
    <w:name w:val="Table Web 31131"/>
    <w:basedOn w:val="TableNormal"/>
    <w:next w:val="TableWeb3"/>
    <w:uiPriority w:val="99"/>
    <w:rsid w:val="00492280"/>
    <w:pPr>
      <w:spacing w:after="0" w:line="240" w:lineRule="auto"/>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TableGrid531">
    <w:name w:val="Table Grid531"/>
    <w:basedOn w:val="TableNormal"/>
    <w:next w:val="TableGrid"/>
    <w:uiPriority w:val="59"/>
    <w:rsid w:val="0049228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2">
    <w:name w:val="No List522"/>
    <w:next w:val="NoList"/>
    <w:uiPriority w:val="99"/>
    <w:semiHidden/>
    <w:unhideWhenUsed/>
    <w:rsid w:val="00492280"/>
  </w:style>
  <w:style w:type="numbering" w:customStyle="1" w:styleId="NoList1422">
    <w:name w:val="No List1422"/>
    <w:next w:val="NoList"/>
    <w:semiHidden/>
    <w:rsid w:val="00492280"/>
  </w:style>
  <w:style w:type="table" w:customStyle="1" w:styleId="TableGrid621">
    <w:name w:val="Table Grid621"/>
    <w:basedOn w:val="TableNormal"/>
    <w:next w:val="TableGrid"/>
    <w:rsid w:val="00492280"/>
    <w:pPr>
      <w:spacing w:after="0" w:line="240" w:lineRule="auto"/>
    </w:pPr>
    <w:rPr>
      <w:rFonts w:ascii="Times New Roman" w:eastAsia="Times New Roman" w:hAnsi="Times New Roman" w:cs="Times New Roman"/>
      <w:sz w:val="20"/>
      <w:szCs w:val="20"/>
      <w:lang w:val="bg-B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3321">
    <w:name w:val="Table Web 3321"/>
    <w:basedOn w:val="TableNormal"/>
    <w:next w:val="TableWeb3"/>
    <w:rsid w:val="00492280"/>
    <w:pPr>
      <w:spacing w:after="0" w:line="240" w:lineRule="auto"/>
    </w:pPr>
    <w:rPr>
      <w:rFonts w:ascii="Times New Roman" w:eastAsia="Times New Roman" w:hAnsi="Times New Roman" w:cs="Times New Roman"/>
      <w:sz w:val="20"/>
      <w:szCs w:val="20"/>
      <w:lang w:val="bg-BG" w:eastAsia="bg-BG"/>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1321">
    <w:name w:val="Table Grid1321"/>
    <w:basedOn w:val="TableNormal"/>
    <w:next w:val="TableGrid"/>
    <w:rsid w:val="00492280"/>
    <w:pPr>
      <w:spacing w:after="0" w:line="240" w:lineRule="auto"/>
    </w:pPr>
    <w:rPr>
      <w:rFonts w:ascii="Times New Roman" w:eastAsia="Times New Roman" w:hAnsi="Times New Roman" w:cs="Times New Roman"/>
      <w:sz w:val="20"/>
      <w:szCs w:val="20"/>
      <w:lang w:val="bg-B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22">
    <w:name w:val="No List2222"/>
    <w:next w:val="NoList"/>
    <w:uiPriority w:val="99"/>
    <w:semiHidden/>
    <w:unhideWhenUsed/>
    <w:rsid w:val="00492280"/>
  </w:style>
  <w:style w:type="table" w:customStyle="1" w:styleId="TableGrid2321">
    <w:name w:val="Table Grid2321"/>
    <w:basedOn w:val="TableNormal"/>
    <w:next w:val="TableGrid"/>
    <w:uiPriority w:val="99"/>
    <w:rsid w:val="00492280"/>
    <w:pPr>
      <w:spacing w:after="0" w:line="240" w:lineRule="auto"/>
    </w:pPr>
    <w:rPr>
      <w:rFonts w:ascii="Times New Roman" w:eastAsia="Times New Roman" w:hAnsi="Times New Roman" w:cs="Times New Roman"/>
      <w:sz w:val="20"/>
      <w:szCs w:val="20"/>
      <w:lang w:val="bg-B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31221">
    <w:name w:val="Table Web 31221"/>
    <w:basedOn w:val="TableNormal"/>
    <w:next w:val="TableWeb3"/>
    <w:uiPriority w:val="99"/>
    <w:rsid w:val="00492280"/>
    <w:pPr>
      <w:spacing w:after="0" w:line="240" w:lineRule="auto"/>
    </w:pPr>
    <w:rPr>
      <w:rFonts w:ascii="Times New Roman" w:eastAsia="Times New Roman" w:hAnsi="Times New Roman" w:cs="Times New Roman"/>
      <w:sz w:val="20"/>
      <w:szCs w:val="20"/>
      <w:lang w:val="bg-BG" w:eastAsia="bg-BG"/>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TableGrid11221">
    <w:name w:val="Table Grid11221"/>
    <w:uiPriority w:val="99"/>
    <w:rsid w:val="00492280"/>
    <w:pPr>
      <w:spacing w:after="0" w:line="240" w:lineRule="auto"/>
    </w:pPr>
    <w:rPr>
      <w:rFonts w:ascii="Times New Roman" w:eastAsia="Times New Roman" w:hAnsi="Times New Roman" w:cs="Times New Roman"/>
      <w:sz w:val="20"/>
      <w:szCs w:val="20"/>
      <w:lang w:val="bg-BG" w:eastAsia="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21">
    <w:name w:val="Table Grid21221"/>
    <w:uiPriority w:val="99"/>
    <w:rsid w:val="00492280"/>
    <w:pPr>
      <w:spacing w:after="0" w:line="240" w:lineRule="auto"/>
    </w:pPr>
    <w:rPr>
      <w:rFonts w:ascii="Calibri" w:eastAsia="Calibri" w:hAnsi="Calibri" w:cs="Times New Roman"/>
      <w:sz w:val="20"/>
      <w:szCs w:val="20"/>
      <w:lang w:val="bg-BG" w:eastAsia="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21">
    <w:name w:val="Table Grid3221"/>
    <w:uiPriority w:val="99"/>
    <w:rsid w:val="00492280"/>
    <w:pPr>
      <w:spacing w:after="0" w:line="240" w:lineRule="auto"/>
    </w:pPr>
    <w:rPr>
      <w:rFonts w:ascii="Times New Roman" w:eastAsia="Times New Roman" w:hAnsi="Times New Roman" w:cs="Times New Roman"/>
      <w:sz w:val="20"/>
      <w:szCs w:val="20"/>
      <w:lang w:val="bg-BG" w:eastAsia="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22">
    <w:name w:val="No List3222"/>
    <w:next w:val="NoList"/>
    <w:uiPriority w:val="99"/>
    <w:semiHidden/>
    <w:unhideWhenUsed/>
    <w:rsid w:val="00492280"/>
  </w:style>
  <w:style w:type="table" w:customStyle="1" w:styleId="TableGrid4121">
    <w:name w:val="Table Grid4121"/>
    <w:basedOn w:val="TableNormal"/>
    <w:next w:val="TableGrid"/>
    <w:uiPriority w:val="99"/>
    <w:rsid w:val="0049228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32121">
    <w:name w:val="Table Web 32121"/>
    <w:basedOn w:val="TableNormal"/>
    <w:next w:val="TableWeb3"/>
    <w:uiPriority w:val="99"/>
    <w:rsid w:val="00492280"/>
    <w:pPr>
      <w:spacing w:after="0" w:line="240" w:lineRule="auto"/>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TableGrid12121">
    <w:name w:val="Table Grid12121"/>
    <w:rsid w:val="00492280"/>
    <w:pPr>
      <w:spacing w:after="0" w:line="240" w:lineRule="auto"/>
    </w:pPr>
    <w:rPr>
      <w:rFonts w:ascii="Times New Roman" w:eastAsia="Times New Roman" w:hAnsi="Times New Roman" w:cs="Times New Roman"/>
      <w:sz w:val="20"/>
      <w:szCs w:val="20"/>
      <w:lang w:val="bg-BG" w:eastAsia="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21">
    <w:name w:val="Table Grid22121"/>
    <w:uiPriority w:val="99"/>
    <w:rsid w:val="00492280"/>
    <w:pPr>
      <w:spacing w:after="0" w:line="240" w:lineRule="auto"/>
    </w:pPr>
    <w:rPr>
      <w:rFonts w:ascii="Calibri" w:eastAsia="Calibri" w:hAnsi="Calibri" w:cs="Times New Roman"/>
      <w:sz w:val="20"/>
      <w:szCs w:val="20"/>
      <w:lang w:val="bg-BG" w:eastAsia="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21">
    <w:name w:val="Table Grid31121"/>
    <w:uiPriority w:val="99"/>
    <w:rsid w:val="00492280"/>
    <w:pPr>
      <w:spacing w:after="0" w:line="240" w:lineRule="auto"/>
    </w:pPr>
    <w:rPr>
      <w:rFonts w:ascii="Times New Roman" w:eastAsia="Times New Roman" w:hAnsi="Times New Roman" w:cs="Times New Roman"/>
      <w:sz w:val="20"/>
      <w:szCs w:val="20"/>
      <w:lang w:val="bg-BG" w:eastAsia="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22">
    <w:name w:val="No List11222"/>
    <w:next w:val="NoList"/>
    <w:uiPriority w:val="99"/>
    <w:semiHidden/>
    <w:unhideWhenUsed/>
    <w:rsid w:val="00492280"/>
  </w:style>
  <w:style w:type="numbering" w:customStyle="1" w:styleId="NoList21222">
    <w:name w:val="No List21222"/>
    <w:next w:val="NoList"/>
    <w:uiPriority w:val="99"/>
    <w:semiHidden/>
    <w:unhideWhenUsed/>
    <w:rsid w:val="00492280"/>
  </w:style>
  <w:style w:type="numbering" w:customStyle="1" w:styleId="NoList31222">
    <w:name w:val="No List31222"/>
    <w:next w:val="NoList"/>
    <w:semiHidden/>
    <w:rsid w:val="00492280"/>
  </w:style>
  <w:style w:type="numbering" w:customStyle="1" w:styleId="NoList4222">
    <w:name w:val="No List4222"/>
    <w:next w:val="NoList"/>
    <w:uiPriority w:val="99"/>
    <w:semiHidden/>
    <w:unhideWhenUsed/>
    <w:rsid w:val="00492280"/>
  </w:style>
  <w:style w:type="table" w:customStyle="1" w:styleId="TableWeb311121">
    <w:name w:val="Table Web 311121"/>
    <w:basedOn w:val="TableNormal"/>
    <w:next w:val="TableWeb3"/>
    <w:uiPriority w:val="99"/>
    <w:rsid w:val="00492280"/>
    <w:pPr>
      <w:spacing w:after="0" w:line="240" w:lineRule="auto"/>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TableGrid111121">
    <w:name w:val="Table Grid111121"/>
    <w:uiPriority w:val="99"/>
    <w:rsid w:val="00492280"/>
    <w:pPr>
      <w:spacing w:after="0" w:line="240" w:lineRule="auto"/>
    </w:pPr>
    <w:rPr>
      <w:rFonts w:ascii="Times New Roman" w:eastAsia="Times New Roman" w:hAnsi="Times New Roman" w:cs="Times New Roman"/>
      <w:sz w:val="20"/>
      <w:szCs w:val="20"/>
      <w:lang w:val="bg-BG" w:eastAsia="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21">
    <w:name w:val="Table Grid211121"/>
    <w:uiPriority w:val="99"/>
    <w:rsid w:val="00492280"/>
    <w:pPr>
      <w:spacing w:after="0" w:line="240" w:lineRule="auto"/>
    </w:pPr>
    <w:rPr>
      <w:rFonts w:ascii="Calibri" w:eastAsia="Calibri" w:hAnsi="Calibri" w:cs="Times New Roman"/>
      <w:sz w:val="20"/>
      <w:szCs w:val="20"/>
      <w:lang w:val="bg-BG" w:eastAsia="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21">
    <w:name w:val="Table Grid5121"/>
    <w:basedOn w:val="TableNormal"/>
    <w:next w:val="TableGrid"/>
    <w:uiPriority w:val="59"/>
    <w:rsid w:val="0049228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1">
    <w:name w:val="Table Grid721"/>
    <w:basedOn w:val="TableNormal"/>
    <w:next w:val="TableGrid"/>
    <w:rsid w:val="0049228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3421">
    <w:name w:val="Table Web 3421"/>
    <w:basedOn w:val="TableNormal"/>
    <w:next w:val="TableWeb3"/>
    <w:uiPriority w:val="99"/>
    <w:rsid w:val="00492280"/>
    <w:pPr>
      <w:spacing w:after="0" w:line="240" w:lineRule="auto"/>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TableGrid2421">
    <w:name w:val="Table Grid2421"/>
    <w:uiPriority w:val="99"/>
    <w:rsid w:val="00492280"/>
    <w:pPr>
      <w:spacing w:after="0" w:line="240" w:lineRule="auto"/>
    </w:pPr>
    <w:rPr>
      <w:rFonts w:ascii="Calibri" w:eastAsia="Calibri" w:hAnsi="Calibri" w:cs="Times New Roman"/>
      <w:sz w:val="20"/>
      <w:szCs w:val="20"/>
      <w:lang w:val="bg-BG" w:eastAsia="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21">
    <w:name w:val="Table Grid11321"/>
    <w:uiPriority w:val="99"/>
    <w:rsid w:val="00492280"/>
    <w:pPr>
      <w:spacing w:after="0" w:line="240" w:lineRule="auto"/>
    </w:pPr>
    <w:rPr>
      <w:rFonts w:ascii="Times New Roman" w:eastAsia="Times New Roman" w:hAnsi="Times New Roman" w:cs="Times New Roman"/>
      <w:sz w:val="20"/>
      <w:szCs w:val="20"/>
      <w:lang w:val="bg-BG" w:eastAsia="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21">
    <w:name w:val="Table Grid21321"/>
    <w:uiPriority w:val="99"/>
    <w:rsid w:val="00492280"/>
    <w:pPr>
      <w:spacing w:after="0" w:line="240" w:lineRule="auto"/>
    </w:pPr>
    <w:rPr>
      <w:rFonts w:ascii="Calibri" w:eastAsia="Calibri" w:hAnsi="Calibri" w:cs="Times New Roman"/>
      <w:sz w:val="20"/>
      <w:szCs w:val="20"/>
      <w:lang w:val="bg-BG" w:eastAsia="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2">
    <w:name w:val="No List82"/>
    <w:next w:val="NoList"/>
    <w:uiPriority w:val="99"/>
    <w:semiHidden/>
    <w:unhideWhenUsed/>
    <w:rsid w:val="00492280"/>
  </w:style>
  <w:style w:type="table" w:customStyle="1" w:styleId="TableGrid101">
    <w:name w:val="Table Grid101"/>
    <w:basedOn w:val="TableNormal"/>
    <w:next w:val="TableGrid"/>
    <w:rsid w:val="00492280"/>
    <w:rPr>
      <w:rFonts w:ascii="Calibri" w:eastAsia="Calibri" w:hAnsi="Calibri" w:cs="Times New Roman"/>
      <w:sz w:val="20"/>
      <w:szCs w:val="20"/>
      <w:lang w:val="bg-B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1">
    <w:name w:val="Table Grid161"/>
    <w:basedOn w:val="TableNormal"/>
    <w:next w:val="TableGrid"/>
    <w:rsid w:val="00492280"/>
    <w:pPr>
      <w:spacing w:after="0" w:line="240" w:lineRule="auto"/>
    </w:pPr>
    <w:rPr>
      <w:rFonts w:ascii="Times New Roman" w:eastAsia="Times New Roman" w:hAnsi="Times New Roman" w:cs="Times New Roman"/>
      <w:sz w:val="20"/>
      <w:szCs w:val="20"/>
      <w:lang w:val="bg-B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72">
    <w:name w:val="No List172"/>
    <w:next w:val="NoList"/>
    <w:uiPriority w:val="99"/>
    <w:semiHidden/>
    <w:unhideWhenUsed/>
    <w:rsid w:val="00492280"/>
  </w:style>
  <w:style w:type="numbering" w:customStyle="1" w:styleId="NoList252">
    <w:name w:val="No List252"/>
    <w:next w:val="NoList"/>
    <w:uiPriority w:val="99"/>
    <w:semiHidden/>
    <w:unhideWhenUsed/>
    <w:rsid w:val="00492280"/>
  </w:style>
  <w:style w:type="numbering" w:customStyle="1" w:styleId="NoList352">
    <w:name w:val="No List352"/>
    <w:next w:val="NoList"/>
    <w:uiPriority w:val="99"/>
    <w:semiHidden/>
    <w:unhideWhenUsed/>
    <w:rsid w:val="00492280"/>
  </w:style>
  <w:style w:type="numbering" w:customStyle="1" w:styleId="NoList92">
    <w:name w:val="No List92"/>
    <w:next w:val="NoList"/>
    <w:uiPriority w:val="99"/>
    <w:semiHidden/>
    <w:unhideWhenUsed/>
    <w:rsid w:val="00492280"/>
  </w:style>
  <w:style w:type="numbering" w:customStyle="1" w:styleId="NoList102">
    <w:name w:val="No List102"/>
    <w:next w:val="NoList"/>
    <w:uiPriority w:val="99"/>
    <w:semiHidden/>
    <w:unhideWhenUsed/>
    <w:rsid w:val="00492280"/>
  </w:style>
  <w:style w:type="table" w:customStyle="1" w:styleId="TableGrid171">
    <w:name w:val="Table Grid171"/>
    <w:basedOn w:val="TableNormal"/>
    <w:next w:val="TableGrid"/>
    <w:rsid w:val="00492280"/>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1">
    <w:name w:val="Table Grid181"/>
    <w:basedOn w:val="TableNormal"/>
    <w:next w:val="TableGrid"/>
    <w:rsid w:val="00492280"/>
    <w:pPr>
      <w:spacing w:after="0" w:line="240" w:lineRule="auto"/>
      <w:jc w:val="both"/>
    </w:pPr>
    <w:rPr>
      <w:rFonts w:ascii="Calibri" w:eastAsia="Calibri" w:hAnsi="Calibri" w:cs="Times New Roman"/>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82">
    <w:name w:val="No List182"/>
    <w:next w:val="NoList"/>
    <w:uiPriority w:val="99"/>
    <w:semiHidden/>
    <w:unhideWhenUsed/>
    <w:rsid w:val="00492280"/>
  </w:style>
  <w:style w:type="table" w:customStyle="1" w:styleId="TableGrid191">
    <w:name w:val="Table Grid191"/>
    <w:basedOn w:val="TableNormal"/>
    <w:next w:val="TableGrid"/>
    <w:rsid w:val="0049228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92">
    <w:name w:val="No List192"/>
    <w:next w:val="NoList"/>
    <w:uiPriority w:val="99"/>
    <w:semiHidden/>
    <w:unhideWhenUsed/>
    <w:rsid w:val="00492280"/>
  </w:style>
  <w:style w:type="numbering" w:customStyle="1" w:styleId="NoList1102">
    <w:name w:val="No List1102"/>
    <w:next w:val="NoList"/>
    <w:uiPriority w:val="99"/>
    <w:semiHidden/>
    <w:rsid w:val="00492280"/>
  </w:style>
  <w:style w:type="table" w:customStyle="1" w:styleId="TableGrid201">
    <w:name w:val="Table Grid201"/>
    <w:basedOn w:val="TableNormal"/>
    <w:next w:val="TableGrid"/>
    <w:rsid w:val="00492280"/>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1">
    <w:name w:val="Table Grid1101"/>
    <w:basedOn w:val="TableNormal"/>
    <w:next w:val="TableGrid"/>
    <w:rsid w:val="0049228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52">
    <w:name w:val="No List1152"/>
    <w:next w:val="NoList"/>
    <w:uiPriority w:val="99"/>
    <w:semiHidden/>
    <w:unhideWhenUsed/>
    <w:rsid w:val="00492280"/>
  </w:style>
  <w:style w:type="numbering" w:customStyle="1" w:styleId="NoList262">
    <w:name w:val="No List262"/>
    <w:next w:val="NoList"/>
    <w:uiPriority w:val="99"/>
    <w:semiHidden/>
    <w:unhideWhenUsed/>
    <w:rsid w:val="00492280"/>
  </w:style>
  <w:style w:type="numbering" w:customStyle="1" w:styleId="NoList362">
    <w:name w:val="No List362"/>
    <w:next w:val="NoList"/>
    <w:semiHidden/>
    <w:unhideWhenUsed/>
    <w:rsid w:val="00492280"/>
  </w:style>
  <w:style w:type="table" w:customStyle="1" w:styleId="TableGrid1161">
    <w:name w:val="Table Grid1161"/>
    <w:basedOn w:val="TableNormal"/>
    <w:next w:val="TableGrid"/>
    <w:rsid w:val="00492280"/>
    <w:pPr>
      <w:spacing w:after="0" w:line="240" w:lineRule="auto"/>
      <w:jc w:val="both"/>
    </w:pPr>
    <w:rPr>
      <w:rFonts w:ascii="Calibri" w:eastAsia="Calibri" w:hAnsi="Calibri" w:cs="Times New Roman"/>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1">
    <w:name w:val="Table Grid271"/>
    <w:basedOn w:val="TableNormal"/>
    <w:next w:val="TableGrid"/>
    <w:rsid w:val="00492280"/>
    <w:pPr>
      <w:spacing w:after="0" w:line="240" w:lineRule="auto"/>
    </w:pPr>
    <w:rPr>
      <w:rFonts w:ascii="Verdana" w:eastAsia="Times New Roman" w:hAnsi="Verdana" w:cs="Times New Roman"/>
      <w:sz w:val="20"/>
      <w:szCs w:val="20"/>
      <w:lang w:val="bg-B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32">
    <w:name w:val="No List1232"/>
    <w:next w:val="NoList"/>
    <w:semiHidden/>
    <w:rsid w:val="00492280"/>
  </w:style>
  <w:style w:type="numbering" w:customStyle="1" w:styleId="NoList452">
    <w:name w:val="No List452"/>
    <w:next w:val="NoList"/>
    <w:uiPriority w:val="99"/>
    <w:semiHidden/>
    <w:unhideWhenUsed/>
    <w:rsid w:val="00492280"/>
  </w:style>
  <w:style w:type="numbering" w:customStyle="1" w:styleId="NoList1332">
    <w:name w:val="No List1332"/>
    <w:next w:val="NoList"/>
    <w:semiHidden/>
    <w:rsid w:val="00492280"/>
  </w:style>
  <w:style w:type="table" w:customStyle="1" w:styleId="TableGrid351">
    <w:name w:val="Table Grid351"/>
    <w:basedOn w:val="TableNormal"/>
    <w:next w:val="TableGrid"/>
    <w:uiPriority w:val="99"/>
    <w:rsid w:val="00492280"/>
    <w:pPr>
      <w:spacing w:after="0" w:line="240" w:lineRule="auto"/>
    </w:pPr>
    <w:rPr>
      <w:rFonts w:ascii="Times New Roman" w:eastAsia="Times New Roman" w:hAnsi="Times New Roman" w:cs="Times New Roman"/>
      <w:sz w:val="20"/>
      <w:szCs w:val="20"/>
      <w:lang w:val="bg-B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371">
    <w:name w:val="Table Web 371"/>
    <w:basedOn w:val="TableNormal"/>
    <w:next w:val="TableWeb3"/>
    <w:rsid w:val="00492280"/>
    <w:pPr>
      <w:spacing w:after="0" w:line="240" w:lineRule="auto"/>
    </w:pPr>
    <w:rPr>
      <w:rFonts w:ascii="Times New Roman" w:eastAsia="Times New Roman" w:hAnsi="Times New Roman" w:cs="Times New Roman"/>
      <w:sz w:val="20"/>
      <w:szCs w:val="20"/>
      <w:lang w:val="bg-BG" w:eastAsia="bg-BG"/>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1241">
    <w:name w:val="Table Grid1241"/>
    <w:basedOn w:val="TableNormal"/>
    <w:next w:val="TableGrid"/>
    <w:rsid w:val="00492280"/>
    <w:pPr>
      <w:spacing w:after="0" w:line="240" w:lineRule="auto"/>
    </w:pPr>
    <w:rPr>
      <w:rFonts w:ascii="Times New Roman" w:eastAsia="Times New Roman" w:hAnsi="Times New Roman" w:cs="Times New Roman"/>
      <w:sz w:val="20"/>
      <w:szCs w:val="20"/>
      <w:lang w:val="bg-B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52">
    <w:name w:val="No List2152"/>
    <w:next w:val="NoList"/>
    <w:uiPriority w:val="99"/>
    <w:semiHidden/>
    <w:unhideWhenUsed/>
    <w:rsid w:val="00492280"/>
  </w:style>
  <w:style w:type="table" w:customStyle="1" w:styleId="TableGrid2161">
    <w:name w:val="Table Grid2161"/>
    <w:basedOn w:val="TableNormal"/>
    <w:next w:val="TableGrid"/>
    <w:uiPriority w:val="99"/>
    <w:rsid w:val="00492280"/>
    <w:pPr>
      <w:spacing w:after="0" w:line="240" w:lineRule="auto"/>
    </w:pPr>
    <w:rPr>
      <w:rFonts w:ascii="Times New Roman" w:eastAsia="Times New Roman" w:hAnsi="Times New Roman" w:cs="Times New Roman"/>
      <w:sz w:val="20"/>
      <w:szCs w:val="20"/>
      <w:lang w:val="bg-B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3151">
    <w:name w:val="Table Web 3151"/>
    <w:basedOn w:val="TableNormal"/>
    <w:next w:val="TableWeb3"/>
    <w:uiPriority w:val="99"/>
    <w:rsid w:val="00492280"/>
    <w:pPr>
      <w:spacing w:after="0" w:line="240" w:lineRule="auto"/>
    </w:pPr>
    <w:rPr>
      <w:rFonts w:ascii="Times New Roman" w:eastAsia="Times New Roman" w:hAnsi="Times New Roman" w:cs="Times New Roman"/>
      <w:sz w:val="20"/>
      <w:szCs w:val="20"/>
      <w:lang w:val="bg-BG" w:eastAsia="bg-BG"/>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TableGrid11141">
    <w:name w:val="Table Grid11141"/>
    <w:uiPriority w:val="99"/>
    <w:rsid w:val="00492280"/>
    <w:pPr>
      <w:spacing w:after="0" w:line="240" w:lineRule="auto"/>
    </w:pPr>
    <w:rPr>
      <w:rFonts w:ascii="Times New Roman" w:eastAsia="Times New Roman" w:hAnsi="Times New Roman" w:cs="Times New Roman"/>
      <w:sz w:val="20"/>
      <w:szCs w:val="20"/>
      <w:lang w:val="bg-BG" w:eastAsia="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41">
    <w:name w:val="Table Grid21141"/>
    <w:uiPriority w:val="99"/>
    <w:rsid w:val="00492280"/>
    <w:pPr>
      <w:spacing w:after="0" w:line="240" w:lineRule="auto"/>
    </w:pPr>
    <w:rPr>
      <w:rFonts w:ascii="Calibri" w:eastAsia="Calibri" w:hAnsi="Calibri" w:cs="Times New Roman"/>
      <w:sz w:val="20"/>
      <w:szCs w:val="20"/>
      <w:lang w:val="bg-BG" w:eastAsia="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52">
    <w:name w:val="No List3152"/>
    <w:next w:val="NoList"/>
    <w:uiPriority w:val="99"/>
    <w:semiHidden/>
    <w:unhideWhenUsed/>
    <w:rsid w:val="00492280"/>
  </w:style>
  <w:style w:type="table" w:customStyle="1" w:styleId="TableGrid441">
    <w:name w:val="Table Grid441"/>
    <w:basedOn w:val="TableNormal"/>
    <w:next w:val="TableGrid"/>
    <w:uiPriority w:val="99"/>
    <w:rsid w:val="0049228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3241">
    <w:name w:val="Table Web 3241"/>
    <w:basedOn w:val="TableNormal"/>
    <w:next w:val="TableWeb3"/>
    <w:uiPriority w:val="99"/>
    <w:rsid w:val="00492280"/>
    <w:pPr>
      <w:spacing w:after="0" w:line="240" w:lineRule="auto"/>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TableGrid2241">
    <w:name w:val="Table Grid2241"/>
    <w:uiPriority w:val="99"/>
    <w:rsid w:val="00492280"/>
    <w:pPr>
      <w:spacing w:after="0" w:line="240" w:lineRule="auto"/>
    </w:pPr>
    <w:rPr>
      <w:rFonts w:ascii="Calibri" w:eastAsia="Calibri" w:hAnsi="Calibri" w:cs="Times New Roman"/>
      <w:sz w:val="20"/>
      <w:szCs w:val="20"/>
      <w:lang w:val="bg-BG" w:eastAsia="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41">
    <w:name w:val="Table Grid3141"/>
    <w:uiPriority w:val="99"/>
    <w:rsid w:val="00492280"/>
    <w:pPr>
      <w:spacing w:after="0" w:line="240" w:lineRule="auto"/>
    </w:pPr>
    <w:rPr>
      <w:rFonts w:ascii="Times New Roman" w:eastAsia="Times New Roman" w:hAnsi="Times New Roman" w:cs="Times New Roman"/>
      <w:sz w:val="20"/>
      <w:szCs w:val="20"/>
      <w:lang w:val="bg-BG" w:eastAsia="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32">
    <w:name w:val="No List11132"/>
    <w:next w:val="NoList"/>
    <w:uiPriority w:val="99"/>
    <w:semiHidden/>
    <w:unhideWhenUsed/>
    <w:rsid w:val="00492280"/>
  </w:style>
  <w:style w:type="numbering" w:customStyle="1" w:styleId="NoList21132">
    <w:name w:val="No List21132"/>
    <w:next w:val="NoList"/>
    <w:uiPriority w:val="99"/>
    <w:semiHidden/>
    <w:unhideWhenUsed/>
    <w:rsid w:val="00492280"/>
  </w:style>
  <w:style w:type="numbering" w:customStyle="1" w:styleId="NoList31132">
    <w:name w:val="No List31132"/>
    <w:next w:val="NoList"/>
    <w:semiHidden/>
    <w:rsid w:val="00492280"/>
  </w:style>
  <w:style w:type="numbering" w:customStyle="1" w:styleId="NoList4132">
    <w:name w:val="No List4132"/>
    <w:next w:val="NoList"/>
    <w:uiPriority w:val="99"/>
    <w:semiHidden/>
    <w:unhideWhenUsed/>
    <w:rsid w:val="00492280"/>
  </w:style>
  <w:style w:type="table" w:customStyle="1" w:styleId="TableWeb31141">
    <w:name w:val="Table Web 31141"/>
    <w:basedOn w:val="TableNormal"/>
    <w:next w:val="TableWeb3"/>
    <w:uiPriority w:val="99"/>
    <w:rsid w:val="00492280"/>
    <w:pPr>
      <w:spacing w:after="0" w:line="240" w:lineRule="auto"/>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TableGrid541">
    <w:name w:val="Table Grid541"/>
    <w:basedOn w:val="TableNormal"/>
    <w:next w:val="TableGrid"/>
    <w:uiPriority w:val="59"/>
    <w:rsid w:val="0049228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32">
    <w:name w:val="No List532"/>
    <w:next w:val="NoList"/>
    <w:uiPriority w:val="99"/>
    <w:semiHidden/>
    <w:unhideWhenUsed/>
    <w:rsid w:val="00492280"/>
  </w:style>
  <w:style w:type="numbering" w:customStyle="1" w:styleId="NoList1432">
    <w:name w:val="No List1432"/>
    <w:next w:val="NoList"/>
    <w:semiHidden/>
    <w:rsid w:val="00492280"/>
  </w:style>
  <w:style w:type="table" w:customStyle="1" w:styleId="TableGrid631">
    <w:name w:val="Table Grid631"/>
    <w:basedOn w:val="TableNormal"/>
    <w:next w:val="TableGrid"/>
    <w:rsid w:val="00492280"/>
    <w:pPr>
      <w:spacing w:after="0" w:line="240" w:lineRule="auto"/>
    </w:pPr>
    <w:rPr>
      <w:rFonts w:ascii="Times New Roman" w:eastAsia="Times New Roman" w:hAnsi="Times New Roman" w:cs="Times New Roman"/>
      <w:sz w:val="20"/>
      <w:szCs w:val="20"/>
      <w:lang w:val="bg-B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3331">
    <w:name w:val="Table Web 3331"/>
    <w:basedOn w:val="TableNormal"/>
    <w:next w:val="TableWeb3"/>
    <w:rsid w:val="00492280"/>
    <w:pPr>
      <w:spacing w:after="0" w:line="240" w:lineRule="auto"/>
    </w:pPr>
    <w:rPr>
      <w:rFonts w:ascii="Times New Roman" w:eastAsia="Times New Roman" w:hAnsi="Times New Roman" w:cs="Times New Roman"/>
      <w:sz w:val="20"/>
      <w:szCs w:val="20"/>
      <w:lang w:val="bg-BG" w:eastAsia="bg-BG"/>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1331">
    <w:name w:val="Table Grid1331"/>
    <w:basedOn w:val="TableNormal"/>
    <w:next w:val="TableGrid"/>
    <w:rsid w:val="00492280"/>
    <w:pPr>
      <w:spacing w:after="0" w:line="240" w:lineRule="auto"/>
    </w:pPr>
    <w:rPr>
      <w:rFonts w:ascii="Times New Roman" w:eastAsia="Times New Roman" w:hAnsi="Times New Roman" w:cs="Times New Roman"/>
      <w:sz w:val="20"/>
      <w:szCs w:val="20"/>
      <w:lang w:val="bg-B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32">
    <w:name w:val="No List2232"/>
    <w:next w:val="NoList"/>
    <w:uiPriority w:val="99"/>
    <w:semiHidden/>
    <w:unhideWhenUsed/>
    <w:rsid w:val="00492280"/>
  </w:style>
  <w:style w:type="table" w:customStyle="1" w:styleId="TableGrid2331">
    <w:name w:val="Table Grid2331"/>
    <w:basedOn w:val="TableNormal"/>
    <w:next w:val="TableGrid"/>
    <w:uiPriority w:val="99"/>
    <w:rsid w:val="00492280"/>
    <w:pPr>
      <w:spacing w:after="0" w:line="240" w:lineRule="auto"/>
    </w:pPr>
    <w:rPr>
      <w:rFonts w:ascii="Times New Roman" w:eastAsia="Times New Roman" w:hAnsi="Times New Roman" w:cs="Times New Roman"/>
      <w:sz w:val="20"/>
      <w:szCs w:val="20"/>
      <w:lang w:val="bg-B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31231">
    <w:name w:val="Table Web 31231"/>
    <w:basedOn w:val="TableNormal"/>
    <w:next w:val="TableWeb3"/>
    <w:uiPriority w:val="99"/>
    <w:rsid w:val="00492280"/>
    <w:pPr>
      <w:spacing w:after="0" w:line="240" w:lineRule="auto"/>
    </w:pPr>
    <w:rPr>
      <w:rFonts w:ascii="Times New Roman" w:eastAsia="Times New Roman" w:hAnsi="Times New Roman" w:cs="Times New Roman"/>
      <w:sz w:val="20"/>
      <w:szCs w:val="20"/>
      <w:lang w:val="bg-BG" w:eastAsia="bg-BG"/>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TableGrid11231">
    <w:name w:val="Table Grid11231"/>
    <w:uiPriority w:val="99"/>
    <w:rsid w:val="00492280"/>
    <w:pPr>
      <w:spacing w:after="0" w:line="240" w:lineRule="auto"/>
    </w:pPr>
    <w:rPr>
      <w:rFonts w:ascii="Times New Roman" w:eastAsia="Times New Roman" w:hAnsi="Times New Roman" w:cs="Times New Roman"/>
      <w:sz w:val="20"/>
      <w:szCs w:val="20"/>
      <w:lang w:val="bg-BG" w:eastAsia="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31">
    <w:name w:val="Table Grid21231"/>
    <w:uiPriority w:val="99"/>
    <w:rsid w:val="00492280"/>
    <w:pPr>
      <w:spacing w:after="0" w:line="240" w:lineRule="auto"/>
    </w:pPr>
    <w:rPr>
      <w:rFonts w:ascii="Calibri" w:eastAsia="Calibri" w:hAnsi="Calibri" w:cs="Times New Roman"/>
      <w:sz w:val="20"/>
      <w:szCs w:val="20"/>
      <w:lang w:val="bg-BG" w:eastAsia="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31">
    <w:name w:val="Table Grid3231"/>
    <w:uiPriority w:val="99"/>
    <w:rsid w:val="00492280"/>
    <w:pPr>
      <w:spacing w:after="0" w:line="240" w:lineRule="auto"/>
    </w:pPr>
    <w:rPr>
      <w:rFonts w:ascii="Times New Roman" w:eastAsia="Times New Roman" w:hAnsi="Times New Roman" w:cs="Times New Roman"/>
      <w:sz w:val="20"/>
      <w:szCs w:val="20"/>
      <w:lang w:val="bg-BG" w:eastAsia="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32">
    <w:name w:val="No List3232"/>
    <w:next w:val="NoList"/>
    <w:uiPriority w:val="99"/>
    <w:semiHidden/>
    <w:unhideWhenUsed/>
    <w:rsid w:val="00492280"/>
  </w:style>
  <w:style w:type="table" w:customStyle="1" w:styleId="TableGrid4131">
    <w:name w:val="Table Grid4131"/>
    <w:basedOn w:val="TableNormal"/>
    <w:next w:val="TableGrid"/>
    <w:uiPriority w:val="99"/>
    <w:rsid w:val="0049228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32131">
    <w:name w:val="Table Web 32131"/>
    <w:basedOn w:val="TableNormal"/>
    <w:next w:val="TableWeb3"/>
    <w:uiPriority w:val="99"/>
    <w:rsid w:val="00492280"/>
    <w:pPr>
      <w:spacing w:after="0" w:line="240" w:lineRule="auto"/>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TableGrid12131">
    <w:name w:val="Table Grid12131"/>
    <w:rsid w:val="00492280"/>
    <w:pPr>
      <w:spacing w:after="0" w:line="240" w:lineRule="auto"/>
    </w:pPr>
    <w:rPr>
      <w:rFonts w:ascii="Times New Roman" w:eastAsia="Times New Roman" w:hAnsi="Times New Roman" w:cs="Times New Roman"/>
      <w:sz w:val="20"/>
      <w:szCs w:val="20"/>
      <w:lang w:val="bg-BG" w:eastAsia="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31">
    <w:name w:val="Table Grid22131"/>
    <w:uiPriority w:val="99"/>
    <w:rsid w:val="00492280"/>
    <w:pPr>
      <w:spacing w:after="0" w:line="240" w:lineRule="auto"/>
    </w:pPr>
    <w:rPr>
      <w:rFonts w:ascii="Calibri" w:eastAsia="Calibri" w:hAnsi="Calibri" w:cs="Times New Roman"/>
      <w:sz w:val="20"/>
      <w:szCs w:val="20"/>
      <w:lang w:val="bg-BG" w:eastAsia="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31">
    <w:name w:val="Table Grid31131"/>
    <w:uiPriority w:val="99"/>
    <w:rsid w:val="00492280"/>
    <w:pPr>
      <w:spacing w:after="0" w:line="240" w:lineRule="auto"/>
    </w:pPr>
    <w:rPr>
      <w:rFonts w:ascii="Times New Roman" w:eastAsia="Times New Roman" w:hAnsi="Times New Roman" w:cs="Times New Roman"/>
      <w:sz w:val="20"/>
      <w:szCs w:val="20"/>
      <w:lang w:val="bg-BG" w:eastAsia="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32">
    <w:name w:val="No List11232"/>
    <w:next w:val="NoList"/>
    <w:uiPriority w:val="99"/>
    <w:semiHidden/>
    <w:unhideWhenUsed/>
    <w:rsid w:val="00492280"/>
  </w:style>
  <w:style w:type="numbering" w:customStyle="1" w:styleId="NoList21232">
    <w:name w:val="No List21232"/>
    <w:next w:val="NoList"/>
    <w:uiPriority w:val="99"/>
    <w:semiHidden/>
    <w:unhideWhenUsed/>
    <w:rsid w:val="00492280"/>
  </w:style>
  <w:style w:type="numbering" w:customStyle="1" w:styleId="NoList31232">
    <w:name w:val="No List31232"/>
    <w:next w:val="NoList"/>
    <w:semiHidden/>
    <w:rsid w:val="00492280"/>
  </w:style>
  <w:style w:type="numbering" w:customStyle="1" w:styleId="NoList4232">
    <w:name w:val="No List4232"/>
    <w:next w:val="NoList"/>
    <w:uiPriority w:val="99"/>
    <w:semiHidden/>
    <w:unhideWhenUsed/>
    <w:rsid w:val="00492280"/>
  </w:style>
  <w:style w:type="table" w:customStyle="1" w:styleId="TableWeb311131">
    <w:name w:val="Table Web 311131"/>
    <w:basedOn w:val="TableNormal"/>
    <w:next w:val="TableWeb3"/>
    <w:uiPriority w:val="99"/>
    <w:rsid w:val="00492280"/>
    <w:pPr>
      <w:spacing w:after="0" w:line="240" w:lineRule="auto"/>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TableGrid111131">
    <w:name w:val="Table Grid111131"/>
    <w:uiPriority w:val="99"/>
    <w:rsid w:val="00492280"/>
    <w:pPr>
      <w:spacing w:after="0" w:line="240" w:lineRule="auto"/>
    </w:pPr>
    <w:rPr>
      <w:rFonts w:ascii="Times New Roman" w:eastAsia="Times New Roman" w:hAnsi="Times New Roman" w:cs="Times New Roman"/>
      <w:sz w:val="20"/>
      <w:szCs w:val="20"/>
      <w:lang w:val="bg-BG" w:eastAsia="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31">
    <w:name w:val="Table Grid211131"/>
    <w:uiPriority w:val="99"/>
    <w:rsid w:val="00492280"/>
    <w:pPr>
      <w:spacing w:after="0" w:line="240" w:lineRule="auto"/>
    </w:pPr>
    <w:rPr>
      <w:rFonts w:ascii="Calibri" w:eastAsia="Calibri" w:hAnsi="Calibri" w:cs="Times New Roman"/>
      <w:sz w:val="20"/>
      <w:szCs w:val="20"/>
      <w:lang w:val="bg-BG" w:eastAsia="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31">
    <w:name w:val="Table Grid5131"/>
    <w:basedOn w:val="TableNormal"/>
    <w:next w:val="TableGrid"/>
    <w:uiPriority w:val="59"/>
    <w:rsid w:val="0049228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31">
    <w:name w:val="Table Grid731"/>
    <w:basedOn w:val="TableNormal"/>
    <w:next w:val="TableGrid"/>
    <w:rsid w:val="0049228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3431">
    <w:name w:val="Table Web 3431"/>
    <w:basedOn w:val="TableNormal"/>
    <w:next w:val="TableWeb3"/>
    <w:uiPriority w:val="99"/>
    <w:rsid w:val="00492280"/>
    <w:pPr>
      <w:spacing w:after="0" w:line="240" w:lineRule="auto"/>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TableGrid2431">
    <w:name w:val="Table Grid2431"/>
    <w:uiPriority w:val="99"/>
    <w:rsid w:val="00492280"/>
    <w:pPr>
      <w:spacing w:after="0" w:line="240" w:lineRule="auto"/>
    </w:pPr>
    <w:rPr>
      <w:rFonts w:ascii="Calibri" w:eastAsia="Calibri" w:hAnsi="Calibri" w:cs="Times New Roman"/>
      <w:sz w:val="20"/>
      <w:szCs w:val="20"/>
      <w:lang w:val="bg-BG" w:eastAsia="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31">
    <w:name w:val="Table Grid11331"/>
    <w:uiPriority w:val="99"/>
    <w:rsid w:val="00492280"/>
    <w:pPr>
      <w:spacing w:after="0" w:line="240" w:lineRule="auto"/>
    </w:pPr>
    <w:rPr>
      <w:rFonts w:ascii="Times New Roman" w:eastAsia="Times New Roman" w:hAnsi="Times New Roman" w:cs="Times New Roman"/>
      <w:sz w:val="20"/>
      <w:szCs w:val="20"/>
      <w:lang w:val="bg-BG" w:eastAsia="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31">
    <w:name w:val="Table Grid21331"/>
    <w:uiPriority w:val="99"/>
    <w:rsid w:val="00492280"/>
    <w:pPr>
      <w:spacing w:after="0" w:line="240" w:lineRule="auto"/>
    </w:pPr>
    <w:rPr>
      <w:rFonts w:ascii="Calibri" w:eastAsia="Calibri" w:hAnsi="Calibri" w:cs="Times New Roman"/>
      <w:sz w:val="20"/>
      <w:szCs w:val="20"/>
      <w:lang w:val="bg-BG" w:eastAsia="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02">
    <w:name w:val="No List202"/>
    <w:next w:val="NoList"/>
    <w:uiPriority w:val="99"/>
    <w:semiHidden/>
    <w:unhideWhenUsed/>
    <w:rsid w:val="00492280"/>
  </w:style>
  <w:style w:type="numbering" w:customStyle="1" w:styleId="NoList272">
    <w:name w:val="No List272"/>
    <w:next w:val="NoList"/>
    <w:uiPriority w:val="99"/>
    <w:semiHidden/>
    <w:unhideWhenUsed/>
    <w:rsid w:val="00492280"/>
  </w:style>
  <w:style w:type="numbering" w:customStyle="1" w:styleId="NoList1162">
    <w:name w:val="No List1162"/>
    <w:next w:val="NoList"/>
    <w:uiPriority w:val="99"/>
    <w:semiHidden/>
    <w:unhideWhenUsed/>
    <w:rsid w:val="00492280"/>
  </w:style>
  <w:style w:type="numbering" w:customStyle="1" w:styleId="NoList1172">
    <w:name w:val="No List1172"/>
    <w:next w:val="NoList"/>
    <w:uiPriority w:val="99"/>
    <w:semiHidden/>
    <w:rsid w:val="00492280"/>
  </w:style>
  <w:style w:type="table" w:customStyle="1" w:styleId="TableGrid281">
    <w:name w:val="Table Grid281"/>
    <w:basedOn w:val="TableNormal"/>
    <w:next w:val="TableGrid"/>
    <w:rsid w:val="00492280"/>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71">
    <w:name w:val="Table Grid1171"/>
    <w:basedOn w:val="TableNormal"/>
    <w:next w:val="TableGrid"/>
    <w:rsid w:val="0049228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42">
    <w:name w:val="No List11142"/>
    <w:next w:val="NoList"/>
    <w:uiPriority w:val="99"/>
    <w:semiHidden/>
    <w:unhideWhenUsed/>
    <w:rsid w:val="00492280"/>
  </w:style>
  <w:style w:type="numbering" w:customStyle="1" w:styleId="NoList282">
    <w:name w:val="No List282"/>
    <w:next w:val="NoList"/>
    <w:uiPriority w:val="99"/>
    <w:semiHidden/>
    <w:unhideWhenUsed/>
    <w:rsid w:val="00492280"/>
  </w:style>
  <w:style w:type="numbering" w:customStyle="1" w:styleId="NoList372">
    <w:name w:val="No List372"/>
    <w:next w:val="NoList"/>
    <w:semiHidden/>
    <w:unhideWhenUsed/>
    <w:rsid w:val="00492280"/>
  </w:style>
  <w:style w:type="table" w:customStyle="1" w:styleId="TableGrid1181">
    <w:name w:val="Table Grid1181"/>
    <w:basedOn w:val="TableNormal"/>
    <w:next w:val="TableGrid"/>
    <w:rsid w:val="00492280"/>
    <w:pPr>
      <w:spacing w:after="0" w:line="240" w:lineRule="auto"/>
      <w:jc w:val="both"/>
    </w:pPr>
    <w:rPr>
      <w:rFonts w:ascii="Calibri" w:eastAsia="Calibri" w:hAnsi="Calibri" w:cs="Times New Roman"/>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1">
    <w:name w:val="Table Grid291"/>
    <w:basedOn w:val="TableNormal"/>
    <w:next w:val="TableGrid"/>
    <w:rsid w:val="00492280"/>
    <w:pPr>
      <w:spacing w:after="0" w:line="240" w:lineRule="auto"/>
    </w:pPr>
    <w:rPr>
      <w:rFonts w:ascii="Verdana" w:eastAsia="Times New Roman" w:hAnsi="Verdana" w:cs="Times New Roman"/>
      <w:sz w:val="20"/>
      <w:szCs w:val="20"/>
      <w:lang w:val="bg-B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42">
    <w:name w:val="No List1242"/>
    <w:next w:val="NoList"/>
    <w:semiHidden/>
    <w:rsid w:val="00492280"/>
  </w:style>
  <w:style w:type="numbering" w:customStyle="1" w:styleId="NoList462">
    <w:name w:val="No List462"/>
    <w:next w:val="NoList"/>
    <w:uiPriority w:val="99"/>
    <w:semiHidden/>
    <w:unhideWhenUsed/>
    <w:rsid w:val="00492280"/>
  </w:style>
  <w:style w:type="numbering" w:customStyle="1" w:styleId="NoList1342">
    <w:name w:val="No List1342"/>
    <w:next w:val="NoList"/>
    <w:semiHidden/>
    <w:rsid w:val="00492280"/>
  </w:style>
  <w:style w:type="table" w:customStyle="1" w:styleId="TableGrid361">
    <w:name w:val="Table Grid361"/>
    <w:basedOn w:val="TableNormal"/>
    <w:next w:val="TableGrid"/>
    <w:uiPriority w:val="99"/>
    <w:rsid w:val="00492280"/>
    <w:pPr>
      <w:spacing w:after="0" w:line="240" w:lineRule="auto"/>
    </w:pPr>
    <w:rPr>
      <w:rFonts w:ascii="Times New Roman" w:eastAsia="Times New Roman" w:hAnsi="Times New Roman" w:cs="Times New Roman"/>
      <w:sz w:val="20"/>
      <w:szCs w:val="20"/>
      <w:lang w:val="bg-B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381">
    <w:name w:val="Table Web 381"/>
    <w:basedOn w:val="TableNormal"/>
    <w:next w:val="TableWeb3"/>
    <w:rsid w:val="00492280"/>
    <w:pPr>
      <w:spacing w:after="0" w:line="240" w:lineRule="auto"/>
    </w:pPr>
    <w:rPr>
      <w:rFonts w:ascii="Times New Roman" w:eastAsia="Times New Roman" w:hAnsi="Times New Roman" w:cs="Times New Roman"/>
      <w:sz w:val="20"/>
      <w:szCs w:val="20"/>
      <w:lang w:val="bg-BG" w:eastAsia="bg-BG"/>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1251">
    <w:name w:val="Table Grid1251"/>
    <w:basedOn w:val="TableNormal"/>
    <w:next w:val="TableGrid"/>
    <w:rsid w:val="00492280"/>
    <w:pPr>
      <w:spacing w:after="0" w:line="240" w:lineRule="auto"/>
    </w:pPr>
    <w:rPr>
      <w:rFonts w:ascii="Times New Roman" w:eastAsia="Times New Roman" w:hAnsi="Times New Roman" w:cs="Times New Roman"/>
      <w:sz w:val="20"/>
      <w:szCs w:val="20"/>
      <w:lang w:val="bg-B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62">
    <w:name w:val="No List2162"/>
    <w:next w:val="NoList"/>
    <w:uiPriority w:val="99"/>
    <w:semiHidden/>
    <w:unhideWhenUsed/>
    <w:rsid w:val="00492280"/>
  </w:style>
  <w:style w:type="table" w:customStyle="1" w:styleId="TableGrid2171">
    <w:name w:val="Table Grid2171"/>
    <w:basedOn w:val="TableNormal"/>
    <w:next w:val="TableGrid"/>
    <w:uiPriority w:val="99"/>
    <w:rsid w:val="00492280"/>
    <w:pPr>
      <w:spacing w:after="0" w:line="240" w:lineRule="auto"/>
    </w:pPr>
    <w:rPr>
      <w:rFonts w:ascii="Times New Roman" w:eastAsia="Times New Roman" w:hAnsi="Times New Roman" w:cs="Times New Roman"/>
      <w:sz w:val="20"/>
      <w:szCs w:val="20"/>
      <w:lang w:val="bg-B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3161">
    <w:name w:val="Table Web 3161"/>
    <w:basedOn w:val="TableNormal"/>
    <w:next w:val="TableWeb3"/>
    <w:uiPriority w:val="99"/>
    <w:rsid w:val="00492280"/>
    <w:pPr>
      <w:spacing w:after="0" w:line="240" w:lineRule="auto"/>
    </w:pPr>
    <w:rPr>
      <w:rFonts w:ascii="Times New Roman" w:eastAsia="Times New Roman" w:hAnsi="Times New Roman" w:cs="Times New Roman"/>
      <w:sz w:val="20"/>
      <w:szCs w:val="20"/>
      <w:lang w:val="bg-BG" w:eastAsia="bg-BG"/>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TableGrid11151">
    <w:name w:val="Table Grid11151"/>
    <w:uiPriority w:val="99"/>
    <w:rsid w:val="00492280"/>
    <w:pPr>
      <w:spacing w:after="0" w:line="240" w:lineRule="auto"/>
    </w:pPr>
    <w:rPr>
      <w:rFonts w:ascii="Times New Roman" w:eastAsia="Times New Roman" w:hAnsi="Times New Roman" w:cs="Times New Roman"/>
      <w:sz w:val="20"/>
      <w:szCs w:val="20"/>
      <w:lang w:val="bg-BG" w:eastAsia="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51">
    <w:name w:val="Table Grid21151"/>
    <w:uiPriority w:val="99"/>
    <w:rsid w:val="00492280"/>
    <w:pPr>
      <w:spacing w:after="0" w:line="240" w:lineRule="auto"/>
    </w:pPr>
    <w:rPr>
      <w:rFonts w:ascii="Calibri" w:eastAsia="Calibri" w:hAnsi="Calibri" w:cs="Times New Roman"/>
      <w:sz w:val="20"/>
      <w:szCs w:val="20"/>
      <w:lang w:val="bg-BG" w:eastAsia="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62">
    <w:name w:val="No List3162"/>
    <w:next w:val="NoList"/>
    <w:uiPriority w:val="99"/>
    <w:semiHidden/>
    <w:unhideWhenUsed/>
    <w:rsid w:val="00492280"/>
  </w:style>
  <w:style w:type="table" w:customStyle="1" w:styleId="TableGrid451">
    <w:name w:val="Table Grid451"/>
    <w:basedOn w:val="TableNormal"/>
    <w:next w:val="TableGrid"/>
    <w:uiPriority w:val="99"/>
    <w:rsid w:val="0049228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3251">
    <w:name w:val="Table Web 3251"/>
    <w:basedOn w:val="TableNormal"/>
    <w:next w:val="TableWeb3"/>
    <w:uiPriority w:val="99"/>
    <w:rsid w:val="00492280"/>
    <w:pPr>
      <w:spacing w:after="0" w:line="240" w:lineRule="auto"/>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TableGrid2251">
    <w:name w:val="Table Grid2251"/>
    <w:uiPriority w:val="99"/>
    <w:rsid w:val="00492280"/>
    <w:pPr>
      <w:spacing w:after="0" w:line="240" w:lineRule="auto"/>
    </w:pPr>
    <w:rPr>
      <w:rFonts w:ascii="Calibri" w:eastAsia="Calibri" w:hAnsi="Calibri" w:cs="Times New Roman"/>
      <w:sz w:val="20"/>
      <w:szCs w:val="20"/>
      <w:lang w:val="bg-BG" w:eastAsia="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51">
    <w:name w:val="Table Grid3151"/>
    <w:uiPriority w:val="99"/>
    <w:rsid w:val="00492280"/>
    <w:pPr>
      <w:spacing w:after="0" w:line="240" w:lineRule="auto"/>
    </w:pPr>
    <w:rPr>
      <w:rFonts w:ascii="Times New Roman" w:eastAsia="Times New Roman" w:hAnsi="Times New Roman" w:cs="Times New Roman"/>
      <w:sz w:val="20"/>
      <w:szCs w:val="20"/>
      <w:lang w:val="bg-BG" w:eastAsia="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22">
    <w:name w:val="No List111122"/>
    <w:next w:val="NoList"/>
    <w:uiPriority w:val="99"/>
    <w:semiHidden/>
    <w:unhideWhenUsed/>
    <w:rsid w:val="00492280"/>
  </w:style>
  <w:style w:type="numbering" w:customStyle="1" w:styleId="NoList21142">
    <w:name w:val="No List21142"/>
    <w:next w:val="NoList"/>
    <w:uiPriority w:val="99"/>
    <w:semiHidden/>
    <w:unhideWhenUsed/>
    <w:rsid w:val="00492280"/>
  </w:style>
  <w:style w:type="numbering" w:customStyle="1" w:styleId="NoList31142">
    <w:name w:val="No List31142"/>
    <w:next w:val="NoList"/>
    <w:semiHidden/>
    <w:rsid w:val="00492280"/>
  </w:style>
  <w:style w:type="numbering" w:customStyle="1" w:styleId="NoList4142">
    <w:name w:val="No List4142"/>
    <w:next w:val="NoList"/>
    <w:uiPriority w:val="99"/>
    <w:semiHidden/>
    <w:unhideWhenUsed/>
    <w:rsid w:val="00492280"/>
  </w:style>
  <w:style w:type="table" w:customStyle="1" w:styleId="TableWeb31151">
    <w:name w:val="Table Web 31151"/>
    <w:basedOn w:val="TableNormal"/>
    <w:next w:val="TableWeb3"/>
    <w:uiPriority w:val="99"/>
    <w:rsid w:val="00492280"/>
    <w:pPr>
      <w:spacing w:after="0" w:line="240" w:lineRule="auto"/>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TableGrid551">
    <w:name w:val="Table Grid551"/>
    <w:basedOn w:val="TableNormal"/>
    <w:next w:val="TableGrid"/>
    <w:uiPriority w:val="59"/>
    <w:rsid w:val="0049228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42">
    <w:name w:val="No List542"/>
    <w:next w:val="NoList"/>
    <w:uiPriority w:val="99"/>
    <w:semiHidden/>
    <w:unhideWhenUsed/>
    <w:rsid w:val="00492280"/>
  </w:style>
  <w:style w:type="numbering" w:customStyle="1" w:styleId="NoList1442">
    <w:name w:val="No List1442"/>
    <w:next w:val="NoList"/>
    <w:semiHidden/>
    <w:rsid w:val="00492280"/>
  </w:style>
  <w:style w:type="table" w:customStyle="1" w:styleId="TableGrid641">
    <w:name w:val="Table Grid641"/>
    <w:basedOn w:val="TableNormal"/>
    <w:next w:val="TableGrid"/>
    <w:rsid w:val="00492280"/>
    <w:pPr>
      <w:spacing w:after="0" w:line="240" w:lineRule="auto"/>
    </w:pPr>
    <w:rPr>
      <w:rFonts w:ascii="Times New Roman" w:eastAsia="Times New Roman" w:hAnsi="Times New Roman" w:cs="Times New Roman"/>
      <w:sz w:val="20"/>
      <w:szCs w:val="20"/>
      <w:lang w:val="bg-B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3341">
    <w:name w:val="Table Web 3341"/>
    <w:basedOn w:val="TableNormal"/>
    <w:next w:val="TableWeb3"/>
    <w:rsid w:val="00492280"/>
    <w:pPr>
      <w:spacing w:after="0" w:line="240" w:lineRule="auto"/>
    </w:pPr>
    <w:rPr>
      <w:rFonts w:ascii="Times New Roman" w:eastAsia="Times New Roman" w:hAnsi="Times New Roman" w:cs="Times New Roman"/>
      <w:sz w:val="20"/>
      <w:szCs w:val="20"/>
      <w:lang w:val="bg-BG" w:eastAsia="bg-BG"/>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1341">
    <w:name w:val="Table Grid1341"/>
    <w:basedOn w:val="TableNormal"/>
    <w:next w:val="TableGrid"/>
    <w:rsid w:val="00492280"/>
    <w:pPr>
      <w:spacing w:after="0" w:line="240" w:lineRule="auto"/>
    </w:pPr>
    <w:rPr>
      <w:rFonts w:ascii="Times New Roman" w:eastAsia="Times New Roman" w:hAnsi="Times New Roman" w:cs="Times New Roman"/>
      <w:sz w:val="20"/>
      <w:szCs w:val="20"/>
      <w:lang w:val="bg-B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42">
    <w:name w:val="No List2242"/>
    <w:next w:val="NoList"/>
    <w:uiPriority w:val="99"/>
    <w:semiHidden/>
    <w:unhideWhenUsed/>
    <w:rsid w:val="00492280"/>
  </w:style>
  <w:style w:type="table" w:customStyle="1" w:styleId="TableGrid2341">
    <w:name w:val="Table Grid2341"/>
    <w:basedOn w:val="TableNormal"/>
    <w:next w:val="TableGrid"/>
    <w:uiPriority w:val="99"/>
    <w:rsid w:val="00492280"/>
    <w:pPr>
      <w:spacing w:after="0" w:line="240" w:lineRule="auto"/>
    </w:pPr>
    <w:rPr>
      <w:rFonts w:ascii="Times New Roman" w:eastAsia="Times New Roman" w:hAnsi="Times New Roman" w:cs="Times New Roman"/>
      <w:sz w:val="20"/>
      <w:szCs w:val="20"/>
      <w:lang w:val="bg-B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31241">
    <w:name w:val="Table Web 31241"/>
    <w:basedOn w:val="TableNormal"/>
    <w:next w:val="TableWeb3"/>
    <w:uiPriority w:val="99"/>
    <w:rsid w:val="00492280"/>
    <w:pPr>
      <w:spacing w:after="0" w:line="240" w:lineRule="auto"/>
    </w:pPr>
    <w:rPr>
      <w:rFonts w:ascii="Times New Roman" w:eastAsia="Times New Roman" w:hAnsi="Times New Roman" w:cs="Times New Roman"/>
      <w:sz w:val="20"/>
      <w:szCs w:val="20"/>
      <w:lang w:val="bg-BG" w:eastAsia="bg-BG"/>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TableGrid11241">
    <w:name w:val="Table Grid11241"/>
    <w:uiPriority w:val="99"/>
    <w:rsid w:val="00492280"/>
    <w:pPr>
      <w:spacing w:after="0" w:line="240" w:lineRule="auto"/>
    </w:pPr>
    <w:rPr>
      <w:rFonts w:ascii="Times New Roman" w:eastAsia="Times New Roman" w:hAnsi="Times New Roman" w:cs="Times New Roman"/>
      <w:sz w:val="20"/>
      <w:szCs w:val="20"/>
      <w:lang w:val="bg-BG" w:eastAsia="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41">
    <w:name w:val="Table Grid21241"/>
    <w:uiPriority w:val="99"/>
    <w:rsid w:val="00492280"/>
    <w:pPr>
      <w:spacing w:after="0" w:line="240" w:lineRule="auto"/>
    </w:pPr>
    <w:rPr>
      <w:rFonts w:ascii="Calibri" w:eastAsia="Calibri" w:hAnsi="Calibri" w:cs="Times New Roman"/>
      <w:sz w:val="20"/>
      <w:szCs w:val="20"/>
      <w:lang w:val="bg-BG" w:eastAsia="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41">
    <w:name w:val="Table Grid3241"/>
    <w:uiPriority w:val="99"/>
    <w:rsid w:val="00492280"/>
    <w:pPr>
      <w:spacing w:after="0" w:line="240" w:lineRule="auto"/>
    </w:pPr>
    <w:rPr>
      <w:rFonts w:ascii="Times New Roman" w:eastAsia="Times New Roman" w:hAnsi="Times New Roman" w:cs="Times New Roman"/>
      <w:sz w:val="20"/>
      <w:szCs w:val="20"/>
      <w:lang w:val="bg-BG" w:eastAsia="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42">
    <w:name w:val="No List3242"/>
    <w:next w:val="NoList"/>
    <w:uiPriority w:val="99"/>
    <w:semiHidden/>
    <w:unhideWhenUsed/>
    <w:rsid w:val="00492280"/>
  </w:style>
  <w:style w:type="table" w:customStyle="1" w:styleId="TableGrid4141">
    <w:name w:val="Table Grid4141"/>
    <w:basedOn w:val="TableNormal"/>
    <w:next w:val="TableGrid"/>
    <w:uiPriority w:val="99"/>
    <w:rsid w:val="0049228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32141">
    <w:name w:val="Table Web 32141"/>
    <w:basedOn w:val="TableNormal"/>
    <w:next w:val="TableWeb3"/>
    <w:uiPriority w:val="99"/>
    <w:rsid w:val="00492280"/>
    <w:pPr>
      <w:spacing w:after="0" w:line="240" w:lineRule="auto"/>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TableGrid12141">
    <w:name w:val="Table Grid12141"/>
    <w:rsid w:val="00492280"/>
    <w:pPr>
      <w:spacing w:after="0" w:line="240" w:lineRule="auto"/>
    </w:pPr>
    <w:rPr>
      <w:rFonts w:ascii="Times New Roman" w:eastAsia="Times New Roman" w:hAnsi="Times New Roman" w:cs="Times New Roman"/>
      <w:sz w:val="20"/>
      <w:szCs w:val="20"/>
      <w:lang w:val="bg-BG" w:eastAsia="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41">
    <w:name w:val="Table Grid22141"/>
    <w:uiPriority w:val="99"/>
    <w:rsid w:val="00492280"/>
    <w:pPr>
      <w:spacing w:after="0" w:line="240" w:lineRule="auto"/>
    </w:pPr>
    <w:rPr>
      <w:rFonts w:ascii="Calibri" w:eastAsia="Calibri" w:hAnsi="Calibri" w:cs="Times New Roman"/>
      <w:sz w:val="20"/>
      <w:szCs w:val="20"/>
      <w:lang w:val="bg-BG" w:eastAsia="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41">
    <w:name w:val="Table Grid31141"/>
    <w:uiPriority w:val="99"/>
    <w:rsid w:val="00492280"/>
    <w:pPr>
      <w:spacing w:after="0" w:line="240" w:lineRule="auto"/>
    </w:pPr>
    <w:rPr>
      <w:rFonts w:ascii="Times New Roman" w:eastAsia="Times New Roman" w:hAnsi="Times New Roman" w:cs="Times New Roman"/>
      <w:sz w:val="20"/>
      <w:szCs w:val="20"/>
      <w:lang w:val="bg-BG" w:eastAsia="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42">
    <w:name w:val="No List11242"/>
    <w:next w:val="NoList"/>
    <w:uiPriority w:val="99"/>
    <w:semiHidden/>
    <w:unhideWhenUsed/>
    <w:rsid w:val="00492280"/>
  </w:style>
  <w:style w:type="numbering" w:customStyle="1" w:styleId="NoList21242">
    <w:name w:val="No List21242"/>
    <w:next w:val="NoList"/>
    <w:uiPriority w:val="99"/>
    <w:semiHidden/>
    <w:unhideWhenUsed/>
    <w:rsid w:val="00492280"/>
  </w:style>
  <w:style w:type="numbering" w:customStyle="1" w:styleId="NoList31242">
    <w:name w:val="No List31242"/>
    <w:next w:val="NoList"/>
    <w:semiHidden/>
    <w:rsid w:val="00492280"/>
  </w:style>
  <w:style w:type="numbering" w:customStyle="1" w:styleId="NoList4242">
    <w:name w:val="No List4242"/>
    <w:next w:val="NoList"/>
    <w:uiPriority w:val="99"/>
    <w:semiHidden/>
    <w:unhideWhenUsed/>
    <w:rsid w:val="00492280"/>
  </w:style>
  <w:style w:type="table" w:customStyle="1" w:styleId="TableWeb311141">
    <w:name w:val="Table Web 311141"/>
    <w:basedOn w:val="TableNormal"/>
    <w:next w:val="TableWeb3"/>
    <w:uiPriority w:val="99"/>
    <w:rsid w:val="00492280"/>
    <w:pPr>
      <w:spacing w:after="0" w:line="240" w:lineRule="auto"/>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TableGrid111141">
    <w:name w:val="Table Grid111141"/>
    <w:uiPriority w:val="99"/>
    <w:rsid w:val="00492280"/>
    <w:pPr>
      <w:spacing w:after="0" w:line="240" w:lineRule="auto"/>
    </w:pPr>
    <w:rPr>
      <w:rFonts w:ascii="Times New Roman" w:eastAsia="Times New Roman" w:hAnsi="Times New Roman" w:cs="Times New Roman"/>
      <w:sz w:val="20"/>
      <w:szCs w:val="20"/>
      <w:lang w:val="bg-BG" w:eastAsia="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41">
    <w:name w:val="Table Grid211141"/>
    <w:uiPriority w:val="99"/>
    <w:rsid w:val="00492280"/>
    <w:pPr>
      <w:spacing w:after="0" w:line="240" w:lineRule="auto"/>
    </w:pPr>
    <w:rPr>
      <w:rFonts w:ascii="Calibri" w:eastAsia="Calibri" w:hAnsi="Calibri" w:cs="Times New Roman"/>
      <w:sz w:val="20"/>
      <w:szCs w:val="20"/>
      <w:lang w:val="bg-BG" w:eastAsia="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41">
    <w:name w:val="Table Grid5141"/>
    <w:basedOn w:val="TableNormal"/>
    <w:next w:val="TableGrid"/>
    <w:uiPriority w:val="59"/>
    <w:rsid w:val="0049228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41">
    <w:name w:val="Table Grid741"/>
    <w:basedOn w:val="TableNormal"/>
    <w:next w:val="TableGrid"/>
    <w:rsid w:val="0049228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3441">
    <w:name w:val="Table Web 3441"/>
    <w:basedOn w:val="TableNormal"/>
    <w:next w:val="TableWeb3"/>
    <w:uiPriority w:val="99"/>
    <w:rsid w:val="00492280"/>
    <w:pPr>
      <w:spacing w:after="0" w:line="240" w:lineRule="auto"/>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TableGrid2441">
    <w:name w:val="Table Grid2441"/>
    <w:uiPriority w:val="99"/>
    <w:rsid w:val="00492280"/>
    <w:pPr>
      <w:spacing w:after="0" w:line="240" w:lineRule="auto"/>
    </w:pPr>
    <w:rPr>
      <w:rFonts w:ascii="Calibri" w:eastAsia="Calibri" w:hAnsi="Calibri" w:cs="Times New Roman"/>
      <w:sz w:val="20"/>
      <w:szCs w:val="20"/>
      <w:lang w:val="bg-BG" w:eastAsia="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41">
    <w:name w:val="Table Grid11341"/>
    <w:uiPriority w:val="99"/>
    <w:rsid w:val="00492280"/>
    <w:pPr>
      <w:spacing w:after="0" w:line="240" w:lineRule="auto"/>
    </w:pPr>
    <w:rPr>
      <w:rFonts w:ascii="Times New Roman" w:eastAsia="Times New Roman" w:hAnsi="Times New Roman" w:cs="Times New Roman"/>
      <w:sz w:val="20"/>
      <w:szCs w:val="20"/>
      <w:lang w:val="bg-BG" w:eastAsia="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41">
    <w:name w:val="Table Grid21341"/>
    <w:uiPriority w:val="99"/>
    <w:rsid w:val="00492280"/>
    <w:pPr>
      <w:spacing w:after="0" w:line="240" w:lineRule="auto"/>
    </w:pPr>
    <w:rPr>
      <w:rFonts w:ascii="Calibri" w:eastAsia="Calibri" w:hAnsi="Calibri" w:cs="Times New Roman"/>
      <w:sz w:val="20"/>
      <w:szCs w:val="20"/>
      <w:lang w:val="bg-BG" w:eastAsia="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01">
    <w:name w:val="Table Grid301"/>
    <w:basedOn w:val="TableNormal"/>
    <w:next w:val="TableGrid"/>
    <w:rsid w:val="00492280"/>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0">
    <w:name w:val="No List40"/>
    <w:next w:val="NoList"/>
    <w:uiPriority w:val="99"/>
    <w:semiHidden/>
    <w:unhideWhenUsed/>
    <w:rsid w:val="000B2CAB"/>
  </w:style>
  <w:style w:type="numbering" w:customStyle="1" w:styleId="NoList127">
    <w:name w:val="No List127"/>
    <w:next w:val="NoList"/>
    <w:uiPriority w:val="99"/>
    <w:semiHidden/>
    <w:unhideWhenUsed/>
    <w:rsid w:val="000B2CAB"/>
  </w:style>
  <w:style w:type="numbering" w:customStyle="1" w:styleId="NoList220">
    <w:name w:val="No List220"/>
    <w:next w:val="NoList"/>
    <w:uiPriority w:val="99"/>
    <w:semiHidden/>
    <w:unhideWhenUsed/>
    <w:rsid w:val="000B2CAB"/>
  </w:style>
  <w:style w:type="numbering" w:customStyle="1" w:styleId="NoList319">
    <w:name w:val="No List319"/>
    <w:next w:val="NoList"/>
    <w:uiPriority w:val="99"/>
    <w:semiHidden/>
    <w:unhideWhenUsed/>
    <w:rsid w:val="000B2CAB"/>
  </w:style>
  <w:style w:type="numbering" w:customStyle="1" w:styleId="NoList49">
    <w:name w:val="No List49"/>
    <w:next w:val="NoList"/>
    <w:uiPriority w:val="99"/>
    <w:semiHidden/>
    <w:unhideWhenUsed/>
    <w:rsid w:val="00441502"/>
  </w:style>
  <w:style w:type="numbering" w:customStyle="1" w:styleId="NoList128">
    <w:name w:val="No List128"/>
    <w:next w:val="NoList"/>
    <w:uiPriority w:val="99"/>
    <w:semiHidden/>
    <w:rsid w:val="00441502"/>
  </w:style>
  <w:style w:type="table" w:customStyle="1" w:styleId="TableGrid40">
    <w:name w:val="Table Grid40"/>
    <w:basedOn w:val="TableNormal"/>
    <w:next w:val="TableGrid"/>
    <w:uiPriority w:val="59"/>
    <w:rsid w:val="00441502"/>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0">
    <w:name w:val="Table Grid120"/>
    <w:basedOn w:val="TableNormal"/>
    <w:next w:val="TableGrid"/>
    <w:uiPriority w:val="59"/>
    <w:rsid w:val="0044150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7">
    <w:name w:val="No List1117"/>
    <w:next w:val="NoList"/>
    <w:uiPriority w:val="99"/>
    <w:semiHidden/>
    <w:unhideWhenUsed/>
    <w:rsid w:val="00441502"/>
  </w:style>
  <w:style w:type="numbering" w:customStyle="1" w:styleId="NoList227">
    <w:name w:val="No List227"/>
    <w:next w:val="NoList"/>
    <w:uiPriority w:val="99"/>
    <w:semiHidden/>
    <w:unhideWhenUsed/>
    <w:rsid w:val="00441502"/>
  </w:style>
  <w:style w:type="numbering" w:customStyle="1" w:styleId="NoList320">
    <w:name w:val="No List320"/>
    <w:next w:val="NoList"/>
    <w:semiHidden/>
    <w:unhideWhenUsed/>
    <w:rsid w:val="00441502"/>
  </w:style>
  <w:style w:type="table" w:customStyle="1" w:styleId="TableGrid1117">
    <w:name w:val="Table Grid1117"/>
    <w:basedOn w:val="TableNormal"/>
    <w:next w:val="TableGrid"/>
    <w:rsid w:val="00441502"/>
    <w:pPr>
      <w:spacing w:after="0" w:line="240" w:lineRule="auto"/>
      <w:jc w:val="both"/>
    </w:pPr>
    <w:rPr>
      <w:rFonts w:ascii="Calibri" w:eastAsia="Calibri" w:hAnsi="Calibri" w:cs="Times New Roman"/>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9">
    <w:name w:val="Table Grid219"/>
    <w:basedOn w:val="TableNormal"/>
    <w:next w:val="TableGrid"/>
    <w:uiPriority w:val="59"/>
    <w:rsid w:val="00441502"/>
    <w:pPr>
      <w:spacing w:after="0" w:line="240" w:lineRule="auto"/>
    </w:pPr>
    <w:rPr>
      <w:rFonts w:ascii="Verdana" w:eastAsia="Times New Roman" w:hAnsi="Verdana" w:cs="Times New Roman"/>
      <w:sz w:val="20"/>
      <w:szCs w:val="20"/>
      <w:lang w:val="bg-B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9">
    <w:name w:val="No List129"/>
    <w:next w:val="NoList"/>
    <w:semiHidden/>
    <w:rsid w:val="00441502"/>
  </w:style>
  <w:style w:type="numbering" w:customStyle="1" w:styleId="NoList410">
    <w:name w:val="No List410"/>
    <w:next w:val="NoList"/>
    <w:uiPriority w:val="99"/>
    <w:semiHidden/>
    <w:unhideWhenUsed/>
    <w:rsid w:val="00441502"/>
  </w:style>
  <w:style w:type="numbering" w:customStyle="1" w:styleId="NoList137">
    <w:name w:val="No List137"/>
    <w:next w:val="NoList"/>
    <w:semiHidden/>
    <w:rsid w:val="00441502"/>
  </w:style>
  <w:style w:type="table" w:customStyle="1" w:styleId="TableGrid317">
    <w:name w:val="Table Grid317"/>
    <w:basedOn w:val="TableNormal"/>
    <w:next w:val="TableGrid"/>
    <w:uiPriority w:val="99"/>
    <w:rsid w:val="00441502"/>
    <w:pPr>
      <w:spacing w:after="0" w:line="240" w:lineRule="auto"/>
    </w:pPr>
    <w:rPr>
      <w:rFonts w:ascii="Times New Roman" w:eastAsia="Times New Roman" w:hAnsi="Times New Roman" w:cs="Times New Roman"/>
      <w:sz w:val="20"/>
      <w:szCs w:val="20"/>
      <w:lang w:val="bg-B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310">
    <w:name w:val="Table Web 310"/>
    <w:basedOn w:val="TableNormal"/>
    <w:next w:val="TableWeb3"/>
    <w:rsid w:val="00441502"/>
    <w:pPr>
      <w:spacing w:after="0" w:line="240" w:lineRule="auto"/>
    </w:pPr>
    <w:rPr>
      <w:rFonts w:ascii="Times New Roman" w:eastAsia="Times New Roman" w:hAnsi="Times New Roman" w:cs="Times New Roman"/>
      <w:sz w:val="20"/>
      <w:szCs w:val="20"/>
      <w:lang w:val="bg-BG" w:eastAsia="bg-BG"/>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127">
    <w:name w:val="Table Grid127"/>
    <w:basedOn w:val="TableNormal"/>
    <w:next w:val="TableGrid"/>
    <w:rsid w:val="00441502"/>
    <w:pPr>
      <w:spacing w:after="0" w:line="240" w:lineRule="auto"/>
    </w:pPr>
    <w:rPr>
      <w:rFonts w:ascii="Times New Roman" w:eastAsia="Times New Roman" w:hAnsi="Times New Roman" w:cs="Times New Roman"/>
      <w:sz w:val="20"/>
      <w:szCs w:val="20"/>
      <w:lang w:val="bg-B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10">
    <w:name w:val="No List2110"/>
    <w:next w:val="NoList"/>
    <w:uiPriority w:val="99"/>
    <w:semiHidden/>
    <w:unhideWhenUsed/>
    <w:rsid w:val="00441502"/>
  </w:style>
  <w:style w:type="table" w:customStyle="1" w:styleId="TableGrid2110">
    <w:name w:val="Table Grid2110"/>
    <w:basedOn w:val="TableNormal"/>
    <w:next w:val="TableGrid"/>
    <w:uiPriority w:val="99"/>
    <w:rsid w:val="00441502"/>
    <w:pPr>
      <w:spacing w:after="0" w:line="240" w:lineRule="auto"/>
    </w:pPr>
    <w:rPr>
      <w:rFonts w:ascii="Times New Roman" w:eastAsia="Times New Roman" w:hAnsi="Times New Roman" w:cs="Times New Roman"/>
      <w:sz w:val="20"/>
      <w:szCs w:val="20"/>
      <w:lang w:val="bg-B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318">
    <w:name w:val="Table Web 318"/>
    <w:basedOn w:val="TableNormal"/>
    <w:next w:val="TableWeb3"/>
    <w:uiPriority w:val="99"/>
    <w:rsid w:val="00441502"/>
    <w:pPr>
      <w:spacing w:after="0" w:line="240" w:lineRule="auto"/>
    </w:pPr>
    <w:rPr>
      <w:rFonts w:ascii="Times New Roman" w:eastAsia="Times New Roman" w:hAnsi="Times New Roman" w:cs="Times New Roman"/>
      <w:sz w:val="20"/>
      <w:szCs w:val="20"/>
      <w:lang w:val="bg-BG" w:eastAsia="bg-BG"/>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TableGrid1118">
    <w:name w:val="Table Grid1118"/>
    <w:uiPriority w:val="99"/>
    <w:rsid w:val="00441502"/>
    <w:pPr>
      <w:spacing w:after="0" w:line="240" w:lineRule="auto"/>
    </w:pPr>
    <w:rPr>
      <w:rFonts w:ascii="Times New Roman" w:eastAsia="Times New Roman" w:hAnsi="Times New Roman" w:cs="Times New Roman"/>
      <w:sz w:val="20"/>
      <w:szCs w:val="20"/>
      <w:lang w:val="bg-BG" w:eastAsia="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7">
    <w:name w:val="Table Grid2117"/>
    <w:uiPriority w:val="99"/>
    <w:rsid w:val="00441502"/>
    <w:pPr>
      <w:spacing w:after="0" w:line="240" w:lineRule="auto"/>
    </w:pPr>
    <w:rPr>
      <w:rFonts w:ascii="Calibri" w:eastAsia="Calibri" w:hAnsi="Calibri" w:cs="Times New Roman"/>
      <w:sz w:val="20"/>
      <w:szCs w:val="20"/>
      <w:lang w:val="bg-BG" w:eastAsia="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10">
    <w:name w:val="No List3110"/>
    <w:next w:val="NoList"/>
    <w:uiPriority w:val="99"/>
    <w:semiHidden/>
    <w:unhideWhenUsed/>
    <w:rsid w:val="00441502"/>
  </w:style>
  <w:style w:type="table" w:customStyle="1" w:styleId="TableGrid47">
    <w:name w:val="Table Grid47"/>
    <w:basedOn w:val="TableNormal"/>
    <w:next w:val="TableGrid"/>
    <w:uiPriority w:val="99"/>
    <w:rsid w:val="0044150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327">
    <w:name w:val="Table Web 327"/>
    <w:basedOn w:val="TableNormal"/>
    <w:next w:val="TableWeb3"/>
    <w:uiPriority w:val="99"/>
    <w:rsid w:val="00441502"/>
    <w:pPr>
      <w:spacing w:after="0" w:line="240" w:lineRule="auto"/>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TableGrid227">
    <w:name w:val="Table Grid227"/>
    <w:uiPriority w:val="99"/>
    <w:rsid w:val="00441502"/>
    <w:pPr>
      <w:spacing w:after="0" w:line="240" w:lineRule="auto"/>
    </w:pPr>
    <w:rPr>
      <w:rFonts w:ascii="Calibri" w:eastAsia="Calibri" w:hAnsi="Calibri" w:cs="Times New Roman"/>
      <w:sz w:val="20"/>
      <w:szCs w:val="20"/>
      <w:lang w:val="bg-BG" w:eastAsia="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8">
    <w:name w:val="Table Grid318"/>
    <w:uiPriority w:val="99"/>
    <w:rsid w:val="00441502"/>
    <w:pPr>
      <w:spacing w:after="0" w:line="240" w:lineRule="auto"/>
    </w:pPr>
    <w:rPr>
      <w:rFonts w:ascii="Times New Roman" w:eastAsia="Times New Roman" w:hAnsi="Times New Roman" w:cs="Times New Roman"/>
      <w:sz w:val="20"/>
      <w:szCs w:val="20"/>
      <w:lang w:val="bg-BG" w:eastAsia="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8">
    <w:name w:val="No List1118"/>
    <w:next w:val="NoList"/>
    <w:uiPriority w:val="99"/>
    <w:semiHidden/>
    <w:unhideWhenUsed/>
    <w:rsid w:val="00441502"/>
  </w:style>
  <w:style w:type="numbering" w:customStyle="1" w:styleId="NoList2117">
    <w:name w:val="No List2117"/>
    <w:next w:val="NoList"/>
    <w:uiPriority w:val="99"/>
    <w:semiHidden/>
    <w:unhideWhenUsed/>
    <w:rsid w:val="00441502"/>
  </w:style>
  <w:style w:type="numbering" w:customStyle="1" w:styleId="NoList3117">
    <w:name w:val="No List3117"/>
    <w:next w:val="NoList"/>
    <w:semiHidden/>
    <w:rsid w:val="00441502"/>
  </w:style>
  <w:style w:type="numbering" w:customStyle="1" w:styleId="NoList417">
    <w:name w:val="No List417"/>
    <w:next w:val="NoList"/>
    <w:uiPriority w:val="99"/>
    <w:semiHidden/>
    <w:unhideWhenUsed/>
    <w:rsid w:val="00441502"/>
  </w:style>
  <w:style w:type="table" w:customStyle="1" w:styleId="TableWeb3117">
    <w:name w:val="Table Web 3117"/>
    <w:basedOn w:val="TableNormal"/>
    <w:next w:val="TableWeb3"/>
    <w:uiPriority w:val="99"/>
    <w:rsid w:val="00441502"/>
    <w:pPr>
      <w:spacing w:after="0" w:line="240" w:lineRule="auto"/>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TableGrid57">
    <w:name w:val="Table Grid57"/>
    <w:basedOn w:val="TableNormal"/>
    <w:next w:val="TableGrid"/>
    <w:uiPriority w:val="59"/>
    <w:rsid w:val="00441502"/>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7">
    <w:name w:val="No List57"/>
    <w:next w:val="NoList"/>
    <w:uiPriority w:val="99"/>
    <w:semiHidden/>
    <w:unhideWhenUsed/>
    <w:rsid w:val="00441502"/>
  </w:style>
  <w:style w:type="numbering" w:customStyle="1" w:styleId="NoList147">
    <w:name w:val="No List147"/>
    <w:next w:val="NoList"/>
    <w:semiHidden/>
    <w:rsid w:val="00441502"/>
  </w:style>
  <w:style w:type="table" w:customStyle="1" w:styleId="TableGrid66">
    <w:name w:val="Table Grid66"/>
    <w:basedOn w:val="TableNormal"/>
    <w:next w:val="TableGrid"/>
    <w:rsid w:val="00441502"/>
    <w:pPr>
      <w:spacing w:after="0" w:line="240" w:lineRule="auto"/>
    </w:pPr>
    <w:rPr>
      <w:rFonts w:ascii="Times New Roman" w:eastAsia="Times New Roman" w:hAnsi="Times New Roman" w:cs="Times New Roman"/>
      <w:sz w:val="20"/>
      <w:szCs w:val="20"/>
      <w:lang w:val="bg-B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336">
    <w:name w:val="Table Web 336"/>
    <w:basedOn w:val="TableNormal"/>
    <w:next w:val="TableWeb3"/>
    <w:rsid w:val="00441502"/>
    <w:pPr>
      <w:spacing w:after="0" w:line="240" w:lineRule="auto"/>
    </w:pPr>
    <w:rPr>
      <w:rFonts w:ascii="Times New Roman" w:eastAsia="Times New Roman" w:hAnsi="Times New Roman" w:cs="Times New Roman"/>
      <w:sz w:val="20"/>
      <w:szCs w:val="20"/>
      <w:lang w:val="bg-BG" w:eastAsia="bg-BG"/>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136">
    <w:name w:val="Table Grid136"/>
    <w:basedOn w:val="TableNormal"/>
    <w:next w:val="TableGrid"/>
    <w:rsid w:val="00441502"/>
    <w:pPr>
      <w:spacing w:after="0" w:line="240" w:lineRule="auto"/>
    </w:pPr>
    <w:rPr>
      <w:rFonts w:ascii="Times New Roman" w:eastAsia="Times New Roman" w:hAnsi="Times New Roman" w:cs="Times New Roman"/>
      <w:sz w:val="20"/>
      <w:szCs w:val="20"/>
      <w:lang w:val="bg-B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8">
    <w:name w:val="No List228"/>
    <w:next w:val="NoList"/>
    <w:uiPriority w:val="99"/>
    <w:semiHidden/>
    <w:unhideWhenUsed/>
    <w:rsid w:val="00441502"/>
  </w:style>
  <w:style w:type="table" w:customStyle="1" w:styleId="TableGrid236">
    <w:name w:val="Table Grid236"/>
    <w:basedOn w:val="TableNormal"/>
    <w:next w:val="TableGrid"/>
    <w:uiPriority w:val="99"/>
    <w:rsid w:val="00441502"/>
    <w:pPr>
      <w:spacing w:after="0" w:line="240" w:lineRule="auto"/>
    </w:pPr>
    <w:rPr>
      <w:rFonts w:ascii="Times New Roman" w:eastAsia="Times New Roman" w:hAnsi="Times New Roman" w:cs="Times New Roman"/>
      <w:sz w:val="20"/>
      <w:szCs w:val="20"/>
      <w:lang w:val="bg-B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3126">
    <w:name w:val="Table Web 3126"/>
    <w:basedOn w:val="TableNormal"/>
    <w:next w:val="TableWeb3"/>
    <w:uiPriority w:val="99"/>
    <w:rsid w:val="00441502"/>
    <w:pPr>
      <w:spacing w:after="0" w:line="240" w:lineRule="auto"/>
    </w:pPr>
    <w:rPr>
      <w:rFonts w:ascii="Times New Roman" w:eastAsia="Times New Roman" w:hAnsi="Times New Roman" w:cs="Times New Roman"/>
      <w:sz w:val="20"/>
      <w:szCs w:val="20"/>
      <w:lang w:val="bg-BG" w:eastAsia="bg-BG"/>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TableGrid1126">
    <w:name w:val="Table Grid1126"/>
    <w:uiPriority w:val="99"/>
    <w:rsid w:val="00441502"/>
    <w:pPr>
      <w:spacing w:after="0" w:line="240" w:lineRule="auto"/>
    </w:pPr>
    <w:rPr>
      <w:rFonts w:ascii="Times New Roman" w:eastAsia="Times New Roman" w:hAnsi="Times New Roman" w:cs="Times New Roman"/>
      <w:sz w:val="20"/>
      <w:szCs w:val="20"/>
      <w:lang w:val="bg-BG" w:eastAsia="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6">
    <w:name w:val="Table Grid2126"/>
    <w:uiPriority w:val="99"/>
    <w:rsid w:val="00441502"/>
    <w:pPr>
      <w:spacing w:after="0" w:line="240" w:lineRule="auto"/>
    </w:pPr>
    <w:rPr>
      <w:rFonts w:ascii="Calibri" w:eastAsia="Calibri" w:hAnsi="Calibri" w:cs="Times New Roman"/>
      <w:sz w:val="20"/>
      <w:szCs w:val="20"/>
      <w:lang w:val="bg-BG" w:eastAsia="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6">
    <w:name w:val="Table Grid326"/>
    <w:uiPriority w:val="99"/>
    <w:rsid w:val="00441502"/>
    <w:pPr>
      <w:spacing w:after="0" w:line="240" w:lineRule="auto"/>
    </w:pPr>
    <w:rPr>
      <w:rFonts w:ascii="Times New Roman" w:eastAsia="Times New Roman" w:hAnsi="Times New Roman" w:cs="Times New Roman"/>
      <w:sz w:val="20"/>
      <w:szCs w:val="20"/>
      <w:lang w:val="bg-BG" w:eastAsia="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7">
    <w:name w:val="No List327"/>
    <w:next w:val="NoList"/>
    <w:uiPriority w:val="99"/>
    <w:semiHidden/>
    <w:unhideWhenUsed/>
    <w:rsid w:val="00441502"/>
  </w:style>
  <w:style w:type="table" w:customStyle="1" w:styleId="TableGrid416">
    <w:name w:val="Table Grid416"/>
    <w:basedOn w:val="TableNormal"/>
    <w:next w:val="TableGrid"/>
    <w:uiPriority w:val="99"/>
    <w:rsid w:val="0044150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3216">
    <w:name w:val="Table Web 3216"/>
    <w:basedOn w:val="TableNormal"/>
    <w:next w:val="TableWeb3"/>
    <w:uiPriority w:val="99"/>
    <w:rsid w:val="00441502"/>
    <w:pPr>
      <w:spacing w:after="0" w:line="240" w:lineRule="auto"/>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TableGrid1216">
    <w:name w:val="Table Grid1216"/>
    <w:rsid w:val="00441502"/>
    <w:pPr>
      <w:spacing w:after="0" w:line="240" w:lineRule="auto"/>
    </w:pPr>
    <w:rPr>
      <w:rFonts w:ascii="Times New Roman" w:eastAsia="Times New Roman" w:hAnsi="Times New Roman" w:cs="Times New Roman"/>
      <w:sz w:val="20"/>
      <w:szCs w:val="20"/>
      <w:lang w:val="bg-BG" w:eastAsia="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6">
    <w:name w:val="Table Grid2216"/>
    <w:uiPriority w:val="99"/>
    <w:rsid w:val="00441502"/>
    <w:pPr>
      <w:spacing w:after="0" w:line="240" w:lineRule="auto"/>
    </w:pPr>
    <w:rPr>
      <w:rFonts w:ascii="Calibri" w:eastAsia="Calibri" w:hAnsi="Calibri" w:cs="Times New Roman"/>
      <w:sz w:val="20"/>
      <w:szCs w:val="20"/>
      <w:lang w:val="bg-BG" w:eastAsia="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6">
    <w:name w:val="Table Grid3116"/>
    <w:uiPriority w:val="99"/>
    <w:rsid w:val="00441502"/>
    <w:pPr>
      <w:spacing w:after="0" w:line="240" w:lineRule="auto"/>
    </w:pPr>
    <w:rPr>
      <w:rFonts w:ascii="Times New Roman" w:eastAsia="Times New Roman" w:hAnsi="Times New Roman" w:cs="Times New Roman"/>
      <w:sz w:val="20"/>
      <w:szCs w:val="20"/>
      <w:lang w:val="bg-BG" w:eastAsia="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7">
    <w:name w:val="No List1127"/>
    <w:next w:val="NoList"/>
    <w:uiPriority w:val="99"/>
    <w:semiHidden/>
    <w:unhideWhenUsed/>
    <w:rsid w:val="00441502"/>
  </w:style>
  <w:style w:type="numbering" w:customStyle="1" w:styleId="NoList2127">
    <w:name w:val="No List2127"/>
    <w:next w:val="NoList"/>
    <w:uiPriority w:val="99"/>
    <w:semiHidden/>
    <w:unhideWhenUsed/>
    <w:rsid w:val="00441502"/>
  </w:style>
  <w:style w:type="numbering" w:customStyle="1" w:styleId="NoList3127">
    <w:name w:val="No List3127"/>
    <w:next w:val="NoList"/>
    <w:semiHidden/>
    <w:rsid w:val="00441502"/>
  </w:style>
  <w:style w:type="numbering" w:customStyle="1" w:styleId="NoList427">
    <w:name w:val="No List427"/>
    <w:next w:val="NoList"/>
    <w:uiPriority w:val="99"/>
    <w:semiHidden/>
    <w:unhideWhenUsed/>
    <w:rsid w:val="00441502"/>
  </w:style>
  <w:style w:type="table" w:customStyle="1" w:styleId="TableWeb31116">
    <w:name w:val="Table Web 31116"/>
    <w:basedOn w:val="TableNormal"/>
    <w:next w:val="TableWeb3"/>
    <w:uiPriority w:val="99"/>
    <w:rsid w:val="00441502"/>
    <w:pPr>
      <w:spacing w:after="0" w:line="240" w:lineRule="auto"/>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TableGrid11116">
    <w:name w:val="Table Grid11116"/>
    <w:uiPriority w:val="99"/>
    <w:rsid w:val="00441502"/>
    <w:pPr>
      <w:spacing w:after="0" w:line="240" w:lineRule="auto"/>
    </w:pPr>
    <w:rPr>
      <w:rFonts w:ascii="Times New Roman" w:eastAsia="Times New Roman" w:hAnsi="Times New Roman" w:cs="Times New Roman"/>
      <w:sz w:val="20"/>
      <w:szCs w:val="20"/>
      <w:lang w:val="bg-BG" w:eastAsia="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6">
    <w:name w:val="Table Grid21116"/>
    <w:uiPriority w:val="99"/>
    <w:rsid w:val="00441502"/>
    <w:pPr>
      <w:spacing w:after="0" w:line="240" w:lineRule="auto"/>
    </w:pPr>
    <w:rPr>
      <w:rFonts w:ascii="Calibri" w:eastAsia="Calibri" w:hAnsi="Calibri" w:cs="Times New Roman"/>
      <w:sz w:val="20"/>
      <w:szCs w:val="20"/>
      <w:lang w:val="bg-BG" w:eastAsia="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6">
    <w:name w:val="Table Grid516"/>
    <w:basedOn w:val="TableNormal"/>
    <w:next w:val="TableGrid"/>
    <w:uiPriority w:val="59"/>
    <w:rsid w:val="00441502"/>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6">
    <w:name w:val="Table Grid76"/>
    <w:basedOn w:val="TableNormal"/>
    <w:next w:val="TableGrid"/>
    <w:rsid w:val="0044150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346">
    <w:name w:val="Table Web 346"/>
    <w:basedOn w:val="TableNormal"/>
    <w:next w:val="TableWeb3"/>
    <w:uiPriority w:val="99"/>
    <w:rsid w:val="00441502"/>
    <w:pPr>
      <w:spacing w:after="0" w:line="240" w:lineRule="auto"/>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TableGrid246">
    <w:name w:val="Table Grid246"/>
    <w:uiPriority w:val="99"/>
    <w:rsid w:val="00441502"/>
    <w:pPr>
      <w:spacing w:after="0" w:line="240" w:lineRule="auto"/>
    </w:pPr>
    <w:rPr>
      <w:rFonts w:ascii="Calibri" w:eastAsia="Calibri" w:hAnsi="Calibri" w:cs="Times New Roman"/>
      <w:sz w:val="20"/>
      <w:szCs w:val="20"/>
      <w:lang w:val="bg-BG" w:eastAsia="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6">
    <w:name w:val="Table Grid1136"/>
    <w:uiPriority w:val="99"/>
    <w:rsid w:val="00441502"/>
    <w:pPr>
      <w:spacing w:after="0" w:line="240" w:lineRule="auto"/>
    </w:pPr>
    <w:rPr>
      <w:rFonts w:ascii="Times New Roman" w:eastAsia="Times New Roman" w:hAnsi="Times New Roman" w:cs="Times New Roman"/>
      <w:sz w:val="20"/>
      <w:szCs w:val="20"/>
      <w:lang w:val="bg-BG" w:eastAsia="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6">
    <w:name w:val="Table Grid2136"/>
    <w:uiPriority w:val="99"/>
    <w:rsid w:val="00441502"/>
    <w:pPr>
      <w:spacing w:after="0" w:line="240" w:lineRule="auto"/>
    </w:pPr>
    <w:rPr>
      <w:rFonts w:ascii="Calibri" w:eastAsia="Calibri" w:hAnsi="Calibri" w:cs="Times New Roman"/>
      <w:sz w:val="20"/>
      <w:szCs w:val="20"/>
      <w:lang w:val="bg-BG" w:eastAsia="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3">
    <w:name w:val="No List63"/>
    <w:next w:val="NoList"/>
    <w:uiPriority w:val="99"/>
    <w:semiHidden/>
    <w:unhideWhenUsed/>
    <w:rsid w:val="00441502"/>
  </w:style>
  <w:style w:type="numbering" w:customStyle="1" w:styleId="NoList153">
    <w:name w:val="No List153"/>
    <w:next w:val="NoList"/>
    <w:uiPriority w:val="99"/>
    <w:semiHidden/>
    <w:rsid w:val="00441502"/>
  </w:style>
  <w:style w:type="table" w:customStyle="1" w:styleId="TableGrid82">
    <w:name w:val="Table Grid82"/>
    <w:basedOn w:val="TableNormal"/>
    <w:next w:val="TableGrid"/>
    <w:rsid w:val="00441502"/>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2">
    <w:name w:val="Table Grid142"/>
    <w:basedOn w:val="TableNormal"/>
    <w:next w:val="TableGrid"/>
    <w:rsid w:val="0044150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33">
    <w:name w:val="No List1133"/>
    <w:next w:val="NoList"/>
    <w:uiPriority w:val="99"/>
    <w:semiHidden/>
    <w:unhideWhenUsed/>
    <w:rsid w:val="00441502"/>
  </w:style>
  <w:style w:type="numbering" w:customStyle="1" w:styleId="NoList233">
    <w:name w:val="No List233"/>
    <w:next w:val="NoList"/>
    <w:uiPriority w:val="99"/>
    <w:semiHidden/>
    <w:unhideWhenUsed/>
    <w:rsid w:val="00441502"/>
  </w:style>
  <w:style w:type="numbering" w:customStyle="1" w:styleId="NoList333">
    <w:name w:val="No List333"/>
    <w:next w:val="NoList"/>
    <w:semiHidden/>
    <w:unhideWhenUsed/>
    <w:rsid w:val="00441502"/>
  </w:style>
  <w:style w:type="table" w:customStyle="1" w:styleId="TableGrid1142">
    <w:name w:val="Table Grid1142"/>
    <w:basedOn w:val="TableNormal"/>
    <w:next w:val="TableGrid"/>
    <w:rsid w:val="00441502"/>
    <w:pPr>
      <w:spacing w:after="0" w:line="240" w:lineRule="auto"/>
      <w:jc w:val="both"/>
    </w:pPr>
    <w:rPr>
      <w:rFonts w:ascii="Calibri" w:eastAsia="Calibri" w:hAnsi="Calibri" w:cs="Times New Roman"/>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2">
    <w:name w:val="Table Grid252"/>
    <w:basedOn w:val="TableNormal"/>
    <w:next w:val="TableGrid"/>
    <w:rsid w:val="00441502"/>
    <w:pPr>
      <w:spacing w:after="0" w:line="240" w:lineRule="auto"/>
    </w:pPr>
    <w:rPr>
      <w:rFonts w:ascii="Verdana" w:eastAsia="Times New Roman" w:hAnsi="Verdana" w:cs="Times New Roman"/>
      <w:sz w:val="20"/>
      <w:szCs w:val="20"/>
      <w:lang w:val="bg-B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3">
    <w:name w:val="No List1213"/>
    <w:next w:val="NoList"/>
    <w:semiHidden/>
    <w:rsid w:val="00441502"/>
  </w:style>
  <w:style w:type="numbering" w:customStyle="1" w:styleId="NoList433">
    <w:name w:val="No List433"/>
    <w:next w:val="NoList"/>
    <w:uiPriority w:val="99"/>
    <w:semiHidden/>
    <w:unhideWhenUsed/>
    <w:rsid w:val="00441502"/>
  </w:style>
  <w:style w:type="numbering" w:customStyle="1" w:styleId="NoList1313">
    <w:name w:val="No List1313"/>
    <w:next w:val="NoList"/>
    <w:semiHidden/>
    <w:rsid w:val="00441502"/>
  </w:style>
  <w:style w:type="table" w:customStyle="1" w:styleId="TableGrid332">
    <w:name w:val="Table Grid332"/>
    <w:basedOn w:val="TableNormal"/>
    <w:next w:val="TableGrid"/>
    <w:uiPriority w:val="99"/>
    <w:rsid w:val="00441502"/>
    <w:pPr>
      <w:spacing w:after="0" w:line="240" w:lineRule="auto"/>
    </w:pPr>
    <w:rPr>
      <w:rFonts w:ascii="Times New Roman" w:eastAsia="Times New Roman" w:hAnsi="Times New Roman" w:cs="Times New Roman"/>
      <w:sz w:val="20"/>
      <w:szCs w:val="20"/>
      <w:lang w:val="bg-B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352">
    <w:name w:val="Table Web 352"/>
    <w:basedOn w:val="TableNormal"/>
    <w:next w:val="TableWeb3"/>
    <w:rsid w:val="00441502"/>
    <w:pPr>
      <w:spacing w:after="0" w:line="240" w:lineRule="auto"/>
    </w:pPr>
    <w:rPr>
      <w:rFonts w:ascii="Times New Roman" w:eastAsia="Times New Roman" w:hAnsi="Times New Roman" w:cs="Times New Roman"/>
      <w:sz w:val="20"/>
      <w:szCs w:val="20"/>
      <w:lang w:val="bg-BG" w:eastAsia="bg-BG"/>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1222">
    <w:name w:val="Table Grid1222"/>
    <w:basedOn w:val="TableNormal"/>
    <w:next w:val="TableGrid"/>
    <w:rsid w:val="00441502"/>
    <w:pPr>
      <w:spacing w:after="0" w:line="240" w:lineRule="auto"/>
    </w:pPr>
    <w:rPr>
      <w:rFonts w:ascii="Times New Roman" w:eastAsia="Times New Roman" w:hAnsi="Times New Roman" w:cs="Times New Roman"/>
      <w:sz w:val="20"/>
      <w:szCs w:val="20"/>
      <w:lang w:val="bg-B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33">
    <w:name w:val="No List2133"/>
    <w:next w:val="NoList"/>
    <w:uiPriority w:val="99"/>
    <w:semiHidden/>
    <w:unhideWhenUsed/>
    <w:rsid w:val="00441502"/>
  </w:style>
  <w:style w:type="table" w:customStyle="1" w:styleId="TableGrid2142">
    <w:name w:val="Table Grid2142"/>
    <w:basedOn w:val="TableNormal"/>
    <w:next w:val="TableGrid"/>
    <w:uiPriority w:val="99"/>
    <w:rsid w:val="00441502"/>
    <w:pPr>
      <w:spacing w:after="0" w:line="240" w:lineRule="auto"/>
    </w:pPr>
    <w:rPr>
      <w:rFonts w:ascii="Times New Roman" w:eastAsia="Times New Roman" w:hAnsi="Times New Roman" w:cs="Times New Roman"/>
      <w:sz w:val="20"/>
      <w:szCs w:val="20"/>
      <w:lang w:val="bg-B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3132">
    <w:name w:val="Table Web 3132"/>
    <w:basedOn w:val="TableNormal"/>
    <w:next w:val="TableWeb3"/>
    <w:uiPriority w:val="99"/>
    <w:rsid w:val="00441502"/>
    <w:pPr>
      <w:spacing w:after="0" w:line="240" w:lineRule="auto"/>
    </w:pPr>
    <w:rPr>
      <w:rFonts w:ascii="Times New Roman" w:eastAsia="Times New Roman" w:hAnsi="Times New Roman" w:cs="Times New Roman"/>
      <w:sz w:val="20"/>
      <w:szCs w:val="20"/>
      <w:lang w:val="bg-BG" w:eastAsia="bg-BG"/>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TableGrid11122">
    <w:name w:val="Table Grid11122"/>
    <w:uiPriority w:val="99"/>
    <w:rsid w:val="00441502"/>
    <w:pPr>
      <w:spacing w:after="0" w:line="240" w:lineRule="auto"/>
    </w:pPr>
    <w:rPr>
      <w:rFonts w:ascii="Times New Roman" w:eastAsia="Times New Roman" w:hAnsi="Times New Roman" w:cs="Times New Roman"/>
      <w:sz w:val="20"/>
      <w:szCs w:val="20"/>
      <w:lang w:val="bg-BG" w:eastAsia="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2">
    <w:name w:val="Table Grid21122"/>
    <w:uiPriority w:val="99"/>
    <w:rsid w:val="00441502"/>
    <w:pPr>
      <w:spacing w:after="0" w:line="240" w:lineRule="auto"/>
    </w:pPr>
    <w:rPr>
      <w:rFonts w:ascii="Calibri" w:eastAsia="Calibri" w:hAnsi="Calibri" w:cs="Times New Roman"/>
      <w:sz w:val="20"/>
      <w:szCs w:val="20"/>
      <w:lang w:val="bg-BG" w:eastAsia="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33">
    <w:name w:val="No List3133"/>
    <w:next w:val="NoList"/>
    <w:uiPriority w:val="99"/>
    <w:semiHidden/>
    <w:unhideWhenUsed/>
    <w:rsid w:val="00441502"/>
  </w:style>
  <w:style w:type="table" w:customStyle="1" w:styleId="TableGrid422">
    <w:name w:val="Table Grid422"/>
    <w:basedOn w:val="TableNormal"/>
    <w:next w:val="TableGrid"/>
    <w:uiPriority w:val="99"/>
    <w:rsid w:val="0044150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3222">
    <w:name w:val="Table Web 3222"/>
    <w:basedOn w:val="TableNormal"/>
    <w:next w:val="TableWeb3"/>
    <w:uiPriority w:val="99"/>
    <w:rsid w:val="00441502"/>
    <w:pPr>
      <w:spacing w:after="0" w:line="240" w:lineRule="auto"/>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TableGrid2222">
    <w:name w:val="Table Grid2222"/>
    <w:uiPriority w:val="99"/>
    <w:rsid w:val="00441502"/>
    <w:pPr>
      <w:spacing w:after="0" w:line="240" w:lineRule="auto"/>
    </w:pPr>
    <w:rPr>
      <w:rFonts w:ascii="Calibri" w:eastAsia="Calibri" w:hAnsi="Calibri" w:cs="Times New Roman"/>
      <w:sz w:val="20"/>
      <w:szCs w:val="20"/>
      <w:lang w:val="bg-BG" w:eastAsia="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2">
    <w:name w:val="Table Grid3122"/>
    <w:uiPriority w:val="99"/>
    <w:rsid w:val="00441502"/>
    <w:pPr>
      <w:spacing w:after="0" w:line="240" w:lineRule="auto"/>
    </w:pPr>
    <w:rPr>
      <w:rFonts w:ascii="Times New Roman" w:eastAsia="Times New Roman" w:hAnsi="Times New Roman" w:cs="Times New Roman"/>
      <w:sz w:val="20"/>
      <w:szCs w:val="20"/>
      <w:lang w:val="bg-BG" w:eastAsia="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5">
    <w:name w:val="No List11115"/>
    <w:next w:val="NoList"/>
    <w:uiPriority w:val="99"/>
    <w:semiHidden/>
    <w:unhideWhenUsed/>
    <w:rsid w:val="00441502"/>
  </w:style>
  <w:style w:type="numbering" w:customStyle="1" w:styleId="NoList21113">
    <w:name w:val="No List21113"/>
    <w:next w:val="NoList"/>
    <w:uiPriority w:val="99"/>
    <w:semiHidden/>
    <w:unhideWhenUsed/>
    <w:rsid w:val="00441502"/>
  </w:style>
  <w:style w:type="numbering" w:customStyle="1" w:styleId="NoList31113">
    <w:name w:val="No List31113"/>
    <w:next w:val="NoList"/>
    <w:semiHidden/>
    <w:rsid w:val="00441502"/>
  </w:style>
  <w:style w:type="numbering" w:customStyle="1" w:styleId="NoList4113">
    <w:name w:val="No List4113"/>
    <w:next w:val="NoList"/>
    <w:uiPriority w:val="99"/>
    <w:semiHidden/>
    <w:unhideWhenUsed/>
    <w:rsid w:val="00441502"/>
  </w:style>
  <w:style w:type="table" w:customStyle="1" w:styleId="TableWeb31122">
    <w:name w:val="Table Web 31122"/>
    <w:basedOn w:val="TableNormal"/>
    <w:next w:val="TableWeb3"/>
    <w:uiPriority w:val="99"/>
    <w:rsid w:val="00441502"/>
    <w:pPr>
      <w:spacing w:after="0" w:line="240" w:lineRule="auto"/>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TableGrid522">
    <w:name w:val="Table Grid522"/>
    <w:basedOn w:val="TableNormal"/>
    <w:next w:val="TableGrid"/>
    <w:uiPriority w:val="59"/>
    <w:rsid w:val="00441502"/>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3">
    <w:name w:val="No List513"/>
    <w:next w:val="NoList"/>
    <w:uiPriority w:val="99"/>
    <w:semiHidden/>
    <w:unhideWhenUsed/>
    <w:rsid w:val="00441502"/>
  </w:style>
  <w:style w:type="numbering" w:customStyle="1" w:styleId="NoList1413">
    <w:name w:val="No List1413"/>
    <w:next w:val="NoList"/>
    <w:semiHidden/>
    <w:rsid w:val="00441502"/>
  </w:style>
  <w:style w:type="table" w:customStyle="1" w:styleId="TableGrid612">
    <w:name w:val="Table Grid612"/>
    <w:basedOn w:val="TableNormal"/>
    <w:next w:val="TableGrid"/>
    <w:rsid w:val="00441502"/>
    <w:pPr>
      <w:spacing w:after="0" w:line="240" w:lineRule="auto"/>
    </w:pPr>
    <w:rPr>
      <w:rFonts w:ascii="Times New Roman" w:eastAsia="Times New Roman" w:hAnsi="Times New Roman" w:cs="Times New Roman"/>
      <w:sz w:val="20"/>
      <w:szCs w:val="20"/>
      <w:lang w:val="bg-B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3312">
    <w:name w:val="Table Web 3312"/>
    <w:basedOn w:val="TableNormal"/>
    <w:next w:val="TableWeb3"/>
    <w:rsid w:val="00441502"/>
    <w:pPr>
      <w:spacing w:after="0" w:line="240" w:lineRule="auto"/>
    </w:pPr>
    <w:rPr>
      <w:rFonts w:ascii="Times New Roman" w:eastAsia="Times New Roman" w:hAnsi="Times New Roman" w:cs="Times New Roman"/>
      <w:sz w:val="20"/>
      <w:szCs w:val="20"/>
      <w:lang w:val="bg-BG" w:eastAsia="bg-BG"/>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1312">
    <w:name w:val="Table Grid1312"/>
    <w:basedOn w:val="TableNormal"/>
    <w:next w:val="TableGrid"/>
    <w:rsid w:val="00441502"/>
    <w:pPr>
      <w:spacing w:after="0" w:line="240" w:lineRule="auto"/>
    </w:pPr>
    <w:rPr>
      <w:rFonts w:ascii="Times New Roman" w:eastAsia="Times New Roman" w:hAnsi="Times New Roman" w:cs="Times New Roman"/>
      <w:sz w:val="20"/>
      <w:szCs w:val="20"/>
      <w:lang w:val="bg-B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13">
    <w:name w:val="No List2213"/>
    <w:next w:val="NoList"/>
    <w:uiPriority w:val="99"/>
    <w:semiHidden/>
    <w:unhideWhenUsed/>
    <w:rsid w:val="00441502"/>
  </w:style>
  <w:style w:type="table" w:customStyle="1" w:styleId="TableGrid2312">
    <w:name w:val="Table Grid2312"/>
    <w:basedOn w:val="TableNormal"/>
    <w:next w:val="TableGrid"/>
    <w:uiPriority w:val="99"/>
    <w:rsid w:val="00441502"/>
    <w:pPr>
      <w:spacing w:after="0" w:line="240" w:lineRule="auto"/>
    </w:pPr>
    <w:rPr>
      <w:rFonts w:ascii="Times New Roman" w:eastAsia="Times New Roman" w:hAnsi="Times New Roman" w:cs="Times New Roman"/>
      <w:sz w:val="20"/>
      <w:szCs w:val="20"/>
      <w:lang w:val="bg-B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31212">
    <w:name w:val="Table Web 31212"/>
    <w:basedOn w:val="TableNormal"/>
    <w:next w:val="TableWeb3"/>
    <w:uiPriority w:val="99"/>
    <w:rsid w:val="00441502"/>
    <w:pPr>
      <w:spacing w:after="0" w:line="240" w:lineRule="auto"/>
    </w:pPr>
    <w:rPr>
      <w:rFonts w:ascii="Times New Roman" w:eastAsia="Times New Roman" w:hAnsi="Times New Roman" w:cs="Times New Roman"/>
      <w:sz w:val="20"/>
      <w:szCs w:val="20"/>
      <w:lang w:val="bg-BG" w:eastAsia="bg-BG"/>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TableGrid11212">
    <w:name w:val="Table Grid11212"/>
    <w:uiPriority w:val="99"/>
    <w:rsid w:val="00441502"/>
    <w:pPr>
      <w:spacing w:after="0" w:line="240" w:lineRule="auto"/>
    </w:pPr>
    <w:rPr>
      <w:rFonts w:ascii="Times New Roman" w:eastAsia="Times New Roman" w:hAnsi="Times New Roman" w:cs="Times New Roman"/>
      <w:sz w:val="20"/>
      <w:szCs w:val="20"/>
      <w:lang w:val="bg-BG" w:eastAsia="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12">
    <w:name w:val="Table Grid21212"/>
    <w:uiPriority w:val="99"/>
    <w:rsid w:val="00441502"/>
    <w:pPr>
      <w:spacing w:after="0" w:line="240" w:lineRule="auto"/>
    </w:pPr>
    <w:rPr>
      <w:rFonts w:ascii="Calibri" w:eastAsia="Calibri" w:hAnsi="Calibri" w:cs="Times New Roman"/>
      <w:sz w:val="20"/>
      <w:szCs w:val="20"/>
      <w:lang w:val="bg-BG" w:eastAsia="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2">
    <w:name w:val="Table Grid3212"/>
    <w:uiPriority w:val="99"/>
    <w:rsid w:val="00441502"/>
    <w:pPr>
      <w:spacing w:after="0" w:line="240" w:lineRule="auto"/>
    </w:pPr>
    <w:rPr>
      <w:rFonts w:ascii="Times New Roman" w:eastAsia="Times New Roman" w:hAnsi="Times New Roman" w:cs="Times New Roman"/>
      <w:sz w:val="20"/>
      <w:szCs w:val="20"/>
      <w:lang w:val="bg-BG" w:eastAsia="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13">
    <w:name w:val="No List3213"/>
    <w:next w:val="NoList"/>
    <w:uiPriority w:val="99"/>
    <w:semiHidden/>
    <w:unhideWhenUsed/>
    <w:rsid w:val="00441502"/>
  </w:style>
  <w:style w:type="table" w:customStyle="1" w:styleId="TableGrid4112">
    <w:name w:val="Table Grid4112"/>
    <w:basedOn w:val="TableNormal"/>
    <w:next w:val="TableGrid"/>
    <w:uiPriority w:val="99"/>
    <w:rsid w:val="0044150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32112">
    <w:name w:val="Table Web 32112"/>
    <w:basedOn w:val="TableNormal"/>
    <w:next w:val="TableWeb3"/>
    <w:uiPriority w:val="99"/>
    <w:rsid w:val="00441502"/>
    <w:pPr>
      <w:spacing w:after="0" w:line="240" w:lineRule="auto"/>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TableGrid12112">
    <w:name w:val="Table Grid12112"/>
    <w:rsid w:val="00441502"/>
    <w:pPr>
      <w:spacing w:after="0" w:line="240" w:lineRule="auto"/>
    </w:pPr>
    <w:rPr>
      <w:rFonts w:ascii="Times New Roman" w:eastAsia="Times New Roman" w:hAnsi="Times New Roman" w:cs="Times New Roman"/>
      <w:sz w:val="20"/>
      <w:szCs w:val="20"/>
      <w:lang w:val="bg-BG" w:eastAsia="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2">
    <w:name w:val="Table Grid22112"/>
    <w:uiPriority w:val="99"/>
    <w:rsid w:val="00441502"/>
    <w:pPr>
      <w:spacing w:after="0" w:line="240" w:lineRule="auto"/>
    </w:pPr>
    <w:rPr>
      <w:rFonts w:ascii="Calibri" w:eastAsia="Calibri" w:hAnsi="Calibri" w:cs="Times New Roman"/>
      <w:sz w:val="20"/>
      <w:szCs w:val="20"/>
      <w:lang w:val="bg-BG" w:eastAsia="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2">
    <w:name w:val="Table Grid31112"/>
    <w:uiPriority w:val="99"/>
    <w:rsid w:val="00441502"/>
    <w:pPr>
      <w:spacing w:after="0" w:line="240" w:lineRule="auto"/>
    </w:pPr>
    <w:rPr>
      <w:rFonts w:ascii="Times New Roman" w:eastAsia="Times New Roman" w:hAnsi="Times New Roman" w:cs="Times New Roman"/>
      <w:sz w:val="20"/>
      <w:szCs w:val="20"/>
      <w:lang w:val="bg-BG" w:eastAsia="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13">
    <w:name w:val="No List11213"/>
    <w:next w:val="NoList"/>
    <w:uiPriority w:val="99"/>
    <w:semiHidden/>
    <w:unhideWhenUsed/>
    <w:rsid w:val="00441502"/>
  </w:style>
  <w:style w:type="numbering" w:customStyle="1" w:styleId="NoList21213">
    <w:name w:val="No List21213"/>
    <w:next w:val="NoList"/>
    <w:uiPriority w:val="99"/>
    <w:semiHidden/>
    <w:unhideWhenUsed/>
    <w:rsid w:val="00441502"/>
  </w:style>
  <w:style w:type="numbering" w:customStyle="1" w:styleId="NoList31213">
    <w:name w:val="No List31213"/>
    <w:next w:val="NoList"/>
    <w:semiHidden/>
    <w:rsid w:val="00441502"/>
  </w:style>
  <w:style w:type="numbering" w:customStyle="1" w:styleId="NoList4213">
    <w:name w:val="No List4213"/>
    <w:next w:val="NoList"/>
    <w:uiPriority w:val="99"/>
    <w:semiHidden/>
    <w:unhideWhenUsed/>
    <w:rsid w:val="00441502"/>
  </w:style>
  <w:style w:type="table" w:customStyle="1" w:styleId="TableWeb311112">
    <w:name w:val="Table Web 311112"/>
    <w:basedOn w:val="TableNormal"/>
    <w:next w:val="TableWeb3"/>
    <w:uiPriority w:val="99"/>
    <w:rsid w:val="00441502"/>
    <w:pPr>
      <w:spacing w:after="0" w:line="240" w:lineRule="auto"/>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TableGrid111112">
    <w:name w:val="Table Grid111112"/>
    <w:uiPriority w:val="99"/>
    <w:rsid w:val="00441502"/>
    <w:pPr>
      <w:spacing w:after="0" w:line="240" w:lineRule="auto"/>
    </w:pPr>
    <w:rPr>
      <w:rFonts w:ascii="Times New Roman" w:eastAsia="Times New Roman" w:hAnsi="Times New Roman" w:cs="Times New Roman"/>
      <w:sz w:val="20"/>
      <w:szCs w:val="20"/>
      <w:lang w:val="bg-BG" w:eastAsia="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2">
    <w:name w:val="Table Grid211112"/>
    <w:uiPriority w:val="99"/>
    <w:rsid w:val="00441502"/>
    <w:pPr>
      <w:spacing w:after="0" w:line="240" w:lineRule="auto"/>
    </w:pPr>
    <w:rPr>
      <w:rFonts w:ascii="Calibri" w:eastAsia="Calibri" w:hAnsi="Calibri" w:cs="Times New Roman"/>
      <w:sz w:val="20"/>
      <w:szCs w:val="20"/>
      <w:lang w:val="bg-BG" w:eastAsia="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2">
    <w:name w:val="Table Grid5112"/>
    <w:basedOn w:val="TableNormal"/>
    <w:next w:val="TableGrid"/>
    <w:uiPriority w:val="59"/>
    <w:rsid w:val="00441502"/>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2">
    <w:name w:val="Table Grid712"/>
    <w:basedOn w:val="TableNormal"/>
    <w:next w:val="TableGrid"/>
    <w:rsid w:val="0044150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3412">
    <w:name w:val="Table Web 3412"/>
    <w:basedOn w:val="TableNormal"/>
    <w:next w:val="TableWeb3"/>
    <w:uiPriority w:val="99"/>
    <w:rsid w:val="00441502"/>
    <w:pPr>
      <w:spacing w:after="0" w:line="240" w:lineRule="auto"/>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TableGrid2412">
    <w:name w:val="Table Grid2412"/>
    <w:uiPriority w:val="99"/>
    <w:rsid w:val="00441502"/>
    <w:pPr>
      <w:spacing w:after="0" w:line="240" w:lineRule="auto"/>
    </w:pPr>
    <w:rPr>
      <w:rFonts w:ascii="Calibri" w:eastAsia="Calibri" w:hAnsi="Calibri" w:cs="Times New Roman"/>
      <w:sz w:val="20"/>
      <w:szCs w:val="20"/>
      <w:lang w:val="bg-BG" w:eastAsia="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12">
    <w:name w:val="Table Grid11312"/>
    <w:uiPriority w:val="99"/>
    <w:rsid w:val="00441502"/>
    <w:pPr>
      <w:spacing w:after="0" w:line="240" w:lineRule="auto"/>
    </w:pPr>
    <w:rPr>
      <w:rFonts w:ascii="Times New Roman" w:eastAsia="Times New Roman" w:hAnsi="Times New Roman" w:cs="Times New Roman"/>
      <w:sz w:val="20"/>
      <w:szCs w:val="20"/>
      <w:lang w:val="bg-BG" w:eastAsia="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12">
    <w:name w:val="Table Grid21312"/>
    <w:uiPriority w:val="99"/>
    <w:rsid w:val="00441502"/>
    <w:pPr>
      <w:spacing w:after="0" w:line="240" w:lineRule="auto"/>
    </w:pPr>
    <w:rPr>
      <w:rFonts w:ascii="Calibri" w:eastAsia="Calibri" w:hAnsi="Calibri" w:cs="Times New Roman"/>
      <w:sz w:val="20"/>
      <w:szCs w:val="20"/>
      <w:lang w:val="bg-BG" w:eastAsia="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3">
    <w:name w:val="No List73"/>
    <w:next w:val="NoList"/>
    <w:uiPriority w:val="99"/>
    <w:semiHidden/>
    <w:unhideWhenUsed/>
    <w:rsid w:val="00441502"/>
  </w:style>
  <w:style w:type="numbering" w:customStyle="1" w:styleId="NoList163">
    <w:name w:val="No List163"/>
    <w:next w:val="NoList"/>
    <w:uiPriority w:val="99"/>
    <w:semiHidden/>
    <w:unhideWhenUsed/>
    <w:rsid w:val="00441502"/>
  </w:style>
  <w:style w:type="numbering" w:customStyle="1" w:styleId="NoList1143">
    <w:name w:val="No List1143"/>
    <w:next w:val="NoList"/>
    <w:uiPriority w:val="99"/>
    <w:semiHidden/>
    <w:rsid w:val="00441502"/>
  </w:style>
  <w:style w:type="table" w:customStyle="1" w:styleId="TableGrid92">
    <w:name w:val="Table Grid92"/>
    <w:basedOn w:val="TableNormal"/>
    <w:next w:val="TableGrid"/>
    <w:rsid w:val="00441502"/>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2">
    <w:name w:val="Table Grid152"/>
    <w:basedOn w:val="TableNormal"/>
    <w:next w:val="TableGrid"/>
    <w:rsid w:val="0044150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23">
    <w:name w:val="No List11123"/>
    <w:next w:val="NoList"/>
    <w:uiPriority w:val="99"/>
    <w:semiHidden/>
    <w:unhideWhenUsed/>
    <w:rsid w:val="00441502"/>
  </w:style>
  <w:style w:type="numbering" w:customStyle="1" w:styleId="NoList243">
    <w:name w:val="No List243"/>
    <w:next w:val="NoList"/>
    <w:uiPriority w:val="99"/>
    <w:semiHidden/>
    <w:unhideWhenUsed/>
    <w:rsid w:val="00441502"/>
  </w:style>
  <w:style w:type="numbering" w:customStyle="1" w:styleId="NoList343">
    <w:name w:val="No List343"/>
    <w:next w:val="NoList"/>
    <w:semiHidden/>
    <w:unhideWhenUsed/>
    <w:rsid w:val="00441502"/>
  </w:style>
  <w:style w:type="table" w:customStyle="1" w:styleId="TableGrid1152">
    <w:name w:val="Table Grid1152"/>
    <w:basedOn w:val="TableNormal"/>
    <w:next w:val="TableGrid"/>
    <w:rsid w:val="00441502"/>
    <w:pPr>
      <w:spacing w:after="0" w:line="240" w:lineRule="auto"/>
      <w:jc w:val="both"/>
    </w:pPr>
    <w:rPr>
      <w:rFonts w:ascii="Calibri" w:eastAsia="Calibri" w:hAnsi="Calibri" w:cs="Times New Roman"/>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2">
    <w:name w:val="Table Grid262"/>
    <w:basedOn w:val="TableNormal"/>
    <w:next w:val="TableGrid"/>
    <w:rsid w:val="00441502"/>
    <w:pPr>
      <w:spacing w:after="0" w:line="240" w:lineRule="auto"/>
    </w:pPr>
    <w:rPr>
      <w:rFonts w:ascii="Verdana" w:eastAsia="Times New Roman" w:hAnsi="Verdana" w:cs="Times New Roman"/>
      <w:sz w:val="20"/>
      <w:szCs w:val="20"/>
      <w:lang w:val="bg-B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23">
    <w:name w:val="No List1223"/>
    <w:next w:val="NoList"/>
    <w:semiHidden/>
    <w:rsid w:val="00441502"/>
  </w:style>
  <w:style w:type="numbering" w:customStyle="1" w:styleId="NoList443">
    <w:name w:val="No List443"/>
    <w:next w:val="NoList"/>
    <w:uiPriority w:val="99"/>
    <w:semiHidden/>
    <w:unhideWhenUsed/>
    <w:rsid w:val="00441502"/>
  </w:style>
  <w:style w:type="numbering" w:customStyle="1" w:styleId="NoList1323">
    <w:name w:val="No List1323"/>
    <w:next w:val="NoList"/>
    <w:semiHidden/>
    <w:rsid w:val="00441502"/>
  </w:style>
  <w:style w:type="table" w:customStyle="1" w:styleId="TableGrid342">
    <w:name w:val="Table Grid342"/>
    <w:basedOn w:val="TableNormal"/>
    <w:next w:val="TableGrid"/>
    <w:uiPriority w:val="99"/>
    <w:rsid w:val="00441502"/>
    <w:pPr>
      <w:spacing w:after="0" w:line="240" w:lineRule="auto"/>
    </w:pPr>
    <w:rPr>
      <w:rFonts w:ascii="Times New Roman" w:eastAsia="Times New Roman" w:hAnsi="Times New Roman" w:cs="Times New Roman"/>
      <w:sz w:val="20"/>
      <w:szCs w:val="20"/>
      <w:lang w:val="bg-B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362">
    <w:name w:val="Table Web 362"/>
    <w:basedOn w:val="TableNormal"/>
    <w:next w:val="TableWeb3"/>
    <w:rsid w:val="00441502"/>
    <w:pPr>
      <w:spacing w:after="0" w:line="240" w:lineRule="auto"/>
    </w:pPr>
    <w:rPr>
      <w:rFonts w:ascii="Times New Roman" w:eastAsia="Times New Roman" w:hAnsi="Times New Roman" w:cs="Times New Roman"/>
      <w:sz w:val="20"/>
      <w:szCs w:val="20"/>
      <w:lang w:val="bg-BG" w:eastAsia="bg-BG"/>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1232">
    <w:name w:val="Table Grid1232"/>
    <w:basedOn w:val="TableNormal"/>
    <w:next w:val="TableGrid"/>
    <w:rsid w:val="00441502"/>
    <w:pPr>
      <w:spacing w:after="0" w:line="240" w:lineRule="auto"/>
    </w:pPr>
    <w:rPr>
      <w:rFonts w:ascii="Times New Roman" w:eastAsia="Times New Roman" w:hAnsi="Times New Roman" w:cs="Times New Roman"/>
      <w:sz w:val="20"/>
      <w:szCs w:val="20"/>
      <w:lang w:val="bg-B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43">
    <w:name w:val="No List2143"/>
    <w:next w:val="NoList"/>
    <w:uiPriority w:val="99"/>
    <w:semiHidden/>
    <w:unhideWhenUsed/>
    <w:rsid w:val="00441502"/>
  </w:style>
  <w:style w:type="table" w:customStyle="1" w:styleId="TableGrid2152">
    <w:name w:val="Table Grid2152"/>
    <w:basedOn w:val="TableNormal"/>
    <w:next w:val="TableGrid"/>
    <w:uiPriority w:val="99"/>
    <w:rsid w:val="00441502"/>
    <w:pPr>
      <w:spacing w:after="0" w:line="240" w:lineRule="auto"/>
    </w:pPr>
    <w:rPr>
      <w:rFonts w:ascii="Times New Roman" w:eastAsia="Times New Roman" w:hAnsi="Times New Roman" w:cs="Times New Roman"/>
      <w:sz w:val="20"/>
      <w:szCs w:val="20"/>
      <w:lang w:val="bg-B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3142">
    <w:name w:val="Table Web 3142"/>
    <w:basedOn w:val="TableNormal"/>
    <w:next w:val="TableWeb3"/>
    <w:uiPriority w:val="99"/>
    <w:rsid w:val="00441502"/>
    <w:pPr>
      <w:spacing w:after="0" w:line="240" w:lineRule="auto"/>
    </w:pPr>
    <w:rPr>
      <w:rFonts w:ascii="Times New Roman" w:eastAsia="Times New Roman" w:hAnsi="Times New Roman" w:cs="Times New Roman"/>
      <w:sz w:val="20"/>
      <w:szCs w:val="20"/>
      <w:lang w:val="bg-BG" w:eastAsia="bg-BG"/>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TableGrid11132">
    <w:name w:val="Table Grid11132"/>
    <w:uiPriority w:val="99"/>
    <w:rsid w:val="00441502"/>
    <w:pPr>
      <w:spacing w:after="0" w:line="240" w:lineRule="auto"/>
    </w:pPr>
    <w:rPr>
      <w:rFonts w:ascii="Times New Roman" w:eastAsia="Times New Roman" w:hAnsi="Times New Roman" w:cs="Times New Roman"/>
      <w:sz w:val="20"/>
      <w:szCs w:val="20"/>
      <w:lang w:val="bg-BG" w:eastAsia="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32">
    <w:name w:val="Table Grid21132"/>
    <w:uiPriority w:val="99"/>
    <w:rsid w:val="00441502"/>
    <w:pPr>
      <w:spacing w:after="0" w:line="240" w:lineRule="auto"/>
    </w:pPr>
    <w:rPr>
      <w:rFonts w:ascii="Calibri" w:eastAsia="Calibri" w:hAnsi="Calibri" w:cs="Times New Roman"/>
      <w:sz w:val="20"/>
      <w:szCs w:val="20"/>
      <w:lang w:val="bg-BG" w:eastAsia="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43">
    <w:name w:val="No List3143"/>
    <w:next w:val="NoList"/>
    <w:uiPriority w:val="99"/>
    <w:semiHidden/>
    <w:unhideWhenUsed/>
    <w:rsid w:val="00441502"/>
  </w:style>
  <w:style w:type="table" w:customStyle="1" w:styleId="TableGrid432">
    <w:name w:val="Table Grid432"/>
    <w:basedOn w:val="TableNormal"/>
    <w:next w:val="TableGrid"/>
    <w:uiPriority w:val="99"/>
    <w:rsid w:val="0044150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3232">
    <w:name w:val="Table Web 3232"/>
    <w:basedOn w:val="TableNormal"/>
    <w:next w:val="TableWeb3"/>
    <w:uiPriority w:val="99"/>
    <w:rsid w:val="00441502"/>
    <w:pPr>
      <w:spacing w:after="0" w:line="240" w:lineRule="auto"/>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TableGrid2232">
    <w:name w:val="Table Grid2232"/>
    <w:uiPriority w:val="99"/>
    <w:rsid w:val="00441502"/>
    <w:pPr>
      <w:spacing w:after="0" w:line="240" w:lineRule="auto"/>
    </w:pPr>
    <w:rPr>
      <w:rFonts w:ascii="Calibri" w:eastAsia="Calibri" w:hAnsi="Calibri" w:cs="Times New Roman"/>
      <w:sz w:val="20"/>
      <w:szCs w:val="20"/>
      <w:lang w:val="bg-BG" w:eastAsia="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2">
    <w:name w:val="Table Grid3132"/>
    <w:uiPriority w:val="99"/>
    <w:rsid w:val="00441502"/>
    <w:pPr>
      <w:spacing w:after="0" w:line="240" w:lineRule="auto"/>
    </w:pPr>
    <w:rPr>
      <w:rFonts w:ascii="Times New Roman" w:eastAsia="Times New Roman" w:hAnsi="Times New Roman" w:cs="Times New Roman"/>
      <w:sz w:val="20"/>
      <w:szCs w:val="20"/>
      <w:lang w:val="bg-BG" w:eastAsia="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13">
    <w:name w:val="No List111113"/>
    <w:next w:val="NoList"/>
    <w:uiPriority w:val="99"/>
    <w:semiHidden/>
    <w:unhideWhenUsed/>
    <w:rsid w:val="00441502"/>
  </w:style>
  <w:style w:type="numbering" w:customStyle="1" w:styleId="NoList21123">
    <w:name w:val="No List21123"/>
    <w:next w:val="NoList"/>
    <w:uiPriority w:val="99"/>
    <w:semiHidden/>
    <w:unhideWhenUsed/>
    <w:rsid w:val="00441502"/>
  </w:style>
  <w:style w:type="numbering" w:customStyle="1" w:styleId="NoList31123">
    <w:name w:val="No List31123"/>
    <w:next w:val="NoList"/>
    <w:semiHidden/>
    <w:rsid w:val="00441502"/>
  </w:style>
  <w:style w:type="numbering" w:customStyle="1" w:styleId="NoList4123">
    <w:name w:val="No List4123"/>
    <w:next w:val="NoList"/>
    <w:uiPriority w:val="99"/>
    <w:semiHidden/>
    <w:unhideWhenUsed/>
    <w:rsid w:val="00441502"/>
  </w:style>
  <w:style w:type="table" w:customStyle="1" w:styleId="TableWeb31132">
    <w:name w:val="Table Web 31132"/>
    <w:basedOn w:val="TableNormal"/>
    <w:next w:val="TableWeb3"/>
    <w:uiPriority w:val="99"/>
    <w:rsid w:val="00441502"/>
    <w:pPr>
      <w:spacing w:after="0" w:line="240" w:lineRule="auto"/>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TableGrid532">
    <w:name w:val="Table Grid532"/>
    <w:basedOn w:val="TableNormal"/>
    <w:next w:val="TableGrid"/>
    <w:uiPriority w:val="59"/>
    <w:rsid w:val="00441502"/>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3">
    <w:name w:val="No List523"/>
    <w:next w:val="NoList"/>
    <w:uiPriority w:val="99"/>
    <w:semiHidden/>
    <w:unhideWhenUsed/>
    <w:rsid w:val="00441502"/>
  </w:style>
  <w:style w:type="numbering" w:customStyle="1" w:styleId="NoList1423">
    <w:name w:val="No List1423"/>
    <w:next w:val="NoList"/>
    <w:semiHidden/>
    <w:rsid w:val="00441502"/>
  </w:style>
  <w:style w:type="table" w:customStyle="1" w:styleId="TableGrid622">
    <w:name w:val="Table Grid622"/>
    <w:basedOn w:val="TableNormal"/>
    <w:next w:val="TableGrid"/>
    <w:rsid w:val="00441502"/>
    <w:pPr>
      <w:spacing w:after="0" w:line="240" w:lineRule="auto"/>
    </w:pPr>
    <w:rPr>
      <w:rFonts w:ascii="Times New Roman" w:eastAsia="Times New Roman" w:hAnsi="Times New Roman" w:cs="Times New Roman"/>
      <w:sz w:val="20"/>
      <w:szCs w:val="20"/>
      <w:lang w:val="bg-B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3322">
    <w:name w:val="Table Web 3322"/>
    <w:basedOn w:val="TableNormal"/>
    <w:next w:val="TableWeb3"/>
    <w:rsid w:val="00441502"/>
    <w:pPr>
      <w:spacing w:after="0" w:line="240" w:lineRule="auto"/>
    </w:pPr>
    <w:rPr>
      <w:rFonts w:ascii="Times New Roman" w:eastAsia="Times New Roman" w:hAnsi="Times New Roman" w:cs="Times New Roman"/>
      <w:sz w:val="20"/>
      <w:szCs w:val="20"/>
      <w:lang w:val="bg-BG" w:eastAsia="bg-BG"/>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1322">
    <w:name w:val="Table Grid1322"/>
    <w:basedOn w:val="TableNormal"/>
    <w:next w:val="TableGrid"/>
    <w:rsid w:val="00441502"/>
    <w:pPr>
      <w:spacing w:after="0" w:line="240" w:lineRule="auto"/>
    </w:pPr>
    <w:rPr>
      <w:rFonts w:ascii="Times New Roman" w:eastAsia="Times New Roman" w:hAnsi="Times New Roman" w:cs="Times New Roman"/>
      <w:sz w:val="20"/>
      <w:szCs w:val="20"/>
      <w:lang w:val="bg-B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23">
    <w:name w:val="No List2223"/>
    <w:next w:val="NoList"/>
    <w:uiPriority w:val="99"/>
    <w:semiHidden/>
    <w:unhideWhenUsed/>
    <w:rsid w:val="00441502"/>
  </w:style>
  <w:style w:type="table" w:customStyle="1" w:styleId="TableGrid2322">
    <w:name w:val="Table Grid2322"/>
    <w:basedOn w:val="TableNormal"/>
    <w:next w:val="TableGrid"/>
    <w:uiPriority w:val="99"/>
    <w:rsid w:val="00441502"/>
    <w:pPr>
      <w:spacing w:after="0" w:line="240" w:lineRule="auto"/>
    </w:pPr>
    <w:rPr>
      <w:rFonts w:ascii="Times New Roman" w:eastAsia="Times New Roman" w:hAnsi="Times New Roman" w:cs="Times New Roman"/>
      <w:sz w:val="20"/>
      <w:szCs w:val="20"/>
      <w:lang w:val="bg-B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31222">
    <w:name w:val="Table Web 31222"/>
    <w:basedOn w:val="TableNormal"/>
    <w:next w:val="TableWeb3"/>
    <w:uiPriority w:val="99"/>
    <w:rsid w:val="00441502"/>
    <w:pPr>
      <w:spacing w:after="0" w:line="240" w:lineRule="auto"/>
    </w:pPr>
    <w:rPr>
      <w:rFonts w:ascii="Times New Roman" w:eastAsia="Times New Roman" w:hAnsi="Times New Roman" w:cs="Times New Roman"/>
      <w:sz w:val="20"/>
      <w:szCs w:val="20"/>
      <w:lang w:val="bg-BG" w:eastAsia="bg-BG"/>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TableGrid11222">
    <w:name w:val="Table Grid11222"/>
    <w:uiPriority w:val="99"/>
    <w:rsid w:val="00441502"/>
    <w:pPr>
      <w:spacing w:after="0" w:line="240" w:lineRule="auto"/>
    </w:pPr>
    <w:rPr>
      <w:rFonts w:ascii="Times New Roman" w:eastAsia="Times New Roman" w:hAnsi="Times New Roman" w:cs="Times New Roman"/>
      <w:sz w:val="20"/>
      <w:szCs w:val="20"/>
      <w:lang w:val="bg-BG" w:eastAsia="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22">
    <w:name w:val="Table Grid21222"/>
    <w:uiPriority w:val="99"/>
    <w:rsid w:val="00441502"/>
    <w:pPr>
      <w:spacing w:after="0" w:line="240" w:lineRule="auto"/>
    </w:pPr>
    <w:rPr>
      <w:rFonts w:ascii="Calibri" w:eastAsia="Calibri" w:hAnsi="Calibri" w:cs="Times New Roman"/>
      <w:sz w:val="20"/>
      <w:szCs w:val="20"/>
      <w:lang w:val="bg-BG" w:eastAsia="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22">
    <w:name w:val="Table Grid3222"/>
    <w:uiPriority w:val="99"/>
    <w:rsid w:val="00441502"/>
    <w:pPr>
      <w:spacing w:after="0" w:line="240" w:lineRule="auto"/>
    </w:pPr>
    <w:rPr>
      <w:rFonts w:ascii="Times New Roman" w:eastAsia="Times New Roman" w:hAnsi="Times New Roman" w:cs="Times New Roman"/>
      <w:sz w:val="20"/>
      <w:szCs w:val="20"/>
      <w:lang w:val="bg-BG" w:eastAsia="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23">
    <w:name w:val="No List3223"/>
    <w:next w:val="NoList"/>
    <w:uiPriority w:val="99"/>
    <w:semiHidden/>
    <w:unhideWhenUsed/>
    <w:rsid w:val="00441502"/>
  </w:style>
  <w:style w:type="table" w:customStyle="1" w:styleId="TableGrid4122">
    <w:name w:val="Table Grid4122"/>
    <w:basedOn w:val="TableNormal"/>
    <w:next w:val="TableGrid"/>
    <w:uiPriority w:val="99"/>
    <w:rsid w:val="0044150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32122">
    <w:name w:val="Table Web 32122"/>
    <w:basedOn w:val="TableNormal"/>
    <w:next w:val="TableWeb3"/>
    <w:uiPriority w:val="99"/>
    <w:rsid w:val="00441502"/>
    <w:pPr>
      <w:spacing w:after="0" w:line="240" w:lineRule="auto"/>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TableGrid12122">
    <w:name w:val="Table Grid12122"/>
    <w:rsid w:val="00441502"/>
    <w:pPr>
      <w:spacing w:after="0" w:line="240" w:lineRule="auto"/>
    </w:pPr>
    <w:rPr>
      <w:rFonts w:ascii="Times New Roman" w:eastAsia="Times New Roman" w:hAnsi="Times New Roman" w:cs="Times New Roman"/>
      <w:sz w:val="20"/>
      <w:szCs w:val="20"/>
      <w:lang w:val="bg-BG" w:eastAsia="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22">
    <w:name w:val="Table Grid22122"/>
    <w:uiPriority w:val="99"/>
    <w:rsid w:val="00441502"/>
    <w:pPr>
      <w:spacing w:after="0" w:line="240" w:lineRule="auto"/>
    </w:pPr>
    <w:rPr>
      <w:rFonts w:ascii="Calibri" w:eastAsia="Calibri" w:hAnsi="Calibri" w:cs="Times New Roman"/>
      <w:sz w:val="20"/>
      <w:szCs w:val="20"/>
      <w:lang w:val="bg-BG" w:eastAsia="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22">
    <w:name w:val="Table Grid31122"/>
    <w:uiPriority w:val="99"/>
    <w:rsid w:val="00441502"/>
    <w:pPr>
      <w:spacing w:after="0" w:line="240" w:lineRule="auto"/>
    </w:pPr>
    <w:rPr>
      <w:rFonts w:ascii="Times New Roman" w:eastAsia="Times New Roman" w:hAnsi="Times New Roman" w:cs="Times New Roman"/>
      <w:sz w:val="20"/>
      <w:szCs w:val="20"/>
      <w:lang w:val="bg-BG" w:eastAsia="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23">
    <w:name w:val="No List11223"/>
    <w:next w:val="NoList"/>
    <w:uiPriority w:val="99"/>
    <w:semiHidden/>
    <w:unhideWhenUsed/>
    <w:rsid w:val="00441502"/>
  </w:style>
  <w:style w:type="numbering" w:customStyle="1" w:styleId="NoList21223">
    <w:name w:val="No List21223"/>
    <w:next w:val="NoList"/>
    <w:uiPriority w:val="99"/>
    <w:semiHidden/>
    <w:unhideWhenUsed/>
    <w:rsid w:val="00441502"/>
  </w:style>
  <w:style w:type="numbering" w:customStyle="1" w:styleId="NoList31223">
    <w:name w:val="No List31223"/>
    <w:next w:val="NoList"/>
    <w:semiHidden/>
    <w:rsid w:val="00441502"/>
  </w:style>
  <w:style w:type="numbering" w:customStyle="1" w:styleId="NoList4223">
    <w:name w:val="No List4223"/>
    <w:next w:val="NoList"/>
    <w:uiPriority w:val="99"/>
    <w:semiHidden/>
    <w:unhideWhenUsed/>
    <w:rsid w:val="00441502"/>
  </w:style>
  <w:style w:type="table" w:customStyle="1" w:styleId="TableWeb311122">
    <w:name w:val="Table Web 311122"/>
    <w:basedOn w:val="TableNormal"/>
    <w:next w:val="TableWeb3"/>
    <w:uiPriority w:val="99"/>
    <w:rsid w:val="00441502"/>
    <w:pPr>
      <w:spacing w:after="0" w:line="240" w:lineRule="auto"/>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TableGrid111122">
    <w:name w:val="Table Grid111122"/>
    <w:uiPriority w:val="99"/>
    <w:rsid w:val="00441502"/>
    <w:pPr>
      <w:spacing w:after="0" w:line="240" w:lineRule="auto"/>
    </w:pPr>
    <w:rPr>
      <w:rFonts w:ascii="Times New Roman" w:eastAsia="Times New Roman" w:hAnsi="Times New Roman" w:cs="Times New Roman"/>
      <w:sz w:val="20"/>
      <w:szCs w:val="20"/>
      <w:lang w:val="bg-BG" w:eastAsia="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22">
    <w:name w:val="Table Grid211122"/>
    <w:uiPriority w:val="99"/>
    <w:rsid w:val="00441502"/>
    <w:pPr>
      <w:spacing w:after="0" w:line="240" w:lineRule="auto"/>
    </w:pPr>
    <w:rPr>
      <w:rFonts w:ascii="Calibri" w:eastAsia="Calibri" w:hAnsi="Calibri" w:cs="Times New Roman"/>
      <w:sz w:val="20"/>
      <w:szCs w:val="20"/>
      <w:lang w:val="bg-BG" w:eastAsia="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22">
    <w:name w:val="Table Grid5122"/>
    <w:basedOn w:val="TableNormal"/>
    <w:next w:val="TableGrid"/>
    <w:uiPriority w:val="59"/>
    <w:rsid w:val="00441502"/>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2">
    <w:name w:val="Table Grid722"/>
    <w:basedOn w:val="TableNormal"/>
    <w:next w:val="TableGrid"/>
    <w:rsid w:val="0044150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3422">
    <w:name w:val="Table Web 3422"/>
    <w:basedOn w:val="TableNormal"/>
    <w:next w:val="TableWeb3"/>
    <w:uiPriority w:val="99"/>
    <w:rsid w:val="00441502"/>
    <w:pPr>
      <w:spacing w:after="0" w:line="240" w:lineRule="auto"/>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TableGrid2422">
    <w:name w:val="Table Grid2422"/>
    <w:uiPriority w:val="99"/>
    <w:rsid w:val="00441502"/>
    <w:pPr>
      <w:spacing w:after="0" w:line="240" w:lineRule="auto"/>
    </w:pPr>
    <w:rPr>
      <w:rFonts w:ascii="Calibri" w:eastAsia="Calibri" w:hAnsi="Calibri" w:cs="Times New Roman"/>
      <w:sz w:val="20"/>
      <w:szCs w:val="20"/>
      <w:lang w:val="bg-BG" w:eastAsia="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22">
    <w:name w:val="Table Grid11322"/>
    <w:uiPriority w:val="99"/>
    <w:rsid w:val="00441502"/>
    <w:pPr>
      <w:spacing w:after="0" w:line="240" w:lineRule="auto"/>
    </w:pPr>
    <w:rPr>
      <w:rFonts w:ascii="Times New Roman" w:eastAsia="Times New Roman" w:hAnsi="Times New Roman" w:cs="Times New Roman"/>
      <w:sz w:val="20"/>
      <w:szCs w:val="20"/>
      <w:lang w:val="bg-BG" w:eastAsia="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22">
    <w:name w:val="Table Grid21322"/>
    <w:uiPriority w:val="99"/>
    <w:rsid w:val="00441502"/>
    <w:pPr>
      <w:spacing w:after="0" w:line="240" w:lineRule="auto"/>
    </w:pPr>
    <w:rPr>
      <w:rFonts w:ascii="Calibri" w:eastAsia="Calibri" w:hAnsi="Calibri" w:cs="Times New Roman"/>
      <w:sz w:val="20"/>
      <w:szCs w:val="20"/>
      <w:lang w:val="bg-BG" w:eastAsia="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3">
    <w:name w:val="No List83"/>
    <w:next w:val="NoList"/>
    <w:uiPriority w:val="99"/>
    <w:semiHidden/>
    <w:unhideWhenUsed/>
    <w:rsid w:val="00441502"/>
  </w:style>
  <w:style w:type="table" w:customStyle="1" w:styleId="TableGrid102">
    <w:name w:val="Table Grid102"/>
    <w:basedOn w:val="TableNormal"/>
    <w:next w:val="TableGrid"/>
    <w:rsid w:val="00441502"/>
    <w:rPr>
      <w:rFonts w:ascii="Calibri" w:eastAsia="Calibri" w:hAnsi="Calibri" w:cs="Times New Roman"/>
      <w:sz w:val="20"/>
      <w:szCs w:val="20"/>
      <w:lang w:val="bg-B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2">
    <w:name w:val="Table Grid162"/>
    <w:basedOn w:val="TableNormal"/>
    <w:next w:val="TableGrid"/>
    <w:rsid w:val="00441502"/>
    <w:pPr>
      <w:spacing w:after="0" w:line="240" w:lineRule="auto"/>
    </w:pPr>
    <w:rPr>
      <w:rFonts w:ascii="Times New Roman" w:eastAsia="Times New Roman" w:hAnsi="Times New Roman" w:cs="Times New Roman"/>
      <w:sz w:val="20"/>
      <w:szCs w:val="20"/>
      <w:lang w:val="bg-B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73">
    <w:name w:val="No List173"/>
    <w:next w:val="NoList"/>
    <w:uiPriority w:val="99"/>
    <w:semiHidden/>
    <w:unhideWhenUsed/>
    <w:rsid w:val="00441502"/>
  </w:style>
  <w:style w:type="numbering" w:customStyle="1" w:styleId="NoList253">
    <w:name w:val="No List253"/>
    <w:next w:val="NoList"/>
    <w:uiPriority w:val="99"/>
    <w:semiHidden/>
    <w:unhideWhenUsed/>
    <w:rsid w:val="00441502"/>
  </w:style>
  <w:style w:type="numbering" w:customStyle="1" w:styleId="NoList353">
    <w:name w:val="No List353"/>
    <w:next w:val="NoList"/>
    <w:uiPriority w:val="99"/>
    <w:semiHidden/>
    <w:unhideWhenUsed/>
    <w:rsid w:val="00441502"/>
  </w:style>
  <w:style w:type="numbering" w:customStyle="1" w:styleId="NoList93">
    <w:name w:val="No List93"/>
    <w:next w:val="NoList"/>
    <w:uiPriority w:val="99"/>
    <w:semiHidden/>
    <w:unhideWhenUsed/>
    <w:rsid w:val="00441502"/>
  </w:style>
  <w:style w:type="numbering" w:customStyle="1" w:styleId="NoList103">
    <w:name w:val="No List103"/>
    <w:next w:val="NoList"/>
    <w:uiPriority w:val="99"/>
    <w:semiHidden/>
    <w:unhideWhenUsed/>
    <w:rsid w:val="00441502"/>
  </w:style>
  <w:style w:type="table" w:customStyle="1" w:styleId="TableGrid172">
    <w:name w:val="Table Grid172"/>
    <w:basedOn w:val="TableNormal"/>
    <w:next w:val="TableGrid"/>
    <w:rsid w:val="00441502"/>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2">
    <w:name w:val="Table Grid182"/>
    <w:basedOn w:val="TableNormal"/>
    <w:next w:val="TableGrid"/>
    <w:rsid w:val="00441502"/>
    <w:pPr>
      <w:spacing w:after="0" w:line="240" w:lineRule="auto"/>
      <w:jc w:val="both"/>
    </w:pPr>
    <w:rPr>
      <w:rFonts w:ascii="Calibri" w:eastAsia="Calibri" w:hAnsi="Calibri" w:cs="Times New Roman"/>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83">
    <w:name w:val="No List183"/>
    <w:next w:val="NoList"/>
    <w:uiPriority w:val="99"/>
    <w:semiHidden/>
    <w:unhideWhenUsed/>
    <w:rsid w:val="00441502"/>
  </w:style>
  <w:style w:type="table" w:customStyle="1" w:styleId="TableGrid192">
    <w:name w:val="Table Grid192"/>
    <w:basedOn w:val="TableNormal"/>
    <w:next w:val="TableGrid"/>
    <w:rsid w:val="0044150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93">
    <w:name w:val="No List193"/>
    <w:next w:val="NoList"/>
    <w:uiPriority w:val="99"/>
    <w:semiHidden/>
    <w:unhideWhenUsed/>
    <w:rsid w:val="00441502"/>
  </w:style>
  <w:style w:type="numbering" w:customStyle="1" w:styleId="NoList1103">
    <w:name w:val="No List1103"/>
    <w:next w:val="NoList"/>
    <w:uiPriority w:val="99"/>
    <w:semiHidden/>
    <w:rsid w:val="00441502"/>
  </w:style>
  <w:style w:type="table" w:customStyle="1" w:styleId="TableGrid202">
    <w:name w:val="Table Grid202"/>
    <w:basedOn w:val="TableNormal"/>
    <w:next w:val="TableGrid"/>
    <w:rsid w:val="00441502"/>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2">
    <w:name w:val="Table Grid1102"/>
    <w:basedOn w:val="TableNormal"/>
    <w:next w:val="TableGrid"/>
    <w:rsid w:val="0044150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53">
    <w:name w:val="No List1153"/>
    <w:next w:val="NoList"/>
    <w:uiPriority w:val="99"/>
    <w:semiHidden/>
    <w:unhideWhenUsed/>
    <w:rsid w:val="00441502"/>
  </w:style>
  <w:style w:type="numbering" w:customStyle="1" w:styleId="NoList263">
    <w:name w:val="No List263"/>
    <w:next w:val="NoList"/>
    <w:uiPriority w:val="99"/>
    <w:semiHidden/>
    <w:unhideWhenUsed/>
    <w:rsid w:val="00441502"/>
  </w:style>
  <w:style w:type="numbering" w:customStyle="1" w:styleId="NoList363">
    <w:name w:val="No List363"/>
    <w:next w:val="NoList"/>
    <w:semiHidden/>
    <w:unhideWhenUsed/>
    <w:rsid w:val="00441502"/>
  </w:style>
  <w:style w:type="table" w:customStyle="1" w:styleId="TableGrid1162">
    <w:name w:val="Table Grid1162"/>
    <w:basedOn w:val="TableNormal"/>
    <w:next w:val="TableGrid"/>
    <w:rsid w:val="00441502"/>
    <w:pPr>
      <w:spacing w:after="0" w:line="240" w:lineRule="auto"/>
      <w:jc w:val="both"/>
    </w:pPr>
    <w:rPr>
      <w:rFonts w:ascii="Calibri" w:eastAsia="Calibri" w:hAnsi="Calibri" w:cs="Times New Roman"/>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2">
    <w:name w:val="Table Grid272"/>
    <w:basedOn w:val="TableNormal"/>
    <w:next w:val="TableGrid"/>
    <w:rsid w:val="00441502"/>
    <w:pPr>
      <w:spacing w:after="0" w:line="240" w:lineRule="auto"/>
    </w:pPr>
    <w:rPr>
      <w:rFonts w:ascii="Verdana" w:eastAsia="Times New Roman" w:hAnsi="Verdana" w:cs="Times New Roman"/>
      <w:sz w:val="20"/>
      <w:szCs w:val="20"/>
      <w:lang w:val="bg-B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33">
    <w:name w:val="No List1233"/>
    <w:next w:val="NoList"/>
    <w:semiHidden/>
    <w:rsid w:val="00441502"/>
  </w:style>
  <w:style w:type="numbering" w:customStyle="1" w:styleId="NoList453">
    <w:name w:val="No List453"/>
    <w:next w:val="NoList"/>
    <w:uiPriority w:val="99"/>
    <w:semiHidden/>
    <w:unhideWhenUsed/>
    <w:rsid w:val="00441502"/>
  </w:style>
  <w:style w:type="numbering" w:customStyle="1" w:styleId="NoList1333">
    <w:name w:val="No List1333"/>
    <w:next w:val="NoList"/>
    <w:semiHidden/>
    <w:rsid w:val="00441502"/>
  </w:style>
  <w:style w:type="table" w:customStyle="1" w:styleId="TableGrid352">
    <w:name w:val="Table Grid352"/>
    <w:basedOn w:val="TableNormal"/>
    <w:next w:val="TableGrid"/>
    <w:uiPriority w:val="99"/>
    <w:rsid w:val="00441502"/>
    <w:pPr>
      <w:spacing w:after="0" w:line="240" w:lineRule="auto"/>
    </w:pPr>
    <w:rPr>
      <w:rFonts w:ascii="Times New Roman" w:eastAsia="Times New Roman" w:hAnsi="Times New Roman" w:cs="Times New Roman"/>
      <w:sz w:val="20"/>
      <w:szCs w:val="20"/>
      <w:lang w:val="bg-B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372">
    <w:name w:val="Table Web 372"/>
    <w:basedOn w:val="TableNormal"/>
    <w:next w:val="TableWeb3"/>
    <w:rsid w:val="00441502"/>
    <w:pPr>
      <w:spacing w:after="0" w:line="240" w:lineRule="auto"/>
    </w:pPr>
    <w:rPr>
      <w:rFonts w:ascii="Times New Roman" w:eastAsia="Times New Roman" w:hAnsi="Times New Roman" w:cs="Times New Roman"/>
      <w:sz w:val="20"/>
      <w:szCs w:val="20"/>
      <w:lang w:val="bg-BG" w:eastAsia="bg-BG"/>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1242">
    <w:name w:val="Table Grid1242"/>
    <w:basedOn w:val="TableNormal"/>
    <w:next w:val="TableGrid"/>
    <w:rsid w:val="00441502"/>
    <w:pPr>
      <w:spacing w:after="0" w:line="240" w:lineRule="auto"/>
    </w:pPr>
    <w:rPr>
      <w:rFonts w:ascii="Times New Roman" w:eastAsia="Times New Roman" w:hAnsi="Times New Roman" w:cs="Times New Roman"/>
      <w:sz w:val="20"/>
      <w:szCs w:val="20"/>
      <w:lang w:val="bg-B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53">
    <w:name w:val="No List2153"/>
    <w:next w:val="NoList"/>
    <w:uiPriority w:val="99"/>
    <w:semiHidden/>
    <w:unhideWhenUsed/>
    <w:rsid w:val="00441502"/>
  </w:style>
  <w:style w:type="table" w:customStyle="1" w:styleId="TableGrid2162">
    <w:name w:val="Table Grid2162"/>
    <w:basedOn w:val="TableNormal"/>
    <w:next w:val="TableGrid"/>
    <w:uiPriority w:val="99"/>
    <w:rsid w:val="00441502"/>
    <w:pPr>
      <w:spacing w:after="0" w:line="240" w:lineRule="auto"/>
    </w:pPr>
    <w:rPr>
      <w:rFonts w:ascii="Times New Roman" w:eastAsia="Times New Roman" w:hAnsi="Times New Roman" w:cs="Times New Roman"/>
      <w:sz w:val="20"/>
      <w:szCs w:val="20"/>
      <w:lang w:val="bg-B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3152">
    <w:name w:val="Table Web 3152"/>
    <w:basedOn w:val="TableNormal"/>
    <w:next w:val="TableWeb3"/>
    <w:uiPriority w:val="99"/>
    <w:rsid w:val="00441502"/>
    <w:pPr>
      <w:spacing w:after="0" w:line="240" w:lineRule="auto"/>
    </w:pPr>
    <w:rPr>
      <w:rFonts w:ascii="Times New Roman" w:eastAsia="Times New Roman" w:hAnsi="Times New Roman" w:cs="Times New Roman"/>
      <w:sz w:val="20"/>
      <w:szCs w:val="20"/>
      <w:lang w:val="bg-BG" w:eastAsia="bg-BG"/>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TableGrid11142">
    <w:name w:val="Table Grid11142"/>
    <w:uiPriority w:val="99"/>
    <w:rsid w:val="00441502"/>
    <w:pPr>
      <w:spacing w:after="0" w:line="240" w:lineRule="auto"/>
    </w:pPr>
    <w:rPr>
      <w:rFonts w:ascii="Times New Roman" w:eastAsia="Times New Roman" w:hAnsi="Times New Roman" w:cs="Times New Roman"/>
      <w:sz w:val="20"/>
      <w:szCs w:val="20"/>
      <w:lang w:val="bg-BG" w:eastAsia="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42">
    <w:name w:val="Table Grid21142"/>
    <w:uiPriority w:val="99"/>
    <w:rsid w:val="00441502"/>
    <w:pPr>
      <w:spacing w:after="0" w:line="240" w:lineRule="auto"/>
    </w:pPr>
    <w:rPr>
      <w:rFonts w:ascii="Calibri" w:eastAsia="Calibri" w:hAnsi="Calibri" w:cs="Times New Roman"/>
      <w:sz w:val="20"/>
      <w:szCs w:val="20"/>
      <w:lang w:val="bg-BG" w:eastAsia="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53">
    <w:name w:val="No List3153"/>
    <w:next w:val="NoList"/>
    <w:uiPriority w:val="99"/>
    <w:semiHidden/>
    <w:unhideWhenUsed/>
    <w:rsid w:val="00441502"/>
  </w:style>
  <w:style w:type="table" w:customStyle="1" w:styleId="TableGrid442">
    <w:name w:val="Table Grid442"/>
    <w:basedOn w:val="TableNormal"/>
    <w:next w:val="TableGrid"/>
    <w:uiPriority w:val="99"/>
    <w:rsid w:val="0044150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3242">
    <w:name w:val="Table Web 3242"/>
    <w:basedOn w:val="TableNormal"/>
    <w:next w:val="TableWeb3"/>
    <w:uiPriority w:val="99"/>
    <w:rsid w:val="00441502"/>
    <w:pPr>
      <w:spacing w:after="0" w:line="240" w:lineRule="auto"/>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TableGrid2242">
    <w:name w:val="Table Grid2242"/>
    <w:uiPriority w:val="99"/>
    <w:rsid w:val="00441502"/>
    <w:pPr>
      <w:spacing w:after="0" w:line="240" w:lineRule="auto"/>
    </w:pPr>
    <w:rPr>
      <w:rFonts w:ascii="Calibri" w:eastAsia="Calibri" w:hAnsi="Calibri" w:cs="Times New Roman"/>
      <w:sz w:val="20"/>
      <w:szCs w:val="20"/>
      <w:lang w:val="bg-BG" w:eastAsia="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42">
    <w:name w:val="Table Grid3142"/>
    <w:uiPriority w:val="99"/>
    <w:rsid w:val="00441502"/>
    <w:pPr>
      <w:spacing w:after="0" w:line="240" w:lineRule="auto"/>
    </w:pPr>
    <w:rPr>
      <w:rFonts w:ascii="Times New Roman" w:eastAsia="Times New Roman" w:hAnsi="Times New Roman" w:cs="Times New Roman"/>
      <w:sz w:val="20"/>
      <w:szCs w:val="20"/>
      <w:lang w:val="bg-BG" w:eastAsia="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33">
    <w:name w:val="No List11133"/>
    <w:next w:val="NoList"/>
    <w:uiPriority w:val="99"/>
    <w:semiHidden/>
    <w:unhideWhenUsed/>
    <w:rsid w:val="00441502"/>
  </w:style>
  <w:style w:type="numbering" w:customStyle="1" w:styleId="NoList21133">
    <w:name w:val="No List21133"/>
    <w:next w:val="NoList"/>
    <w:uiPriority w:val="99"/>
    <w:semiHidden/>
    <w:unhideWhenUsed/>
    <w:rsid w:val="00441502"/>
  </w:style>
  <w:style w:type="numbering" w:customStyle="1" w:styleId="NoList31133">
    <w:name w:val="No List31133"/>
    <w:next w:val="NoList"/>
    <w:semiHidden/>
    <w:rsid w:val="00441502"/>
  </w:style>
  <w:style w:type="numbering" w:customStyle="1" w:styleId="NoList4133">
    <w:name w:val="No List4133"/>
    <w:next w:val="NoList"/>
    <w:uiPriority w:val="99"/>
    <w:semiHidden/>
    <w:unhideWhenUsed/>
    <w:rsid w:val="00441502"/>
  </w:style>
  <w:style w:type="table" w:customStyle="1" w:styleId="TableWeb31142">
    <w:name w:val="Table Web 31142"/>
    <w:basedOn w:val="TableNormal"/>
    <w:next w:val="TableWeb3"/>
    <w:uiPriority w:val="99"/>
    <w:rsid w:val="00441502"/>
    <w:pPr>
      <w:spacing w:after="0" w:line="240" w:lineRule="auto"/>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TableGrid542">
    <w:name w:val="Table Grid542"/>
    <w:basedOn w:val="TableNormal"/>
    <w:next w:val="TableGrid"/>
    <w:uiPriority w:val="59"/>
    <w:rsid w:val="00441502"/>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33">
    <w:name w:val="No List533"/>
    <w:next w:val="NoList"/>
    <w:uiPriority w:val="99"/>
    <w:semiHidden/>
    <w:unhideWhenUsed/>
    <w:rsid w:val="00441502"/>
  </w:style>
  <w:style w:type="numbering" w:customStyle="1" w:styleId="NoList1433">
    <w:name w:val="No List1433"/>
    <w:next w:val="NoList"/>
    <w:semiHidden/>
    <w:rsid w:val="00441502"/>
  </w:style>
  <w:style w:type="table" w:customStyle="1" w:styleId="TableGrid632">
    <w:name w:val="Table Grid632"/>
    <w:basedOn w:val="TableNormal"/>
    <w:next w:val="TableGrid"/>
    <w:rsid w:val="00441502"/>
    <w:pPr>
      <w:spacing w:after="0" w:line="240" w:lineRule="auto"/>
    </w:pPr>
    <w:rPr>
      <w:rFonts w:ascii="Times New Roman" w:eastAsia="Times New Roman" w:hAnsi="Times New Roman" w:cs="Times New Roman"/>
      <w:sz w:val="20"/>
      <w:szCs w:val="20"/>
      <w:lang w:val="bg-B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3332">
    <w:name w:val="Table Web 3332"/>
    <w:basedOn w:val="TableNormal"/>
    <w:next w:val="TableWeb3"/>
    <w:rsid w:val="00441502"/>
    <w:pPr>
      <w:spacing w:after="0" w:line="240" w:lineRule="auto"/>
    </w:pPr>
    <w:rPr>
      <w:rFonts w:ascii="Times New Roman" w:eastAsia="Times New Roman" w:hAnsi="Times New Roman" w:cs="Times New Roman"/>
      <w:sz w:val="20"/>
      <w:szCs w:val="20"/>
      <w:lang w:val="bg-BG" w:eastAsia="bg-BG"/>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1332">
    <w:name w:val="Table Grid1332"/>
    <w:basedOn w:val="TableNormal"/>
    <w:next w:val="TableGrid"/>
    <w:rsid w:val="00441502"/>
    <w:pPr>
      <w:spacing w:after="0" w:line="240" w:lineRule="auto"/>
    </w:pPr>
    <w:rPr>
      <w:rFonts w:ascii="Times New Roman" w:eastAsia="Times New Roman" w:hAnsi="Times New Roman" w:cs="Times New Roman"/>
      <w:sz w:val="20"/>
      <w:szCs w:val="20"/>
      <w:lang w:val="bg-B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33">
    <w:name w:val="No List2233"/>
    <w:next w:val="NoList"/>
    <w:uiPriority w:val="99"/>
    <w:semiHidden/>
    <w:unhideWhenUsed/>
    <w:rsid w:val="00441502"/>
  </w:style>
  <w:style w:type="table" w:customStyle="1" w:styleId="TableGrid2332">
    <w:name w:val="Table Grid2332"/>
    <w:basedOn w:val="TableNormal"/>
    <w:next w:val="TableGrid"/>
    <w:uiPriority w:val="99"/>
    <w:rsid w:val="00441502"/>
    <w:pPr>
      <w:spacing w:after="0" w:line="240" w:lineRule="auto"/>
    </w:pPr>
    <w:rPr>
      <w:rFonts w:ascii="Times New Roman" w:eastAsia="Times New Roman" w:hAnsi="Times New Roman" w:cs="Times New Roman"/>
      <w:sz w:val="20"/>
      <w:szCs w:val="20"/>
      <w:lang w:val="bg-B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31232">
    <w:name w:val="Table Web 31232"/>
    <w:basedOn w:val="TableNormal"/>
    <w:next w:val="TableWeb3"/>
    <w:uiPriority w:val="99"/>
    <w:rsid w:val="00441502"/>
    <w:pPr>
      <w:spacing w:after="0" w:line="240" w:lineRule="auto"/>
    </w:pPr>
    <w:rPr>
      <w:rFonts w:ascii="Times New Roman" w:eastAsia="Times New Roman" w:hAnsi="Times New Roman" w:cs="Times New Roman"/>
      <w:sz w:val="20"/>
      <w:szCs w:val="20"/>
      <w:lang w:val="bg-BG" w:eastAsia="bg-BG"/>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TableGrid11232">
    <w:name w:val="Table Grid11232"/>
    <w:uiPriority w:val="99"/>
    <w:rsid w:val="00441502"/>
    <w:pPr>
      <w:spacing w:after="0" w:line="240" w:lineRule="auto"/>
    </w:pPr>
    <w:rPr>
      <w:rFonts w:ascii="Times New Roman" w:eastAsia="Times New Roman" w:hAnsi="Times New Roman" w:cs="Times New Roman"/>
      <w:sz w:val="20"/>
      <w:szCs w:val="20"/>
      <w:lang w:val="bg-BG" w:eastAsia="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32">
    <w:name w:val="Table Grid21232"/>
    <w:uiPriority w:val="99"/>
    <w:rsid w:val="00441502"/>
    <w:pPr>
      <w:spacing w:after="0" w:line="240" w:lineRule="auto"/>
    </w:pPr>
    <w:rPr>
      <w:rFonts w:ascii="Calibri" w:eastAsia="Calibri" w:hAnsi="Calibri" w:cs="Times New Roman"/>
      <w:sz w:val="20"/>
      <w:szCs w:val="20"/>
      <w:lang w:val="bg-BG" w:eastAsia="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32">
    <w:name w:val="Table Grid3232"/>
    <w:uiPriority w:val="99"/>
    <w:rsid w:val="00441502"/>
    <w:pPr>
      <w:spacing w:after="0" w:line="240" w:lineRule="auto"/>
    </w:pPr>
    <w:rPr>
      <w:rFonts w:ascii="Times New Roman" w:eastAsia="Times New Roman" w:hAnsi="Times New Roman" w:cs="Times New Roman"/>
      <w:sz w:val="20"/>
      <w:szCs w:val="20"/>
      <w:lang w:val="bg-BG" w:eastAsia="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33">
    <w:name w:val="No List3233"/>
    <w:next w:val="NoList"/>
    <w:uiPriority w:val="99"/>
    <w:semiHidden/>
    <w:unhideWhenUsed/>
    <w:rsid w:val="00441502"/>
  </w:style>
  <w:style w:type="table" w:customStyle="1" w:styleId="TableGrid4132">
    <w:name w:val="Table Grid4132"/>
    <w:basedOn w:val="TableNormal"/>
    <w:next w:val="TableGrid"/>
    <w:uiPriority w:val="99"/>
    <w:rsid w:val="0044150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32132">
    <w:name w:val="Table Web 32132"/>
    <w:basedOn w:val="TableNormal"/>
    <w:next w:val="TableWeb3"/>
    <w:uiPriority w:val="99"/>
    <w:rsid w:val="00441502"/>
    <w:pPr>
      <w:spacing w:after="0" w:line="240" w:lineRule="auto"/>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TableGrid12132">
    <w:name w:val="Table Grid12132"/>
    <w:rsid w:val="00441502"/>
    <w:pPr>
      <w:spacing w:after="0" w:line="240" w:lineRule="auto"/>
    </w:pPr>
    <w:rPr>
      <w:rFonts w:ascii="Times New Roman" w:eastAsia="Times New Roman" w:hAnsi="Times New Roman" w:cs="Times New Roman"/>
      <w:sz w:val="20"/>
      <w:szCs w:val="20"/>
      <w:lang w:val="bg-BG" w:eastAsia="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32">
    <w:name w:val="Table Grid22132"/>
    <w:uiPriority w:val="99"/>
    <w:rsid w:val="00441502"/>
    <w:pPr>
      <w:spacing w:after="0" w:line="240" w:lineRule="auto"/>
    </w:pPr>
    <w:rPr>
      <w:rFonts w:ascii="Calibri" w:eastAsia="Calibri" w:hAnsi="Calibri" w:cs="Times New Roman"/>
      <w:sz w:val="20"/>
      <w:szCs w:val="20"/>
      <w:lang w:val="bg-BG" w:eastAsia="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32">
    <w:name w:val="Table Grid31132"/>
    <w:uiPriority w:val="99"/>
    <w:rsid w:val="00441502"/>
    <w:pPr>
      <w:spacing w:after="0" w:line="240" w:lineRule="auto"/>
    </w:pPr>
    <w:rPr>
      <w:rFonts w:ascii="Times New Roman" w:eastAsia="Times New Roman" w:hAnsi="Times New Roman" w:cs="Times New Roman"/>
      <w:sz w:val="20"/>
      <w:szCs w:val="20"/>
      <w:lang w:val="bg-BG" w:eastAsia="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33">
    <w:name w:val="No List11233"/>
    <w:next w:val="NoList"/>
    <w:uiPriority w:val="99"/>
    <w:semiHidden/>
    <w:unhideWhenUsed/>
    <w:rsid w:val="00441502"/>
  </w:style>
  <w:style w:type="numbering" w:customStyle="1" w:styleId="NoList21233">
    <w:name w:val="No List21233"/>
    <w:next w:val="NoList"/>
    <w:uiPriority w:val="99"/>
    <w:semiHidden/>
    <w:unhideWhenUsed/>
    <w:rsid w:val="00441502"/>
  </w:style>
  <w:style w:type="numbering" w:customStyle="1" w:styleId="NoList31233">
    <w:name w:val="No List31233"/>
    <w:next w:val="NoList"/>
    <w:semiHidden/>
    <w:rsid w:val="00441502"/>
  </w:style>
  <w:style w:type="numbering" w:customStyle="1" w:styleId="NoList4233">
    <w:name w:val="No List4233"/>
    <w:next w:val="NoList"/>
    <w:uiPriority w:val="99"/>
    <w:semiHidden/>
    <w:unhideWhenUsed/>
    <w:rsid w:val="00441502"/>
  </w:style>
  <w:style w:type="table" w:customStyle="1" w:styleId="TableWeb311132">
    <w:name w:val="Table Web 311132"/>
    <w:basedOn w:val="TableNormal"/>
    <w:next w:val="TableWeb3"/>
    <w:uiPriority w:val="99"/>
    <w:rsid w:val="00441502"/>
    <w:pPr>
      <w:spacing w:after="0" w:line="240" w:lineRule="auto"/>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TableGrid111132">
    <w:name w:val="Table Grid111132"/>
    <w:uiPriority w:val="99"/>
    <w:rsid w:val="00441502"/>
    <w:pPr>
      <w:spacing w:after="0" w:line="240" w:lineRule="auto"/>
    </w:pPr>
    <w:rPr>
      <w:rFonts w:ascii="Times New Roman" w:eastAsia="Times New Roman" w:hAnsi="Times New Roman" w:cs="Times New Roman"/>
      <w:sz w:val="20"/>
      <w:szCs w:val="20"/>
      <w:lang w:val="bg-BG" w:eastAsia="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32">
    <w:name w:val="Table Grid211132"/>
    <w:uiPriority w:val="99"/>
    <w:rsid w:val="00441502"/>
    <w:pPr>
      <w:spacing w:after="0" w:line="240" w:lineRule="auto"/>
    </w:pPr>
    <w:rPr>
      <w:rFonts w:ascii="Calibri" w:eastAsia="Calibri" w:hAnsi="Calibri" w:cs="Times New Roman"/>
      <w:sz w:val="20"/>
      <w:szCs w:val="20"/>
      <w:lang w:val="bg-BG" w:eastAsia="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32">
    <w:name w:val="Table Grid5132"/>
    <w:basedOn w:val="TableNormal"/>
    <w:next w:val="TableGrid"/>
    <w:uiPriority w:val="59"/>
    <w:rsid w:val="00441502"/>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32">
    <w:name w:val="Table Grid732"/>
    <w:basedOn w:val="TableNormal"/>
    <w:next w:val="TableGrid"/>
    <w:rsid w:val="0044150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3432">
    <w:name w:val="Table Web 3432"/>
    <w:basedOn w:val="TableNormal"/>
    <w:next w:val="TableWeb3"/>
    <w:uiPriority w:val="99"/>
    <w:rsid w:val="00441502"/>
    <w:pPr>
      <w:spacing w:after="0" w:line="240" w:lineRule="auto"/>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TableGrid2432">
    <w:name w:val="Table Grid2432"/>
    <w:uiPriority w:val="99"/>
    <w:rsid w:val="00441502"/>
    <w:pPr>
      <w:spacing w:after="0" w:line="240" w:lineRule="auto"/>
    </w:pPr>
    <w:rPr>
      <w:rFonts w:ascii="Calibri" w:eastAsia="Calibri" w:hAnsi="Calibri" w:cs="Times New Roman"/>
      <w:sz w:val="20"/>
      <w:szCs w:val="20"/>
      <w:lang w:val="bg-BG" w:eastAsia="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32">
    <w:name w:val="Table Grid11332"/>
    <w:uiPriority w:val="99"/>
    <w:rsid w:val="00441502"/>
    <w:pPr>
      <w:spacing w:after="0" w:line="240" w:lineRule="auto"/>
    </w:pPr>
    <w:rPr>
      <w:rFonts w:ascii="Times New Roman" w:eastAsia="Times New Roman" w:hAnsi="Times New Roman" w:cs="Times New Roman"/>
      <w:sz w:val="20"/>
      <w:szCs w:val="20"/>
      <w:lang w:val="bg-BG" w:eastAsia="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32">
    <w:name w:val="Table Grid21332"/>
    <w:uiPriority w:val="99"/>
    <w:rsid w:val="00441502"/>
    <w:pPr>
      <w:spacing w:after="0" w:line="240" w:lineRule="auto"/>
    </w:pPr>
    <w:rPr>
      <w:rFonts w:ascii="Calibri" w:eastAsia="Calibri" w:hAnsi="Calibri" w:cs="Times New Roman"/>
      <w:sz w:val="20"/>
      <w:szCs w:val="20"/>
      <w:lang w:val="bg-BG" w:eastAsia="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03">
    <w:name w:val="No List203"/>
    <w:next w:val="NoList"/>
    <w:uiPriority w:val="99"/>
    <w:semiHidden/>
    <w:unhideWhenUsed/>
    <w:rsid w:val="00441502"/>
  </w:style>
  <w:style w:type="numbering" w:customStyle="1" w:styleId="NoList273">
    <w:name w:val="No List273"/>
    <w:next w:val="NoList"/>
    <w:uiPriority w:val="99"/>
    <w:semiHidden/>
    <w:unhideWhenUsed/>
    <w:rsid w:val="00441502"/>
  </w:style>
  <w:style w:type="numbering" w:customStyle="1" w:styleId="NoList1163">
    <w:name w:val="No List1163"/>
    <w:next w:val="NoList"/>
    <w:uiPriority w:val="99"/>
    <w:semiHidden/>
    <w:unhideWhenUsed/>
    <w:rsid w:val="00441502"/>
  </w:style>
  <w:style w:type="numbering" w:customStyle="1" w:styleId="NoList1173">
    <w:name w:val="No List1173"/>
    <w:next w:val="NoList"/>
    <w:uiPriority w:val="99"/>
    <w:semiHidden/>
    <w:rsid w:val="00441502"/>
  </w:style>
  <w:style w:type="table" w:customStyle="1" w:styleId="TableGrid282">
    <w:name w:val="Table Grid282"/>
    <w:basedOn w:val="TableNormal"/>
    <w:next w:val="TableGrid"/>
    <w:rsid w:val="00441502"/>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72">
    <w:name w:val="Table Grid1172"/>
    <w:basedOn w:val="TableNormal"/>
    <w:next w:val="TableGrid"/>
    <w:rsid w:val="0044150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43">
    <w:name w:val="No List11143"/>
    <w:next w:val="NoList"/>
    <w:uiPriority w:val="99"/>
    <w:semiHidden/>
    <w:unhideWhenUsed/>
    <w:rsid w:val="00441502"/>
  </w:style>
  <w:style w:type="numbering" w:customStyle="1" w:styleId="NoList283">
    <w:name w:val="No List283"/>
    <w:next w:val="NoList"/>
    <w:uiPriority w:val="99"/>
    <w:semiHidden/>
    <w:unhideWhenUsed/>
    <w:rsid w:val="00441502"/>
  </w:style>
  <w:style w:type="numbering" w:customStyle="1" w:styleId="NoList373">
    <w:name w:val="No List373"/>
    <w:next w:val="NoList"/>
    <w:semiHidden/>
    <w:unhideWhenUsed/>
    <w:rsid w:val="00441502"/>
  </w:style>
  <w:style w:type="table" w:customStyle="1" w:styleId="TableGrid1182">
    <w:name w:val="Table Grid1182"/>
    <w:basedOn w:val="TableNormal"/>
    <w:next w:val="TableGrid"/>
    <w:rsid w:val="00441502"/>
    <w:pPr>
      <w:spacing w:after="0" w:line="240" w:lineRule="auto"/>
      <w:jc w:val="both"/>
    </w:pPr>
    <w:rPr>
      <w:rFonts w:ascii="Calibri" w:eastAsia="Calibri" w:hAnsi="Calibri" w:cs="Times New Roman"/>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2">
    <w:name w:val="Table Grid292"/>
    <w:basedOn w:val="TableNormal"/>
    <w:next w:val="TableGrid"/>
    <w:rsid w:val="00441502"/>
    <w:pPr>
      <w:spacing w:after="0" w:line="240" w:lineRule="auto"/>
    </w:pPr>
    <w:rPr>
      <w:rFonts w:ascii="Verdana" w:eastAsia="Times New Roman" w:hAnsi="Verdana" w:cs="Times New Roman"/>
      <w:sz w:val="20"/>
      <w:szCs w:val="20"/>
      <w:lang w:val="bg-B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43">
    <w:name w:val="No List1243"/>
    <w:next w:val="NoList"/>
    <w:semiHidden/>
    <w:rsid w:val="00441502"/>
  </w:style>
  <w:style w:type="numbering" w:customStyle="1" w:styleId="NoList463">
    <w:name w:val="No List463"/>
    <w:next w:val="NoList"/>
    <w:uiPriority w:val="99"/>
    <w:semiHidden/>
    <w:unhideWhenUsed/>
    <w:rsid w:val="00441502"/>
  </w:style>
  <w:style w:type="numbering" w:customStyle="1" w:styleId="NoList1343">
    <w:name w:val="No List1343"/>
    <w:next w:val="NoList"/>
    <w:semiHidden/>
    <w:rsid w:val="00441502"/>
  </w:style>
  <w:style w:type="table" w:customStyle="1" w:styleId="TableGrid362">
    <w:name w:val="Table Grid362"/>
    <w:basedOn w:val="TableNormal"/>
    <w:next w:val="TableGrid"/>
    <w:uiPriority w:val="99"/>
    <w:rsid w:val="00441502"/>
    <w:pPr>
      <w:spacing w:after="0" w:line="240" w:lineRule="auto"/>
    </w:pPr>
    <w:rPr>
      <w:rFonts w:ascii="Times New Roman" w:eastAsia="Times New Roman" w:hAnsi="Times New Roman" w:cs="Times New Roman"/>
      <w:sz w:val="20"/>
      <w:szCs w:val="20"/>
      <w:lang w:val="bg-B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382">
    <w:name w:val="Table Web 382"/>
    <w:basedOn w:val="TableNormal"/>
    <w:next w:val="TableWeb3"/>
    <w:rsid w:val="00441502"/>
    <w:pPr>
      <w:spacing w:after="0" w:line="240" w:lineRule="auto"/>
    </w:pPr>
    <w:rPr>
      <w:rFonts w:ascii="Times New Roman" w:eastAsia="Times New Roman" w:hAnsi="Times New Roman" w:cs="Times New Roman"/>
      <w:sz w:val="20"/>
      <w:szCs w:val="20"/>
      <w:lang w:val="bg-BG" w:eastAsia="bg-BG"/>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1252">
    <w:name w:val="Table Grid1252"/>
    <w:basedOn w:val="TableNormal"/>
    <w:next w:val="TableGrid"/>
    <w:rsid w:val="00441502"/>
    <w:pPr>
      <w:spacing w:after="0" w:line="240" w:lineRule="auto"/>
    </w:pPr>
    <w:rPr>
      <w:rFonts w:ascii="Times New Roman" w:eastAsia="Times New Roman" w:hAnsi="Times New Roman" w:cs="Times New Roman"/>
      <w:sz w:val="20"/>
      <w:szCs w:val="20"/>
      <w:lang w:val="bg-B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63">
    <w:name w:val="No List2163"/>
    <w:next w:val="NoList"/>
    <w:uiPriority w:val="99"/>
    <w:semiHidden/>
    <w:unhideWhenUsed/>
    <w:rsid w:val="00441502"/>
  </w:style>
  <w:style w:type="table" w:customStyle="1" w:styleId="TableGrid2172">
    <w:name w:val="Table Grid2172"/>
    <w:basedOn w:val="TableNormal"/>
    <w:next w:val="TableGrid"/>
    <w:uiPriority w:val="99"/>
    <w:rsid w:val="00441502"/>
    <w:pPr>
      <w:spacing w:after="0" w:line="240" w:lineRule="auto"/>
    </w:pPr>
    <w:rPr>
      <w:rFonts w:ascii="Times New Roman" w:eastAsia="Times New Roman" w:hAnsi="Times New Roman" w:cs="Times New Roman"/>
      <w:sz w:val="20"/>
      <w:szCs w:val="20"/>
      <w:lang w:val="bg-B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3162">
    <w:name w:val="Table Web 3162"/>
    <w:basedOn w:val="TableNormal"/>
    <w:next w:val="TableWeb3"/>
    <w:uiPriority w:val="99"/>
    <w:rsid w:val="00441502"/>
    <w:pPr>
      <w:spacing w:after="0" w:line="240" w:lineRule="auto"/>
    </w:pPr>
    <w:rPr>
      <w:rFonts w:ascii="Times New Roman" w:eastAsia="Times New Roman" w:hAnsi="Times New Roman" w:cs="Times New Roman"/>
      <w:sz w:val="20"/>
      <w:szCs w:val="20"/>
      <w:lang w:val="bg-BG" w:eastAsia="bg-BG"/>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TableGrid11152">
    <w:name w:val="Table Grid11152"/>
    <w:uiPriority w:val="99"/>
    <w:rsid w:val="00441502"/>
    <w:pPr>
      <w:spacing w:after="0" w:line="240" w:lineRule="auto"/>
    </w:pPr>
    <w:rPr>
      <w:rFonts w:ascii="Times New Roman" w:eastAsia="Times New Roman" w:hAnsi="Times New Roman" w:cs="Times New Roman"/>
      <w:sz w:val="20"/>
      <w:szCs w:val="20"/>
      <w:lang w:val="bg-BG" w:eastAsia="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52">
    <w:name w:val="Table Grid21152"/>
    <w:uiPriority w:val="99"/>
    <w:rsid w:val="00441502"/>
    <w:pPr>
      <w:spacing w:after="0" w:line="240" w:lineRule="auto"/>
    </w:pPr>
    <w:rPr>
      <w:rFonts w:ascii="Calibri" w:eastAsia="Calibri" w:hAnsi="Calibri" w:cs="Times New Roman"/>
      <w:sz w:val="20"/>
      <w:szCs w:val="20"/>
      <w:lang w:val="bg-BG" w:eastAsia="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63">
    <w:name w:val="No List3163"/>
    <w:next w:val="NoList"/>
    <w:uiPriority w:val="99"/>
    <w:semiHidden/>
    <w:unhideWhenUsed/>
    <w:rsid w:val="00441502"/>
  </w:style>
  <w:style w:type="table" w:customStyle="1" w:styleId="TableGrid452">
    <w:name w:val="Table Grid452"/>
    <w:basedOn w:val="TableNormal"/>
    <w:next w:val="TableGrid"/>
    <w:uiPriority w:val="99"/>
    <w:rsid w:val="0044150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3252">
    <w:name w:val="Table Web 3252"/>
    <w:basedOn w:val="TableNormal"/>
    <w:next w:val="TableWeb3"/>
    <w:uiPriority w:val="99"/>
    <w:rsid w:val="00441502"/>
    <w:pPr>
      <w:spacing w:after="0" w:line="240" w:lineRule="auto"/>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TableGrid2252">
    <w:name w:val="Table Grid2252"/>
    <w:uiPriority w:val="99"/>
    <w:rsid w:val="00441502"/>
    <w:pPr>
      <w:spacing w:after="0" w:line="240" w:lineRule="auto"/>
    </w:pPr>
    <w:rPr>
      <w:rFonts w:ascii="Calibri" w:eastAsia="Calibri" w:hAnsi="Calibri" w:cs="Times New Roman"/>
      <w:sz w:val="20"/>
      <w:szCs w:val="20"/>
      <w:lang w:val="bg-BG" w:eastAsia="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52">
    <w:name w:val="Table Grid3152"/>
    <w:uiPriority w:val="99"/>
    <w:rsid w:val="00441502"/>
    <w:pPr>
      <w:spacing w:after="0" w:line="240" w:lineRule="auto"/>
    </w:pPr>
    <w:rPr>
      <w:rFonts w:ascii="Times New Roman" w:eastAsia="Times New Roman" w:hAnsi="Times New Roman" w:cs="Times New Roman"/>
      <w:sz w:val="20"/>
      <w:szCs w:val="20"/>
      <w:lang w:val="bg-BG" w:eastAsia="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23">
    <w:name w:val="No List111123"/>
    <w:next w:val="NoList"/>
    <w:uiPriority w:val="99"/>
    <w:semiHidden/>
    <w:unhideWhenUsed/>
    <w:rsid w:val="00441502"/>
  </w:style>
  <w:style w:type="numbering" w:customStyle="1" w:styleId="NoList21143">
    <w:name w:val="No List21143"/>
    <w:next w:val="NoList"/>
    <w:uiPriority w:val="99"/>
    <w:semiHidden/>
    <w:unhideWhenUsed/>
    <w:rsid w:val="00441502"/>
  </w:style>
  <w:style w:type="numbering" w:customStyle="1" w:styleId="NoList31143">
    <w:name w:val="No List31143"/>
    <w:next w:val="NoList"/>
    <w:semiHidden/>
    <w:rsid w:val="00441502"/>
  </w:style>
  <w:style w:type="numbering" w:customStyle="1" w:styleId="NoList4143">
    <w:name w:val="No List4143"/>
    <w:next w:val="NoList"/>
    <w:uiPriority w:val="99"/>
    <w:semiHidden/>
    <w:unhideWhenUsed/>
    <w:rsid w:val="00441502"/>
  </w:style>
  <w:style w:type="table" w:customStyle="1" w:styleId="TableWeb31152">
    <w:name w:val="Table Web 31152"/>
    <w:basedOn w:val="TableNormal"/>
    <w:next w:val="TableWeb3"/>
    <w:uiPriority w:val="99"/>
    <w:rsid w:val="00441502"/>
    <w:pPr>
      <w:spacing w:after="0" w:line="240" w:lineRule="auto"/>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TableGrid552">
    <w:name w:val="Table Grid552"/>
    <w:basedOn w:val="TableNormal"/>
    <w:next w:val="TableGrid"/>
    <w:uiPriority w:val="59"/>
    <w:rsid w:val="00441502"/>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43">
    <w:name w:val="No List543"/>
    <w:next w:val="NoList"/>
    <w:uiPriority w:val="99"/>
    <w:semiHidden/>
    <w:unhideWhenUsed/>
    <w:rsid w:val="00441502"/>
  </w:style>
  <w:style w:type="numbering" w:customStyle="1" w:styleId="NoList1443">
    <w:name w:val="No List1443"/>
    <w:next w:val="NoList"/>
    <w:semiHidden/>
    <w:rsid w:val="00441502"/>
  </w:style>
  <w:style w:type="table" w:customStyle="1" w:styleId="TableGrid642">
    <w:name w:val="Table Grid642"/>
    <w:basedOn w:val="TableNormal"/>
    <w:next w:val="TableGrid"/>
    <w:rsid w:val="00441502"/>
    <w:pPr>
      <w:spacing w:after="0" w:line="240" w:lineRule="auto"/>
    </w:pPr>
    <w:rPr>
      <w:rFonts w:ascii="Times New Roman" w:eastAsia="Times New Roman" w:hAnsi="Times New Roman" w:cs="Times New Roman"/>
      <w:sz w:val="20"/>
      <w:szCs w:val="20"/>
      <w:lang w:val="bg-B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3342">
    <w:name w:val="Table Web 3342"/>
    <w:basedOn w:val="TableNormal"/>
    <w:next w:val="TableWeb3"/>
    <w:rsid w:val="00441502"/>
    <w:pPr>
      <w:spacing w:after="0" w:line="240" w:lineRule="auto"/>
    </w:pPr>
    <w:rPr>
      <w:rFonts w:ascii="Times New Roman" w:eastAsia="Times New Roman" w:hAnsi="Times New Roman" w:cs="Times New Roman"/>
      <w:sz w:val="20"/>
      <w:szCs w:val="20"/>
      <w:lang w:val="bg-BG" w:eastAsia="bg-BG"/>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1342">
    <w:name w:val="Table Grid1342"/>
    <w:basedOn w:val="TableNormal"/>
    <w:next w:val="TableGrid"/>
    <w:rsid w:val="00441502"/>
    <w:pPr>
      <w:spacing w:after="0" w:line="240" w:lineRule="auto"/>
    </w:pPr>
    <w:rPr>
      <w:rFonts w:ascii="Times New Roman" w:eastAsia="Times New Roman" w:hAnsi="Times New Roman" w:cs="Times New Roman"/>
      <w:sz w:val="20"/>
      <w:szCs w:val="20"/>
      <w:lang w:val="bg-B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43">
    <w:name w:val="No List2243"/>
    <w:next w:val="NoList"/>
    <w:uiPriority w:val="99"/>
    <w:semiHidden/>
    <w:unhideWhenUsed/>
    <w:rsid w:val="00441502"/>
  </w:style>
  <w:style w:type="table" w:customStyle="1" w:styleId="TableGrid2342">
    <w:name w:val="Table Grid2342"/>
    <w:basedOn w:val="TableNormal"/>
    <w:next w:val="TableGrid"/>
    <w:uiPriority w:val="99"/>
    <w:rsid w:val="00441502"/>
    <w:pPr>
      <w:spacing w:after="0" w:line="240" w:lineRule="auto"/>
    </w:pPr>
    <w:rPr>
      <w:rFonts w:ascii="Times New Roman" w:eastAsia="Times New Roman" w:hAnsi="Times New Roman" w:cs="Times New Roman"/>
      <w:sz w:val="20"/>
      <w:szCs w:val="20"/>
      <w:lang w:val="bg-B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31242">
    <w:name w:val="Table Web 31242"/>
    <w:basedOn w:val="TableNormal"/>
    <w:next w:val="TableWeb3"/>
    <w:uiPriority w:val="99"/>
    <w:rsid w:val="00441502"/>
    <w:pPr>
      <w:spacing w:after="0" w:line="240" w:lineRule="auto"/>
    </w:pPr>
    <w:rPr>
      <w:rFonts w:ascii="Times New Roman" w:eastAsia="Times New Roman" w:hAnsi="Times New Roman" w:cs="Times New Roman"/>
      <w:sz w:val="20"/>
      <w:szCs w:val="20"/>
      <w:lang w:val="bg-BG" w:eastAsia="bg-BG"/>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TableGrid11242">
    <w:name w:val="Table Grid11242"/>
    <w:uiPriority w:val="99"/>
    <w:rsid w:val="00441502"/>
    <w:pPr>
      <w:spacing w:after="0" w:line="240" w:lineRule="auto"/>
    </w:pPr>
    <w:rPr>
      <w:rFonts w:ascii="Times New Roman" w:eastAsia="Times New Roman" w:hAnsi="Times New Roman" w:cs="Times New Roman"/>
      <w:sz w:val="20"/>
      <w:szCs w:val="20"/>
      <w:lang w:val="bg-BG" w:eastAsia="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42">
    <w:name w:val="Table Grid21242"/>
    <w:uiPriority w:val="99"/>
    <w:rsid w:val="00441502"/>
    <w:pPr>
      <w:spacing w:after="0" w:line="240" w:lineRule="auto"/>
    </w:pPr>
    <w:rPr>
      <w:rFonts w:ascii="Calibri" w:eastAsia="Calibri" w:hAnsi="Calibri" w:cs="Times New Roman"/>
      <w:sz w:val="20"/>
      <w:szCs w:val="20"/>
      <w:lang w:val="bg-BG" w:eastAsia="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42">
    <w:name w:val="Table Grid3242"/>
    <w:uiPriority w:val="99"/>
    <w:rsid w:val="00441502"/>
    <w:pPr>
      <w:spacing w:after="0" w:line="240" w:lineRule="auto"/>
    </w:pPr>
    <w:rPr>
      <w:rFonts w:ascii="Times New Roman" w:eastAsia="Times New Roman" w:hAnsi="Times New Roman" w:cs="Times New Roman"/>
      <w:sz w:val="20"/>
      <w:szCs w:val="20"/>
      <w:lang w:val="bg-BG" w:eastAsia="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43">
    <w:name w:val="No List3243"/>
    <w:next w:val="NoList"/>
    <w:uiPriority w:val="99"/>
    <w:semiHidden/>
    <w:unhideWhenUsed/>
    <w:rsid w:val="00441502"/>
  </w:style>
  <w:style w:type="table" w:customStyle="1" w:styleId="TableGrid4142">
    <w:name w:val="Table Grid4142"/>
    <w:basedOn w:val="TableNormal"/>
    <w:next w:val="TableGrid"/>
    <w:uiPriority w:val="99"/>
    <w:rsid w:val="0044150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32142">
    <w:name w:val="Table Web 32142"/>
    <w:basedOn w:val="TableNormal"/>
    <w:next w:val="TableWeb3"/>
    <w:uiPriority w:val="99"/>
    <w:rsid w:val="00441502"/>
    <w:pPr>
      <w:spacing w:after="0" w:line="240" w:lineRule="auto"/>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TableGrid12142">
    <w:name w:val="Table Grid12142"/>
    <w:rsid w:val="00441502"/>
    <w:pPr>
      <w:spacing w:after="0" w:line="240" w:lineRule="auto"/>
    </w:pPr>
    <w:rPr>
      <w:rFonts w:ascii="Times New Roman" w:eastAsia="Times New Roman" w:hAnsi="Times New Roman" w:cs="Times New Roman"/>
      <w:sz w:val="20"/>
      <w:szCs w:val="20"/>
      <w:lang w:val="bg-BG" w:eastAsia="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42">
    <w:name w:val="Table Grid22142"/>
    <w:uiPriority w:val="99"/>
    <w:rsid w:val="00441502"/>
    <w:pPr>
      <w:spacing w:after="0" w:line="240" w:lineRule="auto"/>
    </w:pPr>
    <w:rPr>
      <w:rFonts w:ascii="Calibri" w:eastAsia="Calibri" w:hAnsi="Calibri" w:cs="Times New Roman"/>
      <w:sz w:val="20"/>
      <w:szCs w:val="20"/>
      <w:lang w:val="bg-BG" w:eastAsia="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42">
    <w:name w:val="Table Grid31142"/>
    <w:uiPriority w:val="99"/>
    <w:rsid w:val="00441502"/>
    <w:pPr>
      <w:spacing w:after="0" w:line="240" w:lineRule="auto"/>
    </w:pPr>
    <w:rPr>
      <w:rFonts w:ascii="Times New Roman" w:eastAsia="Times New Roman" w:hAnsi="Times New Roman" w:cs="Times New Roman"/>
      <w:sz w:val="20"/>
      <w:szCs w:val="20"/>
      <w:lang w:val="bg-BG" w:eastAsia="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43">
    <w:name w:val="No List11243"/>
    <w:next w:val="NoList"/>
    <w:uiPriority w:val="99"/>
    <w:semiHidden/>
    <w:unhideWhenUsed/>
    <w:rsid w:val="00441502"/>
  </w:style>
  <w:style w:type="numbering" w:customStyle="1" w:styleId="NoList21243">
    <w:name w:val="No List21243"/>
    <w:next w:val="NoList"/>
    <w:uiPriority w:val="99"/>
    <w:semiHidden/>
    <w:unhideWhenUsed/>
    <w:rsid w:val="00441502"/>
  </w:style>
  <w:style w:type="numbering" w:customStyle="1" w:styleId="NoList31243">
    <w:name w:val="No List31243"/>
    <w:next w:val="NoList"/>
    <w:semiHidden/>
    <w:rsid w:val="00441502"/>
  </w:style>
  <w:style w:type="numbering" w:customStyle="1" w:styleId="NoList4243">
    <w:name w:val="No List4243"/>
    <w:next w:val="NoList"/>
    <w:uiPriority w:val="99"/>
    <w:semiHidden/>
    <w:unhideWhenUsed/>
    <w:rsid w:val="00441502"/>
  </w:style>
  <w:style w:type="table" w:customStyle="1" w:styleId="TableWeb311142">
    <w:name w:val="Table Web 311142"/>
    <w:basedOn w:val="TableNormal"/>
    <w:next w:val="TableWeb3"/>
    <w:uiPriority w:val="99"/>
    <w:rsid w:val="00441502"/>
    <w:pPr>
      <w:spacing w:after="0" w:line="240" w:lineRule="auto"/>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TableGrid111142">
    <w:name w:val="Table Grid111142"/>
    <w:uiPriority w:val="99"/>
    <w:rsid w:val="00441502"/>
    <w:pPr>
      <w:spacing w:after="0" w:line="240" w:lineRule="auto"/>
    </w:pPr>
    <w:rPr>
      <w:rFonts w:ascii="Times New Roman" w:eastAsia="Times New Roman" w:hAnsi="Times New Roman" w:cs="Times New Roman"/>
      <w:sz w:val="20"/>
      <w:szCs w:val="20"/>
      <w:lang w:val="bg-BG" w:eastAsia="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42">
    <w:name w:val="Table Grid211142"/>
    <w:uiPriority w:val="99"/>
    <w:rsid w:val="00441502"/>
    <w:pPr>
      <w:spacing w:after="0" w:line="240" w:lineRule="auto"/>
    </w:pPr>
    <w:rPr>
      <w:rFonts w:ascii="Calibri" w:eastAsia="Calibri" w:hAnsi="Calibri" w:cs="Times New Roman"/>
      <w:sz w:val="20"/>
      <w:szCs w:val="20"/>
      <w:lang w:val="bg-BG" w:eastAsia="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42">
    <w:name w:val="Table Grid5142"/>
    <w:basedOn w:val="TableNormal"/>
    <w:next w:val="TableGrid"/>
    <w:uiPriority w:val="59"/>
    <w:rsid w:val="00441502"/>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42">
    <w:name w:val="Table Grid742"/>
    <w:basedOn w:val="TableNormal"/>
    <w:next w:val="TableGrid"/>
    <w:rsid w:val="0044150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3442">
    <w:name w:val="Table Web 3442"/>
    <w:basedOn w:val="TableNormal"/>
    <w:next w:val="TableWeb3"/>
    <w:uiPriority w:val="99"/>
    <w:rsid w:val="00441502"/>
    <w:pPr>
      <w:spacing w:after="0" w:line="240" w:lineRule="auto"/>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TableGrid2442">
    <w:name w:val="Table Grid2442"/>
    <w:uiPriority w:val="99"/>
    <w:rsid w:val="00441502"/>
    <w:pPr>
      <w:spacing w:after="0" w:line="240" w:lineRule="auto"/>
    </w:pPr>
    <w:rPr>
      <w:rFonts w:ascii="Calibri" w:eastAsia="Calibri" w:hAnsi="Calibri" w:cs="Times New Roman"/>
      <w:sz w:val="20"/>
      <w:szCs w:val="20"/>
      <w:lang w:val="bg-BG" w:eastAsia="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42">
    <w:name w:val="Table Grid11342"/>
    <w:uiPriority w:val="99"/>
    <w:rsid w:val="00441502"/>
    <w:pPr>
      <w:spacing w:after="0" w:line="240" w:lineRule="auto"/>
    </w:pPr>
    <w:rPr>
      <w:rFonts w:ascii="Times New Roman" w:eastAsia="Times New Roman" w:hAnsi="Times New Roman" w:cs="Times New Roman"/>
      <w:sz w:val="20"/>
      <w:szCs w:val="20"/>
      <w:lang w:val="bg-BG" w:eastAsia="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42">
    <w:name w:val="Table Grid21342"/>
    <w:uiPriority w:val="99"/>
    <w:rsid w:val="00441502"/>
    <w:pPr>
      <w:spacing w:after="0" w:line="240" w:lineRule="auto"/>
    </w:pPr>
    <w:rPr>
      <w:rFonts w:ascii="Calibri" w:eastAsia="Calibri" w:hAnsi="Calibri" w:cs="Times New Roman"/>
      <w:sz w:val="20"/>
      <w:szCs w:val="20"/>
      <w:lang w:val="bg-BG" w:eastAsia="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02">
    <w:name w:val="Table Grid302"/>
    <w:basedOn w:val="TableNormal"/>
    <w:next w:val="TableGrid"/>
    <w:rsid w:val="00441502"/>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1">
    <w:name w:val="Table Grid371"/>
    <w:basedOn w:val="TableNormal"/>
    <w:next w:val="TableGrid"/>
    <w:rsid w:val="00441502"/>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81">
    <w:name w:val="Table Grid381"/>
    <w:basedOn w:val="TableNormal"/>
    <w:next w:val="TableGrid"/>
    <w:rsid w:val="00441502"/>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91">
    <w:name w:val="No List291"/>
    <w:next w:val="NoList"/>
    <w:uiPriority w:val="99"/>
    <w:semiHidden/>
    <w:unhideWhenUsed/>
    <w:rsid w:val="00441502"/>
  </w:style>
  <w:style w:type="numbering" w:customStyle="1" w:styleId="NoList301">
    <w:name w:val="No List301"/>
    <w:next w:val="NoList"/>
    <w:uiPriority w:val="99"/>
    <w:semiHidden/>
    <w:unhideWhenUsed/>
    <w:rsid w:val="00441502"/>
  </w:style>
  <w:style w:type="numbering" w:customStyle="1" w:styleId="NoList1181">
    <w:name w:val="No List1181"/>
    <w:next w:val="NoList"/>
    <w:uiPriority w:val="99"/>
    <w:semiHidden/>
    <w:unhideWhenUsed/>
    <w:rsid w:val="00441502"/>
  </w:style>
  <w:style w:type="numbering" w:customStyle="1" w:styleId="NoList1191">
    <w:name w:val="No List1191"/>
    <w:next w:val="NoList"/>
    <w:uiPriority w:val="99"/>
    <w:semiHidden/>
    <w:rsid w:val="00441502"/>
  </w:style>
  <w:style w:type="numbering" w:customStyle="1" w:styleId="NoList11151">
    <w:name w:val="No List11151"/>
    <w:next w:val="NoList"/>
    <w:uiPriority w:val="99"/>
    <w:semiHidden/>
    <w:unhideWhenUsed/>
    <w:rsid w:val="00441502"/>
  </w:style>
  <w:style w:type="numbering" w:customStyle="1" w:styleId="NoList2101">
    <w:name w:val="No List2101"/>
    <w:next w:val="NoList"/>
    <w:uiPriority w:val="99"/>
    <w:semiHidden/>
    <w:unhideWhenUsed/>
    <w:rsid w:val="00441502"/>
  </w:style>
  <w:style w:type="numbering" w:customStyle="1" w:styleId="NoList381">
    <w:name w:val="No List381"/>
    <w:next w:val="NoList"/>
    <w:semiHidden/>
    <w:unhideWhenUsed/>
    <w:rsid w:val="00441502"/>
  </w:style>
  <w:style w:type="numbering" w:customStyle="1" w:styleId="NoList1251">
    <w:name w:val="No List1251"/>
    <w:next w:val="NoList"/>
    <w:semiHidden/>
    <w:rsid w:val="00441502"/>
  </w:style>
  <w:style w:type="numbering" w:customStyle="1" w:styleId="NoList471">
    <w:name w:val="No List471"/>
    <w:next w:val="NoList"/>
    <w:uiPriority w:val="99"/>
    <w:semiHidden/>
    <w:unhideWhenUsed/>
    <w:rsid w:val="00441502"/>
  </w:style>
  <w:style w:type="numbering" w:customStyle="1" w:styleId="NoList1351">
    <w:name w:val="No List1351"/>
    <w:next w:val="NoList"/>
    <w:semiHidden/>
    <w:rsid w:val="00441502"/>
  </w:style>
  <w:style w:type="numbering" w:customStyle="1" w:styleId="NoList2171">
    <w:name w:val="No List2171"/>
    <w:next w:val="NoList"/>
    <w:uiPriority w:val="99"/>
    <w:semiHidden/>
    <w:unhideWhenUsed/>
    <w:rsid w:val="00441502"/>
  </w:style>
  <w:style w:type="numbering" w:customStyle="1" w:styleId="NoList3171">
    <w:name w:val="No List3171"/>
    <w:next w:val="NoList"/>
    <w:uiPriority w:val="99"/>
    <w:semiHidden/>
    <w:unhideWhenUsed/>
    <w:rsid w:val="00441502"/>
  </w:style>
  <w:style w:type="numbering" w:customStyle="1" w:styleId="NoList111131">
    <w:name w:val="No List111131"/>
    <w:next w:val="NoList"/>
    <w:uiPriority w:val="99"/>
    <w:semiHidden/>
    <w:unhideWhenUsed/>
    <w:rsid w:val="00441502"/>
  </w:style>
  <w:style w:type="numbering" w:customStyle="1" w:styleId="NoList21151">
    <w:name w:val="No List21151"/>
    <w:next w:val="NoList"/>
    <w:uiPriority w:val="99"/>
    <w:semiHidden/>
    <w:unhideWhenUsed/>
    <w:rsid w:val="00441502"/>
  </w:style>
  <w:style w:type="numbering" w:customStyle="1" w:styleId="NoList31151">
    <w:name w:val="No List31151"/>
    <w:next w:val="NoList"/>
    <w:semiHidden/>
    <w:rsid w:val="00441502"/>
  </w:style>
  <w:style w:type="numbering" w:customStyle="1" w:styleId="NoList4151">
    <w:name w:val="No List4151"/>
    <w:next w:val="NoList"/>
    <w:uiPriority w:val="99"/>
    <w:semiHidden/>
    <w:unhideWhenUsed/>
    <w:rsid w:val="00441502"/>
  </w:style>
  <w:style w:type="numbering" w:customStyle="1" w:styleId="NoList551">
    <w:name w:val="No List551"/>
    <w:next w:val="NoList"/>
    <w:uiPriority w:val="99"/>
    <w:semiHidden/>
    <w:unhideWhenUsed/>
    <w:rsid w:val="00441502"/>
  </w:style>
  <w:style w:type="numbering" w:customStyle="1" w:styleId="NoList1451">
    <w:name w:val="No List1451"/>
    <w:next w:val="NoList"/>
    <w:semiHidden/>
    <w:rsid w:val="00441502"/>
  </w:style>
  <w:style w:type="numbering" w:customStyle="1" w:styleId="NoList2251">
    <w:name w:val="No List2251"/>
    <w:next w:val="NoList"/>
    <w:uiPriority w:val="99"/>
    <w:semiHidden/>
    <w:unhideWhenUsed/>
    <w:rsid w:val="00441502"/>
  </w:style>
  <w:style w:type="numbering" w:customStyle="1" w:styleId="NoList3251">
    <w:name w:val="No List3251"/>
    <w:next w:val="NoList"/>
    <w:uiPriority w:val="99"/>
    <w:semiHidden/>
    <w:unhideWhenUsed/>
    <w:rsid w:val="00441502"/>
  </w:style>
  <w:style w:type="numbering" w:customStyle="1" w:styleId="NoList11251">
    <w:name w:val="No List11251"/>
    <w:next w:val="NoList"/>
    <w:uiPriority w:val="99"/>
    <w:semiHidden/>
    <w:unhideWhenUsed/>
    <w:rsid w:val="00441502"/>
  </w:style>
  <w:style w:type="numbering" w:customStyle="1" w:styleId="NoList21251">
    <w:name w:val="No List21251"/>
    <w:next w:val="NoList"/>
    <w:uiPriority w:val="99"/>
    <w:semiHidden/>
    <w:unhideWhenUsed/>
    <w:rsid w:val="00441502"/>
  </w:style>
  <w:style w:type="numbering" w:customStyle="1" w:styleId="NoList31251">
    <w:name w:val="No List31251"/>
    <w:next w:val="NoList"/>
    <w:semiHidden/>
    <w:rsid w:val="00441502"/>
  </w:style>
  <w:style w:type="numbering" w:customStyle="1" w:styleId="NoList4251">
    <w:name w:val="No List4251"/>
    <w:next w:val="NoList"/>
    <w:uiPriority w:val="99"/>
    <w:semiHidden/>
    <w:unhideWhenUsed/>
    <w:rsid w:val="00441502"/>
  </w:style>
  <w:style w:type="numbering" w:customStyle="1" w:styleId="NoList611">
    <w:name w:val="No List611"/>
    <w:next w:val="NoList"/>
    <w:uiPriority w:val="99"/>
    <w:semiHidden/>
    <w:unhideWhenUsed/>
    <w:rsid w:val="00441502"/>
  </w:style>
  <w:style w:type="numbering" w:customStyle="1" w:styleId="NoList1511">
    <w:name w:val="No List1511"/>
    <w:next w:val="NoList"/>
    <w:uiPriority w:val="99"/>
    <w:semiHidden/>
    <w:rsid w:val="00441502"/>
  </w:style>
  <w:style w:type="numbering" w:customStyle="1" w:styleId="NoList11311">
    <w:name w:val="No List11311"/>
    <w:next w:val="NoList"/>
    <w:uiPriority w:val="99"/>
    <w:semiHidden/>
    <w:unhideWhenUsed/>
    <w:rsid w:val="00441502"/>
  </w:style>
  <w:style w:type="numbering" w:customStyle="1" w:styleId="NoList2311">
    <w:name w:val="No List2311"/>
    <w:next w:val="NoList"/>
    <w:uiPriority w:val="99"/>
    <w:semiHidden/>
    <w:unhideWhenUsed/>
    <w:rsid w:val="00441502"/>
  </w:style>
  <w:style w:type="numbering" w:customStyle="1" w:styleId="NoList3311">
    <w:name w:val="No List3311"/>
    <w:next w:val="NoList"/>
    <w:semiHidden/>
    <w:unhideWhenUsed/>
    <w:rsid w:val="00441502"/>
  </w:style>
  <w:style w:type="numbering" w:customStyle="1" w:styleId="NoList12111">
    <w:name w:val="No List12111"/>
    <w:next w:val="NoList"/>
    <w:semiHidden/>
    <w:rsid w:val="00441502"/>
  </w:style>
  <w:style w:type="numbering" w:customStyle="1" w:styleId="NoList4311">
    <w:name w:val="No List4311"/>
    <w:next w:val="NoList"/>
    <w:uiPriority w:val="99"/>
    <w:semiHidden/>
    <w:unhideWhenUsed/>
    <w:rsid w:val="00441502"/>
  </w:style>
  <w:style w:type="numbering" w:customStyle="1" w:styleId="NoList13111">
    <w:name w:val="No List13111"/>
    <w:next w:val="NoList"/>
    <w:semiHidden/>
    <w:rsid w:val="00441502"/>
  </w:style>
  <w:style w:type="numbering" w:customStyle="1" w:styleId="NoList21311">
    <w:name w:val="No List21311"/>
    <w:next w:val="NoList"/>
    <w:uiPriority w:val="99"/>
    <w:semiHidden/>
    <w:unhideWhenUsed/>
    <w:rsid w:val="00441502"/>
  </w:style>
  <w:style w:type="numbering" w:customStyle="1" w:styleId="NoList31311">
    <w:name w:val="No List31311"/>
    <w:next w:val="NoList"/>
    <w:uiPriority w:val="99"/>
    <w:semiHidden/>
    <w:unhideWhenUsed/>
    <w:rsid w:val="00441502"/>
  </w:style>
  <w:style w:type="numbering" w:customStyle="1" w:styleId="NoList1111113">
    <w:name w:val="No List1111113"/>
    <w:next w:val="NoList"/>
    <w:uiPriority w:val="99"/>
    <w:semiHidden/>
    <w:unhideWhenUsed/>
    <w:rsid w:val="00441502"/>
  </w:style>
  <w:style w:type="numbering" w:customStyle="1" w:styleId="NoList211111">
    <w:name w:val="No List211111"/>
    <w:next w:val="NoList"/>
    <w:uiPriority w:val="99"/>
    <w:semiHidden/>
    <w:unhideWhenUsed/>
    <w:rsid w:val="00441502"/>
  </w:style>
  <w:style w:type="numbering" w:customStyle="1" w:styleId="NoList311111">
    <w:name w:val="No List311111"/>
    <w:next w:val="NoList"/>
    <w:semiHidden/>
    <w:rsid w:val="00441502"/>
  </w:style>
  <w:style w:type="numbering" w:customStyle="1" w:styleId="NoList41111">
    <w:name w:val="No List41111"/>
    <w:next w:val="NoList"/>
    <w:uiPriority w:val="99"/>
    <w:semiHidden/>
    <w:unhideWhenUsed/>
    <w:rsid w:val="00441502"/>
  </w:style>
  <w:style w:type="numbering" w:customStyle="1" w:styleId="NoList5111">
    <w:name w:val="No List5111"/>
    <w:next w:val="NoList"/>
    <w:uiPriority w:val="99"/>
    <w:semiHidden/>
    <w:unhideWhenUsed/>
    <w:rsid w:val="00441502"/>
  </w:style>
  <w:style w:type="numbering" w:customStyle="1" w:styleId="NoList14111">
    <w:name w:val="No List14111"/>
    <w:next w:val="NoList"/>
    <w:semiHidden/>
    <w:rsid w:val="00441502"/>
  </w:style>
  <w:style w:type="numbering" w:customStyle="1" w:styleId="NoList22111">
    <w:name w:val="No List22111"/>
    <w:next w:val="NoList"/>
    <w:uiPriority w:val="99"/>
    <w:semiHidden/>
    <w:unhideWhenUsed/>
    <w:rsid w:val="00441502"/>
  </w:style>
  <w:style w:type="numbering" w:customStyle="1" w:styleId="NoList32111">
    <w:name w:val="No List32111"/>
    <w:next w:val="NoList"/>
    <w:uiPriority w:val="99"/>
    <w:semiHidden/>
    <w:unhideWhenUsed/>
    <w:rsid w:val="00441502"/>
  </w:style>
  <w:style w:type="numbering" w:customStyle="1" w:styleId="NoList112111">
    <w:name w:val="No List112111"/>
    <w:next w:val="NoList"/>
    <w:uiPriority w:val="99"/>
    <w:semiHidden/>
    <w:unhideWhenUsed/>
    <w:rsid w:val="00441502"/>
  </w:style>
  <w:style w:type="numbering" w:customStyle="1" w:styleId="NoList212111">
    <w:name w:val="No List212111"/>
    <w:next w:val="NoList"/>
    <w:uiPriority w:val="99"/>
    <w:semiHidden/>
    <w:unhideWhenUsed/>
    <w:rsid w:val="00441502"/>
  </w:style>
  <w:style w:type="numbering" w:customStyle="1" w:styleId="NoList312111">
    <w:name w:val="No List312111"/>
    <w:next w:val="NoList"/>
    <w:semiHidden/>
    <w:rsid w:val="00441502"/>
  </w:style>
  <w:style w:type="numbering" w:customStyle="1" w:styleId="NoList42111">
    <w:name w:val="No List42111"/>
    <w:next w:val="NoList"/>
    <w:uiPriority w:val="99"/>
    <w:semiHidden/>
    <w:unhideWhenUsed/>
    <w:rsid w:val="00441502"/>
  </w:style>
  <w:style w:type="numbering" w:customStyle="1" w:styleId="NoList711">
    <w:name w:val="No List711"/>
    <w:next w:val="NoList"/>
    <w:uiPriority w:val="99"/>
    <w:semiHidden/>
    <w:unhideWhenUsed/>
    <w:rsid w:val="00441502"/>
  </w:style>
  <w:style w:type="numbering" w:customStyle="1" w:styleId="NoList1611">
    <w:name w:val="No List1611"/>
    <w:next w:val="NoList"/>
    <w:uiPriority w:val="99"/>
    <w:semiHidden/>
    <w:unhideWhenUsed/>
    <w:rsid w:val="00441502"/>
  </w:style>
  <w:style w:type="numbering" w:customStyle="1" w:styleId="NoList11411">
    <w:name w:val="No List11411"/>
    <w:next w:val="NoList"/>
    <w:uiPriority w:val="99"/>
    <w:semiHidden/>
    <w:rsid w:val="00441502"/>
  </w:style>
  <w:style w:type="numbering" w:customStyle="1" w:styleId="NoList111211">
    <w:name w:val="No List111211"/>
    <w:next w:val="NoList"/>
    <w:uiPriority w:val="99"/>
    <w:semiHidden/>
    <w:unhideWhenUsed/>
    <w:rsid w:val="00441502"/>
  </w:style>
  <w:style w:type="numbering" w:customStyle="1" w:styleId="NoList2411">
    <w:name w:val="No List2411"/>
    <w:next w:val="NoList"/>
    <w:uiPriority w:val="99"/>
    <w:semiHidden/>
    <w:unhideWhenUsed/>
    <w:rsid w:val="00441502"/>
  </w:style>
  <w:style w:type="numbering" w:customStyle="1" w:styleId="NoList3411">
    <w:name w:val="No List3411"/>
    <w:next w:val="NoList"/>
    <w:semiHidden/>
    <w:unhideWhenUsed/>
    <w:rsid w:val="00441502"/>
  </w:style>
  <w:style w:type="numbering" w:customStyle="1" w:styleId="NoList12211">
    <w:name w:val="No List12211"/>
    <w:next w:val="NoList"/>
    <w:semiHidden/>
    <w:rsid w:val="00441502"/>
  </w:style>
  <w:style w:type="numbering" w:customStyle="1" w:styleId="NoList4411">
    <w:name w:val="No List4411"/>
    <w:next w:val="NoList"/>
    <w:uiPriority w:val="99"/>
    <w:semiHidden/>
    <w:unhideWhenUsed/>
    <w:rsid w:val="00441502"/>
  </w:style>
  <w:style w:type="numbering" w:customStyle="1" w:styleId="NoList13211">
    <w:name w:val="No List13211"/>
    <w:next w:val="NoList"/>
    <w:semiHidden/>
    <w:rsid w:val="00441502"/>
  </w:style>
  <w:style w:type="numbering" w:customStyle="1" w:styleId="NoList21411">
    <w:name w:val="No List21411"/>
    <w:next w:val="NoList"/>
    <w:uiPriority w:val="99"/>
    <w:semiHidden/>
    <w:unhideWhenUsed/>
    <w:rsid w:val="00441502"/>
  </w:style>
  <w:style w:type="numbering" w:customStyle="1" w:styleId="NoList31411">
    <w:name w:val="No List31411"/>
    <w:next w:val="NoList"/>
    <w:uiPriority w:val="99"/>
    <w:semiHidden/>
    <w:unhideWhenUsed/>
    <w:rsid w:val="00441502"/>
  </w:style>
  <w:style w:type="numbering" w:customStyle="1" w:styleId="NoList11111111">
    <w:name w:val="No List11111111"/>
    <w:next w:val="NoList"/>
    <w:uiPriority w:val="99"/>
    <w:semiHidden/>
    <w:unhideWhenUsed/>
    <w:rsid w:val="00441502"/>
  </w:style>
  <w:style w:type="numbering" w:customStyle="1" w:styleId="NoList211211">
    <w:name w:val="No List211211"/>
    <w:next w:val="NoList"/>
    <w:uiPriority w:val="99"/>
    <w:semiHidden/>
    <w:unhideWhenUsed/>
    <w:rsid w:val="00441502"/>
  </w:style>
  <w:style w:type="numbering" w:customStyle="1" w:styleId="NoList311211">
    <w:name w:val="No List311211"/>
    <w:next w:val="NoList"/>
    <w:semiHidden/>
    <w:rsid w:val="00441502"/>
  </w:style>
  <w:style w:type="numbering" w:customStyle="1" w:styleId="NoList41211">
    <w:name w:val="No List41211"/>
    <w:next w:val="NoList"/>
    <w:uiPriority w:val="99"/>
    <w:semiHidden/>
    <w:unhideWhenUsed/>
    <w:rsid w:val="00441502"/>
  </w:style>
  <w:style w:type="numbering" w:customStyle="1" w:styleId="NoList5211">
    <w:name w:val="No List5211"/>
    <w:next w:val="NoList"/>
    <w:uiPriority w:val="99"/>
    <w:semiHidden/>
    <w:unhideWhenUsed/>
    <w:rsid w:val="00441502"/>
  </w:style>
  <w:style w:type="numbering" w:customStyle="1" w:styleId="NoList14211">
    <w:name w:val="No List14211"/>
    <w:next w:val="NoList"/>
    <w:semiHidden/>
    <w:rsid w:val="00441502"/>
  </w:style>
  <w:style w:type="numbering" w:customStyle="1" w:styleId="NoList22211">
    <w:name w:val="No List22211"/>
    <w:next w:val="NoList"/>
    <w:uiPriority w:val="99"/>
    <w:semiHidden/>
    <w:unhideWhenUsed/>
    <w:rsid w:val="00441502"/>
  </w:style>
  <w:style w:type="numbering" w:customStyle="1" w:styleId="NoList32211">
    <w:name w:val="No List32211"/>
    <w:next w:val="NoList"/>
    <w:uiPriority w:val="99"/>
    <w:semiHidden/>
    <w:unhideWhenUsed/>
    <w:rsid w:val="00441502"/>
  </w:style>
  <w:style w:type="numbering" w:customStyle="1" w:styleId="NoList112211">
    <w:name w:val="No List112211"/>
    <w:next w:val="NoList"/>
    <w:uiPriority w:val="99"/>
    <w:semiHidden/>
    <w:unhideWhenUsed/>
    <w:rsid w:val="00441502"/>
  </w:style>
  <w:style w:type="numbering" w:customStyle="1" w:styleId="NoList212211">
    <w:name w:val="No List212211"/>
    <w:next w:val="NoList"/>
    <w:uiPriority w:val="99"/>
    <w:semiHidden/>
    <w:unhideWhenUsed/>
    <w:rsid w:val="00441502"/>
  </w:style>
  <w:style w:type="numbering" w:customStyle="1" w:styleId="NoList312211">
    <w:name w:val="No List312211"/>
    <w:next w:val="NoList"/>
    <w:semiHidden/>
    <w:rsid w:val="00441502"/>
  </w:style>
  <w:style w:type="numbering" w:customStyle="1" w:styleId="NoList42211">
    <w:name w:val="No List42211"/>
    <w:next w:val="NoList"/>
    <w:uiPriority w:val="99"/>
    <w:semiHidden/>
    <w:unhideWhenUsed/>
    <w:rsid w:val="00441502"/>
  </w:style>
  <w:style w:type="numbering" w:customStyle="1" w:styleId="NoList811">
    <w:name w:val="No List811"/>
    <w:next w:val="NoList"/>
    <w:uiPriority w:val="99"/>
    <w:semiHidden/>
    <w:unhideWhenUsed/>
    <w:rsid w:val="00441502"/>
  </w:style>
  <w:style w:type="numbering" w:customStyle="1" w:styleId="NoList1711">
    <w:name w:val="No List1711"/>
    <w:next w:val="NoList"/>
    <w:uiPriority w:val="99"/>
    <w:semiHidden/>
    <w:unhideWhenUsed/>
    <w:rsid w:val="00441502"/>
  </w:style>
  <w:style w:type="numbering" w:customStyle="1" w:styleId="NoList2511">
    <w:name w:val="No List2511"/>
    <w:next w:val="NoList"/>
    <w:uiPriority w:val="99"/>
    <w:semiHidden/>
    <w:unhideWhenUsed/>
    <w:rsid w:val="00441502"/>
  </w:style>
  <w:style w:type="numbering" w:customStyle="1" w:styleId="NoList3511">
    <w:name w:val="No List3511"/>
    <w:next w:val="NoList"/>
    <w:uiPriority w:val="99"/>
    <w:semiHidden/>
    <w:unhideWhenUsed/>
    <w:rsid w:val="00441502"/>
  </w:style>
  <w:style w:type="numbering" w:customStyle="1" w:styleId="NoList911">
    <w:name w:val="No List911"/>
    <w:next w:val="NoList"/>
    <w:uiPriority w:val="99"/>
    <w:semiHidden/>
    <w:unhideWhenUsed/>
    <w:rsid w:val="00441502"/>
  </w:style>
  <w:style w:type="numbering" w:customStyle="1" w:styleId="NoList1011">
    <w:name w:val="No List1011"/>
    <w:next w:val="NoList"/>
    <w:uiPriority w:val="99"/>
    <w:semiHidden/>
    <w:unhideWhenUsed/>
    <w:rsid w:val="00441502"/>
  </w:style>
  <w:style w:type="numbering" w:customStyle="1" w:styleId="NoList1811">
    <w:name w:val="No List1811"/>
    <w:next w:val="NoList"/>
    <w:uiPriority w:val="99"/>
    <w:semiHidden/>
    <w:unhideWhenUsed/>
    <w:rsid w:val="00441502"/>
  </w:style>
  <w:style w:type="numbering" w:customStyle="1" w:styleId="NoList1911">
    <w:name w:val="No List1911"/>
    <w:next w:val="NoList"/>
    <w:uiPriority w:val="99"/>
    <w:semiHidden/>
    <w:unhideWhenUsed/>
    <w:rsid w:val="00441502"/>
  </w:style>
  <w:style w:type="numbering" w:customStyle="1" w:styleId="NoList11011">
    <w:name w:val="No List11011"/>
    <w:next w:val="NoList"/>
    <w:uiPriority w:val="99"/>
    <w:semiHidden/>
    <w:rsid w:val="00441502"/>
  </w:style>
  <w:style w:type="numbering" w:customStyle="1" w:styleId="NoList11511">
    <w:name w:val="No List11511"/>
    <w:next w:val="NoList"/>
    <w:uiPriority w:val="99"/>
    <w:semiHidden/>
    <w:unhideWhenUsed/>
    <w:rsid w:val="00441502"/>
  </w:style>
  <w:style w:type="numbering" w:customStyle="1" w:styleId="NoList2611">
    <w:name w:val="No List2611"/>
    <w:next w:val="NoList"/>
    <w:uiPriority w:val="99"/>
    <w:semiHidden/>
    <w:unhideWhenUsed/>
    <w:rsid w:val="00441502"/>
  </w:style>
  <w:style w:type="numbering" w:customStyle="1" w:styleId="NoList3611">
    <w:name w:val="No List3611"/>
    <w:next w:val="NoList"/>
    <w:semiHidden/>
    <w:unhideWhenUsed/>
    <w:rsid w:val="00441502"/>
  </w:style>
  <w:style w:type="numbering" w:customStyle="1" w:styleId="NoList12311">
    <w:name w:val="No List12311"/>
    <w:next w:val="NoList"/>
    <w:semiHidden/>
    <w:rsid w:val="00441502"/>
  </w:style>
  <w:style w:type="numbering" w:customStyle="1" w:styleId="NoList4511">
    <w:name w:val="No List4511"/>
    <w:next w:val="NoList"/>
    <w:uiPriority w:val="99"/>
    <w:semiHidden/>
    <w:unhideWhenUsed/>
    <w:rsid w:val="00441502"/>
  </w:style>
  <w:style w:type="numbering" w:customStyle="1" w:styleId="NoList13311">
    <w:name w:val="No List13311"/>
    <w:next w:val="NoList"/>
    <w:semiHidden/>
    <w:rsid w:val="00441502"/>
  </w:style>
  <w:style w:type="numbering" w:customStyle="1" w:styleId="NoList21511">
    <w:name w:val="No List21511"/>
    <w:next w:val="NoList"/>
    <w:uiPriority w:val="99"/>
    <w:semiHidden/>
    <w:unhideWhenUsed/>
    <w:rsid w:val="00441502"/>
  </w:style>
  <w:style w:type="numbering" w:customStyle="1" w:styleId="NoList31511">
    <w:name w:val="No List31511"/>
    <w:next w:val="NoList"/>
    <w:uiPriority w:val="99"/>
    <w:semiHidden/>
    <w:unhideWhenUsed/>
    <w:rsid w:val="00441502"/>
  </w:style>
  <w:style w:type="numbering" w:customStyle="1" w:styleId="NoList111311">
    <w:name w:val="No List111311"/>
    <w:next w:val="NoList"/>
    <w:uiPriority w:val="99"/>
    <w:semiHidden/>
    <w:unhideWhenUsed/>
    <w:rsid w:val="00441502"/>
  </w:style>
  <w:style w:type="numbering" w:customStyle="1" w:styleId="NoList211311">
    <w:name w:val="No List211311"/>
    <w:next w:val="NoList"/>
    <w:uiPriority w:val="99"/>
    <w:semiHidden/>
    <w:unhideWhenUsed/>
    <w:rsid w:val="00441502"/>
  </w:style>
  <w:style w:type="numbering" w:customStyle="1" w:styleId="NoList311311">
    <w:name w:val="No List311311"/>
    <w:next w:val="NoList"/>
    <w:semiHidden/>
    <w:rsid w:val="00441502"/>
  </w:style>
  <w:style w:type="numbering" w:customStyle="1" w:styleId="NoList41311">
    <w:name w:val="No List41311"/>
    <w:next w:val="NoList"/>
    <w:uiPriority w:val="99"/>
    <w:semiHidden/>
    <w:unhideWhenUsed/>
    <w:rsid w:val="00441502"/>
  </w:style>
  <w:style w:type="numbering" w:customStyle="1" w:styleId="NoList5311">
    <w:name w:val="No List5311"/>
    <w:next w:val="NoList"/>
    <w:uiPriority w:val="99"/>
    <w:semiHidden/>
    <w:unhideWhenUsed/>
    <w:rsid w:val="00441502"/>
  </w:style>
  <w:style w:type="numbering" w:customStyle="1" w:styleId="NoList14311">
    <w:name w:val="No List14311"/>
    <w:next w:val="NoList"/>
    <w:semiHidden/>
    <w:rsid w:val="00441502"/>
  </w:style>
  <w:style w:type="numbering" w:customStyle="1" w:styleId="NoList22311">
    <w:name w:val="No List22311"/>
    <w:next w:val="NoList"/>
    <w:uiPriority w:val="99"/>
    <w:semiHidden/>
    <w:unhideWhenUsed/>
    <w:rsid w:val="00441502"/>
  </w:style>
  <w:style w:type="numbering" w:customStyle="1" w:styleId="NoList32311">
    <w:name w:val="No List32311"/>
    <w:next w:val="NoList"/>
    <w:uiPriority w:val="99"/>
    <w:semiHidden/>
    <w:unhideWhenUsed/>
    <w:rsid w:val="00441502"/>
  </w:style>
  <w:style w:type="numbering" w:customStyle="1" w:styleId="NoList112311">
    <w:name w:val="No List112311"/>
    <w:next w:val="NoList"/>
    <w:uiPriority w:val="99"/>
    <w:semiHidden/>
    <w:unhideWhenUsed/>
    <w:rsid w:val="00441502"/>
  </w:style>
  <w:style w:type="numbering" w:customStyle="1" w:styleId="NoList212311">
    <w:name w:val="No List212311"/>
    <w:next w:val="NoList"/>
    <w:uiPriority w:val="99"/>
    <w:semiHidden/>
    <w:unhideWhenUsed/>
    <w:rsid w:val="00441502"/>
  </w:style>
  <w:style w:type="numbering" w:customStyle="1" w:styleId="NoList312311">
    <w:name w:val="No List312311"/>
    <w:next w:val="NoList"/>
    <w:semiHidden/>
    <w:rsid w:val="00441502"/>
  </w:style>
  <w:style w:type="numbering" w:customStyle="1" w:styleId="NoList42311">
    <w:name w:val="No List42311"/>
    <w:next w:val="NoList"/>
    <w:uiPriority w:val="99"/>
    <w:semiHidden/>
    <w:unhideWhenUsed/>
    <w:rsid w:val="00441502"/>
  </w:style>
  <w:style w:type="numbering" w:customStyle="1" w:styleId="NoList2011">
    <w:name w:val="No List2011"/>
    <w:next w:val="NoList"/>
    <w:uiPriority w:val="99"/>
    <w:semiHidden/>
    <w:unhideWhenUsed/>
    <w:rsid w:val="00441502"/>
  </w:style>
  <w:style w:type="numbering" w:customStyle="1" w:styleId="NoList2711">
    <w:name w:val="No List2711"/>
    <w:next w:val="NoList"/>
    <w:uiPriority w:val="99"/>
    <w:semiHidden/>
    <w:unhideWhenUsed/>
    <w:rsid w:val="00441502"/>
  </w:style>
  <w:style w:type="numbering" w:customStyle="1" w:styleId="NoList11611">
    <w:name w:val="No List11611"/>
    <w:next w:val="NoList"/>
    <w:uiPriority w:val="99"/>
    <w:semiHidden/>
    <w:unhideWhenUsed/>
    <w:rsid w:val="00441502"/>
  </w:style>
  <w:style w:type="numbering" w:customStyle="1" w:styleId="NoList11711">
    <w:name w:val="No List11711"/>
    <w:next w:val="NoList"/>
    <w:uiPriority w:val="99"/>
    <w:semiHidden/>
    <w:rsid w:val="00441502"/>
  </w:style>
  <w:style w:type="numbering" w:customStyle="1" w:styleId="NoList111411">
    <w:name w:val="No List111411"/>
    <w:next w:val="NoList"/>
    <w:uiPriority w:val="99"/>
    <w:semiHidden/>
    <w:unhideWhenUsed/>
    <w:rsid w:val="00441502"/>
  </w:style>
  <w:style w:type="numbering" w:customStyle="1" w:styleId="NoList2811">
    <w:name w:val="No List2811"/>
    <w:next w:val="NoList"/>
    <w:uiPriority w:val="99"/>
    <w:semiHidden/>
    <w:unhideWhenUsed/>
    <w:rsid w:val="00441502"/>
  </w:style>
  <w:style w:type="numbering" w:customStyle="1" w:styleId="NoList3711">
    <w:name w:val="No List3711"/>
    <w:next w:val="NoList"/>
    <w:semiHidden/>
    <w:unhideWhenUsed/>
    <w:rsid w:val="00441502"/>
  </w:style>
  <w:style w:type="numbering" w:customStyle="1" w:styleId="NoList12411">
    <w:name w:val="No List12411"/>
    <w:next w:val="NoList"/>
    <w:semiHidden/>
    <w:rsid w:val="00441502"/>
  </w:style>
  <w:style w:type="numbering" w:customStyle="1" w:styleId="NoList4611">
    <w:name w:val="No List4611"/>
    <w:next w:val="NoList"/>
    <w:uiPriority w:val="99"/>
    <w:semiHidden/>
    <w:unhideWhenUsed/>
    <w:rsid w:val="00441502"/>
  </w:style>
  <w:style w:type="numbering" w:customStyle="1" w:styleId="NoList13411">
    <w:name w:val="No List13411"/>
    <w:next w:val="NoList"/>
    <w:semiHidden/>
    <w:rsid w:val="00441502"/>
  </w:style>
  <w:style w:type="numbering" w:customStyle="1" w:styleId="NoList21611">
    <w:name w:val="No List21611"/>
    <w:next w:val="NoList"/>
    <w:uiPriority w:val="99"/>
    <w:semiHidden/>
    <w:unhideWhenUsed/>
    <w:rsid w:val="00441502"/>
  </w:style>
  <w:style w:type="numbering" w:customStyle="1" w:styleId="NoList31611">
    <w:name w:val="No List31611"/>
    <w:next w:val="NoList"/>
    <w:uiPriority w:val="99"/>
    <w:semiHidden/>
    <w:unhideWhenUsed/>
    <w:rsid w:val="00441502"/>
  </w:style>
  <w:style w:type="numbering" w:customStyle="1" w:styleId="NoList1111211">
    <w:name w:val="No List1111211"/>
    <w:next w:val="NoList"/>
    <w:uiPriority w:val="99"/>
    <w:semiHidden/>
    <w:unhideWhenUsed/>
    <w:rsid w:val="00441502"/>
  </w:style>
  <w:style w:type="numbering" w:customStyle="1" w:styleId="NoList211411">
    <w:name w:val="No List211411"/>
    <w:next w:val="NoList"/>
    <w:uiPriority w:val="99"/>
    <w:semiHidden/>
    <w:unhideWhenUsed/>
    <w:rsid w:val="00441502"/>
  </w:style>
  <w:style w:type="numbering" w:customStyle="1" w:styleId="NoList311411">
    <w:name w:val="No List311411"/>
    <w:next w:val="NoList"/>
    <w:semiHidden/>
    <w:rsid w:val="00441502"/>
  </w:style>
  <w:style w:type="numbering" w:customStyle="1" w:styleId="NoList41411">
    <w:name w:val="No List41411"/>
    <w:next w:val="NoList"/>
    <w:uiPriority w:val="99"/>
    <w:semiHidden/>
    <w:unhideWhenUsed/>
    <w:rsid w:val="00441502"/>
  </w:style>
  <w:style w:type="numbering" w:customStyle="1" w:styleId="NoList5411">
    <w:name w:val="No List5411"/>
    <w:next w:val="NoList"/>
    <w:uiPriority w:val="99"/>
    <w:semiHidden/>
    <w:unhideWhenUsed/>
    <w:rsid w:val="00441502"/>
  </w:style>
  <w:style w:type="numbering" w:customStyle="1" w:styleId="NoList14411">
    <w:name w:val="No List14411"/>
    <w:next w:val="NoList"/>
    <w:semiHidden/>
    <w:rsid w:val="00441502"/>
  </w:style>
  <w:style w:type="numbering" w:customStyle="1" w:styleId="NoList22411">
    <w:name w:val="No List22411"/>
    <w:next w:val="NoList"/>
    <w:uiPriority w:val="99"/>
    <w:semiHidden/>
    <w:unhideWhenUsed/>
    <w:rsid w:val="00441502"/>
  </w:style>
  <w:style w:type="numbering" w:customStyle="1" w:styleId="NoList32411">
    <w:name w:val="No List32411"/>
    <w:next w:val="NoList"/>
    <w:uiPriority w:val="99"/>
    <w:semiHidden/>
    <w:unhideWhenUsed/>
    <w:rsid w:val="00441502"/>
  </w:style>
  <w:style w:type="numbering" w:customStyle="1" w:styleId="NoList112411">
    <w:name w:val="No List112411"/>
    <w:next w:val="NoList"/>
    <w:uiPriority w:val="99"/>
    <w:semiHidden/>
    <w:unhideWhenUsed/>
    <w:rsid w:val="00441502"/>
  </w:style>
  <w:style w:type="numbering" w:customStyle="1" w:styleId="NoList212411">
    <w:name w:val="No List212411"/>
    <w:next w:val="NoList"/>
    <w:uiPriority w:val="99"/>
    <w:semiHidden/>
    <w:unhideWhenUsed/>
    <w:rsid w:val="00441502"/>
  </w:style>
  <w:style w:type="numbering" w:customStyle="1" w:styleId="NoList312411">
    <w:name w:val="No List312411"/>
    <w:next w:val="NoList"/>
    <w:semiHidden/>
    <w:rsid w:val="00441502"/>
  </w:style>
  <w:style w:type="numbering" w:customStyle="1" w:styleId="NoList42411">
    <w:name w:val="No List42411"/>
    <w:next w:val="NoList"/>
    <w:uiPriority w:val="99"/>
    <w:semiHidden/>
    <w:unhideWhenUsed/>
    <w:rsid w:val="00441502"/>
  </w:style>
  <w:style w:type="numbering" w:customStyle="1" w:styleId="NoList391">
    <w:name w:val="No List391"/>
    <w:next w:val="NoList"/>
    <w:uiPriority w:val="99"/>
    <w:semiHidden/>
    <w:unhideWhenUsed/>
    <w:rsid w:val="00441502"/>
  </w:style>
  <w:style w:type="numbering" w:customStyle="1" w:styleId="NoList1201">
    <w:name w:val="No List1201"/>
    <w:next w:val="NoList"/>
    <w:uiPriority w:val="99"/>
    <w:semiHidden/>
    <w:unhideWhenUsed/>
    <w:rsid w:val="00441502"/>
  </w:style>
  <w:style w:type="numbering" w:customStyle="1" w:styleId="NoList11101">
    <w:name w:val="No List11101"/>
    <w:next w:val="NoList"/>
    <w:uiPriority w:val="99"/>
    <w:semiHidden/>
    <w:rsid w:val="00441502"/>
  </w:style>
  <w:style w:type="table" w:customStyle="1" w:styleId="TableGrid391">
    <w:name w:val="Table Grid391"/>
    <w:basedOn w:val="TableNormal"/>
    <w:next w:val="TableGrid"/>
    <w:rsid w:val="00441502"/>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91">
    <w:name w:val="Table Grid1191"/>
    <w:basedOn w:val="TableNormal"/>
    <w:next w:val="TableGrid"/>
    <w:rsid w:val="0044150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61">
    <w:name w:val="No List11161"/>
    <w:next w:val="NoList"/>
    <w:uiPriority w:val="99"/>
    <w:semiHidden/>
    <w:unhideWhenUsed/>
    <w:rsid w:val="00441502"/>
  </w:style>
  <w:style w:type="numbering" w:customStyle="1" w:styleId="NoList2181">
    <w:name w:val="No List2181"/>
    <w:next w:val="NoList"/>
    <w:uiPriority w:val="99"/>
    <w:semiHidden/>
    <w:unhideWhenUsed/>
    <w:rsid w:val="00441502"/>
  </w:style>
  <w:style w:type="numbering" w:customStyle="1" w:styleId="NoList3101">
    <w:name w:val="No List3101"/>
    <w:next w:val="NoList"/>
    <w:semiHidden/>
    <w:unhideWhenUsed/>
    <w:rsid w:val="00441502"/>
  </w:style>
  <w:style w:type="table" w:customStyle="1" w:styleId="TableGrid11101">
    <w:name w:val="Table Grid11101"/>
    <w:basedOn w:val="TableNormal"/>
    <w:next w:val="TableGrid"/>
    <w:rsid w:val="00441502"/>
    <w:pPr>
      <w:spacing w:after="0" w:line="240" w:lineRule="auto"/>
      <w:jc w:val="both"/>
    </w:pPr>
    <w:rPr>
      <w:rFonts w:ascii="Calibri" w:eastAsia="Calibri" w:hAnsi="Calibri" w:cs="Times New Roman"/>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01">
    <w:name w:val="Table Grid2101"/>
    <w:basedOn w:val="TableNormal"/>
    <w:next w:val="TableGrid"/>
    <w:rsid w:val="00441502"/>
    <w:pPr>
      <w:spacing w:after="0" w:line="240" w:lineRule="auto"/>
    </w:pPr>
    <w:rPr>
      <w:rFonts w:ascii="Verdana" w:eastAsia="Times New Roman" w:hAnsi="Verdana" w:cs="Times New Roman"/>
      <w:sz w:val="20"/>
      <w:szCs w:val="20"/>
      <w:lang w:val="bg-B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61">
    <w:name w:val="No List1261"/>
    <w:next w:val="NoList"/>
    <w:semiHidden/>
    <w:rsid w:val="00441502"/>
  </w:style>
  <w:style w:type="numbering" w:customStyle="1" w:styleId="NoList481">
    <w:name w:val="No List481"/>
    <w:next w:val="NoList"/>
    <w:uiPriority w:val="99"/>
    <w:semiHidden/>
    <w:unhideWhenUsed/>
    <w:rsid w:val="00441502"/>
  </w:style>
  <w:style w:type="numbering" w:customStyle="1" w:styleId="NoList1361">
    <w:name w:val="No List1361"/>
    <w:next w:val="NoList"/>
    <w:semiHidden/>
    <w:rsid w:val="00441502"/>
  </w:style>
  <w:style w:type="table" w:customStyle="1" w:styleId="TableGrid3101">
    <w:name w:val="Table Grid3101"/>
    <w:basedOn w:val="TableNormal"/>
    <w:next w:val="TableGrid"/>
    <w:uiPriority w:val="99"/>
    <w:rsid w:val="00441502"/>
    <w:pPr>
      <w:spacing w:after="0" w:line="240" w:lineRule="auto"/>
    </w:pPr>
    <w:rPr>
      <w:rFonts w:ascii="Times New Roman" w:eastAsia="Times New Roman" w:hAnsi="Times New Roman" w:cs="Times New Roman"/>
      <w:sz w:val="20"/>
      <w:szCs w:val="20"/>
      <w:lang w:val="bg-B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391">
    <w:name w:val="Table Web 391"/>
    <w:basedOn w:val="TableNormal"/>
    <w:next w:val="TableWeb3"/>
    <w:rsid w:val="00441502"/>
    <w:pPr>
      <w:spacing w:after="0" w:line="240" w:lineRule="auto"/>
    </w:pPr>
    <w:rPr>
      <w:rFonts w:ascii="Times New Roman" w:eastAsia="Times New Roman" w:hAnsi="Times New Roman" w:cs="Times New Roman"/>
      <w:sz w:val="20"/>
      <w:szCs w:val="20"/>
      <w:lang w:val="bg-BG" w:eastAsia="bg-BG"/>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1261">
    <w:name w:val="Table Grid1261"/>
    <w:basedOn w:val="TableNormal"/>
    <w:next w:val="TableGrid"/>
    <w:rsid w:val="00441502"/>
    <w:pPr>
      <w:spacing w:after="0" w:line="240" w:lineRule="auto"/>
    </w:pPr>
    <w:rPr>
      <w:rFonts w:ascii="Times New Roman" w:eastAsia="Times New Roman" w:hAnsi="Times New Roman" w:cs="Times New Roman"/>
      <w:sz w:val="20"/>
      <w:szCs w:val="20"/>
      <w:lang w:val="bg-B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91">
    <w:name w:val="No List2191"/>
    <w:next w:val="NoList"/>
    <w:uiPriority w:val="99"/>
    <w:semiHidden/>
    <w:unhideWhenUsed/>
    <w:rsid w:val="00441502"/>
  </w:style>
  <w:style w:type="table" w:customStyle="1" w:styleId="TableGrid2181">
    <w:name w:val="Table Grid2181"/>
    <w:basedOn w:val="TableNormal"/>
    <w:next w:val="TableGrid"/>
    <w:uiPriority w:val="99"/>
    <w:rsid w:val="00441502"/>
    <w:pPr>
      <w:spacing w:after="0" w:line="240" w:lineRule="auto"/>
    </w:pPr>
    <w:rPr>
      <w:rFonts w:ascii="Times New Roman" w:eastAsia="Times New Roman" w:hAnsi="Times New Roman" w:cs="Times New Roman"/>
      <w:sz w:val="20"/>
      <w:szCs w:val="20"/>
      <w:lang w:val="bg-B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3171">
    <w:name w:val="Table Web 3171"/>
    <w:basedOn w:val="TableNormal"/>
    <w:next w:val="TableWeb3"/>
    <w:uiPriority w:val="99"/>
    <w:rsid w:val="00441502"/>
    <w:pPr>
      <w:spacing w:after="0" w:line="240" w:lineRule="auto"/>
    </w:pPr>
    <w:rPr>
      <w:rFonts w:ascii="Times New Roman" w:eastAsia="Times New Roman" w:hAnsi="Times New Roman" w:cs="Times New Roman"/>
      <w:sz w:val="20"/>
      <w:szCs w:val="20"/>
      <w:lang w:val="bg-BG" w:eastAsia="bg-BG"/>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TableGrid11161">
    <w:name w:val="Table Grid11161"/>
    <w:uiPriority w:val="99"/>
    <w:rsid w:val="00441502"/>
    <w:pPr>
      <w:spacing w:after="0" w:line="240" w:lineRule="auto"/>
    </w:pPr>
    <w:rPr>
      <w:rFonts w:ascii="Times New Roman" w:eastAsia="Times New Roman" w:hAnsi="Times New Roman" w:cs="Times New Roman"/>
      <w:sz w:val="20"/>
      <w:szCs w:val="20"/>
      <w:lang w:val="bg-BG" w:eastAsia="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61">
    <w:name w:val="Table Grid21161"/>
    <w:uiPriority w:val="99"/>
    <w:rsid w:val="00441502"/>
    <w:pPr>
      <w:spacing w:after="0" w:line="240" w:lineRule="auto"/>
    </w:pPr>
    <w:rPr>
      <w:rFonts w:ascii="Calibri" w:eastAsia="Calibri" w:hAnsi="Calibri" w:cs="Times New Roman"/>
      <w:sz w:val="20"/>
      <w:szCs w:val="20"/>
      <w:lang w:val="bg-BG" w:eastAsia="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81">
    <w:name w:val="No List3181"/>
    <w:next w:val="NoList"/>
    <w:uiPriority w:val="99"/>
    <w:semiHidden/>
    <w:unhideWhenUsed/>
    <w:rsid w:val="00441502"/>
  </w:style>
  <w:style w:type="table" w:customStyle="1" w:styleId="TableGrid461">
    <w:name w:val="Table Grid461"/>
    <w:basedOn w:val="TableNormal"/>
    <w:next w:val="TableGrid"/>
    <w:uiPriority w:val="99"/>
    <w:rsid w:val="0044150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3261">
    <w:name w:val="Table Web 3261"/>
    <w:basedOn w:val="TableNormal"/>
    <w:next w:val="TableWeb3"/>
    <w:uiPriority w:val="99"/>
    <w:rsid w:val="00441502"/>
    <w:pPr>
      <w:spacing w:after="0" w:line="240" w:lineRule="auto"/>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TableGrid2261">
    <w:name w:val="Table Grid2261"/>
    <w:uiPriority w:val="99"/>
    <w:rsid w:val="00441502"/>
    <w:pPr>
      <w:spacing w:after="0" w:line="240" w:lineRule="auto"/>
    </w:pPr>
    <w:rPr>
      <w:rFonts w:ascii="Calibri" w:eastAsia="Calibri" w:hAnsi="Calibri" w:cs="Times New Roman"/>
      <w:sz w:val="20"/>
      <w:szCs w:val="20"/>
      <w:lang w:val="bg-BG" w:eastAsia="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61">
    <w:name w:val="Table Grid3161"/>
    <w:uiPriority w:val="99"/>
    <w:rsid w:val="00441502"/>
    <w:pPr>
      <w:spacing w:after="0" w:line="240" w:lineRule="auto"/>
    </w:pPr>
    <w:rPr>
      <w:rFonts w:ascii="Times New Roman" w:eastAsia="Times New Roman" w:hAnsi="Times New Roman" w:cs="Times New Roman"/>
      <w:sz w:val="20"/>
      <w:szCs w:val="20"/>
      <w:lang w:val="bg-BG" w:eastAsia="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41">
    <w:name w:val="No List111141"/>
    <w:next w:val="NoList"/>
    <w:uiPriority w:val="99"/>
    <w:semiHidden/>
    <w:unhideWhenUsed/>
    <w:rsid w:val="00441502"/>
  </w:style>
  <w:style w:type="numbering" w:customStyle="1" w:styleId="NoList21161">
    <w:name w:val="No List21161"/>
    <w:next w:val="NoList"/>
    <w:uiPriority w:val="99"/>
    <w:semiHidden/>
    <w:unhideWhenUsed/>
    <w:rsid w:val="00441502"/>
  </w:style>
  <w:style w:type="numbering" w:customStyle="1" w:styleId="NoList31161">
    <w:name w:val="No List31161"/>
    <w:next w:val="NoList"/>
    <w:semiHidden/>
    <w:rsid w:val="00441502"/>
  </w:style>
  <w:style w:type="numbering" w:customStyle="1" w:styleId="NoList4161">
    <w:name w:val="No List4161"/>
    <w:next w:val="NoList"/>
    <w:uiPriority w:val="99"/>
    <w:semiHidden/>
    <w:unhideWhenUsed/>
    <w:rsid w:val="00441502"/>
  </w:style>
  <w:style w:type="table" w:customStyle="1" w:styleId="TableWeb31161">
    <w:name w:val="Table Web 31161"/>
    <w:basedOn w:val="TableNormal"/>
    <w:next w:val="TableWeb3"/>
    <w:uiPriority w:val="99"/>
    <w:rsid w:val="00441502"/>
    <w:pPr>
      <w:spacing w:after="0" w:line="240" w:lineRule="auto"/>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TableGrid561">
    <w:name w:val="Table Grid561"/>
    <w:basedOn w:val="TableNormal"/>
    <w:next w:val="TableGrid"/>
    <w:uiPriority w:val="59"/>
    <w:rsid w:val="00441502"/>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61">
    <w:name w:val="No List561"/>
    <w:next w:val="NoList"/>
    <w:uiPriority w:val="99"/>
    <w:semiHidden/>
    <w:unhideWhenUsed/>
    <w:rsid w:val="00441502"/>
  </w:style>
  <w:style w:type="numbering" w:customStyle="1" w:styleId="NoList1461">
    <w:name w:val="No List1461"/>
    <w:next w:val="NoList"/>
    <w:semiHidden/>
    <w:rsid w:val="00441502"/>
  </w:style>
  <w:style w:type="table" w:customStyle="1" w:styleId="TableGrid651">
    <w:name w:val="Table Grid651"/>
    <w:basedOn w:val="TableNormal"/>
    <w:next w:val="TableGrid"/>
    <w:rsid w:val="00441502"/>
    <w:pPr>
      <w:spacing w:after="0" w:line="240" w:lineRule="auto"/>
    </w:pPr>
    <w:rPr>
      <w:rFonts w:ascii="Times New Roman" w:eastAsia="Times New Roman" w:hAnsi="Times New Roman" w:cs="Times New Roman"/>
      <w:sz w:val="20"/>
      <w:szCs w:val="20"/>
      <w:lang w:val="bg-B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3351">
    <w:name w:val="Table Web 3351"/>
    <w:basedOn w:val="TableNormal"/>
    <w:next w:val="TableWeb3"/>
    <w:rsid w:val="00441502"/>
    <w:pPr>
      <w:spacing w:after="0" w:line="240" w:lineRule="auto"/>
    </w:pPr>
    <w:rPr>
      <w:rFonts w:ascii="Times New Roman" w:eastAsia="Times New Roman" w:hAnsi="Times New Roman" w:cs="Times New Roman"/>
      <w:sz w:val="20"/>
      <w:szCs w:val="20"/>
      <w:lang w:val="bg-BG" w:eastAsia="bg-BG"/>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1351">
    <w:name w:val="Table Grid1351"/>
    <w:basedOn w:val="TableNormal"/>
    <w:next w:val="TableGrid"/>
    <w:rsid w:val="00441502"/>
    <w:pPr>
      <w:spacing w:after="0" w:line="240" w:lineRule="auto"/>
    </w:pPr>
    <w:rPr>
      <w:rFonts w:ascii="Times New Roman" w:eastAsia="Times New Roman" w:hAnsi="Times New Roman" w:cs="Times New Roman"/>
      <w:sz w:val="20"/>
      <w:szCs w:val="20"/>
      <w:lang w:val="bg-B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61">
    <w:name w:val="No List2261"/>
    <w:next w:val="NoList"/>
    <w:uiPriority w:val="99"/>
    <w:semiHidden/>
    <w:unhideWhenUsed/>
    <w:rsid w:val="00441502"/>
  </w:style>
  <w:style w:type="table" w:customStyle="1" w:styleId="TableGrid2351">
    <w:name w:val="Table Grid2351"/>
    <w:basedOn w:val="TableNormal"/>
    <w:next w:val="TableGrid"/>
    <w:uiPriority w:val="99"/>
    <w:rsid w:val="00441502"/>
    <w:pPr>
      <w:spacing w:after="0" w:line="240" w:lineRule="auto"/>
    </w:pPr>
    <w:rPr>
      <w:rFonts w:ascii="Times New Roman" w:eastAsia="Times New Roman" w:hAnsi="Times New Roman" w:cs="Times New Roman"/>
      <w:sz w:val="20"/>
      <w:szCs w:val="20"/>
      <w:lang w:val="bg-B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31251">
    <w:name w:val="Table Web 31251"/>
    <w:basedOn w:val="TableNormal"/>
    <w:next w:val="TableWeb3"/>
    <w:uiPriority w:val="99"/>
    <w:rsid w:val="00441502"/>
    <w:pPr>
      <w:spacing w:after="0" w:line="240" w:lineRule="auto"/>
    </w:pPr>
    <w:rPr>
      <w:rFonts w:ascii="Times New Roman" w:eastAsia="Times New Roman" w:hAnsi="Times New Roman" w:cs="Times New Roman"/>
      <w:sz w:val="20"/>
      <w:szCs w:val="20"/>
      <w:lang w:val="bg-BG" w:eastAsia="bg-BG"/>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TableGrid11251">
    <w:name w:val="Table Grid11251"/>
    <w:uiPriority w:val="99"/>
    <w:rsid w:val="00441502"/>
    <w:pPr>
      <w:spacing w:after="0" w:line="240" w:lineRule="auto"/>
    </w:pPr>
    <w:rPr>
      <w:rFonts w:ascii="Times New Roman" w:eastAsia="Times New Roman" w:hAnsi="Times New Roman" w:cs="Times New Roman"/>
      <w:sz w:val="20"/>
      <w:szCs w:val="20"/>
      <w:lang w:val="bg-BG" w:eastAsia="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51">
    <w:name w:val="Table Grid21251"/>
    <w:uiPriority w:val="99"/>
    <w:rsid w:val="00441502"/>
    <w:pPr>
      <w:spacing w:after="0" w:line="240" w:lineRule="auto"/>
    </w:pPr>
    <w:rPr>
      <w:rFonts w:ascii="Calibri" w:eastAsia="Calibri" w:hAnsi="Calibri" w:cs="Times New Roman"/>
      <w:sz w:val="20"/>
      <w:szCs w:val="20"/>
      <w:lang w:val="bg-BG" w:eastAsia="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51">
    <w:name w:val="Table Grid3251"/>
    <w:uiPriority w:val="99"/>
    <w:rsid w:val="00441502"/>
    <w:pPr>
      <w:spacing w:after="0" w:line="240" w:lineRule="auto"/>
    </w:pPr>
    <w:rPr>
      <w:rFonts w:ascii="Times New Roman" w:eastAsia="Times New Roman" w:hAnsi="Times New Roman" w:cs="Times New Roman"/>
      <w:sz w:val="20"/>
      <w:szCs w:val="20"/>
      <w:lang w:val="bg-BG" w:eastAsia="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61">
    <w:name w:val="No List3261"/>
    <w:next w:val="NoList"/>
    <w:uiPriority w:val="99"/>
    <w:semiHidden/>
    <w:unhideWhenUsed/>
    <w:rsid w:val="00441502"/>
  </w:style>
  <w:style w:type="table" w:customStyle="1" w:styleId="TableGrid4151">
    <w:name w:val="Table Grid4151"/>
    <w:basedOn w:val="TableNormal"/>
    <w:next w:val="TableGrid"/>
    <w:uiPriority w:val="99"/>
    <w:rsid w:val="0044150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32151">
    <w:name w:val="Table Web 32151"/>
    <w:basedOn w:val="TableNormal"/>
    <w:next w:val="TableWeb3"/>
    <w:uiPriority w:val="99"/>
    <w:rsid w:val="00441502"/>
    <w:pPr>
      <w:spacing w:after="0" w:line="240" w:lineRule="auto"/>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TableGrid12151">
    <w:name w:val="Table Grid12151"/>
    <w:rsid w:val="00441502"/>
    <w:pPr>
      <w:spacing w:after="0" w:line="240" w:lineRule="auto"/>
    </w:pPr>
    <w:rPr>
      <w:rFonts w:ascii="Times New Roman" w:eastAsia="Times New Roman" w:hAnsi="Times New Roman" w:cs="Times New Roman"/>
      <w:sz w:val="20"/>
      <w:szCs w:val="20"/>
      <w:lang w:val="bg-BG" w:eastAsia="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51">
    <w:name w:val="Table Grid22151"/>
    <w:uiPriority w:val="99"/>
    <w:rsid w:val="00441502"/>
    <w:pPr>
      <w:spacing w:after="0" w:line="240" w:lineRule="auto"/>
    </w:pPr>
    <w:rPr>
      <w:rFonts w:ascii="Calibri" w:eastAsia="Calibri" w:hAnsi="Calibri" w:cs="Times New Roman"/>
      <w:sz w:val="20"/>
      <w:szCs w:val="20"/>
      <w:lang w:val="bg-BG" w:eastAsia="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51">
    <w:name w:val="Table Grid31151"/>
    <w:uiPriority w:val="99"/>
    <w:rsid w:val="00441502"/>
    <w:pPr>
      <w:spacing w:after="0" w:line="240" w:lineRule="auto"/>
    </w:pPr>
    <w:rPr>
      <w:rFonts w:ascii="Times New Roman" w:eastAsia="Times New Roman" w:hAnsi="Times New Roman" w:cs="Times New Roman"/>
      <w:sz w:val="20"/>
      <w:szCs w:val="20"/>
      <w:lang w:val="bg-BG" w:eastAsia="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61">
    <w:name w:val="No List11261"/>
    <w:next w:val="NoList"/>
    <w:uiPriority w:val="99"/>
    <w:semiHidden/>
    <w:unhideWhenUsed/>
    <w:rsid w:val="00441502"/>
  </w:style>
  <w:style w:type="numbering" w:customStyle="1" w:styleId="NoList21261">
    <w:name w:val="No List21261"/>
    <w:next w:val="NoList"/>
    <w:uiPriority w:val="99"/>
    <w:semiHidden/>
    <w:unhideWhenUsed/>
    <w:rsid w:val="00441502"/>
  </w:style>
  <w:style w:type="numbering" w:customStyle="1" w:styleId="NoList31261">
    <w:name w:val="No List31261"/>
    <w:next w:val="NoList"/>
    <w:semiHidden/>
    <w:rsid w:val="00441502"/>
  </w:style>
  <w:style w:type="numbering" w:customStyle="1" w:styleId="NoList4261">
    <w:name w:val="No List4261"/>
    <w:next w:val="NoList"/>
    <w:uiPriority w:val="99"/>
    <w:semiHidden/>
    <w:unhideWhenUsed/>
    <w:rsid w:val="00441502"/>
  </w:style>
  <w:style w:type="table" w:customStyle="1" w:styleId="TableWeb311151">
    <w:name w:val="Table Web 311151"/>
    <w:basedOn w:val="TableNormal"/>
    <w:next w:val="TableWeb3"/>
    <w:uiPriority w:val="99"/>
    <w:rsid w:val="00441502"/>
    <w:pPr>
      <w:spacing w:after="0" w:line="240" w:lineRule="auto"/>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TableGrid111151">
    <w:name w:val="Table Grid111151"/>
    <w:uiPriority w:val="99"/>
    <w:rsid w:val="00441502"/>
    <w:pPr>
      <w:spacing w:after="0" w:line="240" w:lineRule="auto"/>
    </w:pPr>
    <w:rPr>
      <w:rFonts w:ascii="Times New Roman" w:eastAsia="Times New Roman" w:hAnsi="Times New Roman" w:cs="Times New Roman"/>
      <w:sz w:val="20"/>
      <w:szCs w:val="20"/>
      <w:lang w:val="bg-BG" w:eastAsia="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51">
    <w:name w:val="Table Grid211151"/>
    <w:uiPriority w:val="99"/>
    <w:rsid w:val="00441502"/>
    <w:pPr>
      <w:spacing w:after="0" w:line="240" w:lineRule="auto"/>
    </w:pPr>
    <w:rPr>
      <w:rFonts w:ascii="Calibri" w:eastAsia="Calibri" w:hAnsi="Calibri" w:cs="Times New Roman"/>
      <w:sz w:val="20"/>
      <w:szCs w:val="20"/>
      <w:lang w:val="bg-BG" w:eastAsia="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51">
    <w:name w:val="Table Grid5151"/>
    <w:basedOn w:val="TableNormal"/>
    <w:next w:val="TableGrid"/>
    <w:uiPriority w:val="59"/>
    <w:rsid w:val="00441502"/>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51">
    <w:name w:val="Table Grid751"/>
    <w:basedOn w:val="TableNormal"/>
    <w:next w:val="TableGrid"/>
    <w:rsid w:val="0044150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3451">
    <w:name w:val="Table Web 3451"/>
    <w:basedOn w:val="TableNormal"/>
    <w:next w:val="TableWeb3"/>
    <w:uiPriority w:val="99"/>
    <w:rsid w:val="00441502"/>
    <w:pPr>
      <w:spacing w:after="0" w:line="240" w:lineRule="auto"/>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TableGrid2451">
    <w:name w:val="Table Grid2451"/>
    <w:uiPriority w:val="99"/>
    <w:rsid w:val="00441502"/>
    <w:pPr>
      <w:spacing w:after="0" w:line="240" w:lineRule="auto"/>
    </w:pPr>
    <w:rPr>
      <w:rFonts w:ascii="Calibri" w:eastAsia="Calibri" w:hAnsi="Calibri" w:cs="Times New Roman"/>
      <w:sz w:val="20"/>
      <w:szCs w:val="20"/>
      <w:lang w:val="bg-BG" w:eastAsia="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51">
    <w:name w:val="Table Grid11351"/>
    <w:uiPriority w:val="99"/>
    <w:rsid w:val="00441502"/>
    <w:pPr>
      <w:spacing w:after="0" w:line="240" w:lineRule="auto"/>
    </w:pPr>
    <w:rPr>
      <w:rFonts w:ascii="Times New Roman" w:eastAsia="Times New Roman" w:hAnsi="Times New Roman" w:cs="Times New Roman"/>
      <w:sz w:val="20"/>
      <w:szCs w:val="20"/>
      <w:lang w:val="bg-BG" w:eastAsia="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51">
    <w:name w:val="Table Grid21351"/>
    <w:uiPriority w:val="99"/>
    <w:rsid w:val="00441502"/>
    <w:pPr>
      <w:spacing w:after="0" w:line="240" w:lineRule="auto"/>
    </w:pPr>
    <w:rPr>
      <w:rFonts w:ascii="Calibri" w:eastAsia="Calibri" w:hAnsi="Calibri" w:cs="Times New Roman"/>
      <w:sz w:val="20"/>
      <w:szCs w:val="20"/>
      <w:lang w:val="bg-BG" w:eastAsia="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21">
    <w:name w:val="No List621"/>
    <w:next w:val="NoList"/>
    <w:uiPriority w:val="99"/>
    <w:semiHidden/>
    <w:unhideWhenUsed/>
    <w:rsid w:val="00441502"/>
  </w:style>
  <w:style w:type="numbering" w:customStyle="1" w:styleId="NoList1521">
    <w:name w:val="No List1521"/>
    <w:next w:val="NoList"/>
    <w:uiPriority w:val="99"/>
    <w:semiHidden/>
    <w:rsid w:val="00441502"/>
  </w:style>
  <w:style w:type="table" w:customStyle="1" w:styleId="TableGrid811">
    <w:name w:val="Table Grid811"/>
    <w:basedOn w:val="TableNormal"/>
    <w:next w:val="TableGrid"/>
    <w:rsid w:val="00441502"/>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1">
    <w:name w:val="Table Grid1411"/>
    <w:basedOn w:val="TableNormal"/>
    <w:next w:val="TableGrid"/>
    <w:rsid w:val="0044150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321">
    <w:name w:val="No List11321"/>
    <w:next w:val="NoList"/>
    <w:uiPriority w:val="99"/>
    <w:semiHidden/>
    <w:unhideWhenUsed/>
    <w:rsid w:val="00441502"/>
  </w:style>
  <w:style w:type="numbering" w:customStyle="1" w:styleId="NoList2321">
    <w:name w:val="No List2321"/>
    <w:next w:val="NoList"/>
    <w:uiPriority w:val="99"/>
    <w:semiHidden/>
    <w:unhideWhenUsed/>
    <w:rsid w:val="00441502"/>
  </w:style>
  <w:style w:type="numbering" w:customStyle="1" w:styleId="NoList3321">
    <w:name w:val="No List3321"/>
    <w:next w:val="NoList"/>
    <w:semiHidden/>
    <w:unhideWhenUsed/>
    <w:rsid w:val="00441502"/>
  </w:style>
  <w:style w:type="table" w:customStyle="1" w:styleId="TableGrid11411">
    <w:name w:val="Table Grid11411"/>
    <w:basedOn w:val="TableNormal"/>
    <w:next w:val="TableGrid"/>
    <w:rsid w:val="00441502"/>
    <w:pPr>
      <w:spacing w:after="0" w:line="240" w:lineRule="auto"/>
      <w:jc w:val="both"/>
    </w:pPr>
    <w:rPr>
      <w:rFonts w:ascii="Calibri" w:eastAsia="Calibri" w:hAnsi="Calibri" w:cs="Times New Roman"/>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11">
    <w:name w:val="Table Grid2511"/>
    <w:basedOn w:val="TableNormal"/>
    <w:next w:val="TableGrid"/>
    <w:rsid w:val="00441502"/>
    <w:pPr>
      <w:spacing w:after="0" w:line="240" w:lineRule="auto"/>
    </w:pPr>
    <w:rPr>
      <w:rFonts w:ascii="Verdana" w:eastAsia="Times New Roman" w:hAnsi="Verdana" w:cs="Times New Roman"/>
      <w:sz w:val="20"/>
      <w:szCs w:val="20"/>
      <w:lang w:val="bg-B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21">
    <w:name w:val="No List12121"/>
    <w:next w:val="NoList"/>
    <w:semiHidden/>
    <w:rsid w:val="00441502"/>
  </w:style>
  <w:style w:type="numbering" w:customStyle="1" w:styleId="NoList4321">
    <w:name w:val="No List4321"/>
    <w:next w:val="NoList"/>
    <w:uiPriority w:val="99"/>
    <w:semiHidden/>
    <w:unhideWhenUsed/>
    <w:rsid w:val="00441502"/>
  </w:style>
  <w:style w:type="numbering" w:customStyle="1" w:styleId="NoList13121">
    <w:name w:val="No List13121"/>
    <w:next w:val="NoList"/>
    <w:semiHidden/>
    <w:rsid w:val="00441502"/>
  </w:style>
  <w:style w:type="table" w:customStyle="1" w:styleId="TableGrid3311">
    <w:name w:val="Table Grid3311"/>
    <w:basedOn w:val="TableNormal"/>
    <w:next w:val="TableGrid"/>
    <w:uiPriority w:val="99"/>
    <w:rsid w:val="00441502"/>
    <w:pPr>
      <w:spacing w:after="0" w:line="240" w:lineRule="auto"/>
    </w:pPr>
    <w:rPr>
      <w:rFonts w:ascii="Times New Roman" w:eastAsia="Times New Roman" w:hAnsi="Times New Roman" w:cs="Times New Roman"/>
      <w:sz w:val="20"/>
      <w:szCs w:val="20"/>
      <w:lang w:val="bg-B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3511">
    <w:name w:val="Table Web 3511"/>
    <w:basedOn w:val="TableNormal"/>
    <w:next w:val="TableWeb3"/>
    <w:rsid w:val="00441502"/>
    <w:pPr>
      <w:spacing w:after="0" w:line="240" w:lineRule="auto"/>
    </w:pPr>
    <w:rPr>
      <w:rFonts w:ascii="Times New Roman" w:eastAsia="Times New Roman" w:hAnsi="Times New Roman" w:cs="Times New Roman"/>
      <w:sz w:val="20"/>
      <w:szCs w:val="20"/>
      <w:lang w:val="bg-BG" w:eastAsia="bg-BG"/>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12211">
    <w:name w:val="Table Grid12211"/>
    <w:basedOn w:val="TableNormal"/>
    <w:next w:val="TableGrid"/>
    <w:rsid w:val="00441502"/>
    <w:pPr>
      <w:spacing w:after="0" w:line="240" w:lineRule="auto"/>
    </w:pPr>
    <w:rPr>
      <w:rFonts w:ascii="Times New Roman" w:eastAsia="Times New Roman" w:hAnsi="Times New Roman" w:cs="Times New Roman"/>
      <w:sz w:val="20"/>
      <w:szCs w:val="20"/>
      <w:lang w:val="bg-B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321">
    <w:name w:val="No List21321"/>
    <w:next w:val="NoList"/>
    <w:uiPriority w:val="99"/>
    <w:semiHidden/>
    <w:unhideWhenUsed/>
    <w:rsid w:val="00441502"/>
  </w:style>
  <w:style w:type="table" w:customStyle="1" w:styleId="TableGrid21411">
    <w:name w:val="Table Grid21411"/>
    <w:basedOn w:val="TableNormal"/>
    <w:next w:val="TableGrid"/>
    <w:uiPriority w:val="99"/>
    <w:rsid w:val="00441502"/>
    <w:pPr>
      <w:spacing w:after="0" w:line="240" w:lineRule="auto"/>
    </w:pPr>
    <w:rPr>
      <w:rFonts w:ascii="Times New Roman" w:eastAsia="Times New Roman" w:hAnsi="Times New Roman" w:cs="Times New Roman"/>
      <w:sz w:val="20"/>
      <w:szCs w:val="20"/>
      <w:lang w:val="bg-B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31311">
    <w:name w:val="Table Web 31311"/>
    <w:basedOn w:val="TableNormal"/>
    <w:next w:val="TableWeb3"/>
    <w:uiPriority w:val="99"/>
    <w:rsid w:val="00441502"/>
    <w:pPr>
      <w:spacing w:after="0" w:line="240" w:lineRule="auto"/>
    </w:pPr>
    <w:rPr>
      <w:rFonts w:ascii="Times New Roman" w:eastAsia="Times New Roman" w:hAnsi="Times New Roman" w:cs="Times New Roman"/>
      <w:sz w:val="20"/>
      <w:szCs w:val="20"/>
      <w:lang w:val="bg-BG" w:eastAsia="bg-BG"/>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TableGrid111211">
    <w:name w:val="Table Grid111211"/>
    <w:uiPriority w:val="99"/>
    <w:rsid w:val="00441502"/>
    <w:pPr>
      <w:spacing w:after="0" w:line="240" w:lineRule="auto"/>
    </w:pPr>
    <w:rPr>
      <w:rFonts w:ascii="Times New Roman" w:eastAsia="Times New Roman" w:hAnsi="Times New Roman" w:cs="Times New Roman"/>
      <w:sz w:val="20"/>
      <w:szCs w:val="20"/>
      <w:lang w:val="bg-BG" w:eastAsia="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11">
    <w:name w:val="Table Grid211211"/>
    <w:uiPriority w:val="99"/>
    <w:rsid w:val="00441502"/>
    <w:pPr>
      <w:spacing w:after="0" w:line="240" w:lineRule="auto"/>
    </w:pPr>
    <w:rPr>
      <w:rFonts w:ascii="Calibri" w:eastAsia="Calibri" w:hAnsi="Calibri" w:cs="Times New Roman"/>
      <w:sz w:val="20"/>
      <w:szCs w:val="20"/>
      <w:lang w:val="bg-BG" w:eastAsia="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321">
    <w:name w:val="No List31321"/>
    <w:next w:val="NoList"/>
    <w:uiPriority w:val="99"/>
    <w:semiHidden/>
    <w:unhideWhenUsed/>
    <w:rsid w:val="00441502"/>
  </w:style>
  <w:style w:type="table" w:customStyle="1" w:styleId="TableGrid4211">
    <w:name w:val="Table Grid4211"/>
    <w:basedOn w:val="TableNormal"/>
    <w:next w:val="TableGrid"/>
    <w:uiPriority w:val="99"/>
    <w:rsid w:val="0044150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32211">
    <w:name w:val="Table Web 32211"/>
    <w:basedOn w:val="TableNormal"/>
    <w:next w:val="TableWeb3"/>
    <w:uiPriority w:val="99"/>
    <w:rsid w:val="00441502"/>
    <w:pPr>
      <w:spacing w:after="0" w:line="240" w:lineRule="auto"/>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TableGrid22211">
    <w:name w:val="Table Grid22211"/>
    <w:uiPriority w:val="99"/>
    <w:rsid w:val="00441502"/>
    <w:pPr>
      <w:spacing w:after="0" w:line="240" w:lineRule="auto"/>
    </w:pPr>
    <w:rPr>
      <w:rFonts w:ascii="Calibri" w:eastAsia="Calibri" w:hAnsi="Calibri" w:cs="Times New Roman"/>
      <w:sz w:val="20"/>
      <w:szCs w:val="20"/>
      <w:lang w:val="bg-BG" w:eastAsia="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11">
    <w:name w:val="Table Grid31211"/>
    <w:uiPriority w:val="99"/>
    <w:rsid w:val="00441502"/>
    <w:pPr>
      <w:spacing w:after="0" w:line="240" w:lineRule="auto"/>
    </w:pPr>
    <w:rPr>
      <w:rFonts w:ascii="Times New Roman" w:eastAsia="Times New Roman" w:hAnsi="Times New Roman" w:cs="Times New Roman"/>
      <w:sz w:val="20"/>
      <w:szCs w:val="20"/>
      <w:lang w:val="bg-BG" w:eastAsia="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121">
    <w:name w:val="No List1111121"/>
    <w:next w:val="NoList"/>
    <w:uiPriority w:val="99"/>
    <w:semiHidden/>
    <w:unhideWhenUsed/>
    <w:rsid w:val="00441502"/>
  </w:style>
  <w:style w:type="numbering" w:customStyle="1" w:styleId="NoList211121">
    <w:name w:val="No List211121"/>
    <w:next w:val="NoList"/>
    <w:uiPriority w:val="99"/>
    <w:semiHidden/>
    <w:unhideWhenUsed/>
    <w:rsid w:val="00441502"/>
  </w:style>
  <w:style w:type="numbering" w:customStyle="1" w:styleId="NoList311121">
    <w:name w:val="No List311121"/>
    <w:next w:val="NoList"/>
    <w:semiHidden/>
    <w:rsid w:val="00441502"/>
  </w:style>
  <w:style w:type="numbering" w:customStyle="1" w:styleId="NoList41121">
    <w:name w:val="No List41121"/>
    <w:next w:val="NoList"/>
    <w:uiPriority w:val="99"/>
    <w:semiHidden/>
    <w:unhideWhenUsed/>
    <w:rsid w:val="00441502"/>
  </w:style>
  <w:style w:type="table" w:customStyle="1" w:styleId="TableWeb311211">
    <w:name w:val="Table Web 311211"/>
    <w:basedOn w:val="TableNormal"/>
    <w:next w:val="TableWeb3"/>
    <w:uiPriority w:val="99"/>
    <w:rsid w:val="00441502"/>
    <w:pPr>
      <w:spacing w:after="0" w:line="240" w:lineRule="auto"/>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TableGrid5211">
    <w:name w:val="Table Grid5211"/>
    <w:basedOn w:val="TableNormal"/>
    <w:next w:val="TableGrid"/>
    <w:uiPriority w:val="59"/>
    <w:rsid w:val="00441502"/>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21">
    <w:name w:val="No List5121"/>
    <w:next w:val="NoList"/>
    <w:uiPriority w:val="99"/>
    <w:semiHidden/>
    <w:unhideWhenUsed/>
    <w:rsid w:val="00441502"/>
  </w:style>
  <w:style w:type="numbering" w:customStyle="1" w:styleId="NoList14121">
    <w:name w:val="No List14121"/>
    <w:next w:val="NoList"/>
    <w:semiHidden/>
    <w:rsid w:val="00441502"/>
  </w:style>
  <w:style w:type="table" w:customStyle="1" w:styleId="TableGrid6111">
    <w:name w:val="Table Grid6111"/>
    <w:basedOn w:val="TableNormal"/>
    <w:next w:val="TableGrid"/>
    <w:rsid w:val="00441502"/>
    <w:pPr>
      <w:spacing w:after="0" w:line="240" w:lineRule="auto"/>
    </w:pPr>
    <w:rPr>
      <w:rFonts w:ascii="Times New Roman" w:eastAsia="Times New Roman" w:hAnsi="Times New Roman" w:cs="Times New Roman"/>
      <w:sz w:val="20"/>
      <w:szCs w:val="20"/>
      <w:lang w:val="bg-B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33111">
    <w:name w:val="Table Web 33111"/>
    <w:basedOn w:val="TableNormal"/>
    <w:next w:val="TableWeb3"/>
    <w:rsid w:val="00441502"/>
    <w:pPr>
      <w:spacing w:after="0" w:line="240" w:lineRule="auto"/>
    </w:pPr>
    <w:rPr>
      <w:rFonts w:ascii="Times New Roman" w:eastAsia="Times New Roman" w:hAnsi="Times New Roman" w:cs="Times New Roman"/>
      <w:sz w:val="20"/>
      <w:szCs w:val="20"/>
      <w:lang w:val="bg-BG" w:eastAsia="bg-BG"/>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13111">
    <w:name w:val="Table Grid13111"/>
    <w:basedOn w:val="TableNormal"/>
    <w:next w:val="TableGrid"/>
    <w:rsid w:val="00441502"/>
    <w:pPr>
      <w:spacing w:after="0" w:line="240" w:lineRule="auto"/>
    </w:pPr>
    <w:rPr>
      <w:rFonts w:ascii="Times New Roman" w:eastAsia="Times New Roman" w:hAnsi="Times New Roman" w:cs="Times New Roman"/>
      <w:sz w:val="20"/>
      <w:szCs w:val="20"/>
      <w:lang w:val="bg-B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121">
    <w:name w:val="No List22121"/>
    <w:next w:val="NoList"/>
    <w:uiPriority w:val="99"/>
    <w:semiHidden/>
    <w:unhideWhenUsed/>
    <w:rsid w:val="00441502"/>
  </w:style>
  <w:style w:type="table" w:customStyle="1" w:styleId="TableGrid23111">
    <w:name w:val="Table Grid23111"/>
    <w:basedOn w:val="TableNormal"/>
    <w:next w:val="TableGrid"/>
    <w:uiPriority w:val="99"/>
    <w:rsid w:val="00441502"/>
    <w:pPr>
      <w:spacing w:after="0" w:line="240" w:lineRule="auto"/>
    </w:pPr>
    <w:rPr>
      <w:rFonts w:ascii="Times New Roman" w:eastAsia="Times New Roman" w:hAnsi="Times New Roman" w:cs="Times New Roman"/>
      <w:sz w:val="20"/>
      <w:szCs w:val="20"/>
      <w:lang w:val="bg-B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312111">
    <w:name w:val="Table Web 312111"/>
    <w:basedOn w:val="TableNormal"/>
    <w:next w:val="TableWeb3"/>
    <w:uiPriority w:val="99"/>
    <w:rsid w:val="00441502"/>
    <w:pPr>
      <w:spacing w:after="0" w:line="240" w:lineRule="auto"/>
    </w:pPr>
    <w:rPr>
      <w:rFonts w:ascii="Times New Roman" w:eastAsia="Times New Roman" w:hAnsi="Times New Roman" w:cs="Times New Roman"/>
      <w:sz w:val="20"/>
      <w:szCs w:val="20"/>
      <w:lang w:val="bg-BG" w:eastAsia="bg-BG"/>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TableGrid112111">
    <w:name w:val="Table Grid112111"/>
    <w:uiPriority w:val="99"/>
    <w:rsid w:val="00441502"/>
    <w:pPr>
      <w:spacing w:after="0" w:line="240" w:lineRule="auto"/>
    </w:pPr>
    <w:rPr>
      <w:rFonts w:ascii="Times New Roman" w:eastAsia="Times New Roman" w:hAnsi="Times New Roman" w:cs="Times New Roman"/>
      <w:sz w:val="20"/>
      <w:szCs w:val="20"/>
      <w:lang w:val="bg-BG" w:eastAsia="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111">
    <w:name w:val="Table Grid212111"/>
    <w:uiPriority w:val="99"/>
    <w:rsid w:val="00441502"/>
    <w:pPr>
      <w:spacing w:after="0" w:line="240" w:lineRule="auto"/>
    </w:pPr>
    <w:rPr>
      <w:rFonts w:ascii="Calibri" w:eastAsia="Calibri" w:hAnsi="Calibri" w:cs="Times New Roman"/>
      <w:sz w:val="20"/>
      <w:szCs w:val="20"/>
      <w:lang w:val="bg-BG" w:eastAsia="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11">
    <w:name w:val="Table Grid32111"/>
    <w:uiPriority w:val="99"/>
    <w:rsid w:val="00441502"/>
    <w:pPr>
      <w:spacing w:after="0" w:line="240" w:lineRule="auto"/>
    </w:pPr>
    <w:rPr>
      <w:rFonts w:ascii="Times New Roman" w:eastAsia="Times New Roman" w:hAnsi="Times New Roman" w:cs="Times New Roman"/>
      <w:sz w:val="20"/>
      <w:szCs w:val="20"/>
      <w:lang w:val="bg-BG" w:eastAsia="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121">
    <w:name w:val="No List32121"/>
    <w:next w:val="NoList"/>
    <w:uiPriority w:val="99"/>
    <w:semiHidden/>
    <w:unhideWhenUsed/>
    <w:rsid w:val="00441502"/>
  </w:style>
  <w:style w:type="table" w:customStyle="1" w:styleId="TableGrid41111">
    <w:name w:val="Table Grid41111"/>
    <w:basedOn w:val="TableNormal"/>
    <w:next w:val="TableGrid"/>
    <w:uiPriority w:val="99"/>
    <w:rsid w:val="0044150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321111">
    <w:name w:val="Table Web 321111"/>
    <w:basedOn w:val="TableNormal"/>
    <w:next w:val="TableWeb3"/>
    <w:uiPriority w:val="99"/>
    <w:rsid w:val="00441502"/>
    <w:pPr>
      <w:spacing w:after="0" w:line="240" w:lineRule="auto"/>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TableGrid121111">
    <w:name w:val="Table Grid121111"/>
    <w:rsid w:val="00441502"/>
    <w:pPr>
      <w:spacing w:after="0" w:line="240" w:lineRule="auto"/>
    </w:pPr>
    <w:rPr>
      <w:rFonts w:ascii="Times New Roman" w:eastAsia="Times New Roman" w:hAnsi="Times New Roman" w:cs="Times New Roman"/>
      <w:sz w:val="20"/>
      <w:szCs w:val="20"/>
      <w:lang w:val="bg-BG" w:eastAsia="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11">
    <w:name w:val="Table Grid221111"/>
    <w:uiPriority w:val="99"/>
    <w:rsid w:val="00441502"/>
    <w:pPr>
      <w:spacing w:after="0" w:line="240" w:lineRule="auto"/>
    </w:pPr>
    <w:rPr>
      <w:rFonts w:ascii="Calibri" w:eastAsia="Calibri" w:hAnsi="Calibri" w:cs="Times New Roman"/>
      <w:sz w:val="20"/>
      <w:szCs w:val="20"/>
      <w:lang w:val="bg-BG" w:eastAsia="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11">
    <w:name w:val="Table Grid311111"/>
    <w:uiPriority w:val="99"/>
    <w:rsid w:val="00441502"/>
    <w:pPr>
      <w:spacing w:after="0" w:line="240" w:lineRule="auto"/>
    </w:pPr>
    <w:rPr>
      <w:rFonts w:ascii="Times New Roman" w:eastAsia="Times New Roman" w:hAnsi="Times New Roman" w:cs="Times New Roman"/>
      <w:sz w:val="20"/>
      <w:szCs w:val="20"/>
      <w:lang w:val="bg-BG" w:eastAsia="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121">
    <w:name w:val="No List112121"/>
    <w:next w:val="NoList"/>
    <w:uiPriority w:val="99"/>
    <w:semiHidden/>
    <w:unhideWhenUsed/>
    <w:rsid w:val="00441502"/>
  </w:style>
  <w:style w:type="numbering" w:customStyle="1" w:styleId="NoList212121">
    <w:name w:val="No List212121"/>
    <w:next w:val="NoList"/>
    <w:uiPriority w:val="99"/>
    <w:semiHidden/>
    <w:unhideWhenUsed/>
    <w:rsid w:val="00441502"/>
  </w:style>
  <w:style w:type="numbering" w:customStyle="1" w:styleId="NoList312121">
    <w:name w:val="No List312121"/>
    <w:next w:val="NoList"/>
    <w:semiHidden/>
    <w:rsid w:val="00441502"/>
  </w:style>
  <w:style w:type="numbering" w:customStyle="1" w:styleId="NoList42121">
    <w:name w:val="No List42121"/>
    <w:next w:val="NoList"/>
    <w:uiPriority w:val="99"/>
    <w:semiHidden/>
    <w:unhideWhenUsed/>
    <w:rsid w:val="00441502"/>
  </w:style>
  <w:style w:type="table" w:customStyle="1" w:styleId="TableWeb3111111">
    <w:name w:val="Table Web 3111111"/>
    <w:basedOn w:val="TableNormal"/>
    <w:next w:val="TableWeb3"/>
    <w:uiPriority w:val="99"/>
    <w:rsid w:val="00441502"/>
    <w:pPr>
      <w:spacing w:after="0" w:line="240" w:lineRule="auto"/>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TableGrid1111111">
    <w:name w:val="Table Grid1111111"/>
    <w:uiPriority w:val="99"/>
    <w:rsid w:val="00441502"/>
    <w:pPr>
      <w:spacing w:after="0" w:line="240" w:lineRule="auto"/>
    </w:pPr>
    <w:rPr>
      <w:rFonts w:ascii="Times New Roman" w:eastAsia="Times New Roman" w:hAnsi="Times New Roman" w:cs="Times New Roman"/>
      <w:sz w:val="20"/>
      <w:szCs w:val="20"/>
      <w:lang w:val="bg-BG" w:eastAsia="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11">
    <w:name w:val="Table Grid2111111"/>
    <w:uiPriority w:val="99"/>
    <w:rsid w:val="00441502"/>
    <w:pPr>
      <w:spacing w:after="0" w:line="240" w:lineRule="auto"/>
    </w:pPr>
    <w:rPr>
      <w:rFonts w:ascii="Calibri" w:eastAsia="Calibri" w:hAnsi="Calibri" w:cs="Times New Roman"/>
      <w:sz w:val="20"/>
      <w:szCs w:val="20"/>
      <w:lang w:val="bg-BG" w:eastAsia="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11">
    <w:name w:val="Table Grid51111"/>
    <w:basedOn w:val="TableNormal"/>
    <w:next w:val="TableGrid"/>
    <w:uiPriority w:val="59"/>
    <w:rsid w:val="00441502"/>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11">
    <w:name w:val="Table Grid7111"/>
    <w:basedOn w:val="TableNormal"/>
    <w:next w:val="TableGrid"/>
    <w:rsid w:val="0044150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34111">
    <w:name w:val="Table Web 34111"/>
    <w:basedOn w:val="TableNormal"/>
    <w:next w:val="TableWeb3"/>
    <w:uiPriority w:val="99"/>
    <w:rsid w:val="00441502"/>
    <w:pPr>
      <w:spacing w:after="0" w:line="240" w:lineRule="auto"/>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TableGrid24111">
    <w:name w:val="Table Grid24111"/>
    <w:uiPriority w:val="99"/>
    <w:rsid w:val="00441502"/>
    <w:pPr>
      <w:spacing w:after="0" w:line="240" w:lineRule="auto"/>
    </w:pPr>
    <w:rPr>
      <w:rFonts w:ascii="Calibri" w:eastAsia="Calibri" w:hAnsi="Calibri" w:cs="Times New Roman"/>
      <w:sz w:val="20"/>
      <w:szCs w:val="20"/>
      <w:lang w:val="bg-BG" w:eastAsia="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111">
    <w:name w:val="Table Grid113111"/>
    <w:uiPriority w:val="99"/>
    <w:rsid w:val="00441502"/>
    <w:pPr>
      <w:spacing w:after="0" w:line="240" w:lineRule="auto"/>
    </w:pPr>
    <w:rPr>
      <w:rFonts w:ascii="Times New Roman" w:eastAsia="Times New Roman" w:hAnsi="Times New Roman" w:cs="Times New Roman"/>
      <w:sz w:val="20"/>
      <w:szCs w:val="20"/>
      <w:lang w:val="bg-BG" w:eastAsia="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111">
    <w:name w:val="Table Grid213111"/>
    <w:uiPriority w:val="99"/>
    <w:rsid w:val="00441502"/>
    <w:pPr>
      <w:spacing w:after="0" w:line="240" w:lineRule="auto"/>
    </w:pPr>
    <w:rPr>
      <w:rFonts w:ascii="Calibri" w:eastAsia="Calibri" w:hAnsi="Calibri" w:cs="Times New Roman"/>
      <w:sz w:val="20"/>
      <w:szCs w:val="20"/>
      <w:lang w:val="bg-BG" w:eastAsia="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21">
    <w:name w:val="No List721"/>
    <w:next w:val="NoList"/>
    <w:uiPriority w:val="99"/>
    <w:semiHidden/>
    <w:unhideWhenUsed/>
    <w:rsid w:val="00441502"/>
  </w:style>
  <w:style w:type="numbering" w:customStyle="1" w:styleId="NoList1621">
    <w:name w:val="No List1621"/>
    <w:next w:val="NoList"/>
    <w:uiPriority w:val="99"/>
    <w:semiHidden/>
    <w:unhideWhenUsed/>
    <w:rsid w:val="00441502"/>
  </w:style>
  <w:style w:type="numbering" w:customStyle="1" w:styleId="NoList11421">
    <w:name w:val="No List11421"/>
    <w:next w:val="NoList"/>
    <w:uiPriority w:val="99"/>
    <w:semiHidden/>
    <w:rsid w:val="00441502"/>
  </w:style>
  <w:style w:type="table" w:customStyle="1" w:styleId="TableGrid911">
    <w:name w:val="Table Grid911"/>
    <w:basedOn w:val="TableNormal"/>
    <w:next w:val="TableGrid"/>
    <w:rsid w:val="00441502"/>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1">
    <w:name w:val="Table Grid1511"/>
    <w:basedOn w:val="TableNormal"/>
    <w:next w:val="TableGrid"/>
    <w:rsid w:val="0044150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221">
    <w:name w:val="No List111221"/>
    <w:next w:val="NoList"/>
    <w:uiPriority w:val="99"/>
    <w:semiHidden/>
    <w:unhideWhenUsed/>
    <w:rsid w:val="00441502"/>
  </w:style>
  <w:style w:type="numbering" w:customStyle="1" w:styleId="NoList2421">
    <w:name w:val="No List2421"/>
    <w:next w:val="NoList"/>
    <w:uiPriority w:val="99"/>
    <w:semiHidden/>
    <w:unhideWhenUsed/>
    <w:rsid w:val="00441502"/>
  </w:style>
  <w:style w:type="numbering" w:customStyle="1" w:styleId="NoList3421">
    <w:name w:val="No List3421"/>
    <w:next w:val="NoList"/>
    <w:semiHidden/>
    <w:unhideWhenUsed/>
    <w:rsid w:val="00441502"/>
  </w:style>
  <w:style w:type="table" w:customStyle="1" w:styleId="TableGrid11511">
    <w:name w:val="Table Grid11511"/>
    <w:basedOn w:val="TableNormal"/>
    <w:next w:val="TableGrid"/>
    <w:rsid w:val="00441502"/>
    <w:pPr>
      <w:spacing w:after="0" w:line="240" w:lineRule="auto"/>
      <w:jc w:val="both"/>
    </w:pPr>
    <w:rPr>
      <w:rFonts w:ascii="Calibri" w:eastAsia="Calibri" w:hAnsi="Calibri" w:cs="Times New Roman"/>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11">
    <w:name w:val="Table Grid2611"/>
    <w:basedOn w:val="TableNormal"/>
    <w:next w:val="TableGrid"/>
    <w:rsid w:val="00441502"/>
    <w:pPr>
      <w:spacing w:after="0" w:line="240" w:lineRule="auto"/>
    </w:pPr>
    <w:rPr>
      <w:rFonts w:ascii="Verdana" w:eastAsia="Times New Roman" w:hAnsi="Verdana" w:cs="Times New Roman"/>
      <w:sz w:val="20"/>
      <w:szCs w:val="20"/>
      <w:lang w:val="bg-B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221">
    <w:name w:val="No List12221"/>
    <w:next w:val="NoList"/>
    <w:semiHidden/>
    <w:rsid w:val="00441502"/>
  </w:style>
  <w:style w:type="numbering" w:customStyle="1" w:styleId="NoList4421">
    <w:name w:val="No List4421"/>
    <w:next w:val="NoList"/>
    <w:uiPriority w:val="99"/>
    <w:semiHidden/>
    <w:unhideWhenUsed/>
    <w:rsid w:val="00441502"/>
  </w:style>
  <w:style w:type="numbering" w:customStyle="1" w:styleId="NoList13221">
    <w:name w:val="No List13221"/>
    <w:next w:val="NoList"/>
    <w:semiHidden/>
    <w:rsid w:val="00441502"/>
  </w:style>
  <w:style w:type="table" w:customStyle="1" w:styleId="TableGrid3411">
    <w:name w:val="Table Grid3411"/>
    <w:basedOn w:val="TableNormal"/>
    <w:next w:val="TableGrid"/>
    <w:uiPriority w:val="99"/>
    <w:rsid w:val="00441502"/>
    <w:pPr>
      <w:spacing w:after="0" w:line="240" w:lineRule="auto"/>
    </w:pPr>
    <w:rPr>
      <w:rFonts w:ascii="Times New Roman" w:eastAsia="Times New Roman" w:hAnsi="Times New Roman" w:cs="Times New Roman"/>
      <w:sz w:val="20"/>
      <w:szCs w:val="20"/>
      <w:lang w:val="bg-B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3611">
    <w:name w:val="Table Web 3611"/>
    <w:basedOn w:val="TableNormal"/>
    <w:next w:val="TableWeb3"/>
    <w:rsid w:val="00441502"/>
    <w:pPr>
      <w:spacing w:after="0" w:line="240" w:lineRule="auto"/>
    </w:pPr>
    <w:rPr>
      <w:rFonts w:ascii="Times New Roman" w:eastAsia="Times New Roman" w:hAnsi="Times New Roman" w:cs="Times New Roman"/>
      <w:sz w:val="20"/>
      <w:szCs w:val="20"/>
      <w:lang w:val="bg-BG" w:eastAsia="bg-BG"/>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12311">
    <w:name w:val="Table Grid12311"/>
    <w:basedOn w:val="TableNormal"/>
    <w:next w:val="TableGrid"/>
    <w:rsid w:val="00441502"/>
    <w:pPr>
      <w:spacing w:after="0" w:line="240" w:lineRule="auto"/>
    </w:pPr>
    <w:rPr>
      <w:rFonts w:ascii="Times New Roman" w:eastAsia="Times New Roman" w:hAnsi="Times New Roman" w:cs="Times New Roman"/>
      <w:sz w:val="20"/>
      <w:szCs w:val="20"/>
      <w:lang w:val="bg-B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421">
    <w:name w:val="No List21421"/>
    <w:next w:val="NoList"/>
    <w:uiPriority w:val="99"/>
    <w:semiHidden/>
    <w:unhideWhenUsed/>
    <w:rsid w:val="00441502"/>
  </w:style>
  <w:style w:type="table" w:customStyle="1" w:styleId="TableGrid21511">
    <w:name w:val="Table Grid21511"/>
    <w:basedOn w:val="TableNormal"/>
    <w:next w:val="TableGrid"/>
    <w:uiPriority w:val="99"/>
    <w:rsid w:val="00441502"/>
    <w:pPr>
      <w:spacing w:after="0" w:line="240" w:lineRule="auto"/>
    </w:pPr>
    <w:rPr>
      <w:rFonts w:ascii="Times New Roman" w:eastAsia="Times New Roman" w:hAnsi="Times New Roman" w:cs="Times New Roman"/>
      <w:sz w:val="20"/>
      <w:szCs w:val="20"/>
      <w:lang w:val="bg-B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31411">
    <w:name w:val="Table Web 31411"/>
    <w:basedOn w:val="TableNormal"/>
    <w:next w:val="TableWeb3"/>
    <w:uiPriority w:val="99"/>
    <w:rsid w:val="00441502"/>
    <w:pPr>
      <w:spacing w:after="0" w:line="240" w:lineRule="auto"/>
    </w:pPr>
    <w:rPr>
      <w:rFonts w:ascii="Times New Roman" w:eastAsia="Times New Roman" w:hAnsi="Times New Roman" w:cs="Times New Roman"/>
      <w:sz w:val="20"/>
      <w:szCs w:val="20"/>
      <w:lang w:val="bg-BG" w:eastAsia="bg-BG"/>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TableGrid111311">
    <w:name w:val="Table Grid111311"/>
    <w:uiPriority w:val="99"/>
    <w:rsid w:val="00441502"/>
    <w:pPr>
      <w:spacing w:after="0" w:line="240" w:lineRule="auto"/>
    </w:pPr>
    <w:rPr>
      <w:rFonts w:ascii="Times New Roman" w:eastAsia="Times New Roman" w:hAnsi="Times New Roman" w:cs="Times New Roman"/>
      <w:sz w:val="20"/>
      <w:szCs w:val="20"/>
      <w:lang w:val="bg-BG" w:eastAsia="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311">
    <w:name w:val="Table Grid211311"/>
    <w:uiPriority w:val="99"/>
    <w:rsid w:val="00441502"/>
    <w:pPr>
      <w:spacing w:after="0" w:line="240" w:lineRule="auto"/>
    </w:pPr>
    <w:rPr>
      <w:rFonts w:ascii="Calibri" w:eastAsia="Calibri" w:hAnsi="Calibri" w:cs="Times New Roman"/>
      <w:sz w:val="20"/>
      <w:szCs w:val="20"/>
      <w:lang w:val="bg-BG" w:eastAsia="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421">
    <w:name w:val="No List31421"/>
    <w:next w:val="NoList"/>
    <w:uiPriority w:val="99"/>
    <w:semiHidden/>
    <w:unhideWhenUsed/>
    <w:rsid w:val="00441502"/>
  </w:style>
  <w:style w:type="table" w:customStyle="1" w:styleId="TableGrid4311">
    <w:name w:val="Table Grid4311"/>
    <w:basedOn w:val="TableNormal"/>
    <w:next w:val="TableGrid"/>
    <w:uiPriority w:val="99"/>
    <w:rsid w:val="0044150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32311">
    <w:name w:val="Table Web 32311"/>
    <w:basedOn w:val="TableNormal"/>
    <w:next w:val="TableWeb3"/>
    <w:uiPriority w:val="99"/>
    <w:rsid w:val="00441502"/>
    <w:pPr>
      <w:spacing w:after="0" w:line="240" w:lineRule="auto"/>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TableGrid22311">
    <w:name w:val="Table Grid22311"/>
    <w:uiPriority w:val="99"/>
    <w:rsid w:val="00441502"/>
    <w:pPr>
      <w:spacing w:after="0" w:line="240" w:lineRule="auto"/>
    </w:pPr>
    <w:rPr>
      <w:rFonts w:ascii="Calibri" w:eastAsia="Calibri" w:hAnsi="Calibri" w:cs="Times New Roman"/>
      <w:sz w:val="20"/>
      <w:szCs w:val="20"/>
      <w:lang w:val="bg-BG" w:eastAsia="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11">
    <w:name w:val="Table Grid31311"/>
    <w:uiPriority w:val="99"/>
    <w:rsid w:val="00441502"/>
    <w:pPr>
      <w:spacing w:after="0" w:line="240" w:lineRule="auto"/>
    </w:pPr>
    <w:rPr>
      <w:rFonts w:ascii="Times New Roman" w:eastAsia="Times New Roman" w:hAnsi="Times New Roman" w:cs="Times New Roman"/>
      <w:sz w:val="20"/>
      <w:szCs w:val="20"/>
      <w:lang w:val="bg-BG" w:eastAsia="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1121">
    <w:name w:val="No List11111121"/>
    <w:next w:val="NoList"/>
    <w:uiPriority w:val="99"/>
    <w:semiHidden/>
    <w:unhideWhenUsed/>
    <w:rsid w:val="00441502"/>
  </w:style>
  <w:style w:type="numbering" w:customStyle="1" w:styleId="NoList211221">
    <w:name w:val="No List211221"/>
    <w:next w:val="NoList"/>
    <w:uiPriority w:val="99"/>
    <w:semiHidden/>
    <w:unhideWhenUsed/>
    <w:rsid w:val="00441502"/>
  </w:style>
  <w:style w:type="numbering" w:customStyle="1" w:styleId="NoList311221">
    <w:name w:val="No List311221"/>
    <w:next w:val="NoList"/>
    <w:semiHidden/>
    <w:rsid w:val="00441502"/>
  </w:style>
  <w:style w:type="numbering" w:customStyle="1" w:styleId="NoList41221">
    <w:name w:val="No List41221"/>
    <w:next w:val="NoList"/>
    <w:uiPriority w:val="99"/>
    <w:semiHidden/>
    <w:unhideWhenUsed/>
    <w:rsid w:val="00441502"/>
  </w:style>
  <w:style w:type="table" w:customStyle="1" w:styleId="TableWeb311311">
    <w:name w:val="Table Web 311311"/>
    <w:basedOn w:val="TableNormal"/>
    <w:next w:val="TableWeb3"/>
    <w:uiPriority w:val="99"/>
    <w:rsid w:val="00441502"/>
    <w:pPr>
      <w:spacing w:after="0" w:line="240" w:lineRule="auto"/>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TableGrid5311">
    <w:name w:val="Table Grid5311"/>
    <w:basedOn w:val="TableNormal"/>
    <w:next w:val="TableGrid"/>
    <w:uiPriority w:val="59"/>
    <w:rsid w:val="00441502"/>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21">
    <w:name w:val="No List5221"/>
    <w:next w:val="NoList"/>
    <w:uiPriority w:val="99"/>
    <w:semiHidden/>
    <w:unhideWhenUsed/>
    <w:rsid w:val="00441502"/>
  </w:style>
  <w:style w:type="numbering" w:customStyle="1" w:styleId="NoList14221">
    <w:name w:val="No List14221"/>
    <w:next w:val="NoList"/>
    <w:semiHidden/>
    <w:rsid w:val="00441502"/>
  </w:style>
  <w:style w:type="table" w:customStyle="1" w:styleId="TableGrid6211">
    <w:name w:val="Table Grid6211"/>
    <w:basedOn w:val="TableNormal"/>
    <w:next w:val="TableGrid"/>
    <w:rsid w:val="00441502"/>
    <w:pPr>
      <w:spacing w:after="0" w:line="240" w:lineRule="auto"/>
    </w:pPr>
    <w:rPr>
      <w:rFonts w:ascii="Times New Roman" w:eastAsia="Times New Roman" w:hAnsi="Times New Roman" w:cs="Times New Roman"/>
      <w:sz w:val="20"/>
      <w:szCs w:val="20"/>
      <w:lang w:val="bg-B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33211">
    <w:name w:val="Table Web 33211"/>
    <w:basedOn w:val="TableNormal"/>
    <w:next w:val="TableWeb3"/>
    <w:rsid w:val="00441502"/>
    <w:pPr>
      <w:spacing w:after="0" w:line="240" w:lineRule="auto"/>
    </w:pPr>
    <w:rPr>
      <w:rFonts w:ascii="Times New Roman" w:eastAsia="Times New Roman" w:hAnsi="Times New Roman" w:cs="Times New Roman"/>
      <w:sz w:val="20"/>
      <w:szCs w:val="20"/>
      <w:lang w:val="bg-BG" w:eastAsia="bg-BG"/>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13211">
    <w:name w:val="Table Grid13211"/>
    <w:basedOn w:val="TableNormal"/>
    <w:next w:val="TableGrid"/>
    <w:rsid w:val="00441502"/>
    <w:pPr>
      <w:spacing w:after="0" w:line="240" w:lineRule="auto"/>
    </w:pPr>
    <w:rPr>
      <w:rFonts w:ascii="Times New Roman" w:eastAsia="Times New Roman" w:hAnsi="Times New Roman" w:cs="Times New Roman"/>
      <w:sz w:val="20"/>
      <w:szCs w:val="20"/>
      <w:lang w:val="bg-B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221">
    <w:name w:val="No List22221"/>
    <w:next w:val="NoList"/>
    <w:uiPriority w:val="99"/>
    <w:semiHidden/>
    <w:unhideWhenUsed/>
    <w:rsid w:val="00441502"/>
  </w:style>
  <w:style w:type="table" w:customStyle="1" w:styleId="TableGrid23211">
    <w:name w:val="Table Grid23211"/>
    <w:basedOn w:val="TableNormal"/>
    <w:next w:val="TableGrid"/>
    <w:uiPriority w:val="99"/>
    <w:rsid w:val="00441502"/>
    <w:pPr>
      <w:spacing w:after="0" w:line="240" w:lineRule="auto"/>
    </w:pPr>
    <w:rPr>
      <w:rFonts w:ascii="Times New Roman" w:eastAsia="Times New Roman" w:hAnsi="Times New Roman" w:cs="Times New Roman"/>
      <w:sz w:val="20"/>
      <w:szCs w:val="20"/>
      <w:lang w:val="bg-B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312211">
    <w:name w:val="Table Web 312211"/>
    <w:basedOn w:val="TableNormal"/>
    <w:next w:val="TableWeb3"/>
    <w:uiPriority w:val="99"/>
    <w:rsid w:val="00441502"/>
    <w:pPr>
      <w:spacing w:after="0" w:line="240" w:lineRule="auto"/>
    </w:pPr>
    <w:rPr>
      <w:rFonts w:ascii="Times New Roman" w:eastAsia="Times New Roman" w:hAnsi="Times New Roman" w:cs="Times New Roman"/>
      <w:sz w:val="20"/>
      <w:szCs w:val="20"/>
      <w:lang w:val="bg-BG" w:eastAsia="bg-BG"/>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TableGrid112211">
    <w:name w:val="Table Grid112211"/>
    <w:uiPriority w:val="99"/>
    <w:rsid w:val="00441502"/>
    <w:pPr>
      <w:spacing w:after="0" w:line="240" w:lineRule="auto"/>
    </w:pPr>
    <w:rPr>
      <w:rFonts w:ascii="Times New Roman" w:eastAsia="Times New Roman" w:hAnsi="Times New Roman" w:cs="Times New Roman"/>
      <w:sz w:val="20"/>
      <w:szCs w:val="20"/>
      <w:lang w:val="bg-BG" w:eastAsia="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211">
    <w:name w:val="Table Grid212211"/>
    <w:uiPriority w:val="99"/>
    <w:rsid w:val="00441502"/>
    <w:pPr>
      <w:spacing w:after="0" w:line="240" w:lineRule="auto"/>
    </w:pPr>
    <w:rPr>
      <w:rFonts w:ascii="Calibri" w:eastAsia="Calibri" w:hAnsi="Calibri" w:cs="Times New Roman"/>
      <w:sz w:val="20"/>
      <w:szCs w:val="20"/>
      <w:lang w:val="bg-BG" w:eastAsia="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211">
    <w:name w:val="Table Grid32211"/>
    <w:uiPriority w:val="99"/>
    <w:rsid w:val="00441502"/>
    <w:pPr>
      <w:spacing w:after="0" w:line="240" w:lineRule="auto"/>
    </w:pPr>
    <w:rPr>
      <w:rFonts w:ascii="Times New Roman" w:eastAsia="Times New Roman" w:hAnsi="Times New Roman" w:cs="Times New Roman"/>
      <w:sz w:val="20"/>
      <w:szCs w:val="20"/>
      <w:lang w:val="bg-BG" w:eastAsia="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221">
    <w:name w:val="No List32221"/>
    <w:next w:val="NoList"/>
    <w:uiPriority w:val="99"/>
    <w:semiHidden/>
    <w:unhideWhenUsed/>
    <w:rsid w:val="00441502"/>
  </w:style>
  <w:style w:type="table" w:customStyle="1" w:styleId="TableGrid41211">
    <w:name w:val="Table Grid41211"/>
    <w:basedOn w:val="TableNormal"/>
    <w:next w:val="TableGrid"/>
    <w:uiPriority w:val="99"/>
    <w:rsid w:val="0044150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321211">
    <w:name w:val="Table Web 321211"/>
    <w:basedOn w:val="TableNormal"/>
    <w:next w:val="TableWeb3"/>
    <w:uiPriority w:val="99"/>
    <w:rsid w:val="00441502"/>
    <w:pPr>
      <w:spacing w:after="0" w:line="240" w:lineRule="auto"/>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TableGrid121211">
    <w:name w:val="Table Grid121211"/>
    <w:rsid w:val="00441502"/>
    <w:pPr>
      <w:spacing w:after="0" w:line="240" w:lineRule="auto"/>
    </w:pPr>
    <w:rPr>
      <w:rFonts w:ascii="Times New Roman" w:eastAsia="Times New Roman" w:hAnsi="Times New Roman" w:cs="Times New Roman"/>
      <w:sz w:val="20"/>
      <w:szCs w:val="20"/>
      <w:lang w:val="bg-BG" w:eastAsia="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211">
    <w:name w:val="Table Grid221211"/>
    <w:uiPriority w:val="99"/>
    <w:rsid w:val="00441502"/>
    <w:pPr>
      <w:spacing w:after="0" w:line="240" w:lineRule="auto"/>
    </w:pPr>
    <w:rPr>
      <w:rFonts w:ascii="Calibri" w:eastAsia="Calibri" w:hAnsi="Calibri" w:cs="Times New Roman"/>
      <w:sz w:val="20"/>
      <w:szCs w:val="20"/>
      <w:lang w:val="bg-BG" w:eastAsia="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211">
    <w:name w:val="Table Grid311211"/>
    <w:uiPriority w:val="99"/>
    <w:rsid w:val="00441502"/>
    <w:pPr>
      <w:spacing w:after="0" w:line="240" w:lineRule="auto"/>
    </w:pPr>
    <w:rPr>
      <w:rFonts w:ascii="Times New Roman" w:eastAsia="Times New Roman" w:hAnsi="Times New Roman" w:cs="Times New Roman"/>
      <w:sz w:val="20"/>
      <w:szCs w:val="20"/>
      <w:lang w:val="bg-BG" w:eastAsia="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221">
    <w:name w:val="No List112221"/>
    <w:next w:val="NoList"/>
    <w:uiPriority w:val="99"/>
    <w:semiHidden/>
    <w:unhideWhenUsed/>
    <w:rsid w:val="00441502"/>
  </w:style>
  <w:style w:type="numbering" w:customStyle="1" w:styleId="NoList212221">
    <w:name w:val="No List212221"/>
    <w:next w:val="NoList"/>
    <w:uiPriority w:val="99"/>
    <w:semiHidden/>
    <w:unhideWhenUsed/>
    <w:rsid w:val="00441502"/>
  </w:style>
  <w:style w:type="numbering" w:customStyle="1" w:styleId="NoList312221">
    <w:name w:val="No List312221"/>
    <w:next w:val="NoList"/>
    <w:semiHidden/>
    <w:rsid w:val="00441502"/>
  </w:style>
  <w:style w:type="numbering" w:customStyle="1" w:styleId="NoList42221">
    <w:name w:val="No List42221"/>
    <w:next w:val="NoList"/>
    <w:uiPriority w:val="99"/>
    <w:semiHidden/>
    <w:unhideWhenUsed/>
    <w:rsid w:val="00441502"/>
  </w:style>
  <w:style w:type="table" w:customStyle="1" w:styleId="TableWeb3111211">
    <w:name w:val="Table Web 3111211"/>
    <w:basedOn w:val="TableNormal"/>
    <w:next w:val="TableWeb3"/>
    <w:uiPriority w:val="99"/>
    <w:rsid w:val="00441502"/>
    <w:pPr>
      <w:spacing w:after="0" w:line="240" w:lineRule="auto"/>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TableGrid1111211">
    <w:name w:val="Table Grid1111211"/>
    <w:uiPriority w:val="99"/>
    <w:rsid w:val="00441502"/>
    <w:pPr>
      <w:spacing w:after="0" w:line="240" w:lineRule="auto"/>
    </w:pPr>
    <w:rPr>
      <w:rFonts w:ascii="Times New Roman" w:eastAsia="Times New Roman" w:hAnsi="Times New Roman" w:cs="Times New Roman"/>
      <w:sz w:val="20"/>
      <w:szCs w:val="20"/>
      <w:lang w:val="bg-BG" w:eastAsia="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211">
    <w:name w:val="Table Grid2111211"/>
    <w:uiPriority w:val="99"/>
    <w:rsid w:val="00441502"/>
    <w:pPr>
      <w:spacing w:after="0" w:line="240" w:lineRule="auto"/>
    </w:pPr>
    <w:rPr>
      <w:rFonts w:ascii="Calibri" w:eastAsia="Calibri" w:hAnsi="Calibri" w:cs="Times New Roman"/>
      <w:sz w:val="20"/>
      <w:szCs w:val="20"/>
      <w:lang w:val="bg-BG" w:eastAsia="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211">
    <w:name w:val="Table Grid51211"/>
    <w:basedOn w:val="TableNormal"/>
    <w:next w:val="TableGrid"/>
    <w:uiPriority w:val="59"/>
    <w:rsid w:val="00441502"/>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11">
    <w:name w:val="Table Grid7211"/>
    <w:basedOn w:val="TableNormal"/>
    <w:next w:val="TableGrid"/>
    <w:rsid w:val="0044150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34211">
    <w:name w:val="Table Web 34211"/>
    <w:basedOn w:val="TableNormal"/>
    <w:next w:val="TableWeb3"/>
    <w:uiPriority w:val="99"/>
    <w:rsid w:val="00441502"/>
    <w:pPr>
      <w:spacing w:after="0" w:line="240" w:lineRule="auto"/>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TableGrid24211">
    <w:name w:val="Table Grid24211"/>
    <w:uiPriority w:val="99"/>
    <w:rsid w:val="00441502"/>
    <w:pPr>
      <w:spacing w:after="0" w:line="240" w:lineRule="auto"/>
    </w:pPr>
    <w:rPr>
      <w:rFonts w:ascii="Calibri" w:eastAsia="Calibri" w:hAnsi="Calibri" w:cs="Times New Roman"/>
      <w:sz w:val="20"/>
      <w:szCs w:val="20"/>
      <w:lang w:val="bg-BG" w:eastAsia="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211">
    <w:name w:val="Table Grid113211"/>
    <w:uiPriority w:val="99"/>
    <w:rsid w:val="00441502"/>
    <w:pPr>
      <w:spacing w:after="0" w:line="240" w:lineRule="auto"/>
    </w:pPr>
    <w:rPr>
      <w:rFonts w:ascii="Times New Roman" w:eastAsia="Times New Roman" w:hAnsi="Times New Roman" w:cs="Times New Roman"/>
      <w:sz w:val="20"/>
      <w:szCs w:val="20"/>
      <w:lang w:val="bg-BG" w:eastAsia="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211">
    <w:name w:val="Table Grid213211"/>
    <w:uiPriority w:val="99"/>
    <w:rsid w:val="00441502"/>
    <w:pPr>
      <w:spacing w:after="0" w:line="240" w:lineRule="auto"/>
    </w:pPr>
    <w:rPr>
      <w:rFonts w:ascii="Calibri" w:eastAsia="Calibri" w:hAnsi="Calibri" w:cs="Times New Roman"/>
      <w:sz w:val="20"/>
      <w:szCs w:val="20"/>
      <w:lang w:val="bg-BG" w:eastAsia="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21">
    <w:name w:val="No List821"/>
    <w:next w:val="NoList"/>
    <w:uiPriority w:val="99"/>
    <w:semiHidden/>
    <w:unhideWhenUsed/>
    <w:rsid w:val="00441502"/>
  </w:style>
  <w:style w:type="table" w:customStyle="1" w:styleId="TableGrid1011">
    <w:name w:val="Table Grid1011"/>
    <w:basedOn w:val="TableNormal"/>
    <w:next w:val="TableGrid"/>
    <w:rsid w:val="00441502"/>
    <w:rPr>
      <w:rFonts w:ascii="Calibri" w:eastAsia="Calibri" w:hAnsi="Calibri" w:cs="Times New Roman"/>
      <w:sz w:val="20"/>
      <w:szCs w:val="20"/>
      <w:lang w:val="bg-B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11">
    <w:name w:val="Table Grid1611"/>
    <w:basedOn w:val="TableNormal"/>
    <w:next w:val="TableGrid"/>
    <w:rsid w:val="00441502"/>
    <w:pPr>
      <w:spacing w:after="0" w:line="240" w:lineRule="auto"/>
    </w:pPr>
    <w:rPr>
      <w:rFonts w:ascii="Times New Roman" w:eastAsia="Times New Roman" w:hAnsi="Times New Roman" w:cs="Times New Roman"/>
      <w:sz w:val="20"/>
      <w:szCs w:val="20"/>
      <w:lang w:val="bg-B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721">
    <w:name w:val="No List1721"/>
    <w:next w:val="NoList"/>
    <w:uiPriority w:val="99"/>
    <w:semiHidden/>
    <w:unhideWhenUsed/>
    <w:rsid w:val="00441502"/>
  </w:style>
  <w:style w:type="numbering" w:customStyle="1" w:styleId="NoList2521">
    <w:name w:val="No List2521"/>
    <w:next w:val="NoList"/>
    <w:uiPriority w:val="99"/>
    <w:semiHidden/>
    <w:unhideWhenUsed/>
    <w:rsid w:val="00441502"/>
  </w:style>
  <w:style w:type="numbering" w:customStyle="1" w:styleId="NoList3521">
    <w:name w:val="No List3521"/>
    <w:next w:val="NoList"/>
    <w:uiPriority w:val="99"/>
    <w:semiHidden/>
    <w:unhideWhenUsed/>
    <w:rsid w:val="00441502"/>
  </w:style>
  <w:style w:type="numbering" w:customStyle="1" w:styleId="NoList921">
    <w:name w:val="No List921"/>
    <w:next w:val="NoList"/>
    <w:uiPriority w:val="99"/>
    <w:semiHidden/>
    <w:unhideWhenUsed/>
    <w:rsid w:val="00441502"/>
  </w:style>
  <w:style w:type="numbering" w:customStyle="1" w:styleId="NoList1021">
    <w:name w:val="No List1021"/>
    <w:next w:val="NoList"/>
    <w:uiPriority w:val="99"/>
    <w:semiHidden/>
    <w:unhideWhenUsed/>
    <w:rsid w:val="00441502"/>
  </w:style>
  <w:style w:type="table" w:customStyle="1" w:styleId="TableGrid1711">
    <w:name w:val="Table Grid1711"/>
    <w:basedOn w:val="TableNormal"/>
    <w:next w:val="TableGrid"/>
    <w:rsid w:val="00441502"/>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11">
    <w:name w:val="Table Grid1811"/>
    <w:basedOn w:val="TableNormal"/>
    <w:next w:val="TableGrid"/>
    <w:rsid w:val="00441502"/>
    <w:pPr>
      <w:spacing w:after="0" w:line="240" w:lineRule="auto"/>
      <w:jc w:val="both"/>
    </w:pPr>
    <w:rPr>
      <w:rFonts w:ascii="Calibri" w:eastAsia="Calibri" w:hAnsi="Calibri" w:cs="Times New Roman"/>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821">
    <w:name w:val="No List1821"/>
    <w:next w:val="NoList"/>
    <w:uiPriority w:val="99"/>
    <w:semiHidden/>
    <w:unhideWhenUsed/>
    <w:rsid w:val="00441502"/>
  </w:style>
  <w:style w:type="table" w:customStyle="1" w:styleId="TableGrid1911">
    <w:name w:val="Table Grid1911"/>
    <w:basedOn w:val="TableNormal"/>
    <w:next w:val="TableGrid"/>
    <w:rsid w:val="0044150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921">
    <w:name w:val="No List1921"/>
    <w:next w:val="NoList"/>
    <w:uiPriority w:val="99"/>
    <w:semiHidden/>
    <w:unhideWhenUsed/>
    <w:rsid w:val="00441502"/>
  </w:style>
  <w:style w:type="numbering" w:customStyle="1" w:styleId="NoList11021">
    <w:name w:val="No List11021"/>
    <w:next w:val="NoList"/>
    <w:uiPriority w:val="99"/>
    <w:semiHidden/>
    <w:rsid w:val="00441502"/>
  </w:style>
  <w:style w:type="table" w:customStyle="1" w:styleId="TableGrid2011">
    <w:name w:val="Table Grid2011"/>
    <w:basedOn w:val="TableNormal"/>
    <w:next w:val="TableGrid"/>
    <w:rsid w:val="00441502"/>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11">
    <w:name w:val="Table Grid11011"/>
    <w:basedOn w:val="TableNormal"/>
    <w:next w:val="TableGrid"/>
    <w:rsid w:val="0044150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521">
    <w:name w:val="No List11521"/>
    <w:next w:val="NoList"/>
    <w:uiPriority w:val="99"/>
    <w:semiHidden/>
    <w:unhideWhenUsed/>
    <w:rsid w:val="00441502"/>
  </w:style>
  <w:style w:type="numbering" w:customStyle="1" w:styleId="NoList2621">
    <w:name w:val="No List2621"/>
    <w:next w:val="NoList"/>
    <w:uiPriority w:val="99"/>
    <w:semiHidden/>
    <w:unhideWhenUsed/>
    <w:rsid w:val="00441502"/>
  </w:style>
  <w:style w:type="numbering" w:customStyle="1" w:styleId="NoList3621">
    <w:name w:val="No List3621"/>
    <w:next w:val="NoList"/>
    <w:semiHidden/>
    <w:unhideWhenUsed/>
    <w:rsid w:val="00441502"/>
  </w:style>
  <w:style w:type="table" w:customStyle="1" w:styleId="TableGrid11611">
    <w:name w:val="Table Grid11611"/>
    <w:basedOn w:val="TableNormal"/>
    <w:next w:val="TableGrid"/>
    <w:rsid w:val="00441502"/>
    <w:pPr>
      <w:spacing w:after="0" w:line="240" w:lineRule="auto"/>
      <w:jc w:val="both"/>
    </w:pPr>
    <w:rPr>
      <w:rFonts w:ascii="Calibri" w:eastAsia="Calibri" w:hAnsi="Calibri" w:cs="Times New Roman"/>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11">
    <w:name w:val="Table Grid2711"/>
    <w:basedOn w:val="TableNormal"/>
    <w:next w:val="TableGrid"/>
    <w:rsid w:val="00441502"/>
    <w:pPr>
      <w:spacing w:after="0" w:line="240" w:lineRule="auto"/>
    </w:pPr>
    <w:rPr>
      <w:rFonts w:ascii="Verdana" w:eastAsia="Times New Roman" w:hAnsi="Verdana" w:cs="Times New Roman"/>
      <w:sz w:val="20"/>
      <w:szCs w:val="20"/>
      <w:lang w:val="bg-B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321">
    <w:name w:val="No List12321"/>
    <w:next w:val="NoList"/>
    <w:semiHidden/>
    <w:rsid w:val="00441502"/>
  </w:style>
  <w:style w:type="numbering" w:customStyle="1" w:styleId="NoList4521">
    <w:name w:val="No List4521"/>
    <w:next w:val="NoList"/>
    <w:uiPriority w:val="99"/>
    <w:semiHidden/>
    <w:unhideWhenUsed/>
    <w:rsid w:val="00441502"/>
  </w:style>
  <w:style w:type="numbering" w:customStyle="1" w:styleId="NoList13321">
    <w:name w:val="No List13321"/>
    <w:next w:val="NoList"/>
    <w:semiHidden/>
    <w:rsid w:val="00441502"/>
  </w:style>
  <w:style w:type="table" w:customStyle="1" w:styleId="TableGrid3511">
    <w:name w:val="Table Grid3511"/>
    <w:basedOn w:val="TableNormal"/>
    <w:next w:val="TableGrid"/>
    <w:uiPriority w:val="99"/>
    <w:rsid w:val="00441502"/>
    <w:pPr>
      <w:spacing w:after="0" w:line="240" w:lineRule="auto"/>
    </w:pPr>
    <w:rPr>
      <w:rFonts w:ascii="Times New Roman" w:eastAsia="Times New Roman" w:hAnsi="Times New Roman" w:cs="Times New Roman"/>
      <w:sz w:val="20"/>
      <w:szCs w:val="20"/>
      <w:lang w:val="bg-B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3711">
    <w:name w:val="Table Web 3711"/>
    <w:basedOn w:val="TableNormal"/>
    <w:next w:val="TableWeb3"/>
    <w:rsid w:val="00441502"/>
    <w:pPr>
      <w:spacing w:after="0" w:line="240" w:lineRule="auto"/>
    </w:pPr>
    <w:rPr>
      <w:rFonts w:ascii="Times New Roman" w:eastAsia="Times New Roman" w:hAnsi="Times New Roman" w:cs="Times New Roman"/>
      <w:sz w:val="20"/>
      <w:szCs w:val="20"/>
      <w:lang w:val="bg-BG" w:eastAsia="bg-BG"/>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12411">
    <w:name w:val="Table Grid12411"/>
    <w:basedOn w:val="TableNormal"/>
    <w:next w:val="TableGrid"/>
    <w:rsid w:val="00441502"/>
    <w:pPr>
      <w:spacing w:after="0" w:line="240" w:lineRule="auto"/>
    </w:pPr>
    <w:rPr>
      <w:rFonts w:ascii="Times New Roman" w:eastAsia="Times New Roman" w:hAnsi="Times New Roman" w:cs="Times New Roman"/>
      <w:sz w:val="20"/>
      <w:szCs w:val="20"/>
      <w:lang w:val="bg-B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521">
    <w:name w:val="No List21521"/>
    <w:next w:val="NoList"/>
    <w:uiPriority w:val="99"/>
    <w:semiHidden/>
    <w:unhideWhenUsed/>
    <w:rsid w:val="00441502"/>
  </w:style>
  <w:style w:type="table" w:customStyle="1" w:styleId="TableGrid21611">
    <w:name w:val="Table Grid21611"/>
    <w:basedOn w:val="TableNormal"/>
    <w:next w:val="TableGrid"/>
    <w:uiPriority w:val="99"/>
    <w:rsid w:val="00441502"/>
    <w:pPr>
      <w:spacing w:after="0" w:line="240" w:lineRule="auto"/>
    </w:pPr>
    <w:rPr>
      <w:rFonts w:ascii="Times New Roman" w:eastAsia="Times New Roman" w:hAnsi="Times New Roman" w:cs="Times New Roman"/>
      <w:sz w:val="20"/>
      <w:szCs w:val="20"/>
      <w:lang w:val="bg-B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31511">
    <w:name w:val="Table Web 31511"/>
    <w:basedOn w:val="TableNormal"/>
    <w:next w:val="TableWeb3"/>
    <w:uiPriority w:val="99"/>
    <w:rsid w:val="00441502"/>
    <w:pPr>
      <w:spacing w:after="0" w:line="240" w:lineRule="auto"/>
    </w:pPr>
    <w:rPr>
      <w:rFonts w:ascii="Times New Roman" w:eastAsia="Times New Roman" w:hAnsi="Times New Roman" w:cs="Times New Roman"/>
      <w:sz w:val="20"/>
      <w:szCs w:val="20"/>
      <w:lang w:val="bg-BG" w:eastAsia="bg-BG"/>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TableGrid111411">
    <w:name w:val="Table Grid111411"/>
    <w:uiPriority w:val="99"/>
    <w:rsid w:val="00441502"/>
    <w:pPr>
      <w:spacing w:after="0" w:line="240" w:lineRule="auto"/>
    </w:pPr>
    <w:rPr>
      <w:rFonts w:ascii="Times New Roman" w:eastAsia="Times New Roman" w:hAnsi="Times New Roman" w:cs="Times New Roman"/>
      <w:sz w:val="20"/>
      <w:szCs w:val="20"/>
      <w:lang w:val="bg-BG" w:eastAsia="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411">
    <w:name w:val="Table Grid211411"/>
    <w:uiPriority w:val="99"/>
    <w:rsid w:val="00441502"/>
    <w:pPr>
      <w:spacing w:after="0" w:line="240" w:lineRule="auto"/>
    </w:pPr>
    <w:rPr>
      <w:rFonts w:ascii="Calibri" w:eastAsia="Calibri" w:hAnsi="Calibri" w:cs="Times New Roman"/>
      <w:sz w:val="20"/>
      <w:szCs w:val="20"/>
      <w:lang w:val="bg-BG" w:eastAsia="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521">
    <w:name w:val="No List31521"/>
    <w:next w:val="NoList"/>
    <w:uiPriority w:val="99"/>
    <w:semiHidden/>
    <w:unhideWhenUsed/>
    <w:rsid w:val="00441502"/>
  </w:style>
  <w:style w:type="table" w:customStyle="1" w:styleId="TableGrid4411">
    <w:name w:val="Table Grid4411"/>
    <w:basedOn w:val="TableNormal"/>
    <w:next w:val="TableGrid"/>
    <w:uiPriority w:val="99"/>
    <w:rsid w:val="0044150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32411">
    <w:name w:val="Table Web 32411"/>
    <w:basedOn w:val="TableNormal"/>
    <w:next w:val="TableWeb3"/>
    <w:uiPriority w:val="99"/>
    <w:rsid w:val="00441502"/>
    <w:pPr>
      <w:spacing w:after="0" w:line="240" w:lineRule="auto"/>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TableGrid22411">
    <w:name w:val="Table Grid22411"/>
    <w:uiPriority w:val="99"/>
    <w:rsid w:val="00441502"/>
    <w:pPr>
      <w:spacing w:after="0" w:line="240" w:lineRule="auto"/>
    </w:pPr>
    <w:rPr>
      <w:rFonts w:ascii="Calibri" w:eastAsia="Calibri" w:hAnsi="Calibri" w:cs="Times New Roman"/>
      <w:sz w:val="20"/>
      <w:szCs w:val="20"/>
      <w:lang w:val="bg-BG" w:eastAsia="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411">
    <w:name w:val="Table Grid31411"/>
    <w:uiPriority w:val="99"/>
    <w:rsid w:val="00441502"/>
    <w:pPr>
      <w:spacing w:after="0" w:line="240" w:lineRule="auto"/>
    </w:pPr>
    <w:rPr>
      <w:rFonts w:ascii="Times New Roman" w:eastAsia="Times New Roman" w:hAnsi="Times New Roman" w:cs="Times New Roman"/>
      <w:sz w:val="20"/>
      <w:szCs w:val="20"/>
      <w:lang w:val="bg-BG" w:eastAsia="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321">
    <w:name w:val="No List111321"/>
    <w:next w:val="NoList"/>
    <w:uiPriority w:val="99"/>
    <w:semiHidden/>
    <w:unhideWhenUsed/>
    <w:rsid w:val="00441502"/>
  </w:style>
  <w:style w:type="numbering" w:customStyle="1" w:styleId="NoList211321">
    <w:name w:val="No List211321"/>
    <w:next w:val="NoList"/>
    <w:uiPriority w:val="99"/>
    <w:semiHidden/>
    <w:unhideWhenUsed/>
    <w:rsid w:val="00441502"/>
  </w:style>
  <w:style w:type="numbering" w:customStyle="1" w:styleId="NoList311321">
    <w:name w:val="No List311321"/>
    <w:next w:val="NoList"/>
    <w:semiHidden/>
    <w:rsid w:val="00441502"/>
  </w:style>
  <w:style w:type="numbering" w:customStyle="1" w:styleId="NoList41321">
    <w:name w:val="No List41321"/>
    <w:next w:val="NoList"/>
    <w:uiPriority w:val="99"/>
    <w:semiHidden/>
    <w:unhideWhenUsed/>
    <w:rsid w:val="00441502"/>
  </w:style>
  <w:style w:type="table" w:customStyle="1" w:styleId="TableWeb311411">
    <w:name w:val="Table Web 311411"/>
    <w:basedOn w:val="TableNormal"/>
    <w:next w:val="TableWeb3"/>
    <w:uiPriority w:val="99"/>
    <w:rsid w:val="00441502"/>
    <w:pPr>
      <w:spacing w:after="0" w:line="240" w:lineRule="auto"/>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TableGrid5411">
    <w:name w:val="Table Grid5411"/>
    <w:basedOn w:val="TableNormal"/>
    <w:next w:val="TableGrid"/>
    <w:uiPriority w:val="59"/>
    <w:rsid w:val="00441502"/>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321">
    <w:name w:val="No List5321"/>
    <w:next w:val="NoList"/>
    <w:uiPriority w:val="99"/>
    <w:semiHidden/>
    <w:unhideWhenUsed/>
    <w:rsid w:val="00441502"/>
  </w:style>
  <w:style w:type="numbering" w:customStyle="1" w:styleId="NoList14321">
    <w:name w:val="No List14321"/>
    <w:next w:val="NoList"/>
    <w:semiHidden/>
    <w:rsid w:val="00441502"/>
  </w:style>
  <w:style w:type="table" w:customStyle="1" w:styleId="TableGrid6311">
    <w:name w:val="Table Grid6311"/>
    <w:basedOn w:val="TableNormal"/>
    <w:next w:val="TableGrid"/>
    <w:rsid w:val="00441502"/>
    <w:pPr>
      <w:spacing w:after="0" w:line="240" w:lineRule="auto"/>
    </w:pPr>
    <w:rPr>
      <w:rFonts w:ascii="Times New Roman" w:eastAsia="Times New Roman" w:hAnsi="Times New Roman" w:cs="Times New Roman"/>
      <w:sz w:val="20"/>
      <w:szCs w:val="20"/>
      <w:lang w:val="bg-B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33311">
    <w:name w:val="Table Web 33311"/>
    <w:basedOn w:val="TableNormal"/>
    <w:next w:val="TableWeb3"/>
    <w:rsid w:val="00441502"/>
    <w:pPr>
      <w:spacing w:after="0" w:line="240" w:lineRule="auto"/>
    </w:pPr>
    <w:rPr>
      <w:rFonts w:ascii="Times New Roman" w:eastAsia="Times New Roman" w:hAnsi="Times New Roman" w:cs="Times New Roman"/>
      <w:sz w:val="20"/>
      <w:szCs w:val="20"/>
      <w:lang w:val="bg-BG" w:eastAsia="bg-BG"/>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13311">
    <w:name w:val="Table Grid13311"/>
    <w:basedOn w:val="TableNormal"/>
    <w:next w:val="TableGrid"/>
    <w:rsid w:val="00441502"/>
    <w:pPr>
      <w:spacing w:after="0" w:line="240" w:lineRule="auto"/>
    </w:pPr>
    <w:rPr>
      <w:rFonts w:ascii="Times New Roman" w:eastAsia="Times New Roman" w:hAnsi="Times New Roman" w:cs="Times New Roman"/>
      <w:sz w:val="20"/>
      <w:szCs w:val="20"/>
      <w:lang w:val="bg-B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321">
    <w:name w:val="No List22321"/>
    <w:next w:val="NoList"/>
    <w:uiPriority w:val="99"/>
    <w:semiHidden/>
    <w:unhideWhenUsed/>
    <w:rsid w:val="00441502"/>
  </w:style>
  <w:style w:type="table" w:customStyle="1" w:styleId="TableGrid23311">
    <w:name w:val="Table Grid23311"/>
    <w:basedOn w:val="TableNormal"/>
    <w:next w:val="TableGrid"/>
    <w:uiPriority w:val="99"/>
    <w:rsid w:val="00441502"/>
    <w:pPr>
      <w:spacing w:after="0" w:line="240" w:lineRule="auto"/>
    </w:pPr>
    <w:rPr>
      <w:rFonts w:ascii="Times New Roman" w:eastAsia="Times New Roman" w:hAnsi="Times New Roman" w:cs="Times New Roman"/>
      <w:sz w:val="20"/>
      <w:szCs w:val="20"/>
      <w:lang w:val="bg-B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312311">
    <w:name w:val="Table Web 312311"/>
    <w:basedOn w:val="TableNormal"/>
    <w:next w:val="TableWeb3"/>
    <w:uiPriority w:val="99"/>
    <w:rsid w:val="00441502"/>
    <w:pPr>
      <w:spacing w:after="0" w:line="240" w:lineRule="auto"/>
    </w:pPr>
    <w:rPr>
      <w:rFonts w:ascii="Times New Roman" w:eastAsia="Times New Roman" w:hAnsi="Times New Roman" w:cs="Times New Roman"/>
      <w:sz w:val="20"/>
      <w:szCs w:val="20"/>
      <w:lang w:val="bg-BG" w:eastAsia="bg-BG"/>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TableGrid112311">
    <w:name w:val="Table Grid112311"/>
    <w:uiPriority w:val="99"/>
    <w:rsid w:val="00441502"/>
    <w:pPr>
      <w:spacing w:after="0" w:line="240" w:lineRule="auto"/>
    </w:pPr>
    <w:rPr>
      <w:rFonts w:ascii="Times New Roman" w:eastAsia="Times New Roman" w:hAnsi="Times New Roman" w:cs="Times New Roman"/>
      <w:sz w:val="20"/>
      <w:szCs w:val="20"/>
      <w:lang w:val="bg-BG" w:eastAsia="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311">
    <w:name w:val="Table Grid212311"/>
    <w:uiPriority w:val="99"/>
    <w:rsid w:val="00441502"/>
    <w:pPr>
      <w:spacing w:after="0" w:line="240" w:lineRule="auto"/>
    </w:pPr>
    <w:rPr>
      <w:rFonts w:ascii="Calibri" w:eastAsia="Calibri" w:hAnsi="Calibri" w:cs="Times New Roman"/>
      <w:sz w:val="20"/>
      <w:szCs w:val="20"/>
      <w:lang w:val="bg-BG" w:eastAsia="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311">
    <w:name w:val="Table Grid32311"/>
    <w:uiPriority w:val="99"/>
    <w:rsid w:val="00441502"/>
    <w:pPr>
      <w:spacing w:after="0" w:line="240" w:lineRule="auto"/>
    </w:pPr>
    <w:rPr>
      <w:rFonts w:ascii="Times New Roman" w:eastAsia="Times New Roman" w:hAnsi="Times New Roman" w:cs="Times New Roman"/>
      <w:sz w:val="20"/>
      <w:szCs w:val="20"/>
      <w:lang w:val="bg-BG" w:eastAsia="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321">
    <w:name w:val="No List32321"/>
    <w:next w:val="NoList"/>
    <w:uiPriority w:val="99"/>
    <w:semiHidden/>
    <w:unhideWhenUsed/>
    <w:rsid w:val="00441502"/>
  </w:style>
  <w:style w:type="table" w:customStyle="1" w:styleId="TableGrid41311">
    <w:name w:val="Table Grid41311"/>
    <w:basedOn w:val="TableNormal"/>
    <w:next w:val="TableGrid"/>
    <w:uiPriority w:val="99"/>
    <w:rsid w:val="0044150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321311">
    <w:name w:val="Table Web 321311"/>
    <w:basedOn w:val="TableNormal"/>
    <w:next w:val="TableWeb3"/>
    <w:uiPriority w:val="99"/>
    <w:rsid w:val="00441502"/>
    <w:pPr>
      <w:spacing w:after="0" w:line="240" w:lineRule="auto"/>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TableGrid121311">
    <w:name w:val="Table Grid121311"/>
    <w:rsid w:val="00441502"/>
    <w:pPr>
      <w:spacing w:after="0" w:line="240" w:lineRule="auto"/>
    </w:pPr>
    <w:rPr>
      <w:rFonts w:ascii="Times New Roman" w:eastAsia="Times New Roman" w:hAnsi="Times New Roman" w:cs="Times New Roman"/>
      <w:sz w:val="20"/>
      <w:szCs w:val="20"/>
      <w:lang w:val="bg-BG" w:eastAsia="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311">
    <w:name w:val="Table Grid221311"/>
    <w:uiPriority w:val="99"/>
    <w:rsid w:val="00441502"/>
    <w:pPr>
      <w:spacing w:after="0" w:line="240" w:lineRule="auto"/>
    </w:pPr>
    <w:rPr>
      <w:rFonts w:ascii="Calibri" w:eastAsia="Calibri" w:hAnsi="Calibri" w:cs="Times New Roman"/>
      <w:sz w:val="20"/>
      <w:szCs w:val="20"/>
      <w:lang w:val="bg-BG" w:eastAsia="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311">
    <w:name w:val="Table Grid311311"/>
    <w:uiPriority w:val="99"/>
    <w:rsid w:val="00441502"/>
    <w:pPr>
      <w:spacing w:after="0" w:line="240" w:lineRule="auto"/>
    </w:pPr>
    <w:rPr>
      <w:rFonts w:ascii="Times New Roman" w:eastAsia="Times New Roman" w:hAnsi="Times New Roman" w:cs="Times New Roman"/>
      <w:sz w:val="20"/>
      <w:szCs w:val="20"/>
      <w:lang w:val="bg-BG" w:eastAsia="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321">
    <w:name w:val="No List112321"/>
    <w:next w:val="NoList"/>
    <w:uiPriority w:val="99"/>
    <w:semiHidden/>
    <w:unhideWhenUsed/>
    <w:rsid w:val="00441502"/>
  </w:style>
  <w:style w:type="numbering" w:customStyle="1" w:styleId="NoList212321">
    <w:name w:val="No List212321"/>
    <w:next w:val="NoList"/>
    <w:uiPriority w:val="99"/>
    <w:semiHidden/>
    <w:unhideWhenUsed/>
    <w:rsid w:val="00441502"/>
  </w:style>
  <w:style w:type="numbering" w:customStyle="1" w:styleId="NoList312321">
    <w:name w:val="No List312321"/>
    <w:next w:val="NoList"/>
    <w:semiHidden/>
    <w:rsid w:val="00441502"/>
  </w:style>
  <w:style w:type="numbering" w:customStyle="1" w:styleId="NoList42321">
    <w:name w:val="No List42321"/>
    <w:next w:val="NoList"/>
    <w:uiPriority w:val="99"/>
    <w:semiHidden/>
    <w:unhideWhenUsed/>
    <w:rsid w:val="00441502"/>
  </w:style>
  <w:style w:type="table" w:customStyle="1" w:styleId="TableWeb3111311">
    <w:name w:val="Table Web 3111311"/>
    <w:basedOn w:val="TableNormal"/>
    <w:next w:val="TableWeb3"/>
    <w:uiPriority w:val="99"/>
    <w:rsid w:val="00441502"/>
    <w:pPr>
      <w:spacing w:after="0" w:line="240" w:lineRule="auto"/>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TableGrid1111311">
    <w:name w:val="Table Grid1111311"/>
    <w:uiPriority w:val="99"/>
    <w:rsid w:val="00441502"/>
    <w:pPr>
      <w:spacing w:after="0" w:line="240" w:lineRule="auto"/>
    </w:pPr>
    <w:rPr>
      <w:rFonts w:ascii="Times New Roman" w:eastAsia="Times New Roman" w:hAnsi="Times New Roman" w:cs="Times New Roman"/>
      <w:sz w:val="20"/>
      <w:szCs w:val="20"/>
      <w:lang w:val="bg-BG" w:eastAsia="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311">
    <w:name w:val="Table Grid2111311"/>
    <w:uiPriority w:val="99"/>
    <w:rsid w:val="00441502"/>
    <w:pPr>
      <w:spacing w:after="0" w:line="240" w:lineRule="auto"/>
    </w:pPr>
    <w:rPr>
      <w:rFonts w:ascii="Calibri" w:eastAsia="Calibri" w:hAnsi="Calibri" w:cs="Times New Roman"/>
      <w:sz w:val="20"/>
      <w:szCs w:val="20"/>
      <w:lang w:val="bg-BG" w:eastAsia="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311">
    <w:name w:val="Table Grid51311"/>
    <w:basedOn w:val="TableNormal"/>
    <w:next w:val="TableGrid"/>
    <w:uiPriority w:val="59"/>
    <w:rsid w:val="00441502"/>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311">
    <w:name w:val="Table Grid7311"/>
    <w:basedOn w:val="TableNormal"/>
    <w:next w:val="TableGrid"/>
    <w:rsid w:val="0044150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34311">
    <w:name w:val="Table Web 34311"/>
    <w:basedOn w:val="TableNormal"/>
    <w:next w:val="TableWeb3"/>
    <w:uiPriority w:val="99"/>
    <w:rsid w:val="00441502"/>
    <w:pPr>
      <w:spacing w:after="0" w:line="240" w:lineRule="auto"/>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TableGrid24311">
    <w:name w:val="Table Grid24311"/>
    <w:uiPriority w:val="99"/>
    <w:rsid w:val="00441502"/>
    <w:pPr>
      <w:spacing w:after="0" w:line="240" w:lineRule="auto"/>
    </w:pPr>
    <w:rPr>
      <w:rFonts w:ascii="Calibri" w:eastAsia="Calibri" w:hAnsi="Calibri" w:cs="Times New Roman"/>
      <w:sz w:val="20"/>
      <w:szCs w:val="20"/>
      <w:lang w:val="bg-BG" w:eastAsia="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311">
    <w:name w:val="Table Grid113311"/>
    <w:uiPriority w:val="99"/>
    <w:rsid w:val="00441502"/>
    <w:pPr>
      <w:spacing w:after="0" w:line="240" w:lineRule="auto"/>
    </w:pPr>
    <w:rPr>
      <w:rFonts w:ascii="Times New Roman" w:eastAsia="Times New Roman" w:hAnsi="Times New Roman" w:cs="Times New Roman"/>
      <w:sz w:val="20"/>
      <w:szCs w:val="20"/>
      <w:lang w:val="bg-BG" w:eastAsia="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311">
    <w:name w:val="Table Grid213311"/>
    <w:uiPriority w:val="99"/>
    <w:rsid w:val="00441502"/>
    <w:pPr>
      <w:spacing w:after="0" w:line="240" w:lineRule="auto"/>
    </w:pPr>
    <w:rPr>
      <w:rFonts w:ascii="Calibri" w:eastAsia="Calibri" w:hAnsi="Calibri" w:cs="Times New Roman"/>
      <w:sz w:val="20"/>
      <w:szCs w:val="20"/>
      <w:lang w:val="bg-BG" w:eastAsia="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021">
    <w:name w:val="No List2021"/>
    <w:next w:val="NoList"/>
    <w:uiPriority w:val="99"/>
    <w:semiHidden/>
    <w:unhideWhenUsed/>
    <w:rsid w:val="00441502"/>
  </w:style>
  <w:style w:type="numbering" w:customStyle="1" w:styleId="NoList2721">
    <w:name w:val="No List2721"/>
    <w:next w:val="NoList"/>
    <w:uiPriority w:val="99"/>
    <w:semiHidden/>
    <w:unhideWhenUsed/>
    <w:rsid w:val="00441502"/>
  </w:style>
  <w:style w:type="numbering" w:customStyle="1" w:styleId="NoList11621">
    <w:name w:val="No List11621"/>
    <w:next w:val="NoList"/>
    <w:uiPriority w:val="99"/>
    <w:semiHidden/>
    <w:unhideWhenUsed/>
    <w:rsid w:val="00441502"/>
  </w:style>
  <w:style w:type="numbering" w:customStyle="1" w:styleId="NoList11721">
    <w:name w:val="No List11721"/>
    <w:next w:val="NoList"/>
    <w:uiPriority w:val="99"/>
    <w:semiHidden/>
    <w:rsid w:val="00441502"/>
  </w:style>
  <w:style w:type="table" w:customStyle="1" w:styleId="TableGrid2811">
    <w:name w:val="Table Grid2811"/>
    <w:basedOn w:val="TableNormal"/>
    <w:next w:val="TableGrid"/>
    <w:rsid w:val="00441502"/>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711">
    <w:name w:val="Table Grid11711"/>
    <w:basedOn w:val="TableNormal"/>
    <w:next w:val="TableGrid"/>
    <w:rsid w:val="0044150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421">
    <w:name w:val="No List111421"/>
    <w:next w:val="NoList"/>
    <w:uiPriority w:val="99"/>
    <w:semiHidden/>
    <w:unhideWhenUsed/>
    <w:rsid w:val="00441502"/>
  </w:style>
  <w:style w:type="numbering" w:customStyle="1" w:styleId="NoList2821">
    <w:name w:val="No List2821"/>
    <w:next w:val="NoList"/>
    <w:uiPriority w:val="99"/>
    <w:semiHidden/>
    <w:unhideWhenUsed/>
    <w:rsid w:val="00441502"/>
  </w:style>
  <w:style w:type="numbering" w:customStyle="1" w:styleId="NoList3721">
    <w:name w:val="No List3721"/>
    <w:next w:val="NoList"/>
    <w:semiHidden/>
    <w:unhideWhenUsed/>
    <w:rsid w:val="00441502"/>
  </w:style>
  <w:style w:type="table" w:customStyle="1" w:styleId="TableGrid11811">
    <w:name w:val="Table Grid11811"/>
    <w:basedOn w:val="TableNormal"/>
    <w:next w:val="TableGrid"/>
    <w:rsid w:val="00441502"/>
    <w:pPr>
      <w:spacing w:after="0" w:line="240" w:lineRule="auto"/>
      <w:jc w:val="both"/>
    </w:pPr>
    <w:rPr>
      <w:rFonts w:ascii="Calibri" w:eastAsia="Calibri" w:hAnsi="Calibri" w:cs="Times New Roman"/>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11">
    <w:name w:val="Table Grid2911"/>
    <w:basedOn w:val="TableNormal"/>
    <w:next w:val="TableGrid"/>
    <w:rsid w:val="00441502"/>
    <w:pPr>
      <w:spacing w:after="0" w:line="240" w:lineRule="auto"/>
    </w:pPr>
    <w:rPr>
      <w:rFonts w:ascii="Verdana" w:eastAsia="Times New Roman" w:hAnsi="Verdana" w:cs="Times New Roman"/>
      <w:sz w:val="20"/>
      <w:szCs w:val="20"/>
      <w:lang w:val="bg-B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421">
    <w:name w:val="No List12421"/>
    <w:next w:val="NoList"/>
    <w:semiHidden/>
    <w:rsid w:val="00441502"/>
  </w:style>
  <w:style w:type="numbering" w:customStyle="1" w:styleId="NoList4621">
    <w:name w:val="No List4621"/>
    <w:next w:val="NoList"/>
    <w:uiPriority w:val="99"/>
    <w:semiHidden/>
    <w:unhideWhenUsed/>
    <w:rsid w:val="00441502"/>
  </w:style>
  <w:style w:type="numbering" w:customStyle="1" w:styleId="NoList13421">
    <w:name w:val="No List13421"/>
    <w:next w:val="NoList"/>
    <w:semiHidden/>
    <w:rsid w:val="00441502"/>
  </w:style>
  <w:style w:type="table" w:customStyle="1" w:styleId="TableGrid3611">
    <w:name w:val="Table Grid3611"/>
    <w:basedOn w:val="TableNormal"/>
    <w:next w:val="TableGrid"/>
    <w:uiPriority w:val="99"/>
    <w:rsid w:val="00441502"/>
    <w:pPr>
      <w:spacing w:after="0" w:line="240" w:lineRule="auto"/>
    </w:pPr>
    <w:rPr>
      <w:rFonts w:ascii="Times New Roman" w:eastAsia="Times New Roman" w:hAnsi="Times New Roman" w:cs="Times New Roman"/>
      <w:sz w:val="20"/>
      <w:szCs w:val="20"/>
      <w:lang w:val="bg-B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3811">
    <w:name w:val="Table Web 3811"/>
    <w:basedOn w:val="TableNormal"/>
    <w:next w:val="TableWeb3"/>
    <w:rsid w:val="00441502"/>
    <w:pPr>
      <w:spacing w:after="0" w:line="240" w:lineRule="auto"/>
    </w:pPr>
    <w:rPr>
      <w:rFonts w:ascii="Times New Roman" w:eastAsia="Times New Roman" w:hAnsi="Times New Roman" w:cs="Times New Roman"/>
      <w:sz w:val="20"/>
      <w:szCs w:val="20"/>
      <w:lang w:val="bg-BG" w:eastAsia="bg-BG"/>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12511">
    <w:name w:val="Table Grid12511"/>
    <w:basedOn w:val="TableNormal"/>
    <w:next w:val="TableGrid"/>
    <w:rsid w:val="00441502"/>
    <w:pPr>
      <w:spacing w:after="0" w:line="240" w:lineRule="auto"/>
    </w:pPr>
    <w:rPr>
      <w:rFonts w:ascii="Times New Roman" w:eastAsia="Times New Roman" w:hAnsi="Times New Roman" w:cs="Times New Roman"/>
      <w:sz w:val="20"/>
      <w:szCs w:val="20"/>
      <w:lang w:val="bg-B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621">
    <w:name w:val="No List21621"/>
    <w:next w:val="NoList"/>
    <w:uiPriority w:val="99"/>
    <w:semiHidden/>
    <w:unhideWhenUsed/>
    <w:rsid w:val="00441502"/>
  </w:style>
  <w:style w:type="table" w:customStyle="1" w:styleId="TableGrid21711">
    <w:name w:val="Table Grid21711"/>
    <w:basedOn w:val="TableNormal"/>
    <w:next w:val="TableGrid"/>
    <w:uiPriority w:val="99"/>
    <w:rsid w:val="00441502"/>
    <w:pPr>
      <w:spacing w:after="0" w:line="240" w:lineRule="auto"/>
    </w:pPr>
    <w:rPr>
      <w:rFonts w:ascii="Times New Roman" w:eastAsia="Times New Roman" w:hAnsi="Times New Roman" w:cs="Times New Roman"/>
      <w:sz w:val="20"/>
      <w:szCs w:val="20"/>
      <w:lang w:val="bg-B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31611">
    <w:name w:val="Table Web 31611"/>
    <w:basedOn w:val="TableNormal"/>
    <w:next w:val="TableWeb3"/>
    <w:uiPriority w:val="99"/>
    <w:rsid w:val="00441502"/>
    <w:pPr>
      <w:spacing w:after="0" w:line="240" w:lineRule="auto"/>
    </w:pPr>
    <w:rPr>
      <w:rFonts w:ascii="Times New Roman" w:eastAsia="Times New Roman" w:hAnsi="Times New Roman" w:cs="Times New Roman"/>
      <w:sz w:val="20"/>
      <w:szCs w:val="20"/>
      <w:lang w:val="bg-BG" w:eastAsia="bg-BG"/>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TableGrid111511">
    <w:name w:val="Table Grid111511"/>
    <w:uiPriority w:val="99"/>
    <w:rsid w:val="00441502"/>
    <w:pPr>
      <w:spacing w:after="0" w:line="240" w:lineRule="auto"/>
    </w:pPr>
    <w:rPr>
      <w:rFonts w:ascii="Times New Roman" w:eastAsia="Times New Roman" w:hAnsi="Times New Roman" w:cs="Times New Roman"/>
      <w:sz w:val="20"/>
      <w:szCs w:val="20"/>
      <w:lang w:val="bg-BG" w:eastAsia="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511">
    <w:name w:val="Table Grid211511"/>
    <w:uiPriority w:val="99"/>
    <w:rsid w:val="00441502"/>
    <w:pPr>
      <w:spacing w:after="0" w:line="240" w:lineRule="auto"/>
    </w:pPr>
    <w:rPr>
      <w:rFonts w:ascii="Calibri" w:eastAsia="Calibri" w:hAnsi="Calibri" w:cs="Times New Roman"/>
      <w:sz w:val="20"/>
      <w:szCs w:val="20"/>
      <w:lang w:val="bg-BG" w:eastAsia="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621">
    <w:name w:val="No List31621"/>
    <w:next w:val="NoList"/>
    <w:uiPriority w:val="99"/>
    <w:semiHidden/>
    <w:unhideWhenUsed/>
    <w:rsid w:val="00441502"/>
  </w:style>
  <w:style w:type="table" w:customStyle="1" w:styleId="TableGrid4511">
    <w:name w:val="Table Grid4511"/>
    <w:basedOn w:val="TableNormal"/>
    <w:next w:val="TableGrid"/>
    <w:uiPriority w:val="99"/>
    <w:rsid w:val="0044150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32511">
    <w:name w:val="Table Web 32511"/>
    <w:basedOn w:val="TableNormal"/>
    <w:next w:val="TableWeb3"/>
    <w:uiPriority w:val="99"/>
    <w:rsid w:val="00441502"/>
    <w:pPr>
      <w:spacing w:after="0" w:line="240" w:lineRule="auto"/>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TableGrid22511">
    <w:name w:val="Table Grid22511"/>
    <w:uiPriority w:val="99"/>
    <w:rsid w:val="00441502"/>
    <w:pPr>
      <w:spacing w:after="0" w:line="240" w:lineRule="auto"/>
    </w:pPr>
    <w:rPr>
      <w:rFonts w:ascii="Calibri" w:eastAsia="Calibri" w:hAnsi="Calibri" w:cs="Times New Roman"/>
      <w:sz w:val="20"/>
      <w:szCs w:val="20"/>
      <w:lang w:val="bg-BG" w:eastAsia="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511">
    <w:name w:val="Table Grid31511"/>
    <w:uiPriority w:val="99"/>
    <w:rsid w:val="00441502"/>
    <w:pPr>
      <w:spacing w:after="0" w:line="240" w:lineRule="auto"/>
    </w:pPr>
    <w:rPr>
      <w:rFonts w:ascii="Times New Roman" w:eastAsia="Times New Roman" w:hAnsi="Times New Roman" w:cs="Times New Roman"/>
      <w:sz w:val="20"/>
      <w:szCs w:val="20"/>
      <w:lang w:val="bg-BG" w:eastAsia="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221">
    <w:name w:val="No List1111221"/>
    <w:next w:val="NoList"/>
    <w:uiPriority w:val="99"/>
    <w:semiHidden/>
    <w:unhideWhenUsed/>
    <w:rsid w:val="00441502"/>
  </w:style>
  <w:style w:type="numbering" w:customStyle="1" w:styleId="NoList211421">
    <w:name w:val="No List211421"/>
    <w:next w:val="NoList"/>
    <w:uiPriority w:val="99"/>
    <w:semiHidden/>
    <w:unhideWhenUsed/>
    <w:rsid w:val="00441502"/>
  </w:style>
  <w:style w:type="numbering" w:customStyle="1" w:styleId="NoList311421">
    <w:name w:val="No List311421"/>
    <w:next w:val="NoList"/>
    <w:semiHidden/>
    <w:rsid w:val="00441502"/>
  </w:style>
  <w:style w:type="numbering" w:customStyle="1" w:styleId="NoList41421">
    <w:name w:val="No List41421"/>
    <w:next w:val="NoList"/>
    <w:uiPriority w:val="99"/>
    <w:semiHidden/>
    <w:unhideWhenUsed/>
    <w:rsid w:val="00441502"/>
  </w:style>
  <w:style w:type="table" w:customStyle="1" w:styleId="TableWeb311511">
    <w:name w:val="Table Web 311511"/>
    <w:basedOn w:val="TableNormal"/>
    <w:next w:val="TableWeb3"/>
    <w:uiPriority w:val="99"/>
    <w:rsid w:val="00441502"/>
    <w:pPr>
      <w:spacing w:after="0" w:line="240" w:lineRule="auto"/>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TableGrid5511">
    <w:name w:val="Table Grid5511"/>
    <w:basedOn w:val="TableNormal"/>
    <w:next w:val="TableGrid"/>
    <w:uiPriority w:val="59"/>
    <w:rsid w:val="00441502"/>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421">
    <w:name w:val="No List5421"/>
    <w:next w:val="NoList"/>
    <w:uiPriority w:val="99"/>
    <w:semiHidden/>
    <w:unhideWhenUsed/>
    <w:rsid w:val="00441502"/>
  </w:style>
  <w:style w:type="numbering" w:customStyle="1" w:styleId="NoList14421">
    <w:name w:val="No List14421"/>
    <w:next w:val="NoList"/>
    <w:semiHidden/>
    <w:rsid w:val="00441502"/>
  </w:style>
  <w:style w:type="table" w:customStyle="1" w:styleId="TableGrid6411">
    <w:name w:val="Table Grid6411"/>
    <w:basedOn w:val="TableNormal"/>
    <w:next w:val="TableGrid"/>
    <w:rsid w:val="00441502"/>
    <w:pPr>
      <w:spacing w:after="0" w:line="240" w:lineRule="auto"/>
    </w:pPr>
    <w:rPr>
      <w:rFonts w:ascii="Times New Roman" w:eastAsia="Times New Roman" w:hAnsi="Times New Roman" w:cs="Times New Roman"/>
      <w:sz w:val="20"/>
      <w:szCs w:val="20"/>
      <w:lang w:val="bg-B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33411">
    <w:name w:val="Table Web 33411"/>
    <w:basedOn w:val="TableNormal"/>
    <w:next w:val="TableWeb3"/>
    <w:rsid w:val="00441502"/>
    <w:pPr>
      <w:spacing w:after="0" w:line="240" w:lineRule="auto"/>
    </w:pPr>
    <w:rPr>
      <w:rFonts w:ascii="Times New Roman" w:eastAsia="Times New Roman" w:hAnsi="Times New Roman" w:cs="Times New Roman"/>
      <w:sz w:val="20"/>
      <w:szCs w:val="20"/>
      <w:lang w:val="bg-BG" w:eastAsia="bg-BG"/>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13411">
    <w:name w:val="Table Grid13411"/>
    <w:basedOn w:val="TableNormal"/>
    <w:next w:val="TableGrid"/>
    <w:rsid w:val="00441502"/>
    <w:pPr>
      <w:spacing w:after="0" w:line="240" w:lineRule="auto"/>
    </w:pPr>
    <w:rPr>
      <w:rFonts w:ascii="Times New Roman" w:eastAsia="Times New Roman" w:hAnsi="Times New Roman" w:cs="Times New Roman"/>
      <w:sz w:val="20"/>
      <w:szCs w:val="20"/>
      <w:lang w:val="bg-B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421">
    <w:name w:val="No List22421"/>
    <w:next w:val="NoList"/>
    <w:uiPriority w:val="99"/>
    <w:semiHidden/>
    <w:unhideWhenUsed/>
    <w:rsid w:val="00441502"/>
  </w:style>
  <w:style w:type="table" w:customStyle="1" w:styleId="TableGrid23411">
    <w:name w:val="Table Grid23411"/>
    <w:basedOn w:val="TableNormal"/>
    <w:next w:val="TableGrid"/>
    <w:uiPriority w:val="99"/>
    <w:rsid w:val="00441502"/>
    <w:pPr>
      <w:spacing w:after="0" w:line="240" w:lineRule="auto"/>
    </w:pPr>
    <w:rPr>
      <w:rFonts w:ascii="Times New Roman" w:eastAsia="Times New Roman" w:hAnsi="Times New Roman" w:cs="Times New Roman"/>
      <w:sz w:val="20"/>
      <w:szCs w:val="20"/>
      <w:lang w:val="bg-B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312411">
    <w:name w:val="Table Web 312411"/>
    <w:basedOn w:val="TableNormal"/>
    <w:next w:val="TableWeb3"/>
    <w:uiPriority w:val="99"/>
    <w:rsid w:val="00441502"/>
    <w:pPr>
      <w:spacing w:after="0" w:line="240" w:lineRule="auto"/>
    </w:pPr>
    <w:rPr>
      <w:rFonts w:ascii="Times New Roman" w:eastAsia="Times New Roman" w:hAnsi="Times New Roman" w:cs="Times New Roman"/>
      <w:sz w:val="20"/>
      <w:szCs w:val="20"/>
      <w:lang w:val="bg-BG" w:eastAsia="bg-BG"/>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TableGrid112411">
    <w:name w:val="Table Grid112411"/>
    <w:uiPriority w:val="99"/>
    <w:rsid w:val="00441502"/>
    <w:pPr>
      <w:spacing w:after="0" w:line="240" w:lineRule="auto"/>
    </w:pPr>
    <w:rPr>
      <w:rFonts w:ascii="Times New Roman" w:eastAsia="Times New Roman" w:hAnsi="Times New Roman" w:cs="Times New Roman"/>
      <w:sz w:val="20"/>
      <w:szCs w:val="20"/>
      <w:lang w:val="bg-BG" w:eastAsia="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411">
    <w:name w:val="Table Grid212411"/>
    <w:uiPriority w:val="99"/>
    <w:rsid w:val="00441502"/>
    <w:pPr>
      <w:spacing w:after="0" w:line="240" w:lineRule="auto"/>
    </w:pPr>
    <w:rPr>
      <w:rFonts w:ascii="Calibri" w:eastAsia="Calibri" w:hAnsi="Calibri" w:cs="Times New Roman"/>
      <w:sz w:val="20"/>
      <w:szCs w:val="20"/>
      <w:lang w:val="bg-BG" w:eastAsia="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411">
    <w:name w:val="Table Grid32411"/>
    <w:uiPriority w:val="99"/>
    <w:rsid w:val="00441502"/>
    <w:pPr>
      <w:spacing w:after="0" w:line="240" w:lineRule="auto"/>
    </w:pPr>
    <w:rPr>
      <w:rFonts w:ascii="Times New Roman" w:eastAsia="Times New Roman" w:hAnsi="Times New Roman" w:cs="Times New Roman"/>
      <w:sz w:val="20"/>
      <w:szCs w:val="20"/>
      <w:lang w:val="bg-BG" w:eastAsia="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421">
    <w:name w:val="No List32421"/>
    <w:next w:val="NoList"/>
    <w:uiPriority w:val="99"/>
    <w:semiHidden/>
    <w:unhideWhenUsed/>
    <w:rsid w:val="00441502"/>
  </w:style>
  <w:style w:type="table" w:customStyle="1" w:styleId="TableGrid41411">
    <w:name w:val="Table Grid41411"/>
    <w:basedOn w:val="TableNormal"/>
    <w:next w:val="TableGrid"/>
    <w:uiPriority w:val="99"/>
    <w:rsid w:val="0044150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321411">
    <w:name w:val="Table Web 321411"/>
    <w:basedOn w:val="TableNormal"/>
    <w:next w:val="TableWeb3"/>
    <w:uiPriority w:val="99"/>
    <w:rsid w:val="00441502"/>
    <w:pPr>
      <w:spacing w:after="0" w:line="240" w:lineRule="auto"/>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TableGrid121411">
    <w:name w:val="Table Grid121411"/>
    <w:rsid w:val="00441502"/>
    <w:pPr>
      <w:spacing w:after="0" w:line="240" w:lineRule="auto"/>
    </w:pPr>
    <w:rPr>
      <w:rFonts w:ascii="Times New Roman" w:eastAsia="Times New Roman" w:hAnsi="Times New Roman" w:cs="Times New Roman"/>
      <w:sz w:val="20"/>
      <w:szCs w:val="20"/>
      <w:lang w:val="bg-BG" w:eastAsia="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411">
    <w:name w:val="Table Grid221411"/>
    <w:uiPriority w:val="99"/>
    <w:rsid w:val="00441502"/>
    <w:pPr>
      <w:spacing w:after="0" w:line="240" w:lineRule="auto"/>
    </w:pPr>
    <w:rPr>
      <w:rFonts w:ascii="Calibri" w:eastAsia="Calibri" w:hAnsi="Calibri" w:cs="Times New Roman"/>
      <w:sz w:val="20"/>
      <w:szCs w:val="20"/>
      <w:lang w:val="bg-BG" w:eastAsia="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411">
    <w:name w:val="Table Grid311411"/>
    <w:uiPriority w:val="99"/>
    <w:rsid w:val="00441502"/>
    <w:pPr>
      <w:spacing w:after="0" w:line="240" w:lineRule="auto"/>
    </w:pPr>
    <w:rPr>
      <w:rFonts w:ascii="Times New Roman" w:eastAsia="Times New Roman" w:hAnsi="Times New Roman" w:cs="Times New Roman"/>
      <w:sz w:val="20"/>
      <w:szCs w:val="20"/>
      <w:lang w:val="bg-BG" w:eastAsia="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421">
    <w:name w:val="No List112421"/>
    <w:next w:val="NoList"/>
    <w:uiPriority w:val="99"/>
    <w:semiHidden/>
    <w:unhideWhenUsed/>
    <w:rsid w:val="00441502"/>
  </w:style>
  <w:style w:type="numbering" w:customStyle="1" w:styleId="NoList212421">
    <w:name w:val="No List212421"/>
    <w:next w:val="NoList"/>
    <w:uiPriority w:val="99"/>
    <w:semiHidden/>
    <w:unhideWhenUsed/>
    <w:rsid w:val="00441502"/>
  </w:style>
  <w:style w:type="numbering" w:customStyle="1" w:styleId="NoList312421">
    <w:name w:val="No List312421"/>
    <w:next w:val="NoList"/>
    <w:semiHidden/>
    <w:rsid w:val="00441502"/>
  </w:style>
  <w:style w:type="numbering" w:customStyle="1" w:styleId="NoList42421">
    <w:name w:val="No List42421"/>
    <w:next w:val="NoList"/>
    <w:uiPriority w:val="99"/>
    <w:semiHidden/>
    <w:unhideWhenUsed/>
    <w:rsid w:val="00441502"/>
  </w:style>
  <w:style w:type="table" w:customStyle="1" w:styleId="TableWeb3111411">
    <w:name w:val="Table Web 3111411"/>
    <w:basedOn w:val="TableNormal"/>
    <w:next w:val="TableWeb3"/>
    <w:uiPriority w:val="99"/>
    <w:rsid w:val="00441502"/>
    <w:pPr>
      <w:spacing w:after="0" w:line="240" w:lineRule="auto"/>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TableGrid1111411">
    <w:name w:val="Table Grid1111411"/>
    <w:uiPriority w:val="99"/>
    <w:rsid w:val="00441502"/>
    <w:pPr>
      <w:spacing w:after="0" w:line="240" w:lineRule="auto"/>
    </w:pPr>
    <w:rPr>
      <w:rFonts w:ascii="Times New Roman" w:eastAsia="Times New Roman" w:hAnsi="Times New Roman" w:cs="Times New Roman"/>
      <w:sz w:val="20"/>
      <w:szCs w:val="20"/>
      <w:lang w:val="bg-BG" w:eastAsia="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411">
    <w:name w:val="Table Grid2111411"/>
    <w:uiPriority w:val="99"/>
    <w:rsid w:val="00441502"/>
    <w:pPr>
      <w:spacing w:after="0" w:line="240" w:lineRule="auto"/>
    </w:pPr>
    <w:rPr>
      <w:rFonts w:ascii="Calibri" w:eastAsia="Calibri" w:hAnsi="Calibri" w:cs="Times New Roman"/>
      <w:sz w:val="20"/>
      <w:szCs w:val="20"/>
      <w:lang w:val="bg-BG" w:eastAsia="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411">
    <w:name w:val="Table Grid51411"/>
    <w:basedOn w:val="TableNormal"/>
    <w:next w:val="TableGrid"/>
    <w:uiPriority w:val="59"/>
    <w:rsid w:val="00441502"/>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411">
    <w:name w:val="Table Grid7411"/>
    <w:basedOn w:val="TableNormal"/>
    <w:next w:val="TableGrid"/>
    <w:rsid w:val="0044150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34411">
    <w:name w:val="Table Web 34411"/>
    <w:basedOn w:val="TableNormal"/>
    <w:next w:val="TableWeb3"/>
    <w:uiPriority w:val="99"/>
    <w:rsid w:val="00441502"/>
    <w:pPr>
      <w:spacing w:after="0" w:line="240" w:lineRule="auto"/>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TableGrid24411">
    <w:name w:val="Table Grid24411"/>
    <w:uiPriority w:val="99"/>
    <w:rsid w:val="00441502"/>
    <w:pPr>
      <w:spacing w:after="0" w:line="240" w:lineRule="auto"/>
    </w:pPr>
    <w:rPr>
      <w:rFonts w:ascii="Calibri" w:eastAsia="Calibri" w:hAnsi="Calibri" w:cs="Times New Roman"/>
      <w:sz w:val="20"/>
      <w:szCs w:val="20"/>
      <w:lang w:val="bg-BG" w:eastAsia="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411">
    <w:name w:val="Table Grid113411"/>
    <w:uiPriority w:val="99"/>
    <w:rsid w:val="00441502"/>
    <w:pPr>
      <w:spacing w:after="0" w:line="240" w:lineRule="auto"/>
    </w:pPr>
    <w:rPr>
      <w:rFonts w:ascii="Times New Roman" w:eastAsia="Times New Roman" w:hAnsi="Times New Roman" w:cs="Times New Roman"/>
      <w:sz w:val="20"/>
      <w:szCs w:val="20"/>
      <w:lang w:val="bg-BG" w:eastAsia="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411">
    <w:name w:val="Table Grid213411"/>
    <w:uiPriority w:val="99"/>
    <w:rsid w:val="00441502"/>
    <w:pPr>
      <w:spacing w:after="0" w:line="240" w:lineRule="auto"/>
    </w:pPr>
    <w:rPr>
      <w:rFonts w:ascii="Calibri" w:eastAsia="Calibri" w:hAnsi="Calibri" w:cs="Times New Roman"/>
      <w:sz w:val="20"/>
      <w:szCs w:val="20"/>
      <w:lang w:val="bg-BG" w:eastAsia="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011">
    <w:name w:val="Table Grid3011"/>
    <w:basedOn w:val="TableNormal"/>
    <w:next w:val="TableGrid"/>
    <w:rsid w:val="00441502"/>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01">
    <w:name w:val="No List401"/>
    <w:next w:val="NoList"/>
    <w:uiPriority w:val="99"/>
    <w:semiHidden/>
    <w:unhideWhenUsed/>
    <w:rsid w:val="00441502"/>
  </w:style>
  <w:style w:type="numbering" w:customStyle="1" w:styleId="NoList1271">
    <w:name w:val="No List1271"/>
    <w:next w:val="NoList"/>
    <w:uiPriority w:val="99"/>
    <w:semiHidden/>
    <w:unhideWhenUsed/>
    <w:rsid w:val="00441502"/>
  </w:style>
  <w:style w:type="numbering" w:customStyle="1" w:styleId="NoList2201">
    <w:name w:val="No List2201"/>
    <w:next w:val="NoList"/>
    <w:uiPriority w:val="99"/>
    <w:semiHidden/>
    <w:unhideWhenUsed/>
    <w:rsid w:val="00441502"/>
  </w:style>
  <w:style w:type="numbering" w:customStyle="1" w:styleId="NoList3191">
    <w:name w:val="No List3191"/>
    <w:next w:val="NoList"/>
    <w:uiPriority w:val="99"/>
    <w:semiHidden/>
    <w:unhideWhenUsed/>
    <w:rsid w:val="00441502"/>
  </w:style>
  <w:style w:type="table" w:customStyle="1" w:styleId="TableGrid2191">
    <w:name w:val="Table Grid2191"/>
    <w:basedOn w:val="TableNormal"/>
    <w:next w:val="TableGrid"/>
    <w:uiPriority w:val="59"/>
    <w:rsid w:val="004415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cumentMap">
    <w:name w:val="Document Map"/>
    <w:basedOn w:val="Normal"/>
    <w:link w:val="DocumentMapChar"/>
    <w:semiHidden/>
    <w:rsid w:val="00441502"/>
    <w:pPr>
      <w:shd w:val="clear" w:color="auto" w:fill="000080"/>
    </w:pPr>
    <w:rPr>
      <w:rFonts w:ascii="Tahoma" w:hAnsi="Tahoma" w:cs="Tahoma"/>
      <w:lang w:val="bg-BG" w:eastAsia="bg-BG"/>
    </w:rPr>
  </w:style>
  <w:style w:type="character" w:customStyle="1" w:styleId="DocumentMapChar">
    <w:name w:val="Document Map Char"/>
    <w:basedOn w:val="DefaultParagraphFont"/>
    <w:link w:val="DocumentMap"/>
    <w:semiHidden/>
    <w:rsid w:val="00441502"/>
    <w:rPr>
      <w:rFonts w:ascii="Tahoma" w:eastAsia="Times New Roman" w:hAnsi="Tahoma" w:cs="Tahoma"/>
      <w:sz w:val="24"/>
      <w:szCs w:val="24"/>
      <w:shd w:val="clear" w:color="auto" w:fill="000080"/>
      <w:lang w:val="bg-BG" w:eastAsia="bg-BG"/>
    </w:rPr>
  </w:style>
  <w:style w:type="character" w:customStyle="1" w:styleId="samedocreference1">
    <w:name w:val="samedocreference1"/>
    <w:rsid w:val="00441502"/>
    <w:rPr>
      <w:i w:val="0"/>
      <w:iCs w:val="0"/>
      <w:color w:val="8B0000"/>
      <w:u w:val="single"/>
    </w:rPr>
  </w:style>
  <w:style w:type="paragraph" w:customStyle="1" w:styleId="CharChar6">
    <w:name w:val="Char Знак Char Знак Знак Знак"/>
    <w:basedOn w:val="Normal"/>
    <w:rsid w:val="00441502"/>
    <w:pPr>
      <w:tabs>
        <w:tab w:val="left" w:pos="709"/>
      </w:tabs>
    </w:pPr>
    <w:rPr>
      <w:rFonts w:ascii="Tahoma" w:hAnsi="Tahoma"/>
      <w:lang w:val="pl-PL" w:eastAsia="pl-PL"/>
    </w:rPr>
  </w:style>
  <w:style w:type="paragraph" w:customStyle="1" w:styleId="EntRefer">
    <w:name w:val="EntRefer"/>
    <w:basedOn w:val="Normal"/>
    <w:rsid w:val="00441502"/>
    <w:rPr>
      <w:b/>
      <w:szCs w:val="20"/>
      <w:lang w:val="bg-BG"/>
    </w:rPr>
  </w:style>
  <w:style w:type="paragraph" w:customStyle="1" w:styleId="Bullet2">
    <w:name w:val="Bullet 2"/>
    <w:basedOn w:val="Normal"/>
    <w:rsid w:val="00441502"/>
    <w:pPr>
      <w:numPr>
        <w:numId w:val="28"/>
      </w:numPr>
      <w:spacing w:before="120" w:after="120"/>
      <w:jc w:val="both"/>
    </w:pPr>
    <w:rPr>
      <w:lang w:val="en-GB"/>
    </w:rPr>
  </w:style>
  <w:style w:type="paragraph" w:customStyle="1" w:styleId="TableParagraph">
    <w:name w:val="Table Paragraph"/>
    <w:basedOn w:val="Normal"/>
    <w:uiPriority w:val="1"/>
    <w:qFormat/>
    <w:rsid w:val="00441502"/>
    <w:pPr>
      <w:widowControl w:val="0"/>
      <w:autoSpaceDE w:val="0"/>
      <w:autoSpaceDN w:val="0"/>
    </w:pPr>
    <w:rPr>
      <w:lang w:val="bg-BG"/>
    </w:rPr>
  </w:style>
  <w:style w:type="table" w:customStyle="1" w:styleId="TableGrid48">
    <w:name w:val="Table Grid48"/>
    <w:basedOn w:val="TableNormal"/>
    <w:next w:val="TableGrid"/>
    <w:rsid w:val="00FA6136"/>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0">
    <w:name w:val="No List50"/>
    <w:next w:val="NoList"/>
    <w:uiPriority w:val="99"/>
    <w:semiHidden/>
    <w:unhideWhenUsed/>
    <w:rsid w:val="00FA6136"/>
  </w:style>
  <w:style w:type="numbering" w:customStyle="1" w:styleId="NoList130">
    <w:name w:val="No List130"/>
    <w:next w:val="NoList"/>
    <w:uiPriority w:val="99"/>
    <w:semiHidden/>
    <w:unhideWhenUsed/>
    <w:rsid w:val="00FA6136"/>
  </w:style>
  <w:style w:type="numbering" w:customStyle="1" w:styleId="NoList1119">
    <w:name w:val="No List1119"/>
    <w:next w:val="NoList"/>
    <w:uiPriority w:val="99"/>
    <w:semiHidden/>
    <w:rsid w:val="00FA6136"/>
  </w:style>
  <w:style w:type="table" w:customStyle="1" w:styleId="TableGrid49">
    <w:name w:val="Table Grid49"/>
    <w:basedOn w:val="TableNormal"/>
    <w:next w:val="TableGrid"/>
    <w:rsid w:val="00FA6136"/>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8">
    <w:name w:val="Table Grid128"/>
    <w:basedOn w:val="TableNormal"/>
    <w:next w:val="TableGrid"/>
    <w:rsid w:val="00FA6136"/>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0">
    <w:name w:val="No List11110"/>
    <w:next w:val="NoList"/>
    <w:uiPriority w:val="99"/>
    <w:semiHidden/>
    <w:unhideWhenUsed/>
    <w:rsid w:val="00FA6136"/>
  </w:style>
  <w:style w:type="numbering" w:customStyle="1" w:styleId="NoList229">
    <w:name w:val="No List229"/>
    <w:next w:val="NoList"/>
    <w:uiPriority w:val="99"/>
    <w:semiHidden/>
    <w:unhideWhenUsed/>
    <w:rsid w:val="00FA6136"/>
  </w:style>
  <w:style w:type="numbering" w:customStyle="1" w:styleId="NoList328">
    <w:name w:val="No List328"/>
    <w:next w:val="NoList"/>
    <w:semiHidden/>
    <w:unhideWhenUsed/>
    <w:rsid w:val="00FA6136"/>
  </w:style>
  <w:style w:type="table" w:customStyle="1" w:styleId="TableGrid1119">
    <w:name w:val="Table Grid1119"/>
    <w:basedOn w:val="TableNormal"/>
    <w:next w:val="TableGrid"/>
    <w:rsid w:val="00FA6136"/>
    <w:pPr>
      <w:spacing w:after="0" w:line="240" w:lineRule="auto"/>
      <w:jc w:val="both"/>
    </w:pPr>
    <w:rPr>
      <w:rFonts w:ascii="Calibri" w:eastAsia="Calibri" w:hAnsi="Calibri" w:cs="Times New Roman"/>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0">
    <w:name w:val="Table Grid220"/>
    <w:basedOn w:val="TableNormal"/>
    <w:next w:val="TableGrid"/>
    <w:rsid w:val="00FA6136"/>
    <w:pPr>
      <w:spacing w:after="0" w:line="240" w:lineRule="auto"/>
    </w:pPr>
    <w:rPr>
      <w:rFonts w:ascii="Verdana" w:eastAsia="Times New Roman" w:hAnsi="Verdana" w:cs="Times New Roman"/>
      <w:sz w:val="20"/>
      <w:szCs w:val="20"/>
      <w:lang w:val="bg-B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0">
    <w:name w:val="No List1210"/>
    <w:next w:val="NoList"/>
    <w:semiHidden/>
    <w:rsid w:val="00FA6136"/>
  </w:style>
  <w:style w:type="numbering" w:customStyle="1" w:styleId="NoList418">
    <w:name w:val="No List418"/>
    <w:next w:val="NoList"/>
    <w:uiPriority w:val="99"/>
    <w:semiHidden/>
    <w:unhideWhenUsed/>
    <w:rsid w:val="00FA6136"/>
  </w:style>
  <w:style w:type="numbering" w:customStyle="1" w:styleId="NoList138">
    <w:name w:val="No List138"/>
    <w:next w:val="NoList"/>
    <w:semiHidden/>
    <w:rsid w:val="00FA6136"/>
  </w:style>
  <w:style w:type="table" w:customStyle="1" w:styleId="TableGrid319">
    <w:name w:val="Table Grid319"/>
    <w:basedOn w:val="TableNormal"/>
    <w:next w:val="TableGrid"/>
    <w:uiPriority w:val="99"/>
    <w:rsid w:val="00FA6136"/>
    <w:pPr>
      <w:spacing w:after="0" w:line="240" w:lineRule="auto"/>
    </w:pPr>
    <w:rPr>
      <w:rFonts w:ascii="Times New Roman" w:eastAsia="Times New Roman" w:hAnsi="Times New Roman" w:cs="Times New Roman"/>
      <w:sz w:val="20"/>
      <w:szCs w:val="20"/>
      <w:lang w:val="bg-B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319">
    <w:name w:val="Table Web 319"/>
    <w:basedOn w:val="TableNormal"/>
    <w:next w:val="TableWeb3"/>
    <w:rsid w:val="00FA6136"/>
    <w:pPr>
      <w:spacing w:after="0" w:line="240" w:lineRule="auto"/>
    </w:pPr>
    <w:rPr>
      <w:rFonts w:ascii="Times New Roman" w:eastAsia="Times New Roman" w:hAnsi="Times New Roman" w:cs="Times New Roman"/>
      <w:sz w:val="20"/>
      <w:szCs w:val="20"/>
      <w:lang w:val="bg-BG" w:eastAsia="bg-BG"/>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129">
    <w:name w:val="Table Grid129"/>
    <w:basedOn w:val="TableNormal"/>
    <w:next w:val="TableGrid"/>
    <w:rsid w:val="00FA6136"/>
    <w:pPr>
      <w:spacing w:after="0" w:line="240" w:lineRule="auto"/>
    </w:pPr>
    <w:rPr>
      <w:rFonts w:ascii="Times New Roman" w:eastAsia="Times New Roman" w:hAnsi="Times New Roman" w:cs="Times New Roman"/>
      <w:sz w:val="20"/>
      <w:szCs w:val="20"/>
      <w:lang w:val="bg-B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18">
    <w:name w:val="No List2118"/>
    <w:next w:val="NoList"/>
    <w:uiPriority w:val="99"/>
    <w:semiHidden/>
    <w:unhideWhenUsed/>
    <w:rsid w:val="00FA6136"/>
  </w:style>
  <w:style w:type="table" w:customStyle="1" w:styleId="TableGrid2118">
    <w:name w:val="Table Grid2118"/>
    <w:basedOn w:val="TableNormal"/>
    <w:next w:val="TableGrid"/>
    <w:uiPriority w:val="99"/>
    <w:rsid w:val="00FA6136"/>
    <w:pPr>
      <w:spacing w:after="0" w:line="240" w:lineRule="auto"/>
    </w:pPr>
    <w:rPr>
      <w:rFonts w:ascii="Times New Roman" w:eastAsia="Times New Roman" w:hAnsi="Times New Roman" w:cs="Times New Roman"/>
      <w:sz w:val="20"/>
      <w:szCs w:val="20"/>
      <w:lang w:val="bg-B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3110">
    <w:name w:val="Table Web 3110"/>
    <w:basedOn w:val="TableNormal"/>
    <w:next w:val="TableWeb3"/>
    <w:uiPriority w:val="99"/>
    <w:rsid w:val="00FA6136"/>
    <w:pPr>
      <w:spacing w:after="0" w:line="240" w:lineRule="auto"/>
    </w:pPr>
    <w:rPr>
      <w:rFonts w:ascii="Times New Roman" w:eastAsia="Times New Roman" w:hAnsi="Times New Roman" w:cs="Times New Roman"/>
      <w:sz w:val="20"/>
      <w:szCs w:val="20"/>
      <w:lang w:val="bg-BG" w:eastAsia="bg-BG"/>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TableGrid11110">
    <w:name w:val="Table Grid11110"/>
    <w:uiPriority w:val="99"/>
    <w:rsid w:val="00FA6136"/>
    <w:pPr>
      <w:spacing w:after="0" w:line="240" w:lineRule="auto"/>
    </w:pPr>
    <w:rPr>
      <w:rFonts w:ascii="Times New Roman" w:eastAsia="Times New Roman" w:hAnsi="Times New Roman" w:cs="Times New Roman"/>
      <w:sz w:val="20"/>
      <w:szCs w:val="20"/>
      <w:lang w:val="bg-BG" w:eastAsia="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9">
    <w:name w:val="Table Grid2119"/>
    <w:uiPriority w:val="99"/>
    <w:rsid w:val="00FA6136"/>
    <w:pPr>
      <w:spacing w:after="0" w:line="240" w:lineRule="auto"/>
    </w:pPr>
    <w:rPr>
      <w:rFonts w:ascii="Calibri" w:eastAsia="Calibri" w:hAnsi="Calibri" w:cs="Times New Roman"/>
      <w:sz w:val="20"/>
      <w:szCs w:val="20"/>
      <w:lang w:val="bg-BG" w:eastAsia="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18">
    <w:name w:val="No List3118"/>
    <w:next w:val="NoList"/>
    <w:uiPriority w:val="99"/>
    <w:semiHidden/>
    <w:unhideWhenUsed/>
    <w:rsid w:val="00FA6136"/>
  </w:style>
  <w:style w:type="table" w:customStyle="1" w:styleId="TableGrid410">
    <w:name w:val="Table Grid410"/>
    <w:basedOn w:val="TableNormal"/>
    <w:next w:val="TableGrid"/>
    <w:uiPriority w:val="99"/>
    <w:rsid w:val="00FA6136"/>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328">
    <w:name w:val="Table Web 328"/>
    <w:basedOn w:val="TableNormal"/>
    <w:next w:val="TableWeb3"/>
    <w:uiPriority w:val="99"/>
    <w:rsid w:val="00FA6136"/>
    <w:pPr>
      <w:spacing w:after="0" w:line="240" w:lineRule="auto"/>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TableGrid228">
    <w:name w:val="Table Grid228"/>
    <w:uiPriority w:val="99"/>
    <w:rsid w:val="00FA6136"/>
    <w:pPr>
      <w:spacing w:after="0" w:line="240" w:lineRule="auto"/>
    </w:pPr>
    <w:rPr>
      <w:rFonts w:ascii="Calibri" w:eastAsia="Calibri" w:hAnsi="Calibri" w:cs="Times New Roman"/>
      <w:sz w:val="20"/>
      <w:szCs w:val="20"/>
      <w:lang w:val="bg-BG" w:eastAsia="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0">
    <w:name w:val="Table Grid3110"/>
    <w:uiPriority w:val="99"/>
    <w:rsid w:val="00FA6136"/>
    <w:pPr>
      <w:spacing w:after="0" w:line="240" w:lineRule="auto"/>
    </w:pPr>
    <w:rPr>
      <w:rFonts w:ascii="Times New Roman" w:eastAsia="Times New Roman" w:hAnsi="Times New Roman" w:cs="Times New Roman"/>
      <w:sz w:val="20"/>
      <w:szCs w:val="20"/>
      <w:lang w:val="bg-BG" w:eastAsia="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6">
    <w:name w:val="No List11116"/>
    <w:next w:val="NoList"/>
    <w:uiPriority w:val="99"/>
    <w:semiHidden/>
    <w:unhideWhenUsed/>
    <w:rsid w:val="00FA6136"/>
  </w:style>
  <w:style w:type="numbering" w:customStyle="1" w:styleId="NoList2119">
    <w:name w:val="No List2119"/>
    <w:next w:val="NoList"/>
    <w:uiPriority w:val="99"/>
    <w:semiHidden/>
    <w:unhideWhenUsed/>
    <w:rsid w:val="00FA6136"/>
  </w:style>
  <w:style w:type="numbering" w:customStyle="1" w:styleId="NoList3119">
    <w:name w:val="No List3119"/>
    <w:next w:val="NoList"/>
    <w:semiHidden/>
    <w:rsid w:val="00FA6136"/>
  </w:style>
  <w:style w:type="numbering" w:customStyle="1" w:styleId="NoList419">
    <w:name w:val="No List419"/>
    <w:next w:val="NoList"/>
    <w:uiPriority w:val="99"/>
    <w:semiHidden/>
    <w:unhideWhenUsed/>
    <w:rsid w:val="00FA6136"/>
  </w:style>
  <w:style w:type="table" w:customStyle="1" w:styleId="TableWeb3118">
    <w:name w:val="Table Web 3118"/>
    <w:basedOn w:val="TableNormal"/>
    <w:next w:val="TableWeb3"/>
    <w:uiPriority w:val="99"/>
    <w:rsid w:val="00FA6136"/>
    <w:pPr>
      <w:spacing w:after="0" w:line="240" w:lineRule="auto"/>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TableGrid58">
    <w:name w:val="Table Grid58"/>
    <w:basedOn w:val="TableNormal"/>
    <w:next w:val="TableGrid"/>
    <w:uiPriority w:val="59"/>
    <w:rsid w:val="00FA6136"/>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8">
    <w:name w:val="No List58"/>
    <w:next w:val="NoList"/>
    <w:uiPriority w:val="99"/>
    <w:semiHidden/>
    <w:unhideWhenUsed/>
    <w:rsid w:val="00FA6136"/>
  </w:style>
  <w:style w:type="numbering" w:customStyle="1" w:styleId="NoList148">
    <w:name w:val="No List148"/>
    <w:next w:val="NoList"/>
    <w:semiHidden/>
    <w:rsid w:val="00FA6136"/>
  </w:style>
  <w:style w:type="table" w:customStyle="1" w:styleId="TableGrid67">
    <w:name w:val="Table Grid67"/>
    <w:basedOn w:val="TableNormal"/>
    <w:next w:val="TableGrid"/>
    <w:rsid w:val="00FA6136"/>
    <w:pPr>
      <w:spacing w:after="0" w:line="240" w:lineRule="auto"/>
    </w:pPr>
    <w:rPr>
      <w:rFonts w:ascii="Times New Roman" w:eastAsia="Times New Roman" w:hAnsi="Times New Roman" w:cs="Times New Roman"/>
      <w:sz w:val="20"/>
      <w:szCs w:val="20"/>
      <w:lang w:val="bg-B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337">
    <w:name w:val="Table Web 337"/>
    <w:basedOn w:val="TableNormal"/>
    <w:next w:val="TableWeb3"/>
    <w:rsid w:val="00FA6136"/>
    <w:pPr>
      <w:spacing w:after="0" w:line="240" w:lineRule="auto"/>
    </w:pPr>
    <w:rPr>
      <w:rFonts w:ascii="Times New Roman" w:eastAsia="Times New Roman" w:hAnsi="Times New Roman" w:cs="Times New Roman"/>
      <w:sz w:val="20"/>
      <w:szCs w:val="20"/>
      <w:lang w:val="bg-BG" w:eastAsia="bg-BG"/>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137">
    <w:name w:val="Table Grid137"/>
    <w:basedOn w:val="TableNormal"/>
    <w:next w:val="TableGrid"/>
    <w:rsid w:val="00FA6136"/>
    <w:pPr>
      <w:spacing w:after="0" w:line="240" w:lineRule="auto"/>
    </w:pPr>
    <w:rPr>
      <w:rFonts w:ascii="Times New Roman" w:eastAsia="Times New Roman" w:hAnsi="Times New Roman" w:cs="Times New Roman"/>
      <w:sz w:val="20"/>
      <w:szCs w:val="20"/>
      <w:lang w:val="bg-B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10">
    <w:name w:val="No List2210"/>
    <w:next w:val="NoList"/>
    <w:uiPriority w:val="99"/>
    <w:semiHidden/>
    <w:unhideWhenUsed/>
    <w:rsid w:val="00FA6136"/>
  </w:style>
  <w:style w:type="table" w:customStyle="1" w:styleId="TableGrid237">
    <w:name w:val="Table Grid237"/>
    <w:basedOn w:val="TableNormal"/>
    <w:next w:val="TableGrid"/>
    <w:uiPriority w:val="99"/>
    <w:rsid w:val="00FA6136"/>
    <w:pPr>
      <w:spacing w:after="0" w:line="240" w:lineRule="auto"/>
    </w:pPr>
    <w:rPr>
      <w:rFonts w:ascii="Times New Roman" w:eastAsia="Times New Roman" w:hAnsi="Times New Roman" w:cs="Times New Roman"/>
      <w:sz w:val="20"/>
      <w:szCs w:val="20"/>
      <w:lang w:val="bg-B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3127">
    <w:name w:val="Table Web 3127"/>
    <w:basedOn w:val="TableNormal"/>
    <w:next w:val="TableWeb3"/>
    <w:uiPriority w:val="99"/>
    <w:rsid w:val="00FA6136"/>
    <w:pPr>
      <w:spacing w:after="0" w:line="240" w:lineRule="auto"/>
    </w:pPr>
    <w:rPr>
      <w:rFonts w:ascii="Times New Roman" w:eastAsia="Times New Roman" w:hAnsi="Times New Roman" w:cs="Times New Roman"/>
      <w:sz w:val="20"/>
      <w:szCs w:val="20"/>
      <w:lang w:val="bg-BG" w:eastAsia="bg-BG"/>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TableGrid1127">
    <w:name w:val="Table Grid1127"/>
    <w:uiPriority w:val="99"/>
    <w:rsid w:val="00FA6136"/>
    <w:pPr>
      <w:spacing w:after="0" w:line="240" w:lineRule="auto"/>
    </w:pPr>
    <w:rPr>
      <w:rFonts w:ascii="Times New Roman" w:eastAsia="Times New Roman" w:hAnsi="Times New Roman" w:cs="Times New Roman"/>
      <w:sz w:val="20"/>
      <w:szCs w:val="20"/>
      <w:lang w:val="bg-BG" w:eastAsia="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7">
    <w:name w:val="Table Grid2127"/>
    <w:uiPriority w:val="99"/>
    <w:rsid w:val="00FA6136"/>
    <w:pPr>
      <w:spacing w:after="0" w:line="240" w:lineRule="auto"/>
    </w:pPr>
    <w:rPr>
      <w:rFonts w:ascii="Calibri" w:eastAsia="Calibri" w:hAnsi="Calibri" w:cs="Times New Roman"/>
      <w:sz w:val="20"/>
      <w:szCs w:val="20"/>
      <w:lang w:val="bg-BG" w:eastAsia="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7">
    <w:name w:val="Table Grid327"/>
    <w:uiPriority w:val="99"/>
    <w:rsid w:val="00FA6136"/>
    <w:pPr>
      <w:spacing w:after="0" w:line="240" w:lineRule="auto"/>
    </w:pPr>
    <w:rPr>
      <w:rFonts w:ascii="Times New Roman" w:eastAsia="Times New Roman" w:hAnsi="Times New Roman" w:cs="Times New Roman"/>
      <w:sz w:val="20"/>
      <w:szCs w:val="20"/>
      <w:lang w:val="bg-BG" w:eastAsia="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9">
    <w:name w:val="No List329"/>
    <w:next w:val="NoList"/>
    <w:uiPriority w:val="99"/>
    <w:semiHidden/>
    <w:unhideWhenUsed/>
    <w:rsid w:val="00FA6136"/>
  </w:style>
  <w:style w:type="table" w:customStyle="1" w:styleId="TableGrid417">
    <w:name w:val="Table Grid417"/>
    <w:basedOn w:val="TableNormal"/>
    <w:next w:val="TableGrid"/>
    <w:uiPriority w:val="99"/>
    <w:rsid w:val="00FA6136"/>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3217">
    <w:name w:val="Table Web 3217"/>
    <w:basedOn w:val="TableNormal"/>
    <w:next w:val="TableWeb3"/>
    <w:uiPriority w:val="99"/>
    <w:rsid w:val="00FA6136"/>
    <w:pPr>
      <w:spacing w:after="0" w:line="240" w:lineRule="auto"/>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TableGrid1217">
    <w:name w:val="Table Grid1217"/>
    <w:rsid w:val="00FA6136"/>
    <w:pPr>
      <w:spacing w:after="0" w:line="240" w:lineRule="auto"/>
    </w:pPr>
    <w:rPr>
      <w:rFonts w:ascii="Times New Roman" w:eastAsia="Times New Roman" w:hAnsi="Times New Roman" w:cs="Times New Roman"/>
      <w:sz w:val="20"/>
      <w:szCs w:val="20"/>
      <w:lang w:val="bg-BG" w:eastAsia="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7">
    <w:name w:val="Table Grid2217"/>
    <w:uiPriority w:val="99"/>
    <w:rsid w:val="00FA6136"/>
    <w:pPr>
      <w:spacing w:after="0" w:line="240" w:lineRule="auto"/>
    </w:pPr>
    <w:rPr>
      <w:rFonts w:ascii="Calibri" w:eastAsia="Calibri" w:hAnsi="Calibri" w:cs="Times New Roman"/>
      <w:sz w:val="20"/>
      <w:szCs w:val="20"/>
      <w:lang w:val="bg-BG" w:eastAsia="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7">
    <w:name w:val="Table Grid3117"/>
    <w:uiPriority w:val="99"/>
    <w:rsid w:val="00FA6136"/>
    <w:pPr>
      <w:spacing w:after="0" w:line="240" w:lineRule="auto"/>
    </w:pPr>
    <w:rPr>
      <w:rFonts w:ascii="Times New Roman" w:eastAsia="Times New Roman" w:hAnsi="Times New Roman" w:cs="Times New Roman"/>
      <w:sz w:val="20"/>
      <w:szCs w:val="20"/>
      <w:lang w:val="bg-BG" w:eastAsia="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8">
    <w:name w:val="No List1128"/>
    <w:next w:val="NoList"/>
    <w:uiPriority w:val="99"/>
    <w:semiHidden/>
    <w:unhideWhenUsed/>
    <w:rsid w:val="00FA6136"/>
  </w:style>
  <w:style w:type="numbering" w:customStyle="1" w:styleId="NoList2128">
    <w:name w:val="No List2128"/>
    <w:next w:val="NoList"/>
    <w:uiPriority w:val="99"/>
    <w:semiHidden/>
    <w:unhideWhenUsed/>
    <w:rsid w:val="00FA6136"/>
  </w:style>
  <w:style w:type="numbering" w:customStyle="1" w:styleId="NoList3128">
    <w:name w:val="No List3128"/>
    <w:next w:val="NoList"/>
    <w:semiHidden/>
    <w:rsid w:val="00FA6136"/>
  </w:style>
  <w:style w:type="numbering" w:customStyle="1" w:styleId="NoList428">
    <w:name w:val="No List428"/>
    <w:next w:val="NoList"/>
    <w:uiPriority w:val="99"/>
    <w:semiHidden/>
    <w:unhideWhenUsed/>
    <w:rsid w:val="00FA6136"/>
  </w:style>
  <w:style w:type="table" w:customStyle="1" w:styleId="TableWeb31117">
    <w:name w:val="Table Web 31117"/>
    <w:basedOn w:val="TableNormal"/>
    <w:next w:val="TableWeb3"/>
    <w:uiPriority w:val="99"/>
    <w:rsid w:val="00FA6136"/>
    <w:pPr>
      <w:spacing w:after="0" w:line="240" w:lineRule="auto"/>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TableGrid11117">
    <w:name w:val="Table Grid11117"/>
    <w:uiPriority w:val="99"/>
    <w:rsid w:val="00FA6136"/>
    <w:pPr>
      <w:spacing w:after="0" w:line="240" w:lineRule="auto"/>
    </w:pPr>
    <w:rPr>
      <w:rFonts w:ascii="Times New Roman" w:eastAsia="Times New Roman" w:hAnsi="Times New Roman" w:cs="Times New Roman"/>
      <w:sz w:val="20"/>
      <w:szCs w:val="20"/>
      <w:lang w:val="bg-BG" w:eastAsia="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7">
    <w:name w:val="Table Grid21117"/>
    <w:uiPriority w:val="99"/>
    <w:rsid w:val="00FA6136"/>
    <w:pPr>
      <w:spacing w:after="0" w:line="240" w:lineRule="auto"/>
    </w:pPr>
    <w:rPr>
      <w:rFonts w:ascii="Calibri" w:eastAsia="Calibri" w:hAnsi="Calibri" w:cs="Times New Roman"/>
      <w:sz w:val="20"/>
      <w:szCs w:val="20"/>
      <w:lang w:val="bg-BG" w:eastAsia="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7">
    <w:name w:val="Table Grid517"/>
    <w:basedOn w:val="TableNormal"/>
    <w:next w:val="TableGrid"/>
    <w:uiPriority w:val="59"/>
    <w:rsid w:val="00FA6136"/>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7">
    <w:name w:val="Table Grid77"/>
    <w:basedOn w:val="TableNormal"/>
    <w:next w:val="TableGrid"/>
    <w:rsid w:val="00FA6136"/>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347">
    <w:name w:val="Table Web 347"/>
    <w:basedOn w:val="TableNormal"/>
    <w:next w:val="TableWeb3"/>
    <w:uiPriority w:val="99"/>
    <w:rsid w:val="00FA6136"/>
    <w:pPr>
      <w:spacing w:after="0" w:line="240" w:lineRule="auto"/>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TableGrid247">
    <w:name w:val="Table Grid247"/>
    <w:uiPriority w:val="99"/>
    <w:rsid w:val="00FA6136"/>
    <w:pPr>
      <w:spacing w:after="0" w:line="240" w:lineRule="auto"/>
    </w:pPr>
    <w:rPr>
      <w:rFonts w:ascii="Calibri" w:eastAsia="Calibri" w:hAnsi="Calibri" w:cs="Times New Roman"/>
      <w:sz w:val="20"/>
      <w:szCs w:val="20"/>
      <w:lang w:val="bg-BG" w:eastAsia="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7">
    <w:name w:val="Table Grid1137"/>
    <w:uiPriority w:val="99"/>
    <w:rsid w:val="00FA6136"/>
    <w:pPr>
      <w:spacing w:after="0" w:line="240" w:lineRule="auto"/>
    </w:pPr>
    <w:rPr>
      <w:rFonts w:ascii="Times New Roman" w:eastAsia="Times New Roman" w:hAnsi="Times New Roman" w:cs="Times New Roman"/>
      <w:sz w:val="20"/>
      <w:szCs w:val="20"/>
      <w:lang w:val="bg-BG" w:eastAsia="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7">
    <w:name w:val="Table Grid2137"/>
    <w:uiPriority w:val="99"/>
    <w:rsid w:val="00FA6136"/>
    <w:pPr>
      <w:spacing w:after="0" w:line="240" w:lineRule="auto"/>
    </w:pPr>
    <w:rPr>
      <w:rFonts w:ascii="Calibri" w:eastAsia="Calibri" w:hAnsi="Calibri" w:cs="Times New Roman"/>
      <w:sz w:val="20"/>
      <w:szCs w:val="20"/>
      <w:lang w:val="bg-BG" w:eastAsia="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9">
    <w:name w:val="No List59"/>
    <w:next w:val="NoList"/>
    <w:uiPriority w:val="99"/>
    <w:semiHidden/>
    <w:unhideWhenUsed/>
    <w:rsid w:val="00FA6136"/>
  </w:style>
  <w:style w:type="numbering" w:customStyle="1" w:styleId="NoList139">
    <w:name w:val="No List139"/>
    <w:next w:val="NoList"/>
    <w:uiPriority w:val="99"/>
    <w:semiHidden/>
    <w:unhideWhenUsed/>
    <w:rsid w:val="00FA6136"/>
  </w:style>
  <w:style w:type="numbering" w:customStyle="1" w:styleId="NoList1120">
    <w:name w:val="No List1120"/>
    <w:next w:val="NoList"/>
    <w:uiPriority w:val="99"/>
    <w:semiHidden/>
    <w:rsid w:val="00FA6136"/>
  </w:style>
  <w:style w:type="table" w:customStyle="1" w:styleId="TableGrid50">
    <w:name w:val="Table Grid50"/>
    <w:basedOn w:val="TableNormal"/>
    <w:next w:val="TableGrid"/>
    <w:rsid w:val="00FA6136"/>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0">
    <w:name w:val="Table Grid130"/>
    <w:basedOn w:val="TableNormal"/>
    <w:next w:val="TableGrid"/>
    <w:rsid w:val="00FA6136"/>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7">
    <w:name w:val="No List11117"/>
    <w:next w:val="NoList"/>
    <w:uiPriority w:val="99"/>
    <w:semiHidden/>
    <w:unhideWhenUsed/>
    <w:rsid w:val="00FA6136"/>
  </w:style>
  <w:style w:type="numbering" w:customStyle="1" w:styleId="NoList230">
    <w:name w:val="No List230"/>
    <w:next w:val="NoList"/>
    <w:uiPriority w:val="99"/>
    <w:semiHidden/>
    <w:unhideWhenUsed/>
    <w:rsid w:val="00FA6136"/>
  </w:style>
  <w:style w:type="numbering" w:customStyle="1" w:styleId="NoList330">
    <w:name w:val="No List330"/>
    <w:next w:val="NoList"/>
    <w:semiHidden/>
    <w:unhideWhenUsed/>
    <w:rsid w:val="00FA6136"/>
  </w:style>
  <w:style w:type="table" w:customStyle="1" w:styleId="TableGrid1120">
    <w:name w:val="Table Grid1120"/>
    <w:basedOn w:val="TableNormal"/>
    <w:next w:val="TableGrid"/>
    <w:rsid w:val="00FA6136"/>
    <w:pPr>
      <w:spacing w:after="0" w:line="240" w:lineRule="auto"/>
      <w:jc w:val="both"/>
    </w:pPr>
    <w:rPr>
      <w:rFonts w:ascii="Calibri" w:eastAsia="Calibri" w:hAnsi="Calibri" w:cs="Times New Roman"/>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9">
    <w:name w:val="Table Grid229"/>
    <w:basedOn w:val="TableNormal"/>
    <w:next w:val="TableGrid"/>
    <w:rsid w:val="00FA6136"/>
    <w:pPr>
      <w:spacing w:after="0" w:line="240" w:lineRule="auto"/>
    </w:pPr>
    <w:rPr>
      <w:rFonts w:ascii="Verdana" w:eastAsia="Times New Roman" w:hAnsi="Verdana" w:cs="Times New Roman"/>
      <w:sz w:val="20"/>
      <w:szCs w:val="20"/>
      <w:lang w:val="bg-B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4">
    <w:name w:val="No List1214"/>
    <w:next w:val="NoList"/>
    <w:semiHidden/>
    <w:rsid w:val="00FA6136"/>
  </w:style>
  <w:style w:type="numbering" w:customStyle="1" w:styleId="NoList420">
    <w:name w:val="No List420"/>
    <w:next w:val="NoList"/>
    <w:uiPriority w:val="99"/>
    <w:semiHidden/>
    <w:unhideWhenUsed/>
    <w:rsid w:val="00FA6136"/>
  </w:style>
  <w:style w:type="numbering" w:customStyle="1" w:styleId="NoList1310">
    <w:name w:val="No List1310"/>
    <w:next w:val="NoList"/>
    <w:semiHidden/>
    <w:rsid w:val="00FA6136"/>
  </w:style>
  <w:style w:type="table" w:customStyle="1" w:styleId="TableGrid320">
    <w:name w:val="Table Grid320"/>
    <w:basedOn w:val="TableNormal"/>
    <w:next w:val="TableGrid"/>
    <w:uiPriority w:val="99"/>
    <w:rsid w:val="00FA6136"/>
    <w:pPr>
      <w:spacing w:after="0" w:line="240" w:lineRule="auto"/>
    </w:pPr>
    <w:rPr>
      <w:rFonts w:ascii="Times New Roman" w:eastAsia="Times New Roman" w:hAnsi="Times New Roman" w:cs="Times New Roman"/>
      <w:sz w:val="20"/>
      <w:szCs w:val="20"/>
      <w:lang w:val="bg-B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320">
    <w:name w:val="Table Web 320"/>
    <w:basedOn w:val="TableNormal"/>
    <w:next w:val="TableWeb3"/>
    <w:rsid w:val="00FA6136"/>
    <w:pPr>
      <w:spacing w:after="0" w:line="240" w:lineRule="auto"/>
    </w:pPr>
    <w:rPr>
      <w:rFonts w:ascii="Times New Roman" w:eastAsia="Times New Roman" w:hAnsi="Times New Roman" w:cs="Times New Roman"/>
      <w:sz w:val="20"/>
      <w:szCs w:val="20"/>
      <w:lang w:val="bg-BG" w:eastAsia="bg-BG"/>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1210">
    <w:name w:val="Table Grid1210"/>
    <w:basedOn w:val="TableNormal"/>
    <w:next w:val="TableGrid"/>
    <w:rsid w:val="00FA6136"/>
    <w:pPr>
      <w:spacing w:after="0" w:line="240" w:lineRule="auto"/>
    </w:pPr>
    <w:rPr>
      <w:rFonts w:ascii="Times New Roman" w:eastAsia="Times New Roman" w:hAnsi="Times New Roman" w:cs="Times New Roman"/>
      <w:sz w:val="20"/>
      <w:szCs w:val="20"/>
      <w:lang w:val="bg-B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20">
    <w:name w:val="No List2120"/>
    <w:next w:val="NoList"/>
    <w:uiPriority w:val="99"/>
    <w:semiHidden/>
    <w:unhideWhenUsed/>
    <w:rsid w:val="00FA6136"/>
  </w:style>
  <w:style w:type="table" w:customStyle="1" w:styleId="TableGrid2120">
    <w:name w:val="Table Grid2120"/>
    <w:basedOn w:val="TableNormal"/>
    <w:next w:val="TableGrid"/>
    <w:uiPriority w:val="99"/>
    <w:rsid w:val="00FA6136"/>
    <w:pPr>
      <w:spacing w:after="0" w:line="240" w:lineRule="auto"/>
    </w:pPr>
    <w:rPr>
      <w:rFonts w:ascii="Times New Roman" w:eastAsia="Times New Roman" w:hAnsi="Times New Roman" w:cs="Times New Roman"/>
      <w:sz w:val="20"/>
      <w:szCs w:val="20"/>
      <w:lang w:val="bg-B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3119">
    <w:name w:val="Table Web 3119"/>
    <w:basedOn w:val="TableNormal"/>
    <w:next w:val="TableWeb3"/>
    <w:uiPriority w:val="99"/>
    <w:rsid w:val="00FA6136"/>
    <w:pPr>
      <w:spacing w:after="0" w:line="240" w:lineRule="auto"/>
    </w:pPr>
    <w:rPr>
      <w:rFonts w:ascii="Times New Roman" w:eastAsia="Times New Roman" w:hAnsi="Times New Roman" w:cs="Times New Roman"/>
      <w:sz w:val="20"/>
      <w:szCs w:val="20"/>
      <w:lang w:val="bg-BG" w:eastAsia="bg-BG"/>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TableGrid11118">
    <w:name w:val="Table Grid11118"/>
    <w:uiPriority w:val="99"/>
    <w:rsid w:val="00FA6136"/>
    <w:pPr>
      <w:spacing w:after="0" w:line="240" w:lineRule="auto"/>
    </w:pPr>
    <w:rPr>
      <w:rFonts w:ascii="Times New Roman" w:eastAsia="Times New Roman" w:hAnsi="Times New Roman" w:cs="Times New Roman"/>
      <w:sz w:val="20"/>
      <w:szCs w:val="20"/>
      <w:lang w:val="bg-BG" w:eastAsia="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0">
    <w:name w:val="Table Grid21110"/>
    <w:uiPriority w:val="99"/>
    <w:rsid w:val="00FA6136"/>
    <w:pPr>
      <w:spacing w:after="0" w:line="240" w:lineRule="auto"/>
    </w:pPr>
    <w:rPr>
      <w:rFonts w:ascii="Calibri" w:eastAsia="Calibri" w:hAnsi="Calibri" w:cs="Times New Roman"/>
      <w:sz w:val="20"/>
      <w:szCs w:val="20"/>
      <w:lang w:val="bg-BG" w:eastAsia="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20">
    <w:name w:val="No List3120"/>
    <w:next w:val="NoList"/>
    <w:uiPriority w:val="99"/>
    <w:semiHidden/>
    <w:unhideWhenUsed/>
    <w:rsid w:val="00FA6136"/>
  </w:style>
  <w:style w:type="table" w:customStyle="1" w:styleId="TableGrid418">
    <w:name w:val="Table Grid418"/>
    <w:basedOn w:val="TableNormal"/>
    <w:next w:val="TableGrid"/>
    <w:uiPriority w:val="99"/>
    <w:rsid w:val="00FA6136"/>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329">
    <w:name w:val="Table Web 329"/>
    <w:basedOn w:val="TableNormal"/>
    <w:next w:val="TableWeb3"/>
    <w:uiPriority w:val="99"/>
    <w:rsid w:val="00FA6136"/>
    <w:pPr>
      <w:spacing w:after="0" w:line="240" w:lineRule="auto"/>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TableGrid2210">
    <w:name w:val="Table Grid2210"/>
    <w:uiPriority w:val="99"/>
    <w:rsid w:val="00FA6136"/>
    <w:pPr>
      <w:spacing w:after="0" w:line="240" w:lineRule="auto"/>
    </w:pPr>
    <w:rPr>
      <w:rFonts w:ascii="Calibri" w:eastAsia="Calibri" w:hAnsi="Calibri" w:cs="Times New Roman"/>
      <w:sz w:val="20"/>
      <w:szCs w:val="20"/>
      <w:lang w:val="bg-BG" w:eastAsia="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8">
    <w:name w:val="Table Grid3118"/>
    <w:uiPriority w:val="99"/>
    <w:rsid w:val="00FA6136"/>
    <w:pPr>
      <w:spacing w:after="0" w:line="240" w:lineRule="auto"/>
    </w:pPr>
    <w:rPr>
      <w:rFonts w:ascii="Times New Roman" w:eastAsia="Times New Roman" w:hAnsi="Times New Roman" w:cs="Times New Roman"/>
      <w:sz w:val="20"/>
      <w:szCs w:val="20"/>
      <w:lang w:val="bg-BG" w:eastAsia="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8">
    <w:name w:val="No List11118"/>
    <w:next w:val="NoList"/>
    <w:uiPriority w:val="99"/>
    <w:semiHidden/>
    <w:unhideWhenUsed/>
    <w:rsid w:val="00FA6136"/>
  </w:style>
  <w:style w:type="numbering" w:customStyle="1" w:styleId="NoList21110">
    <w:name w:val="No List21110"/>
    <w:next w:val="NoList"/>
    <w:uiPriority w:val="99"/>
    <w:semiHidden/>
    <w:unhideWhenUsed/>
    <w:rsid w:val="00FA6136"/>
  </w:style>
  <w:style w:type="numbering" w:customStyle="1" w:styleId="NoList31110">
    <w:name w:val="No List31110"/>
    <w:next w:val="NoList"/>
    <w:semiHidden/>
    <w:rsid w:val="00FA6136"/>
  </w:style>
  <w:style w:type="numbering" w:customStyle="1" w:styleId="NoList4110">
    <w:name w:val="No List4110"/>
    <w:next w:val="NoList"/>
    <w:uiPriority w:val="99"/>
    <w:semiHidden/>
    <w:unhideWhenUsed/>
    <w:rsid w:val="00FA6136"/>
  </w:style>
  <w:style w:type="table" w:customStyle="1" w:styleId="TableWeb31110">
    <w:name w:val="Table Web 31110"/>
    <w:basedOn w:val="TableNormal"/>
    <w:next w:val="TableWeb3"/>
    <w:uiPriority w:val="99"/>
    <w:rsid w:val="00FA6136"/>
    <w:pPr>
      <w:spacing w:after="0" w:line="240" w:lineRule="auto"/>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TableGrid59">
    <w:name w:val="Table Grid59"/>
    <w:basedOn w:val="TableNormal"/>
    <w:next w:val="TableGrid"/>
    <w:uiPriority w:val="59"/>
    <w:rsid w:val="00FA6136"/>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0">
    <w:name w:val="No List510"/>
    <w:next w:val="NoList"/>
    <w:uiPriority w:val="99"/>
    <w:semiHidden/>
    <w:unhideWhenUsed/>
    <w:rsid w:val="00FA6136"/>
  </w:style>
  <w:style w:type="numbering" w:customStyle="1" w:styleId="NoList149">
    <w:name w:val="No List149"/>
    <w:next w:val="NoList"/>
    <w:semiHidden/>
    <w:rsid w:val="00FA6136"/>
  </w:style>
  <w:style w:type="table" w:customStyle="1" w:styleId="TableGrid68">
    <w:name w:val="Table Grid68"/>
    <w:basedOn w:val="TableNormal"/>
    <w:next w:val="TableGrid"/>
    <w:rsid w:val="00FA6136"/>
    <w:pPr>
      <w:spacing w:after="0" w:line="240" w:lineRule="auto"/>
    </w:pPr>
    <w:rPr>
      <w:rFonts w:ascii="Times New Roman" w:eastAsia="Times New Roman" w:hAnsi="Times New Roman" w:cs="Times New Roman"/>
      <w:sz w:val="20"/>
      <w:szCs w:val="20"/>
      <w:lang w:val="bg-B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338">
    <w:name w:val="Table Web 338"/>
    <w:basedOn w:val="TableNormal"/>
    <w:next w:val="TableWeb3"/>
    <w:rsid w:val="00FA6136"/>
    <w:pPr>
      <w:spacing w:after="0" w:line="240" w:lineRule="auto"/>
    </w:pPr>
    <w:rPr>
      <w:rFonts w:ascii="Times New Roman" w:eastAsia="Times New Roman" w:hAnsi="Times New Roman" w:cs="Times New Roman"/>
      <w:sz w:val="20"/>
      <w:szCs w:val="20"/>
      <w:lang w:val="bg-BG" w:eastAsia="bg-BG"/>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138">
    <w:name w:val="Table Grid138"/>
    <w:basedOn w:val="TableNormal"/>
    <w:next w:val="TableGrid"/>
    <w:rsid w:val="00FA6136"/>
    <w:pPr>
      <w:spacing w:after="0" w:line="240" w:lineRule="auto"/>
    </w:pPr>
    <w:rPr>
      <w:rFonts w:ascii="Times New Roman" w:eastAsia="Times New Roman" w:hAnsi="Times New Roman" w:cs="Times New Roman"/>
      <w:sz w:val="20"/>
      <w:szCs w:val="20"/>
      <w:lang w:val="bg-B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14">
    <w:name w:val="No List2214"/>
    <w:next w:val="NoList"/>
    <w:uiPriority w:val="99"/>
    <w:semiHidden/>
    <w:unhideWhenUsed/>
    <w:rsid w:val="00FA6136"/>
  </w:style>
  <w:style w:type="table" w:customStyle="1" w:styleId="TableGrid238">
    <w:name w:val="Table Grid238"/>
    <w:basedOn w:val="TableNormal"/>
    <w:next w:val="TableGrid"/>
    <w:uiPriority w:val="99"/>
    <w:rsid w:val="00FA6136"/>
    <w:pPr>
      <w:spacing w:after="0" w:line="240" w:lineRule="auto"/>
    </w:pPr>
    <w:rPr>
      <w:rFonts w:ascii="Times New Roman" w:eastAsia="Times New Roman" w:hAnsi="Times New Roman" w:cs="Times New Roman"/>
      <w:sz w:val="20"/>
      <w:szCs w:val="20"/>
      <w:lang w:val="bg-B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3128">
    <w:name w:val="Table Web 3128"/>
    <w:basedOn w:val="TableNormal"/>
    <w:next w:val="TableWeb3"/>
    <w:uiPriority w:val="99"/>
    <w:rsid w:val="00FA6136"/>
    <w:pPr>
      <w:spacing w:after="0" w:line="240" w:lineRule="auto"/>
    </w:pPr>
    <w:rPr>
      <w:rFonts w:ascii="Times New Roman" w:eastAsia="Times New Roman" w:hAnsi="Times New Roman" w:cs="Times New Roman"/>
      <w:sz w:val="20"/>
      <w:szCs w:val="20"/>
      <w:lang w:val="bg-BG" w:eastAsia="bg-BG"/>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TableGrid1128">
    <w:name w:val="Table Grid1128"/>
    <w:uiPriority w:val="99"/>
    <w:rsid w:val="00FA6136"/>
    <w:pPr>
      <w:spacing w:after="0" w:line="240" w:lineRule="auto"/>
    </w:pPr>
    <w:rPr>
      <w:rFonts w:ascii="Times New Roman" w:eastAsia="Times New Roman" w:hAnsi="Times New Roman" w:cs="Times New Roman"/>
      <w:sz w:val="20"/>
      <w:szCs w:val="20"/>
      <w:lang w:val="bg-BG" w:eastAsia="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8">
    <w:name w:val="Table Grid2128"/>
    <w:uiPriority w:val="99"/>
    <w:rsid w:val="00FA6136"/>
    <w:pPr>
      <w:spacing w:after="0" w:line="240" w:lineRule="auto"/>
    </w:pPr>
    <w:rPr>
      <w:rFonts w:ascii="Calibri" w:eastAsia="Calibri" w:hAnsi="Calibri" w:cs="Times New Roman"/>
      <w:sz w:val="20"/>
      <w:szCs w:val="20"/>
      <w:lang w:val="bg-BG" w:eastAsia="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8">
    <w:name w:val="Table Grid328"/>
    <w:uiPriority w:val="99"/>
    <w:rsid w:val="00FA6136"/>
    <w:pPr>
      <w:spacing w:after="0" w:line="240" w:lineRule="auto"/>
    </w:pPr>
    <w:rPr>
      <w:rFonts w:ascii="Times New Roman" w:eastAsia="Times New Roman" w:hAnsi="Times New Roman" w:cs="Times New Roman"/>
      <w:sz w:val="20"/>
      <w:szCs w:val="20"/>
      <w:lang w:val="bg-BG" w:eastAsia="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10">
    <w:name w:val="No List3210"/>
    <w:next w:val="NoList"/>
    <w:uiPriority w:val="99"/>
    <w:semiHidden/>
    <w:unhideWhenUsed/>
    <w:rsid w:val="00FA6136"/>
  </w:style>
  <w:style w:type="table" w:customStyle="1" w:styleId="TableGrid419">
    <w:name w:val="Table Grid419"/>
    <w:basedOn w:val="TableNormal"/>
    <w:next w:val="TableGrid"/>
    <w:uiPriority w:val="99"/>
    <w:rsid w:val="00FA6136"/>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3218">
    <w:name w:val="Table Web 3218"/>
    <w:basedOn w:val="TableNormal"/>
    <w:next w:val="TableWeb3"/>
    <w:uiPriority w:val="99"/>
    <w:rsid w:val="00FA6136"/>
    <w:pPr>
      <w:spacing w:after="0" w:line="240" w:lineRule="auto"/>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TableGrid1218">
    <w:name w:val="Table Grid1218"/>
    <w:rsid w:val="00FA6136"/>
    <w:pPr>
      <w:spacing w:after="0" w:line="240" w:lineRule="auto"/>
    </w:pPr>
    <w:rPr>
      <w:rFonts w:ascii="Times New Roman" w:eastAsia="Times New Roman" w:hAnsi="Times New Roman" w:cs="Times New Roman"/>
      <w:sz w:val="20"/>
      <w:szCs w:val="20"/>
      <w:lang w:val="bg-BG" w:eastAsia="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8">
    <w:name w:val="Table Grid2218"/>
    <w:uiPriority w:val="99"/>
    <w:rsid w:val="00FA6136"/>
    <w:pPr>
      <w:spacing w:after="0" w:line="240" w:lineRule="auto"/>
    </w:pPr>
    <w:rPr>
      <w:rFonts w:ascii="Calibri" w:eastAsia="Calibri" w:hAnsi="Calibri" w:cs="Times New Roman"/>
      <w:sz w:val="20"/>
      <w:szCs w:val="20"/>
      <w:lang w:val="bg-BG" w:eastAsia="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9">
    <w:name w:val="Table Grid3119"/>
    <w:uiPriority w:val="99"/>
    <w:rsid w:val="00FA6136"/>
    <w:pPr>
      <w:spacing w:after="0" w:line="240" w:lineRule="auto"/>
    </w:pPr>
    <w:rPr>
      <w:rFonts w:ascii="Times New Roman" w:eastAsia="Times New Roman" w:hAnsi="Times New Roman" w:cs="Times New Roman"/>
      <w:sz w:val="20"/>
      <w:szCs w:val="20"/>
      <w:lang w:val="bg-BG" w:eastAsia="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9">
    <w:name w:val="No List1129"/>
    <w:next w:val="NoList"/>
    <w:uiPriority w:val="99"/>
    <w:semiHidden/>
    <w:unhideWhenUsed/>
    <w:rsid w:val="00FA6136"/>
  </w:style>
  <w:style w:type="numbering" w:customStyle="1" w:styleId="NoList2129">
    <w:name w:val="No List2129"/>
    <w:next w:val="NoList"/>
    <w:uiPriority w:val="99"/>
    <w:semiHidden/>
    <w:unhideWhenUsed/>
    <w:rsid w:val="00FA6136"/>
  </w:style>
  <w:style w:type="numbering" w:customStyle="1" w:styleId="NoList3129">
    <w:name w:val="No List3129"/>
    <w:next w:val="NoList"/>
    <w:semiHidden/>
    <w:rsid w:val="00FA6136"/>
  </w:style>
  <w:style w:type="numbering" w:customStyle="1" w:styleId="NoList429">
    <w:name w:val="No List429"/>
    <w:next w:val="NoList"/>
    <w:uiPriority w:val="99"/>
    <w:semiHidden/>
    <w:unhideWhenUsed/>
    <w:rsid w:val="00FA6136"/>
  </w:style>
  <w:style w:type="table" w:customStyle="1" w:styleId="TableWeb31118">
    <w:name w:val="Table Web 31118"/>
    <w:basedOn w:val="TableNormal"/>
    <w:next w:val="TableWeb3"/>
    <w:uiPriority w:val="99"/>
    <w:rsid w:val="00FA6136"/>
    <w:pPr>
      <w:spacing w:after="0" w:line="240" w:lineRule="auto"/>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TableGrid11119">
    <w:name w:val="Table Grid11119"/>
    <w:uiPriority w:val="99"/>
    <w:rsid w:val="00FA6136"/>
    <w:pPr>
      <w:spacing w:after="0" w:line="240" w:lineRule="auto"/>
    </w:pPr>
    <w:rPr>
      <w:rFonts w:ascii="Times New Roman" w:eastAsia="Times New Roman" w:hAnsi="Times New Roman" w:cs="Times New Roman"/>
      <w:sz w:val="20"/>
      <w:szCs w:val="20"/>
      <w:lang w:val="bg-BG" w:eastAsia="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8">
    <w:name w:val="Table Grid21118"/>
    <w:uiPriority w:val="99"/>
    <w:rsid w:val="00FA6136"/>
    <w:pPr>
      <w:spacing w:after="0" w:line="240" w:lineRule="auto"/>
    </w:pPr>
    <w:rPr>
      <w:rFonts w:ascii="Calibri" w:eastAsia="Calibri" w:hAnsi="Calibri" w:cs="Times New Roman"/>
      <w:sz w:val="20"/>
      <w:szCs w:val="20"/>
      <w:lang w:val="bg-BG" w:eastAsia="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8">
    <w:name w:val="Table Grid518"/>
    <w:basedOn w:val="TableNormal"/>
    <w:next w:val="TableGrid"/>
    <w:uiPriority w:val="59"/>
    <w:rsid w:val="00FA6136"/>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8">
    <w:name w:val="Table Grid78"/>
    <w:basedOn w:val="TableNormal"/>
    <w:next w:val="TableGrid"/>
    <w:rsid w:val="00FA6136"/>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348">
    <w:name w:val="Table Web 348"/>
    <w:basedOn w:val="TableNormal"/>
    <w:next w:val="TableWeb3"/>
    <w:uiPriority w:val="99"/>
    <w:rsid w:val="00FA6136"/>
    <w:pPr>
      <w:spacing w:after="0" w:line="240" w:lineRule="auto"/>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TableGrid248">
    <w:name w:val="Table Grid248"/>
    <w:uiPriority w:val="99"/>
    <w:rsid w:val="00FA6136"/>
    <w:pPr>
      <w:spacing w:after="0" w:line="240" w:lineRule="auto"/>
    </w:pPr>
    <w:rPr>
      <w:rFonts w:ascii="Calibri" w:eastAsia="Calibri" w:hAnsi="Calibri" w:cs="Times New Roman"/>
      <w:sz w:val="20"/>
      <w:szCs w:val="20"/>
      <w:lang w:val="bg-BG" w:eastAsia="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8">
    <w:name w:val="Table Grid1138"/>
    <w:uiPriority w:val="99"/>
    <w:rsid w:val="00FA6136"/>
    <w:pPr>
      <w:spacing w:after="0" w:line="240" w:lineRule="auto"/>
    </w:pPr>
    <w:rPr>
      <w:rFonts w:ascii="Times New Roman" w:eastAsia="Times New Roman" w:hAnsi="Times New Roman" w:cs="Times New Roman"/>
      <w:sz w:val="20"/>
      <w:szCs w:val="20"/>
      <w:lang w:val="bg-BG" w:eastAsia="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8">
    <w:name w:val="Table Grid2138"/>
    <w:uiPriority w:val="99"/>
    <w:rsid w:val="00FA6136"/>
    <w:pPr>
      <w:spacing w:after="0" w:line="240" w:lineRule="auto"/>
    </w:pPr>
    <w:rPr>
      <w:rFonts w:ascii="Calibri" w:eastAsia="Calibri" w:hAnsi="Calibri" w:cs="Times New Roman"/>
      <w:sz w:val="20"/>
      <w:szCs w:val="20"/>
      <w:lang w:val="bg-BG" w:eastAsia="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5">
    <w:name w:val="Style5"/>
    <w:basedOn w:val="Normal"/>
    <w:uiPriority w:val="99"/>
    <w:rsid w:val="0029594B"/>
    <w:pPr>
      <w:widowControl w:val="0"/>
      <w:autoSpaceDE w:val="0"/>
      <w:autoSpaceDN w:val="0"/>
      <w:adjustRightInd w:val="0"/>
      <w:spacing w:line="386" w:lineRule="exact"/>
      <w:ind w:firstLine="624"/>
      <w:jc w:val="both"/>
    </w:pPr>
    <w:rPr>
      <w:rFonts w:ascii="Lucida Sans Unicode" w:eastAsiaTheme="minorEastAsia" w:hAnsi="Lucida Sans Unicode"/>
    </w:rPr>
  </w:style>
  <w:style w:type="paragraph" w:customStyle="1" w:styleId="Style6">
    <w:name w:val="Style6"/>
    <w:basedOn w:val="Normal"/>
    <w:uiPriority w:val="99"/>
    <w:rsid w:val="0029594B"/>
    <w:pPr>
      <w:widowControl w:val="0"/>
      <w:autoSpaceDE w:val="0"/>
      <w:autoSpaceDN w:val="0"/>
      <w:adjustRightInd w:val="0"/>
      <w:spacing w:line="377" w:lineRule="exact"/>
      <w:ind w:firstLine="283"/>
    </w:pPr>
    <w:rPr>
      <w:rFonts w:ascii="Lucida Sans Unicode" w:eastAsiaTheme="minorEastAsia" w:hAnsi="Lucida Sans Unicode"/>
    </w:rPr>
  </w:style>
  <w:style w:type="paragraph" w:customStyle="1" w:styleId="Style13">
    <w:name w:val="Style13"/>
    <w:basedOn w:val="Normal"/>
    <w:uiPriority w:val="99"/>
    <w:rsid w:val="0029594B"/>
    <w:pPr>
      <w:widowControl w:val="0"/>
      <w:autoSpaceDE w:val="0"/>
      <w:autoSpaceDN w:val="0"/>
      <w:adjustRightInd w:val="0"/>
      <w:spacing w:line="382" w:lineRule="exact"/>
      <w:ind w:hanging="317"/>
      <w:jc w:val="both"/>
    </w:pPr>
    <w:rPr>
      <w:rFonts w:ascii="Lucida Sans Unicode" w:eastAsiaTheme="minorEastAsia" w:hAnsi="Lucida Sans Unicode"/>
    </w:rPr>
  </w:style>
  <w:style w:type="paragraph" w:customStyle="1" w:styleId="Style15">
    <w:name w:val="Style15"/>
    <w:basedOn w:val="Normal"/>
    <w:uiPriority w:val="99"/>
    <w:rsid w:val="0029594B"/>
    <w:pPr>
      <w:widowControl w:val="0"/>
      <w:autoSpaceDE w:val="0"/>
      <w:autoSpaceDN w:val="0"/>
      <w:adjustRightInd w:val="0"/>
      <w:spacing w:line="533" w:lineRule="exact"/>
    </w:pPr>
    <w:rPr>
      <w:rFonts w:ascii="Lucida Sans Unicode" w:eastAsiaTheme="minorEastAsia" w:hAnsi="Lucida Sans Unicode"/>
    </w:rPr>
  </w:style>
  <w:style w:type="paragraph" w:customStyle="1" w:styleId="Style18">
    <w:name w:val="Style18"/>
    <w:basedOn w:val="Normal"/>
    <w:uiPriority w:val="99"/>
    <w:rsid w:val="0029594B"/>
    <w:pPr>
      <w:widowControl w:val="0"/>
      <w:autoSpaceDE w:val="0"/>
      <w:autoSpaceDN w:val="0"/>
      <w:adjustRightInd w:val="0"/>
      <w:spacing w:line="394" w:lineRule="exact"/>
      <w:ind w:hanging="336"/>
      <w:jc w:val="both"/>
    </w:pPr>
    <w:rPr>
      <w:rFonts w:ascii="Lucida Sans Unicode" w:eastAsiaTheme="minorEastAsia" w:hAnsi="Lucida Sans Unicode"/>
    </w:rPr>
  </w:style>
  <w:style w:type="paragraph" w:customStyle="1" w:styleId="Style19">
    <w:name w:val="Style19"/>
    <w:basedOn w:val="Normal"/>
    <w:uiPriority w:val="99"/>
    <w:rsid w:val="0029594B"/>
    <w:pPr>
      <w:widowControl w:val="0"/>
      <w:autoSpaceDE w:val="0"/>
      <w:autoSpaceDN w:val="0"/>
      <w:adjustRightInd w:val="0"/>
      <w:jc w:val="both"/>
    </w:pPr>
    <w:rPr>
      <w:rFonts w:ascii="Lucida Sans Unicode" w:eastAsiaTheme="minorEastAsia" w:hAnsi="Lucida Sans Unicode"/>
    </w:rPr>
  </w:style>
  <w:style w:type="paragraph" w:customStyle="1" w:styleId="Style22">
    <w:name w:val="Style22"/>
    <w:basedOn w:val="Normal"/>
    <w:uiPriority w:val="99"/>
    <w:rsid w:val="0029594B"/>
    <w:pPr>
      <w:widowControl w:val="0"/>
      <w:autoSpaceDE w:val="0"/>
      <w:autoSpaceDN w:val="0"/>
      <w:adjustRightInd w:val="0"/>
      <w:spacing w:line="397" w:lineRule="exact"/>
      <w:ind w:firstLine="360"/>
      <w:jc w:val="both"/>
    </w:pPr>
    <w:rPr>
      <w:rFonts w:ascii="Lucida Sans Unicode" w:eastAsiaTheme="minorEastAsia" w:hAnsi="Lucida Sans Unicode"/>
    </w:rPr>
  </w:style>
  <w:style w:type="character" w:customStyle="1" w:styleId="FontStyle32">
    <w:name w:val="Font Style32"/>
    <w:basedOn w:val="DefaultParagraphFont"/>
    <w:uiPriority w:val="99"/>
    <w:rsid w:val="0029594B"/>
    <w:rPr>
      <w:rFonts w:ascii="Times New Roman" w:hAnsi="Times New Roman" w:cs="Times New Roman"/>
      <w:b/>
      <w:bCs/>
      <w:sz w:val="20"/>
      <w:szCs w:val="20"/>
    </w:rPr>
  </w:style>
  <w:style w:type="character" w:customStyle="1" w:styleId="FontStyle34">
    <w:name w:val="Font Style34"/>
    <w:basedOn w:val="DefaultParagraphFont"/>
    <w:uiPriority w:val="99"/>
    <w:rsid w:val="0029594B"/>
    <w:rPr>
      <w:rFonts w:ascii="Times New Roman" w:hAnsi="Times New Roman" w:cs="Times New Roman"/>
      <w:sz w:val="20"/>
      <w:szCs w:val="20"/>
    </w:rPr>
  </w:style>
  <w:style w:type="numbering" w:customStyle="1" w:styleId="1111112">
    <w:name w:val="1 / 1.1 / 1.1.12"/>
    <w:basedOn w:val="NoList"/>
    <w:next w:val="111111"/>
    <w:uiPriority w:val="99"/>
    <w:semiHidden/>
    <w:unhideWhenUsed/>
    <w:rsid w:val="00D76A44"/>
    <w:pPr>
      <w:numPr>
        <w:numId w:val="1"/>
      </w:numPr>
    </w:pPr>
  </w:style>
  <w:style w:type="numbering" w:styleId="111111">
    <w:name w:val="Outline List 2"/>
    <w:basedOn w:val="NoList"/>
    <w:uiPriority w:val="99"/>
    <w:semiHidden/>
    <w:unhideWhenUsed/>
    <w:rsid w:val="00D76A44"/>
    <w:pPr>
      <w:numPr>
        <w:numId w:val="30"/>
      </w:numPr>
    </w:pPr>
  </w:style>
  <w:style w:type="table" w:customStyle="1" w:styleId="TableGrid60">
    <w:name w:val="Table Grid60"/>
    <w:basedOn w:val="TableNormal"/>
    <w:next w:val="TableGrid"/>
    <w:rsid w:val="00AE2C63"/>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9">
    <w:name w:val="Table Grid69"/>
    <w:basedOn w:val="TableNormal"/>
    <w:next w:val="TableGrid"/>
    <w:rsid w:val="00AE2C63"/>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9">
    <w:name w:val="Table Grid329"/>
    <w:basedOn w:val="TableNormal"/>
    <w:next w:val="TableGrid"/>
    <w:uiPriority w:val="59"/>
    <w:rsid w:val="006F3342"/>
    <w:pPr>
      <w:spacing w:after="0" w:line="240" w:lineRule="auto"/>
    </w:pPr>
    <w:rPr>
      <w:rFonts w:ascii="Times New Roman" w:eastAsia="Times New Roman" w:hAnsi="Times New Roman" w:cs="Times New Roman"/>
      <w:sz w:val="20"/>
      <w:szCs w:val="20"/>
      <w:lang w:val="bg-B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0">
    <w:name w:val="Table Grid420"/>
    <w:basedOn w:val="TableNormal"/>
    <w:next w:val="TableGrid"/>
    <w:uiPriority w:val="59"/>
    <w:rsid w:val="006F334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0">
    <w:name w:val="Table Grid510"/>
    <w:basedOn w:val="TableNormal"/>
    <w:next w:val="TableGrid"/>
    <w:uiPriority w:val="59"/>
    <w:rsid w:val="006F3342"/>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4">
    <w:name w:val="Style14"/>
    <w:basedOn w:val="Normal"/>
    <w:uiPriority w:val="99"/>
    <w:rsid w:val="00A84146"/>
    <w:pPr>
      <w:widowControl w:val="0"/>
      <w:autoSpaceDE w:val="0"/>
      <w:autoSpaceDN w:val="0"/>
      <w:adjustRightInd w:val="0"/>
      <w:jc w:val="both"/>
    </w:pPr>
    <w:rPr>
      <w:rFonts w:ascii="Arial Narrow" w:eastAsiaTheme="minorEastAsia" w:hAnsi="Arial Narrow" w:cstheme="minorBidi"/>
    </w:rPr>
  </w:style>
  <w:style w:type="character" w:customStyle="1" w:styleId="FontStyle165">
    <w:name w:val="Font Style165"/>
    <w:basedOn w:val="DefaultParagraphFont"/>
    <w:uiPriority w:val="99"/>
    <w:rsid w:val="00A84146"/>
    <w:rPr>
      <w:rFonts w:ascii="Arial Narrow" w:hAnsi="Arial Narrow" w:cs="Arial Narrow"/>
      <w:b/>
      <w:bCs/>
      <w:sz w:val="22"/>
      <w:szCs w:val="22"/>
    </w:rPr>
  </w:style>
  <w:style w:type="table" w:customStyle="1" w:styleId="TableGrid70">
    <w:name w:val="Table Grid70"/>
    <w:basedOn w:val="TableNormal"/>
    <w:next w:val="TableGrid"/>
    <w:rsid w:val="00F17F24"/>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
    <w:rsid w:val="00674C51"/>
    <w:pPr>
      <w:spacing w:before="100" w:beforeAutospacing="1" w:after="100" w:afterAutospacing="1"/>
    </w:pPr>
  </w:style>
  <w:style w:type="character" w:customStyle="1" w:styleId="NoSpacingChar">
    <w:name w:val="No Spacing Char"/>
    <w:basedOn w:val="DefaultParagraphFont"/>
    <w:link w:val="NoSpacing"/>
    <w:uiPriority w:val="1"/>
    <w:rsid w:val="008A2581"/>
    <w:rPr>
      <w:rFonts w:ascii="Calibri" w:eastAsia="Calibri" w:hAnsi="Calibri" w:cs="Calibri"/>
      <w:kern w:val="1"/>
      <w:lang w:val="bg-BG" w:eastAsia="ar-SA"/>
    </w:rPr>
  </w:style>
  <w:style w:type="table" w:customStyle="1" w:styleId="TableGrid79">
    <w:name w:val="Table Grid79"/>
    <w:basedOn w:val="TableNormal"/>
    <w:next w:val="TableGrid"/>
    <w:rsid w:val="001B6ED3"/>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9">
    <w:name w:val="Table Grid139"/>
    <w:basedOn w:val="TableNormal"/>
    <w:next w:val="TableGrid"/>
    <w:uiPriority w:val="59"/>
    <w:rsid w:val="001B6ED3"/>
    <w:pPr>
      <w:spacing w:after="0" w:line="240" w:lineRule="auto"/>
    </w:pPr>
    <w:rPr>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0">
    <w:name w:val="Table Grid230"/>
    <w:basedOn w:val="TableNormal"/>
    <w:next w:val="TableGrid"/>
    <w:uiPriority w:val="59"/>
    <w:rsid w:val="001B6ED3"/>
    <w:pPr>
      <w:spacing w:after="0" w:line="240" w:lineRule="auto"/>
    </w:pPr>
    <w:rPr>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
    <w:name w:val="Style1"/>
    <w:uiPriority w:val="99"/>
    <w:rsid w:val="00F634A0"/>
    <w:pPr>
      <w:numPr>
        <w:numId w:val="41"/>
      </w:numPr>
    </w:pPr>
  </w:style>
  <w:style w:type="numbering" w:customStyle="1" w:styleId="NoList111111111">
    <w:name w:val="No List111111111"/>
    <w:next w:val="NoList"/>
    <w:uiPriority w:val="99"/>
    <w:semiHidden/>
    <w:unhideWhenUsed/>
    <w:rsid w:val="006E0415"/>
  </w:style>
  <w:style w:type="paragraph" w:customStyle="1" w:styleId="Style26">
    <w:name w:val="Style26"/>
    <w:basedOn w:val="Normal"/>
    <w:uiPriority w:val="99"/>
    <w:rsid w:val="00D04719"/>
    <w:pPr>
      <w:widowControl w:val="0"/>
      <w:autoSpaceDE w:val="0"/>
      <w:autoSpaceDN w:val="0"/>
      <w:adjustRightInd w:val="0"/>
      <w:spacing w:line="278" w:lineRule="exact"/>
      <w:ind w:firstLine="720"/>
      <w:jc w:val="both"/>
    </w:pPr>
    <w:rPr>
      <w:rFonts w:ascii="Arial Narrow" w:eastAsiaTheme="minorEastAsia" w:hAnsi="Arial Narrow" w:cstheme="minorBidi"/>
    </w:rPr>
  </w:style>
  <w:style w:type="character" w:customStyle="1" w:styleId="FontStyle166">
    <w:name w:val="Font Style166"/>
    <w:basedOn w:val="DefaultParagraphFont"/>
    <w:uiPriority w:val="99"/>
    <w:rsid w:val="00D04719"/>
    <w:rPr>
      <w:rFonts w:ascii="Arial Narrow" w:hAnsi="Arial Narrow" w:cs="Arial Narrow"/>
      <w:sz w:val="22"/>
      <w:szCs w:val="22"/>
    </w:rPr>
  </w:style>
  <w:style w:type="table" w:customStyle="1" w:styleId="TableGrid80">
    <w:name w:val="Table Grid80"/>
    <w:basedOn w:val="TableNormal"/>
    <w:next w:val="TableGrid"/>
    <w:rsid w:val="002844F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3">
    <w:name w:val="Table Grid83"/>
    <w:basedOn w:val="TableNormal"/>
    <w:next w:val="TableGrid"/>
    <w:rsid w:val="00B06D6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0">
    <w:name w:val="No List60"/>
    <w:next w:val="NoList"/>
    <w:uiPriority w:val="99"/>
    <w:semiHidden/>
    <w:unhideWhenUsed/>
    <w:rsid w:val="008D6BBB"/>
  </w:style>
  <w:style w:type="table" w:customStyle="1" w:styleId="TableGrid84">
    <w:name w:val="Table Grid84"/>
    <w:basedOn w:val="TableNormal"/>
    <w:next w:val="TableGrid"/>
    <w:rsid w:val="008D6BB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3">
    <w:name w:val="Table Grid303"/>
    <w:basedOn w:val="TableNormal"/>
    <w:next w:val="TableGrid"/>
    <w:rsid w:val="008D6BBB"/>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0">
    <w:name w:val="Table Grid140"/>
    <w:basedOn w:val="TableNormal"/>
    <w:next w:val="TableGrid"/>
    <w:uiPriority w:val="59"/>
    <w:rsid w:val="008D6BBB"/>
    <w:pPr>
      <w:spacing w:after="0" w:line="240" w:lineRule="auto"/>
    </w:pPr>
    <w:rPr>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9">
    <w:name w:val="Table Grid239"/>
    <w:basedOn w:val="TableNormal"/>
    <w:next w:val="TableGrid"/>
    <w:uiPriority w:val="59"/>
    <w:rsid w:val="008D6BBB"/>
    <w:pPr>
      <w:spacing w:after="0" w:line="240" w:lineRule="auto"/>
    </w:pPr>
    <w:rPr>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20">
    <w:name w:val="Body text (2)_"/>
    <w:link w:val="Bodytext22"/>
    <w:rsid w:val="00F044BD"/>
    <w:rPr>
      <w:shd w:val="clear" w:color="auto" w:fill="FFFFFF"/>
    </w:rPr>
  </w:style>
  <w:style w:type="paragraph" w:customStyle="1" w:styleId="Bodytext22">
    <w:name w:val="Body text (2)"/>
    <w:basedOn w:val="Normal"/>
    <w:link w:val="Bodytext20"/>
    <w:rsid w:val="00F044BD"/>
    <w:pPr>
      <w:widowControl w:val="0"/>
      <w:shd w:val="clear" w:color="auto" w:fill="FFFFFF"/>
      <w:spacing w:before="360" w:line="413" w:lineRule="exact"/>
      <w:jc w:val="both"/>
    </w:pPr>
    <w:rPr>
      <w:rFonts w:asciiTheme="minorHAnsi" w:eastAsiaTheme="minorHAnsi" w:hAnsiTheme="minorHAnsi" w:cstheme="minorBidi"/>
      <w:sz w:val="22"/>
      <w:szCs w:val="22"/>
    </w:rPr>
  </w:style>
  <w:style w:type="table" w:customStyle="1" w:styleId="TableGrid423">
    <w:name w:val="Table Grid423"/>
    <w:basedOn w:val="TableNormal"/>
    <w:next w:val="TableGrid"/>
    <w:uiPriority w:val="59"/>
    <w:rsid w:val="00F44BFC"/>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4">
    <w:name w:val="No List64"/>
    <w:next w:val="NoList"/>
    <w:uiPriority w:val="99"/>
    <w:semiHidden/>
    <w:unhideWhenUsed/>
    <w:rsid w:val="0046431A"/>
  </w:style>
  <w:style w:type="numbering" w:customStyle="1" w:styleId="NoList140">
    <w:name w:val="No List140"/>
    <w:next w:val="NoList"/>
    <w:uiPriority w:val="99"/>
    <w:semiHidden/>
    <w:unhideWhenUsed/>
    <w:rsid w:val="0046431A"/>
  </w:style>
  <w:style w:type="numbering" w:customStyle="1" w:styleId="NoList1130">
    <w:name w:val="No List1130"/>
    <w:next w:val="NoList"/>
    <w:uiPriority w:val="99"/>
    <w:semiHidden/>
    <w:rsid w:val="0046431A"/>
  </w:style>
  <w:style w:type="numbering" w:customStyle="1" w:styleId="NoList11119">
    <w:name w:val="No List11119"/>
    <w:next w:val="NoList"/>
    <w:uiPriority w:val="99"/>
    <w:semiHidden/>
    <w:unhideWhenUsed/>
    <w:rsid w:val="0046431A"/>
  </w:style>
  <w:style w:type="numbering" w:customStyle="1" w:styleId="NoList234">
    <w:name w:val="No List234"/>
    <w:next w:val="NoList"/>
    <w:uiPriority w:val="99"/>
    <w:semiHidden/>
    <w:unhideWhenUsed/>
    <w:rsid w:val="0046431A"/>
  </w:style>
  <w:style w:type="numbering" w:customStyle="1" w:styleId="NoList334">
    <w:name w:val="No List334"/>
    <w:next w:val="NoList"/>
    <w:semiHidden/>
    <w:unhideWhenUsed/>
    <w:rsid w:val="0046431A"/>
  </w:style>
  <w:style w:type="numbering" w:customStyle="1" w:styleId="NoList1215">
    <w:name w:val="No List1215"/>
    <w:next w:val="NoList"/>
    <w:semiHidden/>
    <w:rsid w:val="0046431A"/>
  </w:style>
  <w:style w:type="numbering" w:customStyle="1" w:styleId="NoList430">
    <w:name w:val="No List430"/>
    <w:next w:val="NoList"/>
    <w:uiPriority w:val="99"/>
    <w:semiHidden/>
    <w:unhideWhenUsed/>
    <w:rsid w:val="0046431A"/>
  </w:style>
  <w:style w:type="numbering" w:customStyle="1" w:styleId="NoList1314">
    <w:name w:val="No List1314"/>
    <w:next w:val="NoList"/>
    <w:semiHidden/>
    <w:rsid w:val="0046431A"/>
  </w:style>
  <w:style w:type="numbering" w:customStyle="1" w:styleId="NoList2130">
    <w:name w:val="No List2130"/>
    <w:next w:val="NoList"/>
    <w:uiPriority w:val="99"/>
    <w:semiHidden/>
    <w:unhideWhenUsed/>
    <w:rsid w:val="0046431A"/>
  </w:style>
  <w:style w:type="numbering" w:customStyle="1" w:styleId="NoList3130">
    <w:name w:val="No List3130"/>
    <w:next w:val="NoList"/>
    <w:uiPriority w:val="99"/>
    <w:semiHidden/>
    <w:unhideWhenUsed/>
    <w:rsid w:val="0046431A"/>
  </w:style>
  <w:style w:type="numbering" w:customStyle="1" w:styleId="NoList111110">
    <w:name w:val="No List111110"/>
    <w:next w:val="NoList"/>
    <w:uiPriority w:val="99"/>
    <w:semiHidden/>
    <w:unhideWhenUsed/>
    <w:rsid w:val="0046431A"/>
  </w:style>
  <w:style w:type="numbering" w:customStyle="1" w:styleId="NoList21114">
    <w:name w:val="No List21114"/>
    <w:next w:val="NoList"/>
    <w:uiPriority w:val="99"/>
    <w:semiHidden/>
    <w:unhideWhenUsed/>
    <w:rsid w:val="0046431A"/>
  </w:style>
  <w:style w:type="numbering" w:customStyle="1" w:styleId="NoList31114">
    <w:name w:val="No List31114"/>
    <w:next w:val="NoList"/>
    <w:semiHidden/>
    <w:rsid w:val="0046431A"/>
  </w:style>
  <w:style w:type="numbering" w:customStyle="1" w:styleId="NoList4114">
    <w:name w:val="No List4114"/>
    <w:next w:val="NoList"/>
    <w:uiPriority w:val="99"/>
    <w:semiHidden/>
    <w:unhideWhenUsed/>
    <w:rsid w:val="0046431A"/>
  </w:style>
  <w:style w:type="numbering" w:customStyle="1" w:styleId="NoList514">
    <w:name w:val="No List514"/>
    <w:next w:val="NoList"/>
    <w:uiPriority w:val="99"/>
    <w:semiHidden/>
    <w:unhideWhenUsed/>
    <w:rsid w:val="0046431A"/>
  </w:style>
  <w:style w:type="numbering" w:customStyle="1" w:styleId="NoList1410">
    <w:name w:val="No List1410"/>
    <w:next w:val="NoList"/>
    <w:semiHidden/>
    <w:rsid w:val="0046431A"/>
  </w:style>
  <w:style w:type="numbering" w:customStyle="1" w:styleId="NoList2215">
    <w:name w:val="No List2215"/>
    <w:next w:val="NoList"/>
    <w:uiPriority w:val="99"/>
    <w:semiHidden/>
    <w:unhideWhenUsed/>
    <w:rsid w:val="0046431A"/>
  </w:style>
  <w:style w:type="numbering" w:customStyle="1" w:styleId="NoList3214">
    <w:name w:val="No List3214"/>
    <w:next w:val="NoList"/>
    <w:uiPriority w:val="99"/>
    <w:semiHidden/>
    <w:unhideWhenUsed/>
    <w:rsid w:val="0046431A"/>
  </w:style>
  <w:style w:type="numbering" w:customStyle="1" w:styleId="NoList11210">
    <w:name w:val="No List11210"/>
    <w:next w:val="NoList"/>
    <w:uiPriority w:val="99"/>
    <w:semiHidden/>
    <w:unhideWhenUsed/>
    <w:rsid w:val="0046431A"/>
  </w:style>
  <w:style w:type="numbering" w:customStyle="1" w:styleId="NoList21210">
    <w:name w:val="No List21210"/>
    <w:next w:val="NoList"/>
    <w:uiPriority w:val="99"/>
    <w:semiHidden/>
    <w:unhideWhenUsed/>
    <w:rsid w:val="0046431A"/>
  </w:style>
  <w:style w:type="numbering" w:customStyle="1" w:styleId="NoList31210">
    <w:name w:val="No List31210"/>
    <w:next w:val="NoList"/>
    <w:semiHidden/>
    <w:rsid w:val="0046431A"/>
  </w:style>
  <w:style w:type="numbering" w:customStyle="1" w:styleId="NoList4210">
    <w:name w:val="No List4210"/>
    <w:next w:val="NoList"/>
    <w:uiPriority w:val="99"/>
    <w:semiHidden/>
    <w:unhideWhenUsed/>
    <w:rsid w:val="0046431A"/>
  </w:style>
  <w:style w:type="numbering" w:customStyle="1" w:styleId="NoList65">
    <w:name w:val="No List65"/>
    <w:next w:val="NoList"/>
    <w:uiPriority w:val="99"/>
    <w:semiHidden/>
    <w:unhideWhenUsed/>
    <w:rsid w:val="0046431A"/>
  </w:style>
  <w:style w:type="numbering" w:customStyle="1" w:styleId="NoList154">
    <w:name w:val="No List154"/>
    <w:next w:val="NoList"/>
    <w:uiPriority w:val="99"/>
    <w:semiHidden/>
    <w:rsid w:val="0046431A"/>
  </w:style>
  <w:style w:type="numbering" w:customStyle="1" w:styleId="NoList1134">
    <w:name w:val="No List1134"/>
    <w:next w:val="NoList"/>
    <w:uiPriority w:val="99"/>
    <w:semiHidden/>
    <w:unhideWhenUsed/>
    <w:rsid w:val="0046431A"/>
  </w:style>
  <w:style w:type="numbering" w:customStyle="1" w:styleId="NoList235">
    <w:name w:val="No List235"/>
    <w:next w:val="NoList"/>
    <w:uiPriority w:val="99"/>
    <w:semiHidden/>
    <w:unhideWhenUsed/>
    <w:rsid w:val="0046431A"/>
  </w:style>
  <w:style w:type="numbering" w:customStyle="1" w:styleId="NoList335">
    <w:name w:val="No List335"/>
    <w:next w:val="NoList"/>
    <w:semiHidden/>
    <w:unhideWhenUsed/>
    <w:rsid w:val="0046431A"/>
  </w:style>
  <w:style w:type="numbering" w:customStyle="1" w:styleId="NoList1216">
    <w:name w:val="No List1216"/>
    <w:next w:val="NoList"/>
    <w:semiHidden/>
    <w:rsid w:val="0046431A"/>
  </w:style>
  <w:style w:type="numbering" w:customStyle="1" w:styleId="NoList434">
    <w:name w:val="No List434"/>
    <w:next w:val="NoList"/>
    <w:uiPriority w:val="99"/>
    <w:semiHidden/>
    <w:unhideWhenUsed/>
    <w:rsid w:val="0046431A"/>
  </w:style>
  <w:style w:type="numbering" w:customStyle="1" w:styleId="NoList1315">
    <w:name w:val="No List1315"/>
    <w:next w:val="NoList"/>
    <w:semiHidden/>
    <w:rsid w:val="0046431A"/>
  </w:style>
  <w:style w:type="numbering" w:customStyle="1" w:styleId="NoList2134">
    <w:name w:val="No List2134"/>
    <w:next w:val="NoList"/>
    <w:uiPriority w:val="99"/>
    <w:semiHidden/>
    <w:unhideWhenUsed/>
    <w:rsid w:val="0046431A"/>
  </w:style>
  <w:style w:type="numbering" w:customStyle="1" w:styleId="NoList3134">
    <w:name w:val="No List3134"/>
    <w:next w:val="NoList"/>
    <w:uiPriority w:val="99"/>
    <w:semiHidden/>
    <w:unhideWhenUsed/>
    <w:rsid w:val="0046431A"/>
  </w:style>
  <w:style w:type="numbering" w:customStyle="1" w:styleId="NoList111114">
    <w:name w:val="No List111114"/>
    <w:next w:val="NoList"/>
    <w:uiPriority w:val="99"/>
    <w:semiHidden/>
    <w:unhideWhenUsed/>
    <w:rsid w:val="0046431A"/>
  </w:style>
  <w:style w:type="numbering" w:customStyle="1" w:styleId="NoList21115">
    <w:name w:val="No List21115"/>
    <w:next w:val="NoList"/>
    <w:uiPriority w:val="99"/>
    <w:semiHidden/>
    <w:unhideWhenUsed/>
    <w:rsid w:val="0046431A"/>
  </w:style>
  <w:style w:type="numbering" w:customStyle="1" w:styleId="NoList31115">
    <w:name w:val="No List31115"/>
    <w:next w:val="NoList"/>
    <w:semiHidden/>
    <w:rsid w:val="0046431A"/>
  </w:style>
  <w:style w:type="numbering" w:customStyle="1" w:styleId="NoList4115">
    <w:name w:val="No List4115"/>
    <w:next w:val="NoList"/>
    <w:uiPriority w:val="99"/>
    <w:semiHidden/>
    <w:unhideWhenUsed/>
    <w:rsid w:val="0046431A"/>
  </w:style>
  <w:style w:type="numbering" w:customStyle="1" w:styleId="NoList515">
    <w:name w:val="No List515"/>
    <w:next w:val="NoList"/>
    <w:uiPriority w:val="99"/>
    <w:semiHidden/>
    <w:unhideWhenUsed/>
    <w:rsid w:val="0046431A"/>
  </w:style>
  <w:style w:type="numbering" w:customStyle="1" w:styleId="NoList1414">
    <w:name w:val="No List1414"/>
    <w:next w:val="NoList"/>
    <w:semiHidden/>
    <w:rsid w:val="0046431A"/>
  </w:style>
  <w:style w:type="numbering" w:customStyle="1" w:styleId="NoList2216">
    <w:name w:val="No List2216"/>
    <w:next w:val="NoList"/>
    <w:uiPriority w:val="99"/>
    <w:semiHidden/>
    <w:unhideWhenUsed/>
    <w:rsid w:val="0046431A"/>
  </w:style>
  <w:style w:type="numbering" w:customStyle="1" w:styleId="NoList3215">
    <w:name w:val="No List3215"/>
    <w:next w:val="NoList"/>
    <w:uiPriority w:val="99"/>
    <w:semiHidden/>
    <w:unhideWhenUsed/>
    <w:rsid w:val="0046431A"/>
  </w:style>
  <w:style w:type="numbering" w:customStyle="1" w:styleId="NoList11214">
    <w:name w:val="No List11214"/>
    <w:next w:val="NoList"/>
    <w:uiPriority w:val="99"/>
    <w:semiHidden/>
    <w:unhideWhenUsed/>
    <w:rsid w:val="0046431A"/>
  </w:style>
  <w:style w:type="numbering" w:customStyle="1" w:styleId="NoList21214">
    <w:name w:val="No List21214"/>
    <w:next w:val="NoList"/>
    <w:uiPriority w:val="99"/>
    <w:semiHidden/>
    <w:unhideWhenUsed/>
    <w:rsid w:val="0046431A"/>
  </w:style>
  <w:style w:type="numbering" w:customStyle="1" w:styleId="NoList31214">
    <w:name w:val="No List31214"/>
    <w:next w:val="NoList"/>
    <w:semiHidden/>
    <w:rsid w:val="0046431A"/>
  </w:style>
  <w:style w:type="numbering" w:customStyle="1" w:styleId="NoList4214">
    <w:name w:val="No List4214"/>
    <w:next w:val="NoList"/>
    <w:uiPriority w:val="99"/>
    <w:semiHidden/>
    <w:unhideWhenUsed/>
    <w:rsid w:val="0046431A"/>
  </w:style>
  <w:style w:type="numbering" w:customStyle="1" w:styleId="NoList74">
    <w:name w:val="No List74"/>
    <w:next w:val="NoList"/>
    <w:uiPriority w:val="99"/>
    <w:semiHidden/>
    <w:unhideWhenUsed/>
    <w:rsid w:val="0046431A"/>
  </w:style>
  <w:style w:type="numbering" w:customStyle="1" w:styleId="NoList164">
    <w:name w:val="No List164"/>
    <w:next w:val="NoList"/>
    <w:uiPriority w:val="99"/>
    <w:semiHidden/>
    <w:unhideWhenUsed/>
    <w:rsid w:val="0046431A"/>
  </w:style>
  <w:style w:type="numbering" w:customStyle="1" w:styleId="NoList1144">
    <w:name w:val="No List1144"/>
    <w:next w:val="NoList"/>
    <w:uiPriority w:val="99"/>
    <w:semiHidden/>
    <w:rsid w:val="0046431A"/>
  </w:style>
  <w:style w:type="numbering" w:customStyle="1" w:styleId="NoList11124">
    <w:name w:val="No List11124"/>
    <w:next w:val="NoList"/>
    <w:uiPriority w:val="99"/>
    <w:semiHidden/>
    <w:unhideWhenUsed/>
    <w:rsid w:val="0046431A"/>
  </w:style>
  <w:style w:type="numbering" w:customStyle="1" w:styleId="NoList244">
    <w:name w:val="No List244"/>
    <w:next w:val="NoList"/>
    <w:uiPriority w:val="99"/>
    <w:semiHidden/>
    <w:unhideWhenUsed/>
    <w:rsid w:val="0046431A"/>
  </w:style>
  <w:style w:type="numbering" w:customStyle="1" w:styleId="NoList344">
    <w:name w:val="No List344"/>
    <w:next w:val="NoList"/>
    <w:semiHidden/>
    <w:unhideWhenUsed/>
    <w:rsid w:val="0046431A"/>
  </w:style>
  <w:style w:type="numbering" w:customStyle="1" w:styleId="NoList1224">
    <w:name w:val="No List1224"/>
    <w:next w:val="NoList"/>
    <w:semiHidden/>
    <w:rsid w:val="0046431A"/>
  </w:style>
  <w:style w:type="numbering" w:customStyle="1" w:styleId="NoList444">
    <w:name w:val="No List444"/>
    <w:next w:val="NoList"/>
    <w:uiPriority w:val="99"/>
    <w:semiHidden/>
    <w:unhideWhenUsed/>
    <w:rsid w:val="0046431A"/>
  </w:style>
  <w:style w:type="numbering" w:customStyle="1" w:styleId="NoList1324">
    <w:name w:val="No List1324"/>
    <w:next w:val="NoList"/>
    <w:semiHidden/>
    <w:rsid w:val="0046431A"/>
  </w:style>
  <w:style w:type="numbering" w:customStyle="1" w:styleId="NoList2144">
    <w:name w:val="No List2144"/>
    <w:next w:val="NoList"/>
    <w:uiPriority w:val="99"/>
    <w:semiHidden/>
    <w:unhideWhenUsed/>
    <w:rsid w:val="0046431A"/>
  </w:style>
  <w:style w:type="numbering" w:customStyle="1" w:styleId="NoList3144">
    <w:name w:val="No List3144"/>
    <w:next w:val="NoList"/>
    <w:uiPriority w:val="99"/>
    <w:semiHidden/>
    <w:unhideWhenUsed/>
    <w:rsid w:val="0046431A"/>
  </w:style>
  <w:style w:type="numbering" w:customStyle="1" w:styleId="NoList1111114">
    <w:name w:val="No List1111114"/>
    <w:next w:val="NoList"/>
    <w:uiPriority w:val="99"/>
    <w:semiHidden/>
    <w:unhideWhenUsed/>
    <w:rsid w:val="0046431A"/>
  </w:style>
  <w:style w:type="numbering" w:customStyle="1" w:styleId="NoList21124">
    <w:name w:val="No List21124"/>
    <w:next w:val="NoList"/>
    <w:uiPriority w:val="99"/>
    <w:semiHidden/>
    <w:unhideWhenUsed/>
    <w:rsid w:val="0046431A"/>
  </w:style>
  <w:style w:type="numbering" w:customStyle="1" w:styleId="NoList31124">
    <w:name w:val="No List31124"/>
    <w:next w:val="NoList"/>
    <w:semiHidden/>
    <w:rsid w:val="0046431A"/>
  </w:style>
  <w:style w:type="numbering" w:customStyle="1" w:styleId="NoList4124">
    <w:name w:val="No List4124"/>
    <w:next w:val="NoList"/>
    <w:uiPriority w:val="99"/>
    <w:semiHidden/>
    <w:unhideWhenUsed/>
    <w:rsid w:val="0046431A"/>
  </w:style>
  <w:style w:type="numbering" w:customStyle="1" w:styleId="NoList524">
    <w:name w:val="No List524"/>
    <w:next w:val="NoList"/>
    <w:uiPriority w:val="99"/>
    <w:semiHidden/>
    <w:unhideWhenUsed/>
    <w:rsid w:val="0046431A"/>
  </w:style>
  <w:style w:type="numbering" w:customStyle="1" w:styleId="NoList1424">
    <w:name w:val="No List1424"/>
    <w:next w:val="NoList"/>
    <w:semiHidden/>
    <w:rsid w:val="0046431A"/>
  </w:style>
  <w:style w:type="numbering" w:customStyle="1" w:styleId="NoList2224">
    <w:name w:val="No List2224"/>
    <w:next w:val="NoList"/>
    <w:uiPriority w:val="99"/>
    <w:semiHidden/>
    <w:unhideWhenUsed/>
    <w:rsid w:val="0046431A"/>
  </w:style>
  <w:style w:type="numbering" w:customStyle="1" w:styleId="NoList3224">
    <w:name w:val="No List3224"/>
    <w:next w:val="NoList"/>
    <w:uiPriority w:val="99"/>
    <w:semiHidden/>
    <w:unhideWhenUsed/>
    <w:rsid w:val="0046431A"/>
  </w:style>
  <w:style w:type="numbering" w:customStyle="1" w:styleId="NoList11224">
    <w:name w:val="No List11224"/>
    <w:next w:val="NoList"/>
    <w:uiPriority w:val="99"/>
    <w:semiHidden/>
    <w:unhideWhenUsed/>
    <w:rsid w:val="0046431A"/>
  </w:style>
  <w:style w:type="numbering" w:customStyle="1" w:styleId="NoList21224">
    <w:name w:val="No List21224"/>
    <w:next w:val="NoList"/>
    <w:uiPriority w:val="99"/>
    <w:semiHidden/>
    <w:unhideWhenUsed/>
    <w:rsid w:val="0046431A"/>
  </w:style>
  <w:style w:type="numbering" w:customStyle="1" w:styleId="NoList31224">
    <w:name w:val="No List31224"/>
    <w:next w:val="NoList"/>
    <w:semiHidden/>
    <w:rsid w:val="0046431A"/>
  </w:style>
  <w:style w:type="numbering" w:customStyle="1" w:styleId="NoList4224">
    <w:name w:val="No List4224"/>
    <w:next w:val="NoList"/>
    <w:uiPriority w:val="99"/>
    <w:semiHidden/>
    <w:unhideWhenUsed/>
    <w:rsid w:val="0046431A"/>
  </w:style>
  <w:style w:type="numbering" w:customStyle="1" w:styleId="NoList84">
    <w:name w:val="No List84"/>
    <w:next w:val="NoList"/>
    <w:uiPriority w:val="99"/>
    <w:semiHidden/>
    <w:unhideWhenUsed/>
    <w:rsid w:val="0046431A"/>
  </w:style>
  <w:style w:type="numbering" w:customStyle="1" w:styleId="NoList174">
    <w:name w:val="No List174"/>
    <w:next w:val="NoList"/>
    <w:uiPriority w:val="99"/>
    <w:semiHidden/>
    <w:unhideWhenUsed/>
    <w:rsid w:val="0046431A"/>
  </w:style>
  <w:style w:type="numbering" w:customStyle="1" w:styleId="NoList254">
    <w:name w:val="No List254"/>
    <w:next w:val="NoList"/>
    <w:uiPriority w:val="99"/>
    <w:semiHidden/>
    <w:unhideWhenUsed/>
    <w:rsid w:val="0046431A"/>
  </w:style>
  <w:style w:type="numbering" w:customStyle="1" w:styleId="NoList354">
    <w:name w:val="No List354"/>
    <w:next w:val="NoList"/>
    <w:uiPriority w:val="99"/>
    <w:semiHidden/>
    <w:unhideWhenUsed/>
    <w:rsid w:val="0046431A"/>
  </w:style>
  <w:style w:type="numbering" w:customStyle="1" w:styleId="NoList94">
    <w:name w:val="No List94"/>
    <w:next w:val="NoList"/>
    <w:uiPriority w:val="99"/>
    <w:semiHidden/>
    <w:unhideWhenUsed/>
    <w:rsid w:val="0046431A"/>
  </w:style>
  <w:style w:type="numbering" w:customStyle="1" w:styleId="NoList104">
    <w:name w:val="No List104"/>
    <w:next w:val="NoList"/>
    <w:uiPriority w:val="99"/>
    <w:semiHidden/>
    <w:unhideWhenUsed/>
    <w:rsid w:val="0046431A"/>
  </w:style>
  <w:style w:type="numbering" w:customStyle="1" w:styleId="NoList184">
    <w:name w:val="No List184"/>
    <w:next w:val="NoList"/>
    <w:uiPriority w:val="99"/>
    <w:semiHidden/>
    <w:unhideWhenUsed/>
    <w:rsid w:val="0046431A"/>
  </w:style>
  <w:style w:type="numbering" w:customStyle="1" w:styleId="NoList194">
    <w:name w:val="No List194"/>
    <w:next w:val="NoList"/>
    <w:uiPriority w:val="99"/>
    <w:semiHidden/>
    <w:unhideWhenUsed/>
    <w:rsid w:val="0046431A"/>
  </w:style>
  <w:style w:type="numbering" w:customStyle="1" w:styleId="NoList1104">
    <w:name w:val="No List1104"/>
    <w:next w:val="NoList"/>
    <w:uiPriority w:val="99"/>
    <w:semiHidden/>
    <w:rsid w:val="0046431A"/>
  </w:style>
  <w:style w:type="numbering" w:customStyle="1" w:styleId="NoList1154">
    <w:name w:val="No List1154"/>
    <w:next w:val="NoList"/>
    <w:uiPriority w:val="99"/>
    <w:semiHidden/>
    <w:unhideWhenUsed/>
    <w:rsid w:val="0046431A"/>
  </w:style>
  <w:style w:type="numbering" w:customStyle="1" w:styleId="NoList264">
    <w:name w:val="No List264"/>
    <w:next w:val="NoList"/>
    <w:uiPriority w:val="99"/>
    <w:semiHidden/>
    <w:unhideWhenUsed/>
    <w:rsid w:val="0046431A"/>
  </w:style>
  <w:style w:type="numbering" w:customStyle="1" w:styleId="NoList364">
    <w:name w:val="No List364"/>
    <w:next w:val="NoList"/>
    <w:semiHidden/>
    <w:unhideWhenUsed/>
    <w:rsid w:val="0046431A"/>
  </w:style>
  <w:style w:type="numbering" w:customStyle="1" w:styleId="NoList1234">
    <w:name w:val="No List1234"/>
    <w:next w:val="NoList"/>
    <w:semiHidden/>
    <w:rsid w:val="0046431A"/>
  </w:style>
  <w:style w:type="numbering" w:customStyle="1" w:styleId="NoList454">
    <w:name w:val="No List454"/>
    <w:next w:val="NoList"/>
    <w:uiPriority w:val="99"/>
    <w:semiHidden/>
    <w:unhideWhenUsed/>
    <w:rsid w:val="0046431A"/>
  </w:style>
  <w:style w:type="numbering" w:customStyle="1" w:styleId="NoList1334">
    <w:name w:val="No List1334"/>
    <w:next w:val="NoList"/>
    <w:semiHidden/>
    <w:rsid w:val="0046431A"/>
  </w:style>
  <w:style w:type="numbering" w:customStyle="1" w:styleId="NoList2154">
    <w:name w:val="No List2154"/>
    <w:next w:val="NoList"/>
    <w:uiPriority w:val="99"/>
    <w:semiHidden/>
    <w:unhideWhenUsed/>
    <w:rsid w:val="0046431A"/>
  </w:style>
  <w:style w:type="numbering" w:customStyle="1" w:styleId="NoList3154">
    <w:name w:val="No List3154"/>
    <w:next w:val="NoList"/>
    <w:uiPriority w:val="99"/>
    <w:semiHidden/>
    <w:unhideWhenUsed/>
    <w:rsid w:val="0046431A"/>
  </w:style>
  <w:style w:type="numbering" w:customStyle="1" w:styleId="NoList11134">
    <w:name w:val="No List11134"/>
    <w:next w:val="NoList"/>
    <w:uiPriority w:val="99"/>
    <w:semiHidden/>
    <w:unhideWhenUsed/>
    <w:rsid w:val="0046431A"/>
  </w:style>
  <w:style w:type="numbering" w:customStyle="1" w:styleId="NoList21134">
    <w:name w:val="No List21134"/>
    <w:next w:val="NoList"/>
    <w:uiPriority w:val="99"/>
    <w:semiHidden/>
    <w:unhideWhenUsed/>
    <w:rsid w:val="0046431A"/>
  </w:style>
  <w:style w:type="numbering" w:customStyle="1" w:styleId="NoList31134">
    <w:name w:val="No List31134"/>
    <w:next w:val="NoList"/>
    <w:semiHidden/>
    <w:rsid w:val="0046431A"/>
  </w:style>
  <w:style w:type="numbering" w:customStyle="1" w:styleId="NoList4134">
    <w:name w:val="No List4134"/>
    <w:next w:val="NoList"/>
    <w:uiPriority w:val="99"/>
    <w:semiHidden/>
    <w:unhideWhenUsed/>
    <w:rsid w:val="0046431A"/>
  </w:style>
  <w:style w:type="numbering" w:customStyle="1" w:styleId="NoList534">
    <w:name w:val="No List534"/>
    <w:next w:val="NoList"/>
    <w:uiPriority w:val="99"/>
    <w:semiHidden/>
    <w:unhideWhenUsed/>
    <w:rsid w:val="0046431A"/>
  </w:style>
  <w:style w:type="numbering" w:customStyle="1" w:styleId="NoList1434">
    <w:name w:val="No List1434"/>
    <w:next w:val="NoList"/>
    <w:semiHidden/>
    <w:rsid w:val="0046431A"/>
  </w:style>
  <w:style w:type="numbering" w:customStyle="1" w:styleId="NoList2234">
    <w:name w:val="No List2234"/>
    <w:next w:val="NoList"/>
    <w:uiPriority w:val="99"/>
    <w:semiHidden/>
    <w:unhideWhenUsed/>
    <w:rsid w:val="0046431A"/>
  </w:style>
  <w:style w:type="numbering" w:customStyle="1" w:styleId="NoList3234">
    <w:name w:val="No List3234"/>
    <w:next w:val="NoList"/>
    <w:uiPriority w:val="99"/>
    <w:semiHidden/>
    <w:unhideWhenUsed/>
    <w:rsid w:val="0046431A"/>
  </w:style>
  <w:style w:type="numbering" w:customStyle="1" w:styleId="NoList11234">
    <w:name w:val="No List11234"/>
    <w:next w:val="NoList"/>
    <w:uiPriority w:val="99"/>
    <w:semiHidden/>
    <w:unhideWhenUsed/>
    <w:rsid w:val="0046431A"/>
  </w:style>
  <w:style w:type="numbering" w:customStyle="1" w:styleId="NoList21234">
    <w:name w:val="No List21234"/>
    <w:next w:val="NoList"/>
    <w:uiPriority w:val="99"/>
    <w:semiHidden/>
    <w:unhideWhenUsed/>
    <w:rsid w:val="0046431A"/>
  </w:style>
  <w:style w:type="numbering" w:customStyle="1" w:styleId="NoList31234">
    <w:name w:val="No List31234"/>
    <w:next w:val="NoList"/>
    <w:semiHidden/>
    <w:rsid w:val="0046431A"/>
  </w:style>
  <w:style w:type="numbering" w:customStyle="1" w:styleId="NoList4234">
    <w:name w:val="No List4234"/>
    <w:next w:val="NoList"/>
    <w:uiPriority w:val="99"/>
    <w:semiHidden/>
    <w:unhideWhenUsed/>
    <w:rsid w:val="0046431A"/>
  </w:style>
  <w:style w:type="numbering" w:customStyle="1" w:styleId="NoList204">
    <w:name w:val="No List204"/>
    <w:next w:val="NoList"/>
    <w:uiPriority w:val="99"/>
    <w:semiHidden/>
    <w:unhideWhenUsed/>
    <w:rsid w:val="0046431A"/>
  </w:style>
  <w:style w:type="numbering" w:customStyle="1" w:styleId="NoList274">
    <w:name w:val="No List274"/>
    <w:next w:val="NoList"/>
    <w:uiPriority w:val="99"/>
    <w:semiHidden/>
    <w:unhideWhenUsed/>
    <w:rsid w:val="0046431A"/>
  </w:style>
  <w:style w:type="numbering" w:customStyle="1" w:styleId="NoList1164">
    <w:name w:val="No List1164"/>
    <w:next w:val="NoList"/>
    <w:uiPriority w:val="99"/>
    <w:semiHidden/>
    <w:unhideWhenUsed/>
    <w:rsid w:val="0046431A"/>
  </w:style>
  <w:style w:type="numbering" w:customStyle="1" w:styleId="NoList1174">
    <w:name w:val="No List1174"/>
    <w:next w:val="NoList"/>
    <w:uiPriority w:val="99"/>
    <w:semiHidden/>
    <w:rsid w:val="0046431A"/>
  </w:style>
  <w:style w:type="numbering" w:customStyle="1" w:styleId="NoList11144">
    <w:name w:val="No List11144"/>
    <w:next w:val="NoList"/>
    <w:uiPriority w:val="99"/>
    <w:semiHidden/>
    <w:unhideWhenUsed/>
    <w:rsid w:val="0046431A"/>
  </w:style>
  <w:style w:type="numbering" w:customStyle="1" w:styleId="NoList284">
    <w:name w:val="No List284"/>
    <w:next w:val="NoList"/>
    <w:uiPriority w:val="99"/>
    <w:semiHidden/>
    <w:unhideWhenUsed/>
    <w:rsid w:val="0046431A"/>
  </w:style>
  <w:style w:type="numbering" w:customStyle="1" w:styleId="NoList374">
    <w:name w:val="No List374"/>
    <w:next w:val="NoList"/>
    <w:semiHidden/>
    <w:unhideWhenUsed/>
    <w:rsid w:val="0046431A"/>
  </w:style>
  <w:style w:type="numbering" w:customStyle="1" w:styleId="NoList1244">
    <w:name w:val="No List1244"/>
    <w:next w:val="NoList"/>
    <w:semiHidden/>
    <w:rsid w:val="0046431A"/>
  </w:style>
  <w:style w:type="numbering" w:customStyle="1" w:styleId="NoList464">
    <w:name w:val="No List464"/>
    <w:next w:val="NoList"/>
    <w:uiPriority w:val="99"/>
    <w:semiHidden/>
    <w:unhideWhenUsed/>
    <w:rsid w:val="0046431A"/>
  </w:style>
  <w:style w:type="numbering" w:customStyle="1" w:styleId="NoList1344">
    <w:name w:val="No List1344"/>
    <w:next w:val="NoList"/>
    <w:semiHidden/>
    <w:rsid w:val="0046431A"/>
  </w:style>
  <w:style w:type="numbering" w:customStyle="1" w:styleId="NoList2164">
    <w:name w:val="No List2164"/>
    <w:next w:val="NoList"/>
    <w:uiPriority w:val="99"/>
    <w:semiHidden/>
    <w:unhideWhenUsed/>
    <w:rsid w:val="0046431A"/>
  </w:style>
  <w:style w:type="numbering" w:customStyle="1" w:styleId="NoList3164">
    <w:name w:val="No List3164"/>
    <w:next w:val="NoList"/>
    <w:uiPriority w:val="99"/>
    <w:semiHidden/>
    <w:unhideWhenUsed/>
    <w:rsid w:val="0046431A"/>
  </w:style>
  <w:style w:type="numbering" w:customStyle="1" w:styleId="NoList111124">
    <w:name w:val="No List111124"/>
    <w:next w:val="NoList"/>
    <w:uiPriority w:val="99"/>
    <w:semiHidden/>
    <w:unhideWhenUsed/>
    <w:rsid w:val="0046431A"/>
  </w:style>
  <w:style w:type="numbering" w:customStyle="1" w:styleId="NoList21144">
    <w:name w:val="No List21144"/>
    <w:next w:val="NoList"/>
    <w:uiPriority w:val="99"/>
    <w:semiHidden/>
    <w:unhideWhenUsed/>
    <w:rsid w:val="0046431A"/>
  </w:style>
  <w:style w:type="numbering" w:customStyle="1" w:styleId="NoList31144">
    <w:name w:val="No List31144"/>
    <w:next w:val="NoList"/>
    <w:semiHidden/>
    <w:rsid w:val="0046431A"/>
  </w:style>
  <w:style w:type="numbering" w:customStyle="1" w:styleId="NoList4144">
    <w:name w:val="No List4144"/>
    <w:next w:val="NoList"/>
    <w:uiPriority w:val="99"/>
    <w:semiHidden/>
    <w:unhideWhenUsed/>
    <w:rsid w:val="0046431A"/>
  </w:style>
  <w:style w:type="numbering" w:customStyle="1" w:styleId="NoList544">
    <w:name w:val="No List544"/>
    <w:next w:val="NoList"/>
    <w:uiPriority w:val="99"/>
    <w:semiHidden/>
    <w:unhideWhenUsed/>
    <w:rsid w:val="0046431A"/>
  </w:style>
  <w:style w:type="numbering" w:customStyle="1" w:styleId="NoList1444">
    <w:name w:val="No List1444"/>
    <w:next w:val="NoList"/>
    <w:semiHidden/>
    <w:rsid w:val="0046431A"/>
  </w:style>
  <w:style w:type="numbering" w:customStyle="1" w:styleId="NoList2244">
    <w:name w:val="No List2244"/>
    <w:next w:val="NoList"/>
    <w:uiPriority w:val="99"/>
    <w:semiHidden/>
    <w:unhideWhenUsed/>
    <w:rsid w:val="0046431A"/>
  </w:style>
  <w:style w:type="numbering" w:customStyle="1" w:styleId="NoList3244">
    <w:name w:val="No List3244"/>
    <w:next w:val="NoList"/>
    <w:uiPriority w:val="99"/>
    <w:semiHidden/>
    <w:unhideWhenUsed/>
    <w:rsid w:val="0046431A"/>
  </w:style>
  <w:style w:type="numbering" w:customStyle="1" w:styleId="NoList11244">
    <w:name w:val="No List11244"/>
    <w:next w:val="NoList"/>
    <w:uiPriority w:val="99"/>
    <w:semiHidden/>
    <w:unhideWhenUsed/>
    <w:rsid w:val="0046431A"/>
  </w:style>
  <w:style w:type="numbering" w:customStyle="1" w:styleId="NoList21244">
    <w:name w:val="No List21244"/>
    <w:next w:val="NoList"/>
    <w:uiPriority w:val="99"/>
    <w:semiHidden/>
    <w:unhideWhenUsed/>
    <w:rsid w:val="0046431A"/>
  </w:style>
  <w:style w:type="numbering" w:customStyle="1" w:styleId="NoList31244">
    <w:name w:val="No List31244"/>
    <w:next w:val="NoList"/>
    <w:semiHidden/>
    <w:rsid w:val="0046431A"/>
  </w:style>
  <w:style w:type="numbering" w:customStyle="1" w:styleId="NoList4244">
    <w:name w:val="No List4244"/>
    <w:next w:val="NoList"/>
    <w:uiPriority w:val="99"/>
    <w:semiHidden/>
    <w:unhideWhenUsed/>
    <w:rsid w:val="0046431A"/>
  </w:style>
  <w:style w:type="numbering" w:customStyle="1" w:styleId="NoList292">
    <w:name w:val="No List292"/>
    <w:next w:val="NoList"/>
    <w:uiPriority w:val="99"/>
    <w:semiHidden/>
    <w:unhideWhenUsed/>
    <w:rsid w:val="0046431A"/>
  </w:style>
  <w:style w:type="numbering" w:customStyle="1" w:styleId="NoList302">
    <w:name w:val="No List302"/>
    <w:next w:val="NoList"/>
    <w:uiPriority w:val="99"/>
    <w:semiHidden/>
    <w:unhideWhenUsed/>
    <w:rsid w:val="0046431A"/>
  </w:style>
  <w:style w:type="numbering" w:customStyle="1" w:styleId="NoList1182">
    <w:name w:val="No List1182"/>
    <w:next w:val="NoList"/>
    <w:uiPriority w:val="99"/>
    <w:semiHidden/>
    <w:unhideWhenUsed/>
    <w:rsid w:val="0046431A"/>
  </w:style>
  <w:style w:type="numbering" w:customStyle="1" w:styleId="NoList1192">
    <w:name w:val="No List1192"/>
    <w:next w:val="NoList"/>
    <w:uiPriority w:val="99"/>
    <w:semiHidden/>
    <w:rsid w:val="0046431A"/>
  </w:style>
  <w:style w:type="numbering" w:customStyle="1" w:styleId="NoList11152">
    <w:name w:val="No List11152"/>
    <w:next w:val="NoList"/>
    <w:uiPriority w:val="99"/>
    <w:semiHidden/>
    <w:unhideWhenUsed/>
    <w:rsid w:val="0046431A"/>
  </w:style>
  <w:style w:type="numbering" w:customStyle="1" w:styleId="NoList2102">
    <w:name w:val="No List2102"/>
    <w:next w:val="NoList"/>
    <w:uiPriority w:val="99"/>
    <w:semiHidden/>
    <w:unhideWhenUsed/>
    <w:rsid w:val="0046431A"/>
  </w:style>
  <w:style w:type="numbering" w:customStyle="1" w:styleId="NoList382">
    <w:name w:val="No List382"/>
    <w:next w:val="NoList"/>
    <w:semiHidden/>
    <w:unhideWhenUsed/>
    <w:rsid w:val="0046431A"/>
  </w:style>
  <w:style w:type="numbering" w:customStyle="1" w:styleId="NoList1252">
    <w:name w:val="No List1252"/>
    <w:next w:val="NoList"/>
    <w:semiHidden/>
    <w:rsid w:val="0046431A"/>
  </w:style>
  <w:style w:type="numbering" w:customStyle="1" w:styleId="NoList472">
    <w:name w:val="No List472"/>
    <w:next w:val="NoList"/>
    <w:uiPriority w:val="99"/>
    <w:semiHidden/>
    <w:unhideWhenUsed/>
    <w:rsid w:val="0046431A"/>
  </w:style>
  <w:style w:type="numbering" w:customStyle="1" w:styleId="NoList1352">
    <w:name w:val="No List1352"/>
    <w:next w:val="NoList"/>
    <w:semiHidden/>
    <w:rsid w:val="0046431A"/>
  </w:style>
  <w:style w:type="numbering" w:customStyle="1" w:styleId="NoList2172">
    <w:name w:val="No List2172"/>
    <w:next w:val="NoList"/>
    <w:uiPriority w:val="99"/>
    <w:semiHidden/>
    <w:unhideWhenUsed/>
    <w:rsid w:val="0046431A"/>
  </w:style>
  <w:style w:type="numbering" w:customStyle="1" w:styleId="NoList3172">
    <w:name w:val="No List3172"/>
    <w:next w:val="NoList"/>
    <w:uiPriority w:val="99"/>
    <w:semiHidden/>
    <w:unhideWhenUsed/>
    <w:rsid w:val="0046431A"/>
  </w:style>
  <w:style w:type="numbering" w:customStyle="1" w:styleId="NoList111132">
    <w:name w:val="No List111132"/>
    <w:next w:val="NoList"/>
    <w:uiPriority w:val="99"/>
    <w:semiHidden/>
    <w:unhideWhenUsed/>
    <w:rsid w:val="0046431A"/>
  </w:style>
  <w:style w:type="numbering" w:customStyle="1" w:styleId="NoList21152">
    <w:name w:val="No List21152"/>
    <w:next w:val="NoList"/>
    <w:uiPriority w:val="99"/>
    <w:semiHidden/>
    <w:unhideWhenUsed/>
    <w:rsid w:val="0046431A"/>
  </w:style>
  <w:style w:type="numbering" w:customStyle="1" w:styleId="NoList31152">
    <w:name w:val="No List31152"/>
    <w:next w:val="NoList"/>
    <w:semiHidden/>
    <w:rsid w:val="0046431A"/>
  </w:style>
  <w:style w:type="numbering" w:customStyle="1" w:styleId="NoList4152">
    <w:name w:val="No List4152"/>
    <w:next w:val="NoList"/>
    <w:uiPriority w:val="99"/>
    <w:semiHidden/>
    <w:unhideWhenUsed/>
    <w:rsid w:val="0046431A"/>
  </w:style>
  <w:style w:type="numbering" w:customStyle="1" w:styleId="NoList552">
    <w:name w:val="No List552"/>
    <w:next w:val="NoList"/>
    <w:uiPriority w:val="99"/>
    <w:semiHidden/>
    <w:unhideWhenUsed/>
    <w:rsid w:val="0046431A"/>
  </w:style>
  <w:style w:type="numbering" w:customStyle="1" w:styleId="NoList1452">
    <w:name w:val="No List1452"/>
    <w:next w:val="NoList"/>
    <w:semiHidden/>
    <w:rsid w:val="0046431A"/>
  </w:style>
  <w:style w:type="numbering" w:customStyle="1" w:styleId="NoList2252">
    <w:name w:val="No List2252"/>
    <w:next w:val="NoList"/>
    <w:uiPriority w:val="99"/>
    <w:semiHidden/>
    <w:unhideWhenUsed/>
    <w:rsid w:val="0046431A"/>
  </w:style>
  <w:style w:type="numbering" w:customStyle="1" w:styleId="NoList3252">
    <w:name w:val="No List3252"/>
    <w:next w:val="NoList"/>
    <w:uiPriority w:val="99"/>
    <w:semiHidden/>
    <w:unhideWhenUsed/>
    <w:rsid w:val="0046431A"/>
  </w:style>
  <w:style w:type="numbering" w:customStyle="1" w:styleId="NoList11252">
    <w:name w:val="No List11252"/>
    <w:next w:val="NoList"/>
    <w:uiPriority w:val="99"/>
    <w:semiHidden/>
    <w:unhideWhenUsed/>
    <w:rsid w:val="0046431A"/>
  </w:style>
  <w:style w:type="numbering" w:customStyle="1" w:styleId="NoList21252">
    <w:name w:val="No List21252"/>
    <w:next w:val="NoList"/>
    <w:uiPriority w:val="99"/>
    <w:semiHidden/>
    <w:unhideWhenUsed/>
    <w:rsid w:val="0046431A"/>
  </w:style>
  <w:style w:type="numbering" w:customStyle="1" w:styleId="NoList31252">
    <w:name w:val="No List31252"/>
    <w:next w:val="NoList"/>
    <w:semiHidden/>
    <w:rsid w:val="0046431A"/>
  </w:style>
  <w:style w:type="numbering" w:customStyle="1" w:styleId="NoList4252">
    <w:name w:val="No List4252"/>
    <w:next w:val="NoList"/>
    <w:uiPriority w:val="99"/>
    <w:semiHidden/>
    <w:unhideWhenUsed/>
    <w:rsid w:val="0046431A"/>
  </w:style>
  <w:style w:type="numbering" w:customStyle="1" w:styleId="NoList612">
    <w:name w:val="No List612"/>
    <w:next w:val="NoList"/>
    <w:uiPriority w:val="99"/>
    <w:semiHidden/>
    <w:unhideWhenUsed/>
    <w:rsid w:val="0046431A"/>
  </w:style>
  <w:style w:type="numbering" w:customStyle="1" w:styleId="NoList1512">
    <w:name w:val="No List1512"/>
    <w:next w:val="NoList"/>
    <w:uiPriority w:val="99"/>
    <w:semiHidden/>
    <w:rsid w:val="0046431A"/>
  </w:style>
  <w:style w:type="numbering" w:customStyle="1" w:styleId="NoList11312">
    <w:name w:val="No List11312"/>
    <w:next w:val="NoList"/>
    <w:uiPriority w:val="99"/>
    <w:semiHidden/>
    <w:unhideWhenUsed/>
    <w:rsid w:val="0046431A"/>
  </w:style>
  <w:style w:type="numbering" w:customStyle="1" w:styleId="NoList2312">
    <w:name w:val="No List2312"/>
    <w:next w:val="NoList"/>
    <w:uiPriority w:val="99"/>
    <w:semiHidden/>
    <w:unhideWhenUsed/>
    <w:rsid w:val="0046431A"/>
  </w:style>
  <w:style w:type="numbering" w:customStyle="1" w:styleId="NoList3312">
    <w:name w:val="No List3312"/>
    <w:next w:val="NoList"/>
    <w:semiHidden/>
    <w:unhideWhenUsed/>
    <w:rsid w:val="0046431A"/>
  </w:style>
  <w:style w:type="numbering" w:customStyle="1" w:styleId="NoList12112">
    <w:name w:val="No List12112"/>
    <w:next w:val="NoList"/>
    <w:semiHidden/>
    <w:rsid w:val="0046431A"/>
  </w:style>
  <w:style w:type="numbering" w:customStyle="1" w:styleId="NoList4312">
    <w:name w:val="No List4312"/>
    <w:next w:val="NoList"/>
    <w:uiPriority w:val="99"/>
    <w:semiHidden/>
    <w:unhideWhenUsed/>
    <w:rsid w:val="0046431A"/>
  </w:style>
  <w:style w:type="numbering" w:customStyle="1" w:styleId="NoList13112">
    <w:name w:val="No List13112"/>
    <w:next w:val="NoList"/>
    <w:semiHidden/>
    <w:rsid w:val="0046431A"/>
  </w:style>
  <w:style w:type="numbering" w:customStyle="1" w:styleId="NoList21312">
    <w:name w:val="No List21312"/>
    <w:next w:val="NoList"/>
    <w:uiPriority w:val="99"/>
    <w:semiHidden/>
    <w:unhideWhenUsed/>
    <w:rsid w:val="0046431A"/>
  </w:style>
  <w:style w:type="numbering" w:customStyle="1" w:styleId="NoList31312">
    <w:name w:val="No List31312"/>
    <w:next w:val="NoList"/>
    <w:uiPriority w:val="99"/>
    <w:semiHidden/>
    <w:unhideWhenUsed/>
    <w:rsid w:val="0046431A"/>
  </w:style>
  <w:style w:type="numbering" w:customStyle="1" w:styleId="NoList11111112">
    <w:name w:val="No List11111112"/>
    <w:next w:val="NoList"/>
    <w:uiPriority w:val="99"/>
    <w:semiHidden/>
    <w:unhideWhenUsed/>
    <w:rsid w:val="0046431A"/>
  </w:style>
  <w:style w:type="numbering" w:customStyle="1" w:styleId="NoList211112">
    <w:name w:val="No List211112"/>
    <w:next w:val="NoList"/>
    <w:uiPriority w:val="99"/>
    <w:semiHidden/>
    <w:unhideWhenUsed/>
    <w:rsid w:val="0046431A"/>
  </w:style>
  <w:style w:type="numbering" w:customStyle="1" w:styleId="NoList311112">
    <w:name w:val="No List311112"/>
    <w:next w:val="NoList"/>
    <w:semiHidden/>
    <w:rsid w:val="0046431A"/>
  </w:style>
  <w:style w:type="numbering" w:customStyle="1" w:styleId="NoList41112">
    <w:name w:val="No List41112"/>
    <w:next w:val="NoList"/>
    <w:uiPriority w:val="99"/>
    <w:semiHidden/>
    <w:unhideWhenUsed/>
    <w:rsid w:val="0046431A"/>
  </w:style>
  <w:style w:type="numbering" w:customStyle="1" w:styleId="NoList5112">
    <w:name w:val="No List5112"/>
    <w:next w:val="NoList"/>
    <w:uiPriority w:val="99"/>
    <w:semiHidden/>
    <w:unhideWhenUsed/>
    <w:rsid w:val="0046431A"/>
  </w:style>
  <w:style w:type="numbering" w:customStyle="1" w:styleId="NoList14112">
    <w:name w:val="No List14112"/>
    <w:next w:val="NoList"/>
    <w:semiHidden/>
    <w:rsid w:val="0046431A"/>
  </w:style>
  <w:style w:type="numbering" w:customStyle="1" w:styleId="NoList22112">
    <w:name w:val="No List22112"/>
    <w:next w:val="NoList"/>
    <w:uiPriority w:val="99"/>
    <w:semiHidden/>
    <w:unhideWhenUsed/>
    <w:rsid w:val="0046431A"/>
  </w:style>
  <w:style w:type="numbering" w:customStyle="1" w:styleId="NoList32112">
    <w:name w:val="No List32112"/>
    <w:next w:val="NoList"/>
    <w:uiPriority w:val="99"/>
    <w:semiHidden/>
    <w:unhideWhenUsed/>
    <w:rsid w:val="0046431A"/>
  </w:style>
  <w:style w:type="numbering" w:customStyle="1" w:styleId="NoList112112">
    <w:name w:val="No List112112"/>
    <w:next w:val="NoList"/>
    <w:uiPriority w:val="99"/>
    <w:semiHidden/>
    <w:unhideWhenUsed/>
    <w:rsid w:val="0046431A"/>
  </w:style>
  <w:style w:type="numbering" w:customStyle="1" w:styleId="NoList212112">
    <w:name w:val="No List212112"/>
    <w:next w:val="NoList"/>
    <w:uiPriority w:val="99"/>
    <w:semiHidden/>
    <w:unhideWhenUsed/>
    <w:rsid w:val="0046431A"/>
  </w:style>
  <w:style w:type="numbering" w:customStyle="1" w:styleId="NoList312112">
    <w:name w:val="No List312112"/>
    <w:next w:val="NoList"/>
    <w:semiHidden/>
    <w:rsid w:val="0046431A"/>
  </w:style>
  <w:style w:type="numbering" w:customStyle="1" w:styleId="NoList42112">
    <w:name w:val="No List42112"/>
    <w:next w:val="NoList"/>
    <w:uiPriority w:val="99"/>
    <w:semiHidden/>
    <w:unhideWhenUsed/>
    <w:rsid w:val="0046431A"/>
  </w:style>
  <w:style w:type="numbering" w:customStyle="1" w:styleId="NoList712">
    <w:name w:val="No List712"/>
    <w:next w:val="NoList"/>
    <w:uiPriority w:val="99"/>
    <w:semiHidden/>
    <w:unhideWhenUsed/>
    <w:rsid w:val="0046431A"/>
  </w:style>
  <w:style w:type="numbering" w:customStyle="1" w:styleId="NoList1612">
    <w:name w:val="No List1612"/>
    <w:next w:val="NoList"/>
    <w:uiPriority w:val="99"/>
    <w:semiHidden/>
    <w:unhideWhenUsed/>
    <w:rsid w:val="0046431A"/>
  </w:style>
  <w:style w:type="numbering" w:customStyle="1" w:styleId="NoList11412">
    <w:name w:val="No List11412"/>
    <w:next w:val="NoList"/>
    <w:uiPriority w:val="99"/>
    <w:semiHidden/>
    <w:rsid w:val="0046431A"/>
  </w:style>
  <w:style w:type="numbering" w:customStyle="1" w:styleId="NoList111212">
    <w:name w:val="No List111212"/>
    <w:next w:val="NoList"/>
    <w:uiPriority w:val="99"/>
    <w:semiHidden/>
    <w:unhideWhenUsed/>
    <w:rsid w:val="0046431A"/>
  </w:style>
  <w:style w:type="numbering" w:customStyle="1" w:styleId="NoList2412">
    <w:name w:val="No List2412"/>
    <w:next w:val="NoList"/>
    <w:uiPriority w:val="99"/>
    <w:semiHidden/>
    <w:unhideWhenUsed/>
    <w:rsid w:val="0046431A"/>
  </w:style>
  <w:style w:type="numbering" w:customStyle="1" w:styleId="NoList3412">
    <w:name w:val="No List3412"/>
    <w:next w:val="NoList"/>
    <w:semiHidden/>
    <w:unhideWhenUsed/>
    <w:rsid w:val="0046431A"/>
  </w:style>
  <w:style w:type="numbering" w:customStyle="1" w:styleId="NoList12212">
    <w:name w:val="No List12212"/>
    <w:next w:val="NoList"/>
    <w:semiHidden/>
    <w:rsid w:val="0046431A"/>
  </w:style>
  <w:style w:type="numbering" w:customStyle="1" w:styleId="NoList4412">
    <w:name w:val="No List4412"/>
    <w:next w:val="NoList"/>
    <w:uiPriority w:val="99"/>
    <w:semiHidden/>
    <w:unhideWhenUsed/>
    <w:rsid w:val="0046431A"/>
  </w:style>
  <w:style w:type="numbering" w:customStyle="1" w:styleId="NoList13212">
    <w:name w:val="No List13212"/>
    <w:next w:val="NoList"/>
    <w:semiHidden/>
    <w:rsid w:val="0046431A"/>
  </w:style>
  <w:style w:type="numbering" w:customStyle="1" w:styleId="NoList21412">
    <w:name w:val="No List21412"/>
    <w:next w:val="NoList"/>
    <w:uiPriority w:val="99"/>
    <w:semiHidden/>
    <w:unhideWhenUsed/>
    <w:rsid w:val="0046431A"/>
  </w:style>
  <w:style w:type="numbering" w:customStyle="1" w:styleId="NoList31412">
    <w:name w:val="No List31412"/>
    <w:next w:val="NoList"/>
    <w:uiPriority w:val="99"/>
    <w:semiHidden/>
    <w:unhideWhenUsed/>
    <w:rsid w:val="0046431A"/>
  </w:style>
  <w:style w:type="numbering" w:customStyle="1" w:styleId="NoList111111112">
    <w:name w:val="No List111111112"/>
    <w:next w:val="NoList"/>
    <w:uiPriority w:val="99"/>
    <w:semiHidden/>
    <w:unhideWhenUsed/>
    <w:rsid w:val="0046431A"/>
  </w:style>
  <w:style w:type="numbering" w:customStyle="1" w:styleId="NoList211212">
    <w:name w:val="No List211212"/>
    <w:next w:val="NoList"/>
    <w:uiPriority w:val="99"/>
    <w:semiHidden/>
    <w:unhideWhenUsed/>
    <w:rsid w:val="0046431A"/>
  </w:style>
  <w:style w:type="numbering" w:customStyle="1" w:styleId="NoList311212">
    <w:name w:val="No List311212"/>
    <w:next w:val="NoList"/>
    <w:semiHidden/>
    <w:rsid w:val="0046431A"/>
  </w:style>
  <w:style w:type="numbering" w:customStyle="1" w:styleId="NoList41212">
    <w:name w:val="No List41212"/>
    <w:next w:val="NoList"/>
    <w:uiPriority w:val="99"/>
    <w:semiHidden/>
    <w:unhideWhenUsed/>
    <w:rsid w:val="0046431A"/>
  </w:style>
  <w:style w:type="numbering" w:customStyle="1" w:styleId="NoList5212">
    <w:name w:val="No List5212"/>
    <w:next w:val="NoList"/>
    <w:uiPriority w:val="99"/>
    <w:semiHidden/>
    <w:unhideWhenUsed/>
    <w:rsid w:val="0046431A"/>
  </w:style>
  <w:style w:type="numbering" w:customStyle="1" w:styleId="NoList14212">
    <w:name w:val="No List14212"/>
    <w:next w:val="NoList"/>
    <w:semiHidden/>
    <w:rsid w:val="0046431A"/>
  </w:style>
  <w:style w:type="numbering" w:customStyle="1" w:styleId="NoList22212">
    <w:name w:val="No List22212"/>
    <w:next w:val="NoList"/>
    <w:uiPriority w:val="99"/>
    <w:semiHidden/>
    <w:unhideWhenUsed/>
    <w:rsid w:val="0046431A"/>
  </w:style>
  <w:style w:type="numbering" w:customStyle="1" w:styleId="NoList32212">
    <w:name w:val="No List32212"/>
    <w:next w:val="NoList"/>
    <w:uiPriority w:val="99"/>
    <w:semiHidden/>
    <w:unhideWhenUsed/>
    <w:rsid w:val="0046431A"/>
  </w:style>
  <w:style w:type="numbering" w:customStyle="1" w:styleId="NoList112212">
    <w:name w:val="No List112212"/>
    <w:next w:val="NoList"/>
    <w:uiPriority w:val="99"/>
    <w:semiHidden/>
    <w:unhideWhenUsed/>
    <w:rsid w:val="0046431A"/>
  </w:style>
  <w:style w:type="numbering" w:customStyle="1" w:styleId="NoList212212">
    <w:name w:val="No List212212"/>
    <w:next w:val="NoList"/>
    <w:uiPriority w:val="99"/>
    <w:semiHidden/>
    <w:unhideWhenUsed/>
    <w:rsid w:val="0046431A"/>
  </w:style>
  <w:style w:type="numbering" w:customStyle="1" w:styleId="NoList312212">
    <w:name w:val="No List312212"/>
    <w:next w:val="NoList"/>
    <w:semiHidden/>
    <w:rsid w:val="0046431A"/>
  </w:style>
  <w:style w:type="numbering" w:customStyle="1" w:styleId="NoList42212">
    <w:name w:val="No List42212"/>
    <w:next w:val="NoList"/>
    <w:uiPriority w:val="99"/>
    <w:semiHidden/>
    <w:unhideWhenUsed/>
    <w:rsid w:val="0046431A"/>
  </w:style>
  <w:style w:type="numbering" w:customStyle="1" w:styleId="NoList812">
    <w:name w:val="No List812"/>
    <w:next w:val="NoList"/>
    <w:uiPriority w:val="99"/>
    <w:semiHidden/>
    <w:unhideWhenUsed/>
    <w:rsid w:val="0046431A"/>
  </w:style>
  <w:style w:type="numbering" w:customStyle="1" w:styleId="NoList1712">
    <w:name w:val="No List1712"/>
    <w:next w:val="NoList"/>
    <w:uiPriority w:val="99"/>
    <w:semiHidden/>
    <w:unhideWhenUsed/>
    <w:rsid w:val="0046431A"/>
  </w:style>
  <w:style w:type="numbering" w:customStyle="1" w:styleId="NoList2512">
    <w:name w:val="No List2512"/>
    <w:next w:val="NoList"/>
    <w:uiPriority w:val="99"/>
    <w:semiHidden/>
    <w:unhideWhenUsed/>
    <w:rsid w:val="0046431A"/>
  </w:style>
  <w:style w:type="numbering" w:customStyle="1" w:styleId="NoList3512">
    <w:name w:val="No List3512"/>
    <w:next w:val="NoList"/>
    <w:uiPriority w:val="99"/>
    <w:semiHidden/>
    <w:unhideWhenUsed/>
    <w:rsid w:val="0046431A"/>
  </w:style>
  <w:style w:type="numbering" w:customStyle="1" w:styleId="NoList912">
    <w:name w:val="No List912"/>
    <w:next w:val="NoList"/>
    <w:uiPriority w:val="99"/>
    <w:semiHidden/>
    <w:unhideWhenUsed/>
    <w:rsid w:val="0046431A"/>
  </w:style>
  <w:style w:type="numbering" w:customStyle="1" w:styleId="NoList1012">
    <w:name w:val="No List1012"/>
    <w:next w:val="NoList"/>
    <w:uiPriority w:val="99"/>
    <w:semiHidden/>
    <w:unhideWhenUsed/>
    <w:rsid w:val="0046431A"/>
  </w:style>
  <w:style w:type="numbering" w:customStyle="1" w:styleId="NoList1812">
    <w:name w:val="No List1812"/>
    <w:next w:val="NoList"/>
    <w:uiPriority w:val="99"/>
    <w:semiHidden/>
    <w:unhideWhenUsed/>
    <w:rsid w:val="0046431A"/>
  </w:style>
  <w:style w:type="numbering" w:customStyle="1" w:styleId="NoList1912">
    <w:name w:val="No List1912"/>
    <w:next w:val="NoList"/>
    <w:uiPriority w:val="99"/>
    <w:semiHidden/>
    <w:unhideWhenUsed/>
    <w:rsid w:val="0046431A"/>
  </w:style>
  <w:style w:type="numbering" w:customStyle="1" w:styleId="NoList11012">
    <w:name w:val="No List11012"/>
    <w:next w:val="NoList"/>
    <w:uiPriority w:val="99"/>
    <w:semiHidden/>
    <w:rsid w:val="0046431A"/>
  </w:style>
  <w:style w:type="numbering" w:customStyle="1" w:styleId="NoList11512">
    <w:name w:val="No List11512"/>
    <w:next w:val="NoList"/>
    <w:uiPriority w:val="99"/>
    <w:semiHidden/>
    <w:unhideWhenUsed/>
    <w:rsid w:val="0046431A"/>
  </w:style>
  <w:style w:type="numbering" w:customStyle="1" w:styleId="NoList2612">
    <w:name w:val="No List2612"/>
    <w:next w:val="NoList"/>
    <w:uiPriority w:val="99"/>
    <w:semiHidden/>
    <w:unhideWhenUsed/>
    <w:rsid w:val="0046431A"/>
  </w:style>
  <w:style w:type="numbering" w:customStyle="1" w:styleId="NoList3612">
    <w:name w:val="No List3612"/>
    <w:next w:val="NoList"/>
    <w:semiHidden/>
    <w:unhideWhenUsed/>
    <w:rsid w:val="0046431A"/>
  </w:style>
  <w:style w:type="numbering" w:customStyle="1" w:styleId="NoList12312">
    <w:name w:val="No List12312"/>
    <w:next w:val="NoList"/>
    <w:semiHidden/>
    <w:rsid w:val="0046431A"/>
  </w:style>
  <w:style w:type="numbering" w:customStyle="1" w:styleId="NoList4512">
    <w:name w:val="No List4512"/>
    <w:next w:val="NoList"/>
    <w:uiPriority w:val="99"/>
    <w:semiHidden/>
    <w:unhideWhenUsed/>
    <w:rsid w:val="0046431A"/>
  </w:style>
  <w:style w:type="numbering" w:customStyle="1" w:styleId="NoList13312">
    <w:name w:val="No List13312"/>
    <w:next w:val="NoList"/>
    <w:semiHidden/>
    <w:rsid w:val="0046431A"/>
  </w:style>
  <w:style w:type="numbering" w:customStyle="1" w:styleId="NoList21512">
    <w:name w:val="No List21512"/>
    <w:next w:val="NoList"/>
    <w:uiPriority w:val="99"/>
    <w:semiHidden/>
    <w:unhideWhenUsed/>
    <w:rsid w:val="0046431A"/>
  </w:style>
  <w:style w:type="numbering" w:customStyle="1" w:styleId="NoList31512">
    <w:name w:val="No List31512"/>
    <w:next w:val="NoList"/>
    <w:uiPriority w:val="99"/>
    <w:semiHidden/>
    <w:unhideWhenUsed/>
    <w:rsid w:val="0046431A"/>
  </w:style>
  <w:style w:type="numbering" w:customStyle="1" w:styleId="NoList111312">
    <w:name w:val="No List111312"/>
    <w:next w:val="NoList"/>
    <w:uiPriority w:val="99"/>
    <w:semiHidden/>
    <w:unhideWhenUsed/>
    <w:rsid w:val="0046431A"/>
  </w:style>
  <w:style w:type="numbering" w:customStyle="1" w:styleId="NoList211312">
    <w:name w:val="No List211312"/>
    <w:next w:val="NoList"/>
    <w:uiPriority w:val="99"/>
    <w:semiHidden/>
    <w:unhideWhenUsed/>
    <w:rsid w:val="0046431A"/>
  </w:style>
  <w:style w:type="numbering" w:customStyle="1" w:styleId="NoList311312">
    <w:name w:val="No List311312"/>
    <w:next w:val="NoList"/>
    <w:semiHidden/>
    <w:rsid w:val="0046431A"/>
  </w:style>
  <w:style w:type="numbering" w:customStyle="1" w:styleId="NoList41312">
    <w:name w:val="No List41312"/>
    <w:next w:val="NoList"/>
    <w:uiPriority w:val="99"/>
    <w:semiHidden/>
    <w:unhideWhenUsed/>
    <w:rsid w:val="0046431A"/>
  </w:style>
  <w:style w:type="numbering" w:customStyle="1" w:styleId="NoList5312">
    <w:name w:val="No List5312"/>
    <w:next w:val="NoList"/>
    <w:uiPriority w:val="99"/>
    <w:semiHidden/>
    <w:unhideWhenUsed/>
    <w:rsid w:val="0046431A"/>
  </w:style>
  <w:style w:type="numbering" w:customStyle="1" w:styleId="NoList14312">
    <w:name w:val="No List14312"/>
    <w:next w:val="NoList"/>
    <w:semiHidden/>
    <w:rsid w:val="0046431A"/>
  </w:style>
  <w:style w:type="numbering" w:customStyle="1" w:styleId="NoList22312">
    <w:name w:val="No List22312"/>
    <w:next w:val="NoList"/>
    <w:uiPriority w:val="99"/>
    <w:semiHidden/>
    <w:unhideWhenUsed/>
    <w:rsid w:val="0046431A"/>
  </w:style>
  <w:style w:type="numbering" w:customStyle="1" w:styleId="NoList32312">
    <w:name w:val="No List32312"/>
    <w:next w:val="NoList"/>
    <w:uiPriority w:val="99"/>
    <w:semiHidden/>
    <w:unhideWhenUsed/>
    <w:rsid w:val="0046431A"/>
  </w:style>
  <w:style w:type="numbering" w:customStyle="1" w:styleId="NoList112312">
    <w:name w:val="No List112312"/>
    <w:next w:val="NoList"/>
    <w:uiPriority w:val="99"/>
    <w:semiHidden/>
    <w:unhideWhenUsed/>
    <w:rsid w:val="0046431A"/>
  </w:style>
  <w:style w:type="numbering" w:customStyle="1" w:styleId="NoList212312">
    <w:name w:val="No List212312"/>
    <w:next w:val="NoList"/>
    <w:uiPriority w:val="99"/>
    <w:semiHidden/>
    <w:unhideWhenUsed/>
    <w:rsid w:val="0046431A"/>
  </w:style>
  <w:style w:type="numbering" w:customStyle="1" w:styleId="NoList312312">
    <w:name w:val="No List312312"/>
    <w:next w:val="NoList"/>
    <w:semiHidden/>
    <w:rsid w:val="0046431A"/>
  </w:style>
  <w:style w:type="numbering" w:customStyle="1" w:styleId="NoList42312">
    <w:name w:val="No List42312"/>
    <w:next w:val="NoList"/>
    <w:uiPriority w:val="99"/>
    <w:semiHidden/>
    <w:unhideWhenUsed/>
    <w:rsid w:val="0046431A"/>
  </w:style>
  <w:style w:type="numbering" w:customStyle="1" w:styleId="NoList2012">
    <w:name w:val="No List2012"/>
    <w:next w:val="NoList"/>
    <w:uiPriority w:val="99"/>
    <w:semiHidden/>
    <w:unhideWhenUsed/>
    <w:rsid w:val="0046431A"/>
  </w:style>
  <w:style w:type="numbering" w:customStyle="1" w:styleId="NoList2712">
    <w:name w:val="No List2712"/>
    <w:next w:val="NoList"/>
    <w:uiPriority w:val="99"/>
    <w:semiHidden/>
    <w:unhideWhenUsed/>
    <w:rsid w:val="0046431A"/>
  </w:style>
  <w:style w:type="numbering" w:customStyle="1" w:styleId="NoList11612">
    <w:name w:val="No List11612"/>
    <w:next w:val="NoList"/>
    <w:uiPriority w:val="99"/>
    <w:semiHidden/>
    <w:unhideWhenUsed/>
    <w:rsid w:val="0046431A"/>
  </w:style>
  <w:style w:type="numbering" w:customStyle="1" w:styleId="NoList11712">
    <w:name w:val="No List11712"/>
    <w:next w:val="NoList"/>
    <w:uiPriority w:val="99"/>
    <w:semiHidden/>
    <w:rsid w:val="0046431A"/>
  </w:style>
  <w:style w:type="numbering" w:customStyle="1" w:styleId="NoList111412">
    <w:name w:val="No List111412"/>
    <w:next w:val="NoList"/>
    <w:uiPriority w:val="99"/>
    <w:semiHidden/>
    <w:unhideWhenUsed/>
    <w:rsid w:val="0046431A"/>
  </w:style>
  <w:style w:type="numbering" w:customStyle="1" w:styleId="NoList2812">
    <w:name w:val="No List2812"/>
    <w:next w:val="NoList"/>
    <w:uiPriority w:val="99"/>
    <w:semiHidden/>
    <w:unhideWhenUsed/>
    <w:rsid w:val="0046431A"/>
  </w:style>
  <w:style w:type="numbering" w:customStyle="1" w:styleId="NoList3712">
    <w:name w:val="No List3712"/>
    <w:next w:val="NoList"/>
    <w:semiHidden/>
    <w:unhideWhenUsed/>
    <w:rsid w:val="0046431A"/>
  </w:style>
  <w:style w:type="numbering" w:customStyle="1" w:styleId="NoList12412">
    <w:name w:val="No List12412"/>
    <w:next w:val="NoList"/>
    <w:semiHidden/>
    <w:rsid w:val="0046431A"/>
  </w:style>
  <w:style w:type="numbering" w:customStyle="1" w:styleId="NoList4612">
    <w:name w:val="No List4612"/>
    <w:next w:val="NoList"/>
    <w:uiPriority w:val="99"/>
    <w:semiHidden/>
    <w:unhideWhenUsed/>
    <w:rsid w:val="0046431A"/>
  </w:style>
  <w:style w:type="numbering" w:customStyle="1" w:styleId="NoList13412">
    <w:name w:val="No List13412"/>
    <w:next w:val="NoList"/>
    <w:semiHidden/>
    <w:rsid w:val="0046431A"/>
  </w:style>
  <w:style w:type="numbering" w:customStyle="1" w:styleId="NoList21612">
    <w:name w:val="No List21612"/>
    <w:next w:val="NoList"/>
    <w:uiPriority w:val="99"/>
    <w:semiHidden/>
    <w:unhideWhenUsed/>
    <w:rsid w:val="0046431A"/>
  </w:style>
  <w:style w:type="numbering" w:customStyle="1" w:styleId="NoList31612">
    <w:name w:val="No List31612"/>
    <w:next w:val="NoList"/>
    <w:uiPriority w:val="99"/>
    <w:semiHidden/>
    <w:unhideWhenUsed/>
    <w:rsid w:val="0046431A"/>
  </w:style>
  <w:style w:type="numbering" w:customStyle="1" w:styleId="NoList1111212">
    <w:name w:val="No List1111212"/>
    <w:next w:val="NoList"/>
    <w:uiPriority w:val="99"/>
    <w:semiHidden/>
    <w:unhideWhenUsed/>
    <w:rsid w:val="0046431A"/>
  </w:style>
  <w:style w:type="numbering" w:customStyle="1" w:styleId="NoList211412">
    <w:name w:val="No List211412"/>
    <w:next w:val="NoList"/>
    <w:uiPriority w:val="99"/>
    <w:semiHidden/>
    <w:unhideWhenUsed/>
    <w:rsid w:val="0046431A"/>
  </w:style>
  <w:style w:type="numbering" w:customStyle="1" w:styleId="NoList311412">
    <w:name w:val="No List311412"/>
    <w:next w:val="NoList"/>
    <w:semiHidden/>
    <w:rsid w:val="0046431A"/>
  </w:style>
  <w:style w:type="numbering" w:customStyle="1" w:styleId="NoList41412">
    <w:name w:val="No List41412"/>
    <w:next w:val="NoList"/>
    <w:uiPriority w:val="99"/>
    <w:semiHidden/>
    <w:unhideWhenUsed/>
    <w:rsid w:val="0046431A"/>
  </w:style>
  <w:style w:type="numbering" w:customStyle="1" w:styleId="NoList5412">
    <w:name w:val="No List5412"/>
    <w:next w:val="NoList"/>
    <w:uiPriority w:val="99"/>
    <w:semiHidden/>
    <w:unhideWhenUsed/>
    <w:rsid w:val="0046431A"/>
  </w:style>
  <w:style w:type="numbering" w:customStyle="1" w:styleId="NoList14412">
    <w:name w:val="No List14412"/>
    <w:next w:val="NoList"/>
    <w:semiHidden/>
    <w:rsid w:val="0046431A"/>
  </w:style>
  <w:style w:type="numbering" w:customStyle="1" w:styleId="NoList22412">
    <w:name w:val="No List22412"/>
    <w:next w:val="NoList"/>
    <w:uiPriority w:val="99"/>
    <w:semiHidden/>
    <w:unhideWhenUsed/>
    <w:rsid w:val="0046431A"/>
  </w:style>
  <w:style w:type="numbering" w:customStyle="1" w:styleId="NoList32412">
    <w:name w:val="No List32412"/>
    <w:next w:val="NoList"/>
    <w:uiPriority w:val="99"/>
    <w:semiHidden/>
    <w:unhideWhenUsed/>
    <w:rsid w:val="0046431A"/>
  </w:style>
  <w:style w:type="numbering" w:customStyle="1" w:styleId="NoList112412">
    <w:name w:val="No List112412"/>
    <w:next w:val="NoList"/>
    <w:uiPriority w:val="99"/>
    <w:semiHidden/>
    <w:unhideWhenUsed/>
    <w:rsid w:val="0046431A"/>
  </w:style>
  <w:style w:type="numbering" w:customStyle="1" w:styleId="NoList212412">
    <w:name w:val="No List212412"/>
    <w:next w:val="NoList"/>
    <w:uiPriority w:val="99"/>
    <w:semiHidden/>
    <w:unhideWhenUsed/>
    <w:rsid w:val="0046431A"/>
  </w:style>
  <w:style w:type="numbering" w:customStyle="1" w:styleId="NoList312412">
    <w:name w:val="No List312412"/>
    <w:next w:val="NoList"/>
    <w:semiHidden/>
    <w:rsid w:val="0046431A"/>
  </w:style>
  <w:style w:type="numbering" w:customStyle="1" w:styleId="NoList42412">
    <w:name w:val="No List42412"/>
    <w:next w:val="NoList"/>
    <w:uiPriority w:val="99"/>
    <w:semiHidden/>
    <w:unhideWhenUsed/>
    <w:rsid w:val="0046431A"/>
  </w:style>
  <w:style w:type="numbering" w:customStyle="1" w:styleId="NoList392">
    <w:name w:val="No List392"/>
    <w:next w:val="NoList"/>
    <w:uiPriority w:val="99"/>
    <w:semiHidden/>
    <w:unhideWhenUsed/>
    <w:rsid w:val="0046431A"/>
  </w:style>
  <w:style w:type="numbering" w:customStyle="1" w:styleId="NoList1202">
    <w:name w:val="No List1202"/>
    <w:next w:val="NoList"/>
    <w:uiPriority w:val="99"/>
    <w:semiHidden/>
    <w:unhideWhenUsed/>
    <w:rsid w:val="0046431A"/>
  </w:style>
  <w:style w:type="numbering" w:customStyle="1" w:styleId="NoList11102">
    <w:name w:val="No List11102"/>
    <w:next w:val="NoList"/>
    <w:uiPriority w:val="99"/>
    <w:semiHidden/>
    <w:rsid w:val="0046431A"/>
  </w:style>
  <w:style w:type="numbering" w:customStyle="1" w:styleId="NoList11162">
    <w:name w:val="No List11162"/>
    <w:next w:val="NoList"/>
    <w:uiPriority w:val="99"/>
    <w:semiHidden/>
    <w:unhideWhenUsed/>
    <w:rsid w:val="0046431A"/>
  </w:style>
  <w:style w:type="numbering" w:customStyle="1" w:styleId="NoList2182">
    <w:name w:val="No List2182"/>
    <w:next w:val="NoList"/>
    <w:uiPriority w:val="99"/>
    <w:semiHidden/>
    <w:unhideWhenUsed/>
    <w:rsid w:val="0046431A"/>
  </w:style>
  <w:style w:type="numbering" w:customStyle="1" w:styleId="NoList3102">
    <w:name w:val="No List3102"/>
    <w:next w:val="NoList"/>
    <w:semiHidden/>
    <w:unhideWhenUsed/>
    <w:rsid w:val="0046431A"/>
  </w:style>
  <w:style w:type="numbering" w:customStyle="1" w:styleId="NoList1262">
    <w:name w:val="No List1262"/>
    <w:next w:val="NoList"/>
    <w:semiHidden/>
    <w:rsid w:val="0046431A"/>
  </w:style>
  <w:style w:type="numbering" w:customStyle="1" w:styleId="NoList482">
    <w:name w:val="No List482"/>
    <w:next w:val="NoList"/>
    <w:uiPriority w:val="99"/>
    <w:semiHidden/>
    <w:unhideWhenUsed/>
    <w:rsid w:val="0046431A"/>
  </w:style>
  <w:style w:type="numbering" w:customStyle="1" w:styleId="NoList1362">
    <w:name w:val="No List1362"/>
    <w:next w:val="NoList"/>
    <w:semiHidden/>
    <w:rsid w:val="0046431A"/>
  </w:style>
  <w:style w:type="numbering" w:customStyle="1" w:styleId="NoList2192">
    <w:name w:val="No List2192"/>
    <w:next w:val="NoList"/>
    <w:uiPriority w:val="99"/>
    <w:semiHidden/>
    <w:unhideWhenUsed/>
    <w:rsid w:val="0046431A"/>
  </w:style>
  <w:style w:type="numbering" w:customStyle="1" w:styleId="NoList3182">
    <w:name w:val="No List3182"/>
    <w:next w:val="NoList"/>
    <w:uiPriority w:val="99"/>
    <w:semiHidden/>
    <w:unhideWhenUsed/>
    <w:rsid w:val="0046431A"/>
  </w:style>
  <w:style w:type="numbering" w:customStyle="1" w:styleId="NoList111142">
    <w:name w:val="No List111142"/>
    <w:next w:val="NoList"/>
    <w:uiPriority w:val="99"/>
    <w:semiHidden/>
    <w:unhideWhenUsed/>
    <w:rsid w:val="0046431A"/>
  </w:style>
  <w:style w:type="numbering" w:customStyle="1" w:styleId="NoList21162">
    <w:name w:val="No List21162"/>
    <w:next w:val="NoList"/>
    <w:uiPriority w:val="99"/>
    <w:semiHidden/>
    <w:unhideWhenUsed/>
    <w:rsid w:val="0046431A"/>
  </w:style>
  <w:style w:type="numbering" w:customStyle="1" w:styleId="NoList31162">
    <w:name w:val="No List31162"/>
    <w:next w:val="NoList"/>
    <w:semiHidden/>
    <w:rsid w:val="0046431A"/>
  </w:style>
  <w:style w:type="numbering" w:customStyle="1" w:styleId="NoList4162">
    <w:name w:val="No List4162"/>
    <w:next w:val="NoList"/>
    <w:uiPriority w:val="99"/>
    <w:semiHidden/>
    <w:unhideWhenUsed/>
    <w:rsid w:val="0046431A"/>
  </w:style>
  <w:style w:type="numbering" w:customStyle="1" w:styleId="NoList562">
    <w:name w:val="No List562"/>
    <w:next w:val="NoList"/>
    <w:uiPriority w:val="99"/>
    <w:semiHidden/>
    <w:unhideWhenUsed/>
    <w:rsid w:val="0046431A"/>
  </w:style>
  <w:style w:type="numbering" w:customStyle="1" w:styleId="NoList1462">
    <w:name w:val="No List1462"/>
    <w:next w:val="NoList"/>
    <w:semiHidden/>
    <w:rsid w:val="0046431A"/>
  </w:style>
  <w:style w:type="numbering" w:customStyle="1" w:styleId="NoList2262">
    <w:name w:val="No List2262"/>
    <w:next w:val="NoList"/>
    <w:uiPriority w:val="99"/>
    <w:semiHidden/>
    <w:unhideWhenUsed/>
    <w:rsid w:val="0046431A"/>
  </w:style>
  <w:style w:type="numbering" w:customStyle="1" w:styleId="NoList3262">
    <w:name w:val="No List3262"/>
    <w:next w:val="NoList"/>
    <w:uiPriority w:val="99"/>
    <w:semiHidden/>
    <w:unhideWhenUsed/>
    <w:rsid w:val="0046431A"/>
  </w:style>
  <w:style w:type="numbering" w:customStyle="1" w:styleId="NoList11262">
    <w:name w:val="No List11262"/>
    <w:next w:val="NoList"/>
    <w:uiPriority w:val="99"/>
    <w:semiHidden/>
    <w:unhideWhenUsed/>
    <w:rsid w:val="0046431A"/>
  </w:style>
  <w:style w:type="numbering" w:customStyle="1" w:styleId="NoList21262">
    <w:name w:val="No List21262"/>
    <w:next w:val="NoList"/>
    <w:uiPriority w:val="99"/>
    <w:semiHidden/>
    <w:unhideWhenUsed/>
    <w:rsid w:val="0046431A"/>
  </w:style>
  <w:style w:type="numbering" w:customStyle="1" w:styleId="NoList31262">
    <w:name w:val="No List31262"/>
    <w:next w:val="NoList"/>
    <w:semiHidden/>
    <w:rsid w:val="0046431A"/>
  </w:style>
  <w:style w:type="numbering" w:customStyle="1" w:styleId="NoList4262">
    <w:name w:val="No List4262"/>
    <w:next w:val="NoList"/>
    <w:uiPriority w:val="99"/>
    <w:semiHidden/>
    <w:unhideWhenUsed/>
    <w:rsid w:val="0046431A"/>
  </w:style>
  <w:style w:type="numbering" w:customStyle="1" w:styleId="NoList622">
    <w:name w:val="No List622"/>
    <w:next w:val="NoList"/>
    <w:uiPriority w:val="99"/>
    <w:semiHidden/>
    <w:unhideWhenUsed/>
    <w:rsid w:val="0046431A"/>
  </w:style>
  <w:style w:type="numbering" w:customStyle="1" w:styleId="NoList1522">
    <w:name w:val="No List1522"/>
    <w:next w:val="NoList"/>
    <w:uiPriority w:val="99"/>
    <w:semiHidden/>
    <w:rsid w:val="0046431A"/>
  </w:style>
  <w:style w:type="numbering" w:customStyle="1" w:styleId="NoList11322">
    <w:name w:val="No List11322"/>
    <w:next w:val="NoList"/>
    <w:uiPriority w:val="99"/>
    <w:semiHidden/>
    <w:unhideWhenUsed/>
    <w:rsid w:val="0046431A"/>
  </w:style>
  <w:style w:type="numbering" w:customStyle="1" w:styleId="NoList2322">
    <w:name w:val="No List2322"/>
    <w:next w:val="NoList"/>
    <w:uiPriority w:val="99"/>
    <w:semiHidden/>
    <w:unhideWhenUsed/>
    <w:rsid w:val="0046431A"/>
  </w:style>
  <w:style w:type="numbering" w:customStyle="1" w:styleId="NoList3322">
    <w:name w:val="No List3322"/>
    <w:next w:val="NoList"/>
    <w:semiHidden/>
    <w:unhideWhenUsed/>
    <w:rsid w:val="0046431A"/>
  </w:style>
  <w:style w:type="numbering" w:customStyle="1" w:styleId="NoList12122">
    <w:name w:val="No List12122"/>
    <w:next w:val="NoList"/>
    <w:semiHidden/>
    <w:rsid w:val="0046431A"/>
  </w:style>
  <w:style w:type="numbering" w:customStyle="1" w:styleId="NoList4322">
    <w:name w:val="No List4322"/>
    <w:next w:val="NoList"/>
    <w:uiPriority w:val="99"/>
    <w:semiHidden/>
    <w:unhideWhenUsed/>
    <w:rsid w:val="0046431A"/>
  </w:style>
  <w:style w:type="numbering" w:customStyle="1" w:styleId="NoList13122">
    <w:name w:val="No List13122"/>
    <w:next w:val="NoList"/>
    <w:semiHidden/>
    <w:rsid w:val="0046431A"/>
  </w:style>
  <w:style w:type="numbering" w:customStyle="1" w:styleId="NoList21322">
    <w:name w:val="No List21322"/>
    <w:next w:val="NoList"/>
    <w:uiPriority w:val="99"/>
    <w:semiHidden/>
    <w:unhideWhenUsed/>
    <w:rsid w:val="0046431A"/>
  </w:style>
  <w:style w:type="numbering" w:customStyle="1" w:styleId="NoList31322">
    <w:name w:val="No List31322"/>
    <w:next w:val="NoList"/>
    <w:uiPriority w:val="99"/>
    <w:semiHidden/>
    <w:unhideWhenUsed/>
    <w:rsid w:val="0046431A"/>
  </w:style>
  <w:style w:type="numbering" w:customStyle="1" w:styleId="NoList1111122">
    <w:name w:val="No List1111122"/>
    <w:next w:val="NoList"/>
    <w:uiPriority w:val="99"/>
    <w:semiHidden/>
    <w:unhideWhenUsed/>
    <w:rsid w:val="0046431A"/>
  </w:style>
  <w:style w:type="numbering" w:customStyle="1" w:styleId="NoList211122">
    <w:name w:val="No List211122"/>
    <w:next w:val="NoList"/>
    <w:uiPriority w:val="99"/>
    <w:semiHidden/>
    <w:unhideWhenUsed/>
    <w:rsid w:val="0046431A"/>
  </w:style>
  <w:style w:type="numbering" w:customStyle="1" w:styleId="NoList311122">
    <w:name w:val="No List311122"/>
    <w:next w:val="NoList"/>
    <w:semiHidden/>
    <w:rsid w:val="0046431A"/>
  </w:style>
  <w:style w:type="numbering" w:customStyle="1" w:styleId="NoList41122">
    <w:name w:val="No List41122"/>
    <w:next w:val="NoList"/>
    <w:uiPriority w:val="99"/>
    <w:semiHidden/>
    <w:unhideWhenUsed/>
    <w:rsid w:val="0046431A"/>
  </w:style>
  <w:style w:type="numbering" w:customStyle="1" w:styleId="NoList5122">
    <w:name w:val="No List5122"/>
    <w:next w:val="NoList"/>
    <w:uiPriority w:val="99"/>
    <w:semiHidden/>
    <w:unhideWhenUsed/>
    <w:rsid w:val="0046431A"/>
  </w:style>
  <w:style w:type="numbering" w:customStyle="1" w:styleId="NoList14122">
    <w:name w:val="No List14122"/>
    <w:next w:val="NoList"/>
    <w:semiHidden/>
    <w:rsid w:val="0046431A"/>
  </w:style>
  <w:style w:type="numbering" w:customStyle="1" w:styleId="NoList22122">
    <w:name w:val="No List22122"/>
    <w:next w:val="NoList"/>
    <w:uiPriority w:val="99"/>
    <w:semiHidden/>
    <w:unhideWhenUsed/>
    <w:rsid w:val="0046431A"/>
  </w:style>
  <w:style w:type="numbering" w:customStyle="1" w:styleId="NoList32122">
    <w:name w:val="No List32122"/>
    <w:next w:val="NoList"/>
    <w:uiPriority w:val="99"/>
    <w:semiHidden/>
    <w:unhideWhenUsed/>
    <w:rsid w:val="0046431A"/>
  </w:style>
  <w:style w:type="numbering" w:customStyle="1" w:styleId="NoList112122">
    <w:name w:val="No List112122"/>
    <w:next w:val="NoList"/>
    <w:uiPriority w:val="99"/>
    <w:semiHidden/>
    <w:unhideWhenUsed/>
    <w:rsid w:val="0046431A"/>
  </w:style>
  <w:style w:type="numbering" w:customStyle="1" w:styleId="NoList212122">
    <w:name w:val="No List212122"/>
    <w:next w:val="NoList"/>
    <w:uiPriority w:val="99"/>
    <w:semiHidden/>
    <w:unhideWhenUsed/>
    <w:rsid w:val="0046431A"/>
  </w:style>
  <w:style w:type="numbering" w:customStyle="1" w:styleId="NoList312122">
    <w:name w:val="No List312122"/>
    <w:next w:val="NoList"/>
    <w:semiHidden/>
    <w:rsid w:val="0046431A"/>
  </w:style>
  <w:style w:type="numbering" w:customStyle="1" w:styleId="NoList42122">
    <w:name w:val="No List42122"/>
    <w:next w:val="NoList"/>
    <w:uiPriority w:val="99"/>
    <w:semiHidden/>
    <w:unhideWhenUsed/>
    <w:rsid w:val="0046431A"/>
  </w:style>
  <w:style w:type="numbering" w:customStyle="1" w:styleId="NoList722">
    <w:name w:val="No List722"/>
    <w:next w:val="NoList"/>
    <w:uiPriority w:val="99"/>
    <w:semiHidden/>
    <w:unhideWhenUsed/>
    <w:rsid w:val="0046431A"/>
  </w:style>
  <w:style w:type="numbering" w:customStyle="1" w:styleId="NoList1622">
    <w:name w:val="No List1622"/>
    <w:next w:val="NoList"/>
    <w:uiPriority w:val="99"/>
    <w:semiHidden/>
    <w:unhideWhenUsed/>
    <w:rsid w:val="0046431A"/>
  </w:style>
  <w:style w:type="numbering" w:customStyle="1" w:styleId="NoList11422">
    <w:name w:val="No List11422"/>
    <w:next w:val="NoList"/>
    <w:uiPriority w:val="99"/>
    <w:semiHidden/>
    <w:rsid w:val="0046431A"/>
  </w:style>
  <w:style w:type="numbering" w:customStyle="1" w:styleId="NoList111222">
    <w:name w:val="No List111222"/>
    <w:next w:val="NoList"/>
    <w:uiPriority w:val="99"/>
    <w:semiHidden/>
    <w:unhideWhenUsed/>
    <w:rsid w:val="0046431A"/>
  </w:style>
  <w:style w:type="numbering" w:customStyle="1" w:styleId="NoList2422">
    <w:name w:val="No List2422"/>
    <w:next w:val="NoList"/>
    <w:uiPriority w:val="99"/>
    <w:semiHidden/>
    <w:unhideWhenUsed/>
    <w:rsid w:val="0046431A"/>
  </w:style>
  <w:style w:type="numbering" w:customStyle="1" w:styleId="NoList3422">
    <w:name w:val="No List3422"/>
    <w:next w:val="NoList"/>
    <w:semiHidden/>
    <w:unhideWhenUsed/>
    <w:rsid w:val="0046431A"/>
  </w:style>
  <w:style w:type="numbering" w:customStyle="1" w:styleId="NoList12222">
    <w:name w:val="No List12222"/>
    <w:next w:val="NoList"/>
    <w:semiHidden/>
    <w:rsid w:val="0046431A"/>
  </w:style>
  <w:style w:type="numbering" w:customStyle="1" w:styleId="NoList4422">
    <w:name w:val="No List4422"/>
    <w:next w:val="NoList"/>
    <w:uiPriority w:val="99"/>
    <w:semiHidden/>
    <w:unhideWhenUsed/>
    <w:rsid w:val="0046431A"/>
  </w:style>
  <w:style w:type="numbering" w:customStyle="1" w:styleId="NoList13222">
    <w:name w:val="No List13222"/>
    <w:next w:val="NoList"/>
    <w:semiHidden/>
    <w:rsid w:val="0046431A"/>
  </w:style>
  <w:style w:type="numbering" w:customStyle="1" w:styleId="NoList21422">
    <w:name w:val="No List21422"/>
    <w:next w:val="NoList"/>
    <w:uiPriority w:val="99"/>
    <w:semiHidden/>
    <w:unhideWhenUsed/>
    <w:rsid w:val="0046431A"/>
  </w:style>
  <w:style w:type="numbering" w:customStyle="1" w:styleId="NoList31422">
    <w:name w:val="No List31422"/>
    <w:next w:val="NoList"/>
    <w:uiPriority w:val="99"/>
    <w:semiHidden/>
    <w:unhideWhenUsed/>
    <w:rsid w:val="0046431A"/>
  </w:style>
  <w:style w:type="numbering" w:customStyle="1" w:styleId="NoList11111122">
    <w:name w:val="No List11111122"/>
    <w:next w:val="NoList"/>
    <w:uiPriority w:val="99"/>
    <w:semiHidden/>
    <w:unhideWhenUsed/>
    <w:rsid w:val="0046431A"/>
  </w:style>
  <w:style w:type="numbering" w:customStyle="1" w:styleId="NoList211222">
    <w:name w:val="No List211222"/>
    <w:next w:val="NoList"/>
    <w:uiPriority w:val="99"/>
    <w:semiHidden/>
    <w:unhideWhenUsed/>
    <w:rsid w:val="0046431A"/>
  </w:style>
  <w:style w:type="numbering" w:customStyle="1" w:styleId="NoList311222">
    <w:name w:val="No List311222"/>
    <w:next w:val="NoList"/>
    <w:semiHidden/>
    <w:rsid w:val="0046431A"/>
  </w:style>
  <w:style w:type="numbering" w:customStyle="1" w:styleId="NoList41222">
    <w:name w:val="No List41222"/>
    <w:next w:val="NoList"/>
    <w:uiPriority w:val="99"/>
    <w:semiHidden/>
    <w:unhideWhenUsed/>
    <w:rsid w:val="0046431A"/>
  </w:style>
  <w:style w:type="numbering" w:customStyle="1" w:styleId="NoList5222">
    <w:name w:val="No List5222"/>
    <w:next w:val="NoList"/>
    <w:uiPriority w:val="99"/>
    <w:semiHidden/>
    <w:unhideWhenUsed/>
    <w:rsid w:val="0046431A"/>
  </w:style>
  <w:style w:type="numbering" w:customStyle="1" w:styleId="NoList14222">
    <w:name w:val="No List14222"/>
    <w:next w:val="NoList"/>
    <w:semiHidden/>
    <w:rsid w:val="0046431A"/>
  </w:style>
  <w:style w:type="numbering" w:customStyle="1" w:styleId="NoList22222">
    <w:name w:val="No List22222"/>
    <w:next w:val="NoList"/>
    <w:uiPriority w:val="99"/>
    <w:semiHidden/>
    <w:unhideWhenUsed/>
    <w:rsid w:val="0046431A"/>
  </w:style>
  <w:style w:type="numbering" w:customStyle="1" w:styleId="NoList32222">
    <w:name w:val="No List32222"/>
    <w:next w:val="NoList"/>
    <w:uiPriority w:val="99"/>
    <w:semiHidden/>
    <w:unhideWhenUsed/>
    <w:rsid w:val="0046431A"/>
  </w:style>
  <w:style w:type="numbering" w:customStyle="1" w:styleId="NoList112222">
    <w:name w:val="No List112222"/>
    <w:next w:val="NoList"/>
    <w:uiPriority w:val="99"/>
    <w:semiHidden/>
    <w:unhideWhenUsed/>
    <w:rsid w:val="0046431A"/>
  </w:style>
  <w:style w:type="numbering" w:customStyle="1" w:styleId="NoList212222">
    <w:name w:val="No List212222"/>
    <w:next w:val="NoList"/>
    <w:uiPriority w:val="99"/>
    <w:semiHidden/>
    <w:unhideWhenUsed/>
    <w:rsid w:val="0046431A"/>
  </w:style>
  <w:style w:type="numbering" w:customStyle="1" w:styleId="NoList312222">
    <w:name w:val="No List312222"/>
    <w:next w:val="NoList"/>
    <w:semiHidden/>
    <w:rsid w:val="0046431A"/>
  </w:style>
  <w:style w:type="numbering" w:customStyle="1" w:styleId="NoList42222">
    <w:name w:val="No List42222"/>
    <w:next w:val="NoList"/>
    <w:uiPriority w:val="99"/>
    <w:semiHidden/>
    <w:unhideWhenUsed/>
    <w:rsid w:val="0046431A"/>
  </w:style>
  <w:style w:type="numbering" w:customStyle="1" w:styleId="NoList822">
    <w:name w:val="No List822"/>
    <w:next w:val="NoList"/>
    <w:uiPriority w:val="99"/>
    <w:semiHidden/>
    <w:unhideWhenUsed/>
    <w:rsid w:val="0046431A"/>
  </w:style>
  <w:style w:type="numbering" w:customStyle="1" w:styleId="NoList1722">
    <w:name w:val="No List1722"/>
    <w:next w:val="NoList"/>
    <w:uiPriority w:val="99"/>
    <w:semiHidden/>
    <w:unhideWhenUsed/>
    <w:rsid w:val="0046431A"/>
  </w:style>
  <w:style w:type="numbering" w:customStyle="1" w:styleId="NoList2522">
    <w:name w:val="No List2522"/>
    <w:next w:val="NoList"/>
    <w:uiPriority w:val="99"/>
    <w:semiHidden/>
    <w:unhideWhenUsed/>
    <w:rsid w:val="0046431A"/>
  </w:style>
  <w:style w:type="numbering" w:customStyle="1" w:styleId="NoList3522">
    <w:name w:val="No List3522"/>
    <w:next w:val="NoList"/>
    <w:uiPriority w:val="99"/>
    <w:semiHidden/>
    <w:unhideWhenUsed/>
    <w:rsid w:val="0046431A"/>
  </w:style>
  <w:style w:type="numbering" w:customStyle="1" w:styleId="NoList922">
    <w:name w:val="No List922"/>
    <w:next w:val="NoList"/>
    <w:uiPriority w:val="99"/>
    <w:semiHidden/>
    <w:unhideWhenUsed/>
    <w:rsid w:val="0046431A"/>
  </w:style>
  <w:style w:type="numbering" w:customStyle="1" w:styleId="NoList1022">
    <w:name w:val="No List1022"/>
    <w:next w:val="NoList"/>
    <w:uiPriority w:val="99"/>
    <w:semiHidden/>
    <w:unhideWhenUsed/>
    <w:rsid w:val="0046431A"/>
  </w:style>
  <w:style w:type="numbering" w:customStyle="1" w:styleId="NoList1822">
    <w:name w:val="No List1822"/>
    <w:next w:val="NoList"/>
    <w:uiPriority w:val="99"/>
    <w:semiHidden/>
    <w:unhideWhenUsed/>
    <w:rsid w:val="0046431A"/>
  </w:style>
  <w:style w:type="numbering" w:customStyle="1" w:styleId="NoList1922">
    <w:name w:val="No List1922"/>
    <w:next w:val="NoList"/>
    <w:uiPriority w:val="99"/>
    <w:semiHidden/>
    <w:unhideWhenUsed/>
    <w:rsid w:val="0046431A"/>
  </w:style>
  <w:style w:type="numbering" w:customStyle="1" w:styleId="NoList11022">
    <w:name w:val="No List11022"/>
    <w:next w:val="NoList"/>
    <w:uiPriority w:val="99"/>
    <w:semiHidden/>
    <w:rsid w:val="0046431A"/>
  </w:style>
  <w:style w:type="numbering" w:customStyle="1" w:styleId="NoList11522">
    <w:name w:val="No List11522"/>
    <w:next w:val="NoList"/>
    <w:uiPriority w:val="99"/>
    <w:semiHidden/>
    <w:unhideWhenUsed/>
    <w:rsid w:val="0046431A"/>
  </w:style>
  <w:style w:type="numbering" w:customStyle="1" w:styleId="NoList2622">
    <w:name w:val="No List2622"/>
    <w:next w:val="NoList"/>
    <w:uiPriority w:val="99"/>
    <w:semiHidden/>
    <w:unhideWhenUsed/>
    <w:rsid w:val="0046431A"/>
  </w:style>
  <w:style w:type="numbering" w:customStyle="1" w:styleId="NoList3622">
    <w:name w:val="No List3622"/>
    <w:next w:val="NoList"/>
    <w:semiHidden/>
    <w:unhideWhenUsed/>
    <w:rsid w:val="0046431A"/>
  </w:style>
  <w:style w:type="numbering" w:customStyle="1" w:styleId="NoList12322">
    <w:name w:val="No List12322"/>
    <w:next w:val="NoList"/>
    <w:semiHidden/>
    <w:rsid w:val="0046431A"/>
  </w:style>
  <w:style w:type="numbering" w:customStyle="1" w:styleId="NoList4522">
    <w:name w:val="No List4522"/>
    <w:next w:val="NoList"/>
    <w:uiPriority w:val="99"/>
    <w:semiHidden/>
    <w:unhideWhenUsed/>
    <w:rsid w:val="0046431A"/>
  </w:style>
  <w:style w:type="numbering" w:customStyle="1" w:styleId="NoList13322">
    <w:name w:val="No List13322"/>
    <w:next w:val="NoList"/>
    <w:semiHidden/>
    <w:rsid w:val="0046431A"/>
  </w:style>
  <w:style w:type="numbering" w:customStyle="1" w:styleId="NoList21522">
    <w:name w:val="No List21522"/>
    <w:next w:val="NoList"/>
    <w:uiPriority w:val="99"/>
    <w:semiHidden/>
    <w:unhideWhenUsed/>
    <w:rsid w:val="0046431A"/>
  </w:style>
  <w:style w:type="numbering" w:customStyle="1" w:styleId="NoList31522">
    <w:name w:val="No List31522"/>
    <w:next w:val="NoList"/>
    <w:uiPriority w:val="99"/>
    <w:semiHidden/>
    <w:unhideWhenUsed/>
    <w:rsid w:val="0046431A"/>
  </w:style>
  <w:style w:type="numbering" w:customStyle="1" w:styleId="NoList111322">
    <w:name w:val="No List111322"/>
    <w:next w:val="NoList"/>
    <w:uiPriority w:val="99"/>
    <w:semiHidden/>
    <w:unhideWhenUsed/>
    <w:rsid w:val="0046431A"/>
  </w:style>
  <w:style w:type="numbering" w:customStyle="1" w:styleId="NoList211322">
    <w:name w:val="No List211322"/>
    <w:next w:val="NoList"/>
    <w:uiPriority w:val="99"/>
    <w:semiHidden/>
    <w:unhideWhenUsed/>
    <w:rsid w:val="0046431A"/>
  </w:style>
  <w:style w:type="numbering" w:customStyle="1" w:styleId="NoList311322">
    <w:name w:val="No List311322"/>
    <w:next w:val="NoList"/>
    <w:semiHidden/>
    <w:rsid w:val="0046431A"/>
  </w:style>
  <w:style w:type="numbering" w:customStyle="1" w:styleId="NoList41322">
    <w:name w:val="No List41322"/>
    <w:next w:val="NoList"/>
    <w:uiPriority w:val="99"/>
    <w:semiHidden/>
    <w:unhideWhenUsed/>
    <w:rsid w:val="0046431A"/>
  </w:style>
  <w:style w:type="numbering" w:customStyle="1" w:styleId="NoList5322">
    <w:name w:val="No List5322"/>
    <w:next w:val="NoList"/>
    <w:uiPriority w:val="99"/>
    <w:semiHidden/>
    <w:unhideWhenUsed/>
    <w:rsid w:val="0046431A"/>
  </w:style>
  <w:style w:type="numbering" w:customStyle="1" w:styleId="NoList14322">
    <w:name w:val="No List14322"/>
    <w:next w:val="NoList"/>
    <w:semiHidden/>
    <w:rsid w:val="0046431A"/>
  </w:style>
  <w:style w:type="numbering" w:customStyle="1" w:styleId="NoList22322">
    <w:name w:val="No List22322"/>
    <w:next w:val="NoList"/>
    <w:uiPriority w:val="99"/>
    <w:semiHidden/>
    <w:unhideWhenUsed/>
    <w:rsid w:val="0046431A"/>
  </w:style>
  <w:style w:type="numbering" w:customStyle="1" w:styleId="NoList32322">
    <w:name w:val="No List32322"/>
    <w:next w:val="NoList"/>
    <w:uiPriority w:val="99"/>
    <w:semiHidden/>
    <w:unhideWhenUsed/>
    <w:rsid w:val="0046431A"/>
  </w:style>
  <w:style w:type="numbering" w:customStyle="1" w:styleId="NoList112322">
    <w:name w:val="No List112322"/>
    <w:next w:val="NoList"/>
    <w:uiPriority w:val="99"/>
    <w:semiHidden/>
    <w:unhideWhenUsed/>
    <w:rsid w:val="0046431A"/>
  </w:style>
  <w:style w:type="numbering" w:customStyle="1" w:styleId="NoList212322">
    <w:name w:val="No List212322"/>
    <w:next w:val="NoList"/>
    <w:uiPriority w:val="99"/>
    <w:semiHidden/>
    <w:unhideWhenUsed/>
    <w:rsid w:val="0046431A"/>
  </w:style>
  <w:style w:type="numbering" w:customStyle="1" w:styleId="NoList312322">
    <w:name w:val="No List312322"/>
    <w:next w:val="NoList"/>
    <w:semiHidden/>
    <w:rsid w:val="0046431A"/>
  </w:style>
  <w:style w:type="numbering" w:customStyle="1" w:styleId="NoList42322">
    <w:name w:val="No List42322"/>
    <w:next w:val="NoList"/>
    <w:uiPriority w:val="99"/>
    <w:semiHidden/>
    <w:unhideWhenUsed/>
    <w:rsid w:val="0046431A"/>
  </w:style>
  <w:style w:type="numbering" w:customStyle="1" w:styleId="NoList2022">
    <w:name w:val="No List2022"/>
    <w:next w:val="NoList"/>
    <w:uiPriority w:val="99"/>
    <w:semiHidden/>
    <w:unhideWhenUsed/>
    <w:rsid w:val="0046431A"/>
  </w:style>
  <w:style w:type="numbering" w:customStyle="1" w:styleId="NoList2722">
    <w:name w:val="No List2722"/>
    <w:next w:val="NoList"/>
    <w:uiPriority w:val="99"/>
    <w:semiHidden/>
    <w:unhideWhenUsed/>
    <w:rsid w:val="0046431A"/>
  </w:style>
  <w:style w:type="numbering" w:customStyle="1" w:styleId="NoList11622">
    <w:name w:val="No List11622"/>
    <w:next w:val="NoList"/>
    <w:uiPriority w:val="99"/>
    <w:semiHidden/>
    <w:unhideWhenUsed/>
    <w:rsid w:val="0046431A"/>
  </w:style>
  <w:style w:type="numbering" w:customStyle="1" w:styleId="NoList11722">
    <w:name w:val="No List11722"/>
    <w:next w:val="NoList"/>
    <w:uiPriority w:val="99"/>
    <w:semiHidden/>
    <w:rsid w:val="0046431A"/>
  </w:style>
  <w:style w:type="numbering" w:customStyle="1" w:styleId="NoList111422">
    <w:name w:val="No List111422"/>
    <w:next w:val="NoList"/>
    <w:uiPriority w:val="99"/>
    <w:semiHidden/>
    <w:unhideWhenUsed/>
    <w:rsid w:val="0046431A"/>
  </w:style>
  <w:style w:type="numbering" w:customStyle="1" w:styleId="NoList2822">
    <w:name w:val="No List2822"/>
    <w:next w:val="NoList"/>
    <w:uiPriority w:val="99"/>
    <w:semiHidden/>
    <w:unhideWhenUsed/>
    <w:rsid w:val="0046431A"/>
  </w:style>
  <w:style w:type="numbering" w:customStyle="1" w:styleId="NoList3722">
    <w:name w:val="No List3722"/>
    <w:next w:val="NoList"/>
    <w:semiHidden/>
    <w:unhideWhenUsed/>
    <w:rsid w:val="0046431A"/>
  </w:style>
  <w:style w:type="numbering" w:customStyle="1" w:styleId="NoList12422">
    <w:name w:val="No List12422"/>
    <w:next w:val="NoList"/>
    <w:semiHidden/>
    <w:rsid w:val="0046431A"/>
  </w:style>
  <w:style w:type="numbering" w:customStyle="1" w:styleId="NoList4622">
    <w:name w:val="No List4622"/>
    <w:next w:val="NoList"/>
    <w:uiPriority w:val="99"/>
    <w:semiHidden/>
    <w:unhideWhenUsed/>
    <w:rsid w:val="0046431A"/>
  </w:style>
  <w:style w:type="numbering" w:customStyle="1" w:styleId="NoList13422">
    <w:name w:val="No List13422"/>
    <w:next w:val="NoList"/>
    <w:semiHidden/>
    <w:rsid w:val="0046431A"/>
  </w:style>
  <w:style w:type="numbering" w:customStyle="1" w:styleId="NoList21622">
    <w:name w:val="No List21622"/>
    <w:next w:val="NoList"/>
    <w:uiPriority w:val="99"/>
    <w:semiHidden/>
    <w:unhideWhenUsed/>
    <w:rsid w:val="0046431A"/>
  </w:style>
  <w:style w:type="numbering" w:customStyle="1" w:styleId="NoList31622">
    <w:name w:val="No List31622"/>
    <w:next w:val="NoList"/>
    <w:uiPriority w:val="99"/>
    <w:semiHidden/>
    <w:unhideWhenUsed/>
    <w:rsid w:val="0046431A"/>
  </w:style>
  <w:style w:type="numbering" w:customStyle="1" w:styleId="NoList1111222">
    <w:name w:val="No List1111222"/>
    <w:next w:val="NoList"/>
    <w:uiPriority w:val="99"/>
    <w:semiHidden/>
    <w:unhideWhenUsed/>
    <w:rsid w:val="0046431A"/>
  </w:style>
  <w:style w:type="numbering" w:customStyle="1" w:styleId="NoList211422">
    <w:name w:val="No List211422"/>
    <w:next w:val="NoList"/>
    <w:uiPriority w:val="99"/>
    <w:semiHidden/>
    <w:unhideWhenUsed/>
    <w:rsid w:val="0046431A"/>
  </w:style>
  <w:style w:type="numbering" w:customStyle="1" w:styleId="NoList311422">
    <w:name w:val="No List311422"/>
    <w:next w:val="NoList"/>
    <w:semiHidden/>
    <w:rsid w:val="0046431A"/>
  </w:style>
  <w:style w:type="numbering" w:customStyle="1" w:styleId="NoList41422">
    <w:name w:val="No List41422"/>
    <w:next w:val="NoList"/>
    <w:uiPriority w:val="99"/>
    <w:semiHidden/>
    <w:unhideWhenUsed/>
    <w:rsid w:val="0046431A"/>
  </w:style>
  <w:style w:type="numbering" w:customStyle="1" w:styleId="NoList5422">
    <w:name w:val="No List5422"/>
    <w:next w:val="NoList"/>
    <w:uiPriority w:val="99"/>
    <w:semiHidden/>
    <w:unhideWhenUsed/>
    <w:rsid w:val="0046431A"/>
  </w:style>
  <w:style w:type="numbering" w:customStyle="1" w:styleId="NoList14422">
    <w:name w:val="No List14422"/>
    <w:next w:val="NoList"/>
    <w:semiHidden/>
    <w:rsid w:val="0046431A"/>
  </w:style>
  <w:style w:type="numbering" w:customStyle="1" w:styleId="NoList22422">
    <w:name w:val="No List22422"/>
    <w:next w:val="NoList"/>
    <w:uiPriority w:val="99"/>
    <w:semiHidden/>
    <w:unhideWhenUsed/>
    <w:rsid w:val="0046431A"/>
  </w:style>
  <w:style w:type="numbering" w:customStyle="1" w:styleId="NoList32422">
    <w:name w:val="No List32422"/>
    <w:next w:val="NoList"/>
    <w:uiPriority w:val="99"/>
    <w:semiHidden/>
    <w:unhideWhenUsed/>
    <w:rsid w:val="0046431A"/>
  </w:style>
  <w:style w:type="numbering" w:customStyle="1" w:styleId="NoList112422">
    <w:name w:val="No List112422"/>
    <w:next w:val="NoList"/>
    <w:uiPriority w:val="99"/>
    <w:semiHidden/>
    <w:unhideWhenUsed/>
    <w:rsid w:val="0046431A"/>
  </w:style>
  <w:style w:type="numbering" w:customStyle="1" w:styleId="NoList212422">
    <w:name w:val="No List212422"/>
    <w:next w:val="NoList"/>
    <w:uiPriority w:val="99"/>
    <w:semiHidden/>
    <w:unhideWhenUsed/>
    <w:rsid w:val="0046431A"/>
  </w:style>
  <w:style w:type="numbering" w:customStyle="1" w:styleId="NoList312422">
    <w:name w:val="No List312422"/>
    <w:next w:val="NoList"/>
    <w:semiHidden/>
    <w:rsid w:val="0046431A"/>
  </w:style>
  <w:style w:type="numbering" w:customStyle="1" w:styleId="NoList42422">
    <w:name w:val="No List42422"/>
    <w:next w:val="NoList"/>
    <w:uiPriority w:val="99"/>
    <w:semiHidden/>
    <w:unhideWhenUsed/>
    <w:rsid w:val="0046431A"/>
  </w:style>
  <w:style w:type="numbering" w:customStyle="1" w:styleId="NoList402">
    <w:name w:val="No List402"/>
    <w:next w:val="NoList"/>
    <w:uiPriority w:val="99"/>
    <w:semiHidden/>
    <w:unhideWhenUsed/>
    <w:rsid w:val="0046431A"/>
  </w:style>
  <w:style w:type="numbering" w:customStyle="1" w:styleId="NoList1272">
    <w:name w:val="No List1272"/>
    <w:next w:val="NoList"/>
    <w:uiPriority w:val="99"/>
    <w:semiHidden/>
    <w:unhideWhenUsed/>
    <w:rsid w:val="0046431A"/>
  </w:style>
  <w:style w:type="numbering" w:customStyle="1" w:styleId="NoList2202">
    <w:name w:val="No List2202"/>
    <w:next w:val="NoList"/>
    <w:uiPriority w:val="99"/>
    <w:semiHidden/>
    <w:unhideWhenUsed/>
    <w:rsid w:val="0046431A"/>
  </w:style>
  <w:style w:type="numbering" w:customStyle="1" w:styleId="NoList3192">
    <w:name w:val="No List3192"/>
    <w:next w:val="NoList"/>
    <w:uiPriority w:val="99"/>
    <w:semiHidden/>
    <w:unhideWhenUsed/>
    <w:rsid w:val="0046431A"/>
  </w:style>
  <w:style w:type="numbering" w:customStyle="1" w:styleId="NoList491">
    <w:name w:val="No List491"/>
    <w:next w:val="NoList"/>
    <w:uiPriority w:val="99"/>
    <w:semiHidden/>
    <w:unhideWhenUsed/>
    <w:rsid w:val="0046431A"/>
  </w:style>
  <w:style w:type="numbering" w:customStyle="1" w:styleId="NoList1281">
    <w:name w:val="No List1281"/>
    <w:next w:val="NoList"/>
    <w:uiPriority w:val="99"/>
    <w:semiHidden/>
    <w:rsid w:val="0046431A"/>
  </w:style>
  <w:style w:type="numbering" w:customStyle="1" w:styleId="NoList11171">
    <w:name w:val="No List11171"/>
    <w:next w:val="NoList"/>
    <w:uiPriority w:val="99"/>
    <w:semiHidden/>
    <w:unhideWhenUsed/>
    <w:rsid w:val="0046431A"/>
  </w:style>
  <w:style w:type="numbering" w:customStyle="1" w:styleId="NoList2271">
    <w:name w:val="No List2271"/>
    <w:next w:val="NoList"/>
    <w:uiPriority w:val="99"/>
    <w:semiHidden/>
    <w:unhideWhenUsed/>
    <w:rsid w:val="0046431A"/>
  </w:style>
  <w:style w:type="numbering" w:customStyle="1" w:styleId="NoList3201">
    <w:name w:val="No List3201"/>
    <w:next w:val="NoList"/>
    <w:semiHidden/>
    <w:unhideWhenUsed/>
    <w:rsid w:val="0046431A"/>
  </w:style>
  <w:style w:type="numbering" w:customStyle="1" w:styleId="NoList1291">
    <w:name w:val="No List1291"/>
    <w:next w:val="NoList"/>
    <w:semiHidden/>
    <w:rsid w:val="0046431A"/>
  </w:style>
  <w:style w:type="numbering" w:customStyle="1" w:styleId="NoList4101">
    <w:name w:val="No List4101"/>
    <w:next w:val="NoList"/>
    <w:uiPriority w:val="99"/>
    <w:semiHidden/>
    <w:unhideWhenUsed/>
    <w:rsid w:val="0046431A"/>
  </w:style>
  <w:style w:type="numbering" w:customStyle="1" w:styleId="NoList1371">
    <w:name w:val="No List1371"/>
    <w:next w:val="NoList"/>
    <w:semiHidden/>
    <w:rsid w:val="0046431A"/>
  </w:style>
  <w:style w:type="numbering" w:customStyle="1" w:styleId="NoList21101">
    <w:name w:val="No List21101"/>
    <w:next w:val="NoList"/>
    <w:uiPriority w:val="99"/>
    <w:semiHidden/>
    <w:unhideWhenUsed/>
    <w:rsid w:val="0046431A"/>
  </w:style>
  <w:style w:type="numbering" w:customStyle="1" w:styleId="NoList31101">
    <w:name w:val="No List31101"/>
    <w:next w:val="NoList"/>
    <w:uiPriority w:val="99"/>
    <w:semiHidden/>
    <w:unhideWhenUsed/>
    <w:rsid w:val="0046431A"/>
  </w:style>
  <w:style w:type="numbering" w:customStyle="1" w:styleId="NoList11181">
    <w:name w:val="No List11181"/>
    <w:next w:val="NoList"/>
    <w:uiPriority w:val="99"/>
    <w:semiHidden/>
    <w:unhideWhenUsed/>
    <w:rsid w:val="0046431A"/>
  </w:style>
  <w:style w:type="numbering" w:customStyle="1" w:styleId="NoList21171">
    <w:name w:val="No List21171"/>
    <w:next w:val="NoList"/>
    <w:uiPriority w:val="99"/>
    <w:semiHidden/>
    <w:unhideWhenUsed/>
    <w:rsid w:val="0046431A"/>
  </w:style>
  <w:style w:type="numbering" w:customStyle="1" w:styleId="NoList31171">
    <w:name w:val="No List31171"/>
    <w:next w:val="NoList"/>
    <w:semiHidden/>
    <w:rsid w:val="0046431A"/>
  </w:style>
  <w:style w:type="numbering" w:customStyle="1" w:styleId="NoList4171">
    <w:name w:val="No List4171"/>
    <w:next w:val="NoList"/>
    <w:uiPriority w:val="99"/>
    <w:semiHidden/>
    <w:unhideWhenUsed/>
    <w:rsid w:val="0046431A"/>
  </w:style>
  <w:style w:type="numbering" w:customStyle="1" w:styleId="NoList571">
    <w:name w:val="No List571"/>
    <w:next w:val="NoList"/>
    <w:uiPriority w:val="99"/>
    <w:semiHidden/>
    <w:unhideWhenUsed/>
    <w:rsid w:val="0046431A"/>
  </w:style>
  <w:style w:type="numbering" w:customStyle="1" w:styleId="NoList1471">
    <w:name w:val="No List1471"/>
    <w:next w:val="NoList"/>
    <w:semiHidden/>
    <w:rsid w:val="0046431A"/>
  </w:style>
  <w:style w:type="numbering" w:customStyle="1" w:styleId="NoList2281">
    <w:name w:val="No List2281"/>
    <w:next w:val="NoList"/>
    <w:uiPriority w:val="99"/>
    <w:semiHidden/>
    <w:unhideWhenUsed/>
    <w:rsid w:val="0046431A"/>
  </w:style>
  <w:style w:type="numbering" w:customStyle="1" w:styleId="NoList3271">
    <w:name w:val="No List3271"/>
    <w:next w:val="NoList"/>
    <w:uiPriority w:val="99"/>
    <w:semiHidden/>
    <w:unhideWhenUsed/>
    <w:rsid w:val="0046431A"/>
  </w:style>
  <w:style w:type="numbering" w:customStyle="1" w:styleId="NoList11271">
    <w:name w:val="No List11271"/>
    <w:next w:val="NoList"/>
    <w:uiPriority w:val="99"/>
    <w:semiHidden/>
    <w:unhideWhenUsed/>
    <w:rsid w:val="0046431A"/>
  </w:style>
  <w:style w:type="numbering" w:customStyle="1" w:styleId="NoList21271">
    <w:name w:val="No List21271"/>
    <w:next w:val="NoList"/>
    <w:uiPriority w:val="99"/>
    <w:semiHidden/>
    <w:unhideWhenUsed/>
    <w:rsid w:val="0046431A"/>
  </w:style>
  <w:style w:type="numbering" w:customStyle="1" w:styleId="NoList31271">
    <w:name w:val="No List31271"/>
    <w:next w:val="NoList"/>
    <w:semiHidden/>
    <w:rsid w:val="0046431A"/>
  </w:style>
  <w:style w:type="numbering" w:customStyle="1" w:styleId="NoList4271">
    <w:name w:val="No List4271"/>
    <w:next w:val="NoList"/>
    <w:uiPriority w:val="99"/>
    <w:semiHidden/>
    <w:unhideWhenUsed/>
    <w:rsid w:val="0046431A"/>
  </w:style>
  <w:style w:type="numbering" w:customStyle="1" w:styleId="NoList631">
    <w:name w:val="No List631"/>
    <w:next w:val="NoList"/>
    <w:uiPriority w:val="99"/>
    <w:semiHidden/>
    <w:unhideWhenUsed/>
    <w:rsid w:val="0046431A"/>
  </w:style>
  <w:style w:type="numbering" w:customStyle="1" w:styleId="NoList1531">
    <w:name w:val="No List1531"/>
    <w:next w:val="NoList"/>
    <w:uiPriority w:val="99"/>
    <w:semiHidden/>
    <w:rsid w:val="0046431A"/>
  </w:style>
  <w:style w:type="numbering" w:customStyle="1" w:styleId="NoList11331">
    <w:name w:val="No List11331"/>
    <w:next w:val="NoList"/>
    <w:uiPriority w:val="99"/>
    <w:semiHidden/>
    <w:unhideWhenUsed/>
    <w:rsid w:val="0046431A"/>
  </w:style>
  <w:style w:type="numbering" w:customStyle="1" w:styleId="NoList2331">
    <w:name w:val="No List2331"/>
    <w:next w:val="NoList"/>
    <w:uiPriority w:val="99"/>
    <w:semiHidden/>
    <w:unhideWhenUsed/>
    <w:rsid w:val="0046431A"/>
  </w:style>
  <w:style w:type="numbering" w:customStyle="1" w:styleId="NoList3331">
    <w:name w:val="No List3331"/>
    <w:next w:val="NoList"/>
    <w:semiHidden/>
    <w:unhideWhenUsed/>
    <w:rsid w:val="0046431A"/>
  </w:style>
  <w:style w:type="numbering" w:customStyle="1" w:styleId="NoList12131">
    <w:name w:val="No List12131"/>
    <w:next w:val="NoList"/>
    <w:semiHidden/>
    <w:rsid w:val="0046431A"/>
  </w:style>
  <w:style w:type="numbering" w:customStyle="1" w:styleId="NoList4331">
    <w:name w:val="No List4331"/>
    <w:next w:val="NoList"/>
    <w:uiPriority w:val="99"/>
    <w:semiHidden/>
    <w:unhideWhenUsed/>
    <w:rsid w:val="0046431A"/>
  </w:style>
  <w:style w:type="numbering" w:customStyle="1" w:styleId="NoList13131">
    <w:name w:val="No List13131"/>
    <w:next w:val="NoList"/>
    <w:semiHidden/>
    <w:rsid w:val="0046431A"/>
  </w:style>
  <w:style w:type="numbering" w:customStyle="1" w:styleId="NoList21331">
    <w:name w:val="No List21331"/>
    <w:next w:val="NoList"/>
    <w:uiPriority w:val="99"/>
    <w:semiHidden/>
    <w:unhideWhenUsed/>
    <w:rsid w:val="0046431A"/>
  </w:style>
  <w:style w:type="numbering" w:customStyle="1" w:styleId="NoList31331">
    <w:name w:val="No List31331"/>
    <w:next w:val="NoList"/>
    <w:uiPriority w:val="99"/>
    <w:semiHidden/>
    <w:unhideWhenUsed/>
    <w:rsid w:val="0046431A"/>
  </w:style>
  <w:style w:type="numbering" w:customStyle="1" w:styleId="NoList111151">
    <w:name w:val="No List111151"/>
    <w:next w:val="NoList"/>
    <w:uiPriority w:val="99"/>
    <w:semiHidden/>
    <w:unhideWhenUsed/>
    <w:rsid w:val="0046431A"/>
  </w:style>
  <w:style w:type="numbering" w:customStyle="1" w:styleId="NoList211131">
    <w:name w:val="No List211131"/>
    <w:next w:val="NoList"/>
    <w:uiPriority w:val="99"/>
    <w:semiHidden/>
    <w:unhideWhenUsed/>
    <w:rsid w:val="0046431A"/>
  </w:style>
  <w:style w:type="numbering" w:customStyle="1" w:styleId="NoList311131">
    <w:name w:val="No List311131"/>
    <w:next w:val="NoList"/>
    <w:semiHidden/>
    <w:rsid w:val="0046431A"/>
  </w:style>
  <w:style w:type="numbering" w:customStyle="1" w:styleId="NoList41131">
    <w:name w:val="No List41131"/>
    <w:next w:val="NoList"/>
    <w:uiPriority w:val="99"/>
    <w:semiHidden/>
    <w:unhideWhenUsed/>
    <w:rsid w:val="0046431A"/>
  </w:style>
  <w:style w:type="numbering" w:customStyle="1" w:styleId="NoList5131">
    <w:name w:val="No List5131"/>
    <w:next w:val="NoList"/>
    <w:uiPriority w:val="99"/>
    <w:semiHidden/>
    <w:unhideWhenUsed/>
    <w:rsid w:val="0046431A"/>
  </w:style>
  <w:style w:type="numbering" w:customStyle="1" w:styleId="NoList14131">
    <w:name w:val="No List14131"/>
    <w:next w:val="NoList"/>
    <w:semiHidden/>
    <w:rsid w:val="0046431A"/>
  </w:style>
  <w:style w:type="numbering" w:customStyle="1" w:styleId="NoList22131">
    <w:name w:val="No List22131"/>
    <w:next w:val="NoList"/>
    <w:uiPriority w:val="99"/>
    <w:semiHidden/>
    <w:unhideWhenUsed/>
    <w:rsid w:val="0046431A"/>
  </w:style>
  <w:style w:type="numbering" w:customStyle="1" w:styleId="NoList32131">
    <w:name w:val="No List32131"/>
    <w:next w:val="NoList"/>
    <w:uiPriority w:val="99"/>
    <w:semiHidden/>
    <w:unhideWhenUsed/>
    <w:rsid w:val="0046431A"/>
  </w:style>
  <w:style w:type="numbering" w:customStyle="1" w:styleId="NoList112131">
    <w:name w:val="No List112131"/>
    <w:next w:val="NoList"/>
    <w:uiPriority w:val="99"/>
    <w:semiHidden/>
    <w:unhideWhenUsed/>
    <w:rsid w:val="0046431A"/>
  </w:style>
  <w:style w:type="numbering" w:customStyle="1" w:styleId="NoList212131">
    <w:name w:val="No List212131"/>
    <w:next w:val="NoList"/>
    <w:uiPriority w:val="99"/>
    <w:semiHidden/>
    <w:unhideWhenUsed/>
    <w:rsid w:val="0046431A"/>
  </w:style>
  <w:style w:type="numbering" w:customStyle="1" w:styleId="NoList312131">
    <w:name w:val="No List312131"/>
    <w:next w:val="NoList"/>
    <w:semiHidden/>
    <w:rsid w:val="0046431A"/>
  </w:style>
  <w:style w:type="numbering" w:customStyle="1" w:styleId="NoList42131">
    <w:name w:val="No List42131"/>
    <w:next w:val="NoList"/>
    <w:uiPriority w:val="99"/>
    <w:semiHidden/>
    <w:unhideWhenUsed/>
    <w:rsid w:val="0046431A"/>
  </w:style>
  <w:style w:type="numbering" w:customStyle="1" w:styleId="NoList731">
    <w:name w:val="No List731"/>
    <w:next w:val="NoList"/>
    <w:uiPriority w:val="99"/>
    <w:semiHidden/>
    <w:unhideWhenUsed/>
    <w:rsid w:val="0046431A"/>
  </w:style>
  <w:style w:type="numbering" w:customStyle="1" w:styleId="NoList1631">
    <w:name w:val="No List1631"/>
    <w:next w:val="NoList"/>
    <w:uiPriority w:val="99"/>
    <w:semiHidden/>
    <w:unhideWhenUsed/>
    <w:rsid w:val="0046431A"/>
  </w:style>
  <w:style w:type="numbering" w:customStyle="1" w:styleId="NoList11431">
    <w:name w:val="No List11431"/>
    <w:next w:val="NoList"/>
    <w:uiPriority w:val="99"/>
    <w:semiHidden/>
    <w:rsid w:val="0046431A"/>
  </w:style>
  <w:style w:type="numbering" w:customStyle="1" w:styleId="NoList111231">
    <w:name w:val="No List111231"/>
    <w:next w:val="NoList"/>
    <w:uiPriority w:val="99"/>
    <w:semiHidden/>
    <w:unhideWhenUsed/>
    <w:rsid w:val="0046431A"/>
  </w:style>
  <w:style w:type="numbering" w:customStyle="1" w:styleId="NoList2431">
    <w:name w:val="No List2431"/>
    <w:next w:val="NoList"/>
    <w:uiPriority w:val="99"/>
    <w:semiHidden/>
    <w:unhideWhenUsed/>
    <w:rsid w:val="0046431A"/>
  </w:style>
  <w:style w:type="numbering" w:customStyle="1" w:styleId="NoList3431">
    <w:name w:val="No List3431"/>
    <w:next w:val="NoList"/>
    <w:semiHidden/>
    <w:unhideWhenUsed/>
    <w:rsid w:val="0046431A"/>
  </w:style>
  <w:style w:type="numbering" w:customStyle="1" w:styleId="NoList12231">
    <w:name w:val="No List12231"/>
    <w:next w:val="NoList"/>
    <w:semiHidden/>
    <w:rsid w:val="0046431A"/>
  </w:style>
  <w:style w:type="numbering" w:customStyle="1" w:styleId="NoList4431">
    <w:name w:val="No List4431"/>
    <w:next w:val="NoList"/>
    <w:uiPriority w:val="99"/>
    <w:semiHidden/>
    <w:unhideWhenUsed/>
    <w:rsid w:val="0046431A"/>
  </w:style>
  <w:style w:type="numbering" w:customStyle="1" w:styleId="NoList13231">
    <w:name w:val="No List13231"/>
    <w:next w:val="NoList"/>
    <w:semiHidden/>
    <w:rsid w:val="0046431A"/>
  </w:style>
  <w:style w:type="numbering" w:customStyle="1" w:styleId="NoList21431">
    <w:name w:val="No List21431"/>
    <w:next w:val="NoList"/>
    <w:uiPriority w:val="99"/>
    <w:semiHidden/>
    <w:unhideWhenUsed/>
    <w:rsid w:val="0046431A"/>
  </w:style>
  <w:style w:type="numbering" w:customStyle="1" w:styleId="NoList31431">
    <w:name w:val="No List31431"/>
    <w:next w:val="NoList"/>
    <w:uiPriority w:val="99"/>
    <w:semiHidden/>
    <w:unhideWhenUsed/>
    <w:rsid w:val="0046431A"/>
  </w:style>
  <w:style w:type="numbering" w:customStyle="1" w:styleId="NoList1111131">
    <w:name w:val="No List1111131"/>
    <w:next w:val="NoList"/>
    <w:uiPriority w:val="99"/>
    <w:semiHidden/>
    <w:unhideWhenUsed/>
    <w:rsid w:val="0046431A"/>
  </w:style>
  <w:style w:type="numbering" w:customStyle="1" w:styleId="NoList211231">
    <w:name w:val="No List211231"/>
    <w:next w:val="NoList"/>
    <w:uiPriority w:val="99"/>
    <w:semiHidden/>
    <w:unhideWhenUsed/>
    <w:rsid w:val="0046431A"/>
  </w:style>
  <w:style w:type="numbering" w:customStyle="1" w:styleId="NoList311231">
    <w:name w:val="No List311231"/>
    <w:next w:val="NoList"/>
    <w:semiHidden/>
    <w:rsid w:val="0046431A"/>
  </w:style>
  <w:style w:type="numbering" w:customStyle="1" w:styleId="NoList41231">
    <w:name w:val="No List41231"/>
    <w:next w:val="NoList"/>
    <w:uiPriority w:val="99"/>
    <w:semiHidden/>
    <w:unhideWhenUsed/>
    <w:rsid w:val="0046431A"/>
  </w:style>
  <w:style w:type="numbering" w:customStyle="1" w:styleId="NoList5231">
    <w:name w:val="No List5231"/>
    <w:next w:val="NoList"/>
    <w:uiPriority w:val="99"/>
    <w:semiHidden/>
    <w:unhideWhenUsed/>
    <w:rsid w:val="0046431A"/>
  </w:style>
  <w:style w:type="numbering" w:customStyle="1" w:styleId="NoList14231">
    <w:name w:val="No List14231"/>
    <w:next w:val="NoList"/>
    <w:semiHidden/>
    <w:rsid w:val="0046431A"/>
  </w:style>
  <w:style w:type="numbering" w:customStyle="1" w:styleId="NoList22231">
    <w:name w:val="No List22231"/>
    <w:next w:val="NoList"/>
    <w:uiPriority w:val="99"/>
    <w:semiHidden/>
    <w:unhideWhenUsed/>
    <w:rsid w:val="0046431A"/>
  </w:style>
  <w:style w:type="numbering" w:customStyle="1" w:styleId="NoList32231">
    <w:name w:val="No List32231"/>
    <w:next w:val="NoList"/>
    <w:uiPriority w:val="99"/>
    <w:semiHidden/>
    <w:unhideWhenUsed/>
    <w:rsid w:val="0046431A"/>
  </w:style>
  <w:style w:type="numbering" w:customStyle="1" w:styleId="NoList112231">
    <w:name w:val="No List112231"/>
    <w:next w:val="NoList"/>
    <w:uiPriority w:val="99"/>
    <w:semiHidden/>
    <w:unhideWhenUsed/>
    <w:rsid w:val="0046431A"/>
  </w:style>
  <w:style w:type="numbering" w:customStyle="1" w:styleId="NoList212231">
    <w:name w:val="No List212231"/>
    <w:next w:val="NoList"/>
    <w:uiPriority w:val="99"/>
    <w:semiHidden/>
    <w:unhideWhenUsed/>
    <w:rsid w:val="0046431A"/>
  </w:style>
  <w:style w:type="numbering" w:customStyle="1" w:styleId="NoList312231">
    <w:name w:val="No List312231"/>
    <w:next w:val="NoList"/>
    <w:semiHidden/>
    <w:rsid w:val="0046431A"/>
  </w:style>
  <w:style w:type="numbering" w:customStyle="1" w:styleId="NoList42231">
    <w:name w:val="No List42231"/>
    <w:next w:val="NoList"/>
    <w:uiPriority w:val="99"/>
    <w:semiHidden/>
    <w:unhideWhenUsed/>
    <w:rsid w:val="0046431A"/>
  </w:style>
  <w:style w:type="numbering" w:customStyle="1" w:styleId="NoList831">
    <w:name w:val="No List831"/>
    <w:next w:val="NoList"/>
    <w:uiPriority w:val="99"/>
    <w:semiHidden/>
    <w:unhideWhenUsed/>
    <w:rsid w:val="0046431A"/>
  </w:style>
  <w:style w:type="numbering" w:customStyle="1" w:styleId="NoList1731">
    <w:name w:val="No List1731"/>
    <w:next w:val="NoList"/>
    <w:uiPriority w:val="99"/>
    <w:semiHidden/>
    <w:unhideWhenUsed/>
    <w:rsid w:val="0046431A"/>
  </w:style>
  <w:style w:type="numbering" w:customStyle="1" w:styleId="NoList2531">
    <w:name w:val="No List2531"/>
    <w:next w:val="NoList"/>
    <w:uiPriority w:val="99"/>
    <w:semiHidden/>
    <w:unhideWhenUsed/>
    <w:rsid w:val="0046431A"/>
  </w:style>
  <w:style w:type="numbering" w:customStyle="1" w:styleId="NoList3531">
    <w:name w:val="No List3531"/>
    <w:next w:val="NoList"/>
    <w:uiPriority w:val="99"/>
    <w:semiHidden/>
    <w:unhideWhenUsed/>
    <w:rsid w:val="0046431A"/>
  </w:style>
  <w:style w:type="numbering" w:customStyle="1" w:styleId="NoList931">
    <w:name w:val="No List931"/>
    <w:next w:val="NoList"/>
    <w:uiPriority w:val="99"/>
    <w:semiHidden/>
    <w:unhideWhenUsed/>
    <w:rsid w:val="0046431A"/>
  </w:style>
  <w:style w:type="numbering" w:customStyle="1" w:styleId="NoList1031">
    <w:name w:val="No List1031"/>
    <w:next w:val="NoList"/>
    <w:uiPriority w:val="99"/>
    <w:semiHidden/>
    <w:unhideWhenUsed/>
    <w:rsid w:val="0046431A"/>
  </w:style>
  <w:style w:type="numbering" w:customStyle="1" w:styleId="NoList1831">
    <w:name w:val="No List1831"/>
    <w:next w:val="NoList"/>
    <w:uiPriority w:val="99"/>
    <w:semiHidden/>
    <w:unhideWhenUsed/>
    <w:rsid w:val="0046431A"/>
  </w:style>
  <w:style w:type="numbering" w:customStyle="1" w:styleId="NoList1931">
    <w:name w:val="No List1931"/>
    <w:next w:val="NoList"/>
    <w:uiPriority w:val="99"/>
    <w:semiHidden/>
    <w:unhideWhenUsed/>
    <w:rsid w:val="0046431A"/>
  </w:style>
  <w:style w:type="numbering" w:customStyle="1" w:styleId="NoList11031">
    <w:name w:val="No List11031"/>
    <w:next w:val="NoList"/>
    <w:uiPriority w:val="99"/>
    <w:semiHidden/>
    <w:rsid w:val="0046431A"/>
  </w:style>
  <w:style w:type="numbering" w:customStyle="1" w:styleId="NoList11531">
    <w:name w:val="No List11531"/>
    <w:next w:val="NoList"/>
    <w:uiPriority w:val="99"/>
    <w:semiHidden/>
    <w:unhideWhenUsed/>
    <w:rsid w:val="0046431A"/>
  </w:style>
  <w:style w:type="numbering" w:customStyle="1" w:styleId="NoList2631">
    <w:name w:val="No List2631"/>
    <w:next w:val="NoList"/>
    <w:uiPriority w:val="99"/>
    <w:semiHidden/>
    <w:unhideWhenUsed/>
    <w:rsid w:val="0046431A"/>
  </w:style>
  <w:style w:type="numbering" w:customStyle="1" w:styleId="NoList3631">
    <w:name w:val="No List3631"/>
    <w:next w:val="NoList"/>
    <w:semiHidden/>
    <w:unhideWhenUsed/>
    <w:rsid w:val="0046431A"/>
  </w:style>
  <w:style w:type="numbering" w:customStyle="1" w:styleId="NoList12331">
    <w:name w:val="No List12331"/>
    <w:next w:val="NoList"/>
    <w:semiHidden/>
    <w:rsid w:val="0046431A"/>
  </w:style>
  <w:style w:type="numbering" w:customStyle="1" w:styleId="NoList4531">
    <w:name w:val="No List4531"/>
    <w:next w:val="NoList"/>
    <w:uiPriority w:val="99"/>
    <w:semiHidden/>
    <w:unhideWhenUsed/>
    <w:rsid w:val="0046431A"/>
  </w:style>
  <w:style w:type="numbering" w:customStyle="1" w:styleId="NoList13331">
    <w:name w:val="No List13331"/>
    <w:next w:val="NoList"/>
    <w:semiHidden/>
    <w:rsid w:val="0046431A"/>
  </w:style>
  <w:style w:type="numbering" w:customStyle="1" w:styleId="NoList21531">
    <w:name w:val="No List21531"/>
    <w:next w:val="NoList"/>
    <w:uiPriority w:val="99"/>
    <w:semiHidden/>
    <w:unhideWhenUsed/>
    <w:rsid w:val="0046431A"/>
  </w:style>
  <w:style w:type="numbering" w:customStyle="1" w:styleId="NoList31531">
    <w:name w:val="No List31531"/>
    <w:next w:val="NoList"/>
    <w:uiPriority w:val="99"/>
    <w:semiHidden/>
    <w:unhideWhenUsed/>
    <w:rsid w:val="0046431A"/>
  </w:style>
  <w:style w:type="numbering" w:customStyle="1" w:styleId="NoList111331">
    <w:name w:val="No List111331"/>
    <w:next w:val="NoList"/>
    <w:uiPriority w:val="99"/>
    <w:semiHidden/>
    <w:unhideWhenUsed/>
    <w:rsid w:val="0046431A"/>
  </w:style>
  <w:style w:type="numbering" w:customStyle="1" w:styleId="NoList211331">
    <w:name w:val="No List211331"/>
    <w:next w:val="NoList"/>
    <w:uiPriority w:val="99"/>
    <w:semiHidden/>
    <w:unhideWhenUsed/>
    <w:rsid w:val="0046431A"/>
  </w:style>
  <w:style w:type="numbering" w:customStyle="1" w:styleId="NoList311331">
    <w:name w:val="No List311331"/>
    <w:next w:val="NoList"/>
    <w:semiHidden/>
    <w:rsid w:val="0046431A"/>
  </w:style>
  <w:style w:type="numbering" w:customStyle="1" w:styleId="NoList41331">
    <w:name w:val="No List41331"/>
    <w:next w:val="NoList"/>
    <w:uiPriority w:val="99"/>
    <w:semiHidden/>
    <w:unhideWhenUsed/>
    <w:rsid w:val="0046431A"/>
  </w:style>
  <w:style w:type="numbering" w:customStyle="1" w:styleId="NoList5331">
    <w:name w:val="No List5331"/>
    <w:next w:val="NoList"/>
    <w:uiPriority w:val="99"/>
    <w:semiHidden/>
    <w:unhideWhenUsed/>
    <w:rsid w:val="0046431A"/>
  </w:style>
  <w:style w:type="numbering" w:customStyle="1" w:styleId="NoList14331">
    <w:name w:val="No List14331"/>
    <w:next w:val="NoList"/>
    <w:semiHidden/>
    <w:rsid w:val="0046431A"/>
  </w:style>
  <w:style w:type="numbering" w:customStyle="1" w:styleId="NoList22331">
    <w:name w:val="No List22331"/>
    <w:next w:val="NoList"/>
    <w:uiPriority w:val="99"/>
    <w:semiHidden/>
    <w:unhideWhenUsed/>
    <w:rsid w:val="0046431A"/>
  </w:style>
  <w:style w:type="numbering" w:customStyle="1" w:styleId="NoList32331">
    <w:name w:val="No List32331"/>
    <w:next w:val="NoList"/>
    <w:uiPriority w:val="99"/>
    <w:semiHidden/>
    <w:unhideWhenUsed/>
    <w:rsid w:val="0046431A"/>
  </w:style>
  <w:style w:type="numbering" w:customStyle="1" w:styleId="NoList112331">
    <w:name w:val="No List112331"/>
    <w:next w:val="NoList"/>
    <w:uiPriority w:val="99"/>
    <w:semiHidden/>
    <w:unhideWhenUsed/>
    <w:rsid w:val="0046431A"/>
  </w:style>
  <w:style w:type="numbering" w:customStyle="1" w:styleId="NoList212331">
    <w:name w:val="No List212331"/>
    <w:next w:val="NoList"/>
    <w:uiPriority w:val="99"/>
    <w:semiHidden/>
    <w:unhideWhenUsed/>
    <w:rsid w:val="0046431A"/>
  </w:style>
  <w:style w:type="numbering" w:customStyle="1" w:styleId="NoList312331">
    <w:name w:val="No List312331"/>
    <w:next w:val="NoList"/>
    <w:semiHidden/>
    <w:rsid w:val="0046431A"/>
  </w:style>
  <w:style w:type="numbering" w:customStyle="1" w:styleId="NoList42331">
    <w:name w:val="No List42331"/>
    <w:next w:val="NoList"/>
    <w:uiPriority w:val="99"/>
    <w:semiHidden/>
    <w:unhideWhenUsed/>
    <w:rsid w:val="0046431A"/>
  </w:style>
  <w:style w:type="numbering" w:customStyle="1" w:styleId="NoList2031">
    <w:name w:val="No List2031"/>
    <w:next w:val="NoList"/>
    <w:uiPriority w:val="99"/>
    <w:semiHidden/>
    <w:unhideWhenUsed/>
    <w:rsid w:val="0046431A"/>
  </w:style>
  <w:style w:type="numbering" w:customStyle="1" w:styleId="NoList2731">
    <w:name w:val="No List2731"/>
    <w:next w:val="NoList"/>
    <w:uiPriority w:val="99"/>
    <w:semiHidden/>
    <w:unhideWhenUsed/>
    <w:rsid w:val="0046431A"/>
  </w:style>
  <w:style w:type="numbering" w:customStyle="1" w:styleId="NoList11631">
    <w:name w:val="No List11631"/>
    <w:next w:val="NoList"/>
    <w:uiPriority w:val="99"/>
    <w:semiHidden/>
    <w:unhideWhenUsed/>
    <w:rsid w:val="0046431A"/>
  </w:style>
  <w:style w:type="numbering" w:customStyle="1" w:styleId="NoList11731">
    <w:name w:val="No List11731"/>
    <w:next w:val="NoList"/>
    <w:uiPriority w:val="99"/>
    <w:semiHidden/>
    <w:rsid w:val="0046431A"/>
  </w:style>
  <w:style w:type="numbering" w:customStyle="1" w:styleId="NoList111431">
    <w:name w:val="No List111431"/>
    <w:next w:val="NoList"/>
    <w:uiPriority w:val="99"/>
    <w:semiHidden/>
    <w:unhideWhenUsed/>
    <w:rsid w:val="0046431A"/>
  </w:style>
  <w:style w:type="numbering" w:customStyle="1" w:styleId="NoList2831">
    <w:name w:val="No List2831"/>
    <w:next w:val="NoList"/>
    <w:uiPriority w:val="99"/>
    <w:semiHidden/>
    <w:unhideWhenUsed/>
    <w:rsid w:val="0046431A"/>
  </w:style>
  <w:style w:type="numbering" w:customStyle="1" w:styleId="NoList3731">
    <w:name w:val="No List3731"/>
    <w:next w:val="NoList"/>
    <w:semiHidden/>
    <w:unhideWhenUsed/>
    <w:rsid w:val="0046431A"/>
  </w:style>
  <w:style w:type="numbering" w:customStyle="1" w:styleId="NoList12431">
    <w:name w:val="No List12431"/>
    <w:next w:val="NoList"/>
    <w:semiHidden/>
    <w:rsid w:val="0046431A"/>
  </w:style>
  <w:style w:type="numbering" w:customStyle="1" w:styleId="NoList4631">
    <w:name w:val="No List4631"/>
    <w:next w:val="NoList"/>
    <w:uiPriority w:val="99"/>
    <w:semiHidden/>
    <w:unhideWhenUsed/>
    <w:rsid w:val="0046431A"/>
  </w:style>
  <w:style w:type="numbering" w:customStyle="1" w:styleId="NoList13431">
    <w:name w:val="No List13431"/>
    <w:next w:val="NoList"/>
    <w:semiHidden/>
    <w:rsid w:val="0046431A"/>
  </w:style>
  <w:style w:type="numbering" w:customStyle="1" w:styleId="NoList21631">
    <w:name w:val="No List21631"/>
    <w:next w:val="NoList"/>
    <w:uiPriority w:val="99"/>
    <w:semiHidden/>
    <w:unhideWhenUsed/>
    <w:rsid w:val="0046431A"/>
  </w:style>
  <w:style w:type="numbering" w:customStyle="1" w:styleId="NoList31631">
    <w:name w:val="No List31631"/>
    <w:next w:val="NoList"/>
    <w:uiPriority w:val="99"/>
    <w:semiHidden/>
    <w:unhideWhenUsed/>
    <w:rsid w:val="0046431A"/>
  </w:style>
  <w:style w:type="numbering" w:customStyle="1" w:styleId="NoList1111231">
    <w:name w:val="No List1111231"/>
    <w:next w:val="NoList"/>
    <w:uiPriority w:val="99"/>
    <w:semiHidden/>
    <w:unhideWhenUsed/>
    <w:rsid w:val="0046431A"/>
  </w:style>
  <w:style w:type="numbering" w:customStyle="1" w:styleId="NoList211431">
    <w:name w:val="No List211431"/>
    <w:next w:val="NoList"/>
    <w:uiPriority w:val="99"/>
    <w:semiHidden/>
    <w:unhideWhenUsed/>
    <w:rsid w:val="0046431A"/>
  </w:style>
  <w:style w:type="numbering" w:customStyle="1" w:styleId="NoList311431">
    <w:name w:val="No List311431"/>
    <w:next w:val="NoList"/>
    <w:semiHidden/>
    <w:rsid w:val="0046431A"/>
  </w:style>
  <w:style w:type="numbering" w:customStyle="1" w:styleId="NoList41431">
    <w:name w:val="No List41431"/>
    <w:next w:val="NoList"/>
    <w:uiPriority w:val="99"/>
    <w:semiHidden/>
    <w:unhideWhenUsed/>
    <w:rsid w:val="0046431A"/>
  </w:style>
  <w:style w:type="numbering" w:customStyle="1" w:styleId="NoList5431">
    <w:name w:val="No List5431"/>
    <w:next w:val="NoList"/>
    <w:uiPriority w:val="99"/>
    <w:semiHidden/>
    <w:unhideWhenUsed/>
    <w:rsid w:val="0046431A"/>
  </w:style>
  <w:style w:type="numbering" w:customStyle="1" w:styleId="NoList14431">
    <w:name w:val="No List14431"/>
    <w:next w:val="NoList"/>
    <w:semiHidden/>
    <w:rsid w:val="0046431A"/>
  </w:style>
  <w:style w:type="numbering" w:customStyle="1" w:styleId="NoList22431">
    <w:name w:val="No List22431"/>
    <w:next w:val="NoList"/>
    <w:uiPriority w:val="99"/>
    <w:semiHidden/>
    <w:unhideWhenUsed/>
    <w:rsid w:val="0046431A"/>
  </w:style>
  <w:style w:type="numbering" w:customStyle="1" w:styleId="NoList32431">
    <w:name w:val="No List32431"/>
    <w:next w:val="NoList"/>
    <w:uiPriority w:val="99"/>
    <w:semiHidden/>
    <w:unhideWhenUsed/>
    <w:rsid w:val="0046431A"/>
  </w:style>
  <w:style w:type="numbering" w:customStyle="1" w:styleId="NoList112431">
    <w:name w:val="No List112431"/>
    <w:next w:val="NoList"/>
    <w:uiPriority w:val="99"/>
    <w:semiHidden/>
    <w:unhideWhenUsed/>
    <w:rsid w:val="0046431A"/>
  </w:style>
  <w:style w:type="numbering" w:customStyle="1" w:styleId="NoList212431">
    <w:name w:val="No List212431"/>
    <w:next w:val="NoList"/>
    <w:uiPriority w:val="99"/>
    <w:semiHidden/>
    <w:unhideWhenUsed/>
    <w:rsid w:val="0046431A"/>
  </w:style>
  <w:style w:type="numbering" w:customStyle="1" w:styleId="NoList312431">
    <w:name w:val="No List312431"/>
    <w:next w:val="NoList"/>
    <w:semiHidden/>
    <w:rsid w:val="0046431A"/>
  </w:style>
  <w:style w:type="numbering" w:customStyle="1" w:styleId="NoList42431">
    <w:name w:val="No List42431"/>
    <w:next w:val="NoList"/>
    <w:uiPriority w:val="99"/>
    <w:semiHidden/>
    <w:unhideWhenUsed/>
    <w:rsid w:val="0046431A"/>
  </w:style>
  <w:style w:type="numbering" w:customStyle="1" w:styleId="NoList2911">
    <w:name w:val="No List2911"/>
    <w:next w:val="NoList"/>
    <w:uiPriority w:val="99"/>
    <w:semiHidden/>
    <w:unhideWhenUsed/>
    <w:rsid w:val="0046431A"/>
  </w:style>
  <w:style w:type="numbering" w:customStyle="1" w:styleId="NoList3011">
    <w:name w:val="No List3011"/>
    <w:next w:val="NoList"/>
    <w:uiPriority w:val="99"/>
    <w:semiHidden/>
    <w:unhideWhenUsed/>
    <w:rsid w:val="0046431A"/>
  </w:style>
  <w:style w:type="numbering" w:customStyle="1" w:styleId="NoList11811">
    <w:name w:val="No List11811"/>
    <w:next w:val="NoList"/>
    <w:uiPriority w:val="99"/>
    <w:semiHidden/>
    <w:unhideWhenUsed/>
    <w:rsid w:val="0046431A"/>
  </w:style>
  <w:style w:type="numbering" w:customStyle="1" w:styleId="NoList11911">
    <w:name w:val="No List11911"/>
    <w:next w:val="NoList"/>
    <w:uiPriority w:val="99"/>
    <w:semiHidden/>
    <w:rsid w:val="0046431A"/>
  </w:style>
  <w:style w:type="numbering" w:customStyle="1" w:styleId="NoList111511">
    <w:name w:val="No List111511"/>
    <w:next w:val="NoList"/>
    <w:uiPriority w:val="99"/>
    <w:semiHidden/>
    <w:unhideWhenUsed/>
    <w:rsid w:val="0046431A"/>
  </w:style>
  <w:style w:type="numbering" w:customStyle="1" w:styleId="NoList21011">
    <w:name w:val="No List21011"/>
    <w:next w:val="NoList"/>
    <w:uiPriority w:val="99"/>
    <w:semiHidden/>
    <w:unhideWhenUsed/>
    <w:rsid w:val="0046431A"/>
  </w:style>
  <w:style w:type="numbering" w:customStyle="1" w:styleId="NoList3811">
    <w:name w:val="No List3811"/>
    <w:next w:val="NoList"/>
    <w:semiHidden/>
    <w:unhideWhenUsed/>
    <w:rsid w:val="0046431A"/>
  </w:style>
  <w:style w:type="numbering" w:customStyle="1" w:styleId="NoList12511">
    <w:name w:val="No List12511"/>
    <w:next w:val="NoList"/>
    <w:semiHidden/>
    <w:rsid w:val="0046431A"/>
  </w:style>
  <w:style w:type="numbering" w:customStyle="1" w:styleId="NoList4711">
    <w:name w:val="No List4711"/>
    <w:next w:val="NoList"/>
    <w:uiPriority w:val="99"/>
    <w:semiHidden/>
    <w:unhideWhenUsed/>
    <w:rsid w:val="0046431A"/>
  </w:style>
  <w:style w:type="numbering" w:customStyle="1" w:styleId="NoList13511">
    <w:name w:val="No List13511"/>
    <w:next w:val="NoList"/>
    <w:semiHidden/>
    <w:rsid w:val="0046431A"/>
  </w:style>
  <w:style w:type="numbering" w:customStyle="1" w:styleId="NoList21711">
    <w:name w:val="No List21711"/>
    <w:next w:val="NoList"/>
    <w:uiPriority w:val="99"/>
    <w:semiHidden/>
    <w:unhideWhenUsed/>
    <w:rsid w:val="0046431A"/>
  </w:style>
  <w:style w:type="numbering" w:customStyle="1" w:styleId="NoList31711">
    <w:name w:val="No List31711"/>
    <w:next w:val="NoList"/>
    <w:uiPriority w:val="99"/>
    <w:semiHidden/>
    <w:unhideWhenUsed/>
    <w:rsid w:val="0046431A"/>
  </w:style>
  <w:style w:type="numbering" w:customStyle="1" w:styleId="NoList1111311">
    <w:name w:val="No List1111311"/>
    <w:next w:val="NoList"/>
    <w:uiPriority w:val="99"/>
    <w:semiHidden/>
    <w:unhideWhenUsed/>
    <w:rsid w:val="0046431A"/>
  </w:style>
  <w:style w:type="numbering" w:customStyle="1" w:styleId="NoList211511">
    <w:name w:val="No List211511"/>
    <w:next w:val="NoList"/>
    <w:uiPriority w:val="99"/>
    <w:semiHidden/>
    <w:unhideWhenUsed/>
    <w:rsid w:val="0046431A"/>
  </w:style>
  <w:style w:type="numbering" w:customStyle="1" w:styleId="NoList311511">
    <w:name w:val="No List311511"/>
    <w:next w:val="NoList"/>
    <w:semiHidden/>
    <w:rsid w:val="0046431A"/>
  </w:style>
  <w:style w:type="numbering" w:customStyle="1" w:styleId="NoList41511">
    <w:name w:val="No List41511"/>
    <w:next w:val="NoList"/>
    <w:uiPriority w:val="99"/>
    <w:semiHidden/>
    <w:unhideWhenUsed/>
    <w:rsid w:val="0046431A"/>
  </w:style>
  <w:style w:type="numbering" w:customStyle="1" w:styleId="NoList5511">
    <w:name w:val="No List5511"/>
    <w:next w:val="NoList"/>
    <w:uiPriority w:val="99"/>
    <w:semiHidden/>
    <w:unhideWhenUsed/>
    <w:rsid w:val="0046431A"/>
  </w:style>
  <w:style w:type="numbering" w:customStyle="1" w:styleId="NoList14511">
    <w:name w:val="No List14511"/>
    <w:next w:val="NoList"/>
    <w:semiHidden/>
    <w:rsid w:val="0046431A"/>
  </w:style>
  <w:style w:type="numbering" w:customStyle="1" w:styleId="NoList22511">
    <w:name w:val="No List22511"/>
    <w:next w:val="NoList"/>
    <w:uiPriority w:val="99"/>
    <w:semiHidden/>
    <w:unhideWhenUsed/>
    <w:rsid w:val="0046431A"/>
  </w:style>
  <w:style w:type="numbering" w:customStyle="1" w:styleId="NoList32511">
    <w:name w:val="No List32511"/>
    <w:next w:val="NoList"/>
    <w:uiPriority w:val="99"/>
    <w:semiHidden/>
    <w:unhideWhenUsed/>
    <w:rsid w:val="0046431A"/>
  </w:style>
  <w:style w:type="numbering" w:customStyle="1" w:styleId="NoList112511">
    <w:name w:val="No List112511"/>
    <w:next w:val="NoList"/>
    <w:uiPriority w:val="99"/>
    <w:semiHidden/>
    <w:unhideWhenUsed/>
    <w:rsid w:val="0046431A"/>
  </w:style>
  <w:style w:type="numbering" w:customStyle="1" w:styleId="NoList212511">
    <w:name w:val="No List212511"/>
    <w:next w:val="NoList"/>
    <w:uiPriority w:val="99"/>
    <w:semiHidden/>
    <w:unhideWhenUsed/>
    <w:rsid w:val="0046431A"/>
  </w:style>
  <w:style w:type="numbering" w:customStyle="1" w:styleId="NoList312511">
    <w:name w:val="No List312511"/>
    <w:next w:val="NoList"/>
    <w:semiHidden/>
    <w:rsid w:val="0046431A"/>
  </w:style>
  <w:style w:type="numbering" w:customStyle="1" w:styleId="NoList42511">
    <w:name w:val="No List42511"/>
    <w:next w:val="NoList"/>
    <w:uiPriority w:val="99"/>
    <w:semiHidden/>
    <w:unhideWhenUsed/>
    <w:rsid w:val="0046431A"/>
  </w:style>
  <w:style w:type="numbering" w:customStyle="1" w:styleId="NoList6111">
    <w:name w:val="No List6111"/>
    <w:next w:val="NoList"/>
    <w:uiPriority w:val="99"/>
    <w:semiHidden/>
    <w:unhideWhenUsed/>
    <w:rsid w:val="0046431A"/>
  </w:style>
  <w:style w:type="numbering" w:customStyle="1" w:styleId="NoList15111">
    <w:name w:val="No List15111"/>
    <w:next w:val="NoList"/>
    <w:uiPriority w:val="99"/>
    <w:semiHidden/>
    <w:rsid w:val="0046431A"/>
  </w:style>
  <w:style w:type="numbering" w:customStyle="1" w:styleId="NoList113111">
    <w:name w:val="No List113111"/>
    <w:next w:val="NoList"/>
    <w:uiPriority w:val="99"/>
    <w:semiHidden/>
    <w:unhideWhenUsed/>
    <w:rsid w:val="0046431A"/>
  </w:style>
  <w:style w:type="numbering" w:customStyle="1" w:styleId="NoList23111">
    <w:name w:val="No List23111"/>
    <w:next w:val="NoList"/>
    <w:uiPriority w:val="99"/>
    <w:semiHidden/>
    <w:unhideWhenUsed/>
    <w:rsid w:val="0046431A"/>
  </w:style>
  <w:style w:type="numbering" w:customStyle="1" w:styleId="NoList33111">
    <w:name w:val="No List33111"/>
    <w:next w:val="NoList"/>
    <w:semiHidden/>
    <w:unhideWhenUsed/>
    <w:rsid w:val="0046431A"/>
  </w:style>
  <w:style w:type="numbering" w:customStyle="1" w:styleId="NoList121111">
    <w:name w:val="No List121111"/>
    <w:next w:val="NoList"/>
    <w:semiHidden/>
    <w:rsid w:val="0046431A"/>
  </w:style>
  <w:style w:type="numbering" w:customStyle="1" w:styleId="NoList43111">
    <w:name w:val="No List43111"/>
    <w:next w:val="NoList"/>
    <w:uiPriority w:val="99"/>
    <w:semiHidden/>
    <w:unhideWhenUsed/>
    <w:rsid w:val="0046431A"/>
  </w:style>
  <w:style w:type="numbering" w:customStyle="1" w:styleId="NoList131111">
    <w:name w:val="No List131111"/>
    <w:next w:val="NoList"/>
    <w:semiHidden/>
    <w:rsid w:val="0046431A"/>
  </w:style>
  <w:style w:type="numbering" w:customStyle="1" w:styleId="NoList213111">
    <w:name w:val="No List213111"/>
    <w:next w:val="NoList"/>
    <w:uiPriority w:val="99"/>
    <w:semiHidden/>
    <w:unhideWhenUsed/>
    <w:rsid w:val="0046431A"/>
  </w:style>
  <w:style w:type="numbering" w:customStyle="1" w:styleId="NoList313111">
    <w:name w:val="No List313111"/>
    <w:next w:val="NoList"/>
    <w:uiPriority w:val="99"/>
    <w:semiHidden/>
    <w:unhideWhenUsed/>
    <w:rsid w:val="0046431A"/>
  </w:style>
  <w:style w:type="numbering" w:customStyle="1" w:styleId="NoList11111131">
    <w:name w:val="No List11111131"/>
    <w:next w:val="NoList"/>
    <w:uiPriority w:val="99"/>
    <w:semiHidden/>
    <w:unhideWhenUsed/>
    <w:rsid w:val="0046431A"/>
  </w:style>
  <w:style w:type="numbering" w:customStyle="1" w:styleId="NoList2111111">
    <w:name w:val="No List2111111"/>
    <w:next w:val="NoList"/>
    <w:uiPriority w:val="99"/>
    <w:semiHidden/>
    <w:unhideWhenUsed/>
    <w:rsid w:val="0046431A"/>
  </w:style>
  <w:style w:type="numbering" w:customStyle="1" w:styleId="NoList3111111">
    <w:name w:val="No List3111111"/>
    <w:next w:val="NoList"/>
    <w:semiHidden/>
    <w:rsid w:val="0046431A"/>
  </w:style>
  <w:style w:type="numbering" w:customStyle="1" w:styleId="NoList411111">
    <w:name w:val="No List411111"/>
    <w:next w:val="NoList"/>
    <w:uiPriority w:val="99"/>
    <w:semiHidden/>
    <w:unhideWhenUsed/>
    <w:rsid w:val="0046431A"/>
  </w:style>
  <w:style w:type="numbering" w:customStyle="1" w:styleId="NoList51111">
    <w:name w:val="No List51111"/>
    <w:next w:val="NoList"/>
    <w:uiPriority w:val="99"/>
    <w:semiHidden/>
    <w:unhideWhenUsed/>
    <w:rsid w:val="0046431A"/>
  </w:style>
  <w:style w:type="numbering" w:customStyle="1" w:styleId="NoList141111">
    <w:name w:val="No List141111"/>
    <w:next w:val="NoList"/>
    <w:semiHidden/>
    <w:rsid w:val="0046431A"/>
  </w:style>
  <w:style w:type="numbering" w:customStyle="1" w:styleId="NoList221111">
    <w:name w:val="No List221111"/>
    <w:next w:val="NoList"/>
    <w:uiPriority w:val="99"/>
    <w:semiHidden/>
    <w:unhideWhenUsed/>
    <w:rsid w:val="0046431A"/>
  </w:style>
  <w:style w:type="numbering" w:customStyle="1" w:styleId="NoList321111">
    <w:name w:val="No List321111"/>
    <w:next w:val="NoList"/>
    <w:uiPriority w:val="99"/>
    <w:semiHidden/>
    <w:unhideWhenUsed/>
    <w:rsid w:val="0046431A"/>
  </w:style>
  <w:style w:type="numbering" w:customStyle="1" w:styleId="NoList1121111">
    <w:name w:val="No List1121111"/>
    <w:next w:val="NoList"/>
    <w:uiPriority w:val="99"/>
    <w:semiHidden/>
    <w:unhideWhenUsed/>
    <w:rsid w:val="0046431A"/>
  </w:style>
  <w:style w:type="numbering" w:customStyle="1" w:styleId="NoList2121111">
    <w:name w:val="No List2121111"/>
    <w:next w:val="NoList"/>
    <w:uiPriority w:val="99"/>
    <w:semiHidden/>
    <w:unhideWhenUsed/>
    <w:rsid w:val="0046431A"/>
  </w:style>
  <w:style w:type="numbering" w:customStyle="1" w:styleId="NoList3121111">
    <w:name w:val="No List3121111"/>
    <w:next w:val="NoList"/>
    <w:semiHidden/>
    <w:rsid w:val="0046431A"/>
  </w:style>
  <w:style w:type="numbering" w:customStyle="1" w:styleId="NoList421111">
    <w:name w:val="No List421111"/>
    <w:next w:val="NoList"/>
    <w:uiPriority w:val="99"/>
    <w:semiHidden/>
    <w:unhideWhenUsed/>
    <w:rsid w:val="0046431A"/>
  </w:style>
  <w:style w:type="numbering" w:customStyle="1" w:styleId="NoList7111">
    <w:name w:val="No List7111"/>
    <w:next w:val="NoList"/>
    <w:uiPriority w:val="99"/>
    <w:semiHidden/>
    <w:unhideWhenUsed/>
    <w:rsid w:val="0046431A"/>
  </w:style>
  <w:style w:type="numbering" w:customStyle="1" w:styleId="NoList16111">
    <w:name w:val="No List16111"/>
    <w:next w:val="NoList"/>
    <w:uiPriority w:val="99"/>
    <w:semiHidden/>
    <w:unhideWhenUsed/>
    <w:rsid w:val="0046431A"/>
  </w:style>
  <w:style w:type="numbering" w:customStyle="1" w:styleId="NoList114111">
    <w:name w:val="No List114111"/>
    <w:next w:val="NoList"/>
    <w:uiPriority w:val="99"/>
    <w:semiHidden/>
    <w:rsid w:val="0046431A"/>
  </w:style>
  <w:style w:type="numbering" w:customStyle="1" w:styleId="NoList1112111">
    <w:name w:val="No List1112111"/>
    <w:next w:val="NoList"/>
    <w:uiPriority w:val="99"/>
    <w:semiHidden/>
    <w:unhideWhenUsed/>
    <w:rsid w:val="0046431A"/>
  </w:style>
  <w:style w:type="numbering" w:customStyle="1" w:styleId="NoList24111">
    <w:name w:val="No List24111"/>
    <w:next w:val="NoList"/>
    <w:uiPriority w:val="99"/>
    <w:semiHidden/>
    <w:unhideWhenUsed/>
    <w:rsid w:val="0046431A"/>
  </w:style>
  <w:style w:type="numbering" w:customStyle="1" w:styleId="NoList34111">
    <w:name w:val="No List34111"/>
    <w:next w:val="NoList"/>
    <w:semiHidden/>
    <w:unhideWhenUsed/>
    <w:rsid w:val="0046431A"/>
  </w:style>
  <w:style w:type="numbering" w:customStyle="1" w:styleId="NoList122111">
    <w:name w:val="No List122111"/>
    <w:next w:val="NoList"/>
    <w:semiHidden/>
    <w:rsid w:val="0046431A"/>
  </w:style>
  <w:style w:type="numbering" w:customStyle="1" w:styleId="NoList44111">
    <w:name w:val="No List44111"/>
    <w:next w:val="NoList"/>
    <w:uiPriority w:val="99"/>
    <w:semiHidden/>
    <w:unhideWhenUsed/>
    <w:rsid w:val="0046431A"/>
  </w:style>
  <w:style w:type="numbering" w:customStyle="1" w:styleId="NoList132111">
    <w:name w:val="No List132111"/>
    <w:next w:val="NoList"/>
    <w:semiHidden/>
    <w:rsid w:val="0046431A"/>
  </w:style>
  <w:style w:type="numbering" w:customStyle="1" w:styleId="NoList214111">
    <w:name w:val="No List214111"/>
    <w:next w:val="NoList"/>
    <w:uiPriority w:val="99"/>
    <w:semiHidden/>
    <w:unhideWhenUsed/>
    <w:rsid w:val="0046431A"/>
  </w:style>
  <w:style w:type="numbering" w:customStyle="1" w:styleId="NoList314111">
    <w:name w:val="No List314111"/>
    <w:next w:val="NoList"/>
    <w:uiPriority w:val="99"/>
    <w:semiHidden/>
    <w:unhideWhenUsed/>
    <w:rsid w:val="0046431A"/>
  </w:style>
  <w:style w:type="numbering" w:customStyle="1" w:styleId="NoList1111111111">
    <w:name w:val="No List1111111111"/>
    <w:next w:val="NoList"/>
    <w:uiPriority w:val="99"/>
    <w:semiHidden/>
    <w:unhideWhenUsed/>
    <w:rsid w:val="0046431A"/>
  </w:style>
  <w:style w:type="numbering" w:customStyle="1" w:styleId="NoList2112111">
    <w:name w:val="No List2112111"/>
    <w:next w:val="NoList"/>
    <w:uiPriority w:val="99"/>
    <w:semiHidden/>
    <w:unhideWhenUsed/>
    <w:rsid w:val="0046431A"/>
  </w:style>
  <w:style w:type="numbering" w:customStyle="1" w:styleId="NoList3112111">
    <w:name w:val="No List3112111"/>
    <w:next w:val="NoList"/>
    <w:semiHidden/>
    <w:rsid w:val="0046431A"/>
  </w:style>
  <w:style w:type="numbering" w:customStyle="1" w:styleId="NoList412111">
    <w:name w:val="No List412111"/>
    <w:next w:val="NoList"/>
    <w:uiPriority w:val="99"/>
    <w:semiHidden/>
    <w:unhideWhenUsed/>
    <w:rsid w:val="0046431A"/>
  </w:style>
  <w:style w:type="numbering" w:customStyle="1" w:styleId="NoList52111">
    <w:name w:val="No List52111"/>
    <w:next w:val="NoList"/>
    <w:uiPriority w:val="99"/>
    <w:semiHidden/>
    <w:unhideWhenUsed/>
    <w:rsid w:val="0046431A"/>
  </w:style>
  <w:style w:type="numbering" w:customStyle="1" w:styleId="NoList142111">
    <w:name w:val="No List142111"/>
    <w:next w:val="NoList"/>
    <w:semiHidden/>
    <w:rsid w:val="0046431A"/>
  </w:style>
  <w:style w:type="numbering" w:customStyle="1" w:styleId="NoList222111">
    <w:name w:val="No List222111"/>
    <w:next w:val="NoList"/>
    <w:uiPriority w:val="99"/>
    <w:semiHidden/>
    <w:unhideWhenUsed/>
    <w:rsid w:val="0046431A"/>
  </w:style>
  <w:style w:type="numbering" w:customStyle="1" w:styleId="NoList322111">
    <w:name w:val="No List322111"/>
    <w:next w:val="NoList"/>
    <w:uiPriority w:val="99"/>
    <w:semiHidden/>
    <w:unhideWhenUsed/>
    <w:rsid w:val="0046431A"/>
  </w:style>
  <w:style w:type="numbering" w:customStyle="1" w:styleId="NoList1122111">
    <w:name w:val="No List1122111"/>
    <w:next w:val="NoList"/>
    <w:uiPriority w:val="99"/>
    <w:semiHidden/>
    <w:unhideWhenUsed/>
    <w:rsid w:val="0046431A"/>
  </w:style>
  <w:style w:type="numbering" w:customStyle="1" w:styleId="NoList2122111">
    <w:name w:val="No List2122111"/>
    <w:next w:val="NoList"/>
    <w:uiPriority w:val="99"/>
    <w:semiHidden/>
    <w:unhideWhenUsed/>
    <w:rsid w:val="0046431A"/>
  </w:style>
  <w:style w:type="numbering" w:customStyle="1" w:styleId="NoList3122111">
    <w:name w:val="No List3122111"/>
    <w:next w:val="NoList"/>
    <w:semiHidden/>
    <w:rsid w:val="0046431A"/>
  </w:style>
  <w:style w:type="numbering" w:customStyle="1" w:styleId="NoList422111">
    <w:name w:val="No List422111"/>
    <w:next w:val="NoList"/>
    <w:uiPriority w:val="99"/>
    <w:semiHidden/>
    <w:unhideWhenUsed/>
    <w:rsid w:val="0046431A"/>
  </w:style>
  <w:style w:type="numbering" w:customStyle="1" w:styleId="NoList8111">
    <w:name w:val="No List8111"/>
    <w:next w:val="NoList"/>
    <w:uiPriority w:val="99"/>
    <w:semiHidden/>
    <w:unhideWhenUsed/>
    <w:rsid w:val="0046431A"/>
  </w:style>
  <w:style w:type="numbering" w:customStyle="1" w:styleId="NoList17111">
    <w:name w:val="No List17111"/>
    <w:next w:val="NoList"/>
    <w:uiPriority w:val="99"/>
    <w:semiHidden/>
    <w:unhideWhenUsed/>
    <w:rsid w:val="0046431A"/>
  </w:style>
  <w:style w:type="numbering" w:customStyle="1" w:styleId="NoList25111">
    <w:name w:val="No List25111"/>
    <w:next w:val="NoList"/>
    <w:uiPriority w:val="99"/>
    <w:semiHidden/>
    <w:unhideWhenUsed/>
    <w:rsid w:val="0046431A"/>
  </w:style>
  <w:style w:type="numbering" w:customStyle="1" w:styleId="NoList35111">
    <w:name w:val="No List35111"/>
    <w:next w:val="NoList"/>
    <w:uiPriority w:val="99"/>
    <w:semiHidden/>
    <w:unhideWhenUsed/>
    <w:rsid w:val="0046431A"/>
  </w:style>
  <w:style w:type="numbering" w:customStyle="1" w:styleId="NoList9111">
    <w:name w:val="No List9111"/>
    <w:next w:val="NoList"/>
    <w:uiPriority w:val="99"/>
    <w:semiHidden/>
    <w:unhideWhenUsed/>
    <w:rsid w:val="0046431A"/>
  </w:style>
  <w:style w:type="numbering" w:customStyle="1" w:styleId="NoList10111">
    <w:name w:val="No List10111"/>
    <w:next w:val="NoList"/>
    <w:uiPriority w:val="99"/>
    <w:semiHidden/>
    <w:unhideWhenUsed/>
    <w:rsid w:val="0046431A"/>
  </w:style>
  <w:style w:type="numbering" w:customStyle="1" w:styleId="NoList18111">
    <w:name w:val="No List18111"/>
    <w:next w:val="NoList"/>
    <w:uiPriority w:val="99"/>
    <w:semiHidden/>
    <w:unhideWhenUsed/>
    <w:rsid w:val="0046431A"/>
  </w:style>
  <w:style w:type="numbering" w:customStyle="1" w:styleId="NoList19111">
    <w:name w:val="No List19111"/>
    <w:next w:val="NoList"/>
    <w:uiPriority w:val="99"/>
    <w:semiHidden/>
    <w:unhideWhenUsed/>
    <w:rsid w:val="0046431A"/>
  </w:style>
  <w:style w:type="numbering" w:customStyle="1" w:styleId="NoList110111">
    <w:name w:val="No List110111"/>
    <w:next w:val="NoList"/>
    <w:uiPriority w:val="99"/>
    <w:semiHidden/>
    <w:rsid w:val="0046431A"/>
  </w:style>
  <w:style w:type="numbering" w:customStyle="1" w:styleId="NoList115111">
    <w:name w:val="No List115111"/>
    <w:next w:val="NoList"/>
    <w:uiPriority w:val="99"/>
    <w:semiHidden/>
    <w:unhideWhenUsed/>
    <w:rsid w:val="0046431A"/>
  </w:style>
  <w:style w:type="numbering" w:customStyle="1" w:styleId="NoList26111">
    <w:name w:val="No List26111"/>
    <w:next w:val="NoList"/>
    <w:uiPriority w:val="99"/>
    <w:semiHidden/>
    <w:unhideWhenUsed/>
    <w:rsid w:val="0046431A"/>
  </w:style>
  <w:style w:type="numbering" w:customStyle="1" w:styleId="NoList36111">
    <w:name w:val="No List36111"/>
    <w:next w:val="NoList"/>
    <w:semiHidden/>
    <w:unhideWhenUsed/>
    <w:rsid w:val="0046431A"/>
  </w:style>
  <w:style w:type="numbering" w:customStyle="1" w:styleId="NoList123111">
    <w:name w:val="No List123111"/>
    <w:next w:val="NoList"/>
    <w:semiHidden/>
    <w:rsid w:val="0046431A"/>
  </w:style>
  <w:style w:type="numbering" w:customStyle="1" w:styleId="NoList45111">
    <w:name w:val="No List45111"/>
    <w:next w:val="NoList"/>
    <w:uiPriority w:val="99"/>
    <w:semiHidden/>
    <w:unhideWhenUsed/>
    <w:rsid w:val="0046431A"/>
  </w:style>
  <w:style w:type="numbering" w:customStyle="1" w:styleId="NoList133111">
    <w:name w:val="No List133111"/>
    <w:next w:val="NoList"/>
    <w:semiHidden/>
    <w:rsid w:val="0046431A"/>
  </w:style>
  <w:style w:type="numbering" w:customStyle="1" w:styleId="NoList215111">
    <w:name w:val="No List215111"/>
    <w:next w:val="NoList"/>
    <w:uiPriority w:val="99"/>
    <w:semiHidden/>
    <w:unhideWhenUsed/>
    <w:rsid w:val="0046431A"/>
  </w:style>
  <w:style w:type="numbering" w:customStyle="1" w:styleId="NoList315111">
    <w:name w:val="No List315111"/>
    <w:next w:val="NoList"/>
    <w:uiPriority w:val="99"/>
    <w:semiHidden/>
    <w:unhideWhenUsed/>
    <w:rsid w:val="0046431A"/>
  </w:style>
  <w:style w:type="numbering" w:customStyle="1" w:styleId="NoList1113111">
    <w:name w:val="No List1113111"/>
    <w:next w:val="NoList"/>
    <w:uiPriority w:val="99"/>
    <w:semiHidden/>
    <w:unhideWhenUsed/>
    <w:rsid w:val="0046431A"/>
  </w:style>
  <w:style w:type="numbering" w:customStyle="1" w:styleId="NoList2113111">
    <w:name w:val="No List2113111"/>
    <w:next w:val="NoList"/>
    <w:uiPriority w:val="99"/>
    <w:semiHidden/>
    <w:unhideWhenUsed/>
    <w:rsid w:val="0046431A"/>
  </w:style>
  <w:style w:type="numbering" w:customStyle="1" w:styleId="NoList3113111">
    <w:name w:val="No List3113111"/>
    <w:next w:val="NoList"/>
    <w:semiHidden/>
    <w:rsid w:val="0046431A"/>
  </w:style>
  <w:style w:type="numbering" w:customStyle="1" w:styleId="NoList413111">
    <w:name w:val="No List413111"/>
    <w:next w:val="NoList"/>
    <w:uiPriority w:val="99"/>
    <w:semiHidden/>
    <w:unhideWhenUsed/>
    <w:rsid w:val="0046431A"/>
  </w:style>
  <w:style w:type="numbering" w:customStyle="1" w:styleId="NoList53111">
    <w:name w:val="No List53111"/>
    <w:next w:val="NoList"/>
    <w:uiPriority w:val="99"/>
    <w:semiHidden/>
    <w:unhideWhenUsed/>
    <w:rsid w:val="0046431A"/>
  </w:style>
  <w:style w:type="numbering" w:customStyle="1" w:styleId="NoList143111">
    <w:name w:val="No List143111"/>
    <w:next w:val="NoList"/>
    <w:semiHidden/>
    <w:rsid w:val="0046431A"/>
  </w:style>
  <w:style w:type="numbering" w:customStyle="1" w:styleId="NoList223111">
    <w:name w:val="No List223111"/>
    <w:next w:val="NoList"/>
    <w:uiPriority w:val="99"/>
    <w:semiHidden/>
    <w:unhideWhenUsed/>
    <w:rsid w:val="0046431A"/>
  </w:style>
  <w:style w:type="numbering" w:customStyle="1" w:styleId="NoList323111">
    <w:name w:val="No List323111"/>
    <w:next w:val="NoList"/>
    <w:uiPriority w:val="99"/>
    <w:semiHidden/>
    <w:unhideWhenUsed/>
    <w:rsid w:val="0046431A"/>
  </w:style>
  <w:style w:type="numbering" w:customStyle="1" w:styleId="NoList1123111">
    <w:name w:val="No List1123111"/>
    <w:next w:val="NoList"/>
    <w:uiPriority w:val="99"/>
    <w:semiHidden/>
    <w:unhideWhenUsed/>
    <w:rsid w:val="0046431A"/>
  </w:style>
  <w:style w:type="numbering" w:customStyle="1" w:styleId="NoList2123111">
    <w:name w:val="No List2123111"/>
    <w:next w:val="NoList"/>
    <w:uiPriority w:val="99"/>
    <w:semiHidden/>
    <w:unhideWhenUsed/>
    <w:rsid w:val="0046431A"/>
  </w:style>
  <w:style w:type="numbering" w:customStyle="1" w:styleId="NoList3123111">
    <w:name w:val="No List3123111"/>
    <w:next w:val="NoList"/>
    <w:semiHidden/>
    <w:rsid w:val="0046431A"/>
  </w:style>
  <w:style w:type="numbering" w:customStyle="1" w:styleId="NoList423111">
    <w:name w:val="No List423111"/>
    <w:next w:val="NoList"/>
    <w:uiPriority w:val="99"/>
    <w:semiHidden/>
    <w:unhideWhenUsed/>
    <w:rsid w:val="0046431A"/>
  </w:style>
  <w:style w:type="numbering" w:customStyle="1" w:styleId="NoList20111">
    <w:name w:val="No List20111"/>
    <w:next w:val="NoList"/>
    <w:uiPriority w:val="99"/>
    <w:semiHidden/>
    <w:unhideWhenUsed/>
    <w:rsid w:val="0046431A"/>
  </w:style>
  <w:style w:type="numbering" w:customStyle="1" w:styleId="NoList27111">
    <w:name w:val="No List27111"/>
    <w:next w:val="NoList"/>
    <w:uiPriority w:val="99"/>
    <w:semiHidden/>
    <w:unhideWhenUsed/>
    <w:rsid w:val="0046431A"/>
  </w:style>
  <w:style w:type="numbering" w:customStyle="1" w:styleId="NoList116111">
    <w:name w:val="No List116111"/>
    <w:next w:val="NoList"/>
    <w:uiPriority w:val="99"/>
    <w:semiHidden/>
    <w:unhideWhenUsed/>
    <w:rsid w:val="0046431A"/>
  </w:style>
  <w:style w:type="numbering" w:customStyle="1" w:styleId="NoList117111">
    <w:name w:val="No List117111"/>
    <w:next w:val="NoList"/>
    <w:uiPriority w:val="99"/>
    <w:semiHidden/>
    <w:rsid w:val="0046431A"/>
  </w:style>
  <w:style w:type="numbering" w:customStyle="1" w:styleId="NoList1114111">
    <w:name w:val="No List1114111"/>
    <w:next w:val="NoList"/>
    <w:uiPriority w:val="99"/>
    <w:semiHidden/>
    <w:unhideWhenUsed/>
    <w:rsid w:val="0046431A"/>
  </w:style>
  <w:style w:type="numbering" w:customStyle="1" w:styleId="NoList28111">
    <w:name w:val="No List28111"/>
    <w:next w:val="NoList"/>
    <w:uiPriority w:val="99"/>
    <w:semiHidden/>
    <w:unhideWhenUsed/>
    <w:rsid w:val="0046431A"/>
  </w:style>
  <w:style w:type="numbering" w:customStyle="1" w:styleId="NoList37111">
    <w:name w:val="No List37111"/>
    <w:next w:val="NoList"/>
    <w:semiHidden/>
    <w:unhideWhenUsed/>
    <w:rsid w:val="0046431A"/>
  </w:style>
  <w:style w:type="numbering" w:customStyle="1" w:styleId="NoList124111">
    <w:name w:val="No List124111"/>
    <w:next w:val="NoList"/>
    <w:semiHidden/>
    <w:rsid w:val="0046431A"/>
  </w:style>
  <w:style w:type="numbering" w:customStyle="1" w:styleId="NoList46111">
    <w:name w:val="No List46111"/>
    <w:next w:val="NoList"/>
    <w:uiPriority w:val="99"/>
    <w:semiHidden/>
    <w:unhideWhenUsed/>
    <w:rsid w:val="0046431A"/>
  </w:style>
  <w:style w:type="numbering" w:customStyle="1" w:styleId="NoList134111">
    <w:name w:val="No List134111"/>
    <w:next w:val="NoList"/>
    <w:semiHidden/>
    <w:rsid w:val="0046431A"/>
  </w:style>
  <w:style w:type="numbering" w:customStyle="1" w:styleId="NoList216111">
    <w:name w:val="No List216111"/>
    <w:next w:val="NoList"/>
    <w:uiPriority w:val="99"/>
    <w:semiHidden/>
    <w:unhideWhenUsed/>
    <w:rsid w:val="0046431A"/>
  </w:style>
  <w:style w:type="numbering" w:customStyle="1" w:styleId="NoList316111">
    <w:name w:val="No List316111"/>
    <w:next w:val="NoList"/>
    <w:uiPriority w:val="99"/>
    <w:semiHidden/>
    <w:unhideWhenUsed/>
    <w:rsid w:val="0046431A"/>
  </w:style>
  <w:style w:type="numbering" w:customStyle="1" w:styleId="NoList11112111">
    <w:name w:val="No List11112111"/>
    <w:next w:val="NoList"/>
    <w:uiPriority w:val="99"/>
    <w:semiHidden/>
    <w:unhideWhenUsed/>
    <w:rsid w:val="0046431A"/>
  </w:style>
  <w:style w:type="numbering" w:customStyle="1" w:styleId="NoList2114111">
    <w:name w:val="No List2114111"/>
    <w:next w:val="NoList"/>
    <w:uiPriority w:val="99"/>
    <w:semiHidden/>
    <w:unhideWhenUsed/>
    <w:rsid w:val="0046431A"/>
  </w:style>
  <w:style w:type="numbering" w:customStyle="1" w:styleId="NoList3114111">
    <w:name w:val="No List3114111"/>
    <w:next w:val="NoList"/>
    <w:semiHidden/>
    <w:rsid w:val="0046431A"/>
  </w:style>
  <w:style w:type="numbering" w:customStyle="1" w:styleId="NoList414111">
    <w:name w:val="No List414111"/>
    <w:next w:val="NoList"/>
    <w:uiPriority w:val="99"/>
    <w:semiHidden/>
    <w:unhideWhenUsed/>
    <w:rsid w:val="0046431A"/>
  </w:style>
  <w:style w:type="numbering" w:customStyle="1" w:styleId="NoList54111">
    <w:name w:val="No List54111"/>
    <w:next w:val="NoList"/>
    <w:uiPriority w:val="99"/>
    <w:semiHidden/>
    <w:unhideWhenUsed/>
    <w:rsid w:val="0046431A"/>
  </w:style>
  <w:style w:type="numbering" w:customStyle="1" w:styleId="NoList144111">
    <w:name w:val="No List144111"/>
    <w:next w:val="NoList"/>
    <w:semiHidden/>
    <w:rsid w:val="0046431A"/>
  </w:style>
  <w:style w:type="numbering" w:customStyle="1" w:styleId="NoList224111">
    <w:name w:val="No List224111"/>
    <w:next w:val="NoList"/>
    <w:uiPriority w:val="99"/>
    <w:semiHidden/>
    <w:unhideWhenUsed/>
    <w:rsid w:val="0046431A"/>
  </w:style>
  <w:style w:type="numbering" w:customStyle="1" w:styleId="NoList324111">
    <w:name w:val="No List324111"/>
    <w:next w:val="NoList"/>
    <w:uiPriority w:val="99"/>
    <w:semiHidden/>
    <w:unhideWhenUsed/>
    <w:rsid w:val="0046431A"/>
  </w:style>
  <w:style w:type="numbering" w:customStyle="1" w:styleId="NoList1124111">
    <w:name w:val="No List1124111"/>
    <w:next w:val="NoList"/>
    <w:uiPriority w:val="99"/>
    <w:semiHidden/>
    <w:unhideWhenUsed/>
    <w:rsid w:val="0046431A"/>
  </w:style>
  <w:style w:type="numbering" w:customStyle="1" w:styleId="NoList2124111">
    <w:name w:val="No List2124111"/>
    <w:next w:val="NoList"/>
    <w:uiPriority w:val="99"/>
    <w:semiHidden/>
    <w:unhideWhenUsed/>
    <w:rsid w:val="0046431A"/>
  </w:style>
  <w:style w:type="numbering" w:customStyle="1" w:styleId="NoList3124111">
    <w:name w:val="No List3124111"/>
    <w:next w:val="NoList"/>
    <w:semiHidden/>
    <w:rsid w:val="0046431A"/>
  </w:style>
  <w:style w:type="numbering" w:customStyle="1" w:styleId="NoList424111">
    <w:name w:val="No List424111"/>
    <w:next w:val="NoList"/>
    <w:uiPriority w:val="99"/>
    <w:semiHidden/>
    <w:unhideWhenUsed/>
    <w:rsid w:val="0046431A"/>
  </w:style>
  <w:style w:type="numbering" w:customStyle="1" w:styleId="NoList3911">
    <w:name w:val="No List3911"/>
    <w:next w:val="NoList"/>
    <w:uiPriority w:val="99"/>
    <w:semiHidden/>
    <w:unhideWhenUsed/>
    <w:rsid w:val="0046431A"/>
  </w:style>
  <w:style w:type="numbering" w:customStyle="1" w:styleId="NoList12011">
    <w:name w:val="No List12011"/>
    <w:next w:val="NoList"/>
    <w:uiPriority w:val="99"/>
    <w:semiHidden/>
    <w:unhideWhenUsed/>
    <w:rsid w:val="0046431A"/>
  </w:style>
  <w:style w:type="numbering" w:customStyle="1" w:styleId="NoList111011">
    <w:name w:val="No List111011"/>
    <w:next w:val="NoList"/>
    <w:uiPriority w:val="99"/>
    <w:semiHidden/>
    <w:rsid w:val="0046431A"/>
  </w:style>
  <w:style w:type="numbering" w:customStyle="1" w:styleId="NoList111611">
    <w:name w:val="No List111611"/>
    <w:next w:val="NoList"/>
    <w:uiPriority w:val="99"/>
    <w:semiHidden/>
    <w:unhideWhenUsed/>
    <w:rsid w:val="0046431A"/>
  </w:style>
  <w:style w:type="numbering" w:customStyle="1" w:styleId="NoList21811">
    <w:name w:val="No List21811"/>
    <w:next w:val="NoList"/>
    <w:uiPriority w:val="99"/>
    <w:semiHidden/>
    <w:unhideWhenUsed/>
    <w:rsid w:val="0046431A"/>
  </w:style>
  <w:style w:type="numbering" w:customStyle="1" w:styleId="NoList31011">
    <w:name w:val="No List31011"/>
    <w:next w:val="NoList"/>
    <w:semiHidden/>
    <w:unhideWhenUsed/>
    <w:rsid w:val="0046431A"/>
  </w:style>
  <w:style w:type="numbering" w:customStyle="1" w:styleId="NoList12611">
    <w:name w:val="No List12611"/>
    <w:next w:val="NoList"/>
    <w:semiHidden/>
    <w:rsid w:val="0046431A"/>
  </w:style>
  <w:style w:type="numbering" w:customStyle="1" w:styleId="NoList4811">
    <w:name w:val="No List4811"/>
    <w:next w:val="NoList"/>
    <w:uiPriority w:val="99"/>
    <w:semiHidden/>
    <w:unhideWhenUsed/>
    <w:rsid w:val="0046431A"/>
  </w:style>
  <w:style w:type="numbering" w:customStyle="1" w:styleId="NoList13611">
    <w:name w:val="No List13611"/>
    <w:next w:val="NoList"/>
    <w:semiHidden/>
    <w:rsid w:val="0046431A"/>
  </w:style>
  <w:style w:type="numbering" w:customStyle="1" w:styleId="NoList21911">
    <w:name w:val="No List21911"/>
    <w:next w:val="NoList"/>
    <w:uiPriority w:val="99"/>
    <w:semiHidden/>
    <w:unhideWhenUsed/>
    <w:rsid w:val="0046431A"/>
  </w:style>
  <w:style w:type="numbering" w:customStyle="1" w:styleId="NoList31811">
    <w:name w:val="No List31811"/>
    <w:next w:val="NoList"/>
    <w:uiPriority w:val="99"/>
    <w:semiHidden/>
    <w:unhideWhenUsed/>
    <w:rsid w:val="0046431A"/>
  </w:style>
  <w:style w:type="numbering" w:customStyle="1" w:styleId="NoList1111411">
    <w:name w:val="No List1111411"/>
    <w:next w:val="NoList"/>
    <w:uiPriority w:val="99"/>
    <w:semiHidden/>
    <w:unhideWhenUsed/>
    <w:rsid w:val="0046431A"/>
  </w:style>
  <w:style w:type="numbering" w:customStyle="1" w:styleId="NoList211611">
    <w:name w:val="No List211611"/>
    <w:next w:val="NoList"/>
    <w:uiPriority w:val="99"/>
    <w:semiHidden/>
    <w:unhideWhenUsed/>
    <w:rsid w:val="0046431A"/>
  </w:style>
  <w:style w:type="numbering" w:customStyle="1" w:styleId="NoList311611">
    <w:name w:val="No List311611"/>
    <w:next w:val="NoList"/>
    <w:semiHidden/>
    <w:rsid w:val="0046431A"/>
  </w:style>
  <w:style w:type="numbering" w:customStyle="1" w:styleId="NoList41611">
    <w:name w:val="No List41611"/>
    <w:next w:val="NoList"/>
    <w:uiPriority w:val="99"/>
    <w:semiHidden/>
    <w:unhideWhenUsed/>
    <w:rsid w:val="0046431A"/>
  </w:style>
  <w:style w:type="numbering" w:customStyle="1" w:styleId="NoList5611">
    <w:name w:val="No List5611"/>
    <w:next w:val="NoList"/>
    <w:uiPriority w:val="99"/>
    <w:semiHidden/>
    <w:unhideWhenUsed/>
    <w:rsid w:val="0046431A"/>
  </w:style>
  <w:style w:type="numbering" w:customStyle="1" w:styleId="NoList14611">
    <w:name w:val="No List14611"/>
    <w:next w:val="NoList"/>
    <w:semiHidden/>
    <w:rsid w:val="0046431A"/>
  </w:style>
  <w:style w:type="numbering" w:customStyle="1" w:styleId="NoList22611">
    <w:name w:val="No List22611"/>
    <w:next w:val="NoList"/>
    <w:uiPriority w:val="99"/>
    <w:semiHidden/>
    <w:unhideWhenUsed/>
    <w:rsid w:val="0046431A"/>
  </w:style>
  <w:style w:type="numbering" w:customStyle="1" w:styleId="NoList32611">
    <w:name w:val="No List32611"/>
    <w:next w:val="NoList"/>
    <w:uiPriority w:val="99"/>
    <w:semiHidden/>
    <w:unhideWhenUsed/>
    <w:rsid w:val="0046431A"/>
  </w:style>
  <w:style w:type="numbering" w:customStyle="1" w:styleId="NoList112611">
    <w:name w:val="No List112611"/>
    <w:next w:val="NoList"/>
    <w:uiPriority w:val="99"/>
    <w:semiHidden/>
    <w:unhideWhenUsed/>
    <w:rsid w:val="0046431A"/>
  </w:style>
  <w:style w:type="numbering" w:customStyle="1" w:styleId="NoList212611">
    <w:name w:val="No List212611"/>
    <w:next w:val="NoList"/>
    <w:uiPriority w:val="99"/>
    <w:semiHidden/>
    <w:unhideWhenUsed/>
    <w:rsid w:val="0046431A"/>
  </w:style>
  <w:style w:type="numbering" w:customStyle="1" w:styleId="NoList312611">
    <w:name w:val="No List312611"/>
    <w:next w:val="NoList"/>
    <w:semiHidden/>
    <w:rsid w:val="0046431A"/>
  </w:style>
  <w:style w:type="numbering" w:customStyle="1" w:styleId="NoList42611">
    <w:name w:val="No List42611"/>
    <w:next w:val="NoList"/>
    <w:uiPriority w:val="99"/>
    <w:semiHidden/>
    <w:unhideWhenUsed/>
    <w:rsid w:val="0046431A"/>
  </w:style>
  <w:style w:type="numbering" w:customStyle="1" w:styleId="NoList6211">
    <w:name w:val="No List6211"/>
    <w:next w:val="NoList"/>
    <w:uiPriority w:val="99"/>
    <w:semiHidden/>
    <w:unhideWhenUsed/>
    <w:rsid w:val="0046431A"/>
  </w:style>
  <w:style w:type="numbering" w:customStyle="1" w:styleId="NoList15211">
    <w:name w:val="No List15211"/>
    <w:next w:val="NoList"/>
    <w:uiPriority w:val="99"/>
    <w:semiHidden/>
    <w:rsid w:val="0046431A"/>
  </w:style>
  <w:style w:type="numbering" w:customStyle="1" w:styleId="NoList113211">
    <w:name w:val="No List113211"/>
    <w:next w:val="NoList"/>
    <w:uiPriority w:val="99"/>
    <w:semiHidden/>
    <w:unhideWhenUsed/>
    <w:rsid w:val="0046431A"/>
  </w:style>
  <w:style w:type="numbering" w:customStyle="1" w:styleId="NoList23211">
    <w:name w:val="No List23211"/>
    <w:next w:val="NoList"/>
    <w:uiPriority w:val="99"/>
    <w:semiHidden/>
    <w:unhideWhenUsed/>
    <w:rsid w:val="0046431A"/>
  </w:style>
  <w:style w:type="numbering" w:customStyle="1" w:styleId="NoList33211">
    <w:name w:val="No List33211"/>
    <w:next w:val="NoList"/>
    <w:semiHidden/>
    <w:unhideWhenUsed/>
    <w:rsid w:val="0046431A"/>
  </w:style>
  <w:style w:type="numbering" w:customStyle="1" w:styleId="NoList121211">
    <w:name w:val="No List121211"/>
    <w:next w:val="NoList"/>
    <w:semiHidden/>
    <w:rsid w:val="0046431A"/>
  </w:style>
  <w:style w:type="numbering" w:customStyle="1" w:styleId="NoList43211">
    <w:name w:val="No List43211"/>
    <w:next w:val="NoList"/>
    <w:uiPriority w:val="99"/>
    <w:semiHidden/>
    <w:unhideWhenUsed/>
    <w:rsid w:val="0046431A"/>
  </w:style>
  <w:style w:type="numbering" w:customStyle="1" w:styleId="NoList131211">
    <w:name w:val="No List131211"/>
    <w:next w:val="NoList"/>
    <w:semiHidden/>
    <w:rsid w:val="0046431A"/>
  </w:style>
  <w:style w:type="numbering" w:customStyle="1" w:styleId="NoList213211">
    <w:name w:val="No List213211"/>
    <w:next w:val="NoList"/>
    <w:uiPriority w:val="99"/>
    <w:semiHidden/>
    <w:unhideWhenUsed/>
    <w:rsid w:val="0046431A"/>
  </w:style>
  <w:style w:type="numbering" w:customStyle="1" w:styleId="NoList313211">
    <w:name w:val="No List313211"/>
    <w:next w:val="NoList"/>
    <w:uiPriority w:val="99"/>
    <w:semiHidden/>
    <w:unhideWhenUsed/>
    <w:rsid w:val="0046431A"/>
  </w:style>
  <w:style w:type="numbering" w:customStyle="1" w:styleId="NoList11111211">
    <w:name w:val="No List11111211"/>
    <w:next w:val="NoList"/>
    <w:uiPriority w:val="99"/>
    <w:semiHidden/>
    <w:unhideWhenUsed/>
    <w:rsid w:val="0046431A"/>
  </w:style>
  <w:style w:type="numbering" w:customStyle="1" w:styleId="NoList2111211">
    <w:name w:val="No List2111211"/>
    <w:next w:val="NoList"/>
    <w:uiPriority w:val="99"/>
    <w:semiHidden/>
    <w:unhideWhenUsed/>
    <w:rsid w:val="0046431A"/>
  </w:style>
  <w:style w:type="numbering" w:customStyle="1" w:styleId="NoList3111211">
    <w:name w:val="No List3111211"/>
    <w:next w:val="NoList"/>
    <w:semiHidden/>
    <w:rsid w:val="0046431A"/>
  </w:style>
  <w:style w:type="numbering" w:customStyle="1" w:styleId="NoList411211">
    <w:name w:val="No List411211"/>
    <w:next w:val="NoList"/>
    <w:uiPriority w:val="99"/>
    <w:semiHidden/>
    <w:unhideWhenUsed/>
    <w:rsid w:val="0046431A"/>
  </w:style>
  <w:style w:type="numbering" w:customStyle="1" w:styleId="NoList51211">
    <w:name w:val="No List51211"/>
    <w:next w:val="NoList"/>
    <w:uiPriority w:val="99"/>
    <w:semiHidden/>
    <w:unhideWhenUsed/>
    <w:rsid w:val="0046431A"/>
  </w:style>
  <w:style w:type="numbering" w:customStyle="1" w:styleId="NoList141211">
    <w:name w:val="No List141211"/>
    <w:next w:val="NoList"/>
    <w:semiHidden/>
    <w:rsid w:val="0046431A"/>
  </w:style>
  <w:style w:type="numbering" w:customStyle="1" w:styleId="NoList221211">
    <w:name w:val="No List221211"/>
    <w:next w:val="NoList"/>
    <w:uiPriority w:val="99"/>
    <w:semiHidden/>
    <w:unhideWhenUsed/>
    <w:rsid w:val="0046431A"/>
  </w:style>
  <w:style w:type="numbering" w:customStyle="1" w:styleId="NoList321211">
    <w:name w:val="No List321211"/>
    <w:next w:val="NoList"/>
    <w:uiPriority w:val="99"/>
    <w:semiHidden/>
    <w:unhideWhenUsed/>
    <w:rsid w:val="0046431A"/>
  </w:style>
  <w:style w:type="numbering" w:customStyle="1" w:styleId="NoList1121211">
    <w:name w:val="No List1121211"/>
    <w:next w:val="NoList"/>
    <w:uiPriority w:val="99"/>
    <w:semiHidden/>
    <w:unhideWhenUsed/>
    <w:rsid w:val="0046431A"/>
  </w:style>
  <w:style w:type="numbering" w:customStyle="1" w:styleId="NoList2121211">
    <w:name w:val="No List2121211"/>
    <w:next w:val="NoList"/>
    <w:uiPriority w:val="99"/>
    <w:semiHidden/>
    <w:unhideWhenUsed/>
    <w:rsid w:val="0046431A"/>
  </w:style>
  <w:style w:type="numbering" w:customStyle="1" w:styleId="NoList3121211">
    <w:name w:val="No List3121211"/>
    <w:next w:val="NoList"/>
    <w:semiHidden/>
    <w:rsid w:val="0046431A"/>
  </w:style>
  <w:style w:type="numbering" w:customStyle="1" w:styleId="NoList421211">
    <w:name w:val="No List421211"/>
    <w:next w:val="NoList"/>
    <w:uiPriority w:val="99"/>
    <w:semiHidden/>
    <w:unhideWhenUsed/>
    <w:rsid w:val="0046431A"/>
  </w:style>
  <w:style w:type="numbering" w:customStyle="1" w:styleId="NoList7211">
    <w:name w:val="No List7211"/>
    <w:next w:val="NoList"/>
    <w:uiPriority w:val="99"/>
    <w:semiHidden/>
    <w:unhideWhenUsed/>
    <w:rsid w:val="0046431A"/>
  </w:style>
  <w:style w:type="numbering" w:customStyle="1" w:styleId="NoList16211">
    <w:name w:val="No List16211"/>
    <w:next w:val="NoList"/>
    <w:uiPriority w:val="99"/>
    <w:semiHidden/>
    <w:unhideWhenUsed/>
    <w:rsid w:val="0046431A"/>
  </w:style>
  <w:style w:type="numbering" w:customStyle="1" w:styleId="NoList114211">
    <w:name w:val="No List114211"/>
    <w:next w:val="NoList"/>
    <w:uiPriority w:val="99"/>
    <w:semiHidden/>
    <w:rsid w:val="0046431A"/>
  </w:style>
  <w:style w:type="numbering" w:customStyle="1" w:styleId="NoList1112211">
    <w:name w:val="No List1112211"/>
    <w:next w:val="NoList"/>
    <w:uiPriority w:val="99"/>
    <w:semiHidden/>
    <w:unhideWhenUsed/>
    <w:rsid w:val="0046431A"/>
  </w:style>
  <w:style w:type="numbering" w:customStyle="1" w:styleId="NoList24211">
    <w:name w:val="No List24211"/>
    <w:next w:val="NoList"/>
    <w:uiPriority w:val="99"/>
    <w:semiHidden/>
    <w:unhideWhenUsed/>
    <w:rsid w:val="0046431A"/>
  </w:style>
  <w:style w:type="numbering" w:customStyle="1" w:styleId="NoList34211">
    <w:name w:val="No List34211"/>
    <w:next w:val="NoList"/>
    <w:semiHidden/>
    <w:unhideWhenUsed/>
    <w:rsid w:val="0046431A"/>
  </w:style>
  <w:style w:type="numbering" w:customStyle="1" w:styleId="NoList122211">
    <w:name w:val="No List122211"/>
    <w:next w:val="NoList"/>
    <w:semiHidden/>
    <w:rsid w:val="0046431A"/>
  </w:style>
  <w:style w:type="numbering" w:customStyle="1" w:styleId="NoList44211">
    <w:name w:val="No List44211"/>
    <w:next w:val="NoList"/>
    <w:uiPriority w:val="99"/>
    <w:semiHidden/>
    <w:unhideWhenUsed/>
    <w:rsid w:val="0046431A"/>
  </w:style>
  <w:style w:type="numbering" w:customStyle="1" w:styleId="NoList132211">
    <w:name w:val="No List132211"/>
    <w:next w:val="NoList"/>
    <w:semiHidden/>
    <w:rsid w:val="0046431A"/>
  </w:style>
  <w:style w:type="numbering" w:customStyle="1" w:styleId="NoList214211">
    <w:name w:val="No List214211"/>
    <w:next w:val="NoList"/>
    <w:uiPriority w:val="99"/>
    <w:semiHidden/>
    <w:unhideWhenUsed/>
    <w:rsid w:val="0046431A"/>
  </w:style>
  <w:style w:type="numbering" w:customStyle="1" w:styleId="NoList314211">
    <w:name w:val="No List314211"/>
    <w:next w:val="NoList"/>
    <w:uiPriority w:val="99"/>
    <w:semiHidden/>
    <w:unhideWhenUsed/>
    <w:rsid w:val="0046431A"/>
  </w:style>
  <w:style w:type="numbering" w:customStyle="1" w:styleId="NoList111111211">
    <w:name w:val="No List111111211"/>
    <w:next w:val="NoList"/>
    <w:uiPriority w:val="99"/>
    <w:semiHidden/>
    <w:unhideWhenUsed/>
    <w:rsid w:val="0046431A"/>
  </w:style>
  <w:style w:type="numbering" w:customStyle="1" w:styleId="NoList2112211">
    <w:name w:val="No List2112211"/>
    <w:next w:val="NoList"/>
    <w:uiPriority w:val="99"/>
    <w:semiHidden/>
    <w:unhideWhenUsed/>
    <w:rsid w:val="0046431A"/>
  </w:style>
  <w:style w:type="numbering" w:customStyle="1" w:styleId="NoList3112211">
    <w:name w:val="No List3112211"/>
    <w:next w:val="NoList"/>
    <w:semiHidden/>
    <w:rsid w:val="0046431A"/>
  </w:style>
  <w:style w:type="numbering" w:customStyle="1" w:styleId="NoList412211">
    <w:name w:val="No List412211"/>
    <w:next w:val="NoList"/>
    <w:uiPriority w:val="99"/>
    <w:semiHidden/>
    <w:unhideWhenUsed/>
    <w:rsid w:val="0046431A"/>
  </w:style>
  <w:style w:type="numbering" w:customStyle="1" w:styleId="NoList52211">
    <w:name w:val="No List52211"/>
    <w:next w:val="NoList"/>
    <w:uiPriority w:val="99"/>
    <w:semiHidden/>
    <w:unhideWhenUsed/>
    <w:rsid w:val="0046431A"/>
  </w:style>
  <w:style w:type="numbering" w:customStyle="1" w:styleId="NoList142211">
    <w:name w:val="No List142211"/>
    <w:next w:val="NoList"/>
    <w:semiHidden/>
    <w:rsid w:val="0046431A"/>
  </w:style>
  <w:style w:type="numbering" w:customStyle="1" w:styleId="NoList222211">
    <w:name w:val="No List222211"/>
    <w:next w:val="NoList"/>
    <w:uiPriority w:val="99"/>
    <w:semiHidden/>
    <w:unhideWhenUsed/>
    <w:rsid w:val="0046431A"/>
  </w:style>
  <w:style w:type="numbering" w:customStyle="1" w:styleId="NoList322211">
    <w:name w:val="No List322211"/>
    <w:next w:val="NoList"/>
    <w:uiPriority w:val="99"/>
    <w:semiHidden/>
    <w:unhideWhenUsed/>
    <w:rsid w:val="0046431A"/>
  </w:style>
  <w:style w:type="numbering" w:customStyle="1" w:styleId="NoList1122211">
    <w:name w:val="No List1122211"/>
    <w:next w:val="NoList"/>
    <w:uiPriority w:val="99"/>
    <w:semiHidden/>
    <w:unhideWhenUsed/>
    <w:rsid w:val="0046431A"/>
  </w:style>
  <w:style w:type="numbering" w:customStyle="1" w:styleId="NoList2122211">
    <w:name w:val="No List2122211"/>
    <w:next w:val="NoList"/>
    <w:uiPriority w:val="99"/>
    <w:semiHidden/>
    <w:unhideWhenUsed/>
    <w:rsid w:val="0046431A"/>
  </w:style>
  <w:style w:type="numbering" w:customStyle="1" w:styleId="NoList3122211">
    <w:name w:val="No List3122211"/>
    <w:next w:val="NoList"/>
    <w:semiHidden/>
    <w:rsid w:val="0046431A"/>
  </w:style>
  <w:style w:type="numbering" w:customStyle="1" w:styleId="NoList422211">
    <w:name w:val="No List422211"/>
    <w:next w:val="NoList"/>
    <w:uiPriority w:val="99"/>
    <w:semiHidden/>
    <w:unhideWhenUsed/>
    <w:rsid w:val="0046431A"/>
  </w:style>
  <w:style w:type="numbering" w:customStyle="1" w:styleId="NoList8211">
    <w:name w:val="No List8211"/>
    <w:next w:val="NoList"/>
    <w:uiPriority w:val="99"/>
    <w:semiHidden/>
    <w:unhideWhenUsed/>
    <w:rsid w:val="0046431A"/>
  </w:style>
  <w:style w:type="numbering" w:customStyle="1" w:styleId="NoList17211">
    <w:name w:val="No List17211"/>
    <w:next w:val="NoList"/>
    <w:uiPriority w:val="99"/>
    <w:semiHidden/>
    <w:unhideWhenUsed/>
    <w:rsid w:val="0046431A"/>
  </w:style>
  <w:style w:type="numbering" w:customStyle="1" w:styleId="NoList25211">
    <w:name w:val="No List25211"/>
    <w:next w:val="NoList"/>
    <w:uiPriority w:val="99"/>
    <w:semiHidden/>
    <w:unhideWhenUsed/>
    <w:rsid w:val="0046431A"/>
  </w:style>
  <w:style w:type="numbering" w:customStyle="1" w:styleId="NoList35211">
    <w:name w:val="No List35211"/>
    <w:next w:val="NoList"/>
    <w:uiPriority w:val="99"/>
    <w:semiHidden/>
    <w:unhideWhenUsed/>
    <w:rsid w:val="0046431A"/>
  </w:style>
  <w:style w:type="numbering" w:customStyle="1" w:styleId="NoList9211">
    <w:name w:val="No List9211"/>
    <w:next w:val="NoList"/>
    <w:uiPriority w:val="99"/>
    <w:semiHidden/>
    <w:unhideWhenUsed/>
    <w:rsid w:val="0046431A"/>
  </w:style>
  <w:style w:type="numbering" w:customStyle="1" w:styleId="NoList10211">
    <w:name w:val="No List10211"/>
    <w:next w:val="NoList"/>
    <w:uiPriority w:val="99"/>
    <w:semiHidden/>
    <w:unhideWhenUsed/>
    <w:rsid w:val="0046431A"/>
  </w:style>
  <w:style w:type="numbering" w:customStyle="1" w:styleId="NoList18211">
    <w:name w:val="No List18211"/>
    <w:next w:val="NoList"/>
    <w:uiPriority w:val="99"/>
    <w:semiHidden/>
    <w:unhideWhenUsed/>
    <w:rsid w:val="0046431A"/>
  </w:style>
  <w:style w:type="numbering" w:customStyle="1" w:styleId="NoList19211">
    <w:name w:val="No List19211"/>
    <w:next w:val="NoList"/>
    <w:uiPriority w:val="99"/>
    <w:semiHidden/>
    <w:unhideWhenUsed/>
    <w:rsid w:val="0046431A"/>
  </w:style>
  <w:style w:type="numbering" w:customStyle="1" w:styleId="NoList110211">
    <w:name w:val="No List110211"/>
    <w:next w:val="NoList"/>
    <w:uiPriority w:val="99"/>
    <w:semiHidden/>
    <w:rsid w:val="0046431A"/>
  </w:style>
  <w:style w:type="numbering" w:customStyle="1" w:styleId="NoList115211">
    <w:name w:val="No List115211"/>
    <w:next w:val="NoList"/>
    <w:uiPriority w:val="99"/>
    <w:semiHidden/>
    <w:unhideWhenUsed/>
    <w:rsid w:val="0046431A"/>
  </w:style>
  <w:style w:type="numbering" w:customStyle="1" w:styleId="NoList26211">
    <w:name w:val="No List26211"/>
    <w:next w:val="NoList"/>
    <w:uiPriority w:val="99"/>
    <w:semiHidden/>
    <w:unhideWhenUsed/>
    <w:rsid w:val="0046431A"/>
  </w:style>
  <w:style w:type="numbering" w:customStyle="1" w:styleId="NoList36211">
    <w:name w:val="No List36211"/>
    <w:next w:val="NoList"/>
    <w:semiHidden/>
    <w:unhideWhenUsed/>
    <w:rsid w:val="0046431A"/>
  </w:style>
  <w:style w:type="numbering" w:customStyle="1" w:styleId="NoList123211">
    <w:name w:val="No List123211"/>
    <w:next w:val="NoList"/>
    <w:semiHidden/>
    <w:rsid w:val="0046431A"/>
  </w:style>
  <w:style w:type="numbering" w:customStyle="1" w:styleId="NoList45211">
    <w:name w:val="No List45211"/>
    <w:next w:val="NoList"/>
    <w:uiPriority w:val="99"/>
    <w:semiHidden/>
    <w:unhideWhenUsed/>
    <w:rsid w:val="0046431A"/>
  </w:style>
  <w:style w:type="numbering" w:customStyle="1" w:styleId="NoList133211">
    <w:name w:val="No List133211"/>
    <w:next w:val="NoList"/>
    <w:semiHidden/>
    <w:rsid w:val="0046431A"/>
  </w:style>
  <w:style w:type="numbering" w:customStyle="1" w:styleId="NoList215211">
    <w:name w:val="No List215211"/>
    <w:next w:val="NoList"/>
    <w:uiPriority w:val="99"/>
    <w:semiHidden/>
    <w:unhideWhenUsed/>
    <w:rsid w:val="0046431A"/>
  </w:style>
  <w:style w:type="numbering" w:customStyle="1" w:styleId="NoList315211">
    <w:name w:val="No List315211"/>
    <w:next w:val="NoList"/>
    <w:uiPriority w:val="99"/>
    <w:semiHidden/>
    <w:unhideWhenUsed/>
    <w:rsid w:val="0046431A"/>
  </w:style>
  <w:style w:type="numbering" w:customStyle="1" w:styleId="NoList1113211">
    <w:name w:val="No List1113211"/>
    <w:next w:val="NoList"/>
    <w:uiPriority w:val="99"/>
    <w:semiHidden/>
    <w:unhideWhenUsed/>
    <w:rsid w:val="0046431A"/>
  </w:style>
  <w:style w:type="numbering" w:customStyle="1" w:styleId="NoList2113211">
    <w:name w:val="No List2113211"/>
    <w:next w:val="NoList"/>
    <w:uiPriority w:val="99"/>
    <w:semiHidden/>
    <w:unhideWhenUsed/>
    <w:rsid w:val="0046431A"/>
  </w:style>
  <w:style w:type="numbering" w:customStyle="1" w:styleId="NoList3113211">
    <w:name w:val="No List3113211"/>
    <w:next w:val="NoList"/>
    <w:semiHidden/>
    <w:rsid w:val="0046431A"/>
  </w:style>
  <w:style w:type="numbering" w:customStyle="1" w:styleId="NoList413211">
    <w:name w:val="No List413211"/>
    <w:next w:val="NoList"/>
    <w:uiPriority w:val="99"/>
    <w:semiHidden/>
    <w:unhideWhenUsed/>
    <w:rsid w:val="0046431A"/>
  </w:style>
  <w:style w:type="numbering" w:customStyle="1" w:styleId="NoList53211">
    <w:name w:val="No List53211"/>
    <w:next w:val="NoList"/>
    <w:uiPriority w:val="99"/>
    <w:semiHidden/>
    <w:unhideWhenUsed/>
    <w:rsid w:val="0046431A"/>
  </w:style>
  <w:style w:type="numbering" w:customStyle="1" w:styleId="NoList143211">
    <w:name w:val="No List143211"/>
    <w:next w:val="NoList"/>
    <w:semiHidden/>
    <w:rsid w:val="0046431A"/>
  </w:style>
  <w:style w:type="numbering" w:customStyle="1" w:styleId="NoList223211">
    <w:name w:val="No List223211"/>
    <w:next w:val="NoList"/>
    <w:uiPriority w:val="99"/>
    <w:semiHidden/>
    <w:unhideWhenUsed/>
    <w:rsid w:val="0046431A"/>
  </w:style>
  <w:style w:type="numbering" w:customStyle="1" w:styleId="NoList323211">
    <w:name w:val="No List323211"/>
    <w:next w:val="NoList"/>
    <w:uiPriority w:val="99"/>
    <w:semiHidden/>
    <w:unhideWhenUsed/>
    <w:rsid w:val="0046431A"/>
  </w:style>
  <w:style w:type="numbering" w:customStyle="1" w:styleId="NoList1123211">
    <w:name w:val="No List1123211"/>
    <w:next w:val="NoList"/>
    <w:uiPriority w:val="99"/>
    <w:semiHidden/>
    <w:unhideWhenUsed/>
    <w:rsid w:val="0046431A"/>
  </w:style>
  <w:style w:type="numbering" w:customStyle="1" w:styleId="NoList2123211">
    <w:name w:val="No List2123211"/>
    <w:next w:val="NoList"/>
    <w:uiPriority w:val="99"/>
    <w:semiHidden/>
    <w:unhideWhenUsed/>
    <w:rsid w:val="0046431A"/>
  </w:style>
  <w:style w:type="numbering" w:customStyle="1" w:styleId="NoList3123211">
    <w:name w:val="No List3123211"/>
    <w:next w:val="NoList"/>
    <w:semiHidden/>
    <w:rsid w:val="0046431A"/>
  </w:style>
  <w:style w:type="numbering" w:customStyle="1" w:styleId="NoList423211">
    <w:name w:val="No List423211"/>
    <w:next w:val="NoList"/>
    <w:uiPriority w:val="99"/>
    <w:semiHidden/>
    <w:unhideWhenUsed/>
    <w:rsid w:val="0046431A"/>
  </w:style>
  <w:style w:type="numbering" w:customStyle="1" w:styleId="NoList20211">
    <w:name w:val="No List20211"/>
    <w:next w:val="NoList"/>
    <w:uiPriority w:val="99"/>
    <w:semiHidden/>
    <w:unhideWhenUsed/>
    <w:rsid w:val="0046431A"/>
  </w:style>
  <w:style w:type="numbering" w:customStyle="1" w:styleId="NoList27211">
    <w:name w:val="No List27211"/>
    <w:next w:val="NoList"/>
    <w:uiPriority w:val="99"/>
    <w:semiHidden/>
    <w:unhideWhenUsed/>
    <w:rsid w:val="0046431A"/>
  </w:style>
  <w:style w:type="numbering" w:customStyle="1" w:styleId="NoList116211">
    <w:name w:val="No List116211"/>
    <w:next w:val="NoList"/>
    <w:uiPriority w:val="99"/>
    <w:semiHidden/>
    <w:unhideWhenUsed/>
    <w:rsid w:val="0046431A"/>
  </w:style>
  <w:style w:type="numbering" w:customStyle="1" w:styleId="NoList117211">
    <w:name w:val="No List117211"/>
    <w:next w:val="NoList"/>
    <w:uiPriority w:val="99"/>
    <w:semiHidden/>
    <w:rsid w:val="0046431A"/>
  </w:style>
  <w:style w:type="numbering" w:customStyle="1" w:styleId="NoList1114211">
    <w:name w:val="No List1114211"/>
    <w:next w:val="NoList"/>
    <w:uiPriority w:val="99"/>
    <w:semiHidden/>
    <w:unhideWhenUsed/>
    <w:rsid w:val="0046431A"/>
  </w:style>
  <w:style w:type="numbering" w:customStyle="1" w:styleId="NoList28211">
    <w:name w:val="No List28211"/>
    <w:next w:val="NoList"/>
    <w:uiPriority w:val="99"/>
    <w:semiHidden/>
    <w:unhideWhenUsed/>
    <w:rsid w:val="0046431A"/>
  </w:style>
  <w:style w:type="numbering" w:customStyle="1" w:styleId="NoList37211">
    <w:name w:val="No List37211"/>
    <w:next w:val="NoList"/>
    <w:semiHidden/>
    <w:unhideWhenUsed/>
    <w:rsid w:val="0046431A"/>
  </w:style>
  <w:style w:type="numbering" w:customStyle="1" w:styleId="NoList124211">
    <w:name w:val="No List124211"/>
    <w:next w:val="NoList"/>
    <w:semiHidden/>
    <w:rsid w:val="0046431A"/>
  </w:style>
  <w:style w:type="numbering" w:customStyle="1" w:styleId="NoList46211">
    <w:name w:val="No List46211"/>
    <w:next w:val="NoList"/>
    <w:uiPriority w:val="99"/>
    <w:semiHidden/>
    <w:unhideWhenUsed/>
    <w:rsid w:val="0046431A"/>
  </w:style>
  <w:style w:type="numbering" w:customStyle="1" w:styleId="NoList134211">
    <w:name w:val="No List134211"/>
    <w:next w:val="NoList"/>
    <w:semiHidden/>
    <w:rsid w:val="0046431A"/>
  </w:style>
  <w:style w:type="numbering" w:customStyle="1" w:styleId="NoList216211">
    <w:name w:val="No List216211"/>
    <w:next w:val="NoList"/>
    <w:uiPriority w:val="99"/>
    <w:semiHidden/>
    <w:unhideWhenUsed/>
    <w:rsid w:val="0046431A"/>
  </w:style>
  <w:style w:type="numbering" w:customStyle="1" w:styleId="NoList316211">
    <w:name w:val="No List316211"/>
    <w:next w:val="NoList"/>
    <w:uiPriority w:val="99"/>
    <w:semiHidden/>
    <w:unhideWhenUsed/>
    <w:rsid w:val="0046431A"/>
  </w:style>
  <w:style w:type="numbering" w:customStyle="1" w:styleId="NoList11112211">
    <w:name w:val="No List11112211"/>
    <w:next w:val="NoList"/>
    <w:uiPriority w:val="99"/>
    <w:semiHidden/>
    <w:unhideWhenUsed/>
    <w:rsid w:val="0046431A"/>
  </w:style>
  <w:style w:type="numbering" w:customStyle="1" w:styleId="NoList2114211">
    <w:name w:val="No List2114211"/>
    <w:next w:val="NoList"/>
    <w:uiPriority w:val="99"/>
    <w:semiHidden/>
    <w:unhideWhenUsed/>
    <w:rsid w:val="0046431A"/>
  </w:style>
  <w:style w:type="numbering" w:customStyle="1" w:styleId="NoList3114211">
    <w:name w:val="No List3114211"/>
    <w:next w:val="NoList"/>
    <w:semiHidden/>
    <w:rsid w:val="0046431A"/>
  </w:style>
  <w:style w:type="numbering" w:customStyle="1" w:styleId="NoList414211">
    <w:name w:val="No List414211"/>
    <w:next w:val="NoList"/>
    <w:uiPriority w:val="99"/>
    <w:semiHidden/>
    <w:unhideWhenUsed/>
    <w:rsid w:val="0046431A"/>
  </w:style>
  <w:style w:type="numbering" w:customStyle="1" w:styleId="NoList54211">
    <w:name w:val="No List54211"/>
    <w:next w:val="NoList"/>
    <w:uiPriority w:val="99"/>
    <w:semiHidden/>
    <w:unhideWhenUsed/>
    <w:rsid w:val="0046431A"/>
  </w:style>
  <w:style w:type="numbering" w:customStyle="1" w:styleId="NoList144211">
    <w:name w:val="No List144211"/>
    <w:next w:val="NoList"/>
    <w:semiHidden/>
    <w:rsid w:val="0046431A"/>
  </w:style>
  <w:style w:type="numbering" w:customStyle="1" w:styleId="NoList224211">
    <w:name w:val="No List224211"/>
    <w:next w:val="NoList"/>
    <w:uiPriority w:val="99"/>
    <w:semiHidden/>
    <w:unhideWhenUsed/>
    <w:rsid w:val="0046431A"/>
  </w:style>
  <w:style w:type="numbering" w:customStyle="1" w:styleId="NoList324211">
    <w:name w:val="No List324211"/>
    <w:next w:val="NoList"/>
    <w:uiPriority w:val="99"/>
    <w:semiHidden/>
    <w:unhideWhenUsed/>
    <w:rsid w:val="0046431A"/>
  </w:style>
  <w:style w:type="numbering" w:customStyle="1" w:styleId="NoList1124211">
    <w:name w:val="No List1124211"/>
    <w:next w:val="NoList"/>
    <w:uiPriority w:val="99"/>
    <w:semiHidden/>
    <w:unhideWhenUsed/>
    <w:rsid w:val="0046431A"/>
  </w:style>
  <w:style w:type="numbering" w:customStyle="1" w:styleId="NoList2124211">
    <w:name w:val="No List2124211"/>
    <w:next w:val="NoList"/>
    <w:uiPriority w:val="99"/>
    <w:semiHidden/>
    <w:unhideWhenUsed/>
    <w:rsid w:val="0046431A"/>
  </w:style>
  <w:style w:type="numbering" w:customStyle="1" w:styleId="NoList3124211">
    <w:name w:val="No List3124211"/>
    <w:next w:val="NoList"/>
    <w:semiHidden/>
    <w:rsid w:val="0046431A"/>
  </w:style>
  <w:style w:type="numbering" w:customStyle="1" w:styleId="NoList424211">
    <w:name w:val="No List424211"/>
    <w:next w:val="NoList"/>
    <w:uiPriority w:val="99"/>
    <w:semiHidden/>
    <w:unhideWhenUsed/>
    <w:rsid w:val="0046431A"/>
  </w:style>
  <w:style w:type="numbering" w:customStyle="1" w:styleId="NoList4011">
    <w:name w:val="No List4011"/>
    <w:next w:val="NoList"/>
    <w:uiPriority w:val="99"/>
    <w:semiHidden/>
    <w:unhideWhenUsed/>
    <w:rsid w:val="0046431A"/>
  </w:style>
  <w:style w:type="numbering" w:customStyle="1" w:styleId="NoList12711">
    <w:name w:val="No List12711"/>
    <w:next w:val="NoList"/>
    <w:uiPriority w:val="99"/>
    <w:semiHidden/>
    <w:unhideWhenUsed/>
    <w:rsid w:val="0046431A"/>
  </w:style>
  <w:style w:type="numbering" w:customStyle="1" w:styleId="NoList22011">
    <w:name w:val="No List22011"/>
    <w:next w:val="NoList"/>
    <w:uiPriority w:val="99"/>
    <w:semiHidden/>
    <w:unhideWhenUsed/>
    <w:rsid w:val="0046431A"/>
  </w:style>
  <w:style w:type="numbering" w:customStyle="1" w:styleId="NoList31911">
    <w:name w:val="No List31911"/>
    <w:next w:val="NoList"/>
    <w:uiPriority w:val="99"/>
    <w:semiHidden/>
    <w:unhideWhenUsed/>
    <w:rsid w:val="0046431A"/>
  </w:style>
  <w:style w:type="numbering" w:customStyle="1" w:styleId="NoList501">
    <w:name w:val="No List501"/>
    <w:next w:val="NoList"/>
    <w:uiPriority w:val="99"/>
    <w:semiHidden/>
    <w:unhideWhenUsed/>
    <w:rsid w:val="0046431A"/>
  </w:style>
  <w:style w:type="numbering" w:customStyle="1" w:styleId="NoList1301">
    <w:name w:val="No List1301"/>
    <w:next w:val="NoList"/>
    <w:uiPriority w:val="99"/>
    <w:semiHidden/>
    <w:unhideWhenUsed/>
    <w:rsid w:val="0046431A"/>
  </w:style>
  <w:style w:type="numbering" w:customStyle="1" w:styleId="NoList11191">
    <w:name w:val="No List11191"/>
    <w:next w:val="NoList"/>
    <w:uiPriority w:val="99"/>
    <w:semiHidden/>
    <w:rsid w:val="0046431A"/>
  </w:style>
  <w:style w:type="numbering" w:customStyle="1" w:styleId="NoList111101">
    <w:name w:val="No List111101"/>
    <w:next w:val="NoList"/>
    <w:uiPriority w:val="99"/>
    <w:semiHidden/>
    <w:unhideWhenUsed/>
    <w:rsid w:val="0046431A"/>
  </w:style>
  <w:style w:type="numbering" w:customStyle="1" w:styleId="NoList2291">
    <w:name w:val="No List2291"/>
    <w:next w:val="NoList"/>
    <w:uiPriority w:val="99"/>
    <w:semiHidden/>
    <w:unhideWhenUsed/>
    <w:rsid w:val="0046431A"/>
  </w:style>
  <w:style w:type="numbering" w:customStyle="1" w:styleId="NoList3281">
    <w:name w:val="No List3281"/>
    <w:next w:val="NoList"/>
    <w:semiHidden/>
    <w:unhideWhenUsed/>
    <w:rsid w:val="0046431A"/>
  </w:style>
  <w:style w:type="numbering" w:customStyle="1" w:styleId="NoList12101">
    <w:name w:val="No List12101"/>
    <w:next w:val="NoList"/>
    <w:semiHidden/>
    <w:rsid w:val="0046431A"/>
  </w:style>
  <w:style w:type="numbering" w:customStyle="1" w:styleId="NoList4181">
    <w:name w:val="No List4181"/>
    <w:next w:val="NoList"/>
    <w:uiPriority w:val="99"/>
    <w:semiHidden/>
    <w:unhideWhenUsed/>
    <w:rsid w:val="0046431A"/>
  </w:style>
  <w:style w:type="numbering" w:customStyle="1" w:styleId="NoList1381">
    <w:name w:val="No List1381"/>
    <w:next w:val="NoList"/>
    <w:semiHidden/>
    <w:rsid w:val="0046431A"/>
  </w:style>
  <w:style w:type="numbering" w:customStyle="1" w:styleId="NoList21181">
    <w:name w:val="No List21181"/>
    <w:next w:val="NoList"/>
    <w:uiPriority w:val="99"/>
    <w:semiHidden/>
    <w:unhideWhenUsed/>
    <w:rsid w:val="0046431A"/>
  </w:style>
  <w:style w:type="numbering" w:customStyle="1" w:styleId="NoList31181">
    <w:name w:val="No List31181"/>
    <w:next w:val="NoList"/>
    <w:uiPriority w:val="99"/>
    <w:semiHidden/>
    <w:unhideWhenUsed/>
    <w:rsid w:val="0046431A"/>
  </w:style>
  <w:style w:type="numbering" w:customStyle="1" w:styleId="NoList111161">
    <w:name w:val="No List111161"/>
    <w:next w:val="NoList"/>
    <w:uiPriority w:val="99"/>
    <w:semiHidden/>
    <w:unhideWhenUsed/>
    <w:rsid w:val="0046431A"/>
  </w:style>
  <w:style w:type="numbering" w:customStyle="1" w:styleId="NoList21191">
    <w:name w:val="No List21191"/>
    <w:next w:val="NoList"/>
    <w:uiPriority w:val="99"/>
    <w:semiHidden/>
    <w:unhideWhenUsed/>
    <w:rsid w:val="0046431A"/>
  </w:style>
  <w:style w:type="numbering" w:customStyle="1" w:styleId="NoList31191">
    <w:name w:val="No List31191"/>
    <w:next w:val="NoList"/>
    <w:semiHidden/>
    <w:rsid w:val="0046431A"/>
  </w:style>
  <w:style w:type="numbering" w:customStyle="1" w:styleId="NoList4191">
    <w:name w:val="No List4191"/>
    <w:next w:val="NoList"/>
    <w:uiPriority w:val="99"/>
    <w:semiHidden/>
    <w:unhideWhenUsed/>
    <w:rsid w:val="0046431A"/>
  </w:style>
  <w:style w:type="numbering" w:customStyle="1" w:styleId="NoList581">
    <w:name w:val="No List581"/>
    <w:next w:val="NoList"/>
    <w:uiPriority w:val="99"/>
    <w:semiHidden/>
    <w:unhideWhenUsed/>
    <w:rsid w:val="0046431A"/>
  </w:style>
  <w:style w:type="numbering" w:customStyle="1" w:styleId="NoList1481">
    <w:name w:val="No List1481"/>
    <w:next w:val="NoList"/>
    <w:semiHidden/>
    <w:rsid w:val="0046431A"/>
  </w:style>
  <w:style w:type="numbering" w:customStyle="1" w:styleId="NoList22101">
    <w:name w:val="No List22101"/>
    <w:next w:val="NoList"/>
    <w:uiPriority w:val="99"/>
    <w:semiHidden/>
    <w:unhideWhenUsed/>
    <w:rsid w:val="0046431A"/>
  </w:style>
  <w:style w:type="numbering" w:customStyle="1" w:styleId="NoList3291">
    <w:name w:val="No List3291"/>
    <w:next w:val="NoList"/>
    <w:uiPriority w:val="99"/>
    <w:semiHidden/>
    <w:unhideWhenUsed/>
    <w:rsid w:val="0046431A"/>
  </w:style>
  <w:style w:type="numbering" w:customStyle="1" w:styleId="NoList11281">
    <w:name w:val="No List11281"/>
    <w:next w:val="NoList"/>
    <w:uiPriority w:val="99"/>
    <w:semiHidden/>
    <w:unhideWhenUsed/>
    <w:rsid w:val="0046431A"/>
  </w:style>
  <w:style w:type="numbering" w:customStyle="1" w:styleId="NoList21281">
    <w:name w:val="No List21281"/>
    <w:next w:val="NoList"/>
    <w:uiPriority w:val="99"/>
    <w:semiHidden/>
    <w:unhideWhenUsed/>
    <w:rsid w:val="0046431A"/>
  </w:style>
  <w:style w:type="numbering" w:customStyle="1" w:styleId="NoList31281">
    <w:name w:val="No List31281"/>
    <w:next w:val="NoList"/>
    <w:semiHidden/>
    <w:rsid w:val="0046431A"/>
  </w:style>
  <w:style w:type="numbering" w:customStyle="1" w:styleId="NoList4281">
    <w:name w:val="No List4281"/>
    <w:next w:val="NoList"/>
    <w:uiPriority w:val="99"/>
    <w:semiHidden/>
    <w:unhideWhenUsed/>
    <w:rsid w:val="0046431A"/>
  </w:style>
  <w:style w:type="numbering" w:customStyle="1" w:styleId="NoList591">
    <w:name w:val="No List591"/>
    <w:next w:val="NoList"/>
    <w:uiPriority w:val="99"/>
    <w:semiHidden/>
    <w:unhideWhenUsed/>
    <w:rsid w:val="0046431A"/>
  </w:style>
  <w:style w:type="numbering" w:customStyle="1" w:styleId="NoList1391">
    <w:name w:val="No List1391"/>
    <w:next w:val="NoList"/>
    <w:uiPriority w:val="99"/>
    <w:semiHidden/>
    <w:unhideWhenUsed/>
    <w:rsid w:val="0046431A"/>
  </w:style>
  <w:style w:type="numbering" w:customStyle="1" w:styleId="NoList11201">
    <w:name w:val="No List11201"/>
    <w:next w:val="NoList"/>
    <w:uiPriority w:val="99"/>
    <w:semiHidden/>
    <w:rsid w:val="0046431A"/>
  </w:style>
  <w:style w:type="numbering" w:customStyle="1" w:styleId="NoList111171">
    <w:name w:val="No List111171"/>
    <w:next w:val="NoList"/>
    <w:uiPriority w:val="99"/>
    <w:semiHidden/>
    <w:unhideWhenUsed/>
    <w:rsid w:val="0046431A"/>
  </w:style>
  <w:style w:type="numbering" w:customStyle="1" w:styleId="NoList2301">
    <w:name w:val="No List2301"/>
    <w:next w:val="NoList"/>
    <w:uiPriority w:val="99"/>
    <w:semiHidden/>
    <w:unhideWhenUsed/>
    <w:rsid w:val="0046431A"/>
  </w:style>
  <w:style w:type="numbering" w:customStyle="1" w:styleId="NoList3301">
    <w:name w:val="No List3301"/>
    <w:next w:val="NoList"/>
    <w:semiHidden/>
    <w:unhideWhenUsed/>
    <w:rsid w:val="0046431A"/>
  </w:style>
  <w:style w:type="numbering" w:customStyle="1" w:styleId="NoList12141">
    <w:name w:val="No List12141"/>
    <w:next w:val="NoList"/>
    <w:semiHidden/>
    <w:rsid w:val="0046431A"/>
  </w:style>
  <w:style w:type="numbering" w:customStyle="1" w:styleId="NoList4201">
    <w:name w:val="No List4201"/>
    <w:next w:val="NoList"/>
    <w:uiPriority w:val="99"/>
    <w:semiHidden/>
    <w:unhideWhenUsed/>
    <w:rsid w:val="0046431A"/>
  </w:style>
  <w:style w:type="numbering" w:customStyle="1" w:styleId="NoList13101">
    <w:name w:val="No List13101"/>
    <w:next w:val="NoList"/>
    <w:semiHidden/>
    <w:rsid w:val="0046431A"/>
  </w:style>
  <w:style w:type="numbering" w:customStyle="1" w:styleId="NoList21201">
    <w:name w:val="No List21201"/>
    <w:next w:val="NoList"/>
    <w:uiPriority w:val="99"/>
    <w:semiHidden/>
    <w:unhideWhenUsed/>
    <w:rsid w:val="0046431A"/>
  </w:style>
  <w:style w:type="numbering" w:customStyle="1" w:styleId="NoList31201">
    <w:name w:val="No List31201"/>
    <w:next w:val="NoList"/>
    <w:uiPriority w:val="99"/>
    <w:semiHidden/>
    <w:unhideWhenUsed/>
    <w:rsid w:val="0046431A"/>
  </w:style>
  <w:style w:type="numbering" w:customStyle="1" w:styleId="NoList111181">
    <w:name w:val="No List111181"/>
    <w:next w:val="NoList"/>
    <w:uiPriority w:val="99"/>
    <w:semiHidden/>
    <w:unhideWhenUsed/>
    <w:rsid w:val="0046431A"/>
  </w:style>
  <w:style w:type="numbering" w:customStyle="1" w:styleId="NoList211101">
    <w:name w:val="No List211101"/>
    <w:next w:val="NoList"/>
    <w:uiPriority w:val="99"/>
    <w:semiHidden/>
    <w:unhideWhenUsed/>
    <w:rsid w:val="0046431A"/>
  </w:style>
  <w:style w:type="numbering" w:customStyle="1" w:styleId="NoList311101">
    <w:name w:val="No List311101"/>
    <w:next w:val="NoList"/>
    <w:semiHidden/>
    <w:rsid w:val="0046431A"/>
  </w:style>
  <w:style w:type="numbering" w:customStyle="1" w:styleId="NoList41101">
    <w:name w:val="No List41101"/>
    <w:next w:val="NoList"/>
    <w:uiPriority w:val="99"/>
    <w:semiHidden/>
    <w:unhideWhenUsed/>
    <w:rsid w:val="0046431A"/>
  </w:style>
  <w:style w:type="numbering" w:customStyle="1" w:styleId="NoList5101">
    <w:name w:val="No List5101"/>
    <w:next w:val="NoList"/>
    <w:uiPriority w:val="99"/>
    <w:semiHidden/>
    <w:unhideWhenUsed/>
    <w:rsid w:val="0046431A"/>
  </w:style>
  <w:style w:type="numbering" w:customStyle="1" w:styleId="NoList1491">
    <w:name w:val="No List1491"/>
    <w:next w:val="NoList"/>
    <w:semiHidden/>
    <w:rsid w:val="0046431A"/>
  </w:style>
  <w:style w:type="numbering" w:customStyle="1" w:styleId="NoList22141">
    <w:name w:val="No List22141"/>
    <w:next w:val="NoList"/>
    <w:uiPriority w:val="99"/>
    <w:semiHidden/>
    <w:unhideWhenUsed/>
    <w:rsid w:val="0046431A"/>
  </w:style>
  <w:style w:type="numbering" w:customStyle="1" w:styleId="NoList32101">
    <w:name w:val="No List32101"/>
    <w:next w:val="NoList"/>
    <w:uiPriority w:val="99"/>
    <w:semiHidden/>
    <w:unhideWhenUsed/>
    <w:rsid w:val="0046431A"/>
  </w:style>
  <w:style w:type="numbering" w:customStyle="1" w:styleId="NoList11291">
    <w:name w:val="No List11291"/>
    <w:next w:val="NoList"/>
    <w:uiPriority w:val="99"/>
    <w:semiHidden/>
    <w:unhideWhenUsed/>
    <w:rsid w:val="0046431A"/>
  </w:style>
  <w:style w:type="numbering" w:customStyle="1" w:styleId="NoList21291">
    <w:name w:val="No List21291"/>
    <w:next w:val="NoList"/>
    <w:uiPriority w:val="99"/>
    <w:semiHidden/>
    <w:unhideWhenUsed/>
    <w:rsid w:val="0046431A"/>
  </w:style>
  <w:style w:type="numbering" w:customStyle="1" w:styleId="NoList31291">
    <w:name w:val="No List31291"/>
    <w:next w:val="NoList"/>
    <w:semiHidden/>
    <w:rsid w:val="0046431A"/>
  </w:style>
  <w:style w:type="numbering" w:customStyle="1" w:styleId="NoList4291">
    <w:name w:val="No List4291"/>
    <w:next w:val="NoList"/>
    <w:uiPriority w:val="99"/>
    <w:semiHidden/>
    <w:unhideWhenUsed/>
    <w:rsid w:val="0046431A"/>
  </w:style>
  <w:style w:type="numbering" w:customStyle="1" w:styleId="NoList66">
    <w:name w:val="No List66"/>
    <w:next w:val="NoList"/>
    <w:uiPriority w:val="99"/>
    <w:semiHidden/>
    <w:unhideWhenUsed/>
    <w:rsid w:val="00CA32C6"/>
  </w:style>
  <w:style w:type="table" w:customStyle="1" w:styleId="TableGrid85">
    <w:name w:val="Table Grid85"/>
    <w:basedOn w:val="TableNormal"/>
    <w:next w:val="TableGrid"/>
    <w:rsid w:val="00CA32C6"/>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3">
    <w:name w:val="Table Grid143"/>
    <w:basedOn w:val="TableNormal"/>
    <w:next w:val="TableGrid"/>
    <w:rsid w:val="00CA32C6"/>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0">
    <w:name w:val="No List150"/>
    <w:next w:val="NoList"/>
    <w:uiPriority w:val="99"/>
    <w:semiHidden/>
    <w:unhideWhenUsed/>
    <w:rsid w:val="00CA32C6"/>
  </w:style>
  <w:style w:type="numbering" w:customStyle="1" w:styleId="NoList236">
    <w:name w:val="No List236"/>
    <w:next w:val="NoList"/>
    <w:uiPriority w:val="99"/>
    <w:semiHidden/>
    <w:unhideWhenUsed/>
    <w:rsid w:val="00CA32C6"/>
  </w:style>
  <w:style w:type="numbering" w:customStyle="1" w:styleId="NoList336">
    <w:name w:val="No List336"/>
    <w:next w:val="NoList"/>
    <w:uiPriority w:val="99"/>
    <w:semiHidden/>
    <w:unhideWhenUsed/>
    <w:rsid w:val="00CA32C6"/>
  </w:style>
  <w:style w:type="numbering" w:customStyle="1" w:styleId="Style11">
    <w:name w:val="Style11"/>
    <w:uiPriority w:val="99"/>
    <w:rsid w:val="00CA32C6"/>
    <w:pPr>
      <w:numPr>
        <w:numId w:val="9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980812">
      <w:bodyDiv w:val="1"/>
      <w:marLeft w:val="0"/>
      <w:marRight w:val="0"/>
      <w:marTop w:val="0"/>
      <w:marBottom w:val="0"/>
      <w:divBdr>
        <w:top w:val="none" w:sz="0" w:space="0" w:color="auto"/>
        <w:left w:val="none" w:sz="0" w:space="0" w:color="auto"/>
        <w:bottom w:val="none" w:sz="0" w:space="0" w:color="auto"/>
        <w:right w:val="none" w:sz="0" w:space="0" w:color="auto"/>
      </w:divBdr>
    </w:div>
    <w:div w:id="55669255">
      <w:bodyDiv w:val="1"/>
      <w:marLeft w:val="0"/>
      <w:marRight w:val="0"/>
      <w:marTop w:val="0"/>
      <w:marBottom w:val="0"/>
      <w:divBdr>
        <w:top w:val="none" w:sz="0" w:space="0" w:color="auto"/>
        <w:left w:val="none" w:sz="0" w:space="0" w:color="auto"/>
        <w:bottom w:val="none" w:sz="0" w:space="0" w:color="auto"/>
        <w:right w:val="none" w:sz="0" w:space="0" w:color="auto"/>
      </w:divBdr>
    </w:div>
    <w:div w:id="61872289">
      <w:bodyDiv w:val="1"/>
      <w:marLeft w:val="0"/>
      <w:marRight w:val="0"/>
      <w:marTop w:val="0"/>
      <w:marBottom w:val="0"/>
      <w:divBdr>
        <w:top w:val="none" w:sz="0" w:space="0" w:color="auto"/>
        <w:left w:val="none" w:sz="0" w:space="0" w:color="auto"/>
        <w:bottom w:val="none" w:sz="0" w:space="0" w:color="auto"/>
        <w:right w:val="none" w:sz="0" w:space="0" w:color="auto"/>
      </w:divBdr>
    </w:div>
    <w:div w:id="113408404">
      <w:bodyDiv w:val="1"/>
      <w:marLeft w:val="0"/>
      <w:marRight w:val="0"/>
      <w:marTop w:val="0"/>
      <w:marBottom w:val="0"/>
      <w:divBdr>
        <w:top w:val="none" w:sz="0" w:space="0" w:color="auto"/>
        <w:left w:val="none" w:sz="0" w:space="0" w:color="auto"/>
        <w:bottom w:val="none" w:sz="0" w:space="0" w:color="auto"/>
        <w:right w:val="none" w:sz="0" w:space="0" w:color="auto"/>
      </w:divBdr>
    </w:div>
    <w:div w:id="177476308">
      <w:bodyDiv w:val="1"/>
      <w:marLeft w:val="0"/>
      <w:marRight w:val="0"/>
      <w:marTop w:val="0"/>
      <w:marBottom w:val="0"/>
      <w:divBdr>
        <w:top w:val="none" w:sz="0" w:space="0" w:color="auto"/>
        <w:left w:val="none" w:sz="0" w:space="0" w:color="auto"/>
        <w:bottom w:val="none" w:sz="0" w:space="0" w:color="auto"/>
        <w:right w:val="none" w:sz="0" w:space="0" w:color="auto"/>
      </w:divBdr>
    </w:div>
    <w:div w:id="178467540">
      <w:bodyDiv w:val="1"/>
      <w:marLeft w:val="0"/>
      <w:marRight w:val="0"/>
      <w:marTop w:val="0"/>
      <w:marBottom w:val="0"/>
      <w:divBdr>
        <w:top w:val="none" w:sz="0" w:space="0" w:color="auto"/>
        <w:left w:val="none" w:sz="0" w:space="0" w:color="auto"/>
        <w:bottom w:val="none" w:sz="0" w:space="0" w:color="auto"/>
        <w:right w:val="none" w:sz="0" w:space="0" w:color="auto"/>
      </w:divBdr>
    </w:div>
    <w:div w:id="320930348">
      <w:bodyDiv w:val="1"/>
      <w:marLeft w:val="0"/>
      <w:marRight w:val="0"/>
      <w:marTop w:val="0"/>
      <w:marBottom w:val="0"/>
      <w:divBdr>
        <w:top w:val="none" w:sz="0" w:space="0" w:color="auto"/>
        <w:left w:val="none" w:sz="0" w:space="0" w:color="auto"/>
        <w:bottom w:val="none" w:sz="0" w:space="0" w:color="auto"/>
        <w:right w:val="none" w:sz="0" w:space="0" w:color="auto"/>
      </w:divBdr>
    </w:div>
    <w:div w:id="344862922">
      <w:bodyDiv w:val="1"/>
      <w:marLeft w:val="0"/>
      <w:marRight w:val="0"/>
      <w:marTop w:val="0"/>
      <w:marBottom w:val="0"/>
      <w:divBdr>
        <w:top w:val="none" w:sz="0" w:space="0" w:color="auto"/>
        <w:left w:val="none" w:sz="0" w:space="0" w:color="auto"/>
        <w:bottom w:val="none" w:sz="0" w:space="0" w:color="auto"/>
        <w:right w:val="none" w:sz="0" w:space="0" w:color="auto"/>
      </w:divBdr>
    </w:div>
    <w:div w:id="365910903">
      <w:bodyDiv w:val="1"/>
      <w:marLeft w:val="0"/>
      <w:marRight w:val="0"/>
      <w:marTop w:val="0"/>
      <w:marBottom w:val="0"/>
      <w:divBdr>
        <w:top w:val="none" w:sz="0" w:space="0" w:color="auto"/>
        <w:left w:val="none" w:sz="0" w:space="0" w:color="auto"/>
        <w:bottom w:val="none" w:sz="0" w:space="0" w:color="auto"/>
        <w:right w:val="none" w:sz="0" w:space="0" w:color="auto"/>
      </w:divBdr>
    </w:div>
    <w:div w:id="459341937">
      <w:bodyDiv w:val="1"/>
      <w:marLeft w:val="0"/>
      <w:marRight w:val="0"/>
      <w:marTop w:val="0"/>
      <w:marBottom w:val="0"/>
      <w:divBdr>
        <w:top w:val="none" w:sz="0" w:space="0" w:color="auto"/>
        <w:left w:val="none" w:sz="0" w:space="0" w:color="auto"/>
        <w:bottom w:val="none" w:sz="0" w:space="0" w:color="auto"/>
        <w:right w:val="none" w:sz="0" w:space="0" w:color="auto"/>
      </w:divBdr>
    </w:div>
    <w:div w:id="460418652">
      <w:bodyDiv w:val="1"/>
      <w:marLeft w:val="0"/>
      <w:marRight w:val="0"/>
      <w:marTop w:val="0"/>
      <w:marBottom w:val="0"/>
      <w:divBdr>
        <w:top w:val="none" w:sz="0" w:space="0" w:color="auto"/>
        <w:left w:val="none" w:sz="0" w:space="0" w:color="auto"/>
        <w:bottom w:val="none" w:sz="0" w:space="0" w:color="auto"/>
        <w:right w:val="none" w:sz="0" w:space="0" w:color="auto"/>
      </w:divBdr>
    </w:div>
    <w:div w:id="493379630">
      <w:bodyDiv w:val="1"/>
      <w:marLeft w:val="0"/>
      <w:marRight w:val="0"/>
      <w:marTop w:val="0"/>
      <w:marBottom w:val="0"/>
      <w:divBdr>
        <w:top w:val="none" w:sz="0" w:space="0" w:color="auto"/>
        <w:left w:val="none" w:sz="0" w:space="0" w:color="auto"/>
        <w:bottom w:val="none" w:sz="0" w:space="0" w:color="auto"/>
        <w:right w:val="none" w:sz="0" w:space="0" w:color="auto"/>
      </w:divBdr>
    </w:div>
    <w:div w:id="502084347">
      <w:bodyDiv w:val="1"/>
      <w:marLeft w:val="0"/>
      <w:marRight w:val="0"/>
      <w:marTop w:val="0"/>
      <w:marBottom w:val="0"/>
      <w:divBdr>
        <w:top w:val="none" w:sz="0" w:space="0" w:color="auto"/>
        <w:left w:val="none" w:sz="0" w:space="0" w:color="auto"/>
        <w:bottom w:val="none" w:sz="0" w:space="0" w:color="auto"/>
        <w:right w:val="none" w:sz="0" w:space="0" w:color="auto"/>
      </w:divBdr>
    </w:div>
    <w:div w:id="516115210">
      <w:bodyDiv w:val="1"/>
      <w:marLeft w:val="0"/>
      <w:marRight w:val="0"/>
      <w:marTop w:val="0"/>
      <w:marBottom w:val="0"/>
      <w:divBdr>
        <w:top w:val="none" w:sz="0" w:space="0" w:color="auto"/>
        <w:left w:val="none" w:sz="0" w:space="0" w:color="auto"/>
        <w:bottom w:val="none" w:sz="0" w:space="0" w:color="auto"/>
        <w:right w:val="none" w:sz="0" w:space="0" w:color="auto"/>
      </w:divBdr>
    </w:div>
    <w:div w:id="540240296">
      <w:bodyDiv w:val="1"/>
      <w:marLeft w:val="0"/>
      <w:marRight w:val="0"/>
      <w:marTop w:val="0"/>
      <w:marBottom w:val="0"/>
      <w:divBdr>
        <w:top w:val="none" w:sz="0" w:space="0" w:color="auto"/>
        <w:left w:val="none" w:sz="0" w:space="0" w:color="auto"/>
        <w:bottom w:val="none" w:sz="0" w:space="0" w:color="auto"/>
        <w:right w:val="none" w:sz="0" w:space="0" w:color="auto"/>
      </w:divBdr>
    </w:div>
    <w:div w:id="581185185">
      <w:bodyDiv w:val="1"/>
      <w:marLeft w:val="0"/>
      <w:marRight w:val="0"/>
      <w:marTop w:val="0"/>
      <w:marBottom w:val="0"/>
      <w:divBdr>
        <w:top w:val="none" w:sz="0" w:space="0" w:color="auto"/>
        <w:left w:val="none" w:sz="0" w:space="0" w:color="auto"/>
        <w:bottom w:val="none" w:sz="0" w:space="0" w:color="auto"/>
        <w:right w:val="none" w:sz="0" w:space="0" w:color="auto"/>
      </w:divBdr>
    </w:div>
    <w:div w:id="589582542">
      <w:bodyDiv w:val="1"/>
      <w:marLeft w:val="0"/>
      <w:marRight w:val="0"/>
      <w:marTop w:val="0"/>
      <w:marBottom w:val="0"/>
      <w:divBdr>
        <w:top w:val="none" w:sz="0" w:space="0" w:color="auto"/>
        <w:left w:val="none" w:sz="0" w:space="0" w:color="auto"/>
        <w:bottom w:val="none" w:sz="0" w:space="0" w:color="auto"/>
        <w:right w:val="none" w:sz="0" w:space="0" w:color="auto"/>
      </w:divBdr>
    </w:div>
    <w:div w:id="596644117">
      <w:bodyDiv w:val="1"/>
      <w:marLeft w:val="0"/>
      <w:marRight w:val="0"/>
      <w:marTop w:val="0"/>
      <w:marBottom w:val="0"/>
      <w:divBdr>
        <w:top w:val="none" w:sz="0" w:space="0" w:color="auto"/>
        <w:left w:val="none" w:sz="0" w:space="0" w:color="auto"/>
        <w:bottom w:val="none" w:sz="0" w:space="0" w:color="auto"/>
        <w:right w:val="none" w:sz="0" w:space="0" w:color="auto"/>
      </w:divBdr>
    </w:div>
    <w:div w:id="636105814">
      <w:bodyDiv w:val="1"/>
      <w:marLeft w:val="0"/>
      <w:marRight w:val="0"/>
      <w:marTop w:val="0"/>
      <w:marBottom w:val="0"/>
      <w:divBdr>
        <w:top w:val="none" w:sz="0" w:space="0" w:color="auto"/>
        <w:left w:val="none" w:sz="0" w:space="0" w:color="auto"/>
        <w:bottom w:val="none" w:sz="0" w:space="0" w:color="auto"/>
        <w:right w:val="none" w:sz="0" w:space="0" w:color="auto"/>
      </w:divBdr>
    </w:div>
    <w:div w:id="638265415">
      <w:bodyDiv w:val="1"/>
      <w:marLeft w:val="0"/>
      <w:marRight w:val="0"/>
      <w:marTop w:val="0"/>
      <w:marBottom w:val="0"/>
      <w:divBdr>
        <w:top w:val="none" w:sz="0" w:space="0" w:color="auto"/>
        <w:left w:val="none" w:sz="0" w:space="0" w:color="auto"/>
        <w:bottom w:val="none" w:sz="0" w:space="0" w:color="auto"/>
        <w:right w:val="none" w:sz="0" w:space="0" w:color="auto"/>
      </w:divBdr>
    </w:div>
    <w:div w:id="651103959">
      <w:bodyDiv w:val="1"/>
      <w:marLeft w:val="0"/>
      <w:marRight w:val="0"/>
      <w:marTop w:val="0"/>
      <w:marBottom w:val="0"/>
      <w:divBdr>
        <w:top w:val="none" w:sz="0" w:space="0" w:color="auto"/>
        <w:left w:val="none" w:sz="0" w:space="0" w:color="auto"/>
        <w:bottom w:val="none" w:sz="0" w:space="0" w:color="auto"/>
        <w:right w:val="none" w:sz="0" w:space="0" w:color="auto"/>
      </w:divBdr>
    </w:div>
    <w:div w:id="677654077">
      <w:bodyDiv w:val="1"/>
      <w:marLeft w:val="0"/>
      <w:marRight w:val="0"/>
      <w:marTop w:val="0"/>
      <w:marBottom w:val="0"/>
      <w:divBdr>
        <w:top w:val="none" w:sz="0" w:space="0" w:color="auto"/>
        <w:left w:val="none" w:sz="0" w:space="0" w:color="auto"/>
        <w:bottom w:val="none" w:sz="0" w:space="0" w:color="auto"/>
        <w:right w:val="none" w:sz="0" w:space="0" w:color="auto"/>
      </w:divBdr>
    </w:div>
    <w:div w:id="680083668">
      <w:bodyDiv w:val="1"/>
      <w:marLeft w:val="0"/>
      <w:marRight w:val="0"/>
      <w:marTop w:val="0"/>
      <w:marBottom w:val="0"/>
      <w:divBdr>
        <w:top w:val="none" w:sz="0" w:space="0" w:color="auto"/>
        <w:left w:val="none" w:sz="0" w:space="0" w:color="auto"/>
        <w:bottom w:val="none" w:sz="0" w:space="0" w:color="auto"/>
        <w:right w:val="none" w:sz="0" w:space="0" w:color="auto"/>
      </w:divBdr>
    </w:div>
    <w:div w:id="720514975">
      <w:bodyDiv w:val="1"/>
      <w:marLeft w:val="0"/>
      <w:marRight w:val="0"/>
      <w:marTop w:val="0"/>
      <w:marBottom w:val="0"/>
      <w:divBdr>
        <w:top w:val="none" w:sz="0" w:space="0" w:color="auto"/>
        <w:left w:val="none" w:sz="0" w:space="0" w:color="auto"/>
        <w:bottom w:val="none" w:sz="0" w:space="0" w:color="auto"/>
        <w:right w:val="none" w:sz="0" w:space="0" w:color="auto"/>
      </w:divBdr>
    </w:div>
    <w:div w:id="739907309">
      <w:bodyDiv w:val="1"/>
      <w:marLeft w:val="0"/>
      <w:marRight w:val="0"/>
      <w:marTop w:val="0"/>
      <w:marBottom w:val="0"/>
      <w:divBdr>
        <w:top w:val="none" w:sz="0" w:space="0" w:color="auto"/>
        <w:left w:val="none" w:sz="0" w:space="0" w:color="auto"/>
        <w:bottom w:val="none" w:sz="0" w:space="0" w:color="auto"/>
        <w:right w:val="none" w:sz="0" w:space="0" w:color="auto"/>
      </w:divBdr>
    </w:div>
    <w:div w:id="776173006">
      <w:bodyDiv w:val="1"/>
      <w:marLeft w:val="0"/>
      <w:marRight w:val="0"/>
      <w:marTop w:val="0"/>
      <w:marBottom w:val="0"/>
      <w:divBdr>
        <w:top w:val="none" w:sz="0" w:space="0" w:color="auto"/>
        <w:left w:val="none" w:sz="0" w:space="0" w:color="auto"/>
        <w:bottom w:val="none" w:sz="0" w:space="0" w:color="auto"/>
        <w:right w:val="none" w:sz="0" w:space="0" w:color="auto"/>
      </w:divBdr>
    </w:div>
    <w:div w:id="798691414">
      <w:bodyDiv w:val="1"/>
      <w:marLeft w:val="0"/>
      <w:marRight w:val="0"/>
      <w:marTop w:val="0"/>
      <w:marBottom w:val="0"/>
      <w:divBdr>
        <w:top w:val="none" w:sz="0" w:space="0" w:color="auto"/>
        <w:left w:val="none" w:sz="0" w:space="0" w:color="auto"/>
        <w:bottom w:val="none" w:sz="0" w:space="0" w:color="auto"/>
        <w:right w:val="none" w:sz="0" w:space="0" w:color="auto"/>
      </w:divBdr>
    </w:div>
    <w:div w:id="799029047">
      <w:bodyDiv w:val="1"/>
      <w:marLeft w:val="0"/>
      <w:marRight w:val="0"/>
      <w:marTop w:val="0"/>
      <w:marBottom w:val="0"/>
      <w:divBdr>
        <w:top w:val="none" w:sz="0" w:space="0" w:color="auto"/>
        <w:left w:val="none" w:sz="0" w:space="0" w:color="auto"/>
        <w:bottom w:val="none" w:sz="0" w:space="0" w:color="auto"/>
        <w:right w:val="none" w:sz="0" w:space="0" w:color="auto"/>
      </w:divBdr>
    </w:div>
    <w:div w:id="818499582">
      <w:bodyDiv w:val="1"/>
      <w:marLeft w:val="0"/>
      <w:marRight w:val="0"/>
      <w:marTop w:val="0"/>
      <w:marBottom w:val="0"/>
      <w:divBdr>
        <w:top w:val="none" w:sz="0" w:space="0" w:color="auto"/>
        <w:left w:val="none" w:sz="0" w:space="0" w:color="auto"/>
        <w:bottom w:val="none" w:sz="0" w:space="0" w:color="auto"/>
        <w:right w:val="none" w:sz="0" w:space="0" w:color="auto"/>
      </w:divBdr>
    </w:div>
    <w:div w:id="836532986">
      <w:bodyDiv w:val="1"/>
      <w:marLeft w:val="0"/>
      <w:marRight w:val="0"/>
      <w:marTop w:val="0"/>
      <w:marBottom w:val="0"/>
      <w:divBdr>
        <w:top w:val="none" w:sz="0" w:space="0" w:color="auto"/>
        <w:left w:val="none" w:sz="0" w:space="0" w:color="auto"/>
        <w:bottom w:val="none" w:sz="0" w:space="0" w:color="auto"/>
        <w:right w:val="none" w:sz="0" w:space="0" w:color="auto"/>
      </w:divBdr>
    </w:div>
    <w:div w:id="842085247">
      <w:bodyDiv w:val="1"/>
      <w:marLeft w:val="0"/>
      <w:marRight w:val="0"/>
      <w:marTop w:val="0"/>
      <w:marBottom w:val="0"/>
      <w:divBdr>
        <w:top w:val="none" w:sz="0" w:space="0" w:color="auto"/>
        <w:left w:val="none" w:sz="0" w:space="0" w:color="auto"/>
        <w:bottom w:val="none" w:sz="0" w:space="0" w:color="auto"/>
        <w:right w:val="none" w:sz="0" w:space="0" w:color="auto"/>
      </w:divBdr>
    </w:div>
    <w:div w:id="842478907">
      <w:bodyDiv w:val="1"/>
      <w:marLeft w:val="0"/>
      <w:marRight w:val="0"/>
      <w:marTop w:val="0"/>
      <w:marBottom w:val="0"/>
      <w:divBdr>
        <w:top w:val="none" w:sz="0" w:space="0" w:color="auto"/>
        <w:left w:val="none" w:sz="0" w:space="0" w:color="auto"/>
        <w:bottom w:val="none" w:sz="0" w:space="0" w:color="auto"/>
        <w:right w:val="none" w:sz="0" w:space="0" w:color="auto"/>
      </w:divBdr>
    </w:div>
    <w:div w:id="911740685">
      <w:bodyDiv w:val="1"/>
      <w:marLeft w:val="0"/>
      <w:marRight w:val="0"/>
      <w:marTop w:val="0"/>
      <w:marBottom w:val="0"/>
      <w:divBdr>
        <w:top w:val="none" w:sz="0" w:space="0" w:color="auto"/>
        <w:left w:val="none" w:sz="0" w:space="0" w:color="auto"/>
        <w:bottom w:val="none" w:sz="0" w:space="0" w:color="auto"/>
        <w:right w:val="none" w:sz="0" w:space="0" w:color="auto"/>
      </w:divBdr>
    </w:div>
    <w:div w:id="924536354">
      <w:bodyDiv w:val="1"/>
      <w:marLeft w:val="0"/>
      <w:marRight w:val="0"/>
      <w:marTop w:val="0"/>
      <w:marBottom w:val="0"/>
      <w:divBdr>
        <w:top w:val="none" w:sz="0" w:space="0" w:color="auto"/>
        <w:left w:val="none" w:sz="0" w:space="0" w:color="auto"/>
        <w:bottom w:val="none" w:sz="0" w:space="0" w:color="auto"/>
        <w:right w:val="none" w:sz="0" w:space="0" w:color="auto"/>
      </w:divBdr>
    </w:div>
    <w:div w:id="929660772">
      <w:bodyDiv w:val="1"/>
      <w:marLeft w:val="0"/>
      <w:marRight w:val="0"/>
      <w:marTop w:val="0"/>
      <w:marBottom w:val="0"/>
      <w:divBdr>
        <w:top w:val="none" w:sz="0" w:space="0" w:color="auto"/>
        <w:left w:val="none" w:sz="0" w:space="0" w:color="auto"/>
        <w:bottom w:val="none" w:sz="0" w:space="0" w:color="auto"/>
        <w:right w:val="none" w:sz="0" w:space="0" w:color="auto"/>
      </w:divBdr>
    </w:div>
    <w:div w:id="947352504">
      <w:bodyDiv w:val="1"/>
      <w:marLeft w:val="0"/>
      <w:marRight w:val="0"/>
      <w:marTop w:val="0"/>
      <w:marBottom w:val="0"/>
      <w:divBdr>
        <w:top w:val="none" w:sz="0" w:space="0" w:color="auto"/>
        <w:left w:val="none" w:sz="0" w:space="0" w:color="auto"/>
        <w:bottom w:val="none" w:sz="0" w:space="0" w:color="auto"/>
        <w:right w:val="none" w:sz="0" w:space="0" w:color="auto"/>
      </w:divBdr>
    </w:div>
    <w:div w:id="1000355489">
      <w:bodyDiv w:val="1"/>
      <w:marLeft w:val="0"/>
      <w:marRight w:val="0"/>
      <w:marTop w:val="0"/>
      <w:marBottom w:val="0"/>
      <w:divBdr>
        <w:top w:val="none" w:sz="0" w:space="0" w:color="auto"/>
        <w:left w:val="none" w:sz="0" w:space="0" w:color="auto"/>
        <w:bottom w:val="none" w:sz="0" w:space="0" w:color="auto"/>
        <w:right w:val="none" w:sz="0" w:space="0" w:color="auto"/>
      </w:divBdr>
    </w:div>
    <w:div w:id="1011294810">
      <w:bodyDiv w:val="1"/>
      <w:marLeft w:val="0"/>
      <w:marRight w:val="0"/>
      <w:marTop w:val="0"/>
      <w:marBottom w:val="0"/>
      <w:divBdr>
        <w:top w:val="none" w:sz="0" w:space="0" w:color="auto"/>
        <w:left w:val="none" w:sz="0" w:space="0" w:color="auto"/>
        <w:bottom w:val="none" w:sz="0" w:space="0" w:color="auto"/>
        <w:right w:val="none" w:sz="0" w:space="0" w:color="auto"/>
      </w:divBdr>
    </w:div>
    <w:div w:id="1017078245">
      <w:bodyDiv w:val="1"/>
      <w:marLeft w:val="0"/>
      <w:marRight w:val="0"/>
      <w:marTop w:val="0"/>
      <w:marBottom w:val="0"/>
      <w:divBdr>
        <w:top w:val="none" w:sz="0" w:space="0" w:color="auto"/>
        <w:left w:val="none" w:sz="0" w:space="0" w:color="auto"/>
        <w:bottom w:val="none" w:sz="0" w:space="0" w:color="auto"/>
        <w:right w:val="none" w:sz="0" w:space="0" w:color="auto"/>
      </w:divBdr>
    </w:div>
    <w:div w:id="1021514170">
      <w:bodyDiv w:val="1"/>
      <w:marLeft w:val="0"/>
      <w:marRight w:val="0"/>
      <w:marTop w:val="0"/>
      <w:marBottom w:val="0"/>
      <w:divBdr>
        <w:top w:val="none" w:sz="0" w:space="0" w:color="auto"/>
        <w:left w:val="none" w:sz="0" w:space="0" w:color="auto"/>
        <w:bottom w:val="none" w:sz="0" w:space="0" w:color="auto"/>
        <w:right w:val="none" w:sz="0" w:space="0" w:color="auto"/>
      </w:divBdr>
    </w:div>
    <w:div w:id="1048994198">
      <w:bodyDiv w:val="1"/>
      <w:marLeft w:val="0"/>
      <w:marRight w:val="0"/>
      <w:marTop w:val="0"/>
      <w:marBottom w:val="0"/>
      <w:divBdr>
        <w:top w:val="none" w:sz="0" w:space="0" w:color="auto"/>
        <w:left w:val="none" w:sz="0" w:space="0" w:color="auto"/>
        <w:bottom w:val="none" w:sz="0" w:space="0" w:color="auto"/>
        <w:right w:val="none" w:sz="0" w:space="0" w:color="auto"/>
      </w:divBdr>
    </w:div>
    <w:div w:id="1065176217">
      <w:bodyDiv w:val="1"/>
      <w:marLeft w:val="0"/>
      <w:marRight w:val="0"/>
      <w:marTop w:val="0"/>
      <w:marBottom w:val="0"/>
      <w:divBdr>
        <w:top w:val="none" w:sz="0" w:space="0" w:color="auto"/>
        <w:left w:val="none" w:sz="0" w:space="0" w:color="auto"/>
        <w:bottom w:val="none" w:sz="0" w:space="0" w:color="auto"/>
        <w:right w:val="none" w:sz="0" w:space="0" w:color="auto"/>
      </w:divBdr>
    </w:div>
    <w:div w:id="1068265180">
      <w:bodyDiv w:val="1"/>
      <w:marLeft w:val="0"/>
      <w:marRight w:val="0"/>
      <w:marTop w:val="0"/>
      <w:marBottom w:val="0"/>
      <w:divBdr>
        <w:top w:val="none" w:sz="0" w:space="0" w:color="auto"/>
        <w:left w:val="none" w:sz="0" w:space="0" w:color="auto"/>
        <w:bottom w:val="none" w:sz="0" w:space="0" w:color="auto"/>
        <w:right w:val="none" w:sz="0" w:space="0" w:color="auto"/>
      </w:divBdr>
    </w:div>
    <w:div w:id="1115902996">
      <w:bodyDiv w:val="1"/>
      <w:marLeft w:val="0"/>
      <w:marRight w:val="0"/>
      <w:marTop w:val="0"/>
      <w:marBottom w:val="0"/>
      <w:divBdr>
        <w:top w:val="none" w:sz="0" w:space="0" w:color="auto"/>
        <w:left w:val="none" w:sz="0" w:space="0" w:color="auto"/>
        <w:bottom w:val="none" w:sz="0" w:space="0" w:color="auto"/>
        <w:right w:val="none" w:sz="0" w:space="0" w:color="auto"/>
      </w:divBdr>
    </w:div>
    <w:div w:id="1161651817">
      <w:bodyDiv w:val="1"/>
      <w:marLeft w:val="0"/>
      <w:marRight w:val="0"/>
      <w:marTop w:val="0"/>
      <w:marBottom w:val="0"/>
      <w:divBdr>
        <w:top w:val="none" w:sz="0" w:space="0" w:color="auto"/>
        <w:left w:val="none" w:sz="0" w:space="0" w:color="auto"/>
        <w:bottom w:val="none" w:sz="0" w:space="0" w:color="auto"/>
        <w:right w:val="none" w:sz="0" w:space="0" w:color="auto"/>
      </w:divBdr>
    </w:div>
    <w:div w:id="1162358146">
      <w:bodyDiv w:val="1"/>
      <w:marLeft w:val="0"/>
      <w:marRight w:val="0"/>
      <w:marTop w:val="0"/>
      <w:marBottom w:val="0"/>
      <w:divBdr>
        <w:top w:val="none" w:sz="0" w:space="0" w:color="auto"/>
        <w:left w:val="none" w:sz="0" w:space="0" w:color="auto"/>
        <w:bottom w:val="none" w:sz="0" w:space="0" w:color="auto"/>
        <w:right w:val="none" w:sz="0" w:space="0" w:color="auto"/>
      </w:divBdr>
    </w:div>
    <w:div w:id="1214854354">
      <w:bodyDiv w:val="1"/>
      <w:marLeft w:val="0"/>
      <w:marRight w:val="0"/>
      <w:marTop w:val="0"/>
      <w:marBottom w:val="0"/>
      <w:divBdr>
        <w:top w:val="none" w:sz="0" w:space="0" w:color="auto"/>
        <w:left w:val="none" w:sz="0" w:space="0" w:color="auto"/>
        <w:bottom w:val="none" w:sz="0" w:space="0" w:color="auto"/>
        <w:right w:val="none" w:sz="0" w:space="0" w:color="auto"/>
      </w:divBdr>
    </w:div>
    <w:div w:id="1222248937">
      <w:bodyDiv w:val="1"/>
      <w:marLeft w:val="0"/>
      <w:marRight w:val="0"/>
      <w:marTop w:val="0"/>
      <w:marBottom w:val="0"/>
      <w:divBdr>
        <w:top w:val="none" w:sz="0" w:space="0" w:color="auto"/>
        <w:left w:val="none" w:sz="0" w:space="0" w:color="auto"/>
        <w:bottom w:val="none" w:sz="0" w:space="0" w:color="auto"/>
        <w:right w:val="none" w:sz="0" w:space="0" w:color="auto"/>
      </w:divBdr>
    </w:div>
    <w:div w:id="1223760952">
      <w:bodyDiv w:val="1"/>
      <w:marLeft w:val="0"/>
      <w:marRight w:val="0"/>
      <w:marTop w:val="0"/>
      <w:marBottom w:val="0"/>
      <w:divBdr>
        <w:top w:val="none" w:sz="0" w:space="0" w:color="auto"/>
        <w:left w:val="none" w:sz="0" w:space="0" w:color="auto"/>
        <w:bottom w:val="none" w:sz="0" w:space="0" w:color="auto"/>
        <w:right w:val="none" w:sz="0" w:space="0" w:color="auto"/>
      </w:divBdr>
    </w:div>
    <w:div w:id="1224636606">
      <w:bodyDiv w:val="1"/>
      <w:marLeft w:val="0"/>
      <w:marRight w:val="0"/>
      <w:marTop w:val="0"/>
      <w:marBottom w:val="0"/>
      <w:divBdr>
        <w:top w:val="none" w:sz="0" w:space="0" w:color="auto"/>
        <w:left w:val="none" w:sz="0" w:space="0" w:color="auto"/>
        <w:bottom w:val="none" w:sz="0" w:space="0" w:color="auto"/>
        <w:right w:val="none" w:sz="0" w:space="0" w:color="auto"/>
      </w:divBdr>
    </w:div>
    <w:div w:id="1317103769">
      <w:bodyDiv w:val="1"/>
      <w:marLeft w:val="0"/>
      <w:marRight w:val="0"/>
      <w:marTop w:val="0"/>
      <w:marBottom w:val="0"/>
      <w:divBdr>
        <w:top w:val="none" w:sz="0" w:space="0" w:color="auto"/>
        <w:left w:val="none" w:sz="0" w:space="0" w:color="auto"/>
        <w:bottom w:val="none" w:sz="0" w:space="0" w:color="auto"/>
        <w:right w:val="none" w:sz="0" w:space="0" w:color="auto"/>
      </w:divBdr>
    </w:div>
    <w:div w:id="1375036740">
      <w:bodyDiv w:val="1"/>
      <w:marLeft w:val="0"/>
      <w:marRight w:val="0"/>
      <w:marTop w:val="0"/>
      <w:marBottom w:val="0"/>
      <w:divBdr>
        <w:top w:val="none" w:sz="0" w:space="0" w:color="auto"/>
        <w:left w:val="none" w:sz="0" w:space="0" w:color="auto"/>
        <w:bottom w:val="none" w:sz="0" w:space="0" w:color="auto"/>
        <w:right w:val="none" w:sz="0" w:space="0" w:color="auto"/>
      </w:divBdr>
    </w:div>
    <w:div w:id="1388721518">
      <w:bodyDiv w:val="1"/>
      <w:marLeft w:val="0"/>
      <w:marRight w:val="0"/>
      <w:marTop w:val="0"/>
      <w:marBottom w:val="0"/>
      <w:divBdr>
        <w:top w:val="none" w:sz="0" w:space="0" w:color="auto"/>
        <w:left w:val="none" w:sz="0" w:space="0" w:color="auto"/>
        <w:bottom w:val="none" w:sz="0" w:space="0" w:color="auto"/>
        <w:right w:val="none" w:sz="0" w:space="0" w:color="auto"/>
      </w:divBdr>
    </w:div>
    <w:div w:id="1389184923">
      <w:bodyDiv w:val="1"/>
      <w:marLeft w:val="0"/>
      <w:marRight w:val="0"/>
      <w:marTop w:val="0"/>
      <w:marBottom w:val="0"/>
      <w:divBdr>
        <w:top w:val="none" w:sz="0" w:space="0" w:color="auto"/>
        <w:left w:val="none" w:sz="0" w:space="0" w:color="auto"/>
        <w:bottom w:val="none" w:sz="0" w:space="0" w:color="auto"/>
        <w:right w:val="none" w:sz="0" w:space="0" w:color="auto"/>
      </w:divBdr>
    </w:div>
    <w:div w:id="1413041816">
      <w:bodyDiv w:val="1"/>
      <w:marLeft w:val="0"/>
      <w:marRight w:val="0"/>
      <w:marTop w:val="0"/>
      <w:marBottom w:val="0"/>
      <w:divBdr>
        <w:top w:val="none" w:sz="0" w:space="0" w:color="auto"/>
        <w:left w:val="none" w:sz="0" w:space="0" w:color="auto"/>
        <w:bottom w:val="none" w:sz="0" w:space="0" w:color="auto"/>
        <w:right w:val="none" w:sz="0" w:space="0" w:color="auto"/>
      </w:divBdr>
    </w:div>
    <w:div w:id="1420298131">
      <w:bodyDiv w:val="1"/>
      <w:marLeft w:val="0"/>
      <w:marRight w:val="0"/>
      <w:marTop w:val="0"/>
      <w:marBottom w:val="0"/>
      <w:divBdr>
        <w:top w:val="none" w:sz="0" w:space="0" w:color="auto"/>
        <w:left w:val="none" w:sz="0" w:space="0" w:color="auto"/>
        <w:bottom w:val="none" w:sz="0" w:space="0" w:color="auto"/>
        <w:right w:val="none" w:sz="0" w:space="0" w:color="auto"/>
      </w:divBdr>
    </w:div>
    <w:div w:id="1451851195">
      <w:bodyDiv w:val="1"/>
      <w:marLeft w:val="0"/>
      <w:marRight w:val="0"/>
      <w:marTop w:val="0"/>
      <w:marBottom w:val="0"/>
      <w:divBdr>
        <w:top w:val="none" w:sz="0" w:space="0" w:color="auto"/>
        <w:left w:val="none" w:sz="0" w:space="0" w:color="auto"/>
        <w:bottom w:val="none" w:sz="0" w:space="0" w:color="auto"/>
        <w:right w:val="none" w:sz="0" w:space="0" w:color="auto"/>
      </w:divBdr>
    </w:div>
    <w:div w:id="1466582168">
      <w:bodyDiv w:val="1"/>
      <w:marLeft w:val="0"/>
      <w:marRight w:val="0"/>
      <w:marTop w:val="0"/>
      <w:marBottom w:val="0"/>
      <w:divBdr>
        <w:top w:val="none" w:sz="0" w:space="0" w:color="auto"/>
        <w:left w:val="none" w:sz="0" w:space="0" w:color="auto"/>
        <w:bottom w:val="none" w:sz="0" w:space="0" w:color="auto"/>
        <w:right w:val="none" w:sz="0" w:space="0" w:color="auto"/>
      </w:divBdr>
    </w:div>
    <w:div w:id="1468933344">
      <w:bodyDiv w:val="1"/>
      <w:marLeft w:val="0"/>
      <w:marRight w:val="0"/>
      <w:marTop w:val="0"/>
      <w:marBottom w:val="0"/>
      <w:divBdr>
        <w:top w:val="none" w:sz="0" w:space="0" w:color="auto"/>
        <w:left w:val="none" w:sz="0" w:space="0" w:color="auto"/>
        <w:bottom w:val="none" w:sz="0" w:space="0" w:color="auto"/>
        <w:right w:val="none" w:sz="0" w:space="0" w:color="auto"/>
      </w:divBdr>
    </w:div>
    <w:div w:id="1484808154">
      <w:bodyDiv w:val="1"/>
      <w:marLeft w:val="0"/>
      <w:marRight w:val="0"/>
      <w:marTop w:val="0"/>
      <w:marBottom w:val="0"/>
      <w:divBdr>
        <w:top w:val="none" w:sz="0" w:space="0" w:color="auto"/>
        <w:left w:val="none" w:sz="0" w:space="0" w:color="auto"/>
        <w:bottom w:val="none" w:sz="0" w:space="0" w:color="auto"/>
        <w:right w:val="none" w:sz="0" w:space="0" w:color="auto"/>
      </w:divBdr>
    </w:div>
    <w:div w:id="1496335763">
      <w:bodyDiv w:val="1"/>
      <w:marLeft w:val="0"/>
      <w:marRight w:val="0"/>
      <w:marTop w:val="0"/>
      <w:marBottom w:val="0"/>
      <w:divBdr>
        <w:top w:val="none" w:sz="0" w:space="0" w:color="auto"/>
        <w:left w:val="none" w:sz="0" w:space="0" w:color="auto"/>
        <w:bottom w:val="none" w:sz="0" w:space="0" w:color="auto"/>
        <w:right w:val="none" w:sz="0" w:space="0" w:color="auto"/>
      </w:divBdr>
    </w:div>
    <w:div w:id="1582370196">
      <w:bodyDiv w:val="1"/>
      <w:marLeft w:val="0"/>
      <w:marRight w:val="0"/>
      <w:marTop w:val="0"/>
      <w:marBottom w:val="0"/>
      <w:divBdr>
        <w:top w:val="none" w:sz="0" w:space="0" w:color="auto"/>
        <w:left w:val="none" w:sz="0" w:space="0" w:color="auto"/>
        <w:bottom w:val="none" w:sz="0" w:space="0" w:color="auto"/>
        <w:right w:val="none" w:sz="0" w:space="0" w:color="auto"/>
      </w:divBdr>
    </w:div>
    <w:div w:id="1588270926">
      <w:bodyDiv w:val="1"/>
      <w:marLeft w:val="0"/>
      <w:marRight w:val="0"/>
      <w:marTop w:val="0"/>
      <w:marBottom w:val="0"/>
      <w:divBdr>
        <w:top w:val="none" w:sz="0" w:space="0" w:color="auto"/>
        <w:left w:val="none" w:sz="0" w:space="0" w:color="auto"/>
        <w:bottom w:val="none" w:sz="0" w:space="0" w:color="auto"/>
        <w:right w:val="none" w:sz="0" w:space="0" w:color="auto"/>
      </w:divBdr>
    </w:div>
    <w:div w:id="1597517197">
      <w:bodyDiv w:val="1"/>
      <w:marLeft w:val="0"/>
      <w:marRight w:val="0"/>
      <w:marTop w:val="0"/>
      <w:marBottom w:val="0"/>
      <w:divBdr>
        <w:top w:val="none" w:sz="0" w:space="0" w:color="auto"/>
        <w:left w:val="none" w:sz="0" w:space="0" w:color="auto"/>
        <w:bottom w:val="none" w:sz="0" w:space="0" w:color="auto"/>
        <w:right w:val="none" w:sz="0" w:space="0" w:color="auto"/>
      </w:divBdr>
    </w:div>
    <w:div w:id="1605651734">
      <w:bodyDiv w:val="1"/>
      <w:marLeft w:val="0"/>
      <w:marRight w:val="0"/>
      <w:marTop w:val="0"/>
      <w:marBottom w:val="0"/>
      <w:divBdr>
        <w:top w:val="none" w:sz="0" w:space="0" w:color="auto"/>
        <w:left w:val="none" w:sz="0" w:space="0" w:color="auto"/>
        <w:bottom w:val="none" w:sz="0" w:space="0" w:color="auto"/>
        <w:right w:val="none" w:sz="0" w:space="0" w:color="auto"/>
      </w:divBdr>
    </w:div>
    <w:div w:id="1679850565">
      <w:bodyDiv w:val="1"/>
      <w:marLeft w:val="0"/>
      <w:marRight w:val="0"/>
      <w:marTop w:val="0"/>
      <w:marBottom w:val="0"/>
      <w:divBdr>
        <w:top w:val="none" w:sz="0" w:space="0" w:color="auto"/>
        <w:left w:val="none" w:sz="0" w:space="0" w:color="auto"/>
        <w:bottom w:val="none" w:sz="0" w:space="0" w:color="auto"/>
        <w:right w:val="none" w:sz="0" w:space="0" w:color="auto"/>
      </w:divBdr>
    </w:div>
    <w:div w:id="1687363194">
      <w:bodyDiv w:val="1"/>
      <w:marLeft w:val="0"/>
      <w:marRight w:val="0"/>
      <w:marTop w:val="0"/>
      <w:marBottom w:val="0"/>
      <w:divBdr>
        <w:top w:val="none" w:sz="0" w:space="0" w:color="auto"/>
        <w:left w:val="none" w:sz="0" w:space="0" w:color="auto"/>
        <w:bottom w:val="none" w:sz="0" w:space="0" w:color="auto"/>
        <w:right w:val="none" w:sz="0" w:space="0" w:color="auto"/>
      </w:divBdr>
    </w:div>
    <w:div w:id="1714504775">
      <w:bodyDiv w:val="1"/>
      <w:marLeft w:val="0"/>
      <w:marRight w:val="0"/>
      <w:marTop w:val="0"/>
      <w:marBottom w:val="0"/>
      <w:divBdr>
        <w:top w:val="none" w:sz="0" w:space="0" w:color="auto"/>
        <w:left w:val="none" w:sz="0" w:space="0" w:color="auto"/>
        <w:bottom w:val="none" w:sz="0" w:space="0" w:color="auto"/>
        <w:right w:val="none" w:sz="0" w:space="0" w:color="auto"/>
      </w:divBdr>
    </w:div>
    <w:div w:id="1721586971">
      <w:bodyDiv w:val="1"/>
      <w:marLeft w:val="0"/>
      <w:marRight w:val="0"/>
      <w:marTop w:val="0"/>
      <w:marBottom w:val="0"/>
      <w:divBdr>
        <w:top w:val="none" w:sz="0" w:space="0" w:color="auto"/>
        <w:left w:val="none" w:sz="0" w:space="0" w:color="auto"/>
        <w:bottom w:val="none" w:sz="0" w:space="0" w:color="auto"/>
        <w:right w:val="none" w:sz="0" w:space="0" w:color="auto"/>
      </w:divBdr>
    </w:div>
    <w:div w:id="1722291201">
      <w:bodyDiv w:val="1"/>
      <w:marLeft w:val="0"/>
      <w:marRight w:val="0"/>
      <w:marTop w:val="0"/>
      <w:marBottom w:val="0"/>
      <w:divBdr>
        <w:top w:val="none" w:sz="0" w:space="0" w:color="auto"/>
        <w:left w:val="none" w:sz="0" w:space="0" w:color="auto"/>
        <w:bottom w:val="none" w:sz="0" w:space="0" w:color="auto"/>
        <w:right w:val="none" w:sz="0" w:space="0" w:color="auto"/>
      </w:divBdr>
    </w:div>
    <w:div w:id="1767648524">
      <w:bodyDiv w:val="1"/>
      <w:marLeft w:val="0"/>
      <w:marRight w:val="0"/>
      <w:marTop w:val="0"/>
      <w:marBottom w:val="0"/>
      <w:divBdr>
        <w:top w:val="none" w:sz="0" w:space="0" w:color="auto"/>
        <w:left w:val="none" w:sz="0" w:space="0" w:color="auto"/>
        <w:bottom w:val="none" w:sz="0" w:space="0" w:color="auto"/>
        <w:right w:val="none" w:sz="0" w:space="0" w:color="auto"/>
      </w:divBdr>
    </w:div>
    <w:div w:id="1778478215">
      <w:bodyDiv w:val="1"/>
      <w:marLeft w:val="0"/>
      <w:marRight w:val="0"/>
      <w:marTop w:val="0"/>
      <w:marBottom w:val="0"/>
      <w:divBdr>
        <w:top w:val="none" w:sz="0" w:space="0" w:color="auto"/>
        <w:left w:val="none" w:sz="0" w:space="0" w:color="auto"/>
        <w:bottom w:val="none" w:sz="0" w:space="0" w:color="auto"/>
        <w:right w:val="none" w:sz="0" w:space="0" w:color="auto"/>
      </w:divBdr>
    </w:div>
    <w:div w:id="1783376944">
      <w:bodyDiv w:val="1"/>
      <w:marLeft w:val="0"/>
      <w:marRight w:val="0"/>
      <w:marTop w:val="0"/>
      <w:marBottom w:val="0"/>
      <w:divBdr>
        <w:top w:val="none" w:sz="0" w:space="0" w:color="auto"/>
        <w:left w:val="none" w:sz="0" w:space="0" w:color="auto"/>
        <w:bottom w:val="none" w:sz="0" w:space="0" w:color="auto"/>
        <w:right w:val="none" w:sz="0" w:space="0" w:color="auto"/>
      </w:divBdr>
    </w:div>
    <w:div w:id="1790582058">
      <w:bodyDiv w:val="1"/>
      <w:marLeft w:val="0"/>
      <w:marRight w:val="0"/>
      <w:marTop w:val="0"/>
      <w:marBottom w:val="0"/>
      <w:divBdr>
        <w:top w:val="none" w:sz="0" w:space="0" w:color="auto"/>
        <w:left w:val="none" w:sz="0" w:space="0" w:color="auto"/>
        <w:bottom w:val="none" w:sz="0" w:space="0" w:color="auto"/>
        <w:right w:val="none" w:sz="0" w:space="0" w:color="auto"/>
      </w:divBdr>
    </w:div>
    <w:div w:id="1797068146">
      <w:bodyDiv w:val="1"/>
      <w:marLeft w:val="0"/>
      <w:marRight w:val="0"/>
      <w:marTop w:val="0"/>
      <w:marBottom w:val="0"/>
      <w:divBdr>
        <w:top w:val="none" w:sz="0" w:space="0" w:color="auto"/>
        <w:left w:val="none" w:sz="0" w:space="0" w:color="auto"/>
        <w:bottom w:val="none" w:sz="0" w:space="0" w:color="auto"/>
        <w:right w:val="none" w:sz="0" w:space="0" w:color="auto"/>
      </w:divBdr>
    </w:div>
    <w:div w:id="1822766832">
      <w:bodyDiv w:val="1"/>
      <w:marLeft w:val="0"/>
      <w:marRight w:val="0"/>
      <w:marTop w:val="0"/>
      <w:marBottom w:val="0"/>
      <w:divBdr>
        <w:top w:val="none" w:sz="0" w:space="0" w:color="auto"/>
        <w:left w:val="none" w:sz="0" w:space="0" w:color="auto"/>
        <w:bottom w:val="none" w:sz="0" w:space="0" w:color="auto"/>
        <w:right w:val="none" w:sz="0" w:space="0" w:color="auto"/>
      </w:divBdr>
    </w:div>
    <w:div w:id="1823355077">
      <w:bodyDiv w:val="1"/>
      <w:marLeft w:val="0"/>
      <w:marRight w:val="0"/>
      <w:marTop w:val="0"/>
      <w:marBottom w:val="0"/>
      <w:divBdr>
        <w:top w:val="none" w:sz="0" w:space="0" w:color="auto"/>
        <w:left w:val="none" w:sz="0" w:space="0" w:color="auto"/>
        <w:bottom w:val="none" w:sz="0" w:space="0" w:color="auto"/>
        <w:right w:val="none" w:sz="0" w:space="0" w:color="auto"/>
      </w:divBdr>
    </w:div>
    <w:div w:id="1824924649">
      <w:bodyDiv w:val="1"/>
      <w:marLeft w:val="0"/>
      <w:marRight w:val="0"/>
      <w:marTop w:val="0"/>
      <w:marBottom w:val="0"/>
      <w:divBdr>
        <w:top w:val="none" w:sz="0" w:space="0" w:color="auto"/>
        <w:left w:val="none" w:sz="0" w:space="0" w:color="auto"/>
        <w:bottom w:val="none" w:sz="0" w:space="0" w:color="auto"/>
        <w:right w:val="none" w:sz="0" w:space="0" w:color="auto"/>
      </w:divBdr>
    </w:div>
    <w:div w:id="1914387194">
      <w:bodyDiv w:val="1"/>
      <w:marLeft w:val="0"/>
      <w:marRight w:val="0"/>
      <w:marTop w:val="0"/>
      <w:marBottom w:val="0"/>
      <w:divBdr>
        <w:top w:val="none" w:sz="0" w:space="0" w:color="auto"/>
        <w:left w:val="none" w:sz="0" w:space="0" w:color="auto"/>
        <w:bottom w:val="none" w:sz="0" w:space="0" w:color="auto"/>
        <w:right w:val="none" w:sz="0" w:space="0" w:color="auto"/>
      </w:divBdr>
    </w:div>
    <w:div w:id="1922833572">
      <w:bodyDiv w:val="1"/>
      <w:marLeft w:val="0"/>
      <w:marRight w:val="0"/>
      <w:marTop w:val="0"/>
      <w:marBottom w:val="0"/>
      <w:divBdr>
        <w:top w:val="none" w:sz="0" w:space="0" w:color="auto"/>
        <w:left w:val="none" w:sz="0" w:space="0" w:color="auto"/>
        <w:bottom w:val="none" w:sz="0" w:space="0" w:color="auto"/>
        <w:right w:val="none" w:sz="0" w:space="0" w:color="auto"/>
      </w:divBdr>
    </w:div>
    <w:div w:id="1937319722">
      <w:bodyDiv w:val="1"/>
      <w:marLeft w:val="0"/>
      <w:marRight w:val="0"/>
      <w:marTop w:val="0"/>
      <w:marBottom w:val="0"/>
      <w:divBdr>
        <w:top w:val="none" w:sz="0" w:space="0" w:color="auto"/>
        <w:left w:val="none" w:sz="0" w:space="0" w:color="auto"/>
        <w:bottom w:val="none" w:sz="0" w:space="0" w:color="auto"/>
        <w:right w:val="none" w:sz="0" w:space="0" w:color="auto"/>
      </w:divBdr>
    </w:div>
    <w:div w:id="1956910033">
      <w:bodyDiv w:val="1"/>
      <w:marLeft w:val="0"/>
      <w:marRight w:val="0"/>
      <w:marTop w:val="0"/>
      <w:marBottom w:val="0"/>
      <w:divBdr>
        <w:top w:val="none" w:sz="0" w:space="0" w:color="auto"/>
        <w:left w:val="none" w:sz="0" w:space="0" w:color="auto"/>
        <w:bottom w:val="none" w:sz="0" w:space="0" w:color="auto"/>
        <w:right w:val="none" w:sz="0" w:space="0" w:color="auto"/>
      </w:divBdr>
    </w:div>
    <w:div w:id="1972132359">
      <w:bodyDiv w:val="1"/>
      <w:marLeft w:val="0"/>
      <w:marRight w:val="0"/>
      <w:marTop w:val="0"/>
      <w:marBottom w:val="0"/>
      <w:divBdr>
        <w:top w:val="none" w:sz="0" w:space="0" w:color="auto"/>
        <w:left w:val="none" w:sz="0" w:space="0" w:color="auto"/>
        <w:bottom w:val="none" w:sz="0" w:space="0" w:color="auto"/>
        <w:right w:val="none" w:sz="0" w:space="0" w:color="auto"/>
      </w:divBdr>
    </w:div>
    <w:div w:id="1983266445">
      <w:bodyDiv w:val="1"/>
      <w:marLeft w:val="0"/>
      <w:marRight w:val="0"/>
      <w:marTop w:val="0"/>
      <w:marBottom w:val="0"/>
      <w:divBdr>
        <w:top w:val="none" w:sz="0" w:space="0" w:color="auto"/>
        <w:left w:val="none" w:sz="0" w:space="0" w:color="auto"/>
        <w:bottom w:val="none" w:sz="0" w:space="0" w:color="auto"/>
        <w:right w:val="none" w:sz="0" w:space="0" w:color="auto"/>
      </w:divBdr>
    </w:div>
    <w:div w:id="2065716968">
      <w:bodyDiv w:val="1"/>
      <w:marLeft w:val="0"/>
      <w:marRight w:val="0"/>
      <w:marTop w:val="0"/>
      <w:marBottom w:val="0"/>
      <w:divBdr>
        <w:top w:val="none" w:sz="0" w:space="0" w:color="auto"/>
        <w:left w:val="none" w:sz="0" w:space="0" w:color="auto"/>
        <w:bottom w:val="none" w:sz="0" w:space="0" w:color="auto"/>
        <w:right w:val="none" w:sz="0" w:space="0" w:color="auto"/>
      </w:divBdr>
    </w:div>
    <w:div w:id="2083718934">
      <w:bodyDiv w:val="1"/>
      <w:marLeft w:val="0"/>
      <w:marRight w:val="0"/>
      <w:marTop w:val="0"/>
      <w:marBottom w:val="0"/>
      <w:divBdr>
        <w:top w:val="none" w:sz="0" w:space="0" w:color="auto"/>
        <w:left w:val="none" w:sz="0" w:space="0" w:color="auto"/>
        <w:bottom w:val="none" w:sz="0" w:space="0" w:color="auto"/>
        <w:right w:val="none" w:sz="0" w:space="0" w:color="auto"/>
      </w:divBdr>
    </w:div>
    <w:div w:id="2094936585">
      <w:bodyDiv w:val="1"/>
      <w:marLeft w:val="0"/>
      <w:marRight w:val="0"/>
      <w:marTop w:val="0"/>
      <w:marBottom w:val="0"/>
      <w:divBdr>
        <w:top w:val="none" w:sz="0" w:space="0" w:color="auto"/>
        <w:left w:val="none" w:sz="0" w:space="0" w:color="auto"/>
        <w:bottom w:val="none" w:sz="0" w:space="0" w:color="auto"/>
        <w:right w:val="none" w:sz="0" w:space="0" w:color="auto"/>
      </w:divBdr>
    </w:div>
    <w:div w:id="2095085834">
      <w:bodyDiv w:val="1"/>
      <w:marLeft w:val="0"/>
      <w:marRight w:val="0"/>
      <w:marTop w:val="0"/>
      <w:marBottom w:val="0"/>
      <w:divBdr>
        <w:top w:val="none" w:sz="0" w:space="0" w:color="auto"/>
        <w:left w:val="none" w:sz="0" w:space="0" w:color="auto"/>
        <w:bottom w:val="none" w:sz="0" w:space="0" w:color="auto"/>
        <w:right w:val="none" w:sz="0" w:space="0" w:color="auto"/>
      </w:divBdr>
    </w:div>
    <w:div w:id="21061523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3.xml"/><Relationship Id="rId18" Type="http://schemas.openxmlformats.org/officeDocument/2006/relationships/chart" Target="charts/chart8.xml"/><Relationship Id="rId26" Type="http://schemas.openxmlformats.org/officeDocument/2006/relationships/chart" Target="charts/chart16.xml"/><Relationship Id="rId39" Type="http://schemas.openxmlformats.org/officeDocument/2006/relationships/chart" Target="charts/chart29.xml"/><Relationship Id="rId21" Type="http://schemas.openxmlformats.org/officeDocument/2006/relationships/chart" Target="charts/chart11.xml"/><Relationship Id="rId34" Type="http://schemas.openxmlformats.org/officeDocument/2006/relationships/chart" Target="charts/chart24.xml"/><Relationship Id="rId42" Type="http://schemas.openxmlformats.org/officeDocument/2006/relationships/chart" Target="charts/chart32.xml"/><Relationship Id="rId47" Type="http://schemas.openxmlformats.org/officeDocument/2006/relationships/chart" Target="charts/chart37.xml"/><Relationship Id="rId50" Type="http://schemas.openxmlformats.org/officeDocument/2006/relationships/footer" Target="footer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chart" Target="charts/chart6.xml"/><Relationship Id="rId29" Type="http://schemas.openxmlformats.org/officeDocument/2006/relationships/chart" Target="charts/chart19.xml"/><Relationship Id="rId11" Type="http://schemas.openxmlformats.org/officeDocument/2006/relationships/chart" Target="charts/chart1.xml"/><Relationship Id="rId24" Type="http://schemas.openxmlformats.org/officeDocument/2006/relationships/chart" Target="charts/chart14.xml"/><Relationship Id="rId32" Type="http://schemas.openxmlformats.org/officeDocument/2006/relationships/chart" Target="charts/chart22.xml"/><Relationship Id="rId37" Type="http://schemas.openxmlformats.org/officeDocument/2006/relationships/chart" Target="charts/chart27.xml"/><Relationship Id="rId40" Type="http://schemas.openxmlformats.org/officeDocument/2006/relationships/chart" Target="charts/chart30.xml"/><Relationship Id="rId45" Type="http://schemas.openxmlformats.org/officeDocument/2006/relationships/chart" Target="charts/chart35.xml"/><Relationship Id="rId5" Type="http://schemas.openxmlformats.org/officeDocument/2006/relationships/settings" Target="settings.xml"/><Relationship Id="rId15" Type="http://schemas.openxmlformats.org/officeDocument/2006/relationships/chart" Target="charts/chart5.xml"/><Relationship Id="rId23" Type="http://schemas.openxmlformats.org/officeDocument/2006/relationships/chart" Target="charts/chart13.xml"/><Relationship Id="rId28" Type="http://schemas.openxmlformats.org/officeDocument/2006/relationships/chart" Target="charts/chart18.xml"/><Relationship Id="rId36" Type="http://schemas.openxmlformats.org/officeDocument/2006/relationships/chart" Target="charts/chart26.xml"/><Relationship Id="rId49" Type="http://schemas.openxmlformats.org/officeDocument/2006/relationships/header" Target="header1.xml"/><Relationship Id="rId10" Type="http://schemas.openxmlformats.org/officeDocument/2006/relationships/image" Target="media/image2.jpg"/><Relationship Id="rId19" Type="http://schemas.openxmlformats.org/officeDocument/2006/relationships/chart" Target="charts/chart9.xml"/><Relationship Id="rId31" Type="http://schemas.openxmlformats.org/officeDocument/2006/relationships/chart" Target="charts/chart21.xml"/><Relationship Id="rId44" Type="http://schemas.openxmlformats.org/officeDocument/2006/relationships/chart" Target="charts/chart34.xml"/><Relationship Id="rId52"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gif"/><Relationship Id="rId14" Type="http://schemas.openxmlformats.org/officeDocument/2006/relationships/chart" Target="charts/chart4.xml"/><Relationship Id="rId22" Type="http://schemas.openxmlformats.org/officeDocument/2006/relationships/chart" Target="charts/chart12.xml"/><Relationship Id="rId27" Type="http://schemas.openxmlformats.org/officeDocument/2006/relationships/chart" Target="charts/chart17.xml"/><Relationship Id="rId30" Type="http://schemas.openxmlformats.org/officeDocument/2006/relationships/chart" Target="charts/chart20.xml"/><Relationship Id="rId35" Type="http://schemas.openxmlformats.org/officeDocument/2006/relationships/chart" Target="charts/chart25.xml"/><Relationship Id="rId43" Type="http://schemas.openxmlformats.org/officeDocument/2006/relationships/chart" Target="charts/chart33.xml"/><Relationship Id="rId48" Type="http://schemas.openxmlformats.org/officeDocument/2006/relationships/hyperlink" Target="file:///C:\Users\ealeksieva\Desktop\Copy%20of%20&#1048;&#1043;&#1056;&#1055;%20&#1055;&#1052;&#1044;&#1056;&#1040;%202025%20-&#1080;&#1079;&#1084;&#1077;&#1085;&#1077;&#1085;&#1080;&#1077;%20&#1102;&#1085;&#1080;%202025.xlsx" TargetMode="External"/><Relationship Id="rId8" Type="http://schemas.openxmlformats.org/officeDocument/2006/relationships/endnotes" Target="endnotes.xml"/><Relationship Id="rId51" Type="http://schemas.openxmlformats.org/officeDocument/2006/relationships/fontTable" Target="fontTable.xml"/><Relationship Id="rId3" Type="http://schemas.openxmlformats.org/officeDocument/2006/relationships/numbering" Target="numbering.xml"/><Relationship Id="rId12" Type="http://schemas.openxmlformats.org/officeDocument/2006/relationships/chart" Target="charts/chart2.xml"/><Relationship Id="rId17" Type="http://schemas.openxmlformats.org/officeDocument/2006/relationships/chart" Target="charts/chart7.xml"/><Relationship Id="rId25" Type="http://schemas.openxmlformats.org/officeDocument/2006/relationships/chart" Target="charts/chart15.xml"/><Relationship Id="rId33" Type="http://schemas.openxmlformats.org/officeDocument/2006/relationships/chart" Target="charts/chart23.xml"/><Relationship Id="rId38" Type="http://schemas.openxmlformats.org/officeDocument/2006/relationships/chart" Target="charts/chart28.xml"/><Relationship Id="rId46" Type="http://schemas.openxmlformats.org/officeDocument/2006/relationships/chart" Target="charts/chart36.xml"/><Relationship Id="rId20" Type="http://schemas.openxmlformats.org/officeDocument/2006/relationships/chart" Target="charts/chart10.xml"/><Relationship Id="rId41" Type="http://schemas.openxmlformats.org/officeDocument/2006/relationships/chart" Target="charts/chart31.xml"/><Relationship Id="rId1" Type="http://schemas.openxmlformats.org/officeDocument/2006/relationships/customXml" Target="../customXml/item1.xml"/><Relationship Id="rId6" Type="http://schemas.openxmlformats.org/officeDocument/2006/relationships/webSettings" Target="webSettings.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oleObject" Target="file:///D:\&#1040;&#1044;%20&#1046;&#1048;&#1042;&#1054;&#1058;&#1053;&#1054;&#1042;&#1066;&#1044;&#1057;&#1058;&#1042;&#1054;\2025\&#1055;&#1056;&#1054;&#1045;&#1050;&#1058;%20&#1040;&#1044;%202025%20&#1078;&#1080;&#1074;&#1086;&#1090;&#1085;&#1086;&#1074;&#1098;&#1076;&#1089;&#1090;&#1074;&#1086;.xlsx" TargetMode="External"/><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oleObject" Target="file:///E:\My%20documents\&#1040;&#1075;&#1088;&#1072;&#1088;&#1077;&#1085;%20&#1076;&#1086;&#1082;&#1083;&#1072;&#1076;%202025\&#1088;&#1072;&#1073;&#1086;&#1090;&#1085;&#1080;\&#1078;&#1080;&#1074;&#1086;&#1090;&#1085;&#1086;&#1074;&#1098;&#1076;&#1089;&#1090;&#1074;&#1086;\&#1040;&#1044;%202025%20&#1078;&#1080;&#1074;&#1086;&#1090;&#1085;&#1086;&#1074;&#1098;&#1076;&#1089;&#1090;&#1074;&#1086;.xlsx" TargetMode="External"/><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oleObject" Target="file:///D:\&#1040;&#1044;%20&#1046;&#1048;&#1042;&#1054;&#1058;&#1053;&#1054;&#1042;&#1066;&#1044;&#1057;&#1058;&#1042;&#1054;\2025\&#1055;&#1056;&#1054;&#1045;&#1050;&#1058;%20&#1040;&#1044;%202025%20&#1078;&#1080;&#1074;&#1086;&#1090;&#1085;&#1086;&#1074;&#1098;&#1076;&#1089;&#1090;&#1074;&#1086;.xlsx" TargetMode="External"/><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oleObject" Target="file:///E:\My%20documents\&#1040;&#1075;&#1088;&#1072;&#1088;&#1077;&#1085;%20&#1076;&#1086;&#1082;&#1083;&#1072;&#1076;%202025\&#1088;&#1072;&#1073;&#1086;&#1090;&#1085;&#1080;\&#1083;&#1086;&#1079;&#1072;&#1088;&#1089;&#1090;&#1074;&#1086;%20&#1080;%20&#1074;&#1080;&#1085;&#1086;\Grafiki_Vino_2024.xls" TargetMode="External"/><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1" Type="http://schemas.openxmlformats.org/officeDocument/2006/relationships/oleObject" Target="file:///D:\Dani\Dani-Documents\Agraren%20doklad\2025\&#1074;&#1080;&#1085;&#1086;\&#1082;&#1086;&#1088;&#1077;&#1082;&#1094;&#1080;&#1080;%20&#1053;&#1057;&#1048;\&#1082;&#1086;&#1088;&#1077;&#1082;&#1094;&#1080;&#1080;%20&#1053;&#1057;&#1048;.xlsx" TargetMode="External"/></Relationships>
</file>

<file path=word/charts/_rels/chart16.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15.xml"/></Relationships>
</file>

<file path=word/charts/_rels/chart17.xml.rels><?xml version="1.0" encoding="UTF-8" standalone="yes"?>
<Relationships xmlns="http://schemas.openxmlformats.org/package/2006/relationships"><Relationship Id="rId3" Type="http://schemas.openxmlformats.org/officeDocument/2006/relationships/themeOverride" Target="../theme/themeOverride16.xml"/><Relationship Id="rId2" Type="http://schemas.microsoft.com/office/2011/relationships/chartColorStyle" Target="colors3.xml"/><Relationship Id="rId1" Type="http://schemas.microsoft.com/office/2011/relationships/chartStyle" Target="style3.xml"/><Relationship Id="rId5" Type="http://schemas.openxmlformats.org/officeDocument/2006/relationships/chartUserShapes" Target="../drawings/drawing1.xml"/><Relationship Id="rId4" Type="http://schemas.openxmlformats.org/officeDocument/2006/relationships/oleObject" Target="file:///E:\My%20documents\&#1040;&#1075;&#1088;&#1072;&#1088;&#1077;&#1085;%20&#1076;&#1086;&#1082;&#1083;&#1072;&#1076;%202025\&#1088;&#1072;&#1073;&#1086;&#1090;&#1085;&#1080;\&#1090;&#1098;&#1088;&#1075;&#1086;&#1074;&#1080;&#1103;\&#1040;&#1044;%20&#1040;&#1075;&#1088;&#1072;&#1088;&#1085;&#1072;%20&#1090;&#1098;&#1088;&#1075;&#1086;&#1074;&#1080;&#1103;%202025.xlsx" TargetMode="External"/></Relationships>
</file>

<file path=word/charts/_rels/chart18.xml.rels><?xml version="1.0" encoding="UTF-8" standalone="yes"?>
<Relationships xmlns="http://schemas.openxmlformats.org/package/2006/relationships"><Relationship Id="rId3" Type="http://schemas.openxmlformats.org/officeDocument/2006/relationships/themeOverride" Target="../theme/themeOverride17.xml"/><Relationship Id="rId2" Type="http://schemas.microsoft.com/office/2011/relationships/chartColorStyle" Target="colors4.xml"/><Relationship Id="rId1" Type="http://schemas.microsoft.com/office/2011/relationships/chartStyle" Target="style4.xml"/><Relationship Id="rId5" Type="http://schemas.openxmlformats.org/officeDocument/2006/relationships/chartUserShapes" Target="../drawings/drawing2.xml"/><Relationship Id="rId4" Type="http://schemas.openxmlformats.org/officeDocument/2006/relationships/package" Target="../embeddings/Microsoft_Excel_Worksheet10.xlsx"/></Relationships>
</file>

<file path=word/charts/_rels/chart19.xml.rels><?xml version="1.0" encoding="UTF-8" standalone="yes"?>
<Relationships xmlns="http://schemas.openxmlformats.org/package/2006/relationships"><Relationship Id="rId2" Type="http://schemas.openxmlformats.org/officeDocument/2006/relationships/oleObject" Target="file:///D:\&#1041;&#1040;&#1041;&#1061;%20&#1040;&#1043;&#1056;&#1040;&#1056;&#1045;&#1053;%20&#1044;&#1054;&#1050;&#1051;&#1040;&#1044;\2025\&#1040;&#1044;%202025%20%20&#1041;&#1077;&#1079;&#1086;&#1087;&#1072;&#1089;&#1085;&#1086;&#1089;&#1090;%20&#1087;&#1086;%20&#1093;&#1088;&#1072;&#1085;&#1080;&#1090;&#1077;&#1083;&#1085;&#1072;&#1090;&#1072;%20&#1074;&#1077;&#1088;&#1080;&#1075;&#1072;.xlsx" TargetMode="External"/><Relationship Id="rId1" Type="http://schemas.openxmlformats.org/officeDocument/2006/relationships/themeOverride" Target="../theme/themeOverride18.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2" Type="http://schemas.openxmlformats.org/officeDocument/2006/relationships/oleObject" Target="file:///D:\&#1041;&#1040;&#1041;&#1061;%20&#1040;&#1043;&#1056;&#1040;&#1056;&#1045;&#1053;%20&#1044;&#1054;&#1050;&#1051;&#1040;&#1044;\2025\&#1040;&#1044;%202025%20%20&#1041;&#1077;&#1079;&#1086;&#1087;&#1072;&#1089;&#1085;&#1086;&#1089;&#1090;%20&#1087;&#1086;%20&#1093;&#1088;&#1072;&#1085;&#1080;&#1090;&#1077;&#1083;&#1085;&#1072;&#1090;&#1072;%20&#1074;&#1077;&#1088;&#1080;&#1075;&#1072;.xlsx" TargetMode="External"/><Relationship Id="rId1" Type="http://schemas.openxmlformats.org/officeDocument/2006/relationships/themeOverride" Target="../theme/themeOverride19.xml"/></Relationships>
</file>

<file path=word/charts/_rels/chart21.xml.rels><?xml version="1.0" encoding="UTF-8" standalone="yes"?>
<Relationships xmlns="http://schemas.openxmlformats.org/package/2006/relationships"><Relationship Id="rId2" Type="http://schemas.openxmlformats.org/officeDocument/2006/relationships/oleObject" Target="file:///D:\&#1041;&#1040;&#1041;&#1061;%20&#1040;&#1043;&#1056;&#1040;&#1056;&#1045;&#1053;%20&#1044;&#1054;&#1050;&#1051;&#1040;&#1044;\2025\&#1040;&#1044;%202025%20%20&#1041;&#1077;&#1079;&#1086;&#1087;&#1072;&#1089;&#1085;&#1086;&#1089;&#1090;%20&#1087;&#1086;%20&#1093;&#1088;&#1072;&#1085;&#1080;&#1090;&#1077;&#1083;&#1085;&#1072;&#1090;&#1072;%20&#1074;&#1077;&#1088;&#1080;&#1075;&#1072;.xlsx" TargetMode="External"/><Relationship Id="rId1" Type="http://schemas.openxmlformats.org/officeDocument/2006/relationships/themeOverride" Target="../theme/themeOverride20.xml"/></Relationships>
</file>

<file path=word/charts/_rels/chart22.xml.rels><?xml version="1.0" encoding="UTF-8" standalone="yes"?>
<Relationships xmlns="http://schemas.openxmlformats.org/package/2006/relationships"><Relationship Id="rId2" Type="http://schemas.openxmlformats.org/officeDocument/2006/relationships/oleObject" Target="file:///D:\&#1041;&#1040;&#1041;&#1061;%20&#1040;&#1043;&#1056;&#1040;&#1056;&#1045;&#1053;%20&#1044;&#1054;&#1050;&#1051;&#1040;&#1044;\2025\&#1040;&#1044;%202025%20%20&#1041;&#1077;&#1079;&#1086;&#1087;&#1072;&#1089;&#1085;&#1086;&#1089;&#1090;%20&#1087;&#1086;%20&#1093;&#1088;&#1072;&#1085;&#1080;&#1090;&#1077;&#1083;&#1085;&#1072;&#1090;&#1072;%20&#1074;&#1077;&#1088;&#1080;&#1075;&#1072;.xlsx" TargetMode="External"/><Relationship Id="rId1" Type="http://schemas.openxmlformats.org/officeDocument/2006/relationships/themeOverride" Target="../theme/themeOverride21.xml"/></Relationships>
</file>

<file path=word/charts/_rels/chart23.xml.rels><?xml version="1.0" encoding="UTF-8" standalone="yes"?>
<Relationships xmlns="http://schemas.openxmlformats.org/package/2006/relationships"><Relationship Id="rId2" Type="http://schemas.openxmlformats.org/officeDocument/2006/relationships/oleObject" Target="file:///D:\&#1041;&#1040;&#1041;&#1061;%20&#1040;&#1043;&#1056;&#1040;&#1056;&#1045;&#1053;%20&#1044;&#1054;&#1050;&#1051;&#1040;&#1044;\2025\&#1040;&#1044;%202025%20%20&#1041;&#1077;&#1079;&#1086;&#1087;&#1072;&#1089;&#1085;&#1086;&#1089;&#1090;%20&#1087;&#1086;%20&#1093;&#1088;&#1072;&#1085;&#1080;&#1090;&#1077;&#1083;&#1085;&#1072;&#1090;&#1072;%20&#1074;&#1077;&#1088;&#1080;&#1075;&#1072;.xlsx" TargetMode="External"/><Relationship Id="rId1" Type="http://schemas.openxmlformats.org/officeDocument/2006/relationships/themeOverride" Target="../theme/themeOverride22.xml"/></Relationships>
</file>

<file path=word/charts/_rels/chart24.xml.rels><?xml version="1.0" encoding="UTF-8" standalone="yes"?>
<Relationships xmlns="http://schemas.openxmlformats.org/package/2006/relationships"><Relationship Id="rId3" Type="http://schemas.openxmlformats.org/officeDocument/2006/relationships/themeOverride" Target="../theme/themeOverride23.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file:///D:\&#1041;&#1040;&#1041;&#1061;%20&#1040;&#1043;&#1056;&#1040;&#1056;&#1045;&#1053;%20&#1044;&#1054;&#1050;&#1051;&#1040;&#1044;\2025\&#1040;&#1044;%202025%20%20&#1041;&#1077;&#1079;&#1086;&#1087;&#1072;&#1089;&#1085;&#1086;&#1089;&#1090;%20&#1087;&#1086;%20&#1093;&#1088;&#1072;&#1085;&#1080;&#1090;&#1077;&#1083;&#1085;&#1072;&#1090;&#1072;%20&#1074;&#1077;&#1088;&#1080;&#1075;&#1072;.xlsx" TargetMode="External"/></Relationships>
</file>

<file path=word/charts/_rels/chart25.xml.rels><?xml version="1.0" encoding="UTF-8" standalone="yes"?>
<Relationships xmlns="http://schemas.openxmlformats.org/package/2006/relationships"><Relationship Id="rId2" Type="http://schemas.openxmlformats.org/officeDocument/2006/relationships/package" Target="../embeddings/Microsoft_Excel_Worksheet11.xlsx"/><Relationship Id="rId1" Type="http://schemas.openxmlformats.org/officeDocument/2006/relationships/themeOverride" Target="../theme/themeOverride24.xml"/></Relationships>
</file>

<file path=word/charts/_rels/chart26.xml.rels><?xml version="1.0" encoding="UTF-8" standalone="yes"?>
<Relationships xmlns="http://schemas.openxmlformats.org/package/2006/relationships"><Relationship Id="rId2" Type="http://schemas.openxmlformats.org/officeDocument/2006/relationships/package" Target="../embeddings/Microsoft_Excel_Worksheet12.xlsx"/><Relationship Id="rId1" Type="http://schemas.openxmlformats.org/officeDocument/2006/relationships/themeOverride" Target="../theme/themeOverride25.xml"/></Relationships>
</file>

<file path=word/charts/_rels/chart27.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themeOverride" Target="../theme/themeOverride26.xml"/></Relationships>
</file>

<file path=word/charts/_rels/chart28.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27.xml"/></Relationships>
</file>

<file path=word/charts/_rels/chart29.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themeOverride" Target="../theme/themeOverride28.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_rels/chart30.xml.rels><?xml version="1.0" encoding="UTF-8" standalone="yes"?>
<Relationships xmlns="http://schemas.openxmlformats.org/package/2006/relationships"><Relationship Id="rId2" Type="http://schemas.openxmlformats.org/officeDocument/2006/relationships/oleObject" Target="../embeddings/oleObject3.bin"/><Relationship Id="rId1" Type="http://schemas.openxmlformats.org/officeDocument/2006/relationships/themeOverride" Target="../theme/themeOverride29.xml"/></Relationships>
</file>

<file path=word/charts/_rels/chart31.xml.rels><?xml version="1.0" encoding="UTF-8" standalone="yes"?>
<Relationships xmlns="http://schemas.openxmlformats.org/package/2006/relationships"><Relationship Id="rId2" Type="http://schemas.openxmlformats.org/officeDocument/2006/relationships/package" Target="../embeddings/Microsoft_Excel_Worksheet14.xlsx"/><Relationship Id="rId1" Type="http://schemas.openxmlformats.org/officeDocument/2006/relationships/themeOverride" Target="../theme/themeOverride30.xml"/></Relationships>
</file>

<file path=word/charts/_rels/chart32.xml.rels><?xml version="1.0" encoding="UTF-8" standalone="yes"?>
<Relationships xmlns="http://schemas.openxmlformats.org/package/2006/relationships"><Relationship Id="rId2" Type="http://schemas.openxmlformats.org/officeDocument/2006/relationships/oleObject" Target="../embeddings/oleObject4.bin"/><Relationship Id="rId1" Type="http://schemas.openxmlformats.org/officeDocument/2006/relationships/themeOverride" Target="../theme/themeOverride31.xml"/></Relationships>
</file>

<file path=word/charts/_rels/chart33.xml.rels><?xml version="1.0" encoding="UTF-8" standalone="yes"?>
<Relationships xmlns="http://schemas.openxmlformats.org/package/2006/relationships"><Relationship Id="rId2" Type="http://schemas.openxmlformats.org/officeDocument/2006/relationships/oleObject" Target="../embeddings/oleObject5.bin"/><Relationship Id="rId1" Type="http://schemas.openxmlformats.org/officeDocument/2006/relationships/themeOverride" Target="../theme/themeOverride32.xml"/></Relationships>
</file>

<file path=word/charts/_rels/chart34.xml.rels><?xml version="1.0" encoding="UTF-8" standalone="yes"?>
<Relationships xmlns="http://schemas.openxmlformats.org/package/2006/relationships"><Relationship Id="rId2" Type="http://schemas.openxmlformats.org/officeDocument/2006/relationships/oleObject" Target="file:///D:\&#1056;&#1048;&#1041;&#1040;&#1056;&#1057;&#1058;&#1042;&#1054;\&#1072;&#1076;%20&#1088;&#1080;&#1073;&#1072;&#1088;&#1089;&#1090;&#1074;&#1086;%202025\&#1079;&#1072;%20&#1076;&#1077;&#1089;&#1080;\%20&#1040;&#1044;%202025%20&#1056;&#1080;&#1073;&#1072;&#1088;&#1089;&#1090;&#1074;&#1086;%20&#1089;%20&#1086;&#1090;&#1088;&#1072;&#1079;&#1077;&#1085;&#1080;%20&#1082;&#1086;&#1088;&#1077;&#1082;&#1094;&#1080;&#1080;%20&#1085;&#1072;%20&#1053;&#1057;&#1048;%20&#1080;&#1079;&#1085;&#1086;&#1089;.xlsx" TargetMode="External"/><Relationship Id="rId1" Type="http://schemas.openxmlformats.org/officeDocument/2006/relationships/themeOverride" Target="../theme/themeOverride33.xml"/></Relationships>
</file>

<file path=word/charts/_rels/chart35.xml.rels><?xml version="1.0" encoding="UTF-8" standalone="yes"?>
<Relationships xmlns="http://schemas.openxmlformats.org/package/2006/relationships"><Relationship Id="rId2" Type="http://schemas.openxmlformats.org/officeDocument/2006/relationships/oleObject" Target="file:///D:\&#1056;&#1048;&#1041;&#1040;&#1056;&#1057;&#1058;&#1042;&#1054;\&#1072;&#1076;%20&#1088;&#1080;&#1073;&#1072;&#1088;&#1089;&#1090;&#1074;&#1086;%202025\&#1055;&#1056;&#1054;&#1045;&#1050;&#1058;%20&#1040;&#1044;%202024%20&#1056;&#1080;&#1073;&#1072;&#1088;&#1089;&#1090;&#1074;&#1086;%20&#1089;%20&#1086;&#1090;&#1088;&#1072;&#1079;&#1077;&#1085;&#1080;%20&#1082;&#1086;&#1088;&#1077;&#1082;&#1094;&#1080;&#1080;%20&#1085;&#1072;%20&#1053;&#1057;&#1048;%20&#1080;&#1079;&#1085;&#1086;&#1089;.xlsx" TargetMode="External"/><Relationship Id="rId1" Type="http://schemas.openxmlformats.org/officeDocument/2006/relationships/themeOverride" Target="../theme/themeOverride34.xml"/></Relationships>
</file>

<file path=word/charts/_rels/chart36.xml.rels><?xml version="1.0" encoding="UTF-8" standalone="yes"?>
<Relationships xmlns="http://schemas.openxmlformats.org/package/2006/relationships"><Relationship Id="rId2" Type="http://schemas.openxmlformats.org/officeDocument/2006/relationships/oleObject" Target="file:///D:\&#1056;&#1048;&#1041;&#1040;&#1056;&#1057;&#1058;&#1042;&#1054;\&#1072;&#1076;%20&#1088;&#1080;&#1073;&#1072;&#1088;&#1089;&#1090;&#1074;&#1086;%202025\&#1079;&#1072;%20&#1076;&#1077;&#1089;&#1080;\%20&#1040;&#1044;%202025%20&#1056;&#1080;&#1073;&#1072;&#1088;&#1089;&#1090;&#1074;&#1086;%20&#1089;%20&#1086;&#1090;&#1088;&#1072;&#1079;&#1077;&#1085;&#1080;%20&#1082;&#1086;&#1088;&#1077;&#1082;&#1094;&#1080;&#1080;%20&#1085;&#1072;%20&#1053;&#1057;&#1048;%20&#1080;&#1079;&#1085;&#1086;&#1089;.xlsx" TargetMode="External"/><Relationship Id="rId1" Type="http://schemas.openxmlformats.org/officeDocument/2006/relationships/themeOverride" Target="../theme/themeOverride35.xml"/></Relationships>
</file>

<file path=word/charts/_rels/chart37.xml.rels><?xml version="1.0" encoding="UTF-8" standalone="yes"?>
<Relationships xmlns="http://schemas.openxmlformats.org/package/2006/relationships"><Relationship Id="rId2" Type="http://schemas.openxmlformats.org/officeDocument/2006/relationships/oleObject" Target="file:///D:\&#1056;&#1048;&#1041;&#1040;&#1056;&#1057;&#1058;&#1042;&#1054;\&#1072;&#1076;%20&#1088;&#1080;&#1073;&#1072;&#1088;&#1089;&#1090;&#1074;&#1086;%202025\&#1055;&#1056;&#1054;&#1045;&#1050;&#1058;%20&#1040;&#1044;%202024%20&#1056;&#1080;&#1073;&#1072;&#1088;&#1089;&#1090;&#1074;&#1086;%20&#1089;%20&#1086;&#1090;&#1088;&#1072;&#1079;&#1077;&#1085;&#1080;%20&#1082;&#1086;&#1088;&#1077;&#1082;&#1094;&#1080;&#1080;%20&#1085;&#1072;%20&#1053;&#1057;&#1048;%20&#1080;&#1079;&#1085;&#1086;&#1089;.xlsx" TargetMode="External"/><Relationship Id="rId1" Type="http://schemas.openxmlformats.org/officeDocument/2006/relationships/themeOverride" Target="../theme/themeOverride36.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7.xlsx"/></Relationships>
</file>

<file path=word/charts/_rels/chart9.xml.rels><?xml version="1.0" encoding="UTF-8" standalone="yes"?>
<Relationships xmlns="http://schemas.openxmlformats.org/package/2006/relationships"><Relationship Id="rId2" Type="http://schemas.openxmlformats.org/officeDocument/2006/relationships/oleObject" Target="file:///D:\&#1040;&#1044;%20&#1046;&#1048;&#1042;&#1054;&#1058;&#1053;&#1054;&#1042;&#1066;&#1044;&#1057;&#1058;&#1042;&#1054;\2025\&#1055;&#1056;&#1054;&#1045;&#1050;&#1058;%20&#1040;&#1044;%202025%20&#1078;&#1080;&#1074;&#1086;&#1090;&#1085;&#1086;&#1074;&#1098;&#1076;&#1089;&#1090;&#1074;&#1086;.xlsx" TargetMode="External"/><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макрорамка!$A$17</c:f>
              <c:strCache>
                <c:ptCount val="1"/>
                <c:pt idx="0">
                  <c:v>БВП</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макрорамка!$B$16:$F$16</c:f>
              <c:numCache>
                <c:formatCode>General</c:formatCode>
                <c:ptCount val="5"/>
                <c:pt idx="0">
                  <c:v>2020</c:v>
                </c:pt>
                <c:pt idx="1">
                  <c:v>2021</c:v>
                </c:pt>
                <c:pt idx="2">
                  <c:v>2022</c:v>
                </c:pt>
                <c:pt idx="3">
                  <c:v>2023</c:v>
                </c:pt>
                <c:pt idx="4">
                  <c:v>2024</c:v>
                </c:pt>
              </c:numCache>
            </c:numRef>
          </c:cat>
          <c:val>
            <c:numRef>
              <c:f>макрорамка!$B$17:$F$17</c:f>
              <c:numCache>
                <c:formatCode>#,##0</c:formatCode>
                <c:ptCount val="5"/>
                <c:pt idx="0">
                  <c:v>120978.954</c:v>
                </c:pt>
                <c:pt idx="1">
                  <c:v>139536.62599999999</c:v>
                </c:pt>
                <c:pt idx="2">
                  <c:v>168354.29699999999</c:v>
                </c:pt>
                <c:pt idx="3">
                  <c:v>184875.03700000001</c:v>
                </c:pt>
                <c:pt idx="4">
                  <c:v>204906.87899999999</c:v>
                </c:pt>
              </c:numCache>
            </c:numRef>
          </c:val>
          <c:extLst>
            <c:ext xmlns:c16="http://schemas.microsoft.com/office/drawing/2014/chart" uri="{C3380CC4-5D6E-409C-BE32-E72D297353CC}">
              <c16:uniqueId val="{00000000-DF5A-4ACB-BB53-1C4ACAD79CCD}"/>
            </c:ext>
          </c:extLst>
        </c:ser>
        <c:dLbls>
          <c:showLegendKey val="0"/>
          <c:showVal val="0"/>
          <c:showCatName val="0"/>
          <c:showSerName val="0"/>
          <c:showPercent val="0"/>
          <c:showBubbleSize val="0"/>
        </c:dLbls>
        <c:gapWidth val="200"/>
        <c:axId val="108987392"/>
        <c:axId val="107628224"/>
      </c:barChart>
      <c:catAx>
        <c:axId val="108987392"/>
        <c:scaling>
          <c:orientation val="minMax"/>
        </c:scaling>
        <c:delete val="0"/>
        <c:axPos val="b"/>
        <c:numFmt formatCode="General" sourceLinked="1"/>
        <c:majorTickMark val="out"/>
        <c:minorTickMark val="none"/>
        <c:tickLblPos val="nextTo"/>
        <c:crossAx val="107628224"/>
        <c:crosses val="autoZero"/>
        <c:auto val="1"/>
        <c:lblAlgn val="ctr"/>
        <c:lblOffset val="100"/>
        <c:noMultiLvlLbl val="0"/>
      </c:catAx>
      <c:valAx>
        <c:axId val="107628224"/>
        <c:scaling>
          <c:orientation val="minMax"/>
        </c:scaling>
        <c:delete val="0"/>
        <c:axPos val="l"/>
        <c:numFmt formatCode="#,##0" sourceLinked="1"/>
        <c:majorTickMark val="out"/>
        <c:minorTickMark val="none"/>
        <c:tickLblPos val="nextTo"/>
        <c:crossAx val="108987392"/>
        <c:crosses val="autoZero"/>
        <c:crossBetween val="between"/>
        <c:majorUnit val="25000"/>
      </c:valAx>
    </c:plotArea>
    <c:plotVisOnly val="1"/>
    <c:dispBlanksAs val="gap"/>
    <c:showDLblsOverMax val="0"/>
  </c:chart>
  <c:spPr>
    <a:ln>
      <a:noFill/>
    </a:ln>
  </c:spPr>
  <c:txPr>
    <a:bodyPr/>
    <a:lstStyle/>
    <a:p>
      <a:pPr>
        <a:defRPr sz="1000">
          <a:latin typeface="Arial Narrow" panose="020B0606020202030204" pitchFamily="34" charset="0"/>
        </a:defRPr>
      </a:pPr>
      <a:endParaRPr lang="bg-BG"/>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125002288823016"/>
          <c:y val="8.5916078671984183E-2"/>
          <c:w val="0.8458350541891565"/>
          <c:h val="0.68394723386849365"/>
        </c:manualLayout>
      </c:layout>
      <c:barChart>
        <c:barDir val="col"/>
        <c:grouping val="clustered"/>
        <c:varyColors val="0"/>
        <c:ser>
          <c:idx val="0"/>
          <c:order val="0"/>
          <c:tx>
            <c:strRef>
              <c:f>'фиг. месо '!$L$33</c:f>
              <c:strCache>
                <c:ptCount val="1"/>
                <c:pt idx="0">
                  <c:v>2023</c:v>
                </c:pt>
              </c:strCache>
            </c:strRef>
          </c:tx>
          <c:spPr>
            <a:solidFill>
              <a:srgbClr val="4F81BD"/>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'фиг. месо '!$B$34:$B$36</c:f>
              <c:strCache>
                <c:ptCount val="3"/>
                <c:pt idx="0">
                  <c:v>в кланици</c:v>
                </c:pt>
                <c:pt idx="1">
                  <c:v>в животновъдни стопанства</c:v>
                </c:pt>
                <c:pt idx="2">
                  <c:v>общо</c:v>
                </c:pt>
              </c:strCache>
            </c:strRef>
          </c:cat>
          <c:val>
            <c:numRef>
              <c:f>'фиг. месо '!$L$34:$L$36</c:f>
              <c:numCache>
                <c:formatCode>#,##0</c:formatCode>
                <c:ptCount val="3"/>
                <c:pt idx="0">
                  <c:v>78786.8</c:v>
                </c:pt>
                <c:pt idx="1">
                  <c:v>1043.3</c:v>
                </c:pt>
                <c:pt idx="2">
                  <c:v>79830</c:v>
                </c:pt>
              </c:numCache>
            </c:numRef>
          </c:val>
          <c:extLst>
            <c:ext xmlns:c16="http://schemas.microsoft.com/office/drawing/2014/chart" uri="{C3380CC4-5D6E-409C-BE32-E72D297353CC}">
              <c16:uniqueId val="{00000000-65F1-4779-9A53-9DF204887C15}"/>
            </c:ext>
          </c:extLst>
        </c:ser>
        <c:ser>
          <c:idx val="1"/>
          <c:order val="1"/>
          <c:tx>
            <c:strRef>
              <c:f>'фиг. месо '!$M$33</c:f>
              <c:strCache>
                <c:ptCount val="1"/>
                <c:pt idx="0">
                  <c:v>2024</c:v>
                </c:pt>
              </c:strCache>
            </c:strRef>
          </c:tx>
          <c:spPr>
            <a:solidFill>
              <a:srgbClr val="C0504D"/>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'фиг. месо '!$B$34:$B$36</c:f>
              <c:strCache>
                <c:ptCount val="3"/>
                <c:pt idx="0">
                  <c:v>в кланици</c:v>
                </c:pt>
                <c:pt idx="1">
                  <c:v>в животновъдни стопанства</c:v>
                </c:pt>
                <c:pt idx="2">
                  <c:v>общо</c:v>
                </c:pt>
              </c:strCache>
            </c:strRef>
          </c:cat>
          <c:val>
            <c:numRef>
              <c:f>'фиг. месо '!$M$34:$M$36</c:f>
              <c:numCache>
                <c:formatCode>#,##0</c:formatCode>
                <c:ptCount val="3"/>
                <c:pt idx="0">
                  <c:v>83985.3</c:v>
                </c:pt>
                <c:pt idx="1">
                  <c:v>3012.7</c:v>
                </c:pt>
                <c:pt idx="2">
                  <c:v>86998</c:v>
                </c:pt>
              </c:numCache>
            </c:numRef>
          </c:val>
          <c:extLst>
            <c:ext xmlns:c16="http://schemas.microsoft.com/office/drawing/2014/chart" uri="{C3380CC4-5D6E-409C-BE32-E72D297353CC}">
              <c16:uniqueId val="{00000001-65F1-4779-9A53-9DF204887C15}"/>
            </c:ext>
          </c:extLst>
        </c:ser>
        <c:dLbls>
          <c:showLegendKey val="0"/>
          <c:showVal val="0"/>
          <c:showCatName val="0"/>
          <c:showSerName val="0"/>
          <c:showPercent val="0"/>
          <c:showBubbleSize val="0"/>
        </c:dLbls>
        <c:gapWidth val="161"/>
        <c:axId val="53657600"/>
        <c:axId val="105982208"/>
      </c:barChart>
      <c:catAx>
        <c:axId val="53657600"/>
        <c:scaling>
          <c:orientation val="minMax"/>
        </c:scaling>
        <c:delete val="0"/>
        <c:axPos val="b"/>
        <c:numFmt formatCode="General" sourceLinked="1"/>
        <c:majorTickMark val="none"/>
        <c:minorTickMark val="none"/>
        <c:tickLblPos val="nextTo"/>
        <c:txPr>
          <a:bodyPr rot="0" vert="horz"/>
          <a:lstStyle/>
          <a:p>
            <a:pPr>
              <a:defRPr/>
            </a:pPr>
            <a:endParaRPr lang="bg-BG"/>
          </a:p>
        </c:txPr>
        <c:crossAx val="105982208"/>
        <c:crosses val="autoZero"/>
        <c:auto val="1"/>
        <c:lblAlgn val="ctr"/>
        <c:lblOffset val="100"/>
        <c:noMultiLvlLbl val="0"/>
      </c:catAx>
      <c:valAx>
        <c:axId val="105982208"/>
        <c:scaling>
          <c:orientation val="minMax"/>
          <c:max val="90000"/>
        </c:scaling>
        <c:delete val="0"/>
        <c:axPos val="l"/>
        <c:numFmt formatCode="#,##0" sourceLinked="1"/>
        <c:majorTickMark val="none"/>
        <c:minorTickMark val="none"/>
        <c:tickLblPos val="nextTo"/>
        <c:txPr>
          <a:bodyPr rot="0" vert="horz"/>
          <a:lstStyle/>
          <a:p>
            <a:pPr>
              <a:defRPr/>
            </a:pPr>
            <a:endParaRPr lang="bg-BG"/>
          </a:p>
        </c:txPr>
        <c:crossAx val="53657600"/>
        <c:crosses val="autoZero"/>
        <c:crossBetween val="between"/>
      </c:valAx>
    </c:plotArea>
    <c:legend>
      <c:legendPos val="b"/>
      <c:layout>
        <c:manualLayout>
          <c:xMode val="edge"/>
          <c:yMode val="edge"/>
          <c:x val="0.4080999853559078"/>
          <c:y val="0.92597104394208785"/>
          <c:w val="0.19524472531062373"/>
          <c:h val="7.402891470249387E-2"/>
        </c:manualLayout>
      </c:layout>
      <c:overlay val="0"/>
    </c:legend>
    <c:plotVisOnly val="1"/>
    <c:dispBlanksAs val="gap"/>
    <c:showDLblsOverMax val="0"/>
  </c:chart>
  <c:spPr>
    <a:solidFill>
      <a:srgbClr val="FFFFFF"/>
    </a:solidFill>
    <a:ln w="9525">
      <a:noFill/>
    </a:ln>
  </c:spPr>
  <c:txPr>
    <a:bodyPr/>
    <a:lstStyle/>
    <a:p>
      <a:pPr>
        <a:defRPr sz="1000" b="0" i="0" u="none" strike="noStrike" baseline="0">
          <a:solidFill>
            <a:sysClr val="windowText" lastClr="000000"/>
          </a:solidFill>
          <a:latin typeface="Arial Narrow"/>
          <a:ea typeface="Arial Narrow"/>
          <a:cs typeface="Arial Narrow"/>
        </a:defRPr>
      </a:pPr>
      <a:endParaRPr lang="bg-BG"/>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0563389362508736"/>
          <c:y val="7.3148439778361024E-2"/>
          <c:w val="0.8670274110473033"/>
          <c:h val="0.72314989792942552"/>
        </c:manualLayout>
      </c:layout>
      <c:barChart>
        <c:barDir val="col"/>
        <c:grouping val="clustered"/>
        <c:varyColors val="0"/>
        <c:ser>
          <c:idx val="0"/>
          <c:order val="0"/>
          <c:tx>
            <c:strRef>
              <c:f>'пчели и мед'!$Z$5</c:f>
              <c:strCache>
                <c:ptCount val="1"/>
                <c:pt idx="0">
                  <c:v>2023</c:v>
                </c:pt>
              </c:strCache>
            </c:strRef>
          </c:tx>
          <c:spPr>
            <a:solidFill>
              <a:srgbClr val="FCD5B5"/>
            </a:solidFill>
          </c:spPr>
          <c:invertIfNegative val="0"/>
          <c:dLbls>
            <c:spPr>
              <a:noFill/>
              <a:ln>
                <a:noFill/>
              </a:ln>
              <a:effectLst/>
            </c:spPr>
            <c:txPr>
              <a:bodyPr rot="-5400000" vert="horz" wrap="square" lIns="38100" tIns="19050" rIns="38100" bIns="19050" anchor="ctr">
                <a:spAutoFit/>
              </a:bodyPr>
              <a:lstStyle/>
              <a:p>
                <a:pPr>
                  <a:defRPr sz="1000"/>
                </a:pPr>
                <a:endParaRPr lang="bg-BG"/>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'пчели и мед'!$P$6:$P$11</c:f>
              <c:strCache>
                <c:ptCount val="6"/>
                <c:pt idx="0">
                  <c:v>Северозападен</c:v>
                </c:pt>
                <c:pt idx="1">
                  <c:v>Северен централен</c:v>
                </c:pt>
                <c:pt idx="2">
                  <c:v>Североизточен</c:v>
                </c:pt>
                <c:pt idx="3">
                  <c:v>Югоизточен</c:v>
                </c:pt>
                <c:pt idx="4">
                  <c:v>Югозападен</c:v>
                </c:pt>
                <c:pt idx="5">
                  <c:v>Южен централен</c:v>
                </c:pt>
              </c:strCache>
            </c:strRef>
          </c:cat>
          <c:val>
            <c:numRef>
              <c:f>'пчели и мед'!$Z$6:$Z$11</c:f>
              <c:numCache>
                <c:formatCode>#,##0</c:formatCode>
                <c:ptCount val="6"/>
                <c:pt idx="0">
                  <c:v>124633</c:v>
                </c:pt>
                <c:pt idx="1">
                  <c:v>186672</c:v>
                </c:pt>
                <c:pt idx="2">
                  <c:v>194658</c:v>
                </c:pt>
                <c:pt idx="3">
                  <c:v>174163</c:v>
                </c:pt>
                <c:pt idx="4">
                  <c:v>39990</c:v>
                </c:pt>
                <c:pt idx="5">
                  <c:v>96557</c:v>
                </c:pt>
              </c:numCache>
            </c:numRef>
          </c:val>
          <c:extLst>
            <c:ext xmlns:c16="http://schemas.microsoft.com/office/drawing/2014/chart" uri="{C3380CC4-5D6E-409C-BE32-E72D297353CC}">
              <c16:uniqueId val="{00000000-5A79-44CB-9599-C5565A30D5D6}"/>
            </c:ext>
          </c:extLst>
        </c:ser>
        <c:ser>
          <c:idx val="1"/>
          <c:order val="1"/>
          <c:tx>
            <c:strRef>
              <c:f>'пчели и мед'!$AA$5</c:f>
              <c:strCache>
                <c:ptCount val="1"/>
                <c:pt idx="0">
                  <c:v>2024</c:v>
                </c:pt>
              </c:strCache>
            </c:strRef>
          </c:tx>
          <c:spPr>
            <a:solidFill>
              <a:srgbClr val="983407"/>
            </a:solidFill>
          </c:spPr>
          <c:invertIfNegative val="0"/>
          <c:dLbls>
            <c:spPr>
              <a:noFill/>
              <a:ln>
                <a:noFill/>
              </a:ln>
              <a:effectLst/>
            </c:spPr>
            <c:txPr>
              <a:bodyPr rot="-5400000" vert="horz" wrap="square" lIns="38100" tIns="19050" rIns="38100" bIns="19050" anchor="ctr">
                <a:spAutoFit/>
              </a:bodyPr>
              <a:lstStyle/>
              <a:p>
                <a:pPr>
                  <a:defRPr sz="1000"/>
                </a:pPr>
                <a:endParaRPr lang="bg-BG"/>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'пчели и мед'!$P$6:$P$11</c:f>
              <c:strCache>
                <c:ptCount val="6"/>
                <c:pt idx="0">
                  <c:v>Северозападен</c:v>
                </c:pt>
                <c:pt idx="1">
                  <c:v>Северен централен</c:v>
                </c:pt>
                <c:pt idx="2">
                  <c:v>Североизточен</c:v>
                </c:pt>
                <c:pt idx="3">
                  <c:v>Югоизточен</c:v>
                </c:pt>
                <c:pt idx="4">
                  <c:v>Югозападен</c:v>
                </c:pt>
                <c:pt idx="5">
                  <c:v>Южен централен</c:v>
                </c:pt>
              </c:strCache>
            </c:strRef>
          </c:cat>
          <c:val>
            <c:numRef>
              <c:f>'пчели и мед'!$AA$6:$AA$11</c:f>
              <c:numCache>
                <c:formatCode>#,##0</c:formatCode>
                <c:ptCount val="6"/>
                <c:pt idx="0">
                  <c:v>130316</c:v>
                </c:pt>
                <c:pt idx="1">
                  <c:v>193981</c:v>
                </c:pt>
                <c:pt idx="2">
                  <c:v>192792</c:v>
                </c:pt>
                <c:pt idx="3">
                  <c:v>182096</c:v>
                </c:pt>
                <c:pt idx="4">
                  <c:v>40593</c:v>
                </c:pt>
                <c:pt idx="5">
                  <c:v>98260</c:v>
                </c:pt>
              </c:numCache>
            </c:numRef>
          </c:val>
          <c:extLst>
            <c:ext xmlns:c16="http://schemas.microsoft.com/office/drawing/2014/chart" uri="{C3380CC4-5D6E-409C-BE32-E72D297353CC}">
              <c16:uniqueId val="{00000001-5A79-44CB-9599-C5565A30D5D6}"/>
            </c:ext>
          </c:extLst>
        </c:ser>
        <c:dLbls>
          <c:showLegendKey val="0"/>
          <c:showVal val="0"/>
          <c:showCatName val="0"/>
          <c:showSerName val="0"/>
          <c:showPercent val="0"/>
          <c:showBubbleSize val="0"/>
        </c:dLbls>
        <c:gapWidth val="150"/>
        <c:axId val="107188736"/>
        <c:axId val="105986240"/>
      </c:barChart>
      <c:catAx>
        <c:axId val="107188736"/>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950"/>
            </a:pPr>
            <a:endParaRPr lang="bg-BG"/>
          </a:p>
        </c:txPr>
        <c:crossAx val="105986240"/>
        <c:crosses val="autoZero"/>
        <c:auto val="1"/>
        <c:lblAlgn val="ctr"/>
        <c:lblOffset val="100"/>
        <c:tickLblSkip val="1"/>
        <c:tickMarkSkip val="1"/>
        <c:noMultiLvlLbl val="0"/>
      </c:catAx>
      <c:valAx>
        <c:axId val="105986240"/>
        <c:scaling>
          <c:orientation val="minMax"/>
          <c:max val="250000"/>
        </c:scaling>
        <c:delete val="0"/>
        <c:axPos val="l"/>
        <c:majorGridlines>
          <c:spPr>
            <a:ln w="3175">
              <a:solidFill>
                <a:srgbClr val="FFFFFF"/>
              </a:solidFill>
              <a:prstDash val="solid"/>
            </a:ln>
          </c:spPr>
        </c:majorGridlines>
        <c:numFmt formatCode="#,##0" sourceLinked="1"/>
        <c:majorTickMark val="out"/>
        <c:minorTickMark val="none"/>
        <c:tickLblPos val="nextTo"/>
        <c:spPr>
          <a:ln w="3175">
            <a:solidFill>
              <a:srgbClr val="000000"/>
            </a:solidFill>
            <a:prstDash val="solid"/>
          </a:ln>
        </c:spPr>
        <c:txPr>
          <a:bodyPr rot="0" vert="horz"/>
          <a:lstStyle/>
          <a:p>
            <a:pPr>
              <a:defRPr sz="1000"/>
            </a:pPr>
            <a:endParaRPr lang="bg-BG"/>
          </a:p>
        </c:txPr>
        <c:crossAx val="107188736"/>
        <c:crosses val="autoZero"/>
        <c:crossBetween val="between"/>
        <c:majorUnit val="25000"/>
      </c:valAx>
      <c:spPr>
        <a:solidFill>
          <a:srgbClr val="FFFFFF"/>
        </a:solidFill>
        <a:ln w="12700">
          <a:solidFill>
            <a:srgbClr val="FFFFFF"/>
          </a:solidFill>
          <a:prstDash val="solid"/>
        </a:ln>
      </c:spPr>
    </c:plotArea>
    <c:legend>
      <c:legendPos val="b"/>
      <c:layout>
        <c:manualLayout>
          <c:xMode val="edge"/>
          <c:yMode val="edge"/>
          <c:x val="0.38639393759990526"/>
          <c:y val="0.91819218431029459"/>
          <c:w val="0.22410731553292682"/>
          <c:h val="5.9585593467483232E-2"/>
        </c:manualLayout>
      </c:layout>
      <c:overlay val="0"/>
      <c:spPr>
        <a:solidFill>
          <a:srgbClr val="FFFFFF"/>
        </a:solidFill>
        <a:ln w="25400">
          <a:noFill/>
        </a:ln>
      </c:spPr>
      <c:txPr>
        <a:bodyPr/>
        <a:lstStyle/>
        <a:p>
          <a:pPr>
            <a:defRPr sz="1000"/>
          </a:pPr>
          <a:endParaRPr lang="bg-BG"/>
        </a:p>
      </c:txPr>
    </c:legend>
    <c:plotVisOnly val="1"/>
    <c:dispBlanksAs val="gap"/>
    <c:showDLblsOverMax val="0"/>
  </c:chart>
  <c:spPr>
    <a:solidFill>
      <a:srgbClr val="FFFFFF"/>
    </a:solidFill>
    <a:ln w="9525">
      <a:noFill/>
    </a:ln>
  </c:spPr>
  <c:txPr>
    <a:bodyPr/>
    <a:lstStyle/>
    <a:p>
      <a:pPr>
        <a:defRPr sz="900" b="0" i="0" u="none" strike="noStrike" baseline="0">
          <a:solidFill>
            <a:srgbClr val="000000"/>
          </a:solidFill>
          <a:latin typeface="Arial Narrow"/>
          <a:ea typeface="Arial Narrow"/>
          <a:cs typeface="Arial Narrow"/>
        </a:defRPr>
      </a:pPr>
      <a:endParaRPr lang="bg-BG"/>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1410788381742737"/>
          <c:y val="7.7236888939047996E-2"/>
          <c:w val="0.85477178423236511"/>
          <c:h val="0.80836885466494202"/>
        </c:manualLayout>
      </c:layout>
      <c:barChart>
        <c:barDir val="col"/>
        <c:grouping val="clustered"/>
        <c:varyColors val="0"/>
        <c:ser>
          <c:idx val="0"/>
          <c:order val="0"/>
          <c:spPr>
            <a:solidFill>
              <a:srgbClr val="FF9900"/>
            </a:solidFill>
            <a:ln w="25400">
              <a:noFill/>
            </a:ln>
          </c:spPr>
          <c:invertIfNegative val="0"/>
          <c:dLbls>
            <c:spPr>
              <a:noFill/>
              <a:ln w="25400">
                <a:noFill/>
              </a:ln>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'пчели и мед'!$Z$33:$AD$33</c:f>
              <c:numCache>
                <c:formatCode>General</c:formatCode>
                <c:ptCount val="5"/>
                <c:pt idx="0">
                  <c:v>2020</c:v>
                </c:pt>
                <c:pt idx="1">
                  <c:v>2021</c:v>
                </c:pt>
                <c:pt idx="2">
                  <c:v>2022</c:v>
                </c:pt>
                <c:pt idx="3">
                  <c:v>2023</c:v>
                </c:pt>
                <c:pt idx="4">
                  <c:v>2024</c:v>
                </c:pt>
              </c:numCache>
            </c:numRef>
          </c:cat>
          <c:val>
            <c:numRef>
              <c:f>'пчели и мед'!$Z$34:$AD$34</c:f>
              <c:numCache>
                <c:formatCode>#,##0</c:formatCode>
                <c:ptCount val="5"/>
                <c:pt idx="0">
                  <c:v>9066</c:v>
                </c:pt>
                <c:pt idx="1">
                  <c:v>11638</c:v>
                </c:pt>
                <c:pt idx="2">
                  <c:v>11944</c:v>
                </c:pt>
                <c:pt idx="3">
                  <c:v>11189</c:v>
                </c:pt>
                <c:pt idx="4">
                  <c:v>10440</c:v>
                </c:pt>
              </c:numCache>
            </c:numRef>
          </c:val>
          <c:extLst>
            <c:ext xmlns:c16="http://schemas.microsoft.com/office/drawing/2014/chart" uri="{C3380CC4-5D6E-409C-BE32-E72D297353CC}">
              <c16:uniqueId val="{00000000-9A94-48D5-92C2-302077DBA094}"/>
            </c:ext>
          </c:extLst>
        </c:ser>
        <c:dLbls>
          <c:showLegendKey val="0"/>
          <c:showVal val="0"/>
          <c:showCatName val="0"/>
          <c:showSerName val="0"/>
          <c:showPercent val="0"/>
          <c:showBubbleSize val="0"/>
        </c:dLbls>
        <c:gapWidth val="150"/>
        <c:axId val="53661184"/>
        <c:axId val="105984512"/>
      </c:barChart>
      <c:catAx>
        <c:axId val="53661184"/>
        <c:scaling>
          <c:orientation val="minMax"/>
        </c:scaling>
        <c:delete val="0"/>
        <c:axPos val="b"/>
        <c:numFmt formatCode="General" sourceLinked="1"/>
        <c:majorTickMark val="out"/>
        <c:minorTickMark val="none"/>
        <c:tickLblPos val="nextTo"/>
        <c:txPr>
          <a:bodyPr rot="0" vert="horz"/>
          <a:lstStyle/>
          <a:p>
            <a:pPr>
              <a:defRPr/>
            </a:pPr>
            <a:endParaRPr lang="bg-BG"/>
          </a:p>
        </c:txPr>
        <c:crossAx val="105984512"/>
        <c:crosses val="autoZero"/>
        <c:auto val="1"/>
        <c:lblAlgn val="ctr"/>
        <c:lblOffset val="100"/>
        <c:noMultiLvlLbl val="0"/>
      </c:catAx>
      <c:valAx>
        <c:axId val="105984512"/>
        <c:scaling>
          <c:orientation val="minMax"/>
          <c:max val="14000"/>
        </c:scaling>
        <c:delete val="0"/>
        <c:axPos val="l"/>
        <c:majorGridlines>
          <c:spPr>
            <a:ln w="3175">
              <a:solidFill>
                <a:srgbClr val="FFFFFF"/>
              </a:solidFill>
              <a:prstDash val="solid"/>
            </a:ln>
          </c:spPr>
        </c:majorGridlines>
        <c:numFmt formatCode="#,##0" sourceLinked="0"/>
        <c:majorTickMark val="out"/>
        <c:minorTickMark val="none"/>
        <c:tickLblPos val="nextTo"/>
        <c:txPr>
          <a:bodyPr rot="0" vert="horz"/>
          <a:lstStyle/>
          <a:p>
            <a:pPr>
              <a:defRPr/>
            </a:pPr>
            <a:endParaRPr lang="bg-BG"/>
          </a:p>
        </c:txPr>
        <c:crossAx val="53661184"/>
        <c:crosses val="autoZero"/>
        <c:crossBetween val="between"/>
      </c:valAx>
      <c:spPr>
        <a:noFill/>
        <a:ln w="25400">
          <a:noFill/>
        </a:ln>
      </c:spPr>
    </c:plotArea>
    <c:plotVisOnly val="1"/>
    <c:dispBlanksAs val="gap"/>
    <c:showDLblsOverMax val="0"/>
  </c:chart>
  <c:spPr>
    <a:solidFill>
      <a:srgbClr val="FFFFFF"/>
    </a:solidFill>
    <a:ln w="9525">
      <a:noFill/>
    </a:ln>
  </c:spPr>
  <c:txPr>
    <a:bodyPr/>
    <a:lstStyle/>
    <a:p>
      <a:pPr>
        <a:defRPr sz="1000" b="0" i="0" u="none" strike="noStrike" baseline="0">
          <a:solidFill>
            <a:srgbClr val="000000"/>
          </a:solidFill>
          <a:latin typeface="Arial Narrow"/>
          <a:ea typeface="Arial Narrow"/>
          <a:cs typeface="Arial Narrow"/>
        </a:defRPr>
      </a:pPr>
      <a:endParaRPr lang="bg-BG"/>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6458524904214559"/>
          <c:y val="0.19343487654320987"/>
          <c:w val="0.39147681992337163"/>
          <c:h val="0.63071265432098766"/>
        </c:manualLayout>
      </c:layout>
      <c:pieChart>
        <c:varyColors val="1"/>
        <c:ser>
          <c:idx val="0"/>
          <c:order val="0"/>
          <c:spPr>
            <a:solidFill>
              <a:schemeClr val="accent2"/>
            </a:solidFill>
            <a:ln w="12700">
              <a:solidFill>
                <a:srgbClr val="00B0F0"/>
              </a:solidFill>
              <a:prstDash val="solid"/>
            </a:ln>
          </c:spPr>
          <c:dPt>
            <c:idx val="0"/>
            <c:bubble3D val="0"/>
            <c:explosion val="13"/>
            <c:spPr>
              <a:solidFill>
                <a:schemeClr val="tx2">
                  <a:lumMod val="60000"/>
                  <a:lumOff val="40000"/>
                </a:schemeClr>
              </a:solidFill>
              <a:ln w="12700">
                <a:noFill/>
                <a:prstDash val="solid"/>
              </a:ln>
            </c:spPr>
            <c:extLst>
              <c:ext xmlns:c16="http://schemas.microsoft.com/office/drawing/2014/chart" uri="{C3380CC4-5D6E-409C-BE32-E72D297353CC}">
                <c16:uniqueId val="{00000001-A86A-4923-8B2B-3FDD6053D328}"/>
              </c:ext>
            </c:extLst>
          </c:dPt>
          <c:dPt>
            <c:idx val="1"/>
            <c:bubble3D val="0"/>
            <c:explosion val="19"/>
            <c:spPr>
              <a:solidFill>
                <a:schemeClr val="accent2"/>
              </a:solidFill>
              <a:ln w="12700">
                <a:noFill/>
                <a:prstDash val="solid"/>
              </a:ln>
            </c:spPr>
            <c:extLst>
              <c:ext xmlns:c16="http://schemas.microsoft.com/office/drawing/2014/chart" uri="{C3380CC4-5D6E-409C-BE32-E72D297353CC}">
                <c16:uniqueId val="{00000003-A86A-4923-8B2B-3FDD6053D328}"/>
              </c:ext>
            </c:extLst>
          </c:dPt>
          <c:dLbls>
            <c:dLbl>
              <c:idx val="0"/>
              <c:numFmt formatCode="#,##0" sourceLinked="0"/>
              <c:spPr>
                <a:noFill/>
                <a:ln w="25400">
                  <a:noFill/>
                </a:ln>
              </c:spPr>
              <c:txPr>
                <a:bodyPr/>
                <a:lstStyle/>
                <a:p>
                  <a:pPr>
                    <a:defRPr sz="1000" b="0" i="0" u="none" strike="noStrike" baseline="0">
                      <a:solidFill>
                        <a:srgbClr val="000000"/>
                      </a:solidFill>
                      <a:latin typeface="Arial Narrow"/>
                      <a:ea typeface="Arial Narrow"/>
                      <a:cs typeface="Arial Narrow"/>
                    </a:defRPr>
                  </a:pPr>
                  <a:endParaRPr lang="bg-BG"/>
                </a:p>
              </c:txPr>
              <c:dLblPos val="bestFit"/>
              <c:showLegendKey val="0"/>
              <c:showVal val="1"/>
              <c:showCatName val="0"/>
              <c:showSerName val="0"/>
              <c:showPercent val="0"/>
              <c:showBubbleSize val="0"/>
              <c:extLst>
                <c:ext xmlns:c16="http://schemas.microsoft.com/office/drawing/2014/chart" uri="{C3380CC4-5D6E-409C-BE32-E72D297353CC}">
                  <c16:uniqueId val="{00000001-A86A-4923-8B2B-3FDD6053D328}"/>
                </c:ext>
              </c:extLst>
            </c:dLbl>
            <c:dLbl>
              <c:idx val="1"/>
              <c:numFmt formatCode="#,##0" sourceLinked="0"/>
              <c:spPr>
                <a:noFill/>
                <a:ln w="25400">
                  <a:noFill/>
                </a:ln>
              </c:spPr>
              <c:txPr>
                <a:bodyPr/>
                <a:lstStyle/>
                <a:p>
                  <a:pPr>
                    <a:defRPr sz="1000" b="0" i="0" u="none" strike="noStrike" baseline="0">
                      <a:solidFill>
                        <a:srgbClr val="000000"/>
                      </a:solidFill>
                      <a:latin typeface="Arial Narrow"/>
                      <a:ea typeface="Arial Narrow"/>
                      <a:cs typeface="Arial Narrow"/>
                    </a:defRPr>
                  </a:pPr>
                  <a:endParaRPr lang="bg-BG"/>
                </a:p>
              </c:txPr>
              <c:dLblPos val="bestFit"/>
              <c:showLegendKey val="0"/>
              <c:showVal val="1"/>
              <c:showCatName val="0"/>
              <c:showSerName val="0"/>
              <c:showPercent val="0"/>
              <c:showBubbleSize val="0"/>
              <c:extLst>
                <c:ext xmlns:c16="http://schemas.microsoft.com/office/drawing/2014/chart" uri="{C3380CC4-5D6E-409C-BE32-E72D297353CC}">
                  <c16:uniqueId val="{00000003-A86A-4923-8B2B-3FDD6053D328}"/>
                </c:ext>
              </c:extLst>
            </c:dLbl>
            <c:numFmt formatCode="#,##0" sourceLinked="0"/>
            <c:spPr>
              <a:noFill/>
              <a:ln w="25400">
                <a:noFill/>
              </a:ln>
            </c:spPr>
            <c:txPr>
              <a:bodyPr wrap="square" lIns="38100" tIns="19050" rIns="38100" bIns="19050" anchor="ctr">
                <a:spAutoFit/>
              </a:bodyPr>
              <a:lstStyle/>
              <a:p>
                <a:pPr>
                  <a:defRPr sz="1000" b="0" i="0" u="none" strike="noStrike" baseline="0">
                    <a:solidFill>
                      <a:srgbClr val="000000"/>
                    </a:solidFill>
                    <a:latin typeface="Arial Narrow"/>
                    <a:ea typeface="Arial Narrow"/>
                    <a:cs typeface="Arial Narrow"/>
                  </a:defRPr>
                </a:pPr>
                <a:endParaRPr lang="bg-BG"/>
              </a:p>
            </c:txPr>
            <c:dLblPos val="bestFit"/>
            <c:showLegendKey val="0"/>
            <c:showVal val="1"/>
            <c:showCatName val="0"/>
            <c:showSerName val="0"/>
            <c:showPercent val="0"/>
            <c:showBubbleSize val="0"/>
            <c:showLeaderLines val="0"/>
            <c:extLst>
              <c:ext xmlns:c15="http://schemas.microsoft.com/office/drawing/2012/chart" uri="{CE6537A1-D6FC-4f65-9D91-7224C49458BB}"/>
            </c:extLst>
          </c:dLbls>
          <c:cat>
            <c:strRef>
              <c:f>Лист1!$A$5:$A$6</c:f>
              <c:strCache>
                <c:ptCount val="2"/>
                <c:pt idx="0">
                  <c:v>Прясна консумация</c:v>
                </c:pt>
                <c:pt idx="1">
                  <c:v>Преработка</c:v>
                </c:pt>
              </c:strCache>
            </c:strRef>
          </c:cat>
          <c:val>
            <c:numRef>
              <c:f>Лист1!$B$5:$B$6</c:f>
              <c:numCache>
                <c:formatCode>#,##0</c:formatCode>
                <c:ptCount val="2"/>
                <c:pt idx="0">
                  <c:v>8555</c:v>
                </c:pt>
                <c:pt idx="1">
                  <c:v>126194</c:v>
                </c:pt>
              </c:numCache>
            </c:numRef>
          </c:val>
          <c:extLst>
            <c:ext xmlns:c16="http://schemas.microsoft.com/office/drawing/2014/chart" uri="{C3380CC4-5D6E-409C-BE32-E72D297353CC}">
              <c16:uniqueId val="{00000004-A86A-4923-8B2B-3FDD6053D328}"/>
            </c:ext>
          </c:extLst>
        </c:ser>
        <c:dLbls>
          <c:dLblPos val="bestFit"/>
          <c:showLegendKey val="0"/>
          <c:showVal val="1"/>
          <c:showCatName val="0"/>
          <c:showSerName val="0"/>
          <c:showPercent val="0"/>
          <c:showBubbleSize val="0"/>
          <c:showLeaderLines val="0"/>
        </c:dLbls>
        <c:firstSliceAng val="0"/>
      </c:pieChart>
      <c:spPr>
        <a:noFill/>
        <a:ln w="25400">
          <a:noFill/>
        </a:ln>
      </c:spPr>
    </c:plotArea>
    <c:legend>
      <c:legendPos val="r"/>
      <c:layout>
        <c:manualLayout>
          <c:xMode val="edge"/>
          <c:yMode val="edge"/>
          <c:x val="0.69319290380673226"/>
          <c:y val="0.3633546394935927"/>
          <c:w val="0.25325497633963645"/>
          <c:h val="0.20613463023004475"/>
        </c:manualLayout>
      </c:layout>
      <c:overlay val="0"/>
      <c:txPr>
        <a:bodyPr/>
        <a:lstStyle/>
        <a:p>
          <a:pPr>
            <a:defRPr sz="1000" b="0" i="0" u="none" strike="noStrike" baseline="0">
              <a:solidFill>
                <a:srgbClr val="000000"/>
              </a:solidFill>
              <a:latin typeface="Arial Narrow"/>
              <a:ea typeface="Arial Narrow"/>
              <a:cs typeface="Arial Narrow"/>
            </a:defRPr>
          </a:pPr>
          <a:endParaRPr lang="bg-BG"/>
        </a:p>
      </c:txPr>
    </c:legend>
    <c:plotVisOnly val="1"/>
    <c:dispBlanksAs val="zero"/>
    <c:showDLblsOverMax val="0"/>
  </c:chart>
  <c:spPr>
    <a:solidFill>
      <a:srgbClr val="FFFFFF"/>
    </a:solidFill>
    <a:ln w="9525">
      <a:noFill/>
    </a:ln>
  </c:spPr>
  <c:txPr>
    <a:bodyPr/>
    <a:lstStyle/>
    <a:p>
      <a:pPr>
        <a:defRPr sz="775" b="1" i="0" u="none" strike="noStrike" baseline="0">
          <a:solidFill>
            <a:srgbClr val="000000"/>
          </a:solidFill>
          <a:latin typeface="Arial Narrow"/>
          <a:ea typeface="Arial Narrow"/>
          <a:cs typeface="Arial Narrow"/>
        </a:defRPr>
      </a:pPr>
      <a:endParaRPr lang="bg-BG"/>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0273678160919539"/>
          <c:y val="0.17777839506172835"/>
          <c:w val="0.43311168582375481"/>
          <c:h val="0.69779104938271608"/>
        </c:manualLayout>
      </c:layout>
      <c:pieChart>
        <c:varyColors val="1"/>
        <c:ser>
          <c:idx val="0"/>
          <c:order val="0"/>
          <c:spPr>
            <a:solidFill>
              <a:srgbClr val="9999FF"/>
            </a:solidFill>
            <a:ln w="12700">
              <a:noFill/>
              <a:prstDash val="solid"/>
            </a:ln>
          </c:spPr>
          <c:explosion val="12"/>
          <c:dPt>
            <c:idx val="0"/>
            <c:bubble3D val="0"/>
            <c:spPr>
              <a:solidFill>
                <a:schemeClr val="accent1"/>
              </a:solidFill>
              <a:ln w="12700">
                <a:noFill/>
                <a:prstDash val="solid"/>
              </a:ln>
            </c:spPr>
            <c:extLst>
              <c:ext xmlns:c16="http://schemas.microsoft.com/office/drawing/2014/chart" uri="{C3380CC4-5D6E-409C-BE32-E72D297353CC}">
                <c16:uniqueId val="{00000001-33FE-4D73-ABB8-6E99B12DBA38}"/>
              </c:ext>
            </c:extLst>
          </c:dPt>
          <c:dPt>
            <c:idx val="1"/>
            <c:bubble3D val="0"/>
            <c:spPr>
              <a:solidFill>
                <a:schemeClr val="accent2"/>
              </a:solidFill>
              <a:ln w="12700">
                <a:noFill/>
                <a:prstDash val="solid"/>
              </a:ln>
            </c:spPr>
            <c:extLst>
              <c:ext xmlns:c16="http://schemas.microsoft.com/office/drawing/2014/chart" uri="{C3380CC4-5D6E-409C-BE32-E72D297353CC}">
                <c16:uniqueId val="{00000003-33FE-4D73-ABB8-6E99B12DBA38}"/>
              </c:ext>
            </c:extLst>
          </c:dPt>
          <c:dPt>
            <c:idx val="2"/>
            <c:bubble3D val="0"/>
            <c:spPr>
              <a:solidFill>
                <a:schemeClr val="accent3"/>
              </a:solidFill>
              <a:ln w="12700">
                <a:noFill/>
                <a:prstDash val="solid"/>
              </a:ln>
            </c:spPr>
            <c:extLst>
              <c:ext xmlns:c16="http://schemas.microsoft.com/office/drawing/2014/chart" uri="{C3380CC4-5D6E-409C-BE32-E72D297353CC}">
                <c16:uniqueId val="{00000005-33FE-4D73-ABB8-6E99B12DBA38}"/>
              </c:ext>
            </c:extLst>
          </c:dPt>
          <c:dLbls>
            <c:dLbl>
              <c:idx val="0"/>
              <c:layout>
                <c:manualLayout>
                  <c:x val="-0.11114005741204805"/>
                  <c:y val="-0.20628083989501311"/>
                </c:manualLayout>
              </c:layout>
              <c:numFmt formatCode="0%" sourceLinked="0"/>
              <c:spPr>
                <a:noFill/>
                <a:ln w="25400">
                  <a:noFill/>
                </a:ln>
              </c:spPr>
              <c:txPr>
                <a:bodyPr/>
                <a:lstStyle/>
                <a:p>
                  <a:pPr>
                    <a:defRPr sz="1000" b="0" i="0" u="none" strike="noStrike" baseline="0">
                      <a:solidFill>
                        <a:srgbClr val="000000"/>
                      </a:solidFill>
                      <a:latin typeface="Arial Narrow"/>
                      <a:ea typeface="Arial Narrow"/>
                      <a:cs typeface="Arial Narrow"/>
                    </a:defRPr>
                  </a:pPr>
                  <a:endParaRPr lang="bg-BG"/>
                </a:p>
              </c:txPr>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33FE-4D73-ABB8-6E99B12DBA38}"/>
                </c:ext>
              </c:extLst>
            </c:dLbl>
            <c:dLbl>
              <c:idx val="1"/>
              <c:layout>
                <c:manualLayout>
                  <c:x val="0.11665363909803241"/>
                  <c:y val="0.12285656080524235"/>
                </c:manualLayout>
              </c:layout>
              <c:numFmt formatCode="0%" sourceLinked="0"/>
              <c:spPr>
                <a:noFill/>
                <a:ln w="25400">
                  <a:noFill/>
                </a:ln>
              </c:spPr>
              <c:txPr>
                <a:bodyPr/>
                <a:lstStyle/>
                <a:p>
                  <a:pPr>
                    <a:defRPr sz="1000" b="0" i="0" u="none" strike="noStrike" baseline="0">
                      <a:solidFill>
                        <a:srgbClr val="000000"/>
                      </a:solidFill>
                      <a:latin typeface="Arial Narrow"/>
                      <a:ea typeface="Arial Narrow"/>
                      <a:cs typeface="Arial Narrow"/>
                    </a:defRPr>
                  </a:pPr>
                  <a:endParaRPr lang="bg-BG"/>
                </a:p>
              </c:txPr>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33FE-4D73-ABB8-6E99B12DBA38}"/>
                </c:ext>
              </c:extLst>
            </c:dLbl>
            <c:dLbl>
              <c:idx val="2"/>
              <c:layout>
                <c:manualLayout>
                  <c:x val="3.8676724375527376E-2"/>
                  <c:y val="-3.5712452610090407E-2"/>
                </c:manualLayout>
              </c:layout>
              <c:numFmt formatCode="0%" sourceLinked="0"/>
              <c:spPr>
                <a:noFill/>
                <a:ln w="25400">
                  <a:noFill/>
                </a:ln>
              </c:spPr>
              <c:txPr>
                <a:bodyPr/>
                <a:lstStyle/>
                <a:p>
                  <a:pPr>
                    <a:defRPr sz="1000" b="0" i="0" u="none" strike="noStrike" baseline="0">
                      <a:solidFill>
                        <a:srgbClr val="000000"/>
                      </a:solidFill>
                      <a:latin typeface="Arial Narrow"/>
                      <a:ea typeface="Arial Narrow"/>
                      <a:cs typeface="Arial Narrow"/>
                    </a:defRPr>
                  </a:pPr>
                  <a:endParaRPr lang="bg-BG"/>
                </a:p>
              </c:txPr>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33FE-4D73-ABB8-6E99B12DBA38}"/>
                </c:ext>
              </c:extLst>
            </c:dLbl>
            <c:numFmt formatCode="0%" sourceLinked="0"/>
            <c:spPr>
              <a:noFill/>
              <a:ln w="25400">
                <a:noFill/>
              </a:ln>
            </c:spPr>
            <c:txPr>
              <a:bodyPr wrap="square" lIns="38100" tIns="19050" rIns="38100" bIns="19050" anchor="ctr">
                <a:spAutoFit/>
              </a:bodyPr>
              <a:lstStyle/>
              <a:p>
                <a:pPr>
                  <a:defRPr sz="1000" b="0" i="0" u="none" strike="noStrike" baseline="0">
                    <a:solidFill>
                      <a:srgbClr val="000000"/>
                    </a:solidFill>
                    <a:latin typeface="Arial Narrow"/>
                    <a:ea typeface="Arial Narrow"/>
                    <a:cs typeface="Arial Narrow"/>
                  </a:defRPr>
                </a:pPr>
                <a:endParaRPr lang="bg-BG"/>
              </a:p>
            </c:txPr>
            <c:showLegendKey val="0"/>
            <c:showVal val="1"/>
            <c:showCatName val="0"/>
            <c:showSerName val="0"/>
            <c:showPercent val="1"/>
            <c:showBubbleSize val="0"/>
            <c:showLeaderLines val="0"/>
            <c:extLst>
              <c:ext xmlns:c15="http://schemas.microsoft.com/office/drawing/2012/chart" uri="{CE6537A1-D6FC-4f65-9D91-7224C49458BB}"/>
            </c:extLst>
          </c:dLbls>
          <c:cat>
            <c:strRef>
              <c:f>Лист1!$A$7:$A$9</c:f>
              <c:strCache>
                <c:ptCount val="3"/>
                <c:pt idx="0">
                  <c:v>Промишлени условия</c:v>
                </c:pt>
                <c:pt idx="1">
                  <c:v>Извънпромишлени условия</c:v>
                </c:pt>
                <c:pt idx="2">
                  <c:v>Други продукти</c:v>
                </c:pt>
              </c:strCache>
            </c:strRef>
          </c:cat>
          <c:val>
            <c:numRef>
              <c:f>Лист1!$B$7:$B$9</c:f>
              <c:numCache>
                <c:formatCode>#,##0</c:formatCode>
                <c:ptCount val="3"/>
                <c:pt idx="0">
                  <c:v>94685</c:v>
                </c:pt>
                <c:pt idx="1">
                  <c:v>28360</c:v>
                </c:pt>
                <c:pt idx="2">
                  <c:v>3149</c:v>
                </c:pt>
              </c:numCache>
            </c:numRef>
          </c:val>
          <c:extLst>
            <c:ext xmlns:c16="http://schemas.microsoft.com/office/drawing/2014/chart" uri="{C3380CC4-5D6E-409C-BE32-E72D297353CC}">
              <c16:uniqueId val="{00000006-33FE-4D73-ABB8-6E99B12DBA38}"/>
            </c:ext>
          </c:extLst>
        </c:ser>
        <c:dLbls>
          <c:showLegendKey val="0"/>
          <c:showVal val="0"/>
          <c:showCatName val="0"/>
          <c:showSerName val="0"/>
          <c:showPercent val="0"/>
          <c:showBubbleSize val="0"/>
          <c:showLeaderLines val="0"/>
        </c:dLbls>
        <c:firstSliceAng val="0"/>
      </c:pieChart>
      <c:spPr>
        <a:noFill/>
        <a:ln w="25400">
          <a:noFill/>
        </a:ln>
      </c:spPr>
    </c:plotArea>
    <c:legend>
      <c:legendPos val="r"/>
      <c:layout>
        <c:manualLayout>
          <c:xMode val="edge"/>
          <c:yMode val="edge"/>
          <c:x val="0.66238026819923368"/>
          <c:y val="0.21142561728395062"/>
          <c:w val="0.28272328231949051"/>
          <c:h val="0.53164938271604933"/>
        </c:manualLayout>
      </c:layout>
      <c:overlay val="0"/>
      <c:spPr>
        <a:solidFill>
          <a:srgbClr val="FFFFFF"/>
        </a:solidFill>
        <a:ln w="25400">
          <a:noFill/>
        </a:ln>
      </c:spPr>
      <c:txPr>
        <a:bodyPr/>
        <a:lstStyle/>
        <a:p>
          <a:pPr>
            <a:defRPr sz="1000" b="0" i="0" u="none" strike="noStrike" baseline="0">
              <a:solidFill>
                <a:srgbClr val="000000"/>
              </a:solidFill>
              <a:latin typeface="Arial Narrow"/>
              <a:ea typeface="Arial Narrow"/>
              <a:cs typeface="Arial Narrow"/>
            </a:defRPr>
          </a:pPr>
          <a:endParaRPr lang="bg-BG"/>
        </a:p>
      </c:txPr>
    </c:legend>
    <c:plotVisOnly val="1"/>
    <c:dispBlanksAs val="zero"/>
    <c:showDLblsOverMax val="0"/>
  </c:chart>
  <c:spPr>
    <a:solidFill>
      <a:srgbClr val="FFFFFF"/>
    </a:solidFill>
    <a:ln w="9525">
      <a:noFill/>
    </a:ln>
  </c:spPr>
  <c:txPr>
    <a:bodyPr/>
    <a:lstStyle/>
    <a:p>
      <a:pPr>
        <a:defRPr sz="1000" b="0" i="0" u="none" strike="noStrike" baseline="0">
          <a:solidFill>
            <a:srgbClr val="000000"/>
          </a:solidFill>
          <a:latin typeface="Arial Narrow"/>
          <a:ea typeface="Arial Narrow"/>
          <a:cs typeface="Arial Narrow"/>
        </a:defRPr>
      </a:pPr>
      <a:endParaRPr lang="bg-BG"/>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751365538767116"/>
          <c:y val="4.8888888888888891E-2"/>
          <c:w val="0.77000922182024545"/>
          <c:h val="0.76319663167104113"/>
        </c:manualLayout>
      </c:layout>
      <c:barChart>
        <c:barDir val="col"/>
        <c:grouping val="clustered"/>
        <c:varyColors val="0"/>
        <c:ser>
          <c:idx val="0"/>
          <c:order val="0"/>
          <c:tx>
            <c:strRef>
              <c:f>графикa!$C$3</c:f>
              <c:strCache>
                <c:ptCount val="1"/>
                <c:pt idx="0">
                  <c:v>2023 г.</c:v>
                </c:pt>
              </c:strCache>
            </c:strRef>
          </c:tx>
          <c:spPr>
            <a:solidFill>
              <a:srgbClr val="4F81BD"/>
            </a:solidFill>
          </c:spPr>
          <c:invertIfNegative val="0"/>
          <c:dLbls>
            <c:dLbl>
              <c:idx val="2"/>
              <c:layout>
                <c:manualLayout>
                  <c:x val="-6.7567567567567571E-3"/>
                  <c:y val="-2.7340332458442694E-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138-42E4-96B7-C21D33E63416}"/>
                </c:ext>
              </c:extLst>
            </c:dLbl>
            <c:dLbl>
              <c:idx val="3"/>
              <c:layout>
                <c:manualLayout>
                  <c:x val="-6.7567567567566739E-3"/>
                  <c:y val="6.9444444444443174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138-42E4-96B7-C21D33E63416}"/>
                </c:ext>
              </c:extLst>
            </c:dLbl>
            <c:spPr>
              <a:noFill/>
              <a:ln>
                <a:noFill/>
              </a:ln>
              <a:effectLst/>
            </c:spPr>
            <c:txPr>
              <a:bodyPr/>
              <a:lstStyle/>
              <a:p>
                <a:pPr>
                  <a:defRPr sz="1000" b="0"/>
                </a:pPr>
                <a:endParaRPr lang="bg-BG"/>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графикa!$A$4:$B$7</c:f>
              <c:multiLvlStrCache>
                <c:ptCount val="4"/>
                <c:lvl>
                  <c:pt idx="0">
                    <c:v>ЕС</c:v>
                  </c:pt>
                  <c:pt idx="1">
                    <c:v>Трети страни</c:v>
                  </c:pt>
                  <c:pt idx="2">
                    <c:v>ЕС</c:v>
                  </c:pt>
                  <c:pt idx="3">
                    <c:v>Трети страни</c:v>
                  </c:pt>
                </c:lvl>
                <c:lvl>
                  <c:pt idx="0">
                    <c:v>Внос</c:v>
                  </c:pt>
                  <c:pt idx="2">
                    <c:v>Износ</c:v>
                  </c:pt>
                </c:lvl>
              </c:multiLvlStrCache>
            </c:multiLvlStrRef>
          </c:cat>
          <c:val>
            <c:numRef>
              <c:f>графикa!$C$4:$C$7</c:f>
              <c:numCache>
                <c:formatCode>#,##0</c:formatCode>
                <c:ptCount val="4"/>
                <c:pt idx="0">
                  <c:v>10850.058000000001</c:v>
                </c:pt>
                <c:pt idx="1">
                  <c:v>2947.819</c:v>
                </c:pt>
                <c:pt idx="2">
                  <c:v>8880.0049999999992</c:v>
                </c:pt>
                <c:pt idx="3">
                  <c:v>3090.1190000000001</c:v>
                </c:pt>
              </c:numCache>
            </c:numRef>
          </c:val>
          <c:extLst>
            <c:ext xmlns:c16="http://schemas.microsoft.com/office/drawing/2014/chart" uri="{C3380CC4-5D6E-409C-BE32-E72D297353CC}">
              <c16:uniqueId val="{00000002-C138-42E4-96B7-C21D33E63416}"/>
            </c:ext>
          </c:extLst>
        </c:ser>
        <c:ser>
          <c:idx val="1"/>
          <c:order val="1"/>
          <c:tx>
            <c:strRef>
              <c:f>графикa!$D$3</c:f>
              <c:strCache>
                <c:ptCount val="1"/>
                <c:pt idx="0">
                  <c:v>2024 г.</c:v>
                </c:pt>
              </c:strCache>
            </c:strRef>
          </c:tx>
          <c:spPr>
            <a:solidFill>
              <a:srgbClr val="C0504D"/>
            </a:solidFill>
          </c:spPr>
          <c:invertIfNegative val="0"/>
          <c:dLbls>
            <c:dLbl>
              <c:idx val="2"/>
              <c:layout>
                <c:manualLayout>
                  <c:x val="9.0090090090090089E-3"/>
                  <c:y val="1.041666666666666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138-42E4-96B7-C21D33E63416}"/>
                </c:ext>
              </c:extLst>
            </c:dLbl>
            <c:dLbl>
              <c:idx val="3"/>
              <c:layout>
                <c:manualLayout>
                  <c:x val="6.7567567567566739E-3"/>
                  <c:y val="6.9444444444444441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138-42E4-96B7-C21D33E63416}"/>
                </c:ext>
              </c:extLst>
            </c:dLbl>
            <c:spPr>
              <a:noFill/>
              <a:ln>
                <a:noFill/>
              </a:ln>
              <a:effectLst/>
            </c:spPr>
            <c:txPr>
              <a:bodyPr/>
              <a:lstStyle/>
              <a:p>
                <a:pPr>
                  <a:defRPr sz="1000" b="0"/>
                </a:pPr>
                <a:endParaRPr lang="bg-BG"/>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графикa!$A$4:$B$7</c:f>
              <c:multiLvlStrCache>
                <c:ptCount val="4"/>
                <c:lvl>
                  <c:pt idx="0">
                    <c:v>ЕС</c:v>
                  </c:pt>
                  <c:pt idx="1">
                    <c:v>Трети страни</c:v>
                  </c:pt>
                  <c:pt idx="2">
                    <c:v>ЕС</c:v>
                  </c:pt>
                  <c:pt idx="3">
                    <c:v>Трети страни</c:v>
                  </c:pt>
                </c:lvl>
                <c:lvl>
                  <c:pt idx="0">
                    <c:v>Внос</c:v>
                  </c:pt>
                  <c:pt idx="2">
                    <c:v>Износ</c:v>
                  </c:pt>
                </c:lvl>
              </c:multiLvlStrCache>
            </c:multiLvlStrRef>
          </c:cat>
          <c:val>
            <c:numRef>
              <c:f>графикa!$D$4:$D$7</c:f>
              <c:numCache>
                <c:formatCode>#,##0</c:formatCode>
                <c:ptCount val="4"/>
                <c:pt idx="0">
                  <c:v>12539.879000000001</c:v>
                </c:pt>
                <c:pt idx="1">
                  <c:v>2319.5100000000002</c:v>
                </c:pt>
                <c:pt idx="2">
                  <c:v>6623.7</c:v>
                </c:pt>
                <c:pt idx="3">
                  <c:v>2060.4760000000001</c:v>
                </c:pt>
              </c:numCache>
            </c:numRef>
          </c:val>
          <c:extLst>
            <c:ext xmlns:c16="http://schemas.microsoft.com/office/drawing/2014/chart" uri="{C3380CC4-5D6E-409C-BE32-E72D297353CC}">
              <c16:uniqueId val="{00000005-C138-42E4-96B7-C21D33E63416}"/>
            </c:ext>
          </c:extLst>
        </c:ser>
        <c:dLbls>
          <c:dLblPos val="outEnd"/>
          <c:showLegendKey val="0"/>
          <c:showVal val="1"/>
          <c:showCatName val="0"/>
          <c:showSerName val="0"/>
          <c:showPercent val="0"/>
          <c:showBubbleSize val="0"/>
        </c:dLbls>
        <c:gapWidth val="150"/>
        <c:axId val="106394624"/>
        <c:axId val="106104512"/>
      </c:barChart>
      <c:catAx>
        <c:axId val="106394624"/>
        <c:scaling>
          <c:orientation val="minMax"/>
        </c:scaling>
        <c:delete val="0"/>
        <c:axPos val="b"/>
        <c:numFmt formatCode="General" sourceLinked="1"/>
        <c:majorTickMark val="out"/>
        <c:minorTickMark val="none"/>
        <c:tickLblPos val="nextTo"/>
        <c:txPr>
          <a:bodyPr/>
          <a:lstStyle/>
          <a:p>
            <a:pPr>
              <a:defRPr b="0"/>
            </a:pPr>
            <a:endParaRPr lang="bg-BG"/>
          </a:p>
        </c:txPr>
        <c:crossAx val="106104512"/>
        <c:crosses val="autoZero"/>
        <c:auto val="1"/>
        <c:lblAlgn val="ctr"/>
        <c:lblOffset val="100"/>
        <c:noMultiLvlLbl val="0"/>
      </c:catAx>
      <c:valAx>
        <c:axId val="106104512"/>
        <c:scaling>
          <c:orientation val="minMax"/>
        </c:scaling>
        <c:delete val="0"/>
        <c:axPos val="l"/>
        <c:numFmt formatCode="#,##0" sourceLinked="1"/>
        <c:majorTickMark val="out"/>
        <c:minorTickMark val="none"/>
        <c:tickLblPos val="nextTo"/>
        <c:crossAx val="106394624"/>
        <c:crosses val="autoZero"/>
        <c:crossBetween val="between"/>
      </c:valAx>
    </c:plotArea>
    <c:legend>
      <c:legendPos val="r"/>
      <c:layout>
        <c:manualLayout>
          <c:xMode val="edge"/>
          <c:yMode val="edge"/>
          <c:x val="0.89191991203802223"/>
          <c:y val="0.40204259623797023"/>
          <c:w val="9.4566574448464211E-2"/>
          <c:h val="0.16466480752405949"/>
        </c:manualLayout>
      </c:layout>
      <c:overlay val="0"/>
      <c:txPr>
        <a:bodyPr/>
        <a:lstStyle/>
        <a:p>
          <a:pPr>
            <a:defRPr b="0"/>
          </a:pPr>
          <a:endParaRPr lang="bg-BG"/>
        </a:p>
      </c:txPr>
    </c:legend>
    <c:plotVisOnly val="1"/>
    <c:dispBlanksAs val="gap"/>
    <c:showDLblsOverMax val="0"/>
  </c:chart>
  <c:spPr>
    <a:ln>
      <a:noFill/>
    </a:ln>
  </c:spPr>
  <c:txPr>
    <a:bodyPr/>
    <a:lstStyle/>
    <a:p>
      <a:pPr>
        <a:defRPr sz="1000">
          <a:latin typeface="Arial Narrow" panose="020B0606020202030204" pitchFamily="34" charset="0"/>
        </a:defRPr>
      </a:pPr>
      <a:endParaRPr lang="bg-BG"/>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786071424329879"/>
          <c:y val="7.1418114541997299E-2"/>
          <c:w val="0.86197337323784762"/>
          <c:h val="0.71055179224487941"/>
        </c:manualLayout>
      </c:layout>
      <c:barChart>
        <c:barDir val="col"/>
        <c:grouping val="clustered"/>
        <c:varyColors val="0"/>
        <c:ser>
          <c:idx val="0"/>
          <c:order val="0"/>
          <c:tx>
            <c:strRef>
              <c:f>'общ внос и износ'!$A$23</c:f>
              <c:strCache>
                <c:ptCount val="1"/>
                <c:pt idx="0">
                  <c:v>Износ </c:v>
                </c:pt>
              </c:strCache>
            </c:strRef>
          </c:tx>
          <c:spPr>
            <a:solidFill>
              <a:schemeClr val="accent3"/>
            </a:solidFill>
          </c:spPr>
          <c:invertIfNegative val="0"/>
          <c:cat>
            <c:numRef>
              <c:f>'общ внос и износ'!$B$22:$F$22</c:f>
              <c:numCache>
                <c:formatCode>General</c:formatCode>
                <c:ptCount val="5"/>
                <c:pt idx="0">
                  <c:v>2020</c:v>
                </c:pt>
                <c:pt idx="1">
                  <c:v>2021</c:v>
                </c:pt>
                <c:pt idx="2">
                  <c:v>2022</c:v>
                </c:pt>
                <c:pt idx="3">
                  <c:v>2023</c:v>
                </c:pt>
                <c:pt idx="4">
                  <c:v>2024</c:v>
                </c:pt>
              </c:numCache>
            </c:numRef>
          </c:cat>
          <c:val>
            <c:numRef>
              <c:f>'общ внос и износ'!$B$23:$F$23</c:f>
              <c:numCache>
                <c:formatCode>#,##0</c:formatCode>
                <c:ptCount val="5"/>
                <c:pt idx="0">
                  <c:v>4786.0519999999997</c:v>
                </c:pt>
                <c:pt idx="1">
                  <c:v>6041.0069999999996</c:v>
                </c:pt>
                <c:pt idx="2">
                  <c:v>8269.9230000000007</c:v>
                </c:pt>
                <c:pt idx="3">
                  <c:v>7941.1220000000003</c:v>
                </c:pt>
                <c:pt idx="4">
                  <c:v>6739.5</c:v>
                </c:pt>
              </c:numCache>
            </c:numRef>
          </c:val>
          <c:extLst>
            <c:ext xmlns:c16="http://schemas.microsoft.com/office/drawing/2014/chart" uri="{C3380CC4-5D6E-409C-BE32-E72D297353CC}">
              <c16:uniqueId val="{00000000-B91B-4EE3-9062-E31CFB4742F2}"/>
            </c:ext>
          </c:extLst>
        </c:ser>
        <c:ser>
          <c:idx val="1"/>
          <c:order val="1"/>
          <c:tx>
            <c:strRef>
              <c:f>'общ внос и износ'!$A$24</c:f>
              <c:strCache>
                <c:ptCount val="1"/>
                <c:pt idx="0">
                  <c:v>Внос</c:v>
                </c:pt>
              </c:strCache>
            </c:strRef>
          </c:tx>
          <c:invertIfNegative val="0"/>
          <c:cat>
            <c:numRef>
              <c:f>'общ внос и износ'!$B$22:$F$22</c:f>
              <c:numCache>
                <c:formatCode>General</c:formatCode>
                <c:ptCount val="5"/>
                <c:pt idx="0">
                  <c:v>2020</c:v>
                </c:pt>
                <c:pt idx="1">
                  <c:v>2021</c:v>
                </c:pt>
                <c:pt idx="2">
                  <c:v>2022</c:v>
                </c:pt>
                <c:pt idx="3">
                  <c:v>2023</c:v>
                </c:pt>
                <c:pt idx="4">
                  <c:v>2024</c:v>
                </c:pt>
              </c:numCache>
            </c:numRef>
          </c:cat>
          <c:val>
            <c:numRef>
              <c:f>'общ внос и износ'!$B$24:$F$24</c:f>
              <c:numCache>
                <c:formatCode>#,##0</c:formatCode>
                <c:ptCount val="5"/>
                <c:pt idx="0">
                  <c:v>3998.7829999999999</c:v>
                </c:pt>
                <c:pt idx="1">
                  <c:v>4418.4629999999997</c:v>
                </c:pt>
                <c:pt idx="2">
                  <c:v>6668.884</c:v>
                </c:pt>
                <c:pt idx="3">
                  <c:v>6201.085</c:v>
                </c:pt>
                <c:pt idx="4">
                  <c:v>6737.3289999999997</c:v>
                </c:pt>
              </c:numCache>
            </c:numRef>
          </c:val>
          <c:extLst>
            <c:ext xmlns:c16="http://schemas.microsoft.com/office/drawing/2014/chart" uri="{C3380CC4-5D6E-409C-BE32-E72D297353CC}">
              <c16:uniqueId val="{00000001-B91B-4EE3-9062-E31CFB4742F2}"/>
            </c:ext>
          </c:extLst>
        </c:ser>
        <c:dLbls>
          <c:showLegendKey val="0"/>
          <c:showVal val="0"/>
          <c:showCatName val="0"/>
          <c:showSerName val="0"/>
          <c:showPercent val="0"/>
          <c:showBubbleSize val="0"/>
        </c:dLbls>
        <c:gapWidth val="150"/>
        <c:axId val="84026880"/>
        <c:axId val="65361536"/>
      </c:barChart>
      <c:lineChart>
        <c:grouping val="standard"/>
        <c:varyColors val="0"/>
        <c:ser>
          <c:idx val="2"/>
          <c:order val="2"/>
          <c:tx>
            <c:strRef>
              <c:f>'общ внос и износ'!$A$25</c:f>
              <c:strCache>
                <c:ptCount val="1"/>
                <c:pt idx="0">
                  <c:v>Салдо</c:v>
                </c:pt>
              </c:strCache>
            </c:strRef>
          </c:tx>
          <c:spPr>
            <a:ln>
              <a:solidFill>
                <a:schemeClr val="tx2"/>
              </a:solidFill>
            </a:ln>
          </c:spPr>
          <c:marker>
            <c:symbol val="diamond"/>
            <c:size val="7"/>
            <c:spPr>
              <a:solidFill>
                <a:schemeClr val="tx2"/>
              </a:solidFill>
              <a:ln>
                <a:solidFill>
                  <a:schemeClr val="tx2"/>
                </a:solidFill>
              </a:ln>
            </c:spPr>
          </c:marker>
          <c:dLbls>
            <c:numFmt formatCode="#,##0.0" sourceLinked="0"/>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c:spPr>
            <c:txPr>
              <a:bodyPr/>
              <a:lstStyle/>
              <a:p>
                <a:pPr>
                  <a:defRPr b="1">
                    <a:solidFill>
                      <a:schemeClr val="tx2"/>
                    </a:solidFill>
                  </a:defRPr>
                </a:pPr>
                <a:endParaRPr lang="bg-BG"/>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'общ внос и износ'!$B$22:$F$22</c:f>
              <c:numCache>
                <c:formatCode>General</c:formatCode>
                <c:ptCount val="5"/>
                <c:pt idx="0">
                  <c:v>2020</c:v>
                </c:pt>
                <c:pt idx="1">
                  <c:v>2021</c:v>
                </c:pt>
                <c:pt idx="2">
                  <c:v>2022</c:v>
                </c:pt>
                <c:pt idx="3">
                  <c:v>2023</c:v>
                </c:pt>
                <c:pt idx="4">
                  <c:v>2024</c:v>
                </c:pt>
              </c:numCache>
            </c:numRef>
          </c:cat>
          <c:val>
            <c:numRef>
              <c:f>'общ внос и износ'!$B$25:$F$25</c:f>
              <c:numCache>
                <c:formatCode>#,##0</c:formatCode>
                <c:ptCount val="5"/>
                <c:pt idx="0">
                  <c:v>787.26900000000001</c:v>
                </c:pt>
                <c:pt idx="1">
                  <c:v>1622.5440000000001</c:v>
                </c:pt>
                <c:pt idx="2">
                  <c:v>1601.039</c:v>
                </c:pt>
                <c:pt idx="3">
                  <c:v>1740.037</c:v>
                </c:pt>
                <c:pt idx="4">
                  <c:v>2.1709999999999998</c:v>
                </c:pt>
              </c:numCache>
            </c:numRef>
          </c:val>
          <c:smooth val="0"/>
          <c:extLst>
            <c:ext xmlns:c16="http://schemas.microsoft.com/office/drawing/2014/chart" uri="{C3380CC4-5D6E-409C-BE32-E72D297353CC}">
              <c16:uniqueId val="{00000002-B91B-4EE3-9062-E31CFB4742F2}"/>
            </c:ext>
          </c:extLst>
        </c:ser>
        <c:dLbls>
          <c:showLegendKey val="0"/>
          <c:showVal val="0"/>
          <c:showCatName val="0"/>
          <c:showSerName val="0"/>
          <c:showPercent val="0"/>
          <c:showBubbleSize val="0"/>
        </c:dLbls>
        <c:marker val="1"/>
        <c:smooth val="0"/>
        <c:axId val="84026880"/>
        <c:axId val="65361536"/>
      </c:lineChart>
      <c:catAx>
        <c:axId val="84026880"/>
        <c:scaling>
          <c:orientation val="minMax"/>
        </c:scaling>
        <c:delete val="0"/>
        <c:axPos val="b"/>
        <c:numFmt formatCode="General" sourceLinked="1"/>
        <c:majorTickMark val="out"/>
        <c:minorTickMark val="none"/>
        <c:tickLblPos val="nextTo"/>
        <c:crossAx val="65361536"/>
        <c:crosses val="autoZero"/>
        <c:auto val="1"/>
        <c:lblAlgn val="ctr"/>
        <c:lblOffset val="100"/>
        <c:noMultiLvlLbl val="0"/>
      </c:catAx>
      <c:valAx>
        <c:axId val="65361536"/>
        <c:scaling>
          <c:orientation val="minMax"/>
        </c:scaling>
        <c:delete val="0"/>
        <c:axPos val="l"/>
        <c:majorGridlines/>
        <c:numFmt formatCode="#,##0" sourceLinked="1"/>
        <c:majorTickMark val="out"/>
        <c:minorTickMark val="none"/>
        <c:tickLblPos val="nextTo"/>
        <c:crossAx val="84026880"/>
        <c:crosses val="autoZero"/>
        <c:crossBetween val="between"/>
      </c:valAx>
    </c:plotArea>
    <c:legend>
      <c:legendPos val="b"/>
      <c:layout>
        <c:manualLayout>
          <c:xMode val="edge"/>
          <c:yMode val="edge"/>
          <c:x val="0.27516706349206349"/>
          <c:y val="0.91811416666666668"/>
          <c:w val="0.46478472222222222"/>
          <c:h val="6.0719166666666664E-2"/>
        </c:manualLayout>
      </c:layout>
      <c:overlay val="0"/>
    </c:legend>
    <c:plotVisOnly val="1"/>
    <c:dispBlanksAs val="gap"/>
    <c:showDLblsOverMax val="0"/>
  </c:chart>
  <c:spPr>
    <a:ln>
      <a:noFill/>
    </a:ln>
  </c:spPr>
  <c:txPr>
    <a:bodyPr/>
    <a:lstStyle/>
    <a:p>
      <a:pPr>
        <a:defRPr sz="1000">
          <a:latin typeface="Arial Narrow" panose="020B0606020202030204" pitchFamily="34" charset="0"/>
        </a:defRPr>
      </a:pPr>
      <a:endParaRPr lang="bg-BG"/>
    </a:p>
  </c:tx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2514019958669362"/>
          <c:y val="9.6370293166573126E-2"/>
          <c:w val="0.54880590277777774"/>
          <c:h val="0.79826313131313131"/>
        </c:manualLayout>
      </c:layout>
      <c:doughnut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3D60-4FEA-AFF5-EB3D0A1737E6}"/>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3D60-4FEA-AFF5-EB3D0A1737E6}"/>
              </c:ext>
            </c:extLst>
          </c:dPt>
          <c:dLbls>
            <c:dLbl>
              <c:idx val="0"/>
              <c:layout>
                <c:manualLayout>
                  <c:x val="-8.9087301587302513E-3"/>
                  <c:y val="2.0708064900978982E-3"/>
                </c:manualLayout>
              </c:layout>
              <c:tx>
                <c:rich>
                  <a:bodyPr rot="0" spcFirstLastPara="1" vertOverflow="ellipsis" vert="horz" wrap="square" lIns="38100" tIns="19050" rIns="38100" bIns="19050" anchor="ctr" anchorCtr="1">
                    <a:noAutofit/>
                  </a:bodyPr>
                  <a:lstStyle/>
                  <a:p>
                    <a:pPr>
                      <a:defRPr sz="1000" b="1" i="0" u="none" strike="noStrike" kern="1200" baseline="0">
                        <a:solidFill>
                          <a:schemeClr val="bg1"/>
                        </a:solidFill>
                        <a:latin typeface="Arial Narrow" panose="020B0606020202030204" pitchFamily="34" charset="0"/>
                        <a:ea typeface="+mn-ea"/>
                        <a:cs typeface="+mn-cs"/>
                      </a:defRPr>
                    </a:pPr>
                    <a:fld id="{D9B74C1D-89B0-44C9-80DF-5791E718FF3A}" type="CATEGORYNAME">
                      <a:rPr lang="bg-BG"/>
                      <a:pPr>
                        <a:defRPr b="1">
                          <a:solidFill>
                            <a:schemeClr val="bg1"/>
                          </a:solidFill>
                        </a:defRPr>
                      </a:pPr>
                      <a:t>[CATEGORY NAME]</a:t>
                    </a:fld>
                    <a:endParaRPr lang="bg-BG" baseline="0"/>
                  </a:p>
                  <a:p>
                    <a:pPr>
                      <a:defRPr b="1">
                        <a:solidFill>
                          <a:schemeClr val="bg1"/>
                        </a:solidFill>
                      </a:defRPr>
                    </a:pPr>
                    <a:fld id="{EBE15798-797F-4024-9B38-1C41F4C629F6}" type="VALUE">
                      <a:rPr lang="bg-BG"/>
                      <a:pPr>
                        <a:defRPr b="1">
                          <a:solidFill>
                            <a:schemeClr val="bg1"/>
                          </a:solidFill>
                        </a:defRPr>
                      </a:pPr>
                      <a:t>[VALUE]</a:t>
                    </a:fld>
                    <a:r>
                      <a:rPr lang="bg-BG"/>
                      <a:t> млн. евро</a:t>
                    </a:r>
                    <a:endParaRPr lang="bg-BG" baseline="0"/>
                  </a:p>
                  <a:p>
                    <a:pPr>
                      <a:defRPr b="1">
                        <a:solidFill>
                          <a:schemeClr val="bg1"/>
                        </a:solidFill>
                      </a:defRPr>
                    </a:pPr>
                    <a:fld id="{C37B0D40-F9A2-4B7E-A9A1-645539467752}" type="PERCENTAGE">
                      <a:rPr lang="bg-BG"/>
                      <a:pPr>
                        <a:defRPr b="1">
                          <a:solidFill>
                            <a:schemeClr val="bg1"/>
                          </a:solidFill>
                        </a:defRPr>
                      </a:pPr>
                      <a:t>[PERCENTAGE]</a:t>
                    </a:fld>
                    <a:endParaRPr lang="bg-BG"/>
                  </a:p>
                </c:rich>
              </c:tx>
              <c:numFmt formatCode="0.0%" sourceLinked="0"/>
              <c:spPr>
                <a:noFill/>
                <a:ln>
                  <a:noFill/>
                </a:ln>
                <a:effectLst/>
              </c:spPr>
              <c:txPr>
                <a:bodyPr rot="0" spcFirstLastPara="1" vertOverflow="ellipsis" vert="horz" wrap="square" lIns="38100" tIns="19050" rIns="38100" bIns="19050" anchor="ctr" anchorCtr="1">
                  <a:noAutofit/>
                </a:bodyPr>
                <a:lstStyle/>
                <a:p>
                  <a:pPr>
                    <a:defRPr sz="1000" b="1" i="0" u="none" strike="noStrike" kern="1200" baseline="0">
                      <a:solidFill>
                        <a:schemeClr val="bg1"/>
                      </a:solidFill>
                      <a:latin typeface="Arial Narrow" panose="020B0606020202030204" pitchFamily="34" charset="0"/>
                      <a:ea typeface="+mn-ea"/>
                      <a:cs typeface="+mn-cs"/>
                    </a:defRPr>
                  </a:pPr>
                  <a:endParaRPr lang="bg-BG"/>
                </a:p>
              </c:txPr>
              <c:showLegendKey val="0"/>
              <c:showVal val="1"/>
              <c:showCatName val="1"/>
              <c:showSerName val="0"/>
              <c:showPercent val="1"/>
              <c:showBubbleSize val="0"/>
              <c:separator>
</c:separator>
              <c:extLst>
                <c:ext xmlns:c15="http://schemas.microsoft.com/office/drawing/2012/chart" uri="{CE6537A1-D6FC-4f65-9D91-7224C49458BB}">
                  <c15:layout>
                    <c:manualLayout>
                      <c:w val="0.17434781746031747"/>
                      <c:h val="0.25699445239799573"/>
                    </c:manualLayout>
                  </c15:layout>
                  <c15:dlblFieldTable/>
                  <c15:showDataLabelsRange val="0"/>
                </c:ext>
                <c:ext xmlns:c16="http://schemas.microsoft.com/office/drawing/2014/chart" uri="{C3380CC4-5D6E-409C-BE32-E72D297353CC}">
                  <c16:uniqueId val="{00000001-3D60-4FEA-AFF5-EB3D0A1737E6}"/>
                </c:ext>
              </c:extLst>
            </c:dLbl>
            <c:dLbl>
              <c:idx val="1"/>
              <c:layout>
                <c:manualLayout>
                  <c:x val="4.875079256260695E-3"/>
                  <c:y val="4.7348783106657147E-2"/>
                </c:manualLayout>
              </c:layout>
              <c:tx>
                <c:rich>
                  <a:bodyPr rot="0" spcFirstLastPara="1" vertOverflow="ellipsis" vert="horz" wrap="square" lIns="38100" tIns="19050" rIns="38100" bIns="19050" anchor="ctr" anchorCtr="1">
                    <a:noAutofit/>
                  </a:bodyPr>
                  <a:lstStyle/>
                  <a:p>
                    <a:pPr>
                      <a:defRPr sz="1000" b="1" i="0" u="none" strike="noStrike" kern="1200" baseline="0">
                        <a:solidFill>
                          <a:schemeClr val="bg1"/>
                        </a:solidFill>
                        <a:latin typeface="Arial Narrow" panose="020B0606020202030204" pitchFamily="34" charset="0"/>
                        <a:ea typeface="+mn-ea"/>
                        <a:cs typeface="+mn-cs"/>
                      </a:defRPr>
                    </a:pPr>
                    <a:fld id="{FC53FE09-3B0D-4515-9DD8-8E530C9702C6}" type="CATEGORYNAME">
                      <a:rPr lang="bg-BG"/>
                      <a:pPr>
                        <a:defRPr b="1">
                          <a:solidFill>
                            <a:schemeClr val="bg1"/>
                          </a:solidFill>
                        </a:defRPr>
                      </a:pPr>
                      <a:t>[CATEGORY NAME]</a:t>
                    </a:fld>
                    <a:endParaRPr lang="bg-BG" baseline="0"/>
                  </a:p>
                  <a:p>
                    <a:pPr>
                      <a:defRPr b="1">
                        <a:solidFill>
                          <a:schemeClr val="bg1"/>
                        </a:solidFill>
                      </a:defRPr>
                    </a:pPr>
                    <a:fld id="{72600A64-22D2-4A03-BCFA-49D9477C65D2}" type="VALUE">
                      <a:rPr lang="bg-BG"/>
                      <a:pPr>
                        <a:defRPr b="1">
                          <a:solidFill>
                            <a:schemeClr val="bg1"/>
                          </a:solidFill>
                        </a:defRPr>
                      </a:pPr>
                      <a:t>[VALUE]</a:t>
                    </a:fld>
                    <a:r>
                      <a:rPr lang="bg-BG"/>
                      <a:t> млн. евро</a:t>
                    </a:r>
                    <a:endParaRPr lang="bg-BG" baseline="0"/>
                  </a:p>
                  <a:p>
                    <a:pPr>
                      <a:defRPr b="1">
                        <a:solidFill>
                          <a:schemeClr val="bg1"/>
                        </a:solidFill>
                      </a:defRPr>
                    </a:pPr>
                    <a:fld id="{FABF06DA-4DCA-4E2A-93E1-ED295B24C8C1}" type="PERCENTAGE">
                      <a:rPr lang="bg-BG"/>
                      <a:pPr>
                        <a:defRPr b="1">
                          <a:solidFill>
                            <a:schemeClr val="bg1"/>
                          </a:solidFill>
                        </a:defRPr>
                      </a:pPr>
                      <a:t>[PERCENTAGE]</a:t>
                    </a:fld>
                    <a:endParaRPr lang="bg-BG"/>
                  </a:p>
                </c:rich>
              </c:tx>
              <c:numFmt formatCode="0.0%" sourceLinked="0"/>
              <c:spPr>
                <a:noFill/>
                <a:ln>
                  <a:noFill/>
                </a:ln>
                <a:effectLst/>
              </c:spPr>
              <c:txPr>
                <a:bodyPr rot="0" spcFirstLastPara="1" vertOverflow="ellipsis" vert="horz" wrap="square" lIns="38100" tIns="19050" rIns="38100" bIns="19050" anchor="ctr" anchorCtr="1">
                  <a:noAutofit/>
                </a:bodyPr>
                <a:lstStyle/>
                <a:p>
                  <a:pPr>
                    <a:defRPr sz="1000" b="1" i="0" u="none" strike="noStrike" kern="1200" baseline="0">
                      <a:solidFill>
                        <a:schemeClr val="bg1"/>
                      </a:solidFill>
                      <a:latin typeface="Arial Narrow" panose="020B0606020202030204" pitchFamily="34" charset="0"/>
                      <a:ea typeface="+mn-ea"/>
                      <a:cs typeface="+mn-cs"/>
                    </a:defRPr>
                  </a:pPr>
                  <a:endParaRPr lang="bg-BG"/>
                </a:p>
              </c:txPr>
              <c:showLegendKey val="0"/>
              <c:showVal val="1"/>
              <c:showCatName val="1"/>
              <c:showSerName val="0"/>
              <c:showPercent val="1"/>
              <c:showBubbleSize val="0"/>
              <c:separator>
</c:separator>
              <c:extLst>
                <c:ext xmlns:c15="http://schemas.microsoft.com/office/drawing/2012/chart" uri="{CE6537A1-D6FC-4f65-9D91-7224C49458BB}">
                  <c15:layout>
                    <c:manualLayout>
                      <c:w val="0.14881170634920635"/>
                      <c:h val="0.25539787640181338"/>
                    </c:manualLayout>
                  </c15:layout>
                  <c15:dlblFieldTable/>
                  <c15:showDataLabelsRange val="0"/>
                </c:ext>
                <c:ext xmlns:c16="http://schemas.microsoft.com/office/drawing/2014/chart" uri="{C3380CC4-5D6E-409C-BE32-E72D297353CC}">
                  <c16:uniqueId val="{00000003-3D60-4FEA-AFF5-EB3D0A1737E6}"/>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Arial Narrow" panose="020B0606020202030204" pitchFamily="34" charset="0"/>
                    <a:ea typeface="+mn-ea"/>
                    <a:cs typeface="+mn-cs"/>
                  </a:defRPr>
                </a:pPr>
                <a:endParaRPr lang="bg-BG"/>
              </a:p>
            </c:txPr>
            <c:showLegendKey val="0"/>
            <c:showVal val="1"/>
            <c:showCatName val="1"/>
            <c:showSerName val="0"/>
            <c:showPercent val="1"/>
            <c:showBubbleSize val="0"/>
            <c:separator>
</c:separator>
            <c:showLeaderLines val="0"/>
            <c:extLst>
              <c:ext xmlns:c15="http://schemas.microsoft.com/office/drawing/2012/chart" uri="{CE6537A1-D6FC-4f65-9D91-7224C49458BB}"/>
            </c:extLst>
          </c:dLbls>
          <c:cat>
            <c:strRef>
              <c:f>'внос - износ по страни 3'!$K$49:$K$50</c:f>
              <c:strCache>
                <c:ptCount val="2"/>
                <c:pt idx="0">
                  <c:v>ЕС-27</c:v>
                </c:pt>
                <c:pt idx="1">
                  <c:v>Трети страни</c:v>
                </c:pt>
              </c:strCache>
            </c:strRef>
          </c:cat>
          <c:val>
            <c:numRef>
              <c:f>'внос - износ по страни 3'!$L$49:$L$50</c:f>
              <c:numCache>
                <c:formatCode>#,##0.0</c:formatCode>
                <c:ptCount val="2"/>
                <c:pt idx="0">
                  <c:v>3626.8709720000002</c:v>
                </c:pt>
                <c:pt idx="1">
                  <c:v>3112.6260639999996</c:v>
                </c:pt>
              </c:numCache>
            </c:numRef>
          </c:val>
          <c:extLst>
            <c:ext xmlns:c16="http://schemas.microsoft.com/office/drawing/2014/chart" uri="{C3380CC4-5D6E-409C-BE32-E72D297353CC}">
              <c16:uniqueId val="{00000004-3D60-4FEA-AFF5-EB3D0A1737E6}"/>
            </c:ext>
          </c:extLst>
        </c:ser>
        <c:dLbls>
          <c:showLegendKey val="0"/>
          <c:showVal val="0"/>
          <c:showCatName val="0"/>
          <c:showSerName val="0"/>
          <c:showPercent val="0"/>
          <c:showBubbleSize val="0"/>
          <c:showLeaderLines val="0"/>
        </c:dLbls>
        <c:firstSliceAng val="0"/>
        <c:holeSize val="38"/>
      </c:doughnut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000">
          <a:latin typeface="Arial Narrow" panose="020B0606020202030204" pitchFamily="34" charset="0"/>
        </a:defRPr>
      </a:pPr>
      <a:endParaRPr lang="bg-BG"/>
    </a:p>
  </c:txPr>
  <c:externalData r:id="rId4">
    <c:autoUpdate val="0"/>
  </c:externalData>
  <c:userShapes r:id="rId5"/>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2514019958669362"/>
          <c:y val="9.6370293166573126E-2"/>
          <c:w val="0.54880590277777774"/>
          <c:h val="0.79826313131313131"/>
        </c:manualLayout>
      </c:layout>
      <c:doughnut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B082-4E43-BDD0-38885C2E9F41}"/>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B082-4E43-BDD0-38885C2E9F41}"/>
              </c:ext>
            </c:extLst>
          </c:dPt>
          <c:dLbls>
            <c:dLbl>
              <c:idx val="0"/>
              <c:layout>
                <c:manualLayout>
                  <c:x val="-8.9087301587302513E-3"/>
                  <c:y val="2.0708064900978982E-3"/>
                </c:manualLayout>
              </c:layout>
              <c:tx>
                <c:rich>
                  <a:bodyPr rot="0" spcFirstLastPara="1" vertOverflow="ellipsis" vert="horz" wrap="square" lIns="38100" tIns="19050" rIns="38100" bIns="19050" anchor="ctr" anchorCtr="1">
                    <a:noAutofit/>
                  </a:bodyPr>
                  <a:lstStyle/>
                  <a:p>
                    <a:pPr>
                      <a:defRPr sz="1000" b="1" i="0" u="none" strike="noStrike" kern="1200" baseline="0">
                        <a:solidFill>
                          <a:schemeClr val="bg1"/>
                        </a:solidFill>
                        <a:latin typeface="Arial Narrow" panose="020B0606020202030204" pitchFamily="34" charset="0"/>
                        <a:ea typeface="+mn-ea"/>
                        <a:cs typeface="+mn-cs"/>
                      </a:defRPr>
                    </a:pPr>
                    <a:fld id="{D9B74C1D-89B0-44C9-80DF-5791E718FF3A}" type="CATEGORYNAME">
                      <a:rPr lang="bg-BG"/>
                      <a:pPr>
                        <a:defRPr b="1">
                          <a:solidFill>
                            <a:schemeClr val="bg1"/>
                          </a:solidFill>
                        </a:defRPr>
                      </a:pPr>
                      <a:t>[CATEGORY NAME]</a:t>
                    </a:fld>
                    <a:endParaRPr lang="bg-BG" baseline="0"/>
                  </a:p>
                  <a:p>
                    <a:pPr>
                      <a:defRPr b="1">
                        <a:solidFill>
                          <a:schemeClr val="bg1"/>
                        </a:solidFill>
                      </a:defRPr>
                    </a:pPr>
                    <a:fld id="{EBE15798-797F-4024-9B38-1C41F4C629F6}" type="VALUE">
                      <a:rPr lang="bg-BG"/>
                      <a:pPr>
                        <a:defRPr b="1">
                          <a:solidFill>
                            <a:schemeClr val="bg1"/>
                          </a:solidFill>
                        </a:defRPr>
                      </a:pPr>
                      <a:t>[VALUE]</a:t>
                    </a:fld>
                    <a:r>
                      <a:rPr lang="bg-BG"/>
                      <a:t> млн. евро</a:t>
                    </a:r>
                    <a:endParaRPr lang="bg-BG" baseline="0"/>
                  </a:p>
                  <a:p>
                    <a:pPr>
                      <a:defRPr b="1">
                        <a:solidFill>
                          <a:schemeClr val="bg1"/>
                        </a:solidFill>
                      </a:defRPr>
                    </a:pPr>
                    <a:fld id="{C37B0D40-F9A2-4B7E-A9A1-645539467752}" type="PERCENTAGE">
                      <a:rPr lang="bg-BG"/>
                      <a:pPr>
                        <a:defRPr b="1">
                          <a:solidFill>
                            <a:schemeClr val="bg1"/>
                          </a:solidFill>
                        </a:defRPr>
                      </a:pPr>
                      <a:t>[PERCENTAGE]</a:t>
                    </a:fld>
                    <a:endParaRPr lang="bg-BG"/>
                  </a:p>
                </c:rich>
              </c:tx>
              <c:numFmt formatCode="0.0%" sourceLinked="0"/>
              <c:spPr>
                <a:noFill/>
                <a:ln>
                  <a:noFill/>
                </a:ln>
                <a:effectLst/>
              </c:spPr>
              <c:txPr>
                <a:bodyPr rot="0" spcFirstLastPara="1" vertOverflow="ellipsis" vert="horz" wrap="square" lIns="38100" tIns="19050" rIns="38100" bIns="19050" anchor="ctr" anchorCtr="1">
                  <a:noAutofit/>
                </a:bodyPr>
                <a:lstStyle/>
                <a:p>
                  <a:pPr>
                    <a:defRPr sz="1000" b="1" i="0" u="none" strike="noStrike" kern="1200" baseline="0">
                      <a:solidFill>
                        <a:schemeClr val="bg1"/>
                      </a:solidFill>
                      <a:latin typeface="Arial Narrow" panose="020B0606020202030204" pitchFamily="34" charset="0"/>
                      <a:ea typeface="+mn-ea"/>
                      <a:cs typeface="+mn-cs"/>
                    </a:defRPr>
                  </a:pPr>
                  <a:endParaRPr lang="bg-BG"/>
                </a:p>
              </c:txPr>
              <c:showLegendKey val="0"/>
              <c:showVal val="1"/>
              <c:showCatName val="1"/>
              <c:showSerName val="0"/>
              <c:showPercent val="1"/>
              <c:showBubbleSize val="0"/>
              <c:separator>
</c:separator>
              <c:extLst>
                <c:ext xmlns:c15="http://schemas.microsoft.com/office/drawing/2012/chart" uri="{CE6537A1-D6FC-4f65-9D91-7224C49458BB}">
                  <c15:layout>
                    <c:manualLayout>
                      <c:w val="0.17434781746031747"/>
                      <c:h val="0.25699445239799573"/>
                    </c:manualLayout>
                  </c15:layout>
                  <c15:dlblFieldTable/>
                  <c15:showDataLabelsRange val="0"/>
                </c:ext>
                <c:ext xmlns:c16="http://schemas.microsoft.com/office/drawing/2014/chart" uri="{C3380CC4-5D6E-409C-BE32-E72D297353CC}">
                  <c16:uniqueId val="{00000001-B082-4E43-BDD0-38885C2E9F41}"/>
                </c:ext>
              </c:extLst>
            </c:dLbl>
            <c:dLbl>
              <c:idx val="1"/>
              <c:layout>
                <c:manualLayout>
                  <c:x val="4.875079256260695E-3"/>
                  <c:y val="4.7348783106657147E-2"/>
                </c:manualLayout>
              </c:layout>
              <c:tx>
                <c:rich>
                  <a:bodyPr rot="0" spcFirstLastPara="1" vertOverflow="ellipsis" vert="horz" wrap="square" lIns="38100" tIns="19050" rIns="38100" bIns="19050" anchor="ctr" anchorCtr="1">
                    <a:noAutofit/>
                  </a:bodyPr>
                  <a:lstStyle/>
                  <a:p>
                    <a:pPr>
                      <a:defRPr sz="1000" b="1" i="0" u="none" strike="noStrike" kern="1200" baseline="0">
                        <a:solidFill>
                          <a:schemeClr val="bg1"/>
                        </a:solidFill>
                        <a:latin typeface="Arial Narrow" panose="020B0606020202030204" pitchFamily="34" charset="0"/>
                        <a:ea typeface="+mn-ea"/>
                        <a:cs typeface="+mn-cs"/>
                      </a:defRPr>
                    </a:pPr>
                    <a:fld id="{FC53FE09-3B0D-4515-9DD8-8E530C9702C6}" type="CATEGORYNAME">
                      <a:rPr lang="bg-BG"/>
                      <a:pPr>
                        <a:defRPr b="1">
                          <a:solidFill>
                            <a:schemeClr val="bg1"/>
                          </a:solidFill>
                        </a:defRPr>
                      </a:pPr>
                      <a:t>[CATEGORY NAME]</a:t>
                    </a:fld>
                    <a:endParaRPr lang="bg-BG" baseline="0"/>
                  </a:p>
                  <a:p>
                    <a:pPr>
                      <a:defRPr b="1">
                        <a:solidFill>
                          <a:schemeClr val="bg1"/>
                        </a:solidFill>
                      </a:defRPr>
                    </a:pPr>
                    <a:fld id="{72600A64-22D2-4A03-BCFA-49D9477C65D2}" type="VALUE">
                      <a:rPr lang="bg-BG"/>
                      <a:pPr>
                        <a:defRPr b="1">
                          <a:solidFill>
                            <a:schemeClr val="bg1"/>
                          </a:solidFill>
                        </a:defRPr>
                      </a:pPr>
                      <a:t>[VALUE]</a:t>
                    </a:fld>
                    <a:r>
                      <a:rPr lang="bg-BG"/>
                      <a:t> млн. евро</a:t>
                    </a:r>
                    <a:endParaRPr lang="bg-BG" baseline="0"/>
                  </a:p>
                  <a:p>
                    <a:pPr>
                      <a:defRPr b="1">
                        <a:solidFill>
                          <a:schemeClr val="bg1"/>
                        </a:solidFill>
                      </a:defRPr>
                    </a:pPr>
                    <a:fld id="{FABF06DA-4DCA-4E2A-93E1-ED295B24C8C1}" type="PERCENTAGE">
                      <a:rPr lang="bg-BG"/>
                      <a:pPr>
                        <a:defRPr b="1">
                          <a:solidFill>
                            <a:schemeClr val="bg1"/>
                          </a:solidFill>
                        </a:defRPr>
                      </a:pPr>
                      <a:t>[PERCENTAGE]</a:t>
                    </a:fld>
                    <a:endParaRPr lang="bg-BG"/>
                  </a:p>
                </c:rich>
              </c:tx>
              <c:numFmt formatCode="0.0%" sourceLinked="0"/>
              <c:spPr>
                <a:noFill/>
                <a:ln>
                  <a:noFill/>
                </a:ln>
                <a:effectLst/>
              </c:spPr>
              <c:txPr>
                <a:bodyPr rot="0" spcFirstLastPara="1" vertOverflow="ellipsis" vert="horz" wrap="square" lIns="38100" tIns="19050" rIns="38100" bIns="19050" anchor="ctr" anchorCtr="1">
                  <a:noAutofit/>
                </a:bodyPr>
                <a:lstStyle/>
                <a:p>
                  <a:pPr>
                    <a:defRPr sz="1000" b="1" i="0" u="none" strike="noStrike" kern="1200" baseline="0">
                      <a:solidFill>
                        <a:schemeClr val="bg1"/>
                      </a:solidFill>
                      <a:latin typeface="Arial Narrow" panose="020B0606020202030204" pitchFamily="34" charset="0"/>
                      <a:ea typeface="+mn-ea"/>
                      <a:cs typeface="+mn-cs"/>
                    </a:defRPr>
                  </a:pPr>
                  <a:endParaRPr lang="bg-BG"/>
                </a:p>
              </c:txPr>
              <c:showLegendKey val="0"/>
              <c:showVal val="1"/>
              <c:showCatName val="1"/>
              <c:showSerName val="0"/>
              <c:showPercent val="1"/>
              <c:showBubbleSize val="0"/>
              <c:separator>
</c:separator>
              <c:extLst>
                <c:ext xmlns:c15="http://schemas.microsoft.com/office/drawing/2012/chart" uri="{CE6537A1-D6FC-4f65-9D91-7224C49458BB}">
                  <c15:layout>
                    <c:manualLayout>
                      <c:w val="0.14881170634920635"/>
                      <c:h val="0.25539787640181338"/>
                    </c:manualLayout>
                  </c15:layout>
                  <c15:dlblFieldTable/>
                  <c15:showDataLabelsRange val="0"/>
                </c:ext>
                <c:ext xmlns:c16="http://schemas.microsoft.com/office/drawing/2014/chart" uri="{C3380CC4-5D6E-409C-BE32-E72D297353CC}">
                  <c16:uniqueId val="{00000003-B082-4E43-BDD0-38885C2E9F41}"/>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Arial Narrow" panose="020B0606020202030204" pitchFamily="34" charset="0"/>
                    <a:ea typeface="+mn-ea"/>
                    <a:cs typeface="+mn-cs"/>
                  </a:defRPr>
                </a:pPr>
                <a:endParaRPr lang="bg-BG"/>
              </a:p>
            </c:txPr>
            <c:showLegendKey val="0"/>
            <c:showVal val="1"/>
            <c:showCatName val="1"/>
            <c:showSerName val="0"/>
            <c:showPercent val="1"/>
            <c:showBubbleSize val="0"/>
            <c:separator>
</c:separator>
            <c:showLeaderLines val="0"/>
            <c:extLst>
              <c:ext xmlns:c15="http://schemas.microsoft.com/office/drawing/2012/chart" uri="{CE6537A1-D6FC-4f65-9D91-7224C49458BB}"/>
            </c:extLst>
          </c:dLbls>
          <c:cat>
            <c:strRef>
              <c:f>'внос - износ по страни 3'!$K$6:$K$7</c:f>
              <c:strCache>
                <c:ptCount val="2"/>
                <c:pt idx="0">
                  <c:v>ЕС-27</c:v>
                </c:pt>
                <c:pt idx="1">
                  <c:v>Трети страни</c:v>
                </c:pt>
              </c:strCache>
            </c:strRef>
          </c:cat>
          <c:val>
            <c:numRef>
              <c:f>'внос - износ по страни 3'!$L$6:$L$7</c:f>
              <c:numCache>
                <c:formatCode>#\ ##0.0</c:formatCode>
                <c:ptCount val="2"/>
                <c:pt idx="0">
                  <c:v>4809.7529999999997</c:v>
                </c:pt>
                <c:pt idx="1">
                  <c:v>1927.575</c:v>
                </c:pt>
              </c:numCache>
            </c:numRef>
          </c:val>
          <c:extLst>
            <c:ext xmlns:c16="http://schemas.microsoft.com/office/drawing/2014/chart" uri="{C3380CC4-5D6E-409C-BE32-E72D297353CC}">
              <c16:uniqueId val="{00000004-B082-4E43-BDD0-38885C2E9F41}"/>
            </c:ext>
          </c:extLst>
        </c:ser>
        <c:dLbls>
          <c:showLegendKey val="0"/>
          <c:showVal val="0"/>
          <c:showCatName val="0"/>
          <c:showSerName val="0"/>
          <c:showPercent val="0"/>
          <c:showBubbleSize val="0"/>
          <c:showLeaderLines val="0"/>
        </c:dLbls>
        <c:firstSliceAng val="0"/>
        <c:holeSize val="38"/>
      </c:doughnut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000">
          <a:latin typeface="Arial Narrow" panose="020B0606020202030204" pitchFamily="34" charset="0"/>
        </a:defRPr>
      </a:pPr>
      <a:endParaRPr lang="bg-BG"/>
    </a:p>
  </c:txPr>
  <c:externalData r:id="rId4">
    <c:autoUpdate val="0"/>
  </c:externalData>
  <c:userShapes r:id="rId5"/>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2"/>
          <c:order val="0"/>
          <c:tx>
            <c:strRef>
              <c:f>'графики вет дейност'!$G$8</c:f>
              <c:strCache>
                <c:ptCount val="1"/>
                <c:pt idx="0">
                  <c:v>2024</c:v>
                </c:pt>
              </c:strCache>
            </c:strRef>
          </c:tx>
          <c:spPr>
            <a:solidFill>
              <a:srgbClr val="9BBB59"/>
            </a:solidFill>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'графики вет дейност'!$D$9:$D$11</c:f>
              <c:strCache>
                <c:ptCount val="3"/>
                <c:pt idx="0">
                  <c:v>Проверки</c:v>
                </c:pt>
                <c:pt idx="1">
                  <c:v>Предписания</c:v>
                </c:pt>
                <c:pt idx="2">
                  <c:v>АУАН</c:v>
                </c:pt>
              </c:strCache>
            </c:strRef>
          </c:cat>
          <c:val>
            <c:numRef>
              <c:f>'графики вет дейност'!$G$9:$G$11</c:f>
              <c:numCache>
                <c:formatCode>#,##0</c:formatCode>
                <c:ptCount val="3"/>
                <c:pt idx="0">
                  <c:v>6492</c:v>
                </c:pt>
                <c:pt idx="1">
                  <c:v>536</c:v>
                </c:pt>
                <c:pt idx="2">
                  <c:v>93</c:v>
                </c:pt>
              </c:numCache>
            </c:numRef>
          </c:val>
          <c:extLst>
            <c:ext xmlns:c16="http://schemas.microsoft.com/office/drawing/2014/chart" uri="{C3380CC4-5D6E-409C-BE32-E72D297353CC}">
              <c16:uniqueId val="{00000000-E0BD-400B-B1F8-A1F6C493CDD7}"/>
            </c:ext>
          </c:extLst>
        </c:ser>
        <c:ser>
          <c:idx val="0"/>
          <c:order val="1"/>
          <c:tx>
            <c:strRef>
              <c:f>'графики вет дейност'!$F$8</c:f>
              <c:strCache>
                <c:ptCount val="1"/>
                <c:pt idx="0">
                  <c:v>2023</c:v>
                </c:pt>
              </c:strCache>
            </c:strRef>
          </c:tx>
          <c:spPr>
            <a:solidFill>
              <a:srgbClr val="C0504D"/>
            </a:solidFill>
            <a:ln>
              <a:noFill/>
            </a:ln>
            <a:effectLst/>
          </c:spPr>
          <c:invertIfNegative val="0"/>
          <c:dLbls>
            <c:spPr>
              <a:noFill/>
              <a:ln>
                <a:noFill/>
              </a:ln>
              <a:effectLst/>
            </c:spPr>
            <c:txPr>
              <a:bodyPr rot="0" vert="horz"/>
              <a:lstStyle/>
              <a:p>
                <a:pPr>
                  <a:defRPr/>
                </a:pPr>
                <a:endParaRPr lang="bg-BG"/>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'графики вет дейност'!$D$9:$D$11</c:f>
              <c:strCache>
                <c:ptCount val="3"/>
                <c:pt idx="0">
                  <c:v>Проверки</c:v>
                </c:pt>
                <c:pt idx="1">
                  <c:v>Предписания</c:v>
                </c:pt>
                <c:pt idx="2">
                  <c:v>АУАН</c:v>
                </c:pt>
              </c:strCache>
            </c:strRef>
          </c:cat>
          <c:val>
            <c:numRef>
              <c:f>'графики вет дейност'!$F$9:$F$11</c:f>
              <c:numCache>
                <c:formatCode>#,##0</c:formatCode>
                <c:ptCount val="3"/>
                <c:pt idx="0">
                  <c:v>7631</c:v>
                </c:pt>
                <c:pt idx="1">
                  <c:v>678</c:v>
                </c:pt>
                <c:pt idx="2">
                  <c:v>105</c:v>
                </c:pt>
              </c:numCache>
            </c:numRef>
          </c:val>
          <c:extLst>
            <c:ext xmlns:c16="http://schemas.microsoft.com/office/drawing/2014/chart" uri="{C3380CC4-5D6E-409C-BE32-E72D297353CC}">
              <c16:uniqueId val="{00000001-E0BD-400B-B1F8-A1F6C493CDD7}"/>
            </c:ext>
          </c:extLst>
        </c:ser>
        <c:ser>
          <c:idx val="1"/>
          <c:order val="2"/>
          <c:tx>
            <c:strRef>
              <c:f>'графики вет дейност'!$E$8</c:f>
              <c:strCache>
                <c:ptCount val="1"/>
                <c:pt idx="0">
                  <c:v>2022</c:v>
                </c:pt>
              </c:strCache>
            </c:strRef>
          </c:tx>
          <c:spPr>
            <a:solidFill>
              <a:srgbClr val="5B9BD5"/>
            </a:solidFill>
            <a:ln>
              <a:noFill/>
            </a:ln>
            <a:effectLst/>
          </c:spPr>
          <c:invertIfNegative val="0"/>
          <c:dLbls>
            <c:spPr>
              <a:noFill/>
              <a:ln>
                <a:noFill/>
              </a:ln>
              <a:effectLst/>
            </c:spPr>
            <c:txPr>
              <a:bodyPr rot="0" vert="horz"/>
              <a:lstStyle/>
              <a:p>
                <a:pPr>
                  <a:defRPr/>
                </a:pPr>
                <a:endParaRPr lang="bg-BG"/>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'графики вет дейност'!$D$9:$D$11</c:f>
              <c:strCache>
                <c:ptCount val="3"/>
                <c:pt idx="0">
                  <c:v>Проверки</c:v>
                </c:pt>
                <c:pt idx="1">
                  <c:v>Предписания</c:v>
                </c:pt>
                <c:pt idx="2">
                  <c:v>АУАН</c:v>
                </c:pt>
              </c:strCache>
            </c:strRef>
          </c:cat>
          <c:val>
            <c:numRef>
              <c:f>'графики вет дейност'!$E$9:$E$11</c:f>
              <c:numCache>
                <c:formatCode>#,##0</c:formatCode>
                <c:ptCount val="3"/>
                <c:pt idx="0">
                  <c:v>9006</c:v>
                </c:pt>
                <c:pt idx="1">
                  <c:v>1182</c:v>
                </c:pt>
                <c:pt idx="2">
                  <c:v>89</c:v>
                </c:pt>
              </c:numCache>
            </c:numRef>
          </c:val>
          <c:extLst>
            <c:ext xmlns:c16="http://schemas.microsoft.com/office/drawing/2014/chart" uri="{C3380CC4-5D6E-409C-BE32-E72D297353CC}">
              <c16:uniqueId val="{00000002-E0BD-400B-B1F8-A1F6C493CDD7}"/>
            </c:ext>
          </c:extLst>
        </c:ser>
        <c:dLbls>
          <c:dLblPos val="outEnd"/>
          <c:showLegendKey val="0"/>
          <c:showVal val="1"/>
          <c:showCatName val="0"/>
          <c:showSerName val="0"/>
          <c:showPercent val="0"/>
          <c:showBubbleSize val="0"/>
        </c:dLbls>
        <c:gapWidth val="219"/>
        <c:axId val="100939776"/>
        <c:axId val="96930048"/>
      </c:barChart>
      <c:catAx>
        <c:axId val="10093977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bg-BG"/>
          </a:p>
        </c:txPr>
        <c:crossAx val="96930048"/>
        <c:crosses val="autoZero"/>
        <c:auto val="1"/>
        <c:lblAlgn val="ctr"/>
        <c:lblOffset val="100"/>
        <c:noMultiLvlLbl val="0"/>
      </c:catAx>
      <c:valAx>
        <c:axId val="9693004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vert="horz"/>
          <a:lstStyle/>
          <a:p>
            <a:pPr>
              <a:defRPr/>
            </a:pPr>
            <a:endParaRPr lang="bg-BG"/>
          </a:p>
        </c:txPr>
        <c:crossAx val="100939776"/>
        <c:crosses val="autoZero"/>
        <c:crossBetween val="between"/>
      </c:valAx>
      <c:spPr>
        <a:noFill/>
        <a:ln>
          <a:noFill/>
        </a:ln>
        <a:effectLst/>
      </c:spPr>
    </c:plotArea>
    <c:legend>
      <c:legendPos val="b"/>
      <c:overlay val="0"/>
      <c:spPr>
        <a:noFill/>
        <a:ln>
          <a:noFill/>
        </a:ln>
        <a:effectLst/>
      </c:spPr>
      <c:txPr>
        <a:bodyPr rot="0" vert="horz"/>
        <a:lstStyle/>
        <a:p>
          <a:pPr>
            <a:defRPr/>
          </a:pPr>
          <a:endParaRPr lang="bg-BG"/>
        </a:p>
      </c:txPr>
    </c:legend>
    <c:plotVisOnly val="1"/>
    <c:dispBlanksAs val="gap"/>
    <c:showDLblsOverMax val="0"/>
  </c:chart>
  <c:spPr>
    <a:solidFill>
      <a:schemeClr val="bg1"/>
    </a:solidFill>
    <a:ln w="9525" cap="flat" cmpd="sng" algn="ctr">
      <a:noFill/>
      <a:round/>
    </a:ln>
    <a:effectLst/>
  </c:spPr>
  <c:txPr>
    <a:bodyPr/>
    <a:lstStyle/>
    <a:p>
      <a:pPr>
        <a:defRPr>
          <a:latin typeface="Arial Narrow" panose="020B0606020202030204" pitchFamily="34" charset="0"/>
        </a:defRPr>
      </a:pPr>
      <a:endParaRPr lang="bg-BG"/>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7110400262467191E-2"/>
          <c:y val="7.1005917159763315E-2"/>
          <c:w val="0.88442277723097118"/>
          <c:h val="0.7258382642998028"/>
        </c:manualLayout>
      </c:layout>
      <c:barChart>
        <c:barDir val="col"/>
        <c:grouping val="stacked"/>
        <c:varyColors val="0"/>
        <c:ser>
          <c:idx val="0"/>
          <c:order val="0"/>
          <c:tx>
            <c:strRef>
              <c:f>макрорамка!$A$23</c:f>
              <c:strCache>
                <c:ptCount val="1"/>
                <c:pt idx="0">
                  <c:v>Услуги</c:v>
                </c:pt>
              </c:strCache>
            </c:strRef>
          </c:tx>
          <c:spPr>
            <a:solidFill>
              <a:schemeClr val="tx2">
                <a:lumMod val="60000"/>
                <a:lumOff val="40000"/>
              </a:schemeClr>
            </a:solidFill>
            <a:ln w="25400">
              <a:noFill/>
            </a:ln>
          </c:spPr>
          <c:invertIfNegative val="0"/>
          <c:dLbls>
            <c:numFmt formatCode="#,##0.0" sourceLinked="0"/>
            <c:spPr>
              <a:noFill/>
              <a:ln w="25400">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макрорамка!$B$22:$F$22</c:f>
              <c:numCache>
                <c:formatCode>General</c:formatCode>
                <c:ptCount val="5"/>
                <c:pt idx="0">
                  <c:v>2020</c:v>
                </c:pt>
                <c:pt idx="1">
                  <c:v>2021</c:v>
                </c:pt>
                <c:pt idx="2">
                  <c:v>2022</c:v>
                </c:pt>
                <c:pt idx="3">
                  <c:v>2023</c:v>
                </c:pt>
                <c:pt idx="4">
                  <c:v>2024</c:v>
                </c:pt>
              </c:numCache>
            </c:numRef>
          </c:cat>
          <c:val>
            <c:numRef>
              <c:f>макрорамка!$B$23:$F$23</c:f>
              <c:numCache>
                <c:formatCode>#,##0.0</c:formatCode>
                <c:ptCount val="5"/>
                <c:pt idx="0">
                  <c:v>70.87</c:v>
                </c:pt>
                <c:pt idx="1">
                  <c:v>71.34</c:v>
                </c:pt>
                <c:pt idx="2">
                  <c:v>67.3</c:v>
                </c:pt>
                <c:pt idx="3">
                  <c:v>71.22</c:v>
                </c:pt>
                <c:pt idx="4">
                  <c:v>73.08</c:v>
                </c:pt>
              </c:numCache>
            </c:numRef>
          </c:val>
          <c:extLst>
            <c:ext xmlns:c16="http://schemas.microsoft.com/office/drawing/2014/chart" uri="{C3380CC4-5D6E-409C-BE32-E72D297353CC}">
              <c16:uniqueId val="{00000000-7DD9-4030-B490-79E1A92ADE32}"/>
            </c:ext>
          </c:extLst>
        </c:ser>
        <c:ser>
          <c:idx val="1"/>
          <c:order val="1"/>
          <c:tx>
            <c:strRef>
              <c:f>макрорамка!$A$24</c:f>
              <c:strCache>
                <c:ptCount val="1"/>
                <c:pt idx="0">
                  <c:v>Индустрия</c:v>
                </c:pt>
              </c:strCache>
            </c:strRef>
          </c:tx>
          <c:spPr>
            <a:solidFill>
              <a:schemeClr val="accent2"/>
            </a:solidFill>
            <a:ln w="25400">
              <a:noFill/>
            </a:ln>
          </c:spPr>
          <c:invertIfNegative val="0"/>
          <c:dLbls>
            <c:numFmt formatCode="#,##0.0" sourceLinked="0"/>
            <c:spPr>
              <a:noFill/>
              <a:ln w="25400">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макрорамка!$B$22:$F$22</c:f>
              <c:numCache>
                <c:formatCode>General</c:formatCode>
                <c:ptCount val="5"/>
                <c:pt idx="0">
                  <c:v>2020</c:v>
                </c:pt>
                <c:pt idx="1">
                  <c:v>2021</c:v>
                </c:pt>
                <c:pt idx="2">
                  <c:v>2022</c:v>
                </c:pt>
                <c:pt idx="3">
                  <c:v>2023</c:v>
                </c:pt>
                <c:pt idx="4">
                  <c:v>2024</c:v>
                </c:pt>
              </c:numCache>
            </c:numRef>
          </c:cat>
          <c:val>
            <c:numRef>
              <c:f>макрорамка!$B$24:$F$24</c:f>
              <c:numCache>
                <c:formatCode>#,##0.0</c:formatCode>
                <c:ptCount val="5"/>
                <c:pt idx="0">
                  <c:v>25.17</c:v>
                </c:pt>
                <c:pt idx="1">
                  <c:v>23.71</c:v>
                </c:pt>
                <c:pt idx="2">
                  <c:v>28.5</c:v>
                </c:pt>
                <c:pt idx="3">
                  <c:v>25.9</c:v>
                </c:pt>
                <c:pt idx="4">
                  <c:v>24.22</c:v>
                </c:pt>
              </c:numCache>
            </c:numRef>
          </c:val>
          <c:extLst>
            <c:ext xmlns:c16="http://schemas.microsoft.com/office/drawing/2014/chart" uri="{C3380CC4-5D6E-409C-BE32-E72D297353CC}">
              <c16:uniqueId val="{00000001-7DD9-4030-B490-79E1A92ADE32}"/>
            </c:ext>
          </c:extLst>
        </c:ser>
        <c:ser>
          <c:idx val="2"/>
          <c:order val="2"/>
          <c:tx>
            <c:strRef>
              <c:f>макрорамка!$A$25</c:f>
              <c:strCache>
                <c:ptCount val="1"/>
                <c:pt idx="0">
                  <c:v>Аграрен</c:v>
                </c:pt>
              </c:strCache>
            </c:strRef>
          </c:tx>
          <c:spPr>
            <a:solidFill>
              <a:schemeClr val="bg2">
                <a:lumMod val="50000"/>
              </a:schemeClr>
            </a:solidFill>
            <a:ln w="25400">
              <a:noFill/>
            </a:ln>
          </c:spPr>
          <c:invertIfNegative val="0"/>
          <c:dLbls>
            <c:numFmt formatCode="#,##0.0" sourceLinked="0"/>
            <c:spPr>
              <a:noFill/>
              <a:ln w="25400">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макрорамка!$B$22:$F$22</c:f>
              <c:numCache>
                <c:formatCode>General</c:formatCode>
                <c:ptCount val="5"/>
                <c:pt idx="0">
                  <c:v>2020</c:v>
                </c:pt>
                <c:pt idx="1">
                  <c:v>2021</c:v>
                </c:pt>
                <c:pt idx="2">
                  <c:v>2022</c:v>
                </c:pt>
                <c:pt idx="3">
                  <c:v>2023</c:v>
                </c:pt>
                <c:pt idx="4">
                  <c:v>2024</c:v>
                </c:pt>
              </c:numCache>
            </c:numRef>
          </c:cat>
          <c:val>
            <c:numRef>
              <c:f>макрорамка!$B$25:$F$25</c:f>
              <c:numCache>
                <c:formatCode>#,##0.0</c:formatCode>
                <c:ptCount val="5"/>
                <c:pt idx="0">
                  <c:v>3.96</c:v>
                </c:pt>
                <c:pt idx="1">
                  <c:v>4.95</c:v>
                </c:pt>
                <c:pt idx="2">
                  <c:v>4.2</c:v>
                </c:pt>
                <c:pt idx="3">
                  <c:v>2.88</c:v>
                </c:pt>
                <c:pt idx="4">
                  <c:v>2.69</c:v>
                </c:pt>
              </c:numCache>
            </c:numRef>
          </c:val>
          <c:extLst>
            <c:ext xmlns:c16="http://schemas.microsoft.com/office/drawing/2014/chart" uri="{C3380CC4-5D6E-409C-BE32-E72D297353CC}">
              <c16:uniqueId val="{00000002-7DD9-4030-B490-79E1A92ADE32}"/>
            </c:ext>
          </c:extLst>
        </c:ser>
        <c:dLbls>
          <c:showLegendKey val="0"/>
          <c:showVal val="0"/>
          <c:showCatName val="0"/>
          <c:showSerName val="0"/>
          <c:showPercent val="0"/>
          <c:showBubbleSize val="0"/>
        </c:dLbls>
        <c:gapWidth val="200"/>
        <c:overlap val="100"/>
        <c:axId val="108988416"/>
        <c:axId val="107629952"/>
      </c:barChart>
      <c:catAx>
        <c:axId val="108988416"/>
        <c:scaling>
          <c:orientation val="minMax"/>
        </c:scaling>
        <c:delete val="0"/>
        <c:axPos val="b"/>
        <c:numFmt formatCode="General" sourceLinked="1"/>
        <c:majorTickMark val="out"/>
        <c:minorTickMark val="none"/>
        <c:tickLblPos val="nextTo"/>
        <c:spPr>
          <a:ln w="12700">
            <a:solidFill>
              <a:srgbClr val="000000"/>
            </a:solidFill>
            <a:prstDash val="solid"/>
          </a:ln>
        </c:spPr>
        <c:txPr>
          <a:bodyPr rot="0" vert="horz"/>
          <a:lstStyle/>
          <a:p>
            <a:pPr>
              <a:defRPr/>
            </a:pPr>
            <a:endParaRPr lang="bg-BG"/>
          </a:p>
        </c:txPr>
        <c:crossAx val="107629952"/>
        <c:crosses val="autoZero"/>
        <c:auto val="1"/>
        <c:lblAlgn val="ctr"/>
        <c:lblOffset val="100"/>
        <c:tickLblSkip val="1"/>
        <c:tickMarkSkip val="1"/>
        <c:noMultiLvlLbl val="0"/>
      </c:catAx>
      <c:valAx>
        <c:axId val="107629952"/>
        <c:scaling>
          <c:orientation val="minMax"/>
          <c:max val="100"/>
        </c:scaling>
        <c:delete val="0"/>
        <c:axPos val="l"/>
        <c:numFmt formatCode="0" sourceLinked="0"/>
        <c:majorTickMark val="out"/>
        <c:minorTickMark val="none"/>
        <c:tickLblPos val="nextTo"/>
        <c:spPr>
          <a:ln w="12700">
            <a:solidFill>
              <a:srgbClr val="000000"/>
            </a:solidFill>
            <a:prstDash val="solid"/>
          </a:ln>
        </c:spPr>
        <c:txPr>
          <a:bodyPr rot="0" vert="horz"/>
          <a:lstStyle/>
          <a:p>
            <a:pPr>
              <a:defRPr/>
            </a:pPr>
            <a:endParaRPr lang="bg-BG"/>
          </a:p>
        </c:txPr>
        <c:crossAx val="108988416"/>
        <c:crosses val="autoZero"/>
        <c:crossBetween val="between"/>
        <c:majorUnit val="10"/>
      </c:valAx>
      <c:spPr>
        <a:noFill/>
        <a:ln w="25400">
          <a:noFill/>
        </a:ln>
      </c:spPr>
    </c:plotArea>
    <c:legend>
      <c:legendPos val="b"/>
      <c:layout>
        <c:manualLayout>
          <c:xMode val="edge"/>
          <c:yMode val="edge"/>
          <c:x val="0.25102523412980288"/>
          <c:y val="0.91286741524173387"/>
          <c:w val="0.46723915748535277"/>
          <c:h val="6.3463945705011682E-2"/>
        </c:manualLayout>
      </c:layout>
      <c:overlay val="0"/>
      <c:spPr>
        <a:solidFill>
          <a:srgbClr val="FFFFFF"/>
        </a:solidFill>
        <a:ln w="25400">
          <a:noFill/>
        </a:ln>
      </c:spPr>
    </c:legend>
    <c:plotVisOnly val="1"/>
    <c:dispBlanksAs val="gap"/>
    <c:showDLblsOverMax val="0"/>
  </c:chart>
  <c:spPr>
    <a:solidFill>
      <a:srgbClr val="FFFFFF"/>
    </a:solidFill>
    <a:ln w="9525">
      <a:noFill/>
    </a:ln>
  </c:spPr>
  <c:txPr>
    <a:bodyPr/>
    <a:lstStyle/>
    <a:p>
      <a:pPr>
        <a:defRPr sz="1000" b="0" i="0" u="none" strike="noStrike" baseline="0">
          <a:solidFill>
            <a:srgbClr val="000000"/>
          </a:solidFill>
          <a:latin typeface="Arial Narrow"/>
          <a:ea typeface="Arial Narrow"/>
          <a:cs typeface="Arial Narrow"/>
        </a:defRPr>
      </a:pPr>
      <a:endParaRPr lang="bg-BG"/>
    </a:p>
  </c:txPr>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2"/>
          <c:order val="0"/>
          <c:tx>
            <c:strRef>
              <c:f>'графики вет дейност'!$G$30</c:f>
              <c:strCache>
                <c:ptCount val="1"/>
                <c:pt idx="0">
                  <c:v>2024</c:v>
                </c:pt>
              </c:strCache>
            </c:strRef>
          </c:tx>
          <c:spPr>
            <a:solidFill>
              <a:srgbClr val="9BBB59"/>
            </a:solidFill>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'графики вет дейност'!$D$31:$D$33</c:f>
              <c:strCache>
                <c:ptCount val="3"/>
                <c:pt idx="0">
                  <c:v>Проверки</c:v>
                </c:pt>
                <c:pt idx="1">
                  <c:v>Предписания</c:v>
                </c:pt>
                <c:pt idx="2">
                  <c:v>АУАН</c:v>
                </c:pt>
              </c:strCache>
            </c:strRef>
          </c:cat>
          <c:val>
            <c:numRef>
              <c:f>'графики вет дейност'!$G$31:$G$33</c:f>
              <c:numCache>
                <c:formatCode>#,##0</c:formatCode>
                <c:ptCount val="3"/>
                <c:pt idx="0">
                  <c:v>10856</c:v>
                </c:pt>
                <c:pt idx="1">
                  <c:v>829</c:v>
                </c:pt>
                <c:pt idx="2">
                  <c:v>1514</c:v>
                </c:pt>
              </c:numCache>
            </c:numRef>
          </c:val>
          <c:extLst>
            <c:ext xmlns:c16="http://schemas.microsoft.com/office/drawing/2014/chart" uri="{C3380CC4-5D6E-409C-BE32-E72D297353CC}">
              <c16:uniqueId val="{00000000-C6F4-4079-8631-FBECC68AB013}"/>
            </c:ext>
          </c:extLst>
        </c:ser>
        <c:ser>
          <c:idx val="0"/>
          <c:order val="1"/>
          <c:tx>
            <c:strRef>
              <c:f>'графики вет дейност'!$F$30</c:f>
              <c:strCache>
                <c:ptCount val="1"/>
                <c:pt idx="0">
                  <c:v>2023</c:v>
                </c:pt>
              </c:strCache>
            </c:strRef>
          </c:tx>
          <c:spPr>
            <a:solidFill>
              <a:srgbClr val="C0504D"/>
            </a:solidFill>
            <a:ln>
              <a:noFill/>
            </a:ln>
            <a:effectLst/>
          </c:spPr>
          <c:invertIfNegative val="0"/>
          <c:dLbls>
            <c:spPr>
              <a:noFill/>
              <a:ln>
                <a:noFill/>
              </a:ln>
              <a:effectLst/>
            </c:spPr>
            <c:txPr>
              <a:bodyPr rot="0" vert="horz"/>
              <a:lstStyle/>
              <a:p>
                <a:pPr>
                  <a:defRPr/>
                </a:pPr>
                <a:endParaRPr lang="bg-BG"/>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'графики вет дейност'!$D$31:$D$33</c:f>
              <c:strCache>
                <c:ptCount val="3"/>
                <c:pt idx="0">
                  <c:v>Проверки</c:v>
                </c:pt>
                <c:pt idx="1">
                  <c:v>Предписания</c:v>
                </c:pt>
                <c:pt idx="2">
                  <c:v>АУАН</c:v>
                </c:pt>
              </c:strCache>
            </c:strRef>
          </c:cat>
          <c:val>
            <c:numRef>
              <c:f>'графики вет дейност'!$F$31:$F$33</c:f>
              <c:numCache>
                <c:formatCode>#,##0</c:formatCode>
                <c:ptCount val="3"/>
                <c:pt idx="0">
                  <c:v>9815</c:v>
                </c:pt>
                <c:pt idx="1">
                  <c:v>974</c:v>
                </c:pt>
                <c:pt idx="2">
                  <c:v>1425</c:v>
                </c:pt>
              </c:numCache>
            </c:numRef>
          </c:val>
          <c:extLst>
            <c:ext xmlns:c16="http://schemas.microsoft.com/office/drawing/2014/chart" uri="{C3380CC4-5D6E-409C-BE32-E72D297353CC}">
              <c16:uniqueId val="{00000001-C6F4-4079-8631-FBECC68AB013}"/>
            </c:ext>
          </c:extLst>
        </c:ser>
        <c:ser>
          <c:idx val="1"/>
          <c:order val="2"/>
          <c:tx>
            <c:strRef>
              <c:f>'графики вет дейност'!$E$30</c:f>
              <c:strCache>
                <c:ptCount val="1"/>
                <c:pt idx="0">
                  <c:v>2022</c:v>
                </c:pt>
              </c:strCache>
            </c:strRef>
          </c:tx>
          <c:spPr>
            <a:solidFill>
              <a:srgbClr val="5B9BD5"/>
            </a:solidFill>
            <a:ln>
              <a:noFill/>
            </a:ln>
            <a:effectLst/>
          </c:spPr>
          <c:invertIfNegative val="0"/>
          <c:dLbls>
            <c:spPr>
              <a:noFill/>
              <a:ln>
                <a:noFill/>
              </a:ln>
              <a:effectLst/>
            </c:spPr>
            <c:txPr>
              <a:bodyPr rot="0" vert="horz"/>
              <a:lstStyle/>
              <a:p>
                <a:pPr>
                  <a:defRPr/>
                </a:pPr>
                <a:endParaRPr lang="bg-BG"/>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'графики вет дейност'!$D$31:$D$33</c:f>
              <c:strCache>
                <c:ptCount val="3"/>
                <c:pt idx="0">
                  <c:v>Проверки</c:v>
                </c:pt>
                <c:pt idx="1">
                  <c:v>Предписания</c:v>
                </c:pt>
                <c:pt idx="2">
                  <c:v>АУАН</c:v>
                </c:pt>
              </c:strCache>
            </c:strRef>
          </c:cat>
          <c:val>
            <c:numRef>
              <c:f>'графики вет дейност'!$E$31:$E$33</c:f>
              <c:numCache>
                <c:formatCode>#,##0</c:formatCode>
                <c:ptCount val="3"/>
                <c:pt idx="0">
                  <c:v>9414</c:v>
                </c:pt>
                <c:pt idx="1">
                  <c:v>1169</c:v>
                </c:pt>
                <c:pt idx="2">
                  <c:v>1205</c:v>
                </c:pt>
              </c:numCache>
            </c:numRef>
          </c:val>
          <c:extLst>
            <c:ext xmlns:c16="http://schemas.microsoft.com/office/drawing/2014/chart" uri="{C3380CC4-5D6E-409C-BE32-E72D297353CC}">
              <c16:uniqueId val="{00000002-C6F4-4079-8631-FBECC68AB013}"/>
            </c:ext>
          </c:extLst>
        </c:ser>
        <c:dLbls>
          <c:dLblPos val="outEnd"/>
          <c:showLegendKey val="0"/>
          <c:showVal val="1"/>
          <c:showCatName val="0"/>
          <c:showSerName val="0"/>
          <c:showPercent val="0"/>
          <c:showBubbleSize val="0"/>
        </c:dLbls>
        <c:gapWidth val="219"/>
        <c:axId val="101037056"/>
        <c:axId val="96933504"/>
      </c:barChart>
      <c:catAx>
        <c:axId val="10103705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bg-BG"/>
          </a:p>
        </c:txPr>
        <c:crossAx val="96933504"/>
        <c:crosses val="autoZero"/>
        <c:auto val="1"/>
        <c:lblAlgn val="ctr"/>
        <c:lblOffset val="100"/>
        <c:noMultiLvlLbl val="0"/>
      </c:catAx>
      <c:valAx>
        <c:axId val="9693350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vert="horz"/>
          <a:lstStyle/>
          <a:p>
            <a:pPr>
              <a:defRPr/>
            </a:pPr>
            <a:endParaRPr lang="bg-BG"/>
          </a:p>
        </c:txPr>
        <c:crossAx val="101037056"/>
        <c:crosses val="autoZero"/>
        <c:crossBetween val="between"/>
      </c:valAx>
      <c:spPr>
        <a:noFill/>
        <a:ln>
          <a:noFill/>
        </a:ln>
        <a:effectLst/>
      </c:spPr>
    </c:plotArea>
    <c:legend>
      <c:legendPos val="b"/>
      <c:overlay val="0"/>
      <c:spPr>
        <a:noFill/>
        <a:ln>
          <a:noFill/>
        </a:ln>
        <a:effectLst/>
      </c:spPr>
      <c:txPr>
        <a:bodyPr rot="0" vert="horz"/>
        <a:lstStyle/>
        <a:p>
          <a:pPr>
            <a:defRPr/>
          </a:pPr>
          <a:endParaRPr lang="bg-BG"/>
        </a:p>
      </c:txPr>
    </c:legend>
    <c:plotVisOnly val="1"/>
    <c:dispBlanksAs val="gap"/>
    <c:showDLblsOverMax val="0"/>
  </c:chart>
  <c:spPr>
    <a:solidFill>
      <a:schemeClr val="bg1"/>
    </a:solidFill>
    <a:ln w="9525" cap="flat" cmpd="sng" algn="ctr">
      <a:noFill/>
      <a:round/>
    </a:ln>
    <a:effectLst/>
  </c:spPr>
  <c:txPr>
    <a:bodyPr/>
    <a:lstStyle/>
    <a:p>
      <a:pPr>
        <a:defRPr>
          <a:latin typeface="Arial Narrow" panose="020B0606020202030204" pitchFamily="34" charset="0"/>
        </a:defRPr>
      </a:pPr>
      <a:endParaRPr lang="bg-BG"/>
    </a:p>
  </c:txPr>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2"/>
          <c:order val="0"/>
          <c:tx>
            <c:strRef>
              <c:f>'графики вет дейност'!$G$42</c:f>
              <c:strCache>
                <c:ptCount val="1"/>
                <c:pt idx="0">
                  <c:v>2024</c:v>
                </c:pt>
              </c:strCache>
            </c:strRef>
          </c:tx>
          <c:spPr>
            <a:solidFill>
              <a:srgbClr val="9BBB59"/>
            </a:solidFill>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'графики вет дейност'!$D$43:$D$45</c:f>
              <c:strCache>
                <c:ptCount val="3"/>
                <c:pt idx="0">
                  <c:v>Проверки</c:v>
                </c:pt>
                <c:pt idx="1">
                  <c:v>Предписания</c:v>
                </c:pt>
                <c:pt idx="2">
                  <c:v>АУАН</c:v>
                </c:pt>
              </c:strCache>
            </c:strRef>
          </c:cat>
          <c:val>
            <c:numRef>
              <c:f>'графики вет дейност'!$G$43:$G$45</c:f>
              <c:numCache>
                <c:formatCode>#,##0</c:formatCode>
                <c:ptCount val="3"/>
                <c:pt idx="0">
                  <c:v>2943</c:v>
                </c:pt>
                <c:pt idx="1">
                  <c:v>87</c:v>
                </c:pt>
                <c:pt idx="2">
                  <c:v>38</c:v>
                </c:pt>
              </c:numCache>
            </c:numRef>
          </c:val>
          <c:extLst>
            <c:ext xmlns:c16="http://schemas.microsoft.com/office/drawing/2014/chart" uri="{C3380CC4-5D6E-409C-BE32-E72D297353CC}">
              <c16:uniqueId val="{00000000-2B52-43E3-970F-17FE798441EF}"/>
            </c:ext>
          </c:extLst>
        </c:ser>
        <c:ser>
          <c:idx val="0"/>
          <c:order val="1"/>
          <c:tx>
            <c:strRef>
              <c:f>'графики вет дейност'!$F$42</c:f>
              <c:strCache>
                <c:ptCount val="1"/>
                <c:pt idx="0">
                  <c:v>2023</c:v>
                </c:pt>
              </c:strCache>
            </c:strRef>
          </c:tx>
          <c:spPr>
            <a:solidFill>
              <a:srgbClr val="C0504D"/>
            </a:solidFill>
            <a:ln>
              <a:noFill/>
            </a:ln>
            <a:effectLst/>
          </c:spPr>
          <c:invertIfNegative val="0"/>
          <c:dLbls>
            <c:spPr>
              <a:noFill/>
              <a:ln>
                <a:noFill/>
              </a:ln>
              <a:effectLst/>
            </c:spPr>
            <c:txPr>
              <a:bodyPr rot="0" vert="horz"/>
              <a:lstStyle/>
              <a:p>
                <a:pPr>
                  <a:defRPr/>
                </a:pPr>
                <a:endParaRPr lang="bg-BG"/>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'графики вет дейност'!$D$43:$D$45</c:f>
              <c:strCache>
                <c:ptCount val="3"/>
                <c:pt idx="0">
                  <c:v>Проверки</c:v>
                </c:pt>
                <c:pt idx="1">
                  <c:v>Предписания</c:v>
                </c:pt>
                <c:pt idx="2">
                  <c:v>АУАН</c:v>
                </c:pt>
              </c:strCache>
            </c:strRef>
          </c:cat>
          <c:val>
            <c:numRef>
              <c:f>'графики вет дейност'!$F$43:$F$45</c:f>
              <c:numCache>
                <c:formatCode>#,##0</c:formatCode>
                <c:ptCount val="3"/>
                <c:pt idx="0">
                  <c:v>3102</c:v>
                </c:pt>
                <c:pt idx="1">
                  <c:v>102</c:v>
                </c:pt>
                <c:pt idx="2">
                  <c:v>64</c:v>
                </c:pt>
              </c:numCache>
            </c:numRef>
          </c:val>
          <c:extLst>
            <c:ext xmlns:c16="http://schemas.microsoft.com/office/drawing/2014/chart" uri="{C3380CC4-5D6E-409C-BE32-E72D297353CC}">
              <c16:uniqueId val="{00000001-2B52-43E3-970F-17FE798441EF}"/>
            </c:ext>
          </c:extLst>
        </c:ser>
        <c:ser>
          <c:idx val="1"/>
          <c:order val="2"/>
          <c:tx>
            <c:strRef>
              <c:f>'графики вет дейност'!$E$42</c:f>
              <c:strCache>
                <c:ptCount val="1"/>
                <c:pt idx="0">
                  <c:v>2022</c:v>
                </c:pt>
              </c:strCache>
            </c:strRef>
          </c:tx>
          <c:spPr>
            <a:solidFill>
              <a:srgbClr val="5B9BD5"/>
            </a:solidFill>
            <a:ln>
              <a:noFill/>
            </a:ln>
            <a:effectLst/>
          </c:spPr>
          <c:invertIfNegative val="0"/>
          <c:dLbls>
            <c:spPr>
              <a:noFill/>
              <a:ln>
                <a:noFill/>
              </a:ln>
              <a:effectLst/>
            </c:spPr>
            <c:txPr>
              <a:bodyPr rot="0" vert="horz"/>
              <a:lstStyle/>
              <a:p>
                <a:pPr>
                  <a:defRPr/>
                </a:pPr>
                <a:endParaRPr lang="bg-BG"/>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'графики вет дейност'!$D$43:$D$45</c:f>
              <c:strCache>
                <c:ptCount val="3"/>
                <c:pt idx="0">
                  <c:v>Проверки</c:v>
                </c:pt>
                <c:pt idx="1">
                  <c:v>Предписания</c:v>
                </c:pt>
                <c:pt idx="2">
                  <c:v>АУАН</c:v>
                </c:pt>
              </c:strCache>
            </c:strRef>
          </c:cat>
          <c:val>
            <c:numRef>
              <c:f>'графики вет дейност'!$E$43:$E$45</c:f>
              <c:numCache>
                <c:formatCode>#,##0</c:formatCode>
                <c:ptCount val="3"/>
                <c:pt idx="0">
                  <c:v>2792</c:v>
                </c:pt>
                <c:pt idx="1">
                  <c:v>125</c:v>
                </c:pt>
                <c:pt idx="2">
                  <c:v>65</c:v>
                </c:pt>
              </c:numCache>
            </c:numRef>
          </c:val>
          <c:extLst>
            <c:ext xmlns:c16="http://schemas.microsoft.com/office/drawing/2014/chart" uri="{C3380CC4-5D6E-409C-BE32-E72D297353CC}">
              <c16:uniqueId val="{00000002-2B52-43E3-970F-17FE798441EF}"/>
            </c:ext>
          </c:extLst>
        </c:ser>
        <c:dLbls>
          <c:dLblPos val="outEnd"/>
          <c:showLegendKey val="0"/>
          <c:showVal val="1"/>
          <c:showCatName val="0"/>
          <c:showSerName val="0"/>
          <c:showPercent val="0"/>
          <c:showBubbleSize val="0"/>
        </c:dLbls>
        <c:gapWidth val="219"/>
        <c:axId val="101039104"/>
        <c:axId val="113352704"/>
      </c:barChart>
      <c:catAx>
        <c:axId val="10103910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bg-BG"/>
          </a:p>
        </c:txPr>
        <c:crossAx val="113352704"/>
        <c:crosses val="autoZero"/>
        <c:auto val="1"/>
        <c:lblAlgn val="ctr"/>
        <c:lblOffset val="100"/>
        <c:noMultiLvlLbl val="0"/>
      </c:catAx>
      <c:valAx>
        <c:axId val="113352704"/>
        <c:scaling>
          <c:orientation val="minMax"/>
          <c:max val="4000"/>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vert="horz"/>
          <a:lstStyle/>
          <a:p>
            <a:pPr>
              <a:defRPr/>
            </a:pPr>
            <a:endParaRPr lang="bg-BG"/>
          </a:p>
        </c:txPr>
        <c:crossAx val="101039104"/>
        <c:crosses val="autoZero"/>
        <c:crossBetween val="between"/>
        <c:majorUnit val="500"/>
      </c:valAx>
      <c:spPr>
        <a:noFill/>
        <a:ln>
          <a:noFill/>
        </a:ln>
        <a:effectLst/>
      </c:spPr>
    </c:plotArea>
    <c:legend>
      <c:legendPos val="b"/>
      <c:overlay val="0"/>
      <c:spPr>
        <a:noFill/>
        <a:ln>
          <a:noFill/>
        </a:ln>
        <a:effectLst/>
      </c:spPr>
      <c:txPr>
        <a:bodyPr rot="0" vert="horz"/>
        <a:lstStyle/>
        <a:p>
          <a:pPr>
            <a:defRPr/>
          </a:pPr>
          <a:endParaRPr lang="bg-BG"/>
        </a:p>
      </c:txPr>
    </c:legend>
    <c:plotVisOnly val="1"/>
    <c:dispBlanksAs val="gap"/>
    <c:showDLblsOverMax val="0"/>
  </c:chart>
  <c:spPr>
    <a:solidFill>
      <a:schemeClr val="bg1"/>
    </a:solidFill>
    <a:ln w="9525" cap="flat" cmpd="sng" algn="ctr">
      <a:noFill/>
      <a:round/>
    </a:ln>
    <a:effectLst/>
  </c:spPr>
  <c:txPr>
    <a:bodyPr/>
    <a:lstStyle/>
    <a:p>
      <a:pPr>
        <a:defRPr>
          <a:latin typeface="Arial Narrow" panose="020B0606020202030204" pitchFamily="34" charset="0"/>
        </a:defRPr>
      </a:pPr>
      <a:endParaRPr lang="bg-BG"/>
    </a:p>
  </c:txPr>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2"/>
          <c:order val="0"/>
          <c:tx>
            <c:strRef>
              <c:f>'графики вет дейност'!$G$62</c:f>
              <c:strCache>
                <c:ptCount val="1"/>
                <c:pt idx="0">
                  <c:v>2024</c:v>
                </c:pt>
              </c:strCache>
            </c:strRef>
          </c:tx>
          <c:spPr>
            <a:solidFill>
              <a:srgbClr val="9BBB59"/>
            </a:solidFill>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'графики вет дейност'!$D$63:$D$65</c:f>
              <c:strCache>
                <c:ptCount val="3"/>
                <c:pt idx="0">
                  <c:v>Проверки</c:v>
                </c:pt>
                <c:pt idx="1">
                  <c:v>Предписания</c:v>
                </c:pt>
                <c:pt idx="2">
                  <c:v>АУАН</c:v>
                </c:pt>
              </c:strCache>
            </c:strRef>
          </c:cat>
          <c:val>
            <c:numRef>
              <c:f>'графики вет дейност'!$G$63:$G$65</c:f>
              <c:numCache>
                <c:formatCode>#,##0</c:formatCode>
                <c:ptCount val="3"/>
                <c:pt idx="0">
                  <c:v>1597</c:v>
                </c:pt>
                <c:pt idx="1">
                  <c:v>195</c:v>
                </c:pt>
                <c:pt idx="2">
                  <c:v>52</c:v>
                </c:pt>
              </c:numCache>
            </c:numRef>
          </c:val>
          <c:extLst>
            <c:ext xmlns:c16="http://schemas.microsoft.com/office/drawing/2014/chart" uri="{C3380CC4-5D6E-409C-BE32-E72D297353CC}">
              <c16:uniqueId val="{00000000-579A-4559-B487-B4AF0E8E613E}"/>
            </c:ext>
          </c:extLst>
        </c:ser>
        <c:ser>
          <c:idx val="0"/>
          <c:order val="1"/>
          <c:tx>
            <c:strRef>
              <c:f>'графики вет дейност'!$F$62</c:f>
              <c:strCache>
                <c:ptCount val="1"/>
                <c:pt idx="0">
                  <c:v>2023</c:v>
                </c:pt>
              </c:strCache>
            </c:strRef>
          </c:tx>
          <c:spPr>
            <a:solidFill>
              <a:srgbClr val="C0504D"/>
            </a:solidFill>
            <a:ln>
              <a:noFill/>
            </a:ln>
            <a:effectLst/>
          </c:spPr>
          <c:invertIfNegative val="0"/>
          <c:dLbls>
            <c:spPr>
              <a:noFill/>
              <a:ln>
                <a:noFill/>
              </a:ln>
              <a:effectLst/>
            </c:spPr>
            <c:txPr>
              <a:bodyPr rot="0" vert="horz"/>
              <a:lstStyle/>
              <a:p>
                <a:pPr>
                  <a:defRPr/>
                </a:pPr>
                <a:endParaRPr lang="bg-BG"/>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'графики вет дейност'!$D$63:$D$65</c:f>
              <c:strCache>
                <c:ptCount val="3"/>
                <c:pt idx="0">
                  <c:v>Проверки</c:v>
                </c:pt>
                <c:pt idx="1">
                  <c:v>Предписания</c:v>
                </c:pt>
                <c:pt idx="2">
                  <c:v>АУАН</c:v>
                </c:pt>
              </c:strCache>
            </c:strRef>
          </c:cat>
          <c:val>
            <c:numRef>
              <c:f>'графики вет дейност'!$F$63:$F$65</c:f>
              <c:numCache>
                <c:formatCode>#,##0</c:formatCode>
                <c:ptCount val="3"/>
                <c:pt idx="0">
                  <c:v>1754</c:v>
                </c:pt>
                <c:pt idx="1">
                  <c:v>135</c:v>
                </c:pt>
                <c:pt idx="2">
                  <c:v>32</c:v>
                </c:pt>
              </c:numCache>
            </c:numRef>
          </c:val>
          <c:extLst>
            <c:ext xmlns:c16="http://schemas.microsoft.com/office/drawing/2014/chart" uri="{C3380CC4-5D6E-409C-BE32-E72D297353CC}">
              <c16:uniqueId val="{00000001-579A-4559-B487-B4AF0E8E613E}"/>
            </c:ext>
          </c:extLst>
        </c:ser>
        <c:ser>
          <c:idx val="1"/>
          <c:order val="2"/>
          <c:tx>
            <c:strRef>
              <c:f>'графики вет дейност'!$E$62</c:f>
              <c:strCache>
                <c:ptCount val="1"/>
                <c:pt idx="0">
                  <c:v>2022</c:v>
                </c:pt>
              </c:strCache>
            </c:strRef>
          </c:tx>
          <c:spPr>
            <a:solidFill>
              <a:srgbClr val="5B9BD5"/>
            </a:solidFill>
            <a:ln>
              <a:noFill/>
            </a:ln>
            <a:effectLst/>
          </c:spPr>
          <c:invertIfNegative val="0"/>
          <c:dLbls>
            <c:spPr>
              <a:noFill/>
              <a:ln>
                <a:noFill/>
              </a:ln>
              <a:effectLst/>
            </c:spPr>
            <c:txPr>
              <a:bodyPr rot="0" vert="horz"/>
              <a:lstStyle/>
              <a:p>
                <a:pPr>
                  <a:defRPr/>
                </a:pPr>
                <a:endParaRPr lang="bg-BG"/>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'графики вет дейност'!$D$63:$D$65</c:f>
              <c:strCache>
                <c:ptCount val="3"/>
                <c:pt idx="0">
                  <c:v>Проверки</c:v>
                </c:pt>
                <c:pt idx="1">
                  <c:v>Предписания</c:v>
                </c:pt>
                <c:pt idx="2">
                  <c:v>АУАН</c:v>
                </c:pt>
              </c:strCache>
            </c:strRef>
          </c:cat>
          <c:val>
            <c:numRef>
              <c:f>'графики вет дейност'!$E$63:$E$65</c:f>
              <c:numCache>
                <c:formatCode>#,##0</c:formatCode>
                <c:ptCount val="3"/>
                <c:pt idx="0">
                  <c:v>1155</c:v>
                </c:pt>
                <c:pt idx="1">
                  <c:v>116</c:v>
                </c:pt>
                <c:pt idx="2">
                  <c:v>20</c:v>
                </c:pt>
              </c:numCache>
            </c:numRef>
          </c:val>
          <c:extLst>
            <c:ext xmlns:c16="http://schemas.microsoft.com/office/drawing/2014/chart" uri="{C3380CC4-5D6E-409C-BE32-E72D297353CC}">
              <c16:uniqueId val="{00000002-579A-4559-B487-B4AF0E8E613E}"/>
            </c:ext>
          </c:extLst>
        </c:ser>
        <c:dLbls>
          <c:dLblPos val="outEnd"/>
          <c:showLegendKey val="0"/>
          <c:showVal val="1"/>
          <c:showCatName val="0"/>
          <c:showSerName val="0"/>
          <c:showPercent val="0"/>
          <c:showBubbleSize val="0"/>
        </c:dLbls>
        <c:gapWidth val="219"/>
        <c:axId val="113144832"/>
        <c:axId val="113355008"/>
      </c:barChart>
      <c:catAx>
        <c:axId val="11314483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bg-BG"/>
          </a:p>
        </c:txPr>
        <c:crossAx val="113355008"/>
        <c:crosses val="autoZero"/>
        <c:auto val="1"/>
        <c:lblAlgn val="ctr"/>
        <c:lblOffset val="100"/>
        <c:noMultiLvlLbl val="0"/>
      </c:catAx>
      <c:valAx>
        <c:axId val="113355008"/>
        <c:scaling>
          <c:orientation val="minMax"/>
          <c:max val="2000"/>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vert="horz"/>
          <a:lstStyle/>
          <a:p>
            <a:pPr>
              <a:defRPr/>
            </a:pPr>
            <a:endParaRPr lang="bg-BG"/>
          </a:p>
        </c:txPr>
        <c:crossAx val="113144832"/>
        <c:crosses val="autoZero"/>
        <c:crossBetween val="between"/>
        <c:majorUnit val="200"/>
      </c:valAx>
      <c:spPr>
        <a:noFill/>
        <a:ln>
          <a:noFill/>
        </a:ln>
        <a:effectLst/>
      </c:spPr>
    </c:plotArea>
    <c:legend>
      <c:legendPos val="b"/>
      <c:overlay val="0"/>
      <c:spPr>
        <a:noFill/>
        <a:ln>
          <a:noFill/>
        </a:ln>
        <a:effectLst/>
      </c:spPr>
      <c:txPr>
        <a:bodyPr rot="0" vert="horz"/>
        <a:lstStyle/>
        <a:p>
          <a:pPr>
            <a:defRPr/>
          </a:pPr>
          <a:endParaRPr lang="bg-BG"/>
        </a:p>
      </c:txPr>
    </c:legend>
    <c:plotVisOnly val="1"/>
    <c:dispBlanksAs val="gap"/>
    <c:showDLblsOverMax val="0"/>
  </c:chart>
  <c:spPr>
    <a:solidFill>
      <a:schemeClr val="bg1"/>
    </a:solidFill>
    <a:ln w="9525" cap="flat" cmpd="sng" algn="ctr">
      <a:noFill/>
      <a:round/>
    </a:ln>
    <a:effectLst/>
  </c:spPr>
  <c:txPr>
    <a:bodyPr/>
    <a:lstStyle/>
    <a:p>
      <a:pPr>
        <a:defRPr>
          <a:latin typeface="Arial Narrow" panose="020B0606020202030204" pitchFamily="34" charset="0"/>
        </a:defRPr>
      </a:pPr>
      <a:endParaRPr lang="bg-BG"/>
    </a:p>
  </c:txPr>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607174103237096E-2"/>
          <c:y val="8.8437591134441523E-2"/>
          <c:w val="0.88337270341207352"/>
          <c:h val="0.79558253135024792"/>
        </c:manualLayout>
      </c:layout>
      <c:barChart>
        <c:barDir val="col"/>
        <c:grouping val="clustered"/>
        <c:varyColors val="0"/>
        <c:ser>
          <c:idx val="0"/>
          <c:order val="0"/>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'Оценки ЦОРХВ'!$A$4:$M$4</c:f>
              <c:numCache>
                <c:formatCode>General</c:formatCode>
                <c:ptCount val="13"/>
                <c:pt idx="0">
                  <c:v>2012</c:v>
                </c:pt>
                <c:pt idx="1">
                  <c:v>2013</c:v>
                </c:pt>
                <c:pt idx="2">
                  <c:v>2014</c:v>
                </c:pt>
                <c:pt idx="3">
                  <c:v>2015</c:v>
                </c:pt>
                <c:pt idx="4">
                  <c:v>2016</c:v>
                </c:pt>
                <c:pt idx="5">
                  <c:v>2017</c:v>
                </c:pt>
                <c:pt idx="6">
                  <c:v>2018</c:v>
                </c:pt>
                <c:pt idx="7">
                  <c:v>2019</c:v>
                </c:pt>
                <c:pt idx="8">
                  <c:v>2020</c:v>
                </c:pt>
                <c:pt idx="9">
                  <c:v>2021</c:v>
                </c:pt>
                <c:pt idx="10">
                  <c:v>2022</c:v>
                </c:pt>
                <c:pt idx="11">
                  <c:v>2023</c:v>
                </c:pt>
                <c:pt idx="12">
                  <c:v>2024</c:v>
                </c:pt>
              </c:numCache>
            </c:numRef>
          </c:cat>
          <c:val>
            <c:numRef>
              <c:f>'Оценки ЦОРХВ'!$A$5:$M$5</c:f>
              <c:numCache>
                <c:formatCode>General</c:formatCode>
                <c:ptCount val="13"/>
                <c:pt idx="0">
                  <c:v>11</c:v>
                </c:pt>
                <c:pt idx="1">
                  <c:v>24</c:v>
                </c:pt>
                <c:pt idx="2">
                  <c:v>29</c:v>
                </c:pt>
                <c:pt idx="3">
                  <c:v>31</c:v>
                </c:pt>
                <c:pt idx="4">
                  <c:v>32</c:v>
                </c:pt>
                <c:pt idx="5">
                  <c:v>32</c:v>
                </c:pt>
                <c:pt idx="6">
                  <c:v>43</c:v>
                </c:pt>
                <c:pt idx="7">
                  <c:v>59</c:v>
                </c:pt>
                <c:pt idx="8">
                  <c:v>74</c:v>
                </c:pt>
                <c:pt idx="9">
                  <c:v>97</c:v>
                </c:pt>
                <c:pt idx="10">
                  <c:v>113</c:v>
                </c:pt>
                <c:pt idx="11">
                  <c:v>77</c:v>
                </c:pt>
                <c:pt idx="12">
                  <c:v>65</c:v>
                </c:pt>
              </c:numCache>
            </c:numRef>
          </c:val>
          <c:extLst>
            <c:ext xmlns:c16="http://schemas.microsoft.com/office/drawing/2014/chart" uri="{C3380CC4-5D6E-409C-BE32-E72D297353CC}">
              <c16:uniqueId val="{00000000-4FD0-4BB5-8C5F-C09348CF1BF0}"/>
            </c:ext>
          </c:extLst>
        </c:ser>
        <c:dLbls>
          <c:showLegendKey val="0"/>
          <c:showVal val="0"/>
          <c:showCatName val="0"/>
          <c:showSerName val="0"/>
          <c:showPercent val="0"/>
          <c:showBubbleSize val="0"/>
        </c:dLbls>
        <c:gapWidth val="91"/>
        <c:axId val="100499456"/>
        <c:axId val="113356160"/>
      </c:barChart>
      <c:catAx>
        <c:axId val="100499456"/>
        <c:scaling>
          <c:orientation val="minMax"/>
        </c:scaling>
        <c:delete val="0"/>
        <c:axPos val="b"/>
        <c:numFmt formatCode="General" sourceLinked="1"/>
        <c:majorTickMark val="out"/>
        <c:minorTickMark val="none"/>
        <c:tickLblPos val="nextTo"/>
        <c:crossAx val="113356160"/>
        <c:crosses val="autoZero"/>
        <c:auto val="1"/>
        <c:lblAlgn val="ctr"/>
        <c:lblOffset val="100"/>
        <c:noMultiLvlLbl val="0"/>
      </c:catAx>
      <c:valAx>
        <c:axId val="113356160"/>
        <c:scaling>
          <c:orientation val="minMax"/>
          <c:max val="120"/>
        </c:scaling>
        <c:delete val="0"/>
        <c:axPos val="l"/>
        <c:majorGridlines>
          <c:spPr>
            <a:ln>
              <a:noFill/>
            </a:ln>
          </c:spPr>
        </c:majorGridlines>
        <c:numFmt formatCode="General" sourceLinked="1"/>
        <c:majorTickMark val="out"/>
        <c:minorTickMark val="none"/>
        <c:tickLblPos val="nextTo"/>
        <c:crossAx val="100499456"/>
        <c:crosses val="autoZero"/>
        <c:crossBetween val="between"/>
      </c:valAx>
    </c:plotArea>
    <c:plotVisOnly val="1"/>
    <c:dispBlanksAs val="gap"/>
    <c:showDLblsOverMax val="0"/>
  </c:chart>
  <c:spPr>
    <a:ln>
      <a:noFill/>
    </a:ln>
  </c:spPr>
  <c:txPr>
    <a:bodyPr/>
    <a:lstStyle/>
    <a:p>
      <a:pPr>
        <a:defRPr sz="1000">
          <a:latin typeface="Arial Narrow" panose="020B0606020202030204" pitchFamily="34" charset="0"/>
        </a:defRPr>
      </a:pPr>
      <a:endParaRPr lang="bg-BG"/>
    </a:p>
  </c:txPr>
  <c:externalData r:id="rId2">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4097550306211721E-2"/>
          <c:y val="5.0925925925925923E-2"/>
          <c:w val="0.89534689413823276"/>
          <c:h val="0.7122987751531058"/>
        </c:manualLayout>
      </c:layout>
      <c:barChart>
        <c:barDir val="col"/>
        <c:grouping val="clustered"/>
        <c:varyColors val="0"/>
        <c:ser>
          <c:idx val="0"/>
          <c:order val="0"/>
          <c:tx>
            <c:strRef>
              <c:f>'Оценки ЦОРХВ'!$N$27</c:f>
              <c:strCache>
                <c:ptCount val="1"/>
                <c:pt idx="0">
                  <c:v>Брой получени преписки за оценка на ПРЗ</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Arial Narrow" panose="020B0606020202030204" pitchFamily="34" charset="0"/>
                    <a:ea typeface="+mn-ea"/>
                    <a:cs typeface="+mn-cs"/>
                  </a:defRPr>
                </a:pPr>
                <a:endParaRPr lang="bg-BG"/>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'Оценки ЦОРХВ'!$M$28:$M$35</c:f>
              <c:numCache>
                <c:formatCode>General</c:formatCode>
                <c:ptCount val="8"/>
                <c:pt idx="0">
                  <c:v>2017</c:v>
                </c:pt>
                <c:pt idx="1">
                  <c:v>2018</c:v>
                </c:pt>
                <c:pt idx="2">
                  <c:v>2019</c:v>
                </c:pt>
                <c:pt idx="3">
                  <c:v>2020</c:v>
                </c:pt>
                <c:pt idx="4">
                  <c:v>2021</c:v>
                </c:pt>
                <c:pt idx="5">
                  <c:v>2022</c:v>
                </c:pt>
                <c:pt idx="6">
                  <c:v>2023</c:v>
                </c:pt>
                <c:pt idx="7">
                  <c:v>2024</c:v>
                </c:pt>
              </c:numCache>
            </c:numRef>
          </c:cat>
          <c:val>
            <c:numRef>
              <c:f>'Оценки ЦОРХВ'!$N$28:$N$35</c:f>
              <c:numCache>
                <c:formatCode>General</c:formatCode>
                <c:ptCount val="8"/>
                <c:pt idx="0">
                  <c:v>228</c:v>
                </c:pt>
                <c:pt idx="1">
                  <c:v>369</c:v>
                </c:pt>
                <c:pt idx="2">
                  <c:v>395</c:v>
                </c:pt>
                <c:pt idx="3">
                  <c:v>277</c:v>
                </c:pt>
                <c:pt idx="4">
                  <c:v>374</c:v>
                </c:pt>
                <c:pt idx="5">
                  <c:v>384</c:v>
                </c:pt>
                <c:pt idx="6">
                  <c:v>404</c:v>
                </c:pt>
                <c:pt idx="7">
                  <c:v>364</c:v>
                </c:pt>
              </c:numCache>
            </c:numRef>
          </c:val>
          <c:extLst>
            <c:ext xmlns:c16="http://schemas.microsoft.com/office/drawing/2014/chart" uri="{C3380CC4-5D6E-409C-BE32-E72D297353CC}">
              <c16:uniqueId val="{00000000-ACB7-408E-ADC9-AD9F50AA8211}"/>
            </c:ext>
          </c:extLst>
        </c:ser>
        <c:ser>
          <c:idx val="1"/>
          <c:order val="1"/>
          <c:tx>
            <c:strRef>
              <c:f>'Оценки ЦОРХВ'!$O$27</c:f>
              <c:strCache>
                <c:ptCount val="1"/>
                <c:pt idx="0">
                  <c:v>Брой предадени оценки  за разрешаване на ПРЗ</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Arial Narrow" panose="020B0606020202030204" pitchFamily="34" charset="0"/>
                    <a:ea typeface="+mn-ea"/>
                    <a:cs typeface="+mn-cs"/>
                  </a:defRPr>
                </a:pPr>
                <a:endParaRPr lang="bg-BG"/>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'Оценки ЦОРХВ'!$M$28:$M$35</c:f>
              <c:numCache>
                <c:formatCode>General</c:formatCode>
                <c:ptCount val="8"/>
                <c:pt idx="0">
                  <c:v>2017</c:v>
                </c:pt>
                <c:pt idx="1">
                  <c:v>2018</c:v>
                </c:pt>
                <c:pt idx="2">
                  <c:v>2019</c:v>
                </c:pt>
                <c:pt idx="3">
                  <c:v>2020</c:v>
                </c:pt>
                <c:pt idx="4">
                  <c:v>2021</c:v>
                </c:pt>
                <c:pt idx="5">
                  <c:v>2022</c:v>
                </c:pt>
                <c:pt idx="6">
                  <c:v>2023</c:v>
                </c:pt>
                <c:pt idx="7">
                  <c:v>2024</c:v>
                </c:pt>
              </c:numCache>
            </c:numRef>
          </c:cat>
          <c:val>
            <c:numRef>
              <c:f>'Оценки ЦОРХВ'!$O$28:$O$35</c:f>
              <c:numCache>
                <c:formatCode>General</c:formatCode>
                <c:ptCount val="8"/>
                <c:pt idx="0">
                  <c:v>114</c:v>
                </c:pt>
                <c:pt idx="1">
                  <c:v>176</c:v>
                </c:pt>
                <c:pt idx="2">
                  <c:v>172</c:v>
                </c:pt>
                <c:pt idx="3">
                  <c:v>153</c:v>
                </c:pt>
                <c:pt idx="4">
                  <c:v>177</c:v>
                </c:pt>
                <c:pt idx="5">
                  <c:v>116</c:v>
                </c:pt>
                <c:pt idx="6">
                  <c:v>178</c:v>
                </c:pt>
                <c:pt idx="7">
                  <c:v>147</c:v>
                </c:pt>
              </c:numCache>
            </c:numRef>
          </c:val>
          <c:extLst>
            <c:ext xmlns:c16="http://schemas.microsoft.com/office/drawing/2014/chart" uri="{C3380CC4-5D6E-409C-BE32-E72D297353CC}">
              <c16:uniqueId val="{00000001-ACB7-408E-ADC9-AD9F50AA8211}"/>
            </c:ext>
          </c:extLst>
        </c:ser>
        <c:dLbls>
          <c:showLegendKey val="0"/>
          <c:showVal val="0"/>
          <c:showCatName val="0"/>
          <c:showSerName val="0"/>
          <c:showPercent val="0"/>
          <c:showBubbleSize val="0"/>
        </c:dLbls>
        <c:gapWidth val="91"/>
        <c:overlap val="-27"/>
        <c:axId val="1686304496"/>
        <c:axId val="1686302832"/>
      </c:barChart>
      <c:catAx>
        <c:axId val="16863044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bg-BG"/>
          </a:p>
        </c:txPr>
        <c:crossAx val="1686302832"/>
        <c:crosses val="autoZero"/>
        <c:auto val="1"/>
        <c:lblAlgn val="ctr"/>
        <c:lblOffset val="100"/>
        <c:noMultiLvlLbl val="0"/>
      </c:catAx>
      <c:valAx>
        <c:axId val="1686302832"/>
        <c:scaling>
          <c:orientation val="minMax"/>
          <c:max val="500"/>
        </c:scaling>
        <c:delete val="0"/>
        <c:axPos val="l"/>
        <c:majorGridlines>
          <c:spPr>
            <a:ln w="9525" cap="flat" cmpd="sng" algn="ctr">
              <a:noFill/>
              <a:round/>
            </a:ln>
            <a:effectLst/>
          </c:spPr>
        </c:majorGridlines>
        <c:numFmt formatCode="General" sourceLinked="1"/>
        <c:majorTickMark val="out"/>
        <c:minorTickMark val="none"/>
        <c:tickLblPos val="nextTo"/>
        <c:spPr>
          <a:noFill/>
          <a:ln>
            <a:solidFill>
              <a:schemeClr val="tx1">
                <a:lumMod val="50000"/>
                <a:lumOff val="50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bg-BG"/>
          </a:p>
        </c:txPr>
        <c:crossAx val="1686304496"/>
        <c:crosses val="autoZero"/>
        <c:crossBetween val="between"/>
      </c:valAx>
      <c:spPr>
        <a:noFill/>
        <a:ln>
          <a:noFill/>
        </a:ln>
        <a:effectLst/>
      </c:spPr>
    </c:plotArea>
    <c:legend>
      <c:legendPos val="b"/>
      <c:layout>
        <c:manualLayout>
          <c:xMode val="edge"/>
          <c:yMode val="edge"/>
          <c:x val="4.7315919956269804E-2"/>
          <c:y val="0.86723972003499561"/>
          <c:w val="0.92443524249528031"/>
          <c:h val="0.13276027996500436"/>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Arial Narrow" panose="020B0606020202030204" pitchFamily="34" charset="0"/>
              <a:ea typeface="+mn-ea"/>
              <a:cs typeface="+mn-cs"/>
            </a:defRPr>
          </a:pPr>
          <a:endParaRPr lang="bg-BG"/>
        </a:p>
      </c:txPr>
    </c:legend>
    <c:plotVisOnly val="1"/>
    <c:dispBlanksAs val="gap"/>
    <c:showDLblsOverMax val="0"/>
  </c:chart>
  <c:spPr>
    <a:solidFill>
      <a:schemeClr val="bg1"/>
    </a:solidFill>
    <a:ln w="9525" cap="flat" cmpd="sng" algn="ctr">
      <a:noFill/>
      <a:round/>
    </a:ln>
    <a:effectLst/>
  </c:spPr>
  <c:txPr>
    <a:bodyPr/>
    <a:lstStyle/>
    <a:p>
      <a:pPr>
        <a:defRPr>
          <a:latin typeface="Arial Narrow" panose="020B0606020202030204" pitchFamily="34" charset="0"/>
        </a:defRPr>
      </a:pPr>
      <a:endParaRPr lang="bg-BG"/>
    </a:p>
  </c:txPr>
  <c:externalData r:id="rId4">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558944006888896"/>
          <c:y val="5.7029286300398052E-2"/>
          <c:w val="0.8244641115715392"/>
          <c:h val="0.76788712984624263"/>
        </c:manualLayout>
      </c:layout>
      <c:barChart>
        <c:barDir val="col"/>
        <c:grouping val="clustered"/>
        <c:varyColors val="0"/>
        <c:ser>
          <c:idx val="0"/>
          <c:order val="0"/>
          <c:tx>
            <c:strRef>
              <c:f>'АД-НССЗ 2023'!$B$3</c:f>
              <c:strCache>
                <c:ptCount val="1"/>
                <c:pt idx="0">
                  <c:v>консултации</c:v>
                </c:pt>
              </c:strCache>
            </c:strRef>
          </c:tx>
          <c:invertIfNegative val="0"/>
          <c:dLbls>
            <c:dLbl>
              <c:idx val="0"/>
              <c:layout>
                <c:manualLayout>
                  <c:x val="2.6092628832354858E-3"/>
                  <c:y val="-2.0481307500867633E-2"/>
                </c:manualLayout>
              </c:layout>
              <c:spPr>
                <a:noFill/>
                <a:ln w="25400">
                  <a:noFill/>
                </a:ln>
              </c:spPr>
              <c:txPr>
                <a:bodyPr/>
                <a:lstStyle/>
                <a:p>
                  <a:pPr>
                    <a:defRPr/>
                  </a:pPr>
                  <a:endParaRPr lang="bg-BG"/>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7D1-4D6A-AFC5-69DC1971F6A3}"/>
                </c:ext>
              </c:extLst>
            </c:dLbl>
            <c:spPr>
              <a:noFill/>
              <a:ln w="25400">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'АД-НССЗ 2023'!$A$8:$A$10</c:f>
              <c:numCache>
                <c:formatCode>General</c:formatCode>
                <c:ptCount val="3"/>
                <c:pt idx="0">
                  <c:v>2022</c:v>
                </c:pt>
                <c:pt idx="1">
                  <c:v>2023</c:v>
                </c:pt>
                <c:pt idx="2">
                  <c:v>2024</c:v>
                </c:pt>
              </c:numCache>
            </c:numRef>
          </c:cat>
          <c:val>
            <c:numRef>
              <c:f>'АД-НССЗ 2023'!$B$8:$B$10</c:f>
              <c:numCache>
                <c:formatCode>#,##0</c:formatCode>
                <c:ptCount val="3"/>
                <c:pt idx="0">
                  <c:v>68499</c:v>
                </c:pt>
                <c:pt idx="1">
                  <c:v>94078</c:v>
                </c:pt>
                <c:pt idx="2">
                  <c:v>102858</c:v>
                </c:pt>
              </c:numCache>
            </c:numRef>
          </c:val>
          <c:extLst>
            <c:ext xmlns:c16="http://schemas.microsoft.com/office/drawing/2014/chart" uri="{C3380CC4-5D6E-409C-BE32-E72D297353CC}">
              <c16:uniqueId val="{00000001-47D1-4D6A-AFC5-69DC1971F6A3}"/>
            </c:ext>
          </c:extLst>
        </c:ser>
        <c:ser>
          <c:idx val="1"/>
          <c:order val="1"/>
          <c:tx>
            <c:strRef>
              <c:f>'АД-НССЗ 2023'!$C$3</c:f>
              <c:strCache>
                <c:ptCount val="1"/>
                <c:pt idx="0">
                  <c:v>консултирани лица</c:v>
                </c:pt>
              </c:strCache>
            </c:strRef>
          </c:tx>
          <c:invertIfNegative val="0"/>
          <c:dLbls>
            <c:spPr>
              <a:noFill/>
              <a:ln w="25400">
                <a:noFill/>
              </a:ln>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'АД-НССЗ 2023'!$A$8:$A$10</c:f>
              <c:numCache>
                <c:formatCode>General</c:formatCode>
                <c:ptCount val="3"/>
                <c:pt idx="0">
                  <c:v>2022</c:v>
                </c:pt>
                <c:pt idx="1">
                  <c:v>2023</c:v>
                </c:pt>
                <c:pt idx="2">
                  <c:v>2024</c:v>
                </c:pt>
              </c:numCache>
            </c:numRef>
          </c:cat>
          <c:val>
            <c:numRef>
              <c:f>'АД-НССЗ 2023'!$C$8:$C$10</c:f>
              <c:numCache>
                <c:formatCode>#,##0</c:formatCode>
                <c:ptCount val="3"/>
                <c:pt idx="0">
                  <c:v>11481</c:v>
                </c:pt>
                <c:pt idx="1">
                  <c:v>15240</c:v>
                </c:pt>
                <c:pt idx="2">
                  <c:v>15774</c:v>
                </c:pt>
              </c:numCache>
            </c:numRef>
          </c:val>
          <c:extLst>
            <c:ext xmlns:c16="http://schemas.microsoft.com/office/drawing/2014/chart" uri="{C3380CC4-5D6E-409C-BE32-E72D297353CC}">
              <c16:uniqueId val="{00000002-47D1-4D6A-AFC5-69DC1971F6A3}"/>
            </c:ext>
          </c:extLst>
        </c:ser>
        <c:dLbls>
          <c:showLegendKey val="0"/>
          <c:showVal val="0"/>
          <c:showCatName val="0"/>
          <c:showSerName val="0"/>
          <c:showPercent val="0"/>
          <c:showBubbleSize val="0"/>
        </c:dLbls>
        <c:gapWidth val="220"/>
        <c:axId val="105856512"/>
        <c:axId val="105728832"/>
      </c:barChart>
      <c:catAx>
        <c:axId val="105856512"/>
        <c:scaling>
          <c:orientation val="minMax"/>
        </c:scaling>
        <c:delete val="0"/>
        <c:axPos val="b"/>
        <c:numFmt formatCode="General" sourceLinked="1"/>
        <c:majorTickMark val="out"/>
        <c:minorTickMark val="none"/>
        <c:tickLblPos val="nextTo"/>
        <c:crossAx val="105728832"/>
        <c:crosses val="autoZero"/>
        <c:auto val="1"/>
        <c:lblAlgn val="ctr"/>
        <c:lblOffset val="100"/>
        <c:noMultiLvlLbl val="0"/>
      </c:catAx>
      <c:valAx>
        <c:axId val="105728832"/>
        <c:scaling>
          <c:orientation val="minMax"/>
          <c:max val="120000"/>
          <c:min val="0"/>
        </c:scaling>
        <c:delete val="0"/>
        <c:axPos val="l"/>
        <c:majorGridlines>
          <c:spPr>
            <a:ln>
              <a:solidFill>
                <a:sysClr val="window" lastClr="FFFFFF"/>
              </a:solidFill>
            </a:ln>
          </c:spPr>
        </c:majorGridlines>
        <c:title>
          <c:tx>
            <c:rich>
              <a:bodyPr/>
              <a:lstStyle/>
              <a:p>
                <a:pPr>
                  <a:defRPr/>
                </a:pPr>
                <a:r>
                  <a:rPr lang="bg-BG"/>
                  <a:t>брой</a:t>
                </a:r>
                <a:endParaRPr lang="en-US"/>
              </a:p>
            </c:rich>
          </c:tx>
          <c:layout>
            <c:manualLayout>
              <c:xMode val="edge"/>
              <c:yMode val="edge"/>
              <c:x val="1.3899021725219965E-2"/>
              <c:y val="0.36716659535412693"/>
            </c:manualLayout>
          </c:layout>
          <c:overlay val="0"/>
          <c:spPr>
            <a:noFill/>
            <a:ln w="25400">
              <a:noFill/>
            </a:ln>
          </c:spPr>
        </c:title>
        <c:numFmt formatCode="#,##0" sourceLinked="1"/>
        <c:majorTickMark val="out"/>
        <c:minorTickMark val="none"/>
        <c:tickLblPos val="nextTo"/>
        <c:crossAx val="105856512"/>
        <c:crosses val="autoZero"/>
        <c:crossBetween val="between"/>
        <c:majorUnit val="20000"/>
      </c:valAx>
    </c:plotArea>
    <c:legend>
      <c:legendPos val="b"/>
      <c:layout>
        <c:manualLayout>
          <c:xMode val="edge"/>
          <c:yMode val="edge"/>
          <c:x val="0.21207003587735407"/>
          <c:y val="0.93097673922146595"/>
          <c:w val="0.71572028403895005"/>
          <c:h val="6.7484828727619184E-2"/>
        </c:manualLayout>
      </c:layout>
      <c:overlay val="0"/>
    </c:legend>
    <c:plotVisOnly val="1"/>
    <c:dispBlanksAs val="gap"/>
    <c:showDLblsOverMax val="0"/>
  </c:chart>
  <c:spPr>
    <a:ln>
      <a:noFill/>
    </a:ln>
  </c:spPr>
  <c:txPr>
    <a:bodyPr/>
    <a:lstStyle/>
    <a:p>
      <a:pPr>
        <a:defRPr sz="1000" b="0">
          <a:latin typeface="Arial Narrow" panose="020B0606020202030204" pitchFamily="34" charset="0"/>
        </a:defRPr>
      </a:pPr>
      <a:endParaRPr lang="bg-BG"/>
    </a:p>
  </c:txPr>
  <c:externalData r:id="rId2">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30"/>
      <c:rotY val="320"/>
      <c:rAngAx val="0"/>
      <c:perspective val="50"/>
    </c:view3D>
    <c:floor>
      <c:thickness val="0"/>
    </c:floor>
    <c:sideWall>
      <c:thickness val="0"/>
    </c:sideWall>
    <c:backWall>
      <c:thickness val="0"/>
    </c:backWall>
    <c:plotArea>
      <c:layout>
        <c:manualLayout>
          <c:layoutTarget val="inner"/>
          <c:xMode val="edge"/>
          <c:yMode val="edge"/>
          <c:x val="4.0763532503504465E-2"/>
          <c:y val="8.4550434503294594E-2"/>
          <c:w val="0.56061087362189843"/>
          <c:h val="0.84412956098238545"/>
        </c:manualLayout>
      </c:layout>
      <c:pie3DChart>
        <c:varyColors val="1"/>
        <c:ser>
          <c:idx val="0"/>
          <c:order val="0"/>
          <c:spPr>
            <a:ln w="25400">
              <a:noFill/>
            </a:ln>
          </c:spPr>
          <c:explosion val="38"/>
          <c:dPt>
            <c:idx val="0"/>
            <c:bubble3D val="0"/>
            <c:spPr/>
            <c:extLst>
              <c:ext xmlns:c16="http://schemas.microsoft.com/office/drawing/2014/chart" uri="{C3380CC4-5D6E-409C-BE32-E72D297353CC}">
                <c16:uniqueId val="{00000001-5403-4A9E-B20A-7D45A33D175D}"/>
              </c:ext>
            </c:extLst>
          </c:dPt>
          <c:dPt>
            <c:idx val="1"/>
            <c:bubble3D val="0"/>
            <c:spPr/>
            <c:extLst>
              <c:ext xmlns:c16="http://schemas.microsoft.com/office/drawing/2014/chart" uri="{C3380CC4-5D6E-409C-BE32-E72D297353CC}">
                <c16:uniqueId val="{00000003-5403-4A9E-B20A-7D45A33D175D}"/>
              </c:ext>
            </c:extLst>
          </c:dPt>
          <c:dPt>
            <c:idx val="2"/>
            <c:bubble3D val="0"/>
            <c:spPr/>
            <c:extLst>
              <c:ext xmlns:c16="http://schemas.microsoft.com/office/drawing/2014/chart" uri="{C3380CC4-5D6E-409C-BE32-E72D297353CC}">
                <c16:uniqueId val="{00000005-5403-4A9E-B20A-7D45A33D175D}"/>
              </c:ext>
            </c:extLst>
          </c:dPt>
          <c:dPt>
            <c:idx val="3"/>
            <c:bubble3D val="0"/>
            <c:spPr/>
            <c:extLst>
              <c:ext xmlns:c16="http://schemas.microsoft.com/office/drawing/2014/chart" uri="{C3380CC4-5D6E-409C-BE32-E72D297353CC}">
                <c16:uniqueId val="{00000007-5403-4A9E-B20A-7D45A33D175D}"/>
              </c:ext>
            </c:extLst>
          </c:dPt>
          <c:dLbls>
            <c:numFmt formatCode="0.0%" sourceLinked="0"/>
            <c:spPr>
              <a:noFill/>
              <a:ln>
                <a:noFill/>
              </a:ln>
              <a:effectLst/>
            </c:spPr>
            <c:txPr>
              <a:bodyPr wrap="square" lIns="38100" tIns="19050" rIns="38100" bIns="19050" anchor="ctr">
                <a:spAutoFit/>
              </a:bodyPr>
              <a:lstStyle/>
              <a:p>
                <a:pPr>
                  <a:defRPr sz="1000"/>
                </a:pPr>
                <a:endParaRPr lang="bg-BG"/>
              </a:p>
            </c:txPr>
            <c:showLegendKey val="0"/>
            <c:showVal val="0"/>
            <c:showCatName val="0"/>
            <c:showSerName val="0"/>
            <c:showPercent val="1"/>
            <c:showBubbleSize val="0"/>
            <c:showLeaderLines val="0"/>
            <c:extLst>
              <c:ext xmlns:c15="http://schemas.microsoft.com/office/drawing/2012/chart" uri="{CE6537A1-D6FC-4f65-9D91-7224C49458BB}"/>
            </c:extLst>
          </c:dLbls>
          <c:cat>
            <c:strRef>
              <c:f>'АД-НССЗ 2024'!$A$25:$A$29</c:f>
              <c:strCache>
                <c:ptCount val="5"/>
                <c:pt idx="0">
                  <c:v>Други - регистр., лиценз. режими и др. изисквания - 20 845 бр.</c:v>
                </c:pt>
                <c:pt idx="1">
                  <c:v>ПРСР 2014-2020 - 8 212 бр.</c:v>
                </c:pt>
                <c:pt idx="2">
                  <c:v>Специализирани - 24 819 бр.</c:v>
                </c:pt>
                <c:pt idx="3">
                  <c:v>Схеми за директни плащания, пазарни мерки и национални схеми за подпомагане: 1 126 бр.</c:v>
                </c:pt>
                <c:pt idx="4">
                  <c:v>СПРЗСР 2023-2027 г. - 47 856 бр.</c:v>
                </c:pt>
              </c:strCache>
            </c:strRef>
          </c:cat>
          <c:val>
            <c:numRef>
              <c:f>'АД-НССЗ 2024'!$C$25:$C$29</c:f>
              <c:numCache>
                <c:formatCode>0%</c:formatCode>
                <c:ptCount val="5"/>
                <c:pt idx="0">
                  <c:v>0.20265803340527719</c:v>
                </c:pt>
                <c:pt idx="1">
                  <c:v>7.9838223570359135E-2</c:v>
                </c:pt>
                <c:pt idx="2">
                  <c:v>0.24129382255147874</c:v>
                </c:pt>
                <c:pt idx="3">
                  <c:v>1.0947130996130587E-2</c:v>
                </c:pt>
                <c:pt idx="4">
                  <c:v>0.46526278947675437</c:v>
                </c:pt>
              </c:numCache>
            </c:numRef>
          </c:val>
          <c:extLst>
            <c:ext xmlns:c16="http://schemas.microsoft.com/office/drawing/2014/chart" uri="{C3380CC4-5D6E-409C-BE32-E72D297353CC}">
              <c16:uniqueId val="{00000008-5403-4A9E-B20A-7D45A33D175D}"/>
            </c:ext>
          </c:extLst>
        </c:ser>
        <c:ser>
          <c:idx val="1"/>
          <c:order val="1"/>
          <c:spPr>
            <a:ln w="12700">
              <a:solidFill>
                <a:srgbClr val="000000"/>
              </a:solidFill>
              <a:prstDash val="solid"/>
            </a:ln>
          </c:spPr>
          <c:explosion val="25"/>
          <c:dPt>
            <c:idx val="0"/>
            <c:bubble3D val="0"/>
            <c:spPr>
              <a:solidFill>
                <a:srgbClr val="9999FF"/>
              </a:solidFill>
              <a:ln w="12700">
                <a:solidFill>
                  <a:srgbClr val="000000"/>
                </a:solidFill>
                <a:prstDash val="solid"/>
              </a:ln>
            </c:spPr>
            <c:extLst>
              <c:ext xmlns:c16="http://schemas.microsoft.com/office/drawing/2014/chart" uri="{C3380CC4-5D6E-409C-BE32-E72D297353CC}">
                <c16:uniqueId val="{0000000A-5403-4A9E-B20A-7D45A33D175D}"/>
              </c:ext>
            </c:extLst>
          </c:dPt>
          <c:dPt>
            <c:idx val="1"/>
            <c:bubble3D val="0"/>
            <c:spPr>
              <a:solidFill>
                <a:srgbClr val="993366"/>
              </a:solidFill>
              <a:ln w="12700">
                <a:solidFill>
                  <a:srgbClr val="000000"/>
                </a:solidFill>
                <a:prstDash val="solid"/>
              </a:ln>
            </c:spPr>
            <c:extLst>
              <c:ext xmlns:c16="http://schemas.microsoft.com/office/drawing/2014/chart" uri="{C3380CC4-5D6E-409C-BE32-E72D297353CC}">
                <c16:uniqueId val="{0000000C-5403-4A9E-B20A-7D45A33D175D}"/>
              </c:ext>
            </c:extLst>
          </c:dPt>
          <c:dPt>
            <c:idx val="2"/>
            <c:bubble3D val="0"/>
            <c:spPr>
              <a:solidFill>
                <a:srgbClr val="FFFFCC"/>
              </a:solidFill>
              <a:ln w="12700">
                <a:solidFill>
                  <a:srgbClr val="000000"/>
                </a:solidFill>
                <a:prstDash val="solid"/>
              </a:ln>
            </c:spPr>
            <c:extLst>
              <c:ext xmlns:c16="http://schemas.microsoft.com/office/drawing/2014/chart" uri="{C3380CC4-5D6E-409C-BE32-E72D297353CC}">
                <c16:uniqueId val="{0000000E-5403-4A9E-B20A-7D45A33D175D}"/>
              </c:ext>
            </c:extLst>
          </c:dPt>
          <c:dPt>
            <c:idx val="3"/>
            <c:bubble3D val="0"/>
            <c:spPr>
              <a:solidFill>
                <a:srgbClr val="CCFFFF"/>
              </a:solidFill>
              <a:ln w="12700">
                <a:solidFill>
                  <a:srgbClr val="000000"/>
                </a:solidFill>
                <a:prstDash val="solid"/>
              </a:ln>
            </c:spPr>
            <c:extLst>
              <c:ext xmlns:c16="http://schemas.microsoft.com/office/drawing/2014/chart" uri="{C3380CC4-5D6E-409C-BE32-E72D297353CC}">
                <c16:uniqueId val="{00000010-5403-4A9E-B20A-7D45A33D175D}"/>
              </c:ext>
            </c:extLst>
          </c:dPt>
          <c:dLbls>
            <c:spPr>
              <a:noFill/>
              <a:ln>
                <a:noFill/>
              </a:ln>
              <a:effectLst/>
            </c:spPr>
            <c:showLegendKey val="0"/>
            <c:showVal val="0"/>
            <c:showCatName val="0"/>
            <c:showSerName val="0"/>
            <c:showPercent val="1"/>
            <c:showBubbleSize val="0"/>
            <c:showLeaderLines val="0"/>
            <c:extLst>
              <c:ext xmlns:c15="http://schemas.microsoft.com/office/drawing/2012/chart" uri="{CE6537A1-D6FC-4f65-9D91-7224C49458BB}"/>
            </c:extLst>
          </c:dLbls>
          <c:cat>
            <c:strRef>
              <c:f>'АД-НССЗ 2024'!$A$25:$A$29</c:f>
              <c:strCache>
                <c:ptCount val="5"/>
                <c:pt idx="0">
                  <c:v>Други - регистр., лиценз. режими и др. изисквания - 20 845 бр.</c:v>
                </c:pt>
                <c:pt idx="1">
                  <c:v>ПРСР 2014-2020 - 8 212 бр.</c:v>
                </c:pt>
                <c:pt idx="2">
                  <c:v>Специализирани - 24 819 бр.</c:v>
                </c:pt>
                <c:pt idx="3">
                  <c:v>Схеми за директни плащания, пазарни мерки и национални схеми за подпомагане: 1 126 бр.</c:v>
                </c:pt>
                <c:pt idx="4">
                  <c:v>СПРЗСР 2023-2027 г. - 47 856 бр.</c:v>
                </c:pt>
              </c:strCache>
            </c:strRef>
          </c:cat>
          <c:val>
            <c:numRef>
              <c:f>'АД-НССЗ 2024'!$C$25:$C$28</c:f>
              <c:numCache>
                <c:formatCode>0%</c:formatCode>
                <c:ptCount val="4"/>
                <c:pt idx="0">
                  <c:v>0.20265803340527719</c:v>
                </c:pt>
                <c:pt idx="1">
                  <c:v>7.9838223570359135E-2</c:v>
                </c:pt>
                <c:pt idx="2">
                  <c:v>0.24129382255147874</c:v>
                </c:pt>
                <c:pt idx="3">
                  <c:v>1.0947130996130587E-2</c:v>
                </c:pt>
              </c:numCache>
            </c:numRef>
          </c:val>
          <c:extLst>
            <c:ext xmlns:c16="http://schemas.microsoft.com/office/drawing/2014/chart" uri="{C3380CC4-5D6E-409C-BE32-E72D297353CC}">
              <c16:uniqueId val="{00000011-5403-4A9E-B20A-7D45A33D175D}"/>
            </c:ext>
          </c:extLst>
        </c:ser>
        <c:dLbls>
          <c:showLegendKey val="0"/>
          <c:showVal val="0"/>
          <c:showCatName val="0"/>
          <c:showSerName val="0"/>
          <c:showPercent val="0"/>
          <c:showBubbleSize val="0"/>
          <c:showLeaderLines val="0"/>
        </c:dLbls>
      </c:pie3DChart>
      <c:spPr>
        <a:noFill/>
        <a:ln w="25400">
          <a:noFill/>
        </a:ln>
      </c:spPr>
    </c:plotArea>
    <c:legend>
      <c:legendPos val="r"/>
      <c:layout>
        <c:manualLayout>
          <c:xMode val="edge"/>
          <c:yMode val="edge"/>
          <c:x val="0.63067048437127171"/>
          <c:y val="3.9045711771577687E-2"/>
          <c:w val="0.35917720512208706"/>
          <c:h val="0.93149120810765706"/>
        </c:manualLayout>
      </c:layout>
      <c:overlay val="0"/>
    </c:legend>
    <c:plotVisOnly val="1"/>
    <c:dispBlanksAs val="gap"/>
    <c:showDLblsOverMax val="0"/>
  </c:chart>
  <c:spPr>
    <a:ln>
      <a:noFill/>
    </a:ln>
  </c:spPr>
  <c:txPr>
    <a:bodyPr/>
    <a:lstStyle/>
    <a:p>
      <a:pPr>
        <a:defRPr sz="1000" b="0" i="0" u="none" strike="noStrike" baseline="0">
          <a:solidFill>
            <a:srgbClr val="000000"/>
          </a:solidFill>
          <a:latin typeface="Arial Narrow"/>
          <a:ea typeface="Arial Narrow"/>
          <a:cs typeface="Arial Narrow"/>
        </a:defRPr>
      </a:pPr>
      <a:endParaRPr lang="bg-BG"/>
    </a:p>
  </c:txPr>
  <c:externalData r:id="rId2">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30"/>
      <c:rotY val="10"/>
      <c:rAngAx val="0"/>
      <c:perspective val="0"/>
    </c:view3D>
    <c:floor>
      <c:thickness val="0"/>
    </c:floor>
    <c:sideWall>
      <c:thickness val="0"/>
    </c:sideWall>
    <c:backWall>
      <c:thickness val="0"/>
    </c:backWall>
    <c:plotArea>
      <c:layout>
        <c:manualLayout>
          <c:layoutTarget val="inner"/>
          <c:xMode val="edge"/>
          <c:yMode val="edge"/>
          <c:x val="4.0483968734095967E-2"/>
          <c:y val="8.3374975041019539E-2"/>
          <c:w val="0.53905886811395642"/>
          <c:h val="0.82836972280339272"/>
        </c:manualLayout>
      </c:layout>
      <c:pie3DChart>
        <c:varyColors val="1"/>
        <c:ser>
          <c:idx val="0"/>
          <c:order val="0"/>
          <c:explosion val="25"/>
          <c:dPt>
            <c:idx val="0"/>
            <c:bubble3D val="0"/>
            <c:extLst>
              <c:ext xmlns:c16="http://schemas.microsoft.com/office/drawing/2014/chart" uri="{C3380CC4-5D6E-409C-BE32-E72D297353CC}">
                <c16:uniqueId val="{00000000-16C4-493B-9294-73333BEF5575}"/>
              </c:ext>
            </c:extLst>
          </c:dPt>
          <c:dPt>
            <c:idx val="1"/>
            <c:bubble3D val="0"/>
            <c:extLst>
              <c:ext xmlns:c16="http://schemas.microsoft.com/office/drawing/2014/chart" uri="{C3380CC4-5D6E-409C-BE32-E72D297353CC}">
                <c16:uniqueId val="{00000001-16C4-493B-9294-73333BEF5575}"/>
              </c:ext>
            </c:extLst>
          </c:dPt>
          <c:dPt>
            <c:idx val="2"/>
            <c:bubble3D val="0"/>
            <c:extLst>
              <c:ext xmlns:c16="http://schemas.microsoft.com/office/drawing/2014/chart" uri="{C3380CC4-5D6E-409C-BE32-E72D297353CC}">
                <c16:uniqueId val="{00000002-16C4-493B-9294-73333BEF5575}"/>
              </c:ext>
            </c:extLst>
          </c:dPt>
          <c:dPt>
            <c:idx val="3"/>
            <c:bubble3D val="0"/>
            <c:extLst>
              <c:ext xmlns:c16="http://schemas.microsoft.com/office/drawing/2014/chart" uri="{C3380CC4-5D6E-409C-BE32-E72D297353CC}">
                <c16:uniqueId val="{00000003-16C4-493B-9294-73333BEF5575}"/>
              </c:ext>
            </c:extLst>
          </c:dPt>
          <c:dPt>
            <c:idx val="4"/>
            <c:bubble3D val="0"/>
            <c:extLst>
              <c:ext xmlns:c16="http://schemas.microsoft.com/office/drawing/2014/chart" uri="{C3380CC4-5D6E-409C-BE32-E72D297353CC}">
                <c16:uniqueId val="{00000004-16C4-493B-9294-73333BEF5575}"/>
              </c:ext>
            </c:extLst>
          </c:dPt>
          <c:dPt>
            <c:idx val="5"/>
            <c:bubble3D val="0"/>
            <c:extLst>
              <c:ext xmlns:c16="http://schemas.microsoft.com/office/drawing/2014/chart" uri="{C3380CC4-5D6E-409C-BE32-E72D297353CC}">
                <c16:uniqueId val="{00000005-16C4-493B-9294-73333BEF5575}"/>
              </c:ext>
            </c:extLst>
          </c:dPt>
          <c:dPt>
            <c:idx val="6"/>
            <c:bubble3D val="0"/>
            <c:extLst>
              <c:ext xmlns:c16="http://schemas.microsoft.com/office/drawing/2014/chart" uri="{C3380CC4-5D6E-409C-BE32-E72D297353CC}">
                <c16:uniqueId val="{00000006-16C4-493B-9294-73333BEF5575}"/>
              </c:ext>
            </c:extLst>
          </c:dPt>
          <c:dLbls>
            <c:numFmt formatCode="0.0%" sourceLinked="0"/>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'АД-НССЗ 2024'!$A$33:$A$39</c:f>
              <c:strCache>
                <c:ptCount val="7"/>
                <c:pt idx="0">
                  <c:v>Аграрна икономика -  5 417 бр.</c:v>
                </c:pt>
                <c:pt idx="1">
                  <c:v>Растениевъдство - 5 170 бр.</c:v>
                </c:pt>
                <c:pt idx="2">
                  <c:v>ДЗЕС - 3 450 бр.</c:v>
                </c:pt>
                <c:pt idx="3">
                  <c:v>Социална условност (принципи и изисквания) - 3 329</c:v>
                </c:pt>
                <c:pt idx="4">
                  <c:v>Животновъдство - 3 159 бр.</c:v>
                </c:pt>
                <c:pt idx="5">
                  <c:v>ЗИУ - 2 786 бр.</c:v>
                </c:pt>
                <c:pt idx="6">
                  <c:v>Правила за добра земеделска практика и други - 1 508 бр.</c:v>
                </c:pt>
              </c:strCache>
            </c:strRef>
          </c:cat>
          <c:val>
            <c:numRef>
              <c:f>'АД-НССЗ 2024'!$B$33:$B$39</c:f>
              <c:numCache>
                <c:formatCode>#,##0</c:formatCode>
                <c:ptCount val="7"/>
                <c:pt idx="0">
                  <c:v>5417</c:v>
                </c:pt>
                <c:pt idx="1">
                  <c:v>5170</c:v>
                </c:pt>
                <c:pt idx="2">
                  <c:v>3450</c:v>
                </c:pt>
                <c:pt idx="3">
                  <c:v>3329</c:v>
                </c:pt>
                <c:pt idx="4">
                  <c:v>3159</c:v>
                </c:pt>
                <c:pt idx="5">
                  <c:v>2786</c:v>
                </c:pt>
                <c:pt idx="6">
                  <c:v>1508</c:v>
                </c:pt>
              </c:numCache>
            </c:numRef>
          </c:val>
          <c:extLst>
            <c:ext xmlns:c16="http://schemas.microsoft.com/office/drawing/2014/chart" uri="{C3380CC4-5D6E-409C-BE32-E72D297353CC}">
              <c16:uniqueId val="{00000007-16C4-493B-9294-73333BEF5575}"/>
            </c:ext>
          </c:extLst>
        </c:ser>
        <c:dLbls>
          <c:showLegendKey val="0"/>
          <c:showVal val="0"/>
          <c:showCatName val="0"/>
          <c:showSerName val="0"/>
          <c:showPercent val="0"/>
          <c:showBubbleSize val="0"/>
          <c:showLeaderLines val="1"/>
        </c:dLbls>
      </c:pie3DChart>
      <c:spPr>
        <a:noFill/>
        <a:ln w="25400">
          <a:noFill/>
        </a:ln>
      </c:spPr>
    </c:plotArea>
    <c:legend>
      <c:legendPos val="r"/>
      <c:layout>
        <c:manualLayout>
          <c:xMode val="edge"/>
          <c:yMode val="edge"/>
          <c:x val="0.62213075396825401"/>
          <c:y val="7.0584909226887593E-2"/>
          <c:w val="0.3627501984126984"/>
          <c:h val="0.80455533913558031"/>
        </c:manualLayout>
      </c:layout>
      <c:overlay val="0"/>
    </c:legend>
    <c:plotVisOnly val="1"/>
    <c:dispBlanksAs val="gap"/>
    <c:showDLblsOverMax val="0"/>
  </c:chart>
  <c:spPr>
    <a:ln>
      <a:noFill/>
    </a:ln>
  </c:spPr>
  <c:txPr>
    <a:bodyPr/>
    <a:lstStyle/>
    <a:p>
      <a:pPr>
        <a:defRPr>
          <a:latin typeface="Arial Narrow" panose="020B0606020202030204" pitchFamily="34" charset="0"/>
        </a:defRPr>
      </a:pPr>
      <a:endParaRPr lang="bg-BG"/>
    </a:p>
  </c:txPr>
  <c:externalData r:id="rId2">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1454325396825397"/>
          <c:y val="4.5128205128205132E-2"/>
          <c:w val="0.85894166666666671"/>
          <c:h val="0.8108404983859776"/>
        </c:manualLayout>
      </c:layout>
      <c:barChart>
        <c:barDir val="col"/>
        <c:grouping val="clustered"/>
        <c:varyColors val="0"/>
        <c:ser>
          <c:idx val="0"/>
          <c:order val="0"/>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'АД 2025 ИАБГ'!$A$5:$A$14</c:f>
              <c:numCache>
                <c:formatCode>General</c:formatCode>
                <c:ptCount val="10"/>
                <c:pt idx="0">
                  <c:v>2015</c:v>
                </c:pt>
                <c:pt idx="1">
                  <c:v>2016</c:v>
                </c:pt>
                <c:pt idx="2">
                  <c:v>2017</c:v>
                </c:pt>
                <c:pt idx="3">
                  <c:v>2018</c:v>
                </c:pt>
                <c:pt idx="4">
                  <c:v>2019</c:v>
                </c:pt>
                <c:pt idx="5">
                  <c:v>2020</c:v>
                </c:pt>
                <c:pt idx="6">
                  <c:v>2021</c:v>
                </c:pt>
                <c:pt idx="7">
                  <c:v>2022</c:v>
                </c:pt>
                <c:pt idx="8">
                  <c:v>2023</c:v>
                </c:pt>
                <c:pt idx="9">
                  <c:v>2024</c:v>
                </c:pt>
              </c:numCache>
            </c:numRef>
          </c:cat>
          <c:val>
            <c:numRef>
              <c:f>'АД 2025 ИАБГ'!$B$5:$B$14</c:f>
              <c:numCache>
                <c:formatCode>General</c:formatCode>
                <c:ptCount val="10"/>
                <c:pt idx="0">
                  <c:v>142</c:v>
                </c:pt>
                <c:pt idx="1">
                  <c:v>219</c:v>
                </c:pt>
                <c:pt idx="2">
                  <c:v>154</c:v>
                </c:pt>
                <c:pt idx="3">
                  <c:v>305</c:v>
                </c:pt>
                <c:pt idx="4">
                  <c:v>270</c:v>
                </c:pt>
                <c:pt idx="5">
                  <c:v>296</c:v>
                </c:pt>
                <c:pt idx="6">
                  <c:v>269</c:v>
                </c:pt>
                <c:pt idx="7">
                  <c:v>295</c:v>
                </c:pt>
                <c:pt idx="8">
                  <c:v>286</c:v>
                </c:pt>
                <c:pt idx="9">
                  <c:v>255</c:v>
                </c:pt>
              </c:numCache>
            </c:numRef>
          </c:val>
          <c:extLst>
            <c:ext xmlns:c16="http://schemas.microsoft.com/office/drawing/2014/chart" uri="{C3380CC4-5D6E-409C-BE32-E72D297353CC}">
              <c16:uniqueId val="{00000000-BF64-44EA-B806-57A2888A626F}"/>
            </c:ext>
          </c:extLst>
        </c:ser>
        <c:dLbls>
          <c:showLegendKey val="0"/>
          <c:showVal val="0"/>
          <c:showCatName val="0"/>
          <c:showSerName val="0"/>
          <c:showPercent val="0"/>
          <c:showBubbleSize val="0"/>
        </c:dLbls>
        <c:gapWidth val="150"/>
        <c:axId val="104226304"/>
        <c:axId val="105732288"/>
      </c:barChart>
      <c:catAx>
        <c:axId val="104226304"/>
        <c:scaling>
          <c:orientation val="minMax"/>
        </c:scaling>
        <c:delete val="0"/>
        <c:axPos val="b"/>
        <c:numFmt formatCode="General" sourceLinked="1"/>
        <c:majorTickMark val="none"/>
        <c:minorTickMark val="none"/>
        <c:tickLblPos val="nextTo"/>
        <c:crossAx val="105732288"/>
        <c:crosses val="autoZero"/>
        <c:auto val="1"/>
        <c:lblAlgn val="ctr"/>
        <c:lblOffset val="100"/>
        <c:noMultiLvlLbl val="0"/>
      </c:catAx>
      <c:valAx>
        <c:axId val="105732288"/>
        <c:scaling>
          <c:orientation val="minMax"/>
        </c:scaling>
        <c:delete val="0"/>
        <c:axPos val="l"/>
        <c:title>
          <c:tx>
            <c:rich>
              <a:bodyPr/>
              <a:lstStyle/>
              <a:p>
                <a:pPr>
                  <a:defRPr b="0"/>
                </a:pPr>
                <a:r>
                  <a:rPr lang="bg-BG" b="0"/>
                  <a:t>брой</a:t>
                </a:r>
                <a:endParaRPr lang="en-US" b="0"/>
              </a:p>
            </c:rich>
          </c:tx>
          <c:layout>
            <c:manualLayout>
              <c:xMode val="edge"/>
              <c:yMode val="edge"/>
              <c:x val="7.1652777777777774E-3"/>
              <c:y val="0.38469583333333335"/>
            </c:manualLayout>
          </c:layout>
          <c:overlay val="0"/>
        </c:title>
        <c:numFmt formatCode="General" sourceLinked="1"/>
        <c:majorTickMark val="out"/>
        <c:minorTickMark val="none"/>
        <c:tickLblPos val="nextTo"/>
        <c:crossAx val="104226304"/>
        <c:crosses val="autoZero"/>
        <c:crossBetween val="between"/>
      </c:valAx>
    </c:plotArea>
    <c:plotVisOnly val="1"/>
    <c:dispBlanksAs val="gap"/>
    <c:showDLblsOverMax val="0"/>
  </c:chart>
  <c:spPr>
    <a:ln>
      <a:noFill/>
    </a:ln>
  </c:spPr>
  <c:txPr>
    <a:bodyPr/>
    <a:lstStyle/>
    <a:p>
      <a:pPr>
        <a:defRPr sz="1000">
          <a:latin typeface="Arial Narrow" panose="020B0606020202030204" pitchFamily="34" charset="0"/>
        </a:defRPr>
      </a:pPr>
      <a:endParaRPr lang="bg-BG"/>
    </a:p>
  </c:txPr>
  <c:externalData r:id="rId2">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1689761904761904"/>
          <c:y val="4.8506944444444443E-2"/>
          <c:w val="0.85538412698412702"/>
          <c:h val="0.84578472222222223"/>
        </c:manualLayout>
      </c:layout>
      <c:barChart>
        <c:barDir val="col"/>
        <c:grouping val="clustered"/>
        <c:varyColors val="0"/>
        <c:ser>
          <c:idx val="0"/>
          <c:order val="0"/>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'АД 2025 ИАБГ'!$A$28:$A$37</c:f>
              <c:numCache>
                <c:formatCode>General</c:formatCode>
                <c:ptCount val="10"/>
                <c:pt idx="0">
                  <c:v>2015</c:v>
                </c:pt>
                <c:pt idx="1">
                  <c:v>2016</c:v>
                </c:pt>
                <c:pt idx="2">
                  <c:v>2017</c:v>
                </c:pt>
                <c:pt idx="3">
                  <c:v>2018</c:v>
                </c:pt>
                <c:pt idx="4">
                  <c:v>2019</c:v>
                </c:pt>
                <c:pt idx="5">
                  <c:v>2020</c:v>
                </c:pt>
                <c:pt idx="6">
                  <c:v>2021</c:v>
                </c:pt>
                <c:pt idx="7">
                  <c:v>2022</c:v>
                </c:pt>
                <c:pt idx="8">
                  <c:v>2023</c:v>
                </c:pt>
                <c:pt idx="9">
                  <c:v>2024</c:v>
                </c:pt>
              </c:numCache>
            </c:numRef>
          </c:cat>
          <c:val>
            <c:numRef>
              <c:f>'АД 2025 ИАБГ'!$B$28:$B$37</c:f>
              <c:numCache>
                <c:formatCode>0.0</c:formatCode>
                <c:ptCount val="10"/>
                <c:pt idx="0">
                  <c:v>77.760000000000005</c:v>
                </c:pt>
                <c:pt idx="1">
                  <c:v>102.3</c:v>
                </c:pt>
                <c:pt idx="2">
                  <c:v>63.61</c:v>
                </c:pt>
                <c:pt idx="3">
                  <c:v>115.46</c:v>
                </c:pt>
                <c:pt idx="4">
                  <c:v>122.2</c:v>
                </c:pt>
                <c:pt idx="5">
                  <c:v>123.91</c:v>
                </c:pt>
                <c:pt idx="6" formatCode="General">
                  <c:v>146.6</c:v>
                </c:pt>
                <c:pt idx="7" formatCode="General">
                  <c:v>196.1</c:v>
                </c:pt>
                <c:pt idx="8" formatCode="General">
                  <c:v>189.6</c:v>
                </c:pt>
                <c:pt idx="9" formatCode="General">
                  <c:v>128.30000000000001</c:v>
                </c:pt>
              </c:numCache>
            </c:numRef>
          </c:val>
          <c:extLst>
            <c:ext xmlns:c16="http://schemas.microsoft.com/office/drawing/2014/chart" uri="{C3380CC4-5D6E-409C-BE32-E72D297353CC}">
              <c16:uniqueId val="{00000000-ED80-4D26-B2C9-C5909EE4C549}"/>
            </c:ext>
          </c:extLst>
        </c:ser>
        <c:dLbls>
          <c:showLegendKey val="0"/>
          <c:showVal val="0"/>
          <c:showCatName val="0"/>
          <c:showSerName val="0"/>
          <c:showPercent val="0"/>
          <c:showBubbleSize val="0"/>
        </c:dLbls>
        <c:gapWidth val="150"/>
        <c:axId val="106810368"/>
        <c:axId val="107168896"/>
      </c:barChart>
      <c:catAx>
        <c:axId val="106810368"/>
        <c:scaling>
          <c:orientation val="minMax"/>
        </c:scaling>
        <c:delete val="0"/>
        <c:axPos val="b"/>
        <c:numFmt formatCode="General" sourceLinked="1"/>
        <c:majorTickMark val="none"/>
        <c:minorTickMark val="none"/>
        <c:tickLblPos val="nextTo"/>
        <c:crossAx val="107168896"/>
        <c:crosses val="autoZero"/>
        <c:auto val="1"/>
        <c:lblAlgn val="ctr"/>
        <c:lblOffset val="100"/>
        <c:noMultiLvlLbl val="0"/>
      </c:catAx>
      <c:valAx>
        <c:axId val="107168896"/>
        <c:scaling>
          <c:orientation val="minMax"/>
        </c:scaling>
        <c:delete val="0"/>
        <c:axPos val="l"/>
        <c:title>
          <c:tx>
            <c:rich>
              <a:bodyPr/>
              <a:lstStyle/>
              <a:p>
                <a:pPr>
                  <a:defRPr b="0"/>
                </a:pPr>
                <a:r>
                  <a:rPr lang="bg-BG" b="0"/>
                  <a:t>млн. лв.</a:t>
                </a:r>
                <a:endParaRPr lang="en-US" b="0"/>
              </a:p>
            </c:rich>
          </c:tx>
          <c:layout>
            <c:manualLayout>
              <c:xMode val="edge"/>
              <c:yMode val="edge"/>
              <c:x val="1.0079365079365079E-2"/>
              <c:y val="0.3679472222222222"/>
            </c:manualLayout>
          </c:layout>
          <c:overlay val="0"/>
        </c:title>
        <c:numFmt formatCode="0" sourceLinked="0"/>
        <c:majorTickMark val="out"/>
        <c:minorTickMark val="none"/>
        <c:tickLblPos val="nextTo"/>
        <c:crossAx val="106810368"/>
        <c:crosses val="autoZero"/>
        <c:crossBetween val="between"/>
      </c:valAx>
    </c:plotArea>
    <c:plotVisOnly val="1"/>
    <c:dispBlanksAs val="gap"/>
    <c:showDLblsOverMax val="0"/>
  </c:chart>
  <c:spPr>
    <a:ln>
      <a:noFill/>
    </a:ln>
  </c:spPr>
  <c:txPr>
    <a:bodyPr/>
    <a:lstStyle/>
    <a:p>
      <a:pPr>
        <a:defRPr sz="1000">
          <a:latin typeface="Arial Narrow" panose="020B0606020202030204" pitchFamily="34" charset="0"/>
        </a:defRPr>
      </a:pPr>
      <a:endParaRPr lang="bg-BG"/>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360843621399178"/>
          <c:y val="5.3254437869822487E-2"/>
          <c:w val="0.86245946502057624"/>
          <c:h val="0.83431952662721898"/>
        </c:manualLayout>
      </c:layout>
      <c:barChart>
        <c:barDir val="col"/>
        <c:grouping val="clustered"/>
        <c:varyColors val="0"/>
        <c:ser>
          <c:idx val="0"/>
          <c:order val="0"/>
          <c:tx>
            <c:strRef>
              <c:f>макрорамка!$A$31</c:f>
              <c:strCache>
                <c:ptCount val="1"/>
                <c:pt idx="0">
                  <c:v>БДС</c:v>
                </c:pt>
              </c:strCache>
            </c:strRef>
          </c:tx>
          <c:spPr>
            <a:solidFill>
              <a:schemeClr val="bg2">
                <a:lumMod val="50000"/>
              </a:schemeClr>
            </a:solidFill>
            <a:ln w="25400">
              <a:noFill/>
            </a:ln>
          </c:spPr>
          <c:invertIfNegative val="0"/>
          <c:dLbls>
            <c:spPr>
              <a:noFill/>
              <a:ln w="25400">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макрорамка!$B$30:$F$30</c:f>
              <c:numCache>
                <c:formatCode>General</c:formatCode>
                <c:ptCount val="5"/>
                <c:pt idx="0">
                  <c:v>2020</c:v>
                </c:pt>
                <c:pt idx="1">
                  <c:v>2021</c:v>
                </c:pt>
                <c:pt idx="2">
                  <c:v>2022</c:v>
                </c:pt>
                <c:pt idx="3">
                  <c:v>2023</c:v>
                </c:pt>
                <c:pt idx="4">
                  <c:v>2024</c:v>
                </c:pt>
              </c:numCache>
            </c:numRef>
          </c:cat>
          <c:val>
            <c:numRef>
              <c:f>макрорамка!$B$31:$F$31</c:f>
              <c:numCache>
                <c:formatCode>#,##0</c:formatCode>
                <c:ptCount val="5"/>
                <c:pt idx="0">
                  <c:v>4156.835</c:v>
                </c:pt>
                <c:pt idx="1">
                  <c:v>6040.4669999999996</c:v>
                </c:pt>
                <c:pt idx="2">
                  <c:v>6248.241</c:v>
                </c:pt>
                <c:pt idx="3">
                  <c:v>4663.3739999999998</c:v>
                </c:pt>
                <c:pt idx="4">
                  <c:v>4817.4759999999997</c:v>
                </c:pt>
              </c:numCache>
            </c:numRef>
          </c:val>
          <c:extLst>
            <c:ext xmlns:c16="http://schemas.microsoft.com/office/drawing/2014/chart" uri="{C3380CC4-5D6E-409C-BE32-E72D297353CC}">
              <c16:uniqueId val="{00000000-4228-4F3B-AFF1-B6607BF6DDAD}"/>
            </c:ext>
          </c:extLst>
        </c:ser>
        <c:dLbls>
          <c:showLegendKey val="0"/>
          <c:showVal val="0"/>
          <c:showCatName val="0"/>
          <c:showSerName val="0"/>
          <c:showPercent val="0"/>
          <c:showBubbleSize val="0"/>
        </c:dLbls>
        <c:gapWidth val="200"/>
        <c:axId val="108945408"/>
        <c:axId val="107632256"/>
      </c:barChart>
      <c:catAx>
        <c:axId val="108945408"/>
        <c:scaling>
          <c:orientation val="minMax"/>
        </c:scaling>
        <c:delete val="0"/>
        <c:axPos val="b"/>
        <c:numFmt formatCode="General" sourceLinked="1"/>
        <c:majorTickMark val="out"/>
        <c:minorTickMark val="none"/>
        <c:tickLblPos val="nextTo"/>
        <c:spPr>
          <a:ln w="12700">
            <a:solidFill>
              <a:srgbClr val="000000"/>
            </a:solidFill>
            <a:prstDash val="solid"/>
          </a:ln>
        </c:spPr>
        <c:txPr>
          <a:bodyPr rot="0" vert="horz"/>
          <a:lstStyle/>
          <a:p>
            <a:pPr>
              <a:defRPr/>
            </a:pPr>
            <a:endParaRPr lang="bg-BG"/>
          </a:p>
        </c:txPr>
        <c:crossAx val="107632256"/>
        <c:crosses val="autoZero"/>
        <c:auto val="1"/>
        <c:lblAlgn val="ctr"/>
        <c:lblOffset val="100"/>
        <c:tickLblSkip val="1"/>
        <c:tickMarkSkip val="1"/>
        <c:noMultiLvlLbl val="0"/>
      </c:catAx>
      <c:valAx>
        <c:axId val="107632256"/>
        <c:scaling>
          <c:orientation val="minMax"/>
          <c:min val="0"/>
        </c:scaling>
        <c:delete val="0"/>
        <c:axPos val="l"/>
        <c:numFmt formatCode="#,##0" sourceLinked="1"/>
        <c:majorTickMark val="out"/>
        <c:minorTickMark val="none"/>
        <c:tickLblPos val="nextTo"/>
        <c:spPr>
          <a:ln w="12700">
            <a:solidFill>
              <a:srgbClr val="000000"/>
            </a:solidFill>
            <a:prstDash val="solid"/>
          </a:ln>
        </c:spPr>
        <c:txPr>
          <a:bodyPr rot="0" vert="horz"/>
          <a:lstStyle/>
          <a:p>
            <a:pPr>
              <a:defRPr/>
            </a:pPr>
            <a:endParaRPr lang="bg-BG"/>
          </a:p>
        </c:txPr>
        <c:crossAx val="108945408"/>
        <c:crosses val="autoZero"/>
        <c:crossBetween val="between"/>
        <c:majorUnit val="500"/>
        <c:minorUnit val="250"/>
      </c:valAx>
      <c:spPr>
        <a:noFill/>
        <a:ln w="25400">
          <a:noFill/>
        </a:ln>
      </c:spPr>
    </c:plotArea>
    <c:plotVisOnly val="1"/>
    <c:dispBlanksAs val="gap"/>
    <c:showDLblsOverMax val="0"/>
  </c:chart>
  <c:spPr>
    <a:solidFill>
      <a:srgbClr val="FFFFFF"/>
    </a:solidFill>
    <a:ln w="9525">
      <a:noFill/>
    </a:ln>
  </c:spPr>
  <c:txPr>
    <a:bodyPr/>
    <a:lstStyle/>
    <a:p>
      <a:pPr>
        <a:defRPr sz="1000" b="0" i="0" u="none" strike="noStrike" baseline="0">
          <a:solidFill>
            <a:srgbClr val="000000"/>
          </a:solidFill>
          <a:latin typeface="Arial Narrow"/>
          <a:ea typeface="Arial Narrow"/>
          <a:cs typeface="Arial Narrow"/>
        </a:defRPr>
      </a:pPr>
      <a:endParaRPr lang="bg-BG"/>
    </a:p>
  </c:txPr>
  <c:externalData r:id="rId2">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30"/>
      <c:rotY val="10"/>
      <c:rAngAx val="0"/>
      <c:perspective val="0"/>
    </c:view3D>
    <c:floor>
      <c:thickness val="0"/>
    </c:floor>
    <c:sideWall>
      <c:thickness val="0"/>
    </c:sideWall>
    <c:backWall>
      <c:thickness val="0"/>
    </c:backWall>
    <c:plotArea>
      <c:layout>
        <c:manualLayout>
          <c:layoutTarget val="inner"/>
          <c:xMode val="edge"/>
          <c:yMode val="edge"/>
          <c:x val="0.16378968253968254"/>
          <c:y val="0.1763888888888889"/>
          <c:w val="0.68753968253968256"/>
          <c:h val="0.66045138888888888"/>
        </c:manualLayout>
      </c:layout>
      <c:pie3DChart>
        <c:varyColors val="1"/>
        <c:ser>
          <c:idx val="0"/>
          <c:order val="0"/>
          <c:explosion val="10"/>
          <c:dLbls>
            <c:dLbl>
              <c:idx val="1"/>
              <c:layout>
                <c:manualLayout>
                  <c:x val="-0.12010726201117262"/>
                  <c:y val="-0.14285380994042413"/>
                </c:manualLayout>
              </c:layout>
              <c:dLblPos val="bestFi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0-356E-4075-9712-C61A1F35E24D}"/>
                </c:ext>
              </c:extLst>
            </c:dLbl>
            <c:dLbl>
              <c:idx val="2"/>
              <c:layout>
                <c:manualLayout>
                  <c:x val="0.11797987894829261"/>
                  <c:y val="-0.1710729492146815"/>
                </c:manualLayout>
              </c:layout>
              <c:spPr>
                <a:noFill/>
                <a:ln>
                  <a:noFill/>
                </a:ln>
                <a:effectLst/>
              </c:spPr>
              <c:txPr>
                <a:bodyPr wrap="square" lIns="38100" tIns="19050" rIns="38100" bIns="19050" anchor="ctr">
                  <a:noAutofit/>
                </a:bodyPr>
                <a:lstStyle/>
                <a:p>
                  <a:pPr>
                    <a:defRPr/>
                  </a:pPr>
                  <a:endParaRPr lang="bg-BG"/>
                </a:p>
              </c:txPr>
              <c:dLblPos val="bestFit"/>
              <c:showLegendKey val="0"/>
              <c:showVal val="1"/>
              <c:showCatName val="1"/>
              <c:showSerName val="0"/>
              <c:showPercent val="0"/>
              <c:showBubbleSize val="0"/>
              <c:separator>
</c:separator>
              <c:extLst>
                <c:ext xmlns:c15="http://schemas.microsoft.com/office/drawing/2012/chart" uri="{CE6537A1-D6FC-4f65-9D91-7224C49458BB}">
                  <c15:layout>
                    <c:manualLayout>
                      <c:w val="5.6469698878669525E-2"/>
                      <c:h val="0.1183068783068783"/>
                    </c:manualLayout>
                  </c15:layout>
                </c:ext>
                <c:ext xmlns:c16="http://schemas.microsoft.com/office/drawing/2014/chart" uri="{C3380CC4-5D6E-409C-BE32-E72D297353CC}">
                  <c16:uniqueId val="{00000001-356E-4075-9712-C61A1F35E24D}"/>
                </c:ext>
              </c:extLst>
            </c:dLbl>
            <c:spPr>
              <a:noFill/>
              <a:ln>
                <a:noFill/>
              </a:ln>
              <a:effectLst/>
            </c:spPr>
            <c:dLblPos val="bestFit"/>
            <c:showLegendKey val="0"/>
            <c:showVal val="1"/>
            <c:showCatName val="1"/>
            <c:showSerName val="0"/>
            <c:showPercent val="0"/>
            <c:showBubbleSize val="0"/>
            <c:separator>
</c:separator>
            <c:showLeaderLines val="0"/>
            <c:extLst>
              <c:ext xmlns:c15="http://schemas.microsoft.com/office/drawing/2012/chart" uri="{CE6537A1-D6FC-4f65-9D91-7224C49458BB}"/>
            </c:extLst>
          </c:dLbls>
          <c:cat>
            <c:strRef>
              <c:f>'АД 2025 ИАБГ'!$A$59:$A$63</c:f>
              <c:strCache>
                <c:ptCount val="5"/>
                <c:pt idx="0">
                  <c:v>май</c:v>
                </c:pt>
                <c:pt idx="1">
                  <c:v>юни</c:v>
                </c:pt>
                <c:pt idx="2">
                  <c:v>юли</c:v>
                </c:pt>
                <c:pt idx="3">
                  <c:v>август</c:v>
                </c:pt>
                <c:pt idx="4">
                  <c:v>септември</c:v>
                </c:pt>
              </c:strCache>
            </c:strRef>
          </c:cat>
          <c:val>
            <c:numRef>
              <c:f>'АД 2025 ИАБГ'!$B$59:$B$63</c:f>
              <c:numCache>
                <c:formatCode>0%</c:formatCode>
                <c:ptCount val="5"/>
                <c:pt idx="0">
                  <c:v>0.18</c:v>
                </c:pt>
                <c:pt idx="1">
                  <c:v>0.23</c:v>
                </c:pt>
                <c:pt idx="2">
                  <c:v>0.45</c:v>
                </c:pt>
                <c:pt idx="3">
                  <c:v>0.11</c:v>
                </c:pt>
                <c:pt idx="4">
                  <c:v>0.03</c:v>
                </c:pt>
              </c:numCache>
            </c:numRef>
          </c:val>
          <c:extLst>
            <c:ext xmlns:c16="http://schemas.microsoft.com/office/drawing/2014/chart" uri="{C3380CC4-5D6E-409C-BE32-E72D297353CC}">
              <c16:uniqueId val="{00000000-FCD5-4641-BC54-A04CDB33995E}"/>
            </c:ext>
          </c:extLst>
        </c:ser>
        <c:dLbls>
          <c:dLblPos val="bestFit"/>
          <c:showLegendKey val="0"/>
          <c:showVal val="1"/>
          <c:showCatName val="0"/>
          <c:showSerName val="0"/>
          <c:showPercent val="0"/>
          <c:showBubbleSize val="0"/>
          <c:showLeaderLines val="0"/>
        </c:dLbls>
      </c:pie3DChart>
      <c:spPr>
        <a:noFill/>
        <a:ln w="25400">
          <a:noFill/>
        </a:ln>
      </c:spPr>
    </c:plotArea>
    <c:plotVisOnly val="1"/>
    <c:dispBlanksAs val="gap"/>
    <c:showDLblsOverMax val="0"/>
  </c:chart>
  <c:spPr>
    <a:ln>
      <a:noFill/>
    </a:ln>
  </c:spPr>
  <c:txPr>
    <a:bodyPr/>
    <a:lstStyle/>
    <a:p>
      <a:pPr>
        <a:defRPr>
          <a:latin typeface="Arial Narrow" panose="020B0606020202030204" pitchFamily="34" charset="0"/>
        </a:defRPr>
      </a:pPr>
      <a:endParaRPr lang="bg-BG"/>
    </a:p>
  </c:txPr>
  <c:externalData r:id="rId2">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1015176056149803"/>
          <c:y val="7.3573116379843109E-2"/>
          <c:w val="0.85200164643370702"/>
          <c:h val="0.76021200950989176"/>
        </c:manualLayout>
      </c:layout>
      <c:barChart>
        <c:barDir val="col"/>
        <c:grouping val="clustered"/>
        <c:varyColors val="0"/>
        <c:ser>
          <c:idx val="1"/>
          <c:order val="0"/>
          <c:tx>
            <c:strRef>
              <c:f>'fig.... polzvane DGT 2015-2 (2'!$A$5</c:f>
              <c:strCache>
                <c:ptCount val="1"/>
                <c:pt idx="0">
                  <c:v>план</c:v>
                </c:pt>
              </c:strCache>
            </c:strRef>
          </c:tx>
          <c:spPr>
            <a:solidFill>
              <a:srgbClr val="FFC000"/>
            </a:solidFill>
          </c:spPr>
          <c:invertIfNegative val="0"/>
          <c:dLbls>
            <c:numFmt formatCode="#,##0" sourceLinked="0"/>
            <c:spPr>
              <a:noFill/>
              <a:ln w="25400">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'fig.... polzvane DGT 2015-2 (2'!$N$4:$R$4</c:f>
              <c:numCache>
                <c:formatCode>General</c:formatCode>
                <c:ptCount val="5"/>
                <c:pt idx="0">
                  <c:v>2020</c:v>
                </c:pt>
                <c:pt idx="1">
                  <c:v>2021</c:v>
                </c:pt>
                <c:pt idx="2">
                  <c:v>2022</c:v>
                </c:pt>
                <c:pt idx="3">
                  <c:v>2023</c:v>
                </c:pt>
                <c:pt idx="4">
                  <c:v>2024</c:v>
                </c:pt>
              </c:numCache>
            </c:numRef>
          </c:cat>
          <c:val>
            <c:numRef>
              <c:f>'fig.... polzvane DGT 2015-2 (2'!$N$5:$R$5</c:f>
              <c:numCache>
                <c:formatCode>0</c:formatCode>
                <c:ptCount val="5"/>
                <c:pt idx="0">
                  <c:v>4824</c:v>
                </c:pt>
                <c:pt idx="1">
                  <c:v>4781</c:v>
                </c:pt>
                <c:pt idx="2">
                  <c:v>4669</c:v>
                </c:pt>
                <c:pt idx="3">
                  <c:v>4602</c:v>
                </c:pt>
                <c:pt idx="4">
                  <c:v>4602</c:v>
                </c:pt>
              </c:numCache>
            </c:numRef>
          </c:val>
          <c:extLst>
            <c:ext xmlns:c16="http://schemas.microsoft.com/office/drawing/2014/chart" uri="{C3380CC4-5D6E-409C-BE32-E72D297353CC}">
              <c16:uniqueId val="{00000000-AF32-48A9-B9F6-7B0CE536D933}"/>
            </c:ext>
          </c:extLst>
        </c:ser>
        <c:ser>
          <c:idx val="0"/>
          <c:order val="1"/>
          <c:tx>
            <c:strRef>
              <c:f>'fig.... polzvane DGT 2015-2 (2'!$A$6</c:f>
              <c:strCache>
                <c:ptCount val="1"/>
                <c:pt idx="0">
                  <c:v>отчет</c:v>
                </c:pt>
              </c:strCache>
            </c:strRef>
          </c:tx>
          <c:spPr>
            <a:solidFill>
              <a:schemeClr val="accent3">
                <a:lumMod val="75000"/>
              </a:schemeClr>
            </a:solidFill>
            <a:ln w="12700">
              <a:noFill/>
              <a:prstDash val="solid"/>
            </a:ln>
          </c:spPr>
          <c:invertIfNegative val="0"/>
          <c:dLbls>
            <c:numFmt formatCode="#,##0" sourceLinked="0"/>
            <c:spPr>
              <a:noFill/>
              <a:ln w="25400">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'fig.... polzvane DGT 2015-2 (2'!$N$4:$R$4</c:f>
              <c:numCache>
                <c:formatCode>General</c:formatCode>
                <c:ptCount val="5"/>
                <c:pt idx="0">
                  <c:v>2020</c:v>
                </c:pt>
                <c:pt idx="1">
                  <c:v>2021</c:v>
                </c:pt>
                <c:pt idx="2">
                  <c:v>2022</c:v>
                </c:pt>
                <c:pt idx="3">
                  <c:v>2023</c:v>
                </c:pt>
                <c:pt idx="4">
                  <c:v>2024</c:v>
                </c:pt>
              </c:numCache>
            </c:numRef>
          </c:cat>
          <c:val>
            <c:numRef>
              <c:f>'fig.... polzvane DGT 2015-2 (2'!$N$6:$R$6</c:f>
              <c:numCache>
                <c:formatCode>0</c:formatCode>
                <c:ptCount val="5"/>
                <c:pt idx="0">
                  <c:v>4401</c:v>
                </c:pt>
                <c:pt idx="1">
                  <c:v>4643</c:v>
                </c:pt>
                <c:pt idx="2">
                  <c:v>4874</c:v>
                </c:pt>
                <c:pt idx="3">
                  <c:v>3972</c:v>
                </c:pt>
                <c:pt idx="4">
                  <c:v>3743</c:v>
                </c:pt>
              </c:numCache>
            </c:numRef>
          </c:val>
          <c:extLst>
            <c:ext xmlns:c16="http://schemas.microsoft.com/office/drawing/2014/chart" uri="{C3380CC4-5D6E-409C-BE32-E72D297353CC}">
              <c16:uniqueId val="{00000001-AF32-48A9-B9F6-7B0CE536D933}"/>
            </c:ext>
          </c:extLst>
        </c:ser>
        <c:dLbls>
          <c:showLegendKey val="0"/>
          <c:showVal val="0"/>
          <c:showCatName val="0"/>
          <c:showSerName val="0"/>
          <c:showPercent val="0"/>
          <c:showBubbleSize val="0"/>
        </c:dLbls>
        <c:gapWidth val="97"/>
        <c:overlap val="-15"/>
        <c:axId val="1038740384"/>
        <c:axId val="1"/>
      </c:barChart>
      <c:catAx>
        <c:axId val="1038740384"/>
        <c:scaling>
          <c:orientation val="minMax"/>
        </c:scaling>
        <c:delete val="0"/>
        <c:axPos val="b"/>
        <c:numFmt formatCode="General" sourceLinked="1"/>
        <c:majorTickMark val="none"/>
        <c:minorTickMark val="none"/>
        <c:tickLblPos val="nextTo"/>
        <c:spPr>
          <a:ln w="3175">
            <a:solidFill>
              <a:srgbClr val="000000"/>
            </a:solidFill>
            <a:prstDash val="solid"/>
          </a:ln>
        </c:spPr>
        <c:txPr>
          <a:bodyPr rot="0" vert="horz"/>
          <a:lstStyle/>
          <a:p>
            <a:pPr>
              <a:defRPr/>
            </a:pPr>
            <a:endParaRPr lang="bg-BG"/>
          </a:p>
        </c:txPr>
        <c:crossAx val="1"/>
        <c:crosses val="autoZero"/>
        <c:auto val="0"/>
        <c:lblAlgn val="ctr"/>
        <c:lblOffset val="100"/>
        <c:tickLblSkip val="1"/>
        <c:tickMarkSkip val="1"/>
        <c:noMultiLvlLbl val="0"/>
      </c:catAx>
      <c:valAx>
        <c:axId val="1"/>
        <c:scaling>
          <c:orientation val="minMax"/>
          <c:max val="6000"/>
          <c:min val="0"/>
        </c:scaling>
        <c:delete val="0"/>
        <c:axPos val="l"/>
        <c:majorGridlines>
          <c:spPr>
            <a:ln w="3175">
              <a:solidFill>
                <a:srgbClr val="FFFFFF"/>
              </a:solidFill>
              <a:prstDash val="solid"/>
            </a:ln>
          </c:spPr>
        </c:majorGridlines>
        <c:numFmt formatCode="0" sourceLinked="1"/>
        <c:majorTickMark val="out"/>
        <c:minorTickMark val="none"/>
        <c:tickLblPos val="nextTo"/>
        <c:txPr>
          <a:bodyPr rot="0" vert="horz"/>
          <a:lstStyle/>
          <a:p>
            <a:pPr>
              <a:defRPr/>
            </a:pPr>
            <a:endParaRPr lang="bg-BG"/>
          </a:p>
        </c:txPr>
        <c:crossAx val="1038740384"/>
        <c:crosses val="autoZero"/>
        <c:crossBetween val="between"/>
        <c:majorUnit val="1000"/>
        <c:minorUnit val="200"/>
      </c:valAx>
      <c:spPr>
        <a:solidFill>
          <a:srgbClr val="FFFFFF"/>
        </a:solidFill>
        <a:ln w="12700">
          <a:noFill/>
          <a:prstDash val="solid"/>
        </a:ln>
      </c:spPr>
    </c:plotArea>
    <c:legend>
      <c:legendPos val="r"/>
      <c:layout>
        <c:manualLayout>
          <c:xMode val="edge"/>
          <c:yMode val="edge"/>
          <c:x val="0.24524913000946164"/>
          <c:y val="0.92247140852545784"/>
          <c:w val="0.55923152172169921"/>
          <c:h val="6.1257232348718826E-2"/>
        </c:manualLayout>
      </c:layout>
      <c:overlay val="0"/>
    </c:legend>
    <c:plotVisOnly val="1"/>
    <c:dispBlanksAs val="gap"/>
    <c:showDLblsOverMax val="0"/>
  </c:chart>
  <c:spPr>
    <a:solidFill>
      <a:srgbClr val="FFFFFF"/>
    </a:solidFill>
    <a:ln w="3175">
      <a:noFill/>
      <a:prstDash val="solid"/>
    </a:ln>
  </c:spPr>
  <c:txPr>
    <a:bodyPr/>
    <a:lstStyle/>
    <a:p>
      <a:pPr>
        <a:defRPr sz="1000" b="0" i="0" u="none" strike="noStrike" baseline="0">
          <a:solidFill>
            <a:srgbClr val="000000"/>
          </a:solidFill>
          <a:latin typeface="Arial Narrow"/>
          <a:ea typeface="Arial Narrow"/>
          <a:cs typeface="Arial Narrow"/>
        </a:defRPr>
      </a:pPr>
      <a:endParaRPr lang="bg-BG"/>
    </a:p>
  </c:txPr>
  <c:externalData r:id="rId2">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4335664335664336"/>
          <c:y val="7.4468181812278988E-2"/>
          <c:w val="0.83216783216783219"/>
          <c:h val="0.79787337656013202"/>
        </c:manualLayout>
      </c:layout>
      <c:barChart>
        <c:barDir val="col"/>
        <c:grouping val="clustered"/>
        <c:varyColors val="0"/>
        <c:ser>
          <c:idx val="0"/>
          <c:order val="0"/>
          <c:spPr>
            <a:solidFill>
              <a:schemeClr val="accent1"/>
            </a:solidFill>
            <a:ln w="25400">
              <a:solidFill>
                <a:schemeClr val="accent1"/>
              </a:solidFill>
            </a:ln>
          </c:spPr>
          <c:invertIfNegative val="0"/>
          <c:dLbls>
            <c:numFmt formatCode="#,##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'Фиг. ОБЩ УЛОВ'!$L$3:$P$3</c:f>
              <c:numCache>
                <c:formatCode>General</c:formatCode>
                <c:ptCount val="5"/>
                <c:pt idx="0">
                  <c:v>2020</c:v>
                </c:pt>
                <c:pt idx="1">
                  <c:v>2021</c:v>
                </c:pt>
                <c:pt idx="2">
                  <c:v>2022</c:v>
                </c:pt>
                <c:pt idx="3">
                  <c:v>2023</c:v>
                </c:pt>
                <c:pt idx="4">
                  <c:v>2024</c:v>
                </c:pt>
              </c:numCache>
            </c:numRef>
          </c:cat>
          <c:val>
            <c:numRef>
              <c:f>'Фиг. ОБЩ УЛОВ'!$L$4:$P$4</c:f>
              <c:numCache>
                <c:formatCode>#,##0</c:formatCode>
                <c:ptCount val="5"/>
                <c:pt idx="0" formatCode="General">
                  <c:v>6297.32</c:v>
                </c:pt>
                <c:pt idx="1">
                  <c:v>9010</c:v>
                </c:pt>
                <c:pt idx="2">
                  <c:v>5594</c:v>
                </c:pt>
                <c:pt idx="3">
                  <c:v>6704</c:v>
                </c:pt>
                <c:pt idx="4">
                  <c:v>6862.5</c:v>
                </c:pt>
              </c:numCache>
            </c:numRef>
          </c:val>
          <c:extLst>
            <c:ext xmlns:c16="http://schemas.microsoft.com/office/drawing/2014/chart" uri="{C3380CC4-5D6E-409C-BE32-E72D297353CC}">
              <c16:uniqueId val="{00000000-6A34-4307-80BB-C84359B81D79}"/>
            </c:ext>
          </c:extLst>
        </c:ser>
        <c:dLbls>
          <c:showLegendKey val="0"/>
          <c:showVal val="0"/>
          <c:showCatName val="0"/>
          <c:showSerName val="0"/>
          <c:showPercent val="0"/>
          <c:showBubbleSize val="0"/>
        </c:dLbls>
        <c:gapWidth val="180"/>
        <c:axId val="98586112"/>
        <c:axId val="98461376"/>
      </c:barChart>
      <c:catAx>
        <c:axId val="98586112"/>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a:pPr>
            <a:endParaRPr lang="bg-BG"/>
          </a:p>
        </c:txPr>
        <c:crossAx val="98461376"/>
        <c:crossesAt val="0"/>
        <c:auto val="1"/>
        <c:lblAlgn val="ctr"/>
        <c:lblOffset val="100"/>
        <c:tickLblSkip val="1"/>
        <c:tickMarkSkip val="1"/>
        <c:noMultiLvlLbl val="0"/>
      </c:catAx>
      <c:valAx>
        <c:axId val="98461376"/>
        <c:scaling>
          <c:orientation val="minMax"/>
          <c:max val="10000"/>
          <c:min val="0"/>
        </c:scaling>
        <c:delete val="0"/>
        <c:axPos val="l"/>
        <c:majorGridlines>
          <c:spPr>
            <a:ln w="3175">
              <a:noFill/>
              <a:prstDash val="sysDash"/>
            </a:ln>
          </c:spPr>
        </c:majorGridlines>
        <c:title>
          <c:tx>
            <c:rich>
              <a:bodyPr/>
              <a:lstStyle/>
              <a:p>
                <a:pPr>
                  <a:defRPr/>
                </a:pPr>
                <a:r>
                  <a:rPr lang="bg-BG"/>
                  <a:t>тона</a:t>
                </a:r>
              </a:p>
            </c:rich>
          </c:tx>
          <c:layout>
            <c:manualLayout>
              <c:xMode val="edge"/>
              <c:yMode val="edge"/>
              <c:x val="2.7972027972027972E-2"/>
              <c:y val="0.44148992014296085"/>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a:pPr>
            <a:endParaRPr lang="bg-BG"/>
          </a:p>
        </c:txPr>
        <c:crossAx val="98586112"/>
        <c:crosses val="autoZero"/>
        <c:crossBetween val="between"/>
        <c:majorUnit val="2000"/>
      </c:valAx>
      <c:spPr>
        <a:solidFill>
          <a:srgbClr val="FFFFFF"/>
        </a:solidFill>
        <a:ln w="12700">
          <a:solidFill>
            <a:srgbClr val="FFFFFF"/>
          </a:solidFill>
          <a:prstDash val="solid"/>
        </a:ln>
      </c:spPr>
    </c:plotArea>
    <c:plotVisOnly val="1"/>
    <c:dispBlanksAs val="gap"/>
    <c:showDLblsOverMax val="0"/>
  </c:chart>
  <c:spPr>
    <a:solidFill>
      <a:srgbClr val="FFFFFF"/>
    </a:solidFill>
    <a:ln w="9525">
      <a:noFill/>
    </a:ln>
  </c:spPr>
  <c:txPr>
    <a:bodyPr/>
    <a:lstStyle/>
    <a:p>
      <a:pPr>
        <a:defRPr sz="1000" b="0" i="0" u="none" strike="noStrike" baseline="0">
          <a:solidFill>
            <a:srgbClr val="000000"/>
          </a:solidFill>
          <a:latin typeface="Arial Narrow"/>
          <a:ea typeface="Arial Narrow"/>
          <a:cs typeface="Arial Narrow"/>
        </a:defRPr>
      </a:pPr>
      <a:endParaRPr lang="bg-BG"/>
    </a:p>
  </c:txPr>
  <c:externalData r:id="rId2">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753132121684336"/>
          <c:y val="7.18232044198895E-2"/>
          <c:w val="0.77459817213195659"/>
          <c:h val="0.80386740331491713"/>
        </c:manualLayout>
      </c:layout>
      <c:barChart>
        <c:barDir val="col"/>
        <c:grouping val="clustered"/>
        <c:varyColors val="0"/>
        <c:ser>
          <c:idx val="0"/>
          <c:order val="0"/>
          <c:spPr>
            <a:solidFill>
              <a:srgbClr val="4F81BD"/>
            </a:solidFill>
            <a:ln w="25400">
              <a:solidFill>
                <a:schemeClr val="accent1"/>
              </a:solidFill>
            </a:ln>
          </c:spPr>
          <c:invertIfNegative val="0"/>
          <c:dLbls>
            <c:numFmt formatCode="#,##0" sourceLinked="0"/>
            <c:spPr>
              <a:noFill/>
              <a:ln w="25400">
                <a:noFill/>
              </a:ln>
            </c:spPr>
            <c:txPr>
              <a:bodyPr/>
              <a:lstStyle/>
              <a:p>
                <a:pPr>
                  <a:defRPr sz="1000" b="0" i="0" u="none" strike="noStrike" baseline="0">
                    <a:solidFill>
                      <a:srgbClr val="000000"/>
                    </a:solidFill>
                    <a:latin typeface="Arial Narrow"/>
                    <a:ea typeface="Arial Narrow"/>
                    <a:cs typeface="Arial Narrow"/>
                  </a:defRPr>
                </a:pPr>
                <a:endParaRPr lang="bg-BG"/>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'Фиг.производство '!$A$23:$A$27</c:f>
              <c:numCache>
                <c:formatCode>General</c:formatCode>
                <c:ptCount val="5"/>
                <c:pt idx="0">
                  <c:v>2020</c:v>
                </c:pt>
                <c:pt idx="1">
                  <c:v>2021</c:v>
                </c:pt>
                <c:pt idx="2">
                  <c:v>2022</c:v>
                </c:pt>
                <c:pt idx="3">
                  <c:v>2023</c:v>
                </c:pt>
                <c:pt idx="4">
                  <c:v>2024</c:v>
                </c:pt>
              </c:numCache>
            </c:numRef>
          </c:cat>
          <c:val>
            <c:numRef>
              <c:f>'Фиг.производство '!$B$23:$B$27</c:f>
              <c:numCache>
                <c:formatCode>#,##0</c:formatCode>
                <c:ptCount val="5"/>
                <c:pt idx="0">
                  <c:v>15052</c:v>
                </c:pt>
                <c:pt idx="1">
                  <c:v>15173.62</c:v>
                </c:pt>
                <c:pt idx="2">
                  <c:v>15014.71</c:v>
                </c:pt>
                <c:pt idx="3">
                  <c:v>14388</c:v>
                </c:pt>
                <c:pt idx="4">
                  <c:v>14844</c:v>
                </c:pt>
              </c:numCache>
            </c:numRef>
          </c:val>
          <c:extLst>
            <c:ext xmlns:c16="http://schemas.microsoft.com/office/drawing/2014/chart" uri="{C3380CC4-5D6E-409C-BE32-E72D297353CC}">
              <c16:uniqueId val="{00000000-1888-4B86-A116-A7B1FD237DDB}"/>
            </c:ext>
          </c:extLst>
        </c:ser>
        <c:dLbls>
          <c:showLegendKey val="0"/>
          <c:showVal val="0"/>
          <c:showCatName val="0"/>
          <c:showSerName val="0"/>
          <c:showPercent val="0"/>
          <c:showBubbleSize val="0"/>
        </c:dLbls>
        <c:gapWidth val="189"/>
        <c:axId val="99063808"/>
        <c:axId val="98463104"/>
      </c:barChart>
      <c:catAx>
        <c:axId val="99063808"/>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Narrow"/>
                <a:ea typeface="Arial Narrow"/>
                <a:cs typeface="Arial Narrow"/>
              </a:defRPr>
            </a:pPr>
            <a:endParaRPr lang="bg-BG"/>
          </a:p>
        </c:txPr>
        <c:crossAx val="98463104"/>
        <c:crosses val="autoZero"/>
        <c:auto val="1"/>
        <c:lblAlgn val="ctr"/>
        <c:lblOffset val="100"/>
        <c:tickLblSkip val="1"/>
        <c:tickMarkSkip val="1"/>
        <c:noMultiLvlLbl val="0"/>
      </c:catAx>
      <c:valAx>
        <c:axId val="98463104"/>
        <c:scaling>
          <c:orientation val="minMax"/>
          <c:max val="18000"/>
          <c:min val="0"/>
        </c:scaling>
        <c:delete val="0"/>
        <c:axPos val="l"/>
        <c:majorGridlines>
          <c:spPr>
            <a:ln w="3175">
              <a:solidFill>
                <a:srgbClr val="FFFFFF"/>
              </a:solidFill>
              <a:prstDash val="sysDash"/>
            </a:ln>
          </c:spPr>
        </c:majorGridlines>
        <c:title>
          <c:tx>
            <c:rich>
              <a:bodyPr/>
              <a:lstStyle/>
              <a:p>
                <a:pPr>
                  <a:defRPr sz="1000" b="0" i="0" u="none" strike="noStrike" baseline="0">
                    <a:solidFill>
                      <a:srgbClr val="000000"/>
                    </a:solidFill>
                    <a:latin typeface="Arial Narrow"/>
                    <a:ea typeface="Arial Narrow"/>
                    <a:cs typeface="Arial Narrow"/>
                  </a:defRPr>
                </a:pPr>
                <a:r>
                  <a:rPr lang="bg-BG"/>
                  <a:t>тона</a:t>
                </a:r>
              </a:p>
            </c:rich>
          </c:tx>
          <c:layout>
            <c:manualLayout>
              <c:xMode val="edge"/>
              <c:yMode val="edge"/>
              <c:x val="5.3667262969588549E-2"/>
              <c:y val="0.43370165745856354"/>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Narrow"/>
                <a:ea typeface="Arial Narrow"/>
                <a:cs typeface="Arial Narrow"/>
              </a:defRPr>
            </a:pPr>
            <a:endParaRPr lang="bg-BG"/>
          </a:p>
        </c:txPr>
        <c:crossAx val="99063808"/>
        <c:crosses val="autoZero"/>
        <c:crossBetween val="between"/>
      </c:valAx>
      <c:spPr>
        <a:solidFill>
          <a:srgbClr val="FFFFFF"/>
        </a:solidFill>
        <a:ln w="3175">
          <a:solidFill>
            <a:srgbClr val="FFFFFF"/>
          </a:solidFill>
          <a:prstDash val="sysDash"/>
        </a:ln>
      </c:spPr>
    </c:plotArea>
    <c:plotVisOnly val="1"/>
    <c:dispBlanksAs val="gap"/>
    <c:showDLblsOverMax val="0"/>
  </c:chart>
  <c:spPr>
    <a:solidFill>
      <a:srgbClr val="FFFFFF"/>
    </a:solidFill>
    <a:ln w="9525">
      <a:noFill/>
    </a:ln>
  </c:spPr>
  <c:txPr>
    <a:bodyPr/>
    <a:lstStyle/>
    <a:p>
      <a:pPr>
        <a:defRPr sz="1000" b="0" i="0" u="none" strike="noStrike" baseline="0">
          <a:solidFill>
            <a:srgbClr val="000000"/>
          </a:solidFill>
          <a:latin typeface="Arial Narrow"/>
          <a:ea typeface="Arial Narrow"/>
          <a:cs typeface="Arial Narrow"/>
        </a:defRPr>
      </a:pPr>
      <a:endParaRPr lang="bg-BG"/>
    </a:p>
  </c:txPr>
  <c:externalData r:id="rId2">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2014663456324156E-2"/>
          <c:y val="7.0796664122027453E-2"/>
          <c:w val="0.90190998026073188"/>
          <c:h val="0.73746525127111928"/>
        </c:manualLayout>
      </c:layout>
      <c:barChart>
        <c:barDir val="col"/>
        <c:grouping val="stacked"/>
        <c:varyColors val="0"/>
        <c:ser>
          <c:idx val="0"/>
          <c:order val="0"/>
          <c:tx>
            <c:strRef>
              <c:f>'внос на риба и продукти '!$T$9</c:f>
              <c:strCache>
                <c:ptCount val="1"/>
                <c:pt idx="0">
                  <c:v>ЕС - 27</c:v>
                </c:pt>
              </c:strCache>
            </c:strRef>
          </c:tx>
          <c:spPr>
            <a:solidFill>
              <a:srgbClr val="4F81BD"/>
            </a:solidFill>
            <a:ln w="25400">
              <a:noFill/>
            </a:ln>
          </c:spPr>
          <c:invertIfNegative val="0"/>
          <c:dLbls>
            <c:spPr>
              <a:noFill/>
              <a:ln w="25400">
                <a:noFill/>
              </a:ln>
            </c:spPr>
            <c:txPr>
              <a:bodyPr rot="-5400000" vert="horz"/>
              <a:lstStyle/>
              <a:p>
                <a:pPr algn="ctr">
                  <a:defRPr/>
                </a:pPr>
                <a:endParaRPr lang="bg-BG"/>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'внос на риба и продукти '!$Y$8:$AC$8</c:f>
              <c:numCache>
                <c:formatCode>General</c:formatCode>
                <c:ptCount val="5"/>
                <c:pt idx="0">
                  <c:v>2020</c:v>
                </c:pt>
                <c:pt idx="1">
                  <c:v>2021</c:v>
                </c:pt>
                <c:pt idx="2">
                  <c:v>2022</c:v>
                </c:pt>
                <c:pt idx="3">
                  <c:v>2023</c:v>
                </c:pt>
                <c:pt idx="4">
                  <c:v>2024</c:v>
                </c:pt>
              </c:numCache>
            </c:numRef>
          </c:cat>
          <c:val>
            <c:numRef>
              <c:f>'внос на риба и продукти '!$Y$9:$AC$9</c:f>
              <c:numCache>
                <c:formatCode>#,##0</c:formatCode>
                <c:ptCount val="5"/>
                <c:pt idx="0">
                  <c:v>23822.899999999998</c:v>
                </c:pt>
                <c:pt idx="1">
                  <c:v>26961.968000000001</c:v>
                </c:pt>
                <c:pt idx="2">
                  <c:v>29085.116999999998</c:v>
                </c:pt>
                <c:pt idx="3">
                  <c:v>27317.316999999999</c:v>
                </c:pt>
                <c:pt idx="4">
                  <c:v>25489.899000000001</c:v>
                </c:pt>
              </c:numCache>
            </c:numRef>
          </c:val>
          <c:extLst>
            <c:ext xmlns:c16="http://schemas.microsoft.com/office/drawing/2014/chart" uri="{C3380CC4-5D6E-409C-BE32-E72D297353CC}">
              <c16:uniqueId val="{00000000-AF9A-41B5-AB24-3BAE74F3D303}"/>
            </c:ext>
          </c:extLst>
        </c:ser>
        <c:ser>
          <c:idx val="1"/>
          <c:order val="1"/>
          <c:tx>
            <c:strRef>
              <c:f>'внос на риба и продукти '!$T$10</c:f>
              <c:strCache>
                <c:ptCount val="1"/>
                <c:pt idx="0">
                  <c:v>трети страни</c:v>
                </c:pt>
              </c:strCache>
            </c:strRef>
          </c:tx>
          <c:spPr>
            <a:solidFill>
              <a:srgbClr val="C0504D"/>
            </a:solidFill>
            <a:ln w="25400">
              <a:noFill/>
            </a:ln>
          </c:spPr>
          <c:invertIfNegative val="0"/>
          <c:dLbls>
            <c:spPr>
              <a:noFill/>
              <a:ln w="25400">
                <a:noFill/>
              </a:ln>
            </c:spPr>
            <c:txPr>
              <a:bodyPr rot="-5400000" vert="horz"/>
              <a:lstStyle/>
              <a:p>
                <a:pPr algn="ctr">
                  <a:defRPr/>
                </a:pPr>
                <a:endParaRPr lang="bg-BG"/>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'внос на риба и продукти '!$Y$8:$AC$8</c:f>
              <c:numCache>
                <c:formatCode>General</c:formatCode>
                <c:ptCount val="5"/>
                <c:pt idx="0">
                  <c:v>2020</c:v>
                </c:pt>
                <c:pt idx="1">
                  <c:v>2021</c:v>
                </c:pt>
                <c:pt idx="2">
                  <c:v>2022</c:v>
                </c:pt>
                <c:pt idx="3">
                  <c:v>2023</c:v>
                </c:pt>
                <c:pt idx="4">
                  <c:v>2024</c:v>
                </c:pt>
              </c:numCache>
            </c:numRef>
          </c:cat>
          <c:val>
            <c:numRef>
              <c:f>'внос на риба и продукти '!$Y$10:$AC$10</c:f>
              <c:numCache>
                <c:formatCode>#,##0</c:formatCode>
                <c:ptCount val="5"/>
                <c:pt idx="0">
                  <c:v>13820.8</c:v>
                </c:pt>
                <c:pt idx="1">
                  <c:v>13680.351000000001</c:v>
                </c:pt>
                <c:pt idx="2">
                  <c:v>15122.401</c:v>
                </c:pt>
                <c:pt idx="3">
                  <c:v>13084.757</c:v>
                </c:pt>
                <c:pt idx="4">
                  <c:v>13815.665999999999</c:v>
                </c:pt>
              </c:numCache>
            </c:numRef>
          </c:val>
          <c:extLst>
            <c:ext xmlns:c16="http://schemas.microsoft.com/office/drawing/2014/chart" uri="{C3380CC4-5D6E-409C-BE32-E72D297353CC}">
              <c16:uniqueId val="{00000001-AF9A-41B5-AB24-3BAE74F3D303}"/>
            </c:ext>
          </c:extLst>
        </c:ser>
        <c:dLbls>
          <c:showLegendKey val="0"/>
          <c:showVal val="0"/>
          <c:showCatName val="0"/>
          <c:showSerName val="0"/>
          <c:showPercent val="0"/>
          <c:showBubbleSize val="0"/>
        </c:dLbls>
        <c:gapWidth val="190"/>
        <c:overlap val="100"/>
        <c:axId val="99062272"/>
        <c:axId val="98464832"/>
      </c:barChart>
      <c:catAx>
        <c:axId val="99062272"/>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a:pPr>
            <a:endParaRPr lang="bg-BG"/>
          </a:p>
        </c:txPr>
        <c:crossAx val="98464832"/>
        <c:crosses val="autoZero"/>
        <c:auto val="1"/>
        <c:lblAlgn val="ctr"/>
        <c:lblOffset val="100"/>
        <c:tickLblSkip val="1"/>
        <c:tickMarkSkip val="1"/>
        <c:noMultiLvlLbl val="0"/>
      </c:catAx>
      <c:valAx>
        <c:axId val="98464832"/>
        <c:scaling>
          <c:orientation val="minMax"/>
          <c:max val="45000"/>
          <c:min val="0"/>
        </c:scaling>
        <c:delete val="0"/>
        <c:axPos val="l"/>
        <c:numFmt formatCode="#,##0" sourceLinked="0"/>
        <c:majorTickMark val="out"/>
        <c:minorTickMark val="none"/>
        <c:tickLblPos val="nextTo"/>
        <c:spPr>
          <a:ln w="3175">
            <a:solidFill>
              <a:srgbClr val="000000"/>
            </a:solidFill>
            <a:prstDash val="solid"/>
          </a:ln>
        </c:spPr>
        <c:txPr>
          <a:bodyPr rot="0" vert="horz"/>
          <a:lstStyle/>
          <a:p>
            <a:pPr>
              <a:defRPr>
                <a:solidFill>
                  <a:sysClr val="windowText" lastClr="000000"/>
                </a:solidFill>
              </a:defRPr>
            </a:pPr>
            <a:endParaRPr lang="bg-BG"/>
          </a:p>
        </c:txPr>
        <c:crossAx val="99062272"/>
        <c:crosses val="autoZero"/>
        <c:crossBetween val="between"/>
        <c:majorUnit val="5000"/>
        <c:minorUnit val="1000"/>
      </c:valAx>
      <c:spPr>
        <a:solidFill>
          <a:srgbClr val="FFFFFF"/>
        </a:solidFill>
        <a:ln w="3175">
          <a:solidFill>
            <a:srgbClr val="FFFFFF"/>
          </a:solidFill>
          <a:prstDash val="solid"/>
        </a:ln>
      </c:spPr>
    </c:plotArea>
    <c:legend>
      <c:legendPos val="b"/>
      <c:layout>
        <c:manualLayout>
          <c:xMode val="edge"/>
          <c:yMode val="edge"/>
          <c:x val="0.27159121170830036"/>
          <c:y val="0.91106621672290966"/>
          <c:w val="0.47054011963846476"/>
          <c:h val="6.5945334419404478E-2"/>
        </c:manualLayout>
      </c:layout>
      <c:overlay val="0"/>
      <c:spPr>
        <a:solidFill>
          <a:srgbClr val="FFFFFF"/>
        </a:solidFill>
        <a:ln w="25400">
          <a:noFill/>
        </a:ln>
      </c:spPr>
    </c:legend>
    <c:plotVisOnly val="1"/>
    <c:dispBlanksAs val="gap"/>
    <c:showDLblsOverMax val="0"/>
  </c:chart>
  <c:spPr>
    <a:solidFill>
      <a:srgbClr val="FFFFFF"/>
    </a:solidFill>
    <a:ln w="9525">
      <a:noFill/>
    </a:ln>
  </c:spPr>
  <c:txPr>
    <a:bodyPr/>
    <a:lstStyle/>
    <a:p>
      <a:pPr>
        <a:defRPr sz="1000" b="0" i="0" u="none" strike="noStrike" baseline="0">
          <a:solidFill>
            <a:srgbClr val="000000"/>
          </a:solidFill>
          <a:latin typeface="Arial Narrow" panose="020B0606020202030204" pitchFamily="34" charset="0"/>
          <a:ea typeface="Verdana"/>
          <a:cs typeface="Verdana"/>
        </a:defRPr>
      </a:pPr>
      <a:endParaRPr lang="bg-BG"/>
    </a:p>
  </c:txPr>
  <c:externalData r:id="rId2">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20"/>
      <c:rotY val="0"/>
      <c:rAngAx val="0"/>
    </c:view3D>
    <c:floor>
      <c:thickness val="0"/>
    </c:floor>
    <c:sideWall>
      <c:thickness val="0"/>
    </c:sideWall>
    <c:backWall>
      <c:thickness val="0"/>
    </c:backWall>
    <c:plotArea>
      <c:layout>
        <c:manualLayout>
          <c:layoutTarget val="inner"/>
          <c:xMode val="edge"/>
          <c:yMode val="edge"/>
          <c:x val="0.13603644448059968"/>
          <c:y val="0.13268713453159575"/>
          <c:w val="0.80272570380757202"/>
          <c:h val="0.77373760649777412"/>
        </c:manualLayout>
      </c:layout>
      <c:pie3DChart>
        <c:varyColors val="1"/>
        <c:ser>
          <c:idx val="0"/>
          <c:order val="0"/>
          <c:explosion val="38"/>
          <c:dPt>
            <c:idx val="0"/>
            <c:bubble3D val="0"/>
            <c:explosion val="33"/>
            <c:extLst>
              <c:ext xmlns:c16="http://schemas.microsoft.com/office/drawing/2014/chart" uri="{C3380CC4-5D6E-409C-BE32-E72D297353CC}">
                <c16:uniqueId val="{00000001-A623-479B-9879-A4D58714EC4F}"/>
              </c:ext>
            </c:extLst>
          </c:dPt>
          <c:dPt>
            <c:idx val="3"/>
            <c:bubble3D val="0"/>
            <c:extLst>
              <c:ext xmlns:c16="http://schemas.microsoft.com/office/drawing/2014/chart" uri="{C3380CC4-5D6E-409C-BE32-E72D297353CC}">
                <c16:uniqueId val="{00000002-A623-479B-9879-A4D58714EC4F}"/>
              </c:ext>
            </c:extLst>
          </c:dPt>
          <c:dPt>
            <c:idx val="4"/>
            <c:bubble3D val="0"/>
            <c:spPr>
              <a:solidFill>
                <a:srgbClr val="FFFF99"/>
              </a:solidFill>
            </c:spPr>
            <c:extLst>
              <c:ext xmlns:c16="http://schemas.microsoft.com/office/drawing/2014/chart" uri="{C3380CC4-5D6E-409C-BE32-E72D297353CC}">
                <c16:uniqueId val="{00000004-A623-479B-9879-A4D58714EC4F}"/>
              </c:ext>
            </c:extLst>
          </c:dPt>
          <c:dPt>
            <c:idx val="7"/>
            <c:bubble3D val="0"/>
            <c:spPr>
              <a:solidFill>
                <a:srgbClr val="FFBDBF"/>
              </a:solidFill>
            </c:spPr>
            <c:extLst>
              <c:ext xmlns:c16="http://schemas.microsoft.com/office/drawing/2014/chart" uri="{C3380CC4-5D6E-409C-BE32-E72D297353CC}">
                <c16:uniqueId val="{00000006-A623-479B-9879-A4D58714EC4F}"/>
              </c:ext>
            </c:extLst>
          </c:dPt>
          <c:dLbls>
            <c:dLbl>
              <c:idx val="0"/>
              <c:layout>
                <c:manualLayout>
                  <c:x val="-0.18254601443056986"/>
                  <c:y val="2.3715855567867216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A623-479B-9879-A4D58714EC4F}"/>
                </c:ext>
              </c:extLst>
            </c:dLbl>
            <c:dLbl>
              <c:idx val="1"/>
              <c:layout>
                <c:manualLayout>
                  <c:x val="-9.7282925250782096E-2"/>
                  <c:y val="5.5333482827507321E-3"/>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A623-479B-9879-A4D58714EC4F}"/>
                </c:ext>
              </c:extLst>
            </c:dLbl>
            <c:dLbl>
              <c:idx val="2"/>
              <c:layout>
                <c:manualLayout>
                  <c:x val="4.5306790978959302E-2"/>
                  <c:y val="6.0222002137653094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8-A623-479B-9879-A4D58714EC4F}"/>
                </c:ext>
              </c:extLst>
            </c:dLbl>
            <c:dLbl>
              <c:idx val="3"/>
              <c:layout>
                <c:manualLayout>
                  <c:x val="-1.8328598546269032E-3"/>
                  <c:y val="-8.2816768411927366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2-A623-479B-9879-A4D58714EC4F}"/>
                </c:ext>
              </c:extLst>
            </c:dLbl>
            <c:dLbl>
              <c:idx val="4"/>
              <c:layout>
                <c:manualLayout>
                  <c:x val="-2.0750906960353165E-2"/>
                  <c:y val="-2.2283623043594752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4-A623-479B-9879-A4D58714EC4F}"/>
                </c:ext>
              </c:extLst>
            </c:dLbl>
            <c:dLbl>
              <c:idx val="5"/>
              <c:layout>
                <c:manualLayout>
                  <c:x val="-3.4988674360910389E-2"/>
                  <c:y val="-5.3075456780525415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A623-479B-9879-A4D58714EC4F}"/>
                </c:ext>
              </c:extLst>
            </c:dLbl>
            <c:dLbl>
              <c:idx val="6"/>
              <c:layout>
                <c:manualLayout>
                  <c:x val="3.3970625247186526E-2"/>
                  <c:y val="-2.3931630373949905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A-A623-479B-9879-A4D58714EC4F}"/>
                </c:ext>
              </c:extLst>
            </c:dLbl>
            <c:dLbl>
              <c:idx val="7"/>
              <c:layout>
                <c:manualLayout>
                  <c:x val="4.3629606775403548E-2"/>
                  <c:y val="-2.0652866710465675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6-A623-479B-9879-A4D58714EC4F}"/>
                </c:ext>
              </c:extLst>
            </c:dLbl>
            <c:dLbl>
              <c:idx val="8"/>
              <c:layout>
                <c:manualLayout>
                  <c:x val="0.129608062051945"/>
                  <c:y val="-9.1214973449655554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A623-479B-9879-A4D58714EC4F}"/>
                </c:ext>
              </c:extLst>
            </c:dLbl>
            <c:dLbl>
              <c:idx val="9"/>
              <c:layout>
                <c:manualLayout>
                  <c:x val="0.15356455909429231"/>
                  <c:y val="-1.7521742944085702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C-A623-479B-9879-A4D58714EC4F}"/>
                </c:ext>
              </c:extLst>
            </c:dLbl>
            <c:numFmt formatCode="0.0%" sourceLinked="0"/>
            <c:spPr>
              <a:noFill/>
              <a:ln>
                <a:noFill/>
              </a:ln>
              <a:effectLst/>
            </c:spPr>
            <c:showLegendKey val="0"/>
            <c:showVal val="0"/>
            <c:showCatName val="1"/>
            <c:showSerName val="0"/>
            <c:showPercent val="1"/>
            <c:showBubbleSize val="0"/>
            <c:showLeaderLines val="0"/>
            <c:extLst>
              <c:ext xmlns:c15="http://schemas.microsoft.com/office/drawing/2012/chart" uri="{CE6537A1-D6FC-4f65-9D91-7224C49458BB}"/>
            </c:extLst>
          </c:dLbls>
          <c:cat>
            <c:strRef>
              <c:f>'внос на риба и продукти '!$B$30:$B$37</c:f>
              <c:strCache>
                <c:ptCount val="8"/>
                <c:pt idx="0">
                  <c:v>Замразена риба</c:v>
                </c:pt>
                <c:pt idx="1">
                  <c:v>Пресни, охладени риби</c:v>
                </c:pt>
                <c:pt idx="2">
                  <c:v>Готови храни и консерви от риби, хайвер</c:v>
                </c:pt>
                <c:pt idx="3">
                  <c:v>Ракообразни</c:v>
                </c:pt>
                <c:pt idx="4">
                  <c:v>Филета </c:v>
                </c:pt>
                <c:pt idx="5">
                  <c:v>Мекотели </c:v>
                </c:pt>
                <c:pt idx="6">
                  <c:v>Ракообразни и мекотели, консервирани</c:v>
                </c:pt>
                <c:pt idx="7">
                  <c:v>Други </c:v>
                </c:pt>
              </c:strCache>
            </c:strRef>
          </c:cat>
          <c:val>
            <c:numRef>
              <c:f>'внос на риба и продукти '!$C$30:$C$37</c:f>
              <c:numCache>
                <c:formatCode>#,##0</c:formatCode>
                <c:ptCount val="8"/>
                <c:pt idx="0">
                  <c:v>15835.241</c:v>
                </c:pt>
                <c:pt idx="1">
                  <c:v>6320.808</c:v>
                </c:pt>
                <c:pt idx="2">
                  <c:v>4309.1679999999997</c:v>
                </c:pt>
                <c:pt idx="3">
                  <c:v>4173.4989999999998</c:v>
                </c:pt>
                <c:pt idx="4">
                  <c:v>3957.2750000000001</c:v>
                </c:pt>
                <c:pt idx="5">
                  <c:v>2405.232</c:v>
                </c:pt>
                <c:pt idx="6">
                  <c:v>818.39400000000001</c:v>
                </c:pt>
                <c:pt idx="7">
                  <c:v>1484.7940000000017</c:v>
                </c:pt>
              </c:numCache>
            </c:numRef>
          </c:val>
          <c:extLst>
            <c:ext xmlns:c16="http://schemas.microsoft.com/office/drawing/2014/chart" uri="{C3380CC4-5D6E-409C-BE32-E72D297353CC}">
              <c16:uniqueId val="{0000000D-A623-479B-9879-A4D58714EC4F}"/>
            </c:ext>
          </c:extLst>
        </c:ser>
        <c:dLbls>
          <c:showLegendKey val="0"/>
          <c:showVal val="0"/>
          <c:showCatName val="0"/>
          <c:showSerName val="0"/>
          <c:showPercent val="0"/>
          <c:showBubbleSize val="0"/>
          <c:showLeaderLines val="0"/>
        </c:dLbls>
      </c:pie3DChart>
    </c:plotArea>
    <c:plotVisOnly val="1"/>
    <c:dispBlanksAs val="gap"/>
    <c:showDLblsOverMax val="0"/>
  </c:chart>
  <c:spPr>
    <a:ln>
      <a:noFill/>
    </a:ln>
  </c:spPr>
  <c:txPr>
    <a:bodyPr/>
    <a:lstStyle/>
    <a:p>
      <a:pPr>
        <a:defRPr>
          <a:solidFill>
            <a:sysClr val="windowText" lastClr="000000"/>
          </a:solidFill>
          <a:latin typeface="Arial Narrow" panose="020B0606020202030204" pitchFamily="34" charset="0"/>
        </a:defRPr>
      </a:pPr>
      <a:endParaRPr lang="bg-BG"/>
    </a:p>
  </c:txPr>
  <c:externalData r:id="rId2">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4566948648147604"/>
          <c:y val="6.5256009665458484E-2"/>
          <c:w val="0.82449907376601395"/>
          <c:h val="0.71516921495924135"/>
        </c:manualLayout>
      </c:layout>
      <c:barChart>
        <c:barDir val="col"/>
        <c:grouping val="stacked"/>
        <c:varyColors val="0"/>
        <c:ser>
          <c:idx val="0"/>
          <c:order val="0"/>
          <c:tx>
            <c:strRef>
              <c:f>'графики  износ ЕС ТРЕТИ'!$A$3</c:f>
              <c:strCache>
                <c:ptCount val="1"/>
                <c:pt idx="0">
                  <c:v>ЕС - 27</c:v>
                </c:pt>
              </c:strCache>
            </c:strRef>
          </c:tx>
          <c:spPr>
            <a:solidFill>
              <a:schemeClr val="accent1"/>
            </a:solidFill>
            <a:ln w="25400">
              <a:noFill/>
            </a:ln>
          </c:spPr>
          <c:invertIfNegative val="0"/>
          <c:dPt>
            <c:idx val="4"/>
            <c:invertIfNegative val="0"/>
            <c:bubble3D val="0"/>
            <c:spPr>
              <a:solidFill>
                <a:srgbClr val="4F81BD"/>
              </a:solidFill>
              <a:ln w="25400">
                <a:noFill/>
              </a:ln>
            </c:spPr>
            <c:extLst>
              <c:ext xmlns:c16="http://schemas.microsoft.com/office/drawing/2014/chart" uri="{C3380CC4-5D6E-409C-BE32-E72D297353CC}">
                <c16:uniqueId val="{00000001-5DD4-461F-A43C-D38999F6187E}"/>
              </c:ext>
            </c:extLst>
          </c:dPt>
          <c:dLbls>
            <c:numFmt formatCode="#,##0" sourceLinked="0"/>
            <c:spPr>
              <a:noFill/>
              <a:ln w="25400">
                <a:noFill/>
              </a:ln>
            </c:spPr>
            <c:txPr>
              <a:bodyPr rot="-5400000" vert="horz"/>
              <a:lstStyle/>
              <a:p>
                <a:pPr algn="ctr">
                  <a:defRPr/>
                </a:pPr>
                <a:endParaRPr lang="bg-BG"/>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'графики  износ ЕС ТРЕТИ'!$F$2:$J$2</c:f>
              <c:numCache>
                <c:formatCode>General</c:formatCode>
                <c:ptCount val="5"/>
                <c:pt idx="0">
                  <c:v>2020</c:v>
                </c:pt>
                <c:pt idx="1">
                  <c:v>2021</c:v>
                </c:pt>
                <c:pt idx="2">
                  <c:v>2022</c:v>
                </c:pt>
                <c:pt idx="3">
                  <c:v>2023</c:v>
                </c:pt>
                <c:pt idx="4">
                  <c:v>2024</c:v>
                </c:pt>
              </c:numCache>
            </c:numRef>
          </c:cat>
          <c:val>
            <c:numRef>
              <c:f>'графики  износ ЕС ТРЕТИ'!$F$3:$J$3</c:f>
              <c:numCache>
                <c:formatCode>#,##0</c:formatCode>
                <c:ptCount val="5"/>
                <c:pt idx="0">
                  <c:v>11725.900000000001</c:v>
                </c:pt>
                <c:pt idx="1">
                  <c:v>12681.453</c:v>
                </c:pt>
                <c:pt idx="2">
                  <c:v>11937.276</c:v>
                </c:pt>
                <c:pt idx="3">
                  <c:v>11046.932000000001</c:v>
                </c:pt>
                <c:pt idx="4">
                  <c:v>9764.1849999999995</c:v>
                </c:pt>
              </c:numCache>
            </c:numRef>
          </c:val>
          <c:extLst>
            <c:ext xmlns:c16="http://schemas.microsoft.com/office/drawing/2014/chart" uri="{C3380CC4-5D6E-409C-BE32-E72D297353CC}">
              <c16:uniqueId val="{00000002-5DD4-461F-A43C-D38999F6187E}"/>
            </c:ext>
          </c:extLst>
        </c:ser>
        <c:ser>
          <c:idx val="1"/>
          <c:order val="1"/>
          <c:tx>
            <c:strRef>
              <c:f>'графики  износ ЕС ТРЕТИ'!$A$4</c:f>
              <c:strCache>
                <c:ptCount val="1"/>
                <c:pt idx="0">
                  <c:v>трети страни</c:v>
                </c:pt>
              </c:strCache>
            </c:strRef>
          </c:tx>
          <c:spPr>
            <a:solidFill>
              <a:srgbClr val="C0504D"/>
            </a:solidFill>
            <a:ln w="25400">
              <a:noFill/>
            </a:ln>
          </c:spPr>
          <c:invertIfNegative val="0"/>
          <c:dLbls>
            <c:dLbl>
              <c:idx val="5"/>
              <c:layout>
                <c:manualLayout>
                  <c:x val="-1.9217030185637275E-3"/>
                  <c:y val="6.8266466691663539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DD4-461F-A43C-D38999F6187E}"/>
                </c:ext>
              </c:extLst>
            </c:dLbl>
            <c:dLbl>
              <c:idx val="6"/>
              <c:layout>
                <c:manualLayout>
                  <c:x val="3.8838572408495886E-3"/>
                  <c:y val="-1.3935480287186323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DD4-461F-A43C-D38999F6187E}"/>
                </c:ext>
              </c:extLst>
            </c:dLbl>
            <c:numFmt formatCode="#,##0" sourceLinked="0"/>
            <c:spPr>
              <a:noFill/>
              <a:ln w="25400">
                <a:noFill/>
              </a:ln>
            </c:spPr>
            <c:txPr>
              <a:bodyPr rot="-5400000" vert="horz"/>
              <a:lstStyle/>
              <a:p>
                <a:pPr algn="ctr">
                  <a:defRPr/>
                </a:pPr>
                <a:endParaRPr lang="bg-BG"/>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'графики  износ ЕС ТРЕТИ'!$F$2:$J$2</c:f>
              <c:numCache>
                <c:formatCode>General</c:formatCode>
                <c:ptCount val="5"/>
                <c:pt idx="0">
                  <c:v>2020</c:v>
                </c:pt>
                <c:pt idx="1">
                  <c:v>2021</c:v>
                </c:pt>
                <c:pt idx="2">
                  <c:v>2022</c:v>
                </c:pt>
                <c:pt idx="3">
                  <c:v>2023</c:v>
                </c:pt>
                <c:pt idx="4">
                  <c:v>2024</c:v>
                </c:pt>
              </c:numCache>
            </c:numRef>
          </c:cat>
          <c:val>
            <c:numRef>
              <c:f>'графики  износ ЕС ТРЕТИ'!$F$4:$J$4</c:f>
              <c:numCache>
                <c:formatCode>#,##0</c:formatCode>
                <c:ptCount val="5"/>
                <c:pt idx="0">
                  <c:v>3414.6</c:v>
                </c:pt>
                <c:pt idx="1">
                  <c:v>3752.732</c:v>
                </c:pt>
                <c:pt idx="2">
                  <c:v>2990.9169999999999</c:v>
                </c:pt>
                <c:pt idx="3">
                  <c:v>3602.8539999999998</c:v>
                </c:pt>
                <c:pt idx="4">
                  <c:v>3420.9639999999999</c:v>
                </c:pt>
              </c:numCache>
            </c:numRef>
          </c:val>
          <c:extLst>
            <c:ext xmlns:c16="http://schemas.microsoft.com/office/drawing/2014/chart" uri="{C3380CC4-5D6E-409C-BE32-E72D297353CC}">
              <c16:uniqueId val="{00000005-5DD4-461F-A43C-D38999F6187E}"/>
            </c:ext>
          </c:extLst>
        </c:ser>
        <c:dLbls>
          <c:showLegendKey val="0"/>
          <c:showVal val="0"/>
          <c:showCatName val="0"/>
          <c:showSerName val="0"/>
          <c:showPercent val="0"/>
          <c:showBubbleSize val="0"/>
        </c:dLbls>
        <c:gapWidth val="189"/>
        <c:overlap val="100"/>
        <c:axId val="55488000"/>
        <c:axId val="99921280"/>
      </c:barChart>
      <c:catAx>
        <c:axId val="55488000"/>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a:pPr>
            <a:endParaRPr lang="bg-BG"/>
          </a:p>
        </c:txPr>
        <c:crossAx val="99921280"/>
        <c:crosses val="autoZero"/>
        <c:auto val="1"/>
        <c:lblAlgn val="ctr"/>
        <c:lblOffset val="100"/>
        <c:tickLblSkip val="1"/>
        <c:tickMarkSkip val="1"/>
        <c:noMultiLvlLbl val="0"/>
      </c:catAx>
      <c:valAx>
        <c:axId val="99921280"/>
        <c:scaling>
          <c:orientation val="minMax"/>
          <c:max val="18000"/>
        </c:scaling>
        <c:delete val="0"/>
        <c:axPos val="l"/>
        <c:numFmt formatCode="#,##0" sourceLinked="0"/>
        <c:majorTickMark val="out"/>
        <c:minorTickMark val="none"/>
        <c:tickLblPos val="nextTo"/>
        <c:spPr>
          <a:ln w="3175">
            <a:solidFill>
              <a:srgbClr val="000000"/>
            </a:solidFill>
            <a:prstDash val="solid"/>
          </a:ln>
        </c:spPr>
        <c:txPr>
          <a:bodyPr rot="0" vert="horz"/>
          <a:lstStyle/>
          <a:p>
            <a:pPr>
              <a:defRPr/>
            </a:pPr>
            <a:endParaRPr lang="bg-BG"/>
          </a:p>
        </c:txPr>
        <c:crossAx val="55488000"/>
        <c:crosses val="autoZero"/>
        <c:crossBetween val="between"/>
      </c:valAx>
      <c:spPr>
        <a:solidFill>
          <a:srgbClr val="FFFFFF"/>
        </a:solidFill>
        <a:ln w="25400">
          <a:noFill/>
        </a:ln>
      </c:spPr>
    </c:plotArea>
    <c:legend>
      <c:legendPos val="b"/>
      <c:layout>
        <c:manualLayout>
          <c:xMode val="edge"/>
          <c:yMode val="edge"/>
          <c:x val="0.20707438967389349"/>
          <c:y val="0.89330055965226574"/>
          <c:w val="0.54281090450548131"/>
          <c:h val="4.4973544973544999E-2"/>
        </c:manualLayout>
      </c:layout>
      <c:overlay val="0"/>
      <c:spPr>
        <a:solidFill>
          <a:srgbClr val="FFFFFF"/>
        </a:solidFill>
        <a:ln w="25400">
          <a:noFill/>
        </a:ln>
      </c:spPr>
    </c:legend>
    <c:plotVisOnly val="1"/>
    <c:dispBlanksAs val="gap"/>
    <c:showDLblsOverMax val="0"/>
  </c:chart>
  <c:spPr>
    <a:solidFill>
      <a:srgbClr val="FFFFFF"/>
    </a:solidFill>
    <a:ln w="9525">
      <a:noFill/>
    </a:ln>
  </c:spPr>
  <c:txPr>
    <a:bodyPr/>
    <a:lstStyle/>
    <a:p>
      <a:pPr>
        <a:defRPr sz="1000" b="0" i="0" u="none" strike="noStrike" baseline="0">
          <a:solidFill>
            <a:srgbClr val="000000"/>
          </a:solidFill>
          <a:latin typeface="Arial Narrow" panose="020B0606020202030204" pitchFamily="34" charset="0"/>
          <a:ea typeface="Verdana"/>
          <a:cs typeface="Verdana"/>
        </a:defRPr>
      </a:pPr>
      <a:endParaRPr lang="bg-BG"/>
    </a:p>
  </c:txPr>
  <c:externalData r:id="rId2">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0"/>
      <c:rAngAx val="0"/>
      <c:perspective val="0"/>
    </c:view3D>
    <c:floor>
      <c:thickness val="0"/>
    </c:floor>
    <c:sideWall>
      <c:thickness val="0"/>
    </c:sideWall>
    <c:backWall>
      <c:thickness val="0"/>
    </c:backWall>
    <c:plotArea>
      <c:layout>
        <c:manualLayout>
          <c:layoutTarget val="inner"/>
          <c:xMode val="edge"/>
          <c:yMode val="edge"/>
          <c:x val="9.3237450484741052E-2"/>
          <c:y val="0.23370381944444443"/>
          <c:w val="0.88730966523921351"/>
          <c:h val="0.54648541896432323"/>
        </c:manualLayout>
      </c:layout>
      <c:pie3DChart>
        <c:varyColors val="1"/>
        <c:ser>
          <c:idx val="0"/>
          <c:order val="0"/>
          <c:explosion val="29"/>
          <c:dPt>
            <c:idx val="0"/>
            <c:bubble3D val="0"/>
            <c:extLst>
              <c:ext xmlns:c16="http://schemas.microsoft.com/office/drawing/2014/chart" uri="{C3380CC4-5D6E-409C-BE32-E72D297353CC}">
                <c16:uniqueId val="{00000000-D41F-4DB3-852B-1A7F07B32BCB}"/>
              </c:ext>
            </c:extLst>
          </c:dPt>
          <c:dPt>
            <c:idx val="1"/>
            <c:bubble3D val="0"/>
            <c:explosion val="19"/>
            <c:extLst>
              <c:ext xmlns:c16="http://schemas.microsoft.com/office/drawing/2014/chart" uri="{C3380CC4-5D6E-409C-BE32-E72D297353CC}">
                <c16:uniqueId val="{00000002-D41F-4DB3-852B-1A7F07B32BCB}"/>
              </c:ext>
            </c:extLst>
          </c:dPt>
          <c:dPt>
            <c:idx val="2"/>
            <c:bubble3D val="0"/>
            <c:extLst>
              <c:ext xmlns:c16="http://schemas.microsoft.com/office/drawing/2014/chart" uri="{C3380CC4-5D6E-409C-BE32-E72D297353CC}">
                <c16:uniqueId val="{00000003-D41F-4DB3-852B-1A7F07B32BCB}"/>
              </c:ext>
            </c:extLst>
          </c:dPt>
          <c:dPt>
            <c:idx val="3"/>
            <c:bubble3D val="0"/>
            <c:extLst>
              <c:ext xmlns:c16="http://schemas.microsoft.com/office/drawing/2014/chart" uri="{C3380CC4-5D6E-409C-BE32-E72D297353CC}">
                <c16:uniqueId val="{00000004-D41F-4DB3-852B-1A7F07B32BCB}"/>
              </c:ext>
            </c:extLst>
          </c:dPt>
          <c:dPt>
            <c:idx val="4"/>
            <c:bubble3D val="0"/>
            <c:spPr>
              <a:solidFill>
                <a:srgbClr val="FFFF99"/>
              </a:solidFill>
            </c:spPr>
            <c:extLst>
              <c:ext xmlns:c16="http://schemas.microsoft.com/office/drawing/2014/chart" uri="{C3380CC4-5D6E-409C-BE32-E72D297353CC}">
                <c16:uniqueId val="{00000006-D41F-4DB3-852B-1A7F07B32BCB}"/>
              </c:ext>
            </c:extLst>
          </c:dPt>
          <c:dPt>
            <c:idx val="5"/>
            <c:bubble3D val="0"/>
            <c:extLst>
              <c:ext xmlns:c16="http://schemas.microsoft.com/office/drawing/2014/chart" uri="{C3380CC4-5D6E-409C-BE32-E72D297353CC}">
                <c16:uniqueId val="{00000007-D41F-4DB3-852B-1A7F07B32BCB}"/>
              </c:ext>
            </c:extLst>
          </c:dPt>
          <c:dPt>
            <c:idx val="6"/>
            <c:bubble3D val="0"/>
            <c:extLst>
              <c:ext xmlns:c16="http://schemas.microsoft.com/office/drawing/2014/chart" uri="{C3380CC4-5D6E-409C-BE32-E72D297353CC}">
                <c16:uniqueId val="{00000008-D41F-4DB3-852B-1A7F07B32BCB}"/>
              </c:ext>
            </c:extLst>
          </c:dPt>
          <c:dPt>
            <c:idx val="7"/>
            <c:bubble3D val="0"/>
            <c:extLst>
              <c:ext xmlns:c16="http://schemas.microsoft.com/office/drawing/2014/chart" uri="{C3380CC4-5D6E-409C-BE32-E72D297353CC}">
                <c16:uniqueId val="{00000009-D41F-4DB3-852B-1A7F07B32BCB}"/>
              </c:ext>
            </c:extLst>
          </c:dPt>
          <c:dPt>
            <c:idx val="8"/>
            <c:bubble3D val="0"/>
            <c:extLst>
              <c:ext xmlns:c16="http://schemas.microsoft.com/office/drawing/2014/chart" uri="{C3380CC4-5D6E-409C-BE32-E72D297353CC}">
                <c16:uniqueId val="{0000000A-D41F-4DB3-852B-1A7F07B32BCB}"/>
              </c:ext>
            </c:extLst>
          </c:dPt>
          <c:dLbls>
            <c:dLbl>
              <c:idx val="0"/>
              <c:layout>
                <c:manualLayout>
                  <c:x val="-0.11937214135070051"/>
                  <c:y val="-0.14761145295843567"/>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0-D41F-4DB3-852B-1A7F07B32BCB}"/>
                </c:ext>
              </c:extLst>
            </c:dLbl>
            <c:dLbl>
              <c:idx val="1"/>
              <c:layout>
                <c:manualLayout>
                  <c:x val="-1.3538057742782153E-2"/>
                  <c:y val="0.12230416666666659"/>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2-D41F-4DB3-852B-1A7F07B32BCB}"/>
                </c:ext>
              </c:extLst>
            </c:dLbl>
            <c:dLbl>
              <c:idx val="2"/>
              <c:layout>
                <c:manualLayout>
                  <c:x val="-5.1485766202301636E-2"/>
                  <c:y val="1.9772569444444443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D41F-4DB3-852B-1A7F07B32BCB}"/>
                </c:ext>
              </c:extLst>
            </c:dLbl>
            <c:dLbl>
              <c:idx val="3"/>
              <c:layout>
                <c:manualLayout>
                  <c:x val="1.3423985463355543E-2"/>
                  <c:y val="6.5081944444444442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4-D41F-4DB3-852B-1A7F07B32BCB}"/>
                </c:ext>
              </c:extLst>
            </c:dLbl>
            <c:dLbl>
              <c:idx val="4"/>
              <c:layout>
                <c:manualLayout>
                  <c:x val="0"/>
                  <c:y val="-2.5646607374576309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6-D41F-4DB3-852B-1A7F07B32BCB}"/>
                </c:ext>
              </c:extLst>
            </c:dLbl>
            <c:dLbl>
              <c:idx val="5"/>
              <c:layout>
                <c:manualLayout>
                  <c:x val="-1.6630325055521907E-3"/>
                  <c:y val="-4.8568750000000001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D41F-4DB3-852B-1A7F07B32BCB}"/>
                </c:ext>
              </c:extLst>
            </c:dLbl>
            <c:dLbl>
              <c:idx val="6"/>
              <c:layout>
                <c:manualLayout>
                  <c:x val="7.8585461689587421E-3"/>
                  <c:y val="-0.11408257682367119"/>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8-D41F-4DB3-852B-1A7F07B32BCB}"/>
                </c:ext>
              </c:extLst>
            </c:dLbl>
            <c:dLbl>
              <c:idx val="7"/>
              <c:layout>
                <c:manualLayout>
                  <c:x val="3.626599258118561E-2"/>
                  <c:y val="-4.2200347222222219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D41F-4DB3-852B-1A7F07B32BCB}"/>
                </c:ext>
              </c:extLst>
            </c:dLbl>
            <c:dLbl>
              <c:idx val="8"/>
              <c:layout>
                <c:manualLayout>
                  <c:x val="2.5737129012719469E-2"/>
                  <c:y val="-3.9503819444444435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A-D41F-4DB3-852B-1A7F07B32BCB}"/>
                </c:ext>
              </c:extLst>
            </c:dLbl>
            <c:numFmt formatCode="0.0%" sourceLinked="0"/>
            <c:spPr>
              <a:noFill/>
              <a:ln>
                <a:noFill/>
              </a:ln>
              <a:effectLst/>
            </c:spPr>
            <c:showLegendKey val="0"/>
            <c:showVal val="0"/>
            <c:showCatName val="1"/>
            <c:showSerName val="0"/>
            <c:showPercent val="1"/>
            <c:showBubbleSize val="0"/>
            <c:showLeaderLines val="0"/>
            <c:extLst>
              <c:ext xmlns:c15="http://schemas.microsoft.com/office/drawing/2012/chart" uri="{CE6537A1-D6FC-4f65-9D91-7224C49458BB}"/>
            </c:extLst>
          </c:dLbls>
          <c:cat>
            <c:strRef>
              <c:f>'таблица износ '!$B$6:$B$13</c:f>
              <c:strCache>
                <c:ptCount val="8"/>
                <c:pt idx="0">
                  <c:v>Готови храни и консерви от риби; хайвер </c:v>
                </c:pt>
                <c:pt idx="1">
                  <c:v>Пресни, охладени риби</c:v>
                </c:pt>
                <c:pt idx="2">
                  <c:v>Консервирани ракообразни и мекотели</c:v>
                </c:pt>
                <c:pt idx="3">
                  <c:v>Замразени риби</c:v>
                </c:pt>
                <c:pt idx="4">
                  <c:v>Живи риби</c:v>
                </c:pt>
                <c:pt idx="5">
                  <c:v>Мекотели </c:v>
                </c:pt>
                <c:pt idx="6">
                  <c:v>Сушени, осолени, пушени риби</c:v>
                </c:pt>
                <c:pt idx="7">
                  <c:v>Други</c:v>
                </c:pt>
              </c:strCache>
            </c:strRef>
          </c:cat>
          <c:val>
            <c:numRef>
              <c:f>'таблица износ '!$C$6:$C$13</c:f>
              <c:numCache>
                <c:formatCode>#,##0</c:formatCode>
                <c:ptCount val="8"/>
                <c:pt idx="0">
                  <c:v>3915</c:v>
                </c:pt>
                <c:pt idx="1">
                  <c:v>2262</c:v>
                </c:pt>
                <c:pt idx="2">
                  <c:v>1866</c:v>
                </c:pt>
                <c:pt idx="3">
                  <c:v>1695</c:v>
                </c:pt>
                <c:pt idx="4">
                  <c:v>1084</c:v>
                </c:pt>
                <c:pt idx="5">
                  <c:v>1067</c:v>
                </c:pt>
                <c:pt idx="6">
                  <c:v>585</c:v>
                </c:pt>
                <c:pt idx="7">
                  <c:v>699.23999999999978</c:v>
                </c:pt>
              </c:numCache>
            </c:numRef>
          </c:val>
          <c:extLst>
            <c:ext xmlns:c16="http://schemas.microsoft.com/office/drawing/2014/chart" uri="{C3380CC4-5D6E-409C-BE32-E72D297353CC}">
              <c16:uniqueId val="{0000000B-D41F-4DB3-852B-1A7F07B32BCB}"/>
            </c:ext>
          </c:extLst>
        </c:ser>
        <c:dLbls>
          <c:showLegendKey val="0"/>
          <c:showVal val="0"/>
          <c:showCatName val="0"/>
          <c:showSerName val="0"/>
          <c:showPercent val="0"/>
          <c:showBubbleSize val="0"/>
          <c:showLeaderLines val="0"/>
        </c:dLbls>
      </c:pie3DChart>
    </c:plotArea>
    <c:plotVisOnly val="1"/>
    <c:dispBlanksAs val="zero"/>
    <c:showDLblsOverMax val="0"/>
  </c:chart>
  <c:spPr>
    <a:ln>
      <a:noFill/>
    </a:ln>
  </c:spPr>
  <c:txPr>
    <a:bodyPr/>
    <a:lstStyle/>
    <a:p>
      <a:pPr>
        <a:defRPr sz="1000">
          <a:solidFill>
            <a:sysClr val="windowText" lastClr="000000"/>
          </a:solidFill>
          <a:latin typeface="Arial Narrow" panose="020B0606020202030204" pitchFamily="34" charset="0"/>
        </a:defRPr>
      </a:pPr>
      <a:endParaRPr lang="bg-BG"/>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7110400262467191E-2"/>
          <c:y val="6.2705228758169931E-2"/>
          <c:w val="0.88442277723097118"/>
          <c:h val="0.74597320261437905"/>
        </c:manualLayout>
      </c:layout>
      <c:barChart>
        <c:barDir val="col"/>
        <c:grouping val="clustered"/>
        <c:varyColors val="0"/>
        <c:ser>
          <c:idx val="0"/>
          <c:order val="0"/>
          <c:tx>
            <c:strRef>
              <c:f>макрорамка!$A$43</c:f>
              <c:strCache>
                <c:ptCount val="1"/>
                <c:pt idx="0">
                  <c:v>В края на годината</c:v>
                </c:pt>
              </c:strCache>
            </c:strRef>
          </c:tx>
          <c:spPr>
            <a:solidFill>
              <a:schemeClr val="tx2">
                <a:lumMod val="60000"/>
                <a:lumOff val="40000"/>
              </a:schemeClr>
            </a:solidFill>
            <a:ln w="25400">
              <a:noFill/>
            </a:ln>
          </c:spPr>
          <c:invertIfNegative val="0"/>
          <c:dLbls>
            <c:numFmt formatCode="#,##0.0" sourceLinked="0"/>
            <c:spPr>
              <a:noFill/>
              <a:ln w="25400">
                <a:noFill/>
              </a:ln>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макрорамка!$B$42:$F$42</c:f>
              <c:numCache>
                <c:formatCode>General</c:formatCode>
                <c:ptCount val="5"/>
                <c:pt idx="0">
                  <c:v>2020</c:v>
                </c:pt>
                <c:pt idx="1">
                  <c:v>2021</c:v>
                </c:pt>
                <c:pt idx="2">
                  <c:v>2022</c:v>
                </c:pt>
                <c:pt idx="3">
                  <c:v>2023</c:v>
                </c:pt>
                <c:pt idx="4">
                  <c:v>2024</c:v>
                </c:pt>
              </c:numCache>
            </c:numRef>
          </c:cat>
          <c:val>
            <c:numRef>
              <c:f>макрорамка!$B$43:$F$43</c:f>
              <c:numCache>
                <c:formatCode>0.0</c:formatCode>
                <c:ptCount val="5"/>
                <c:pt idx="0">
                  <c:v>0.1</c:v>
                </c:pt>
                <c:pt idx="1">
                  <c:v>7.8</c:v>
                </c:pt>
                <c:pt idx="2">
                  <c:v>16.899999999999999</c:v>
                </c:pt>
                <c:pt idx="3">
                  <c:v>4.7</c:v>
                </c:pt>
                <c:pt idx="4">
                  <c:v>2.2000000000000002</c:v>
                </c:pt>
              </c:numCache>
            </c:numRef>
          </c:val>
          <c:extLst>
            <c:ext xmlns:c16="http://schemas.microsoft.com/office/drawing/2014/chart" uri="{C3380CC4-5D6E-409C-BE32-E72D297353CC}">
              <c16:uniqueId val="{00000000-68E4-4265-ACF3-4C829AB56461}"/>
            </c:ext>
          </c:extLst>
        </c:ser>
        <c:ser>
          <c:idx val="1"/>
          <c:order val="1"/>
          <c:tx>
            <c:strRef>
              <c:f>макрорамка!$A$44</c:f>
              <c:strCache>
                <c:ptCount val="1"/>
                <c:pt idx="0">
                  <c:v>Средногодишна</c:v>
                </c:pt>
              </c:strCache>
            </c:strRef>
          </c:tx>
          <c:spPr>
            <a:solidFill>
              <a:schemeClr val="accent2"/>
            </a:solidFill>
            <a:ln w="25400">
              <a:noFill/>
            </a:ln>
          </c:spPr>
          <c:invertIfNegative val="0"/>
          <c:dLbls>
            <c:numFmt formatCode="#,##0.0" sourceLinked="0"/>
            <c:spPr>
              <a:noFill/>
              <a:ln w="25400">
                <a:noFill/>
              </a:ln>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макрорамка!$B$42:$F$42</c:f>
              <c:numCache>
                <c:formatCode>General</c:formatCode>
                <c:ptCount val="5"/>
                <c:pt idx="0">
                  <c:v>2020</c:v>
                </c:pt>
                <c:pt idx="1">
                  <c:v>2021</c:v>
                </c:pt>
                <c:pt idx="2">
                  <c:v>2022</c:v>
                </c:pt>
                <c:pt idx="3">
                  <c:v>2023</c:v>
                </c:pt>
                <c:pt idx="4">
                  <c:v>2024</c:v>
                </c:pt>
              </c:numCache>
            </c:numRef>
          </c:cat>
          <c:val>
            <c:numRef>
              <c:f>макрорамка!$B$44:$F$44</c:f>
              <c:numCache>
                <c:formatCode>0.0</c:formatCode>
                <c:ptCount val="5"/>
                <c:pt idx="0">
                  <c:v>1.6724392634462646</c:v>
                </c:pt>
                <c:pt idx="1">
                  <c:v>3.2971953207676279</c:v>
                </c:pt>
                <c:pt idx="2">
                  <c:v>15.333372023365271</c:v>
                </c:pt>
                <c:pt idx="3">
                  <c:v>9.4590931057235004</c:v>
                </c:pt>
                <c:pt idx="4">
                  <c:v>2.4246495069564</c:v>
                </c:pt>
              </c:numCache>
            </c:numRef>
          </c:val>
          <c:extLst>
            <c:ext xmlns:c16="http://schemas.microsoft.com/office/drawing/2014/chart" uri="{C3380CC4-5D6E-409C-BE32-E72D297353CC}">
              <c16:uniqueId val="{00000001-68E4-4265-ACF3-4C829AB56461}"/>
            </c:ext>
          </c:extLst>
        </c:ser>
        <c:dLbls>
          <c:showLegendKey val="0"/>
          <c:showVal val="0"/>
          <c:showCatName val="0"/>
          <c:showSerName val="0"/>
          <c:showPercent val="0"/>
          <c:showBubbleSize val="0"/>
        </c:dLbls>
        <c:gapWidth val="200"/>
        <c:axId val="108945920"/>
        <c:axId val="107633984"/>
      </c:barChart>
      <c:catAx>
        <c:axId val="108945920"/>
        <c:scaling>
          <c:orientation val="minMax"/>
        </c:scaling>
        <c:delete val="0"/>
        <c:axPos val="b"/>
        <c:numFmt formatCode="General" sourceLinked="1"/>
        <c:majorTickMark val="out"/>
        <c:minorTickMark val="none"/>
        <c:tickLblPos val="low"/>
        <c:spPr>
          <a:ln w="12700">
            <a:solidFill>
              <a:srgbClr val="000000"/>
            </a:solidFill>
            <a:prstDash val="solid"/>
          </a:ln>
        </c:spPr>
        <c:txPr>
          <a:bodyPr rot="0" vert="horz"/>
          <a:lstStyle/>
          <a:p>
            <a:pPr>
              <a:defRPr/>
            </a:pPr>
            <a:endParaRPr lang="bg-BG"/>
          </a:p>
        </c:txPr>
        <c:crossAx val="107633984"/>
        <c:crosses val="autoZero"/>
        <c:auto val="1"/>
        <c:lblAlgn val="ctr"/>
        <c:lblOffset val="0"/>
        <c:noMultiLvlLbl val="0"/>
      </c:catAx>
      <c:valAx>
        <c:axId val="107633984"/>
        <c:scaling>
          <c:orientation val="minMax"/>
          <c:min val="-3"/>
        </c:scaling>
        <c:delete val="0"/>
        <c:axPos val="l"/>
        <c:numFmt formatCode="0" sourceLinked="0"/>
        <c:majorTickMark val="out"/>
        <c:minorTickMark val="none"/>
        <c:tickLblPos val="nextTo"/>
        <c:spPr>
          <a:ln w="12700">
            <a:solidFill>
              <a:srgbClr val="000000"/>
            </a:solidFill>
            <a:prstDash val="solid"/>
          </a:ln>
        </c:spPr>
        <c:txPr>
          <a:bodyPr rot="0" vert="horz"/>
          <a:lstStyle/>
          <a:p>
            <a:pPr>
              <a:defRPr/>
            </a:pPr>
            <a:endParaRPr lang="bg-BG"/>
          </a:p>
        </c:txPr>
        <c:crossAx val="108945920"/>
        <c:crosses val="autoZero"/>
        <c:crossBetween val="between"/>
      </c:valAx>
      <c:spPr>
        <a:noFill/>
        <a:ln w="25400">
          <a:noFill/>
        </a:ln>
      </c:spPr>
    </c:plotArea>
    <c:legend>
      <c:legendPos val="b"/>
      <c:layout>
        <c:manualLayout>
          <c:xMode val="edge"/>
          <c:yMode val="edge"/>
          <c:x val="0.25102523412980288"/>
          <c:y val="0.91286741524173387"/>
          <c:w val="0.49943243746301669"/>
          <c:h val="6.5689481122551976E-2"/>
        </c:manualLayout>
      </c:layout>
      <c:overlay val="0"/>
      <c:spPr>
        <a:solidFill>
          <a:srgbClr val="FFFFFF"/>
        </a:solidFill>
        <a:ln w="25400">
          <a:noFill/>
        </a:ln>
      </c:spPr>
    </c:legend>
    <c:plotVisOnly val="1"/>
    <c:dispBlanksAs val="gap"/>
    <c:showDLblsOverMax val="0"/>
  </c:chart>
  <c:spPr>
    <a:solidFill>
      <a:srgbClr val="FFFFFF"/>
    </a:solidFill>
    <a:ln w="9525">
      <a:noFill/>
    </a:ln>
  </c:spPr>
  <c:txPr>
    <a:bodyPr/>
    <a:lstStyle/>
    <a:p>
      <a:pPr>
        <a:defRPr sz="1000" b="0" i="0" u="none" strike="noStrike" baseline="0">
          <a:solidFill>
            <a:srgbClr val="000000"/>
          </a:solidFill>
          <a:latin typeface="Arial Narrow"/>
          <a:ea typeface="Arial Narrow"/>
          <a:cs typeface="Arial Narrow"/>
        </a:defRPr>
      </a:pPr>
      <a:endParaRPr lang="bg-BG"/>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1035837992369912"/>
          <c:y val="8.1005697076991692E-2"/>
          <c:w val="0.84755242025973498"/>
          <c:h val="0.72466986319447502"/>
        </c:manualLayout>
      </c:layout>
      <c:barChart>
        <c:barDir val="col"/>
        <c:grouping val="clustered"/>
        <c:varyColors val="0"/>
        <c:ser>
          <c:idx val="0"/>
          <c:order val="0"/>
          <c:tx>
            <c:strRef>
              <c:f>макрорамка!$A$73</c:f>
              <c:strCache>
                <c:ptCount val="1"/>
                <c:pt idx="0">
                  <c:v>Износ </c:v>
                </c:pt>
              </c:strCache>
            </c:strRef>
          </c:tx>
          <c:spPr>
            <a:solidFill>
              <a:schemeClr val="accent3">
                <a:lumMod val="75000"/>
              </a:schemeClr>
            </a:solidFill>
            <a:ln w="25400">
              <a:noFill/>
            </a:ln>
          </c:spPr>
          <c:invertIfNegative val="0"/>
          <c:dLbls>
            <c:spPr>
              <a:noFill/>
              <a:ln w="25400">
                <a:noFill/>
              </a:ln>
            </c:spPr>
            <c:txPr>
              <a:bodyPr rot="-5400000" vert="horz"/>
              <a:lstStyle/>
              <a:p>
                <a:pPr algn="ctr">
                  <a:defRPr sz="950"/>
                </a:pPr>
                <a:endParaRPr lang="bg-BG"/>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макрорамка!$B$71:$F$71</c:f>
              <c:numCache>
                <c:formatCode>General</c:formatCode>
                <c:ptCount val="5"/>
                <c:pt idx="0">
                  <c:v>2020</c:v>
                </c:pt>
                <c:pt idx="1">
                  <c:v>2021</c:v>
                </c:pt>
                <c:pt idx="2">
                  <c:v>2022</c:v>
                </c:pt>
                <c:pt idx="3">
                  <c:v>2023</c:v>
                </c:pt>
                <c:pt idx="4">
                  <c:v>2024</c:v>
                </c:pt>
              </c:numCache>
            </c:numRef>
          </c:cat>
          <c:val>
            <c:numRef>
              <c:f>макрорамка!$B$73:$F$73</c:f>
              <c:numCache>
                <c:formatCode>#,##0</c:formatCode>
                <c:ptCount val="5"/>
                <c:pt idx="0">
                  <c:v>53338.809010999998</c:v>
                </c:pt>
                <c:pt idx="1">
                  <c:v>67289.548817999996</c:v>
                </c:pt>
                <c:pt idx="2">
                  <c:v>92207.605349999998</c:v>
                </c:pt>
                <c:pt idx="3">
                  <c:v>85156.055867999996</c:v>
                </c:pt>
                <c:pt idx="4">
                  <c:v>85554.458439000009</c:v>
                </c:pt>
              </c:numCache>
            </c:numRef>
          </c:val>
          <c:extLst>
            <c:ext xmlns:c16="http://schemas.microsoft.com/office/drawing/2014/chart" uri="{C3380CC4-5D6E-409C-BE32-E72D297353CC}">
              <c16:uniqueId val="{00000000-5726-444B-B7D3-DBDFB70577A8}"/>
            </c:ext>
          </c:extLst>
        </c:ser>
        <c:ser>
          <c:idx val="1"/>
          <c:order val="1"/>
          <c:tx>
            <c:strRef>
              <c:f>макрорамка!$A$74</c:f>
              <c:strCache>
                <c:ptCount val="1"/>
                <c:pt idx="0">
                  <c:v>Внос </c:v>
                </c:pt>
              </c:strCache>
            </c:strRef>
          </c:tx>
          <c:spPr>
            <a:solidFill>
              <a:schemeClr val="accent6">
                <a:lumMod val="75000"/>
              </a:schemeClr>
            </a:solidFill>
          </c:spPr>
          <c:invertIfNegative val="0"/>
          <c:dLbls>
            <c:spPr>
              <a:noFill/>
              <a:ln>
                <a:noFill/>
              </a:ln>
              <a:effectLst/>
            </c:spPr>
            <c:txPr>
              <a:bodyPr rot="-5400000" vert="horz"/>
              <a:lstStyle/>
              <a:p>
                <a:pPr>
                  <a:defRPr/>
                </a:pPr>
                <a:endParaRPr lang="bg-BG"/>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макрорамка!$B$71:$F$71</c:f>
              <c:numCache>
                <c:formatCode>General</c:formatCode>
                <c:ptCount val="5"/>
                <c:pt idx="0">
                  <c:v>2020</c:v>
                </c:pt>
                <c:pt idx="1">
                  <c:v>2021</c:v>
                </c:pt>
                <c:pt idx="2">
                  <c:v>2022</c:v>
                </c:pt>
                <c:pt idx="3">
                  <c:v>2023</c:v>
                </c:pt>
                <c:pt idx="4">
                  <c:v>2024</c:v>
                </c:pt>
              </c:numCache>
            </c:numRef>
          </c:cat>
          <c:val>
            <c:numRef>
              <c:f>макрорамка!$B$74:$F$74</c:f>
              <c:numCache>
                <c:formatCode>#,##0</c:formatCode>
                <c:ptCount val="5"/>
                <c:pt idx="0">
                  <c:v>57135.270623999997</c:v>
                </c:pt>
                <c:pt idx="1">
                  <c:v>72935.443278999999</c:v>
                </c:pt>
                <c:pt idx="2">
                  <c:v>102150.458321</c:v>
                </c:pt>
                <c:pt idx="3">
                  <c:v>92843.836848999999</c:v>
                </c:pt>
                <c:pt idx="4">
                  <c:v>95428.466194000008</c:v>
                </c:pt>
              </c:numCache>
            </c:numRef>
          </c:val>
          <c:extLst>
            <c:ext xmlns:c16="http://schemas.microsoft.com/office/drawing/2014/chart" uri="{C3380CC4-5D6E-409C-BE32-E72D297353CC}">
              <c16:uniqueId val="{00000001-5726-444B-B7D3-DBDFB70577A8}"/>
            </c:ext>
          </c:extLst>
        </c:ser>
        <c:ser>
          <c:idx val="2"/>
          <c:order val="2"/>
          <c:tx>
            <c:strRef>
              <c:f>макрорамка!$A$75</c:f>
              <c:strCache>
                <c:ptCount val="1"/>
                <c:pt idx="0">
                  <c:v>Търговски баланс</c:v>
                </c:pt>
              </c:strCache>
            </c:strRef>
          </c:tx>
          <c:spPr>
            <a:solidFill>
              <a:schemeClr val="accent2"/>
            </a:solidFill>
          </c:spPr>
          <c:invertIfNegative val="0"/>
          <c:dLbls>
            <c:spPr>
              <a:noFill/>
              <a:ln>
                <a:noFill/>
              </a:ln>
              <a:effectLst/>
            </c:spPr>
            <c:txPr>
              <a:bodyPr rot="-5400000" vert="horz"/>
              <a:lstStyle/>
              <a:p>
                <a:pPr>
                  <a:defRPr b="0"/>
                </a:pPr>
                <a:endParaRPr lang="bg-BG"/>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макрорамка!$B$71:$F$71</c:f>
              <c:numCache>
                <c:formatCode>General</c:formatCode>
                <c:ptCount val="5"/>
                <c:pt idx="0">
                  <c:v>2020</c:v>
                </c:pt>
                <c:pt idx="1">
                  <c:v>2021</c:v>
                </c:pt>
                <c:pt idx="2">
                  <c:v>2022</c:v>
                </c:pt>
                <c:pt idx="3">
                  <c:v>2023</c:v>
                </c:pt>
                <c:pt idx="4">
                  <c:v>2024</c:v>
                </c:pt>
              </c:numCache>
            </c:numRef>
          </c:cat>
          <c:val>
            <c:numRef>
              <c:f>макрорамка!$B$75:$F$75</c:f>
              <c:numCache>
                <c:formatCode>#,##0</c:formatCode>
                <c:ptCount val="5"/>
                <c:pt idx="0">
                  <c:v>-3796.4616129999995</c:v>
                </c:pt>
                <c:pt idx="1">
                  <c:v>-5645.8944610000035</c:v>
                </c:pt>
                <c:pt idx="2">
                  <c:v>-9942.8529710000003</c:v>
                </c:pt>
                <c:pt idx="3">
                  <c:v>-7687.7809810000035</c:v>
                </c:pt>
                <c:pt idx="4">
                  <c:v>-9874.0077549999987</c:v>
                </c:pt>
              </c:numCache>
            </c:numRef>
          </c:val>
          <c:extLst>
            <c:ext xmlns:c16="http://schemas.microsoft.com/office/drawing/2014/chart" uri="{C3380CC4-5D6E-409C-BE32-E72D297353CC}">
              <c16:uniqueId val="{00000002-5726-444B-B7D3-DBDFB70577A8}"/>
            </c:ext>
          </c:extLst>
        </c:ser>
        <c:dLbls>
          <c:showLegendKey val="0"/>
          <c:showVal val="0"/>
          <c:showCatName val="0"/>
          <c:showSerName val="0"/>
          <c:showPercent val="0"/>
          <c:showBubbleSize val="0"/>
        </c:dLbls>
        <c:gapWidth val="223"/>
        <c:axId val="108946432"/>
        <c:axId val="108906176"/>
      </c:barChart>
      <c:catAx>
        <c:axId val="108946432"/>
        <c:scaling>
          <c:orientation val="minMax"/>
        </c:scaling>
        <c:delete val="0"/>
        <c:axPos val="b"/>
        <c:numFmt formatCode="General" sourceLinked="1"/>
        <c:majorTickMark val="out"/>
        <c:minorTickMark val="none"/>
        <c:tickLblPos val="low"/>
        <c:spPr>
          <a:ln w="12700">
            <a:solidFill>
              <a:srgbClr val="000000"/>
            </a:solidFill>
            <a:prstDash val="solid"/>
          </a:ln>
        </c:spPr>
        <c:txPr>
          <a:bodyPr rot="0" vert="horz"/>
          <a:lstStyle/>
          <a:p>
            <a:pPr>
              <a:defRPr/>
            </a:pPr>
            <a:endParaRPr lang="bg-BG"/>
          </a:p>
        </c:txPr>
        <c:crossAx val="108906176"/>
        <c:crosses val="autoZero"/>
        <c:auto val="1"/>
        <c:lblAlgn val="ctr"/>
        <c:lblOffset val="100"/>
        <c:tickLblSkip val="1"/>
        <c:tickMarkSkip val="1"/>
        <c:noMultiLvlLbl val="0"/>
      </c:catAx>
      <c:valAx>
        <c:axId val="108906176"/>
        <c:scaling>
          <c:orientation val="minMax"/>
          <c:min val="-40000"/>
        </c:scaling>
        <c:delete val="0"/>
        <c:axPos val="l"/>
        <c:numFmt formatCode="#,##0" sourceLinked="1"/>
        <c:majorTickMark val="out"/>
        <c:minorTickMark val="none"/>
        <c:tickLblPos val="nextTo"/>
        <c:spPr>
          <a:ln w="12700">
            <a:solidFill>
              <a:srgbClr val="000000"/>
            </a:solidFill>
            <a:prstDash val="solid"/>
          </a:ln>
        </c:spPr>
        <c:txPr>
          <a:bodyPr rot="0" vert="horz"/>
          <a:lstStyle/>
          <a:p>
            <a:pPr>
              <a:defRPr/>
            </a:pPr>
            <a:endParaRPr lang="bg-BG"/>
          </a:p>
        </c:txPr>
        <c:crossAx val="108946432"/>
        <c:crosses val="autoZero"/>
        <c:crossBetween val="between"/>
      </c:valAx>
      <c:spPr>
        <a:noFill/>
        <a:ln w="25400">
          <a:noFill/>
        </a:ln>
      </c:spPr>
    </c:plotArea>
    <c:legend>
      <c:legendPos val="b"/>
      <c:layout>
        <c:manualLayout>
          <c:xMode val="edge"/>
          <c:yMode val="edge"/>
          <c:x val="0.28213876611148514"/>
          <c:y val="0.92458223376028958"/>
          <c:w val="0.43285834606495083"/>
          <c:h val="6.2531270784612417E-2"/>
        </c:manualLayout>
      </c:layout>
      <c:overlay val="0"/>
      <c:spPr>
        <a:solidFill>
          <a:srgbClr val="FFFFFF"/>
        </a:solidFill>
        <a:ln w="25400">
          <a:noFill/>
        </a:ln>
      </c:spPr>
    </c:legend>
    <c:plotVisOnly val="1"/>
    <c:dispBlanksAs val="gap"/>
    <c:showDLblsOverMax val="0"/>
  </c:chart>
  <c:spPr>
    <a:solidFill>
      <a:srgbClr val="FFFFFF"/>
    </a:solidFill>
    <a:ln w="9525">
      <a:noFill/>
    </a:ln>
  </c:spPr>
  <c:txPr>
    <a:bodyPr/>
    <a:lstStyle/>
    <a:p>
      <a:pPr>
        <a:defRPr sz="1000" b="0" i="0" u="none" strike="noStrike" baseline="0">
          <a:solidFill>
            <a:srgbClr val="000000"/>
          </a:solidFill>
          <a:latin typeface="Arial Narrow"/>
          <a:ea typeface="Arial Narrow"/>
          <a:cs typeface="Arial Narrow"/>
        </a:defRPr>
      </a:pPr>
      <a:endParaRPr lang="bg-BG"/>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807245685198441"/>
          <c:y val="5.3892294355080396E-2"/>
          <c:w val="0.86166925157082641"/>
          <c:h val="0.8323365461506862"/>
        </c:manualLayout>
      </c:layout>
      <c:barChart>
        <c:barDir val="col"/>
        <c:grouping val="clustered"/>
        <c:varyColors val="0"/>
        <c:ser>
          <c:idx val="1"/>
          <c:order val="0"/>
          <c:tx>
            <c:strRef>
              <c:f>макрорамка!$A$119</c:f>
              <c:strCache>
                <c:ptCount val="1"/>
                <c:pt idx="0">
                  <c:v>млн. лв.</c:v>
                </c:pt>
              </c:strCache>
            </c:strRef>
          </c:tx>
          <c:spPr>
            <a:solidFill>
              <a:schemeClr val="accent3">
                <a:lumMod val="50000"/>
              </a:schemeClr>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макрорамка!$B$118:$F$118</c:f>
              <c:numCache>
                <c:formatCode>General</c:formatCode>
                <c:ptCount val="5"/>
                <c:pt idx="0">
                  <c:v>2020</c:v>
                </c:pt>
                <c:pt idx="1">
                  <c:v>2021</c:v>
                </c:pt>
                <c:pt idx="2">
                  <c:v>2022</c:v>
                </c:pt>
                <c:pt idx="3">
                  <c:v>2023</c:v>
                </c:pt>
                <c:pt idx="4">
                  <c:v>2024</c:v>
                </c:pt>
              </c:numCache>
            </c:numRef>
          </c:cat>
          <c:val>
            <c:numRef>
              <c:f>макрорамка!$B$119:$F$119</c:f>
              <c:numCache>
                <c:formatCode>#,##0</c:formatCode>
                <c:ptCount val="5"/>
                <c:pt idx="0">
                  <c:v>5400.2422129999995</c:v>
                </c:pt>
                <c:pt idx="1">
                  <c:v>2808.3762970000002</c:v>
                </c:pt>
                <c:pt idx="2">
                  <c:v>8073.2750740000001</c:v>
                </c:pt>
                <c:pt idx="3">
                  <c:v>9064.2941350000001</c:v>
                </c:pt>
                <c:pt idx="4">
                  <c:v>5504.2923690000007</c:v>
                </c:pt>
              </c:numCache>
            </c:numRef>
          </c:val>
          <c:extLst>
            <c:ext xmlns:c16="http://schemas.microsoft.com/office/drawing/2014/chart" uri="{C3380CC4-5D6E-409C-BE32-E72D297353CC}">
              <c16:uniqueId val="{00000000-205C-4609-B052-D2FEC28A19C1}"/>
            </c:ext>
          </c:extLst>
        </c:ser>
        <c:dLbls>
          <c:showLegendKey val="0"/>
          <c:showVal val="0"/>
          <c:showCatName val="0"/>
          <c:showSerName val="0"/>
          <c:showPercent val="0"/>
          <c:showBubbleSize val="0"/>
        </c:dLbls>
        <c:gapWidth val="200"/>
        <c:axId val="108947456"/>
        <c:axId val="108910208"/>
      </c:barChart>
      <c:catAx>
        <c:axId val="108947456"/>
        <c:scaling>
          <c:orientation val="minMax"/>
        </c:scaling>
        <c:delete val="0"/>
        <c:axPos val="b"/>
        <c:numFmt formatCode="General" sourceLinked="1"/>
        <c:majorTickMark val="out"/>
        <c:minorTickMark val="none"/>
        <c:tickLblPos val="low"/>
        <c:spPr>
          <a:ln w="12700">
            <a:solidFill>
              <a:srgbClr val="000000"/>
            </a:solidFill>
            <a:prstDash val="solid"/>
          </a:ln>
        </c:spPr>
        <c:txPr>
          <a:bodyPr rot="0" vert="horz"/>
          <a:lstStyle/>
          <a:p>
            <a:pPr>
              <a:defRPr/>
            </a:pPr>
            <a:endParaRPr lang="bg-BG"/>
          </a:p>
        </c:txPr>
        <c:crossAx val="108910208"/>
        <c:crosses val="autoZero"/>
        <c:auto val="1"/>
        <c:lblAlgn val="ctr"/>
        <c:lblOffset val="100"/>
        <c:tickLblSkip val="1"/>
        <c:tickMarkSkip val="1"/>
        <c:noMultiLvlLbl val="0"/>
      </c:catAx>
      <c:valAx>
        <c:axId val="108910208"/>
        <c:scaling>
          <c:orientation val="minMax"/>
        </c:scaling>
        <c:delete val="0"/>
        <c:axPos val="l"/>
        <c:numFmt formatCode="#,##0" sourceLinked="0"/>
        <c:majorTickMark val="out"/>
        <c:minorTickMark val="none"/>
        <c:tickLblPos val="nextTo"/>
        <c:spPr>
          <a:ln w="12700">
            <a:solidFill>
              <a:srgbClr val="000000"/>
            </a:solidFill>
            <a:prstDash val="solid"/>
          </a:ln>
        </c:spPr>
        <c:txPr>
          <a:bodyPr rot="0" vert="horz"/>
          <a:lstStyle/>
          <a:p>
            <a:pPr>
              <a:defRPr/>
            </a:pPr>
            <a:endParaRPr lang="bg-BG"/>
          </a:p>
        </c:txPr>
        <c:crossAx val="108947456"/>
        <c:crosses val="autoZero"/>
        <c:crossBetween val="between"/>
      </c:valAx>
      <c:spPr>
        <a:noFill/>
        <a:ln w="25400">
          <a:noFill/>
        </a:ln>
      </c:spPr>
    </c:plotArea>
    <c:plotVisOnly val="1"/>
    <c:dispBlanksAs val="gap"/>
    <c:showDLblsOverMax val="0"/>
  </c:chart>
  <c:spPr>
    <a:solidFill>
      <a:srgbClr val="FFFFFF"/>
    </a:solidFill>
    <a:ln w="9525">
      <a:noFill/>
    </a:ln>
  </c:spPr>
  <c:txPr>
    <a:bodyPr/>
    <a:lstStyle/>
    <a:p>
      <a:pPr>
        <a:defRPr sz="1000" b="0" i="0" u="none" strike="noStrike" baseline="0">
          <a:solidFill>
            <a:srgbClr val="000000"/>
          </a:solidFill>
          <a:latin typeface="Arial Narrow"/>
          <a:ea typeface="Arial Narrow"/>
          <a:cs typeface="Arial Narrow"/>
        </a:defRPr>
      </a:pPr>
      <a:endParaRPr lang="bg-BG"/>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1531793901915899"/>
          <c:y val="3.7503948607736037E-2"/>
          <c:w val="0.56093933690040498"/>
          <c:h val="0.87593020781578412"/>
        </c:manualLayout>
      </c:layout>
      <c:barChart>
        <c:barDir val="col"/>
        <c:grouping val="stacked"/>
        <c:varyColors val="0"/>
        <c:ser>
          <c:idx val="0"/>
          <c:order val="0"/>
          <c:tx>
            <c:strRef>
              <c:f>'дялове БП цени производител'!$C$11</c:f>
              <c:strCache>
                <c:ptCount val="1"/>
                <c:pt idx="0">
                  <c:v>Продукция от растениевъдството</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Arial Narrow" panose="020B0606020202030204" pitchFamily="34" charset="0"/>
                    <a:ea typeface="+mn-ea"/>
                    <a:cs typeface="+mn-cs"/>
                  </a:defRPr>
                </a:pPr>
                <a:endParaRPr lang="bg-BG"/>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'дялове БП цени производител'!$D$10:$F$10</c:f>
              <c:numCache>
                <c:formatCode>General</c:formatCode>
                <c:ptCount val="3"/>
                <c:pt idx="0">
                  <c:v>2022</c:v>
                </c:pt>
                <c:pt idx="1">
                  <c:v>2023</c:v>
                </c:pt>
                <c:pt idx="2">
                  <c:v>2024</c:v>
                </c:pt>
              </c:numCache>
            </c:numRef>
          </c:cat>
          <c:val>
            <c:numRef>
              <c:f>'дялове БП цени производител'!$D$11:$F$11</c:f>
              <c:numCache>
                <c:formatCode>0.00%</c:formatCode>
                <c:ptCount val="3"/>
                <c:pt idx="0">
                  <c:v>0.75457934710603747</c:v>
                </c:pt>
                <c:pt idx="1">
                  <c:v>0.67696962224603785</c:v>
                </c:pt>
                <c:pt idx="2">
                  <c:v>0.66951129729673675</c:v>
                </c:pt>
              </c:numCache>
            </c:numRef>
          </c:val>
          <c:extLst>
            <c:ext xmlns:c16="http://schemas.microsoft.com/office/drawing/2014/chart" uri="{C3380CC4-5D6E-409C-BE32-E72D297353CC}">
              <c16:uniqueId val="{00000000-7051-4015-B1D1-1AC458D7ABDC}"/>
            </c:ext>
          </c:extLst>
        </c:ser>
        <c:ser>
          <c:idx val="1"/>
          <c:order val="1"/>
          <c:tx>
            <c:strRef>
              <c:f>'дялове БП цени производител'!$C$12</c:f>
              <c:strCache>
                <c:ptCount val="1"/>
                <c:pt idx="0">
                  <c:v>Продукция от животновъдството</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Arial Narrow" panose="020B0606020202030204" pitchFamily="34" charset="0"/>
                    <a:ea typeface="+mn-ea"/>
                    <a:cs typeface="+mn-cs"/>
                  </a:defRPr>
                </a:pPr>
                <a:endParaRPr lang="bg-BG"/>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'дялове БП цени производител'!$D$10:$F$10</c:f>
              <c:numCache>
                <c:formatCode>General</c:formatCode>
                <c:ptCount val="3"/>
                <c:pt idx="0">
                  <c:v>2022</c:v>
                </c:pt>
                <c:pt idx="1">
                  <c:v>2023</c:v>
                </c:pt>
                <c:pt idx="2">
                  <c:v>2024</c:v>
                </c:pt>
              </c:numCache>
            </c:numRef>
          </c:cat>
          <c:val>
            <c:numRef>
              <c:f>'дялове БП цени производител'!$D$12:$F$12</c:f>
              <c:numCache>
                <c:formatCode>0.00%</c:formatCode>
                <c:ptCount val="3"/>
                <c:pt idx="0">
                  <c:v>0.17852136001602192</c:v>
                </c:pt>
                <c:pt idx="1">
                  <c:v>0.23817562761407068</c:v>
                </c:pt>
                <c:pt idx="2">
                  <c:v>0.24277522579039604</c:v>
                </c:pt>
              </c:numCache>
            </c:numRef>
          </c:val>
          <c:extLst>
            <c:ext xmlns:c16="http://schemas.microsoft.com/office/drawing/2014/chart" uri="{C3380CC4-5D6E-409C-BE32-E72D297353CC}">
              <c16:uniqueId val="{00000001-7051-4015-B1D1-1AC458D7ABDC}"/>
            </c:ext>
          </c:extLst>
        </c:ser>
        <c:ser>
          <c:idx val="2"/>
          <c:order val="2"/>
          <c:tx>
            <c:strRef>
              <c:f>'дялове БП цени производител'!$C$13</c:f>
              <c:strCache>
                <c:ptCount val="1"/>
                <c:pt idx="0">
                  <c:v>Селскостопански услуги</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Arial Narrow" panose="020B0606020202030204" pitchFamily="34" charset="0"/>
                    <a:ea typeface="+mn-ea"/>
                    <a:cs typeface="+mn-cs"/>
                  </a:defRPr>
                </a:pPr>
                <a:endParaRPr lang="bg-BG"/>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'дялове БП цени производител'!$D$10:$F$10</c:f>
              <c:numCache>
                <c:formatCode>General</c:formatCode>
                <c:ptCount val="3"/>
                <c:pt idx="0">
                  <c:v>2022</c:v>
                </c:pt>
                <c:pt idx="1">
                  <c:v>2023</c:v>
                </c:pt>
                <c:pt idx="2">
                  <c:v>2024</c:v>
                </c:pt>
              </c:numCache>
            </c:numRef>
          </c:cat>
          <c:val>
            <c:numRef>
              <c:f>'дялове БП цени производител'!$D$13:$F$13</c:f>
              <c:numCache>
                <c:formatCode>0.00%</c:formatCode>
                <c:ptCount val="3"/>
                <c:pt idx="0">
                  <c:v>4.5855093897798516E-2</c:v>
                </c:pt>
                <c:pt idx="1">
                  <c:v>5.6497121558436628E-2</c:v>
                </c:pt>
                <c:pt idx="2">
                  <c:v>5.680274577712336E-2</c:v>
                </c:pt>
              </c:numCache>
            </c:numRef>
          </c:val>
          <c:extLst>
            <c:ext xmlns:c16="http://schemas.microsoft.com/office/drawing/2014/chart" uri="{C3380CC4-5D6E-409C-BE32-E72D297353CC}">
              <c16:uniqueId val="{00000002-7051-4015-B1D1-1AC458D7ABDC}"/>
            </c:ext>
          </c:extLst>
        </c:ser>
        <c:ser>
          <c:idx val="3"/>
          <c:order val="3"/>
          <c:tx>
            <c:strRef>
              <c:f>'дялове БП цени производител'!$C$14</c:f>
              <c:strCache>
                <c:ptCount val="1"/>
                <c:pt idx="0">
                  <c:v>Неселскостопански неотделими второстепенни дейности</c:v>
                </c:pt>
              </c:strCache>
            </c:strRef>
          </c:tx>
          <c:spPr>
            <a:solidFill>
              <a:schemeClr val="accent4"/>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Arial Narrow" panose="020B0606020202030204" pitchFamily="34" charset="0"/>
                    <a:ea typeface="+mn-ea"/>
                    <a:cs typeface="+mn-cs"/>
                  </a:defRPr>
                </a:pPr>
                <a:endParaRPr lang="bg-BG"/>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'дялове БП цени производител'!$D$10:$F$10</c:f>
              <c:numCache>
                <c:formatCode>General</c:formatCode>
                <c:ptCount val="3"/>
                <c:pt idx="0">
                  <c:v>2022</c:v>
                </c:pt>
                <c:pt idx="1">
                  <c:v>2023</c:v>
                </c:pt>
                <c:pt idx="2">
                  <c:v>2024</c:v>
                </c:pt>
              </c:numCache>
            </c:numRef>
          </c:cat>
          <c:val>
            <c:numRef>
              <c:f>'дялове БП цени производител'!$D$14:$F$14</c:f>
              <c:numCache>
                <c:formatCode>0.00%</c:formatCode>
                <c:ptCount val="3"/>
                <c:pt idx="0">
                  <c:v>2.1044198980142037E-2</c:v>
                </c:pt>
                <c:pt idx="1">
                  <c:v>2.8357628581454675E-2</c:v>
                </c:pt>
                <c:pt idx="2">
                  <c:v>3.091073113574384E-2</c:v>
                </c:pt>
              </c:numCache>
            </c:numRef>
          </c:val>
          <c:extLst>
            <c:ext xmlns:c16="http://schemas.microsoft.com/office/drawing/2014/chart" uri="{C3380CC4-5D6E-409C-BE32-E72D297353CC}">
              <c16:uniqueId val="{00000003-7051-4015-B1D1-1AC458D7ABDC}"/>
            </c:ext>
          </c:extLst>
        </c:ser>
        <c:dLbls>
          <c:showLegendKey val="0"/>
          <c:showVal val="0"/>
          <c:showCatName val="0"/>
          <c:showSerName val="0"/>
          <c:showPercent val="0"/>
          <c:showBubbleSize val="0"/>
        </c:dLbls>
        <c:gapWidth val="150"/>
        <c:overlap val="100"/>
        <c:axId val="86764544"/>
        <c:axId val="86790912"/>
      </c:barChart>
      <c:catAx>
        <c:axId val="867645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Arial Narrow" panose="020B0606020202030204" pitchFamily="34" charset="0"/>
                <a:ea typeface="+mn-ea"/>
                <a:cs typeface="+mn-cs"/>
              </a:defRPr>
            </a:pPr>
            <a:endParaRPr lang="bg-BG"/>
          </a:p>
        </c:txPr>
        <c:crossAx val="86790912"/>
        <c:crosses val="autoZero"/>
        <c:auto val="1"/>
        <c:lblAlgn val="ctr"/>
        <c:lblOffset val="100"/>
        <c:noMultiLvlLbl val="0"/>
      </c:catAx>
      <c:valAx>
        <c:axId val="86790912"/>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solidFill>
                <a:latin typeface="Arial Narrow" panose="020B0606020202030204" pitchFamily="34" charset="0"/>
                <a:ea typeface="+mn-ea"/>
                <a:cs typeface="+mn-cs"/>
              </a:defRPr>
            </a:pPr>
            <a:endParaRPr lang="bg-BG"/>
          </a:p>
        </c:txPr>
        <c:crossAx val="86764544"/>
        <c:crosses val="autoZero"/>
        <c:crossBetween val="between"/>
      </c:valAx>
      <c:spPr>
        <a:noFill/>
        <a:ln>
          <a:noFill/>
        </a:ln>
        <a:effectLst/>
      </c:spPr>
    </c:plotArea>
    <c:legend>
      <c:legendPos val="r"/>
      <c:layout>
        <c:manualLayout>
          <c:xMode val="edge"/>
          <c:yMode val="edge"/>
          <c:x val="0.7226987889801133"/>
          <c:y val="8.6048593710071536E-2"/>
          <c:w val="0.26675917464986121"/>
          <c:h val="0.81955909098797874"/>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Arial Narrow" panose="020B0606020202030204" pitchFamily="34" charset="0"/>
              <a:ea typeface="+mn-ea"/>
              <a:cs typeface="+mn-cs"/>
            </a:defRPr>
          </a:pPr>
          <a:endParaRPr lang="bg-BG"/>
        </a:p>
      </c:txPr>
    </c:legend>
    <c:plotVisOnly val="1"/>
    <c:dispBlanksAs val="gap"/>
    <c:showDLblsOverMax val="0"/>
  </c:chart>
  <c:spPr>
    <a:solidFill>
      <a:schemeClr val="bg1"/>
    </a:solidFill>
    <a:ln w="9525" cap="flat" cmpd="sng" algn="ctr">
      <a:noFill/>
      <a:round/>
    </a:ln>
    <a:effectLst/>
  </c:spPr>
  <c:txPr>
    <a:bodyPr/>
    <a:lstStyle/>
    <a:p>
      <a:pPr>
        <a:defRPr sz="1000" b="0">
          <a:solidFill>
            <a:schemeClr val="tx1"/>
          </a:solidFill>
          <a:latin typeface="Arial Narrow" panose="020B0606020202030204" pitchFamily="34" charset="0"/>
        </a:defRPr>
      </a:pPr>
      <a:endParaRPr lang="bg-BG"/>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'КП-межд. потр.-брутна доб ст-ст'!$C$5</c:f>
              <c:strCache>
                <c:ptCount val="1"/>
                <c:pt idx="0">
                  <c:v>Крайна продукция </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Arial Narrow" panose="020B0606020202030204" pitchFamily="34" charset="0"/>
                    <a:ea typeface="+mn-ea"/>
                    <a:cs typeface="+mn-cs"/>
                  </a:defRPr>
                </a:pPr>
                <a:endParaRPr lang="bg-BG"/>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'КП-межд. потр.-брутна доб ст-ст'!$D$4:$F$4</c:f>
              <c:numCache>
                <c:formatCode>0_ ;\-0\ </c:formatCode>
                <c:ptCount val="3"/>
                <c:pt idx="0">
                  <c:v>2022</c:v>
                </c:pt>
                <c:pt idx="1">
                  <c:v>2023</c:v>
                </c:pt>
                <c:pt idx="2">
                  <c:v>2024</c:v>
                </c:pt>
              </c:numCache>
            </c:numRef>
          </c:cat>
          <c:val>
            <c:numRef>
              <c:f>'КП-межд. потр.-брутна доб ст-ст'!$D$5:$F$5</c:f>
              <c:numCache>
                <c:formatCode>#,##0</c:formatCode>
                <c:ptCount val="3"/>
                <c:pt idx="0">
                  <c:v>12901.9</c:v>
                </c:pt>
                <c:pt idx="1">
                  <c:v>10554.4</c:v>
                </c:pt>
                <c:pt idx="2">
                  <c:v>9707.5</c:v>
                </c:pt>
              </c:numCache>
            </c:numRef>
          </c:val>
          <c:extLst>
            <c:ext xmlns:c16="http://schemas.microsoft.com/office/drawing/2014/chart" uri="{C3380CC4-5D6E-409C-BE32-E72D297353CC}">
              <c16:uniqueId val="{00000000-6BF3-45D9-A7E4-CB06728642BC}"/>
            </c:ext>
          </c:extLst>
        </c:ser>
        <c:ser>
          <c:idx val="1"/>
          <c:order val="1"/>
          <c:tx>
            <c:strRef>
              <c:f>'КП-межд. потр.-брутна доб ст-ст'!$C$6</c:f>
              <c:strCache>
                <c:ptCount val="1"/>
                <c:pt idx="0">
                  <c:v>Междинно потребление </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Arial Narrow" panose="020B0606020202030204" pitchFamily="34" charset="0"/>
                    <a:ea typeface="+mn-ea"/>
                    <a:cs typeface="+mn-cs"/>
                  </a:defRPr>
                </a:pPr>
                <a:endParaRPr lang="bg-BG"/>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'КП-межд. потр.-брутна доб ст-ст'!$D$4:$F$4</c:f>
              <c:numCache>
                <c:formatCode>0_ ;\-0\ </c:formatCode>
                <c:ptCount val="3"/>
                <c:pt idx="0">
                  <c:v>2022</c:v>
                </c:pt>
                <c:pt idx="1">
                  <c:v>2023</c:v>
                </c:pt>
                <c:pt idx="2">
                  <c:v>2024</c:v>
                </c:pt>
              </c:numCache>
            </c:numRef>
          </c:cat>
          <c:val>
            <c:numRef>
              <c:f>'КП-межд. потр.-брутна доб ст-ст'!$D$6:$F$6</c:f>
              <c:numCache>
                <c:formatCode>#,##0</c:formatCode>
                <c:ptCount val="3"/>
                <c:pt idx="0">
                  <c:v>6988.7</c:v>
                </c:pt>
                <c:pt idx="1">
                  <c:v>6337.4</c:v>
                </c:pt>
                <c:pt idx="2">
                  <c:v>5700.8</c:v>
                </c:pt>
              </c:numCache>
            </c:numRef>
          </c:val>
          <c:extLst>
            <c:ext xmlns:c16="http://schemas.microsoft.com/office/drawing/2014/chart" uri="{C3380CC4-5D6E-409C-BE32-E72D297353CC}">
              <c16:uniqueId val="{00000001-6BF3-45D9-A7E4-CB06728642BC}"/>
            </c:ext>
          </c:extLst>
        </c:ser>
        <c:ser>
          <c:idx val="2"/>
          <c:order val="2"/>
          <c:tx>
            <c:strRef>
              <c:f>'КП-межд. потр.-брутна доб ст-ст'!$C$7</c:f>
              <c:strCache>
                <c:ptCount val="1"/>
                <c:pt idx="0">
                  <c:v>Брутна добавена стойност по базисни цени</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Arial Narrow" panose="020B0606020202030204" pitchFamily="34" charset="0"/>
                    <a:ea typeface="+mn-ea"/>
                    <a:cs typeface="+mn-cs"/>
                  </a:defRPr>
                </a:pPr>
                <a:endParaRPr lang="bg-BG"/>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'КП-межд. потр.-брутна доб ст-ст'!$D$4:$F$4</c:f>
              <c:numCache>
                <c:formatCode>0_ ;\-0\ </c:formatCode>
                <c:ptCount val="3"/>
                <c:pt idx="0">
                  <c:v>2022</c:v>
                </c:pt>
                <c:pt idx="1">
                  <c:v>2023</c:v>
                </c:pt>
                <c:pt idx="2">
                  <c:v>2024</c:v>
                </c:pt>
              </c:numCache>
            </c:numRef>
          </c:cat>
          <c:val>
            <c:numRef>
              <c:f>'КП-межд. потр.-брутна доб ст-ст'!$D$7:$F$7</c:f>
              <c:numCache>
                <c:formatCode>#,##0</c:formatCode>
                <c:ptCount val="3"/>
                <c:pt idx="0">
                  <c:v>5913.2</c:v>
                </c:pt>
                <c:pt idx="1">
                  <c:v>4217</c:v>
                </c:pt>
                <c:pt idx="2">
                  <c:v>4006.7</c:v>
                </c:pt>
              </c:numCache>
            </c:numRef>
          </c:val>
          <c:extLst>
            <c:ext xmlns:c16="http://schemas.microsoft.com/office/drawing/2014/chart" uri="{C3380CC4-5D6E-409C-BE32-E72D297353CC}">
              <c16:uniqueId val="{00000002-6BF3-45D9-A7E4-CB06728642BC}"/>
            </c:ext>
          </c:extLst>
        </c:ser>
        <c:ser>
          <c:idx val="3"/>
          <c:order val="3"/>
          <c:tx>
            <c:strRef>
              <c:f>'КП-межд. потр.-брутна доб ст-ст'!$C$8</c:f>
              <c:strCache>
                <c:ptCount val="1"/>
                <c:pt idx="0">
                  <c:v>Предприемачески доход</c:v>
                </c:pt>
              </c:strCache>
            </c:strRef>
          </c:tx>
          <c:spPr>
            <a:solidFill>
              <a:schemeClr val="accent4"/>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Arial Narrow" panose="020B0606020202030204" pitchFamily="34" charset="0"/>
                    <a:ea typeface="+mn-ea"/>
                    <a:cs typeface="+mn-cs"/>
                  </a:defRPr>
                </a:pPr>
                <a:endParaRPr lang="bg-BG"/>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'КП-межд. потр.-брутна доб ст-ст'!$D$4:$F$4</c:f>
              <c:numCache>
                <c:formatCode>0_ ;\-0\ </c:formatCode>
                <c:ptCount val="3"/>
                <c:pt idx="0">
                  <c:v>2022</c:v>
                </c:pt>
                <c:pt idx="1">
                  <c:v>2023</c:v>
                </c:pt>
                <c:pt idx="2">
                  <c:v>2024</c:v>
                </c:pt>
              </c:numCache>
            </c:numRef>
          </c:cat>
          <c:val>
            <c:numRef>
              <c:f>'КП-межд. потр.-брутна доб ст-ст'!$D$8:$F$8</c:f>
              <c:numCache>
                <c:formatCode>#,##0</c:formatCode>
                <c:ptCount val="3"/>
                <c:pt idx="0">
                  <c:v>3239.2</c:v>
                </c:pt>
                <c:pt idx="1">
                  <c:v>974.7</c:v>
                </c:pt>
                <c:pt idx="2">
                  <c:v>977</c:v>
                </c:pt>
              </c:numCache>
            </c:numRef>
          </c:val>
          <c:extLst>
            <c:ext xmlns:c16="http://schemas.microsoft.com/office/drawing/2014/chart" uri="{C3380CC4-5D6E-409C-BE32-E72D297353CC}">
              <c16:uniqueId val="{00000003-6BF3-45D9-A7E4-CB06728642BC}"/>
            </c:ext>
          </c:extLst>
        </c:ser>
        <c:dLbls>
          <c:showLegendKey val="0"/>
          <c:showVal val="0"/>
          <c:showCatName val="0"/>
          <c:showSerName val="0"/>
          <c:showPercent val="0"/>
          <c:showBubbleSize val="0"/>
        </c:dLbls>
        <c:gapWidth val="219"/>
        <c:overlap val="-27"/>
        <c:axId val="86631936"/>
        <c:axId val="86633472"/>
      </c:barChart>
      <c:catAx>
        <c:axId val="86631936"/>
        <c:scaling>
          <c:orientation val="minMax"/>
        </c:scaling>
        <c:delete val="0"/>
        <c:axPos val="b"/>
        <c:numFmt formatCode="0_ ;\-0\ "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Arial Narrow" panose="020B0606020202030204" pitchFamily="34" charset="0"/>
                <a:ea typeface="+mn-ea"/>
                <a:cs typeface="+mn-cs"/>
              </a:defRPr>
            </a:pPr>
            <a:endParaRPr lang="bg-BG"/>
          </a:p>
        </c:txPr>
        <c:crossAx val="86633472"/>
        <c:crosses val="autoZero"/>
        <c:auto val="1"/>
        <c:lblAlgn val="ctr"/>
        <c:lblOffset val="100"/>
        <c:noMultiLvlLbl val="0"/>
      </c:catAx>
      <c:valAx>
        <c:axId val="866334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solidFill>
                <a:latin typeface="Arial Narrow" panose="020B0606020202030204" pitchFamily="34" charset="0"/>
                <a:ea typeface="+mn-ea"/>
                <a:cs typeface="+mn-cs"/>
              </a:defRPr>
            </a:pPr>
            <a:endParaRPr lang="bg-BG"/>
          </a:p>
        </c:txPr>
        <c:crossAx val="86631936"/>
        <c:crosses val="autoZero"/>
        <c:crossBetween val="between"/>
      </c:valAx>
      <c:spPr>
        <a:noFill/>
        <a:ln>
          <a:noFill/>
        </a:ln>
        <a:effectLst/>
      </c:spPr>
    </c:plotArea>
    <c:legend>
      <c:legendPos val="b"/>
      <c:layout>
        <c:manualLayout>
          <c:xMode val="edge"/>
          <c:yMode val="edge"/>
          <c:x val="6.5443949440530447E-2"/>
          <c:y val="0.86794414057021496"/>
          <c:w val="0.89762087304876348"/>
          <c:h val="0.11169962533309291"/>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Arial Narrow" panose="020B0606020202030204" pitchFamily="34" charset="0"/>
              <a:ea typeface="+mn-ea"/>
              <a:cs typeface="+mn-cs"/>
            </a:defRPr>
          </a:pPr>
          <a:endParaRPr lang="bg-BG"/>
        </a:p>
      </c:txPr>
    </c:legend>
    <c:plotVisOnly val="1"/>
    <c:dispBlanksAs val="gap"/>
    <c:showDLblsOverMax val="0"/>
  </c:chart>
  <c:spPr>
    <a:solidFill>
      <a:schemeClr val="bg1"/>
    </a:solidFill>
    <a:ln w="9525" cap="flat" cmpd="sng" algn="ctr">
      <a:noFill/>
      <a:round/>
    </a:ln>
    <a:effectLst/>
  </c:spPr>
  <c:txPr>
    <a:bodyPr/>
    <a:lstStyle/>
    <a:p>
      <a:pPr>
        <a:defRPr sz="1000">
          <a:solidFill>
            <a:schemeClr val="tx1"/>
          </a:solidFill>
          <a:latin typeface="Arial Narrow" panose="020B0606020202030204" pitchFamily="34" charset="0"/>
        </a:defRPr>
      </a:pPr>
      <a:endParaRPr lang="bg-BG"/>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3750021872265963"/>
          <c:y val="5.9549799265745988E-2"/>
          <c:w val="0.8458350541891565"/>
          <c:h val="0.75900379669618445"/>
        </c:manualLayout>
      </c:layout>
      <c:barChart>
        <c:barDir val="col"/>
        <c:grouping val="clustered"/>
        <c:varyColors val="0"/>
        <c:ser>
          <c:idx val="0"/>
          <c:order val="0"/>
          <c:tx>
            <c:strRef>
              <c:f>'фиг. месо '!$B$6</c:f>
              <c:strCache>
                <c:ptCount val="1"/>
                <c:pt idx="0">
                  <c:v>бели меса</c:v>
                </c:pt>
              </c:strCache>
            </c:strRef>
          </c:tx>
          <c:spPr>
            <a:solidFill>
              <a:srgbClr val="4F81BD"/>
            </a:solidFill>
          </c:spPr>
          <c:invertIfNegative val="0"/>
          <c:dLbls>
            <c:spPr>
              <a:noFill/>
              <a:ln w="25400">
                <a:noFill/>
              </a:ln>
            </c:spPr>
            <c:txPr>
              <a:bodyPr rot="-5400000" vert="horz"/>
              <a:lstStyle/>
              <a:p>
                <a:pPr algn="ctr">
                  <a:defRPr sz="1000" b="0" i="0" u="none" strike="noStrike" baseline="0">
                    <a:solidFill>
                      <a:srgbClr val="000000"/>
                    </a:solidFill>
                    <a:latin typeface="Arial Narrow" panose="020B0606020202030204" pitchFamily="34" charset="0"/>
                    <a:ea typeface="Arial Narrow"/>
                    <a:cs typeface="Arial Narrow"/>
                  </a:defRPr>
                </a:pPr>
                <a:endParaRPr lang="bg-BG"/>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'фиг. месо '!$L$5:$P$5</c:f>
              <c:numCache>
                <c:formatCode>General</c:formatCode>
                <c:ptCount val="5"/>
                <c:pt idx="0">
                  <c:v>2020</c:v>
                </c:pt>
                <c:pt idx="1">
                  <c:v>2021</c:v>
                </c:pt>
                <c:pt idx="2">
                  <c:v>2022</c:v>
                </c:pt>
                <c:pt idx="3">
                  <c:v>2023</c:v>
                </c:pt>
                <c:pt idx="4">
                  <c:v>2024</c:v>
                </c:pt>
              </c:numCache>
            </c:numRef>
          </c:cat>
          <c:val>
            <c:numRef>
              <c:f>'фиг. месо '!$L$6:$P$6</c:f>
              <c:numCache>
                <c:formatCode>#,##0</c:formatCode>
                <c:ptCount val="5"/>
                <c:pt idx="0">
                  <c:v>114545</c:v>
                </c:pt>
                <c:pt idx="1">
                  <c:v>116649</c:v>
                </c:pt>
                <c:pt idx="2">
                  <c:v>120094</c:v>
                </c:pt>
                <c:pt idx="3">
                  <c:v>122076</c:v>
                </c:pt>
                <c:pt idx="4">
                  <c:v>125320.7</c:v>
                </c:pt>
              </c:numCache>
            </c:numRef>
          </c:val>
          <c:extLst>
            <c:ext xmlns:c16="http://schemas.microsoft.com/office/drawing/2014/chart" uri="{C3380CC4-5D6E-409C-BE32-E72D297353CC}">
              <c16:uniqueId val="{00000000-0779-4521-9622-50D68047F2A6}"/>
            </c:ext>
          </c:extLst>
        </c:ser>
        <c:ser>
          <c:idx val="1"/>
          <c:order val="1"/>
          <c:tx>
            <c:strRef>
              <c:f>'фиг. месо '!$B$7</c:f>
              <c:strCache>
                <c:ptCount val="1"/>
                <c:pt idx="0">
                  <c:v>червени меса</c:v>
                </c:pt>
              </c:strCache>
            </c:strRef>
          </c:tx>
          <c:spPr>
            <a:solidFill>
              <a:srgbClr val="C0504D"/>
            </a:solidFill>
          </c:spPr>
          <c:invertIfNegative val="0"/>
          <c:dLbls>
            <c:spPr>
              <a:noFill/>
              <a:ln w="25400">
                <a:noFill/>
              </a:ln>
            </c:spPr>
            <c:txPr>
              <a:bodyPr rot="-5400000" vert="horz"/>
              <a:lstStyle/>
              <a:p>
                <a:pPr algn="ctr">
                  <a:defRPr sz="1000" b="0" i="0" u="none" strike="noStrike" baseline="0">
                    <a:solidFill>
                      <a:srgbClr val="000000"/>
                    </a:solidFill>
                    <a:latin typeface="Arial Narrow"/>
                    <a:ea typeface="Arial Narrow"/>
                    <a:cs typeface="Arial Narrow"/>
                  </a:defRPr>
                </a:pPr>
                <a:endParaRPr lang="bg-BG"/>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'фиг. месо '!$L$5:$P$5</c:f>
              <c:numCache>
                <c:formatCode>General</c:formatCode>
                <c:ptCount val="5"/>
                <c:pt idx="0">
                  <c:v>2020</c:v>
                </c:pt>
                <c:pt idx="1">
                  <c:v>2021</c:v>
                </c:pt>
                <c:pt idx="2">
                  <c:v>2022</c:v>
                </c:pt>
                <c:pt idx="3">
                  <c:v>2023</c:v>
                </c:pt>
                <c:pt idx="4">
                  <c:v>2024</c:v>
                </c:pt>
              </c:numCache>
            </c:numRef>
          </c:cat>
          <c:val>
            <c:numRef>
              <c:f>'фиг. месо '!$L$7:$P$7</c:f>
              <c:numCache>
                <c:formatCode>#,##0</c:formatCode>
                <c:ptCount val="5"/>
                <c:pt idx="0">
                  <c:v>93136.8</c:v>
                </c:pt>
                <c:pt idx="1">
                  <c:v>113728</c:v>
                </c:pt>
                <c:pt idx="2">
                  <c:v>116596</c:v>
                </c:pt>
                <c:pt idx="3">
                  <c:v>106081.60000000001</c:v>
                </c:pt>
                <c:pt idx="4">
                  <c:v>116112</c:v>
                </c:pt>
              </c:numCache>
            </c:numRef>
          </c:val>
          <c:extLst>
            <c:ext xmlns:c16="http://schemas.microsoft.com/office/drawing/2014/chart" uri="{C3380CC4-5D6E-409C-BE32-E72D297353CC}">
              <c16:uniqueId val="{00000001-0779-4521-9622-50D68047F2A6}"/>
            </c:ext>
          </c:extLst>
        </c:ser>
        <c:dLbls>
          <c:showLegendKey val="0"/>
          <c:showVal val="0"/>
          <c:showCatName val="0"/>
          <c:showSerName val="0"/>
          <c:showPercent val="0"/>
          <c:showBubbleSize val="0"/>
        </c:dLbls>
        <c:gapWidth val="75"/>
        <c:axId val="105970688"/>
        <c:axId val="105979904"/>
      </c:barChart>
      <c:catAx>
        <c:axId val="105970688"/>
        <c:scaling>
          <c:orientation val="minMax"/>
        </c:scaling>
        <c:delete val="0"/>
        <c:axPos val="b"/>
        <c:numFmt formatCode="General" sourceLinked="1"/>
        <c:majorTickMark val="none"/>
        <c:minorTickMark val="none"/>
        <c:tickLblPos val="nextTo"/>
        <c:txPr>
          <a:bodyPr rot="0" vert="horz"/>
          <a:lstStyle/>
          <a:p>
            <a:pPr>
              <a:defRPr sz="1000" b="0" i="0" u="none" strike="noStrike" baseline="0">
                <a:solidFill>
                  <a:srgbClr val="000000"/>
                </a:solidFill>
                <a:latin typeface="Arial Narrow"/>
                <a:ea typeface="Arial Narrow"/>
                <a:cs typeface="Arial Narrow"/>
              </a:defRPr>
            </a:pPr>
            <a:endParaRPr lang="bg-BG"/>
          </a:p>
        </c:txPr>
        <c:crossAx val="105979904"/>
        <c:crossesAt val="0"/>
        <c:auto val="1"/>
        <c:lblAlgn val="ctr"/>
        <c:lblOffset val="100"/>
        <c:noMultiLvlLbl val="0"/>
      </c:catAx>
      <c:valAx>
        <c:axId val="105979904"/>
        <c:scaling>
          <c:orientation val="minMax"/>
          <c:max val="150000"/>
          <c:min val="0"/>
        </c:scaling>
        <c:delete val="0"/>
        <c:axPos val="l"/>
        <c:numFmt formatCode="#,##0" sourceLinked="1"/>
        <c:majorTickMark val="none"/>
        <c:minorTickMark val="none"/>
        <c:tickLblPos val="nextTo"/>
        <c:txPr>
          <a:bodyPr rot="0" vert="horz"/>
          <a:lstStyle/>
          <a:p>
            <a:pPr>
              <a:defRPr sz="1000" b="0" i="0" u="none" strike="noStrike" baseline="0">
                <a:solidFill>
                  <a:srgbClr val="000000"/>
                </a:solidFill>
                <a:latin typeface="Arial Narrow"/>
                <a:ea typeface="Arial Narrow"/>
                <a:cs typeface="Arial Narrow"/>
              </a:defRPr>
            </a:pPr>
            <a:endParaRPr lang="bg-BG"/>
          </a:p>
        </c:txPr>
        <c:crossAx val="105970688"/>
        <c:crosses val="autoZero"/>
        <c:crossBetween val="between"/>
        <c:majorUnit val="25000"/>
      </c:valAx>
    </c:plotArea>
    <c:legend>
      <c:legendPos val="b"/>
      <c:layout>
        <c:manualLayout>
          <c:xMode val="edge"/>
          <c:yMode val="edge"/>
          <c:x val="0.28541732283464566"/>
          <c:y val="0.91135832254951421"/>
          <c:w val="0.48541776027996503"/>
          <c:h val="5.8171795377945479E-2"/>
        </c:manualLayout>
      </c:layout>
      <c:overlay val="0"/>
      <c:txPr>
        <a:bodyPr/>
        <a:lstStyle/>
        <a:p>
          <a:pPr>
            <a:defRPr sz="1000" b="0" i="0" u="none" strike="noStrike" baseline="0">
              <a:solidFill>
                <a:srgbClr val="000000"/>
              </a:solidFill>
              <a:latin typeface="Arial Narrow"/>
              <a:ea typeface="Arial Narrow"/>
              <a:cs typeface="Arial Narrow"/>
            </a:defRPr>
          </a:pPr>
          <a:endParaRPr lang="bg-BG"/>
        </a:p>
      </c:txPr>
    </c:legend>
    <c:plotVisOnly val="1"/>
    <c:dispBlanksAs val="gap"/>
    <c:showDLblsOverMax val="0"/>
  </c:chart>
  <c:spPr>
    <a:solidFill>
      <a:srgbClr val="FFFFFF"/>
    </a:solidFill>
    <a:ln w="9525">
      <a:noFill/>
    </a:ln>
  </c:spPr>
  <c:txPr>
    <a:bodyPr/>
    <a:lstStyle/>
    <a:p>
      <a:pPr>
        <a:defRPr sz="1000" b="0" i="0" u="none" strike="noStrike" baseline="0">
          <a:solidFill>
            <a:srgbClr val="000000"/>
          </a:solidFill>
          <a:latin typeface="Arial Narrow"/>
          <a:ea typeface="Arial Narrow"/>
          <a:cs typeface="Arial Narrow"/>
        </a:defRPr>
      </a:pPr>
      <a:endParaRPr lang="bg-BG"/>
    </a:p>
  </c:txPr>
  <c:externalData r:id="rId2">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0.39871</cdr:x>
      <cdr:y>0.41532</cdr:y>
    </cdr:from>
    <cdr:to>
      <cdr:x>0.59715</cdr:x>
      <cdr:y>0.61309</cdr:y>
    </cdr:to>
    <cdr:sp macro="" textlink="">
      <cdr:nvSpPr>
        <cdr:cNvPr id="3" name="TextBox 2"/>
        <cdr:cNvSpPr txBox="1"/>
      </cdr:nvSpPr>
      <cdr:spPr>
        <a:xfrm xmlns:a="http://schemas.openxmlformats.org/drawingml/2006/main">
          <a:off x="2077349" y="1392494"/>
          <a:ext cx="1033907" cy="66308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bg-BG" sz="1000" b="1">
              <a:latin typeface="Arial Narrow" panose="020B0606020202030204" pitchFamily="34" charset="0"/>
            </a:rPr>
            <a:t>Общо: </a:t>
          </a:r>
        </a:p>
        <a:p xmlns:a="http://schemas.openxmlformats.org/drawingml/2006/main">
          <a:pPr algn="ctr"/>
          <a:r>
            <a:rPr lang="en-US" sz="1000" b="1">
              <a:latin typeface="Arial Narrow" panose="020B0606020202030204" pitchFamily="34" charset="0"/>
            </a:rPr>
            <a:t>6 739,5</a:t>
          </a:r>
          <a:r>
            <a:rPr lang="bg-BG" sz="1000" b="1">
              <a:latin typeface="Arial Narrow" panose="020B0606020202030204" pitchFamily="34" charset="0"/>
            </a:rPr>
            <a:t> </a:t>
          </a:r>
          <a:endParaRPr lang="en-US" sz="1000" b="1">
            <a:latin typeface="Arial Narrow" panose="020B0606020202030204" pitchFamily="34" charset="0"/>
          </a:endParaRPr>
        </a:p>
        <a:p xmlns:a="http://schemas.openxmlformats.org/drawingml/2006/main">
          <a:pPr algn="ctr"/>
          <a:r>
            <a:rPr lang="bg-BG" sz="1000" b="1">
              <a:latin typeface="Arial Narrow" panose="020B0606020202030204" pitchFamily="34" charset="0"/>
            </a:rPr>
            <a:t>млн. евро</a:t>
          </a:r>
          <a:endParaRPr lang="en-US" sz="1000" b="1">
            <a:latin typeface="Arial Narrow" panose="020B0606020202030204" pitchFamily="34" charset="0"/>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0.39871</cdr:x>
      <cdr:y>0.41532</cdr:y>
    </cdr:from>
    <cdr:to>
      <cdr:x>0.59715</cdr:x>
      <cdr:y>0.61309</cdr:y>
    </cdr:to>
    <cdr:sp macro="" textlink="">
      <cdr:nvSpPr>
        <cdr:cNvPr id="3" name="TextBox 2"/>
        <cdr:cNvSpPr txBox="1"/>
      </cdr:nvSpPr>
      <cdr:spPr>
        <a:xfrm xmlns:a="http://schemas.openxmlformats.org/drawingml/2006/main">
          <a:off x="2077349" y="1392494"/>
          <a:ext cx="1033907" cy="66308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bg-BG" sz="1000" b="1">
              <a:latin typeface="Arial Narrow" panose="020B0606020202030204" pitchFamily="34" charset="0"/>
            </a:rPr>
            <a:t>Общо: </a:t>
          </a:r>
        </a:p>
        <a:p xmlns:a="http://schemas.openxmlformats.org/drawingml/2006/main">
          <a:pPr algn="ctr"/>
          <a:r>
            <a:rPr lang="bg-BG" sz="1000" b="1">
              <a:latin typeface="Arial Narrow" panose="020B0606020202030204" pitchFamily="34" charset="0"/>
            </a:rPr>
            <a:t>6 </a:t>
          </a:r>
          <a:r>
            <a:rPr lang="en-US" sz="1000" b="1">
              <a:latin typeface="Arial Narrow" panose="020B0606020202030204" pitchFamily="34" charset="0"/>
            </a:rPr>
            <a:t>73</a:t>
          </a:r>
          <a:r>
            <a:rPr lang="bg-BG" sz="1000" b="1">
              <a:latin typeface="Arial Narrow" panose="020B0606020202030204" pitchFamily="34" charset="0"/>
            </a:rPr>
            <a:t>7</a:t>
          </a:r>
          <a:r>
            <a:rPr lang="en-US" sz="1000" b="1">
              <a:latin typeface="Arial Narrow" panose="020B0606020202030204" pitchFamily="34" charset="0"/>
            </a:rPr>
            <a:t>,</a:t>
          </a:r>
          <a:r>
            <a:rPr lang="bg-BG" sz="1000" b="1">
              <a:latin typeface="Arial Narrow" panose="020B0606020202030204" pitchFamily="34" charset="0"/>
            </a:rPr>
            <a:t>3 </a:t>
          </a:r>
          <a:endParaRPr lang="en-US" sz="1000" b="1">
            <a:latin typeface="Arial Narrow" panose="020B0606020202030204" pitchFamily="34" charset="0"/>
          </a:endParaRPr>
        </a:p>
        <a:p xmlns:a="http://schemas.openxmlformats.org/drawingml/2006/main">
          <a:pPr algn="ctr"/>
          <a:r>
            <a:rPr lang="bg-BG" sz="1000" b="1">
              <a:latin typeface="Arial Narrow" panose="020B0606020202030204" pitchFamily="34" charset="0"/>
            </a:rPr>
            <a:t>млн. евро</a:t>
          </a:r>
          <a:endParaRPr lang="en-US" sz="1000" b="1">
            <a:latin typeface="Arial Narrow" panose="020B0606020202030204" pitchFamily="34" charset="0"/>
          </a:endParaRPr>
        </a:p>
      </cdr:txBody>
    </cdr:sp>
  </cdr:relSizeAnchor>
</c:userShape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0.xml><?xml version="1.0" encoding="utf-8"?>
<a:themeOverride xmlns:a="http://schemas.openxmlformats.org/drawingml/2006/main">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ambria-Calibri">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2025-01-01T00:00:00</PublishDate>
  <Abstract>АРАРЕН ДОКЛАД `2024</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DC0FDCF-AC5D-4035-BCCE-52E3240254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268</Pages>
  <Words>120971</Words>
  <Characters>689541</Characters>
  <Application>Microsoft Office Word</Application>
  <DocSecurity>0</DocSecurity>
  <Lines>5746</Lines>
  <Paragraphs>1617</Paragraphs>
  <ScaleCrop>false</ScaleCrop>
  <HeadingPairs>
    <vt:vector size="2" baseType="variant">
      <vt:variant>
        <vt:lpstr>Title</vt:lpstr>
      </vt:variant>
      <vt:variant>
        <vt:i4>1</vt:i4>
      </vt:variant>
    </vt:vector>
  </HeadingPairs>
  <TitlesOfParts>
    <vt:vector size="1" baseType="lpstr">
      <vt:lpstr>ГОДИШЕН ДОКЛАД ЗА СЪСТОЯНИЕТО И РАЗВИТИЕТО НА ЗЕМЕДЕЛИЕТО</vt:lpstr>
    </vt:vector>
  </TitlesOfParts>
  <Company/>
  <LinksUpToDate>false</LinksUpToDate>
  <CharactersWithSpaces>808895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ГОДИШЕН ДОКЛАД ЗА СЪСТОЯНИЕТО И РАЗВИТИЕТО НА ЗЕМЕДЕЛИЕТО</dc:title>
  <dc:creator>Desislava Vasileva</dc:creator>
  <cp:lastModifiedBy>Галина Смелова</cp:lastModifiedBy>
  <cp:revision>2</cp:revision>
  <cp:lastPrinted>2025-11-10T13:19:00Z</cp:lastPrinted>
  <dcterms:created xsi:type="dcterms:W3CDTF">2025-12-04T13:57:00Z</dcterms:created>
  <dcterms:modified xsi:type="dcterms:W3CDTF">2025-12-04T13:57:00Z</dcterms:modified>
</cp:coreProperties>
</file>